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6A92D7EB" w14:textId="191DD755" w:rsidR="00FD58BF" w:rsidRDefault="00FD58BF">
          <w:pPr>
            <w:pStyle w:val="En-ttedetabledesmatires"/>
          </w:pPr>
          <w:r w:rsidRPr="00FD58BF">
            <w:t>TABLE DES MATIÈRES</w:t>
          </w:r>
        </w:p>
        <w:p w14:paraId="606A6F6D" w14:textId="23495DDF" w:rsidR="00FD58BF" w:rsidRDefault="00CE7F43">
          <w:pPr>
            <w:pStyle w:val="TM1"/>
            <w:tabs>
              <w:tab w:val="right" w:leader="dot" w:pos="9016"/>
            </w:tabs>
            <w:rPr>
              <w:rFonts w:asciiTheme="minorHAnsi" w:eastAsiaTheme="minorEastAsia" w:hAnsiTheme="minorHAnsi" w:cstheme="minorBidi"/>
              <w:noProof/>
              <w:kern w:val="2"/>
              <w:sz w:val="22"/>
              <w:szCs w:val="22"/>
              <w14:ligatures w14:val="standardContextual"/>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78837279" w:history="1">
            <w:r w:rsidR="00FD58BF" w:rsidRPr="003004E5">
              <w:rPr>
                <w:rStyle w:val="Lienhypertexte"/>
                <w:noProof/>
              </w:rPr>
              <w:t>2 T2 Superstructures CCTB 01.12</w:t>
            </w:r>
            <w:r w:rsidR="00FD58BF">
              <w:rPr>
                <w:noProof/>
                <w:webHidden/>
              </w:rPr>
              <w:tab/>
            </w:r>
            <w:r w:rsidR="00FD58BF">
              <w:rPr>
                <w:noProof/>
                <w:webHidden/>
              </w:rPr>
              <w:fldChar w:fldCharType="begin"/>
            </w:r>
            <w:r w:rsidR="00FD58BF">
              <w:rPr>
                <w:noProof/>
                <w:webHidden/>
              </w:rPr>
              <w:instrText xml:space="preserve"> PAGEREF _Toc178837279 \h </w:instrText>
            </w:r>
            <w:r w:rsidR="00FD58BF">
              <w:rPr>
                <w:noProof/>
                <w:webHidden/>
              </w:rPr>
            </w:r>
            <w:r w:rsidR="00FD58BF">
              <w:rPr>
                <w:noProof/>
                <w:webHidden/>
              </w:rPr>
              <w:fldChar w:fldCharType="separate"/>
            </w:r>
            <w:r w:rsidR="00FD58BF">
              <w:rPr>
                <w:noProof/>
                <w:webHidden/>
              </w:rPr>
              <w:t>54</w:t>
            </w:r>
            <w:r w:rsidR="00FD58BF">
              <w:rPr>
                <w:noProof/>
                <w:webHidden/>
              </w:rPr>
              <w:fldChar w:fldCharType="end"/>
            </w:r>
          </w:hyperlink>
        </w:p>
        <w:p w14:paraId="6E418A87" w14:textId="7D8B6E33" w:rsidR="00FD58BF" w:rsidRDefault="004016E8">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7280" w:history="1">
            <w:r w:rsidR="00FD58BF" w:rsidRPr="003004E5">
              <w:rPr>
                <w:rStyle w:val="Lienhypertexte"/>
                <w:noProof/>
              </w:rPr>
              <w:t>21 Superstructures en maçonnerie CCTB 01.12</w:t>
            </w:r>
            <w:r w:rsidR="00FD58BF">
              <w:rPr>
                <w:noProof/>
                <w:webHidden/>
              </w:rPr>
              <w:tab/>
            </w:r>
            <w:r w:rsidR="00FD58BF">
              <w:rPr>
                <w:noProof/>
                <w:webHidden/>
              </w:rPr>
              <w:fldChar w:fldCharType="begin"/>
            </w:r>
            <w:r w:rsidR="00FD58BF">
              <w:rPr>
                <w:noProof/>
                <w:webHidden/>
              </w:rPr>
              <w:instrText xml:space="preserve"> PAGEREF _Toc178837280 \h </w:instrText>
            </w:r>
            <w:r w:rsidR="00FD58BF">
              <w:rPr>
                <w:noProof/>
                <w:webHidden/>
              </w:rPr>
            </w:r>
            <w:r w:rsidR="00FD58BF">
              <w:rPr>
                <w:noProof/>
                <w:webHidden/>
              </w:rPr>
              <w:fldChar w:fldCharType="separate"/>
            </w:r>
            <w:r w:rsidR="00FD58BF">
              <w:rPr>
                <w:noProof/>
                <w:webHidden/>
              </w:rPr>
              <w:t>55</w:t>
            </w:r>
            <w:r w:rsidR="00FD58BF">
              <w:rPr>
                <w:noProof/>
                <w:webHidden/>
              </w:rPr>
              <w:fldChar w:fldCharType="end"/>
            </w:r>
          </w:hyperlink>
        </w:p>
        <w:p w14:paraId="636C4664" w14:textId="1FF3B763"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281" w:history="1">
            <w:r w:rsidR="00FD58BF" w:rsidRPr="003004E5">
              <w:rPr>
                <w:rStyle w:val="Lienhypertexte"/>
                <w:noProof/>
              </w:rPr>
              <w:t>21.1 Maçonneries portantes CCTB 01.11</w:t>
            </w:r>
            <w:r w:rsidR="00FD58BF">
              <w:rPr>
                <w:noProof/>
                <w:webHidden/>
              </w:rPr>
              <w:tab/>
            </w:r>
            <w:r w:rsidR="00FD58BF">
              <w:rPr>
                <w:noProof/>
                <w:webHidden/>
              </w:rPr>
              <w:fldChar w:fldCharType="begin"/>
            </w:r>
            <w:r w:rsidR="00FD58BF">
              <w:rPr>
                <w:noProof/>
                <w:webHidden/>
              </w:rPr>
              <w:instrText xml:space="preserve"> PAGEREF _Toc178837281 \h </w:instrText>
            </w:r>
            <w:r w:rsidR="00FD58BF">
              <w:rPr>
                <w:noProof/>
                <w:webHidden/>
              </w:rPr>
            </w:r>
            <w:r w:rsidR="00FD58BF">
              <w:rPr>
                <w:noProof/>
                <w:webHidden/>
              </w:rPr>
              <w:fldChar w:fldCharType="separate"/>
            </w:r>
            <w:r w:rsidR="00FD58BF">
              <w:rPr>
                <w:noProof/>
                <w:webHidden/>
              </w:rPr>
              <w:t>70</w:t>
            </w:r>
            <w:r w:rsidR="00FD58BF">
              <w:rPr>
                <w:noProof/>
                <w:webHidden/>
              </w:rPr>
              <w:fldChar w:fldCharType="end"/>
            </w:r>
          </w:hyperlink>
        </w:p>
        <w:p w14:paraId="4BD55327" w14:textId="04B853A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282" w:history="1">
            <w:r w:rsidR="00FD58BF" w:rsidRPr="003004E5">
              <w:rPr>
                <w:rStyle w:val="Lienhypertexte"/>
                <w:noProof/>
              </w:rPr>
              <w:t>21.11 Maçonneries portantes en briques CCTB 01.11</w:t>
            </w:r>
            <w:r w:rsidR="00FD58BF">
              <w:rPr>
                <w:noProof/>
                <w:webHidden/>
              </w:rPr>
              <w:tab/>
            </w:r>
            <w:r w:rsidR="00FD58BF">
              <w:rPr>
                <w:noProof/>
                <w:webHidden/>
              </w:rPr>
              <w:fldChar w:fldCharType="begin"/>
            </w:r>
            <w:r w:rsidR="00FD58BF">
              <w:rPr>
                <w:noProof/>
                <w:webHidden/>
              </w:rPr>
              <w:instrText xml:space="preserve"> PAGEREF _Toc178837282 \h </w:instrText>
            </w:r>
            <w:r w:rsidR="00FD58BF">
              <w:rPr>
                <w:noProof/>
                <w:webHidden/>
              </w:rPr>
            </w:r>
            <w:r w:rsidR="00FD58BF">
              <w:rPr>
                <w:noProof/>
                <w:webHidden/>
              </w:rPr>
              <w:fldChar w:fldCharType="separate"/>
            </w:r>
            <w:r w:rsidR="00FD58BF">
              <w:rPr>
                <w:noProof/>
                <w:webHidden/>
              </w:rPr>
              <w:t>71</w:t>
            </w:r>
            <w:r w:rsidR="00FD58BF">
              <w:rPr>
                <w:noProof/>
                <w:webHidden/>
              </w:rPr>
              <w:fldChar w:fldCharType="end"/>
            </w:r>
          </w:hyperlink>
        </w:p>
        <w:p w14:paraId="51E3DD6D" w14:textId="64F6EFF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283" w:history="1">
            <w:r w:rsidR="00FD58BF" w:rsidRPr="003004E5">
              <w:rPr>
                <w:rStyle w:val="Lienhypertexte"/>
                <w:noProof/>
              </w:rPr>
              <w:t>21.11.1 Maçonneries portantes en briques de terre cuite CCTB 01.11</w:t>
            </w:r>
            <w:r w:rsidR="00FD58BF">
              <w:rPr>
                <w:noProof/>
                <w:webHidden/>
              </w:rPr>
              <w:tab/>
            </w:r>
            <w:r w:rsidR="00FD58BF">
              <w:rPr>
                <w:noProof/>
                <w:webHidden/>
              </w:rPr>
              <w:fldChar w:fldCharType="begin"/>
            </w:r>
            <w:r w:rsidR="00FD58BF">
              <w:rPr>
                <w:noProof/>
                <w:webHidden/>
              </w:rPr>
              <w:instrText xml:space="preserve"> PAGEREF _Toc178837283 \h </w:instrText>
            </w:r>
            <w:r w:rsidR="00FD58BF">
              <w:rPr>
                <w:noProof/>
                <w:webHidden/>
              </w:rPr>
            </w:r>
            <w:r w:rsidR="00FD58BF">
              <w:rPr>
                <w:noProof/>
                <w:webHidden/>
              </w:rPr>
              <w:fldChar w:fldCharType="separate"/>
            </w:r>
            <w:r w:rsidR="00FD58BF">
              <w:rPr>
                <w:noProof/>
                <w:webHidden/>
              </w:rPr>
              <w:t>71</w:t>
            </w:r>
            <w:r w:rsidR="00FD58BF">
              <w:rPr>
                <w:noProof/>
                <w:webHidden/>
              </w:rPr>
              <w:fldChar w:fldCharType="end"/>
            </w:r>
          </w:hyperlink>
        </w:p>
        <w:p w14:paraId="2DB28BC5" w14:textId="1579693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84" w:history="1">
            <w:r w:rsidR="00FD58BF" w:rsidRPr="003004E5">
              <w:rPr>
                <w:rStyle w:val="Lienhypertexte"/>
                <w:noProof/>
              </w:rPr>
              <w:t>21.11.1a Maçonneries portantes en briques de terre cuite à maçonner CCTB 01.12</w:t>
            </w:r>
            <w:r w:rsidR="00FD58BF">
              <w:rPr>
                <w:noProof/>
                <w:webHidden/>
              </w:rPr>
              <w:tab/>
            </w:r>
            <w:r w:rsidR="00FD58BF">
              <w:rPr>
                <w:noProof/>
                <w:webHidden/>
              </w:rPr>
              <w:fldChar w:fldCharType="begin"/>
            </w:r>
            <w:r w:rsidR="00FD58BF">
              <w:rPr>
                <w:noProof/>
                <w:webHidden/>
              </w:rPr>
              <w:instrText xml:space="preserve"> PAGEREF _Toc178837284 \h </w:instrText>
            </w:r>
            <w:r w:rsidR="00FD58BF">
              <w:rPr>
                <w:noProof/>
                <w:webHidden/>
              </w:rPr>
            </w:r>
            <w:r w:rsidR="00FD58BF">
              <w:rPr>
                <w:noProof/>
                <w:webHidden/>
              </w:rPr>
              <w:fldChar w:fldCharType="separate"/>
            </w:r>
            <w:r w:rsidR="00FD58BF">
              <w:rPr>
                <w:noProof/>
                <w:webHidden/>
              </w:rPr>
              <w:t>73</w:t>
            </w:r>
            <w:r w:rsidR="00FD58BF">
              <w:rPr>
                <w:noProof/>
                <w:webHidden/>
              </w:rPr>
              <w:fldChar w:fldCharType="end"/>
            </w:r>
          </w:hyperlink>
        </w:p>
        <w:p w14:paraId="35A8D0FF" w14:textId="2A5F9FC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85" w:history="1">
            <w:r w:rsidR="00FD58BF" w:rsidRPr="003004E5">
              <w:rPr>
                <w:rStyle w:val="Lienhypertexte"/>
                <w:noProof/>
              </w:rPr>
              <w:t>21.11.1b Maçonneries portantes en briques de terre cuite à coller CCTB 01.11</w:t>
            </w:r>
            <w:r w:rsidR="00FD58BF">
              <w:rPr>
                <w:noProof/>
                <w:webHidden/>
              </w:rPr>
              <w:tab/>
            </w:r>
            <w:r w:rsidR="00FD58BF">
              <w:rPr>
                <w:noProof/>
                <w:webHidden/>
              </w:rPr>
              <w:fldChar w:fldCharType="begin"/>
            </w:r>
            <w:r w:rsidR="00FD58BF">
              <w:rPr>
                <w:noProof/>
                <w:webHidden/>
              </w:rPr>
              <w:instrText xml:space="preserve"> PAGEREF _Toc178837285 \h </w:instrText>
            </w:r>
            <w:r w:rsidR="00FD58BF">
              <w:rPr>
                <w:noProof/>
                <w:webHidden/>
              </w:rPr>
            </w:r>
            <w:r w:rsidR="00FD58BF">
              <w:rPr>
                <w:noProof/>
                <w:webHidden/>
              </w:rPr>
              <w:fldChar w:fldCharType="separate"/>
            </w:r>
            <w:r w:rsidR="00FD58BF">
              <w:rPr>
                <w:noProof/>
                <w:webHidden/>
              </w:rPr>
              <w:t>76</w:t>
            </w:r>
            <w:r w:rsidR="00FD58BF">
              <w:rPr>
                <w:noProof/>
                <w:webHidden/>
              </w:rPr>
              <w:fldChar w:fldCharType="end"/>
            </w:r>
          </w:hyperlink>
        </w:p>
        <w:p w14:paraId="2866849B" w14:textId="45217BF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286" w:history="1">
            <w:r w:rsidR="00FD58BF" w:rsidRPr="003004E5">
              <w:rPr>
                <w:rStyle w:val="Lienhypertexte"/>
                <w:noProof/>
              </w:rPr>
              <w:t>21.11.2 Maçonneries portantes en briques de béton CCTB 01.11</w:t>
            </w:r>
            <w:r w:rsidR="00FD58BF">
              <w:rPr>
                <w:noProof/>
                <w:webHidden/>
              </w:rPr>
              <w:tab/>
            </w:r>
            <w:r w:rsidR="00FD58BF">
              <w:rPr>
                <w:noProof/>
                <w:webHidden/>
              </w:rPr>
              <w:fldChar w:fldCharType="begin"/>
            </w:r>
            <w:r w:rsidR="00FD58BF">
              <w:rPr>
                <w:noProof/>
                <w:webHidden/>
              </w:rPr>
              <w:instrText xml:space="preserve"> PAGEREF _Toc178837286 \h </w:instrText>
            </w:r>
            <w:r w:rsidR="00FD58BF">
              <w:rPr>
                <w:noProof/>
                <w:webHidden/>
              </w:rPr>
            </w:r>
            <w:r w:rsidR="00FD58BF">
              <w:rPr>
                <w:noProof/>
                <w:webHidden/>
              </w:rPr>
              <w:fldChar w:fldCharType="separate"/>
            </w:r>
            <w:r w:rsidR="00FD58BF">
              <w:rPr>
                <w:noProof/>
                <w:webHidden/>
              </w:rPr>
              <w:t>78</w:t>
            </w:r>
            <w:r w:rsidR="00FD58BF">
              <w:rPr>
                <w:noProof/>
                <w:webHidden/>
              </w:rPr>
              <w:fldChar w:fldCharType="end"/>
            </w:r>
          </w:hyperlink>
        </w:p>
        <w:p w14:paraId="7FF9EA19" w14:textId="10D8311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87" w:history="1">
            <w:r w:rsidR="00FD58BF" w:rsidRPr="003004E5">
              <w:rPr>
                <w:rStyle w:val="Lienhypertexte"/>
                <w:noProof/>
              </w:rPr>
              <w:t>21.11.2a Maçonneries portantes en briques de béton à maçonner CCTB 01.12</w:t>
            </w:r>
            <w:r w:rsidR="00FD58BF">
              <w:rPr>
                <w:noProof/>
                <w:webHidden/>
              </w:rPr>
              <w:tab/>
            </w:r>
            <w:r w:rsidR="00FD58BF">
              <w:rPr>
                <w:noProof/>
                <w:webHidden/>
              </w:rPr>
              <w:fldChar w:fldCharType="begin"/>
            </w:r>
            <w:r w:rsidR="00FD58BF">
              <w:rPr>
                <w:noProof/>
                <w:webHidden/>
              </w:rPr>
              <w:instrText xml:space="preserve"> PAGEREF _Toc178837287 \h </w:instrText>
            </w:r>
            <w:r w:rsidR="00FD58BF">
              <w:rPr>
                <w:noProof/>
                <w:webHidden/>
              </w:rPr>
            </w:r>
            <w:r w:rsidR="00FD58BF">
              <w:rPr>
                <w:noProof/>
                <w:webHidden/>
              </w:rPr>
              <w:fldChar w:fldCharType="separate"/>
            </w:r>
            <w:r w:rsidR="00FD58BF">
              <w:rPr>
                <w:noProof/>
                <w:webHidden/>
              </w:rPr>
              <w:t>79</w:t>
            </w:r>
            <w:r w:rsidR="00FD58BF">
              <w:rPr>
                <w:noProof/>
                <w:webHidden/>
              </w:rPr>
              <w:fldChar w:fldCharType="end"/>
            </w:r>
          </w:hyperlink>
        </w:p>
        <w:p w14:paraId="3196BF56" w14:textId="028DE3F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88" w:history="1">
            <w:r w:rsidR="00FD58BF" w:rsidRPr="003004E5">
              <w:rPr>
                <w:rStyle w:val="Lienhypertexte"/>
                <w:noProof/>
              </w:rPr>
              <w:t>21.11.2b Maçonneries portantes en briques de béton à coller CCTB 01.12</w:t>
            </w:r>
            <w:r w:rsidR="00FD58BF">
              <w:rPr>
                <w:noProof/>
                <w:webHidden/>
              </w:rPr>
              <w:tab/>
            </w:r>
            <w:r w:rsidR="00FD58BF">
              <w:rPr>
                <w:noProof/>
                <w:webHidden/>
              </w:rPr>
              <w:fldChar w:fldCharType="begin"/>
            </w:r>
            <w:r w:rsidR="00FD58BF">
              <w:rPr>
                <w:noProof/>
                <w:webHidden/>
              </w:rPr>
              <w:instrText xml:space="preserve"> PAGEREF _Toc178837288 \h </w:instrText>
            </w:r>
            <w:r w:rsidR="00FD58BF">
              <w:rPr>
                <w:noProof/>
                <w:webHidden/>
              </w:rPr>
            </w:r>
            <w:r w:rsidR="00FD58BF">
              <w:rPr>
                <w:noProof/>
                <w:webHidden/>
              </w:rPr>
              <w:fldChar w:fldCharType="separate"/>
            </w:r>
            <w:r w:rsidR="00FD58BF">
              <w:rPr>
                <w:noProof/>
                <w:webHidden/>
              </w:rPr>
              <w:t>82</w:t>
            </w:r>
            <w:r w:rsidR="00FD58BF">
              <w:rPr>
                <w:noProof/>
                <w:webHidden/>
              </w:rPr>
              <w:fldChar w:fldCharType="end"/>
            </w:r>
          </w:hyperlink>
        </w:p>
        <w:p w14:paraId="7F3722A0" w14:textId="4F54E7F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89" w:history="1">
            <w:r w:rsidR="00FD58BF" w:rsidRPr="003004E5">
              <w:rPr>
                <w:rStyle w:val="Lienhypertexte"/>
                <w:noProof/>
              </w:rPr>
              <w:t>21.11.2c Maçonneries portantes en briques de béton avec système de dosage pour liant hydraulique CCTB 01.12</w:t>
            </w:r>
            <w:r w:rsidR="00FD58BF">
              <w:rPr>
                <w:noProof/>
                <w:webHidden/>
              </w:rPr>
              <w:tab/>
            </w:r>
            <w:r w:rsidR="00FD58BF">
              <w:rPr>
                <w:noProof/>
                <w:webHidden/>
              </w:rPr>
              <w:fldChar w:fldCharType="begin"/>
            </w:r>
            <w:r w:rsidR="00FD58BF">
              <w:rPr>
                <w:noProof/>
                <w:webHidden/>
              </w:rPr>
              <w:instrText xml:space="preserve"> PAGEREF _Toc178837289 \h </w:instrText>
            </w:r>
            <w:r w:rsidR="00FD58BF">
              <w:rPr>
                <w:noProof/>
                <w:webHidden/>
              </w:rPr>
            </w:r>
            <w:r w:rsidR="00FD58BF">
              <w:rPr>
                <w:noProof/>
                <w:webHidden/>
              </w:rPr>
              <w:fldChar w:fldCharType="separate"/>
            </w:r>
            <w:r w:rsidR="00FD58BF">
              <w:rPr>
                <w:noProof/>
                <w:webHidden/>
              </w:rPr>
              <w:t>84</w:t>
            </w:r>
            <w:r w:rsidR="00FD58BF">
              <w:rPr>
                <w:noProof/>
                <w:webHidden/>
              </w:rPr>
              <w:fldChar w:fldCharType="end"/>
            </w:r>
          </w:hyperlink>
        </w:p>
        <w:p w14:paraId="013852E8" w14:textId="307BE96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290" w:history="1">
            <w:r w:rsidR="00FD58BF" w:rsidRPr="003004E5">
              <w:rPr>
                <w:rStyle w:val="Lienhypertexte"/>
                <w:noProof/>
              </w:rPr>
              <w:t>21.11.3 Maçonneries portantes en briques de silico-calcaire CCTB 01.11</w:t>
            </w:r>
            <w:r w:rsidR="00FD58BF">
              <w:rPr>
                <w:noProof/>
                <w:webHidden/>
              </w:rPr>
              <w:tab/>
            </w:r>
            <w:r w:rsidR="00FD58BF">
              <w:rPr>
                <w:noProof/>
                <w:webHidden/>
              </w:rPr>
              <w:fldChar w:fldCharType="begin"/>
            </w:r>
            <w:r w:rsidR="00FD58BF">
              <w:rPr>
                <w:noProof/>
                <w:webHidden/>
              </w:rPr>
              <w:instrText xml:space="preserve"> PAGEREF _Toc178837290 \h </w:instrText>
            </w:r>
            <w:r w:rsidR="00FD58BF">
              <w:rPr>
                <w:noProof/>
                <w:webHidden/>
              </w:rPr>
            </w:r>
            <w:r w:rsidR="00FD58BF">
              <w:rPr>
                <w:noProof/>
                <w:webHidden/>
              </w:rPr>
              <w:fldChar w:fldCharType="separate"/>
            </w:r>
            <w:r w:rsidR="00FD58BF">
              <w:rPr>
                <w:noProof/>
                <w:webHidden/>
              </w:rPr>
              <w:t>86</w:t>
            </w:r>
            <w:r w:rsidR="00FD58BF">
              <w:rPr>
                <w:noProof/>
                <w:webHidden/>
              </w:rPr>
              <w:fldChar w:fldCharType="end"/>
            </w:r>
          </w:hyperlink>
        </w:p>
        <w:p w14:paraId="68D14EA4" w14:textId="13D6CBA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91" w:history="1">
            <w:r w:rsidR="00FD58BF" w:rsidRPr="003004E5">
              <w:rPr>
                <w:rStyle w:val="Lienhypertexte"/>
                <w:noProof/>
              </w:rPr>
              <w:t>21.11.3a Maçonneries portantes en briques de silico-calcaire à maçonner CCTB 01.12</w:t>
            </w:r>
            <w:r w:rsidR="00FD58BF">
              <w:rPr>
                <w:noProof/>
                <w:webHidden/>
              </w:rPr>
              <w:tab/>
            </w:r>
            <w:r w:rsidR="00FD58BF">
              <w:rPr>
                <w:noProof/>
                <w:webHidden/>
              </w:rPr>
              <w:fldChar w:fldCharType="begin"/>
            </w:r>
            <w:r w:rsidR="00FD58BF">
              <w:rPr>
                <w:noProof/>
                <w:webHidden/>
              </w:rPr>
              <w:instrText xml:space="preserve"> PAGEREF _Toc178837291 \h </w:instrText>
            </w:r>
            <w:r w:rsidR="00FD58BF">
              <w:rPr>
                <w:noProof/>
                <w:webHidden/>
              </w:rPr>
            </w:r>
            <w:r w:rsidR="00FD58BF">
              <w:rPr>
                <w:noProof/>
                <w:webHidden/>
              </w:rPr>
              <w:fldChar w:fldCharType="separate"/>
            </w:r>
            <w:r w:rsidR="00FD58BF">
              <w:rPr>
                <w:noProof/>
                <w:webHidden/>
              </w:rPr>
              <w:t>87</w:t>
            </w:r>
            <w:r w:rsidR="00FD58BF">
              <w:rPr>
                <w:noProof/>
                <w:webHidden/>
              </w:rPr>
              <w:fldChar w:fldCharType="end"/>
            </w:r>
          </w:hyperlink>
        </w:p>
        <w:p w14:paraId="40C2EAE8" w14:textId="02BF1DC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92" w:history="1">
            <w:r w:rsidR="00FD58BF" w:rsidRPr="003004E5">
              <w:rPr>
                <w:rStyle w:val="Lienhypertexte"/>
                <w:noProof/>
              </w:rPr>
              <w:t>21.11.3b Maçonneries portantes en briques de silico-calcaire à coller CCTB 01.11</w:t>
            </w:r>
            <w:r w:rsidR="00FD58BF">
              <w:rPr>
                <w:noProof/>
                <w:webHidden/>
              </w:rPr>
              <w:tab/>
            </w:r>
            <w:r w:rsidR="00FD58BF">
              <w:rPr>
                <w:noProof/>
                <w:webHidden/>
              </w:rPr>
              <w:fldChar w:fldCharType="begin"/>
            </w:r>
            <w:r w:rsidR="00FD58BF">
              <w:rPr>
                <w:noProof/>
                <w:webHidden/>
              </w:rPr>
              <w:instrText xml:space="preserve"> PAGEREF _Toc178837292 \h </w:instrText>
            </w:r>
            <w:r w:rsidR="00FD58BF">
              <w:rPr>
                <w:noProof/>
                <w:webHidden/>
              </w:rPr>
            </w:r>
            <w:r w:rsidR="00FD58BF">
              <w:rPr>
                <w:noProof/>
                <w:webHidden/>
              </w:rPr>
              <w:fldChar w:fldCharType="separate"/>
            </w:r>
            <w:r w:rsidR="00FD58BF">
              <w:rPr>
                <w:noProof/>
                <w:webHidden/>
              </w:rPr>
              <w:t>89</w:t>
            </w:r>
            <w:r w:rsidR="00FD58BF">
              <w:rPr>
                <w:noProof/>
                <w:webHidden/>
              </w:rPr>
              <w:fldChar w:fldCharType="end"/>
            </w:r>
          </w:hyperlink>
        </w:p>
        <w:p w14:paraId="10BA98DB" w14:textId="03C7714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293" w:history="1">
            <w:r w:rsidR="00FD58BF" w:rsidRPr="003004E5">
              <w:rPr>
                <w:rStyle w:val="Lienhypertexte"/>
                <w:noProof/>
              </w:rPr>
              <w:t>21.11.4 Maçonneries portantes en briques de terre crue CCTB 01.11</w:t>
            </w:r>
            <w:r w:rsidR="00FD58BF">
              <w:rPr>
                <w:noProof/>
                <w:webHidden/>
              </w:rPr>
              <w:tab/>
            </w:r>
            <w:r w:rsidR="00FD58BF">
              <w:rPr>
                <w:noProof/>
                <w:webHidden/>
              </w:rPr>
              <w:fldChar w:fldCharType="begin"/>
            </w:r>
            <w:r w:rsidR="00FD58BF">
              <w:rPr>
                <w:noProof/>
                <w:webHidden/>
              </w:rPr>
              <w:instrText xml:space="preserve"> PAGEREF _Toc178837293 \h </w:instrText>
            </w:r>
            <w:r w:rsidR="00FD58BF">
              <w:rPr>
                <w:noProof/>
                <w:webHidden/>
              </w:rPr>
            </w:r>
            <w:r w:rsidR="00FD58BF">
              <w:rPr>
                <w:noProof/>
                <w:webHidden/>
              </w:rPr>
              <w:fldChar w:fldCharType="separate"/>
            </w:r>
            <w:r w:rsidR="00FD58BF">
              <w:rPr>
                <w:noProof/>
                <w:webHidden/>
              </w:rPr>
              <w:t>91</w:t>
            </w:r>
            <w:r w:rsidR="00FD58BF">
              <w:rPr>
                <w:noProof/>
                <w:webHidden/>
              </w:rPr>
              <w:fldChar w:fldCharType="end"/>
            </w:r>
          </w:hyperlink>
        </w:p>
        <w:p w14:paraId="6186C37A" w14:textId="6E177FD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94" w:history="1">
            <w:r w:rsidR="00FD58BF" w:rsidRPr="003004E5">
              <w:rPr>
                <w:rStyle w:val="Lienhypertexte"/>
                <w:noProof/>
              </w:rPr>
              <w:t>21.11.4a Maçonneries portantes en briques de terre crue stabilisée à maçonner CCTB 01.11</w:t>
            </w:r>
            <w:r w:rsidR="00FD58BF">
              <w:rPr>
                <w:noProof/>
                <w:webHidden/>
              </w:rPr>
              <w:tab/>
            </w:r>
            <w:r w:rsidR="00FD58BF">
              <w:rPr>
                <w:noProof/>
                <w:webHidden/>
              </w:rPr>
              <w:fldChar w:fldCharType="begin"/>
            </w:r>
            <w:r w:rsidR="00FD58BF">
              <w:rPr>
                <w:noProof/>
                <w:webHidden/>
              </w:rPr>
              <w:instrText xml:space="preserve"> PAGEREF _Toc178837294 \h </w:instrText>
            </w:r>
            <w:r w:rsidR="00FD58BF">
              <w:rPr>
                <w:noProof/>
                <w:webHidden/>
              </w:rPr>
            </w:r>
            <w:r w:rsidR="00FD58BF">
              <w:rPr>
                <w:noProof/>
                <w:webHidden/>
              </w:rPr>
              <w:fldChar w:fldCharType="separate"/>
            </w:r>
            <w:r w:rsidR="00FD58BF">
              <w:rPr>
                <w:noProof/>
                <w:webHidden/>
              </w:rPr>
              <w:t>92</w:t>
            </w:r>
            <w:r w:rsidR="00FD58BF">
              <w:rPr>
                <w:noProof/>
                <w:webHidden/>
              </w:rPr>
              <w:fldChar w:fldCharType="end"/>
            </w:r>
          </w:hyperlink>
        </w:p>
        <w:p w14:paraId="0A0608D3" w14:textId="3972835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295" w:history="1">
            <w:r w:rsidR="00FD58BF" w:rsidRPr="003004E5">
              <w:rPr>
                <w:rStyle w:val="Lienhypertexte"/>
                <w:noProof/>
              </w:rPr>
              <w:t>21.12 Maçonneries portantes en blocs CCTB 01.04</w:t>
            </w:r>
            <w:r w:rsidR="00FD58BF">
              <w:rPr>
                <w:noProof/>
                <w:webHidden/>
              </w:rPr>
              <w:tab/>
            </w:r>
            <w:r w:rsidR="00FD58BF">
              <w:rPr>
                <w:noProof/>
                <w:webHidden/>
              </w:rPr>
              <w:fldChar w:fldCharType="begin"/>
            </w:r>
            <w:r w:rsidR="00FD58BF">
              <w:rPr>
                <w:noProof/>
                <w:webHidden/>
              </w:rPr>
              <w:instrText xml:space="preserve"> PAGEREF _Toc178837295 \h </w:instrText>
            </w:r>
            <w:r w:rsidR="00FD58BF">
              <w:rPr>
                <w:noProof/>
                <w:webHidden/>
              </w:rPr>
            </w:r>
            <w:r w:rsidR="00FD58BF">
              <w:rPr>
                <w:noProof/>
                <w:webHidden/>
              </w:rPr>
              <w:fldChar w:fldCharType="separate"/>
            </w:r>
            <w:r w:rsidR="00FD58BF">
              <w:rPr>
                <w:noProof/>
                <w:webHidden/>
              </w:rPr>
              <w:t>97</w:t>
            </w:r>
            <w:r w:rsidR="00FD58BF">
              <w:rPr>
                <w:noProof/>
                <w:webHidden/>
              </w:rPr>
              <w:fldChar w:fldCharType="end"/>
            </w:r>
          </w:hyperlink>
        </w:p>
        <w:p w14:paraId="248D308A" w14:textId="57AC922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296" w:history="1">
            <w:r w:rsidR="00FD58BF" w:rsidRPr="003004E5">
              <w:rPr>
                <w:rStyle w:val="Lienhypertexte"/>
                <w:noProof/>
              </w:rPr>
              <w:t>21.12.1 Maçonneries portantes de fondation en blocs CCTB 01.11</w:t>
            </w:r>
            <w:r w:rsidR="00FD58BF">
              <w:rPr>
                <w:noProof/>
                <w:webHidden/>
              </w:rPr>
              <w:tab/>
            </w:r>
            <w:r w:rsidR="00FD58BF">
              <w:rPr>
                <w:noProof/>
                <w:webHidden/>
              </w:rPr>
              <w:fldChar w:fldCharType="begin"/>
            </w:r>
            <w:r w:rsidR="00FD58BF">
              <w:rPr>
                <w:noProof/>
                <w:webHidden/>
              </w:rPr>
              <w:instrText xml:space="preserve"> PAGEREF _Toc178837296 \h </w:instrText>
            </w:r>
            <w:r w:rsidR="00FD58BF">
              <w:rPr>
                <w:noProof/>
                <w:webHidden/>
              </w:rPr>
            </w:r>
            <w:r w:rsidR="00FD58BF">
              <w:rPr>
                <w:noProof/>
                <w:webHidden/>
              </w:rPr>
              <w:fldChar w:fldCharType="separate"/>
            </w:r>
            <w:r w:rsidR="00FD58BF">
              <w:rPr>
                <w:noProof/>
                <w:webHidden/>
              </w:rPr>
              <w:t>97</w:t>
            </w:r>
            <w:r w:rsidR="00FD58BF">
              <w:rPr>
                <w:noProof/>
                <w:webHidden/>
              </w:rPr>
              <w:fldChar w:fldCharType="end"/>
            </w:r>
          </w:hyperlink>
        </w:p>
        <w:p w14:paraId="578BE636" w14:textId="2D85766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97" w:history="1">
            <w:r w:rsidR="00FD58BF" w:rsidRPr="003004E5">
              <w:rPr>
                <w:rStyle w:val="Lienhypertexte"/>
                <w:noProof/>
              </w:rPr>
              <w:t>21.12.1a Maçonneries portantes de fondation en blocs de béton pleins à maçonner CCTB 01.12</w:t>
            </w:r>
            <w:r w:rsidR="00FD58BF">
              <w:rPr>
                <w:noProof/>
                <w:webHidden/>
              </w:rPr>
              <w:tab/>
            </w:r>
            <w:r w:rsidR="00FD58BF">
              <w:rPr>
                <w:noProof/>
                <w:webHidden/>
              </w:rPr>
              <w:fldChar w:fldCharType="begin"/>
            </w:r>
            <w:r w:rsidR="00FD58BF">
              <w:rPr>
                <w:noProof/>
                <w:webHidden/>
              </w:rPr>
              <w:instrText xml:space="preserve"> PAGEREF _Toc178837297 \h </w:instrText>
            </w:r>
            <w:r w:rsidR="00FD58BF">
              <w:rPr>
                <w:noProof/>
                <w:webHidden/>
              </w:rPr>
            </w:r>
            <w:r w:rsidR="00FD58BF">
              <w:rPr>
                <w:noProof/>
                <w:webHidden/>
              </w:rPr>
              <w:fldChar w:fldCharType="separate"/>
            </w:r>
            <w:r w:rsidR="00FD58BF">
              <w:rPr>
                <w:noProof/>
                <w:webHidden/>
              </w:rPr>
              <w:t>97</w:t>
            </w:r>
            <w:r w:rsidR="00FD58BF">
              <w:rPr>
                <w:noProof/>
                <w:webHidden/>
              </w:rPr>
              <w:fldChar w:fldCharType="end"/>
            </w:r>
          </w:hyperlink>
        </w:p>
        <w:p w14:paraId="2D0B9BC8" w14:textId="2CE7CA2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298" w:history="1">
            <w:r w:rsidR="00FD58BF" w:rsidRPr="003004E5">
              <w:rPr>
                <w:rStyle w:val="Lienhypertexte"/>
                <w:noProof/>
              </w:rPr>
              <w:t>21.12.1b Maçonneries portantes de fondation en blocs de coffrage en béton CCTB 01.11</w:t>
            </w:r>
            <w:r w:rsidR="00FD58BF">
              <w:rPr>
                <w:noProof/>
                <w:webHidden/>
              </w:rPr>
              <w:tab/>
            </w:r>
            <w:r w:rsidR="00FD58BF">
              <w:rPr>
                <w:noProof/>
                <w:webHidden/>
              </w:rPr>
              <w:fldChar w:fldCharType="begin"/>
            </w:r>
            <w:r w:rsidR="00FD58BF">
              <w:rPr>
                <w:noProof/>
                <w:webHidden/>
              </w:rPr>
              <w:instrText xml:space="preserve"> PAGEREF _Toc178837298 \h </w:instrText>
            </w:r>
            <w:r w:rsidR="00FD58BF">
              <w:rPr>
                <w:noProof/>
                <w:webHidden/>
              </w:rPr>
            </w:r>
            <w:r w:rsidR="00FD58BF">
              <w:rPr>
                <w:noProof/>
                <w:webHidden/>
              </w:rPr>
              <w:fldChar w:fldCharType="separate"/>
            </w:r>
            <w:r w:rsidR="00FD58BF">
              <w:rPr>
                <w:noProof/>
                <w:webHidden/>
              </w:rPr>
              <w:t>99</w:t>
            </w:r>
            <w:r w:rsidR="00FD58BF">
              <w:rPr>
                <w:noProof/>
                <w:webHidden/>
              </w:rPr>
              <w:fldChar w:fldCharType="end"/>
            </w:r>
          </w:hyperlink>
        </w:p>
        <w:p w14:paraId="31640C4B" w14:textId="424304D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299" w:history="1">
            <w:r w:rsidR="00FD58BF" w:rsidRPr="003004E5">
              <w:rPr>
                <w:rStyle w:val="Lienhypertexte"/>
                <w:noProof/>
              </w:rPr>
              <w:t>21.12.2 Maçonneries portantes en blocs pour murs en contact direct avec la terre CCTB 01.11</w:t>
            </w:r>
            <w:r w:rsidR="00FD58BF">
              <w:rPr>
                <w:noProof/>
                <w:webHidden/>
              </w:rPr>
              <w:tab/>
            </w:r>
            <w:r w:rsidR="00FD58BF">
              <w:rPr>
                <w:noProof/>
                <w:webHidden/>
              </w:rPr>
              <w:fldChar w:fldCharType="begin"/>
            </w:r>
            <w:r w:rsidR="00FD58BF">
              <w:rPr>
                <w:noProof/>
                <w:webHidden/>
              </w:rPr>
              <w:instrText xml:space="preserve"> PAGEREF _Toc178837299 \h </w:instrText>
            </w:r>
            <w:r w:rsidR="00FD58BF">
              <w:rPr>
                <w:noProof/>
                <w:webHidden/>
              </w:rPr>
            </w:r>
            <w:r w:rsidR="00FD58BF">
              <w:rPr>
                <w:noProof/>
                <w:webHidden/>
              </w:rPr>
              <w:fldChar w:fldCharType="separate"/>
            </w:r>
            <w:r w:rsidR="00FD58BF">
              <w:rPr>
                <w:noProof/>
                <w:webHidden/>
              </w:rPr>
              <w:t>100</w:t>
            </w:r>
            <w:r w:rsidR="00FD58BF">
              <w:rPr>
                <w:noProof/>
                <w:webHidden/>
              </w:rPr>
              <w:fldChar w:fldCharType="end"/>
            </w:r>
          </w:hyperlink>
        </w:p>
        <w:p w14:paraId="66385B68" w14:textId="31CF06B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0" w:history="1">
            <w:r w:rsidR="00FD58BF" w:rsidRPr="003004E5">
              <w:rPr>
                <w:rStyle w:val="Lienhypertexte"/>
                <w:noProof/>
              </w:rPr>
              <w:t>21.12.2a Maçonneries portantes en blocs de béton pleins à maçonner CCTB 01.12</w:t>
            </w:r>
            <w:r w:rsidR="00FD58BF">
              <w:rPr>
                <w:noProof/>
                <w:webHidden/>
              </w:rPr>
              <w:tab/>
            </w:r>
            <w:r w:rsidR="00FD58BF">
              <w:rPr>
                <w:noProof/>
                <w:webHidden/>
              </w:rPr>
              <w:fldChar w:fldCharType="begin"/>
            </w:r>
            <w:r w:rsidR="00FD58BF">
              <w:rPr>
                <w:noProof/>
                <w:webHidden/>
              </w:rPr>
              <w:instrText xml:space="preserve"> PAGEREF _Toc178837300 \h </w:instrText>
            </w:r>
            <w:r w:rsidR="00FD58BF">
              <w:rPr>
                <w:noProof/>
                <w:webHidden/>
              </w:rPr>
            </w:r>
            <w:r w:rsidR="00FD58BF">
              <w:rPr>
                <w:noProof/>
                <w:webHidden/>
              </w:rPr>
              <w:fldChar w:fldCharType="separate"/>
            </w:r>
            <w:r w:rsidR="00FD58BF">
              <w:rPr>
                <w:noProof/>
                <w:webHidden/>
              </w:rPr>
              <w:t>101</w:t>
            </w:r>
            <w:r w:rsidR="00FD58BF">
              <w:rPr>
                <w:noProof/>
                <w:webHidden/>
              </w:rPr>
              <w:fldChar w:fldCharType="end"/>
            </w:r>
          </w:hyperlink>
        </w:p>
        <w:p w14:paraId="1B178D89" w14:textId="39ADFF6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1" w:history="1">
            <w:r w:rsidR="00FD58BF" w:rsidRPr="003004E5">
              <w:rPr>
                <w:rStyle w:val="Lienhypertexte"/>
                <w:noProof/>
              </w:rPr>
              <w:t>21.12.2b Maçonneries portantes en blocs de béton pleins à coller CCTB 01.12</w:t>
            </w:r>
            <w:r w:rsidR="00FD58BF">
              <w:rPr>
                <w:noProof/>
                <w:webHidden/>
              </w:rPr>
              <w:tab/>
            </w:r>
            <w:r w:rsidR="00FD58BF">
              <w:rPr>
                <w:noProof/>
                <w:webHidden/>
              </w:rPr>
              <w:fldChar w:fldCharType="begin"/>
            </w:r>
            <w:r w:rsidR="00FD58BF">
              <w:rPr>
                <w:noProof/>
                <w:webHidden/>
              </w:rPr>
              <w:instrText xml:space="preserve"> PAGEREF _Toc178837301 \h </w:instrText>
            </w:r>
            <w:r w:rsidR="00FD58BF">
              <w:rPr>
                <w:noProof/>
                <w:webHidden/>
              </w:rPr>
            </w:r>
            <w:r w:rsidR="00FD58BF">
              <w:rPr>
                <w:noProof/>
                <w:webHidden/>
              </w:rPr>
              <w:fldChar w:fldCharType="separate"/>
            </w:r>
            <w:r w:rsidR="00FD58BF">
              <w:rPr>
                <w:noProof/>
                <w:webHidden/>
              </w:rPr>
              <w:t>104</w:t>
            </w:r>
            <w:r w:rsidR="00FD58BF">
              <w:rPr>
                <w:noProof/>
                <w:webHidden/>
              </w:rPr>
              <w:fldChar w:fldCharType="end"/>
            </w:r>
          </w:hyperlink>
        </w:p>
        <w:p w14:paraId="719D71B2" w14:textId="0ADE44C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2" w:history="1">
            <w:r w:rsidR="00FD58BF" w:rsidRPr="003004E5">
              <w:rPr>
                <w:rStyle w:val="Lienhypertexte"/>
                <w:noProof/>
              </w:rPr>
              <w:t>21.12.2c Maçonneries portantes en blocs de béton creux à maçonner CCTB 01.12</w:t>
            </w:r>
            <w:r w:rsidR="00FD58BF">
              <w:rPr>
                <w:noProof/>
                <w:webHidden/>
              </w:rPr>
              <w:tab/>
            </w:r>
            <w:r w:rsidR="00FD58BF">
              <w:rPr>
                <w:noProof/>
                <w:webHidden/>
              </w:rPr>
              <w:fldChar w:fldCharType="begin"/>
            </w:r>
            <w:r w:rsidR="00FD58BF">
              <w:rPr>
                <w:noProof/>
                <w:webHidden/>
              </w:rPr>
              <w:instrText xml:space="preserve"> PAGEREF _Toc178837302 \h </w:instrText>
            </w:r>
            <w:r w:rsidR="00FD58BF">
              <w:rPr>
                <w:noProof/>
                <w:webHidden/>
              </w:rPr>
            </w:r>
            <w:r w:rsidR="00FD58BF">
              <w:rPr>
                <w:noProof/>
                <w:webHidden/>
              </w:rPr>
              <w:fldChar w:fldCharType="separate"/>
            </w:r>
            <w:r w:rsidR="00FD58BF">
              <w:rPr>
                <w:noProof/>
                <w:webHidden/>
              </w:rPr>
              <w:t>106</w:t>
            </w:r>
            <w:r w:rsidR="00FD58BF">
              <w:rPr>
                <w:noProof/>
                <w:webHidden/>
              </w:rPr>
              <w:fldChar w:fldCharType="end"/>
            </w:r>
          </w:hyperlink>
        </w:p>
        <w:p w14:paraId="401FAAF5" w14:textId="6B5BF28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3" w:history="1">
            <w:r w:rsidR="00FD58BF" w:rsidRPr="003004E5">
              <w:rPr>
                <w:rStyle w:val="Lienhypertexte"/>
                <w:noProof/>
              </w:rPr>
              <w:t>21.12.2d Maçonneries portantes en blocs de béton creux à coller CCTB 01.12</w:t>
            </w:r>
            <w:r w:rsidR="00FD58BF">
              <w:rPr>
                <w:noProof/>
                <w:webHidden/>
              </w:rPr>
              <w:tab/>
            </w:r>
            <w:r w:rsidR="00FD58BF">
              <w:rPr>
                <w:noProof/>
                <w:webHidden/>
              </w:rPr>
              <w:fldChar w:fldCharType="begin"/>
            </w:r>
            <w:r w:rsidR="00FD58BF">
              <w:rPr>
                <w:noProof/>
                <w:webHidden/>
              </w:rPr>
              <w:instrText xml:space="preserve"> PAGEREF _Toc178837303 \h </w:instrText>
            </w:r>
            <w:r w:rsidR="00FD58BF">
              <w:rPr>
                <w:noProof/>
                <w:webHidden/>
              </w:rPr>
            </w:r>
            <w:r w:rsidR="00FD58BF">
              <w:rPr>
                <w:noProof/>
                <w:webHidden/>
              </w:rPr>
              <w:fldChar w:fldCharType="separate"/>
            </w:r>
            <w:r w:rsidR="00FD58BF">
              <w:rPr>
                <w:noProof/>
                <w:webHidden/>
              </w:rPr>
              <w:t>108</w:t>
            </w:r>
            <w:r w:rsidR="00FD58BF">
              <w:rPr>
                <w:noProof/>
                <w:webHidden/>
              </w:rPr>
              <w:fldChar w:fldCharType="end"/>
            </w:r>
          </w:hyperlink>
        </w:p>
        <w:p w14:paraId="19EE450F" w14:textId="653C159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4" w:history="1">
            <w:r w:rsidR="00FD58BF" w:rsidRPr="003004E5">
              <w:rPr>
                <w:rStyle w:val="Lienhypertexte"/>
                <w:noProof/>
              </w:rPr>
              <w:t>21.12.2e Maçonneries portantes en blocs de béton empilables CCTB 01.11</w:t>
            </w:r>
            <w:r w:rsidR="00FD58BF">
              <w:rPr>
                <w:noProof/>
                <w:webHidden/>
              </w:rPr>
              <w:tab/>
            </w:r>
            <w:r w:rsidR="00FD58BF">
              <w:rPr>
                <w:noProof/>
                <w:webHidden/>
              </w:rPr>
              <w:fldChar w:fldCharType="begin"/>
            </w:r>
            <w:r w:rsidR="00FD58BF">
              <w:rPr>
                <w:noProof/>
                <w:webHidden/>
              </w:rPr>
              <w:instrText xml:space="preserve"> PAGEREF _Toc178837304 \h </w:instrText>
            </w:r>
            <w:r w:rsidR="00FD58BF">
              <w:rPr>
                <w:noProof/>
                <w:webHidden/>
              </w:rPr>
            </w:r>
            <w:r w:rsidR="00FD58BF">
              <w:rPr>
                <w:noProof/>
                <w:webHidden/>
              </w:rPr>
              <w:fldChar w:fldCharType="separate"/>
            </w:r>
            <w:r w:rsidR="00FD58BF">
              <w:rPr>
                <w:noProof/>
                <w:webHidden/>
              </w:rPr>
              <w:t>111</w:t>
            </w:r>
            <w:r w:rsidR="00FD58BF">
              <w:rPr>
                <w:noProof/>
                <w:webHidden/>
              </w:rPr>
              <w:fldChar w:fldCharType="end"/>
            </w:r>
          </w:hyperlink>
        </w:p>
        <w:p w14:paraId="64DC11EF" w14:textId="521E1D6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5" w:history="1">
            <w:r w:rsidR="00FD58BF" w:rsidRPr="003004E5">
              <w:rPr>
                <w:rStyle w:val="Lienhypertexte"/>
                <w:noProof/>
              </w:rPr>
              <w:t>21.12.2f Maçonneries portantes en blocs de béton avec système de dosage pour liant hydraulique CCTB 01.12</w:t>
            </w:r>
            <w:r w:rsidR="00FD58BF">
              <w:rPr>
                <w:noProof/>
                <w:webHidden/>
              </w:rPr>
              <w:tab/>
            </w:r>
            <w:r w:rsidR="00FD58BF">
              <w:rPr>
                <w:noProof/>
                <w:webHidden/>
              </w:rPr>
              <w:fldChar w:fldCharType="begin"/>
            </w:r>
            <w:r w:rsidR="00FD58BF">
              <w:rPr>
                <w:noProof/>
                <w:webHidden/>
              </w:rPr>
              <w:instrText xml:space="preserve"> PAGEREF _Toc178837305 \h </w:instrText>
            </w:r>
            <w:r w:rsidR="00FD58BF">
              <w:rPr>
                <w:noProof/>
                <w:webHidden/>
              </w:rPr>
            </w:r>
            <w:r w:rsidR="00FD58BF">
              <w:rPr>
                <w:noProof/>
                <w:webHidden/>
              </w:rPr>
              <w:fldChar w:fldCharType="separate"/>
            </w:r>
            <w:r w:rsidR="00FD58BF">
              <w:rPr>
                <w:noProof/>
                <w:webHidden/>
              </w:rPr>
              <w:t>112</w:t>
            </w:r>
            <w:r w:rsidR="00FD58BF">
              <w:rPr>
                <w:noProof/>
                <w:webHidden/>
              </w:rPr>
              <w:fldChar w:fldCharType="end"/>
            </w:r>
          </w:hyperlink>
        </w:p>
        <w:p w14:paraId="69A8F495" w14:textId="29101D7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6" w:history="1">
            <w:r w:rsidR="00FD58BF" w:rsidRPr="003004E5">
              <w:rPr>
                <w:rStyle w:val="Lienhypertexte"/>
                <w:noProof/>
              </w:rPr>
              <w:t>21.12.2g Maçonneries portantes en blocs de coffrage en béton CCTB 01.12</w:t>
            </w:r>
            <w:r w:rsidR="00FD58BF">
              <w:rPr>
                <w:noProof/>
                <w:webHidden/>
              </w:rPr>
              <w:tab/>
            </w:r>
            <w:r w:rsidR="00FD58BF">
              <w:rPr>
                <w:noProof/>
                <w:webHidden/>
              </w:rPr>
              <w:fldChar w:fldCharType="begin"/>
            </w:r>
            <w:r w:rsidR="00FD58BF">
              <w:rPr>
                <w:noProof/>
                <w:webHidden/>
              </w:rPr>
              <w:instrText xml:space="preserve"> PAGEREF _Toc178837306 \h </w:instrText>
            </w:r>
            <w:r w:rsidR="00FD58BF">
              <w:rPr>
                <w:noProof/>
                <w:webHidden/>
              </w:rPr>
            </w:r>
            <w:r w:rsidR="00FD58BF">
              <w:rPr>
                <w:noProof/>
                <w:webHidden/>
              </w:rPr>
              <w:fldChar w:fldCharType="separate"/>
            </w:r>
            <w:r w:rsidR="00FD58BF">
              <w:rPr>
                <w:noProof/>
                <w:webHidden/>
              </w:rPr>
              <w:t>114</w:t>
            </w:r>
            <w:r w:rsidR="00FD58BF">
              <w:rPr>
                <w:noProof/>
                <w:webHidden/>
              </w:rPr>
              <w:fldChar w:fldCharType="end"/>
            </w:r>
          </w:hyperlink>
        </w:p>
        <w:p w14:paraId="11BBF483" w14:textId="1E76FCB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7" w:history="1">
            <w:r w:rsidR="00FD58BF" w:rsidRPr="003004E5">
              <w:rPr>
                <w:rStyle w:val="Lienhypertexte"/>
                <w:noProof/>
              </w:rPr>
              <w:t>21.12.2h Maçonneries portantes en blocs de coffrage en béton cellulaire CCTB 01.12</w:t>
            </w:r>
            <w:r w:rsidR="00FD58BF">
              <w:rPr>
                <w:noProof/>
                <w:webHidden/>
              </w:rPr>
              <w:tab/>
            </w:r>
            <w:r w:rsidR="00FD58BF">
              <w:rPr>
                <w:noProof/>
                <w:webHidden/>
              </w:rPr>
              <w:fldChar w:fldCharType="begin"/>
            </w:r>
            <w:r w:rsidR="00FD58BF">
              <w:rPr>
                <w:noProof/>
                <w:webHidden/>
              </w:rPr>
              <w:instrText xml:space="preserve"> PAGEREF _Toc178837307 \h </w:instrText>
            </w:r>
            <w:r w:rsidR="00FD58BF">
              <w:rPr>
                <w:noProof/>
                <w:webHidden/>
              </w:rPr>
            </w:r>
            <w:r w:rsidR="00FD58BF">
              <w:rPr>
                <w:noProof/>
                <w:webHidden/>
              </w:rPr>
              <w:fldChar w:fldCharType="separate"/>
            </w:r>
            <w:r w:rsidR="00FD58BF">
              <w:rPr>
                <w:noProof/>
                <w:webHidden/>
              </w:rPr>
              <w:t>117</w:t>
            </w:r>
            <w:r w:rsidR="00FD58BF">
              <w:rPr>
                <w:noProof/>
                <w:webHidden/>
              </w:rPr>
              <w:fldChar w:fldCharType="end"/>
            </w:r>
          </w:hyperlink>
        </w:p>
        <w:p w14:paraId="72A00D25" w14:textId="643C3BD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8" w:history="1">
            <w:r w:rsidR="00FD58BF" w:rsidRPr="003004E5">
              <w:rPr>
                <w:rStyle w:val="Lienhypertexte"/>
                <w:noProof/>
              </w:rPr>
              <w:t>21.12.2i Maçonneries portantes en blocs treillis de terre cuite à maçonner CCTB 01.11</w:t>
            </w:r>
            <w:r w:rsidR="00FD58BF">
              <w:rPr>
                <w:noProof/>
                <w:webHidden/>
              </w:rPr>
              <w:tab/>
            </w:r>
            <w:r w:rsidR="00FD58BF">
              <w:rPr>
                <w:noProof/>
                <w:webHidden/>
              </w:rPr>
              <w:fldChar w:fldCharType="begin"/>
            </w:r>
            <w:r w:rsidR="00FD58BF">
              <w:rPr>
                <w:noProof/>
                <w:webHidden/>
              </w:rPr>
              <w:instrText xml:space="preserve"> PAGEREF _Toc178837308 \h </w:instrText>
            </w:r>
            <w:r w:rsidR="00FD58BF">
              <w:rPr>
                <w:noProof/>
                <w:webHidden/>
              </w:rPr>
            </w:r>
            <w:r w:rsidR="00FD58BF">
              <w:rPr>
                <w:noProof/>
                <w:webHidden/>
              </w:rPr>
              <w:fldChar w:fldCharType="separate"/>
            </w:r>
            <w:r w:rsidR="00FD58BF">
              <w:rPr>
                <w:noProof/>
                <w:webHidden/>
              </w:rPr>
              <w:t>119</w:t>
            </w:r>
            <w:r w:rsidR="00FD58BF">
              <w:rPr>
                <w:noProof/>
                <w:webHidden/>
              </w:rPr>
              <w:fldChar w:fldCharType="end"/>
            </w:r>
          </w:hyperlink>
        </w:p>
        <w:p w14:paraId="01253031" w14:textId="46D13D5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09" w:history="1">
            <w:r w:rsidR="00FD58BF" w:rsidRPr="003004E5">
              <w:rPr>
                <w:rStyle w:val="Lienhypertexte"/>
                <w:noProof/>
              </w:rPr>
              <w:t>21.12.2j Maçonneries portantes en blocs treillis de terre cuite à coller CCTB 01.11</w:t>
            </w:r>
            <w:r w:rsidR="00FD58BF">
              <w:rPr>
                <w:noProof/>
                <w:webHidden/>
              </w:rPr>
              <w:tab/>
            </w:r>
            <w:r w:rsidR="00FD58BF">
              <w:rPr>
                <w:noProof/>
                <w:webHidden/>
              </w:rPr>
              <w:fldChar w:fldCharType="begin"/>
            </w:r>
            <w:r w:rsidR="00FD58BF">
              <w:rPr>
                <w:noProof/>
                <w:webHidden/>
              </w:rPr>
              <w:instrText xml:space="preserve"> PAGEREF _Toc178837309 \h </w:instrText>
            </w:r>
            <w:r w:rsidR="00FD58BF">
              <w:rPr>
                <w:noProof/>
                <w:webHidden/>
              </w:rPr>
            </w:r>
            <w:r w:rsidR="00FD58BF">
              <w:rPr>
                <w:noProof/>
                <w:webHidden/>
              </w:rPr>
              <w:fldChar w:fldCharType="separate"/>
            </w:r>
            <w:r w:rsidR="00FD58BF">
              <w:rPr>
                <w:noProof/>
                <w:webHidden/>
              </w:rPr>
              <w:t>120</w:t>
            </w:r>
            <w:r w:rsidR="00FD58BF">
              <w:rPr>
                <w:noProof/>
                <w:webHidden/>
              </w:rPr>
              <w:fldChar w:fldCharType="end"/>
            </w:r>
          </w:hyperlink>
        </w:p>
        <w:p w14:paraId="0AB68313" w14:textId="0704105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10" w:history="1">
            <w:r w:rsidR="00FD58BF" w:rsidRPr="003004E5">
              <w:rPr>
                <w:rStyle w:val="Lienhypertexte"/>
                <w:noProof/>
              </w:rPr>
              <w:t>21.12.3 Maçonneries portantes en blocs treillis de terre cuite CCTB 01.11</w:t>
            </w:r>
            <w:r w:rsidR="00FD58BF">
              <w:rPr>
                <w:noProof/>
                <w:webHidden/>
              </w:rPr>
              <w:tab/>
            </w:r>
            <w:r w:rsidR="00FD58BF">
              <w:rPr>
                <w:noProof/>
                <w:webHidden/>
              </w:rPr>
              <w:fldChar w:fldCharType="begin"/>
            </w:r>
            <w:r w:rsidR="00FD58BF">
              <w:rPr>
                <w:noProof/>
                <w:webHidden/>
              </w:rPr>
              <w:instrText xml:space="preserve"> PAGEREF _Toc178837310 \h </w:instrText>
            </w:r>
            <w:r w:rsidR="00FD58BF">
              <w:rPr>
                <w:noProof/>
                <w:webHidden/>
              </w:rPr>
            </w:r>
            <w:r w:rsidR="00FD58BF">
              <w:rPr>
                <w:noProof/>
                <w:webHidden/>
              </w:rPr>
              <w:fldChar w:fldCharType="separate"/>
            </w:r>
            <w:r w:rsidR="00FD58BF">
              <w:rPr>
                <w:noProof/>
                <w:webHidden/>
              </w:rPr>
              <w:t>121</w:t>
            </w:r>
            <w:r w:rsidR="00FD58BF">
              <w:rPr>
                <w:noProof/>
                <w:webHidden/>
              </w:rPr>
              <w:fldChar w:fldCharType="end"/>
            </w:r>
          </w:hyperlink>
        </w:p>
        <w:p w14:paraId="16CF1705" w14:textId="14F699F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11" w:history="1">
            <w:r w:rsidR="00FD58BF" w:rsidRPr="003004E5">
              <w:rPr>
                <w:rStyle w:val="Lienhypertexte"/>
                <w:noProof/>
              </w:rPr>
              <w:t>21.12.3a Maçonneries portantes en blocs treillis de terre cuite à maçonner CCTB 01.12</w:t>
            </w:r>
            <w:r w:rsidR="00FD58BF">
              <w:rPr>
                <w:noProof/>
                <w:webHidden/>
              </w:rPr>
              <w:tab/>
            </w:r>
            <w:r w:rsidR="00FD58BF">
              <w:rPr>
                <w:noProof/>
                <w:webHidden/>
              </w:rPr>
              <w:fldChar w:fldCharType="begin"/>
            </w:r>
            <w:r w:rsidR="00FD58BF">
              <w:rPr>
                <w:noProof/>
                <w:webHidden/>
              </w:rPr>
              <w:instrText xml:space="preserve"> PAGEREF _Toc178837311 \h </w:instrText>
            </w:r>
            <w:r w:rsidR="00FD58BF">
              <w:rPr>
                <w:noProof/>
                <w:webHidden/>
              </w:rPr>
            </w:r>
            <w:r w:rsidR="00FD58BF">
              <w:rPr>
                <w:noProof/>
                <w:webHidden/>
              </w:rPr>
              <w:fldChar w:fldCharType="separate"/>
            </w:r>
            <w:r w:rsidR="00FD58BF">
              <w:rPr>
                <w:noProof/>
                <w:webHidden/>
              </w:rPr>
              <w:t>122</w:t>
            </w:r>
            <w:r w:rsidR="00FD58BF">
              <w:rPr>
                <w:noProof/>
                <w:webHidden/>
              </w:rPr>
              <w:fldChar w:fldCharType="end"/>
            </w:r>
          </w:hyperlink>
        </w:p>
        <w:p w14:paraId="21B2D2C1" w14:textId="7E6E800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12" w:history="1">
            <w:r w:rsidR="00FD58BF" w:rsidRPr="003004E5">
              <w:rPr>
                <w:rStyle w:val="Lienhypertexte"/>
                <w:noProof/>
              </w:rPr>
              <w:t>21.12.3b Maçonneries portantes en blocs treillis de terre cuite à coller avec mortier-colle CCTB 01.11</w:t>
            </w:r>
            <w:r w:rsidR="00FD58BF">
              <w:rPr>
                <w:noProof/>
                <w:webHidden/>
              </w:rPr>
              <w:tab/>
            </w:r>
            <w:r w:rsidR="00FD58BF">
              <w:rPr>
                <w:noProof/>
                <w:webHidden/>
              </w:rPr>
              <w:fldChar w:fldCharType="begin"/>
            </w:r>
            <w:r w:rsidR="00FD58BF">
              <w:rPr>
                <w:noProof/>
                <w:webHidden/>
              </w:rPr>
              <w:instrText xml:space="preserve"> PAGEREF _Toc178837312 \h </w:instrText>
            </w:r>
            <w:r w:rsidR="00FD58BF">
              <w:rPr>
                <w:noProof/>
                <w:webHidden/>
              </w:rPr>
            </w:r>
            <w:r w:rsidR="00FD58BF">
              <w:rPr>
                <w:noProof/>
                <w:webHidden/>
              </w:rPr>
              <w:fldChar w:fldCharType="separate"/>
            </w:r>
            <w:r w:rsidR="00FD58BF">
              <w:rPr>
                <w:noProof/>
                <w:webHidden/>
              </w:rPr>
              <w:t>124</w:t>
            </w:r>
            <w:r w:rsidR="00FD58BF">
              <w:rPr>
                <w:noProof/>
                <w:webHidden/>
              </w:rPr>
              <w:fldChar w:fldCharType="end"/>
            </w:r>
          </w:hyperlink>
        </w:p>
        <w:p w14:paraId="644BED39" w14:textId="503A8B7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13" w:history="1">
            <w:r w:rsidR="00FD58BF" w:rsidRPr="003004E5">
              <w:rPr>
                <w:rStyle w:val="Lienhypertexte"/>
                <w:noProof/>
              </w:rPr>
              <w:t>21.12.3c Maçonneries portantes en blocs treillis de terre cuite avec colle PU uni-composante CCTB 01.12</w:t>
            </w:r>
            <w:r w:rsidR="00FD58BF">
              <w:rPr>
                <w:noProof/>
                <w:webHidden/>
              </w:rPr>
              <w:tab/>
            </w:r>
            <w:r w:rsidR="00FD58BF">
              <w:rPr>
                <w:noProof/>
                <w:webHidden/>
              </w:rPr>
              <w:fldChar w:fldCharType="begin"/>
            </w:r>
            <w:r w:rsidR="00FD58BF">
              <w:rPr>
                <w:noProof/>
                <w:webHidden/>
              </w:rPr>
              <w:instrText xml:space="preserve"> PAGEREF _Toc178837313 \h </w:instrText>
            </w:r>
            <w:r w:rsidR="00FD58BF">
              <w:rPr>
                <w:noProof/>
                <w:webHidden/>
              </w:rPr>
            </w:r>
            <w:r w:rsidR="00FD58BF">
              <w:rPr>
                <w:noProof/>
                <w:webHidden/>
              </w:rPr>
              <w:fldChar w:fldCharType="separate"/>
            </w:r>
            <w:r w:rsidR="00FD58BF">
              <w:rPr>
                <w:noProof/>
                <w:webHidden/>
              </w:rPr>
              <w:t>126</w:t>
            </w:r>
            <w:r w:rsidR="00FD58BF">
              <w:rPr>
                <w:noProof/>
                <w:webHidden/>
              </w:rPr>
              <w:fldChar w:fldCharType="end"/>
            </w:r>
          </w:hyperlink>
        </w:p>
        <w:p w14:paraId="4FD88141" w14:textId="733B2E4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14" w:history="1">
            <w:r w:rsidR="00FD58BF" w:rsidRPr="003004E5">
              <w:rPr>
                <w:rStyle w:val="Lienhypertexte"/>
                <w:noProof/>
              </w:rPr>
              <w:t>21.12.4 Maçonneries portantes en blocs de béton CCTB 01.11</w:t>
            </w:r>
            <w:r w:rsidR="00FD58BF">
              <w:rPr>
                <w:noProof/>
                <w:webHidden/>
              </w:rPr>
              <w:tab/>
            </w:r>
            <w:r w:rsidR="00FD58BF">
              <w:rPr>
                <w:noProof/>
                <w:webHidden/>
              </w:rPr>
              <w:fldChar w:fldCharType="begin"/>
            </w:r>
            <w:r w:rsidR="00FD58BF">
              <w:rPr>
                <w:noProof/>
                <w:webHidden/>
              </w:rPr>
              <w:instrText xml:space="preserve"> PAGEREF _Toc178837314 \h </w:instrText>
            </w:r>
            <w:r w:rsidR="00FD58BF">
              <w:rPr>
                <w:noProof/>
                <w:webHidden/>
              </w:rPr>
            </w:r>
            <w:r w:rsidR="00FD58BF">
              <w:rPr>
                <w:noProof/>
                <w:webHidden/>
              </w:rPr>
              <w:fldChar w:fldCharType="separate"/>
            </w:r>
            <w:r w:rsidR="00FD58BF">
              <w:rPr>
                <w:noProof/>
                <w:webHidden/>
              </w:rPr>
              <w:t>128</w:t>
            </w:r>
            <w:r w:rsidR="00FD58BF">
              <w:rPr>
                <w:noProof/>
                <w:webHidden/>
              </w:rPr>
              <w:fldChar w:fldCharType="end"/>
            </w:r>
          </w:hyperlink>
        </w:p>
        <w:p w14:paraId="3FE37F2B" w14:textId="2DA9B41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15" w:history="1">
            <w:r w:rsidR="00FD58BF" w:rsidRPr="003004E5">
              <w:rPr>
                <w:rStyle w:val="Lienhypertexte"/>
                <w:noProof/>
              </w:rPr>
              <w:t>21.12.4a Maçonneries portantes en blocs de béton pleins à maçonner CCTB 01.12</w:t>
            </w:r>
            <w:r w:rsidR="00FD58BF">
              <w:rPr>
                <w:noProof/>
                <w:webHidden/>
              </w:rPr>
              <w:tab/>
            </w:r>
            <w:r w:rsidR="00FD58BF">
              <w:rPr>
                <w:noProof/>
                <w:webHidden/>
              </w:rPr>
              <w:fldChar w:fldCharType="begin"/>
            </w:r>
            <w:r w:rsidR="00FD58BF">
              <w:rPr>
                <w:noProof/>
                <w:webHidden/>
              </w:rPr>
              <w:instrText xml:space="preserve"> PAGEREF _Toc178837315 \h </w:instrText>
            </w:r>
            <w:r w:rsidR="00FD58BF">
              <w:rPr>
                <w:noProof/>
                <w:webHidden/>
              </w:rPr>
            </w:r>
            <w:r w:rsidR="00FD58BF">
              <w:rPr>
                <w:noProof/>
                <w:webHidden/>
              </w:rPr>
              <w:fldChar w:fldCharType="separate"/>
            </w:r>
            <w:r w:rsidR="00FD58BF">
              <w:rPr>
                <w:noProof/>
                <w:webHidden/>
              </w:rPr>
              <w:t>129</w:t>
            </w:r>
            <w:r w:rsidR="00FD58BF">
              <w:rPr>
                <w:noProof/>
                <w:webHidden/>
              </w:rPr>
              <w:fldChar w:fldCharType="end"/>
            </w:r>
          </w:hyperlink>
        </w:p>
        <w:p w14:paraId="15926552" w14:textId="5287B3F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16" w:history="1">
            <w:r w:rsidR="00FD58BF" w:rsidRPr="003004E5">
              <w:rPr>
                <w:rStyle w:val="Lienhypertexte"/>
                <w:noProof/>
              </w:rPr>
              <w:t>21.12.4b Maçonneries portantes en blocs de béton pleins à coller CCTB 01.12</w:t>
            </w:r>
            <w:r w:rsidR="00FD58BF">
              <w:rPr>
                <w:noProof/>
                <w:webHidden/>
              </w:rPr>
              <w:tab/>
            </w:r>
            <w:r w:rsidR="00FD58BF">
              <w:rPr>
                <w:noProof/>
                <w:webHidden/>
              </w:rPr>
              <w:fldChar w:fldCharType="begin"/>
            </w:r>
            <w:r w:rsidR="00FD58BF">
              <w:rPr>
                <w:noProof/>
                <w:webHidden/>
              </w:rPr>
              <w:instrText xml:space="preserve"> PAGEREF _Toc178837316 \h </w:instrText>
            </w:r>
            <w:r w:rsidR="00FD58BF">
              <w:rPr>
                <w:noProof/>
                <w:webHidden/>
              </w:rPr>
            </w:r>
            <w:r w:rsidR="00FD58BF">
              <w:rPr>
                <w:noProof/>
                <w:webHidden/>
              </w:rPr>
              <w:fldChar w:fldCharType="separate"/>
            </w:r>
            <w:r w:rsidR="00FD58BF">
              <w:rPr>
                <w:noProof/>
                <w:webHidden/>
              </w:rPr>
              <w:t>131</w:t>
            </w:r>
            <w:r w:rsidR="00FD58BF">
              <w:rPr>
                <w:noProof/>
                <w:webHidden/>
              </w:rPr>
              <w:fldChar w:fldCharType="end"/>
            </w:r>
          </w:hyperlink>
        </w:p>
        <w:p w14:paraId="2C45C651" w14:textId="551327A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17" w:history="1">
            <w:r w:rsidR="00FD58BF" w:rsidRPr="003004E5">
              <w:rPr>
                <w:rStyle w:val="Lienhypertexte"/>
                <w:noProof/>
              </w:rPr>
              <w:t>21.12.4c Maçonneries portantes en blocs de béton creux à maçonner CCTB 01.12</w:t>
            </w:r>
            <w:r w:rsidR="00FD58BF">
              <w:rPr>
                <w:noProof/>
                <w:webHidden/>
              </w:rPr>
              <w:tab/>
            </w:r>
            <w:r w:rsidR="00FD58BF">
              <w:rPr>
                <w:noProof/>
                <w:webHidden/>
              </w:rPr>
              <w:fldChar w:fldCharType="begin"/>
            </w:r>
            <w:r w:rsidR="00FD58BF">
              <w:rPr>
                <w:noProof/>
                <w:webHidden/>
              </w:rPr>
              <w:instrText xml:space="preserve"> PAGEREF _Toc178837317 \h </w:instrText>
            </w:r>
            <w:r w:rsidR="00FD58BF">
              <w:rPr>
                <w:noProof/>
                <w:webHidden/>
              </w:rPr>
            </w:r>
            <w:r w:rsidR="00FD58BF">
              <w:rPr>
                <w:noProof/>
                <w:webHidden/>
              </w:rPr>
              <w:fldChar w:fldCharType="separate"/>
            </w:r>
            <w:r w:rsidR="00FD58BF">
              <w:rPr>
                <w:noProof/>
                <w:webHidden/>
              </w:rPr>
              <w:t>134</w:t>
            </w:r>
            <w:r w:rsidR="00FD58BF">
              <w:rPr>
                <w:noProof/>
                <w:webHidden/>
              </w:rPr>
              <w:fldChar w:fldCharType="end"/>
            </w:r>
          </w:hyperlink>
        </w:p>
        <w:p w14:paraId="0BD5EEDD" w14:textId="39F78CF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18" w:history="1">
            <w:r w:rsidR="00FD58BF" w:rsidRPr="003004E5">
              <w:rPr>
                <w:rStyle w:val="Lienhypertexte"/>
                <w:noProof/>
              </w:rPr>
              <w:t>21.12.4d Maçonneries portantes en blocs de béton creux à coller CCTB 01.12</w:t>
            </w:r>
            <w:r w:rsidR="00FD58BF">
              <w:rPr>
                <w:noProof/>
                <w:webHidden/>
              </w:rPr>
              <w:tab/>
            </w:r>
            <w:r w:rsidR="00FD58BF">
              <w:rPr>
                <w:noProof/>
                <w:webHidden/>
              </w:rPr>
              <w:fldChar w:fldCharType="begin"/>
            </w:r>
            <w:r w:rsidR="00FD58BF">
              <w:rPr>
                <w:noProof/>
                <w:webHidden/>
              </w:rPr>
              <w:instrText xml:space="preserve"> PAGEREF _Toc178837318 \h </w:instrText>
            </w:r>
            <w:r w:rsidR="00FD58BF">
              <w:rPr>
                <w:noProof/>
                <w:webHidden/>
              </w:rPr>
            </w:r>
            <w:r w:rsidR="00FD58BF">
              <w:rPr>
                <w:noProof/>
                <w:webHidden/>
              </w:rPr>
              <w:fldChar w:fldCharType="separate"/>
            </w:r>
            <w:r w:rsidR="00FD58BF">
              <w:rPr>
                <w:noProof/>
                <w:webHidden/>
              </w:rPr>
              <w:t>136</w:t>
            </w:r>
            <w:r w:rsidR="00FD58BF">
              <w:rPr>
                <w:noProof/>
                <w:webHidden/>
              </w:rPr>
              <w:fldChar w:fldCharType="end"/>
            </w:r>
          </w:hyperlink>
        </w:p>
        <w:p w14:paraId="29395B2B" w14:textId="7828D70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19" w:history="1">
            <w:r w:rsidR="00FD58BF" w:rsidRPr="003004E5">
              <w:rPr>
                <w:rStyle w:val="Lienhypertexte"/>
                <w:noProof/>
              </w:rPr>
              <w:t>21.12.4e Maçonneries portantes en blocs de béton avec système de dosage pour liant hydraulique CCTB 01.12</w:t>
            </w:r>
            <w:r w:rsidR="00FD58BF">
              <w:rPr>
                <w:noProof/>
                <w:webHidden/>
              </w:rPr>
              <w:tab/>
            </w:r>
            <w:r w:rsidR="00FD58BF">
              <w:rPr>
                <w:noProof/>
                <w:webHidden/>
              </w:rPr>
              <w:fldChar w:fldCharType="begin"/>
            </w:r>
            <w:r w:rsidR="00FD58BF">
              <w:rPr>
                <w:noProof/>
                <w:webHidden/>
              </w:rPr>
              <w:instrText xml:space="preserve"> PAGEREF _Toc178837319 \h </w:instrText>
            </w:r>
            <w:r w:rsidR="00FD58BF">
              <w:rPr>
                <w:noProof/>
                <w:webHidden/>
              </w:rPr>
            </w:r>
            <w:r w:rsidR="00FD58BF">
              <w:rPr>
                <w:noProof/>
                <w:webHidden/>
              </w:rPr>
              <w:fldChar w:fldCharType="separate"/>
            </w:r>
            <w:r w:rsidR="00FD58BF">
              <w:rPr>
                <w:noProof/>
                <w:webHidden/>
              </w:rPr>
              <w:t>138</w:t>
            </w:r>
            <w:r w:rsidR="00FD58BF">
              <w:rPr>
                <w:noProof/>
                <w:webHidden/>
              </w:rPr>
              <w:fldChar w:fldCharType="end"/>
            </w:r>
          </w:hyperlink>
        </w:p>
        <w:p w14:paraId="186B5405" w14:textId="0139F66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20" w:history="1">
            <w:r w:rsidR="00FD58BF" w:rsidRPr="003004E5">
              <w:rPr>
                <w:rStyle w:val="Lienhypertexte"/>
                <w:noProof/>
              </w:rPr>
              <w:t>21.12.4f Maçonneries portantes en blocs de béton acoustiques CCTB 01.12</w:t>
            </w:r>
            <w:r w:rsidR="00FD58BF">
              <w:rPr>
                <w:noProof/>
                <w:webHidden/>
              </w:rPr>
              <w:tab/>
            </w:r>
            <w:r w:rsidR="00FD58BF">
              <w:rPr>
                <w:noProof/>
                <w:webHidden/>
              </w:rPr>
              <w:fldChar w:fldCharType="begin"/>
            </w:r>
            <w:r w:rsidR="00FD58BF">
              <w:rPr>
                <w:noProof/>
                <w:webHidden/>
              </w:rPr>
              <w:instrText xml:space="preserve"> PAGEREF _Toc178837320 \h </w:instrText>
            </w:r>
            <w:r w:rsidR="00FD58BF">
              <w:rPr>
                <w:noProof/>
                <w:webHidden/>
              </w:rPr>
            </w:r>
            <w:r w:rsidR="00FD58BF">
              <w:rPr>
                <w:noProof/>
                <w:webHidden/>
              </w:rPr>
              <w:fldChar w:fldCharType="separate"/>
            </w:r>
            <w:r w:rsidR="00FD58BF">
              <w:rPr>
                <w:noProof/>
                <w:webHidden/>
              </w:rPr>
              <w:t>141</w:t>
            </w:r>
            <w:r w:rsidR="00FD58BF">
              <w:rPr>
                <w:noProof/>
                <w:webHidden/>
              </w:rPr>
              <w:fldChar w:fldCharType="end"/>
            </w:r>
          </w:hyperlink>
        </w:p>
        <w:p w14:paraId="6882FDA9" w14:textId="1D4F9F4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21" w:history="1">
            <w:r w:rsidR="00FD58BF" w:rsidRPr="003004E5">
              <w:rPr>
                <w:rStyle w:val="Lienhypertexte"/>
                <w:noProof/>
              </w:rPr>
              <w:t>21.12.4g Maçonneries portantes en blocs de coffrage en béton CCTB 01.11</w:t>
            </w:r>
            <w:r w:rsidR="00FD58BF">
              <w:rPr>
                <w:noProof/>
                <w:webHidden/>
              </w:rPr>
              <w:tab/>
            </w:r>
            <w:r w:rsidR="00FD58BF">
              <w:rPr>
                <w:noProof/>
                <w:webHidden/>
              </w:rPr>
              <w:fldChar w:fldCharType="begin"/>
            </w:r>
            <w:r w:rsidR="00FD58BF">
              <w:rPr>
                <w:noProof/>
                <w:webHidden/>
              </w:rPr>
              <w:instrText xml:space="preserve"> PAGEREF _Toc178837321 \h </w:instrText>
            </w:r>
            <w:r w:rsidR="00FD58BF">
              <w:rPr>
                <w:noProof/>
                <w:webHidden/>
              </w:rPr>
            </w:r>
            <w:r w:rsidR="00FD58BF">
              <w:rPr>
                <w:noProof/>
                <w:webHidden/>
              </w:rPr>
              <w:fldChar w:fldCharType="separate"/>
            </w:r>
            <w:r w:rsidR="00FD58BF">
              <w:rPr>
                <w:noProof/>
                <w:webHidden/>
              </w:rPr>
              <w:t>143</w:t>
            </w:r>
            <w:r w:rsidR="00FD58BF">
              <w:rPr>
                <w:noProof/>
                <w:webHidden/>
              </w:rPr>
              <w:fldChar w:fldCharType="end"/>
            </w:r>
          </w:hyperlink>
        </w:p>
        <w:p w14:paraId="044A1EEE" w14:textId="1706168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22" w:history="1">
            <w:r w:rsidR="00FD58BF" w:rsidRPr="003004E5">
              <w:rPr>
                <w:rStyle w:val="Lienhypertexte"/>
                <w:noProof/>
              </w:rPr>
              <w:t>21.12.5 Maçonneries portantes en blocs de silico-calcaire CCTB 01.11</w:t>
            </w:r>
            <w:r w:rsidR="00FD58BF">
              <w:rPr>
                <w:noProof/>
                <w:webHidden/>
              </w:rPr>
              <w:tab/>
            </w:r>
            <w:r w:rsidR="00FD58BF">
              <w:rPr>
                <w:noProof/>
                <w:webHidden/>
              </w:rPr>
              <w:fldChar w:fldCharType="begin"/>
            </w:r>
            <w:r w:rsidR="00FD58BF">
              <w:rPr>
                <w:noProof/>
                <w:webHidden/>
              </w:rPr>
              <w:instrText xml:space="preserve"> PAGEREF _Toc178837322 \h </w:instrText>
            </w:r>
            <w:r w:rsidR="00FD58BF">
              <w:rPr>
                <w:noProof/>
                <w:webHidden/>
              </w:rPr>
            </w:r>
            <w:r w:rsidR="00FD58BF">
              <w:rPr>
                <w:noProof/>
                <w:webHidden/>
              </w:rPr>
              <w:fldChar w:fldCharType="separate"/>
            </w:r>
            <w:r w:rsidR="00FD58BF">
              <w:rPr>
                <w:noProof/>
                <w:webHidden/>
              </w:rPr>
              <w:t>144</w:t>
            </w:r>
            <w:r w:rsidR="00FD58BF">
              <w:rPr>
                <w:noProof/>
                <w:webHidden/>
              </w:rPr>
              <w:fldChar w:fldCharType="end"/>
            </w:r>
          </w:hyperlink>
        </w:p>
        <w:p w14:paraId="2A913E78" w14:textId="278E887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23" w:history="1">
            <w:r w:rsidR="00FD58BF" w:rsidRPr="003004E5">
              <w:rPr>
                <w:rStyle w:val="Lienhypertexte"/>
                <w:noProof/>
              </w:rPr>
              <w:t>21.12.5a Maçonneries portantes en blocs de silico-calcaire creux à maçonner CCTB 01.12</w:t>
            </w:r>
            <w:r w:rsidR="00FD58BF">
              <w:rPr>
                <w:noProof/>
                <w:webHidden/>
              </w:rPr>
              <w:tab/>
            </w:r>
            <w:r w:rsidR="00FD58BF">
              <w:rPr>
                <w:noProof/>
                <w:webHidden/>
              </w:rPr>
              <w:fldChar w:fldCharType="begin"/>
            </w:r>
            <w:r w:rsidR="00FD58BF">
              <w:rPr>
                <w:noProof/>
                <w:webHidden/>
              </w:rPr>
              <w:instrText xml:space="preserve"> PAGEREF _Toc178837323 \h </w:instrText>
            </w:r>
            <w:r w:rsidR="00FD58BF">
              <w:rPr>
                <w:noProof/>
                <w:webHidden/>
              </w:rPr>
            </w:r>
            <w:r w:rsidR="00FD58BF">
              <w:rPr>
                <w:noProof/>
                <w:webHidden/>
              </w:rPr>
              <w:fldChar w:fldCharType="separate"/>
            </w:r>
            <w:r w:rsidR="00FD58BF">
              <w:rPr>
                <w:noProof/>
                <w:webHidden/>
              </w:rPr>
              <w:t>145</w:t>
            </w:r>
            <w:r w:rsidR="00FD58BF">
              <w:rPr>
                <w:noProof/>
                <w:webHidden/>
              </w:rPr>
              <w:fldChar w:fldCharType="end"/>
            </w:r>
          </w:hyperlink>
        </w:p>
        <w:p w14:paraId="2116494D" w14:textId="2A7374F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24" w:history="1">
            <w:r w:rsidR="00FD58BF" w:rsidRPr="003004E5">
              <w:rPr>
                <w:rStyle w:val="Lienhypertexte"/>
                <w:noProof/>
              </w:rPr>
              <w:t>21.12.5b Maçonneries portantes en blocs de silico-calcaire pleins à coller CCTB 01.12</w:t>
            </w:r>
            <w:r w:rsidR="00FD58BF">
              <w:rPr>
                <w:noProof/>
                <w:webHidden/>
              </w:rPr>
              <w:tab/>
            </w:r>
            <w:r w:rsidR="00FD58BF">
              <w:rPr>
                <w:noProof/>
                <w:webHidden/>
              </w:rPr>
              <w:fldChar w:fldCharType="begin"/>
            </w:r>
            <w:r w:rsidR="00FD58BF">
              <w:rPr>
                <w:noProof/>
                <w:webHidden/>
              </w:rPr>
              <w:instrText xml:space="preserve"> PAGEREF _Toc178837324 \h </w:instrText>
            </w:r>
            <w:r w:rsidR="00FD58BF">
              <w:rPr>
                <w:noProof/>
                <w:webHidden/>
              </w:rPr>
            </w:r>
            <w:r w:rsidR="00FD58BF">
              <w:rPr>
                <w:noProof/>
                <w:webHidden/>
              </w:rPr>
              <w:fldChar w:fldCharType="separate"/>
            </w:r>
            <w:r w:rsidR="00FD58BF">
              <w:rPr>
                <w:noProof/>
                <w:webHidden/>
              </w:rPr>
              <w:t>147</w:t>
            </w:r>
            <w:r w:rsidR="00FD58BF">
              <w:rPr>
                <w:noProof/>
                <w:webHidden/>
              </w:rPr>
              <w:fldChar w:fldCharType="end"/>
            </w:r>
          </w:hyperlink>
        </w:p>
        <w:p w14:paraId="6F06E24A" w14:textId="74FC325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25" w:history="1">
            <w:r w:rsidR="00FD58BF" w:rsidRPr="003004E5">
              <w:rPr>
                <w:rStyle w:val="Lienhypertexte"/>
                <w:noProof/>
              </w:rPr>
              <w:t>21.12.5c Maçonneries portantes en blocs de silico-calcaire creux à coller CCTB 01.12</w:t>
            </w:r>
            <w:r w:rsidR="00FD58BF">
              <w:rPr>
                <w:noProof/>
                <w:webHidden/>
              </w:rPr>
              <w:tab/>
            </w:r>
            <w:r w:rsidR="00FD58BF">
              <w:rPr>
                <w:noProof/>
                <w:webHidden/>
              </w:rPr>
              <w:fldChar w:fldCharType="begin"/>
            </w:r>
            <w:r w:rsidR="00FD58BF">
              <w:rPr>
                <w:noProof/>
                <w:webHidden/>
              </w:rPr>
              <w:instrText xml:space="preserve"> PAGEREF _Toc178837325 \h </w:instrText>
            </w:r>
            <w:r w:rsidR="00FD58BF">
              <w:rPr>
                <w:noProof/>
                <w:webHidden/>
              </w:rPr>
            </w:r>
            <w:r w:rsidR="00FD58BF">
              <w:rPr>
                <w:noProof/>
                <w:webHidden/>
              </w:rPr>
              <w:fldChar w:fldCharType="separate"/>
            </w:r>
            <w:r w:rsidR="00FD58BF">
              <w:rPr>
                <w:noProof/>
                <w:webHidden/>
              </w:rPr>
              <w:t>149</w:t>
            </w:r>
            <w:r w:rsidR="00FD58BF">
              <w:rPr>
                <w:noProof/>
                <w:webHidden/>
              </w:rPr>
              <w:fldChar w:fldCharType="end"/>
            </w:r>
          </w:hyperlink>
        </w:p>
        <w:p w14:paraId="7624307C" w14:textId="39935EA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26" w:history="1">
            <w:r w:rsidR="00FD58BF" w:rsidRPr="003004E5">
              <w:rPr>
                <w:rStyle w:val="Lienhypertexte"/>
                <w:noProof/>
              </w:rPr>
              <w:t>21.12.5d Maçonneries portantes en blocs de silico-calcaire apparents à coller avec chanfreins CCTB 01.12</w:t>
            </w:r>
            <w:r w:rsidR="00FD58BF">
              <w:rPr>
                <w:noProof/>
                <w:webHidden/>
              </w:rPr>
              <w:tab/>
            </w:r>
            <w:r w:rsidR="00FD58BF">
              <w:rPr>
                <w:noProof/>
                <w:webHidden/>
              </w:rPr>
              <w:fldChar w:fldCharType="begin"/>
            </w:r>
            <w:r w:rsidR="00FD58BF">
              <w:rPr>
                <w:noProof/>
                <w:webHidden/>
              </w:rPr>
              <w:instrText xml:space="preserve"> PAGEREF _Toc178837326 \h </w:instrText>
            </w:r>
            <w:r w:rsidR="00FD58BF">
              <w:rPr>
                <w:noProof/>
                <w:webHidden/>
              </w:rPr>
            </w:r>
            <w:r w:rsidR="00FD58BF">
              <w:rPr>
                <w:noProof/>
                <w:webHidden/>
              </w:rPr>
              <w:fldChar w:fldCharType="separate"/>
            </w:r>
            <w:r w:rsidR="00FD58BF">
              <w:rPr>
                <w:noProof/>
                <w:webHidden/>
              </w:rPr>
              <w:t>151</w:t>
            </w:r>
            <w:r w:rsidR="00FD58BF">
              <w:rPr>
                <w:noProof/>
                <w:webHidden/>
              </w:rPr>
              <w:fldChar w:fldCharType="end"/>
            </w:r>
          </w:hyperlink>
        </w:p>
        <w:p w14:paraId="6564EBC6" w14:textId="400CADC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27" w:history="1">
            <w:r w:rsidR="00FD58BF" w:rsidRPr="003004E5">
              <w:rPr>
                <w:rStyle w:val="Lienhypertexte"/>
                <w:noProof/>
              </w:rPr>
              <w:t>21.12.6 Maçonneries portantes en blocs de béton d'argile expansée CCTB 01.11</w:t>
            </w:r>
            <w:r w:rsidR="00FD58BF">
              <w:rPr>
                <w:noProof/>
                <w:webHidden/>
              </w:rPr>
              <w:tab/>
            </w:r>
            <w:r w:rsidR="00FD58BF">
              <w:rPr>
                <w:noProof/>
                <w:webHidden/>
              </w:rPr>
              <w:fldChar w:fldCharType="begin"/>
            </w:r>
            <w:r w:rsidR="00FD58BF">
              <w:rPr>
                <w:noProof/>
                <w:webHidden/>
              </w:rPr>
              <w:instrText xml:space="preserve"> PAGEREF _Toc178837327 \h </w:instrText>
            </w:r>
            <w:r w:rsidR="00FD58BF">
              <w:rPr>
                <w:noProof/>
                <w:webHidden/>
              </w:rPr>
            </w:r>
            <w:r w:rsidR="00FD58BF">
              <w:rPr>
                <w:noProof/>
                <w:webHidden/>
              </w:rPr>
              <w:fldChar w:fldCharType="separate"/>
            </w:r>
            <w:r w:rsidR="00FD58BF">
              <w:rPr>
                <w:noProof/>
                <w:webHidden/>
              </w:rPr>
              <w:t>154</w:t>
            </w:r>
            <w:r w:rsidR="00FD58BF">
              <w:rPr>
                <w:noProof/>
                <w:webHidden/>
              </w:rPr>
              <w:fldChar w:fldCharType="end"/>
            </w:r>
          </w:hyperlink>
        </w:p>
        <w:p w14:paraId="6BB5E5F7" w14:textId="16AC9F2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28" w:history="1">
            <w:r w:rsidR="00FD58BF" w:rsidRPr="003004E5">
              <w:rPr>
                <w:rStyle w:val="Lienhypertexte"/>
                <w:noProof/>
              </w:rPr>
              <w:t>21.12.6a Maçonneries portantes en blocs de béton d'argile expansée pleins à maçonner CCTB 01.12</w:t>
            </w:r>
            <w:r w:rsidR="00FD58BF">
              <w:rPr>
                <w:noProof/>
                <w:webHidden/>
              </w:rPr>
              <w:tab/>
            </w:r>
            <w:r w:rsidR="00FD58BF">
              <w:rPr>
                <w:noProof/>
                <w:webHidden/>
              </w:rPr>
              <w:fldChar w:fldCharType="begin"/>
            </w:r>
            <w:r w:rsidR="00FD58BF">
              <w:rPr>
                <w:noProof/>
                <w:webHidden/>
              </w:rPr>
              <w:instrText xml:space="preserve"> PAGEREF _Toc178837328 \h </w:instrText>
            </w:r>
            <w:r w:rsidR="00FD58BF">
              <w:rPr>
                <w:noProof/>
                <w:webHidden/>
              </w:rPr>
            </w:r>
            <w:r w:rsidR="00FD58BF">
              <w:rPr>
                <w:noProof/>
                <w:webHidden/>
              </w:rPr>
              <w:fldChar w:fldCharType="separate"/>
            </w:r>
            <w:r w:rsidR="00FD58BF">
              <w:rPr>
                <w:noProof/>
                <w:webHidden/>
              </w:rPr>
              <w:t>154</w:t>
            </w:r>
            <w:r w:rsidR="00FD58BF">
              <w:rPr>
                <w:noProof/>
                <w:webHidden/>
              </w:rPr>
              <w:fldChar w:fldCharType="end"/>
            </w:r>
          </w:hyperlink>
        </w:p>
        <w:p w14:paraId="3C44292B" w14:textId="4C5CF35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29" w:history="1">
            <w:r w:rsidR="00FD58BF" w:rsidRPr="003004E5">
              <w:rPr>
                <w:rStyle w:val="Lienhypertexte"/>
                <w:noProof/>
              </w:rPr>
              <w:t>21.12.6b Maçonneries portantes en blocs de béton d'argile expansée pleins à coller CCTB 01.12</w:t>
            </w:r>
            <w:r w:rsidR="00FD58BF">
              <w:rPr>
                <w:noProof/>
                <w:webHidden/>
              </w:rPr>
              <w:tab/>
            </w:r>
            <w:r w:rsidR="00FD58BF">
              <w:rPr>
                <w:noProof/>
                <w:webHidden/>
              </w:rPr>
              <w:fldChar w:fldCharType="begin"/>
            </w:r>
            <w:r w:rsidR="00FD58BF">
              <w:rPr>
                <w:noProof/>
                <w:webHidden/>
              </w:rPr>
              <w:instrText xml:space="preserve"> PAGEREF _Toc178837329 \h </w:instrText>
            </w:r>
            <w:r w:rsidR="00FD58BF">
              <w:rPr>
                <w:noProof/>
                <w:webHidden/>
              </w:rPr>
            </w:r>
            <w:r w:rsidR="00FD58BF">
              <w:rPr>
                <w:noProof/>
                <w:webHidden/>
              </w:rPr>
              <w:fldChar w:fldCharType="separate"/>
            </w:r>
            <w:r w:rsidR="00FD58BF">
              <w:rPr>
                <w:noProof/>
                <w:webHidden/>
              </w:rPr>
              <w:t>157</w:t>
            </w:r>
            <w:r w:rsidR="00FD58BF">
              <w:rPr>
                <w:noProof/>
                <w:webHidden/>
              </w:rPr>
              <w:fldChar w:fldCharType="end"/>
            </w:r>
          </w:hyperlink>
        </w:p>
        <w:p w14:paraId="1DEC3AF4" w14:textId="25AA695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30" w:history="1">
            <w:r w:rsidR="00FD58BF" w:rsidRPr="003004E5">
              <w:rPr>
                <w:rStyle w:val="Lienhypertexte"/>
                <w:noProof/>
              </w:rPr>
              <w:t>21.12.6c Maçonneries portantes en blocs de béton d'argile expansée creux à maçonner CCTB 01.12</w:t>
            </w:r>
            <w:r w:rsidR="00FD58BF">
              <w:rPr>
                <w:noProof/>
                <w:webHidden/>
              </w:rPr>
              <w:tab/>
            </w:r>
            <w:r w:rsidR="00FD58BF">
              <w:rPr>
                <w:noProof/>
                <w:webHidden/>
              </w:rPr>
              <w:fldChar w:fldCharType="begin"/>
            </w:r>
            <w:r w:rsidR="00FD58BF">
              <w:rPr>
                <w:noProof/>
                <w:webHidden/>
              </w:rPr>
              <w:instrText xml:space="preserve"> PAGEREF _Toc178837330 \h </w:instrText>
            </w:r>
            <w:r w:rsidR="00FD58BF">
              <w:rPr>
                <w:noProof/>
                <w:webHidden/>
              </w:rPr>
            </w:r>
            <w:r w:rsidR="00FD58BF">
              <w:rPr>
                <w:noProof/>
                <w:webHidden/>
              </w:rPr>
              <w:fldChar w:fldCharType="separate"/>
            </w:r>
            <w:r w:rsidR="00FD58BF">
              <w:rPr>
                <w:noProof/>
                <w:webHidden/>
              </w:rPr>
              <w:t>159</w:t>
            </w:r>
            <w:r w:rsidR="00FD58BF">
              <w:rPr>
                <w:noProof/>
                <w:webHidden/>
              </w:rPr>
              <w:fldChar w:fldCharType="end"/>
            </w:r>
          </w:hyperlink>
        </w:p>
        <w:p w14:paraId="0A9E5E70" w14:textId="78440E7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31" w:history="1">
            <w:r w:rsidR="00FD58BF" w:rsidRPr="003004E5">
              <w:rPr>
                <w:rStyle w:val="Lienhypertexte"/>
                <w:noProof/>
              </w:rPr>
              <w:t>21.12.6d Maçonneries portantes en blocs de béton d'argile expansée creux à coller CCTB 01.12</w:t>
            </w:r>
            <w:r w:rsidR="00FD58BF">
              <w:rPr>
                <w:noProof/>
                <w:webHidden/>
              </w:rPr>
              <w:tab/>
            </w:r>
            <w:r w:rsidR="00FD58BF">
              <w:rPr>
                <w:noProof/>
                <w:webHidden/>
              </w:rPr>
              <w:fldChar w:fldCharType="begin"/>
            </w:r>
            <w:r w:rsidR="00FD58BF">
              <w:rPr>
                <w:noProof/>
                <w:webHidden/>
              </w:rPr>
              <w:instrText xml:space="preserve"> PAGEREF _Toc178837331 \h </w:instrText>
            </w:r>
            <w:r w:rsidR="00FD58BF">
              <w:rPr>
                <w:noProof/>
                <w:webHidden/>
              </w:rPr>
            </w:r>
            <w:r w:rsidR="00FD58BF">
              <w:rPr>
                <w:noProof/>
                <w:webHidden/>
              </w:rPr>
              <w:fldChar w:fldCharType="separate"/>
            </w:r>
            <w:r w:rsidR="00FD58BF">
              <w:rPr>
                <w:noProof/>
                <w:webHidden/>
              </w:rPr>
              <w:t>161</w:t>
            </w:r>
            <w:r w:rsidR="00FD58BF">
              <w:rPr>
                <w:noProof/>
                <w:webHidden/>
              </w:rPr>
              <w:fldChar w:fldCharType="end"/>
            </w:r>
          </w:hyperlink>
        </w:p>
        <w:p w14:paraId="7899A036" w14:textId="70741BF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32" w:history="1">
            <w:r w:rsidR="00FD58BF" w:rsidRPr="003004E5">
              <w:rPr>
                <w:rStyle w:val="Lienhypertexte"/>
                <w:noProof/>
              </w:rPr>
              <w:t>21.12.6e Maçonneries portantes en blocs de béton d'argile expansée avec système de dosage pour liant hydraulique CCTB 01.12</w:t>
            </w:r>
            <w:r w:rsidR="00FD58BF">
              <w:rPr>
                <w:noProof/>
                <w:webHidden/>
              </w:rPr>
              <w:tab/>
            </w:r>
            <w:r w:rsidR="00FD58BF">
              <w:rPr>
                <w:noProof/>
                <w:webHidden/>
              </w:rPr>
              <w:fldChar w:fldCharType="begin"/>
            </w:r>
            <w:r w:rsidR="00FD58BF">
              <w:rPr>
                <w:noProof/>
                <w:webHidden/>
              </w:rPr>
              <w:instrText xml:space="preserve"> PAGEREF _Toc178837332 \h </w:instrText>
            </w:r>
            <w:r w:rsidR="00FD58BF">
              <w:rPr>
                <w:noProof/>
                <w:webHidden/>
              </w:rPr>
            </w:r>
            <w:r w:rsidR="00FD58BF">
              <w:rPr>
                <w:noProof/>
                <w:webHidden/>
              </w:rPr>
              <w:fldChar w:fldCharType="separate"/>
            </w:r>
            <w:r w:rsidR="00FD58BF">
              <w:rPr>
                <w:noProof/>
                <w:webHidden/>
              </w:rPr>
              <w:t>164</w:t>
            </w:r>
            <w:r w:rsidR="00FD58BF">
              <w:rPr>
                <w:noProof/>
                <w:webHidden/>
              </w:rPr>
              <w:fldChar w:fldCharType="end"/>
            </w:r>
          </w:hyperlink>
        </w:p>
        <w:p w14:paraId="38A43A4B" w14:textId="5C1701D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33" w:history="1">
            <w:r w:rsidR="00FD58BF" w:rsidRPr="003004E5">
              <w:rPr>
                <w:rStyle w:val="Lienhypertexte"/>
                <w:noProof/>
              </w:rPr>
              <w:t>21.12.6f Maçonneries portantes en blocs de béton d'argile expansée acoustiques CCTB 01.12</w:t>
            </w:r>
            <w:r w:rsidR="00FD58BF">
              <w:rPr>
                <w:noProof/>
                <w:webHidden/>
              </w:rPr>
              <w:tab/>
            </w:r>
            <w:r w:rsidR="00FD58BF">
              <w:rPr>
                <w:noProof/>
                <w:webHidden/>
              </w:rPr>
              <w:fldChar w:fldCharType="begin"/>
            </w:r>
            <w:r w:rsidR="00FD58BF">
              <w:rPr>
                <w:noProof/>
                <w:webHidden/>
              </w:rPr>
              <w:instrText xml:space="preserve"> PAGEREF _Toc178837333 \h </w:instrText>
            </w:r>
            <w:r w:rsidR="00FD58BF">
              <w:rPr>
                <w:noProof/>
                <w:webHidden/>
              </w:rPr>
            </w:r>
            <w:r w:rsidR="00FD58BF">
              <w:rPr>
                <w:noProof/>
                <w:webHidden/>
              </w:rPr>
              <w:fldChar w:fldCharType="separate"/>
            </w:r>
            <w:r w:rsidR="00FD58BF">
              <w:rPr>
                <w:noProof/>
                <w:webHidden/>
              </w:rPr>
              <w:t>166</w:t>
            </w:r>
            <w:r w:rsidR="00FD58BF">
              <w:rPr>
                <w:noProof/>
                <w:webHidden/>
              </w:rPr>
              <w:fldChar w:fldCharType="end"/>
            </w:r>
          </w:hyperlink>
        </w:p>
        <w:p w14:paraId="0F5D20B2" w14:textId="2D07040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34" w:history="1">
            <w:r w:rsidR="00FD58BF" w:rsidRPr="003004E5">
              <w:rPr>
                <w:rStyle w:val="Lienhypertexte"/>
                <w:noProof/>
              </w:rPr>
              <w:t>21.12.7 Maçonneries portantes en blocs de béton cellulaire CCTB 01.11</w:t>
            </w:r>
            <w:r w:rsidR="00FD58BF">
              <w:rPr>
                <w:noProof/>
                <w:webHidden/>
              </w:rPr>
              <w:tab/>
            </w:r>
            <w:r w:rsidR="00FD58BF">
              <w:rPr>
                <w:noProof/>
                <w:webHidden/>
              </w:rPr>
              <w:fldChar w:fldCharType="begin"/>
            </w:r>
            <w:r w:rsidR="00FD58BF">
              <w:rPr>
                <w:noProof/>
                <w:webHidden/>
              </w:rPr>
              <w:instrText xml:space="preserve"> PAGEREF _Toc178837334 \h </w:instrText>
            </w:r>
            <w:r w:rsidR="00FD58BF">
              <w:rPr>
                <w:noProof/>
                <w:webHidden/>
              </w:rPr>
            </w:r>
            <w:r w:rsidR="00FD58BF">
              <w:rPr>
                <w:noProof/>
                <w:webHidden/>
              </w:rPr>
              <w:fldChar w:fldCharType="separate"/>
            </w:r>
            <w:r w:rsidR="00FD58BF">
              <w:rPr>
                <w:noProof/>
                <w:webHidden/>
              </w:rPr>
              <w:t>168</w:t>
            </w:r>
            <w:r w:rsidR="00FD58BF">
              <w:rPr>
                <w:noProof/>
                <w:webHidden/>
              </w:rPr>
              <w:fldChar w:fldCharType="end"/>
            </w:r>
          </w:hyperlink>
        </w:p>
        <w:p w14:paraId="02BC1127" w14:textId="4B71ED5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35" w:history="1">
            <w:r w:rsidR="00FD58BF" w:rsidRPr="003004E5">
              <w:rPr>
                <w:rStyle w:val="Lienhypertexte"/>
                <w:noProof/>
              </w:rPr>
              <w:t>21.12.7a Maçonneries portantes en blocs de béton cellulaire CCTB 01.12</w:t>
            </w:r>
            <w:r w:rsidR="00FD58BF">
              <w:rPr>
                <w:noProof/>
                <w:webHidden/>
              </w:rPr>
              <w:tab/>
            </w:r>
            <w:r w:rsidR="00FD58BF">
              <w:rPr>
                <w:noProof/>
                <w:webHidden/>
              </w:rPr>
              <w:fldChar w:fldCharType="begin"/>
            </w:r>
            <w:r w:rsidR="00FD58BF">
              <w:rPr>
                <w:noProof/>
                <w:webHidden/>
              </w:rPr>
              <w:instrText xml:space="preserve"> PAGEREF _Toc178837335 \h </w:instrText>
            </w:r>
            <w:r w:rsidR="00FD58BF">
              <w:rPr>
                <w:noProof/>
                <w:webHidden/>
              </w:rPr>
            </w:r>
            <w:r w:rsidR="00FD58BF">
              <w:rPr>
                <w:noProof/>
                <w:webHidden/>
              </w:rPr>
              <w:fldChar w:fldCharType="separate"/>
            </w:r>
            <w:r w:rsidR="00FD58BF">
              <w:rPr>
                <w:noProof/>
                <w:webHidden/>
              </w:rPr>
              <w:t>169</w:t>
            </w:r>
            <w:r w:rsidR="00FD58BF">
              <w:rPr>
                <w:noProof/>
                <w:webHidden/>
              </w:rPr>
              <w:fldChar w:fldCharType="end"/>
            </w:r>
          </w:hyperlink>
        </w:p>
        <w:p w14:paraId="03EAB966" w14:textId="2C6FC8A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36" w:history="1">
            <w:r w:rsidR="00FD58BF" w:rsidRPr="003004E5">
              <w:rPr>
                <w:rStyle w:val="Lienhypertexte"/>
                <w:noProof/>
              </w:rPr>
              <w:t>21.12.7b Maçonneries portantes en blocs de coffrage de béton cellulaire CCTB 01.04</w:t>
            </w:r>
            <w:r w:rsidR="00FD58BF">
              <w:rPr>
                <w:noProof/>
                <w:webHidden/>
              </w:rPr>
              <w:tab/>
            </w:r>
            <w:r w:rsidR="00FD58BF">
              <w:rPr>
                <w:noProof/>
                <w:webHidden/>
              </w:rPr>
              <w:fldChar w:fldCharType="begin"/>
            </w:r>
            <w:r w:rsidR="00FD58BF">
              <w:rPr>
                <w:noProof/>
                <w:webHidden/>
              </w:rPr>
              <w:instrText xml:space="preserve"> PAGEREF _Toc178837336 \h </w:instrText>
            </w:r>
            <w:r w:rsidR="00FD58BF">
              <w:rPr>
                <w:noProof/>
                <w:webHidden/>
              </w:rPr>
            </w:r>
            <w:r w:rsidR="00FD58BF">
              <w:rPr>
                <w:noProof/>
                <w:webHidden/>
              </w:rPr>
              <w:fldChar w:fldCharType="separate"/>
            </w:r>
            <w:r w:rsidR="00FD58BF">
              <w:rPr>
                <w:noProof/>
                <w:webHidden/>
              </w:rPr>
              <w:t>171</w:t>
            </w:r>
            <w:r w:rsidR="00FD58BF">
              <w:rPr>
                <w:noProof/>
                <w:webHidden/>
              </w:rPr>
              <w:fldChar w:fldCharType="end"/>
            </w:r>
          </w:hyperlink>
        </w:p>
        <w:p w14:paraId="5ED72252" w14:textId="02BF3CB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37" w:history="1">
            <w:r w:rsidR="00FD58BF" w:rsidRPr="003004E5">
              <w:rPr>
                <w:rStyle w:val="Lienhypertexte"/>
                <w:noProof/>
              </w:rPr>
              <w:t>21.12.8 Maçonneries portantes en blocs de terre crue CCTB 01.11</w:t>
            </w:r>
            <w:r w:rsidR="00FD58BF">
              <w:rPr>
                <w:noProof/>
                <w:webHidden/>
              </w:rPr>
              <w:tab/>
            </w:r>
            <w:r w:rsidR="00FD58BF">
              <w:rPr>
                <w:noProof/>
                <w:webHidden/>
              </w:rPr>
              <w:fldChar w:fldCharType="begin"/>
            </w:r>
            <w:r w:rsidR="00FD58BF">
              <w:rPr>
                <w:noProof/>
                <w:webHidden/>
              </w:rPr>
              <w:instrText xml:space="preserve"> PAGEREF _Toc178837337 \h </w:instrText>
            </w:r>
            <w:r w:rsidR="00FD58BF">
              <w:rPr>
                <w:noProof/>
                <w:webHidden/>
              </w:rPr>
            </w:r>
            <w:r w:rsidR="00FD58BF">
              <w:rPr>
                <w:noProof/>
                <w:webHidden/>
              </w:rPr>
              <w:fldChar w:fldCharType="separate"/>
            </w:r>
            <w:r w:rsidR="00FD58BF">
              <w:rPr>
                <w:noProof/>
                <w:webHidden/>
              </w:rPr>
              <w:t>172</w:t>
            </w:r>
            <w:r w:rsidR="00FD58BF">
              <w:rPr>
                <w:noProof/>
                <w:webHidden/>
              </w:rPr>
              <w:fldChar w:fldCharType="end"/>
            </w:r>
          </w:hyperlink>
        </w:p>
        <w:p w14:paraId="7E4C9152" w14:textId="3617120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38" w:history="1">
            <w:r w:rsidR="00FD58BF" w:rsidRPr="003004E5">
              <w:rPr>
                <w:rStyle w:val="Lienhypertexte"/>
                <w:noProof/>
              </w:rPr>
              <w:t>21.12.8a Maçonneries portantes en blocs de terre crue stabilisée à maçonner CCTB 01.12</w:t>
            </w:r>
            <w:r w:rsidR="00FD58BF">
              <w:rPr>
                <w:noProof/>
                <w:webHidden/>
              </w:rPr>
              <w:tab/>
            </w:r>
            <w:r w:rsidR="00FD58BF">
              <w:rPr>
                <w:noProof/>
                <w:webHidden/>
              </w:rPr>
              <w:fldChar w:fldCharType="begin"/>
            </w:r>
            <w:r w:rsidR="00FD58BF">
              <w:rPr>
                <w:noProof/>
                <w:webHidden/>
              </w:rPr>
              <w:instrText xml:space="preserve"> PAGEREF _Toc178837338 \h </w:instrText>
            </w:r>
            <w:r w:rsidR="00FD58BF">
              <w:rPr>
                <w:noProof/>
                <w:webHidden/>
              </w:rPr>
            </w:r>
            <w:r w:rsidR="00FD58BF">
              <w:rPr>
                <w:noProof/>
                <w:webHidden/>
              </w:rPr>
              <w:fldChar w:fldCharType="separate"/>
            </w:r>
            <w:r w:rsidR="00FD58BF">
              <w:rPr>
                <w:noProof/>
                <w:webHidden/>
              </w:rPr>
              <w:t>173</w:t>
            </w:r>
            <w:r w:rsidR="00FD58BF">
              <w:rPr>
                <w:noProof/>
                <w:webHidden/>
              </w:rPr>
              <w:fldChar w:fldCharType="end"/>
            </w:r>
          </w:hyperlink>
        </w:p>
        <w:p w14:paraId="5A6FFD22" w14:textId="17B8B21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339" w:history="1">
            <w:r w:rsidR="00FD58BF" w:rsidRPr="003004E5">
              <w:rPr>
                <w:rStyle w:val="Lienhypertexte"/>
                <w:noProof/>
              </w:rPr>
              <w:t>21.13 Maçonneries portantes en pierre CCTB 01.02</w:t>
            </w:r>
            <w:r w:rsidR="00FD58BF">
              <w:rPr>
                <w:noProof/>
                <w:webHidden/>
              </w:rPr>
              <w:tab/>
            </w:r>
            <w:r w:rsidR="00FD58BF">
              <w:rPr>
                <w:noProof/>
                <w:webHidden/>
              </w:rPr>
              <w:fldChar w:fldCharType="begin"/>
            </w:r>
            <w:r w:rsidR="00FD58BF">
              <w:rPr>
                <w:noProof/>
                <w:webHidden/>
              </w:rPr>
              <w:instrText xml:space="preserve"> PAGEREF _Toc178837339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154EF56B" w14:textId="2B38A5C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40" w:history="1">
            <w:r w:rsidR="00FD58BF" w:rsidRPr="003004E5">
              <w:rPr>
                <w:rStyle w:val="Lienhypertexte"/>
                <w:noProof/>
              </w:rPr>
              <w:t>21.13.1 Maçonneries portantes en pierre de taille CCTB 01.02</w:t>
            </w:r>
            <w:r w:rsidR="00FD58BF">
              <w:rPr>
                <w:noProof/>
                <w:webHidden/>
              </w:rPr>
              <w:tab/>
            </w:r>
            <w:r w:rsidR="00FD58BF">
              <w:rPr>
                <w:noProof/>
                <w:webHidden/>
              </w:rPr>
              <w:fldChar w:fldCharType="begin"/>
            </w:r>
            <w:r w:rsidR="00FD58BF">
              <w:rPr>
                <w:noProof/>
                <w:webHidden/>
              </w:rPr>
              <w:instrText xml:space="preserve"> PAGEREF _Toc178837340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1129CB36" w14:textId="087AA9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41" w:history="1">
            <w:r w:rsidR="00FD58BF" w:rsidRPr="003004E5">
              <w:rPr>
                <w:rStyle w:val="Lienhypertexte"/>
                <w:noProof/>
              </w:rPr>
              <w:t>21.13.1a Maçonneries portantes en petit granit - pierre bleue CCTB 01.04</w:t>
            </w:r>
            <w:r w:rsidR="00FD58BF">
              <w:rPr>
                <w:noProof/>
                <w:webHidden/>
              </w:rPr>
              <w:tab/>
            </w:r>
            <w:r w:rsidR="00FD58BF">
              <w:rPr>
                <w:noProof/>
                <w:webHidden/>
              </w:rPr>
              <w:fldChar w:fldCharType="begin"/>
            </w:r>
            <w:r w:rsidR="00FD58BF">
              <w:rPr>
                <w:noProof/>
                <w:webHidden/>
              </w:rPr>
              <w:instrText xml:space="preserve"> PAGEREF _Toc178837341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0B659915" w14:textId="05C7A66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42" w:history="1">
            <w:r w:rsidR="00FD58BF" w:rsidRPr="003004E5">
              <w:rPr>
                <w:rStyle w:val="Lienhypertexte"/>
                <w:noProof/>
              </w:rPr>
              <w:t>21.13.1b Maçonneries portantes en pierre calcaire CCTB 01.04</w:t>
            </w:r>
            <w:r w:rsidR="00FD58BF">
              <w:rPr>
                <w:noProof/>
                <w:webHidden/>
              </w:rPr>
              <w:tab/>
            </w:r>
            <w:r w:rsidR="00FD58BF">
              <w:rPr>
                <w:noProof/>
                <w:webHidden/>
              </w:rPr>
              <w:fldChar w:fldCharType="begin"/>
            </w:r>
            <w:r w:rsidR="00FD58BF">
              <w:rPr>
                <w:noProof/>
                <w:webHidden/>
              </w:rPr>
              <w:instrText xml:space="preserve"> PAGEREF _Toc178837342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53AE7286" w14:textId="656D3C3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43" w:history="1">
            <w:r w:rsidR="00FD58BF" w:rsidRPr="003004E5">
              <w:rPr>
                <w:rStyle w:val="Lienhypertexte"/>
                <w:noProof/>
              </w:rPr>
              <w:t>21.13.2 Maçonneries portantes en moellons de pierre calcaire CCTB 01.02</w:t>
            </w:r>
            <w:r w:rsidR="00FD58BF">
              <w:rPr>
                <w:noProof/>
                <w:webHidden/>
              </w:rPr>
              <w:tab/>
            </w:r>
            <w:r w:rsidR="00FD58BF">
              <w:rPr>
                <w:noProof/>
                <w:webHidden/>
              </w:rPr>
              <w:fldChar w:fldCharType="begin"/>
            </w:r>
            <w:r w:rsidR="00FD58BF">
              <w:rPr>
                <w:noProof/>
                <w:webHidden/>
              </w:rPr>
              <w:instrText xml:space="preserve"> PAGEREF _Toc178837343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666C6BD9" w14:textId="7CCF0E8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44" w:history="1">
            <w:r w:rsidR="00FD58BF" w:rsidRPr="003004E5">
              <w:rPr>
                <w:rStyle w:val="Lienhypertexte"/>
                <w:noProof/>
              </w:rPr>
              <w:t>21.13.2a Maçonneries portantes en moellons de pierre bleue CCTB 01.04</w:t>
            </w:r>
            <w:r w:rsidR="00FD58BF">
              <w:rPr>
                <w:noProof/>
                <w:webHidden/>
              </w:rPr>
              <w:tab/>
            </w:r>
            <w:r w:rsidR="00FD58BF">
              <w:rPr>
                <w:noProof/>
                <w:webHidden/>
              </w:rPr>
              <w:fldChar w:fldCharType="begin"/>
            </w:r>
            <w:r w:rsidR="00FD58BF">
              <w:rPr>
                <w:noProof/>
                <w:webHidden/>
              </w:rPr>
              <w:instrText xml:space="preserve"> PAGEREF _Toc178837344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6872569F" w14:textId="51A4843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45" w:history="1">
            <w:r w:rsidR="00FD58BF" w:rsidRPr="003004E5">
              <w:rPr>
                <w:rStyle w:val="Lienhypertexte"/>
                <w:noProof/>
              </w:rPr>
              <w:t>21.13.2b Maçonneries portantes en moellons de pierre blanche CCTB 01.04</w:t>
            </w:r>
            <w:r w:rsidR="00FD58BF">
              <w:rPr>
                <w:noProof/>
                <w:webHidden/>
              </w:rPr>
              <w:tab/>
            </w:r>
            <w:r w:rsidR="00FD58BF">
              <w:rPr>
                <w:noProof/>
                <w:webHidden/>
              </w:rPr>
              <w:fldChar w:fldCharType="begin"/>
            </w:r>
            <w:r w:rsidR="00FD58BF">
              <w:rPr>
                <w:noProof/>
                <w:webHidden/>
              </w:rPr>
              <w:instrText xml:space="preserve"> PAGEREF _Toc178837345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0571F618" w14:textId="323DA49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46" w:history="1">
            <w:r w:rsidR="00FD58BF" w:rsidRPr="003004E5">
              <w:rPr>
                <w:rStyle w:val="Lienhypertexte"/>
                <w:noProof/>
              </w:rPr>
              <w:t>21.13.2c Maçonneries portantes en moellons de marbre CCTB 01.04</w:t>
            </w:r>
            <w:r w:rsidR="00FD58BF">
              <w:rPr>
                <w:noProof/>
                <w:webHidden/>
              </w:rPr>
              <w:tab/>
            </w:r>
            <w:r w:rsidR="00FD58BF">
              <w:rPr>
                <w:noProof/>
                <w:webHidden/>
              </w:rPr>
              <w:fldChar w:fldCharType="begin"/>
            </w:r>
            <w:r w:rsidR="00FD58BF">
              <w:rPr>
                <w:noProof/>
                <w:webHidden/>
              </w:rPr>
              <w:instrText xml:space="preserve"> PAGEREF _Toc178837346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7FFAB282" w14:textId="347A98D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47" w:history="1">
            <w:r w:rsidR="00FD58BF" w:rsidRPr="003004E5">
              <w:rPr>
                <w:rStyle w:val="Lienhypertexte"/>
                <w:noProof/>
              </w:rPr>
              <w:t>21.13.3 Maçonneries portantes en moellons de pierres siliceuses CCTB 01.02</w:t>
            </w:r>
            <w:r w:rsidR="00FD58BF">
              <w:rPr>
                <w:noProof/>
                <w:webHidden/>
              </w:rPr>
              <w:tab/>
            </w:r>
            <w:r w:rsidR="00FD58BF">
              <w:rPr>
                <w:noProof/>
                <w:webHidden/>
              </w:rPr>
              <w:fldChar w:fldCharType="begin"/>
            </w:r>
            <w:r w:rsidR="00FD58BF">
              <w:rPr>
                <w:noProof/>
                <w:webHidden/>
              </w:rPr>
              <w:instrText xml:space="preserve"> PAGEREF _Toc178837347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4F9F237B" w14:textId="5DE6961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48" w:history="1">
            <w:r w:rsidR="00FD58BF" w:rsidRPr="003004E5">
              <w:rPr>
                <w:rStyle w:val="Lienhypertexte"/>
                <w:noProof/>
              </w:rPr>
              <w:t>21.13.3a Maçonneries portantes en moellons d'arkose CCTB 01.04</w:t>
            </w:r>
            <w:r w:rsidR="00FD58BF">
              <w:rPr>
                <w:noProof/>
                <w:webHidden/>
              </w:rPr>
              <w:tab/>
            </w:r>
            <w:r w:rsidR="00FD58BF">
              <w:rPr>
                <w:noProof/>
                <w:webHidden/>
              </w:rPr>
              <w:fldChar w:fldCharType="begin"/>
            </w:r>
            <w:r w:rsidR="00FD58BF">
              <w:rPr>
                <w:noProof/>
                <w:webHidden/>
              </w:rPr>
              <w:instrText xml:space="preserve"> PAGEREF _Toc178837348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27210212" w14:textId="3EB6249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49" w:history="1">
            <w:r w:rsidR="00FD58BF" w:rsidRPr="003004E5">
              <w:rPr>
                <w:rStyle w:val="Lienhypertexte"/>
                <w:noProof/>
              </w:rPr>
              <w:t>21.13.3b Maçonneries portantes en moellons de schiste CCTB 01.04</w:t>
            </w:r>
            <w:r w:rsidR="00FD58BF">
              <w:rPr>
                <w:noProof/>
                <w:webHidden/>
              </w:rPr>
              <w:tab/>
            </w:r>
            <w:r w:rsidR="00FD58BF">
              <w:rPr>
                <w:noProof/>
                <w:webHidden/>
              </w:rPr>
              <w:fldChar w:fldCharType="begin"/>
            </w:r>
            <w:r w:rsidR="00FD58BF">
              <w:rPr>
                <w:noProof/>
                <w:webHidden/>
              </w:rPr>
              <w:instrText xml:space="preserve"> PAGEREF _Toc178837349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385944F5" w14:textId="6EDB21D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50" w:history="1">
            <w:r w:rsidR="00FD58BF" w:rsidRPr="003004E5">
              <w:rPr>
                <w:rStyle w:val="Lienhypertexte"/>
                <w:noProof/>
              </w:rPr>
              <w:t>21.13.3c Maçonneries portantes en moellons de grès CCTB 01.02</w:t>
            </w:r>
            <w:r w:rsidR="00FD58BF">
              <w:rPr>
                <w:noProof/>
                <w:webHidden/>
              </w:rPr>
              <w:tab/>
            </w:r>
            <w:r w:rsidR="00FD58BF">
              <w:rPr>
                <w:noProof/>
                <w:webHidden/>
              </w:rPr>
              <w:fldChar w:fldCharType="begin"/>
            </w:r>
            <w:r w:rsidR="00FD58BF">
              <w:rPr>
                <w:noProof/>
                <w:webHidden/>
              </w:rPr>
              <w:instrText xml:space="preserve"> PAGEREF _Toc178837350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53B72B5E" w14:textId="3E2F72D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51" w:history="1">
            <w:r w:rsidR="00FD58BF" w:rsidRPr="003004E5">
              <w:rPr>
                <w:rStyle w:val="Lienhypertexte"/>
                <w:noProof/>
              </w:rPr>
              <w:t>21.13.3d Maçonneries portantes en moellons de quartzite CCTB 01.04</w:t>
            </w:r>
            <w:r w:rsidR="00FD58BF">
              <w:rPr>
                <w:noProof/>
                <w:webHidden/>
              </w:rPr>
              <w:tab/>
            </w:r>
            <w:r w:rsidR="00FD58BF">
              <w:rPr>
                <w:noProof/>
                <w:webHidden/>
              </w:rPr>
              <w:fldChar w:fldCharType="begin"/>
            </w:r>
            <w:r w:rsidR="00FD58BF">
              <w:rPr>
                <w:noProof/>
                <w:webHidden/>
              </w:rPr>
              <w:instrText xml:space="preserve"> PAGEREF _Toc178837351 \h </w:instrText>
            </w:r>
            <w:r w:rsidR="00FD58BF">
              <w:rPr>
                <w:noProof/>
                <w:webHidden/>
              </w:rPr>
            </w:r>
            <w:r w:rsidR="00FD58BF">
              <w:rPr>
                <w:noProof/>
                <w:webHidden/>
              </w:rPr>
              <w:fldChar w:fldCharType="separate"/>
            </w:r>
            <w:r w:rsidR="00FD58BF">
              <w:rPr>
                <w:noProof/>
                <w:webHidden/>
              </w:rPr>
              <w:t>177</w:t>
            </w:r>
            <w:r w:rsidR="00FD58BF">
              <w:rPr>
                <w:noProof/>
                <w:webHidden/>
              </w:rPr>
              <w:fldChar w:fldCharType="end"/>
            </w:r>
          </w:hyperlink>
        </w:p>
        <w:p w14:paraId="3507901D" w14:textId="02A993F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52" w:history="1">
            <w:r w:rsidR="00FD58BF" w:rsidRPr="003004E5">
              <w:rPr>
                <w:rStyle w:val="Lienhypertexte"/>
                <w:noProof/>
              </w:rPr>
              <w:t>21.13.3e Maçonneries portantes en moellons de silex CCTB 01.04</w:t>
            </w:r>
            <w:r w:rsidR="00FD58BF">
              <w:rPr>
                <w:noProof/>
                <w:webHidden/>
              </w:rPr>
              <w:tab/>
            </w:r>
            <w:r w:rsidR="00FD58BF">
              <w:rPr>
                <w:noProof/>
                <w:webHidden/>
              </w:rPr>
              <w:fldChar w:fldCharType="begin"/>
            </w:r>
            <w:r w:rsidR="00FD58BF">
              <w:rPr>
                <w:noProof/>
                <w:webHidden/>
              </w:rPr>
              <w:instrText xml:space="preserve"> PAGEREF _Toc178837352 \h </w:instrText>
            </w:r>
            <w:r w:rsidR="00FD58BF">
              <w:rPr>
                <w:noProof/>
                <w:webHidden/>
              </w:rPr>
            </w:r>
            <w:r w:rsidR="00FD58BF">
              <w:rPr>
                <w:noProof/>
                <w:webHidden/>
              </w:rPr>
              <w:fldChar w:fldCharType="separate"/>
            </w:r>
            <w:r w:rsidR="00FD58BF">
              <w:rPr>
                <w:noProof/>
                <w:webHidden/>
              </w:rPr>
              <w:t>178</w:t>
            </w:r>
            <w:r w:rsidR="00FD58BF">
              <w:rPr>
                <w:noProof/>
                <w:webHidden/>
              </w:rPr>
              <w:fldChar w:fldCharType="end"/>
            </w:r>
          </w:hyperlink>
        </w:p>
        <w:p w14:paraId="7E306FA3" w14:textId="0045A62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353" w:history="1">
            <w:r w:rsidR="00FD58BF" w:rsidRPr="003004E5">
              <w:rPr>
                <w:rStyle w:val="Lienhypertexte"/>
                <w:noProof/>
              </w:rPr>
              <w:t>21.14 Maçonneries portantes en grands éléments CCTB 01.04</w:t>
            </w:r>
            <w:r w:rsidR="00FD58BF">
              <w:rPr>
                <w:noProof/>
                <w:webHidden/>
              </w:rPr>
              <w:tab/>
            </w:r>
            <w:r w:rsidR="00FD58BF">
              <w:rPr>
                <w:noProof/>
                <w:webHidden/>
              </w:rPr>
              <w:fldChar w:fldCharType="begin"/>
            </w:r>
            <w:r w:rsidR="00FD58BF">
              <w:rPr>
                <w:noProof/>
                <w:webHidden/>
              </w:rPr>
              <w:instrText xml:space="preserve"> PAGEREF _Toc178837353 \h </w:instrText>
            </w:r>
            <w:r w:rsidR="00FD58BF">
              <w:rPr>
                <w:noProof/>
                <w:webHidden/>
              </w:rPr>
            </w:r>
            <w:r w:rsidR="00FD58BF">
              <w:rPr>
                <w:noProof/>
                <w:webHidden/>
              </w:rPr>
              <w:fldChar w:fldCharType="separate"/>
            </w:r>
            <w:r w:rsidR="00FD58BF">
              <w:rPr>
                <w:noProof/>
                <w:webHidden/>
              </w:rPr>
              <w:t>178</w:t>
            </w:r>
            <w:r w:rsidR="00FD58BF">
              <w:rPr>
                <w:noProof/>
                <w:webHidden/>
              </w:rPr>
              <w:fldChar w:fldCharType="end"/>
            </w:r>
          </w:hyperlink>
        </w:p>
        <w:p w14:paraId="2337CEE1" w14:textId="1B5BB52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54" w:history="1">
            <w:r w:rsidR="00FD58BF" w:rsidRPr="003004E5">
              <w:rPr>
                <w:rStyle w:val="Lienhypertexte"/>
                <w:noProof/>
              </w:rPr>
              <w:t>21.14.1 Maçonneries portantes en éléments de grand format CCTB 01.11</w:t>
            </w:r>
            <w:r w:rsidR="00FD58BF">
              <w:rPr>
                <w:noProof/>
                <w:webHidden/>
              </w:rPr>
              <w:tab/>
            </w:r>
            <w:r w:rsidR="00FD58BF">
              <w:rPr>
                <w:noProof/>
                <w:webHidden/>
              </w:rPr>
              <w:fldChar w:fldCharType="begin"/>
            </w:r>
            <w:r w:rsidR="00FD58BF">
              <w:rPr>
                <w:noProof/>
                <w:webHidden/>
              </w:rPr>
              <w:instrText xml:space="preserve"> PAGEREF _Toc178837354 \h </w:instrText>
            </w:r>
            <w:r w:rsidR="00FD58BF">
              <w:rPr>
                <w:noProof/>
                <w:webHidden/>
              </w:rPr>
            </w:r>
            <w:r w:rsidR="00FD58BF">
              <w:rPr>
                <w:noProof/>
                <w:webHidden/>
              </w:rPr>
              <w:fldChar w:fldCharType="separate"/>
            </w:r>
            <w:r w:rsidR="00FD58BF">
              <w:rPr>
                <w:noProof/>
                <w:webHidden/>
              </w:rPr>
              <w:t>178</w:t>
            </w:r>
            <w:r w:rsidR="00FD58BF">
              <w:rPr>
                <w:noProof/>
                <w:webHidden/>
              </w:rPr>
              <w:fldChar w:fldCharType="end"/>
            </w:r>
          </w:hyperlink>
        </w:p>
        <w:p w14:paraId="2F086196" w14:textId="088B881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55" w:history="1">
            <w:r w:rsidR="00FD58BF" w:rsidRPr="003004E5">
              <w:rPr>
                <w:rStyle w:val="Lienhypertexte"/>
                <w:noProof/>
              </w:rPr>
              <w:t>21.14.1a Maçonneries portantes en éléments de grand format de silico-calcaire CCTB 01.12</w:t>
            </w:r>
            <w:r w:rsidR="00FD58BF">
              <w:rPr>
                <w:noProof/>
                <w:webHidden/>
              </w:rPr>
              <w:tab/>
            </w:r>
            <w:r w:rsidR="00FD58BF">
              <w:rPr>
                <w:noProof/>
                <w:webHidden/>
              </w:rPr>
              <w:fldChar w:fldCharType="begin"/>
            </w:r>
            <w:r w:rsidR="00FD58BF">
              <w:rPr>
                <w:noProof/>
                <w:webHidden/>
              </w:rPr>
              <w:instrText xml:space="preserve"> PAGEREF _Toc178837355 \h </w:instrText>
            </w:r>
            <w:r w:rsidR="00FD58BF">
              <w:rPr>
                <w:noProof/>
                <w:webHidden/>
              </w:rPr>
            </w:r>
            <w:r w:rsidR="00FD58BF">
              <w:rPr>
                <w:noProof/>
                <w:webHidden/>
              </w:rPr>
              <w:fldChar w:fldCharType="separate"/>
            </w:r>
            <w:r w:rsidR="00FD58BF">
              <w:rPr>
                <w:noProof/>
                <w:webHidden/>
              </w:rPr>
              <w:t>179</w:t>
            </w:r>
            <w:r w:rsidR="00FD58BF">
              <w:rPr>
                <w:noProof/>
                <w:webHidden/>
              </w:rPr>
              <w:fldChar w:fldCharType="end"/>
            </w:r>
          </w:hyperlink>
        </w:p>
        <w:p w14:paraId="6F9474C8" w14:textId="7098D9F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56" w:history="1">
            <w:r w:rsidR="00FD58BF" w:rsidRPr="003004E5">
              <w:rPr>
                <w:rStyle w:val="Lienhypertexte"/>
                <w:noProof/>
              </w:rPr>
              <w:t>21.14.2 Maçonneries portantes préfabriquées CCTB 01.04</w:t>
            </w:r>
            <w:r w:rsidR="00FD58BF">
              <w:rPr>
                <w:noProof/>
                <w:webHidden/>
              </w:rPr>
              <w:tab/>
            </w:r>
            <w:r w:rsidR="00FD58BF">
              <w:rPr>
                <w:noProof/>
                <w:webHidden/>
              </w:rPr>
              <w:fldChar w:fldCharType="begin"/>
            </w:r>
            <w:r w:rsidR="00FD58BF">
              <w:rPr>
                <w:noProof/>
                <w:webHidden/>
              </w:rPr>
              <w:instrText xml:space="preserve"> PAGEREF _Toc178837356 \h </w:instrText>
            </w:r>
            <w:r w:rsidR="00FD58BF">
              <w:rPr>
                <w:noProof/>
                <w:webHidden/>
              </w:rPr>
            </w:r>
            <w:r w:rsidR="00FD58BF">
              <w:rPr>
                <w:noProof/>
                <w:webHidden/>
              </w:rPr>
              <w:fldChar w:fldCharType="separate"/>
            </w:r>
            <w:r w:rsidR="00FD58BF">
              <w:rPr>
                <w:noProof/>
                <w:webHidden/>
              </w:rPr>
              <w:t>181</w:t>
            </w:r>
            <w:r w:rsidR="00FD58BF">
              <w:rPr>
                <w:noProof/>
                <w:webHidden/>
              </w:rPr>
              <w:fldChar w:fldCharType="end"/>
            </w:r>
          </w:hyperlink>
        </w:p>
        <w:p w14:paraId="2D510CD3" w14:textId="2AD1BCC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57" w:history="1">
            <w:r w:rsidR="00FD58BF" w:rsidRPr="003004E5">
              <w:rPr>
                <w:rStyle w:val="Lienhypertexte"/>
                <w:noProof/>
              </w:rPr>
              <w:t>21.14.2a Maçonneries portantes préfabriquées en blocs de terre cuite CCTB 01.12</w:t>
            </w:r>
            <w:r w:rsidR="00FD58BF">
              <w:rPr>
                <w:noProof/>
                <w:webHidden/>
              </w:rPr>
              <w:tab/>
            </w:r>
            <w:r w:rsidR="00FD58BF">
              <w:rPr>
                <w:noProof/>
                <w:webHidden/>
              </w:rPr>
              <w:fldChar w:fldCharType="begin"/>
            </w:r>
            <w:r w:rsidR="00FD58BF">
              <w:rPr>
                <w:noProof/>
                <w:webHidden/>
              </w:rPr>
              <w:instrText xml:space="preserve"> PAGEREF _Toc178837357 \h </w:instrText>
            </w:r>
            <w:r w:rsidR="00FD58BF">
              <w:rPr>
                <w:noProof/>
                <w:webHidden/>
              </w:rPr>
            </w:r>
            <w:r w:rsidR="00FD58BF">
              <w:rPr>
                <w:noProof/>
                <w:webHidden/>
              </w:rPr>
              <w:fldChar w:fldCharType="separate"/>
            </w:r>
            <w:r w:rsidR="00FD58BF">
              <w:rPr>
                <w:noProof/>
                <w:webHidden/>
              </w:rPr>
              <w:t>181</w:t>
            </w:r>
            <w:r w:rsidR="00FD58BF">
              <w:rPr>
                <w:noProof/>
                <w:webHidden/>
              </w:rPr>
              <w:fldChar w:fldCharType="end"/>
            </w:r>
          </w:hyperlink>
        </w:p>
        <w:p w14:paraId="1965D159" w14:textId="56B9504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58" w:history="1">
            <w:r w:rsidR="00FD58BF" w:rsidRPr="003004E5">
              <w:rPr>
                <w:rStyle w:val="Lienhypertexte"/>
                <w:noProof/>
              </w:rPr>
              <w:t>21.14.2b Maçonneries portantes préfabriquées en blocs de béton CCTB 01.11</w:t>
            </w:r>
            <w:r w:rsidR="00FD58BF">
              <w:rPr>
                <w:noProof/>
                <w:webHidden/>
              </w:rPr>
              <w:tab/>
            </w:r>
            <w:r w:rsidR="00FD58BF">
              <w:rPr>
                <w:noProof/>
                <w:webHidden/>
              </w:rPr>
              <w:fldChar w:fldCharType="begin"/>
            </w:r>
            <w:r w:rsidR="00FD58BF">
              <w:rPr>
                <w:noProof/>
                <w:webHidden/>
              </w:rPr>
              <w:instrText xml:space="preserve"> PAGEREF _Toc178837358 \h </w:instrText>
            </w:r>
            <w:r w:rsidR="00FD58BF">
              <w:rPr>
                <w:noProof/>
                <w:webHidden/>
              </w:rPr>
            </w:r>
            <w:r w:rsidR="00FD58BF">
              <w:rPr>
                <w:noProof/>
                <w:webHidden/>
              </w:rPr>
              <w:fldChar w:fldCharType="separate"/>
            </w:r>
            <w:r w:rsidR="00FD58BF">
              <w:rPr>
                <w:noProof/>
                <w:webHidden/>
              </w:rPr>
              <w:t>182</w:t>
            </w:r>
            <w:r w:rsidR="00FD58BF">
              <w:rPr>
                <w:noProof/>
                <w:webHidden/>
              </w:rPr>
              <w:fldChar w:fldCharType="end"/>
            </w:r>
          </w:hyperlink>
        </w:p>
        <w:p w14:paraId="721CFCE0" w14:textId="6FD4F20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59" w:history="1">
            <w:r w:rsidR="00FD58BF" w:rsidRPr="003004E5">
              <w:rPr>
                <w:rStyle w:val="Lienhypertexte"/>
                <w:noProof/>
              </w:rPr>
              <w:t>21.14.2c Maçonneries portantes préfabriquées en blocs de béton d'argile expansée CCTB 01.11</w:t>
            </w:r>
            <w:r w:rsidR="00FD58BF">
              <w:rPr>
                <w:noProof/>
                <w:webHidden/>
              </w:rPr>
              <w:tab/>
            </w:r>
            <w:r w:rsidR="00FD58BF">
              <w:rPr>
                <w:noProof/>
                <w:webHidden/>
              </w:rPr>
              <w:fldChar w:fldCharType="begin"/>
            </w:r>
            <w:r w:rsidR="00FD58BF">
              <w:rPr>
                <w:noProof/>
                <w:webHidden/>
              </w:rPr>
              <w:instrText xml:space="preserve"> PAGEREF _Toc178837359 \h </w:instrText>
            </w:r>
            <w:r w:rsidR="00FD58BF">
              <w:rPr>
                <w:noProof/>
                <w:webHidden/>
              </w:rPr>
            </w:r>
            <w:r w:rsidR="00FD58BF">
              <w:rPr>
                <w:noProof/>
                <w:webHidden/>
              </w:rPr>
              <w:fldChar w:fldCharType="separate"/>
            </w:r>
            <w:r w:rsidR="00FD58BF">
              <w:rPr>
                <w:noProof/>
                <w:webHidden/>
              </w:rPr>
              <w:t>183</w:t>
            </w:r>
            <w:r w:rsidR="00FD58BF">
              <w:rPr>
                <w:noProof/>
                <w:webHidden/>
              </w:rPr>
              <w:fldChar w:fldCharType="end"/>
            </w:r>
          </w:hyperlink>
        </w:p>
        <w:p w14:paraId="5D1E0A65" w14:textId="24E5F10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60" w:history="1">
            <w:r w:rsidR="00FD58BF" w:rsidRPr="003004E5">
              <w:rPr>
                <w:rStyle w:val="Lienhypertexte"/>
                <w:noProof/>
              </w:rPr>
              <w:t>21.14.2d Maçonneries portantes préfabriquées en blocs de silico-calcaire CCTB 01.12</w:t>
            </w:r>
            <w:r w:rsidR="00FD58BF">
              <w:rPr>
                <w:noProof/>
                <w:webHidden/>
              </w:rPr>
              <w:tab/>
            </w:r>
            <w:r w:rsidR="00FD58BF">
              <w:rPr>
                <w:noProof/>
                <w:webHidden/>
              </w:rPr>
              <w:fldChar w:fldCharType="begin"/>
            </w:r>
            <w:r w:rsidR="00FD58BF">
              <w:rPr>
                <w:noProof/>
                <w:webHidden/>
              </w:rPr>
              <w:instrText xml:space="preserve"> PAGEREF _Toc178837360 \h </w:instrText>
            </w:r>
            <w:r w:rsidR="00FD58BF">
              <w:rPr>
                <w:noProof/>
                <w:webHidden/>
              </w:rPr>
            </w:r>
            <w:r w:rsidR="00FD58BF">
              <w:rPr>
                <w:noProof/>
                <w:webHidden/>
              </w:rPr>
              <w:fldChar w:fldCharType="separate"/>
            </w:r>
            <w:r w:rsidR="00FD58BF">
              <w:rPr>
                <w:noProof/>
                <w:webHidden/>
              </w:rPr>
              <w:t>184</w:t>
            </w:r>
            <w:r w:rsidR="00FD58BF">
              <w:rPr>
                <w:noProof/>
                <w:webHidden/>
              </w:rPr>
              <w:fldChar w:fldCharType="end"/>
            </w:r>
          </w:hyperlink>
        </w:p>
        <w:p w14:paraId="6481A99E" w14:textId="367F2D3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361" w:history="1">
            <w:r w:rsidR="00FD58BF" w:rsidRPr="003004E5">
              <w:rPr>
                <w:rStyle w:val="Lienhypertexte"/>
                <w:noProof/>
              </w:rPr>
              <w:t>21.15 Maçonneries portantes particulières CCTB 01.02</w:t>
            </w:r>
            <w:r w:rsidR="00FD58BF">
              <w:rPr>
                <w:noProof/>
                <w:webHidden/>
              </w:rPr>
              <w:tab/>
            </w:r>
            <w:r w:rsidR="00FD58BF">
              <w:rPr>
                <w:noProof/>
                <w:webHidden/>
              </w:rPr>
              <w:fldChar w:fldCharType="begin"/>
            </w:r>
            <w:r w:rsidR="00FD58BF">
              <w:rPr>
                <w:noProof/>
                <w:webHidden/>
              </w:rPr>
              <w:instrText xml:space="preserve"> PAGEREF _Toc178837361 \h </w:instrText>
            </w:r>
            <w:r w:rsidR="00FD58BF">
              <w:rPr>
                <w:noProof/>
                <w:webHidden/>
              </w:rPr>
            </w:r>
            <w:r w:rsidR="00FD58BF">
              <w:rPr>
                <w:noProof/>
                <w:webHidden/>
              </w:rPr>
              <w:fldChar w:fldCharType="separate"/>
            </w:r>
            <w:r w:rsidR="00FD58BF">
              <w:rPr>
                <w:noProof/>
                <w:webHidden/>
              </w:rPr>
              <w:t>186</w:t>
            </w:r>
            <w:r w:rsidR="00FD58BF">
              <w:rPr>
                <w:noProof/>
                <w:webHidden/>
              </w:rPr>
              <w:fldChar w:fldCharType="end"/>
            </w:r>
          </w:hyperlink>
        </w:p>
        <w:p w14:paraId="5D5505F0" w14:textId="4E06CEE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62" w:history="1">
            <w:r w:rsidR="00FD58BF" w:rsidRPr="003004E5">
              <w:rPr>
                <w:rStyle w:val="Lienhypertexte"/>
                <w:noProof/>
              </w:rPr>
              <w:t>21.15.1 Escaliers en maçonnerie CCTB 01.11</w:t>
            </w:r>
            <w:r w:rsidR="00FD58BF">
              <w:rPr>
                <w:noProof/>
                <w:webHidden/>
              </w:rPr>
              <w:tab/>
            </w:r>
            <w:r w:rsidR="00FD58BF">
              <w:rPr>
                <w:noProof/>
                <w:webHidden/>
              </w:rPr>
              <w:fldChar w:fldCharType="begin"/>
            </w:r>
            <w:r w:rsidR="00FD58BF">
              <w:rPr>
                <w:noProof/>
                <w:webHidden/>
              </w:rPr>
              <w:instrText xml:space="preserve"> PAGEREF _Toc178837362 \h </w:instrText>
            </w:r>
            <w:r w:rsidR="00FD58BF">
              <w:rPr>
                <w:noProof/>
                <w:webHidden/>
              </w:rPr>
            </w:r>
            <w:r w:rsidR="00FD58BF">
              <w:rPr>
                <w:noProof/>
                <w:webHidden/>
              </w:rPr>
              <w:fldChar w:fldCharType="separate"/>
            </w:r>
            <w:r w:rsidR="00FD58BF">
              <w:rPr>
                <w:noProof/>
                <w:webHidden/>
              </w:rPr>
              <w:t>186</w:t>
            </w:r>
            <w:r w:rsidR="00FD58BF">
              <w:rPr>
                <w:noProof/>
                <w:webHidden/>
              </w:rPr>
              <w:fldChar w:fldCharType="end"/>
            </w:r>
          </w:hyperlink>
        </w:p>
        <w:p w14:paraId="21D1A57A" w14:textId="6A6BDE2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63" w:history="1">
            <w:r w:rsidR="00FD58BF" w:rsidRPr="003004E5">
              <w:rPr>
                <w:rStyle w:val="Lienhypertexte"/>
                <w:noProof/>
              </w:rPr>
              <w:t>21.15.1a Assises d'escaliers en maçonnerie (pour finition ultérieure) CCTB 01.04</w:t>
            </w:r>
            <w:r w:rsidR="00FD58BF">
              <w:rPr>
                <w:noProof/>
                <w:webHidden/>
              </w:rPr>
              <w:tab/>
            </w:r>
            <w:r w:rsidR="00FD58BF">
              <w:rPr>
                <w:noProof/>
                <w:webHidden/>
              </w:rPr>
              <w:fldChar w:fldCharType="begin"/>
            </w:r>
            <w:r w:rsidR="00FD58BF">
              <w:rPr>
                <w:noProof/>
                <w:webHidden/>
              </w:rPr>
              <w:instrText xml:space="preserve"> PAGEREF _Toc178837363 \h </w:instrText>
            </w:r>
            <w:r w:rsidR="00FD58BF">
              <w:rPr>
                <w:noProof/>
                <w:webHidden/>
              </w:rPr>
            </w:r>
            <w:r w:rsidR="00FD58BF">
              <w:rPr>
                <w:noProof/>
                <w:webHidden/>
              </w:rPr>
              <w:fldChar w:fldCharType="separate"/>
            </w:r>
            <w:r w:rsidR="00FD58BF">
              <w:rPr>
                <w:noProof/>
                <w:webHidden/>
              </w:rPr>
              <w:t>188</w:t>
            </w:r>
            <w:r w:rsidR="00FD58BF">
              <w:rPr>
                <w:noProof/>
                <w:webHidden/>
              </w:rPr>
              <w:fldChar w:fldCharType="end"/>
            </w:r>
          </w:hyperlink>
        </w:p>
        <w:p w14:paraId="02C5F245" w14:textId="514CD64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64" w:history="1">
            <w:r w:rsidR="00FD58BF" w:rsidRPr="003004E5">
              <w:rPr>
                <w:rStyle w:val="Lienhypertexte"/>
                <w:noProof/>
              </w:rPr>
              <w:t>21.15.1b Escaliers en briques CCTB 01.02</w:t>
            </w:r>
            <w:r w:rsidR="00FD58BF">
              <w:rPr>
                <w:noProof/>
                <w:webHidden/>
              </w:rPr>
              <w:tab/>
            </w:r>
            <w:r w:rsidR="00FD58BF">
              <w:rPr>
                <w:noProof/>
                <w:webHidden/>
              </w:rPr>
              <w:fldChar w:fldCharType="begin"/>
            </w:r>
            <w:r w:rsidR="00FD58BF">
              <w:rPr>
                <w:noProof/>
                <w:webHidden/>
              </w:rPr>
              <w:instrText xml:space="preserve"> PAGEREF _Toc178837364 \h </w:instrText>
            </w:r>
            <w:r w:rsidR="00FD58BF">
              <w:rPr>
                <w:noProof/>
                <w:webHidden/>
              </w:rPr>
            </w:r>
            <w:r w:rsidR="00FD58BF">
              <w:rPr>
                <w:noProof/>
                <w:webHidden/>
              </w:rPr>
              <w:fldChar w:fldCharType="separate"/>
            </w:r>
            <w:r w:rsidR="00FD58BF">
              <w:rPr>
                <w:noProof/>
                <w:webHidden/>
              </w:rPr>
              <w:t>188</w:t>
            </w:r>
            <w:r w:rsidR="00FD58BF">
              <w:rPr>
                <w:noProof/>
                <w:webHidden/>
              </w:rPr>
              <w:fldChar w:fldCharType="end"/>
            </w:r>
          </w:hyperlink>
        </w:p>
        <w:p w14:paraId="7EEBF656" w14:textId="4BFF6B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65" w:history="1">
            <w:r w:rsidR="00FD58BF" w:rsidRPr="003004E5">
              <w:rPr>
                <w:rStyle w:val="Lienhypertexte"/>
                <w:noProof/>
              </w:rPr>
              <w:t>21.15.1c Escaliers en pierre naturelle CCTB 01.02</w:t>
            </w:r>
            <w:r w:rsidR="00FD58BF">
              <w:rPr>
                <w:noProof/>
                <w:webHidden/>
              </w:rPr>
              <w:tab/>
            </w:r>
            <w:r w:rsidR="00FD58BF">
              <w:rPr>
                <w:noProof/>
                <w:webHidden/>
              </w:rPr>
              <w:fldChar w:fldCharType="begin"/>
            </w:r>
            <w:r w:rsidR="00FD58BF">
              <w:rPr>
                <w:noProof/>
                <w:webHidden/>
              </w:rPr>
              <w:instrText xml:space="preserve"> PAGEREF _Toc178837365 \h </w:instrText>
            </w:r>
            <w:r w:rsidR="00FD58BF">
              <w:rPr>
                <w:noProof/>
                <w:webHidden/>
              </w:rPr>
            </w:r>
            <w:r w:rsidR="00FD58BF">
              <w:rPr>
                <w:noProof/>
                <w:webHidden/>
              </w:rPr>
              <w:fldChar w:fldCharType="separate"/>
            </w:r>
            <w:r w:rsidR="00FD58BF">
              <w:rPr>
                <w:noProof/>
                <w:webHidden/>
              </w:rPr>
              <w:t>188</w:t>
            </w:r>
            <w:r w:rsidR="00FD58BF">
              <w:rPr>
                <w:noProof/>
                <w:webHidden/>
              </w:rPr>
              <w:fldChar w:fldCharType="end"/>
            </w:r>
          </w:hyperlink>
        </w:p>
        <w:p w14:paraId="3D564711" w14:textId="3467580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66" w:history="1">
            <w:r w:rsidR="00FD58BF" w:rsidRPr="003004E5">
              <w:rPr>
                <w:rStyle w:val="Lienhypertexte"/>
                <w:noProof/>
              </w:rPr>
              <w:t>21.15.1d Assises d'escaliers en maçonnerie en blocs de béton CCTB 01.04</w:t>
            </w:r>
            <w:r w:rsidR="00FD58BF">
              <w:rPr>
                <w:noProof/>
                <w:webHidden/>
              </w:rPr>
              <w:tab/>
            </w:r>
            <w:r w:rsidR="00FD58BF">
              <w:rPr>
                <w:noProof/>
                <w:webHidden/>
              </w:rPr>
              <w:fldChar w:fldCharType="begin"/>
            </w:r>
            <w:r w:rsidR="00FD58BF">
              <w:rPr>
                <w:noProof/>
                <w:webHidden/>
              </w:rPr>
              <w:instrText xml:space="preserve"> PAGEREF _Toc178837366 \h </w:instrText>
            </w:r>
            <w:r w:rsidR="00FD58BF">
              <w:rPr>
                <w:noProof/>
                <w:webHidden/>
              </w:rPr>
            </w:r>
            <w:r w:rsidR="00FD58BF">
              <w:rPr>
                <w:noProof/>
                <w:webHidden/>
              </w:rPr>
              <w:fldChar w:fldCharType="separate"/>
            </w:r>
            <w:r w:rsidR="00FD58BF">
              <w:rPr>
                <w:noProof/>
                <w:webHidden/>
              </w:rPr>
              <w:t>188</w:t>
            </w:r>
            <w:r w:rsidR="00FD58BF">
              <w:rPr>
                <w:noProof/>
                <w:webHidden/>
              </w:rPr>
              <w:fldChar w:fldCharType="end"/>
            </w:r>
          </w:hyperlink>
        </w:p>
        <w:p w14:paraId="31F13177" w14:textId="7FBFAB3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67" w:history="1">
            <w:r w:rsidR="00FD58BF" w:rsidRPr="003004E5">
              <w:rPr>
                <w:rStyle w:val="Lienhypertexte"/>
                <w:noProof/>
              </w:rPr>
              <w:t>21.15.1e Assises d'escaliers en maçonnerie en briques CCTB 01.04</w:t>
            </w:r>
            <w:r w:rsidR="00FD58BF">
              <w:rPr>
                <w:noProof/>
                <w:webHidden/>
              </w:rPr>
              <w:tab/>
            </w:r>
            <w:r w:rsidR="00FD58BF">
              <w:rPr>
                <w:noProof/>
                <w:webHidden/>
              </w:rPr>
              <w:fldChar w:fldCharType="begin"/>
            </w:r>
            <w:r w:rsidR="00FD58BF">
              <w:rPr>
                <w:noProof/>
                <w:webHidden/>
              </w:rPr>
              <w:instrText xml:space="preserve"> PAGEREF _Toc178837367 \h </w:instrText>
            </w:r>
            <w:r w:rsidR="00FD58BF">
              <w:rPr>
                <w:noProof/>
                <w:webHidden/>
              </w:rPr>
            </w:r>
            <w:r w:rsidR="00FD58BF">
              <w:rPr>
                <w:noProof/>
                <w:webHidden/>
              </w:rPr>
              <w:fldChar w:fldCharType="separate"/>
            </w:r>
            <w:r w:rsidR="00FD58BF">
              <w:rPr>
                <w:noProof/>
                <w:webHidden/>
              </w:rPr>
              <w:t>188</w:t>
            </w:r>
            <w:r w:rsidR="00FD58BF">
              <w:rPr>
                <w:noProof/>
                <w:webHidden/>
              </w:rPr>
              <w:fldChar w:fldCharType="end"/>
            </w:r>
          </w:hyperlink>
        </w:p>
        <w:p w14:paraId="0D03775A" w14:textId="284B4A4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68" w:history="1">
            <w:r w:rsidR="00FD58BF" w:rsidRPr="003004E5">
              <w:rPr>
                <w:rStyle w:val="Lienhypertexte"/>
                <w:noProof/>
              </w:rPr>
              <w:t>21.15.1f Finitions d'escaliers CCTB 01.04</w:t>
            </w:r>
            <w:r w:rsidR="00FD58BF">
              <w:rPr>
                <w:noProof/>
                <w:webHidden/>
              </w:rPr>
              <w:tab/>
            </w:r>
            <w:r w:rsidR="00FD58BF">
              <w:rPr>
                <w:noProof/>
                <w:webHidden/>
              </w:rPr>
              <w:fldChar w:fldCharType="begin"/>
            </w:r>
            <w:r w:rsidR="00FD58BF">
              <w:rPr>
                <w:noProof/>
                <w:webHidden/>
              </w:rPr>
              <w:instrText xml:space="preserve"> PAGEREF _Toc178837368 \h </w:instrText>
            </w:r>
            <w:r w:rsidR="00FD58BF">
              <w:rPr>
                <w:noProof/>
                <w:webHidden/>
              </w:rPr>
            </w:r>
            <w:r w:rsidR="00FD58BF">
              <w:rPr>
                <w:noProof/>
                <w:webHidden/>
              </w:rPr>
              <w:fldChar w:fldCharType="separate"/>
            </w:r>
            <w:r w:rsidR="00FD58BF">
              <w:rPr>
                <w:noProof/>
                <w:webHidden/>
              </w:rPr>
              <w:t>188</w:t>
            </w:r>
            <w:r w:rsidR="00FD58BF">
              <w:rPr>
                <w:noProof/>
                <w:webHidden/>
              </w:rPr>
              <w:fldChar w:fldCharType="end"/>
            </w:r>
          </w:hyperlink>
        </w:p>
        <w:p w14:paraId="5906785B" w14:textId="062962C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69" w:history="1">
            <w:r w:rsidR="00FD58BF" w:rsidRPr="003004E5">
              <w:rPr>
                <w:rStyle w:val="Lienhypertexte"/>
                <w:noProof/>
              </w:rPr>
              <w:t>21.15.2 Garde-corps et rampes en maçonnerie CCTB 01.11</w:t>
            </w:r>
            <w:r w:rsidR="00FD58BF">
              <w:rPr>
                <w:noProof/>
                <w:webHidden/>
              </w:rPr>
              <w:tab/>
            </w:r>
            <w:r w:rsidR="00FD58BF">
              <w:rPr>
                <w:noProof/>
                <w:webHidden/>
              </w:rPr>
              <w:fldChar w:fldCharType="begin"/>
            </w:r>
            <w:r w:rsidR="00FD58BF">
              <w:rPr>
                <w:noProof/>
                <w:webHidden/>
              </w:rPr>
              <w:instrText xml:space="preserve"> PAGEREF _Toc178837369 \h </w:instrText>
            </w:r>
            <w:r w:rsidR="00FD58BF">
              <w:rPr>
                <w:noProof/>
                <w:webHidden/>
              </w:rPr>
            </w:r>
            <w:r w:rsidR="00FD58BF">
              <w:rPr>
                <w:noProof/>
                <w:webHidden/>
              </w:rPr>
              <w:fldChar w:fldCharType="separate"/>
            </w:r>
            <w:r w:rsidR="00FD58BF">
              <w:rPr>
                <w:noProof/>
                <w:webHidden/>
              </w:rPr>
              <w:t>188</w:t>
            </w:r>
            <w:r w:rsidR="00FD58BF">
              <w:rPr>
                <w:noProof/>
                <w:webHidden/>
              </w:rPr>
              <w:fldChar w:fldCharType="end"/>
            </w:r>
          </w:hyperlink>
        </w:p>
        <w:p w14:paraId="684431E5" w14:textId="7F1A081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70" w:history="1">
            <w:r w:rsidR="00FD58BF" w:rsidRPr="003004E5">
              <w:rPr>
                <w:rStyle w:val="Lienhypertexte"/>
                <w:noProof/>
              </w:rPr>
              <w:t>21.15.2a Garde-corps en briques de terre cuite CCTB 01.04</w:t>
            </w:r>
            <w:r w:rsidR="00FD58BF">
              <w:rPr>
                <w:noProof/>
                <w:webHidden/>
              </w:rPr>
              <w:tab/>
            </w:r>
            <w:r w:rsidR="00FD58BF">
              <w:rPr>
                <w:noProof/>
                <w:webHidden/>
              </w:rPr>
              <w:fldChar w:fldCharType="begin"/>
            </w:r>
            <w:r w:rsidR="00FD58BF">
              <w:rPr>
                <w:noProof/>
                <w:webHidden/>
              </w:rPr>
              <w:instrText xml:space="preserve"> PAGEREF _Toc178837370 \h </w:instrText>
            </w:r>
            <w:r w:rsidR="00FD58BF">
              <w:rPr>
                <w:noProof/>
                <w:webHidden/>
              </w:rPr>
            </w:r>
            <w:r w:rsidR="00FD58BF">
              <w:rPr>
                <w:noProof/>
                <w:webHidden/>
              </w:rPr>
              <w:fldChar w:fldCharType="separate"/>
            </w:r>
            <w:r w:rsidR="00FD58BF">
              <w:rPr>
                <w:noProof/>
                <w:webHidden/>
              </w:rPr>
              <w:t>189</w:t>
            </w:r>
            <w:r w:rsidR="00FD58BF">
              <w:rPr>
                <w:noProof/>
                <w:webHidden/>
              </w:rPr>
              <w:fldChar w:fldCharType="end"/>
            </w:r>
          </w:hyperlink>
        </w:p>
        <w:p w14:paraId="1B3AFB2E" w14:textId="1F56890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71" w:history="1">
            <w:r w:rsidR="00FD58BF" w:rsidRPr="003004E5">
              <w:rPr>
                <w:rStyle w:val="Lienhypertexte"/>
                <w:noProof/>
              </w:rPr>
              <w:t>21.15.2b Garde-corps en briques de béton CCTB 01.04</w:t>
            </w:r>
            <w:r w:rsidR="00FD58BF">
              <w:rPr>
                <w:noProof/>
                <w:webHidden/>
              </w:rPr>
              <w:tab/>
            </w:r>
            <w:r w:rsidR="00FD58BF">
              <w:rPr>
                <w:noProof/>
                <w:webHidden/>
              </w:rPr>
              <w:fldChar w:fldCharType="begin"/>
            </w:r>
            <w:r w:rsidR="00FD58BF">
              <w:rPr>
                <w:noProof/>
                <w:webHidden/>
              </w:rPr>
              <w:instrText xml:space="preserve"> PAGEREF _Toc178837371 \h </w:instrText>
            </w:r>
            <w:r w:rsidR="00FD58BF">
              <w:rPr>
                <w:noProof/>
                <w:webHidden/>
              </w:rPr>
            </w:r>
            <w:r w:rsidR="00FD58BF">
              <w:rPr>
                <w:noProof/>
                <w:webHidden/>
              </w:rPr>
              <w:fldChar w:fldCharType="separate"/>
            </w:r>
            <w:r w:rsidR="00FD58BF">
              <w:rPr>
                <w:noProof/>
                <w:webHidden/>
              </w:rPr>
              <w:t>189</w:t>
            </w:r>
            <w:r w:rsidR="00FD58BF">
              <w:rPr>
                <w:noProof/>
                <w:webHidden/>
              </w:rPr>
              <w:fldChar w:fldCharType="end"/>
            </w:r>
          </w:hyperlink>
        </w:p>
        <w:p w14:paraId="40C2D726" w14:textId="1BF0CFD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72" w:history="1">
            <w:r w:rsidR="00FD58BF" w:rsidRPr="003004E5">
              <w:rPr>
                <w:rStyle w:val="Lienhypertexte"/>
                <w:noProof/>
              </w:rPr>
              <w:t>21.15.2c Garde-corps en blocs de béton CCTB 01.04</w:t>
            </w:r>
            <w:r w:rsidR="00FD58BF">
              <w:rPr>
                <w:noProof/>
                <w:webHidden/>
              </w:rPr>
              <w:tab/>
            </w:r>
            <w:r w:rsidR="00FD58BF">
              <w:rPr>
                <w:noProof/>
                <w:webHidden/>
              </w:rPr>
              <w:fldChar w:fldCharType="begin"/>
            </w:r>
            <w:r w:rsidR="00FD58BF">
              <w:rPr>
                <w:noProof/>
                <w:webHidden/>
              </w:rPr>
              <w:instrText xml:space="preserve"> PAGEREF _Toc178837372 \h </w:instrText>
            </w:r>
            <w:r w:rsidR="00FD58BF">
              <w:rPr>
                <w:noProof/>
                <w:webHidden/>
              </w:rPr>
            </w:r>
            <w:r w:rsidR="00FD58BF">
              <w:rPr>
                <w:noProof/>
                <w:webHidden/>
              </w:rPr>
              <w:fldChar w:fldCharType="separate"/>
            </w:r>
            <w:r w:rsidR="00FD58BF">
              <w:rPr>
                <w:noProof/>
                <w:webHidden/>
              </w:rPr>
              <w:t>189</w:t>
            </w:r>
            <w:r w:rsidR="00FD58BF">
              <w:rPr>
                <w:noProof/>
                <w:webHidden/>
              </w:rPr>
              <w:fldChar w:fldCharType="end"/>
            </w:r>
          </w:hyperlink>
        </w:p>
        <w:p w14:paraId="0DC49291" w14:textId="1A80118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73" w:history="1">
            <w:r w:rsidR="00FD58BF" w:rsidRPr="003004E5">
              <w:rPr>
                <w:rStyle w:val="Lienhypertexte"/>
                <w:noProof/>
              </w:rPr>
              <w:t>21.15.2d Garde-corps en pierre naturelle CCTB 01.02</w:t>
            </w:r>
            <w:r w:rsidR="00FD58BF">
              <w:rPr>
                <w:noProof/>
                <w:webHidden/>
              </w:rPr>
              <w:tab/>
            </w:r>
            <w:r w:rsidR="00FD58BF">
              <w:rPr>
                <w:noProof/>
                <w:webHidden/>
              </w:rPr>
              <w:fldChar w:fldCharType="begin"/>
            </w:r>
            <w:r w:rsidR="00FD58BF">
              <w:rPr>
                <w:noProof/>
                <w:webHidden/>
              </w:rPr>
              <w:instrText xml:space="preserve"> PAGEREF _Toc178837373 \h </w:instrText>
            </w:r>
            <w:r w:rsidR="00FD58BF">
              <w:rPr>
                <w:noProof/>
                <w:webHidden/>
              </w:rPr>
            </w:r>
            <w:r w:rsidR="00FD58BF">
              <w:rPr>
                <w:noProof/>
                <w:webHidden/>
              </w:rPr>
              <w:fldChar w:fldCharType="separate"/>
            </w:r>
            <w:r w:rsidR="00FD58BF">
              <w:rPr>
                <w:noProof/>
                <w:webHidden/>
              </w:rPr>
              <w:t>189</w:t>
            </w:r>
            <w:r w:rsidR="00FD58BF">
              <w:rPr>
                <w:noProof/>
                <w:webHidden/>
              </w:rPr>
              <w:fldChar w:fldCharType="end"/>
            </w:r>
          </w:hyperlink>
        </w:p>
        <w:p w14:paraId="49377C46" w14:textId="7905C22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74" w:history="1">
            <w:r w:rsidR="00FD58BF" w:rsidRPr="003004E5">
              <w:rPr>
                <w:rStyle w:val="Lienhypertexte"/>
                <w:noProof/>
              </w:rPr>
              <w:t>21.15.3 Colonnes et piliers CCTB 01.11</w:t>
            </w:r>
            <w:r w:rsidR="00FD58BF">
              <w:rPr>
                <w:noProof/>
                <w:webHidden/>
              </w:rPr>
              <w:tab/>
            </w:r>
            <w:r w:rsidR="00FD58BF">
              <w:rPr>
                <w:noProof/>
                <w:webHidden/>
              </w:rPr>
              <w:fldChar w:fldCharType="begin"/>
            </w:r>
            <w:r w:rsidR="00FD58BF">
              <w:rPr>
                <w:noProof/>
                <w:webHidden/>
              </w:rPr>
              <w:instrText xml:space="preserve"> PAGEREF _Toc178837374 \h </w:instrText>
            </w:r>
            <w:r w:rsidR="00FD58BF">
              <w:rPr>
                <w:noProof/>
                <w:webHidden/>
              </w:rPr>
            </w:r>
            <w:r w:rsidR="00FD58BF">
              <w:rPr>
                <w:noProof/>
                <w:webHidden/>
              </w:rPr>
              <w:fldChar w:fldCharType="separate"/>
            </w:r>
            <w:r w:rsidR="00FD58BF">
              <w:rPr>
                <w:noProof/>
                <w:webHidden/>
              </w:rPr>
              <w:t>189</w:t>
            </w:r>
            <w:r w:rsidR="00FD58BF">
              <w:rPr>
                <w:noProof/>
                <w:webHidden/>
              </w:rPr>
              <w:fldChar w:fldCharType="end"/>
            </w:r>
          </w:hyperlink>
        </w:p>
        <w:p w14:paraId="70A75AB9" w14:textId="12F8B35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75" w:history="1">
            <w:r w:rsidR="00FD58BF" w:rsidRPr="003004E5">
              <w:rPr>
                <w:rStyle w:val="Lienhypertexte"/>
                <w:noProof/>
              </w:rPr>
              <w:t>21.15.3a Colonnes et piliers en briques de terre cuite CCTB 01.12</w:t>
            </w:r>
            <w:r w:rsidR="00FD58BF">
              <w:rPr>
                <w:noProof/>
                <w:webHidden/>
              </w:rPr>
              <w:tab/>
            </w:r>
            <w:r w:rsidR="00FD58BF">
              <w:rPr>
                <w:noProof/>
                <w:webHidden/>
              </w:rPr>
              <w:fldChar w:fldCharType="begin"/>
            </w:r>
            <w:r w:rsidR="00FD58BF">
              <w:rPr>
                <w:noProof/>
                <w:webHidden/>
              </w:rPr>
              <w:instrText xml:space="preserve"> PAGEREF _Toc178837375 \h </w:instrText>
            </w:r>
            <w:r w:rsidR="00FD58BF">
              <w:rPr>
                <w:noProof/>
                <w:webHidden/>
              </w:rPr>
            </w:r>
            <w:r w:rsidR="00FD58BF">
              <w:rPr>
                <w:noProof/>
                <w:webHidden/>
              </w:rPr>
              <w:fldChar w:fldCharType="separate"/>
            </w:r>
            <w:r w:rsidR="00FD58BF">
              <w:rPr>
                <w:noProof/>
                <w:webHidden/>
              </w:rPr>
              <w:t>189</w:t>
            </w:r>
            <w:r w:rsidR="00FD58BF">
              <w:rPr>
                <w:noProof/>
                <w:webHidden/>
              </w:rPr>
              <w:fldChar w:fldCharType="end"/>
            </w:r>
          </w:hyperlink>
        </w:p>
        <w:p w14:paraId="5F506E7B" w14:textId="4FA440E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76" w:history="1">
            <w:r w:rsidR="00FD58BF" w:rsidRPr="003004E5">
              <w:rPr>
                <w:rStyle w:val="Lienhypertexte"/>
                <w:noProof/>
              </w:rPr>
              <w:t>21.15.3b Colonnes et piliers en briques de béton CCTB 01.11</w:t>
            </w:r>
            <w:r w:rsidR="00FD58BF">
              <w:rPr>
                <w:noProof/>
                <w:webHidden/>
              </w:rPr>
              <w:tab/>
            </w:r>
            <w:r w:rsidR="00FD58BF">
              <w:rPr>
                <w:noProof/>
                <w:webHidden/>
              </w:rPr>
              <w:fldChar w:fldCharType="begin"/>
            </w:r>
            <w:r w:rsidR="00FD58BF">
              <w:rPr>
                <w:noProof/>
                <w:webHidden/>
              </w:rPr>
              <w:instrText xml:space="preserve"> PAGEREF _Toc178837376 \h </w:instrText>
            </w:r>
            <w:r w:rsidR="00FD58BF">
              <w:rPr>
                <w:noProof/>
                <w:webHidden/>
              </w:rPr>
            </w:r>
            <w:r w:rsidR="00FD58BF">
              <w:rPr>
                <w:noProof/>
                <w:webHidden/>
              </w:rPr>
              <w:fldChar w:fldCharType="separate"/>
            </w:r>
            <w:r w:rsidR="00FD58BF">
              <w:rPr>
                <w:noProof/>
                <w:webHidden/>
              </w:rPr>
              <w:t>191</w:t>
            </w:r>
            <w:r w:rsidR="00FD58BF">
              <w:rPr>
                <w:noProof/>
                <w:webHidden/>
              </w:rPr>
              <w:fldChar w:fldCharType="end"/>
            </w:r>
          </w:hyperlink>
        </w:p>
        <w:p w14:paraId="2BAB4784" w14:textId="7A25BAA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77" w:history="1">
            <w:r w:rsidR="00FD58BF" w:rsidRPr="003004E5">
              <w:rPr>
                <w:rStyle w:val="Lienhypertexte"/>
                <w:noProof/>
              </w:rPr>
              <w:t>21.15.3c Colonnes et piliers en blocs de béton CCTB 01.04</w:t>
            </w:r>
            <w:r w:rsidR="00FD58BF">
              <w:rPr>
                <w:noProof/>
                <w:webHidden/>
              </w:rPr>
              <w:tab/>
            </w:r>
            <w:r w:rsidR="00FD58BF">
              <w:rPr>
                <w:noProof/>
                <w:webHidden/>
              </w:rPr>
              <w:fldChar w:fldCharType="begin"/>
            </w:r>
            <w:r w:rsidR="00FD58BF">
              <w:rPr>
                <w:noProof/>
                <w:webHidden/>
              </w:rPr>
              <w:instrText xml:space="preserve"> PAGEREF _Toc178837377 \h </w:instrText>
            </w:r>
            <w:r w:rsidR="00FD58BF">
              <w:rPr>
                <w:noProof/>
                <w:webHidden/>
              </w:rPr>
            </w:r>
            <w:r w:rsidR="00FD58BF">
              <w:rPr>
                <w:noProof/>
                <w:webHidden/>
              </w:rPr>
              <w:fldChar w:fldCharType="separate"/>
            </w:r>
            <w:r w:rsidR="00FD58BF">
              <w:rPr>
                <w:noProof/>
                <w:webHidden/>
              </w:rPr>
              <w:t>191</w:t>
            </w:r>
            <w:r w:rsidR="00FD58BF">
              <w:rPr>
                <w:noProof/>
                <w:webHidden/>
              </w:rPr>
              <w:fldChar w:fldCharType="end"/>
            </w:r>
          </w:hyperlink>
        </w:p>
        <w:p w14:paraId="64E35CD5" w14:textId="292626D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78" w:history="1">
            <w:r w:rsidR="00FD58BF" w:rsidRPr="003004E5">
              <w:rPr>
                <w:rStyle w:val="Lienhypertexte"/>
                <w:noProof/>
              </w:rPr>
              <w:t>21.15.3d Colonnes et piliers en pierre naturelle CCTB 01.11</w:t>
            </w:r>
            <w:r w:rsidR="00FD58BF">
              <w:rPr>
                <w:noProof/>
                <w:webHidden/>
              </w:rPr>
              <w:tab/>
            </w:r>
            <w:r w:rsidR="00FD58BF">
              <w:rPr>
                <w:noProof/>
                <w:webHidden/>
              </w:rPr>
              <w:fldChar w:fldCharType="begin"/>
            </w:r>
            <w:r w:rsidR="00FD58BF">
              <w:rPr>
                <w:noProof/>
                <w:webHidden/>
              </w:rPr>
              <w:instrText xml:space="preserve"> PAGEREF _Toc178837378 \h </w:instrText>
            </w:r>
            <w:r w:rsidR="00FD58BF">
              <w:rPr>
                <w:noProof/>
                <w:webHidden/>
              </w:rPr>
            </w:r>
            <w:r w:rsidR="00FD58BF">
              <w:rPr>
                <w:noProof/>
                <w:webHidden/>
              </w:rPr>
              <w:fldChar w:fldCharType="separate"/>
            </w:r>
            <w:r w:rsidR="00FD58BF">
              <w:rPr>
                <w:noProof/>
                <w:webHidden/>
              </w:rPr>
              <w:t>191</w:t>
            </w:r>
            <w:r w:rsidR="00FD58BF">
              <w:rPr>
                <w:noProof/>
                <w:webHidden/>
              </w:rPr>
              <w:fldChar w:fldCharType="end"/>
            </w:r>
          </w:hyperlink>
        </w:p>
        <w:p w14:paraId="016D34F8" w14:textId="48872F9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79" w:history="1">
            <w:r w:rsidR="00FD58BF" w:rsidRPr="003004E5">
              <w:rPr>
                <w:rStyle w:val="Lienhypertexte"/>
                <w:noProof/>
              </w:rPr>
              <w:t>21.15.4 Socles et embases CCTB 01.02</w:t>
            </w:r>
            <w:r w:rsidR="00FD58BF">
              <w:rPr>
                <w:noProof/>
                <w:webHidden/>
              </w:rPr>
              <w:tab/>
            </w:r>
            <w:r w:rsidR="00FD58BF">
              <w:rPr>
                <w:noProof/>
                <w:webHidden/>
              </w:rPr>
              <w:fldChar w:fldCharType="begin"/>
            </w:r>
            <w:r w:rsidR="00FD58BF">
              <w:rPr>
                <w:noProof/>
                <w:webHidden/>
              </w:rPr>
              <w:instrText xml:space="preserve"> PAGEREF _Toc178837379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5595BC8C" w14:textId="132125D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80" w:history="1">
            <w:r w:rsidR="00FD58BF" w:rsidRPr="003004E5">
              <w:rPr>
                <w:rStyle w:val="Lienhypertexte"/>
                <w:noProof/>
              </w:rPr>
              <w:t>21.15.4a Socles et embases en briques de terre cuite CCTB 01.04</w:t>
            </w:r>
            <w:r w:rsidR="00FD58BF">
              <w:rPr>
                <w:noProof/>
                <w:webHidden/>
              </w:rPr>
              <w:tab/>
            </w:r>
            <w:r w:rsidR="00FD58BF">
              <w:rPr>
                <w:noProof/>
                <w:webHidden/>
              </w:rPr>
              <w:fldChar w:fldCharType="begin"/>
            </w:r>
            <w:r w:rsidR="00FD58BF">
              <w:rPr>
                <w:noProof/>
                <w:webHidden/>
              </w:rPr>
              <w:instrText xml:space="preserve"> PAGEREF _Toc178837380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6C6F3860" w14:textId="5DF888E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81" w:history="1">
            <w:r w:rsidR="00FD58BF" w:rsidRPr="003004E5">
              <w:rPr>
                <w:rStyle w:val="Lienhypertexte"/>
                <w:noProof/>
              </w:rPr>
              <w:t>21.15.4b Socles et embases en briques de béton CCTB 01.04</w:t>
            </w:r>
            <w:r w:rsidR="00FD58BF">
              <w:rPr>
                <w:noProof/>
                <w:webHidden/>
              </w:rPr>
              <w:tab/>
            </w:r>
            <w:r w:rsidR="00FD58BF">
              <w:rPr>
                <w:noProof/>
                <w:webHidden/>
              </w:rPr>
              <w:fldChar w:fldCharType="begin"/>
            </w:r>
            <w:r w:rsidR="00FD58BF">
              <w:rPr>
                <w:noProof/>
                <w:webHidden/>
              </w:rPr>
              <w:instrText xml:space="preserve"> PAGEREF _Toc178837381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01D2A74D" w14:textId="437619E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82" w:history="1">
            <w:r w:rsidR="00FD58BF" w:rsidRPr="003004E5">
              <w:rPr>
                <w:rStyle w:val="Lienhypertexte"/>
                <w:noProof/>
              </w:rPr>
              <w:t>21.15.4c Socles et embases en blocs de béton CCTB 01.04</w:t>
            </w:r>
            <w:r w:rsidR="00FD58BF">
              <w:rPr>
                <w:noProof/>
                <w:webHidden/>
              </w:rPr>
              <w:tab/>
            </w:r>
            <w:r w:rsidR="00FD58BF">
              <w:rPr>
                <w:noProof/>
                <w:webHidden/>
              </w:rPr>
              <w:fldChar w:fldCharType="begin"/>
            </w:r>
            <w:r w:rsidR="00FD58BF">
              <w:rPr>
                <w:noProof/>
                <w:webHidden/>
              </w:rPr>
              <w:instrText xml:space="preserve"> PAGEREF _Toc178837382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0968E228" w14:textId="5B84589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83" w:history="1">
            <w:r w:rsidR="00FD58BF" w:rsidRPr="003004E5">
              <w:rPr>
                <w:rStyle w:val="Lienhypertexte"/>
                <w:noProof/>
              </w:rPr>
              <w:t>21.15.4d Socles et embases en pierre naturelle CCTB 01.02</w:t>
            </w:r>
            <w:r w:rsidR="00FD58BF">
              <w:rPr>
                <w:noProof/>
                <w:webHidden/>
              </w:rPr>
              <w:tab/>
            </w:r>
            <w:r w:rsidR="00FD58BF">
              <w:rPr>
                <w:noProof/>
                <w:webHidden/>
              </w:rPr>
              <w:fldChar w:fldCharType="begin"/>
            </w:r>
            <w:r w:rsidR="00FD58BF">
              <w:rPr>
                <w:noProof/>
                <w:webHidden/>
              </w:rPr>
              <w:instrText xml:space="preserve"> PAGEREF _Toc178837383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17B8E051" w14:textId="35CA2C0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84" w:history="1">
            <w:r w:rsidR="00FD58BF" w:rsidRPr="003004E5">
              <w:rPr>
                <w:rStyle w:val="Lienhypertexte"/>
                <w:noProof/>
              </w:rPr>
              <w:t>21.15.5 Voûtes et voussettes CCTB 01.02</w:t>
            </w:r>
            <w:r w:rsidR="00FD58BF">
              <w:rPr>
                <w:noProof/>
                <w:webHidden/>
              </w:rPr>
              <w:tab/>
            </w:r>
            <w:r w:rsidR="00FD58BF">
              <w:rPr>
                <w:noProof/>
                <w:webHidden/>
              </w:rPr>
              <w:fldChar w:fldCharType="begin"/>
            </w:r>
            <w:r w:rsidR="00FD58BF">
              <w:rPr>
                <w:noProof/>
                <w:webHidden/>
              </w:rPr>
              <w:instrText xml:space="preserve"> PAGEREF _Toc178837384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2A824E59" w14:textId="6D4B0FD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85" w:history="1">
            <w:r w:rsidR="00FD58BF" w:rsidRPr="003004E5">
              <w:rPr>
                <w:rStyle w:val="Lienhypertexte"/>
                <w:noProof/>
              </w:rPr>
              <w:t>21.15.5a Voûtes et voussettes en briques de terre cuite CCTB 01.04</w:t>
            </w:r>
            <w:r w:rsidR="00FD58BF">
              <w:rPr>
                <w:noProof/>
                <w:webHidden/>
              </w:rPr>
              <w:tab/>
            </w:r>
            <w:r w:rsidR="00FD58BF">
              <w:rPr>
                <w:noProof/>
                <w:webHidden/>
              </w:rPr>
              <w:fldChar w:fldCharType="begin"/>
            </w:r>
            <w:r w:rsidR="00FD58BF">
              <w:rPr>
                <w:noProof/>
                <w:webHidden/>
              </w:rPr>
              <w:instrText xml:space="preserve"> PAGEREF _Toc178837385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64046922" w14:textId="34398C8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86" w:history="1">
            <w:r w:rsidR="00FD58BF" w:rsidRPr="003004E5">
              <w:rPr>
                <w:rStyle w:val="Lienhypertexte"/>
                <w:noProof/>
              </w:rPr>
              <w:t>21.15.5b Voûtes et voussettes en briques de béton CCTB 01.04</w:t>
            </w:r>
            <w:r w:rsidR="00FD58BF">
              <w:rPr>
                <w:noProof/>
                <w:webHidden/>
              </w:rPr>
              <w:tab/>
            </w:r>
            <w:r w:rsidR="00FD58BF">
              <w:rPr>
                <w:noProof/>
                <w:webHidden/>
              </w:rPr>
              <w:fldChar w:fldCharType="begin"/>
            </w:r>
            <w:r w:rsidR="00FD58BF">
              <w:rPr>
                <w:noProof/>
                <w:webHidden/>
              </w:rPr>
              <w:instrText xml:space="preserve"> PAGEREF _Toc178837386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184239C6" w14:textId="72B1B3B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87" w:history="1">
            <w:r w:rsidR="00FD58BF" w:rsidRPr="003004E5">
              <w:rPr>
                <w:rStyle w:val="Lienhypertexte"/>
                <w:noProof/>
              </w:rPr>
              <w:t>21.15.5c Voûtes et voussettes en pierre naturelle CCTB 01.02</w:t>
            </w:r>
            <w:r w:rsidR="00FD58BF">
              <w:rPr>
                <w:noProof/>
                <w:webHidden/>
              </w:rPr>
              <w:tab/>
            </w:r>
            <w:r w:rsidR="00FD58BF">
              <w:rPr>
                <w:noProof/>
                <w:webHidden/>
              </w:rPr>
              <w:fldChar w:fldCharType="begin"/>
            </w:r>
            <w:r w:rsidR="00FD58BF">
              <w:rPr>
                <w:noProof/>
                <w:webHidden/>
              </w:rPr>
              <w:instrText xml:space="preserve"> PAGEREF _Toc178837387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3FAF18D4" w14:textId="44CFE01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88" w:history="1">
            <w:r w:rsidR="00FD58BF" w:rsidRPr="003004E5">
              <w:rPr>
                <w:rStyle w:val="Lienhypertexte"/>
                <w:noProof/>
              </w:rPr>
              <w:t>21.15.6 Arcs CCTB 01.02</w:t>
            </w:r>
            <w:r w:rsidR="00FD58BF">
              <w:rPr>
                <w:noProof/>
                <w:webHidden/>
              </w:rPr>
              <w:tab/>
            </w:r>
            <w:r w:rsidR="00FD58BF">
              <w:rPr>
                <w:noProof/>
                <w:webHidden/>
              </w:rPr>
              <w:fldChar w:fldCharType="begin"/>
            </w:r>
            <w:r w:rsidR="00FD58BF">
              <w:rPr>
                <w:noProof/>
                <w:webHidden/>
              </w:rPr>
              <w:instrText xml:space="preserve"> PAGEREF _Toc178837388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3B5843D3" w14:textId="30AF215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89" w:history="1">
            <w:r w:rsidR="00FD58BF" w:rsidRPr="003004E5">
              <w:rPr>
                <w:rStyle w:val="Lienhypertexte"/>
                <w:noProof/>
              </w:rPr>
              <w:t>21.15.6a Arcs en briques de terre cuite CCTB 01.04</w:t>
            </w:r>
            <w:r w:rsidR="00FD58BF">
              <w:rPr>
                <w:noProof/>
                <w:webHidden/>
              </w:rPr>
              <w:tab/>
            </w:r>
            <w:r w:rsidR="00FD58BF">
              <w:rPr>
                <w:noProof/>
                <w:webHidden/>
              </w:rPr>
              <w:fldChar w:fldCharType="begin"/>
            </w:r>
            <w:r w:rsidR="00FD58BF">
              <w:rPr>
                <w:noProof/>
                <w:webHidden/>
              </w:rPr>
              <w:instrText xml:space="preserve"> PAGEREF _Toc178837389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442EC214" w14:textId="2F9CFFB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90" w:history="1">
            <w:r w:rsidR="00FD58BF" w:rsidRPr="003004E5">
              <w:rPr>
                <w:rStyle w:val="Lienhypertexte"/>
                <w:noProof/>
              </w:rPr>
              <w:t>21.15.6b Arcs en briques de béton CCTB 01.04</w:t>
            </w:r>
            <w:r w:rsidR="00FD58BF">
              <w:rPr>
                <w:noProof/>
                <w:webHidden/>
              </w:rPr>
              <w:tab/>
            </w:r>
            <w:r w:rsidR="00FD58BF">
              <w:rPr>
                <w:noProof/>
                <w:webHidden/>
              </w:rPr>
              <w:fldChar w:fldCharType="begin"/>
            </w:r>
            <w:r w:rsidR="00FD58BF">
              <w:rPr>
                <w:noProof/>
                <w:webHidden/>
              </w:rPr>
              <w:instrText xml:space="preserve"> PAGEREF _Toc178837390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50D85D98" w14:textId="2365EFF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91" w:history="1">
            <w:r w:rsidR="00FD58BF" w:rsidRPr="003004E5">
              <w:rPr>
                <w:rStyle w:val="Lienhypertexte"/>
                <w:noProof/>
              </w:rPr>
              <w:t>21.15.6c Arcs en pierre naturelle CCTB 01.02</w:t>
            </w:r>
            <w:r w:rsidR="00FD58BF">
              <w:rPr>
                <w:noProof/>
                <w:webHidden/>
              </w:rPr>
              <w:tab/>
            </w:r>
            <w:r w:rsidR="00FD58BF">
              <w:rPr>
                <w:noProof/>
                <w:webHidden/>
              </w:rPr>
              <w:fldChar w:fldCharType="begin"/>
            </w:r>
            <w:r w:rsidR="00FD58BF">
              <w:rPr>
                <w:noProof/>
                <w:webHidden/>
              </w:rPr>
              <w:instrText xml:space="preserve"> PAGEREF _Toc178837391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178B7261" w14:textId="4BC5252F"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392" w:history="1">
            <w:r w:rsidR="00FD58BF" w:rsidRPr="003004E5">
              <w:rPr>
                <w:rStyle w:val="Lienhypertexte"/>
                <w:noProof/>
              </w:rPr>
              <w:t>21.2 Maçonneries non portantes CCTB 01.09</w:t>
            </w:r>
            <w:r w:rsidR="00FD58BF">
              <w:rPr>
                <w:noProof/>
                <w:webHidden/>
              </w:rPr>
              <w:tab/>
            </w:r>
            <w:r w:rsidR="00FD58BF">
              <w:rPr>
                <w:noProof/>
                <w:webHidden/>
              </w:rPr>
              <w:fldChar w:fldCharType="begin"/>
            </w:r>
            <w:r w:rsidR="00FD58BF">
              <w:rPr>
                <w:noProof/>
                <w:webHidden/>
              </w:rPr>
              <w:instrText xml:space="preserve"> PAGEREF _Toc178837392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5BAFA4C4" w14:textId="64A01886"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393" w:history="1">
            <w:r w:rsidR="00FD58BF" w:rsidRPr="003004E5">
              <w:rPr>
                <w:rStyle w:val="Lienhypertexte"/>
                <w:noProof/>
              </w:rPr>
              <w:t>21.21 Maçonneries non portantes en briques CCTB 01.02</w:t>
            </w:r>
            <w:r w:rsidR="00FD58BF">
              <w:rPr>
                <w:noProof/>
                <w:webHidden/>
              </w:rPr>
              <w:tab/>
            </w:r>
            <w:r w:rsidR="00FD58BF">
              <w:rPr>
                <w:noProof/>
                <w:webHidden/>
              </w:rPr>
              <w:fldChar w:fldCharType="begin"/>
            </w:r>
            <w:r w:rsidR="00FD58BF">
              <w:rPr>
                <w:noProof/>
                <w:webHidden/>
              </w:rPr>
              <w:instrText xml:space="preserve"> PAGEREF _Toc178837393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7C50CF83" w14:textId="5267080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94" w:history="1">
            <w:r w:rsidR="00FD58BF" w:rsidRPr="003004E5">
              <w:rPr>
                <w:rStyle w:val="Lienhypertexte"/>
                <w:noProof/>
              </w:rPr>
              <w:t>21.21.1 Maçonneries non portantes en briques de terre cuite CCTB 01.11</w:t>
            </w:r>
            <w:r w:rsidR="00FD58BF">
              <w:rPr>
                <w:noProof/>
                <w:webHidden/>
              </w:rPr>
              <w:tab/>
            </w:r>
            <w:r w:rsidR="00FD58BF">
              <w:rPr>
                <w:noProof/>
                <w:webHidden/>
              </w:rPr>
              <w:fldChar w:fldCharType="begin"/>
            </w:r>
            <w:r w:rsidR="00FD58BF">
              <w:rPr>
                <w:noProof/>
                <w:webHidden/>
              </w:rPr>
              <w:instrText xml:space="preserve"> PAGEREF _Toc178837394 \h </w:instrText>
            </w:r>
            <w:r w:rsidR="00FD58BF">
              <w:rPr>
                <w:noProof/>
                <w:webHidden/>
              </w:rPr>
            </w:r>
            <w:r w:rsidR="00FD58BF">
              <w:rPr>
                <w:noProof/>
                <w:webHidden/>
              </w:rPr>
              <w:fldChar w:fldCharType="separate"/>
            </w:r>
            <w:r w:rsidR="00FD58BF">
              <w:rPr>
                <w:noProof/>
                <w:webHidden/>
              </w:rPr>
              <w:t>193</w:t>
            </w:r>
            <w:r w:rsidR="00FD58BF">
              <w:rPr>
                <w:noProof/>
                <w:webHidden/>
              </w:rPr>
              <w:fldChar w:fldCharType="end"/>
            </w:r>
          </w:hyperlink>
        </w:p>
        <w:p w14:paraId="4335CC66" w14:textId="6945C81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95" w:history="1">
            <w:r w:rsidR="00FD58BF" w:rsidRPr="003004E5">
              <w:rPr>
                <w:rStyle w:val="Lienhypertexte"/>
                <w:noProof/>
              </w:rPr>
              <w:t>21.21.1a Maçonneries non portantes en briques de terre cuite à maçonner CCTB 01.12</w:t>
            </w:r>
            <w:r w:rsidR="00FD58BF">
              <w:rPr>
                <w:noProof/>
                <w:webHidden/>
              </w:rPr>
              <w:tab/>
            </w:r>
            <w:r w:rsidR="00FD58BF">
              <w:rPr>
                <w:noProof/>
                <w:webHidden/>
              </w:rPr>
              <w:fldChar w:fldCharType="begin"/>
            </w:r>
            <w:r w:rsidR="00FD58BF">
              <w:rPr>
                <w:noProof/>
                <w:webHidden/>
              </w:rPr>
              <w:instrText xml:space="preserve"> PAGEREF _Toc178837395 \h </w:instrText>
            </w:r>
            <w:r w:rsidR="00FD58BF">
              <w:rPr>
                <w:noProof/>
                <w:webHidden/>
              </w:rPr>
            </w:r>
            <w:r w:rsidR="00FD58BF">
              <w:rPr>
                <w:noProof/>
                <w:webHidden/>
              </w:rPr>
              <w:fldChar w:fldCharType="separate"/>
            </w:r>
            <w:r w:rsidR="00FD58BF">
              <w:rPr>
                <w:noProof/>
                <w:webHidden/>
              </w:rPr>
              <w:t>194</w:t>
            </w:r>
            <w:r w:rsidR="00FD58BF">
              <w:rPr>
                <w:noProof/>
                <w:webHidden/>
              </w:rPr>
              <w:fldChar w:fldCharType="end"/>
            </w:r>
          </w:hyperlink>
        </w:p>
        <w:p w14:paraId="01EF4FFB" w14:textId="0392DCB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96" w:history="1">
            <w:r w:rsidR="00FD58BF" w:rsidRPr="003004E5">
              <w:rPr>
                <w:rStyle w:val="Lienhypertexte"/>
                <w:noProof/>
              </w:rPr>
              <w:t>21.21.1b Maçonneries non portantes en briques de terre cuite à coller CCTB 01.11</w:t>
            </w:r>
            <w:r w:rsidR="00FD58BF">
              <w:rPr>
                <w:noProof/>
                <w:webHidden/>
              </w:rPr>
              <w:tab/>
            </w:r>
            <w:r w:rsidR="00FD58BF">
              <w:rPr>
                <w:noProof/>
                <w:webHidden/>
              </w:rPr>
              <w:fldChar w:fldCharType="begin"/>
            </w:r>
            <w:r w:rsidR="00FD58BF">
              <w:rPr>
                <w:noProof/>
                <w:webHidden/>
              </w:rPr>
              <w:instrText xml:space="preserve"> PAGEREF _Toc178837396 \h </w:instrText>
            </w:r>
            <w:r w:rsidR="00FD58BF">
              <w:rPr>
                <w:noProof/>
                <w:webHidden/>
              </w:rPr>
            </w:r>
            <w:r w:rsidR="00FD58BF">
              <w:rPr>
                <w:noProof/>
                <w:webHidden/>
              </w:rPr>
              <w:fldChar w:fldCharType="separate"/>
            </w:r>
            <w:r w:rsidR="00FD58BF">
              <w:rPr>
                <w:noProof/>
                <w:webHidden/>
              </w:rPr>
              <w:t>196</w:t>
            </w:r>
            <w:r w:rsidR="00FD58BF">
              <w:rPr>
                <w:noProof/>
                <w:webHidden/>
              </w:rPr>
              <w:fldChar w:fldCharType="end"/>
            </w:r>
          </w:hyperlink>
        </w:p>
        <w:p w14:paraId="54DC0B60" w14:textId="3F7988D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97" w:history="1">
            <w:r w:rsidR="00FD58BF" w:rsidRPr="003004E5">
              <w:rPr>
                <w:rStyle w:val="Lienhypertexte"/>
                <w:noProof/>
              </w:rPr>
              <w:t>21.21.1c Maçonneries non portantes en briques de terre cuite de réemploi CCTB 01.12</w:t>
            </w:r>
            <w:r w:rsidR="00FD58BF">
              <w:rPr>
                <w:noProof/>
                <w:webHidden/>
              </w:rPr>
              <w:tab/>
            </w:r>
            <w:r w:rsidR="00FD58BF">
              <w:rPr>
                <w:noProof/>
                <w:webHidden/>
              </w:rPr>
              <w:fldChar w:fldCharType="begin"/>
            </w:r>
            <w:r w:rsidR="00FD58BF">
              <w:rPr>
                <w:noProof/>
                <w:webHidden/>
              </w:rPr>
              <w:instrText xml:space="preserve"> PAGEREF _Toc178837397 \h </w:instrText>
            </w:r>
            <w:r w:rsidR="00FD58BF">
              <w:rPr>
                <w:noProof/>
                <w:webHidden/>
              </w:rPr>
            </w:r>
            <w:r w:rsidR="00FD58BF">
              <w:rPr>
                <w:noProof/>
                <w:webHidden/>
              </w:rPr>
              <w:fldChar w:fldCharType="separate"/>
            </w:r>
            <w:r w:rsidR="00FD58BF">
              <w:rPr>
                <w:noProof/>
                <w:webHidden/>
              </w:rPr>
              <w:t>198</w:t>
            </w:r>
            <w:r w:rsidR="00FD58BF">
              <w:rPr>
                <w:noProof/>
                <w:webHidden/>
              </w:rPr>
              <w:fldChar w:fldCharType="end"/>
            </w:r>
          </w:hyperlink>
        </w:p>
        <w:p w14:paraId="18AD4EC0" w14:textId="352C5E5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398" w:history="1">
            <w:r w:rsidR="00FD58BF" w:rsidRPr="003004E5">
              <w:rPr>
                <w:rStyle w:val="Lienhypertexte"/>
                <w:noProof/>
              </w:rPr>
              <w:t>21.21.2 Maçonneries non portantes en briques de béton CCTB 01.12</w:t>
            </w:r>
            <w:r w:rsidR="00FD58BF">
              <w:rPr>
                <w:noProof/>
                <w:webHidden/>
              </w:rPr>
              <w:tab/>
            </w:r>
            <w:r w:rsidR="00FD58BF">
              <w:rPr>
                <w:noProof/>
                <w:webHidden/>
              </w:rPr>
              <w:fldChar w:fldCharType="begin"/>
            </w:r>
            <w:r w:rsidR="00FD58BF">
              <w:rPr>
                <w:noProof/>
                <w:webHidden/>
              </w:rPr>
              <w:instrText xml:space="preserve"> PAGEREF _Toc178837398 \h </w:instrText>
            </w:r>
            <w:r w:rsidR="00FD58BF">
              <w:rPr>
                <w:noProof/>
                <w:webHidden/>
              </w:rPr>
            </w:r>
            <w:r w:rsidR="00FD58BF">
              <w:rPr>
                <w:noProof/>
                <w:webHidden/>
              </w:rPr>
              <w:fldChar w:fldCharType="separate"/>
            </w:r>
            <w:r w:rsidR="00FD58BF">
              <w:rPr>
                <w:noProof/>
                <w:webHidden/>
              </w:rPr>
              <w:t>200</w:t>
            </w:r>
            <w:r w:rsidR="00FD58BF">
              <w:rPr>
                <w:noProof/>
                <w:webHidden/>
              </w:rPr>
              <w:fldChar w:fldCharType="end"/>
            </w:r>
          </w:hyperlink>
        </w:p>
        <w:p w14:paraId="4BB2E34E" w14:textId="56B5877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399" w:history="1">
            <w:r w:rsidR="00FD58BF" w:rsidRPr="003004E5">
              <w:rPr>
                <w:rStyle w:val="Lienhypertexte"/>
                <w:noProof/>
              </w:rPr>
              <w:t>21.21.2a Maçonneries non portantes en briques de béton à maçonner CCTB 01.12</w:t>
            </w:r>
            <w:r w:rsidR="00FD58BF">
              <w:rPr>
                <w:noProof/>
                <w:webHidden/>
              </w:rPr>
              <w:tab/>
            </w:r>
            <w:r w:rsidR="00FD58BF">
              <w:rPr>
                <w:noProof/>
                <w:webHidden/>
              </w:rPr>
              <w:fldChar w:fldCharType="begin"/>
            </w:r>
            <w:r w:rsidR="00FD58BF">
              <w:rPr>
                <w:noProof/>
                <w:webHidden/>
              </w:rPr>
              <w:instrText xml:space="preserve"> PAGEREF _Toc178837399 \h </w:instrText>
            </w:r>
            <w:r w:rsidR="00FD58BF">
              <w:rPr>
                <w:noProof/>
                <w:webHidden/>
              </w:rPr>
            </w:r>
            <w:r w:rsidR="00FD58BF">
              <w:rPr>
                <w:noProof/>
                <w:webHidden/>
              </w:rPr>
              <w:fldChar w:fldCharType="separate"/>
            </w:r>
            <w:r w:rsidR="00FD58BF">
              <w:rPr>
                <w:noProof/>
                <w:webHidden/>
              </w:rPr>
              <w:t>201</w:t>
            </w:r>
            <w:r w:rsidR="00FD58BF">
              <w:rPr>
                <w:noProof/>
                <w:webHidden/>
              </w:rPr>
              <w:fldChar w:fldCharType="end"/>
            </w:r>
          </w:hyperlink>
        </w:p>
        <w:p w14:paraId="28C71316" w14:textId="056D644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00" w:history="1">
            <w:r w:rsidR="00FD58BF" w:rsidRPr="003004E5">
              <w:rPr>
                <w:rStyle w:val="Lienhypertexte"/>
                <w:noProof/>
              </w:rPr>
              <w:t>21.21.2b Maçonneries non portantes en briques de béton à coller CCTB 01.12</w:t>
            </w:r>
            <w:r w:rsidR="00FD58BF">
              <w:rPr>
                <w:noProof/>
                <w:webHidden/>
              </w:rPr>
              <w:tab/>
            </w:r>
            <w:r w:rsidR="00FD58BF">
              <w:rPr>
                <w:noProof/>
                <w:webHidden/>
              </w:rPr>
              <w:fldChar w:fldCharType="begin"/>
            </w:r>
            <w:r w:rsidR="00FD58BF">
              <w:rPr>
                <w:noProof/>
                <w:webHidden/>
              </w:rPr>
              <w:instrText xml:space="preserve"> PAGEREF _Toc178837400 \h </w:instrText>
            </w:r>
            <w:r w:rsidR="00FD58BF">
              <w:rPr>
                <w:noProof/>
                <w:webHidden/>
              </w:rPr>
            </w:r>
            <w:r w:rsidR="00FD58BF">
              <w:rPr>
                <w:noProof/>
                <w:webHidden/>
              </w:rPr>
              <w:fldChar w:fldCharType="separate"/>
            </w:r>
            <w:r w:rsidR="00FD58BF">
              <w:rPr>
                <w:noProof/>
                <w:webHidden/>
              </w:rPr>
              <w:t>203</w:t>
            </w:r>
            <w:r w:rsidR="00FD58BF">
              <w:rPr>
                <w:noProof/>
                <w:webHidden/>
              </w:rPr>
              <w:fldChar w:fldCharType="end"/>
            </w:r>
          </w:hyperlink>
        </w:p>
        <w:p w14:paraId="7833EE1C" w14:textId="5BE904B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01" w:history="1">
            <w:r w:rsidR="00FD58BF" w:rsidRPr="003004E5">
              <w:rPr>
                <w:rStyle w:val="Lienhypertexte"/>
                <w:noProof/>
              </w:rPr>
              <w:t>21.21.2c Maçonneries non portantes en briques de béton avec système de dosage pour liant hydraulique CCTB 01.12</w:t>
            </w:r>
            <w:r w:rsidR="00FD58BF">
              <w:rPr>
                <w:noProof/>
                <w:webHidden/>
              </w:rPr>
              <w:tab/>
            </w:r>
            <w:r w:rsidR="00FD58BF">
              <w:rPr>
                <w:noProof/>
                <w:webHidden/>
              </w:rPr>
              <w:fldChar w:fldCharType="begin"/>
            </w:r>
            <w:r w:rsidR="00FD58BF">
              <w:rPr>
                <w:noProof/>
                <w:webHidden/>
              </w:rPr>
              <w:instrText xml:space="preserve"> PAGEREF _Toc178837401 \h </w:instrText>
            </w:r>
            <w:r w:rsidR="00FD58BF">
              <w:rPr>
                <w:noProof/>
                <w:webHidden/>
              </w:rPr>
            </w:r>
            <w:r w:rsidR="00FD58BF">
              <w:rPr>
                <w:noProof/>
                <w:webHidden/>
              </w:rPr>
              <w:fldChar w:fldCharType="separate"/>
            </w:r>
            <w:r w:rsidR="00FD58BF">
              <w:rPr>
                <w:noProof/>
                <w:webHidden/>
              </w:rPr>
              <w:t>205</w:t>
            </w:r>
            <w:r w:rsidR="00FD58BF">
              <w:rPr>
                <w:noProof/>
                <w:webHidden/>
              </w:rPr>
              <w:fldChar w:fldCharType="end"/>
            </w:r>
          </w:hyperlink>
        </w:p>
        <w:p w14:paraId="7B428E12" w14:textId="4B3F597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02" w:history="1">
            <w:r w:rsidR="00FD58BF" w:rsidRPr="003004E5">
              <w:rPr>
                <w:rStyle w:val="Lienhypertexte"/>
                <w:noProof/>
              </w:rPr>
              <w:t>21.21.3 Maçonneries non portantes en briques de silico-calcaire CCTB 01.12</w:t>
            </w:r>
            <w:r w:rsidR="00FD58BF">
              <w:rPr>
                <w:noProof/>
                <w:webHidden/>
              </w:rPr>
              <w:tab/>
            </w:r>
            <w:r w:rsidR="00FD58BF">
              <w:rPr>
                <w:noProof/>
                <w:webHidden/>
              </w:rPr>
              <w:fldChar w:fldCharType="begin"/>
            </w:r>
            <w:r w:rsidR="00FD58BF">
              <w:rPr>
                <w:noProof/>
                <w:webHidden/>
              </w:rPr>
              <w:instrText xml:space="preserve"> PAGEREF _Toc178837402 \h </w:instrText>
            </w:r>
            <w:r w:rsidR="00FD58BF">
              <w:rPr>
                <w:noProof/>
                <w:webHidden/>
              </w:rPr>
            </w:r>
            <w:r w:rsidR="00FD58BF">
              <w:rPr>
                <w:noProof/>
                <w:webHidden/>
              </w:rPr>
              <w:fldChar w:fldCharType="separate"/>
            </w:r>
            <w:r w:rsidR="00FD58BF">
              <w:rPr>
                <w:noProof/>
                <w:webHidden/>
              </w:rPr>
              <w:t>208</w:t>
            </w:r>
            <w:r w:rsidR="00FD58BF">
              <w:rPr>
                <w:noProof/>
                <w:webHidden/>
              </w:rPr>
              <w:fldChar w:fldCharType="end"/>
            </w:r>
          </w:hyperlink>
        </w:p>
        <w:p w14:paraId="435149F1" w14:textId="57DD1C7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03" w:history="1">
            <w:r w:rsidR="00FD58BF" w:rsidRPr="003004E5">
              <w:rPr>
                <w:rStyle w:val="Lienhypertexte"/>
                <w:noProof/>
              </w:rPr>
              <w:t>21.21.3a Maçonneries non portantes en briques de silico-calcaire à maçonner CCTB 01.12</w:t>
            </w:r>
            <w:r w:rsidR="00FD58BF">
              <w:rPr>
                <w:noProof/>
                <w:webHidden/>
              </w:rPr>
              <w:tab/>
            </w:r>
            <w:r w:rsidR="00FD58BF">
              <w:rPr>
                <w:noProof/>
                <w:webHidden/>
              </w:rPr>
              <w:fldChar w:fldCharType="begin"/>
            </w:r>
            <w:r w:rsidR="00FD58BF">
              <w:rPr>
                <w:noProof/>
                <w:webHidden/>
              </w:rPr>
              <w:instrText xml:space="preserve"> PAGEREF _Toc178837403 \h </w:instrText>
            </w:r>
            <w:r w:rsidR="00FD58BF">
              <w:rPr>
                <w:noProof/>
                <w:webHidden/>
              </w:rPr>
            </w:r>
            <w:r w:rsidR="00FD58BF">
              <w:rPr>
                <w:noProof/>
                <w:webHidden/>
              </w:rPr>
              <w:fldChar w:fldCharType="separate"/>
            </w:r>
            <w:r w:rsidR="00FD58BF">
              <w:rPr>
                <w:noProof/>
                <w:webHidden/>
              </w:rPr>
              <w:t>209</w:t>
            </w:r>
            <w:r w:rsidR="00FD58BF">
              <w:rPr>
                <w:noProof/>
                <w:webHidden/>
              </w:rPr>
              <w:fldChar w:fldCharType="end"/>
            </w:r>
          </w:hyperlink>
        </w:p>
        <w:p w14:paraId="208E70B4" w14:textId="722E142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04" w:history="1">
            <w:r w:rsidR="00FD58BF" w:rsidRPr="003004E5">
              <w:rPr>
                <w:rStyle w:val="Lienhypertexte"/>
                <w:noProof/>
              </w:rPr>
              <w:t>21.21.3b Maçonneries non portantes en briques de silico-calcaire à coller CCTB 01.12</w:t>
            </w:r>
            <w:r w:rsidR="00FD58BF">
              <w:rPr>
                <w:noProof/>
                <w:webHidden/>
              </w:rPr>
              <w:tab/>
            </w:r>
            <w:r w:rsidR="00FD58BF">
              <w:rPr>
                <w:noProof/>
                <w:webHidden/>
              </w:rPr>
              <w:fldChar w:fldCharType="begin"/>
            </w:r>
            <w:r w:rsidR="00FD58BF">
              <w:rPr>
                <w:noProof/>
                <w:webHidden/>
              </w:rPr>
              <w:instrText xml:space="preserve"> PAGEREF _Toc178837404 \h </w:instrText>
            </w:r>
            <w:r w:rsidR="00FD58BF">
              <w:rPr>
                <w:noProof/>
                <w:webHidden/>
              </w:rPr>
            </w:r>
            <w:r w:rsidR="00FD58BF">
              <w:rPr>
                <w:noProof/>
                <w:webHidden/>
              </w:rPr>
              <w:fldChar w:fldCharType="separate"/>
            </w:r>
            <w:r w:rsidR="00FD58BF">
              <w:rPr>
                <w:noProof/>
                <w:webHidden/>
              </w:rPr>
              <w:t>211</w:t>
            </w:r>
            <w:r w:rsidR="00FD58BF">
              <w:rPr>
                <w:noProof/>
                <w:webHidden/>
              </w:rPr>
              <w:fldChar w:fldCharType="end"/>
            </w:r>
          </w:hyperlink>
        </w:p>
        <w:p w14:paraId="13866E2E" w14:textId="6CDBD5AB"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05" w:history="1">
            <w:r w:rsidR="00FD58BF" w:rsidRPr="003004E5">
              <w:rPr>
                <w:rStyle w:val="Lienhypertexte"/>
                <w:noProof/>
              </w:rPr>
              <w:t>21.22 Maçonneries non portantes en blocs CCTB 01.02</w:t>
            </w:r>
            <w:r w:rsidR="00FD58BF">
              <w:rPr>
                <w:noProof/>
                <w:webHidden/>
              </w:rPr>
              <w:tab/>
            </w:r>
            <w:r w:rsidR="00FD58BF">
              <w:rPr>
                <w:noProof/>
                <w:webHidden/>
              </w:rPr>
              <w:fldChar w:fldCharType="begin"/>
            </w:r>
            <w:r w:rsidR="00FD58BF">
              <w:rPr>
                <w:noProof/>
                <w:webHidden/>
              </w:rPr>
              <w:instrText xml:space="preserve"> PAGEREF _Toc178837405 \h </w:instrText>
            </w:r>
            <w:r w:rsidR="00FD58BF">
              <w:rPr>
                <w:noProof/>
                <w:webHidden/>
              </w:rPr>
            </w:r>
            <w:r w:rsidR="00FD58BF">
              <w:rPr>
                <w:noProof/>
                <w:webHidden/>
              </w:rPr>
              <w:fldChar w:fldCharType="separate"/>
            </w:r>
            <w:r w:rsidR="00FD58BF">
              <w:rPr>
                <w:noProof/>
                <w:webHidden/>
              </w:rPr>
              <w:t>213</w:t>
            </w:r>
            <w:r w:rsidR="00FD58BF">
              <w:rPr>
                <w:noProof/>
                <w:webHidden/>
              </w:rPr>
              <w:fldChar w:fldCharType="end"/>
            </w:r>
          </w:hyperlink>
        </w:p>
        <w:p w14:paraId="273D8473" w14:textId="6CABE4D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06" w:history="1">
            <w:r w:rsidR="00FD58BF" w:rsidRPr="003004E5">
              <w:rPr>
                <w:rStyle w:val="Lienhypertexte"/>
                <w:noProof/>
              </w:rPr>
              <w:t>21.22.1 Maçonneries non portantes en blocs treillis de terre cuite CCTB 01.11</w:t>
            </w:r>
            <w:r w:rsidR="00FD58BF">
              <w:rPr>
                <w:noProof/>
                <w:webHidden/>
              </w:rPr>
              <w:tab/>
            </w:r>
            <w:r w:rsidR="00FD58BF">
              <w:rPr>
                <w:noProof/>
                <w:webHidden/>
              </w:rPr>
              <w:fldChar w:fldCharType="begin"/>
            </w:r>
            <w:r w:rsidR="00FD58BF">
              <w:rPr>
                <w:noProof/>
                <w:webHidden/>
              </w:rPr>
              <w:instrText xml:space="preserve"> PAGEREF _Toc178837406 \h </w:instrText>
            </w:r>
            <w:r w:rsidR="00FD58BF">
              <w:rPr>
                <w:noProof/>
                <w:webHidden/>
              </w:rPr>
            </w:r>
            <w:r w:rsidR="00FD58BF">
              <w:rPr>
                <w:noProof/>
                <w:webHidden/>
              </w:rPr>
              <w:fldChar w:fldCharType="separate"/>
            </w:r>
            <w:r w:rsidR="00FD58BF">
              <w:rPr>
                <w:noProof/>
                <w:webHidden/>
              </w:rPr>
              <w:t>213</w:t>
            </w:r>
            <w:r w:rsidR="00FD58BF">
              <w:rPr>
                <w:noProof/>
                <w:webHidden/>
              </w:rPr>
              <w:fldChar w:fldCharType="end"/>
            </w:r>
          </w:hyperlink>
        </w:p>
        <w:p w14:paraId="7E0EE9EB" w14:textId="62B6587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07" w:history="1">
            <w:r w:rsidR="00FD58BF" w:rsidRPr="003004E5">
              <w:rPr>
                <w:rStyle w:val="Lienhypertexte"/>
                <w:noProof/>
              </w:rPr>
              <w:t>21.22.1a Maçonneries non portantes en blocs treillis de terre cuite à maçonner CCTB 01.11</w:t>
            </w:r>
            <w:r w:rsidR="00FD58BF">
              <w:rPr>
                <w:noProof/>
                <w:webHidden/>
              </w:rPr>
              <w:tab/>
            </w:r>
            <w:r w:rsidR="00FD58BF">
              <w:rPr>
                <w:noProof/>
                <w:webHidden/>
              </w:rPr>
              <w:fldChar w:fldCharType="begin"/>
            </w:r>
            <w:r w:rsidR="00FD58BF">
              <w:rPr>
                <w:noProof/>
                <w:webHidden/>
              </w:rPr>
              <w:instrText xml:space="preserve"> PAGEREF _Toc178837407 \h </w:instrText>
            </w:r>
            <w:r w:rsidR="00FD58BF">
              <w:rPr>
                <w:noProof/>
                <w:webHidden/>
              </w:rPr>
            </w:r>
            <w:r w:rsidR="00FD58BF">
              <w:rPr>
                <w:noProof/>
                <w:webHidden/>
              </w:rPr>
              <w:fldChar w:fldCharType="separate"/>
            </w:r>
            <w:r w:rsidR="00FD58BF">
              <w:rPr>
                <w:noProof/>
                <w:webHidden/>
              </w:rPr>
              <w:t>214</w:t>
            </w:r>
            <w:r w:rsidR="00FD58BF">
              <w:rPr>
                <w:noProof/>
                <w:webHidden/>
              </w:rPr>
              <w:fldChar w:fldCharType="end"/>
            </w:r>
          </w:hyperlink>
        </w:p>
        <w:p w14:paraId="1D30DAC7" w14:textId="5916C79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08" w:history="1">
            <w:r w:rsidR="00FD58BF" w:rsidRPr="003004E5">
              <w:rPr>
                <w:rStyle w:val="Lienhypertexte"/>
                <w:noProof/>
              </w:rPr>
              <w:t>21.22.1b Maçonneries non portantes en blocs treillis de terre cuite à coller CCTB 01.12</w:t>
            </w:r>
            <w:r w:rsidR="00FD58BF">
              <w:rPr>
                <w:noProof/>
                <w:webHidden/>
              </w:rPr>
              <w:tab/>
            </w:r>
            <w:r w:rsidR="00FD58BF">
              <w:rPr>
                <w:noProof/>
                <w:webHidden/>
              </w:rPr>
              <w:fldChar w:fldCharType="begin"/>
            </w:r>
            <w:r w:rsidR="00FD58BF">
              <w:rPr>
                <w:noProof/>
                <w:webHidden/>
              </w:rPr>
              <w:instrText xml:space="preserve"> PAGEREF _Toc178837408 \h </w:instrText>
            </w:r>
            <w:r w:rsidR="00FD58BF">
              <w:rPr>
                <w:noProof/>
                <w:webHidden/>
              </w:rPr>
            </w:r>
            <w:r w:rsidR="00FD58BF">
              <w:rPr>
                <w:noProof/>
                <w:webHidden/>
              </w:rPr>
              <w:fldChar w:fldCharType="separate"/>
            </w:r>
            <w:r w:rsidR="00FD58BF">
              <w:rPr>
                <w:noProof/>
                <w:webHidden/>
              </w:rPr>
              <w:t>216</w:t>
            </w:r>
            <w:r w:rsidR="00FD58BF">
              <w:rPr>
                <w:noProof/>
                <w:webHidden/>
              </w:rPr>
              <w:fldChar w:fldCharType="end"/>
            </w:r>
          </w:hyperlink>
        </w:p>
        <w:p w14:paraId="7645C840" w14:textId="18547CD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09" w:history="1">
            <w:r w:rsidR="00FD58BF" w:rsidRPr="003004E5">
              <w:rPr>
                <w:rStyle w:val="Lienhypertexte"/>
                <w:noProof/>
              </w:rPr>
              <w:t>21.22.1c Maçonneries non portantes en blocs treillis de terre cuite à coller avec colle PU uni-composante CCTB 01.11</w:t>
            </w:r>
            <w:r w:rsidR="00FD58BF">
              <w:rPr>
                <w:noProof/>
                <w:webHidden/>
              </w:rPr>
              <w:tab/>
            </w:r>
            <w:r w:rsidR="00FD58BF">
              <w:rPr>
                <w:noProof/>
                <w:webHidden/>
              </w:rPr>
              <w:fldChar w:fldCharType="begin"/>
            </w:r>
            <w:r w:rsidR="00FD58BF">
              <w:rPr>
                <w:noProof/>
                <w:webHidden/>
              </w:rPr>
              <w:instrText xml:space="preserve"> PAGEREF _Toc178837409 \h </w:instrText>
            </w:r>
            <w:r w:rsidR="00FD58BF">
              <w:rPr>
                <w:noProof/>
                <w:webHidden/>
              </w:rPr>
            </w:r>
            <w:r w:rsidR="00FD58BF">
              <w:rPr>
                <w:noProof/>
                <w:webHidden/>
              </w:rPr>
              <w:fldChar w:fldCharType="separate"/>
            </w:r>
            <w:r w:rsidR="00FD58BF">
              <w:rPr>
                <w:noProof/>
                <w:webHidden/>
              </w:rPr>
              <w:t>218</w:t>
            </w:r>
            <w:r w:rsidR="00FD58BF">
              <w:rPr>
                <w:noProof/>
                <w:webHidden/>
              </w:rPr>
              <w:fldChar w:fldCharType="end"/>
            </w:r>
          </w:hyperlink>
        </w:p>
        <w:p w14:paraId="6E2035C9" w14:textId="3F51562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10" w:history="1">
            <w:r w:rsidR="00FD58BF" w:rsidRPr="003004E5">
              <w:rPr>
                <w:rStyle w:val="Lienhypertexte"/>
                <w:noProof/>
              </w:rPr>
              <w:t>21.22.2 Maçonneries non portantes en blocs de béton CCTB 01.11</w:t>
            </w:r>
            <w:r w:rsidR="00FD58BF">
              <w:rPr>
                <w:noProof/>
                <w:webHidden/>
              </w:rPr>
              <w:tab/>
            </w:r>
            <w:r w:rsidR="00FD58BF">
              <w:rPr>
                <w:noProof/>
                <w:webHidden/>
              </w:rPr>
              <w:fldChar w:fldCharType="begin"/>
            </w:r>
            <w:r w:rsidR="00FD58BF">
              <w:rPr>
                <w:noProof/>
                <w:webHidden/>
              </w:rPr>
              <w:instrText xml:space="preserve"> PAGEREF _Toc178837410 \h </w:instrText>
            </w:r>
            <w:r w:rsidR="00FD58BF">
              <w:rPr>
                <w:noProof/>
                <w:webHidden/>
              </w:rPr>
            </w:r>
            <w:r w:rsidR="00FD58BF">
              <w:rPr>
                <w:noProof/>
                <w:webHidden/>
              </w:rPr>
              <w:fldChar w:fldCharType="separate"/>
            </w:r>
            <w:r w:rsidR="00FD58BF">
              <w:rPr>
                <w:noProof/>
                <w:webHidden/>
              </w:rPr>
              <w:t>220</w:t>
            </w:r>
            <w:r w:rsidR="00FD58BF">
              <w:rPr>
                <w:noProof/>
                <w:webHidden/>
              </w:rPr>
              <w:fldChar w:fldCharType="end"/>
            </w:r>
          </w:hyperlink>
        </w:p>
        <w:p w14:paraId="64BC47A5" w14:textId="1B24413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11" w:history="1">
            <w:r w:rsidR="00FD58BF" w:rsidRPr="003004E5">
              <w:rPr>
                <w:rStyle w:val="Lienhypertexte"/>
                <w:noProof/>
              </w:rPr>
              <w:t>21.22.2a Maçonneries non portantes en blocs de béton pleins à maçonner CCTB 01.12</w:t>
            </w:r>
            <w:r w:rsidR="00FD58BF">
              <w:rPr>
                <w:noProof/>
                <w:webHidden/>
              </w:rPr>
              <w:tab/>
            </w:r>
            <w:r w:rsidR="00FD58BF">
              <w:rPr>
                <w:noProof/>
                <w:webHidden/>
              </w:rPr>
              <w:fldChar w:fldCharType="begin"/>
            </w:r>
            <w:r w:rsidR="00FD58BF">
              <w:rPr>
                <w:noProof/>
                <w:webHidden/>
              </w:rPr>
              <w:instrText xml:space="preserve"> PAGEREF _Toc178837411 \h </w:instrText>
            </w:r>
            <w:r w:rsidR="00FD58BF">
              <w:rPr>
                <w:noProof/>
                <w:webHidden/>
              </w:rPr>
            </w:r>
            <w:r w:rsidR="00FD58BF">
              <w:rPr>
                <w:noProof/>
                <w:webHidden/>
              </w:rPr>
              <w:fldChar w:fldCharType="separate"/>
            </w:r>
            <w:r w:rsidR="00FD58BF">
              <w:rPr>
                <w:noProof/>
                <w:webHidden/>
              </w:rPr>
              <w:t>221</w:t>
            </w:r>
            <w:r w:rsidR="00FD58BF">
              <w:rPr>
                <w:noProof/>
                <w:webHidden/>
              </w:rPr>
              <w:fldChar w:fldCharType="end"/>
            </w:r>
          </w:hyperlink>
        </w:p>
        <w:p w14:paraId="261566E0" w14:textId="728DD60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12" w:history="1">
            <w:r w:rsidR="00FD58BF" w:rsidRPr="003004E5">
              <w:rPr>
                <w:rStyle w:val="Lienhypertexte"/>
                <w:noProof/>
              </w:rPr>
              <w:t>21.22.2b Maçonneries non portantes en blocs de béton pleins à coller CCTB 01.12</w:t>
            </w:r>
            <w:r w:rsidR="00FD58BF">
              <w:rPr>
                <w:noProof/>
                <w:webHidden/>
              </w:rPr>
              <w:tab/>
            </w:r>
            <w:r w:rsidR="00FD58BF">
              <w:rPr>
                <w:noProof/>
                <w:webHidden/>
              </w:rPr>
              <w:fldChar w:fldCharType="begin"/>
            </w:r>
            <w:r w:rsidR="00FD58BF">
              <w:rPr>
                <w:noProof/>
                <w:webHidden/>
              </w:rPr>
              <w:instrText xml:space="preserve"> PAGEREF _Toc178837412 \h </w:instrText>
            </w:r>
            <w:r w:rsidR="00FD58BF">
              <w:rPr>
                <w:noProof/>
                <w:webHidden/>
              </w:rPr>
            </w:r>
            <w:r w:rsidR="00FD58BF">
              <w:rPr>
                <w:noProof/>
                <w:webHidden/>
              </w:rPr>
              <w:fldChar w:fldCharType="separate"/>
            </w:r>
            <w:r w:rsidR="00FD58BF">
              <w:rPr>
                <w:noProof/>
                <w:webHidden/>
              </w:rPr>
              <w:t>223</w:t>
            </w:r>
            <w:r w:rsidR="00FD58BF">
              <w:rPr>
                <w:noProof/>
                <w:webHidden/>
              </w:rPr>
              <w:fldChar w:fldCharType="end"/>
            </w:r>
          </w:hyperlink>
        </w:p>
        <w:p w14:paraId="1E18625D" w14:textId="3968D23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13" w:history="1">
            <w:r w:rsidR="00FD58BF" w:rsidRPr="003004E5">
              <w:rPr>
                <w:rStyle w:val="Lienhypertexte"/>
                <w:noProof/>
              </w:rPr>
              <w:t>21.22.2c Maçonneries non portantes en blocs de béton creux à maçonner CCTB 01.12</w:t>
            </w:r>
            <w:r w:rsidR="00FD58BF">
              <w:rPr>
                <w:noProof/>
                <w:webHidden/>
              </w:rPr>
              <w:tab/>
            </w:r>
            <w:r w:rsidR="00FD58BF">
              <w:rPr>
                <w:noProof/>
                <w:webHidden/>
              </w:rPr>
              <w:fldChar w:fldCharType="begin"/>
            </w:r>
            <w:r w:rsidR="00FD58BF">
              <w:rPr>
                <w:noProof/>
                <w:webHidden/>
              </w:rPr>
              <w:instrText xml:space="preserve"> PAGEREF _Toc178837413 \h </w:instrText>
            </w:r>
            <w:r w:rsidR="00FD58BF">
              <w:rPr>
                <w:noProof/>
                <w:webHidden/>
              </w:rPr>
            </w:r>
            <w:r w:rsidR="00FD58BF">
              <w:rPr>
                <w:noProof/>
                <w:webHidden/>
              </w:rPr>
              <w:fldChar w:fldCharType="separate"/>
            </w:r>
            <w:r w:rsidR="00FD58BF">
              <w:rPr>
                <w:noProof/>
                <w:webHidden/>
              </w:rPr>
              <w:t>225</w:t>
            </w:r>
            <w:r w:rsidR="00FD58BF">
              <w:rPr>
                <w:noProof/>
                <w:webHidden/>
              </w:rPr>
              <w:fldChar w:fldCharType="end"/>
            </w:r>
          </w:hyperlink>
        </w:p>
        <w:p w14:paraId="28824C19" w14:textId="334BC44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14" w:history="1">
            <w:r w:rsidR="00FD58BF" w:rsidRPr="003004E5">
              <w:rPr>
                <w:rStyle w:val="Lienhypertexte"/>
                <w:noProof/>
              </w:rPr>
              <w:t>21.22.2d Maçonneries non portantes en blocs de béton creux à coller CCTB 01.12</w:t>
            </w:r>
            <w:r w:rsidR="00FD58BF">
              <w:rPr>
                <w:noProof/>
                <w:webHidden/>
              </w:rPr>
              <w:tab/>
            </w:r>
            <w:r w:rsidR="00FD58BF">
              <w:rPr>
                <w:noProof/>
                <w:webHidden/>
              </w:rPr>
              <w:fldChar w:fldCharType="begin"/>
            </w:r>
            <w:r w:rsidR="00FD58BF">
              <w:rPr>
                <w:noProof/>
                <w:webHidden/>
              </w:rPr>
              <w:instrText xml:space="preserve"> PAGEREF _Toc178837414 \h </w:instrText>
            </w:r>
            <w:r w:rsidR="00FD58BF">
              <w:rPr>
                <w:noProof/>
                <w:webHidden/>
              </w:rPr>
            </w:r>
            <w:r w:rsidR="00FD58BF">
              <w:rPr>
                <w:noProof/>
                <w:webHidden/>
              </w:rPr>
              <w:fldChar w:fldCharType="separate"/>
            </w:r>
            <w:r w:rsidR="00FD58BF">
              <w:rPr>
                <w:noProof/>
                <w:webHidden/>
              </w:rPr>
              <w:t>228</w:t>
            </w:r>
            <w:r w:rsidR="00FD58BF">
              <w:rPr>
                <w:noProof/>
                <w:webHidden/>
              </w:rPr>
              <w:fldChar w:fldCharType="end"/>
            </w:r>
          </w:hyperlink>
        </w:p>
        <w:p w14:paraId="29AE2B68" w14:textId="40FDB7B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15" w:history="1">
            <w:r w:rsidR="00FD58BF" w:rsidRPr="003004E5">
              <w:rPr>
                <w:rStyle w:val="Lienhypertexte"/>
                <w:noProof/>
              </w:rPr>
              <w:t>21.22.2e Maçonneries non portantes en blocs de béton à système de dosage pour liant hydraulique CCTB 01.12</w:t>
            </w:r>
            <w:r w:rsidR="00FD58BF">
              <w:rPr>
                <w:noProof/>
                <w:webHidden/>
              </w:rPr>
              <w:tab/>
            </w:r>
            <w:r w:rsidR="00FD58BF">
              <w:rPr>
                <w:noProof/>
                <w:webHidden/>
              </w:rPr>
              <w:fldChar w:fldCharType="begin"/>
            </w:r>
            <w:r w:rsidR="00FD58BF">
              <w:rPr>
                <w:noProof/>
                <w:webHidden/>
              </w:rPr>
              <w:instrText xml:space="preserve"> PAGEREF _Toc178837415 \h </w:instrText>
            </w:r>
            <w:r w:rsidR="00FD58BF">
              <w:rPr>
                <w:noProof/>
                <w:webHidden/>
              </w:rPr>
            </w:r>
            <w:r w:rsidR="00FD58BF">
              <w:rPr>
                <w:noProof/>
                <w:webHidden/>
              </w:rPr>
              <w:fldChar w:fldCharType="separate"/>
            </w:r>
            <w:r w:rsidR="00FD58BF">
              <w:rPr>
                <w:noProof/>
                <w:webHidden/>
              </w:rPr>
              <w:t>230</w:t>
            </w:r>
            <w:r w:rsidR="00FD58BF">
              <w:rPr>
                <w:noProof/>
                <w:webHidden/>
              </w:rPr>
              <w:fldChar w:fldCharType="end"/>
            </w:r>
          </w:hyperlink>
        </w:p>
        <w:p w14:paraId="19C403D5" w14:textId="6627862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16" w:history="1">
            <w:r w:rsidR="00FD58BF" w:rsidRPr="003004E5">
              <w:rPr>
                <w:rStyle w:val="Lienhypertexte"/>
                <w:noProof/>
              </w:rPr>
              <w:t>21.22.2f Maçonneries non portantes en blocs de béton acoustiques CCTB 01.12</w:t>
            </w:r>
            <w:r w:rsidR="00FD58BF">
              <w:rPr>
                <w:noProof/>
                <w:webHidden/>
              </w:rPr>
              <w:tab/>
            </w:r>
            <w:r w:rsidR="00FD58BF">
              <w:rPr>
                <w:noProof/>
                <w:webHidden/>
              </w:rPr>
              <w:fldChar w:fldCharType="begin"/>
            </w:r>
            <w:r w:rsidR="00FD58BF">
              <w:rPr>
                <w:noProof/>
                <w:webHidden/>
              </w:rPr>
              <w:instrText xml:space="preserve"> PAGEREF _Toc178837416 \h </w:instrText>
            </w:r>
            <w:r w:rsidR="00FD58BF">
              <w:rPr>
                <w:noProof/>
                <w:webHidden/>
              </w:rPr>
            </w:r>
            <w:r w:rsidR="00FD58BF">
              <w:rPr>
                <w:noProof/>
                <w:webHidden/>
              </w:rPr>
              <w:fldChar w:fldCharType="separate"/>
            </w:r>
            <w:r w:rsidR="00FD58BF">
              <w:rPr>
                <w:noProof/>
                <w:webHidden/>
              </w:rPr>
              <w:t>232</w:t>
            </w:r>
            <w:r w:rsidR="00FD58BF">
              <w:rPr>
                <w:noProof/>
                <w:webHidden/>
              </w:rPr>
              <w:fldChar w:fldCharType="end"/>
            </w:r>
          </w:hyperlink>
        </w:p>
        <w:p w14:paraId="0FD3CE0F" w14:textId="0F98409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17" w:history="1">
            <w:r w:rsidR="00FD58BF" w:rsidRPr="003004E5">
              <w:rPr>
                <w:rStyle w:val="Lienhypertexte"/>
                <w:noProof/>
              </w:rPr>
              <w:t>21.22.2g Maçonneries non portantes en blocs de coffrage en béton CCTB 01.11</w:t>
            </w:r>
            <w:r w:rsidR="00FD58BF">
              <w:rPr>
                <w:noProof/>
                <w:webHidden/>
              </w:rPr>
              <w:tab/>
            </w:r>
            <w:r w:rsidR="00FD58BF">
              <w:rPr>
                <w:noProof/>
                <w:webHidden/>
              </w:rPr>
              <w:fldChar w:fldCharType="begin"/>
            </w:r>
            <w:r w:rsidR="00FD58BF">
              <w:rPr>
                <w:noProof/>
                <w:webHidden/>
              </w:rPr>
              <w:instrText xml:space="preserve"> PAGEREF _Toc178837417 \h </w:instrText>
            </w:r>
            <w:r w:rsidR="00FD58BF">
              <w:rPr>
                <w:noProof/>
                <w:webHidden/>
              </w:rPr>
            </w:r>
            <w:r w:rsidR="00FD58BF">
              <w:rPr>
                <w:noProof/>
                <w:webHidden/>
              </w:rPr>
              <w:fldChar w:fldCharType="separate"/>
            </w:r>
            <w:r w:rsidR="00FD58BF">
              <w:rPr>
                <w:noProof/>
                <w:webHidden/>
              </w:rPr>
              <w:t>234</w:t>
            </w:r>
            <w:r w:rsidR="00FD58BF">
              <w:rPr>
                <w:noProof/>
                <w:webHidden/>
              </w:rPr>
              <w:fldChar w:fldCharType="end"/>
            </w:r>
          </w:hyperlink>
        </w:p>
        <w:p w14:paraId="4B94DA75" w14:textId="6E3B800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18" w:history="1">
            <w:r w:rsidR="00FD58BF" w:rsidRPr="003004E5">
              <w:rPr>
                <w:rStyle w:val="Lienhypertexte"/>
                <w:noProof/>
              </w:rPr>
              <w:t>21.22.3 Maçonneries non portantes en blocs de silico-calcaire CCTB 01.11</w:t>
            </w:r>
            <w:r w:rsidR="00FD58BF">
              <w:rPr>
                <w:noProof/>
                <w:webHidden/>
              </w:rPr>
              <w:tab/>
            </w:r>
            <w:r w:rsidR="00FD58BF">
              <w:rPr>
                <w:noProof/>
                <w:webHidden/>
              </w:rPr>
              <w:fldChar w:fldCharType="begin"/>
            </w:r>
            <w:r w:rsidR="00FD58BF">
              <w:rPr>
                <w:noProof/>
                <w:webHidden/>
              </w:rPr>
              <w:instrText xml:space="preserve"> PAGEREF _Toc178837418 \h </w:instrText>
            </w:r>
            <w:r w:rsidR="00FD58BF">
              <w:rPr>
                <w:noProof/>
                <w:webHidden/>
              </w:rPr>
            </w:r>
            <w:r w:rsidR="00FD58BF">
              <w:rPr>
                <w:noProof/>
                <w:webHidden/>
              </w:rPr>
              <w:fldChar w:fldCharType="separate"/>
            </w:r>
            <w:r w:rsidR="00FD58BF">
              <w:rPr>
                <w:noProof/>
                <w:webHidden/>
              </w:rPr>
              <w:t>235</w:t>
            </w:r>
            <w:r w:rsidR="00FD58BF">
              <w:rPr>
                <w:noProof/>
                <w:webHidden/>
              </w:rPr>
              <w:fldChar w:fldCharType="end"/>
            </w:r>
          </w:hyperlink>
        </w:p>
        <w:p w14:paraId="288D9F82" w14:textId="3C3245C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19" w:history="1">
            <w:r w:rsidR="00FD58BF" w:rsidRPr="003004E5">
              <w:rPr>
                <w:rStyle w:val="Lienhypertexte"/>
                <w:noProof/>
              </w:rPr>
              <w:t>21.22.3a Maçonneries non portantes en blocs de silico-calcaire à maçonner CCTB 01.12</w:t>
            </w:r>
            <w:r w:rsidR="00FD58BF">
              <w:rPr>
                <w:noProof/>
                <w:webHidden/>
              </w:rPr>
              <w:tab/>
            </w:r>
            <w:r w:rsidR="00FD58BF">
              <w:rPr>
                <w:noProof/>
                <w:webHidden/>
              </w:rPr>
              <w:fldChar w:fldCharType="begin"/>
            </w:r>
            <w:r w:rsidR="00FD58BF">
              <w:rPr>
                <w:noProof/>
                <w:webHidden/>
              </w:rPr>
              <w:instrText xml:space="preserve"> PAGEREF _Toc178837419 \h </w:instrText>
            </w:r>
            <w:r w:rsidR="00FD58BF">
              <w:rPr>
                <w:noProof/>
                <w:webHidden/>
              </w:rPr>
            </w:r>
            <w:r w:rsidR="00FD58BF">
              <w:rPr>
                <w:noProof/>
                <w:webHidden/>
              </w:rPr>
              <w:fldChar w:fldCharType="separate"/>
            </w:r>
            <w:r w:rsidR="00FD58BF">
              <w:rPr>
                <w:noProof/>
                <w:webHidden/>
              </w:rPr>
              <w:t>236</w:t>
            </w:r>
            <w:r w:rsidR="00FD58BF">
              <w:rPr>
                <w:noProof/>
                <w:webHidden/>
              </w:rPr>
              <w:fldChar w:fldCharType="end"/>
            </w:r>
          </w:hyperlink>
        </w:p>
        <w:p w14:paraId="5C2D125F" w14:textId="0CE4DFE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0" w:history="1">
            <w:r w:rsidR="00FD58BF" w:rsidRPr="003004E5">
              <w:rPr>
                <w:rStyle w:val="Lienhypertexte"/>
                <w:noProof/>
              </w:rPr>
              <w:t>21.22.3b Maçonneries non portantes en blocs de silico-calcaire pleins à coller CCTB 01.12</w:t>
            </w:r>
            <w:r w:rsidR="00FD58BF">
              <w:rPr>
                <w:noProof/>
                <w:webHidden/>
              </w:rPr>
              <w:tab/>
            </w:r>
            <w:r w:rsidR="00FD58BF">
              <w:rPr>
                <w:noProof/>
                <w:webHidden/>
              </w:rPr>
              <w:fldChar w:fldCharType="begin"/>
            </w:r>
            <w:r w:rsidR="00FD58BF">
              <w:rPr>
                <w:noProof/>
                <w:webHidden/>
              </w:rPr>
              <w:instrText xml:space="preserve"> PAGEREF _Toc178837420 \h </w:instrText>
            </w:r>
            <w:r w:rsidR="00FD58BF">
              <w:rPr>
                <w:noProof/>
                <w:webHidden/>
              </w:rPr>
            </w:r>
            <w:r w:rsidR="00FD58BF">
              <w:rPr>
                <w:noProof/>
                <w:webHidden/>
              </w:rPr>
              <w:fldChar w:fldCharType="separate"/>
            </w:r>
            <w:r w:rsidR="00FD58BF">
              <w:rPr>
                <w:noProof/>
                <w:webHidden/>
              </w:rPr>
              <w:t>238</w:t>
            </w:r>
            <w:r w:rsidR="00FD58BF">
              <w:rPr>
                <w:noProof/>
                <w:webHidden/>
              </w:rPr>
              <w:fldChar w:fldCharType="end"/>
            </w:r>
          </w:hyperlink>
        </w:p>
        <w:p w14:paraId="48269FAD" w14:textId="11B2E0A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1" w:history="1">
            <w:r w:rsidR="00FD58BF" w:rsidRPr="003004E5">
              <w:rPr>
                <w:rStyle w:val="Lienhypertexte"/>
                <w:noProof/>
              </w:rPr>
              <w:t>21.22.3c Maçonneries non portantes en blocs de silico-calcaire creux à coller CCTB 01.12</w:t>
            </w:r>
            <w:r w:rsidR="00FD58BF">
              <w:rPr>
                <w:noProof/>
                <w:webHidden/>
              </w:rPr>
              <w:tab/>
            </w:r>
            <w:r w:rsidR="00FD58BF">
              <w:rPr>
                <w:noProof/>
                <w:webHidden/>
              </w:rPr>
              <w:fldChar w:fldCharType="begin"/>
            </w:r>
            <w:r w:rsidR="00FD58BF">
              <w:rPr>
                <w:noProof/>
                <w:webHidden/>
              </w:rPr>
              <w:instrText xml:space="preserve"> PAGEREF _Toc178837421 \h </w:instrText>
            </w:r>
            <w:r w:rsidR="00FD58BF">
              <w:rPr>
                <w:noProof/>
                <w:webHidden/>
              </w:rPr>
            </w:r>
            <w:r w:rsidR="00FD58BF">
              <w:rPr>
                <w:noProof/>
                <w:webHidden/>
              </w:rPr>
              <w:fldChar w:fldCharType="separate"/>
            </w:r>
            <w:r w:rsidR="00FD58BF">
              <w:rPr>
                <w:noProof/>
                <w:webHidden/>
              </w:rPr>
              <w:t>241</w:t>
            </w:r>
            <w:r w:rsidR="00FD58BF">
              <w:rPr>
                <w:noProof/>
                <w:webHidden/>
              </w:rPr>
              <w:fldChar w:fldCharType="end"/>
            </w:r>
          </w:hyperlink>
        </w:p>
        <w:p w14:paraId="0CC88F89" w14:textId="4B331E1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2" w:history="1">
            <w:r w:rsidR="00FD58BF" w:rsidRPr="003004E5">
              <w:rPr>
                <w:rStyle w:val="Lienhypertexte"/>
                <w:noProof/>
              </w:rPr>
              <w:t>21.22.3d Maçonneries non portantes en blocs de silico-calcaire apparents à coller avec chanfreins CCTB 01.11</w:t>
            </w:r>
            <w:r w:rsidR="00FD58BF">
              <w:rPr>
                <w:noProof/>
                <w:webHidden/>
              </w:rPr>
              <w:tab/>
            </w:r>
            <w:r w:rsidR="00FD58BF">
              <w:rPr>
                <w:noProof/>
                <w:webHidden/>
              </w:rPr>
              <w:fldChar w:fldCharType="begin"/>
            </w:r>
            <w:r w:rsidR="00FD58BF">
              <w:rPr>
                <w:noProof/>
                <w:webHidden/>
              </w:rPr>
              <w:instrText xml:space="preserve"> PAGEREF _Toc178837422 \h </w:instrText>
            </w:r>
            <w:r w:rsidR="00FD58BF">
              <w:rPr>
                <w:noProof/>
                <w:webHidden/>
              </w:rPr>
            </w:r>
            <w:r w:rsidR="00FD58BF">
              <w:rPr>
                <w:noProof/>
                <w:webHidden/>
              </w:rPr>
              <w:fldChar w:fldCharType="separate"/>
            </w:r>
            <w:r w:rsidR="00FD58BF">
              <w:rPr>
                <w:noProof/>
                <w:webHidden/>
              </w:rPr>
              <w:t>243</w:t>
            </w:r>
            <w:r w:rsidR="00FD58BF">
              <w:rPr>
                <w:noProof/>
                <w:webHidden/>
              </w:rPr>
              <w:fldChar w:fldCharType="end"/>
            </w:r>
          </w:hyperlink>
        </w:p>
        <w:p w14:paraId="05372C87" w14:textId="0C59900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23" w:history="1">
            <w:r w:rsidR="00FD58BF" w:rsidRPr="003004E5">
              <w:rPr>
                <w:rStyle w:val="Lienhypertexte"/>
                <w:noProof/>
              </w:rPr>
              <w:t>21.22.4 Maçonneries non portantes en blocs de béton d'argile expansée CCTB 01.11</w:t>
            </w:r>
            <w:r w:rsidR="00FD58BF">
              <w:rPr>
                <w:noProof/>
                <w:webHidden/>
              </w:rPr>
              <w:tab/>
            </w:r>
            <w:r w:rsidR="00FD58BF">
              <w:rPr>
                <w:noProof/>
                <w:webHidden/>
              </w:rPr>
              <w:fldChar w:fldCharType="begin"/>
            </w:r>
            <w:r w:rsidR="00FD58BF">
              <w:rPr>
                <w:noProof/>
                <w:webHidden/>
              </w:rPr>
              <w:instrText xml:space="preserve"> PAGEREF _Toc178837423 \h </w:instrText>
            </w:r>
            <w:r w:rsidR="00FD58BF">
              <w:rPr>
                <w:noProof/>
                <w:webHidden/>
              </w:rPr>
            </w:r>
            <w:r w:rsidR="00FD58BF">
              <w:rPr>
                <w:noProof/>
                <w:webHidden/>
              </w:rPr>
              <w:fldChar w:fldCharType="separate"/>
            </w:r>
            <w:r w:rsidR="00FD58BF">
              <w:rPr>
                <w:noProof/>
                <w:webHidden/>
              </w:rPr>
              <w:t>245</w:t>
            </w:r>
            <w:r w:rsidR="00FD58BF">
              <w:rPr>
                <w:noProof/>
                <w:webHidden/>
              </w:rPr>
              <w:fldChar w:fldCharType="end"/>
            </w:r>
          </w:hyperlink>
        </w:p>
        <w:p w14:paraId="30B3DB89" w14:textId="13560AF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4" w:history="1">
            <w:r w:rsidR="00FD58BF" w:rsidRPr="003004E5">
              <w:rPr>
                <w:rStyle w:val="Lienhypertexte"/>
                <w:noProof/>
              </w:rPr>
              <w:t>21.22.4a Maçonneries non portantes en blocs de béton d'argile expansée pleins à maçonner CCTB 01.12</w:t>
            </w:r>
            <w:r w:rsidR="00FD58BF">
              <w:rPr>
                <w:noProof/>
                <w:webHidden/>
              </w:rPr>
              <w:tab/>
            </w:r>
            <w:r w:rsidR="00FD58BF">
              <w:rPr>
                <w:noProof/>
                <w:webHidden/>
              </w:rPr>
              <w:fldChar w:fldCharType="begin"/>
            </w:r>
            <w:r w:rsidR="00FD58BF">
              <w:rPr>
                <w:noProof/>
                <w:webHidden/>
              </w:rPr>
              <w:instrText xml:space="preserve"> PAGEREF _Toc178837424 \h </w:instrText>
            </w:r>
            <w:r w:rsidR="00FD58BF">
              <w:rPr>
                <w:noProof/>
                <w:webHidden/>
              </w:rPr>
            </w:r>
            <w:r w:rsidR="00FD58BF">
              <w:rPr>
                <w:noProof/>
                <w:webHidden/>
              </w:rPr>
              <w:fldChar w:fldCharType="separate"/>
            </w:r>
            <w:r w:rsidR="00FD58BF">
              <w:rPr>
                <w:noProof/>
                <w:webHidden/>
              </w:rPr>
              <w:t>246</w:t>
            </w:r>
            <w:r w:rsidR="00FD58BF">
              <w:rPr>
                <w:noProof/>
                <w:webHidden/>
              </w:rPr>
              <w:fldChar w:fldCharType="end"/>
            </w:r>
          </w:hyperlink>
        </w:p>
        <w:p w14:paraId="7EF9DBDA" w14:textId="760DF0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5" w:history="1">
            <w:r w:rsidR="00FD58BF" w:rsidRPr="003004E5">
              <w:rPr>
                <w:rStyle w:val="Lienhypertexte"/>
                <w:noProof/>
              </w:rPr>
              <w:t>21.22.4b Maçonneries non portantes en blocs de béton d'argile expansée pleins à coller CCTB 01.12</w:t>
            </w:r>
            <w:r w:rsidR="00FD58BF">
              <w:rPr>
                <w:noProof/>
                <w:webHidden/>
              </w:rPr>
              <w:tab/>
            </w:r>
            <w:r w:rsidR="00FD58BF">
              <w:rPr>
                <w:noProof/>
                <w:webHidden/>
              </w:rPr>
              <w:fldChar w:fldCharType="begin"/>
            </w:r>
            <w:r w:rsidR="00FD58BF">
              <w:rPr>
                <w:noProof/>
                <w:webHidden/>
              </w:rPr>
              <w:instrText xml:space="preserve"> PAGEREF _Toc178837425 \h </w:instrText>
            </w:r>
            <w:r w:rsidR="00FD58BF">
              <w:rPr>
                <w:noProof/>
                <w:webHidden/>
              </w:rPr>
            </w:r>
            <w:r w:rsidR="00FD58BF">
              <w:rPr>
                <w:noProof/>
                <w:webHidden/>
              </w:rPr>
              <w:fldChar w:fldCharType="separate"/>
            </w:r>
            <w:r w:rsidR="00FD58BF">
              <w:rPr>
                <w:noProof/>
                <w:webHidden/>
              </w:rPr>
              <w:t>248</w:t>
            </w:r>
            <w:r w:rsidR="00FD58BF">
              <w:rPr>
                <w:noProof/>
                <w:webHidden/>
              </w:rPr>
              <w:fldChar w:fldCharType="end"/>
            </w:r>
          </w:hyperlink>
        </w:p>
        <w:p w14:paraId="5274262B" w14:textId="3B5B68A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6" w:history="1">
            <w:r w:rsidR="00FD58BF" w:rsidRPr="003004E5">
              <w:rPr>
                <w:rStyle w:val="Lienhypertexte"/>
                <w:noProof/>
              </w:rPr>
              <w:t>21.22.4c Maçonneries non portantes en blocs de béton d'argile expansée creux à maçonner CCTB 01.11</w:t>
            </w:r>
            <w:r w:rsidR="00FD58BF">
              <w:rPr>
                <w:noProof/>
                <w:webHidden/>
              </w:rPr>
              <w:tab/>
            </w:r>
            <w:r w:rsidR="00FD58BF">
              <w:rPr>
                <w:noProof/>
                <w:webHidden/>
              </w:rPr>
              <w:fldChar w:fldCharType="begin"/>
            </w:r>
            <w:r w:rsidR="00FD58BF">
              <w:rPr>
                <w:noProof/>
                <w:webHidden/>
              </w:rPr>
              <w:instrText xml:space="preserve"> PAGEREF _Toc178837426 \h </w:instrText>
            </w:r>
            <w:r w:rsidR="00FD58BF">
              <w:rPr>
                <w:noProof/>
                <w:webHidden/>
              </w:rPr>
            </w:r>
            <w:r w:rsidR="00FD58BF">
              <w:rPr>
                <w:noProof/>
                <w:webHidden/>
              </w:rPr>
              <w:fldChar w:fldCharType="separate"/>
            </w:r>
            <w:r w:rsidR="00FD58BF">
              <w:rPr>
                <w:noProof/>
                <w:webHidden/>
              </w:rPr>
              <w:t>250</w:t>
            </w:r>
            <w:r w:rsidR="00FD58BF">
              <w:rPr>
                <w:noProof/>
                <w:webHidden/>
              </w:rPr>
              <w:fldChar w:fldCharType="end"/>
            </w:r>
          </w:hyperlink>
        </w:p>
        <w:p w14:paraId="4CE90FB8" w14:textId="03C0016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7" w:history="1">
            <w:r w:rsidR="00FD58BF" w:rsidRPr="003004E5">
              <w:rPr>
                <w:rStyle w:val="Lienhypertexte"/>
                <w:noProof/>
              </w:rPr>
              <w:t>21.22.4d Maçonneries non portantes en blocs de béton d'argile expansée creux à coller CCTB 01.12</w:t>
            </w:r>
            <w:r w:rsidR="00FD58BF">
              <w:rPr>
                <w:noProof/>
                <w:webHidden/>
              </w:rPr>
              <w:tab/>
            </w:r>
            <w:r w:rsidR="00FD58BF">
              <w:rPr>
                <w:noProof/>
                <w:webHidden/>
              </w:rPr>
              <w:fldChar w:fldCharType="begin"/>
            </w:r>
            <w:r w:rsidR="00FD58BF">
              <w:rPr>
                <w:noProof/>
                <w:webHidden/>
              </w:rPr>
              <w:instrText xml:space="preserve"> PAGEREF _Toc178837427 \h </w:instrText>
            </w:r>
            <w:r w:rsidR="00FD58BF">
              <w:rPr>
                <w:noProof/>
                <w:webHidden/>
              </w:rPr>
            </w:r>
            <w:r w:rsidR="00FD58BF">
              <w:rPr>
                <w:noProof/>
                <w:webHidden/>
              </w:rPr>
              <w:fldChar w:fldCharType="separate"/>
            </w:r>
            <w:r w:rsidR="00FD58BF">
              <w:rPr>
                <w:noProof/>
                <w:webHidden/>
              </w:rPr>
              <w:t>252</w:t>
            </w:r>
            <w:r w:rsidR="00FD58BF">
              <w:rPr>
                <w:noProof/>
                <w:webHidden/>
              </w:rPr>
              <w:fldChar w:fldCharType="end"/>
            </w:r>
          </w:hyperlink>
        </w:p>
        <w:p w14:paraId="240CE65A" w14:textId="12C2E9F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8" w:history="1">
            <w:r w:rsidR="00FD58BF" w:rsidRPr="003004E5">
              <w:rPr>
                <w:rStyle w:val="Lienhypertexte"/>
                <w:noProof/>
              </w:rPr>
              <w:t>21.22.4e Maçonneries non portantes en blocs de béton d'argile expansée avec système de dosage pour liant hydraulique CCTB 01.12</w:t>
            </w:r>
            <w:r w:rsidR="00FD58BF">
              <w:rPr>
                <w:noProof/>
                <w:webHidden/>
              </w:rPr>
              <w:tab/>
            </w:r>
            <w:r w:rsidR="00FD58BF">
              <w:rPr>
                <w:noProof/>
                <w:webHidden/>
              </w:rPr>
              <w:fldChar w:fldCharType="begin"/>
            </w:r>
            <w:r w:rsidR="00FD58BF">
              <w:rPr>
                <w:noProof/>
                <w:webHidden/>
              </w:rPr>
              <w:instrText xml:space="preserve"> PAGEREF _Toc178837428 \h </w:instrText>
            </w:r>
            <w:r w:rsidR="00FD58BF">
              <w:rPr>
                <w:noProof/>
                <w:webHidden/>
              </w:rPr>
            </w:r>
            <w:r w:rsidR="00FD58BF">
              <w:rPr>
                <w:noProof/>
                <w:webHidden/>
              </w:rPr>
              <w:fldChar w:fldCharType="separate"/>
            </w:r>
            <w:r w:rsidR="00FD58BF">
              <w:rPr>
                <w:noProof/>
                <w:webHidden/>
              </w:rPr>
              <w:t>254</w:t>
            </w:r>
            <w:r w:rsidR="00FD58BF">
              <w:rPr>
                <w:noProof/>
                <w:webHidden/>
              </w:rPr>
              <w:fldChar w:fldCharType="end"/>
            </w:r>
          </w:hyperlink>
        </w:p>
        <w:p w14:paraId="1DEDE2BD" w14:textId="7C616E9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29" w:history="1">
            <w:r w:rsidR="00FD58BF" w:rsidRPr="003004E5">
              <w:rPr>
                <w:rStyle w:val="Lienhypertexte"/>
                <w:noProof/>
              </w:rPr>
              <w:t>21.22.4f Maçonneries non portantes en blocs de béton d'argile expansée acoustiques CCTB 01.11</w:t>
            </w:r>
            <w:r w:rsidR="00FD58BF">
              <w:rPr>
                <w:noProof/>
                <w:webHidden/>
              </w:rPr>
              <w:tab/>
            </w:r>
            <w:r w:rsidR="00FD58BF">
              <w:rPr>
                <w:noProof/>
                <w:webHidden/>
              </w:rPr>
              <w:fldChar w:fldCharType="begin"/>
            </w:r>
            <w:r w:rsidR="00FD58BF">
              <w:rPr>
                <w:noProof/>
                <w:webHidden/>
              </w:rPr>
              <w:instrText xml:space="preserve"> PAGEREF _Toc178837429 \h </w:instrText>
            </w:r>
            <w:r w:rsidR="00FD58BF">
              <w:rPr>
                <w:noProof/>
                <w:webHidden/>
              </w:rPr>
            </w:r>
            <w:r w:rsidR="00FD58BF">
              <w:rPr>
                <w:noProof/>
                <w:webHidden/>
              </w:rPr>
              <w:fldChar w:fldCharType="separate"/>
            </w:r>
            <w:r w:rsidR="00FD58BF">
              <w:rPr>
                <w:noProof/>
                <w:webHidden/>
              </w:rPr>
              <w:t>257</w:t>
            </w:r>
            <w:r w:rsidR="00FD58BF">
              <w:rPr>
                <w:noProof/>
                <w:webHidden/>
              </w:rPr>
              <w:fldChar w:fldCharType="end"/>
            </w:r>
          </w:hyperlink>
        </w:p>
        <w:p w14:paraId="4A20308B" w14:textId="6F44CD1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30" w:history="1">
            <w:r w:rsidR="00FD58BF" w:rsidRPr="003004E5">
              <w:rPr>
                <w:rStyle w:val="Lienhypertexte"/>
                <w:noProof/>
              </w:rPr>
              <w:t>21.22.5 Maçonneries non portantes en béton cellulaire CCTB 01.11</w:t>
            </w:r>
            <w:r w:rsidR="00FD58BF">
              <w:rPr>
                <w:noProof/>
                <w:webHidden/>
              </w:rPr>
              <w:tab/>
            </w:r>
            <w:r w:rsidR="00FD58BF">
              <w:rPr>
                <w:noProof/>
                <w:webHidden/>
              </w:rPr>
              <w:fldChar w:fldCharType="begin"/>
            </w:r>
            <w:r w:rsidR="00FD58BF">
              <w:rPr>
                <w:noProof/>
                <w:webHidden/>
              </w:rPr>
              <w:instrText xml:space="preserve"> PAGEREF _Toc178837430 \h </w:instrText>
            </w:r>
            <w:r w:rsidR="00FD58BF">
              <w:rPr>
                <w:noProof/>
                <w:webHidden/>
              </w:rPr>
            </w:r>
            <w:r w:rsidR="00FD58BF">
              <w:rPr>
                <w:noProof/>
                <w:webHidden/>
              </w:rPr>
              <w:fldChar w:fldCharType="separate"/>
            </w:r>
            <w:r w:rsidR="00FD58BF">
              <w:rPr>
                <w:noProof/>
                <w:webHidden/>
              </w:rPr>
              <w:t>259</w:t>
            </w:r>
            <w:r w:rsidR="00FD58BF">
              <w:rPr>
                <w:noProof/>
                <w:webHidden/>
              </w:rPr>
              <w:fldChar w:fldCharType="end"/>
            </w:r>
          </w:hyperlink>
        </w:p>
        <w:p w14:paraId="4FF33410" w14:textId="45987BC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31" w:history="1">
            <w:r w:rsidR="00FD58BF" w:rsidRPr="003004E5">
              <w:rPr>
                <w:rStyle w:val="Lienhypertexte"/>
                <w:noProof/>
              </w:rPr>
              <w:t>21.22.5a Maçonneries non portantes en blocs de béton cellulaire CCTB 01.12</w:t>
            </w:r>
            <w:r w:rsidR="00FD58BF">
              <w:rPr>
                <w:noProof/>
                <w:webHidden/>
              </w:rPr>
              <w:tab/>
            </w:r>
            <w:r w:rsidR="00FD58BF">
              <w:rPr>
                <w:noProof/>
                <w:webHidden/>
              </w:rPr>
              <w:fldChar w:fldCharType="begin"/>
            </w:r>
            <w:r w:rsidR="00FD58BF">
              <w:rPr>
                <w:noProof/>
                <w:webHidden/>
              </w:rPr>
              <w:instrText xml:space="preserve"> PAGEREF _Toc178837431 \h </w:instrText>
            </w:r>
            <w:r w:rsidR="00FD58BF">
              <w:rPr>
                <w:noProof/>
                <w:webHidden/>
              </w:rPr>
            </w:r>
            <w:r w:rsidR="00FD58BF">
              <w:rPr>
                <w:noProof/>
                <w:webHidden/>
              </w:rPr>
              <w:fldChar w:fldCharType="separate"/>
            </w:r>
            <w:r w:rsidR="00FD58BF">
              <w:rPr>
                <w:noProof/>
                <w:webHidden/>
              </w:rPr>
              <w:t>259</w:t>
            </w:r>
            <w:r w:rsidR="00FD58BF">
              <w:rPr>
                <w:noProof/>
                <w:webHidden/>
              </w:rPr>
              <w:fldChar w:fldCharType="end"/>
            </w:r>
          </w:hyperlink>
        </w:p>
        <w:p w14:paraId="40213569" w14:textId="5DC67AC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32" w:history="1">
            <w:r w:rsidR="00FD58BF" w:rsidRPr="003004E5">
              <w:rPr>
                <w:rStyle w:val="Lienhypertexte"/>
                <w:noProof/>
              </w:rPr>
              <w:t>21.22.5b Maçonneries non portantes en carreaux de béton cellulaire CCTB 01.12</w:t>
            </w:r>
            <w:r w:rsidR="00FD58BF">
              <w:rPr>
                <w:noProof/>
                <w:webHidden/>
              </w:rPr>
              <w:tab/>
            </w:r>
            <w:r w:rsidR="00FD58BF">
              <w:rPr>
                <w:noProof/>
                <w:webHidden/>
              </w:rPr>
              <w:fldChar w:fldCharType="begin"/>
            </w:r>
            <w:r w:rsidR="00FD58BF">
              <w:rPr>
                <w:noProof/>
                <w:webHidden/>
              </w:rPr>
              <w:instrText xml:space="preserve"> PAGEREF _Toc178837432 \h </w:instrText>
            </w:r>
            <w:r w:rsidR="00FD58BF">
              <w:rPr>
                <w:noProof/>
                <w:webHidden/>
              </w:rPr>
            </w:r>
            <w:r w:rsidR="00FD58BF">
              <w:rPr>
                <w:noProof/>
                <w:webHidden/>
              </w:rPr>
              <w:fldChar w:fldCharType="separate"/>
            </w:r>
            <w:r w:rsidR="00FD58BF">
              <w:rPr>
                <w:noProof/>
                <w:webHidden/>
              </w:rPr>
              <w:t>262</w:t>
            </w:r>
            <w:r w:rsidR="00FD58BF">
              <w:rPr>
                <w:noProof/>
                <w:webHidden/>
              </w:rPr>
              <w:fldChar w:fldCharType="end"/>
            </w:r>
          </w:hyperlink>
        </w:p>
        <w:p w14:paraId="550AD0B0" w14:textId="330909B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33" w:history="1">
            <w:r w:rsidR="00FD58BF" w:rsidRPr="003004E5">
              <w:rPr>
                <w:rStyle w:val="Lienhypertexte"/>
                <w:noProof/>
              </w:rPr>
              <w:t>21.22.6 Maçonneries non portantes en blocs de plâtre CCTB 01.04</w:t>
            </w:r>
            <w:r w:rsidR="00FD58BF">
              <w:rPr>
                <w:noProof/>
                <w:webHidden/>
              </w:rPr>
              <w:tab/>
            </w:r>
            <w:r w:rsidR="00FD58BF">
              <w:rPr>
                <w:noProof/>
                <w:webHidden/>
              </w:rPr>
              <w:fldChar w:fldCharType="begin"/>
            </w:r>
            <w:r w:rsidR="00FD58BF">
              <w:rPr>
                <w:noProof/>
                <w:webHidden/>
              </w:rPr>
              <w:instrText xml:space="preserve"> PAGEREF _Toc178837433 \h </w:instrText>
            </w:r>
            <w:r w:rsidR="00FD58BF">
              <w:rPr>
                <w:noProof/>
                <w:webHidden/>
              </w:rPr>
            </w:r>
            <w:r w:rsidR="00FD58BF">
              <w:rPr>
                <w:noProof/>
                <w:webHidden/>
              </w:rPr>
              <w:fldChar w:fldCharType="separate"/>
            </w:r>
            <w:r w:rsidR="00FD58BF">
              <w:rPr>
                <w:noProof/>
                <w:webHidden/>
              </w:rPr>
              <w:t>264</w:t>
            </w:r>
            <w:r w:rsidR="00FD58BF">
              <w:rPr>
                <w:noProof/>
                <w:webHidden/>
              </w:rPr>
              <w:fldChar w:fldCharType="end"/>
            </w:r>
          </w:hyperlink>
        </w:p>
        <w:p w14:paraId="1AF4DE16" w14:textId="60D7581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34" w:history="1">
            <w:r w:rsidR="00FD58BF" w:rsidRPr="003004E5">
              <w:rPr>
                <w:rStyle w:val="Lienhypertexte"/>
                <w:noProof/>
              </w:rPr>
              <w:t>21.22.6a Maçonneries non portantes en blocs de plâtre CCTB 01.11</w:t>
            </w:r>
            <w:r w:rsidR="00FD58BF">
              <w:rPr>
                <w:noProof/>
                <w:webHidden/>
              </w:rPr>
              <w:tab/>
            </w:r>
            <w:r w:rsidR="00FD58BF">
              <w:rPr>
                <w:noProof/>
                <w:webHidden/>
              </w:rPr>
              <w:fldChar w:fldCharType="begin"/>
            </w:r>
            <w:r w:rsidR="00FD58BF">
              <w:rPr>
                <w:noProof/>
                <w:webHidden/>
              </w:rPr>
              <w:instrText xml:space="preserve"> PAGEREF _Toc178837434 \h </w:instrText>
            </w:r>
            <w:r w:rsidR="00FD58BF">
              <w:rPr>
                <w:noProof/>
                <w:webHidden/>
              </w:rPr>
            </w:r>
            <w:r w:rsidR="00FD58BF">
              <w:rPr>
                <w:noProof/>
                <w:webHidden/>
              </w:rPr>
              <w:fldChar w:fldCharType="separate"/>
            </w:r>
            <w:r w:rsidR="00FD58BF">
              <w:rPr>
                <w:noProof/>
                <w:webHidden/>
              </w:rPr>
              <w:t>264</w:t>
            </w:r>
            <w:r w:rsidR="00FD58BF">
              <w:rPr>
                <w:noProof/>
                <w:webHidden/>
              </w:rPr>
              <w:fldChar w:fldCharType="end"/>
            </w:r>
          </w:hyperlink>
        </w:p>
        <w:p w14:paraId="3EF8A5EB" w14:textId="50E3930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35" w:history="1">
            <w:r w:rsidR="00FD58BF" w:rsidRPr="003004E5">
              <w:rPr>
                <w:rStyle w:val="Lienhypertexte"/>
                <w:noProof/>
              </w:rPr>
              <w:t>21.22.7 Maçonneries non portantes en blocs de terre crue CCTB 01.11</w:t>
            </w:r>
            <w:r w:rsidR="00FD58BF">
              <w:rPr>
                <w:noProof/>
                <w:webHidden/>
              </w:rPr>
              <w:tab/>
            </w:r>
            <w:r w:rsidR="00FD58BF">
              <w:rPr>
                <w:noProof/>
                <w:webHidden/>
              </w:rPr>
              <w:fldChar w:fldCharType="begin"/>
            </w:r>
            <w:r w:rsidR="00FD58BF">
              <w:rPr>
                <w:noProof/>
                <w:webHidden/>
              </w:rPr>
              <w:instrText xml:space="preserve"> PAGEREF _Toc178837435 \h </w:instrText>
            </w:r>
            <w:r w:rsidR="00FD58BF">
              <w:rPr>
                <w:noProof/>
                <w:webHidden/>
              </w:rPr>
            </w:r>
            <w:r w:rsidR="00FD58BF">
              <w:rPr>
                <w:noProof/>
                <w:webHidden/>
              </w:rPr>
              <w:fldChar w:fldCharType="separate"/>
            </w:r>
            <w:r w:rsidR="00FD58BF">
              <w:rPr>
                <w:noProof/>
                <w:webHidden/>
              </w:rPr>
              <w:t>266</w:t>
            </w:r>
            <w:r w:rsidR="00FD58BF">
              <w:rPr>
                <w:noProof/>
                <w:webHidden/>
              </w:rPr>
              <w:fldChar w:fldCharType="end"/>
            </w:r>
          </w:hyperlink>
        </w:p>
        <w:p w14:paraId="6401FD7D" w14:textId="38A9D7B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36" w:history="1">
            <w:r w:rsidR="00FD58BF" w:rsidRPr="003004E5">
              <w:rPr>
                <w:rStyle w:val="Lienhypertexte"/>
                <w:noProof/>
              </w:rPr>
              <w:t>21.22.7a Maçonneries non portantes en blocs de terre crue à maçonner CCTB 01.11</w:t>
            </w:r>
            <w:r w:rsidR="00FD58BF">
              <w:rPr>
                <w:noProof/>
                <w:webHidden/>
              </w:rPr>
              <w:tab/>
            </w:r>
            <w:r w:rsidR="00FD58BF">
              <w:rPr>
                <w:noProof/>
                <w:webHidden/>
              </w:rPr>
              <w:fldChar w:fldCharType="begin"/>
            </w:r>
            <w:r w:rsidR="00FD58BF">
              <w:rPr>
                <w:noProof/>
                <w:webHidden/>
              </w:rPr>
              <w:instrText xml:space="preserve"> PAGEREF _Toc178837436 \h </w:instrText>
            </w:r>
            <w:r w:rsidR="00FD58BF">
              <w:rPr>
                <w:noProof/>
                <w:webHidden/>
              </w:rPr>
            </w:r>
            <w:r w:rsidR="00FD58BF">
              <w:rPr>
                <w:noProof/>
                <w:webHidden/>
              </w:rPr>
              <w:fldChar w:fldCharType="separate"/>
            </w:r>
            <w:r w:rsidR="00FD58BF">
              <w:rPr>
                <w:noProof/>
                <w:webHidden/>
              </w:rPr>
              <w:t>267</w:t>
            </w:r>
            <w:r w:rsidR="00FD58BF">
              <w:rPr>
                <w:noProof/>
                <w:webHidden/>
              </w:rPr>
              <w:fldChar w:fldCharType="end"/>
            </w:r>
          </w:hyperlink>
        </w:p>
        <w:p w14:paraId="3B668B70" w14:textId="7C6EE5D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37" w:history="1">
            <w:r w:rsidR="00FD58BF" w:rsidRPr="003004E5">
              <w:rPr>
                <w:rStyle w:val="Lienhypertexte"/>
                <w:noProof/>
              </w:rPr>
              <w:t>21.22.8 Maçonneries non portantes en blocs de chaux-chanvre CCTB 01.11</w:t>
            </w:r>
            <w:r w:rsidR="00FD58BF">
              <w:rPr>
                <w:noProof/>
                <w:webHidden/>
              </w:rPr>
              <w:tab/>
            </w:r>
            <w:r w:rsidR="00FD58BF">
              <w:rPr>
                <w:noProof/>
                <w:webHidden/>
              </w:rPr>
              <w:fldChar w:fldCharType="begin"/>
            </w:r>
            <w:r w:rsidR="00FD58BF">
              <w:rPr>
                <w:noProof/>
                <w:webHidden/>
              </w:rPr>
              <w:instrText xml:space="preserve"> PAGEREF _Toc178837437 \h </w:instrText>
            </w:r>
            <w:r w:rsidR="00FD58BF">
              <w:rPr>
                <w:noProof/>
                <w:webHidden/>
              </w:rPr>
            </w:r>
            <w:r w:rsidR="00FD58BF">
              <w:rPr>
                <w:noProof/>
                <w:webHidden/>
              </w:rPr>
              <w:fldChar w:fldCharType="separate"/>
            </w:r>
            <w:r w:rsidR="00FD58BF">
              <w:rPr>
                <w:noProof/>
                <w:webHidden/>
              </w:rPr>
              <w:t>271</w:t>
            </w:r>
            <w:r w:rsidR="00FD58BF">
              <w:rPr>
                <w:noProof/>
                <w:webHidden/>
              </w:rPr>
              <w:fldChar w:fldCharType="end"/>
            </w:r>
          </w:hyperlink>
        </w:p>
        <w:p w14:paraId="68001829" w14:textId="7CE03DE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38" w:history="1">
            <w:r w:rsidR="00FD58BF" w:rsidRPr="003004E5">
              <w:rPr>
                <w:rStyle w:val="Lienhypertexte"/>
                <w:noProof/>
              </w:rPr>
              <w:t>21.22.8a Maçonneries non portantes en blocs de chaux-chanvre CCTB 01.12</w:t>
            </w:r>
            <w:r w:rsidR="00FD58BF">
              <w:rPr>
                <w:noProof/>
                <w:webHidden/>
              </w:rPr>
              <w:tab/>
            </w:r>
            <w:r w:rsidR="00FD58BF">
              <w:rPr>
                <w:noProof/>
                <w:webHidden/>
              </w:rPr>
              <w:fldChar w:fldCharType="begin"/>
            </w:r>
            <w:r w:rsidR="00FD58BF">
              <w:rPr>
                <w:noProof/>
                <w:webHidden/>
              </w:rPr>
              <w:instrText xml:space="preserve"> PAGEREF _Toc178837438 \h </w:instrText>
            </w:r>
            <w:r w:rsidR="00FD58BF">
              <w:rPr>
                <w:noProof/>
                <w:webHidden/>
              </w:rPr>
            </w:r>
            <w:r w:rsidR="00FD58BF">
              <w:rPr>
                <w:noProof/>
                <w:webHidden/>
              </w:rPr>
              <w:fldChar w:fldCharType="separate"/>
            </w:r>
            <w:r w:rsidR="00FD58BF">
              <w:rPr>
                <w:noProof/>
                <w:webHidden/>
              </w:rPr>
              <w:t>272</w:t>
            </w:r>
            <w:r w:rsidR="00FD58BF">
              <w:rPr>
                <w:noProof/>
                <w:webHidden/>
              </w:rPr>
              <w:fldChar w:fldCharType="end"/>
            </w:r>
          </w:hyperlink>
        </w:p>
        <w:p w14:paraId="66ABB9E1" w14:textId="780E85EC"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39" w:history="1">
            <w:r w:rsidR="00FD58BF" w:rsidRPr="003004E5">
              <w:rPr>
                <w:rStyle w:val="Lienhypertexte"/>
                <w:noProof/>
              </w:rPr>
              <w:t>21.23 Maçonneries non portantes en pierre CCTB 01.12</w:t>
            </w:r>
            <w:r w:rsidR="00FD58BF">
              <w:rPr>
                <w:noProof/>
                <w:webHidden/>
              </w:rPr>
              <w:tab/>
            </w:r>
            <w:r w:rsidR="00FD58BF">
              <w:rPr>
                <w:noProof/>
                <w:webHidden/>
              </w:rPr>
              <w:fldChar w:fldCharType="begin"/>
            </w:r>
            <w:r w:rsidR="00FD58BF">
              <w:rPr>
                <w:noProof/>
                <w:webHidden/>
              </w:rPr>
              <w:instrText xml:space="preserve"> PAGEREF _Toc178837439 \h </w:instrText>
            </w:r>
            <w:r w:rsidR="00FD58BF">
              <w:rPr>
                <w:noProof/>
                <w:webHidden/>
              </w:rPr>
            </w:r>
            <w:r w:rsidR="00FD58BF">
              <w:rPr>
                <w:noProof/>
                <w:webHidden/>
              </w:rPr>
              <w:fldChar w:fldCharType="separate"/>
            </w:r>
            <w:r w:rsidR="00FD58BF">
              <w:rPr>
                <w:noProof/>
                <w:webHidden/>
              </w:rPr>
              <w:t>276</w:t>
            </w:r>
            <w:r w:rsidR="00FD58BF">
              <w:rPr>
                <w:noProof/>
                <w:webHidden/>
              </w:rPr>
              <w:fldChar w:fldCharType="end"/>
            </w:r>
          </w:hyperlink>
        </w:p>
        <w:p w14:paraId="6506D689" w14:textId="1F427BE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40" w:history="1">
            <w:r w:rsidR="00FD58BF" w:rsidRPr="003004E5">
              <w:rPr>
                <w:rStyle w:val="Lienhypertexte"/>
                <w:noProof/>
              </w:rPr>
              <w:t>21.23.1 Maçonneries non portantes en pierre de taille CCTB 01.02</w:t>
            </w:r>
            <w:r w:rsidR="00FD58BF">
              <w:rPr>
                <w:noProof/>
                <w:webHidden/>
              </w:rPr>
              <w:tab/>
            </w:r>
            <w:r w:rsidR="00FD58BF">
              <w:rPr>
                <w:noProof/>
                <w:webHidden/>
              </w:rPr>
              <w:fldChar w:fldCharType="begin"/>
            </w:r>
            <w:r w:rsidR="00FD58BF">
              <w:rPr>
                <w:noProof/>
                <w:webHidden/>
              </w:rPr>
              <w:instrText xml:space="preserve"> PAGEREF _Toc178837440 \h </w:instrText>
            </w:r>
            <w:r w:rsidR="00FD58BF">
              <w:rPr>
                <w:noProof/>
                <w:webHidden/>
              </w:rPr>
            </w:r>
            <w:r w:rsidR="00FD58BF">
              <w:rPr>
                <w:noProof/>
                <w:webHidden/>
              </w:rPr>
              <w:fldChar w:fldCharType="separate"/>
            </w:r>
            <w:r w:rsidR="00FD58BF">
              <w:rPr>
                <w:noProof/>
                <w:webHidden/>
              </w:rPr>
              <w:t>276</w:t>
            </w:r>
            <w:r w:rsidR="00FD58BF">
              <w:rPr>
                <w:noProof/>
                <w:webHidden/>
              </w:rPr>
              <w:fldChar w:fldCharType="end"/>
            </w:r>
          </w:hyperlink>
        </w:p>
        <w:p w14:paraId="526131E4" w14:textId="1213EFB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41" w:history="1">
            <w:r w:rsidR="00FD58BF" w:rsidRPr="003004E5">
              <w:rPr>
                <w:rStyle w:val="Lienhypertexte"/>
                <w:noProof/>
              </w:rPr>
              <w:t>21.23.1a Maçonneries non portantes en petit granit - pierre bleue CCTB 01.04</w:t>
            </w:r>
            <w:r w:rsidR="00FD58BF">
              <w:rPr>
                <w:noProof/>
                <w:webHidden/>
              </w:rPr>
              <w:tab/>
            </w:r>
            <w:r w:rsidR="00FD58BF">
              <w:rPr>
                <w:noProof/>
                <w:webHidden/>
              </w:rPr>
              <w:fldChar w:fldCharType="begin"/>
            </w:r>
            <w:r w:rsidR="00FD58BF">
              <w:rPr>
                <w:noProof/>
                <w:webHidden/>
              </w:rPr>
              <w:instrText xml:space="preserve"> PAGEREF _Toc178837441 \h </w:instrText>
            </w:r>
            <w:r w:rsidR="00FD58BF">
              <w:rPr>
                <w:noProof/>
                <w:webHidden/>
              </w:rPr>
            </w:r>
            <w:r w:rsidR="00FD58BF">
              <w:rPr>
                <w:noProof/>
                <w:webHidden/>
              </w:rPr>
              <w:fldChar w:fldCharType="separate"/>
            </w:r>
            <w:r w:rsidR="00FD58BF">
              <w:rPr>
                <w:noProof/>
                <w:webHidden/>
              </w:rPr>
              <w:t>276</w:t>
            </w:r>
            <w:r w:rsidR="00FD58BF">
              <w:rPr>
                <w:noProof/>
                <w:webHidden/>
              </w:rPr>
              <w:fldChar w:fldCharType="end"/>
            </w:r>
          </w:hyperlink>
        </w:p>
        <w:p w14:paraId="75C3D5C9" w14:textId="0D4417F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42" w:history="1">
            <w:r w:rsidR="00FD58BF" w:rsidRPr="003004E5">
              <w:rPr>
                <w:rStyle w:val="Lienhypertexte"/>
                <w:noProof/>
              </w:rPr>
              <w:t>21.23.1b Maçonneries non portantes en pierre calcaire CCTB 01.04</w:t>
            </w:r>
            <w:r w:rsidR="00FD58BF">
              <w:rPr>
                <w:noProof/>
                <w:webHidden/>
              </w:rPr>
              <w:tab/>
            </w:r>
            <w:r w:rsidR="00FD58BF">
              <w:rPr>
                <w:noProof/>
                <w:webHidden/>
              </w:rPr>
              <w:fldChar w:fldCharType="begin"/>
            </w:r>
            <w:r w:rsidR="00FD58BF">
              <w:rPr>
                <w:noProof/>
                <w:webHidden/>
              </w:rPr>
              <w:instrText xml:space="preserve"> PAGEREF _Toc178837442 \h </w:instrText>
            </w:r>
            <w:r w:rsidR="00FD58BF">
              <w:rPr>
                <w:noProof/>
                <w:webHidden/>
              </w:rPr>
            </w:r>
            <w:r w:rsidR="00FD58BF">
              <w:rPr>
                <w:noProof/>
                <w:webHidden/>
              </w:rPr>
              <w:fldChar w:fldCharType="separate"/>
            </w:r>
            <w:r w:rsidR="00FD58BF">
              <w:rPr>
                <w:noProof/>
                <w:webHidden/>
              </w:rPr>
              <w:t>276</w:t>
            </w:r>
            <w:r w:rsidR="00FD58BF">
              <w:rPr>
                <w:noProof/>
                <w:webHidden/>
              </w:rPr>
              <w:fldChar w:fldCharType="end"/>
            </w:r>
          </w:hyperlink>
        </w:p>
        <w:p w14:paraId="74ED77AD" w14:textId="739DFB5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43" w:history="1">
            <w:r w:rsidR="00FD58BF" w:rsidRPr="003004E5">
              <w:rPr>
                <w:rStyle w:val="Lienhypertexte"/>
                <w:noProof/>
              </w:rPr>
              <w:t>21.23.2 Maçonneries non portantes en moellons de pierre calcaire CCTB 01.02</w:t>
            </w:r>
            <w:r w:rsidR="00FD58BF">
              <w:rPr>
                <w:noProof/>
                <w:webHidden/>
              </w:rPr>
              <w:tab/>
            </w:r>
            <w:r w:rsidR="00FD58BF">
              <w:rPr>
                <w:noProof/>
                <w:webHidden/>
              </w:rPr>
              <w:fldChar w:fldCharType="begin"/>
            </w:r>
            <w:r w:rsidR="00FD58BF">
              <w:rPr>
                <w:noProof/>
                <w:webHidden/>
              </w:rPr>
              <w:instrText xml:space="preserve"> PAGEREF _Toc178837443 \h </w:instrText>
            </w:r>
            <w:r w:rsidR="00FD58BF">
              <w:rPr>
                <w:noProof/>
                <w:webHidden/>
              </w:rPr>
            </w:r>
            <w:r w:rsidR="00FD58BF">
              <w:rPr>
                <w:noProof/>
                <w:webHidden/>
              </w:rPr>
              <w:fldChar w:fldCharType="separate"/>
            </w:r>
            <w:r w:rsidR="00FD58BF">
              <w:rPr>
                <w:noProof/>
                <w:webHidden/>
              </w:rPr>
              <w:t>277</w:t>
            </w:r>
            <w:r w:rsidR="00FD58BF">
              <w:rPr>
                <w:noProof/>
                <w:webHidden/>
              </w:rPr>
              <w:fldChar w:fldCharType="end"/>
            </w:r>
          </w:hyperlink>
        </w:p>
        <w:p w14:paraId="55152B32" w14:textId="2911CDF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44" w:history="1">
            <w:r w:rsidR="00FD58BF" w:rsidRPr="003004E5">
              <w:rPr>
                <w:rStyle w:val="Lienhypertexte"/>
                <w:noProof/>
              </w:rPr>
              <w:t>21.23.2a Maçonneries non portantes en moellons de pierre bleue CCTB 01.04</w:t>
            </w:r>
            <w:r w:rsidR="00FD58BF">
              <w:rPr>
                <w:noProof/>
                <w:webHidden/>
              </w:rPr>
              <w:tab/>
            </w:r>
            <w:r w:rsidR="00FD58BF">
              <w:rPr>
                <w:noProof/>
                <w:webHidden/>
              </w:rPr>
              <w:fldChar w:fldCharType="begin"/>
            </w:r>
            <w:r w:rsidR="00FD58BF">
              <w:rPr>
                <w:noProof/>
                <w:webHidden/>
              </w:rPr>
              <w:instrText xml:space="preserve"> PAGEREF _Toc178837444 \h </w:instrText>
            </w:r>
            <w:r w:rsidR="00FD58BF">
              <w:rPr>
                <w:noProof/>
                <w:webHidden/>
              </w:rPr>
            </w:r>
            <w:r w:rsidR="00FD58BF">
              <w:rPr>
                <w:noProof/>
                <w:webHidden/>
              </w:rPr>
              <w:fldChar w:fldCharType="separate"/>
            </w:r>
            <w:r w:rsidR="00FD58BF">
              <w:rPr>
                <w:noProof/>
                <w:webHidden/>
              </w:rPr>
              <w:t>277</w:t>
            </w:r>
            <w:r w:rsidR="00FD58BF">
              <w:rPr>
                <w:noProof/>
                <w:webHidden/>
              </w:rPr>
              <w:fldChar w:fldCharType="end"/>
            </w:r>
          </w:hyperlink>
        </w:p>
        <w:p w14:paraId="2827070A" w14:textId="0F7BB9B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45" w:history="1">
            <w:r w:rsidR="00FD58BF" w:rsidRPr="003004E5">
              <w:rPr>
                <w:rStyle w:val="Lienhypertexte"/>
                <w:noProof/>
              </w:rPr>
              <w:t>21.23.2b Maçonneries non portantes en moellons de pierre blanche CCTB 01.04</w:t>
            </w:r>
            <w:r w:rsidR="00FD58BF">
              <w:rPr>
                <w:noProof/>
                <w:webHidden/>
              </w:rPr>
              <w:tab/>
            </w:r>
            <w:r w:rsidR="00FD58BF">
              <w:rPr>
                <w:noProof/>
                <w:webHidden/>
              </w:rPr>
              <w:fldChar w:fldCharType="begin"/>
            </w:r>
            <w:r w:rsidR="00FD58BF">
              <w:rPr>
                <w:noProof/>
                <w:webHidden/>
              </w:rPr>
              <w:instrText xml:space="preserve"> PAGEREF _Toc178837445 \h </w:instrText>
            </w:r>
            <w:r w:rsidR="00FD58BF">
              <w:rPr>
                <w:noProof/>
                <w:webHidden/>
              </w:rPr>
            </w:r>
            <w:r w:rsidR="00FD58BF">
              <w:rPr>
                <w:noProof/>
                <w:webHidden/>
              </w:rPr>
              <w:fldChar w:fldCharType="separate"/>
            </w:r>
            <w:r w:rsidR="00FD58BF">
              <w:rPr>
                <w:noProof/>
                <w:webHidden/>
              </w:rPr>
              <w:t>277</w:t>
            </w:r>
            <w:r w:rsidR="00FD58BF">
              <w:rPr>
                <w:noProof/>
                <w:webHidden/>
              </w:rPr>
              <w:fldChar w:fldCharType="end"/>
            </w:r>
          </w:hyperlink>
        </w:p>
        <w:p w14:paraId="7C45D75B" w14:textId="61AEF77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46" w:history="1">
            <w:r w:rsidR="00FD58BF" w:rsidRPr="003004E5">
              <w:rPr>
                <w:rStyle w:val="Lienhypertexte"/>
                <w:noProof/>
              </w:rPr>
              <w:t>21.23.2c Maçonneries non portantes en moellons de marbre CCTB 01.04</w:t>
            </w:r>
            <w:r w:rsidR="00FD58BF">
              <w:rPr>
                <w:noProof/>
                <w:webHidden/>
              </w:rPr>
              <w:tab/>
            </w:r>
            <w:r w:rsidR="00FD58BF">
              <w:rPr>
                <w:noProof/>
                <w:webHidden/>
              </w:rPr>
              <w:fldChar w:fldCharType="begin"/>
            </w:r>
            <w:r w:rsidR="00FD58BF">
              <w:rPr>
                <w:noProof/>
                <w:webHidden/>
              </w:rPr>
              <w:instrText xml:space="preserve"> PAGEREF _Toc178837446 \h </w:instrText>
            </w:r>
            <w:r w:rsidR="00FD58BF">
              <w:rPr>
                <w:noProof/>
                <w:webHidden/>
              </w:rPr>
            </w:r>
            <w:r w:rsidR="00FD58BF">
              <w:rPr>
                <w:noProof/>
                <w:webHidden/>
              </w:rPr>
              <w:fldChar w:fldCharType="separate"/>
            </w:r>
            <w:r w:rsidR="00FD58BF">
              <w:rPr>
                <w:noProof/>
                <w:webHidden/>
              </w:rPr>
              <w:t>277</w:t>
            </w:r>
            <w:r w:rsidR="00FD58BF">
              <w:rPr>
                <w:noProof/>
                <w:webHidden/>
              </w:rPr>
              <w:fldChar w:fldCharType="end"/>
            </w:r>
          </w:hyperlink>
        </w:p>
        <w:p w14:paraId="1E63BE43" w14:textId="52B3FC4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47" w:history="1">
            <w:r w:rsidR="00FD58BF" w:rsidRPr="003004E5">
              <w:rPr>
                <w:rStyle w:val="Lienhypertexte"/>
                <w:noProof/>
              </w:rPr>
              <w:t>21.23.3 Maçonneries non portantes en moellons de pierres siliceuses CCTB 01.12</w:t>
            </w:r>
            <w:r w:rsidR="00FD58BF">
              <w:rPr>
                <w:noProof/>
                <w:webHidden/>
              </w:rPr>
              <w:tab/>
            </w:r>
            <w:r w:rsidR="00FD58BF">
              <w:rPr>
                <w:noProof/>
                <w:webHidden/>
              </w:rPr>
              <w:fldChar w:fldCharType="begin"/>
            </w:r>
            <w:r w:rsidR="00FD58BF">
              <w:rPr>
                <w:noProof/>
                <w:webHidden/>
              </w:rPr>
              <w:instrText xml:space="preserve"> PAGEREF _Toc178837447 \h </w:instrText>
            </w:r>
            <w:r w:rsidR="00FD58BF">
              <w:rPr>
                <w:noProof/>
                <w:webHidden/>
              </w:rPr>
            </w:r>
            <w:r w:rsidR="00FD58BF">
              <w:rPr>
                <w:noProof/>
                <w:webHidden/>
              </w:rPr>
              <w:fldChar w:fldCharType="separate"/>
            </w:r>
            <w:r w:rsidR="00FD58BF">
              <w:rPr>
                <w:noProof/>
                <w:webHidden/>
              </w:rPr>
              <w:t>277</w:t>
            </w:r>
            <w:r w:rsidR="00FD58BF">
              <w:rPr>
                <w:noProof/>
                <w:webHidden/>
              </w:rPr>
              <w:fldChar w:fldCharType="end"/>
            </w:r>
          </w:hyperlink>
        </w:p>
        <w:p w14:paraId="7386E215" w14:textId="1BB4445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48" w:history="1">
            <w:r w:rsidR="00FD58BF" w:rsidRPr="003004E5">
              <w:rPr>
                <w:rStyle w:val="Lienhypertexte"/>
                <w:noProof/>
              </w:rPr>
              <w:t>21.23.3a Maçonneries non portantes en moellons d'arkose CCTB 01.04</w:t>
            </w:r>
            <w:r w:rsidR="00FD58BF">
              <w:rPr>
                <w:noProof/>
                <w:webHidden/>
              </w:rPr>
              <w:tab/>
            </w:r>
            <w:r w:rsidR="00FD58BF">
              <w:rPr>
                <w:noProof/>
                <w:webHidden/>
              </w:rPr>
              <w:fldChar w:fldCharType="begin"/>
            </w:r>
            <w:r w:rsidR="00FD58BF">
              <w:rPr>
                <w:noProof/>
                <w:webHidden/>
              </w:rPr>
              <w:instrText xml:space="preserve"> PAGEREF _Toc178837448 \h </w:instrText>
            </w:r>
            <w:r w:rsidR="00FD58BF">
              <w:rPr>
                <w:noProof/>
                <w:webHidden/>
              </w:rPr>
            </w:r>
            <w:r w:rsidR="00FD58BF">
              <w:rPr>
                <w:noProof/>
                <w:webHidden/>
              </w:rPr>
              <w:fldChar w:fldCharType="separate"/>
            </w:r>
            <w:r w:rsidR="00FD58BF">
              <w:rPr>
                <w:noProof/>
                <w:webHidden/>
              </w:rPr>
              <w:t>277</w:t>
            </w:r>
            <w:r w:rsidR="00FD58BF">
              <w:rPr>
                <w:noProof/>
                <w:webHidden/>
              </w:rPr>
              <w:fldChar w:fldCharType="end"/>
            </w:r>
          </w:hyperlink>
        </w:p>
        <w:p w14:paraId="189C465A" w14:textId="1A453D5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49" w:history="1">
            <w:r w:rsidR="00FD58BF" w:rsidRPr="003004E5">
              <w:rPr>
                <w:rStyle w:val="Lienhypertexte"/>
                <w:noProof/>
              </w:rPr>
              <w:t>21.23.3b Maçonneries non portantes en moellons de schiste CCTB 01.04</w:t>
            </w:r>
            <w:r w:rsidR="00FD58BF">
              <w:rPr>
                <w:noProof/>
                <w:webHidden/>
              </w:rPr>
              <w:tab/>
            </w:r>
            <w:r w:rsidR="00FD58BF">
              <w:rPr>
                <w:noProof/>
                <w:webHidden/>
              </w:rPr>
              <w:fldChar w:fldCharType="begin"/>
            </w:r>
            <w:r w:rsidR="00FD58BF">
              <w:rPr>
                <w:noProof/>
                <w:webHidden/>
              </w:rPr>
              <w:instrText xml:space="preserve"> PAGEREF _Toc178837449 \h </w:instrText>
            </w:r>
            <w:r w:rsidR="00FD58BF">
              <w:rPr>
                <w:noProof/>
                <w:webHidden/>
              </w:rPr>
            </w:r>
            <w:r w:rsidR="00FD58BF">
              <w:rPr>
                <w:noProof/>
                <w:webHidden/>
              </w:rPr>
              <w:fldChar w:fldCharType="separate"/>
            </w:r>
            <w:r w:rsidR="00FD58BF">
              <w:rPr>
                <w:noProof/>
                <w:webHidden/>
              </w:rPr>
              <w:t>277</w:t>
            </w:r>
            <w:r w:rsidR="00FD58BF">
              <w:rPr>
                <w:noProof/>
                <w:webHidden/>
              </w:rPr>
              <w:fldChar w:fldCharType="end"/>
            </w:r>
          </w:hyperlink>
        </w:p>
        <w:p w14:paraId="3E43B4F3" w14:textId="3B0115D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50" w:history="1">
            <w:r w:rsidR="00FD58BF" w:rsidRPr="003004E5">
              <w:rPr>
                <w:rStyle w:val="Lienhypertexte"/>
                <w:noProof/>
              </w:rPr>
              <w:t>21.23.3c Maçonneries non portantes en moellons de grès CCTB 01.12</w:t>
            </w:r>
            <w:r w:rsidR="00FD58BF">
              <w:rPr>
                <w:noProof/>
                <w:webHidden/>
              </w:rPr>
              <w:tab/>
            </w:r>
            <w:r w:rsidR="00FD58BF">
              <w:rPr>
                <w:noProof/>
                <w:webHidden/>
              </w:rPr>
              <w:fldChar w:fldCharType="begin"/>
            </w:r>
            <w:r w:rsidR="00FD58BF">
              <w:rPr>
                <w:noProof/>
                <w:webHidden/>
              </w:rPr>
              <w:instrText xml:space="preserve"> PAGEREF _Toc178837450 \h </w:instrText>
            </w:r>
            <w:r w:rsidR="00FD58BF">
              <w:rPr>
                <w:noProof/>
                <w:webHidden/>
              </w:rPr>
            </w:r>
            <w:r w:rsidR="00FD58BF">
              <w:rPr>
                <w:noProof/>
                <w:webHidden/>
              </w:rPr>
              <w:fldChar w:fldCharType="separate"/>
            </w:r>
            <w:r w:rsidR="00FD58BF">
              <w:rPr>
                <w:noProof/>
                <w:webHidden/>
              </w:rPr>
              <w:t>277</w:t>
            </w:r>
            <w:r w:rsidR="00FD58BF">
              <w:rPr>
                <w:noProof/>
                <w:webHidden/>
              </w:rPr>
              <w:fldChar w:fldCharType="end"/>
            </w:r>
          </w:hyperlink>
        </w:p>
        <w:p w14:paraId="4681A857" w14:textId="76E4CFA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51" w:history="1">
            <w:r w:rsidR="00FD58BF" w:rsidRPr="003004E5">
              <w:rPr>
                <w:rStyle w:val="Lienhypertexte"/>
                <w:noProof/>
              </w:rPr>
              <w:t>21.23.3d Maçonneries non portantes en moellons de quartzite CCTB 01.04</w:t>
            </w:r>
            <w:r w:rsidR="00FD58BF">
              <w:rPr>
                <w:noProof/>
                <w:webHidden/>
              </w:rPr>
              <w:tab/>
            </w:r>
            <w:r w:rsidR="00FD58BF">
              <w:rPr>
                <w:noProof/>
                <w:webHidden/>
              </w:rPr>
              <w:fldChar w:fldCharType="begin"/>
            </w:r>
            <w:r w:rsidR="00FD58BF">
              <w:rPr>
                <w:noProof/>
                <w:webHidden/>
              </w:rPr>
              <w:instrText xml:space="preserve"> PAGEREF _Toc178837451 \h </w:instrText>
            </w:r>
            <w:r w:rsidR="00FD58BF">
              <w:rPr>
                <w:noProof/>
                <w:webHidden/>
              </w:rPr>
            </w:r>
            <w:r w:rsidR="00FD58BF">
              <w:rPr>
                <w:noProof/>
                <w:webHidden/>
              </w:rPr>
              <w:fldChar w:fldCharType="separate"/>
            </w:r>
            <w:r w:rsidR="00FD58BF">
              <w:rPr>
                <w:noProof/>
                <w:webHidden/>
              </w:rPr>
              <w:t>283</w:t>
            </w:r>
            <w:r w:rsidR="00FD58BF">
              <w:rPr>
                <w:noProof/>
                <w:webHidden/>
              </w:rPr>
              <w:fldChar w:fldCharType="end"/>
            </w:r>
          </w:hyperlink>
        </w:p>
        <w:p w14:paraId="7723F82E" w14:textId="36220F3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52" w:history="1">
            <w:r w:rsidR="00FD58BF" w:rsidRPr="003004E5">
              <w:rPr>
                <w:rStyle w:val="Lienhypertexte"/>
                <w:noProof/>
              </w:rPr>
              <w:t>21.23.3e Maçonneries non portantes en moellons de silex CCTB 01.04</w:t>
            </w:r>
            <w:r w:rsidR="00FD58BF">
              <w:rPr>
                <w:noProof/>
                <w:webHidden/>
              </w:rPr>
              <w:tab/>
            </w:r>
            <w:r w:rsidR="00FD58BF">
              <w:rPr>
                <w:noProof/>
                <w:webHidden/>
              </w:rPr>
              <w:fldChar w:fldCharType="begin"/>
            </w:r>
            <w:r w:rsidR="00FD58BF">
              <w:rPr>
                <w:noProof/>
                <w:webHidden/>
              </w:rPr>
              <w:instrText xml:space="preserve"> PAGEREF _Toc178837452 \h </w:instrText>
            </w:r>
            <w:r w:rsidR="00FD58BF">
              <w:rPr>
                <w:noProof/>
                <w:webHidden/>
              </w:rPr>
            </w:r>
            <w:r w:rsidR="00FD58BF">
              <w:rPr>
                <w:noProof/>
                <w:webHidden/>
              </w:rPr>
              <w:fldChar w:fldCharType="separate"/>
            </w:r>
            <w:r w:rsidR="00FD58BF">
              <w:rPr>
                <w:noProof/>
                <w:webHidden/>
              </w:rPr>
              <w:t>283</w:t>
            </w:r>
            <w:r w:rsidR="00FD58BF">
              <w:rPr>
                <w:noProof/>
                <w:webHidden/>
              </w:rPr>
              <w:fldChar w:fldCharType="end"/>
            </w:r>
          </w:hyperlink>
        </w:p>
        <w:p w14:paraId="39F4F01A" w14:textId="618190C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53" w:history="1">
            <w:r w:rsidR="00FD58BF" w:rsidRPr="003004E5">
              <w:rPr>
                <w:rStyle w:val="Lienhypertexte"/>
                <w:noProof/>
              </w:rPr>
              <w:t>21.24 Maçonneries non portantes en grands éléments CCTB 01.04</w:t>
            </w:r>
            <w:r w:rsidR="00FD58BF">
              <w:rPr>
                <w:noProof/>
                <w:webHidden/>
              </w:rPr>
              <w:tab/>
            </w:r>
            <w:r w:rsidR="00FD58BF">
              <w:rPr>
                <w:noProof/>
                <w:webHidden/>
              </w:rPr>
              <w:fldChar w:fldCharType="begin"/>
            </w:r>
            <w:r w:rsidR="00FD58BF">
              <w:rPr>
                <w:noProof/>
                <w:webHidden/>
              </w:rPr>
              <w:instrText xml:space="preserve"> PAGEREF _Toc178837453 \h </w:instrText>
            </w:r>
            <w:r w:rsidR="00FD58BF">
              <w:rPr>
                <w:noProof/>
                <w:webHidden/>
              </w:rPr>
            </w:r>
            <w:r w:rsidR="00FD58BF">
              <w:rPr>
                <w:noProof/>
                <w:webHidden/>
              </w:rPr>
              <w:fldChar w:fldCharType="separate"/>
            </w:r>
            <w:r w:rsidR="00FD58BF">
              <w:rPr>
                <w:noProof/>
                <w:webHidden/>
              </w:rPr>
              <w:t>283</w:t>
            </w:r>
            <w:r w:rsidR="00FD58BF">
              <w:rPr>
                <w:noProof/>
                <w:webHidden/>
              </w:rPr>
              <w:fldChar w:fldCharType="end"/>
            </w:r>
          </w:hyperlink>
        </w:p>
        <w:p w14:paraId="04ABE4CC" w14:textId="04A4E98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54" w:history="1">
            <w:r w:rsidR="00FD58BF" w:rsidRPr="003004E5">
              <w:rPr>
                <w:rStyle w:val="Lienhypertexte"/>
                <w:noProof/>
              </w:rPr>
              <w:t>21.24.1 Maçonneries non portantes en éléments de grand format CCTB 01.04</w:t>
            </w:r>
            <w:r w:rsidR="00FD58BF">
              <w:rPr>
                <w:noProof/>
                <w:webHidden/>
              </w:rPr>
              <w:tab/>
            </w:r>
            <w:r w:rsidR="00FD58BF">
              <w:rPr>
                <w:noProof/>
                <w:webHidden/>
              </w:rPr>
              <w:fldChar w:fldCharType="begin"/>
            </w:r>
            <w:r w:rsidR="00FD58BF">
              <w:rPr>
                <w:noProof/>
                <w:webHidden/>
              </w:rPr>
              <w:instrText xml:space="preserve"> PAGEREF _Toc178837454 \h </w:instrText>
            </w:r>
            <w:r w:rsidR="00FD58BF">
              <w:rPr>
                <w:noProof/>
                <w:webHidden/>
              </w:rPr>
            </w:r>
            <w:r w:rsidR="00FD58BF">
              <w:rPr>
                <w:noProof/>
                <w:webHidden/>
              </w:rPr>
              <w:fldChar w:fldCharType="separate"/>
            </w:r>
            <w:r w:rsidR="00FD58BF">
              <w:rPr>
                <w:noProof/>
                <w:webHidden/>
              </w:rPr>
              <w:t>283</w:t>
            </w:r>
            <w:r w:rsidR="00FD58BF">
              <w:rPr>
                <w:noProof/>
                <w:webHidden/>
              </w:rPr>
              <w:fldChar w:fldCharType="end"/>
            </w:r>
          </w:hyperlink>
        </w:p>
        <w:p w14:paraId="5175274C" w14:textId="069D0F9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55" w:history="1">
            <w:r w:rsidR="00FD58BF" w:rsidRPr="003004E5">
              <w:rPr>
                <w:rStyle w:val="Lienhypertexte"/>
                <w:noProof/>
              </w:rPr>
              <w:t>21.24.1a Maçonneries non portantes en éléments de grand format de silico-calcaire CCTB 01.12</w:t>
            </w:r>
            <w:r w:rsidR="00FD58BF">
              <w:rPr>
                <w:noProof/>
                <w:webHidden/>
              </w:rPr>
              <w:tab/>
            </w:r>
            <w:r w:rsidR="00FD58BF">
              <w:rPr>
                <w:noProof/>
                <w:webHidden/>
              </w:rPr>
              <w:fldChar w:fldCharType="begin"/>
            </w:r>
            <w:r w:rsidR="00FD58BF">
              <w:rPr>
                <w:noProof/>
                <w:webHidden/>
              </w:rPr>
              <w:instrText xml:space="preserve"> PAGEREF _Toc178837455 \h </w:instrText>
            </w:r>
            <w:r w:rsidR="00FD58BF">
              <w:rPr>
                <w:noProof/>
                <w:webHidden/>
              </w:rPr>
            </w:r>
            <w:r w:rsidR="00FD58BF">
              <w:rPr>
                <w:noProof/>
                <w:webHidden/>
              </w:rPr>
              <w:fldChar w:fldCharType="separate"/>
            </w:r>
            <w:r w:rsidR="00FD58BF">
              <w:rPr>
                <w:noProof/>
                <w:webHidden/>
              </w:rPr>
              <w:t>283</w:t>
            </w:r>
            <w:r w:rsidR="00FD58BF">
              <w:rPr>
                <w:noProof/>
                <w:webHidden/>
              </w:rPr>
              <w:fldChar w:fldCharType="end"/>
            </w:r>
          </w:hyperlink>
        </w:p>
        <w:p w14:paraId="16716980" w14:textId="0A28814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56" w:history="1">
            <w:r w:rsidR="00FD58BF" w:rsidRPr="003004E5">
              <w:rPr>
                <w:rStyle w:val="Lienhypertexte"/>
                <w:noProof/>
              </w:rPr>
              <w:t>21.24.1b Maçonneries non portantes en panneaux verticaux collés en béton cellulaire CCTB 01.11</w:t>
            </w:r>
            <w:r w:rsidR="00FD58BF">
              <w:rPr>
                <w:noProof/>
                <w:webHidden/>
              </w:rPr>
              <w:tab/>
            </w:r>
            <w:r w:rsidR="00FD58BF">
              <w:rPr>
                <w:noProof/>
                <w:webHidden/>
              </w:rPr>
              <w:fldChar w:fldCharType="begin"/>
            </w:r>
            <w:r w:rsidR="00FD58BF">
              <w:rPr>
                <w:noProof/>
                <w:webHidden/>
              </w:rPr>
              <w:instrText xml:space="preserve"> PAGEREF _Toc178837456 \h </w:instrText>
            </w:r>
            <w:r w:rsidR="00FD58BF">
              <w:rPr>
                <w:noProof/>
                <w:webHidden/>
              </w:rPr>
            </w:r>
            <w:r w:rsidR="00FD58BF">
              <w:rPr>
                <w:noProof/>
                <w:webHidden/>
              </w:rPr>
              <w:fldChar w:fldCharType="separate"/>
            </w:r>
            <w:r w:rsidR="00FD58BF">
              <w:rPr>
                <w:noProof/>
                <w:webHidden/>
              </w:rPr>
              <w:t>286</w:t>
            </w:r>
            <w:r w:rsidR="00FD58BF">
              <w:rPr>
                <w:noProof/>
                <w:webHidden/>
              </w:rPr>
              <w:fldChar w:fldCharType="end"/>
            </w:r>
          </w:hyperlink>
        </w:p>
        <w:p w14:paraId="17E913A4" w14:textId="58E35C3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57" w:history="1">
            <w:r w:rsidR="00FD58BF" w:rsidRPr="003004E5">
              <w:rPr>
                <w:rStyle w:val="Lienhypertexte"/>
                <w:noProof/>
              </w:rPr>
              <w:t>21.24.2 Maçonneries non portantes préfabriquées CCTB 01.04</w:t>
            </w:r>
            <w:r w:rsidR="00FD58BF">
              <w:rPr>
                <w:noProof/>
                <w:webHidden/>
              </w:rPr>
              <w:tab/>
            </w:r>
            <w:r w:rsidR="00FD58BF">
              <w:rPr>
                <w:noProof/>
                <w:webHidden/>
              </w:rPr>
              <w:fldChar w:fldCharType="begin"/>
            </w:r>
            <w:r w:rsidR="00FD58BF">
              <w:rPr>
                <w:noProof/>
                <w:webHidden/>
              </w:rPr>
              <w:instrText xml:space="preserve"> PAGEREF _Toc178837457 \h </w:instrText>
            </w:r>
            <w:r w:rsidR="00FD58BF">
              <w:rPr>
                <w:noProof/>
                <w:webHidden/>
              </w:rPr>
            </w:r>
            <w:r w:rsidR="00FD58BF">
              <w:rPr>
                <w:noProof/>
                <w:webHidden/>
              </w:rPr>
              <w:fldChar w:fldCharType="separate"/>
            </w:r>
            <w:r w:rsidR="00FD58BF">
              <w:rPr>
                <w:noProof/>
                <w:webHidden/>
              </w:rPr>
              <w:t>289</w:t>
            </w:r>
            <w:r w:rsidR="00FD58BF">
              <w:rPr>
                <w:noProof/>
                <w:webHidden/>
              </w:rPr>
              <w:fldChar w:fldCharType="end"/>
            </w:r>
          </w:hyperlink>
        </w:p>
        <w:p w14:paraId="63A340A2" w14:textId="7B266DA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58" w:history="1">
            <w:r w:rsidR="00FD58BF" w:rsidRPr="003004E5">
              <w:rPr>
                <w:rStyle w:val="Lienhypertexte"/>
                <w:noProof/>
              </w:rPr>
              <w:t>21.24.2a Maçonneries non portantes préfabriquées en blocs de terre cuite CCTB 01.11</w:t>
            </w:r>
            <w:r w:rsidR="00FD58BF">
              <w:rPr>
                <w:noProof/>
                <w:webHidden/>
              </w:rPr>
              <w:tab/>
            </w:r>
            <w:r w:rsidR="00FD58BF">
              <w:rPr>
                <w:noProof/>
                <w:webHidden/>
              </w:rPr>
              <w:fldChar w:fldCharType="begin"/>
            </w:r>
            <w:r w:rsidR="00FD58BF">
              <w:rPr>
                <w:noProof/>
                <w:webHidden/>
              </w:rPr>
              <w:instrText xml:space="preserve"> PAGEREF _Toc178837458 \h </w:instrText>
            </w:r>
            <w:r w:rsidR="00FD58BF">
              <w:rPr>
                <w:noProof/>
                <w:webHidden/>
              </w:rPr>
            </w:r>
            <w:r w:rsidR="00FD58BF">
              <w:rPr>
                <w:noProof/>
                <w:webHidden/>
              </w:rPr>
              <w:fldChar w:fldCharType="separate"/>
            </w:r>
            <w:r w:rsidR="00FD58BF">
              <w:rPr>
                <w:noProof/>
                <w:webHidden/>
              </w:rPr>
              <w:t>289</w:t>
            </w:r>
            <w:r w:rsidR="00FD58BF">
              <w:rPr>
                <w:noProof/>
                <w:webHidden/>
              </w:rPr>
              <w:fldChar w:fldCharType="end"/>
            </w:r>
          </w:hyperlink>
        </w:p>
        <w:p w14:paraId="08F380B0" w14:textId="24729BD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59" w:history="1">
            <w:r w:rsidR="00FD58BF" w:rsidRPr="003004E5">
              <w:rPr>
                <w:rStyle w:val="Lienhypertexte"/>
                <w:noProof/>
              </w:rPr>
              <w:t>21.24.2b Maçonneries non portantes préfabriquées en blocs de béton CCTB 01.11</w:t>
            </w:r>
            <w:r w:rsidR="00FD58BF">
              <w:rPr>
                <w:noProof/>
                <w:webHidden/>
              </w:rPr>
              <w:tab/>
            </w:r>
            <w:r w:rsidR="00FD58BF">
              <w:rPr>
                <w:noProof/>
                <w:webHidden/>
              </w:rPr>
              <w:fldChar w:fldCharType="begin"/>
            </w:r>
            <w:r w:rsidR="00FD58BF">
              <w:rPr>
                <w:noProof/>
                <w:webHidden/>
              </w:rPr>
              <w:instrText xml:space="preserve"> PAGEREF _Toc178837459 \h </w:instrText>
            </w:r>
            <w:r w:rsidR="00FD58BF">
              <w:rPr>
                <w:noProof/>
                <w:webHidden/>
              </w:rPr>
            </w:r>
            <w:r w:rsidR="00FD58BF">
              <w:rPr>
                <w:noProof/>
                <w:webHidden/>
              </w:rPr>
              <w:fldChar w:fldCharType="separate"/>
            </w:r>
            <w:r w:rsidR="00FD58BF">
              <w:rPr>
                <w:noProof/>
                <w:webHidden/>
              </w:rPr>
              <w:t>290</w:t>
            </w:r>
            <w:r w:rsidR="00FD58BF">
              <w:rPr>
                <w:noProof/>
                <w:webHidden/>
              </w:rPr>
              <w:fldChar w:fldCharType="end"/>
            </w:r>
          </w:hyperlink>
        </w:p>
        <w:p w14:paraId="009CA0C1" w14:textId="7565C67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60" w:history="1">
            <w:r w:rsidR="00FD58BF" w:rsidRPr="003004E5">
              <w:rPr>
                <w:rStyle w:val="Lienhypertexte"/>
                <w:noProof/>
              </w:rPr>
              <w:t>21.24.2c Maçonneries non portantes préfabriquées en blocs de béton d'argile expansée CCTB 01.11</w:t>
            </w:r>
            <w:r w:rsidR="00FD58BF">
              <w:rPr>
                <w:noProof/>
                <w:webHidden/>
              </w:rPr>
              <w:tab/>
            </w:r>
            <w:r w:rsidR="00FD58BF">
              <w:rPr>
                <w:noProof/>
                <w:webHidden/>
              </w:rPr>
              <w:fldChar w:fldCharType="begin"/>
            </w:r>
            <w:r w:rsidR="00FD58BF">
              <w:rPr>
                <w:noProof/>
                <w:webHidden/>
              </w:rPr>
              <w:instrText xml:space="preserve"> PAGEREF _Toc178837460 \h </w:instrText>
            </w:r>
            <w:r w:rsidR="00FD58BF">
              <w:rPr>
                <w:noProof/>
                <w:webHidden/>
              </w:rPr>
            </w:r>
            <w:r w:rsidR="00FD58BF">
              <w:rPr>
                <w:noProof/>
                <w:webHidden/>
              </w:rPr>
              <w:fldChar w:fldCharType="separate"/>
            </w:r>
            <w:r w:rsidR="00FD58BF">
              <w:rPr>
                <w:noProof/>
                <w:webHidden/>
              </w:rPr>
              <w:t>291</w:t>
            </w:r>
            <w:r w:rsidR="00FD58BF">
              <w:rPr>
                <w:noProof/>
                <w:webHidden/>
              </w:rPr>
              <w:fldChar w:fldCharType="end"/>
            </w:r>
          </w:hyperlink>
        </w:p>
        <w:p w14:paraId="13CFC42A" w14:textId="4E22DC7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61" w:history="1">
            <w:r w:rsidR="00FD58BF" w:rsidRPr="003004E5">
              <w:rPr>
                <w:rStyle w:val="Lienhypertexte"/>
                <w:noProof/>
              </w:rPr>
              <w:t>21.24.2d Maçonneries non portantes préfabriquées en blocs de silico-calcaire CCTB 01.12</w:t>
            </w:r>
            <w:r w:rsidR="00FD58BF">
              <w:rPr>
                <w:noProof/>
                <w:webHidden/>
              </w:rPr>
              <w:tab/>
            </w:r>
            <w:r w:rsidR="00FD58BF">
              <w:rPr>
                <w:noProof/>
                <w:webHidden/>
              </w:rPr>
              <w:fldChar w:fldCharType="begin"/>
            </w:r>
            <w:r w:rsidR="00FD58BF">
              <w:rPr>
                <w:noProof/>
                <w:webHidden/>
              </w:rPr>
              <w:instrText xml:space="preserve"> PAGEREF _Toc178837461 \h </w:instrText>
            </w:r>
            <w:r w:rsidR="00FD58BF">
              <w:rPr>
                <w:noProof/>
                <w:webHidden/>
              </w:rPr>
            </w:r>
            <w:r w:rsidR="00FD58BF">
              <w:rPr>
                <w:noProof/>
                <w:webHidden/>
              </w:rPr>
              <w:fldChar w:fldCharType="separate"/>
            </w:r>
            <w:r w:rsidR="00FD58BF">
              <w:rPr>
                <w:noProof/>
                <w:webHidden/>
              </w:rPr>
              <w:t>292</w:t>
            </w:r>
            <w:r w:rsidR="00FD58BF">
              <w:rPr>
                <w:noProof/>
                <w:webHidden/>
              </w:rPr>
              <w:fldChar w:fldCharType="end"/>
            </w:r>
          </w:hyperlink>
        </w:p>
        <w:p w14:paraId="24A52DA4" w14:textId="1B1C9FE6"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62" w:history="1">
            <w:r w:rsidR="00FD58BF" w:rsidRPr="003004E5">
              <w:rPr>
                <w:rStyle w:val="Lienhypertexte"/>
                <w:noProof/>
              </w:rPr>
              <w:t>21.25 Maçonneries non portantes en ensembles de blocs de verre CCTB 01.10</w:t>
            </w:r>
            <w:r w:rsidR="00FD58BF">
              <w:rPr>
                <w:noProof/>
                <w:webHidden/>
              </w:rPr>
              <w:tab/>
            </w:r>
            <w:r w:rsidR="00FD58BF">
              <w:rPr>
                <w:noProof/>
                <w:webHidden/>
              </w:rPr>
              <w:fldChar w:fldCharType="begin"/>
            </w:r>
            <w:r w:rsidR="00FD58BF">
              <w:rPr>
                <w:noProof/>
                <w:webHidden/>
              </w:rPr>
              <w:instrText xml:space="preserve"> PAGEREF _Toc178837462 \h </w:instrText>
            </w:r>
            <w:r w:rsidR="00FD58BF">
              <w:rPr>
                <w:noProof/>
                <w:webHidden/>
              </w:rPr>
            </w:r>
            <w:r w:rsidR="00FD58BF">
              <w:rPr>
                <w:noProof/>
                <w:webHidden/>
              </w:rPr>
              <w:fldChar w:fldCharType="separate"/>
            </w:r>
            <w:r w:rsidR="00FD58BF">
              <w:rPr>
                <w:noProof/>
                <w:webHidden/>
              </w:rPr>
              <w:t>294</w:t>
            </w:r>
            <w:r w:rsidR="00FD58BF">
              <w:rPr>
                <w:noProof/>
                <w:webHidden/>
              </w:rPr>
              <w:fldChar w:fldCharType="end"/>
            </w:r>
          </w:hyperlink>
        </w:p>
        <w:p w14:paraId="6FD4BC43" w14:textId="1E1F4C4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63" w:history="1">
            <w:r w:rsidR="00FD58BF" w:rsidRPr="003004E5">
              <w:rPr>
                <w:rStyle w:val="Lienhypertexte"/>
                <w:noProof/>
              </w:rPr>
              <w:t>21.25.1 Maçonneries non portantes en ensembles de blocs de verre CCTB 01.11</w:t>
            </w:r>
            <w:r w:rsidR="00FD58BF">
              <w:rPr>
                <w:noProof/>
                <w:webHidden/>
              </w:rPr>
              <w:tab/>
            </w:r>
            <w:r w:rsidR="00FD58BF">
              <w:rPr>
                <w:noProof/>
                <w:webHidden/>
              </w:rPr>
              <w:fldChar w:fldCharType="begin"/>
            </w:r>
            <w:r w:rsidR="00FD58BF">
              <w:rPr>
                <w:noProof/>
                <w:webHidden/>
              </w:rPr>
              <w:instrText xml:space="preserve"> PAGEREF _Toc178837463 \h </w:instrText>
            </w:r>
            <w:r w:rsidR="00FD58BF">
              <w:rPr>
                <w:noProof/>
                <w:webHidden/>
              </w:rPr>
            </w:r>
            <w:r w:rsidR="00FD58BF">
              <w:rPr>
                <w:noProof/>
                <w:webHidden/>
              </w:rPr>
              <w:fldChar w:fldCharType="separate"/>
            </w:r>
            <w:r w:rsidR="00FD58BF">
              <w:rPr>
                <w:noProof/>
                <w:webHidden/>
              </w:rPr>
              <w:t>294</w:t>
            </w:r>
            <w:r w:rsidR="00FD58BF">
              <w:rPr>
                <w:noProof/>
                <w:webHidden/>
              </w:rPr>
              <w:fldChar w:fldCharType="end"/>
            </w:r>
          </w:hyperlink>
        </w:p>
        <w:p w14:paraId="4F474A11" w14:textId="2C79919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64" w:history="1">
            <w:r w:rsidR="00FD58BF" w:rsidRPr="003004E5">
              <w:rPr>
                <w:rStyle w:val="Lienhypertexte"/>
                <w:noProof/>
              </w:rPr>
              <w:t>21.25.1a Maçonneries non portantes en ensembles de blocs de verre CCTB 01.11</w:t>
            </w:r>
            <w:r w:rsidR="00FD58BF">
              <w:rPr>
                <w:noProof/>
                <w:webHidden/>
              </w:rPr>
              <w:tab/>
            </w:r>
            <w:r w:rsidR="00FD58BF">
              <w:rPr>
                <w:noProof/>
                <w:webHidden/>
              </w:rPr>
              <w:fldChar w:fldCharType="begin"/>
            </w:r>
            <w:r w:rsidR="00FD58BF">
              <w:rPr>
                <w:noProof/>
                <w:webHidden/>
              </w:rPr>
              <w:instrText xml:space="preserve"> PAGEREF _Toc178837464 \h </w:instrText>
            </w:r>
            <w:r w:rsidR="00FD58BF">
              <w:rPr>
                <w:noProof/>
                <w:webHidden/>
              </w:rPr>
            </w:r>
            <w:r w:rsidR="00FD58BF">
              <w:rPr>
                <w:noProof/>
                <w:webHidden/>
              </w:rPr>
              <w:fldChar w:fldCharType="separate"/>
            </w:r>
            <w:r w:rsidR="00FD58BF">
              <w:rPr>
                <w:noProof/>
                <w:webHidden/>
              </w:rPr>
              <w:t>295</w:t>
            </w:r>
            <w:r w:rsidR="00FD58BF">
              <w:rPr>
                <w:noProof/>
                <w:webHidden/>
              </w:rPr>
              <w:fldChar w:fldCharType="end"/>
            </w:r>
          </w:hyperlink>
        </w:p>
        <w:p w14:paraId="7CF149CF" w14:textId="6CEF90F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65" w:history="1">
            <w:r w:rsidR="00FD58BF" w:rsidRPr="003004E5">
              <w:rPr>
                <w:rStyle w:val="Lienhypertexte"/>
                <w:noProof/>
              </w:rPr>
              <w:t>21.25.1b Maçonneries non portantes en panneaux préfabriqués en blocs de verre CCTB 01.11</w:t>
            </w:r>
            <w:r w:rsidR="00FD58BF">
              <w:rPr>
                <w:noProof/>
                <w:webHidden/>
              </w:rPr>
              <w:tab/>
            </w:r>
            <w:r w:rsidR="00FD58BF">
              <w:rPr>
                <w:noProof/>
                <w:webHidden/>
              </w:rPr>
              <w:fldChar w:fldCharType="begin"/>
            </w:r>
            <w:r w:rsidR="00FD58BF">
              <w:rPr>
                <w:noProof/>
                <w:webHidden/>
              </w:rPr>
              <w:instrText xml:space="preserve"> PAGEREF _Toc178837465 \h </w:instrText>
            </w:r>
            <w:r w:rsidR="00FD58BF">
              <w:rPr>
                <w:noProof/>
                <w:webHidden/>
              </w:rPr>
            </w:r>
            <w:r w:rsidR="00FD58BF">
              <w:rPr>
                <w:noProof/>
                <w:webHidden/>
              </w:rPr>
              <w:fldChar w:fldCharType="separate"/>
            </w:r>
            <w:r w:rsidR="00FD58BF">
              <w:rPr>
                <w:noProof/>
                <w:webHidden/>
              </w:rPr>
              <w:t>297</w:t>
            </w:r>
            <w:r w:rsidR="00FD58BF">
              <w:rPr>
                <w:noProof/>
                <w:webHidden/>
              </w:rPr>
              <w:fldChar w:fldCharType="end"/>
            </w:r>
          </w:hyperlink>
        </w:p>
        <w:p w14:paraId="4FA99005" w14:textId="5D451A5E"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466" w:history="1">
            <w:r w:rsidR="00FD58BF" w:rsidRPr="003004E5">
              <w:rPr>
                <w:rStyle w:val="Lienhypertexte"/>
                <w:noProof/>
              </w:rPr>
              <w:t>21.3 Maçonneries de parement CCTB 01.11</w:t>
            </w:r>
            <w:r w:rsidR="00FD58BF">
              <w:rPr>
                <w:noProof/>
                <w:webHidden/>
              </w:rPr>
              <w:tab/>
            </w:r>
            <w:r w:rsidR="00FD58BF">
              <w:rPr>
                <w:noProof/>
                <w:webHidden/>
              </w:rPr>
              <w:fldChar w:fldCharType="begin"/>
            </w:r>
            <w:r w:rsidR="00FD58BF">
              <w:rPr>
                <w:noProof/>
                <w:webHidden/>
              </w:rPr>
              <w:instrText xml:space="preserve"> PAGEREF _Toc178837466 \h </w:instrText>
            </w:r>
            <w:r w:rsidR="00FD58BF">
              <w:rPr>
                <w:noProof/>
                <w:webHidden/>
              </w:rPr>
            </w:r>
            <w:r w:rsidR="00FD58BF">
              <w:rPr>
                <w:noProof/>
                <w:webHidden/>
              </w:rPr>
              <w:fldChar w:fldCharType="separate"/>
            </w:r>
            <w:r w:rsidR="00FD58BF">
              <w:rPr>
                <w:noProof/>
                <w:webHidden/>
              </w:rPr>
              <w:t>299</w:t>
            </w:r>
            <w:r w:rsidR="00FD58BF">
              <w:rPr>
                <w:noProof/>
                <w:webHidden/>
              </w:rPr>
              <w:fldChar w:fldCharType="end"/>
            </w:r>
          </w:hyperlink>
        </w:p>
        <w:p w14:paraId="3706F98B" w14:textId="0D3C4C7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67" w:history="1">
            <w:r w:rsidR="00FD58BF" w:rsidRPr="003004E5">
              <w:rPr>
                <w:rStyle w:val="Lienhypertexte"/>
                <w:noProof/>
              </w:rPr>
              <w:t>21.31 Maçonneries de parement en briques CCTB 01.09</w:t>
            </w:r>
            <w:r w:rsidR="00FD58BF">
              <w:rPr>
                <w:noProof/>
                <w:webHidden/>
              </w:rPr>
              <w:tab/>
            </w:r>
            <w:r w:rsidR="00FD58BF">
              <w:rPr>
                <w:noProof/>
                <w:webHidden/>
              </w:rPr>
              <w:fldChar w:fldCharType="begin"/>
            </w:r>
            <w:r w:rsidR="00FD58BF">
              <w:rPr>
                <w:noProof/>
                <w:webHidden/>
              </w:rPr>
              <w:instrText xml:space="preserve"> PAGEREF _Toc178837467 \h </w:instrText>
            </w:r>
            <w:r w:rsidR="00FD58BF">
              <w:rPr>
                <w:noProof/>
                <w:webHidden/>
              </w:rPr>
            </w:r>
            <w:r w:rsidR="00FD58BF">
              <w:rPr>
                <w:noProof/>
                <w:webHidden/>
              </w:rPr>
              <w:fldChar w:fldCharType="separate"/>
            </w:r>
            <w:r w:rsidR="00FD58BF">
              <w:rPr>
                <w:noProof/>
                <w:webHidden/>
              </w:rPr>
              <w:t>304</w:t>
            </w:r>
            <w:r w:rsidR="00FD58BF">
              <w:rPr>
                <w:noProof/>
                <w:webHidden/>
              </w:rPr>
              <w:fldChar w:fldCharType="end"/>
            </w:r>
          </w:hyperlink>
        </w:p>
        <w:p w14:paraId="21A0084A" w14:textId="5DBF7DE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68" w:history="1">
            <w:r w:rsidR="00FD58BF" w:rsidRPr="003004E5">
              <w:rPr>
                <w:rStyle w:val="Lienhypertexte"/>
                <w:noProof/>
              </w:rPr>
              <w:t>21.31.1 Maçonneries de parement en briques de terre cuite CCTB 01.11</w:t>
            </w:r>
            <w:r w:rsidR="00FD58BF">
              <w:rPr>
                <w:noProof/>
                <w:webHidden/>
              </w:rPr>
              <w:tab/>
            </w:r>
            <w:r w:rsidR="00FD58BF">
              <w:rPr>
                <w:noProof/>
                <w:webHidden/>
              </w:rPr>
              <w:fldChar w:fldCharType="begin"/>
            </w:r>
            <w:r w:rsidR="00FD58BF">
              <w:rPr>
                <w:noProof/>
                <w:webHidden/>
              </w:rPr>
              <w:instrText xml:space="preserve"> PAGEREF _Toc178837468 \h </w:instrText>
            </w:r>
            <w:r w:rsidR="00FD58BF">
              <w:rPr>
                <w:noProof/>
                <w:webHidden/>
              </w:rPr>
            </w:r>
            <w:r w:rsidR="00FD58BF">
              <w:rPr>
                <w:noProof/>
                <w:webHidden/>
              </w:rPr>
              <w:fldChar w:fldCharType="separate"/>
            </w:r>
            <w:r w:rsidR="00FD58BF">
              <w:rPr>
                <w:noProof/>
                <w:webHidden/>
              </w:rPr>
              <w:t>304</w:t>
            </w:r>
            <w:r w:rsidR="00FD58BF">
              <w:rPr>
                <w:noProof/>
                <w:webHidden/>
              </w:rPr>
              <w:fldChar w:fldCharType="end"/>
            </w:r>
          </w:hyperlink>
        </w:p>
        <w:p w14:paraId="136ABA9B" w14:textId="574D273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69" w:history="1">
            <w:r w:rsidR="00FD58BF" w:rsidRPr="003004E5">
              <w:rPr>
                <w:rStyle w:val="Lienhypertexte"/>
                <w:noProof/>
              </w:rPr>
              <w:t>21.31.1a Maçonneries de parement en briques de terre cuite à maçonner CCTB 01.12</w:t>
            </w:r>
            <w:r w:rsidR="00FD58BF">
              <w:rPr>
                <w:noProof/>
                <w:webHidden/>
              </w:rPr>
              <w:tab/>
            </w:r>
            <w:r w:rsidR="00FD58BF">
              <w:rPr>
                <w:noProof/>
                <w:webHidden/>
              </w:rPr>
              <w:fldChar w:fldCharType="begin"/>
            </w:r>
            <w:r w:rsidR="00FD58BF">
              <w:rPr>
                <w:noProof/>
                <w:webHidden/>
              </w:rPr>
              <w:instrText xml:space="preserve"> PAGEREF _Toc178837469 \h </w:instrText>
            </w:r>
            <w:r w:rsidR="00FD58BF">
              <w:rPr>
                <w:noProof/>
                <w:webHidden/>
              </w:rPr>
            </w:r>
            <w:r w:rsidR="00FD58BF">
              <w:rPr>
                <w:noProof/>
                <w:webHidden/>
              </w:rPr>
              <w:fldChar w:fldCharType="separate"/>
            </w:r>
            <w:r w:rsidR="00FD58BF">
              <w:rPr>
                <w:noProof/>
                <w:webHidden/>
              </w:rPr>
              <w:t>305</w:t>
            </w:r>
            <w:r w:rsidR="00FD58BF">
              <w:rPr>
                <w:noProof/>
                <w:webHidden/>
              </w:rPr>
              <w:fldChar w:fldCharType="end"/>
            </w:r>
          </w:hyperlink>
        </w:p>
        <w:p w14:paraId="008576DF" w14:textId="70DE108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70" w:history="1">
            <w:r w:rsidR="00FD58BF" w:rsidRPr="003004E5">
              <w:rPr>
                <w:rStyle w:val="Lienhypertexte"/>
                <w:noProof/>
              </w:rPr>
              <w:t>21.31.1b Maçonneries de parement en briques de terre cuite à coller CCTB 01.11</w:t>
            </w:r>
            <w:r w:rsidR="00FD58BF">
              <w:rPr>
                <w:noProof/>
                <w:webHidden/>
              </w:rPr>
              <w:tab/>
            </w:r>
            <w:r w:rsidR="00FD58BF">
              <w:rPr>
                <w:noProof/>
                <w:webHidden/>
              </w:rPr>
              <w:fldChar w:fldCharType="begin"/>
            </w:r>
            <w:r w:rsidR="00FD58BF">
              <w:rPr>
                <w:noProof/>
                <w:webHidden/>
              </w:rPr>
              <w:instrText xml:space="preserve"> PAGEREF _Toc178837470 \h </w:instrText>
            </w:r>
            <w:r w:rsidR="00FD58BF">
              <w:rPr>
                <w:noProof/>
                <w:webHidden/>
              </w:rPr>
            </w:r>
            <w:r w:rsidR="00FD58BF">
              <w:rPr>
                <w:noProof/>
                <w:webHidden/>
              </w:rPr>
              <w:fldChar w:fldCharType="separate"/>
            </w:r>
            <w:r w:rsidR="00FD58BF">
              <w:rPr>
                <w:noProof/>
                <w:webHidden/>
              </w:rPr>
              <w:t>308</w:t>
            </w:r>
            <w:r w:rsidR="00FD58BF">
              <w:rPr>
                <w:noProof/>
                <w:webHidden/>
              </w:rPr>
              <w:fldChar w:fldCharType="end"/>
            </w:r>
          </w:hyperlink>
        </w:p>
        <w:p w14:paraId="1B2E0315" w14:textId="5CED244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71" w:history="1">
            <w:r w:rsidR="00FD58BF" w:rsidRPr="003004E5">
              <w:rPr>
                <w:rStyle w:val="Lienhypertexte"/>
                <w:noProof/>
              </w:rPr>
              <w:t>21.31.1c Maçonneries de parement en briques de terre cuite de réemploi CCTB 01.11</w:t>
            </w:r>
            <w:r w:rsidR="00FD58BF">
              <w:rPr>
                <w:noProof/>
                <w:webHidden/>
              </w:rPr>
              <w:tab/>
            </w:r>
            <w:r w:rsidR="00FD58BF">
              <w:rPr>
                <w:noProof/>
                <w:webHidden/>
              </w:rPr>
              <w:fldChar w:fldCharType="begin"/>
            </w:r>
            <w:r w:rsidR="00FD58BF">
              <w:rPr>
                <w:noProof/>
                <w:webHidden/>
              </w:rPr>
              <w:instrText xml:space="preserve"> PAGEREF _Toc178837471 \h </w:instrText>
            </w:r>
            <w:r w:rsidR="00FD58BF">
              <w:rPr>
                <w:noProof/>
                <w:webHidden/>
              </w:rPr>
            </w:r>
            <w:r w:rsidR="00FD58BF">
              <w:rPr>
                <w:noProof/>
                <w:webHidden/>
              </w:rPr>
              <w:fldChar w:fldCharType="separate"/>
            </w:r>
            <w:r w:rsidR="00FD58BF">
              <w:rPr>
                <w:noProof/>
                <w:webHidden/>
              </w:rPr>
              <w:t>311</w:t>
            </w:r>
            <w:r w:rsidR="00FD58BF">
              <w:rPr>
                <w:noProof/>
                <w:webHidden/>
              </w:rPr>
              <w:fldChar w:fldCharType="end"/>
            </w:r>
          </w:hyperlink>
        </w:p>
        <w:p w14:paraId="4F390DB4" w14:textId="31F97AC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72" w:history="1">
            <w:r w:rsidR="00FD58BF" w:rsidRPr="003004E5">
              <w:rPr>
                <w:rStyle w:val="Lienhypertexte"/>
                <w:noProof/>
              </w:rPr>
              <w:t>21.31.2 Maçonneries de parement en briques de béton CCTB 01.11</w:t>
            </w:r>
            <w:r w:rsidR="00FD58BF">
              <w:rPr>
                <w:noProof/>
                <w:webHidden/>
              </w:rPr>
              <w:tab/>
            </w:r>
            <w:r w:rsidR="00FD58BF">
              <w:rPr>
                <w:noProof/>
                <w:webHidden/>
              </w:rPr>
              <w:fldChar w:fldCharType="begin"/>
            </w:r>
            <w:r w:rsidR="00FD58BF">
              <w:rPr>
                <w:noProof/>
                <w:webHidden/>
              </w:rPr>
              <w:instrText xml:space="preserve"> PAGEREF _Toc178837472 \h </w:instrText>
            </w:r>
            <w:r w:rsidR="00FD58BF">
              <w:rPr>
                <w:noProof/>
                <w:webHidden/>
              </w:rPr>
            </w:r>
            <w:r w:rsidR="00FD58BF">
              <w:rPr>
                <w:noProof/>
                <w:webHidden/>
              </w:rPr>
              <w:fldChar w:fldCharType="separate"/>
            </w:r>
            <w:r w:rsidR="00FD58BF">
              <w:rPr>
                <w:noProof/>
                <w:webHidden/>
              </w:rPr>
              <w:t>314</w:t>
            </w:r>
            <w:r w:rsidR="00FD58BF">
              <w:rPr>
                <w:noProof/>
                <w:webHidden/>
              </w:rPr>
              <w:fldChar w:fldCharType="end"/>
            </w:r>
          </w:hyperlink>
        </w:p>
        <w:p w14:paraId="5ACF85E6" w14:textId="740E953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73" w:history="1">
            <w:r w:rsidR="00FD58BF" w:rsidRPr="003004E5">
              <w:rPr>
                <w:rStyle w:val="Lienhypertexte"/>
                <w:noProof/>
              </w:rPr>
              <w:t>21.31.2a Maçonneries de parement en briques de béton à maçonner CCTB 01.11</w:t>
            </w:r>
            <w:r w:rsidR="00FD58BF">
              <w:rPr>
                <w:noProof/>
                <w:webHidden/>
              </w:rPr>
              <w:tab/>
            </w:r>
            <w:r w:rsidR="00FD58BF">
              <w:rPr>
                <w:noProof/>
                <w:webHidden/>
              </w:rPr>
              <w:fldChar w:fldCharType="begin"/>
            </w:r>
            <w:r w:rsidR="00FD58BF">
              <w:rPr>
                <w:noProof/>
                <w:webHidden/>
              </w:rPr>
              <w:instrText xml:space="preserve"> PAGEREF _Toc178837473 \h </w:instrText>
            </w:r>
            <w:r w:rsidR="00FD58BF">
              <w:rPr>
                <w:noProof/>
                <w:webHidden/>
              </w:rPr>
            </w:r>
            <w:r w:rsidR="00FD58BF">
              <w:rPr>
                <w:noProof/>
                <w:webHidden/>
              </w:rPr>
              <w:fldChar w:fldCharType="separate"/>
            </w:r>
            <w:r w:rsidR="00FD58BF">
              <w:rPr>
                <w:noProof/>
                <w:webHidden/>
              </w:rPr>
              <w:t>315</w:t>
            </w:r>
            <w:r w:rsidR="00FD58BF">
              <w:rPr>
                <w:noProof/>
                <w:webHidden/>
              </w:rPr>
              <w:fldChar w:fldCharType="end"/>
            </w:r>
          </w:hyperlink>
        </w:p>
        <w:p w14:paraId="6650A012" w14:textId="4992AB2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74" w:history="1">
            <w:r w:rsidR="00FD58BF" w:rsidRPr="003004E5">
              <w:rPr>
                <w:rStyle w:val="Lienhypertexte"/>
                <w:noProof/>
              </w:rPr>
              <w:t>21.31.2b Maçonneries de parement en briques de béton à coller CCTB 01.11</w:t>
            </w:r>
            <w:r w:rsidR="00FD58BF">
              <w:rPr>
                <w:noProof/>
                <w:webHidden/>
              </w:rPr>
              <w:tab/>
            </w:r>
            <w:r w:rsidR="00FD58BF">
              <w:rPr>
                <w:noProof/>
                <w:webHidden/>
              </w:rPr>
              <w:fldChar w:fldCharType="begin"/>
            </w:r>
            <w:r w:rsidR="00FD58BF">
              <w:rPr>
                <w:noProof/>
                <w:webHidden/>
              </w:rPr>
              <w:instrText xml:space="preserve"> PAGEREF _Toc178837474 \h </w:instrText>
            </w:r>
            <w:r w:rsidR="00FD58BF">
              <w:rPr>
                <w:noProof/>
                <w:webHidden/>
              </w:rPr>
            </w:r>
            <w:r w:rsidR="00FD58BF">
              <w:rPr>
                <w:noProof/>
                <w:webHidden/>
              </w:rPr>
              <w:fldChar w:fldCharType="separate"/>
            </w:r>
            <w:r w:rsidR="00FD58BF">
              <w:rPr>
                <w:noProof/>
                <w:webHidden/>
              </w:rPr>
              <w:t>317</w:t>
            </w:r>
            <w:r w:rsidR="00FD58BF">
              <w:rPr>
                <w:noProof/>
                <w:webHidden/>
              </w:rPr>
              <w:fldChar w:fldCharType="end"/>
            </w:r>
          </w:hyperlink>
        </w:p>
        <w:p w14:paraId="3E19B25F" w14:textId="6DE6998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75" w:history="1">
            <w:r w:rsidR="00FD58BF" w:rsidRPr="003004E5">
              <w:rPr>
                <w:rStyle w:val="Lienhypertexte"/>
                <w:noProof/>
              </w:rPr>
              <w:t>21.31.2c Maçonneries de parement en briques de béton à système de dosage pour liant hydraulique CCTB 01.11</w:t>
            </w:r>
            <w:r w:rsidR="00FD58BF">
              <w:rPr>
                <w:noProof/>
                <w:webHidden/>
              </w:rPr>
              <w:tab/>
            </w:r>
            <w:r w:rsidR="00FD58BF">
              <w:rPr>
                <w:noProof/>
                <w:webHidden/>
              </w:rPr>
              <w:fldChar w:fldCharType="begin"/>
            </w:r>
            <w:r w:rsidR="00FD58BF">
              <w:rPr>
                <w:noProof/>
                <w:webHidden/>
              </w:rPr>
              <w:instrText xml:space="preserve"> PAGEREF _Toc178837475 \h </w:instrText>
            </w:r>
            <w:r w:rsidR="00FD58BF">
              <w:rPr>
                <w:noProof/>
                <w:webHidden/>
              </w:rPr>
            </w:r>
            <w:r w:rsidR="00FD58BF">
              <w:rPr>
                <w:noProof/>
                <w:webHidden/>
              </w:rPr>
              <w:fldChar w:fldCharType="separate"/>
            </w:r>
            <w:r w:rsidR="00FD58BF">
              <w:rPr>
                <w:noProof/>
                <w:webHidden/>
              </w:rPr>
              <w:t>320</w:t>
            </w:r>
            <w:r w:rsidR="00FD58BF">
              <w:rPr>
                <w:noProof/>
                <w:webHidden/>
              </w:rPr>
              <w:fldChar w:fldCharType="end"/>
            </w:r>
          </w:hyperlink>
        </w:p>
        <w:p w14:paraId="7ADCCC90" w14:textId="0EC49CF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76" w:history="1">
            <w:r w:rsidR="00FD58BF" w:rsidRPr="003004E5">
              <w:rPr>
                <w:rStyle w:val="Lienhypertexte"/>
                <w:noProof/>
              </w:rPr>
              <w:t>21.31.2d Maçonneries de parement en briques de béton clivé à maçonner CCTB 01.11</w:t>
            </w:r>
            <w:r w:rsidR="00FD58BF">
              <w:rPr>
                <w:noProof/>
                <w:webHidden/>
              </w:rPr>
              <w:tab/>
            </w:r>
            <w:r w:rsidR="00FD58BF">
              <w:rPr>
                <w:noProof/>
                <w:webHidden/>
              </w:rPr>
              <w:fldChar w:fldCharType="begin"/>
            </w:r>
            <w:r w:rsidR="00FD58BF">
              <w:rPr>
                <w:noProof/>
                <w:webHidden/>
              </w:rPr>
              <w:instrText xml:space="preserve"> PAGEREF _Toc178837476 \h </w:instrText>
            </w:r>
            <w:r w:rsidR="00FD58BF">
              <w:rPr>
                <w:noProof/>
                <w:webHidden/>
              </w:rPr>
            </w:r>
            <w:r w:rsidR="00FD58BF">
              <w:rPr>
                <w:noProof/>
                <w:webHidden/>
              </w:rPr>
              <w:fldChar w:fldCharType="separate"/>
            </w:r>
            <w:r w:rsidR="00FD58BF">
              <w:rPr>
                <w:noProof/>
                <w:webHidden/>
              </w:rPr>
              <w:t>324</w:t>
            </w:r>
            <w:r w:rsidR="00FD58BF">
              <w:rPr>
                <w:noProof/>
                <w:webHidden/>
              </w:rPr>
              <w:fldChar w:fldCharType="end"/>
            </w:r>
          </w:hyperlink>
        </w:p>
        <w:p w14:paraId="03A0994B" w14:textId="280ACFA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77" w:history="1">
            <w:r w:rsidR="00FD58BF" w:rsidRPr="003004E5">
              <w:rPr>
                <w:rStyle w:val="Lienhypertexte"/>
                <w:noProof/>
              </w:rPr>
              <w:t>21.31.2e Maçonneries de parement en briques de béton clivé à coller CCTB 01.11</w:t>
            </w:r>
            <w:r w:rsidR="00FD58BF">
              <w:rPr>
                <w:noProof/>
                <w:webHidden/>
              </w:rPr>
              <w:tab/>
            </w:r>
            <w:r w:rsidR="00FD58BF">
              <w:rPr>
                <w:noProof/>
                <w:webHidden/>
              </w:rPr>
              <w:fldChar w:fldCharType="begin"/>
            </w:r>
            <w:r w:rsidR="00FD58BF">
              <w:rPr>
                <w:noProof/>
                <w:webHidden/>
              </w:rPr>
              <w:instrText xml:space="preserve"> PAGEREF _Toc178837477 \h </w:instrText>
            </w:r>
            <w:r w:rsidR="00FD58BF">
              <w:rPr>
                <w:noProof/>
                <w:webHidden/>
              </w:rPr>
            </w:r>
            <w:r w:rsidR="00FD58BF">
              <w:rPr>
                <w:noProof/>
                <w:webHidden/>
              </w:rPr>
              <w:fldChar w:fldCharType="separate"/>
            </w:r>
            <w:r w:rsidR="00FD58BF">
              <w:rPr>
                <w:noProof/>
                <w:webHidden/>
              </w:rPr>
              <w:t>326</w:t>
            </w:r>
            <w:r w:rsidR="00FD58BF">
              <w:rPr>
                <w:noProof/>
                <w:webHidden/>
              </w:rPr>
              <w:fldChar w:fldCharType="end"/>
            </w:r>
          </w:hyperlink>
        </w:p>
        <w:p w14:paraId="432571CB" w14:textId="321D1D1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78" w:history="1">
            <w:r w:rsidR="00FD58BF" w:rsidRPr="003004E5">
              <w:rPr>
                <w:rStyle w:val="Lienhypertexte"/>
                <w:noProof/>
              </w:rPr>
              <w:t>21.31.2f Maçonneries de parement en briques de béton clivé à système de dosage pour liant hydraulique CCTB 01.11</w:t>
            </w:r>
            <w:r w:rsidR="00FD58BF">
              <w:rPr>
                <w:noProof/>
                <w:webHidden/>
              </w:rPr>
              <w:tab/>
            </w:r>
            <w:r w:rsidR="00FD58BF">
              <w:rPr>
                <w:noProof/>
                <w:webHidden/>
              </w:rPr>
              <w:fldChar w:fldCharType="begin"/>
            </w:r>
            <w:r w:rsidR="00FD58BF">
              <w:rPr>
                <w:noProof/>
                <w:webHidden/>
              </w:rPr>
              <w:instrText xml:space="preserve"> PAGEREF _Toc178837478 \h </w:instrText>
            </w:r>
            <w:r w:rsidR="00FD58BF">
              <w:rPr>
                <w:noProof/>
                <w:webHidden/>
              </w:rPr>
            </w:r>
            <w:r w:rsidR="00FD58BF">
              <w:rPr>
                <w:noProof/>
                <w:webHidden/>
              </w:rPr>
              <w:fldChar w:fldCharType="separate"/>
            </w:r>
            <w:r w:rsidR="00FD58BF">
              <w:rPr>
                <w:noProof/>
                <w:webHidden/>
              </w:rPr>
              <w:t>329</w:t>
            </w:r>
            <w:r w:rsidR="00FD58BF">
              <w:rPr>
                <w:noProof/>
                <w:webHidden/>
              </w:rPr>
              <w:fldChar w:fldCharType="end"/>
            </w:r>
          </w:hyperlink>
        </w:p>
        <w:p w14:paraId="0E8B3E48" w14:textId="0B8BD00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79" w:history="1">
            <w:r w:rsidR="00FD58BF" w:rsidRPr="003004E5">
              <w:rPr>
                <w:rStyle w:val="Lienhypertexte"/>
                <w:noProof/>
              </w:rPr>
              <w:t>21.31.3 Maçonneries de parement en briques de silico-calcaire CCTB 01.11</w:t>
            </w:r>
            <w:r w:rsidR="00FD58BF">
              <w:rPr>
                <w:noProof/>
                <w:webHidden/>
              </w:rPr>
              <w:tab/>
            </w:r>
            <w:r w:rsidR="00FD58BF">
              <w:rPr>
                <w:noProof/>
                <w:webHidden/>
              </w:rPr>
              <w:fldChar w:fldCharType="begin"/>
            </w:r>
            <w:r w:rsidR="00FD58BF">
              <w:rPr>
                <w:noProof/>
                <w:webHidden/>
              </w:rPr>
              <w:instrText xml:space="preserve"> PAGEREF _Toc178837479 \h </w:instrText>
            </w:r>
            <w:r w:rsidR="00FD58BF">
              <w:rPr>
                <w:noProof/>
                <w:webHidden/>
              </w:rPr>
            </w:r>
            <w:r w:rsidR="00FD58BF">
              <w:rPr>
                <w:noProof/>
                <w:webHidden/>
              </w:rPr>
              <w:fldChar w:fldCharType="separate"/>
            </w:r>
            <w:r w:rsidR="00FD58BF">
              <w:rPr>
                <w:noProof/>
                <w:webHidden/>
              </w:rPr>
              <w:t>332</w:t>
            </w:r>
            <w:r w:rsidR="00FD58BF">
              <w:rPr>
                <w:noProof/>
                <w:webHidden/>
              </w:rPr>
              <w:fldChar w:fldCharType="end"/>
            </w:r>
          </w:hyperlink>
        </w:p>
        <w:p w14:paraId="0EE11937" w14:textId="19F25D9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0" w:history="1">
            <w:r w:rsidR="00FD58BF" w:rsidRPr="003004E5">
              <w:rPr>
                <w:rStyle w:val="Lienhypertexte"/>
                <w:noProof/>
              </w:rPr>
              <w:t>21.31.3a Maçonneries de parement à briques de silico-calcaire à maçonner CCTB 01.12</w:t>
            </w:r>
            <w:r w:rsidR="00FD58BF">
              <w:rPr>
                <w:noProof/>
                <w:webHidden/>
              </w:rPr>
              <w:tab/>
            </w:r>
            <w:r w:rsidR="00FD58BF">
              <w:rPr>
                <w:noProof/>
                <w:webHidden/>
              </w:rPr>
              <w:fldChar w:fldCharType="begin"/>
            </w:r>
            <w:r w:rsidR="00FD58BF">
              <w:rPr>
                <w:noProof/>
                <w:webHidden/>
              </w:rPr>
              <w:instrText xml:space="preserve"> PAGEREF _Toc178837480 \h </w:instrText>
            </w:r>
            <w:r w:rsidR="00FD58BF">
              <w:rPr>
                <w:noProof/>
                <w:webHidden/>
              </w:rPr>
            </w:r>
            <w:r w:rsidR="00FD58BF">
              <w:rPr>
                <w:noProof/>
                <w:webHidden/>
              </w:rPr>
              <w:fldChar w:fldCharType="separate"/>
            </w:r>
            <w:r w:rsidR="00FD58BF">
              <w:rPr>
                <w:noProof/>
                <w:webHidden/>
              </w:rPr>
              <w:t>333</w:t>
            </w:r>
            <w:r w:rsidR="00FD58BF">
              <w:rPr>
                <w:noProof/>
                <w:webHidden/>
              </w:rPr>
              <w:fldChar w:fldCharType="end"/>
            </w:r>
          </w:hyperlink>
        </w:p>
        <w:p w14:paraId="6C910A46" w14:textId="4A760B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1" w:history="1">
            <w:r w:rsidR="00FD58BF" w:rsidRPr="003004E5">
              <w:rPr>
                <w:rStyle w:val="Lienhypertexte"/>
                <w:noProof/>
              </w:rPr>
              <w:t>21.31.3b Maçonneries de parement en briques de silico-calcaire à coller CCTB 01.12</w:t>
            </w:r>
            <w:r w:rsidR="00FD58BF">
              <w:rPr>
                <w:noProof/>
                <w:webHidden/>
              </w:rPr>
              <w:tab/>
            </w:r>
            <w:r w:rsidR="00FD58BF">
              <w:rPr>
                <w:noProof/>
                <w:webHidden/>
              </w:rPr>
              <w:fldChar w:fldCharType="begin"/>
            </w:r>
            <w:r w:rsidR="00FD58BF">
              <w:rPr>
                <w:noProof/>
                <w:webHidden/>
              </w:rPr>
              <w:instrText xml:space="preserve"> PAGEREF _Toc178837481 \h </w:instrText>
            </w:r>
            <w:r w:rsidR="00FD58BF">
              <w:rPr>
                <w:noProof/>
                <w:webHidden/>
              </w:rPr>
            </w:r>
            <w:r w:rsidR="00FD58BF">
              <w:rPr>
                <w:noProof/>
                <w:webHidden/>
              </w:rPr>
              <w:fldChar w:fldCharType="separate"/>
            </w:r>
            <w:r w:rsidR="00FD58BF">
              <w:rPr>
                <w:noProof/>
                <w:webHidden/>
              </w:rPr>
              <w:t>336</w:t>
            </w:r>
            <w:r w:rsidR="00FD58BF">
              <w:rPr>
                <w:noProof/>
                <w:webHidden/>
              </w:rPr>
              <w:fldChar w:fldCharType="end"/>
            </w:r>
          </w:hyperlink>
        </w:p>
        <w:p w14:paraId="13442195" w14:textId="78A0203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82" w:history="1">
            <w:r w:rsidR="00FD58BF" w:rsidRPr="003004E5">
              <w:rPr>
                <w:rStyle w:val="Lienhypertexte"/>
                <w:noProof/>
              </w:rPr>
              <w:t>21.31.4 Maçonneries de parement en briquettes CCTB 01.04</w:t>
            </w:r>
            <w:r w:rsidR="00FD58BF">
              <w:rPr>
                <w:noProof/>
                <w:webHidden/>
              </w:rPr>
              <w:tab/>
            </w:r>
            <w:r w:rsidR="00FD58BF">
              <w:rPr>
                <w:noProof/>
                <w:webHidden/>
              </w:rPr>
              <w:fldChar w:fldCharType="begin"/>
            </w:r>
            <w:r w:rsidR="00FD58BF">
              <w:rPr>
                <w:noProof/>
                <w:webHidden/>
              </w:rPr>
              <w:instrText xml:space="preserve"> PAGEREF _Toc178837482 \h </w:instrText>
            </w:r>
            <w:r w:rsidR="00FD58BF">
              <w:rPr>
                <w:noProof/>
                <w:webHidden/>
              </w:rPr>
            </w:r>
            <w:r w:rsidR="00FD58BF">
              <w:rPr>
                <w:noProof/>
                <w:webHidden/>
              </w:rPr>
              <w:fldChar w:fldCharType="separate"/>
            </w:r>
            <w:r w:rsidR="00FD58BF">
              <w:rPr>
                <w:noProof/>
                <w:webHidden/>
              </w:rPr>
              <w:t>338</w:t>
            </w:r>
            <w:r w:rsidR="00FD58BF">
              <w:rPr>
                <w:noProof/>
                <w:webHidden/>
              </w:rPr>
              <w:fldChar w:fldCharType="end"/>
            </w:r>
          </w:hyperlink>
        </w:p>
        <w:p w14:paraId="37C9183D" w14:textId="2328F71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83" w:history="1">
            <w:r w:rsidR="00FD58BF" w:rsidRPr="003004E5">
              <w:rPr>
                <w:rStyle w:val="Lienhypertexte"/>
                <w:noProof/>
              </w:rPr>
              <w:t>21.32 Maçonneries de parement en blocs CCTB 01.02</w:t>
            </w:r>
            <w:r w:rsidR="00FD58BF">
              <w:rPr>
                <w:noProof/>
                <w:webHidden/>
              </w:rPr>
              <w:tab/>
            </w:r>
            <w:r w:rsidR="00FD58BF">
              <w:rPr>
                <w:noProof/>
                <w:webHidden/>
              </w:rPr>
              <w:fldChar w:fldCharType="begin"/>
            </w:r>
            <w:r w:rsidR="00FD58BF">
              <w:rPr>
                <w:noProof/>
                <w:webHidden/>
              </w:rPr>
              <w:instrText xml:space="preserve"> PAGEREF _Toc178837483 \h </w:instrText>
            </w:r>
            <w:r w:rsidR="00FD58BF">
              <w:rPr>
                <w:noProof/>
                <w:webHidden/>
              </w:rPr>
            </w:r>
            <w:r w:rsidR="00FD58BF">
              <w:rPr>
                <w:noProof/>
                <w:webHidden/>
              </w:rPr>
              <w:fldChar w:fldCharType="separate"/>
            </w:r>
            <w:r w:rsidR="00FD58BF">
              <w:rPr>
                <w:noProof/>
                <w:webHidden/>
              </w:rPr>
              <w:t>338</w:t>
            </w:r>
            <w:r w:rsidR="00FD58BF">
              <w:rPr>
                <w:noProof/>
                <w:webHidden/>
              </w:rPr>
              <w:fldChar w:fldCharType="end"/>
            </w:r>
          </w:hyperlink>
        </w:p>
        <w:p w14:paraId="38B39E19" w14:textId="45AEC95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84" w:history="1">
            <w:r w:rsidR="00FD58BF" w:rsidRPr="003004E5">
              <w:rPr>
                <w:rStyle w:val="Lienhypertexte"/>
                <w:noProof/>
              </w:rPr>
              <w:t>21.32.1 Maçonneries de parement en blocs treillis de terre cuite CCTB 01.02</w:t>
            </w:r>
            <w:r w:rsidR="00FD58BF">
              <w:rPr>
                <w:noProof/>
                <w:webHidden/>
              </w:rPr>
              <w:tab/>
            </w:r>
            <w:r w:rsidR="00FD58BF">
              <w:rPr>
                <w:noProof/>
                <w:webHidden/>
              </w:rPr>
              <w:fldChar w:fldCharType="begin"/>
            </w:r>
            <w:r w:rsidR="00FD58BF">
              <w:rPr>
                <w:noProof/>
                <w:webHidden/>
              </w:rPr>
              <w:instrText xml:space="preserve"> PAGEREF _Toc178837484 \h </w:instrText>
            </w:r>
            <w:r w:rsidR="00FD58BF">
              <w:rPr>
                <w:noProof/>
                <w:webHidden/>
              </w:rPr>
            </w:r>
            <w:r w:rsidR="00FD58BF">
              <w:rPr>
                <w:noProof/>
                <w:webHidden/>
              </w:rPr>
              <w:fldChar w:fldCharType="separate"/>
            </w:r>
            <w:r w:rsidR="00FD58BF">
              <w:rPr>
                <w:noProof/>
                <w:webHidden/>
              </w:rPr>
              <w:t>338</w:t>
            </w:r>
            <w:r w:rsidR="00FD58BF">
              <w:rPr>
                <w:noProof/>
                <w:webHidden/>
              </w:rPr>
              <w:fldChar w:fldCharType="end"/>
            </w:r>
          </w:hyperlink>
        </w:p>
        <w:p w14:paraId="5DC4F8ED" w14:textId="6B932F6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5" w:history="1">
            <w:r w:rsidR="00FD58BF" w:rsidRPr="003004E5">
              <w:rPr>
                <w:rStyle w:val="Lienhypertexte"/>
                <w:noProof/>
              </w:rPr>
              <w:t>21.32.1a Maçonneries de parement en blocs treillis de terre cuite à maçonner CCTB 01.11</w:t>
            </w:r>
            <w:r w:rsidR="00FD58BF">
              <w:rPr>
                <w:noProof/>
                <w:webHidden/>
              </w:rPr>
              <w:tab/>
            </w:r>
            <w:r w:rsidR="00FD58BF">
              <w:rPr>
                <w:noProof/>
                <w:webHidden/>
              </w:rPr>
              <w:fldChar w:fldCharType="begin"/>
            </w:r>
            <w:r w:rsidR="00FD58BF">
              <w:rPr>
                <w:noProof/>
                <w:webHidden/>
              </w:rPr>
              <w:instrText xml:space="preserve"> PAGEREF _Toc178837485 \h </w:instrText>
            </w:r>
            <w:r w:rsidR="00FD58BF">
              <w:rPr>
                <w:noProof/>
                <w:webHidden/>
              </w:rPr>
            </w:r>
            <w:r w:rsidR="00FD58BF">
              <w:rPr>
                <w:noProof/>
                <w:webHidden/>
              </w:rPr>
              <w:fldChar w:fldCharType="separate"/>
            </w:r>
            <w:r w:rsidR="00FD58BF">
              <w:rPr>
                <w:noProof/>
                <w:webHidden/>
              </w:rPr>
              <w:t>338</w:t>
            </w:r>
            <w:r w:rsidR="00FD58BF">
              <w:rPr>
                <w:noProof/>
                <w:webHidden/>
              </w:rPr>
              <w:fldChar w:fldCharType="end"/>
            </w:r>
          </w:hyperlink>
        </w:p>
        <w:p w14:paraId="688E7FC0" w14:textId="36A7C4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6" w:history="1">
            <w:r w:rsidR="00FD58BF" w:rsidRPr="003004E5">
              <w:rPr>
                <w:rStyle w:val="Lienhypertexte"/>
                <w:noProof/>
              </w:rPr>
              <w:t>21.32.1b Maçonneries de parement en blocs treillis de terre cuite à coller CCTB 01.11</w:t>
            </w:r>
            <w:r w:rsidR="00FD58BF">
              <w:rPr>
                <w:noProof/>
                <w:webHidden/>
              </w:rPr>
              <w:tab/>
            </w:r>
            <w:r w:rsidR="00FD58BF">
              <w:rPr>
                <w:noProof/>
                <w:webHidden/>
              </w:rPr>
              <w:fldChar w:fldCharType="begin"/>
            </w:r>
            <w:r w:rsidR="00FD58BF">
              <w:rPr>
                <w:noProof/>
                <w:webHidden/>
              </w:rPr>
              <w:instrText xml:space="preserve"> PAGEREF _Toc178837486 \h </w:instrText>
            </w:r>
            <w:r w:rsidR="00FD58BF">
              <w:rPr>
                <w:noProof/>
                <w:webHidden/>
              </w:rPr>
            </w:r>
            <w:r w:rsidR="00FD58BF">
              <w:rPr>
                <w:noProof/>
                <w:webHidden/>
              </w:rPr>
              <w:fldChar w:fldCharType="separate"/>
            </w:r>
            <w:r w:rsidR="00FD58BF">
              <w:rPr>
                <w:noProof/>
                <w:webHidden/>
              </w:rPr>
              <w:t>341</w:t>
            </w:r>
            <w:r w:rsidR="00FD58BF">
              <w:rPr>
                <w:noProof/>
                <w:webHidden/>
              </w:rPr>
              <w:fldChar w:fldCharType="end"/>
            </w:r>
          </w:hyperlink>
        </w:p>
        <w:p w14:paraId="3DC7D8EB" w14:textId="3511C98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87" w:history="1">
            <w:r w:rsidR="00FD58BF" w:rsidRPr="003004E5">
              <w:rPr>
                <w:rStyle w:val="Lienhypertexte"/>
                <w:noProof/>
              </w:rPr>
              <w:t>21.32.2 Maçonneries de parement en blocs de béton CCTB 01.02</w:t>
            </w:r>
            <w:r w:rsidR="00FD58BF">
              <w:rPr>
                <w:noProof/>
                <w:webHidden/>
              </w:rPr>
              <w:tab/>
            </w:r>
            <w:r w:rsidR="00FD58BF">
              <w:rPr>
                <w:noProof/>
                <w:webHidden/>
              </w:rPr>
              <w:fldChar w:fldCharType="begin"/>
            </w:r>
            <w:r w:rsidR="00FD58BF">
              <w:rPr>
                <w:noProof/>
                <w:webHidden/>
              </w:rPr>
              <w:instrText xml:space="preserve"> PAGEREF _Toc178837487 \h </w:instrText>
            </w:r>
            <w:r w:rsidR="00FD58BF">
              <w:rPr>
                <w:noProof/>
                <w:webHidden/>
              </w:rPr>
            </w:r>
            <w:r w:rsidR="00FD58BF">
              <w:rPr>
                <w:noProof/>
                <w:webHidden/>
              </w:rPr>
              <w:fldChar w:fldCharType="separate"/>
            </w:r>
            <w:r w:rsidR="00FD58BF">
              <w:rPr>
                <w:noProof/>
                <w:webHidden/>
              </w:rPr>
              <w:t>344</w:t>
            </w:r>
            <w:r w:rsidR="00FD58BF">
              <w:rPr>
                <w:noProof/>
                <w:webHidden/>
              </w:rPr>
              <w:fldChar w:fldCharType="end"/>
            </w:r>
          </w:hyperlink>
        </w:p>
        <w:p w14:paraId="36D985FD" w14:textId="21CA892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8" w:history="1">
            <w:r w:rsidR="00FD58BF" w:rsidRPr="003004E5">
              <w:rPr>
                <w:rStyle w:val="Lienhypertexte"/>
                <w:noProof/>
              </w:rPr>
              <w:t>21.32.2a Maçonneries de parement en blocs de béton pleins à maçonner CCTB 01.11</w:t>
            </w:r>
            <w:r w:rsidR="00FD58BF">
              <w:rPr>
                <w:noProof/>
                <w:webHidden/>
              </w:rPr>
              <w:tab/>
            </w:r>
            <w:r w:rsidR="00FD58BF">
              <w:rPr>
                <w:noProof/>
                <w:webHidden/>
              </w:rPr>
              <w:fldChar w:fldCharType="begin"/>
            </w:r>
            <w:r w:rsidR="00FD58BF">
              <w:rPr>
                <w:noProof/>
                <w:webHidden/>
              </w:rPr>
              <w:instrText xml:space="preserve"> PAGEREF _Toc178837488 \h </w:instrText>
            </w:r>
            <w:r w:rsidR="00FD58BF">
              <w:rPr>
                <w:noProof/>
                <w:webHidden/>
              </w:rPr>
            </w:r>
            <w:r w:rsidR="00FD58BF">
              <w:rPr>
                <w:noProof/>
                <w:webHidden/>
              </w:rPr>
              <w:fldChar w:fldCharType="separate"/>
            </w:r>
            <w:r w:rsidR="00FD58BF">
              <w:rPr>
                <w:noProof/>
                <w:webHidden/>
              </w:rPr>
              <w:t>344</w:t>
            </w:r>
            <w:r w:rsidR="00FD58BF">
              <w:rPr>
                <w:noProof/>
                <w:webHidden/>
              </w:rPr>
              <w:fldChar w:fldCharType="end"/>
            </w:r>
          </w:hyperlink>
        </w:p>
        <w:p w14:paraId="51F613D9" w14:textId="5394213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9" w:history="1">
            <w:r w:rsidR="00FD58BF" w:rsidRPr="003004E5">
              <w:rPr>
                <w:rStyle w:val="Lienhypertexte"/>
                <w:noProof/>
              </w:rPr>
              <w:t>21.32.2b Maçonneries de parement en blocs de béton pleins à coller CCTB 01.11</w:t>
            </w:r>
            <w:r w:rsidR="00FD58BF">
              <w:rPr>
                <w:noProof/>
                <w:webHidden/>
              </w:rPr>
              <w:tab/>
            </w:r>
            <w:r w:rsidR="00FD58BF">
              <w:rPr>
                <w:noProof/>
                <w:webHidden/>
              </w:rPr>
              <w:fldChar w:fldCharType="begin"/>
            </w:r>
            <w:r w:rsidR="00FD58BF">
              <w:rPr>
                <w:noProof/>
                <w:webHidden/>
              </w:rPr>
              <w:instrText xml:space="preserve"> PAGEREF _Toc178837489 \h </w:instrText>
            </w:r>
            <w:r w:rsidR="00FD58BF">
              <w:rPr>
                <w:noProof/>
                <w:webHidden/>
              </w:rPr>
            </w:r>
            <w:r w:rsidR="00FD58BF">
              <w:rPr>
                <w:noProof/>
                <w:webHidden/>
              </w:rPr>
              <w:fldChar w:fldCharType="separate"/>
            </w:r>
            <w:r w:rsidR="00FD58BF">
              <w:rPr>
                <w:noProof/>
                <w:webHidden/>
              </w:rPr>
              <w:t>346</w:t>
            </w:r>
            <w:r w:rsidR="00FD58BF">
              <w:rPr>
                <w:noProof/>
                <w:webHidden/>
              </w:rPr>
              <w:fldChar w:fldCharType="end"/>
            </w:r>
          </w:hyperlink>
        </w:p>
        <w:p w14:paraId="68645CF9" w14:textId="5E7AF40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0" w:history="1">
            <w:r w:rsidR="00FD58BF" w:rsidRPr="003004E5">
              <w:rPr>
                <w:rStyle w:val="Lienhypertexte"/>
                <w:noProof/>
              </w:rPr>
              <w:t>21.32.2c Maçonneries de parement en blocs de béton creux à maçonner CCTB 01.11</w:t>
            </w:r>
            <w:r w:rsidR="00FD58BF">
              <w:rPr>
                <w:noProof/>
                <w:webHidden/>
              </w:rPr>
              <w:tab/>
            </w:r>
            <w:r w:rsidR="00FD58BF">
              <w:rPr>
                <w:noProof/>
                <w:webHidden/>
              </w:rPr>
              <w:fldChar w:fldCharType="begin"/>
            </w:r>
            <w:r w:rsidR="00FD58BF">
              <w:rPr>
                <w:noProof/>
                <w:webHidden/>
              </w:rPr>
              <w:instrText xml:space="preserve"> PAGEREF _Toc178837490 \h </w:instrText>
            </w:r>
            <w:r w:rsidR="00FD58BF">
              <w:rPr>
                <w:noProof/>
                <w:webHidden/>
              </w:rPr>
            </w:r>
            <w:r w:rsidR="00FD58BF">
              <w:rPr>
                <w:noProof/>
                <w:webHidden/>
              </w:rPr>
              <w:fldChar w:fldCharType="separate"/>
            </w:r>
            <w:r w:rsidR="00FD58BF">
              <w:rPr>
                <w:noProof/>
                <w:webHidden/>
              </w:rPr>
              <w:t>349</w:t>
            </w:r>
            <w:r w:rsidR="00FD58BF">
              <w:rPr>
                <w:noProof/>
                <w:webHidden/>
              </w:rPr>
              <w:fldChar w:fldCharType="end"/>
            </w:r>
          </w:hyperlink>
        </w:p>
        <w:p w14:paraId="6D4FA0EF" w14:textId="6EE210E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1" w:history="1">
            <w:r w:rsidR="00FD58BF" w:rsidRPr="003004E5">
              <w:rPr>
                <w:rStyle w:val="Lienhypertexte"/>
                <w:noProof/>
              </w:rPr>
              <w:t>21.32.2d Maçonneries de parement en blocs de béton creux à coller CCTB 01.11</w:t>
            </w:r>
            <w:r w:rsidR="00FD58BF">
              <w:rPr>
                <w:noProof/>
                <w:webHidden/>
              </w:rPr>
              <w:tab/>
            </w:r>
            <w:r w:rsidR="00FD58BF">
              <w:rPr>
                <w:noProof/>
                <w:webHidden/>
              </w:rPr>
              <w:fldChar w:fldCharType="begin"/>
            </w:r>
            <w:r w:rsidR="00FD58BF">
              <w:rPr>
                <w:noProof/>
                <w:webHidden/>
              </w:rPr>
              <w:instrText xml:space="preserve"> PAGEREF _Toc178837491 \h </w:instrText>
            </w:r>
            <w:r w:rsidR="00FD58BF">
              <w:rPr>
                <w:noProof/>
                <w:webHidden/>
              </w:rPr>
            </w:r>
            <w:r w:rsidR="00FD58BF">
              <w:rPr>
                <w:noProof/>
                <w:webHidden/>
              </w:rPr>
              <w:fldChar w:fldCharType="separate"/>
            </w:r>
            <w:r w:rsidR="00FD58BF">
              <w:rPr>
                <w:noProof/>
                <w:webHidden/>
              </w:rPr>
              <w:t>352</w:t>
            </w:r>
            <w:r w:rsidR="00FD58BF">
              <w:rPr>
                <w:noProof/>
                <w:webHidden/>
              </w:rPr>
              <w:fldChar w:fldCharType="end"/>
            </w:r>
          </w:hyperlink>
        </w:p>
        <w:p w14:paraId="22DDE0EB" w14:textId="03A5687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2" w:history="1">
            <w:r w:rsidR="00FD58BF" w:rsidRPr="003004E5">
              <w:rPr>
                <w:rStyle w:val="Lienhypertexte"/>
                <w:noProof/>
              </w:rPr>
              <w:t>21.32.2e Maçonneries de parement en blocs de béton à système de dosage pour liant hydraulique CCTB 01.11</w:t>
            </w:r>
            <w:r w:rsidR="00FD58BF">
              <w:rPr>
                <w:noProof/>
                <w:webHidden/>
              </w:rPr>
              <w:tab/>
            </w:r>
            <w:r w:rsidR="00FD58BF">
              <w:rPr>
                <w:noProof/>
                <w:webHidden/>
              </w:rPr>
              <w:fldChar w:fldCharType="begin"/>
            </w:r>
            <w:r w:rsidR="00FD58BF">
              <w:rPr>
                <w:noProof/>
                <w:webHidden/>
              </w:rPr>
              <w:instrText xml:space="preserve"> PAGEREF _Toc178837492 \h </w:instrText>
            </w:r>
            <w:r w:rsidR="00FD58BF">
              <w:rPr>
                <w:noProof/>
                <w:webHidden/>
              </w:rPr>
            </w:r>
            <w:r w:rsidR="00FD58BF">
              <w:rPr>
                <w:noProof/>
                <w:webHidden/>
              </w:rPr>
              <w:fldChar w:fldCharType="separate"/>
            </w:r>
            <w:r w:rsidR="00FD58BF">
              <w:rPr>
                <w:noProof/>
                <w:webHidden/>
              </w:rPr>
              <w:t>355</w:t>
            </w:r>
            <w:r w:rsidR="00FD58BF">
              <w:rPr>
                <w:noProof/>
                <w:webHidden/>
              </w:rPr>
              <w:fldChar w:fldCharType="end"/>
            </w:r>
          </w:hyperlink>
        </w:p>
        <w:p w14:paraId="350A6705" w14:textId="0A42A9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3" w:history="1">
            <w:r w:rsidR="00FD58BF" w:rsidRPr="003004E5">
              <w:rPr>
                <w:rStyle w:val="Lienhypertexte"/>
                <w:noProof/>
              </w:rPr>
              <w:t>21.32.2f Maçonneries de parement en blocs de béton clivé à maçonner CCTB 01.11</w:t>
            </w:r>
            <w:r w:rsidR="00FD58BF">
              <w:rPr>
                <w:noProof/>
                <w:webHidden/>
              </w:rPr>
              <w:tab/>
            </w:r>
            <w:r w:rsidR="00FD58BF">
              <w:rPr>
                <w:noProof/>
                <w:webHidden/>
              </w:rPr>
              <w:fldChar w:fldCharType="begin"/>
            </w:r>
            <w:r w:rsidR="00FD58BF">
              <w:rPr>
                <w:noProof/>
                <w:webHidden/>
              </w:rPr>
              <w:instrText xml:space="preserve"> PAGEREF _Toc178837493 \h </w:instrText>
            </w:r>
            <w:r w:rsidR="00FD58BF">
              <w:rPr>
                <w:noProof/>
                <w:webHidden/>
              </w:rPr>
            </w:r>
            <w:r w:rsidR="00FD58BF">
              <w:rPr>
                <w:noProof/>
                <w:webHidden/>
              </w:rPr>
              <w:fldChar w:fldCharType="separate"/>
            </w:r>
            <w:r w:rsidR="00FD58BF">
              <w:rPr>
                <w:noProof/>
                <w:webHidden/>
              </w:rPr>
              <w:t>358</w:t>
            </w:r>
            <w:r w:rsidR="00FD58BF">
              <w:rPr>
                <w:noProof/>
                <w:webHidden/>
              </w:rPr>
              <w:fldChar w:fldCharType="end"/>
            </w:r>
          </w:hyperlink>
        </w:p>
        <w:p w14:paraId="6B1F07E0" w14:textId="6D7F5B9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4" w:history="1">
            <w:r w:rsidR="00FD58BF" w:rsidRPr="003004E5">
              <w:rPr>
                <w:rStyle w:val="Lienhypertexte"/>
                <w:noProof/>
              </w:rPr>
              <w:t>21.32.2g Maçonneries de parement en blocs de béton clivé à coller CCTB 01.11</w:t>
            </w:r>
            <w:r w:rsidR="00FD58BF">
              <w:rPr>
                <w:noProof/>
                <w:webHidden/>
              </w:rPr>
              <w:tab/>
            </w:r>
            <w:r w:rsidR="00FD58BF">
              <w:rPr>
                <w:noProof/>
                <w:webHidden/>
              </w:rPr>
              <w:fldChar w:fldCharType="begin"/>
            </w:r>
            <w:r w:rsidR="00FD58BF">
              <w:rPr>
                <w:noProof/>
                <w:webHidden/>
              </w:rPr>
              <w:instrText xml:space="preserve"> PAGEREF _Toc178837494 \h </w:instrText>
            </w:r>
            <w:r w:rsidR="00FD58BF">
              <w:rPr>
                <w:noProof/>
                <w:webHidden/>
              </w:rPr>
            </w:r>
            <w:r w:rsidR="00FD58BF">
              <w:rPr>
                <w:noProof/>
                <w:webHidden/>
              </w:rPr>
              <w:fldChar w:fldCharType="separate"/>
            </w:r>
            <w:r w:rsidR="00FD58BF">
              <w:rPr>
                <w:noProof/>
                <w:webHidden/>
              </w:rPr>
              <w:t>361</w:t>
            </w:r>
            <w:r w:rsidR="00FD58BF">
              <w:rPr>
                <w:noProof/>
                <w:webHidden/>
              </w:rPr>
              <w:fldChar w:fldCharType="end"/>
            </w:r>
          </w:hyperlink>
        </w:p>
        <w:p w14:paraId="207E0D25" w14:textId="5C9BD4F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5" w:history="1">
            <w:r w:rsidR="00FD58BF" w:rsidRPr="003004E5">
              <w:rPr>
                <w:rStyle w:val="Lienhypertexte"/>
                <w:noProof/>
              </w:rPr>
              <w:t>21.32.2h Maçonneries de parement en blocs de béton clivé à système de dosage pour liant hydraulique CCTB 01.11</w:t>
            </w:r>
            <w:r w:rsidR="00FD58BF">
              <w:rPr>
                <w:noProof/>
                <w:webHidden/>
              </w:rPr>
              <w:tab/>
            </w:r>
            <w:r w:rsidR="00FD58BF">
              <w:rPr>
                <w:noProof/>
                <w:webHidden/>
              </w:rPr>
              <w:fldChar w:fldCharType="begin"/>
            </w:r>
            <w:r w:rsidR="00FD58BF">
              <w:rPr>
                <w:noProof/>
                <w:webHidden/>
              </w:rPr>
              <w:instrText xml:space="preserve"> PAGEREF _Toc178837495 \h </w:instrText>
            </w:r>
            <w:r w:rsidR="00FD58BF">
              <w:rPr>
                <w:noProof/>
                <w:webHidden/>
              </w:rPr>
            </w:r>
            <w:r w:rsidR="00FD58BF">
              <w:rPr>
                <w:noProof/>
                <w:webHidden/>
              </w:rPr>
              <w:fldChar w:fldCharType="separate"/>
            </w:r>
            <w:r w:rsidR="00FD58BF">
              <w:rPr>
                <w:noProof/>
                <w:webHidden/>
              </w:rPr>
              <w:t>364</w:t>
            </w:r>
            <w:r w:rsidR="00FD58BF">
              <w:rPr>
                <w:noProof/>
                <w:webHidden/>
              </w:rPr>
              <w:fldChar w:fldCharType="end"/>
            </w:r>
          </w:hyperlink>
        </w:p>
        <w:p w14:paraId="1ECB0628" w14:textId="2F4B45E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96" w:history="1">
            <w:r w:rsidR="00FD58BF" w:rsidRPr="003004E5">
              <w:rPr>
                <w:rStyle w:val="Lienhypertexte"/>
                <w:noProof/>
              </w:rPr>
              <w:t>21.32.3 Maçonneries de parement en blocs de silico-calcaire CCTB 01.04</w:t>
            </w:r>
            <w:r w:rsidR="00FD58BF">
              <w:rPr>
                <w:noProof/>
                <w:webHidden/>
              </w:rPr>
              <w:tab/>
            </w:r>
            <w:r w:rsidR="00FD58BF">
              <w:rPr>
                <w:noProof/>
                <w:webHidden/>
              </w:rPr>
              <w:fldChar w:fldCharType="begin"/>
            </w:r>
            <w:r w:rsidR="00FD58BF">
              <w:rPr>
                <w:noProof/>
                <w:webHidden/>
              </w:rPr>
              <w:instrText xml:space="preserve"> PAGEREF _Toc178837496 \h </w:instrText>
            </w:r>
            <w:r w:rsidR="00FD58BF">
              <w:rPr>
                <w:noProof/>
                <w:webHidden/>
              </w:rPr>
            </w:r>
            <w:r w:rsidR="00FD58BF">
              <w:rPr>
                <w:noProof/>
                <w:webHidden/>
              </w:rPr>
              <w:fldChar w:fldCharType="separate"/>
            </w:r>
            <w:r w:rsidR="00FD58BF">
              <w:rPr>
                <w:noProof/>
                <w:webHidden/>
              </w:rPr>
              <w:t>367</w:t>
            </w:r>
            <w:r w:rsidR="00FD58BF">
              <w:rPr>
                <w:noProof/>
                <w:webHidden/>
              </w:rPr>
              <w:fldChar w:fldCharType="end"/>
            </w:r>
          </w:hyperlink>
        </w:p>
        <w:p w14:paraId="6DB7EB78" w14:textId="37E802F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7" w:history="1">
            <w:r w:rsidR="00FD58BF" w:rsidRPr="003004E5">
              <w:rPr>
                <w:rStyle w:val="Lienhypertexte"/>
                <w:noProof/>
              </w:rPr>
              <w:t>21.32.3a Maçonneries de parement en blocs de silico-calcaire pleins à maçonner CCTB 01.04</w:t>
            </w:r>
            <w:r w:rsidR="00FD58BF">
              <w:rPr>
                <w:noProof/>
                <w:webHidden/>
              </w:rPr>
              <w:tab/>
            </w:r>
            <w:r w:rsidR="00FD58BF">
              <w:rPr>
                <w:noProof/>
                <w:webHidden/>
              </w:rPr>
              <w:fldChar w:fldCharType="begin"/>
            </w:r>
            <w:r w:rsidR="00FD58BF">
              <w:rPr>
                <w:noProof/>
                <w:webHidden/>
              </w:rPr>
              <w:instrText xml:space="preserve"> PAGEREF _Toc178837497 \h </w:instrText>
            </w:r>
            <w:r w:rsidR="00FD58BF">
              <w:rPr>
                <w:noProof/>
                <w:webHidden/>
              </w:rPr>
            </w:r>
            <w:r w:rsidR="00FD58BF">
              <w:rPr>
                <w:noProof/>
                <w:webHidden/>
              </w:rPr>
              <w:fldChar w:fldCharType="separate"/>
            </w:r>
            <w:r w:rsidR="00FD58BF">
              <w:rPr>
                <w:noProof/>
                <w:webHidden/>
              </w:rPr>
              <w:t>367</w:t>
            </w:r>
            <w:r w:rsidR="00FD58BF">
              <w:rPr>
                <w:noProof/>
                <w:webHidden/>
              </w:rPr>
              <w:fldChar w:fldCharType="end"/>
            </w:r>
          </w:hyperlink>
        </w:p>
        <w:p w14:paraId="43D14A9D" w14:textId="6DEF4DB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8" w:history="1">
            <w:r w:rsidR="00FD58BF" w:rsidRPr="003004E5">
              <w:rPr>
                <w:rStyle w:val="Lienhypertexte"/>
                <w:noProof/>
              </w:rPr>
              <w:t>21.32.3b Maçonneries de parement en blocs de silico-calcaire pleins à coller CCTB 01.11</w:t>
            </w:r>
            <w:r w:rsidR="00FD58BF">
              <w:rPr>
                <w:noProof/>
                <w:webHidden/>
              </w:rPr>
              <w:tab/>
            </w:r>
            <w:r w:rsidR="00FD58BF">
              <w:rPr>
                <w:noProof/>
                <w:webHidden/>
              </w:rPr>
              <w:fldChar w:fldCharType="begin"/>
            </w:r>
            <w:r w:rsidR="00FD58BF">
              <w:rPr>
                <w:noProof/>
                <w:webHidden/>
              </w:rPr>
              <w:instrText xml:space="preserve"> PAGEREF _Toc178837498 \h </w:instrText>
            </w:r>
            <w:r w:rsidR="00FD58BF">
              <w:rPr>
                <w:noProof/>
                <w:webHidden/>
              </w:rPr>
            </w:r>
            <w:r w:rsidR="00FD58BF">
              <w:rPr>
                <w:noProof/>
                <w:webHidden/>
              </w:rPr>
              <w:fldChar w:fldCharType="separate"/>
            </w:r>
            <w:r w:rsidR="00FD58BF">
              <w:rPr>
                <w:noProof/>
                <w:webHidden/>
              </w:rPr>
              <w:t>367</w:t>
            </w:r>
            <w:r w:rsidR="00FD58BF">
              <w:rPr>
                <w:noProof/>
                <w:webHidden/>
              </w:rPr>
              <w:fldChar w:fldCharType="end"/>
            </w:r>
          </w:hyperlink>
        </w:p>
        <w:p w14:paraId="4F2831CA" w14:textId="3D6E12B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9" w:history="1">
            <w:r w:rsidR="00FD58BF" w:rsidRPr="003004E5">
              <w:rPr>
                <w:rStyle w:val="Lienhypertexte"/>
                <w:noProof/>
              </w:rPr>
              <w:t>21.32.3c Maçonneries de parement en blocs de silico-calcaire creux à coller CCTB 01.04</w:t>
            </w:r>
            <w:r w:rsidR="00FD58BF">
              <w:rPr>
                <w:noProof/>
                <w:webHidden/>
              </w:rPr>
              <w:tab/>
            </w:r>
            <w:r w:rsidR="00FD58BF">
              <w:rPr>
                <w:noProof/>
                <w:webHidden/>
              </w:rPr>
              <w:fldChar w:fldCharType="begin"/>
            </w:r>
            <w:r w:rsidR="00FD58BF">
              <w:rPr>
                <w:noProof/>
                <w:webHidden/>
              </w:rPr>
              <w:instrText xml:space="preserve"> PAGEREF _Toc178837499 \h </w:instrText>
            </w:r>
            <w:r w:rsidR="00FD58BF">
              <w:rPr>
                <w:noProof/>
                <w:webHidden/>
              </w:rPr>
            </w:r>
            <w:r w:rsidR="00FD58BF">
              <w:rPr>
                <w:noProof/>
                <w:webHidden/>
              </w:rPr>
              <w:fldChar w:fldCharType="separate"/>
            </w:r>
            <w:r w:rsidR="00FD58BF">
              <w:rPr>
                <w:noProof/>
                <w:webHidden/>
              </w:rPr>
              <w:t>367</w:t>
            </w:r>
            <w:r w:rsidR="00FD58BF">
              <w:rPr>
                <w:noProof/>
                <w:webHidden/>
              </w:rPr>
              <w:fldChar w:fldCharType="end"/>
            </w:r>
          </w:hyperlink>
        </w:p>
        <w:p w14:paraId="540AFA88" w14:textId="0117D17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0" w:history="1">
            <w:r w:rsidR="00FD58BF" w:rsidRPr="003004E5">
              <w:rPr>
                <w:rStyle w:val="Lienhypertexte"/>
                <w:noProof/>
              </w:rPr>
              <w:t>21.32.3d Maçonneries de parement en blocs de silico-calcaire apparents à coller avec chanfreins CCTB 01.04</w:t>
            </w:r>
            <w:r w:rsidR="00FD58BF">
              <w:rPr>
                <w:noProof/>
                <w:webHidden/>
              </w:rPr>
              <w:tab/>
            </w:r>
            <w:r w:rsidR="00FD58BF">
              <w:rPr>
                <w:noProof/>
                <w:webHidden/>
              </w:rPr>
              <w:fldChar w:fldCharType="begin"/>
            </w:r>
            <w:r w:rsidR="00FD58BF">
              <w:rPr>
                <w:noProof/>
                <w:webHidden/>
              </w:rPr>
              <w:instrText xml:space="preserve"> PAGEREF _Toc178837500 \h </w:instrText>
            </w:r>
            <w:r w:rsidR="00FD58BF">
              <w:rPr>
                <w:noProof/>
                <w:webHidden/>
              </w:rPr>
            </w:r>
            <w:r w:rsidR="00FD58BF">
              <w:rPr>
                <w:noProof/>
                <w:webHidden/>
              </w:rPr>
              <w:fldChar w:fldCharType="separate"/>
            </w:r>
            <w:r w:rsidR="00FD58BF">
              <w:rPr>
                <w:noProof/>
                <w:webHidden/>
              </w:rPr>
              <w:t>367</w:t>
            </w:r>
            <w:r w:rsidR="00FD58BF">
              <w:rPr>
                <w:noProof/>
                <w:webHidden/>
              </w:rPr>
              <w:fldChar w:fldCharType="end"/>
            </w:r>
          </w:hyperlink>
        </w:p>
        <w:p w14:paraId="443A1FAD" w14:textId="027ABAA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01" w:history="1">
            <w:r w:rsidR="00FD58BF" w:rsidRPr="003004E5">
              <w:rPr>
                <w:rStyle w:val="Lienhypertexte"/>
                <w:noProof/>
              </w:rPr>
              <w:t>21.33 Maçonneries de parement en pierre CCTB 01.02</w:t>
            </w:r>
            <w:r w:rsidR="00FD58BF">
              <w:rPr>
                <w:noProof/>
                <w:webHidden/>
              </w:rPr>
              <w:tab/>
            </w:r>
            <w:r w:rsidR="00FD58BF">
              <w:rPr>
                <w:noProof/>
                <w:webHidden/>
              </w:rPr>
              <w:fldChar w:fldCharType="begin"/>
            </w:r>
            <w:r w:rsidR="00FD58BF">
              <w:rPr>
                <w:noProof/>
                <w:webHidden/>
              </w:rPr>
              <w:instrText xml:space="preserve"> PAGEREF _Toc178837501 \h </w:instrText>
            </w:r>
            <w:r w:rsidR="00FD58BF">
              <w:rPr>
                <w:noProof/>
                <w:webHidden/>
              </w:rPr>
            </w:r>
            <w:r w:rsidR="00FD58BF">
              <w:rPr>
                <w:noProof/>
                <w:webHidden/>
              </w:rPr>
              <w:fldChar w:fldCharType="separate"/>
            </w:r>
            <w:r w:rsidR="00FD58BF">
              <w:rPr>
                <w:noProof/>
                <w:webHidden/>
              </w:rPr>
              <w:t>367</w:t>
            </w:r>
            <w:r w:rsidR="00FD58BF">
              <w:rPr>
                <w:noProof/>
                <w:webHidden/>
              </w:rPr>
              <w:fldChar w:fldCharType="end"/>
            </w:r>
          </w:hyperlink>
        </w:p>
        <w:p w14:paraId="04DE1BC0" w14:textId="361550B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02" w:history="1">
            <w:r w:rsidR="00FD58BF" w:rsidRPr="003004E5">
              <w:rPr>
                <w:rStyle w:val="Lienhypertexte"/>
                <w:noProof/>
              </w:rPr>
              <w:t>21.33.1 Maçonneries de parement en pierre de taille CCTB 01.04</w:t>
            </w:r>
            <w:r w:rsidR="00FD58BF">
              <w:rPr>
                <w:noProof/>
                <w:webHidden/>
              </w:rPr>
              <w:tab/>
            </w:r>
            <w:r w:rsidR="00FD58BF">
              <w:rPr>
                <w:noProof/>
                <w:webHidden/>
              </w:rPr>
              <w:fldChar w:fldCharType="begin"/>
            </w:r>
            <w:r w:rsidR="00FD58BF">
              <w:rPr>
                <w:noProof/>
                <w:webHidden/>
              </w:rPr>
              <w:instrText xml:space="preserve"> PAGEREF _Toc178837502 \h </w:instrText>
            </w:r>
            <w:r w:rsidR="00FD58BF">
              <w:rPr>
                <w:noProof/>
                <w:webHidden/>
              </w:rPr>
            </w:r>
            <w:r w:rsidR="00FD58BF">
              <w:rPr>
                <w:noProof/>
                <w:webHidden/>
              </w:rPr>
              <w:fldChar w:fldCharType="separate"/>
            </w:r>
            <w:r w:rsidR="00FD58BF">
              <w:rPr>
                <w:noProof/>
                <w:webHidden/>
              </w:rPr>
              <w:t>368</w:t>
            </w:r>
            <w:r w:rsidR="00FD58BF">
              <w:rPr>
                <w:noProof/>
                <w:webHidden/>
              </w:rPr>
              <w:fldChar w:fldCharType="end"/>
            </w:r>
          </w:hyperlink>
        </w:p>
        <w:p w14:paraId="57DB3771" w14:textId="3662A8C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3" w:history="1">
            <w:r w:rsidR="00FD58BF" w:rsidRPr="003004E5">
              <w:rPr>
                <w:rStyle w:val="Lienhypertexte"/>
                <w:noProof/>
              </w:rPr>
              <w:t>21.33.1a Maçonneries de parement en petit granit - pierre bleue CCTB 01.11</w:t>
            </w:r>
            <w:r w:rsidR="00FD58BF">
              <w:rPr>
                <w:noProof/>
                <w:webHidden/>
              </w:rPr>
              <w:tab/>
            </w:r>
            <w:r w:rsidR="00FD58BF">
              <w:rPr>
                <w:noProof/>
                <w:webHidden/>
              </w:rPr>
              <w:fldChar w:fldCharType="begin"/>
            </w:r>
            <w:r w:rsidR="00FD58BF">
              <w:rPr>
                <w:noProof/>
                <w:webHidden/>
              </w:rPr>
              <w:instrText xml:space="preserve"> PAGEREF _Toc178837503 \h </w:instrText>
            </w:r>
            <w:r w:rsidR="00FD58BF">
              <w:rPr>
                <w:noProof/>
                <w:webHidden/>
              </w:rPr>
            </w:r>
            <w:r w:rsidR="00FD58BF">
              <w:rPr>
                <w:noProof/>
                <w:webHidden/>
              </w:rPr>
              <w:fldChar w:fldCharType="separate"/>
            </w:r>
            <w:r w:rsidR="00FD58BF">
              <w:rPr>
                <w:noProof/>
                <w:webHidden/>
              </w:rPr>
              <w:t>368</w:t>
            </w:r>
            <w:r w:rsidR="00FD58BF">
              <w:rPr>
                <w:noProof/>
                <w:webHidden/>
              </w:rPr>
              <w:fldChar w:fldCharType="end"/>
            </w:r>
          </w:hyperlink>
        </w:p>
        <w:p w14:paraId="0FEAC7B7" w14:textId="00EE793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4" w:history="1">
            <w:r w:rsidR="00FD58BF" w:rsidRPr="003004E5">
              <w:rPr>
                <w:rStyle w:val="Lienhypertexte"/>
                <w:noProof/>
              </w:rPr>
              <w:t>21.33.1b Maçonneries de parement en pierre calcaire CCTB 01.11</w:t>
            </w:r>
            <w:r w:rsidR="00FD58BF">
              <w:rPr>
                <w:noProof/>
                <w:webHidden/>
              </w:rPr>
              <w:tab/>
            </w:r>
            <w:r w:rsidR="00FD58BF">
              <w:rPr>
                <w:noProof/>
                <w:webHidden/>
              </w:rPr>
              <w:fldChar w:fldCharType="begin"/>
            </w:r>
            <w:r w:rsidR="00FD58BF">
              <w:rPr>
                <w:noProof/>
                <w:webHidden/>
              </w:rPr>
              <w:instrText xml:space="preserve"> PAGEREF _Toc178837504 \h </w:instrText>
            </w:r>
            <w:r w:rsidR="00FD58BF">
              <w:rPr>
                <w:noProof/>
                <w:webHidden/>
              </w:rPr>
            </w:r>
            <w:r w:rsidR="00FD58BF">
              <w:rPr>
                <w:noProof/>
                <w:webHidden/>
              </w:rPr>
              <w:fldChar w:fldCharType="separate"/>
            </w:r>
            <w:r w:rsidR="00FD58BF">
              <w:rPr>
                <w:noProof/>
                <w:webHidden/>
              </w:rPr>
              <w:t>370</w:t>
            </w:r>
            <w:r w:rsidR="00FD58BF">
              <w:rPr>
                <w:noProof/>
                <w:webHidden/>
              </w:rPr>
              <w:fldChar w:fldCharType="end"/>
            </w:r>
          </w:hyperlink>
        </w:p>
        <w:p w14:paraId="3CFC6CE8" w14:textId="69887D2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05" w:history="1">
            <w:r w:rsidR="00FD58BF" w:rsidRPr="003004E5">
              <w:rPr>
                <w:rStyle w:val="Lienhypertexte"/>
                <w:noProof/>
              </w:rPr>
              <w:t>21.33.2 Maçonneries de parement en moellons de pierre calcaire CCTB 01.02</w:t>
            </w:r>
            <w:r w:rsidR="00FD58BF">
              <w:rPr>
                <w:noProof/>
                <w:webHidden/>
              </w:rPr>
              <w:tab/>
            </w:r>
            <w:r w:rsidR="00FD58BF">
              <w:rPr>
                <w:noProof/>
                <w:webHidden/>
              </w:rPr>
              <w:fldChar w:fldCharType="begin"/>
            </w:r>
            <w:r w:rsidR="00FD58BF">
              <w:rPr>
                <w:noProof/>
                <w:webHidden/>
              </w:rPr>
              <w:instrText xml:space="preserve"> PAGEREF _Toc178837505 \h </w:instrText>
            </w:r>
            <w:r w:rsidR="00FD58BF">
              <w:rPr>
                <w:noProof/>
                <w:webHidden/>
              </w:rPr>
            </w:r>
            <w:r w:rsidR="00FD58BF">
              <w:rPr>
                <w:noProof/>
                <w:webHidden/>
              </w:rPr>
              <w:fldChar w:fldCharType="separate"/>
            </w:r>
            <w:r w:rsidR="00FD58BF">
              <w:rPr>
                <w:noProof/>
                <w:webHidden/>
              </w:rPr>
              <w:t>371</w:t>
            </w:r>
            <w:r w:rsidR="00FD58BF">
              <w:rPr>
                <w:noProof/>
                <w:webHidden/>
              </w:rPr>
              <w:fldChar w:fldCharType="end"/>
            </w:r>
          </w:hyperlink>
        </w:p>
        <w:p w14:paraId="3AEAC750" w14:textId="29EE3E6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6" w:history="1">
            <w:r w:rsidR="00FD58BF" w:rsidRPr="003004E5">
              <w:rPr>
                <w:rStyle w:val="Lienhypertexte"/>
                <w:noProof/>
              </w:rPr>
              <w:t>21.33.2a Maçonneries de parement en moellons de pierre bleue CCTB 01.11</w:t>
            </w:r>
            <w:r w:rsidR="00FD58BF">
              <w:rPr>
                <w:noProof/>
                <w:webHidden/>
              </w:rPr>
              <w:tab/>
            </w:r>
            <w:r w:rsidR="00FD58BF">
              <w:rPr>
                <w:noProof/>
                <w:webHidden/>
              </w:rPr>
              <w:fldChar w:fldCharType="begin"/>
            </w:r>
            <w:r w:rsidR="00FD58BF">
              <w:rPr>
                <w:noProof/>
                <w:webHidden/>
              </w:rPr>
              <w:instrText xml:space="preserve"> PAGEREF _Toc178837506 \h </w:instrText>
            </w:r>
            <w:r w:rsidR="00FD58BF">
              <w:rPr>
                <w:noProof/>
                <w:webHidden/>
              </w:rPr>
            </w:r>
            <w:r w:rsidR="00FD58BF">
              <w:rPr>
                <w:noProof/>
                <w:webHidden/>
              </w:rPr>
              <w:fldChar w:fldCharType="separate"/>
            </w:r>
            <w:r w:rsidR="00FD58BF">
              <w:rPr>
                <w:noProof/>
                <w:webHidden/>
              </w:rPr>
              <w:t>371</w:t>
            </w:r>
            <w:r w:rsidR="00FD58BF">
              <w:rPr>
                <w:noProof/>
                <w:webHidden/>
              </w:rPr>
              <w:fldChar w:fldCharType="end"/>
            </w:r>
          </w:hyperlink>
        </w:p>
        <w:p w14:paraId="5BED2965" w14:textId="60B2AB2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7" w:history="1">
            <w:r w:rsidR="00FD58BF" w:rsidRPr="003004E5">
              <w:rPr>
                <w:rStyle w:val="Lienhypertexte"/>
                <w:noProof/>
              </w:rPr>
              <w:t>21.33.2b Maçonneries de parement en moellons de pierre blanche CCTB 01.11</w:t>
            </w:r>
            <w:r w:rsidR="00FD58BF">
              <w:rPr>
                <w:noProof/>
                <w:webHidden/>
              </w:rPr>
              <w:tab/>
            </w:r>
            <w:r w:rsidR="00FD58BF">
              <w:rPr>
                <w:noProof/>
                <w:webHidden/>
              </w:rPr>
              <w:fldChar w:fldCharType="begin"/>
            </w:r>
            <w:r w:rsidR="00FD58BF">
              <w:rPr>
                <w:noProof/>
                <w:webHidden/>
              </w:rPr>
              <w:instrText xml:space="preserve"> PAGEREF _Toc178837507 \h </w:instrText>
            </w:r>
            <w:r w:rsidR="00FD58BF">
              <w:rPr>
                <w:noProof/>
                <w:webHidden/>
              </w:rPr>
            </w:r>
            <w:r w:rsidR="00FD58BF">
              <w:rPr>
                <w:noProof/>
                <w:webHidden/>
              </w:rPr>
              <w:fldChar w:fldCharType="separate"/>
            </w:r>
            <w:r w:rsidR="00FD58BF">
              <w:rPr>
                <w:noProof/>
                <w:webHidden/>
              </w:rPr>
              <w:t>372</w:t>
            </w:r>
            <w:r w:rsidR="00FD58BF">
              <w:rPr>
                <w:noProof/>
                <w:webHidden/>
              </w:rPr>
              <w:fldChar w:fldCharType="end"/>
            </w:r>
          </w:hyperlink>
        </w:p>
        <w:p w14:paraId="3459DFA9" w14:textId="23522B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8" w:history="1">
            <w:r w:rsidR="00FD58BF" w:rsidRPr="003004E5">
              <w:rPr>
                <w:rStyle w:val="Lienhypertexte"/>
                <w:noProof/>
              </w:rPr>
              <w:t>21.33.2c Maçonneries de parement en moellons de marbre CCTB 01.11</w:t>
            </w:r>
            <w:r w:rsidR="00FD58BF">
              <w:rPr>
                <w:noProof/>
                <w:webHidden/>
              </w:rPr>
              <w:tab/>
            </w:r>
            <w:r w:rsidR="00FD58BF">
              <w:rPr>
                <w:noProof/>
                <w:webHidden/>
              </w:rPr>
              <w:fldChar w:fldCharType="begin"/>
            </w:r>
            <w:r w:rsidR="00FD58BF">
              <w:rPr>
                <w:noProof/>
                <w:webHidden/>
              </w:rPr>
              <w:instrText xml:space="preserve"> PAGEREF _Toc178837508 \h </w:instrText>
            </w:r>
            <w:r w:rsidR="00FD58BF">
              <w:rPr>
                <w:noProof/>
                <w:webHidden/>
              </w:rPr>
            </w:r>
            <w:r w:rsidR="00FD58BF">
              <w:rPr>
                <w:noProof/>
                <w:webHidden/>
              </w:rPr>
              <w:fldChar w:fldCharType="separate"/>
            </w:r>
            <w:r w:rsidR="00FD58BF">
              <w:rPr>
                <w:noProof/>
                <w:webHidden/>
              </w:rPr>
              <w:t>373</w:t>
            </w:r>
            <w:r w:rsidR="00FD58BF">
              <w:rPr>
                <w:noProof/>
                <w:webHidden/>
              </w:rPr>
              <w:fldChar w:fldCharType="end"/>
            </w:r>
          </w:hyperlink>
        </w:p>
        <w:p w14:paraId="76E6134F" w14:textId="41CE300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09" w:history="1">
            <w:r w:rsidR="00FD58BF" w:rsidRPr="003004E5">
              <w:rPr>
                <w:rStyle w:val="Lienhypertexte"/>
                <w:noProof/>
              </w:rPr>
              <w:t>21.33.3 Maçonneries de parement en moellons de pierres siliceuses CCTB 01.02</w:t>
            </w:r>
            <w:r w:rsidR="00FD58BF">
              <w:rPr>
                <w:noProof/>
                <w:webHidden/>
              </w:rPr>
              <w:tab/>
            </w:r>
            <w:r w:rsidR="00FD58BF">
              <w:rPr>
                <w:noProof/>
                <w:webHidden/>
              </w:rPr>
              <w:fldChar w:fldCharType="begin"/>
            </w:r>
            <w:r w:rsidR="00FD58BF">
              <w:rPr>
                <w:noProof/>
                <w:webHidden/>
              </w:rPr>
              <w:instrText xml:space="preserve"> PAGEREF _Toc178837509 \h </w:instrText>
            </w:r>
            <w:r w:rsidR="00FD58BF">
              <w:rPr>
                <w:noProof/>
                <w:webHidden/>
              </w:rPr>
            </w:r>
            <w:r w:rsidR="00FD58BF">
              <w:rPr>
                <w:noProof/>
                <w:webHidden/>
              </w:rPr>
              <w:fldChar w:fldCharType="separate"/>
            </w:r>
            <w:r w:rsidR="00FD58BF">
              <w:rPr>
                <w:noProof/>
                <w:webHidden/>
              </w:rPr>
              <w:t>374</w:t>
            </w:r>
            <w:r w:rsidR="00FD58BF">
              <w:rPr>
                <w:noProof/>
                <w:webHidden/>
              </w:rPr>
              <w:fldChar w:fldCharType="end"/>
            </w:r>
          </w:hyperlink>
        </w:p>
        <w:p w14:paraId="737FB163" w14:textId="5940F52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0" w:history="1">
            <w:r w:rsidR="00FD58BF" w:rsidRPr="003004E5">
              <w:rPr>
                <w:rStyle w:val="Lienhypertexte"/>
                <w:noProof/>
              </w:rPr>
              <w:t>21.33.3a Maçonneries de parement en moellons d'arkose CCTB 01.11</w:t>
            </w:r>
            <w:r w:rsidR="00FD58BF">
              <w:rPr>
                <w:noProof/>
                <w:webHidden/>
              </w:rPr>
              <w:tab/>
            </w:r>
            <w:r w:rsidR="00FD58BF">
              <w:rPr>
                <w:noProof/>
                <w:webHidden/>
              </w:rPr>
              <w:fldChar w:fldCharType="begin"/>
            </w:r>
            <w:r w:rsidR="00FD58BF">
              <w:rPr>
                <w:noProof/>
                <w:webHidden/>
              </w:rPr>
              <w:instrText xml:space="preserve"> PAGEREF _Toc178837510 \h </w:instrText>
            </w:r>
            <w:r w:rsidR="00FD58BF">
              <w:rPr>
                <w:noProof/>
                <w:webHidden/>
              </w:rPr>
            </w:r>
            <w:r w:rsidR="00FD58BF">
              <w:rPr>
                <w:noProof/>
                <w:webHidden/>
              </w:rPr>
              <w:fldChar w:fldCharType="separate"/>
            </w:r>
            <w:r w:rsidR="00FD58BF">
              <w:rPr>
                <w:noProof/>
                <w:webHidden/>
              </w:rPr>
              <w:t>374</w:t>
            </w:r>
            <w:r w:rsidR="00FD58BF">
              <w:rPr>
                <w:noProof/>
                <w:webHidden/>
              </w:rPr>
              <w:fldChar w:fldCharType="end"/>
            </w:r>
          </w:hyperlink>
        </w:p>
        <w:p w14:paraId="04C50E31" w14:textId="3B86D70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1" w:history="1">
            <w:r w:rsidR="00FD58BF" w:rsidRPr="003004E5">
              <w:rPr>
                <w:rStyle w:val="Lienhypertexte"/>
                <w:noProof/>
              </w:rPr>
              <w:t>21.33.3b Maçonneries de parement en moellons de schiste CCTB 01.11</w:t>
            </w:r>
            <w:r w:rsidR="00FD58BF">
              <w:rPr>
                <w:noProof/>
                <w:webHidden/>
              </w:rPr>
              <w:tab/>
            </w:r>
            <w:r w:rsidR="00FD58BF">
              <w:rPr>
                <w:noProof/>
                <w:webHidden/>
              </w:rPr>
              <w:fldChar w:fldCharType="begin"/>
            </w:r>
            <w:r w:rsidR="00FD58BF">
              <w:rPr>
                <w:noProof/>
                <w:webHidden/>
              </w:rPr>
              <w:instrText xml:space="preserve"> PAGEREF _Toc178837511 \h </w:instrText>
            </w:r>
            <w:r w:rsidR="00FD58BF">
              <w:rPr>
                <w:noProof/>
                <w:webHidden/>
              </w:rPr>
            </w:r>
            <w:r w:rsidR="00FD58BF">
              <w:rPr>
                <w:noProof/>
                <w:webHidden/>
              </w:rPr>
              <w:fldChar w:fldCharType="separate"/>
            </w:r>
            <w:r w:rsidR="00FD58BF">
              <w:rPr>
                <w:noProof/>
                <w:webHidden/>
              </w:rPr>
              <w:t>375</w:t>
            </w:r>
            <w:r w:rsidR="00FD58BF">
              <w:rPr>
                <w:noProof/>
                <w:webHidden/>
              </w:rPr>
              <w:fldChar w:fldCharType="end"/>
            </w:r>
          </w:hyperlink>
        </w:p>
        <w:p w14:paraId="16BE1E95" w14:textId="0E8D89B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2" w:history="1">
            <w:r w:rsidR="00FD58BF" w:rsidRPr="003004E5">
              <w:rPr>
                <w:rStyle w:val="Lienhypertexte"/>
                <w:noProof/>
              </w:rPr>
              <w:t>21.33.3c Maçonneries de parement en moellons de grès CCTB 01.11</w:t>
            </w:r>
            <w:r w:rsidR="00FD58BF">
              <w:rPr>
                <w:noProof/>
                <w:webHidden/>
              </w:rPr>
              <w:tab/>
            </w:r>
            <w:r w:rsidR="00FD58BF">
              <w:rPr>
                <w:noProof/>
                <w:webHidden/>
              </w:rPr>
              <w:fldChar w:fldCharType="begin"/>
            </w:r>
            <w:r w:rsidR="00FD58BF">
              <w:rPr>
                <w:noProof/>
                <w:webHidden/>
              </w:rPr>
              <w:instrText xml:space="preserve"> PAGEREF _Toc178837512 \h </w:instrText>
            </w:r>
            <w:r w:rsidR="00FD58BF">
              <w:rPr>
                <w:noProof/>
                <w:webHidden/>
              </w:rPr>
            </w:r>
            <w:r w:rsidR="00FD58BF">
              <w:rPr>
                <w:noProof/>
                <w:webHidden/>
              </w:rPr>
              <w:fldChar w:fldCharType="separate"/>
            </w:r>
            <w:r w:rsidR="00FD58BF">
              <w:rPr>
                <w:noProof/>
                <w:webHidden/>
              </w:rPr>
              <w:t>375</w:t>
            </w:r>
            <w:r w:rsidR="00FD58BF">
              <w:rPr>
                <w:noProof/>
                <w:webHidden/>
              </w:rPr>
              <w:fldChar w:fldCharType="end"/>
            </w:r>
          </w:hyperlink>
        </w:p>
        <w:p w14:paraId="16A7F720" w14:textId="558315D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3" w:history="1">
            <w:r w:rsidR="00FD58BF" w:rsidRPr="003004E5">
              <w:rPr>
                <w:rStyle w:val="Lienhypertexte"/>
                <w:noProof/>
              </w:rPr>
              <w:t>21.33.3d Maçonneries de parement en moellons de quartzite CCTB 01.11</w:t>
            </w:r>
            <w:r w:rsidR="00FD58BF">
              <w:rPr>
                <w:noProof/>
                <w:webHidden/>
              </w:rPr>
              <w:tab/>
            </w:r>
            <w:r w:rsidR="00FD58BF">
              <w:rPr>
                <w:noProof/>
                <w:webHidden/>
              </w:rPr>
              <w:fldChar w:fldCharType="begin"/>
            </w:r>
            <w:r w:rsidR="00FD58BF">
              <w:rPr>
                <w:noProof/>
                <w:webHidden/>
              </w:rPr>
              <w:instrText xml:space="preserve"> PAGEREF _Toc178837513 \h </w:instrText>
            </w:r>
            <w:r w:rsidR="00FD58BF">
              <w:rPr>
                <w:noProof/>
                <w:webHidden/>
              </w:rPr>
            </w:r>
            <w:r w:rsidR="00FD58BF">
              <w:rPr>
                <w:noProof/>
                <w:webHidden/>
              </w:rPr>
              <w:fldChar w:fldCharType="separate"/>
            </w:r>
            <w:r w:rsidR="00FD58BF">
              <w:rPr>
                <w:noProof/>
                <w:webHidden/>
              </w:rPr>
              <w:t>376</w:t>
            </w:r>
            <w:r w:rsidR="00FD58BF">
              <w:rPr>
                <w:noProof/>
                <w:webHidden/>
              </w:rPr>
              <w:fldChar w:fldCharType="end"/>
            </w:r>
          </w:hyperlink>
        </w:p>
        <w:p w14:paraId="44C0348E" w14:textId="6C0F3BC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4" w:history="1">
            <w:r w:rsidR="00FD58BF" w:rsidRPr="003004E5">
              <w:rPr>
                <w:rStyle w:val="Lienhypertexte"/>
                <w:noProof/>
              </w:rPr>
              <w:t>21.33.3e Maçonneries de parement en moellons de silex CCTB 01.11</w:t>
            </w:r>
            <w:r w:rsidR="00FD58BF">
              <w:rPr>
                <w:noProof/>
                <w:webHidden/>
              </w:rPr>
              <w:tab/>
            </w:r>
            <w:r w:rsidR="00FD58BF">
              <w:rPr>
                <w:noProof/>
                <w:webHidden/>
              </w:rPr>
              <w:fldChar w:fldCharType="begin"/>
            </w:r>
            <w:r w:rsidR="00FD58BF">
              <w:rPr>
                <w:noProof/>
                <w:webHidden/>
              </w:rPr>
              <w:instrText xml:space="preserve"> PAGEREF _Toc178837514 \h </w:instrText>
            </w:r>
            <w:r w:rsidR="00FD58BF">
              <w:rPr>
                <w:noProof/>
                <w:webHidden/>
              </w:rPr>
            </w:r>
            <w:r w:rsidR="00FD58BF">
              <w:rPr>
                <w:noProof/>
                <w:webHidden/>
              </w:rPr>
              <w:fldChar w:fldCharType="separate"/>
            </w:r>
            <w:r w:rsidR="00FD58BF">
              <w:rPr>
                <w:noProof/>
                <w:webHidden/>
              </w:rPr>
              <w:t>377</w:t>
            </w:r>
            <w:r w:rsidR="00FD58BF">
              <w:rPr>
                <w:noProof/>
                <w:webHidden/>
              </w:rPr>
              <w:fldChar w:fldCharType="end"/>
            </w:r>
          </w:hyperlink>
        </w:p>
        <w:p w14:paraId="1CAD12B1" w14:textId="579D874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15" w:history="1">
            <w:r w:rsidR="00FD58BF" w:rsidRPr="003004E5">
              <w:rPr>
                <w:rStyle w:val="Lienhypertexte"/>
                <w:noProof/>
              </w:rPr>
              <w:t>21.34 Maçonneries de parement en grands éléments CCTB 01.04</w:t>
            </w:r>
            <w:r w:rsidR="00FD58BF">
              <w:rPr>
                <w:noProof/>
                <w:webHidden/>
              </w:rPr>
              <w:tab/>
            </w:r>
            <w:r w:rsidR="00FD58BF">
              <w:rPr>
                <w:noProof/>
                <w:webHidden/>
              </w:rPr>
              <w:fldChar w:fldCharType="begin"/>
            </w:r>
            <w:r w:rsidR="00FD58BF">
              <w:rPr>
                <w:noProof/>
                <w:webHidden/>
              </w:rPr>
              <w:instrText xml:space="preserve"> PAGEREF _Toc178837515 \h </w:instrText>
            </w:r>
            <w:r w:rsidR="00FD58BF">
              <w:rPr>
                <w:noProof/>
                <w:webHidden/>
              </w:rPr>
            </w:r>
            <w:r w:rsidR="00FD58BF">
              <w:rPr>
                <w:noProof/>
                <w:webHidden/>
              </w:rPr>
              <w:fldChar w:fldCharType="separate"/>
            </w:r>
            <w:r w:rsidR="00FD58BF">
              <w:rPr>
                <w:noProof/>
                <w:webHidden/>
              </w:rPr>
              <w:t>378</w:t>
            </w:r>
            <w:r w:rsidR="00FD58BF">
              <w:rPr>
                <w:noProof/>
                <w:webHidden/>
              </w:rPr>
              <w:fldChar w:fldCharType="end"/>
            </w:r>
          </w:hyperlink>
        </w:p>
        <w:p w14:paraId="36B2C161" w14:textId="733D1EF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16" w:history="1">
            <w:r w:rsidR="00FD58BF" w:rsidRPr="003004E5">
              <w:rPr>
                <w:rStyle w:val="Lienhypertexte"/>
                <w:noProof/>
              </w:rPr>
              <w:t>21.34.1 Maçonneries de parement préfabriquées CCTB 01.04</w:t>
            </w:r>
            <w:r w:rsidR="00FD58BF">
              <w:rPr>
                <w:noProof/>
                <w:webHidden/>
              </w:rPr>
              <w:tab/>
            </w:r>
            <w:r w:rsidR="00FD58BF">
              <w:rPr>
                <w:noProof/>
                <w:webHidden/>
              </w:rPr>
              <w:fldChar w:fldCharType="begin"/>
            </w:r>
            <w:r w:rsidR="00FD58BF">
              <w:rPr>
                <w:noProof/>
                <w:webHidden/>
              </w:rPr>
              <w:instrText xml:space="preserve"> PAGEREF _Toc178837516 \h </w:instrText>
            </w:r>
            <w:r w:rsidR="00FD58BF">
              <w:rPr>
                <w:noProof/>
                <w:webHidden/>
              </w:rPr>
            </w:r>
            <w:r w:rsidR="00FD58BF">
              <w:rPr>
                <w:noProof/>
                <w:webHidden/>
              </w:rPr>
              <w:fldChar w:fldCharType="separate"/>
            </w:r>
            <w:r w:rsidR="00FD58BF">
              <w:rPr>
                <w:noProof/>
                <w:webHidden/>
              </w:rPr>
              <w:t>378</w:t>
            </w:r>
            <w:r w:rsidR="00FD58BF">
              <w:rPr>
                <w:noProof/>
                <w:webHidden/>
              </w:rPr>
              <w:fldChar w:fldCharType="end"/>
            </w:r>
          </w:hyperlink>
        </w:p>
        <w:p w14:paraId="02B17F1B" w14:textId="245A53B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7" w:history="1">
            <w:r w:rsidR="00FD58BF" w:rsidRPr="003004E5">
              <w:rPr>
                <w:rStyle w:val="Lienhypertexte"/>
                <w:noProof/>
              </w:rPr>
              <w:t>21.34.1a Maçonneries de parement préfabriquées en blocs de terre cuite CCTB 01.11</w:t>
            </w:r>
            <w:r w:rsidR="00FD58BF">
              <w:rPr>
                <w:noProof/>
                <w:webHidden/>
              </w:rPr>
              <w:tab/>
            </w:r>
            <w:r w:rsidR="00FD58BF">
              <w:rPr>
                <w:noProof/>
                <w:webHidden/>
              </w:rPr>
              <w:fldChar w:fldCharType="begin"/>
            </w:r>
            <w:r w:rsidR="00FD58BF">
              <w:rPr>
                <w:noProof/>
                <w:webHidden/>
              </w:rPr>
              <w:instrText xml:space="preserve"> PAGEREF _Toc178837517 \h </w:instrText>
            </w:r>
            <w:r w:rsidR="00FD58BF">
              <w:rPr>
                <w:noProof/>
                <w:webHidden/>
              </w:rPr>
            </w:r>
            <w:r w:rsidR="00FD58BF">
              <w:rPr>
                <w:noProof/>
                <w:webHidden/>
              </w:rPr>
              <w:fldChar w:fldCharType="separate"/>
            </w:r>
            <w:r w:rsidR="00FD58BF">
              <w:rPr>
                <w:noProof/>
                <w:webHidden/>
              </w:rPr>
              <w:t>378</w:t>
            </w:r>
            <w:r w:rsidR="00FD58BF">
              <w:rPr>
                <w:noProof/>
                <w:webHidden/>
              </w:rPr>
              <w:fldChar w:fldCharType="end"/>
            </w:r>
          </w:hyperlink>
        </w:p>
        <w:p w14:paraId="6E65F29E" w14:textId="2F4F33E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8" w:history="1">
            <w:r w:rsidR="00FD58BF" w:rsidRPr="003004E5">
              <w:rPr>
                <w:rStyle w:val="Lienhypertexte"/>
                <w:noProof/>
              </w:rPr>
              <w:t>21.34.1b Maçonneries de parement préfabriquées en blocs de béton CCTB 01.11</w:t>
            </w:r>
            <w:r w:rsidR="00FD58BF">
              <w:rPr>
                <w:noProof/>
                <w:webHidden/>
              </w:rPr>
              <w:tab/>
            </w:r>
            <w:r w:rsidR="00FD58BF">
              <w:rPr>
                <w:noProof/>
                <w:webHidden/>
              </w:rPr>
              <w:fldChar w:fldCharType="begin"/>
            </w:r>
            <w:r w:rsidR="00FD58BF">
              <w:rPr>
                <w:noProof/>
                <w:webHidden/>
              </w:rPr>
              <w:instrText xml:space="preserve"> PAGEREF _Toc178837518 \h </w:instrText>
            </w:r>
            <w:r w:rsidR="00FD58BF">
              <w:rPr>
                <w:noProof/>
                <w:webHidden/>
              </w:rPr>
            </w:r>
            <w:r w:rsidR="00FD58BF">
              <w:rPr>
                <w:noProof/>
                <w:webHidden/>
              </w:rPr>
              <w:fldChar w:fldCharType="separate"/>
            </w:r>
            <w:r w:rsidR="00FD58BF">
              <w:rPr>
                <w:noProof/>
                <w:webHidden/>
              </w:rPr>
              <w:t>379</w:t>
            </w:r>
            <w:r w:rsidR="00FD58BF">
              <w:rPr>
                <w:noProof/>
                <w:webHidden/>
              </w:rPr>
              <w:fldChar w:fldCharType="end"/>
            </w:r>
          </w:hyperlink>
        </w:p>
        <w:p w14:paraId="58198000" w14:textId="7A06EE3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9" w:history="1">
            <w:r w:rsidR="00FD58BF" w:rsidRPr="003004E5">
              <w:rPr>
                <w:rStyle w:val="Lienhypertexte"/>
                <w:noProof/>
              </w:rPr>
              <w:t>21.34.1c Maçonneries de parement préfabriquées en blocs de béton d'argile expansée CCTB 01.11</w:t>
            </w:r>
            <w:r w:rsidR="00FD58BF">
              <w:rPr>
                <w:noProof/>
                <w:webHidden/>
              </w:rPr>
              <w:tab/>
            </w:r>
            <w:r w:rsidR="00FD58BF">
              <w:rPr>
                <w:noProof/>
                <w:webHidden/>
              </w:rPr>
              <w:fldChar w:fldCharType="begin"/>
            </w:r>
            <w:r w:rsidR="00FD58BF">
              <w:rPr>
                <w:noProof/>
                <w:webHidden/>
              </w:rPr>
              <w:instrText xml:space="preserve"> PAGEREF _Toc178837519 \h </w:instrText>
            </w:r>
            <w:r w:rsidR="00FD58BF">
              <w:rPr>
                <w:noProof/>
                <w:webHidden/>
              </w:rPr>
            </w:r>
            <w:r w:rsidR="00FD58BF">
              <w:rPr>
                <w:noProof/>
                <w:webHidden/>
              </w:rPr>
              <w:fldChar w:fldCharType="separate"/>
            </w:r>
            <w:r w:rsidR="00FD58BF">
              <w:rPr>
                <w:noProof/>
                <w:webHidden/>
              </w:rPr>
              <w:t>380</w:t>
            </w:r>
            <w:r w:rsidR="00FD58BF">
              <w:rPr>
                <w:noProof/>
                <w:webHidden/>
              </w:rPr>
              <w:fldChar w:fldCharType="end"/>
            </w:r>
          </w:hyperlink>
        </w:p>
        <w:p w14:paraId="6550606E" w14:textId="6152D05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0" w:history="1">
            <w:r w:rsidR="00FD58BF" w:rsidRPr="003004E5">
              <w:rPr>
                <w:rStyle w:val="Lienhypertexte"/>
                <w:noProof/>
              </w:rPr>
              <w:t>21.34.1d Maçonneries de parement préfabriquées en blocs de silico-calcaire CCTB 01.11</w:t>
            </w:r>
            <w:r w:rsidR="00FD58BF">
              <w:rPr>
                <w:noProof/>
                <w:webHidden/>
              </w:rPr>
              <w:tab/>
            </w:r>
            <w:r w:rsidR="00FD58BF">
              <w:rPr>
                <w:noProof/>
                <w:webHidden/>
              </w:rPr>
              <w:fldChar w:fldCharType="begin"/>
            </w:r>
            <w:r w:rsidR="00FD58BF">
              <w:rPr>
                <w:noProof/>
                <w:webHidden/>
              </w:rPr>
              <w:instrText xml:space="preserve"> PAGEREF _Toc178837520 \h </w:instrText>
            </w:r>
            <w:r w:rsidR="00FD58BF">
              <w:rPr>
                <w:noProof/>
                <w:webHidden/>
              </w:rPr>
            </w:r>
            <w:r w:rsidR="00FD58BF">
              <w:rPr>
                <w:noProof/>
                <w:webHidden/>
              </w:rPr>
              <w:fldChar w:fldCharType="separate"/>
            </w:r>
            <w:r w:rsidR="00FD58BF">
              <w:rPr>
                <w:noProof/>
                <w:webHidden/>
              </w:rPr>
              <w:t>382</w:t>
            </w:r>
            <w:r w:rsidR="00FD58BF">
              <w:rPr>
                <w:noProof/>
                <w:webHidden/>
              </w:rPr>
              <w:fldChar w:fldCharType="end"/>
            </w:r>
          </w:hyperlink>
        </w:p>
        <w:p w14:paraId="57905365" w14:textId="33421BE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21" w:history="1">
            <w:r w:rsidR="00FD58BF" w:rsidRPr="003004E5">
              <w:rPr>
                <w:rStyle w:val="Lienhypertexte"/>
                <w:noProof/>
              </w:rPr>
              <w:t>21.35 Maçonneries de parement en blocs de verre CCTB 01.04</w:t>
            </w:r>
            <w:r w:rsidR="00FD58BF">
              <w:rPr>
                <w:noProof/>
                <w:webHidden/>
              </w:rPr>
              <w:tab/>
            </w:r>
            <w:r w:rsidR="00FD58BF">
              <w:rPr>
                <w:noProof/>
                <w:webHidden/>
              </w:rPr>
              <w:fldChar w:fldCharType="begin"/>
            </w:r>
            <w:r w:rsidR="00FD58BF">
              <w:rPr>
                <w:noProof/>
                <w:webHidden/>
              </w:rPr>
              <w:instrText xml:space="preserve"> PAGEREF _Toc178837521 \h </w:instrText>
            </w:r>
            <w:r w:rsidR="00FD58BF">
              <w:rPr>
                <w:noProof/>
                <w:webHidden/>
              </w:rPr>
            </w:r>
            <w:r w:rsidR="00FD58BF">
              <w:rPr>
                <w:noProof/>
                <w:webHidden/>
              </w:rPr>
              <w:fldChar w:fldCharType="separate"/>
            </w:r>
            <w:r w:rsidR="00FD58BF">
              <w:rPr>
                <w:noProof/>
                <w:webHidden/>
              </w:rPr>
              <w:t>383</w:t>
            </w:r>
            <w:r w:rsidR="00FD58BF">
              <w:rPr>
                <w:noProof/>
                <w:webHidden/>
              </w:rPr>
              <w:fldChar w:fldCharType="end"/>
            </w:r>
          </w:hyperlink>
        </w:p>
        <w:p w14:paraId="56DC380F" w14:textId="3A16F33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22" w:history="1">
            <w:r w:rsidR="00FD58BF" w:rsidRPr="003004E5">
              <w:rPr>
                <w:rStyle w:val="Lienhypertexte"/>
                <w:noProof/>
              </w:rPr>
              <w:t>21.35.1 Maçonneries de parement en blocs de verre CCTB 01.05</w:t>
            </w:r>
            <w:r w:rsidR="00FD58BF">
              <w:rPr>
                <w:noProof/>
                <w:webHidden/>
              </w:rPr>
              <w:tab/>
            </w:r>
            <w:r w:rsidR="00FD58BF">
              <w:rPr>
                <w:noProof/>
                <w:webHidden/>
              </w:rPr>
              <w:fldChar w:fldCharType="begin"/>
            </w:r>
            <w:r w:rsidR="00FD58BF">
              <w:rPr>
                <w:noProof/>
                <w:webHidden/>
              </w:rPr>
              <w:instrText xml:space="preserve"> PAGEREF _Toc178837522 \h </w:instrText>
            </w:r>
            <w:r w:rsidR="00FD58BF">
              <w:rPr>
                <w:noProof/>
                <w:webHidden/>
              </w:rPr>
            </w:r>
            <w:r w:rsidR="00FD58BF">
              <w:rPr>
                <w:noProof/>
                <w:webHidden/>
              </w:rPr>
              <w:fldChar w:fldCharType="separate"/>
            </w:r>
            <w:r w:rsidR="00FD58BF">
              <w:rPr>
                <w:noProof/>
                <w:webHidden/>
              </w:rPr>
              <w:t>383</w:t>
            </w:r>
            <w:r w:rsidR="00FD58BF">
              <w:rPr>
                <w:noProof/>
                <w:webHidden/>
              </w:rPr>
              <w:fldChar w:fldCharType="end"/>
            </w:r>
          </w:hyperlink>
        </w:p>
        <w:p w14:paraId="595F86A4" w14:textId="306B1AC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3" w:history="1">
            <w:r w:rsidR="00FD58BF" w:rsidRPr="003004E5">
              <w:rPr>
                <w:rStyle w:val="Lienhypertexte"/>
                <w:noProof/>
              </w:rPr>
              <w:t>21.35.1a Maçonneries de parement en blocs de verre CCTB 01.11</w:t>
            </w:r>
            <w:r w:rsidR="00FD58BF">
              <w:rPr>
                <w:noProof/>
                <w:webHidden/>
              </w:rPr>
              <w:tab/>
            </w:r>
            <w:r w:rsidR="00FD58BF">
              <w:rPr>
                <w:noProof/>
                <w:webHidden/>
              </w:rPr>
              <w:fldChar w:fldCharType="begin"/>
            </w:r>
            <w:r w:rsidR="00FD58BF">
              <w:rPr>
                <w:noProof/>
                <w:webHidden/>
              </w:rPr>
              <w:instrText xml:space="preserve"> PAGEREF _Toc178837523 \h </w:instrText>
            </w:r>
            <w:r w:rsidR="00FD58BF">
              <w:rPr>
                <w:noProof/>
                <w:webHidden/>
              </w:rPr>
            </w:r>
            <w:r w:rsidR="00FD58BF">
              <w:rPr>
                <w:noProof/>
                <w:webHidden/>
              </w:rPr>
              <w:fldChar w:fldCharType="separate"/>
            </w:r>
            <w:r w:rsidR="00FD58BF">
              <w:rPr>
                <w:noProof/>
                <w:webHidden/>
              </w:rPr>
              <w:t>383</w:t>
            </w:r>
            <w:r w:rsidR="00FD58BF">
              <w:rPr>
                <w:noProof/>
                <w:webHidden/>
              </w:rPr>
              <w:fldChar w:fldCharType="end"/>
            </w:r>
          </w:hyperlink>
        </w:p>
        <w:p w14:paraId="40BD30B2" w14:textId="2B8F7B7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4" w:history="1">
            <w:r w:rsidR="00FD58BF" w:rsidRPr="003004E5">
              <w:rPr>
                <w:rStyle w:val="Lienhypertexte"/>
                <w:noProof/>
              </w:rPr>
              <w:t>21.35.1b Maçonneries de parement en panneaux préfabriqués en blocs de verre CCTB 01.11</w:t>
            </w:r>
            <w:r w:rsidR="00FD58BF">
              <w:rPr>
                <w:noProof/>
                <w:webHidden/>
              </w:rPr>
              <w:tab/>
            </w:r>
            <w:r w:rsidR="00FD58BF">
              <w:rPr>
                <w:noProof/>
                <w:webHidden/>
              </w:rPr>
              <w:fldChar w:fldCharType="begin"/>
            </w:r>
            <w:r w:rsidR="00FD58BF">
              <w:rPr>
                <w:noProof/>
                <w:webHidden/>
              </w:rPr>
              <w:instrText xml:space="preserve"> PAGEREF _Toc178837524 \h </w:instrText>
            </w:r>
            <w:r w:rsidR="00FD58BF">
              <w:rPr>
                <w:noProof/>
                <w:webHidden/>
              </w:rPr>
            </w:r>
            <w:r w:rsidR="00FD58BF">
              <w:rPr>
                <w:noProof/>
                <w:webHidden/>
              </w:rPr>
              <w:fldChar w:fldCharType="separate"/>
            </w:r>
            <w:r w:rsidR="00FD58BF">
              <w:rPr>
                <w:noProof/>
                <w:webHidden/>
              </w:rPr>
              <w:t>386</w:t>
            </w:r>
            <w:r w:rsidR="00FD58BF">
              <w:rPr>
                <w:noProof/>
                <w:webHidden/>
              </w:rPr>
              <w:fldChar w:fldCharType="end"/>
            </w:r>
          </w:hyperlink>
        </w:p>
        <w:p w14:paraId="350204D1" w14:textId="4FF747B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25" w:history="1">
            <w:r w:rsidR="00FD58BF" w:rsidRPr="003004E5">
              <w:rPr>
                <w:rStyle w:val="Lienhypertexte"/>
                <w:noProof/>
              </w:rPr>
              <w:t>21.36 Eléments particuliers de façades CCTB 01.11</w:t>
            </w:r>
            <w:r w:rsidR="00FD58BF">
              <w:rPr>
                <w:noProof/>
                <w:webHidden/>
              </w:rPr>
              <w:tab/>
            </w:r>
            <w:r w:rsidR="00FD58BF">
              <w:rPr>
                <w:noProof/>
                <w:webHidden/>
              </w:rPr>
              <w:fldChar w:fldCharType="begin"/>
            </w:r>
            <w:r w:rsidR="00FD58BF">
              <w:rPr>
                <w:noProof/>
                <w:webHidden/>
              </w:rPr>
              <w:instrText xml:space="preserve"> PAGEREF _Toc178837525 \h </w:instrText>
            </w:r>
            <w:r w:rsidR="00FD58BF">
              <w:rPr>
                <w:noProof/>
                <w:webHidden/>
              </w:rPr>
            </w:r>
            <w:r w:rsidR="00FD58BF">
              <w:rPr>
                <w:noProof/>
                <w:webHidden/>
              </w:rPr>
              <w:fldChar w:fldCharType="separate"/>
            </w:r>
            <w:r w:rsidR="00FD58BF">
              <w:rPr>
                <w:noProof/>
                <w:webHidden/>
              </w:rPr>
              <w:t>388</w:t>
            </w:r>
            <w:r w:rsidR="00FD58BF">
              <w:rPr>
                <w:noProof/>
                <w:webHidden/>
              </w:rPr>
              <w:fldChar w:fldCharType="end"/>
            </w:r>
          </w:hyperlink>
        </w:p>
        <w:p w14:paraId="297F8BD6" w14:textId="7E6E33D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26" w:history="1">
            <w:r w:rsidR="00FD58BF" w:rsidRPr="003004E5">
              <w:rPr>
                <w:rStyle w:val="Lienhypertexte"/>
                <w:noProof/>
              </w:rPr>
              <w:t>21.36.1 Seuils CCTB 01.11</w:t>
            </w:r>
            <w:r w:rsidR="00FD58BF">
              <w:rPr>
                <w:noProof/>
                <w:webHidden/>
              </w:rPr>
              <w:tab/>
            </w:r>
            <w:r w:rsidR="00FD58BF">
              <w:rPr>
                <w:noProof/>
                <w:webHidden/>
              </w:rPr>
              <w:fldChar w:fldCharType="begin"/>
            </w:r>
            <w:r w:rsidR="00FD58BF">
              <w:rPr>
                <w:noProof/>
                <w:webHidden/>
              </w:rPr>
              <w:instrText xml:space="preserve"> PAGEREF _Toc178837526 \h </w:instrText>
            </w:r>
            <w:r w:rsidR="00FD58BF">
              <w:rPr>
                <w:noProof/>
                <w:webHidden/>
              </w:rPr>
            </w:r>
            <w:r w:rsidR="00FD58BF">
              <w:rPr>
                <w:noProof/>
                <w:webHidden/>
              </w:rPr>
              <w:fldChar w:fldCharType="separate"/>
            </w:r>
            <w:r w:rsidR="00FD58BF">
              <w:rPr>
                <w:noProof/>
                <w:webHidden/>
              </w:rPr>
              <w:t>391</w:t>
            </w:r>
            <w:r w:rsidR="00FD58BF">
              <w:rPr>
                <w:noProof/>
                <w:webHidden/>
              </w:rPr>
              <w:fldChar w:fldCharType="end"/>
            </w:r>
          </w:hyperlink>
        </w:p>
        <w:p w14:paraId="1D245647" w14:textId="685CE29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7" w:history="1">
            <w:r w:rsidR="00FD58BF" w:rsidRPr="003004E5">
              <w:rPr>
                <w:rStyle w:val="Lienhypertexte"/>
                <w:noProof/>
              </w:rPr>
              <w:t>21.36.1a Seuils en pierre CCTB 01.11</w:t>
            </w:r>
            <w:r w:rsidR="00FD58BF">
              <w:rPr>
                <w:noProof/>
                <w:webHidden/>
              </w:rPr>
              <w:tab/>
            </w:r>
            <w:r w:rsidR="00FD58BF">
              <w:rPr>
                <w:noProof/>
                <w:webHidden/>
              </w:rPr>
              <w:fldChar w:fldCharType="begin"/>
            </w:r>
            <w:r w:rsidR="00FD58BF">
              <w:rPr>
                <w:noProof/>
                <w:webHidden/>
              </w:rPr>
              <w:instrText xml:space="preserve"> PAGEREF _Toc178837527 \h </w:instrText>
            </w:r>
            <w:r w:rsidR="00FD58BF">
              <w:rPr>
                <w:noProof/>
                <w:webHidden/>
              </w:rPr>
            </w:r>
            <w:r w:rsidR="00FD58BF">
              <w:rPr>
                <w:noProof/>
                <w:webHidden/>
              </w:rPr>
              <w:fldChar w:fldCharType="separate"/>
            </w:r>
            <w:r w:rsidR="00FD58BF">
              <w:rPr>
                <w:noProof/>
                <w:webHidden/>
              </w:rPr>
              <w:t>393</w:t>
            </w:r>
            <w:r w:rsidR="00FD58BF">
              <w:rPr>
                <w:noProof/>
                <w:webHidden/>
              </w:rPr>
              <w:fldChar w:fldCharType="end"/>
            </w:r>
          </w:hyperlink>
        </w:p>
        <w:p w14:paraId="160EAADA" w14:textId="02A336E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8" w:history="1">
            <w:r w:rsidR="00FD58BF" w:rsidRPr="003004E5">
              <w:rPr>
                <w:rStyle w:val="Lienhypertexte"/>
                <w:noProof/>
              </w:rPr>
              <w:t>21.36.1b Seuils en éléments préfabriqués en béton CCTB 01.11</w:t>
            </w:r>
            <w:r w:rsidR="00FD58BF">
              <w:rPr>
                <w:noProof/>
                <w:webHidden/>
              </w:rPr>
              <w:tab/>
            </w:r>
            <w:r w:rsidR="00FD58BF">
              <w:rPr>
                <w:noProof/>
                <w:webHidden/>
              </w:rPr>
              <w:fldChar w:fldCharType="begin"/>
            </w:r>
            <w:r w:rsidR="00FD58BF">
              <w:rPr>
                <w:noProof/>
                <w:webHidden/>
              </w:rPr>
              <w:instrText xml:space="preserve"> PAGEREF _Toc178837528 \h </w:instrText>
            </w:r>
            <w:r w:rsidR="00FD58BF">
              <w:rPr>
                <w:noProof/>
                <w:webHidden/>
              </w:rPr>
            </w:r>
            <w:r w:rsidR="00FD58BF">
              <w:rPr>
                <w:noProof/>
                <w:webHidden/>
              </w:rPr>
              <w:fldChar w:fldCharType="separate"/>
            </w:r>
            <w:r w:rsidR="00FD58BF">
              <w:rPr>
                <w:noProof/>
                <w:webHidden/>
              </w:rPr>
              <w:t>395</w:t>
            </w:r>
            <w:r w:rsidR="00FD58BF">
              <w:rPr>
                <w:noProof/>
                <w:webHidden/>
              </w:rPr>
              <w:fldChar w:fldCharType="end"/>
            </w:r>
          </w:hyperlink>
        </w:p>
        <w:p w14:paraId="4BBD247E" w14:textId="01A5300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9" w:history="1">
            <w:r w:rsidR="00FD58BF" w:rsidRPr="003004E5">
              <w:rPr>
                <w:rStyle w:val="Lienhypertexte"/>
                <w:noProof/>
              </w:rPr>
              <w:t>21.36.1c Seuils en fibres-ciment CCTB 01.11</w:t>
            </w:r>
            <w:r w:rsidR="00FD58BF">
              <w:rPr>
                <w:noProof/>
                <w:webHidden/>
              </w:rPr>
              <w:tab/>
            </w:r>
            <w:r w:rsidR="00FD58BF">
              <w:rPr>
                <w:noProof/>
                <w:webHidden/>
              </w:rPr>
              <w:fldChar w:fldCharType="begin"/>
            </w:r>
            <w:r w:rsidR="00FD58BF">
              <w:rPr>
                <w:noProof/>
                <w:webHidden/>
              </w:rPr>
              <w:instrText xml:space="preserve"> PAGEREF _Toc178837529 \h </w:instrText>
            </w:r>
            <w:r w:rsidR="00FD58BF">
              <w:rPr>
                <w:noProof/>
                <w:webHidden/>
              </w:rPr>
            </w:r>
            <w:r w:rsidR="00FD58BF">
              <w:rPr>
                <w:noProof/>
                <w:webHidden/>
              </w:rPr>
              <w:fldChar w:fldCharType="separate"/>
            </w:r>
            <w:r w:rsidR="00FD58BF">
              <w:rPr>
                <w:noProof/>
                <w:webHidden/>
              </w:rPr>
              <w:t>396</w:t>
            </w:r>
            <w:r w:rsidR="00FD58BF">
              <w:rPr>
                <w:noProof/>
                <w:webHidden/>
              </w:rPr>
              <w:fldChar w:fldCharType="end"/>
            </w:r>
          </w:hyperlink>
        </w:p>
        <w:p w14:paraId="322DD190" w14:textId="43BB8AB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0" w:history="1">
            <w:r w:rsidR="00FD58BF" w:rsidRPr="003004E5">
              <w:rPr>
                <w:rStyle w:val="Lienhypertexte"/>
                <w:noProof/>
              </w:rPr>
              <w:t>21.36.1d Seuils en briques de parement CCTB 01.11</w:t>
            </w:r>
            <w:r w:rsidR="00FD58BF">
              <w:rPr>
                <w:noProof/>
                <w:webHidden/>
              </w:rPr>
              <w:tab/>
            </w:r>
            <w:r w:rsidR="00FD58BF">
              <w:rPr>
                <w:noProof/>
                <w:webHidden/>
              </w:rPr>
              <w:fldChar w:fldCharType="begin"/>
            </w:r>
            <w:r w:rsidR="00FD58BF">
              <w:rPr>
                <w:noProof/>
                <w:webHidden/>
              </w:rPr>
              <w:instrText xml:space="preserve"> PAGEREF _Toc178837530 \h </w:instrText>
            </w:r>
            <w:r w:rsidR="00FD58BF">
              <w:rPr>
                <w:noProof/>
                <w:webHidden/>
              </w:rPr>
            </w:r>
            <w:r w:rsidR="00FD58BF">
              <w:rPr>
                <w:noProof/>
                <w:webHidden/>
              </w:rPr>
              <w:fldChar w:fldCharType="separate"/>
            </w:r>
            <w:r w:rsidR="00FD58BF">
              <w:rPr>
                <w:noProof/>
                <w:webHidden/>
              </w:rPr>
              <w:t>398</w:t>
            </w:r>
            <w:r w:rsidR="00FD58BF">
              <w:rPr>
                <w:noProof/>
                <w:webHidden/>
              </w:rPr>
              <w:fldChar w:fldCharType="end"/>
            </w:r>
          </w:hyperlink>
        </w:p>
        <w:p w14:paraId="22CD4859" w14:textId="7F57558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31" w:history="1">
            <w:r w:rsidR="00FD58BF" w:rsidRPr="003004E5">
              <w:rPr>
                <w:rStyle w:val="Lienhypertexte"/>
                <w:noProof/>
              </w:rPr>
              <w:t>21.36.2 Plinthes CCTB 01.11</w:t>
            </w:r>
            <w:r w:rsidR="00FD58BF">
              <w:rPr>
                <w:noProof/>
                <w:webHidden/>
              </w:rPr>
              <w:tab/>
            </w:r>
            <w:r w:rsidR="00FD58BF">
              <w:rPr>
                <w:noProof/>
                <w:webHidden/>
              </w:rPr>
              <w:fldChar w:fldCharType="begin"/>
            </w:r>
            <w:r w:rsidR="00FD58BF">
              <w:rPr>
                <w:noProof/>
                <w:webHidden/>
              </w:rPr>
              <w:instrText xml:space="preserve"> PAGEREF _Toc178837531 \h </w:instrText>
            </w:r>
            <w:r w:rsidR="00FD58BF">
              <w:rPr>
                <w:noProof/>
                <w:webHidden/>
              </w:rPr>
            </w:r>
            <w:r w:rsidR="00FD58BF">
              <w:rPr>
                <w:noProof/>
                <w:webHidden/>
              </w:rPr>
              <w:fldChar w:fldCharType="separate"/>
            </w:r>
            <w:r w:rsidR="00FD58BF">
              <w:rPr>
                <w:noProof/>
                <w:webHidden/>
              </w:rPr>
              <w:t>399</w:t>
            </w:r>
            <w:r w:rsidR="00FD58BF">
              <w:rPr>
                <w:noProof/>
                <w:webHidden/>
              </w:rPr>
              <w:fldChar w:fldCharType="end"/>
            </w:r>
          </w:hyperlink>
        </w:p>
        <w:p w14:paraId="385D394D" w14:textId="00691F5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2" w:history="1">
            <w:r w:rsidR="00FD58BF" w:rsidRPr="003004E5">
              <w:rPr>
                <w:rStyle w:val="Lienhypertexte"/>
                <w:noProof/>
              </w:rPr>
              <w:t>21.36.2a Plinthes en pierre CCTB 01.11</w:t>
            </w:r>
            <w:r w:rsidR="00FD58BF">
              <w:rPr>
                <w:noProof/>
                <w:webHidden/>
              </w:rPr>
              <w:tab/>
            </w:r>
            <w:r w:rsidR="00FD58BF">
              <w:rPr>
                <w:noProof/>
                <w:webHidden/>
              </w:rPr>
              <w:fldChar w:fldCharType="begin"/>
            </w:r>
            <w:r w:rsidR="00FD58BF">
              <w:rPr>
                <w:noProof/>
                <w:webHidden/>
              </w:rPr>
              <w:instrText xml:space="preserve"> PAGEREF _Toc178837532 \h </w:instrText>
            </w:r>
            <w:r w:rsidR="00FD58BF">
              <w:rPr>
                <w:noProof/>
                <w:webHidden/>
              </w:rPr>
            </w:r>
            <w:r w:rsidR="00FD58BF">
              <w:rPr>
                <w:noProof/>
                <w:webHidden/>
              </w:rPr>
              <w:fldChar w:fldCharType="separate"/>
            </w:r>
            <w:r w:rsidR="00FD58BF">
              <w:rPr>
                <w:noProof/>
                <w:webHidden/>
              </w:rPr>
              <w:t>399</w:t>
            </w:r>
            <w:r w:rsidR="00FD58BF">
              <w:rPr>
                <w:noProof/>
                <w:webHidden/>
              </w:rPr>
              <w:fldChar w:fldCharType="end"/>
            </w:r>
          </w:hyperlink>
        </w:p>
        <w:p w14:paraId="6B6C16F0" w14:textId="1A1253A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3" w:history="1">
            <w:r w:rsidR="00FD58BF" w:rsidRPr="003004E5">
              <w:rPr>
                <w:rStyle w:val="Lienhypertexte"/>
                <w:noProof/>
              </w:rPr>
              <w:t>21.36.2b Plinthes en pierre calcaire CCTB 01.11</w:t>
            </w:r>
            <w:r w:rsidR="00FD58BF">
              <w:rPr>
                <w:noProof/>
                <w:webHidden/>
              </w:rPr>
              <w:tab/>
            </w:r>
            <w:r w:rsidR="00FD58BF">
              <w:rPr>
                <w:noProof/>
                <w:webHidden/>
              </w:rPr>
              <w:fldChar w:fldCharType="begin"/>
            </w:r>
            <w:r w:rsidR="00FD58BF">
              <w:rPr>
                <w:noProof/>
                <w:webHidden/>
              </w:rPr>
              <w:instrText xml:space="preserve"> PAGEREF _Toc178837533 \h </w:instrText>
            </w:r>
            <w:r w:rsidR="00FD58BF">
              <w:rPr>
                <w:noProof/>
                <w:webHidden/>
              </w:rPr>
            </w:r>
            <w:r w:rsidR="00FD58BF">
              <w:rPr>
                <w:noProof/>
                <w:webHidden/>
              </w:rPr>
              <w:fldChar w:fldCharType="separate"/>
            </w:r>
            <w:r w:rsidR="00FD58BF">
              <w:rPr>
                <w:noProof/>
                <w:webHidden/>
              </w:rPr>
              <w:t>401</w:t>
            </w:r>
            <w:r w:rsidR="00FD58BF">
              <w:rPr>
                <w:noProof/>
                <w:webHidden/>
              </w:rPr>
              <w:fldChar w:fldCharType="end"/>
            </w:r>
          </w:hyperlink>
        </w:p>
        <w:p w14:paraId="2CB8D878" w14:textId="0663C99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4" w:history="1">
            <w:r w:rsidR="00FD58BF" w:rsidRPr="003004E5">
              <w:rPr>
                <w:rStyle w:val="Lienhypertexte"/>
                <w:noProof/>
              </w:rPr>
              <w:t>21.36.2c Plinthes en marbre CCTB 01.11</w:t>
            </w:r>
            <w:r w:rsidR="00FD58BF">
              <w:rPr>
                <w:noProof/>
                <w:webHidden/>
              </w:rPr>
              <w:tab/>
            </w:r>
            <w:r w:rsidR="00FD58BF">
              <w:rPr>
                <w:noProof/>
                <w:webHidden/>
              </w:rPr>
              <w:fldChar w:fldCharType="begin"/>
            </w:r>
            <w:r w:rsidR="00FD58BF">
              <w:rPr>
                <w:noProof/>
                <w:webHidden/>
              </w:rPr>
              <w:instrText xml:space="preserve"> PAGEREF _Toc178837534 \h </w:instrText>
            </w:r>
            <w:r w:rsidR="00FD58BF">
              <w:rPr>
                <w:noProof/>
                <w:webHidden/>
              </w:rPr>
            </w:r>
            <w:r w:rsidR="00FD58BF">
              <w:rPr>
                <w:noProof/>
                <w:webHidden/>
              </w:rPr>
              <w:fldChar w:fldCharType="separate"/>
            </w:r>
            <w:r w:rsidR="00FD58BF">
              <w:rPr>
                <w:noProof/>
                <w:webHidden/>
              </w:rPr>
              <w:t>401</w:t>
            </w:r>
            <w:r w:rsidR="00FD58BF">
              <w:rPr>
                <w:noProof/>
                <w:webHidden/>
              </w:rPr>
              <w:fldChar w:fldCharType="end"/>
            </w:r>
          </w:hyperlink>
        </w:p>
        <w:p w14:paraId="4A5540FF" w14:textId="5A24096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5" w:history="1">
            <w:r w:rsidR="00FD58BF" w:rsidRPr="003004E5">
              <w:rPr>
                <w:rStyle w:val="Lienhypertexte"/>
                <w:noProof/>
              </w:rPr>
              <w:t>21.36.2d Plinthes en granite CCTB 01.11</w:t>
            </w:r>
            <w:r w:rsidR="00FD58BF">
              <w:rPr>
                <w:noProof/>
                <w:webHidden/>
              </w:rPr>
              <w:tab/>
            </w:r>
            <w:r w:rsidR="00FD58BF">
              <w:rPr>
                <w:noProof/>
                <w:webHidden/>
              </w:rPr>
              <w:fldChar w:fldCharType="begin"/>
            </w:r>
            <w:r w:rsidR="00FD58BF">
              <w:rPr>
                <w:noProof/>
                <w:webHidden/>
              </w:rPr>
              <w:instrText xml:space="preserve"> PAGEREF _Toc178837535 \h </w:instrText>
            </w:r>
            <w:r w:rsidR="00FD58BF">
              <w:rPr>
                <w:noProof/>
                <w:webHidden/>
              </w:rPr>
            </w:r>
            <w:r w:rsidR="00FD58BF">
              <w:rPr>
                <w:noProof/>
                <w:webHidden/>
              </w:rPr>
              <w:fldChar w:fldCharType="separate"/>
            </w:r>
            <w:r w:rsidR="00FD58BF">
              <w:rPr>
                <w:noProof/>
                <w:webHidden/>
              </w:rPr>
              <w:t>402</w:t>
            </w:r>
            <w:r w:rsidR="00FD58BF">
              <w:rPr>
                <w:noProof/>
                <w:webHidden/>
              </w:rPr>
              <w:fldChar w:fldCharType="end"/>
            </w:r>
          </w:hyperlink>
        </w:p>
        <w:p w14:paraId="43AB4277" w14:textId="4161760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6" w:history="1">
            <w:r w:rsidR="00FD58BF" w:rsidRPr="003004E5">
              <w:rPr>
                <w:rStyle w:val="Lienhypertexte"/>
                <w:noProof/>
              </w:rPr>
              <w:t>21.36.2e Plinthes préfabriquées en béton CCTB 01.11</w:t>
            </w:r>
            <w:r w:rsidR="00FD58BF">
              <w:rPr>
                <w:noProof/>
                <w:webHidden/>
              </w:rPr>
              <w:tab/>
            </w:r>
            <w:r w:rsidR="00FD58BF">
              <w:rPr>
                <w:noProof/>
                <w:webHidden/>
              </w:rPr>
              <w:fldChar w:fldCharType="begin"/>
            </w:r>
            <w:r w:rsidR="00FD58BF">
              <w:rPr>
                <w:noProof/>
                <w:webHidden/>
              </w:rPr>
              <w:instrText xml:space="preserve"> PAGEREF _Toc178837536 \h </w:instrText>
            </w:r>
            <w:r w:rsidR="00FD58BF">
              <w:rPr>
                <w:noProof/>
                <w:webHidden/>
              </w:rPr>
            </w:r>
            <w:r w:rsidR="00FD58BF">
              <w:rPr>
                <w:noProof/>
                <w:webHidden/>
              </w:rPr>
              <w:fldChar w:fldCharType="separate"/>
            </w:r>
            <w:r w:rsidR="00FD58BF">
              <w:rPr>
                <w:noProof/>
                <w:webHidden/>
              </w:rPr>
              <w:t>402</w:t>
            </w:r>
            <w:r w:rsidR="00FD58BF">
              <w:rPr>
                <w:noProof/>
                <w:webHidden/>
              </w:rPr>
              <w:fldChar w:fldCharType="end"/>
            </w:r>
          </w:hyperlink>
        </w:p>
        <w:p w14:paraId="1C21A22E" w14:textId="5D6E04E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7" w:history="1">
            <w:r w:rsidR="00FD58BF" w:rsidRPr="003004E5">
              <w:rPr>
                <w:rStyle w:val="Lienhypertexte"/>
                <w:noProof/>
              </w:rPr>
              <w:t>21.36.2f Plinthes préfabriquées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_Toc178837537 \h </w:instrText>
            </w:r>
            <w:r w:rsidR="00FD58BF">
              <w:rPr>
                <w:noProof/>
                <w:webHidden/>
              </w:rPr>
            </w:r>
            <w:r w:rsidR="00FD58BF">
              <w:rPr>
                <w:noProof/>
                <w:webHidden/>
              </w:rPr>
              <w:fldChar w:fldCharType="separate"/>
            </w:r>
            <w:r w:rsidR="00FD58BF">
              <w:rPr>
                <w:noProof/>
                <w:webHidden/>
              </w:rPr>
              <w:t>404</w:t>
            </w:r>
            <w:r w:rsidR="00FD58BF">
              <w:rPr>
                <w:noProof/>
                <w:webHidden/>
              </w:rPr>
              <w:fldChar w:fldCharType="end"/>
            </w:r>
          </w:hyperlink>
        </w:p>
        <w:p w14:paraId="5157751C" w14:textId="767E9F1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8" w:history="1">
            <w:r w:rsidR="00FD58BF" w:rsidRPr="003004E5">
              <w:rPr>
                <w:rStyle w:val="Lienhypertexte"/>
                <w:noProof/>
              </w:rPr>
              <w:t>21.36.2g Plinthes en fibres-ciment CCTB 01.11</w:t>
            </w:r>
            <w:r w:rsidR="00FD58BF">
              <w:rPr>
                <w:noProof/>
                <w:webHidden/>
              </w:rPr>
              <w:tab/>
            </w:r>
            <w:r w:rsidR="00FD58BF">
              <w:rPr>
                <w:noProof/>
                <w:webHidden/>
              </w:rPr>
              <w:fldChar w:fldCharType="begin"/>
            </w:r>
            <w:r w:rsidR="00FD58BF">
              <w:rPr>
                <w:noProof/>
                <w:webHidden/>
              </w:rPr>
              <w:instrText xml:space="preserve"> PAGEREF _Toc178837538 \h </w:instrText>
            </w:r>
            <w:r w:rsidR="00FD58BF">
              <w:rPr>
                <w:noProof/>
                <w:webHidden/>
              </w:rPr>
            </w:r>
            <w:r w:rsidR="00FD58BF">
              <w:rPr>
                <w:noProof/>
                <w:webHidden/>
              </w:rPr>
              <w:fldChar w:fldCharType="separate"/>
            </w:r>
            <w:r w:rsidR="00FD58BF">
              <w:rPr>
                <w:noProof/>
                <w:webHidden/>
              </w:rPr>
              <w:t>406</w:t>
            </w:r>
            <w:r w:rsidR="00FD58BF">
              <w:rPr>
                <w:noProof/>
                <w:webHidden/>
              </w:rPr>
              <w:fldChar w:fldCharType="end"/>
            </w:r>
          </w:hyperlink>
        </w:p>
        <w:p w14:paraId="23348811" w14:textId="0CCD90C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39" w:history="1">
            <w:r w:rsidR="00FD58BF" w:rsidRPr="003004E5">
              <w:rPr>
                <w:rStyle w:val="Lienhypertexte"/>
                <w:noProof/>
              </w:rPr>
              <w:t>21.36.3 Linteaux CCTB 01.10</w:t>
            </w:r>
            <w:r w:rsidR="00FD58BF">
              <w:rPr>
                <w:noProof/>
                <w:webHidden/>
              </w:rPr>
              <w:tab/>
            </w:r>
            <w:r w:rsidR="00FD58BF">
              <w:rPr>
                <w:noProof/>
                <w:webHidden/>
              </w:rPr>
              <w:fldChar w:fldCharType="begin"/>
            </w:r>
            <w:r w:rsidR="00FD58BF">
              <w:rPr>
                <w:noProof/>
                <w:webHidden/>
              </w:rPr>
              <w:instrText xml:space="preserve"> PAGEREF _Toc178837539 \h </w:instrText>
            </w:r>
            <w:r w:rsidR="00FD58BF">
              <w:rPr>
                <w:noProof/>
                <w:webHidden/>
              </w:rPr>
            </w:r>
            <w:r w:rsidR="00FD58BF">
              <w:rPr>
                <w:noProof/>
                <w:webHidden/>
              </w:rPr>
              <w:fldChar w:fldCharType="separate"/>
            </w:r>
            <w:r w:rsidR="00FD58BF">
              <w:rPr>
                <w:noProof/>
                <w:webHidden/>
              </w:rPr>
              <w:t>407</w:t>
            </w:r>
            <w:r w:rsidR="00FD58BF">
              <w:rPr>
                <w:noProof/>
                <w:webHidden/>
              </w:rPr>
              <w:fldChar w:fldCharType="end"/>
            </w:r>
          </w:hyperlink>
        </w:p>
        <w:p w14:paraId="3154C64C" w14:textId="66E4537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0" w:history="1">
            <w:r w:rsidR="00FD58BF" w:rsidRPr="003004E5">
              <w:rPr>
                <w:rStyle w:val="Lienhypertexte"/>
                <w:noProof/>
              </w:rPr>
              <w:t>21.36.3a Linteaux en pierre CCTB 01.10</w:t>
            </w:r>
            <w:r w:rsidR="00FD58BF">
              <w:rPr>
                <w:noProof/>
                <w:webHidden/>
              </w:rPr>
              <w:tab/>
            </w:r>
            <w:r w:rsidR="00FD58BF">
              <w:rPr>
                <w:noProof/>
                <w:webHidden/>
              </w:rPr>
              <w:fldChar w:fldCharType="begin"/>
            </w:r>
            <w:r w:rsidR="00FD58BF">
              <w:rPr>
                <w:noProof/>
                <w:webHidden/>
              </w:rPr>
              <w:instrText xml:space="preserve"> PAGEREF _Toc178837540 \h </w:instrText>
            </w:r>
            <w:r w:rsidR="00FD58BF">
              <w:rPr>
                <w:noProof/>
                <w:webHidden/>
              </w:rPr>
            </w:r>
            <w:r w:rsidR="00FD58BF">
              <w:rPr>
                <w:noProof/>
                <w:webHidden/>
              </w:rPr>
              <w:fldChar w:fldCharType="separate"/>
            </w:r>
            <w:r w:rsidR="00FD58BF">
              <w:rPr>
                <w:noProof/>
                <w:webHidden/>
              </w:rPr>
              <w:t>407</w:t>
            </w:r>
            <w:r w:rsidR="00FD58BF">
              <w:rPr>
                <w:noProof/>
                <w:webHidden/>
              </w:rPr>
              <w:fldChar w:fldCharType="end"/>
            </w:r>
          </w:hyperlink>
        </w:p>
        <w:p w14:paraId="1C482E73" w14:textId="118DD30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1" w:history="1">
            <w:r w:rsidR="00FD58BF" w:rsidRPr="003004E5">
              <w:rPr>
                <w:rStyle w:val="Lienhypertexte"/>
                <w:noProof/>
              </w:rPr>
              <w:t>21.36.3b Linteaux en pierre reconstituée CCTB 01.10</w:t>
            </w:r>
            <w:r w:rsidR="00FD58BF">
              <w:rPr>
                <w:noProof/>
                <w:webHidden/>
              </w:rPr>
              <w:tab/>
            </w:r>
            <w:r w:rsidR="00FD58BF">
              <w:rPr>
                <w:noProof/>
                <w:webHidden/>
              </w:rPr>
              <w:fldChar w:fldCharType="begin"/>
            </w:r>
            <w:r w:rsidR="00FD58BF">
              <w:rPr>
                <w:noProof/>
                <w:webHidden/>
              </w:rPr>
              <w:instrText xml:space="preserve"> PAGEREF _Toc178837541 \h </w:instrText>
            </w:r>
            <w:r w:rsidR="00FD58BF">
              <w:rPr>
                <w:noProof/>
                <w:webHidden/>
              </w:rPr>
            </w:r>
            <w:r w:rsidR="00FD58BF">
              <w:rPr>
                <w:noProof/>
                <w:webHidden/>
              </w:rPr>
              <w:fldChar w:fldCharType="separate"/>
            </w:r>
            <w:r w:rsidR="00FD58BF">
              <w:rPr>
                <w:noProof/>
                <w:webHidden/>
              </w:rPr>
              <w:t>407</w:t>
            </w:r>
            <w:r w:rsidR="00FD58BF">
              <w:rPr>
                <w:noProof/>
                <w:webHidden/>
              </w:rPr>
              <w:fldChar w:fldCharType="end"/>
            </w:r>
          </w:hyperlink>
        </w:p>
        <w:p w14:paraId="182AA747" w14:textId="76CBEB9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2" w:history="1">
            <w:r w:rsidR="00FD58BF" w:rsidRPr="003004E5">
              <w:rPr>
                <w:rStyle w:val="Lienhypertexte"/>
                <w:noProof/>
              </w:rPr>
              <w:t>21.36.3c Linteaux préfabriqués en béton décoratif / architectonique CCTB 01.10</w:t>
            </w:r>
            <w:r w:rsidR="00FD58BF">
              <w:rPr>
                <w:noProof/>
                <w:webHidden/>
              </w:rPr>
              <w:tab/>
            </w:r>
            <w:r w:rsidR="00FD58BF">
              <w:rPr>
                <w:noProof/>
                <w:webHidden/>
              </w:rPr>
              <w:fldChar w:fldCharType="begin"/>
            </w:r>
            <w:r w:rsidR="00FD58BF">
              <w:rPr>
                <w:noProof/>
                <w:webHidden/>
              </w:rPr>
              <w:instrText xml:space="preserve"> PAGEREF _Toc178837542 \h </w:instrText>
            </w:r>
            <w:r w:rsidR="00FD58BF">
              <w:rPr>
                <w:noProof/>
                <w:webHidden/>
              </w:rPr>
            </w:r>
            <w:r w:rsidR="00FD58BF">
              <w:rPr>
                <w:noProof/>
                <w:webHidden/>
              </w:rPr>
              <w:fldChar w:fldCharType="separate"/>
            </w:r>
            <w:r w:rsidR="00FD58BF">
              <w:rPr>
                <w:noProof/>
                <w:webHidden/>
              </w:rPr>
              <w:t>407</w:t>
            </w:r>
            <w:r w:rsidR="00FD58BF">
              <w:rPr>
                <w:noProof/>
                <w:webHidden/>
              </w:rPr>
              <w:fldChar w:fldCharType="end"/>
            </w:r>
          </w:hyperlink>
        </w:p>
        <w:p w14:paraId="37601CCB" w14:textId="1BE6EB9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43" w:history="1">
            <w:r w:rsidR="00FD58BF" w:rsidRPr="003004E5">
              <w:rPr>
                <w:rStyle w:val="Lienhypertexte"/>
                <w:noProof/>
              </w:rPr>
              <w:t>21.36.4 Eléments d'encadrement CCTB 01.02</w:t>
            </w:r>
            <w:r w:rsidR="00FD58BF">
              <w:rPr>
                <w:noProof/>
                <w:webHidden/>
              </w:rPr>
              <w:tab/>
            </w:r>
            <w:r w:rsidR="00FD58BF">
              <w:rPr>
                <w:noProof/>
                <w:webHidden/>
              </w:rPr>
              <w:fldChar w:fldCharType="begin"/>
            </w:r>
            <w:r w:rsidR="00FD58BF">
              <w:rPr>
                <w:noProof/>
                <w:webHidden/>
              </w:rPr>
              <w:instrText xml:space="preserve"> PAGEREF _Toc178837543 \h </w:instrText>
            </w:r>
            <w:r w:rsidR="00FD58BF">
              <w:rPr>
                <w:noProof/>
                <w:webHidden/>
              </w:rPr>
            </w:r>
            <w:r w:rsidR="00FD58BF">
              <w:rPr>
                <w:noProof/>
                <w:webHidden/>
              </w:rPr>
              <w:fldChar w:fldCharType="separate"/>
            </w:r>
            <w:r w:rsidR="00FD58BF">
              <w:rPr>
                <w:noProof/>
                <w:webHidden/>
              </w:rPr>
              <w:t>407</w:t>
            </w:r>
            <w:r w:rsidR="00FD58BF">
              <w:rPr>
                <w:noProof/>
                <w:webHidden/>
              </w:rPr>
              <w:fldChar w:fldCharType="end"/>
            </w:r>
          </w:hyperlink>
        </w:p>
        <w:p w14:paraId="7D3D74F4" w14:textId="1780DF5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4" w:history="1">
            <w:r w:rsidR="00FD58BF" w:rsidRPr="003004E5">
              <w:rPr>
                <w:rStyle w:val="Lienhypertexte"/>
                <w:noProof/>
              </w:rPr>
              <w:t>21.36.4a Eléments d'encadrement en pierre CCTB 01.11</w:t>
            </w:r>
            <w:r w:rsidR="00FD58BF">
              <w:rPr>
                <w:noProof/>
                <w:webHidden/>
              </w:rPr>
              <w:tab/>
            </w:r>
            <w:r w:rsidR="00FD58BF">
              <w:rPr>
                <w:noProof/>
                <w:webHidden/>
              </w:rPr>
              <w:fldChar w:fldCharType="begin"/>
            </w:r>
            <w:r w:rsidR="00FD58BF">
              <w:rPr>
                <w:noProof/>
                <w:webHidden/>
              </w:rPr>
              <w:instrText xml:space="preserve"> PAGEREF _Toc178837544 \h </w:instrText>
            </w:r>
            <w:r w:rsidR="00FD58BF">
              <w:rPr>
                <w:noProof/>
                <w:webHidden/>
              </w:rPr>
            </w:r>
            <w:r w:rsidR="00FD58BF">
              <w:rPr>
                <w:noProof/>
                <w:webHidden/>
              </w:rPr>
              <w:fldChar w:fldCharType="separate"/>
            </w:r>
            <w:r w:rsidR="00FD58BF">
              <w:rPr>
                <w:noProof/>
                <w:webHidden/>
              </w:rPr>
              <w:t>407</w:t>
            </w:r>
            <w:r w:rsidR="00FD58BF">
              <w:rPr>
                <w:noProof/>
                <w:webHidden/>
              </w:rPr>
              <w:fldChar w:fldCharType="end"/>
            </w:r>
          </w:hyperlink>
        </w:p>
        <w:p w14:paraId="39BCB358" w14:textId="58F40C0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5" w:history="1">
            <w:r w:rsidR="00FD58BF" w:rsidRPr="003004E5">
              <w:rPr>
                <w:rStyle w:val="Lienhypertexte"/>
                <w:noProof/>
              </w:rPr>
              <w:t>21.36.4b Eléments d'encadrement préfabriqués en béton CCTB 01.11</w:t>
            </w:r>
            <w:r w:rsidR="00FD58BF">
              <w:rPr>
                <w:noProof/>
                <w:webHidden/>
              </w:rPr>
              <w:tab/>
            </w:r>
            <w:r w:rsidR="00FD58BF">
              <w:rPr>
                <w:noProof/>
                <w:webHidden/>
              </w:rPr>
              <w:fldChar w:fldCharType="begin"/>
            </w:r>
            <w:r w:rsidR="00FD58BF">
              <w:rPr>
                <w:noProof/>
                <w:webHidden/>
              </w:rPr>
              <w:instrText xml:space="preserve"> PAGEREF _Toc178837545 \h </w:instrText>
            </w:r>
            <w:r w:rsidR="00FD58BF">
              <w:rPr>
                <w:noProof/>
                <w:webHidden/>
              </w:rPr>
            </w:r>
            <w:r w:rsidR="00FD58BF">
              <w:rPr>
                <w:noProof/>
                <w:webHidden/>
              </w:rPr>
              <w:fldChar w:fldCharType="separate"/>
            </w:r>
            <w:r w:rsidR="00FD58BF">
              <w:rPr>
                <w:noProof/>
                <w:webHidden/>
              </w:rPr>
              <w:t>408</w:t>
            </w:r>
            <w:r w:rsidR="00FD58BF">
              <w:rPr>
                <w:noProof/>
                <w:webHidden/>
              </w:rPr>
              <w:fldChar w:fldCharType="end"/>
            </w:r>
          </w:hyperlink>
        </w:p>
        <w:p w14:paraId="173916CE" w14:textId="344D9D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6" w:history="1">
            <w:r w:rsidR="00FD58BF" w:rsidRPr="003004E5">
              <w:rPr>
                <w:rStyle w:val="Lienhypertexte"/>
                <w:noProof/>
              </w:rPr>
              <w:t>21.36.4c Eléments d'encadrement préfabriqués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_Toc178837546 \h </w:instrText>
            </w:r>
            <w:r w:rsidR="00FD58BF">
              <w:rPr>
                <w:noProof/>
                <w:webHidden/>
              </w:rPr>
            </w:r>
            <w:r w:rsidR="00FD58BF">
              <w:rPr>
                <w:noProof/>
                <w:webHidden/>
              </w:rPr>
              <w:fldChar w:fldCharType="separate"/>
            </w:r>
            <w:r w:rsidR="00FD58BF">
              <w:rPr>
                <w:noProof/>
                <w:webHidden/>
              </w:rPr>
              <w:t>408</w:t>
            </w:r>
            <w:r w:rsidR="00FD58BF">
              <w:rPr>
                <w:noProof/>
                <w:webHidden/>
              </w:rPr>
              <w:fldChar w:fldCharType="end"/>
            </w:r>
          </w:hyperlink>
        </w:p>
        <w:p w14:paraId="042C9C87" w14:textId="174176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7" w:history="1">
            <w:r w:rsidR="00FD58BF" w:rsidRPr="003004E5">
              <w:rPr>
                <w:rStyle w:val="Lienhypertexte"/>
                <w:noProof/>
              </w:rPr>
              <w:t>21.36.4d Eléments d'encadrement en fibres-ciment CCTB 01.11</w:t>
            </w:r>
            <w:r w:rsidR="00FD58BF">
              <w:rPr>
                <w:noProof/>
                <w:webHidden/>
              </w:rPr>
              <w:tab/>
            </w:r>
            <w:r w:rsidR="00FD58BF">
              <w:rPr>
                <w:noProof/>
                <w:webHidden/>
              </w:rPr>
              <w:fldChar w:fldCharType="begin"/>
            </w:r>
            <w:r w:rsidR="00FD58BF">
              <w:rPr>
                <w:noProof/>
                <w:webHidden/>
              </w:rPr>
              <w:instrText xml:space="preserve"> PAGEREF _Toc178837547 \h </w:instrText>
            </w:r>
            <w:r w:rsidR="00FD58BF">
              <w:rPr>
                <w:noProof/>
                <w:webHidden/>
              </w:rPr>
            </w:r>
            <w:r w:rsidR="00FD58BF">
              <w:rPr>
                <w:noProof/>
                <w:webHidden/>
              </w:rPr>
              <w:fldChar w:fldCharType="separate"/>
            </w:r>
            <w:r w:rsidR="00FD58BF">
              <w:rPr>
                <w:noProof/>
                <w:webHidden/>
              </w:rPr>
              <w:t>409</w:t>
            </w:r>
            <w:r w:rsidR="00FD58BF">
              <w:rPr>
                <w:noProof/>
                <w:webHidden/>
              </w:rPr>
              <w:fldChar w:fldCharType="end"/>
            </w:r>
          </w:hyperlink>
        </w:p>
        <w:p w14:paraId="3E7DA9A8" w14:textId="1A8A167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48" w:history="1">
            <w:r w:rsidR="00FD58BF" w:rsidRPr="003004E5">
              <w:rPr>
                <w:rStyle w:val="Lienhypertexte"/>
                <w:noProof/>
              </w:rPr>
              <w:t>21.36.5 Couvre-murs CCTB 01.09</w:t>
            </w:r>
            <w:r w:rsidR="00FD58BF">
              <w:rPr>
                <w:noProof/>
                <w:webHidden/>
              </w:rPr>
              <w:tab/>
            </w:r>
            <w:r w:rsidR="00FD58BF">
              <w:rPr>
                <w:noProof/>
                <w:webHidden/>
              </w:rPr>
              <w:fldChar w:fldCharType="begin"/>
            </w:r>
            <w:r w:rsidR="00FD58BF">
              <w:rPr>
                <w:noProof/>
                <w:webHidden/>
              </w:rPr>
              <w:instrText xml:space="preserve"> PAGEREF _Toc178837548 \h </w:instrText>
            </w:r>
            <w:r w:rsidR="00FD58BF">
              <w:rPr>
                <w:noProof/>
                <w:webHidden/>
              </w:rPr>
            </w:r>
            <w:r w:rsidR="00FD58BF">
              <w:rPr>
                <w:noProof/>
                <w:webHidden/>
              </w:rPr>
              <w:fldChar w:fldCharType="separate"/>
            </w:r>
            <w:r w:rsidR="00FD58BF">
              <w:rPr>
                <w:noProof/>
                <w:webHidden/>
              </w:rPr>
              <w:t>409</w:t>
            </w:r>
            <w:r w:rsidR="00FD58BF">
              <w:rPr>
                <w:noProof/>
                <w:webHidden/>
              </w:rPr>
              <w:fldChar w:fldCharType="end"/>
            </w:r>
          </w:hyperlink>
        </w:p>
        <w:p w14:paraId="75E257DD" w14:textId="415D9E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9" w:history="1">
            <w:r w:rsidR="00FD58BF" w:rsidRPr="003004E5">
              <w:rPr>
                <w:rStyle w:val="Lienhypertexte"/>
                <w:noProof/>
              </w:rPr>
              <w:t>21.36.5a Couvre-murs en pierre CCTB 01.11</w:t>
            </w:r>
            <w:r w:rsidR="00FD58BF">
              <w:rPr>
                <w:noProof/>
                <w:webHidden/>
              </w:rPr>
              <w:tab/>
            </w:r>
            <w:r w:rsidR="00FD58BF">
              <w:rPr>
                <w:noProof/>
                <w:webHidden/>
              </w:rPr>
              <w:fldChar w:fldCharType="begin"/>
            </w:r>
            <w:r w:rsidR="00FD58BF">
              <w:rPr>
                <w:noProof/>
                <w:webHidden/>
              </w:rPr>
              <w:instrText xml:space="preserve"> PAGEREF _Toc178837549 \h </w:instrText>
            </w:r>
            <w:r w:rsidR="00FD58BF">
              <w:rPr>
                <w:noProof/>
                <w:webHidden/>
              </w:rPr>
            </w:r>
            <w:r w:rsidR="00FD58BF">
              <w:rPr>
                <w:noProof/>
                <w:webHidden/>
              </w:rPr>
              <w:fldChar w:fldCharType="separate"/>
            </w:r>
            <w:r w:rsidR="00FD58BF">
              <w:rPr>
                <w:noProof/>
                <w:webHidden/>
              </w:rPr>
              <w:t>410</w:t>
            </w:r>
            <w:r w:rsidR="00FD58BF">
              <w:rPr>
                <w:noProof/>
                <w:webHidden/>
              </w:rPr>
              <w:fldChar w:fldCharType="end"/>
            </w:r>
          </w:hyperlink>
        </w:p>
        <w:p w14:paraId="07519E38" w14:textId="078BD07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0" w:history="1">
            <w:r w:rsidR="00FD58BF" w:rsidRPr="003004E5">
              <w:rPr>
                <w:rStyle w:val="Lienhypertexte"/>
                <w:noProof/>
              </w:rPr>
              <w:t>21.36.5b Couvre-murs en éléments préfabriqués en béton CCTB 01.11</w:t>
            </w:r>
            <w:r w:rsidR="00FD58BF">
              <w:rPr>
                <w:noProof/>
                <w:webHidden/>
              </w:rPr>
              <w:tab/>
            </w:r>
            <w:r w:rsidR="00FD58BF">
              <w:rPr>
                <w:noProof/>
                <w:webHidden/>
              </w:rPr>
              <w:fldChar w:fldCharType="begin"/>
            </w:r>
            <w:r w:rsidR="00FD58BF">
              <w:rPr>
                <w:noProof/>
                <w:webHidden/>
              </w:rPr>
              <w:instrText xml:space="preserve"> PAGEREF _Toc178837550 \h </w:instrText>
            </w:r>
            <w:r w:rsidR="00FD58BF">
              <w:rPr>
                <w:noProof/>
                <w:webHidden/>
              </w:rPr>
            </w:r>
            <w:r w:rsidR="00FD58BF">
              <w:rPr>
                <w:noProof/>
                <w:webHidden/>
              </w:rPr>
              <w:fldChar w:fldCharType="separate"/>
            </w:r>
            <w:r w:rsidR="00FD58BF">
              <w:rPr>
                <w:noProof/>
                <w:webHidden/>
              </w:rPr>
              <w:t>411</w:t>
            </w:r>
            <w:r w:rsidR="00FD58BF">
              <w:rPr>
                <w:noProof/>
                <w:webHidden/>
              </w:rPr>
              <w:fldChar w:fldCharType="end"/>
            </w:r>
          </w:hyperlink>
        </w:p>
        <w:p w14:paraId="612F713B" w14:textId="5D32266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1" w:history="1">
            <w:r w:rsidR="00FD58BF" w:rsidRPr="003004E5">
              <w:rPr>
                <w:rStyle w:val="Lienhypertexte"/>
                <w:noProof/>
              </w:rPr>
              <w:t>21.36.5c Couvre-murs en éléments préfabriqués en béton décoratif / architectonique CCTB 01.12</w:t>
            </w:r>
            <w:r w:rsidR="00FD58BF">
              <w:rPr>
                <w:noProof/>
                <w:webHidden/>
              </w:rPr>
              <w:tab/>
            </w:r>
            <w:r w:rsidR="00FD58BF">
              <w:rPr>
                <w:noProof/>
                <w:webHidden/>
              </w:rPr>
              <w:fldChar w:fldCharType="begin"/>
            </w:r>
            <w:r w:rsidR="00FD58BF">
              <w:rPr>
                <w:noProof/>
                <w:webHidden/>
              </w:rPr>
              <w:instrText xml:space="preserve"> PAGEREF _Toc178837551 \h </w:instrText>
            </w:r>
            <w:r w:rsidR="00FD58BF">
              <w:rPr>
                <w:noProof/>
                <w:webHidden/>
              </w:rPr>
            </w:r>
            <w:r w:rsidR="00FD58BF">
              <w:rPr>
                <w:noProof/>
                <w:webHidden/>
              </w:rPr>
              <w:fldChar w:fldCharType="separate"/>
            </w:r>
            <w:r w:rsidR="00FD58BF">
              <w:rPr>
                <w:noProof/>
                <w:webHidden/>
              </w:rPr>
              <w:t>414</w:t>
            </w:r>
            <w:r w:rsidR="00FD58BF">
              <w:rPr>
                <w:noProof/>
                <w:webHidden/>
              </w:rPr>
              <w:fldChar w:fldCharType="end"/>
            </w:r>
          </w:hyperlink>
        </w:p>
        <w:p w14:paraId="7417C8AF" w14:textId="24B1B8C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2" w:history="1">
            <w:r w:rsidR="00FD58BF" w:rsidRPr="003004E5">
              <w:rPr>
                <w:rStyle w:val="Lienhypertexte"/>
                <w:noProof/>
              </w:rPr>
              <w:t>21.36.5d Couvre-murs en fibres-ciment CCTB 01.11</w:t>
            </w:r>
            <w:r w:rsidR="00FD58BF">
              <w:rPr>
                <w:noProof/>
                <w:webHidden/>
              </w:rPr>
              <w:tab/>
            </w:r>
            <w:r w:rsidR="00FD58BF">
              <w:rPr>
                <w:noProof/>
                <w:webHidden/>
              </w:rPr>
              <w:fldChar w:fldCharType="begin"/>
            </w:r>
            <w:r w:rsidR="00FD58BF">
              <w:rPr>
                <w:noProof/>
                <w:webHidden/>
              </w:rPr>
              <w:instrText xml:space="preserve"> PAGEREF _Toc178837552 \h </w:instrText>
            </w:r>
            <w:r w:rsidR="00FD58BF">
              <w:rPr>
                <w:noProof/>
                <w:webHidden/>
              </w:rPr>
            </w:r>
            <w:r w:rsidR="00FD58BF">
              <w:rPr>
                <w:noProof/>
                <w:webHidden/>
              </w:rPr>
              <w:fldChar w:fldCharType="separate"/>
            </w:r>
            <w:r w:rsidR="00FD58BF">
              <w:rPr>
                <w:noProof/>
                <w:webHidden/>
              </w:rPr>
              <w:t>417</w:t>
            </w:r>
            <w:r w:rsidR="00FD58BF">
              <w:rPr>
                <w:noProof/>
                <w:webHidden/>
              </w:rPr>
              <w:fldChar w:fldCharType="end"/>
            </w:r>
          </w:hyperlink>
        </w:p>
        <w:p w14:paraId="4F7AE320" w14:textId="52FEAB7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3" w:history="1">
            <w:r w:rsidR="00FD58BF" w:rsidRPr="003004E5">
              <w:rPr>
                <w:rStyle w:val="Lienhypertexte"/>
                <w:noProof/>
              </w:rPr>
              <w:t>21.36.5e Couvre-murs en terre cuite CCTB 01.11</w:t>
            </w:r>
            <w:r w:rsidR="00FD58BF">
              <w:rPr>
                <w:noProof/>
                <w:webHidden/>
              </w:rPr>
              <w:tab/>
            </w:r>
            <w:r w:rsidR="00FD58BF">
              <w:rPr>
                <w:noProof/>
                <w:webHidden/>
              </w:rPr>
              <w:fldChar w:fldCharType="begin"/>
            </w:r>
            <w:r w:rsidR="00FD58BF">
              <w:rPr>
                <w:noProof/>
                <w:webHidden/>
              </w:rPr>
              <w:instrText xml:space="preserve"> PAGEREF _Toc178837553 \h </w:instrText>
            </w:r>
            <w:r w:rsidR="00FD58BF">
              <w:rPr>
                <w:noProof/>
                <w:webHidden/>
              </w:rPr>
            </w:r>
            <w:r w:rsidR="00FD58BF">
              <w:rPr>
                <w:noProof/>
                <w:webHidden/>
              </w:rPr>
              <w:fldChar w:fldCharType="separate"/>
            </w:r>
            <w:r w:rsidR="00FD58BF">
              <w:rPr>
                <w:noProof/>
                <w:webHidden/>
              </w:rPr>
              <w:t>418</w:t>
            </w:r>
            <w:r w:rsidR="00FD58BF">
              <w:rPr>
                <w:noProof/>
                <w:webHidden/>
              </w:rPr>
              <w:fldChar w:fldCharType="end"/>
            </w:r>
          </w:hyperlink>
        </w:p>
        <w:p w14:paraId="38681EB6" w14:textId="7E58FB3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4" w:history="1">
            <w:r w:rsidR="00FD58BF" w:rsidRPr="003004E5">
              <w:rPr>
                <w:rStyle w:val="Lienhypertexte"/>
                <w:noProof/>
              </w:rPr>
              <w:t>21.36.5f Couvre-murs métalliques CCTB 01.11</w:t>
            </w:r>
            <w:r w:rsidR="00FD58BF">
              <w:rPr>
                <w:noProof/>
                <w:webHidden/>
              </w:rPr>
              <w:tab/>
            </w:r>
            <w:r w:rsidR="00FD58BF">
              <w:rPr>
                <w:noProof/>
                <w:webHidden/>
              </w:rPr>
              <w:fldChar w:fldCharType="begin"/>
            </w:r>
            <w:r w:rsidR="00FD58BF">
              <w:rPr>
                <w:noProof/>
                <w:webHidden/>
              </w:rPr>
              <w:instrText xml:space="preserve"> PAGEREF _Toc178837554 \h </w:instrText>
            </w:r>
            <w:r w:rsidR="00FD58BF">
              <w:rPr>
                <w:noProof/>
                <w:webHidden/>
              </w:rPr>
            </w:r>
            <w:r w:rsidR="00FD58BF">
              <w:rPr>
                <w:noProof/>
                <w:webHidden/>
              </w:rPr>
              <w:fldChar w:fldCharType="separate"/>
            </w:r>
            <w:r w:rsidR="00FD58BF">
              <w:rPr>
                <w:noProof/>
                <w:webHidden/>
              </w:rPr>
              <w:t>418</w:t>
            </w:r>
            <w:r w:rsidR="00FD58BF">
              <w:rPr>
                <w:noProof/>
                <w:webHidden/>
              </w:rPr>
              <w:fldChar w:fldCharType="end"/>
            </w:r>
          </w:hyperlink>
        </w:p>
        <w:p w14:paraId="0D6F0F07" w14:textId="4A65E61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5" w:history="1">
            <w:r w:rsidR="00FD58BF" w:rsidRPr="003004E5">
              <w:rPr>
                <w:rStyle w:val="Lienhypertexte"/>
                <w:noProof/>
              </w:rPr>
              <w:t>21.36.5g Couvre-murs synthétiques CCTB 01.11</w:t>
            </w:r>
            <w:r w:rsidR="00FD58BF">
              <w:rPr>
                <w:noProof/>
                <w:webHidden/>
              </w:rPr>
              <w:tab/>
            </w:r>
            <w:r w:rsidR="00FD58BF">
              <w:rPr>
                <w:noProof/>
                <w:webHidden/>
              </w:rPr>
              <w:fldChar w:fldCharType="begin"/>
            </w:r>
            <w:r w:rsidR="00FD58BF">
              <w:rPr>
                <w:noProof/>
                <w:webHidden/>
              </w:rPr>
              <w:instrText xml:space="preserve"> PAGEREF _Toc178837555 \h </w:instrText>
            </w:r>
            <w:r w:rsidR="00FD58BF">
              <w:rPr>
                <w:noProof/>
                <w:webHidden/>
              </w:rPr>
            </w:r>
            <w:r w:rsidR="00FD58BF">
              <w:rPr>
                <w:noProof/>
                <w:webHidden/>
              </w:rPr>
              <w:fldChar w:fldCharType="separate"/>
            </w:r>
            <w:r w:rsidR="00FD58BF">
              <w:rPr>
                <w:noProof/>
                <w:webHidden/>
              </w:rPr>
              <w:t>418</w:t>
            </w:r>
            <w:r w:rsidR="00FD58BF">
              <w:rPr>
                <w:noProof/>
                <w:webHidden/>
              </w:rPr>
              <w:fldChar w:fldCharType="end"/>
            </w:r>
          </w:hyperlink>
        </w:p>
        <w:p w14:paraId="78A02A06" w14:textId="3AB7A22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56" w:history="1">
            <w:r w:rsidR="00FD58BF" w:rsidRPr="003004E5">
              <w:rPr>
                <w:rStyle w:val="Lienhypertexte"/>
                <w:noProof/>
              </w:rPr>
              <w:t>21.36.6 Couvertures de cheminées CCTB 01.04</w:t>
            </w:r>
            <w:r w:rsidR="00FD58BF">
              <w:rPr>
                <w:noProof/>
                <w:webHidden/>
              </w:rPr>
              <w:tab/>
            </w:r>
            <w:r w:rsidR="00FD58BF">
              <w:rPr>
                <w:noProof/>
                <w:webHidden/>
              </w:rPr>
              <w:fldChar w:fldCharType="begin"/>
            </w:r>
            <w:r w:rsidR="00FD58BF">
              <w:rPr>
                <w:noProof/>
                <w:webHidden/>
              </w:rPr>
              <w:instrText xml:space="preserve"> PAGEREF _Toc178837556 \h </w:instrText>
            </w:r>
            <w:r w:rsidR="00FD58BF">
              <w:rPr>
                <w:noProof/>
                <w:webHidden/>
              </w:rPr>
            </w:r>
            <w:r w:rsidR="00FD58BF">
              <w:rPr>
                <w:noProof/>
                <w:webHidden/>
              </w:rPr>
              <w:fldChar w:fldCharType="separate"/>
            </w:r>
            <w:r w:rsidR="00FD58BF">
              <w:rPr>
                <w:noProof/>
                <w:webHidden/>
              </w:rPr>
              <w:t>418</w:t>
            </w:r>
            <w:r w:rsidR="00FD58BF">
              <w:rPr>
                <w:noProof/>
                <w:webHidden/>
              </w:rPr>
              <w:fldChar w:fldCharType="end"/>
            </w:r>
          </w:hyperlink>
        </w:p>
        <w:p w14:paraId="33792802" w14:textId="55D6B13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7" w:history="1">
            <w:r w:rsidR="00FD58BF" w:rsidRPr="003004E5">
              <w:rPr>
                <w:rStyle w:val="Lienhypertexte"/>
                <w:noProof/>
              </w:rPr>
              <w:t>21.36.6a Couvertures de cheminées en pierre CCTB 01.04</w:t>
            </w:r>
            <w:r w:rsidR="00FD58BF">
              <w:rPr>
                <w:noProof/>
                <w:webHidden/>
              </w:rPr>
              <w:tab/>
            </w:r>
            <w:r w:rsidR="00FD58BF">
              <w:rPr>
                <w:noProof/>
                <w:webHidden/>
              </w:rPr>
              <w:fldChar w:fldCharType="begin"/>
            </w:r>
            <w:r w:rsidR="00FD58BF">
              <w:rPr>
                <w:noProof/>
                <w:webHidden/>
              </w:rPr>
              <w:instrText xml:space="preserve"> PAGEREF _Toc178837557 \h </w:instrText>
            </w:r>
            <w:r w:rsidR="00FD58BF">
              <w:rPr>
                <w:noProof/>
                <w:webHidden/>
              </w:rPr>
            </w:r>
            <w:r w:rsidR="00FD58BF">
              <w:rPr>
                <w:noProof/>
                <w:webHidden/>
              </w:rPr>
              <w:fldChar w:fldCharType="separate"/>
            </w:r>
            <w:r w:rsidR="00FD58BF">
              <w:rPr>
                <w:noProof/>
                <w:webHidden/>
              </w:rPr>
              <w:t>418</w:t>
            </w:r>
            <w:r w:rsidR="00FD58BF">
              <w:rPr>
                <w:noProof/>
                <w:webHidden/>
              </w:rPr>
              <w:fldChar w:fldCharType="end"/>
            </w:r>
          </w:hyperlink>
        </w:p>
        <w:p w14:paraId="4A00AA12" w14:textId="11175DB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8" w:history="1">
            <w:r w:rsidR="00FD58BF" w:rsidRPr="003004E5">
              <w:rPr>
                <w:rStyle w:val="Lienhypertexte"/>
                <w:noProof/>
              </w:rPr>
              <w:t>21.36.6b Couvertures de cheminées en béton CCTB 01.11</w:t>
            </w:r>
            <w:r w:rsidR="00FD58BF">
              <w:rPr>
                <w:noProof/>
                <w:webHidden/>
              </w:rPr>
              <w:tab/>
            </w:r>
            <w:r w:rsidR="00FD58BF">
              <w:rPr>
                <w:noProof/>
                <w:webHidden/>
              </w:rPr>
              <w:fldChar w:fldCharType="begin"/>
            </w:r>
            <w:r w:rsidR="00FD58BF">
              <w:rPr>
                <w:noProof/>
                <w:webHidden/>
              </w:rPr>
              <w:instrText xml:space="preserve"> PAGEREF _Toc178837558 \h </w:instrText>
            </w:r>
            <w:r w:rsidR="00FD58BF">
              <w:rPr>
                <w:noProof/>
                <w:webHidden/>
              </w:rPr>
            </w:r>
            <w:r w:rsidR="00FD58BF">
              <w:rPr>
                <w:noProof/>
                <w:webHidden/>
              </w:rPr>
              <w:fldChar w:fldCharType="separate"/>
            </w:r>
            <w:r w:rsidR="00FD58BF">
              <w:rPr>
                <w:noProof/>
                <w:webHidden/>
              </w:rPr>
              <w:t>418</w:t>
            </w:r>
            <w:r w:rsidR="00FD58BF">
              <w:rPr>
                <w:noProof/>
                <w:webHidden/>
              </w:rPr>
              <w:fldChar w:fldCharType="end"/>
            </w:r>
          </w:hyperlink>
        </w:p>
        <w:p w14:paraId="16894A1C" w14:textId="54B02F0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9" w:history="1">
            <w:r w:rsidR="00FD58BF" w:rsidRPr="003004E5">
              <w:rPr>
                <w:rStyle w:val="Lienhypertexte"/>
                <w:noProof/>
              </w:rPr>
              <w:t>21.36.6c Couvertures de cheminées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_Toc178837559 \h </w:instrText>
            </w:r>
            <w:r w:rsidR="00FD58BF">
              <w:rPr>
                <w:noProof/>
                <w:webHidden/>
              </w:rPr>
            </w:r>
            <w:r w:rsidR="00FD58BF">
              <w:rPr>
                <w:noProof/>
                <w:webHidden/>
              </w:rPr>
              <w:fldChar w:fldCharType="separate"/>
            </w:r>
            <w:r w:rsidR="00FD58BF">
              <w:rPr>
                <w:noProof/>
                <w:webHidden/>
              </w:rPr>
              <w:t>420</w:t>
            </w:r>
            <w:r w:rsidR="00FD58BF">
              <w:rPr>
                <w:noProof/>
                <w:webHidden/>
              </w:rPr>
              <w:fldChar w:fldCharType="end"/>
            </w:r>
          </w:hyperlink>
        </w:p>
        <w:p w14:paraId="2BECD849" w14:textId="6B5022D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0" w:history="1">
            <w:r w:rsidR="00FD58BF" w:rsidRPr="003004E5">
              <w:rPr>
                <w:rStyle w:val="Lienhypertexte"/>
                <w:noProof/>
              </w:rPr>
              <w:t>21.36.6d Couvertures de cheminées en fibres-ciment CCTB 01.04</w:t>
            </w:r>
            <w:r w:rsidR="00FD58BF">
              <w:rPr>
                <w:noProof/>
                <w:webHidden/>
              </w:rPr>
              <w:tab/>
            </w:r>
            <w:r w:rsidR="00FD58BF">
              <w:rPr>
                <w:noProof/>
                <w:webHidden/>
              </w:rPr>
              <w:fldChar w:fldCharType="begin"/>
            </w:r>
            <w:r w:rsidR="00FD58BF">
              <w:rPr>
                <w:noProof/>
                <w:webHidden/>
              </w:rPr>
              <w:instrText xml:space="preserve"> PAGEREF _Toc178837560 \h </w:instrText>
            </w:r>
            <w:r w:rsidR="00FD58BF">
              <w:rPr>
                <w:noProof/>
                <w:webHidden/>
              </w:rPr>
            </w:r>
            <w:r w:rsidR="00FD58BF">
              <w:rPr>
                <w:noProof/>
                <w:webHidden/>
              </w:rPr>
              <w:fldChar w:fldCharType="separate"/>
            </w:r>
            <w:r w:rsidR="00FD58BF">
              <w:rPr>
                <w:noProof/>
                <w:webHidden/>
              </w:rPr>
              <w:t>421</w:t>
            </w:r>
            <w:r w:rsidR="00FD58BF">
              <w:rPr>
                <w:noProof/>
                <w:webHidden/>
              </w:rPr>
              <w:fldChar w:fldCharType="end"/>
            </w:r>
          </w:hyperlink>
        </w:p>
        <w:p w14:paraId="38322044" w14:textId="7FF3B20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61" w:history="1">
            <w:r w:rsidR="00FD58BF" w:rsidRPr="003004E5">
              <w:rPr>
                <w:rStyle w:val="Lienhypertexte"/>
                <w:noProof/>
              </w:rPr>
              <w:t>21.36.7 Bandeaux CCTB 01.04</w:t>
            </w:r>
            <w:r w:rsidR="00FD58BF">
              <w:rPr>
                <w:noProof/>
                <w:webHidden/>
              </w:rPr>
              <w:tab/>
            </w:r>
            <w:r w:rsidR="00FD58BF">
              <w:rPr>
                <w:noProof/>
                <w:webHidden/>
              </w:rPr>
              <w:fldChar w:fldCharType="begin"/>
            </w:r>
            <w:r w:rsidR="00FD58BF">
              <w:rPr>
                <w:noProof/>
                <w:webHidden/>
              </w:rPr>
              <w:instrText xml:space="preserve"> PAGEREF _Toc178837561 \h </w:instrText>
            </w:r>
            <w:r w:rsidR="00FD58BF">
              <w:rPr>
                <w:noProof/>
                <w:webHidden/>
              </w:rPr>
            </w:r>
            <w:r w:rsidR="00FD58BF">
              <w:rPr>
                <w:noProof/>
                <w:webHidden/>
              </w:rPr>
              <w:fldChar w:fldCharType="separate"/>
            </w:r>
            <w:r w:rsidR="00FD58BF">
              <w:rPr>
                <w:noProof/>
                <w:webHidden/>
              </w:rPr>
              <w:t>421</w:t>
            </w:r>
            <w:r w:rsidR="00FD58BF">
              <w:rPr>
                <w:noProof/>
                <w:webHidden/>
              </w:rPr>
              <w:fldChar w:fldCharType="end"/>
            </w:r>
          </w:hyperlink>
        </w:p>
        <w:p w14:paraId="760CAFEF" w14:textId="6CC4BC0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2" w:history="1">
            <w:r w:rsidR="00FD58BF" w:rsidRPr="003004E5">
              <w:rPr>
                <w:rStyle w:val="Lienhypertexte"/>
                <w:noProof/>
              </w:rPr>
              <w:t>21.36.7a Bandeaux en pierre CCTB 01.04</w:t>
            </w:r>
            <w:r w:rsidR="00FD58BF">
              <w:rPr>
                <w:noProof/>
                <w:webHidden/>
              </w:rPr>
              <w:tab/>
            </w:r>
            <w:r w:rsidR="00FD58BF">
              <w:rPr>
                <w:noProof/>
                <w:webHidden/>
              </w:rPr>
              <w:fldChar w:fldCharType="begin"/>
            </w:r>
            <w:r w:rsidR="00FD58BF">
              <w:rPr>
                <w:noProof/>
                <w:webHidden/>
              </w:rPr>
              <w:instrText xml:space="preserve"> PAGEREF _Toc178837562 \h </w:instrText>
            </w:r>
            <w:r w:rsidR="00FD58BF">
              <w:rPr>
                <w:noProof/>
                <w:webHidden/>
              </w:rPr>
            </w:r>
            <w:r w:rsidR="00FD58BF">
              <w:rPr>
                <w:noProof/>
                <w:webHidden/>
              </w:rPr>
              <w:fldChar w:fldCharType="separate"/>
            </w:r>
            <w:r w:rsidR="00FD58BF">
              <w:rPr>
                <w:noProof/>
                <w:webHidden/>
              </w:rPr>
              <w:t>421</w:t>
            </w:r>
            <w:r w:rsidR="00FD58BF">
              <w:rPr>
                <w:noProof/>
                <w:webHidden/>
              </w:rPr>
              <w:fldChar w:fldCharType="end"/>
            </w:r>
          </w:hyperlink>
        </w:p>
        <w:p w14:paraId="5FC65EDB" w14:textId="567149F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3" w:history="1">
            <w:r w:rsidR="00FD58BF" w:rsidRPr="003004E5">
              <w:rPr>
                <w:rStyle w:val="Lienhypertexte"/>
                <w:noProof/>
              </w:rPr>
              <w:t>21.36.7b Bandeaux en éléments préfabriqués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_Toc178837563 \h </w:instrText>
            </w:r>
            <w:r w:rsidR="00FD58BF">
              <w:rPr>
                <w:noProof/>
                <w:webHidden/>
              </w:rPr>
            </w:r>
            <w:r w:rsidR="00FD58BF">
              <w:rPr>
                <w:noProof/>
                <w:webHidden/>
              </w:rPr>
              <w:fldChar w:fldCharType="separate"/>
            </w:r>
            <w:r w:rsidR="00FD58BF">
              <w:rPr>
                <w:noProof/>
                <w:webHidden/>
              </w:rPr>
              <w:t>421</w:t>
            </w:r>
            <w:r w:rsidR="00FD58BF">
              <w:rPr>
                <w:noProof/>
                <w:webHidden/>
              </w:rPr>
              <w:fldChar w:fldCharType="end"/>
            </w:r>
          </w:hyperlink>
        </w:p>
        <w:p w14:paraId="5831DB49" w14:textId="457533F8"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64" w:history="1">
            <w:r w:rsidR="00FD58BF" w:rsidRPr="003004E5">
              <w:rPr>
                <w:rStyle w:val="Lienhypertexte"/>
                <w:noProof/>
              </w:rPr>
              <w:t>21.4 Eléments particuliers pour maçonneries CCTB 01.02</w:t>
            </w:r>
            <w:r w:rsidR="00FD58BF">
              <w:rPr>
                <w:noProof/>
                <w:webHidden/>
              </w:rPr>
              <w:tab/>
            </w:r>
            <w:r w:rsidR="00FD58BF">
              <w:rPr>
                <w:noProof/>
                <w:webHidden/>
              </w:rPr>
              <w:fldChar w:fldCharType="begin"/>
            </w:r>
            <w:r w:rsidR="00FD58BF">
              <w:rPr>
                <w:noProof/>
                <w:webHidden/>
              </w:rPr>
              <w:instrText xml:space="preserve"> PAGEREF _Toc178837564 \h </w:instrText>
            </w:r>
            <w:r w:rsidR="00FD58BF">
              <w:rPr>
                <w:noProof/>
                <w:webHidden/>
              </w:rPr>
            </w:r>
            <w:r w:rsidR="00FD58BF">
              <w:rPr>
                <w:noProof/>
                <w:webHidden/>
              </w:rPr>
              <w:fldChar w:fldCharType="separate"/>
            </w:r>
            <w:r w:rsidR="00FD58BF">
              <w:rPr>
                <w:noProof/>
                <w:webHidden/>
              </w:rPr>
              <w:t>421</w:t>
            </w:r>
            <w:r w:rsidR="00FD58BF">
              <w:rPr>
                <w:noProof/>
                <w:webHidden/>
              </w:rPr>
              <w:fldChar w:fldCharType="end"/>
            </w:r>
          </w:hyperlink>
        </w:p>
        <w:p w14:paraId="0BB676A9" w14:textId="747F8C3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65" w:history="1">
            <w:r w:rsidR="00FD58BF" w:rsidRPr="003004E5">
              <w:rPr>
                <w:rStyle w:val="Lienhypertexte"/>
                <w:noProof/>
              </w:rPr>
              <w:t>21.41 Armatures pour maçonneries CCTB 01.02</w:t>
            </w:r>
            <w:r w:rsidR="00FD58BF">
              <w:rPr>
                <w:noProof/>
                <w:webHidden/>
              </w:rPr>
              <w:tab/>
            </w:r>
            <w:r w:rsidR="00FD58BF">
              <w:rPr>
                <w:noProof/>
                <w:webHidden/>
              </w:rPr>
              <w:fldChar w:fldCharType="begin"/>
            </w:r>
            <w:r w:rsidR="00FD58BF">
              <w:rPr>
                <w:noProof/>
                <w:webHidden/>
              </w:rPr>
              <w:instrText xml:space="preserve"> PAGEREF _Toc178837565 \h </w:instrText>
            </w:r>
            <w:r w:rsidR="00FD58BF">
              <w:rPr>
                <w:noProof/>
                <w:webHidden/>
              </w:rPr>
            </w:r>
            <w:r w:rsidR="00FD58BF">
              <w:rPr>
                <w:noProof/>
                <w:webHidden/>
              </w:rPr>
              <w:fldChar w:fldCharType="separate"/>
            </w:r>
            <w:r w:rsidR="00FD58BF">
              <w:rPr>
                <w:noProof/>
                <w:webHidden/>
              </w:rPr>
              <w:t>421</w:t>
            </w:r>
            <w:r w:rsidR="00FD58BF">
              <w:rPr>
                <w:noProof/>
                <w:webHidden/>
              </w:rPr>
              <w:fldChar w:fldCharType="end"/>
            </w:r>
          </w:hyperlink>
        </w:p>
        <w:p w14:paraId="71F2DD86" w14:textId="6AC13B2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66" w:history="1">
            <w:r w:rsidR="00FD58BF" w:rsidRPr="003004E5">
              <w:rPr>
                <w:rStyle w:val="Lienhypertexte"/>
                <w:noProof/>
              </w:rPr>
              <w:t>21.41.1 Armatures horizontales pour maçonneries CCTB 01.11</w:t>
            </w:r>
            <w:r w:rsidR="00FD58BF">
              <w:rPr>
                <w:noProof/>
                <w:webHidden/>
              </w:rPr>
              <w:tab/>
            </w:r>
            <w:r w:rsidR="00FD58BF">
              <w:rPr>
                <w:noProof/>
                <w:webHidden/>
              </w:rPr>
              <w:fldChar w:fldCharType="begin"/>
            </w:r>
            <w:r w:rsidR="00FD58BF">
              <w:rPr>
                <w:noProof/>
                <w:webHidden/>
              </w:rPr>
              <w:instrText xml:space="preserve"> PAGEREF _Toc178837566 \h </w:instrText>
            </w:r>
            <w:r w:rsidR="00FD58BF">
              <w:rPr>
                <w:noProof/>
                <w:webHidden/>
              </w:rPr>
            </w:r>
            <w:r w:rsidR="00FD58BF">
              <w:rPr>
                <w:noProof/>
                <w:webHidden/>
              </w:rPr>
              <w:fldChar w:fldCharType="separate"/>
            </w:r>
            <w:r w:rsidR="00FD58BF">
              <w:rPr>
                <w:noProof/>
                <w:webHidden/>
              </w:rPr>
              <w:t>421</w:t>
            </w:r>
            <w:r w:rsidR="00FD58BF">
              <w:rPr>
                <w:noProof/>
                <w:webHidden/>
              </w:rPr>
              <w:fldChar w:fldCharType="end"/>
            </w:r>
          </w:hyperlink>
        </w:p>
        <w:p w14:paraId="0D295D5C" w14:textId="361B834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7" w:history="1">
            <w:r w:rsidR="00FD58BF" w:rsidRPr="003004E5">
              <w:rPr>
                <w:rStyle w:val="Lienhypertexte"/>
                <w:noProof/>
              </w:rPr>
              <w:t>21.41.1a Armatures horizontales préfabriquées à treillis pour maçonneries (barres rondes) CCTB 01.11</w:t>
            </w:r>
            <w:r w:rsidR="00FD58BF">
              <w:rPr>
                <w:noProof/>
                <w:webHidden/>
              </w:rPr>
              <w:tab/>
            </w:r>
            <w:r w:rsidR="00FD58BF">
              <w:rPr>
                <w:noProof/>
                <w:webHidden/>
              </w:rPr>
              <w:fldChar w:fldCharType="begin"/>
            </w:r>
            <w:r w:rsidR="00FD58BF">
              <w:rPr>
                <w:noProof/>
                <w:webHidden/>
              </w:rPr>
              <w:instrText xml:space="preserve"> PAGEREF _Toc178837567 \h </w:instrText>
            </w:r>
            <w:r w:rsidR="00FD58BF">
              <w:rPr>
                <w:noProof/>
                <w:webHidden/>
              </w:rPr>
            </w:r>
            <w:r w:rsidR="00FD58BF">
              <w:rPr>
                <w:noProof/>
                <w:webHidden/>
              </w:rPr>
              <w:fldChar w:fldCharType="separate"/>
            </w:r>
            <w:r w:rsidR="00FD58BF">
              <w:rPr>
                <w:noProof/>
                <w:webHidden/>
              </w:rPr>
              <w:t>423</w:t>
            </w:r>
            <w:r w:rsidR="00FD58BF">
              <w:rPr>
                <w:noProof/>
                <w:webHidden/>
              </w:rPr>
              <w:fldChar w:fldCharType="end"/>
            </w:r>
          </w:hyperlink>
        </w:p>
        <w:p w14:paraId="06EF59AF" w14:textId="1C3E6DA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8" w:history="1">
            <w:r w:rsidR="00FD58BF" w:rsidRPr="003004E5">
              <w:rPr>
                <w:rStyle w:val="Lienhypertexte"/>
                <w:noProof/>
              </w:rPr>
              <w:t>21.41.1b Armatures horizontales préfabriquées à treillis pour maçonneries (barres plates) CCTB 01.11</w:t>
            </w:r>
            <w:r w:rsidR="00FD58BF">
              <w:rPr>
                <w:noProof/>
                <w:webHidden/>
              </w:rPr>
              <w:tab/>
            </w:r>
            <w:r w:rsidR="00FD58BF">
              <w:rPr>
                <w:noProof/>
                <w:webHidden/>
              </w:rPr>
              <w:fldChar w:fldCharType="begin"/>
            </w:r>
            <w:r w:rsidR="00FD58BF">
              <w:rPr>
                <w:noProof/>
                <w:webHidden/>
              </w:rPr>
              <w:instrText xml:space="preserve"> PAGEREF _Toc178837568 \h </w:instrText>
            </w:r>
            <w:r w:rsidR="00FD58BF">
              <w:rPr>
                <w:noProof/>
                <w:webHidden/>
              </w:rPr>
            </w:r>
            <w:r w:rsidR="00FD58BF">
              <w:rPr>
                <w:noProof/>
                <w:webHidden/>
              </w:rPr>
              <w:fldChar w:fldCharType="separate"/>
            </w:r>
            <w:r w:rsidR="00FD58BF">
              <w:rPr>
                <w:noProof/>
                <w:webHidden/>
              </w:rPr>
              <w:t>424</w:t>
            </w:r>
            <w:r w:rsidR="00FD58BF">
              <w:rPr>
                <w:noProof/>
                <w:webHidden/>
              </w:rPr>
              <w:fldChar w:fldCharType="end"/>
            </w:r>
          </w:hyperlink>
        </w:p>
        <w:p w14:paraId="27503816" w14:textId="4EAD66C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9" w:history="1">
            <w:r w:rsidR="00FD58BF" w:rsidRPr="003004E5">
              <w:rPr>
                <w:rStyle w:val="Lienhypertexte"/>
                <w:noProof/>
              </w:rPr>
              <w:t>21.41.1c Armatures horizontales préfabriquées à échelons pour maçonneries (barres rondes) CCTB 01.11</w:t>
            </w:r>
            <w:r w:rsidR="00FD58BF">
              <w:rPr>
                <w:noProof/>
                <w:webHidden/>
              </w:rPr>
              <w:tab/>
            </w:r>
            <w:r w:rsidR="00FD58BF">
              <w:rPr>
                <w:noProof/>
                <w:webHidden/>
              </w:rPr>
              <w:fldChar w:fldCharType="begin"/>
            </w:r>
            <w:r w:rsidR="00FD58BF">
              <w:rPr>
                <w:noProof/>
                <w:webHidden/>
              </w:rPr>
              <w:instrText xml:space="preserve"> PAGEREF _Toc178837569 \h </w:instrText>
            </w:r>
            <w:r w:rsidR="00FD58BF">
              <w:rPr>
                <w:noProof/>
                <w:webHidden/>
              </w:rPr>
            </w:r>
            <w:r w:rsidR="00FD58BF">
              <w:rPr>
                <w:noProof/>
                <w:webHidden/>
              </w:rPr>
              <w:fldChar w:fldCharType="separate"/>
            </w:r>
            <w:r w:rsidR="00FD58BF">
              <w:rPr>
                <w:noProof/>
                <w:webHidden/>
              </w:rPr>
              <w:t>424</w:t>
            </w:r>
            <w:r w:rsidR="00FD58BF">
              <w:rPr>
                <w:noProof/>
                <w:webHidden/>
              </w:rPr>
              <w:fldChar w:fldCharType="end"/>
            </w:r>
          </w:hyperlink>
        </w:p>
        <w:p w14:paraId="4B846F98" w14:textId="64E47C7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0" w:history="1">
            <w:r w:rsidR="00FD58BF" w:rsidRPr="003004E5">
              <w:rPr>
                <w:rStyle w:val="Lienhypertexte"/>
                <w:noProof/>
              </w:rPr>
              <w:t>21.41.1d Armatures horizontales préfabriquées à échelons pour maçonneries (barres plates) CCTB 01.11</w:t>
            </w:r>
            <w:r w:rsidR="00FD58BF">
              <w:rPr>
                <w:noProof/>
                <w:webHidden/>
              </w:rPr>
              <w:tab/>
            </w:r>
            <w:r w:rsidR="00FD58BF">
              <w:rPr>
                <w:noProof/>
                <w:webHidden/>
              </w:rPr>
              <w:fldChar w:fldCharType="begin"/>
            </w:r>
            <w:r w:rsidR="00FD58BF">
              <w:rPr>
                <w:noProof/>
                <w:webHidden/>
              </w:rPr>
              <w:instrText xml:space="preserve"> PAGEREF _Toc178837570 \h </w:instrText>
            </w:r>
            <w:r w:rsidR="00FD58BF">
              <w:rPr>
                <w:noProof/>
                <w:webHidden/>
              </w:rPr>
            </w:r>
            <w:r w:rsidR="00FD58BF">
              <w:rPr>
                <w:noProof/>
                <w:webHidden/>
              </w:rPr>
              <w:fldChar w:fldCharType="separate"/>
            </w:r>
            <w:r w:rsidR="00FD58BF">
              <w:rPr>
                <w:noProof/>
                <w:webHidden/>
              </w:rPr>
              <w:t>425</w:t>
            </w:r>
            <w:r w:rsidR="00FD58BF">
              <w:rPr>
                <w:noProof/>
                <w:webHidden/>
              </w:rPr>
              <w:fldChar w:fldCharType="end"/>
            </w:r>
          </w:hyperlink>
        </w:p>
        <w:p w14:paraId="32B9FEA0" w14:textId="0CFA8A9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1" w:history="1">
            <w:r w:rsidR="00FD58BF" w:rsidRPr="003004E5">
              <w:rPr>
                <w:rStyle w:val="Lienhypertexte"/>
                <w:noProof/>
              </w:rPr>
              <w:t>21.41.1e Armatures horizontales pour maçonneries en blocs de coffrage CCTB 01.11</w:t>
            </w:r>
            <w:r w:rsidR="00FD58BF">
              <w:rPr>
                <w:noProof/>
                <w:webHidden/>
              </w:rPr>
              <w:tab/>
            </w:r>
            <w:r w:rsidR="00FD58BF">
              <w:rPr>
                <w:noProof/>
                <w:webHidden/>
              </w:rPr>
              <w:fldChar w:fldCharType="begin"/>
            </w:r>
            <w:r w:rsidR="00FD58BF">
              <w:rPr>
                <w:noProof/>
                <w:webHidden/>
              </w:rPr>
              <w:instrText xml:space="preserve"> PAGEREF _Toc178837571 \h </w:instrText>
            </w:r>
            <w:r w:rsidR="00FD58BF">
              <w:rPr>
                <w:noProof/>
                <w:webHidden/>
              </w:rPr>
            </w:r>
            <w:r w:rsidR="00FD58BF">
              <w:rPr>
                <w:noProof/>
                <w:webHidden/>
              </w:rPr>
              <w:fldChar w:fldCharType="separate"/>
            </w:r>
            <w:r w:rsidR="00FD58BF">
              <w:rPr>
                <w:noProof/>
                <w:webHidden/>
              </w:rPr>
              <w:t>426</w:t>
            </w:r>
            <w:r w:rsidR="00FD58BF">
              <w:rPr>
                <w:noProof/>
                <w:webHidden/>
              </w:rPr>
              <w:fldChar w:fldCharType="end"/>
            </w:r>
          </w:hyperlink>
        </w:p>
        <w:p w14:paraId="246A02E3" w14:textId="78E4F62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2" w:history="1">
            <w:r w:rsidR="00FD58BF" w:rsidRPr="003004E5">
              <w:rPr>
                <w:rStyle w:val="Lienhypertexte"/>
                <w:noProof/>
              </w:rPr>
              <w:t>21.41.1f Armatures horizontales pour maçonneries CCTB 01.11</w:t>
            </w:r>
            <w:r w:rsidR="00FD58BF">
              <w:rPr>
                <w:noProof/>
                <w:webHidden/>
              </w:rPr>
              <w:tab/>
            </w:r>
            <w:r w:rsidR="00FD58BF">
              <w:rPr>
                <w:noProof/>
                <w:webHidden/>
              </w:rPr>
              <w:fldChar w:fldCharType="begin"/>
            </w:r>
            <w:r w:rsidR="00FD58BF">
              <w:rPr>
                <w:noProof/>
                <w:webHidden/>
              </w:rPr>
              <w:instrText xml:space="preserve"> PAGEREF _Toc178837572 \h </w:instrText>
            </w:r>
            <w:r w:rsidR="00FD58BF">
              <w:rPr>
                <w:noProof/>
                <w:webHidden/>
              </w:rPr>
            </w:r>
            <w:r w:rsidR="00FD58BF">
              <w:rPr>
                <w:noProof/>
                <w:webHidden/>
              </w:rPr>
              <w:fldChar w:fldCharType="separate"/>
            </w:r>
            <w:r w:rsidR="00FD58BF">
              <w:rPr>
                <w:noProof/>
                <w:webHidden/>
              </w:rPr>
              <w:t>426</w:t>
            </w:r>
            <w:r w:rsidR="00FD58BF">
              <w:rPr>
                <w:noProof/>
                <w:webHidden/>
              </w:rPr>
              <w:fldChar w:fldCharType="end"/>
            </w:r>
          </w:hyperlink>
        </w:p>
        <w:p w14:paraId="11FD923D" w14:textId="4E09C64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73" w:history="1">
            <w:r w:rsidR="00FD58BF" w:rsidRPr="003004E5">
              <w:rPr>
                <w:rStyle w:val="Lienhypertexte"/>
                <w:noProof/>
              </w:rPr>
              <w:t>21.41.2 Armatures verticales pour maçonneries CCTB 01.11</w:t>
            </w:r>
            <w:r w:rsidR="00FD58BF">
              <w:rPr>
                <w:noProof/>
                <w:webHidden/>
              </w:rPr>
              <w:tab/>
            </w:r>
            <w:r w:rsidR="00FD58BF">
              <w:rPr>
                <w:noProof/>
                <w:webHidden/>
              </w:rPr>
              <w:fldChar w:fldCharType="begin"/>
            </w:r>
            <w:r w:rsidR="00FD58BF">
              <w:rPr>
                <w:noProof/>
                <w:webHidden/>
              </w:rPr>
              <w:instrText xml:space="preserve"> PAGEREF _Toc178837573 \h </w:instrText>
            </w:r>
            <w:r w:rsidR="00FD58BF">
              <w:rPr>
                <w:noProof/>
                <w:webHidden/>
              </w:rPr>
            </w:r>
            <w:r w:rsidR="00FD58BF">
              <w:rPr>
                <w:noProof/>
                <w:webHidden/>
              </w:rPr>
              <w:fldChar w:fldCharType="separate"/>
            </w:r>
            <w:r w:rsidR="00FD58BF">
              <w:rPr>
                <w:noProof/>
                <w:webHidden/>
              </w:rPr>
              <w:t>427</w:t>
            </w:r>
            <w:r w:rsidR="00FD58BF">
              <w:rPr>
                <w:noProof/>
                <w:webHidden/>
              </w:rPr>
              <w:fldChar w:fldCharType="end"/>
            </w:r>
          </w:hyperlink>
        </w:p>
        <w:p w14:paraId="47DFE47C" w14:textId="69BF9DA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4" w:history="1">
            <w:r w:rsidR="00FD58BF" w:rsidRPr="003004E5">
              <w:rPr>
                <w:rStyle w:val="Lienhypertexte"/>
                <w:noProof/>
              </w:rPr>
              <w:t>21.41.2a Armatures verticales pour maçonneries en blocs de coffrage CCTB 01.07</w:t>
            </w:r>
            <w:r w:rsidR="00FD58BF">
              <w:rPr>
                <w:noProof/>
                <w:webHidden/>
              </w:rPr>
              <w:tab/>
            </w:r>
            <w:r w:rsidR="00FD58BF">
              <w:rPr>
                <w:noProof/>
                <w:webHidden/>
              </w:rPr>
              <w:fldChar w:fldCharType="begin"/>
            </w:r>
            <w:r w:rsidR="00FD58BF">
              <w:rPr>
                <w:noProof/>
                <w:webHidden/>
              </w:rPr>
              <w:instrText xml:space="preserve"> PAGEREF _Toc178837574 \h </w:instrText>
            </w:r>
            <w:r w:rsidR="00FD58BF">
              <w:rPr>
                <w:noProof/>
                <w:webHidden/>
              </w:rPr>
            </w:r>
            <w:r w:rsidR="00FD58BF">
              <w:rPr>
                <w:noProof/>
                <w:webHidden/>
              </w:rPr>
              <w:fldChar w:fldCharType="separate"/>
            </w:r>
            <w:r w:rsidR="00FD58BF">
              <w:rPr>
                <w:noProof/>
                <w:webHidden/>
              </w:rPr>
              <w:t>431</w:t>
            </w:r>
            <w:r w:rsidR="00FD58BF">
              <w:rPr>
                <w:noProof/>
                <w:webHidden/>
              </w:rPr>
              <w:fldChar w:fldCharType="end"/>
            </w:r>
          </w:hyperlink>
        </w:p>
        <w:p w14:paraId="734D36F8" w14:textId="74A8BF3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5" w:history="1">
            <w:r w:rsidR="00FD58BF" w:rsidRPr="003004E5">
              <w:rPr>
                <w:rStyle w:val="Lienhypertexte"/>
                <w:noProof/>
              </w:rPr>
              <w:t>21.41.2b Armatures verticales pour maçonneries en blocs creux CCTB 01.07</w:t>
            </w:r>
            <w:r w:rsidR="00FD58BF">
              <w:rPr>
                <w:noProof/>
                <w:webHidden/>
              </w:rPr>
              <w:tab/>
            </w:r>
            <w:r w:rsidR="00FD58BF">
              <w:rPr>
                <w:noProof/>
                <w:webHidden/>
              </w:rPr>
              <w:fldChar w:fldCharType="begin"/>
            </w:r>
            <w:r w:rsidR="00FD58BF">
              <w:rPr>
                <w:noProof/>
                <w:webHidden/>
              </w:rPr>
              <w:instrText xml:space="preserve"> PAGEREF _Toc178837575 \h </w:instrText>
            </w:r>
            <w:r w:rsidR="00FD58BF">
              <w:rPr>
                <w:noProof/>
                <w:webHidden/>
              </w:rPr>
            </w:r>
            <w:r w:rsidR="00FD58BF">
              <w:rPr>
                <w:noProof/>
                <w:webHidden/>
              </w:rPr>
              <w:fldChar w:fldCharType="separate"/>
            </w:r>
            <w:r w:rsidR="00FD58BF">
              <w:rPr>
                <w:noProof/>
                <w:webHidden/>
              </w:rPr>
              <w:t>432</w:t>
            </w:r>
            <w:r w:rsidR="00FD58BF">
              <w:rPr>
                <w:noProof/>
                <w:webHidden/>
              </w:rPr>
              <w:fldChar w:fldCharType="end"/>
            </w:r>
          </w:hyperlink>
        </w:p>
        <w:p w14:paraId="7442C4B2" w14:textId="538CE6A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6" w:history="1">
            <w:r w:rsidR="00FD58BF" w:rsidRPr="003004E5">
              <w:rPr>
                <w:rStyle w:val="Lienhypertexte"/>
                <w:noProof/>
              </w:rPr>
              <w:t>21.41.2c Armatures verticales pour maçonneries en briques creuses CCTB 01.02</w:t>
            </w:r>
            <w:r w:rsidR="00FD58BF">
              <w:rPr>
                <w:noProof/>
                <w:webHidden/>
              </w:rPr>
              <w:tab/>
            </w:r>
            <w:r w:rsidR="00FD58BF">
              <w:rPr>
                <w:noProof/>
                <w:webHidden/>
              </w:rPr>
              <w:fldChar w:fldCharType="begin"/>
            </w:r>
            <w:r w:rsidR="00FD58BF">
              <w:rPr>
                <w:noProof/>
                <w:webHidden/>
              </w:rPr>
              <w:instrText xml:space="preserve"> PAGEREF _Toc178837576 \h </w:instrText>
            </w:r>
            <w:r w:rsidR="00FD58BF">
              <w:rPr>
                <w:noProof/>
                <w:webHidden/>
              </w:rPr>
            </w:r>
            <w:r w:rsidR="00FD58BF">
              <w:rPr>
                <w:noProof/>
                <w:webHidden/>
              </w:rPr>
              <w:fldChar w:fldCharType="separate"/>
            </w:r>
            <w:r w:rsidR="00FD58BF">
              <w:rPr>
                <w:noProof/>
                <w:webHidden/>
              </w:rPr>
              <w:t>434</w:t>
            </w:r>
            <w:r w:rsidR="00FD58BF">
              <w:rPr>
                <w:noProof/>
                <w:webHidden/>
              </w:rPr>
              <w:fldChar w:fldCharType="end"/>
            </w:r>
          </w:hyperlink>
        </w:p>
        <w:p w14:paraId="4080E390" w14:textId="264E3B1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77" w:history="1">
            <w:r w:rsidR="00FD58BF" w:rsidRPr="003004E5">
              <w:rPr>
                <w:rStyle w:val="Lienhypertexte"/>
                <w:noProof/>
              </w:rPr>
              <w:t>21.41.3 Etriers supports de poutres et poutrelles CCTB 01.02</w:t>
            </w:r>
            <w:r w:rsidR="00FD58BF">
              <w:rPr>
                <w:noProof/>
                <w:webHidden/>
              </w:rPr>
              <w:tab/>
            </w:r>
            <w:r w:rsidR="00FD58BF">
              <w:rPr>
                <w:noProof/>
                <w:webHidden/>
              </w:rPr>
              <w:fldChar w:fldCharType="begin"/>
            </w:r>
            <w:r w:rsidR="00FD58BF">
              <w:rPr>
                <w:noProof/>
                <w:webHidden/>
              </w:rPr>
              <w:instrText xml:space="preserve"> PAGEREF _Toc178837577 \h </w:instrText>
            </w:r>
            <w:r w:rsidR="00FD58BF">
              <w:rPr>
                <w:noProof/>
                <w:webHidden/>
              </w:rPr>
            </w:r>
            <w:r w:rsidR="00FD58BF">
              <w:rPr>
                <w:noProof/>
                <w:webHidden/>
              </w:rPr>
              <w:fldChar w:fldCharType="separate"/>
            </w:r>
            <w:r w:rsidR="00FD58BF">
              <w:rPr>
                <w:noProof/>
                <w:webHidden/>
              </w:rPr>
              <w:t>434</w:t>
            </w:r>
            <w:r w:rsidR="00FD58BF">
              <w:rPr>
                <w:noProof/>
                <w:webHidden/>
              </w:rPr>
              <w:fldChar w:fldCharType="end"/>
            </w:r>
          </w:hyperlink>
        </w:p>
        <w:p w14:paraId="2BA6F1BE" w14:textId="2FA9DD3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8" w:history="1">
            <w:r w:rsidR="00FD58BF" w:rsidRPr="003004E5">
              <w:rPr>
                <w:rStyle w:val="Lienhypertexte"/>
                <w:noProof/>
              </w:rPr>
              <w:t>21.41.3a Etriers supports de poutres et poutrelles CCTB 01.02</w:t>
            </w:r>
            <w:r w:rsidR="00FD58BF">
              <w:rPr>
                <w:noProof/>
                <w:webHidden/>
              </w:rPr>
              <w:tab/>
            </w:r>
            <w:r w:rsidR="00FD58BF">
              <w:rPr>
                <w:noProof/>
                <w:webHidden/>
              </w:rPr>
              <w:fldChar w:fldCharType="begin"/>
            </w:r>
            <w:r w:rsidR="00FD58BF">
              <w:rPr>
                <w:noProof/>
                <w:webHidden/>
              </w:rPr>
              <w:instrText xml:space="preserve"> PAGEREF _Toc178837578 \h </w:instrText>
            </w:r>
            <w:r w:rsidR="00FD58BF">
              <w:rPr>
                <w:noProof/>
                <w:webHidden/>
              </w:rPr>
            </w:r>
            <w:r w:rsidR="00FD58BF">
              <w:rPr>
                <w:noProof/>
                <w:webHidden/>
              </w:rPr>
              <w:fldChar w:fldCharType="separate"/>
            </w:r>
            <w:r w:rsidR="00FD58BF">
              <w:rPr>
                <w:noProof/>
                <w:webHidden/>
              </w:rPr>
              <w:t>434</w:t>
            </w:r>
            <w:r w:rsidR="00FD58BF">
              <w:rPr>
                <w:noProof/>
                <w:webHidden/>
              </w:rPr>
              <w:fldChar w:fldCharType="end"/>
            </w:r>
          </w:hyperlink>
        </w:p>
        <w:p w14:paraId="3E94C51D" w14:textId="5CD692E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79" w:history="1">
            <w:r w:rsidR="00FD58BF" w:rsidRPr="003004E5">
              <w:rPr>
                <w:rStyle w:val="Lienhypertexte"/>
                <w:noProof/>
              </w:rPr>
              <w:t>21.42 Ancrages et fixations de maçonneries CCTB 01.02</w:t>
            </w:r>
            <w:r w:rsidR="00FD58BF">
              <w:rPr>
                <w:noProof/>
                <w:webHidden/>
              </w:rPr>
              <w:tab/>
            </w:r>
            <w:r w:rsidR="00FD58BF">
              <w:rPr>
                <w:noProof/>
                <w:webHidden/>
              </w:rPr>
              <w:fldChar w:fldCharType="begin"/>
            </w:r>
            <w:r w:rsidR="00FD58BF">
              <w:rPr>
                <w:noProof/>
                <w:webHidden/>
              </w:rPr>
              <w:instrText xml:space="preserve"> PAGEREF _Toc178837579 \h </w:instrText>
            </w:r>
            <w:r w:rsidR="00FD58BF">
              <w:rPr>
                <w:noProof/>
                <w:webHidden/>
              </w:rPr>
            </w:r>
            <w:r w:rsidR="00FD58BF">
              <w:rPr>
                <w:noProof/>
                <w:webHidden/>
              </w:rPr>
              <w:fldChar w:fldCharType="separate"/>
            </w:r>
            <w:r w:rsidR="00FD58BF">
              <w:rPr>
                <w:noProof/>
                <w:webHidden/>
              </w:rPr>
              <w:t>434</w:t>
            </w:r>
            <w:r w:rsidR="00FD58BF">
              <w:rPr>
                <w:noProof/>
                <w:webHidden/>
              </w:rPr>
              <w:fldChar w:fldCharType="end"/>
            </w:r>
          </w:hyperlink>
        </w:p>
        <w:p w14:paraId="6C5AC120" w14:textId="1202F6F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80" w:history="1">
            <w:r w:rsidR="00FD58BF" w:rsidRPr="003004E5">
              <w:rPr>
                <w:rStyle w:val="Lienhypertexte"/>
                <w:noProof/>
              </w:rPr>
              <w:t>21.42.1 Crochets, tirants et pattes d'ancrages de maçonneries CCTB 01.12</w:t>
            </w:r>
            <w:r w:rsidR="00FD58BF">
              <w:rPr>
                <w:noProof/>
                <w:webHidden/>
              </w:rPr>
              <w:tab/>
            </w:r>
            <w:r w:rsidR="00FD58BF">
              <w:rPr>
                <w:noProof/>
                <w:webHidden/>
              </w:rPr>
              <w:fldChar w:fldCharType="begin"/>
            </w:r>
            <w:r w:rsidR="00FD58BF">
              <w:rPr>
                <w:noProof/>
                <w:webHidden/>
              </w:rPr>
              <w:instrText xml:space="preserve"> PAGEREF _Toc178837580 \h </w:instrText>
            </w:r>
            <w:r w:rsidR="00FD58BF">
              <w:rPr>
                <w:noProof/>
                <w:webHidden/>
              </w:rPr>
            </w:r>
            <w:r w:rsidR="00FD58BF">
              <w:rPr>
                <w:noProof/>
                <w:webHidden/>
              </w:rPr>
              <w:fldChar w:fldCharType="separate"/>
            </w:r>
            <w:r w:rsidR="00FD58BF">
              <w:rPr>
                <w:noProof/>
                <w:webHidden/>
              </w:rPr>
              <w:t>434</w:t>
            </w:r>
            <w:r w:rsidR="00FD58BF">
              <w:rPr>
                <w:noProof/>
                <w:webHidden/>
              </w:rPr>
              <w:fldChar w:fldCharType="end"/>
            </w:r>
          </w:hyperlink>
        </w:p>
        <w:p w14:paraId="70AFCF6D" w14:textId="7E41C1E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1" w:history="1">
            <w:r w:rsidR="00FD58BF" w:rsidRPr="003004E5">
              <w:rPr>
                <w:rStyle w:val="Lienhypertexte"/>
                <w:noProof/>
              </w:rPr>
              <w:t>21.42.1a Crochets, tirants et pattes d'ancrages de maçonneries fixés mécaniquement CCTB 01.11</w:t>
            </w:r>
            <w:r w:rsidR="00FD58BF">
              <w:rPr>
                <w:noProof/>
                <w:webHidden/>
              </w:rPr>
              <w:tab/>
            </w:r>
            <w:r w:rsidR="00FD58BF">
              <w:rPr>
                <w:noProof/>
                <w:webHidden/>
              </w:rPr>
              <w:fldChar w:fldCharType="begin"/>
            </w:r>
            <w:r w:rsidR="00FD58BF">
              <w:rPr>
                <w:noProof/>
                <w:webHidden/>
              </w:rPr>
              <w:instrText xml:space="preserve"> PAGEREF _Toc178837581 \h </w:instrText>
            </w:r>
            <w:r w:rsidR="00FD58BF">
              <w:rPr>
                <w:noProof/>
                <w:webHidden/>
              </w:rPr>
            </w:r>
            <w:r w:rsidR="00FD58BF">
              <w:rPr>
                <w:noProof/>
                <w:webHidden/>
              </w:rPr>
              <w:fldChar w:fldCharType="separate"/>
            </w:r>
            <w:r w:rsidR="00FD58BF">
              <w:rPr>
                <w:noProof/>
                <w:webHidden/>
              </w:rPr>
              <w:t>437</w:t>
            </w:r>
            <w:r w:rsidR="00FD58BF">
              <w:rPr>
                <w:noProof/>
                <w:webHidden/>
              </w:rPr>
              <w:fldChar w:fldCharType="end"/>
            </w:r>
          </w:hyperlink>
        </w:p>
        <w:p w14:paraId="23B56A88" w14:textId="2DC8C8D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2" w:history="1">
            <w:r w:rsidR="00FD58BF" w:rsidRPr="003004E5">
              <w:rPr>
                <w:rStyle w:val="Lienhypertexte"/>
                <w:noProof/>
              </w:rPr>
              <w:t>21.42.1b Crochets, tirants et pattes d'ancrages de maçonneries scellés dans la masse CCTB 01.11</w:t>
            </w:r>
            <w:r w:rsidR="00FD58BF">
              <w:rPr>
                <w:noProof/>
                <w:webHidden/>
              </w:rPr>
              <w:tab/>
            </w:r>
            <w:r w:rsidR="00FD58BF">
              <w:rPr>
                <w:noProof/>
                <w:webHidden/>
              </w:rPr>
              <w:fldChar w:fldCharType="begin"/>
            </w:r>
            <w:r w:rsidR="00FD58BF">
              <w:rPr>
                <w:noProof/>
                <w:webHidden/>
              </w:rPr>
              <w:instrText xml:space="preserve"> PAGEREF _Toc178837582 \h </w:instrText>
            </w:r>
            <w:r w:rsidR="00FD58BF">
              <w:rPr>
                <w:noProof/>
                <w:webHidden/>
              </w:rPr>
            </w:r>
            <w:r w:rsidR="00FD58BF">
              <w:rPr>
                <w:noProof/>
                <w:webHidden/>
              </w:rPr>
              <w:fldChar w:fldCharType="separate"/>
            </w:r>
            <w:r w:rsidR="00FD58BF">
              <w:rPr>
                <w:noProof/>
                <w:webHidden/>
              </w:rPr>
              <w:t>439</w:t>
            </w:r>
            <w:r w:rsidR="00FD58BF">
              <w:rPr>
                <w:noProof/>
                <w:webHidden/>
              </w:rPr>
              <w:fldChar w:fldCharType="end"/>
            </w:r>
          </w:hyperlink>
        </w:p>
        <w:p w14:paraId="01C4A679" w14:textId="14DF4EE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3" w:history="1">
            <w:r w:rsidR="00FD58BF" w:rsidRPr="003004E5">
              <w:rPr>
                <w:rStyle w:val="Lienhypertexte"/>
                <w:noProof/>
              </w:rPr>
              <w:t>21.42.1c Crochets, tirants et pattes d'ancrages de maçonneries scellés chimiquement CCTB 01.11</w:t>
            </w:r>
            <w:r w:rsidR="00FD58BF">
              <w:rPr>
                <w:noProof/>
                <w:webHidden/>
              </w:rPr>
              <w:tab/>
            </w:r>
            <w:r w:rsidR="00FD58BF">
              <w:rPr>
                <w:noProof/>
                <w:webHidden/>
              </w:rPr>
              <w:fldChar w:fldCharType="begin"/>
            </w:r>
            <w:r w:rsidR="00FD58BF">
              <w:rPr>
                <w:noProof/>
                <w:webHidden/>
              </w:rPr>
              <w:instrText xml:space="preserve"> PAGEREF _Toc178837583 \h </w:instrText>
            </w:r>
            <w:r w:rsidR="00FD58BF">
              <w:rPr>
                <w:noProof/>
                <w:webHidden/>
              </w:rPr>
            </w:r>
            <w:r w:rsidR="00FD58BF">
              <w:rPr>
                <w:noProof/>
                <w:webHidden/>
              </w:rPr>
              <w:fldChar w:fldCharType="separate"/>
            </w:r>
            <w:r w:rsidR="00FD58BF">
              <w:rPr>
                <w:noProof/>
                <w:webHidden/>
              </w:rPr>
              <w:t>441</w:t>
            </w:r>
            <w:r w:rsidR="00FD58BF">
              <w:rPr>
                <w:noProof/>
                <w:webHidden/>
              </w:rPr>
              <w:fldChar w:fldCharType="end"/>
            </w:r>
          </w:hyperlink>
        </w:p>
        <w:p w14:paraId="703312DF" w14:textId="66550B9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84" w:history="1">
            <w:r w:rsidR="00FD58BF" w:rsidRPr="003004E5">
              <w:rPr>
                <w:rStyle w:val="Lienhypertexte"/>
                <w:noProof/>
              </w:rPr>
              <w:t>21.42.2 Profils à crochets d'ancrages de maçonneries CCTB 01.02</w:t>
            </w:r>
            <w:r w:rsidR="00FD58BF">
              <w:rPr>
                <w:noProof/>
                <w:webHidden/>
              </w:rPr>
              <w:tab/>
            </w:r>
            <w:r w:rsidR="00FD58BF">
              <w:rPr>
                <w:noProof/>
                <w:webHidden/>
              </w:rPr>
              <w:fldChar w:fldCharType="begin"/>
            </w:r>
            <w:r w:rsidR="00FD58BF">
              <w:rPr>
                <w:noProof/>
                <w:webHidden/>
              </w:rPr>
              <w:instrText xml:space="preserve"> PAGEREF _Toc178837584 \h </w:instrText>
            </w:r>
            <w:r w:rsidR="00FD58BF">
              <w:rPr>
                <w:noProof/>
                <w:webHidden/>
              </w:rPr>
            </w:r>
            <w:r w:rsidR="00FD58BF">
              <w:rPr>
                <w:noProof/>
                <w:webHidden/>
              </w:rPr>
              <w:fldChar w:fldCharType="separate"/>
            </w:r>
            <w:r w:rsidR="00FD58BF">
              <w:rPr>
                <w:noProof/>
                <w:webHidden/>
              </w:rPr>
              <w:t>444</w:t>
            </w:r>
            <w:r w:rsidR="00FD58BF">
              <w:rPr>
                <w:noProof/>
                <w:webHidden/>
              </w:rPr>
              <w:fldChar w:fldCharType="end"/>
            </w:r>
          </w:hyperlink>
        </w:p>
        <w:p w14:paraId="7267E794" w14:textId="279AF3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5" w:history="1">
            <w:r w:rsidR="00FD58BF" w:rsidRPr="003004E5">
              <w:rPr>
                <w:rStyle w:val="Lienhypertexte"/>
                <w:noProof/>
              </w:rPr>
              <w:t>21.42.2a Profils à crochets d'ancrages de maçonneries fixés mécaniquement CCTB 01.11</w:t>
            </w:r>
            <w:r w:rsidR="00FD58BF">
              <w:rPr>
                <w:noProof/>
                <w:webHidden/>
              </w:rPr>
              <w:tab/>
            </w:r>
            <w:r w:rsidR="00FD58BF">
              <w:rPr>
                <w:noProof/>
                <w:webHidden/>
              </w:rPr>
              <w:fldChar w:fldCharType="begin"/>
            </w:r>
            <w:r w:rsidR="00FD58BF">
              <w:rPr>
                <w:noProof/>
                <w:webHidden/>
              </w:rPr>
              <w:instrText xml:space="preserve"> PAGEREF _Toc178837585 \h </w:instrText>
            </w:r>
            <w:r w:rsidR="00FD58BF">
              <w:rPr>
                <w:noProof/>
                <w:webHidden/>
              </w:rPr>
            </w:r>
            <w:r w:rsidR="00FD58BF">
              <w:rPr>
                <w:noProof/>
                <w:webHidden/>
              </w:rPr>
              <w:fldChar w:fldCharType="separate"/>
            </w:r>
            <w:r w:rsidR="00FD58BF">
              <w:rPr>
                <w:noProof/>
                <w:webHidden/>
              </w:rPr>
              <w:t>444</w:t>
            </w:r>
            <w:r w:rsidR="00FD58BF">
              <w:rPr>
                <w:noProof/>
                <w:webHidden/>
              </w:rPr>
              <w:fldChar w:fldCharType="end"/>
            </w:r>
          </w:hyperlink>
        </w:p>
        <w:p w14:paraId="172BFF32" w14:textId="767B23F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6" w:history="1">
            <w:r w:rsidR="00FD58BF" w:rsidRPr="003004E5">
              <w:rPr>
                <w:rStyle w:val="Lienhypertexte"/>
                <w:noProof/>
              </w:rPr>
              <w:t>21.42.2b Profils à crochets d'ancrages de maçonneries scellés dans la masse CCTB 01.11</w:t>
            </w:r>
            <w:r w:rsidR="00FD58BF">
              <w:rPr>
                <w:noProof/>
                <w:webHidden/>
              </w:rPr>
              <w:tab/>
            </w:r>
            <w:r w:rsidR="00FD58BF">
              <w:rPr>
                <w:noProof/>
                <w:webHidden/>
              </w:rPr>
              <w:fldChar w:fldCharType="begin"/>
            </w:r>
            <w:r w:rsidR="00FD58BF">
              <w:rPr>
                <w:noProof/>
                <w:webHidden/>
              </w:rPr>
              <w:instrText xml:space="preserve"> PAGEREF _Toc178837586 \h </w:instrText>
            </w:r>
            <w:r w:rsidR="00FD58BF">
              <w:rPr>
                <w:noProof/>
                <w:webHidden/>
              </w:rPr>
            </w:r>
            <w:r w:rsidR="00FD58BF">
              <w:rPr>
                <w:noProof/>
                <w:webHidden/>
              </w:rPr>
              <w:fldChar w:fldCharType="separate"/>
            </w:r>
            <w:r w:rsidR="00FD58BF">
              <w:rPr>
                <w:noProof/>
                <w:webHidden/>
              </w:rPr>
              <w:t>445</w:t>
            </w:r>
            <w:r w:rsidR="00FD58BF">
              <w:rPr>
                <w:noProof/>
                <w:webHidden/>
              </w:rPr>
              <w:fldChar w:fldCharType="end"/>
            </w:r>
          </w:hyperlink>
        </w:p>
        <w:p w14:paraId="0DE9E055" w14:textId="09A569F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87" w:history="1">
            <w:r w:rsidR="00FD58BF" w:rsidRPr="003004E5">
              <w:rPr>
                <w:rStyle w:val="Lienhypertexte"/>
                <w:noProof/>
              </w:rPr>
              <w:t>21.42.3 Feuillards métalliques de fixation de maçonneries CCTB 01.02</w:t>
            </w:r>
            <w:r w:rsidR="00FD58BF">
              <w:rPr>
                <w:noProof/>
                <w:webHidden/>
              </w:rPr>
              <w:tab/>
            </w:r>
            <w:r w:rsidR="00FD58BF">
              <w:rPr>
                <w:noProof/>
                <w:webHidden/>
              </w:rPr>
              <w:fldChar w:fldCharType="begin"/>
            </w:r>
            <w:r w:rsidR="00FD58BF">
              <w:rPr>
                <w:noProof/>
                <w:webHidden/>
              </w:rPr>
              <w:instrText xml:space="preserve"> PAGEREF _Toc178837587 \h </w:instrText>
            </w:r>
            <w:r w:rsidR="00FD58BF">
              <w:rPr>
                <w:noProof/>
                <w:webHidden/>
              </w:rPr>
            </w:r>
            <w:r w:rsidR="00FD58BF">
              <w:rPr>
                <w:noProof/>
                <w:webHidden/>
              </w:rPr>
              <w:fldChar w:fldCharType="separate"/>
            </w:r>
            <w:r w:rsidR="00FD58BF">
              <w:rPr>
                <w:noProof/>
                <w:webHidden/>
              </w:rPr>
              <w:t>445</w:t>
            </w:r>
            <w:r w:rsidR="00FD58BF">
              <w:rPr>
                <w:noProof/>
                <w:webHidden/>
              </w:rPr>
              <w:fldChar w:fldCharType="end"/>
            </w:r>
          </w:hyperlink>
        </w:p>
        <w:p w14:paraId="604FD513" w14:textId="607FD52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8" w:history="1">
            <w:r w:rsidR="00FD58BF" w:rsidRPr="003004E5">
              <w:rPr>
                <w:rStyle w:val="Lienhypertexte"/>
                <w:noProof/>
              </w:rPr>
              <w:t>21.42.3a Feuillards métalliques de fixation de maçonneries CCTB 01.12</w:t>
            </w:r>
            <w:r w:rsidR="00FD58BF">
              <w:rPr>
                <w:noProof/>
                <w:webHidden/>
              </w:rPr>
              <w:tab/>
            </w:r>
            <w:r w:rsidR="00FD58BF">
              <w:rPr>
                <w:noProof/>
                <w:webHidden/>
              </w:rPr>
              <w:fldChar w:fldCharType="begin"/>
            </w:r>
            <w:r w:rsidR="00FD58BF">
              <w:rPr>
                <w:noProof/>
                <w:webHidden/>
              </w:rPr>
              <w:instrText xml:space="preserve"> PAGEREF _Toc178837588 \h </w:instrText>
            </w:r>
            <w:r w:rsidR="00FD58BF">
              <w:rPr>
                <w:noProof/>
                <w:webHidden/>
              </w:rPr>
            </w:r>
            <w:r w:rsidR="00FD58BF">
              <w:rPr>
                <w:noProof/>
                <w:webHidden/>
              </w:rPr>
              <w:fldChar w:fldCharType="separate"/>
            </w:r>
            <w:r w:rsidR="00FD58BF">
              <w:rPr>
                <w:noProof/>
                <w:webHidden/>
              </w:rPr>
              <w:t>445</w:t>
            </w:r>
            <w:r w:rsidR="00FD58BF">
              <w:rPr>
                <w:noProof/>
                <w:webHidden/>
              </w:rPr>
              <w:fldChar w:fldCharType="end"/>
            </w:r>
          </w:hyperlink>
        </w:p>
        <w:p w14:paraId="71AE1C95" w14:textId="4CBAAE1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89" w:history="1">
            <w:r w:rsidR="00FD58BF" w:rsidRPr="003004E5">
              <w:rPr>
                <w:rStyle w:val="Lienhypertexte"/>
                <w:noProof/>
              </w:rPr>
              <w:t>21.42.4 Consoles de support pour maçonneries CCTB 01.04</w:t>
            </w:r>
            <w:r w:rsidR="00FD58BF">
              <w:rPr>
                <w:noProof/>
                <w:webHidden/>
              </w:rPr>
              <w:tab/>
            </w:r>
            <w:r w:rsidR="00FD58BF">
              <w:rPr>
                <w:noProof/>
                <w:webHidden/>
              </w:rPr>
              <w:fldChar w:fldCharType="begin"/>
            </w:r>
            <w:r w:rsidR="00FD58BF">
              <w:rPr>
                <w:noProof/>
                <w:webHidden/>
              </w:rPr>
              <w:instrText xml:space="preserve"> PAGEREF _Toc178837589 \h </w:instrText>
            </w:r>
            <w:r w:rsidR="00FD58BF">
              <w:rPr>
                <w:noProof/>
                <w:webHidden/>
              </w:rPr>
            </w:r>
            <w:r w:rsidR="00FD58BF">
              <w:rPr>
                <w:noProof/>
                <w:webHidden/>
              </w:rPr>
              <w:fldChar w:fldCharType="separate"/>
            </w:r>
            <w:r w:rsidR="00FD58BF">
              <w:rPr>
                <w:noProof/>
                <w:webHidden/>
              </w:rPr>
              <w:t>447</w:t>
            </w:r>
            <w:r w:rsidR="00FD58BF">
              <w:rPr>
                <w:noProof/>
                <w:webHidden/>
              </w:rPr>
              <w:fldChar w:fldCharType="end"/>
            </w:r>
          </w:hyperlink>
        </w:p>
        <w:p w14:paraId="3F8B626F" w14:textId="3342D06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0" w:history="1">
            <w:r w:rsidR="00FD58BF" w:rsidRPr="003004E5">
              <w:rPr>
                <w:rStyle w:val="Lienhypertexte"/>
                <w:noProof/>
              </w:rPr>
              <w:t>21.42.4a Consoles de support simples pour maçonneries CCTB 01.04</w:t>
            </w:r>
            <w:r w:rsidR="00FD58BF">
              <w:rPr>
                <w:noProof/>
                <w:webHidden/>
              </w:rPr>
              <w:tab/>
            </w:r>
            <w:r w:rsidR="00FD58BF">
              <w:rPr>
                <w:noProof/>
                <w:webHidden/>
              </w:rPr>
              <w:fldChar w:fldCharType="begin"/>
            </w:r>
            <w:r w:rsidR="00FD58BF">
              <w:rPr>
                <w:noProof/>
                <w:webHidden/>
              </w:rPr>
              <w:instrText xml:space="preserve"> PAGEREF _Toc178837590 \h </w:instrText>
            </w:r>
            <w:r w:rsidR="00FD58BF">
              <w:rPr>
                <w:noProof/>
                <w:webHidden/>
              </w:rPr>
            </w:r>
            <w:r w:rsidR="00FD58BF">
              <w:rPr>
                <w:noProof/>
                <w:webHidden/>
              </w:rPr>
              <w:fldChar w:fldCharType="separate"/>
            </w:r>
            <w:r w:rsidR="00FD58BF">
              <w:rPr>
                <w:noProof/>
                <w:webHidden/>
              </w:rPr>
              <w:t>447</w:t>
            </w:r>
            <w:r w:rsidR="00FD58BF">
              <w:rPr>
                <w:noProof/>
                <w:webHidden/>
              </w:rPr>
              <w:fldChar w:fldCharType="end"/>
            </w:r>
          </w:hyperlink>
        </w:p>
        <w:p w14:paraId="614C2226" w14:textId="61A5988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1" w:history="1">
            <w:r w:rsidR="00FD58BF" w:rsidRPr="003004E5">
              <w:rPr>
                <w:rStyle w:val="Lienhypertexte"/>
                <w:noProof/>
              </w:rPr>
              <w:t>21.42.4b Consoles de support doubles pour maçonneries CCTB 01.02</w:t>
            </w:r>
            <w:r w:rsidR="00FD58BF">
              <w:rPr>
                <w:noProof/>
                <w:webHidden/>
              </w:rPr>
              <w:tab/>
            </w:r>
            <w:r w:rsidR="00FD58BF">
              <w:rPr>
                <w:noProof/>
                <w:webHidden/>
              </w:rPr>
              <w:fldChar w:fldCharType="begin"/>
            </w:r>
            <w:r w:rsidR="00FD58BF">
              <w:rPr>
                <w:noProof/>
                <w:webHidden/>
              </w:rPr>
              <w:instrText xml:space="preserve"> PAGEREF _Toc178837591 \h </w:instrText>
            </w:r>
            <w:r w:rsidR="00FD58BF">
              <w:rPr>
                <w:noProof/>
                <w:webHidden/>
              </w:rPr>
            </w:r>
            <w:r w:rsidR="00FD58BF">
              <w:rPr>
                <w:noProof/>
                <w:webHidden/>
              </w:rPr>
              <w:fldChar w:fldCharType="separate"/>
            </w:r>
            <w:r w:rsidR="00FD58BF">
              <w:rPr>
                <w:noProof/>
                <w:webHidden/>
              </w:rPr>
              <w:t>447</w:t>
            </w:r>
            <w:r w:rsidR="00FD58BF">
              <w:rPr>
                <w:noProof/>
                <w:webHidden/>
              </w:rPr>
              <w:fldChar w:fldCharType="end"/>
            </w:r>
          </w:hyperlink>
        </w:p>
        <w:p w14:paraId="40C7063D" w14:textId="45492FE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92" w:history="1">
            <w:r w:rsidR="00FD58BF" w:rsidRPr="003004E5">
              <w:rPr>
                <w:rStyle w:val="Lienhypertexte"/>
                <w:noProof/>
              </w:rPr>
              <w:t>21.43 Assises de maçonneries (linteaux, cornières, consoles et autres) CCTB 01.07</w:t>
            </w:r>
            <w:r w:rsidR="00FD58BF">
              <w:rPr>
                <w:noProof/>
                <w:webHidden/>
              </w:rPr>
              <w:tab/>
            </w:r>
            <w:r w:rsidR="00FD58BF">
              <w:rPr>
                <w:noProof/>
                <w:webHidden/>
              </w:rPr>
              <w:fldChar w:fldCharType="begin"/>
            </w:r>
            <w:r w:rsidR="00FD58BF">
              <w:rPr>
                <w:noProof/>
                <w:webHidden/>
              </w:rPr>
              <w:instrText xml:space="preserve"> PAGEREF _Toc178837592 \h </w:instrText>
            </w:r>
            <w:r w:rsidR="00FD58BF">
              <w:rPr>
                <w:noProof/>
                <w:webHidden/>
              </w:rPr>
            </w:r>
            <w:r w:rsidR="00FD58BF">
              <w:rPr>
                <w:noProof/>
                <w:webHidden/>
              </w:rPr>
              <w:fldChar w:fldCharType="separate"/>
            </w:r>
            <w:r w:rsidR="00FD58BF">
              <w:rPr>
                <w:noProof/>
                <w:webHidden/>
              </w:rPr>
              <w:t>447</w:t>
            </w:r>
            <w:r w:rsidR="00FD58BF">
              <w:rPr>
                <w:noProof/>
                <w:webHidden/>
              </w:rPr>
              <w:fldChar w:fldCharType="end"/>
            </w:r>
          </w:hyperlink>
        </w:p>
        <w:p w14:paraId="2E47245C" w14:textId="66672D9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93" w:history="1">
            <w:r w:rsidR="00FD58BF" w:rsidRPr="003004E5">
              <w:rPr>
                <w:rStyle w:val="Lienhypertexte"/>
                <w:noProof/>
              </w:rPr>
              <w:t>21.43.1 Linteaux CCTB 01.04</w:t>
            </w:r>
            <w:r w:rsidR="00FD58BF">
              <w:rPr>
                <w:noProof/>
                <w:webHidden/>
              </w:rPr>
              <w:tab/>
            </w:r>
            <w:r w:rsidR="00FD58BF">
              <w:rPr>
                <w:noProof/>
                <w:webHidden/>
              </w:rPr>
              <w:fldChar w:fldCharType="begin"/>
            </w:r>
            <w:r w:rsidR="00FD58BF">
              <w:rPr>
                <w:noProof/>
                <w:webHidden/>
              </w:rPr>
              <w:instrText xml:space="preserve"> PAGEREF _Toc178837593 \h </w:instrText>
            </w:r>
            <w:r w:rsidR="00FD58BF">
              <w:rPr>
                <w:noProof/>
                <w:webHidden/>
              </w:rPr>
            </w:r>
            <w:r w:rsidR="00FD58BF">
              <w:rPr>
                <w:noProof/>
                <w:webHidden/>
              </w:rPr>
              <w:fldChar w:fldCharType="separate"/>
            </w:r>
            <w:r w:rsidR="00FD58BF">
              <w:rPr>
                <w:noProof/>
                <w:webHidden/>
              </w:rPr>
              <w:t>449</w:t>
            </w:r>
            <w:r w:rsidR="00FD58BF">
              <w:rPr>
                <w:noProof/>
                <w:webHidden/>
              </w:rPr>
              <w:fldChar w:fldCharType="end"/>
            </w:r>
          </w:hyperlink>
        </w:p>
        <w:p w14:paraId="7A4A9ADC" w14:textId="61776E5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94" w:history="1">
            <w:r w:rsidR="00FD58BF" w:rsidRPr="003004E5">
              <w:rPr>
                <w:rStyle w:val="Lienhypertexte"/>
                <w:noProof/>
              </w:rPr>
              <w:t>21.43.2 Linteaux composites (prélinteaux plats + rehausses collaborantes) CCTB 01.04</w:t>
            </w:r>
            <w:r w:rsidR="00FD58BF">
              <w:rPr>
                <w:noProof/>
                <w:webHidden/>
              </w:rPr>
              <w:tab/>
            </w:r>
            <w:r w:rsidR="00FD58BF">
              <w:rPr>
                <w:noProof/>
                <w:webHidden/>
              </w:rPr>
              <w:fldChar w:fldCharType="begin"/>
            </w:r>
            <w:r w:rsidR="00FD58BF">
              <w:rPr>
                <w:noProof/>
                <w:webHidden/>
              </w:rPr>
              <w:instrText xml:space="preserve"> PAGEREF _Toc178837594 \h </w:instrText>
            </w:r>
            <w:r w:rsidR="00FD58BF">
              <w:rPr>
                <w:noProof/>
                <w:webHidden/>
              </w:rPr>
            </w:r>
            <w:r w:rsidR="00FD58BF">
              <w:rPr>
                <w:noProof/>
                <w:webHidden/>
              </w:rPr>
              <w:fldChar w:fldCharType="separate"/>
            </w:r>
            <w:r w:rsidR="00FD58BF">
              <w:rPr>
                <w:noProof/>
                <w:webHidden/>
              </w:rPr>
              <w:t>449</w:t>
            </w:r>
            <w:r w:rsidR="00FD58BF">
              <w:rPr>
                <w:noProof/>
                <w:webHidden/>
              </w:rPr>
              <w:fldChar w:fldCharType="end"/>
            </w:r>
          </w:hyperlink>
        </w:p>
        <w:p w14:paraId="1B23E807" w14:textId="7382D0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95" w:history="1">
            <w:r w:rsidR="00FD58BF" w:rsidRPr="003004E5">
              <w:rPr>
                <w:rStyle w:val="Lienhypertexte"/>
                <w:noProof/>
              </w:rPr>
              <w:t>21.43.3 Linteaux composites (prélinteaux en U + âmes en béton) CCTB 01.04</w:t>
            </w:r>
            <w:r w:rsidR="00FD58BF">
              <w:rPr>
                <w:noProof/>
                <w:webHidden/>
              </w:rPr>
              <w:tab/>
            </w:r>
            <w:r w:rsidR="00FD58BF">
              <w:rPr>
                <w:noProof/>
                <w:webHidden/>
              </w:rPr>
              <w:fldChar w:fldCharType="begin"/>
            </w:r>
            <w:r w:rsidR="00FD58BF">
              <w:rPr>
                <w:noProof/>
                <w:webHidden/>
              </w:rPr>
              <w:instrText xml:space="preserve"> PAGEREF _Toc178837595 \h </w:instrText>
            </w:r>
            <w:r w:rsidR="00FD58BF">
              <w:rPr>
                <w:noProof/>
                <w:webHidden/>
              </w:rPr>
            </w:r>
            <w:r w:rsidR="00FD58BF">
              <w:rPr>
                <w:noProof/>
                <w:webHidden/>
              </w:rPr>
              <w:fldChar w:fldCharType="separate"/>
            </w:r>
            <w:r w:rsidR="00FD58BF">
              <w:rPr>
                <w:noProof/>
                <w:webHidden/>
              </w:rPr>
              <w:t>449</w:t>
            </w:r>
            <w:r w:rsidR="00FD58BF">
              <w:rPr>
                <w:noProof/>
                <w:webHidden/>
              </w:rPr>
              <w:fldChar w:fldCharType="end"/>
            </w:r>
          </w:hyperlink>
        </w:p>
        <w:p w14:paraId="4B8922FE" w14:textId="2D1532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96" w:history="1">
            <w:r w:rsidR="00FD58BF" w:rsidRPr="003004E5">
              <w:rPr>
                <w:rStyle w:val="Lienhypertexte"/>
                <w:noProof/>
              </w:rPr>
              <w:t>21.43.4 Cornières et consoles de support de maçonneries CCTB 01.10</w:t>
            </w:r>
            <w:r w:rsidR="00FD58BF">
              <w:rPr>
                <w:noProof/>
                <w:webHidden/>
              </w:rPr>
              <w:tab/>
            </w:r>
            <w:r w:rsidR="00FD58BF">
              <w:rPr>
                <w:noProof/>
                <w:webHidden/>
              </w:rPr>
              <w:fldChar w:fldCharType="begin"/>
            </w:r>
            <w:r w:rsidR="00FD58BF">
              <w:rPr>
                <w:noProof/>
                <w:webHidden/>
              </w:rPr>
              <w:instrText xml:space="preserve"> PAGEREF _Toc178837596 \h </w:instrText>
            </w:r>
            <w:r w:rsidR="00FD58BF">
              <w:rPr>
                <w:noProof/>
                <w:webHidden/>
              </w:rPr>
            </w:r>
            <w:r w:rsidR="00FD58BF">
              <w:rPr>
                <w:noProof/>
                <w:webHidden/>
              </w:rPr>
              <w:fldChar w:fldCharType="separate"/>
            </w:r>
            <w:r w:rsidR="00FD58BF">
              <w:rPr>
                <w:noProof/>
                <w:webHidden/>
              </w:rPr>
              <w:t>449</w:t>
            </w:r>
            <w:r w:rsidR="00FD58BF">
              <w:rPr>
                <w:noProof/>
                <w:webHidden/>
              </w:rPr>
              <w:fldChar w:fldCharType="end"/>
            </w:r>
          </w:hyperlink>
        </w:p>
        <w:p w14:paraId="67104AEE" w14:textId="2B74D12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7" w:history="1">
            <w:r w:rsidR="00FD58BF" w:rsidRPr="003004E5">
              <w:rPr>
                <w:rStyle w:val="Lienhypertexte"/>
                <w:noProof/>
              </w:rPr>
              <w:t>21.43.4a Cornières sans consoles (posées sur appuis latéraux) CCTB 01.04</w:t>
            </w:r>
            <w:r w:rsidR="00FD58BF">
              <w:rPr>
                <w:noProof/>
                <w:webHidden/>
              </w:rPr>
              <w:tab/>
            </w:r>
            <w:r w:rsidR="00FD58BF">
              <w:rPr>
                <w:noProof/>
                <w:webHidden/>
              </w:rPr>
              <w:fldChar w:fldCharType="begin"/>
            </w:r>
            <w:r w:rsidR="00FD58BF">
              <w:rPr>
                <w:noProof/>
                <w:webHidden/>
              </w:rPr>
              <w:instrText xml:space="preserve"> PAGEREF _Toc178837597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7717726F" w14:textId="5414F12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8" w:history="1">
            <w:r w:rsidR="00FD58BF" w:rsidRPr="003004E5">
              <w:rPr>
                <w:rStyle w:val="Lienhypertexte"/>
                <w:noProof/>
              </w:rPr>
              <w:t>21.43.4b Consoles CCTB 01.10</w:t>
            </w:r>
            <w:r w:rsidR="00FD58BF">
              <w:rPr>
                <w:noProof/>
                <w:webHidden/>
              </w:rPr>
              <w:tab/>
            </w:r>
            <w:r w:rsidR="00FD58BF">
              <w:rPr>
                <w:noProof/>
                <w:webHidden/>
              </w:rPr>
              <w:fldChar w:fldCharType="begin"/>
            </w:r>
            <w:r w:rsidR="00FD58BF">
              <w:rPr>
                <w:noProof/>
                <w:webHidden/>
              </w:rPr>
              <w:instrText xml:space="preserve"> PAGEREF _Toc178837598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598E14B1" w14:textId="515BD23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9" w:history="1">
            <w:r w:rsidR="00FD58BF" w:rsidRPr="003004E5">
              <w:rPr>
                <w:rStyle w:val="Lienhypertexte"/>
                <w:noProof/>
              </w:rPr>
              <w:t>21.43.4c Consoles doubles (avec cornière) CCTB 01.10</w:t>
            </w:r>
            <w:r w:rsidR="00FD58BF">
              <w:rPr>
                <w:noProof/>
                <w:webHidden/>
              </w:rPr>
              <w:tab/>
            </w:r>
            <w:r w:rsidR="00FD58BF">
              <w:rPr>
                <w:noProof/>
                <w:webHidden/>
              </w:rPr>
              <w:fldChar w:fldCharType="begin"/>
            </w:r>
            <w:r w:rsidR="00FD58BF">
              <w:rPr>
                <w:noProof/>
                <w:webHidden/>
              </w:rPr>
              <w:instrText xml:space="preserve"> PAGEREF _Toc178837599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3ABCBA9E" w14:textId="2BD6F13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00" w:history="1">
            <w:r w:rsidR="00FD58BF" w:rsidRPr="003004E5">
              <w:rPr>
                <w:rStyle w:val="Lienhypertexte"/>
                <w:noProof/>
              </w:rPr>
              <w:t>21.43.5 Cornières et consoles de support de maçonneries avec suspensions de briques CCTB 01.10</w:t>
            </w:r>
            <w:r w:rsidR="00FD58BF">
              <w:rPr>
                <w:noProof/>
                <w:webHidden/>
              </w:rPr>
              <w:tab/>
            </w:r>
            <w:r w:rsidR="00FD58BF">
              <w:rPr>
                <w:noProof/>
                <w:webHidden/>
              </w:rPr>
              <w:fldChar w:fldCharType="begin"/>
            </w:r>
            <w:r w:rsidR="00FD58BF">
              <w:rPr>
                <w:noProof/>
                <w:webHidden/>
              </w:rPr>
              <w:instrText xml:space="preserve"> PAGEREF _Toc178837600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755023F3" w14:textId="2078B98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1" w:history="1">
            <w:r w:rsidR="00FD58BF" w:rsidRPr="003004E5">
              <w:rPr>
                <w:rStyle w:val="Lienhypertexte"/>
                <w:noProof/>
              </w:rPr>
              <w:t>21.43.5a Cornières sans consoles (posées sur appuis latéraux) avec suspensions de briques CCTB 01.10</w:t>
            </w:r>
            <w:r w:rsidR="00FD58BF">
              <w:rPr>
                <w:noProof/>
                <w:webHidden/>
              </w:rPr>
              <w:tab/>
            </w:r>
            <w:r w:rsidR="00FD58BF">
              <w:rPr>
                <w:noProof/>
                <w:webHidden/>
              </w:rPr>
              <w:fldChar w:fldCharType="begin"/>
            </w:r>
            <w:r w:rsidR="00FD58BF">
              <w:rPr>
                <w:noProof/>
                <w:webHidden/>
              </w:rPr>
              <w:instrText xml:space="preserve"> PAGEREF _Toc178837601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1E801857" w14:textId="013D74C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2" w:history="1">
            <w:r w:rsidR="00FD58BF" w:rsidRPr="003004E5">
              <w:rPr>
                <w:rStyle w:val="Lienhypertexte"/>
                <w:noProof/>
              </w:rPr>
              <w:t>21.43.5b Consoles avec suspensions de briques CCTB 01.10</w:t>
            </w:r>
            <w:r w:rsidR="00FD58BF">
              <w:rPr>
                <w:noProof/>
                <w:webHidden/>
              </w:rPr>
              <w:tab/>
            </w:r>
            <w:r w:rsidR="00FD58BF">
              <w:rPr>
                <w:noProof/>
                <w:webHidden/>
              </w:rPr>
              <w:fldChar w:fldCharType="begin"/>
            </w:r>
            <w:r w:rsidR="00FD58BF">
              <w:rPr>
                <w:noProof/>
                <w:webHidden/>
              </w:rPr>
              <w:instrText xml:space="preserve"> PAGEREF _Toc178837602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33328D36" w14:textId="32CCB21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3" w:history="1">
            <w:r w:rsidR="00FD58BF" w:rsidRPr="003004E5">
              <w:rPr>
                <w:rStyle w:val="Lienhypertexte"/>
                <w:noProof/>
              </w:rPr>
              <w:t>21.43.5c Consoles doubles (avec cornière) avec suspensions de briques CCTB 01.10</w:t>
            </w:r>
            <w:r w:rsidR="00FD58BF">
              <w:rPr>
                <w:noProof/>
                <w:webHidden/>
              </w:rPr>
              <w:tab/>
            </w:r>
            <w:r w:rsidR="00FD58BF">
              <w:rPr>
                <w:noProof/>
                <w:webHidden/>
              </w:rPr>
              <w:fldChar w:fldCharType="begin"/>
            </w:r>
            <w:r w:rsidR="00FD58BF">
              <w:rPr>
                <w:noProof/>
                <w:webHidden/>
              </w:rPr>
              <w:instrText xml:space="preserve"> PAGEREF _Toc178837603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35600EA9" w14:textId="3A3285A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04" w:history="1">
            <w:r w:rsidR="00FD58BF" w:rsidRPr="003004E5">
              <w:rPr>
                <w:rStyle w:val="Lienhypertexte"/>
                <w:noProof/>
              </w:rPr>
              <w:t>21.43.6 Assises d’éléments de maçonnerie de parement CCTB 01.10</w:t>
            </w:r>
            <w:r w:rsidR="00FD58BF">
              <w:rPr>
                <w:noProof/>
                <w:webHidden/>
              </w:rPr>
              <w:tab/>
            </w:r>
            <w:r w:rsidR="00FD58BF">
              <w:rPr>
                <w:noProof/>
                <w:webHidden/>
              </w:rPr>
              <w:fldChar w:fldCharType="begin"/>
            </w:r>
            <w:r w:rsidR="00FD58BF">
              <w:rPr>
                <w:noProof/>
                <w:webHidden/>
              </w:rPr>
              <w:instrText xml:space="preserve"> PAGEREF _Toc178837604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411F2C28" w14:textId="5B08B0A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5" w:history="1">
            <w:r w:rsidR="00FD58BF" w:rsidRPr="003004E5">
              <w:rPr>
                <w:rStyle w:val="Lienhypertexte"/>
                <w:noProof/>
              </w:rPr>
              <w:t>21.43.6a Assises d’éléments de maçonnerie sur chant CCTB 01.10</w:t>
            </w:r>
            <w:r w:rsidR="00FD58BF">
              <w:rPr>
                <w:noProof/>
                <w:webHidden/>
              </w:rPr>
              <w:tab/>
            </w:r>
            <w:r w:rsidR="00FD58BF">
              <w:rPr>
                <w:noProof/>
                <w:webHidden/>
              </w:rPr>
              <w:fldChar w:fldCharType="begin"/>
            </w:r>
            <w:r w:rsidR="00FD58BF">
              <w:rPr>
                <w:noProof/>
                <w:webHidden/>
              </w:rPr>
              <w:instrText xml:space="preserve"> PAGEREF _Toc178837605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63EDCE4D" w14:textId="52938CB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6" w:history="1">
            <w:r w:rsidR="00FD58BF" w:rsidRPr="003004E5">
              <w:rPr>
                <w:rStyle w:val="Lienhypertexte"/>
                <w:noProof/>
              </w:rPr>
              <w:t>21.43.6b Assises d’éléments de maçonnerie en panneresses CCTB 01.10</w:t>
            </w:r>
            <w:r w:rsidR="00FD58BF">
              <w:rPr>
                <w:noProof/>
                <w:webHidden/>
              </w:rPr>
              <w:tab/>
            </w:r>
            <w:r w:rsidR="00FD58BF">
              <w:rPr>
                <w:noProof/>
                <w:webHidden/>
              </w:rPr>
              <w:fldChar w:fldCharType="begin"/>
            </w:r>
            <w:r w:rsidR="00FD58BF">
              <w:rPr>
                <w:noProof/>
                <w:webHidden/>
              </w:rPr>
              <w:instrText xml:space="preserve"> PAGEREF _Toc178837606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35103CA9" w14:textId="205EB24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7" w:history="1">
            <w:r w:rsidR="00FD58BF" w:rsidRPr="003004E5">
              <w:rPr>
                <w:rStyle w:val="Lienhypertexte"/>
                <w:noProof/>
              </w:rPr>
              <w:t>21.43.6c Assises d'éléments de maçonnerie en arcs CCTB 01.10</w:t>
            </w:r>
            <w:r w:rsidR="00FD58BF">
              <w:rPr>
                <w:noProof/>
                <w:webHidden/>
              </w:rPr>
              <w:tab/>
            </w:r>
            <w:r w:rsidR="00FD58BF">
              <w:rPr>
                <w:noProof/>
                <w:webHidden/>
              </w:rPr>
              <w:fldChar w:fldCharType="begin"/>
            </w:r>
            <w:r w:rsidR="00FD58BF">
              <w:rPr>
                <w:noProof/>
                <w:webHidden/>
              </w:rPr>
              <w:instrText xml:space="preserve"> PAGEREF _Toc178837607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4AF3ED52" w14:textId="57026B6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08" w:history="1">
            <w:r w:rsidR="00FD58BF" w:rsidRPr="003004E5">
              <w:rPr>
                <w:rStyle w:val="Lienhypertexte"/>
                <w:noProof/>
              </w:rPr>
              <w:t>21.44 Eléments de ventilation CCTB 01.02</w:t>
            </w:r>
            <w:r w:rsidR="00FD58BF">
              <w:rPr>
                <w:noProof/>
                <w:webHidden/>
              </w:rPr>
              <w:tab/>
            </w:r>
            <w:r w:rsidR="00FD58BF">
              <w:rPr>
                <w:noProof/>
                <w:webHidden/>
              </w:rPr>
              <w:fldChar w:fldCharType="begin"/>
            </w:r>
            <w:r w:rsidR="00FD58BF">
              <w:rPr>
                <w:noProof/>
                <w:webHidden/>
              </w:rPr>
              <w:instrText xml:space="preserve"> PAGEREF _Toc178837608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0AE43909" w14:textId="58615F9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09" w:history="1">
            <w:r w:rsidR="00FD58BF" w:rsidRPr="003004E5">
              <w:rPr>
                <w:rStyle w:val="Lienhypertexte"/>
                <w:noProof/>
              </w:rPr>
              <w:t>21.44.1 Eléments de ventilation CCTB 01.02</w:t>
            </w:r>
            <w:r w:rsidR="00FD58BF">
              <w:rPr>
                <w:noProof/>
                <w:webHidden/>
              </w:rPr>
              <w:tab/>
            </w:r>
            <w:r w:rsidR="00FD58BF">
              <w:rPr>
                <w:noProof/>
                <w:webHidden/>
              </w:rPr>
              <w:fldChar w:fldCharType="begin"/>
            </w:r>
            <w:r w:rsidR="00FD58BF">
              <w:rPr>
                <w:noProof/>
                <w:webHidden/>
              </w:rPr>
              <w:instrText xml:space="preserve"> PAGEREF _Toc178837609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706CC45D" w14:textId="67D1923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0" w:history="1">
            <w:r w:rsidR="00FD58BF" w:rsidRPr="003004E5">
              <w:rPr>
                <w:rStyle w:val="Lienhypertexte"/>
                <w:noProof/>
              </w:rPr>
              <w:t>21.44.1a Gaines télescopiques de ventilation CCTB 01.11</w:t>
            </w:r>
            <w:r w:rsidR="00FD58BF">
              <w:rPr>
                <w:noProof/>
                <w:webHidden/>
              </w:rPr>
              <w:tab/>
            </w:r>
            <w:r w:rsidR="00FD58BF">
              <w:rPr>
                <w:noProof/>
                <w:webHidden/>
              </w:rPr>
              <w:fldChar w:fldCharType="begin"/>
            </w:r>
            <w:r w:rsidR="00FD58BF">
              <w:rPr>
                <w:noProof/>
                <w:webHidden/>
              </w:rPr>
              <w:instrText xml:space="preserve"> PAGEREF _Toc178837610 \h </w:instrText>
            </w:r>
            <w:r w:rsidR="00FD58BF">
              <w:rPr>
                <w:noProof/>
                <w:webHidden/>
              </w:rPr>
            </w:r>
            <w:r w:rsidR="00FD58BF">
              <w:rPr>
                <w:noProof/>
                <w:webHidden/>
              </w:rPr>
              <w:fldChar w:fldCharType="separate"/>
            </w:r>
            <w:r w:rsidR="00FD58BF">
              <w:rPr>
                <w:noProof/>
                <w:webHidden/>
              </w:rPr>
              <w:t>450</w:t>
            </w:r>
            <w:r w:rsidR="00FD58BF">
              <w:rPr>
                <w:noProof/>
                <w:webHidden/>
              </w:rPr>
              <w:fldChar w:fldCharType="end"/>
            </w:r>
          </w:hyperlink>
        </w:p>
        <w:p w14:paraId="17B62989" w14:textId="2DF0554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1" w:history="1">
            <w:r w:rsidR="00FD58BF" w:rsidRPr="003004E5">
              <w:rPr>
                <w:rStyle w:val="Lienhypertexte"/>
                <w:noProof/>
              </w:rPr>
              <w:t>21.44.1b Soupiraux préfabriqués CCTB 01.11</w:t>
            </w:r>
            <w:r w:rsidR="00FD58BF">
              <w:rPr>
                <w:noProof/>
                <w:webHidden/>
              </w:rPr>
              <w:tab/>
            </w:r>
            <w:r w:rsidR="00FD58BF">
              <w:rPr>
                <w:noProof/>
                <w:webHidden/>
              </w:rPr>
              <w:fldChar w:fldCharType="begin"/>
            </w:r>
            <w:r w:rsidR="00FD58BF">
              <w:rPr>
                <w:noProof/>
                <w:webHidden/>
              </w:rPr>
              <w:instrText xml:space="preserve"> PAGEREF _Toc178837611 \h </w:instrText>
            </w:r>
            <w:r w:rsidR="00FD58BF">
              <w:rPr>
                <w:noProof/>
                <w:webHidden/>
              </w:rPr>
            </w:r>
            <w:r w:rsidR="00FD58BF">
              <w:rPr>
                <w:noProof/>
                <w:webHidden/>
              </w:rPr>
              <w:fldChar w:fldCharType="separate"/>
            </w:r>
            <w:r w:rsidR="00FD58BF">
              <w:rPr>
                <w:noProof/>
                <w:webHidden/>
              </w:rPr>
              <w:t>451</w:t>
            </w:r>
            <w:r w:rsidR="00FD58BF">
              <w:rPr>
                <w:noProof/>
                <w:webHidden/>
              </w:rPr>
              <w:fldChar w:fldCharType="end"/>
            </w:r>
          </w:hyperlink>
        </w:p>
        <w:p w14:paraId="42642916" w14:textId="5C3C217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2" w:history="1">
            <w:r w:rsidR="00FD58BF" w:rsidRPr="003004E5">
              <w:rPr>
                <w:rStyle w:val="Lienhypertexte"/>
                <w:noProof/>
              </w:rPr>
              <w:t>21.44.1c Grilles de soupiraux CCTB 01.02</w:t>
            </w:r>
            <w:r w:rsidR="00FD58BF">
              <w:rPr>
                <w:noProof/>
                <w:webHidden/>
              </w:rPr>
              <w:tab/>
            </w:r>
            <w:r w:rsidR="00FD58BF">
              <w:rPr>
                <w:noProof/>
                <w:webHidden/>
              </w:rPr>
              <w:fldChar w:fldCharType="begin"/>
            </w:r>
            <w:r w:rsidR="00FD58BF">
              <w:rPr>
                <w:noProof/>
                <w:webHidden/>
              </w:rPr>
              <w:instrText xml:space="preserve"> PAGEREF _Toc178837612 \h </w:instrText>
            </w:r>
            <w:r w:rsidR="00FD58BF">
              <w:rPr>
                <w:noProof/>
                <w:webHidden/>
              </w:rPr>
            </w:r>
            <w:r w:rsidR="00FD58BF">
              <w:rPr>
                <w:noProof/>
                <w:webHidden/>
              </w:rPr>
              <w:fldChar w:fldCharType="separate"/>
            </w:r>
            <w:r w:rsidR="00FD58BF">
              <w:rPr>
                <w:noProof/>
                <w:webHidden/>
              </w:rPr>
              <w:t>452</w:t>
            </w:r>
            <w:r w:rsidR="00FD58BF">
              <w:rPr>
                <w:noProof/>
                <w:webHidden/>
              </w:rPr>
              <w:fldChar w:fldCharType="end"/>
            </w:r>
          </w:hyperlink>
        </w:p>
        <w:p w14:paraId="1789134D" w14:textId="35BEFE3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3" w:history="1">
            <w:r w:rsidR="00FD58BF" w:rsidRPr="003004E5">
              <w:rPr>
                <w:rStyle w:val="Lienhypertexte"/>
                <w:noProof/>
              </w:rPr>
              <w:t>21.44.1d Tuyaux droits de ventilation CCTB 01.04</w:t>
            </w:r>
            <w:r w:rsidR="00FD58BF">
              <w:rPr>
                <w:noProof/>
                <w:webHidden/>
              </w:rPr>
              <w:tab/>
            </w:r>
            <w:r w:rsidR="00FD58BF">
              <w:rPr>
                <w:noProof/>
                <w:webHidden/>
              </w:rPr>
              <w:fldChar w:fldCharType="begin"/>
            </w:r>
            <w:r w:rsidR="00FD58BF">
              <w:rPr>
                <w:noProof/>
                <w:webHidden/>
              </w:rPr>
              <w:instrText xml:space="preserve"> PAGEREF _Toc178837613 \h </w:instrText>
            </w:r>
            <w:r w:rsidR="00FD58BF">
              <w:rPr>
                <w:noProof/>
                <w:webHidden/>
              </w:rPr>
            </w:r>
            <w:r w:rsidR="00FD58BF">
              <w:rPr>
                <w:noProof/>
                <w:webHidden/>
              </w:rPr>
              <w:fldChar w:fldCharType="separate"/>
            </w:r>
            <w:r w:rsidR="00FD58BF">
              <w:rPr>
                <w:noProof/>
                <w:webHidden/>
              </w:rPr>
              <w:t>452</w:t>
            </w:r>
            <w:r w:rsidR="00FD58BF">
              <w:rPr>
                <w:noProof/>
                <w:webHidden/>
              </w:rPr>
              <w:fldChar w:fldCharType="end"/>
            </w:r>
          </w:hyperlink>
        </w:p>
        <w:p w14:paraId="00B63071" w14:textId="0C8A1E0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14" w:history="1">
            <w:r w:rsidR="00FD58BF" w:rsidRPr="003004E5">
              <w:rPr>
                <w:rStyle w:val="Lienhypertexte"/>
                <w:noProof/>
              </w:rPr>
              <w:t>21.45 Blocs de verre individuels CCTB 01.02</w:t>
            </w:r>
            <w:r w:rsidR="00FD58BF">
              <w:rPr>
                <w:noProof/>
                <w:webHidden/>
              </w:rPr>
              <w:tab/>
            </w:r>
            <w:r w:rsidR="00FD58BF">
              <w:rPr>
                <w:noProof/>
                <w:webHidden/>
              </w:rPr>
              <w:fldChar w:fldCharType="begin"/>
            </w:r>
            <w:r w:rsidR="00FD58BF">
              <w:rPr>
                <w:noProof/>
                <w:webHidden/>
              </w:rPr>
              <w:instrText xml:space="preserve"> PAGEREF _Toc178837614 \h </w:instrText>
            </w:r>
            <w:r w:rsidR="00FD58BF">
              <w:rPr>
                <w:noProof/>
                <w:webHidden/>
              </w:rPr>
            </w:r>
            <w:r w:rsidR="00FD58BF">
              <w:rPr>
                <w:noProof/>
                <w:webHidden/>
              </w:rPr>
              <w:fldChar w:fldCharType="separate"/>
            </w:r>
            <w:r w:rsidR="00FD58BF">
              <w:rPr>
                <w:noProof/>
                <w:webHidden/>
              </w:rPr>
              <w:t>452</w:t>
            </w:r>
            <w:r w:rsidR="00FD58BF">
              <w:rPr>
                <w:noProof/>
                <w:webHidden/>
              </w:rPr>
              <w:fldChar w:fldCharType="end"/>
            </w:r>
          </w:hyperlink>
        </w:p>
        <w:p w14:paraId="686D0CC1" w14:textId="5880ED1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15" w:history="1">
            <w:r w:rsidR="00FD58BF" w:rsidRPr="003004E5">
              <w:rPr>
                <w:rStyle w:val="Lienhypertexte"/>
                <w:noProof/>
              </w:rPr>
              <w:t>21.45.1 Blocs de verre individuels CCTB 01.02</w:t>
            </w:r>
            <w:r w:rsidR="00FD58BF">
              <w:rPr>
                <w:noProof/>
                <w:webHidden/>
              </w:rPr>
              <w:tab/>
            </w:r>
            <w:r w:rsidR="00FD58BF">
              <w:rPr>
                <w:noProof/>
                <w:webHidden/>
              </w:rPr>
              <w:fldChar w:fldCharType="begin"/>
            </w:r>
            <w:r w:rsidR="00FD58BF">
              <w:rPr>
                <w:noProof/>
                <w:webHidden/>
              </w:rPr>
              <w:instrText xml:space="preserve"> PAGEREF _Toc178837615 \h </w:instrText>
            </w:r>
            <w:r w:rsidR="00FD58BF">
              <w:rPr>
                <w:noProof/>
                <w:webHidden/>
              </w:rPr>
            </w:r>
            <w:r w:rsidR="00FD58BF">
              <w:rPr>
                <w:noProof/>
                <w:webHidden/>
              </w:rPr>
              <w:fldChar w:fldCharType="separate"/>
            </w:r>
            <w:r w:rsidR="00FD58BF">
              <w:rPr>
                <w:noProof/>
                <w:webHidden/>
              </w:rPr>
              <w:t>452</w:t>
            </w:r>
            <w:r w:rsidR="00FD58BF">
              <w:rPr>
                <w:noProof/>
                <w:webHidden/>
              </w:rPr>
              <w:fldChar w:fldCharType="end"/>
            </w:r>
          </w:hyperlink>
        </w:p>
        <w:p w14:paraId="3A8F40AD" w14:textId="445A88F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6" w:history="1">
            <w:r w:rsidR="00FD58BF" w:rsidRPr="003004E5">
              <w:rPr>
                <w:rStyle w:val="Lienhypertexte"/>
                <w:noProof/>
              </w:rPr>
              <w:t>21.45.1a Blocs de verre individuels CCTB 01.11</w:t>
            </w:r>
            <w:r w:rsidR="00FD58BF">
              <w:rPr>
                <w:noProof/>
                <w:webHidden/>
              </w:rPr>
              <w:tab/>
            </w:r>
            <w:r w:rsidR="00FD58BF">
              <w:rPr>
                <w:noProof/>
                <w:webHidden/>
              </w:rPr>
              <w:fldChar w:fldCharType="begin"/>
            </w:r>
            <w:r w:rsidR="00FD58BF">
              <w:rPr>
                <w:noProof/>
                <w:webHidden/>
              </w:rPr>
              <w:instrText xml:space="preserve"> PAGEREF _Toc178837616 \h </w:instrText>
            </w:r>
            <w:r w:rsidR="00FD58BF">
              <w:rPr>
                <w:noProof/>
                <w:webHidden/>
              </w:rPr>
            </w:r>
            <w:r w:rsidR="00FD58BF">
              <w:rPr>
                <w:noProof/>
                <w:webHidden/>
              </w:rPr>
              <w:fldChar w:fldCharType="separate"/>
            </w:r>
            <w:r w:rsidR="00FD58BF">
              <w:rPr>
                <w:noProof/>
                <w:webHidden/>
              </w:rPr>
              <w:t>452</w:t>
            </w:r>
            <w:r w:rsidR="00FD58BF">
              <w:rPr>
                <w:noProof/>
                <w:webHidden/>
              </w:rPr>
              <w:fldChar w:fldCharType="end"/>
            </w:r>
          </w:hyperlink>
        </w:p>
        <w:p w14:paraId="24B0F5C1" w14:textId="1940F00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7" w:history="1">
            <w:r w:rsidR="00FD58BF" w:rsidRPr="003004E5">
              <w:rPr>
                <w:rStyle w:val="Lienhypertexte"/>
                <w:noProof/>
              </w:rPr>
              <w:t>21.45.1b Blocs de verre individuels de ventilation CCTB 01.11</w:t>
            </w:r>
            <w:r w:rsidR="00FD58BF">
              <w:rPr>
                <w:noProof/>
                <w:webHidden/>
              </w:rPr>
              <w:tab/>
            </w:r>
            <w:r w:rsidR="00FD58BF">
              <w:rPr>
                <w:noProof/>
                <w:webHidden/>
              </w:rPr>
              <w:fldChar w:fldCharType="begin"/>
            </w:r>
            <w:r w:rsidR="00FD58BF">
              <w:rPr>
                <w:noProof/>
                <w:webHidden/>
              </w:rPr>
              <w:instrText xml:space="preserve"> PAGEREF _Toc178837617 \h </w:instrText>
            </w:r>
            <w:r w:rsidR="00FD58BF">
              <w:rPr>
                <w:noProof/>
                <w:webHidden/>
              </w:rPr>
            </w:r>
            <w:r w:rsidR="00FD58BF">
              <w:rPr>
                <w:noProof/>
                <w:webHidden/>
              </w:rPr>
              <w:fldChar w:fldCharType="separate"/>
            </w:r>
            <w:r w:rsidR="00FD58BF">
              <w:rPr>
                <w:noProof/>
                <w:webHidden/>
              </w:rPr>
              <w:t>453</w:t>
            </w:r>
            <w:r w:rsidR="00FD58BF">
              <w:rPr>
                <w:noProof/>
                <w:webHidden/>
              </w:rPr>
              <w:fldChar w:fldCharType="end"/>
            </w:r>
          </w:hyperlink>
        </w:p>
        <w:p w14:paraId="33D0BCD7" w14:textId="3E8314C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8" w:history="1">
            <w:r w:rsidR="00FD58BF" w:rsidRPr="003004E5">
              <w:rPr>
                <w:rStyle w:val="Lienhypertexte"/>
                <w:noProof/>
              </w:rPr>
              <w:t>21.45.1c Blocs de verre individuels sur châssis CCTB 01.02</w:t>
            </w:r>
            <w:r w:rsidR="00FD58BF">
              <w:rPr>
                <w:noProof/>
                <w:webHidden/>
              </w:rPr>
              <w:tab/>
            </w:r>
            <w:r w:rsidR="00FD58BF">
              <w:rPr>
                <w:noProof/>
                <w:webHidden/>
              </w:rPr>
              <w:fldChar w:fldCharType="begin"/>
            </w:r>
            <w:r w:rsidR="00FD58BF">
              <w:rPr>
                <w:noProof/>
                <w:webHidden/>
              </w:rPr>
              <w:instrText xml:space="preserve"> PAGEREF _Toc178837618 \h </w:instrText>
            </w:r>
            <w:r w:rsidR="00FD58BF">
              <w:rPr>
                <w:noProof/>
                <w:webHidden/>
              </w:rPr>
            </w:r>
            <w:r w:rsidR="00FD58BF">
              <w:rPr>
                <w:noProof/>
                <w:webHidden/>
              </w:rPr>
              <w:fldChar w:fldCharType="separate"/>
            </w:r>
            <w:r w:rsidR="00FD58BF">
              <w:rPr>
                <w:noProof/>
                <w:webHidden/>
              </w:rPr>
              <w:t>454</w:t>
            </w:r>
            <w:r w:rsidR="00FD58BF">
              <w:rPr>
                <w:noProof/>
                <w:webHidden/>
              </w:rPr>
              <w:fldChar w:fldCharType="end"/>
            </w:r>
          </w:hyperlink>
        </w:p>
        <w:p w14:paraId="69E941C5" w14:textId="7E2A630B"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19" w:history="1">
            <w:r w:rsidR="00FD58BF" w:rsidRPr="003004E5">
              <w:rPr>
                <w:rStyle w:val="Lienhypertexte"/>
                <w:noProof/>
              </w:rPr>
              <w:t>21.46 Eléments d'assise pour nœuds constructifs CCTB 01.04</w:t>
            </w:r>
            <w:r w:rsidR="00FD58BF">
              <w:rPr>
                <w:noProof/>
                <w:webHidden/>
              </w:rPr>
              <w:tab/>
            </w:r>
            <w:r w:rsidR="00FD58BF">
              <w:rPr>
                <w:noProof/>
                <w:webHidden/>
              </w:rPr>
              <w:fldChar w:fldCharType="begin"/>
            </w:r>
            <w:r w:rsidR="00FD58BF">
              <w:rPr>
                <w:noProof/>
                <w:webHidden/>
              </w:rPr>
              <w:instrText xml:space="preserve"> PAGEREF _Toc178837619 \h </w:instrText>
            </w:r>
            <w:r w:rsidR="00FD58BF">
              <w:rPr>
                <w:noProof/>
                <w:webHidden/>
              </w:rPr>
            </w:r>
            <w:r w:rsidR="00FD58BF">
              <w:rPr>
                <w:noProof/>
                <w:webHidden/>
              </w:rPr>
              <w:fldChar w:fldCharType="separate"/>
            </w:r>
            <w:r w:rsidR="00FD58BF">
              <w:rPr>
                <w:noProof/>
                <w:webHidden/>
              </w:rPr>
              <w:t>454</w:t>
            </w:r>
            <w:r w:rsidR="00FD58BF">
              <w:rPr>
                <w:noProof/>
                <w:webHidden/>
              </w:rPr>
              <w:fldChar w:fldCharType="end"/>
            </w:r>
          </w:hyperlink>
        </w:p>
        <w:p w14:paraId="348D0F37" w14:textId="4E6A2AB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20" w:history="1">
            <w:r w:rsidR="00FD58BF" w:rsidRPr="003004E5">
              <w:rPr>
                <w:rStyle w:val="Lienhypertexte"/>
                <w:noProof/>
              </w:rPr>
              <w:t>21.46.1 Blocs d'assise pour nœuds constructifs CCTB 01.04</w:t>
            </w:r>
            <w:r w:rsidR="00FD58BF">
              <w:rPr>
                <w:noProof/>
                <w:webHidden/>
              </w:rPr>
              <w:tab/>
            </w:r>
            <w:r w:rsidR="00FD58BF">
              <w:rPr>
                <w:noProof/>
                <w:webHidden/>
              </w:rPr>
              <w:fldChar w:fldCharType="begin"/>
            </w:r>
            <w:r w:rsidR="00FD58BF">
              <w:rPr>
                <w:noProof/>
                <w:webHidden/>
              </w:rPr>
              <w:instrText xml:space="preserve"> PAGEREF _Toc178837620 \h </w:instrText>
            </w:r>
            <w:r w:rsidR="00FD58BF">
              <w:rPr>
                <w:noProof/>
                <w:webHidden/>
              </w:rPr>
            </w:r>
            <w:r w:rsidR="00FD58BF">
              <w:rPr>
                <w:noProof/>
                <w:webHidden/>
              </w:rPr>
              <w:fldChar w:fldCharType="separate"/>
            </w:r>
            <w:r w:rsidR="00FD58BF">
              <w:rPr>
                <w:noProof/>
                <w:webHidden/>
              </w:rPr>
              <w:t>454</w:t>
            </w:r>
            <w:r w:rsidR="00FD58BF">
              <w:rPr>
                <w:noProof/>
                <w:webHidden/>
              </w:rPr>
              <w:fldChar w:fldCharType="end"/>
            </w:r>
          </w:hyperlink>
        </w:p>
        <w:p w14:paraId="228D72FF" w14:textId="0845ABA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1" w:history="1">
            <w:r w:rsidR="00FD58BF" w:rsidRPr="003004E5">
              <w:rPr>
                <w:rStyle w:val="Lienhypertexte"/>
                <w:noProof/>
              </w:rPr>
              <w:t>21.46.1a Blocs d'assise en blocs de béton cellulaire pour nœuds constructifs CCTB 01.11</w:t>
            </w:r>
            <w:r w:rsidR="00FD58BF">
              <w:rPr>
                <w:noProof/>
                <w:webHidden/>
              </w:rPr>
              <w:tab/>
            </w:r>
            <w:r w:rsidR="00FD58BF">
              <w:rPr>
                <w:noProof/>
                <w:webHidden/>
              </w:rPr>
              <w:fldChar w:fldCharType="begin"/>
            </w:r>
            <w:r w:rsidR="00FD58BF">
              <w:rPr>
                <w:noProof/>
                <w:webHidden/>
              </w:rPr>
              <w:instrText xml:space="preserve"> PAGEREF _Toc178837621 \h </w:instrText>
            </w:r>
            <w:r w:rsidR="00FD58BF">
              <w:rPr>
                <w:noProof/>
                <w:webHidden/>
              </w:rPr>
            </w:r>
            <w:r w:rsidR="00FD58BF">
              <w:rPr>
                <w:noProof/>
                <w:webHidden/>
              </w:rPr>
              <w:fldChar w:fldCharType="separate"/>
            </w:r>
            <w:r w:rsidR="00FD58BF">
              <w:rPr>
                <w:noProof/>
                <w:webHidden/>
              </w:rPr>
              <w:t>454</w:t>
            </w:r>
            <w:r w:rsidR="00FD58BF">
              <w:rPr>
                <w:noProof/>
                <w:webHidden/>
              </w:rPr>
              <w:fldChar w:fldCharType="end"/>
            </w:r>
          </w:hyperlink>
        </w:p>
        <w:p w14:paraId="27815517" w14:textId="3128DD6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2" w:history="1">
            <w:r w:rsidR="00FD58BF" w:rsidRPr="003004E5">
              <w:rPr>
                <w:rStyle w:val="Lienhypertexte"/>
                <w:noProof/>
              </w:rPr>
              <w:t>21.46.1b Blocs d'assise en blocs de béton pour nœuds constructifs CCTB 01.04</w:t>
            </w:r>
            <w:r w:rsidR="00FD58BF">
              <w:rPr>
                <w:noProof/>
                <w:webHidden/>
              </w:rPr>
              <w:tab/>
            </w:r>
            <w:r w:rsidR="00FD58BF">
              <w:rPr>
                <w:noProof/>
                <w:webHidden/>
              </w:rPr>
              <w:fldChar w:fldCharType="begin"/>
            </w:r>
            <w:r w:rsidR="00FD58BF">
              <w:rPr>
                <w:noProof/>
                <w:webHidden/>
              </w:rPr>
              <w:instrText xml:space="preserve"> PAGEREF _Toc178837622 \h </w:instrText>
            </w:r>
            <w:r w:rsidR="00FD58BF">
              <w:rPr>
                <w:noProof/>
                <w:webHidden/>
              </w:rPr>
            </w:r>
            <w:r w:rsidR="00FD58BF">
              <w:rPr>
                <w:noProof/>
                <w:webHidden/>
              </w:rPr>
              <w:fldChar w:fldCharType="separate"/>
            </w:r>
            <w:r w:rsidR="00FD58BF">
              <w:rPr>
                <w:noProof/>
                <w:webHidden/>
              </w:rPr>
              <w:t>455</w:t>
            </w:r>
            <w:r w:rsidR="00FD58BF">
              <w:rPr>
                <w:noProof/>
                <w:webHidden/>
              </w:rPr>
              <w:fldChar w:fldCharType="end"/>
            </w:r>
          </w:hyperlink>
        </w:p>
        <w:p w14:paraId="27AA0C87" w14:textId="332026C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3" w:history="1">
            <w:r w:rsidR="00FD58BF" w:rsidRPr="003004E5">
              <w:rPr>
                <w:rStyle w:val="Lienhypertexte"/>
                <w:noProof/>
              </w:rPr>
              <w:t>21.46.1c Blocs d'assise en blocs de terre cuite pour nœuds constructifs CCTB 01.04</w:t>
            </w:r>
            <w:r w:rsidR="00FD58BF">
              <w:rPr>
                <w:noProof/>
                <w:webHidden/>
              </w:rPr>
              <w:tab/>
            </w:r>
            <w:r w:rsidR="00FD58BF">
              <w:rPr>
                <w:noProof/>
                <w:webHidden/>
              </w:rPr>
              <w:fldChar w:fldCharType="begin"/>
            </w:r>
            <w:r w:rsidR="00FD58BF">
              <w:rPr>
                <w:noProof/>
                <w:webHidden/>
              </w:rPr>
              <w:instrText xml:space="preserve"> PAGEREF _Toc178837623 \h </w:instrText>
            </w:r>
            <w:r w:rsidR="00FD58BF">
              <w:rPr>
                <w:noProof/>
                <w:webHidden/>
              </w:rPr>
            </w:r>
            <w:r w:rsidR="00FD58BF">
              <w:rPr>
                <w:noProof/>
                <w:webHidden/>
              </w:rPr>
              <w:fldChar w:fldCharType="separate"/>
            </w:r>
            <w:r w:rsidR="00FD58BF">
              <w:rPr>
                <w:noProof/>
                <w:webHidden/>
              </w:rPr>
              <w:t>455</w:t>
            </w:r>
            <w:r w:rsidR="00FD58BF">
              <w:rPr>
                <w:noProof/>
                <w:webHidden/>
              </w:rPr>
              <w:fldChar w:fldCharType="end"/>
            </w:r>
          </w:hyperlink>
        </w:p>
        <w:p w14:paraId="41AF6139" w14:textId="098B990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4" w:history="1">
            <w:r w:rsidR="00FD58BF" w:rsidRPr="003004E5">
              <w:rPr>
                <w:rStyle w:val="Lienhypertexte"/>
                <w:noProof/>
              </w:rPr>
              <w:t>21.46.1d Blocs d'assise en blocs de silico-calcaire pour nœuds constructifs CCTB 01.12</w:t>
            </w:r>
            <w:r w:rsidR="00FD58BF">
              <w:rPr>
                <w:noProof/>
                <w:webHidden/>
              </w:rPr>
              <w:tab/>
            </w:r>
            <w:r w:rsidR="00FD58BF">
              <w:rPr>
                <w:noProof/>
                <w:webHidden/>
              </w:rPr>
              <w:fldChar w:fldCharType="begin"/>
            </w:r>
            <w:r w:rsidR="00FD58BF">
              <w:rPr>
                <w:noProof/>
                <w:webHidden/>
              </w:rPr>
              <w:instrText xml:space="preserve"> PAGEREF _Toc178837624 \h </w:instrText>
            </w:r>
            <w:r w:rsidR="00FD58BF">
              <w:rPr>
                <w:noProof/>
                <w:webHidden/>
              </w:rPr>
            </w:r>
            <w:r w:rsidR="00FD58BF">
              <w:rPr>
                <w:noProof/>
                <w:webHidden/>
              </w:rPr>
              <w:fldChar w:fldCharType="separate"/>
            </w:r>
            <w:r w:rsidR="00FD58BF">
              <w:rPr>
                <w:noProof/>
                <w:webHidden/>
              </w:rPr>
              <w:t>455</w:t>
            </w:r>
            <w:r w:rsidR="00FD58BF">
              <w:rPr>
                <w:noProof/>
                <w:webHidden/>
              </w:rPr>
              <w:fldChar w:fldCharType="end"/>
            </w:r>
          </w:hyperlink>
        </w:p>
        <w:p w14:paraId="00319ACF" w14:textId="0050A34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25" w:history="1">
            <w:r w:rsidR="00FD58BF" w:rsidRPr="003004E5">
              <w:rPr>
                <w:rStyle w:val="Lienhypertexte"/>
                <w:noProof/>
              </w:rPr>
              <w:t>21.46.2 Eléments d'assise particuliers pour nœuds constructifs CCTB 01.10</w:t>
            </w:r>
            <w:r w:rsidR="00FD58BF">
              <w:rPr>
                <w:noProof/>
                <w:webHidden/>
              </w:rPr>
              <w:tab/>
            </w:r>
            <w:r w:rsidR="00FD58BF">
              <w:rPr>
                <w:noProof/>
                <w:webHidden/>
              </w:rPr>
              <w:fldChar w:fldCharType="begin"/>
            </w:r>
            <w:r w:rsidR="00FD58BF">
              <w:rPr>
                <w:noProof/>
                <w:webHidden/>
              </w:rPr>
              <w:instrText xml:space="preserve"> PAGEREF _Toc178837625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0A0C952D" w14:textId="1FC0322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6" w:history="1">
            <w:r w:rsidR="00FD58BF" w:rsidRPr="003004E5">
              <w:rPr>
                <w:rStyle w:val="Lienhypertexte"/>
                <w:noProof/>
              </w:rPr>
              <w:t>21.46.2a Eléments d'assise en verre cellulaire pour nœuds constructifs CCTB 01.04</w:t>
            </w:r>
            <w:r w:rsidR="00FD58BF">
              <w:rPr>
                <w:noProof/>
                <w:webHidden/>
              </w:rPr>
              <w:tab/>
            </w:r>
            <w:r w:rsidR="00FD58BF">
              <w:rPr>
                <w:noProof/>
                <w:webHidden/>
              </w:rPr>
              <w:fldChar w:fldCharType="begin"/>
            </w:r>
            <w:r w:rsidR="00FD58BF">
              <w:rPr>
                <w:noProof/>
                <w:webHidden/>
              </w:rPr>
              <w:instrText xml:space="preserve"> PAGEREF _Toc178837626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1FC385A4" w14:textId="6B096EE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7" w:history="1">
            <w:r w:rsidR="00FD58BF" w:rsidRPr="003004E5">
              <w:rPr>
                <w:rStyle w:val="Lienhypertexte"/>
                <w:noProof/>
              </w:rPr>
              <w:t>21.46.2b Eléments d'assise composés pour nœuds constructifs CCTB 01.04</w:t>
            </w:r>
            <w:r w:rsidR="00FD58BF">
              <w:rPr>
                <w:noProof/>
                <w:webHidden/>
              </w:rPr>
              <w:tab/>
            </w:r>
            <w:r w:rsidR="00FD58BF">
              <w:rPr>
                <w:noProof/>
                <w:webHidden/>
              </w:rPr>
              <w:fldChar w:fldCharType="begin"/>
            </w:r>
            <w:r w:rsidR="00FD58BF">
              <w:rPr>
                <w:noProof/>
                <w:webHidden/>
              </w:rPr>
              <w:instrText xml:space="preserve"> PAGEREF _Toc178837627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2AEA9F77" w14:textId="2E3D96DD"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628" w:history="1">
            <w:r w:rsidR="00FD58BF" w:rsidRPr="003004E5">
              <w:rPr>
                <w:rStyle w:val="Lienhypertexte"/>
                <w:noProof/>
              </w:rPr>
              <w:t>21.5 Murs poids CCTB 01.02</w:t>
            </w:r>
            <w:r w:rsidR="00FD58BF">
              <w:rPr>
                <w:noProof/>
                <w:webHidden/>
              </w:rPr>
              <w:tab/>
            </w:r>
            <w:r w:rsidR="00FD58BF">
              <w:rPr>
                <w:noProof/>
                <w:webHidden/>
              </w:rPr>
              <w:fldChar w:fldCharType="begin"/>
            </w:r>
            <w:r w:rsidR="00FD58BF">
              <w:rPr>
                <w:noProof/>
                <w:webHidden/>
              </w:rPr>
              <w:instrText xml:space="preserve"> PAGEREF _Toc178837628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05F459FC" w14:textId="1FB3FC6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29" w:history="1">
            <w:r w:rsidR="00FD58BF" w:rsidRPr="003004E5">
              <w:rPr>
                <w:rStyle w:val="Lienhypertexte"/>
                <w:noProof/>
              </w:rPr>
              <w:t>21.51 Murs poids en maçonneries portantes en blocs CCTB 01.02</w:t>
            </w:r>
            <w:r w:rsidR="00FD58BF">
              <w:rPr>
                <w:noProof/>
                <w:webHidden/>
              </w:rPr>
              <w:tab/>
            </w:r>
            <w:r w:rsidR="00FD58BF">
              <w:rPr>
                <w:noProof/>
                <w:webHidden/>
              </w:rPr>
              <w:fldChar w:fldCharType="begin"/>
            </w:r>
            <w:r w:rsidR="00FD58BF">
              <w:rPr>
                <w:noProof/>
                <w:webHidden/>
              </w:rPr>
              <w:instrText xml:space="preserve"> PAGEREF _Toc178837629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0A2CC7CB" w14:textId="26DE1E8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30" w:history="1">
            <w:r w:rsidR="00FD58BF" w:rsidRPr="003004E5">
              <w:rPr>
                <w:rStyle w:val="Lienhypertexte"/>
                <w:noProof/>
              </w:rPr>
              <w:t>21.51.1 Murs poids en maçonneries portantes en blocs de béton CCTB 01.04</w:t>
            </w:r>
            <w:r w:rsidR="00FD58BF">
              <w:rPr>
                <w:noProof/>
                <w:webHidden/>
              </w:rPr>
              <w:tab/>
            </w:r>
            <w:r w:rsidR="00FD58BF">
              <w:rPr>
                <w:noProof/>
                <w:webHidden/>
              </w:rPr>
              <w:fldChar w:fldCharType="begin"/>
            </w:r>
            <w:r w:rsidR="00FD58BF">
              <w:rPr>
                <w:noProof/>
                <w:webHidden/>
              </w:rPr>
              <w:instrText xml:space="preserve"> PAGEREF _Toc178837630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72F96B28" w14:textId="2EA2DF8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1" w:history="1">
            <w:r w:rsidR="00FD58BF" w:rsidRPr="003004E5">
              <w:rPr>
                <w:rStyle w:val="Lienhypertexte"/>
                <w:noProof/>
              </w:rPr>
              <w:t>21.51.1a Murs poids en maçonneries portantes en blocs de béton pleins CCTB 01.04</w:t>
            </w:r>
            <w:r w:rsidR="00FD58BF">
              <w:rPr>
                <w:noProof/>
                <w:webHidden/>
              </w:rPr>
              <w:tab/>
            </w:r>
            <w:r w:rsidR="00FD58BF">
              <w:rPr>
                <w:noProof/>
                <w:webHidden/>
              </w:rPr>
              <w:fldChar w:fldCharType="begin"/>
            </w:r>
            <w:r w:rsidR="00FD58BF">
              <w:rPr>
                <w:noProof/>
                <w:webHidden/>
              </w:rPr>
              <w:instrText xml:space="preserve"> PAGEREF _Toc178837631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6590CCC3" w14:textId="5C5BB4F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32" w:history="1">
            <w:r w:rsidR="00FD58BF" w:rsidRPr="003004E5">
              <w:rPr>
                <w:rStyle w:val="Lienhypertexte"/>
                <w:noProof/>
              </w:rPr>
              <w:t>21.51.2 Murs poids en maçonneries portantes en blocs de coffrage CCTB 01.04</w:t>
            </w:r>
            <w:r w:rsidR="00FD58BF">
              <w:rPr>
                <w:noProof/>
                <w:webHidden/>
              </w:rPr>
              <w:tab/>
            </w:r>
            <w:r w:rsidR="00FD58BF">
              <w:rPr>
                <w:noProof/>
                <w:webHidden/>
              </w:rPr>
              <w:fldChar w:fldCharType="begin"/>
            </w:r>
            <w:r w:rsidR="00FD58BF">
              <w:rPr>
                <w:noProof/>
                <w:webHidden/>
              </w:rPr>
              <w:instrText xml:space="preserve"> PAGEREF _Toc178837632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7F0C345F" w14:textId="501E516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3" w:history="1">
            <w:r w:rsidR="00FD58BF" w:rsidRPr="003004E5">
              <w:rPr>
                <w:rStyle w:val="Lienhypertexte"/>
                <w:noProof/>
              </w:rPr>
              <w:t>21.51.2a Murs poids en maçonneries portantes en blocs de coffrage CCTB 01.04</w:t>
            </w:r>
            <w:r w:rsidR="00FD58BF">
              <w:rPr>
                <w:noProof/>
                <w:webHidden/>
              </w:rPr>
              <w:tab/>
            </w:r>
            <w:r w:rsidR="00FD58BF">
              <w:rPr>
                <w:noProof/>
                <w:webHidden/>
              </w:rPr>
              <w:fldChar w:fldCharType="begin"/>
            </w:r>
            <w:r w:rsidR="00FD58BF">
              <w:rPr>
                <w:noProof/>
                <w:webHidden/>
              </w:rPr>
              <w:instrText xml:space="preserve"> PAGEREF _Toc178837633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1242110F" w14:textId="3F71365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34" w:history="1">
            <w:r w:rsidR="00FD58BF" w:rsidRPr="003004E5">
              <w:rPr>
                <w:rStyle w:val="Lienhypertexte"/>
                <w:noProof/>
              </w:rPr>
              <w:t>21.52 Murs poids en maçonneries portantes en enrochement CCTB 01.02</w:t>
            </w:r>
            <w:r w:rsidR="00FD58BF">
              <w:rPr>
                <w:noProof/>
                <w:webHidden/>
              </w:rPr>
              <w:tab/>
            </w:r>
            <w:r w:rsidR="00FD58BF">
              <w:rPr>
                <w:noProof/>
                <w:webHidden/>
              </w:rPr>
              <w:fldChar w:fldCharType="begin"/>
            </w:r>
            <w:r w:rsidR="00FD58BF">
              <w:rPr>
                <w:noProof/>
                <w:webHidden/>
              </w:rPr>
              <w:instrText xml:space="preserve"> PAGEREF _Toc178837634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0B951956" w14:textId="61CF69F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35" w:history="1">
            <w:r w:rsidR="00FD58BF" w:rsidRPr="003004E5">
              <w:rPr>
                <w:rStyle w:val="Lienhypertexte"/>
                <w:noProof/>
              </w:rPr>
              <w:t>21.52.1 Murs poids en maçonneries portantes en gabions CCTB 01.04</w:t>
            </w:r>
            <w:r w:rsidR="00FD58BF">
              <w:rPr>
                <w:noProof/>
                <w:webHidden/>
              </w:rPr>
              <w:tab/>
            </w:r>
            <w:r w:rsidR="00FD58BF">
              <w:rPr>
                <w:noProof/>
                <w:webHidden/>
              </w:rPr>
              <w:fldChar w:fldCharType="begin"/>
            </w:r>
            <w:r w:rsidR="00FD58BF">
              <w:rPr>
                <w:noProof/>
                <w:webHidden/>
              </w:rPr>
              <w:instrText xml:space="preserve"> PAGEREF _Toc178837635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71F9A426" w14:textId="7957D3E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6" w:history="1">
            <w:r w:rsidR="00FD58BF" w:rsidRPr="003004E5">
              <w:rPr>
                <w:rStyle w:val="Lienhypertexte"/>
                <w:noProof/>
              </w:rPr>
              <w:t>21.52.1a Murs poids en maçonneries portantes en gabions CCTB 01.04</w:t>
            </w:r>
            <w:r w:rsidR="00FD58BF">
              <w:rPr>
                <w:noProof/>
                <w:webHidden/>
              </w:rPr>
              <w:tab/>
            </w:r>
            <w:r w:rsidR="00FD58BF">
              <w:rPr>
                <w:noProof/>
                <w:webHidden/>
              </w:rPr>
              <w:fldChar w:fldCharType="begin"/>
            </w:r>
            <w:r w:rsidR="00FD58BF">
              <w:rPr>
                <w:noProof/>
                <w:webHidden/>
              </w:rPr>
              <w:instrText xml:space="preserve"> PAGEREF _Toc178837636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111B3095" w14:textId="228EA02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37" w:history="1">
            <w:r w:rsidR="00FD58BF" w:rsidRPr="003004E5">
              <w:rPr>
                <w:rStyle w:val="Lienhypertexte"/>
                <w:noProof/>
              </w:rPr>
              <w:t>21.52.2 Murs poids en maçonneries portantes en moellons de pierre bleue CCTB 01.04</w:t>
            </w:r>
            <w:r w:rsidR="00FD58BF">
              <w:rPr>
                <w:noProof/>
                <w:webHidden/>
              </w:rPr>
              <w:tab/>
            </w:r>
            <w:r w:rsidR="00FD58BF">
              <w:rPr>
                <w:noProof/>
                <w:webHidden/>
              </w:rPr>
              <w:fldChar w:fldCharType="begin"/>
            </w:r>
            <w:r w:rsidR="00FD58BF">
              <w:rPr>
                <w:noProof/>
                <w:webHidden/>
              </w:rPr>
              <w:instrText xml:space="preserve"> PAGEREF _Toc178837637 \h </w:instrText>
            </w:r>
            <w:r w:rsidR="00FD58BF">
              <w:rPr>
                <w:noProof/>
                <w:webHidden/>
              </w:rPr>
            </w:r>
            <w:r w:rsidR="00FD58BF">
              <w:rPr>
                <w:noProof/>
                <w:webHidden/>
              </w:rPr>
              <w:fldChar w:fldCharType="separate"/>
            </w:r>
            <w:r w:rsidR="00FD58BF">
              <w:rPr>
                <w:noProof/>
                <w:webHidden/>
              </w:rPr>
              <w:t>457</w:t>
            </w:r>
            <w:r w:rsidR="00FD58BF">
              <w:rPr>
                <w:noProof/>
                <w:webHidden/>
              </w:rPr>
              <w:fldChar w:fldCharType="end"/>
            </w:r>
          </w:hyperlink>
        </w:p>
        <w:p w14:paraId="5B237176" w14:textId="350BF5A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8" w:history="1">
            <w:r w:rsidR="00FD58BF" w:rsidRPr="003004E5">
              <w:rPr>
                <w:rStyle w:val="Lienhypertexte"/>
                <w:noProof/>
              </w:rPr>
              <w:t>21.52.2a Murs poids en maçonneries portantes en petit granit - pierre bleue CCTB 01.04</w:t>
            </w:r>
            <w:r w:rsidR="00FD58BF">
              <w:rPr>
                <w:noProof/>
                <w:webHidden/>
              </w:rPr>
              <w:tab/>
            </w:r>
            <w:r w:rsidR="00FD58BF">
              <w:rPr>
                <w:noProof/>
                <w:webHidden/>
              </w:rPr>
              <w:fldChar w:fldCharType="begin"/>
            </w:r>
            <w:r w:rsidR="00FD58BF">
              <w:rPr>
                <w:noProof/>
                <w:webHidden/>
              </w:rPr>
              <w:instrText xml:space="preserve"> PAGEREF _Toc178837638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79C49195" w14:textId="7CC388B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9" w:history="1">
            <w:r w:rsidR="00FD58BF" w:rsidRPr="003004E5">
              <w:rPr>
                <w:rStyle w:val="Lienhypertexte"/>
                <w:noProof/>
              </w:rPr>
              <w:t>21.52.2b Murs poids en maçonneries portantes en pierre calcaire CCTB 01.04</w:t>
            </w:r>
            <w:r w:rsidR="00FD58BF">
              <w:rPr>
                <w:noProof/>
                <w:webHidden/>
              </w:rPr>
              <w:tab/>
            </w:r>
            <w:r w:rsidR="00FD58BF">
              <w:rPr>
                <w:noProof/>
                <w:webHidden/>
              </w:rPr>
              <w:fldChar w:fldCharType="begin"/>
            </w:r>
            <w:r w:rsidR="00FD58BF">
              <w:rPr>
                <w:noProof/>
                <w:webHidden/>
              </w:rPr>
              <w:instrText xml:space="preserve"> PAGEREF _Toc178837639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0511F98B" w14:textId="1F9C6DF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40" w:history="1">
            <w:r w:rsidR="00FD58BF" w:rsidRPr="003004E5">
              <w:rPr>
                <w:rStyle w:val="Lienhypertexte"/>
                <w:noProof/>
              </w:rPr>
              <w:t>21.52.3 Murs poids en maçonneries portantes en moellons de pierre calcaire CCTB 01.04</w:t>
            </w:r>
            <w:r w:rsidR="00FD58BF">
              <w:rPr>
                <w:noProof/>
                <w:webHidden/>
              </w:rPr>
              <w:tab/>
            </w:r>
            <w:r w:rsidR="00FD58BF">
              <w:rPr>
                <w:noProof/>
                <w:webHidden/>
              </w:rPr>
              <w:fldChar w:fldCharType="begin"/>
            </w:r>
            <w:r w:rsidR="00FD58BF">
              <w:rPr>
                <w:noProof/>
                <w:webHidden/>
              </w:rPr>
              <w:instrText xml:space="preserve"> PAGEREF _Toc178837640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1D9EF914" w14:textId="0D7BAD6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1" w:history="1">
            <w:r w:rsidR="00FD58BF" w:rsidRPr="003004E5">
              <w:rPr>
                <w:rStyle w:val="Lienhypertexte"/>
                <w:noProof/>
              </w:rPr>
              <w:t>21.52.3a Murs poids en maçonneries portantes en moellons de pierre bleue CCTB 01.04</w:t>
            </w:r>
            <w:r w:rsidR="00FD58BF">
              <w:rPr>
                <w:noProof/>
                <w:webHidden/>
              </w:rPr>
              <w:tab/>
            </w:r>
            <w:r w:rsidR="00FD58BF">
              <w:rPr>
                <w:noProof/>
                <w:webHidden/>
              </w:rPr>
              <w:fldChar w:fldCharType="begin"/>
            </w:r>
            <w:r w:rsidR="00FD58BF">
              <w:rPr>
                <w:noProof/>
                <w:webHidden/>
              </w:rPr>
              <w:instrText xml:space="preserve"> PAGEREF _Toc178837641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76C634DA" w14:textId="1DFCBD3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2" w:history="1">
            <w:r w:rsidR="00FD58BF" w:rsidRPr="003004E5">
              <w:rPr>
                <w:rStyle w:val="Lienhypertexte"/>
                <w:noProof/>
              </w:rPr>
              <w:t>21.52.3b Murs poids en maçonneries portantes en moellons de pierre blanche CCTB 01.04</w:t>
            </w:r>
            <w:r w:rsidR="00FD58BF">
              <w:rPr>
                <w:noProof/>
                <w:webHidden/>
              </w:rPr>
              <w:tab/>
            </w:r>
            <w:r w:rsidR="00FD58BF">
              <w:rPr>
                <w:noProof/>
                <w:webHidden/>
              </w:rPr>
              <w:fldChar w:fldCharType="begin"/>
            </w:r>
            <w:r w:rsidR="00FD58BF">
              <w:rPr>
                <w:noProof/>
                <w:webHidden/>
              </w:rPr>
              <w:instrText xml:space="preserve"> PAGEREF _Toc178837642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2CE67F11" w14:textId="19F6498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3" w:history="1">
            <w:r w:rsidR="00FD58BF" w:rsidRPr="003004E5">
              <w:rPr>
                <w:rStyle w:val="Lienhypertexte"/>
                <w:noProof/>
              </w:rPr>
              <w:t>21.52.3c Murs poids en maçonneries portantes en moellons de marbre CCTB 01.04</w:t>
            </w:r>
            <w:r w:rsidR="00FD58BF">
              <w:rPr>
                <w:noProof/>
                <w:webHidden/>
              </w:rPr>
              <w:tab/>
            </w:r>
            <w:r w:rsidR="00FD58BF">
              <w:rPr>
                <w:noProof/>
                <w:webHidden/>
              </w:rPr>
              <w:fldChar w:fldCharType="begin"/>
            </w:r>
            <w:r w:rsidR="00FD58BF">
              <w:rPr>
                <w:noProof/>
                <w:webHidden/>
              </w:rPr>
              <w:instrText xml:space="preserve"> PAGEREF _Toc178837643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21A569FF" w14:textId="06C7D93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44" w:history="1">
            <w:r w:rsidR="00FD58BF" w:rsidRPr="003004E5">
              <w:rPr>
                <w:rStyle w:val="Lienhypertexte"/>
                <w:noProof/>
              </w:rPr>
              <w:t>21.52.4 Murs poids en maçonneries portantes en moellons de pierres siliceuses CCTB 01.04</w:t>
            </w:r>
            <w:r w:rsidR="00FD58BF">
              <w:rPr>
                <w:noProof/>
                <w:webHidden/>
              </w:rPr>
              <w:tab/>
            </w:r>
            <w:r w:rsidR="00FD58BF">
              <w:rPr>
                <w:noProof/>
                <w:webHidden/>
              </w:rPr>
              <w:fldChar w:fldCharType="begin"/>
            </w:r>
            <w:r w:rsidR="00FD58BF">
              <w:rPr>
                <w:noProof/>
                <w:webHidden/>
              </w:rPr>
              <w:instrText xml:space="preserve"> PAGEREF _Toc178837644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61E025AA" w14:textId="60F7E19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5" w:history="1">
            <w:r w:rsidR="00FD58BF" w:rsidRPr="003004E5">
              <w:rPr>
                <w:rStyle w:val="Lienhypertexte"/>
                <w:noProof/>
              </w:rPr>
              <w:t>21.52.4a Murs poids en maçonneries portantes en moellons d'arkose CCTB 01.04</w:t>
            </w:r>
            <w:r w:rsidR="00FD58BF">
              <w:rPr>
                <w:noProof/>
                <w:webHidden/>
              </w:rPr>
              <w:tab/>
            </w:r>
            <w:r w:rsidR="00FD58BF">
              <w:rPr>
                <w:noProof/>
                <w:webHidden/>
              </w:rPr>
              <w:fldChar w:fldCharType="begin"/>
            </w:r>
            <w:r w:rsidR="00FD58BF">
              <w:rPr>
                <w:noProof/>
                <w:webHidden/>
              </w:rPr>
              <w:instrText xml:space="preserve"> PAGEREF _Toc178837645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6F11D647" w14:textId="023CCDD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6" w:history="1">
            <w:r w:rsidR="00FD58BF" w:rsidRPr="003004E5">
              <w:rPr>
                <w:rStyle w:val="Lienhypertexte"/>
                <w:noProof/>
              </w:rPr>
              <w:t>21.52.4b Murs poids en maçonneries portantes en moellons de schiste CCTB 01.04</w:t>
            </w:r>
            <w:r w:rsidR="00FD58BF">
              <w:rPr>
                <w:noProof/>
                <w:webHidden/>
              </w:rPr>
              <w:tab/>
            </w:r>
            <w:r w:rsidR="00FD58BF">
              <w:rPr>
                <w:noProof/>
                <w:webHidden/>
              </w:rPr>
              <w:fldChar w:fldCharType="begin"/>
            </w:r>
            <w:r w:rsidR="00FD58BF">
              <w:rPr>
                <w:noProof/>
                <w:webHidden/>
              </w:rPr>
              <w:instrText xml:space="preserve"> PAGEREF _Toc178837646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1A5654BC" w14:textId="20876E1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7" w:history="1">
            <w:r w:rsidR="00FD58BF" w:rsidRPr="003004E5">
              <w:rPr>
                <w:rStyle w:val="Lienhypertexte"/>
                <w:noProof/>
              </w:rPr>
              <w:t>21.52.4c Murs poids en maçonneries portantes en moellons de grès CCTB 01.04</w:t>
            </w:r>
            <w:r w:rsidR="00FD58BF">
              <w:rPr>
                <w:noProof/>
                <w:webHidden/>
              </w:rPr>
              <w:tab/>
            </w:r>
            <w:r w:rsidR="00FD58BF">
              <w:rPr>
                <w:noProof/>
                <w:webHidden/>
              </w:rPr>
              <w:fldChar w:fldCharType="begin"/>
            </w:r>
            <w:r w:rsidR="00FD58BF">
              <w:rPr>
                <w:noProof/>
                <w:webHidden/>
              </w:rPr>
              <w:instrText xml:space="preserve"> PAGEREF _Toc178837647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7CFD7C58" w14:textId="6EAC6F4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8" w:history="1">
            <w:r w:rsidR="00FD58BF" w:rsidRPr="003004E5">
              <w:rPr>
                <w:rStyle w:val="Lienhypertexte"/>
                <w:noProof/>
              </w:rPr>
              <w:t>21.52.4d Murs poids en maçonneries portantes en moellons de quartzite CCTB 01.04</w:t>
            </w:r>
            <w:r w:rsidR="00FD58BF">
              <w:rPr>
                <w:noProof/>
                <w:webHidden/>
              </w:rPr>
              <w:tab/>
            </w:r>
            <w:r w:rsidR="00FD58BF">
              <w:rPr>
                <w:noProof/>
                <w:webHidden/>
              </w:rPr>
              <w:fldChar w:fldCharType="begin"/>
            </w:r>
            <w:r w:rsidR="00FD58BF">
              <w:rPr>
                <w:noProof/>
                <w:webHidden/>
              </w:rPr>
              <w:instrText xml:space="preserve"> PAGEREF _Toc178837648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23984A2F" w14:textId="204C6CF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9" w:history="1">
            <w:r w:rsidR="00FD58BF" w:rsidRPr="003004E5">
              <w:rPr>
                <w:rStyle w:val="Lienhypertexte"/>
                <w:noProof/>
              </w:rPr>
              <w:t>21.52.4e Murs poids en maçonneries portantes en moellons de silex CCTB 01.04</w:t>
            </w:r>
            <w:r w:rsidR="00FD58BF">
              <w:rPr>
                <w:noProof/>
                <w:webHidden/>
              </w:rPr>
              <w:tab/>
            </w:r>
            <w:r w:rsidR="00FD58BF">
              <w:rPr>
                <w:noProof/>
                <w:webHidden/>
              </w:rPr>
              <w:fldChar w:fldCharType="begin"/>
            </w:r>
            <w:r w:rsidR="00FD58BF">
              <w:rPr>
                <w:noProof/>
                <w:webHidden/>
              </w:rPr>
              <w:instrText xml:space="preserve"> PAGEREF _Toc178837649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2462BDA0" w14:textId="6E8D903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50" w:history="1">
            <w:r w:rsidR="00FD58BF" w:rsidRPr="003004E5">
              <w:rPr>
                <w:rStyle w:val="Lienhypertexte"/>
                <w:noProof/>
              </w:rPr>
              <w:t>21.52.5 Murs poids en maçonneries portantes en pierres de grandes dimensions CCTB 01.04</w:t>
            </w:r>
            <w:r w:rsidR="00FD58BF">
              <w:rPr>
                <w:noProof/>
                <w:webHidden/>
              </w:rPr>
              <w:tab/>
            </w:r>
            <w:r w:rsidR="00FD58BF">
              <w:rPr>
                <w:noProof/>
                <w:webHidden/>
              </w:rPr>
              <w:fldChar w:fldCharType="begin"/>
            </w:r>
            <w:r w:rsidR="00FD58BF">
              <w:rPr>
                <w:noProof/>
                <w:webHidden/>
              </w:rPr>
              <w:instrText xml:space="preserve"> PAGEREF _Toc178837650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7B1160B6" w14:textId="2595D2E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1" w:history="1">
            <w:r w:rsidR="00FD58BF" w:rsidRPr="003004E5">
              <w:rPr>
                <w:rStyle w:val="Lienhypertexte"/>
                <w:noProof/>
              </w:rPr>
              <w:t>21.52.5a Murs poids en maçonneries portantes en pierres de grandes dimensions CCTB 01.04</w:t>
            </w:r>
            <w:r w:rsidR="00FD58BF">
              <w:rPr>
                <w:noProof/>
                <w:webHidden/>
              </w:rPr>
              <w:tab/>
            </w:r>
            <w:r w:rsidR="00FD58BF">
              <w:rPr>
                <w:noProof/>
                <w:webHidden/>
              </w:rPr>
              <w:fldChar w:fldCharType="begin"/>
            </w:r>
            <w:r w:rsidR="00FD58BF">
              <w:rPr>
                <w:noProof/>
                <w:webHidden/>
              </w:rPr>
              <w:instrText xml:space="preserve"> PAGEREF _Toc178837651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64B83228" w14:textId="772D6F2D"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652" w:history="1">
            <w:r w:rsidR="00FD58BF" w:rsidRPr="003004E5">
              <w:rPr>
                <w:rStyle w:val="Lienhypertexte"/>
                <w:noProof/>
              </w:rPr>
              <w:t>21.6 Réalisation de joints CCTB 01.04</w:t>
            </w:r>
            <w:r w:rsidR="00FD58BF">
              <w:rPr>
                <w:noProof/>
                <w:webHidden/>
              </w:rPr>
              <w:tab/>
            </w:r>
            <w:r w:rsidR="00FD58BF">
              <w:rPr>
                <w:noProof/>
                <w:webHidden/>
              </w:rPr>
              <w:fldChar w:fldCharType="begin"/>
            </w:r>
            <w:r w:rsidR="00FD58BF">
              <w:rPr>
                <w:noProof/>
                <w:webHidden/>
              </w:rPr>
              <w:instrText xml:space="preserve"> PAGEREF _Toc178837652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0969151B" w14:textId="210FF1F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53" w:history="1">
            <w:r w:rsidR="00FD58BF" w:rsidRPr="003004E5">
              <w:rPr>
                <w:rStyle w:val="Lienhypertexte"/>
                <w:noProof/>
              </w:rPr>
              <w:t>21.61 Rejointoyage CCTB 01.02</w:t>
            </w:r>
            <w:r w:rsidR="00FD58BF">
              <w:rPr>
                <w:noProof/>
                <w:webHidden/>
              </w:rPr>
              <w:tab/>
            </w:r>
            <w:r w:rsidR="00FD58BF">
              <w:rPr>
                <w:noProof/>
                <w:webHidden/>
              </w:rPr>
              <w:fldChar w:fldCharType="begin"/>
            </w:r>
            <w:r w:rsidR="00FD58BF">
              <w:rPr>
                <w:noProof/>
                <w:webHidden/>
              </w:rPr>
              <w:instrText xml:space="preserve"> PAGEREF _Toc178837653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1F5B67DB" w14:textId="44EC7DF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54" w:history="1">
            <w:r w:rsidR="00FD58BF" w:rsidRPr="003004E5">
              <w:rPr>
                <w:rStyle w:val="Lienhypertexte"/>
                <w:noProof/>
              </w:rPr>
              <w:t>21.61.1 Rejointoyage CCTB 01.02</w:t>
            </w:r>
            <w:r w:rsidR="00FD58BF">
              <w:rPr>
                <w:noProof/>
                <w:webHidden/>
              </w:rPr>
              <w:tab/>
            </w:r>
            <w:r w:rsidR="00FD58BF">
              <w:rPr>
                <w:noProof/>
                <w:webHidden/>
              </w:rPr>
              <w:fldChar w:fldCharType="begin"/>
            </w:r>
            <w:r w:rsidR="00FD58BF">
              <w:rPr>
                <w:noProof/>
                <w:webHidden/>
              </w:rPr>
              <w:instrText xml:space="preserve"> PAGEREF _Toc178837654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10ABF522" w14:textId="68555E4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5" w:history="1">
            <w:r w:rsidR="00FD58BF" w:rsidRPr="003004E5">
              <w:rPr>
                <w:rStyle w:val="Lienhypertexte"/>
                <w:noProof/>
              </w:rPr>
              <w:t>21.61.1a Rejointoyage CCTB 01.02</w:t>
            </w:r>
            <w:r w:rsidR="00FD58BF">
              <w:rPr>
                <w:noProof/>
                <w:webHidden/>
              </w:rPr>
              <w:tab/>
            </w:r>
            <w:r w:rsidR="00FD58BF">
              <w:rPr>
                <w:noProof/>
                <w:webHidden/>
              </w:rPr>
              <w:fldChar w:fldCharType="begin"/>
            </w:r>
            <w:r w:rsidR="00FD58BF">
              <w:rPr>
                <w:noProof/>
                <w:webHidden/>
              </w:rPr>
              <w:instrText xml:space="preserve"> PAGEREF _Toc178837655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2FE7D226" w14:textId="1782156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6" w:history="1">
            <w:r w:rsidR="00FD58BF" w:rsidRPr="003004E5">
              <w:rPr>
                <w:rStyle w:val="Lienhypertexte"/>
                <w:noProof/>
              </w:rPr>
              <w:t>21.61.1b Joints de maçonnerie apparente CCTB 01.11</w:t>
            </w:r>
            <w:r w:rsidR="00FD58BF">
              <w:rPr>
                <w:noProof/>
                <w:webHidden/>
              </w:rPr>
              <w:tab/>
            </w:r>
            <w:r w:rsidR="00FD58BF">
              <w:rPr>
                <w:noProof/>
                <w:webHidden/>
              </w:rPr>
              <w:fldChar w:fldCharType="begin"/>
            </w:r>
            <w:r w:rsidR="00FD58BF">
              <w:rPr>
                <w:noProof/>
                <w:webHidden/>
              </w:rPr>
              <w:instrText xml:space="preserve"> PAGEREF _Toc178837656 \h </w:instrText>
            </w:r>
            <w:r w:rsidR="00FD58BF">
              <w:rPr>
                <w:noProof/>
                <w:webHidden/>
              </w:rPr>
            </w:r>
            <w:r w:rsidR="00FD58BF">
              <w:rPr>
                <w:noProof/>
                <w:webHidden/>
              </w:rPr>
              <w:fldChar w:fldCharType="separate"/>
            </w:r>
            <w:r w:rsidR="00FD58BF">
              <w:rPr>
                <w:noProof/>
                <w:webHidden/>
              </w:rPr>
              <w:t>458</w:t>
            </w:r>
            <w:r w:rsidR="00FD58BF">
              <w:rPr>
                <w:noProof/>
                <w:webHidden/>
              </w:rPr>
              <w:fldChar w:fldCharType="end"/>
            </w:r>
          </w:hyperlink>
        </w:p>
        <w:p w14:paraId="6B75C981" w14:textId="0317753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57" w:history="1">
            <w:r w:rsidR="00FD58BF" w:rsidRPr="003004E5">
              <w:rPr>
                <w:rStyle w:val="Lienhypertexte"/>
                <w:noProof/>
              </w:rPr>
              <w:t>21.62 Joints structuraux CCTB 01.04</w:t>
            </w:r>
            <w:r w:rsidR="00FD58BF">
              <w:rPr>
                <w:noProof/>
                <w:webHidden/>
              </w:rPr>
              <w:tab/>
            </w:r>
            <w:r w:rsidR="00FD58BF">
              <w:rPr>
                <w:noProof/>
                <w:webHidden/>
              </w:rPr>
              <w:fldChar w:fldCharType="begin"/>
            </w:r>
            <w:r w:rsidR="00FD58BF">
              <w:rPr>
                <w:noProof/>
                <w:webHidden/>
              </w:rPr>
              <w:instrText xml:space="preserve"> PAGEREF _Toc178837657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20C04191" w14:textId="6540581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58" w:history="1">
            <w:r w:rsidR="00FD58BF" w:rsidRPr="003004E5">
              <w:rPr>
                <w:rStyle w:val="Lienhypertexte"/>
                <w:noProof/>
              </w:rPr>
              <w:t>21.62.1 Joints de dilatation CCTB 01.04</w:t>
            </w:r>
            <w:r w:rsidR="00FD58BF">
              <w:rPr>
                <w:noProof/>
                <w:webHidden/>
              </w:rPr>
              <w:tab/>
            </w:r>
            <w:r w:rsidR="00FD58BF">
              <w:rPr>
                <w:noProof/>
                <w:webHidden/>
              </w:rPr>
              <w:fldChar w:fldCharType="begin"/>
            </w:r>
            <w:r w:rsidR="00FD58BF">
              <w:rPr>
                <w:noProof/>
                <w:webHidden/>
              </w:rPr>
              <w:instrText xml:space="preserve"> PAGEREF _Toc178837658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0AA01A24" w14:textId="618A7B5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9" w:history="1">
            <w:r w:rsidR="00FD58BF" w:rsidRPr="003004E5">
              <w:rPr>
                <w:rStyle w:val="Lienhypertexte"/>
                <w:noProof/>
              </w:rPr>
              <w:t>21.62.1a Joints de dilatation CCTB 01.02</w:t>
            </w:r>
            <w:r w:rsidR="00FD58BF">
              <w:rPr>
                <w:noProof/>
                <w:webHidden/>
              </w:rPr>
              <w:tab/>
            </w:r>
            <w:r w:rsidR="00FD58BF">
              <w:rPr>
                <w:noProof/>
                <w:webHidden/>
              </w:rPr>
              <w:fldChar w:fldCharType="begin"/>
            </w:r>
            <w:r w:rsidR="00FD58BF">
              <w:rPr>
                <w:noProof/>
                <w:webHidden/>
              </w:rPr>
              <w:instrText xml:space="preserve"> PAGEREF _Toc178837659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3B178EFA" w14:textId="512FBA2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60" w:history="1">
            <w:r w:rsidR="00FD58BF" w:rsidRPr="003004E5">
              <w:rPr>
                <w:rStyle w:val="Lienhypertexte"/>
                <w:noProof/>
              </w:rPr>
              <w:t>21.63 Joints de retrait CCTB 01.04</w:t>
            </w:r>
            <w:r w:rsidR="00FD58BF">
              <w:rPr>
                <w:noProof/>
                <w:webHidden/>
              </w:rPr>
              <w:tab/>
            </w:r>
            <w:r w:rsidR="00FD58BF">
              <w:rPr>
                <w:noProof/>
                <w:webHidden/>
              </w:rPr>
              <w:fldChar w:fldCharType="begin"/>
            </w:r>
            <w:r w:rsidR="00FD58BF">
              <w:rPr>
                <w:noProof/>
                <w:webHidden/>
              </w:rPr>
              <w:instrText xml:space="preserve"> PAGEREF _Toc178837660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11D4D3A1" w14:textId="24CF01A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61" w:history="1">
            <w:r w:rsidR="00FD58BF" w:rsidRPr="003004E5">
              <w:rPr>
                <w:rStyle w:val="Lienhypertexte"/>
                <w:noProof/>
              </w:rPr>
              <w:t>21.63.1 Joints de retrait CCTB 01.04</w:t>
            </w:r>
            <w:r w:rsidR="00FD58BF">
              <w:rPr>
                <w:noProof/>
                <w:webHidden/>
              </w:rPr>
              <w:tab/>
            </w:r>
            <w:r w:rsidR="00FD58BF">
              <w:rPr>
                <w:noProof/>
                <w:webHidden/>
              </w:rPr>
              <w:fldChar w:fldCharType="begin"/>
            </w:r>
            <w:r w:rsidR="00FD58BF">
              <w:rPr>
                <w:noProof/>
                <w:webHidden/>
              </w:rPr>
              <w:instrText xml:space="preserve"> PAGEREF _Toc178837661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2CC793EB" w14:textId="4097A10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2" w:history="1">
            <w:r w:rsidR="00FD58BF" w:rsidRPr="003004E5">
              <w:rPr>
                <w:rStyle w:val="Lienhypertexte"/>
                <w:noProof/>
              </w:rPr>
              <w:t>21.63.1a Joints de retrait CCTB 01.04</w:t>
            </w:r>
            <w:r w:rsidR="00FD58BF">
              <w:rPr>
                <w:noProof/>
                <w:webHidden/>
              </w:rPr>
              <w:tab/>
            </w:r>
            <w:r w:rsidR="00FD58BF">
              <w:rPr>
                <w:noProof/>
                <w:webHidden/>
              </w:rPr>
              <w:fldChar w:fldCharType="begin"/>
            </w:r>
            <w:r w:rsidR="00FD58BF">
              <w:rPr>
                <w:noProof/>
                <w:webHidden/>
              </w:rPr>
              <w:instrText xml:space="preserve"> PAGEREF _Toc178837662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7F825C55" w14:textId="17D2355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63" w:history="1">
            <w:r w:rsidR="00FD58BF" w:rsidRPr="003004E5">
              <w:rPr>
                <w:rStyle w:val="Lienhypertexte"/>
                <w:noProof/>
              </w:rPr>
              <w:t>21.64 Joints de remplissage CCTB 01.04</w:t>
            </w:r>
            <w:r w:rsidR="00FD58BF">
              <w:rPr>
                <w:noProof/>
                <w:webHidden/>
              </w:rPr>
              <w:tab/>
            </w:r>
            <w:r w:rsidR="00FD58BF">
              <w:rPr>
                <w:noProof/>
                <w:webHidden/>
              </w:rPr>
              <w:fldChar w:fldCharType="begin"/>
            </w:r>
            <w:r w:rsidR="00FD58BF">
              <w:rPr>
                <w:noProof/>
                <w:webHidden/>
              </w:rPr>
              <w:instrText xml:space="preserve"> PAGEREF _Toc178837663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471D3166" w14:textId="28FA0F7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64" w:history="1">
            <w:r w:rsidR="00FD58BF" w:rsidRPr="003004E5">
              <w:rPr>
                <w:rStyle w:val="Lienhypertexte"/>
                <w:noProof/>
              </w:rPr>
              <w:t>21.64.1 Joints de remplissage CCTB 01.04</w:t>
            </w:r>
            <w:r w:rsidR="00FD58BF">
              <w:rPr>
                <w:noProof/>
                <w:webHidden/>
              </w:rPr>
              <w:tab/>
            </w:r>
            <w:r w:rsidR="00FD58BF">
              <w:rPr>
                <w:noProof/>
                <w:webHidden/>
              </w:rPr>
              <w:fldChar w:fldCharType="begin"/>
            </w:r>
            <w:r w:rsidR="00FD58BF">
              <w:rPr>
                <w:noProof/>
                <w:webHidden/>
              </w:rPr>
              <w:instrText xml:space="preserve"> PAGEREF _Toc178837664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45FCEE18" w14:textId="78B4D8F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5" w:history="1">
            <w:r w:rsidR="00FD58BF" w:rsidRPr="003004E5">
              <w:rPr>
                <w:rStyle w:val="Lienhypertexte"/>
                <w:noProof/>
              </w:rPr>
              <w:t>21.64.1a Joints de resserrage en mortier CCTB 01.04</w:t>
            </w:r>
            <w:r w:rsidR="00FD58BF">
              <w:rPr>
                <w:noProof/>
                <w:webHidden/>
              </w:rPr>
              <w:tab/>
            </w:r>
            <w:r w:rsidR="00FD58BF">
              <w:rPr>
                <w:noProof/>
                <w:webHidden/>
              </w:rPr>
              <w:fldChar w:fldCharType="begin"/>
            </w:r>
            <w:r w:rsidR="00FD58BF">
              <w:rPr>
                <w:noProof/>
                <w:webHidden/>
              </w:rPr>
              <w:instrText xml:space="preserve"> PAGEREF _Toc178837665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1346F8F8" w14:textId="1B368B0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6" w:history="1">
            <w:r w:rsidR="00FD58BF" w:rsidRPr="003004E5">
              <w:rPr>
                <w:rStyle w:val="Lienhypertexte"/>
                <w:noProof/>
              </w:rPr>
              <w:t>21.64.1b Joints de resserrage autres qu'en mortier CCTB 01.04</w:t>
            </w:r>
            <w:r w:rsidR="00FD58BF">
              <w:rPr>
                <w:noProof/>
                <w:webHidden/>
              </w:rPr>
              <w:tab/>
            </w:r>
            <w:r w:rsidR="00FD58BF">
              <w:rPr>
                <w:noProof/>
                <w:webHidden/>
              </w:rPr>
              <w:fldChar w:fldCharType="begin"/>
            </w:r>
            <w:r w:rsidR="00FD58BF">
              <w:rPr>
                <w:noProof/>
                <w:webHidden/>
              </w:rPr>
              <w:instrText xml:space="preserve"> PAGEREF _Toc178837666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24CA0B4D" w14:textId="7C53FE6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67" w:history="1">
            <w:r w:rsidR="00FD58BF" w:rsidRPr="003004E5">
              <w:rPr>
                <w:rStyle w:val="Lienhypertexte"/>
                <w:noProof/>
              </w:rPr>
              <w:t>21.65 Etanchéisation de joints CCTB 01.04</w:t>
            </w:r>
            <w:r w:rsidR="00FD58BF">
              <w:rPr>
                <w:noProof/>
                <w:webHidden/>
              </w:rPr>
              <w:tab/>
            </w:r>
            <w:r w:rsidR="00FD58BF">
              <w:rPr>
                <w:noProof/>
                <w:webHidden/>
              </w:rPr>
              <w:fldChar w:fldCharType="begin"/>
            </w:r>
            <w:r w:rsidR="00FD58BF">
              <w:rPr>
                <w:noProof/>
                <w:webHidden/>
              </w:rPr>
              <w:instrText xml:space="preserve"> PAGEREF _Toc178837667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76204E34" w14:textId="0247306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68" w:history="1">
            <w:r w:rsidR="00FD58BF" w:rsidRPr="003004E5">
              <w:rPr>
                <w:rStyle w:val="Lienhypertexte"/>
                <w:noProof/>
              </w:rPr>
              <w:t>21.65.1 Etanchéisation de joints CCTB 01.10</w:t>
            </w:r>
            <w:r w:rsidR="00FD58BF">
              <w:rPr>
                <w:noProof/>
                <w:webHidden/>
              </w:rPr>
              <w:tab/>
            </w:r>
            <w:r w:rsidR="00FD58BF">
              <w:rPr>
                <w:noProof/>
                <w:webHidden/>
              </w:rPr>
              <w:fldChar w:fldCharType="begin"/>
            </w:r>
            <w:r w:rsidR="00FD58BF">
              <w:rPr>
                <w:noProof/>
                <w:webHidden/>
              </w:rPr>
              <w:instrText xml:space="preserve"> PAGEREF _Toc178837668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50651ACC" w14:textId="7433979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9" w:history="1">
            <w:r w:rsidR="00FD58BF" w:rsidRPr="003004E5">
              <w:rPr>
                <w:rStyle w:val="Lienhypertexte"/>
                <w:noProof/>
              </w:rPr>
              <w:t>21.65.1a Joints de calfeutrement CCTB 01.04</w:t>
            </w:r>
            <w:r w:rsidR="00FD58BF">
              <w:rPr>
                <w:noProof/>
                <w:webHidden/>
              </w:rPr>
              <w:tab/>
            </w:r>
            <w:r w:rsidR="00FD58BF">
              <w:rPr>
                <w:noProof/>
                <w:webHidden/>
              </w:rPr>
              <w:fldChar w:fldCharType="begin"/>
            </w:r>
            <w:r w:rsidR="00FD58BF">
              <w:rPr>
                <w:noProof/>
                <w:webHidden/>
              </w:rPr>
              <w:instrText xml:space="preserve"> PAGEREF _Toc178837669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51C1F254" w14:textId="18B7AA81"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670" w:history="1">
            <w:r w:rsidR="00FD58BF" w:rsidRPr="003004E5">
              <w:rPr>
                <w:rStyle w:val="Lienhypertexte"/>
                <w:noProof/>
              </w:rPr>
              <w:t>21.7 Traitements, protection et finition des maçonneries CCTB 01.04</w:t>
            </w:r>
            <w:r w:rsidR="00FD58BF">
              <w:rPr>
                <w:noProof/>
                <w:webHidden/>
              </w:rPr>
              <w:tab/>
            </w:r>
            <w:r w:rsidR="00FD58BF">
              <w:rPr>
                <w:noProof/>
                <w:webHidden/>
              </w:rPr>
              <w:fldChar w:fldCharType="begin"/>
            </w:r>
            <w:r w:rsidR="00FD58BF">
              <w:rPr>
                <w:noProof/>
                <w:webHidden/>
              </w:rPr>
              <w:instrText xml:space="preserve"> PAGEREF _Toc178837670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187A61C6" w14:textId="0960170C"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71" w:history="1">
            <w:r w:rsidR="00FD58BF" w:rsidRPr="003004E5">
              <w:rPr>
                <w:rStyle w:val="Lienhypertexte"/>
                <w:noProof/>
              </w:rPr>
              <w:t>21.71 Traitements esthétiques ou de surface CCTB 01.07</w:t>
            </w:r>
            <w:r w:rsidR="00FD58BF">
              <w:rPr>
                <w:noProof/>
                <w:webHidden/>
              </w:rPr>
              <w:tab/>
            </w:r>
            <w:r w:rsidR="00FD58BF">
              <w:rPr>
                <w:noProof/>
                <w:webHidden/>
              </w:rPr>
              <w:fldChar w:fldCharType="begin"/>
            </w:r>
            <w:r w:rsidR="00FD58BF">
              <w:rPr>
                <w:noProof/>
                <w:webHidden/>
              </w:rPr>
              <w:instrText xml:space="preserve"> PAGEREF _Toc178837671 \h </w:instrText>
            </w:r>
            <w:r w:rsidR="00FD58BF">
              <w:rPr>
                <w:noProof/>
                <w:webHidden/>
              </w:rPr>
            </w:r>
            <w:r w:rsidR="00FD58BF">
              <w:rPr>
                <w:noProof/>
                <w:webHidden/>
              </w:rPr>
              <w:fldChar w:fldCharType="separate"/>
            </w:r>
            <w:r w:rsidR="00FD58BF">
              <w:rPr>
                <w:noProof/>
                <w:webHidden/>
              </w:rPr>
              <w:t>459</w:t>
            </w:r>
            <w:r w:rsidR="00FD58BF">
              <w:rPr>
                <w:noProof/>
                <w:webHidden/>
              </w:rPr>
              <w:fldChar w:fldCharType="end"/>
            </w:r>
          </w:hyperlink>
        </w:p>
        <w:p w14:paraId="2A05B9EE" w14:textId="031B742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72" w:history="1">
            <w:r w:rsidR="00FD58BF" w:rsidRPr="003004E5">
              <w:rPr>
                <w:rStyle w:val="Lienhypertexte"/>
                <w:noProof/>
              </w:rPr>
              <w:t>21.72 Revêtements de finition CCTB 01.10</w:t>
            </w:r>
            <w:r w:rsidR="00FD58BF">
              <w:rPr>
                <w:noProof/>
                <w:webHidden/>
              </w:rPr>
              <w:tab/>
            </w:r>
            <w:r w:rsidR="00FD58BF">
              <w:rPr>
                <w:noProof/>
                <w:webHidden/>
              </w:rPr>
              <w:fldChar w:fldCharType="begin"/>
            </w:r>
            <w:r w:rsidR="00FD58BF">
              <w:rPr>
                <w:noProof/>
                <w:webHidden/>
              </w:rPr>
              <w:instrText xml:space="preserve"> PAGEREF _Toc178837672 \h </w:instrText>
            </w:r>
            <w:r w:rsidR="00FD58BF">
              <w:rPr>
                <w:noProof/>
                <w:webHidden/>
              </w:rPr>
            </w:r>
            <w:r w:rsidR="00FD58BF">
              <w:rPr>
                <w:noProof/>
                <w:webHidden/>
              </w:rPr>
              <w:fldChar w:fldCharType="separate"/>
            </w:r>
            <w:r w:rsidR="00FD58BF">
              <w:rPr>
                <w:noProof/>
                <w:webHidden/>
              </w:rPr>
              <w:t>460</w:t>
            </w:r>
            <w:r w:rsidR="00FD58BF">
              <w:rPr>
                <w:noProof/>
                <w:webHidden/>
              </w:rPr>
              <w:fldChar w:fldCharType="end"/>
            </w:r>
          </w:hyperlink>
        </w:p>
        <w:p w14:paraId="38BAA080" w14:textId="5924B4A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73" w:history="1">
            <w:r w:rsidR="00FD58BF" w:rsidRPr="003004E5">
              <w:rPr>
                <w:rStyle w:val="Lienhypertexte"/>
                <w:noProof/>
              </w:rPr>
              <w:t>21.73 Revêtements de protection CCTB 01.10</w:t>
            </w:r>
            <w:r w:rsidR="00FD58BF">
              <w:rPr>
                <w:noProof/>
                <w:webHidden/>
              </w:rPr>
              <w:tab/>
            </w:r>
            <w:r w:rsidR="00FD58BF">
              <w:rPr>
                <w:noProof/>
                <w:webHidden/>
              </w:rPr>
              <w:fldChar w:fldCharType="begin"/>
            </w:r>
            <w:r w:rsidR="00FD58BF">
              <w:rPr>
                <w:noProof/>
                <w:webHidden/>
              </w:rPr>
              <w:instrText xml:space="preserve"> PAGEREF _Toc178837673 \h </w:instrText>
            </w:r>
            <w:r w:rsidR="00FD58BF">
              <w:rPr>
                <w:noProof/>
                <w:webHidden/>
              </w:rPr>
            </w:r>
            <w:r w:rsidR="00FD58BF">
              <w:rPr>
                <w:noProof/>
                <w:webHidden/>
              </w:rPr>
              <w:fldChar w:fldCharType="separate"/>
            </w:r>
            <w:r w:rsidR="00FD58BF">
              <w:rPr>
                <w:noProof/>
                <w:webHidden/>
              </w:rPr>
              <w:t>460</w:t>
            </w:r>
            <w:r w:rsidR="00FD58BF">
              <w:rPr>
                <w:noProof/>
                <w:webHidden/>
              </w:rPr>
              <w:fldChar w:fldCharType="end"/>
            </w:r>
          </w:hyperlink>
        </w:p>
        <w:p w14:paraId="6AAC1B73" w14:textId="67D15CF9"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674" w:history="1">
            <w:r w:rsidR="00FD58BF" w:rsidRPr="003004E5">
              <w:rPr>
                <w:rStyle w:val="Lienhypertexte"/>
                <w:noProof/>
              </w:rPr>
              <w:t>21.8 Superstructures en maçonnerie - Rénovation CCTB 01.11</w:t>
            </w:r>
            <w:r w:rsidR="00FD58BF">
              <w:rPr>
                <w:noProof/>
                <w:webHidden/>
              </w:rPr>
              <w:tab/>
            </w:r>
            <w:r w:rsidR="00FD58BF">
              <w:rPr>
                <w:noProof/>
                <w:webHidden/>
              </w:rPr>
              <w:fldChar w:fldCharType="begin"/>
            </w:r>
            <w:r w:rsidR="00FD58BF">
              <w:rPr>
                <w:noProof/>
                <w:webHidden/>
              </w:rPr>
              <w:instrText xml:space="preserve"> PAGEREF _Toc178837674 \h </w:instrText>
            </w:r>
            <w:r w:rsidR="00FD58BF">
              <w:rPr>
                <w:noProof/>
                <w:webHidden/>
              </w:rPr>
            </w:r>
            <w:r w:rsidR="00FD58BF">
              <w:rPr>
                <w:noProof/>
                <w:webHidden/>
              </w:rPr>
              <w:fldChar w:fldCharType="separate"/>
            </w:r>
            <w:r w:rsidR="00FD58BF">
              <w:rPr>
                <w:noProof/>
                <w:webHidden/>
              </w:rPr>
              <w:t>460</w:t>
            </w:r>
            <w:r w:rsidR="00FD58BF">
              <w:rPr>
                <w:noProof/>
                <w:webHidden/>
              </w:rPr>
              <w:fldChar w:fldCharType="end"/>
            </w:r>
          </w:hyperlink>
        </w:p>
        <w:p w14:paraId="67A5F985" w14:textId="225D11F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75" w:history="1">
            <w:r w:rsidR="00FD58BF" w:rsidRPr="003004E5">
              <w:rPr>
                <w:rStyle w:val="Lienhypertexte"/>
                <w:noProof/>
              </w:rPr>
              <w:t>21.81 Etudes et essais préliminaires CCTB 01.04</w:t>
            </w:r>
            <w:r w:rsidR="00FD58BF">
              <w:rPr>
                <w:noProof/>
                <w:webHidden/>
              </w:rPr>
              <w:tab/>
            </w:r>
            <w:r w:rsidR="00FD58BF">
              <w:rPr>
                <w:noProof/>
                <w:webHidden/>
              </w:rPr>
              <w:fldChar w:fldCharType="begin"/>
            </w:r>
            <w:r w:rsidR="00FD58BF">
              <w:rPr>
                <w:noProof/>
                <w:webHidden/>
              </w:rPr>
              <w:instrText xml:space="preserve"> PAGEREF _Toc178837675 \h </w:instrText>
            </w:r>
            <w:r w:rsidR="00FD58BF">
              <w:rPr>
                <w:noProof/>
                <w:webHidden/>
              </w:rPr>
            </w:r>
            <w:r w:rsidR="00FD58BF">
              <w:rPr>
                <w:noProof/>
                <w:webHidden/>
              </w:rPr>
              <w:fldChar w:fldCharType="separate"/>
            </w:r>
            <w:r w:rsidR="00FD58BF">
              <w:rPr>
                <w:noProof/>
                <w:webHidden/>
              </w:rPr>
              <w:t>460</w:t>
            </w:r>
            <w:r w:rsidR="00FD58BF">
              <w:rPr>
                <w:noProof/>
                <w:webHidden/>
              </w:rPr>
              <w:fldChar w:fldCharType="end"/>
            </w:r>
          </w:hyperlink>
        </w:p>
        <w:p w14:paraId="65624EFD" w14:textId="170B53A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76" w:history="1">
            <w:r w:rsidR="00FD58BF" w:rsidRPr="003004E5">
              <w:rPr>
                <w:rStyle w:val="Lienhypertexte"/>
                <w:noProof/>
              </w:rPr>
              <w:t>21.82 Déposes / démontages / percements / déconstructions-démolitions CCTB 01.04</w:t>
            </w:r>
            <w:r w:rsidR="00FD58BF">
              <w:rPr>
                <w:noProof/>
                <w:webHidden/>
              </w:rPr>
              <w:tab/>
            </w:r>
            <w:r w:rsidR="00FD58BF">
              <w:rPr>
                <w:noProof/>
                <w:webHidden/>
              </w:rPr>
              <w:fldChar w:fldCharType="begin"/>
            </w:r>
            <w:r w:rsidR="00FD58BF">
              <w:rPr>
                <w:noProof/>
                <w:webHidden/>
              </w:rPr>
              <w:instrText xml:space="preserve"> PAGEREF _Toc178837676 \h </w:instrText>
            </w:r>
            <w:r w:rsidR="00FD58BF">
              <w:rPr>
                <w:noProof/>
                <w:webHidden/>
              </w:rPr>
            </w:r>
            <w:r w:rsidR="00FD58BF">
              <w:rPr>
                <w:noProof/>
                <w:webHidden/>
              </w:rPr>
              <w:fldChar w:fldCharType="separate"/>
            </w:r>
            <w:r w:rsidR="00FD58BF">
              <w:rPr>
                <w:noProof/>
                <w:webHidden/>
              </w:rPr>
              <w:t>460</w:t>
            </w:r>
            <w:r w:rsidR="00FD58BF">
              <w:rPr>
                <w:noProof/>
                <w:webHidden/>
              </w:rPr>
              <w:fldChar w:fldCharType="end"/>
            </w:r>
          </w:hyperlink>
        </w:p>
        <w:p w14:paraId="077D1A6D" w14:textId="35A1575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77" w:history="1">
            <w:r w:rsidR="00FD58BF" w:rsidRPr="003004E5">
              <w:rPr>
                <w:rStyle w:val="Lienhypertexte"/>
                <w:noProof/>
              </w:rPr>
              <w:t>21.82.1 Travaux de stabilisation CCTB 01.04</w:t>
            </w:r>
            <w:r w:rsidR="00FD58BF">
              <w:rPr>
                <w:noProof/>
                <w:webHidden/>
              </w:rPr>
              <w:tab/>
            </w:r>
            <w:r w:rsidR="00FD58BF">
              <w:rPr>
                <w:noProof/>
                <w:webHidden/>
              </w:rPr>
              <w:fldChar w:fldCharType="begin"/>
            </w:r>
            <w:r w:rsidR="00FD58BF">
              <w:rPr>
                <w:noProof/>
                <w:webHidden/>
              </w:rPr>
              <w:instrText xml:space="preserve"> PAGEREF _Toc178837677 \h </w:instrText>
            </w:r>
            <w:r w:rsidR="00FD58BF">
              <w:rPr>
                <w:noProof/>
                <w:webHidden/>
              </w:rPr>
            </w:r>
            <w:r w:rsidR="00FD58BF">
              <w:rPr>
                <w:noProof/>
                <w:webHidden/>
              </w:rPr>
              <w:fldChar w:fldCharType="separate"/>
            </w:r>
            <w:r w:rsidR="00FD58BF">
              <w:rPr>
                <w:noProof/>
                <w:webHidden/>
              </w:rPr>
              <w:t>460</w:t>
            </w:r>
            <w:r w:rsidR="00FD58BF">
              <w:rPr>
                <w:noProof/>
                <w:webHidden/>
              </w:rPr>
              <w:fldChar w:fldCharType="end"/>
            </w:r>
          </w:hyperlink>
        </w:p>
        <w:p w14:paraId="656B8B42" w14:textId="4095B1A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78" w:history="1">
            <w:r w:rsidR="00FD58BF" w:rsidRPr="003004E5">
              <w:rPr>
                <w:rStyle w:val="Lienhypertexte"/>
                <w:noProof/>
              </w:rPr>
              <w:t>21.82.2 Déposes d'éléments (pour repose ultérieure) CCTB 01.04</w:t>
            </w:r>
            <w:r w:rsidR="00FD58BF">
              <w:rPr>
                <w:noProof/>
                <w:webHidden/>
              </w:rPr>
              <w:tab/>
            </w:r>
            <w:r w:rsidR="00FD58BF">
              <w:rPr>
                <w:noProof/>
                <w:webHidden/>
              </w:rPr>
              <w:fldChar w:fldCharType="begin"/>
            </w:r>
            <w:r w:rsidR="00FD58BF">
              <w:rPr>
                <w:noProof/>
                <w:webHidden/>
              </w:rPr>
              <w:instrText xml:space="preserve"> PAGEREF _Toc178837678 \h </w:instrText>
            </w:r>
            <w:r w:rsidR="00FD58BF">
              <w:rPr>
                <w:noProof/>
                <w:webHidden/>
              </w:rPr>
            </w:r>
            <w:r w:rsidR="00FD58BF">
              <w:rPr>
                <w:noProof/>
                <w:webHidden/>
              </w:rPr>
              <w:fldChar w:fldCharType="separate"/>
            </w:r>
            <w:r w:rsidR="00FD58BF">
              <w:rPr>
                <w:noProof/>
                <w:webHidden/>
              </w:rPr>
              <w:t>460</w:t>
            </w:r>
            <w:r w:rsidR="00FD58BF">
              <w:rPr>
                <w:noProof/>
                <w:webHidden/>
              </w:rPr>
              <w:fldChar w:fldCharType="end"/>
            </w:r>
          </w:hyperlink>
        </w:p>
        <w:p w14:paraId="69CA3DA3" w14:textId="2509FD4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79" w:history="1">
            <w:r w:rsidR="00FD58BF" w:rsidRPr="003004E5">
              <w:rPr>
                <w:rStyle w:val="Lienhypertexte"/>
                <w:noProof/>
              </w:rPr>
              <w:t>21.82.3 Démontages d'éléments (pour récupération) CCTB 01.04</w:t>
            </w:r>
            <w:r w:rsidR="00FD58BF">
              <w:rPr>
                <w:noProof/>
                <w:webHidden/>
              </w:rPr>
              <w:tab/>
            </w:r>
            <w:r w:rsidR="00FD58BF">
              <w:rPr>
                <w:noProof/>
                <w:webHidden/>
              </w:rPr>
              <w:fldChar w:fldCharType="begin"/>
            </w:r>
            <w:r w:rsidR="00FD58BF">
              <w:rPr>
                <w:noProof/>
                <w:webHidden/>
              </w:rPr>
              <w:instrText xml:space="preserve"> PAGEREF _Toc178837679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0EAB8E2E" w14:textId="7283BFF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0" w:history="1">
            <w:r w:rsidR="00FD58BF" w:rsidRPr="003004E5">
              <w:rPr>
                <w:rStyle w:val="Lienhypertexte"/>
                <w:noProof/>
              </w:rPr>
              <w:t>21.82.4 Décapages / déjointoiements / enlèvements (pour évacuation) CCTB 01.04</w:t>
            </w:r>
            <w:r w:rsidR="00FD58BF">
              <w:rPr>
                <w:noProof/>
                <w:webHidden/>
              </w:rPr>
              <w:tab/>
            </w:r>
            <w:r w:rsidR="00FD58BF">
              <w:rPr>
                <w:noProof/>
                <w:webHidden/>
              </w:rPr>
              <w:fldChar w:fldCharType="begin"/>
            </w:r>
            <w:r w:rsidR="00FD58BF">
              <w:rPr>
                <w:noProof/>
                <w:webHidden/>
              </w:rPr>
              <w:instrText xml:space="preserve"> PAGEREF _Toc178837680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667A26C4" w14:textId="5CE4171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1" w:history="1">
            <w:r w:rsidR="00FD58BF" w:rsidRPr="003004E5">
              <w:rPr>
                <w:rStyle w:val="Lienhypertexte"/>
                <w:noProof/>
              </w:rPr>
              <w:t>21.82.5 Percements / carottages CCTB 01.04</w:t>
            </w:r>
            <w:r w:rsidR="00FD58BF">
              <w:rPr>
                <w:noProof/>
                <w:webHidden/>
              </w:rPr>
              <w:tab/>
            </w:r>
            <w:r w:rsidR="00FD58BF">
              <w:rPr>
                <w:noProof/>
                <w:webHidden/>
              </w:rPr>
              <w:fldChar w:fldCharType="begin"/>
            </w:r>
            <w:r w:rsidR="00FD58BF">
              <w:rPr>
                <w:noProof/>
                <w:webHidden/>
              </w:rPr>
              <w:instrText xml:space="preserve"> PAGEREF _Toc178837681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772E25E9" w14:textId="1832F06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2" w:history="1">
            <w:r w:rsidR="00FD58BF" w:rsidRPr="003004E5">
              <w:rPr>
                <w:rStyle w:val="Lienhypertexte"/>
                <w:noProof/>
              </w:rPr>
              <w:t>21.82.6 Déconstructions / démolitions (pour évacuation) CCTB 01.04</w:t>
            </w:r>
            <w:r w:rsidR="00FD58BF">
              <w:rPr>
                <w:noProof/>
                <w:webHidden/>
              </w:rPr>
              <w:tab/>
            </w:r>
            <w:r w:rsidR="00FD58BF">
              <w:rPr>
                <w:noProof/>
                <w:webHidden/>
              </w:rPr>
              <w:fldChar w:fldCharType="begin"/>
            </w:r>
            <w:r w:rsidR="00FD58BF">
              <w:rPr>
                <w:noProof/>
                <w:webHidden/>
              </w:rPr>
              <w:instrText xml:space="preserve"> PAGEREF _Toc178837682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40714D63" w14:textId="710B76D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3" w:history="1">
            <w:r w:rsidR="00FD58BF" w:rsidRPr="003004E5">
              <w:rPr>
                <w:rStyle w:val="Lienhypertexte"/>
                <w:noProof/>
              </w:rPr>
              <w:t>21.82.7 Peignages préliminaires des parements CCTB 01.04</w:t>
            </w:r>
            <w:r w:rsidR="00FD58BF">
              <w:rPr>
                <w:noProof/>
                <w:webHidden/>
              </w:rPr>
              <w:tab/>
            </w:r>
            <w:r w:rsidR="00FD58BF">
              <w:rPr>
                <w:noProof/>
                <w:webHidden/>
              </w:rPr>
              <w:fldChar w:fldCharType="begin"/>
            </w:r>
            <w:r w:rsidR="00FD58BF">
              <w:rPr>
                <w:noProof/>
                <w:webHidden/>
              </w:rPr>
              <w:instrText xml:space="preserve"> PAGEREF _Toc178837683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55B29E9D" w14:textId="08722E6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4" w:history="1">
            <w:r w:rsidR="00FD58BF" w:rsidRPr="003004E5">
              <w:rPr>
                <w:rStyle w:val="Lienhypertexte"/>
                <w:noProof/>
              </w:rPr>
              <w:t>21.82.7a Peignages préliminaires des parements CCTB 01.04</w:t>
            </w:r>
            <w:r w:rsidR="00FD58BF">
              <w:rPr>
                <w:noProof/>
                <w:webHidden/>
              </w:rPr>
              <w:tab/>
            </w:r>
            <w:r w:rsidR="00FD58BF">
              <w:rPr>
                <w:noProof/>
                <w:webHidden/>
              </w:rPr>
              <w:fldChar w:fldCharType="begin"/>
            </w:r>
            <w:r w:rsidR="00FD58BF">
              <w:rPr>
                <w:noProof/>
                <w:webHidden/>
              </w:rPr>
              <w:instrText xml:space="preserve"> PAGEREF _Toc178837684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407BCA19" w14:textId="15BD1AA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5" w:history="1">
            <w:r w:rsidR="00FD58BF" w:rsidRPr="003004E5">
              <w:rPr>
                <w:rStyle w:val="Lienhypertexte"/>
                <w:noProof/>
              </w:rPr>
              <w:t>21.82.8 Entailles, tranchées, trous, calfeutrements et raccords CCTB 01.04</w:t>
            </w:r>
            <w:r w:rsidR="00FD58BF">
              <w:rPr>
                <w:noProof/>
                <w:webHidden/>
              </w:rPr>
              <w:tab/>
            </w:r>
            <w:r w:rsidR="00FD58BF">
              <w:rPr>
                <w:noProof/>
                <w:webHidden/>
              </w:rPr>
              <w:fldChar w:fldCharType="begin"/>
            </w:r>
            <w:r w:rsidR="00FD58BF">
              <w:rPr>
                <w:noProof/>
                <w:webHidden/>
              </w:rPr>
              <w:instrText xml:space="preserve"> PAGEREF _Toc178837685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6804EB7C" w14:textId="643096A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6" w:history="1">
            <w:r w:rsidR="00FD58BF" w:rsidRPr="003004E5">
              <w:rPr>
                <w:rStyle w:val="Lienhypertexte"/>
                <w:noProof/>
              </w:rPr>
              <w:t>21.82.8a Travaux préparatoires pour éléments structuraux CCTB 01.04</w:t>
            </w:r>
            <w:r w:rsidR="00FD58BF">
              <w:rPr>
                <w:noProof/>
                <w:webHidden/>
              </w:rPr>
              <w:tab/>
            </w:r>
            <w:r w:rsidR="00FD58BF">
              <w:rPr>
                <w:noProof/>
                <w:webHidden/>
              </w:rPr>
              <w:fldChar w:fldCharType="begin"/>
            </w:r>
            <w:r w:rsidR="00FD58BF">
              <w:rPr>
                <w:noProof/>
                <w:webHidden/>
              </w:rPr>
              <w:instrText xml:space="preserve"> PAGEREF _Toc178837686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1FCADC0D" w14:textId="4F33FCC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7" w:history="1">
            <w:r w:rsidR="00FD58BF" w:rsidRPr="003004E5">
              <w:rPr>
                <w:rStyle w:val="Lienhypertexte"/>
                <w:noProof/>
              </w:rPr>
              <w:t>21.82.8b Travaux préparatoires pour menuiseries extérieures CCTB 01.04</w:t>
            </w:r>
            <w:r w:rsidR="00FD58BF">
              <w:rPr>
                <w:noProof/>
                <w:webHidden/>
              </w:rPr>
              <w:tab/>
            </w:r>
            <w:r w:rsidR="00FD58BF">
              <w:rPr>
                <w:noProof/>
                <w:webHidden/>
              </w:rPr>
              <w:fldChar w:fldCharType="begin"/>
            </w:r>
            <w:r w:rsidR="00FD58BF">
              <w:rPr>
                <w:noProof/>
                <w:webHidden/>
              </w:rPr>
              <w:instrText xml:space="preserve"> PAGEREF _Toc178837687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446896B2" w14:textId="296D681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8" w:history="1">
            <w:r w:rsidR="00FD58BF" w:rsidRPr="003004E5">
              <w:rPr>
                <w:rStyle w:val="Lienhypertexte"/>
                <w:noProof/>
              </w:rPr>
              <w:t>21.82.8c Travaux préparatoires pour électricité / fluides CCTB 01.04</w:t>
            </w:r>
            <w:r w:rsidR="00FD58BF">
              <w:rPr>
                <w:noProof/>
                <w:webHidden/>
              </w:rPr>
              <w:tab/>
            </w:r>
            <w:r w:rsidR="00FD58BF">
              <w:rPr>
                <w:noProof/>
                <w:webHidden/>
              </w:rPr>
              <w:fldChar w:fldCharType="begin"/>
            </w:r>
            <w:r w:rsidR="00FD58BF">
              <w:rPr>
                <w:noProof/>
                <w:webHidden/>
              </w:rPr>
              <w:instrText xml:space="preserve"> PAGEREF _Toc178837688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7B69F870" w14:textId="042EF5C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89" w:history="1">
            <w:r w:rsidR="00FD58BF" w:rsidRPr="003004E5">
              <w:rPr>
                <w:rStyle w:val="Lienhypertexte"/>
                <w:noProof/>
              </w:rPr>
              <w:t>21.83 Réparations / ragréages / rénovations CCTB 01.12</w:t>
            </w:r>
            <w:r w:rsidR="00FD58BF">
              <w:rPr>
                <w:noProof/>
                <w:webHidden/>
              </w:rPr>
              <w:tab/>
            </w:r>
            <w:r w:rsidR="00FD58BF">
              <w:rPr>
                <w:noProof/>
                <w:webHidden/>
              </w:rPr>
              <w:fldChar w:fldCharType="begin"/>
            </w:r>
            <w:r w:rsidR="00FD58BF">
              <w:rPr>
                <w:noProof/>
                <w:webHidden/>
              </w:rPr>
              <w:instrText xml:space="preserve"> PAGEREF _Toc178837689 \h </w:instrText>
            </w:r>
            <w:r w:rsidR="00FD58BF">
              <w:rPr>
                <w:noProof/>
                <w:webHidden/>
              </w:rPr>
            </w:r>
            <w:r w:rsidR="00FD58BF">
              <w:rPr>
                <w:noProof/>
                <w:webHidden/>
              </w:rPr>
              <w:fldChar w:fldCharType="separate"/>
            </w:r>
            <w:r w:rsidR="00FD58BF">
              <w:rPr>
                <w:noProof/>
                <w:webHidden/>
              </w:rPr>
              <w:t>461</w:t>
            </w:r>
            <w:r w:rsidR="00FD58BF">
              <w:rPr>
                <w:noProof/>
                <w:webHidden/>
              </w:rPr>
              <w:fldChar w:fldCharType="end"/>
            </w:r>
          </w:hyperlink>
        </w:p>
        <w:p w14:paraId="2B6CCF5C" w14:textId="1B16A3B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90" w:history="1">
            <w:r w:rsidR="00FD58BF" w:rsidRPr="003004E5">
              <w:rPr>
                <w:rStyle w:val="Lienhypertexte"/>
                <w:noProof/>
              </w:rPr>
              <w:t>21.83.1 Ragréages de zones de maçonneries délabrées sans remplacement de matériaux (démontage + remontage) CCTB 01.04</w:t>
            </w:r>
            <w:r w:rsidR="00FD58BF">
              <w:rPr>
                <w:noProof/>
                <w:webHidden/>
              </w:rPr>
              <w:tab/>
            </w:r>
            <w:r w:rsidR="00FD58BF">
              <w:rPr>
                <w:noProof/>
                <w:webHidden/>
              </w:rPr>
              <w:fldChar w:fldCharType="begin"/>
            </w:r>
            <w:r w:rsidR="00FD58BF">
              <w:rPr>
                <w:noProof/>
                <w:webHidden/>
              </w:rPr>
              <w:instrText xml:space="preserve"> PAGEREF _Toc178837690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085BBAD7" w14:textId="1EFEB82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1" w:history="1">
            <w:r w:rsidR="00FD58BF" w:rsidRPr="003004E5">
              <w:rPr>
                <w:rStyle w:val="Lienhypertexte"/>
                <w:noProof/>
              </w:rPr>
              <w:t>21.83.1a Ragréages de zones de maçonneries en briques de terre cuite délabrées sans remplacement de matériaux CCTB 01.04</w:t>
            </w:r>
            <w:r w:rsidR="00FD58BF">
              <w:rPr>
                <w:noProof/>
                <w:webHidden/>
              </w:rPr>
              <w:tab/>
            </w:r>
            <w:r w:rsidR="00FD58BF">
              <w:rPr>
                <w:noProof/>
                <w:webHidden/>
              </w:rPr>
              <w:fldChar w:fldCharType="begin"/>
            </w:r>
            <w:r w:rsidR="00FD58BF">
              <w:rPr>
                <w:noProof/>
                <w:webHidden/>
              </w:rPr>
              <w:instrText xml:space="preserve"> PAGEREF _Toc178837691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421B8958" w14:textId="59C6FCD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2" w:history="1">
            <w:r w:rsidR="00FD58BF" w:rsidRPr="003004E5">
              <w:rPr>
                <w:rStyle w:val="Lienhypertexte"/>
                <w:noProof/>
              </w:rPr>
              <w:t>21.83.1b Ragréages de zones de maçonneries en blocs / briques de béton délabrées sans remplacement de matériaux CCTB 01.04</w:t>
            </w:r>
            <w:r w:rsidR="00FD58BF">
              <w:rPr>
                <w:noProof/>
                <w:webHidden/>
              </w:rPr>
              <w:tab/>
            </w:r>
            <w:r w:rsidR="00FD58BF">
              <w:rPr>
                <w:noProof/>
                <w:webHidden/>
              </w:rPr>
              <w:fldChar w:fldCharType="begin"/>
            </w:r>
            <w:r w:rsidR="00FD58BF">
              <w:rPr>
                <w:noProof/>
                <w:webHidden/>
              </w:rPr>
              <w:instrText xml:space="preserve"> PAGEREF _Toc178837692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3570DA7F" w14:textId="4AA4394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3" w:history="1">
            <w:r w:rsidR="00FD58BF" w:rsidRPr="003004E5">
              <w:rPr>
                <w:rStyle w:val="Lienhypertexte"/>
                <w:noProof/>
              </w:rPr>
              <w:t>21.83.1c Ragréages de zones de maçonneries en pierres naturelles délabrées sans remplacement de matériaux CCTB 01.04</w:t>
            </w:r>
            <w:r w:rsidR="00FD58BF">
              <w:rPr>
                <w:noProof/>
                <w:webHidden/>
              </w:rPr>
              <w:tab/>
            </w:r>
            <w:r w:rsidR="00FD58BF">
              <w:rPr>
                <w:noProof/>
                <w:webHidden/>
              </w:rPr>
              <w:fldChar w:fldCharType="begin"/>
            </w:r>
            <w:r w:rsidR="00FD58BF">
              <w:rPr>
                <w:noProof/>
                <w:webHidden/>
              </w:rPr>
              <w:instrText xml:space="preserve"> PAGEREF _Toc178837693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457B18B2" w14:textId="024153F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94" w:history="1">
            <w:r w:rsidR="00FD58BF" w:rsidRPr="003004E5">
              <w:rPr>
                <w:rStyle w:val="Lienhypertexte"/>
                <w:noProof/>
              </w:rPr>
              <w:t>21.83.2 Ragréages de zones de maçonneries délabrées avec remplacement partiel de matériaux (démontage + remontage + remplacement partiel) CCTB 01.04</w:t>
            </w:r>
            <w:r w:rsidR="00FD58BF">
              <w:rPr>
                <w:noProof/>
                <w:webHidden/>
              </w:rPr>
              <w:tab/>
            </w:r>
            <w:r w:rsidR="00FD58BF">
              <w:rPr>
                <w:noProof/>
                <w:webHidden/>
              </w:rPr>
              <w:fldChar w:fldCharType="begin"/>
            </w:r>
            <w:r w:rsidR="00FD58BF">
              <w:rPr>
                <w:noProof/>
                <w:webHidden/>
              </w:rPr>
              <w:instrText xml:space="preserve"> PAGEREF _Toc178837694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1E6F4759" w14:textId="5C6E1B5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5" w:history="1">
            <w:r w:rsidR="00FD58BF" w:rsidRPr="003004E5">
              <w:rPr>
                <w:rStyle w:val="Lienhypertexte"/>
                <w:noProof/>
              </w:rPr>
              <w:t>21.83.2a Ragréages de zones de maçonneries en briques de terre cuite délabrées avec remplacement de matériaux CCTB 01.04</w:t>
            </w:r>
            <w:r w:rsidR="00FD58BF">
              <w:rPr>
                <w:noProof/>
                <w:webHidden/>
              </w:rPr>
              <w:tab/>
            </w:r>
            <w:r w:rsidR="00FD58BF">
              <w:rPr>
                <w:noProof/>
                <w:webHidden/>
              </w:rPr>
              <w:fldChar w:fldCharType="begin"/>
            </w:r>
            <w:r w:rsidR="00FD58BF">
              <w:rPr>
                <w:noProof/>
                <w:webHidden/>
              </w:rPr>
              <w:instrText xml:space="preserve"> PAGEREF _Toc178837695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2E10DD47" w14:textId="79041B6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6" w:history="1">
            <w:r w:rsidR="00FD58BF" w:rsidRPr="003004E5">
              <w:rPr>
                <w:rStyle w:val="Lienhypertexte"/>
                <w:noProof/>
              </w:rPr>
              <w:t>21.83.2b Ragréages de zones de maçonneries en blocs / briques de béton délabrées avec remplacement de matériaux CCTB 01.04</w:t>
            </w:r>
            <w:r w:rsidR="00FD58BF">
              <w:rPr>
                <w:noProof/>
                <w:webHidden/>
              </w:rPr>
              <w:tab/>
            </w:r>
            <w:r w:rsidR="00FD58BF">
              <w:rPr>
                <w:noProof/>
                <w:webHidden/>
              </w:rPr>
              <w:fldChar w:fldCharType="begin"/>
            </w:r>
            <w:r w:rsidR="00FD58BF">
              <w:rPr>
                <w:noProof/>
                <w:webHidden/>
              </w:rPr>
              <w:instrText xml:space="preserve"> PAGEREF _Toc178837696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5805AC42" w14:textId="61103A2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7" w:history="1">
            <w:r w:rsidR="00FD58BF" w:rsidRPr="003004E5">
              <w:rPr>
                <w:rStyle w:val="Lienhypertexte"/>
                <w:noProof/>
              </w:rPr>
              <w:t>21.83.2c Ragréages de zones de maçonneries en pierres naturelles délabrées avec remplacement de matériaux CCTB 01.04</w:t>
            </w:r>
            <w:r w:rsidR="00FD58BF">
              <w:rPr>
                <w:noProof/>
                <w:webHidden/>
              </w:rPr>
              <w:tab/>
            </w:r>
            <w:r w:rsidR="00FD58BF">
              <w:rPr>
                <w:noProof/>
                <w:webHidden/>
              </w:rPr>
              <w:fldChar w:fldCharType="begin"/>
            </w:r>
            <w:r w:rsidR="00FD58BF">
              <w:rPr>
                <w:noProof/>
                <w:webHidden/>
              </w:rPr>
              <w:instrText xml:space="preserve"> PAGEREF _Toc178837697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6CAE340B" w14:textId="61F9C62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98" w:history="1">
            <w:r w:rsidR="00FD58BF" w:rsidRPr="003004E5">
              <w:rPr>
                <w:rStyle w:val="Lienhypertexte"/>
                <w:noProof/>
              </w:rPr>
              <w:t>21.83.3 Ragréages locaux d'éléments par mortier de réparation minéral CCTB 01.04</w:t>
            </w:r>
            <w:r w:rsidR="00FD58BF">
              <w:rPr>
                <w:noProof/>
                <w:webHidden/>
              </w:rPr>
              <w:tab/>
            </w:r>
            <w:r w:rsidR="00FD58BF">
              <w:rPr>
                <w:noProof/>
                <w:webHidden/>
              </w:rPr>
              <w:fldChar w:fldCharType="begin"/>
            </w:r>
            <w:r w:rsidR="00FD58BF">
              <w:rPr>
                <w:noProof/>
                <w:webHidden/>
              </w:rPr>
              <w:instrText xml:space="preserve"> PAGEREF _Toc178837698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720F828E" w14:textId="2C5EE34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9" w:history="1">
            <w:r w:rsidR="00FD58BF" w:rsidRPr="003004E5">
              <w:rPr>
                <w:rStyle w:val="Lienhypertexte"/>
                <w:noProof/>
              </w:rPr>
              <w:t>21.83.3a Ragréages locaux d'éléments en briques de terre cuite par mortier de réparation minéral CCTB 01.04</w:t>
            </w:r>
            <w:r w:rsidR="00FD58BF">
              <w:rPr>
                <w:noProof/>
                <w:webHidden/>
              </w:rPr>
              <w:tab/>
            </w:r>
            <w:r w:rsidR="00FD58BF">
              <w:rPr>
                <w:noProof/>
                <w:webHidden/>
              </w:rPr>
              <w:fldChar w:fldCharType="begin"/>
            </w:r>
            <w:r w:rsidR="00FD58BF">
              <w:rPr>
                <w:noProof/>
                <w:webHidden/>
              </w:rPr>
              <w:instrText xml:space="preserve"> PAGEREF _Toc178837699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58106577" w14:textId="3F4FFAE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0" w:history="1">
            <w:r w:rsidR="00FD58BF" w:rsidRPr="003004E5">
              <w:rPr>
                <w:rStyle w:val="Lienhypertexte"/>
                <w:noProof/>
              </w:rPr>
              <w:t>21.83.3b Ragréages locaux d'éléments en blocs / briques de béton par mortier de réparation minéral CCTB 01.04</w:t>
            </w:r>
            <w:r w:rsidR="00FD58BF">
              <w:rPr>
                <w:noProof/>
                <w:webHidden/>
              </w:rPr>
              <w:tab/>
            </w:r>
            <w:r w:rsidR="00FD58BF">
              <w:rPr>
                <w:noProof/>
                <w:webHidden/>
              </w:rPr>
              <w:fldChar w:fldCharType="begin"/>
            </w:r>
            <w:r w:rsidR="00FD58BF">
              <w:rPr>
                <w:noProof/>
                <w:webHidden/>
              </w:rPr>
              <w:instrText xml:space="preserve"> PAGEREF _Toc178837700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08116505" w14:textId="3EDA2F2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1" w:history="1">
            <w:r w:rsidR="00FD58BF" w:rsidRPr="003004E5">
              <w:rPr>
                <w:rStyle w:val="Lienhypertexte"/>
                <w:noProof/>
              </w:rPr>
              <w:t>21.83.3c Ragréages locaux d'éléments en pierres naturelles par mortier de réparation minéral CCTB 01.04</w:t>
            </w:r>
            <w:r w:rsidR="00FD58BF">
              <w:rPr>
                <w:noProof/>
                <w:webHidden/>
              </w:rPr>
              <w:tab/>
            </w:r>
            <w:r w:rsidR="00FD58BF">
              <w:rPr>
                <w:noProof/>
                <w:webHidden/>
              </w:rPr>
              <w:fldChar w:fldCharType="begin"/>
            </w:r>
            <w:r w:rsidR="00FD58BF">
              <w:rPr>
                <w:noProof/>
                <w:webHidden/>
              </w:rPr>
              <w:instrText xml:space="preserve"> PAGEREF _Toc178837701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1E5D1BAE" w14:textId="32FCDA6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02" w:history="1">
            <w:r w:rsidR="00FD58BF" w:rsidRPr="003004E5">
              <w:rPr>
                <w:rStyle w:val="Lienhypertexte"/>
                <w:noProof/>
              </w:rPr>
              <w:t>21.83.4 Ragréages locaux d'éléments par mortier de réparation à base de résines CCTB 01.04</w:t>
            </w:r>
            <w:r w:rsidR="00FD58BF">
              <w:rPr>
                <w:noProof/>
                <w:webHidden/>
              </w:rPr>
              <w:tab/>
            </w:r>
            <w:r w:rsidR="00FD58BF">
              <w:rPr>
                <w:noProof/>
                <w:webHidden/>
              </w:rPr>
              <w:fldChar w:fldCharType="begin"/>
            </w:r>
            <w:r w:rsidR="00FD58BF">
              <w:rPr>
                <w:noProof/>
                <w:webHidden/>
              </w:rPr>
              <w:instrText xml:space="preserve"> PAGEREF _Toc178837702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74FB91CA" w14:textId="1E8FE1F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3" w:history="1">
            <w:r w:rsidR="00FD58BF" w:rsidRPr="003004E5">
              <w:rPr>
                <w:rStyle w:val="Lienhypertexte"/>
                <w:noProof/>
              </w:rPr>
              <w:t>21.83.4a Ragréages locaux d'éléments en briques de terre cuite par mortier de réparation à base de résines CCTB 01.04</w:t>
            </w:r>
            <w:r w:rsidR="00FD58BF">
              <w:rPr>
                <w:noProof/>
                <w:webHidden/>
              </w:rPr>
              <w:tab/>
            </w:r>
            <w:r w:rsidR="00FD58BF">
              <w:rPr>
                <w:noProof/>
                <w:webHidden/>
              </w:rPr>
              <w:fldChar w:fldCharType="begin"/>
            </w:r>
            <w:r w:rsidR="00FD58BF">
              <w:rPr>
                <w:noProof/>
                <w:webHidden/>
              </w:rPr>
              <w:instrText xml:space="preserve"> PAGEREF _Toc178837703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7214D955" w14:textId="7F2AFE0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4" w:history="1">
            <w:r w:rsidR="00FD58BF" w:rsidRPr="003004E5">
              <w:rPr>
                <w:rStyle w:val="Lienhypertexte"/>
                <w:noProof/>
              </w:rPr>
              <w:t>21.83.4b Ragréages locaux d'éléments en blocs / briques de béton par mortier de réparation à base de résines CCTB 01.04</w:t>
            </w:r>
            <w:r w:rsidR="00FD58BF">
              <w:rPr>
                <w:noProof/>
                <w:webHidden/>
              </w:rPr>
              <w:tab/>
            </w:r>
            <w:r w:rsidR="00FD58BF">
              <w:rPr>
                <w:noProof/>
                <w:webHidden/>
              </w:rPr>
              <w:fldChar w:fldCharType="begin"/>
            </w:r>
            <w:r w:rsidR="00FD58BF">
              <w:rPr>
                <w:noProof/>
                <w:webHidden/>
              </w:rPr>
              <w:instrText xml:space="preserve"> PAGEREF _Toc178837704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24E281E6" w14:textId="2C64F9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5" w:history="1">
            <w:r w:rsidR="00FD58BF" w:rsidRPr="003004E5">
              <w:rPr>
                <w:rStyle w:val="Lienhypertexte"/>
                <w:noProof/>
              </w:rPr>
              <w:t>21.83.4c Ragréages locaux d'éléments en pierres naturelles par mortier de réparation à base de résines CCTB 01.04</w:t>
            </w:r>
            <w:r w:rsidR="00FD58BF">
              <w:rPr>
                <w:noProof/>
                <w:webHidden/>
              </w:rPr>
              <w:tab/>
            </w:r>
            <w:r w:rsidR="00FD58BF">
              <w:rPr>
                <w:noProof/>
                <w:webHidden/>
              </w:rPr>
              <w:fldChar w:fldCharType="begin"/>
            </w:r>
            <w:r w:rsidR="00FD58BF">
              <w:rPr>
                <w:noProof/>
                <w:webHidden/>
              </w:rPr>
              <w:instrText xml:space="preserve"> PAGEREF _Toc178837705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209E1D50" w14:textId="52509C6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06" w:history="1">
            <w:r w:rsidR="00FD58BF" w:rsidRPr="003004E5">
              <w:rPr>
                <w:rStyle w:val="Lienhypertexte"/>
                <w:noProof/>
              </w:rPr>
              <w:t>21.83.5 Réparations locales d'éléments par remplacement partiel de matière (bouchons / greffons / inclusions) CCTB 01.04</w:t>
            </w:r>
            <w:r w:rsidR="00FD58BF">
              <w:rPr>
                <w:noProof/>
                <w:webHidden/>
              </w:rPr>
              <w:tab/>
            </w:r>
            <w:r w:rsidR="00FD58BF">
              <w:rPr>
                <w:noProof/>
                <w:webHidden/>
              </w:rPr>
              <w:fldChar w:fldCharType="begin"/>
            </w:r>
            <w:r w:rsidR="00FD58BF">
              <w:rPr>
                <w:noProof/>
                <w:webHidden/>
              </w:rPr>
              <w:instrText xml:space="preserve"> PAGEREF _Toc178837706 \h </w:instrText>
            </w:r>
            <w:r w:rsidR="00FD58BF">
              <w:rPr>
                <w:noProof/>
                <w:webHidden/>
              </w:rPr>
            </w:r>
            <w:r w:rsidR="00FD58BF">
              <w:rPr>
                <w:noProof/>
                <w:webHidden/>
              </w:rPr>
              <w:fldChar w:fldCharType="separate"/>
            </w:r>
            <w:r w:rsidR="00FD58BF">
              <w:rPr>
                <w:noProof/>
                <w:webHidden/>
              </w:rPr>
              <w:t>462</w:t>
            </w:r>
            <w:r w:rsidR="00FD58BF">
              <w:rPr>
                <w:noProof/>
                <w:webHidden/>
              </w:rPr>
              <w:fldChar w:fldCharType="end"/>
            </w:r>
          </w:hyperlink>
        </w:p>
        <w:p w14:paraId="6CD747D9" w14:textId="6C9E12F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7" w:history="1">
            <w:r w:rsidR="00FD58BF" w:rsidRPr="003004E5">
              <w:rPr>
                <w:rStyle w:val="Lienhypertexte"/>
                <w:noProof/>
              </w:rPr>
              <w:t>21.83.5a Réparations locales d'éléments en briques par remplacement partiel de matière CCTB 01.04</w:t>
            </w:r>
            <w:r w:rsidR="00FD58BF">
              <w:rPr>
                <w:noProof/>
                <w:webHidden/>
              </w:rPr>
              <w:tab/>
            </w:r>
            <w:r w:rsidR="00FD58BF">
              <w:rPr>
                <w:noProof/>
                <w:webHidden/>
              </w:rPr>
              <w:fldChar w:fldCharType="begin"/>
            </w:r>
            <w:r w:rsidR="00FD58BF">
              <w:rPr>
                <w:noProof/>
                <w:webHidden/>
              </w:rPr>
              <w:instrText xml:space="preserve"> PAGEREF _Toc178837707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19EC3C1B" w14:textId="11467B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8" w:history="1">
            <w:r w:rsidR="00FD58BF" w:rsidRPr="003004E5">
              <w:rPr>
                <w:rStyle w:val="Lienhypertexte"/>
                <w:noProof/>
              </w:rPr>
              <w:t>21.83.5b Réparations locales d'éléments en blocs / briques de béton par remplacement partiel de matière CCTB 01.04</w:t>
            </w:r>
            <w:r w:rsidR="00FD58BF">
              <w:rPr>
                <w:noProof/>
                <w:webHidden/>
              </w:rPr>
              <w:tab/>
            </w:r>
            <w:r w:rsidR="00FD58BF">
              <w:rPr>
                <w:noProof/>
                <w:webHidden/>
              </w:rPr>
              <w:fldChar w:fldCharType="begin"/>
            </w:r>
            <w:r w:rsidR="00FD58BF">
              <w:rPr>
                <w:noProof/>
                <w:webHidden/>
              </w:rPr>
              <w:instrText xml:space="preserve"> PAGEREF _Toc178837708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16CA9D6B" w14:textId="2343AE5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9" w:history="1">
            <w:r w:rsidR="00FD58BF" w:rsidRPr="003004E5">
              <w:rPr>
                <w:rStyle w:val="Lienhypertexte"/>
                <w:noProof/>
              </w:rPr>
              <w:t>21.83.5c Réparations locales d'éléments en pierres naturelles par remplacement partiel de matière CCTB 01.04</w:t>
            </w:r>
            <w:r w:rsidR="00FD58BF">
              <w:rPr>
                <w:noProof/>
                <w:webHidden/>
              </w:rPr>
              <w:tab/>
            </w:r>
            <w:r w:rsidR="00FD58BF">
              <w:rPr>
                <w:noProof/>
                <w:webHidden/>
              </w:rPr>
              <w:fldChar w:fldCharType="begin"/>
            </w:r>
            <w:r w:rsidR="00FD58BF">
              <w:rPr>
                <w:noProof/>
                <w:webHidden/>
              </w:rPr>
              <w:instrText xml:space="preserve"> PAGEREF _Toc178837709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7605E1E4" w14:textId="14031C0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10" w:history="1">
            <w:r w:rsidR="00FD58BF" w:rsidRPr="003004E5">
              <w:rPr>
                <w:rStyle w:val="Lienhypertexte"/>
                <w:noProof/>
              </w:rPr>
              <w:t>21.83.6 Réparations / ragréages / rénovations d'éléments particuliers CCTB 01.04</w:t>
            </w:r>
            <w:r w:rsidR="00FD58BF">
              <w:rPr>
                <w:noProof/>
                <w:webHidden/>
              </w:rPr>
              <w:tab/>
            </w:r>
            <w:r w:rsidR="00FD58BF">
              <w:rPr>
                <w:noProof/>
                <w:webHidden/>
              </w:rPr>
              <w:fldChar w:fldCharType="begin"/>
            </w:r>
            <w:r w:rsidR="00FD58BF">
              <w:rPr>
                <w:noProof/>
                <w:webHidden/>
              </w:rPr>
              <w:instrText xml:space="preserve"> PAGEREF _Toc178837710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5AB7E7BB" w14:textId="4B12563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1" w:history="1">
            <w:r w:rsidR="00FD58BF" w:rsidRPr="003004E5">
              <w:rPr>
                <w:rStyle w:val="Lienhypertexte"/>
                <w:noProof/>
              </w:rPr>
              <w:t>21.83.6a Réparations / ragréages / rénovations d'anglées CCTB 01.04</w:t>
            </w:r>
            <w:r w:rsidR="00FD58BF">
              <w:rPr>
                <w:noProof/>
                <w:webHidden/>
              </w:rPr>
              <w:tab/>
            </w:r>
            <w:r w:rsidR="00FD58BF">
              <w:rPr>
                <w:noProof/>
                <w:webHidden/>
              </w:rPr>
              <w:fldChar w:fldCharType="begin"/>
            </w:r>
            <w:r w:rsidR="00FD58BF">
              <w:rPr>
                <w:noProof/>
                <w:webHidden/>
              </w:rPr>
              <w:instrText xml:space="preserve"> PAGEREF _Toc178837711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5C41CD2B" w14:textId="78D3554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2" w:history="1">
            <w:r w:rsidR="00FD58BF" w:rsidRPr="003004E5">
              <w:rPr>
                <w:rStyle w:val="Lienhypertexte"/>
                <w:noProof/>
              </w:rPr>
              <w:t>21.83.6b Réparations / ragréages / rénovations de contreforts CCTB 01.04</w:t>
            </w:r>
            <w:r w:rsidR="00FD58BF">
              <w:rPr>
                <w:noProof/>
                <w:webHidden/>
              </w:rPr>
              <w:tab/>
            </w:r>
            <w:r w:rsidR="00FD58BF">
              <w:rPr>
                <w:noProof/>
                <w:webHidden/>
              </w:rPr>
              <w:fldChar w:fldCharType="begin"/>
            </w:r>
            <w:r w:rsidR="00FD58BF">
              <w:rPr>
                <w:noProof/>
                <w:webHidden/>
              </w:rPr>
              <w:instrText xml:space="preserve"> PAGEREF _Toc178837712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6368DB76" w14:textId="4F88BD3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3" w:history="1">
            <w:r w:rsidR="00FD58BF" w:rsidRPr="003004E5">
              <w:rPr>
                <w:rStyle w:val="Lienhypertexte"/>
                <w:noProof/>
              </w:rPr>
              <w:t>21.83.6c Réparations / ragréages / rénovations de cordons CCTB 01.04</w:t>
            </w:r>
            <w:r w:rsidR="00FD58BF">
              <w:rPr>
                <w:noProof/>
                <w:webHidden/>
              </w:rPr>
              <w:tab/>
            </w:r>
            <w:r w:rsidR="00FD58BF">
              <w:rPr>
                <w:noProof/>
                <w:webHidden/>
              </w:rPr>
              <w:fldChar w:fldCharType="begin"/>
            </w:r>
            <w:r w:rsidR="00FD58BF">
              <w:rPr>
                <w:noProof/>
                <w:webHidden/>
              </w:rPr>
              <w:instrText xml:space="preserve"> PAGEREF _Toc178837713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48B82CD6" w14:textId="180E848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4" w:history="1">
            <w:r w:rsidR="00FD58BF" w:rsidRPr="003004E5">
              <w:rPr>
                <w:rStyle w:val="Lienhypertexte"/>
                <w:noProof/>
              </w:rPr>
              <w:t>21.83.6d Réparations / ragréages / rénovations de jambages CCTB 01.04</w:t>
            </w:r>
            <w:r w:rsidR="00FD58BF">
              <w:rPr>
                <w:noProof/>
                <w:webHidden/>
              </w:rPr>
              <w:tab/>
            </w:r>
            <w:r w:rsidR="00FD58BF">
              <w:rPr>
                <w:noProof/>
                <w:webHidden/>
              </w:rPr>
              <w:fldChar w:fldCharType="begin"/>
            </w:r>
            <w:r w:rsidR="00FD58BF">
              <w:rPr>
                <w:noProof/>
                <w:webHidden/>
              </w:rPr>
              <w:instrText xml:space="preserve"> PAGEREF _Toc178837714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5C9CE7F4" w14:textId="64FC467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5" w:history="1">
            <w:r w:rsidR="00FD58BF" w:rsidRPr="003004E5">
              <w:rPr>
                <w:rStyle w:val="Lienhypertexte"/>
                <w:noProof/>
              </w:rPr>
              <w:t>21.83.6e Réparations / ragréages / rénovations d'arcades de baies CCTB 01.04</w:t>
            </w:r>
            <w:r w:rsidR="00FD58BF">
              <w:rPr>
                <w:noProof/>
                <w:webHidden/>
              </w:rPr>
              <w:tab/>
            </w:r>
            <w:r w:rsidR="00FD58BF">
              <w:rPr>
                <w:noProof/>
                <w:webHidden/>
              </w:rPr>
              <w:fldChar w:fldCharType="begin"/>
            </w:r>
            <w:r w:rsidR="00FD58BF">
              <w:rPr>
                <w:noProof/>
                <w:webHidden/>
              </w:rPr>
              <w:instrText xml:space="preserve"> PAGEREF _Toc178837715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0A7B7028" w14:textId="1299541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6" w:history="1">
            <w:r w:rsidR="00FD58BF" w:rsidRPr="003004E5">
              <w:rPr>
                <w:rStyle w:val="Lienhypertexte"/>
                <w:noProof/>
              </w:rPr>
              <w:t>21.83.6f Soubassements - repiquages CCTB 01.04</w:t>
            </w:r>
            <w:r w:rsidR="00FD58BF">
              <w:rPr>
                <w:noProof/>
                <w:webHidden/>
              </w:rPr>
              <w:tab/>
            </w:r>
            <w:r w:rsidR="00FD58BF">
              <w:rPr>
                <w:noProof/>
                <w:webHidden/>
              </w:rPr>
              <w:fldChar w:fldCharType="begin"/>
            </w:r>
            <w:r w:rsidR="00FD58BF">
              <w:rPr>
                <w:noProof/>
                <w:webHidden/>
              </w:rPr>
              <w:instrText xml:space="preserve"> PAGEREF _Toc178837716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3C8A7351" w14:textId="16542EB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7" w:history="1">
            <w:r w:rsidR="00FD58BF" w:rsidRPr="003004E5">
              <w:rPr>
                <w:rStyle w:val="Lienhypertexte"/>
                <w:noProof/>
              </w:rPr>
              <w:t>21.83.6g Soubassements - compléments en sous-œuvre CCTB 01.04</w:t>
            </w:r>
            <w:r w:rsidR="00FD58BF">
              <w:rPr>
                <w:noProof/>
                <w:webHidden/>
              </w:rPr>
              <w:tab/>
            </w:r>
            <w:r w:rsidR="00FD58BF">
              <w:rPr>
                <w:noProof/>
                <w:webHidden/>
              </w:rPr>
              <w:fldChar w:fldCharType="begin"/>
            </w:r>
            <w:r w:rsidR="00FD58BF">
              <w:rPr>
                <w:noProof/>
                <w:webHidden/>
              </w:rPr>
              <w:instrText xml:space="preserve"> PAGEREF _Toc178837717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2676BA87" w14:textId="7C055AA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18" w:history="1">
            <w:r w:rsidR="00FD58BF" w:rsidRPr="003004E5">
              <w:rPr>
                <w:rStyle w:val="Lienhypertexte"/>
                <w:noProof/>
              </w:rPr>
              <w:t>21.83.7 Traitements des fissures et disjonctions CCTB 01.04</w:t>
            </w:r>
            <w:r w:rsidR="00FD58BF">
              <w:rPr>
                <w:noProof/>
                <w:webHidden/>
              </w:rPr>
              <w:tab/>
            </w:r>
            <w:r w:rsidR="00FD58BF">
              <w:rPr>
                <w:noProof/>
                <w:webHidden/>
              </w:rPr>
              <w:fldChar w:fldCharType="begin"/>
            </w:r>
            <w:r w:rsidR="00FD58BF">
              <w:rPr>
                <w:noProof/>
                <w:webHidden/>
              </w:rPr>
              <w:instrText xml:space="preserve"> PAGEREF _Toc178837718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33DE8730" w14:textId="0015585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9" w:history="1">
            <w:r w:rsidR="00FD58BF" w:rsidRPr="003004E5">
              <w:rPr>
                <w:rStyle w:val="Lienhypertexte"/>
                <w:noProof/>
              </w:rPr>
              <w:t>21.83.7a Traitements des fissures de 1 à 3 mm CCTB 01.04</w:t>
            </w:r>
            <w:r w:rsidR="00FD58BF">
              <w:rPr>
                <w:noProof/>
                <w:webHidden/>
              </w:rPr>
              <w:tab/>
            </w:r>
            <w:r w:rsidR="00FD58BF">
              <w:rPr>
                <w:noProof/>
                <w:webHidden/>
              </w:rPr>
              <w:fldChar w:fldCharType="begin"/>
            </w:r>
            <w:r w:rsidR="00FD58BF">
              <w:rPr>
                <w:noProof/>
                <w:webHidden/>
              </w:rPr>
              <w:instrText xml:space="preserve"> PAGEREF _Toc178837719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7AF5147A" w14:textId="24194D8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0" w:history="1">
            <w:r w:rsidR="00FD58BF" w:rsidRPr="003004E5">
              <w:rPr>
                <w:rStyle w:val="Lienhypertexte"/>
                <w:noProof/>
              </w:rPr>
              <w:t>21.83.7b Traitements des fissures de 4 à 8 mm CCTB 01.04</w:t>
            </w:r>
            <w:r w:rsidR="00FD58BF">
              <w:rPr>
                <w:noProof/>
                <w:webHidden/>
              </w:rPr>
              <w:tab/>
            </w:r>
            <w:r w:rsidR="00FD58BF">
              <w:rPr>
                <w:noProof/>
                <w:webHidden/>
              </w:rPr>
              <w:fldChar w:fldCharType="begin"/>
            </w:r>
            <w:r w:rsidR="00FD58BF">
              <w:rPr>
                <w:noProof/>
                <w:webHidden/>
              </w:rPr>
              <w:instrText xml:space="preserve"> PAGEREF _Toc178837720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271F7692" w14:textId="7776378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1" w:history="1">
            <w:r w:rsidR="00FD58BF" w:rsidRPr="003004E5">
              <w:rPr>
                <w:rStyle w:val="Lienhypertexte"/>
                <w:noProof/>
              </w:rPr>
              <w:t>21.83.7c Traitements des ouvertures supérieures à 8 mm CCTB 01.04</w:t>
            </w:r>
            <w:r w:rsidR="00FD58BF">
              <w:rPr>
                <w:noProof/>
                <w:webHidden/>
              </w:rPr>
              <w:tab/>
            </w:r>
            <w:r w:rsidR="00FD58BF">
              <w:rPr>
                <w:noProof/>
                <w:webHidden/>
              </w:rPr>
              <w:fldChar w:fldCharType="begin"/>
            </w:r>
            <w:r w:rsidR="00FD58BF">
              <w:rPr>
                <w:noProof/>
                <w:webHidden/>
              </w:rPr>
              <w:instrText xml:space="preserve"> PAGEREF _Toc178837721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7D148864" w14:textId="40329CF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2" w:history="1">
            <w:r w:rsidR="00FD58BF" w:rsidRPr="003004E5">
              <w:rPr>
                <w:rStyle w:val="Lienhypertexte"/>
                <w:noProof/>
              </w:rPr>
              <w:t>21.83.7d Traitements des disjonctions (réparations par épingles en inox crantées) CCTB 01.04</w:t>
            </w:r>
            <w:r w:rsidR="00FD58BF">
              <w:rPr>
                <w:noProof/>
                <w:webHidden/>
              </w:rPr>
              <w:tab/>
            </w:r>
            <w:r w:rsidR="00FD58BF">
              <w:rPr>
                <w:noProof/>
                <w:webHidden/>
              </w:rPr>
              <w:fldChar w:fldCharType="begin"/>
            </w:r>
            <w:r w:rsidR="00FD58BF">
              <w:rPr>
                <w:noProof/>
                <w:webHidden/>
              </w:rPr>
              <w:instrText xml:space="preserve"> PAGEREF _Toc178837722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17C15DDD" w14:textId="75D9FD9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23" w:history="1">
            <w:r w:rsidR="00FD58BF" w:rsidRPr="003004E5">
              <w:rPr>
                <w:rStyle w:val="Lienhypertexte"/>
                <w:noProof/>
              </w:rPr>
              <w:t>21.83.8 Rejointoyages CCTB 01.04</w:t>
            </w:r>
            <w:r w:rsidR="00FD58BF">
              <w:rPr>
                <w:noProof/>
                <w:webHidden/>
              </w:rPr>
              <w:tab/>
            </w:r>
            <w:r w:rsidR="00FD58BF">
              <w:rPr>
                <w:noProof/>
                <w:webHidden/>
              </w:rPr>
              <w:fldChar w:fldCharType="begin"/>
            </w:r>
            <w:r w:rsidR="00FD58BF">
              <w:rPr>
                <w:noProof/>
                <w:webHidden/>
              </w:rPr>
              <w:instrText xml:space="preserve"> PAGEREF _Toc178837723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703AB2BC" w14:textId="02D6C6A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24" w:history="1">
            <w:r w:rsidR="00FD58BF" w:rsidRPr="003004E5">
              <w:rPr>
                <w:rStyle w:val="Lienhypertexte"/>
                <w:noProof/>
              </w:rPr>
              <w:t>21.84 Renforcements CCTB 01.04</w:t>
            </w:r>
            <w:r w:rsidR="00FD58BF">
              <w:rPr>
                <w:noProof/>
                <w:webHidden/>
              </w:rPr>
              <w:tab/>
            </w:r>
            <w:r w:rsidR="00FD58BF">
              <w:rPr>
                <w:noProof/>
                <w:webHidden/>
              </w:rPr>
              <w:fldChar w:fldCharType="begin"/>
            </w:r>
            <w:r w:rsidR="00FD58BF">
              <w:rPr>
                <w:noProof/>
                <w:webHidden/>
              </w:rPr>
              <w:instrText xml:space="preserve"> PAGEREF _Toc178837724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16E7D321" w14:textId="4620CF4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25" w:history="1">
            <w:r w:rsidR="00FD58BF" w:rsidRPr="003004E5">
              <w:rPr>
                <w:rStyle w:val="Lienhypertexte"/>
                <w:noProof/>
              </w:rPr>
              <w:t>21.84.1 Renforcements par injections de coulis CCTB 01.04</w:t>
            </w:r>
            <w:r w:rsidR="00FD58BF">
              <w:rPr>
                <w:noProof/>
                <w:webHidden/>
              </w:rPr>
              <w:tab/>
            </w:r>
            <w:r w:rsidR="00FD58BF">
              <w:rPr>
                <w:noProof/>
                <w:webHidden/>
              </w:rPr>
              <w:fldChar w:fldCharType="begin"/>
            </w:r>
            <w:r w:rsidR="00FD58BF">
              <w:rPr>
                <w:noProof/>
                <w:webHidden/>
              </w:rPr>
              <w:instrText xml:space="preserve"> PAGEREF _Toc178837725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569B6424" w14:textId="76B25CF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6" w:history="1">
            <w:r w:rsidR="00FD58BF" w:rsidRPr="003004E5">
              <w:rPr>
                <w:rStyle w:val="Lienhypertexte"/>
                <w:noProof/>
              </w:rPr>
              <w:t>21.84.1a Injections de fissures par mortier minéral à retrait compensé CCTB 01.04</w:t>
            </w:r>
            <w:r w:rsidR="00FD58BF">
              <w:rPr>
                <w:noProof/>
                <w:webHidden/>
              </w:rPr>
              <w:tab/>
            </w:r>
            <w:r w:rsidR="00FD58BF">
              <w:rPr>
                <w:noProof/>
                <w:webHidden/>
              </w:rPr>
              <w:fldChar w:fldCharType="begin"/>
            </w:r>
            <w:r w:rsidR="00FD58BF">
              <w:rPr>
                <w:noProof/>
                <w:webHidden/>
              </w:rPr>
              <w:instrText xml:space="preserve"> PAGEREF _Toc178837726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225D9A0A" w14:textId="117216C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7" w:history="1">
            <w:r w:rsidR="00FD58BF" w:rsidRPr="003004E5">
              <w:rPr>
                <w:rStyle w:val="Lienhypertexte"/>
                <w:noProof/>
              </w:rPr>
              <w:t>21.84.1b Injections de fissures à base de résines à 2 composants CCTB 01.04</w:t>
            </w:r>
            <w:r w:rsidR="00FD58BF">
              <w:rPr>
                <w:noProof/>
                <w:webHidden/>
              </w:rPr>
              <w:tab/>
            </w:r>
            <w:r w:rsidR="00FD58BF">
              <w:rPr>
                <w:noProof/>
                <w:webHidden/>
              </w:rPr>
              <w:fldChar w:fldCharType="begin"/>
            </w:r>
            <w:r w:rsidR="00FD58BF">
              <w:rPr>
                <w:noProof/>
                <w:webHidden/>
              </w:rPr>
              <w:instrText xml:space="preserve"> PAGEREF _Toc178837727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7BEB26C1" w14:textId="1E98346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8" w:history="1">
            <w:r w:rsidR="00FD58BF" w:rsidRPr="003004E5">
              <w:rPr>
                <w:rStyle w:val="Lienhypertexte"/>
                <w:noProof/>
              </w:rPr>
              <w:t>21.84.1c Injections de masse par coulis minéral CCTB 01.04</w:t>
            </w:r>
            <w:r w:rsidR="00FD58BF">
              <w:rPr>
                <w:noProof/>
                <w:webHidden/>
              </w:rPr>
              <w:tab/>
            </w:r>
            <w:r w:rsidR="00FD58BF">
              <w:rPr>
                <w:noProof/>
                <w:webHidden/>
              </w:rPr>
              <w:fldChar w:fldCharType="begin"/>
            </w:r>
            <w:r w:rsidR="00FD58BF">
              <w:rPr>
                <w:noProof/>
                <w:webHidden/>
              </w:rPr>
              <w:instrText xml:space="preserve"> PAGEREF _Toc178837728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073AB201" w14:textId="2C8C667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9" w:history="1">
            <w:r w:rsidR="00FD58BF" w:rsidRPr="003004E5">
              <w:rPr>
                <w:rStyle w:val="Lienhypertexte"/>
                <w:noProof/>
              </w:rPr>
              <w:t>21.84.1d Injections de masse par coulis organique CCTB 01.04</w:t>
            </w:r>
            <w:r w:rsidR="00FD58BF">
              <w:rPr>
                <w:noProof/>
                <w:webHidden/>
              </w:rPr>
              <w:tab/>
            </w:r>
            <w:r w:rsidR="00FD58BF">
              <w:rPr>
                <w:noProof/>
                <w:webHidden/>
              </w:rPr>
              <w:fldChar w:fldCharType="begin"/>
            </w:r>
            <w:r w:rsidR="00FD58BF">
              <w:rPr>
                <w:noProof/>
                <w:webHidden/>
              </w:rPr>
              <w:instrText xml:space="preserve"> PAGEREF _Toc178837729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71CB7573" w14:textId="0D59173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0" w:history="1">
            <w:r w:rsidR="00FD58BF" w:rsidRPr="003004E5">
              <w:rPr>
                <w:rStyle w:val="Lienhypertexte"/>
                <w:noProof/>
              </w:rPr>
              <w:t>21.84.2 Renforcements par insertions et scellements de barres (ancrages / brochages / agrafages / épinglages) CCTB 01.04</w:t>
            </w:r>
            <w:r w:rsidR="00FD58BF">
              <w:rPr>
                <w:noProof/>
                <w:webHidden/>
              </w:rPr>
              <w:tab/>
            </w:r>
            <w:r w:rsidR="00FD58BF">
              <w:rPr>
                <w:noProof/>
                <w:webHidden/>
              </w:rPr>
              <w:fldChar w:fldCharType="begin"/>
            </w:r>
            <w:r w:rsidR="00FD58BF">
              <w:rPr>
                <w:noProof/>
                <w:webHidden/>
              </w:rPr>
              <w:instrText xml:space="preserve"> PAGEREF _Toc178837730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2565B99C" w14:textId="03693AD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1" w:history="1">
            <w:r w:rsidR="00FD58BF" w:rsidRPr="003004E5">
              <w:rPr>
                <w:rStyle w:val="Lienhypertexte"/>
                <w:noProof/>
              </w:rPr>
              <w:t>21.84.2a Scellements de barres dans une maçonnerie CCTB 01.04</w:t>
            </w:r>
            <w:r w:rsidR="00FD58BF">
              <w:rPr>
                <w:noProof/>
                <w:webHidden/>
              </w:rPr>
              <w:tab/>
            </w:r>
            <w:r w:rsidR="00FD58BF">
              <w:rPr>
                <w:noProof/>
                <w:webHidden/>
              </w:rPr>
              <w:fldChar w:fldCharType="begin"/>
            </w:r>
            <w:r w:rsidR="00FD58BF">
              <w:rPr>
                <w:noProof/>
                <w:webHidden/>
              </w:rPr>
              <w:instrText xml:space="preserve"> PAGEREF _Toc178837731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4A8E60D3" w14:textId="2B9FFCF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2" w:history="1">
            <w:r w:rsidR="00FD58BF" w:rsidRPr="003004E5">
              <w:rPr>
                <w:rStyle w:val="Lienhypertexte"/>
                <w:noProof/>
              </w:rPr>
              <w:t>21.84.2b Ancrages d'éléments ponctuels CCTB 01.04</w:t>
            </w:r>
            <w:r w:rsidR="00FD58BF">
              <w:rPr>
                <w:noProof/>
                <w:webHidden/>
              </w:rPr>
              <w:tab/>
            </w:r>
            <w:r w:rsidR="00FD58BF">
              <w:rPr>
                <w:noProof/>
                <w:webHidden/>
              </w:rPr>
              <w:fldChar w:fldCharType="begin"/>
            </w:r>
            <w:r w:rsidR="00FD58BF">
              <w:rPr>
                <w:noProof/>
                <w:webHidden/>
              </w:rPr>
              <w:instrText xml:space="preserve"> PAGEREF _Toc178837732 \h </w:instrText>
            </w:r>
            <w:r w:rsidR="00FD58BF">
              <w:rPr>
                <w:noProof/>
                <w:webHidden/>
              </w:rPr>
            </w:r>
            <w:r w:rsidR="00FD58BF">
              <w:rPr>
                <w:noProof/>
                <w:webHidden/>
              </w:rPr>
              <w:fldChar w:fldCharType="separate"/>
            </w:r>
            <w:r w:rsidR="00FD58BF">
              <w:rPr>
                <w:noProof/>
                <w:webHidden/>
              </w:rPr>
              <w:t>463</w:t>
            </w:r>
            <w:r w:rsidR="00FD58BF">
              <w:rPr>
                <w:noProof/>
                <w:webHidden/>
              </w:rPr>
              <w:fldChar w:fldCharType="end"/>
            </w:r>
          </w:hyperlink>
        </w:p>
        <w:p w14:paraId="53255F9C" w14:textId="0F53A0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3" w:history="1">
            <w:r w:rsidR="00FD58BF" w:rsidRPr="003004E5">
              <w:rPr>
                <w:rStyle w:val="Lienhypertexte"/>
                <w:noProof/>
              </w:rPr>
              <w:t>21.84.2c Solidarisation du parement avec la structure CCTB 01.02</w:t>
            </w:r>
            <w:r w:rsidR="00FD58BF">
              <w:rPr>
                <w:noProof/>
                <w:webHidden/>
              </w:rPr>
              <w:tab/>
            </w:r>
            <w:r w:rsidR="00FD58BF">
              <w:rPr>
                <w:noProof/>
                <w:webHidden/>
              </w:rPr>
              <w:fldChar w:fldCharType="begin"/>
            </w:r>
            <w:r w:rsidR="00FD58BF">
              <w:rPr>
                <w:noProof/>
                <w:webHidden/>
              </w:rPr>
              <w:instrText xml:space="preserve"> PAGEREF _Toc178837733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5BD1BF28" w14:textId="49B0628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4" w:history="1">
            <w:r w:rsidR="00FD58BF" w:rsidRPr="003004E5">
              <w:rPr>
                <w:rStyle w:val="Lienhypertexte"/>
                <w:noProof/>
              </w:rPr>
              <w:t>21.84.2d Coutures de fissures CCTB 01.04</w:t>
            </w:r>
            <w:r w:rsidR="00FD58BF">
              <w:rPr>
                <w:noProof/>
                <w:webHidden/>
              </w:rPr>
              <w:tab/>
            </w:r>
            <w:r w:rsidR="00FD58BF">
              <w:rPr>
                <w:noProof/>
                <w:webHidden/>
              </w:rPr>
              <w:fldChar w:fldCharType="begin"/>
            </w:r>
            <w:r w:rsidR="00FD58BF">
              <w:rPr>
                <w:noProof/>
                <w:webHidden/>
              </w:rPr>
              <w:instrText xml:space="preserve"> PAGEREF _Toc178837734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189F596B" w14:textId="1DF5A63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5" w:history="1">
            <w:r w:rsidR="00FD58BF" w:rsidRPr="003004E5">
              <w:rPr>
                <w:rStyle w:val="Lienhypertexte"/>
                <w:noProof/>
              </w:rPr>
              <w:t>21.84.3 Renforcements par collages d'armatures CCTB 01.04</w:t>
            </w:r>
            <w:r w:rsidR="00FD58BF">
              <w:rPr>
                <w:noProof/>
                <w:webHidden/>
              </w:rPr>
              <w:tab/>
            </w:r>
            <w:r w:rsidR="00FD58BF">
              <w:rPr>
                <w:noProof/>
                <w:webHidden/>
              </w:rPr>
              <w:fldChar w:fldCharType="begin"/>
            </w:r>
            <w:r w:rsidR="00FD58BF">
              <w:rPr>
                <w:noProof/>
                <w:webHidden/>
              </w:rPr>
              <w:instrText xml:space="preserve"> PAGEREF _Toc178837735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34362953" w14:textId="008E733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6" w:history="1">
            <w:r w:rsidR="00FD58BF" w:rsidRPr="003004E5">
              <w:rPr>
                <w:rStyle w:val="Lienhypertexte"/>
                <w:noProof/>
              </w:rPr>
              <w:t>21.84.3a Ajouts d'armatures collées en acier CCTB 01.04</w:t>
            </w:r>
            <w:r w:rsidR="00FD58BF">
              <w:rPr>
                <w:noProof/>
                <w:webHidden/>
              </w:rPr>
              <w:tab/>
            </w:r>
            <w:r w:rsidR="00FD58BF">
              <w:rPr>
                <w:noProof/>
                <w:webHidden/>
              </w:rPr>
              <w:fldChar w:fldCharType="begin"/>
            </w:r>
            <w:r w:rsidR="00FD58BF">
              <w:rPr>
                <w:noProof/>
                <w:webHidden/>
              </w:rPr>
              <w:instrText xml:space="preserve"> PAGEREF _Toc178837736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1CDC2B9F" w14:textId="6ACED4A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7" w:history="1">
            <w:r w:rsidR="00FD58BF" w:rsidRPr="003004E5">
              <w:rPr>
                <w:rStyle w:val="Lienhypertexte"/>
                <w:noProof/>
              </w:rPr>
              <w:t>21.84.3b Ajouts d'armatures collées en fibres de carbone CCTB 01.04</w:t>
            </w:r>
            <w:r w:rsidR="00FD58BF">
              <w:rPr>
                <w:noProof/>
                <w:webHidden/>
              </w:rPr>
              <w:tab/>
            </w:r>
            <w:r w:rsidR="00FD58BF">
              <w:rPr>
                <w:noProof/>
                <w:webHidden/>
              </w:rPr>
              <w:fldChar w:fldCharType="begin"/>
            </w:r>
            <w:r w:rsidR="00FD58BF">
              <w:rPr>
                <w:noProof/>
                <w:webHidden/>
              </w:rPr>
              <w:instrText xml:space="preserve"> PAGEREF _Toc178837737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45823DC4" w14:textId="42261D6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8" w:history="1">
            <w:r w:rsidR="00FD58BF" w:rsidRPr="003004E5">
              <w:rPr>
                <w:rStyle w:val="Lienhypertexte"/>
                <w:noProof/>
              </w:rPr>
              <w:t>21.84.4 Renforcements par projections de béton CCTB 01.04</w:t>
            </w:r>
            <w:r w:rsidR="00FD58BF">
              <w:rPr>
                <w:noProof/>
                <w:webHidden/>
              </w:rPr>
              <w:tab/>
            </w:r>
            <w:r w:rsidR="00FD58BF">
              <w:rPr>
                <w:noProof/>
                <w:webHidden/>
              </w:rPr>
              <w:fldChar w:fldCharType="begin"/>
            </w:r>
            <w:r w:rsidR="00FD58BF">
              <w:rPr>
                <w:noProof/>
                <w:webHidden/>
              </w:rPr>
              <w:instrText xml:space="preserve"> PAGEREF _Toc178837738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30885B3A" w14:textId="573F292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9" w:history="1">
            <w:r w:rsidR="00FD58BF" w:rsidRPr="003004E5">
              <w:rPr>
                <w:rStyle w:val="Lienhypertexte"/>
                <w:noProof/>
              </w:rPr>
              <w:t>21.84.4a Renforcements par projections de béton CCTB 01.04</w:t>
            </w:r>
            <w:r w:rsidR="00FD58BF">
              <w:rPr>
                <w:noProof/>
                <w:webHidden/>
              </w:rPr>
              <w:tab/>
            </w:r>
            <w:r w:rsidR="00FD58BF">
              <w:rPr>
                <w:noProof/>
                <w:webHidden/>
              </w:rPr>
              <w:fldChar w:fldCharType="begin"/>
            </w:r>
            <w:r w:rsidR="00FD58BF">
              <w:rPr>
                <w:noProof/>
                <w:webHidden/>
              </w:rPr>
              <w:instrText xml:space="preserve"> PAGEREF _Toc178837739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7A207D6F" w14:textId="4B5A7A0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40" w:history="1">
            <w:r w:rsidR="00FD58BF" w:rsidRPr="003004E5">
              <w:rPr>
                <w:rStyle w:val="Lienhypertexte"/>
                <w:noProof/>
              </w:rPr>
              <w:t>21.84.5 Renforcements par ajout de structures internes CCTB 01.04</w:t>
            </w:r>
            <w:r w:rsidR="00FD58BF">
              <w:rPr>
                <w:noProof/>
                <w:webHidden/>
              </w:rPr>
              <w:tab/>
            </w:r>
            <w:r w:rsidR="00FD58BF">
              <w:rPr>
                <w:noProof/>
                <w:webHidden/>
              </w:rPr>
              <w:fldChar w:fldCharType="begin"/>
            </w:r>
            <w:r w:rsidR="00FD58BF">
              <w:rPr>
                <w:noProof/>
                <w:webHidden/>
              </w:rPr>
              <w:instrText xml:space="preserve"> PAGEREF _Toc178837740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4B790276" w14:textId="62AFD46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1" w:history="1">
            <w:r w:rsidR="00FD58BF" w:rsidRPr="003004E5">
              <w:rPr>
                <w:rStyle w:val="Lienhypertexte"/>
                <w:noProof/>
              </w:rPr>
              <w:t>21.84.5a Renforcements localisés par poutre en béton armé dans une maçonnerie (angles, etc.) CCTB 01.04</w:t>
            </w:r>
            <w:r w:rsidR="00FD58BF">
              <w:rPr>
                <w:noProof/>
                <w:webHidden/>
              </w:rPr>
              <w:tab/>
            </w:r>
            <w:r w:rsidR="00FD58BF">
              <w:rPr>
                <w:noProof/>
                <w:webHidden/>
              </w:rPr>
              <w:fldChar w:fldCharType="begin"/>
            </w:r>
            <w:r w:rsidR="00FD58BF">
              <w:rPr>
                <w:noProof/>
                <w:webHidden/>
              </w:rPr>
              <w:instrText xml:space="preserve"> PAGEREF _Toc178837741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7C603B82" w14:textId="71168D9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2" w:history="1">
            <w:r w:rsidR="00FD58BF" w:rsidRPr="003004E5">
              <w:rPr>
                <w:rStyle w:val="Lienhypertexte"/>
                <w:noProof/>
              </w:rPr>
              <w:t>21.84.5b Ajouts de barres métalliques internes (démontage + pose + remontage) CCTB 01.04</w:t>
            </w:r>
            <w:r w:rsidR="00FD58BF">
              <w:rPr>
                <w:noProof/>
                <w:webHidden/>
              </w:rPr>
              <w:tab/>
            </w:r>
            <w:r w:rsidR="00FD58BF">
              <w:rPr>
                <w:noProof/>
                <w:webHidden/>
              </w:rPr>
              <w:fldChar w:fldCharType="begin"/>
            </w:r>
            <w:r w:rsidR="00FD58BF">
              <w:rPr>
                <w:noProof/>
                <w:webHidden/>
              </w:rPr>
              <w:instrText xml:space="preserve"> PAGEREF _Toc178837742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12D7F7D8" w14:textId="452E11D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43" w:history="1">
            <w:r w:rsidR="00FD58BF" w:rsidRPr="003004E5">
              <w:rPr>
                <w:rStyle w:val="Lienhypertexte"/>
                <w:noProof/>
              </w:rPr>
              <w:t>21.84.6 Renforcements par ajout de structures externes CCTB 01.04</w:t>
            </w:r>
            <w:r w:rsidR="00FD58BF">
              <w:rPr>
                <w:noProof/>
                <w:webHidden/>
              </w:rPr>
              <w:tab/>
            </w:r>
            <w:r w:rsidR="00FD58BF">
              <w:rPr>
                <w:noProof/>
                <w:webHidden/>
              </w:rPr>
              <w:fldChar w:fldCharType="begin"/>
            </w:r>
            <w:r w:rsidR="00FD58BF">
              <w:rPr>
                <w:noProof/>
                <w:webHidden/>
              </w:rPr>
              <w:instrText xml:space="preserve"> PAGEREF _Toc178837743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024BD8A3" w14:textId="6A7CCAB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4" w:history="1">
            <w:r w:rsidR="00FD58BF" w:rsidRPr="003004E5">
              <w:rPr>
                <w:rStyle w:val="Lienhypertexte"/>
                <w:noProof/>
              </w:rPr>
              <w:t>21.84.6a Ajouts de tirants métalliques externes CCTB 01.04</w:t>
            </w:r>
            <w:r w:rsidR="00FD58BF">
              <w:rPr>
                <w:noProof/>
                <w:webHidden/>
              </w:rPr>
              <w:tab/>
            </w:r>
            <w:r w:rsidR="00FD58BF">
              <w:rPr>
                <w:noProof/>
                <w:webHidden/>
              </w:rPr>
              <w:fldChar w:fldCharType="begin"/>
            </w:r>
            <w:r w:rsidR="00FD58BF">
              <w:rPr>
                <w:noProof/>
                <w:webHidden/>
              </w:rPr>
              <w:instrText xml:space="preserve"> PAGEREF _Toc178837744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32C29D6A" w14:textId="364FC1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5" w:history="1">
            <w:r w:rsidR="00FD58BF" w:rsidRPr="003004E5">
              <w:rPr>
                <w:rStyle w:val="Lienhypertexte"/>
                <w:noProof/>
              </w:rPr>
              <w:t>21.84.6b Renforcements par ajout de poutres de ceinture en béton armé CCTB 01.04</w:t>
            </w:r>
            <w:r w:rsidR="00FD58BF">
              <w:rPr>
                <w:noProof/>
                <w:webHidden/>
              </w:rPr>
              <w:tab/>
            </w:r>
            <w:r w:rsidR="00FD58BF">
              <w:rPr>
                <w:noProof/>
                <w:webHidden/>
              </w:rPr>
              <w:fldChar w:fldCharType="begin"/>
            </w:r>
            <w:r w:rsidR="00FD58BF">
              <w:rPr>
                <w:noProof/>
                <w:webHidden/>
              </w:rPr>
              <w:instrText xml:space="preserve"> PAGEREF _Toc178837745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6F1DA7D3" w14:textId="6E9CFA7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6" w:history="1">
            <w:r w:rsidR="00FD58BF" w:rsidRPr="003004E5">
              <w:rPr>
                <w:rStyle w:val="Lienhypertexte"/>
                <w:noProof/>
              </w:rPr>
              <w:t>21.84.6c Couches de compression sur voûtes CCTB 01.02</w:t>
            </w:r>
            <w:r w:rsidR="00FD58BF">
              <w:rPr>
                <w:noProof/>
                <w:webHidden/>
              </w:rPr>
              <w:tab/>
            </w:r>
            <w:r w:rsidR="00FD58BF">
              <w:rPr>
                <w:noProof/>
                <w:webHidden/>
              </w:rPr>
              <w:fldChar w:fldCharType="begin"/>
            </w:r>
            <w:r w:rsidR="00FD58BF">
              <w:rPr>
                <w:noProof/>
                <w:webHidden/>
              </w:rPr>
              <w:instrText xml:space="preserve"> PAGEREF _Toc178837746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5FBC42F6" w14:textId="50C52DB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7" w:history="1">
            <w:r w:rsidR="00FD58BF" w:rsidRPr="003004E5">
              <w:rPr>
                <w:rStyle w:val="Lienhypertexte"/>
                <w:noProof/>
              </w:rPr>
              <w:t>21.84.6d Structures de délestage autour d'une structure existante CCTB 01.04</w:t>
            </w:r>
            <w:r w:rsidR="00FD58BF">
              <w:rPr>
                <w:noProof/>
                <w:webHidden/>
              </w:rPr>
              <w:tab/>
            </w:r>
            <w:r w:rsidR="00FD58BF">
              <w:rPr>
                <w:noProof/>
                <w:webHidden/>
              </w:rPr>
              <w:fldChar w:fldCharType="begin"/>
            </w:r>
            <w:r w:rsidR="00FD58BF">
              <w:rPr>
                <w:noProof/>
                <w:webHidden/>
              </w:rPr>
              <w:instrText xml:space="preserve"> PAGEREF _Toc178837747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5461B434" w14:textId="0183484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8" w:history="1">
            <w:r w:rsidR="00FD58BF" w:rsidRPr="003004E5">
              <w:rPr>
                <w:rStyle w:val="Lienhypertexte"/>
                <w:noProof/>
              </w:rPr>
              <w:t>21.84.6e Carcanages en tête de construction CCTB 01.04</w:t>
            </w:r>
            <w:r w:rsidR="00FD58BF">
              <w:rPr>
                <w:noProof/>
                <w:webHidden/>
              </w:rPr>
              <w:tab/>
            </w:r>
            <w:r w:rsidR="00FD58BF">
              <w:rPr>
                <w:noProof/>
                <w:webHidden/>
              </w:rPr>
              <w:fldChar w:fldCharType="begin"/>
            </w:r>
            <w:r w:rsidR="00FD58BF">
              <w:rPr>
                <w:noProof/>
                <w:webHidden/>
              </w:rPr>
              <w:instrText xml:space="preserve"> PAGEREF _Toc178837748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434B0AC1" w14:textId="13DAE5EB"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49" w:history="1">
            <w:r w:rsidR="00FD58BF" w:rsidRPr="003004E5">
              <w:rPr>
                <w:rStyle w:val="Lienhypertexte"/>
                <w:noProof/>
              </w:rPr>
              <w:t>21.85 Adaptations CCTB 01.07</w:t>
            </w:r>
            <w:r w:rsidR="00FD58BF">
              <w:rPr>
                <w:noProof/>
                <w:webHidden/>
              </w:rPr>
              <w:tab/>
            </w:r>
            <w:r w:rsidR="00FD58BF">
              <w:rPr>
                <w:noProof/>
                <w:webHidden/>
              </w:rPr>
              <w:fldChar w:fldCharType="begin"/>
            </w:r>
            <w:r w:rsidR="00FD58BF">
              <w:rPr>
                <w:noProof/>
                <w:webHidden/>
              </w:rPr>
              <w:instrText xml:space="preserve"> PAGEREF _Toc178837749 \h </w:instrText>
            </w:r>
            <w:r w:rsidR="00FD58BF">
              <w:rPr>
                <w:noProof/>
                <w:webHidden/>
              </w:rPr>
            </w:r>
            <w:r w:rsidR="00FD58BF">
              <w:rPr>
                <w:noProof/>
                <w:webHidden/>
              </w:rPr>
              <w:fldChar w:fldCharType="separate"/>
            </w:r>
            <w:r w:rsidR="00FD58BF">
              <w:rPr>
                <w:noProof/>
                <w:webHidden/>
              </w:rPr>
              <w:t>464</w:t>
            </w:r>
            <w:r w:rsidR="00FD58BF">
              <w:rPr>
                <w:noProof/>
                <w:webHidden/>
              </w:rPr>
              <w:fldChar w:fldCharType="end"/>
            </w:r>
          </w:hyperlink>
        </w:p>
        <w:p w14:paraId="30E85C1D" w14:textId="6350995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0" w:history="1">
            <w:r w:rsidR="00FD58BF" w:rsidRPr="003004E5">
              <w:rPr>
                <w:rStyle w:val="Lienhypertexte"/>
                <w:noProof/>
              </w:rPr>
              <w:t>21.85.1 Réalisations de liaisonnement entre maçonneries existante et nouvelle (construction en arrachement) CCTB 01.02</w:t>
            </w:r>
            <w:r w:rsidR="00FD58BF">
              <w:rPr>
                <w:noProof/>
                <w:webHidden/>
              </w:rPr>
              <w:tab/>
            </w:r>
            <w:r w:rsidR="00FD58BF">
              <w:rPr>
                <w:noProof/>
                <w:webHidden/>
              </w:rPr>
              <w:fldChar w:fldCharType="begin"/>
            </w:r>
            <w:r w:rsidR="00FD58BF">
              <w:rPr>
                <w:noProof/>
                <w:webHidden/>
              </w:rPr>
              <w:instrText xml:space="preserve"> PAGEREF _Toc178837750 \h </w:instrText>
            </w:r>
            <w:r w:rsidR="00FD58BF">
              <w:rPr>
                <w:noProof/>
                <w:webHidden/>
              </w:rPr>
            </w:r>
            <w:r w:rsidR="00FD58BF">
              <w:rPr>
                <w:noProof/>
                <w:webHidden/>
              </w:rPr>
              <w:fldChar w:fldCharType="separate"/>
            </w:r>
            <w:r w:rsidR="00FD58BF">
              <w:rPr>
                <w:noProof/>
                <w:webHidden/>
              </w:rPr>
              <w:t>465</w:t>
            </w:r>
            <w:r w:rsidR="00FD58BF">
              <w:rPr>
                <w:noProof/>
                <w:webHidden/>
              </w:rPr>
              <w:fldChar w:fldCharType="end"/>
            </w:r>
          </w:hyperlink>
        </w:p>
        <w:p w14:paraId="5D22A1BF" w14:textId="6EEB7DB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1" w:history="1">
            <w:r w:rsidR="00FD58BF" w:rsidRPr="003004E5">
              <w:rPr>
                <w:rStyle w:val="Lienhypertexte"/>
                <w:noProof/>
              </w:rPr>
              <w:t>21.85.1a Réalisations de liaisonnement entre maçonneries existante et nouvelle CCTB 01.02</w:t>
            </w:r>
            <w:r w:rsidR="00FD58BF">
              <w:rPr>
                <w:noProof/>
                <w:webHidden/>
              </w:rPr>
              <w:tab/>
            </w:r>
            <w:r w:rsidR="00FD58BF">
              <w:rPr>
                <w:noProof/>
                <w:webHidden/>
              </w:rPr>
              <w:fldChar w:fldCharType="begin"/>
            </w:r>
            <w:r w:rsidR="00FD58BF">
              <w:rPr>
                <w:noProof/>
                <w:webHidden/>
              </w:rPr>
              <w:instrText xml:space="preserve"> PAGEREF _Toc178837751 \h </w:instrText>
            </w:r>
            <w:r w:rsidR="00FD58BF">
              <w:rPr>
                <w:noProof/>
                <w:webHidden/>
              </w:rPr>
            </w:r>
            <w:r w:rsidR="00FD58BF">
              <w:rPr>
                <w:noProof/>
                <w:webHidden/>
              </w:rPr>
              <w:fldChar w:fldCharType="separate"/>
            </w:r>
            <w:r w:rsidR="00FD58BF">
              <w:rPr>
                <w:noProof/>
                <w:webHidden/>
              </w:rPr>
              <w:t>465</w:t>
            </w:r>
            <w:r w:rsidR="00FD58BF">
              <w:rPr>
                <w:noProof/>
                <w:webHidden/>
              </w:rPr>
              <w:fldChar w:fldCharType="end"/>
            </w:r>
          </w:hyperlink>
        </w:p>
        <w:p w14:paraId="14A3F4BB" w14:textId="4D5C4DD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2" w:history="1">
            <w:r w:rsidR="00FD58BF" w:rsidRPr="003004E5">
              <w:rPr>
                <w:rStyle w:val="Lienhypertexte"/>
                <w:noProof/>
              </w:rPr>
              <w:t>21.85.2 Adaptations de maçonneries pour baies / passages CCTB 01.11</w:t>
            </w:r>
            <w:r w:rsidR="00FD58BF">
              <w:rPr>
                <w:noProof/>
                <w:webHidden/>
              </w:rPr>
              <w:tab/>
            </w:r>
            <w:r w:rsidR="00FD58BF">
              <w:rPr>
                <w:noProof/>
                <w:webHidden/>
              </w:rPr>
              <w:fldChar w:fldCharType="begin"/>
            </w:r>
            <w:r w:rsidR="00FD58BF">
              <w:rPr>
                <w:noProof/>
                <w:webHidden/>
              </w:rPr>
              <w:instrText xml:space="preserve"> PAGEREF _Toc178837752 \h </w:instrText>
            </w:r>
            <w:r w:rsidR="00FD58BF">
              <w:rPr>
                <w:noProof/>
                <w:webHidden/>
              </w:rPr>
            </w:r>
            <w:r w:rsidR="00FD58BF">
              <w:rPr>
                <w:noProof/>
                <w:webHidden/>
              </w:rPr>
              <w:fldChar w:fldCharType="separate"/>
            </w:r>
            <w:r w:rsidR="00FD58BF">
              <w:rPr>
                <w:noProof/>
                <w:webHidden/>
              </w:rPr>
              <w:t>465</w:t>
            </w:r>
            <w:r w:rsidR="00FD58BF">
              <w:rPr>
                <w:noProof/>
                <w:webHidden/>
              </w:rPr>
              <w:fldChar w:fldCharType="end"/>
            </w:r>
          </w:hyperlink>
        </w:p>
        <w:p w14:paraId="70F06353" w14:textId="2782AFC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3" w:history="1">
            <w:r w:rsidR="00FD58BF" w:rsidRPr="003004E5">
              <w:rPr>
                <w:rStyle w:val="Lienhypertexte"/>
                <w:noProof/>
              </w:rPr>
              <w:t>21.85.2a Créations de baies dans maçonneries CCTB 01.04</w:t>
            </w:r>
            <w:r w:rsidR="00FD58BF">
              <w:rPr>
                <w:noProof/>
                <w:webHidden/>
              </w:rPr>
              <w:tab/>
            </w:r>
            <w:r w:rsidR="00FD58BF">
              <w:rPr>
                <w:noProof/>
                <w:webHidden/>
              </w:rPr>
              <w:fldChar w:fldCharType="begin"/>
            </w:r>
            <w:r w:rsidR="00FD58BF">
              <w:rPr>
                <w:noProof/>
                <w:webHidden/>
              </w:rPr>
              <w:instrText xml:space="preserve"> PAGEREF _Toc178837753 \h </w:instrText>
            </w:r>
            <w:r w:rsidR="00FD58BF">
              <w:rPr>
                <w:noProof/>
                <w:webHidden/>
              </w:rPr>
            </w:r>
            <w:r w:rsidR="00FD58BF">
              <w:rPr>
                <w:noProof/>
                <w:webHidden/>
              </w:rPr>
              <w:fldChar w:fldCharType="separate"/>
            </w:r>
            <w:r w:rsidR="00FD58BF">
              <w:rPr>
                <w:noProof/>
                <w:webHidden/>
              </w:rPr>
              <w:t>465</w:t>
            </w:r>
            <w:r w:rsidR="00FD58BF">
              <w:rPr>
                <w:noProof/>
                <w:webHidden/>
              </w:rPr>
              <w:fldChar w:fldCharType="end"/>
            </w:r>
          </w:hyperlink>
        </w:p>
        <w:p w14:paraId="511F6C99" w14:textId="2D15D78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4" w:history="1">
            <w:r w:rsidR="00FD58BF" w:rsidRPr="003004E5">
              <w:rPr>
                <w:rStyle w:val="Lienhypertexte"/>
                <w:noProof/>
              </w:rPr>
              <w:t>21.85.2b Adaptations dimensionnelles de baies existantes dans maçonneries CCTB 01.04</w:t>
            </w:r>
            <w:r w:rsidR="00FD58BF">
              <w:rPr>
                <w:noProof/>
                <w:webHidden/>
              </w:rPr>
              <w:tab/>
            </w:r>
            <w:r w:rsidR="00FD58BF">
              <w:rPr>
                <w:noProof/>
                <w:webHidden/>
              </w:rPr>
              <w:fldChar w:fldCharType="begin"/>
            </w:r>
            <w:r w:rsidR="00FD58BF">
              <w:rPr>
                <w:noProof/>
                <w:webHidden/>
              </w:rPr>
              <w:instrText xml:space="preserve"> PAGEREF _Toc178837754 \h </w:instrText>
            </w:r>
            <w:r w:rsidR="00FD58BF">
              <w:rPr>
                <w:noProof/>
                <w:webHidden/>
              </w:rPr>
            </w:r>
            <w:r w:rsidR="00FD58BF">
              <w:rPr>
                <w:noProof/>
                <w:webHidden/>
              </w:rPr>
              <w:fldChar w:fldCharType="separate"/>
            </w:r>
            <w:r w:rsidR="00FD58BF">
              <w:rPr>
                <w:noProof/>
                <w:webHidden/>
              </w:rPr>
              <w:t>466</w:t>
            </w:r>
            <w:r w:rsidR="00FD58BF">
              <w:rPr>
                <w:noProof/>
                <w:webHidden/>
              </w:rPr>
              <w:fldChar w:fldCharType="end"/>
            </w:r>
          </w:hyperlink>
        </w:p>
        <w:p w14:paraId="3D9616C1" w14:textId="3A11747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5" w:history="1">
            <w:r w:rsidR="00FD58BF" w:rsidRPr="003004E5">
              <w:rPr>
                <w:rStyle w:val="Lienhypertexte"/>
                <w:noProof/>
              </w:rPr>
              <w:t>21.85.2c Obturations de baies existantes dans maçonneries CCTB 01.11</w:t>
            </w:r>
            <w:r w:rsidR="00FD58BF">
              <w:rPr>
                <w:noProof/>
                <w:webHidden/>
              </w:rPr>
              <w:tab/>
            </w:r>
            <w:r w:rsidR="00FD58BF">
              <w:rPr>
                <w:noProof/>
                <w:webHidden/>
              </w:rPr>
              <w:fldChar w:fldCharType="begin"/>
            </w:r>
            <w:r w:rsidR="00FD58BF">
              <w:rPr>
                <w:noProof/>
                <w:webHidden/>
              </w:rPr>
              <w:instrText xml:space="preserve"> PAGEREF _Toc178837755 \h </w:instrText>
            </w:r>
            <w:r w:rsidR="00FD58BF">
              <w:rPr>
                <w:noProof/>
                <w:webHidden/>
              </w:rPr>
            </w:r>
            <w:r w:rsidR="00FD58BF">
              <w:rPr>
                <w:noProof/>
                <w:webHidden/>
              </w:rPr>
              <w:fldChar w:fldCharType="separate"/>
            </w:r>
            <w:r w:rsidR="00FD58BF">
              <w:rPr>
                <w:noProof/>
                <w:webHidden/>
              </w:rPr>
              <w:t>466</w:t>
            </w:r>
            <w:r w:rsidR="00FD58BF">
              <w:rPr>
                <w:noProof/>
                <w:webHidden/>
              </w:rPr>
              <w:fldChar w:fldCharType="end"/>
            </w:r>
          </w:hyperlink>
        </w:p>
        <w:p w14:paraId="41F3B68A" w14:textId="5470D52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6" w:history="1">
            <w:r w:rsidR="00FD58BF" w:rsidRPr="003004E5">
              <w:rPr>
                <w:rStyle w:val="Lienhypertexte"/>
                <w:noProof/>
              </w:rPr>
              <w:t>21.85.3 Réalisations d'asselets en béton armé dans une maçonnerie existante CCTB 01.02</w:t>
            </w:r>
            <w:r w:rsidR="00FD58BF">
              <w:rPr>
                <w:noProof/>
                <w:webHidden/>
              </w:rPr>
              <w:tab/>
            </w:r>
            <w:r w:rsidR="00FD58BF">
              <w:rPr>
                <w:noProof/>
                <w:webHidden/>
              </w:rPr>
              <w:fldChar w:fldCharType="begin"/>
            </w:r>
            <w:r w:rsidR="00FD58BF">
              <w:rPr>
                <w:noProof/>
                <w:webHidden/>
              </w:rPr>
              <w:instrText xml:space="preserve"> PAGEREF _Toc178837756 \h </w:instrText>
            </w:r>
            <w:r w:rsidR="00FD58BF">
              <w:rPr>
                <w:noProof/>
                <w:webHidden/>
              </w:rPr>
            </w:r>
            <w:r w:rsidR="00FD58BF">
              <w:rPr>
                <w:noProof/>
                <w:webHidden/>
              </w:rPr>
              <w:fldChar w:fldCharType="separate"/>
            </w:r>
            <w:r w:rsidR="00FD58BF">
              <w:rPr>
                <w:noProof/>
                <w:webHidden/>
              </w:rPr>
              <w:t>468</w:t>
            </w:r>
            <w:r w:rsidR="00FD58BF">
              <w:rPr>
                <w:noProof/>
                <w:webHidden/>
              </w:rPr>
              <w:fldChar w:fldCharType="end"/>
            </w:r>
          </w:hyperlink>
        </w:p>
        <w:p w14:paraId="3DAEB076" w14:textId="70B7BC1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7" w:history="1">
            <w:r w:rsidR="00FD58BF" w:rsidRPr="003004E5">
              <w:rPr>
                <w:rStyle w:val="Lienhypertexte"/>
                <w:noProof/>
              </w:rPr>
              <w:t>21.85.3a Réalisations d'asselets en béton armé dans une maçonnerie existante CCTB 01.11</w:t>
            </w:r>
            <w:r w:rsidR="00FD58BF">
              <w:rPr>
                <w:noProof/>
                <w:webHidden/>
              </w:rPr>
              <w:tab/>
            </w:r>
            <w:r w:rsidR="00FD58BF">
              <w:rPr>
                <w:noProof/>
                <w:webHidden/>
              </w:rPr>
              <w:fldChar w:fldCharType="begin"/>
            </w:r>
            <w:r w:rsidR="00FD58BF">
              <w:rPr>
                <w:noProof/>
                <w:webHidden/>
              </w:rPr>
              <w:instrText xml:space="preserve"> PAGEREF _Toc178837757 \h </w:instrText>
            </w:r>
            <w:r w:rsidR="00FD58BF">
              <w:rPr>
                <w:noProof/>
                <w:webHidden/>
              </w:rPr>
            </w:r>
            <w:r w:rsidR="00FD58BF">
              <w:rPr>
                <w:noProof/>
                <w:webHidden/>
              </w:rPr>
              <w:fldChar w:fldCharType="separate"/>
            </w:r>
            <w:r w:rsidR="00FD58BF">
              <w:rPr>
                <w:noProof/>
                <w:webHidden/>
              </w:rPr>
              <w:t>468</w:t>
            </w:r>
            <w:r w:rsidR="00FD58BF">
              <w:rPr>
                <w:noProof/>
                <w:webHidden/>
              </w:rPr>
              <w:fldChar w:fldCharType="end"/>
            </w:r>
          </w:hyperlink>
        </w:p>
        <w:p w14:paraId="71B48105" w14:textId="6AC8DCF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8" w:history="1">
            <w:r w:rsidR="00FD58BF" w:rsidRPr="003004E5">
              <w:rPr>
                <w:rStyle w:val="Lienhypertexte"/>
                <w:noProof/>
              </w:rPr>
              <w:t>21.85.4 Créations d'assise CCTB 01.04</w:t>
            </w:r>
            <w:r w:rsidR="00FD58BF">
              <w:rPr>
                <w:noProof/>
                <w:webHidden/>
              </w:rPr>
              <w:tab/>
            </w:r>
            <w:r w:rsidR="00FD58BF">
              <w:rPr>
                <w:noProof/>
                <w:webHidden/>
              </w:rPr>
              <w:fldChar w:fldCharType="begin"/>
            </w:r>
            <w:r w:rsidR="00FD58BF">
              <w:rPr>
                <w:noProof/>
                <w:webHidden/>
              </w:rPr>
              <w:instrText xml:space="preserve"> PAGEREF _Toc178837758 \h </w:instrText>
            </w:r>
            <w:r w:rsidR="00FD58BF">
              <w:rPr>
                <w:noProof/>
                <w:webHidden/>
              </w:rPr>
            </w:r>
            <w:r w:rsidR="00FD58BF">
              <w:rPr>
                <w:noProof/>
                <w:webHidden/>
              </w:rPr>
              <w:fldChar w:fldCharType="separate"/>
            </w:r>
            <w:r w:rsidR="00FD58BF">
              <w:rPr>
                <w:noProof/>
                <w:webHidden/>
              </w:rPr>
              <w:t>469</w:t>
            </w:r>
            <w:r w:rsidR="00FD58BF">
              <w:rPr>
                <w:noProof/>
                <w:webHidden/>
              </w:rPr>
              <w:fldChar w:fldCharType="end"/>
            </w:r>
          </w:hyperlink>
        </w:p>
        <w:p w14:paraId="34C69B12" w14:textId="780D16C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9" w:history="1">
            <w:r w:rsidR="00FD58BF" w:rsidRPr="003004E5">
              <w:rPr>
                <w:rStyle w:val="Lienhypertexte"/>
                <w:noProof/>
              </w:rPr>
              <w:t>21.85.4a Créations d'assise par évidement de maçonnerie existante CCTB 01.02</w:t>
            </w:r>
            <w:r w:rsidR="00FD58BF">
              <w:rPr>
                <w:noProof/>
                <w:webHidden/>
              </w:rPr>
              <w:tab/>
            </w:r>
            <w:r w:rsidR="00FD58BF">
              <w:rPr>
                <w:noProof/>
                <w:webHidden/>
              </w:rPr>
              <w:fldChar w:fldCharType="begin"/>
            </w:r>
            <w:r w:rsidR="00FD58BF">
              <w:rPr>
                <w:noProof/>
                <w:webHidden/>
              </w:rPr>
              <w:instrText xml:space="preserve"> PAGEREF _Toc178837759 \h </w:instrText>
            </w:r>
            <w:r w:rsidR="00FD58BF">
              <w:rPr>
                <w:noProof/>
                <w:webHidden/>
              </w:rPr>
            </w:r>
            <w:r w:rsidR="00FD58BF">
              <w:rPr>
                <w:noProof/>
                <w:webHidden/>
              </w:rPr>
              <w:fldChar w:fldCharType="separate"/>
            </w:r>
            <w:r w:rsidR="00FD58BF">
              <w:rPr>
                <w:noProof/>
                <w:webHidden/>
              </w:rPr>
              <w:t>469</w:t>
            </w:r>
            <w:r w:rsidR="00FD58BF">
              <w:rPr>
                <w:noProof/>
                <w:webHidden/>
              </w:rPr>
              <w:fldChar w:fldCharType="end"/>
            </w:r>
          </w:hyperlink>
        </w:p>
        <w:p w14:paraId="4237DDED" w14:textId="3E1C5CB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0" w:history="1">
            <w:r w:rsidR="00FD58BF" w:rsidRPr="003004E5">
              <w:rPr>
                <w:rStyle w:val="Lienhypertexte"/>
                <w:noProof/>
              </w:rPr>
              <w:t>21.85.4b Reprises d'arase des maçonneries CCTB 01.04</w:t>
            </w:r>
            <w:r w:rsidR="00FD58BF">
              <w:rPr>
                <w:noProof/>
                <w:webHidden/>
              </w:rPr>
              <w:tab/>
            </w:r>
            <w:r w:rsidR="00FD58BF">
              <w:rPr>
                <w:noProof/>
                <w:webHidden/>
              </w:rPr>
              <w:fldChar w:fldCharType="begin"/>
            </w:r>
            <w:r w:rsidR="00FD58BF">
              <w:rPr>
                <w:noProof/>
                <w:webHidden/>
              </w:rPr>
              <w:instrText xml:space="preserve"> PAGEREF _Toc178837760 \h </w:instrText>
            </w:r>
            <w:r w:rsidR="00FD58BF">
              <w:rPr>
                <w:noProof/>
                <w:webHidden/>
              </w:rPr>
            </w:r>
            <w:r w:rsidR="00FD58BF">
              <w:rPr>
                <w:noProof/>
                <w:webHidden/>
              </w:rPr>
              <w:fldChar w:fldCharType="separate"/>
            </w:r>
            <w:r w:rsidR="00FD58BF">
              <w:rPr>
                <w:noProof/>
                <w:webHidden/>
              </w:rPr>
              <w:t>470</w:t>
            </w:r>
            <w:r w:rsidR="00FD58BF">
              <w:rPr>
                <w:noProof/>
                <w:webHidden/>
              </w:rPr>
              <w:fldChar w:fldCharType="end"/>
            </w:r>
          </w:hyperlink>
        </w:p>
        <w:p w14:paraId="7449A583" w14:textId="19D952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1" w:history="1">
            <w:r w:rsidR="00FD58BF" w:rsidRPr="003004E5">
              <w:rPr>
                <w:rStyle w:val="Lienhypertexte"/>
                <w:noProof/>
              </w:rPr>
              <w:t>21.85.4c Chapes sous-sablière CCTB 01.04</w:t>
            </w:r>
            <w:r w:rsidR="00FD58BF">
              <w:rPr>
                <w:noProof/>
                <w:webHidden/>
              </w:rPr>
              <w:tab/>
            </w:r>
            <w:r w:rsidR="00FD58BF">
              <w:rPr>
                <w:noProof/>
                <w:webHidden/>
              </w:rPr>
              <w:fldChar w:fldCharType="begin"/>
            </w:r>
            <w:r w:rsidR="00FD58BF">
              <w:rPr>
                <w:noProof/>
                <w:webHidden/>
              </w:rPr>
              <w:instrText xml:space="preserve"> PAGEREF _Toc178837761 \h </w:instrText>
            </w:r>
            <w:r w:rsidR="00FD58BF">
              <w:rPr>
                <w:noProof/>
                <w:webHidden/>
              </w:rPr>
            </w:r>
            <w:r w:rsidR="00FD58BF">
              <w:rPr>
                <w:noProof/>
                <w:webHidden/>
              </w:rPr>
              <w:fldChar w:fldCharType="separate"/>
            </w:r>
            <w:r w:rsidR="00FD58BF">
              <w:rPr>
                <w:noProof/>
                <w:webHidden/>
              </w:rPr>
              <w:t>470</w:t>
            </w:r>
            <w:r w:rsidR="00FD58BF">
              <w:rPr>
                <w:noProof/>
                <w:webHidden/>
              </w:rPr>
              <w:fldChar w:fldCharType="end"/>
            </w:r>
          </w:hyperlink>
        </w:p>
        <w:p w14:paraId="485F7951" w14:textId="3D4CC2A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62" w:history="1">
            <w:r w:rsidR="00FD58BF" w:rsidRPr="003004E5">
              <w:rPr>
                <w:rStyle w:val="Lienhypertexte"/>
                <w:noProof/>
              </w:rPr>
              <w:t>21.85.5 Petits ouvrages dans les maçonneries CCTB 01.04</w:t>
            </w:r>
            <w:r w:rsidR="00FD58BF">
              <w:rPr>
                <w:noProof/>
                <w:webHidden/>
              </w:rPr>
              <w:tab/>
            </w:r>
            <w:r w:rsidR="00FD58BF">
              <w:rPr>
                <w:noProof/>
                <w:webHidden/>
              </w:rPr>
              <w:fldChar w:fldCharType="begin"/>
            </w:r>
            <w:r w:rsidR="00FD58BF">
              <w:rPr>
                <w:noProof/>
                <w:webHidden/>
              </w:rPr>
              <w:instrText xml:space="preserve"> PAGEREF _Toc178837762 \h </w:instrText>
            </w:r>
            <w:r w:rsidR="00FD58BF">
              <w:rPr>
                <w:noProof/>
                <w:webHidden/>
              </w:rPr>
            </w:r>
            <w:r w:rsidR="00FD58BF">
              <w:rPr>
                <w:noProof/>
                <w:webHidden/>
              </w:rPr>
              <w:fldChar w:fldCharType="separate"/>
            </w:r>
            <w:r w:rsidR="00FD58BF">
              <w:rPr>
                <w:noProof/>
                <w:webHidden/>
              </w:rPr>
              <w:t>470</w:t>
            </w:r>
            <w:r w:rsidR="00FD58BF">
              <w:rPr>
                <w:noProof/>
                <w:webHidden/>
              </w:rPr>
              <w:fldChar w:fldCharType="end"/>
            </w:r>
          </w:hyperlink>
        </w:p>
        <w:p w14:paraId="11BDF378" w14:textId="6BAEB70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3" w:history="1">
            <w:r w:rsidR="00FD58BF" w:rsidRPr="003004E5">
              <w:rPr>
                <w:rStyle w:val="Lienhypertexte"/>
                <w:noProof/>
              </w:rPr>
              <w:t>21.85.5a Petits ouvrages dans les maçonneries CCTB 01.04</w:t>
            </w:r>
            <w:r w:rsidR="00FD58BF">
              <w:rPr>
                <w:noProof/>
                <w:webHidden/>
              </w:rPr>
              <w:tab/>
            </w:r>
            <w:r w:rsidR="00FD58BF">
              <w:rPr>
                <w:noProof/>
                <w:webHidden/>
              </w:rPr>
              <w:fldChar w:fldCharType="begin"/>
            </w:r>
            <w:r w:rsidR="00FD58BF">
              <w:rPr>
                <w:noProof/>
                <w:webHidden/>
              </w:rPr>
              <w:instrText xml:space="preserve"> PAGEREF _Toc178837763 \h </w:instrText>
            </w:r>
            <w:r w:rsidR="00FD58BF">
              <w:rPr>
                <w:noProof/>
                <w:webHidden/>
              </w:rPr>
            </w:r>
            <w:r w:rsidR="00FD58BF">
              <w:rPr>
                <w:noProof/>
                <w:webHidden/>
              </w:rPr>
              <w:fldChar w:fldCharType="separate"/>
            </w:r>
            <w:r w:rsidR="00FD58BF">
              <w:rPr>
                <w:noProof/>
                <w:webHidden/>
              </w:rPr>
              <w:t>470</w:t>
            </w:r>
            <w:r w:rsidR="00FD58BF">
              <w:rPr>
                <w:noProof/>
                <w:webHidden/>
              </w:rPr>
              <w:fldChar w:fldCharType="end"/>
            </w:r>
          </w:hyperlink>
        </w:p>
        <w:p w14:paraId="3F31EA4E" w14:textId="40DE77B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4" w:history="1">
            <w:r w:rsidR="00FD58BF" w:rsidRPr="003004E5">
              <w:rPr>
                <w:rStyle w:val="Lienhypertexte"/>
                <w:noProof/>
              </w:rPr>
              <w:t>21.85.5b Réparation des maçonneries de parement en briques de terre cuite de réemploi CCTB 01.11</w:t>
            </w:r>
            <w:r w:rsidR="00FD58BF">
              <w:rPr>
                <w:noProof/>
                <w:webHidden/>
              </w:rPr>
              <w:tab/>
            </w:r>
            <w:r w:rsidR="00FD58BF">
              <w:rPr>
                <w:noProof/>
                <w:webHidden/>
              </w:rPr>
              <w:fldChar w:fldCharType="begin"/>
            </w:r>
            <w:r w:rsidR="00FD58BF">
              <w:rPr>
                <w:noProof/>
                <w:webHidden/>
              </w:rPr>
              <w:instrText xml:space="preserve"> PAGEREF _Toc178837764 \h </w:instrText>
            </w:r>
            <w:r w:rsidR="00FD58BF">
              <w:rPr>
                <w:noProof/>
                <w:webHidden/>
              </w:rPr>
            </w:r>
            <w:r w:rsidR="00FD58BF">
              <w:rPr>
                <w:noProof/>
                <w:webHidden/>
              </w:rPr>
              <w:fldChar w:fldCharType="separate"/>
            </w:r>
            <w:r w:rsidR="00FD58BF">
              <w:rPr>
                <w:noProof/>
                <w:webHidden/>
              </w:rPr>
              <w:t>470</w:t>
            </w:r>
            <w:r w:rsidR="00FD58BF">
              <w:rPr>
                <w:noProof/>
                <w:webHidden/>
              </w:rPr>
              <w:fldChar w:fldCharType="end"/>
            </w:r>
          </w:hyperlink>
        </w:p>
        <w:p w14:paraId="78F69683" w14:textId="0055C22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65" w:history="1">
            <w:r w:rsidR="00FD58BF" w:rsidRPr="003004E5">
              <w:rPr>
                <w:rStyle w:val="Lienhypertexte"/>
                <w:noProof/>
              </w:rPr>
              <w:t>21.86 Reposes / remplacements CCTB 01.02</w:t>
            </w:r>
            <w:r w:rsidR="00FD58BF">
              <w:rPr>
                <w:noProof/>
                <w:webHidden/>
              </w:rPr>
              <w:tab/>
            </w:r>
            <w:r w:rsidR="00FD58BF">
              <w:rPr>
                <w:noProof/>
                <w:webHidden/>
              </w:rPr>
              <w:fldChar w:fldCharType="begin"/>
            </w:r>
            <w:r w:rsidR="00FD58BF">
              <w:rPr>
                <w:noProof/>
                <w:webHidden/>
              </w:rPr>
              <w:instrText xml:space="preserve"> PAGEREF _Toc178837765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26F91A2D" w14:textId="162A065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66" w:history="1">
            <w:r w:rsidR="00FD58BF" w:rsidRPr="003004E5">
              <w:rPr>
                <w:rStyle w:val="Lienhypertexte"/>
                <w:noProof/>
              </w:rPr>
              <w:t>21.86.1 Reposes d'éléments récupérés CCTB 01.02</w:t>
            </w:r>
            <w:r w:rsidR="00FD58BF">
              <w:rPr>
                <w:noProof/>
                <w:webHidden/>
              </w:rPr>
              <w:tab/>
            </w:r>
            <w:r w:rsidR="00FD58BF">
              <w:rPr>
                <w:noProof/>
                <w:webHidden/>
              </w:rPr>
              <w:fldChar w:fldCharType="begin"/>
            </w:r>
            <w:r w:rsidR="00FD58BF">
              <w:rPr>
                <w:noProof/>
                <w:webHidden/>
              </w:rPr>
              <w:instrText xml:space="preserve"> PAGEREF _Toc178837766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3D6DEA1E" w14:textId="29C64EE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7" w:history="1">
            <w:r w:rsidR="00FD58BF" w:rsidRPr="003004E5">
              <w:rPr>
                <w:rStyle w:val="Lienhypertexte"/>
                <w:noProof/>
              </w:rPr>
              <w:t>21.86.1a Reposes d'éléments de structures en maçonnerie récupérés CCTB 01.02</w:t>
            </w:r>
            <w:r w:rsidR="00FD58BF">
              <w:rPr>
                <w:noProof/>
                <w:webHidden/>
              </w:rPr>
              <w:tab/>
            </w:r>
            <w:r w:rsidR="00FD58BF">
              <w:rPr>
                <w:noProof/>
                <w:webHidden/>
              </w:rPr>
              <w:fldChar w:fldCharType="begin"/>
            </w:r>
            <w:r w:rsidR="00FD58BF">
              <w:rPr>
                <w:noProof/>
                <w:webHidden/>
              </w:rPr>
              <w:instrText xml:space="preserve"> PAGEREF _Toc178837767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3CBB5C76" w14:textId="33200A4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68" w:history="1">
            <w:r w:rsidR="00FD58BF" w:rsidRPr="003004E5">
              <w:rPr>
                <w:rStyle w:val="Lienhypertexte"/>
                <w:noProof/>
              </w:rPr>
              <w:t>21.86.2 Remplacements à l'identique de maçonneries CCTB 01.04</w:t>
            </w:r>
            <w:r w:rsidR="00FD58BF">
              <w:rPr>
                <w:noProof/>
                <w:webHidden/>
              </w:rPr>
              <w:tab/>
            </w:r>
            <w:r w:rsidR="00FD58BF">
              <w:rPr>
                <w:noProof/>
                <w:webHidden/>
              </w:rPr>
              <w:fldChar w:fldCharType="begin"/>
            </w:r>
            <w:r w:rsidR="00FD58BF">
              <w:rPr>
                <w:noProof/>
                <w:webHidden/>
              </w:rPr>
              <w:instrText xml:space="preserve"> PAGEREF _Toc178837768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7AD6F35B" w14:textId="1F4DE61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9" w:history="1">
            <w:r w:rsidR="00FD58BF" w:rsidRPr="003004E5">
              <w:rPr>
                <w:rStyle w:val="Lienhypertexte"/>
                <w:noProof/>
              </w:rPr>
              <w:t>21.86.2a Remplacements complets à l'identique de maçonneries CCTB 01.04</w:t>
            </w:r>
            <w:r w:rsidR="00FD58BF">
              <w:rPr>
                <w:noProof/>
                <w:webHidden/>
              </w:rPr>
              <w:tab/>
            </w:r>
            <w:r w:rsidR="00FD58BF">
              <w:rPr>
                <w:noProof/>
                <w:webHidden/>
              </w:rPr>
              <w:fldChar w:fldCharType="begin"/>
            </w:r>
            <w:r w:rsidR="00FD58BF">
              <w:rPr>
                <w:noProof/>
                <w:webHidden/>
              </w:rPr>
              <w:instrText xml:space="preserve"> PAGEREF _Toc178837769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2342D7C1" w14:textId="679BEF0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0" w:history="1">
            <w:r w:rsidR="00FD58BF" w:rsidRPr="003004E5">
              <w:rPr>
                <w:rStyle w:val="Lienhypertexte"/>
                <w:noProof/>
              </w:rPr>
              <w:t>21.86.2b Remplacements de tranches à l'identique de maçonneries CCTB 01.04</w:t>
            </w:r>
            <w:r w:rsidR="00FD58BF">
              <w:rPr>
                <w:noProof/>
                <w:webHidden/>
              </w:rPr>
              <w:tab/>
            </w:r>
            <w:r w:rsidR="00FD58BF">
              <w:rPr>
                <w:noProof/>
                <w:webHidden/>
              </w:rPr>
              <w:fldChar w:fldCharType="begin"/>
            </w:r>
            <w:r w:rsidR="00FD58BF">
              <w:rPr>
                <w:noProof/>
                <w:webHidden/>
              </w:rPr>
              <w:instrText xml:space="preserve"> PAGEREF _Toc178837770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565BDDF4" w14:textId="792F12B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71" w:history="1">
            <w:r w:rsidR="00FD58BF" w:rsidRPr="003004E5">
              <w:rPr>
                <w:rStyle w:val="Lienhypertexte"/>
                <w:noProof/>
              </w:rPr>
              <w:t>21.86.3 Remplacements d'éléments entiers à l'identique CCTB 01.02</w:t>
            </w:r>
            <w:r w:rsidR="00FD58BF">
              <w:rPr>
                <w:noProof/>
                <w:webHidden/>
              </w:rPr>
              <w:tab/>
            </w:r>
            <w:r w:rsidR="00FD58BF">
              <w:rPr>
                <w:noProof/>
                <w:webHidden/>
              </w:rPr>
              <w:fldChar w:fldCharType="begin"/>
            </w:r>
            <w:r w:rsidR="00FD58BF">
              <w:rPr>
                <w:noProof/>
                <w:webHidden/>
              </w:rPr>
              <w:instrText xml:space="preserve"> PAGEREF _Toc178837771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1D5EC77D" w14:textId="681DB7B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2" w:history="1">
            <w:r w:rsidR="00FD58BF" w:rsidRPr="003004E5">
              <w:rPr>
                <w:rStyle w:val="Lienhypertexte"/>
                <w:noProof/>
              </w:rPr>
              <w:t>21.86.3a Remplacements de briques CCTB 01.02</w:t>
            </w:r>
            <w:r w:rsidR="00FD58BF">
              <w:rPr>
                <w:noProof/>
                <w:webHidden/>
              </w:rPr>
              <w:tab/>
            </w:r>
            <w:r w:rsidR="00FD58BF">
              <w:rPr>
                <w:noProof/>
                <w:webHidden/>
              </w:rPr>
              <w:fldChar w:fldCharType="begin"/>
            </w:r>
            <w:r w:rsidR="00FD58BF">
              <w:rPr>
                <w:noProof/>
                <w:webHidden/>
              </w:rPr>
              <w:instrText xml:space="preserve"> PAGEREF _Toc178837772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5817C4D3" w14:textId="55A520B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3" w:history="1">
            <w:r w:rsidR="00FD58BF" w:rsidRPr="003004E5">
              <w:rPr>
                <w:rStyle w:val="Lienhypertexte"/>
                <w:noProof/>
              </w:rPr>
              <w:t>21.86.3b Remplacements de blocs / briques de béton CCTB 01.02</w:t>
            </w:r>
            <w:r w:rsidR="00FD58BF">
              <w:rPr>
                <w:noProof/>
                <w:webHidden/>
              </w:rPr>
              <w:tab/>
            </w:r>
            <w:r w:rsidR="00FD58BF">
              <w:rPr>
                <w:noProof/>
                <w:webHidden/>
              </w:rPr>
              <w:fldChar w:fldCharType="begin"/>
            </w:r>
            <w:r w:rsidR="00FD58BF">
              <w:rPr>
                <w:noProof/>
                <w:webHidden/>
              </w:rPr>
              <w:instrText xml:space="preserve"> PAGEREF _Toc178837773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22E6B842" w14:textId="2A81AA3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4" w:history="1">
            <w:r w:rsidR="00FD58BF" w:rsidRPr="003004E5">
              <w:rPr>
                <w:rStyle w:val="Lienhypertexte"/>
                <w:noProof/>
              </w:rPr>
              <w:t>21.86.3c Remplacements d'éléments en pierre naturelle CCTB 01.02</w:t>
            </w:r>
            <w:r w:rsidR="00FD58BF">
              <w:rPr>
                <w:noProof/>
                <w:webHidden/>
              </w:rPr>
              <w:tab/>
            </w:r>
            <w:r w:rsidR="00FD58BF">
              <w:rPr>
                <w:noProof/>
                <w:webHidden/>
              </w:rPr>
              <w:fldChar w:fldCharType="begin"/>
            </w:r>
            <w:r w:rsidR="00FD58BF">
              <w:rPr>
                <w:noProof/>
                <w:webHidden/>
              </w:rPr>
              <w:instrText xml:space="preserve"> PAGEREF _Toc178837774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08377B25" w14:textId="25BC67C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75" w:history="1">
            <w:r w:rsidR="00FD58BF" w:rsidRPr="003004E5">
              <w:rPr>
                <w:rStyle w:val="Lienhypertexte"/>
                <w:noProof/>
              </w:rPr>
              <w:t>21.86.4 Rejointoyages CCTB 01.11</w:t>
            </w:r>
            <w:r w:rsidR="00FD58BF">
              <w:rPr>
                <w:noProof/>
                <w:webHidden/>
              </w:rPr>
              <w:tab/>
            </w:r>
            <w:r w:rsidR="00FD58BF">
              <w:rPr>
                <w:noProof/>
                <w:webHidden/>
              </w:rPr>
              <w:fldChar w:fldCharType="begin"/>
            </w:r>
            <w:r w:rsidR="00FD58BF">
              <w:rPr>
                <w:noProof/>
                <w:webHidden/>
              </w:rPr>
              <w:instrText xml:space="preserve"> PAGEREF _Toc178837775 \h </w:instrText>
            </w:r>
            <w:r w:rsidR="00FD58BF">
              <w:rPr>
                <w:noProof/>
                <w:webHidden/>
              </w:rPr>
            </w:r>
            <w:r w:rsidR="00FD58BF">
              <w:rPr>
                <w:noProof/>
                <w:webHidden/>
              </w:rPr>
              <w:fldChar w:fldCharType="separate"/>
            </w:r>
            <w:r w:rsidR="00FD58BF">
              <w:rPr>
                <w:noProof/>
                <w:webHidden/>
              </w:rPr>
              <w:t>471</w:t>
            </w:r>
            <w:r w:rsidR="00FD58BF">
              <w:rPr>
                <w:noProof/>
                <w:webHidden/>
              </w:rPr>
              <w:fldChar w:fldCharType="end"/>
            </w:r>
          </w:hyperlink>
        </w:p>
        <w:p w14:paraId="537BF2A3" w14:textId="77F5ECD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6" w:history="1">
            <w:r w:rsidR="00FD58BF" w:rsidRPr="003004E5">
              <w:rPr>
                <w:rStyle w:val="Lienhypertexte"/>
                <w:noProof/>
              </w:rPr>
              <w:t>21.86.4a Rejointoyages ordinaires au mortier CCTB 01.11</w:t>
            </w:r>
            <w:r w:rsidR="00FD58BF">
              <w:rPr>
                <w:noProof/>
                <w:webHidden/>
              </w:rPr>
              <w:tab/>
            </w:r>
            <w:r w:rsidR="00FD58BF">
              <w:rPr>
                <w:noProof/>
                <w:webHidden/>
              </w:rPr>
              <w:fldChar w:fldCharType="begin"/>
            </w:r>
            <w:r w:rsidR="00FD58BF">
              <w:rPr>
                <w:noProof/>
                <w:webHidden/>
              </w:rPr>
              <w:instrText xml:space="preserve"> PAGEREF _Toc178837776 \h </w:instrText>
            </w:r>
            <w:r w:rsidR="00FD58BF">
              <w:rPr>
                <w:noProof/>
                <w:webHidden/>
              </w:rPr>
            </w:r>
            <w:r w:rsidR="00FD58BF">
              <w:rPr>
                <w:noProof/>
                <w:webHidden/>
              </w:rPr>
              <w:fldChar w:fldCharType="separate"/>
            </w:r>
            <w:r w:rsidR="00FD58BF">
              <w:rPr>
                <w:noProof/>
                <w:webHidden/>
              </w:rPr>
              <w:t>472</w:t>
            </w:r>
            <w:r w:rsidR="00FD58BF">
              <w:rPr>
                <w:noProof/>
                <w:webHidden/>
              </w:rPr>
              <w:fldChar w:fldCharType="end"/>
            </w:r>
          </w:hyperlink>
        </w:p>
        <w:p w14:paraId="551839E5" w14:textId="43CDF25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7" w:history="1">
            <w:r w:rsidR="00FD58BF" w:rsidRPr="003004E5">
              <w:rPr>
                <w:rStyle w:val="Lienhypertexte"/>
                <w:noProof/>
              </w:rPr>
              <w:t>21.86.4b Rejointoyages au mortier de chaux CCTB 01.04</w:t>
            </w:r>
            <w:r w:rsidR="00FD58BF">
              <w:rPr>
                <w:noProof/>
                <w:webHidden/>
              </w:rPr>
              <w:tab/>
            </w:r>
            <w:r w:rsidR="00FD58BF">
              <w:rPr>
                <w:noProof/>
                <w:webHidden/>
              </w:rPr>
              <w:fldChar w:fldCharType="begin"/>
            </w:r>
            <w:r w:rsidR="00FD58BF">
              <w:rPr>
                <w:noProof/>
                <w:webHidden/>
              </w:rPr>
              <w:instrText xml:space="preserve"> PAGEREF _Toc178837777 \h </w:instrText>
            </w:r>
            <w:r w:rsidR="00FD58BF">
              <w:rPr>
                <w:noProof/>
                <w:webHidden/>
              </w:rPr>
            </w:r>
            <w:r w:rsidR="00FD58BF">
              <w:rPr>
                <w:noProof/>
                <w:webHidden/>
              </w:rPr>
              <w:fldChar w:fldCharType="separate"/>
            </w:r>
            <w:r w:rsidR="00FD58BF">
              <w:rPr>
                <w:noProof/>
                <w:webHidden/>
              </w:rPr>
              <w:t>472</w:t>
            </w:r>
            <w:r w:rsidR="00FD58BF">
              <w:rPr>
                <w:noProof/>
                <w:webHidden/>
              </w:rPr>
              <w:fldChar w:fldCharType="end"/>
            </w:r>
          </w:hyperlink>
        </w:p>
        <w:p w14:paraId="1D71E880" w14:textId="42919EB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8" w:history="1">
            <w:r w:rsidR="00FD58BF" w:rsidRPr="003004E5">
              <w:rPr>
                <w:rStyle w:val="Lienhypertexte"/>
                <w:noProof/>
              </w:rPr>
              <w:t>21.86.4c Rejointoyages au mortier bâtard CCTB 01.04</w:t>
            </w:r>
            <w:r w:rsidR="00FD58BF">
              <w:rPr>
                <w:noProof/>
                <w:webHidden/>
              </w:rPr>
              <w:tab/>
            </w:r>
            <w:r w:rsidR="00FD58BF">
              <w:rPr>
                <w:noProof/>
                <w:webHidden/>
              </w:rPr>
              <w:fldChar w:fldCharType="begin"/>
            </w:r>
            <w:r w:rsidR="00FD58BF">
              <w:rPr>
                <w:noProof/>
                <w:webHidden/>
              </w:rPr>
              <w:instrText xml:space="preserve"> PAGEREF _Toc178837778 \h </w:instrText>
            </w:r>
            <w:r w:rsidR="00FD58BF">
              <w:rPr>
                <w:noProof/>
                <w:webHidden/>
              </w:rPr>
            </w:r>
            <w:r w:rsidR="00FD58BF">
              <w:rPr>
                <w:noProof/>
                <w:webHidden/>
              </w:rPr>
              <w:fldChar w:fldCharType="separate"/>
            </w:r>
            <w:r w:rsidR="00FD58BF">
              <w:rPr>
                <w:noProof/>
                <w:webHidden/>
              </w:rPr>
              <w:t>472</w:t>
            </w:r>
            <w:r w:rsidR="00FD58BF">
              <w:rPr>
                <w:noProof/>
                <w:webHidden/>
              </w:rPr>
              <w:fldChar w:fldCharType="end"/>
            </w:r>
          </w:hyperlink>
        </w:p>
        <w:p w14:paraId="35F135F7" w14:textId="62D45CD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9" w:history="1">
            <w:r w:rsidR="00FD58BF" w:rsidRPr="003004E5">
              <w:rPr>
                <w:rStyle w:val="Lienhypertexte"/>
                <w:noProof/>
              </w:rPr>
              <w:t>21.86.4d Rejointoyages - Joints souples CCTB 01.04</w:t>
            </w:r>
            <w:r w:rsidR="00FD58BF">
              <w:rPr>
                <w:noProof/>
                <w:webHidden/>
              </w:rPr>
              <w:tab/>
            </w:r>
            <w:r w:rsidR="00FD58BF">
              <w:rPr>
                <w:noProof/>
                <w:webHidden/>
              </w:rPr>
              <w:fldChar w:fldCharType="begin"/>
            </w:r>
            <w:r w:rsidR="00FD58BF">
              <w:rPr>
                <w:noProof/>
                <w:webHidden/>
              </w:rPr>
              <w:instrText xml:space="preserve"> PAGEREF _Toc178837779 \h </w:instrText>
            </w:r>
            <w:r w:rsidR="00FD58BF">
              <w:rPr>
                <w:noProof/>
                <w:webHidden/>
              </w:rPr>
            </w:r>
            <w:r w:rsidR="00FD58BF">
              <w:rPr>
                <w:noProof/>
                <w:webHidden/>
              </w:rPr>
              <w:fldChar w:fldCharType="separate"/>
            </w:r>
            <w:r w:rsidR="00FD58BF">
              <w:rPr>
                <w:noProof/>
                <w:webHidden/>
              </w:rPr>
              <w:t>472</w:t>
            </w:r>
            <w:r w:rsidR="00FD58BF">
              <w:rPr>
                <w:noProof/>
                <w:webHidden/>
              </w:rPr>
              <w:fldChar w:fldCharType="end"/>
            </w:r>
          </w:hyperlink>
        </w:p>
        <w:p w14:paraId="01B018CE" w14:textId="4A58948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0" w:history="1">
            <w:r w:rsidR="00FD58BF" w:rsidRPr="003004E5">
              <w:rPr>
                <w:rStyle w:val="Lienhypertexte"/>
                <w:noProof/>
              </w:rPr>
              <w:t>21.86.4e Rejointoyages - Joints au plomb CCTB 01.02</w:t>
            </w:r>
            <w:r w:rsidR="00FD58BF">
              <w:rPr>
                <w:noProof/>
                <w:webHidden/>
              </w:rPr>
              <w:tab/>
            </w:r>
            <w:r w:rsidR="00FD58BF">
              <w:rPr>
                <w:noProof/>
                <w:webHidden/>
              </w:rPr>
              <w:fldChar w:fldCharType="begin"/>
            </w:r>
            <w:r w:rsidR="00FD58BF">
              <w:rPr>
                <w:noProof/>
                <w:webHidden/>
              </w:rPr>
              <w:instrText xml:space="preserve"> PAGEREF _Toc178837780 \h </w:instrText>
            </w:r>
            <w:r w:rsidR="00FD58BF">
              <w:rPr>
                <w:noProof/>
                <w:webHidden/>
              </w:rPr>
            </w:r>
            <w:r w:rsidR="00FD58BF">
              <w:rPr>
                <w:noProof/>
                <w:webHidden/>
              </w:rPr>
              <w:fldChar w:fldCharType="separate"/>
            </w:r>
            <w:r w:rsidR="00FD58BF">
              <w:rPr>
                <w:noProof/>
                <w:webHidden/>
              </w:rPr>
              <w:t>472</w:t>
            </w:r>
            <w:r w:rsidR="00FD58BF">
              <w:rPr>
                <w:noProof/>
                <w:webHidden/>
              </w:rPr>
              <w:fldChar w:fldCharType="end"/>
            </w:r>
          </w:hyperlink>
        </w:p>
        <w:p w14:paraId="5BB442AB" w14:textId="4A154FE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81" w:history="1">
            <w:r w:rsidR="00FD58BF" w:rsidRPr="003004E5">
              <w:rPr>
                <w:rStyle w:val="Lienhypertexte"/>
                <w:noProof/>
              </w:rPr>
              <w:t>21.87 Nettoyages / préparations de surface CCTB 01.04</w:t>
            </w:r>
            <w:r w:rsidR="00FD58BF">
              <w:rPr>
                <w:noProof/>
                <w:webHidden/>
              </w:rPr>
              <w:tab/>
            </w:r>
            <w:r w:rsidR="00FD58BF">
              <w:rPr>
                <w:noProof/>
                <w:webHidden/>
              </w:rPr>
              <w:fldChar w:fldCharType="begin"/>
            </w:r>
            <w:r w:rsidR="00FD58BF">
              <w:rPr>
                <w:noProof/>
                <w:webHidden/>
              </w:rPr>
              <w:instrText xml:space="preserve"> PAGEREF _Toc178837781 \h </w:instrText>
            </w:r>
            <w:r w:rsidR="00FD58BF">
              <w:rPr>
                <w:noProof/>
                <w:webHidden/>
              </w:rPr>
            </w:r>
            <w:r w:rsidR="00FD58BF">
              <w:rPr>
                <w:noProof/>
                <w:webHidden/>
              </w:rPr>
              <w:fldChar w:fldCharType="separate"/>
            </w:r>
            <w:r w:rsidR="00FD58BF">
              <w:rPr>
                <w:noProof/>
                <w:webHidden/>
              </w:rPr>
              <w:t>472</w:t>
            </w:r>
            <w:r w:rsidR="00FD58BF">
              <w:rPr>
                <w:noProof/>
                <w:webHidden/>
              </w:rPr>
              <w:fldChar w:fldCharType="end"/>
            </w:r>
          </w:hyperlink>
        </w:p>
        <w:p w14:paraId="2D6E7DEE" w14:textId="23FED23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82" w:history="1">
            <w:r w:rsidR="00FD58BF" w:rsidRPr="003004E5">
              <w:rPr>
                <w:rStyle w:val="Lienhypertexte"/>
                <w:noProof/>
              </w:rPr>
              <w:t>21.88 Traitements et protections CCTB 01.04</w:t>
            </w:r>
            <w:r w:rsidR="00FD58BF">
              <w:rPr>
                <w:noProof/>
                <w:webHidden/>
              </w:rPr>
              <w:tab/>
            </w:r>
            <w:r w:rsidR="00FD58BF">
              <w:rPr>
                <w:noProof/>
                <w:webHidden/>
              </w:rPr>
              <w:fldChar w:fldCharType="begin"/>
            </w:r>
            <w:r w:rsidR="00FD58BF">
              <w:rPr>
                <w:noProof/>
                <w:webHidden/>
              </w:rPr>
              <w:instrText xml:space="preserve"> PAGEREF _Toc178837782 \h </w:instrText>
            </w:r>
            <w:r w:rsidR="00FD58BF">
              <w:rPr>
                <w:noProof/>
                <w:webHidden/>
              </w:rPr>
            </w:r>
            <w:r w:rsidR="00FD58BF">
              <w:rPr>
                <w:noProof/>
                <w:webHidden/>
              </w:rPr>
              <w:fldChar w:fldCharType="separate"/>
            </w:r>
            <w:r w:rsidR="00FD58BF">
              <w:rPr>
                <w:noProof/>
                <w:webHidden/>
              </w:rPr>
              <w:t>472</w:t>
            </w:r>
            <w:r w:rsidR="00FD58BF">
              <w:rPr>
                <w:noProof/>
                <w:webHidden/>
              </w:rPr>
              <w:fldChar w:fldCharType="end"/>
            </w:r>
          </w:hyperlink>
        </w:p>
        <w:p w14:paraId="02E1DBD9" w14:textId="3CF1BC9F" w:rsidR="00FD58BF" w:rsidRDefault="004016E8">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7783" w:history="1">
            <w:r w:rsidR="00FD58BF" w:rsidRPr="003004E5">
              <w:rPr>
                <w:rStyle w:val="Lienhypertexte"/>
                <w:noProof/>
              </w:rPr>
              <w:t>22 Superstructures en béton CCTB 01.12</w:t>
            </w:r>
            <w:r w:rsidR="00FD58BF">
              <w:rPr>
                <w:noProof/>
                <w:webHidden/>
              </w:rPr>
              <w:tab/>
            </w:r>
            <w:r w:rsidR="00FD58BF">
              <w:rPr>
                <w:noProof/>
                <w:webHidden/>
              </w:rPr>
              <w:fldChar w:fldCharType="begin"/>
            </w:r>
            <w:r w:rsidR="00FD58BF">
              <w:rPr>
                <w:noProof/>
                <w:webHidden/>
              </w:rPr>
              <w:instrText xml:space="preserve"> PAGEREF _Toc178837783 \h </w:instrText>
            </w:r>
            <w:r w:rsidR="00FD58BF">
              <w:rPr>
                <w:noProof/>
                <w:webHidden/>
              </w:rPr>
            </w:r>
            <w:r w:rsidR="00FD58BF">
              <w:rPr>
                <w:noProof/>
                <w:webHidden/>
              </w:rPr>
              <w:fldChar w:fldCharType="separate"/>
            </w:r>
            <w:r w:rsidR="00FD58BF">
              <w:rPr>
                <w:noProof/>
                <w:webHidden/>
              </w:rPr>
              <w:t>473</w:t>
            </w:r>
            <w:r w:rsidR="00FD58BF">
              <w:rPr>
                <w:noProof/>
                <w:webHidden/>
              </w:rPr>
              <w:fldChar w:fldCharType="end"/>
            </w:r>
          </w:hyperlink>
        </w:p>
        <w:p w14:paraId="2DBBB2C7" w14:textId="7492E6BC"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84" w:history="1">
            <w:r w:rsidR="00FD58BF" w:rsidRPr="003004E5">
              <w:rPr>
                <w:rStyle w:val="Lienhypertexte"/>
                <w:noProof/>
              </w:rPr>
              <w:t>22.1 Eléments de structures en béton CCTB 01.04</w:t>
            </w:r>
            <w:r w:rsidR="00FD58BF">
              <w:rPr>
                <w:noProof/>
                <w:webHidden/>
              </w:rPr>
              <w:tab/>
            </w:r>
            <w:r w:rsidR="00FD58BF">
              <w:rPr>
                <w:noProof/>
                <w:webHidden/>
              </w:rPr>
              <w:fldChar w:fldCharType="begin"/>
            </w:r>
            <w:r w:rsidR="00FD58BF">
              <w:rPr>
                <w:noProof/>
                <w:webHidden/>
              </w:rPr>
              <w:instrText xml:space="preserve"> PAGEREF _Toc178837784 \h </w:instrText>
            </w:r>
            <w:r w:rsidR="00FD58BF">
              <w:rPr>
                <w:noProof/>
                <w:webHidden/>
              </w:rPr>
            </w:r>
            <w:r w:rsidR="00FD58BF">
              <w:rPr>
                <w:noProof/>
                <w:webHidden/>
              </w:rPr>
              <w:fldChar w:fldCharType="separate"/>
            </w:r>
            <w:r w:rsidR="00FD58BF">
              <w:rPr>
                <w:noProof/>
                <w:webHidden/>
              </w:rPr>
              <w:t>490</w:t>
            </w:r>
            <w:r w:rsidR="00FD58BF">
              <w:rPr>
                <w:noProof/>
                <w:webHidden/>
              </w:rPr>
              <w:fldChar w:fldCharType="end"/>
            </w:r>
          </w:hyperlink>
        </w:p>
        <w:p w14:paraId="14C656D0" w14:textId="5515727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85" w:history="1">
            <w:r w:rsidR="00FD58BF" w:rsidRPr="003004E5">
              <w:rPr>
                <w:rStyle w:val="Lienhypertexte"/>
                <w:noProof/>
              </w:rPr>
              <w:t>22.11 Poutres en béton CCTB 01.02</w:t>
            </w:r>
            <w:r w:rsidR="00FD58BF">
              <w:rPr>
                <w:noProof/>
                <w:webHidden/>
              </w:rPr>
              <w:tab/>
            </w:r>
            <w:r w:rsidR="00FD58BF">
              <w:rPr>
                <w:noProof/>
                <w:webHidden/>
              </w:rPr>
              <w:fldChar w:fldCharType="begin"/>
            </w:r>
            <w:r w:rsidR="00FD58BF">
              <w:rPr>
                <w:noProof/>
                <w:webHidden/>
              </w:rPr>
              <w:instrText xml:space="preserve"> PAGEREF _Toc178837785 \h </w:instrText>
            </w:r>
            <w:r w:rsidR="00FD58BF">
              <w:rPr>
                <w:noProof/>
                <w:webHidden/>
              </w:rPr>
            </w:r>
            <w:r w:rsidR="00FD58BF">
              <w:rPr>
                <w:noProof/>
                <w:webHidden/>
              </w:rPr>
              <w:fldChar w:fldCharType="separate"/>
            </w:r>
            <w:r w:rsidR="00FD58BF">
              <w:rPr>
                <w:noProof/>
                <w:webHidden/>
              </w:rPr>
              <w:t>490</w:t>
            </w:r>
            <w:r w:rsidR="00FD58BF">
              <w:rPr>
                <w:noProof/>
                <w:webHidden/>
              </w:rPr>
              <w:fldChar w:fldCharType="end"/>
            </w:r>
          </w:hyperlink>
        </w:p>
        <w:p w14:paraId="17FD1DDD" w14:textId="5FF65D6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86" w:history="1">
            <w:r w:rsidR="00FD58BF" w:rsidRPr="003004E5">
              <w:rPr>
                <w:rStyle w:val="Lienhypertexte"/>
                <w:noProof/>
              </w:rPr>
              <w:t>22.11.1 Poutres en béton coulé en place CCTB 01.04</w:t>
            </w:r>
            <w:r w:rsidR="00FD58BF">
              <w:rPr>
                <w:noProof/>
                <w:webHidden/>
              </w:rPr>
              <w:tab/>
            </w:r>
            <w:r w:rsidR="00FD58BF">
              <w:rPr>
                <w:noProof/>
                <w:webHidden/>
              </w:rPr>
              <w:fldChar w:fldCharType="begin"/>
            </w:r>
            <w:r w:rsidR="00FD58BF">
              <w:rPr>
                <w:noProof/>
                <w:webHidden/>
              </w:rPr>
              <w:instrText xml:space="preserve"> PAGEREF _Toc178837786 \h </w:instrText>
            </w:r>
            <w:r w:rsidR="00FD58BF">
              <w:rPr>
                <w:noProof/>
                <w:webHidden/>
              </w:rPr>
            </w:r>
            <w:r w:rsidR="00FD58BF">
              <w:rPr>
                <w:noProof/>
                <w:webHidden/>
              </w:rPr>
              <w:fldChar w:fldCharType="separate"/>
            </w:r>
            <w:r w:rsidR="00FD58BF">
              <w:rPr>
                <w:noProof/>
                <w:webHidden/>
              </w:rPr>
              <w:t>490</w:t>
            </w:r>
            <w:r w:rsidR="00FD58BF">
              <w:rPr>
                <w:noProof/>
                <w:webHidden/>
              </w:rPr>
              <w:fldChar w:fldCharType="end"/>
            </w:r>
          </w:hyperlink>
        </w:p>
        <w:p w14:paraId="646F78E1" w14:textId="275D8BA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7" w:history="1">
            <w:r w:rsidR="00FD58BF" w:rsidRPr="003004E5">
              <w:rPr>
                <w:rStyle w:val="Lienhypertexte"/>
                <w:noProof/>
              </w:rPr>
              <w:t>22.11.1a Poutres en béton armé coulé en place CCTB 01.12</w:t>
            </w:r>
            <w:r w:rsidR="00FD58BF">
              <w:rPr>
                <w:noProof/>
                <w:webHidden/>
              </w:rPr>
              <w:tab/>
            </w:r>
            <w:r w:rsidR="00FD58BF">
              <w:rPr>
                <w:noProof/>
                <w:webHidden/>
              </w:rPr>
              <w:fldChar w:fldCharType="begin"/>
            </w:r>
            <w:r w:rsidR="00FD58BF">
              <w:rPr>
                <w:noProof/>
                <w:webHidden/>
              </w:rPr>
              <w:instrText xml:space="preserve"> PAGEREF _Toc178837787 \h </w:instrText>
            </w:r>
            <w:r w:rsidR="00FD58BF">
              <w:rPr>
                <w:noProof/>
                <w:webHidden/>
              </w:rPr>
            </w:r>
            <w:r w:rsidR="00FD58BF">
              <w:rPr>
                <w:noProof/>
                <w:webHidden/>
              </w:rPr>
              <w:fldChar w:fldCharType="separate"/>
            </w:r>
            <w:r w:rsidR="00FD58BF">
              <w:rPr>
                <w:noProof/>
                <w:webHidden/>
              </w:rPr>
              <w:t>490</w:t>
            </w:r>
            <w:r w:rsidR="00FD58BF">
              <w:rPr>
                <w:noProof/>
                <w:webHidden/>
              </w:rPr>
              <w:fldChar w:fldCharType="end"/>
            </w:r>
          </w:hyperlink>
        </w:p>
        <w:p w14:paraId="237D4886" w14:textId="7BC80A3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8" w:history="1">
            <w:r w:rsidR="00FD58BF" w:rsidRPr="003004E5">
              <w:rPr>
                <w:rStyle w:val="Lienhypertexte"/>
                <w:noProof/>
              </w:rPr>
              <w:t>22.11.1b Poutres de ceinture en béton armé coulé en place CCTB 01.11</w:t>
            </w:r>
            <w:r w:rsidR="00FD58BF">
              <w:rPr>
                <w:noProof/>
                <w:webHidden/>
              </w:rPr>
              <w:tab/>
            </w:r>
            <w:r w:rsidR="00FD58BF">
              <w:rPr>
                <w:noProof/>
                <w:webHidden/>
              </w:rPr>
              <w:fldChar w:fldCharType="begin"/>
            </w:r>
            <w:r w:rsidR="00FD58BF">
              <w:rPr>
                <w:noProof/>
                <w:webHidden/>
              </w:rPr>
              <w:instrText xml:space="preserve"> PAGEREF _Toc178837788 \h </w:instrText>
            </w:r>
            <w:r w:rsidR="00FD58BF">
              <w:rPr>
                <w:noProof/>
                <w:webHidden/>
              </w:rPr>
            </w:r>
            <w:r w:rsidR="00FD58BF">
              <w:rPr>
                <w:noProof/>
                <w:webHidden/>
              </w:rPr>
              <w:fldChar w:fldCharType="separate"/>
            </w:r>
            <w:r w:rsidR="00FD58BF">
              <w:rPr>
                <w:noProof/>
                <w:webHidden/>
              </w:rPr>
              <w:t>494</w:t>
            </w:r>
            <w:r w:rsidR="00FD58BF">
              <w:rPr>
                <w:noProof/>
                <w:webHidden/>
              </w:rPr>
              <w:fldChar w:fldCharType="end"/>
            </w:r>
          </w:hyperlink>
        </w:p>
        <w:p w14:paraId="18540F07" w14:textId="379D96C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9" w:history="1">
            <w:r w:rsidR="00FD58BF" w:rsidRPr="003004E5">
              <w:rPr>
                <w:rStyle w:val="Lienhypertexte"/>
                <w:noProof/>
              </w:rPr>
              <w:t>22.11.1c Poutres de répartition en béton armé coulé en place CCTB 01.12</w:t>
            </w:r>
            <w:r w:rsidR="00FD58BF">
              <w:rPr>
                <w:noProof/>
                <w:webHidden/>
              </w:rPr>
              <w:tab/>
            </w:r>
            <w:r w:rsidR="00FD58BF">
              <w:rPr>
                <w:noProof/>
                <w:webHidden/>
              </w:rPr>
              <w:fldChar w:fldCharType="begin"/>
            </w:r>
            <w:r w:rsidR="00FD58BF">
              <w:rPr>
                <w:noProof/>
                <w:webHidden/>
              </w:rPr>
              <w:instrText xml:space="preserve"> PAGEREF _Toc178837789 \h </w:instrText>
            </w:r>
            <w:r w:rsidR="00FD58BF">
              <w:rPr>
                <w:noProof/>
                <w:webHidden/>
              </w:rPr>
            </w:r>
            <w:r w:rsidR="00FD58BF">
              <w:rPr>
                <w:noProof/>
                <w:webHidden/>
              </w:rPr>
              <w:fldChar w:fldCharType="separate"/>
            </w:r>
            <w:r w:rsidR="00FD58BF">
              <w:rPr>
                <w:noProof/>
                <w:webHidden/>
              </w:rPr>
              <w:t>497</w:t>
            </w:r>
            <w:r w:rsidR="00FD58BF">
              <w:rPr>
                <w:noProof/>
                <w:webHidden/>
              </w:rPr>
              <w:fldChar w:fldCharType="end"/>
            </w:r>
          </w:hyperlink>
        </w:p>
        <w:p w14:paraId="6BD14AEB" w14:textId="544F57E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90" w:history="1">
            <w:r w:rsidR="00FD58BF" w:rsidRPr="003004E5">
              <w:rPr>
                <w:rStyle w:val="Lienhypertexte"/>
                <w:noProof/>
              </w:rPr>
              <w:t>22.11.2 Poutres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_Toc178837790 \h </w:instrText>
            </w:r>
            <w:r w:rsidR="00FD58BF">
              <w:rPr>
                <w:noProof/>
                <w:webHidden/>
              </w:rPr>
            </w:r>
            <w:r w:rsidR="00FD58BF">
              <w:rPr>
                <w:noProof/>
                <w:webHidden/>
              </w:rPr>
              <w:fldChar w:fldCharType="separate"/>
            </w:r>
            <w:r w:rsidR="00FD58BF">
              <w:rPr>
                <w:noProof/>
                <w:webHidden/>
              </w:rPr>
              <w:t>500</w:t>
            </w:r>
            <w:r w:rsidR="00FD58BF">
              <w:rPr>
                <w:noProof/>
                <w:webHidden/>
              </w:rPr>
              <w:fldChar w:fldCharType="end"/>
            </w:r>
          </w:hyperlink>
        </w:p>
        <w:p w14:paraId="57340F3B" w14:textId="10294A3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1" w:history="1">
            <w:r w:rsidR="00FD58BF" w:rsidRPr="003004E5">
              <w:rPr>
                <w:rStyle w:val="Lienhypertexte"/>
                <w:noProof/>
              </w:rPr>
              <w:t>22.11.2a Poutres en béton apparent (esthétique) coulé en place CCTB 01.11</w:t>
            </w:r>
            <w:r w:rsidR="00FD58BF">
              <w:rPr>
                <w:noProof/>
                <w:webHidden/>
              </w:rPr>
              <w:tab/>
            </w:r>
            <w:r w:rsidR="00FD58BF">
              <w:rPr>
                <w:noProof/>
                <w:webHidden/>
              </w:rPr>
              <w:fldChar w:fldCharType="begin"/>
            </w:r>
            <w:r w:rsidR="00FD58BF">
              <w:rPr>
                <w:noProof/>
                <w:webHidden/>
              </w:rPr>
              <w:instrText xml:space="preserve"> PAGEREF _Toc178837791 \h </w:instrText>
            </w:r>
            <w:r w:rsidR="00FD58BF">
              <w:rPr>
                <w:noProof/>
                <w:webHidden/>
              </w:rPr>
            </w:r>
            <w:r w:rsidR="00FD58BF">
              <w:rPr>
                <w:noProof/>
                <w:webHidden/>
              </w:rPr>
              <w:fldChar w:fldCharType="separate"/>
            </w:r>
            <w:r w:rsidR="00FD58BF">
              <w:rPr>
                <w:noProof/>
                <w:webHidden/>
              </w:rPr>
              <w:t>500</w:t>
            </w:r>
            <w:r w:rsidR="00FD58BF">
              <w:rPr>
                <w:noProof/>
                <w:webHidden/>
              </w:rPr>
              <w:fldChar w:fldCharType="end"/>
            </w:r>
          </w:hyperlink>
        </w:p>
        <w:p w14:paraId="03394000" w14:textId="7091811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92" w:history="1">
            <w:r w:rsidR="00FD58BF" w:rsidRPr="003004E5">
              <w:rPr>
                <w:rStyle w:val="Lienhypertexte"/>
                <w:noProof/>
              </w:rPr>
              <w:t>22.11.3 Poutres préfabriquées en béton CCTB 01.04</w:t>
            </w:r>
            <w:r w:rsidR="00FD58BF">
              <w:rPr>
                <w:noProof/>
                <w:webHidden/>
              </w:rPr>
              <w:tab/>
            </w:r>
            <w:r w:rsidR="00FD58BF">
              <w:rPr>
                <w:noProof/>
                <w:webHidden/>
              </w:rPr>
              <w:fldChar w:fldCharType="begin"/>
            </w:r>
            <w:r w:rsidR="00FD58BF">
              <w:rPr>
                <w:noProof/>
                <w:webHidden/>
              </w:rPr>
              <w:instrText xml:space="preserve"> PAGEREF _Toc178837792 \h </w:instrText>
            </w:r>
            <w:r w:rsidR="00FD58BF">
              <w:rPr>
                <w:noProof/>
                <w:webHidden/>
              </w:rPr>
            </w:r>
            <w:r w:rsidR="00FD58BF">
              <w:rPr>
                <w:noProof/>
                <w:webHidden/>
              </w:rPr>
              <w:fldChar w:fldCharType="separate"/>
            </w:r>
            <w:r w:rsidR="00FD58BF">
              <w:rPr>
                <w:noProof/>
                <w:webHidden/>
              </w:rPr>
              <w:t>504</w:t>
            </w:r>
            <w:r w:rsidR="00FD58BF">
              <w:rPr>
                <w:noProof/>
                <w:webHidden/>
              </w:rPr>
              <w:fldChar w:fldCharType="end"/>
            </w:r>
          </w:hyperlink>
        </w:p>
        <w:p w14:paraId="4658F340" w14:textId="11335F8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3" w:history="1">
            <w:r w:rsidR="00FD58BF" w:rsidRPr="003004E5">
              <w:rPr>
                <w:rStyle w:val="Lienhypertexte"/>
                <w:noProof/>
              </w:rPr>
              <w:t>22.11.3a Poutres préfabriquées en béton armé CCTB 01.11</w:t>
            </w:r>
            <w:r w:rsidR="00FD58BF">
              <w:rPr>
                <w:noProof/>
                <w:webHidden/>
              </w:rPr>
              <w:tab/>
            </w:r>
            <w:r w:rsidR="00FD58BF">
              <w:rPr>
                <w:noProof/>
                <w:webHidden/>
              </w:rPr>
              <w:fldChar w:fldCharType="begin"/>
            </w:r>
            <w:r w:rsidR="00FD58BF">
              <w:rPr>
                <w:noProof/>
                <w:webHidden/>
              </w:rPr>
              <w:instrText xml:space="preserve"> PAGEREF _Toc178837793 \h </w:instrText>
            </w:r>
            <w:r w:rsidR="00FD58BF">
              <w:rPr>
                <w:noProof/>
                <w:webHidden/>
              </w:rPr>
            </w:r>
            <w:r w:rsidR="00FD58BF">
              <w:rPr>
                <w:noProof/>
                <w:webHidden/>
              </w:rPr>
              <w:fldChar w:fldCharType="separate"/>
            </w:r>
            <w:r w:rsidR="00FD58BF">
              <w:rPr>
                <w:noProof/>
                <w:webHidden/>
              </w:rPr>
              <w:t>504</w:t>
            </w:r>
            <w:r w:rsidR="00FD58BF">
              <w:rPr>
                <w:noProof/>
                <w:webHidden/>
              </w:rPr>
              <w:fldChar w:fldCharType="end"/>
            </w:r>
          </w:hyperlink>
        </w:p>
        <w:p w14:paraId="5D78C162" w14:textId="428EE0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4" w:history="1">
            <w:r w:rsidR="00FD58BF" w:rsidRPr="003004E5">
              <w:rPr>
                <w:rStyle w:val="Lienhypertexte"/>
                <w:noProof/>
              </w:rPr>
              <w:t>22.11.3b Poutres préfabriquées en treillis en béton armé CCTB 01.02</w:t>
            </w:r>
            <w:r w:rsidR="00FD58BF">
              <w:rPr>
                <w:noProof/>
                <w:webHidden/>
              </w:rPr>
              <w:tab/>
            </w:r>
            <w:r w:rsidR="00FD58BF">
              <w:rPr>
                <w:noProof/>
                <w:webHidden/>
              </w:rPr>
              <w:fldChar w:fldCharType="begin"/>
            </w:r>
            <w:r w:rsidR="00FD58BF">
              <w:rPr>
                <w:noProof/>
                <w:webHidden/>
              </w:rPr>
              <w:instrText xml:space="preserve"> PAGEREF _Toc178837794 \h </w:instrText>
            </w:r>
            <w:r w:rsidR="00FD58BF">
              <w:rPr>
                <w:noProof/>
                <w:webHidden/>
              </w:rPr>
            </w:r>
            <w:r w:rsidR="00FD58BF">
              <w:rPr>
                <w:noProof/>
                <w:webHidden/>
              </w:rPr>
              <w:fldChar w:fldCharType="separate"/>
            </w:r>
            <w:r w:rsidR="00FD58BF">
              <w:rPr>
                <w:noProof/>
                <w:webHidden/>
              </w:rPr>
              <w:t>506</w:t>
            </w:r>
            <w:r w:rsidR="00FD58BF">
              <w:rPr>
                <w:noProof/>
                <w:webHidden/>
              </w:rPr>
              <w:fldChar w:fldCharType="end"/>
            </w:r>
          </w:hyperlink>
        </w:p>
        <w:p w14:paraId="7C9FA2FE" w14:textId="13FEE25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5" w:history="1">
            <w:r w:rsidR="00FD58BF" w:rsidRPr="003004E5">
              <w:rPr>
                <w:rStyle w:val="Lienhypertexte"/>
                <w:noProof/>
              </w:rPr>
              <w:t>22.11.3c Poutres préfabriquées en béton précontraint CCTB 01.11</w:t>
            </w:r>
            <w:r w:rsidR="00FD58BF">
              <w:rPr>
                <w:noProof/>
                <w:webHidden/>
              </w:rPr>
              <w:tab/>
            </w:r>
            <w:r w:rsidR="00FD58BF">
              <w:rPr>
                <w:noProof/>
                <w:webHidden/>
              </w:rPr>
              <w:fldChar w:fldCharType="begin"/>
            </w:r>
            <w:r w:rsidR="00FD58BF">
              <w:rPr>
                <w:noProof/>
                <w:webHidden/>
              </w:rPr>
              <w:instrText xml:space="preserve"> PAGEREF _Toc178837795 \h </w:instrText>
            </w:r>
            <w:r w:rsidR="00FD58BF">
              <w:rPr>
                <w:noProof/>
                <w:webHidden/>
              </w:rPr>
            </w:r>
            <w:r w:rsidR="00FD58BF">
              <w:rPr>
                <w:noProof/>
                <w:webHidden/>
              </w:rPr>
              <w:fldChar w:fldCharType="separate"/>
            </w:r>
            <w:r w:rsidR="00FD58BF">
              <w:rPr>
                <w:noProof/>
                <w:webHidden/>
              </w:rPr>
              <w:t>506</w:t>
            </w:r>
            <w:r w:rsidR="00FD58BF">
              <w:rPr>
                <w:noProof/>
                <w:webHidden/>
              </w:rPr>
              <w:fldChar w:fldCharType="end"/>
            </w:r>
          </w:hyperlink>
        </w:p>
        <w:p w14:paraId="133CD4AD" w14:textId="75AEF4B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6" w:history="1">
            <w:r w:rsidR="00FD58BF" w:rsidRPr="003004E5">
              <w:rPr>
                <w:rStyle w:val="Lienhypertexte"/>
                <w:noProof/>
              </w:rPr>
              <w:t>22.11.3d Poutres préfabriquées en béton cellulaire CCTB 01.11</w:t>
            </w:r>
            <w:r w:rsidR="00FD58BF">
              <w:rPr>
                <w:noProof/>
                <w:webHidden/>
              </w:rPr>
              <w:tab/>
            </w:r>
            <w:r w:rsidR="00FD58BF">
              <w:rPr>
                <w:noProof/>
                <w:webHidden/>
              </w:rPr>
              <w:fldChar w:fldCharType="begin"/>
            </w:r>
            <w:r w:rsidR="00FD58BF">
              <w:rPr>
                <w:noProof/>
                <w:webHidden/>
              </w:rPr>
              <w:instrText xml:space="preserve"> PAGEREF _Toc178837796 \h </w:instrText>
            </w:r>
            <w:r w:rsidR="00FD58BF">
              <w:rPr>
                <w:noProof/>
                <w:webHidden/>
              </w:rPr>
            </w:r>
            <w:r w:rsidR="00FD58BF">
              <w:rPr>
                <w:noProof/>
                <w:webHidden/>
              </w:rPr>
              <w:fldChar w:fldCharType="separate"/>
            </w:r>
            <w:r w:rsidR="00FD58BF">
              <w:rPr>
                <w:noProof/>
                <w:webHidden/>
              </w:rPr>
              <w:t>508</w:t>
            </w:r>
            <w:r w:rsidR="00FD58BF">
              <w:rPr>
                <w:noProof/>
                <w:webHidden/>
              </w:rPr>
              <w:fldChar w:fldCharType="end"/>
            </w:r>
          </w:hyperlink>
        </w:p>
        <w:p w14:paraId="1FB7A1A1" w14:textId="06F7C89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97" w:history="1">
            <w:r w:rsidR="00FD58BF" w:rsidRPr="003004E5">
              <w:rPr>
                <w:rStyle w:val="Lienhypertexte"/>
                <w:noProof/>
              </w:rPr>
              <w:t>22.11.4 Poutres préfabriquées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_Toc178837797 \h </w:instrText>
            </w:r>
            <w:r w:rsidR="00FD58BF">
              <w:rPr>
                <w:noProof/>
                <w:webHidden/>
              </w:rPr>
            </w:r>
            <w:r w:rsidR="00FD58BF">
              <w:rPr>
                <w:noProof/>
                <w:webHidden/>
              </w:rPr>
              <w:fldChar w:fldCharType="separate"/>
            </w:r>
            <w:r w:rsidR="00FD58BF">
              <w:rPr>
                <w:noProof/>
                <w:webHidden/>
              </w:rPr>
              <w:t>509</w:t>
            </w:r>
            <w:r w:rsidR="00FD58BF">
              <w:rPr>
                <w:noProof/>
                <w:webHidden/>
              </w:rPr>
              <w:fldChar w:fldCharType="end"/>
            </w:r>
          </w:hyperlink>
        </w:p>
        <w:p w14:paraId="62C05A7A" w14:textId="0A2E9C0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8" w:history="1">
            <w:r w:rsidR="00FD58BF" w:rsidRPr="003004E5">
              <w:rPr>
                <w:rStyle w:val="Lienhypertexte"/>
                <w:noProof/>
              </w:rPr>
              <w:t>22.11.4a Poutres préfabriquées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_Toc178837798 \h </w:instrText>
            </w:r>
            <w:r w:rsidR="00FD58BF">
              <w:rPr>
                <w:noProof/>
                <w:webHidden/>
              </w:rPr>
            </w:r>
            <w:r w:rsidR="00FD58BF">
              <w:rPr>
                <w:noProof/>
                <w:webHidden/>
              </w:rPr>
              <w:fldChar w:fldCharType="separate"/>
            </w:r>
            <w:r w:rsidR="00FD58BF">
              <w:rPr>
                <w:noProof/>
                <w:webHidden/>
              </w:rPr>
              <w:t>509</w:t>
            </w:r>
            <w:r w:rsidR="00FD58BF">
              <w:rPr>
                <w:noProof/>
                <w:webHidden/>
              </w:rPr>
              <w:fldChar w:fldCharType="end"/>
            </w:r>
          </w:hyperlink>
        </w:p>
        <w:p w14:paraId="085BF4FB" w14:textId="76A5754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99" w:history="1">
            <w:r w:rsidR="00FD58BF" w:rsidRPr="003004E5">
              <w:rPr>
                <w:rStyle w:val="Lienhypertexte"/>
                <w:noProof/>
              </w:rPr>
              <w:t>22.11.5 Poutres mixtes acier-béton CCTB 01.12</w:t>
            </w:r>
            <w:r w:rsidR="00FD58BF">
              <w:rPr>
                <w:noProof/>
                <w:webHidden/>
              </w:rPr>
              <w:tab/>
            </w:r>
            <w:r w:rsidR="00FD58BF">
              <w:rPr>
                <w:noProof/>
                <w:webHidden/>
              </w:rPr>
              <w:fldChar w:fldCharType="begin"/>
            </w:r>
            <w:r w:rsidR="00FD58BF">
              <w:rPr>
                <w:noProof/>
                <w:webHidden/>
              </w:rPr>
              <w:instrText xml:space="preserve"> PAGEREF _Toc178837799 \h </w:instrText>
            </w:r>
            <w:r w:rsidR="00FD58BF">
              <w:rPr>
                <w:noProof/>
                <w:webHidden/>
              </w:rPr>
            </w:r>
            <w:r w:rsidR="00FD58BF">
              <w:rPr>
                <w:noProof/>
                <w:webHidden/>
              </w:rPr>
              <w:fldChar w:fldCharType="separate"/>
            </w:r>
            <w:r w:rsidR="00FD58BF">
              <w:rPr>
                <w:noProof/>
                <w:webHidden/>
              </w:rPr>
              <w:t>511</w:t>
            </w:r>
            <w:r w:rsidR="00FD58BF">
              <w:rPr>
                <w:noProof/>
                <w:webHidden/>
              </w:rPr>
              <w:fldChar w:fldCharType="end"/>
            </w:r>
          </w:hyperlink>
        </w:p>
        <w:p w14:paraId="4AD201EC" w14:textId="1B436C6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0" w:history="1">
            <w:r w:rsidR="00FD58BF" w:rsidRPr="003004E5">
              <w:rPr>
                <w:rStyle w:val="Lienhypertexte"/>
                <w:noProof/>
              </w:rPr>
              <w:t>22.11.5a Poutres mixtes acier-béton coulées en place CCTB 01.11</w:t>
            </w:r>
            <w:r w:rsidR="00FD58BF">
              <w:rPr>
                <w:noProof/>
                <w:webHidden/>
              </w:rPr>
              <w:tab/>
            </w:r>
            <w:r w:rsidR="00FD58BF">
              <w:rPr>
                <w:noProof/>
                <w:webHidden/>
              </w:rPr>
              <w:fldChar w:fldCharType="begin"/>
            </w:r>
            <w:r w:rsidR="00FD58BF">
              <w:rPr>
                <w:noProof/>
                <w:webHidden/>
              </w:rPr>
              <w:instrText xml:space="preserve"> PAGEREF _Toc178837800 \h </w:instrText>
            </w:r>
            <w:r w:rsidR="00FD58BF">
              <w:rPr>
                <w:noProof/>
                <w:webHidden/>
              </w:rPr>
            </w:r>
            <w:r w:rsidR="00FD58BF">
              <w:rPr>
                <w:noProof/>
                <w:webHidden/>
              </w:rPr>
              <w:fldChar w:fldCharType="separate"/>
            </w:r>
            <w:r w:rsidR="00FD58BF">
              <w:rPr>
                <w:noProof/>
                <w:webHidden/>
              </w:rPr>
              <w:t>512</w:t>
            </w:r>
            <w:r w:rsidR="00FD58BF">
              <w:rPr>
                <w:noProof/>
                <w:webHidden/>
              </w:rPr>
              <w:fldChar w:fldCharType="end"/>
            </w:r>
          </w:hyperlink>
        </w:p>
        <w:p w14:paraId="75A0922C" w14:textId="55B3348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1" w:history="1">
            <w:r w:rsidR="00FD58BF" w:rsidRPr="003004E5">
              <w:rPr>
                <w:rStyle w:val="Lienhypertexte"/>
                <w:noProof/>
              </w:rPr>
              <w:t>22.11.5b Poutres mixtes acier-béton apparent (esthétique) coulées en place CCTB 01.10</w:t>
            </w:r>
            <w:r w:rsidR="00FD58BF">
              <w:rPr>
                <w:noProof/>
                <w:webHidden/>
              </w:rPr>
              <w:tab/>
            </w:r>
            <w:r w:rsidR="00FD58BF">
              <w:rPr>
                <w:noProof/>
                <w:webHidden/>
              </w:rPr>
              <w:fldChar w:fldCharType="begin"/>
            </w:r>
            <w:r w:rsidR="00FD58BF">
              <w:rPr>
                <w:noProof/>
                <w:webHidden/>
              </w:rPr>
              <w:instrText xml:space="preserve"> PAGEREF _Toc178837801 \h </w:instrText>
            </w:r>
            <w:r w:rsidR="00FD58BF">
              <w:rPr>
                <w:noProof/>
                <w:webHidden/>
              </w:rPr>
            </w:r>
            <w:r w:rsidR="00FD58BF">
              <w:rPr>
                <w:noProof/>
                <w:webHidden/>
              </w:rPr>
              <w:fldChar w:fldCharType="separate"/>
            </w:r>
            <w:r w:rsidR="00FD58BF">
              <w:rPr>
                <w:noProof/>
                <w:webHidden/>
              </w:rPr>
              <w:t>514</w:t>
            </w:r>
            <w:r w:rsidR="00FD58BF">
              <w:rPr>
                <w:noProof/>
                <w:webHidden/>
              </w:rPr>
              <w:fldChar w:fldCharType="end"/>
            </w:r>
          </w:hyperlink>
        </w:p>
        <w:p w14:paraId="2C14A137" w14:textId="49058B8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2" w:history="1">
            <w:r w:rsidR="00FD58BF" w:rsidRPr="003004E5">
              <w:rPr>
                <w:rStyle w:val="Lienhypertexte"/>
                <w:noProof/>
              </w:rPr>
              <w:t>22.11.5c Poutres préfabriquées mixtes acier-béton armé CCTB 01.12</w:t>
            </w:r>
            <w:r w:rsidR="00FD58BF">
              <w:rPr>
                <w:noProof/>
                <w:webHidden/>
              </w:rPr>
              <w:tab/>
            </w:r>
            <w:r w:rsidR="00FD58BF">
              <w:rPr>
                <w:noProof/>
                <w:webHidden/>
              </w:rPr>
              <w:fldChar w:fldCharType="begin"/>
            </w:r>
            <w:r w:rsidR="00FD58BF">
              <w:rPr>
                <w:noProof/>
                <w:webHidden/>
              </w:rPr>
              <w:instrText xml:space="preserve"> PAGEREF _Toc178837802 \h </w:instrText>
            </w:r>
            <w:r w:rsidR="00FD58BF">
              <w:rPr>
                <w:noProof/>
                <w:webHidden/>
              </w:rPr>
            </w:r>
            <w:r w:rsidR="00FD58BF">
              <w:rPr>
                <w:noProof/>
                <w:webHidden/>
              </w:rPr>
              <w:fldChar w:fldCharType="separate"/>
            </w:r>
            <w:r w:rsidR="00FD58BF">
              <w:rPr>
                <w:noProof/>
                <w:webHidden/>
              </w:rPr>
              <w:t>514</w:t>
            </w:r>
            <w:r w:rsidR="00FD58BF">
              <w:rPr>
                <w:noProof/>
                <w:webHidden/>
              </w:rPr>
              <w:fldChar w:fldCharType="end"/>
            </w:r>
          </w:hyperlink>
        </w:p>
        <w:p w14:paraId="2E797EF1" w14:textId="22C0063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3" w:history="1">
            <w:r w:rsidR="00FD58BF" w:rsidRPr="003004E5">
              <w:rPr>
                <w:rStyle w:val="Lienhypertexte"/>
                <w:noProof/>
              </w:rPr>
              <w:t>22.11.5d Poutres préfabriquées mixtes acier-béton armé décoratif / architectonique CCTB 01.10</w:t>
            </w:r>
            <w:r w:rsidR="00FD58BF">
              <w:rPr>
                <w:noProof/>
                <w:webHidden/>
              </w:rPr>
              <w:tab/>
            </w:r>
            <w:r w:rsidR="00FD58BF">
              <w:rPr>
                <w:noProof/>
                <w:webHidden/>
              </w:rPr>
              <w:fldChar w:fldCharType="begin"/>
            </w:r>
            <w:r w:rsidR="00FD58BF">
              <w:rPr>
                <w:noProof/>
                <w:webHidden/>
              </w:rPr>
              <w:instrText xml:space="preserve"> PAGEREF _Toc178837803 \h </w:instrText>
            </w:r>
            <w:r w:rsidR="00FD58BF">
              <w:rPr>
                <w:noProof/>
                <w:webHidden/>
              </w:rPr>
            </w:r>
            <w:r w:rsidR="00FD58BF">
              <w:rPr>
                <w:noProof/>
                <w:webHidden/>
              </w:rPr>
              <w:fldChar w:fldCharType="separate"/>
            </w:r>
            <w:r w:rsidR="00FD58BF">
              <w:rPr>
                <w:noProof/>
                <w:webHidden/>
              </w:rPr>
              <w:t>516</w:t>
            </w:r>
            <w:r w:rsidR="00FD58BF">
              <w:rPr>
                <w:noProof/>
                <w:webHidden/>
              </w:rPr>
              <w:fldChar w:fldCharType="end"/>
            </w:r>
          </w:hyperlink>
        </w:p>
        <w:p w14:paraId="0607B3BA" w14:textId="1E017B5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4" w:history="1">
            <w:r w:rsidR="00FD58BF" w:rsidRPr="003004E5">
              <w:rPr>
                <w:rStyle w:val="Lienhypertexte"/>
                <w:noProof/>
              </w:rPr>
              <w:t>22.11.5e Poutres préfabriquées mixtes acier-béton précontraint CCTB 01.04</w:t>
            </w:r>
            <w:r w:rsidR="00FD58BF">
              <w:rPr>
                <w:noProof/>
                <w:webHidden/>
              </w:rPr>
              <w:tab/>
            </w:r>
            <w:r w:rsidR="00FD58BF">
              <w:rPr>
                <w:noProof/>
                <w:webHidden/>
              </w:rPr>
              <w:fldChar w:fldCharType="begin"/>
            </w:r>
            <w:r w:rsidR="00FD58BF">
              <w:rPr>
                <w:noProof/>
                <w:webHidden/>
              </w:rPr>
              <w:instrText xml:space="preserve"> PAGEREF _Toc178837804 \h </w:instrText>
            </w:r>
            <w:r w:rsidR="00FD58BF">
              <w:rPr>
                <w:noProof/>
                <w:webHidden/>
              </w:rPr>
            </w:r>
            <w:r w:rsidR="00FD58BF">
              <w:rPr>
                <w:noProof/>
                <w:webHidden/>
              </w:rPr>
              <w:fldChar w:fldCharType="separate"/>
            </w:r>
            <w:r w:rsidR="00FD58BF">
              <w:rPr>
                <w:noProof/>
                <w:webHidden/>
              </w:rPr>
              <w:t>516</w:t>
            </w:r>
            <w:r w:rsidR="00FD58BF">
              <w:rPr>
                <w:noProof/>
                <w:webHidden/>
              </w:rPr>
              <w:fldChar w:fldCharType="end"/>
            </w:r>
          </w:hyperlink>
        </w:p>
        <w:p w14:paraId="7086A7AE" w14:textId="66090A1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05" w:history="1">
            <w:r w:rsidR="00FD58BF" w:rsidRPr="003004E5">
              <w:rPr>
                <w:rStyle w:val="Lienhypertexte"/>
                <w:noProof/>
              </w:rPr>
              <w:t>22.12 Eléments de charpente de toiture en béton CCTB 01.02</w:t>
            </w:r>
            <w:r w:rsidR="00FD58BF">
              <w:rPr>
                <w:noProof/>
                <w:webHidden/>
              </w:rPr>
              <w:tab/>
            </w:r>
            <w:r w:rsidR="00FD58BF">
              <w:rPr>
                <w:noProof/>
                <w:webHidden/>
              </w:rPr>
              <w:fldChar w:fldCharType="begin"/>
            </w:r>
            <w:r w:rsidR="00FD58BF">
              <w:rPr>
                <w:noProof/>
                <w:webHidden/>
              </w:rPr>
              <w:instrText xml:space="preserve"> PAGEREF _Toc178837805 \h </w:instrText>
            </w:r>
            <w:r w:rsidR="00FD58BF">
              <w:rPr>
                <w:noProof/>
                <w:webHidden/>
              </w:rPr>
            </w:r>
            <w:r w:rsidR="00FD58BF">
              <w:rPr>
                <w:noProof/>
                <w:webHidden/>
              </w:rPr>
              <w:fldChar w:fldCharType="separate"/>
            </w:r>
            <w:r w:rsidR="00FD58BF">
              <w:rPr>
                <w:noProof/>
                <w:webHidden/>
              </w:rPr>
              <w:t>516</w:t>
            </w:r>
            <w:r w:rsidR="00FD58BF">
              <w:rPr>
                <w:noProof/>
                <w:webHidden/>
              </w:rPr>
              <w:fldChar w:fldCharType="end"/>
            </w:r>
          </w:hyperlink>
        </w:p>
        <w:p w14:paraId="78DBB87E" w14:textId="5CDCCDD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06" w:history="1">
            <w:r w:rsidR="00FD58BF" w:rsidRPr="003004E5">
              <w:rPr>
                <w:rStyle w:val="Lienhypertexte"/>
                <w:noProof/>
              </w:rPr>
              <w:t>22.12.1 Eléments de charpente de toiture en béton coulé en place CCTB 01.04</w:t>
            </w:r>
            <w:r w:rsidR="00FD58BF">
              <w:rPr>
                <w:noProof/>
                <w:webHidden/>
              </w:rPr>
              <w:tab/>
            </w:r>
            <w:r w:rsidR="00FD58BF">
              <w:rPr>
                <w:noProof/>
                <w:webHidden/>
              </w:rPr>
              <w:fldChar w:fldCharType="begin"/>
            </w:r>
            <w:r w:rsidR="00FD58BF">
              <w:rPr>
                <w:noProof/>
                <w:webHidden/>
              </w:rPr>
              <w:instrText xml:space="preserve"> PAGEREF _Toc178837806 \h </w:instrText>
            </w:r>
            <w:r w:rsidR="00FD58BF">
              <w:rPr>
                <w:noProof/>
                <w:webHidden/>
              </w:rPr>
            </w:r>
            <w:r w:rsidR="00FD58BF">
              <w:rPr>
                <w:noProof/>
                <w:webHidden/>
              </w:rPr>
              <w:fldChar w:fldCharType="separate"/>
            </w:r>
            <w:r w:rsidR="00FD58BF">
              <w:rPr>
                <w:noProof/>
                <w:webHidden/>
              </w:rPr>
              <w:t>516</w:t>
            </w:r>
            <w:r w:rsidR="00FD58BF">
              <w:rPr>
                <w:noProof/>
                <w:webHidden/>
              </w:rPr>
              <w:fldChar w:fldCharType="end"/>
            </w:r>
          </w:hyperlink>
        </w:p>
        <w:p w14:paraId="2041A466" w14:textId="2504A2E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7" w:history="1">
            <w:r w:rsidR="00FD58BF" w:rsidRPr="003004E5">
              <w:rPr>
                <w:rStyle w:val="Lienhypertexte"/>
                <w:noProof/>
              </w:rPr>
              <w:t>22.12.1a Pannes en béton coulé en place CCTB 01.11</w:t>
            </w:r>
            <w:r w:rsidR="00FD58BF">
              <w:rPr>
                <w:noProof/>
                <w:webHidden/>
              </w:rPr>
              <w:tab/>
            </w:r>
            <w:r w:rsidR="00FD58BF">
              <w:rPr>
                <w:noProof/>
                <w:webHidden/>
              </w:rPr>
              <w:fldChar w:fldCharType="begin"/>
            </w:r>
            <w:r w:rsidR="00FD58BF">
              <w:rPr>
                <w:noProof/>
                <w:webHidden/>
              </w:rPr>
              <w:instrText xml:space="preserve"> PAGEREF _Toc178837807 \h </w:instrText>
            </w:r>
            <w:r w:rsidR="00FD58BF">
              <w:rPr>
                <w:noProof/>
                <w:webHidden/>
              </w:rPr>
            </w:r>
            <w:r w:rsidR="00FD58BF">
              <w:rPr>
                <w:noProof/>
                <w:webHidden/>
              </w:rPr>
              <w:fldChar w:fldCharType="separate"/>
            </w:r>
            <w:r w:rsidR="00FD58BF">
              <w:rPr>
                <w:noProof/>
                <w:webHidden/>
              </w:rPr>
              <w:t>516</w:t>
            </w:r>
            <w:r w:rsidR="00FD58BF">
              <w:rPr>
                <w:noProof/>
                <w:webHidden/>
              </w:rPr>
              <w:fldChar w:fldCharType="end"/>
            </w:r>
          </w:hyperlink>
        </w:p>
        <w:p w14:paraId="114CA2D1" w14:textId="6C00765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8" w:history="1">
            <w:r w:rsidR="00FD58BF" w:rsidRPr="003004E5">
              <w:rPr>
                <w:rStyle w:val="Lienhypertexte"/>
                <w:noProof/>
              </w:rPr>
              <w:t>22.12.1b Chevrons autoporteurs en béton coulé en place CCTB 01.04</w:t>
            </w:r>
            <w:r w:rsidR="00FD58BF">
              <w:rPr>
                <w:noProof/>
                <w:webHidden/>
              </w:rPr>
              <w:tab/>
            </w:r>
            <w:r w:rsidR="00FD58BF">
              <w:rPr>
                <w:noProof/>
                <w:webHidden/>
              </w:rPr>
              <w:fldChar w:fldCharType="begin"/>
            </w:r>
            <w:r w:rsidR="00FD58BF">
              <w:rPr>
                <w:noProof/>
                <w:webHidden/>
              </w:rPr>
              <w:instrText xml:space="preserve"> PAGEREF _Toc178837808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440EE386" w14:textId="6B7D0B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9" w:history="1">
            <w:r w:rsidR="00FD58BF" w:rsidRPr="003004E5">
              <w:rPr>
                <w:rStyle w:val="Lienhypertexte"/>
                <w:noProof/>
              </w:rPr>
              <w:t>22.12.1c Faîtières en béton coulé en place CCTB 01.04</w:t>
            </w:r>
            <w:r w:rsidR="00FD58BF">
              <w:rPr>
                <w:noProof/>
                <w:webHidden/>
              </w:rPr>
              <w:tab/>
            </w:r>
            <w:r w:rsidR="00FD58BF">
              <w:rPr>
                <w:noProof/>
                <w:webHidden/>
              </w:rPr>
              <w:fldChar w:fldCharType="begin"/>
            </w:r>
            <w:r w:rsidR="00FD58BF">
              <w:rPr>
                <w:noProof/>
                <w:webHidden/>
              </w:rPr>
              <w:instrText xml:space="preserve"> PAGEREF _Toc178837809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0A3B5CFB" w14:textId="1C78BA1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0" w:history="1">
            <w:r w:rsidR="00FD58BF" w:rsidRPr="003004E5">
              <w:rPr>
                <w:rStyle w:val="Lienhypertexte"/>
                <w:noProof/>
              </w:rPr>
              <w:t>22.12.1d Sablières en béton coulé en place CCTB 01.04</w:t>
            </w:r>
            <w:r w:rsidR="00FD58BF">
              <w:rPr>
                <w:noProof/>
                <w:webHidden/>
              </w:rPr>
              <w:tab/>
            </w:r>
            <w:r w:rsidR="00FD58BF">
              <w:rPr>
                <w:noProof/>
                <w:webHidden/>
              </w:rPr>
              <w:fldChar w:fldCharType="begin"/>
            </w:r>
            <w:r w:rsidR="00FD58BF">
              <w:rPr>
                <w:noProof/>
                <w:webHidden/>
              </w:rPr>
              <w:instrText xml:space="preserve"> PAGEREF _Toc178837810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226ABFBC" w14:textId="3E214D1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11" w:history="1">
            <w:r w:rsidR="00FD58BF" w:rsidRPr="003004E5">
              <w:rPr>
                <w:rStyle w:val="Lienhypertexte"/>
                <w:noProof/>
              </w:rPr>
              <w:t>22.12.2 Eléments de charpente de toiture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_Toc178837811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744A4BC3" w14:textId="201FAA0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2" w:history="1">
            <w:r w:rsidR="00FD58BF" w:rsidRPr="003004E5">
              <w:rPr>
                <w:rStyle w:val="Lienhypertexte"/>
                <w:noProof/>
              </w:rPr>
              <w:t>22.12.2a Pannes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_Toc178837812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61496815" w14:textId="5A0D91F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3" w:history="1">
            <w:r w:rsidR="00FD58BF" w:rsidRPr="003004E5">
              <w:rPr>
                <w:rStyle w:val="Lienhypertexte"/>
                <w:noProof/>
              </w:rPr>
              <w:t>22.12.2b Chevrons autoporteurs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_Toc178837813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582ACB5D" w14:textId="75C8AC7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4" w:history="1">
            <w:r w:rsidR="00FD58BF" w:rsidRPr="003004E5">
              <w:rPr>
                <w:rStyle w:val="Lienhypertexte"/>
                <w:noProof/>
              </w:rPr>
              <w:t>22.12.2c Faîtières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_Toc178837814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7CC8918A" w14:textId="6742907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5" w:history="1">
            <w:r w:rsidR="00FD58BF" w:rsidRPr="003004E5">
              <w:rPr>
                <w:rStyle w:val="Lienhypertexte"/>
                <w:noProof/>
              </w:rPr>
              <w:t>22.12.2d Sablières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_Toc178837815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35844468" w14:textId="7233399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16" w:history="1">
            <w:r w:rsidR="00FD58BF" w:rsidRPr="003004E5">
              <w:rPr>
                <w:rStyle w:val="Lienhypertexte"/>
                <w:noProof/>
              </w:rPr>
              <w:t>22.12.3 Eléments de charpente de toiture préfabriqués en béton CCTB 01.04</w:t>
            </w:r>
            <w:r w:rsidR="00FD58BF">
              <w:rPr>
                <w:noProof/>
                <w:webHidden/>
              </w:rPr>
              <w:tab/>
            </w:r>
            <w:r w:rsidR="00FD58BF">
              <w:rPr>
                <w:noProof/>
                <w:webHidden/>
              </w:rPr>
              <w:fldChar w:fldCharType="begin"/>
            </w:r>
            <w:r w:rsidR="00FD58BF">
              <w:rPr>
                <w:noProof/>
                <w:webHidden/>
              </w:rPr>
              <w:instrText xml:space="preserve"> PAGEREF _Toc178837816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2E412B90" w14:textId="4CFDF7A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7" w:history="1">
            <w:r w:rsidR="00FD58BF" w:rsidRPr="003004E5">
              <w:rPr>
                <w:rStyle w:val="Lienhypertexte"/>
                <w:noProof/>
              </w:rPr>
              <w:t>22.12.3a Pannes préfabriquées en béton armé CCTB 01.04</w:t>
            </w:r>
            <w:r w:rsidR="00FD58BF">
              <w:rPr>
                <w:noProof/>
                <w:webHidden/>
              </w:rPr>
              <w:tab/>
            </w:r>
            <w:r w:rsidR="00FD58BF">
              <w:rPr>
                <w:noProof/>
                <w:webHidden/>
              </w:rPr>
              <w:fldChar w:fldCharType="begin"/>
            </w:r>
            <w:r w:rsidR="00FD58BF">
              <w:rPr>
                <w:noProof/>
                <w:webHidden/>
              </w:rPr>
              <w:instrText xml:space="preserve"> PAGEREF _Toc178837817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15310EBA" w14:textId="554CF24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8" w:history="1">
            <w:r w:rsidR="00FD58BF" w:rsidRPr="003004E5">
              <w:rPr>
                <w:rStyle w:val="Lienhypertexte"/>
                <w:noProof/>
              </w:rPr>
              <w:t>22.12.3b Pannes préfabriquées en béton précontraint CCTB 01.04</w:t>
            </w:r>
            <w:r w:rsidR="00FD58BF">
              <w:rPr>
                <w:noProof/>
                <w:webHidden/>
              </w:rPr>
              <w:tab/>
            </w:r>
            <w:r w:rsidR="00FD58BF">
              <w:rPr>
                <w:noProof/>
                <w:webHidden/>
              </w:rPr>
              <w:fldChar w:fldCharType="begin"/>
            </w:r>
            <w:r w:rsidR="00FD58BF">
              <w:rPr>
                <w:noProof/>
                <w:webHidden/>
              </w:rPr>
              <w:instrText xml:space="preserve"> PAGEREF _Toc178837818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160EC020" w14:textId="79145C5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9" w:history="1">
            <w:r w:rsidR="00FD58BF" w:rsidRPr="003004E5">
              <w:rPr>
                <w:rStyle w:val="Lienhypertexte"/>
                <w:noProof/>
              </w:rPr>
              <w:t>22.12.3c Pannes préfabriquées en béton cellulaire CCTB 01.04</w:t>
            </w:r>
            <w:r w:rsidR="00FD58BF">
              <w:rPr>
                <w:noProof/>
                <w:webHidden/>
              </w:rPr>
              <w:tab/>
            </w:r>
            <w:r w:rsidR="00FD58BF">
              <w:rPr>
                <w:noProof/>
                <w:webHidden/>
              </w:rPr>
              <w:fldChar w:fldCharType="begin"/>
            </w:r>
            <w:r w:rsidR="00FD58BF">
              <w:rPr>
                <w:noProof/>
                <w:webHidden/>
              </w:rPr>
              <w:instrText xml:space="preserve"> PAGEREF _Toc178837819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4EED5B33" w14:textId="41AC86C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0" w:history="1">
            <w:r w:rsidR="00FD58BF" w:rsidRPr="003004E5">
              <w:rPr>
                <w:rStyle w:val="Lienhypertexte"/>
                <w:noProof/>
              </w:rPr>
              <w:t>22.12.3d Chevrons autoporteurs préfabriqués en béton armé CCTB 01.04</w:t>
            </w:r>
            <w:r w:rsidR="00FD58BF">
              <w:rPr>
                <w:noProof/>
                <w:webHidden/>
              </w:rPr>
              <w:tab/>
            </w:r>
            <w:r w:rsidR="00FD58BF">
              <w:rPr>
                <w:noProof/>
                <w:webHidden/>
              </w:rPr>
              <w:fldChar w:fldCharType="begin"/>
            </w:r>
            <w:r w:rsidR="00FD58BF">
              <w:rPr>
                <w:noProof/>
                <w:webHidden/>
              </w:rPr>
              <w:instrText xml:space="preserve"> PAGEREF _Toc178837820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02D089A0" w14:textId="412E2BD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1" w:history="1">
            <w:r w:rsidR="00FD58BF" w:rsidRPr="003004E5">
              <w:rPr>
                <w:rStyle w:val="Lienhypertexte"/>
                <w:noProof/>
              </w:rPr>
              <w:t>22.12.3e Chevrons autoporteurs préfabriqués en béton précontraint CCTB 01.04</w:t>
            </w:r>
            <w:r w:rsidR="00FD58BF">
              <w:rPr>
                <w:noProof/>
                <w:webHidden/>
              </w:rPr>
              <w:tab/>
            </w:r>
            <w:r w:rsidR="00FD58BF">
              <w:rPr>
                <w:noProof/>
                <w:webHidden/>
              </w:rPr>
              <w:fldChar w:fldCharType="begin"/>
            </w:r>
            <w:r w:rsidR="00FD58BF">
              <w:rPr>
                <w:noProof/>
                <w:webHidden/>
              </w:rPr>
              <w:instrText xml:space="preserve"> PAGEREF _Toc178837821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153C674A" w14:textId="089620B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2" w:history="1">
            <w:r w:rsidR="00FD58BF" w:rsidRPr="003004E5">
              <w:rPr>
                <w:rStyle w:val="Lienhypertexte"/>
                <w:noProof/>
              </w:rPr>
              <w:t>22.12.3f Chevrons autoporteurs préfabriqués en béton cellulaire CCTB 01.04</w:t>
            </w:r>
            <w:r w:rsidR="00FD58BF">
              <w:rPr>
                <w:noProof/>
                <w:webHidden/>
              </w:rPr>
              <w:tab/>
            </w:r>
            <w:r w:rsidR="00FD58BF">
              <w:rPr>
                <w:noProof/>
                <w:webHidden/>
              </w:rPr>
              <w:fldChar w:fldCharType="begin"/>
            </w:r>
            <w:r w:rsidR="00FD58BF">
              <w:rPr>
                <w:noProof/>
                <w:webHidden/>
              </w:rPr>
              <w:instrText xml:space="preserve"> PAGEREF _Toc178837822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49534326" w14:textId="348432E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3" w:history="1">
            <w:r w:rsidR="00FD58BF" w:rsidRPr="003004E5">
              <w:rPr>
                <w:rStyle w:val="Lienhypertexte"/>
                <w:noProof/>
              </w:rPr>
              <w:t>22.12.3g Faîtières préfabriquées en béton armé CCTB 01.04</w:t>
            </w:r>
            <w:r w:rsidR="00FD58BF">
              <w:rPr>
                <w:noProof/>
                <w:webHidden/>
              </w:rPr>
              <w:tab/>
            </w:r>
            <w:r w:rsidR="00FD58BF">
              <w:rPr>
                <w:noProof/>
                <w:webHidden/>
              </w:rPr>
              <w:fldChar w:fldCharType="begin"/>
            </w:r>
            <w:r w:rsidR="00FD58BF">
              <w:rPr>
                <w:noProof/>
                <w:webHidden/>
              </w:rPr>
              <w:instrText xml:space="preserve"> PAGEREF _Toc178837823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1A43DB4E" w14:textId="31C11BB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4" w:history="1">
            <w:r w:rsidR="00FD58BF" w:rsidRPr="003004E5">
              <w:rPr>
                <w:rStyle w:val="Lienhypertexte"/>
                <w:noProof/>
              </w:rPr>
              <w:t>22.12.3h Faîtières préfabriquées en béton précontraint CCTB 01.04</w:t>
            </w:r>
            <w:r w:rsidR="00FD58BF">
              <w:rPr>
                <w:noProof/>
                <w:webHidden/>
              </w:rPr>
              <w:tab/>
            </w:r>
            <w:r w:rsidR="00FD58BF">
              <w:rPr>
                <w:noProof/>
                <w:webHidden/>
              </w:rPr>
              <w:fldChar w:fldCharType="begin"/>
            </w:r>
            <w:r w:rsidR="00FD58BF">
              <w:rPr>
                <w:noProof/>
                <w:webHidden/>
              </w:rPr>
              <w:instrText xml:space="preserve"> PAGEREF _Toc178837824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3840F24A" w14:textId="1BE870C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5" w:history="1">
            <w:r w:rsidR="00FD58BF" w:rsidRPr="003004E5">
              <w:rPr>
                <w:rStyle w:val="Lienhypertexte"/>
                <w:noProof/>
              </w:rPr>
              <w:t>22.12.3i Faîtières préfabriquées en béton cellulaire CCTB 01.04</w:t>
            </w:r>
            <w:r w:rsidR="00FD58BF">
              <w:rPr>
                <w:noProof/>
                <w:webHidden/>
              </w:rPr>
              <w:tab/>
            </w:r>
            <w:r w:rsidR="00FD58BF">
              <w:rPr>
                <w:noProof/>
                <w:webHidden/>
              </w:rPr>
              <w:fldChar w:fldCharType="begin"/>
            </w:r>
            <w:r w:rsidR="00FD58BF">
              <w:rPr>
                <w:noProof/>
                <w:webHidden/>
              </w:rPr>
              <w:instrText xml:space="preserve"> PAGEREF _Toc178837825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2E9BC824" w14:textId="6499A6E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6" w:history="1">
            <w:r w:rsidR="00FD58BF" w:rsidRPr="003004E5">
              <w:rPr>
                <w:rStyle w:val="Lienhypertexte"/>
                <w:noProof/>
              </w:rPr>
              <w:t>22.12.3j Sablières préfabriquées en béton armé CCTB 01.04</w:t>
            </w:r>
            <w:r w:rsidR="00FD58BF">
              <w:rPr>
                <w:noProof/>
                <w:webHidden/>
              </w:rPr>
              <w:tab/>
            </w:r>
            <w:r w:rsidR="00FD58BF">
              <w:rPr>
                <w:noProof/>
                <w:webHidden/>
              </w:rPr>
              <w:fldChar w:fldCharType="begin"/>
            </w:r>
            <w:r w:rsidR="00FD58BF">
              <w:rPr>
                <w:noProof/>
                <w:webHidden/>
              </w:rPr>
              <w:instrText xml:space="preserve"> PAGEREF _Toc178837826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2959DCF4" w14:textId="4F79FF2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7" w:history="1">
            <w:r w:rsidR="00FD58BF" w:rsidRPr="003004E5">
              <w:rPr>
                <w:rStyle w:val="Lienhypertexte"/>
                <w:noProof/>
              </w:rPr>
              <w:t>22.12.3k Sablières préfabriquées en béton précontraint CCTB 01.04</w:t>
            </w:r>
            <w:r w:rsidR="00FD58BF">
              <w:rPr>
                <w:noProof/>
                <w:webHidden/>
              </w:rPr>
              <w:tab/>
            </w:r>
            <w:r w:rsidR="00FD58BF">
              <w:rPr>
                <w:noProof/>
                <w:webHidden/>
              </w:rPr>
              <w:fldChar w:fldCharType="begin"/>
            </w:r>
            <w:r w:rsidR="00FD58BF">
              <w:rPr>
                <w:noProof/>
                <w:webHidden/>
              </w:rPr>
              <w:instrText xml:space="preserve"> PAGEREF _Toc178837827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777E483D" w14:textId="67811EC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8" w:history="1">
            <w:r w:rsidR="00FD58BF" w:rsidRPr="003004E5">
              <w:rPr>
                <w:rStyle w:val="Lienhypertexte"/>
                <w:noProof/>
              </w:rPr>
              <w:t>22.12.3l Sablières préfabriquées en béton cellulaire CCTB 01.04</w:t>
            </w:r>
            <w:r w:rsidR="00FD58BF">
              <w:rPr>
                <w:noProof/>
                <w:webHidden/>
              </w:rPr>
              <w:tab/>
            </w:r>
            <w:r w:rsidR="00FD58BF">
              <w:rPr>
                <w:noProof/>
                <w:webHidden/>
              </w:rPr>
              <w:fldChar w:fldCharType="begin"/>
            </w:r>
            <w:r w:rsidR="00FD58BF">
              <w:rPr>
                <w:noProof/>
                <w:webHidden/>
              </w:rPr>
              <w:instrText xml:space="preserve"> PAGEREF _Toc178837828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42A656ED" w14:textId="4712FD0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29" w:history="1">
            <w:r w:rsidR="00FD58BF" w:rsidRPr="003004E5">
              <w:rPr>
                <w:rStyle w:val="Lienhypertexte"/>
                <w:noProof/>
              </w:rPr>
              <w:t>22.12.4 Eléments de charpente de toiture préfabriqués en béton architectonique CCTB 01.04</w:t>
            </w:r>
            <w:r w:rsidR="00FD58BF">
              <w:rPr>
                <w:noProof/>
                <w:webHidden/>
              </w:rPr>
              <w:tab/>
            </w:r>
            <w:r w:rsidR="00FD58BF">
              <w:rPr>
                <w:noProof/>
                <w:webHidden/>
              </w:rPr>
              <w:fldChar w:fldCharType="begin"/>
            </w:r>
            <w:r w:rsidR="00FD58BF">
              <w:rPr>
                <w:noProof/>
                <w:webHidden/>
              </w:rPr>
              <w:instrText xml:space="preserve"> PAGEREF _Toc178837829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0261AB3A" w14:textId="59DBB4F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0" w:history="1">
            <w:r w:rsidR="00FD58BF" w:rsidRPr="003004E5">
              <w:rPr>
                <w:rStyle w:val="Lienhypertexte"/>
                <w:noProof/>
              </w:rPr>
              <w:t>22.12.4a Pannes préfabriquées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_Toc178837830 \h </w:instrText>
            </w:r>
            <w:r w:rsidR="00FD58BF">
              <w:rPr>
                <w:noProof/>
                <w:webHidden/>
              </w:rPr>
            </w:r>
            <w:r w:rsidR="00FD58BF">
              <w:rPr>
                <w:noProof/>
                <w:webHidden/>
              </w:rPr>
              <w:fldChar w:fldCharType="separate"/>
            </w:r>
            <w:r w:rsidR="00FD58BF">
              <w:rPr>
                <w:noProof/>
                <w:webHidden/>
              </w:rPr>
              <w:t>517</w:t>
            </w:r>
            <w:r w:rsidR="00FD58BF">
              <w:rPr>
                <w:noProof/>
                <w:webHidden/>
              </w:rPr>
              <w:fldChar w:fldCharType="end"/>
            </w:r>
          </w:hyperlink>
        </w:p>
        <w:p w14:paraId="77F27D79" w14:textId="685CD02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1" w:history="1">
            <w:r w:rsidR="00FD58BF" w:rsidRPr="003004E5">
              <w:rPr>
                <w:rStyle w:val="Lienhypertexte"/>
                <w:noProof/>
              </w:rPr>
              <w:t>22.12.4b Chevrons autoporteurs préfabriqués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_Toc178837831 \h </w:instrText>
            </w:r>
            <w:r w:rsidR="00FD58BF">
              <w:rPr>
                <w:noProof/>
                <w:webHidden/>
              </w:rPr>
            </w:r>
            <w:r w:rsidR="00FD58BF">
              <w:rPr>
                <w:noProof/>
                <w:webHidden/>
              </w:rPr>
              <w:fldChar w:fldCharType="separate"/>
            </w:r>
            <w:r w:rsidR="00FD58BF">
              <w:rPr>
                <w:noProof/>
                <w:webHidden/>
              </w:rPr>
              <w:t>518</w:t>
            </w:r>
            <w:r w:rsidR="00FD58BF">
              <w:rPr>
                <w:noProof/>
                <w:webHidden/>
              </w:rPr>
              <w:fldChar w:fldCharType="end"/>
            </w:r>
          </w:hyperlink>
        </w:p>
        <w:p w14:paraId="2CC48E03" w14:textId="769F73A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2" w:history="1">
            <w:r w:rsidR="00FD58BF" w:rsidRPr="003004E5">
              <w:rPr>
                <w:rStyle w:val="Lienhypertexte"/>
                <w:noProof/>
              </w:rPr>
              <w:t>22.12.4c Faîtières préfabriquées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_Toc178837832 \h </w:instrText>
            </w:r>
            <w:r w:rsidR="00FD58BF">
              <w:rPr>
                <w:noProof/>
                <w:webHidden/>
              </w:rPr>
            </w:r>
            <w:r w:rsidR="00FD58BF">
              <w:rPr>
                <w:noProof/>
                <w:webHidden/>
              </w:rPr>
              <w:fldChar w:fldCharType="separate"/>
            </w:r>
            <w:r w:rsidR="00FD58BF">
              <w:rPr>
                <w:noProof/>
                <w:webHidden/>
              </w:rPr>
              <w:t>520</w:t>
            </w:r>
            <w:r w:rsidR="00FD58BF">
              <w:rPr>
                <w:noProof/>
                <w:webHidden/>
              </w:rPr>
              <w:fldChar w:fldCharType="end"/>
            </w:r>
          </w:hyperlink>
        </w:p>
        <w:p w14:paraId="0B88C7A9" w14:textId="1BFECE3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3" w:history="1">
            <w:r w:rsidR="00FD58BF" w:rsidRPr="003004E5">
              <w:rPr>
                <w:rStyle w:val="Lienhypertexte"/>
                <w:noProof/>
              </w:rPr>
              <w:t>22.12.4d Sablières préfabriquées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_Toc178837833 \h </w:instrText>
            </w:r>
            <w:r w:rsidR="00FD58BF">
              <w:rPr>
                <w:noProof/>
                <w:webHidden/>
              </w:rPr>
            </w:r>
            <w:r w:rsidR="00FD58BF">
              <w:rPr>
                <w:noProof/>
                <w:webHidden/>
              </w:rPr>
              <w:fldChar w:fldCharType="separate"/>
            </w:r>
            <w:r w:rsidR="00FD58BF">
              <w:rPr>
                <w:noProof/>
                <w:webHidden/>
              </w:rPr>
              <w:t>521</w:t>
            </w:r>
            <w:r w:rsidR="00FD58BF">
              <w:rPr>
                <w:noProof/>
                <w:webHidden/>
              </w:rPr>
              <w:fldChar w:fldCharType="end"/>
            </w:r>
          </w:hyperlink>
        </w:p>
        <w:p w14:paraId="19604536" w14:textId="4A45EFE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34" w:history="1">
            <w:r w:rsidR="00FD58BF" w:rsidRPr="003004E5">
              <w:rPr>
                <w:rStyle w:val="Lienhypertexte"/>
                <w:noProof/>
              </w:rPr>
              <w:t>22.12.5 Eléments de charpente de toiture mixtes acier-béton CCTB 01.04</w:t>
            </w:r>
            <w:r w:rsidR="00FD58BF">
              <w:rPr>
                <w:noProof/>
                <w:webHidden/>
              </w:rPr>
              <w:tab/>
            </w:r>
            <w:r w:rsidR="00FD58BF">
              <w:rPr>
                <w:noProof/>
                <w:webHidden/>
              </w:rPr>
              <w:fldChar w:fldCharType="begin"/>
            </w:r>
            <w:r w:rsidR="00FD58BF">
              <w:rPr>
                <w:noProof/>
                <w:webHidden/>
              </w:rPr>
              <w:instrText xml:space="preserve"> PAGEREF _Toc178837834 \h </w:instrText>
            </w:r>
            <w:r w:rsidR="00FD58BF">
              <w:rPr>
                <w:noProof/>
                <w:webHidden/>
              </w:rPr>
            </w:r>
            <w:r w:rsidR="00FD58BF">
              <w:rPr>
                <w:noProof/>
                <w:webHidden/>
              </w:rPr>
              <w:fldChar w:fldCharType="separate"/>
            </w:r>
            <w:r w:rsidR="00FD58BF">
              <w:rPr>
                <w:noProof/>
                <w:webHidden/>
              </w:rPr>
              <w:t>522</w:t>
            </w:r>
            <w:r w:rsidR="00FD58BF">
              <w:rPr>
                <w:noProof/>
                <w:webHidden/>
              </w:rPr>
              <w:fldChar w:fldCharType="end"/>
            </w:r>
          </w:hyperlink>
        </w:p>
        <w:p w14:paraId="1D4BDF8B" w14:textId="09CA10E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5" w:history="1">
            <w:r w:rsidR="00FD58BF" w:rsidRPr="003004E5">
              <w:rPr>
                <w:rStyle w:val="Lienhypertexte"/>
                <w:noProof/>
              </w:rPr>
              <w:t>22.12.5a Pannes mixtes acier-béton CCTB 01.04</w:t>
            </w:r>
            <w:r w:rsidR="00FD58BF">
              <w:rPr>
                <w:noProof/>
                <w:webHidden/>
              </w:rPr>
              <w:tab/>
            </w:r>
            <w:r w:rsidR="00FD58BF">
              <w:rPr>
                <w:noProof/>
                <w:webHidden/>
              </w:rPr>
              <w:fldChar w:fldCharType="begin"/>
            </w:r>
            <w:r w:rsidR="00FD58BF">
              <w:rPr>
                <w:noProof/>
                <w:webHidden/>
              </w:rPr>
              <w:instrText xml:space="preserve"> PAGEREF _Toc178837835 \h </w:instrText>
            </w:r>
            <w:r w:rsidR="00FD58BF">
              <w:rPr>
                <w:noProof/>
                <w:webHidden/>
              </w:rPr>
            </w:r>
            <w:r w:rsidR="00FD58BF">
              <w:rPr>
                <w:noProof/>
                <w:webHidden/>
              </w:rPr>
              <w:fldChar w:fldCharType="separate"/>
            </w:r>
            <w:r w:rsidR="00FD58BF">
              <w:rPr>
                <w:noProof/>
                <w:webHidden/>
              </w:rPr>
              <w:t>522</w:t>
            </w:r>
            <w:r w:rsidR="00FD58BF">
              <w:rPr>
                <w:noProof/>
                <w:webHidden/>
              </w:rPr>
              <w:fldChar w:fldCharType="end"/>
            </w:r>
          </w:hyperlink>
        </w:p>
        <w:p w14:paraId="02CB9072" w14:textId="5258687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6" w:history="1">
            <w:r w:rsidR="00FD58BF" w:rsidRPr="003004E5">
              <w:rPr>
                <w:rStyle w:val="Lienhypertexte"/>
                <w:noProof/>
              </w:rPr>
              <w:t>22.12.5b Chevrons autoporteurs mixtes acier-béton CCTB 01.04</w:t>
            </w:r>
            <w:r w:rsidR="00FD58BF">
              <w:rPr>
                <w:noProof/>
                <w:webHidden/>
              </w:rPr>
              <w:tab/>
            </w:r>
            <w:r w:rsidR="00FD58BF">
              <w:rPr>
                <w:noProof/>
                <w:webHidden/>
              </w:rPr>
              <w:fldChar w:fldCharType="begin"/>
            </w:r>
            <w:r w:rsidR="00FD58BF">
              <w:rPr>
                <w:noProof/>
                <w:webHidden/>
              </w:rPr>
              <w:instrText xml:space="preserve"> PAGEREF _Toc178837836 \h </w:instrText>
            </w:r>
            <w:r w:rsidR="00FD58BF">
              <w:rPr>
                <w:noProof/>
                <w:webHidden/>
              </w:rPr>
            </w:r>
            <w:r w:rsidR="00FD58BF">
              <w:rPr>
                <w:noProof/>
                <w:webHidden/>
              </w:rPr>
              <w:fldChar w:fldCharType="separate"/>
            </w:r>
            <w:r w:rsidR="00FD58BF">
              <w:rPr>
                <w:noProof/>
                <w:webHidden/>
              </w:rPr>
              <w:t>522</w:t>
            </w:r>
            <w:r w:rsidR="00FD58BF">
              <w:rPr>
                <w:noProof/>
                <w:webHidden/>
              </w:rPr>
              <w:fldChar w:fldCharType="end"/>
            </w:r>
          </w:hyperlink>
        </w:p>
        <w:p w14:paraId="56711AB0" w14:textId="3704C24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7" w:history="1">
            <w:r w:rsidR="00FD58BF" w:rsidRPr="003004E5">
              <w:rPr>
                <w:rStyle w:val="Lienhypertexte"/>
                <w:noProof/>
              </w:rPr>
              <w:t>22.12.5c Faîtières mixtes acier-béton CCTB 01.04</w:t>
            </w:r>
            <w:r w:rsidR="00FD58BF">
              <w:rPr>
                <w:noProof/>
                <w:webHidden/>
              </w:rPr>
              <w:tab/>
            </w:r>
            <w:r w:rsidR="00FD58BF">
              <w:rPr>
                <w:noProof/>
                <w:webHidden/>
              </w:rPr>
              <w:fldChar w:fldCharType="begin"/>
            </w:r>
            <w:r w:rsidR="00FD58BF">
              <w:rPr>
                <w:noProof/>
                <w:webHidden/>
              </w:rPr>
              <w:instrText xml:space="preserve"> PAGEREF _Toc178837837 \h </w:instrText>
            </w:r>
            <w:r w:rsidR="00FD58BF">
              <w:rPr>
                <w:noProof/>
                <w:webHidden/>
              </w:rPr>
            </w:r>
            <w:r w:rsidR="00FD58BF">
              <w:rPr>
                <w:noProof/>
                <w:webHidden/>
              </w:rPr>
              <w:fldChar w:fldCharType="separate"/>
            </w:r>
            <w:r w:rsidR="00FD58BF">
              <w:rPr>
                <w:noProof/>
                <w:webHidden/>
              </w:rPr>
              <w:t>522</w:t>
            </w:r>
            <w:r w:rsidR="00FD58BF">
              <w:rPr>
                <w:noProof/>
                <w:webHidden/>
              </w:rPr>
              <w:fldChar w:fldCharType="end"/>
            </w:r>
          </w:hyperlink>
        </w:p>
        <w:p w14:paraId="4C19B166" w14:textId="420C56E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8" w:history="1">
            <w:r w:rsidR="00FD58BF" w:rsidRPr="003004E5">
              <w:rPr>
                <w:rStyle w:val="Lienhypertexte"/>
                <w:noProof/>
              </w:rPr>
              <w:t>22.12.5d Sablières mixtes acier-béton CCTB 01.04</w:t>
            </w:r>
            <w:r w:rsidR="00FD58BF">
              <w:rPr>
                <w:noProof/>
                <w:webHidden/>
              </w:rPr>
              <w:tab/>
            </w:r>
            <w:r w:rsidR="00FD58BF">
              <w:rPr>
                <w:noProof/>
                <w:webHidden/>
              </w:rPr>
              <w:fldChar w:fldCharType="begin"/>
            </w:r>
            <w:r w:rsidR="00FD58BF">
              <w:rPr>
                <w:noProof/>
                <w:webHidden/>
              </w:rPr>
              <w:instrText xml:space="preserve"> PAGEREF _Toc178837838 \h </w:instrText>
            </w:r>
            <w:r w:rsidR="00FD58BF">
              <w:rPr>
                <w:noProof/>
                <w:webHidden/>
              </w:rPr>
            </w:r>
            <w:r w:rsidR="00FD58BF">
              <w:rPr>
                <w:noProof/>
                <w:webHidden/>
              </w:rPr>
              <w:fldChar w:fldCharType="separate"/>
            </w:r>
            <w:r w:rsidR="00FD58BF">
              <w:rPr>
                <w:noProof/>
                <w:webHidden/>
              </w:rPr>
              <w:t>522</w:t>
            </w:r>
            <w:r w:rsidR="00FD58BF">
              <w:rPr>
                <w:noProof/>
                <w:webHidden/>
              </w:rPr>
              <w:fldChar w:fldCharType="end"/>
            </w:r>
          </w:hyperlink>
        </w:p>
        <w:p w14:paraId="10B77046" w14:textId="4380813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39" w:history="1">
            <w:r w:rsidR="00FD58BF" w:rsidRPr="003004E5">
              <w:rPr>
                <w:rStyle w:val="Lienhypertexte"/>
                <w:noProof/>
              </w:rPr>
              <w:t>22.13 Linteaux en béton CCTB 01.11</w:t>
            </w:r>
            <w:r w:rsidR="00FD58BF">
              <w:rPr>
                <w:noProof/>
                <w:webHidden/>
              </w:rPr>
              <w:tab/>
            </w:r>
            <w:r w:rsidR="00FD58BF">
              <w:rPr>
                <w:noProof/>
                <w:webHidden/>
              </w:rPr>
              <w:fldChar w:fldCharType="begin"/>
            </w:r>
            <w:r w:rsidR="00FD58BF">
              <w:rPr>
                <w:noProof/>
                <w:webHidden/>
              </w:rPr>
              <w:instrText xml:space="preserve"> PAGEREF _Toc178837839 \h </w:instrText>
            </w:r>
            <w:r w:rsidR="00FD58BF">
              <w:rPr>
                <w:noProof/>
                <w:webHidden/>
              </w:rPr>
            </w:r>
            <w:r w:rsidR="00FD58BF">
              <w:rPr>
                <w:noProof/>
                <w:webHidden/>
              </w:rPr>
              <w:fldChar w:fldCharType="separate"/>
            </w:r>
            <w:r w:rsidR="00FD58BF">
              <w:rPr>
                <w:noProof/>
                <w:webHidden/>
              </w:rPr>
              <w:t>522</w:t>
            </w:r>
            <w:r w:rsidR="00FD58BF">
              <w:rPr>
                <w:noProof/>
                <w:webHidden/>
              </w:rPr>
              <w:fldChar w:fldCharType="end"/>
            </w:r>
          </w:hyperlink>
        </w:p>
        <w:p w14:paraId="685AD537" w14:textId="6A8A927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40" w:history="1">
            <w:r w:rsidR="00FD58BF" w:rsidRPr="003004E5">
              <w:rPr>
                <w:rStyle w:val="Lienhypertexte"/>
                <w:noProof/>
              </w:rPr>
              <w:t>22.13.1 Linteaux en béton CCTB 01.04</w:t>
            </w:r>
            <w:r w:rsidR="00FD58BF">
              <w:rPr>
                <w:noProof/>
                <w:webHidden/>
              </w:rPr>
              <w:tab/>
            </w:r>
            <w:r w:rsidR="00FD58BF">
              <w:rPr>
                <w:noProof/>
                <w:webHidden/>
              </w:rPr>
              <w:fldChar w:fldCharType="begin"/>
            </w:r>
            <w:r w:rsidR="00FD58BF">
              <w:rPr>
                <w:noProof/>
                <w:webHidden/>
              </w:rPr>
              <w:instrText xml:space="preserve"> PAGEREF _Toc178837840 \h </w:instrText>
            </w:r>
            <w:r w:rsidR="00FD58BF">
              <w:rPr>
                <w:noProof/>
                <w:webHidden/>
              </w:rPr>
            </w:r>
            <w:r w:rsidR="00FD58BF">
              <w:rPr>
                <w:noProof/>
                <w:webHidden/>
              </w:rPr>
              <w:fldChar w:fldCharType="separate"/>
            </w:r>
            <w:r w:rsidR="00FD58BF">
              <w:rPr>
                <w:noProof/>
                <w:webHidden/>
              </w:rPr>
              <w:t>522</w:t>
            </w:r>
            <w:r w:rsidR="00FD58BF">
              <w:rPr>
                <w:noProof/>
                <w:webHidden/>
              </w:rPr>
              <w:fldChar w:fldCharType="end"/>
            </w:r>
          </w:hyperlink>
        </w:p>
        <w:p w14:paraId="7FB28A20" w14:textId="151C8EC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1" w:history="1">
            <w:r w:rsidR="00FD58BF" w:rsidRPr="003004E5">
              <w:rPr>
                <w:rStyle w:val="Lienhypertexte"/>
                <w:noProof/>
              </w:rPr>
              <w:t>22.13.1a Linteaux en béton coulé en place CCTB 01.11</w:t>
            </w:r>
            <w:r w:rsidR="00FD58BF">
              <w:rPr>
                <w:noProof/>
                <w:webHidden/>
              </w:rPr>
              <w:tab/>
            </w:r>
            <w:r w:rsidR="00FD58BF">
              <w:rPr>
                <w:noProof/>
                <w:webHidden/>
              </w:rPr>
              <w:fldChar w:fldCharType="begin"/>
            </w:r>
            <w:r w:rsidR="00FD58BF">
              <w:rPr>
                <w:noProof/>
                <w:webHidden/>
              </w:rPr>
              <w:instrText xml:space="preserve"> PAGEREF _Toc178837841 \h </w:instrText>
            </w:r>
            <w:r w:rsidR="00FD58BF">
              <w:rPr>
                <w:noProof/>
                <w:webHidden/>
              </w:rPr>
            </w:r>
            <w:r w:rsidR="00FD58BF">
              <w:rPr>
                <w:noProof/>
                <w:webHidden/>
              </w:rPr>
              <w:fldChar w:fldCharType="separate"/>
            </w:r>
            <w:r w:rsidR="00FD58BF">
              <w:rPr>
                <w:noProof/>
                <w:webHidden/>
              </w:rPr>
              <w:t>522</w:t>
            </w:r>
            <w:r w:rsidR="00FD58BF">
              <w:rPr>
                <w:noProof/>
                <w:webHidden/>
              </w:rPr>
              <w:fldChar w:fldCharType="end"/>
            </w:r>
          </w:hyperlink>
        </w:p>
        <w:p w14:paraId="7F69E415" w14:textId="2DD3DA7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2" w:history="1">
            <w:r w:rsidR="00FD58BF" w:rsidRPr="003004E5">
              <w:rPr>
                <w:rStyle w:val="Lienhypertexte"/>
                <w:noProof/>
              </w:rPr>
              <w:t>22.13.1b Linteaux en béton apparent (esthétique) coulé en place CCTB 01.11</w:t>
            </w:r>
            <w:r w:rsidR="00FD58BF">
              <w:rPr>
                <w:noProof/>
                <w:webHidden/>
              </w:rPr>
              <w:tab/>
            </w:r>
            <w:r w:rsidR="00FD58BF">
              <w:rPr>
                <w:noProof/>
                <w:webHidden/>
              </w:rPr>
              <w:fldChar w:fldCharType="begin"/>
            </w:r>
            <w:r w:rsidR="00FD58BF">
              <w:rPr>
                <w:noProof/>
                <w:webHidden/>
              </w:rPr>
              <w:instrText xml:space="preserve"> PAGEREF _Toc178837842 \h </w:instrText>
            </w:r>
            <w:r w:rsidR="00FD58BF">
              <w:rPr>
                <w:noProof/>
                <w:webHidden/>
              </w:rPr>
            </w:r>
            <w:r w:rsidR="00FD58BF">
              <w:rPr>
                <w:noProof/>
                <w:webHidden/>
              </w:rPr>
              <w:fldChar w:fldCharType="separate"/>
            </w:r>
            <w:r w:rsidR="00FD58BF">
              <w:rPr>
                <w:noProof/>
                <w:webHidden/>
              </w:rPr>
              <w:t>523</w:t>
            </w:r>
            <w:r w:rsidR="00FD58BF">
              <w:rPr>
                <w:noProof/>
                <w:webHidden/>
              </w:rPr>
              <w:fldChar w:fldCharType="end"/>
            </w:r>
          </w:hyperlink>
        </w:p>
        <w:p w14:paraId="1C600094" w14:textId="68B6CB2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3" w:history="1">
            <w:r w:rsidR="00FD58BF" w:rsidRPr="003004E5">
              <w:rPr>
                <w:rStyle w:val="Lienhypertexte"/>
                <w:noProof/>
              </w:rPr>
              <w:t>22.13.1c Linteaux préfabriqués en béton armé CCTB 01.11</w:t>
            </w:r>
            <w:r w:rsidR="00FD58BF">
              <w:rPr>
                <w:noProof/>
                <w:webHidden/>
              </w:rPr>
              <w:tab/>
            </w:r>
            <w:r w:rsidR="00FD58BF">
              <w:rPr>
                <w:noProof/>
                <w:webHidden/>
              </w:rPr>
              <w:fldChar w:fldCharType="begin"/>
            </w:r>
            <w:r w:rsidR="00FD58BF">
              <w:rPr>
                <w:noProof/>
                <w:webHidden/>
              </w:rPr>
              <w:instrText xml:space="preserve"> PAGEREF _Toc178837843 \h </w:instrText>
            </w:r>
            <w:r w:rsidR="00FD58BF">
              <w:rPr>
                <w:noProof/>
                <w:webHidden/>
              </w:rPr>
            </w:r>
            <w:r w:rsidR="00FD58BF">
              <w:rPr>
                <w:noProof/>
                <w:webHidden/>
              </w:rPr>
              <w:fldChar w:fldCharType="separate"/>
            </w:r>
            <w:r w:rsidR="00FD58BF">
              <w:rPr>
                <w:noProof/>
                <w:webHidden/>
              </w:rPr>
              <w:t>523</w:t>
            </w:r>
            <w:r w:rsidR="00FD58BF">
              <w:rPr>
                <w:noProof/>
                <w:webHidden/>
              </w:rPr>
              <w:fldChar w:fldCharType="end"/>
            </w:r>
          </w:hyperlink>
        </w:p>
        <w:p w14:paraId="2A02E67D" w14:textId="4ADE589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4" w:history="1">
            <w:r w:rsidR="00FD58BF" w:rsidRPr="003004E5">
              <w:rPr>
                <w:rStyle w:val="Lienhypertexte"/>
                <w:noProof/>
              </w:rPr>
              <w:t>22.13.1d Linteaux préfabriqués en béton précontraint CCTB 01.11</w:t>
            </w:r>
            <w:r w:rsidR="00FD58BF">
              <w:rPr>
                <w:noProof/>
                <w:webHidden/>
              </w:rPr>
              <w:tab/>
            </w:r>
            <w:r w:rsidR="00FD58BF">
              <w:rPr>
                <w:noProof/>
                <w:webHidden/>
              </w:rPr>
              <w:fldChar w:fldCharType="begin"/>
            </w:r>
            <w:r w:rsidR="00FD58BF">
              <w:rPr>
                <w:noProof/>
                <w:webHidden/>
              </w:rPr>
              <w:instrText xml:space="preserve"> PAGEREF _Toc178837844 \h </w:instrText>
            </w:r>
            <w:r w:rsidR="00FD58BF">
              <w:rPr>
                <w:noProof/>
                <w:webHidden/>
              </w:rPr>
            </w:r>
            <w:r w:rsidR="00FD58BF">
              <w:rPr>
                <w:noProof/>
                <w:webHidden/>
              </w:rPr>
              <w:fldChar w:fldCharType="separate"/>
            </w:r>
            <w:r w:rsidR="00FD58BF">
              <w:rPr>
                <w:noProof/>
                <w:webHidden/>
              </w:rPr>
              <w:t>525</w:t>
            </w:r>
            <w:r w:rsidR="00FD58BF">
              <w:rPr>
                <w:noProof/>
                <w:webHidden/>
              </w:rPr>
              <w:fldChar w:fldCharType="end"/>
            </w:r>
          </w:hyperlink>
        </w:p>
        <w:p w14:paraId="4C511024" w14:textId="0932B2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5" w:history="1">
            <w:r w:rsidR="00FD58BF" w:rsidRPr="003004E5">
              <w:rPr>
                <w:rStyle w:val="Lienhypertexte"/>
                <w:noProof/>
              </w:rPr>
              <w:t>22.13.1e Linteaux préfabriqués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_Toc178837845 \h </w:instrText>
            </w:r>
            <w:r w:rsidR="00FD58BF">
              <w:rPr>
                <w:noProof/>
                <w:webHidden/>
              </w:rPr>
            </w:r>
            <w:r w:rsidR="00FD58BF">
              <w:rPr>
                <w:noProof/>
                <w:webHidden/>
              </w:rPr>
              <w:fldChar w:fldCharType="separate"/>
            </w:r>
            <w:r w:rsidR="00FD58BF">
              <w:rPr>
                <w:noProof/>
                <w:webHidden/>
              </w:rPr>
              <w:t>527</w:t>
            </w:r>
            <w:r w:rsidR="00FD58BF">
              <w:rPr>
                <w:noProof/>
                <w:webHidden/>
              </w:rPr>
              <w:fldChar w:fldCharType="end"/>
            </w:r>
          </w:hyperlink>
        </w:p>
        <w:p w14:paraId="5CE520E6" w14:textId="73170B7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6" w:history="1">
            <w:r w:rsidR="00FD58BF" w:rsidRPr="003004E5">
              <w:rPr>
                <w:rStyle w:val="Lienhypertexte"/>
                <w:noProof/>
              </w:rPr>
              <w:t>22.13.1f Linteaux préfabriqués en béton cellulaire armé CCTB 01.02</w:t>
            </w:r>
            <w:r w:rsidR="00FD58BF">
              <w:rPr>
                <w:noProof/>
                <w:webHidden/>
              </w:rPr>
              <w:tab/>
            </w:r>
            <w:r w:rsidR="00FD58BF">
              <w:rPr>
                <w:noProof/>
                <w:webHidden/>
              </w:rPr>
              <w:fldChar w:fldCharType="begin"/>
            </w:r>
            <w:r w:rsidR="00FD58BF">
              <w:rPr>
                <w:noProof/>
                <w:webHidden/>
              </w:rPr>
              <w:instrText xml:space="preserve"> PAGEREF _Toc178837846 \h </w:instrText>
            </w:r>
            <w:r w:rsidR="00FD58BF">
              <w:rPr>
                <w:noProof/>
                <w:webHidden/>
              </w:rPr>
            </w:r>
            <w:r w:rsidR="00FD58BF">
              <w:rPr>
                <w:noProof/>
                <w:webHidden/>
              </w:rPr>
              <w:fldChar w:fldCharType="separate"/>
            </w:r>
            <w:r w:rsidR="00FD58BF">
              <w:rPr>
                <w:noProof/>
                <w:webHidden/>
              </w:rPr>
              <w:t>528</w:t>
            </w:r>
            <w:r w:rsidR="00FD58BF">
              <w:rPr>
                <w:noProof/>
                <w:webHidden/>
              </w:rPr>
              <w:fldChar w:fldCharType="end"/>
            </w:r>
          </w:hyperlink>
        </w:p>
        <w:p w14:paraId="5D2C0001" w14:textId="1DB02CA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47" w:history="1">
            <w:r w:rsidR="00FD58BF" w:rsidRPr="003004E5">
              <w:rPr>
                <w:rStyle w:val="Lienhypertexte"/>
                <w:noProof/>
              </w:rPr>
              <w:t>22.13.2 Linteaux composites (prélinteaux plats + rehausses collaborantes) CCTB 01.11</w:t>
            </w:r>
            <w:r w:rsidR="00FD58BF">
              <w:rPr>
                <w:noProof/>
                <w:webHidden/>
              </w:rPr>
              <w:tab/>
            </w:r>
            <w:r w:rsidR="00FD58BF">
              <w:rPr>
                <w:noProof/>
                <w:webHidden/>
              </w:rPr>
              <w:fldChar w:fldCharType="begin"/>
            </w:r>
            <w:r w:rsidR="00FD58BF">
              <w:rPr>
                <w:noProof/>
                <w:webHidden/>
              </w:rPr>
              <w:instrText xml:space="preserve"> PAGEREF _Toc178837847 \h </w:instrText>
            </w:r>
            <w:r w:rsidR="00FD58BF">
              <w:rPr>
                <w:noProof/>
                <w:webHidden/>
              </w:rPr>
            </w:r>
            <w:r w:rsidR="00FD58BF">
              <w:rPr>
                <w:noProof/>
                <w:webHidden/>
              </w:rPr>
              <w:fldChar w:fldCharType="separate"/>
            </w:r>
            <w:r w:rsidR="00FD58BF">
              <w:rPr>
                <w:noProof/>
                <w:webHidden/>
              </w:rPr>
              <w:t>528</w:t>
            </w:r>
            <w:r w:rsidR="00FD58BF">
              <w:rPr>
                <w:noProof/>
                <w:webHidden/>
              </w:rPr>
              <w:fldChar w:fldCharType="end"/>
            </w:r>
          </w:hyperlink>
        </w:p>
        <w:p w14:paraId="7C090824" w14:textId="7878859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8" w:history="1">
            <w:r w:rsidR="00FD58BF" w:rsidRPr="003004E5">
              <w:rPr>
                <w:rStyle w:val="Lienhypertexte"/>
                <w:noProof/>
              </w:rPr>
              <w:t>22.13.2a Prélinteaux plats préfabriqués en béton + rehausses collaborantes en maçonnerie CCTB 01.11</w:t>
            </w:r>
            <w:r w:rsidR="00FD58BF">
              <w:rPr>
                <w:noProof/>
                <w:webHidden/>
              </w:rPr>
              <w:tab/>
            </w:r>
            <w:r w:rsidR="00FD58BF">
              <w:rPr>
                <w:noProof/>
                <w:webHidden/>
              </w:rPr>
              <w:fldChar w:fldCharType="begin"/>
            </w:r>
            <w:r w:rsidR="00FD58BF">
              <w:rPr>
                <w:noProof/>
                <w:webHidden/>
              </w:rPr>
              <w:instrText xml:space="preserve"> PAGEREF _Toc178837848 \h </w:instrText>
            </w:r>
            <w:r w:rsidR="00FD58BF">
              <w:rPr>
                <w:noProof/>
                <w:webHidden/>
              </w:rPr>
            </w:r>
            <w:r w:rsidR="00FD58BF">
              <w:rPr>
                <w:noProof/>
                <w:webHidden/>
              </w:rPr>
              <w:fldChar w:fldCharType="separate"/>
            </w:r>
            <w:r w:rsidR="00FD58BF">
              <w:rPr>
                <w:noProof/>
                <w:webHidden/>
              </w:rPr>
              <w:t>529</w:t>
            </w:r>
            <w:r w:rsidR="00FD58BF">
              <w:rPr>
                <w:noProof/>
                <w:webHidden/>
              </w:rPr>
              <w:fldChar w:fldCharType="end"/>
            </w:r>
          </w:hyperlink>
        </w:p>
        <w:p w14:paraId="018A4EDC" w14:textId="3BAFAF5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9" w:history="1">
            <w:r w:rsidR="00FD58BF" w:rsidRPr="003004E5">
              <w:rPr>
                <w:rStyle w:val="Lienhypertexte"/>
                <w:noProof/>
              </w:rPr>
              <w:t>22.13.2b Prélinteaux plats préfabriqués en béton + rehausses collaborantes en béton coulé en place CCTB 01.10</w:t>
            </w:r>
            <w:r w:rsidR="00FD58BF">
              <w:rPr>
                <w:noProof/>
                <w:webHidden/>
              </w:rPr>
              <w:tab/>
            </w:r>
            <w:r w:rsidR="00FD58BF">
              <w:rPr>
                <w:noProof/>
                <w:webHidden/>
              </w:rPr>
              <w:fldChar w:fldCharType="begin"/>
            </w:r>
            <w:r w:rsidR="00FD58BF">
              <w:rPr>
                <w:noProof/>
                <w:webHidden/>
              </w:rPr>
              <w:instrText xml:space="preserve"> PAGEREF _Toc178837849 \h </w:instrText>
            </w:r>
            <w:r w:rsidR="00FD58BF">
              <w:rPr>
                <w:noProof/>
                <w:webHidden/>
              </w:rPr>
            </w:r>
            <w:r w:rsidR="00FD58BF">
              <w:rPr>
                <w:noProof/>
                <w:webHidden/>
              </w:rPr>
              <w:fldChar w:fldCharType="separate"/>
            </w:r>
            <w:r w:rsidR="00FD58BF">
              <w:rPr>
                <w:noProof/>
                <w:webHidden/>
              </w:rPr>
              <w:t>530</w:t>
            </w:r>
            <w:r w:rsidR="00FD58BF">
              <w:rPr>
                <w:noProof/>
                <w:webHidden/>
              </w:rPr>
              <w:fldChar w:fldCharType="end"/>
            </w:r>
          </w:hyperlink>
        </w:p>
        <w:p w14:paraId="31FFF21D" w14:textId="56EEB31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0" w:history="1">
            <w:r w:rsidR="00FD58BF" w:rsidRPr="003004E5">
              <w:rPr>
                <w:rStyle w:val="Lienhypertexte"/>
                <w:noProof/>
              </w:rPr>
              <w:t>22.13.2c Prélinteaux plats en béton précontraint + rehausses collaborantes en maçonnerie CCTB 01.10</w:t>
            </w:r>
            <w:r w:rsidR="00FD58BF">
              <w:rPr>
                <w:noProof/>
                <w:webHidden/>
              </w:rPr>
              <w:tab/>
            </w:r>
            <w:r w:rsidR="00FD58BF">
              <w:rPr>
                <w:noProof/>
                <w:webHidden/>
              </w:rPr>
              <w:fldChar w:fldCharType="begin"/>
            </w:r>
            <w:r w:rsidR="00FD58BF">
              <w:rPr>
                <w:noProof/>
                <w:webHidden/>
              </w:rPr>
              <w:instrText xml:space="preserve"> PAGEREF _Toc178837850 \h </w:instrText>
            </w:r>
            <w:r w:rsidR="00FD58BF">
              <w:rPr>
                <w:noProof/>
                <w:webHidden/>
              </w:rPr>
            </w:r>
            <w:r w:rsidR="00FD58BF">
              <w:rPr>
                <w:noProof/>
                <w:webHidden/>
              </w:rPr>
              <w:fldChar w:fldCharType="separate"/>
            </w:r>
            <w:r w:rsidR="00FD58BF">
              <w:rPr>
                <w:noProof/>
                <w:webHidden/>
              </w:rPr>
              <w:t>530</w:t>
            </w:r>
            <w:r w:rsidR="00FD58BF">
              <w:rPr>
                <w:noProof/>
                <w:webHidden/>
              </w:rPr>
              <w:fldChar w:fldCharType="end"/>
            </w:r>
          </w:hyperlink>
        </w:p>
        <w:p w14:paraId="42F8121C" w14:textId="1B53F33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1" w:history="1">
            <w:r w:rsidR="00FD58BF" w:rsidRPr="003004E5">
              <w:rPr>
                <w:rStyle w:val="Lienhypertexte"/>
                <w:noProof/>
              </w:rPr>
              <w:t>22.13.2d Prélinteaux plats en béton précontraint enrobé de terre cuite + rehausses collaborantes en maçonnerie CCTB 01.10</w:t>
            </w:r>
            <w:r w:rsidR="00FD58BF">
              <w:rPr>
                <w:noProof/>
                <w:webHidden/>
              </w:rPr>
              <w:tab/>
            </w:r>
            <w:r w:rsidR="00FD58BF">
              <w:rPr>
                <w:noProof/>
                <w:webHidden/>
              </w:rPr>
              <w:fldChar w:fldCharType="begin"/>
            </w:r>
            <w:r w:rsidR="00FD58BF">
              <w:rPr>
                <w:noProof/>
                <w:webHidden/>
              </w:rPr>
              <w:instrText xml:space="preserve"> PAGEREF _Toc178837851 \h </w:instrText>
            </w:r>
            <w:r w:rsidR="00FD58BF">
              <w:rPr>
                <w:noProof/>
                <w:webHidden/>
              </w:rPr>
            </w:r>
            <w:r w:rsidR="00FD58BF">
              <w:rPr>
                <w:noProof/>
                <w:webHidden/>
              </w:rPr>
              <w:fldChar w:fldCharType="separate"/>
            </w:r>
            <w:r w:rsidR="00FD58BF">
              <w:rPr>
                <w:noProof/>
                <w:webHidden/>
              </w:rPr>
              <w:t>530</w:t>
            </w:r>
            <w:r w:rsidR="00FD58BF">
              <w:rPr>
                <w:noProof/>
                <w:webHidden/>
              </w:rPr>
              <w:fldChar w:fldCharType="end"/>
            </w:r>
          </w:hyperlink>
        </w:p>
        <w:p w14:paraId="41DB9DC4" w14:textId="5DC6B66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2" w:history="1">
            <w:r w:rsidR="00FD58BF" w:rsidRPr="003004E5">
              <w:rPr>
                <w:rStyle w:val="Lienhypertexte"/>
                <w:noProof/>
              </w:rPr>
              <w:t>22.13.2e Prélinteaux plats en béton précontraint enrobé de terre cuite + rehausses collaborantes en béton coulé en place CCTB 01.10</w:t>
            </w:r>
            <w:r w:rsidR="00FD58BF">
              <w:rPr>
                <w:noProof/>
                <w:webHidden/>
              </w:rPr>
              <w:tab/>
            </w:r>
            <w:r w:rsidR="00FD58BF">
              <w:rPr>
                <w:noProof/>
                <w:webHidden/>
              </w:rPr>
              <w:fldChar w:fldCharType="begin"/>
            </w:r>
            <w:r w:rsidR="00FD58BF">
              <w:rPr>
                <w:noProof/>
                <w:webHidden/>
              </w:rPr>
              <w:instrText xml:space="preserve"> PAGEREF _Toc178837852 \h </w:instrText>
            </w:r>
            <w:r w:rsidR="00FD58BF">
              <w:rPr>
                <w:noProof/>
                <w:webHidden/>
              </w:rPr>
            </w:r>
            <w:r w:rsidR="00FD58BF">
              <w:rPr>
                <w:noProof/>
                <w:webHidden/>
              </w:rPr>
              <w:fldChar w:fldCharType="separate"/>
            </w:r>
            <w:r w:rsidR="00FD58BF">
              <w:rPr>
                <w:noProof/>
                <w:webHidden/>
              </w:rPr>
              <w:t>530</w:t>
            </w:r>
            <w:r w:rsidR="00FD58BF">
              <w:rPr>
                <w:noProof/>
                <w:webHidden/>
              </w:rPr>
              <w:fldChar w:fldCharType="end"/>
            </w:r>
          </w:hyperlink>
        </w:p>
        <w:p w14:paraId="2140456B" w14:textId="5233D33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3" w:history="1">
            <w:r w:rsidR="00FD58BF" w:rsidRPr="003004E5">
              <w:rPr>
                <w:rStyle w:val="Lienhypertexte"/>
                <w:noProof/>
              </w:rPr>
              <w:t>22.13.2f Prélinteaux plats en silico-calcaire et béton + rehausses collaborantes en maçonnerie CCTB 01.11</w:t>
            </w:r>
            <w:r w:rsidR="00FD58BF">
              <w:rPr>
                <w:noProof/>
                <w:webHidden/>
              </w:rPr>
              <w:tab/>
            </w:r>
            <w:r w:rsidR="00FD58BF">
              <w:rPr>
                <w:noProof/>
                <w:webHidden/>
              </w:rPr>
              <w:fldChar w:fldCharType="begin"/>
            </w:r>
            <w:r w:rsidR="00FD58BF">
              <w:rPr>
                <w:noProof/>
                <w:webHidden/>
              </w:rPr>
              <w:instrText xml:space="preserve"> PAGEREF _Toc178837853 \h </w:instrText>
            </w:r>
            <w:r w:rsidR="00FD58BF">
              <w:rPr>
                <w:noProof/>
                <w:webHidden/>
              </w:rPr>
            </w:r>
            <w:r w:rsidR="00FD58BF">
              <w:rPr>
                <w:noProof/>
                <w:webHidden/>
              </w:rPr>
              <w:fldChar w:fldCharType="separate"/>
            </w:r>
            <w:r w:rsidR="00FD58BF">
              <w:rPr>
                <w:noProof/>
                <w:webHidden/>
              </w:rPr>
              <w:t>530</w:t>
            </w:r>
            <w:r w:rsidR="00FD58BF">
              <w:rPr>
                <w:noProof/>
                <w:webHidden/>
              </w:rPr>
              <w:fldChar w:fldCharType="end"/>
            </w:r>
          </w:hyperlink>
        </w:p>
        <w:p w14:paraId="39B3CBD9" w14:textId="780923D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54" w:history="1">
            <w:r w:rsidR="00FD58BF" w:rsidRPr="003004E5">
              <w:rPr>
                <w:rStyle w:val="Lienhypertexte"/>
                <w:noProof/>
              </w:rPr>
              <w:t>22.13.3 Linteaux composites (prélinteaux en U + âmes en béton) CCTB 01.10</w:t>
            </w:r>
            <w:r w:rsidR="00FD58BF">
              <w:rPr>
                <w:noProof/>
                <w:webHidden/>
              </w:rPr>
              <w:tab/>
            </w:r>
            <w:r w:rsidR="00FD58BF">
              <w:rPr>
                <w:noProof/>
                <w:webHidden/>
              </w:rPr>
              <w:fldChar w:fldCharType="begin"/>
            </w:r>
            <w:r w:rsidR="00FD58BF">
              <w:rPr>
                <w:noProof/>
                <w:webHidden/>
              </w:rPr>
              <w:instrText xml:space="preserve"> PAGEREF _Toc178837854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41A02397" w14:textId="79629A1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5" w:history="1">
            <w:r w:rsidR="00FD58BF" w:rsidRPr="003004E5">
              <w:rPr>
                <w:rStyle w:val="Lienhypertexte"/>
                <w:noProof/>
              </w:rPr>
              <w:t>22.13.3a Prélinteaux en U en éléments en béton + âmes en béton coulé en place CCTB 01.10</w:t>
            </w:r>
            <w:r w:rsidR="00FD58BF">
              <w:rPr>
                <w:noProof/>
                <w:webHidden/>
              </w:rPr>
              <w:tab/>
            </w:r>
            <w:r w:rsidR="00FD58BF">
              <w:rPr>
                <w:noProof/>
                <w:webHidden/>
              </w:rPr>
              <w:fldChar w:fldCharType="begin"/>
            </w:r>
            <w:r w:rsidR="00FD58BF">
              <w:rPr>
                <w:noProof/>
                <w:webHidden/>
              </w:rPr>
              <w:instrText xml:space="preserve"> PAGEREF _Toc178837855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378236F1" w14:textId="2A6BD97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6" w:history="1">
            <w:r w:rsidR="00FD58BF" w:rsidRPr="003004E5">
              <w:rPr>
                <w:rStyle w:val="Lienhypertexte"/>
                <w:noProof/>
              </w:rPr>
              <w:t>22.13.3b Prélinteaux en U en éléments en terre cuite alvéolaires + âmes en béton coulé en place CCTB 01.10</w:t>
            </w:r>
            <w:r w:rsidR="00FD58BF">
              <w:rPr>
                <w:noProof/>
                <w:webHidden/>
              </w:rPr>
              <w:tab/>
            </w:r>
            <w:r w:rsidR="00FD58BF">
              <w:rPr>
                <w:noProof/>
                <w:webHidden/>
              </w:rPr>
              <w:fldChar w:fldCharType="begin"/>
            </w:r>
            <w:r w:rsidR="00FD58BF">
              <w:rPr>
                <w:noProof/>
                <w:webHidden/>
              </w:rPr>
              <w:instrText xml:space="preserve"> PAGEREF _Toc178837856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19828249" w14:textId="615C1E5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7" w:history="1">
            <w:r w:rsidR="00FD58BF" w:rsidRPr="003004E5">
              <w:rPr>
                <w:rStyle w:val="Lienhypertexte"/>
                <w:noProof/>
              </w:rPr>
              <w:t>22.13.3c Prélinteaux en U en éléments en silico-calcaire + âmes en béton coulé en place CCTB 01.10</w:t>
            </w:r>
            <w:r w:rsidR="00FD58BF">
              <w:rPr>
                <w:noProof/>
                <w:webHidden/>
              </w:rPr>
              <w:tab/>
            </w:r>
            <w:r w:rsidR="00FD58BF">
              <w:rPr>
                <w:noProof/>
                <w:webHidden/>
              </w:rPr>
              <w:fldChar w:fldCharType="begin"/>
            </w:r>
            <w:r w:rsidR="00FD58BF">
              <w:rPr>
                <w:noProof/>
                <w:webHidden/>
              </w:rPr>
              <w:instrText xml:space="preserve"> PAGEREF _Toc178837857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3ECCEFFA" w14:textId="776E472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8" w:history="1">
            <w:r w:rsidR="00FD58BF" w:rsidRPr="003004E5">
              <w:rPr>
                <w:rStyle w:val="Lienhypertexte"/>
                <w:noProof/>
              </w:rPr>
              <w:t>22.13.3d Prélinteaux en U en éléments en béton cellulaire + âmes en béton coulé en place CCTB 01.10</w:t>
            </w:r>
            <w:r w:rsidR="00FD58BF">
              <w:rPr>
                <w:noProof/>
                <w:webHidden/>
              </w:rPr>
              <w:tab/>
            </w:r>
            <w:r w:rsidR="00FD58BF">
              <w:rPr>
                <w:noProof/>
                <w:webHidden/>
              </w:rPr>
              <w:fldChar w:fldCharType="begin"/>
            </w:r>
            <w:r w:rsidR="00FD58BF">
              <w:rPr>
                <w:noProof/>
                <w:webHidden/>
              </w:rPr>
              <w:instrText xml:space="preserve"> PAGEREF _Toc178837858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571F3245" w14:textId="5926A54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9" w:history="1">
            <w:r w:rsidR="00FD58BF" w:rsidRPr="003004E5">
              <w:rPr>
                <w:rStyle w:val="Lienhypertexte"/>
                <w:noProof/>
              </w:rPr>
              <w:t>22.13.3e Prélinteaux en U en éléments en béton cellulaire + profilé métallique + âmes en béton coulé en place CCTB 01.10</w:t>
            </w:r>
            <w:r w:rsidR="00FD58BF">
              <w:rPr>
                <w:noProof/>
                <w:webHidden/>
              </w:rPr>
              <w:tab/>
            </w:r>
            <w:r w:rsidR="00FD58BF">
              <w:rPr>
                <w:noProof/>
                <w:webHidden/>
              </w:rPr>
              <w:fldChar w:fldCharType="begin"/>
            </w:r>
            <w:r w:rsidR="00FD58BF">
              <w:rPr>
                <w:noProof/>
                <w:webHidden/>
              </w:rPr>
              <w:instrText xml:space="preserve"> PAGEREF _Toc178837859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62D862D9" w14:textId="0266AF9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0" w:history="1">
            <w:r w:rsidR="00FD58BF" w:rsidRPr="003004E5">
              <w:rPr>
                <w:rStyle w:val="Lienhypertexte"/>
                <w:noProof/>
              </w:rPr>
              <w:t>22.13.3f Prélinteaux en U en éléments en matière synthétique + âmes en béton coulé en place CCTB 01.10</w:t>
            </w:r>
            <w:r w:rsidR="00FD58BF">
              <w:rPr>
                <w:noProof/>
                <w:webHidden/>
              </w:rPr>
              <w:tab/>
            </w:r>
            <w:r w:rsidR="00FD58BF">
              <w:rPr>
                <w:noProof/>
                <w:webHidden/>
              </w:rPr>
              <w:fldChar w:fldCharType="begin"/>
            </w:r>
            <w:r w:rsidR="00FD58BF">
              <w:rPr>
                <w:noProof/>
                <w:webHidden/>
              </w:rPr>
              <w:instrText xml:space="preserve"> PAGEREF _Toc178837860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2254FA3F" w14:textId="3606A2E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1" w:history="1">
            <w:r w:rsidR="00FD58BF" w:rsidRPr="003004E5">
              <w:rPr>
                <w:rStyle w:val="Lienhypertexte"/>
                <w:noProof/>
              </w:rPr>
              <w:t>22.13.3g Prélinteaux en U en éléments en fibres de bois minéralisées + âmes en béton coulé en place CCTB 01.10</w:t>
            </w:r>
            <w:r w:rsidR="00FD58BF">
              <w:rPr>
                <w:noProof/>
                <w:webHidden/>
              </w:rPr>
              <w:tab/>
            </w:r>
            <w:r w:rsidR="00FD58BF">
              <w:rPr>
                <w:noProof/>
                <w:webHidden/>
              </w:rPr>
              <w:fldChar w:fldCharType="begin"/>
            </w:r>
            <w:r w:rsidR="00FD58BF">
              <w:rPr>
                <w:noProof/>
                <w:webHidden/>
              </w:rPr>
              <w:instrText xml:space="preserve"> PAGEREF _Toc178837861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31110D71" w14:textId="5FB0F2F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2" w:history="1">
            <w:r w:rsidR="00FD58BF" w:rsidRPr="003004E5">
              <w:rPr>
                <w:rStyle w:val="Lienhypertexte"/>
                <w:noProof/>
              </w:rPr>
              <w:t>22.13.3h Prélinteaux en U en éléments en pierre ponce + âmes en béton coulé en place CCTB 01.10</w:t>
            </w:r>
            <w:r w:rsidR="00FD58BF">
              <w:rPr>
                <w:noProof/>
                <w:webHidden/>
              </w:rPr>
              <w:tab/>
            </w:r>
            <w:r w:rsidR="00FD58BF">
              <w:rPr>
                <w:noProof/>
                <w:webHidden/>
              </w:rPr>
              <w:fldChar w:fldCharType="begin"/>
            </w:r>
            <w:r w:rsidR="00FD58BF">
              <w:rPr>
                <w:noProof/>
                <w:webHidden/>
              </w:rPr>
              <w:instrText xml:space="preserve"> PAGEREF _Toc178837862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763D779F" w14:textId="43BC0A0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63" w:history="1">
            <w:r w:rsidR="00FD58BF" w:rsidRPr="003004E5">
              <w:rPr>
                <w:rStyle w:val="Lienhypertexte"/>
                <w:noProof/>
              </w:rPr>
              <w:t>22.14 Colonnes en béton CCTB 01.04</w:t>
            </w:r>
            <w:r w:rsidR="00FD58BF">
              <w:rPr>
                <w:noProof/>
                <w:webHidden/>
              </w:rPr>
              <w:tab/>
            </w:r>
            <w:r w:rsidR="00FD58BF">
              <w:rPr>
                <w:noProof/>
                <w:webHidden/>
              </w:rPr>
              <w:fldChar w:fldCharType="begin"/>
            </w:r>
            <w:r w:rsidR="00FD58BF">
              <w:rPr>
                <w:noProof/>
                <w:webHidden/>
              </w:rPr>
              <w:instrText xml:space="preserve"> PAGEREF _Toc178837863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2F230B38" w14:textId="0A6C3DD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4" w:history="1">
            <w:r w:rsidR="00FD58BF" w:rsidRPr="003004E5">
              <w:rPr>
                <w:rStyle w:val="Lienhypertexte"/>
                <w:noProof/>
              </w:rPr>
              <w:t>22.14.1 Colonnes en béton coulé en place CCTB 01.04</w:t>
            </w:r>
            <w:r w:rsidR="00FD58BF">
              <w:rPr>
                <w:noProof/>
                <w:webHidden/>
              </w:rPr>
              <w:tab/>
            </w:r>
            <w:r w:rsidR="00FD58BF">
              <w:rPr>
                <w:noProof/>
                <w:webHidden/>
              </w:rPr>
              <w:fldChar w:fldCharType="begin"/>
            </w:r>
            <w:r w:rsidR="00FD58BF">
              <w:rPr>
                <w:noProof/>
                <w:webHidden/>
              </w:rPr>
              <w:instrText xml:space="preserve"> PAGEREF _Toc178837864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6E7231F1" w14:textId="08A8A3F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5" w:history="1">
            <w:r w:rsidR="00FD58BF" w:rsidRPr="003004E5">
              <w:rPr>
                <w:rStyle w:val="Lienhypertexte"/>
                <w:noProof/>
              </w:rPr>
              <w:t>22.14.1a Colonnes en béton armé coulé en place CCTB 01.11</w:t>
            </w:r>
            <w:r w:rsidR="00FD58BF">
              <w:rPr>
                <w:noProof/>
                <w:webHidden/>
              </w:rPr>
              <w:tab/>
            </w:r>
            <w:r w:rsidR="00FD58BF">
              <w:rPr>
                <w:noProof/>
                <w:webHidden/>
              </w:rPr>
              <w:fldChar w:fldCharType="begin"/>
            </w:r>
            <w:r w:rsidR="00FD58BF">
              <w:rPr>
                <w:noProof/>
                <w:webHidden/>
              </w:rPr>
              <w:instrText xml:space="preserve"> PAGEREF _Toc178837865 \h </w:instrText>
            </w:r>
            <w:r w:rsidR="00FD58BF">
              <w:rPr>
                <w:noProof/>
                <w:webHidden/>
              </w:rPr>
            </w:r>
            <w:r w:rsidR="00FD58BF">
              <w:rPr>
                <w:noProof/>
                <w:webHidden/>
              </w:rPr>
              <w:fldChar w:fldCharType="separate"/>
            </w:r>
            <w:r w:rsidR="00FD58BF">
              <w:rPr>
                <w:noProof/>
                <w:webHidden/>
              </w:rPr>
              <w:t>532</w:t>
            </w:r>
            <w:r w:rsidR="00FD58BF">
              <w:rPr>
                <w:noProof/>
                <w:webHidden/>
              </w:rPr>
              <w:fldChar w:fldCharType="end"/>
            </w:r>
          </w:hyperlink>
        </w:p>
        <w:p w14:paraId="2DF2D925" w14:textId="2D96507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6" w:history="1">
            <w:r w:rsidR="00FD58BF" w:rsidRPr="003004E5">
              <w:rPr>
                <w:rStyle w:val="Lienhypertexte"/>
                <w:noProof/>
              </w:rPr>
              <w:t>22.14.2 Colonnes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_Toc178837866 \h </w:instrText>
            </w:r>
            <w:r w:rsidR="00FD58BF">
              <w:rPr>
                <w:noProof/>
                <w:webHidden/>
              </w:rPr>
            </w:r>
            <w:r w:rsidR="00FD58BF">
              <w:rPr>
                <w:noProof/>
                <w:webHidden/>
              </w:rPr>
              <w:fldChar w:fldCharType="separate"/>
            </w:r>
            <w:r w:rsidR="00FD58BF">
              <w:rPr>
                <w:noProof/>
                <w:webHidden/>
              </w:rPr>
              <w:t>536</w:t>
            </w:r>
            <w:r w:rsidR="00FD58BF">
              <w:rPr>
                <w:noProof/>
                <w:webHidden/>
              </w:rPr>
              <w:fldChar w:fldCharType="end"/>
            </w:r>
          </w:hyperlink>
        </w:p>
        <w:p w14:paraId="58813E2D" w14:textId="557A55E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7" w:history="1">
            <w:r w:rsidR="00FD58BF" w:rsidRPr="003004E5">
              <w:rPr>
                <w:rStyle w:val="Lienhypertexte"/>
                <w:noProof/>
              </w:rPr>
              <w:t>22.14.2a Colonnes en béton apparent (esthétique) armé coulé en place CCTB 01.11</w:t>
            </w:r>
            <w:r w:rsidR="00FD58BF">
              <w:rPr>
                <w:noProof/>
                <w:webHidden/>
              </w:rPr>
              <w:tab/>
            </w:r>
            <w:r w:rsidR="00FD58BF">
              <w:rPr>
                <w:noProof/>
                <w:webHidden/>
              </w:rPr>
              <w:fldChar w:fldCharType="begin"/>
            </w:r>
            <w:r w:rsidR="00FD58BF">
              <w:rPr>
                <w:noProof/>
                <w:webHidden/>
              </w:rPr>
              <w:instrText xml:space="preserve"> PAGEREF _Toc178837867 \h </w:instrText>
            </w:r>
            <w:r w:rsidR="00FD58BF">
              <w:rPr>
                <w:noProof/>
                <w:webHidden/>
              </w:rPr>
            </w:r>
            <w:r w:rsidR="00FD58BF">
              <w:rPr>
                <w:noProof/>
                <w:webHidden/>
              </w:rPr>
              <w:fldChar w:fldCharType="separate"/>
            </w:r>
            <w:r w:rsidR="00FD58BF">
              <w:rPr>
                <w:noProof/>
                <w:webHidden/>
              </w:rPr>
              <w:t>536</w:t>
            </w:r>
            <w:r w:rsidR="00FD58BF">
              <w:rPr>
                <w:noProof/>
                <w:webHidden/>
              </w:rPr>
              <w:fldChar w:fldCharType="end"/>
            </w:r>
          </w:hyperlink>
        </w:p>
        <w:p w14:paraId="713B271A" w14:textId="4813734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8" w:history="1">
            <w:r w:rsidR="00FD58BF" w:rsidRPr="003004E5">
              <w:rPr>
                <w:rStyle w:val="Lienhypertexte"/>
                <w:noProof/>
              </w:rPr>
              <w:t>22.14.3 Colonnes préfabriquées en béton CCTB 01.11</w:t>
            </w:r>
            <w:r w:rsidR="00FD58BF">
              <w:rPr>
                <w:noProof/>
                <w:webHidden/>
              </w:rPr>
              <w:tab/>
            </w:r>
            <w:r w:rsidR="00FD58BF">
              <w:rPr>
                <w:noProof/>
                <w:webHidden/>
              </w:rPr>
              <w:fldChar w:fldCharType="begin"/>
            </w:r>
            <w:r w:rsidR="00FD58BF">
              <w:rPr>
                <w:noProof/>
                <w:webHidden/>
              </w:rPr>
              <w:instrText xml:space="preserve"> PAGEREF _Toc178837868 \h </w:instrText>
            </w:r>
            <w:r w:rsidR="00FD58BF">
              <w:rPr>
                <w:noProof/>
                <w:webHidden/>
              </w:rPr>
            </w:r>
            <w:r w:rsidR="00FD58BF">
              <w:rPr>
                <w:noProof/>
                <w:webHidden/>
              </w:rPr>
              <w:fldChar w:fldCharType="separate"/>
            </w:r>
            <w:r w:rsidR="00FD58BF">
              <w:rPr>
                <w:noProof/>
                <w:webHidden/>
              </w:rPr>
              <w:t>540</w:t>
            </w:r>
            <w:r w:rsidR="00FD58BF">
              <w:rPr>
                <w:noProof/>
                <w:webHidden/>
              </w:rPr>
              <w:fldChar w:fldCharType="end"/>
            </w:r>
          </w:hyperlink>
        </w:p>
        <w:p w14:paraId="0557F9B9" w14:textId="4CEB50C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9" w:history="1">
            <w:r w:rsidR="00FD58BF" w:rsidRPr="003004E5">
              <w:rPr>
                <w:rStyle w:val="Lienhypertexte"/>
                <w:noProof/>
              </w:rPr>
              <w:t>22.14.3a Colonnes préfabriquées en béton armé CCTB 01.11</w:t>
            </w:r>
            <w:r w:rsidR="00FD58BF">
              <w:rPr>
                <w:noProof/>
                <w:webHidden/>
              </w:rPr>
              <w:tab/>
            </w:r>
            <w:r w:rsidR="00FD58BF">
              <w:rPr>
                <w:noProof/>
                <w:webHidden/>
              </w:rPr>
              <w:fldChar w:fldCharType="begin"/>
            </w:r>
            <w:r w:rsidR="00FD58BF">
              <w:rPr>
                <w:noProof/>
                <w:webHidden/>
              </w:rPr>
              <w:instrText xml:space="preserve"> PAGEREF _Toc178837869 \h </w:instrText>
            </w:r>
            <w:r w:rsidR="00FD58BF">
              <w:rPr>
                <w:noProof/>
                <w:webHidden/>
              </w:rPr>
            </w:r>
            <w:r w:rsidR="00FD58BF">
              <w:rPr>
                <w:noProof/>
                <w:webHidden/>
              </w:rPr>
              <w:fldChar w:fldCharType="separate"/>
            </w:r>
            <w:r w:rsidR="00FD58BF">
              <w:rPr>
                <w:noProof/>
                <w:webHidden/>
              </w:rPr>
              <w:t>540</w:t>
            </w:r>
            <w:r w:rsidR="00FD58BF">
              <w:rPr>
                <w:noProof/>
                <w:webHidden/>
              </w:rPr>
              <w:fldChar w:fldCharType="end"/>
            </w:r>
          </w:hyperlink>
        </w:p>
        <w:p w14:paraId="1B13E9A1" w14:textId="40D43B1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0" w:history="1">
            <w:r w:rsidR="00FD58BF" w:rsidRPr="003004E5">
              <w:rPr>
                <w:rStyle w:val="Lienhypertexte"/>
                <w:noProof/>
              </w:rPr>
              <w:t>22.14.3b Colonnes préfabriquées en béton précontraint CCTB 01.11</w:t>
            </w:r>
            <w:r w:rsidR="00FD58BF">
              <w:rPr>
                <w:noProof/>
                <w:webHidden/>
              </w:rPr>
              <w:tab/>
            </w:r>
            <w:r w:rsidR="00FD58BF">
              <w:rPr>
                <w:noProof/>
                <w:webHidden/>
              </w:rPr>
              <w:fldChar w:fldCharType="begin"/>
            </w:r>
            <w:r w:rsidR="00FD58BF">
              <w:rPr>
                <w:noProof/>
                <w:webHidden/>
              </w:rPr>
              <w:instrText xml:space="preserve"> PAGEREF _Toc178837870 \h </w:instrText>
            </w:r>
            <w:r w:rsidR="00FD58BF">
              <w:rPr>
                <w:noProof/>
                <w:webHidden/>
              </w:rPr>
            </w:r>
            <w:r w:rsidR="00FD58BF">
              <w:rPr>
                <w:noProof/>
                <w:webHidden/>
              </w:rPr>
              <w:fldChar w:fldCharType="separate"/>
            </w:r>
            <w:r w:rsidR="00FD58BF">
              <w:rPr>
                <w:noProof/>
                <w:webHidden/>
              </w:rPr>
              <w:t>542</w:t>
            </w:r>
            <w:r w:rsidR="00FD58BF">
              <w:rPr>
                <w:noProof/>
                <w:webHidden/>
              </w:rPr>
              <w:fldChar w:fldCharType="end"/>
            </w:r>
          </w:hyperlink>
        </w:p>
        <w:p w14:paraId="65F67A89" w14:textId="014BAE9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1" w:history="1">
            <w:r w:rsidR="00FD58BF" w:rsidRPr="003004E5">
              <w:rPr>
                <w:rStyle w:val="Lienhypertexte"/>
                <w:noProof/>
              </w:rPr>
              <w:t>22.14.4 Colonnes préfabriquées en béton architectonique CCTB 01.04</w:t>
            </w:r>
            <w:r w:rsidR="00FD58BF">
              <w:rPr>
                <w:noProof/>
                <w:webHidden/>
              </w:rPr>
              <w:tab/>
            </w:r>
            <w:r w:rsidR="00FD58BF">
              <w:rPr>
                <w:noProof/>
                <w:webHidden/>
              </w:rPr>
              <w:fldChar w:fldCharType="begin"/>
            </w:r>
            <w:r w:rsidR="00FD58BF">
              <w:rPr>
                <w:noProof/>
                <w:webHidden/>
              </w:rPr>
              <w:instrText xml:space="preserve"> PAGEREF _Toc178837871 \h </w:instrText>
            </w:r>
            <w:r w:rsidR="00FD58BF">
              <w:rPr>
                <w:noProof/>
                <w:webHidden/>
              </w:rPr>
            </w:r>
            <w:r w:rsidR="00FD58BF">
              <w:rPr>
                <w:noProof/>
                <w:webHidden/>
              </w:rPr>
              <w:fldChar w:fldCharType="separate"/>
            </w:r>
            <w:r w:rsidR="00FD58BF">
              <w:rPr>
                <w:noProof/>
                <w:webHidden/>
              </w:rPr>
              <w:t>544</w:t>
            </w:r>
            <w:r w:rsidR="00FD58BF">
              <w:rPr>
                <w:noProof/>
                <w:webHidden/>
              </w:rPr>
              <w:fldChar w:fldCharType="end"/>
            </w:r>
          </w:hyperlink>
        </w:p>
        <w:p w14:paraId="3BC7CAB0" w14:textId="05ED296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2" w:history="1">
            <w:r w:rsidR="00FD58BF" w:rsidRPr="003004E5">
              <w:rPr>
                <w:rStyle w:val="Lienhypertexte"/>
                <w:noProof/>
              </w:rPr>
              <w:t>22.14.4a Colonnes préfabriquées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_Toc178837872 \h </w:instrText>
            </w:r>
            <w:r w:rsidR="00FD58BF">
              <w:rPr>
                <w:noProof/>
                <w:webHidden/>
              </w:rPr>
            </w:r>
            <w:r w:rsidR="00FD58BF">
              <w:rPr>
                <w:noProof/>
                <w:webHidden/>
              </w:rPr>
              <w:fldChar w:fldCharType="separate"/>
            </w:r>
            <w:r w:rsidR="00FD58BF">
              <w:rPr>
                <w:noProof/>
                <w:webHidden/>
              </w:rPr>
              <w:t>544</w:t>
            </w:r>
            <w:r w:rsidR="00FD58BF">
              <w:rPr>
                <w:noProof/>
                <w:webHidden/>
              </w:rPr>
              <w:fldChar w:fldCharType="end"/>
            </w:r>
          </w:hyperlink>
        </w:p>
        <w:p w14:paraId="7AB79182" w14:textId="62C368D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3" w:history="1">
            <w:r w:rsidR="00FD58BF" w:rsidRPr="003004E5">
              <w:rPr>
                <w:rStyle w:val="Lienhypertexte"/>
                <w:noProof/>
              </w:rPr>
              <w:t>22.14.5 Colonnes mixtes acier-béton CCTB 01.11</w:t>
            </w:r>
            <w:r w:rsidR="00FD58BF">
              <w:rPr>
                <w:noProof/>
                <w:webHidden/>
              </w:rPr>
              <w:tab/>
            </w:r>
            <w:r w:rsidR="00FD58BF">
              <w:rPr>
                <w:noProof/>
                <w:webHidden/>
              </w:rPr>
              <w:fldChar w:fldCharType="begin"/>
            </w:r>
            <w:r w:rsidR="00FD58BF">
              <w:rPr>
                <w:noProof/>
                <w:webHidden/>
              </w:rPr>
              <w:instrText xml:space="preserve"> PAGEREF _Toc178837873 \h </w:instrText>
            </w:r>
            <w:r w:rsidR="00FD58BF">
              <w:rPr>
                <w:noProof/>
                <w:webHidden/>
              </w:rPr>
            </w:r>
            <w:r w:rsidR="00FD58BF">
              <w:rPr>
                <w:noProof/>
                <w:webHidden/>
              </w:rPr>
              <w:fldChar w:fldCharType="separate"/>
            </w:r>
            <w:r w:rsidR="00FD58BF">
              <w:rPr>
                <w:noProof/>
                <w:webHidden/>
              </w:rPr>
              <w:t>547</w:t>
            </w:r>
            <w:r w:rsidR="00FD58BF">
              <w:rPr>
                <w:noProof/>
                <w:webHidden/>
              </w:rPr>
              <w:fldChar w:fldCharType="end"/>
            </w:r>
          </w:hyperlink>
        </w:p>
        <w:p w14:paraId="6F5624AE" w14:textId="1513A23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4" w:history="1">
            <w:r w:rsidR="00FD58BF" w:rsidRPr="003004E5">
              <w:rPr>
                <w:rStyle w:val="Lienhypertexte"/>
                <w:noProof/>
              </w:rPr>
              <w:t>22.14.5a Colonnes mixtes acier-béton coulées en place CCTB 01.11</w:t>
            </w:r>
            <w:r w:rsidR="00FD58BF">
              <w:rPr>
                <w:noProof/>
                <w:webHidden/>
              </w:rPr>
              <w:tab/>
            </w:r>
            <w:r w:rsidR="00FD58BF">
              <w:rPr>
                <w:noProof/>
                <w:webHidden/>
              </w:rPr>
              <w:fldChar w:fldCharType="begin"/>
            </w:r>
            <w:r w:rsidR="00FD58BF">
              <w:rPr>
                <w:noProof/>
                <w:webHidden/>
              </w:rPr>
              <w:instrText xml:space="preserve"> PAGEREF _Toc178837874 \h </w:instrText>
            </w:r>
            <w:r w:rsidR="00FD58BF">
              <w:rPr>
                <w:noProof/>
                <w:webHidden/>
              </w:rPr>
            </w:r>
            <w:r w:rsidR="00FD58BF">
              <w:rPr>
                <w:noProof/>
                <w:webHidden/>
              </w:rPr>
              <w:fldChar w:fldCharType="separate"/>
            </w:r>
            <w:r w:rsidR="00FD58BF">
              <w:rPr>
                <w:noProof/>
                <w:webHidden/>
              </w:rPr>
              <w:t>548</w:t>
            </w:r>
            <w:r w:rsidR="00FD58BF">
              <w:rPr>
                <w:noProof/>
                <w:webHidden/>
              </w:rPr>
              <w:fldChar w:fldCharType="end"/>
            </w:r>
          </w:hyperlink>
        </w:p>
        <w:p w14:paraId="56CA1C2C" w14:textId="6648073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5" w:history="1">
            <w:r w:rsidR="00FD58BF" w:rsidRPr="003004E5">
              <w:rPr>
                <w:rStyle w:val="Lienhypertexte"/>
                <w:noProof/>
              </w:rPr>
              <w:t>22.14.5b Colonnes mixtes acier-béton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_Toc178837875 \h </w:instrText>
            </w:r>
            <w:r w:rsidR="00FD58BF">
              <w:rPr>
                <w:noProof/>
                <w:webHidden/>
              </w:rPr>
            </w:r>
            <w:r w:rsidR="00FD58BF">
              <w:rPr>
                <w:noProof/>
                <w:webHidden/>
              </w:rPr>
              <w:fldChar w:fldCharType="separate"/>
            </w:r>
            <w:r w:rsidR="00FD58BF">
              <w:rPr>
                <w:noProof/>
                <w:webHidden/>
              </w:rPr>
              <w:t>550</w:t>
            </w:r>
            <w:r w:rsidR="00FD58BF">
              <w:rPr>
                <w:noProof/>
                <w:webHidden/>
              </w:rPr>
              <w:fldChar w:fldCharType="end"/>
            </w:r>
          </w:hyperlink>
        </w:p>
        <w:p w14:paraId="22A7B2A8" w14:textId="6237FD8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6" w:history="1">
            <w:r w:rsidR="00FD58BF" w:rsidRPr="003004E5">
              <w:rPr>
                <w:rStyle w:val="Lienhypertexte"/>
                <w:noProof/>
              </w:rPr>
              <w:t>22.14.5c Colonnes préfabriquées mixtes acier-béton CCTB 01.04</w:t>
            </w:r>
            <w:r w:rsidR="00FD58BF">
              <w:rPr>
                <w:noProof/>
                <w:webHidden/>
              </w:rPr>
              <w:tab/>
            </w:r>
            <w:r w:rsidR="00FD58BF">
              <w:rPr>
                <w:noProof/>
                <w:webHidden/>
              </w:rPr>
              <w:fldChar w:fldCharType="begin"/>
            </w:r>
            <w:r w:rsidR="00FD58BF">
              <w:rPr>
                <w:noProof/>
                <w:webHidden/>
              </w:rPr>
              <w:instrText xml:space="preserve"> PAGEREF _Toc178837876 \h </w:instrText>
            </w:r>
            <w:r w:rsidR="00FD58BF">
              <w:rPr>
                <w:noProof/>
                <w:webHidden/>
              </w:rPr>
            </w:r>
            <w:r w:rsidR="00FD58BF">
              <w:rPr>
                <w:noProof/>
                <w:webHidden/>
              </w:rPr>
              <w:fldChar w:fldCharType="separate"/>
            </w:r>
            <w:r w:rsidR="00FD58BF">
              <w:rPr>
                <w:noProof/>
                <w:webHidden/>
              </w:rPr>
              <w:t>550</w:t>
            </w:r>
            <w:r w:rsidR="00FD58BF">
              <w:rPr>
                <w:noProof/>
                <w:webHidden/>
              </w:rPr>
              <w:fldChar w:fldCharType="end"/>
            </w:r>
          </w:hyperlink>
        </w:p>
        <w:p w14:paraId="167D9560" w14:textId="5138E35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7" w:history="1">
            <w:r w:rsidR="00FD58BF" w:rsidRPr="003004E5">
              <w:rPr>
                <w:rStyle w:val="Lienhypertexte"/>
                <w:noProof/>
              </w:rPr>
              <w:t>22.14.5d Colonnes préfabriquées mixtes acier-béton précontraint CCTB 01.04</w:t>
            </w:r>
            <w:r w:rsidR="00FD58BF">
              <w:rPr>
                <w:noProof/>
                <w:webHidden/>
              </w:rPr>
              <w:tab/>
            </w:r>
            <w:r w:rsidR="00FD58BF">
              <w:rPr>
                <w:noProof/>
                <w:webHidden/>
              </w:rPr>
              <w:fldChar w:fldCharType="begin"/>
            </w:r>
            <w:r w:rsidR="00FD58BF">
              <w:rPr>
                <w:noProof/>
                <w:webHidden/>
              </w:rPr>
              <w:instrText xml:space="preserve"> PAGEREF _Toc178837877 \h </w:instrText>
            </w:r>
            <w:r w:rsidR="00FD58BF">
              <w:rPr>
                <w:noProof/>
                <w:webHidden/>
              </w:rPr>
            </w:r>
            <w:r w:rsidR="00FD58BF">
              <w:rPr>
                <w:noProof/>
                <w:webHidden/>
              </w:rPr>
              <w:fldChar w:fldCharType="separate"/>
            </w:r>
            <w:r w:rsidR="00FD58BF">
              <w:rPr>
                <w:noProof/>
                <w:webHidden/>
              </w:rPr>
              <w:t>550</w:t>
            </w:r>
            <w:r w:rsidR="00FD58BF">
              <w:rPr>
                <w:noProof/>
                <w:webHidden/>
              </w:rPr>
              <w:fldChar w:fldCharType="end"/>
            </w:r>
          </w:hyperlink>
        </w:p>
        <w:p w14:paraId="6AD83C25" w14:textId="2CBADDC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8" w:history="1">
            <w:r w:rsidR="00FD58BF" w:rsidRPr="003004E5">
              <w:rPr>
                <w:rStyle w:val="Lienhypertexte"/>
                <w:noProof/>
              </w:rPr>
              <w:t>22.14.5e Colonnes préfabriquées mixtes acier-béton décoratif / architectonique CCTB 01.04</w:t>
            </w:r>
            <w:r w:rsidR="00FD58BF">
              <w:rPr>
                <w:noProof/>
                <w:webHidden/>
              </w:rPr>
              <w:tab/>
            </w:r>
            <w:r w:rsidR="00FD58BF">
              <w:rPr>
                <w:noProof/>
                <w:webHidden/>
              </w:rPr>
              <w:fldChar w:fldCharType="begin"/>
            </w:r>
            <w:r w:rsidR="00FD58BF">
              <w:rPr>
                <w:noProof/>
                <w:webHidden/>
              </w:rPr>
              <w:instrText xml:space="preserve"> PAGEREF _Toc178837878 \h </w:instrText>
            </w:r>
            <w:r w:rsidR="00FD58BF">
              <w:rPr>
                <w:noProof/>
                <w:webHidden/>
              </w:rPr>
            </w:r>
            <w:r w:rsidR="00FD58BF">
              <w:rPr>
                <w:noProof/>
                <w:webHidden/>
              </w:rPr>
              <w:fldChar w:fldCharType="separate"/>
            </w:r>
            <w:r w:rsidR="00FD58BF">
              <w:rPr>
                <w:noProof/>
                <w:webHidden/>
              </w:rPr>
              <w:t>550</w:t>
            </w:r>
            <w:r w:rsidR="00FD58BF">
              <w:rPr>
                <w:noProof/>
                <w:webHidden/>
              </w:rPr>
              <w:fldChar w:fldCharType="end"/>
            </w:r>
          </w:hyperlink>
        </w:p>
        <w:p w14:paraId="04884118" w14:textId="73E68AD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79" w:history="1">
            <w:r w:rsidR="00FD58BF" w:rsidRPr="003004E5">
              <w:rPr>
                <w:rStyle w:val="Lienhypertexte"/>
                <w:noProof/>
              </w:rPr>
              <w:t>22.15 Planchers en béton CCTB 01.11</w:t>
            </w:r>
            <w:r w:rsidR="00FD58BF">
              <w:rPr>
                <w:noProof/>
                <w:webHidden/>
              </w:rPr>
              <w:tab/>
            </w:r>
            <w:r w:rsidR="00FD58BF">
              <w:rPr>
                <w:noProof/>
                <w:webHidden/>
              </w:rPr>
              <w:fldChar w:fldCharType="begin"/>
            </w:r>
            <w:r w:rsidR="00FD58BF">
              <w:rPr>
                <w:noProof/>
                <w:webHidden/>
              </w:rPr>
              <w:instrText xml:space="preserve"> PAGEREF _Toc178837879 \h </w:instrText>
            </w:r>
            <w:r w:rsidR="00FD58BF">
              <w:rPr>
                <w:noProof/>
                <w:webHidden/>
              </w:rPr>
            </w:r>
            <w:r w:rsidR="00FD58BF">
              <w:rPr>
                <w:noProof/>
                <w:webHidden/>
              </w:rPr>
              <w:fldChar w:fldCharType="separate"/>
            </w:r>
            <w:r w:rsidR="00FD58BF">
              <w:rPr>
                <w:noProof/>
                <w:webHidden/>
              </w:rPr>
              <w:t>550</w:t>
            </w:r>
            <w:r w:rsidR="00FD58BF">
              <w:rPr>
                <w:noProof/>
                <w:webHidden/>
              </w:rPr>
              <w:fldChar w:fldCharType="end"/>
            </w:r>
          </w:hyperlink>
        </w:p>
        <w:p w14:paraId="7A35EDB0" w14:textId="278E585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0" w:history="1">
            <w:r w:rsidR="00FD58BF" w:rsidRPr="003004E5">
              <w:rPr>
                <w:rStyle w:val="Lienhypertexte"/>
                <w:noProof/>
              </w:rPr>
              <w:t>22.15.1 Planchers en béton coulé en place CCTB 01.11</w:t>
            </w:r>
            <w:r w:rsidR="00FD58BF">
              <w:rPr>
                <w:noProof/>
                <w:webHidden/>
              </w:rPr>
              <w:tab/>
            </w:r>
            <w:r w:rsidR="00FD58BF">
              <w:rPr>
                <w:noProof/>
                <w:webHidden/>
              </w:rPr>
              <w:fldChar w:fldCharType="begin"/>
            </w:r>
            <w:r w:rsidR="00FD58BF">
              <w:rPr>
                <w:noProof/>
                <w:webHidden/>
              </w:rPr>
              <w:instrText xml:space="preserve"> PAGEREF _Toc178837880 \h </w:instrText>
            </w:r>
            <w:r w:rsidR="00FD58BF">
              <w:rPr>
                <w:noProof/>
                <w:webHidden/>
              </w:rPr>
            </w:r>
            <w:r w:rsidR="00FD58BF">
              <w:rPr>
                <w:noProof/>
                <w:webHidden/>
              </w:rPr>
              <w:fldChar w:fldCharType="separate"/>
            </w:r>
            <w:r w:rsidR="00FD58BF">
              <w:rPr>
                <w:noProof/>
                <w:webHidden/>
              </w:rPr>
              <w:t>553</w:t>
            </w:r>
            <w:r w:rsidR="00FD58BF">
              <w:rPr>
                <w:noProof/>
                <w:webHidden/>
              </w:rPr>
              <w:fldChar w:fldCharType="end"/>
            </w:r>
          </w:hyperlink>
        </w:p>
        <w:p w14:paraId="01EC6D15" w14:textId="20148A4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1" w:history="1">
            <w:r w:rsidR="00FD58BF" w:rsidRPr="003004E5">
              <w:rPr>
                <w:rStyle w:val="Lienhypertexte"/>
                <w:noProof/>
              </w:rPr>
              <w:t>22.15.1a Planchers en dalles pleines de béton armé coulé en place CCTB 01.12</w:t>
            </w:r>
            <w:r w:rsidR="00FD58BF">
              <w:rPr>
                <w:noProof/>
                <w:webHidden/>
              </w:rPr>
              <w:tab/>
            </w:r>
            <w:r w:rsidR="00FD58BF">
              <w:rPr>
                <w:noProof/>
                <w:webHidden/>
              </w:rPr>
              <w:fldChar w:fldCharType="begin"/>
            </w:r>
            <w:r w:rsidR="00FD58BF">
              <w:rPr>
                <w:noProof/>
                <w:webHidden/>
              </w:rPr>
              <w:instrText xml:space="preserve"> PAGEREF _Toc178837881 \h </w:instrText>
            </w:r>
            <w:r w:rsidR="00FD58BF">
              <w:rPr>
                <w:noProof/>
                <w:webHidden/>
              </w:rPr>
            </w:r>
            <w:r w:rsidR="00FD58BF">
              <w:rPr>
                <w:noProof/>
                <w:webHidden/>
              </w:rPr>
              <w:fldChar w:fldCharType="separate"/>
            </w:r>
            <w:r w:rsidR="00FD58BF">
              <w:rPr>
                <w:noProof/>
                <w:webHidden/>
              </w:rPr>
              <w:t>553</w:t>
            </w:r>
            <w:r w:rsidR="00FD58BF">
              <w:rPr>
                <w:noProof/>
                <w:webHidden/>
              </w:rPr>
              <w:fldChar w:fldCharType="end"/>
            </w:r>
          </w:hyperlink>
        </w:p>
        <w:p w14:paraId="662160B8" w14:textId="13701A5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2" w:history="1">
            <w:r w:rsidR="00FD58BF" w:rsidRPr="003004E5">
              <w:rPr>
                <w:rStyle w:val="Lienhypertexte"/>
                <w:noProof/>
              </w:rPr>
              <w:t>22.15.1b Planchers en dalles pleines nervurées de béton armé coulé en place CCTB 01.12</w:t>
            </w:r>
            <w:r w:rsidR="00FD58BF">
              <w:rPr>
                <w:noProof/>
                <w:webHidden/>
              </w:rPr>
              <w:tab/>
            </w:r>
            <w:r w:rsidR="00FD58BF">
              <w:rPr>
                <w:noProof/>
                <w:webHidden/>
              </w:rPr>
              <w:fldChar w:fldCharType="begin"/>
            </w:r>
            <w:r w:rsidR="00FD58BF">
              <w:rPr>
                <w:noProof/>
                <w:webHidden/>
              </w:rPr>
              <w:instrText xml:space="preserve"> PAGEREF _Toc178837882 \h </w:instrText>
            </w:r>
            <w:r w:rsidR="00FD58BF">
              <w:rPr>
                <w:noProof/>
                <w:webHidden/>
              </w:rPr>
            </w:r>
            <w:r w:rsidR="00FD58BF">
              <w:rPr>
                <w:noProof/>
                <w:webHidden/>
              </w:rPr>
              <w:fldChar w:fldCharType="separate"/>
            </w:r>
            <w:r w:rsidR="00FD58BF">
              <w:rPr>
                <w:noProof/>
                <w:webHidden/>
              </w:rPr>
              <w:t>555</w:t>
            </w:r>
            <w:r w:rsidR="00FD58BF">
              <w:rPr>
                <w:noProof/>
                <w:webHidden/>
              </w:rPr>
              <w:fldChar w:fldCharType="end"/>
            </w:r>
          </w:hyperlink>
        </w:p>
        <w:p w14:paraId="2988657D" w14:textId="170F7B1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3" w:history="1">
            <w:r w:rsidR="00FD58BF" w:rsidRPr="003004E5">
              <w:rPr>
                <w:rStyle w:val="Lienhypertexte"/>
                <w:noProof/>
              </w:rPr>
              <w:t>22.15.1c Planchers-champignons en béton armé coulé en place CCTB 01.12</w:t>
            </w:r>
            <w:r w:rsidR="00FD58BF">
              <w:rPr>
                <w:noProof/>
                <w:webHidden/>
              </w:rPr>
              <w:tab/>
            </w:r>
            <w:r w:rsidR="00FD58BF">
              <w:rPr>
                <w:noProof/>
                <w:webHidden/>
              </w:rPr>
              <w:fldChar w:fldCharType="begin"/>
            </w:r>
            <w:r w:rsidR="00FD58BF">
              <w:rPr>
                <w:noProof/>
                <w:webHidden/>
              </w:rPr>
              <w:instrText xml:space="preserve"> PAGEREF _Toc178837883 \h </w:instrText>
            </w:r>
            <w:r w:rsidR="00FD58BF">
              <w:rPr>
                <w:noProof/>
                <w:webHidden/>
              </w:rPr>
            </w:r>
            <w:r w:rsidR="00FD58BF">
              <w:rPr>
                <w:noProof/>
                <w:webHidden/>
              </w:rPr>
              <w:fldChar w:fldCharType="separate"/>
            </w:r>
            <w:r w:rsidR="00FD58BF">
              <w:rPr>
                <w:noProof/>
                <w:webHidden/>
              </w:rPr>
              <w:t>557</w:t>
            </w:r>
            <w:r w:rsidR="00FD58BF">
              <w:rPr>
                <w:noProof/>
                <w:webHidden/>
              </w:rPr>
              <w:fldChar w:fldCharType="end"/>
            </w:r>
          </w:hyperlink>
        </w:p>
        <w:p w14:paraId="70AA3371" w14:textId="6819501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4" w:history="1">
            <w:r w:rsidR="00FD58BF" w:rsidRPr="003004E5">
              <w:rPr>
                <w:rStyle w:val="Lienhypertexte"/>
                <w:noProof/>
              </w:rPr>
              <w:t>22.15.1d Planchers en béton précontraint par post-tension CCTB 01.04</w:t>
            </w:r>
            <w:r w:rsidR="00FD58BF">
              <w:rPr>
                <w:noProof/>
                <w:webHidden/>
              </w:rPr>
              <w:tab/>
            </w:r>
            <w:r w:rsidR="00FD58BF">
              <w:rPr>
                <w:noProof/>
                <w:webHidden/>
              </w:rPr>
              <w:fldChar w:fldCharType="begin"/>
            </w:r>
            <w:r w:rsidR="00FD58BF">
              <w:rPr>
                <w:noProof/>
                <w:webHidden/>
              </w:rPr>
              <w:instrText xml:space="preserve"> PAGEREF _Toc178837884 \h </w:instrText>
            </w:r>
            <w:r w:rsidR="00FD58BF">
              <w:rPr>
                <w:noProof/>
                <w:webHidden/>
              </w:rPr>
            </w:r>
            <w:r w:rsidR="00FD58BF">
              <w:rPr>
                <w:noProof/>
                <w:webHidden/>
              </w:rPr>
              <w:fldChar w:fldCharType="separate"/>
            </w:r>
            <w:r w:rsidR="00FD58BF">
              <w:rPr>
                <w:noProof/>
                <w:webHidden/>
              </w:rPr>
              <w:t>559</w:t>
            </w:r>
            <w:r w:rsidR="00FD58BF">
              <w:rPr>
                <w:noProof/>
                <w:webHidden/>
              </w:rPr>
              <w:fldChar w:fldCharType="end"/>
            </w:r>
          </w:hyperlink>
        </w:p>
        <w:p w14:paraId="4C845762" w14:textId="2CB0CFD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5" w:history="1">
            <w:r w:rsidR="00FD58BF" w:rsidRPr="003004E5">
              <w:rPr>
                <w:rStyle w:val="Lienhypertexte"/>
                <w:noProof/>
              </w:rPr>
              <w:t>22.15.2 Planchers en béton apparent (esthétique) coulé en place CCTB 01.11</w:t>
            </w:r>
            <w:r w:rsidR="00FD58BF">
              <w:rPr>
                <w:noProof/>
                <w:webHidden/>
              </w:rPr>
              <w:tab/>
            </w:r>
            <w:r w:rsidR="00FD58BF">
              <w:rPr>
                <w:noProof/>
                <w:webHidden/>
              </w:rPr>
              <w:fldChar w:fldCharType="begin"/>
            </w:r>
            <w:r w:rsidR="00FD58BF">
              <w:rPr>
                <w:noProof/>
                <w:webHidden/>
              </w:rPr>
              <w:instrText xml:space="preserve"> PAGEREF _Toc178837885 \h </w:instrText>
            </w:r>
            <w:r w:rsidR="00FD58BF">
              <w:rPr>
                <w:noProof/>
                <w:webHidden/>
              </w:rPr>
            </w:r>
            <w:r w:rsidR="00FD58BF">
              <w:rPr>
                <w:noProof/>
                <w:webHidden/>
              </w:rPr>
              <w:fldChar w:fldCharType="separate"/>
            </w:r>
            <w:r w:rsidR="00FD58BF">
              <w:rPr>
                <w:noProof/>
                <w:webHidden/>
              </w:rPr>
              <w:t>559</w:t>
            </w:r>
            <w:r w:rsidR="00FD58BF">
              <w:rPr>
                <w:noProof/>
                <w:webHidden/>
              </w:rPr>
              <w:fldChar w:fldCharType="end"/>
            </w:r>
          </w:hyperlink>
        </w:p>
        <w:p w14:paraId="0C1922A5" w14:textId="7D821FA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6" w:history="1">
            <w:r w:rsidR="00FD58BF" w:rsidRPr="003004E5">
              <w:rPr>
                <w:rStyle w:val="Lienhypertexte"/>
                <w:noProof/>
              </w:rPr>
              <w:t>22.15.2a Planchers en dalles pleines de béton apparent (esthétique) armé coulé en place CCTB 01.11</w:t>
            </w:r>
            <w:r w:rsidR="00FD58BF">
              <w:rPr>
                <w:noProof/>
                <w:webHidden/>
              </w:rPr>
              <w:tab/>
            </w:r>
            <w:r w:rsidR="00FD58BF">
              <w:rPr>
                <w:noProof/>
                <w:webHidden/>
              </w:rPr>
              <w:fldChar w:fldCharType="begin"/>
            </w:r>
            <w:r w:rsidR="00FD58BF">
              <w:rPr>
                <w:noProof/>
                <w:webHidden/>
              </w:rPr>
              <w:instrText xml:space="preserve"> PAGEREF _Toc178837886 \h </w:instrText>
            </w:r>
            <w:r w:rsidR="00FD58BF">
              <w:rPr>
                <w:noProof/>
                <w:webHidden/>
              </w:rPr>
            </w:r>
            <w:r w:rsidR="00FD58BF">
              <w:rPr>
                <w:noProof/>
                <w:webHidden/>
              </w:rPr>
              <w:fldChar w:fldCharType="separate"/>
            </w:r>
            <w:r w:rsidR="00FD58BF">
              <w:rPr>
                <w:noProof/>
                <w:webHidden/>
              </w:rPr>
              <w:t>560</w:t>
            </w:r>
            <w:r w:rsidR="00FD58BF">
              <w:rPr>
                <w:noProof/>
                <w:webHidden/>
              </w:rPr>
              <w:fldChar w:fldCharType="end"/>
            </w:r>
          </w:hyperlink>
        </w:p>
        <w:p w14:paraId="3B52D7D4" w14:textId="0C3344B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7" w:history="1">
            <w:r w:rsidR="00FD58BF" w:rsidRPr="003004E5">
              <w:rPr>
                <w:rStyle w:val="Lienhypertexte"/>
                <w:noProof/>
              </w:rPr>
              <w:t>22.15.2b Planchers en dalles pleines nervurées de béton apparent (esthétique) armé coulé en place CCTB 01.11</w:t>
            </w:r>
            <w:r w:rsidR="00FD58BF">
              <w:rPr>
                <w:noProof/>
                <w:webHidden/>
              </w:rPr>
              <w:tab/>
            </w:r>
            <w:r w:rsidR="00FD58BF">
              <w:rPr>
                <w:noProof/>
                <w:webHidden/>
              </w:rPr>
              <w:fldChar w:fldCharType="begin"/>
            </w:r>
            <w:r w:rsidR="00FD58BF">
              <w:rPr>
                <w:noProof/>
                <w:webHidden/>
              </w:rPr>
              <w:instrText xml:space="preserve"> PAGEREF _Toc178837887 \h </w:instrText>
            </w:r>
            <w:r w:rsidR="00FD58BF">
              <w:rPr>
                <w:noProof/>
                <w:webHidden/>
              </w:rPr>
            </w:r>
            <w:r w:rsidR="00FD58BF">
              <w:rPr>
                <w:noProof/>
                <w:webHidden/>
              </w:rPr>
              <w:fldChar w:fldCharType="separate"/>
            </w:r>
            <w:r w:rsidR="00FD58BF">
              <w:rPr>
                <w:noProof/>
                <w:webHidden/>
              </w:rPr>
              <w:t>563</w:t>
            </w:r>
            <w:r w:rsidR="00FD58BF">
              <w:rPr>
                <w:noProof/>
                <w:webHidden/>
              </w:rPr>
              <w:fldChar w:fldCharType="end"/>
            </w:r>
          </w:hyperlink>
        </w:p>
        <w:p w14:paraId="742EA938" w14:textId="7CAE442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8" w:history="1">
            <w:r w:rsidR="00FD58BF" w:rsidRPr="003004E5">
              <w:rPr>
                <w:rStyle w:val="Lienhypertexte"/>
                <w:noProof/>
              </w:rPr>
              <w:t>22.15.2c Planchers-champignons en béton apparent (esthétique) armé coulé en place CCTB 01.11</w:t>
            </w:r>
            <w:r w:rsidR="00FD58BF">
              <w:rPr>
                <w:noProof/>
                <w:webHidden/>
              </w:rPr>
              <w:tab/>
            </w:r>
            <w:r w:rsidR="00FD58BF">
              <w:rPr>
                <w:noProof/>
                <w:webHidden/>
              </w:rPr>
              <w:fldChar w:fldCharType="begin"/>
            </w:r>
            <w:r w:rsidR="00FD58BF">
              <w:rPr>
                <w:noProof/>
                <w:webHidden/>
              </w:rPr>
              <w:instrText xml:space="preserve"> PAGEREF _Toc178837888 \h </w:instrText>
            </w:r>
            <w:r w:rsidR="00FD58BF">
              <w:rPr>
                <w:noProof/>
                <w:webHidden/>
              </w:rPr>
            </w:r>
            <w:r w:rsidR="00FD58BF">
              <w:rPr>
                <w:noProof/>
                <w:webHidden/>
              </w:rPr>
              <w:fldChar w:fldCharType="separate"/>
            </w:r>
            <w:r w:rsidR="00FD58BF">
              <w:rPr>
                <w:noProof/>
                <w:webHidden/>
              </w:rPr>
              <w:t>564</w:t>
            </w:r>
            <w:r w:rsidR="00FD58BF">
              <w:rPr>
                <w:noProof/>
                <w:webHidden/>
              </w:rPr>
              <w:fldChar w:fldCharType="end"/>
            </w:r>
          </w:hyperlink>
        </w:p>
        <w:p w14:paraId="3D1EB4F1" w14:textId="4F3647B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9" w:history="1">
            <w:r w:rsidR="00FD58BF" w:rsidRPr="003004E5">
              <w:rPr>
                <w:rStyle w:val="Lienhypertexte"/>
                <w:noProof/>
              </w:rPr>
              <w:t>22.15.2d Planchers en béton apparent (esthétique) coulé en place précontraint par post-tension CCTB 01.11</w:t>
            </w:r>
            <w:r w:rsidR="00FD58BF">
              <w:rPr>
                <w:noProof/>
                <w:webHidden/>
              </w:rPr>
              <w:tab/>
            </w:r>
            <w:r w:rsidR="00FD58BF">
              <w:rPr>
                <w:noProof/>
                <w:webHidden/>
              </w:rPr>
              <w:fldChar w:fldCharType="begin"/>
            </w:r>
            <w:r w:rsidR="00FD58BF">
              <w:rPr>
                <w:noProof/>
                <w:webHidden/>
              </w:rPr>
              <w:instrText xml:space="preserve"> PAGEREF _Toc178837889 \h </w:instrText>
            </w:r>
            <w:r w:rsidR="00FD58BF">
              <w:rPr>
                <w:noProof/>
                <w:webHidden/>
              </w:rPr>
            </w:r>
            <w:r w:rsidR="00FD58BF">
              <w:rPr>
                <w:noProof/>
                <w:webHidden/>
              </w:rPr>
              <w:fldChar w:fldCharType="separate"/>
            </w:r>
            <w:r w:rsidR="00FD58BF">
              <w:rPr>
                <w:noProof/>
                <w:webHidden/>
              </w:rPr>
              <w:t>565</w:t>
            </w:r>
            <w:r w:rsidR="00FD58BF">
              <w:rPr>
                <w:noProof/>
                <w:webHidden/>
              </w:rPr>
              <w:fldChar w:fldCharType="end"/>
            </w:r>
          </w:hyperlink>
        </w:p>
        <w:p w14:paraId="5E105518" w14:textId="1B2A19B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0" w:history="1">
            <w:r w:rsidR="00FD58BF" w:rsidRPr="003004E5">
              <w:rPr>
                <w:rStyle w:val="Lienhypertexte"/>
                <w:noProof/>
              </w:rPr>
              <w:t>22.15.3 Planchers à éléments préfabriqués en béton CCTB 01.11</w:t>
            </w:r>
            <w:r w:rsidR="00FD58BF">
              <w:rPr>
                <w:noProof/>
                <w:webHidden/>
              </w:rPr>
              <w:tab/>
            </w:r>
            <w:r w:rsidR="00FD58BF">
              <w:rPr>
                <w:noProof/>
                <w:webHidden/>
              </w:rPr>
              <w:fldChar w:fldCharType="begin"/>
            </w:r>
            <w:r w:rsidR="00FD58BF">
              <w:rPr>
                <w:noProof/>
                <w:webHidden/>
              </w:rPr>
              <w:instrText xml:space="preserve"> PAGEREF _Toc178837890 \h </w:instrText>
            </w:r>
            <w:r w:rsidR="00FD58BF">
              <w:rPr>
                <w:noProof/>
                <w:webHidden/>
              </w:rPr>
            </w:r>
            <w:r w:rsidR="00FD58BF">
              <w:rPr>
                <w:noProof/>
                <w:webHidden/>
              </w:rPr>
              <w:fldChar w:fldCharType="separate"/>
            </w:r>
            <w:r w:rsidR="00FD58BF">
              <w:rPr>
                <w:noProof/>
                <w:webHidden/>
              </w:rPr>
              <w:t>565</w:t>
            </w:r>
            <w:r w:rsidR="00FD58BF">
              <w:rPr>
                <w:noProof/>
                <w:webHidden/>
              </w:rPr>
              <w:fldChar w:fldCharType="end"/>
            </w:r>
          </w:hyperlink>
        </w:p>
        <w:p w14:paraId="339D67DD" w14:textId="59A9154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1" w:history="1">
            <w:r w:rsidR="00FD58BF" w:rsidRPr="003004E5">
              <w:rPr>
                <w:rStyle w:val="Lienhypertexte"/>
                <w:noProof/>
              </w:rPr>
              <w:t>22.15.3a Planchers à prédalles en béton armé CCTB 01.12</w:t>
            </w:r>
            <w:r w:rsidR="00FD58BF">
              <w:rPr>
                <w:noProof/>
                <w:webHidden/>
              </w:rPr>
              <w:tab/>
            </w:r>
            <w:r w:rsidR="00FD58BF">
              <w:rPr>
                <w:noProof/>
                <w:webHidden/>
              </w:rPr>
              <w:fldChar w:fldCharType="begin"/>
            </w:r>
            <w:r w:rsidR="00FD58BF">
              <w:rPr>
                <w:noProof/>
                <w:webHidden/>
              </w:rPr>
              <w:instrText xml:space="preserve"> PAGEREF _Toc178837891 \h </w:instrText>
            </w:r>
            <w:r w:rsidR="00FD58BF">
              <w:rPr>
                <w:noProof/>
                <w:webHidden/>
              </w:rPr>
            </w:r>
            <w:r w:rsidR="00FD58BF">
              <w:rPr>
                <w:noProof/>
                <w:webHidden/>
              </w:rPr>
              <w:fldChar w:fldCharType="separate"/>
            </w:r>
            <w:r w:rsidR="00FD58BF">
              <w:rPr>
                <w:noProof/>
                <w:webHidden/>
              </w:rPr>
              <w:t>565</w:t>
            </w:r>
            <w:r w:rsidR="00FD58BF">
              <w:rPr>
                <w:noProof/>
                <w:webHidden/>
              </w:rPr>
              <w:fldChar w:fldCharType="end"/>
            </w:r>
          </w:hyperlink>
        </w:p>
        <w:p w14:paraId="38A66393" w14:textId="5015059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2" w:history="1">
            <w:r w:rsidR="00FD58BF" w:rsidRPr="003004E5">
              <w:rPr>
                <w:rStyle w:val="Lienhypertexte"/>
                <w:noProof/>
              </w:rPr>
              <w:t>22.15.3b Planchers à prédalles en béton précontraint CCTB 01.11</w:t>
            </w:r>
            <w:r w:rsidR="00FD58BF">
              <w:rPr>
                <w:noProof/>
                <w:webHidden/>
              </w:rPr>
              <w:tab/>
            </w:r>
            <w:r w:rsidR="00FD58BF">
              <w:rPr>
                <w:noProof/>
                <w:webHidden/>
              </w:rPr>
              <w:fldChar w:fldCharType="begin"/>
            </w:r>
            <w:r w:rsidR="00FD58BF">
              <w:rPr>
                <w:noProof/>
                <w:webHidden/>
              </w:rPr>
              <w:instrText xml:space="preserve"> PAGEREF _Toc178837892 \h </w:instrText>
            </w:r>
            <w:r w:rsidR="00FD58BF">
              <w:rPr>
                <w:noProof/>
                <w:webHidden/>
              </w:rPr>
            </w:r>
            <w:r w:rsidR="00FD58BF">
              <w:rPr>
                <w:noProof/>
                <w:webHidden/>
              </w:rPr>
              <w:fldChar w:fldCharType="separate"/>
            </w:r>
            <w:r w:rsidR="00FD58BF">
              <w:rPr>
                <w:noProof/>
                <w:webHidden/>
              </w:rPr>
              <w:t>568</w:t>
            </w:r>
            <w:r w:rsidR="00FD58BF">
              <w:rPr>
                <w:noProof/>
                <w:webHidden/>
              </w:rPr>
              <w:fldChar w:fldCharType="end"/>
            </w:r>
          </w:hyperlink>
        </w:p>
        <w:p w14:paraId="6246D385" w14:textId="4C41F88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3" w:history="1">
            <w:r w:rsidR="00FD58BF" w:rsidRPr="003004E5">
              <w:rPr>
                <w:rStyle w:val="Lienhypertexte"/>
                <w:noProof/>
              </w:rPr>
              <w:t>22.15.3c Planchers à dalles alvéolées en béton armé CCTB 01.12</w:t>
            </w:r>
            <w:r w:rsidR="00FD58BF">
              <w:rPr>
                <w:noProof/>
                <w:webHidden/>
              </w:rPr>
              <w:tab/>
            </w:r>
            <w:r w:rsidR="00FD58BF">
              <w:rPr>
                <w:noProof/>
                <w:webHidden/>
              </w:rPr>
              <w:fldChar w:fldCharType="begin"/>
            </w:r>
            <w:r w:rsidR="00FD58BF">
              <w:rPr>
                <w:noProof/>
                <w:webHidden/>
              </w:rPr>
              <w:instrText xml:space="preserve"> PAGEREF _Toc178837893 \h </w:instrText>
            </w:r>
            <w:r w:rsidR="00FD58BF">
              <w:rPr>
                <w:noProof/>
                <w:webHidden/>
              </w:rPr>
            </w:r>
            <w:r w:rsidR="00FD58BF">
              <w:rPr>
                <w:noProof/>
                <w:webHidden/>
              </w:rPr>
              <w:fldChar w:fldCharType="separate"/>
            </w:r>
            <w:r w:rsidR="00FD58BF">
              <w:rPr>
                <w:noProof/>
                <w:webHidden/>
              </w:rPr>
              <w:t>571</w:t>
            </w:r>
            <w:r w:rsidR="00FD58BF">
              <w:rPr>
                <w:noProof/>
                <w:webHidden/>
              </w:rPr>
              <w:fldChar w:fldCharType="end"/>
            </w:r>
          </w:hyperlink>
        </w:p>
        <w:p w14:paraId="522D7C58" w14:textId="3E459D2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4" w:history="1">
            <w:r w:rsidR="00FD58BF" w:rsidRPr="003004E5">
              <w:rPr>
                <w:rStyle w:val="Lienhypertexte"/>
                <w:noProof/>
              </w:rPr>
              <w:t>22.15.3d Planchers à dalles alvéolées en béton précontraint CCTB 01.12</w:t>
            </w:r>
            <w:r w:rsidR="00FD58BF">
              <w:rPr>
                <w:noProof/>
                <w:webHidden/>
              </w:rPr>
              <w:tab/>
            </w:r>
            <w:r w:rsidR="00FD58BF">
              <w:rPr>
                <w:noProof/>
                <w:webHidden/>
              </w:rPr>
              <w:fldChar w:fldCharType="begin"/>
            </w:r>
            <w:r w:rsidR="00FD58BF">
              <w:rPr>
                <w:noProof/>
                <w:webHidden/>
              </w:rPr>
              <w:instrText xml:space="preserve"> PAGEREF _Toc178837894 \h </w:instrText>
            </w:r>
            <w:r w:rsidR="00FD58BF">
              <w:rPr>
                <w:noProof/>
                <w:webHidden/>
              </w:rPr>
            </w:r>
            <w:r w:rsidR="00FD58BF">
              <w:rPr>
                <w:noProof/>
                <w:webHidden/>
              </w:rPr>
              <w:fldChar w:fldCharType="separate"/>
            </w:r>
            <w:r w:rsidR="00FD58BF">
              <w:rPr>
                <w:noProof/>
                <w:webHidden/>
              </w:rPr>
              <w:t>575</w:t>
            </w:r>
            <w:r w:rsidR="00FD58BF">
              <w:rPr>
                <w:noProof/>
                <w:webHidden/>
              </w:rPr>
              <w:fldChar w:fldCharType="end"/>
            </w:r>
          </w:hyperlink>
        </w:p>
        <w:p w14:paraId="36080C71" w14:textId="1B05723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5" w:history="1">
            <w:r w:rsidR="00FD58BF" w:rsidRPr="003004E5">
              <w:rPr>
                <w:rStyle w:val="Lienhypertexte"/>
                <w:noProof/>
              </w:rPr>
              <w:t>22.15.3e Planchers en éléments de béton cellulaire CCTB 01.11</w:t>
            </w:r>
            <w:r w:rsidR="00FD58BF">
              <w:rPr>
                <w:noProof/>
                <w:webHidden/>
              </w:rPr>
              <w:tab/>
            </w:r>
            <w:r w:rsidR="00FD58BF">
              <w:rPr>
                <w:noProof/>
                <w:webHidden/>
              </w:rPr>
              <w:fldChar w:fldCharType="begin"/>
            </w:r>
            <w:r w:rsidR="00FD58BF">
              <w:rPr>
                <w:noProof/>
                <w:webHidden/>
              </w:rPr>
              <w:instrText xml:space="preserve"> PAGEREF _Toc178837895 \h </w:instrText>
            </w:r>
            <w:r w:rsidR="00FD58BF">
              <w:rPr>
                <w:noProof/>
                <w:webHidden/>
              </w:rPr>
            </w:r>
            <w:r w:rsidR="00FD58BF">
              <w:rPr>
                <w:noProof/>
                <w:webHidden/>
              </w:rPr>
              <w:fldChar w:fldCharType="separate"/>
            </w:r>
            <w:r w:rsidR="00FD58BF">
              <w:rPr>
                <w:noProof/>
                <w:webHidden/>
              </w:rPr>
              <w:t>578</w:t>
            </w:r>
            <w:r w:rsidR="00FD58BF">
              <w:rPr>
                <w:noProof/>
                <w:webHidden/>
              </w:rPr>
              <w:fldChar w:fldCharType="end"/>
            </w:r>
          </w:hyperlink>
        </w:p>
        <w:p w14:paraId="6DD22809" w14:textId="762451F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6" w:history="1">
            <w:r w:rsidR="00FD58BF" w:rsidRPr="003004E5">
              <w:rPr>
                <w:rStyle w:val="Lienhypertexte"/>
                <w:noProof/>
              </w:rPr>
              <w:t>22.15.3f Planchers à tables de béton armé à double T CCTB 01.11</w:t>
            </w:r>
            <w:r w:rsidR="00FD58BF">
              <w:rPr>
                <w:noProof/>
                <w:webHidden/>
              </w:rPr>
              <w:tab/>
            </w:r>
            <w:r w:rsidR="00FD58BF">
              <w:rPr>
                <w:noProof/>
                <w:webHidden/>
              </w:rPr>
              <w:fldChar w:fldCharType="begin"/>
            </w:r>
            <w:r w:rsidR="00FD58BF">
              <w:rPr>
                <w:noProof/>
                <w:webHidden/>
              </w:rPr>
              <w:instrText xml:space="preserve"> PAGEREF _Toc178837896 \h </w:instrText>
            </w:r>
            <w:r w:rsidR="00FD58BF">
              <w:rPr>
                <w:noProof/>
                <w:webHidden/>
              </w:rPr>
            </w:r>
            <w:r w:rsidR="00FD58BF">
              <w:rPr>
                <w:noProof/>
                <w:webHidden/>
              </w:rPr>
              <w:fldChar w:fldCharType="separate"/>
            </w:r>
            <w:r w:rsidR="00FD58BF">
              <w:rPr>
                <w:noProof/>
                <w:webHidden/>
              </w:rPr>
              <w:t>580</w:t>
            </w:r>
            <w:r w:rsidR="00FD58BF">
              <w:rPr>
                <w:noProof/>
                <w:webHidden/>
              </w:rPr>
              <w:fldChar w:fldCharType="end"/>
            </w:r>
          </w:hyperlink>
        </w:p>
        <w:p w14:paraId="3256CB12" w14:textId="4187609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7" w:history="1">
            <w:r w:rsidR="00FD58BF" w:rsidRPr="003004E5">
              <w:rPr>
                <w:rStyle w:val="Lienhypertexte"/>
                <w:noProof/>
              </w:rPr>
              <w:t>22.15.3g Planchers-caissons à éléments tubulaires en béton armé CCTB 01.04</w:t>
            </w:r>
            <w:r w:rsidR="00FD58BF">
              <w:rPr>
                <w:noProof/>
                <w:webHidden/>
              </w:rPr>
              <w:tab/>
            </w:r>
            <w:r w:rsidR="00FD58BF">
              <w:rPr>
                <w:noProof/>
                <w:webHidden/>
              </w:rPr>
              <w:fldChar w:fldCharType="begin"/>
            </w:r>
            <w:r w:rsidR="00FD58BF">
              <w:rPr>
                <w:noProof/>
                <w:webHidden/>
              </w:rPr>
              <w:instrText xml:space="preserve"> PAGEREF _Toc178837897 \h </w:instrText>
            </w:r>
            <w:r w:rsidR="00FD58BF">
              <w:rPr>
                <w:noProof/>
                <w:webHidden/>
              </w:rPr>
            </w:r>
            <w:r w:rsidR="00FD58BF">
              <w:rPr>
                <w:noProof/>
                <w:webHidden/>
              </w:rPr>
              <w:fldChar w:fldCharType="separate"/>
            </w:r>
            <w:r w:rsidR="00FD58BF">
              <w:rPr>
                <w:noProof/>
                <w:webHidden/>
              </w:rPr>
              <w:t>582</w:t>
            </w:r>
            <w:r w:rsidR="00FD58BF">
              <w:rPr>
                <w:noProof/>
                <w:webHidden/>
              </w:rPr>
              <w:fldChar w:fldCharType="end"/>
            </w:r>
          </w:hyperlink>
        </w:p>
        <w:p w14:paraId="46B9374C" w14:textId="0CF4B9B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8" w:history="1">
            <w:r w:rsidR="00FD58BF" w:rsidRPr="003004E5">
              <w:rPr>
                <w:rStyle w:val="Lienhypertexte"/>
                <w:noProof/>
              </w:rPr>
              <w:t>22.15.4 Planchers à éléments préfabriqués en béton architectonique CCTB 01.04</w:t>
            </w:r>
            <w:r w:rsidR="00FD58BF">
              <w:rPr>
                <w:noProof/>
                <w:webHidden/>
              </w:rPr>
              <w:tab/>
            </w:r>
            <w:r w:rsidR="00FD58BF">
              <w:rPr>
                <w:noProof/>
                <w:webHidden/>
              </w:rPr>
              <w:fldChar w:fldCharType="begin"/>
            </w:r>
            <w:r w:rsidR="00FD58BF">
              <w:rPr>
                <w:noProof/>
                <w:webHidden/>
              </w:rPr>
              <w:instrText xml:space="preserve"> PAGEREF _Toc178837898 \h </w:instrText>
            </w:r>
            <w:r w:rsidR="00FD58BF">
              <w:rPr>
                <w:noProof/>
                <w:webHidden/>
              </w:rPr>
            </w:r>
            <w:r w:rsidR="00FD58BF">
              <w:rPr>
                <w:noProof/>
                <w:webHidden/>
              </w:rPr>
              <w:fldChar w:fldCharType="separate"/>
            </w:r>
            <w:r w:rsidR="00FD58BF">
              <w:rPr>
                <w:noProof/>
                <w:webHidden/>
              </w:rPr>
              <w:t>582</w:t>
            </w:r>
            <w:r w:rsidR="00FD58BF">
              <w:rPr>
                <w:noProof/>
                <w:webHidden/>
              </w:rPr>
              <w:fldChar w:fldCharType="end"/>
            </w:r>
          </w:hyperlink>
        </w:p>
        <w:p w14:paraId="4A8B3C92" w14:textId="35802F6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9" w:history="1">
            <w:r w:rsidR="00FD58BF" w:rsidRPr="003004E5">
              <w:rPr>
                <w:rStyle w:val="Lienhypertexte"/>
                <w:noProof/>
              </w:rPr>
              <w:t>22.15.4a Planchers préfabriqués à prédalles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_Toc178837899 \h </w:instrText>
            </w:r>
            <w:r w:rsidR="00FD58BF">
              <w:rPr>
                <w:noProof/>
                <w:webHidden/>
              </w:rPr>
            </w:r>
            <w:r w:rsidR="00FD58BF">
              <w:rPr>
                <w:noProof/>
                <w:webHidden/>
              </w:rPr>
              <w:fldChar w:fldCharType="separate"/>
            </w:r>
            <w:r w:rsidR="00FD58BF">
              <w:rPr>
                <w:noProof/>
                <w:webHidden/>
              </w:rPr>
              <w:t>582</w:t>
            </w:r>
            <w:r w:rsidR="00FD58BF">
              <w:rPr>
                <w:noProof/>
                <w:webHidden/>
              </w:rPr>
              <w:fldChar w:fldCharType="end"/>
            </w:r>
          </w:hyperlink>
        </w:p>
        <w:p w14:paraId="5A9F7E56" w14:textId="1F10F4F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0" w:history="1">
            <w:r w:rsidR="00FD58BF" w:rsidRPr="003004E5">
              <w:rPr>
                <w:rStyle w:val="Lienhypertexte"/>
                <w:noProof/>
              </w:rPr>
              <w:t>22.15.4b Planchers à dalles alvéolées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_Toc178837900 \h </w:instrText>
            </w:r>
            <w:r w:rsidR="00FD58BF">
              <w:rPr>
                <w:noProof/>
                <w:webHidden/>
              </w:rPr>
            </w:r>
            <w:r w:rsidR="00FD58BF">
              <w:rPr>
                <w:noProof/>
                <w:webHidden/>
              </w:rPr>
              <w:fldChar w:fldCharType="separate"/>
            </w:r>
            <w:r w:rsidR="00FD58BF">
              <w:rPr>
                <w:noProof/>
                <w:webHidden/>
              </w:rPr>
              <w:t>582</w:t>
            </w:r>
            <w:r w:rsidR="00FD58BF">
              <w:rPr>
                <w:noProof/>
                <w:webHidden/>
              </w:rPr>
              <w:fldChar w:fldCharType="end"/>
            </w:r>
          </w:hyperlink>
        </w:p>
        <w:p w14:paraId="33BE8628" w14:textId="0E7CEE0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01" w:history="1">
            <w:r w:rsidR="00FD58BF" w:rsidRPr="003004E5">
              <w:rPr>
                <w:rStyle w:val="Lienhypertexte"/>
                <w:noProof/>
              </w:rPr>
              <w:t>22.15.5 Couches de compression CCTB 01.07</w:t>
            </w:r>
            <w:r w:rsidR="00FD58BF">
              <w:rPr>
                <w:noProof/>
                <w:webHidden/>
              </w:rPr>
              <w:tab/>
            </w:r>
            <w:r w:rsidR="00FD58BF">
              <w:rPr>
                <w:noProof/>
                <w:webHidden/>
              </w:rPr>
              <w:fldChar w:fldCharType="begin"/>
            </w:r>
            <w:r w:rsidR="00FD58BF">
              <w:rPr>
                <w:noProof/>
                <w:webHidden/>
              </w:rPr>
              <w:instrText xml:space="preserve"> PAGEREF _Toc178837901 \h </w:instrText>
            </w:r>
            <w:r w:rsidR="00FD58BF">
              <w:rPr>
                <w:noProof/>
                <w:webHidden/>
              </w:rPr>
            </w:r>
            <w:r w:rsidR="00FD58BF">
              <w:rPr>
                <w:noProof/>
                <w:webHidden/>
              </w:rPr>
              <w:fldChar w:fldCharType="separate"/>
            </w:r>
            <w:r w:rsidR="00FD58BF">
              <w:rPr>
                <w:noProof/>
                <w:webHidden/>
              </w:rPr>
              <w:t>582</w:t>
            </w:r>
            <w:r w:rsidR="00FD58BF">
              <w:rPr>
                <w:noProof/>
                <w:webHidden/>
              </w:rPr>
              <w:fldChar w:fldCharType="end"/>
            </w:r>
          </w:hyperlink>
        </w:p>
        <w:p w14:paraId="2F2D6900" w14:textId="6C38B4D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02" w:history="1">
            <w:r w:rsidR="00FD58BF" w:rsidRPr="003004E5">
              <w:rPr>
                <w:rStyle w:val="Lienhypertexte"/>
                <w:noProof/>
              </w:rPr>
              <w:t>22.16 Parois en béton CCTB 01.02</w:t>
            </w:r>
            <w:r w:rsidR="00FD58BF">
              <w:rPr>
                <w:noProof/>
                <w:webHidden/>
              </w:rPr>
              <w:tab/>
            </w:r>
            <w:r w:rsidR="00FD58BF">
              <w:rPr>
                <w:noProof/>
                <w:webHidden/>
              </w:rPr>
              <w:fldChar w:fldCharType="begin"/>
            </w:r>
            <w:r w:rsidR="00FD58BF">
              <w:rPr>
                <w:noProof/>
                <w:webHidden/>
              </w:rPr>
              <w:instrText xml:space="preserve"> PAGEREF _Toc178837902 \h </w:instrText>
            </w:r>
            <w:r w:rsidR="00FD58BF">
              <w:rPr>
                <w:noProof/>
                <w:webHidden/>
              </w:rPr>
            </w:r>
            <w:r w:rsidR="00FD58BF">
              <w:rPr>
                <w:noProof/>
                <w:webHidden/>
              </w:rPr>
              <w:fldChar w:fldCharType="separate"/>
            </w:r>
            <w:r w:rsidR="00FD58BF">
              <w:rPr>
                <w:noProof/>
                <w:webHidden/>
              </w:rPr>
              <w:t>582</w:t>
            </w:r>
            <w:r w:rsidR="00FD58BF">
              <w:rPr>
                <w:noProof/>
                <w:webHidden/>
              </w:rPr>
              <w:fldChar w:fldCharType="end"/>
            </w:r>
          </w:hyperlink>
        </w:p>
        <w:p w14:paraId="7C21EEE0" w14:textId="7D04A61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03" w:history="1">
            <w:r w:rsidR="00FD58BF" w:rsidRPr="003004E5">
              <w:rPr>
                <w:rStyle w:val="Lienhypertexte"/>
                <w:noProof/>
              </w:rPr>
              <w:t>22.16.1 Parois en béton coulé en place CCTB 01.04</w:t>
            </w:r>
            <w:r w:rsidR="00FD58BF">
              <w:rPr>
                <w:noProof/>
                <w:webHidden/>
              </w:rPr>
              <w:tab/>
            </w:r>
            <w:r w:rsidR="00FD58BF">
              <w:rPr>
                <w:noProof/>
                <w:webHidden/>
              </w:rPr>
              <w:fldChar w:fldCharType="begin"/>
            </w:r>
            <w:r w:rsidR="00FD58BF">
              <w:rPr>
                <w:noProof/>
                <w:webHidden/>
              </w:rPr>
              <w:instrText xml:space="preserve"> PAGEREF _Toc178837903 \h </w:instrText>
            </w:r>
            <w:r w:rsidR="00FD58BF">
              <w:rPr>
                <w:noProof/>
                <w:webHidden/>
              </w:rPr>
            </w:r>
            <w:r w:rsidR="00FD58BF">
              <w:rPr>
                <w:noProof/>
                <w:webHidden/>
              </w:rPr>
              <w:fldChar w:fldCharType="separate"/>
            </w:r>
            <w:r w:rsidR="00FD58BF">
              <w:rPr>
                <w:noProof/>
                <w:webHidden/>
              </w:rPr>
              <w:t>582</w:t>
            </w:r>
            <w:r w:rsidR="00FD58BF">
              <w:rPr>
                <w:noProof/>
                <w:webHidden/>
              </w:rPr>
              <w:fldChar w:fldCharType="end"/>
            </w:r>
          </w:hyperlink>
        </w:p>
        <w:p w14:paraId="3CD60B53" w14:textId="3E22E0B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4" w:history="1">
            <w:r w:rsidR="00FD58BF" w:rsidRPr="003004E5">
              <w:rPr>
                <w:rStyle w:val="Lienhypertexte"/>
                <w:noProof/>
              </w:rPr>
              <w:t>22.16.1a Parois en béton armé coulé en place CCTB 01.11</w:t>
            </w:r>
            <w:r w:rsidR="00FD58BF">
              <w:rPr>
                <w:noProof/>
                <w:webHidden/>
              </w:rPr>
              <w:tab/>
            </w:r>
            <w:r w:rsidR="00FD58BF">
              <w:rPr>
                <w:noProof/>
                <w:webHidden/>
              </w:rPr>
              <w:fldChar w:fldCharType="begin"/>
            </w:r>
            <w:r w:rsidR="00FD58BF">
              <w:rPr>
                <w:noProof/>
                <w:webHidden/>
              </w:rPr>
              <w:instrText xml:space="preserve"> PAGEREF _Toc178837904 \h </w:instrText>
            </w:r>
            <w:r w:rsidR="00FD58BF">
              <w:rPr>
                <w:noProof/>
                <w:webHidden/>
              </w:rPr>
            </w:r>
            <w:r w:rsidR="00FD58BF">
              <w:rPr>
                <w:noProof/>
                <w:webHidden/>
              </w:rPr>
              <w:fldChar w:fldCharType="separate"/>
            </w:r>
            <w:r w:rsidR="00FD58BF">
              <w:rPr>
                <w:noProof/>
                <w:webHidden/>
              </w:rPr>
              <w:t>583</w:t>
            </w:r>
            <w:r w:rsidR="00FD58BF">
              <w:rPr>
                <w:noProof/>
                <w:webHidden/>
              </w:rPr>
              <w:fldChar w:fldCharType="end"/>
            </w:r>
          </w:hyperlink>
        </w:p>
        <w:p w14:paraId="7A7D440B" w14:textId="51507BC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5" w:history="1">
            <w:r w:rsidR="00FD58BF" w:rsidRPr="003004E5">
              <w:rPr>
                <w:rStyle w:val="Lienhypertexte"/>
                <w:noProof/>
              </w:rPr>
              <w:t>22.16.1b Parois en béton de fibres d'acier coulé en place CCTB 01.11</w:t>
            </w:r>
            <w:r w:rsidR="00FD58BF">
              <w:rPr>
                <w:noProof/>
                <w:webHidden/>
              </w:rPr>
              <w:tab/>
            </w:r>
            <w:r w:rsidR="00FD58BF">
              <w:rPr>
                <w:noProof/>
                <w:webHidden/>
              </w:rPr>
              <w:fldChar w:fldCharType="begin"/>
            </w:r>
            <w:r w:rsidR="00FD58BF">
              <w:rPr>
                <w:noProof/>
                <w:webHidden/>
              </w:rPr>
              <w:instrText xml:space="preserve"> PAGEREF _Toc178837905 \h </w:instrText>
            </w:r>
            <w:r w:rsidR="00FD58BF">
              <w:rPr>
                <w:noProof/>
                <w:webHidden/>
              </w:rPr>
            </w:r>
            <w:r w:rsidR="00FD58BF">
              <w:rPr>
                <w:noProof/>
                <w:webHidden/>
              </w:rPr>
              <w:fldChar w:fldCharType="separate"/>
            </w:r>
            <w:r w:rsidR="00FD58BF">
              <w:rPr>
                <w:noProof/>
                <w:webHidden/>
              </w:rPr>
              <w:t>585</w:t>
            </w:r>
            <w:r w:rsidR="00FD58BF">
              <w:rPr>
                <w:noProof/>
                <w:webHidden/>
              </w:rPr>
              <w:fldChar w:fldCharType="end"/>
            </w:r>
          </w:hyperlink>
        </w:p>
        <w:p w14:paraId="32A8527B" w14:textId="4040777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06" w:history="1">
            <w:r w:rsidR="00FD58BF" w:rsidRPr="003004E5">
              <w:rPr>
                <w:rStyle w:val="Lienhypertexte"/>
                <w:noProof/>
              </w:rPr>
              <w:t>22.16.2 Parois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_Toc178837906 \h </w:instrText>
            </w:r>
            <w:r w:rsidR="00FD58BF">
              <w:rPr>
                <w:noProof/>
                <w:webHidden/>
              </w:rPr>
            </w:r>
            <w:r w:rsidR="00FD58BF">
              <w:rPr>
                <w:noProof/>
                <w:webHidden/>
              </w:rPr>
              <w:fldChar w:fldCharType="separate"/>
            </w:r>
            <w:r w:rsidR="00FD58BF">
              <w:rPr>
                <w:noProof/>
                <w:webHidden/>
              </w:rPr>
              <w:t>587</w:t>
            </w:r>
            <w:r w:rsidR="00FD58BF">
              <w:rPr>
                <w:noProof/>
                <w:webHidden/>
              </w:rPr>
              <w:fldChar w:fldCharType="end"/>
            </w:r>
          </w:hyperlink>
        </w:p>
        <w:p w14:paraId="7E711584" w14:textId="133BC8E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7" w:history="1">
            <w:r w:rsidR="00FD58BF" w:rsidRPr="003004E5">
              <w:rPr>
                <w:rStyle w:val="Lienhypertexte"/>
                <w:noProof/>
              </w:rPr>
              <w:t>22.16.2a Parois en béton armé apparent (esthétique) coulé en place CCTB 01.12</w:t>
            </w:r>
            <w:r w:rsidR="00FD58BF">
              <w:rPr>
                <w:noProof/>
                <w:webHidden/>
              </w:rPr>
              <w:tab/>
            </w:r>
            <w:r w:rsidR="00FD58BF">
              <w:rPr>
                <w:noProof/>
                <w:webHidden/>
              </w:rPr>
              <w:fldChar w:fldCharType="begin"/>
            </w:r>
            <w:r w:rsidR="00FD58BF">
              <w:rPr>
                <w:noProof/>
                <w:webHidden/>
              </w:rPr>
              <w:instrText xml:space="preserve"> PAGEREF _Toc178837907 \h </w:instrText>
            </w:r>
            <w:r w:rsidR="00FD58BF">
              <w:rPr>
                <w:noProof/>
                <w:webHidden/>
              </w:rPr>
            </w:r>
            <w:r w:rsidR="00FD58BF">
              <w:rPr>
                <w:noProof/>
                <w:webHidden/>
              </w:rPr>
              <w:fldChar w:fldCharType="separate"/>
            </w:r>
            <w:r w:rsidR="00FD58BF">
              <w:rPr>
                <w:noProof/>
                <w:webHidden/>
              </w:rPr>
              <w:t>587</w:t>
            </w:r>
            <w:r w:rsidR="00FD58BF">
              <w:rPr>
                <w:noProof/>
                <w:webHidden/>
              </w:rPr>
              <w:fldChar w:fldCharType="end"/>
            </w:r>
          </w:hyperlink>
        </w:p>
        <w:p w14:paraId="53536B2D" w14:textId="61EB828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8" w:history="1">
            <w:r w:rsidR="00FD58BF" w:rsidRPr="003004E5">
              <w:rPr>
                <w:rStyle w:val="Lienhypertexte"/>
                <w:noProof/>
              </w:rPr>
              <w:t>22.16.2b Parois en béton de fibres d'acier apparent (esthétique) coulé en place CCTB 01.12</w:t>
            </w:r>
            <w:r w:rsidR="00FD58BF">
              <w:rPr>
                <w:noProof/>
                <w:webHidden/>
              </w:rPr>
              <w:tab/>
            </w:r>
            <w:r w:rsidR="00FD58BF">
              <w:rPr>
                <w:noProof/>
                <w:webHidden/>
              </w:rPr>
              <w:fldChar w:fldCharType="begin"/>
            </w:r>
            <w:r w:rsidR="00FD58BF">
              <w:rPr>
                <w:noProof/>
                <w:webHidden/>
              </w:rPr>
              <w:instrText xml:space="preserve"> PAGEREF _Toc178837908 \h </w:instrText>
            </w:r>
            <w:r w:rsidR="00FD58BF">
              <w:rPr>
                <w:noProof/>
                <w:webHidden/>
              </w:rPr>
            </w:r>
            <w:r w:rsidR="00FD58BF">
              <w:rPr>
                <w:noProof/>
                <w:webHidden/>
              </w:rPr>
              <w:fldChar w:fldCharType="separate"/>
            </w:r>
            <w:r w:rsidR="00FD58BF">
              <w:rPr>
                <w:noProof/>
                <w:webHidden/>
              </w:rPr>
              <w:t>589</w:t>
            </w:r>
            <w:r w:rsidR="00FD58BF">
              <w:rPr>
                <w:noProof/>
                <w:webHidden/>
              </w:rPr>
              <w:fldChar w:fldCharType="end"/>
            </w:r>
          </w:hyperlink>
        </w:p>
        <w:p w14:paraId="424391DD" w14:textId="4610BEA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09" w:history="1">
            <w:r w:rsidR="00FD58BF" w:rsidRPr="003004E5">
              <w:rPr>
                <w:rStyle w:val="Lienhypertexte"/>
                <w:noProof/>
              </w:rPr>
              <w:t>22.16.3 Parois préfabriquées en béton CCTB 01.11</w:t>
            </w:r>
            <w:r w:rsidR="00FD58BF">
              <w:rPr>
                <w:noProof/>
                <w:webHidden/>
              </w:rPr>
              <w:tab/>
            </w:r>
            <w:r w:rsidR="00FD58BF">
              <w:rPr>
                <w:noProof/>
                <w:webHidden/>
              </w:rPr>
              <w:fldChar w:fldCharType="begin"/>
            </w:r>
            <w:r w:rsidR="00FD58BF">
              <w:rPr>
                <w:noProof/>
                <w:webHidden/>
              </w:rPr>
              <w:instrText xml:space="preserve"> PAGEREF _Toc178837909 \h </w:instrText>
            </w:r>
            <w:r w:rsidR="00FD58BF">
              <w:rPr>
                <w:noProof/>
                <w:webHidden/>
              </w:rPr>
            </w:r>
            <w:r w:rsidR="00FD58BF">
              <w:rPr>
                <w:noProof/>
                <w:webHidden/>
              </w:rPr>
              <w:fldChar w:fldCharType="separate"/>
            </w:r>
            <w:r w:rsidR="00FD58BF">
              <w:rPr>
                <w:noProof/>
                <w:webHidden/>
              </w:rPr>
              <w:t>592</w:t>
            </w:r>
            <w:r w:rsidR="00FD58BF">
              <w:rPr>
                <w:noProof/>
                <w:webHidden/>
              </w:rPr>
              <w:fldChar w:fldCharType="end"/>
            </w:r>
          </w:hyperlink>
        </w:p>
        <w:p w14:paraId="353F9012" w14:textId="6ECA67D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0" w:history="1">
            <w:r w:rsidR="00FD58BF" w:rsidRPr="003004E5">
              <w:rPr>
                <w:rStyle w:val="Lienhypertexte"/>
                <w:noProof/>
              </w:rPr>
              <w:t>22.16.3a Parois pleines préfabriquées en béton armé CCTB 01.11</w:t>
            </w:r>
            <w:r w:rsidR="00FD58BF">
              <w:rPr>
                <w:noProof/>
                <w:webHidden/>
              </w:rPr>
              <w:tab/>
            </w:r>
            <w:r w:rsidR="00FD58BF">
              <w:rPr>
                <w:noProof/>
                <w:webHidden/>
              </w:rPr>
              <w:fldChar w:fldCharType="begin"/>
            </w:r>
            <w:r w:rsidR="00FD58BF">
              <w:rPr>
                <w:noProof/>
                <w:webHidden/>
              </w:rPr>
              <w:instrText xml:space="preserve"> PAGEREF _Toc178837910 \h </w:instrText>
            </w:r>
            <w:r w:rsidR="00FD58BF">
              <w:rPr>
                <w:noProof/>
                <w:webHidden/>
              </w:rPr>
            </w:r>
            <w:r w:rsidR="00FD58BF">
              <w:rPr>
                <w:noProof/>
                <w:webHidden/>
              </w:rPr>
              <w:fldChar w:fldCharType="separate"/>
            </w:r>
            <w:r w:rsidR="00FD58BF">
              <w:rPr>
                <w:noProof/>
                <w:webHidden/>
              </w:rPr>
              <w:t>593</w:t>
            </w:r>
            <w:r w:rsidR="00FD58BF">
              <w:rPr>
                <w:noProof/>
                <w:webHidden/>
              </w:rPr>
              <w:fldChar w:fldCharType="end"/>
            </w:r>
          </w:hyperlink>
        </w:p>
        <w:p w14:paraId="6286D2A3" w14:textId="42F4455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1" w:history="1">
            <w:r w:rsidR="00FD58BF" w:rsidRPr="003004E5">
              <w:rPr>
                <w:rStyle w:val="Lienhypertexte"/>
                <w:noProof/>
              </w:rPr>
              <w:t>22.16.3b Parois sandwich préfabriquées en béton  CCTB 01.11</w:t>
            </w:r>
            <w:r w:rsidR="00FD58BF">
              <w:rPr>
                <w:noProof/>
                <w:webHidden/>
              </w:rPr>
              <w:tab/>
            </w:r>
            <w:r w:rsidR="00FD58BF">
              <w:rPr>
                <w:noProof/>
                <w:webHidden/>
              </w:rPr>
              <w:fldChar w:fldCharType="begin"/>
            </w:r>
            <w:r w:rsidR="00FD58BF">
              <w:rPr>
                <w:noProof/>
                <w:webHidden/>
              </w:rPr>
              <w:instrText xml:space="preserve"> PAGEREF _Toc178837911 \h </w:instrText>
            </w:r>
            <w:r w:rsidR="00FD58BF">
              <w:rPr>
                <w:noProof/>
                <w:webHidden/>
              </w:rPr>
            </w:r>
            <w:r w:rsidR="00FD58BF">
              <w:rPr>
                <w:noProof/>
                <w:webHidden/>
              </w:rPr>
              <w:fldChar w:fldCharType="separate"/>
            </w:r>
            <w:r w:rsidR="00FD58BF">
              <w:rPr>
                <w:noProof/>
                <w:webHidden/>
              </w:rPr>
              <w:t>595</w:t>
            </w:r>
            <w:r w:rsidR="00FD58BF">
              <w:rPr>
                <w:noProof/>
                <w:webHidden/>
              </w:rPr>
              <w:fldChar w:fldCharType="end"/>
            </w:r>
          </w:hyperlink>
        </w:p>
        <w:p w14:paraId="694B97B8" w14:textId="0232048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2" w:history="1">
            <w:r w:rsidR="00FD58BF" w:rsidRPr="003004E5">
              <w:rPr>
                <w:rStyle w:val="Lienhypertexte"/>
                <w:noProof/>
              </w:rPr>
              <w:t>22.16.3c Prémurs en béton armé CCTB 01.12</w:t>
            </w:r>
            <w:r w:rsidR="00FD58BF">
              <w:rPr>
                <w:noProof/>
                <w:webHidden/>
              </w:rPr>
              <w:tab/>
            </w:r>
            <w:r w:rsidR="00FD58BF">
              <w:rPr>
                <w:noProof/>
                <w:webHidden/>
              </w:rPr>
              <w:fldChar w:fldCharType="begin"/>
            </w:r>
            <w:r w:rsidR="00FD58BF">
              <w:rPr>
                <w:noProof/>
                <w:webHidden/>
              </w:rPr>
              <w:instrText xml:space="preserve"> PAGEREF _Toc178837912 \h </w:instrText>
            </w:r>
            <w:r w:rsidR="00FD58BF">
              <w:rPr>
                <w:noProof/>
                <w:webHidden/>
              </w:rPr>
            </w:r>
            <w:r w:rsidR="00FD58BF">
              <w:rPr>
                <w:noProof/>
                <w:webHidden/>
              </w:rPr>
              <w:fldChar w:fldCharType="separate"/>
            </w:r>
            <w:r w:rsidR="00FD58BF">
              <w:rPr>
                <w:noProof/>
                <w:webHidden/>
              </w:rPr>
              <w:t>597</w:t>
            </w:r>
            <w:r w:rsidR="00FD58BF">
              <w:rPr>
                <w:noProof/>
                <w:webHidden/>
              </w:rPr>
              <w:fldChar w:fldCharType="end"/>
            </w:r>
          </w:hyperlink>
        </w:p>
        <w:p w14:paraId="14086C40" w14:textId="2E3413C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3" w:history="1">
            <w:r w:rsidR="00FD58BF" w:rsidRPr="003004E5">
              <w:rPr>
                <w:rStyle w:val="Lienhypertexte"/>
                <w:noProof/>
              </w:rPr>
              <w:t>22.16.3d Prémurs en béton armé avec isolation intégrée CCTB 01.12</w:t>
            </w:r>
            <w:r w:rsidR="00FD58BF">
              <w:rPr>
                <w:noProof/>
                <w:webHidden/>
              </w:rPr>
              <w:tab/>
            </w:r>
            <w:r w:rsidR="00FD58BF">
              <w:rPr>
                <w:noProof/>
                <w:webHidden/>
              </w:rPr>
              <w:fldChar w:fldCharType="begin"/>
            </w:r>
            <w:r w:rsidR="00FD58BF">
              <w:rPr>
                <w:noProof/>
                <w:webHidden/>
              </w:rPr>
              <w:instrText xml:space="preserve"> PAGEREF _Toc178837913 \h </w:instrText>
            </w:r>
            <w:r w:rsidR="00FD58BF">
              <w:rPr>
                <w:noProof/>
                <w:webHidden/>
              </w:rPr>
            </w:r>
            <w:r w:rsidR="00FD58BF">
              <w:rPr>
                <w:noProof/>
                <w:webHidden/>
              </w:rPr>
              <w:fldChar w:fldCharType="separate"/>
            </w:r>
            <w:r w:rsidR="00FD58BF">
              <w:rPr>
                <w:noProof/>
                <w:webHidden/>
              </w:rPr>
              <w:t>601</w:t>
            </w:r>
            <w:r w:rsidR="00FD58BF">
              <w:rPr>
                <w:noProof/>
                <w:webHidden/>
              </w:rPr>
              <w:fldChar w:fldCharType="end"/>
            </w:r>
          </w:hyperlink>
        </w:p>
        <w:p w14:paraId="222D9723" w14:textId="792FD09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4" w:history="1">
            <w:r w:rsidR="00FD58BF" w:rsidRPr="003004E5">
              <w:rPr>
                <w:rStyle w:val="Lienhypertexte"/>
                <w:noProof/>
              </w:rPr>
              <w:t>22.16.3e Parois composées d'éléments de murs porteurs en béton cellulaire CCTB 01.04</w:t>
            </w:r>
            <w:r w:rsidR="00FD58BF">
              <w:rPr>
                <w:noProof/>
                <w:webHidden/>
              </w:rPr>
              <w:tab/>
            </w:r>
            <w:r w:rsidR="00FD58BF">
              <w:rPr>
                <w:noProof/>
                <w:webHidden/>
              </w:rPr>
              <w:fldChar w:fldCharType="begin"/>
            </w:r>
            <w:r w:rsidR="00FD58BF">
              <w:rPr>
                <w:noProof/>
                <w:webHidden/>
              </w:rPr>
              <w:instrText xml:space="preserve"> PAGEREF _Toc178837914 \h </w:instrText>
            </w:r>
            <w:r w:rsidR="00FD58BF">
              <w:rPr>
                <w:noProof/>
                <w:webHidden/>
              </w:rPr>
            </w:r>
            <w:r w:rsidR="00FD58BF">
              <w:rPr>
                <w:noProof/>
                <w:webHidden/>
              </w:rPr>
              <w:fldChar w:fldCharType="separate"/>
            </w:r>
            <w:r w:rsidR="00FD58BF">
              <w:rPr>
                <w:noProof/>
                <w:webHidden/>
              </w:rPr>
              <w:t>605</w:t>
            </w:r>
            <w:r w:rsidR="00FD58BF">
              <w:rPr>
                <w:noProof/>
                <w:webHidden/>
              </w:rPr>
              <w:fldChar w:fldCharType="end"/>
            </w:r>
          </w:hyperlink>
        </w:p>
        <w:p w14:paraId="4A0BE2EB" w14:textId="21264B4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5" w:history="1">
            <w:r w:rsidR="00FD58BF" w:rsidRPr="003004E5">
              <w:rPr>
                <w:rStyle w:val="Lienhypertexte"/>
                <w:noProof/>
              </w:rPr>
              <w:t>22.16.3f Paroi bicouche béton de structure-béton de bois CCTB 01.11</w:t>
            </w:r>
            <w:r w:rsidR="00FD58BF">
              <w:rPr>
                <w:noProof/>
                <w:webHidden/>
              </w:rPr>
              <w:tab/>
            </w:r>
            <w:r w:rsidR="00FD58BF">
              <w:rPr>
                <w:noProof/>
                <w:webHidden/>
              </w:rPr>
              <w:fldChar w:fldCharType="begin"/>
            </w:r>
            <w:r w:rsidR="00FD58BF">
              <w:rPr>
                <w:noProof/>
                <w:webHidden/>
              </w:rPr>
              <w:instrText xml:space="preserve"> PAGEREF _Toc178837915 \h </w:instrText>
            </w:r>
            <w:r w:rsidR="00FD58BF">
              <w:rPr>
                <w:noProof/>
                <w:webHidden/>
              </w:rPr>
            </w:r>
            <w:r w:rsidR="00FD58BF">
              <w:rPr>
                <w:noProof/>
                <w:webHidden/>
              </w:rPr>
              <w:fldChar w:fldCharType="separate"/>
            </w:r>
            <w:r w:rsidR="00FD58BF">
              <w:rPr>
                <w:noProof/>
                <w:webHidden/>
              </w:rPr>
              <w:t>605</w:t>
            </w:r>
            <w:r w:rsidR="00FD58BF">
              <w:rPr>
                <w:noProof/>
                <w:webHidden/>
              </w:rPr>
              <w:fldChar w:fldCharType="end"/>
            </w:r>
          </w:hyperlink>
        </w:p>
        <w:p w14:paraId="450D3CF8" w14:textId="2620FF4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16" w:history="1">
            <w:r w:rsidR="00FD58BF" w:rsidRPr="003004E5">
              <w:rPr>
                <w:rStyle w:val="Lienhypertexte"/>
                <w:noProof/>
              </w:rPr>
              <w:t>22.16.4 Parois préfabriquées en béton architectonique CCTB 01.11</w:t>
            </w:r>
            <w:r w:rsidR="00FD58BF">
              <w:rPr>
                <w:noProof/>
                <w:webHidden/>
              </w:rPr>
              <w:tab/>
            </w:r>
            <w:r w:rsidR="00FD58BF">
              <w:rPr>
                <w:noProof/>
                <w:webHidden/>
              </w:rPr>
              <w:fldChar w:fldCharType="begin"/>
            </w:r>
            <w:r w:rsidR="00FD58BF">
              <w:rPr>
                <w:noProof/>
                <w:webHidden/>
              </w:rPr>
              <w:instrText xml:space="preserve"> PAGEREF _Toc178837916 \h </w:instrText>
            </w:r>
            <w:r w:rsidR="00FD58BF">
              <w:rPr>
                <w:noProof/>
                <w:webHidden/>
              </w:rPr>
            </w:r>
            <w:r w:rsidR="00FD58BF">
              <w:rPr>
                <w:noProof/>
                <w:webHidden/>
              </w:rPr>
              <w:fldChar w:fldCharType="separate"/>
            </w:r>
            <w:r w:rsidR="00FD58BF">
              <w:rPr>
                <w:noProof/>
                <w:webHidden/>
              </w:rPr>
              <w:t>608</w:t>
            </w:r>
            <w:r w:rsidR="00FD58BF">
              <w:rPr>
                <w:noProof/>
                <w:webHidden/>
              </w:rPr>
              <w:fldChar w:fldCharType="end"/>
            </w:r>
          </w:hyperlink>
        </w:p>
        <w:p w14:paraId="27E8C9A4" w14:textId="238BB3D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7" w:history="1">
            <w:r w:rsidR="00FD58BF" w:rsidRPr="003004E5">
              <w:rPr>
                <w:rStyle w:val="Lienhypertexte"/>
                <w:noProof/>
              </w:rPr>
              <w:t>22.16.4a Parois préfabriquées en béton architectonique CCTB 01.11</w:t>
            </w:r>
            <w:r w:rsidR="00FD58BF">
              <w:rPr>
                <w:noProof/>
                <w:webHidden/>
              </w:rPr>
              <w:tab/>
            </w:r>
            <w:r w:rsidR="00FD58BF">
              <w:rPr>
                <w:noProof/>
                <w:webHidden/>
              </w:rPr>
              <w:fldChar w:fldCharType="begin"/>
            </w:r>
            <w:r w:rsidR="00FD58BF">
              <w:rPr>
                <w:noProof/>
                <w:webHidden/>
              </w:rPr>
              <w:instrText xml:space="preserve"> PAGEREF _Toc178837917 \h </w:instrText>
            </w:r>
            <w:r w:rsidR="00FD58BF">
              <w:rPr>
                <w:noProof/>
                <w:webHidden/>
              </w:rPr>
            </w:r>
            <w:r w:rsidR="00FD58BF">
              <w:rPr>
                <w:noProof/>
                <w:webHidden/>
              </w:rPr>
              <w:fldChar w:fldCharType="separate"/>
            </w:r>
            <w:r w:rsidR="00FD58BF">
              <w:rPr>
                <w:noProof/>
                <w:webHidden/>
              </w:rPr>
              <w:t>609</w:t>
            </w:r>
            <w:r w:rsidR="00FD58BF">
              <w:rPr>
                <w:noProof/>
                <w:webHidden/>
              </w:rPr>
              <w:fldChar w:fldCharType="end"/>
            </w:r>
          </w:hyperlink>
        </w:p>
        <w:p w14:paraId="288C605C" w14:textId="6038CC4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8" w:history="1">
            <w:r w:rsidR="00FD58BF" w:rsidRPr="003004E5">
              <w:rPr>
                <w:rStyle w:val="Lienhypertexte"/>
                <w:noProof/>
              </w:rPr>
              <w:t>22.16.4b Parois sandwich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_Toc178837918 \h </w:instrText>
            </w:r>
            <w:r w:rsidR="00FD58BF">
              <w:rPr>
                <w:noProof/>
                <w:webHidden/>
              </w:rPr>
            </w:r>
            <w:r w:rsidR="00FD58BF">
              <w:rPr>
                <w:noProof/>
                <w:webHidden/>
              </w:rPr>
              <w:fldChar w:fldCharType="separate"/>
            </w:r>
            <w:r w:rsidR="00FD58BF">
              <w:rPr>
                <w:noProof/>
                <w:webHidden/>
              </w:rPr>
              <w:t>612</w:t>
            </w:r>
            <w:r w:rsidR="00FD58BF">
              <w:rPr>
                <w:noProof/>
                <w:webHidden/>
              </w:rPr>
              <w:fldChar w:fldCharType="end"/>
            </w:r>
          </w:hyperlink>
        </w:p>
        <w:p w14:paraId="2C5983B6" w14:textId="23843EB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9" w:history="1">
            <w:r w:rsidR="00FD58BF" w:rsidRPr="003004E5">
              <w:rPr>
                <w:rStyle w:val="Lienhypertexte"/>
                <w:noProof/>
              </w:rPr>
              <w:t>22.16.4c Parois préfabriquées avec éléments de revêtement intégrés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_Toc178837919 \h </w:instrText>
            </w:r>
            <w:r w:rsidR="00FD58BF">
              <w:rPr>
                <w:noProof/>
                <w:webHidden/>
              </w:rPr>
            </w:r>
            <w:r w:rsidR="00FD58BF">
              <w:rPr>
                <w:noProof/>
                <w:webHidden/>
              </w:rPr>
              <w:fldChar w:fldCharType="separate"/>
            </w:r>
            <w:r w:rsidR="00FD58BF">
              <w:rPr>
                <w:noProof/>
                <w:webHidden/>
              </w:rPr>
              <w:t>616</w:t>
            </w:r>
            <w:r w:rsidR="00FD58BF">
              <w:rPr>
                <w:noProof/>
                <w:webHidden/>
              </w:rPr>
              <w:fldChar w:fldCharType="end"/>
            </w:r>
          </w:hyperlink>
        </w:p>
        <w:p w14:paraId="011EB23D" w14:textId="27A0439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0" w:history="1">
            <w:r w:rsidR="00FD58BF" w:rsidRPr="003004E5">
              <w:rPr>
                <w:rStyle w:val="Lienhypertexte"/>
                <w:noProof/>
              </w:rPr>
              <w:t>22.16.4d Prémurs préfabriqués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_Toc178837920 \h </w:instrText>
            </w:r>
            <w:r w:rsidR="00FD58BF">
              <w:rPr>
                <w:noProof/>
                <w:webHidden/>
              </w:rPr>
            </w:r>
            <w:r w:rsidR="00FD58BF">
              <w:rPr>
                <w:noProof/>
                <w:webHidden/>
              </w:rPr>
              <w:fldChar w:fldCharType="separate"/>
            </w:r>
            <w:r w:rsidR="00FD58BF">
              <w:rPr>
                <w:noProof/>
                <w:webHidden/>
              </w:rPr>
              <w:t>619</w:t>
            </w:r>
            <w:r w:rsidR="00FD58BF">
              <w:rPr>
                <w:noProof/>
                <w:webHidden/>
              </w:rPr>
              <w:fldChar w:fldCharType="end"/>
            </w:r>
          </w:hyperlink>
        </w:p>
        <w:p w14:paraId="11A88ED4" w14:textId="11FEB84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1" w:history="1">
            <w:r w:rsidR="00FD58BF" w:rsidRPr="003004E5">
              <w:rPr>
                <w:rStyle w:val="Lienhypertexte"/>
                <w:noProof/>
              </w:rPr>
              <w:t>22.16.4e Prémurs préfabriqués en béton décoratif / architectonique avec isolation intégrée CCTB 01.11</w:t>
            </w:r>
            <w:r w:rsidR="00FD58BF">
              <w:rPr>
                <w:noProof/>
                <w:webHidden/>
              </w:rPr>
              <w:tab/>
            </w:r>
            <w:r w:rsidR="00FD58BF">
              <w:rPr>
                <w:noProof/>
                <w:webHidden/>
              </w:rPr>
              <w:fldChar w:fldCharType="begin"/>
            </w:r>
            <w:r w:rsidR="00FD58BF">
              <w:rPr>
                <w:noProof/>
                <w:webHidden/>
              </w:rPr>
              <w:instrText xml:space="preserve"> PAGEREF _Toc178837921 \h </w:instrText>
            </w:r>
            <w:r w:rsidR="00FD58BF">
              <w:rPr>
                <w:noProof/>
                <w:webHidden/>
              </w:rPr>
            </w:r>
            <w:r w:rsidR="00FD58BF">
              <w:rPr>
                <w:noProof/>
                <w:webHidden/>
              </w:rPr>
              <w:fldChar w:fldCharType="separate"/>
            </w:r>
            <w:r w:rsidR="00FD58BF">
              <w:rPr>
                <w:noProof/>
                <w:webHidden/>
              </w:rPr>
              <w:t>623</w:t>
            </w:r>
            <w:r w:rsidR="00FD58BF">
              <w:rPr>
                <w:noProof/>
                <w:webHidden/>
              </w:rPr>
              <w:fldChar w:fldCharType="end"/>
            </w:r>
          </w:hyperlink>
        </w:p>
        <w:p w14:paraId="0A7C0521" w14:textId="018CEDD2"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22" w:history="1">
            <w:r w:rsidR="00FD58BF" w:rsidRPr="003004E5">
              <w:rPr>
                <w:rStyle w:val="Lienhypertexte"/>
                <w:noProof/>
              </w:rPr>
              <w:t>22.2 Ensembles structuraux en béton CCTB 01.04</w:t>
            </w:r>
            <w:r w:rsidR="00FD58BF">
              <w:rPr>
                <w:noProof/>
                <w:webHidden/>
              </w:rPr>
              <w:tab/>
            </w:r>
            <w:r w:rsidR="00FD58BF">
              <w:rPr>
                <w:noProof/>
                <w:webHidden/>
              </w:rPr>
              <w:fldChar w:fldCharType="begin"/>
            </w:r>
            <w:r w:rsidR="00FD58BF">
              <w:rPr>
                <w:noProof/>
                <w:webHidden/>
              </w:rPr>
              <w:instrText xml:space="preserve"> PAGEREF _Toc178837922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52DD851D" w14:textId="2F309A9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23" w:history="1">
            <w:r w:rsidR="00FD58BF" w:rsidRPr="003004E5">
              <w:rPr>
                <w:rStyle w:val="Lienhypertexte"/>
                <w:noProof/>
              </w:rPr>
              <w:t>22.21 Structures en béton (poutres/colonnes) CCTB 01.04</w:t>
            </w:r>
            <w:r w:rsidR="00FD58BF">
              <w:rPr>
                <w:noProof/>
                <w:webHidden/>
              </w:rPr>
              <w:tab/>
            </w:r>
            <w:r w:rsidR="00FD58BF">
              <w:rPr>
                <w:noProof/>
                <w:webHidden/>
              </w:rPr>
              <w:fldChar w:fldCharType="begin"/>
            </w:r>
            <w:r w:rsidR="00FD58BF">
              <w:rPr>
                <w:noProof/>
                <w:webHidden/>
              </w:rPr>
              <w:instrText xml:space="preserve"> PAGEREF _Toc178837923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17487B9F" w14:textId="0ACE289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24" w:history="1">
            <w:r w:rsidR="00FD58BF" w:rsidRPr="003004E5">
              <w:rPr>
                <w:rStyle w:val="Lienhypertexte"/>
                <w:noProof/>
              </w:rPr>
              <w:t>22.21.1 Structures en béton coulé en place CCTB 01.04</w:t>
            </w:r>
            <w:r w:rsidR="00FD58BF">
              <w:rPr>
                <w:noProof/>
                <w:webHidden/>
              </w:rPr>
              <w:tab/>
            </w:r>
            <w:r w:rsidR="00FD58BF">
              <w:rPr>
                <w:noProof/>
                <w:webHidden/>
              </w:rPr>
              <w:fldChar w:fldCharType="begin"/>
            </w:r>
            <w:r w:rsidR="00FD58BF">
              <w:rPr>
                <w:noProof/>
                <w:webHidden/>
              </w:rPr>
              <w:instrText xml:space="preserve"> PAGEREF _Toc178837924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52BB48E5" w14:textId="2963E9B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5" w:history="1">
            <w:r w:rsidR="00FD58BF" w:rsidRPr="003004E5">
              <w:rPr>
                <w:rStyle w:val="Lienhypertexte"/>
                <w:noProof/>
              </w:rPr>
              <w:t>22.21.1a Structures en béton coulé en place CCTB 01.04</w:t>
            </w:r>
            <w:r w:rsidR="00FD58BF">
              <w:rPr>
                <w:noProof/>
                <w:webHidden/>
              </w:rPr>
              <w:tab/>
            </w:r>
            <w:r w:rsidR="00FD58BF">
              <w:rPr>
                <w:noProof/>
                <w:webHidden/>
              </w:rPr>
              <w:fldChar w:fldCharType="begin"/>
            </w:r>
            <w:r w:rsidR="00FD58BF">
              <w:rPr>
                <w:noProof/>
                <w:webHidden/>
              </w:rPr>
              <w:instrText xml:space="preserve"> PAGEREF _Toc178837925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75E853A0" w14:textId="2E7F9F1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6" w:history="1">
            <w:r w:rsidR="00FD58BF" w:rsidRPr="003004E5">
              <w:rPr>
                <w:rStyle w:val="Lienhypertexte"/>
                <w:noProof/>
              </w:rPr>
              <w:t>22.21.1b Portiques en béton coulé en place CCTB 01.04</w:t>
            </w:r>
            <w:r w:rsidR="00FD58BF">
              <w:rPr>
                <w:noProof/>
                <w:webHidden/>
              </w:rPr>
              <w:tab/>
            </w:r>
            <w:r w:rsidR="00FD58BF">
              <w:rPr>
                <w:noProof/>
                <w:webHidden/>
              </w:rPr>
              <w:fldChar w:fldCharType="begin"/>
            </w:r>
            <w:r w:rsidR="00FD58BF">
              <w:rPr>
                <w:noProof/>
                <w:webHidden/>
              </w:rPr>
              <w:instrText xml:space="preserve"> PAGEREF _Toc178837926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6CDD2A8B" w14:textId="29DFF75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7" w:history="1">
            <w:r w:rsidR="00FD58BF" w:rsidRPr="003004E5">
              <w:rPr>
                <w:rStyle w:val="Lienhypertexte"/>
                <w:noProof/>
              </w:rPr>
              <w:t>22.21.1c Arcs en béton coulé en place CCTB 01.04</w:t>
            </w:r>
            <w:r w:rsidR="00FD58BF">
              <w:rPr>
                <w:noProof/>
                <w:webHidden/>
              </w:rPr>
              <w:tab/>
            </w:r>
            <w:r w:rsidR="00FD58BF">
              <w:rPr>
                <w:noProof/>
                <w:webHidden/>
              </w:rPr>
              <w:fldChar w:fldCharType="begin"/>
            </w:r>
            <w:r w:rsidR="00FD58BF">
              <w:rPr>
                <w:noProof/>
                <w:webHidden/>
              </w:rPr>
              <w:instrText xml:space="preserve"> PAGEREF _Toc178837927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7BB5F56D" w14:textId="68D2A45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8" w:history="1">
            <w:r w:rsidR="00FD58BF" w:rsidRPr="003004E5">
              <w:rPr>
                <w:rStyle w:val="Lienhypertexte"/>
                <w:noProof/>
              </w:rPr>
              <w:t>22.21.1d Potences en béton coulé en place CCTB 01.04</w:t>
            </w:r>
            <w:r w:rsidR="00FD58BF">
              <w:rPr>
                <w:noProof/>
                <w:webHidden/>
              </w:rPr>
              <w:tab/>
            </w:r>
            <w:r w:rsidR="00FD58BF">
              <w:rPr>
                <w:noProof/>
                <w:webHidden/>
              </w:rPr>
              <w:fldChar w:fldCharType="begin"/>
            </w:r>
            <w:r w:rsidR="00FD58BF">
              <w:rPr>
                <w:noProof/>
                <w:webHidden/>
              </w:rPr>
              <w:instrText xml:space="preserve"> PAGEREF _Toc178837928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0E955C33" w14:textId="0DA837F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29" w:history="1">
            <w:r w:rsidR="00FD58BF" w:rsidRPr="003004E5">
              <w:rPr>
                <w:rStyle w:val="Lienhypertexte"/>
                <w:noProof/>
              </w:rPr>
              <w:t>22.21.2 Structures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_Toc178837929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12FEBEE9" w14:textId="4782382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0" w:history="1">
            <w:r w:rsidR="00FD58BF" w:rsidRPr="003004E5">
              <w:rPr>
                <w:rStyle w:val="Lienhypertexte"/>
                <w:noProof/>
              </w:rPr>
              <w:t>22.21.2a Structures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_Toc178837930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51EEB4D4" w14:textId="7E346E1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1" w:history="1">
            <w:r w:rsidR="00FD58BF" w:rsidRPr="003004E5">
              <w:rPr>
                <w:rStyle w:val="Lienhypertexte"/>
                <w:noProof/>
              </w:rPr>
              <w:t>22.21.2b Portiques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_Toc178837931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4D9C0E18" w14:textId="2110A5B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2" w:history="1">
            <w:r w:rsidR="00FD58BF" w:rsidRPr="003004E5">
              <w:rPr>
                <w:rStyle w:val="Lienhypertexte"/>
                <w:noProof/>
              </w:rPr>
              <w:t>22.21.2c Arcs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_Toc178837932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76D589D4" w14:textId="3AC0FFD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3" w:history="1">
            <w:r w:rsidR="00FD58BF" w:rsidRPr="003004E5">
              <w:rPr>
                <w:rStyle w:val="Lienhypertexte"/>
                <w:noProof/>
              </w:rPr>
              <w:t>22.21.2d Potences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_Toc178837933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7915856B" w14:textId="5F95A45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34" w:history="1">
            <w:r w:rsidR="00FD58BF" w:rsidRPr="003004E5">
              <w:rPr>
                <w:rStyle w:val="Lienhypertexte"/>
                <w:noProof/>
              </w:rPr>
              <w:t>22.21.3 Structures préfabriquées en béton CCTB 01.04</w:t>
            </w:r>
            <w:r w:rsidR="00FD58BF">
              <w:rPr>
                <w:noProof/>
                <w:webHidden/>
              </w:rPr>
              <w:tab/>
            </w:r>
            <w:r w:rsidR="00FD58BF">
              <w:rPr>
                <w:noProof/>
                <w:webHidden/>
              </w:rPr>
              <w:fldChar w:fldCharType="begin"/>
            </w:r>
            <w:r w:rsidR="00FD58BF">
              <w:rPr>
                <w:noProof/>
                <w:webHidden/>
              </w:rPr>
              <w:instrText xml:space="preserve"> PAGEREF _Toc178837934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49AC605E" w14:textId="055BE35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5" w:history="1">
            <w:r w:rsidR="00FD58BF" w:rsidRPr="003004E5">
              <w:rPr>
                <w:rStyle w:val="Lienhypertexte"/>
                <w:noProof/>
              </w:rPr>
              <w:t>22.21.3a Structures préfabriquées en béton CCTB 01.04</w:t>
            </w:r>
            <w:r w:rsidR="00FD58BF">
              <w:rPr>
                <w:noProof/>
                <w:webHidden/>
              </w:rPr>
              <w:tab/>
            </w:r>
            <w:r w:rsidR="00FD58BF">
              <w:rPr>
                <w:noProof/>
                <w:webHidden/>
              </w:rPr>
              <w:fldChar w:fldCharType="begin"/>
            </w:r>
            <w:r w:rsidR="00FD58BF">
              <w:rPr>
                <w:noProof/>
                <w:webHidden/>
              </w:rPr>
              <w:instrText xml:space="preserve"> PAGEREF _Toc178837935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74F9D1C8" w14:textId="59C968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6" w:history="1">
            <w:r w:rsidR="00FD58BF" w:rsidRPr="003004E5">
              <w:rPr>
                <w:rStyle w:val="Lienhypertexte"/>
                <w:noProof/>
              </w:rPr>
              <w:t>22.21.3b Portiques préfabriqués en béton CCTB 01.04</w:t>
            </w:r>
            <w:r w:rsidR="00FD58BF">
              <w:rPr>
                <w:noProof/>
                <w:webHidden/>
              </w:rPr>
              <w:tab/>
            </w:r>
            <w:r w:rsidR="00FD58BF">
              <w:rPr>
                <w:noProof/>
                <w:webHidden/>
              </w:rPr>
              <w:fldChar w:fldCharType="begin"/>
            </w:r>
            <w:r w:rsidR="00FD58BF">
              <w:rPr>
                <w:noProof/>
                <w:webHidden/>
              </w:rPr>
              <w:instrText xml:space="preserve"> PAGEREF _Toc178837936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2EF1EB7B" w14:textId="07F418A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7" w:history="1">
            <w:r w:rsidR="00FD58BF" w:rsidRPr="003004E5">
              <w:rPr>
                <w:rStyle w:val="Lienhypertexte"/>
                <w:noProof/>
              </w:rPr>
              <w:t>22.21.3c Arcs préfabriqués en béton CCTB 01.04</w:t>
            </w:r>
            <w:r w:rsidR="00FD58BF">
              <w:rPr>
                <w:noProof/>
                <w:webHidden/>
              </w:rPr>
              <w:tab/>
            </w:r>
            <w:r w:rsidR="00FD58BF">
              <w:rPr>
                <w:noProof/>
                <w:webHidden/>
              </w:rPr>
              <w:fldChar w:fldCharType="begin"/>
            </w:r>
            <w:r w:rsidR="00FD58BF">
              <w:rPr>
                <w:noProof/>
                <w:webHidden/>
              </w:rPr>
              <w:instrText xml:space="preserve"> PAGEREF _Toc178837937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11E3910C" w14:textId="072B10C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8" w:history="1">
            <w:r w:rsidR="00FD58BF" w:rsidRPr="003004E5">
              <w:rPr>
                <w:rStyle w:val="Lienhypertexte"/>
                <w:noProof/>
              </w:rPr>
              <w:t>22.21.3d Potences préfabriquées en béton CCTB 01.04</w:t>
            </w:r>
            <w:r w:rsidR="00FD58BF">
              <w:rPr>
                <w:noProof/>
                <w:webHidden/>
              </w:rPr>
              <w:tab/>
            </w:r>
            <w:r w:rsidR="00FD58BF">
              <w:rPr>
                <w:noProof/>
                <w:webHidden/>
              </w:rPr>
              <w:fldChar w:fldCharType="begin"/>
            </w:r>
            <w:r w:rsidR="00FD58BF">
              <w:rPr>
                <w:noProof/>
                <w:webHidden/>
              </w:rPr>
              <w:instrText xml:space="preserve"> PAGEREF _Toc178837938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62403826" w14:textId="73E9074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39" w:history="1">
            <w:r w:rsidR="00FD58BF" w:rsidRPr="003004E5">
              <w:rPr>
                <w:rStyle w:val="Lienhypertexte"/>
                <w:noProof/>
              </w:rPr>
              <w:t>22.21.4 Structures préfabriquées en béton architectonique CCTB 01.04</w:t>
            </w:r>
            <w:r w:rsidR="00FD58BF">
              <w:rPr>
                <w:noProof/>
                <w:webHidden/>
              </w:rPr>
              <w:tab/>
            </w:r>
            <w:r w:rsidR="00FD58BF">
              <w:rPr>
                <w:noProof/>
                <w:webHidden/>
              </w:rPr>
              <w:fldChar w:fldCharType="begin"/>
            </w:r>
            <w:r w:rsidR="00FD58BF">
              <w:rPr>
                <w:noProof/>
                <w:webHidden/>
              </w:rPr>
              <w:instrText xml:space="preserve"> PAGEREF _Toc178837939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54B6EBE3" w14:textId="5C10443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0" w:history="1">
            <w:r w:rsidR="00FD58BF" w:rsidRPr="003004E5">
              <w:rPr>
                <w:rStyle w:val="Lienhypertexte"/>
                <w:noProof/>
              </w:rPr>
              <w:t>22.21.4a Structures préfabriquées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_Toc178837940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08843464" w14:textId="1173210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1" w:history="1">
            <w:r w:rsidR="00FD58BF" w:rsidRPr="003004E5">
              <w:rPr>
                <w:rStyle w:val="Lienhypertexte"/>
                <w:noProof/>
              </w:rPr>
              <w:t>22.21.4b Portiques préfabriqués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_Toc178837941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52DA9A66" w14:textId="13D813A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2" w:history="1">
            <w:r w:rsidR="00FD58BF" w:rsidRPr="003004E5">
              <w:rPr>
                <w:rStyle w:val="Lienhypertexte"/>
                <w:noProof/>
              </w:rPr>
              <w:t>22.21.4c Arcs préfabriqués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_Toc178837942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27620C21" w14:textId="29193F6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3" w:history="1">
            <w:r w:rsidR="00FD58BF" w:rsidRPr="003004E5">
              <w:rPr>
                <w:rStyle w:val="Lienhypertexte"/>
                <w:noProof/>
              </w:rPr>
              <w:t>22.21.4d Potences préfabriquées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_Toc178837943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777815FE" w14:textId="3965635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44" w:history="1">
            <w:r w:rsidR="00FD58BF" w:rsidRPr="003004E5">
              <w:rPr>
                <w:rStyle w:val="Lienhypertexte"/>
                <w:noProof/>
              </w:rPr>
              <w:t>22.21.5 Structures mixtes acier-béton CCTB 01.04</w:t>
            </w:r>
            <w:r w:rsidR="00FD58BF">
              <w:rPr>
                <w:noProof/>
                <w:webHidden/>
              </w:rPr>
              <w:tab/>
            </w:r>
            <w:r w:rsidR="00FD58BF">
              <w:rPr>
                <w:noProof/>
                <w:webHidden/>
              </w:rPr>
              <w:fldChar w:fldCharType="begin"/>
            </w:r>
            <w:r w:rsidR="00FD58BF">
              <w:rPr>
                <w:noProof/>
                <w:webHidden/>
              </w:rPr>
              <w:instrText xml:space="preserve"> PAGEREF _Toc178837944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54F0A077" w14:textId="549AF8F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5" w:history="1">
            <w:r w:rsidR="00FD58BF" w:rsidRPr="003004E5">
              <w:rPr>
                <w:rStyle w:val="Lienhypertexte"/>
                <w:noProof/>
              </w:rPr>
              <w:t>22.21.5a Structures mixtes acier-béton CCTB 01.04</w:t>
            </w:r>
            <w:r w:rsidR="00FD58BF">
              <w:rPr>
                <w:noProof/>
                <w:webHidden/>
              </w:rPr>
              <w:tab/>
            </w:r>
            <w:r w:rsidR="00FD58BF">
              <w:rPr>
                <w:noProof/>
                <w:webHidden/>
              </w:rPr>
              <w:fldChar w:fldCharType="begin"/>
            </w:r>
            <w:r w:rsidR="00FD58BF">
              <w:rPr>
                <w:noProof/>
                <w:webHidden/>
              </w:rPr>
              <w:instrText xml:space="preserve"> PAGEREF _Toc178837945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2E48E45A" w14:textId="2B78E8A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6" w:history="1">
            <w:r w:rsidR="00FD58BF" w:rsidRPr="003004E5">
              <w:rPr>
                <w:rStyle w:val="Lienhypertexte"/>
                <w:noProof/>
              </w:rPr>
              <w:t>22.21.5b Portiques mixtes acier-béton CCTB 01.04</w:t>
            </w:r>
            <w:r w:rsidR="00FD58BF">
              <w:rPr>
                <w:noProof/>
                <w:webHidden/>
              </w:rPr>
              <w:tab/>
            </w:r>
            <w:r w:rsidR="00FD58BF">
              <w:rPr>
                <w:noProof/>
                <w:webHidden/>
              </w:rPr>
              <w:fldChar w:fldCharType="begin"/>
            </w:r>
            <w:r w:rsidR="00FD58BF">
              <w:rPr>
                <w:noProof/>
                <w:webHidden/>
              </w:rPr>
              <w:instrText xml:space="preserve"> PAGEREF _Toc178837946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3D6D127C" w14:textId="0FF85DA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7" w:history="1">
            <w:r w:rsidR="00FD58BF" w:rsidRPr="003004E5">
              <w:rPr>
                <w:rStyle w:val="Lienhypertexte"/>
                <w:noProof/>
              </w:rPr>
              <w:t>22.21.5c Arcs mixtes acier-béton CCTB 01.04</w:t>
            </w:r>
            <w:r w:rsidR="00FD58BF">
              <w:rPr>
                <w:noProof/>
                <w:webHidden/>
              </w:rPr>
              <w:tab/>
            </w:r>
            <w:r w:rsidR="00FD58BF">
              <w:rPr>
                <w:noProof/>
                <w:webHidden/>
              </w:rPr>
              <w:fldChar w:fldCharType="begin"/>
            </w:r>
            <w:r w:rsidR="00FD58BF">
              <w:rPr>
                <w:noProof/>
                <w:webHidden/>
              </w:rPr>
              <w:instrText xml:space="preserve"> PAGEREF _Toc178837947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1C6AE4F5" w14:textId="329DB8F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8" w:history="1">
            <w:r w:rsidR="00FD58BF" w:rsidRPr="003004E5">
              <w:rPr>
                <w:rStyle w:val="Lienhypertexte"/>
                <w:noProof/>
              </w:rPr>
              <w:t>22.21.5d Potences mixtes acier-béton CCTB 01.04</w:t>
            </w:r>
            <w:r w:rsidR="00FD58BF">
              <w:rPr>
                <w:noProof/>
                <w:webHidden/>
              </w:rPr>
              <w:tab/>
            </w:r>
            <w:r w:rsidR="00FD58BF">
              <w:rPr>
                <w:noProof/>
                <w:webHidden/>
              </w:rPr>
              <w:fldChar w:fldCharType="begin"/>
            </w:r>
            <w:r w:rsidR="00FD58BF">
              <w:rPr>
                <w:noProof/>
                <w:webHidden/>
              </w:rPr>
              <w:instrText xml:space="preserve"> PAGEREF _Toc178837948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4BDE5089" w14:textId="1E1167D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49" w:history="1">
            <w:r w:rsidR="00FD58BF" w:rsidRPr="003004E5">
              <w:rPr>
                <w:rStyle w:val="Lienhypertexte"/>
                <w:noProof/>
              </w:rPr>
              <w:t>22.22 Planchers composites en béton CCTB 01.02</w:t>
            </w:r>
            <w:r w:rsidR="00FD58BF">
              <w:rPr>
                <w:noProof/>
                <w:webHidden/>
              </w:rPr>
              <w:tab/>
            </w:r>
            <w:r w:rsidR="00FD58BF">
              <w:rPr>
                <w:noProof/>
                <w:webHidden/>
              </w:rPr>
              <w:fldChar w:fldCharType="begin"/>
            </w:r>
            <w:r w:rsidR="00FD58BF">
              <w:rPr>
                <w:noProof/>
                <w:webHidden/>
              </w:rPr>
              <w:instrText xml:space="preserve"> PAGEREF _Toc178837949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2AC48731" w14:textId="4416F25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0" w:history="1">
            <w:r w:rsidR="00FD58BF" w:rsidRPr="003004E5">
              <w:rPr>
                <w:rStyle w:val="Lienhypertexte"/>
                <w:noProof/>
              </w:rPr>
              <w:t>22.22.1 Planchers composites en béton préfabriqués CCTB 01.02</w:t>
            </w:r>
            <w:r w:rsidR="00FD58BF">
              <w:rPr>
                <w:noProof/>
                <w:webHidden/>
              </w:rPr>
              <w:tab/>
            </w:r>
            <w:r w:rsidR="00FD58BF">
              <w:rPr>
                <w:noProof/>
                <w:webHidden/>
              </w:rPr>
              <w:fldChar w:fldCharType="begin"/>
            </w:r>
            <w:r w:rsidR="00FD58BF">
              <w:rPr>
                <w:noProof/>
                <w:webHidden/>
              </w:rPr>
              <w:instrText xml:space="preserve"> PAGEREF _Toc178837950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50831A19" w14:textId="7B43684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1" w:history="1">
            <w:r w:rsidR="00FD58BF" w:rsidRPr="003004E5">
              <w:rPr>
                <w:rStyle w:val="Lienhypertexte"/>
                <w:noProof/>
              </w:rPr>
              <w:t>22.22.1a Planchers à poutrelles en béton et entrevous en béton CCTB 01.12</w:t>
            </w:r>
            <w:r w:rsidR="00FD58BF">
              <w:rPr>
                <w:noProof/>
                <w:webHidden/>
              </w:rPr>
              <w:tab/>
            </w:r>
            <w:r w:rsidR="00FD58BF">
              <w:rPr>
                <w:noProof/>
                <w:webHidden/>
              </w:rPr>
              <w:fldChar w:fldCharType="begin"/>
            </w:r>
            <w:r w:rsidR="00FD58BF">
              <w:rPr>
                <w:noProof/>
                <w:webHidden/>
              </w:rPr>
              <w:instrText xml:space="preserve"> PAGEREF _Toc178837951 \h </w:instrText>
            </w:r>
            <w:r w:rsidR="00FD58BF">
              <w:rPr>
                <w:noProof/>
                <w:webHidden/>
              </w:rPr>
            </w:r>
            <w:r w:rsidR="00FD58BF">
              <w:rPr>
                <w:noProof/>
                <w:webHidden/>
              </w:rPr>
              <w:fldChar w:fldCharType="separate"/>
            </w:r>
            <w:r w:rsidR="00FD58BF">
              <w:rPr>
                <w:noProof/>
                <w:webHidden/>
              </w:rPr>
              <w:t>627</w:t>
            </w:r>
            <w:r w:rsidR="00FD58BF">
              <w:rPr>
                <w:noProof/>
                <w:webHidden/>
              </w:rPr>
              <w:fldChar w:fldCharType="end"/>
            </w:r>
          </w:hyperlink>
        </w:p>
        <w:p w14:paraId="508D0CDE" w14:textId="4BBDFCA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2" w:history="1">
            <w:r w:rsidR="00FD58BF" w:rsidRPr="003004E5">
              <w:rPr>
                <w:rStyle w:val="Lienhypertexte"/>
                <w:noProof/>
              </w:rPr>
              <w:t>22.22.1b Planchers à poutrelles en béton et entrevous en terre cuite CCTB 01.12</w:t>
            </w:r>
            <w:r w:rsidR="00FD58BF">
              <w:rPr>
                <w:noProof/>
                <w:webHidden/>
              </w:rPr>
              <w:tab/>
            </w:r>
            <w:r w:rsidR="00FD58BF">
              <w:rPr>
                <w:noProof/>
                <w:webHidden/>
              </w:rPr>
              <w:fldChar w:fldCharType="begin"/>
            </w:r>
            <w:r w:rsidR="00FD58BF">
              <w:rPr>
                <w:noProof/>
                <w:webHidden/>
              </w:rPr>
              <w:instrText xml:space="preserve"> PAGEREF _Toc178837952 \h </w:instrText>
            </w:r>
            <w:r w:rsidR="00FD58BF">
              <w:rPr>
                <w:noProof/>
                <w:webHidden/>
              </w:rPr>
            </w:r>
            <w:r w:rsidR="00FD58BF">
              <w:rPr>
                <w:noProof/>
                <w:webHidden/>
              </w:rPr>
              <w:fldChar w:fldCharType="separate"/>
            </w:r>
            <w:r w:rsidR="00FD58BF">
              <w:rPr>
                <w:noProof/>
                <w:webHidden/>
              </w:rPr>
              <w:t>631</w:t>
            </w:r>
            <w:r w:rsidR="00FD58BF">
              <w:rPr>
                <w:noProof/>
                <w:webHidden/>
              </w:rPr>
              <w:fldChar w:fldCharType="end"/>
            </w:r>
          </w:hyperlink>
        </w:p>
        <w:p w14:paraId="4E338E0B" w14:textId="350D9B9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3" w:history="1">
            <w:r w:rsidR="00FD58BF" w:rsidRPr="003004E5">
              <w:rPr>
                <w:rStyle w:val="Lienhypertexte"/>
                <w:noProof/>
              </w:rPr>
              <w:t>22.22.1c Planchers à poutrelles en béton et entrevous en polystyrène CCTB 01.12</w:t>
            </w:r>
            <w:r w:rsidR="00FD58BF">
              <w:rPr>
                <w:noProof/>
                <w:webHidden/>
              </w:rPr>
              <w:tab/>
            </w:r>
            <w:r w:rsidR="00FD58BF">
              <w:rPr>
                <w:noProof/>
                <w:webHidden/>
              </w:rPr>
              <w:fldChar w:fldCharType="begin"/>
            </w:r>
            <w:r w:rsidR="00FD58BF">
              <w:rPr>
                <w:noProof/>
                <w:webHidden/>
              </w:rPr>
              <w:instrText xml:space="preserve"> PAGEREF _Toc178837953 \h </w:instrText>
            </w:r>
            <w:r w:rsidR="00FD58BF">
              <w:rPr>
                <w:noProof/>
                <w:webHidden/>
              </w:rPr>
            </w:r>
            <w:r w:rsidR="00FD58BF">
              <w:rPr>
                <w:noProof/>
                <w:webHidden/>
              </w:rPr>
              <w:fldChar w:fldCharType="separate"/>
            </w:r>
            <w:r w:rsidR="00FD58BF">
              <w:rPr>
                <w:noProof/>
                <w:webHidden/>
              </w:rPr>
              <w:t>633</w:t>
            </w:r>
            <w:r w:rsidR="00FD58BF">
              <w:rPr>
                <w:noProof/>
                <w:webHidden/>
              </w:rPr>
              <w:fldChar w:fldCharType="end"/>
            </w:r>
          </w:hyperlink>
        </w:p>
        <w:p w14:paraId="2ADD1D54" w14:textId="7888FC7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4" w:history="1">
            <w:r w:rsidR="00FD58BF" w:rsidRPr="003004E5">
              <w:rPr>
                <w:rStyle w:val="Lienhypertexte"/>
                <w:noProof/>
              </w:rPr>
              <w:t>22.22.1d Planchers à poutrelles en béton et entrevous en fibres de bois agglomérées de ciment CCTB 01.04</w:t>
            </w:r>
            <w:r w:rsidR="00FD58BF">
              <w:rPr>
                <w:noProof/>
                <w:webHidden/>
              </w:rPr>
              <w:tab/>
            </w:r>
            <w:r w:rsidR="00FD58BF">
              <w:rPr>
                <w:noProof/>
                <w:webHidden/>
              </w:rPr>
              <w:fldChar w:fldCharType="begin"/>
            </w:r>
            <w:r w:rsidR="00FD58BF">
              <w:rPr>
                <w:noProof/>
                <w:webHidden/>
              </w:rPr>
              <w:instrText xml:space="preserve"> PAGEREF _Toc178837954 \h </w:instrText>
            </w:r>
            <w:r w:rsidR="00FD58BF">
              <w:rPr>
                <w:noProof/>
                <w:webHidden/>
              </w:rPr>
            </w:r>
            <w:r w:rsidR="00FD58BF">
              <w:rPr>
                <w:noProof/>
                <w:webHidden/>
              </w:rPr>
              <w:fldChar w:fldCharType="separate"/>
            </w:r>
            <w:r w:rsidR="00FD58BF">
              <w:rPr>
                <w:noProof/>
                <w:webHidden/>
              </w:rPr>
              <w:t>635</w:t>
            </w:r>
            <w:r w:rsidR="00FD58BF">
              <w:rPr>
                <w:noProof/>
                <w:webHidden/>
              </w:rPr>
              <w:fldChar w:fldCharType="end"/>
            </w:r>
          </w:hyperlink>
        </w:p>
        <w:p w14:paraId="7FBAF77A" w14:textId="63D2BF2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5" w:history="1">
            <w:r w:rsidR="00FD58BF" w:rsidRPr="003004E5">
              <w:rPr>
                <w:rStyle w:val="Lienhypertexte"/>
                <w:noProof/>
              </w:rPr>
              <w:t>22.22.1e Planchers à poutrelles en béton et entrevous en copeaux de bois CCTB 01.04</w:t>
            </w:r>
            <w:r w:rsidR="00FD58BF">
              <w:rPr>
                <w:noProof/>
                <w:webHidden/>
              </w:rPr>
              <w:tab/>
            </w:r>
            <w:r w:rsidR="00FD58BF">
              <w:rPr>
                <w:noProof/>
                <w:webHidden/>
              </w:rPr>
              <w:fldChar w:fldCharType="begin"/>
            </w:r>
            <w:r w:rsidR="00FD58BF">
              <w:rPr>
                <w:noProof/>
                <w:webHidden/>
              </w:rPr>
              <w:instrText xml:space="preserve"> PAGEREF _Toc178837955 \h </w:instrText>
            </w:r>
            <w:r w:rsidR="00FD58BF">
              <w:rPr>
                <w:noProof/>
                <w:webHidden/>
              </w:rPr>
            </w:r>
            <w:r w:rsidR="00FD58BF">
              <w:rPr>
                <w:noProof/>
                <w:webHidden/>
              </w:rPr>
              <w:fldChar w:fldCharType="separate"/>
            </w:r>
            <w:r w:rsidR="00FD58BF">
              <w:rPr>
                <w:noProof/>
                <w:webHidden/>
              </w:rPr>
              <w:t>635</w:t>
            </w:r>
            <w:r w:rsidR="00FD58BF">
              <w:rPr>
                <w:noProof/>
                <w:webHidden/>
              </w:rPr>
              <w:fldChar w:fldCharType="end"/>
            </w:r>
          </w:hyperlink>
        </w:p>
        <w:p w14:paraId="42B50CF7" w14:textId="4F533CB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6" w:history="1">
            <w:r w:rsidR="00FD58BF" w:rsidRPr="003004E5">
              <w:rPr>
                <w:rStyle w:val="Lienhypertexte"/>
                <w:noProof/>
              </w:rPr>
              <w:t>22.22.2 Planchers mixtes en béton CCTB 01.02</w:t>
            </w:r>
            <w:r w:rsidR="00FD58BF">
              <w:rPr>
                <w:noProof/>
                <w:webHidden/>
              </w:rPr>
              <w:tab/>
            </w:r>
            <w:r w:rsidR="00FD58BF">
              <w:rPr>
                <w:noProof/>
                <w:webHidden/>
              </w:rPr>
              <w:fldChar w:fldCharType="begin"/>
            </w:r>
            <w:r w:rsidR="00FD58BF">
              <w:rPr>
                <w:noProof/>
                <w:webHidden/>
              </w:rPr>
              <w:instrText xml:space="preserve"> PAGEREF _Toc178837956 \h </w:instrText>
            </w:r>
            <w:r w:rsidR="00FD58BF">
              <w:rPr>
                <w:noProof/>
                <w:webHidden/>
              </w:rPr>
            </w:r>
            <w:r w:rsidR="00FD58BF">
              <w:rPr>
                <w:noProof/>
                <w:webHidden/>
              </w:rPr>
              <w:fldChar w:fldCharType="separate"/>
            </w:r>
            <w:r w:rsidR="00FD58BF">
              <w:rPr>
                <w:noProof/>
                <w:webHidden/>
              </w:rPr>
              <w:t>635</w:t>
            </w:r>
            <w:r w:rsidR="00FD58BF">
              <w:rPr>
                <w:noProof/>
                <w:webHidden/>
              </w:rPr>
              <w:fldChar w:fldCharType="end"/>
            </w:r>
          </w:hyperlink>
        </w:p>
        <w:p w14:paraId="36BF2D22" w14:textId="4B81C87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7" w:history="1">
            <w:r w:rsidR="00FD58BF" w:rsidRPr="003004E5">
              <w:rPr>
                <w:rStyle w:val="Lienhypertexte"/>
                <w:noProof/>
              </w:rPr>
              <w:t>22.22.2a Planchers mixtes en acier-béton avec poutres en acier CCTB 01.11</w:t>
            </w:r>
            <w:r w:rsidR="00FD58BF">
              <w:rPr>
                <w:noProof/>
                <w:webHidden/>
              </w:rPr>
              <w:tab/>
            </w:r>
            <w:r w:rsidR="00FD58BF">
              <w:rPr>
                <w:noProof/>
                <w:webHidden/>
              </w:rPr>
              <w:fldChar w:fldCharType="begin"/>
            </w:r>
            <w:r w:rsidR="00FD58BF">
              <w:rPr>
                <w:noProof/>
                <w:webHidden/>
              </w:rPr>
              <w:instrText xml:space="preserve"> PAGEREF _Toc178837957 \h </w:instrText>
            </w:r>
            <w:r w:rsidR="00FD58BF">
              <w:rPr>
                <w:noProof/>
                <w:webHidden/>
              </w:rPr>
            </w:r>
            <w:r w:rsidR="00FD58BF">
              <w:rPr>
                <w:noProof/>
                <w:webHidden/>
              </w:rPr>
              <w:fldChar w:fldCharType="separate"/>
            </w:r>
            <w:r w:rsidR="00FD58BF">
              <w:rPr>
                <w:noProof/>
                <w:webHidden/>
              </w:rPr>
              <w:t>635</w:t>
            </w:r>
            <w:r w:rsidR="00FD58BF">
              <w:rPr>
                <w:noProof/>
                <w:webHidden/>
              </w:rPr>
              <w:fldChar w:fldCharType="end"/>
            </w:r>
          </w:hyperlink>
        </w:p>
        <w:p w14:paraId="5F333D2D" w14:textId="2C209A3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8" w:history="1">
            <w:r w:rsidR="00FD58BF" w:rsidRPr="003004E5">
              <w:rPr>
                <w:rStyle w:val="Lienhypertexte"/>
                <w:noProof/>
              </w:rPr>
              <w:t>22.22.2b Planchers mixtes acier-béton avec plaques nervurées en acier CCTB 01.12</w:t>
            </w:r>
            <w:r w:rsidR="00FD58BF">
              <w:rPr>
                <w:noProof/>
                <w:webHidden/>
              </w:rPr>
              <w:tab/>
            </w:r>
            <w:r w:rsidR="00FD58BF">
              <w:rPr>
                <w:noProof/>
                <w:webHidden/>
              </w:rPr>
              <w:fldChar w:fldCharType="begin"/>
            </w:r>
            <w:r w:rsidR="00FD58BF">
              <w:rPr>
                <w:noProof/>
                <w:webHidden/>
              </w:rPr>
              <w:instrText xml:space="preserve"> PAGEREF _Toc178837958 \h </w:instrText>
            </w:r>
            <w:r w:rsidR="00FD58BF">
              <w:rPr>
                <w:noProof/>
                <w:webHidden/>
              </w:rPr>
            </w:r>
            <w:r w:rsidR="00FD58BF">
              <w:rPr>
                <w:noProof/>
                <w:webHidden/>
              </w:rPr>
              <w:fldChar w:fldCharType="separate"/>
            </w:r>
            <w:r w:rsidR="00FD58BF">
              <w:rPr>
                <w:noProof/>
                <w:webHidden/>
              </w:rPr>
              <w:t>640</w:t>
            </w:r>
            <w:r w:rsidR="00FD58BF">
              <w:rPr>
                <w:noProof/>
                <w:webHidden/>
              </w:rPr>
              <w:fldChar w:fldCharType="end"/>
            </w:r>
          </w:hyperlink>
        </w:p>
        <w:p w14:paraId="4BBEE0A8" w14:textId="568946C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9" w:history="1">
            <w:r w:rsidR="00FD58BF" w:rsidRPr="003004E5">
              <w:rPr>
                <w:rStyle w:val="Lienhypertexte"/>
                <w:noProof/>
              </w:rPr>
              <w:t>22.22.2c Planchers mixtes bois-béton CCTB 01.04</w:t>
            </w:r>
            <w:r w:rsidR="00FD58BF">
              <w:rPr>
                <w:noProof/>
                <w:webHidden/>
              </w:rPr>
              <w:tab/>
            </w:r>
            <w:r w:rsidR="00FD58BF">
              <w:rPr>
                <w:noProof/>
                <w:webHidden/>
              </w:rPr>
              <w:fldChar w:fldCharType="begin"/>
            </w:r>
            <w:r w:rsidR="00FD58BF">
              <w:rPr>
                <w:noProof/>
                <w:webHidden/>
              </w:rPr>
              <w:instrText xml:space="preserve"> PAGEREF _Toc178837959 \h </w:instrText>
            </w:r>
            <w:r w:rsidR="00FD58BF">
              <w:rPr>
                <w:noProof/>
                <w:webHidden/>
              </w:rPr>
            </w:r>
            <w:r w:rsidR="00FD58BF">
              <w:rPr>
                <w:noProof/>
                <w:webHidden/>
              </w:rPr>
              <w:fldChar w:fldCharType="separate"/>
            </w:r>
            <w:r w:rsidR="00FD58BF">
              <w:rPr>
                <w:noProof/>
                <w:webHidden/>
              </w:rPr>
              <w:t>643</w:t>
            </w:r>
            <w:r w:rsidR="00FD58BF">
              <w:rPr>
                <w:noProof/>
                <w:webHidden/>
              </w:rPr>
              <w:fldChar w:fldCharType="end"/>
            </w:r>
          </w:hyperlink>
        </w:p>
        <w:p w14:paraId="74BD69CA" w14:textId="232A77C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60" w:history="1">
            <w:r w:rsidR="00FD58BF" w:rsidRPr="003004E5">
              <w:rPr>
                <w:rStyle w:val="Lienhypertexte"/>
                <w:noProof/>
              </w:rPr>
              <w:t>22.23 Charpentes de toiture en béton CCTB 01.04</w:t>
            </w:r>
            <w:r w:rsidR="00FD58BF">
              <w:rPr>
                <w:noProof/>
                <w:webHidden/>
              </w:rPr>
              <w:tab/>
            </w:r>
            <w:r w:rsidR="00FD58BF">
              <w:rPr>
                <w:noProof/>
                <w:webHidden/>
              </w:rPr>
              <w:fldChar w:fldCharType="begin"/>
            </w:r>
            <w:r w:rsidR="00FD58BF">
              <w:rPr>
                <w:noProof/>
                <w:webHidden/>
              </w:rPr>
              <w:instrText xml:space="preserve"> PAGEREF _Toc178837960 \h </w:instrText>
            </w:r>
            <w:r w:rsidR="00FD58BF">
              <w:rPr>
                <w:noProof/>
                <w:webHidden/>
              </w:rPr>
            </w:r>
            <w:r w:rsidR="00FD58BF">
              <w:rPr>
                <w:noProof/>
                <w:webHidden/>
              </w:rPr>
              <w:fldChar w:fldCharType="separate"/>
            </w:r>
            <w:r w:rsidR="00FD58BF">
              <w:rPr>
                <w:noProof/>
                <w:webHidden/>
              </w:rPr>
              <w:t>643</w:t>
            </w:r>
            <w:r w:rsidR="00FD58BF">
              <w:rPr>
                <w:noProof/>
                <w:webHidden/>
              </w:rPr>
              <w:fldChar w:fldCharType="end"/>
            </w:r>
          </w:hyperlink>
        </w:p>
        <w:p w14:paraId="219065A4" w14:textId="081A48A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61" w:history="1">
            <w:r w:rsidR="00FD58BF" w:rsidRPr="003004E5">
              <w:rPr>
                <w:rStyle w:val="Lienhypertexte"/>
                <w:noProof/>
              </w:rPr>
              <w:t>22.23.1 Charpentes de toiture en béton coulé en place CCTB 01.04</w:t>
            </w:r>
            <w:r w:rsidR="00FD58BF">
              <w:rPr>
                <w:noProof/>
                <w:webHidden/>
              </w:rPr>
              <w:tab/>
            </w:r>
            <w:r w:rsidR="00FD58BF">
              <w:rPr>
                <w:noProof/>
                <w:webHidden/>
              </w:rPr>
              <w:fldChar w:fldCharType="begin"/>
            </w:r>
            <w:r w:rsidR="00FD58BF">
              <w:rPr>
                <w:noProof/>
                <w:webHidden/>
              </w:rPr>
              <w:instrText xml:space="preserve"> PAGEREF _Toc178837961 \h </w:instrText>
            </w:r>
            <w:r w:rsidR="00FD58BF">
              <w:rPr>
                <w:noProof/>
                <w:webHidden/>
              </w:rPr>
            </w:r>
            <w:r w:rsidR="00FD58BF">
              <w:rPr>
                <w:noProof/>
                <w:webHidden/>
              </w:rPr>
              <w:fldChar w:fldCharType="separate"/>
            </w:r>
            <w:r w:rsidR="00FD58BF">
              <w:rPr>
                <w:noProof/>
                <w:webHidden/>
              </w:rPr>
              <w:t>643</w:t>
            </w:r>
            <w:r w:rsidR="00FD58BF">
              <w:rPr>
                <w:noProof/>
                <w:webHidden/>
              </w:rPr>
              <w:fldChar w:fldCharType="end"/>
            </w:r>
          </w:hyperlink>
        </w:p>
        <w:p w14:paraId="3B9816C6" w14:textId="66BE178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2" w:history="1">
            <w:r w:rsidR="00FD58BF" w:rsidRPr="003004E5">
              <w:rPr>
                <w:rStyle w:val="Lienhypertexte"/>
                <w:noProof/>
              </w:rPr>
              <w:t>22.23.1a Fermes de toiture en béton coulé en place CCTB 01.04</w:t>
            </w:r>
            <w:r w:rsidR="00FD58BF">
              <w:rPr>
                <w:noProof/>
                <w:webHidden/>
              </w:rPr>
              <w:tab/>
            </w:r>
            <w:r w:rsidR="00FD58BF">
              <w:rPr>
                <w:noProof/>
                <w:webHidden/>
              </w:rPr>
              <w:fldChar w:fldCharType="begin"/>
            </w:r>
            <w:r w:rsidR="00FD58BF">
              <w:rPr>
                <w:noProof/>
                <w:webHidden/>
              </w:rPr>
              <w:instrText xml:space="preserve"> PAGEREF _Toc178837962 \h </w:instrText>
            </w:r>
            <w:r w:rsidR="00FD58BF">
              <w:rPr>
                <w:noProof/>
                <w:webHidden/>
              </w:rPr>
            </w:r>
            <w:r w:rsidR="00FD58BF">
              <w:rPr>
                <w:noProof/>
                <w:webHidden/>
              </w:rPr>
              <w:fldChar w:fldCharType="separate"/>
            </w:r>
            <w:r w:rsidR="00FD58BF">
              <w:rPr>
                <w:noProof/>
                <w:webHidden/>
              </w:rPr>
              <w:t>643</w:t>
            </w:r>
            <w:r w:rsidR="00FD58BF">
              <w:rPr>
                <w:noProof/>
                <w:webHidden/>
              </w:rPr>
              <w:fldChar w:fldCharType="end"/>
            </w:r>
          </w:hyperlink>
        </w:p>
        <w:p w14:paraId="54AE8DBC" w14:textId="7D7451C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3" w:history="1">
            <w:r w:rsidR="00FD58BF" w:rsidRPr="003004E5">
              <w:rPr>
                <w:rStyle w:val="Lienhypertexte"/>
                <w:noProof/>
              </w:rPr>
              <w:t>22.23.1b Charpentes de toiture en béton coulé en place CCTB 01.04</w:t>
            </w:r>
            <w:r w:rsidR="00FD58BF">
              <w:rPr>
                <w:noProof/>
                <w:webHidden/>
              </w:rPr>
              <w:tab/>
            </w:r>
            <w:r w:rsidR="00FD58BF">
              <w:rPr>
                <w:noProof/>
                <w:webHidden/>
              </w:rPr>
              <w:fldChar w:fldCharType="begin"/>
            </w:r>
            <w:r w:rsidR="00FD58BF">
              <w:rPr>
                <w:noProof/>
                <w:webHidden/>
              </w:rPr>
              <w:instrText xml:space="preserve"> PAGEREF _Toc178837963 \h </w:instrText>
            </w:r>
            <w:r w:rsidR="00FD58BF">
              <w:rPr>
                <w:noProof/>
                <w:webHidden/>
              </w:rPr>
            </w:r>
            <w:r w:rsidR="00FD58BF">
              <w:rPr>
                <w:noProof/>
                <w:webHidden/>
              </w:rPr>
              <w:fldChar w:fldCharType="separate"/>
            </w:r>
            <w:r w:rsidR="00FD58BF">
              <w:rPr>
                <w:noProof/>
                <w:webHidden/>
              </w:rPr>
              <w:t>643</w:t>
            </w:r>
            <w:r w:rsidR="00FD58BF">
              <w:rPr>
                <w:noProof/>
                <w:webHidden/>
              </w:rPr>
              <w:fldChar w:fldCharType="end"/>
            </w:r>
          </w:hyperlink>
        </w:p>
        <w:p w14:paraId="47803D0A" w14:textId="263CB9C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64" w:history="1">
            <w:r w:rsidR="00FD58BF" w:rsidRPr="003004E5">
              <w:rPr>
                <w:rStyle w:val="Lienhypertexte"/>
                <w:noProof/>
              </w:rPr>
              <w:t>22.23.2 Charpentes de toiture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_Toc178837964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1DB27703" w14:textId="579A09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5" w:history="1">
            <w:r w:rsidR="00FD58BF" w:rsidRPr="003004E5">
              <w:rPr>
                <w:rStyle w:val="Lienhypertexte"/>
                <w:noProof/>
              </w:rPr>
              <w:t>22.23.2a Fermes de toiture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_Toc178837965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628C616A" w14:textId="0216676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6" w:history="1">
            <w:r w:rsidR="00FD58BF" w:rsidRPr="003004E5">
              <w:rPr>
                <w:rStyle w:val="Lienhypertexte"/>
                <w:noProof/>
              </w:rPr>
              <w:t>22.23.2b Charpentes de toiture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_Toc178837966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3E82099B" w14:textId="0ADAEF8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67" w:history="1">
            <w:r w:rsidR="00FD58BF" w:rsidRPr="003004E5">
              <w:rPr>
                <w:rStyle w:val="Lienhypertexte"/>
                <w:noProof/>
              </w:rPr>
              <w:t>22.23.3 Charpentes de toiture préfabriquées en béton CCTB 01.04</w:t>
            </w:r>
            <w:r w:rsidR="00FD58BF">
              <w:rPr>
                <w:noProof/>
                <w:webHidden/>
              </w:rPr>
              <w:tab/>
            </w:r>
            <w:r w:rsidR="00FD58BF">
              <w:rPr>
                <w:noProof/>
                <w:webHidden/>
              </w:rPr>
              <w:fldChar w:fldCharType="begin"/>
            </w:r>
            <w:r w:rsidR="00FD58BF">
              <w:rPr>
                <w:noProof/>
                <w:webHidden/>
              </w:rPr>
              <w:instrText xml:space="preserve"> PAGEREF _Toc178837967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1DB760F1" w14:textId="14FE5F5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8" w:history="1">
            <w:r w:rsidR="00FD58BF" w:rsidRPr="003004E5">
              <w:rPr>
                <w:rStyle w:val="Lienhypertexte"/>
                <w:noProof/>
              </w:rPr>
              <w:t>22.23.3a Fermes de toiture préfabriquées en béton armé CCTB 01.02</w:t>
            </w:r>
            <w:r w:rsidR="00FD58BF">
              <w:rPr>
                <w:noProof/>
                <w:webHidden/>
              </w:rPr>
              <w:tab/>
            </w:r>
            <w:r w:rsidR="00FD58BF">
              <w:rPr>
                <w:noProof/>
                <w:webHidden/>
              </w:rPr>
              <w:fldChar w:fldCharType="begin"/>
            </w:r>
            <w:r w:rsidR="00FD58BF">
              <w:rPr>
                <w:noProof/>
                <w:webHidden/>
              </w:rPr>
              <w:instrText xml:space="preserve"> PAGEREF _Toc178837968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1F0ECB07" w14:textId="5326127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9" w:history="1">
            <w:r w:rsidR="00FD58BF" w:rsidRPr="003004E5">
              <w:rPr>
                <w:rStyle w:val="Lienhypertexte"/>
                <w:noProof/>
              </w:rPr>
              <w:t>22.23.3b Charpentes de toiture préfabriquées en béton armé CCTB 01.02</w:t>
            </w:r>
            <w:r w:rsidR="00FD58BF">
              <w:rPr>
                <w:noProof/>
                <w:webHidden/>
              </w:rPr>
              <w:tab/>
            </w:r>
            <w:r w:rsidR="00FD58BF">
              <w:rPr>
                <w:noProof/>
                <w:webHidden/>
              </w:rPr>
              <w:fldChar w:fldCharType="begin"/>
            </w:r>
            <w:r w:rsidR="00FD58BF">
              <w:rPr>
                <w:noProof/>
                <w:webHidden/>
              </w:rPr>
              <w:instrText xml:space="preserve"> PAGEREF _Toc178837969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158F9E57" w14:textId="20E37E0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0" w:history="1">
            <w:r w:rsidR="00FD58BF" w:rsidRPr="003004E5">
              <w:rPr>
                <w:rStyle w:val="Lienhypertexte"/>
                <w:noProof/>
              </w:rPr>
              <w:t>22.23.4 Charpentes de toiture préfabriquées en béton architectonique CCTB 01.04</w:t>
            </w:r>
            <w:r w:rsidR="00FD58BF">
              <w:rPr>
                <w:noProof/>
                <w:webHidden/>
              </w:rPr>
              <w:tab/>
            </w:r>
            <w:r w:rsidR="00FD58BF">
              <w:rPr>
                <w:noProof/>
                <w:webHidden/>
              </w:rPr>
              <w:fldChar w:fldCharType="begin"/>
            </w:r>
            <w:r w:rsidR="00FD58BF">
              <w:rPr>
                <w:noProof/>
                <w:webHidden/>
              </w:rPr>
              <w:instrText xml:space="preserve"> PAGEREF _Toc178837970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41BA3E6E" w14:textId="53AF22D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1" w:history="1">
            <w:r w:rsidR="00FD58BF" w:rsidRPr="003004E5">
              <w:rPr>
                <w:rStyle w:val="Lienhypertexte"/>
                <w:noProof/>
              </w:rPr>
              <w:t>22.23.4a Fermes de toiture préfabriquées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_Toc178837971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20F9DF19" w14:textId="0BD181D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2" w:history="1">
            <w:r w:rsidR="00FD58BF" w:rsidRPr="003004E5">
              <w:rPr>
                <w:rStyle w:val="Lienhypertexte"/>
                <w:noProof/>
              </w:rPr>
              <w:t>22.23.4b Charpentes de toiture préfabriquées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_Toc178837972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2CF09375" w14:textId="42AF5CE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73" w:history="1">
            <w:r w:rsidR="00FD58BF" w:rsidRPr="003004E5">
              <w:rPr>
                <w:rStyle w:val="Lienhypertexte"/>
                <w:noProof/>
              </w:rPr>
              <w:t>22.24 Structures particulières en béton armé CCTB 01.02</w:t>
            </w:r>
            <w:r w:rsidR="00FD58BF">
              <w:rPr>
                <w:noProof/>
                <w:webHidden/>
              </w:rPr>
              <w:tab/>
            </w:r>
            <w:r w:rsidR="00FD58BF">
              <w:rPr>
                <w:noProof/>
                <w:webHidden/>
              </w:rPr>
              <w:fldChar w:fldCharType="begin"/>
            </w:r>
            <w:r w:rsidR="00FD58BF">
              <w:rPr>
                <w:noProof/>
                <w:webHidden/>
              </w:rPr>
              <w:instrText xml:space="preserve"> PAGEREF _Toc178837973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2455AD06" w14:textId="51D5880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4" w:history="1">
            <w:r w:rsidR="00FD58BF" w:rsidRPr="003004E5">
              <w:rPr>
                <w:rStyle w:val="Lienhypertexte"/>
                <w:noProof/>
              </w:rPr>
              <w:t>22.24.1 Structures tridimensionnelles en béton coulé en place CCTB 01.04</w:t>
            </w:r>
            <w:r w:rsidR="00FD58BF">
              <w:rPr>
                <w:noProof/>
                <w:webHidden/>
              </w:rPr>
              <w:tab/>
            </w:r>
            <w:r w:rsidR="00FD58BF">
              <w:rPr>
                <w:noProof/>
                <w:webHidden/>
              </w:rPr>
              <w:fldChar w:fldCharType="begin"/>
            </w:r>
            <w:r w:rsidR="00FD58BF">
              <w:rPr>
                <w:noProof/>
                <w:webHidden/>
              </w:rPr>
              <w:instrText xml:space="preserve"> PAGEREF _Toc178837974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05DB7788" w14:textId="427071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5" w:history="1">
            <w:r w:rsidR="00FD58BF" w:rsidRPr="003004E5">
              <w:rPr>
                <w:rStyle w:val="Lienhypertexte"/>
                <w:noProof/>
              </w:rPr>
              <w:t>22.24.1a Structures tridimensionnelles en béton coulé en place CCTB 01.04</w:t>
            </w:r>
            <w:r w:rsidR="00FD58BF">
              <w:rPr>
                <w:noProof/>
                <w:webHidden/>
              </w:rPr>
              <w:tab/>
            </w:r>
            <w:r w:rsidR="00FD58BF">
              <w:rPr>
                <w:noProof/>
                <w:webHidden/>
              </w:rPr>
              <w:fldChar w:fldCharType="begin"/>
            </w:r>
            <w:r w:rsidR="00FD58BF">
              <w:rPr>
                <w:noProof/>
                <w:webHidden/>
              </w:rPr>
              <w:instrText xml:space="preserve"> PAGEREF _Toc178837975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4F85404C" w14:textId="78EFE41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6" w:history="1">
            <w:r w:rsidR="00FD58BF" w:rsidRPr="003004E5">
              <w:rPr>
                <w:rStyle w:val="Lienhypertexte"/>
                <w:noProof/>
              </w:rPr>
              <w:t>22.24.2 Structures tridimensionnelles préfabriquées en béton CCTB 01.04</w:t>
            </w:r>
            <w:r w:rsidR="00FD58BF">
              <w:rPr>
                <w:noProof/>
                <w:webHidden/>
              </w:rPr>
              <w:tab/>
            </w:r>
            <w:r w:rsidR="00FD58BF">
              <w:rPr>
                <w:noProof/>
                <w:webHidden/>
              </w:rPr>
              <w:fldChar w:fldCharType="begin"/>
            </w:r>
            <w:r w:rsidR="00FD58BF">
              <w:rPr>
                <w:noProof/>
                <w:webHidden/>
              </w:rPr>
              <w:instrText xml:space="preserve"> PAGEREF _Toc178837976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46007DAC" w14:textId="1FADA7D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7" w:history="1">
            <w:r w:rsidR="00FD58BF" w:rsidRPr="003004E5">
              <w:rPr>
                <w:rStyle w:val="Lienhypertexte"/>
                <w:noProof/>
              </w:rPr>
              <w:t>22.24.2a Structures tridimensionnelles préfabriquées en béton CCTB 01.04</w:t>
            </w:r>
            <w:r w:rsidR="00FD58BF">
              <w:rPr>
                <w:noProof/>
                <w:webHidden/>
              </w:rPr>
              <w:tab/>
            </w:r>
            <w:r w:rsidR="00FD58BF">
              <w:rPr>
                <w:noProof/>
                <w:webHidden/>
              </w:rPr>
              <w:fldChar w:fldCharType="begin"/>
            </w:r>
            <w:r w:rsidR="00FD58BF">
              <w:rPr>
                <w:noProof/>
                <w:webHidden/>
              </w:rPr>
              <w:instrText xml:space="preserve"> PAGEREF _Toc178837977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1BE21610" w14:textId="19B92CD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8" w:history="1">
            <w:r w:rsidR="00FD58BF" w:rsidRPr="003004E5">
              <w:rPr>
                <w:rStyle w:val="Lienhypertexte"/>
                <w:noProof/>
              </w:rPr>
              <w:t>22.24.3 Structures tridimensionnelles préfabriquées en béton architectonique CCTB 01.04</w:t>
            </w:r>
            <w:r w:rsidR="00FD58BF">
              <w:rPr>
                <w:noProof/>
                <w:webHidden/>
              </w:rPr>
              <w:tab/>
            </w:r>
            <w:r w:rsidR="00FD58BF">
              <w:rPr>
                <w:noProof/>
                <w:webHidden/>
              </w:rPr>
              <w:fldChar w:fldCharType="begin"/>
            </w:r>
            <w:r w:rsidR="00FD58BF">
              <w:rPr>
                <w:noProof/>
                <w:webHidden/>
              </w:rPr>
              <w:instrText xml:space="preserve"> PAGEREF _Toc178837978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4B7530D7" w14:textId="6C1270C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9" w:history="1">
            <w:r w:rsidR="00FD58BF" w:rsidRPr="003004E5">
              <w:rPr>
                <w:rStyle w:val="Lienhypertexte"/>
                <w:noProof/>
              </w:rPr>
              <w:t>22.24.3a Structures tridimensionnelles préfabriquées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_Toc178837979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69DF7774" w14:textId="2436541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0" w:history="1">
            <w:r w:rsidR="00FD58BF" w:rsidRPr="003004E5">
              <w:rPr>
                <w:rStyle w:val="Lienhypertexte"/>
                <w:noProof/>
              </w:rPr>
              <w:t>22.24.4 Structures tridimensionnelles mixtes acier-béton CCTB 01.04</w:t>
            </w:r>
            <w:r w:rsidR="00FD58BF">
              <w:rPr>
                <w:noProof/>
                <w:webHidden/>
              </w:rPr>
              <w:tab/>
            </w:r>
            <w:r w:rsidR="00FD58BF">
              <w:rPr>
                <w:noProof/>
                <w:webHidden/>
              </w:rPr>
              <w:fldChar w:fldCharType="begin"/>
            </w:r>
            <w:r w:rsidR="00FD58BF">
              <w:rPr>
                <w:noProof/>
                <w:webHidden/>
              </w:rPr>
              <w:instrText xml:space="preserve"> PAGEREF _Toc178837980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3CF684B1" w14:textId="3B8BF27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1" w:history="1">
            <w:r w:rsidR="00FD58BF" w:rsidRPr="003004E5">
              <w:rPr>
                <w:rStyle w:val="Lienhypertexte"/>
                <w:noProof/>
              </w:rPr>
              <w:t>22.24.4a Structures tridimensionnelles mixtes acier-béton CCTB 01.04</w:t>
            </w:r>
            <w:r w:rsidR="00FD58BF">
              <w:rPr>
                <w:noProof/>
                <w:webHidden/>
              </w:rPr>
              <w:tab/>
            </w:r>
            <w:r w:rsidR="00FD58BF">
              <w:rPr>
                <w:noProof/>
                <w:webHidden/>
              </w:rPr>
              <w:fldChar w:fldCharType="begin"/>
            </w:r>
            <w:r w:rsidR="00FD58BF">
              <w:rPr>
                <w:noProof/>
                <w:webHidden/>
              </w:rPr>
              <w:instrText xml:space="preserve"> PAGEREF _Toc178837981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584D5530" w14:textId="69C5961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82" w:history="1">
            <w:r w:rsidR="00FD58BF" w:rsidRPr="003004E5">
              <w:rPr>
                <w:rStyle w:val="Lienhypertexte"/>
                <w:noProof/>
              </w:rPr>
              <w:t>22.25 Systèmes constructifs particuliers en béton CCTB 01.02</w:t>
            </w:r>
            <w:r w:rsidR="00FD58BF">
              <w:rPr>
                <w:noProof/>
                <w:webHidden/>
              </w:rPr>
              <w:tab/>
            </w:r>
            <w:r w:rsidR="00FD58BF">
              <w:rPr>
                <w:noProof/>
                <w:webHidden/>
              </w:rPr>
              <w:fldChar w:fldCharType="begin"/>
            </w:r>
            <w:r w:rsidR="00FD58BF">
              <w:rPr>
                <w:noProof/>
                <w:webHidden/>
              </w:rPr>
              <w:instrText xml:space="preserve"> PAGEREF _Toc178837982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29C9F8F1" w14:textId="7CD38A4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3" w:history="1">
            <w:r w:rsidR="00FD58BF" w:rsidRPr="003004E5">
              <w:rPr>
                <w:rStyle w:val="Lienhypertexte"/>
                <w:noProof/>
              </w:rPr>
              <w:t>22.25.1 Systèmes constructifs particuliers en béton CCTB 01.02</w:t>
            </w:r>
            <w:r w:rsidR="00FD58BF">
              <w:rPr>
                <w:noProof/>
                <w:webHidden/>
              </w:rPr>
              <w:tab/>
            </w:r>
            <w:r w:rsidR="00FD58BF">
              <w:rPr>
                <w:noProof/>
                <w:webHidden/>
              </w:rPr>
              <w:fldChar w:fldCharType="begin"/>
            </w:r>
            <w:r w:rsidR="00FD58BF">
              <w:rPr>
                <w:noProof/>
                <w:webHidden/>
              </w:rPr>
              <w:instrText xml:space="preserve"> PAGEREF _Toc178837983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445FFB9C" w14:textId="312813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4" w:history="1">
            <w:r w:rsidR="00FD58BF" w:rsidRPr="003004E5">
              <w:rPr>
                <w:rStyle w:val="Lienhypertexte"/>
                <w:noProof/>
              </w:rPr>
              <w:t>22.25.1a Systèmes constructifs particuliers en béton CCTB 01.02</w:t>
            </w:r>
            <w:r w:rsidR="00FD58BF">
              <w:rPr>
                <w:noProof/>
                <w:webHidden/>
              </w:rPr>
              <w:tab/>
            </w:r>
            <w:r w:rsidR="00FD58BF">
              <w:rPr>
                <w:noProof/>
                <w:webHidden/>
              </w:rPr>
              <w:fldChar w:fldCharType="begin"/>
            </w:r>
            <w:r w:rsidR="00FD58BF">
              <w:rPr>
                <w:noProof/>
                <w:webHidden/>
              </w:rPr>
              <w:instrText xml:space="preserve"> PAGEREF _Toc178837984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31446325" w14:textId="44C6A4ED"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85" w:history="1">
            <w:r w:rsidR="00FD58BF" w:rsidRPr="003004E5">
              <w:rPr>
                <w:rStyle w:val="Lienhypertexte"/>
                <w:noProof/>
              </w:rPr>
              <w:t>22.3 Eléments et structures secondaires en béton CCTB 01.02</w:t>
            </w:r>
            <w:r w:rsidR="00FD58BF">
              <w:rPr>
                <w:noProof/>
                <w:webHidden/>
              </w:rPr>
              <w:tab/>
            </w:r>
            <w:r w:rsidR="00FD58BF">
              <w:rPr>
                <w:noProof/>
                <w:webHidden/>
              </w:rPr>
              <w:fldChar w:fldCharType="begin"/>
            </w:r>
            <w:r w:rsidR="00FD58BF">
              <w:rPr>
                <w:noProof/>
                <w:webHidden/>
              </w:rPr>
              <w:instrText xml:space="preserve"> PAGEREF _Toc178837985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279C4342" w14:textId="1D27232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86" w:history="1">
            <w:r w:rsidR="00FD58BF" w:rsidRPr="003004E5">
              <w:rPr>
                <w:rStyle w:val="Lienhypertexte"/>
                <w:noProof/>
              </w:rPr>
              <w:t>22.31 Escaliers en béton CCTB 01.11</w:t>
            </w:r>
            <w:r w:rsidR="00FD58BF">
              <w:rPr>
                <w:noProof/>
                <w:webHidden/>
              </w:rPr>
              <w:tab/>
            </w:r>
            <w:r w:rsidR="00FD58BF">
              <w:rPr>
                <w:noProof/>
                <w:webHidden/>
              </w:rPr>
              <w:fldChar w:fldCharType="begin"/>
            </w:r>
            <w:r w:rsidR="00FD58BF">
              <w:rPr>
                <w:noProof/>
                <w:webHidden/>
              </w:rPr>
              <w:instrText xml:space="preserve"> PAGEREF _Toc178837986 \h </w:instrText>
            </w:r>
            <w:r w:rsidR="00FD58BF">
              <w:rPr>
                <w:noProof/>
                <w:webHidden/>
              </w:rPr>
            </w:r>
            <w:r w:rsidR="00FD58BF">
              <w:rPr>
                <w:noProof/>
                <w:webHidden/>
              </w:rPr>
              <w:fldChar w:fldCharType="separate"/>
            </w:r>
            <w:r w:rsidR="00FD58BF">
              <w:rPr>
                <w:noProof/>
                <w:webHidden/>
              </w:rPr>
              <w:t>644</w:t>
            </w:r>
            <w:r w:rsidR="00FD58BF">
              <w:rPr>
                <w:noProof/>
                <w:webHidden/>
              </w:rPr>
              <w:fldChar w:fldCharType="end"/>
            </w:r>
          </w:hyperlink>
        </w:p>
        <w:p w14:paraId="30CCF306" w14:textId="72AB78C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7" w:history="1">
            <w:r w:rsidR="00FD58BF" w:rsidRPr="003004E5">
              <w:rPr>
                <w:rStyle w:val="Lienhypertexte"/>
                <w:noProof/>
              </w:rPr>
              <w:t>22.31.1 Escaliers en béton coulé en place CCTB 01.12</w:t>
            </w:r>
            <w:r w:rsidR="00FD58BF">
              <w:rPr>
                <w:noProof/>
                <w:webHidden/>
              </w:rPr>
              <w:tab/>
            </w:r>
            <w:r w:rsidR="00FD58BF">
              <w:rPr>
                <w:noProof/>
                <w:webHidden/>
              </w:rPr>
              <w:fldChar w:fldCharType="begin"/>
            </w:r>
            <w:r w:rsidR="00FD58BF">
              <w:rPr>
                <w:noProof/>
                <w:webHidden/>
              </w:rPr>
              <w:instrText xml:space="preserve"> PAGEREF _Toc178837987 \h </w:instrText>
            </w:r>
            <w:r w:rsidR="00FD58BF">
              <w:rPr>
                <w:noProof/>
                <w:webHidden/>
              </w:rPr>
            </w:r>
            <w:r w:rsidR="00FD58BF">
              <w:rPr>
                <w:noProof/>
                <w:webHidden/>
              </w:rPr>
              <w:fldChar w:fldCharType="separate"/>
            </w:r>
            <w:r w:rsidR="00FD58BF">
              <w:rPr>
                <w:noProof/>
                <w:webHidden/>
              </w:rPr>
              <w:t>646</w:t>
            </w:r>
            <w:r w:rsidR="00FD58BF">
              <w:rPr>
                <w:noProof/>
                <w:webHidden/>
              </w:rPr>
              <w:fldChar w:fldCharType="end"/>
            </w:r>
          </w:hyperlink>
        </w:p>
        <w:p w14:paraId="419401EC" w14:textId="02ACC60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8" w:history="1">
            <w:r w:rsidR="00FD58BF" w:rsidRPr="003004E5">
              <w:rPr>
                <w:rStyle w:val="Lienhypertexte"/>
                <w:noProof/>
              </w:rPr>
              <w:t>22.31.1a Volées d'escaliers en béton coulé en place CCTB 01.11</w:t>
            </w:r>
            <w:r w:rsidR="00FD58BF">
              <w:rPr>
                <w:noProof/>
                <w:webHidden/>
              </w:rPr>
              <w:tab/>
            </w:r>
            <w:r w:rsidR="00FD58BF">
              <w:rPr>
                <w:noProof/>
                <w:webHidden/>
              </w:rPr>
              <w:fldChar w:fldCharType="begin"/>
            </w:r>
            <w:r w:rsidR="00FD58BF">
              <w:rPr>
                <w:noProof/>
                <w:webHidden/>
              </w:rPr>
              <w:instrText xml:space="preserve"> PAGEREF _Toc178837988 \h </w:instrText>
            </w:r>
            <w:r w:rsidR="00FD58BF">
              <w:rPr>
                <w:noProof/>
                <w:webHidden/>
              </w:rPr>
            </w:r>
            <w:r w:rsidR="00FD58BF">
              <w:rPr>
                <w:noProof/>
                <w:webHidden/>
              </w:rPr>
              <w:fldChar w:fldCharType="separate"/>
            </w:r>
            <w:r w:rsidR="00FD58BF">
              <w:rPr>
                <w:noProof/>
                <w:webHidden/>
              </w:rPr>
              <w:t>647</w:t>
            </w:r>
            <w:r w:rsidR="00FD58BF">
              <w:rPr>
                <w:noProof/>
                <w:webHidden/>
              </w:rPr>
              <w:fldChar w:fldCharType="end"/>
            </w:r>
          </w:hyperlink>
        </w:p>
        <w:p w14:paraId="661AA548" w14:textId="1F55340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9" w:history="1">
            <w:r w:rsidR="00FD58BF" w:rsidRPr="003004E5">
              <w:rPr>
                <w:rStyle w:val="Lienhypertexte"/>
                <w:noProof/>
              </w:rPr>
              <w:t>22.31.1b Paliers d'escaliers en béton coulé en place CCTB 01.11</w:t>
            </w:r>
            <w:r w:rsidR="00FD58BF">
              <w:rPr>
                <w:noProof/>
                <w:webHidden/>
              </w:rPr>
              <w:tab/>
            </w:r>
            <w:r w:rsidR="00FD58BF">
              <w:rPr>
                <w:noProof/>
                <w:webHidden/>
              </w:rPr>
              <w:fldChar w:fldCharType="begin"/>
            </w:r>
            <w:r w:rsidR="00FD58BF">
              <w:rPr>
                <w:noProof/>
                <w:webHidden/>
              </w:rPr>
              <w:instrText xml:space="preserve"> PAGEREF _Toc178837989 \h </w:instrText>
            </w:r>
            <w:r w:rsidR="00FD58BF">
              <w:rPr>
                <w:noProof/>
                <w:webHidden/>
              </w:rPr>
            </w:r>
            <w:r w:rsidR="00FD58BF">
              <w:rPr>
                <w:noProof/>
                <w:webHidden/>
              </w:rPr>
              <w:fldChar w:fldCharType="separate"/>
            </w:r>
            <w:r w:rsidR="00FD58BF">
              <w:rPr>
                <w:noProof/>
                <w:webHidden/>
              </w:rPr>
              <w:t>648</w:t>
            </w:r>
            <w:r w:rsidR="00FD58BF">
              <w:rPr>
                <w:noProof/>
                <w:webHidden/>
              </w:rPr>
              <w:fldChar w:fldCharType="end"/>
            </w:r>
          </w:hyperlink>
        </w:p>
        <w:p w14:paraId="2743A03D" w14:textId="7718CE7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0" w:history="1">
            <w:r w:rsidR="00FD58BF" w:rsidRPr="003004E5">
              <w:rPr>
                <w:rStyle w:val="Lienhypertexte"/>
                <w:noProof/>
              </w:rPr>
              <w:t>22.31.1c Escaliers en béton coulé en place CCTB 01.10</w:t>
            </w:r>
            <w:r w:rsidR="00FD58BF">
              <w:rPr>
                <w:noProof/>
                <w:webHidden/>
              </w:rPr>
              <w:tab/>
            </w:r>
            <w:r w:rsidR="00FD58BF">
              <w:rPr>
                <w:noProof/>
                <w:webHidden/>
              </w:rPr>
              <w:fldChar w:fldCharType="begin"/>
            </w:r>
            <w:r w:rsidR="00FD58BF">
              <w:rPr>
                <w:noProof/>
                <w:webHidden/>
              </w:rPr>
              <w:instrText xml:space="preserve"> PAGEREF _Toc178837990 \h </w:instrText>
            </w:r>
            <w:r w:rsidR="00FD58BF">
              <w:rPr>
                <w:noProof/>
                <w:webHidden/>
              </w:rPr>
            </w:r>
            <w:r w:rsidR="00FD58BF">
              <w:rPr>
                <w:noProof/>
                <w:webHidden/>
              </w:rPr>
              <w:fldChar w:fldCharType="separate"/>
            </w:r>
            <w:r w:rsidR="00FD58BF">
              <w:rPr>
                <w:noProof/>
                <w:webHidden/>
              </w:rPr>
              <w:t>649</w:t>
            </w:r>
            <w:r w:rsidR="00FD58BF">
              <w:rPr>
                <w:noProof/>
                <w:webHidden/>
              </w:rPr>
              <w:fldChar w:fldCharType="end"/>
            </w:r>
          </w:hyperlink>
        </w:p>
        <w:p w14:paraId="6866F8E8" w14:textId="460650B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1" w:history="1">
            <w:r w:rsidR="00FD58BF" w:rsidRPr="003004E5">
              <w:rPr>
                <w:rStyle w:val="Lienhypertexte"/>
                <w:noProof/>
              </w:rPr>
              <w:t>22.31.2 Escaliers en béton apparent (esthétique) coulé en place CCTB 01.12</w:t>
            </w:r>
            <w:r w:rsidR="00FD58BF">
              <w:rPr>
                <w:noProof/>
                <w:webHidden/>
              </w:rPr>
              <w:tab/>
            </w:r>
            <w:r w:rsidR="00FD58BF">
              <w:rPr>
                <w:noProof/>
                <w:webHidden/>
              </w:rPr>
              <w:fldChar w:fldCharType="begin"/>
            </w:r>
            <w:r w:rsidR="00FD58BF">
              <w:rPr>
                <w:noProof/>
                <w:webHidden/>
              </w:rPr>
              <w:instrText xml:space="preserve"> PAGEREF _Toc178837991 \h </w:instrText>
            </w:r>
            <w:r w:rsidR="00FD58BF">
              <w:rPr>
                <w:noProof/>
                <w:webHidden/>
              </w:rPr>
            </w:r>
            <w:r w:rsidR="00FD58BF">
              <w:rPr>
                <w:noProof/>
                <w:webHidden/>
              </w:rPr>
              <w:fldChar w:fldCharType="separate"/>
            </w:r>
            <w:r w:rsidR="00FD58BF">
              <w:rPr>
                <w:noProof/>
                <w:webHidden/>
              </w:rPr>
              <w:t>649</w:t>
            </w:r>
            <w:r w:rsidR="00FD58BF">
              <w:rPr>
                <w:noProof/>
                <w:webHidden/>
              </w:rPr>
              <w:fldChar w:fldCharType="end"/>
            </w:r>
          </w:hyperlink>
        </w:p>
        <w:p w14:paraId="5167D7B0" w14:textId="03B5F1C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2" w:history="1">
            <w:r w:rsidR="00FD58BF" w:rsidRPr="003004E5">
              <w:rPr>
                <w:rStyle w:val="Lienhypertexte"/>
                <w:noProof/>
              </w:rPr>
              <w:t>22.31.2a Volées d'escaliers en béton apparent (esthétique) coulé en place CCTB 01.11</w:t>
            </w:r>
            <w:r w:rsidR="00FD58BF">
              <w:rPr>
                <w:noProof/>
                <w:webHidden/>
              </w:rPr>
              <w:tab/>
            </w:r>
            <w:r w:rsidR="00FD58BF">
              <w:rPr>
                <w:noProof/>
                <w:webHidden/>
              </w:rPr>
              <w:fldChar w:fldCharType="begin"/>
            </w:r>
            <w:r w:rsidR="00FD58BF">
              <w:rPr>
                <w:noProof/>
                <w:webHidden/>
              </w:rPr>
              <w:instrText xml:space="preserve"> PAGEREF _Toc178837992 \h </w:instrText>
            </w:r>
            <w:r w:rsidR="00FD58BF">
              <w:rPr>
                <w:noProof/>
                <w:webHidden/>
              </w:rPr>
            </w:r>
            <w:r w:rsidR="00FD58BF">
              <w:rPr>
                <w:noProof/>
                <w:webHidden/>
              </w:rPr>
              <w:fldChar w:fldCharType="separate"/>
            </w:r>
            <w:r w:rsidR="00FD58BF">
              <w:rPr>
                <w:noProof/>
                <w:webHidden/>
              </w:rPr>
              <w:t>650</w:t>
            </w:r>
            <w:r w:rsidR="00FD58BF">
              <w:rPr>
                <w:noProof/>
                <w:webHidden/>
              </w:rPr>
              <w:fldChar w:fldCharType="end"/>
            </w:r>
          </w:hyperlink>
        </w:p>
        <w:p w14:paraId="17CA5B00" w14:textId="48EDA40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3" w:history="1">
            <w:r w:rsidR="00FD58BF" w:rsidRPr="003004E5">
              <w:rPr>
                <w:rStyle w:val="Lienhypertexte"/>
                <w:noProof/>
              </w:rPr>
              <w:t>22.31.2b Paliers d'escaliers en béton apparent (esthétique) coulé en place CCTB 01.11</w:t>
            </w:r>
            <w:r w:rsidR="00FD58BF">
              <w:rPr>
                <w:noProof/>
                <w:webHidden/>
              </w:rPr>
              <w:tab/>
            </w:r>
            <w:r w:rsidR="00FD58BF">
              <w:rPr>
                <w:noProof/>
                <w:webHidden/>
              </w:rPr>
              <w:fldChar w:fldCharType="begin"/>
            </w:r>
            <w:r w:rsidR="00FD58BF">
              <w:rPr>
                <w:noProof/>
                <w:webHidden/>
              </w:rPr>
              <w:instrText xml:space="preserve"> PAGEREF _Toc178837993 \h </w:instrText>
            </w:r>
            <w:r w:rsidR="00FD58BF">
              <w:rPr>
                <w:noProof/>
                <w:webHidden/>
              </w:rPr>
            </w:r>
            <w:r w:rsidR="00FD58BF">
              <w:rPr>
                <w:noProof/>
                <w:webHidden/>
              </w:rPr>
              <w:fldChar w:fldCharType="separate"/>
            </w:r>
            <w:r w:rsidR="00FD58BF">
              <w:rPr>
                <w:noProof/>
                <w:webHidden/>
              </w:rPr>
              <w:t>652</w:t>
            </w:r>
            <w:r w:rsidR="00FD58BF">
              <w:rPr>
                <w:noProof/>
                <w:webHidden/>
              </w:rPr>
              <w:fldChar w:fldCharType="end"/>
            </w:r>
          </w:hyperlink>
        </w:p>
        <w:p w14:paraId="4911BD3B" w14:textId="614838D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4" w:history="1">
            <w:r w:rsidR="00FD58BF" w:rsidRPr="003004E5">
              <w:rPr>
                <w:rStyle w:val="Lienhypertexte"/>
                <w:noProof/>
              </w:rPr>
              <w:t>22.31.2c Escaliers en béton apparent (esthétique) coulé en place CCTB 01.11</w:t>
            </w:r>
            <w:r w:rsidR="00FD58BF">
              <w:rPr>
                <w:noProof/>
                <w:webHidden/>
              </w:rPr>
              <w:tab/>
            </w:r>
            <w:r w:rsidR="00FD58BF">
              <w:rPr>
                <w:noProof/>
                <w:webHidden/>
              </w:rPr>
              <w:fldChar w:fldCharType="begin"/>
            </w:r>
            <w:r w:rsidR="00FD58BF">
              <w:rPr>
                <w:noProof/>
                <w:webHidden/>
              </w:rPr>
              <w:instrText xml:space="preserve"> PAGEREF _Toc178837994 \h </w:instrText>
            </w:r>
            <w:r w:rsidR="00FD58BF">
              <w:rPr>
                <w:noProof/>
                <w:webHidden/>
              </w:rPr>
            </w:r>
            <w:r w:rsidR="00FD58BF">
              <w:rPr>
                <w:noProof/>
                <w:webHidden/>
              </w:rPr>
              <w:fldChar w:fldCharType="separate"/>
            </w:r>
            <w:r w:rsidR="00FD58BF">
              <w:rPr>
                <w:noProof/>
                <w:webHidden/>
              </w:rPr>
              <w:t>653</w:t>
            </w:r>
            <w:r w:rsidR="00FD58BF">
              <w:rPr>
                <w:noProof/>
                <w:webHidden/>
              </w:rPr>
              <w:fldChar w:fldCharType="end"/>
            </w:r>
          </w:hyperlink>
        </w:p>
        <w:p w14:paraId="48955D0B" w14:textId="7556C8A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5" w:history="1">
            <w:r w:rsidR="00FD58BF" w:rsidRPr="003004E5">
              <w:rPr>
                <w:rStyle w:val="Lienhypertexte"/>
                <w:noProof/>
              </w:rPr>
              <w:t>22.31.3 Escaliers préfabriqués en béton CCTB 01.11</w:t>
            </w:r>
            <w:r w:rsidR="00FD58BF">
              <w:rPr>
                <w:noProof/>
                <w:webHidden/>
              </w:rPr>
              <w:tab/>
            </w:r>
            <w:r w:rsidR="00FD58BF">
              <w:rPr>
                <w:noProof/>
                <w:webHidden/>
              </w:rPr>
              <w:fldChar w:fldCharType="begin"/>
            </w:r>
            <w:r w:rsidR="00FD58BF">
              <w:rPr>
                <w:noProof/>
                <w:webHidden/>
              </w:rPr>
              <w:instrText xml:space="preserve"> PAGEREF _Toc178837995 \h </w:instrText>
            </w:r>
            <w:r w:rsidR="00FD58BF">
              <w:rPr>
                <w:noProof/>
                <w:webHidden/>
              </w:rPr>
            </w:r>
            <w:r w:rsidR="00FD58BF">
              <w:rPr>
                <w:noProof/>
                <w:webHidden/>
              </w:rPr>
              <w:fldChar w:fldCharType="separate"/>
            </w:r>
            <w:r w:rsidR="00FD58BF">
              <w:rPr>
                <w:noProof/>
                <w:webHidden/>
              </w:rPr>
              <w:t>654</w:t>
            </w:r>
            <w:r w:rsidR="00FD58BF">
              <w:rPr>
                <w:noProof/>
                <w:webHidden/>
              </w:rPr>
              <w:fldChar w:fldCharType="end"/>
            </w:r>
          </w:hyperlink>
        </w:p>
        <w:p w14:paraId="251F5C52" w14:textId="76FA5D5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6" w:history="1">
            <w:r w:rsidR="00FD58BF" w:rsidRPr="003004E5">
              <w:rPr>
                <w:rStyle w:val="Lienhypertexte"/>
                <w:noProof/>
              </w:rPr>
              <w:t>22.31.3a Volées d'escaliers préfabriquées en béton CCTB 01.11</w:t>
            </w:r>
            <w:r w:rsidR="00FD58BF">
              <w:rPr>
                <w:noProof/>
                <w:webHidden/>
              </w:rPr>
              <w:tab/>
            </w:r>
            <w:r w:rsidR="00FD58BF">
              <w:rPr>
                <w:noProof/>
                <w:webHidden/>
              </w:rPr>
              <w:fldChar w:fldCharType="begin"/>
            </w:r>
            <w:r w:rsidR="00FD58BF">
              <w:rPr>
                <w:noProof/>
                <w:webHidden/>
              </w:rPr>
              <w:instrText xml:space="preserve"> PAGEREF _Toc178837996 \h </w:instrText>
            </w:r>
            <w:r w:rsidR="00FD58BF">
              <w:rPr>
                <w:noProof/>
                <w:webHidden/>
              </w:rPr>
            </w:r>
            <w:r w:rsidR="00FD58BF">
              <w:rPr>
                <w:noProof/>
                <w:webHidden/>
              </w:rPr>
              <w:fldChar w:fldCharType="separate"/>
            </w:r>
            <w:r w:rsidR="00FD58BF">
              <w:rPr>
                <w:noProof/>
                <w:webHidden/>
              </w:rPr>
              <w:t>654</w:t>
            </w:r>
            <w:r w:rsidR="00FD58BF">
              <w:rPr>
                <w:noProof/>
                <w:webHidden/>
              </w:rPr>
              <w:fldChar w:fldCharType="end"/>
            </w:r>
          </w:hyperlink>
        </w:p>
        <w:p w14:paraId="3F2569CA" w14:textId="4B892E6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7" w:history="1">
            <w:r w:rsidR="00FD58BF" w:rsidRPr="003004E5">
              <w:rPr>
                <w:rStyle w:val="Lienhypertexte"/>
                <w:noProof/>
              </w:rPr>
              <w:t>22.31.3b Paliers d'escaliers préfabriqués en béton CCTB 01.11</w:t>
            </w:r>
            <w:r w:rsidR="00FD58BF">
              <w:rPr>
                <w:noProof/>
                <w:webHidden/>
              </w:rPr>
              <w:tab/>
            </w:r>
            <w:r w:rsidR="00FD58BF">
              <w:rPr>
                <w:noProof/>
                <w:webHidden/>
              </w:rPr>
              <w:fldChar w:fldCharType="begin"/>
            </w:r>
            <w:r w:rsidR="00FD58BF">
              <w:rPr>
                <w:noProof/>
                <w:webHidden/>
              </w:rPr>
              <w:instrText xml:space="preserve"> PAGEREF _Toc178837997 \h </w:instrText>
            </w:r>
            <w:r w:rsidR="00FD58BF">
              <w:rPr>
                <w:noProof/>
                <w:webHidden/>
              </w:rPr>
            </w:r>
            <w:r w:rsidR="00FD58BF">
              <w:rPr>
                <w:noProof/>
                <w:webHidden/>
              </w:rPr>
              <w:fldChar w:fldCharType="separate"/>
            </w:r>
            <w:r w:rsidR="00FD58BF">
              <w:rPr>
                <w:noProof/>
                <w:webHidden/>
              </w:rPr>
              <w:t>655</w:t>
            </w:r>
            <w:r w:rsidR="00FD58BF">
              <w:rPr>
                <w:noProof/>
                <w:webHidden/>
              </w:rPr>
              <w:fldChar w:fldCharType="end"/>
            </w:r>
          </w:hyperlink>
        </w:p>
        <w:p w14:paraId="19584679" w14:textId="6CDA6DC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8" w:history="1">
            <w:r w:rsidR="00FD58BF" w:rsidRPr="003004E5">
              <w:rPr>
                <w:rStyle w:val="Lienhypertexte"/>
                <w:noProof/>
              </w:rPr>
              <w:t>22.31.3c Escaliers préfabriqués en béton CCTB 01.11</w:t>
            </w:r>
            <w:r w:rsidR="00FD58BF">
              <w:rPr>
                <w:noProof/>
                <w:webHidden/>
              </w:rPr>
              <w:tab/>
            </w:r>
            <w:r w:rsidR="00FD58BF">
              <w:rPr>
                <w:noProof/>
                <w:webHidden/>
              </w:rPr>
              <w:fldChar w:fldCharType="begin"/>
            </w:r>
            <w:r w:rsidR="00FD58BF">
              <w:rPr>
                <w:noProof/>
                <w:webHidden/>
              </w:rPr>
              <w:instrText xml:space="preserve"> PAGEREF _Toc178837998 \h </w:instrText>
            </w:r>
            <w:r w:rsidR="00FD58BF">
              <w:rPr>
                <w:noProof/>
                <w:webHidden/>
              </w:rPr>
            </w:r>
            <w:r w:rsidR="00FD58BF">
              <w:rPr>
                <w:noProof/>
                <w:webHidden/>
              </w:rPr>
              <w:fldChar w:fldCharType="separate"/>
            </w:r>
            <w:r w:rsidR="00FD58BF">
              <w:rPr>
                <w:noProof/>
                <w:webHidden/>
              </w:rPr>
              <w:t>656</w:t>
            </w:r>
            <w:r w:rsidR="00FD58BF">
              <w:rPr>
                <w:noProof/>
                <w:webHidden/>
              </w:rPr>
              <w:fldChar w:fldCharType="end"/>
            </w:r>
          </w:hyperlink>
        </w:p>
        <w:p w14:paraId="6A944C7F" w14:textId="52F6562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9" w:history="1">
            <w:r w:rsidR="00FD58BF" w:rsidRPr="003004E5">
              <w:rPr>
                <w:rStyle w:val="Lienhypertexte"/>
                <w:noProof/>
              </w:rPr>
              <w:t>22.31.4 Escaliers préfabriqués en béton architectonique CCTB 01.11</w:t>
            </w:r>
            <w:r w:rsidR="00FD58BF">
              <w:rPr>
                <w:noProof/>
                <w:webHidden/>
              </w:rPr>
              <w:tab/>
            </w:r>
            <w:r w:rsidR="00FD58BF">
              <w:rPr>
                <w:noProof/>
                <w:webHidden/>
              </w:rPr>
              <w:fldChar w:fldCharType="begin"/>
            </w:r>
            <w:r w:rsidR="00FD58BF">
              <w:rPr>
                <w:noProof/>
                <w:webHidden/>
              </w:rPr>
              <w:instrText xml:space="preserve"> PAGEREF _Toc178837999 \h </w:instrText>
            </w:r>
            <w:r w:rsidR="00FD58BF">
              <w:rPr>
                <w:noProof/>
                <w:webHidden/>
              </w:rPr>
            </w:r>
            <w:r w:rsidR="00FD58BF">
              <w:rPr>
                <w:noProof/>
                <w:webHidden/>
              </w:rPr>
              <w:fldChar w:fldCharType="separate"/>
            </w:r>
            <w:r w:rsidR="00FD58BF">
              <w:rPr>
                <w:noProof/>
                <w:webHidden/>
              </w:rPr>
              <w:t>656</w:t>
            </w:r>
            <w:r w:rsidR="00FD58BF">
              <w:rPr>
                <w:noProof/>
                <w:webHidden/>
              </w:rPr>
              <w:fldChar w:fldCharType="end"/>
            </w:r>
          </w:hyperlink>
        </w:p>
        <w:p w14:paraId="56479B59" w14:textId="4CE3926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0" w:history="1">
            <w:r w:rsidR="00FD58BF" w:rsidRPr="003004E5">
              <w:rPr>
                <w:rStyle w:val="Lienhypertexte"/>
                <w:noProof/>
              </w:rPr>
              <w:t>22.31.4a Volées d'escaliers préfabriquées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_Toc178838000 \h </w:instrText>
            </w:r>
            <w:r w:rsidR="00FD58BF">
              <w:rPr>
                <w:noProof/>
                <w:webHidden/>
              </w:rPr>
            </w:r>
            <w:r w:rsidR="00FD58BF">
              <w:rPr>
                <w:noProof/>
                <w:webHidden/>
              </w:rPr>
              <w:fldChar w:fldCharType="separate"/>
            </w:r>
            <w:r w:rsidR="00FD58BF">
              <w:rPr>
                <w:noProof/>
                <w:webHidden/>
              </w:rPr>
              <w:t>657</w:t>
            </w:r>
            <w:r w:rsidR="00FD58BF">
              <w:rPr>
                <w:noProof/>
                <w:webHidden/>
              </w:rPr>
              <w:fldChar w:fldCharType="end"/>
            </w:r>
          </w:hyperlink>
        </w:p>
        <w:p w14:paraId="141F7ECD" w14:textId="474DE2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1" w:history="1">
            <w:r w:rsidR="00FD58BF" w:rsidRPr="003004E5">
              <w:rPr>
                <w:rStyle w:val="Lienhypertexte"/>
                <w:noProof/>
              </w:rPr>
              <w:t>22.31.4b Paliers d'escaliers préfabriqués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_Toc178838001 \h </w:instrText>
            </w:r>
            <w:r w:rsidR="00FD58BF">
              <w:rPr>
                <w:noProof/>
                <w:webHidden/>
              </w:rPr>
            </w:r>
            <w:r w:rsidR="00FD58BF">
              <w:rPr>
                <w:noProof/>
                <w:webHidden/>
              </w:rPr>
              <w:fldChar w:fldCharType="separate"/>
            </w:r>
            <w:r w:rsidR="00FD58BF">
              <w:rPr>
                <w:noProof/>
                <w:webHidden/>
              </w:rPr>
              <w:t>658</w:t>
            </w:r>
            <w:r w:rsidR="00FD58BF">
              <w:rPr>
                <w:noProof/>
                <w:webHidden/>
              </w:rPr>
              <w:fldChar w:fldCharType="end"/>
            </w:r>
          </w:hyperlink>
        </w:p>
        <w:p w14:paraId="17502D4E" w14:textId="5C2DC49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2" w:history="1">
            <w:r w:rsidR="00FD58BF" w:rsidRPr="003004E5">
              <w:rPr>
                <w:rStyle w:val="Lienhypertexte"/>
                <w:noProof/>
              </w:rPr>
              <w:t>22.31.4c Escaliers préfabriqués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_Toc178838002 \h </w:instrText>
            </w:r>
            <w:r w:rsidR="00FD58BF">
              <w:rPr>
                <w:noProof/>
                <w:webHidden/>
              </w:rPr>
            </w:r>
            <w:r w:rsidR="00FD58BF">
              <w:rPr>
                <w:noProof/>
                <w:webHidden/>
              </w:rPr>
              <w:fldChar w:fldCharType="separate"/>
            </w:r>
            <w:r w:rsidR="00FD58BF">
              <w:rPr>
                <w:noProof/>
                <w:webHidden/>
              </w:rPr>
              <w:t>658</w:t>
            </w:r>
            <w:r w:rsidR="00FD58BF">
              <w:rPr>
                <w:noProof/>
                <w:webHidden/>
              </w:rPr>
              <w:fldChar w:fldCharType="end"/>
            </w:r>
          </w:hyperlink>
        </w:p>
        <w:p w14:paraId="79E6D0F7" w14:textId="644343E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03" w:history="1">
            <w:r w:rsidR="00FD58BF" w:rsidRPr="003004E5">
              <w:rPr>
                <w:rStyle w:val="Lienhypertexte"/>
                <w:noProof/>
              </w:rPr>
              <w:t>22.32 Garde-corps et rampes en béton CCTB 01.04</w:t>
            </w:r>
            <w:r w:rsidR="00FD58BF">
              <w:rPr>
                <w:noProof/>
                <w:webHidden/>
              </w:rPr>
              <w:tab/>
            </w:r>
            <w:r w:rsidR="00FD58BF">
              <w:rPr>
                <w:noProof/>
                <w:webHidden/>
              </w:rPr>
              <w:fldChar w:fldCharType="begin"/>
            </w:r>
            <w:r w:rsidR="00FD58BF">
              <w:rPr>
                <w:noProof/>
                <w:webHidden/>
              </w:rPr>
              <w:instrText xml:space="preserve"> PAGEREF _Toc178838003 \h </w:instrText>
            </w:r>
            <w:r w:rsidR="00FD58BF">
              <w:rPr>
                <w:noProof/>
                <w:webHidden/>
              </w:rPr>
            </w:r>
            <w:r w:rsidR="00FD58BF">
              <w:rPr>
                <w:noProof/>
                <w:webHidden/>
              </w:rPr>
              <w:fldChar w:fldCharType="separate"/>
            </w:r>
            <w:r w:rsidR="00FD58BF">
              <w:rPr>
                <w:noProof/>
                <w:webHidden/>
              </w:rPr>
              <w:t>659</w:t>
            </w:r>
            <w:r w:rsidR="00FD58BF">
              <w:rPr>
                <w:noProof/>
                <w:webHidden/>
              </w:rPr>
              <w:fldChar w:fldCharType="end"/>
            </w:r>
          </w:hyperlink>
        </w:p>
        <w:p w14:paraId="26EB8673" w14:textId="72D788F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4" w:history="1">
            <w:r w:rsidR="00FD58BF" w:rsidRPr="003004E5">
              <w:rPr>
                <w:rStyle w:val="Lienhypertexte"/>
                <w:noProof/>
              </w:rPr>
              <w:t>22.32.1 Garde-corps et rampes en béton coulé en place CCTB 01.04</w:t>
            </w:r>
            <w:r w:rsidR="00FD58BF">
              <w:rPr>
                <w:noProof/>
                <w:webHidden/>
              </w:rPr>
              <w:tab/>
            </w:r>
            <w:r w:rsidR="00FD58BF">
              <w:rPr>
                <w:noProof/>
                <w:webHidden/>
              </w:rPr>
              <w:fldChar w:fldCharType="begin"/>
            </w:r>
            <w:r w:rsidR="00FD58BF">
              <w:rPr>
                <w:noProof/>
                <w:webHidden/>
              </w:rPr>
              <w:instrText xml:space="preserve"> PAGEREF _Toc178838004 \h </w:instrText>
            </w:r>
            <w:r w:rsidR="00FD58BF">
              <w:rPr>
                <w:noProof/>
                <w:webHidden/>
              </w:rPr>
            </w:r>
            <w:r w:rsidR="00FD58BF">
              <w:rPr>
                <w:noProof/>
                <w:webHidden/>
              </w:rPr>
              <w:fldChar w:fldCharType="separate"/>
            </w:r>
            <w:r w:rsidR="00FD58BF">
              <w:rPr>
                <w:noProof/>
                <w:webHidden/>
              </w:rPr>
              <w:t>659</w:t>
            </w:r>
            <w:r w:rsidR="00FD58BF">
              <w:rPr>
                <w:noProof/>
                <w:webHidden/>
              </w:rPr>
              <w:fldChar w:fldCharType="end"/>
            </w:r>
          </w:hyperlink>
        </w:p>
        <w:p w14:paraId="3491A0DA" w14:textId="24494B9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5" w:history="1">
            <w:r w:rsidR="00FD58BF" w:rsidRPr="003004E5">
              <w:rPr>
                <w:rStyle w:val="Lienhypertexte"/>
                <w:noProof/>
              </w:rPr>
              <w:t>22.32.1a Garde-corps et rampes en béton coulé en place CCTB 01.12</w:t>
            </w:r>
            <w:r w:rsidR="00FD58BF">
              <w:rPr>
                <w:noProof/>
                <w:webHidden/>
              </w:rPr>
              <w:tab/>
            </w:r>
            <w:r w:rsidR="00FD58BF">
              <w:rPr>
                <w:noProof/>
                <w:webHidden/>
              </w:rPr>
              <w:fldChar w:fldCharType="begin"/>
            </w:r>
            <w:r w:rsidR="00FD58BF">
              <w:rPr>
                <w:noProof/>
                <w:webHidden/>
              </w:rPr>
              <w:instrText xml:space="preserve"> PAGEREF _Toc178838005 \h </w:instrText>
            </w:r>
            <w:r w:rsidR="00FD58BF">
              <w:rPr>
                <w:noProof/>
                <w:webHidden/>
              </w:rPr>
            </w:r>
            <w:r w:rsidR="00FD58BF">
              <w:rPr>
                <w:noProof/>
                <w:webHidden/>
              </w:rPr>
              <w:fldChar w:fldCharType="separate"/>
            </w:r>
            <w:r w:rsidR="00FD58BF">
              <w:rPr>
                <w:noProof/>
                <w:webHidden/>
              </w:rPr>
              <w:t>660</w:t>
            </w:r>
            <w:r w:rsidR="00FD58BF">
              <w:rPr>
                <w:noProof/>
                <w:webHidden/>
              </w:rPr>
              <w:fldChar w:fldCharType="end"/>
            </w:r>
          </w:hyperlink>
        </w:p>
        <w:p w14:paraId="51D49214" w14:textId="449D683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6" w:history="1">
            <w:r w:rsidR="00FD58BF" w:rsidRPr="003004E5">
              <w:rPr>
                <w:rStyle w:val="Lienhypertexte"/>
                <w:noProof/>
              </w:rPr>
              <w:t>22.32.2 Garde-corps et rampes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_Toc178838006 \h </w:instrText>
            </w:r>
            <w:r w:rsidR="00FD58BF">
              <w:rPr>
                <w:noProof/>
                <w:webHidden/>
              </w:rPr>
            </w:r>
            <w:r w:rsidR="00FD58BF">
              <w:rPr>
                <w:noProof/>
                <w:webHidden/>
              </w:rPr>
              <w:fldChar w:fldCharType="separate"/>
            </w:r>
            <w:r w:rsidR="00FD58BF">
              <w:rPr>
                <w:noProof/>
                <w:webHidden/>
              </w:rPr>
              <w:t>661</w:t>
            </w:r>
            <w:r w:rsidR="00FD58BF">
              <w:rPr>
                <w:noProof/>
                <w:webHidden/>
              </w:rPr>
              <w:fldChar w:fldCharType="end"/>
            </w:r>
          </w:hyperlink>
        </w:p>
        <w:p w14:paraId="62F4DCA9" w14:textId="1CC4C44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7" w:history="1">
            <w:r w:rsidR="00FD58BF" w:rsidRPr="003004E5">
              <w:rPr>
                <w:rStyle w:val="Lienhypertexte"/>
                <w:noProof/>
              </w:rPr>
              <w:t>22.32.2a Garde-corps et rampes en béton apparent (esthétique) coulé en place CCTB 01.12</w:t>
            </w:r>
            <w:r w:rsidR="00FD58BF">
              <w:rPr>
                <w:noProof/>
                <w:webHidden/>
              </w:rPr>
              <w:tab/>
            </w:r>
            <w:r w:rsidR="00FD58BF">
              <w:rPr>
                <w:noProof/>
                <w:webHidden/>
              </w:rPr>
              <w:fldChar w:fldCharType="begin"/>
            </w:r>
            <w:r w:rsidR="00FD58BF">
              <w:rPr>
                <w:noProof/>
                <w:webHidden/>
              </w:rPr>
              <w:instrText xml:space="preserve"> PAGEREF _Toc178838007 \h </w:instrText>
            </w:r>
            <w:r w:rsidR="00FD58BF">
              <w:rPr>
                <w:noProof/>
                <w:webHidden/>
              </w:rPr>
            </w:r>
            <w:r w:rsidR="00FD58BF">
              <w:rPr>
                <w:noProof/>
                <w:webHidden/>
              </w:rPr>
              <w:fldChar w:fldCharType="separate"/>
            </w:r>
            <w:r w:rsidR="00FD58BF">
              <w:rPr>
                <w:noProof/>
                <w:webHidden/>
              </w:rPr>
              <w:t>661</w:t>
            </w:r>
            <w:r w:rsidR="00FD58BF">
              <w:rPr>
                <w:noProof/>
                <w:webHidden/>
              </w:rPr>
              <w:fldChar w:fldCharType="end"/>
            </w:r>
          </w:hyperlink>
        </w:p>
        <w:p w14:paraId="66C21F9A" w14:textId="3C30B20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8" w:history="1">
            <w:r w:rsidR="00FD58BF" w:rsidRPr="003004E5">
              <w:rPr>
                <w:rStyle w:val="Lienhypertexte"/>
                <w:noProof/>
              </w:rPr>
              <w:t>22.32.3 Garde-corps et rampes préfabriqués en béton CCTB 01.11</w:t>
            </w:r>
            <w:r w:rsidR="00FD58BF">
              <w:rPr>
                <w:noProof/>
                <w:webHidden/>
              </w:rPr>
              <w:tab/>
            </w:r>
            <w:r w:rsidR="00FD58BF">
              <w:rPr>
                <w:noProof/>
                <w:webHidden/>
              </w:rPr>
              <w:fldChar w:fldCharType="begin"/>
            </w:r>
            <w:r w:rsidR="00FD58BF">
              <w:rPr>
                <w:noProof/>
                <w:webHidden/>
              </w:rPr>
              <w:instrText xml:space="preserve"> PAGEREF _Toc178838008 \h </w:instrText>
            </w:r>
            <w:r w:rsidR="00FD58BF">
              <w:rPr>
                <w:noProof/>
                <w:webHidden/>
              </w:rPr>
            </w:r>
            <w:r w:rsidR="00FD58BF">
              <w:rPr>
                <w:noProof/>
                <w:webHidden/>
              </w:rPr>
              <w:fldChar w:fldCharType="separate"/>
            </w:r>
            <w:r w:rsidR="00FD58BF">
              <w:rPr>
                <w:noProof/>
                <w:webHidden/>
              </w:rPr>
              <w:t>663</w:t>
            </w:r>
            <w:r w:rsidR="00FD58BF">
              <w:rPr>
                <w:noProof/>
                <w:webHidden/>
              </w:rPr>
              <w:fldChar w:fldCharType="end"/>
            </w:r>
          </w:hyperlink>
        </w:p>
        <w:p w14:paraId="4043397A" w14:textId="1058879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9" w:history="1">
            <w:r w:rsidR="00FD58BF" w:rsidRPr="003004E5">
              <w:rPr>
                <w:rStyle w:val="Lienhypertexte"/>
                <w:noProof/>
              </w:rPr>
              <w:t>22.32.3a Garde-corps et rampes préfabriqués en béton CCTB 01.02</w:t>
            </w:r>
            <w:r w:rsidR="00FD58BF">
              <w:rPr>
                <w:noProof/>
                <w:webHidden/>
              </w:rPr>
              <w:tab/>
            </w:r>
            <w:r w:rsidR="00FD58BF">
              <w:rPr>
                <w:noProof/>
                <w:webHidden/>
              </w:rPr>
              <w:fldChar w:fldCharType="begin"/>
            </w:r>
            <w:r w:rsidR="00FD58BF">
              <w:rPr>
                <w:noProof/>
                <w:webHidden/>
              </w:rPr>
              <w:instrText xml:space="preserve"> PAGEREF _Toc178838009 \h </w:instrText>
            </w:r>
            <w:r w:rsidR="00FD58BF">
              <w:rPr>
                <w:noProof/>
                <w:webHidden/>
              </w:rPr>
            </w:r>
            <w:r w:rsidR="00FD58BF">
              <w:rPr>
                <w:noProof/>
                <w:webHidden/>
              </w:rPr>
              <w:fldChar w:fldCharType="separate"/>
            </w:r>
            <w:r w:rsidR="00FD58BF">
              <w:rPr>
                <w:noProof/>
                <w:webHidden/>
              </w:rPr>
              <w:t>663</w:t>
            </w:r>
            <w:r w:rsidR="00FD58BF">
              <w:rPr>
                <w:noProof/>
                <w:webHidden/>
              </w:rPr>
              <w:fldChar w:fldCharType="end"/>
            </w:r>
          </w:hyperlink>
        </w:p>
        <w:p w14:paraId="6E00D1B0" w14:textId="308D67D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0" w:history="1">
            <w:r w:rsidR="00FD58BF" w:rsidRPr="003004E5">
              <w:rPr>
                <w:rStyle w:val="Lienhypertexte"/>
                <w:noProof/>
              </w:rPr>
              <w:t>22.32.4 Garde-corps et rampes préfabriqués en béton architectonique CCTB 01.11</w:t>
            </w:r>
            <w:r w:rsidR="00FD58BF">
              <w:rPr>
                <w:noProof/>
                <w:webHidden/>
              </w:rPr>
              <w:tab/>
            </w:r>
            <w:r w:rsidR="00FD58BF">
              <w:rPr>
                <w:noProof/>
                <w:webHidden/>
              </w:rPr>
              <w:fldChar w:fldCharType="begin"/>
            </w:r>
            <w:r w:rsidR="00FD58BF">
              <w:rPr>
                <w:noProof/>
                <w:webHidden/>
              </w:rPr>
              <w:instrText xml:space="preserve"> PAGEREF _Toc178838010 \h </w:instrText>
            </w:r>
            <w:r w:rsidR="00FD58BF">
              <w:rPr>
                <w:noProof/>
                <w:webHidden/>
              </w:rPr>
            </w:r>
            <w:r w:rsidR="00FD58BF">
              <w:rPr>
                <w:noProof/>
                <w:webHidden/>
              </w:rPr>
              <w:fldChar w:fldCharType="separate"/>
            </w:r>
            <w:r w:rsidR="00FD58BF">
              <w:rPr>
                <w:noProof/>
                <w:webHidden/>
              </w:rPr>
              <w:t>664</w:t>
            </w:r>
            <w:r w:rsidR="00FD58BF">
              <w:rPr>
                <w:noProof/>
                <w:webHidden/>
              </w:rPr>
              <w:fldChar w:fldCharType="end"/>
            </w:r>
          </w:hyperlink>
        </w:p>
        <w:p w14:paraId="30793B02" w14:textId="2B67A41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1" w:history="1">
            <w:r w:rsidR="00FD58BF" w:rsidRPr="003004E5">
              <w:rPr>
                <w:rStyle w:val="Lienhypertexte"/>
                <w:noProof/>
              </w:rPr>
              <w:t>22.32.4a Garde-corps et rampes préfabriqués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_Toc178838011 \h </w:instrText>
            </w:r>
            <w:r w:rsidR="00FD58BF">
              <w:rPr>
                <w:noProof/>
                <w:webHidden/>
              </w:rPr>
            </w:r>
            <w:r w:rsidR="00FD58BF">
              <w:rPr>
                <w:noProof/>
                <w:webHidden/>
              </w:rPr>
              <w:fldChar w:fldCharType="separate"/>
            </w:r>
            <w:r w:rsidR="00FD58BF">
              <w:rPr>
                <w:noProof/>
                <w:webHidden/>
              </w:rPr>
              <w:t>664</w:t>
            </w:r>
            <w:r w:rsidR="00FD58BF">
              <w:rPr>
                <w:noProof/>
                <w:webHidden/>
              </w:rPr>
              <w:fldChar w:fldCharType="end"/>
            </w:r>
          </w:hyperlink>
        </w:p>
        <w:p w14:paraId="35D98F1F" w14:textId="3E6D8D0C"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12" w:history="1">
            <w:r w:rsidR="00FD58BF" w:rsidRPr="003004E5">
              <w:rPr>
                <w:rStyle w:val="Lienhypertexte"/>
                <w:noProof/>
              </w:rPr>
              <w:t>22.33 Balcons et terrasses en béton CCTB 01.04</w:t>
            </w:r>
            <w:r w:rsidR="00FD58BF">
              <w:rPr>
                <w:noProof/>
                <w:webHidden/>
              </w:rPr>
              <w:tab/>
            </w:r>
            <w:r w:rsidR="00FD58BF">
              <w:rPr>
                <w:noProof/>
                <w:webHidden/>
              </w:rPr>
              <w:fldChar w:fldCharType="begin"/>
            </w:r>
            <w:r w:rsidR="00FD58BF">
              <w:rPr>
                <w:noProof/>
                <w:webHidden/>
              </w:rPr>
              <w:instrText xml:space="preserve"> PAGEREF _Toc178838012 \h </w:instrText>
            </w:r>
            <w:r w:rsidR="00FD58BF">
              <w:rPr>
                <w:noProof/>
                <w:webHidden/>
              </w:rPr>
            </w:r>
            <w:r w:rsidR="00FD58BF">
              <w:rPr>
                <w:noProof/>
                <w:webHidden/>
              </w:rPr>
              <w:fldChar w:fldCharType="separate"/>
            </w:r>
            <w:r w:rsidR="00FD58BF">
              <w:rPr>
                <w:noProof/>
                <w:webHidden/>
              </w:rPr>
              <w:t>664</w:t>
            </w:r>
            <w:r w:rsidR="00FD58BF">
              <w:rPr>
                <w:noProof/>
                <w:webHidden/>
              </w:rPr>
              <w:fldChar w:fldCharType="end"/>
            </w:r>
          </w:hyperlink>
        </w:p>
        <w:p w14:paraId="76547877" w14:textId="1CA7512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3" w:history="1">
            <w:r w:rsidR="00FD58BF" w:rsidRPr="003004E5">
              <w:rPr>
                <w:rStyle w:val="Lienhypertexte"/>
                <w:noProof/>
              </w:rPr>
              <w:t>22.33.1 Balcons et terrasses en béton coulé en place CCTB 01.12</w:t>
            </w:r>
            <w:r w:rsidR="00FD58BF">
              <w:rPr>
                <w:noProof/>
                <w:webHidden/>
              </w:rPr>
              <w:tab/>
            </w:r>
            <w:r w:rsidR="00FD58BF">
              <w:rPr>
                <w:noProof/>
                <w:webHidden/>
              </w:rPr>
              <w:fldChar w:fldCharType="begin"/>
            </w:r>
            <w:r w:rsidR="00FD58BF">
              <w:rPr>
                <w:noProof/>
                <w:webHidden/>
              </w:rPr>
              <w:instrText xml:space="preserve"> PAGEREF _Toc178838013 \h </w:instrText>
            </w:r>
            <w:r w:rsidR="00FD58BF">
              <w:rPr>
                <w:noProof/>
                <w:webHidden/>
              </w:rPr>
            </w:r>
            <w:r w:rsidR="00FD58BF">
              <w:rPr>
                <w:noProof/>
                <w:webHidden/>
              </w:rPr>
              <w:fldChar w:fldCharType="separate"/>
            </w:r>
            <w:r w:rsidR="00FD58BF">
              <w:rPr>
                <w:noProof/>
                <w:webHidden/>
              </w:rPr>
              <w:t>664</w:t>
            </w:r>
            <w:r w:rsidR="00FD58BF">
              <w:rPr>
                <w:noProof/>
                <w:webHidden/>
              </w:rPr>
              <w:fldChar w:fldCharType="end"/>
            </w:r>
          </w:hyperlink>
        </w:p>
        <w:p w14:paraId="219E7620" w14:textId="6A51D9D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4" w:history="1">
            <w:r w:rsidR="00FD58BF" w:rsidRPr="003004E5">
              <w:rPr>
                <w:rStyle w:val="Lienhypertexte"/>
                <w:noProof/>
              </w:rPr>
              <w:t>22.33.1a Balcons et terrasses en béton coulé en place CCTB 01.11</w:t>
            </w:r>
            <w:r w:rsidR="00FD58BF">
              <w:rPr>
                <w:noProof/>
                <w:webHidden/>
              </w:rPr>
              <w:tab/>
            </w:r>
            <w:r w:rsidR="00FD58BF">
              <w:rPr>
                <w:noProof/>
                <w:webHidden/>
              </w:rPr>
              <w:fldChar w:fldCharType="begin"/>
            </w:r>
            <w:r w:rsidR="00FD58BF">
              <w:rPr>
                <w:noProof/>
                <w:webHidden/>
              </w:rPr>
              <w:instrText xml:space="preserve"> PAGEREF _Toc178838014 \h </w:instrText>
            </w:r>
            <w:r w:rsidR="00FD58BF">
              <w:rPr>
                <w:noProof/>
                <w:webHidden/>
              </w:rPr>
            </w:r>
            <w:r w:rsidR="00FD58BF">
              <w:rPr>
                <w:noProof/>
                <w:webHidden/>
              </w:rPr>
              <w:fldChar w:fldCharType="separate"/>
            </w:r>
            <w:r w:rsidR="00FD58BF">
              <w:rPr>
                <w:noProof/>
                <w:webHidden/>
              </w:rPr>
              <w:t>666</w:t>
            </w:r>
            <w:r w:rsidR="00FD58BF">
              <w:rPr>
                <w:noProof/>
                <w:webHidden/>
              </w:rPr>
              <w:fldChar w:fldCharType="end"/>
            </w:r>
          </w:hyperlink>
        </w:p>
        <w:p w14:paraId="57267E11" w14:textId="6346296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5" w:history="1">
            <w:r w:rsidR="00FD58BF" w:rsidRPr="003004E5">
              <w:rPr>
                <w:rStyle w:val="Lienhypertexte"/>
                <w:noProof/>
              </w:rPr>
              <w:t>22.33.2 Balcons et terrasses en béton apparent (esthétique) coulé en place CCTB 01.12</w:t>
            </w:r>
            <w:r w:rsidR="00FD58BF">
              <w:rPr>
                <w:noProof/>
                <w:webHidden/>
              </w:rPr>
              <w:tab/>
            </w:r>
            <w:r w:rsidR="00FD58BF">
              <w:rPr>
                <w:noProof/>
                <w:webHidden/>
              </w:rPr>
              <w:fldChar w:fldCharType="begin"/>
            </w:r>
            <w:r w:rsidR="00FD58BF">
              <w:rPr>
                <w:noProof/>
                <w:webHidden/>
              </w:rPr>
              <w:instrText xml:space="preserve"> PAGEREF _Toc178838015 \h </w:instrText>
            </w:r>
            <w:r w:rsidR="00FD58BF">
              <w:rPr>
                <w:noProof/>
                <w:webHidden/>
              </w:rPr>
            </w:r>
            <w:r w:rsidR="00FD58BF">
              <w:rPr>
                <w:noProof/>
                <w:webHidden/>
              </w:rPr>
              <w:fldChar w:fldCharType="separate"/>
            </w:r>
            <w:r w:rsidR="00FD58BF">
              <w:rPr>
                <w:noProof/>
                <w:webHidden/>
              </w:rPr>
              <w:t>666</w:t>
            </w:r>
            <w:r w:rsidR="00FD58BF">
              <w:rPr>
                <w:noProof/>
                <w:webHidden/>
              </w:rPr>
              <w:fldChar w:fldCharType="end"/>
            </w:r>
          </w:hyperlink>
        </w:p>
        <w:p w14:paraId="7ABF4736" w14:textId="6BD58B5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6" w:history="1">
            <w:r w:rsidR="00FD58BF" w:rsidRPr="003004E5">
              <w:rPr>
                <w:rStyle w:val="Lienhypertexte"/>
                <w:noProof/>
              </w:rPr>
              <w:t>22.33.2a Balcons et terrasses en béton apparent (esthétique) coulé en place CCTB 01.11</w:t>
            </w:r>
            <w:r w:rsidR="00FD58BF">
              <w:rPr>
                <w:noProof/>
                <w:webHidden/>
              </w:rPr>
              <w:tab/>
            </w:r>
            <w:r w:rsidR="00FD58BF">
              <w:rPr>
                <w:noProof/>
                <w:webHidden/>
              </w:rPr>
              <w:fldChar w:fldCharType="begin"/>
            </w:r>
            <w:r w:rsidR="00FD58BF">
              <w:rPr>
                <w:noProof/>
                <w:webHidden/>
              </w:rPr>
              <w:instrText xml:space="preserve"> PAGEREF _Toc178838016 \h </w:instrText>
            </w:r>
            <w:r w:rsidR="00FD58BF">
              <w:rPr>
                <w:noProof/>
                <w:webHidden/>
              </w:rPr>
            </w:r>
            <w:r w:rsidR="00FD58BF">
              <w:rPr>
                <w:noProof/>
                <w:webHidden/>
              </w:rPr>
              <w:fldChar w:fldCharType="separate"/>
            </w:r>
            <w:r w:rsidR="00FD58BF">
              <w:rPr>
                <w:noProof/>
                <w:webHidden/>
              </w:rPr>
              <w:t>667</w:t>
            </w:r>
            <w:r w:rsidR="00FD58BF">
              <w:rPr>
                <w:noProof/>
                <w:webHidden/>
              </w:rPr>
              <w:fldChar w:fldCharType="end"/>
            </w:r>
          </w:hyperlink>
        </w:p>
        <w:p w14:paraId="171BD82F" w14:textId="5DEDBB3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7" w:history="1">
            <w:r w:rsidR="00FD58BF" w:rsidRPr="003004E5">
              <w:rPr>
                <w:rStyle w:val="Lienhypertexte"/>
                <w:noProof/>
              </w:rPr>
              <w:t>22.33.3 Balcons et terrasses préfabriqués en béton CCTB 01.07</w:t>
            </w:r>
            <w:r w:rsidR="00FD58BF">
              <w:rPr>
                <w:noProof/>
                <w:webHidden/>
              </w:rPr>
              <w:tab/>
            </w:r>
            <w:r w:rsidR="00FD58BF">
              <w:rPr>
                <w:noProof/>
                <w:webHidden/>
              </w:rPr>
              <w:fldChar w:fldCharType="begin"/>
            </w:r>
            <w:r w:rsidR="00FD58BF">
              <w:rPr>
                <w:noProof/>
                <w:webHidden/>
              </w:rPr>
              <w:instrText xml:space="preserve"> PAGEREF _Toc178838017 \h </w:instrText>
            </w:r>
            <w:r w:rsidR="00FD58BF">
              <w:rPr>
                <w:noProof/>
                <w:webHidden/>
              </w:rPr>
            </w:r>
            <w:r w:rsidR="00FD58BF">
              <w:rPr>
                <w:noProof/>
                <w:webHidden/>
              </w:rPr>
              <w:fldChar w:fldCharType="separate"/>
            </w:r>
            <w:r w:rsidR="00FD58BF">
              <w:rPr>
                <w:noProof/>
                <w:webHidden/>
              </w:rPr>
              <w:t>668</w:t>
            </w:r>
            <w:r w:rsidR="00FD58BF">
              <w:rPr>
                <w:noProof/>
                <w:webHidden/>
              </w:rPr>
              <w:fldChar w:fldCharType="end"/>
            </w:r>
          </w:hyperlink>
        </w:p>
        <w:p w14:paraId="22413667" w14:textId="66EDF7F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8" w:history="1">
            <w:r w:rsidR="00FD58BF" w:rsidRPr="003004E5">
              <w:rPr>
                <w:rStyle w:val="Lienhypertexte"/>
                <w:noProof/>
              </w:rPr>
              <w:t>22.33.3a Balcons et terrasses préfabriqués en béton CCTB 01.04</w:t>
            </w:r>
            <w:r w:rsidR="00FD58BF">
              <w:rPr>
                <w:noProof/>
                <w:webHidden/>
              </w:rPr>
              <w:tab/>
            </w:r>
            <w:r w:rsidR="00FD58BF">
              <w:rPr>
                <w:noProof/>
                <w:webHidden/>
              </w:rPr>
              <w:fldChar w:fldCharType="begin"/>
            </w:r>
            <w:r w:rsidR="00FD58BF">
              <w:rPr>
                <w:noProof/>
                <w:webHidden/>
              </w:rPr>
              <w:instrText xml:space="preserve"> PAGEREF _Toc178838018 \h </w:instrText>
            </w:r>
            <w:r w:rsidR="00FD58BF">
              <w:rPr>
                <w:noProof/>
                <w:webHidden/>
              </w:rPr>
            </w:r>
            <w:r w:rsidR="00FD58BF">
              <w:rPr>
                <w:noProof/>
                <w:webHidden/>
              </w:rPr>
              <w:fldChar w:fldCharType="separate"/>
            </w:r>
            <w:r w:rsidR="00FD58BF">
              <w:rPr>
                <w:noProof/>
                <w:webHidden/>
              </w:rPr>
              <w:t>669</w:t>
            </w:r>
            <w:r w:rsidR="00FD58BF">
              <w:rPr>
                <w:noProof/>
                <w:webHidden/>
              </w:rPr>
              <w:fldChar w:fldCharType="end"/>
            </w:r>
          </w:hyperlink>
        </w:p>
        <w:p w14:paraId="3AD0D127" w14:textId="622E1C1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9" w:history="1">
            <w:r w:rsidR="00FD58BF" w:rsidRPr="003004E5">
              <w:rPr>
                <w:rStyle w:val="Lienhypertexte"/>
                <w:noProof/>
              </w:rPr>
              <w:t>22.33.4 Balcons et terrasses préfabriqués en béton architectonique CCTB 01.11</w:t>
            </w:r>
            <w:r w:rsidR="00FD58BF">
              <w:rPr>
                <w:noProof/>
                <w:webHidden/>
              </w:rPr>
              <w:tab/>
            </w:r>
            <w:r w:rsidR="00FD58BF">
              <w:rPr>
                <w:noProof/>
                <w:webHidden/>
              </w:rPr>
              <w:fldChar w:fldCharType="begin"/>
            </w:r>
            <w:r w:rsidR="00FD58BF">
              <w:rPr>
                <w:noProof/>
                <w:webHidden/>
              </w:rPr>
              <w:instrText xml:space="preserve"> PAGEREF _Toc178838019 \h </w:instrText>
            </w:r>
            <w:r w:rsidR="00FD58BF">
              <w:rPr>
                <w:noProof/>
                <w:webHidden/>
              </w:rPr>
            </w:r>
            <w:r w:rsidR="00FD58BF">
              <w:rPr>
                <w:noProof/>
                <w:webHidden/>
              </w:rPr>
              <w:fldChar w:fldCharType="separate"/>
            </w:r>
            <w:r w:rsidR="00FD58BF">
              <w:rPr>
                <w:noProof/>
                <w:webHidden/>
              </w:rPr>
              <w:t>669</w:t>
            </w:r>
            <w:r w:rsidR="00FD58BF">
              <w:rPr>
                <w:noProof/>
                <w:webHidden/>
              </w:rPr>
              <w:fldChar w:fldCharType="end"/>
            </w:r>
          </w:hyperlink>
        </w:p>
        <w:p w14:paraId="77F4A6CC" w14:textId="6A11B52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0" w:history="1">
            <w:r w:rsidR="00FD58BF" w:rsidRPr="003004E5">
              <w:rPr>
                <w:rStyle w:val="Lienhypertexte"/>
                <w:noProof/>
              </w:rPr>
              <w:t>22.33.4a Balcons et terrasses préfabriqués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_Toc178838020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7FAFD3F2" w14:textId="62BACA1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21" w:history="1">
            <w:r w:rsidR="00FD58BF" w:rsidRPr="003004E5">
              <w:rPr>
                <w:rStyle w:val="Lienhypertexte"/>
                <w:noProof/>
              </w:rPr>
              <w:t>22.34 Passerelles et coursives en béton CCTB 01.04</w:t>
            </w:r>
            <w:r w:rsidR="00FD58BF">
              <w:rPr>
                <w:noProof/>
                <w:webHidden/>
              </w:rPr>
              <w:tab/>
            </w:r>
            <w:r w:rsidR="00FD58BF">
              <w:rPr>
                <w:noProof/>
                <w:webHidden/>
              </w:rPr>
              <w:fldChar w:fldCharType="begin"/>
            </w:r>
            <w:r w:rsidR="00FD58BF">
              <w:rPr>
                <w:noProof/>
                <w:webHidden/>
              </w:rPr>
              <w:instrText xml:space="preserve"> PAGEREF _Toc178838021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1762E43A" w14:textId="7046C87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2" w:history="1">
            <w:r w:rsidR="00FD58BF" w:rsidRPr="003004E5">
              <w:rPr>
                <w:rStyle w:val="Lienhypertexte"/>
                <w:noProof/>
              </w:rPr>
              <w:t>22.34.1 Passerelles et coursives en béton coulé en place CCTB 01.04</w:t>
            </w:r>
            <w:r w:rsidR="00FD58BF">
              <w:rPr>
                <w:noProof/>
                <w:webHidden/>
              </w:rPr>
              <w:tab/>
            </w:r>
            <w:r w:rsidR="00FD58BF">
              <w:rPr>
                <w:noProof/>
                <w:webHidden/>
              </w:rPr>
              <w:fldChar w:fldCharType="begin"/>
            </w:r>
            <w:r w:rsidR="00FD58BF">
              <w:rPr>
                <w:noProof/>
                <w:webHidden/>
              </w:rPr>
              <w:instrText xml:space="preserve"> PAGEREF _Toc178838022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47DA3B8B" w14:textId="4D162BE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3" w:history="1">
            <w:r w:rsidR="00FD58BF" w:rsidRPr="003004E5">
              <w:rPr>
                <w:rStyle w:val="Lienhypertexte"/>
                <w:noProof/>
              </w:rPr>
              <w:t>22.34.1a Passerelles et coursives en béton coulé en place CCTB 01.04</w:t>
            </w:r>
            <w:r w:rsidR="00FD58BF">
              <w:rPr>
                <w:noProof/>
                <w:webHidden/>
              </w:rPr>
              <w:tab/>
            </w:r>
            <w:r w:rsidR="00FD58BF">
              <w:rPr>
                <w:noProof/>
                <w:webHidden/>
              </w:rPr>
              <w:fldChar w:fldCharType="begin"/>
            </w:r>
            <w:r w:rsidR="00FD58BF">
              <w:rPr>
                <w:noProof/>
                <w:webHidden/>
              </w:rPr>
              <w:instrText xml:space="preserve"> PAGEREF _Toc178838023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1A2B1F5C" w14:textId="0EAE090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4" w:history="1">
            <w:r w:rsidR="00FD58BF" w:rsidRPr="003004E5">
              <w:rPr>
                <w:rStyle w:val="Lienhypertexte"/>
                <w:noProof/>
              </w:rPr>
              <w:t>22.34.2 Passerelles et coursives en béton apparent (esthétique) coulé en place CCTB 01.02</w:t>
            </w:r>
            <w:r w:rsidR="00FD58BF">
              <w:rPr>
                <w:noProof/>
                <w:webHidden/>
              </w:rPr>
              <w:tab/>
            </w:r>
            <w:r w:rsidR="00FD58BF">
              <w:rPr>
                <w:noProof/>
                <w:webHidden/>
              </w:rPr>
              <w:fldChar w:fldCharType="begin"/>
            </w:r>
            <w:r w:rsidR="00FD58BF">
              <w:rPr>
                <w:noProof/>
                <w:webHidden/>
              </w:rPr>
              <w:instrText xml:space="preserve"> PAGEREF _Toc178838024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035EDA6D" w14:textId="76798C3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5" w:history="1">
            <w:r w:rsidR="00FD58BF" w:rsidRPr="003004E5">
              <w:rPr>
                <w:rStyle w:val="Lienhypertexte"/>
                <w:noProof/>
              </w:rPr>
              <w:t>22.34.2a Passerelles et coursives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_Toc178838025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68EE3E71" w14:textId="0E96ED5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6" w:history="1">
            <w:r w:rsidR="00FD58BF" w:rsidRPr="003004E5">
              <w:rPr>
                <w:rStyle w:val="Lienhypertexte"/>
                <w:noProof/>
              </w:rPr>
              <w:t>22.34.3 Passerelles et coursives préfabriquées en béton CCTB 01.04</w:t>
            </w:r>
            <w:r w:rsidR="00FD58BF">
              <w:rPr>
                <w:noProof/>
                <w:webHidden/>
              </w:rPr>
              <w:tab/>
            </w:r>
            <w:r w:rsidR="00FD58BF">
              <w:rPr>
                <w:noProof/>
                <w:webHidden/>
              </w:rPr>
              <w:fldChar w:fldCharType="begin"/>
            </w:r>
            <w:r w:rsidR="00FD58BF">
              <w:rPr>
                <w:noProof/>
                <w:webHidden/>
              </w:rPr>
              <w:instrText xml:space="preserve"> PAGEREF _Toc178838026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16DE73C2" w14:textId="5DC45B7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7" w:history="1">
            <w:r w:rsidR="00FD58BF" w:rsidRPr="003004E5">
              <w:rPr>
                <w:rStyle w:val="Lienhypertexte"/>
                <w:noProof/>
              </w:rPr>
              <w:t>22.34.3a Passerelles et coursives préfabriquées en béton CCTB 01.04</w:t>
            </w:r>
            <w:r w:rsidR="00FD58BF">
              <w:rPr>
                <w:noProof/>
                <w:webHidden/>
              </w:rPr>
              <w:tab/>
            </w:r>
            <w:r w:rsidR="00FD58BF">
              <w:rPr>
                <w:noProof/>
                <w:webHidden/>
              </w:rPr>
              <w:fldChar w:fldCharType="begin"/>
            </w:r>
            <w:r w:rsidR="00FD58BF">
              <w:rPr>
                <w:noProof/>
                <w:webHidden/>
              </w:rPr>
              <w:instrText xml:space="preserve"> PAGEREF _Toc178838027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6F0B92DE" w14:textId="1430B90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8" w:history="1">
            <w:r w:rsidR="00FD58BF" w:rsidRPr="003004E5">
              <w:rPr>
                <w:rStyle w:val="Lienhypertexte"/>
                <w:noProof/>
              </w:rPr>
              <w:t>22.34.4 Passerelles et coursives préfabriquées en béton architectonique CCTB 01.04</w:t>
            </w:r>
            <w:r w:rsidR="00FD58BF">
              <w:rPr>
                <w:noProof/>
                <w:webHidden/>
              </w:rPr>
              <w:tab/>
            </w:r>
            <w:r w:rsidR="00FD58BF">
              <w:rPr>
                <w:noProof/>
                <w:webHidden/>
              </w:rPr>
              <w:fldChar w:fldCharType="begin"/>
            </w:r>
            <w:r w:rsidR="00FD58BF">
              <w:rPr>
                <w:noProof/>
                <w:webHidden/>
              </w:rPr>
              <w:instrText xml:space="preserve"> PAGEREF _Toc178838028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2A0E5419" w14:textId="67073F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9" w:history="1">
            <w:r w:rsidR="00FD58BF" w:rsidRPr="003004E5">
              <w:rPr>
                <w:rStyle w:val="Lienhypertexte"/>
                <w:noProof/>
              </w:rPr>
              <w:t>22.34.4a Passerelles et coursives préfabriquées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_Toc178838029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02BD09E5" w14:textId="26087DBB"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30" w:history="1">
            <w:r w:rsidR="00FD58BF" w:rsidRPr="003004E5">
              <w:rPr>
                <w:rStyle w:val="Lienhypertexte"/>
                <w:noProof/>
              </w:rPr>
              <w:t>22.35 Auvents en béton CCTB 01.04</w:t>
            </w:r>
            <w:r w:rsidR="00FD58BF">
              <w:rPr>
                <w:noProof/>
                <w:webHidden/>
              </w:rPr>
              <w:tab/>
            </w:r>
            <w:r w:rsidR="00FD58BF">
              <w:rPr>
                <w:noProof/>
                <w:webHidden/>
              </w:rPr>
              <w:fldChar w:fldCharType="begin"/>
            </w:r>
            <w:r w:rsidR="00FD58BF">
              <w:rPr>
                <w:noProof/>
                <w:webHidden/>
              </w:rPr>
              <w:instrText xml:space="preserve"> PAGEREF _Toc178838030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29313C42" w14:textId="062B6A0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1" w:history="1">
            <w:r w:rsidR="00FD58BF" w:rsidRPr="003004E5">
              <w:rPr>
                <w:rStyle w:val="Lienhypertexte"/>
                <w:noProof/>
              </w:rPr>
              <w:t>22.35.1 Auvents en béton coulé en place CCTB 01.04</w:t>
            </w:r>
            <w:r w:rsidR="00FD58BF">
              <w:rPr>
                <w:noProof/>
                <w:webHidden/>
              </w:rPr>
              <w:tab/>
            </w:r>
            <w:r w:rsidR="00FD58BF">
              <w:rPr>
                <w:noProof/>
                <w:webHidden/>
              </w:rPr>
              <w:fldChar w:fldCharType="begin"/>
            </w:r>
            <w:r w:rsidR="00FD58BF">
              <w:rPr>
                <w:noProof/>
                <w:webHidden/>
              </w:rPr>
              <w:instrText xml:space="preserve"> PAGEREF _Toc178838031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60E16DF1" w14:textId="78E01B0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2" w:history="1">
            <w:r w:rsidR="00FD58BF" w:rsidRPr="003004E5">
              <w:rPr>
                <w:rStyle w:val="Lienhypertexte"/>
                <w:noProof/>
              </w:rPr>
              <w:t>22.35.1a Auvents en béton coulé en place CCTB 01.04</w:t>
            </w:r>
            <w:r w:rsidR="00FD58BF">
              <w:rPr>
                <w:noProof/>
                <w:webHidden/>
              </w:rPr>
              <w:tab/>
            </w:r>
            <w:r w:rsidR="00FD58BF">
              <w:rPr>
                <w:noProof/>
                <w:webHidden/>
              </w:rPr>
              <w:fldChar w:fldCharType="begin"/>
            </w:r>
            <w:r w:rsidR="00FD58BF">
              <w:rPr>
                <w:noProof/>
                <w:webHidden/>
              </w:rPr>
              <w:instrText xml:space="preserve"> PAGEREF _Toc178838032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4343AFB6" w14:textId="27DC07F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3" w:history="1">
            <w:r w:rsidR="00FD58BF" w:rsidRPr="003004E5">
              <w:rPr>
                <w:rStyle w:val="Lienhypertexte"/>
                <w:noProof/>
              </w:rPr>
              <w:t>22.35.2 Auvents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_Toc178838033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16B8A7F2" w14:textId="7F5C116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4" w:history="1">
            <w:r w:rsidR="00FD58BF" w:rsidRPr="003004E5">
              <w:rPr>
                <w:rStyle w:val="Lienhypertexte"/>
                <w:noProof/>
              </w:rPr>
              <w:t>22.35.2a Auvents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_Toc178838034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450FA5B0" w14:textId="059BC44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5" w:history="1">
            <w:r w:rsidR="00FD58BF" w:rsidRPr="003004E5">
              <w:rPr>
                <w:rStyle w:val="Lienhypertexte"/>
                <w:noProof/>
              </w:rPr>
              <w:t>22.35.3 Auvents préfabriqués en béton CCTB 01.04</w:t>
            </w:r>
            <w:r w:rsidR="00FD58BF">
              <w:rPr>
                <w:noProof/>
                <w:webHidden/>
              </w:rPr>
              <w:tab/>
            </w:r>
            <w:r w:rsidR="00FD58BF">
              <w:rPr>
                <w:noProof/>
                <w:webHidden/>
              </w:rPr>
              <w:fldChar w:fldCharType="begin"/>
            </w:r>
            <w:r w:rsidR="00FD58BF">
              <w:rPr>
                <w:noProof/>
                <w:webHidden/>
              </w:rPr>
              <w:instrText xml:space="preserve"> PAGEREF _Toc178838035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04542250" w14:textId="765464C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6" w:history="1">
            <w:r w:rsidR="00FD58BF" w:rsidRPr="003004E5">
              <w:rPr>
                <w:rStyle w:val="Lienhypertexte"/>
                <w:noProof/>
              </w:rPr>
              <w:t>22.35.3a Auvents préfabriqués en béton CCTB 01.04</w:t>
            </w:r>
            <w:r w:rsidR="00FD58BF">
              <w:rPr>
                <w:noProof/>
                <w:webHidden/>
              </w:rPr>
              <w:tab/>
            </w:r>
            <w:r w:rsidR="00FD58BF">
              <w:rPr>
                <w:noProof/>
                <w:webHidden/>
              </w:rPr>
              <w:fldChar w:fldCharType="begin"/>
            </w:r>
            <w:r w:rsidR="00FD58BF">
              <w:rPr>
                <w:noProof/>
                <w:webHidden/>
              </w:rPr>
              <w:instrText xml:space="preserve"> PAGEREF _Toc178838036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2AB51495" w14:textId="23C598F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7" w:history="1">
            <w:r w:rsidR="00FD58BF" w:rsidRPr="003004E5">
              <w:rPr>
                <w:rStyle w:val="Lienhypertexte"/>
                <w:noProof/>
              </w:rPr>
              <w:t>22.35.4 Auvents préfabriqués en béton architectonique CCTB 01.02</w:t>
            </w:r>
            <w:r w:rsidR="00FD58BF">
              <w:rPr>
                <w:noProof/>
                <w:webHidden/>
              </w:rPr>
              <w:tab/>
            </w:r>
            <w:r w:rsidR="00FD58BF">
              <w:rPr>
                <w:noProof/>
                <w:webHidden/>
              </w:rPr>
              <w:fldChar w:fldCharType="begin"/>
            </w:r>
            <w:r w:rsidR="00FD58BF">
              <w:rPr>
                <w:noProof/>
                <w:webHidden/>
              </w:rPr>
              <w:instrText xml:space="preserve"> PAGEREF _Toc178838037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7FE35079" w14:textId="16D6074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8" w:history="1">
            <w:r w:rsidR="00FD58BF" w:rsidRPr="003004E5">
              <w:rPr>
                <w:rStyle w:val="Lienhypertexte"/>
                <w:noProof/>
              </w:rPr>
              <w:t>22.35.4a Auvents préfabriqués en béton décoratif / architectonique CCTB 01.04</w:t>
            </w:r>
            <w:r w:rsidR="00FD58BF">
              <w:rPr>
                <w:noProof/>
                <w:webHidden/>
              </w:rPr>
              <w:tab/>
            </w:r>
            <w:r w:rsidR="00FD58BF">
              <w:rPr>
                <w:noProof/>
                <w:webHidden/>
              </w:rPr>
              <w:fldChar w:fldCharType="begin"/>
            </w:r>
            <w:r w:rsidR="00FD58BF">
              <w:rPr>
                <w:noProof/>
                <w:webHidden/>
              </w:rPr>
              <w:instrText xml:space="preserve"> PAGEREF _Toc178838038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4E932293" w14:textId="37D26CA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39" w:history="1">
            <w:r w:rsidR="00FD58BF" w:rsidRPr="003004E5">
              <w:rPr>
                <w:rStyle w:val="Lienhypertexte"/>
                <w:noProof/>
              </w:rPr>
              <w:t>22.36 Corniches en béton CCTB 01.04</w:t>
            </w:r>
            <w:r w:rsidR="00FD58BF">
              <w:rPr>
                <w:noProof/>
                <w:webHidden/>
              </w:rPr>
              <w:tab/>
            </w:r>
            <w:r w:rsidR="00FD58BF">
              <w:rPr>
                <w:noProof/>
                <w:webHidden/>
              </w:rPr>
              <w:fldChar w:fldCharType="begin"/>
            </w:r>
            <w:r w:rsidR="00FD58BF">
              <w:rPr>
                <w:noProof/>
                <w:webHidden/>
              </w:rPr>
              <w:instrText xml:space="preserve"> PAGEREF _Toc178838039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7DA23B8A" w14:textId="2B1D3CA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0" w:history="1">
            <w:r w:rsidR="00FD58BF" w:rsidRPr="003004E5">
              <w:rPr>
                <w:rStyle w:val="Lienhypertexte"/>
                <w:noProof/>
              </w:rPr>
              <w:t>22.36.1 Corniches en béton coulé en place CCTB 01.04</w:t>
            </w:r>
            <w:r w:rsidR="00FD58BF">
              <w:rPr>
                <w:noProof/>
                <w:webHidden/>
              </w:rPr>
              <w:tab/>
            </w:r>
            <w:r w:rsidR="00FD58BF">
              <w:rPr>
                <w:noProof/>
                <w:webHidden/>
              </w:rPr>
              <w:fldChar w:fldCharType="begin"/>
            </w:r>
            <w:r w:rsidR="00FD58BF">
              <w:rPr>
                <w:noProof/>
                <w:webHidden/>
              </w:rPr>
              <w:instrText xml:space="preserve"> PAGEREF _Toc178838040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53D30AAD" w14:textId="569396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1" w:history="1">
            <w:r w:rsidR="00FD58BF" w:rsidRPr="003004E5">
              <w:rPr>
                <w:rStyle w:val="Lienhypertexte"/>
                <w:noProof/>
              </w:rPr>
              <w:t>22.36.1a Corniches en béton coulé en place CCTB 01.12</w:t>
            </w:r>
            <w:r w:rsidR="00FD58BF">
              <w:rPr>
                <w:noProof/>
                <w:webHidden/>
              </w:rPr>
              <w:tab/>
            </w:r>
            <w:r w:rsidR="00FD58BF">
              <w:rPr>
                <w:noProof/>
                <w:webHidden/>
              </w:rPr>
              <w:fldChar w:fldCharType="begin"/>
            </w:r>
            <w:r w:rsidR="00FD58BF">
              <w:rPr>
                <w:noProof/>
                <w:webHidden/>
              </w:rPr>
              <w:instrText xml:space="preserve"> PAGEREF _Toc178838041 \h </w:instrText>
            </w:r>
            <w:r w:rsidR="00FD58BF">
              <w:rPr>
                <w:noProof/>
                <w:webHidden/>
              </w:rPr>
            </w:r>
            <w:r w:rsidR="00FD58BF">
              <w:rPr>
                <w:noProof/>
                <w:webHidden/>
              </w:rPr>
              <w:fldChar w:fldCharType="separate"/>
            </w:r>
            <w:r w:rsidR="00FD58BF">
              <w:rPr>
                <w:noProof/>
                <w:webHidden/>
              </w:rPr>
              <w:t>670</w:t>
            </w:r>
            <w:r w:rsidR="00FD58BF">
              <w:rPr>
                <w:noProof/>
                <w:webHidden/>
              </w:rPr>
              <w:fldChar w:fldCharType="end"/>
            </w:r>
          </w:hyperlink>
        </w:p>
        <w:p w14:paraId="624D7E44" w14:textId="2FD5671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2" w:history="1">
            <w:r w:rsidR="00FD58BF" w:rsidRPr="003004E5">
              <w:rPr>
                <w:rStyle w:val="Lienhypertexte"/>
                <w:noProof/>
              </w:rPr>
              <w:t>22.36.2 Corniches en béton apparent (esthétique) coulé en place CCTB 01.04</w:t>
            </w:r>
            <w:r w:rsidR="00FD58BF">
              <w:rPr>
                <w:noProof/>
                <w:webHidden/>
              </w:rPr>
              <w:tab/>
            </w:r>
            <w:r w:rsidR="00FD58BF">
              <w:rPr>
                <w:noProof/>
                <w:webHidden/>
              </w:rPr>
              <w:fldChar w:fldCharType="begin"/>
            </w:r>
            <w:r w:rsidR="00FD58BF">
              <w:rPr>
                <w:noProof/>
                <w:webHidden/>
              </w:rPr>
              <w:instrText xml:space="preserve"> PAGEREF _Toc178838042 \h </w:instrText>
            </w:r>
            <w:r w:rsidR="00FD58BF">
              <w:rPr>
                <w:noProof/>
                <w:webHidden/>
              </w:rPr>
            </w:r>
            <w:r w:rsidR="00FD58BF">
              <w:rPr>
                <w:noProof/>
                <w:webHidden/>
              </w:rPr>
              <w:fldChar w:fldCharType="separate"/>
            </w:r>
            <w:r w:rsidR="00FD58BF">
              <w:rPr>
                <w:noProof/>
                <w:webHidden/>
              </w:rPr>
              <w:t>672</w:t>
            </w:r>
            <w:r w:rsidR="00FD58BF">
              <w:rPr>
                <w:noProof/>
                <w:webHidden/>
              </w:rPr>
              <w:fldChar w:fldCharType="end"/>
            </w:r>
          </w:hyperlink>
        </w:p>
        <w:p w14:paraId="51F1D45D" w14:textId="578BED7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3" w:history="1">
            <w:r w:rsidR="00FD58BF" w:rsidRPr="003004E5">
              <w:rPr>
                <w:rStyle w:val="Lienhypertexte"/>
                <w:noProof/>
              </w:rPr>
              <w:t>22.36.2a Corniches en béton apparent (esthétique) coulé en place CCTB 01.12</w:t>
            </w:r>
            <w:r w:rsidR="00FD58BF">
              <w:rPr>
                <w:noProof/>
                <w:webHidden/>
              </w:rPr>
              <w:tab/>
            </w:r>
            <w:r w:rsidR="00FD58BF">
              <w:rPr>
                <w:noProof/>
                <w:webHidden/>
              </w:rPr>
              <w:fldChar w:fldCharType="begin"/>
            </w:r>
            <w:r w:rsidR="00FD58BF">
              <w:rPr>
                <w:noProof/>
                <w:webHidden/>
              </w:rPr>
              <w:instrText xml:space="preserve"> PAGEREF _Toc178838043 \h </w:instrText>
            </w:r>
            <w:r w:rsidR="00FD58BF">
              <w:rPr>
                <w:noProof/>
                <w:webHidden/>
              </w:rPr>
            </w:r>
            <w:r w:rsidR="00FD58BF">
              <w:rPr>
                <w:noProof/>
                <w:webHidden/>
              </w:rPr>
              <w:fldChar w:fldCharType="separate"/>
            </w:r>
            <w:r w:rsidR="00FD58BF">
              <w:rPr>
                <w:noProof/>
                <w:webHidden/>
              </w:rPr>
              <w:t>672</w:t>
            </w:r>
            <w:r w:rsidR="00FD58BF">
              <w:rPr>
                <w:noProof/>
                <w:webHidden/>
              </w:rPr>
              <w:fldChar w:fldCharType="end"/>
            </w:r>
          </w:hyperlink>
        </w:p>
        <w:p w14:paraId="456CCF93" w14:textId="0EBF6A6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4" w:history="1">
            <w:r w:rsidR="00FD58BF" w:rsidRPr="003004E5">
              <w:rPr>
                <w:rStyle w:val="Lienhypertexte"/>
                <w:noProof/>
              </w:rPr>
              <w:t>22.36.3 Corniches préfabriquées en béton CCTB 01.07</w:t>
            </w:r>
            <w:r w:rsidR="00FD58BF">
              <w:rPr>
                <w:noProof/>
                <w:webHidden/>
              </w:rPr>
              <w:tab/>
            </w:r>
            <w:r w:rsidR="00FD58BF">
              <w:rPr>
                <w:noProof/>
                <w:webHidden/>
              </w:rPr>
              <w:fldChar w:fldCharType="begin"/>
            </w:r>
            <w:r w:rsidR="00FD58BF">
              <w:rPr>
                <w:noProof/>
                <w:webHidden/>
              </w:rPr>
              <w:instrText xml:space="preserve"> PAGEREF _Toc178838044 \h </w:instrText>
            </w:r>
            <w:r w:rsidR="00FD58BF">
              <w:rPr>
                <w:noProof/>
                <w:webHidden/>
              </w:rPr>
            </w:r>
            <w:r w:rsidR="00FD58BF">
              <w:rPr>
                <w:noProof/>
                <w:webHidden/>
              </w:rPr>
              <w:fldChar w:fldCharType="separate"/>
            </w:r>
            <w:r w:rsidR="00FD58BF">
              <w:rPr>
                <w:noProof/>
                <w:webHidden/>
              </w:rPr>
              <w:t>674</w:t>
            </w:r>
            <w:r w:rsidR="00FD58BF">
              <w:rPr>
                <w:noProof/>
                <w:webHidden/>
              </w:rPr>
              <w:fldChar w:fldCharType="end"/>
            </w:r>
          </w:hyperlink>
        </w:p>
        <w:p w14:paraId="7A64016E" w14:textId="40B3B58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5" w:history="1">
            <w:r w:rsidR="00FD58BF" w:rsidRPr="003004E5">
              <w:rPr>
                <w:rStyle w:val="Lienhypertexte"/>
                <w:noProof/>
              </w:rPr>
              <w:t>22.36.3a Corniches préfabriquées en béton CCTB 01.11</w:t>
            </w:r>
            <w:r w:rsidR="00FD58BF">
              <w:rPr>
                <w:noProof/>
                <w:webHidden/>
              </w:rPr>
              <w:tab/>
            </w:r>
            <w:r w:rsidR="00FD58BF">
              <w:rPr>
                <w:noProof/>
                <w:webHidden/>
              </w:rPr>
              <w:fldChar w:fldCharType="begin"/>
            </w:r>
            <w:r w:rsidR="00FD58BF">
              <w:rPr>
                <w:noProof/>
                <w:webHidden/>
              </w:rPr>
              <w:instrText xml:space="preserve"> PAGEREF _Toc178838045 \h </w:instrText>
            </w:r>
            <w:r w:rsidR="00FD58BF">
              <w:rPr>
                <w:noProof/>
                <w:webHidden/>
              </w:rPr>
            </w:r>
            <w:r w:rsidR="00FD58BF">
              <w:rPr>
                <w:noProof/>
                <w:webHidden/>
              </w:rPr>
              <w:fldChar w:fldCharType="separate"/>
            </w:r>
            <w:r w:rsidR="00FD58BF">
              <w:rPr>
                <w:noProof/>
                <w:webHidden/>
              </w:rPr>
              <w:t>674</w:t>
            </w:r>
            <w:r w:rsidR="00FD58BF">
              <w:rPr>
                <w:noProof/>
                <w:webHidden/>
              </w:rPr>
              <w:fldChar w:fldCharType="end"/>
            </w:r>
          </w:hyperlink>
        </w:p>
        <w:p w14:paraId="6997E0A7" w14:textId="330DC6C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6" w:history="1">
            <w:r w:rsidR="00FD58BF" w:rsidRPr="003004E5">
              <w:rPr>
                <w:rStyle w:val="Lienhypertexte"/>
                <w:noProof/>
              </w:rPr>
              <w:t>22.36.4 Corniches préfabriquées en béton architectonique CCTB 01.07</w:t>
            </w:r>
            <w:r w:rsidR="00FD58BF">
              <w:rPr>
                <w:noProof/>
                <w:webHidden/>
              </w:rPr>
              <w:tab/>
            </w:r>
            <w:r w:rsidR="00FD58BF">
              <w:rPr>
                <w:noProof/>
                <w:webHidden/>
              </w:rPr>
              <w:fldChar w:fldCharType="begin"/>
            </w:r>
            <w:r w:rsidR="00FD58BF">
              <w:rPr>
                <w:noProof/>
                <w:webHidden/>
              </w:rPr>
              <w:instrText xml:space="preserve"> PAGEREF _Toc178838046 \h </w:instrText>
            </w:r>
            <w:r w:rsidR="00FD58BF">
              <w:rPr>
                <w:noProof/>
                <w:webHidden/>
              </w:rPr>
            </w:r>
            <w:r w:rsidR="00FD58BF">
              <w:rPr>
                <w:noProof/>
                <w:webHidden/>
              </w:rPr>
              <w:fldChar w:fldCharType="separate"/>
            </w:r>
            <w:r w:rsidR="00FD58BF">
              <w:rPr>
                <w:noProof/>
                <w:webHidden/>
              </w:rPr>
              <w:t>676</w:t>
            </w:r>
            <w:r w:rsidR="00FD58BF">
              <w:rPr>
                <w:noProof/>
                <w:webHidden/>
              </w:rPr>
              <w:fldChar w:fldCharType="end"/>
            </w:r>
          </w:hyperlink>
        </w:p>
        <w:p w14:paraId="02926513" w14:textId="1BA0BE4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7" w:history="1">
            <w:r w:rsidR="00FD58BF" w:rsidRPr="003004E5">
              <w:rPr>
                <w:rStyle w:val="Lienhypertexte"/>
                <w:noProof/>
              </w:rPr>
              <w:t>22.36.4a Corniches préfabriquées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_Toc178838047 \h </w:instrText>
            </w:r>
            <w:r w:rsidR="00FD58BF">
              <w:rPr>
                <w:noProof/>
                <w:webHidden/>
              </w:rPr>
            </w:r>
            <w:r w:rsidR="00FD58BF">
              <w:rPr>
                <w:noProof/>
                <w:webHidden/>
              </w:rPr>
              <w:fldChar w:fldCharType="separate"/>
            </w:r>
            <w:r w:rsidR="00FD58BF">
              <w:rPr>
                <w:noProof/>
                <w:webHidden/>
              </w:rPr>
              <w:t>677</w:t>
            </w:r>
            <w:r w:rsidR="00FD58BF">
              <w:rPr>
                <w:noProof/>
                <w:webHidden/>
              </w:rPr>
              <w:fldChar w:fldCharType="end"/>
            </w:r>
          </w:hyperlink>
        </w:p>
        <w:p w14:paraId="453C4DCA" w14:textId="0522D951"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48" w:history="1">
            <w:r w:rsidR="00FD58BF" w:rsidRPr="003004E5">
              <w:rPr>
                <w:rStyle w:val="Lienhypertexte"/>
                <w:noProof/>
              </w:rPr>
              <w:t>22.4 Eléments particuliers pour structures en béton CCTB 01.04</w:t>
            </w:r>
            <w:r w:rsidR="00FD58BF">
              <w:rPr>
                <w:noProof/>
                <w:webHidden/>
              </w:rPr>
              <w:tab/>
            </w:r>
            <w:r w:rsidR="00FD58BF">
              <w:rPr>
                <w:noProof/>
                <w:webHidden/>
              </w:rPr>
              <w:fldChar w:fldCharType="begin"/>
            </w:r>
            <w:r w:rsidR="00FD58BF">
              <w:rPr>
                <w:noProof/>
                <w:webHidden/>
              </w:rPr>
              <w:instrText xml:space="preserve"> PAGEREF _Toc178838048 \h </w:instrText>
            </w:r>
            <w:r w:rsidR="00FD58BF">
              <w:rPr>
                <w:noProof/>
                <w:webHidden/>
              </w:rPr>
            </w:r>
            <w:r w:rsidR="00FD58BF">
              <w:rPr>
                <w:noProof/>
                <w:webHidden/>
              </w:rPr>
              <w:fldChar w:fldCharType="separate"/>
            </w:r>
            <w:r w:rsidR="00FD58BF">
              <w:rPr>
                <w:noProof/>
                <w:webHidden/>
              </w:rPr>
              <w:t>678</w:t>
            </w:r>
            <w:r w:rsidR="00FD58BF">
              <w:rPr>
                <w:noProof/>
                <w:webHidden/>
              </w:rPr>
              <w:fldChar w:fldCharType="end"/>
            </w:r>
          </w:hyperlink>
        </w:p>
        <w:p w14:paraId="35810797" w14:textId="47C3A66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49" w:history="1">
            <w:r w:rsidR="00FD58BF" w:rsidRPr="003004E5">
              <w:rPr>
                <w:rStyle w:val="Lienhypertexte"/>
                <w:noProof/>
              </w:rPr>
              <w:t>22.41 Socles en béton CCTB 01.04</w:t>
            </w:r>
            <w:r w:rsidR="00FD58BF">
              <w:rPr>
                <w:noProof/>
                <w:webHidden/>
              </w:rPr>
              <w:tab/>
            </w:r>
            <w:r w:rsidR="00FD58BF">
              <w:rPr>
                <w:noProof/>
                <w:webHidden/>
              </w:rPr>
              <w:fldChar w:fldCharType="begin"/>
            </w:r>
            <w:r w:rsidR="00FD58BF">
              <w:rPr>
                <w:noProof/>
                <w:webHidden/>
              </w:rPr>
              <w:instrText xml:space="preserve"> PAGEREF _Toc178838049 \h </w:instrText>
            </w:r>
            <w:r w:rsidR="00FD58BF">
              <w:rPr>
                <w:noProof/>
                <w:webHidden/>
              </w:rPr>
            </w:r>
            <w:r w:rsidR="00FD58BF">
              <w:rPr>
                <w:noProof/>
                <w:webHidden/>
              </w:rPr>
              <w:fldChar w:fldCharType="separate"/>
            </w:r>
            <w:r w:rsidR="00FD58BF">
              <w:rPr>
                <w:noProof/>
                <w:webHidden/>
              </w:rPr>
              <w:t>678</w:t>
            </w:r>
            <w:r w:rsidR="00FD58BF">
              <w:rPr>
                <w:noProof/>
                <w:webHidden/>
              </w:rPr>
              <w:fldChar w:fldCharType="end"/>
            </w:r>
          </w:hyperlink>
        </w:p>
        <w:p w14:paraId="320D0818" w14:textId="769DFB8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0" w:history="1">
            <w:r w:rsidR="00FD58BF" w:rsidRPr="003004E5">
              <w:rPr>
                <w:rStyle w:val="Lienhypertexte"/>
                <w:noProof/>
              </w:rPr>
              <w:t>22.41.1 Socles en béton coulé en place CCTB 01.11</w:t>
            </w:r>
            <w:r w:rsidR="00FD58BF">
              <w:rPr>
                <w:noProof/>
                <w:webHidden/>
              </w:rPr>
              <w:tab/>
            </w:r>
            <w:r w:rsidR="00FD58BF">
              <w:rPr>
                <w:noProof/>
                <w:webHidden/>
              </w:rPr>
              <w:fldChar w:fldCharType="begin"/>
            </w:r>
            <w:r w:rsidR="00FD58BF">
              <w:rPr>
                <w:noProof/>
                <w:webHidden/>
              </w:rPr>
              <w:instrText xml:space="preserve"> PAGEREF _Toc178838050 \h </w:instrText>
            </w:r>
            <w:r w:rsidR="00FD58BF">
              <w:rPr>
                <w:noProof/>
                <w:webHidden/>
              </w:rPr>
            </w:r>
            <w:r w:rsidR="00FD58BF">
              <w:rPr>
                <w:noProof/>
                <w:webHidden/>
              </w:rPr>
              <w:fldChar w:fldCharType="separate"/>
            </w:r>
            <w:r w:rsidR="00FD58BF">
              <w:rPr>
                <w:noProof/>
                <w:webHidden/>
              </w:rPr>
              <w:t>678</w:t>
            </w:r>
            <w:r w:rsidR="00FD58BF">
              <w:rPr>
                <w:noProof/>
                <w:webHidden/>
              </w:rPr>
              <w:fldChar w:fldCharType="end"/>
            </w:r>
          </w:hyperlink>
        </w:p>
        <w:p w14:paraId="38FC4B33" w14:textId="5AF5676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1" w:history="1">
            <w:r w:rsidR="00FD58BF" w:rsidRPr="003004E5">
              <w:rPr>
                <w:rStyle w:val="Lienhypertexte"/>
                <w:noProof/>
              </w:rPr>
              <w:t>22.41.1a Socles en béton coulé en place CCTB 01.12</w:t>
            </w:r>
            <w:r w:rsidR="00FD58BF">
              <w:rPr>
                <w:noProof/>
                <w:webHidden/>
              </w:rPr>
              <w:tab/>
            </w:r>
            <w:r w:rsidR="00FD58BF">
              <w:rPr>
                <w:noProof/>
                <w:webHidden/>
              </w:rPr>
              <w:fldChar w:fldCharType="begin"/>
            </w:r>
            <w:r w:rsidR="00FD58BF">
              <w:rPr>
                <w:noProof/>
                <w:webHidden/>
              </w:rPr>
              <w:instrText xml:space="preserve"> PAGEREF _Toc178838051 \h </w:instrText>
            </w:r>
            <w:r w:rsidR="00FD58BF">
              <w:rPr>
                <w:noProof/>
                <w:webHidden/>
              </w:rPr>
            </w:r>
            <w:r w:rsidR="00FD58BF">
              <w:rPr>
                <w:noProof/>
                <w:webHidden/>
              </w:rPr>
              <w:fldChar w:fldCharType="separate"/>
            </w:r>
            <w:r w:rsidR="00FD58BF">
              <w:rPr>
                <w:noProof/>
                <w:webHidden/>
              </w:rPr>
              <w:t>679</w:t>
            </w:r>
            <w:r w:rsidR="00FD58BF">
              <w:rPr>
                <w:noProof/>
                <w:webHidden/>
              </w:rPr>
              <w:fldChar w:fldCharType="end"/>
            </w:r>
          </w:hyperlink>
        </w:p>
        <w:p w14:paraId="41DDAC22" w14:textId="002EC16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2" w:history="1">
            <w:r w:rsidR="00FD58BF" w:rsidRPr="003004E5">
              <w:rPr>
                <w:rStyle w:val="Lienhypertexte"/>
                <w:noProof/>
              </w:rPr>
              <w:t>22.41.2 Socles préfabriqués en béton CCTB 01.02</w:t>
            </w:r>
            <w:r w:rsidR="00FD58BF">
              <w:rPr>
                <w:noProof/>
                <w:webHidden/>
              </w:rPr>
              <w:tab/>
            </w:r>
            <w:r w:rsidR="00FD58BF">
              <w:rPr>
                <w:noProof/>
                <w:webHidden/>
              </w:rPr>
              <w:fldChar w:fldCharType="begin"/>
            </w:r>
            <w:r w:rsidR="00FD58BF">
              <w:rPr>
                <w:noProof/>
                <w:webHidden/>
              </w:rPr>
              <w:instrText xml:space="preserve"> PAGEREF _Toc178838052 \h </w:instrText>
            </w:r>
            <w:r w:rsidR="00FD58BF">
              <w:rPr>
                <w:noProof/>
                <w:webHidden/>
              </w:rPr>
            </w:r>
            <w:r w:rsidR="00FD58BF">
              <w:rPr>
                <w:noProof/>
                <w:webHidden/>
              </w:rPr>
              <w:fldChar w:fldCharType="separate"/>
            </w:r>
            <w:r w:rsidR="00FD58BF">
              <w:rPr>
                <w:noProof/>
                <w:webHidden/>
              </w:rPr>
              <w:t>680</w:t>
            </w:r>
            <w:r w:rsidR="00FD58BF">
              <w:rPr>
                <w:noProof/>
                <w:webHidden/>
              </w:rPr>
              <w:fldChar w:fldCharType="end"/>
            </w:r>
          </w:hyperlink>
        </w:p>
        <w:p w14:paraId="70216E90" w14:textId="5CCFC1F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3" w:history="1">
            <w:r w:rsidR="00FD58BF" w:rsidRPr="003004E5">
              <w:rPr>
                <w:rStyle w:val="Lienhypertexte"/>
                <w:noProof/>
              </w:rPr>
              <w:t>22.41.2a Socles préfabriqués en béton CCTB 01.02</w:t>
            </w:r>
            <w:r w:rsidR="00FD58BF">
              <w:rPr>
                <w:noProof/>
                <w:webHidden/>
              </w:rPr>
              <w:tab/>
            </w:r>
            <w:r w:rsidR="00FD58BF">
              <w:rPr>
                <w:noProof/>
                <w:webHidden/>
              </w:rPr>
              <w:fldChar w:fldCharType="begin"/>
            </w:r>
            <w:r w:rsidR="00FD58BF">
              <w:rPr>
                <w:noProof/>
                <w:webHidden/>
              </w:rPr>
              <w:instrText xml:space="preserve"> PAGEREF _Toc178838053 \h </w:instrText>
            </w:r>
            <w:r w:rsidR="00FD58BF">
              <w:rPr>
                <w:noProof/>
                <w:webHidden/>
              </w:rPr>
            </w:r>
            <w:r w:rsidR="00FD58BF">
              <w:rPr>
                <w:noProof/>
                <w:webHidden/>
              </w:rPr>
              <w:fldChar w:fldCharType="separate"/>
            </w:r>
            <w:r w:rsidR="00FD58BF">
              <w:rPr>
                <w:noProof/>
                <w:webHidden/>
              </w:rPr>
              <w:t>680</w:t>
            </w:r>
            <w:r w:rsidR="00FD58BF">
              <w:rPr>
                <w:noProof/>
                <w:webHidden/>
              </w:rPr>
              <w:fldChar w:fldCharType="end"/>
            </w:r>
          </w:hyperlink>
        </w:p>
        <w:p w14:paraId="4D9B7ED3" w14:textId="5CCFDC1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54" w:history="1">
            <w:r w:rsidR="00FD58BF" w:rsidRPr="003004E5">
              <w:rPr>
                <w:rStyle w:val="Lienhypertexte"/>
                <w:noProof/>
              </w:rPr>
              <w:t>22.42 Pièces d'appui en béton CCTB 01.04</w:t>
            </w:r>
            <w:r w:rsidR="00FD58BF">
              <w:rPr>
                <w:noProof/>
                <w:webHidden/>
              </w:rPr>
              <w:tab/>
            </w:r>
            <w:r w:rsidR="00FD58BF">
              <w:rPr>
                <w:noProof/>
                <w:webHidden/>
              </w:rPr>
              <w:fldChar w:fldCharType="begin"/>
            </w:r>
            <w:r w:rsidR="00FD58BF">
              <w:rPr>
                <w:noProof/>
                <w:webHidden/>
              </w:rPr>
              <w:instrText xml:space="preserve"> PAGEREF _Toc178838054 \h </w:instrText>
            </w:r>
            <w:r w:rsidR="00FD58BF">
              <w:rPr>
                <w:noProof/>
                <w:webHidden/>
              </w:rPr>
            </w:r>
            <w:r w:rsidR="00FD58BF">
              <w:rPr>
                <w:noProof/>
                <w:webHidden/>
              </w:rPr>
              <w:fldChar w:fldCharType="separate"/>
            </w:r>
            <w:r w:rsidR="00FD58BF">
              <w:rPr>
                <w:noProof/>
                <w:webHidden/>
              </w:rPr>
              <w:t>680</w:t>
            </w:r>
            <w:r w:rsidR="00FD58BF">
              <w:rPr>
                <w:noProof/>
                <w:webHidden/>
              </w:rPr>
              <w:fldChar w:fldCharType="end"/>
            </w:r>
          </w:hyperlink>
        </w:p>
        <w:p w14:paraId="615D4FDF" w14:textId="7633DB9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5" w:history="1">
            <w:r w:rsidR="00FD58BF" w:rsidRPr="003004E5">
              <w:rPr>
                <w:rStyle w:val="Lienhypertexte"/>
                <w:noProof/>
              </w:rPr>
              <w:t>22.42.1 Pièces d'appui en béton coulé en place CCTB 01.12</w:t>
            </w:r>
            <w:r w:rsidR="00FD58BF">
              <w:rPr>
                <w:noProof/>
                <w:webHidden/>
              </w:rPr>
              <w:tab/>
            </w:r>
            <w:r w:rsidR="00FD58BF">
              <w:rPr>
                <w:noProof/>
                <w:webHidden/>
              </w:rPr>
              <w:fldChar w:fldCharType="begin"/>
            </w:r>
            <w:r w:rsidR="00FD58BF">
              <w:rPr>
                <w:noProof/>
                <w:webHidden/>
              </w:rPr>
              <w:instrText xml:space="preserve"> PAGEREF _Toc178838055 \h </w:instrText>
            </w:r>
            <w:r w:rsidR="00FD58BF">
              <w:rPr>
                <w:noProof/>
                <w:webHidden/>
              </w:rPr>
            </w:r>
            <w:r w:rsidR="00FD58BF">
              <w:rPr>
                <w:noProof/>
                <w:webHidden/>
              </w:rPr>
              <w:fldChar w:fldCharType="separate"/>
            </w:r>
            <w:r w:rsidR="00FD58BF">
              <w:rPr>
                <w:noProof/>
                <w:webHidden/>
              </w:rPr>
              <w:t>680</w:t>
            </w:r>
            <w:r w:rsidR="00FD58BF">
              <w:rPr>
                <w:noProof/>
                <w:webHidden/>
              </w:rPr>
              <w:fldChar w:fldCharType="end"/>
            </w:r>
          </w:hyperlink>
        </w:p>
        <w:p w14:paraId="53CE1B71" w14:textId="4D97695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6" w:history="1">
            <w:r w:rsidR="00FD58BF" w:rsidRPr="003004E5">
              <w:rPr>
                <w:rStyle w:val="Lienhypertexte"/>
                <w:noProof/>
              </w:rPr>
              <w:t>22.42.1a Asselets en béton coulé en place CCTB 01.11</w:t>
            </w:r>
            <w:r w:rsidR="00FD58BF">
              <w:rPr>
                <w:noProof/>
                <w:webHidden/>
              </w:rPr>
              <w:tab/>
            </w:r>
            <w:r w:rsidR="00FD58BF">
              <w:rPr>
                <w:noProof/>
                <w:webHidden/>
              </w:rPr>
              <w:fldChar w:fldCharType="begin"/>
            </w:r>
            <w:r w:rsidR="00FD58BF">
              <w:rPr>
                <w:noProof/>
                <w:webHidden/>
              </w:rPr>
              <w:instrText xml:space="preserve"> PAGEREF _Toc178838056 \h </w:instrText>
            </w:r>
            <w:r w:rsidR="00FD58BF">
              <w:rPr>
                <w:noProof/>
                <w:webHidden/>
              </w:rPr>
            </w:r>
            <w:r w:rsidR="00FD58BF">
              <w:rPr>
                <w:noProof/>
                <w:webHidden/>
              </w:rPr>
              <w:fldChar w:fldCharType="separate"/>
            </w:r>
            <w:r w:rsidR="00FD58BF">
              <w:rPr>
                <w:noProof/>
                <w:webHidden/>
              </w:rPr>
              <w:t>682</w:t>
            </w:r>
            <w:r w:rsidR="00FD58BF">
              <w:rPr>
                <w:noProof/>
                <w:webHidden/>
              </w:rPr>
              <w:fldChar w:fldCharType="end"/>
            </w:r>
          </w:hyperlink>
        </w:p>
        <w:p w14:paraId="24FF9A70" w14:textId="652DA07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7" w:history="1">
            <w:r w:rsidR="00FD58BF" w:rsidRPr="003004E5">
              <w:rPr>
                <w:rStyle w:val="Lienhypertexte"/>
                <w:noProof/>
              </w:rPr>
              <w:t>22.42.1b Consoles et supports en béton coulé en place CCTB 01.04</w:t>
            </w:r>
            <w:r w:rsidR="00FD58BF">
              <w:rPr>
                <w:noProof/>
                <w:webHidden/>
              </w:rPr>
              <w:tab/>
            </w:r>
            <w:r w:rsidR="00FD58BF">
              <w:rPr>
                <w:noProof/>
                <w:webHidden/>
              </w:rPr>
              <w:fldChar w:fldCharType="begin"/>
            </w:r>
            <w:r w:rsidR="00FD58BF">
              <w:rPr>
                <w:noProof/>
                <w:webHidden/>
              </w:rPr>
              <w:instrText xml:space="preserve"> PAGEREF _Toc178838057 \h </w:instrText>
            </w:r>
            <w:r w:rsidR="00FD58BF">
              <w:rPr>
                <w:noProof/>
                <w:webHidden/>
              </w:rPr>
            </w:r>
            <w:r w:rsidR="00FD58BF">
              <w:rPr>
                <w:noProof/>
                <w:webHidden/>
              </w:rPr>
              <w:fldChar w:fldCharType="separate"/>
            </w:r>
            <w:r w:rsidR="00FD58BF">
              <w:rPr>
                <w:noProof/>
                <w:webHidden/>
              </w:rPr>
              <w:t>682</w:t>
            </w:r>
            <w:r w:rsidR="00FD58BF">
              <w:rPr>
                <w:noProof/>
                <w:webHidden/>
              </w:rPr>
              <w:fldChar w:fldCharType="end"/>
            </w:r>
          </w:hyperlink>
        </w:p>
        <w:p w14:paraId="7CD49319" w14:textId="1FA40F8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8" w:history="1">
            <w:r w:rsidR="00FD58BF" w:rsidRPr="003004E5">
              <w:rPr>
                <w:rStyle w:val="Lienhypertexte"/>
                <w:noProof/>
              </w:rPr>
              <w:t>22.42.2 Pièces d'appui préfabriquées en béton CCTB 01.04</w:t>
            </w:r>
            <w:r w:rsidR="00FD58BF">
              <w:rPr>
                <w:noProof/>
                <w:webHidden/>
              </w:rPr>
              <w:tab/>
            </w:r>
            <w:r w:rsidR="00FD58BF">
              <w:rPr>
                <w:noProof/>
                <w:webHidden/>
              </w:rPr>
              <w:fldChar w:fldCharType="begin"/>
            </w:r>
            <w:r w:rsidR="00FD58BF">
              <w:rPr>
                <w:noProof/>
                <w:webHidden/>
              </w:rPr>
              <w:instrText xml:space="preserve"> PAGEREF _Toc178838058 \h </w:instrText>
            </w:r>
            <w:r w:rsidR="00FD58BF">
              <w:rPr>
                <w:noProof/>
                <w:webHidden/>
              </w:rPr>
            </w:r>
            <w:r w:rsidR="00FD58BF">
              <w:rPr>
                <w:noProof/>
                <w:webHidden/>
              </w:rPr>
              <w:fldChar w:fldCharType="separate"/>
            </w:r>
            <w:r w:rsidR="00FD58BF">
              <w:rPr>
                <w:noProof/>
                <w:webHidden/>
              </w:rPr>
              <w:t>682</w:t>
            </w:r>
            <w:r w:rsidR="00FD58BF">
              <w:rPr>
                <w:noProof/>
                <w:webHidden/>
              </w:rPr>
              <w:fldChar w:fldCharType="end"/>
            </w:r>
          </w:hyperlink>
        </w:p>
        <w:p w14:paraId="021C332D" w14:textId="102EA37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9" w:history="1">
            <w:r w:rsidR="00FD58BF" w:rsidRPr="003004E5">
              <w:rPr>
                <w:rStyle w:val="Lienhypertexte"/>
                <w:noProof/>
              </w:rPr>
              <w:t>22.42.2a Consoles préfabriquées en béton CCTB 01.11</w:t>
            </w:r>
            <w:r w:rsidR="00FD58BF">
              <w:rPr>
                <w:noProof/>
                <w:webHidden/>
              </w:rPr>
              <w:tab/>
            </w:r>
            <w:r w:rsidR="00FD58BF">
              <w:rPr>
                <w:noProof/>
                <w:webHidden/>
              </w:rPr>
              <w:fldChar w:fldCharType="begin"/>
            </w:r>
            <w:r w:rsidR="00FD58BF">
              <w:rPr>
                <w:noProof/>
                <w:webHidden/>
              </w:rPr>
              <w:instrText xml:space="preserve"> PAGEREF _Toc178838059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0EE3FA07" w14:textId="45D2BBD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0" w:history="1">
            <w:r w:rsidR="00FD58BF" w:rsidRPr="003004E5">
              <w:rPr>
                <w:rStyle w:val="Lienhypertexte"/>
                <w:noProof/>
              </w:rPr>
              <w:t>22.43 Pièces d'appui autres qu'en béton CCTB 01.04</w:t>
            </w:r>
            <w:r w:rsidR="00FD58BF">
              <w:rPr>
                <w:noProof/>
                <w:webHidden/>
              </w:rPr>
              <w:tab/>
            </w:r>
            <w:r w:rsidR="00FD58BF">
              <w:rPr>
                <w:noProof/>
                <w:webHidden/>
              </w:rPr>
              <w:fldChar w:fldCharType="begin"/>
            </w:r>
            <w:r w:rsidR="00FD58BF">
              <w:rPr>
                <w:noProof/>
                <w:webHidden/>
              </w:rPr>
              <w:instrText xml:space="preserve"> PAGEREF _Toc178838060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5AFB8642" w14:textId="474A340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1" w:history="1">
            <w:r w:rsidR="00FD58BF" w:rsidRPr="003004E5">
              <w:rPr>
                <w:rStyle w:val="Lienhypertexte"/>
                <w:noProof/>
              </w:rPr>
              <w:t>22.43.1 Pièces d'appui en matière synthétique CCTB 01.04</w:t>
            </w:r>
            <w:r w:rsidR="00FD58BF">
              <w:rPr>
                <w:noProof/>
                <w:webHidden/>
              </w:rPr>
              <w:tab/>
            </w:r>
            <w:r w:rsidR="00FD58BF">
              <w:rPr>
                <w:noProof/>
                <w:webHidden/>
              </w:rPr>
              <w:fldChar w:fldCharType="begin"/>
            </w:r>
            <w:r w:rsidR="00FD58BF">
              <w:rPr>
                <w:noProof/>
                <w:webHidden/>
              </w:rPr>
              <w:instrText xml:space="preserve"> PAGEREF _Toc178838061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7E5A66CB" w14:textId="646323D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2" w:history="1">
            <w:r w:rsidR="00FD58BF" w:rsidRPr="003004E5">
              <w:rPr>
                <w:rStyle w:val="Lienhypertexte"/>
                <w:noProof/>
              </w:rPr>
              <w:t>22.43.1a Pièces d'appui en néoprène CCTB 01.04</w:t>
            </w:r>
            <w:r w:rsidR="00FD58BF">
              <w:rPr>
                <w:noProof/>
                <w:webHidden/>
              </w:rPr>
              <w:tab/>
            </w:r>
            <w:r w:rsidR="00FD58BF">
              <w:rPr>
                <w:noProof/>
                <w:webHidden/>
              </w:rPr>
              <w:fldChar w:fldCharType="begin"/>
            </w:r>
            <w:r w:rsidR="00FD58BF">
              <w:rPr>
                <w:noProof/>
                <w:webHidden/>
              </w:rPr>
              <w:instrText xml:space="preserve"> PAGEREF _Toc178838062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6D266B43" w14:textId="58F8E61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3" w:history="1">
            <w:r w:rsidR="00FD58BF" w:rsidRPr="003004E5">
              <w:rPr>
                <w:rStyle w:val="Lienhypertexte"/>
                <w:noProof/>
              </w:rPr>
              <w:t>22.44 Ancrages de structure en béton CCTB 01.04</w:t>
            </w:r>
            <w:r w:rsidR="00FD58BF">
              <w:rPr>
                <w:noProof/>
                <w:webHidden/>
              </w:rPr>
              <w:tab/>
            </w:r>
            <w:r w:rsidR="00FD58BF">
              <w:rPr>
                <w:noProof/>
                <w:webHidden/>
              </w:rPr>
              <w:fldChar w:fldCharType="begin"/>
            </w:r>
            <w:r w:rsidR="00FD58BF">
              <w:rPr>
                <w:noProof/>
                <w:webHidden/>
              </w:rPr>
              <w:instrText xml:space="preserve"> PAGEREF _Toc178838063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75EDCA5E" w14:textId="4FC6B0A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4" w:history="1">
            <w:r w:rsidR="00FD58BF" w:rsidRPr="003004E5">
              <w:rPr>
                <w:rStyle w:val="Lienhypertexte"/>
                <w:noProof/>
              </w:rPr>
              <w:t>22.44.1 Ancrages métalliques de structures en béton CCTB 01.04</w:t>
            </w:r>
            <w:r w:rsidR="00FD58BF">
              <w:rPr>
                <w:noProof/>
                <w:webHidden/>
              </w:rPr>
              <w:tab/>
            </w:r>
            <w:r w:rsidR="00FD58BF">
              <w:rPr>
                <w:noProof/>
                <w:webHidden/>
              </w:rPr>
              <w:fldChar w:fldCharType="begin"/>
            </w:r>
            <w:r w:rsidR="00FD58BF">
              <w:rPr>
                <w:noProof/>
                <w:webHidden/>
              </w:rPr>
              <w:instrText xml:space="preserve"> PAGEREF _Toc178838064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3E79810B" w14:textId="0822C27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5" w:history="1">
            <w:r w:rsidR="00FD58BF" w:rsidRPr="003004E5">
              <w:rPr>
                <w:rStyle w:val="Lienhypertexte"/>
                <w:noProof/>
              </w:rPr>
              <w:t>22.44.1a Ancrages métalliques de structures en béton CCTB 01.04</w:t>
            </w:r>
            <w:r w:rsidR="00FD58BF">
              <w:rPr>
                <w:noProof/>
                <w:webHidden/>
              </w:rPr>
              <w:tab/>
            </w:r>
            <w:r w:rsidR="00FD58BF">
              <w:rPr>
                <w:noProof/>
                <w:webHidden/>
              </w:rPr>
              <w:fldChar w:fldCharType="begin"/>
            </w:r>
            <w:r w:rsidR="00FD58BF">
              <w:rPr>
                <w:noProof/>
                <w:webHidden/>
              </w:rPr>
              <w:instrText xml:space="preserve"> PAGEREF _Toc178838065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56585770" w14:textId="7D5D4C2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6" w:history="1">
            <w:r w:rsidR="00FD58BF" w:rsidRPr="003004E5">
              <w:rPr>
                <w:rStyle w:val="Lienhypertexte"/>
                <w:noProof/>
              </w:rPr>
              <w:t>22.45 Contreventements de structures en béton CCTB 01.04</w:t>
            </w:r>
            <w:r w:rsidR="00FD58BF">
              <w:rPr>
                <w:noProof/>
                <w:webHidden/>
              </w:rPr>
              <w:tab/>
            </w:r>
            <w:r w:rsidR="00FD58BF">
              <w:rPr>
                <w:noProof/>
                <w:webHidden/>
              </w:rPr>
              <w:fldChar w:fldCharType="begin"/>
            </w:r>
            <w:r w:rsidR="00FD58BF">
              <w:rPr>
                <w:noProof/>
                <w:webHidden/>
              </w:rPr>
              <w:instrText xml:space="preserve"> PAGEREF _Toc178838066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161F58BA" w14:textId="0853D03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7" w:history="1">
            <w:r w:rsidR="00FD58BF" w:rsidRPr="003004E5">
              <w:rPr>
                <w:rStyle w:val="Lienhypertexte"/>
                <w:noProof/>
              </w:rPr>
              <w:t>22.45.1 Contreventements en acier CCTB 01.02</w:t>
            </w:r>
            <w:r w:rsidR="00FD58BF">
              <w:rPr>
                <w:noProof/>
                <w:webHidden/>
              </w:rPr>
              <w:tab/>
            </w:r>
            <w:r w:rsidR="00FD58BF">
              <w:rPr>
                <w:noProof/>
                <w:webHidden/>
              </w:rPr>
              <w:fldChar w:fldCharType="begin"/>
            </w:r>
            <w:r w:rsidR="00FD58BF">
              <w:rPr>
                <w:noProof/>
                <w:webHidden/>
              </w:rPr>
              <w:instrText xml:space="preserve"> PAGEREF _Toc178838067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4B9BA6C5" w14:textId="4AC5E7C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8" w:history="1">
            <w:r w:rsidR="00FD58BF" w:rsidRPr="003004E5">
              <w:rPr>
                <w:rStyle w:val="Lienhypertexte"/>
                <w:noProof/>
              </w:rPr>
              <w:t>22.45.1a Contreventements par câbles en acier CCTB 01.04</w:t>
            </w:r>
            <w:r w:rsidR="00FD58BF">
              <w:rPr>
                <w:noProof/>
                <w:webHidden/>
              </w:rPr>
              <w:tab/>
            </w:r>
            <w:r w:rsidR="00FD58BF">
              <w:rPr>
                <w:noProof/>
                <w:webHidden/>
              </w:rPr>
              <w:fldChar w:fldCharType="begin"/>
            </w:r>
            <w:r w:rsidR="00FD58BF">
              <w:rPr>
                <w:noProof/>
                <w:webHidden/>
              </w:rPr>
              <w:instrText xml:space="preserve"> PAGEREF _Toc178838068 \h </w:instrText>
            </w:r>
            <w:r w:rsidR="00FD58BF">
              <w:rPr>
                <w:noProof/>
                <w:webHidden/>
              </w:rPr>
            </w:r>
            <w:r w:rsidR="00FD58BF">
              <w:rPr>
                <w:noProof/>
                <w:webHidden/>
              </w:rPr>
              <w:fldChar w:fldCharType="separate"/>
            </w:r>
            <w:r w:rsidR="00FD58BF">
              <w:rPr>
                <w:noProof/>
                <w:webHidden/>
              </w:rPr>
              <w:t>683</w:t>
            </w:r>
            <w:r w:rsidR="00FD58BF">
              <w:rPr>
                <w:noProof/>
                <w:webHidden/>
              </w:rPr>
              <w:fldChar w:fldCharType="end"/>
            </w:r>
          </w:hyperlink>
        </w:p>
        <w:p w14:paraId="2D59AD2F" w14:textId="262B6CB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9" w:history="1">
            <w:r w:rsidR="00FD58BF" w:rsidRPr="003004E5">
              <w:rPr>
                <w:rStyle w:val="Lienhypertexte"/>
                <w:noProof/>
              </w:rPr>
              <w:t>22.45.1b Contreventements par barres en acier CCTB 01.04</w:t>
            </w:r>
            <w:r w:rsidR="00FD58BF">
              <w:rPr>
                <w:noProof/>
                <w:webHidden/>
              </w:rPr>
              <w:tab/>
            </w:r>
            <w:r w:rsidR="00FD58BF">
              <w:rPr>
                <w:noProof/>
                <w:webHidden/>
              </w:rPr>
              <w:fldChar w:fldCharType="begin"/>
            </w:r>
            <w:r w:rsidR="00FD58BF">
              <w:rPr>
                <w:noProof/>
                <w:webHidden/>
              </w:rPr>
              <w:instrText xml:space="preserve"> PAGEREF _Toc178838069 \h </w:instrText>
            </w:r>
            <w:r w:rsidR="00FD58BF">
              <w:rPr>
                <w:noProof/>
                <w:webHidden/>
              </w:rPr>
            </w:r>
            <w:r w:rsidR="00FD58BF">
              <w:rPr>
                <w:noProof/>
                <w:webHidden/>
              </w:rPr>
              <w:fldChar w:fldCharType="separate"/>
            </w:r>
            <w:r w:rsidR="00FD58BF">
              <w:rPr>
                <w:noProof/>
                <w:webHidden/>
              </w:rPr>
              <w:t>684</w:t>
            </w:r>
            <w:r w:rsidR="00FD58BF">
              <w:rPr>
                <w:noProof/>
                <w:webHidden/>
              </w:rPr>
              <w:fldChar w:fldCharType="end"/>
            </w:r>
          </w:hyperlink>
        </w:p>
        <w:p w14:paraId="6455A0D7" w14:textId="77C4DB1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70" w:history="1">
            <w:r w:rsidR="00FD58BF" w:rsidRPr="003004E5">
              <w:rPr>
                <w:rStyle w:val="Lienhypertexte"/>
                <w:noProof/>
              </w:rPr>
              <w:t>22.46 Eléments de soutènement en béton CCTB 01.11</w:t>
            </w:r>
            <w:r w:rsidR="00FD58BF">
              <w:rPr>
                <w:noProof/>
                <w:webHidden/>
              </w:rPr>
              <w:tab/>
            </w:r>
            <w:r w:rsidR="00FD58BF">
              <w:rPr>
                <w:noProof/>
                <w:webHidden/>
              </w:rPr>
              <w:fldChar w:fldCharType="begin"/>
            </w:r>
            <w:r w:rsidR="00FD58BF">
              <w:rPr>
                <w:noProof/>
                <w:webHidden/>
              </w:rPr>
              <w:instrText xml:space="preserve"> PAGEREF _Toc178838070 \h </w:instrText>
            </w:r>
            <w:r w:rsidR="00FD58BF">
              <w:rPr>
                <w:noProof/>
                <w:webHidden/>
              </w:rPr>
            </w:r>
            <w:r w:rsidR="00FD58BF">
              <w:rPr>
                <w:noProof/>
                <w:webHidden/>
              </w:rPr>
              <w:fldChar w:fldCharType="separate"/>
            </w:r>
            <w:r w:rsidR="00FD58BF">
              <w:rPr>
                <w:noProof/>
                <w:webHidden/>
              </w:rPr>
              <w:t>684</w:t>
            </w:r>
            <w:r w:rsidR="00FD58BF">
              <w:rPr>
                <w:noProof/>
                <w:webHidden/>
              </w:rPr>
              <w:fldChar w:fldCharType="end"/>
            </w:r>
          </w:hyperlink>
        </w:p>
        <w:p w14:paraId="44083DDC" w14:textId="47BF44A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1" w:history="1">
            <w:r w:rsidR="00FD58BF" w:rsidRPr="003004E5">
              <w:rPr>
                <w:rStyle w:val="Lienhypertexte"/>
                <w:noProof/>
              </w:rPr>
              <w:t>22.46.1 Eléments de soutènement en béton coulé en place CCTB 01.04</w:t>
            </w:r>
            <w:r w:rsidR="00FD58BF">
              <w:rPr>
                <w:noProof/>
                <w:webHidden/>
              </w:rPr>
              <w:tab/>
            </w:r>
            <w:r w:rsidR="00FD58BF">
              <w:rPr>
                <w:noProof/>
                <w:webHidden/>
              </w:rPr>
              <w:fldChar w:fldCharType="begin"/>
            </w:r>
            <w:r w:rsidR="00FD58BF">
              <w:rPr>
                <w:noProof/>
                <w:webHidden/>
              </w:rPr>
              <w:instrText xml:space="preserve"> PAGEREF _Toc178838071 \h </w:instrText>
            </w:r>
            <w:r w:rsidR="00FD58BF">
              <w:rPr>
                <w:noProof/>
                <w:webHidden/>
              </w:rPr>
            </w:r>
            <w:r w:rsidR="00FD58BF">
              <w:rPr>
                <w:noProof/>
                <w:webHidden/>
              </w:rPr>
              <w:fldChar w:fldCharType="separate"/>
            </w:r>
            <w:r w:rsidR="00FD58BF">
              <w:rPr>
                <w:noProof/>
                <w:webHidden/>
              </w:rPr>
              <w:t>684</w:t>
            </w:r>
            <w:r w:rsidR="00FD58BF">
              <w:rPr>
                <w:noProof/>
                <w:webHidden/>
              </w:rPr>
              <w:fldChar w:fldCharType="end"/>
            </w:r>
          </w:hyperlink>
        </w:p>
        <w:p w14:paraId="0B39EE07" w14:textId="70A9AF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2" w:history="1">
            <w:r w:rsidR="00FD58BF" w:rsidRPr="003004E5">
              <w:rPr>
                <w:rStyle w:val="Lienhypertexte"/>
                <w:noProof/>
              </w:rPr>
              <w:t>22.46.1a Eléments de soutènement en L en béton coulé en place CCTB 01.04</w:t>
            </w:r>
            <w:r w:rsidR="00FD58BF">
              <w:rPr>
                <w:noProof/>
                <w:webHidden/>
              </w:rPr>
              <w:tab/>
            </w:r>
            <w:r w:rsidR="00FD58BF">
              <w:rPr>
                <w:noProof/>
                <w:webHidden/>
              </w:rPr>
              <w:fldChar w:fldCharType="begin"/>
            </w:r>
            <w:r w:rsidR="00FD58BF">
              <w:rPr>
                <w:noProof/>
                <w:webHidden/>
              </w:rPr>
              <w:instrText xml:space="preserve"> PAGEREF _Toc178838072 \h </w:instrText>
            </w:r>
            <w:r w:rsidR="00FD58BF">
              <w:rPr>
                <w:noProof/>
                <w:webHidden/>
              </w:rPr>
            </w:r>
            <w:r w:rsidR="00FD58BF">
              <w:rPr>
                <w:noProof/>
                <w:webHidden/>
              </w:rPr>
              <w:fldChar w:fldCharType="separate"/>
            </w:r>
            <w:r w:rsidR="00FD58BF">
              <w:rPr>
                <w:noProof/>
                <w:webHidden/>
              </w:rPr>
              <w:t>684</w:t>
            </w:r>
            <w:r w:rsidR="00FD58BF">
              <w:rPr>
                <w:noProof/>
                <w:webHidden/>
              </w:rPr>
              <w:fldChar w:fldCharType="end"/>
            </w:r>
          </w:hyperlink>
        </w:p>
        <w:p w14:paraId="486D327F" w14:textId="790377B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3" w:history="1">
            <w:r w:rsidR="00FD58BF" w:rsidRPr="003004E5">
              <w:rPr>
                <w:rStyle w:val="Lienhypertexte"/>
                <w:noProof/>
              </w:rPr>
              <w:t>22.46.2 Eléments de soutènement préfabriqués en béton armé CCTB 01.11</w:t>
            </w:r>
            <w:r w:rsidR="00FD58BF">
              <w:rPr>
                <w:noProof/>
                <w:webHidden/>
              </w:rPr>
              <w:tab/>
            </w:r>
            <w:r w:rsidR="00FD58BF">
              <w:rPr>
                <w:noProof/>
                <w:webHidden/>
              </w:rPr>
              <w:fldChar w:fldCharType="begin"/>
            </w:r>
            <w:r w:rsidR="00FD58BF">
              <w:rPr>
                <w:noProof/>
                <w:webHidden/>
              </w:rPr>
              <w:instrText xml:space="preserve"> PAGEREF _Toc178838073 \h </w:instrText>
            </w:r>
            <w:r w:rsidR="00FD58BF">
              <w:rPr>
                <w:noProof/>
                <w:webHidden/>
              </w:rPr>
            </w:r>
            <w:r w:rsidR="00FD58BF">
              <w:rPr>
                <w:noProof/>
                <w:webHidden/>
              </w:rPr>
              <w:fldChar w:fldCharType="separate"/>
            </w:r>
            <w:r w:rsidR="00FD58BF">
              <w:rPr>
                <w:noProof/>
                <w:webHidden/>
              </w:rPr>
              <w:t>684</w:t>
            </w:r>
            <w:r w:rsidR="00FD58BF">
              <w:rPr>
                <w:noProof/>
                <w:webHidden/>
              </w:rPr>
              <w:fldChar w:fldCharType="end"/>
            </w:r>
          </w:hyperlink>
        </w:p>
        <w:p w14:paraId="20371592" w14:textId="6DD1D6D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4" w:history="1">
            <w:r w:rsidR="00FD58BF" w:rsidRPr="003004E5">
              <w:rPr>
                <w:rStyle w:val="Lienhypertexte"/>
                <w:noProof/>
              </w:rPr>
              <w:t>22.46.2a Eléments de soutènement en L préfabriqués en béton armé CCTB 01.11</w:t>
            </w:r>
            <w:r w:rsidR="00FD58BF">
              <w:rPr>
                <w:noProof/>
                <w:webHidden/>
              </w:rPr>
              <w:tab/>
            </w:r>
            <w:r w:rsidR="00FD58BF">
              <w:rPr>
                <w:noProof/>
                <w:webHidden/>
              </w:rPr>
              <w:fldChar w:fldCharType="begin"/>
            </w:r>
            <w:r w:rsidR="00FD58BF">
              <w:rPr>
                <w:noProof/>
                <w:webHidden/>
              </w:rPr>
              <w:instrText xml:space="preserve"> PAGEREF _Toc178838074 \h </w:instrText>
            </w:r>
            <w:r w:rsidR="00FD58BF">
              <w:rPr>
                <w:noProof/>
                <w:webHidden/>
              </w:rPr>
            </w:r>
            <w:r w:rsidR="00FD58BF">
              <w:rPr>
                <w:noProof/>
                <w:webHidden/>
              </w:rPr>
              <w:fldChar w:fldCharType="separate"/>
            </w:r>
            <w:r w:rsidR="00FD58BF">
              <w:rPr>
                <w:noProof/>
                <w:webHidden/>
              </w:rPr>
              <w:t>685</w:t>
            </w:r>
            <w:r w:rsidR="00FD58BF">
              <w:rPr>
                <w:noProof/>
                <w:webHidden/>
              </w:rPr>
              <w:fldChar w:fldCharType="end"/>
            </w:r>
          </w:hyperlink>
        </w:p>
        <w:p w14:paraId="7C4336EF" w14:textId="0D91408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5" w:history="1">
            <w:r w:rsidR="00FD58BF" w:rsidRPr="003004E5">
              <w:rPr>
                <w:rStyle w:val="Lienhypertexte"/>
                <w:noProof/>
              </w:rPr>
              <w:t>22.46.2b Eléments de soutènement en U préfabriqués en béton armé CCTB 01.02</w:t>
            </w:r>
            <w:r w:rsidR="00FD58BF">
              <w:rPr>
                <w:noProof/>
                <w:webHidden/>
              </w:rPr>
              <w:tab/>
            </w:r>
            <w:r w:rsidR="00FD58BF">
              <w:rPr>
                <w:noProof/>
                <w:webHidden/>
              </w:rPr>
              <w:fldChar w:fldCharType="begin"/>
            </w:r>
            <w:r w:rsidR="00FD58BF">
              <w:rPr>
                <w:noProof/>
                <w:webHidden/>
              </w:rPr>
              <w:instrText xml:space="preserve"> PAGEREF _Toc178838075 \h </w:instrText>
            </w:r>
            <w:r w:rsidR="00FD58BF">
              <w:rPr>
                <w:noProof/>
                <w:webHidden/>
              </w:rPr>
            </w:r>
            <w:r w:rsidR="00FD58BF">
              <w:rPr>
                <w:noProof/>
                <w:webHidden/>
              </w:rPr>
              <w:fldChar w:fldCharType="separate"/>
            </w:r>
            <w:r w:rsidR="00FD58BF">
              <w:rPr>
                <w:noProof/>
                <w:webHidden/>
              </w:rPr>
              <w:t>687</w:t>
            </w:r>
            <w:r w:rsidR="00FD58BF">
              <w:rPr>
                <w:noProof/>
                <w:webHidden/>
              </w:rPr>
              <w:fldChar w:fldCharType="end"/>
            </w:r>
          </w:hyperlink>
        </w:p>
        <w:p w14:paraId="399F782B" w14:textId="07ABF7A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6" w:history="1">
            <w:r w:rsidR="00FD58BF" w:rsidRPr="003004E5">
              <w:rPr>
                <w:rStyle w:val="Lienhypertexte"/>
                <w:noProof/>
              </w:rPr>
              <w:t>22.46.2c Eléments de soutènement en T préfabriqués en béton armé CCTB 01.02</w:t>
            </w:r>
            <w:r w:rsidR="00FD58BF">
              <w:rPr>
                <w:noProof/>
                <w:webHidden/>
              </w:rPr>
              <w:tab/>
            </w:r>
            <w:r w:rsidR="00FD58BF">
              <w:rPr>
                <w:noProof/>
                <w:webHidden/>
              </w:rPr>
              <w:fldChar w:fldCharType="begin"/>
            </w:r>
            <w:r w:rsidR="00FD58BF">
              <w:rPr>
                <w:noProof/>
                <w:webHidden/>
              </w:rPr>
              <w:instrText xml:space="preserve"> PAGEREF _Toc178838076 \h </w:instrText>
            </w:r>
            <w:r w:rsidR="00FD58BF">
              <w:rPr>
                <w:noProof/>
                <w:webHidden/>
              </w:rPr>
            </w:r>
            <w:r w:rsidR="00FD58BF">
              <w:rPr>
                <w:noProof/>
                <w:webHidden/>
              </w:rPr>
              <w:fldChar w:fldCharType="separate"/>
            </w:r>
            <w:r w:rsidR="00FD58BF">
              <w:rPr>
                <w:noProof/>
                <w:webHidden/>
              </w:rPr>
              <w:t>687</w:t>
            </w:r>
            <w:r w:rsidR="00FD58BF">
              <w:rPr>
                <w:noProof/>
                <w:webHidden/>
              </w:rPr>
              <w:fldChar w:fldCharType="end"/>
            </w:r>
          </w:hyperlink>
        </w:p>
        <w:p w14:paraId="35D1E183" w14:textId="78BDDD8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7" w:history="1">
            <w:r w:rsidR="00FD58BF" w:rsidRPr="003004E5">
              <w:rPr>
                <w:rStyle w:val="Lienhypertexte"/>
                <w:noProof/>
              </w:rPr>
              <w:t>22.46.2d Eléments de soutènement en dalles avec treillis-raidisseur préfabriqués en béton armé CCTB 01.02</w:t>
            </w:r>
            <w:r w:rsidR="00FD58BF">
              <w:rPr>
                <w:noProof/>
                <w:webHidden/>
              </w:rPr>
              <w:tab/>
            </w:r>
            <w:r w:rsidR="00FD58BF">
              <w:rPr>
                <w:noProof/>
                <w:webHidden/>
              </w:rPr>
              <w:fldChar w:fldCharType="begin"/>
            </w:r>
            <w:r w:rsidR="00FD58BF">
              <w:rPr>
                <w:noProof/>
                <w:webHidden/>
              </w:rPr>
              <w:instrText xml:space="preserve"> PAGEREF _Toc178838077 \h </w:instrText>
            </w:r>
            <w:r w:rsidR="00FD58BF">
              <w:rPr>
                <w:noProof/>
                <w:webHidden/>
              </w:rPr>
            </w:r>
            <w:r w:rsidR="00FD58BF">
              <w:rPr>
                <w:noProof/>
                <w:webHidden/>
              </w:rPr>
              <w:fldChar w:fldCharType="separate"/>
            </w:r>
            <w:r w:rsidR="00FD58BF">
              <w:rPr>
                <w:noProof/>
                <w:webHidden/>
              </w:rPr>
              <w:t>687</w:t>
            </w:r>
            <w:r w:rsidR="00FD58BF">
              <w:rPr>
                <w:noProof/>
                <w:webHidden/>
              </w:rPr>
              <w:fldChar w:fldCharType="end"/>
            </w:r>
          </w:hyperlink>
        </w:p>
        <w:p w14:paraId="4FC53AE7" w14:textId="1390AB6D"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78" w:history="1">
            <w:r w:rsidR="00FD58BF" w:rsidRPr="003004E5">
              <w:rPr>
                <w:rStyle w:val="Lienhypertexte"/>
                <w:noProof/>
              </w:rPr>
              <w:t>22.5 Armatures et coffrages CCTB 01.02</w:t>
            </w:r>
            <w:r w:rsidR="00FD58BF">
              <w:rPr>
                <w:noProof/>
                <w:webHidden/>
              </w:rPr>
              <w:tab/>
            </w:r>
            <w:r w:rsidR="00FD58BF">
              <w:rPr>
                <w:noProof/>
                <w:webHidden/>
              </w:rPr>
              <w:fldChar w:fldCharType="begin"/>
            </w:r>
            <w:r w:rsidR="00FD58BF">
              <w:rPr>
                <w:noProof/>
                <w:webHidden/>
              </w:rPr>
              <w:instrText xml:space="preserve"> PAGEREF _Toc178838078 \h </w:instrText>
            </w:r>
            <w:r w:rsidR="00FD58BF">
              <w:rPr>
                <w:noProof/>
                <w:webHidden/>
              </w:rPr>
            </w:r>
            <w:r w:rsidR="00FD58BF">
              <w:rPr>
                <w:noProof/>
                <w:webHidden/>
              </w:rPr>
              <w:fldChar w:fldCharType="separate"/>
            </w:r>
            <w:r w:rsidR="00FD58BF">
              <w:rPr>
                <w:noProof/>
                <w:webHidden/>
              </w:rPr>
              <w:t>688</w:t>
            </w:r>
            <w:r w:rsidR="00FD58BF">
              <w:rPr>
                <w:noProof/>
                <w:webHidden/>
              </w:rPr>
              <w:fldChar w:fldCharType="end"/>
            </w:r>
          </w:hyperlink>
        </w:p>
        <w:p w14:paraId="5C71815D" w14:textId="19F6F5E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79" w:history="1">
            <w:r w:rsidR="00FD58BF" w:rsidRPr="003004E5">
              <w:rPr>
                <w:rStyle w:val="Lienhypertexte"/>
                <w:noProof/>
              </w:rPr>
              <w:t>22.51 Armatures pour béton CCTB 01.11</w:t>
            </w:r>
            <w:r w:rsidR="00FD58BF">
              <w:rPr>
                <w:noProof/>
                <w:webHidden/>
              </w:rPr>
              <w:tab/>
            </w:r>
            <w:r w:rsidR="00FD58BF">
              <w:rPr>
                <w:noProof/>
                <w:webHidden/>
              </w:rPr>
              <w:fldChar w:fldCharType="begin"/>
            </w:r>
            <w:r w:rsidR="00FD58BF">
              <w:rPr>
                <w:noProof/>
                <w:webHidden/>
              </w:rPr>
              <w:instrText xml:space="preserve"> PAGEREF _Toc178838079 \h </w:instrText>
            </w:r>
            <w:r w:rsidR="00FD58BF">
              <w:rPr>
                <w:noProof/>
                <w:webHidden/>
              </w:rPr>
            </w:r>
            <w:r w:rsidR="00FD58BF">
              <w:rPr>
                <w:noProof/>
                <w:webHidden/>
              </w:rPr>
              <w:fldChar w:fldCharType="separate"/>
            </w:r>
            <w:r w:rsidR="00FD58BF">
              <w:rPr>
                <w:noProof/>
                <w:webHidden/>
              </w:rPr>
              <w:t>688</w:t>
            </w:r>
            <w:r w:rsidR="00FD58BF">
              <w:rPr>
                <w:noProof/>
                <w:webHidden/>
              </w:rPr>
              <w:fldChar w:fldCharType="end"/>
            </w:r>
          </w:hyperlink>
        </w:p>
        <w:p w14:paraId="097CB7A3" w14:textId="0F3469C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0" w:history="1">
            <w:r w:rsidR="00FD58BF" w:rsidRPr="003004E5">
              <w:rPr>
                <w:rStyle w:val="Lienhypertexte"/>
                <w:noProof/>
              </w:rPr>
              <w:t>22.51.1 Barres d'armatures pour béton CCTB 01.04</w:t>
            </w:r>
            <w:r w:rsidR="00FD58BF">
              <w:rPr>
                <w:noProof/>
                <w:webHidden/>
              </w:rPr>
              <w:tab/>
            </w:r>
            <w:r w:rsidR="00FD58BF">
              <w:rPr>
                <w:noProof/>
                <w:webHidden/>
              </w:rPr>
              <w:fldChar w:fldCharType="begin"/>
            </w:r>
            <w:r w:rsidR="00FD58BF">
              <w:rPr>
                <w:noProof/>
                <w:webHidden/>
              </w:rPr>
              <w:instrText xml:space="preserve"> PAGEREF _Toc178838080 \h </w:instrText>
            </w:r>
            <w:r w:rsidR="00FD58BF">
              <w:rPr>
                <w:noProof/>
                <w:webHidden/>
              </w:rPr>
            </w:r>
            <w:r w:rsidR="00FD58BF">
              <w:rPr>
                <w:noProof/>
                <w:webHidden/>
              </w:rPr>
              <w:fldChar w:fldCharType="separate"/>
            </w:r>
            <w:r w:rsidR="00FD58BF">
              <w:rPr>
                <w:noProof/>
                <w:webHidden/>
              </w:rPr>
              <w:t>691</w:t>
            </w:r>
            <w:r w:rsidR="00FD58BF">
              <w:rPr>
                <w:noProof/>
                <w:webHidden/>
              </w:rPr>
              <w:fldChar w:fldCharType="end"/>
            </w:r>
          </w:hyperlink>
        </w:p>
        <w:p w14:paraId="109D9C71" w14:textId="4C8A668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1" w:history="1">
            <w:r w:rsidR="00FD58BF" w:rsidRPr="003004E5">
              <w:rPr>
                <w:rStyle w:val="Lienhypertexte"/>
                <w:noProof/>
              </w:rPr>
              <w:t>22.51.1a Barres d'armatures pour béton CCTB 01.07</w:t>
            </w:r>
            <w:r w:rsidR="00FD58BF">
              <w:rPr>
                <w:noProof/>
                <w:webHidden/>
              </w:rPr>
              <w:tab/>
            </w:r>
            <w:r w:rsidR="00FD58BF">
              <w:rPr>
                <w:noProof/>
                <w:webHidden/>
              </w:rPr>
              <w:fldChar w:fldCharType="begin"/>
            </w:r>
            <w:r w:rsidR="00FD58BF">
              <w:rPr>
                <w:noProof/>
                <w:webHidden/>
              </w:rPr>
              <w:instrText xml:space="preserve"> PAGEREF _Toc178838081 \h </w:instrText>
            </w:r>
            <w:r w:rsidR="00FD58BF">
              <w:rPr>
                <w:noProof/>
                <w:webHidden/>
              </w:rPr>
            </w:r>
            <w:r w:rsidR="00FD58BF">
              <w:rPr>
                <w:noProof/>
                <w:webHidden/>
              </w:rPr>
              <w:fldChar w:fldCharType="separate"/>
            </w:r>
            <w:r w:rsidR="00FD58BF">
              <w:rPr>
                <w:noProof/>
                <w:webHidden/>
              </w:rPr>
              <w:t>691</w:t>
            </w:r>
            <w:r w:rsidR="00FD58BF">
              <w:rPr>
                <w:noProof/>
                <w:webHidden/>
              </w:rPr>
              <w:fldChar w:fldCharType="end"/>
            </w:r>
          </w:hyperlink>
        </w:p>
        <w:p w14:paraId="098765AF" w14:textId="7C6BE0D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2" w:history="1">
            <w:r w:rsidR="00FD58BF" w:rsidRPr="003004E5">
              <w:rPr>
                <w:rStyle w:val="Lienhypertexte"/>
                <w:noProof/>
              </w:rPr>
              <w:t>22.51.1b Barres d'armatures pour béton de rempiétement CCTB 01.11</w:t>
            </w:r>
            <w:r w:rsidR="00FD58BF">
              <w:rPr>
                <w:noProof/>
                <w:webHidden/>
              </w:rPr>
              <w:tab/>
            </w:r>
            <w:r w:rsidR="00FD58BF">
              <w:rPr>
                <w:noProof/>
                <w:webHidden/>
              </w:rPr>
              <w:fldChar w:fldCharType="begin"/>
            </w:r>
            <w:r w:rsidR="00FD58BF">
              <w:rPr>
                <w:noProof/>
                <w:webHidden/>
              </w:rPr>
              <w:instrText xml:space="preserve"> PAGEREF _Toc178838082 \h </w:instrText>
            </w:r>
            <w:r w:rsidR="00FD58BF">
              <w:rPr>
                <w:noProof/>
                <w:webHidden/>
              </w:rPr>
            </w:r>
            <w:r w:rsidR="00FD58BF">
              <w:rPr>
                <w:noProof/>
                <w:webHidden/>
              </w:rPr>
              <w:fldChar w:fldCharType="separate"/>
            </w:r>
            <w:r w:rsidR="00FD58BF">
              <w:rPr>
                <w:noProof/>
                <w:webHidden/>
              </w:rPr>
              <w:t>692</w:t>
            </w:r>
            <w:r w:rsidR="00FD58BF">
              <w:rPr>
                <w:noProof/>
                <w:webHidden/>
              </w:rPr>
              <w:fldChar w:fldCharType="end"/>
            </w:r>
          </w:hyperlink>
        </w:p>
        <w:p w14:paraId="2A549AC1" w14:textId="68FD779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3" w:history="1">
            <w:r w:rsidR="00FD58BF" w:rsidRPr="003004E5">
              <w:rPr>
                <w:rStyle w:val="Lienhypertexte"/>
                <w:noProof/>
              </w:rPr>
              <w:t>22.51.1c Barres d'armatures scellées dans du béton CCTB 01.11</w:t>
            </w:r>
            <w:r w:rsidR="00FD58BF">
              <w:rPr>
                <w:noProof/>
                <w:webHidden/>
              </w:rPr>
              <w:tab/>
            </w:r>
            <w:r w:rsidR="00FD58BF">
              <w:rPr>
                <w:noProof/>
                <w:webHidden/>
              </w:rPr>
              <w:fldChar w:fldCharType="begin"/>
            </w:r>
            <w:r w:rsidR="00FD58BF">
              <w:rPr>
                <w:noProof/>
                <w:webHidden/>
              </w:rPr>
              <w:instrText xml:space="preserve"> PAGEREF _Toc178838083 \h </w:instrText>
            </w:r>
            <w:r w:rsidR="00FD58BF">
              <w:rPr>
                <w:noProof/>
                <w:webHidden/>
              </w:rPr>
            </w:r>
            <w:r w:rsidR="00FD58BF">
              <w:rPr>
                <w:noProof/>
                <w:webHidden/>
              </w:rPr>
              <w:fldChar w:fldCharType="separate"/>
            </w:r>
            <w:r w:rsidR="00FD58BF">
              <w:rPr>
                <w:noProof/>
                <w:webHidden/>
              </w:rPr>
              <w:t>692</w:t>
            </w:r>
            <w:r w:rsidR="00FD58BF">
              <w:rPr>
                <w:noProof/>
                <w:webHidden/>
              </w:rPr>
              <w:fldChar w:fldCharType="end"/>
            </w:r>
          </w:hyperlink>
        </w:p>
        <w:p w14:paraId="0AC1B017" w14:textId="13F81BC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4" w:history="1">
            <w:r w:rsidR="00FD58BF" w:rsidRPr="003004E5">
              <w:rPr>
                <w:rStyle w:val="Lienhypertexte"/>
                <w:noProof/>
              </w:rPr>
              <w:t>22.51.1d Barres d'armatures scellées dans de la maçonnerie CCTB 01.11</w:t>
            </w:r>
            <w:r w:rsidR="00FD58BF">
              <w:rPr>
                <w:noProof/>
                <w:webHidden/>
              </w:rPr>
              <w:tab/>
            </w:r>
            <w:r w:rsidR="00FD58BF">
              <w:rPr>
                <w:noProof/>
                <w:webHidden/>
              </w:rPr>
              <w:fldChar w:fldCharType="begin"/>
            </w:r>
            <w:r w:rsidR="00FD58BF">
              <w:rPr>
                <w:noProof/>
                <w:webHidden/>
              </w:rPr>
              <w:instrText xml:space="preserve"> PAGEREF _Toc178838084 \h </w:instrText>
            </w:r>
            <w:r w:rsidR="00FD58BF">
              <w:rPr>
                <w:noProof/>
                <w:webHidden/>
              </w:rPr>
            </w:r>
            <w:r w:rsidR="00FD58BF">
              <w:rPr>
                <w:noProof/>
                <w:webHidden/>
              </w:rPr>
              <w:fldChar w:fldCharType="separate"/>
            </w:r>
            <w:r w:rsidR="00FD58BF">
              <w:rPr>
                <w:noProof/>
                <w:webHidden/>
              </w:rPr>
              <w:t>692</w:t>
            </w:r>
            <w:r w:rsidR="00FD58BF">
              <w:rPr>
                <w:noProof/>
                <w:webHidden/>
              </w:rPr>
              <w:fldChar w:fldCharType="end"/>
            </w:r>
          </w:hyperlink>
        </w:p>
        <w:p w14:paraId="438D0AE4" w14:textId="013166D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5" w:history="1">
            <w:r w:rsidR="00FD58BF" w:rsidRPr="003004E5">
              <w:rPr>
                <w:rStyle w:val="Lienhypertexte"/>
                <w:noProof/>
              </w:rPr>
              <w:t>22.51.2 Treillis et panneaux d'armatures préfabriqués CCTB 01.04</w:t>
            </w:r>
            <w:r w:rsidR="00FD58BF">
              <w:rPr>
                <w:noProof/>
                <w:webHidden/>
              </w:rPr>
              <w:tab/>
            </w:r>
            <w:r w:rsidR="00FD58BF">
              <w:rPr>
                <w:noProof/>
                <w:webHidden/>
              </w:rPr>
              <w:fldChar w:fldCharType="begin"/>
            </w:r>
            <w:r w:rsidR="00FD58BF">
              <w:rPr>
                <w:noProof/>
                <w:webHidden/>
              </w:rPr>
              <w:instrText xml:space="preserve"> PAGEREF _Toc178838085 \h </w:instrText>
            </w:r>
            <w:r w:rsidR="00FD58BF">
              <w:rPr>
                <w:noProof/>
                <w:webHidden/>
              </w:rPr>
            </w:r>
            <w:r w:rsidR="00FD58BF">
              <w:rPr>
                <w:noProof/>
                <w:webHidden/>
              </w:rPr>
              <w:fldChar w:fldCharType="separate"/>
            </w:r>
            <w:r w:rsidR="00FD58BF">
              <w:rPr>
                <w:noProof/>
                <w:webHidden/>
              </w:rPr>
              <w:t>692</w:t>
            </w:r>
            <w:r w:rsidR="00FD58BF">
              <w:rPr>
                <w:noProof/>
                <w:webHidden/>
              </w:rPr>
              <w:fldChar w:fldCharType="end"/>
            </w:r>
          </w:hyperlink>
        </w:p>
        <w:p w14:paraId="14E7B0EF" w14:textId="113FADB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6" w:history="1">
            <w:r w:rsidR="00FD58BF" w:rsidRPr="003004E5">
              <w:rPr>
                <w:rStyle w:val="Lienhypertexte"/>
                <w:noProof/>
              </w:rPr>
              <w:t>22.51.2a Treillis d'armatures préfabriqués CCTB 01.11</w:t>
            </w:r>
            <w:r w:rsidR="00FD58BF">
              <w:rPr>
                <w:noProof/>
                <w:webHidden/>
              </w:rPr>
              <w:tab/>
            </w:r>
            <w:r w:rsidR="00FD58BF">
              <w:rPr>
                <w:noProof/>
                <w:webHidden/>
              </w:rPr>
              <w:fldChar w:fldCharType="begin"/>
            </w:r>
            <w:r w:rsidR="00FD58BF">
              <w:rPr>
                <w:noProof/>
                <w:webHidden/>
              </w:rPr>
              <w:instrText xml:space="preserve"> PAGEREF _Toc178838086 \h </w:instrText>
            </w:r>
            <w:r w:rsidR="00FD58BF">
              <w:rPr>
                <w:noProof/>
                <w:webHidden/>
              </w:rPr>
            </w:r>
            <w:r w:rsidR="00FD58BF">
              <w:rPr>
                <w:noProof/>
                <w:webHidden/>
              </w:rPr>
              <w:fldChar w:fldCharType="separate"/>
            </w:r>
            <w:r w:rsidR="00FD58BF">
              <w:rPr>
                <w:noProof/>
                <w:webHidden/>
              </w:rPr>
              <w:t>692</w:t>
            </w:r>
            <w:r w:rsidR="00FD58BF">
              <w:rPr>
                <w:noProof/>
                <w:webHidden/>
              </w:rPr>
              <w:fldChar w:fldCharType="end"/>
            </w:r>
          </w:hyperlink>
        </w:p>
        <w:p w14:paraId="177B8E14" w14:textId="43042DD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7" w:history="1">
            <w:r w:rsidR="00FD58BF" w:rsidRPr="003004E5">
              <w:rPr>
                <w:rStyle w:val="Lienhypertexte"/>
                <w:noProof/>
              </w:rPr>
              <w:t>22.51.2b Panneaux plans d'armatures préfabriqués CCTB 01.11</w:t>
            </w:r>
            <w:r w:rsidR="00FD58BF">
              <w:rPr>
                <w:noProof/>
                <w:webHidden/>
              </w:rPr>
              <w:tab/>
            </w:r>
            <w:r w:rsidR="00FD58BF">
              <w:rPr>
                <w:noProof/>
                <w:webHidden/>
              </w:rPr>
              <w:fldChar w:fldCharType="begin"/>
            </w:r>
            <w:r w:rsidR="00FD58BF">
              <w:rPr>
                <w:noProof/>
                <w:webHidden/>
              </w:rPr>
              <w:instrText xml:space="preserve"> PAGEREF _Toc178838087 \h </w:instrText>
            </w:r>
            <w:r w:rsidR="00FD58BF">
              <w:rPr>
                <w:noProof/>
                <w:webHidden/>
              </w:rPr>
            </w:r>
            <w:r w:rsidR="00FD58BF">
              <w:rPr>
                <w:noProof/>
                <w:webHidden/>
              </w:rPr>
              <w:fldChar w:fldCharType="separate"/>
            </w:r>
            <w:r w:rsidR="00FD58BF">
              <w:rPr>
                <w:noProof/>
                <w:webHidden/>
              </w:rPr>
              <w:t>692</w:t>
            </w:r>
            <w:r w:rsidR="00FD58BF">
              <w:rPr>
                <w:noProof/>
                <w:webHidden/>
              </w:rPr>
              <w:fldChar w:fldCharType="end"/>
            </w:r>
          </w:hyperlink>
        </w:p>
        <w:p w14:paraId="7A065327" w14:textId="40FE881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8" w:history="1">
            <w:r w:rsidR="00FD58BF" w:rsidRPr="003004E5">
              <w:rPr>
                <w:rStyle w:val="Lienhypertexte"/>
                <w:noProof/>
              </w:rPr>
              <w:t>22.51.3 Fibres de renforcement de béton CCTB 01.02</w:t>
            </w:r>
            <w:r w:rsidR="00FD58BF">
              <w:rPr>
                <w:noProof/>
                <w:webHidden/>
              </w:rPr>
              <w:tab/>
            </w:r>
            <w:r w:rsidR="00FD58BF">
              <w:rPr>
                <w:noProof/>
                <w:webHidden/>
              </w:rPr>
              <w:fldChar w:fldCharType="begin"/>
            </w:r>
            <w:r w:rsidR="00FD58BF">
              <w:rPr>
                <w:noProof/>
                <w:webHidden/>
              </w:rPr>
              <w:instrText xml:space="preserve"> PAGEREF _Toc178838088 \h </w:instrText>
            </w:r>
            <w:r w:rsidR="00FD58BF">
              <w:rPr>
                <w:noProof/>
                <w:webHidden/>
              </w:rPr>
            </w:r>
            <w:r w:rsidR="00FD58BF">
              <w:rPr>
                <w:noProof/>
                <w:webHidden/>
              </w:rPr>
              <w:fldChar w:fldCharType="separate"/>
            </w:r>
            <w:r w:rsidR="00FD58BF">
              <w:rPr>
                <w:noProof/>
                <w:webHidden/>
              </w:rPr>
              <w:t>692</w:t>
            </w:r>
            <w:r w:rsidR="00FD58BF">
              <w:rPr>
                <w:noProof/>
                <w:webHidden/>
              </w:rPr>
              <w:fldChar w:fldCharType="end"/>
            </w:r>
          </w:hyperlink>
        </w:p>
        <w:p w14:paraId="5FB100B8" w14:textId="64C9ABA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9" w:history="1">
            <w:r w:rsidR="00FD58BF" w:rsidRPr="003004E5">
              <w:rPr>
                <w:rStyle w:val="Lienhypertexte"/>
                <w:noProof/>
              </w:rPr>
              <w:t>22.51.3a Fibres d'acier de renforcement de béton CCTB 01.11</w:t>
            </w:r>
            <w:r w:rsidR="00FD58BF">
              <w:rPr>
                <w:noProof/>
                <w:webHidden/>
              </w:rPr>
              <w:tab/>
            </w:r>
            <w:r w:rsidR="00FD58BF">
              <w:rPr>
                <w:noProof/>
                <w:webHidden/>
              </w:rPr>
              <w:fldChar w:fldCharType="begin"/>
            </w:r>
            <w:r w:rsidR="00FD58BF">
              <w:rPr>
                <w:noProof/>
                <w:webHidden/>
              </w:rPr>
              <w:instrText xml:space="preserve"> PAGEREF _Toc178838089 \h </w:instrText>
            </w:r>
            <w:r w:rsidR="00FD58BF">
              <w:rPr>
                <w:noProof/>
                <w:webHidden/>
              </w:rPr>
            </w:r>
            <w:r w:rsidR="00FD58BF">
              <w:rPr>
                <w:noProof/>
                <w:webHidden/>
              </w:rPr>
              <w:fldChar w:fldCharType="separate"/>
            </w:r>
            <w:r w:rsidR="00FD58BF">
              <w:rPr>
                <w:noProof/>
                <w:webHidden/>
              </w:rPr>
              <w:t>692</w:t>
            </w:r>
            <w:r w:rsidR="00FD58BF">
              <w:rPr>
                <w:noProof/>
                <w:webHidden/>
              </w:rPr>
              <w:fldChar w:fldCharType="end"/>
            </w:r>
          </w:hyperlink>
        </w:p>
        <w:p w14:paraId="24756EEF" w14:textId="7E972E5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0" w:history="1">
            <w:r w:rsidR="00FD58BF" w:rsidRPr="003004E5">
              <w:rPr>
                <w:rStyle w:val="Lienhypertexte"/>
                <w:noProof/>
              </w:rPr>
              <w:t>22.51.3b Fibres synthétiques de renforcement de béton CCTB 01.11</w:t>
            </w:r>
            <w:r w:rsidR="00FD58BF">
              <w:rPr>
                <w:noProof/>
                <w:webHidden/>
              </w:rPr>
              <w:tab/>
            </w:r>
            <w:r w:rsidR="00FD58BF">
              <w:rPr>
                <w:noProof/>
                <w:webHidden/>
              </w:rPr>
              <w:fldChar w:fldCharType="begin"/>
            </w:r>
            <w:r w:rsidR="00FD58BF">
              <w:rPr>
                <w:noProof/>
                <w:webHidden/>
              </w:rPr>
              <w:instrText xml:space="preserve"> PAGEREF _Toc178838090 \h </w:instrText>
            </w:r>
            <w:r w:rsidR="00FD58BF">
              <w:rPr>
                <w:noProof/>
                <w:webHidden/>
              </w:rPr>
            </w:r>
            <w:r w:rsidR="00FD58BF">
              <w:rPr>
                <w:noProof/>
                <w:webHidden/>
              </w:rPr>
              <w:fldChar w:fldCharType="separate"/>
            </w:r>
            <w:r w:rsidR="00FD58BF">
              <w:rPr>
                <w:noProof/>
                <w:webHidden/>
              </w:rPr>
              <w:t>694</w:t>
            </w:r>
            <w:r w:rsidR="00FD58BF">
              <w:rPr>
                <w:noProof/>
                <w:webHidden/>
              </w:rPr>
              <w:fldChar w:fldCharType="end"/>
            </w:r>
          </w:hyperlink>
        </w:p>
        <w:p w14:paraId="482D835E" w14:textId="4BAF1FE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1" w:history="1">
            <w:r w:rsidR="00FD58BF" w:rsidRPr="003004E5">
              <w:rPr>
                <w:rStyle w:val="Lienhypertexte"/>
                <w:noProof/>
              </w:rPr>
              <w:t>22.51.3c Fibres de verre de renforcement de béton CCTB 01.04</w:t>
            </w:r>
            <w:r w:rsidR="00FD58BF">
              <w:rPr>
                <w:noProof/>
                <w:webHidden/>
              </w:rPr>
              <w:tab/>
            </w:r>
            <w:r w:rsidR="00FD58BF">
              <w:rPr>
                <w:noProof/>
                <w:webHidden/>
              </w:rPr>
              <w:fldChar w:fldCharType="begin"/>
            </w:r>
            <w:r w:rsidR="00FD58BF">
              <w:rPr>
                <w:noProof/>
                <w:webHidden/>
              </w:rPr>
              <w:instrText xml:space="preserve"> PAGEREF _Toc178838091 \h </w:instrText>
            </w:r>
            <w:r w:rsidR="00FD58BF">
              <w:rPr>
                <w:noProof/>
                <w:webHidden/>
              </w:rPr>
            </w:r>
            <w:r w:rsidR="00FD58BF">
              <w:rPr>
                <w:noProof/>
                <w:webHidden/>
              </w:rPr>
              <w:fldChar w:fldCharType="separate"/>
            </w:r>
            <w:r w:rsidR="00FD58BF">
              <w:rPr>
                <w:noProof/>
                <w:webHidden/>
              </w:rPr>
              <w:t>696</w:t>
            </w:r>
            <w:r w:rsidR="00FD58BF">
              <w:rPr>
                <w:noProof/>
                <w:webHidden/>
              </w:rPr>
              <w:fldChar w:fldCharType="end"/>
            </w:r>
          </w:hyperlink>
        </w:p>
        <w:p w14:paraId="15157E00" w14:textId="2A74F9A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2" w:history="1">
            <w:r w:rsidR="00FD58BF" w:rsidRPr="003004E5">
              <w:rPr>
                <w:rStyle w:val="Lienhypertexte"/>
                <w:noProof/>
              </w:rPr>
              <w:t>22.51.4 Armatures additionnelles de renforcement de béton CCTB 01.12</w:t>
            </w:r>
            <w:r w:rsidR="00FD58BF">
              <w:rPr>
                <w:noProof/>
                <w:webHidden/>
              </w:rPr>
              <w:tab/>
            </w:r>
            <w:r w:rsidR="00FD58BF">
              <w:rPr>
                <w:noProof/>
                <w:webHidden/>
              </w:rPr>
              <w:fldChar w:fldCharType="begin"/>
            </w:r>
            <w:r w:rsidR="00FD58BF">
              <w:rPr>
                <w:noProof/>
                <w:webHidden/>
              </w:rPr>
              <w:instrText xml:space="preserve"> PAGEREF _Toc178838092 \h </w:instrText>
            </w:r>
            <w:r w:rsidR="00FD58BF">
              <w:rPr>
                <w:noProof/>
                <w:webHidden/>
              </w:rPr>
            </w:r>
            <w:r w:rsidR="00FD58BF">
              <w:rPr>
                <w:noProof/>
                <w:webHidden/>
              </w:rPr>
              <w:fldChar w:fldCharType="separate"/>
            </w:r>
            <w:r w:rsidR="00FD58BF">
              <w:rPr>
                <w:noProof/>
                <w:webHidden/>
              </w:rPr>
              <w:t>696</w:t>
            </w:r>
            <w:r w:rsidR="00FD58BF">
              <w:rPr>
                <w:noProof/>
                <w:webHidden/>
              </w:rPr>
              <w:fldChar w:fldCharType="end"/>
            </w:r>
          </w:hyperlink>
        </w:p>
        <w:p w14:paraId="748F7919" w14:textId="2E65F77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3" w:history="1">
            <w:r w:rsidR="00FD58BF" w:rsidRPr="003004E5">
              <w:rPr>
                <w:rStyle w:val="Lienhypertexte"/>
                <w:noProof/>
              </w:rPr>
              <w:t>22.51.4a Armatures additionnelles à base de fibres de carbone CCTB 01.12</w:t>
            </w:r>
            <w:r w:rsidR="00FD58BF">
              <w:rPr>
                <w:noProof/>
                <w:webHidden/>
              </w:rPr>
              <w:tab/>
            </w:r>
            <w:r w:rsidR="00FD58BF">
              <w:rPr>
                <w:noProof/>
                <w:webHidden/>
              </w:rPr>
              <w:fldChar w:fldCharType="begin"/>
            </w:r>
            <w:r w:rsidR="00FD58BF">
              <w:rPr>
                <w:noProof/>
                <w:webHidden/>
              </w:rPr>
              <w:instrText xml:space="preserve"> PAGEREF _Toc178838093 \h </w:instrText>
            </w:r>
            <w:r w:rsidR="00FD58BF">
              <w:rPr>
                <w:noProof/>
                <w:webHidden/>
              </w:rPr>
            </w:r>
            <w:r w:rsidR="00FD58BF">
              <w:rPr>
                <w:noProof/>
                <w:webHidden/>
              </w:rPr>
              <w:fldChar w:fldCharType="separate"/>
            </w:r>
            <w:r w:rsidR="00FD58BF">
              <w:rPr>
                <w:noProof/>
                <w:webHidden/>
              </w:rPr>
              <w:t>697</w:t>
            </w:r>
            <w:r w:rsidR="00FD58BF">
              <w:rPr>
                <w:noProof/>
                <w:webHidden/>
              </w:rPr>
              <w:fldChar w:fldCharType="end"/>
            </w:r>
          </w:hyperlink>
        </w:p>
        <w:p w14:paraId="3F25AFA4" w14:textId="2D383D3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4" w:history="1">
            <w:r w:rsidR="00FD58BF" w:rsidRPr="003004E5">
              <w:rPr>
                <w:rStyle w:val="Lienhypertexte"/>
                <w:noProof/>
              </w:rPr>
              <w:t>22.51.4b Armatures additionnelles à base de plats métalliques CCTB 01.12</w:t>
            </w:r>
            <w:r w:rsidR="00FD58BF">
              <w:rPr>
                <w:noProof/>
                <w:webHidden/>
              </w:rPr>
              <w:tab/>
            </w:r>
            <w:r w:rsidR="00FD58BF">
              <w:rPr>
                <w:noProof/>
                <w:webHidden/>
              </w:rPr>
              <w:fldChar w:fldCharType="begin"/>
            </w:r>
            <w:r w:rsidR="00FD58BF">
              <w:rPr>
                <w:noProof/>
                <w:webHidden/>
              </w:rPr>
              <w:instrText xml:space="preserve"> PAGEREF _Toc178838094 \h </w:instrText>
            </w:r>
            <w:r w:rsidR="00FD58BF">
              <w:rPr>
                <w:noProof/>
                <w:webHidden/>
              </w:rPr>
            </w:r>
            <w:r w:rsidR="00FD58BF">
              <w:rPr>
                <w:noProof/>
                <w:webHidden/>
              </w:rPr>
              <w:fldChar w:fldCharType="separate"/>
            </w:r>
            <w:r w:rsidR="00FD58BF">
              <w:rPr>
                <w:noProof/>
                <w:webHidden/>
              </w:rPr>
              <w:t>698</w:t>
            </w:r>
            <w:r w:rsidR="00FD58BF">
              <w:rPr>
                <w:noProof/>
                <w:webHidden/>
              </w:rPr>
              <w:fldChar w:fldCharType="end"/>
            </w:r>
          </w:hyperlink>
        </w:p>
        <w:p w14:paraId="23CFEE49" w14:textId="6AFDC62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5" w:history="1">
            <w:r w:rsidR="00FD58BF" w:rsidRPr="003004E5">
              <w:rPr>
                <w:rStyle w:val="Lienhypertexte"/>
                <w:noProof/>
              </w:rPr>
              <w:t>22.51.4c Armatures additionnelles à base de fibre de verre CCTB 01.12</w:t>
            </w:r>
            <w:r w:rsidR="00FD58BF">
              <w:rPr>
                <w:noProof/>
                <w:webHidden/>
              </w:rPr>
              <w:tab/>
            </w:r>
            <w:r w:rsidR="00FD58BF">
              <w:rPr>
                <w:noProof/>
                <w:webHidden/>
              </w:rPr>
              <w:fldChar w:fldCharType="begin"/>
            </w:r>
            <w:r w:rsidR="00FD58BF">
              <w:rPr>
                <w:noProof/>
                <w:webHidden/>
              </w:rPr>
              <w:instrText xml:space="preserve"> PAGEREF _Toc178838095 \h </w:instrText>
            </w:r>
            <w:r w:rsidR="00FD58BF">
              <w:rPr>
                <w:noProof/>
                <w:webHidden/>
              </w:rPr>
            </w:r>
            <w:r w:rsidR="00FD58BF">
              <w:rPr>
                <w:noProof/>
                <w:webHidden/>
              </w:rPr>
              <w:fldChar w:fldCharType="separate"/>
            </w:r>
            <w:r w:rsidR="00FD58BF">
              <w:rPr>
                <w:noProof/>
                <w:webHidden/>
              </w:rPr>
              <w:t>699</w:t>
            </w:r>
            <w:r w:rsidR="00FD58BF">
              <w:rPr>
                <w:noProof/>
                <w:webHidden/>
              </w:rPr>
              <w:fldChar w:fldCharType="end"/>
            </w:r>
          </w:hyperlink>
        </w:p>
        <w:p w14:paraId="7AF539D6" w14:textId="6B62CA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6" w:history="1">
            <w:r w:rsidR="00FD58BF" w:rsidRPr="003004E5">
              <w:rPr>
                <w:rStyle w:val="Lienhypertexte"/>
                <w:noProof/>
              </w:rPr>
              <w:t>22.51.4d Armatures additionnelles à base de fibre d’aramide CCTB 01.12</w:t>
            </w:r>
            <w:r w:rsidR="00FD58BF">
              <w:rPr>
                <w:noProof/>
                <w:webHidden/>
              </w:rPr>
              <w:tab/>
            </w:r>
            <w:r w:rsidR="00FD58BF">
              <w:rPr>
                <w:noProof/>
                <w:webHidden/>
              </w:rPr>
              <w:fldChar w:fldCharType="begin"/>
            </w:r>
            <w:r w:rsidR="00FD58BF">
              <w:rPr>
                <w:noProof/>
                <w:webHidden/>
              </w:rPr>
              <w:instrText xml:space="preserve"> PAGEREF _Toc178838096 \h </w:instrText>
            </w:r>
            <w:r w:rsidR="00FD58BF">
              <w:rPr>
                <w:noProof/>
                <w:webHidden/>
              </w:rPr>
            </w:r>
            <w:r w:rsidR="00FD58BF">
              <w:rPr>
                <w:noProof/>
                <w:webHidden/>
              </w:rPr>
              <w:fldChar w:fldCharType="separate"/>
            </w:r>
            <w:r w:rsidR="00FD58BF">
              <w:rPr>
                <w:noProof/>
                <w:webHidden/>
              </w:rPr>
              <w:t>700</w:t>
            </w:r>
            <w:r w:rsidR="00FD58BF">
              <w:rPr>
                <w:noProof/>
                <w:webHidden/>
              </w:rPr>
              <w:fldChar w:fldCharType="end"/>
            </w:r>
          </w:hyperlink>
        </w:p>
        <w:p w14:paraId="2CB8C659" w14:textId="1F76A5B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97" w:history="1">
            <w:r w:rsidR="00FD58BF" w:rsidRPr="003004E5">
              <w:rPr>
                <w:rStyle w:val="Lienhypertexte"/>
                <w:noProof/>
              </w:rPr>
              <w:t>22.52 Armatures et accessoires de précontrainte CCTB 01.04</w:t>
            </w:r>
            <w:r w:rsidR="00FD58BF">
              <w:rPr>
                <w:noProof/>
                <w:webHidden/>
              </w:rPr>
              <w:tab/>
            </w:r>
            <w:r w:rsidR="00FD58BF">
              <w:rPr>
                <w:noProof/>
                <w:webHidden/>
              </w:rPr>
              <w:fldChar w:fldCharType="begin"/>
            </w:r>
            <w:r w:rsidR="00FD58BF">
              <w:rPr>
                <w:noProof/>
                <w:webHidden/>
              </w:rPr>
              <w:instrText xml:space="preserve"> PAGEREF _Toc178838097 \h </w:instrText>
            </w:r>
            <w:r w:rsidR="00FD58BF">
              <w:rPr>
                <w:noProof/>
                <w:webHidden/>
              </w:rPr>
            </w:r>
            <w:r w:rsidR="00FD58BF">
              <w:rPr>
                <w:noProof/>
                <w:webHidden/>
              </w:rPr>
              <w:fldChar w:fldCharType="separate"/>
            </w:r>
            <w:r w:rsidR="00FD58BF">
              <w:rPr>
                <w:noProof/>
                <w:webHidden/>
              </w:rPr>
              <w:t>700</w:t>
            </w:r>
            <w:r w:rsidR="00FD58BF">
              <w:rPr>
                <w:noProof/>
                <w:webHidden/>
              </w:rPr>
              <w:fldChar w:fldCharType="end"/>
            </w:r>
          </w:hyperlink>
        </w:p>
        <w:p w14:paraId="479E04B2" w14:textId="1871786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8" w:history="1">
            <w:r w:rsidR="00FD58BF" w:rsidRPr="003004E5">
              <w:rPr>
                <w:rStyle w:val="Lienhypertexte"/>
                <w:noProof/>
              </w:rPr>
              <w:t>22.52.1 Armatures de précontrainte par post-tension CCTB 01.04</w:t>
            </w:r>
            <w:r w:rsidR="00FD58BF">
              <w:rPr>
                <w:noProof/>
                <w:webHidden/>
              </w:rPr>
              <w:tab/>
            </w:r>
            <w:r w:rsidR="00FD58BF">
              <w:rPr>
                <w:noProof/>
                <w:webHidden/>
              </w:rPr>
              <w:fldChar w:fldCharType="begin"/>
            </w:r>
            <w:r w:rsidR="00FD58BF">
              <w:rPr>
                <w:noProof/>
                <w:webHidden/>
              </w:rPr>
              <w:instrText xml:space="preserve"> PAGEREF _Toc178838098 \h </w:instrText>
            </w:r>
            <w:r w:rsidR="00FD58BF">
              <w:rPr>
                <w:noProof/>
                <w:webHidden/>
              </w:rPr>
            </w:r>
            <w:r w:rsidR="00FD58BF">
              <w:rPr>
                <w:noProof/>
                <w:webHidden/>
              </w:rPr>
              <w:fldChar w:fldCharType="separate"/>
            </w:r>
            <w:r w:rsidR="00FD58BF">
              <w:rPr>
                <w:noProof/>
                <w:webHidden/>
              </w:rPr>
              <w:t>701</w:t>
            </w:r>
            <w:r w:rsidR="00FD58BF">
              <w:rPr>
                <w:noProof/>
                <w:webHidden/>
              </w:rPr>
              <w:fldChar w:fldCharType="end"/>
            </w:r>
          </w:hyperlink>
        </w:p>
        <w:p w14:paraId="1426FBA1" w14:textId="702859B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9" w:history="1">
            <w:r w:rsidR="00FD58BF" w:rsidRPr="003004E5">
              <w:rPr>
                <w:rStyle w:val="Lienhypertexte"/>
                <w:noProof/>
              </w:rPr>
              <w:t>22.52.1a Barres de précontrainte par post-tension CCTB 01.07</w:t>
            </w:r>
            <w:r w:rsidR="00FD58BF">
              <w:rPr>
                <w:noProof/>
                <w:webHidden/>
              </w:rPr>
              <w:tab/>
            </w:r>
            <w:r w:rsidR="00FD58BF">
              <w:rPr>
                <w:noProof/>
                <w:webHidden/>
              </w:rPr>
              <w:fldChar w:fldCharType="begin"/>
            </w:r>
            <w:r w:rsidR="00FD58BF">
              <w:rPr>
                <w:noProof/>
                <w:webHidden/>
              </w:rPr>
              <w:instrText xml:space="preserve"> PAGEREF _Toc178838099 \h </w:instrText>
            </w:r>
            <w:r w:rsidR="00FD58BF">
              <w:rPr>
                <w:noProof/>
                <w:webHidden/>
              </w:rPr>
            </w:r>
            <w:r w:rsidR="00FD58BF">
              <w:rPr>
                <w:noProof/>
                <w:webHidden/>
              </w:rPr>
              <w:fldChar w:fldCharType="separate"/>
            </w:r>
            <w:r w:rsidR="00FD58BF">
              <w:rPr>
                <w:noProof/>
                <w:webHidden/>
              </w:rPr>
              <w:t>701</w:t>
            </w:r>
            <w:r w:rsidR="00FD58BF">
              <w:rPr>
                <w:noProof/>
                <w:webHidden/>
              </w:rPr>
              <w:fldChar w:fldCharType="end"/>
            </w:r>
          </w:hyperlink>
        </w:p>
        <w:p w14:paraId="36901699" w14:textId="6312126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0" w:history="1">
            <w:r w:rsidR="00FD58BF" w:rsidRPr="003004E5">
              <w:rPr>
                <w:rStyle w:val="Lienhypertexte"/>
                <w:noProof/>
              </w:rPr>
              <w:t>22.52.1b Câbles de précontrainte par post-tension CCTB 01.07</w:t>
            </w:r>
            <w:r w:rsidR="00FD58BF">
              <w:rPr>
                <w:noProof/>
                <w:webHidden/>
              </w:rPr>
              <w:tab/>
            </w:r>
            <w:r w:rsidR="00FD58BF">
              <w:rPr>
                <w:noProof/>
                <w:webHidden/>
              </w:rPr>
              <w:fldChar w:fldCharType="begin"/>
            </w:r>
            <w:r w:rsidR="00FD58BF">
              <w:rPr>
                <w:noProof/>
                <w:webHidden/>
              </w:rPr>
              <w:instrText xml:space="preserve"> PAGEREF _Toc178838100 \h </w:instrText>
            </w:r>
            <w:r w:rsidR="00FD58BF">
              <w:rPr>
                <w:noProof/>
                <w:webHidden/>
              </w:rPr>
            </w:r>
            <w:r w:rsidR="00FD58BF">
              <w:rPr>
                <w:noProof/>
                <w:webHidden/>
              </w:rPr>
              <w:fldChar w:fldCharType="separate"/>
            </w:r>
            <w:r w:rsidR="00FD58BF">
              <w:rPr>
                <w:noProof/>
                <w:webHidden/>
              </w:rPr>
              <w:t>701</w:t>
            </w:r>
            <w:r w:rsidR="00FD58BF">
              <w:rPr>
                <w:noProof/>
                <w:webHidden/>
              </w:rPr>
              <w:fldChar w:fldCharType="end"/>
            </w:r>
          </w:hyperlink>
        </w:p>
        <w:p w14:paraId="50BFAD85" w14:textId="621BA2C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1" w:history="1">
            <w:r w:rsidR="00FD58BF" w:rsidRPr="003004E5">
              <w:rPr>
                <w:rStyle w:val="Lienhypertexte"/>
                <w:noProof/>
              </w:rPr>
              <w:t>22.52.1c Torons de précontrainte clairs par post-tension CCTB 01.11</w:t>
            </w:r>
            <w:r w:rsidR="00FD58BF">
              <w:rPr>
                <w:noProof/>
                <w:webHidden/>
              </w:rPr>
              <w:tab/>
            </w:r>
            <w:r w:rsidR="00FD58BF">
              <w:rPr>
                <w:noProof/>
                <w:webHidden/>
              </w:rPr>
              <w:fldChar w:fldCharType="begin"/>
            </w:r>
            <w:r w:rsidR="00FD58BF">
              <w:rPr>
                <w:noProof/>
                <w:webHidden/>
              </w:rPr>
              <w:instrText xml:space="preserve"> PAGEREF _Toc178838101 \h </w:instrText>
            </w:r>
            <w:r w:rsidR="00FD58BF">
              <w:rPr>
                <w:noProof/>
                <w:webHidden/>
              </w:rPr>
            </w:r>
            <w:r w:rsidR="00FD58BF">
              <w:rPr>
                <w:noProof/>
                <w:webHidden/>
              </w:rPr>
              <w:fldChar w:fldCharType="separate"/>
            </w:r>
            <w:r w:rsidR="00FD58BF">
              <w:rPr>
                <w:noProof/>
                <w:webHidden/>
              </w:rPr>
              <w:t>701</w:t>
            </w:r>
            <w:r w:rsidR="00FD58BF">
              <w:rPr>
                <w:noProof/>
                <w:webHidden/>
              </w:rPr>
              <w:fldChar w:fldCharType="end"/>
            </w:r>
          </w:hyperlink>
        </w:p>
        <w:p w14:paraId="64709B29" w14:textId="3082E38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2" w:history="1">
            <w:r w:rsidR="00FD58BF" w:rsidRPr="003004E5">
              <w:rPr>
                <w:rStyle w:val="Lienhypertexte"/>
                <w:noProof/>
              </w:rPr>
              <w:t>22.52.1d Torons de précontrainte par post-tension avec gaines injectées à l'aide d'un coulis de ciment CCTB 01.11</w:t>
            </w:r>
            <w:r w:rsidR="00FD58BF">
              <w:rPr>
                <w:noProof/>
                <w:webHidden/>
              </w:rPr>
              <w:tab/>
            </w:r>
            <w:r w:rsidR="00FD58BF">
              <w:rPr>
                <w:noProof/>
                <w:webHidden/>
              </w:rPr>
              <w:fldChar w:fldCharType="begin"/>
            </w:r>
            <w:r w:rsidR="00FD58BF">
              <w:rPr>
                <w:noProof/>
                <w:webHidden/>
              </w:rPr>
              <w:instrText xml:space="preserve"> PAGEREF _Toc178838102 \h </w:instrText>
            </w:r>
            <w:r w:rsidR="00FD58BF">
              <w:rPr>
                <w:noProof/>
                <w:webHidden/>
              </w:rPr>
            </w:r>
            <w:r w:rsidR="00FD58BF">
              <w:rPr>
                <w:noProof/>
                <w:webHidden/>
              </w:rPr>
              <w:fldChar w:fldCharType="separate"/>
            </w:r>
            <w:r w:rsidR="00FD58BF">
              <w:rPr>
                <w:noProof/>
                <w:webHidden/>
              </w:rPr>
              <w:t>701</w:t>
            </w:r>
            <w:r w:rsidR="00FD58BF">
              <w:rPr>
                <w:noProof/>
                <w:webHidden/>
              </w:rPr>
              <w:fldChar w:fldCharType="end"/>
            </w:r>
          </w:hyperlink>
        </w:p>
        <w:p w14:paraId="4EFD578C" w14:textId="0A66F23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3" w:history="1">
            <w:r w:rsidR="00FD58BF" w:rsidRPr="003004E5">
              <w:rPr>
                <w:rStyle w:val="Lienhypertexte"/>
                <w:noProof/>
              </w:rPr>
              <w:t>22.52.1e Torons de précontrainte par post-tension gainés graissés CCTB 01.11</w:t>
            </w:r>
            <w:r w:rsidR="00FD58BF">
              <w:rPr>
                <w:noProof/>
                <w:webHidden/>
              </w:rPr>
              <w:tab/>
            </w:r>
            <w:r w:rsidR="00FD58BF">
              <w:rPr>
                <w:noProof/>
                <w:webHidden/>
              </w:rPr>
              <w:fldChar w:fldCharType="begin"/>
            </w:r>
            <w:r w:rsidR="00FD58BF">
              <w:rPr>
                <w:noProof/>
                <w:webHidden/>
              </w:rPr>
              <w:instrText xml:space="preserve"> PAGEREF _Toc178838103 \h </w:instrText>
            </w:r>
            <w:r w:rsidR="00FD58BF">
              <w:rPr>
                <w:noProof/>
                <w:webHidden/>
              </w:rPr>
            </w:r>
            <w:r w:rsidR="00FD58BF">
              <w:rPr>
                <w:noProof/>
                <w:webHidden/>
              </w:rPr>
              <w:fldChar w:fldCharType="separate"/>
            </w:r>
            <w:r w:rsidR="00FD58BF">
              <w:rPr>
                <w:noProof/>
                <w:webHidden/>
              </w:rPr>
              <w:t>702</w:t>
            </w:r>
            <w:r w:rsidR="00FD58BF">
              <w:rPr>
                <w:noProof/>
                <w:webHidden/>
              </w:rPr>
              <w:fldChar w:fldCharType="end"/>
            </w:r>
          </w:hyperlink>
        </w:p>
        <w:p w14:paraId="68148606" w14:textId="0B2F512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4" w:history="1">
            <w:r w:rsidR="00FD58BF" w:rsidRPr="003004E5">
              <w:rPr>
                <w:rStyle w:val="Lienhypertexte"/>
                <w:noProof/>
              </w:rPr>
              <w:t>22.52.1f Torons de précontrainte par post-tension galvanisés gainés graissés CCTB 01.11</w:t>
            </w:r>
            <w:r w:rsidR="00FD58BF">
              <w:rPr>
                <w:noProof/>
                <w:webHidden/>
              </w:rPr>
              <w:tab/>
            </w:r>
            <w:r w:rsidR="00FD58BF">
              <w:rPr>
                <w:noProof/>
                <w:webHidden/>
              </w:rPr>
              <w:fldChar w:fldCharType="begin"/>
            </w:r>
            <w:r w:rsidR="00FD58BF">
              <w:rPr>
                <w:noProof/>
                <w:webHidden/>
              </w:rPr>
              <w:instrText xml:space="preserve"> PAGEREF _Toc178838104 \h </w:instrText>
            </w:r>
            <w:r w:rsidR="00FD58BF">
              <w:rPr>
                <w:noProof/>
                <w:webHidden/>
              </w:rPr>
            </w:r>
            <w:r w:rsidR="00FD58BF">
              <w:rPr>
                <w:noProof/>
                <w:webHidden/>
              </w:rPr>
              <w:fldChar w:fldCharType="separate"/>
            </w:r>
            <w:r w:rsidR="00FD58BF">
              <w:rPr>
                <w:noProof/>
                <w:webHidden/>
              </w:rPr>
              <w:t>702</w:t>
            </w:r>
            <w:r w:rsidR="00FD58BF">
              <w:rPr>
                <w:noProof/>
                <w:webHidden/>
              </w:rPr>
              <w:fldChar w:fldCharType="end"/>
            </w:r>
          </w:hyperlink>
        </w:p>
        <w:p w14:paraId="76669128" w14:textId="6A87394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5" w:history="1">
            <w:r w:rsidR="00FD58BF" w:rsidRPr="003004E5">
              <w:rPr>
                <w:rStyle w:val="Lienhypertexte"/>
                <w:noProof/>
              </w:rPr>
              <w:t>22.52.2 Accessoires de précontrainte pour post-tension CCTB 01.04</w:t>
            </w:r>
            <w:r w:rsidR="00FD58BF">
              <w:rPr>
                <w:noProof/>
                <w:webHidden/>
              </w:rPr>
              <w:tab/>
            </w:r>
            <w:r w:rsidR="00FD58BF">
              <w:rPr>
                <w:noProof/>
                <w:webHidden/>
              </w:rPr>
              <w:fldChar w:fldCharType="begin"/>
            </w:r>
            <w:r w:rsidR="00FD58BF">
              <w:rPr>
                <w:noProof/>
                <w:webHidden/>
              </w:rPr>
              <w:instrText xml:space="preserve"> PAGEREF _Toc178838105 \h </w:instrText>
            </w:r>
            <w:r w:rsidR="00FD58BF">
              <w:rPr>
                <w:noProof/>
                <w:webHidden/>
              </w:rPr>
            </w:r>
            <w:r w:rsidR="00FD58BF">
              <w:rPr>
                <w:noProof/>
                <w:webHidden/>
              </w:rPr>
              <w:fldChar w:fldCharType="separate"/>
            </w:r>
            <w:r w:rsidR="00FD58BF">
              <w:rPr>
                <w:noProof/>
                <w:webHidden/>
              </w:rPr>
              <w:t>702</w:t>
            </w:r>
            <w:r w:rsidR="00FD58BF">
              <w:rPr>
                <w:noProof/>
                <w:webHidden/>
              </w:rPr>
              <w:fldChar w:fldCharType="end"/>
            </w:r>
          </w:hyperlink>
        </w:p>
        <w:p w14:paraId="57DBAAD5" w14:textId="0F55237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6" w:history="1">
            <w:r w:rsidR="00FD58BF" w:rsidRPr="003004E5">
              <w:rPr>
                <w:rStyle w:val="Lienhypertexte"/>
                <w:noProof/>
              </w:rPr>
              <w:t>22.52.2a Accessoires de précontrainte par post-tension CCTB 01.04</w:t>
            </w:r>
            <w:r w:rsidR="00FD58BF">
              <w:rPr>
                <w:noProof/>
                <w:webHidden/>
              </w:rPr>
              <w:tab/>
            </w:r>
            <w:r w:rsidR="00FD58BF">
              <w:rPr>
                <w:noProof/>
                <w:webHidden/>
              </w:rPr>
              <w:fldChar w:fldCharType="begin"/>
            </w:r>
            <w:r w:rsidR="00FD58BF">
              <w:rPr>
                <w:noProof/>
                <w:webHidden/>
              </w:rPr>
              <w:instrText xml:space="preserve"> PAGEREF _Toc178838106 \h </w:instrText>
            </w:r>
            <w:r w:rsidR="00FD58BF">
              <w:rPr>
                <w:noProof/>
                <w:webHidden/>
              </w:rPr>
            </w:r>
            <w:r w:rsidR="00FD58BF">
              <w:rPr>
                <w:noProof/>
                <w:webHidden/>
              </w:rPr>
              <w:fldChar w:fldCharType="separate"/>
            </w:r>
            <w:r w:rsidR="00FD58BF">
              <w:rPr>
                <w:noProof/>
                <w:webHidden/>
              </w:rPr>
              <w:t>702</w:t>
            </w:r>
            <w:r w:rsidR="00FD58BF">
              <w:rPr>
                <w:noProof/>
                <w:webHidden/>
              </w:rPr>
              <w:fldChar w:fldCharType="end"/>
            </w:r>
          </w:hyperlink>
        </w:p>
        <w:p w14:paraId="21359E99" w14:textId="000812A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07" w:history="1">
            <w:r w:rsidR="00FD58BF" w:rsidRPr="003004E5">
              <w:rPr>
                <w:rStyle w:val="Lienhypertexte"/>
                <w:noProof/>
              </w:rPr>
              <w:t>22.53 Coffrages CCTB 01.11</w:t>
            </w:r>
            <w:r w:rsidR="00FD58BF">
              <w:rPr>
                <w:noProof/>
                <w:webHidden/>
              </w:rPr>
              <w:tab/>
            </w:r>
            <w:r w:rsidR="00FD58BF">
              <w:rPr>
                <w:noProof/>
                <w:webHidden/>
              </w:rPr>
              <w:fldChar w:fldCharType="begin"/>
            </w:r>
            <w:r w:rsidR="00FD58BF">
              <w:rPr>
                <w:noProof/>
                <w:webHidden/>
              </w:rPr>
              <w:instrText xml:space="preserve"> PAGEREF _Toc178838107 \h </w:instrText>
            </w:r>
            <w:r w:rsidR="00FD58BF">
              <w:rPr>
                <w:noProof/>
                <w:webHidden/>
              </w:rPr>
            </w:r>
            <w:r w:rsidR="00FD58BF">
              <w:rPr>
                <w:noProof/>
                <w:webHidden/>
              </w:rPr>
              <w:fldChar w:fldCharType="separate"/>
            </w:r>
            <w:r w:rsidR="00FD58BF">
              <w:rPr>
                <w:noProof/>
                <w:webHidden/>
              </w:rPr>
              <w:t>702</w:t>
            </w:r>
            <w:r w:rsidR="00FD58BF">
              <w:rPr>
                <w:noProof/>
                <w:webHidden/>
              </w:rPr>
              <w:fldChar w:fldCharType="end"/>
            </w:r>
          </w:hyperlink>
        </w:p>
        <w:p w14:paraId="211218AB" w14:textId="73628FC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8" w:history="1">
            <w:r w:rsidR="00FD58BF" w:rsidRPr="003004E5">
              <w:rPr>
                <w:rStyle w:val="Lienhypertexte"/>
                <w:noProof/>
              </w:rPr>
              <w:t>22.53.1 Coffrages traditionnels CCTB 01.02</w:t>
            </w:r>
            <w:r w:rsidR="00FD58BF">
              <w:rPr>
                <w:noProof/>
                <w:webHidden/>
              </w:rPr>
              <w:tab/>
            </w:r>
            <w:r w:rsidR="00FD58BF">
              <w:rPr>
                <w:noProof/>
                <w:webHidden/>
              </w:rPr>
              <w:fldChar w:fldCharType="begin"/>
            </w:r>
            <w:r w:rsidR="00FD58BF">
              <w:rPr>
                <w:noProof/>
                <w:webHidden/>
              </w:rPr>
              <w:instrText xml:space="preserve"> PAGEREF _Toc178838108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4E491DBB" w14:textId="52CC267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9" w:history="1">
            <w:r w:rsidR="00FD58BF" w:rsidRPr="003004E5">
              <w:rPr>
                <w:rStyle w:val="Lienhypertexte"/>
                <w:noProof/>
              </w:rPr>
              <w:t>22.53.1a Coffrages traditionnels pour béton non apparent CCTB 01.04</w:t>
            </w:r>
            <w:r w:rsidR="00FD58BF">
              <w:rPr>
                <w:noProof/>
                <w:webHidden/>
              </w:rPr>
              <w:tab/>
            </w:r>
            <w:r w:rsidR="00FD58BF">
              <w:rPr>
                <w:noProof/>
                <w:webHidden/>
              </w:rPr>
              <w:fldChar w:fldCharType="begin"/>
            </w:r>
            <w:r w:rsidR="00FD58BF">
              <w:rPr>
                <w:noProof/>
                <w:webHidden/>
              </w:rPr>
              <w:instrText xml:space="preserve"> PAGEREF _Toc178838109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66065EF4" w14:textId="40B9A31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0" w:history="1">
            <w:r w:rsidR="00FD58BF" w:rsidRPr="003004E5">
              <w:rPr>
                <w:rStyle w:val="Lienhypertexte"/>
                <w:noProof/>
              </w:rPr>
              <w:t>22.53.1b Coffrages traditionnels pour béton apparent CCTB 01.04</w:t>
            </w:r>
            <w:r w:rsidR="00FD58BF">
              <w:rPr>
                <w:noProof/>
                <w:webHidden/>
              </w:rPr>
              <w:tab/>
            </w:r>
            <w:r w:rsidR="00FD58BF">
              <w:rPr>
                <w:noProof/>
                <w:webHidden/>
              </w:rPr>
              <w:fldChar w:fldCharType="begin"/>
            </w:r>
            <w:r w:rsidR="00FD58BF">
              <w:rPr>
                <w:noProof/>
                <w:webHidden/>
              </w:rPr>
              <w:instrText xml:space="preserve"> PAGEREF _Toc178838110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1D75B68C" w14:textId="3E460FB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1" w:history="1">
            <w:r w:rsidR="00FD58BF" w:rsidRPr="003004E5">
              <w:rPr>
                <w:rStyle w:val="Lienhypertexte"/>
                <w:noProof/>
              </w:rPr>
              <w:t>22.53.1c Coffrages traditionnels lisses CCTB 01.04</w:t>
            </w:r>
            <w:r w:rsidR="00FD58BF">
              <w:rPr>
                <w:noProof/>
                <w:webHidden/>
              </w:rPr>
              <w:tab/>
            </w:r>
            <w:r w:rsidR="00FD58BF">
              <w:rPr>
                <w:noProof/>
                <w:webHidden/>
              </w:rPr>
              <w:fldChar w:fldCharType="begin"/>
            </w:r>
            <w:r w:rsidR="00FD58BF">
              <w:rPr>
                <w:noProof/>
                <w:webHidden/>
              </w:rPr>
              <w:instrText xml:space="preserve"> PAGEREF _Toc178838111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47E8CEA8" w14:textId="75A064A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2" w:history="1">
            <w:r w:rsidR="00FD58BF" w:rsidRPr="003004E5">
              <w:rPr>
                <w:rStyle w:val="Lienhypertexte"/>
                <w:noProof/>
              </w:rPr>
              <w:t>22.53.1d Coffrages traditionnels avec motifs décoratifs CCTB 01.04</w:t>
            </w:r>
            <w:r w:rsidR="00FD58BF">
              <w:rPr>
                <w:noProof/>
                <w:webHidden/>
              </w:rPr>
              <w:tab/>
            </w:r>
            <w:r w:rsidR="00FD58BF">
              <w:rPr>
                <w:noProof/>
                <w:webHidden/>
              </w:rPr>
              <w:fldChar w:fldCharType="begin"/>
            </w:r>
            <w:r w:rsidR="00FD58BF">
              <w:rPr>
                <w:noProof/>
                <w:webHidden/>
              </w:rPr>
              <w:instrText xml:space="preserve"> PAGEREF _Toc178838112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494CECE8" w14:textId="4C85395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3" w:history="1">
            <w:r w:rsidR="00FD58BF" w:rsidRPr="003004E5">
              <w:rPr>
                <w:rStyle w:val="Lienhypertexte"/>
                <w:noProof/>
              </w:rPr>
              <w:t>22.53.2 Coffrages modulaires avec cadre métallique CCTB 01.02</w:t>
            </w:r>
            <w:r w:rsidR="00FD58BF">
              <w:rPr>
                <w:noProof/>
                <w:webHidden/>
              </w:rPr>
              <w:tab/>
            </w:r>
            <w:r w:rsidR="00FD58BF">
              <w:rPr>
                <w:noProof/>
                <w:webHidden/>
              </w:rPr>
              <w:fldChar w:fldCharType="begin"/>
            </w:r>
            <w:r w:rsidR="00FD58BF">
              <w:rPr>
                <w:noProof/>
                <w:webHidden/>
              </w:rPr>
              <w:instrText xml:space="preserve"> PAGEREF _Toc178838113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27294D02" w14:textId="1307DE1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4" w:history="1">
            <w:r w:rsidR="00FD58BF" w:rsidRPr="003004E5">
              <w:rPr>
                <w:rStyle w:val="Lienhypertexte"/>
                <w:noProof/>
              </w:rPr>
              <w:t>22.53.2a Coffrages modulaires avec cadre métallique pour béton non apparent CCTB 01.04</w:t>
            </w:r>
            <w:r w:rsidR="00FD58BF">
              <w:rPr>
                <w:noProof/>
                <w:webHidden/>
              </w:rPr>
              <w:tab/>
            </w:r>
            <w:r w:rsidR="00FD58BF">
              <w:rPr>
                <w:noProof/>
                <w:webHidden/>
              </w:rPr>
              <w:fldChar w:fldCharType="begin"/>
            </w:r>
            <w:r w:rsidR="00FD58BF">
              <w:rPr>
                <w:noProof/>
                <w:webHidden/>
              </w:rPr>
              <w:instrText xml:space="preserve"> PAGEREF _Toc178838114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767C1F90" w14:textId="3207108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5" w:history="1">
            <w:r w:rsidR="00FD58BF" w:rsidRPr="003004E5">
              <w:rPr>
                <w:rStyle w:val="Lienhypertexte"/>
                <w:noProof/>
              </w:rPr>
              <w:t>22.53.2b Coffrages modulaires avec cadre métallique pour béton apparent CCTB 01.04</w:t>
            </w:r>
            <w:r w:rsidR="00FD58BF">
              <w:rPr>
                <w:noProof/>
                <w:webHidden/>
              </w:rPr>
              <w:tab/>
            </w:r>
            <w:r w:rsidR="00FD58BF">
              <w:rPr>
                <w:noProof/>
                <w:webHidden/>
              </w:rPr>
              <w:fldChar w:fldCharType="begin"/>
            </w:r>
            <w:r w:rsidR="00FD58BF">
              <w:rPr>
                <w:noProof/>
                <w:webHidden/>
              </w:rPr>
              <w:instrText xml:space="preserve"> PAGEREF _Toc178838115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12D3CF5A" w14:textId="1D7049C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6" w:history="1">
            <w:r w:rsidR="00FD58BF" w:rsidRPr="003004E5">
              <w:rPr>
                <w:rStyle w:val="Lienhypertexte"/>
                <w:noProof/>
              </w:rPr>
              <w:t>22.53.2c Coffrages modulaires avec cadre métallique lisses CCTB 01.04</w:t>
            </w:r>
            <w:r w:rsidR="00FD58BF">
              <w:rPr>
                <w:noProof/>
                <w:webHidden/>
              </w:rPr>
              <w:tab/>
            </w:r>
            <w:r w:rsidR="00FD58BF">
              <w:rPr>
                <w:noProof/>
                <w:webHidden/>
              </w:rPr>
              <w:fldChar w:fldCharType="begin"/>
            </w:r>
            <w:r w:rsidR="00FD58BF">
              <w:rPr>
                <w:noProof/>
                <w:webHidden/>
              </w:rPr>
              <w:instrText xml:space="preserve"> PAGEREF _Toc178838116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62C662DF" w14:textId="4D5B38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7" w:history="1">
            <w:r w:rsidR="00FD58BF" w:rsidRPr="003004E5">
              <w:rPr>
                <w:rStyle w:val="Lienhypertexte"/>
                <w:noProof/>
              </w:rPr>
              <w:t>22.53.2d Coffrages modulaires avec cadre métallique à motifs décoratifs CCTB 01.04</w:t>
            </w:r>
            <w:r w:rsidR="00FD58BF">
              <w:rPr>
                <w:noProof/>
                <w:webHidden/>
              </w:rPr>
              <w:tab/>
            </w:r>
            <w:r w:rsidR="00FD58BF">
              <w:rPr>
                <w:noProof/>
                <w:webHidden/>
              </w:rPr>
              <w:fldChar w:fldCharType="begin"/>
            </w:r>
            <w:r w:rsidR="00FD58BF">
              <w:rPr>
                <w:noProof/>
                <w:webHidden/>
              </w:rPr>
              <w:instrText xml:space="preserve"> PAGEREF _Toc178838117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6FCBE12C" w14:textId="73E7174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8" w:history="1">
            <w:r w:rsidR="00FD58BF" w:rsidRPr="003004E5">
              <w:rPr>
                <w:rStyle w:val="Lienhypertexte"/>
                <w:noProof/>
              </w:rPr>
              <w:t>22.53.2e Coffrages modulaires avec cadre métallique d'éléments spéciaux (moules) CCTB 01.04</w:t>
            </w:r>
            <w:r w:rsidR="00FD58BF">
              <w:rPr>
                <w:noProof/>
                <w:webHidden/>
              </w:rPr>
              <w:tab/>
            </w:r>
            <w:r w:rsidR="00FD58BF">
              <w:rPr>
                <w:noProof/>
                <w:webHidden/>
              </w:rPr>
              <w:fldChar w:fldCharType="begin"/>
            </w:r>
            <w:r w:rsidR="00FD58BF">
              <w:rPr>
                <w:noProof/>
                <w:webHidden/>
              </w:rPr>
              <w:instrText xml:space="preserve"> PAGEREF _Toc178838118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7B8A3EDB" w14:textId="7FA8F33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9" w:history="1">
            <w:r w:rsidR="00FD58BF" w:rsidRPr="003004E5">
              <w:rPr>
                <w:rStyle w:val="Lienhypertexte"/>
                <w:noProof/>
              </w:rPr>
              <w:t>22.53.3 Systèmes de coffrage particuliers CCTB 01.04</w:t>
            </w:r>
            <w:r w:rsidR="00FD58BF">
              <w:rPr>
                <w:noProof/>
                <w:webHidden/>
              </w:rPr>
              <w:tab/>
            </w:r>
            <w:r w:rsidR="00FD58BF">
              <w:rPr>
                <w:noProof/>
                <w:webHidden/>
              </w:rPr>
              <w:fldChar w:fldCharType="begin"/>
            </w:r>
            <w:r w:rsidR="00FD58BF">
              <w:rPr>
                <w:noProof/>
                <w:webHidden/>
              </w:rPr>
              <w:instrText xml:space="preserve"> PAGEREF _Toc178838119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019A4ABA" w14:textId="363706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0" w:history="1">
            <w:r w:rsidR="00FD58BF" w:rsidRPr="003004E5">
              <w:rPr>
                <w:rStyle w:val="Lienhypertexte"/>
                <w:noProof/>
              </w:rPr>
              <w:t>22.53.3a Coffrages grimpants CCTB 01.04</w:t>
            </w:r>
            <w:r w:rsidR="00FD58BF">
              <w:rPr>
                <w:noProof/>
                <w:webHidden/>
              </w:rPr>
              <w:tab/>
            </w:r>
            <w:r w:rsidR="00FD58BF">
              <w:rPr>
                <w:noProof/>
                <w:webHidden/>
              </w:rPr>
              <w:fldChar w:fldCharType="begin"/>
            </w:r>
            <w:r w:rsidR="00FD58BF">
              <w:rPr>
                <w:noProof/>
                <w:webHidden/>
              </w:rPr>
              <w:instrText xml:space="preserve"> PAGEREF _Toc178838120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17317C18" w14:textId="2A822EE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1" w:history="1">
            <w:r w:rsidR="00FD58BF" w:rsidRPr="003004E5">
              <w:rPr>
                <w:rStyle w:val="Lienhypertexte"/>
                <w:noProof/>
              </w:rPr>
              <w:t>22.53.3b Coffrages glissants CCTB 01.04</w:t>
            </w:r>
            <w:r w:rsidR="00FD58BF">
              <w:rPr>
                <w:noProof/>
                <w:webHidden/>
              </w:rPr>
              <w:tab/>
            </w:r>
            <w:r w:rsidR="00FD58BF">
              <w:rPr>
                <w:noProof/>
                <w:webHidden/>
              </w:rPr>
              <w:fldChar w:fldCharType="begin"/>
            </w:r>
            <w:r w:rsidR="00FD58BF">
              <w:rPr>
                <w:noProof/>
                <w:webHidden/>
              </w:rPr>
              <w:instrText xml:space="preserve"> PAGEREF _Toc178838121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607252E0" w14:textId="4B15205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2" w:history="1">
            <w:r w:rsidR="00FD58BF" w:rsidRPr="003004E5">
              <w:rPr>
                <w:rStyle w:val="Lienhypertexte"/>
                <w:noProof/>
              </w:rPr>
              <w:t>22.53.3c Coffrages avec système de pompage par le bas CCTB 01.04</w:t>
            </w:r>
            <w:r w:rsidR="00FD58BF">
              <w:rPr>
                <w:noProof/>
                <w:webHidden/>
              </w:rPr>
              <w:tab/>
            </w:r>
            <w:r w:rsidR="00FD58BF">
              <w:rPr>
                <w:noProof/>
                <w:webHidden/>
              </w:rPr>
              <w:fldChar w:fldCharType="begin"/>
            </w:r>
            <w:r w:rsidR="00FD58BF">
              <w:rPr>
                <w:noProof/>
                <w:webHidden/>
              </w:rPr>
              <w:instrText xml:space="preserve"> PAGEREF _Toc178838122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1CE23C86" w14:textId="2F30E2C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3" w:history="1">
            <w:r w:rsidR="00FD58BF" w:rsidRPr="003004E5">
              <w:rPr>
                <w:rStyle w:val="Lienhypertexte"/>
                <w:noProof/>
              </w:rPr>
              <w:t>22.53.3d Coffrages en matière textile CCTB 01.04</w:t>
            </w:r>
            <w:r w:rsidR="00FD58BF">
              <w:rPr>
                <w:noProof/>
                <w:webHidden/>
              </w:rPr>
              <w:tab/>
            </w:r>
            <w:r w:rsidR="00FD58BF">
              <w:rPr>
                <w:noProof/>
                <w:webHidden/>
              </w:rPr>
              <w:fldChar w:fldCharType="begin"/>
            </w:r>
            <w:r w:rsidR="00FD58BF">
              <w:rPr>
                <w:noProof/>
                <w:webHidden/>
              </w:rPr>
              <w:instrText xml:space="preserve"> PAGEREF _Toc178838123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2E389415" w14:textId="2E3F080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4" w:history="1">
            <w:r w:rsidR="00FD58BF" w:rsidRPr="003004E5">
              <w:rPr>
                <w:rStyle w:val="Lienhypertexte"/>
                <w:noProof/>
              </w:rPr>
              <w:t>22.53.3e Coffrages gonflables CCTB 01.04</w:t>
            </w:r>
            <w:r w:rsidR="00FD58BF">
              <w:rPr>
                <w:noProof/>
                <w:webHidden/>
              </w:rPr>
              <w:tab/>
            </w:r>
            <w:r w:rsidR="00FD58BF">
              <w:rPr>
                <w:noProof/>
                <w:webHidden/>
              </w:rPr>
              <w:fldChar w:fldCharType="begin"/>
            </w:r>
            <w:r w:rsidR="00FD58BF">
              <w:rPr>
                <w:noProof/>
                <w:webHidden/>
              </w:rPr>
              <w:instrText xml:space="preserve"> PAGEREF _Toc178838124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4B95B455" w14:textId="5BE99D1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25" w:history="1">
            <w:r w:rsidR="00FD58BF" w:rsidRPr="003004E5">
              <w:rPr>
                <w:rStyle w:val="Lienhypertexte"/>
                <w:noProof/>
              </w:rPr>
              <w:t>22.53.4 Coffrages permanents CCTB 01.04</w:t>
            </w:r>
            <w:r w:rsidR="00FD58BF">
              <w:rPr>
                <w:noProof/>
                <w:webHidden/>
              </w:rPr>
              <w:tab/>
            </w:r>
            <w:r w:rsidR="00FD58BF">
              <w:rPr>
                <w:noProof/>
                <w:webHidden/>
              </w:rPr>
              <w:fldChar w:fldCharType="begin"/>
            </w:r>
            <w:r w:rsidR="00FD58BF">
              <w:rPr>
                <w:noProof/>
                <w:webHidden/>
              </w:rPr>
              <w:instrText xml:space="preserve"> PAGEREF _Toc178838125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4933FE64" w14:textId="1274774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6" w:history="1">
            <w:r w:rsidR="00FD58BF" w:rsidRPr="003004E5">
              <w:rPr>
                <w:rStyle w:val="Lienhypertexte"/>
                <w:noProof/>
              </w:rPr>
              <w:t>22.53.4a Coffrages traditionnels permanents CCTB 01.04</w:t>
            </w:r>
            <w:r w:rsidR="00FD58BF">
              <w:rPr>
                <w:noProof/>
                <w:webHidden/>
              </w:rPr>
              <w:tab/>
            </w:r>
            <w:r w:rsidR="00FD58BF">
              <w:rPr>
                <w:noProof/>
                <w:webHidden/>
              </w:rPr>
              <w:fldChar w:fldCharType="begin"/>
            </w:r>
            <w:r w:rsidR="00FD58BF">
              <w:rPr>
                <w:noProof/>
                <w:webHidden/>
              </w:rPr>
              <w:instrText xml:space="preserve"> PAGEREF _Toc178838126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6AB3102D" w14:textId="2BDC25F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7" w:history="1">
            <w:r w:rsidR="00FD58BF" w:rsidRPr="003004E5">
              <w:rPr>
                <w:rStyle w:val="Lienhypertexte"/>
                <w:noProof/>
              </w:rPr>
              <w:t>22.53.4b Coffrages permanents en synthétique armé CCTB 01.04</w:t>
            </w:r>
            <w:r w:rsidR="00FD58BF">
              <w:rPr>
                <w:noProof/>
                <w:webHidden/>
              </w:rPr>
              <w:tab/>
            </w:r>
            <w:r w:rsidR="00FD58BF">
              <w:rPr>
                <w:noProof/>
                <w:webHidden/>
              </w:rPr>
              <w:fldChar w:fldCharType="begin"/>
            </w:r>
            <w:r w:rsidR="00FD58BF">
              <w:rPr>
                <w:noProof/>
                <w:webHidden/>
              </w:rPr>
              <w:instrText xml:space="preserve"> PAGEREF _Toc178838127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728083FB" w14:textId="27DA4A0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8" w:history="1">
            <w:r w:rsidR="00FD58BF" w:rsidRPr="003004E5">
              <w:rPr>
                <w:rStyle w:val="Lienhypertexte"/>
                <w:noProof/>
              </w:rPr>
              <w:t>22.53.4c Coffrages permanents en plaques d'isolant CCTB 01.04</w:t>
            </w:r>
            <w:r w:rsidR="00FD58BF">
              <w:rPr>
                <w:noProof/>
                <w:webHidden/>
              </w:rPr>
              <w:tab/>
            </w:r>
            <w:r w:rsidR="00FD58BF">
              <w:rPr>
                <w:noProof/>
                <w:webHidden/>
              </w:rPr>
              <w:fldChar w:fldCharType="begin"/>
            </w:r>
            <w:r w:rsidR="00FD58BF">
              <w:rPr>
                <w:noProof/>
                <w:webHidden/>
              </w:rPr>
              <w:instrText xml:space="preserve"> PAGEREF _Toc178838128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47543B21" w14:textId="792AC30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9" w:history="1">
            <w:r w:rsidR="00FD58BF" w:rsidRPr="003004E5">
              <w:rPr>
                <w:rStyle w:val="Lienhypertexte"/>
                <w:noProof/>
              </w:rPr>
              <w:t>22.53.4d Coffrages permanents en bacs acier CCTB 01.04</w:t>
            </w:r>
            <w:r w:rsidR="00FD58BF">
              <w:rPr>
                <w:noProof/>
                <w:webHidden/>
              </w:rPr>
              <w:tab/>
            </w:r>
            <w:r w:rsidR="00FD58BF">
              <w:rPr>
                <w:noProof/>
                <w:webHidden/>
              </w:rPr>
              <w:fldChar w:fldCharType="begin"/>
            </w:r>
            <w:r w:rsidR="00FD58BF">
              <w:rPr>
                <w:noProof/>
                <w:webHidden/>
              </w:rPr>
              <w:instrText xml:space="preserve"> PAGEREF _Toc178838129 \h </w:instrText>
            </w:r>
            <w:r w:rsidR="00FD58BF">
              <w:rPr>
                <w:noProof/>
                <w:webHidden/>
              </w:rPr>
            </w:r>
            <w:r w:rsidR="00FD58BF">
              <w:rPr>
                <w:noProof/>
                <w:webHidden/>
              </w:rPr>
              <w:fldChar w:fldCharType="separate"/>
            </w:r>
            <w:r w:rsidR="00FD58BF">
              <w:rPr>
                <w:noProof/>
                <w:webHidden/>
              </w:rPr>
              <w:t>705</w:t>
            </w:r>
            <w:r w:rsidR="00FD58BF">
              <w:rPr>
                <w:noProof/>
                <w:webHidden/>
              </w:rPr>
              <w:fldChar w:fldCharType="end"/>
            </w:r>
          </w:hyperlink>
        </w:p>
        <w:p w14:paraId="056D4014" w14:textId="2559E6A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0" w:history="1">
            <w:r w:rsidR="00FD58BF" w:rsidRPr="003004E5">
              <w:rPr>
                <w:rStyle w:val="Lienhypertexte"/>
                <w:noProof/>
              </w:rPr>
              <w:t>22.53.4e Coffrages permanents en gaines acier CCTB 01.04</w:t>
            </w:r>
            <w:r w:rsidR="00FD58BF">
              <w:rPr>
                <w:noProof/>
                <w:webHidden/>
              </w:rPr>
              <w:tab/>
            </w:r>
            <w:r w:rsidR="00FD58BF">
              <w:rPr>
                <w:noProof/>
                <w:webHidden/>
              </w:rPr>
              <w:fldChar w:fldCharType="begin"/>
            </w:r>
            <w:r w:rsidR="00FD58BF">
              <w:rPr>
                <w:noProof/>
                <w:webHidden/>
              </w:rPr>
              <w:instrText xml:space="preserve"> PAGEREF _Toc178838130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4B3FDFA2" w14:textId="533D3A2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1" w:history="1">
            <w:r w:rsidR="00FD58BF" w:rsidRPr="003004E5">
              <w:rPr>
                <w:rStyle w:val="Lienhypertexte"/>
                <w:noProof/>
              </w:rPr>
              <w:t>22.53.4f Coffrages permanents en tuyaux CCTB 01.04</w:t>
            </w:r>
            <w:r w:rsidR="00FD58BF">
              <w:rPr>
                <w:noProof/>
                <w:webHidden/>
              </w:rPr>
              <w:tab/>
            </w:r>
            <w:r w:rsidR="00FD58BF">
              <w:rPr>
                <w:noProof/>
                <w:webHidden/>
              </w:rPr>
              <w:fldChar w:fldCharType="begin"/>
            </w:r>
            <w:r w:rsidR="00FD58BF">
              <w:rPr>
                <w:noProof/>
                <w:webHidden/>
              </w:rPr>
              <w:instrText xml:space="preserve"> PAGEREF _Toc178838131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6C7335AC" w14:textId="10BE73F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2" w:history="1">
            <w:r w:rsidR="00FD58BF" w:rsidRPr="003004E5">
              <w:rPr>
                <w:rStyle w:val="Lienhypertexte"/>
                <w:noProof/>
              </w:rPr>
              <w:t>22.53.4g Coffrages permanents en béton cellulaire CCTB 01.04</w:t>
            </w:r>
            <w:r w:rsidR="00FD58BF">
              <w:rPr>
                <w:noProof/>
                <w:webHidden/>
              </w:rPr>
              <w:tab/>
            </w:r>
            <w:r w:rsidR="00FD58BF">
              <w:rPr>
                <w:noProof/>
                <w:webHidden/>
              </w:rPr>
              <w:fldChar w:fldCharType="begin"/>
            </w:r>
            <w:r w:rsidR="00FD58BF">
              <w:rPr>
                <w:noProof/>
                <w:webHidden/>
              </w:rPr>
              <w:instrText xml:space="preserve"> PAGEREF _Toc178838132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1ADEEFF0" w14:textId="7DFEB75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33" w:history="1">
            <w:r w:rsidR="00FD58BF" w:rsidRPr="003004E5">
              <w:rPr>
                <w:rStyle w:val="Lienhypertexte"/>
                <w:noProof/>
              </w:rPr>
              <w:t>22.53.5 Systèmes de coffrage à détruire CCTB 01.02</w:t>
            </w:r>
            <w:r w:rsidR="00FD58BF">
              <w:rPr>
                <w:noProof/>
                <w:webHidden/>
              </w:rPr>
              <w:tab/>
            </w:r>
            <w:r w:rsidR="00FD58BF">
              <w:rPr>
                <w:noProof/>
                <w:webHidden/>
              </w:rPr>
              <w:fldChar w:fldCharType="begin"/>
            </w:r>
            <w:r w:rsidR="00FD58BF">
              <w:rPr>
                <w:noProof/>
                <w:webHidden/>
              </w:rPr>
              <w:instrText xml:space="preserve"> PAGEREF _Toc178838133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75A785C1" w14:textId="6667935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4" w:history="1">
            <w:r w:rsidR="00FD58BF" w:rsidRPr="003004E5">
              <w:rPr>
                <w:rStyle w:val="Lienhypertexte"/>
                <w:noProof/>
              </w:rPr>
              <w:t>22.53.5a Systèmes de coffrage à détruire de colonnes rondes CCTB 01.04</w:t>
            </w:r>
            <w:r w:rsidR="00FD58BF">
              <w:rPr>
                <w:noProof/>
                <w:webHidden/>
              </w:rPr>
              <w:tab/>
            </w:r>
            <w:r w:rsidR="00FD58BF">
              <w:rPr>
                <w:noProof/>
                <w:webHidden/>
              </w:rPr>
              <w:fldChar w:fldCharType="begin"/>
            </w:r>
            <w:r w:rsidR="00FD58BF">
              <w:rPr>
                <w:noProof/>
                <w:webHidden/>
              </w:rPr>
              <w:instrText xml:space="preserve"> PAGEREF _Toc178838134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36C32677" w14:textId="08F299D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5" w:history="1">
            <w:r w:rsidR="00FD58BF" w:rsidRPr="003004E5">
              <w:rPr>
                <w:rStyle w:val="Lienhypertexte"/>
                <w:noProof/>
              </w:rPr>
              <w:t>22.53.5b Systèmes de coffrage à détruire de colonnes à facettes CCTB 01.04</w:t>
            </w:r>
            <w:r w:rsidR="00FD58BF">
              <w:rPr>
                <w:noProof/>
                <w:webHidden/>
              </w:rPr>
              <w:tab/>
            </w:r>
            <w:r w:rsidR="00FD58BF">
              <w:rPr>
                <w:noProof/>
                <w:webHidden/>
              </w:rPr>
              <w:fldChar w:fldCharType="begin"/>
            </w:r>
            <w:r w:rsidR="00FD58BF">
              <w:rPr>
                <w:noProof/>
                <w:webHidden/>
              </w:rPr>
              <w:instrText xml:space="preserve"> PAGEREF _Toc178838135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77A765B0" w14:textId="6546731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6" w:history="1">
            <w:r w:rsidR="00FD58BF" w:rsidRPr="003004E5">
              <w:rPr>
                <w:rStyle w:val="Lienhypertexte"/>
                <w:noProof/>
              </w:rPr>
              <w:t>22.53.5c Systèmes de coffrage à détruire d'éléments spéciaux (moules) CCTB 01.04</w:t>
            </w:r>
            <w:r w:rsidR="00FD58BF">
              <w:rPr>
                <w:noProof/>
                <w:webHidden/>
              </w:rPr>
              <w:tab/>
            </w:r>
            <w:r w:rsidR="00FD58BF">
              <w:rPr>
                <w:noProof/>
                <w:webHidden/>
              </w:rPr>
              <w:fldChar w:fldCharType="begin"/>
            </w:r>
            <w:r w:rsidR="00FD58BF">
              <w:rPr>
                <w:noProof/>
                <w:webHidden/>
              </w:rPr>
              <w:instrText xml:space="preserve"> PAGEREF _Toc178838136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6BF5158F" w14:textId="3DA1ECD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37" w:history="1">
            <w:r w:rsidR="00FD58BF" w:rsidRPr="003004E5">
              <w:rPr>
                <w:rStyle w:val="Lienhypertexte"/>
                <w:noProof/>
              </w:rPr>
              <w:t>22.53.6 Membranes spéciales pour coffrage CCTB 01.02</w:t>
            </w:r>
            <w:r w:rsidR="00FD58BF">
              <w:rPr>
                <w:noProof/>
                <w:webHidden/>
              </w:rPr>
              <w:tab/>
            </w:r>
            <w:r w:rsidR="00FD58BF">
              <w:rPr>
                <w:noProof/>
                <w:webHidden/>
              </w:rPr>
              <w:fldChar w:fldCharType="begin"/>
            </w:r>
            <w:r w:rsidR="00FD58BF">
              <w:rPr>
                <w:noProof/>
                <w:webHidden/>
              </w:rPr>
              <w:instrText xml:space="preserve"> PAGEREF _Toc178838137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3448FC45" w14:textId="594F972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8" w:history="1">
            <w:r w:rsidR="00FD58BF" w:rsidRPr="003004E5">
              <w:rPr>
                <w:rStyle w:val="Lienhypertexte"/>
                <w:noProof/>
              </w:rPr>
              <w:t>22.53.6a Membrane drainante réutilisable pour coffrage CCTB 01.04</w:t>
            </w:r>
            <w:r w:rsidR="00FD58BF">
              <w:rPr>
                <w:noProof/>
                <w:webHidden/>
              </w:rPr>
              <w:tab/>
            </w:r>
            <w:r w:rsidR="00FD58BF">
              <w:rPr>
                <w:noProof/>
                <w:webHidden/>
              </w:rPr>
              <w:fldChar w:fldCharType="begin"/>
            </w:r>
            <w:r w:rsidR="00FD58BF">
              <w:rPr>
                <w:noProof/>
                <w:webHidden/>
              </w:rPr>
              <w:instrText xml:space="preserve"> PAGEREF _Toc178838138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6F02BD81" w14:textId="3BA0FA7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9" w:history="1">
            <w:r w:rsidR="00FD58BF" w:rsidRPr="003004E5">
              <w:rPr>
                <w:rStyle w:val="Lienhypertexte"/>
                <w:noProof/>
              </w:rPr>
              <w:t>22.53.6b Membrane drainante à détruire pour coffrage CCTB 01.04</w:t>
            </w:r>
            <w:r w:rsidR="00FD58BF">
              <w:rPr>
                <w:noProof/>
                <w:webHidden/>
              </w:rPr>
              <w:tab/>
            </w:r>
            <w:r w:rsidR="00FD58BF">
              <w:rPr>
                <w:noProof/>
                <w:webHidden/>
              </w:rPr>
              <w:fldChar w:fldCharType="begin"/>
            </w:r>
            <w:r w:rsidR="00FD58BF">
              <w:rPr>
                <w:noProof/>
                <w:webHidden/>
              </w:rPr>
              <w:instrText xml:space="preserve"> PAGEREF _Toc178838139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572CE0EB" w14:textId="5C2F5AB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0" w:history="1">
            <w:r w:rsidR="00FD58BF" w:rsidRPr="003004E5">
              <w:rPr>
                <w:rStyle w:val="Lienhypertexte"/>
                <w:noProof/>
              </w:rPr>
              <w:t>22.53.6c Membrane à motifs décoratifs réutilisable pour coffrage CCTB 01.04</w:t>
            </w:r>
            <w:r w:rsidR="00FD58BF">
              <w:rPr>
                <w:noProof/>
                <w:webHidden/>
              </w:rPr>
              <w:tab/>
            </w:r>
            <w:r w:rsidR="00FD58BF">
              <w:rPr>
                <w:noProof/>
                <w:webHidden/>
              </w:rPr>
              <w:fldChar w:fldCharType="begin"/>
            </w:r>
            <w:r w:rsidR="00FD58BF">
              <w:rPr>
                <w:noProof/>
                <w:webHidden/>
              </w:rPr>
              <w:instrText xml:space="preserve"> PAGEREF _Toc178838140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6FBD764D" w14:textId="237B08F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1" w:history="1">
            <w:r w:rsidR="00FD58BF" w:rsidRPr="003004E5">
              <w:rPr>
                <w:rStyle w:val="Lienhypertexte"/>
                <w:noProof/>
              </w:rPr>
              <w:t>22.53.6d Membrane à motifs décoratifs à détruire pour coffrage CCTB 01.04</w:t>
            </w:r>
            <w:r w:rsidR="00FD58BF">
              <w:rPr>
                <w:noProof/>
                <w:webHidden/>
              </w:rPr>
              <w:tab/>
            </w:r>
            <w:r w:rsidR="00FD58BF">
              <w:rPr>
                <w:noProof/>
                <w:webHidden/>
              </w:rPr>
              <w:fldChar w:fldCharType="begin"/>
            </w:r>
            <w:r w:rsidR="00FD58BF">
              <w:rPr>
                <w:noProof/>
                <w:webHidden/>
              </w:rPr>
              <w:instrText xml:space="preserve"> PAGEREF _Toc178838141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52706D7E" w14:textId="15F192CE"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142" w:history="1">
            <w:r w:rsidR="00FD58BF" w:rsidRPr="003004E5">
              <w:rPr>
                <w:rStyle w:val="Lienhypertexte"/>
                <w:noProof/>
              </w:rPr>
              <w:t>22.6 Réalisation de joints CCTB 01.11</w:t>
            </w:r>
            <w:r w:rsidR="00FD58BF">
              <w:rPr>
                <w:noProof/>
                <w:webHidden/>
              </w:rPr>
              <w:tab/>
            </w:r>
            <w:r w:rsidR="00FD58BF">
              <w:rPr>
                <w:noProof/>
                <w:webHidden/>
              </w:rPr>
              <w:fldChar w:fldCharType="begin"/>
            </w:r>
            <w:r w:rsidR="00FD58BF">
              <w:rPr>
                <w:noProof/>
                <w:webHidden/>
              </w:rPr>
              <w:instrText xml:space="preserve"> PAGEREF _Toc178838142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3E256EFD" w14:textId="4E3C8FA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43" w:history="1">
            <w:r w:rsidR="00FD58BF" w:rsidRPr="003004E5">
              <w:rPr>
                <w:rStyle w:val="Lienhypertexte"/>
                <w:noProof/>
              </w:rPr>
              <w:t>22.61 Joints structuraux CCTB 01.12</w:t>
            </w:r>
            <w:r w:rsidR="00FD58BF">
              <w:rPr>
                <w:noProof/>
                <w:webHidden/>
              </w:rPr>
              <w:tab/>
            </w:r>
            <w:r w:rsidR="00FD58BF">
              <w:rPr>
                <w:noProof/>
                <w:webHidden/>
              </w:rPr>
              <w:fldChar w:fldCharType="begin"/>
            </w:r>
            <w:r w:rsidR="00FD58BF">
              <w:rPr>
                <w:noProof/>
                <w:webHidden/>
              </w:rPr>
              <w:instrText xml:space="preserve"> PAGEREF _Toc178838143 \h </w:instrText>
            </w:r>
            <w:r w:rsidR="00FD58BF">
              <w:rPr>
                <w:noProof/>
                <w:webHidden/>
              </w:rPr>
            </w:r>
            <w:r w:rsidR="00FD58BF">
              <w:rPr>
                <w:noProof/>
                <w:webHidden/>
              </w:rPr>
              <w:fldChar w:fldCharType="separate"/>
            </w:r>
            <w:r w:rsidR="00FD58BF">
              <w:rPr>
                <w:noProof/>
                <w:webHidden/>
              </w:rPr>
              <w:t>706</w:t>
            </w:r>
            <w:r w:rsidR="00FD58BF">
              <w:rPr>
                <w:noProof/>
                <w:webHidden/>
              </w:rPr>
              <w:fldChar w:fldCharType="end"/>
            </w:r>
          </w:hyperlink>
        </w:p>
        <w:p w14:paraId="3D1FAF2F" w14:textId="5BBA23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4" w:history="1">
            <w:r w:rsidR="00FD58BF" w:rsidRPr="003004E5">
              <w:rPr>
                <w:rStyle w:val="Lienhypertexte"/>
                <w:noProof/>
              </w:rPr>
              <w:t>22.61.1 Joints de dilatation CCTB 01.11</w:t>
            </w:r>
            <w:r w:rsidR="00FD58BF">
              <w:rPr>
                <w:noProof/>
                <w:webHidden/>
              </w:rPr>
              <w:tab/>
            </w:r>
            <w:r w:rsidR="00FD58BF">
              <w:rPr>
                <w:noProof/>
                <w:webHidden/>
              </w:rPr>
              <w:fldChar w:fldCharType="begin"/>
            </w:r>
            <w:r w:rsidR="00FD58BF">
              <w:rPr>
                <w:noProof/>
                <w:webHidden/>
              </w:rPr>
              <w:instrText xml:space="preserve"> PAGEREF _Toc178838144 \h </w:instrText>
            </w:r>
            <w:r w:rsidR="00FD58BF">
              <w:rPr>
                <w:noProof/>
                <w:webHidden/>
              </w:rPr>
            </w:r>
            <w:r w:rsidR="00FD58BF">
              <w:rPr>
                <w:noProof/>
                <w:webHidden/>
              </w:rPr>
              <w:fldChar w:fldCharType="separate"/>
            </w:r>
            <w:r w:rsidR="00FD58BF">
              <w:rPr>
                <w:noProof/>
                <w:webHidden/>
              </w:rPr>
              <w:t>707</w:t>
            </w:r>
            <w:r w:rsidR="00FD58BF">
              <w:rPr>
                <w:noProof/>
                <w:webHidden/>
              </w:rPr>
              <w:fldChar w:fldCharType="end"/>
            </w:r>
          </w:hyperlink>
        </w:p>
        <w:p w14:paraId="03907EA9" w14:textId="03E499E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5" w:history="1">
            <w:r w:rsidR="00FD58BF" w:rsidRPr="003004E5">
              <w:rPr>
                <w:rStyle w:val="Lienhypertexte"/>
                <w:noProof/>
              </w:rPr>
              <w:t>22.61.1a Joints de dilatation CCTB 01.11</w:t>
            </w:r>
            <w:r w:rsidR="00FD58BF">
              <w:rPr>
                <w:noProof/>
                <w:webHidden/>
              </w:rPr>
              <w:tab/>
            </w:r>
            <w:r w:rsidR="00FD58BF">
              <w:rPr>
                <w:noProof/>
                <w:webHidden/>
              </w:rPr>
              <w:fldChar w:fldCharType="begin"/>
            </w:r>
            <w:r w:rsidR="00FD58BF">
              <w:rPr>
                <w:noProof/>
                <w:webHidden/>
              </w:rPr>
              <w:instrText xml:space="preserve"> PAGEREF _Toc178838145 \h </w:instrText>
            </w:r>
            <w:r w:rsidR="00FD58BF">
              <w:rPr>
                <w:noProof/>
                <w:webHidden/>
              </w:rPr>
            </w:r>
            <w:r w:rsidR="00FD58BF">
              <w:rPr>
                <w:noProof/>
                <w:webHidden/>
              </w:rPr>
              <w:fldChar w:fldCharType="separate"/>
            </w:r>
            <w:r w:rsidR="00FD58BF">
              <w:rPr>
                <w:noProof/>
                <w:webHidden/>
              </w:rPr>
              <w:t>708</w:t>
            </w:r>
            <w:r w:rsidR="00FD58BF">
              <w:rPr>
                <w:noProof/>
                <w:webHidden/>
              </w:rPr>
              <w:fldChar w:fldCharType="end"/>
            </w:r>
          </w:hyperlink>
        </w:p>
        <w:p w14:paraId="5957D20A" w14:textId="55B61F9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46" w:history="1">
            <w:r w:rsidR="00FD58BF" w:rsidRPr="003004E5">
              <w:rPr>
                <w:rStyle w:val="Lienhypertexte"/>
                <w:noProof/>
              </w:rPr>
              <w:t>22.62 Joints de retrait CCTB 01.04</w:t>
            </w:r>
            <w:r w:rsidR="00FD58BF">
              <w:rPr>
                <w:noProof/>
                <w:webHidden/>
              </w:rPr>
              <w:tab/>
            </w:r>
            <w:r w:rsidR="00FD58BF">
              <w:rPr>
                <w:noProof/>
                <w:webHidden/>
              </w:rPr>
              <w:fldChar w:fldCharType="begin"/>
            </w:r>
            <w:r w:rsidR="00FD58BF">
              <w:rPr>
                <w:noProof/>
                <w:webHidden/>
              </w:rPr>
              <w:instrText xml:space="preserve"> PAGEREF _Toc178838146 \h </w:instrText>
            </w:r>
            <w:r w:rsidR="00FD58BF">
              <w:rPr>
                <w:noProof/>
                <w:webHidden/>
              </w:rPr>
            </w:r>
            <w:r w:rsidR="00FD58BF">
              <w:rPr>
                <w:noProof/>
                <w:webHidden/>
              </w:rPr>
              <w:fldChar w:fldCharType="separate"/>
            </w:r>
            <w:r w:rsidR="00FD58BF">
              <w:rPr>
                <w:noProof/>
                <w:webHidden/>
              </w:rPr>
              <w:t>709</w:t>
            </w:r>
            <w:r w:rsidR="00FD58BF">
              <w:rPr>
                <w:noProof/>
                <w:webHidden/>
              </w:rPr>
              <w:fldChar w:fldCharType="end"/>
            </w:r>
          </w:hyperlink>
        </w:p>
        <w:p w14:paraId="1921AFC3" w14:textId="09E3B7A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7" w:history="1">
            <w:r w:rsidR="00FD58BF" w:rsidRPr="003004E5">
              <w:rPr>
                <w:rStyle w:val="Lienhypertexte"/>
                <w:noProof/>
              </w:rPr>
              <w:t>22.62.1 Joints de retrait CCTB 01.12</w:t>
            </w:r>
            <w:r w:rsidR="00FD58BF">
              <w:rPr>
                <w:noProof/>
                <w:webHidden/>
              </w:rPr>
              <w:tab/>
            </w:r>
            <w:r w:rsidR="00FD58BF">
              <w:rPr>
                <w:noProof/>
                <w:webHidden/>
              </w:rPr>
              <w:fldChar w:fldCharType="begin"/>
            </w:r>
            <w:r w:rsidR="00FD58BF">
              <w:rPr>
                <w:noProof/>
                <w:webHidden/>
              </w:rPr>
              <w:instrText xml:space="preserve"> PAGEREF _Toc178838147 \h </w:instrText>
            </w:r>
            <w:r w:rsidR="00FD58BF">
              <w:rPr>
                <w:noProof/>
                <w:webHidden/>
              </w:rPr>
            </w:r>
            <w:r w:rsidR="00FD58BF">
              <w:rPr>
                <w:noProof/>
                <w:webHidden/>
              </w:rPr>
              <w:fldChar w:fldCharType="separate"/>
            </w:r>
            <w:r w:rsidR="00FD58BF">
              <w:rPr>
                <w:noProof/>
                <w:webHidden/>
              </w:rPr>
              <w:t>709</w:t>
            </w:r>
            <w:r w:rsidR="00FD58BF">
              <w:rPr>
                <w:noProof/>
                <w:webHidden/>
              </w:rPr>
              <w:fldChar w:fldCharType="end"/>
            </w:r>
          </w:hyperlink>
        </w:p>
        <w:p w14:paraId="3C60956C" w14:textId="58390A8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8" w:history="1">
            <w:r w:rsidR="00FD58BF" w:rsidRPr="003004E5">
              <w:rPr>
                <w:rStyle w:val="Lienhypertexte"/>
                <w:noProof/>
              </w:rPr>
              <w:t>22.62.1a Joints de retrait CCTB 01.11</w:t>
            </w:r>
            <w:r w:rsidR="00FD58BF">
              <w:rPr>
                <w:noProof/>
                <w:webHidden/>
              </w:rPr>
              <w:tab/>
            </w:r>
            <w:r w:rsidR="00FD58BF">
              <w:rPr>
                <w:noProof/>
                <w:webHidden/>
              </w:rPr>
              <w:fldChar w:fldCharType="begin"/>
            </w:r>
            <w:r w:rsidR="00FD58BF">
              <w:rPr>
                <w:noProof/>
                <w:webHidden/>
              </w:rPr>
              <w:instrText xml:space="preserve"> PAGEREF _Toc178838148 \h </w:instrText>
            </w:r>
            <w:r w:rsidR="00FD58BF">
              <w:rPr>
                <w:noProof/>
                <w:webHidden/>
              </w:rPr>
            </w:r>
            <w:r w:rsidR="00FD58BF">
              <w:rPr>
                <w:noProof/>
                <w:webHidden/>
              </w:rPr>
              <w:fldChar w:fldCharType="separate"/>
            </w:r>
            <w:r w:rsidR="00FD58BF">
              <w:rPr>
                <w:noProof/>
                <w:webHidden/>
              </w:rPr>
              <w:t>710</w:t>
            </w:r>
            <w:r w:rsidR="00FD58BF">
              <w:rPr>
                <w:noProof/>
                <w:webHidden/>
              </w:rPr>
              <w:fldChar w:fldCharType="end"/>
            </w:r>
          </w:hyperlink>
        </w:p>
        <w:p w14:paraId="605111F2" w14:textId="439ED71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49" w:history="1">
            <w:r w:rsidR="00FD58BF" w:rsidRPr="003004E5">
              <w:rPr>
                <w:rStyle w:val="Lienhypertexte"/>
                <w:noProof/>
              </w:rPr>
              <w:t>22.63 Joints de remplissage CCTB 01.04</w:t>
            </w:r>
            <w:r w:rsidR="00FD58BF">
              <w:rPr>
                <w:noProof/>
                <w:webHidden/>
              </w:rPr>
              <w:tab/>
            </w:r>
            <w:r w:rsidR="00FD58BF">
              <w:rPr>
                <w:noProof/>
                <w:webHidden/>
              </w:rPr>
              <w:fldChar w:fldCharType="begin"/>
            </w:r>
            <w:r w:rsidR="00FD58BF">
              <w:rPr>
                <w:noProof/>
                <w:webHidden/>
              </w:rPr>
              <w:instrText xml:space="preserve"> PAGEREF _Toc178838149 \h </w:instrText>
            </w:r>
            <w:r w:rsidR="00FD58BF">
              <w:rPr>
                <w:noProof/>
                <w:webHidden/>
              </w:rPr>
            </w:r>
            <w:r w:rsidR="00FD58BF">
              <w:rPr>
                <w:noProof/>
                <w:webHidden/>
              </w:rPr>
              <w:fldChar w:fldCharType="separate"/>
            </w:r>
            <w:r w:rsidR="00FD58BF">
              <w:rPr>
                <w:noProof/>
                <w:webHidden/>
              </w:rPr>
              <w:t>711</w:t>
            </w:r>
            <w:r w:rsidR="00FD58BF">
              <w:rPr>
                <w:noProof/>
                <w:webHidden/>
              </w:rPr>
              <w:fldChar w:fldCharType="end"/>
            </w:r>
          </w:hyperlink>
        </w:p>
        <w:p w14:paraId="212A5638" w14:textId="0E98D34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0" w:history="1">
            <w:r w:rsidR="00FD58BF" w:rsidRPr="003004E5">
              <w:rPr>
                <w:rStyle w:val="Lienhypertexte"/>
                <w:noProof/>
              </w:rPr>
              <w:t>22.63.1 Joints de remplissage CCTB 01.11</w:t>
            </w:r>
            <w:r w:rsidR="00FD58BF">
              <w:rPr>
                <w:noProof/>
                <w:webHidden/>
              </w:rPr>
              <w:tab/>
            </w:r>
            <w:r w:rsidR="00FD58BF">
              <w:rPr>
                <w:noProof/>
                <w:webHidden/>
              </w:rPr>
              <w:fldChar w:fldCharType="begin"/>
            </w:r>
            <w:r w:rsidR="00FD58BF">
              <w:rPr>
                <w:noProof/>
                <w:webHidden/>
              </w:rPr>
              <w:instrText xml:space="preserve"> PAGEREF _Toc178838150 \h </w:instrText>
            </w:r>
            <w:r w:rsidR="00FD58BF">
              <w:rPr>
                <w:noProof/>
                <w:webHidden/>
              </w:rPr>
            </w:r>
            <w:r w:rsidR="00FD58BF">
              <w:rPr>
                <w:noProof/>
                <w:webHidden/>
              </w:rPr>
              <w:fldChar w:fldCharType="separate"/>
            </w:r>
            <w:r w:rsidR="00FD58BF">
              <w:rPr>
                <w:noProof/>
                <w:webHidden/>
              </w:rPr>
              <w:t>711</w:t>
            </w:r>
            <w:r w:rsidR="00FD58BF">
              <w:rPr>
                <w:noProof/>
                <w:webHidden/>
              </w:rPr>
              <w:fldChar w:fldCharType="end"/>
            </w:r>
          </w:hyperlink>
        </w:p>
        <w:p w14:paraId="703A6BFF" w14:textId="4946D3D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1" w:history="1">
            <w:r w:rsidR="00FD58BF" w:rsidRPr="003004E5">
              <w:rPr>
                <w:rStyle w:val="Lienhypertexte"/>
                <w:noProof/>
              </w:rPr>
              <w:t>22.63.1a Joints de resserrage en mortier CCTB 01.11</w:t>
            </w:r>
            <w:r w:rsidR="00FD58BF">
              <w:rPr>
                <w:noProof/>
                <w:webHidden/>
              </w:rPr>
              <w:tab/>
            </w:r>
            <w:r w:rsidR="00FD58BF">
              <w:rPr>
                <w:noProof/>
                <w:webHidden/>
              </w:rPr>
              <w:fldChar w:fldCharType="begin"/>
            </w:r>
            <w:r w:rsidR="00FD58BF">
              <w:rPr>
                <w:noProof/>
                <w:webHidden/>
              </w:rPr>
              <w:instrText xml:space="preserve"> PAGEREF _Toc178838151 \h </w:instrText>
            </w:r>
            <w:r w:rsidR="00FD58BF">
              <w:rPr>
                <w:noProof/>
                <w:webHidden/>
              </w:rPr>
            </w:r>
            <w:r w:rsidR="00FD58BF">
              <w:rPr>
                <w:noProof/>
                <w:webHidden/>
              </w:rPr>
              <w:fldChar w:fldCharType="separate"/>
            </w:r>
            <w:r w:rsidR="00FD58BF">
              <w:rPr>
                <w:noProof/>
                <w:webHidden/>
              </w:rPr>
              <w:t>713</w:t>
            </w:r>
            <w:r w:rsidR="00FD58BF">
              <w:rPr>
                <w:noProof/>
                <w:webHidden/>
              </w:rPr>
              <w:fldChar w:fldCharType="end"/>
            </w:r>
          </w:hyperlink>
        </w:p>
        <w:p w14:paraId="0C4E04AF" w14:textId="43F0D86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2" w:history="1">
            <w:r w:rsidR="00FD58BF" w:rsidRPr="003004E5">
              <w:rPr>
                <w:rStyle w:val="Lienhypertexte"/>
                <w:noProof/>
              </w:rPr>
              <w:t>22.63.1b Joints de remplissage autres qu'en mortier CCTB 01.11</w:t>
            </w:r>
            <w:r w:rsidR="00FD58BF">
              <w:rPr>
                <w:noProof/>
                <w:webHidden/>
              </w:rPr>
              <w:tab/>
            </w:r>
            <w:r w:rsidR="00FD58BF">
              <w:rPr>
                <w:noProof/>
                <w:webHidden/>
              </w:rPr>
              <w:fldChar w:fldCharType="begin"/>
            </w:r>
            <w:r w:rsidR="00FD58BF">
              <w:rPr>
                <w:noProof/>
                <w:webHidden/>
              </w:rPr>
              <w:instrText xml:space="preserve"> PAGEREF _Toc178838152 \h </w:instrText>
            </w:r>
            <w:r w:rsidR="00FD58BF">
              <w:rPr>
                <w:noProof/>
                <w:webHidden/>
              </w:rPr>
            </w:r>
            <w:r w:rsidR="00FD58BF">
              <w:rPr>
                <w:noProof/>
                <w:webHidden/>
              </w:rPr>
              <w:fldChar w:fldCharType="separate"/>
            </w:r>
            <w:r w:rsidR="00FD58BF">
              <w:rPr>
                <w:noProof/>
                <w:webHidden/>
              </w:rPr>
              <w:t>713</w:t>
            </w:r>
            <w:r w:rsidR="00FD58BF">
              <w:rPr>
                <w:noProof/>
                <w:webHidden/>
              </w:rPr>
              <w:fldChar w:fldCharType="end"/>
            </w:r>
          </w:hyperlink>
        </w:p>
        <w:p w14:paraId="2816688B" w14:textId="33FD18E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53" w:history="1">
            <w:r w:rsidR="00FD58BF" w:rsidRPr="003004E5">
              <w:rPr>
                <w:rStyle w:val="Lienhypertexte"/>
                <w:noProof/>
              </w:rPr>
              <w:t>22.64 Etanchéisations de joints CCTB 01.04</w:t>
            </w:r>
            <w:r w:rsidR="00FD58BF">
              <w:rPr>
                <w:noProof/>
                <w:webHidden/>
              </w:rPr>
              <w:tab/>
            </w:r>
            <w:r w:rsidR="00FD58BF">
              <w:rPr>
                <w:noProof/>
                <w:webHidden/>
              </w:rPr>
              <w:fldChar w:fldCharType="begin"/>
            </w:r>
            <w:r w:rsidR="00FD58BF">
              <w:rPr>
                <w:noProof/>
                <w:webHidden/>
              </w:rPr>
              <w:instrText xml:space="preserve"> PAGEREF _Toc178838153 \h </w:instrText>
            </w:r>
            <w:r w:rsidR="00FD58BF">
              <w:rPr>
                <w:noProof/>
                <w:webHidden/>
              </w:rPr>
            </w:r>
            <w:r w:rsidR="00FD58BF">
              <w:rPr>
                <w:noProof/>
                <w:webHidden/>
              </w:rPr>
              <w:fldChar w:fldCharType="separate"/>
            </w:r>
            <w:r w:rsidR="00FD58BF">
              <w:rPr>
                <w:noProof/>
                <w:webHidden/>
              </w:rPr>
              <w:t>714</w:t>
            </w:r>
            <w:r w:rsidR="00FD58BF">
              <w:rPr>
                <w:noProof/>
                <w:webHidden/>
              </w:rPr>
              <w:fldChar w:fldCharType="end"/>
            </w:r>
          </w:hyperlink>
        </w:p>
        <w:p w14:paraId="7EB57475" w14:textId="24DBCA9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54" w:history="1">
            <w:r w:rsidR="00FD58BF" w:rsidRPr="003004E5">
              <w:rPr>
                <w:rStyle w:val="Lienhypertexte"/>
                <w:noProof/>
              </w:rPr>
              <w:t>22.65 Finitions particulières de joints CCTB 01.02</w:t>
            </w:r>
            <w:r w:rsidR="00FD58BF">
              <w:rPr>
                <w:noProof/>
                <w:webHidden/>
              </w:rPr>
              <w:tab/>
            </w:r>
            <w:r w:rsidR="00FD58BF">
              <w:rPr>
                <w:noProof/>
                <w:webHidden/>
              </w:rPr>
              <w:fldChar w:fldCharType="begin"/>
            </w:r>
            <w:r w:rsidR="00FD58BF">
              <w:rPr>
                <w:noProof/>
                <w:webHidden/>
              </w:rPr>
              <w:instrText xml:space="preserve"> PAGEREF _Toc178838154 \h </w:instrText>
            </w:r>
            <w:r w:rsidR="00FD58BF">
              <w:rPr>
                <w:noProof/>
                <w:webHidden/>
              </w:rPr>
            </w:r>
            <w:r w:rsidR="00FD58BF">
              <w:rPr>
                <w:noProof/>
                <w:webHidden/>
              </w:rPr>
              <w:fldChar w:fldCharType="separate"/>
            </w:r>
            <w:r w:rsidR="00FD58BF">
              <w:rPr>
                <w:noProof/>
                <w:webHidden/>
              </w:rPr>
              <w:t>715</w:t>
            </w:r>
            <w:r w:rsidR="00FD58BF">
              <w:rPr>
                <w:noProof/>
                <w:webHidden/>
              </w:rPr>
              <w:fldChar w:fldCharType="end"/>
            </w:r>
          </w:hyperlink>
        </w:p>
        <w:p w14:paraId="1241B626" w14:textId="20558F41"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155" w:history="1">
            <w:r w:rsidR="00FD58BF" w:rsidRPr="003004E5">
              <w:rPr>
                <w:rStyle w:val="Lienhypertexte"/>
                <w:noProof/>
              </w:rPr>
              <w:t>22.7 Traitements CCTB 01.07</w:t>
            </w:r>
            <w:r w:rsidR="00FD58BF">
              <w:rPr>
                <w:noProof/>
                <w:webHidden/>
              </w:rPr>
              <w:tab/>
            </w:r>
            <w:r w:rsidR="00FD58BF">
              <w:rPr>
                <w:noProof/>
                <w:webHidden/>
              </w:rPr>
              <w:fldChar w:fldCharType="begin"/>
            </w:r>
            <w:r w:rsidR="00FD58BF">
              <w:rPr>
                <w:noProof/>
                <w:webHidden/>
              </w:rPr>
              <w:instrText xml:space="preserve"> PAGEREF _Toc178838155 \h </w:instrText>
            </w:r>
            <w:r w:rsidR="00FD58BF">
              <w:rPr>
                <w:noProof/>
                <w:webHidden/>
              </w:rPr>
            </w:r>
            <w:r w:rsidR="00FD58BF">
              <w:rPr>
                <w:noProof/>
                <w:webHidden/>
              </w:rPr>
              <w:fldChar w:fldCharType="separate"/>
            </w:r>
            <w:r w:rsidR="00FD58BF">
              <w:rPr>
                <w:noProof/>
                <w:webHidden/>
              </w:rPr>
              <w:t>715</w:t>
            </w:r>
            <w:r w:rsidR="00FD58BF">
              <w:rPr>
                <w:noProof/>
                <w:webHidden/>
              </w:rPr>
              <w:fldChar w:fldCharType="end"/>
            </w:r>
          </w:hyperlink>
        </w:p>
        <w:p w14:paraId="7DF59D34" w14:textId="0235844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56" w:history="1">
            <w:r w:rsidR="00FD58BF" w:rsidRPr="003004E5">
              <w:rPr>
                <w:rStyle w:val="Lienhypertexte"/>
                <w:noProof/>
              </w:rPr>
              <w:t>22.71 Traitements esthétiques ou de surface CCTB 01.02</w:t>
            </w:r>
            <w:r w:rsidR="00FD58BF">
              <w:rPr>
                <w:noProof/>
                <w:webHidden/>
              </w:rPr>
              <w:tab/>
            </w:r>
            <w:r w:rsidR="00FD58BF">
              <w:rPr>
                <w:noProof/>
                <w:webHidden/>
              </w:rPr>
              <w:fldChar w:fldCharType="begin"/>
            </w:r>
            <w:r w:rsidR="00FD58BF">
              <w:rPr>
                <w:noProof/>
                <w:webHidden/>
              </w:rPr>
              <w:instrText xml:space="preserve"> PAGEREF _Toc178838156 \h </w:instrText>
            </w:r>
            <w:r w:rsidR="00FD58BF">
              <w:rPr>
                <w:noProof/>
                <w:webHidden/>
              </w:rPr>
            </w:r>
            <w:r w:rsidR="00FD58BF">
              <w:rPr>
                <w:noProof/>
                <w:webHidden/>
              </w:rPr>
              <w:fldChar w:fldCharType="separate"/>
            </w:r>
            <w:r w:rsidR="00FD58BF">
              <w:rPr>
                <w:noProof/>
                <w:webHidden/>
              </w:rPr>
              <w:t>715</w:t>
            </w:r>
            <w:r w:rsidR="00FD58BF">
              <w:rPr>
                <w:noProof/>
                <w:webHidden/>
              </w:rPr>
              <w:fldChar w:fldCharType="end"/>
            </w:r>
          </w:hyperlink>
        </w:p>
        <w:p w14:paraId="529CC615" w14:textId="3365187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7" w:history="1">
            <w:r w:rsidR="00FD58BF" w:rsidRPr="003004E5">
              <w:rPr>
                <w:rStyle w:val="Lienhypertexte"/>
                <w:noProof/>
              </w:rPr>
              <w:t>22.71.1 Traitements de surface sélectifs CCTB 01.02</w:t>
            </w:r>
            <w:r w:rsidR="00FD58BF">
              <w:rPr>
                <w:noProof/>
                <w:webHidden/>
              </w:rPr>
              <w:tab/>
            </w:r>
            <w:r w:rsidR="00FD58BF">
              <w:rPr>
                <w:noProof/>
                <w:webHidden/>
              </w:rPr>
              <w:fldChar w:fldCharType="begin"/>
            </w:r>
            <w:r w:rsidR="00FD58BF">
              <w:rPr>
                <w:noProof/>
                <w:webHidden/>
              </w:rPr>
              <w:instrText xml:space="preserve"> PAGEREF _Toc178838157 \h </w:instrText>
            </w:r>
            <w:r w:rsidR="00FD58BF">
              <w:rPr>
                <w:noProof/>
                <w:webHidden/>
              </w:rPr>
            </w:r>
            <w:r w:rsidR="00FD58BF">
              <w:rPr>
                <w:noProof/>
                <w:webHidden/>
              </w:rPr>
              <w:fldChar w:fldCharType="separate"/>
            </w:r>
            <w:r w:rsidR="00FD58BF">
              <w:rPr>
                <w:noProof/>
                <w:webHidden/>
              </w:rPr>
              <w:t>715</w:t>
            </w:r>
            <w:r w:rsidR="00FD58BF">
              <w:rPr>
                <w:noProof/>
                <w:webHidden/>
              </w:rPr>
              <w:fldChar w:fldCharType="end"/>
            </w:r>
          </w:hyperlink>
        </w:p>
        <w:p w14:paraId="6367E693" w14:textId="4089C6D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8" w:history="1">
            <w:r w:rsidR="00FD58BF" w:rsidRPr="003004E5">
              <w:rPr>
                <w:rStyle w:val="Lienhypertexte"/>
                <w:noProof/>
              </w:rPr>
              <w:t>22.71.1a Lavages à l'eau de structures en béton CCTB 01.07</w:t>
            </w:r>
            <w:r w:rsidR="00FD58BF">
              <w:rPr>
                <w:noProof/>
                <w:webHidden/>
              </w:rPr>
              <w:tab/>
            </w:r>
            <w:r w:rsidR="00FD58BF">
              <w:rPr>
                <w:noProof/>
                <w:webHidden/>
              </w:rPr>
              <w:fldChar w:fldCharType="begin"/>
            </w:r>
            <w:r w:rsidR="00FD58BF">
              <w:rPr>
                <w:noProof/>
                <w:webHidden/>
              </w:rPr>
              <w:instrText xml:space="preserve"> PAGEREF _Toc178838158 \h </w:instrText>
            </w:r>
            <w:r w:rsidR="00FD58BF">
              <w:rPr>
                <w:noProof/>
                <w:webHidden/>
              </w:rPr>
            </w:r>
            <w:r w:rsidR="00FD58BF">
              <w:rPr>
                <w:noProof/>
                <w:webHidden/>
              </w:rPr>
              <w:fldChar w:fldCharType="separate"/>
            </w:r>
            <w:r w:rsidR="00FD58BF">
              <w:rPr>
                <w:noProof/>
                <w:webHidden/>
              </w:rPr>
              <w:t>715</w:t>
            </w:r>
            <w:r w:rsidR="00FD58BF">
              <w:rPr>
                <w:noProof/>
                <w:webHidden/>
              </w:rPr>
              <w:fldChar w:fldCharType="end"/>
            </w:r>
          </w:hyperlink>
        </w:p>
        <w:p w14:paraId="2405722A" w14:textId="35C1D4D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9" w:history="1">
            <w:r w:rsidR="00FD58BF" w:rsidRPr="003004E5">
              <w:rPr>
                <w:rStyle w:val="Lienhypertexte"/>
                <w:noProof/>
              </w:rPr>
              <w:t>22.71.1b Brossages de structures en béton CCTB 01.07</w:t>
            </w:r>
            <w:r w:rsidR="00FD58BF">
              <w:rPr>
                <w:noProof/>
                <w:webHidden/>
              </w:rPr>
              <w:tab/>
            </w:r>
            <w:r w:rsidR="00FD58BF">
              <w:rPr>
                <w:noProof/>
                <w:webHidden/>
              </w:rPr>
              <w:fldChar w:fldCharType="begin"/>
            </w:r>
            <w:r w:rsidR="00FD58BF">
              <w:rPr>
                <w:noProof/>
                <w:webHidden/>
              </w:rPr>
              <w:instrText xml:space="preserve"> PAGEREF _Toc178838159 \h </w:instrText>
            </w:r>
            <w:r w:rsidR="00FD58BF">
              <w:rPr>
                <w:noProof/>
                <w:webHidden/>
              </w:rPr>
            </w:r>
            <w:r w:rsidR="00FD58BF">
              <w:rPr>
                <w:noProof/>
                <w:webHidden/>
              </w:rPr>
              <w:fldChar w:fldCharType="separate"/>
            </w:r>
            <w:r w:rsidR="00FD58BF">
              <w:rPr>
                <w:noProof/>
                <w:webHidden/>
              </w:rPr>
              <w:t>715</w:t>
            </w:r>
            <w:r w:rsidR="00FD58BF">
              <w:rPr>
                <w:noProof/>
                <w:webHidden/>
              </w:rPr>
              <w:fldChar w:fldCharType="end"/>
            </w:r>
          </w:hyperlink>
        </w:p>
        <w:p w14:paraId="7FF98A26" w14:textId="4CFE95A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0" w:history="1">
            <w:r w:rsidR="00FD58BF" w:rsidRPr="003004E5">
              <w:rPr>
                <w:rStyle w:val="Lienhypertexte"/>
                <w:noProof/>
              </w:rPr>
              <w:t>22.71.1c Lavages à l'acide de structures en béton CCTB 01.07</w:t>
            </w:r>
            <w:r w:rsidR="00FD58BF">
              <w:rPr>
                <w:noProof/>
                <w:webHidden/>
              </w:rPr>
              <w:tab/>
            </w:r>
            <w:r w:rsidR="00FD58BF">
              <w:rPr>
                <w:noProof/>
                <w:webHidden/>
              </w:rPr>
              <w:fldChar w:fldCharType="begin"/>
            </w:r>
            <w:r w:rsidR="00FD58BF">
              <w:rPr>
                <w:noProof/>
                <w:webHidden/>
              </w:rPr>
              <w:instrText xml:space="preserve"> PAGEREF _Toc178838160 \h </w:instrText>
            </w:r>
            <w:r w:rsidR="00FD58BF">
              <w:rPr>
                <w:noProof/>
                <w:webHidden/>
              </w:rPr>
            </w:r>
            <w:r w:rsidR="00FD58BF">
              <w:rPr>
                <w:noProof/>
                <w:webHidden/>
              </w:rPr>
              <w:fldChar w:fldCharType="separate"/>
            </w:r>
            <w:r w:rsidR="00FD58BF">
              <w:rPr>
                <w:noProof/>
                <w:webHidden/>
              </w:rPr>
              <w:t>715</w:t>
            </w:r>
            <w:r w:rsidR="00FD58BF">
              <w:rPr>
                <w:noProof/>
                <w:webHidden/>
              </w:rPr>
              <w:fldChar w:fldCharType="end"/>
            </w:r>
          </w:hyperlink>
        </w:p>
        <w:p w14:paraId="2335CC4B" w14:textId="681A0E5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61" w:history="1">
            <w:r w:rsidR="00FD58BF" w:rsidRPr="003004E5">
              <w:rPr>
                <w:rStyle w:val="Lienhypertexte"/>
                <w:noProof/>
              </w:rPr>
              <w:t>22.71.2 Traitements intégraux de surface CCTB 01.04</w:t>
            </w:r>
            <w:r w:rsidR="00FD58BF">
              <w:rPr>
                <w:noProof/>
                <w:webHidden/>
              </w:rPr>
              <w:tab/>
            </w:r>
            <w:r w:rsidR="00FD58BF">
              <w:rPr>
                <w:noProof/>
                <w:webHidden/>
              </w:rPr>
              <w:fldChar w:fldCharType="begin"/>
            </w:r>
            <w:r w:rsidR="00FD58BF">
              <w:rPr>
                <w:noProof/>
                <w:webHidden/>
              </w:rPr>
              <w:instrText xml:space="preserve"> PAGEREF _Toc178838161 \h </w:instrText>
            </w:r>
            <w:r w:rsidR="00FD58BF">
              <w:rPr>
                <w:noProof/>
                <w:webHidden/>
              </w:rPr>
            </w:r>
            <w:r w:rsidR="00FD58BF">
              <w:rPr>
                <w:noProof/>
                <w:webHidden/>
              </w:rPr>
              <w:fldChar w:fldCharType="separate"/>
            </w:r>
            <w:r w:rsidR="00FD58BF">
              <w:rPr>
                <w:noProof/>
                <w:webHidden/>
              </w:rPr>
              <w:t>716</w:t>
            </w:r>
            <w:r w:rsidR="00FD58BF">
              <w:rPr>
                <w:noProof/>
                <w:webHidden/>
              </w:rPr>
              <w:fldChar w:fldCharType="end"/>
            </w:r>
          </w:hyperlink>
        </w:p>
        <w:p w14:paraId="61EB0FB8" w14:textId="47DD462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2" w:history="1">
            <w:r w:rsidR="00FD58BF" w:rsidRPr="003004E5">
              <w:rPr>
                <w:rStyle w:val="Lienhypertexte"/>
                <w:noProof/>
              </w:rPr>
              <w:t>22.71.2a Bouchardages de structures en béton CCTB 01.07</w:t>
            </w:r>
            <w:r w:rsidR="00FD58BF">
              <w:rPr>
                <w:noProof/>
                <w:webHidden/>
              </w:rPr>
              <w:tab/>
            </w:r>
            <w:r w:rsidR="00FD58BF">
              <w:rPr>
                <w:noProof/>
                <w:webHidden/>
              </w:rPr>
              <w:fldChar w:fldCharType="begin"/>
            </w:r>
            <w:r w:rsidR="00FD58BF">
              <w:rPr>
                <w:noProof/>
                <w:webHidden/>
              </w:rPr>
              <w:instrText xml:space="preserve"> PAGEREF _Toc178838162 \h </w:instrText>
            </w:r>
            <w:r w:rsidR="00FD58BF">
              <w:rPr>
                <w:noProof/>
                <w:webHidden/>
              </w:rPr>
            </w:r>
            <w:r w:rsidR="00FD58BF">
              <w:rPr>
                <w:noProof/>
                <w:webHidden/>
              </w:rPr>
              <w:fldChar w:fldCharType="separate"/>
            </w:r>
            <w:r w:rsidR="00FD58BF">
              <w:rPr>
                <w:noProof/>
                <w:webHidden/>
              </w:rPr>
              <w:t>716</w:t>
            </w:r>
            <w:r w:rsidR="00FD58BF">
              <w:rPr>
                <w:noProof/>
                <w:webHidden/>
              </w:rPr>
              <w:fldChar w:fldCharType="end"/>
            </w:r>
          </w:hyperlink>
        </w:p>
        <w:p w14:paraId="11C6E1B5" w14:textId="37A54B8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3" w:history="1">
            <w:r w:rsidR="00FD58BF" w:rsidRPr="003004E5">
              <w:rPr>
                <w:rStyle w:val="Lienhypertexte"/>
                <w:noProof/>
              </w:rPr>
              <w:t>22.71.2b Grenaillages de structures en béton CCTB 01.07</w:t>
            </w:r>
            <w:r w:rsidR="00FD58BF">
              <w:rPr>
                <w:noProof/>
                <w:webHidden/>
              </w:rPr>
              <w:tab/>
            </w:r>
            <w:r w:rsidR="00FD58BF">
              <w:rPr>
                <w:noProof/>
                <w:webHidden/>
              </w:rPr>
              <w:fldChar w:fldCharType="begin"/>
            </w:r>
            <w:r w:rsidR="00FD58BF">
              <w:rPr>
                <w:noProof/>
                <w:webHidden/>
              </w:rPr>
              <w:instrText xml:space="preserve"> PAGEREF _Toc178838163 \h </w:instrText>
            </w:r>
            <w:r w:rsidR="00FD58BF">
              <w:rPr>
                <w:noProof/>
                <w:webHidden/>
              </w:rPr>
            </w:r>
            <w:r w:rsidR="00FD58BF">
              <w:rPr>
                <w:noProof/>
                <w:webHidden/>
              </w:rPr>
              <w:fldChar w:fldCharType="separate"/>
            </w:r>
            <w:r w:rsidR="00FD58BF">
              <w:rPr>
                <w:noProof/>
                <w:webHidden/>
              </w:rPr>
              <w:t>716</w:t>
            </w:r>
            <w:r w:rsidR="00FD58BF">
              <w:rPr>
                <w:noProof/>
                <w:webHidden/>
              </w:rPr>
              <w:fldChar w:fldCharType="end"/>
            </w:r>
          </w:hyperlink>
        </w:p>
        <w:p w14:paraId="15CDAAC2" w14:textId="7F962DA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4" w:history="1">
            <w:r w:rsidR="00FD58BF" w:rsidRPr="003004E5">
              <w:rPr>
                <w:rStyle w:val="Lienhypertexte"/>
                <w:noProof/>
              </w:rPr>
              <w:t>22.71.2c Flammages de structures en béton CCTB 01.07</w:t>
            </w:r>
            <w:r w:rsidR="00FD58BF">
              <w:rPr>
                <w:noProof/>
                <w:webHidden/>
              </w:rPr>
              <w:tab/>
            </w:r>
            <w:r w:rsidR="00FD58BF">
              <w:rPr>
                <w:noProof/>
                <w:webHidden/>
              </w:rPr>
              <w:fldChar w:fldCharType="begin"/>
            </w:r>
            <w:r w:rsidR="00FD58BF">
              <w:rPr>
                <w:noProof/>
                <w:webHidden/>
              </w:rPr>
              <w:instrText xml:space="preserve"> PAGEREF _Toc178838164 \h </w:instrText>
            </w:r>
            <w:r w:rsidR="00FD58BF">
              <w:rPr>
                <w:noProof/>
                <w:webHidden/>
              </w:rPr>
            </w:r>
            <w:r w:rsidR="00FD58BF">
              <w:rPr>
                <w:noProof/>
                <w:webHidden/>
              </w:rPr>
              <w:fldChar w:fldCharType="separate"/>
            </w:r>
            <w:r w:rsidR="00FD58BF">
              <w:rPr>
                <w:noProof/>
                <w:webHidden/>
              </w:rPr>
              <w:t>717</w:t>
            </w:r>
            <w:r w:rsidR="00FD58BF">
              <w:rPr>
                <w:noProof/>
                <w:webHidden/>
              </w:rPr>
              <w:fldChar w:fldCharType="end"/>
            </w:r>
          </w:hyperlink>
        </w:p>
        <w:p w14:paraId="0E1C8B54" w14:textId="7A6EFCF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5" w:history="1">
            <w:r w:rsidR="00FD58BF" w:rsidRPr="003004E5">
              <w:rPr>
                <w:rStyle w:val="Lienhypertexte"/>
                <w:noProof/>
              </w:rPr>
              <w:t>22.71.2d Grésages de structures en béton CCTB 01.07</w:t>
            </w:r>
            <w:r w:rsidR="00FD58BF">
              <w:rPr>
                <w:noProof/>
                <w:webHidden/>
              </w:rPr>
              <w:tab/>
            </w:r>
            <w:r w:rsidR="00FD58BF">
              <w:rPr>
                <w:noProof/>
                <w:webHidden/>
              </w:rPr>
              <w:fldChar w:fldCharType="begin"/>
            </w:r>
            <w:r w:rsidR="00FD58BF">
              <w:rPr>
                <w:noProof/>
                <w:webHidden/>
              </w:rPr>
              <w:instrText xml:space="preserve"> PAGEREF _Toc178838165 \h </w:instrText>
            </w:r>
            <w:r w:rsidR="00FD58BF">
              <w:rPr>
                <w:noProof/>
                <w:webHidden/>
              </w:rPr>
            </w:r>
            <w:r w:rsidR="00FD58BF">
              <w:rPr>
                <w:noProof/>
                <w:webHidden/>
              </w:rPr>
              <w:fldChar w:fldCharType="separate"/>
            </w:r>
            <w:r w:rsidR="00FD58BF">
              <w:rPr>
                <w:noProof/>
                <w:webHidden/>
              </w:rPr>
              <w:t>717</w:t>
            </w:r>
            <w:r w:rsidR="00FD58BF">
              <w:rPr>
                <w:noProof/>
                <w:webHidden/>
              </w:rPr>
              <w:fldChar w:fldCharType="end"/>
            </w:r>
          </w:hyperlink>
        </w:p>
        <w:p w14:paraId="7819C77D" w14:textId="79B138A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6" w:history="1">
            <w:r w:rsidR="00FD58BF" w:rsidRPr="003004E5">
              <w:rPr>
                <w:rStyle w:val="Lienhypertexte"/>
                <w:noProof/>
              </w:rPr>
              <w:t>22.71.2e Polissages mats de structures en béton CCTB 01.07</w:t>
            </w:r>
            <w:r w:rsidR="00FD58BF">
              <w:rPr>
                <w:noProof/>
                <w:webHidden/>
              </w:rPr>
              <w:tab/>
            </w:r>
            <w:r w:rsidR="00FD58BF">
              <w:rPr>
                <w:noProof/>
                <w:webHidden/>
              </w:rPr>
              <w:fldChar w:fldCharType="begin"/>
            </w:r>
            <w:r w:rsidR="00FD58BF">
              <w:rPr>
                <w:noProof/>
                <w:webHidden/>
              </w:rPr>
              <w:instrText xml:space="preserve"> PAGEREF _Toc178838166 \h </w:instrText>
            </w:r>
            <w:r w:rsidR="00FD58BF">
              <w:rPr>
                <w:noProof/>
                <w:webHidden/>
              </w:rPr>
            </w:r>
            <w:r w:rsidR="00FD58BF">
              <w:rPr>
                <w:noProof/>
                <w:webHidden/>
              </w:rPr>
              <w:fldChar w:fldCharType="separate"/>
            </w:r>
            <w:r w:rsidR="00FD58BF">
              <w:rPr>
                <w:noProof/>
                <w:webHidden/>
              </w:rPr>
              <w:t>717</w:t>
            </w:r>
            <w:r w:rsidR="00FD58BF">
              <w:rPr>
                <w:noProof/>
                <w:webHidden/>
              </w:rPr>
              <w:fldChar w:fldCharType="end"/>
            </w:r>
          </w:hyperlink>
        </w:p>
        <w:p w14:paraId="10070C89" w14:textId="53270F3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7" w:history="1">
            <w:r w:rsidR="00FD58BF" w:rsidRPr="003004E5">
              <w:rPr>
                <w:rStyle w:val="Lienhypertexte"/>
                <w:noProof/>
              </w:rPr>
              <w:t>22.71.2f Polissages brillants de structures en béton CCTB 01.07</w:t>
            </w:r>
            <w:r w:rsidR="00FD58BF">
              <w:rPr>
                <w:noProof/>
                <w:webHidden/>
              </w:rPr>
              <w:tab/>
            </w:r>
            <w:r w:rsidR="00FD58BF">
              <w:rPr>
                <w:noProof/>
                <w:webHidden/>
              </w:rPr>
              <w:fldChar w:fldCharType="begin"/>
            </w:r>
            <w:r w:rsidR="00FD58BF">
              <w:rPr>
                <w:noProof/>
                <w:webHidden/>
              </w:rPr>
              <w:instrText xml:space="preserve"> PAGEREF _Toc178838167 \h </w:instrText>
            </w:r>
            <w:r w:rsidR="00FD58BF">
              <w:rPr>
                <w:noProof/>
                <w:webHidden/>
              </w:rPr>
            </w:r>
            <w:r w:rsidR="00FD58BF">
              <w:rPr>
                <w:noProof/>
                <w:webHidden/>
              </w:rPr>
              <w:fldChar w:fldCharType="separate"/>
            </w:r>
            <w:r w:rsidR="00FD58BF">
              <w:rPr>
                <w:noProof/>
                <w:webHidden/>
              </w:rPr>
              <w:t>718</w:t>
            </w:r>
            <w:r w:rsidR="00FD58BF">
              <w:rPr>
                <w:noProof/>
                <w:webHidden/>
              </w:rPr>
              <w:fldChar w:fldCharType="end"/>
            </w:r>
          </w:hyperlink>
        </w:p>
        <w:p w14:paraId="79789CA3" w14:textId="32817C8B"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68" w:history="1">
            <w:r w:rsidR="00FD58BF" w:rsidRPr="003004E5">
              <w:rPr>
                <w:rStyle w:val="Lienhypertexte"/>
                <w:noProof/>
              </w:rPr>
              <w:t>22.72 Produits de cure et adjuvants CCTB 01.11</w:t>
            </w:r>
            <w:r w:rsidR="00FD58BF">
              <w:rPr>
                <w:noProof/>
                <w:webHidden/>
              </w:rPr>
              <w:tab/>
            </w:r>
            <w:r w:rsidR="00FD58BF">
              <w:rPr>
                <w:noProof/>
                <w:webHidden/>
              </w:rPr>
              <w:fldChar w:fldCharType="begin"/>
            </w:r>
            <w:r w:rsidR="00FD58BF">
              <w:rPr>
                <w:noProof/>
                <w:webHidden/>
              </w:rPr>
              <w:instrText xml:space="preserve"> PAGEREF _Toc178838168 \h </w:instrText>
            </w:r>
            <w:r w:rsidR="00FD58BF">
              <w:rPr>
                <w:noProof/>
                <w:webHidden/>
              </w:rPr>
            </w:r>
            <w:r w:rsidR="00FD58BF">
              <w:rPr>
                <w:noProof/>
                <w:webHidden/>
              </w:rPr>
              <w:fldChar w:fldCharType="separate"/>
            </w:r>
            <w:r w:rsidR="00FD58BF">
              <w:rPr>
                <w:noProof/>
                <w:webHidden/>
              </w:rPr>
              <w:t>718</w:t>
            </w:r>
            <w:r w:rsidR="00FD58BF">
              <w:rPr>
                <w:noProof/>
                <w:webHidden/>
              </w:rPr>
              <w:fldChar w:fldCharType="end"/>
            </w:r>
          </w:hyperlink>
        </w:p>
        <w:p w14:paraId="231E1440" w14:textId="5629758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69" w:history="1">
            <w:r w:rsidR="00FD58BF" w:rsidRPr="003004E5">
              <w:rPr>
                <w:rStyle w:val="Lienhypertexte"/>
                <w:noProof/>
              </w:rPr>
              <w:t>22.72.1 Produits de cure CCTB 01.02</w:t>
            </w:r>
            <w:r w:rsidR="00FD58BF">
              <w:rPr>
                <w:noProof/>
                <w:webHidden/>
              </w:rPr>
              <w:tab/>
            </w:r>
            <w:r w:rsidR="00FD58BF">
              <w:rPr>
                <w:noProof/>
                <w:webHidden/>
              </w:rPr>
              <w:fldChar w:fldCharType="begin"/>
            </w:r>
            <w:r w:rsidR="00FD58BF">
              <w:rPr>
                <w:noProof/>
                <w:webHidden/>
              </w:rPr>
              <w:instrText xml:space="preserve"> PAGEREF _Toc178838169 \h </w:instrText>
            </w:r>
            <w:r w:rsidR="00FD58BF">
              <w:rPr>
                <w:noProof/>
                <w:webHidden/>
              </w:rPr>
            </w:r>
            <w:r w:rsidR="00FD58BF">
              <w:rPr>
                <w:noProof/>
                <w:webHidden/>
              </w:rPr>
              <w:fldChar w:fldCharType="separate"/>
            </w:r>
            <w:r w:rsidR="00FD58BF">
              <w:rPr>
                <w:noProof/>
                <w:webHidden/>
              </w:rPr>
              <w:t>718</w:t>
            </w:r>
            <w:r w:rsidR="00FD58BF">
              <w:rPr>
                <w:noProof/>
                <w:webHidden/>
              </w:rPr>
              <w:fldChar w:fldCharType="end"/>
            </w:r>
          </w:hyperlink>
        </w:p>
        <w:p w14:paraId="53FB989E" w14:textId="0192224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0" w:history="1">
            <w:r w:rsidR="00FD58BF" w:rsidRPr="003004E5">
              <w:rPr>
                <w:rStyle w:val="Lienhypertexte"/>
                <w:noProof/>
              </w:rPr>
              <w:t>22.72.1a Produits de cure CCTB 01.11</w:t>
            </w:r>
            <w:r w:rsidR="00FD58BF">
              <w:rPr>
                <w:noProof/>
                <w:webHidden/>
              </w:rPr>
              <w:tab/>
            </w:r>
            <w:r w:rsidR="00FD58BF">
              <w:rPr>
                <w:noProof/>
                <w:webHidden/>
              </w:rPr>
              <w:fldChar w:fldCharType="begin"/>
            </w:r>
            <w:r w:rsidR="00FD58BF">
              <w:rPr>
                <w:noProof/>
                <w:webHidden/>
              </w:rPr>
              <w:instrText xml:space="preserve"> PAGEREF _Toc178838170 \h </w:instrText>
            </w:r>
            <w:r w:rsidR="00FD58BF">
              <w:rPr>
                <w:noProof/>
                <w:webHidden/>
              </w:rPr>
            </w:r>
            <w:r w:rsidR="00FD58BF">
              <w:rPr>
                <w:noProof/>
                <w:webHidden/>
              </w:rPr>
              <w:fldChar w:fldCharType="separate"/>
            </w:r>
            <w:r w:rsidR="00FD58BF">
              <w:rPr>
                <w:noProof/>
                <w:webHidden/>
              </w:rPr>
              <w:t>718</w:t>
            </w:r>
            <w:r w:rsidR="00FD58BF">
              <w:rPr>
                <w:noProof/>
                <w:webHidden/>
              </w:rPr>
              <w:fldChar w:fldCharType="end"/>
            </w:r>
          </w:hyperlink>
        </w:p>
        <w:p w14:paraId="761AB62B" w14:textId="2EA5BB9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1" w:history="1">
            <w:r w:rsidR="00FD58BF" w:rsidRPr="003004E5">
              <w:rPr>
                <w:rStyle w:val="Lienhypertexte"/>
                <w:noProof/>
              </w:rPr>
              <w:t>22.72.2 Adjuvants CCTB 01.07</w:t>
            </w:r>
            <w:r w:rsidR="00FD58BF">
              <w:rPr>
                <w:noProof/>
                <w:webHidden/>
              </w:rPr>
              <w:tab/>
            </w:r>
            <w:r w:rsidR="00FD58BF">
              <w:rPr>
                <w:noProof/>
                <w:webHidden/>
              </w:rPr>
              <w:fldChar w:fldCharType="begin"/>
            </w:r>
            <w:r w:rsidR="00FD58BF">
              <w:rPr>
                <w:noProof/>
                <w:webHidden/>
              </w:rPr>
              <w:instrText xml:space="preserve"> PAGEREF _Toc178838171 \h </w:instrText>
            </w:r>
            <w:r w:rsidR="00FD58BF">
              <w:rPr>
                <w:noProof/>
                <w:webHidden/>
              </w:rPr>
            </w:r>
            <w:r w:rsidR="00FD58BF">
              <w:rPr>
                <w:noProof/>
                <w:webHidden/>
              </w:rPr>
              <w:fldChar w:fldCharType="separate"/>
            </w:r>
            <w:r w:rsidR="00FD58BF">
              <w:rPr>
                <w:noProof/>
                <w:webHidden/>
              </w:rPr>
              <w:t>720</w:t>
            </w:r>
            <w:r w:rsidR="00FD58BF">
              <w:rPr>
                <w:noProof/>
                <w:webHidden/>
              </w:rPr>
              <w:fldChar w:fldCharType="end"/>
            </w:r>
          </w:hyperlink>
        </w:p>
        <w:p w14:paraId="79CB887A" w14:textId="0407554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2" w:history="1">
            <w:r w:rsidR="00FD58BF" w:rsidRPr="003004E5">
              <w:rPr>
                <w:rStyle w:val="Lienhypertexte"/>
                <w:noProof/>
              </w:rPr>
              <w:t>22.72.2a Plastifiants réducteurs d'eau CCTB 01.07</w:t>
            </w:r>
            <w:r w:rsidR="00FD58BF">
              <w:rPr>
                <w:noProof/>
                <w:webHidden/>
              </w:rPr>
              <w:tab/>
            </w:r>
            <w:r w:rsidR="00FD58BF">
              <w:rPr>
                <w:noProof/>
                <w:webHidden/>
              </w:rPr>
              <w:fldChar w:fldCharType="begin"/>
            </w:r>
            <w:r w:rsidR="00FD58BF">
              <w:rPr>
                <w:noProof/>
                <w:webHidden/>
              </w:rPr>
              <w:instrText xml:space="preserve"> PAGEREF _Toc178838172 \h </w:instrText>
            </w:r>
            <w:r w:rsidR="00FD58BF">
              <w:rPr>
                <w:noProof/>
                <w:webHidden/>
              </w:rPr>
            </w:r>
            <w:r w:rsidR="00FD58BF">
              <w:rPr>
                <w:noProof/>
                <w:webHidden/>
              </w:rPr>
              <w:fldChar w:fldCharType="separate"/>
            </w:r>
            <w:r w:rsidR="00FD58BF">
              <w:rPr>
                <w:noProof/>
                <w:webHidden/>
              </w:rPr>
              <w:t>720</w:t>
            </w:r>
            <w:r w:rsidR="00FD58BF">
              <w:rPr>
                <w:noProof/>
                <w:webHidden/>
              </w:rPr>
              <w:fldChar w:fldCharType="end"/>
            </w:r>
          </w:hyperlink>
        </w:p>
        <w:p w14:paraId="103FB014" w14:textId="68C9571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3" w:history="1">
            <w:r w:rsidR="00FD58BF" w:rsidRPr="003004E5">
              <w:rPr>
                <w:rStyle w:val="Lienhypertexte"/>
                <w:noProof/>
              </w:rPr>
              <w:t>22.72.2b Superplastifiants hautement réducteurs d'eau CCTB 01.11</w:t>
            </w:r>
            <w:r w:rsidR="00FD58BF">
              <w:rPr>
                <w:noProof/>
                <w:webHidden/>
              </w:rPr>
              <w:tab/>
            </w:r>
            <w:r w:rsidR="00FD58BF">
              <w:rPr>
                <w:noProof/>
                <w:webHidden/>
              </w:rPr>
              <w:fldChar w:fldCharType="begin"/>
            </w:r>
            <w:r w:rsidR="00FD58BF">
              <w:rPr>
                <w:noProof/>
                <w:webHidden/>
              </w:rPr>
              <w:instrText xml:space="preserve"> PAGEREF _Toc178838173 \h </w:instrText>
            </w:r>
            <w:r w:rsidR="00FD58BF">
              <w:rPr>
                <w:noProof/>
                <w:webHidden/>
              </w:rPr>
            </w:r>
            <w:r w:rsidR="00FD58BF">
              <w:rPr>
                <w:noProof/>
                <w:webHidden/>
              </w:rPr>
              <w:fldChar w:fldCharType="separate"/>
            </w:r>
            <w:r w:rsidR="00FD58BF">
              <w:rPr>
                <w:noProof/>
                <w:webHidden/>
              </w:rPr>
              <w:t>721</w:t>
            </w:r>
            <w:r w:rsidR="00FD58BF">
              <w:rPr>
                <w:noProof/>
                <w:webHidden/>
              </w:rPr>
              <w:fldChar w:fldCharType="end"/>
            </w:r>
          </w:hyperlink>
        </w:p>
        <w:p w14:paraId="76529733" w14:textId="759407A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4" w:history="1">
            <w:r w:rsidR="00FD58BF" w:rsidRPr="003004E5">
              <w:rPr>
                <w:rStyle w:val="Lienhypertexte"/>
                <w:noProof/>
              </w:rPr>
              <w:t>22.72.2c Rétenteurs d'eau CCTB 01.02</w:t>
            </w:r>
            <w:r w:rsidR="00FD58BF">
              <w:rPr>
                <w:noProof/>
                <w:webHidden/>
              </w:rPr>
              <w:tab/>
            </w:r>
            <w:r w:rsidR="00FD58BF">
              <w:rPr>
                <w:noProof/>
                <w:webHidden/>
              </w:rPr>
              <w:fldChar w:fldCharType="begin"/>
            </w:r>
            <w:r w:rsidR="00FD58BF">
              <w:rPr>
                <w:noProof/>
                <w:webHidden/>
              </w:rPr>
              <w:instrText xml:space="preserve"> PAGEREF _Toc178838174 \h </w:instrText>
            </w:r>
            <w:r w:rsidR="00FD58BF">
              <w:rPr>
                <w:noProof/>
                <w:webHidden/>
              </w:rPr>
            </w:r>
            <w:r w:rsidR="00FD58BF">
              <w:rPr>
                <w:noProof/>
                <w:webHidden/>
              </w:rPr>
              <w:fldChar w:fldCharType="separate"/>
            </w:r>
            <w:r w:rsidR="00FD58BF">
              <w:rPr>
                <w:noProof/>
                <w:webHidden/>
              </w:rPr>
              <w:t>722</w:t>
            </w:r>
            <w:r w:rsidR="00FD58BF">
              <w:rPr>
                <w:noProof/>
                <w:webHidden/>
              </w:rPr>
              <w:fldChar w:fldCharType="end"/>
            </w:r>
          </w:hyperlink>
        </w:p>
        <w:p w14:paraId="597F789C" w14:textId="2E4B9E5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5" w:history="1">
            <w:r w:rsidR="00FD58BF" w:rsidRPr="003004E5">
              <w:rPr>
                <w:rStyle w:val="Lienhypertexte"/>
                <w:noProof/>
              </w:rPr>
              <w:t>22.72.2d Entraineurs d'air CCTB 01.02</w:t>
            </w:r>
            <w:r w:rsidR="00FD58BF">
              <w:rPr>
                <w:noProof/>
                <w:webHidden/>
              </w:rPr>
              <w:tab/>
            </w:r>
            <w:r w:rsidR="00FD58BF">
              <w:rPr>
                <w:noProof/>
                <w:webHidden/>
              </w:rPr>
              <w:fldChar w:fldCharType="begin"/>
            </w:r>
            <w:r w:rsidR="00FD58BF">
              <w:rPr>
                <w:noProof/>
                <w:webHidden/>
              </w:rPr>
              <w:instrText xml:space="preserve"> PAGEREF _Toc178838175 \h </w:instrText>
            </w:r>
            <w:r w:rsidR="00FD58BF">
              <w:rPr>
                <w:noProof/>
                <w:webHidden/>
              </w:rPr>
            </w:r>
            <w:r w:rsidR="00FD58BF">
              <w:rPr>
                <w:noProof/>
                <w:webHidden/>
              </w:rPr>
              <w:fldChar w:fldCharType="separate"/>
            </w:r>
            <w:r w:rsidR="00FD58BF">
              <w:rPr>
                <w:noProof/>
                <w:webHidden/>
              </w:rPr>
              <w:t>722</w:t>
            </w:r>
            <w:r w:rsidR="00FD58BF">
              <w:rPr>
                <w:noProof/>
                <w:webHidden/>
              </w:rPr>
              <w:fldChar w:fldCharType="end"/>
            </w:r>
          </w:hyperlink>
        </w:p>
        <w:p w14:paraId="0A42E6E5" w14:textId="024C55B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6" w:history="1">
            <w:r w:rsidR="00FD58BF" w:rsidRPr="003004E5">
              <w:rPr>
                <w:rStyle w:val="Lienhypertexte"/>
                <w:noProof/>
              </w:rPr>
              <w:t>22.72.2e Accélérateurs de prise et de durcissement CCTB 01.02</w:t>
            </w:r>
            <w:r w:rsidR="00FD58BF">
              <w:rPr>
                <w:noProof/>
                <w:webHidden/>
              </w:rPr>
              <w:tab/>
            </w:r>
            <w:r w:rsidR="00FD58BF">
              <w:rPr>
                <w:noProof/>
                <w:webHidden/>
              </w:rPr>
              <w:fldChar w:fldCharType="begin"/>
            </w:r>
            <w:r w:rsidR="00FD58BF">
              <w:rPr>
                <w:noProof/>
                <w:webHidden/>
              </w:rPr>
              <w:instrText xml:space="preserve"> PAGEREF _Toc178838176 \h </w:instrText>
            </w:r>
            <w:r w:rsidR="00FD58BF">
              <w:rPr>
                <w:noProof/>
                <w:webHidden/>
              </w:rPr>
            </w:r>
            <w:r w:rsidR="00FD58BF">
              <w:rPr>
                <w:noProof/>
                <w:webHidden/>
              </w:rPr>
              <w:fldChar w:fldCharType="separate"/>
            </w:r>
            <w:r w:rsidR="00FD58BF">
              <w:rPr>
                <w:noProof/>
                <w:webHidden/>
              </w:rPr>
              <w:t>722</w:t>
            </w:r>
            <w:r w:rsidR="00FD58BF">
              <w:rPr>
                <w:noProof/>
                <w:webHidden/>
              </w:rPr>
              <w:fldChar w:fldCharType="end"/>
            </w:r>
          </w:hyperlink>
        </w:p>
        <w:p w14:paraId="43A09A16" w14:textId="58900DF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7" w:history="1">
            <w:r w:rsidR="00FD58BF" w:rsidRPr="003004E5">
              <w:rPr>
                <w:rStyle w:val="Lienhypertexte"/>
                <w:noProof/>
              </w:rPr>
              <w:t>22.72.2f Retardateurs de prise CCTB 01.02</w:t>
            </w:r>
            <w:r w:rsidR="00FD58BF">
              <w:rPr>
                <w:noProof/>
                <w:webHidden/>
              </w:rPr>
              <w:tab/>
            </w:r>
            <w:r w:rsidR="00FD58BF">
              <w:rPr>
                <w:noProof/>
                <w:webHidden/>
              </w:rPr>
              <w:fldChar w:fldCharType="begin"/>
            </w:r>
            <w:r w:rsidR="00FD58BF">
              <w:rPr>
                <w:noProof/>
                <w:webHidden/>
              </w:rPr>
              <w:instrText xml:space="preserve"> PAGEREF _Toc178838177 \h </w:instrText>
            </w:r>
            <w:r w:rsidR="00FD58BF">
              <w:rPr>
                <w:noProof/>
                <w:webHidden/>
              </w:rPr>
            </w:r>
            <w:r w:rsidR="00FD58BF">
              <w:rPr>
                <w:noProof/>
                <w:webHidden/>
              </w:rPr>
              <w:fldChar w:fldCharType="separate"/>
            </w:r>
            <w:r w:rsidR="00FD58BF">
              <w:rPr>
                <w:noProof/>
                <w:webHidden/>
              </w:rPr>
              <w:t>722</w:t>
            </w:r>
            <w:r w:rsidR="00FD58BF">
              <w:rPr>
                <w:noProof/>
                <w:webHidden/>
              </w:rPr>
              <w:fldChar w:fldCharType="end"/>
            </w:r>
          </w:hyperlink>
        </w:p>
        <w:p w14:paraId="03440EFE" w14:textId="1A84293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8" w:history="1">
            <w:r w:rsidR="00FD58BF" w:rsidRPr="003004E5">
              <w:rPr>
                <w:rStyle w:val="Lienhypertexte"/>
                <w:noProof/>
              </w:rPr>
              <w:t>22.72.2g Adjuvants anti-efflorescences CCTB 01.02</w:t>
            </w:r>
            <w:r w:rsidR="00FD58BF">
              <w:rPr>
                <w:noProof/>
                <w:webHidden/>
              </w:rPr>
              <w:tab/>
            </w:r>
            <w:r w:rsidR="00FD58BF">
              <w:rPr>
                <w:noProof/>
                <w:webHidden/>
              </w:rPr>
              <w:fldChar w:fldCharType="begin"/>
            </w:r>
            <w:r w:rsidR="00FD58BF">
              <w:rPr>
                <w:noProof/>
                <w:webHidden/>
              </w:rPr>
              <w:instrText xml:space="preserve"> PAGEREF _Toc178838178 \h </w:instrText>
            </w:r>
            <w:r w:rsidR="00FD58BF">
              <w:rPr>
                <w:noProof/>
                <w:webHidden/>
              </w:rPr>
            </w:r>
            <w:r w:rsidR="00FD58BF">
              <w:rPr>
                <w:noProof/>
                <w:webHidden/>
              </w:rPr>
              <w:fldChar w:fldCharType="separate"/>
            </w:r>
            <w:r w:rsidR="00FD58BF">
              <w:rPr>
                <w:noProof/>
                <w:webHidden/>
              </w:rPr>
              <w:t>722</w:t>
            </w:r>
            <w:r w:rsidR="00FD58BF">
              <w:rPr>
                <w:noProof/>
                <w:webHidden/>
              </w:rPr>
              <w:fldChar w:fldCharType="end"/>
            </w:r>
          </w:hyperlink>
        </w:p>
        <w:p w14:paraId="64FFE74F" w14:textId="0CFBF27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9" w:history="1">
            <w:r w:rsidR="00FD58BF" w:rsidRPr="003004E5">
              <w:rPr>
                <w:rStyle w:val="Lienhypertexte"/>
                <w:noProof/>
              </w:rPr>
              <w:t>22.72.2h Agents anti-bullage CCTB 01.02</w:t>
            </w:r>
            <w:r w:rsidR="00FD58BF">
              <w:rPr>
                <w:noProof/>
                <w:webHidden/>
              </w:rPr>
              <w:tab/>
            </w:r>
            <w:r w:rsidR="00FD58BF">
              <w:rPr>
                <w:noProof/>
                <w:webHidden/>
              </w:rPr>
              <w:fldChar w:fldCharType="begin"/>
            </w:r>
            <w:r w:rsidR="00FD58BF">
              <w:rPr>
                <w:noProof/>
                <w:webHidden/>
              </w:rPr>
              <w:instrText xml:space="preserve"> PAGEREF _Toc178838179 \h </w:instrText>
            </w:r>
            <w:r w:rsidR="00FD58BF">
              <w:rPr>
                <w:noProof/>
                <w:webHidden/>
              </w:rPr>
            </w:r>
            <w:r w:rsidR="00FD58BF">
              <w:rPr>
                <w:noProof/>
                <w:webHidden/>
              </w:rPr>
              <w:fldChar w:fldCharType="separate"/>
            </w:r>
            <w:r w:rsidR="00FD58BF">
              <w:rPr>
                <w:noProof/>
                <w:webHidden/>
              </w:rPr>
              <w:t>722</w:t>
            </w:r>
            <w:r w:rsidR="00FD58BF">
              <w:rPr>
                <w:noProof/>
                <w:webHidden/>
              </w:rPr>
              <w:fldChar w:fldCharType="end"/>
            </w:r>
          </w:hyperlink>
        </w:p>
        <w:p w14:paraId="4859B504" w14:textId="0063465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0" w:history="1">
            <w:r w:rsidR="00FD58BF" w:rsidRPr="003004E5">
              <w:rPr>
                <w:rStyle w:val="Lienhypertexte"/>
                <w:noProof/>
              </w:rPr>
              <w:t>22.72.2i Hydrofuge de masse CCTB 01.11</w:t>
            </w:r>
            <w:r w:rsidR="00FD58BF">
              <w:rPr>
                <w:noProof/>
                <w:webHidden/>
              </w:rPr>
              <w:tab/>
            </w:r>
            <w:r w:rsidR="00FD58BF">
              <w:rPr>
                <w:noProof/>
                <w:webHidden/>
              </w:rPr>
              <w:fldChar w:fldCharType="begin"/>
            </w:r>
            <w:r w:rsidR="00FD58BF">
              <w:rPr>
                <w:noProof/>
                <w:webHidden/>
              </w:rPr>
              <w:instrText xml:space="preserve"> PAGEREF _Toc178838180 \h </w:instrText>
            </w:r>
            <w:r w:rsidR="00FD58BF">
              <w:rPr>
                <w:noProof/>
                <w:webHidden/>
              </w:rPr>
            </w:r>
            <w:r w:rsidR="00FD58BF">
              <w:rPr>
                <w:noProof/>
                <w:webHidden/>
              </w:rPr>
              <w:fldChar w:fldCharType="separate"/>
            </w:r>
            <w:r w:rsidR="00FD58BF">
              <w:rPr>
                <w:noProof/>
                <w:webHidden/>
              </w:rPr>
              <w:t>722</w:t>
            </w:r>
            <w:r w:rsidR="00FD58BF">
              <w:rPr>
                <w:noProof/>
                <w:webHidden/>
              </w:rPr>
              <w:fldChar w:fldCharType="end"/>
            </w:r>
          </w:hyperlink>
        </w:p>
        <w:p w14:paraId="348239D6" w14:textId="678A94B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1" w:history="1">
            <w:r w:rsidR="00FD58BF" w:rsidRPr="003004E5">
              <w:rPr>
                <w:rStyle w:val="Lienhypertexte"/>
                <w:noProof/>
              </w:rPr>
              <w:t>22.72.2j Colorants pour béton CCTB 01.02</w:t>
            </w:r>
            <w:r w:rsidR="00FD58BF">
              <w:rPr>
                <w:noProof/>
                <w:webHidden/>
              </w:rPr>
              <w:tab/>
            </w:r>
            <w:r w:rsidR="00FD58BF">
              <w:rPr>
                <w:noProof/>
                <w:webHidden/>
              </w:rPr>
              <w:fldChar w:fldCharType="begin"/>
            </w:r>
            <w:r w:rsidR="00FD58BF">
              <w:rPr>
                <w:noProof/>
                <w:webHidden/>
              </w:rPr>
              <w:instrText xml:space="preserve"> PAGEREF _Toc178838181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02F1A95A" w14:textId="5E4B1BA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2" w:history="1">
            <w:r w:rsidR="00FD58BF" w:rsidRPr="003004E5">
              <w:rPr>
                <w:rStyle w:val="Lienhypertexte"/>
                <w:noProof/>
              </w:rPr>
              <w:t>22.72.2k Inhibiteurs de corrosion CCTB 01.02</w:t>
            </w:r>
            <w:r w:rsidR="00FD58BF">
              <w:rPr>
                <w:noProof/>
                <w:webHidden/>
              </w:rPr>
              <w:tab/>
            </w:r>
            <w:r w:rsidR="00FD58BF">
              <w:rPr>
                <w:noProof/>
                <w:webHidden/>
              </w:rPr>
              <w:fldChar w:fldCharType="begin"/>
            </w:r>
            <w:r w:rsidR="00FD58BF">
              <w:rPr>
                <w:noProof/>
                <w:webHidden/>
              </w:rPr>
              <w:instrText xml:space="preserve"> PAGEREF _Toc178838182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0BFA96AC" w14:textId="0155C35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3" w:history="1">
            <w:r w:rsidR="00FD58BF" w:rsidRPr="003004E5">
              <w:rPr>
                <w:rStyle w:val="Lienhypertexte"/>
                <w:noProof/>
              </w:rPr>
              <w:t>22.72.3 Traitement de surface – hydrofugation de surface des bétons CCTB 01.10</w:t>
            </w:r>
            <w:r w:rsidR="00FD58BF">
              <w:rPr>
                <w:noProof/>
                <w:webHidden/>
              </w:rPr>
              <w:tab/>
            </w:r>
            <w:r w:rsidR="00FD58BF">
              <w:rPr>
                <w:noProof/>
                <w:webHidden/>
              </w:rPr>
              <w:fldChar w:fldCharType="begin"/>
            </w:r>
            <w:r w:rsidR="00FD58BF">
              <w:rPr>
                <w:noProof/>
                <w:webHidden/>
              </w:rPr>
              <w:instrText xml:space="preserve"> PAGEREF _Toc178838183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27730813" w14:textId="01224A3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4" w:history="1">
            <w:r w:rsidR="00FD58BF" w:rsidRPr="003004E5">
              <w:rPr>
                <w:rStyle w:val="Lienhypertexte"/>
                <w:noProof/>
              </w:rPr>
              <w:t>22.72.3a Traitement de surface – hydrofugation de surface des bétons CCTB 01.07</w:t>
            </w:r>
            <w:r w:rsidR="00FD58BF">
              <w:rPr>
                <w:noProof/>
                <w:webHidden/>
              </w:rPr>
              <w:tab/>
            </w:r>
            <w:r w:rsidR="00FD58BF">
              <w:rPr>
                <w:noProof/>
                <w:webHidden/>
              </w:rPr>
              <w:fldChar w:fldCharType="begin"/>
            </w:r>
            <w:r w:rsidR="00FD58BF">
              <w:rPr>
                <w:noProof/>
                <w:webHidden/>
              </w:rPr>
              <w:instrText xml:space="preserve"> PAGEREF _Toc178838184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0309853B" w14:textId="032EAE3C"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85" w:history="1">
            <w:r w:rsidR="00FD58BF" w:rsidRPr="003004E5">
              <w:rPr>
                <w:rStyle w:val="Lienhypertexte"/>
                <w:noProof/>
              </w:rPr>
              <w:t>22.73 Revêtements de finition CCTB 01.02</w:t>
            </w:r>
            <w:r w:rsidR="00FD58BF">
              <w:rPr>
                <w:noProof/>
                <w:webHidden/>
              </w:rPr>
              <w:tab/>
            </w:r>
            <w:r w:rsidR="00FD58BF">
              <w:rPr>
                <w:noProof/>
                <w:webHidden/>
              </w:rPr>
              <w:fldChar w:fldCharType="begin"/>
            </w:r>
            <w:r w:rsidR="00FD58BF">
              <w:rPr>
                <w:noProof/>
                <w:webHidden/>
              </w:rPr>
              <w:instrText xml:space="preserve"> PAGEREF _Toc178838185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1F48E5D7" w14:textId="1B1ADDF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6" w:history="1">
            <w:r w:rsidR="00FD58BF" w:rsidRPr="003004E5">
              <w:rPr>
                <w:rStyle w:val="Lienhypertexte"/>
                <w:noProof/>
              </w:rPr>
              <w:t>22.73.1 Mortiers d'égalisation CCTB 01.04</w:t>
            </w:r>
            <w:r w:rsidR="00FD58BF">
              <w:rPr>
                <w:noProof/>
                <w:webHidden/>
              </w:rPr>
              <w:tab/>
            </w:r>
            <w:r w:rsidR="00FD58BF">
              <w:rPr>
                <w:noProof/>
                <w:webHidden/>
              </w:rPr>
              <w:fldChar w:fldCharType="begin"/>
            </w:r>
            <w:r w:rsidR="00FD58BF">
              <w:rPr>
                <w:noProof/>
                <w:webHidden/>
              </w:rPr>
              <w:instrText xml:space="preserve"> PAGEREF _Toc178838186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4AA62A2F" w14:textId="5DA732E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7" w:history="1">
            <w:r w:rsidR="00FD58BF" w:rsidRPr="003004E5">
              <w:rPr>
                <w:rStyle w:val="Lienhypertexte"/>
                <w:noProof/>
              </w:rPr>
              <w:t>22.73.1a Mortiers d'égalisation CCTB 01.04</w:t>
            </w:r>
            <w:r w:rsidR="00FD58BF">
              <w:rPr>
                <w:noProof/>
                <w:webHidden/>
              </w:rPr>
              <w:tab/>
            </w:r>
            <w:r w:rsidR="00FD58BF">
              <w:rPr>
                <w:noProof/>
                <w:webHidden/>
              </w:rPr>
              <w:fldChar w:fldCharType="begin"/>
            </w:r>
            <w:r w:rsidR="00FD58BF">
              <w:rPr>
                <w:noProof/>
                <w:webHidden/>
              </w:rPr>
              <w:instrText xml:space="preserve"> PAGEREF _Toc178838187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63AD2154" w14:textId="2ACCE4F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8" w:history="1">
            <w:r w:rsidR="00FD58BF" w:rsidRPr="003004E5">
              <w:rPr>
                <w:rStyle w:val="Lienhypertexte"/>
                <w:noProof/>
              </w:rPr>
              <w:t>22.73.2 Couches de finition CCTB 01.02</w:t>
            </w:r>
            <w:r w:rsidR="00FD58BF">
              <w:rPr>
                <w:noProof/>
                <w:webHidden/>
              </w:rPr>
              <w:tab/>
            </w:r>
            <w:r w:rsidR="00FD58BF">
              <w:rPr>
                <w:noProof/>
                <w:webHidden/>
              </w:rPr>
              <w:fldChar w:fldCharType="begin"/>
            </w:r>
            <w:r w:rsidR="00FD58BF">
              <w:rPr>
                <w:noProof/>
                <w:webHidden/>
              </w:rPr>
              <w:instrText xml:space="preserve"> PAGEREF _Toc178838188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03E48A5B" w14:textId="64717C3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9" w:history="1">
            <w:r w:rsidR="00FD58BF" w:rsidRPr="003004E5">
              <w:rPr>
                <w:rStyle w:val="Lienhypertexte"/>
                <w:noProof/>
              </w:rPr>
              <w:t>22.73.2a Couches de finition CCTB 01.02</w:t>
            </w:r>
            <w:r w:rsidR="00FD58BF">
              <w:rPr>
                <w:noProof/>
                <w:webHidden/>
              </w:rPr>
              <w:tab/>
            </w:r>
            <w:r w:rsidR="00FD58BF">
              <w:rPr>
                <w:noProof/>
                <w:webHidden/>
              </w:rPr>
              <w:fldChar w:fldCharType="begin"/>
            </w:r>
            <w:r w:rsidR="00FD58BF">
              <w:rPr>
                <w:noProof/>
                <w:webHidden/>
              </w:rPr>
              <w:instrText xml:space="preserve"> PAGEREF _Toc178838189 \h </w:instrText>
            </w:r>
            <w:r w:rsidR="00FD58BF">
              <w:rPr>
                <w:noProof/>
                <w:webHidden/>
              </w:rPr>
            </w:r>
            <w:r w:rsidR="00FD58BF">
              <w:rPr>
                <w:noProof/>
                <w:webHidden/>
              </w:rPr>
              <w:fldChar w:fldCharType="separate"/>
            </w:r>
            <w:r w:rsidR="00FD58BF">
              <w:rPr>
                <w:noProof/>
                <w:webHidden/>
              </w:rPr>
              <w:t>723</w:t>
            </w:r>
            <w:r w:rsidR="00FD58BF">
              <w:rPr>
                <w:noProof/>
                <w:webHidden/>
              </w:rPr>
              <w:fldChar w:fldCharType="end"/>
            </w:r>
          </w:hyperlink>
        </w:p>
        <w:p w14:paraId="719C7BAE" w14:textId="24E072E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90" w:history="1">
            <w:r w:rsidR="00FD58BF" w:rsidRPr="003004E5">
              <w:rPr>
                <w:rStyle w:val="Lienhypertexte"/>
                <w:noProof/>
              </w:rPr>
              <w:t>22.74 Revêtements de protection CCTB 01.04</w:t>
            </w:r>
            <w:r w:rsidR="00FD58BF">
              <w:rPr>
                <w:noProof/>
                <w:webHidden/>
              </w:rPr>
              <w:tab/>
            </w:r>
            <w:r w:rsidR="00FD58BF">
              <w:rPr>
                <w:noProof/>
                <w:webHidden/>
              </w:rPr>
              <w:fldChar w:fldCharType="begin"/>
            </w:r>
            <w:r w:rsidR="00FD58BF">
              <w:rPr>
                <w:noProof/>
                <w:webHidden/>
              </w:rPr>
              <w:instrText xml:space="preserve"> PAGEREF _Toc178838190 \h </w:instrText>
            </w:r>
            <w:r w:rsidR="00FD58BF">
              <w:rPr>
                <w:noProof/>
                <w:webHidden/>
              </w:rPr>
            </w:r>
            <w:r w:rsidR="00FD58BF">
              <w:rPr>
                <w:noProof/>
                <w:webHidden/>
              </w:rPr>
              <w:fldChar w:fldCharType="separate"/>
            </w:r>
            <w:r w:rsidR="00FD58BF">
              <w:rPr>
                <w:noProof/>
                <w:webHidden/>
              </w:rPr>
              <w:t>724</w:t>
            </w:r>
            <w:r w:rsidR="00FD58BF">
              <w:rPr>
                <w:noProof/>
                <w:webHidden/>
              </w:rPr>
              <w:fldChar w:fldCharType="end"/>
            </w:r>
          </w:hyperlink>
        </w:p>
        <w:p w14:paraId="1B41AC03" w14:textId="57F46FA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1" w:history="1">
            <w:r w:rsidR="00FD58BF" w:rsidRPr="003004E5">
              <w:rPr>
                <w:rStyle w:val="Lienhypertexte"/>
                <w:noProof/>
              </w:rPr>
              <w:t>22.74.1 Revêtements minces de protection à liant minéral CCTB 01.02</w:t>
            </w:r>
            <w:r w:rsidR="00FD58BF">
              <w:rPr>
                <w:noProof/>
                <w:webHidden/>
              </w:rPr>
              <w:tab/>
            </w:r>
            <w:r w:rsidR="00FD58BF">
              <w:rPr>
                <w:noProof/>
                <w:webHidden/>
              </w:rPr>
              <w:fldChar w:fldCharType="begin"/>
            </w:r>
            <w:r w:rsidR="00FD58BF">
              <w:rPr>
                <w:noProof/>
                <w:webHidden/>
              </w:rPr>
              <w:instrText xml:space="preserve"> PAGEREF _Toc178838191 \h </w:instrText>
            </w:r>
            <w:r w:rsidR="00FD58BF">
              <w:rPr>
                <w:noProof/>
                <w:webHidden/>
              </w:rPr>
            </w:r>
            <w:r w:rsidR="00FD58BF">
              <w:rPr>
                <w:noProof/>
                <w:webHidden/>
              </w:rPr>
              <w:fldChar w:fldCharType="separate"/>
            </w:r>
            <w:r w:rsidR="00FD58BF">
              <w:rPr>
                <w:noProof/>
                <w:webHidden/>
              </w:rPr>
              <w:t>724</w:t>
            </w:r>
            <w:r w:rsidR="00FD58BF">
              <w:rPr>
                <w:noProof/>
                <w:webHidden/>
              </w:rPr>
              <w:fldChar w:fldCharType="end"/>
            </w:r>
          </w:hyperlink>
        </w:p>
        <w:p w14:paraId="4170B4D9" w14:textId="5BFBD7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2" w:history="1">
            <w:r w:rsidR="00FD58BF" w:rsidRPr="003004E5">
              <w:rPr>
                <w:rStyle w:val="Lienhypertexte"/>
                <w:noProof/>
              </w:rPr>
              <w:t>22.74.1a Revêtements minces de protection à liant minéral CCTB 01.02</w:t>
            </w:r>
            <w:r w:rsidR="00FD58BF">
              <w:rPr>
                <w:noProof/>
                <w:webHidden/>
              </w:rPr>
              <w:tab/>
            </w:r>
            <w:r w:rsidR="00FD58BF">
              <w:rPr>
                <w:noProof/>
                <w:webHidden/>
              </w:rPr>
              <w:fldChar w:fldCharType="begin"/>
            </w:r>
            <w:r w:rsidR="00FD58BF">
              <w:rPr>
                <w:noProof/>
                <w:webHidden/>
              </w:rPr>
              <w:instrText xml:space="preserve"> PAGEREF _Toc178838192 \h </w:instrText>
            </w:r>
            <w:r w:rsidR="00FD58BF">
              <w:rPr>
                <w:noProof/>
                <w:webHidden/>
              </w:rPr>
            </w:r>
            <w:r w:rsidR="00FD58BF">
              <w:rPr>
                <w:noProof/>
                <w:webHidden/>
              </w:rPr>
              <w:fldChar w:fldCharType="separate"/>
            </w:r>
            <w:r w:rsidR="00FD58BF">
              <w:rPr>
                <w:noProof/>
                <w:webHidden/>
              </w:rPr>
              <w:t>724</w:t>
            </w:r>
            <w:r w:rsidR="00FD58BF">
              <w:rPr>
                <w:noProof/>
                <w:webHidden/>
              </w:rPr>
              <w:fldChar w:fldCharType="end"/>
            </w:r>
          </w:hyperlink>
        </w:p>
        <w:p w14:paraId="1BD6C6CB" w14:textId="5CBE5C8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3" w:history="1">
            <w:r w:rsidR="00FD58BF" w:rsidRPr="003004E5">
              <w:rPr>
                <w:rStyle w:val="Lienhypertexte"/>
                <w:noProof/>
              </w:rPr>
              <w:t>22.74.2 Revêtements minces de protection à liant organique (coating) CCTB 01.02</w:t>
            </w:r>
            <w:r w:rsidR="00FD58BF">
              <w:rPr>
                <w:noProof/>
                <w:webHidden/>
              </w:rPr>
              <w:tab/>
            </w:r>
            <w:r w:rsidR="00FD58BF">
              <w:rPr>
                <w:noProof/>
                <w:webHidden/>
              </w:rPr>
              <w:fldChar w:fldCharType="begin"/>
            </w:r>
            <w:r w:rsidR="00FD58BF">
              <w:rPr>
                <w:noProof/>
                <w:webHidden/>
              </w:rPr>
              <w:instrText xml:space="preserve"> PAGEREF _Toc178838193 \h </w:instrText>
            </w:r>
            <w:r w:rsidR="00FD58BF">
              <w:rPr>
                <w:noProof/>
                <w:webHidden/>
              </w:rPr>
            </w:r>
            <w:r w:rsidR="00FD58BF">
              <w:rPr>
                <w:noProof/>
                <w:webHidden/>
              </w:rPr>
              <w:fldChar w:fldCharType="separate"/>
            </w:r>
            <w:r w:rsidR="00FD58BF">
              <w:rPr>
                <w:noProof/>
                <w:webHidden/>
              </w:rPr>
              <w:t>724</w:t>
            </w:r>
            <w:r w:rsidR="00FD58BF">
              <w:rPr>
                <w:noProof/>
                <w:webHidden/>
              </w:rPr>
              <w:fldChar w:fldCharType="end"/>
            </w:r>
          </w:hyperlink>
        </w:p>
        <w:p w14:paraId="19952B0C" w14:textId="03BAFBB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4" w:history="1">
            <w:r w:rsidR="00FD58BF" w:rsidRPr="003004E5">
              <w:rPr>
                <w:rStyle w:val="Lienhypertexte"/>
                <w:noProof/>
              </w:rPr>
              <w:t>22.74.2a Revêtements minces de protection à liant organique (coating) CCTB 01.02</w:t>
            </w:r>
            <w:r w:rsidR="00FD58BF">
              <w:rPr>
                <w:noProof/>
                <w:webHidden/>
              </w:rPr>
              <w:tab/>
            </w:r>
            <w:r w:rsidR="00FD58BF">
              <w:rPr>
                <w:noProof/>
                <w:webHidden/>
              </w:rPr>
              <w:fldChar w:fldCharType="begin"/>
            </w:r>
            <w:r w:rsidR="00FD58BF">
              <w:rPr>
                <w:noProof/>
                <w:webHidden/>
              </w:rPr>
              <w:instrText xml:space="preserve"> PAGEREF _Toc178838194 \h </w:instrText>
            </w:r>
            <w:r w:rsidR="00FD58BF">
              <w:rPr>
                <w:noProof/>
                <w:webHidden/>
              </w:rPr>
            </w:r>
            <w:r w:rsidR="00FD58BF">
              <w:rPr>
                <w:noProof/>
                <w:webHidden/>
              </w:rPr>
              <w:fldChar w:fldCharType="separate"/>
            </w:r>
            <w:r w:rsidR="00FD58BF">
              <w:rPr>
                <w:noProof/>
                <w:webHidden/>
              </w:rPr>
              <w:t>724</w:t>
            </w:r>
            <w:r w:rsidR="00FD58BF">
              <w:rPr>
                <w:noProof/>
                <w:webHidden/>
              </w:rPr>
              <w:fldChar w:fldCharType="end"/>
            </w:r>
          </w:hyperlink>
        </w:p>
        <w:p w14:paraId="0AA121E9" w14:textId="366FC977"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195" w:history="1">
            <w:r w:rsidR="00FD58BF" w:rsidRPr="003004E5">
              <w:rPr>
                <w:rStyle w:val="Lienhypertexte"/>
                <w:noProof/>
              </w:rPr>
              <w:t>22.8 Superstructures en béton - Rénovation CCTB 01.07</w:t>
            </w:r>
            <w:r w:rsidR="00FD58BF">
              <w:rPr>
                <w:noProof/>
                <w:webHidden/>
              </w:rPr>
              <w:tab/>
            </w:r>
            <w:r w:rsidR="00FD58BF">
              <w:rPr>
                <w:noProof/>
                <w:webHidden/>
              </w:rPr>
              <w:fldChar w:fldCharType="begin"/>
            </w:r>
            <w:r w:rsidR="00FD58BF">
              <w:rPr>
                <w:noProof/>
                <w:webHidden/>
              </w:rPr>
              <w:instrText xml:space="preserve"> PAGEREF _Toc178838195 \h </w:instrText>
            </w:r>
            <w:r w:rsidR="00FD58BF">
              <w:rPr>
                <w:noProof/>
                <w:webHidden/>
              </w:rPr>
            </w:r>
            <w:r w:rsidR="00FD58BF">
              <w:rPr>
                <w:noProof/>
                <w:webHidden/>
              </w:rPr>
              <w:fldChar w:fldCharType="separate"/>
            </w:r>
            <w:r w:rsidR="00FD58BF">
              <w:rPr>
                <w:noProof/>
                <w:webHidden/>
              </w:rPr>
              <w:t>724</w:t>
            </w:r>
            <w:r w:rsidR="00FD58BF">
              <w:rPr>
                <w:noProof/>
                <w:webHidden/>
              </w:rPr>
              <w:fldChar w:fldCharType="end"/>
            </w:r>
          </w:hyperlink>
        </w:p>
        <w:p w14:paraId="629EA41C" w14:textId="36FF9E4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96" w:history="1">
            <w:r w:rsidR="00FD58BF" w:rsidRPr="003004E5">
              <w:rPr>
                <w:rStyle w:val="Lienhypertexte"/>
                <w:noProof/>
              </w:rPr>
              <w:t>22.81 Etudes / essais préliminaires CCTB 01.04</w:t>
            </w:r>
            <w:r w:rsidR="00FD58BF">
              <w:rPr>
                <w:noProof/>
                <w:webHidden/>
              </w:rPr>
              <w:tab/>
            </w:r>
            <w:r w:rsidR="00FD58BF">
              <w:rPr>
                <w:noProof/>
                <w:webHidden/>
              </w:rPr>
              <w:fldChar w:fldCharType="begin"/>
            </w:r>
            <w:r w:rsidR="00FD58BF">
              <w:rPr>
                <w:noProof/>
                <w:webHidden/>
              </w:rPr>
              <w:instrText xml:space="preserve"> PAGEREF _Toc178838196 \h </w:instrText>
            </w:r>
            <w:r w:rsidR="00FD58BF">
              <w:rPr>
                <w:noProof/>
                <w:webHidden/>
              </w:rPr>
            </w:r>
            <w:r w:rsidR="00FD58BF">
              <w:rPr>
                <w:noProof/>
                <w:webHidden/>
              </w:rPr>
              <w:fldChar w:fldCharType="separate"/>
            </w:r>
            <w:r w:rsidR="00FD58BF">
              <w:rPr>
                <w:noProof/>
                <w:webHidden/>
              </w:rPr>
              <w:t>724</w:t>
            </w:r>
            <w:r w:rsidR="00FD58BF">
              <w:rPr>
                <w:noProof/>
                <w:webHidden/>
              </w:rPr>
              <w:fldChar w:fldCharType="end"/>
            </w:r>
          </w:hyperlink>
        </w:p>
        <w:p w14:paraId="7B0AB669" w14:textId="3CD4C5E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97" w:history="1">
            <w:r w:rsidR="00FD58BF" w:rsidRPr="003004E5">
              <w:rPr>
                <w:rStyle w:val="Lienhypertexte"/>
                <w:noProof/>
              </w:rPr>
              <w:t>22.82 Déposes / démontages / percements / déconstructions-démolitions CCTB 01.02</w:t>
            </w:r>
            <w:r w:rsidR="00FD58BF">
              <w:rPr>
                <w:noProof/>
                <w:webHidden/>
              </w:rPr>
              <w:tab/>
            </w:r>
            <w:r w:rsidR="00FD58BF">
              <w:rPr>
                <w:noProof/>
                <w:webHidden/>
              </w:rPr>
              <w:fldChar w:fldCharType="begin"/>
            </w:r>
            <w:r w:rsidR="00FD58BF">
              <w:rPr>
                <w:noProof/>
                <w:webHidden/>
              </w:rPr>
              <w:instrText xml:space="preserve"> PAGEREF _Toc178838197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6504DE17" w14:textId="5FC6FA3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8" w:history="1">
            <w:r w:rsidR="00FD58BF" w:rsidRPr="003004E5">
              <w:rPr>
                <w:rStyle w:val="Lienhypertexte"/>
                <w:noProof/>
              </w:rPr>
              <w:t>22.82.1 Travaux de stabilisation CCTB 01.04</w:t>
            </w:r>
            <w:r w:rsidR="00FD58BF">
              <w:rPr>
                <w:noProof/>
                <w:webHidden/>
              </w:rPr>
              <w:tab/>
            </w:r>
            <w:r w:rsidR="00FD58BF">
              <w:rPr>
                <w:noProof/>
                <w:webHidden/>
              </w:rPr>
              <w:fldChar w:fldCharType="begin"/>
            </w:r>
            <w:r w:rsidR="00FD58BF">
              <w:rPr>
                <w:noProof/>
                <w:webHidden/>
              </w:rPr>
              <w:instrText xml:space="preserve"> PAGEREF _Toc178838198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06C9139E" w14:textId="276AB07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9" w:history="1">
            <w:r w:rsidR="00FD58BF" w:rsidRPr="003004E5">
              <w:rPr>
                <w:rStyle w:val="Lienhypertexte"/>
                <w:noProof/>
              </w:rPr>
              <w:t>22.82.2 Déposes d'éléments (pour repose ultérieure) CCTB 01.04</w:t>
            </w:r>
            <w:r w:rsidR="00FD58BF">
              <w:rPr>
                <w:noProof/>
                <w:webHidden/>
              </w:rPr>
              <w:tab/>
            </w:r>
            <w:r w:rsidR="00FD58BF">
              <w:rPr>
                <w:noProof/>
                <w:webHidden/>
              </w:rPr>
              <w:fldChar w:fldCharType="begin"/>
            </w:r>
            <w:r w:rsidR="00FD58BF">
              <w:rPr>
                <w:noProof/>
                <w:webHidden/>
              </w:rPr>
              <w:instrText xml:space="preserve"> PAGEREF _Toc178838199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6B024027" w14:textId="1321087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0" w:history="1">
            <w:r w:rsidR="00FD58BF" w:rsidRPr="003004E5">
              <w:rPr>
                <w:rStyle w:val="Lienhypertexte"/>
                <w:noProof/>
              </w:rPr>
              <w:t>22.82.3 Démontages d'éléments (pour récupération) CCTB 01.04</w:t>
            </w:r>
            <w:r w:rsidR="00FD58BF">
              <w:rPr>
                <w:noProof/>
                <w:webHidden/>
              </w:rPr>
              <w:tab/>
            </w:r>
            <w:r w:rsidR="00FD58BF">
              <w:rPr>
                <w:noProof/>
                <w:webHidden/>
              </w:rPr>
              <w:fldChar w:fldCharType="begin"/>
            </w:r>
            <w:r w:rsidR="00FD58BF">
              <w:rPr>
                <w:noProof/>
                <w:webHidden/>
              </w:rPr>
              <w:instrText xml:space="preserve"> PAGEREF _Toc178838200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50641B5E" w14:textId="69D74E4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1" w:history="1">
            <w:r w:rsidR="00FD58BF" w:rsidRPr="003004E5">
              <w:rPr>
                <w:rStyle w:val="Lienhypertexte"/>
                <w:noProof/>
              </w:rPr>
              <w:t>22.82.4 Décapages / déjointoiements (pour évacuation) CCTB 01.04</w:t>
            </w:r>
            <w:r w:rsidR="00FD58BF">
              <w:rPr>
                <w:noProof/>
                <w:webHidden/>
              </w:rPr>
              <w:tab/>
            </w:r>
            <w:r w:rsidR="00FD58BF">
              <w:rPr>
                <w:noProof/>
                <w:webHidden/>
              </w:rPr>
              <w:fldChar w:fldCharType="begin"/>
            </w:r>
            <w:r w:rsidR="00FD58BF">
              <w:rPr>
                <w:noProof/>
                <w:webHidden/>
              </w:rPr>
              <w:instrText xml:space="preserve"> PAGEREF _Toc178838201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2B7AC116" w14:textId="2859F9C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2" w:history="1">
            <w:r w:rsidR="00FD58BF" w:rsidRPr="003004E5">
              <w:rPr>
                <w:rStyle w:val="Lienhypertexte"/>
                <w:noProof/>
              </w:rPr>
              <w:t>22.82.5 Percements / carottages CCTB 01.04</w:t>
            </w:r>
            <w:r w:rsidR="00FD58BF">
              <w:rPr>
                <w:noProof/>
                <w:webHidden/>
              </w:rPr>
              <w:tab/>
            </w:r>
            <w:r w:rsidR="00FD58BF">
              <w:rPr>
                <w:noProof/>
                <w:webHidden/>
              </w:rPr>
              <w:fldChar w:fldCharType="begin"/>
            </w:r>
            <w:r w:rsidR="00FD58BF">
              <w:rPr>
                <w:noProof/>
                <w:webHidden/>
              </w:rPr>
              <w:instrText xml:space="preserve"> PAGEREF _Toc178838202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1F4E3DF7" w14:textId="72E80F1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3" w:history="1">
            <w:r w:rsidR="00FD58BF" w:rsidRPr="003004E5">
              <w:rPr>
                <w:rStyle w:val="Lienhypertexte"/>
                <w:noProof/>
              </w:rPr>
              <w:t>22.82.6 Déconstructions / démolitions (pour évacuation) CCTB 01.04</w:t>
            </w:r>
            <w:r w:rsidR="00FD58BF">
              <w:rPr>
                <w:noProof/>
                <w:webHidden/>
              </w:rPr>
              <w:tab/>
            </w:r>
            <w:r w:rsidR="00FD58BF">
              <w:rPr>
                <w:noProof/>
                <w:webHidden/>
              </w:rPr>
              <w:fldChar w:fldCharType="begin"/>
            </w:r>
            <w:r w:rsidR="00FD58BF">
              <w:rPr>
                <w:noProof/>
                <w:webHidden/>
              </w:rPr>
              <w:instrText xml:space="preserve"> PAGEREF _Toc178838203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17ABDF76" w14:textId="50AE85D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04" w:history="1">
            <w:r w:rsidR="00FD58BF" w:rsidRPr="003004E5">
              <w:rPr>
                <w:rStyle w:val="Lienhypertexte"/>
                <w:noProof/>
              </w:rPr>
              <w:t>22.83 Réparations / ragréages / rénovations CCTB 01.02</w:t>
            </w:r>
            <w:r w:rsidR="00FD58BF">
              <w:rPr>
                <w:noProof/>
                <w:webHidden/>
              </w:rPr>
              <w:tab/>
            </w:r>
            <w:r w:rsidR="00FD58BF">
              <w:rPr>
                <w:noProof/>
                <w:webHidden/>
              </w:rPr>
              <w:fldChar w:fldCharType="begin"/>
            </w:r>
            <w:r w:rsidR="00FD58BF">
              <w:rPr>
                <w:noProof/>
                <w:webHidden/>
              </w:rPr>
              <w:instrText xml:space="preserve"> PAGEREF _Toc178838204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37A86438" w14:textId="64A36E4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5" w:history="1">
            <w:r w:rsidR="00FD58BF" w:rsidRPr="003004E5">
              <w:rPr>
                <w:rStyle w:val="Lienhypertexte"/>
                <w:noProof/>
              </w:rPr>
              <w:t>22.83.1 Ragréages superficiels de béton par mortiers de réparation CCTB 01.02</w:t>
            </w:r>
            <w:r w:rsidR="00FD58BF">
              <w:rPr>
                <w:noProof/>
                <w:webHidden/>
              </w:rPr>
              <w:tab/>
            </w:r>
            <w:r w:rsidR="00FD58BF">
              <w:rPr>
                <w:noProof/>
                <w:webHidden/>
              </w:rPr>
              <w:fldChar w:fldCharType="begin"/>
            </w:r>
            <w:r w:rsidR="00FD58BF">
              <w:rPr>
                <w:noProof/>
                <w:webHidden/>
              </w:rPr>
              <w:instrText xml:space="preserve"> PAGEREF _Toc178838205 \h </w:instrText>
            </w:r>
            <w:r w:rsidR="00FD58BF">
              <w:rPr>
                <w:noProof/>
                <w:webHidden/>
              </w:rPr>
            </w:r>
            <w:r w:rsidR="00FD58BF">
              <w:rPr>
                <w:noProof/>
                <w:webHidden/>
              </w:rPr>
              <w:fldChar w:fldCharType="separate"/>
            </w:r>
            <w:r w:rsidR="00FD58BF">
              <w:rPr>
                <w:noProof/>
                <w:webHidden/>
              </w:rPr>
              <w:t>725</w:t>
            </w:r>
            <w:r w:rsidR="00FD58BF">
              <w:rPr>
                <w:noProof/>
                <w:webHidden/>
              </w:rPr>
              <w:fldChar w:fldCharType="end"/>
            </w:r>
          </w:hyperlink>
        </w:p>
        <w:p w14:paraId="52199494" w14:textId="34B00A2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6" w:history="1">
            <w:r w:rsidR="00FD58BF" w:rsidRPr="003004E5">
              <w:rPr>
                <w:rStyle w:val="Lienhypertexte"/>
                <w:noProof/>
              </w:rPr>
              <w:t>22.83.1a Ragréages de béton par mortier de ragréage à base de liants hydraulique CCTB 01.02</w:t>
            </w:r>
            <w:r w:rsidR="00FD58BF">
              <w:rPr>
                <w:noProof/>
                <w:webHidden/>
              </w:rPr>
              <w:tab/>
            </w:r>
            <w:r w:rsidR="00FD58BF">
              <w:rPr>
                <w:noProof/>
                <w:webHidden/>
              </w:rPr>
              <w:fldChar w:fldCharType="begin"/>
            </w:r>
            <w:r w:rsidR="00FD58BF">
              <w:rPr>
                <w:noProof/>
                <w:webHidden/>
              </w:rPr>
              <w:instrText xml:space="preserve"> PAGEREF _Toc178838206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3A65E29C" w14:textId="766DC61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7" w:history="1">
            <w:r w:rsidR="00FD58BF" w:rsidRPr="003004E5">
              <w:rPr>
                <w:rStyle w:val="Lienhypertexte"/>
                <w:noProof/>
              </w:rPr>
              <w:t>22.83.1b Ragréages de béton par mortier de ragréage à base de résines CCTB 01.02</w:t>
            </w:r>
            <w:r w:rsidR="00FD58BF">
              <w:rPr>
                <w:noProof/>
                <w:webHidden/>
              </w:rPr>
              <w:tab/>
            </w:r>
            <w:r w:rsidR="00FD58BF">
              <w:rPr>
                <w:noProof/>
                <w:webHidden/>
              </w:rPr>
              <w:fldChar w:fldCharType="begin"/>
            </w:r>
            <w:r w:rsidR="00FD58BF">
              <w:rPr>
                <w:noProof/>
                <w:webHidden/>
              </w:rPr>
              <w:instrText xml:space="preserve"> PAGEREF _Toc178838207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71B34346" w14:textId="60F8534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8" w:history="1">
            <w:r w:rsidR="00FD58BF" w:rsidRPr="003004E5">
              <w:rPr>
                <w:rStyle w:val="Lienhypertexte"/>
                <w:noProof/>
              </w:rPr>
              <w:t>22.83.2 Réparations de béton armé par application manuelle CCTB 01.02</w:t>
            </w:r>
            <w:r w:rsidR="00FD58BF">
              <w:rPr>
                <w:noProof/>
                <w:webHidden/>
              </w:rPr>
              <w:tab/>
            </w:r>
            <w:r w:rsidR="00FD58BF">
              <w:rPr>
                <w:noProof/>
                <w:webHidden/>
              </w:rPr>
              <w:fldChar w:fldCharType="begin"/>
            </w:r>
            <w:r w:rsidR="00FD58BF">
              <w:rPr>
                <w:noProof/>
                <w:webHidden/>
              </w:rPr>
              <w:instrText xml:space="preserve"> PAGEREF _Toc178838208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0528D503" w14:textId="7A628F5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9" w:history="1">
            <w:r w:rsidR="00FD58BF" w:rsidRPr="003004E5">
              <w:rPr>
                <w:rStyle w:val="Lienhypertexte"/>
                <w:noProof/>
              </w:rPr>
              <w:t>22.83.2a Réparations de béton armé par application manuelle CCTB 01.02</w:t>
            </w:r>
            <w:r w:rsidR="00FD58BF">
              <w:rPr>
                <w:noProof/>
                <w:webHidden/>
              </w:rPr>
              <w:tab/>
            </w:r>
            <w:r w:rsidR="00FD58BF">
              <w:rPr>
                <w:noProof/>
                <w:webHidden/>
              </w:rPr>
              <w:fldChar w:fldCharType="begin"/>
            </w:r>
            <w:r w:rsidR="00FD58BF">
              <w:rPr>
                <w:noProof/>
                <w:webHidden/>
              </w:rPr>
              <w:instrText xml:space="preserve"> PAGEREF _Toc178838209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0A807BE1" w14:textId="7FFDCB7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0" w:history="1">
            <w:r w:rsidR="00FD58BF" w:rsidRPr="003004E5">
              <w:rPr>
                <w:rStyle w:val="Lienhypertexte"/>
                <w:noProof/>
              </w:rPr>
              <w:t>22.83.3 Réparations de béton armé par coulage CCTB 01.02</w:t>
            </w:r>
            <w:r w:rsidR="00FD58BF">
              <w:rPr>
                <w:noProof/>
                <w:webHidden/>
              </w:rPr>
              <w:tab/>
            </w:r>
            <w:r w:rsidR="00FD58BF">
              <w:rPr>
                <w:noProof/>
                <w:webHidden/>
              </w:rPr>
              <w:fldChar w:fldCharType="begin"/>
            </w:r>
            <w:r w:rsidR="00FD58BF">
              <w:rPr>
                <w:noProof/>
                <w:webHidden/>
              </w:rPr>
              <w:instrText xml:space="preserve"> PAGEREF _Toc178838210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7E1D2B85" w14:textId="1F43C7E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1" w:history="1">
            <w:r w:rsidR="00FD58BF" w:rsidRPr="003004E5">
              <w:rPr>
                <w:rStyle w:val="Lienhypertexte"/>
                <w:noProof/>
              </w:rPr>
              <w:t>22.83.3a Réparations de béton armé par coulage CCTB 01.02</w:t>
            </w:r>
            <w:r w:rsidR="00FD58BF">
              <w:rPr>
                <w:noProof/>
                <w:webHidden/>
              </w:rPr>
              <w:tab/>
            </w:r>
            <w:r w:rsidR="00FD58BF">
              <w:rPr>
                <w:noProof/>
                <w:webHidden/>
              </w:rPr>
              <w:fldChar w:fldCharType="begin"/>
            </w:r>
            <w:r w:rsidR="00FD58BF">
              <w:rPr>
                <w:noProof/>
                <w:webHidden/>
              </w:rPr>
              <w:instrText xml:space="preserve"> PAGEREF _Toc178838211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401B83C7" w14:textId="2C351CE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2" w:history="1">
            <w:r w:rsidR="00FD58BF" w:rsidRPr="003004E5">
              <w:rPr>
                <w:rStyle w:val="Lienhypertexte"/>
                <w:noProof/>
              </w:rPr>
              <w:t>22.83.4 Réparations de béton armé par gunitage CCTB 01.02</w:t>
            </w:r>
            <w:r w:rsidR="00FD58BF">
              <w:rPr>
                <w:noProof/>
                <w:webHidden/>
              </w:rPr>
              <w:tab/>
            </w:r>
            <w:r w:rsidR="00FD58BF">
              <w:rPr>
                <w:noProof/>
                <w:webHidden/>
              </w:rPr>
              <w:fldChar w:fldCharType="begin"/>
            </w:r>
            <w:r w:rsidR="00FD58BF">
              <w:rPr>
                <w:noProof/>
                <w:webHidden/>
              </w:rPr>
              <w:instrText xml:space="preserve"> PAGEREF _Toc178838212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7A9B49DF" w14:textId="72EFDA1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3" w:history="1">
            <w:r w:rsidR="00FD58BF" w:rsidRPr="003004E5">
              <w:rPr>
                <w:rStyle w:val="Lienhypertexte"/>
                <w:noProof/>
              </w:rPr>
              <w:t>22.83.4a Réparations de béton armé par gunitage CCTB 01.02</w:t>
            </w:r>
            <w:r w:rsidR="00FD58BF">
              <w:rPr>
                <w:noProof/>
                <w:webHidden/>
              </w:rPr>
              <w:tab/>
            </w:r>
            <w:r w:rsidR="00FD58BF">
              <w:rPr>
                <w:noProof/>
                <w:webHidden/>
              </w:rPr>
              <w:fldChar w:fldCharType="begin"/>
            </w:r>
            <w:r w:rsidR="00FD58BF">
              <w:rPr>
                <w:noProof/>
                <w:webHidden/>
              </w:rPr>
              <w:instrText xml:space="preserve"> PAGEREF _Toc178838213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326DF563" w14:textId="63E4068C"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14" w:history="1">
            <w:r w:rsidR="00FD58BF" w:rsidRPr="003004E5">
              <w:rPr>
                <w:rStyle w:val="Lienhypertexte"/>
                <w:noProof/>
              </w:rPr>
              <w:t>22.84 Renforcements CCTB 01.02</w:t>
            </w:r>
            <w:r w:rsidR="00FD58BF">
              <w:rPr>
                <w:noProof/>
                <w:webHidden/>
              </w:rPr>
              <w:tab/>
            </w:r>
            <w:r w:rsidR="00FD58BF">
              <w:rPr>
                <w:noProof/>
                <w:webHidden/>
              </w:rPr>
              <w:fldChar w:fldCharType="begin"/>
            </w:r>
            <w:r w:rsidR="00FD58BF">
              <w:rPr>
                <w:noProof/>
                <w:webHidden/>
              </w:rPr>
              <w:instrText xml:space="preserve"> PAGEREF _Toc178838214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3F6B96BB" w14:textId="6D86138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5" w:history="1">
            <w:r w:rsidR="00FD58BF" w:rsidRPr="003004E5">
              <w:rPr>
                <w:rStyle w:val="Lienhypertexte"/>
                <w:noProof/>
              </w:rPr>
              <w:t>22.84.1 Renforcements par injections de fissures CCTB 01.02</w:t>
            </w:r>
            <w:r w:rsidR="00FD58BF">
              <w:rPr>
                <w:noProof/>
                <w:webHidden/>
              </w:rPr>
              <w:tab/>
            </w:r>
            <w:r w:rsidR="00FD58BF">
              <w:rPr>
                <w:noProof/>
                <w:webHidden/>
              </w:rPr>
              <w:fldChar w:fldCharType="begin"/>
            </w:r>
            <w:r w:rsidR="00FD58BF">
              <w:rPr>
                <w:noProof/>
                <w:webHidden/>
              </w:rPr>
              <w:instrText xml:space="preserve"> PAGEREF _Toc178838215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1D824D84" w14:textId="730373F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6" w:history="1">
            <w:r w:rsidR="00FD58BF" w:rsidRPr="003004E5">
              <w:rPr>
                <w:rStyle w:val="Lienhypertexte"/>
                <w:noProof/>
              </w:rPr>
              <w:t>22.84.1a Renforcements par injections de fissures CCTB 01.02</w:t>
            </w:r>
            <w:r w:rsidR="00FD58BF">
              <w:rPr>
                <w:noProof/>
                <w:webHidden/>
              </w:rPr>
              <w:tab/>
            </w:r>
            <w:r w:rsidR="00FD58BF">
              <w:rPr>
                <w:noProof/>
                <w:webHidden/>
              </w:rPr>
              <w:fldChar w:fldCharType="begin"/>
            </w:r>
            <w:r w:rsidR="00FD58BF">
              <w:rPr>
                <w:noProof/>
                <w:webHidden/>
              </w:rPr>
              <w:instrText xml:space="preserve"> PAGEREF _Toc178838216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2AE482AB" w14:textId="0647736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7" w:history="1">
            <w:r w:rsidR="00FD58BF" w:rsidRPr="003004E5">
              <w:rPr>
                <w:rStyle w:val="Lienhypertexte"/>
                <w:noProof/>
              </w:rPr>
              <w:t>22.84.2 Renforcements par modification de la section de poutres existantes CCTB 01.02</w:t>
            </w:r>
            <w:r w:rsidR="00FD58BF">
              <w:rPr>
                <w:noProof/>
                <w:webHidden/>
              </w:rPr>
              <w:tab/>
            </w:r>
            <w:r w:rsidR="00FD58BF">
              <w:rPr>
                <w:noProof/>
                <w:webHidden/>
              </w:rPr>
              <w:fldChar w:fldCharType="begin"/>
            </w:r>
            <w:r w:rsidR="00FD58BF">
              <w:rPr>
                <w:noProof/>
                <w:webHidden/>
              </w:rPr>
              <w:instrText xml:space="preserve"> PAGEREF _Toc178838217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1B759910" w14:textId="131B5AE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8" w:history="1">
            <w:r w:rsidR="00FD58BF" w:rsidRPr="003004E5">
              <w:rPr>
                <w:rStyle w:val="Lienhypertexte"/>
                <w:noProof/>
              </w:rPr>
              <w:t>22.84.2a Renforcements par modification de la section de poutres existantes CCTB 01.02</w:t>
            </w:r>
            <w:r w:rsidR="00FD58BF">
              <w:rPr>
                <w:noProof/>
                <w:webHidden/>
              </w:rPr>
              <w:tab/>
            </w:r>
            <w:r w:rsidR="00FD58BF">
              <w:rPr>
                <w:noProof/>
                <w:webHidden/>
              </w:rPr>
              <w:fldChar w:fldCharType="begin"/>
            </w:r>
            <w:r w:rsidR="00FD58BF">
              <w:rPr>
                <w:noProof/>
                <w:webHidden/>
              </w:rPr>
              <w:instrText xml:space="preserve"> PAGEREF _Toc178838218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097DC478" w14:textId="34B6259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9" w:history="1">
            <w:r w:rsidR="00FD58BF" w:rsidRPr="003004E5">
              <w:rPr>
                <w:rStyle w:val="Lienhypertexte"/>
                <w:noProof/>
              </w:rPr>
              <w:t>22.84.3 Renforcements par insertions et scellements de barres CCTB 01.02</w:t>
            </w:r>
            <w:r w:rsidR="00FD58BF">
              <w:rPr>
                <w:noProof/>
                <w:webHidden/>
              </w:rPr>
              <w:tab/>
            </w:r>
            <w:r w:rsidR="00FD58BF">
              <w:rPr>
                <w:noProof/>
                <w:webHidden/>
              </w:rPr>
              <w:fldChar w:fldCharType="begin"/>
            </w:r>
            <w:r w:rsidR="00FD58BF">
              <w:rPr>
                <w:noProof/>
                <w:webHidden/>
              </w:rPr>
              <w:instrText xml:space="preserve"> PAGEREF _Toc178838219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38E6F846" w14:textId="110B6BA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0" w:history="1">
            <w:r w:rsidR="00FD58BF" w:rsidRPr="003004E5">
              <w:rPr>
                <w:rStyle w:val="Lienhypertexte"/>
                <w:noProof/>
              </w:rPr>
              <w:t>22.84.3a Scellements de barres en attente CCTB 01.02</w:t>
            </w:r>
            <w:r w:rsidR="00FD58BF">
              <w:rPr>
                <w:noProof/>
                <w:webHidden/>
              </w:rPr>
              <w:tab/>
            </w:r>
            <w:r w:rsidR="00FD58BF">
              <w:rPr>
                <w:noProof/>
                <w:webHidden/>
              </w:rPr>
              <w:fldChar w:fldCharType="begin"/>
            </w:r>
            <w:r w:rsidR="00FD58BF">
              <w:rPr>
                <w:noProof/>
                <w:webHidden/>
              </w:rPr>
              <w:instrText xml:space="preserve"> PAGEREF _Toc178838220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0FCF769D" w14:textId="4FAAFD9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1" w:history="1">
            <w:r w:rsidR="00FD58BF" w:rsidRPr="003004E5">
              <w:rPr>
                <w:rStyle w:val="Lienhypertexte"/>
                <w:noProof/>
              </w:rPr>
              <w:t>22.84.3b Ancrages de structures en béton CCTB 01.02</w:t>
            </w:r>
            <w:r w:rsidR="00FD58BF">
              <w:rPr>
                <w:noProof/>
                <w:webHidden/>
              </w:rPr>
              <w:tab/>
            </w:r>
            <w:r w:rsidR="00FD58BF">
              <w:rPr>
                <w:noProof/>
                <w:webHidden/>
              </w:rPr>
              <w:fldChar w:fldCharType="begin"/>
            </w:r>
            <w:r w:rsidR="00FD58BF">
              <w:rPr>
                <w:noProof/>
                <w:webHidden/>
              </w:rPr>
              <w:instrText xml:space="preserve"> PAGEREF _Toc178838221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25062F11" w14:textId="739DF8F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2" w:history="1">
            <w:r w:rsidR="00FD58BF" w:rsidRPr="003004E5">
              <w:rPr>
                <w:rStyle w:val="Lienhypertexte"/>
                <w:noProof/>
              </w:rPr>
              <w:t>22.84.3c Brochages de structures en béton CCTB 01.02</w:t>
            </w:r>
            <w:r w:rsidR="00FD58BF">
              <w:rPr>
                <w:noProof/>
                <w:webHidden/>
              </w:rPr>
              <w:tab/>
            </w:r>
            <w:r w:rsidR="00FD58BF">
              <w:rPr>
                <w:noProof/>
                <w:webHidden/>
              </w:rPr>
              <w:fldChar w:fldCharType="begin"/>
            </w:r>
            <w:r w:rsidR="00FD58BF">
              <w:rPr>
                <w:noProof/>
                <w:webHidden/>
              </w:rPr>
              <w:instrText xml:space="preserve"> PAGEREF _Toc178838222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79486455" w14:textId="600A796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3" w:history="1">
            <w:r w:rsidR="00FD58BF" w:rsidRPr="003004E5">
              <w:rPr>
                <w:rStyle w:val="Lienhypertexte"/>
                <w:noProof/>
              </w:rPr>
              <w:t>22.84.3d Agrafages de structures en béton CCTB 01.02</w:t>
            </w:r>
            <w:r w:rsidR="00FD58BF">
              <w:rPr>
                <w:noProof/>
                <w:webHidden/>
              </w:rPr>
              <w:tab/>
            </w:r>
            <w:r w:rsidR="00FD58BF">
              <w:rPr>
                <w:noProof/>
                <w:webHidden/>
              </w:rPr>
              <w:fldChar w:fldCharType="begin"/>
            </w:r>
            <w:r w:rsidR="00FD58BF">
              <w:rPr>
                <w:noProof/>
                <w:webHidden/>
              </w:rPr>
              <w:instrText xml:space="preserve"> PAGEREF _Toc178838223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693E03D1" w14:textId="6170627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4" w:history="1">
            <w:r w:rsidR="00FD58BF" w:rsidRPr="003004E5">
              <w:rPr>
                <w:rStyle w:val="Lienhypertexte"/>
                <w:noProof/>
              </w:rPr>
              <w:t>22.84.3e Epinglages de structures en béton CCTB 01.02</w:t>
            </w:r>
            <w:r w:rsidR="00FD58BF">
              <w:rPr>
                <w:noProof/>
                <w:webHidden/>
              </w:rPr>
              <w:tab/>
            </w:r>
            <w:r w:rsidR="00FD58BF">
              <w:rPr>
                <w:noProof/>
                <w:webHidden/>
              </w:rPr>
              <w:fldChar w:fldCharType="begin"/>
            </w:r>
            <w:r w:rsidR="00FD58BF">
              <w:rPr>
                <w:noProof/>
                <w:webHidden/>
              </w:rPr>
              <w:instrText xml:space="preserve"> PAGEREF _Toc178838224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0B255B58" w14:textId="04A8119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5" w:history="1">
            <w:r w:rsidR="00FD58BF" w:rsidRPr="003004E5">
              <w:rPr>
                <w:rStyle w:val="Lienhypertexte"/>
                <w:noProof/>
              </w:rPr>
              <w:t>22.84.4 Renforcements par collage d'armatures CCTB 01.02</w:t>
            </w:r>
            <w:r w:rsidR="00FD58BF">
              <w:rPr>
                <w:noProof/>
                <w:webHidden/>
              </w:rPr>
              <w:tab/>
            </w:r>
            <w:r w:rsidR="00FD58BF">
              <w:rPr>
                <w:noProof/>
                <w:webHidden/>
              </w:rPr>
              <w:fldChar w:fldCharType="begin"/>
            </w:r>
            <w:r w:rsidR="00FD58BF">
              <w:rPr>
                <w:noProof/>
                <w:webHidden/>
              </w:rPr>
              <w:instrText xml:space="preserve"> PAGEREF _Toc178838225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332E0075" w14:textId="7E0AC66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6" w:history="1">
            <w:r w:rsidR="00FD58BF" w:rsidRPr="003004E5">
              <w:rPr>
                <w:rStyle w:val="Lienhypertexte"/>
                <w:noProof/>
              </w:rPr>
              <w:t>22.84.4a Ajouts d'armatures collées en acier CCTB 01.02</w:t>
            </w:r>
            <w:r w:rsidR="00FD58BF">
              <w:rPr>
                <w:noProof/>
                <w:webHidden/>
              </w:rPr>
              <w:tab/>
            </w:r>
            <w:r w:rsidR="00FD58BF">
              <w:rPr>
                <w:noProof/>
                <w:webHidden/>
              </w:rPr>
              <w:fldChar w:fldCharType="begin"/>
            </w:r>
            <w:r w:rsidR="00FD58BF">
              <w:rPr>
                <w:noProof/>
                <w:webHidden/>
              </w:rPr>
              <w:instrText xml:space="preserve"> PAGEREF _Toc178838226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06D458E8" w14:textId="5D45DC1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7" w:history="1">
            <w:r w:rsidR="00FD58BF" w:rsidRPr="003004E5">
              <w:rPr>
                <w:rStyle w:val="Lienhypertexte"/>
                <w:noProof/>
              </w:rPr>
              <w:t>22.84.4b Ajouts d'armatures collées en fibres de carbone CCTB 01.02</w:t>
            </w:r>
            <w:r w:rsidR="00FD58BF">
              <w:rPr>
                <w:noProof/>
                <w:webHidden/>
              </w:rPr>
              <w:tab/>
            </w:r>
            <w:r w:rsidR="00FD58BF">
              <w:rPr>
                <w:noProof/>
                <w:webHidden/>
              </w:rPr>
              <w:fldChar w:fldCharType="begin"/>
            </w:r>
            <w:r w:rsidR="00FD58BF">
              <w:rPr>
                <w:noProof/>
                <w:webHidden/>
              </w:rPr>
              <w:instrText xml:space="preserve"> PAGEREF _Toc178838227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1B636BF0" w14:textId="104DFCF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8" w:history="1">
            <w:r w:rsidR="00FD58BF" w:rsidRPr="003004E5">
              <w:rPr>
                <w:rStyle w:val="Lienhypertexte"/>
                <w:noProof/>
              </w:rPr>
              <w:t>22.84.4c Systèmes d'armatures précontraintes collées CCTB 01.02</w:t>
            </w:r>
            <w:r w:rsidR="00FD58BF">
              <w:rPr>
                <w:noProof/>
                <w:webHidden/>
              </w:rPr>
              <w:tab/>
            </w:r>
            <w:r w:rsidR="00FD58BF">
              <w:rPr>
                <w:noProof/>
                <w:webHidden/>
              </w:rPr>
              <w:fldChar w:fldCharType="begin"/>
            </w:r>
            <w:r w:rsidR="00FD58BF">
              <w:rPr>
                <w:noProof/>
                <w:webHidden/>
              </w:rPr>
              <w:instrText xml:space="preserve"> PAGEREF _Toc178838228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50309DBE" w14:textId="0FFA973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9" w:history="1">
            <w:r w:rsidR="00FD58BF" w:rsidRPr="003004E5">
              <w:rPr>
                <w:rStyle w:val="Lienhypertexte"/>
                <w:noProof/>
              </w:rPr>
              <w:t>22.84.4d Renforcements par moulages composites CCTB 01.02</w:t>
            </w:r>
            <w:r w:rsidR="00FD58BF">
              <w:rPr>
                <w:noProof/>
                <w:webHidden/>
              </w:rPr>
              <w:tab/>
            </w:r>
            <w:r w:rsidR="00FD58BF">
              <w:rPr>
                <w:noProof/>
                <w:webHidden/>
              </w:rPr>
              <w:fldChar w:fldCharType="begin"/>
            </w:r>
            <w:r w:rsidR="00FD58BF">
              <w:rPr>
                <w:noProof/>
                <w:webHidden/>
              </w:rPr>
              <w:instrText xml:space="preserve"> PAGEREF _Toc178838229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74206DC4" w14:textId="03F387B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0" w:history="1">
            <w:r w:rsidR="00FD58BF" w:rsidRPr="003004E5">
              <w:rPr>
                <w:rStyle w:val="Lienhypertexte"/>
                <w:noProof/>
              </w:rPr>
              <w:t>22.84.5 Renforcements par ajout d'éléments structuraux INTERNES CCTB 01.04</w:t>
            </w:r>
            <w:r w:rsidR="00FD58BF">
              <w:rPr>
                <w:noProof/>
                <w:webHidden/>
              </w:rPr>
              <w:tab/>
            </w:r>
            <w:r w:rsidR="00FD58BF">
              <w:rPr>
                <w:noProof/>
                <w:webHidden/>
              </w:rPr>
              <w:fldChar w:fldCharType="begin"/>
            </w:r>
            <w:r w:rsidR="00FD58BF">
              <w:rPr>
                <w:noProof/>
                <w:webHidden/>
              </w:rPr>
              <w:instrText xml:space="preserve"> PAGEREF _Toc178838230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1B20000D" w14:textId="7BF07DA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1" w:history="1">
            <w:r w:rsidR="00FD58BF" w:rsidRPr="003004E5">
              <w:rPr>
                <w:rStyle w:val="Lienhypertexte"/>
                <w:noProof/>
              </w:rPr>
              <w:t>22.84.5a Renforcements par ajout d'armatures complémentaires CCTB 01.02</w:t>
            </w:r>
            <w:r w:rsidR="00FD58BF">
              <w:rPr>
                <w:noProof/>
                <w:webHidden/>
              </w:rPr>
              <w:tab/>
            </w:r>
            <w:r w:rsidR="00FD58BF">
              <w:rPr>
                <w:noProof/>
                <w:webHidden/>
              </w:rPr>
              <w:fldChar w:fldCharType="begin"/>
            </w:r>
            <w:r w:rsidR="00FD58BF">
              <w:rPr>
                <w:noProof/>
                <w:webHidden/>
              </w:rPr>
              <w:instrText xml:space="preserve"> PAGEREF _Toc178838231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35AEB256" w14:textId="2E217B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2" w:history="1">
            <w:r w:rsidR="00FD58BF" w:rsidRPr="003004E5">
              <w:rPr>
                <w:rStyle w:val="Lienhypertexte"/>
                <w:noProof/>
              </w:rPr>
              <w:t>22.84.6 Renforcements par ajout d'éléments structuraux EXTERNES CCTB 01.04</w:t>
            </w:r>
            <w:r w:rsidR="00FD58BF">
              <w:rPr>
                <w:noProof/>
                <w:webHidden/>
              </w:rPr>
              <w:tab/>
            </w:r>
            <w:r w:rsidR="00FD58BF">
              <w:rPr>
                <w:noProof/>
                <w:webHidden/>
              </w:rPr>
              <w:fldChar w:fldCharType="begin"/>
            </w:r>
            <w:r w:rsidR="00FD58BF">
              <w:rPr>
                <w:noProof/>
                <w:webHidden/>
              </w:rPr>
              <w:instrText xml:space="preserve"> PAGEREF _Toc178838232 \h </w:instrText>
            </w:r>
            <w:r w:rsidR="00FD58BF">
              <w:rPr>
                <w:noProof/>
                <w:webHidden/>
              </w:rPr>
            </w:r>
            <w:r w:rsidR="00FD58BF">
              <w:rPr>
                <w:noProof/>
                <w:webHidden/>
              </w:rPr>
              <w:fldChar w:fldCharType="separate"/>
            </w:r>
            <w:r w:rsidR="00FD58BF">
              <w:rPr>
                <w:noProof/>
                <w:webHidden/>
              </w:rPr>
              <w:t>726</w:t>
            </w:r>
            <w:r w:rsidR="00FD58BF">
              <w:rPr>
                <w:noProof/>
                <w:webHidden/>
              </w:rPr>
              <w:fldChar w:fldCharType="end"/>
            </w:r>
          </w:hyperlink>
        </w:p>
        <w:p w14:paraId="09FC6F41" w14:textId="2657729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3" w:history="1">
            <w:r w:rsidR="00FD58BF" w:rsidRPr="003004E5">
              <w:rPr>
                <w:rStyle w:val="Lienhypertexte"/>
                <w:noProof/>
              </w:rPr>
              <w:t>22.84.6a Ajouts de tirants métalliques externes CCTB 01.02</w:t>
            </w:r>
            <w:r w:rsidR="00FD58BF">
              <w:rPr>
                <w:noProof/>
                <w:webHidden/>
              </w:rPr>
              <w:tab/>
            </w:r>
            <w:r w:rsidR="00FD58BF">
              <w:rPr>
                <w:noProof/>
                <w:webHidden/>
              </w:rPr>
              <w:fldChar w:fldCharType="begin"/>
            </w:r>
            <w:r w:rsidR="00FD58BF">
              <w:rPr>
                <w:noProof/>
                <w:webHidden/>
              </w:rPr>
              <w:instrText xml:space="preserve"> PAGEREF _Toc178838233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3444B435" w14:textId="5EDC65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4" w:history="1">
            <w:r w:rsidR="00FD58BF" w:rsidRPr="003004E5">
              <w:rPr>
                <w:rStyle w:val="Lienhypertexte"/>
                <w:noProof/>
              </w:rPr>
              <w:t>22.84.6b Renforcements par ajout de profils métalliques externes boulonnés CCTB 01.02</w:t>
            </w:r>
            <w:r w:rsidR="00FD58BF">
              <w:rPr>
                <w:noProof/>
                <w:webHidden/>
              </w:rPr>
              <w:tab/>
            </w:r>
            <w:r w:rsidR="00FD58BF">
              <w:rPr>
                <w:noProof/>
                <w:webHidden/>
              </w:rPr>
              <w:fldChar w:fldCharType="begin"/>
            </w:r>
            <w:r w:rsidR="00FD58BF">
              <w:rPr>
                <w:noProof/>
                <w:webHidden/>
              </w:rPr>
              <w:instrText xml:space="preserve"> PAGEREF _Toc178838234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4AC21372" w14:textId="78F0F97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5" w:history="1">
            <w:r w:rsidR="00FD58BF" w:rsidRPr="003004E5">
              <w:rPr>
                <w:rStyle w:val="Lienhypertexte"/>
                <w:noProof/>
              </w:rPr>
              <w:t>22.84.6c Réalisations de postcontrainte extérieure CCTB 01.02</w:t>
            </w:r>
            <w:r w:rsidR="00FD58BF">
              <w:rPr>
                <w:noProof/>
                <w:webHidden/>
              </w:rPr>
              <w:tab/>
            </w:r>
            <w:r w:rsidR="00FD58BF">
              <w:rPr>
                <w:noProof/>
                <w:webHidden/>
              </w:rPr>
              <w:fldChar w:fldCharType="begin"/>
            </w:r>
            <w:r w:rsidR="00FD58BF">
              <w:rPr>
                <w:noProof/>
                <w:webHidden/>
              </w:rPr>
              <w:instrText xml:space="preserve"> PAGEREF _Toc178838235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1270CD1D" w14:textId="2C3CA99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6" w:history="1">
            <w:r w:rsidR="00FD58BF" w:rsidRPr="003004E5">
              <w:rPr>
                <w:rStyle w:val="Lienhypertexte"/>
                <w:noProof/>
              </w:rPr>
              <w:t>22.84.6d Structures de délestage autour d'une structure existante CCTB 01.04</w:t>
            </w:r>
            <w:r w:rsidR="00FD58BF">
              <w:rPr>
                <w:noProof/>
                <w:webHidden/>
              </w:rPr>
              <w:tab/>
            </w:r>
            <w:r w:rsidR="00FD58BF">
              <w:rPr>
                <w:noProof/>
                <w:webHidden/>
              </w:rPr>
              <w:fldChar w:fldCharType="begin"/>
            </w:r>
            <w:r w:rsidR="00FD58BF">
              <w:rPr>
                <w:noProof/>
                <w:webHidden/>
              </w:rPr>
              <w:instrText xml:space="preserve"> PAGEREF _Toc178838236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0C799D11" w14:textId="1F93B74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37" w:history="1">
            <w:r w:rsidR="00FD58BF" w:rsidRPr="003004E5">
              <w:rPr>
                <w:rStyle w:val="Lienhypertexte"/>
                <w:noProof/>
              </w:rPr>
              <w:t>22.85 Adaptations CCTB 01.02</w:t>
            </w:r>
            <w:r w:rsidR="00FD58BF">
              <w:rPr>
                <w:noProof/>
                <w:webHidden/>
              </w:rPr>
              <w:tab/>
            </w:r>
            <w:r w:rsidR="00FD58BF">
              <w:rPr>
                <w:noProof/>
                <w:webHidden/>
              </w:rPr>
              <w:fldChar w:fldCharType="begin"/>
            </w:r>
            <w:r w:rsidR="00FD58BF">
              <w:rPr>
                <w:noProof/>
                <w:webHidden/>
              </w:rPr>
              <w:instrText xml:space="preserve"> PAGEREF _Toc178838237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308B4C40" w14:textId="01D3967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8" w:history="1">
            <w:r w:rsidR="00FD58BF" w:rsidRPr="003004E5">
              <w:rPr>
                <w:rStyle w:val="Lienhypertexte"/>
                <w:noProof/>
              </w:rPr>
              <w:t>22.85.1 Adaptations de structures en béton pour baies / passages CCTB 01.02</w:t>
            </w:r>
            <w:r w:rsidR="00FD58BF">
              <w:rPr>
                <w:noProof/>
                <w:webHidden/>
              </w:rPr>
              <w:tab/>
            </w:r>
            <w:r w:rsidR="00FD58BF">
              <w:rPr>
                <w:noProof/>
                <w:webHidden/>
              </w:rPr>
              <w:fldChar w:fldCharType="begin"/>
            </w:r>
            <w:r w:rsidR="00FD58BF">
              <w:rPr>
                <w:noProof/>
                <w:webHidden/>
              </w:rPr>
              <w:instrText xml:space="preserve"> PAGEREF _Toc178838238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AF8FA21" w14:textId="421AAFD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9" w:history="1">
            <w:r w:rsidR="00FD58BF" w:rsidRPr="003004E5">
              <w:rPr>
                <w:rStyle w:val="Lienhypertexte"/>
                <w:noProof/>
              </w:rPr>
              <w:t>22.85.1a Créations de baies dans structures en béton CCTB 01.04</w:t>
            </w:r>
            <w:r w:rsidR="00FD58BF">
              <w:rPr>
                <w:noProof/>
                <w:webHidden/>
              </w:rPr>
              <w:tab/>
            </w:r>
            <w:r w:rsidR="00FD58BF">
              <w:rPr>
                <w:noProof/>
                <w:webHidden/>
              </w:rPr>
              <w:fldChar w:fldCharType="begin"/>
            </w:r>
            <w:r w:rsidR="00FD58BF">
              <w:rPr>
                <w:noProof/>
                <w:webHidden/>
              </w:rPr>
              <w:instrText xml:space="preserve"> PAGEREF _Toc178838239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CA0BDBF" w14:textId="5316889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0" w:history="1">
            <w:r w:rsidR="00FD58BF" w:rsidRPr="003004E5">
              <w:rPr>
                <w:rStyle w:val="Lienhypertexte"/>
                <w:noProof/>
              </w:rPr>
              <w:t>22.85.1b Adaptations dimensionnelles de baies existantes dans structures en béton CCTB 01.04</w:t>
            </w:r>
            <w:r w:rsidR="00FD58BF">
              <w:rPr>
                <w:noProof/>
                <w:webHidden/>
              </w:rPr>
              <w:tab/>
            </w:r>
            <w:r w:rsidR="00FD58BF">
              <w:rPr>
                <w:noProof/>
                <w:webHidden/>
              </w:rPr>
              <w:fldChar w:fldCharType="begin"/>
            </w:r>
            <w:r w:rsidR="00FD58BF">
              <w:rPr>
                <w:noProof/>
                <w:webHidden/>
              </w:rPr>
              <w:instrText xml:space="preserve"> PAGEREF _Toc178838240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D9C28AB" w14:textId="49FCBE6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1" w:history="1">
            <w:r w:rsidR="00FD58BF" w:rsidRPr="003004E5">
              <w:rPr>
                <w:rStyle w:val="Lienhypertexte"/>
                <w:noProof/>
              </w:rPr>
              <w:t>22.85.1c Obturations de baies existantes dans structures en béton CCTB 01.02</w:t>
            </w:r>
            <w:r w:rsidR="00FD58BF">
              <w:rPr>
                <w:noProof/>
                <w:webHidden/>
              </w:rPr>
              <w:tab/>
            </w:r>
            <w:r w:rsidR="00FD58BF">
              <w:rPr>
                <w:noProof/>
                <w:webHidden/>
              </w:rPr>
              <w:fldChar w:fldCharType="begin"/>
            </w:r>
            <w:r w:rsidR="00FD58BF">
              <w:rPr>
                <w:noProof/>
                <w:webHidden/>
              </w:rPr>
              <w:instrText xml:space="preserve"> PAGEREF _Toc178838241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1AD111B3" w14:textId="683E4E0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42" w:history="1">
            <w:r w:rsidR="00FD58BF" w:rsidRPr="003004E5">
              <w:rPr>
                <w:rStyle w:val="Lienhypertexte"/>
                <w:noProof/>
              </w:rPr>
              <w:t>22.86 Reposes / remplacements (à l'identique) CCTB 01.02</w:t>
            </w:r>
            <w:r w:rsidR="00FD58BF">
              <w:rPr>
                <w:noProof/>
                <w:webHidden/>
              </w:rPr>
              <w:tab/>
            </w:r>
            <w:r w:rsidR="00FD58BF">
              <w:rPr>
                <w:noProof/>
                <w:webHidden/>
              </w:rPr>
              <w:fldChar w:fldCharType="begin"/>
            </w:r>
            <w:r w:rsidR="00FD58BF">
              <w:rPr>
                <w:noProof/>
                <w:webHidden/>
              </w:rPr>
              <w:instrText xml:space="preserve"> PAGEREF _Toc178838242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1A0B0F4" w14:textId="4D6C32F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3" w:history="1">
            <w:r w:rsidR="00FD58BF" w:rsidRPr="003004E5">
              <w:rPr>
                <w:rStyle w:val="Lienhypertexte"/>
                <w:noProof/>
              </w:rPr>
              <w:t>22.86.1 Reposes d'éléments récupérés CCTB 01.02</w:t>
            </w:r>
            <w:r w:rsidR="00FD58BF">
              <w:rPr>
                <w:noProof/>
                <w:webHidden/>
              </w:rPr>
              <w:tab/>
            </w:r>
            <w:r w:rsidR="00FD58BF">
              <w:rPr>
                <w:noProof/>
                <w:webHidden/>
              </w:rPr>
              <w:fldChar w:fldCharType="begin"/>
            </w:r>
            <w:r w:rsidR="00FD58BF">
              <w:rPr>
                <w:noProof/>
                <w:webHidden/>
              </w:rPr>
              <w:instrText xml:space="preserve"> PAGEREF _Toc178838243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CB171EE" w14:textId="1198275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4" w:history="1">
            <w:r w:rsidR="00FD58BF" w:rsidRPr="003004E5">
              <w:rPr>
                <w:rStyle w:val="Lienhypertexte"/>
                <w:noProof/>
              </w:rPr>
              <w:t>22.86.1a Reposes d'éléments de structures en béton récupérés CCTB 01.02</w:t>
            </w:r>
            <w:r w:rsidR="00FD58BF">
              <w:rPr>
                <w:noProof/>
                <w:webHidden/>
              </w:rPr>
              <w:tab/>
            </w:r>
            <w:r w:rsidR="00FD58BF">
              <w:rPr>
                <w:noProof/>
                <w:webHidden/>
              </w:rPr>
              <w:fldChar w:fldCharType="begin"/>
            </w:r>
            <w:r w:rsidR="00FD58BF">
              <w:rPr>
                <w:noProof/>
                <w:webHidden/>
              </w:rPr>
              <w:instrText xml:space="preserve"> PAGEREF _Toc178838244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E6CA9E0" w14:textId="60774D0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5" w:history="1">
            <w:r w:rsidR="00FD58BF" w:rsidRPr="003004E5">
              <w:rPr>
                <w:rStyle w:val="Lienhypertexte"/>
                <w:noProof/>
              </w:rPr>
              <w:t>22.86.2 Remplacements complets à l'identique de structures en béton CCTB 01.04</w:t>
            </w:r>
            <w:r w:rsidR="00FD58BF">
              <w:rPr>
                <w:noProof/>
                <w:webHidden/>
              </w:rPr>
              <w:tab/>
            </w:r>
            <w:r w:rsidR="00FD58BF">
              <w:rPr>
                <w:noProof/>
                <w:webHidden/>
              </w:rPr>
              <w:fldChar w:fldCharType="begin"/>
            </w:r>
            <w:r w:rsidR="00FD58BF">
              <w:rPr>
                <w:noProof/>
                <w:webHidden/>
              </w:rPr>
              <w:instrText xml:space="preserve"> PAGEREF _Toc178838245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59BDDE4D" w14:textId="20863EA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6" w:history="1">
            <w:r w:rsidR="00FD58BF" w:rsidRPr="003004E5">
              <w:rPr>
                <w:rStyle w:val="Lienhypertexte"/>
                <w:noProof/>
              </w:rPr>
              <w:t>22.86.3 Remplacements d'éléments de structure isolés en béton CCTB 01.02</w:t>
            </w:r>
            <w:r w:rsidR="00FD58BF">
              <w:rPr>
                <w:noProof/>
                <w:webHidden/>
              </w:rPr>
              <w:tab/>
            </w:r>
            <w:r w:rsidR="00FD58BF">
              <w:rPr>
                <w:noProof/>
                <w:webHidden/>
              </w:rPr>
              <w:fldChar w:fldCharType="begin"/>
            </w:r>
            <w:r w:rsidR="00FD58BF">
              <w:rPr>
                <w:noProof/>
                <w:webHidden/>
              </w:rPr>
              <w:instrText xml:space="preserve"> PAGEREF _Toc178838246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4060769" w14:textId="5336A17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7" w:history="1">
            <w:r w:rsidR="00FD58BF" w:rsidRPr="003004E5">
              <w:rPr>
                <w:rStyle w:val="Lienhypertexte"/>
                <w:noProof/>
              </w:rPr>
              <w:t>22.86.3a Remplacements d'éléments de structure isolés en béton CCTB 01.02</w:t>
            </w:r>
            <w:r w:rsidR="00FD58BF">
              <w:rPr>
                <w:noProof/>
                <w:webHidden/>
              </w:rPr>
              <w:tab/>
            </w:r>
            <w:r w:rsidR="00FD58BF">
              <w:rPr>
                <w:noProof/>
                <w:webHidden/>
              </w:rPr>
              <w:fldChar w:fldCharType="begin"/>
            </w:r>
            <w:r w:rsidR="00FD58BF">
              <w:rPr>
                <w:noProof/>
                <w:webHidden/>
              </w:rPr>
              <w:instrText xml:space="preserve"> PAGEREF _Toc178838247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5657465F" w14:textId="3D676EA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8" w:history="1">
            <w:r w:rsidR="00FD58BF" w:rsidRPr="003004E5">
              <w:rPr>
                <w:rStyle w:val="Lienhypertexte"/>
                <w:noProof/>
              </w:rPr>
              <w:t>22.86.4 Remplacements partiels de parties de structure / charpente en béton CCTB 01.02</w:t>
            </w:r>
            <w:r w:rsidR="00FD58BF">
              <w:rPr>
                <w:noProof/>
                <w:webHidden/>
              </w:rPr>
              <w:tab/>
            </w:r>
            <w:r w:rsidR="00FD58BF">
              <w:rPr>
                <w:noProof/>
                <w:webHidden/>
              </w:rPr>
              <w:fldChar w:fldCharType="begin"/>
            </w:r>
            <w:r w:rsidR="00FD58BF">
              <w:rPr>
                <w:noProof/>
                <w:webHidden/>
              </w:rPr>
              <w:instrText xml:space="preserve"> PAGEREF _Toc178838248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D3394AF" w14:textId="20E2223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9" w:history="1">
            <w:r w:rsidR="00FD58BF" w:rsidRPr="003004E5">
              <w:rPr>
                <w:rStyle w:val="Lienhypertexte"/>
                <w:noProof/>
              </w:rPr>
              <w:t>22.86.4a Remplacements partiels de parties de structure / charpente en béton CCTB 01.02</w:t>
            </w:r>
            <w:r w:rsidR="00FD58BF">
              <w:rPr>
                <w:noProof/>
                <w:webHidden/>
              </w:rPr>
              <w:tab/>
            </w:r>
            <w:r w:rsidR="00FD58BF">
              <w:rPr>
                <w:noProof/>
                <w:webHidden/>
              </w:rPr>
              <w:fldChar w:fldCharType="begin"/>
            </w:r>
            <w:r w:rsidR="00FD58BF">
              <w:rPr>
                <w:noProof/>
                <w:webHidden/>
              </w:rPr>
              <w:instrText xml:space="preserve"> PAGEREF _Toc178838249 \h </w:instrText>
            </w:r>
            <w:r w:rsidR="00FD58BF">
              <w:rPr>
                <w:noProof/>
                <w:webHidden/>
              </w:rPr>
            </w:r>
            <w:r w:rsidR="00FD58BF">
              <w:rPr>
                <w:noProof/>
                <w:webHidden/>
              </w:rPr>
              <w:fldChar w:fldCharType="separate"/>
            </w:r>
            <w:r w:rsidR="00FD58BF">
              <w:rPr>
                <w:noProof/>
                <w:webHidden/>
              </w:rPr>
              <w:t>727</w:t>
            </w:r>
            <w:r w:rsidR="00FD58BF">
              <w:rPr>
                <w:noProof/>
                <w:webHidden/>
              </w:rPr>
              <w:fldChar w:fldCharType="end"/>
            </w:r>
          </w:hyperlink>
        </w:p>
        <w:p w14:paraId="6EDBE62C" w14:textId="2CA0BC0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0" w:history="1">
            <w:r w:rsidR="00FD58BF" w:rsidRPr="003004E5">
              <w:rPr>
                <w:rStyle w:val="Lienhypertexte"/>
                <w:noProof/>
              </w:rPr>
              <w:t>22.86.5 Remplacements d'éléments de fixation / assemblage CCTB 01.02</w:t>
            </w:r>
            <w:r w:rsidR="00FD58BF">
              <w:rPr>
                <w:noProof/>
                <w:webHidden/>
              </w:rPr>
              <w:tab/>
            </w:r>
            <w:r w:rsidR="00FD58BF">
              <w:rPr>
                <w:noProof/>
                <w:webHidden/>
              </w:rPr>
              <w:fldChar w:fldCharType="begin"/>
            </w:r>
            <w:r w:rsidR="00FD58BF">
              <w:rPr>
                <w:noProof/>
                <w:webHidden/>
              </w:rPr>
              <w:instrText xml:space="preserve"> PAGEREF _Toc178838250 \h </w:instrText>
            </w:r>
            <w:r w:rsidR="00FD58BF">
              <w:rPr>
                <w:noProof/>
                <w:webHidden/>
              </w:rPr>
            </w:r>
            <w:r w:rsidR="00FD58BF">
              <w:rPr>
                <w:noProof/>
                <w:webHidden/>
              </w:rPr>
              <w:fldChar w:fldCharType="separate"/>
            </w:r>
            <w:r w:rsidR="00FD58BF">
              <w:rPr>
                <w:noProof/>
                <w:webHidden/>
              </w:rPr>
              <w:t>728</w:t>
            </w:r>
            <w:r w:rsidR="00FD58BF">
              <w:rPr>
                <w:noProof/>
                <w:webHidden/>
              </w:rPr>
              <w:fldChar w:fldCharType="end"/>
            </w:r>
          </w:hyperlink>
        </w:p>
        <w:p w14:paraId="051A15B5" w14:textId="66AD545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1" w:history="1">
            <w:r w:rsidR="00FD58BF" w:rsidRPr="003004E5">
              <w:rPr>
                <w:rStyle w:val="Lienhypertexte"/>
                <w:noProof/>
              </w:rPr>
              <w:t>22.86.5a Remplacements de fixations métalliques (boulons / écrous) CCTB 01.02</w:t>
            </w:r>
            <w:r w:rsidR="00FD58BF">
              <w:rPr>
                <w:noProof/>
                <w:webHidden/>
              </w:rPr>
              <w:tab/>
            </w:r>
            <w:r w:rsidR="00FD58BF">
              <w:rPr>
                <w:noProof/>
                <w:webHidden/>
              </w:rPr>
              <w:fldChar w:fldCharType="begin"/>
            </w:r>
            <w:r w:rsidR="00FD58BF">
              <w:rPr>
                <w:noProof/>
                <w:webHidden/>
              </w:rPr>
              <w:instrText xml:space="preserve"> PAGEREF _Toc178838251 \h </w:instrText>
            </w:r>
            <w:r w:rsidR="00FD58BF">
              <w:rPr>
                <w:noProof/>
                <w:webHidden/>
              </w:rPr>
            </w:r>
            <w:r w:rsidR="00FD58BF">
              <w:rPr>
                <w:noProof/>
                <w:webHidden/>
              </w:rPr>
              <w:fldChar w:fldCharType="separate"/>
            </w:r>
            <w:r w:rsidR="00FD58BF">
              <w:rPr>
                <w:noProof/>
                <w:webHidden/>
              </w:rPr>
              <w:t>728</w:t>
            </w:r>
            <w:r w:rsidR="00FD58BF">
              <w:rPr>
                <w:noProof/>
                <w:webHidden/>
              </w:rPr>
              <w:fldChar w:fldCharType="end"/>
            </w:r>
          </w:hyperlink>
        </w:p>
        <w:p w14:paraId="54BF6DA3" w14:textId="7509B71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52" w:history="1">
            <w:r w:rsidR="00FD58BF" w:rsidRPr="003004E5">
              <w:rPr>
                <w:rStyle w:val="Lienhypertexte"/>
                <w:noProof/>
              </w:rPr>
              <w:t>22.87 Nettoyages / préparations de surface CCTB 01.04</w:t>
            </w:r>
            <w:r w:rsidR="00FD58BF">
              <w:rPr>
                <w:noProof/>
                <w:webHidden/>
              </w:rPr>
              <w:tab/>
            </w:r>
            <w:r w:rsidR="00FD58BF">
              <w:rPr>
                <w:noProof/>
                <w:webHidden/>
              </w:rPr>
              <w:fldChar w:fldCharType="begin"/>
            </w:r>
            <w:r w:rsidR="00FD58BF">
              <w:rPr>
                <w:noProof/>
                <w:webHidden/>
              </w:rPr>
              <w:instrText xml:space="preserve"> PAGEREF _Toc178838252 \h </w:instrText>
            </w:r>
            <w:r w:rsidR="00FD58BF">
              <w:rPr>
                <w:noProof/>
                <w:webHidden/>
              </w:rPr>
            </w:r>
            <w:r w:rsidR="00FD58BF">
              <w:rPr>
                <w:noProof/>
                <w:webHidden/>
              </w:rPr>
              <w:fldChar w:fldCharType="separate"/>
            </w:r>
            <w:r w:rsidR="00FD58BF">
              <w:rPr>
                <w:noProof/>
                <w:webHidden/>
              </w:rPr>
              <w:t>728</w:t>
            </w:r>
            <w:r w:rsidR="00FD58BF">
              <w:rPr>
                <w:noProof/>
                <w:webHidden/>
              </w:rPr>
              <w:fldChar w:fldCharType="end"/>
            </w:r>
          </w:hyperlink>
        </w:p>
        <w:p w14:paraId="4EDDD87C" w14:textId="1BD33E2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53" w:history="1">
            <w:r w:rsidR="00FD58BF" w:rsidRPr="003004E5">
              <w:rPr>
                <w:rStyle w:val="Lienhypertexte"/>
                <w:noProof/>
              </w:rPr>
              <w:t>22.88 Traitements et protections CCTB 01.02</w:t>
            </w:r>
            <w:r w:rsidR="00FD58BF">
              <w:rPr>
                <w:noProof/>
                <w:webHidden/>
              </w:rPr>
              <w:tab/>
            </w:r>
            <w:r w:rsidR="00FD58BF">
              <w:rPr>
                <w:noProof/>
                <w:webHidden/>
              </w:rPr>
              <w:fldChar w:fldCharType="begin"/>
            </w:r>
            <w:r w:rsidR="00FD58BF">
              <w:rPr>
                <w:noProof/>
                <w:webHidden/>
              </w:rPr>
              <w:instrText xml:space="preserve"> PAGEREF _Toc178838253 \h </w:instrText>
            </w:r>
            <w:r w:rsidR="00FD58BF">
              <w:rPr>
                <w:noProof/>
                <w:webHidden/>
              </w:rPr>
            </w:r>
            <w:r w:rsidR="00FD58BF">
              <w:rPr>
                <w:noProof/>
                <w:webHidden/>
              </w:rPr>
              <w:fldChar w:fldCharType="separate"/>
            </w:r>
            <w:r w:rsidR="00FD58BF">
              <w:rPr>
                <w:noProof/>
                <w:webHidden/>
              </w:rPr>
              <w:t>728</w:t>
            </w:r>
            <w:r w:rsidR="00FD58BF">
              <w:rPr>
                <w:noProof/>
                <w:webHidden/>
              </w:rPr>
              <w:fldChar w:fldCharType="end"/>
            </w:r>
          </w:hyperlink>
        </w:p>
        <w:p w14:paraId="2FC6F7D2" w14:textId="332B80B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4" w:history="1">
            <w:r w:rsidR="00FD58BF" w:rsidRPr="003004E5">
              <w:rPr>
                <w:rStyle w:val="Lienhypertexte"/>
                <w:noProof/>
              </w:rPr>
              <w:t>22.88.1 Revêtements de finition / protection CCTB 01.04</w:t>
            </w:r>
            <w:r w:rsidR="00FD58BF">
              <w:rPr>
                <w:noProof/>
                <w:webHidden/>
              </w:rPr>
              <w:tab/>
            </w:r>
            <w:r w:rsidR="00FD58BF">
              <w:rPr>
                <w:noProof/>
                <w:webHidden/>
              </w:rPr>
              <w:fldChar w:fldCharType="begin"/>
            </w:r>
            <w:r w:rsidR="00FD58BF">
              <w:rPr>
                <w:noProof/>
                <w:webHidden/>
              </w:rPr>
              <w:instrText xml:space="preserve"> PAGEREF _Toc178838254 \h </w:instrText>
            </w:r>
            <w:r w:rsidR="00FD58BF">
              <w:rPr>
                <w:noProof/>
                <w:webHidden/>
              </w:rPr>
            </w:r>
            <w:r w:rsidR="00FD58BF">
              <w:rPr>
                <w:noProof/>
                <w:webHidden/>
              </w:rPr>
              <w:fldChar w:fldCharType="separate"/>
            </w:r>
            <w:r w:rsidR="00FD58BF">
              <w:rPr>
                <w:noProof/>
                <w:webHidden/>
              </w:rPr>
              <w:t>728</w:t>
            </w:r>
            <w:r w:rsidR="00FD58BF">
              <w:rPr>
                <w:noProof/>
                <w:webHidden/>
              </w:rPr>
              <w:fldChar w:fldCharType="end"/>
            </w:r>
          </w:hyperlink>
        </w:p>
        <w:p w14:paraId="7F1E06E8" w14:textId="04690A1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5" w:history="1">
            <w:r w:rsidR="00FD58BF" w:rsidRPr="003004E5">
              <w:rPr>
                <w:rStyle w:val="Lienhypertexte"/>
                <w:noProof/>
              </w:rPr>
              <w:t>22.88.2 Traitements de protection préventifs / curatifs CCTB 01.04</w:t>
            </w:r>
            <w:r w:rsidR="00FD58BF">
              <w:rPr>
                <w:noProof/>
                <w:webHidden/>
              </w:rPr>
              <w:tab/>
            </w:r>
            <w:r w:rsidR="00FD58BF">
              <w:rPr>
                <w:noProof/>
                <w:webHidden/>
              </w:rPr>
              <w:fldChar w:fldCharType="begin"/>
            </w:r>
            <w:r w:rsidR="00FD58BF">
              <w:rPr>
                <w:noProof/>
                <w:webHidden/>
              </w:rPr>
              <w:instrText xml:space="preserve"> PAGEREF _Toc178838255 \h </w:instrText>
            </w:r>
            <w:r w:rsidR="00FD58BF">
              <w:rPr>
                <w:noProof/>
                <w:webHidden/>
              </w:rPr>
            </w:r>
            <w:r w:rsidR="00FD58BF">
              <w:rPr>
                <w:noProof/>
                <w:webHidden/>
              </w:rPr>
              <w:fldChar w:fldCharType="separate"/>
            </w:r>
            <w:r w:rsidR="00FD58BF">
              <w:rPr>
                <w:noProof/>
                <w:webHidden/>
              </w:rPr>
              <w:t>728</w:t>
            </w:r>
            <w:r w:rsidR="00FD58BF">
              <w:rPr>
                <w:noProof/>
                <w:webHidden/>
              </w:rPr>
              <w:fldChar w:fldCharType="end"/>
            </w:r>
          </w:hyperlink>
        </w:p>
        <w:p w14:paraId="3DFBE765" w14:textId="618F864F" w:rsidR="00FD58BF" w:rsidRDefault="004016E8">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256" w:history="1">
            <w:r w:rsidR="00FD58BF" w:rsidRPr="003004E5">
              <w:rPr>
                <w:rStyle w:val="Lienhypertexte"/>
                <w:noProof/>
              </w:rPr>
              <w:t>23 Superstructures métalliques CCTB 01.12</w:t>
            </w:r>
            <w:r w:rsidR="00FD58BF">
              <w:rPr>
                <w:noProof/>
                <w:webHidden/>
              </w:rPr>
              <w:tab/>
            </w:r>
            <w:r w:rsidR="00FD58BF">
              <w:rPr>
                <w:noProof/>
                <w:webHidden/>
              </w:rPr>
              <w:fldChar w:fldCharType="begin"/>
            </w:r>
            <w:r w:rsidR="00FD58BF">
              <w:rPr>
                <w:noProof/>
                <w:webHidden/>
              </w:rPr>
              <w:instrText xml:space="preserve"> PAGEREF _Toc178838256 \h </w:instrText>
            </w:r>
            <w:r w:rsidR="00FD58BF">
              <w:rPr>
                <w:noProof/>
                <w:webHidden/>
              </w:rPr>
            </w:r>
            <w:r w:rsidR="00FD58BF">
              <w:rPr>
                <w:noProof/>
                <w:webHidden/>
              </w:rPr>
              <w:fldChar w:fldCharType="separate"/>
            </w:r>
            <w:r w:rsidR="00FD58BF">
              <w:rPr>
                <w:noProof/>
                <w:webHidden/>
              </w:rPr>
              <w:t>728</w:t>
            </w:r>
            <w:r w:rsidR="00FD58BF">
              <w:rPr>
                <w:noProof/>
                <w:webHidden/>
              </w:rPr>
              <w:fldChar w:fldCharType="end"/>
            </w:r>
          </w:hyperlink>
        </w:p>
        <w:p w14:paraId="03E8E3F0" w14:textId="74E217BE"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57" w:history="1">
            <w:r w:rsidR="00FD58BF" w:rsidRPr="003004E5">
              <w:rPr>
                <w:rStyle w:val="Lienhypertexte"/>
                <w:noProof/>
              </w:rPr>
              <w:t>23.1 Eléments de structures métalliques CCTB 01.07</w:t>
            </w:r>
            <w:r w:rsidR="00FD58BF">
              <w:rPr>
                <w:noProof/>
                <w:webHidden/>
              </w:rPr>
              <w:tab/>
            </w:r>
            <w:r w:rsidR="00FD58BF">
              <w:rPr>
                <w:noProof/>
                <w:webHidden/>
              </w:rPr>
              <w:fldChar w:fldCharType="begin"/>
            </w:r>
            <w:r w:rsidR="00FD58BF">
              <w:rPr>
                <w:noProof/>
                <w:webHidden/>
              </w:rPr>
              <w:instrText xml:space="preserve"> PAGEREF _Toc178838257 \h </w:instrText>
            </w:r>
            <w:r w:rsidR="00FD58BF">
              <w:rPr>
                <w:noProof/>
                <w:webHidden/>
              </w:rPr>
            </w:r>
            <w:r w:rsidR="00FD58BF">
              <w:rPr>
                <w:noProof/>
                <w:webHidden/>
              </w:rPr>
              <w:fldChar w:fldCharType="separate"/>
            </w:r>
            <w:r w:rsidR="00FD58BF">
              <w:rPr>
                <w:noProof/>
                <w:webHidden/>
              </w:rPr>
              <w:t>736</w:t>
            </w:r>
            <w:r w:rsidR="00FD58BF">
              <w:rPr>
                <w:noProof/>
                <w:webHidden/>
              </w:rPr>
              <w:fldChar w:fldCharType="end"/>
            </w:r>
          </w:hyperlink>
        </w:p>
        <w:p w14:paraId="187D244A" w14:textId="108123D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58" w:history="1">
            <w:r w:rsidR="00FD58BF" w:rsidRPr="003004E5">
              <w:rPr>
                <w:rStyle w:val="Lienhypertexte"/>
                <w:noProof/>
              </w:rPr>
              <w:t>23.11 Poutres métalliques CCTB 01.07</w:t>
            </w:r>
            <w:r w:rsidR="00FD58BF">
              <w:rPr>
                <w:noProof/>
                <w:webHidden/>
              </w:rPr>
              <w:tab/>
            </w:r>
            <w:r w:rsidR="00FD58BF">
              <w:rPr>
                <w:noProof/>
                <w:webHidden/>
              </w:rPr>
              <w:fldChar w:fldCharType="begin"/>
            </w:r>
            <w:r w:rsidR="00FD58BF">
              <w:rPr>
                <w:noProof/>
                <w:webHidden/>
              </w:rPr>
              <w:instrText xml:space="preserve"> PAGEREF _Toc178838258 \h </w:instrText>
            </w:r>
            <w:r w:rsidR="00FD58BF">
              <w:rPr>
                <w:noProof/>
                <w:webHidden/>
              </w:rPr>
            </w:r>
            <w:r w:rsidR="00FD58BF">
              <w:rPr>
                <w:noProof/>
                <w:webHidden/>
              </w:rPr>
              <w:fldChar w:fldCharType="separate"/>
            </w:r>
            <w:r w:rsidR="00FD58BF">
              <w:rPr>
                <w:noProof/>
                <w:webHidden/>
              </w:rPr>
              <w:t>736</w:t>
            </w:r>
            <w:r w:rsidR="00FD58BF">
              <w:rPr>
                <w:noProof/>
                <w:webHidden/>
              </w:rPr>
              <w:fldChar w:fldCharType="end"/>
            </w:r>
          </w:hyperlink>
        </w:p>
        <w:p w14:paraId="13E5E3E8" w14:textId="04DFC15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9" w:history="1">
            <w:r w:rsidR="00FD58BF" w:rsidRPr="003004E5">
              <w:rPr>
                <w:rStyle w:val="Lienhypertexte"/>
                <w:noProof/>
              </w:rPr>
              <w:t>23.11.1 Poutres en acier laminées à chaud CCTB 01.04</w:t>
            </w:r>
            <w:r w:rsidR="00FD58BF">
              <w:rPr>
                <w:noProof/>
                <w:webHidden/>
              </w:rPr>
              <w:tab/>
            </w:r>
            <w:r w:rsidR="00FD58BF">
              <w:rPr>
                <w:noProof/>
                <w:webHidden/>
              </w:rPr>
              <w:fldChar w:fldCharType="begin"/>
            </w:r>
            <w:r w:rsidR="00FD58BF">
              <w:rPr>
                <w:noProof/>
                <w:webHidden/>
              </w:rPr>
              <w:instrText xml:space="preserve"> PAGEREF _Toc178838259 \h </w:instrText>
            </w:r>
            <w:r w:rsidR="00FD58BF">
              <w:rPr>
                <w:noProof/>
                <w:webHidden/>
              </w:rPr>
            </w:r>
            <w:r w:rsidR="00FD58BF">
              <w:rPr>
                <w:noProof/>
                <w:webHidden/>
              </w:rPr>
              <w:fldChar w:fldCharType="separate"/>
            </w:r>
            <w:r w:rsidR="00FD58BF">
              <w:rPr>
                <w:noProof/>
                <w:webHidden/>
              </w:rPr>
              <w:t>737</w:t>
            </w:r>
            <w:r w:rsidR="00FD58BF">
              <w:rPr>
                <w:noProof/>
                <w:webHidden/>
              </w:rPr>
              <w:fldChar w:fldCharType="end"/>
            </w:r>
          </w:hyperlink>
        </w:p>
        <w:p w14:paraId="7564F785" w14:textId="0128628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0" w:history="1">
            <w:r w:rsidR="00FD58BF" w:rsidRPr="003004E5">
              <w:rPr>
                <w:rStyle w:val="Lienhypertexte"/>
                <w:noProof/>
              </w:rPr>
              <w:t>23.11.1a Poutres en profilés en acier laminés à chaud CCTB 01.11</w:t>
            </w:r>
            <w:r w:rsidR="00FD58BF">
              <w:rPr>
                <w:noProof/>
                <w:webHidden/>
              </w:rPr>
              <w:tab/>
            </w:r>
            <w:r w:rsidR="00FD58BF">
              <w:rPr>
                <w:noProof/>
                <w:webHidden/>
              </w:rPr>
              <w:fldChar w:fldCharType="begin"/>
            </w:r>
            <w:r w:rsidR="00FD58BF">
              <w:rPr>
                <w:noProof/>
                <w:webHidden/>
              </w:rPr>
              <w:instrText xml:space="preserve"> PAGEREF _Toc178838260 \h </w:instrText>
            </w:r>
            <w:r w:rsidR="00FD58BF">
              <w:rPr>
                <w:noProof/>
                <w:webHidden/>
              </w:rPr>
            </w:r>
            <w:r w:rsidR="00FD58BF">
              <w:rPr>
                <w:noProof/>
                <w:webHidden/>
              </w:rPr>
              <w:fldChar w:fldCharType="separate"/>
            </w:r>
            <w:r w:rsidR="00FD58BF">
              <w:rPr>
                <w:noProof/>
                <w:webHidden/>
              </w:rPr>
              <w:t>737</w:t>
            </w:r>
            <w:r w:rsidR="00FD58BF">
              <w:rPr>
                <w:noProof/>
                <w:webHidden/>
              </w:rPr>
              <w:fldChar w:fldCharType="end"/>
            </w:r>
          </w:hyperlink>
        </w:p>
        <w:p w14:paraId="3D78AB05" w14:textId="2BDFF73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1" w:history="1">
            <w:r w:rsidR="00FD58BF" w:rsidRPr="003004E5">
              <w:rPr>
                <w:rStyle w:val="Lienhypertexte"/>
                <w:noProof/>
              </w:rPr>
              <w:t>23.11.1b Poutres reconstituées soudées en acier CCTB 01.11</w:t>
            </w:r>
            <w:r w:rsidR="00FD58BF">
              <w:rPr>
                <w:noProof/>
                <w:webHidden/>
              </w:rPr>
              <w:tab/>
            </w:r>
            <w:r w:rsidR="00FD58BF">
              <w:rPr>
                <w:noProof/>
                <w:webHidden/>
              </w:rPr>
              <w:fldChar w:fldCharType="begin"/>
            </w:r>
            <w:r w:rsidR="00FD58BF">
              <w:rPr>
                <w:noProof/>
                <w:webHidden/>
              </w:rPr>
              <w:instrText xml:space="preserve"> PAGEREF _Toc178838261 \h </w:instrText>
            </w:r>
            <w:r w:rsidR="00FD58BF">
              <w:rPr>
                <w:noProof/>
                <w:webHidden/>
              </w:rPr>
            </w:r>
            <w:r w:rsidR="00FD58BF">
              <w:rPr>
                <w:noProof/>
                <w:webHidden/>
              </w:rPr>
              <w:fldChar w:fldCharType="separate"/>
            </w:r>
            <w:r w:rsidR="00FD58BF">
              <w:rPr>
                <w:noProof/>
                <w:webHidden/>
              </w:rPr>
              <w:t>739</w:t>
            </w:r>
            <w:r w:rsidR="00FD58BF">
              <w:rPr>
                <w:noProof/>
                <w:webHidden/>
              </w:rPr>
              <w:fldChar w:fldCharType="end"/>
            </w:r>
          </w:hyperlink>
        </w:p>
        <w:p w14:paraId="5945A27A" w14:textId="570FFCF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2" w:history="1">
            <w:r w:rsidR="00FD58BF" w:rsidRPr="003004E5">
              <w:rPr>
                <w:rStyle w:val="Lienhypertexte"/>
                <w:noProof/>
              </w:rPr>
              <w:t>23.11.1c Poutres en treillis en acier CCTB 01.11</w:t>
            </w:r>
            <w:r w:rsidR="00FD58BF">
              <w:rPr>
                <w:noProof/>
                <w:webHidden/>
              </w:rPr>
              <w:tab/>
            </w:r>
            <w:r w:rsidR="00FD58BF">
              <w:rPr>
                <w:noProof/>
                <w:webHidden/>
              </w:rPr>
              <w:fldChar w:fldCharType="begin"/>
            </w:r>
            <w:r w:rsidR="00FD58BF">
              <w:rPr>
                <w:noProof/>
                <w:webHidden/>
              </w:rPr>
              <w:instrText xml:space="preserve"> PAGEREF _Toc178838262 \h </w:instrText>
            </w:r>
            <w:r w:rsidR="00FD58BF">
              <w:rPr>
                <w:noProof/>
                <w:webHidden/>
              </w:rPr>
            </w:r>
            <w:r w:rsidR="00FD58BF">
              <w:rPr>
                <w:noProof/>
                <w:webHidden/>
              </w:rPr>
              <w:fldChar w:fldCharType="separate"/>
            </w:r>
            <w:r w:rsidR="00FD58BF">
              <w:rPr>
                <w:noProof/>
                <w:webHidden/>
              </w:rPr>
              <w:t>744</w:t>
            </w:r>
            <w:r w:rsidR="00FD58BF">
              <w:rPr>
                <w:noProof/>
                <w:webHidden/>
              </w:rPr>
              <w:fldChar w:fldCharType="end"/>
            </w:r>
          </w:hyperlink>
        </w:p>
        <w:p w14:paraId="5F76FCFB" w14:textId="6BCA065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3" w:history="1">
            <w:r w:rsidR="00FD58BF" w:rsidRPr="003004E5">
              <w:rPr>
                <w:rStyle w:val="Lienhypertexte"/>
                <w:noProof/>
              </w:rPr>
              <w:t>23.11.1d Poutres alvéolaires en acier CCTB 01.11</w:t>
            </w:r>
            <w:r w:rsidR="00FD58BF">
              <w:rPr>
                <w:noProof/>
                <w:webHidden/>
              </w:rPr>
              <w:tab/>
            </w:r>
            <w:r w:rsidR="00FD58BF">
              <w:rPr>
                <w:noProof/>
                <w:webHidden/>
              </w:rPr>
              <w:fldChar w:fldCharType="begin"/>
            </w:r>
            <w:r w:rsidR="00FD58BF">
              <w:rPr>
                <w:noProof/>
                <w:webHidden/>
              </w:rPr>
              <w:instrText xml:space="preserve"> PAGEREF _Toc178838263 \h </w:instrText>
            </w:r>
            <w:r w:rsidR="00FD58BF">
              <w:rPr>
                <w:noProof/>
                <w:webHidden/>
              </w:rPr>
            </w:r>
            <w:r w:rsidR="00FD58BF">
              <w:rPr>
                <w:noProof/>
                <w:webHidden/>
              </w:rPr>
              <w:fldChar w:fldCharType="separate"/>
            </w:r>
            <w:r w:rsidR="00FD58BF">
              <w:rPr>
                <w:noProof/>
                <w:webHidden/>
              </w:rPr>
              <w:t>746</w:t>
            </w:r>
            <w:r w:rsidR="00FD58BF">
              <w:rPr>
                <w:noProof/>
                <w:webHidden/>
              </w:rPr>
              <w:fldChar w:fldCharType="end"/>
            </w:r>
          </w:hyperlink>
        </w:p>
        <w:p w14:paraId="72D42124" w14:textId="3A105EC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4" w:history="1">
            <w:r w:rsidR="00FD58BF" w:rsidRPr="003004E5">
              <w:rPr>
                <w:rStyle w:val="Lienhypertexte"/>
                <w:noProof/>
              </w:rPr>
              <w:t>23.11.1e Poutres en éléments tubulaires en acier CCTB 01.04</w:t>
            </w:r>
            <w:r w:rsidR="00FD58BF">
              <w:rPr>
                <w:noProof/>
                <w:webHidden/>
              </w:rPr>
              <w:tab/>
            </w:r>
            <w:r w:rsidR="00FD58BF">
              <w:rPr>
                <w:noProof/>
                <w:webHidden/>
              </w:rPr>
              <w:fldChar w:fldCharType="begin"/>
            </w:r>
            <w:r w:rsidR="00FD58BF">
              <w:rPr>
                <w:noProof/>
                <w:webHidden/>
              </w:rPr>
              <w:instrText xml:space="preserve"> PAGEREF _Toc178838264 \h </w:instrText>
            </w:r>
            <w:r w:rsidR="00FD58BF">
              <w:rPr>
                <w:noProof/>
                <w:webHidden/>
              </w:rPr>
            </w:r>
            <w:r w:rsidR="00FD58BF">
              <w:rPr>
                <w:noProof/>
                <w:webHidden/>
              </w:rPr>
              <w:fldChar w:fldCharType="separate"/>
            </w:r>
            <w:r w:rsidR="00FD58BF">
              <w:rPr>
                <w:noProof/>
                <w:webHidden/>
              </w:rPr>
              <w:t>748</w:t>
            </w:r>
            <w:r w:rsidR="00FD58BF">
              <w:rPr>
                <w:noProof/>
                <w:webHidden/>
              </w:rPr>
              <w:fldChar w:fldCharType="end"/>
            </w:r>
          </w:hyperlink>
        </w:p>
        <w:p w14:paraId="4F085ADD" w14:textId="5295898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5" w:history="1">
            <w:r w:rsidR="00FD58BF" w:rsidRPr="003004E5">
              <w:rPr>
                <w:rStyle w:val="Lienhypertexte"/>
                <w:noProof/>
              </w:rPr>
              <w:t>23.11.2 Poutres en acier formées à froid CCTB 01.11</w:t>
            </w:r>
            <w:r w:rsidR="00FD58BF">
              <w:rPr>
                <w:noProof/>
                <w:webHidden/>
              </w:rPr>
              <w:tab/>
            </w:r>
            <w:r w:rsidR="00FD58BF">
              <w:rPr>
                <w:noProof/>
                <w:webHidden/>
              </w:rPr>
              <w:fldChar w:fldCharType="begin"/>
            </w:r>
            <w:r w:rsidR="00FD58BF">
              <w:rPr>
                <w:noProof/>
                <w:webHidden/>
              </w:rPr>
              <w:instrText xml:space="preserve"> PAGEREF _Toc178838265 \h </w:instrText>
            </w:r>
            <w:r w:rsidR="00FD58BF">
              <w:rPr>
                <w:noProof/>
                <w:webHidden/>
              </w:rPr>
            </w:r>
            <w:r w:rsidR="00FD58BF">
              <w:rPr>
                <w:noProof/>
                <w:webHidden/>
              </w:rPr>
              <w:fldChar w:fldCharType="separate"/>
            </w:r>
            <w:r w:rsidR="00FD58BF">
              <w:rPr>
                <w:noProof/>
                <w:webHidden/>
              </w:rPr>
              <w:t>748</w:t>
            </w:r>
            <w:r w:rsidR="00FD58BF">
              <w:rPr>
                <w:noProof/>
                <w:webHidden/>
              </w:rPr>
              <w:fldChar w:fldCharType="end"/>
            </w:r>
          </w:hyperlink>
        </w:p>
        <w:p w14:paraId="0E92A2A2" w14:textId="4F9DB1E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6" w:history="1">
            <w:r w:rsidR="00FD58BF" w:rsidRPr="003004E5">
              <w:rPr>
                <w:rStyle w:val="Lienhypertexte"/>
                <w:noProof/>
              </w:rPr>
              <w:t>23.11.2a Poutres en acier formées à froid CCTB 01.11</w:t>
            </w:r>
            <w:r w:rsidR="00FD58BF">
              <w:rPr>
                <w:noProof/>
                <w:webHidden/>
              </w:rPr>
              <w:tab/>
            </w:r>
            <w:r w:rsidR="00FD58BF">
              <w:rPr>
                <w:noProof/>
                <w:webHidden/>
              </w:rPr>
              <w:fldChar w:fldCharType="begin"/>
            </w:r>
            <w:r w:rsidR="00FD58BF">
              <w:rPr>
                <w:noProof/>
                <w:webHidden/>
              </w:rPr>
              <w:instrText xml:space="preserve"> PAGEREF _Toc178838266 \h </w:instrText>
            </w:r>
            <w:r w:rsidR="00FD58BF">
              <w:rPr>
                <w:noProof/>
                <w:webHidden/>
              </w:rPr>
            </w:r>
            <w:r w:rsidR="00FD58BF">
              <w:rPr>
                <w:noProof/>
                <w:webHidden/>
              </w:rPr>
              <w:fldChar w:fldCharType="separate"/>
            </w:r>
            <w:r w:rsidR="00FD58BF">
              <w:rPr>
                <w:noProof/>
                <w:webHidden/>
              </w:rPr>
              <w:t>749</w:t>
            </w:r>
            <w:r w:rsidR="00FD58BF">
              <w:rPr>
                <w:noProof/>
                <w:webHidden/>
              </w:rPr>
              <w:fldChar w:fldCharType="end"/>
            </w:r>
          </w:hyperlink>
        </w:p>
        <w:p w14:paraId="2A75EC3B" w14:textId="7D6DB89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7" w:history="1">
            <w:r w:rsidR="00FD58BF" w:rsidRPr="003004E5">
              <w:rPr>
                <w:rStyle w:val="Lienhypertexte"/>
                <w:noProof/>
              </w:rPr>
              <w:t>23.11.3 Poutres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_Toc178838267 \h </w:instrText>
            </w:r>
            <w:r w:rsidR="00FD58BF">
              <w:rPr>
                <w:noProof/>
                <w:webHidden/>
              </w:rPr>
            </w:r>
            <w:r w:rsidR="00FD58BF">
              <w:rPr>
                <w:noProof/>
                <w:webHidden/>
              </w:rPr>
              <w:fldChar w:fldCharType="separate"/>
            </w:r>
            <w:r w:rsidR="00FD58BF">
              <w:rPr>
                <w:noProof/>
                <w:webHidden/>
              </w:rPr>
              <w:t>751</w:t>
            </w:r>
            <w:r w:rsidR="00FD58BF">
              <w:rPr>
                <w:noProof/>
                <w:webHidden/>
              </w:rPr>
              <w:fldChar w:fldCharType="end"/>
            </w:r>
          </w:hyperlink>
        </w:p>
        <w:p w14:paraId="08F462F0" w14:textId="1FDE89E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8" w:history="1">
            <w:r w:rsidR="00FD58BF" w:rsidRPr="003004E5">
              <w:rPr>
                <w:rStyle w:val="Lienhypertexte"/>
                <w:noProof/>
              </w:rPr>
              <w:t>23.11.3a Poutres en profilés en acier inoxydable laminés à chaud CCTB 01.11</w:t>
            </w:r>
            <w:r w:rsidR="00FD58BF">
              <w:rPr>
                <w:noProof/>
                <w:webHidden/>
              </w:rPr>
              <w:tab/>
            </w:r>
            <w:r w:rsidR="00FD58BF">
              <w:rPr>
                <w:noProof/>
                <w:webHidden/>
              </w:rPr>
              <w:fldChar w:fldCharType="begin"/>
            </w:r>
            <w:r w:rsidR="00FD58BF">
              <w:rPr>
                <w:noProof/>
                <w:webHidden/>
              </w:rPr>
              <w:instrText xml:space="preserve"> PAGEREF _Toc178838268 \h </w:instrText>
            </w:r>
            <w:r w:rsidR="00FD58BF">
              <w:rPr>
                <w:noProof/>
                <w:webHidden/>
              </w:rPr>
            </w:r>
            <w:r w:rsidR="00FD58BF">
              <w:rPr>
                <w:noProof/>
                <w:webHidden/>
              </w:rPr>
              <w:fldChar w:fldCharType="separate"/>
            </w:r>
            <w:r w:rsidR="00FD58BF">
              <w:rPr>
                <w:noProof/>
                <w:webHidden/>
              </w:rPr>
              <w:t>751</w:t>
            </w:r>
            <w:r w:rsidR="00FD58BF">
              <w:rPr>
                <w:noProof/>
                <w:webHidden/>
              </w:rPr>
              <w:fldChar w:fldCharType="end"/>
            </w:r>
          </w:hyperlink>
        </w:p>
        <w:p w14:paraId="228439F3" w14:textId="399C7B4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9" w:history="1">
            <w:r w:rsidR="00FD58BF" w:rsidRPr="003004E5">
              <w:rPr>
                <w:rStyle w:val="Lienhypertexte"/>
                <w:noProof/>
              </w:rPr>
              <w:t>23.11.3b Poutres reconstituées soudées en acier inoxydable CCTB 01.11</w:t>
            </w:r>
            <w:r w:rsidR="00FD58BF">
              <w:rPr>
                <w:noProof/>
                <w:webHidden/>
              </w:rPr>
              <w:tab/>
            </w:r>
            <w:r w:rsidR="00FD58BF">
              <w:rPr>
                <w:noProof/>
                <w:webHidden/>
              </w:rPr>
              <w:fldChar w:fldCharType="begin"/>
            </w:r>
            <w:r w:rsidR="00FD58BF">
              <w:rPr>
                <w:noProof/>
                <w:webHidden/>
              </w:rPr>
              <w:instrText xml:space="preserve"> PAGEREF _Toc178838269 \h </w:instrText>
            </w:r>
            <w:r w:rsidR="00FD58BF">
              <w:rPr>
                <w:noProof/>
                <w:webHidden/>
              </w:rPr>
            </w:r>
            <w:r w:rsidR="00FD58BF">
              <w:rPr>
                <w:noProof/>
                <w:webHidden/>
              </w:rPr>
              <w:fldChar w:fldCharType="separate"/>
            </w:r>
            <w:r w:rsidR="00FD58BF">
              <w:rPr>
                <w:noProof/>
                <w:webHidden/>
              </w:rPr>
              <w:t>753</w:t>
            </w:r>
            <w:r w:rsidR="00FD58BF">
              <w:rPr>
                <w:noProof/>
                <w:webHidden/>
              </w:rPr>
              <w:fldChar w:fldCharType="end"/>
            </w:r>
          </w:hyperlink>
        </w:p>
        <w:p w14:paraId="45AFF1EC" w14:textId="3564ADC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0" w:history="1">
            <w:r w:rsidR="00FD58BF" w:rsidRPr="003004E5">
              <w:rPr>
                <w:rStyle w:val="Lienhypertexte"/>
                <w:noProof/>
              </w:rPr>
              <w:t>23.11.3c Poutres en treillis en acier inoxydable CCTB 01.11</w:t>
            </w:r>
            <w:r w:rsidR="00FD58BF">
              <w:rPr>
                <w:noProof/>
                <w:webHidden/>
              </w:rPr>
              <w:tab/>
            </w:r>
            <w:r w:rsidR="00FD58BF">
              <w:rPr>
                <w:noProof/>
                <w:webHidden/>
              </w:rPr>
              <w:fldChar w:fldCharType="begin"/>
            </w:r>
            <w:r w:rsidR="00FD58BF">
              <w:rPr>
                <w:noProof/>
                <w:webHidden/>
              </w:rPr>
              <w:instrText xml:space="preserve"> PAGEREF _Toc178838270 \h </w:instrText>
            </w:r>
            <w:r w:rsidR="00FD58BF">
              <w:rPr>
                <w:noProof/>
                <w:webHidden/>
              </w:rPr>
            </w:r>
            <w:r w:rsidR="00FD58BF">
              <w:rPr>
                <w:noProof/>
                <w:webHidden/>
              </w:rPr>
              <w:fldChar w:fldCharType="separate"/>
            </w:r>
            <w:r w:rsidR="00FD58BF">
              <w:rPr>
                <w:noProof/>
                <w:webHidden/>
              </w:rPr>
              <w:t>755</w:t>
            </w:r>
            <w:r w:rsidR="00FD58BF">
              <w:rPr>
                <w:noProof/>
                <w:webHidden/>
              </w:rPr>
              <w:fldChar w:fldCharType="end"/>
            </w:r>
          </w:hyperlink>
        </w:p>
        <w:p w14:paraId="09E0D1FD" w14:textId="28B8B36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1" w:history="1">
            <w:r w:rsidR="00FD58BF" w:rsidRPr="003004E5">
              <w:rPr>
                <w:rStyle w:val="Lienhypertexte"/>
                <w:noProof/>
              </w:rPr>
              <w:t>23.11.3d Poutres alvéolaires en acier inoxydable CCTB 01.11</w:t>
            </w:r>
            <w:r w:rsidR="00FD58BF">
              <w:rPr>
                <w:noProof/>
                <w:webHidden/>
              </w:rPr>
              <w:tab/>
            </w:r>
            <w:r w:rsidR="00FD58BF">
              <w:rPr>
                <w:noProof/>
                <w:webHidden/>
              </w:rPr>
              <w:fldChar w:fldCharType="begin"/>
            </w:r>
            <w:r w:rsidR="00FD58BF">
              <w:rPr>
                <w:noProof/>
                <w:webHidden/>
              </w:rPr>
              <w:instrText xml:space="preserve"> PAGEREF _Toc178838271 \h </w:instrText>
            </w:r>
            <w:r w:rsidR="00FD58BF">
              <w:rPr>
                <w:noProof/>
                <w:webHidden/>
              </w:rPr>
            </w:r>
            <w:r w:rsidR="00FD58BF">
              <w:rPr>
                <w:noProof/>
                <w:webHidden/>
              </w:rPr>
              <w:fldChar w:fldCharType="separate"/>
            </w:r>
            <w:r w:rsidR="00FD58BF">
              <w:rPr>
                <w:noProof/>
                <w:webHidden/>
              </w:rPr>
              <w:t>757</w:t>
            </w:r>
            <w:r w:rsidR="00FD58BF">
              <w:rPr>
                <w:noProof/>
                <w:webHidden/>
              </w:rPr>
              <w:fldChar w:fldCharType="end"/>
            </w:r>
          </w:hyperlink>
        </w:p>
        <w:p w14:paraId="10E495EE" w14:textId="05BD1DC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2" w:history="1">
            <w:r w:rsidR="00FD58BF" w:rsidRPr="003004E5">
              <w:rPr>
                <w:rStyle w:val="Lienhypertexte"/>
                <w:noProof/>
              </w:rPr>
              <w:t>23.11.3e Poutres en éléments tubulaires en acier inoxydable CCTB 01.04</w:t>
            </w:r>
            <w:r w:rsidR="00FD58BF">
              <w:rPr>
                <w:noProof/>
                <w:webHidden/>
              </w:rPr>
              <w:tab/>
            </w:r>
            <w:r w:rsidR="00FD58BF">
              <w:rPr>
                <w:noProof/>
                <w:webHidden/>
              </w:rPr>
              <w:fldChar w:fldCharType="begin"/>
            </w:r>
            <w:r w:rsidR="00FD58BF">
              <w:rPr>
                <w:noProof/>
                <w:webHidden/>
              </w:rPr>
              <w:instrText xml:space="preserve"> PAGEREF _Toc178838272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2C5875B9" w14:textId="2122597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3" w:history="1">
            <w:r w:rsidR="00FD58BF" w:rsidRPr="003004E5">
              <w:rPr>
                <w:rStyle w:val="Lienhypertexte"/>
                <w:noProof/>
              </w:rPr>
              <w:t>23.11.4 Poutres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_Toc178838273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58A8FEC4" w14:textId="50CC69F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4" w:history="1">
            <w:r w:rsidR="00FD58BF" w:rsidRPr="003004E5">
              <w:rPr>
                <w:rStyle w:val="Lienhypertexte"/>
                <w:noProof/>
              </w:rPr>
              <w:t>23.11.4a Poutres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_Toc178838274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664286C2" w14:textId="1942DB8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5" w:history="1">
            <w:r w:rsidR="00FD58BF" w:rsidRPr="003004E5">
              <w:rPr>
                <w:rStyle w:val="Lienhypertexte"/>
                <w:noProof/>
              </w:rPr>
              <w:t>23.11.5 Poutres en aluminium CCTB 01.04</w:t>
            </w:r>
            <w:r w:rsidR="00FD58BF">
              <w:rPr>
                <w:noProof/>
                <w:webHidden/>
              </w:rPr>
              <w:tab/>
            </w:r>
            <w:r w:rsidR="00FD58BF">
              <w:rPr>
                <w:noProof/>
                <w:webHidden/>
              </w:rPr>
              <w:fldChar w:fldCharType="begin"/>
            </w:r>
            <w:r w:rsidR="00FD58BF">
              <w:rPr>
                <w:noProof/>
                <w:webHidden/>
              </w:rPr>
              <w:instrText xml:space="preserve"> PAGEREF _Toc178838275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2138AD59" w14:textId="3ECECE7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6" w:history="1">
            <w:r w:rsidR="00FD58BF" w:rsidRPr="003004E5">
              <w:rPr>
                <w:rStyle w:val="Lienhypertexte"/>
                <w:noProof/>
              </w:rPr>
              <w:t>23.11.5a Poutres en aluminium CCTB 01.04</w:t>
            </w:r>
            <w:r w:rsidR="00FD58BF">
              <w:rPr>
                <w:noProof/>
                <w:webHidden/>
              </w:rPr>
              <w:tab/>
            </w:r>
            <w:r w:rsidR="00FD58BF">
              <w:rPr>
                <w:noProof/>
                <w:webHidden/>
              </w:rPr>
              <w:fldChar w:fldCharType="begin"/>
            </w:r>
            <w:r w:rsidR="00FD58BF">
              <w:rPr>
                <w:noProof/>
                <w:webHidden/>
              </w:rPr>
              <w:instrText xml:space="preserve"> PAGEREF _Toc178838276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165F0640" w14:textId="6E58D47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7" w:history="1">
            <w:r w:rsidR="00FD58BF" w:rsidRPr="003004E5">
              <w:rPr>
                <w:rStyle w:val="Lienhypertexte"/>
                <w:noProof/>
              </w:rPr>
              <w:t>23.11.5b Poutres en treillis en aluminium CCTB 01.04</w:t>
            </w:r>
            <w:r w:rsidR="00FD58BF">
              <w:rPr>
                <w:noProof/>
                <w:webHidden/>
              </w:rPr>
              <w:tab/>
            </w:r>
            <w:r w:rsidR="00FD58BF">
              <w:rPr>
                <w:noProof/>
                <w:webHidden/>
              </w:rPr>
              <w:fldChar w:fldCharType="begin"/>
            </w:r>
            <w:r w:rsidR="00FD58BF">
              <w:rPr>
                <w:noProof/>
                <w:webHidden/>
              </w:rPr>
              <w:instrText xml:space="preserve"> PAGEREF _Toc178838277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567F93B3" w14:textId="4E44778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78" w:history="1">
            <w:r w:rsidR="00FD58BF" w:rsidRPr="003004E5">
              <w:rPr>
                <w:rStyle w:val="Lienhypertexte"/>
                <w:noProof/>
              </w:rPr>
              <w:t>23.12 Eléments de charpentes de toiture métalliques CCTB 01.04</w:t>
            </w:r>
            <w:r w:rsidR="00FD58BF">
              <w:rPr>
                <w:noProof/>
                <w:webHidden/>
              </w:rPr>
              <w:tab/>
            </w:r>
            <w:r w:rsidR="00FD58BF">
              <w:rPr>
                <w:noProof/>
                <w:webHidden/>
              </w:rPr>
              <w:fldChar w:fldCharType="begin"/>
            </w:r>
            <w:r w:rsidR="00FD58BF">
              <w:rPr>
                <w:noProof/>
                <w:webHidden/>
              </w:rPr>
              <w:instrText xml:space="preserve"> PAGEREF _Toc178838278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77521AAF" w14:textId="616B57F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9" w:history="1">
            <w:r w:rsidR="00FD58BF" w:rsidRPr="003004E5">
              <w:rPr>
                <w:rStyle w:val="Lienhypertexte"/>
                <w:noProof/>
              </w:rPr>
              <w:t>23.12.1 Eléments de charpente de toiture en acier laminés à chaud CCTB 01.04</w:t>
            </w:r>
            <w:r w:rsidR="00FD58BF">
              <w:rPr>
                <w:noProof/>
                <w:webHidden/>
              </w:rPr>
              <w:tab/>
            </w:r>
            <w:r w:rsidR="00FD58BF">
              <w:rPr>
                <w:noProof/>
                <w:webHidden/>
              </w:rPr>
              <w:fldChar w:fldCharType="begin"/>
            </w:r>
            <w:r w:rsidR="00FD58BF">
              <w:rPr>
                <w:noProof/>
                <w:webHidden/>
              </w:rPr>
              <w:instrText xml:space="preserve"> PAGEREF _Toc178838279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23D6918E" w14:textId="05C96A5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0" w:history="1">
            <w:r w:rsidR="00FD58BF" w:rsidRPr="003004E5">
              <w:rPr>
                <w:rStyle w:val="Lienhypertexte"/>
                <w:noProof/>
              </w:rPr>
              <w:t>23.12.1a Sablières en acier laminées à chaud CCTB 01.04</w:t>
            </w:r>
            <w:r w:rsidR="00FD58BF">
              <w:rPr>
                <w:noProof/>
                <w:webHidden/>
              </w:rPr>
              <w:tab/>
            </w:r>
            <w:r w:rsidR="00FD58BF">
              <w:rPr>
                <w:noProof/>
                <w:webHidden/>
              </w:rPr>
              <w:fldChar w:fldCharType="begin"/>
            </w:r>
            <w:r w:rsidR="00FD58BF">
              <w:rPr>
                <w:noProof/>
                <w:webHidden/>
              </w:rPr>
              <w:instrText xml:space="preserve"> PAGEREF _Toc178838280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799AB04D" w14:textId="4DDDA48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1" w:history="1">
            <w:r w:rsidR="00FD58BF" w:rsidRPr="003004E5">
              <w:rPr>
                <w:rStyle w:val="Lienhypertexte"/>
                <w:noProof/>
              </w:rPr>
              <w:t>23.12.1b Pannes en acier laminées à chaud CCTB 01.04</w:t>
            </w:r>
            <w:r w:rsidR="00FD58BF">
              <w:rPr>
                <w:noProof/>
                <w:webHidden/>
              </w:rPr>
              <w:tab/>
            </w:r>
            <w:r w:rsidR="00FD58BF">
              <w:rPr>
                <w:noProof/>
                <w:webHidden/>
              </w:rPr>
              <w:fldChar w:fldCharType="begin"/>
            </w:r>
            <w:r w:rsidR="00FD58BF">
              <w:rPr>
                <w:noProof/>
                <w:webHidden/>
              </w:rPr>
              <w:instrText xml:space="preserve"> PAGEREF _Toc178838281 \h </w:instrText>
            </w:r>
            <w:r w:rsidR="00FD58BF">
              <w:rPr>
                <w:noProof/>
                <w:webHidden/>
              </w:rPr>
            </w:r>
            <w:r w:rsidR="00FD58BF">
              <w:rPr>
                <w:noProof/>
                <w:webHidden/>
              </w:rPr>
              <w:fldChar w:fldCharType="separate"/>
            </w:r>
            <w:r w:rsidR="00FD58BF">
              <w:rPr>
                <w:noProof/>
                <w:webHidden/>
              </w:rPr>
              <w:t>759</w:t>
            </w:r>
            <w:r w:rsidR="00FD58BF">
              <w:rPr>
                <w:noProof/>
                <w:webHidden/>
              </w:rPr>
              <w:fldChar w:fldCharType="end"/>
            </w:r>
          </w:hyperlink>
        </w:p>
        <w:p w14:paraId="3E6A7142" w14:textId="1665BF2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2" w:history="1">
            <w:r w:rsidR="00FD58BF" w:rsidRPr="003004E5">
              <w:rPr>
                <w:rStyle w:val="Lienhypertexte"/>
                <w:noProof/>
              </w:rPr>
              <w:t>23.12.1c Chevrons autoporteurs en acier laminés à chaud CCTB 01.04</w:t>
            </w:r>
            <w:r w:rsidR="00FD58BF">
              <w:rPr>
                <w:noProof/>
                <w:webHidden/>
              </w:rPr>
              <w:tab/>
            </w:r>
            <w:r w:rsidR="00FD58BF">
              <w:rPr>
                <w:noProof/>
                <w:webHidden/>
              </w:rPr>
              <w:fldChar w:fldCharType="begin"/>
            </w:r>
            <w:r w:rsidR="00FD58BF">
              <w:rPr>
                <w:noProof/>
                <w:webHidden/>
              </w:rPr>
              <w:instrText xml:space="preserve"> PAGEREF _Toc178838282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1487D16A" w14:textId="011A769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3" w:history="1">
            <w:r w:rsidR="00FD58BF" w:rsidRPr="003004E5">
              <w:rPr>
                <w:rStyle w:val="Lienhypertexte"/>
                <w:noProof/>
              </w:rPr>
              <w:t>23.12.1d Faîtières en acier laminées à chaud CCTB 01.04</w:t>
            </w:r>
            <w:r w:rsidR="00FD58BF">
              <w:rPr>
                <w:noProof/>
                <w:webHidden/>
              </w:rPr>
              <w:tab/>
            </w:r>
            <w:r w:rsidR="00FD58BF">
              <w:rPr>
                <w:noProof/>
                <w:webHidden/>
              </w:rPr>
              <w:fldChar w:fldCharType="begin"/>
            </w:r>
            <w:r w:rsidR="00FD58BF">
              <w:rPr>
                <w:noProof/>
                <w:webHidden/>
              </w:rPr>
              <w:instrText xml:space="preserve"> PAGEREF _Toc178838283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39797A38" w14:textId="6C35685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4" w:history="1">
            <w:r w:rsidR="00FD58BF" w:rsidRPr="003004E5">
              <w:rPr>
                <w:rStyle w:val="Lienhypertexte"/>
                <w:noProof/>
              </w:rPr>
              <w:t>23.12.1e Arbalétriers en acier laminés à chaud CCTB 01.04</w:t>
            </w:r>
            <w:r w:rsidR="00FD58BF">
              <w:rPr>
                <w:noProof/>
                <w:webHidden/>
              </w:rPr>
              <w:tab/>
            </w:r>
            <w:r w:rsidR="00FD58BF">
              <w:rPr>
                <w:noProof/>
                <w:webHidden/>
              </w:rPr>
              <w:fldChar w:fldCharType="begin"/>
            </w:r>
            <w:r w:rsidR="00FD58BF">
              <w:rPr>
                <w:noProof/>
                <w:webHidden/>
              </w:rPr>
              <w:instrText xml:space="preserve"> PAGEREF _Toc178838284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04527E5B" w14:textId="2A98A96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5" w:history="1">
            <w:r w:rsidR="00FD58BF" w:rsidRPr="003004E5">
              <w:rPr>
                <w:rStyle w:val="Lienhypertexte"/>
                <w:noProof/>
              </w:rPr>
              <w:t>23.12.1f Entraits en acier laminés à chaud CCTB 01.04</w:t>
            </w:r>
            <w:r w:rsidR="00FD58BF">
              <w:rPr>
                <w:noProof/>
                <w:webHidden/>
              </w:rPr>
              <w:tab/>
            </w:r>
            <w:r w:rsidR="00FD58BF">
              <w:rPr>
                <w:noProof/>
                <w:webHidden/>
              </w:rPr>
              <w:fldChar w:fldCharType="begin"/>
            </w:r>
            <w:r w:rsidR="00FD58BF">
              <w:rPr>
                <w:noProof/>
                <w:webHidden/>
              </w:rPr>
              <w:instrText xml:space="preserve"> PAGEREF _Toc178838285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6BC60B86" w14:textId="7CD89A3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6" w:history="1">
            <w:r w:rsidR="00FD58BF" w:rsidRPr="003004E5">
              <w:rPr>
                <w:rStyle w:val="Lienhypertexte"/>
                <w:noProof/>
              </w:rPr>
              <w:t>23.12.1g Chevêtres en acier laminés à chaud CCTB 01.04</w:t>
            </w:r>
            <w:r w:rsidR="00FD58BF">
              <w:rPr>
                <w:noProof/>
                <w:webHidden/>
              </w:rPr>
              <w:tab/>
            </w:r>
            <w:r w:rsidR="00FD58BF">
              <w:rPr>
                <w:noProof/>
                <w:webHidden/>
              </w:rPr>
              <w:fldChar w:fldCharType="begin"/>
            </w:r>
            <w:r w:rsidR="00FD58BF">
              <w:rPr>
                <w:noProof/>
                <w:webHidden/>
              </w:rPr>
              <w:instrText xml:space="preserve"> PAGEREF _Toc178838286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27B502CD" w14:textId="0B874F1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7" w:history="1">
            <w:r w:rsidR="00FD58BF" w:rsidRPr="003004E5">
              <w:rPr>
                <w:rStyle w:val="Lienhypertexte"/>
                <w:noProof/>
              </w:rPr>
              <w:t>23.12.1h Chevrons en acier laminés à chaud CCTB 01.04</w:t>
            </w:r>
            <w:r w:rsidR="00FD58BF">
              <w:rPr>
                <w:noProof/>
                <w:webHidden/>
              </w:rPr>
              <w:tab/>
            </w:r>
            <w:r w:rsidR="00FD58BF">
              <w:rPr>
                <w:noProof/>
                <w:webHidden/>
              </w:rPr>
              <w:fldChar w:fldCharType="begin"/>
            </w:r>
            <w:r w:rsidR="00FD58BF">
              <w:rPr>
                <w:noProof/>
                <w:webHidden/>
              </w:rPr>
              <w:instrText xml:space="preserve"> PAGEREF _Toc178838287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66393455" w14:textId="53047AB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8" w:history="1">
            <w:r w:rsidR="00FD58BF" w:rsidRPr="003004E5">
              <w:rPr>
                <w:rStyle w:val="Lienhypertexte"/>
                <w:noProof/>
              </w:rPr>
              <w:t>23.12.1i Voliges et panneaux en acier laminés à chaud CCTB 01.04</w:t>
            </w:r>
            <w:r w:rsidR="00FD58BF">
              <w:rPr>
                <w:noProof/>
                <w:webHidden/>
              </w:rPr>
              <w:tab/>
            </w:r>
            <w:r w:rsidR="00FD58BF">
              <w:rPr>
                <w:noProof/>
                <w:webHidden/>
              </w:rPr>
              <w:fldChar w:fldCharType="begin"/>
            </w:r>
            <w:r w:rsidR="00FD58BF">
              <w:rPr>
                <w:noProof/>
                <w:webHidden/>
              </w:rPr>
              <w:instrText xml:space="preserve"> PAGEREF _Toc178838288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3B99941F" w14:textId="7C63A6A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9" w:history="1">
            <w:r w:rsidR="00FD58BF" w:rsidRPr="003004E5">
              <w:rPr>
                <w:rStyle w:val="Lienhypertexte"/>
                <w:noProof/>
              </w:rPr>
              <w:t>23.12.2 Eléments de charpente de toiture en acier formés à froid CCTB 01.04</w:t>
            </w:r>
            <w:r w:rsidR="00FD58BF">
              <w:rPr>
                <w:noProof/>
                <w:webHidden/>
              </w:rPr>
              <w:tab/>
            </w:r>
            <w:r w:rsidR="00FD58BF">
              <w:rPr>
                <w:noProof/>
                <w:webHidden/>
              </w:rPr>
              <w:fldChar w:fldCharType="begin"/>
            </w:r>
            <w:r w:rsidR="00FD58BF">
              <w:rPr>
                <w:noProof/>
                <w:webHidden/>
              </w:rPr>
              <w:instrText xml:space="preserve"> PAGEREF _Toc178838289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0DD42AAD" w14:textId="36E609E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0" w:history="1">
            <w:r w:rsidR="00FD58BF" w:rsidRPr="003004E5">
              <w:rPr>
                <w:rStyle w:val="Lienhypertexte"/>
                <w:noProof/>
              </w:rPr>
              <w:t>23.12.2a Sablières en acier formées à froid CCTB 01.04</w:t>
            </w:r>
            <w:r w:rsidR="00FD58BF">
              <w:rPr>
                <w:noProof/>
                <w:webHidden/>
              </w:rPr>
              <w:tab/>
            </w:r>
            <w:r w:rsidR="00FD58BF">
              <w:rPr>
                <w:noProof/>
                <w:webHidden/>
              </w:rPr>
              <w:fldChar w:fldCharType="begin"/>
            </w:r>
            <w:r w:rsidR="00FD58BF">
              <w:rPr>
                <w:noProof/>
                <w:webHidden/>
              </w:rPr>
              <w:instrText xml:space="preserve"> PAGEREF _Toc178838290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1F75F848" w14:textId="091610D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1" w:history="1">
            <w:r w:rsidR="00FD58BF" w:rsidRPr="003004E5">
              <w:rPr>
                <w:rStyle w:val="Lienhypertexte"/>
                <w:noProof/>
              </w:rPr>
              <w:t>23.12.2b Pannes en acier formées à froid CCTB 01.04</w:t>
            </w:r>
            <w:r w:rsidR="00FD58BF">
              <w:rPr>
                <w:noProof/>
                <w:webHidden/>
              </w:rPr>
              <w:tab/>
            </w:r>
            <w:r w:rsidR="00FD58BF">
              <w:rPr>
                <w:noProof/>
                <w:webHidden/>
              </w:rPr>
              <w:fldChar w:fldCharType="begin"/>
            </w:r>
            <w:r w:rsidR="00FD58BF">
              <w:rPr>
                <w:noProof/>
                <w:webHidden/>
              </w:rPr>
              <w:instrText xml:space="preserve"> PAGEREF _Toc178838291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0BC295EF" w14:textId="2D8FC54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2" w:history="1">
            <w:r w:rsidR="00FD58BF" w:rsidRPr="003004E5">
              <w:rPr>
                <w:rStyle w:val="Lienhypertexte"/>
                <w:noProof/>
              </w:rPr>
              <w:t>23.12.2c Chevrons autoporteurs en acier formés à froid CCTB 01.04</w:t>
            </w:r>
            <w:r w:rsidR="00FD58BF">
              <w:rPr>
                <w:noProof/>
                <w:webHidden/>
              </w:rPr>
              <w:tab/>
            </w:r>
            <w:r w:rsidR="00FD58BF">
              <w:rPr>
                <w:noProof/>
                <w:webHidden/>
              </w:rPr>
              <w:fldChar w:fldCharType="begin"/>
            </w:r>
            <w:r w:rsidR="00FD58BF">
              <w:rPr>
                <w:noProof/>
                <w:webHidden/>
              </w:rPr>
              <w:instrText xml:space="preserve"> PAGEREF _Toc178838292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42FEB902" w14:textId="2F49C4E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3" w:history="1">
            <w:r w:rsidR="00FD58BF" w:rsidRPr="003004E5">
              <w:rPr>
                <w:rStyle w:val="Lienhypertexte"/>
                <w:noProof/>
              </w:rPr>
              <w:t>23.12.2d Faîtières en acier formées à froid CCTB 01.04</w:t>
            </w:r>
            <w:r w:rsidR="00FD58BF">
              <w:rPr>
                <w:noProof/>
                <w:webHidden/>
              </w:rPr>
              <w:tab/>
            </w:r>
            <w:r w:rsidR="00FD58BF">
              <w:rPr>
                <w:noProof/>
                <w:webHidden/>
              </w:rPr>
              <w:fldChar w:fldCharType="begin"/>
            </w:r>
            <w:r w:rsidR="00FD58BF">
              <w:rPr>
                <w:noProof/>
                <w:webHidden/>
              </w:rPr>
              <w:instrText xml:space="preserve"> PAGEREF _Toc178838293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410C4AA2" w14:textId="2693E03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4" w:history="1">
            <w:r w:rsidR="00FD58BF" w:rsidRPr="003004E5">
              <w:rPr>
                <w:rStyle w:val="Lienhypertexte"/>
                <w:noProof/>
              </w:rPr>
              <w:t>23.12.2e Arbalétriers en acier formés à froid CCTB 01.04</w:t>
            </w:r>
            <w:r w:rsidR="00FD58BF">
              <w:rPr>
                <w:noProof/>
                <w:webHidden/>
              </w:rPr>
              <w:tab/>
            </w:r>
            <w:r w:rsidR="00FD58BF">
              <w:rPr>
                <w:noProof/>
                <w:webHidden/>
              </w:rPr>
              <w:fldChar w:fldCharType="begin"/>
            </w:r>
            <w:r w:rsidR="00FD58BF">
              <w:rPr>
                <w:noProof/>
                <w:webHidden/>
              </w:rPr>
              <w:instrText xml:space="preserve"> PAGEREF _Toc178838294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0F97F894" w14:textId="777A3BD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5" w:history="1">
            <w:r w:rsidR="00FD58BF" w:rsidRPr="003004E5">
              <w:rPr>
                <w:rStyle w:val="Lienhypertexte"/>
                <w:noProof/>
              </w:rPr>
              <w:t>23.12.2f Entraits en acier formés à froid CCTB 01.04</w:t>
            </w:r>
            <w:r w:rsidR="00FD58BF">
              <w:rPr>
                <w:noProof/>
                <w:webHidden/>
              </w:rPr>
              <w:tab/>
            </w:r>
            <w:r w:rsidR="00FD58BF">
              <w:rPr>
                <w:noProof/>
                <w:webHidden/>
              </w:rPr>
              <w:fldChar w:fldCharType="begin"/>
            </w:r>
            <w:r w:rsidR="00FD58BF">
              <w:rPr>
                <w:noProof/>
                <w:webHidden/>
              </w:rPr>
              <w:instrText xml:space="preserve"> PAGEREF _Toc178838295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5428036E" w14:textId="2DDD45B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6" w:history="1">
            <w:r w:rsidR="00FD58BF" w:rsidRPr="003004E5">
              <w:rPr>
                <w:rStyle w:val="Lienhypertexte"/>
                <w:noProof/>
              </w:rPr>
              <w:t>23.12.2g Chevêtres en acier formés à froid CCTB 01.04</w:t>
            </w:r>
            <w:r w:rsidR="00FD58BF">
              <w:rPr>
                <w:noProof/>
                <w:webHidden/>
              </w:rPr>
              <w:tab/>
            </w:r>
            <w:r w:rsidR="00FD58BF">
              <w:rPr>
                <w:noProof/>
                <w:webHidden/>
              </w:rPr>
              <w:fldChar w:fldCharType="begin"/>
            </w:r>
            <w:r w:rsidR="00FD58BF">
              <w:rPr>
                <w:noProof/>
                <w:webHidden/>
              </w:rPr>
              <w:instrText xml:space="preserve"> PAGEREF _Toc178838296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1E187F9C" w14:textId="625D558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7" w:history="1">
            <w:r w:rsidR="00FD58BF" w:rsidRPr="003004E5">
              <w:rPr>
                <w:rStyle w:val="Lienhypertexte"/>
                <w:noProof/>
              </w:rPr>
              <w:t>23.12.2h Chevrons en acier formés à froid CCTB 01.04</w:t>
            </w:r>
            <w:r w:rsidR="00FD58BF">
              <w:rPr>
                <w:noProof/>
                <w:webHidden/>
              </w:rPr>
              <w:tab/>
            </w:r>
            <w:r w:rsidR="00FD58BF">
              <w:rPr>
                <w:noProof/>
                <w:webHidden/>
              </w:rPr>
              <w:fldChar w:fldCharType="begin"/>
            </w:r>
            <w:r w:rsidR="00FD58BF">
              <w:rPr>
                <w:noProof/>
                <w:webHidden/>
              </w:rPr>
              <w:instrText xml:space="preserve"> PAGEREF _Toc178838297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2CE445AF" w14:textId="64551D6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8" w:history="1">
            <w:r w:rsidR="00FD58BF" w:rsidRPr="003004E5">
              <w:rPr>
                <w:rStyle w:val="Lienhypertexte"/>
                <w:noProof/>
              </w:rPr>
              <w:t>23.12.2i Voliges et panneaux en acier formés à froid CCTB 01.04</w:t>
            </w:r>
            <w:r w:rsidR="00FD58BF">
              <w:rPr>
                <w:noProof/>
                <w:webHidden/>
              </w:rPr>
              <w:tab/>
            </w:r>
            <w:r w:rsidR="00FD58BF">
              <w:rPr>
                <w:noProof/>
                <w:webHidden/>
              </w:rPr>
              <w:fldChar w:fldCharType="begin"/>
            </w:r>
            <w:r w:rsidR="00FD58BF">
              <w:rPr>
                <w:noProof/>
                <w:webHidden/>
              </w:rPr>
              <w:instrText xml:space="preserve"> PAGEREF _Toc178838298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4C522563" w14:textId="7FB0FF9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99" w:history="1">
            <w:r w:rsidR="00FD58BF" w:rsidRPr="003004E5">
              <w:rPr>
                <w:rStyle w:val="Lienhypertexte"/>
                <w:noProof/>
              </w:rPr>
              <w:t>23.12.3 Eléments de charpente de toiture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_Toc178838299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06712681" w14:textId="3E0370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0" w:history="1">
            <w:r w:rsidR="00FD58BF" w:rsidRPr="003004E5">
              <w:rPr>
                <w:rStyle w:val="Lienhypertexte"/>
                <w:noProof/>
              </w:rPr>
              <w:t>23.12.3a Sablières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_Toc178838300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3DDEC6AE" w14:textId="3FE967A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1" w:history="1">
            <w:r w:rsidR="00FD58BF" w:rsidRPr="003004E5">
              <w:rPr>
                <w:rStyle w:val="Lienhypertexte"/>
                <w:noProof/>
              </w:rPr>
              <w:t>23.12.3b Pannes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_Toc178838301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2678D44F" w14:textId="03191B0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2" w:history="1">
            <w:r w:rsidR="00FD58BF" w:rsidRPr="003004E5">
              <w:rPr>
                <w:rStyle w:val="Lienhypertexte"/>
                <w:noProof/>
              </w:rPr>
              <w:t>23.12.3c Chevrons autoporteurs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_Toc178838302 \h </w:instrText>
            </w:r>
            <w:r w:rsidR="00FD58BF">
              <w:rPr>
                <w:noProof/>
                <w:webHidden/>
              </w:rPr>
            </w:r>
            <w:r w:rsidR="00FD58BF">
              <w:rPr>
                <w:noProof/>
                <w:webHidden/>
              </w:rPr>
              <w:fldChar w:fldCharType="separate"/>
            </w:r>
            <w:r w:rsidR="00FD58BF">
              <w:rPr>
                <w:noProof/>
                <w:webHidden/>
              </w:rPr>
              <w:t>760</w:t>
            </w:r>
            <w:r w:rsidR="00FD58BF">
              <w:rPr>
                <w:noProof/>
                <w:webHidden/>
              </w:rPr>
              <w:fldChar w:fldCharType="end"/>
            </w:r>
          </w:hyperlink>
        </w:p>
        <w:p w14:paraId="04759F0A" w14:textId="171309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3" w:history="1">
            <w:r w:rsidR="00FD58BF" w:rsidRPr="003004E5">
              <w:rPr>
                <w:rStyle w:val="Lienhypertexte"/>
                <w:noProof/>
              </w:rPr>
              <w:t>23.12.3d Faîtières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_Toc178838303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2F62E8EC" w14:textId="00DA752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4" w:history="1">
            <w:r w:rsidR="00FD58BF" w:rsidRPr="003004E5">
              <w:rPr>
                <w:rStyle w:val="Lienhypertexte"/>
                <w:noProof/>
              </w:rPr>
              <w:t>23.12.3e Arbalétriers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_Toc178838304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008E789C" w14:textId="6DA72B6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5" w:history="1">
            <w:r w:rsidR="00FD58BF" w:rsidRPr="003004E5">
              <w:rPr>
                <w:rStyle w:val="Lienhypertexte"/>
                <w:noProof/>
              </w:rPr>
              <w:t>23.12.3f Entraits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_Toc178838305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74B5A819" w14:textId="33B632A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6" w:history="1">
            <w:r w:rsidR="00FD58BF" w:rsidRPr="003004E5">
              <w:rPr>
                <w:rStyle w:val="Lienhypertexte"/>
                <w:noProof/>
              </w:rPr>
              <w:t>23.12.3g Chevêtres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_Toc178838306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77FEC675" w14:textId="321CA97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7" w:history="1">
            <w:r w:rsidR="00FD58BF" w:rsidRPr="003004E5">
              <w:rPr>
                <w:rStyle w:val="Lienhypertexte"/>
                <w:noProof/>
              </w:rPr>
              <w:t>23.12.3h Chevrons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_Toc178838307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04107A28" w14:textId="4969414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8" w:history="1">
            <w:r w:rsidR="00FD58BF" w:rsidRPr="003004E5">
              <w:rPr>
                <w:rStyle w:val="Lienhypertexte"/>
                <w:noProof/>
              </w:rPr>
              <w:t>23.12.3i Voliges et panneaux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_Toc178838308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072B098E" w14:textId="39BD345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09" w:history="1">
            <w:r w:rsidR="00FD58BF" w:rsidRPr="003004E5">
              <w:rPr>
                <w:rStyle w:val="Lienhypertexte"/>
                <w:noProof/>
              </w:rPr>
              <w:t>23.12.4 Eléments de charpente de toiture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_Toc178838309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191A48D5" w14:textId="768668D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0" w:history="1">
            <w:r w:rsidR="00FD58BF" w:rsidRPr="003004E5">
              <w:rPr>
                <w:rStyle w:val="Lienhypertexte"/>
                <w:noProof/>
              </w:rPr>
              <w:t>23.12.4a Sablières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_Toc178838310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2068C85B" w14:textId="0B23D01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1" w:history="1">
            <w:r w:rsidR="00FD58BF" w:rsidRPr="003004E5">
              <w:rPr>
                <w:rStyle w:val="Lienhypertexte"/>
                <w:noProof/>
              </w:rPr>
              <w:t>23.12.4b Pannes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_Toc178838311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6EDB0EA4" w14:textId="7B07C87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2" w:history="1">
            <w:r w:rsidR="00FD58BF" w:rsidRPr="003004E5">
              <w:rPr>
                <w:rStyle w:val="Lienhypertexte"/>
                <w:noProof/>
              </w:rPr>
              <w:t>23.12.4c Chevrons autoporteurs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_Toc178838312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64CDA3A2" w14:textId="1694571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3" w:history="1">
            <w:r w:rsidR="00FD58BF" w:rsidRPr="003004E5">
              <w:rPr>
                <w:rStyle w:val="Lienhypertexte"/>
                <w:noProof/>
              </w:rPr>
              <w:t>23.12.4d Faîtières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_Toc178838313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400B7A02" w14:textId="571F085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4" w:history="1">
            <w:r w:rsidR="00FD58BF" w:rsidRPr="003004E5">
              <w:rPr>
                <w:rStyle w:val="Lienhypertexte"/>
                <w:noProof/>
              </w:rPr>
              <w:t>23.12.4e Arbalétriers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_Toc178838314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135477BF" w14:textId="5EBB86B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5" w:history="1">
            <w:r w:rsidR="00FD58BF" w:rsidRPr="003004E5">
              <w:rPr>
                <w:rStyle w:val="Lienhypertexte"/>
                <w:noProof/>
              </w:rPr>
              <w:t>23.12.4f Entraits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_Toc178838315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2A8285C6" w14:textId="2F9BB1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6" w:history="1">
            <w:r w:rsidR="00FD58BF" w:rsidRPr="003004E5">
              <w:rPr>
                <w:rStyle w:val="Lienhypertexte"/>
                <w:noProof/>
              </w:rPr>
              <w:t>23.12.4g Chevêtres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_Toc178838316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6C52B6EC" w14:textId="529D591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7" w:history="1">
            <w:r w:rsidR="00FD58BF" w:rsidRPr="003004E5">
              <w:rPr>
                <w:rStyle w:val="Lienhypertexte"/>
                <w:noProof/>
              </w:rPr>
              <w:t>23.12.4h Chevrons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_Toc178838317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3C406C34" w14:textId="179E5C2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8" w:history="1">
            <w:r w:rsidR="00FD58BF" w:rsidRPr="003004E5">
              <w:rPr>
                <w:rStyle w:val="Lienhypertexte"/>
                <w:noProof/>
              </w:rPr>
              <w:t>23.12.4i Voliges et panneaux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_Toc178838318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0E83D319" w14:textId="0284E9B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19" w:history="1">
            <w:r w:rsidR="00FD58BF" w:rsidRPr="003004E5">
              <w:rPr>
                <w:rStyle w:val="Lienhypertexte"/>
                <w:noProof/>
              </w:rPr>
              <w:t>23.12.5 Eléments de charpente de toiture en aluminium CCTB 01.04</w:t>
            </w:r>
            <w:r w:rsidR="00FD58BF">
              <w:rPr>
                <w:noProof/>
                <w:webHidden/>
              </w:rPr>
              <w:tab/>
            </w:r>
            <w:r w:rsidR="00FD58BF">
              <w:rPr>
                <w:noProof/>
                <w:webHidden/>
              </w:rPr>
              <w:fldChar w:fldCharType="begin"/>
            </w:r>
            <w:r w:rsidR="00FD58BF">
              <w:rPr>
                <w:noProof/>
                <w:webHidden/>
              </w:rPr>
              <w:instrText xml:space="preserve"> PAGEREF _Toc178838319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72460F24" w14:textId="76D6AD3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0" w:history="1">
            <w:r w:rsidR="00FD58BF" w:rsidRPr="003004E5">
              <w:rPr>
                <w:rStyle w:val="Lienhypertexte"/>
                <w:noProof/>
              </w:rPr>
              <w:t>23.12.5a Sablières en aluminium CCTB 01.04</w:t>
            </w:r>
            <w:r w:rsidR="00FD58BF">
              <w:rPr>
                <w:noProof/>
                <w:webHidden/>
              </w:rPr>
              <w:tab/>
            </w:r>
            <w:r w:rsidR="00FD58BF">
              <w:rPr>
                <w:noProof/>
                <w:webHidden/>
              </w:rPr>
              <w:fldChar w:fldCharType="begin"/>
            </w:r>
            <w:r w:rsidR="00FD58BF">
              <w:rPr>
                <w:noProof/>
                <w:webHidden/>
              </w:rPr>
              <w:instrText xml:space="preserve"> PAGEREF _Toc178838320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04BFC69A" w14:textId="6D0A814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1" w:history="1">
            <w:r w:rsidR="00FD58BF" w:rsidRPr="003004E5">
              <w:rPr>
                <w:rStyle w:val="Lienhypertexte"/>
                <w:noProof/>
              </w:rPr>
              <w:t>23.12.5b Pannes en aluminium CCTB 01.04</w:t>
            </w:r>
            <w:r w:rsidR="00FD58BF">
              <w:rPr>
                <w:noProof/>
                <w:webHidden/>
              </w:rPr>
              <w:tab/>
            </w:r>
            <w:r w:rsidR="00FD58BF">
              <w:rPr>
                <w:noProof/>
                <w:webHidden/>
              </w:rPr>
              <w:fldChar w:fldCharType="begin"/>
            </w:r>
            <w:r w:rsidR="00FD58BF">
              <w:rPr>
                <w:noProof/>
                <w:webHidden/>
              </w:rPr>
              <w:instrText xml:space="preserve"> PAGEREF _Toc178838321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4C32B26C" w14:textId="69CF6E7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2" w:history="1">
            <w:r w:rsidR="00FD58BF" w:rsidRPr="003004E5">
              <w:rPr>
                <w:rStyle w:val="Lienhypertexte"/>
                <w:noProof/>
              </w:rPr>
              <w:t>23.12.5c Chevrons autoporteurs en aluminium CCTB 01.04</w:t>
            </w:r>
            <w:r w:rsidR="00FD58BF">
              <w:rPr>
                <w:noProof/>
                <w:webHidden/>
              </w:rPr>
              <w:tab/>
            </w:r>
            <w:r w:rsidR="00FD58BF">
              <w:rPr>
                <w:noProof/>
                <w:webHidden/>
              </w:rPr>
              <w:fldChar w:fldCharType="begin"/>
            </w:r>
            <w:r w:rsidR="00FD58BF">
              <w:rPr>
                <w:noProof/>
                <w:webHidden/>
              </w:rPr>
              <w:instrText xml:space="preserve"> PAGEREF _Toc178838322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4FF3C714" w14:textId="67D7DD4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3" w:history="1">
            <w:r w:rsidR="00FD58BF" w:rsidRPr="003004E5">
              <w:rPr>
                <w:rStyle w:val="Lienhypertexte"/>
                <w:noProof/>
              </w:rPr>
              <w:t>23.12.5d Faîtières en aluminium CCTB 01.04</w:t>
            </w:r>
            <w:r w:rsidR="00FD58BF">
              <w:rPr>
                <w:noProof/>
                <w:webHidden/>
              </w:rPr>
              <w:tab/>
            </w:r>
            <w:r w:rsidR="00FD58BF">
              <w:rPr>
                <w:noProof/>
                <w:webHidden/>
              </w:rPr>
              <w:fldChar w:fldCharType="begin"/>
            </w:r>
            <w:r w:rsidR="00FD58BF">
              <w:rPr>
                <w:noProof/>
                <w:webHidden/>
              </w:rPr>
              <w:instrText xml:space="preserve"> PAGEREF _Toc178838323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56292F0B" w14:textId="4B7DAF9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4" w:history="1">
            <w:r w:rsidR="00FD58BF" w:rsidRPr="003004E5">
              <w:rPr>
                <w:rStyle w:val="Lienhypertexte"/>
                <w:noProof/>
              </w:rPr>
              <w:t>23.12.5e Arbalétriers en aluminium CCTB 01.04</w:t>
            </w:r>
            <w:r w:rsidR="00FD58BF">
              <w:rPr>
                <w:noProof/>
                <w:webHidden/>
              </w:rPr>
              <w:tab/>
            </w:r>
            <w:r w:rsidR="00FD58BF">
              <w:rPr>
                <w:noProof/>
                <w:webHidden/>
              </w:rPr>
              <w:fldChar w:fldCharType="begin"/>
            </w:r>
            <w:r w:rsidR="00FD58BF">
              <w:rPr>
                <w:noProof/>
                <w:webHidden/>
              </w:rPr>
              <w:instrText xml:space="preserve"> PAGEREF _Toc178838324 \h </w:instrText>
            </w:r>
            <w:r w:rsidR="00FD58BF">
              <w:rPr>
                <w:noProof/>
                <w:webHidden/>
              </w:rPr>
            </w:r>
            <w:r w:rsidR="00FD58BF">
              <w:rPr>
                <w:noProof/>
                <w:webHidden/>
              </w:rPr>
              <w:fldChar w:fldCharType="separate"/>
            </w:r>
            <w:r w:rsidR="00FD58BF">
              <w:rPr>
                <w:noProof/>
                <w:webHidden/>
              </w:rPr>
              <w:t>761</w:t>
            </w:r>
            <w:r w:rsidR="00FD58BF">
              <w:rPr>
                <w:noProof/>
                <w:webHidden/>
              </w:rPr>
              <w:fldChar w:fldCharType="end"/>
            </w:r>
          </w:hyperlink>
        </w:p>
        <w:p w14:paraId="04FE9E9A" w14:textId="0F69B45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5" w:history="1">
            <w:r w:rsidR="00FD58BF" w:rsidRPr="003004E5">
              <w:rPr>
                <w:rStyle w:val="Lienhypertexte"/>
                <w:noProof/>
              </w:rPr>
              <w:t>23.12.5f Entraits en aluminium CCTB 01.04</w:t>
            </w:r>
            <w:r w:rsidR="00FD58BF">
              <w:rPr>
                <w:noProof/>
                <w:webHidden/>
              </w:rPr>
              <w:tab/>
            </w:r>
            <w:r w:rsidR="00FD58BF">
              <w:rPr>
                <w:noProof/>
                <w:webHidden/>
              </w:rPr>
              <w:fldChar w:fldCharType="begin"/>
            </w:r>
            <w:r w:rsidR="00FD58BF">
              <w:rPr>
                <w:noProof/>
                <w:webHidden/>
              </w:rPr>
              <w:instrText xml:space="preserve"> PAGEREF _Toc178838325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3717391C" w14:textId="5FC778D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6" w:history="1">
            <w:r w:rsidR="00FD58BF" w:rsidRPr="003004E5">
              <w:rPr>
                <w:rStyle w:val="Lienhypertexte"/>
                <w:noProof/>
              </w:rPr>
              <w:t>23.12.5g Chevêtres en aluminium CCTB 01.04</w:t>
            </w:r>
            <w:r w:rsidR="00FD58BF">
              <w:rPr>
                <w:noProof/>
                <w:webHidden/>
              </w:rPr>
              <w:tab/>
            </w:r>
            <w:r w:rsidR="00FD58BF">
              <w:rPr>
                <w:noProof/>
                <w:webHidden/>
              </w:rPr>
              <w:fldChar w:fldCharType="begin"/>
            </w:r>
            <w:r w:rsidR="00FD58BF">
              <w:rPr>
                <w:noProof/>
                <w:webHidden/>
              </w:rPr>
              <w:instrText xml:space="preserve"> PAGEREF _Toc178838326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10F6C5BC" w14:textId="4818510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7" w:history="1">
            <w:r w:rsidR="00FD58BF" w:rsidRPr="003004E5">
              <w:rPr>
                <w:rStyle w:val="Lienhypertexte"/>
                <w:noProof/>
              </w:rPr>
              <w:t>23.12.5h Chevrons en aluminium CCTB 01.04</w:t>
            </w:r>
            <w:r w:rsidR="00FD58BF">
              <w:rPr>
                <w:noProof/>
                <w:webHidden/>
              </w:rPr>
              <w:tab/>
            </w:r>
            <w:r w:rsidR="00FD58BF">
              <w:rPr>
                <w:noProof/>
                <w:webHidden/>
              </w:rPr>
              <w:fldChar w:fldCharType="begin"/>
            </w:r>
            <w:r w:rsidR="00FD58BF">
              <w:rPr>
                <w:noProof/>
                <w:webHidden/>
              </w:rPr>
              <w:instrText xml:space="preserve"> PAGEREF _Toc178838327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660C799D" w14:textId="770BAD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8" w:history="1">
            <w:r w:rsidR="00FD58BF" w:rsidRPr="003004E5">
              <w:rPr>
                <w:rStyle w:val="Lienhypertexte"/>
                <w:noProof/>
              </w:rPr>
              <w:t>23.12.5i Voliges et panneaux en aluminium CCTB 01.04</w:t>
            </w:r>
            <w:r w:rsidR="00FD58BF">
              <w:rPr>
                <w:noProof/>
                <w:webHidden/>
              </w:rPr>
              <w:tab/>
            </w:r>
            <w:r w:rsidR="00FD58BF">
              <w:rPr>
                <w:noProof/>
                <w:webHidden/>
              </w:rPr>
              <w:fldChar w:fldCharType="begin"/>
            </w:r>
            <w:r w:rsidR="00FD58BF">
              <w:rPr>
                <w:noProof/>
                <w:webHidden/>
              </w:rPr>
              <w:instrText xml:space="preserve"> PAGEREF _Toc178838328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07A25E58" w14:textId="59FA2EFC"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29" w:history="1">
            <w:r w:rsidR="00FD58BF" w:rsidRPr="003004E5">
              <w:rPr>
                <w:rStyle w:val="Lienhypertexte"/>
                <w:noProof/>
              </w:rPr>
              <w:t>23.13 Linteaux métalliques CCTB 01.11</w:t>
            </w:r>
            <w:r w:rsidR="00FD58BF">
              <w:rPr>
                <w:noProof/>
                <w:webHidden/>
              </w:rPr>
              <w:tab/>
            </w:r>
            <w:r w:rsidR="00FD58BF">
              <w:rPr>
                <w:noProof/>
                <w:webHidden/>
              </w:rPr>
              <w:fldChar w:fldCharType="begin"/>
            </w:r>
            <w:r w:rsidR="00FD58BF">
              <w:rPr>
                <w:noProof/>
                <w:webHidden/>
              </w:rPr>
              <w:instrText xml:space="preserve"> PAGEREF _Toc178838329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7B0A156E" w14:textId="021DDDB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0" w:history="1">
            <w:r w:rsidR="00FD58BF" w:rsidRPr="003004E5">
              <w:rPr>
                <w:rStyle w:val="Lienhypertexte"/>
                <w:noProof/>
              </w:rPr>
              <w:t>23.13.1 Linteaux en acier laminés à chaud CCTB 01.02</w:t>
            </w:r>
            <w:r w:rsidR="00FD58BF">
              <w:rPr>
                <w:noProof/>
                <w:webHidden/>
              </w:rPr>
              <w:tab/>
            </w:r>
            <w:r w:rsidR="00FD58BF">
              <w:rPr>
                <w:noProof/>
                <w:webHidden/>
              </w:rPr>
              <w:fldChar w:fldCharType="begin"/>
            </w:r>
            <w:r w:rsidR="00FD58BF">
              <w:rPr>
                <w:noProof/>
                <w:webHidden/>
              </w:rPr>
              <w:instrText xml:space="preserve"> PAGEREF _Toc178838330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4CE51765" w14:textId="5A293DA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1" w:history="1">
            <w:r w:rsidR="00FD58BF" w:rsidRPr="003004E5">
              <w:rPr>
                <w:rStyle w:val="Lienhypertexte"/>
                <w:noProof/>
              </w:rPr>
              <w:t>23.13.1a Linteaux en acier laminés à chaud CCTB 01.02</w:t>
            </w:r>
            <w:r w:rsidR="00FD58BF">
              <w:rPr>
                <w:noProof/>
                <w:webHidden/>
              </w:rPr>
              <w:tab/>
            </w:r>
            <w:r w:rsidR="00FD58BF">
              <w:rPr>
                <w:noProof/>
                <w:webHidden/>
              </w:rPr>
              <w:fldChar w:fldCharType="begin"/>
            </w:r>
            <w:r w:rsidR="00FD58BF">
              <w:rPr>
                <w:noProof/>
                <w:webHidden/>
              </w:rPr>
              <w:instrText xml:space="preserve"> PAGEREF _Toc178838331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0BBF500B" w14:textId="460F8A9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2" w:history="1">
            <w:r w:rsidR="00FD58BF" w:rsidRPr="003004E5">
              <w:rPr>
                <w:rStyle w:val="Lienhypertexte"/>
                <w:noProof/>
              </w:rPr>
              <w:t>23.13.2 Linteaux en acier formés à froid CCTB 01.10</w:t>
            </w:r>
            <w:r w:rsidR="00FD58BF">
              <w:rPr>
                <w:noProof/>
                <w:webHidden/>
              </w:rPr>
              <w:tab/>
            </w:r>
            <w:r w:rsidR="00FD58BF">
              <w:rPr>
                <w:noProof/>
                <w:webHidden/>
              </w:rPr>
              <w:fldChar w:fldCharType="begin"/>
            </w:r>
            <w:r w:rsidR="00FD58BF">
              <w:rPr>
                <w:noProof/>
                <w:webHidden/>
              </w:rPr>
              <w:instrText xml:space="preserve"> PAGEREF _Toc178838332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456E5B03" w14:textId="5E8974F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3" w:history="1">
            <w:r w:rsidR="00FD58BF" w:rsidRPr="003004E5">
              <w:rPr>
                <w:rStyle w:val="Lienhypertexte"/>
                <w:noProof/>
              </w:rPr>
              <w:t>23.13.2a Linteaux en acier formés à froid CCTB 01.10</w:t>
            </w:r>
            <w:r w:rsidR="00FD58BF">
              <w:rPr>
                <w:noProof/>
                <w:webHidden/>
              </w:rPr>
              <w:tab/>
            </w:r>
            <w:r w:rsidR="00FD58BF">
              <w:rPr>
                <w:noProof/>
                <w:webHidden/>
              </w:rPr>
              <w:fldChar w:fldCharType="begin"/>
            </w:r>
            <w:r w:rsidR="00FD58BF">
              <w:rPr>
                <w:noProof/>
                <w:webHidden/>
              </w:rPr>
              <w:instrText xml:space="preserve"> PAGEREF _Toc178838333 \h </w:instrText>
            </w:r>
            <w:r w:rsidR="00FD58BF">
              <w:rPr>
                <w:noProof/>
                <w:webHidden/>
              </w:rPr>
            </w:r>
            <w:r w:rsidR="00FD58BF">
              <w:rPr>
                <w:noProof/>
                <w:webHidden/>
              </w:rPr>
              <w:fldChar w:fldCharType="separate"/>
            </w:r>
            <w:r w:rsidR="00FD58BF">
              <w:rPr>
                <w:noProof/>
                <w:webHidden/>
              </w:rPr>
              <w:t>762</w:t>
            </w:r>
            <w:r w:rsidR="00FD58BF">
              <w:rPr>
                <w:noProof/>
                <w:webHidden/>
              </w:rPr>
              <w:fldChar w:fldCharType="end"/>
            </w:r>
          </w:hyperlink>
        </w:p>
        <w:p w14:paraId="35A65197" w14:textId="02293E0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4" w:history="1">
            <w:r w:rsidR="00FD58BF" w:rsidRPr="003004E5">
              <w:rPr>
                <w:rStyle w:val="Lienhypertexte"/>
                <w:noProof/>
              </w:rPr>
              <w:t>23.13.3 Linteaux en acier inoxydable laminés à chaud CCTB 01.10</w:t>
            </w:r>
            <w:r w:rsidR="00FD58BF">
              <w:rPr>
                <w:noProof/>
                <w:webHidden/>
              </w:rPr>
              <w:tab/>
            </w:r>
            <w:r w:rsidR="00FD58BF">
              <w:rPr>
                <w:noProof/>
                <w:webHidden/>
              </w:rPr>
              <w:fldChar w:fldCharType="begin"/>
            </w:r>
            <w:r w:rsidR="00FD58BF">
              <w:rPr>
                <w:noProof/>
                <w:webHidden/>
              </w:rPr>
              <w:instrText xml:space="preserve"> PAGEREF _Toc178838334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4894DCFB" w14:textId="63BD6A7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5" w:history="1">
            <w:r w:rsidR="00FD58BF" w:rsidRPr="003004E5">
              <w:rPr>
                <w:rStyle w:val="Lienhypertexte"/>
                <w:noProof/>
              </w:rPr>
              <w:t>23.13.3a Linteaux en acier inoxydable laminés à chaud CCTB 01.10</w:t>
            </w:r>
            <w:r w:rsidR="00FD58BF">
              <w:rPr>
                <w:noProof/>
                <w:webHidden/>
              </w:rPr>
              <w:tab/>
            </w:r>
            <w:r w:rsidR="00FD58BF">
              <w:rPr>
                <w:noProof/>
                <w:webHidden/>
              </w:rPr>
              <w:fldChar w:fldCharType="begin"/>
            </w:r>
            <w:r w:rsidR="00FD58BF">
              <w:rPr>
                <w:noProof/>
                <w:webHidden/>
              </w:rPr>
              <w:instrText xml:space="preserve"> PAGEREF _Toc178838335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11EE5BD5" w14:textId="7FC45EA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6" w:history="1">
            <w:r w:rsidR="00FD58BF" w:rsidRPr="003004E5">
              <w:rPr>
                <w:rStyle w:val="Lienhypertexte"/>
                <w:noProof/>
              </w:rPr>
              <w:t>23.13.4 Linteaux en acier inoxydable formés à froid CCTB 01.10</w:t>
            </w:r>
            <w:r w:rsidR="00FD58BF">
              <w:rPr>
                <w:noProof/>
                <w:webHidden/>
              </w:rPr>
              <w:tab/>
            </w:r>
            <w:r w:rsidR="00FD58BF">
              <w:rPr>
                <w:noProof/>
                <w:webHidden/>
              </w:rPr>
              <w:fldChar w:fldCharType="begin"/>
            </w:r>
            <w:r w:rsidR="00FD58BF">
              <w:rPr>
                <w:noProof/>
                <w:webHidden/>
              </w:rPr>
              <w:instrText xml:space="preserve"> PAGEREF _Toc178838336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0045BB45" w14:textId="7D97D02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7" w:history="1">
            <w:r w:rsidR="00FD58BF" w:rsidRPr="003004E5">
              <w:rPr>
                <w:rStyle w:val="Lienhypertexte"/>
                <w:noProof/>
              </w:rPr>
              <w:t>23.13.4a Linteaux en acier inoxydable formés à froid CCTB 01.10</w:t>
            </w:r>
            <w:r w:rsidR="00FD58BF">
              <w:rPr>
                <w:noProof/>
                <w:webHidden/>
              </w:rPr>
              <w:tab/>
            </w:r>
            <w:r w:rsidR="00FD58BF">
              <w:rPr>
                <w:noProof/>
                <w:webHidden/>
              </w:rPr>
              <w:fldChar w:fldCharType="begin"/>
            </w:r>
            <w:r w:rsidR="00FD58BF">
              <w:rPr>
                <w:noProof/>
                <w:webHidden/>
              </w:rPr>
              <w:instrText xml:space="preserve"> PAGEREF _Toc178838337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0E2E0516" w14:textId="2A7AB76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8" w:history="1">
            <w:r w:rsidR="00FD58BF" w:rsidRPr="003004E5">
              <w:rPr>
                <w:rStyle w:val="Lienhypertexte"/>
                <w:noProof/>
              </w:rPr>
              <w:t>23.13.5 Linteaux en aluminium CCTB 01.10</w:t>
            </w:r>
            <w:r w:rsidR="00FD58BF">
              <w:rPr>
                <w:noProof/>
                <w:webHidden/>
              </w:rPr>
              <w:tab/>
            </w:r>
            <w:r w:rsidR="00FD58BF">
              <w:rPr>
                <w:noProof/>
                <w:webHidden/>
              </w:rPr>
              <w:fldChar w:fldCharType="begin"/>
            </w:r>
            <w:r w:rsidR="00FD58BF">
              <w:rPr>
                <w:noProof/>
                <w:webHidden/>
              </w:rPr>
              <w:instrText xml:space="preserve"> PAGEREF _Toc178838338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1685C742" w14:textId="2910026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9" w:history="1">
            <w:r w:rsidR="00FD58BF" w:rsidRPr="003004E5">
              <w:rPr>
                <w:rStyle w:val="Lienhypertexte"/>
                <w:noProof/>
              </w:rPr>
              <w:t>23.13.5a Linteaux en aluminium CCTB 01.10</w:t>
            </w:r>
            <w:r w:rsidR="00FD58BF">
              <w:rPr>
                <w:noProof/>
                <w:webHidden/>
              </w:rPr>
              <w:tab/>
            </w:r>
            <w:r w:rsidR="00FD58BF">
              <w:rPr>
                <w:noProof/>
                <w:webHidden/>
              </w:rPr>
              <w:fldChar w:fldCharType="begin"/>
            </w:r>
            <w:r w:rsidR="00FD58BF">
              <w:rPr>
                <w:noProof/>
                <w:webHidden/>
              </w:rPr>
              <w:instrText xml:space="preserve"> PAGEREF _Toc178838339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2539DB8B" w14:textId="4EDF6D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0" w:history="1">
            <w:r w:rsidR="00FD58BF" w:rsidRPr="003004E5">
              <w:rPr>
                <w:rStyle w:val="Lienhypertexte"/>
                <w:noProof/>
              </w:rPr>
              <w:t>23.13.6 Cornières de soutien de parement en profilés d'acier CCTB 01.02</w:t>
            </w:r>
            <w:r w:rsidR="00FD58BF">
              <w:rPr>
                <w:noProof/>
                <w:webHidden/>
              </w:rPr>
              <w:tab/>
            </w:r>
            <w:r w:rsidR="00FD58BF">
              <w:rPr>
                <w:noProof/>
                <w:webHidden/>
              </w:rPr>
              <w:fldChar w:fldCharType="begin"/>
            </w:r>
            <w:r w:rsidR="00FD58BF">
              <w:rPr>
                <w:noProof/>
                <w:webHidden/>
              </w:rPr>
              <w:instrText xml:space="preserve"> PAGEREF _Toc178838340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37A821BE" w14:textId="2C999FD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41" w:history="1">
            <w:r w:rsidR="00FD58BF" w:rsidRPr="003004E5">
              <w:rPr>
                <w:rStyle w:val="Lienhypertexte"/>
                <w:noProof/>
              </w:rPr>
              <w:t>23.14 Colonnes métalliques CCTB 01.11</w:t>
            </w:r>
            <w:r w:rsidR="00FD58BF">
              <w:rPr>
                <w:noProof/>
                <w:webHidden/>
              </w:rPr>
              <w:tab/>
            </w:r>
            <w:r w:rsidR="00FD58BF">
              <w:rPr>
                <w:noProof/>
                <w:webHidden/>
              </w:rPr>
              <w:fldChar w:fldCharType="begin"/>
            </w:r>
            <w:r w:rsidR="00FD58BF">
              <w:rPr>
                <w:noProof/>
                <w:webHidden/>
              </w:rPr>
              <w:instrText xml:space="preserve"> PAGEREF _Toc178838341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4823558F" w14:textId="3E634C2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2" w:history="1">
            <w:r w:rsidR="00FD58BF" w:rsidRPr="003004E5">
              <w:rPr>
                <w:rStyle w:val="Lienhypertexte"/>
                <w:noProof/>
              </w:rPr>
              <w:t>23.14.1 Colonnes en acier laminées à chaud CCTB 01.04</w:t>
            </w:r>
            <w:r w:rsidR="00FD58BF">
              <w:rPr>
                <w:noProof/>
                <w:webHidden/>
              </w:rPr>
              <w:tab/>
            </w:r>
            <w:r w:rsidR="00FD58BF">
              <w:rPr>
                <w:noProof/>
                <w:webHidden/>
              </w:rPr>
              <w:fldChar w:fldCharType="begin"/>
            </w:r>
            <w:r w:rsidR="00FD58BF">
              <w:rPr>
                <w:noProof/>
                <w:webHidden/>
              </w:rPr>
              <w:instrText xml:space="preserve"> PAGEREF _Toc178838342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0E961922" w14:textId="031D8B9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3" w:history="1">
            <w:r w:rsidR="00FD58BF" w:rsidRPr="003004E5">
              <w:rPr>
                <w:rStyle w:val="Lienhypertexte"/>
                <w:noProof/>
              </w:rPr>
              <w:t>23.14.1a Colonnes en profilés en acier laminés à chaud CCTB 01.11</w:t>
            </w:r>
            <w:r w:rsidR="00FD58BF">
              <w:rPr>
                <w:noProof/>
                <w:webHidden/>
              </w:rPr>
              <w:tab/>
            </w:r>
            <w:r w:rsidR="00FD58BF">
              <w:rPr>
                <w:noProof/>
                <w:webHidden/>
              </w:rPr>
              <w:fldChar w:fldCharType="begin"/>
            </w:r>
            <w:r w:rsidR="00FD58BF">
              <w:rPr>
                <w:noProof/>
                <w:webHidden/>
              </w:rPr>
              <w:instrText xml:space="preserve"> PAGEREF _Toc178838343 \h </w:instrText>
            </w:r>
            <w:r w:rsidR="00FD58BF">
              <w:rPr>
                <w:noProof/>
                <w:webHidden/>
              </w:rPr>
            </w:r>
            <w:r w:rsidR="00FD58BF">
              <w:rPr>
                <w:noProof/>
                <w:webHidden/>
              </w:rPr>
              <w:fldChar w:fldCharType="separate"/>
            </w:r>
            <w:r w:rsidR="00FD58BF">
              <w:rPr>
                <w:noProof/>
                <w:webHidden/>
              </w:rPr>
              <w:t>763</w:t>
            </w:r>
            <w:r w:rsidR="00FD58BF">
              <w:rPr>
                <w:noProof/>
                <w:webHidden/>
              </w:rPr>
              <w:fldChar w:fldCharType="end"/>
            </w:r>
          </w:hyperlink>
        </w:p>
        <w:p w14:paraId="2F4EDA16" w14:textId="23DDE8F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4" w:history="1">
            <w:r w:rsidR="00FD58BF" w:rsidRPr="003004E5">
              <w:rPr>
                <w:rStyle w:val="Lienhypertexte"/>
                <w:noProof/>
              </w:rPr>
              <w:t>23.14.1b Colonnes reconstituées en profilés d'acier CCTB 01.11</w:t>
            </w:r>
            <w:r w:rsidR="00FD58BF">
              <w:rPr>
                <w:noProof/>
                <w:webHidden/>
              </w:rPr>
              <w:tab/>
            </w:r>
            <w:r w:rsidR="00FD58BF">
              <w:rPr>
                <w:noProof/>
                <w:webHidden/>
              </w:rPr>
              <w:fldChar w:fldCharType="begin"/>
            </w:r>
            <w:r w:rsidR="00FD58BF">
              <w:rPr>
                <w:noProof/>
                <w:webHidden/>
              </w:rPr>
              <w:instrText xml:space="preserve"> PAGEREF _Toc178838344 \h </w:instrText>
            </w:r>
            <w:r w:rsidR="00FD58BF">
              <w:rPr>
                <w:noProof/>
                <w:webHidden/>
              </w:rPr>
            </w:r>
            <w:r w:rsidR="00FD58BF">
              <w:rPr>
                <w:noProof/>
                <w:webHidden/>
              </w:rPr>
              <w:fldChar w:fldCharType="separate"/>
            </w:r>
            <w:r w:rsidR="00FD58BF">
              <w:rPr>
                <w:noProof/>
                <w:webHidden/>
              </w:rPr>
              <w:t>765</w:t>
            </w:r>
            <w:r w:rsidR="00FD58BF">
              <w:rPr>
                <w:noProof/>
                <w:webHidden/>
              </w:rPr>
              <w:fldChar w:fldCharType="end"/>
            </w:r>
          </w:hyperlink>
        </w:p>
        <w:p w14:paraId="7F114253" w14:textId="0A19D3D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5" w:history="1">
            <w:r w:rsidR="00FD58BF" w:rsidRPr="003004E5">
              <w:rPr>
                <w:rStyle w:val="Lienhypertexte"/>
                <w:noProof/>
              </w:rPr>
              <w:t>23.14.1c Colonnes en treillis en acier CCTB 01.11</w:t>
            </w:r>
            <w:r w:rsidR="00FD58BF">
              <w:rPr>
                <w:noProof/>
                <w:webHidden/>
              </w:rPr>
              <w:tab/>
            </w:r>
            <w:r w:rsidR="00FD58BF">
              <w:rPr>
                <w:noProof/>
                <w:webHidden/>
              </w:rPr>
              <w:fldChar w:fldCharType="begin"/>
            </w:r>
            <w:r w:rsidR="00FD58BF">
              <w:rPr>
                <w:noProof/>
                <w:webHidden/>
              </w:rPr>
              <w:instrText xml:space="preserve"> PAGEREF _Toc178838345 \h </w:instrText>
            </w:r>
            <w:r w:rsidR="00FD58BF">
              <w:rPr>
                <w:noProof/>
                <w:webHidden/>
              </w:rPr>
            </w:r>
            <w:r w:rsidR="00FD58BF">
              <w:rPr>
                <w:noProof/>
                <w:webHidden/>
              </w:rPr>
              <w:fldChar w:fldCharType="separate"/>
            </w:r>
            <w:r w:rsidR="00FD58BF">
              <w:rPr>
                <w:noProof/>
                <w:webHidden/>
              </w:rPr>
              <w:t>767</w:t>
            </w:r>
            <w:r w:rsidR="00FD58BF">
              <w:rPr>
                <w:noProof/>
                <w:webHidden/>
              </w:rPr>
              <w:fldChar w:fldCharType="end"/>
            </w:r>
          </w:hyperlink>
        </w:p>
        <w:p w14:paraId="542A5D2B" w14:textId="60191A3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6" w:history="1">
            <w:r w:rsidR="00FD58BF" w:rsidRPr="003004E5">
              <w:rPr>
                <w:rStyle w:val="Lienhypertexte"/>
                <w:noProof/>
              </w:rPr>
              <w:t>23.14.1d Colonnes alvéolaires en acier CCTB 01.11</w:t>
            </w:r>
            <w:r w:rsidR="00FD58BF">
              <w:rPr>
                <w:noProof/>
                <w:webHidden/>
              </w:rPr>
              <w:tab/>
            </w:r>
            <w:r w:rsidR="00FD58BF">
              <w:rPr>
                <w:noProof/>
                <w:webHidden/>
              </w:rPr>
              <w:fldChar w:fldCharType="begin"/>
            </w:r>
            <w:r w:rsidR="00FD58BF">
              <w:rPr>
                <w:noProof/>
                <w:webHidden/>
              </w:rPr>
              <w:instrText xml:space="preserve"> PAGEREF _Toc178838346 \h </w:instrText>
            </w:r>
            <w:r w:rsidR="00FD58BF">
              <w:rPr>
                <w:noProof/>
                <w:webHidden/>
              </w:rPr>
            </w:r>
            <w:r w:rsidR="00FD58BF">
              <w:rPr>
                <w:noProof/>
                <w:webHidden/>
              </w:rPr>
              <w:fldChar w:fldCharType="separate"/>
            </w:r>
            <w:r w:rsidR="00FD58BF">
              <w:rPr>
                <w:noProof/>
                <w:webHidden/>
              </w:rPr>
              <w:t>769</w:t>
            </w:r>
            <w:r w:rsidR="00FD58BF">
              <w:rPr>
                <w:noProof/>
                <w:webHidden/>
              </w:rPr>
              <w:fldChar w:fldCharType="end"/>
            </w:r>
          </w:hyperlink>
        </w:p>
        <w:p w14:paraId="78450D90" w14:textId="32438AA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7" w:history="1">
            <w:r w:rsidR="00FD58BF" w:rsidRPr="003004E5">
              <w:rPr>
                <w:rStyle w:val="Lienhypertexte"/>
                <w:noProof/>
              </w:rPr>
              <w:t>23.14.1e Colonnes en éléments tubulaires en acier CCTB 01.04</w:t>
            </w:r>
            <w:r w:rsidR="00FD58BF">
              <w:rPr>
                <w:noProof/>
                <w:webHidden/>
              </w:rPr>
              <w:tab/>
            </w:r>
            <w:r w:rsidR="00FD58BF">
              <w:rPr>
                <w:noProof/>
                <w:webHidden/>
              </w:rPr>
              <w:fldChar w:fldCharType="begin"/>
            </w:r>
            <w:r w:rsidR="00FD58BF">
              <w:rPr>
                <w:noProof/>
                <w:webHidden/>
              </w:rPr>
              <w:instrText xml:space="preserve"> PAGEREF _Toc178838347 \h </w:instrText>
            </w:r>
            <w:r w:rsidR="00FD58BF">
              <w:rPr>
                <w:noProof/>
                <w:webHidden/>
              </w:rPr>
            </w:r>
            <w:r w:rsidR="00FD58BF">
              <w:rPr>
                <w:noProof/>
                <w:webHidden/>
              </w:rPr>
              <w:fldChar w:fldCharType="separate"/>
            </w:r>
            <w:r w:rsidR="00FD58BF">
              <w:rPr>
                <w:noProof/>
                <w:webHidden/>
              </w:rPr>
              <w:t>771</w:t>
            </w:r>
            <w:r w:rsidR="00FD58BF">
              <w:rPr>
                <w:noProof/>
                <w:webHidden/>
              </w:rPr>
              <w:fldChar w:fldCharType="end"/>
            </w:r>
          </w:hyperlink>
        </w:p>
        <w:p w14:paraId="0C265071" w14:textId="31382EA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8" w:history="1">
            <w:r w:rsidR="00FD58BF" w:rsidRPr="003004E5">
              <w:rPr>
                <w:rStyle w:val="Lienhypertexte"/>
                <w:noProof/>
              </w:rPr>
              <w:t>23.14.2 Colonnes en acier formées à froid CCTB 01.07</w:t>
            </w:r>
            <w:r w:rsidR="00FD58BF">
              <w:rPr>
                <w:noProof/>
                <w:webHidden/>
              </w:rPr>
              <w:tab/>
            </w:r>
            <w:r w:rsidR="00FD58BF">
              <w:rPr>
                <w:noProof/>
                <w:webHidden/>
              </w:rPr>
              <w:fldChar w:fldCharType="begin"/>
            </w:r>
            <w:r w:rsidR="00FD58BF">
              <w:rPr>
                <w:noProof/>
                <w:webHidden/>
              </w:rPr>
              <w:instrText xml:space="preserve"> PAGEREF _Toc178838348 \h </w:instrText>
            </w:r>
            <w:r w:rsidR="00FD58BF">
              <w:rPr>
                <w:noProof/>
                <w:webHidden/>
              </w:rPr>
            </w:r>
            <w:r w:rsidR="00FD58BF">
              <w:rPr>
                <w:noProof/>
                <w:webHidden/>
              </w:rPr>
              <w:fldChar w:fldCharType="separate"/>
            </w:r>
            <w:r w:rsidR="00FD58BF">
              <w:rPr>
                <w:noProof/>
                <w:webHidden/>
              </w:rPr>
              <w:t>771</w:t>
            </w:r>
            <w:r w:rsidR="00FD58BF">
              <w:rPr>
                <w:noProof/>
                <w:webHidden/>
              </w:rPr>
              <w:fldChar w:fldCharType="end"/>
            </w:r>
          </w:hyperlink>
        </w:p>
        <w:p w14:paraId="34E8ADBB" w14:textId="55C43C6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9" w:history="1">
            <w:r w:rsidR="00FD58BF" w:rsidRPr="003004E5">
              <w:rPr>
                <w:rStyle w:val="Lienhypertexte"/>
                <w:noProof/>
              </w:rPr>
              <w:t>23.14.2a Colonnes en acier formées à froid CCTB 01.11</w:t>
            </w:r>
            <w:r w:rsidR="00FD58BF">
              <w:rPr>
                <w:noProof/>
                <w:webHidden/>
              </w:rPr>
              <w:tab/>
            </w:r>
            <w:r w:rsidR="00FD58BF">
              <w:rPr>
                <w:noProof/>
                <w:webHidden/>
              </w:rPr>
              <w:fldChar w:fldCharType="begin"/>
            </w:r>
            <w:r w:rsidR="00FD58BF">
              <w:rPr>
                <w:noProof/>
                <w:webHidden/>
              </w:rPr>
              <w:instrText xml:space="preserve"> PAGEREF _Toc178838349 \h </w:instrText>
            </w:r>
            <w:r w:rsidR="00FD58BF">
              <w:rPr>
                <w:noProof/>
                <w:webHidden/>
              </w:rPr>
            </w:r>
            <w:r w:rsidR="00FD58BF">
              <w:rPr>
                <w:noProof/>
                <w:webHidden/>
              </w:rPr>
              <w:fldChar w:fldCharType="separate"/>
            </w:r>
            <w:r w:rsidR="00FD58BF">
              <w:rPr>
                <w:noProof/>
                <w:webHidden/>
              </w:rPr>
              <w:t>772</w:t>
            </w:r>
            <w:r w:rsidR="00FD58BF">
              <w:rPr>
                <w:noProof/>
                <w:webHidden/>
              </w:rPr>
              <w:fldChar w:fldCharType="end"/>
            </w:r>
          </w:hyperlink>
        </w:p>
        <w:p w14:paraId="5D5DBEFD" w14:textId="57785A3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0" w:history="1">
            <w:r w:rsidR="00FD58BF" w:rsidRPr="003004E5">
              <w:rPr>
                <w:rStyle w:val="Lienhypertexte"/>
                <w:noProof/>
              </w:rPr>
              <w:t>23.14.3 Colonnes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_Toc178838350 \h </w:instrText>
            </w:r>
            <w:r w:rsidR="00FD58BF">
              <w:rPr>
                <w:noProof/>
                <w:webHidden/>
              </w:rPr>
            </w:r>
            <w:r w:rsidR="00FD58BF">
              <w:rPr>
                <w:noProof/>
                <w:webHidden/>
              </w:rPr>
              <w:fldChar w:fldCharType="separate"/>
            </w:r>
            <w:r w:rsidR="00FD58BF">
              <w:rPr>
                <w:noProof/>
                <w:webHidden/>
              </w:rPr>
              <w:t>774</w:t>
            </w:r>
            <w:r w:rsidR="00FD58BF">
              <w:rPr>
                <w:noProof/>
                <w:webHidden/>
              </w:rPr>
              <w:fldChar w:fldCharType="end"/>
            </w:r>
          </w:hyperlink>
        </w:p>
        <w:p w14:paraId="7074EADD" w14:textId="162CE81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1" w:history="1">
            <w:r w:rsidR="00FD58BF" w:rsidRPr="003004E5">
              <w:rPr>
                <w:rStyle w:val="Lienhypertexte"/>
                <w:noProof/>
              </w:rPr>
              <w:t>23.14.3a Colonnes en profilés en acier inoxydable laminés à chaud CCTB 01.11</w:t>
            </w:r>
            <w:r w:rsidR="00FD58BF">
              <w:rPr>
                <w:noProof/>
                <w:webHidden/>
              </w:rPr>
              <w:tab/>
            </w:r>
            <w:r w:rsidR="00FD58BF">
              <w:rPr>
                <w:noProof/>
                <w:webHidden/>
              </w:rPr>
              <w:fldChar w:fldCharType="begin"/>
            </w:r>
            <w:r w:rsidR="00FD58BF">
              <w:rPr>
                <w:noProof/>
                <w:webHidden/>
              </w:rPr>
              <w:instrText xml:space="preserve"> PAGEREF _Toc178838351 \h </w:instrText>
            </w:r>
            <w:r w:rsidR="00FD58BF">
              <w:rPr>
                <w:noProof/>
                <w:webHidden/>
              </w:rPr>
            </w:r>
            <w:r w:rsidR="00FD58BF">
              <w:rPr>
                <w:noProof/>
                <w:webHidden/>
              </w:rPr>
              <w:fldChar w:fldCharType="separate"/>
            </w:r>
            <w:r w:rsidR="00FD58BF">
              <w:rPr>
                <w:noProof/>
                <w:webHidden/>
              </w:rPr>
              <w:t>774</w:t>
            </w:r>
            <w:r w:rsidR="00FD58BF">
              <w:rPr>
                <w:noProof/>
                <w:webHidden/>
              </w:rPr>
              <w:fldChar w:fldCharType="end"/>
            </w:r>
          </w:hyperlink>
        </w:p>
        <w:p w14:paraId="50632342" w14:textId="4C45753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2" w:history="1">
            <w:r w:rsidR="00FD58BF" w:rsidRPr="003004E5">
              <w:rPr>
                <w:rStyle w:val="Lienhypertexte"/>
                <w:noProof/>
              </w:rPr>
              <w:t>23.14.3b Colonnes reconstituées en profilés d'acier inoxydable CCTB 01.11</w:t>
            </w:r>
            <w:r w:rsidR="00FD58BF">
              <w:rPr>
                <w:noProof/>
                <w:webHidden/>
              </w:rPr>
              <w:tab/>
            </w:r>
            <w:r w:rsidR="00FD58BF">
              <w:rPr>
                <w:noProof/>
                <w:webHidden/>
              </w:rPr>
              <w:fldChar w:fldCharType="begin"/>
            </w:r>
            <w:r w:rsidR="00FD58BF">
              <w:rPr>
                <w:noProof/>
                <w:webHidden/>
              </w:rPr>
              <w:instrText xml:space="preserve"> PAGEREF _Toc178838352 \h </w:instrText>
            </w:r>
            <w:r w:rsidR="00FD58BF">
              <w:rPr>
                <w:noProof/>
                <w:webHidden/>
              </w:rPr>
            </w:r>
            <w:r w:rsidR="00FD58BF">
              <w:rPr>
                <w:noProof/>
                <w:webHidden/>
              </w:rPr>
              <w:fldChar w:fldCharType="separate"/>
            </w:r>
            <w:r w:rsidR="00FD58BF">
              <w:rPr>
                <w:noProof/>
                <w:webHidden/>
              </w:rPr>
              <w:t>776</w:t>
            </w:r>
            <w:r w:rsidR="00FD58BF">
              <w:rPr>
                <w:noProof/>
                <w:webHidden/>
              </w:rPr>
              <w:fldChar w:fldCharType="end"/>
            </w:r>
          </w:hyperlink>
        </w:p>
        <w:p w14:paraId="064C884D" w14:textId="0CF5A8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3" w:history="1">
            <w:r w:rsidR="00FD58BF" w:rsidRPr="003004E5">
              <w:rPr>
                <w:rStyle w:val="Lienhypertexte"/>
                <w:noProof/>
              </w:rPr>
              <w:t>23.14.3c Colonnes en treillis en acier inoxydable CCTB 01.11</w:t>
            </w:r>
            <w:r w:rsidR="00FD58BF">
              <w:rPr>
                <w:noProof/>
                <w:webHidden/>
              </w:rPr>
              <w:tab/>
            </w:r>
            <w:r w:rsidR="00FD58BF">
              <w:rPr>
                <w:noProof/>
                <w:webHidden/>
              </w:rPr>
              <w:fldChar w:fldCharType="begin"/>
            </w:r>
            <w:r w:rsidR="00FD58BF">
              <w:rPr>
                <w:noProof/>
                <w:webHidden/>
              </w:rPr>
              <w:instrText xml:space="preserve"> PAGEREF _Toc178838353 \h </w:instrText>
            </w:r>
            <w:r w:rsidR="00FD58BF">
              <w:rPr>
                <w:noProof/>
                <w:webHidden/>
              </w:rPr>
            </w:r>
            <w:r w:rsidR="00FD58BF">
              <w:rPr>
                <w:noProof/>
                <w:webHidden/>
              </w:rPr>
              <w:fldChar w:fldCharType="separate"/>
            </w:r>
            <w:r w:rsidR="00FD58BF">
              <w:rPr>
                <w:noProof/>
                <w:webHidden/>
              </w:rPr>
              <w:t>778</w:t>
            </w:r>
            <w:r w:rsidR="00FD58BF">
              <w:rPr>
                <w:noProof/>
                <w:webHidden/>
              </w:rPr>
              <w:fldChar w:fldCharType="end"/>
            </w:r>
          </w:hyperlink>
        </w:p>
        <w:p w14:paraId="4115A5F9" w14:textId="2940346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4" w:history="1">
            <w:r w:rsidR="00FD58BF" w:rsidRPr="003004E5">
              <w:rPr>
                <w:rStyle w:val="Lienhypertexte"/>
                <w:noProof/>
              </w:rPr>
              <w:t>23.14.3d Colonnes alvéolaires en acier inoxydable CCTB 01.11</w:t>
            </w:r>
            <w:r w:rsidR="00FD58BF">
              <w:rPr>
                <w:noProof/>
                <w:webHidden/>
              </w:rPr>
              <w:tab/>
            </w:r>
            <w:r w:rsidR="00FD58BF">
              <w:rPr>
                <w:noProof/>
                <w:webHidden/>
              </w:rPr>
              <w:fldChar w:fldCharType="begin"/>
            </w:r>
            <w:r w:rsidR="00FD58BF">
              <w:rPr>
                <w:noProof/>
                <w:webHidden/>
              </w:rPr>
              <w:instrText xml:space="preserve"> PAGEREF _Toc178838354 \h </w:instrText>
            </w:r>
            <w:r w:rsidR="00FD58BF">
              <w:rPr>
                <w:noProof/>
                <w:webHidden/>
              </w:rPr>
            </w:r>
            <w:r w:rsidR="00FD58BF">
              <w:rPr>
                <w:noProof/>
                <w:webHidden/>
              </w:rPr>
              <w:fldChar w:fldCharType="separate"/>
            </w:r>
            <w:r w:rsidR="00FD58BF">
              <w:rPr>
                <w:noProof/>
                <w:webHidden/>
              </w:rPr>
              <w:t>780</w:t>
            </w:r>
            <w:r w:rsidR="00FD58BF">
              <w:rPr>
                <w:noProof/>
                <w:webHidden/>
              </w:rPr>
              <w:fldChar w:fldCharType="end"/>
            </w:r>
          </w:hyperlink>
        </w:p>
        <w:p w14:paraId="768D1D8A" w14:textId="6BB6514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5" w:history="1">
            <w:r w:rsidR="00FD58BF" w:rsidRPr="003004E5">
              <w:rPr>
                <w:rStyle w:val="Lienhypertexte"/>
                <w:noProof/>
              </w:rPr>
              <w:t>23.14.3e Colonnes en éléments tubulaires en acier inoxydable CCTB 01.04</w:t>
            </w:r>
            <w:r w:rsidR="00FD58BF">
              <w:rPr>
                <w:noProof/>
                <w:webHidden/>
              </w:rPr>
              <w:tab/>
            </w:r>
            <w:r w:rsidR="00FD58BF">
              <w:rPr>
                <w:noProof/>
                <w:webHidden/>
              </w:rPr>
              <w:fldChar w:fldCharType="begin"/>
            </w:r>
            <w:r w:rsidR="00FD58BF">
              <w:rPr>
                <w:noProof/>
                <w:webHidden/>
              </w:rPr>
              <w:instrText xml:space="preserve"> PAGEREF _Toc178838355 \h </w:instrText>
            </w:r>
            <w:r w:rsidR="00FD58BF">
              <w:rPr>
                <w:noProof/>
                <w:webHidden/>
              </w:rPr>
            </w:r>
            <w:r w:rsidR="00FD58BF">
              <w:rPr>
                <w:noProof/>
                <w:webHidden/>
              </w:rPr>
              <w:fldChar w:fldCharType="separate"/>
            </w:r>
            <w:r w:rsidR="00FD58BF">
              <w:rPr>
                <w:noProof/>
                <w:webHidden/>
              </w:rPr>
              <w:t>782</w:t>
            </w:r>
            <w:r w:rsidR="00FD58BF">
              <w:rPr>
                <w:noProof/>
                <w:webHidden/>
              </w:rPr>
              <w:fldChar w:fldCharType="end"/>
            </w:r>
          </w:hyperlink>
        </w:p>
        <w:p w14:paraId="1EB34067" w14:textId="41D3E21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6" w:history="1">
            <w:r w:rsidR="00FD58BF" w:rsidRPr="003004E5">
              <w:rPr>
                <w:rStyle w:val="Lienhypertexte"/>
                <w:noProof/>
              </w:rPr>
              <w:t>23.14.4 Colonnes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_Toc178838356 \h </w:instrText>
            </w:r>
            <w:r w:rsidR="00FD58BF">
              <w:rPr>
                <w:noProof/>
                <w:webHidden/>
              </w:rPr>
            </w:r>
            <w:r w:rsidR="00FD58BF">
              <w:rPr>
                <w:noProof/>
                <w:webHidden/>
              </w:rPr>
              <w:fldChar w:fldCharType="separate"/>
            </w:r>
            <w:r w:rsidR="00FD58BF">
              <w:rPr>
                <w:noProof/>
                <w:webHidden/>
              </w:rPr>
              <w:t>782</w:t>
            </w:r>
            <w:r w:rsidR="00FD58BF">
              <w:rPr>
                <w:noProof/>
                <w:webHidden/>
              </w:rPr>
              <w:fldChar w:fldCharType="end"/>
            </w:r>
          </w:hyperlink>
        </w:p>
        <w:p w14:paraId="5DBA8044" w14:textId="5E5B59B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7" w:history="1">
            <w:r w:rsidR="00FD58BF" w:rsidRPr="003004E5">
              <w:rPr>
                <w:rStyle w:val="Lienhypertexte"/>
                <w:noProof/>
              </w:rPr>
              <w:t>23.14.4a Colonnes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_Toc178838357 \h </w:instrText>
            </w:r>
            <w:r w:rsidR="00FD58BF">
              <w:rPr>
                <w:noProof/>
                <w:webHidden/>
              </w:rPr>
            </w:r>
            <w:r w:rsidR="00FD58BF">
              <w:rPr>
                <w:noProof/>
                <w:webHidden/>
              </w:rPr>
              <w:fldChar w:fldCharType="separate"/>
            </w:r>
            <w:r w:rsidR="00FD58BF">
              <w:rPr>
                <w:noProof/>
                <w:webHidden/>
              </w:rPr>
              <w:t>782</w:t>
            </w:r>
            <w:r w:rsidR="00FD58BF">
              <w:rPr>
                <w:noProof/>
                <w:webHidden/>
              </w:rPr>
              <w:fldChar w:fldCharType="end"/>
            </w:r>
          </w:hyperlink>
        </w:p>
        <w:p w14:paraId="56D78A2B" w14:textId="604E01A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8" w:history="1">
            <w:r w:rsidR="00FD58BF" w:rsidRPr="003004E5">
              <w:rPr>
                <w:rStyle w:val="Lienhypertexte"/>
                <w:noProof/>
              </w:rPr>
              <w:t>23.14.5 Colonnes en aluminium CCTB 01.04</w:t>
            </w:r>
            <w:r w:rsidR="00FD58BF">
              <w:rPr>
                <w:noProof/>
                <w:webHidden/>
              </w:rPr>
              <w:tab/>
            </w:r>
            <w:r w:rsidR="00FD58BF">
              <w:rPr>
                <w:noProof/>
                <w:webHidden/>
              </w:rPr>
              <w:fldChar w:fldCharType="begin"/>
            </w:r>
            <w:r w:rsidR="00FD58BF">
              <w:rPr>
                <w:noProof/>
                <w:webHidden/>
              </w:rPr>
              <w:instrText xml:space="preserve"> PAGEREF _Toc178838358 \h </w:instrText>
            </w:r>
            <w:r w:rsidR="00FD58BF">
              <w:rPr>
                <w:noProof/>
                <w:webHidden/>
              </w:rPr>
            </w:r>
            <w:r w:rsidR="00FD58BF">
              <w:rPr>
                <w:noProof/>
                <w:webHidden/>
              </w:rPr>
              <w:fldChar w:fldCharType="separate"/>
            </w:r>
            <w:r w:rsidR="00FD58BF">
              <w:rPr>
                <w:noProof/>
                <w:webHidden/>
              </w:rPr>
              <w:t>782</w:t>
            </w:r>
            <w:r w:rsidR="00FD58BF">
              <w:rPr>
                <w:noProof/>
                <w:webHidden/>
              </w:rPr>
              <w:fldChar w:fldCharType="end"/>
            </w:r>
          </w:hyperlink>
        </w:p>
        <w:p w14:paraId="25DC68D1" w14:textId="30D83AC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9" w:history="1">
            <w:r w:rsidR="00FD58BF" w:rsidRPr="003004E5">
              <w:rPr>
                <w:rStyle w:val="Lienhypertexte"/>
                <w:noProof/>
              </w:rPr>
              <w:t>23.14.5a Colonnes en aluminium CCTB 01.04</w:t>
            </w:r>
            <w:r w:rsidR="00FD58BF">
              <w:rPr>
                <w:noProof/>
                <w:webHidden/>
              </w:rPr>
              <w:tab/>
            </w:r>
            <w:r w:rsidR="00FD58BF">
              <w:rPr>
                <w:noProof/>
                <w:webHidden/>
              </w:rPr>
              <w:fldChar w:fldCharType="begin"/>
            </w:r>
            <w:r w:rsidR="00FD58BF">
              <w:rPr>
                <w:noProof/>
                <w:webHidden/>
              </w:rPr>
              <w:instrText xml:space="preserve"> PAGEREF _Toc178838359 \h </w:instrText>
            </w:r>
            <w:r w:rsidR="00FD58BF">
              <w:rPr>
                <w:noProof/>
                <w:webHidden/>
              </w:rPr>
            </w:r>
            <w:r w:rsidR="00FD58BF">
              <w:rPr>
                <w:noProof/>
                <w:webHidden/>
              </w:rPr>
              <w:fldChar w:fldCharType="separate"/>
            </w:r>
            <w:r w:rsidR="00FD58BF">
              <w:rPr>
                <w:noProof/>
                <w:webHidden/>
              </w:rPr>
              <w:t>782</w:t>
            </w:r>
            <w:r w:rsidR="00FD58BF">
              <w:rPr>
                <w:noProof/>
                <w:webHidden/>
              </w:rPr>
              <w:fldChar w:fldCharType="end"/>
            </w:r>
          </w:hyperlink>
        </w:p>
        <w:p w14:paraId="13ADE18F" w14:textId="444F36C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0" w:history="1">
            <w:r w:rsidR="00FD58BF" w:rsidRPr="003004E5">
              <w:rPr>
                <w:rStyle w:val="Lienhypertexte"/>
                <w:noProof/>
              </w:rPr>
              <w:t>23.14.6 Colonnes en fonte CCTB 01.04</w:t>
            </w:r>
            <w:r w:rsidR="00FD58BF">
              <w:rPr>
                <w:noProof/>
                <w:webHidden/>
              </w:rPr>
              <w:tab/>
            </w:r>
            <w:r w:rsidR="00FD58BF">
              <w:rPr>
                <w:noProof/>
                <w:webHidden/>
              </w:rPr>
              <w:fldChar w:fldCharType="begin"/>
            </w:r>
            <w:r w:rsidR="00FD58BF">
              <w:rPr>
                <w:noProof/>
                <w:webHidden/>
              </w:rPr>
              <w:instrText xml:space="preserve"> PAGEREF _Toc178838360 \h </w:instrText>
            </w:r>
            <w:r w:rsidR="00FD58BF">
              <w:rPr>
                <w:noProof/>
                <w:webHidden/>
              </w:rPr>
            </w:r>
            <w:r w:rsidR="00FD58BF">
              <w:rPr>
                <w:noProof/>
                <w:webHidden/>
              </w:rPr>
              <w:fldChar w:fldCharType="separate"/>
            </w:r>
            <w:r w:rsidR="00FD58BF">
              <w:rPr>
                <w:noProof/>
                <w:webHidden/>
              </w:rPr>
              <w:t>782</w:t>
            </w:r>
            <w:r w:rsidR="00FD58BF">
              <w:rPr>
                <w:noProof/>
                <w:webHidden/>
              </w:rPr>
              <w:fldChar w:fldCharType="end"/>
            </w:r>
          </w:hyperlink>
        </w:p>
        <w:p w14:paraId="10B2F74E" w14:textId="61AF6A4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1" w:history="1">
            <w:r w:rsidR="00FD58BF" w:rsidRPr="003004E5">
              <w:rPr>
                <w:rStyle w:val="Lienhypertexte"/>
                <w:noProof/>
              </w:rPr>
              <w:t>23.14.6a Colonnes en fonte CCTB 01.04</w:t>
            </w:r>
            <w:r w:rsidR="00FD58BF">
              <w:rPr>
                <w:noProof/>
                <w:webHidden/>
              </w:rPr>
              <w:tab/>
            </w:r>
            <w:r w:rsidR="00FD58BF">
              <w:rPr>
                <w:noProof/>
                <w:webHidden/>
              </w:rPr>
              <w:fldChar w:fldCharType="begin"/>
            </w:r>
            <w:r w:rsidR="00FD58BF">
              <w:rPr>
                <w:noProof/>
                <w:webHidden/>
              </w:rPr>
              <w:instrText xml:space="preserve"> PAGEREF _Toc178838361 \h </w:instrText>
            </w:r>
            <w:r w:rsidR="00FD58BF">
              <w:rPr>
                <w:noProof/>
                <w:webHidden/>
              </w:rPr>
            </w:r>
            <w:r w:rsidR="00FD58BF">
              <w:rPr>
                <w:noProof/>
                <w:webHidden/>
              </w:rPr>
              <w:fldChar w:fldCharType="separate"/>
            </w:r>
            <w:r w:rsidR="00FD58BF">
              <w:rPr>
                <w:noProof/>
                <w:webHidden/>
              </w:rPr>
              <w:t>782</w:t>
            </w:r>
            <w:r w:rsidR="00FD58BF">
              <w:rPr>
                <w:noProof/>
                <w:webHidden/>
              </w:rPr>
              <w:fldChar w:fldCharType="end"/>
            </w:r>
          </w:hyperlink>
        </w:p>
        <w:p w14:paraId="3CC62255" w14:textId="0544413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62" w:history="1">
            <w:r w:rsidR="00FD58BF" w:rsidRPr="003004E5">
              <w:rPr>
                <w:rStyle w:val="Lienhypertexte"/>
                <w:noProof/>
              </w:rPr>
              <w:t>23.15 Eléments de planchers métalliques CCTB 01.02</w:t>
            </w:r>
            <w:r w:rsidR="00FD58BF">
              <w:rPr>
                <w:noProof/>
                <w:webHidden/>
              </w:rPr>
              <w:tab/>
            </w:r>
            <w:r w:rsidR="00FD58BF">
              <w:rPr>
                <w:noProof/>
                <w:webHidden/>
              </w:rPr>
              <w:fldChar w:fldCharType="begin"/>
            </w:r>
            <w:r w:rsidR="00FD58BF">
              <w:rPr>
                <w:noProof/>
                <w:webHidden/>
              </w:rPr>
              <w:instrText xml:space="preserve"> PAGEREF _Toc178838362 \h </w:instrText>
            </w:r>
            <w:r w:rsidR="00FD58BF">
              <w:rPr>
                <w:noProof/>
                <w:webHidden/>
              </w:rPr>
            </w:r>
            <w:r w:rsidR="00FD58BF">
              <w:rPr>
                <w:noProof/>
                <w:webHidden/>
              </w:rPr>
              <w:fldChar w:fldCharType="separate"/>
            </w:r>
            <w:r w:rsidR="00FD58BF">
              <w:rPr>
                <w:noProof/>
                <w:webHidden/>
              </w:rPr>
              <w:t>782</w:t>
            </w:r>
            <w:r w:rsidR="00FD58BF">
              <w:rPr>
                <w:noProof/>
                <w:webHidden/>
              </w:rPr>
              <w:fldChar w:fldCharType="end"/>
            </w:r>
          </w:hyperlink>
        </w:p>
        <w:p w14:paraId="181FFD29" w14:textId="354ABF7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3" w:history="1">
            <w:r w:rsidR="00FD58BF" w:rsidRPr="003004E5">
              <w:rPr>
                <w:rStyle w:val="Lienhypertexte"/>
                <w:noProof/>
              </w:rPr>
              <w:t>23.15.1 Eléments de planchers en acier CCTB 01.04</w:t>
            </w:r>
            <w:r w:rsidR="00FD58BF">
              <w:rPr>
                <w:noProof/>
                <w:webHidden/>
              </w:rPr>
              <w:tab/>
            </w:r>
            <w:r w:rsidR="00FD58BF">
              <w:rPr>
                <w:noProof/>
                <w:webHidden/>
              </w:rPr>
              <w:fldChar w:fldCharType="begin"/>
            </w:r>
            <w:r w:rsidR="00FD58BF">
              <w:rPr>
                <w:noProof/>
                <w:webHidden/>
              </w:rPr>
              <w:instrText xml:space="preserve"> PAGEREF _Toc178838363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1E3FBF0D" w14:textId="020A50C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4" w:history="1">
            <w:r w:rsidR="00FD58BF" w:rsidRPr="003004E5">
              <w:rPr>
                <w:rStyle w:val="Lienhypertexte"/>
                <w:noProof/>
              </w:rPr>
              <w:t>23.15.1a Bacs en tôle profilée en acier formée à froid CCTB 01.04</w:t>
            </w:r>
            <w:r w:rsidR="00FD58BF">
              <w:rPr>
                <w:noProof/>
                <w:webHidden/>
              </w:rPr>
              <w:tab/>
            </w:r>
            <w:r w:rsidR="00FD58BF">
              <w:rPr>
                <w:noProof/>
                <w:webHidden/>
              </w:rPr>
              <w:fldChar w:fldCharType="begin"/>
            </w:r>
            <w:r w:rsidR="00FD58BF">
              <w:rPr>
                <w:noProof/>
                <w:webHidden/>
              </w:rPr>
              <w:instrText xml:space="preserve"> PAGEREF _Toc178838364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0E910F32" w14:textId="2409DF7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5" w:history="1">
            <w:r w:rsidR="00FD58BF" w:rsidRPr="003004E5">
              <w:rPr>
                <w:rStyle w:val="Lienhypertexte"/>
                <w:noProof/>
              </w:rPr>
              <w:t>23.15.1b Platelage en tôle profilée en acier formée à froid CCTB 01.04</w:t>
            </w:r>
            <w:r w:rsidR="00FD58BF">
              <w:rPr>
                <w:noProof/>
                <w:webHidden/>
              </w:rPr>
              <w:tab/>
            </w:r>
            <w:r w:rsidR="00FD58BF">
              <w:rPr>
                <w:noProof/>
                <w:webHidden/>
              </w:rPr>
              <w:fldChar w:fldCharType="begin"/>
            </w:r>
            <w:r w:rsidR="00FD58BF">
              <w:rPr>
                <w:noProof/>
                <w:webHidden/>
              </w:rPr>
              <w:instrText xml:space="preserve"> PAGEREF _Toc178838365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6E00B0DA" w14:textId="369214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6" w:history="1">
            <w:r w:rsidR="00FD58BF" w:rsidRPr="003004E5">
              <w:rPr>
                <w:rStyle w:val="Lienhypertexte"/>
                <w:noProof/>
              </w:rPr>
              <w:t>23.15.1c Planchers en tôle en acier formée à froid CCTB 01.04</w:t>
            </w:r>
            <w:r w:rsidR="00FD58BF">
              <w:rPr>
                <w:noProof/>
                <w:webHidden/>
              </w:rPr>
              <w:tab/>
            </w:r>
            <w:r w:rsidR="00FD58BF">
              <w:rPr>
                <w:noProof/>
                <w:webHidden/>
              </w:rPr>
              <w:fldChar w:fldCharType="begin"/>
            </w:r>
            <w:r w:rsidR="00FD58BF">
              <w:rPr>
                <w:noProof/>
                <w:webHidden/>
              </w:rPr>
              <w:instrText xml:space="preserve"> PAGEREF _Toc178838366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2B8D842C" w14:textId="6EDFF01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7" w:history="1">
            <w:r w:rsidR="00FD58BF" w:rsidRPr="003004E5">
              <w:rPr>
                <w:rStyle w:val="Lienhypertexte"/>
                <w:noProof/>
              </w:rPr>
              <w:t>23.15.1d Planchers en tôle larmée en acier formée à froid CCTB 01.04</w:t>
            </w:r>
            <w:r w:rsidR="00FD58BF">
              <w:rPr>
                <w:noProof/>
                <w:webHidden/>
              </w:rPr>
              <w:tab/>
            </w:r>
            <w:r w:rsidR="00FD58BF">
              <w:rPr>
                <w:noProof/>
                <w:webHidden/>
              </w:rPr>
              <w:fldChar w:fldCharType="begin"/>
            </w:r>
            <w:r w:rsidR="00FD58BF">
              <w:rPr>
                <w:noProof/>
                <w:webHidden/>
              </w:rPr>
              <w:instrText xml:space="preserve"> PAGEREF _Toc178838367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6F1451E4" w14:textId="412C2F1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8" w:history="1">
            <w:r w:rsidR="00FD58BF" w:rsidRPr="003004E5">
              <w:rPr>
                <w:rStyle w:val="Lienhypertexte"/>
                <w:noProof/>
              </w:rPr>
              <w:t>23.15.1e Planchers en tôle perforée en acier formée à froid CCTB 01.04</w:t>
            </w:r>
            <w:r w:rsidR="00FD58BF">
              <w:rPr>
                <w:noProof/>
                <w:webHidden/>
              </w:rPr>
              <w:tab/>
            </w:r>
            <w:r w:rsidR="00FD58BF">
              <w:rPr>
                <w:noProof/>
                <w:webHidden/>
              </w:rPr>
              <w:fldChar w:fldCharType="begin"/>
            </w:r>
            <w:r w:rsidR="00FD58BF">
              <w:rPr>
                <w:noProof/>
                <w:webHidden/>
              </w:rPr>
              <w:instrText xml:space="preserve"> PAGEREF _Toc178838368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799683B9" w14:textId="2F3C49F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9" w:history="1">
            <w:r w:rsidR="00FD58BF" w:rsidRPr="003004E5">
              <w:rPr>
                <w:rStyle w:val="Lienhypertexte"/>
                <w:noProof/>
              </w:rPr>
              <w:t>23.15.1f Planchers en caillebotis en acier formé à froid CCTB 01.04</w:t>
            </w:r>
            <w:r w:rsidR="00FD58BF">
              <w:rPr>
                <w:noProof/>
                <w:webHidden/>
              </w:rPr>
              <w:tab/>
            </w:r>
            <w:r w:rsidR="00FD58BF">
              <w:rPr>
                <w:noProof/>
                <w:webHidden/>
              </w:rPr>
              <w:fldChar w:fldCharType="begin"/>
            </w:r>
            <w:r w:rsidR="00FD58BF">
              <w:rPr>
                <w:noProof/>
                <w:webHidden/>
              </w:rPr>
              <w:instrText xml:space="preserve"> PAGEREF _Toc178838369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1E483FA1" w14:textId="4CE55EC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0" w:history="1">
            <w:r w:rsidR="00FD58BF" w:rsidRPr="003004E5">
              <w:rPr>
                <w:rStyle w:val="Lienhypertexte"/>
                <w:noProof/>
              </w:rPr>
              <w:t>23.15.1g Planchers en métal déployé en acier CCTB 01.04</w:t>
            </w:r>
            <w:r w:rsidR="00FD58BF">
              <w:rPr>
                <w:noProof/>
                <w:webHidden/>
              </w:rPr>
              <w:tab/>
            </w:r>
            <w:r w:rsidR="00FD58BF">
              <w:rPr>
                <w:noProof/>
                <w:webHidden/>
              </w:rPr>
              <w:fldChar w:fldCharType="begin"/>
            </w:r>
            <w:r w:rsidR="00FD58BF">
              <w:rPr>
                <w:noProof/>
                <w:webHidden/>
              </w:rPr>
              <w:instrText xml:space="preserve"> PAGEREF _Toc178838370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54BDBADC" w14:textId="245B2E7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1" w:history="1">
            <w:r w:rsidR="00FD58BF" w:rsidRPr="003004E5">
              <w:rPr>
                <w:rStyle w:val="Lienhypertexte"/>
                <w:noProof/>
              </w:rPr>
              <w:t>23.15.2 Eléments de planchers en acier inoxydable CCTB 01.04</w:t>
            </w:r>
            <w:r w:rsidR="00FD58BF">
              <w:rPr>
                <w:noProof/>
                <w:webHidden/>
              </w:rPr>
              <w:tab/>
            </w:r>
            <w:r w:rsidR="00FD58BF">
              <w:rPr>
                <w:noProof/>
                <w:webHidden/>
              </w:rPr>
              <w:fldChar w:fldCharType="begin"/>
            </w:r>
            <w:r w:rsidR="00FD58BF">
              <w:rPr>
                <w:noProof/>
                <w:webHidden/>
              </w:rPr>
              <w:instrText xml:space="preserve"> PAGEREF _Toc178838371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0DB66CAE" w14:textId="5696632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2" w:history="1">
            <w:r w:rsidR="00FD58BF" w:rsidRPr="003004E5">
              <w:rPr>
                <w:rStyle w:val="Lienhypertexte"/>
                <w:noProof/>
              </w:rPr>
              <w:t>23.15.2a Bacs en tôle profilée en acier inoxydable formée à froid CCTB 01.04</w:t>
            </w:r>
            <w:r w:rsidR="00FD58BF">
              <w:rPr>
                <w:noProof/>
                <w:webHidden/>
              </w:rPr>
              <w:tab/>
            </w:r>
            <w:r w:rsidR="00FD58BF">
              <w:rPr>
                <w:noProof/>
                <w:webHidden/>
              </w:rPr>
              <w:fldChar w:fldCharType="begin"/>
            </w:r>
            <w:r w:rsidR="00FD58BF">
              <w:rPr>
                <w:noProof/>
                <w:webHidden/>
              </w:rPr>
              <w:instrText xml:space="preserve"> PAGEREF _Toc178838372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2A741220" w14:textId="3D19C98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3" w:history="1">
            <w:r w:rsidR="00FD58BF" w:rsidRPr="003004E5">
              <w:rPr>
                <w:rStyle w:val="Lienhypertexte"/>
                <w:noProof/>
              </w:rPr>
              <w:t>23.15.2b Platelage en tôle profilée en acier inoxydable formée à froid CCTB 01.04</w:t>
            </w:r>
            <w:r w:rsidR="00FD58BF">
              <w:rPr>
                <w:noProof/>
                <w:webHidden/>
              </w:rPr>
              <w:tab/>
            </w:r>
            <w:r w:rsidR="00FD58BF">
              <w:rPr>
                <w:noProof/>
                <w:webHidden/>
              </w:rPr>
              <w:fldChar w:fldCharType="begin"/>
            </w:r>
            <w:r w:rsidR="00FD58BF">
              <w:rPr>
                <w:noProof/>
                <w:webHidden/>
              </w:rPr>
              <w:instrText xml:space="preserve"> PAGEREF _Toc178838373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41E810F8" w14:textId="38FAC45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4" w:history="1">
            <w:r w:rsidR="00FD58BF" w:rsidRPr="003004E5">
              <w:rPr>
                <w:rStyle w:val="Lienhypertexte"/>
                <w:noProof/>
              </w:rPr>
              <w:t>23.15.2c Planchers en tôle en acier inoxydable formée à froid CCTB 01.04</w:t>
            </w:r>
            <w:r w:rsidR="00FD58BF">
              <w:rPr>
                <w:noProof/>
                <w:webHidden/>
              </w:rPr>
              <w:tab/>
            </w:r>
            <w:r w:rsidR="00FD58BF">
              <w:rPr>
                <w:noProof/>
                <w:webHidden/>
              </w:rPr>
              <w:fldChar w:fldCharType="begin"/>
            </w:r>
            <w:r w:rsidR="00FD58BF">
              <w:rPr>
                <w:noProof/>
                <w:webHidden/>
              </w:rPr>
              <w:instrText xml:space="preserve"> PAGEREF _Toc178838374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7EDFCE89" w14:textId="6A9331E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5" w:history="1">
            <w:r w:rsidR="00FD58BF" w:rsidRPr="003004E5">
              <w:rPr>
                <w:rStyle w:val="Lienhypertexte"/>
                <w:noProof/>
              </w:rPr>
              <w:t>23.15.2d Planchers en tôle larmée en acier inoxydable formée à froid CCTB 01.04</w:t>
            </w:r>
            <w:r w:rsidR="00FD58BF">
              <w:rPr>
                <w:noProof/>
                <w:webHidden/>
              </w:rPr>
              <w:tab/>
            </w:r>
            <w:r w:rsidR="00FD58BF">
              <w:rPr>
                <w:noProof/>
                <w:webHidden/>
              </w:rPr>
              <w:fldChar w:fldCharType="begin"/>
            </w:r>
            <w:r w:rsidR="00FD58BF">
              <w:rPr>
                <w:noProof/>
                <w:webHidden/>
              </w:rPr>
              <w:instrText xml:space="preserve"> PAGEREF _Toc178838375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6B0352CE" w14:textId="3907848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6" w:history="1">
            <w:r w:rsidR="00FD58BF" w:rsidRPr="003004E5">
              <w:rPr>
                <w:rStyle w:val="Lienhypertexte"/>
                <w:noProof/>
              </w:rPr>
              <w:t>23.15.2e Planchers en tôle perforée en acier inoxydable formée à froid CCTB 01.04</w:t>
            </w:r>
            <w:r w:rsidR="00FD58BF">
              <w:rPr>
                <w:noProof/>
                <w:webHidden/>
              </w:rPr>
              <w:tab/>
            </w:r>
            <w:r w:rsidR="00FD58BF">
              <w:rPr>
                <w:noProof/>
                <w:webHidden/>
              </w:rPr>
              <w:fldChar w:fldCharType="begin"/>
            </w:r>
            <w:r w:rsidR="00FD58BF">
              <w:rPr>
                <w:noProof/>
                <w:webHidden/>
              </w:rPr>
              <w:instrText xml:space="preserve"> PAGEREF _Toc178838376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798C9E8C" w14:textId="340A620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7" w:history="1">
            <w:r w:rsidR="00FD58BF" w:rsidRPr="003004E5">
              <w:rPr>
                <w:rStyle w:val="Lienhypertexte"/>
                <w:noProof/>
              </w:rPr>
              <w:t>23.15.2f Planchers en caillebotis en acier inoxydable formé à froid CCTB 01.04</w:t>
            </w:r>
            <w:r w:rsidR="00FD58BF">
              <w:rPr>
                <w:noProof/>
                <w:webHidden/>
              </w:rPr>
              <w:tab/>
            </w:r>
            <w:r w:rsidR="00FD58BF">
              <w:rPr>
                <w:noProof/>
                <w:webHidden/>
              </w:rPr>
              <w:fldChar w:fldCharType="begin"/>
            </w:r>
            <w:r w:rsidR="00FD58BF">
              <w:rPr>
                <w:noProof/>
                <w:webHidden/>
              </w:rPr>
              <w:instrText xml:space="preserve"> PAGEREF _Toc178838377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22AB487D" w14:textId="2B94E6D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8" w:history="1">
            <w:r w:rsidR="00FD58BF" w:rsidRPr="003004E5">
              <w:rPr>
                <w:rStyle w:val="Lienhypertexte"/>
                <w:noProof/>
              </w:rPr>
              <w:t>23.15.3 Eléments de planchers en aluminium CCTB 01.04</w:t>
            </w:r>
            <w:r w:rsidR="00FD58BF">
              <w:rPr>
                <w:noProof/>
                <w:webHidden/>
              </w:rPr>
              <w:tab/>
            </w:r>
            <w:r w:rsidR="00FD58BF">
              <w:rPr>
                <w:noProof/>
                <w:webHidden/>
              </w:rPr>
              <w:fldChar w:fldCharType="begin"/>
            </w:r>
            <w:r w:rsidR="00FD58BF">
              <w:rPr>
                <w:noProof/>
                <w:webHidden/>
              </w:rPr>
              <w:instrText xml:space="preserve"> PAGEREF _Toc178838378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20089EFB" w14:textId="1984BA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9" w:history="1">
            <w:r w:rsidR="00FD58BF" w:rsidRPr="003004E5">
              <w:rPr>
                <w:rStyle w:val="Lienhypertexte"/>
                <w:noProof/>
              </w:rPr>
              <w:t>23.15.3a Bacs en tôle profilée en aluminium CCTB 01.04</w:t>
            </w:r>
            <w:r w:rsidR="00FD58BF">
              <w:rPr>
                <w:noProof/>
                <w:webHidden/>
              </w:rPr>
              <w:tab/>
            </w:r>
            <w:r w:rsidR="00FD58BF">
              <w:rPr>
                <w:noProof/>
                <w:webHidden/>
              </w:rPr>
              <w:fldChar w:fldCharType="begin"/>
            </w:r>
            <w:r w:rsidR="00FD58BF">
              <w:rPr>
                <w:noProof/>
                <w:webHidden/>
              </w:rPr>
              <w:instrText xml:space="preserve"> PAGEREF _Toc178838379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05C7C62C" w14:textId="11C68F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0" w:history="1">
            <w:r w:rsidR="00FD58BF" w:rsidRPr="003004E5">
              <w:rPr>
                <w:rStyle w:val="Lienhypertexte"/>
                <w:noProof/>
              </w:rPr>
              <w:t>23.15.3b Platelage en tôle profilée en aluminium CCTB 01.04</w:t>
            </w:r>
            <w:r w:rsidR="00FD58BF">
              <w:rPr>
                <w:noProof/>
                <w:webHidden/>
              </w:rPr>
              <w:tab/>
            </w:r>
            <w:r w:rsidR="00FD58BF">
              <w:rPr>
                <w:noProof/>
                <w:webHidden/>
              </w:rPr>
              <w:fldChar w:fldCharType="begin"/>
            </w:r>
            <w:r w:rsidR="00FD58BF">
              <w:rPr>
                <w:noProof/>
                <w:webHidden/>
              </w:rPr>
              <w:instrText xml:space="preserve"> PAGEREF _Toc178838380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5C0A484B" w14:textId="0575E2E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1" w:history="1">
            <w:r w:rsidR="00FD58BF" w:rsidRPr="003004E5">
              <w:rPr>
                <w:rStyle w:val="Lienhypertexte"/>
                <w:noProof/>
              </w:rPr>
              <w:t>23.15.3c Planchers en tôle en aluminium CCTB 01.04</w:t>
            </w:r>
            <w:r w:rsidR="00FD58BF">
              <w:rPr>
                <w:noProof/>
                <w:webHidden/>
              </w:rPr>
              <w:tab/>
            </w:r>
            <w:r w:rsidR="00FD58BF">
              <w:rPr>
                <w:noProof/>
                <w:webHidden/>
              </w:rPr>
              <w:fldChar w:fldCharType="begin"/>
            </w:r>
            <w:r w:rsidR="00FD58BF">
              <w:rPr>
                <w:noProof/>
                <w:webHidden/>
              </w:rPr>
              <w:instrText xml:space="preserve"> PAGEREF _Toc178838381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11845BF0" w14:textId="5C8C685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2" w:history="1">
            <w:r w:rsidR="00FD58BF" w:rsidRPr="003004E5">
              <w:rPr>
                <w:rStyle w:val="Lienhypertexte"/>
                <w:noProof/>
              </w:rPr>
              <w:t>23.15.3d Planchers en tôle larmée en aluminium CCTB 01.04</w:t>
            </w:r>
            <w:r w:rsidR="00FD58BF">
              <w:rPr>
                <w:noProof/>
                <w:webHidden/>
              </w:rPr>
              <w:tab/>
            </w:r>
            <w:r w:rsidR="00FD58BF">
              <w:rPr>
                <w:noProof/>
                <w:webHidden/>
              </w:rPr>
              <w:fldChar w:fldCharType="begin"/>
            </w:r>
            <w:r w:rsidR="00FD58BF">
              <w:rPr>
                <w:noProof/>
                <w:webHidden/>
              </w:rPr>
              <w:instrText xml:space="preserve"> PAGEREF _Toc178838382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1DC7AEE0" w14:textId="5BA61F9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3" w:history="1">
            <w:r w:rsidR="00FD58BF" w:rsidRPr="003004E5">
              <w:rPr>
                <w:rStyle w:val="Lienhypertexte"/>
                <w:noProof/>
              </w:rPr>
              <w:t>23.15.3e Planchers en tôle perforée en aluminium CCTB 01.04</w:t>
            </w:r>
            <w:r w:rsidR="00FD58BF">
              <w:rPr>
                <w:noProof/>
                <w:webHidden/>
              </w:rPr>
              <w:tab/>
            </w:r>
            <w:r w:rsidR="00FD58BF">
              <w:rPr>
                <w:noProof/>
                <w:webHidden/>
              </w:rPr>
              <w:fldChar w:fldCharType="begin"/>
            </w:r>
            <w:r w:rsidR="00FD58BF">
              <w:rPr>
                <w:noProof/>
                <w:webHidden/>
              </w:rPr>
              <w:instrText xml:space="preserve"> PAGEREF _Toc178838383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108C930E" w14:textId="1C2A5F4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84" w:history="1">
            <w:r w:rsidR="00FD58BF" w:rsidRPr="003004E5">
              <w:rPr>
                <w:rStyle w:val="Lienhypertexte"/>
                <w:noProof/>
              </w:rPr>
              <w:t>23.16 Tôles, plats et grilles métalliques CCTB 01.04</w:t>
            </w:r>
            <w:r w:rsidR="00FD58BF">
              <w:rPr>
                <w:noProof/>
                <w:webHidden/>
              </w:rPr>
              <w:tab/>
            </w:r>
            <w:r w:rsidR="00FD58BF">
              <w:rPr>
                <w:noProof/>
                <w:webHidden/>
              </w:rPr>
              <w:fldChar w:fldCharType="begin"/>
            </w:r>
            <w:r w:rsidR="00FD58BF">
              <w:rPr>
                <w:noProof/>
                <w:webHidden/>
              </w:rPr>
              <w:instrText xml:space="preserve"> PAGEREF _Toc178838384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7BF24517" w14:textId="5819D2E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5" w:history="1">
            <w:r w:rsidR="00FD58BF" w:rsidRPr="003004E5">
              <w:rPr>
                <w:rStyle w:val="Lienhypertexte"/>
                <w:noProof/>
              </w:rPr>
              <w:t>23.16.1 Tôles, plats et grilles en acier CCTB 01.04</w:t>
            </w:r>
            <w:r w:rsidR="00FD58BF">
              <w:rPr>
                <w:noProof/>
                <w:webHidden/>
              </w:rPr>
              <w:tab/>
            </w:r>
            <w:r w:rsidR="00FD58BF">
              <w:rPr>
                <w:noProof/>
                <w:webHidden/>
              </w:rPr>
              <w:fldChar w:fldCharType="begin"/>
            </w:r>
            <w:r w:rsidR="00FD58BF">
              <w:rPr>
                <w:noProof/>
                <w:webHidden/>
              </w:rPr>
              <w:instrText xml:space="preserve"> PAGEREF _Toc178838385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18518EBA" w14:textId="2ECD5DD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6" w:history="1">
            <w:r w:rsidR="00FD58BF" w:rsidRPr="003004E5">
              <w:rPr>
                <w:rStyle w:val="Lienhypertexte"/>
                <w:noProof/>
              </w:rPr>
              <w:t>23.16.1a Tôles en acier formées à froid CCTB 01.04</w:t>
            </w:r>
            <w:r w:rsidR="00FD58BF">
              <w:rPr>
                <w:noProof/>
                <w:webHidden/>
              </w:rPr>
              <w:tab/>
            </w:r>
            <w:r w:rsidR="00FD58BF">
              <w:rPr>
                <w:noProof/>
                <w:webHidden/>
              </w:rPr>
              <w:fldChar w:fldCharType="begin"/>
            </w:r>
            <w:r w:rsidR="00FD58BF">
              <w:rPr>
                <w:noProof/>
                <w:webHidden/>
              </w:rPr>
              <w:instrText xml:space="preserve"> PAGEREF _Toc178838386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0BDD235B" w14:textId="66BED3A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7" w:history="1">
            <w:r w:rsidR="00FD58BF" w:rsidRPr="003004E5">
              <w:rPr>
                <w:rStyle w:val="Lienhypertexte"/>
                <w:noProof/>
              </w:rPr>
              <w:t>23.16.1b Tôles larmées en acier formées à froid CCTB 01.04</w:t>
            </w:r>
            <w:r w:rsidR="00FD58BF">
              <w:rPr>
                <w:noProof/>
                <w:webHidden/>
              </w:rPr>
              <w:tab/>
            </w:r>
            <w:r w:rsidR="00FD58BF">
              <w:rPr>
                <w:noProof/>
                <w:webHidden/>
              </w:rPr>
              <w:fldChar w:fldCharType="begin"/>
            </w:r>
            <w:r w:rsidR="00FD58BF">
              <w:rPr>
                <w:noProof/>
                <w:webHidden/>
              </w:rPr>
              <w:instrText xml:space="preserve"> PAGEREF _Toc178838387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3DA20CDC" w14:textId="7F29EE7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8" w:history="1">
            <w:r w:rsidR="00FD58BF" w:rsidRPr="003004E5">
              <w:rPr>
                <w:rStyle w:val="Lienhypertexte"/>
                <w:noProof/>
              </w:rPr>
              <w:t>23.16.1c Tôles perforées en acier formées à froid CCTB 01.04</w:t>
            </w:r>
            <w:r w:rsidR="00FD58BF">
              <w:rPr>
                <w:noProof/>
                <w:webHidden/>
              </w:rPr>
              <w:tab/>
            </w:r>
            <w:r w:rsidR="00FD58BF">
              <w:rPr>
                <w:noProof/>
                <w:webHidden/>
              </w:rPr>
              <w:fldChar w:fldCharType="begin"/>
            </w:r>
            <w:r w:rsidR="00FD58BF">
              <w:rPr>
                <w:noProof/>
                <w:webHidden/>
              </w:rPr>
              <w:instrText xml:space="preserve"> PAGEREF _Toc178838388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0CD4339C" w14:textId="70D7F8D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9" w:history="1">
            <w:r w:rsidR="00FD58BF" w:rsidRPr="003004E5">
              <w:rPr>
                <w:rStyle w:val="Lienhypertexte"/>
                <w:noProof/>
              </w:rPr>
              <w:t>23.16.1d Tôles en caillebotis en acier CCTB 01.04</w:t>
            </w:r>
            <w:r w:rsidR="00FD58BF">
              <w:rPr>
                <w:noProof/>
                <w:webHidden/>
              </w:rPr>
              <w:tab/>
            </w:r>
            <w:r w:rsidR="00FD58BF">
              <w:rPr>
                <w:noProof/>
                <w:webHidden/>
              </w:rPr>
              <w:fldChar w:fldCharType="begin"/>
            </w:r>
            <w:r w:rsidR="00FD58BF">
              <w:rPr>
                <w:noProof/>
                <w:webHidden/>
              </w:rPr>
              <w:instrText xml:space="preserve"> PAGEREF _Toc178838389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43CC996D" w14:textId="2705FB6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0" w:history="1">
            <w:r w:rsidR="00FD58BF" w:rsidRPr="003004E5">
              <w:rPr>
                <w:rStyle w:val="Lienhypertexte"/>
                <w:noProof/>
              </w:rPr>
              <w:t>23.16.1e Tôles en métal déployé en acier CCTB 01.04</w:t>
            </w:r>
            <w:r w:rsidR="00FD58BF">
              <w:rPr>
                <w:noProof/>
                <w:webHidden/>
              </w:rPr>
              <w:tab/>
            </w:r>
            <w:r w:rsidR="00FD58BF">
              <w:rPr>
                <w:noProof/>
                <w:webHidden/>
              </w:rPr>
              <w:fldChar w:fldCharType="begin"/>
            </w:r>
            <w:r w:rsidR="00FD58BF">
              <w:rPr>
                <w:noProof/>
                <w:webHidden/>
              </w:rPr>
              <w:instrText xml:space="preserve"> PAGEREF _Toc178838390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1B26B574" w14:textId="080BC4F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1" w:history="1">
            <w:r w:rsidR="00FD58BF" w:rsidRPr="003004E5">
              <w:rPr>
                <w:rStyle w:val="Lienhypertexte"/>
                <w:noProof/>
              </w:rPr>
              <w:t>23.16.1f Plats en acier laminés à chaud CCTB 01.04</w:t>
            </w:r>
            <w:r w:rsidR="00FD58BF">
              <w:rPr>
                <w:noProof/>
                <w:webHidden/>
              </w:rPr>
              <w:tab/>
            </w:r>
            <w:r w:rsidR="00FD58BF">
              <w:rPr>
                <w:noProof/>
                <w:webHidden/>
              </w:rPr>
              <w:fldChar w:fldCharType="begin"/>
            </w:r>
            <w:r w:rsidR="00FD58BF">
              <w:rPr>
                <w:noProof/>
                <w:webHidden/>
              </w:rPr>
              <w:instrText xml:space="preserve"> PAGEREF _Toc178838391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370BE83A" w14:textId="616C78D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2" w:history="1">
            <w:r w:rsidR="00FD58BF" w:rsidRPr="003004E5">
              <w:rPr>
                <w:rStyle w:val="Lienhypertexte"/>
                <w:noProof/>
              </w:rPr>
              <w:t>23.16.1g Plats en acier formés à froid CCTB 01.04</w:t>
            </w:r>
            <w:r w:rsidR="00FD58BF">
              <w:rPr>
                <w:noProof/>
                <w:webHidden/>
              </w:rPr>
              <w:tab/>
            </w:r>
            <w:r w:rsidR="00FD58BF">
              <w:rPr>
                <w:noProof/>
                <w:webHidden/>
              </w:rPr>
              <w:fldChar w:fldCharType="begin"/>
            </w:r>
            <w:r w:rsidR="00FD58BF">
              <w:rPr>
                <w:noProof/>
                <w:webHidden/>
              </w:rPr>
              <w:instrText xml:space="preserve"> PAGEREF _Toc178838392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5ED8BEAD" w14:textId="48D56F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3" w:history="1">
            <w:r w:rsidR="00FD58BF" w:rsidRPr="003004E5">
              <w:rPr>
                <w:rStyle w:val="Lienhypertexte"/>
                <w:noProof/>
              </w:rPr>
              <w:t>23.16.1h Grilles en acier formées à froid CCTB 01.04</w:t>
            </w:r>
            <w:r w:rsidR="00FD58BF">
              <w:rPr>
                <w:noProof/>
                <w:webHidden/>
              </w:rPr>
              <w:tab/>
            </w:r>
            <w:r w:rsidR="00FD58BF">
              <w:rPr>
                <w:noProof/>
                <w:webHidden/>
              </w:rPr>
              <w:fldChar w:fldCharType="begin"/>
            </w:r>
            <w:r w:rsidR="00FD58BF">
              <w:rPr>
                <w:noProof/>
                <w:webHidden/>
              </w:rPr>
              <w:instrText xml:space="preserve"> PAGEREF _Toc178838393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3C17E93C" w14:textId="757AA61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4" w:history="1">
            <w:r w:rsidR="00FD58BF" w:rsidRPr="003004E5">
              <w:rPr>
                <w:rStyle w:val="Lienhypertexte"/>
                <w:noProof/>
              </w:rPr>
              <w:t>23.16.2 Tôles, plats et grilles en acier inoxydable CCTB 01.04</w:t>
            </w:r>
            <w:r w:rsidR="00FD58BF">
              <w:rPr>
                <w:noProof/>
                <w:webHidden/>
              </w:rPr>
              <w:tab/>
            </w:r>
            <w:r w:rsidR="00FD58BF">
              <w:rPr>
                <w:noProof/>
                <w:webHidden/>
              </w:rPr>
              <w:fldChar w:fldCharType="begin"/>
            </w:r>
            <w:r w:rsidR="00FD58BF">
              <w:rPr>
                <w:noProof/>
                <w:webHidden/>
              </w:rPr>
              <w:instrText xml:space="preserve"> PAGEREF _Toc178838394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7C5B7C55" w14:textId="0CA322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5" w:history="1">
            <w:r w:rsidR="00FD58BF" w:rsidRPr="003004E5">
              <w:rPr>
                <w:rStyle w:val="Lienhypertexte"/>
                <w:noProof/>
              </w:rPr>
              <w:t>23.16.2a Tôles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_Toc178838395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5CBDCB67" w14:textId="009B61B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6" w:history="1">
            <w:r w:rsidR="00FD58BF" w:rsidRPr="003004E5">
              <w:rPr>
                <w:rStyle w:val="Lienhypertexte"/>
                <w:noProof/>
              </w:rPr>
              <w:t>23.16.2b Tôles larmées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_Toc178838396 \h </w:instrText>
            </w:r>
            <w:r w:rsidR="00FD58BF">
              <w:rPr>
                <w:noProof/>
                <w:webHidden/>
              </w:rPr>
            </w:r>
            <w:r w:rsidR="00FD58BF">
              <w:rPr>
                <w:noProof/>
                <w:webHidden/>
              </w:rPr>
              <w:fldChar w:fldCharType="separate"/>
            </w:r>
            <w:r w:rsidR="00FD58BF">
              <w:rPr>
                <w:noProof/>
                <w:webHidden/>
              </w:rPr>
              <w:t>783</w:t>
            </w:r>
            <w:r w:rsidR="00FD58BF">
              <w:rPr>
                <w:noProof/>
                <w:webHidden/>
              </w:rPr>
              <w:fldChar w:fldCharType="end"/>
            </w:r>
          </w:hyperlink>
        </w:p>
        <w:p w14:paraId="78311870" w14:textId="314AA83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7" w:history="1">
            <w:r w:rsidR="00FD58BF" w:rsidRPr="003004E5">
              <w:rPr>
                <w:rStyle w:val="Lienhypertexte"/>
                <w:noProof/>
              </w:rPr>
              <w:t>23.16.2c Tôles perforées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_Toc178838397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0E8381B8" w14:textId="5A1ED72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8" w:history="1">
            <w:r w:rsidR="00FD58BF" w:rsidRPr="003004E5">
              <w:rPr>
                <w:rStyle w:val="Lienhypertexte"/>
                <w:noProof/>
              </w:rPr>
              <w:t>23.16.2d Tôles en caillebotis en acier inoxydable CCTB 01.04</w:t>
            </w:r>
            <w:r w:rsidR="00FD58BF">
              <w:rPr>
                <w:noProof/>
                <w:webHidden/>
              </w:rPr>
              <w:tab/>
            </w:r>
            <w:r w:rsidR="00FD58BF">
              <w:rPr>
                <w:noProof/>
                <w:webHidden/>
              </w:rPr>
              <w:fldChar w:fldCharType="begin"/>
            </w:r>
            <w:r w:rsidR="00FD58BF">
              <w:rPr>
                <w:noProof/>
                <w:webHidden/>
              </w:rPr>
              <w:instrText xml:space="preserve"> PAGEREF _Toc178838398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66141B3A" w14:textId="0A168F1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9" w:history="1">
            <w:r w:rsidR="00FD58BF" w:rsidRPr="003004E5">
              <w:rPr>
                <w:rStyle w:val="Lienhypertexte"/>
                <w:noProof/>
              </w:rPr>
              <w:t>23.16.2e Tôles en métal déployé en acier inoxydable CCTB 01.10</w:t>
            </w:r>
            <w:r w:rsidR="00FD58BF">
              <w:rPr>
                <w:noProof/>
                <w:webHidden/>
              </w:rPr>
              <w:tab/>
            </w:r>
            <w:r w:rsidR="00FD58BF">
              <w:rPr>
                <w:noProof/>
                <w:webHidden/>
              </w:rPr>
              <w:fldChar w:fldCharType="begin"/>
            </w:r>
            <w:r w:rsidR="00FD58BF">
              <w:rPr>
                <w:noProof/>
                <w:webHidden/>
              </w:rPr>
              <w:instrText xml:space="preserve"> PAGEREF _Toc178838399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2C65606E" w14:textId="180B180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0" w:history="1">
            <w:r w:rsidR="00FD58BF" w:rsidRPr="003004E5">
              <w:rPr>
                <w:rStyle w:val="Lienhypertexte"/>
                <w:noProof/>
              </w:rPr>
              <w:t>23.16.2f Plats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_Toc178838400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48312611" w14:textId="46B6EB0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1" w:history="1">
            <w:r w:rsidR="00FD58BF" w:rsidRPr="003004E5">
              <w:rPr>
                <w:rStyle w:val="Lienhypertexte"/>
                <w:noProof/>
              </w:rPr>
              <w:t>23.16.2g Plats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_Toc178838401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208E264E" w14:textId="7C7CE94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2" w:history="1">
            <w:r w:rsidR="00FD58BF" w:rsidRPr="003004E5">
              <w:rPr>
                <w:rStyle w:val="Lienhypertexte"/>
                <w:noProof/>
              </w:rPr>
              <w:t>23.16.2h Grilles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_Toc178838402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086046CC" w14:textId="0B732CF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03" w:history="1">
            <w:r w:rsidR="00FD58BF" w:rsidRPr="003004E5">
              <w:rPr>
                <w:rStyle w:val="Lienhypertexte"/>
                <w:noProof/>
              </w:rPr>
              <w:t>23.16.3 Tôles, plats et grilles en aluminium CCTB 01.04</w:t>
            </w:r>
            <w:r w:rsidR="00FD58BF">
              <w:rPr>
                <w:noProof/>
                <w:webHidden/>
              </w:rPr>
              <w:tab/>
            </w:r>
            <w:r w:rsidR="00FD58BF">
              <w:rPr>
                <w:noProof/>
                <w:webHidden/>
              </w:rPr>
              <w:fldChar w:fldCharType="begin"/>
            </w:r>
            <w:r w:rsidR="00FD58BF">
              <w:rPr>
                <w:noProof/>
                <w:webHidden/>
              </w:rPr>
              <w:instrText xml:space="preserve"> PAGEREF _Toc178838403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7088A605" w14:textId="00156DE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4" w:history="1">
            <w:r w:rsidR="00FD58BF" w:rsidRPr="003004E5">
              <w:rPr>
                <w:rStyle w:val="Lienhypertexte"/>
                <w:noProof/>
              </w:rPr>
              <w:t>23.16.3a Tôles en aluminium CCTB 01.02</w:t>
            </w:r>
            <w:r w:rsidR="00FD58BF">
              <w:rPr>
                <w:noProof/>
                <w:webHidden/>
              </w:rPr>
              <w:tab/>
            </w:r>
            <w:r w:rsidR="00FD58BF">
              <w:rPr>
                <w:noProof/>
                <w:webHidden/>
              </w:rPr>
              <w:fldChar w:fldCharType="begin"/>
            </w:r>
            <w:r w:rsidR="00FD58BF">
              <w:rPr>
                <w:noProof/>
                <w:webHidden/>
              </w:rPr>
              <w:instrText xml:space="preserve"> PAGEREF _Toc178838404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45560A92" w14:textId="298288E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5" w:history="1">
            <w:r w:rsidR="00FD58BF" w:rsidRPr="003004E5">
              <w:rPr>
                <w:rStyle w:val="Lienhypertexte"/>
                <w:noProof/>
              </w:rPr>
              <w:t>23.16.3b Tôles larmées en aluminium CCTB 01.04</w:t>
            </w:r>
            <w:r w:rsidR="00FD58BF">
              <w:rPr>
                <w:noProof/>
                <w:webHidden/>
              </w:rPr>
              <w:tab/>
            </w:r>
            <w:r w:rsidR="00FD58BF">
              <w:rPr>
                <w:noProof/>
                <w:webHidden/>
              </w:rPr>
              <w:fldChar w:fldCharType="begin"/>
            </w:r>
            <w:r w:rsidR="00FD58BF">
              <w:rPr>
                <w:noProof/>
                <w:webHidden/>
              </w:rPr>
              <w:instrText xml:space="preserve"> PAGEREF _Toc178838405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10E06D84" w14:textId="62DD4DE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6" w:history="1">
            <w:r w:rsidR="00FD58BF" w:rsidRPr="003004E5">
              <w:rPr>
                <w:rStyle w:val="Lienhypertexte"/>
                <w:noProof/>
              </w:rPr>
              <w:t>23.16.3c Tôles perforées en aluminium CCTB 01.04</w:t>
            </w:r>
            <w:r w:rsidR="00FD58BF">
              <w:rPr>
                <w:noProof/>
                <w:webHidden/>
              </w:rPr>
              <w:tab/>
            </w:r>
            <w:r w:rsidR="00FD58BF">
              <w:rPr>
                <w:noProof/>
                <w:webHidden/>
              </w:rPr>
              <w:fldChar w:fldCharType="begin"/>
            </w:r>
            <w:r w:rsidR="00FD58BF">
              <w:rPr>
                <w:noProof/>
                <w:webHidden/>
              </w:rPr>
              <w:instrText xml:space="preserve"> PAGEREF _Toc178838406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0CD618B4" w14:textId="2126C01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7" w:history="1">
            <w:r w:rsidR="00FD58BF" w:rsidRPr="003004E5">
              <w:rPr>
                <w:rStyle w:val="Lienhypertexte"/>
                <w:noProof/>
              </w:rPr>
              <w:t>23.16.3d Plats en aluminium CCTB 01.04</w:t>
            </w:r>
            <w:r w:rsidR="00FD58BF">
              <w:rPr>
                <w:noProof/>
                <w:webHidden/>
              </w:rPr>
              <w:tab/>
            </w:r>
            <w:r w:rsidR="00FD58BF">
              <w:rPr>
                <w:noProof/>
                <w:webHidden/>
              </w:rPr>
              <w:fldChar w:fldCharType="begin"/>
            </w:r>
            <w:r w:rsidR="00FD58BF">
              <w:rPr>
                <w:noProof/>
                <w:webHidden/>
              </w:rPr>
              <w:instrText xml:space="preserve"> PAGEREF _Toc178838407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0C7E6A44" w14:textId="162D99C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8" w:history="1">
            <w:r w:rsidR="00FD58BF" w:rsidRPr="003004E5">
              <w:rPr>
                <w:rStyle w:val="Lienhypertexte"/>
                <w:noProof/>
              </w:rPr>
              <w:t>23.16.3e Grilles en aluminium CCTB 01.04</w:t>
            </w:r>
            <w:r w:rsidR="00FD58BF">
              <w:rPr>
                <w:noProof/>
                <w:webHidden/>
              </w:rPr>
              <w:tab/>
            </w:r>
            <w:r w:rsidR="00FD58BF">
              <w:rPr>
                <w:noProof/>
                <w:webHidden/>
              </w:rPr>
              <w:fldChar w:fldCharType="begin"/>
            </w:r>
            <w:r w:rsidR="00FD58BF">
              <w:rPr>
                <w:noProof/>
                <w:webHidden/>
              </w:rPr>
              <w:instrText xml:space="preserve"> PAGEREF _Toc178838408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68BF6102" w14:textId="7862137B"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09" w:history="1">
            <w:r w:rsidR="00FD58BF" w:rsidRPr="003004E5">
              <w:rPr>
                <w:rStyle w:val="Lienhypertexte"/>
                <w:noProof/>
              </w:rPr>
              <w:t>23.2 Ensembles structuraux métalliques CCTB 01.11</w:t>
            </w:r>
            <w:r w:rsidR="00FD58BF">
              <w:rPr>
                <w:noProof/>
                <w:webHidden/>
              </w:rPr>
              <w:tab/>
            </w:r>
            <w:r w:rsidR="00FD58BF">
              <w:rPr>
                <w:noProof/>
                <w:webHidden/>
              </w:rPr>
              <w:fldChar w:fldCharType="begin"/>
            </w:r>
            <w:r w:rsidR="00FD58BF">
              <w:rPr>
                <w:noProof/>
                <w:webHidden/>
              </w:rPr>
              <w:instrText xml:space="preserve"> PAGEREF _Toc178838409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10F96D4F" w14:textId="36A2417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10" w:history="1">
            <w:r w:rsidR="00FD58BF" w:rsidRPr="003004E5">
              <w:rPr>
                <w:rStyle w:val="Lienhypertexte"/>
                <w:noProof/>
              </w:rPr>
              <w:t>23.21 Structures métalliques (poutres/colonnes) CCTB 01.12</w:t>
            </w:r>
            <w:r w:rsidR="00FD58BF">
              <w:rPr>
                <w:noProof/>
                <w:webHidden/>
              </w:rPr>
              <w:tab/>
            </w:r>
            <w:r w:rsidR="00FD58BF">
              <w:rPr>
                <w:noProof/>
                <w:webHidden/>
              </w:rPr>
              <w:fldChar w:fldCharType="begin"/>
            </w:r>
            <w:r w:rsidR="00FD58BF">
              <w:rPr>
                <w:noProof/>
                <w:webHidden/>
              </w:rPr>
              <w:instrText xml:space="preserve"> PAGEREF _Toc178838410 \h </w:instrText>
            </w:r>
            <w:r w:rsidR="00FD58BF">
              <w:rPr>
                <w:noProof/>
                <w:webHidden/>
              </w:rPr>
            </w:r>
            <w:r w:rsidR="00FD58BF">
              <w:rPr>
                <w:noProof/>
                <w:webHidden/>
              </w:rPr>
              <w:fldChar w:fldCharType="separate"/>
            </w:r>
            <w:r w:rsidR="00FD58BF">
              <w:rPr>
                <w:noProof/>
                <w:webHidden/>
              </w:rPr>
              <w:t>784</w:t>
            </w:r>
            <w:r w:rsidR="00FD58BF">
              <w:rPr>
                <w:noProof/>
                <w:webHidden/>
              </w:rPr>
              <w:fldChar w:fldCharType="end"/>
            </w:r>
          </w:hyperlink>
        </w:p>
        <w:p w14:paraId="4BE33289" w14:textId="4B930CF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1" w:history="1">
            <w:r w:rsidR="00FD58BF" w:rsidRPr="003004E5">
              <w:rPr>
                <w:rStyle w:val="Lienhypertexte"/>
                <w:noProof/>
              </w:rPr>
              <w:t>23.21.1 Structures en profilés en acier laminés à chaud CCTB 01.11</w:t>
            </w:r>
            <w:r w:rsidR="00FD58BF">
              <w:rPr>
                <w:noProof/>
                <w:webHidden/>
              </w:rPr>
              <w:tab/>
            </w:r>
            <w:r w:rsidR="00FD58BF">
              <w:rPr>
                <w:noProof/>
                <w:webHidden/>
              </w:rPr>
              <w:fldChar w:fldCharType="begin"/>
            </w:r>
            <w:r w:rsidR="00FD58BF">
              <w:rPr>
                <w:noProof/>
                <w:webHidden/>
              </w:rPr>
              <w:instrText xml:space="preserve"> PAGEREF _Toc178838411 \h </w:instrText>
            </w:r>
            <w:r w:rsidR="00FD58BF">
              <w:rPr>
                <w:noProof/>
                <w:webHidden/>
              </w:rPr>
            </w:r>
            <w:r w:rsidR="00FD58BF">
              <w:rPr>
                <w:noProof/>
                <w:webHidden/>
              </w:rPr>
              <w:fldChar w:fldCharType="separate"/>
            </w:r>
            <w:r w:rsidR="00FD58BF">
              <w:rPr>
                <w:noProof/>
                <w:webHidden/>
              </w:rPr>
              <w:t>786</w:t>
            </w:r>
            <w:r w:rsidR="00FD58BF">
              <w:rPr>
                <w:noProof/>
                <w:webHidden/>
              </w:rPr>
              <w:fldChar w:fldCharType="end"/>
            </w:r>
          </w:hyperlink>
        </w:p>
        <w:p w14:paraId="66168C81" w14:textId="4CEEB18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2" w:history="1">
            <w:r w:rsidR="00FD58BF" w:rsidRPr="003004E5">
              <w:rPr>
                <w:rStyle w:val="Lienhypertexte"/>
                <w:noProof/>
              </w:rPr>
              <w:t>23.21.1a Charpentes en profilés en acier laminés à chaud CCTB 01.12</w:t>
            </w:r>
            <w:r w:rsidR="00FD58BF">
              <w:rPr>
                <w:noProof/>
                <w:webHidden/>
              </w:rPr>
              <w:tab/>
            </w:r>
            <w:r w:rsidR="00FD58BF">
              <w:rPr>
                <w:noProof/>
                <w:webHidden/>
              </w:rPr>
              <w:fldChar w:fldCharType="begin"/>
            </w:r>
            <w:r w:rsidR="00FD58BF">
              <w:rPr>
                <w:noProof/>
                <w:webHidden/>
              </w:rPr>
              <w:instrText xml:space="preserve"> PAGEREF _Toc178838412 \h </w:instrText>
            </w:r>
            <w:r w:rsidR="00FD58BF">
              <w:rPr>
                <w:noProof/>
                <w:webHidden/>
              </w:rPr>
            </w:r>
            <w:r w:rsidR="00FD58BF">
              <w:rPr>
                <w:noProof/>
                <w:webHidden/>
              </w:rPr>
              <w:fldChar w:fldCharType="separate"/>
            </w:r>
            <w:r w:rsidR="00FD58BF">
              <w:rPr>
                <w:noProof/>
                <w:webHidden/>
              </w:rPr>
              <w:t>787</w:t>
            </w:r>
            <w:r w:rsidR="00FD58BF">
              <w:rPr>
                <w:noProof/>
                <w:webHidden/>
              </w:rPr>
              <w:fldChar w:fldCharType="end"/>
            </w:r>
          </w:hyperlink>
        </w:p>
        <w:p w14:paraId="0A192FCC" w14:textId="3E22DFF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3" w:history="1">
            <w:r w:rsidR="00FD58BF" w:rsidRPr="003004E5">
              <w:rPr>
                <w:rStyle w:val="Lienhypertexte"/>
                <w:noProof/>
              </w:rPr>
              <w:t>23.21.1b Portiques en profilés en acier laminés à chaud CCTB 01.04</w:t>
            </w:r>
            <w:r w:rsidR="00FD58BF">
              <w:rPr>
                <w:noProof/>
                <w:webHidden/>
              </w:rPr>
              <w:tab/>
            </w:r>
            <w:r w:rsidR="00FD58BF">
              <w:rPr>
                <w:noProof/>
                <w:webHidden/>
              </w:rPr>
              <w:fldChar w:fldCharType="begin"/>
            </w:r>
            <w:r w:rsidR="00FD58BF">
              <w:rPr>
                <w:noProof/>
                <w:webHidden/>
              </w:rPr>
              <w:instrText xml:space="preserve"> PAGEREF _Toc178838413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034B4D0D" w14:textId="6F845C7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4" w:history="1">
            <w:r w:rsidR="00FD58BF" w:rsidRPr="003004E5">
              <w:rPr>
                <w:rStyle w:val="Lienhypertexte"/>
                <w:noProof/>
              </w:rPr>
              <w:t>23.21.1c Arcs en profilés en acier laminés à chaud CCTB 01.04</w:t>
            </w:r>
            <w:r w:rsidR="00FD58BF">
              <w:rPr>
                <w:noProof/>
                <w:webHidden/>
              </w:rPr>
              <w:tab/>
            </w:r>
            <w:r w:rsidR="00FD58BF">
              <w:rPr>
                <w:noProof/>
                <w:webHidden/>
              </w:rPr>
              <w:fldChar w:fldCharType="begin"/>
            </w:r>
            <w:r w:rsidR="00FD58BF">
              <w:rPr>
                <w:noProof/>
                <w:webHidden/>
              </w:rPr>
              <w:instrText xml:space="preserve"> PAGEREF _Toc178838414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7AD79814" w14:textId="6952D26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5" w:history="1">
            <w:r w:rsidR="00FD58BF" w:rsidRPr="003004E5">
              <w:rPr>
                <w:rStyle w:val="Lienhypertexte"/>
                <w:noProof/>
              </w:rPr>
              <w:t>23.21.1d Potences en profilés en acier laminés à chaud CCTB 01.04</w:t>
            </w:r>
            <w:r w:rsidR="00FD58BF">
              <w:rPr>
                <w:noProof/>
                <w:webHidden/>
              </w:rPr>
              <w:tab/>
            </w:r>
            <w:r w:rsidR="00FD58BF">
              <w:rPr>
                <w:noProof/>
                <w:webHidden/>
              </w:rPr>
              <w:fldChar w:fldCharType="begin"/>
            </w:r>
            <w:r w:rsidR="00FD58BF">
              <w:rPr>
                <w:noProof/>
                <w:webHidden/>
              </w:rPr>
              <w:instrText xml:space="preserve"> PAGEREF _Toc178838415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3BF2257D" w14:textId="221E710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6" w:history="1">
            <w:r w:rsidR="00FD58BF" w:rsidRPr="003004E5">
              <w:rPr>
                <w:rStyle w:val="Lienhypertexte"/>
                <w:noProof/>
              </w:rPr>
              <w:t>23.21.2 Structures en acier formées à froid CCTB 01.04</w:t>
            </w:r>
            <w:r w:rsidR="00FD58BF">
              <w:rPr>
                <w:noProof/>
                <w:webHidden/>
              </w:rPr>
              <w:tab/>
            </w:r>
            <w:r w:rsidR="00FD58BF">
              <w:rPr>
                <w:noProof/>
                <w:webHidden/>
              </w:rPr>
              <w:fldChar w:fldCharType="begin"/>
            </w:r>
            <w:r w:rsidR="00FD58BF">
              <w:rPr>
                <w:noProof/>
                <w:webHidden/>
              </w:rPr>
              <w:instrText xml:space="preserve"> PAGEREF _Toc178838416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5394FE4E" w14:textId="162E31D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7" w:history="1">
            <w:r w:rsidR="00FD58BF" w:rsidRPr="003004E5">
              <w:rPr>
                <w:rStyle w:val="Lienhypertexte"/>
                <w:noProof/>
              </w:rPr>
              <w:t>23.21.2a Charpentes en acier formées à froid CCTB 01.04</w:t>
            </w:r>
            <w:r w:rsidR="00FD58BF">
              <w:rPr>
                <w:noProof/>
                <w:webHidden/>
              </w:rPr>
              <w:tab/>
            </w:r>
            <w:r w:rsidR="00FD58BF">
              <w:rPr>
                <w:noProof/>
                <w:webHidden/>
              </w:rPr>
              <w:fldChar w:fldCharType="begin"/>
            </w:r>
            <w:r w:rsidR="00FD58BF">
              <w:rPr>
                <w:noProof/>
                <w:webHidden/>
              </w:rPr>
              <w:instrText xml:space="preserve"> PAGEREF _Toc178838417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15ECE4A2" w14:textId="5C3BDDF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8" w:history="1">
            <w:r w:rsidR="00FD58BF" w:rsidRPr="003004E5">
              <w:rPr>
                <w:rStyle w:val="Lienhypertexte"/>
                <w:noProof/>
              </w:rPr>
              <w:t>23.21.2b Portiques en acier formés à froid CCTB 01.04</w:t>
            </w:r>
            <w:r w:rsidR="00FD58BF">
              <w:rPr>
                <w:noProof/>
                <w:webHidden/>
              </w:rPr>
              <w:tab/>
            </w:r>
            <w:r w:rsidR="00FD58BF">
              <w:rPr>
                <w:noProof/>
                <w:webHidden/>
              </w:rPr>
              <w:fldChar w:fldCharType="begin"/>
            </w:r>
            <w:r w:rsidR="00FD58BF">
              <w:rPr>
                <w:noProof/>
                <w:webHidden/>
              </w:rPr>
              <w:instrText xml:space="preserve"> PAGEREF _Toc178838418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3C0BDCB7" w14:textId="1ED7E17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9" w:history="1">
            <w:r w:rsidR="00FD58BF" w:rsidRPr="003004E5">
              <w:rPr>
                <w:rStyle w:val="Lienhypertexte"/>
                <w:noProof/>
              </w:rPr>
              <w:t>23.21.2c Arcs en acier formés à froid CCTB 01.04</w:t>
            </w:r>
            <w:r w:rsidR="00FD58BF">
              <w:rPr>
                <w:noProof/>
                <w:webHidden/>
              </w:rPr>
              <w:tab/>
            </w:r>
            <w:r w:rsidR="00FD58BF">
              <w:rPr>
                <w:noProof/>
                <w:webHidden/>
              </w:rPr>
              <w:fldChar w:fldCharType="begin"/>
            </w:r>
            <w:r w:rsidR="00FD58BF">
              <w:rPr>
                <w:noProof/>
                <w:webHidden/>
              </w:rPr>
              <w:instrText xml:space="preserve"> PAGEREF _Toc178838419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2E1F255C" w14:textId="3E3E8E9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0" w:history="1">
            <w:r w:rsidR="00FD58BF" w:rsidRPr="003004E5">
              <w:rPr>
                <w:rStyle w:val="Lienhypertexte"/>
                <w:noProof/>
              </w:rPr>
              <w:t>23.21.2d Potences en acier formées à froid CCTB 01.04</w:t>
            </w:r>
            <w:r w:rsidR="00FD58BF">
              <w:rPr>
                <w:noProof/>
                <w:webHidden/>
              </w:rPr>
              <w:tab/>
            </w:r>
            <w:r w:rsidR="00FD58BF">
              <w:rPr>
                <w:noProof/>
                <w:webHidden/>
              </w:rPr>
              <w:fldChar w:fldCharType="begin"/>
            </w:r>
            <w:r w:rsidR="00FD58BF">
              <w:rPr>
                <w:noProof/>
                <w:webHidden/>
              </w:rPr>
              <w:instrText xml:space="preserve"> PAGEREF _Toc178838420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7BE8FBD5" w14:textId="158A21D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1" w:history="1">
            <w:r w:rsidR="00FD58BF" w:rsidRPr="003004E5">
              <w:rPr>
                <w:rStyle w:val="Lienhypertexte"/>
                <w:noProof/>
              </w:rPr>
              <w:t>23.21.3 Structures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_Toc178838421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34120A2C" w14:textId="1943E36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2" w:history="1">
            <w:r w:rsidR="00FD58BF" w:rsidRPr="003004E5">
              <w:rPr>
                <w:rStyle w:val="Lienhypertexte"/>
                <w:noProof/>
              </w:rPr>
              <w:t>23.21.3a Charpentes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_Toc178838422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331D1420" w14:textId="2F3A577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3" w:history="1">
            <w:r w:rsidR="00FD58BF" w:rsidRPr="003004E5">
              <w:rPr>
                <w:rStyle w:val="Lienhypertexte"/>
                <w:noProof/>
              </w:rPr>
              <w:t>23.21.3b Portiques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_Toc178838423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7D99D6CE" w14:textId="459769D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4" w:history="1">
            <w:r w:rsidR="00FD58BF" w:rsidRPr="003004E5">
              <w:rPr>
                <w:rStyle w:val="Lienhypertexte"/>
                <w:noProof/>
              </w:rPr>
              <w:t>23.21.3c Arcs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_Toc178838424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11D28C1C" w14:textId="6A878A9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5" w:history="1">
            <w:r w:rsidR="00FD58BF" w:rsidRPr="003004E5">
              <w:rPr>
                <w:rStyle w:val="Lienhypertexte"/>
                <w:noProof/>
              </w:rPr>
              <w:t>23.21.3d Potences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_Toc178838425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5555B79B" w14:textId="764B48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6" w:history="1">
            <w:r w:rsidR="00FD58BF" w:rsidRPr="003004E5">
              <w:rPr>
                <w:rStyle w:val="Lienhypertexte"/>
                <w:noProof/>
              </w:rPr>
              <w:t>23.21.4 Structures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_Toc178838426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5471A04E" w14:textId="4A41FEC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7" w:history="1">
            <w:r w:rsidR="00FD58BF" w:rsidRPr="003004E5">
              <w:rPr>
                <w:rStyle w:val="Lienhypertexte"/>
                <w:noProof/>
              </w:rPr>
              <w:t>23.21.4a Charpentes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_Toc178838427 \h </w:instrText>
            </w:r>
            <w:r w:rsidR="00FD58BF">
              <w:rPr>
                <w:noProof/>
                <w:webHidden/>
              </w:rPr>
            </w:r>
            <w:r w:rsidR="00FD58BF">
              <w:rPr>
                <w:noProof/>
                <w:webHidden/>
              </w:rPr>
              <w:fldChar w:fldCharType="separate"/>
            </w:r>
            <w:r w:rsidR="00FD58BF">
              <w:rPr>
                <w:noProof/>
                <w:webHidden/>
              </w:rPr>
              <w:t>790</w:t>
            </w:r>
            <w:r w:rsidR="00FD58BF">
              <w:rPr>
                <w:noProof/>
                <w:webHidden/>
              </w:rPr>
              <w:fldChar w:fldCharType="end"/>
            </w:r>
          </w:hyperlink>
        </w:p>
        <w:p w14:paraId="261FB8DD" w14:textId="1295BC7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8" w:history="1">
            <w:r w:rsidR="00FD58BF" w:rsidRPr="003004E5">
              <w:rPr>
                <w:rStyle w:val="Lienhypertexte"/>
                <w:noProof/>
              </w:rPr>
              <w:t>23.21.4b Portiques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_Toc178838428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2A03B8AC" w14:textId="7856A2E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9" w:history="1">
            <w:r w:rsidR="00FD58BF" w:rsidRPr="003004E5">
              <w:rPr>
                <w:rStyle w:val="Lienhypertexte"/>
                <w:noProof/>
              </w:rPr>
              <w:t>23.21.4c Arcs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_Toc178838429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6BD075C6" w14:textId="038949F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0" w:history="1">
            <w:r w:rsidR="00FD58BF" w:rsidRPr="003004E5">
              <w:rPr>
                <w:rStyle w:val="Lienhypertexte"/>
                <w:noProof/>
              </w:rPr>
              <w:t>23.21.4d Potences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_Toc178838430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37431E39" w14:textId="06B3610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1" w:history="1">
            <w:r w:rsidR="00FD58BF" w:rsidRPr="003004E5">
              <w:rPr>
                <w:rStyle w:val="Lienhypertexte"/>
                <w:noProof/>
              </w:rPr>
              <w:t>23.21.5 Structures en aluminium CCTB 01.04</w:t>
            </w:r>
            <w:r w:rsidR="00FD58BF">
              <w:rPr>
                <w:noProof/>
                <w:webHidden/>
              </w:rPr>
              <w:tab/>
            </w:r>
            <w:r w:rsidR="00FD58BF">
              <w:rPr>
                <w:noProof/>
                <w:webHidden/>
              </w:rPr>
              <w:fldChar w:fldCharType="begin"/>
            </w:r>
            <w:r w:rsidR="00FD58BF">
              <w:rPr>
                <w:noProof/>
                <w:webHidden/>
              </w:rPr>
              <w:instrText xml:space="preserve"> PAGEREF _Toc178838431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24EB3CC3" w14:textId="04D48F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2" w:history="1">
            <w:r w:rsidR="00FD58BF" w:rsidRPr="003004E5">
              <w:rPr>
                <w:rStyle w:val="Lienhypertexte"/>
                <w:noProof/>
              </w:rPr>
              <w:t>23.21.5a Charpentes en aluminium CCTB 01.04</w:t>
            </w:r>
            <w:r w:rsidR="00FD58BF">
              <w:rPr>
                <w:noProof/>
                <w:webHidden/>
              </w:rPr>
              <w:tab/>
            </w:r>
            <w:r w:rsidR="00FD58BF">
              <w:rPr>
                <w:noProof/>
                <w:webHidden/>
              </w:rPr>
              <w:fldChar w:fldCharType="begin"/>
            </w:r>
            <w:r w:rsidR="00FD58BF">
              <w:rPr>
                <w:noProof/>
                <w:webHidden/>
              </w:rPr>
              <w:instrText xml:space="preserve"> PAGEREF _Toc178838432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6F86C653" w14:textId="7137730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3" w:history="1">
            <w:r w:rsidR="00FD58BF" w:rsidRPr="003004E5">
              <w:rPr>
                <w:rStyle w:val="Lienhypertexte"/>
                <w:noProof/>
              </w:rPr>
              <w:t>23.21.5b Portiques en aluminium CCTB 01.04</w:t>
            </w:r>
            <w:r w:rsidR="00FD58BF">
              <w:rPr>
                <w:noProof/>
                <w:webHidden/>
              </w:rPr>
              <w:tab/>
            </w:r>
            <w:r w:rsidR="00FD58BF">
              <w:rPr>
                <w:noProof/>
                <w:webHidden/>
              </w:rPr>
              <w:fldChar w:fldCharType="begin"/>
            </w:r>
            <w:r w:rsidR="00FD58BF">
              <w:rPr>
                <w:noProof/>
                <w:webHidden/>
              </w:rPr>
              <w:instrText xml:space="preserve"> PAGEREF _Toc178838433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207354EA" w14:textId="6E9456D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4" w:history="1">
            <w:r w:rsidR="00FD58BF" w:rsidRPr="003004E5">
              <w:rPr>
                <w:rStyle w:val="Lienhypertexte"/>
                <w:noProof/>
              </w:rPr>
              <w:t>23.21.5c Arcs en aluminium CCTB 01.04</w:t>
            </w:r>
            <w:r w:rsidR="00FD58BF">
              <w:rPr>
                <w:noProof/>
                <w:webHidden/>
              </w:rPr>
              <w:tab/>
            </w:r>
            <w:r w:rsidR="00FD58BF">
              <w:rPr>
                <w:noProof/>
                <w:webHidden/>
              </w:rPr>
              <w:fldChar w:fldCharType="begin"/>
            </w:r>
            <w:r w:rsidR="00FD58BF">
              <w:rPr>
                <w:noProof/>
                <w:webHidden/>
              </w:rPr>
              <w:instrText xml:space="preserve"> PAGEREF _Toc178838434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038D6B1B" w14:textId="4148EFB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5" w:history="1">
            <w:r w:rsidR="00FD58BF" w:rsidRPr="003004E5">
              <w:rPr>
                <w:rStyle w:val="Lienhypertexte"/>
                <w:noProof/>
              </w:rPr>
              <w:t>23.21.5d Potences en aluminium CCTB 01.04</w:t>
            </w:r>
            <w:r w:rsidR="00FD58BF">
              <w:rPr>
                <w:noProof/>
                <w:webHidden/>
              </w:rPr>
              <w:tab/>
            </w:r>
            <w:r w:rsidR="00FD58BF">
              <w:rPr>
                <w:noProof/>
                <w:webHidden/>
              </w:rPr>
              <w:fldChar w:fldCharType="begin"/>
            </w:r>
            <w:r w:rsidR="00FD58BF">
              <w:rPr>
                <w:noProof/>
                <w:webHidden/>
              </w:rPr>
              <w:instrText xml:space="preserve"> PAGEREF _Toc178838435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635292F8" w14:textId="3FB78E0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36" w:history="1">
            <w:r w:rsidR="00FD58BF" w:rsidRPr="003004E5">
              <w:rPr>
                <w:rStyle w:val="Lienhypertexte"/>
                <w:noProof/>
              </w:rPr>
              <w:t>23.22 Planchers métalliques CCTB 01.04</w:t>
            </w:r>
            <w:r w:rsidR="00FD58BF">
              <w:rPr>
                <w:noProof/>
                <w:webHidden/>
              </w:rPr>
              <w:tab/>
            </w:r>
            <w:r w:rsidR="00FD58BF">
              <w:rPr>
                <w:noProof/>
                <w:webHidden/>
              </w:rPr>
              <w:fldChar w:fldCharType="begin"/>
            </w:r>
            <w:r w:rsidR="00FD58BF">
              <w:rPr>
                <w:noProof/>
                <w:webHidden/>
              </w:rPr>
              <w:instrText xml:space="preserve"> PAGEREF _Toc178838436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71DD1BB8" w14:textId="254D781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7" w:history="1">
            <w:r w:rsidR="00FD58BF" w:rsidRPr="003004E5">
              <w:rPr>
                <w:rStyle w:val="Lienhypertexte"/>
                <w:noProof/>
              </w:rPr>
              <w:t>23.22.1 Planchers non collaborants métalliques CCTB 01.04</w:t>
            </w:r>
            <w:r w:rsidR="00FD58BF">
              <w:rPr>
                <w:noProof/>
                <w:webHidden/>
              </w:rPr>
              <w:tab/>
            </w:r>
            <w:r w:rsidR="00FD58BF">
              <w:rPr>
                <w:noProof/>
                <w:webHidden/>
              </w:rPr>
              <w:fldChar w:fldCharType="begin"/>
            </w:r>
            <w:r w:rsidR="00FD58BF">
              <w:rPr>
                <w:noProof/>
                <w:webHidden/>
              </w:rPr>
              <w:instrText xml:space="preserve"> PAGEREF _Toc178838437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4A7D43B3" w14:textId="31AE16B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8" w:history="1">
            <w:r w:rsidR="00FD58BF" w:rsidRPr="003004E5">
              <w:rPr>
                <w:rStyle w:val="Lienhypertexte"/>
                <w:noProof/>
              </w:rPr>
              <w:t>23.22.1a Planchers non collaborants en acier CCTB 01.04</w:t>
            </w:r>
            <w:r w:rsidR="00FD58BF">
              <w:rPr>
                <w:noProof/>
                <w:webHidden/>
              </w:rPr>
              <w:tab/>
            </w:r>
            <w:r w:rsidR="00FD58BF">
              <w:rPr>
                <w:noProof/>
                <w:webHidden/>
              </w:rPr>
              <w:fldChar w:fldCharType="begin"/>
            </w:r>
            <w:r w:rsidR="00FD58BF">
              <w:rPr>
                <w:noProof/>
                <w:webHidden/>
              </w:rPr>
              <w:instrText xml:space="preserve"> PAGEREF _Toc178838438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429B0C8F" w14:textId="37BEDC6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9" w:history="1">
            <w:r w:rsidR="00FD58BF" w:rsidRPr="003004E5">
              <w:rPr>
                <w:rStyle w:val="Lienhypertexte"/>
                <w:noProof/>
              </w:rPr>
              <w:t>23.22.1b Planchers non collaborants en acier inoxydable CCTB 01.04</w:t>
            </w:r>
            <w:r w:rsidR="00FD58BF">
              <w:rPr>
                <w:noProof/>
                <w:webHidden/>
              </w:rPr>
              <w:tab/>
            </w:r>
            <w:r w:rsidR="00FD58BF">
              <w:rPr>
                <w:noProof/>
                <w:webHidden/>
              </w:rPr>
              <w:fldChar w:fldCharType="begin"/>
            </w:r>
            <w:r w:rsidR="00FD58BF">
              <w:rPr>
                <w:noProof/>
                <w:webHidden/>
              </w:rPr>
              <w:instrText xml:space="preserve"> PAGEREF _Toc178838439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513D9E51" w14:textId="6F9BD7A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0" w:history="1">
            <w:r w:rsidR="00FD58BF" w:rsidRPr="003004E5">
              <w:rPr>
                <w:rStyle w:val="Lienhypertexte"/>
                <w:noProof/>
              </w:rPr>
              <w:t>23.22.2 Planchers collaborants métalliques CCTB 01.04</w:t>
            </w:r>
            <w:r w:rsidR="00FD58BF">
              <w:rPr>
                <w:noProof/>
                <w:webHidden/>
              </w:rPr>
              <w:tab/>
            </w:r>
            <w:r w:rsidR="00FD58BF">
              <w:rPr>
                <w:noProof/>
                <w:webHidden/>
              </w:rPr>
              <w:fldChar w:fldCharType="begin"/>
            </w:r>
            <w:r w:rsidR="00FD58BF">
              <w:rPr>
                <w:noProof/>
                <w:webHidden/>
              </w:rPr>
              <w:instrText xml:space="preserve"> PAGEREF _Toc178838440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43EF777F" w14:textId="5F747A3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1" w:history="1">
            <w:r w:rsidR="00FD58BF" w:rsidRPr="003004E5">
              <w:rPr>
                <w:rStyle w:val="Lienhypertexte"/>
                <w:noProof/>
              </w:rPr>
              <w:t>23.22.2a Planchers collaborants en acier-béton CCTB 01.04</w:t>
            </w:r>
            <w:r w:rsidR="00FD58BF">
              <w:rPr>
                <w:noProof/>
                <w:webHidden/>
              </w:rPr>
              <w:tab/>
            </w:r>
            <w:r w:rsidR="00FD58BF">
              <w:rPr>
                <w:noProof/>
                <w:webHidden/>
              </w:rPr>
              <w:fldChar w:fldCharType="begin"/>
            </w:r>
            <w:r w:rsidR="00FD58BF">
              <w:rPr>
                <w:noProof/>
                <w:webHidden/>
              </w:rPr>
              <w:instrText xml:space="preserve"> PAGEREF _Toc178838441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54C81675" w14:textId="7FD3A4B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2" w:history="1">
            <w:r w:rsidR="00FD58BF" w:rsidRPr="003004E5">
              <w:rPr>
                <w:rStyle w:val="Lienhypertexte"/>
                <w:noProof/>
              </w:rPr>
              <w:t>23.22.3 Planchers à poutrelles en acier et entrevous CCTB 01.04</w:t>
            </w:r>
            <w:r w:rsidR="00FD58BF">
              <w:rPr>
                <w:noProof/>
                <w:webHidden/>
              </w:rPr>
              <w:tab/>
            </w:r>
            <w:r w:rsidR="00FD58BF">
              <w:rPr>
                <w:noProof/>
                <w:webHidden/>
              </w:rPr>
              <w:fldChar w:fldCharType="begin"/>
            </w:r>
            <w:r w:rsidR="00FD58BF">
              <w:rPr>
                <w:noProof/>
                <w:webHidden/>
              </w:rPr>
              <w:instrText xml:space="preserve"> PAGEREF _Toc178838442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1B125FBF" w14:textId="22E0D2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3" w:history="1">
            <w:r w:rsidR="00FD58BF" w:rsidRPr="003004E5">
              <w:rPr>
                <w:rStyle w:val="Lienhypertexte"/>
                <w:noProof/>
              </w:rPr>
              <w:t>23.22.3a Planchers à poutrelles en acier et entrevous en béton CCTB 01.04</w:t>
            </w:r>
            <w:r w:rsidR="00FD58BF">
              <w:rPr>
                <w:noProof/>
                <w:webHidden/>
              </w:rPr>
              <w:tab/>
            </w:r>
            <w:r w:rsidR="00FD58BF">
              <w:rPr>
                <w:noProof/>
                <w:webHidden/>
              </w:rPr>
              <w:fldChar w:fldCharType="begin"/>
            </w:r>
            <w:r w:rsidR="00FD58BF">
              <w:rPr>
                <w:noProof/>
                <w:webHidden/>
              </w:rPr>
              <w:instrText xml:space="preserve"> PAGEREF _Toc178838443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2AEFE2AD" w14:textId="6743DC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4" w:history="1">
            <w:r w:rsidR="00FD58BF" w:rsidRPr="003004E5">
              <w:rPr>
                <w:rStyle w:val="Lienhypertexte"/>
                <w:noProof/>
              </w:rPr>
              <w:t>23.22.3b Planchers à poutrelles en acier et entrevous en terre cuite CCTB 01.04</w:t>
            </w:r>
            <w:r w:rsidR="00FD58BF">
              <w:rPr>
                <w:noProof/>
                <w:webHidden/>
              </w:rPr>
              <w:tab/>
            </w:r>
            <w:r w:rsidR="00FD58BF">
              <w:rPr>
                <w:noProof/>
                <w:webHidden/>
              </w:rPr>
              <w:fldChar w:fldCharType="begin"/>
            </w:r>
            <w:r w:rsidR="00FD58BF">
              <w:rPr>
                <w:noProof/>
                <w:webHidden/>
              </w:rPr>
              <w:instrText xml:space="preserve"> PAGEREF _Toc178838444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4FD7DAD7" w14:textId="7206361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5" w:history="1">
            <w:r w:rsidR="00FD58BF" w:rsidRPr="003004E5">
              <w:rPr>
                <w:rStyle w:val="Lienhypertexte"/>
                <w:noProof/>
              </w:rPr>
              <w:t>23.22.3c Planchers à poutrelles en acier et entrevous en polystyrène CCTB 01.12</w:t>
            </w:r>
            <w:r w:rsidR="00FD58BF">
              <w:rPr>
                <w:noProof/>
                <w:webHidden/>
              </w:rPr>
              <w:tab/>
            </w:r>
            <w:r w:rsidR="00FD58BF">
              <w:rPr>
                <w:noProof/>
                <w:webHidden/>
              </w:rPr>
              <w:fldChar w:fldCharType="begin"/>
            </w:r>
            <w:r w:rsidR="00FD58BF">
              <w:rPr>
                <w:noProof/>
                <w:webHidden/>
              </w:rPr>
              <w:instrText xml:space="preserve"> PAGEREF _Toc178838445 \h </w:instrText>
            </w:r>
            <w:r w:rsidR="00FD58BF">
              <w:rPr>
                <w:noProof/>
                <w:webHidden/>
              </w:rPr>
            </w:r>
            <w:r w:rsidR="00FD58BF">
              <w:rPr>
                <w:noProof/>
                <w:webHidden/>
              </w:rPr>
              <w:fldChar w:fldCharType="separate"/>
            </w:r>
            <w:r w:rsidR="00FD58BF">
              <w:rPr>
                <w:noProof/>
                <w:webHidden/>
              </w:rPr>
              <w:t>791</w:t>
            </w:r>
            <w:r w:rsidR="00FD58BF">
              <w:rPr>
                <w:noProof/>
                <w:webHidden/>
              </w:rPr>
              <w:fldChar w:fldCharType="end"/>
            </w:r>
          </w:hyperlink>
        </w:p>
        <w:p w14:paraId="26F35BB3" w14:textId="1D43F0A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6" w:history="1">
            <w:r w:rsidR="00FD58BF" w:rsidRPr="003004E5">
              <w:rPr>
                <w:rStyle w:val="Lienhypertexte"/>
                <w:noProof/>
              </w:rPr>
              <w:t>23.22.3d Planchers à poutrelles en acier et entrevous en fibres de bois agglomérées de ciment CCTB 01.04</w:t>
            </w:r>
            <w:r w:rsidR="00FD58BF">
              <w:rPr>
                <w:noProof/>
                <w:webHidden/>
              </w:rPr>
              <w:tab/>
            </w:r>
            <w:r w:rsidR="00FD58BF">
              <w:rPr>
                <w:noProof/>
                <w:webHidden/>
              </w:rPr>
              <w:fldChar w:fldCharType="begin"/>
            </w:r>
            <w:r w:rsidR="00FD58BF">
              <w:rPr>
                <w:noProof/>
                <w:webHidden/>
              </w:rPr>
              <w:instrText xml:space="preserve"> PAGEREF _Toc178838446 \h </w:instrText>
            </w:r>
            <w:r w:rsidR="00FD58BF">
              <w:rPr>
                <w:noProof/>
                <w:webHidden/>
              </w:rPr>
            </w:r>
            <w:r w:rsidR="00FD58BF">
              <w:rPr>
                <w:noProof/>
                <w:webHidden/>
              </w:rPr>
              <w:fldChar w:fldCharType="separate"/>
            </w:r>
            <w:r w:rsidR="00FD58BF">
              <w:rPr>
                <w:noProof/>
                <w:webHidden/>
              </w:rPr>
              <w:t>795</w:t>
            </w:r>
            <w:r w:rsidR="00FD58BF">
              <w:rPr>
                <w:noProof/>
                <w:webHidden/>
              </w:rPr>
              <w:fldChar w:fldCharType="end"/>
            </w:r>
          </w:hyperlink>
        </w:p>
        <w:p w14:paraId="6111A397" w14:textId="6F99620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7" w:history="1">
            <w:r w:rsidR="00FD58BF" w:rsidRPr="003004E5">
              <w:rPr>
                <w:rStyle w:val="Lienhypertexte"/>
                <w:noProof/>
              </w:rPr>
              <w:t>23.22.3e Planchers à poutrelles en acier et entrevous en copeaux de bois CCTB 01.12</w:t>
            </w:r>
            <w:r w:rsidR="00FD58BF">
              <w:rPr>
                <w:noProof/>
                <w:webHidden/>
              </w:rPr>
              <w:tab/>
            </w:r>
            <w:r w:rsidR="00FD58BF">
              <w:rPr>
                <w:noProof/>
                <w:webHidden/>
              </w:rPr>
              <w:fldChar w:fldCharType="begin"/>
            </w:r>
            <w:r w:rsidR="00FD58BF">
              <w:rPr>
                <w:noProof/>
                <w:webHidden/>
              </w:rPr>
              <w:instrText xml:space="preserve"> PAGEREF _Toc178838447 \h </w:instrText>
            </w:r>
            <w:r w:rsidR="00FD58BF">
              <w:rPr>
                <w:noProof/>
                <w:webHidden/>
              </w:rPr>
            </w:r>
            <w:r w:rsidR="00FD58BF">
              <w:rPr>
                <w:noProof/>
                <w:webHidden/>
              </w:rPr>
              <w:fldChar w:fldCharType="separate"/>
            </w:r>
            <w:r w:rsidR="00FD58BF">
              <w:rPr>
                <w:noProof/>
                <w:webHidden/>
              </w:rPr>
              <w:t>795</w:t>
            </w:r>
            <w:r w:rsidR="00FD58BF">
              <w:rPr>
                <w:noProof/>
                <w:webHidden/>
              </w:rPr>
              <w:fldChar w:fldCharType="end"/>
            </w:r>
          </w:hyperlink>
        </w:p>
        <w:p w14:paraId="7CBDAF38" w14:textId="4BBDE7D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8" w:history="1">
            <w:r w:rsidR="00FD58BF" w:rsidRPr="003004E5">
              <w:rPr>
                <w:rStyle w:val="Lienhypertexte"/>
                <w:noProof/>
              </w:rPr>
              <w:t>23.22.3f Planchers à poutrelles en acier et entrevous en maçonnerie CCTB 01.04</w:t>
            </w:r>
            <w:r w:rsidR="00FD58BF">
              <w:rPr>
                <w:noProof/>
                <w:webHidden/>
              </w:rPr>
              <w:tab/>
            </w:r>
            <w:r w:rsidR="00FD58BF">
              <w:rPr>
                <w:noProof/>
                <w:webHidden/>
              </w:rPr>
              <w:fldChar w:fldCharType="begin"/>
            </w:r>
            <w:r w:rsidR="00FD58BF">
              <w:rPr>
                <w:noProof/>
                <w:webHidden/>
              </w:rPr>
              <w:instrText xml:space="preserve"> PAGEREF _Toc178838448 \h </w:instrText>
            </w:r>
            <w:r w:rsidR="00FD58BF">
              <w:rPr>
                <w:noProof/>
                <w:webHidden/>
              </w:rPr>
            </w:r>
            <w:r w:rsidR="00FD58BF">
              <w:rPr>
                <w:noProof/>
                <w:webHidden/>
              </w:rPr>
              <w:fldChar w:fldCharType="separate"/>
            </w:r>
            <w:r w:rsidR="00FD58BF">
              <w:rPr>
                <w:noProof/>
                <w:webHidden/>
              </w:rPr>
              <w:t>799</w:t>
            </w:r>
            <w:r w:rsidR="00FD58BF">
              <w:rPr>
                <w:noProof/>
                <w:webHidden/>
              </w:rPr>
              <w:fldChar w:fldCharType="end"/>
            </w:r>
          </w:hyperlink>
        </w:p>
        <w:p w14:paraId="13F7EF9B" w14:textId="32D468B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9" w:history="1">
            <w:r w:rsidR="00FD58BF" w:rsidRPr="003004E5">
              <w:rPr>
                <w:rStyle w:val="Lienhypertexte"/>
                <w:noProof/>
              </w:rPr>
              <w:t>23.22.3g Planchers à poutrelles en acier et entrevous en acier CCTB 01.04</w:t>
            </w:r>
            <w:r w:rsidR="00FD58BF">
              <w:rPr>
                <w:noProof/>
                <w:webHidden/>
              </w:rPr>
              <w:tab/>
            </w:r>
            <w:r w:rsidR="00FD58BF">
              <w:rPr>
                <w:noProof/>
                <w:webHidden/>
              </w:rPr>
              <w:fldChar w:fldCharType="begin"/>
            </w:r>
            <w:r w:rsidR="00FD58BF">
              <w:rPr>
                <w:noProof/>
                <w:webHidden/>
              </w:rPr>
              <w:instrText xml:space="preserve"> PAGEREF _Toc178838449 \h </w:instrText>
            </w:r>
            <w:r w:rsidR="00FD58BF">
              <w:rPr>
                <w:noProof/>
                <w:webHidden/>
              </w:rPr>
            </w:r>
            <w:r w:rsidR="00FD58BF">
              <w:rPr>
                <w:noProof/>
                <w:webHidden/>
              </w:rPr>
              <w:fldChar w:fldCharType="separate"/>
            </w:r>
            <w:r w:rsidR="00FD58BF">
              <w:rPr>
                <w:noProof/>
                <w:webHidden/>
              </w:rPr>
              <w:t>799</w:t>
            </w:r>
            <w:r w:rsidR="00FD58BF">
              <w:rPr>
                <w:noProof/>
                <w:webHidden/>
              </w:rPr>
              <w:fldChar w:fldCharType="end"/>
            </w:r>
          </w:hyperlink>
        </w:p>
        <w:p w14:paraId="29AFD551" w14:textId="4D3007A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50" w:history="1">
            <w:r w:rsidR="00FD58BF" w:rsidRPr="003004E5">
              <w:rPr>
                <w:rStyle w:val="Lienhypertexte"/>
                <w:noProof/>
              </w:rPr>
              <w:t>23.23 Charpentes de toiture métalliques CCTB 01.04</w:t>
            </w:r>
            <w:r w:rsidR="00FD58BF">
              <w:rPr>
                <w:noProof/>
                <w:webHidden/>
              </w:rPr>
              <w:tab/>
            </w:r>
            <w:r w:rsidR="00FD58BF">
              <w:rPr>
                <w:noProof/>
                <w:webHidden/>
              </w:rPr>
              <w:fldChar w:fldCharType="begin"/>
            </w:r>
            <w:r w:rsidR="00FD58BF">
              <w:rPr>
                <w:noProof/>
                <w:webHidden/>
              </w:rPr>
              <w:instrText xml:space="preserve"> PAGEREF _Toc178838450 \h </w:instrText>
            </w:r>
            <w:r w:rsidR="00FD58BF">
              <w:rPr>
                <w:noProof/>
                <w:webHidden/>
              </w:rPr>
            </w:r>
            <w:r w:rsidR="00FD58BF">
              <w:rPr>
                <w:noProof/>
                <w:webHidden/>
              </w:rPr>
              <w:fldChar w:fldCharType="separate"/>
            </w:r>
            <w:r w:rsidR="00FD58BF">
              <w:rPr>
                <w:noProof/>
                <w:webHidden/>
              </w:rPr>
              <w:t>799</w:t>
            </w:r>
            <w:r w:rsidR="00FD58BF">
              <w:rPr>
                <w:noProof/>
                <w:webHidden/>
              </w:rPr>
              <w:fldChar w:fldCharType="end"/>
            </w:r>
          </w:hyperlink>
        </w:p>
        <w:p w14:paraId="59974D41" w14:textId="4851477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1" w:history="1">
            <w:r w:rsidR="00FD58BF" w:rsidRPr="003004E5">
              <w:rPr>
                <w:rStyle w:val="Lienhypertexte"/>
                <w:noProof/>
              </w:rPr>
              <w:t>23.23.1 Charpentes de toiture en acier laminé à chaud CCTB 01.12</w:t>
            </w:r>
            <w:r w:rsidR="00FD58BF">
              <w:rPr>
                <w:noProof/>
                <w:webHidden/>
              </w:rPr>
              <w:tab/>
            </w:r>
            <w:r w:rsidR="00FD58BF">
              <w:rPr>
                <w:noProof/>
                <w:webHidden/>
              </w:rPr>
              <w:fldChar w:fldCharType="begin"/>
            </w:r>
            <w:r w:rsidR="00FD58BF">
              <w:rPr>
                <w:noProof/>
                <w:webHidden/>
              </w:rPr>
              <w:instrText xml:space="preserve"> PAGEREF _Toc178838451 \h </w:instrText>
            </w:r>
            <w:r w:rsidR="00FD58BF">
              <w:rPr>
                <w:noProof/>
                <w:webHidden/>
              </w:rPr>
            </w:r>
            <w:r w:rsidR="00FD58BF">
              <w:rPr>
                <w:noProof/>
                <w:webHidden/>
              </w:rPr>
              <w:fldChar w:fldCharType="separate"/>
            </w:r>
            <w:r w:rsidR="00FD58BF">
              <w:rPr>
                <w:noProof/>
                <w:webHidden/>
              </w:rPr>
              <w:t>799</w:t>
            </w:r>
            <w:r w:rsidR="00FD58BF">
              <w:rPr>
                <w:noProof/>
                <w:webHidden/>
              </w:rPr>
              <w:fldChar w:fldCharType="end"/>
            </w:r>
          </w:hyperlink>
        </w:p>
        <w:p w14:paraId="1C7BA5BC" w14:textId="31695EE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2" w:history="1">
            <w:r w:rsidR="00FD58BF" w:rsidRPr="003004E5">
              <w:rPr>
                <w:rStyle w:val="Lienhypertexte"/>
                <w:noProof/>
              </w:rPr>
              <w:t>23.23.1a Fermes de toiture en acier laminé à chaud CCTB 01.11</w:t>
            </w:r>
            <w:r w:rsidR="00FD58BF">
              <w:rPr>
                <w:noProof/>
                <w:webHidden/>
              </w:rPr>
              <w:tab/>
            </w:r>
            <w:r w:rsidR="00FD58BF">
              <w:rPr>
                <w:noProof/>
                <w:webHidden/>
              </w:rPr>
              <w:fldChar w:fldCharType="begin"/>
            </w:r>
            <w:r w:rsidR="00FD58BF">
              <w:rPr>
                <w:noProof/>
                <w:webHidden/>
              </w:rPr>
              <w:instrText xml:space="preserve"> PAGEREF _Toc178838452 \h </w:instrText>
            </w:r>
            <w:r w:rsidR="00FD58BF">
              <w:rPr>
                <w:noProof/>
                <w:webHidden/>
              </w:rPr>
            </w:r>
            <w:r w:rsidR="00FD58BF">
              <w:rPr>
                <w:noProof/>
                <w:webHidden/>
              </w:rPr>
              <w:fldChar w:fldCharType="separate"/>
            </w:r>
            <w:r w:rsidR="00FD58BF">
              <w:rPr>
                <w:noProof/>
                <w:webHidden/>
              </w:rPr>
              <w:t>806</w:t>
            </w:r>
            <w:r w:rsidR="00FD58BF">
              <w:rPr>
                <w:noProof/>
                <w:webHidden/>
              </w:rPr>
              <w:fldChar w:fldCharType="end"/>
            </w:r>
          </w:hyperlink>
        </w:p>
        <w:p w14:paraId="4E91DF15" w14:textId="121DFE1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3" w:history="1">
            <w:r w:rsidR="00FD58BF" w:rsidRPr="003004E5">
              <w:rPr>
                <w:rStyle w:val="Lienhypertexte"/>
                <w:noProof/>
              </w:rPr>
              <w:t>23.23.1b Charpentes de toiture en acier laminé à chaud CCTB 01.11</w:t>
            </w:r>
            <w:r w:rsidR="00FD58BF">
              <w:rPr>
                <w:noProof/>
                <w:webHidden/>
              </w:rPr>
              <w:tab/>
            </w:r>
            <w:r w:rsidR="00FD58BF">
              <w:rPr>
                <w:noProof/>
                <w:webHidden/>
              </w:rPr>
              <w:fldChar w:fldCharType="begin"/>
            </w:r>
            <w:r w:rsidR="00FD58BF">
              <w:rPr>
                <w:noProof/>
                <w:webHidden/>
              </w:rPr>
              <w:instrText xml:space="preserve"> PAGEREF _Toc178838453 \h </w:instrText>
            </w:r>
            <w:r w:rsidR="00FD58BF">
              <w:rPr>
                <w:noProof/>
                <w:webHidden/>
              </w:rPr>
            </w:r>
            <w:r w:rsidR="00FD58BF">
              <w:rPr>
                <w:noProof/>
                <w:webHidden/>
              </w:rPr>
              <w:fldChar w:fldCharType="separate"/>
            </w:r>
            <w:r w:rsidR="00FD58BF">
              <w:rPr>
                <w:noProof/>
                <w:webHidden/>
              </w:rPr>
              <w:t>808</w:t>
            </w:r>
            <w:r w:rsidR="00FD58BF">
              <w:rPr>
                <w:noProof/>
                <w:webHidden/>
              </w:rPr>
              <w:fldChar w:fldCharType="end"/>
            </w:r>
          </w:hyperlink>
        </w:p>
        <w:p w14:paraId="4D2814E6" w14:textId="65305C9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4" w:history="1">
            <w:r w:rsidR="00FD58BF" w:rsidRPr="003004E5">
              <w:rPr>
                <w:rStyle w:val="Lienhypertexte"/>
                <w:noProof/>
              </w:rPr>
              <w:t>23.23.2 Charpentes de toiture en acier formées à froid CCTB 01.04</w:t>
            </w:r>
            <w:r w:rsidR="00FD58BF">
              <w:rPr>
                <w:noProof/>
                <w:webHidden/>
              </w:rPr>
              <w:tab/>
            </w:r>
            <w:r w:rsidR="00FD58BF">
              <w:rPr>
                <w:noProof/>
                <w:webHidden/>
              </w:rPr>
              <w:fldChar w:fldCharType="begin"/>
            </w:r>
            <w:r w:rsidR="00FD58BF">
              <w:rPr>
                <w:noProof/>
                <w:webHidden/>
              </w:rPr>
              <w:instrText xml:space="preserve"> PAGEREF _Toc178838454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15B6A774" w14:textId="1B80A2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5" w:history="1">
            <w:r w:rsidR="00FD58BF" w:rsidRPr="003004E5">
              <w:rPr>
                <w:rStyle w:val="Lienhypertexte"/>
                <w:noProof/>
              </w:rPr>
              <w:t>23.23.2a Fermes de toiture en acier formées à froid CCTB 01.04</w:t>
            </w:r>
            <w:r w:rsidR="00FD58BF">
              <w:rPr>
                <w:noProof/>
                <w:webHidden/>
              </w:rPr>
              <w:tab/>
            </w:r>
            <w:r w:rsidR="00FD58BF">
              <w:rPr>
                <w:noProof/>
                <w:webHidden/>
              </w:rPr>
              <w:fldChar w:fldCharType="begin"/>
            </w:r>
            <w:r w:rsidR="00FD58BF">
              <w:rPr>
                <w:noProof/>
                <w:webHidden/>
              </w:rPr>
              <w:instrText xml:space="preserve"> PAGEREF _Toc178838455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1B42D633" w14:textId="0504C1E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6" w:history="1">
            <w:r w:rsidR="00FD58BF" w:rsidRPr="003004E5">
              <w:rPr>
                <w:rStyle w:val="Lienhypertexte"/>
                <w:noProof/>
              </w:rPr>
              <w:t>23.23.2b Charpentes de toiture en acier formées à froid CCTB 01.04</w:t>
            </w:r>
            <w:r w:rsidR="00FD58BF">
              <w:rPr>
                <w:noProof/>
                <w:webHidden/>
              </w:rPr>
              <w:tab/>
            </w:r>
            <w:r w:rsidR="00FD58BF">
              <w:rPr>
                <w:noProof/>
                <w:webHidden/>
              </w:rPr>
              <w:fldChar w:fldCharType="begin"/>
            </w:r>
            <w:r w:rsidR="00FD58BF">
              <w:rPr>
                <w:noProof/>
                <w:webHidden/>
              </w:rPr>
              <w:instrText xml:space="preserve"> PAGEREF _Toc178838456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6E2019D2" w14:textId="1736492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7" w:history="1">
            <w:r w:rsidR="00FD58BF" w:rsidRPr="003004E5">
              <w:rPr>
                <w:rStyle w:val="Lienhypertexte"/>
                <w:noProof/>
              </w:rPr>
              <w:t>23.23.3 Charpentes de toiture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_Toc178838457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608B8F70" w14:textId="749A1FC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8" w:history="1">
            <w:r w:rsidR="00FD58BF" w:rsidRPr="003004E5">
              <w:rPr>
                <w:rStyle w:val="Lienhypertexte"/>
                <w:noProof/>
              </w:rPr>
              <w:t>23.23.3a Fermes de toiture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_Toc178838458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650AA928" w14:textId="13746CA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9" w:history="1">
            <w:r w:rsidR="00FD58BF" w:rsidRPr="003004E5">
              <w:rPr>
                <w:rStyle w:val="Lienhypertexte"/>
                <w:noProof/>
              </w:rPr>
              <w:t>23.23.3b Charpentes de toiture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_Toc178838459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65084BD4" w14:textId="312E190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60" w:history="1">
            <w:r w:rsidR="00FD58BF" w:rsidRPr="003004E5">
              <w:rPr>
                <w:rStyle w:val="Lienhypertexte"/>
                <w:noProof/>
              </w:rPr>
              <w:t>23.23.4 Charpentes de toiture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_Toc178838460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0A51FE3A" w14:textId="6BDA71A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1" w:history="1">
            <w:r w:rsidR="00FD58BF" w:rsidRPr="003004E5">
              <w:rPr>
                <w:rStyle w:val="Lienhypertexte"/>
                <w:noProof/>
              </w:rPr>
              <w:t>23.23.4a Fermes de toiture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_Toc178838461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0692B45E" w14:textId="582892B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2" w:history="1">
            <w:r w:rsidR="00FD58BF" w:rsidRPr="003004E5">
              <w:rPr>
                <w:rStyle w:val="Lienhypertexte"/>
                <w:noProof/>
              </w:rPr>
              <w:t>23.23.4b Charpentes de toiture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_Toc178838462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451E1D97" w14:textId="2F5A8F0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63" w:history="1">
            <w:r w:rsidR="00FD58BF" w:rsidRPr="003004E5">
              <w:rPr>
                <w:rStyle w:val="Lienhypertexte"/>
                <w:noProof/>
              </w:rPr>
              <w:t>23.23.5 Charpentes de toiture en aluminium CCTB 01.04</w:t>
            </w:r>
            <w:r w:rsidR="00FD58BF">
              <w:rPr>
                <w:noProof/>
                <w:webHidden/>
              </w:rPr>
              <w:tab/>
            </w:r>
            <w:r w:rsidR="00FD58BF">
              <w:rPr>
                <w:noProof/>
                <w:webHidden/>
              </w:rPr>
              <w:fldChar w:fldCharType="begin"/>
            </w:r>
            <w:r w:rsidR="00FD58BF">
              <w:rPr>
                <w:noProof/>
                <w:webHidden/>
              </w:rPr>
              <w:instrText xml:space="preserve"> PAGEREF _Toc178838463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2F620079" w14:textId="5190D63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4" w:history="1">
            <w:r w:rsidR="00FD58BF" w:rsidRPr="003004E5">
              <w:rPr>
                <w:rStyle w:val="Lienhypertexte"/>
                <w:noProof/>
              </w:rPr>
              <w:t>23.23.5a Fermes de toiture en aluminium CCTB 01.04</w:t>
            </w:r>
            <w:r w:rsidR="00FD58BF">
              <w:rPr>
                <w:noProof/>
                <w:webHidden/>
              </w:rPr>
              <w:tab/>
            </w:r>
            <w:r w:rsidR="00FD58BF">
              <w:rPr>
                <w:noProof/>
                <w:webHidden/>
              </w:rPr>
              <w:fldChar w:fldCharType="begin"/>
            </w:r>
            <w:r w:rsidR="00FD58BF">
              <w:rPr>
                <w:noProof/>
                <w:webHidden/>
              </w:rPr>
              <w:instrText xml:space="preserve"> PAGEREF _Toc178838464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5DB8FAE5" w14:textId="0EC599D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5" w:history="1">
            <w:r w:rsidR="00FD58BF" w:rsidRPr="003004E5">
              <w:rPr>
                <w:rStyle w:val="Lienhypertexte"/>
                <w:noProof/>
              </w:rPr>
              <w:t>23.23.5b Charpentes de toiture en aluminium CCTB 01.04</w:t>
            </w:r>
            <w:r w:rsidR="00FD58BF">
              <w:rPr>
                <w:noProof/>
                <w:webHidden/>
              </w:rPr>
              <w:tab/>
            </w:r>
            <w:r w:rsidR="00FD58BF">
              <w:rPr>
                <w:noProof/>
                <w:webHidden/>
              </w:rPr>
              <w:fldChar w:fldCharType="begin"/>
            </w:r>
            <w:r w:rsidR="00FD58BF">
              <w:rPr>
                <w:noProof/>
                <w:webHidden/>
              </w:rPr>
              <w:instrText xml:space="preserve"> PAGEREF _Toc178838465 \h </w:instrText>
            </w:r>
            <w:r w:rsidR="00FD58BF">
              <w:rPr>
                <w:noProof/>
                <w:webHidden/>
              </w:rPr>
            </w:r>
            <w:r w:rsidR="00FD58BF">
              <w:rPr>
                <w:noProof/>
                <w:webHidden/>
              </w:rPr>
              <w:fldChar w:fldCharType="separate"/>
            </w:r>
            <w:r w:rsidR="00FD58BF">
              <w:rPr>
                <w:noProof/>
                <w:webHidden/>
              </w:rPr>
              <w:t>811</w:t>
            </w:r>
            <w:r w:rsidR="00FD58BF">
              <w:rPr>
                <w:noProof/>
                <w:webHidden/>
              </w:rPr>
              <w:fldChar w:fldCharType="end"/>
            </w:r>
          </w:hyperlink>
        </w:p>
        <w:p w14:paraId="1C7E1456" w14:textId="075E6B4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66" w:history="1">
            <w:r w:rsidR="00FD58BF" w:rsidRPr="003004E5">
              <w:rPr>
                <w:rStyle w:val="Lienhypertexte"/>
                <w:noProof/>
              </w:rPr>
              <w:t>23.24 Structures particulières métalliques CCTB 01.11</w:t>
            </w:r>
            <w:r w:rsidR="00FD58BF">
              <w:rPr>
                <w:noProof/>
                <w:webHidden/>
              </w:rPr>
              <w:tab/>
            </w:r>
            <w:r w:rsidR="00FD58BF">
              <w:rPr>
                <w:noProof/>
                <w:webHidden/>
              </w:rPr>
              <w:fldChar w:fldCharType="begin"/>
            </w:r>
            <w:r w:rsidR="00FD58BF">
              <w:rPr>
                <w:noProof/>
                <w:webHidden/>
              </w:rPr>
              <w:instrText xml:space="preserve"> PAGEREF _Toc178838466 \h </w:instrText>
            </w:r>
            <w:r w:rsidR="00FD58BF">
              <w:rPr>
                <w:noProof/>
                <w:webHidden/>
              </w:rPr>
            </w:r>
            <w:r w:rsidR="00FD58BF">
              <w:rPr>
                <w:noProof/>
                <w:webHidden/>
              </w:rPr>
              <w:fldChar w:fldCharType="separate"/>
            </w:r>
            <w:r w:rsidR="00FD58BF">
              <w:rPr>
                <w:noProof/>
                <w:webHidden/>
              </w:rPr>
              <w:t>812</w:t>
            </w:r>
            <w:r w:rsidR="00FD58BF">
              <w:rPr>
                <w:noProof/>
                <w:webHidden/>
              </w:rPr>
              <w:fldChar w:fldCharType="end"/>
            </w:r>
          </w:hyperlink>
        </w:p>
        <w:p w14:paraId="2BDEE55C" w14:textId="075E200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67" w:history="1">
            <w:r w:rsidR="00FD58BF" w:rsidRPr="003004E5">
              <w:rPr>
                <w:rStyle w:val="Lienhypertexte"/>
                <w:noProof/>
              </w:rPr>
              <w:t>23.24.1 Structures particulières en acier laminées à chaud CCTB 01.04</w:t>
            </w:r>
            <w:r w:rsidR="00FD58BF">
              <w:rPr>
                <w:noProof/>
                <w:webHidden/>
              </w:rPr>
              <w:tab/>
            </w:r>
            <w:r w:rsidR="00FD58BF">
              <w:rPr>
                <w:noProof/>
                <w:webHidden/>
              </w:rPr>
              <w:fldChar w:fldCharType="begin"/>
            </w:r>
            <w:r w:rsidR="00FD58BF">
              <w:rPr>
                <w:noProof/>
                <w:webHidden/>
              </w:rPr>
              <w:instrText xml:space="preserve"> PAGEREF _Toc178838467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2111C427" w14:textId="6257DA1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8" w:history="1">
            <w:r w:rsidR="00FD58BF" w:rsidRPr="003004E5">
              <w:rPr>
                <w:rStyle w:val="Lienhypertexte"/>
                <w:noProof/>
              </w:rPr>
              <w:t>23.24.1a Structures tridimensionnelles en acier laminées à chaud CCTB 01.11</w:t>
            </w:r>
            <w:r w:rsidR="00FD58BF">
              <w:rPr>
                <w:noProof/>
                <w:webHidden/>
              </w:rPr>
              <w:tab/>
            </w:r>
            <w:r w:rsidR="00FD58BF">
              <w:rPr>
                <w:noProof/>
                <w:webHidden/>
              </w:rPr>
              <w:fldChar w:fldCharType="begin"/>
            </w:r>
            <w:r w:rsidR="00FD58BF">
              <w:rPr>
                <w:noProof/>
                <w:webHidden/>
              </w:rPr>
              <w:instrText xml:space="preserve"> PAGEREF _Toc178838468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419EDBD1" w14:textId="1AAE17E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9" w:history="1">
            <w:r w:rsidR="00FD58BF" w:rsidRPr="003004E5">
              <w:rPr>
                <w:rStyle w:val="Lienhypertexte"/>
                <w:noProof/>
              </w:rPr>
              <w:t>23.24.1b Ponts roulants en acier laminés à chaud CCTB 01.04</w:t>
            </w:r>
            <w:r w:rsidR="00FD58BF">
              <w:rPr>
                <w:noProof/>
                <w:webHidden/>
              </w:rPr>
              <w:tab/>
            </w:r>
            <w:r w:rsidR="00FD58BF">
              <w:rPr>
                <w:noProof/>
                <w:webHidden/>
              </w:rPr>
              <w:fldChar w:fldCharType="begin"/>
            </w:r>
            <w:r w:rsidR="00FD58BF">
              <w:rPr>
                <w:noProof/>
                <w:webHidden/>
              </w:rPr>
              <w:instrText xml:space="preserve"> PAGEREF _Toc178838469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0663BDFE" w14:textId="456D774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0" w:history="1">
            <w:r w:rsidR="00FD58BF" w:rsidRPr="003004E5">
              <w:rPr>
                <w:rStyle w:val="Lienhypertexte"/>
                <w:noProof/>
              </w:rPr>
              <w:t>23.24.1c Mâts et pylônes en acier laminés à chaud CCTB 01.04</w:t>
            </w:r>
            <w:r w:rsidR="00FD58BF">
              <w:rPr>
                <w:noProof/>
                <w:webHidden/>
              </w:rPr>
              <w:tab/>
            </w:r>
            <w:r w:rsidR="00FD58BF">
              <w:rPr>
                <w:noProof/>
                <w:webHidden/>
              </w:rPr>
              <w:fldChar w:fldCharType="begin"/>
            </w:r>
            <w:r w:rsidR="00FD58BF">
              <w:rPr>
                <w:noProof/>
                <w:webHidden/>
              </w:rPr>
              <w:instrText xml:space="preserve"> PAGEREF _Toc178838470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3B7C5D51" w14:textId="4A4FC73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1" w:history="1">
            <w:r w:rsidR="00FD58BF" w:rsidRPr="003004E5">
              <w:rPr>
                <w:rStyle w:val="Lienhypertexte"/>
                <w:noProof/>
              </w:rPr>
              <w:t>23.24.1d Tôles fortes en acier laminées à chaud CCTB 01.04</w:t>
            </w:r>
            <w:r w:rsidR="00FD58BF">
              <w:rPr>
                <w:noProof/>
                <w:webHidden/>
              </w:rPr>
              <w:tab/>
            </w:r>
            <w:r w:rsidR="00FD58BF">
              <w:rPr>
                <w:noProof/>
                <w:webHidden/>
              </w:rPr>
              <w:fldChar w:fldCharType="begin"/>
            </w:r>
            <w:r w:rsidR="00FD58BF">
              <w:rPr>
                <w:noProof/>
                <w:webHidden/>
              </w:rPr>
              <w:instrText xml:space="preserve"> PAGEREF _Toc178838471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2D14AE10" w14:textId="0C9DB5F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72" w:history="1">
            <w:r w:rsidR="00FD58BF" w:rsidRPr="003004E5">
              <w:rPr>
                <w:rStyle w:val="Lienhypertexte"/>
                <w:noProof/>
              </w:rPr>
              <w:t>23.24.2 Structures particulières en acier formées à froid CCTB 01.04</w:t>
            </w:r>
            <w:r w:rsidR="00FD58BF">
              <w:rPr>
                <w:noProof/>
                <w:webHidden/>
              </w:rPr>
              <w:tab/>
            </w:r>
            <w:r w:rsidR="00FD58BF">
              <w:rPr>
                <w:noProof/>
                <w:webHidden/>
              </w:rPr>
              <w:fldChar w:fldCharType="begin"/>
            </w:r>
            <w:r w:rsidR="00FD58BF">
              <w:rPr>
                <w:noProof/>
                <w:webHidden/>
              </w:rPr>
              <w:instrText xml:space="preserve"> PAGEREF _Toc178838472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0D667A27" w14:textId="549F2AB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3" w:history="1">
            <w:r w:rsidR="00FD58BF" w:rsidRPr="003004E5">
              <w:rPr>
                <w:rStyle w:val="Lienhypertexte"/>
                <w:noProof/>
              </w:rPr>
              <w:t>23.24.2a Structures tridimensionnelles en acier formées à froid CCTB 01.11</w:t>
            </w:r>
            <w:r w:rsidR="00FD58BF">
              <w:rPr>
                <w:noProof/>
                <w:webHidden/>
              </w:rPr>
              <w:tab/>
            </w:r>
            <w:r w:rsidR="00FD58BF">
              <w:rPr>
                <w:noProof/>
                <w:webHidden/>
              </w:rPr>
              <w:fldChar w:fldCharType="begin"/>
            </w:r>
            <w:r w:rsidR="00FD58BF">
              <w:rPr>
                <w:noProof/>
                <w:webHidden/>
              </w:rPr>
              <w:instrText xml:space="preserve"> PAGEREF _Toc178838473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2F68D195" w14:textId="7DB0DAF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4" w:history="1">
            <w:r w:rsidR="00FD58BF" w:rsidRPr="003004E5">
              <w:rPr>
                <w:rStyle w:val="Lienhypertexte"/>
                <w:noProof/>
              </w:rPr>
              <w:t>23.24.2b Ponts roulants en acier formés à froid CCTB 01.04</w:t>
            </w:r>
            <w:r w:rsidR="00FD58BF">
              <w:rPr>
                <w:noProof/>
                <w:webHidden/>
              </w:rPr>
              <w:tab/>
            </w:r>
            <w:r w:rsidR="00FD58BF">
              <w:rPr>
                <w:noProof/>
                <w:webHidden/>
              </w:rPr>
              <w:fldChar w:fldCharType="begin"/>
            </w:r>
            <w:r w:rsidR="00FD58BF">
              <w:rPr>
                <w:noProof/>
                <w:webHidden/>
              </w:rPr>
              <w:instrText xml:space="preserve"> PAGEREF _Toc178838474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633D096F" w14:textId="51C4353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5" w:history="1">
            <w:r w:rsidR="00FD58BF" w:rsidRPr="003004E5">
              <w:rPr>
                <w:rStyle w:val="Lienhypertexte"/>
                <w:noProof/>
              </w:rPr>
              <w:t>23.24.2c Mâts et pylônes en acier formés à froid CCTB 01.04</w:t>
            </w:r>
            <w:r w:rsidR="00FD58BF">
              <w:rPr>
                <w:noProof/>
                <w:webHidden/>
              </w:rPr>
              <w:tab/>
            </w:r>
            <w:r w:rsidR="00FD58BF">
              <w:rPr>
                <w:noProof/>
                <w:webHidden/>
              </w:rPr>
              <w:fldChar w:fldCharType="begin"/>
            </w:r>
            <w:r w:rsidR="00FD58BF">
              <w:rPr>
                <w:noProof/>
                <w:webHidden/>
              </w:rPr>
              <w:instrText xml:space="preserve"> PAGEREF _Toc178838475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379FCC07" w14:textId="2D53975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76" w:history="1">
            <w:r w:rsidR="00FD58BF" w:rsidRPr="003004E5">
              <w:rPr>
                <w:rStyle w:val="Lienhypertexte"/>
                <w:noProof/>
              </w:rPr>
              <w:t>23.24.3 Structures particulières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_Toc178838476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0863072E" w14:textId="7FBBCB5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7" w:history="1">
            <w:r w:rsidR="00FD58BF" w:rsidRPr="003004E5">
              <w:rPr>
                <w:rStyle w:val="Lienhypertexte"/>
                <w:noProof/>
              </w:rPr>
              <w:t>23.24.3a Structures tridimensionnelles en acier inoxydable laminées à chaud CCTB 01.11</w:t>
            </w:r>
            <w:r w:rsidR="00FD58BF">
              <w:rPr>
                <w:noProof/>
                <w:webHidden/>
              </w:rPr>
              <w:tab/>
            </w:r>
            <w:r w:rsidR="00FD58BF">
              <w:rPr>
                <w:noProof/>
                <w:webHidden/>
              </w:rPr>
              <w:fldChar w:fldCharType="begin"/>
            </w:r>
            <w:r w:rsidR="00FD58BF">
              <w:rPr>
                <w:noProof/>
                <w:webHidden/>
              </w:rPr>
              <w:instrText xml:space="preserve"> PAGEREF _Toc178838477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5A1732FF" w14:textId="7B9F2D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8" w:history="1">
            <w:r w:rsidR="00FD58BF" w:rsidRPr="003004E5">
              <w:rPr>
                <w:rStyle w:val="Lienhypertexte"/>
                <w:noProof/>
              </w:rPr>
              <w:t>23.24.3b Ponts roulants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_Toc178838478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470C3ED2" w14:textId="59C042E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9" w:history="1">
            <w:r w:rsidR="00FD58BF" w:rsidRPr="003004E5">
              <w:rPr>
                <w:rStyle w:val="Lienhypertexte"/>
                <w:noProof/>
              </w:rPr>
              <w:t>23.24.3c Mâts et pylônes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_Toc178838479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3BD2E47E" w14:textId="49CACE9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0" w:history="1">
            <w:r w:rsidR="00FD58BF" w:rsidRPr="003004E5">
              <w:rPr>
                <w:rStyle w:val="Lienhypertexte"/>
                <w:noProof/>
              </w:rPr>
              <w:t>23.24.3d Tôles fortes en acier inoxydable laminées à chaud CCTB 01.04</w:t>
            </w:r>
            <w:r w:rsidR="00FD58BF">
              <w:rPr>
                <w:noProof/>
                <w:webHidden/>
              </w:rPr>
              <w:tab/>
            </w:r>
            <w:r w:rsidR="00FD58BF">
              <w:rPr>
                <w:noProof/>
                <w:webHidden/>
              </w:rPr>
              <w:fldChar w:fldCharType="begin"/>
            </w:r>
            <w:r w:rsidR="00FD58BF">
              <w:rPr>
                <w:noProof/>
                <w:webHidden/>
              </w:rPr>
              <w:instrText xml:space="preserve"> PAGEREF _Toc178838480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24948653" w14:textId="77C3DDF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1" w:history="1">
            <w:r w:rsidR="00FD58BF" w:rsidRPr="003004E5">
              <w:rPr>
                <w:rStyle w:val="Lienhypertexte"/>
                <w:noProof/>
              </w:rPr>
              <w:t>23.24.4 Structures particulières en acier inoxydable formées à froid CCTB 01.04</w:t>
            </w:r>
            <w:r w:rsidR="00FD58BF">
              <w:rPr>
                <w:noProof/>
                <w:webHidden/>
              </w:rPr>
              <w:tab/>
            </w:r>
            <w:r w:rsidR="00FD58BF">
              <w:rPr>
                <w:noProof/>
                <w:webHidden/>
              </w:rPr>
              <w:fldChar w:fldCharType="begin"/>
            </w:r>
            <w:r w:rsidR="00FD58BF">
              <w:rPr>
                <w:noProof/>
                <w:webHidden/>
              </w:rPr>
              <w:instrText xml:space="preserve"> PAGEREF _Toc178838481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70F1DBBE" w14:textId="0681275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2" w:history="1">
            <w:r w:rsidR="00FD58BF" w:rsidRPr="003004E5">
              <w:rPr>
                <w:rStyle w:val="Lienhypertexte"/>
                <w:noProof/>
              </w:rPr>
              <w:t>23.24.4a Structures tridimensionnelles en acier inoxydable formées à froid CCTB 01.11</w:t>
            </w:r>
            <w:r w:rsidR="00FD58BF">
              <w:rPr>
                <w:noProof/>
                <w:webHidden/>
              </w:rPr>
              <w:tab/>
            </w:r>
            <w:r w:rsidR="00FD58BF">
              <w:rPr>
                <w:noProof/>
                <w:webHidden/>
              </w:rPr>
              <w:fldChar w:fldCharType="begin"/>
            </w:r>
            <w:r w:rsidR="00FD58BF">
              <w:rPr>
                <w:noProof/>
                <w:webHidden/>
              </w:rPr>
              <w:instrText xml:space="preserve"> PAGEREF _Toc178838482 \h </w:instrText>
            </w:r>
            <w:r w:rsidR="00FD58BF">
              <w:rPr>
                <w:noProof/>
                <w:webHidden/>
              </w:rPr>
            </w:r>
            <w:r w:rsidR="00FD58BF">
              <w:rPr>
                <w:noProof/>
                <w:webHidden/>
              </w:rPr>
              <w:fldChar w:fldCharType="separate"/>
            </w:r>
            <w:r w:rsidR="00FD58BF">
              <w:rPr>
                <w:noProof/>
                <w:webHidden/>
              </w:rPr>
              <w:t>813</w:t>
            </w:r>
            <w:r w:rsidR="00FD58BF">
              <w:rPr>
                <w:noProof/>
                <w:webHidden/>
              </w:rPr>
              <w:fldChar w:fldCharType="end"/>
            </w:r>
          </w:hyperlink>
        </w:p>
        <w:p w14:paraId="0987EDB4" w14:textId="1C39493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3" w:history="1">
            <w:r w:rsidR="00FD58BF" w:rsidRPr="003004E5">
              <w:rPr>
                <w:rStyle w:val="Lienhypertexte"/>
                <w:noProof/>
              </w:rPr>
              <w:t>23.24.4b Ponts roulants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_Toc178838483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3EB6D899" w14:textId="73A419B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4" w:history="1">
            <w:r w:rsidR="00FD58BF" w:rsidRPr="003004E5">
              <w:rPr>
                <w:rStyle w:val="Lienhypertexte"/>
                <w:noProof/>
              </w:rPr>
              <w:t>23.24.4c Mâts et pylônes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_Toc178838484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07A046FE" w14:textId="5DE96E1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5" w:history="1">
            <w:r w:rsidR="00FD58BF" w:rsidRPr="003004E5">
              <w:rPr>
                <w:rStyle w:val="Lienhypertexte"/>
                <w:noProof/>
              </w:rPr>
              <w:t>23.24.5 Structures particulières en aluminium CCTB 01.02</w:t>
            </w:r>
            <w:r w:rsidR="00FD58BF">
              <w:rPr>
                <w:noProof/>
                <w:webHidden/>
              </w:rPr>
              <w:tab/>
            </w:r>
            <w:r w:rsidR="00FD58BF">
              <w:rPr>
                <w:noProof/>
                <w:webHidden/>
              </w:rPr>
              <w:fldChar w:fldCharType="begin"/>
            </w:r>
            <w:r w:rsidR="00FD58BF">
              <w:rPr>
                <w:noProof/>
                <w:webHidden/>
              </w:rPr>
              <w:instrText xml:space="preserve"> PAGEREF _Toc178838485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2AD036D9" w14:textId="339C707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6" w:history="1">
            <w:r w:rsidR="00FD58BF" w:rsidRPr="003004E5">
              <w:rPr>
                <w:rStyle w:val="Lienhypertexte"/>
                <w:noProof/>
              </w:rPr>
              <w:t>23.24.5a Structures tridimensionnelles en aluminium CCTB 01.11</w:t>
            </w:r>
            <w:r w:rsidR="00FD58BF">
              <w:rPr>
                <w:noProof/>
                <w:webHidden/>
              </w:rPr>
              <w:tab/>
            </w:r>
            <w:r w:rsidR="00FD58BF">
              <w:rPr>
                <w:noProof/>
                <w:webHidden/>
              </w:rPr>
              <w:fldChar w:fldCharType="begin"/>
            </w:r>
            <w:r w:rsidR="00FD58BF">
              <w:rPr>
                <w:noProof/>
                <w:webHidden/>
              </w:rPr>
              <w:instrText xml:space="preserve"> PAGEREF _Toc178838486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10D4DBA2" w14:textId="798C62A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7" w:history="1">
            <w:r w:rsidR="00FD58BF" w:rsidRPr="003004E5">
              <w:rPr>
                <w:rStyle w:val="Lienhypertexte"/>
                <w:noProof/>
              </w:rPr>
              <w:t>23.24.5b Mâts et pylônes en aluminium CCTB 01.04</w:t>
            </w:r>
            <w:r w:rsidR="00FD58BF">
              <w:rPr>
                <w:noProof/>
                <w:webHidden/>
              </w:rPr>
              <w:tab/>
            </w:r>
            <w:r w:rsidR="00FD58BF">
              <w:rPr>
                <w:noProof/>
                <w:webHidden/>
              </w:rPr>
              <w:fldChar w:fldCharType="begin"/>
            </w:r>
            <w:r w:rsidR="00FD58BF">
              <w:rPr>
                <w:noProof/>
                <w:webHidden/>
              </w:rPr>
              <w:instrText xml:space="preserve"> PAGEREF _Toc178838487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50FA7D30" w14:textId="16ACB36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88" w:history="1">
            <w:r w:rsidR="00FD58BF" w:rsidRPr="003004E5">
              <w:rPr>
                <w:rStyle w:val="Lienhypertexte"/>
                <w:noProof/>
              </w:rPr>
              <w:t>23.25 Systèmes constructifs particuliers métalliques CCTB 01.04</w:t>
            </w:r>
            <w:r w:rsidR="00FD58BF">
              <w:rPr>
                <w:noProof/>
                <w:webHidden/>
              </w:rPr>
              <w:tab/>
            </w:r>
            <w:r w:rsidR="00FD58BF">
              <w:rPr>
                <w:noProof/>
                <w:webHidden/>
              </w:rPr>
              <w:fldChar w:fldCharType="begin"/>
            </w:r>
            <w:r w:rsidR="00FD58BF">
              <w:rPr>
                <w:noProof/>
                <w:webHidden/>
              </w:rPr>
              <w:instrText xml:space="preserve"> PAGEREF _Toc178838488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34A18224" w14:textId="73DA183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9" w:history="1">
            <w:r w:rsidR="00FD58BF" w:rsidRPr="003004E5">
              <w:rPr>
                <w:rStyle w:val="Lienhypertexte"/>
                <w:noProof/>
              </w:rPr>
              <w:t>23.25.1 Systèmes constructifs particuliers en acier laminés à chaud CCTB 01.04</w:t>
            </w:r>
            <w:r w:rsidR="00FD58BF">
              <w:rPr>
                <w:noProof/>
                <w:webHidden/>
              </w:rPr>
              <w:tab/>
            </w:r>
            <w:r w:rsidR="00FD58BF">
              <w:rPr>
                <w:noProof/>
                <w:webHidden/>
              </w:rPr>
              <w:fldChar w:fldCharType="begin"/>
            </w:r>
            <w:r w:rsidR="00FD58BF">
              <w:rPr>
                <w:noProof/>
                <w:webHidden/>
              </w:rPr>
              <w:instrText xml:space="preserve"> PAGEREF _Toc178838489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330A618A" w14:textId="7EDC20C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0" w:history="1">
            <w:r w:rsidR="00FD58BF" w:rsidRPr="003004E5">
              <w:rPr>
                <w:rStyle w:val="Lienhypertexte"/>
                <w:noProof/>
              </w:rPr>
              <w:t>23.25.1a Systèmes constructifs particuliers en acier laminés à chaud CCTB 01.04</w:t>
            </w:r>
            <w:r w:rsidR="00FD58BF">
              <w:rPr>
                <w:noProof/>
                <w:webHidden/>
              </w:rPr>
              <w:tab/>
            </w:r>
            <w:r w:rsidR="00FD58BF">
              <w:rPr>
                <w:noProof/>
                <w:webHidden/>
              </w:rPr>
              <w:fldChar w:fldCharType="begin"/>
            </w:r>
            <w:r w:rsidR="00FD58BF">
              <w:rPr>
                <w:noProof/>
                <w:webHidden/>
              </w:rPr>
              <w:instrText xml:space="preserve"> PAGEREF _Toc178838490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304CC965" w14:textId="617C2F0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1" w:history="1">
            <w:r w:rsidR="00FD58BF" w:rsidRPr="003004E5">
              <w:rPr>
                <w:rStyle w:val="Lienhypertexte"/>
                <w:noProof/>
              </w:rPr>
              <w:t>23.25.1b Ossatures modulaires préfabriquées en acier laminées à chaud CCTB 01.04</w:t>
            </w:r>
            <w:r w:rsidR="00FD58BF">
              <w:rPr>
                <w:noProof/>
                <w:webHidden/>
              </w:rPr>
              <w:tab/>
            </w:r>
            <w:r w:rsidR="00FD58BF">
              <w:rPr>
                <w:noProof/>
                <w:webHidden/>
              </w:rPr>
              <w:fldChar w:fldCharType="begin"/>
            </w:r>
            <w:r w:rsidR="00FD58BF">
              <w:rPr>
                <w:noProof/>
                <w:webHidden/>
              </w:rPr>
              <w:instrText xml:space="preserve"> PAGEREF _Toc178838491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0CD6EE81" w14:textId="1CB34F7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2" w:history="1">
            <w:r w:rsidR="00FD58BF" w:rsidRPr="003004E5">
              <w:rPr>
                <w:rStyle w:val="Lienhypertexte"/>
                <w:noProof/>
              </w:rPr>
              <w:t>23.25.1c Systèmes constructifs en coques raidies en acier laminées à chaud CCTB 01.04</w:t>
            </w:r>
            <w:r w:rsidR="00FD58BF">
              <w:rPr>
                <w:noProof/>
                <w:webHidden/>
              </w:rPr>
              <w:tab/>
            </w:r>
            <w:r w:rsidR="00FD58BF">
              <w:rPr>
                <w:noProof/>
                <w:webHidden/>
              </w:rPr>
              <w:fldChar w:fldCharType="begin"/>
            </w:r>
            <w:r w:rsidR="00FD58BF">
              <w:rPr>
                <w:noProof/>
                <w:webHidden/>
              </w:rPr>
              <w:instrText xml:space="preserve"> PAGEREF _Toc178838492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2C8870EE" w14:textId="12B076B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93" w:history="1">
            <w:r w:rsidR="00FD58BF" w:rsidRPr="003004E5">
              <w:rPr>
                <w:rStyle w:val="Lienhypertexte"/>
                <w:noProof/>
              </w:rPr>
              <w:t>23.25.2 Systèmes constructifs particuliers en acier formés à froid CCTB 01.04</w:t>
            </w:r>
            <w:r w:rsidR="00FD58BF">
              <w:rPr>
                <w:noProof/>
                <w:webHidden/>
              </w:rPr>
              <w:tab/>
            </w:r>
            <w:r w:rsidR="00FD58BF">
              <w:rPr>
                <w:noProof/>
                <w:webHidden/>
              </w:rPr>
              <w:fldChar w:fldCharType="begin"/>
            </w:r>
            <w:r w:rsidR="00FD58BF">
              <w:rPr>
                <w:noProof/>
                <w:webHidden/>
              </w:rPr>
              <w:instrText xml:space="preserve"> PAGEREF _Toc178838493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0961186E" w14:textId="55AB14C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4" w:history="1">
            <w:r w:rsidR="00FD58BF" w:rsidRPr="003004E5">
              <w:rPr>
                <w:rStyle w:val="Lienhypertexte"/>
                <w:noProof/>
              </w:rPr>
              <w:t>23.25.2a Systèmes constructifs particuliers en acier formés à froid CCTB 01.04</w:t>
            </w:r>
            <w:r w:rsidR="00FD58BF">
              <w:rPr>
                <w:noProof/>
                <w:webHidden/>
              </w:rPr>
              <w:tab/>
            </w:r>
            <w:r w:rsidR="00FD58BF">
              <w:rPr>
                <w:noProof/>
                <w:webHidden/>
              </w:rPr>
              <w:fldChar w:fldCharType="begin"/>
            </w:r>
            <w:r w:rsidR="00FD58BF">
              <w:rPr>
                <w:noProof/>
                <w:webHidden/>
              </w:rPr>
              <w:instrText xml:space="preserve"> PAGEREF _Toc178838494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6CF2EFC0" w14:textId="1EE28CC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5" w:history="1">
            <w:r w:rsidR="00FD58BF" w:rsidRPr="003004E5">
              <w:rPr>
                <w:rStyle w:val="Lienhypertexte"/>
                <w:noProof/>
              </w:rPr>
              <w:t>23.25.2b Ossatures modulaires préfabriquées en acier formées à froid CCTB 01.04</w:t>
            </w:r>
            <w:r w:rsidR="00FD58BF">
              <w:rPr>
                <w:noProof/>
                <w:webHidden/>
              </w:rPr>
              <w:tab/>
            </w:r>
            <w:r w:rsidR="00FD58BF">
              <w:rPr>
                <w:noProof/>
                <w:webHidden/>
              </w:rPr>
              <w:fldChar w:fldCharType="begin"/>
            </w:r>
            <w:r w:rsidR="00FD58BF">
              <w:rPr>
                <w:noProof/>
                <w:webHidden/>
              </w:rPr>
              <w:instrText xml:space="preserve"> PAGEREF _Toc178838495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3EE49701" w14:textId="6BDF3FC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6" w:history="1">
            <w:r w:rsidR="00FD58BF" w:rsidRPr="003004E5">
              <w:rPr>
                <w:rStyle w:val="Lienhypertexte"/>
                <w:noProof/>
              </w:rPr>
              <w:t>23.25.2c Systèmes constructifs en coques raidies en acier formées à froid CCTB 01.04</w:t>
            </w:r>
            <w:r w:rsidR="00FD58BF">
              <w:rPr>
                <w:noProof/>
                <w:webHidden/>
              </w:rPr>
              <w:tab/>
            </w:r>
            <w:r w:rsidR="00FD58BF">
              <w:rPr>
                <w:noProof/>
                <w:webHidden/>
              </w:rPr>
              <w:fldChar w:fldCharType="begin"/>
            </w:r>
            <w:r w:rsidR="00FD58BF">
              <w:rPr>
                <w:noProof/>
                <w:webHidden/>
              </w:rPr>
              <w:instrText xml:space="preserve"> PAGEREF _Toc178838496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6281DDC0" w14:textId="4B6A718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97" w:history="1">
            <w:r w:rsidR="00FD58BF" w:rsidRPr="003004E5">
              <w:rPr>
                <w:rStyle w:val="Lienhypertexte"/>
                <w:noProof/>
              </w:rPr>
              <w:t>23.25.3 Systèmes constructifs particuliers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_Toc178838497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2B24E72B" w14:textId="61E4EA6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8" w:history="1">
            <w:r w:rsidR="00FD58BF" w:rsidRPr="003004E5">
              <w:rPr>
                <w:rStyle w:val="Lienhypertexte"/>
                <w:noProof/>
              </w:rPr>
              <w:t>23.25.3a Systèmes constructifs particuliers en acier inoxydable laminés à chaud CCTB 01.04</w:t>
            </w:r>
            <w:r w:rsidR="00FD58BF">
              <w:rPr>
                <w:noProof/>
                <w:webHidden/>
              </w:rPr>
              <w:tab/>
            </w:r>
            <w:r w:rsidR="00FD58BF">
              <w:rPr>
                <w:noProof/>
                <w:webHidden/>
              </w:rPr>
              <w:fldChar w:fldCharType="begin"/>
            </w:r>
            <w:r w:rsidR="00FD58BF">
              <w:rPr>
                <w:noProof/>
                <w:webHidden/>
              </w:rPr>
              <w:instrText xml:space="preserve"> PAGEREF _Toc178838498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41C51CFC" w14:textId="5ACF45A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99" w:history="1">
            <w:r w:rsidR="00FD58BF" w:rsidRPr="003004E5">
              <w:rPr>
                <w:rStyle w:val="Lienhypertexte"/>
                <w:noProof/>
              </w:rPr>
              <w:t>23.25.4 Systèmes constructifs particuliers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_Toc178838499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41F5CA83" w14:textId="570F286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0" w:history="1">
            <w:r w:rsidR="00FD58BF" w:rsidRPr="003004E5">
              <w:rPr>
                <w:rStyle w:val="Lienhypertexte"/>
                <w:noProof/>
              </w:rPr>
              <w:t>23.25.4a Systèmes constructifs particuliers en acier inoxydable formés à froid CCTB 01.04</w:t>
            </w:r>
            <w:r w:rsidR="00FD58BF">
              <w:rPr>
                <w:noProof/>
                <w:webHidden/>
              </w:rPr>
              <w:tab/>
            </w:r>
            <w:r w:rsidR="00FD58BF">
              <w:rPr>
                <w:noProof/>
                <w:webHidden/>
              </w:rPr>
              <w:fldChar w:fldCharType="begin"/>
            </w:r>
            <w:r w:rsidR="00FD58BF">
              <w:rPr>
                <w:noProof/>
                <w:webHidden/>
              </w:rPr>
              <w:instrText xml:space="preserve"> PAGEREF _Toc178838500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0D66CAB3" w14:textId="14F1BA6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1" w:history="1">
            <w:r w:rsidR="00FD58BF" w:rsidRPr="003004E5">
              <w:rPr>
                <w:rStyle w:val="Lienhypertexte"/>
                <w:noProof/>
              </w:rPr>
              <w:t>23.25.5 Systèmes constructifs particuliers en aluminium CCTB 01.04</w:t>
            </w:r>
            <w:r w:rsidR="00FD58BF">
              <w:rPr>
                <w:noProof/>
                <w:webHidden/>
              </w:rPr>
              <w:tab/>
            </w:r>
            <w:r w:rsidR="00FD58BF">
              <w:rPr>
                <w:noProof/>
                <w:webHidden/>
              </w:rPr>
              <w:fldChar w:fldCharType="begin"/>
            </w:r>
            <w:r w:rsidR="00FD58BF">
              <w:rPr>
                <w:noProof/>
                <w:webHidden/>
              </w:rPr>
              <w:instrText xml:space="preserve"> PAGEREF _Toc178838501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3B7AF6F7" w14:textId="65EF69B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2" w:history="1">
            <w:r w:rsidR="00FD58BF" w:rsidRPr="003004E5">
              <w:rPr>
                <w:rStyle w:val="Lienhypertexte"/>
                <w:noProof/>
              </w:rPr>
              <w:t>23.25.5a Systèmes constructifs particuliers en aluminium CCTB 01.04</w:t>
            </w:r>
            <w:r w:rsidR="00FD58BF">
              <w:rPr>
                <w:noProof/>
                <w:webHidden/>
              </w:rPr>
              <w:tab/>
            </w:r>
            <w:r w:rsidR="00FD58BF">
              <w:rPr>
                <w:noProof/>
                <w:webHidden/>
              </w:rPr>
              <w:fldChar w:fldCharType="begin"/>
            </w:r>
            <w:r w:rsidR="00FD58BF">
              <w:rPr>
                <w:noProof/>
                <w:webHidden/>
              </w:rPr>
              <w:instrText xml:space="preserve"> PAGEREF _Toc178838502 \h </w:instrText>
            </w:r>
            <w:r w:rsidR="00FD58BF">
              <w:rPr>
                <w:noProof/>
                <w:webHidden/>
              </w:rPr>
            </w:r>
            <w:r w:rsidR="00FD58BF">
              <w:rPr>
                <w:noProof/>
                <w:webHidden/>
              </w:rPr>
              <w:fldChar w:fldCharType="separate"/>
            </w:r>
            <w:r w:rsidR="00FD58BF">
              <w:rPr>
                <w:noProof/>
                <w:webHidden/>
              </w:rPr>
              <w:t>814</w:t>
            </w:r>
            <w:r w:rsidR="00FD58BF">
              <w:rPr>
                <w:noProof/>
                <w:webHidden/>
              </w:rPr>
              <w:fldChar w:fldCharType="end"/>
            </w:r>
          </w:hyperlink>
        </w:p>
        <w:p w14:paraId="77613592" w14:textId="6F9DA0B7"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03" w:history="1">
            <w:r w:rsidR="00FD58BF" w:rsidRPr="003004E5">
              <w:rPr>
                <w:rStyle w:val="Lienhypertexte"/>
                <w:noProof/>
              </w:rPr>
              <w:t>23.3 Eléments et structures secondaires métalliques CCTB 01.02</w:t>
            </w:r>
            <w:r w:rsidR="00FD58BF">
              <w:rPr>
                <w:noProof/>
                <w:webHidden/>
              </w:rPr>
              <w:tab/>
            </w:r>
            <w:r w:rsidR="00FD58BF">
              <w:rPr>
                <w:noProof/>
                <w:webHidden/>
              </w:rPr>
              <w:fldChar w:fldCharType="begin"/>
            </w:r>
            <w:r w:rsidR="00FD58BF">
              <w:rPr>
                <w:noProof/>
                <w:webHidden/>
              </w:rPr>
              <w:instrText xml:space="preserve"> PAGEREF _Toc178838503 \h </w:instrText>
            </w:r>
            <w:r w:rsidR="00FD58BF">
              <w:rPr>
                <w:noProof/>
                <w:webHidden/>
              </w:rPr>
            </w:r>
            <w:r w:rsidR="00FD58BF">
              <w:rPr>
                <w:noProof/>
                <w:webHidden/>
              </w:rPr>
              <w:fldChar w:fldCharType="separate"/>
            </w:r>
            <w:r w:rsidR="00FD58BF">
              <w:rPr>
                <w:noProof/>
                <w:webHidden/>
              </w:rPr>
              <w:t>815</w:t>
            </w:r>
            <w:r w:rsidR="00FD58BF">
              <w:rPr>
                <w:noProof/>
                <w:webHidden/>
              </w:rPr>
              <w:fldChar w:fldCharType="end"/>
            </w:r>
          </w:hyperlink>
        </w:p>
        <w:p w14:paraId="67512C0E" w14:textId="316B12C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04" w:history="1">
            <w:r w:rsidR="00FD58BF" w:rsidRPr="003004E5">
              <w:rPr>
                <w:rStyle w:val="Lienhypertexte"/>
                <w:noProof/>
              </w:rPr>
              <w:t>23.31 Escaliers métalliques CCTB 01.11</w:t>
            </w:r>
            <w:r w:rsidR="00FD58BF">
              <w:rPr>
                <w:noProof/>
                <w:webHidden/>
              </w:rPr>
              <w:tab/>
            </w:r>
            <w:r w:rsidR="00FD58BF">
              <w:rPr>
                <w:noProof/>
                <w:webHidden/>
              </w:rPr>
              <w:fldChar w:fldCharType="begin"/>
            </w:r>
            <w:r w:rsidR="00FD58BF">
              <w:rPr>
                <w:noProof/>
                <w:webHidden/>
              </w:rPr>
              <w:instrText xml:space="preserve"> PAGEREF _Toc178838504 \h </w:instrText>
            </w:r>
            <w:r w:rsidR="00FD58BF">
              <w:rPr>
                <w:noProof/>
                <w:webHidden/>
              </w:rPr>
            </w:r>
            <w:r w:rsidR="00FD58BF">
              <w:rPr>
                <w:noProof/>
                <w:webHidden/>
              </w:rPr>
              <w:fldChar w:fldCharType="separate"/>
            </w:r>
            <w:r w:rsidR="00FD58BF">
              <w:rPr>
                <w:noProof/>
                <w:webHidden/>
              </w:rPr>
              <w:t>815</w:t>
            </w:r>
            <w:r w:rsidR="00FD58BF">
              <w:rPr>
                <w:noProof/>
                <w:webHidden/>
              </w:rPr>
              <w:fldChar w:fldCharType="end"/>
            </w:r>
          </w:hyperlink>
        </w:p>
        <w:p w14:paraId="30140568" w14:textId="05BBB71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5" w:history="1">
            <w:r w:rsidR="00FD58BF" w:rsidRPr="003004E5">
              <w:rPr>
                <w:rStyle w:val="Lienhypertexte"/>
                <w:noProof/>
              </w:rPr>
              <w:t>23.31.1 Escaliers en acier CCTB 01.04</w:t>
            </w:r>
            <w:r w:rsidR="00FD58BF">
              <w:rPr>
                <w:noProof/>
                <w:webHidden/>
              </w:rPr>
              <w:tab/>
            </w:r>
            <w:r w:rsidR="00FD58BF">
              <w:rPr>
                <w:noProof/>
                <w:webHidden/>
              </w:rPr>
              <w:fldChar w:fldCharType="begin"/>
            </w:r>
            <w:r w:rsidR="00FD58BF">
              <w:rPr>
                <w:noProof/>
                <w:webHidden/>
              </w:rPr>
              <w:instrText xml:space="preserve"> PAGEREF _Toc178838505 \h </w:instrText>
            </w:r>
            <w:r w:rsidR="00FD58BF">
              <w:rPr>
                <w:noProof/>
                <w:webHidden/>
              </w:rPr>
            </w:r>
            <w:r w:rsidR="00FD58BF">
              <w:rPr>
                <w:noProof/>
                <w:webHidden/>
              </w:rPr>
              <w:fldChar w:fldCharType="separate"/>
            </w:r>
            <w:r w:rsidR="00FD58BF">
              <w:rPr>
                <w:noProof/>
                <w:webHidden/>
              </w:rPr>
              <w:t>820</w:t>
            </w:r>
            <w:r w:rsidR="00FD58BF">
              <w:rPr>
                <w:noProof/>
                <w:webHidden/>
              </w:rPr>
              <w:fldChar w:fldCharType="end"/>
            </w:r>
          </w:hyperlink>
        </w:p>
        <w:p w14:paraId="0B2024FA" w14:textId="65AD441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6" w:history="1">
            <w:r w:rsidR="00FD58BF" w:rsidRPr="003004E5">
              <w:rPr>
                <w:rStyle w:val="Lienhypertexte"/>
                <w:noProof/>
              </w:rPr>
              <w:t>23.31.1a Escaliers en acier CCTB 01.11</w:t>
            </w:r>
            <w:r w:rsidR="00FD58BF">
              <w:rPr>
                <w:noProof/>
                <w:webHidden/>
              </w:rPr>
              <w:tab/>
            </w:r>
            <w:r w:rsidR="00FD58BF">
              <w:rPr>
                <w:noProof/>
                <w:webHidden/>
              </w:rPr>
              <w:fldChar w:fldCharType="begin"/>
            </w:r>
            <w:r w:rsidR="00FD58BF">
              <w:rPr>
                <w:noProof/>
                <w:webHidden/>
              </w:rPr>
              <w:instrText xml:space="preserve"> PAGEREF _Toc178838506 \h </w:instrText>
            </w:r>
            <w:r w:rsidR="00FD58BF">
              <w:rPr>
                <w:noProof/>
                <w:webHidden/>
              </w:rPr>
            </w:r>
            <w:r w:rsidR="00FD58BF">
              <w:rPr>
                <w:noProof/>
                <w:webHidden/>
              </w:rPr>
              <w:fldChar w:fldCharType="separate"/>
            </w:r>
            <w:r w:rsidR="00FD58BF">
              <w:rPr>
                <w:noProof/>
                <w:webHidden/>
              </w:rPr>
              <w:t>820</w:t>
            </w:r>
            <w:r w:rsidR="00FD58BF">
              <w:rPr>
                <w:noProof/>
                <w:webHidden/>
              </w:rPr>
              <w:fldChar w:fldCharType="end"/>
            </w:r>
          </w:hyperlink>
        </w:p>
        <w:p w14:paraId="6B373527" w14:textId="1CA9FB5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7" w:history="1">
            <w:r w:rsidR="00FD58BF" w:rsidRPr="003004E5">
              <w:rPr>
                <w:rStyle w:val="Lienhypertexte"/>
                <w:noProof/>
              </w:rPr>
              <w:t>23.31.2 Escaliers en acier inoxydable CCTB 01.04</w:t>
            </w:r>
            <w:r w:rsidR="00FD58BF">
              <w:rPr>
                <w:noProof/>
                <w:webHidden/>
              </w:rPr>
              <w:tab/>
            </w:r>
            <w:r w:rsidR="00FD58BF">
              <w:rPr>
                <w:noProof/>
                <w:webHidden/>
              </w:rPr>
              <w:fldChar w:fldCharType="begin"/>
            </w:r>
            <w:r w:rsidR="00FD58BF">
              <w:rPr>
                <w:noProof/>
                <w:webHidden/>
              </w:rPr>
              <w:instrText xml:space="preserve"> PAGEREF _Toc178838507 \h </w:instrText>
            </w:r>
            <w:r w:rsidR="00FD58BF">
              <w:rPr>
                <w:noProof/>
                <w:webHidden/>
              </w:rPr>
            </w:r>
            <w:r w:rsidR="00FD58BF">
              <w:rPr>
                <w:noProof/>
                <w:webHidden/>
              </w:rPr>
              <w:fldChar w:fldCharType="separate"/>
            </w:r>
            <w:r w:rsidR="00FD58BF">
              <w:rPr>
                <w:noProof/>
                <w:webHidden/>
              </w:rPr>
              <w:t>825</w:t>
            </w:r>
            <w:r w:rsidR="00FD58BF">
              <w:rPr>
                <w:noProof/>
                <w:webHidden/>
              </w:rPr>
              <w:fldChar w:fldCharType="end"/>
            </w:r>
          </w:hyperlink>
        </w:p>
        <w:p w14:paraId="3FFF0B0F" w14:textId="08DC7FB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8" w:history="1">
            <w:r w:rsidR="00FD58BF" w:rsidRPr="003004E5">
              <w:rPr>
                <w:rStyle w:val="Lienhypertexte"/>
                <w:noProof/>
              </w:rPr>
              <w:t>23.31.2a Escaliers en acier inoxydable CCTB 01.04</w:t>
            </w:r>
            <w:r w:rsidR="00FD58BF">
              <w:rPr>
                <w:noProof/>
                <w:webHidden/>
              </w:rPr>
              <w:tab/>
            </w:r>
            <w:r w:rsidR="00FD58BF">
              <w:rPr>
                <w:noProof/>
                <w:webHidden/>
              </w:rPr>
              <w:fldChar w:fldCharType="begin"/>
            </w:r>
            <w:r w:rsidR="00FD58BF">
              <w:rPr>
                <w:noProof/>
                <w:webHidden/>
              </w:rPr>
              <w:instrText xml:space="preserve"> PAGEREF _Toc178838508 \h </w:instrText>
            </w:r>
            <w:r w:rsidR="00FD58BF">
              <w:rPr>
                <w:noProof/>
                <w:webHidden/>
              </w:rPr>
            </w:r>
            <w:r w:rsidR="00FD58BF">
              <w:rPr>
                <w:noProof/>
                <w:webHidden/>
              </w:rPr>
              <w:fldChar w:fldCharType="separate"/>
            </w:r>
            <w:r w:rsidR="00FD58BF">
              <w:rPr>
                <w:noProof/>
                <w:webHidden/>
              </w:rPr>
              <w:t>825</w:t>
            </w:r>
            <w:r w:rsidR="00FD58BF">
              <w:rPr>
                <w:noProof/>
                <w:webHidden/>
              </w:rPr>
              <w:fldChar w:fldCharType="end"/>
            </w:r>
          </w:hyperlink>
        </w:p>
        <w:p w14:paraId="36581BE3" w14:textId="65BA651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9" w:history="1">
            <w:r w:rsidR="00FD58BF" w:rsidRPr="003004E5">
              <w:rPr>
                <w:rStyle w:val="Lienhypertexte"/>
                <w:noProof/>
              </w:rPr>
              <w:t>23.31.3 Escaliers en aluminium CCTB 01.04</w:t>
            </w:r>
            <w:r w:rsidR="00FD58BF">
              <w:rPr>
                <w:noProof/>
                <w:webHidden/>
              </w:rPr>
              <w:tab/>
            </w:r>
            <w:r w:rsidR="00FD58BF">
              <w:rPr>
                <w:noProof/>
                <w:webHidden/>
              </w:rPr>
              <w:fldChar w:fldCharType="begin"/>
            </w:r>
            <w:r w:rsidR="00FD58BF">
              <w:rPr>
                <w:noProof/>
                <w:webHidden/>
              </w:rPr>
              <w:instrText xml:space="preserve"> PAGEREF _Toc178838509 \h </w:instrText>
            </w:r>
            <w:r w:rsidR="00FD58BF">
              <w:rPr>
                <w:noProof/>
                <w:webHidden/>
              </w:rPr>
            </w:r>
            <w:r w:rsidR="00FD58BF">
              <w:rPr>
                <w:noProof/>
                <w:webHidden/>
              </w:rPr>
              <w:fldChar w:fldCharType="separate"/>
            </w:r>
            <w:r w:rsidR="00FD58BF">
              <w:rPr>
                <w:noProof/>
                <w:webHidden/>
              </w:rPr>
              <w:t>825</w:t>
            </w:r>
            <w:r w:rsidR="00FD58BF">
              <w:rPr>
                <w:noProof/>
                <w:webHidden/>
              </w:rPr>
              <w:fldChar w:fldCharType="end"/>
            </w:r>
          </w:hyperlink>
        </w:p>
        <w:p w14:paraId="6D329A58" w14:textId="6A538EE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0" w:history="1">
            <w:r w:rsidR="00FD58BF" w:rsidRPr="003004E5">
              <w:rPr>
                <w:rStyle w:val="Lienhypertexte"/>
                <w:noProof/>
              </w:rPr>
              <w:t>23.31.3a Escaliers en aluminium CCTB 01.04</w:t>
            </w:r>
            <w:r w:rsidR="00FD58BF">
              <w:rPr>
                <w:noProof/>
                <w:webHidden/>
              </w:rPr>
              <w:tab/>
            </w:r>
            <w:r w:rsidR="00FD58BF">
              <w:rPr>
                <w:noProof/>
                <w:webHidden/>
              </w:rPr>
              <w:fldChar w:fldCharType="begin"/>
            </w:r>
            <w:r w:rsidR="00FD58BF">
              <w:rPr>
                <w:noProof/>
                <w:webHidden/>
              </w:rPr>
              <w:instrText xml:space="preserve"> PAGEREF _Toc178838510 \h </w:instrText>
            </w:r>
            <w:r w:rsidR="00FD58BF">
              <w:rPr>
                <w:noProof/>
                <w:webHidden/>
              </w:rPr>
            </w:r>
            <w:r w:rsidR="00FD58BF">
              <w:rPr>
                <w:noProof/>
                <w:webHidden/>
              </w:rPr>
              <w:fldChar w:fldCharType="separate"/>
            </w:r>
            <w:r w:rsidR="00FD58BF">
              <w:rPr>
                <w:noProof/>
                <w:webHidden/>
              </w:rPr>
              <w:t>825</w:t>
            </w:r>
            <w:r w:rsidR="00FD58BF">
              <w:rPr>
                <w:noProof/>
                <w:webHidden/>
              </w:rPr>
              <w:fldChar w:fldCharType="end"/>
            </w:r>
          </w:hyperlink>
        </w:p>
        <w:p w14:paraId="49581BBA" w14:textId="6FF56A2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11" w:history="1">
            <w:r w:rsidR="00FD58BF" w:rsidRPr="003004E5">
              <w:rPr>
                <w:rStyle w:val="Lienhypertexte"/>
                <w:noProof/>
              </w:rPr>
              <w:t>23.32 Garde-corps et rampes métalliques CCTB 01.11</w:t>
            </w:r>
            <w:r w:rsidR="00FD58BF">
              <w:rPr>
                <w:noProof/>
                <w:webHidden/>
              </w:rPr>
              <w:tab/>
            </w:r>
            <w:r w:rsidR="00FD58BF">
              <w:rPr>
                <w:noProof/>
                <w:webHidden/>
              </w:rPr>
              <w:fldChar w:fldCharType="begin"/>
            </w:r>
            <w:r w:rsidR="00FD58BF">
              <w:rPr>
                <w:noProof/>
                <w:webHidden/>
              </w:rPr>
              <w:instrText xml:space="preserve"> PAGEREF _Toc178838511 \h </w:instrText>
            </w:r>
            <w:r w:rsidR="00FD58BF">
              <w:rPr>
                <w:noProof/>
                <w:webHidden/>
              </w:rPr>
            </w:r>
            <w:r w:rsidR="00FD58BF">
              <w:rPr>
                <w:noProof/>
                <w:webHidden/>
              </w:rPr>
              <w:fldChar w:fldCharType="separate"/>
            </w:r>
            <w:r w:rsidR="00FD58BF">
              <w:rPr>
                <w:noProof/>
                <w:webHidden/>
              </w:rPr>
              <w:t>825</w:t>
            </w:r>
            <w:r w:rsidR="00FD58BF">
              <w:rPr>
                <w:noProof/>
                <w:webHidden/>
              </w:rPr>
              <w:fldChar w:fldCharType="end"/>
            </w:r>
          </w:hyperlink>
        </w:p>
        <w:p w14:paraId="542C8EDA" w14:textId="68EB051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2" w:history="1">
            <w:r w:rsidR="00FD58BF" w:rsidRPr="003004E5">
              <w:rPr>
                <w:rStyle w:val="Lienhypertexte"/>
                <w:noProof/>
              </w:rPr>
              <w:t>23.32.1 Garde-corps et rampes en acier CCTB 01.04</w:t>
            </w:r>
            <w:r w:rsidR="00FD58BF">
              <w:rPr>
                <w:noProof/>
                <w:webHidden/>
              </w:rPr>
              <w:tab/>
            </w:r>
            <w:r w:rsidR="00FD58BF">
              <w:rPr>
                <w:noProof/>
                <w:webHidden/>
              </w:rPr>
              <w:fldChar w:fldCharType="begin"/>
            </w:r>
            <w:r w:rsidR="00FD58BF">
              <w:rPr>
                <w:noProof/>
                <w:webHidden/>
              </w:rPr>
              <w:instrText xml:space="preserve"> PAGEREF _Toc178838512 \h </w:instrText>
            </w:r>
            <w:r w:rsidR="00FD58BF">
              <w:rPr>
                <w:noProof/>
                <w:webHidden/>
              </w:rPr>
            </w:r>
            <w:r w:rsidR="00FD58BF">
              <w:rPr>
                <w:noProof/>
                <w:webHidden/>
              </w:rPr>
              <w:fldChar w:fldCharType="separate"/>
            </w:r>
            <w:r w:rsidR="00FD58BF">
              <w:rPr>
                <w:noProof/>
                <w:webHidden/>
              </w:rPr>
              <w:t>827</w:t>
            </w:r>
            <w:r w:rsidR="00FD58BF">
              <w:rPr>
                <w:noProof/>
                <w:webHidden/>
              </w:rPr>
              <w:fldChar w:fldCharType="end"/>
            </w:r>
          </w:hyperlink>
        </w:p>
        <w:p w14:paraId="4C712AB2" w14:textId="50AD495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3" w:history="1">
            <w:r w:rsidR="00FD58BF" w:rsidRPr="003004E5">
              <w:rPr>
                <w:rStyle w:val="Lienhypertexte"/>
                <w:noProof/>
              </w:rPr>
              <w:t>23.32.1a Garde-corps et rampes en acier CCTB 01.11</w:t>
            </w:r>
            <w:r w:rsidR="00FD58BF">
              <w:rPr>
                <w:noProof/>
                <w:webHidden/>
              </w:rPr>
              <w:tab/>
            </w:r>
            <w:r w:rsidR="00FD58BF">
              <w:rPr>
                <w:noProof/>
                <w:webHidden/>
              </w:rPr>
              <w:fldChar w:fldCharType="begin"/>
            </w:r>
            <w:r w:rsidR="00FD58BF">
              <w:rPr>
                <w:noProof/>
                <w:webHidden/>
              </w:rPr>
              <w:instrText xml:space="preserve"> PAGEREF _Toc178838513 \h </w:instrText>
            </w:r>
            <w:r w:rsidR="00FD58BF">
              <w:rPr>
                <w:noProof/>
                <w:webHidden/>
              </w:rPr>
            </w:r>
            <w:r w:rsidR="00FD58BF">
              <w:rPr>
                <w:noProof/>
                <w:webHidden/>
              </w:rPr>
              <w:fldChar w:fldCharType="separate"/>
            </w:r>
            <w:r w:rsidR="00FD58BF">
              <w:rPr>
                <w:noProof/>
                <w:webHidden/>
              </w:rPr>
              <w:t>827</w:t>
            </w:r>
            <w:r w:rsidR="00FD58BF">
              <w:rPr>
                <w:noProof/>
                <w:webHidden/>
              </w:rPr>
              <w:fldChar w:fldCharType="end"/>
            </w:r>
          </w:hyperlink>
        </w:p>
        <w:p w14:paraId="2C7FBEEA" w14:textId="55956A5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4" w:history="1">
            <w:r w:rsidR="00FD58BF" w:rsidRPr="003004E5">
              <w:rPr>
                <w:rStyle w:val="Lienhypertexte"/>
                <w:noProof/>
              </w:rPr>
              <w:t>23.32.2 Garde-corps et rampes en acier inoxydable CCTB 01.04</w:t>
            </w:r>
            <w:r w:rsidR="00FD58BF">
              <w:rPr>
                <w:noProof/>
                <w:webHidden/>
              </w:rPr>
              <w:tab/>
            </w:r>
            <w:r w:rsidR="00FD58BF">
              <w:rPr>
                <w:noProof/>
                <w:webHidden/>
              </w:rPr>
              <w:fldChar w:fldCharType="begin"/>
            </w:r>
            <w:r w:rsidR="00FD58BF">
              <w:rPr>
                <w:noProof/>
                <w:webHidden/>
              </w:rPr>
              <w:instrText xml:space="preserve"> PAGEREF _Toc178838514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3BCBDF17" w14:textId="04332F9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5" w:history="1">
            <w:r w:rsidR="00FD58BF" w:rsidRPr="003004E5">
              <w:rPr>
                <w:rStyle w:val="Lienhypertexte"/>
                <w:noProof/>
              </w:rPr>
              <w:t>23.32.2a Garde-corps et rampes en acier inoxydable CCTB 01.04</w:t>
            </w:r>
            <w:r w:rsidR="00FD58BF">
              <w:rPr>
                <w:noProof/>
                <w:webHidden/>
              </w:rPr>
              <w:tab/>
            </w:r>
            <w:r w:rsidR="00FD58BF">
              <w:rPr>
                <w:noProof/>
                <w:webHidden/>
              </w:rPr>
              <w:fldChar w:fldCharType="begin"/>
            </w:r>
            <w:r w:rsidR="00FD58BF">
              <w:rPr>
                <w:noProof/>
                <w:webHidden/>
              </w:rPr>
              <w:instrText xml:space="preserve"> PAGEREF _Toc178838515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173A4528" w14:textId="3E314E1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6" w:history="1">
            <w:r w:rsidR="00FD58BF" w:rsidRPr="003004E5">
              <w:rPr>
                <w:rStyle w:val="Lienhypertexte"/>
                <w:noProof/>
              </w:rPr>
              <w:t>23.32.3 Garde-corps et rampes en aluminium CCTB 01.04</w:t>
            </w:r>
            <w:r w:rsidR="00FD58BF">
              <w:rPr>
                <w:noProof/>
                <w:webHidden/>
              </w:rPr>
              <w:tab/>
            </w:r>
            <w:r w:rsidR="00FD58BF">
              <w:rPr>
                <w:noProof/>
                <w:webHidden/>
              </w:rPr>
              <w:fldChar w:fldCharType="begin"/>
            </w:r>
            <w:r w:rsidR="00FD58BF">
              <w:rPr>
                <w:noProof/>
                <w:webHidden/>
              </w:rPr>
              <w:instrText xml:space="preserve"> PAGEREF _Toc178838516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317BD42B" w14:textId="58DADBA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7" w:history="1">
            <w:r w:rsidR="00FD58BF" w:rsidRPr="003004E5">
              <w:rPr>
                <w:rStyle w:val="Lienhypertexte"/>
                <w:noProof/>
              </w:rPr>
              <w:t>23.32.3a Garde-corps et rampes en aluminium CCTB 01.04</w:t>
            </w:r>
            <w:r w:rsidR="00FD58BF">
              <w:rPr>
                <w:noProof/>
                <w:webHidden/>
              </w:rPr>
              <w:tab/>
            </w:r>
            <w:r w:rsidR="00FD58BF">
              <w:rPr>
                <w:noProof/>
                <w:webHidden/>
              </w:rPr>
              <w:fldChar w:fldCharType="begin"/>
            </w:r>
            <w:r w:rsidR="00FD58BF">
              <w:rPr>
                <w:noProof/>
                <w:webHidden/>
              </w:rPr>
              <w:instrText xml:space="preserve"> PAGEREF _Toc178838517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768737C8" w14:textId="2B6088A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18" w:history="1">
            <w:r w:rsidR="00FD58BF" w:rsidRPr="003004E5">
              <w:rPr>
                <w:rStyle w:val="Lienhypertexte"/>
                <w:noProof/>
              </w:rPr>
              <w:t>23.33 Balcons et terrasses métalliques CCTB 01.02</w:t>
            </w:r>
            <w:r w:rsidR="00FD58BF">
              <w:rPr>
                <w:noProof/>
                <w:webHidden/>
              </w:rPr>
              <w:tab/>
            </w:r>
            <w:r w:rsidR="00FD58BF">
              <w:rPr>
                <w:noProof/>
                <w:webHidden/>
              </w:rPr>
              <w:fldChar w:fldCharType="begin"/>
            </w:r>
            <w:r w:rsidR="00FD58BF">
              <w:rPr>
                <w:noProof/>
                <w:webHidden/>
              </w:rPr>
              <w:instrText xml:space="preserve"> PAGEREF _Toc178838518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3C73DC68" w14:textId="739E171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9" w:history="1">
            <w:r w:rsidR="00FD58BF" w:rsidRPr="003004E5">
              <w:rPr>
                <w:rStyle w:val="Lienhypertexte"/>
                <w:noProof/>
              </w:rPr>
              <w:t>23.33.1 Balcons et terrasses en acier CCTB 01.04</w:t>
            </w:r>
            <w:r w:rsidR="00FD58BF">
              <w:rPr>
                <w:noProof/>
                <w:webHidden/>
              </w:rPr>
              <w:tab/>
            </w:r>
            <w:r w:rsidR="00FD58BF">
              <w:rPr>
                <w:noProof/>
                <w:webHidden/>
              </w:rPr>
              <w:fldChar w:fldCharType="begin"/>
            </w:r>
            <w:r w:rsidR="00FD58BF">
              <w:rPr>
                <w:noProof/>
                <w:webHidden/>
              </w:rPr>
              <w:instrText xml:space="preserve"> PAGEREF _Toc178838519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43DB5939" w14:textId="3BD9E1F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0" w:history="1">
            <w:r w:rsidR="00FD58BF" w:rsidRPr="003004E5">
              <w:rPr>
                <w:rStyle w:val="Lienhypertexte"/>
                <w:noProof/>
              </w:rPr>
              <w:t>23.33.1a Balcons et terrasses en acier CCTB 01.04</w:t>
            </w:r>
            <w:r w:rsidR="00FD58BF">
              <w:rPr>
                <w:noProof/>
                <w:webHidden/>
              </w:rPr>
              <w:tab/>
            </w:r>
            <w:r w:rsidR="00FD58BF">
              <w:rPr>
                <w:noProof/>
                <w:webHidden/>
              </w:rPr>
              <w:fldChar w:fldCharType="begin"/>
            </w:r>
            <w:r w:rsidR="00FD58BF">
              <w:rPr>
                <w:noProof/>
                <w:webHidden/>
              </w:rPr>
              <w:instrText xml:space="preserve"> PAGEREF _Toc178838520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50FAB892" w14:textId="2197873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1" w:history="1">
            <w:r w:rsidR="00FD58BF" w:rsidRPr="003004E5">
              <w:rPr>
                <w:rStyle w:val="Lienhypertexte"/>
                <w:noProof/>
              </w:rPr>
              <w:t>23.33.2 Balcons et terrasses en acier inoxydable CCTB 01.04</w:t>
            </w:r>
            <w:r w:rsidR="00FD58BF">
              <w:rPr>
                <w:noProof/>
                <w:webHidden/>
              </w:rPr>
              <w:tab/>
            </w:r>
            <w:r w:rsidR="00FD58BF">
              <w:rPr>
                <w:noProof/>
                <w:webHidden/>
              </w:rPr>
              <w:fldChar w:fldCharType="begin"/>
            </w:r>
            <w:r w:rsidR="00FD58BF">
              <w:rPr>
                <w:noProof/>
                <w:webHidden/>
              </w:rPr>
              <w:instrText xml:space="preserve"> PAGEREF _Toc178838521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3D87A337" w14:textId="613E4B6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2" w:history="1">
            <w:r w:rsidR="00FD58BF" w:rsidRPr="003004E5">
              <w:rPr>
                <w:rStyle w:val="Lienhypertexte"/>
                <w:noProof/>
              </w:rPr>
              <w:t>23.33.2a Balcons et terrasses en acier inoxydable CCTB 01.04</w:t>
            </w:r>
            <w:r w:rsidR="00FD58BF">
              <w:rPr>
                <w:noProof/>
                <w:webHidden/>
              </w:rPr>
              <w:tab/>
            </w:r>
            <w:r w:rsidR="00FD58BF">
              <w:rPr>
                <w:noProof/>
                <w:webHidden/>
              </w:rPr>
              <w:fldChar w:fldCharType="begin"/>
            </w:r>
            <w:r w:rsidR="00FD58BF">
              <w:rPr>
                <w:noProof/>
                <w:webHidden/>
              </w:rPr>
              <w:instrText xml:space="preserve"> PAGEREF _Toc178838522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178D3738" w14:textId="73A6715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3" w:history="1">
            <w:r w:rsidR="00FD58BF" w:rsidRPr="003004E5">
              <w:rPr>
                <w:rStyle w:val="Lienhypertexte"/>
                <w:noProof/>
              </w:rPr>
              <w:t>23.33.3 Balcons et terrasses en aluminium CCTB 01.04</w:t>
            </w:r>
            <w:r w:rsidR="00FD58BF">
              <w:rPr>
                <w:noProof/>
                <w:webHidden/>
              </w:rPr>
              <w:tab/>
            </w:r>
            <w:r w:rsidR="00FD58BF">
              <w:rPr>
                <w:noProof/>
                <w:webHidden/>
              </w:rPr>
              <w:fldChar w:fldCharType="begin"/>
            </w:r>
            <w:r w:rsidR="00FD58BF">
              <w:rPr>
                <w:noProof/>
                <w:webHidden/>
              </w:rPr>
              <w:instrText xml:space="preserve"> PAGEREF _Toc178838523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1F8C28B3" w14:textId="62C82EA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4" w:history="1">
            <w:r w:rsidR="00FD58BF" w:rsidRPr="003004E5">
              <w:rPr>
                <w:rStyle w:val="Lienhypertexte"/>
                <w:noProof/>
              </w:rPr>
              <w:t>23.33.3a Balcons et terrasses en aluminium CCTB 01.04</w:t>
            </w:r>
            <w:r w:rsidR="00FD58BF">
              <w:rPr>
                <w:noProof/>
                <w:webHidden/>
              </w:rPr>
              <w:tab/>
            </w:r>
            <w:r w:rsidR="00FD58BF">
              <w:rPr>
                <w:noProof/>
                <w:webHidden/>
              </w:rPr>
              <w:fldChar w:fldCharType="begin"/>
            </w:r>
            <w:r w:rsidR="00FD58BF">
              <w:rPr>
                <w:noProof/>
                <w:webHidden/>
              </w:rPr>
              <w:instrText xml:space="preserve"> PAGEREF _Toc178838524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5F022E32" w14:textId="791F6D4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25" w:history="1">
            <w:r w:rsidR="00FD58BF" w:rsidRPr="003004E5">
              <w:rPr>
                <w:rStyle w:val="Lienhypertexte"/>
                <w:noProof/>
              </w:rPr>
              <w:t>23.34 Passerelles et coursives métalliques CCTB 01.11</w:t>
            </w:r>
            <w:r w:rsidR="00FD58BF">
              <w:rPr>
                <w:noProof/>
                <w:webHidden/>
              </w:rPr>
              <w:tab/>
            </w:r>
            <w:r w:rsidR="00FD58BF">
              <w:rPr>
                <w:noProof/>
                <w:webHidden/>
              </w:rPr>
              <w:fldChar w:fldCharType="begin"/>
            </w:r>
            <w:r w:rsidR="00FD58BF">
              <w:rPr>
                <w:noProof/>
                <w:webHidden/>
              </w:rPr>
              <w:instrText xml:space="preserve"> PAGEREF _Toc178838525 \h </w:instrText>
            </w:r>
            <w:r w:rsidR="00FD58BF">
              <w:rPr>
                <w:noProof/>
                <w:webHidden/>
              </w:rPr>
            </w:r>
            <w:r w:rsidR="00FD58BF">
              <w:rPr>
                <w:noProof/>
                <w:webHidden/>
              </w:rPr>
              <w:fldChar w:fldCharType="separate"/>
            </w:r>
            <w:r w:rsidR="00FD58BF">
              <w:rPr>
                <w:noProof/>
                <w:webHidden/>
              </w:rPr>
              <w:t>831</w:t>
            </w:r>
            <w:r w:rsidR="00FD58BF">
              <w:rPr>
                <w:noProof/>
                <w:webHidden/>
              </w:rPr>
              <w:fldChar w:fldCharType="end"/>
            </w:r>
          </w:hyperlink>
        </w:p>
        <w:p w14:paraId="71B325D4" w14:textId="4BF30AF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6" w:history="1">
            <w:r w:rsidR="00FD58BF" w:rsidRPr="003004E5">
              <w:rPr>
                <w:rStyle w:val="Lienhypertexte"/>
                <w:noProof/>
              </w:rPr>
              <w:t>23.34.1 Passerelles et coursives en acier CCTB 01.04</w:t>
            </w:r>
            <w:r w:rsidR="00FD58BF">
              <w:rPr>
                <w:noProof/>
                <w:webHidden/>
              </w:rPr>
              <w:tab/>
            </w:r>
            <w:r w:rsidR="00FD58BF">
              <w:rPr>
                <w:noProof/>
                <w:webHidden/>
              </w:rPr>
              <w:fldChar w:fldCharType="begin"/>
            </w:r>
            <w:r w:rsidR="00FD58BF">
              <w:rPr>
                <w:noProof/>
                <w:webHidden/>
              </w:rPr>
              <w:instrText xml:space="preserve"> PAGEREF _Toc178838526 \h </w:instrText>
            </w:r>
            <w:r w:rsidR="00FD58BF">
              <w:rPr>
                <w:noProof/>
                <w:webHidden/>
              </w:rPr>
            </w:r>
            <w:r w:rsidR="00FD58BF">
              <w:rPr>
                <w:noProof/>
                <w:webHidden/>
              </w:rPr>
              <w:fldChar w:fldCharType="separate"/>
            </w:r>
            <w:r w:rsidR="00FD58BF">
              <w:rPr>
                <w:noProof/>
                <w:webHidden/>
              </w:rPr>
              <w:t>835</w:t>
            </w:r>
            <w:r w:rsidR="00FD58BF">
              <w:rPr>
                <w:noProof/>
                <w:webHidden/>
              </w:rPr>
              <w:fldChar w:fldCharType="end"/>
            </w:r>
          </w:hyperlink>
        </w:p>
        <w:p w14:paraId="00BF24EA" w14:textId="1BC8B5A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7" w:history="1">
            <w:r w:rsidR="00FD58BF" w:rsidRPr="003004E5">
              <w:rPr>
                <w:rStyle w:val="Lienhypertexte"/>
                <w:noProof/>
              </w:rPr>
              <w:t>23.34.1a Passerelles et coursives en acier CCTB 01.12</w:t>
            </w:r>
            <w:r w:rsidR="00FD58BF">
              <w:rPr>
                <w:noProof/>
                <w:webHidden/>
              </w:rPr>
              <w:tab/>
            </w:r>
            <w:r w:rsidR="00FD58BF">
              <w:rPr>
                <w:noProof/>
                <w:webHidden/>
              </w:rPr>
              <w:fldChar w:fldCharType="begin"/>
            </w:r>
            <w:r w:rsidR="00FD58BF">
              <w:rPr>
                <w:noProof/>
                <w:webHidden/>
              </w:rPr>
              <w:instrText xml:space="preserve"> PAGEREF _Toc178838527 \h </w:instrText>
            </w:r>
            <w:r w:rsidR="00FD58BF">
              <w:rPr>
                <w:noProof/>
                <w:webHidden/>
              </w:rPr>
            </w:r>
            <w:r w:rsidR="00FD58BF">
              <w:rPr>
                <w:noProof/>
                <w:webHidden/>
              </w:rPr>
              <w:fldChar w:fldCharType="separate"/>
            </w:r>
            <w:r w:rsidR="00FD58BF">
              <w:rPr>
                <w:noProof/>
                <w:webHidden/>
              </w:rPr>
              <w:t>835</w:t>
            </w:r>
            <w:r w:rsidR="00FD58BF">
              <w:rPr>
                <w:noProof/>
                <w:webHidden/>
              </w:rPr>
              <w:fldChar w:fldCharType="end"/>
            </w:r>
          </w:hyperlink>
        </w:p>
        <w:p w14:paraId="3FF7D1E4" w14:textId="692E847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8" w:history="1">
            <w:r w:rsidR="00FD58BF" w:rsidRPr="003004E5">
              <w:rPr>
                <w:rStyle w:val="Lienhypertexte"/>
                <w:noProof/>
              </w:rPr>
              <w:t>23.34.2 Passerelles et coursives en acier inoxydable CCTB 01.04</w:t>
            </w:r>
            <w:r w:rsidR="00FD58BF">
              <w:rPr>
                <w:noProof/>
                <w:webHidden/>
              </w:rPr>
              <w:tab/>
            </w:r>
            <w:r w:rsidR="00FD58BF">
              <w:rPr>
                <w:noProof/>
                <w:webHidden/>
              </w:rPr>
              <w:fldChar w:fldCharType="begin"/>
            </w:r>
            <w:r w:rsidR="00FD58BF">
              <w:rPr>
                <w:noProof/>
                <w:webHidden/>
              </w:rPr>
              <w:instrText xml:space="preserve"> PAGEREF _Toc178838528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213BEA1A" w14:textId="2B78E20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9" w:history="1">
            <w:r w:rsidR="00FD58BF" w:rsidRPr="003004E5">
              <w:rPr>
                <w:rStyle w:val="Lienhypertexte"/>
                <w:noProof/>
              </w:rPr>
              <w:t>23.34.2a Passerelles et coursives en acier inoxydable CCTB 01.04</w:t>
            </w:r>
            <w:r w:rsidR="00FD58BF">
              <w:rPr>
                <w:noProof/>
                <w:webHidden/>
              </w:rPr>
              <w:tab/>
            </w:r>
            <w:r w:rsidR="00FD58BF">
              <w:rPr>
                <w:noProof/>
                <w:webHidden/>
              </w:rPr>
              <w:fldChar w:fldCharType="begin"/>
            </w:r>
            <w:r w:rsidR="00FD58BF">
              <w:rPr>
                <w:noProof/>
                <w:webHidden/>
              </w:rPr>
              <w:instrText xml:space="preserve"> PAGEREF _Toc178838529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1290B752" w14:textId="04AE99B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0" w:history="1">
            <w:r w:rsidR="00FD58BF" w:rsidRPr="003004E5">
              <w:rPr>
                <w:rStyle w:val="Lienhypertexte"/>
                <w:noProof/>
              </w:rPr>
              <w:t>23.34.3 Passerelles et coursives en aluminium CCTB 01.04</w:t>
            </w:r>
            <w:r w:rsidR="00FD58BF">
              <w:rPr>
                <w:noProof/>
                <w:webHidden/>
              </w:rPr>
              <w:tab/>
            </w:r>
            <w:r w:rsidR="00FD58BF">
              <w:rPr>
                <w:noProof/>
                <w:webHidden/>
              </w:rPr>
              <w:fldChar w:fldCharType="begin"/>
            </w:r>
            <w:r w:rsidR="00FD58BF">
              <w:rPr>
                <w:noProof/>
                <w:webHidden/>
              </w:rPr>
              <w:instrText xml:space="preserve"> PAGEREF _Toc178838530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54D59064" w14:textId="5188C24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1" w:history="1">
            <w:r w:rsidR="00FD58BF" w:rsidRPr="003004E5">
              <w:rPr>
                <w:rStyle w:val="Lienhypertexte"/>
                <w:noProof/>
              </w:rPr>
              <w:t>23.34.3a Passerelles et coursives en aluminium CCTB 01.04</w:t>
            </w:r>
            <w:r w:rsidR="00FD58BF">
              <w:rPr>
                <w:noProof/>
                <w:webHidden/>
              </w:rPr>
              <w:tab/>
            </w:r>
            <w:r w:rsidR="00FD58BF">
              <w:rPr>
                <w:noProof/>
                <w:webHidden/>
              </w:rPr>
              <w:fldChar w:fldCharType="begin"/>
            </w:r>
            <w:r w:rsidR="00FD58BF">
              <w:rPr>
                <w:noProof/>
                <w:webHidden/>
              </w:rPr>
              <w:instrText xml:space="preserve"> PAGEREF _Toc178838531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201130BC" w14:textId="26E407F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32" w:history="1">
            <w:r w:rsidR="00FD58BF" w:rsidRPr="003004E5">
              <w:rPr>
                <w:rStyle w:val="Lienhypertexte"/>
                <w:noProof/>
              </w:rPr>
              <w:t>23.35 Auvents métalliques CCTB 01.02</w:t>
            </w:r>
            <w:r w:rsidR="00FD58BF">
              <w:rPr>
                <w:noProof/>
                <w:webHidden/>
              </w:rPr>
              <w:tab/>
            </w:r>
            <w:r w:rsidR="00FD58BF">
              <w:rPr>
                <w:noProof/>
                <w:webHidden/>
              </w:rPr>
              <w:fldChar w:fldCharType="begin"/>
            </w:r>
            <w:r w:rsidR="00FD58BF">
              <w:rPr>
                <w:noProof/>
                <w:webHidden/>
              </w:rPr>
              <w:instrText xml:space="preserve"> PAGEREF _Toc178838532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4E875F0F" w14:textId="314727C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3" w:history="1">
            <w:r w:rsidR="00FD58BF" w:rsidRPr="003004E5">
              <w:rPr>
                <w:rStyle w:val="Lienhypertexte"/>
                <w:noProof/>
              </w:rPr>
              <w:t>23.35.1 Auvents métalliques en acier CCTB 01.04</w:t>
            </w:r>
            <w:r w:rsidR="00FD58BF">
              <w:rPr>
                <w:noProof/>
                <w:webHidden/>
              </w:rPr>
              <w:tab/>
            </w:r>
            <w:r w:rsidR="00FD58BF">
              <w:rPr>
                <w:noProof/>
                <w:webHidden/>
              </w:rPr>
              <w:fldChar w:fldCharType="begin"/>
            </w:r>
            <w:r w:rsidR="00FD58BF">
              <w:rPr>
                <w:noProof/>
                <w:webHidden/>
              </w:rPr>
              <w:instrText xml:space="preserve"> PAGEREF _Toc178838533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3A569638" w14:textId="2275009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4" w:history="1">
            <w:r w:rsidR="00FD58BF" w:rsidRPr="003004E5">
              <w:rPr>
                <w:rStyle w:val="Lienhypertexte"/>
                <w:noProof/>
              </w:rPr>
              <w:t>23.35.1a Auvents métalliques en acier CCTB 01.04</w:t>
            </w:r>
            <w:r w:rsidR="00FD58BF">
              <w:rPr>
                <w:noProof/>
                <w:webHidden/>
              </w:rPr>
              <w:tab/>
            </w:r>
            <w:r w:rsidR="00FD58BF">
              <w:rPr>
                <w:noProof/>
                <w:webHidden/>
              </w:rPr>
              <w:fldChar w:fldCharType="begin"/>
            </w:r>
            <w:r w:rsidR="00FD58BF">
              <w:rPr>
                <w:noProof/>
                <w:webHidden/>
              </w:rPr>
              <w:instrText xml:space="preserve"> PAGEREF _Toc178838534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26CDBF08" w14:textId="3F7BF18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5" w:history="1">
            <w:r w:rsidR="00FD58BF" w:rsidRPr="003004E5">
              <w:rPr>
                <w:rStyle w:val="Lienhypertexte"/>
                <w:noProof/>
              </w:rPr>
              <w:t>23.35.2 Auvents métalliques en acier inoxydable CCTB 01.04</w:t>
            </w:r>
            <w:r w:rsidR="00FD58BF">
              <w:rPr>
                <w:noProof/>
                <w:webHidden/>
              </w:rPr>
              <w:tab/>
            </w:r>
            <w:r w:rsidR="00FD58BF">
              <w:rPr>
                <w:noProof/>
                <w:webHidden/>
              </w:rPr>
              <w:fldChar w:fldCharType="begin"/>
            </w:r>
            <w:r w:rsidR="00FD58BF">
              <w:rPr>
                <w:noProof/>
                <w:webHidden/>
              </w:rPr>
              <w:instrText xml:space="preserve"> PAGEREF _Toc178838535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3E2663D5" w14:textId="67C5747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6" w:history="1">
            <w:r w:rsidR="00FD58BF" w:rsidRPr="003004E5">
              <w:rPr>
                <w:rStyle w:val="Lienhypertexte"/>
                <w:noProof/>
              </w:rPr>
              <w:t>23.35.2a Auvents métalliques en acier inoxydable CCTB 01.04</w:t>
            </w:r>
            <w:r w:rsidR="00FD58BF">
              <w:rPr>
                <w:noProof/>
                <w:webHidden/>
              </w:rPr>
              <w:tab/>
            </w:r>
            <w:r w:rsidR="00FD58BF">
              <w:rPr>
                <w:noProof/>
                <w:webHidden/>
              </w:rPr>
              <w:fldChar w:fldCharType="begin"/>
            </w:r>
            <w:r w:rsidR="00FD58BF">
              <w:rPr>
                <w:noProof/>
                <w:webHidden/>
              </w:rPr>
              <w:instrText xml:space="preserve"> PAGEREF _Toc178838536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61D0B89F" w14:textId="7564AAF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7" w:history="1">
            <w:r w:rsidR="00FD58BF" w:rsidRPr="003004E5">
              <w:rPr>
                <w:rStyle w:val="Lienhypertexte"/>
                <w:noProof/>
              </w:rPr>
              <w:t>23.35.3 Auvents métalliques en aluminium CCTB 01.04</w:t>
            </w:r>
            <w:r w:rsidR="00FD58BF">
              <w:rPr>
                <w:noProof/>
                <w:webHidden/>
              </w:rPr>
              <w:tab/>
            </w:r>
            <w:r w:rsidR="00FD58BF">
              <w:rPr>
                <w:noProof/>
                <w:webHidden/>
              </w:rPr>
              <w:fldChar w:fldCharType="begin"/>
            </w:r>
            <w:r w:rsidR="00FD58BF">
              <w:rPr>
                <w:noProof/>
                <w:webHidden/>
              </w:rPr>
              <w:instrText xml:space="preserve"> PAGEREF _Toc178838537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1F47883A" w14:textId="13DC6B4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8" w:history="1">
            <w:r w:rsidR="00FD58BF" w:rsidRPr="003004E5">
              <w:rPr>
                <w:rStyle w:val="Lienhypertexte"/>
                <w:noProof/>
              </w:rPr>
              <w:t>23.35.3a Auvents métalliques en aluminium CCTB 01.04</w:t>
            </w:r>
            <w:r w:rsidR="00FD58BF">
              <w:rPr>
                <w:noProof/>
                <w:webHidden/>
              </w:rPr>
              <w:tab/>
            </w:r>
            <w:r w:rsidR="00FD58BF">
              <w:rPr>
                <w:noProof/>
                <w:webHidden/>
              </w:rPr>
              <w:fldChar w:fldCharType="begin"/>
            </w:r>
            <w:r w:rsidR="00FD58BF">
              <w:rPr>
                <w:noProof/>
                <w:webHidden/>
              </w:rPr>
              <w:instrText xml:space="preserve"> PAGEREF _Toc178838538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1641D218" w14:textId="0E932BB4"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39" w:history="1">
            <w:r w:rsidR="00FD58BF" w:rsidRPr="003004E5">
              <w:rPr>
                <w:rStyle w:val="Lienhypertexte"/>
                <w:noProof/>
              </w:rPr>
              <w:t>23.4 Eléments particuliers pour structures métalliques CCTB 01.04</w:t>
            </w:r>
            <w:r w:rsidR="00FD58BF">
              <w:rPr>
                <w:noProof/>
                <w:webHidden/>
              </w:rPr>
              <w:tab/>
            </w:r>
            <w:r w:rsidR="00FD58BF">
              <w:rPr>
                <w:noProof/>
                <w:webHidden/>
              </w:rPr>
              <w:fldChar w:fldCharType="begin"/>
            </w:r>
            <w:r w:rsidR="00FD58BF">
              <w:rPr>
                <w:noProof/>
                <w:webHidden/>
              </w:rPr>
              <w:instrText xml:space="preserve"> PAGEREF _Toc178838539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76259EF5" w14:textId="2EAF8EA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40" w:history="1">
            <w:r w:rsidR="00FD58BF" w:rsidRPr="003004E5">
              <w:rPr>
                <w:rStyle w:val="Lienhypertexte"/>
                <w:noProof/>
              </w:rPr>
              <w:t>23.41 Socles métalliques CCTB 01.04</w:t>
            </w:r>
            <w:r w:rsidR="00FD58BF">
              <w:rPr>
                <w:noProof/>
                <w:webHidden/>
              </w:rPr>
              <w:tab/>
            </w:r>
            <w:r w:rsidR="00FD58BF">
              <w:rPr>
                <w:noProof/>
                <w:webHidden/>
              </w:rPr>
              <w:fldChar w:fldCharType="begin"/>
            </w:r>
            <w:r w:rsidR="00FD58BF">
              <w:rPr>
                <w:noProof/>
                <w:webHidden/>
              </w:rPr>
              <w:instrText xml:space="preserve"> PAGEREF _Toc178838540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1C501EB5" w14:textId="5ACD421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1" w:history="1">
            <w:r w:rsidR="00FD58BF" w:rsidRPr="003004E5">
              <w:rPr>
                <w:rStyle w:val="Lienhypertexte"/>
                <w:noProof/>
              </w:rPr>
              <w:t>23.41.1 Socles en acier CCTB 01.02</w:t>
            </w:r>
            <w:r w:rsidR="00FD58BF">
              <w:rPr>
                <w:noProof/>
                <w:webHidden/>
              </w:rPr>
              <w:tab/>
            </w:r>
            <w:r w:rsidR="00FD58BF">
              <w:rPr>
                <w:noProof/>
                <w:webHidden/>
              </w:rPr>
              <w:fldChar w:fldCharType="begin"/>
            </w:r>
            <w:r w:rsidR="00FD58BF">
              <w:rPr>
                <w:noProof/>
                <w:webHidden/>
              </w:rPr>
              <w:instrText xml:space="preserve"> PAGEREF _Toc178838541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48B6C96A" w14:textId="2075BB1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2" w:history="1">
            <w:r w:rsidR="00FD58BF" w:rsidRPr="003004E5">
              <w:rPr>
                <w:rStyle w:val="Lienhypertexte"/>
                <w:noProof/>
              </w:rPr>
              <w:t>23.41.1a Socles en acier CCTB 01.02</w:t>
            </w:r>
            <w:r w:rsidR="00FD58BF">
              <w:rPr>
                <w:noProof/>
                <w:webHidden/>
              </w:rPr>
              <w:tab/>
            </w:r>
            <w:r w:rsidR="00FD58BF">
              <w:rPr>
                <w:noProof/>
                <w:webHidden/>
              </w:rPr>
              <w:fldChar w:fldCharType="begin"/>
            </w:r>
            <w:r w:rsidR="00FD58BF">
              <w:rPr>
                <w:noProof/>
                <w:webHidden/>
              </w:rPr>
              <w:instrText xml:space="preserve"> PAGEREF _Toc178838542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2759C22C" w14:textId="577D8F5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3" w:history="1">
            <w:r w:rsidR="00FD58BF" w:rsidRPr="003004E5">
              <w:rPr>
                <w:rStyle w:val="Lienhypertexte"/>
                <w:noProof/>
              </w:rPr>
              <w:t>23.41.2 Socles en acier inoxydable CCTB 01.04</w:t>
            </w:r>
            <w:r w:rsidR="00FD58BF">
              <w:rPr>
                <w:noProof/>
                <w:webHidden/>
              </w:rPr>
              <w:tab/>
            </w:r>
            <w:r w:rsidR="00FD58BF">
              <w:rPr>
                <w:noProof/>
                <w:webHidden/>
              </w:rPr>
              <w:fldChar w:fldCharType="begin"/>
            </w:r>
            <w:r w:rsidR="00FD58BF">
              <w:rPr>
                <w:noProof/>
                <w:webHidden/>
              </w:rPr>
              <w:instrText xml:space="preserve"> PAGEREF _Toc178838543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397AE395" w14:textId="1818283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4" w:history="1">
            <w:r w:rsidR="00FD58BF" w:rsidRPr="003004E5">
              <w:rPr>
                <w:rStyle w:val="Lienhypertexte"/>
                <w:noProof/>
              </w:rPr>
              <w:t>23.41.2a Socles en acier inoxydable CCTB 01.04</w:t>
            </w:r>
            <w:r w:rsidR="00FD58BF">
              <w:rPr>
                <w:noProof/>
                <w:webHidden/>
              </w:rPr>
              <w:tab/>
            </w:r>
            <w:r w:rsidR="00FD58BF">
              <w:rPr>
                <w:noProof/>
                <w:webHidden/>
              </w:rPr>
              <w:fldChar w:fldCharType="begin"/>
            </w:r>
            <w:r w:rsidR="00FD58BF">
              <w:rPr>
                <w:noProof/>
                <w:webHidden/>
              </w:rPr>
              <w:instrText xml:space="preserve"> PAGEREF _Toc178838544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3A799D8D" w14:textId="3E1F072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5" w:history="1">
            <w:r w:rsidR="00FD58BF" w:rsidRPr="003004E5">
              <w:rPr>
                <w:rStyle w:val="Lienhypertexte"/>
                <w:noProof/>
              </w:rPr>
              <w:t>23.41.3 Socles en aluminium CCTB 01.04</w:t>
            </w:r>
            <w:r w:rsidR="00FD58BF">
              <w:rPr>
                <w:noProof/>
                <w:webHidden/>
              </w:rPr>
              <w:tab/>
            </w:r>
            <w:r w:rsidR="00FD58BF">
              <w:rPr>
                <w:noProof/>
                <w:webHidden/>
              </w:rPr>
              <w:fldChar w:fldCharType="begin"/>
            </w:r>
            <w:r w:rsidR="00FD58BF">
              <w:rPr>
                <w:noProof/>
                <w:webHidden/>
              </w:rPr>
              <w:instrText xml:space="preserve"> PAGEREF _Toc178838545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669DFC91" w14:textId="470DEE7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6" w:history="1">
            <w:r w:rsidR="00FD58BF" w:rsidRPr="003004E5">
              <w:rPr>
                <w:rStyle w:val="Lienhypertexte"/>
                <w:noProof/>
              </w:rPr>
              <w:t>23.41.3a Socles en aluminium CCTB 01.04</w:t>
            </w:r>
            <w:r w:rsidR="00FD58BF">
              <w:rPr>
                <w:noProof/>
                <w:webHidden/>
              </w:rPr>
              <w:tab/>
            </w:r>
            <w:r w:rsidR="00FD58BF">
              <w:rPr>
                <w:noProof/>
                <w:webHidden/>
              </w:rPr>
              <w:fldChar w:fldCharType="begin"/>
            </w:r>
            <w:r w:rsidR="00FD58BF">
              <w:rPr>
                <w:noProof/>
                <w:webHidden/>
              </w:rPr>
              <w:instrText xml:space="preserve"> PAGEREF _Toc178838546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55EF386A" w14:textId="0586D1F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47" w:history="1">
            <w:r w:rsidR="00FD58BF" w:rsidRPr="003004E5">
              <w:rPr>
                <w:rStyle w:val="Lienhypertexte"/>
                <w:noProof/>
              </w:rPr>
              <w:t>23.42 Pièces d'appui métalliques CCTB 01.04</w:t>
            </w:r>
            <w:r w:rsidR="00FD58BF">
              <w:rPr>
                <w:noProof/>
                <w:webHidden/>
              </w:rPr>
              <w:tab/>
            </w:r>
            <w:r w:rsidR="00FD58BF">
              <w:rPr>
                <w:noProof/>
                <w:webHidden/>
              </w:rPr>
              <w:fldChar w:fldCharType="begin"/>
            </w:r>
            <w:r w:rsidR="00FD58BF">
              <w:rPr>
                <w:noProof/>
                <w:webHidden/>
              </w:rPr>
              <w:instrText xml:space="preserve"> PAGEREF _Toc178838547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5554305E" w14:textId="3D91DD8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8" w:history="1">
            <w:r w:rsidR="00FD58BF" w:rsidRPr="003004E5">
              <w:rPr>
                <w:rStyle w:val="Lienhypertexte"/>
                <w:noProof/>
              </w:rPr>
              <w:t>23.42.1 Pièces d'appui en acier CCTB 01.02</w:t>
            </w:r>
            <w:r w:rsidR="00FD58BF">
              <w:rPr>
                <w:noProof/>
                <w:webHidden/>
              </w:rPr>
              <w:tab/>
            </w:r>
            <w:r w:rsidR="00FD58BF">
              <w:rPr>
                <w:noProof/>
                <w:webHidden/>
              </w:rPr>
              <w:fldChar w:fldCharType="begin"/>
            </w:r>
            <w:r w:rsidR="00FD58BF">
              <w:rPr>
                <w:noProof/>
                <w:webHidden/>
              </w:rPr>
              <w:instrText xml:space="preserve"> PAGEREF _Toc178838548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19D07BA3" w14:textId="0B135A2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9" w:history="1">
            <w:r w:rsidR="00FD58BF" w:rsidRPr="003004E5">
              <w:rPr>
                <w:rStyle w:val="Lienhypertexte"/>
                <w:noProof/>
              </w:rPr>
              <w:t>23.42.1a Consoles en acier CCTB 01.02</w:t>
            </w:r>
            <w:r w:rsidR="00FD58BF">
              <w:rPr>
                <w:noProof/>
                <w:webHidden/>
              </w:rPr>
              <w:tab/>
            </w:r>
            <w:r w:rsidR="00FD58BF">
              <w:rPr>
                <w:noProof/>
                <w:webHidden/>
              </w:rPr>
              <w:fldChar w:fldCharType="begin"/>
            </w:r>
            <w:r w:rsidR="00FD58BF">
              <w:rPr>
                <w:noProof/>
                <w:webHidden/>
              </w:rPr>
              <w:instrText xml:space="preserve"> PAGEREF _Toc178838549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6E23EEDC" w14:textId="6F3C37B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0" w:history="1">
            <w:r w:rsidR="00FD58BF" w:rsidRPr="003004E5">
              <w:rPr>
                <w:rStyle w:val="Lienhypertexte"/>
                <w:noProof/>
              </w:rPr>
              <w:t>23.42.1b Potelets en acier CCTB 01.02</w:t>
            </w:r>
            <w:r w:rsidR="00FD58BF">
              <w:rPr>
                <w:noProof/>
                <w:webHidden/>
              </w:rPr>
              <w:tab/>
            </w:r>
            <w:r w:rsidR="00FD58BF">
              <w:rPr>
                <w:noProof/>
                <w:webHidden/>
              </w:rPr>
              <w:fldChar w:fldCharType="begin"/>
            </w:r>
            <w:r w:rsidR="00FD58BF">
              <w:rPr>
                <w:noProof/>
                <w:webHidden/>
              </w:rPr>
              <w:instrText xml:space="preserve"> PAGEREF _Toc178838550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738F552C" w14:textId="47315D0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51" w:history="1">
            <w:r w:rsidR="00FD58BF" w:rsidRPr="003004E5">
              <w:rPr>
                <w:rStyle w:val="Lienhypertexte"/>
                <w:noProof/>
              </w:rPr>
              <w:t>23.42.2 Pièces d'appui en acier inoxydable CCTB 01.04</w:t>
            </w:r>
            <w:r w:rsidR="00FD58BF">
              <w:rPr>
                <w:noProof/>
                <w:webHidden/>
              </w:rPr>
              <w:tab/>
            </w:r>
            <w:r w:rsidR="00FD58BF">
              <w:rPr>
                <w:noProof/>
                <w:webHidden/>
              </w:rPr>
              <w:fldChar w:fldCharType="begin"/>
            </w:r>
            <w:r w:rsidR="00FD58BF">
              <w:rPr>
                <w:noProof/>
                <w:webHidden/>
              </w:rPr>
              <w:instrText xml:space="preserve"> PAGEREF _Toc178838551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5CC35E83" w14:textId="4FCAE60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2" w:history="1">
            <w:r w:rsidR="00FD58BF" w:rsidRPr="003004E5">
              <w:rPr>
                <w:rStyle w:val="Lienhypertexte"/>
                <w:noProof/>
              </w:rPr>
              <w:t>23.42.2a Consoles en acier inoxydable CCTB 01.04</w:t>
            </w:r>
            <w:r w:rsidR="00FD58BF">
              <w:rPr>
                <w:noProof/>
                <w:webHidden/>
              </w:rPr>
              <w:tab/>
            </w:r>
            <w:r w:rsidR="00FD58BF">
              <w:rPr>
                <w:noProof/>
                <w:webHidden/>
              </w:rPr>
              <w:fldChar w:fldCharType="begin"/>
            </w:r>
            <w:r w:rsidR="00FD58BF">
              <w:rPr>
                <w:noProof/>
                <w:webHidden/>
              </w:rPr>
              <w:instrText xml:space="preserve"> PAGEREF _Toc178838552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4E0DA639" w14:textId="14671A2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3" w:history="1">
            <w:r w:rsidR="00FD58BF" w:rsidRPr="003004E5">
              <w:rPr>
                <w:rStyle w:val="Lienhypertexte"/>
                <w:noProof/>
              </w:rPr>
              <w:t>23.42.2b Potelets en acier inoxydable CCTB 01.04</w:t>
            </w:r>
            <w:r w:rsidR="00FD58BF">
              <w:rPr>
                <w:noProof/>
                <w:webHidden/>
              </w:rPr>
              <w:tab/>
            </w:r>
            <w:r w:rsidR="00FD58BF">
              <w:rPr>
                <w:noProof/>
                <w:webHidden/>
              </w:rPr>
              <w:fldChar w:fldCharType="begin"/>
            </w:r>
            <w:r w:rsidR="00FD58BF">
              <w:rPr>
                <w:noProof/>
                <w:webHidden/>
              </w:rPr>
              <w:instrText xml:space="preserve"> PAGEREF _Toc178838553 \h </w:instrText>
            </w:r>
            <w:r w:rsidR="00FD58BF">
              <w:rPr>
                <w:noProof/>
                <w:webHidden/>
              </w:rPr>
            </w:r>
            <w:r w:rsidR="00FD58BF">
              <w:rPr>
                <w:noProof/>
                <w:webHidden/>
              </w:rPr>
              <w:fldChar w:fldCharType="separate"/>
            </w:r>
            <w:r w:rsidR="00FD58BF">
              <w:rPr>
                <w:noProof/>
                <w:webHidden/>
              </w:rPr>
              <w:t>839</w:t>
            </w:r>
            <w:r w:rsidR="00FD58BF">
              <w:rPr>
                <w:noProof/>
                <w:webHidden/>
              </w:rPr>
              <w:fldChar w:fldCharType="end"/>
            </w:r>
          </w:hyperlink>
        </w:p>
        <w:p w14:paraId="7CAEC25A" w14:textId="7CB4E40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54" w:history="1">
            <w:r w:rsidR="00FD58BF" w:rsidRPr="003004E5">
              <w:rPr>
                <w:rStyle w:val="Lienhypertexte"/>
                <w:noProof/>
              </w:rPr>
              <w:t>23.42.3 Pièces d'appui en aluminium CCTB 01.04</w:t>
            </w:r>
            <w:r w:rsidR="00FD58BF">
              <w:rPr>
                <w:noProof/>
                <w:webHidden/>
              </w:rPr>
              <w:tab/>
            </w:r>
            <w:r w:rsidR="00FD58BF">
              <w:rPr>
                <w:noProof/>
                <w:webHidden/>
              </w:rPr>
              <w:fldChar w:fldCharType="begin"/>
            </w:r>
            <w:r w:rsidR="00FD58BF">
              <w:rPr>
                <w:noProof/>
                <w:webHidden/>
              </w:rPr>
              <w:instrText xml:space="preserve"> PAGEREF _Toc178838554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5762FB3E" w14:textId="3B7B2D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5" w:history="1">
            <w:r w:rsidR="00FD58BF" w:rsidRPr="003004E5">
              <w:rPr>
                <w:rStyle w:val="Lienhypertexte"/>
                <w:noProof/>
              </w:rPr>
              <w:t>23.42.3a Consoles en aluminium CCTB 01.04</w:t>
            </w:r>
            <w:r w:rsidR="00FD58BF">
              <w:rPr>
                <w:noProof/>
                <w:webHidden/>
              </w:rPr>
              <w:tab/>
            </w:r>
            <w:r w:rsidR="00FD58BF">
              <w:rPr>
                <w:noProof/>
                <w:webHidden/>
              </w:rPr>
              <w:fldChar w:fldCharType="begin"/>
            </w:r>
            <w:r w:rsidR="00FD58BF">
              <w:rPr>
                <w:noProof/>
                <w:webHidden/>
              </w:rPr>
              <w:instrText xml:space="preserve"> PAGEREF _Toc178838555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0B4D5FCE" w14:textId="0E07B37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6" w:history="1">
            <w:r w:rsidR="00FD58BF" w:rsidRPr="003004E5">
              <w:rPr>
                <w:rStyle w:val="Lienhypertexte"/>
                <w:noProof/>
              </w:rPr>
              <w:t>23.42.3b Potelets en aluminium CCTB 01.04</w:t>
            </w:r>
            <w:r w:rsidR="00FD58BF">
              <w:rPr>
                <w:noProof/>
                <w:webHidden/>
              </w:rPr>
              <w:tab/>
            </w:r>
            <w:r w:rsidR="00FD58BF">
              <w:rPr>
                <w:noProof/>
                <w:webHidden/>
              </w:rPr>
              <w:fldChar w:fldCharType="begin"/>
            </w:r>
            <w:r w:rsidR="00FD58BF">
              <w:rPr>
                <w:noProof/>
                <w:webHidden/>
              </w:rPr>
              <w:instrText xml:space="preserve"> PAGEREF _Toc178838556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326112FD" w14:textId="37C4FA0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57" w:history="1">
            <w:r w:rsidR="00FD58BF" w:rsidRPr="003004E5">
              <w:rPr>
                <w:rStyle w:val="Lienhypertexte"/>
                <w:noProof/>
              </w:rPr>
              <w:t>23.43 Pièces d'appui non métalliques CCTB 01.04</w:t>
            </w:r>
            <w:r w:rsidR="00FD58BF">
              <w:rPr>
                <w:noProof/>
                <w:webHidden/>
              </w:rPr>
              <w:tab/>
            </w:r>
            <w:r w:rsidR="00FD58BF">
              <w:rPr>
                <w:noProof/>
                <w:webHidden/>
              </w:rPr>
              <w:fldChar w:fldCharType="begin"/>
            </w:r>
            <w:r w:rsidR="00FD58BF">
              <w:rPr>
                <w:noProof/>
                <w:webHidden/>
              </w:rPr>
              <w:instrText xml:space="preserve"> PAGEREF _Toc178838557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512253BE" w14:textId="5BA7F16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58" w:history="1">
            <w:r w:rsidR="00FD58BF" w:rsidRPr="003004E5">
              <w:rPr>
                <w:rStyle w:val="Lienhypertexte"/>
                <w:noProof/>
              </w:rPr>
              <w:t>23.43.1 Pièces d'appui synthétiques CCTB 01.04</w:t>
            </w:r>
            <w:r w:rsidR="00FD58BF">
              <w:rPr>
                <w:noProof/>
                <w:webHidden/>
              </w:rPr>
              <w:tab/>
            </w:r>
            <w:r w:rsidR="00FD58BF">
              <w:rPr>
                <w:noProof/>
                <w:webHidden/>
              </w:rPr>
              <w:fldChar w:fldCharType="begin"/>
            </w:r>
            <w:r w:rsidR="00FD58BF">
              <w:rPr>
                <w:noProof/>
                <w:webHidden/>
              </w:rPr>
              <w:instrText xml:space="preserve"> PAGEREF _Toc178838558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2CF38614" w14:textId="7DE5D78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9" w:history="1">
            <w:r w:rsidR="00FD58BF" w:rsidRPr="003004E5">
              <w:rPr>
                <w:rStyle w:val="Lienhypertexte"/>
                <w:noProof/>
              </w:rPr>
              <w:t>23.43.1a Pièces d'appui néoprène CCTB 01.04</w:t>
            </w:r>
            <w:r w:rsidR="00FD58BF">
              <w:rPr>
                <w:noProof/>
                <w:webHidden/>
              </w:rPr>
              <w:tab/>
            </w:r>
            <w:r w:rsidR="00FD58BF">
              <w:rPr>
                <w:noProof/>
                <w:webHidden/>
              </w:rPr>
              <w:fldChar w:fldCharType="begin"/>
            </w:r>
            <w:r w:rsidR="00FD58BF">
              <w:rPr>
                <w:noProof/>
                <w:webHidden/>
              </w:rPr>
              <w:instrText xml:space="preserve"> PAGEREF _Toc178838559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156B6FE1" w14:textId="1302FFD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60" w:history="1">
            <w:r w:rsidR="00FD58BF" w:rsidRPr="003004E5">
              <w:rPr>
                <w:rStyle w:val="Lienhypertexte"/>
                <w:noProof/>
              </w:rPr>
              <w:t>23.44 Ancrages de structures métalliques CCTB 01.04</w:t>
            </w:r>
            <w:r w:rsidR="00FD58BF">
              <w:rPr>
                <w:noProof/>
                <w:webHidden/>
              </w:rPr>
              <w:tab/>
            </w:r>
            <w:r w:rsidR="00FD58BF">
              <w:rPr>
                <w:noProof/>
                <w:webHidden/>
              </w:rPr>
              <w:fldChar w:fldCharType="begin"/>
            </w:r>
            <w:r w:rsidR="00FD58BF">
              <w:rPr>
                <w:noProof/>
                <w:webHidden/>
              </w:rPr>
              <w:instrText xml:space="preserve"> PAGEREF _Toc178838560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55AFD092" w14:textId="5C272E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61" w:history="1">
            <w:r w:rsidR="00FD58BF" w:rsidRPr="003004E5">
              <w:rPr>
                <w:rStyle w:val="Lienhypertexte"/>
                <w:noProof/>
              </w:rPr>
              <w:t>23.44.1 Ancrages de structures en acier CCTB 01.02</w:t>
            </w:r>
            <w:r w:rsidR="00FD58BF">
              <w:rPr>
                <w:noProof/>
                <w:webHidden/>
              </w:rPr>
              <w:tab/>
            </w:r>
            <w:r w:rsidR="00FD58BF">
              <w:rPr>
                <w:noProof/>
                <w:webHidden/>
              </w:rPr>
              <w:fldChar w:fldCharType="begin"/>
            </w:r>
            <w:r w:rsidR="00FD58BF">
              <w:rPr>
                <w:noProof/>
                <w:webHidden/>
              </w:rPr>
              <w:instrText xml:space="preserve"> PAGEREF _Toc178838561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54E155F7" w14:textId="39C1254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2" w:history="1">
            <w:r w:rsidR="00FD58BF" w:rsidRPr="003004E5">
              <w:rPr>
                <w:rStyle w:val="Lienhypertexte"/>
                <w:noProof/>
              </w:rPr>
              <w:t>23.44.1a Ancrages de structures en acier CCTB 01.02</w:t>
            </w:r>
            <w:r w:rsidR="00FD58BF">
              <w:rPr>
                <w:noProof/>
                <w:webHidden/>
              </w:rPr>
              <w:tab/>
            </w:r>
            <w:r w:rsidR="00FD58BF">
              <w:rPr>
                <w:noProof/>
                <w:webHidden/>
              </w:rPr>
              <w:fldChar w:fldCharType="begin"/>
            </w:r>
            <w:r w:rsidR="00FD58BF">
              <w:rPr>
                <w:noProof/>
                <w:webHidden/>
              </w:rPr>
              <w:instrText xml:space="preserve"> PAGEREF _Toc178838562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63ABD845" w14:textId="59469BA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63" w:history="1">
            <w:r w:rsidR="00FD58BF" w:rsidRPr="003004E5">
              <w:rPr>
                <w:rStyle w:val="Lienhypertexte"/>
                <w:noProof/>
              </w:rPr>
              <w:t>23.44.2 Ancrages de structures en acier inoxydable CCTB 01.04</w:t>
            </w:r>
            <w:r w:rsidR="00FD58BF">
              <w:rPr>
                <w:noProof/>
                <w:webHidden/>
              </w:rPr>
              <w:tab/>
            </w:r>
            <w:r w:rsidR="00FD58BF">
              <w:rPr>
                <w:noProof/>
                <w:webHidden/>
              </w:rPr>
              <w:fldChar w:fldCharType="begin"/>
            </w:r>
            <w:r w:rsidR="00FD58BF">
              <w:rPr>
                <w:noProof/>
                <w:webHidden/>
              </w:rPr>
              <w:instrText xml:space="preserve"> PAGEREF _Toc178838563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5294AC5A" w14:textId="35FCA47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4" w:history="1">
            <w:r w:rsidR="00FD58BF" w:rsidRPr="003004E5">
              <w:rPr>
                <w:rStyle w:val="Lienhypertexte"/>
                <w:noProof/>
              </w:rPr>
              <w:t>23.44.2a Ancrages de structures en acier inoxydable CCTB 01.04</w:t>
            </w:r>
            <w:r w:rsidR="00FD58BF">
              <w:rPr>
                <w:noProof/>
                <w:webHidden/>
              </w:rPr>
              <w:tab/>
            </w:r>
            <w:r w:rsidR="00FD58BF">
              <w:rPr>
                <w:noProof/>
                <w:webHidden/>
              </w:rPr>
              <w:fldChar w:fldCharType="begin"/>
            </w:r>
            <w:r w:rsidR="00FD58BF">
              <w:rPr>
                <w:noProof/>
                <w:webHidden/>
              </w:rPr>
              <w:instrText xml:space="preserve"> PAGEREF _Toc178838564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2CA4D801" w14:textId="356E8CD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65" w:history="1">
            <w:r w:rsidR="00FD58BF" w:rsidRPr="003004E5">
              <w:rPr>
                <w:rStyle w:val="Lienhypertexte"/>
                <w:noProof/>
              </w:rPr>
              <w:t>23.44.3 Ancrages de structures en aluminium CCTB 01.04</w:t>
            </w:r>
            <w:r w:rsidR="00FD58BF">
              <w:rPr>
                <w:noProof/>
                <w:webHidden/>
              </w:rPr>
              <w:tab/>
            </w:r>
            <w:r w:rsidR="00FD58BF">
              <w:rPr>
                <w:noProof/>
                <w:webHidden/>
              </w:rPr>
              <w:fldChar w:fldCharType="begin"/>
            </w:r>
            <w:r w:rsidR="00FD58BF">
              <w:rPr>
                <w:noProof/>
                <w:webHidden/>
              </w:rPr>
              <w:instrText xml:space="preserve"> PAGEREF _Toc178838565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4AFF7A00" w14:textId="50F164E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6" w:history="1">
            <w:r w:rsidR="00FD58BF" w:rsidRPr="003004E5">
              <w:rPr>
                <w:rStyle w:val="Lienhypertexte"/>
                <w:noProof/>
              </w:rPr>
              <w:t>23.44.3a Ancrages de structures en aluminium CCTB 01.04</w:t>
            </w:r>
            <w:r w:rsidR="00FD58BF">
              <w:rPr>
                <w:noProof/>
                <w:webHidden/>
              </w:rPr>
              <w:tab/>
            </w:r>
            <w:r w:rsidR="00FD58BF">
              <w:rPr>
                <w:noProof/>
                <w:webHidden/>
              </w:rPr>
              <w:fldChar w:fldCharType="begin"/>
            </w:r>
            <w:r w:rsidR="00FD58BF">
              <w:rPr>
                <w:noProof/>
                <w:webHidden/>
              </w:rPr>
              <w:instrText xml:space="preserve"> PAGEREF _Toc178838566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45F83175" w14:textId="691F44C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67" w:history="1">
            <w:r w:rsidR="00FD58BF" w:rsidRPr="003004E5">
              <w:rPr>
                <w:rStyle w:val="Lienhypertexte"/>
                <w:noProof/>
              </w:rPr>
              <w:t>23.45 Contreventements de structures métalliques CCTB 01.04</w:t>
            </w:r>
            <w:r w:rsidR="00FD58BF">
              <w:rPr>
                <w:noProof/>
                <w:webHidden/>
              </w:rPr>
              <w:tab/>
            </w:r>
            <w:r w:rsidR="00FD58BF">
              <w:rPr>
                <w:noProof/>
                <w:webHidden/>
              </w:rPr>
              <w:fldChar w:fldCharType="begin"/>
            </w:r>
            <w:r w:rsidR="00FD58BF">
              <w:rPr>
                <w:noProof/>
                <w:webHidden/>
              </w:rPr>
              <w:instrText xml:space="preserve"> PAGEREF _Toc178838567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5D8E3F14" w14:textId="401888B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68" w:history="1">
            <w:r w:rsidR="00FD58BF" w:rsidRPr="003004E5">
              <w:rPr>
                <w:rStyle w:val="Lienhypertexte"/>
                <w:noProof/>
              </w:rPr>
              <w:t>23.45.1 Contreventements en acier CCTB 01.02</w:t>
            </w:r>
            <w:r w:rsidR="00FD58BF">
              <w:rPr>
                <w:noProof/>
                <w:webHidden/>
              </w:rPr>
              <w:tab/>
            </w:r>
            <w:r w:rsidR="00FD58BF">
              <w:rPr>
                <w:noProof/>
                <w:webHidden/>
              </w:rPr>
              <w:fldChar w:fldCharType="begin"/>
            </w:r>
            <w:r w:rsidR="00FD58BF">
              <w:rPr>
                <w:noProof/>
                <w:webHidden/>
              </w:rPr>
              <w:instrText xml:space="preserve"> PAGEREF _Toc178838568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3516B97C" w14:textId="7DBF131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9" w:history="1">
            <w:r w:rsidR="00FD58BF" w:rsidRPr="003004E5">
              <w:rPr>
                <w:rStyle w:val="Lienhypertexte"/>
                <w:noProof/>
              </w:rPr>
              <w:t>23.45.1a Contreventements en acier - profilés CCTB 01.02</w:t>
            </w:r>
            <w:r w:rsidR="00FD58BF">
              <w:rPr>
                <w:noProof/>
                <w:webHidden/>
              </w:rPr>
              <w:tab/>
            </w:r>
            <w:r w:rsidR="00FD58BF">
              <w:rPr>
                <w:noProof/>
                <w:webHidden/>
              </w:rPr>
              <w:fldChar w:fldCharType="begin"/>
            </w:r>
            <w:r w:rsidR="00FD58BF">
              <w:rPr>
                <w:noProof/>
                <w:webHidden/>
              </w:rPr>
              <w:instrText xml:space="preserve"> PAGEREF _Toc178838569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43D68E02" w14:textId="5382F97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0" w:history="1">
            <w:r w:rsidR="00FD58BF" w:rsidRPr="003004E5">
              <w:rPr>
                <w:rStyle w:val="Lienhypertexte"/>
                <w:noProof/>
              </w:rPr>
              <w:t>23.45.1b Contreventements en acier - câbles tendeurs CCTB 01.02</w:t>
            </w:r>
            <w:r w:rsidR="00FD58BF">
              <w:rPr>
                <w:noProof/>
                <w:webHidden/>
              </w:rPr>
              <w:tab/>
            </w:r>
            <w:r w:rsidR="00FD58BF">
              <w:rPr>
                <w:noProof/>
                <w:webHidden/>
              </w:rPr>
              <w:fldChar w:fldCharType="begin"/>
            </w:r>
            <w:r w:rsidR="00FD58BF">
              <w:rPr>
                <w:noProof/>
                <w:webHidden/>
              </w:rPr>
              <w:instrText xml:space="preserve"> PAGEREF _Toc178838570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1912B2E7" w14:textId="3C23CEB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1" w:history="1">
            <w:r w:rsidR="00FD58BF" w:rsidRPr="003004E5">
              <w:rPr>
                <w:rStyle w:val="Lienhypertexte"/>
                <w:noProof/>
              </w:rPr>
              <w:t>23.45.2 Contreventements en acier inoxydable CCTB 01.04</w:t>
            </w:r>
            <w:r w:rsidR="00FD58BF">
              <w:rPr>
                <w:noProof/>
                <w:webHidden/>
              </w:rPr>
              <w:tab/>
            </w:r>
            <w:r w:rsidR="00FD58BF">
              <w:rPr>
                <w:noProof/>
                <w:webHidden/>
              </w:rPr>
              <w:fldChar w:fldCharType="begin"/>
            </w:r>
            <w:r w:rsidR="00FD58BF">
              <w:rPr>
                <w:noProof/>
                <w:webHidden/>
              </w:rPr>
              <w:instrText xml:space="preserve"> PAGEREF _Toc178838571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7D660907" w14:textId="00C8B50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2" w:history="1">
            <w:r w:rsidR="00FD58BF" w:rsidRPr="003004E5">
              <w:rPr>
                <w:rStyle w:val="Lienhypertexte"/>
                <w:noProof/>
              </w:rPr>
              <w:t>23.45.2a Contreventements en acier inoxydable - profilés CCTB 01.04</w:t>
            </w:r>
            <w:r w:rsidR="00FD58BF">
              <w:rPr>
                <w:noProof/>
                <w:webHidden/>
              </w:rPr>
              <w:tab/>
            </w:r>
            <w:r w:rsidR="00FD58BF">
              <w:rPr>
                <w:noProof/>
                <w:webHidden/>
              </w:rPr>
              <w:fldChar w:fldCharType="begin"/>
            </w:r>
            <w:r w:rsidR="00FD58BF">
              <w:rPr>
                <w:noProof/>
                <w:webHidden/>
              </w:rPr>
              <w:instrText xml:space="preserve"> PAGEREF _Toc178838572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4E754BD3" w14:textId="298041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3" w:history="1">
            <w:r w:rsidR="00FD58BF" w:rsidRPr="003004E5">
              <w:rPr>
                <w:rStyle w:val="Lienhypertexte"/>
                <w:noProof/>
              </w:rPr>
              <w:t>23.45.2b Contreventements en acier inoxydable - câbles tendeurs CCTB 01.04</w:t>
            </w:r>
            <w:r w:rsidR="00FD58BF">
              <w:rPr>
                <w:noProof/>
                <w:webHidden/>
              </w:rPr>
              <w:tab/>
            </w:r>
            <w:r w:rsidR="00FD58BF">
              <w:rPr>
                <w:noProof/>
                <w:webHidden/>
              </w:rPr>
              <w:fldChar w:fldCharType="begin"/>
            </w:r>
            <w:r w:rsidR="00FD58BF">
              <w:rPr>
                <w:noProof/>
                <w:webHidden/>
              </w:rPr>
              <w:instrText xml:space="preserve"> PAGEREF _Toc178838573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04EAC847" w14:textId="5552496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74" w:history="1">
            <w:r w:rsidR="00FD58BF" w:rsidRPr="003004E5">
              <w:rPr>
                <w:rStyle w:val="Lienhypertexte"/>
                <w:noProof/>
              </w:rPr>
              <w:t>23.46 Câbles, barres et chaînes métalliques CCTB 01.11</w:t>
            </w:r>
            <w:r w:rsidR="00FD58BF">
              <w:rPr>
                <w:noProof/>
                <w:webHidden/>
              </w:rPr>
              <w:tab/>
            </w:r>
            <w:r w:rsidR="00FD58BF">
              <w:rPr>
                <w:noProof/>
                <w:webHidden/>
              </w:rPr>
              <w:fldChar w:fldCharType="begin"/>
            </w:r>
            <w:r w:rsidR="00FD58BF">
              <w:rPr>
                <w:noProof/>
                <w:webHidden/>
              </w:rPr>
              <w:instrText xml:space="preserve"> PAGEREF _Toc178838574 \h </w:instrText>
            </w:r>
            <w:r w:rsidR="00FD58BF">
              <w:rPr>
                <w:noProof/>
                <w:webHidden/>
              </w:rPr>
            </w:r>
            <w:r w:rsidR="00FD58BF">
              <w:rPr>
                <w:noProof/>
                <w:webHidden/>
              </w:rPr>
              <w:fldChar w:fldCharType="separate"/>
            </w:r>
            <w:r w:rsidR="00FD58BF">
              <w:rPr>
                <w:noProof/>
                <w:webHidden/>
              </w:rPr>
              <w:t>840</w:t>
            </w:r>
            <w:r w:rsidR="00FD58BF">
              <w:rPr>
                <w:noProof/>
                <w:webHidden/>
              </w:rPr>
              <w:fldChar w:fldCharType="end"/>
            </w:r>
          </w:hyperlink>
        </w:p>
        <w:p w14:paraId="3E12117A" w14:textId="6132E26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5" w:history="1">
            <w:r w:rsidR="00FD58BF" w:rsidRPr="003004E5">
              <w:rPr>
                <w:rStyle w:val="Lienhypertexte"/>
                <w:noProof/>
              </w:rPr>
              <w:t>23.46.1 Câbles en acier CCTB 01.02</w:t>
            </w:r>
            <w:r w:rsidR="00FD58BF">
              <w:rPr>
                <w:noProof/>
                <w:webHidden/>
              </w:rPr>
              <w:tab/>
            </w:r>
            <w:r w:rsidR="00FD58BF">
              <w:rPr>
                <w:noProof/>
                <w:webHidden/>
              </w:rPr>
              <w:fldChar w:fldCharType="begin"/>
            </w:r>
            <w:r w:rsidR="00FD58BF">
              <w:rPr>
                <w:noProof/>
                <w:webHidden/>
              </w:rPr>
              <w:instrText xml:space="preserve"> PAGEREF _Toc178838575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6354C50" w14:textId="008140E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6" w:history="1">
            <w:r w:rsidR="00FD58BF" w:rsidRPr="003004E5">
              <w:rPr>
                <w:rStyle w:val="Lienhypertexte"/>
                <w:noProof/>
              </w:rPr>
              <w:t>23.46.1a Câbles en acier CCTB 01.04</w:t>
            </w:r>
            <w:r w:rsidR="00FD58BF">
              <w:rPr>
                <w:noProof/>
                <w:webHidden/>
              </w:rPr>
              <w:tab/>
            </w:r>
            <w:r w:rsidR="00FD58BF">
              <w:rPr>
                <w:noProof/>
                <w:webHidden/>
              </w:rPr>
              <w:fldChar w:fldCharType="begin"/>
            </w:r>
            <w:r w:rsidR="00FD58BF">
              <w:rPr>
                <w:noProof/>
                <w:webHidden/>
              </w:rPr>
              <w:instrText xml:space="preserve"> PAGEREF _Toc178838576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5BD6E7B" w14:textId="5525FCC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7" w:history="1">
            <w:r w:rsidR="00FD58BF" w:rsidRPr="003004E5">
              <w:rPr>
                <w:rStyle w:val="Lienhypertexte"/>
                <w:noProof/>
              </w:rPr>
              <w:t>23.46.2 Câbles en acier inoxydable CCTB 01.04</w:t>
            </w:r>
            <w:r w:rsidR="00FD58BF">
              <w:rPr>
                <w:noProof/>
                <w:webHidden/>
              </w:rPr>
              <w:tab/>
            </w:r>
            <w:r w:rsidR="00FD58BF">
              <w:rPr>
                <w:noProof/>
                <w:webHidden/>
              </w:rPr>
              <w:fldChar w:fldCharType="begin"/>
            </w:r>
            <w:r w:rsidR="00FD58BF">
              <w:rPr>
                <w:noProof/>
                <w:webHidden/>
              </w:rPr>
              <w:instrText xml:space="preserve"> PAGEREF _Toc178838577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F444138" w14:textId="0605988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8" w:history="1">
            <w:r w:rsidR="00FD58BF" w:rsidRPr="003004E5">
              <w:rPr>
                <w:rStyle w:val="Lienhypertexte"/>
                <w:noProof/>
              </w:rPr>
              <w:t>23.46.2a Câbles en acier inoxydable CCTB 01.04</w:t>
            </w:r>
            <w:r w:rsidR="00FD58BF">
              <w:rPr>
                <w:noProof/>
                <w:webHidden/>
              </w:rPr>
              <w:tab/>
            </w:r>
            <w:r w:rsidR="00FD58BF">
              <w:rPr>
                <w:noProof/>
                <w:webHidden/>
              </w:rPr>
              <w:fldChar w:fldCharType="begin"/>
            </w:r>
            <w:r w:rsidR="00FD58BF">
              <w:rPr>
                <w:noProof/>
                <w:webHidden/>
              </w:rPr>
              <w:instrText xml:space="preserve"> PAGEREF _Toc178838578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886E7B2" w14:textId="36D03AB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9" w:history="1">
            <w:r w:rsidR="00FD58BF" w:rsidRPr="003004E5">
              <w:rPr>
                <w:rStyle w:val="Lienhypertexte"/>
                <w:noProof/>
              </w:rPr>
              <w:t>23.46.3 Barres en acier CCTB 01.02</w:t>
            </w:r>
            <w:r w:rsidR="00FD58BF">
              <w:rPr>
                <w:noProof/>
                <w:webHidden/>
              </w:rPr>
              <w:tab/>
            </w:r>
            <w:r w:rsidR="00FD58BF">
              <w:rPr>
                <w:noProof/>
                <w:webHidden/>
              </w:rPr>
              <w:fldChar w:fldCharType="begin"/>
            </w:r>
            <w:r w:rsidR="00FD58BF">
              <w:rPr>
                <w:noProof/>
                <w:webHidden/>
              </w:rPr>
              <w:instrText xml:space="preserve"> PAGEREF _Toc178838579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4A737626" w14:textId="0C1D79F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0" w:history="1">
            <w:r w:rsidR="00FD58BF" w:rsidRPr="003004E5">
              <w:rPr>
                <w:rStyle w:val="Lienhypertexte"/>
                <w:noProof/>
              </w:rPr>
              <w:t>23.46.3a Barres en acier CCTB 01.02</w:t>
            </w:r>
            <w:r w:rsidR="00FD58BF">
              <w:rPr>
                <w:noProof/>
                <w:webHidden/>
              </w:rPr>
              <w:tab/>
            </w:r>
            <w:r w:rsidR="00FD58BF">
              <w:rPr>
                <w:noProof/>
                <w:webHidden/>
              </w:rPr>
              <w:fldChar w:fldCharType="begin"/>
            </w:r>
            <w:r w:rsidR="00FD58BF">
              <w:rPr>
                <w:noProof/>
                <w:webHidden/>
              </w:rPr>
              <w:instrText xml:space="preserve"> PAGEREF _Toc178838580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4A886B84" w14:textId="1008759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81" w:history="1">
            <w:r w:rsidR="00FD58BF" w:rsidRPr="003004E5">
              <w:rPr>
                <w:rStyle w:val="Lienhypertexte"/>
                <w:noProof/>
              </w:rPr>
              <w:t>23.46.4 Barres en acier inoxydable CCTB 01.04</w:t>
            </w:r>
            <w:r w:rsidR="00FD58BF">
              <w:rPr>
                <w:noProof/>
                <w:webHidden/>
              </w:rPr>
              <w:tab/>
            </w:r>
            <w:r w:rsidR="00FD58BF">
              <w:rPr>
                <w:noProof/>
                <w:webHidden/>
              </w:rPr>
              <w:fldChar w:fldCharType="begin"/>
            </w:r>
            <w:r w:rsidR="00FD58BF">
              <w:rPr>
                <w:noProof/>
                <w:webHidden/>
              </w:rPr>
              <w:instrText xml:space="preserve"> PAGEREF _Toc178838581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6E918D61" w14:textId="51257EE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2" w:history="1">
            <w:r w:rsidR="00FD58BF" w:rsidRPr="003004E5">
              <w:rPr>
                <w:rStyle w:val="Lienhypertexte"/>
                <w:noProof/>
              </w:rPr>
              <w:t>23.46.4a Barres en acier inoxydable CCTB 01.04</w:t>
            </w:r>
            <w:r w:rsidR="00FD58BF">
              <w:rPr>
                <w:noProof/>
                <w:webHidden/>
              </w:rPr>
              <w:tab/>
            </w:r>
            <w:r w:rsidR="00FD58BF">
              <w:rPr>
                <w:noProof/>
                <w:webHidden/>
              </w:rPr>
              <w:fldChar w:fldCharType="begin"/>
            </w:r>
            <w:r w:rsidR="00FD58BF">
              <w:rPr>
                <w:noProof/>
                <w:webHidden/>
              </w:rPr>
              <w:instrText xml:space="preserve"> PAGEREF _Toc178838582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60E9A7B1" w14:textId="5491424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83" w:history="1">
            <w:r w:rsidR="00FD58BF" w:rsidRPr="003004E5">
              <w:rPr>
                <w:rStyle w:val="Lienhypertexte"/>
                <w:noProof/>
              </w:rPr>
              <w:t>23.46.5 Barres en aluminium CCTB 01.04</w:t>
            </w:r>
            <w:r w:rsidR="00FD58BF">
              <w:rPr>
                <w:noProof/>
                <w:webHidden/>
              </w:rPr>
              <w:tab/>
            </w:r>
            <w:r w:rsidR="00FD58BF">
              <w:rPr>
                <w:noProof/>
                <w:webHidden/>
              </w:rPr>
              <w:fldChar w:fldCharType="begin"/>
            </w:r>
            <w:r w:rsidR="00FD58BF">
              <w:rPr>
                <w:noProof/>
                <w:webHidden/>
              </w:rPr>
              <w:instrText xml:space="preserve"> PAGEREF _Toc178838583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7ED3090A" w14:textId="271025B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4" w:history="1">
            <w:r w:rsidR="00FD58BF" w:rsidRPr="003004E5">
              <w:rPr>
                <w:rStyle w:val="Lienhypertexte"/>
                <w:noProof/>
              </w:rPr>
              <w:t>23.46.5a Barres en aluminium CCTB 01.04</w:t>
            </w:r>
            <w:r w:rsidR="00FD58BF">
              <w:rPr>
                <w:noProof/>
                <w:webHidden/>
              </w:rPr>
              <w:tab/>
            </w:r>
            <w:r w:rsidR="00FD58BF">
              <w:rPr>
                <w:noProof/>
                <w:webHidden/>
              </w:rPr>
              <w:fldChar w:fldCharType="begin"/>
            </w:r>
            <w:r w:rsidR="00FD58BF">
              <w:rPr>
                <w:noProof/>
                <w:webHidden/>
              </w:rPr>
              <w:instrText xml:space="preserve"> PAGEREF _Toc178838584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010EB960" w14:textId="60B414E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85" w:history="1">
            <w:r w:rsidR="00FD58BF" w:rsidRPr="003004E5">
              <w:rPr>
                <w:rStyle w:val="Lienhypertexte"/>
                <w:noProof/>
              </w:rPr>
              <w:t>23.46.6 Chaînes en acier CCTB 01.04</w:t>
            </w:r>
            <w:r w:rsidR="00FD58BF">
              <w:rPr>
                <w:noProof/>
                <w:webHidden/>
              </w:rPr>
              <w:tab/>
            </w:r>
            <w:r w:rsidR="00FD58BF">
              <w:rPr>
                <w:noProof/>
                <w:webHidden/>
              </w:rPr>
              <w:fldChar w:fldCharType="begin"/>
            </w:r>
            <w:r w:rsidR="00FD58BF">
              <w:rPr>
                <w:noProof/>
                <w:webHidden/>
              </w:rPr>
              <w:instrText xml:space="preserve"> PAGEREF _Toc178838585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2CEA4B5A" w14:textId="22C0D5E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6" w:history="1">
            <w:r w:rsidR="00FD58BF" w:rsidRPr="003004E5">
              <w:rPr>
                <w:rStyle w:val="Lienhypertexte"/>
                <w:noProof/>
              </w:rPr>
              <w:t>23.46.6a Chaînes en acier inoxydable CCTB 01.04</w:t>
            </w:r>
            <w:r w:rsidR="00FD58BF">
              <w:rPr>
                <w:noProof/>
                <w:webHidden/>
              </w:rPr>
              <w:tab/>
            </w:r>
            <w:r w:rsidR="00FD58BF">
              <w:rPr>
                <w:noProof/>
                <w:webHidden/>
              </w:rPr>
              <w:fldChar w:fldCharType="begin"/>
            </w:r>
            <w:r w:rsidR="00FD58BF">
              <w:rPr>
                <w:noProof/>
                <w:webHidden/>
              </w:rPr>
              <w:instrText xml:space="preserve"> PAGEREF _Toc178838586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33598D5F" w14:textId="5206C45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87" w:history="1">
            <w:r w:rsidR="00FD58BF" w:rsidRPr="003004E5">
              <w:rPr>
                <w:rStyle w:val="Lienhypertexte"/>
                <w:noProof/>
              </w:rPr>
              <w:t>23.47 Rails métalliques CCTB 01.04</w:t>
            </w:r>
            <w:r w:rsidR="00FD58BF">
              <w:rPr>
                <w:noProof/>
                <w:webHidden/>
              </w:rPr>
              <w:tab/>
            </w:r>
            <w:r w:rsidR="00FD58BF">
              <w:rPr>
                <w:noProof/>
                <w:webHidden/>
              </w:rPr>
              <w:fldChar w:fldCharType="begin"/>
            </w:r>
            <w:r w:rsidR="00FD58BF">
              <w:rPr>
                <w:noProof/>
                <w:webHidden/>
              </w:rPr>
              <w:instrText xml:space="preserve"> PAGEREF _Toc178838587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0D91340B" w14:textId="680E7BB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88" w:history="1">
            <w:r w:rsidR="00FD58BF" w:rsidRPr="003004E5">
              <w:rPr>
                <w:rStyle w:val="Lienhypertexte"/>
                <w:noProof/>
              </w:rPr>
              <w:t>23.47.1 Rails en acier CCTB 01.02</w:t>
            </w:r>
            <w:r w:rsidR="00FD58BF">
              <w:rPr>
                <w:noProof/>
                <w:webHidden/>
              </w:rPr>
              <w:tab/>
            </w:r>
            <w:r w:rsidR="00FD58BF">
              <w:rPr>
                <w:noProof/>
                <w:webHidden/>
              </w:rPr>
              <w:fldChar w:fldCharType="begin"/>
            </w:r>
            <w:r w:rsidR="00FD58BF">
              <w:rPr>
                <w:noProof/>
                <w:webHidden/>
              </w:rPr>
              <w:instrText xml:space="preserve"> PAGEREF _Toc178838588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16864082" w14:textId="2D077C0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9" w:history="1">
            <w:r w:rsidR="00FD58BF" w:rsidRPr="003004E5">
              <w:rPr>
                <w:rStyle w:val="Lienhypertexte"/>
                <w:noProof/>
              </w:rPr>
              <w:t>23.47.1a Rails en acier CCTB 01.02</w:t>
            </w:r>
            <w:r w:rsidR="00FD58BF">
              <w:rPr>
                <w:noProof/>
                <w:webHidden/>
              </w:rPr>
              <w:tab/>
            </w:r>
            <w:r w:rsidR="00FD58BF">
              <w:rPr>
                <w:noProof/>
                <w:webHidden/>
              </w:rPr>
              <w:fldChar w:fldCharType="begin"/>
            </w:r>
            <w:r w:rsidR="00FD58BF">
              <w:rPr>
                <w:noProof/>
                <w:webHidden/>
              </w:rPr>
              <w:instrText xml:space="preserve"> PAGEREF _Toc178838589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37658764" w14:textId="2E0E0BF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90" w:history="1">
            <w:r w:rsidR="00FD58BF" w:rsidRPr="003004E5">
              <w:rPr>
                <w:rStyle w:val="Lienhypertexte"/>
                <w:noProof/>
              </w:rPr>
              <w:t>23.47.2 Rails en acier inoxydable CCTB 01.04</w:t>
            </w:r>
            <w:r w:rsidR="00FD58BF">
              <w:rPr>
                <w:noProof/>
                <w:webHidden/>
              </w:rPr>
              <w:tab/>
            </w:r>
            <w:r w:rsidR="00FD58BF">
              <w:rPr>
                <w:noProof/>
                <w:webHidden/>
              </w:rPr>
              <w:fldChar w:fldCharType="begin"/>
            </w:r>
            <w:r w:rsidR="00FD58BF">
              <w:rPr>
                <w:noProof/>
                <w:webHidden/>
              </w:rPr>
              <w:instrText xml:space="preserve"> PAGEREF _Toc178838590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4D07E673" w14:textId="6F412FA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1" w:history="1">
            <w:r w:rsidR="00FD58BF" w:rsidRPr="003004E5">
              <w:rPr>
                <w:rStyle w:val="Lienhypertexte"/>
                <w:noProof/>
              </w:rPr>
              <w:t>23.47.2a Rails en acier inoxydable CCTB 01.04</w:t>
            </w:r>
            <w:r w:rsidR="00FD58BF">
              <w:rPr>
                <w:noProof/>
                <w:webHidden/>
              </w:rPr>
              <w:tab/>
            </w:r>
            <w:r w:rsidR="00FD58BF">
              <w:rPr>
                <w:noProof/>
                <w:webHidden/>
              </w:rPr>
              <w:fldChar w:fldCharType="begin"/>
            </w:r>
            <w:r w:rsidR="00FD58BF">
              <w:rPr>
                <w:noProof/>
                <w:webHidden/>
              </w:rPr>
              <w:instrText xml:space="preserve"> PAGEREF _Toc178838591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4320A723" w14:textId="23AF33C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92" w:history="1">
            <w:r w:rsidR="00FD58BF" w:rsidRPr="003004E5">
              <w:rPr>
                <w:rStyle w:val="Lienhypertexte"/>
                <w:noProof/>
              </w:rPr>
              <w:t>23.47.3 Rails en aluminium CCTB 01.04</w:t>
            </w:r>
            <w:r w:rsidR="00FD58BF">
              <w:rPr>
                <w:noProof/>
                <w:webHidden/>
              </w:rPr>
              <w:tab/>
            </w:r>
            <w:r w:rsidR="00FD58BF">
              <w:rPr>
                <w:noProof/>
                <w:webHidden/>
              </w:rPr>
              <w:fldChar w:fldCharType="begin"/>
            </w:r>
            <w:r w:rsidR="00FD58BF">
              <w:rPr>
                <w:noProof/>
                <w:webHidden/>
              </w:rPr>
              <w:instrText xml:space="preserve"> PAGEREF _Toc178838592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6B8CFFE" w14:textId="291C98A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3" w:history="1">
            <w:r w:rsidR="00FD58BF" w:rsidRPr="003004E5">
              <w:rPr>
                <w:rStyle w:val="Lienhypertexte"/>
                <w:noProof/>
              </w:rPr>
              <w:t>23.47.3a Rails en aluminium CCTB 01.04</w:t>
            </w:r>
            <w:r w:rsidR="00FD58BF">
              <w:rPr>
                <w:noProof/>
                <w:webHidden/>
              </w:rPr>
              <w:tab/>
            </w:r>
            <w:r w:rsidR="00FD58BF">
              <w:rPr>
                <w:noProof/>
                <w:webHidden/>
              </w:rPr>
              <w:fldChar w:fldCharType="begin"/>
            </w:r>
            <w:r w:rsidR="00FD58BF">
              <w:rPr>
                <w:noProof/>
                <w:webHidden/>
              </w:rPr>
              <w:instrText xml:space="preserve"> PAGEREF _Toc178838593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0B101ACB" w14:textId="6CAFBB6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94" w:history="1">
            <w:r w:rsidR="00FD58BF" w:rsidRPr="003004E5">
              <w:rPr>
                <w:rStyle w:val="Lienhypertexte"/>
                <w:noProof/>
              </w:rPr>
              <w:t>23.48 Encadrements de baies métalliques CCTB 01.04</w:t>
            </w:r>
            <w:r w:rsidR="00FD58BF">
              <w:rPr>
                <w:noProof/>
                <w:webHidden/>
              </w:rPr>
              <w:tab/>
            </w:r>
            <w:r w:rsidR="00FD58BF">
              <w:rPr>
                <w:noProof/>
                <w:webHidden/>
              </w:rPr>
              <w:fldChar w:fldCharType="begin"/>
            </w:r>
            <w:r w:rsidR="00FD58BF">
              <w:rPr>
                <w:noProof/>
                <w:webHidden/>
              </w:rPr>
              <w:instrText xml:space="preserve"> PAGEREF _Toc178838594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03E09738" w14:textId="4C7BBEE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95" w:history="1">
            <w:r w:rsidR="00FD58BF" w:rsidRPr="003004E5">
              <w:rPr>
                <w:rStyle w:val="Lienhypertexte"/>
                <w:noProof/>
              </w:rPr>
              <w:t>23.48.1 Encadrements de baies métalliques CCTB 01.04</w:t>
            </w:r>
            <w:r w:rsidR="00FD58BF">
              <w:rPr>
                <w:noProof/>
                <w:webHidden/>
              </w:rPr>
              <w:tab/>
            </w:r>
            <w:r w:rsidR="00FD58BF">
              <w:rPr>
                <w:noProof/>
                <w:webHidden/>
              </w:rPr>
              <w:fldChar w:fldCharType="begin"/>
            </w:r>
            <w:r w:rsidR="00FD58BF">
              <w:rPr>
                <w:noProof/>
                <w:webHidden/>
              </w:rPr>
              <w:instrText xml:space="preserve"> PAGEREF _Toc178838595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A15FF08" w14:textId="6731D3D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6" w:history="1">
            <w:r w:rsidR="00FD58BF" w:rsidRPr="003004E5">
              <w:rPr>
                <w:rStyle w:val="Lienhypertexte"/>
                <w:noProof/>
              </w:rPr>
              <w:t>23.48.1a Encadrements de baies métalliques CCTB 01.04</w:t>
            </w:r>
            <w:r w:rsidR="00FD58BF">
              <w:rPr>
                <w:noProof/>
                <w:webHidden/>
              </w:rPr>
              <w:tab/>
            </w:r>
            <w:r w:rsidR="00FD58BF">
              <w:rPr>
                <w:noProof/>
                <w:webHidden/>
              </w:rPr>
              <w:fldChar w:fldCharType="begin"/>
            </w:r>
            <w:r w:rsidR="00FD58BF">
              <w:rPr>
                <w:noProof/>
                <w:webHidden/>
              </w:rPr>
              <w:instrText xml:space="preserve"> PAGEREF _Toc178838596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18E5BEE2" w14:textId="58F4F6C3"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97" w:history="1">
            <w:r w:rsidR="00FD58BF" w:rsidRPr="003004E5">
              <w:rPr>
                <w:rStyle w:val="Lienhypertexte"/>
                <w:noProof/>
              </w:rPr>
              <w:t>23.5 (titre réservé) CCTB 01.04</w:t>
            </w:r>
            <w:r w:rsidR="00FD58BF">
              <w:rPr>
                <w:noProof/>
                <w:webHidden/>
              </w:rPr>
              <w:tab/>
            </w:r>
            <w:r w:rsidR="00FD58BF">
              <w:rPr>
                <w:noProof/>
                <w:webHidden/>
              </w:rPr>
              <w:fldChar w:fldCharType="begin"/>
            </w:r>
            <w:r w:rsidR="00FD58BF">
              <w:rPr>
                <w:noProof/>
                <w:webHidden/>
              </w:rPr>
              <w:instrText xml:space="preserve"> PAGEREF _Toc178838597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40D8A9EF" w14:textId="177B36CC"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98" w:history="1">
            <w:r w:rsidR="00FD58BF" w:rsidRPr="003004E5">
              <w:rPr>
                <w:rStyle w:val="Lienhypertexte"/>
                <w:noProof/>
              </w:rPr>
              <w:t>23.6 Ouvrages de raccord et finitions CCTB 01.02</w:t>
            </w:r>
            <w:r w:rsidR="00FD58BF">
              <w:rPr>
                <w:noProof/>
                <w:webHidden/>
              </w:rPr>
              <w:tab/>
            </w:r>
            <w:r w:rsidR="00FD58BF">
              <w:rPr>
                <w:noProof/>
                <w:webHidden/>
              </w:rPr>
              <w:fldChar w:fldCharType="begin"/>
            </w:r>
            <w:r w:rsidR="00FD58BF">
              <w:rPr>
                <w:noProof/>
                <w:webHidden/>
              </w:rPr>
              <w:instrText xml:space="preserve"> PAGEREF _Toc178838598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2FC1AC0" w14:textId="2B65BF3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99" w:history="1">
            <w:r w:rsidR="00FD58BF" w:rsidRPr="003004E5">
              <w:rPr>
                <w:rStyle w:val="Lienhypertexte"/>
                <w:noProof/>
              </w:rPr>
              <w:t>23.61 Réalisation de joints CCTB 01.02</w:t>
            </w:r>
            <w:r w:rsidR="00FD58BF">
              <w:rPr>
                <w:noProof/>
                <w:webHidden/>
              </w:rPr>
              <w:tab/>
            </w:r>
            <w:r w:rsidR="00FD58BF">
              <w:rPr>
                <w:noProof/>
                <w:webHidden/>
              </w:rPr>
              <w:fldChar w:fldCharType="begin"/>
            </w:r>
            <w:r w:rsidR="00FD58BF">
              <w:rPr>
                <w:noProof/>
                <w:webHidden/>
              </w:rPr>
              <w:instrText xml:space="preserve"> PAGEREF _Toc178838599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2C9B2B4A" w14:textId="541391C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0" w:history="1">
            <w:r w:rsidR="00FD58BF" w:rsidRPr="003004E5">
              <w:rPr>
                <w:rStyle w:val="Lienhypertexte"/>
                <w:noProof/>
              </w:rPr>
              <w:t>23.61.1 Joints particuliers CCTB 01.02</w:t>
            </w:r>
            <w:r w:rsidR="00FD58BF">
              <w:rPr>
                <w:noProof/>
                <w:webHidden/>
              </w:rPr>
              <w:tab/>
            </w:r>
            <w:r w:rsidR="00FD58BF">
              <w:rPr>
                <w:noProof/>
                <w:webHidden/>
              </w:rPr>
              <w:fldChar w:fldCharType="begin"/>
            </w:r>
            <w:r w:rsidR="00FD58BF">
              <w:rPr>
                <w:noProof/>
                <w:webHidden/>
              </w:rPr>
              <w:instrText xml:space="preserve"> PAGEREF _Toc178838600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7D8932B" w14:textId="1F4C722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1" w:history="1">
            <w:r w:rsidR="00FD58BF" w:rsidRPr="003004E5">
              <w:rPr>
                <w:rStyle w:val="Lienhypertexte"/>
                <w:noProof/>
              </w:rPr>
              <w:t>23.61.1a Joints particuliers CCTB 01.02</w:t>
            </w:r>
            <w:r w:rsidR="00FD58BF">
              <w:rPr>
                <w:noProof/>
                <w:webHidden/>
              </w:rPr>
              <w:tab/>
            </w:r>
            <w:r w:rsidR="00FD58BF">
              <w:rPr>
                <w:noProof/>
                <w:webHidden/>
              </w:rPr>
              <w:fldChar w:fldCharType="begin"/>
            </w:r>
            <w:r w:rsidR="00FD58BF">
              <w:rPr>
                <w:noProof/>
                <w:webHidden/>
              </w:rPr>
              <w:instrText xml:space="preserve"> PAGEREF _Toc178838601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2A92B7EE" w14:textId="5450CDB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02" w:history="1">
            <w:r w:rsidR="00FD58BF" w:rsidRPr="003004E5">
              <w:rPr>
                <w:rStyle w:val="Lienhypertexte"/>
                <w:noProof/>
              </w:rPr>
              <w:t>23.62 Etanchéisation de joints CCTB 01.04</w:t>
            </w:r>
            <w:r w:rsidR="00FD58BF">
              <w:rPr>
                <w:noProof/>
                <w:webHidden/>
              </w:rPr>
              <w:tab/>
            </w:r>
            <w:r w:rsidR="00FD58BF">
              <w:rPr>
                <w:noProof/>
                <w:webHidden/>
              </w:rPr>
              <w:fldChar w:fldCharType="begin"/>
            </w:r>
            <w:r w:rsidR="00FD58BF">
              <w:rPr>
                <w:noProof/>
                <w:webHidden/>
              </w:rPr>
              <w:instrText xml:space="preserve"> PAGEREF _Toc178838602 \h </w:instrText>
            </w:r>
            <w:r w:rsidR="00FD58BF">
              <w:rPr>
                <w:noProof/>
                <w:webHidden/>
              </w:rPr>
            </w:r>
            <w:r w:rsidR="00FD58BF">
              <w:rPr>
                <w:noProof/>
                <w:webHidden/>
              </w:rPr>
              <w:fldChar w:fldCharType="separate"/>
            </w:r>
            <w:r w:rsidR="00FD58BF">
              <w:rPr>
                <w:noProof/>
                <w:webHidden/>
              </w:rPr>
              <w:t>841</w:t>
            </w:r>
            <w:r w:rsidR="00FD58BF">
              <w:rPr>
                <w:noProof/>
                <w:webHidden/>
              </w:rPr>
              <w:fldChar w:fldCharType="end"/>
            </w:r>
          </w:hyperlink>
        </w:p>
        <w:p w14:paraId="59A70119" w14:textId="6DE6173F"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603" w:history="1">
            <w:r w:rsidR="00FD58BF" w:rsidRPr="003004E5">
              <w:rPr>
                <w:rStyle w:val="Lienhypertexte"/>
                <w:noProof/>
              </w:rPr>
              <w:t>23.7 Traitement, protection et finition des aciers CCTB 01.11</w:t>
            </w:r>
            <w:r w:rsidR="00FD58BF">
              <w:rPr>
                <w:noProof/>
                <w:webHidden/>
              </w:rPr>
              <w:tab/>
            </w:r>
            <w:r w:rsidR="00FD58BF">
              <w:rPr>
                <w:noProof/>
                <w:webHidden/>
              </w:rPr>
              <w:fldChar w:fldCharType="begin"/>
            </w:r>
            <w:r w:rsidR="00FD58BF">
              <w:rPr>
                <w:noProof/>
                <w:webHidden/>
              </w:rPr>
              <w:instrText xml:space="preserve"> PAGEREF _Toc178838603 \h </w:instrText>
            </w:r>
            <w:r w:rsidR="00FD58BF">
              <w:rPr>
                <w:noProof/>
                <w:webHidden/>
              </w:rPr>
            </w:r>
            <w:r w:rsidR="00FD58BF">
              <w:rPr>
                <w:noProof/>
                <w:webHidden/>
              </w:rPr>
              <w:fldChar w:fldCharType="separate"/>
            </w:r>
            <w:r w:rsidR="00FD58BF">
              <w:rPr>
                <w:noProof/>
                <w:webHidden/>
              </w:rPr>
              <w:t>842</w:t>
            </w:r>
            <w:r w:rsidR="00FD58BF">
              <w:rPr>
                <w:noProof/>
                <w:webHidden/>
              </w:rPr>
              <w:fldChar w:fldCharType="end"/>
            </w:r>
          </w:hyperlink>
        </w:p>
        <w:p w14:paraId="76E1FB8A" w14:textId="75242682"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604" w:history="1">
            <w:r w:rsidR="00FD58BF" w:rsidRPr="003004E5">
              <w:rPr>
                <w:rStyle w:val="Lienhypertexte"/>
                <w:noProof/>
              </w:rPr>
              <w:t>23.8 Superstructures métalliques - Rénovation CCTB 01.04</w:t>
            </w:r>
            <w:r w:rsidR="00FD58BF">
              <w:rPr>
                <w:noProof/>
                <w:webHidden/>
              </w:rPr>
              <w:tab/>
            </w:r>
            <w:r w:rsidR="00FD58BF">
              <w:rPr>
                <w:noProof/>
                <w:webHidden/>
              </w:rPr>
              <w:fldChar w:fldCharType="begin"/>
            </w:r>
            <w:r w:rsidR="00FD58BF">
              <w:rPr>
                <w:noProof/>
                <w:webHidden/>
              </w:rPr>
              <w:instrText xml:space="preserve"> PAGEREF _Toc178838604 \h </w:instrText>
            </w:r>
            <w:r w:rsidR="00FD58BF">
              <w:rPr>
                <w:noProof/>
                <w:webHidden/>
              </w:rPr>
            </w:r>
            <w:r w:rsidR="00FD58BF">
              <w:rPr>
                <w:noProof/>
                <w:webHidden/>
              </w:rPr>
              <w:fldChar w:fldCharType="separate"/>
            </w:r>
            <w:r w:rsidR="00FD58BF">
              <w:rPr>
                <w:noProof/>
                <w:webHidden/>
              </w:rPr>
              <w:t>843</w:t>
            </w:r>
            <w:r w:rsidR="00FD58BF">
              <w:rPr>
                <w:noProof/>
                <w:webHidden/>
              </w:rPr>
              <w:fldChar w:fldCharType="end"/>
            </w:r>
          </w:hyperlink>
        </w:p>
        <w:p w14:paraId="567BC6B5" w14:textId="6F2E0FF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05" w:history="1">
            <w:r w:rsidR="00FD58BF" w:rsidRPr="003004E5">
              <w:rPr>
                <w:rStyle w:val="Lienhypertexte"/>
                <w:noProof/>
              </w:rPr>
              <w:t>23.81 Etudes / essais préliminaires CCTB 01.04</w:t>
            </w:r>
            <w:r w:rsidR="00FD58BF">
              <w:rPr>
                <w:noProof/>
                <w:webHidden/>
              </w:rPr>
              <w:tab/>
            </w:r>
            <w:r w:rsidR="00FD58BF">
              <w:rPr>
                <w:noProof/>
                <w:webHidden/>
              </w:rPr>
              <w:fldChar w:fldCharType="begin"/>
            </w:r>
            <w:r w:rsidR="00FD58BF">
              <w:rPr>
                <w:noProof/>
                <w:webHidden/>
              </w:rPr>
              <w:instrText xml:space="preserve"> PAGEREF _Toc178838605 \h </w:instrText>
            </w:r>
            <w:r w:rsidR="00FD58BF">
              <w:rPr>
                <w:noProof/>
                <w:webHidden/>
              </w:rPr>
            </w:r>
            <w:r w:rsidR="00FD58BF">
              <w:rPr>
                <w:noProof/>
                <w:webHidden/>
              </w:rPr>
              <w:fldChar w:fldCharType="separate"/>
            </w:r>
            <w:r w:rsidR="00FD58BF">
              <w:rPr>
                <w:noProof/>
                <w:webHidden/>
              </w:rPr>
              <w:t>843</w:t>
            </w:r>
            <w:r w:rsidR="00FD58BF">
              <w:rPr>
                <w:noProof/>
                <w:webHidden/>
              </w:rPr>
              <w:fldChar w:fldCharType="end"/>
            </w:r>
          </w:hyperlink>
        </w:p>
        <w:p w14:paraId="6582E50B" w14:textId="47EEE98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06" w:history="1">
            <w:r w:rsidR="00FD58BF" w:rsidRPr="003004E5">
              <w:rPr>
                <w:rStyle w:val="Lienhypertexte"/>
                <w:noProof/>
              </w:rPr>
              <w:t>23.82 Déposes / démontages / percements / déconstructions-démolitions CCTB 01.02</w:t>
            </w:r>
            <w:r w:rsidR="00FD58BF">
              <w:rPr>
                <w:noProof/>
                <w:webHidden/>
              </w:rPr>
              <w:tab/>
            </w:r>
            <w:r w:rsidR="00FD58BF">
              <w:rPr>
                <w:noProof/>
                <w:webHidden/>
              </w:rPr>
              <w:fldChar w:fldCharType="begin"/>
            </w:r>
            <w:r w:rsidR="00FD58BF">
              <w:rPr>
                <w:noProof/>
                <w:webHidden/>
              </w:rPr>
              <w:instrText xml:space="preserve"> PAGEREF _Toc178838606 \h </w:instrText>
            </w:r>
            <w:r w:rsidR="00FD58BF">
              <w:rPr>
                <w:noProof/>
                <w:webHidden/>
              </w:rPr>
            </w:r>
            <w:r w:rsidR="00FD58BF">
              <w:rPr>
                <w:noProof/>
                <w:webHidden/>
              </w:rPr>
              <w:fldChar w:fldCharType="separate"/>
            </w:r>
            <w:r w:rsidR="00FD58BF">
              <w:rPr>
                <w:noProof/>
                <w:webHidden/>
              </w:rPr>
              <w:t>843</w:t>
            </w:r>
            <w:r w:rsidR="00FD58BF">
              <w:rPr>
                <w:noProof/>
                <w:webHidden/>
              </w:rPr>
              <w:fldChar w:fldCharType="end"/>
            </w:r>
          </w:hyperlink>
        </w:p>
        <w:p w14:paraId="6999C849" w14:textId="2D197D1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7" w:history="1">
            <w:r w:rsidR="00FD58BF" w:rsidRPr="003004E5">
              <w:rPr>
                <w:rStyle w:val="Lienhypertexte"/>
                <w:noProof/>
              </w:rPr>
              <w:t>23.82.1 Travaux de stabilisation CCTB 01.04</w:t>
            </w:r>
            <w:r w:rsidR="00FD58BF">
              <w:rPr>
                <w:noProof/>
                <w:webHidden/>
              </w:rPr>
              <w:tab/>
            </w:r>
            <w:r w:rsidR="00FD58BF">
              <w:rPr>
                <w:noProof/>
                <w:webHidden/>
              </w:rPr>
              <w:fldChar w:fldCharType="begin"/>
            </w:r>
            <w:r w:rsidR="00FD58BF">
              <w:rPr>
                <w:noProof/>
                <w:webHidden/>
              </w:rPr>
              <w:instrText xml:space="preserve"> PAGEREF _Toc178838607 \h </w:instrText>
            </w:r>
            <w:r w:rsidR="00FD58BF">
              <w:rPr>
                <w:noProof/>
                <w:webHidden/>
              </w:rPr>
            </w:r>
            <w:r w:rsidR="00FD58BF">
              <w:rPr>
                <w:noProof/>
                <w:webHidden/>
              </w:rPr>
              <w:fldChar w:fldCharType="separate"/>
            </w:r>
            <w:r w:rsidR="00FD58BF">
              <w:rPr>
                <w:noProof/>
                <w:webHidden/>
              </w:rPr>
              <w:t>843</w:t>
            </w:r>
            <w:r w:rsidR="00FD58BF">
              <w:rPr>
                <w:noProof/>
                <w:webHidden/>
              </w:rPr>
              <w:fldChar w:fldCharType="end"/>
            </w:r>
          </w:hyperlink>
        </w:p>
        <w:p w14:paraId="4BA58AEF" w14:textId="4EC013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8" w:history="1">
            <w:r w:rsidR="00FD58BF" w:rsidRPr="003004E5">
              <w:rPr>
                <w:rStyle w:val="Lienhypertexte"/>
                <w:noProof/>
              </w:rPr>
              <w:t>23.82.2 Déposes d'éléments (pour repose ultérieure) CCTB 01.04</w:t>
            </w:r>
            <w:r w:rsidR="00FD58BF">
              <w:rPr>
                <w:noProof/>
                <w:webHidden/>
              </w:rPr>
              <w:tab/>
            </w:r>
            <w:r w:rsidR="00FD58BF">
              <w:rPr>
                <w:noProof/>
                <w:webHidden/>
              </w:rPr>
              <w:fldChar w:fldCharType="begin"/>
            </w:r>
            <w:r w:rsidR="00FD58BF">
              <w:rPr>
                <w:noProof/>
                <w:webHidden/>
              </w:rPr>
              <w:instrText xml:space="preserve"> PAGEREF _Toc178838608 \h </w:instrText>
            </w:r>
            <w:r w:rsidR="00FD58BF">
              <w:rPr>
                <w:noProof/>
                <w:webHidden/>
              </w:rPr>
            </w:r>
            <w:r w:rsidR="00FD58BF">
              <w:rPr>
                <w:noProof/>
                <w:webHidden/>
              </w:rPr>
              <w:fldChar w:fldCharType="separate"/>
            </w:r>
            <w:r w:rsidR="00FD58BF">
              <w:rPr>
                <w:noProof/>
                <w:webHidden/>
              </w:rPr>
              <w:t>843</w:t>
            </w:r>
            <w:r w:rsidR="00FD58BF">
              <w:rPr>
                <w:noProof/>
                <w:webHidden/>
              </w:rPr>
              <w:fldChar w:fldCharType="end"/>
            </w:r>
          </w:hyperlink>
        </w:p>
        <w:p w14:paraId="28CFDAAD" w14:textId="03B8E01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9" w:history="1">
            <w:r w:rsidR="00FD58BF" w:rsidRPr="003004E5">
              <w:rPr>
                <w:rStyle w:val="Lienhypertexte"/>
                <w:noProof/>
              </w:rPr>
              <w:t>23.82.3 Démontages d'éléments (pour récupération) CCTB 01.04</w:t>
            </w:r>
            <w:r w:rsidR="00FD58BF">
              <w:rPr>
                <w:noProof/>
                <w:webHidden/>
              </w:rPr>
              <w:tab/>
            </w:r>
            <w:r w:rsidR="00FD58BF">
              <w:rPr>
                <w:noProof/>
                <w:webHidden/>
              </w:rPr>
              <w:fldChar w:fldCharType="begin"/>
            </w:r>
            <w:r w:rsidR="00FD58BF">
              <w:rPr>
                <w:noProof/>
                <w:webHidden/>
              </w:rPr>
              <w:instrText xml:space="preserve"> PAGEREF _Toc178838609 \h </w:instrText>
            </w:r>
            <w:r w:rsidR="00FD58BF">
              <w:rPr>
                <w:noProof/>
                <w:webHidden/>
              </w:rPr>
            </w:r>
            <w:r w:rsidR="00FD58BF">
              <w:rPr>
                <w:noProof/>
                <w:webHidden/>
              </w:rPr>
              <w:fldChar w:fldCharType="separate"/>
            </w:r>
            <w:r w:rsidR="00FD58BF">
              <w:rPr>
                <w:noProof/>
                <w:webHidden/>
              </w:rPr>
              <w:t>843</w:t>
            </w:r>
            <w:r w:rsidR="00FD58BF">
              <w:rPr>
                <w:noProof/>
                <w:webHidden/>
              </w:rPr>
              <w:fldChar w:fldCharType="end"/>
            </w:r>
          </w:hyperlink>
        </w:p>
        <w:p w14:paraId="4904EF3F" w14:textId="1402CD3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0" w:history="1">
            <w:r w:rsidR="00FD58BF" w:rsidRPr="003004E5">
              <w:rPr>
                <w:rStyle w:val="Lienhypertexte"/>
                <w:noProof/>
              </w:rPr>
              <w:t>23.82.4 Décapages / déjointoiements (pour évacuation) CCTB 01.04</w:t>
            </w:r>
            <w:r w:rsidR="00FD58BF">
              <w:rPr>
                <w:noProof/>
                <w:webHidden/>
              </w:rPr>
              <w:tab/>
            </w:r>
            <w:r w:rsidR="00FD58BF">
              <w:rPr>
                <w:noProof/>
                <w:webHidden/>
              </w:rPr>
              <w:fldChar w:fldCharType="begin"/>
            </w:r>
            <w:r w:rsidR="00FD58BF">
              <w:rPr>
                <w:noProof/>
                <w:webHidden/>
              </w:rPr>
              <w:instrText xml:space="preserve"> PAGEREF _Toc178838610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5D5B19E7" w14:textId="7ECB361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1" w:history="1">
            <w:r w:rsidR="00FD58BF" w:rsidRPr="003004E5">
              <w:rPr>
                <w:rStyle w:val="Lienhypertexte"/>
                <w:noProof/>
              </w:rPr>
              <w:t>23.82.5 Percements / carottages CCTB 01.04</w:t>
            </w:r>
            <w:r w:rsidR="00FD58BF">
              <w:rPr>
                <w:noProof/>
                <w:webHidden/>
              </w:rPr>
              <w:tab/>
            </w:r>
            <w:r w:rsidR="00FD58BF">
              <w:rPr>
                <w:noProof/>
                <w:webHidden/>
              </w:rPr>
              <w:fldChar w:fldCharType="begin"/>
            </w:r>
            <w:r w:rsidR="00FD58BF">
              <w:rPr>
                <w:noProof/>
                <w:webHidden/>
              </w:rPr>
              <w:instrText xml:space="preserve"> PAGEREF _Toc178838611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0AFDA0D7" w14:textId="195FA72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2" w:history="1">
            <w:r w:rsidR="00FD58BF" w:rsidRPr="003004E5">
              <w:rPr>
                <w:rStyle w:val="Lienhypertexte"/>
                <w:noProof/>
              </w:rPr>
              <w:t>23.82.6 Déconstructions / démolitions (pour évacuation) CCTB 01.04</w:t>
            </w:r>
            <w:r w:rsidR="00FD58BF">
              <w:rPr>
                <w:noProof/>
                <w:webHidden/>
              </w:rPr>
              <w:tab/>
            </w:r>
            <w:r w:rsidR="00FD58BF">
              <w:rPr>
                <w:noProof/>
                <w:webHidden/>
              </w:rPr>
              <w:fldChar w:fldCharType="begin"/>
            </w:r>
            <w:r w:rsidR="00FD58BF">
              <w:rPr>
                <w:noProof/>
                <w:webHidden/>
              </w:rPr>
              <w:instrText xml:space="preserve"> PAGEREF _Toc178838612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3F101D7D" w14:textId="1EE72BB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13" w:history="1">
            <w:r w:rsidR="00FD58BF" w:rsidRPr="003004E5">
              <w:rPr>
                <w:rStyle w:val="Lienhypertexte"/>
                <w:noProof/>
              </w:rPr>
              <w:t>23.83 Réparations / ragréages / rénovations CCTB 01.02</w:t>
            </w:r>
            <w:r w:rsidR="00FD58BF">
              <w:rPr>
                <w:noProof/>
                <w:webHidden/>
              </w:rPr>
              <w:tab/>
            </w:r>
            <w:r w:rsidR="00FD58BF">
              <w:rPr>
                <w:noProof/>
                <w:webHidden/>
              </w:rPr>
              <w:fldChar w:fldCharType="begin"/>
            </w:r>
            <w:r w:rsidR="00FD58BF">
              <w:rPr>
                <w:noProof/>
                <w:webHidden/>
              </w:rPr>
              <w:instrText xml:space="preserve"> PAGEREF _Toc178838613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684825E4" w14:textId="073AF6A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4" w:history="1">
            <w:r w:rsidR="00FD58BF" w:rsidRPr="003004E5">
              <w:rPr>
                <w:rStyle w:val="Lienhypertexte"/>
                <w:noProof/>
              </w:rPr>
              <w:t>23.83.1 Réparations d'éléments défectueux par soudure CCTB 01.04</w:t>
            </w:r>
            <w:r w:rsidR="00FD58BF">
              <w:rPr>
                <w:noProof/>
                <w:webHidden/>
              </w:rPr>
              <w:tab/>
            </w:r>
            <w:r w:rsidR="00FD58BF">
              <w:rPr>
                <w:noProof/>
                <w:webHidden/>
              </w:rPr>
              <w:fldChar w:fldCharType="begin"/>
            </w:r>
            <w:r w:rsidR="00FD58BF">
              <w:rPr>
                <w:noProof/>
                <w:webHidden/>
              </w:rPr>
              <w:instrText xml:space="preserve"> PAGEREF _Toc178838614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32E281BB" w14:textId="0729CDE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5" w:history="1">
            <w:r w:rsidR="00FD58BF" w:rsidRPr="003004E5">
              <w:rPr>
                <w:rStyle w:val="Lienhypertexte"/>
                <w:noProof/>
              </w:rPr>
              <w:t>23.83.1a Réparations d'éléments défectueux par soudure CCTB 01.04</w:t>
            </w:r>
            <w:r w:rsidR="00FD58BF">
              <w:rPr>
                <w:noProof/>
                <w:webHidden/>
              </w:rPr>
              <w:tab/>
            </w:r>
            <w:r w:rsidR="00FD58BF">
              <w:rPr>
                <w:noProof/>
                <w:webHidden/>
              </w:rPr>
              <w:fldChar w:fldCharType="begin"/>
            </w:r>
            <w:r w:rsidR="00FD58BF">
              <w:rPr>
                <w:noProof/>
                <w:webHidden/>
              </w:rPr>
              <w:instrText xml:space="preserve"> PAGEREF _Toc178838615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3697BDF9" w14:textId="3D4B3A0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16" w:history="1">
            <w:r w:rsidR="00FD58BF" w:rsidRPr="003004E5">
              <w:rPr>
                <w:rStyle w:val="Lienhypertexte"/>
                <w:noProof/>
              </w:rPr>
              <w:t>23.84 Renforcements CCTB 01.02</w:t>
            </w:r>
            <w:r w:rsidR="00FD58BF">
              <w:rPr>
                <w:noProof/>
                <w:webHidden/>
              </w:rPr>
              <w:tab/>
            </w:r>
            <w:r w:rsidR="00FD58BF">
              <w:rPr>
                <w:noProof/>
                <w:webHidden/>
              </w:rPr>
              <w:fldChar w:fldCharType="begin"/>
            </w:r>
            <w:r w:rsidR="00FD58BF">
              <w:rPr>
                <w:noProof/>
                <w:webHidden/>
              </w:rPr>
              <w:instrText xml:space="preserve"> PAGEREF _Toc178838616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765FC788" w14:textId="114C9E0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7" w:history="1">
            <w:r w:rsidR="00FD58BF" w:rsidRPr="003004E5">
              <w:rPr>
                <w:rStyle w:val="Lienhypertexte"/>
                <w:noProof/>
              </w:rPr>
              <w:t>23.84.1 Renforcements de profils par augmentation de la section d'acier CCTB 01.02</w:t>
            </w:r>
            <w:r w:rsidR="00FD58BF">
              <w:rPr>
                <w:noProof/>
                <w:webHidden/>
              </w:rPr>
              <w:tab/>
            </w:r>
            <w:r w:rsidR="00FD58BF">
              <w:rPr>
                <w:noProof/>
                <w:webHidden/>
              </w:rPr>
              <w:fldChar w:fldCharType="begin"/>
            </w:r>
            <w:r w:rsidR="00FD58BF">
              <w:rPr>
                <w:noProof/>
                <w:webHidden/>
              </w:rPr>
              <w:instrText xml:space="preserve"> PAGEREF _Toc178838617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53769096" w14:textId="4FDE14D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8" w:history="1">
            <w:r w:rsidR="00FD58BF" w:rsidRPr="003004E5">
              <w:rPr>
                <w:rStyle w:val="Lienhypertexte"/>
                <w:noProof/>
              </w:rPr>
              <w:t>23.84.1a Renforcements par ajout de plats / profils soudés CCTB 01.02</w:t>
            </w:r>
            <w:r w:rsidR="00FD58BF">
              <w:rPr>
                <w:noProof/>
                <w:webHidden/>
              </w:rPr>
              <w:tab/>
            </w:r>
            <w:r w:rsidR="00FD58BF">
              <w:rPr>
                <w:noProof/>
                <w:webHidden/>
              </w:rPr>
              <w:fldChar w:fldCharType="begin"/>
            </w:r>
            <w:r w:rsidR="00FD58BF">
              <w:rPr>
                <w:noProof/>
                <w:webHidden/>
              </w:rPr>
              <w:instrText xml:space="preserve"> PAGEREF _Toc178838618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06959ECA" w14:textId="3D4D965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9" w:history="1">
            <w:r w:rsidR="00FD58BF" w:rsidRPr="003004E5">
              <w:rPr>
                <w:rStyle w:val="Lienhypertexte"/>
                <w:noProof/>
              </w:rPr>
              <w:t>23.84.1b Renforcements par ajout de plats / profils boulonnés / rivetés CCTB 01.02</w:t>
            </w:r>
            <w:r w:rsidR="00FD58BF">
              <w:rPr>
                <w:noProof/>
                <w:webHidden/>
              </w:rPr>
              <w:tab/>
            </w:r>
            <w:r w:rsidR="00FD58BF">
              <w:rPr>
                <w:noProof/>
                <w:webHidden/>
              </w:rPr>
              <w:fldChar w:fldCharType="begin"/>
            </w:r>
            <w:r w:rsidR="00FD58BF">
              <w:rPr>
                <w:noProof/>
                <w:webHidden/>
              </w:rPr>
              <w:instrText xml:space="preserve"> PAGEREF _Toc178838619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34F96C1F" w14:textId="0BE62AC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0" w:history="1">
            <w:r w:rsidR="00FD58BF" w:rsidRPr="003004E5">
              <w:rPr>
                <w:rStyle w:val="Lienhypertexte"/>
                <w:noProof/>
              </w:rPr>
              <w:t>23.84.1c Renforcements par ajout de plats / profils collés CCTB 01.02</w:t>
            </w:r>
            <w:r w:rsidR="00FD58BF">
              <w:rPr>
                <w:noProof/>
                <w:webHidden/>
              </w:rPr>
              <w:tab/>
            </w:r>
            <w:r w:rsidR="00FD58BF">
              <w:rPr>
                <w:noProof/>
                <w:webHidden/>
              </w:rPr>
              <w:fldChar w:fldCharType="begin"/>
            </w:r>
            <w:r w:rsidR="00FD58BF">
              <w:rPr>
                <w:noProof/>
                <w:webHidden/>
              </w:rPr>
              <w:instrText xml:space="preserve"> PAGEREF _Toc178838620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5FB5B8B4" w14:textId="2D32F1B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1" w:history="1">
            <w:r w:rsidR="00FD58BF" w:rsidRPr="003004E5">
              <w:rPr>
                <w:rStyle w:val="Lienhypertexte"/>
                <w:noProof/>
              </w:rPr>
              <w:t>23.84.2 Renforcements par ajout de profils à la structure existante CCTB 01.02</w:t>
            </w:r>
            <w:r w:rsidR="00FD58BF">
              <w:rPr>
                <w:noProof/>
                <w:webHidden/>
              </w:rPr>
              <w:tab/>
            </w:r>
            <w:r w:rsidR="00FD58BF">
              <w:rPr>
                <w:noProof/>
                <w:webHidden/>
              </w:rPr>
              <w:fldChar w:fldCharType="begin"/>
            </w:r>
            <w:r w:rsidR="00FD58BF">
              <w:rPr>
                <w:noProof/>
                <w:webHidden/>
              </w:rPr>
              <w:instrText xml:space="preserve"> PAGEREF _Toc178838621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597BAA41" w14:textId="3671582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2" w:history="1">
            <w:r w:rsidR="00FD58BF" w:rsidRPr="003004E5">
              <w:rPr>
                <w:rStyle w:val="Lienhypertexte"/>
                <w:noProof/>
              </w:rPr>
              <w:t>23.84.2a Ajouts de profils soudés CCTB 01.02</w:t>
            </w:r>
            <w:r w:rsidR="00FD58BF">
              <w:rPr>
                <w:noProof/>
                <w:webHidden/>
              </w:rPr>
              <w:tab/>
            </w:r>
            <w:r w:rsidR="00FD58BF">
              <w:rPr>
                <w:noProof/>
                <w:webHidden/>
              </w:rPr>
              <w:fldChar w:fldCharType="begin"/>
            </w:r>
            <w:r w:rsidR="00FD58BF">
              <w:rPr>
                <w:noProof/>
                <w:webHidden/>
              </w:rPr>
              <w:instrText xml:space="preserve"> PAGEREF _Toc178838622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783F69C9" w14:textId="411B8BA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3" w:history="1">
            <w:r w:rsidR="00FD58BF" w:rsidRPr="003004E5">
              <w:rPr>
                <w:rStyle w:val="Lienhypertexte"/>
                <w:noProof/>
              </w:rPr>
              <w:t>23.84.2b Ajouts de profils collés CCTB 01.02</w:t>
            </w:r>
            <w:r w:rsidR="00FD58BF">
              <w:rPr>
                <w:noProof/>
                <w:webHidden/>
              </w:rPr>
              <w:tab/>
            </w:r>
            <w:r w:rsidR="00FD58BF">
              <w:rPr>
                <w:noProof/>
                <w:webHidden/>
              </w:rPr>
              <w:fldChar w:fldCharType="begin"/>
            </w:r>
            <w:r w:rsidR="00FD58BF">
              <w:rPr>
                <w:noProof/>
                <w:webHidden/>
              </w:rPr>
              <w:instrText xml:space="preserve"> PAGEREF _Toc178838623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33CA2C9F" w14:textId="5349ACD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4" w:history="1">
            <w:r w:rsidR="00FD58BF" w:rsidRPr="003004E5">
              <w:rPr>
                <w:rStyle w:val="Lienhypertexte"/>
                <w:noProof/>
              </w:rPr>
              <w:t>23.84.2c Ajouts de profils boulonnés CCTB 01.02</w:t>
            </w:r>
            <w:r w:rsidR="00FD58BF">
              <w:rPr>
                <w:noProof/>
                <w:webHidden/>
              </w:rPr>
              <w:tab/>
            </w:r>
            <w:r w:rsidR="00FD58BF">
              <w:rPr>
                <w:noProof/>
                <w:webHidden/>
              </w:rPr>
              <w:fldChar w:fldCharType="begin"/>
            </w:r>
            <w:r w:rsidR="00FD58BF">
              <w:rPr>
                <w:noProof/>
                <w:webHidden/>
              </w:rPr>
              <w:instrText xml:space="preserve"> PAGEREF _Toc178838624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6E1E991D" w14:textId="4098912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5" w:history="1">
            <w:r w:rsidR="00FD58BF" w:rsidRPr="003004E5">
              <w:rPr>
                <w:rStyle w:val="Lienhypertexte"/>
                <w:noProof/>
              </w:rPr>
              <w:t>23.84.2d Ajouts de profils rivetés CCTB 01.02</w:t>
            </w:r>
            <w:r w:rsidR="00FD58BF">
              <w:rPr>
                <w:noProof/>
                <w:webHidden/>
              </w:rPr>
              <w:tab/>
            </w:r>
            <w:r w:rsidR="00FD58BF">
              <w:rPr>
                <w:noProof/>
                <w:webHidden/>
              </w:rPr>
              <w:fldChar w:fldCharType="begin"/>
            </w:r>
            <w:r w:rsidR="00FD58BF">
              <w:rPr>
                <w:noProof/>
                <w:webHidden/>
              </w:rPr>
              <w:instrText xml:space="preserve"> PAGEREF _Toc178838625 \h </w:instrText>
            </w:r>
            <w:r w:rsidR="00FD58BF">
              <w:rPr>
                <w:noProof/>
                <w:webHidden/>
              </w:rPr>
            </w:r>
            <w:r w:rsidR="00FD58BF">
              <w:rPr>
                <w:noProof/>
                <w:webHidden/>
              </w:rPr>
              <w:fldChar w:fldCharType="separate"/>
            </w:r>
            <w:r w:rsidR="00FD58BF">
              <w:rPr>
                <w:noProof/>
                <w:webHidden/>
              </w:rPr>
              <w:t>844</w:t>
            </w:r>
            <w:r w:rsidR="00FD58BF">
              <w:rPr>
                <w:noProof/>
                <w:webHidden/>
              </w:rPr>
              <w:fldChar w:fldCharType="end"/>
            </w:r>
          </w:hyperlink>
        </w:p>
        <w:p w14:paraId="26E4E712" w14:textId="66CF5F6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6" w:history="1">
            <w:r w:rsidR="00FD58BF" w:rsidRPr="003004E5">
              <w:rPr>
                <w:rStyle w:val="Lienhypertexte"/>
                <w:noProof/>
              </w:rPr>
              <w:t>23.84.3 Renforcements par ajout d'éléments structuraux externes à la structure CCTB 01.04</w:t>
            </w:r>
            <w:r w:rsidR="00FD58BF">
              <w:rPr>
                <w:noProof/>
                <w:webHidden/>
              </w:rPr>
              <w:tab/>
            </w:r>
            <w:r w:rsidR="00FD58BF">
              <w:rPr>
                <w:noProof/>
                <w:webHidden/>
              </w:rPr>
              <w:fldChar w:fldCharType="begin"/>
            </w:r>
            <w:r w:rsidR="00FD58BF">
              <w:rPr>
                <w:noProof/>
                <w:webHidden/>
              </w:rPr>
              <w:instrText xml:space="preserve"> PAGEREF _Toc178838626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368168FE" w14:textId="4F6EC1B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7" w:history="1">
            <w:r w:rsidR="00FD58BF" w:rsidRPr="003004E5">
              <w:rPr>
                <w:rStyle w:val="Lienhypertexte"/>
                <w:noProof/>
              </w:rPr>
              <w:t>23.84.3a Ajouts de tirants métalliques externes CCTB 01.02</w:t>
            </w:r>
            <w:r w:rsidR="00FD58BF">
              <w:rPr>
                <w:noProof/>
                <w:webHidden/>
              </w:rPr>
              <w:tab/>
            </w:r>
            <w:r w:rsidR="00FD58BF">
              <w:rPr>
                <w:noProof/>
                <w:webHidden/>
              </w:rPr>
              <w:fldChar w:fldCharType="begin"/>
            </w:r>
            <w:r w:rsidR="00FD58BF">
              <w:rPr>
                <w:noProof/>
                <w:webHidden/>
              </w:rPr>
              <w:instrText xml:space="preserve"> PAGEREF _Toc178838627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1DA5AEBE" w14:textId="333C939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8" w:history="1">
            <w:r w:rsidR="00FD58BF" w:rsidRPr="003004E5">
              <w:rPr>
                <w:rStyle w:val="Lienhypertexte"/>
                <w:noProof/>
              </w:rPr>
              <w:t>23.84.3b Structures de délestage autour d'une structure existante CCTB 01.02</w:t>
            </w:r>
            <w:r w:rsidR="00FD58BF">
              <w:rPr>
                <w:noProof/>
                <w:webHidden/>
              </w:rPr>
              <w:tab/>
            </w:r>
            <w:r w:rsidR="00FD58BF">
              <w:rPr>
                <w:noProof/>
                <w:webHidden/>
              </w:rPr>
              <w:fldChar w:fldCharType="begin"/>
            </w:r>
            <w:r w:rsidR="00FD58BF">
              <w:rPr>
                <w:noProof/>
                <w:webHidden/>
              </w:rPr>
              <w:instrText xml:space="preserve"> PAGEREF _Toc178838628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782D7A06" w14:textId="775CCD1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9" w:history="1">
            <w:r w:rsidR="00FD58BF" w:rsidRPr="003004E5">
              <w:rPr>
                <w:rStyle w:val="Lienhypertexte"/>
                <w:noProof/>
              </w:rPr>
              <w:t>23.84.4 Renforcements de fixations / assemblages de structure existantes CCTB 01.02</w:t>
            </w:r>
            <w:r w:rsidR="00FD58BF">
              <w:rPr>
                <w:noProof/>
                <w:webHidden/>
              </w:rPr>
              <w:tab/>
            </w:r>
            <w:r w:rsidR="00FD58BF">
              <w:rPr>
                <w:noProof/>
                <w:webHidden/>
              </w:rPr>
              <w:fldChar w:fldCharType="begin"/>
            </w:r>
            <w:r w:rsidR="00FD58BF">
              <w:rPr>
                <w:noProof/>
                <w:webHidden/>
              </w:rPr>
              <w:instrText xml:space="preserve"> PAGEREF _Toc178838629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03AF3191" w14:textId="5ACC6DC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0" w:history="1">
            <w:r w:rsidR="00FD58BF" w:rsidRPr="003004E5">
              <w:rPr>
                <w:rStyle w:val="Lienhypertexte"/>
                <w:noProof/>
              </w:rPr>
              <w:t>23.84.4a Opérations de soudure complémentaires CCTB 01.02</w:t>
            </w:r>
            <w:r w:rsidR="00FD58BF">
              <w:rPr>
                <w:noProof/>
                <w:webHidden/>
              </w:rPr>
              <w:tab/>
            </w:r>
            <w:r w:rsidR="00FD58BF">
              <w:rPr>
                <w:noProof/>
                <w:webHidden/>
              </w:rPr>
              <w:fldChar w:fldCharType="begin"/>
            </w:r>
            <w:r w:rsidR="00FD58BF">
              <w:rPr>
                <w:noProof/>
                <w:webHidden/>
              </w:rPr>
              <w:instrText xml:space="preserve"> PAGEREF _Toc178838630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730D450A" w14:textId="424B283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1" w:history="1">
            <w:r w:rsidR="00FD58BF" w:rsidRPr="003004E5">
              <w:rPr>
                <w:rStyle w:val="Lienhypertexte"/>
                <w:noProof/>
              </w:rPr>
              <w:t>23.84.4b Ajouts de raidisseurs soudés CCTB 01.04</w:t>
            </w:r>
            <w:r w:rsidR="00FD58BF">
              <w:rPr>
                <w:noProof/>
                <w:webHidden/>
              </w:rPr>
              <w:tab/>
            </w:r>
            <w:r w:rsidR="00FD58BF">
              <w:rPr>
                <w:noProof/>
                <w:webHidden/>
              </w:rPr>
              <w:fldChar w:fldCharType="begin"/>
            </w:r>
            <w:r w:rsidR="00FD58BF">
              <w:rPr>
                <w:noProof/>
                <w:webHidden/>
              </w:rPr>
              <w:instrText xml:space="preserve"> PAGEREF _Toc178838631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5F1E87C4" w14:textId="6C1057B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2" w:history="1">
            <w:r w:rsidR="00FD58BF" w:rsidRPr="003004E5">
              <w:rPr>
                <w:rStyle w:val="Lienhypertexte"/>
                <w:noProof/>
              </w:rPr>
              <w:t>23.84.4c Ajouts de raidisseurs fixés mécaniquement CCTB 01.04</w:t>
            </w:r>
            <w:r w:rsidR="00FD58BF">
              <w:rPr>
                <w:noProof/>
                <w:webHidden/>
              </w:rPr>
              <w:tab/>
            </w:r>
            <w:r w:rsidR="00FD58BF">
              <w:rPr>
                <w:noProof/>
                <w:webHidden/>
              </w:rPr>
              <w:fldChar w:fldCharType="begin"/>
            </w:r>
            <w:r w:rsidR="00FD58BF">
              <w:rPr>
                <w:noProof/>
                <w:webHidden/>
              </w:rPr>
              <w:instrText xml:space="preserve"> PAGEREF _Toc178838632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314B6337" w14:textId="6809533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33" w:history="1">
            <w:r w:rsidR="00FD58BF" w:rsidRPr="003004E5">
              <w:rPr>
                <w:rStyle w:val="Lienhypertexte"/>
                <w:noProof/>
              </w:rPr>
              <w:t>23.85 Adaptations CCTB 01.02</w:t>
            </w:r>
            <w:r w:rsidR="00FD58BF">
              <w:rPr>
                <w:noProof/>
                <w:webHidden/>
              </w:rPr>
              <w:tab/>
            </w:r>
            <w:r w:rsidR="00FD58BF">
              <w:rPr>
                <w:noProof/>
                <w:webHidden/>
              </w:rPr>
              <w:fldChar w:fldCharType="begin"/>
            </w:r>
            <w:r w:rsidR="00FD58BF">
              <w:rPr>
                <w:noProof/>
                <w:webHidden/>
              </w:rPr>
              <w:instrText xml:space="preserve"> PAGEREF _Toc178838633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3429F5DF" w14:textId="137623D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34" w:history="1">
            <w:r w:rsidR="00FD58BF" w:rsidRPr="003004E5">
              <w:rPr>
                <w:rStyle w:val="Lienhypertexte"/>
                <w:noProof/>
              </w:rPr>
              <w:t>23.85.1 Adaptations de charpentes métalliques pour baies / passages CCTB 01.02</w:t>
            </w:r>
            <w:r w:rsidR="00FD58BF">
              <w:rPr>
                <w:noProof/>
                <w:webHidden/>
              </w:rPr>
              <w:tab/>
            </w:r>
            <w:r w:rsidR="00FD58BF">
              <w:rPr>
                <w:noProof/>
                <w:webHidden/>
              </w:rPr>
              <w:fldChar w:fldCharType="begin"/>
            </w:r>
            <w:r w:rsidR="00FD58BF">
              <w:rPr>
                <w:noProof/>
                <w:webHidden/>
              </w:rPr>
              <w:instrText xml:space="preserve"> PAGEREF _Toc178838634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48CA2B07" w14:textId="2F2CD9D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5" w:history="1">
            <w:r w:rsidR="00FD58BF" w:rsidRPr="003004E5">
              <w:rPr>
                <w:rStyle w:val="Lienhypertexte"/>
                <w:noProof/>
              </w:rPr>
              <w:t>23.85.1a Créations de baies dans structures métalliques CCTB 01.04</w:t>
            </w:r>
            <w:r w:rsidR="00FD58BF">
              <w:rPr>
                <w:noProof/>
                <w:webHidden/>
              </w:rPr>
              <w:tab/>
            </w:r>
            <w:r w:rsidR="00FD58BF">
              <w:rPr>
                <w:noProof/>
                <w:webHidden/>
              </w:rPr>
              <w:fldChar w:fldCharType="begin"/>
            </w:r>
            <w:r w:rsidR="00FD58BF">
              <w:rPr>
                <w:noProof/>
                <w:webHidden/>
              </w:rPr>
              <w:instrText xml:space="preserve"> PAGEREF _Toc178838635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0EE17C2B" w14:textId="0F93375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6" w:history="1">
            <w:r w:rsidR="00FD58BF" w:rsidRPr="003004E5">
              <w:rPr>
                <w:rStyle w:val="Lienhypertexte"/>
                <w:noProof/>
              </w:rPr>
              <w:t>23.85.1b Adaptations dimensionnelles de baies existantes dans structures métalliques CCTB 01.04</w:t>
            </w:r>
            <w:r w:rsidR="00FD58BF">
              <w:rPr>
                <w:noProof/>
                <w:webHidden/>
              </w:rPr>
              <w:tab/>
            </w:r>
            <w:r w:rsidR="00FD58BF">
              <w:rPr>
                <w:noProof/>
                <w:webHidden/>
              </w:rPr>
              <w:fldChar w:fldCharType="begin"/>
            </w:r>
            <w:r w:rsidR="00FD58BF">
              <w:rPr>
                <w:noProof/>
                <w:webHidden/>
              </w:rPr>
              <w:instrText xml:space="preserve"> PAGEREF _Toc178838636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7B65422D" w14:textId="002D37D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7" w:history="1">
            <w:r w:rsidR="00FD58BF" w:rsidRPr="003004E5">
              <w:rPr>
                <w:rStyle w:val="Lienhypertexte"/>
                <w:noProof/>
              </w:rPr>
              <w:t>23.85.1c Obturations de baies existantes dans structures métalliques CCTB 01.02</w:t>
            </w:r>
            <w:r w:rsidR="00FD58BF">
              <w:rPr>
                <w:noProof/>
                <w:webHidden/>
              </w:rPr>
              <w:tab/>
            </w:r>
            <w:r w:rsidR="00FD58BF">
              <w:rPr>
                <w:noProof/>
                <w:webHidden/>
              </w:rPr>
              <w:fldChar w:fldCharType="begin"/>
            </w:r>
            <w:r w:rsidR="00FD58BF">
              <w:rPr>
                <w:noProof/>
                <w:webHidden/>
              </w:rPr>
              <w:instrText xml:space="preserve"> PAGEREF _Toc178838637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76A8C044" w14:textId="6C6CC98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38" w:history="1">
            <w:r w:rsidR="00FD58BF" w:rsidRPr="003004E5">
              <w:rPr>
                <w:rStyle w:val="Lienhypertexte"/>
                <w:noProof/>
              </w:rPr>
              <w:t>23.86 Reposes / remplacements (à l'identique) CCTB 01.02</w:t>
            </w:r>
            <w:r w:rsidR="00FD58BF">
              <w:rPr>
                <w:noProof/>
                <w:webHidden/>
              </w:rPr>
              <w:tab/>
            </w:r>
            <w:r w:rsidR="00FD58BF">
              <w:rPr>
                <w:noProof/>
                <w:webHidden/>
              </w:rPr>
              <w:fldChar w:fldCharType="begin"/>
            </w:r>
            <w:r w:rsidR="00FD58BF">
              <w:rPr>
                <w:noProof/>
                <w:webHidden/>
              </w:rPr>
              <w:instrText xml:space="preserve"> PAGEREF _Toc178838638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42E4DDB9" w14:textId="7F44D64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39" w:history="1">
            <w:r w:rsidR="00FD58BF" w:rsidRPr="003004E5">
              <w:rPr>
                <w:rStyle w:val="Lienhypertexte"/>
                <w:noProof/>
              </w:rPr>
              <w:t>23.86.1 Reposes d'éléments de structures métalliques récupérés CCTB 01.04</w:t>
            </w:r>
            <w:r w:rsidR="00FD58BF">
              <w:rPr>
                <w:noProof/>
                <w:webHidden/>
              </w:rPr>
              <w:tab/>
            </w:r>
            <w:r w:rsidR="00FD58BF">
              <w:rPr>
                <w:noProof/>
                <w:webHidden/>
              </w:rPr>
              <w:fldChar w:fldCharType="begin"/>
            </w:r>
            <w:r w:rsidR="00FD58BF">
              <w:rPr>
                <w:noProof/>
                <w:webHidden/>
              </w:rPr>
              <w:instrText xml:space="preserve"> PAGEREF _Toc178838639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611AE722" w14:textId="64C848E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0" w:history="1">
            <w:r w:rsidR="00FD58BF" w:rsidRPr="003004E5">
              <w:rPr>
                <w:rStyle w:val="Lienhypertexte"/>
                <w:noProof/>
              </w:rPr>
              <w:t>23.86.1a Reposes d'éléments de structures métalliques récupérés CCTB 01.04</w:t>
            </w:r>
            <w:r w:rsidR="00FD58BF">
              <w:rPr>
                <w:noProof/>
                <w:webHidden/>
              </w:rPr>
              <w:tab/>
            </w:r>
            <w:r w:rsidR="00FD58BF">
              <w:rPr>
                <w:noProof/>
                <w:webHidden/>
              </w:rPr>
              <w:fldChar w:fldCharType="begin"/>
            </w:r>
            <w:r w:rsidR="00FD58BF">
              <w:rPr>
                <w:noProof/>
                <w:webHidden/>
              </w:rPr>
              <w:instrText xml:space="preserve"> PAGEREF _Toc178838640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6021F6E4" w14:textId="2FA8592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41" w:history="1">
            <w:r w:rsidR="00FD58BF" w:rsidRPr="003004E5">
              <w:rPr>
                <w:rStyle w:val="Lienhypertexte"/>
                <w:noProof/>
              </w:rPr>
              <w:t>23.86.2 Remplacements complets à l'identique de structures métalliques CCTB 01.04</w:t>
            </w:r>
            <w:r w:rsidR="00FD58BF">
              <w:rPr>
                <w:noProof/>
                <w:webHidden/>
              </w:rPr>
              <w:tab/>
            </w:r>
            <w:r w:rsidR="00FD58BF">
              <w:rPr>
                <w:noProof/>
                <w:webHidden/>
              </w:rPr>
              <w:fldChar w:fldCharType="begin"/>
            </w:r>
            <w:r w:rsidR="00FD58BF">
              <w:rPr>
                <w:noProof/>
                <w:webHidden/>
              </w:rPr>
              <w:instrText xml:space="preserve"> PAGEREF _Toc178838641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1209661E" w14:textId="2248714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42" w:history="1">
            <w:r w:rsidR="00FD58BF" w:rsidRPr="003004E5">
              <w:rPr>
                <w:rStyle w:val="Lienhypertexte"/>
                <w:noProof/>
              </w:rPr>
              <w:t>23.86.3 Remplacements complets de profils métalliques CCTB 01.02</w:t>
            </w:r>
            <w:r w:rsidR="00FD58BF">
              <w:rPr>
                <w:noProof/>
                <w:webHidden/>
              </w:rPr>
              <w:tab/>
            </w:r>
            <w:r w:rsidR="00FD58BF">
              <w:rPr>
                <w:noProof/>
                <w:webHidden/>
              </w:rPr>
              <w:fldChar w:fldCharType="begin"/>
            </w:r>
            <w:r w:rsidR="00FD58BF">
              <w:rPr>
                <w:noProof/>
                <w:webHidden/>
              </w:rPr>
              <w:instrText xml:space="preserve"> PAGEREF _Toc178838642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0D9F45D9" w14:textId="70B96BE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3" w:history="1">
            <w:r w:rsidR="00FD58BF" w:rsidRPr="003004E5">
              <w:rPr>
                <w:rStyle w:val="Lienhypertexte"/>
                <w:noProof/>
              </w:rPr>
              <w:t>23.86.3a Remplacements de profils métalliques isolés CCTB 01.02</w:t>
            </w:r>
            <w:r w:rsidR="00FD58BF">
              <w:rPr>
                <w:noProof/>
                <w:webHidden/>
              </w:rPr>
              <w:tab/>
            </w:r>
            <w:r w:rsidR="00FD58BF">
              <w:rPr>
                <w:noProof/>
                <w:webHidden/>
              </w:rPr>
              <w:fldChar w:fldCharType="begin"/>
            </w:r>
            <w:r w:rsidR="00FD58BF">
              <w:rPr>
                <w:noProof/>
                <w:webHidden/>
              </w:rPr>
              <w:instrText xml:space="preserve"> PAGEREF _Toc178838643 \h </w:instrText>
            </w:r>
            <w:r w:rsidR="00FD58BF">
              <w:rPr>
                <w:noProof/>
                <w:webHidden/>
              </w:rPr>
            </w:r>
            <w:r w:rsidR="00FD58BF">
              <w:rPr>
                <w:noProof/>
                <w:webHidden/>
              </w:rPr>
              <w:fldChar w:fldCharType="separate"/>
            </w:r>
            <w:r w:rsidR="00FD58BF">
              <w:rPr>
                <w:noProof/>
                <w:webHidden/>
              </w:rPr>
              <w:t>845</w:t>
            </w:r>
            <w:r w:rsidR="00FD58BF">
              <w:rPr>
                <w:noProof/>
                <w:webHidden/>
              </w:rPr>
              <w:fldChar w:fldCharType="end"/>
            </w:r>
          </w:hyperlink>
        </w:p>
        <w:p w14:paraId="32474B1B" w14:textId="2A93A7D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4" w:history="1">
            <w:r w:rsidR="00FD58BF" w:rsidRPr="003004E5">
              <w:rPr>
                <w:rStyle w:val="Lienhypertexte"/>
                <w:noProof/>
              </w:rPr>
              <w:t>23.86.3b Remplacements de profils métalliques faisant partie d'une structure / charpente CCTB 01.02</w:t>
            </w:r>
            <w:r w:rsidR="00FD58BF">
              <w:rPr>
                <w:noProof/>
                <w:webHidden/>
              </w:rPr>
              <w:tab/>
            </w:r>
            <w:r w:rsidR="00FD58BF">
              <w:rPr>
                <w:noProof/>
                <w:webHidden/>
              </w:rPr>
              <w:fldChar w:fldCharType="begin"/>
            </w:r>
            <w:r w:rsidR="00FD58BF">
              <w:rPr>
                <w:noProof/>
                <w:webHidden/>
              </w:rPr>
              <w:instrText xml:space="preserve"> PAGEREF _Toc178838644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74192A44" w14:textId="25864FA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45" w:history="1">
            <w:r w:rsidR="00FD58BF" w:rsidRPr="003004E5">
              <w:rPr>
                <w:rStyle w:val="Lienhypertexte"/>
                <w:noProof/>
              </w:rPr>
              <w:t>23.86.4 Remplacements partiels de profils métalliques CCTB 01.02</w:t>
            </w:r>
            <w:r w:rsidR="00FD58BF">
              <w:rPr>
                <w:noProof/>
                <w:webHidden/>
              </w:rPr>
              <w:tab/>
            </w:r>
            <w:r w:rsidR="00FD58BF">
              <w:rPr>
                <w:noProof/>
                <w:webHidden/>
              </w:rPr>
              <w:fldChar w:fldCharType="begin"/>
            </w:r>
            <w:r w:rsidR="00FD58BF">
              <w:rPr>
                <w:noProof/>
                <w:webHidden/>
              </w:rPr>
              <w:instrText xml:space="preserve"> PAGEREF _Toc178838645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04775C48" w14:textId="4E872B4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6" w:history="1">
            <w:r w:rsidR="00FD58BF" w:rsidRPr="003004E5">
              <w:rPr>
                <w:rStyle w:val="Lienhypertexte"/>
                <w:noProof/>
              </w:rPr>
              <w:t>23.86.4a Remplacements de pieds de structures métalliques défectueux CCTB 01.02</w:t>
            </w:r>
            <w:r w:rsidR="00FD58BF">
              <w:rPr>
                <w:noProof/>
                <w:webHidden/>
              </w:rPr>
              <w:tab/>
            </w:r>
            <w:r w:rsidR="00FD58BF">
              <w:rPr>
                <w:noProof/>
                <w:webHidden/>
              </w:rPr>
              <w:fldChar w:fldCharType="begin"/>
            </w:r>
            <w:r w:rsidR="00FD58BF">
              <w:rPr>
                <w:noProof/>
                <w:webHidden/>
              </w:rPr>
              <w:instrText xml:space="preserve"> PAGEREF _Toc178838646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721BE715" w14:textId="2DE49E0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7" w:history="1">
            <w:r w:rsidR="00FD58BF" w:rsidRPr="003004E5">
              <w:rPr>
                <w:rStyle w:val="Lienhypertexte"/>
                <w:noProof/>
              </w:rPr>
              <w:t>23.86.4b Remplacements de parties de profils métalliques défectueuses CCTB 01.02</w:t>
            </w:r>
            <w:r w:rsidR="00FD58BF">
              <w:rPr>
                <w:noProof/>
                <w:webHidden/>
              </w:rPr>
              <w:tab/>
            </w:r>
            <w:r w:rsidR="00FD58BF">
              <w:rPr>
                <w:noProof/>
                <w:webHidden/>
              </w:rPr>
              <w:fldChar w:fldCharType="begin"/>
            </w:r>
            <w:r w:rsidR="00FD58BF">
              <w:rPr>
                <w:noProof/>
                <w:webHidden/>
              </w:rPr>
              <w:instrText xml:space="preserve"> PAGEREF _Toc178838647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337D01EC" w14:textId="3D61C72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48" w:history="1">
            <w:r w:rsidR="00FD58BF" w:rsidRPr="003004E5">
              <w:rPr>
                <w:rStyle w:val="Lienhypertexte"/>
                <w:noProof/>
              </w:rPr>
              <w:t>23.86.5 Remplacements d'éléments de fixation / assemblage métallique CCTB 01.02</w:t>
            </w:r>
            <w:r w:rsidR="00FD58BF">
              <w:rPr>
                <w:noProof/>
                <w:webHidden/>
              </w:rPr>
              <w:tab/>
            </w:r>
            <w:r w:rsidR="00FD58BF">
              <w:rPr>
                <w:noProof/>
                <w:webHidden/>
              </w:rPr>
              <w:fldChar w:fldCharType="begin"/>
            </w:r>
            <w:r w:rsidR="00FD58BF">
              <w:rPr>
                <w:noProof/>
                <w:webHidden/>
              </w:rPr>
              <w:instrText xml:space="preserve"> PAGEREF _Toc178838648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5DBF86C9" w14:textId="13C1CC9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9" w:history="1">
            <w:r w:rsidR="00FD58BF" w:rsidRPr="003004E5">
              <w:rPr>
                <w:rStyle w:val="Lienhypertexte"/>
                <w:noProof/>
              </w:rPr>
              <w:t>23.86.5a Remplacements de rivets défectueux CCTB 01.02</w:t>
            </w:r>
            <w:r w:rsidR="00FD58BF">
              <w:rPr>
                <w:noProof/>
                <w:webHidden/>
              </w:rPr>
              <w:tab/>
            </w:r>
            <w:r w:rsidR="00FD58BF">
              <w:rPr>
                <w:noProof/>
                <w:webHidden/>
              </w:rPr>
              <w:fldChar w:fldCharType="begin"/>
            </w:r>
            <w:r w:rsidR="00FD58BF">
              <w:rPr>
                <w:noProof/>
                <w:webHidden/>
              </w:rPr>
              <w:instrText xml:space="preserve"> PAGEREF _Toc178838649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17A2B4DF" w14:textId="67581FF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0" w:history="1">
            <w:r w:rsidR="00FD58BF" w:rsidRPr="003004E5">
              <w:rPr>
                <w:rStyle w:val="Lienhypertexte"/>
                <w:noProof/>
              </w:rPr>
              <w:t>23.86.5b Remplacements de boulons défectueux CCTB 01.02</w:t>
            </w:r>
            <w:r w:rsidR="00FD58BF">
              <w:rPr>
                <w:noProof/>
                <w:webHidden/>
              </w:rPr>
              <w:tab/>
            </w:r>
            <w:r w:rsidR="00FD58BF">
              <w:rPr>
                <w:noProof/>
                <w:webHidden/>
              </w:rPr>
              <w:fldChar w:fldCharType="begin"/>
            </w:r>
            <w:r w:rsidR="00FD58BF">
              <w:rPr>
                <w:noProof/>
                <w:webHidden/>
              </w:rPr>
              <w:instrText xml:space="preserve"> PAGEREF _Toc178838650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58019F69" w14:textId="4394F1A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1" w:history="1">
            <w:r w:rsidR="00FD58BF" w:rsidRPr="003004E5">
              <w:rPr>
                <w:rStyle w:val="Lienhypertexte"/>
                <w:noProof/>
              </w:rPr>
              <w:t>23.86.5c Remplacements de cordons de soudure défectueux CCTB 01.10</w:t>
            </w:r>
            <w:r w:rsidR="00FD58BF">
              <w:rPr>
                <w:noProof/>
                <w:webHidden/>
              </w:rPr>
              <w:tab/>
            </w:r>
            <w:r w:rsidR="00FD58BF">
              <w:rPr>
                <w:noProof/>
                <w:webHidden/>
              </w:rPr>
              <w:fldChar w:fldCharType="begin"/>
            </w:r>
            <w:r w:rsidR="00FD58BF">
              <w:rPr>
                <w:noProof/>
                <w:webHidden/>
              </w:rPr>
              <w:instrText xml:space="preserve"> PAGEREF _Toc178838651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514D5529" w14:textId="0BB8385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52" w:history="1">
            <w:r w:rsidR="00FD58BF" w:rsidRPr="003004E5">
              <w:rPr>
                <w:rStyle w:val="Lienhypertexte"/>
                <w:noProof/>
              </w:rPr>
              <w:t>23.87 Nettoyages / préparations de surface CCTB 01.04</w:t>
            </w:r>
            <w:r w:rsidR="00FD58BF">
              <w:rPr>
                <w:noProof/>
                <w:webHidden/>
              </w:rPr>
              <w:tab/>
            </w:r>
            <w:r w:rsidR="00FD58BF">
              <w:rPr>
                <w:noProof/>
                <w:webHidden/>
              </w:rPr>
              <w:fldChar w:fldCharType="begin"/>
            </w:r>
            <w:r w:rsidR="00FD58BF">
              <w:rPr>
                <w:noProof/>
                <w:webHidden/>
              </w:rPr>
              <w:instrText xml:space="preserve"> PAGEREF _Toc178838652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1EC8F3D1" w14:textId="6544EEB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53" w:history="1">
            <w:r w:rsidR="00FD58BF" w:rsidRPr="003004E5">
              <w:rPr>
                <w:rStyle w:val="Lienhypertexte"/>
                <w:noProof/>
              </w:rPr>
              <w:t>23.88 Traitements et protections CCTB 01.04</w:t>
            </w:r>
            <w:r w:rsidR="00FD58BF">
              <w:rPr>
                <w:noProof/>
                <w:webHidden/>
              </w:rPr>
              <w:tab/>
            </w:r>
            <w:r w:rsidR="00FD58BF">
              <w:rPr>
                <w:noProof/>
                <w:webHidden/>
              </w:rPr>
              <w:fldChar w:fldCharType="begin"/>
            </w:r>
            <w:r w:rsidR="00FD58BF">
              <w:rPr>
                <w:noProof/>
                <w:webHidden/>
              </w:rPr>
              <w:instrText xml:space="preserve"> PAGEREF _Toc178838653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1E3E5E50" w14:textId="70CCC76A" w:rsidR="00FD58BF" w:rsidRDefault="004016E8">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654" w:history="1">
            <w:r w:rsidR="00FD58BF" w:rsidRPr="003004E5">
              <w:rPr>
                <w:rStyle w:val="Lienhypertexte"/>
                <w:noProof/>
              </w:rPr>
              <w:t>24 Superstructures en bois CCTB 01.12</w:t>
            </w:r>
            <w:r w:rsidR="00FD58BF">
              <w:rPr>
                <w:noProof/>
                <w:webHidden/>
              </w:rPr>
              <w:tab/>
            </w:r>
            <w:r w:rsidR="00FD58BF">
              <w:rPr>
                <w:noProof/>
                <w:webHidden/>
              </w:rPr>
              <w:fldChar w:fldCharType="begin"/>
            </w:r>
            <w:r w:rsidR="00FD58BF">
              <w:rPr>
                <w:noProof/>
                <w:webHidden/>
              </w:rPr>
              <w:instrText xml:space="preserve"> PAGEREF _Toc178838654 \h </w:instrText>
            </w:r>
            <w:r w:rsidR="00FD58BF">
              <w:rPr>
                <w:noProof/>
                <w:webHidden/>
              </w:rPr>
            </w:r>
            <w:r w:rsidR="00FD58BF">
              <w:rPr>
                <w:noProof/>
                <w:webHidden/>
              </w:rPr>
              <w:fldChar w:fldCharType="separate"/>
            </w:r>
            <w:r w:rsidR="00FD58BF">
              <w:rPr>
                <w:noProof/>
                <w:webHidden/>
              </w:rPr>
              <w:t>846</w:t>
            </w:r>
            <w:r w:rsidR="00FD58BF">
              <w:rPr>
                <w:noProof/>
                <w:webHidden/>
              </w:rPr>
              <w:fldChar w:fldCharType="end"/>
            </w:r>
          </w:hyperlink>
        </w:p>
        <w:p w14:paraId="59B4DE2E" w14:textId="47C84EA1"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655" w:history="1">
            <w:r w:rsidR="00FD58BF" w:rsidRPr="003004E5">
              <w:rPr>
                <w:rStyle w:val="Lienhypertexte"/>
                <w:noProof/>
              </w:rPr>
              <w:t>24.1 Eléments de structures en bois CCTB 01.07</w:t>
            </w:r>
            <w:r w:rsidR="00FD58BF">
              <w:rPr>
                <w:noProof/>
                <w:webHidden/>
              </w:rPr>
              <w:tab/>
            </w:r>
            <w:r w:rsidR="00FD58BF">
              <w:rPr>
                <w:noProof/>
                <w:webHidden/>
              </w:rPr>
              <w:fldChar w:fldCharType="begin"/>
            </w:r>
            <w:r w:rsidR="00FD58BF">
              <w:rPr>
                <w:noProof/>
                <w:webHidden/>
              </w:rPr>
              <w:instrText xml:space="preserve"> PAGEREF _Toc178838655 \h </w:instrText>
            </w:r>
            <w:r w:rsidR="00FD58BF">
              <w:rPr>
                <w:noProof/>
                <w:webHidden/>
              </w:rPr>
            </w:r>
            <w:r w:rsidR="00FD58BF">
              <w:rPr>
                <w:noProof/>
                <w:webHidden/>
              </w:rPr>
              <w:fldChar w:fldCharType="separate"/>
            </w:r>
            <w:r w:rsidR="00FD58BF">
              <w:rPr>
                <w:noProof/>
                <w:webHidden/>
              </w:rPr>
              <w:t>867</w:t>
            </w:r>
            <w:r w:rsidR="00FD58BF">
              <w:rPr>
                <w:noProof/>
                <w:webHidden/>
              </w:rPr>
              <w:fldChar w:fldCharType="end"/>
            </w:r>
          </w:hyperlink>
        </w:p>
        <w:p w14:paraId="0ABC709E" w14:textId="18E637C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56" w:history="1">
            <w:r w:rsidR="00FD58BF" w:rsidRPr="003004E5">
              <w:rPr>
                <w:rStyle w:val="Lienhypertexte"/>
                <w:noProof/>
              </w:rPr>
              <w:t>24.11 Eléments d'assise en bois CCTB 01.04</w:t>
            </w:r>
            <w:r w:rsidR="00FD58BF">
              <w:rPr>
                <w:noProof/>
                <w:webHidden/>
              </w:rPr>
              <w:tab/>
            </w:r>
            <w:r w:rsidR="00FD58BF">
              <w:rPr>
                <w:noProof/>
                <w:webHidden/>
              </w:rPr>
              <w:fldChar w:fldCharType="begin"/>
            </w:r>
            <w:r w:rsidR="00FD58BF">
              <w:rPr>
                <w:noProof/>
                <w:webHidden/>
              </w:rPr>
              <w:instrText xml:space="preserve"> PAGEREF _Toc178838656 \h </w:instrText>
            </w:r>
            <w:r w:rsidR="00FD58BF">
              <w:rPr>
                <w:noProof/>
                <w:webHidden/>
              </w:rPr>
            </w:r>
            <w:r w:rsidR="00FD58BF">
              <w:rPr>
                <w:noProof/>
                <w:webHidden/>
              </w:rPr>
              <w:fldChar w:fldCharType="separate"/>
            </w:r>
            <w:r w:rsidR="00FD58BF">
              <w:rPr>
                <w:noProof/>
                <w:webHidden/>
              </w:rPr>
              <w:t>868</w:t>
            </w:r>
            <w:r w:rsidR="00FD58BF">
              <w:rPr>
                <w:noProof/>
                <w:webHidden/>
              </w:rPr>
              <w:fldChar w:fldCharType="end"/>
            </w:r>
          </w:hyperlink>
        </w:p>
        <w:p w14:paraId="7A391212" w14:textId="52A4542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57" w:history="1">
            <w:r w:rsidR="00FD58BF" w:rsidRPr="003004E5">
              <w:rPr>
                <w:rStyle w:val="Lienhypertexte"/>
                <w:noProof/>
              </w:rPr>
              <w:t>24.11.1 Lisses de pose CCTB 01.07</w:t>
            </w:r>
            <w:r w:rsidR="00FD58BF">
              <w:rPr>
                <w:noProof/>
                <w:webHidden/>
              </w:rPr>
              <w:tab/>
            </w:r>
            <w:r w:rsidR="00FD58BF">
              <w:rPr>
                <w:noProof/>
                <w:webHidden/>
              </w:rPr>
              <w:fldChar w:fldCharType="begin"/>
            </w:r>
            <w:r w:rsidR="00FD58BF">
              <w:rPr>
                <w:noProof/>
                <w:webHidden/>
              </w:rPr>
              <w:instrText xml:space="preserve"> PAGEREF _Toc178838657 \h </w:instrText>
            </w:r>
            <w:r w:rsidR="00FD58BF">
              <w:rPr>
                <w:noProof/>
                <w:webHidden/>
              </w:rPr>
            </w:r>
            <w:r w:rsidR="00FD58BF">
              <w:rPr>
                <w:noProof/>
                <w:webHidden/>
              </w:rPr>
              <w:fldChar w:fldCharType="separate"/>
            </w:r>
            <w:r w:rsidR="00FD58BF">
              <w:rPr>
                <w:noProof/>
                <w:webHidden/>
              </w:rPr>
              <w:t>868</w:t>
            </w:r>
            <w:r w:rsidR="00FD58BF">
              <w:rPr>
                <w:noProof/>
                <w:webHidden/>
              </w:rPr>
              <w:fldChar w:fldCharType="end"/>
            </w:r>
          </w:hyperlink>
        </w:p>
        <w:p w14:paraId="7A7730F9" w14:textId="65FE4B9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8" w:history="1">
            <w:r w:rsidR="00FD58BF" w:rsidRPr="003004E5">
              <w:rPr>
                <w:rStyle w:val="Lienhypertexte"/>
                <w:noProof/>
              </w:rPr>
              <w:t>24.11.1a Lisses de pose en bois massif CCTB 01.12</w:t>
            </w:r>
            <w:r w:rsidR="00FD58BF">
              <w:rPr>
                <w:noProof/>
                <w:webHidden/>
              </w:rPr>
              <w:tab/>
            </w:r>
            <w:r w:rsidR="00FD58BF">
              <w:rPr>
                <w:noProof/>
                <w:webHidden/>
              </w:rPr>
              <w:fldChar w:fldCharType="begin"/>
            </w:r>
            <w:r w:rsidR="00FD58BF">
              <w:rPr>
                <w:noProof/>
                <w:webHidden/>
              </w:rPr>
              <w:instrText xml:space="preserve"> PAGEREF _Toc178838658 \h </w:instrText>
            </w:r>
            <w:r w:rsidR="00FD58BF">
              <w:rPr>
                <w:noProof/>
                <w:webHidden/>
              </w:rPr>
            </w:r>
            <w:r w:rsidR="00FD58BF">
              <w:rPr>
                <w:noProof/>
                <w:webHidden/>
              </w:rPr>
              <w:fldChar w:fldCharType="separate"/>
            </w:r>
            <w:r w:rsidR="00FD58BF">
              <w:rPr>
                <w:noProof/>
                <w:webHidden/>
              </w:rPr>
              <w:t>868</w:t>
            </w:r>
            <w:r w:rsidR="00FD58BF">
              <w:rPr>
                <w:noProof/>
                <w:webHidden/>
              </w:rPr>
              <w:fldChar w:fldCharType="end"/>
            </w:r>
          </w:hyperlink>
        </w:p>
        <w:p w14:paraId="499ECB26" w14:textId="562C506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59" w:history="1">
            <w:r w:rsidR="00FD58BF" w:rsidRPr="003004E5">
              <w:rPr>
                <w:rStyle w:val="Lienhypertexte"/>
                <w:noProof/>
              </w:rPr>
              <w:t>24.11.2 Sablières CCTB 01.07</w:t>
            </w:r>
            <w:r w:rsidR="00FD58BF">
              <w:rPr>
                <w:noProof/>
                <w:webHidden/>
              </w:rPr>
              <w:tab/>
            </w:r>
            <w:r w:rsidR="00FD58BF">
              <w:rPr>
                <w:noProof/>
                <w:webHidden/>
              </w:rPr>
              <w:fldChar w:fldCharType="begin"/>
            </w:r>
            <w:r w:rsidR="00FD58BF">
              <w:rPr>
                <w:noProof/>
                <w:webHidden/>
              </w:rPr>
              <w:instrText xml:space="preserve"> PAGEREF _Toc178838659 \h </w:instrText>
            </w:r>
            <w:r w:rsidR="00FD58BF">
              <w:rPr>
                <w:noProof/>
                <w:webHidden/>
              </w:rPr>
            </w:r>
            <w:r w:rsidR="00FD58BF">
              <w:rPr>
                <w:noProof/>
                <w:webHidden/>
              </w:rPr>
              <w:fldChar w:fldCharType="separate"/>
            </w:r>
            <w:r w:rsidR="00FD58BF">
              <w:rPr>
                <w:noProof/>
                <w:webHidden/>
              </w:rPr>
              <w:t>871</w:t>
            </w:r>
            <w:r w:rsidR="00FD58BF">
              <w:rPr>
                <w:noProof/>
                <w:webHidden/>
              </w:rPr>
              <w:fldChar w:fldCharType="end"/>
            </w:r>
          </w:hyperlink>
        </w:p>
        <w:p w14:paraId="6BE45309" w14:textId="0056F65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0" w:history="1">
            <w:r w:rsidR="00FD58BF" w:rsidRPr="003004E5">
              <w:rPr>
                <w:rStyle w:val="Lienhypertexte"/>
                <w:noProof/>
              </w:rPr>
              <w:t>24.11.2a Sablières CCTB 01.12</w:t>
            </w:r>
            <w:r w:rsidR="00FD58BF">
              <w:rPr>
                <w:noProof/>
                <w:webHidden/>
              </w:rPr>
              <w:tab/>
            </w:r>
            <w:r w:rsidR="00FD58BF">
              <w:rPr>
                <w:noProof/>
                <w:webHidden/>
              </w:rPr>
              <w:fldChar w:fldCharType="begin"/>
            </w:r>
            <w:r w:rsidR="00FD58BF">
              <w:rPr>
                <w:noProof/>
                <w:webHidden/>
              </w:rPr>
              <w:instrText xml:space="preserve"> PAGEREF _Toc178838660 \h </w:instrText>
            </w:r>
            <w:r w:rsidR="00FD58BF">
              <w:rPr>
                <w:noProof/>
                <w:webHidden/>
              </w:rPr>
            </w:r>
            <w:r w:rsidR="00FD58BF">
              <w:rPr>
                <w:noProof/>
                <w:webHidden/>
              </w:rPr>
              <w:fldChar w:fldCharType="separate"/>
            </w:r>
            <w:r w:rsidR="00FD58BF">
              <w:rPr>
                <w:noProof/>
                <w:webHidden/>
              </w:rPr>
              <w:t>871</w:t>
            </w:r>
            <w:r w:rsidR="00FD58BF">
              <w:rPr>
                <w:noProof/>
                <w:webHidden/>
              </w:rPr>
              <w:fldChar w:fldCharType="end"/>
            </w:r>
          </w:hyperlink>
        </w:p>
        <w:p w14:paraId="31525F21" w14:textId="69E1C77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61" w:history="1">
            <w:r w:rsidR="00FD58BF" w:rsidRPr="003004E5">
              <w:rPr>
                <w:rStyle w:val="Lienhypertexte"/>
                <w:noProof/>
              </w:rPr>
              <w:t>24.12 Colonnes en bois CCTB 01.07</w:t>
            </w:r>
            <w:r w:rsidR="00FD58BF">
              <w:rPr>
                <w:noProof/>
                <w:webHidden/>
              </w:rPr>
              <w:tab/>
            </w:r>
            <w:r w:rsidR="00FD58BF">
              <w:rPr>
                <w:noProof/>
                <w:webHidden/>
              </w:rPr>
              <w:fldChar w:fldCharType="begin"/>
            </w:r>
            <w:r w:rsidR="00FD58BF">
              <w:rPr>
                <w:noProof/>
                <w:webHidden/>
              </w:rPr>
              <w:instrText xml:space="preserve"> PAGEREF _Toc178838661 \h </w:instrText>
            </w:r>
            <w:r w:rsidR="00FD58BF">
              <w:rPr>
                <w:noProof/>
                <w:webHidden/>
              </w:rPr>
            </w:r>
            <w:r w:rsidR="00FD58BF">
              <w:rPr>
                <w:noProof/>
                <w:webHidden/>
              </w:rPr>
              <w:fldChar w:fldCharType="separate"/>
            </w:r>
            <w:r w:rsidR="00FD58BF">
              <w:rPr>
                <w:noProof/>
                <w:webHidden/>
              </w:rPr>
              <w:t>874</w:t>
            </w:r>
            <w:r w:rsidR="00FD58BF">
              <w:rPr>
                <w:noProof/>
                <w:webHidden/>
              </w:rPr>
              <w:fldChar w:fldCharType="end"/>
            </w:r>
          </w:hyperlink>
        </w:p>
        <w:p w14:paraId="40184D54" w14:textId="33D8879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62" w:history="1">
            <w:r w:rsidR="00FD58BF" w:rsidRPr="003004E5">
              <w:rPr>
                <w:rStyle w:val="Lienhypertexte"/>
                <w:noProof/>
              </w:rPr>
              <w:t>24.12.1 Colonnes en bois massif CCTB 01.07</w:t>
            </w:r>
            <w:r w:rsidR="00FD58BF">
              <w:rPr>
                <w:noProof/>
                <w:webHidden/>
              </w:rPr>
              <w:tab/>
            </w:r>
            <w:r w:rsidR="00FD58BF">
              <w:rPr>
                <w:noProof/>
                <w:webHidden/>
              </w:rPr>
              <w:fldChar w:fldCharType="begin"/>
            </w:r>
            <w:r w:rsidR="00FD58BF">
              <w:rPr>
                <w:noProof/>
                <w:webHidden/>
              </w:rPr>
              <w:instrText xml:space="preserve"> PAGEREF _Toc178838662 \h </w:instrText>
            </w:r>
            <w:r w:rsidR="00FD58BF">
              <w:rPr>
                <w:noProof/>
                <w:webHidden/>
              </w:rPr>
            </w:r>
            <w:r w:rsidR="00FD58BF">
              <w:rPr>
                <w:noProof/>
                <w:webHidden/>
              </w:rPr>
              <w:fldChar w:fldCharType="separate"/>
            </w:r>
            <w:r w:rsidR="00FD58BF">
              <w:rPr>
                <w:noProof/>
                <w:webHidden/>
              </w:rPr>
              <w:t>874</w:t>
            </w:r>
            <w:r w:rsidR="00FD58BF">
              <w:rPr>
                <w:noProof/>
                <w:webHidden/>
              </w:rPr>
              <w:fldChar w:fldCharType="end"/>
            </w:r>
          </w:hyperlink>
        </w:p>
        <w:p w14:paraId="7F5B6F45" w14:textId="741025C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3" w:history="1">
            <w:r w:rsidR="00FD58BF" w:rsidRPr="003004E5">
              <w:rPr>
                <w:rStyle w:val="Lienhypertexte"/>
                <w:noProof/>
              </w:rPr>
              <w:t>24.12.1a Colonnes en bois massif à section rectangulaire CCTB 01.11</w:t>
            </w:r>
            <w:r w:rsidR="00FD58BF">
              <w:rPr>
                <w:noProof/>
                <w:webHidden/>
              </w:rPr>
              <w:tab/>
            </w:r>
            <w:r w:rsidR="00FD58BF">
              <w:rPr>
                <w:noProof/>
                <w:webHidden/>
              </w:rPr>
              <w:fldChar w:fldCharType="begin"/>
            </w:r>
            <w:r w:rsidR="00FD58BF">
              <w:rPr>
                <w:noProof/>
                <w:webHidden/>
              </w:rPr>
              <w:instrText xml:space="preserve"> PAGEREF _Toc178838663 \h </w:instrText>
            </w:r>
            <w:r w:rsidR="00FD58BF">
              <w:rPr>
                <w:noProof/>
                <w:webHidden/>
              </w:rPr>
            </w:r>
            <w:r w:rsidR="00FD58BF">
              <w:rPr>
                <w:noProof/>
                <w:webHidden/>
              </w:rPr>
              <w:fldChar w:fldCharType="separate"/>
            </w:r>
            <w:r w:rsidR="00FD58BF">
              <w:rPr>
                <w:noProof/>
                <w:webHidden/>
              </w:rPr>
              <w:t>875</w:t>
            </w:r>
            <w:r w:rsidR="00FD58BF">
              <w:rPr>
                <w:noProof/>
                <w:webHidden/>
              </w:rPr>
              <w:fldChar w:fldCharType="end"/>
            </w:r>
          </w:hyperlink>
        </w:p>
        <w:p w14:paraId="71C8AF83" w14:textId="48C50FD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4" w:history="1">
            <w:r w:rsidR="00FD58BF" w:rsidRPr="003004E5">
              <w:rPr>
                <w:rStyle w:val="Lienhypertexte"/>
                <w:noProof/>
              </w:rPr>
              <w:t>24.12.1b Colonnes en bois massif à section circulaire CCTB 01.11</w:t>
            </w:r>
            <w:r w:rsidR="00FD58BF">
              <w:rPr>
                <w:noProof/>
                <w:webHidden/>
              </w:rPr>
              <w:tab/>
            </w:r>
            <w:r w:rsidR="00FD58BF">
              <w:rPr>
                <w:noProof/>
                <w:webHidden/>
              </w:rPr>
              <w:fldChar w:fldCharType="begin"/>
            </w:r>
            <w:r w:rsidR="00FD58BF">
              <w:rPr>
                <w:noProof/>
                <w:webHidden/>
              </w:rPr>
              <w:instrText xml:space="preserve"> PAGEREF _Toc178838664 \h </w:instrText>
            </w:r>
            <w:r w:rsidR="00FD58BF">
              <w:rPr>
                <w:noProof/>
                <w:webHidden/>
              </w:rPr>
            </w:r>
            <w:r w:rsidR="00FD58BF">
              <w:rPr>
                <w:noProof/>
                <w:webHidden/>
              </w:rPr>
              <w:fldChar w:fldCharType="separate"/>
            </w:r>
            <w:r w:rsidR="00FD58BF">
              <w:rPr>
                <w:noProof/>
                <w:webHidden/>
              </w:rPr>
              <w:t>877</w:t>
            </w:r>
            <w:r w:rsidR="00FD58BF">
              <w:rPr>
                <w:noProof/>
                <w:webHidden/>
              </w:rPr>
              <w:fldChar w:fldCharType="end"/>
            </w:r>
          </w:hyperlink>
        </w:p>
        <w:p w14:paraId="3B0221C3" w14:textId="60021AA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65" w:history="1">
            <w:r w:rsidR="00FD58BF" w:rsidRPr="003004E5">
              <w:rPr>
                <w:rStyle w:val="Lienhypertexte"/>
                <w:noProof/>
              </w:rPr>
              <w:t>24.12.2 Colonnes en bois lamellé collé CCTB 01.07</w:t>
            </w:r>
            <w:r w:rsidR="00FD58BF">
              <w:rPr>
                <w:noProof/>
                <w:webHidden/>
              </w:rPr>
              <w:tab/>
            </w:r>
            <w:r w:rsidR="00FD58BF">
              <w:rPr>
                <w:noProof/>
                <w:webHidden/>
              </w:rPr>
              <w:fldChar w:fldCharType="begin"/>
            </w:r>
            <w:r w:rsidR="00FD58BF">
              <w:rPr>
                <w:noProof/>
                <w:webHidden/>
              </w:rPr>
              <w:instrText xml:space="preserve"> PAGEREF _Toc178838665 \h </w:instrText>
            </w:r>
            <w:r w:rsidR="00FD58BF">
              <w:rPr>
                <w:noProof/>
                <w:webHidden/>
              </w:rPr>
            </w:r>
            <w:r w:rsidR="00FD58BF">
              <w:rPr>
                <w:noProof/>
                <w:webHidden/>
              </w:rPr>
              <w:fldChar w:fldCharType="separate"/>
            </w:r>
            <w:r w:rsidR="00FD58BF">
              <w:rPr>
                <w:noProof/>
                <w:webHidden/>
              </w:rPr>
              <w:t>878</w:t>
            </w:r>
            <w:r w:rsidR="00FD58BF">
              <w:rPr>
                <w:noProof/>
                <w:webHidden/>
              </w:rPr>
              <w:fldChar w:fldCharType="end"/>
            </w:r>
          </w:hyperlink>
        </w:p>
        <w:p w14:paraId="5BD60257" w14:textId="29C2525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6" w:history="1">
            <w:r w:rsidR="00FD58BF" w:rsidRPr="003004E5">
              <w:rPr>
                <w:rStyle w:val="Lienhypertexte"/>
                <w:noProof/>
              </w:rPr>
              <w:t>24.12.2a Colonnes en lamellé collé à inertie constante CCTB 01.11</w:t>
            </w:r>
            <w:r w:rsidR="00FD58BF">
              <w:rPr>
                <w:noProof/>
                <w:webHidden/>
              </w:rPr>
              <w:tab/>
            </w:r>
            <w:r w:rsidR="00FD58BF">
              <w:rPr>
                <w:noProof/>
                <w:webHidden/>
              </w:rPr>
              <w:fldChar w:fldCharType="begin"/>
            </w:r>
            <w:r w:rsidR="00FD58BF">
              <w:rPr>
                <w:noProof/>
                <w:webHidden/>
              </w:rPr>
              <w:instrText xml:space="preserve"> PAGEREF _Toc178838666 \h </w:instrText>
            </w:r>
            <w:r w:rsidR="00FD58BF">
              <w:rPr>
                <w:noProof/>
                <w:webHidden/>
              </w:rPr>
            </w:r>
            <w:r w:rsidR="00FD58BF">
              <w:rPr>
                <w:noProof/>
                <w:webHidden/>
              </w:rPr>
              <w:fldChar w:fldCharType="separate"/>
            </w:r>
            <w:r w:rsidR="00FD58BF">
              <w:rPr>
                <w:noProof/>
                <w:webHidden/>
              </w:rPr>
              <w:t>878</w:t>
            </w:r>
            <w:r w:rsidR="00FD58BF">
              <w:rPr>
                <w:noProof/>
                <w:webHidden/>
              </w:rPr>
              <w:fldChar w:fldCharType="end"/>
            </w:r>
          </w:hyperlink>
        </w:p>
        <w:p w14:paraId="3C24AEE7" w14:textId="338BE51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7" w:history="1">
            <w:r w:rsidR="00FD58BF" w:rsidRPr="003004E5">
              <w:rPr>
                <w:rStyle w:val="Lienhypertexte"/>
                <w:noProof/>
              </w:rPr>
              <w:t>24.12.2b Colonnes en bois lamellé collé à inertie variable CCTB 01.11</w:t>
            </w:r>
            <w:r w:rsidR="00FD58BF">
              <w:rPr>
                <w:noProof/>
                <w:webHidden/>
              </w:rPr>
              <w:tab/>
            </w:r>
            <w:r w:rsidR="00FD58BF">
              <w:rPr>
                <w:noProof/>
                <w:webHidden/>
              </w:rPr>
              <w:fldChar w:fldCharType="begin"/>
            </w:r>
            <w:r w:rsidR="00FD58BF">
              <w:rPr>
                <w:noProof/>
                <w:webHidden/>
              </w:rPr>
              <w:instrText xml:space="preserve"> PAGEREF _Toc178838667 \h </w:instrText>
            </w:r>
            <w:r w:rsidR="00FD58BF">
              <w:rPr>
                <w:noProof/>
                <w:webHidden/>
              </w:rPr>
            </w:r>
            <w:r w:rsidR="00FD58BF">
              <w:rPr>
                <w:noProof/>
                <w:webHidden/>
              </w:rPr>
              <w:fldChar w:fldCharType="separate"/>
            </w:r>
            <w:r w:rsidR="00FD58BF">
              <w:rPr>
                <w:noProof/>
                <w:webHidden/>
              </w:rPr>
              <w:t>880</w:t>
            </w:r>
            <w:r w:rsidR="00FD58BF">
              <w:rPr>
                <w:noProof/>
                <w:webHidden/>
              </w:rPr>
              <w:fldChar w:fldCharType="end"/>
            </w:r>
          </w:hyperlink>
        </w:p>
        <w:p w14:paraId="6656B1F3" w14:textId="28D8BCA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68" w:history="1">
            <w:r w:rsidR="00FD58BF" w:rsidRPr="003004E5">
              <w:rPr>
                <w:rStyle w:val="Lienhypertexte"/>
                <w:noProof/>
              </w:rPr>
              <w:t>24.12.3 Colonnes en bois lamellé collé en bloc CCTB 01.07</w:t>
            </w:r>
            <w:r w:rsidR="00FD58BF">
              <w:rPr>
                <w:noProof/>
                <w:webHidden/>
              </w:rPr>
              <w:tab/>
            </w:r>
            <w:r w:rsidR="00FD58BF">
              <w:rPr>
                <w:noProof/>
                <w:webHidden/>
              </w:rPr>
              <w:fldChar w:fldCharType="begin"/>
            </w:r>
            <w:r w:rsidR="00FD58BF">
              <w:rPr>
                <w:noProof/>
                <w:webHidden/>
              </w:rPr>
              <w:instrText xml:space="preserve"> PAGEREF _Toc178838668 \h </w:instrText>
            </w:r>
            <w:r w:rsidR="00FD58BF">
              <w:rPr>
                <w:noProof/>
                <w:webHidden/>
              </w:rPr>
            </w:r>
            <w:r w:rsidR="00FD58BF">
              <w:rPr>
                <w:noProof/>
                <w:webHidden/>
              </w:rPr>
              <w:fldChar w:fldCharType="separate"/>
            </w:r>
            <w:r w:rsidR="00FD58BF">
              <w:rPr>
                <w:noProof/>
                <w:webHidden/>
              </w:rPr>
              <w:t>882</w:t>
            </w:r>
            <w:r w:rsidR="00FD58BF">
              <w:rPr>
                <w:noProof/>
                <w:webHidden/>
              </w:rPr>
              <w:fldChar w:fldCharType="end"/>
            </w:r>
          </w:hyperlink>
        </w:p>
        <w:p w14:paraId="26F5B5E8" w14:textId="2B9A72B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9" w:history="1">
            <w:r w:rsidR="00FD58BF" w:rsidRPr="003004E5">
              <w:rPr>
                <w:rStyle w:val="Lienhypertexte"/>
                <w:noProof/>
              </w:rPr>
              <w:t>24.12.3a Colonnes en lamellé collé en bloc à inertie constante CCTB 01.11</w:t>
            </w:r>
            <w:r w:rsidR="00FD58BF">
              <w:rPr>
                <w:noProof/>
                <w:webHidden/>
              </w:rPr>
              <w:tab/>
            </w:r>
            <w:r w:rsidR="00FD58BF">
              <w:rPr>
                <w:noProof/>
                <w:webHidden/>
              </w:rPr>
              <w:fldChar w:fldCharType="begin"/>
            </w:r>
            <w:r w:rsidR="00FD58BF">
              <w:rPr>
                <w:noProof/>
                <w:webHidden/>
              </w:rPr>
              <w:instrText xml:space="preserve"> PAGEREF _Toc178838669 \h </w:instrText>
            </w:r>
            <w:r w:rsidR="00FD58BF">
              <w:rPr>
                <w:noProof/>
                <w:webHidden/>
              </w:rPr>
            </w:r>
            <w:r w:rsidR="00FD58BF">
              <w:rPr>
                <w:noProof/>
                <w:webHidden/>
              </w:rPr>
              <w:fldChar w:fldCharType="separate"/>
            </w:r>
            <w:r w:rsidR="00FD58BF">
              <w:rPr>
                <w:noProof/>
                <w:webHidden/>
              </w:rPr>
              <w:t>882</w:t>
            </w:r>
            <w:r w:rsidR="00FD58BF">
              <w:rPr>
                <w:noProof/>
                <w:webHidden/>
              </w:rPr>
              <w:fldChar w:fldCharType="end"/>
            </w:r>
          </w:hyperlink>
        </w:p>
        <w:p w14:paraId="3B505E12" w14:textId="1BDDA3D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0" w:history="1">
            <w:r w:rsidR="00FD58BF" w:rsidRPr="003004E5">
              <w:rPr>
                <w:rStyle w:val="Lienhypertexte"/>
                <w:noProof/>
              </w:rPr>
              <w:t>24.12.3b Colonnes en bois lamellé collé en bloc à inertie variable CCTB 01.11</w:t>
            </w:r>
            <w:r w:rsidR="00FD58BF">
              <w:rPr>
                <w:noProof/>
                <w:webHidden/>
              </w:rPr>
              <w:tab/>
            </w:r>
            <w:r w:rsidR="00FD58BF">
              <w:rPr>
                <w:noProof/>
                <w:webHidden/>
              </w:rPr>
              <w:fldChar w:fldCharType="begin"/>
            </w:r>
            <w:r w:rsidR="00FD58BF">
              <w:rPr>
                <w:noProof/>
                <w:webHidden/>
              </w:rPr>
              <w:instrText xml:space="preserve"> PAGEREF _Toc178838670 \h </w:instrText>
            </w:r>
            <w:r w:rsidR="00FD58BF">
              <w:rPr>
                <w:noProof/>
                <w:webHidden/>
              </w:rPr>
            </w:r>
            <w:r w:rsidR="00FD58BF">
              <w:rPr>
                <w:noProof/>
                <w:webHidden/>
              </w:rPr>
              <w:fldChar w:fldCharType="separate"/>
            </w:r>
            <w:r w:rsidR="00FD58BF">
              <w:rPr>
                <w:noProof/>
                <w:webHidden/>
              </w:rPr>
              <w:t>884</w:t>
            </w:r>
            <w:r w:rsidR="00FD58BF">
              <w:rPr>
                <w:noProof/>
                <w:webHidden/>
              </w:rPr>
              <w:fldChar w:fldCharType="end"/>
            </w:r>
          </w:hyperlink>
        </w:p>
        <w:p w14:paraId="1535BBBF" w14:textId="7892662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1" w:history="1">
            <w:r w:rsidR="00FD58BF" w:rsidRPr="003004E5">
              <w:rPr>
                <w:rStyle w:val="Lienhypertexte"/>
                <w:noProof/>
              </w:rPr>
              <w:t>24.12.4 Colonnes en LVL CCTB 01.07</w:t>
            </w:r>
            <w:r w:rsidR="00FD58BF">
              <w:rPr>
                <w:noProof/>
                <w:webHidden/>
              </w:rPr>
              <w:tab/>
            </w:r>
            <w:r w:rsidR="00FD58BF">
              <w:rPr>
                <w:noProof/>
                <w:webHidden/>
              </w:rPr>
              <w:fldChar w:fldCharType="begin"/>
            </w:r>
            <w:r w:rsidR="00FD58BF">
              <w:rPr>
                <w:noProof/>
                <w:webHidden/>
              </w:rPr>
              <w:instrText xml:space="preserve"> PAGEREF _Toc178838671 \h </w:instrText>
            </w:r>
            <w:r w:rsidR="00FD58BF">
              <w:rPr>
                <w:noProof/>
                <w:webHidden/>
              </w:rPr>
            </w:r>
            <w:r w:rsidR="00FD58BF">
              <w:rPr>
                <w:noProof/>
                <w:webHidden/>
              </w:rPr>
              <w:fldChar w:fldCharType="separate"/>
            </w:r>
            <w:r w:rsidR="00FD58BF">
              <w:rPr>
                <w:noProof/>
                <w:webHidden/>
              </w:rPr>
              <w:t>885</w:t>
            </w:r>
            <w:r w:rsidR="00FD58BF">
              <w:rPr>
                <w:noProof/>
                <w:webHidden/>
              </w:rPr>
              <w:fldChar w:fldCharType="end"/>
            </w:r>
          </w:hyperlink>
        </w:p>
        <w:p w14:paraId="497054BE" w14:textId="7110525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2" w:history="1">
            <w:r w:rsidR="00FD58BF" w:rsidRPr="003004E5">
              <w:rPr>
                <w:rStyle w:val="Lienhypertexte"/>
                <w:noProof/>
              </w:rPr>
              <w:t>24.12.4a Colonnes en LVL à inertie constante CCTB 01.11</w:t>
            </w:r>
            <w:r w:rsidR="00FD58BF">
              <w:rPr>
                <w:noProof/>
                <w:webHidden/>
              </w:rPr>
              <w:tab/>
            </w:r>
            <w:r w:rsidR="00FD58BF">
              <w:rPr>
                <w:noProof/>
                <w:webHidden/>
              </w:rPr>
              <w:fldChar w:fldCharType="begin"/>
            </w:r>
            <w:r w:rsidR="00FD58BF">
              <w:rPr>
                <w:noProof/>
                <w:webHidden/>
              </w:rPr>
              <w:instrText xml:space="preserve"> PAGEREF _Toc178838672 \h </w:instrText>
            </w:r>
            <w:r w:rsidR="00FD58BF">
              <w:rPr>
                <w:noProof/>
                <w:webHidden/>
              </w:rPr>
            </w:r>
            <w:r w:rsidR="00FD58BF">
              <w:rPr>
                <w:noProof/>
                <w:webHidden/>
              </w:rPr>
              <w:fldChar w:fldCharType="separate"/>
            </w:r>
            <w:r w:rsidR="00FD58BF">
              <w:rPr>
                <w:noProof/>
                <w:webHidden/>
              </w:rPr>
              <w:t>886</w:t>
            </w:r>
            <w:r w:rsidR="00FD58BF">
              <w:rPr>
                <w:noProof/>
                <w:webHidden/>
              </w:rPr>
              <w:fldChar w:fldCharType="end"/>
            </w:r>
          </w:hyperlink>
        </w:p>
        <w:p w14:paraId="756FEC5D" w14:textId="114E117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3" w:history="1">
            <w:r w:rsidR="00FD58BF" w:rsidRPr="003004E5">
              <w:rPr>
                <w:rStyle w:val="Lienhypertexte"/>
                <w:noProof/>
              </w:rPr>
              <w:t>24.12.4b Colonnes en LVL à inertie variable CCTB 01.11</w:t>
            </w:r>
            <w:r w:rsidR="00FD58BF">
              <w:rPr>
                <w:noProof/>
                <w:webHidden/>
              </w:rPr>
              <w:tab/>
            </w:r>
            <w:r w:rsidR="00FD58BF">
              <w:rPr>
                <w:noProof/>
                <w:webHidden/>
              </w:rPr>
              <w:fldChar w:fldCharType="begin"/>
            </w:r>
            <w:r w:rsidR="00FD58BF">
              <w:rPr>
                <w:noProof/>
                <w:webHidden/>
              </w:rPr>
              <w:instrText xml:space="preserve"> PAGEREF _Toc178838673 \h </w:instrText>
            </w:r>
            <w:r w:rsidR="00FD58BF">
              <w:rPr>
                <w:noProof/>
                <w:webHidden/>
              </w:rPr>
            </w:r>
            <w:r w:rsidR="00FD58BF">
              <w:rPr>
                <w:noProof/>
                <w:webHidden/>
              </w:rPr>
              <w:fldChar w:fldCharType="separate"/>
            </w:r>
            <w:r w:rsidR="00FD58BF">
              <w:rPr>
                <w:noProof/>
                <w:webHidden/>
              </w:rPr>
              <w:t>888</w:t>
            </w:r>
            <w:r w:rsidR="00FD58BF">
              <w:rPr>
                <w:noProof/>
                <w:webHidden/>
              </w:rPr>
              <w:fldChar w:fldCharType="end"/>
            </w:r>
          </w:hyperlink>
        </w:p>
        <w:p w14:paraId="61CBA8D7" w14:textId="7FBDD07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4" w:history="1">
            <w:r w:rsidR="00FD58BF" w:rsidRPr="003004E5">
              <w:rPr>
                <w:rStyle w:val="Lienhypertexte"/>
                <w:noProof/>
              </w:rPr>
              <w:t>24.12.5 Colonnes en LSL CCTB 01.07</w:t>
            </w:r>
            <w:r w:rsidR="00FD58BF">
              <w:rPr>
                <w:noProof/>
                <w:webHidden/>
              </w:rPr>
              <w:tab/>
            </w:r>
            <w:r w:rsidR="00FD58BF">
              <w:rPr>
                <w:noProof/>
                <w:webHidden/>
              </w:rPr>
              <w:fldChar w:fldCharType="begin"/>
            </w:r>
            <w:r w:rsidR="00FD58BF">
              <w:rPr>
                <w:noProof/>
                <w:webHidden/>
              </w:rPr>
              <w:instrText xml:space="preserve"> PAGEREF _Toc178838674 \h </w:instrText>
            </w:r>
            <w:r w:rsidR="00FD58BF">
              <w:rPr>
                <w:noProof/>
                <w:webHidden/>
              </w:rPr>
            </w:r>
            <w:r w:rsidR="00FD58BF">
              <w:rPr>
                <w:noProof/>
                <w:webHidden/>
              </w:rPr>
              <w:fldChar w:fldCharType="separate"/>
            </w:r>
            <w:r w:rsidR="00FD58BF">
              <w:rPr>
                <w:noProof/>
                <w:webHidden/>
              </w:rPr>
              <w:t>889</w:t>
            </w:r>
            <w:r w:rsidR="00FD58BF">
              <w:rPr>
                <w:noProof/>
                <w:webHidden/>
              </w:rPr>
              <w:fldChar w:fldCharType="end"/>
            </w:r>
          </w:hyperlink>
        </w:p>
        <w:p w14:paraId="5D192016" w14:textId="0552A39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5" w:history="1">
            <w:r w:rsidR="00FD58BF" w:rsidRPr="003004E5">
              <w:rPr>
                <w:rStyle w:val="Lienhypertexte"/>
                <w:noProof/>
              </w:rPr>
              <w:t>24.12.5a Colonnes en LSL à inertie constante CCTB 01.11</w:t>
            </w:r>
            <w:r w:rsidR="00FD58BF">
              <w:rPr>
                <w:noProof/>
                <w:webHidden/>
              </w:rPr>
              <w:tab/>
            </w:r>
            <w:r w:rsidR="00FD58BF">
              <w:rPr>
                <w:noProof/>
                <w:webHidden/>
              </w:rPr>
              <w:fldChar w:fldCharType="begin"/>
            </w:r>
            <w:r w:rsidR="00FD58BF">
              <w:rPr>
                <w:noProof/>
                <w:webHidden/>
              </w:rPr>
              <w:instrText xml:space="preserve"> PAGEREF _Toc178838675 \h </w:instrText>
            </w:r>
            <w:r w:rsidR="00FD58BF">
              <w:rPr>
                <w:noProof/>
                <w:webHidden/>
              </w:rPr>
            </w:r>
            <w:r w:rsidR="00FD58BF">
              <w:rPr>
                <w:noProof/>
                <w:webHidden/>
              </w:rPr>
              <w:fldChar w:fldCharType="separate"/>
            </w:r>
            <w:r w:rsidR="00FD58BF">
              <w:rPr>
                <w:noProof/>
                <w:webHidden/>
              </w:rPr>
              <w:t>890</w:t>
            </w:r>
            <w:r w:rsidR="00FD58BF">
              <w:rPr>
                <w:noProof/>
                <w:webHidden/>
              </w:rPr>
              <w:fldChar w:fldCharType="end"/>
            </w:r>
          </w:hyperlink>
        </w:p>
        <w:p w14:paraId="27F0DFFC" w14:textId="637EED9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6" w:history="1">
            <w:r w:rsidR="00FD58BF" w:rsidRPr="003004E5">
              <w:rPr>
                <w:rStyle w:val="Lienhypertexte"/>
                <w:noProof/>
              </w:rPr>
              <w:t>24.12.5b Colonnes en LSL à inertie variable CCTB 01.11</w:t>
            </w:r>
            <w:r w:rsidR="00FD58BF">
              <w:rPr>
                <w:noProof/>
                <w:webHidden/>
              </w:rPr>
              <w:tab/>
            </w:r>
            <w:r w:rsidR="00FD58BF">
              <w:rPr>
                <w:noProof/>
                <w:webHidden/>
              </w:rPr>
              <w:fldChar w:fldCharType="begin"/>
            </w:r>
            <w:r w:rsidR="00FD58BF">
              <w:rPr>
                <w:noProof/>
                <w:webHidden/>
              </w:rPr>
              <w:instrText xml:space="preserve"> PAGEREF _Toc178838676 \h </w:instrText>
            </w:r>
            <w:r w:rsidR="00FD58BF">
              <w:rPr>
                <w:noProof/>
                <w:webHidden/>
              </w:rPr>
            </w:r>
            <w:r w:rsidR="00FD58BF">
              <w:rPr>
                <w:noProof/>
                <w:webHidden/>
              </w:rPr>
              <w:fldChar w:fldCharType="separate"/>
            </w:r>
            <w:r w:rsidR="00FD58BF">
              <w:rPr>
                <w:noProof/>
                <w:webHidden/>
              </w:rPr>
              <w:t>891</w:t>
            </w:r>
            <w:r w:rsidR="00FD58BF">
              <w:rPr>
                <w:noProof/>
                <w:webHidden/>
              </w:rPr>
              <w:fldChar w:fldCharType="end"/>
            </w:r>
          </w:hyperlink>
        </w:p>
        <w:p w14:paraId="5ECD80EA" w14:textId="49DF628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7" w:history="1">
            <w:r w:rsidR="00FD58BF" w:rsidRPr="003004E5">
              <w:rPr>
                <w:rStyle w:val="Lienhypertexte"/>
                <w:noProof/>
              </w:rPr>
              <w:t>24.12.6 Colonnes en PSL CCTB 01.07</w:t>
            </w:r>
            <w:r w:rsidR="00FD58BF">
              <w:rPr>
                <w:noProof/>
                <w:webHidden/>
              </w:rPr>
              <w:tab/>
            </w:r>
            <w:r w:rsidR="00FD58BF">
              <w:rPr>
                <w:noProof/>
                <w:webHidden/>
              </w:rPr>
              <w:fldChar w:fldCharType="begin"/>
            </w:r>
            <w:r w:rsidR="00FD58BF">
              <w:rPr>
                <w:noProof/>
                <w:webHidden/>
              </w:rPr>
              <w:instrText xml:space="preserve"> PAGEREF _Toc178838677 \h </w:instrText>
            </w:r>
            <w:r w:rsidR="00FD58BF">
              <w:rPr>
                <w:noProof/>
                <w:webHidden/>
              </w:rPr>
            </w:r>
            <w:r w:rsidR="00FD58BF">
              <w:rPr>
                <w:noProof/>
                <w:webHidden/>
              </w:rPr>
              <w:fldChar w:fldCharType="separate"/>
            </w:r>
            <w:r w:rsidR="00FD58BF">
              <w:rPr>
                <w:noProof/>
                <w:webHidden/>
              </w:rPr>
              <w:t>893</w:t>
            </w:r>
            <w:r w:rsidR="00FD58BF">
              <w:rPr>
                <w:noProof/>
                <w:webHidden/>
              </w:rPr>
              <w:fldChar w:fldCharType="end"/>
            </w:r>
          </w:hyperlink>
        </w:p>
        <w:p w14:paraId="0CD77DF5" w14:textId="3642594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8" w:history="1">
            <w:r w:rsidR="00FD58BF" w:rsidRPr="003004E5">
              <w:rPr>
                <w:rStyle w:val="Lienhypertexte"/>
                <w:noProof/>
              </w:rPr>
              <w:t>24.12.6a Colonnes en PSL à inertie constante CCTB 01.11</w:t>
            </w:r>
            <w:r w:rsidR="00FD58BF">
              <w:rPr>
                <w:noProof/>
                <w:webHidden/>
              </w:rPr>
              <w:tab/>
            </w:r>
            <w:r w:rsidR="00FD58BF">
              <w:rPr>
                <w:noProof/>
                <w:webHidden/>
              </w:rPr>
              <w:fldChar w:fldCharType="begin"/>
            </w:r>
            <w:r w:rsidR="00FD58BF">
              <w:rPr>
                <w:noProof/>
                <w:webHidden/>
              </w:rPr>
              <w:instrText xml:space="preserve"> PAGEREF _Toc178838678 \h </w:instrText>
            </w:r>
            <w:r w:rsidR="00FD58BF">
              <w:rPr>
                <w:noProof/>
                <w:webHidden/>
              </w:rPr>
            </w:r>
            <w:r w:rsidR="00FD58BF">
              <w:rPr>
                <w:noProof/>
                <w:webHidden/>
              </w:rPr>
              <w:fldChar w:fldCharType="separate"/>
            </w:r>
            <w:r w:rsidR="00FD58BF">
              <w:rPr>
                <w:noProof/>
                <w:webHidden/>
              </w:rPr>
              <w:t>894</w:t>
            </w:r>
            <w:r w:rsidR="00FD58BF">
              <w:rPr>
                <w:noProof/>
                <w:webHidden/>
              </w:rPr>
              <w:fldChar w:fldCharType="end"/>
            </w:r>
          </w:hyperlink>
        </w:p>
        <w:p w14:paraId="4207D787" w14:textId="326CB19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9" w:history="1">
            <w:r w:rsidR="00FD58BF" w:rsidRPr="003004E5">
              <w:rPr>
                <w:rStyle w:val="Lienhypertexte"/>
                <w:noProof/>
              </w:rPr>
              <w:t>24.12.6b Colonnes en PSL à inertie variable CCTB 01.11</w:t>
            </w:r>
            <w:r w:rsidR="00FD58BF">
              <w:rPr>
                <w:noProof/>
                <w:webHidden/>
              </w:rPr>
              <w:tab/>
            </w:r>
            <w:r w:rsidR="00FD58BF">
              <w:rPr>
                <w:noProof/>
                <w:webHidden/>
              </w:rPr>
              <w:fldChar w:fldCharType="begin"/>
            </w:r>
            <w:r w:rsidR="00FD58BF">
              <w:rPr>
                <w:noProof/>
                <w:webHidden/>
              </w:rPr>
              <w:instrText xml:space="preserve"> PAGEREF _Toc178838679 \h </w:instrText>
            </w:r>
            <w:r w:rsidR="00FD58BF">
              <w:rPr>
                <w:noProof/>
                <w:webHidden/>
              </w:rPr>
            </w:r>
            <w:r w:rsidR="00FD58BF">
              <w:rPr>
                <w:noProof/>
                <w:webHidden/>
              </w:rPr>
              <w:fldChar w:fldCharType="separate"/>
            </w:r>
            <w:r w:rsidR="00FD58BF">
              <w:rPr>
                <w:noProof/>
                <w:webHidden/>
              </w:rPr>
              <w:t>895</w:t>
            </w:r>
            <w:r w:rsidR="00FD58BF">
              <w:rPr>
                <w:noProof/>
                <w:webHidden/>
              </w:rPr>
              <w:fldChar w:fldCharType="end"/>
            </w:r>
          </w:hyperlink>
        </w:p>
        <w:p w14:paraId="41E4205F" w14:textId="6E02ACC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80" w:history="1">
            <w:r w:rsidR="00FD58BF" w:rsidRPr="003004E5">
              <w:rPr>
                <w:rStyle w:val="Lienhypertexte"/>
                <w:noProof/>
              </w:rPr>
              <w:t>24.12.7 Colonnes faites de produits manufacturés en bois CCTB 01.07</w:t>
            </w:r>
            <w:r w:rsidR="00FD58BF">
              <w:rPr>
                <w:noProof/>
                <w:webHidden/>
              </w:rPr>
              <w:tab/>
            </w:r>
            <w:r w:rsidR="00FD58BF">
              <w:rPr>
                <w:noProof/>
                <w:webHidden/>
              </w:rPr>
              <w:fldChar w:fldCharType="begin"/>
            </w:r>
            <w:r w:rsidR="00FD58BF">
              <w:rPr>
                <w:noProof/>
                <w:webHidden/>
              </w:rPr>
              <w:instrText xml:space="preserve"> PAGEREF _Toc178838680 \h </w:instrText>
            </w:r>
            <w:r w:rsidR="00FD58BF">
              <w:rPr>
                <w:noProof/>
                <w:webHidden/>
              </w:rPr>
            </w:r>
            <w:r w:rsidR="00FD58BF">
              <w:rPr>
                <w:noProof/>
                <w:webHidden/>
              </w:rPr>
              <w:fldChar w:fldCharType="separate"/>
            </w:r>
            <w:r w:rsidR="00FD58BF">
              <w:rPr>
                <w:noProof/>
                <w:webHidden/>
              </w:rPr>
              <w:t>897</w:t>
            </w:r>
            <w:r w:rsidR="00FD58BF">
              <w:rPr>
                <w:noProof/>
                <w:webHidden/>
              </w:rPr>
              <w:fldChar w:fldCharType="end"/>
            </w:r>
          </w:hyperlink>
        </w:p>
        <w:p w14:paraId="67BABD8B" w14:textId="14BCBC1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1" w:history="1">
            <w:r w:rsidR="00FD58BF" w:rsidRPr="003004E5">
              <w:rPr>
                <w:rStyle w:val="Lienhypertexte"/>
                <w:noProof/>
              </w:rPr>
              <w:t>24.12.7a Colonnes faites de profilés en I à âme en bois CCTB 01.07</w:t>
            </w:r>
            <w:r w:rsidR="00FD58BF">
              <w:rPr>
                <w:noProof/>
                <w:webHidden/>
              </w:rPr>
              <w:tab/>
            </w:r>
            <w:r w:rsidR="00FD58BF">
              <w:rPr>
                <w:noProof/>
                <w:webHidden/>
              </w:rPr>
              <w:fldChar w:fldCharType="begin"/>
            </w:r>
            <w:r w:rsidR="00FD58BF">
              <w:rPr>
                <w:noProof/>
                <w:webHidden/>
              </w:rPr>
              <w:instrText xml:space="preserve"> PAGEREF _Toc178838681 \h </w:instrText>
            </w:r>
            <w:r w:rsidR="00FD58BF">
              <w:rPr>
                <w:noProof/>
                <w:webHidden/>
              </w:rPr>
            </w:r>
            <w:r w:rsidR="00FD58BF">
              <w:rPr>
                <w:noProof/>
                <w:webHidden/>
              </w:rPr>
              <w:fldChar w:fldCharType="separate"/>
            </w:r>
            <w:r w:rsidR="00FD58BF">
              <w:rPr>
                <w:noProof/>
                <w:webHidden/>
              </w:rPr>
              <w:t>897</w:t>
            </w:r>
            <w:r w:rsidR="00FD58BF">
              <w:rPr>
                <w:noProof/>
                <w:webHidden/>
              </w:rPr>
              <w:fldChar w:fldCharType="end"/>
            </w:r>
          </w:hyperlink>
        </w:p>
        <w:p w14:paraId="02065FF5" w14:textId="14D8989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2" w:history="1">
            <w:r w:rsidR="00FD58BF" w:rsidRPr="003004E5">
              <w:rPr>
                <w:rStyle w:val="Lienhypertexte"/>
                <w:noProof/>
              </w:rPr>
              <w:t>24.12.7b Colonnes faites de profilés en I à âme métallique CCTB 01.07</w:t>
            </w:r>
            <w:r w:rsidR="00FD58BF">
              <w:rPr>
                <w:noProof/>
                <w:webHidden/>
              </w:rPr>
              <w:tab/>
            </w:r>
            <w:r w:rsidR="00FD58BF">
              <w:rPr>
                <w:noProof/>
                <w:webHidden/>
              </w:rPr>
              <w:fldChar w:fldCharType="begin"/>
            </w:r>
            <w:r w:rsidR="00FD58BF">
              <w:rPr>
                <w:noProof/>
                <w:webHidden/>
              </w:rPr>
              <w:instrText xml:space="preserve"> PAGEREF _Toc178838682 \h </w:instrText>
            </w:r>
            <w:r w:rsidR="00FD58BF">
              <w:rPr>
                <w:noProof/>
                <w:webHidden/>
              </w:rPr>
            </w:r>
            <w:r w:rsidR="00FD58BF">
              <w:rPr>
                <w:noProof/>
                <w:webHidden/>
              </w:rPr>
              <w:fldChar w:fldCharType="separate"/>
            </w:r>
            <w:r w:rsidR="00FD58BF">
              <w:rPr>
                <w:noProof/>
                <w:webHidden/>
              </w:rPr>
              <w:t>898</w:t>
            </w:r>
            <w:r w:rsidR="00FD58BF">
              <w:rPr>
                <w:noProof/>
                <w:webHidden/>
              </w:rPr>
              <w:fldChar w:fldCharType="end"/>
            </w:r>
          </w:hyperlink>
        </w:p>
        <w:p w14:paraId="499BE10B" w14:textId="198CEB6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3" w:history="1">
            <w:r w:rsidR="00FD58BF" w:rsidRPr="003004E5">
              <w:rPr>
                <w:rStyle w:val="Lienhypertexte"/>
                <w:noProof/>
              </w:rPr>
              <w:t>24.12.7c Colonnes faites de treillis avec diagonales en bois CCTB 01.07</w:t>
            </w:r>
            <w:r w:rsidR="00FD58BF">
              <w:rPr>
                <w:noProof/>
                <w:webHidden/>
              </w:rPr>
              <w:tab/>
            </w:r>
            <w:r w:rsidR="00FD58BF">
              <w:rPr>
                <w:noProof/>
                <w:webHidden/>
              </w:rPr>
              <w:fldChar w:fldCharType="begin"/>
            </w:r>
            <w:r w:rsidR="00FD58BF">
              <w:rPr>
                <w:noProof/>
                <w:webHidden/>
              </w:rPr>
              <w:instrText xml:space="preserve"> PAGEREF _Toc178838683 \h </w:instrText>
            </w:r>
            <w:r w:rsidR="00FD58BF">
              <w:rPr>
                <w:noProof/>
                <w:webHidden/>
              </w:rPr>
            </w:r>
            <w:r w:rsidR="00FD58BF">
              <w:rPr>
                <w:noProof/>
                <w:webHidden/>
              </w:rPr>
              <w:fldChar w:fldCharType="separate"/>
            </w:r>
            <w:r w:rsidR="00FD58BF">
              <w:rPr>
                <w:noProof/>
                <w:webHidden/>
              </w:rPr>
              <w:t>899</w:t>
            </w:r>
            <w:r w:rsidR="00FD58BF">
              <w:rPr>
                <w:noProof/>
                <w:webHidden/>
              </w:rPr>
              <w:fldChar w:fldCharType="end"/>
            </w:r>
          </w:hyperlink>
        </w:p>
        <w:p w14:paraId="7C152ED3" w14:textId="6CF63FC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4" w:history="1">
            <w:r w:rsidR="00FD58BF" w:rsidRPr="003004E5">
              <w:rPr>
                <w:rStyle w:val="Lienhypertexte"/>
                <w:noProof/>
              </w:rPr>
              <w:t>24.12.7d Colonnes faites de treillis avec diagonales en métal CCTB 01.07</w:t>
            </w:r>
            <w:r w:rsidR="00FD58BF">
              <w:rPr>
                <w:noProof/>
                <w:webHidden/>
              </w:rPr>
              <w:tab/>
            </w:r>
            <w:r w:rsidR="00FD58BF">
              <w:rPr>
                <w:noProof/>
                <w:webHidden/>
              </w:rPr>
              <w:fldChar w:fldCharType="begin"/>
            </w:r>
            <w:r w:rsidR="00FD58BF">
              <w:rPr>
                <w:noProof/>
                <w:webHidden/>
              </w:rPr>
              <w:instrText xml:space="preserve"> PAGEREF _Toc178838684 \h </w:instrText>
            </w:r>
            <w:r w:rsidR="00FD58BF">
              <w:rPr>
                <w:noProof/>
                <w:webHidden/>
              </w:rPr>
            </w:r>
            <w:r w:rsidR="00FD58BF">
              <w:rPr>
                <w:noProof/>
                <w:webHidden/>
              </w:rPr>
              <w:fldChar w:fldCharType="separate"/>
            </w:r>
            <w:r w:rsidR="00FD58BF">
              <w:rPr>
                <w:noProof/>
                <w:webHidden/>
              </w:rPr>
              <w:t>899</w:t>
            </w:r>
            <w:r w:rsidR="00FD58BF">
              <w:rPr>
                <w:noProof/>
                <w:webHidden/>
              </w:rPr>
              <w:fldChar w:fldCharType="end"/>
            </w:r>
          </w:hyperlink>
        </w:p>
        <w:p w14:paraId="53B23E9A" w14:textId="09EE54C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85" w:history="1">
            <w:r w:rsidR="00FD58BF" w:rsidRPr="003004E5">
              <w:rPr>
                <w:rStyle w:val="Lienhypertexte"/>
                <w:noProof/>
              </w:rPr>
              <w:t>24.13 Poutres et barres en bois CCTB 01.07</w:t>
            </w:r>
            <w:r w:rsidR="00FD58BF">
              <w:rPr>
                <w:noProof/>
                <w:webHidden/>
              </w:rPr>
              <w:tab/>
            </w:r>
            <w:r w:rsidR="00FD58BF">
              <w:rPr>
                <w:noProof/>
                <w:webHidden/>
              </w:rPr>
              <w:fldChar w:fldCharType="begin"/>
            </w:r>
            <w:r w:rsidR="00FD58BF">
              <w:rPr>
                <w:noProof/>
                <w:webHidden/>
              </w:rPr>
              <w:instrText xml:space="preserve"> PAGEREF _Toc178838685 \h </w:instrText>
            </w:r>
            <w:r w:rsidR="00FD58BF">
              <w:rPr>
                <w:noProof/>
                <w:webHidden/>
              </w:rPr>
            </w:r>
            <w:r w:rsidR="00FD58BF">
              <w:rPr>
                <w:noProof/>
                <w:webHidden/>
              </w:rPr>
              <w:fldChar w:fldCharType="separate"/>
            </w:r>
            <w:r w:rsidR="00FD58BF">
              <w:rPr>
                <w:noProof/>
                <w:webHidden/>
              </w:rPr>
              <w:t>900</w:t>
            </w:r>
            <w:r w:rsidR="00FD58BF">
              <w:rPr>
                <w:noProof/>
                <w:webHidden/>
              </w:rPr>
              <w:fldChar w:fldCharType="end"/>
            </w:r>
          </w:hyperlink>
        </w:p>
        <w:p w14:paraId="78186DC9" w14:textId="668DFAB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86" w:history="1">
            <w:r w:rsidR="00FD58BF" w:rsidRPr="003004E5">
              <w:rPr>
                <w:rStyle w:val="Lienhypertexte"/>
                <w:noProof/>
              </w:rPr>
              <w:t>24.13.1 Poutres et barres en bois massif CCTB 01.07</w:t>
            </w:r>
            <w:r w:rsidR="00FD58BF">
              <w:rPr>
                <w:noProof/>
                <w:webHidden/>
              </w:rPr>
              <w:tab/>
            </w:r>
            <w:r w:rsidR="00FD58BF">
              <w:rPr>
                <w:noProof/>
                <w:webHidden/>
              </w:rPr>
              <w:fldChar w:fldCharType="begin"/>
            </w:r>
            <w:r w:rsidR="00FD58BF">
              <w:rPr>
                <w:noProof/>
                <w:webHidden/>
              </w:rPr>
              <w:instrText xml:space="preserve"> PAGEREF _Toc178838686 \h </w:instrText>
            </w:r>
            <w:r w:rsidR="00FD58BF">
              <w:rPr>
                <w:noProof/>
                <w:webHidden/>
              </w:rPr>
            </w:r>
            <w:r w:rsidR="00FD58BF">
              <w:rPr>
                <w:noProof/>
                <w:webHidden/>
              </w:rPr>
              <w:fldChar w:fldCharType="separate"/>
            </w:r>
            <w:r w:rsidR="00FD58BF">
              <w:rPr>
                <w:noProof/>
                <w:webHidden/>
              </w:rPr>
              <w:t>900</w:t>
            </w:r>
            <w:r w:rsidR="00FD58BF">
              <w:rPr>
                <w:noProof/>
                <w:webHidden/>
              </w:rPr>
              <w:fldChar w:fldCharType="end"/>
            </w:r>
          </w:hyperlink>
        </w:p>
        <w:p w14:paraId="5C38C209" w14:textId="1AB297A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7" w:history="1">
            <w:r w:rsidR="00FD58BF" w:rsidRPr="003004E5">
              <w:rPr>
                <w:rStyle w:val="Lienhypertexte"/>
                <w:noProof/>
              </w:rPr>
              <w:t>24.13.1a Poutres et barres en bois massif à section rectangulaire CCTB 01.11</w:t>
            </w:r>
            <w:r w:rsidR="00FD58BF">
              <w:rPr>
                <w:noProof/>
                <w:webHidden/>
              </w:rPr>
              <w:tab/>
            </w:r>
            <w:r w:rsidR="00FD58BF">
              <w:rPr>
                <w:noProof/>
                <w:webHidden/>
              </w:rPr>
              <w:fldChar w:fldCharType="begin"/>
            </w:r>
            <w:r w:rsidR="00FD58BF">
              <w:rPr>
                <w:noProof/>
                <w:webHidden/>
              </w:rPr>
              <w:instrText xml:space="preserve"> PAGEREF _Toc178838687 \h </w:instrText>
            </w:r>
            <w:r w:rsidR="00FD58BF">
              <w:rPr>
                <w:noProof/>
                <w:webHidden/>
              </w:rPr>
            </w:r>
            <w:r w:rsidR="00FD58BF">
              <w:rPr>
                <w:noProof/>
                <w:webHidden/>
              </w:rPr>
              <w:fldChar w:fldCharType="separate"/>
            </w:r>
            <w:r w:rsidR="00FD58BF">
              <w:rPr>
                <w:noProof/>
                <w:webHidden/>
              </w:rPr>
              <w:t>901</w:t>
            </w:r>
            <w:r w:rsidR="00FD58BF">
              <w:rPr>
                <w:noProof/>
                <w:webHidden/>
              </w:rPr>
              <w:fldChar w:fldCharType="end"/>
            </w:r>
          </w:hyperlink>
        </w:p>
        <w:p w14:paraId="0878C397" w14:textId="188B74C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8" w:history="1">
            <w:r w:rsidR="00FD58BF" w:rsidRPr="003004E5">
              <w:rPr>
                <w:rStyle w:val="Lienhypertexte"/>
                <w:noProof/>
              </w:rPr>
              <w:t>24.13.1b Poutres et barres en bois massif à section circulaire CCTB 01.11</w:t>
            </w:r>
            <w:r w:rsidR="00FD58BF">
              <w:rPr>
                <w:noProof/>
                <w:webHidden/>
              </w:rPr>
              <w:tab/>
            </w:r>
            <w:r w:rsidR="00FD58BF">
              <w:rPr>
                <w:noProof/>
                <w:webHidden/>
              </w:rPr>
              <w:fldChar w:fldCharType="begin"/>
            </w:r>
            <w:r w:rsidR="00FD58BF">
              <w:rPr>
                <w:noProof/>
                <w:webHidden/>
              </w:rPr>
              <w:instrText xml:space="preserve"> PAGEREF _Toc178838688 \h </w:instrText>
            </w:r>
            <w:r w:rsidR="00FD58BF">
              <w:rPr>
                <w:noProof/>
                <w:webHidden/>
              </w:rPr>
            </w:r>
            <w:r w:rsidR="00FD58BF">
              <w:rPr>
                <w:noProof/>
                <w:webHidden/>
              </w:rPr>
              <w:fldChar w:fldCharType="separate"/>
            </w:r>
            <w:r w:rsidR="00FD58BF">
              <w:rPr>
                <w:noProof/>
                <w:webHidden/>
              </w:rPr>
              <w:t>903</w:t>
            </w:r>
            <w:r w:rsidR="00FD58BF">
              <w:rPr>
                <w:noProof/>
                <w:webHidden/>
              </w:rPr>
              <w:fldChar w:fldCharType="end"/>
            </w:r>
          </w:hyperlink>
        </w:p>
        <w:p w14:paraId="1BF4360C" w14:textId="535708B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89" w:history="1">
            <w:r w:rsidR="00FD58BF" w:rsidRPr="003004E5">
              <w:rPr>
                <w:rStyle w:val="Lienhypertexte"/>
                <w:noProof/>
              </w:rPr>
              <w:t>24.13.2 Poutres et barres en bois lamellé collé CCTB 01.07</w:t>
            </w:r>
            <w:r w:rsidR="00FD58BF">
              <w:rPr>
                <w:noProof/>
                <w:webHidden/>
              </w:rPr>
              <w:tab/>
            </w:r>
            <w:r w:rsidR="00FD58BF">
              <w:rPr>
                <w:noProof/>
                <w:webHidden/>
              </w:rPr>
              <w:fldChar w:fldCharType="begin"/>
            </w:r>
            <w:r w:rsidR="00FD58BF">
              <w:rPr>
                <w:noProof/>
                <w:webHidden/>
              </w:rPr>
              <w:instrText xml:space="preserve"> PAGEREF _Toc178838689 \h </w:instrText>
            </w:r>
            <w:r w:rsidR="00FD58BF">
              <w:rPr>
                <w:noProof/>
                <w:webHidden/>
              </w:rPr>
            </w:r>
            <w:r w:rsidR="00FD58BF">
              <w:rPr>
                <w:noProof/>
                <w:webHidden/>
              </w:rPr>
              <w:fldChar w:fldCharType="separate"/>
            </w:r>
            <w:r w:rsidR="00FD58BF">
              <w:rPr>
                <w:noProof/>
                <w:webHidden/>
              </w:rPr>
              <w:t>904</w:t>
            </w:r>
            <w:r w:rsidR="00FD58BF">
              <w:rPr>
                <w:noProof/>
                <w:webHidden/>
              </w:rPr>
              <w:fldChar w:fldCharType="end"/>
            </w:r>
          </w:hyperlink>
        </w:p>
        <w:p w14:paraId="02CA3B10" w14:textId="1AB7903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0" w:history="1">
            <w:r w:rsidR="00FD58BF" w:rsidRPr="003004E5">
              <w:rPr>
                <w:rStyle w:val="Lienhypertexte"/>
                <w:noProof/>
              </w:rPr>
              <w:t>24.13.2a Poutres et barres en lamellé-collé à inertie constante CCTB 01.11</w:t>
            </w:r>
            <w:r w:rsidR="00FD58BF">
              <w:rPr>
                <w:noProof/>
                <w:webHidden/>
              </w:rPr>
              <w:tab/>
            </w:r>
            <w:r w:rsidR="00FD58BF">
              <w:rPr>
                <w:noProof/>
                <w:webHidden/>
              </w:rPr>
              <w:fldChar w:fldCharType="begin"/>
            </w:r>
            <w:r w:rsidR="00FD58BF">
              <w:rPr>
                <w:noProof/>
                <w:webHidden/>
              </w:rPr>
              <w:instrText xml:space="preserve"> PAGEREF _Toc178838690 \h </w:instrText>
            </w:r>
            <w:r w:rsidR="00FD58BF">
              <w:rPr>
                <w:noProof/>
                <w:webHidden/>
              </w:rPr>
            </w:r>
            <w:r w:rsidR="00FD58BF">
              <w:rPr>
                <w:noProof/>
                <w:webHidden/>
              </w:rPr>
              <w:fldChar w:fldCharType="separate"/>
            </w:r>
            <w:r w:rsidR="00FD58BF">
              <w:rPr>
                <w:noProof/>
                <w:webHidden/>
              </w:rPr>
              <w:t>905</w:t>
            </w:r>
            <w:r w:rsidR="00FD58BF">
              <w:rPr>
                <w:noProof/>
                <w:webHidden/>
              </w:rPr>
              <w:fldChar w:fldCharType="end"/>
            </w:r>
          </w:hyperlink>
        </w:p>
        <w:p w14:paraId="234879FB" w14:textId="49FD648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1" w:history="1">
            <w:r w:rsidR="00FD58BF" w:rsidRPr="003004E5">
              <w:rPr>
                <w:rStyle w:val="Lienhypertexte"/>
                <w:noProof/>
              </w:rPr>
              <w:t>24.13.2b Poutres et barres en lamellé-collé à inertie variable CCTB 01.11</w:t>
            </w:r>
            <w:r w:rsidR="00FD58BF">
              <w:rPr>
                <w:noProof/>
                <w:webHidden/>
              </w:rPr>
              <w:tab/>
            </w:r>
            <w:r w:rsidR="00FD58BF">
              <w:rPr>
                <w:noProof/>
                <w:webHidden/>
              </w:rPr>
              <w:fldChar w:fldCharType="begin"/>
            </w:r>
            <w:r w:rsidR="00FD58BF">
              <w:rPr>
                <w:noProof/>
                <w:webHidden/>
              </w:rPr>
              <w:instrText xml:space="preserve"> PAGEREF _Toc178838691 \h </w:instrText>
            </w:r>
            <w:r w:rsidR="00FD58BF">
              <w:rPr>
                <w:noProof/>
                <w:webHidden/>
              </w:rPr>
            </w:r>
            <w:r w:rsidR="00FD58BF">
              <w:rPr>
                <w:noProof/>
                <w:webHidden/>
              </w:rPr>
              <w:fldChar w:fldCharType="separate"/>
            </w:r>
            <w:r w:rsidR="00FD58BF">
              <w:rPr>
                <w:noProof/>
                <w:webHidden/>
              </w:rPr>
              <w:t>906</w:t>
            </w:r>
            <w:r w:rsidR="00FD58BF">
              <w:rPr>
                <w:noProof/>
                <w:webHidden/>
              </w:rPr>
              <w:fldChar w:fldCharType="end"/>
            </w:r>
          </w:hyperlink>
        </w:p>
        <w:p w14:paraId="2E7C4942" w14:textId="3124ABD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92" w:history="1">
            <w:r w:rsidR="00FD58BF" w:rsidRPr="003004E5">
              <w:rPr>
                <w:rStyle w:val="Lienhypertexte"/>
                <w:noProof/>
              </w:rPr>
              <w:t>24.13.3 Poutres et barres en bois lamellé collé en bloc CCTB 01.07</w:t>
            </w:r>
            <w:r w:rsidR="00FD58BF">
              <w:rPr>
                <w:noProof/>
                <w:webHidden/>
              </w:rPr>
              <w:tab/>
            </w:r>
            <w:r w:rsidR="00FD58BF">
              <w:rPr>
                <w:noProof/>
                <w:webHidden/>
              </w:rPr>
              <w:fldChar w:fldCharType="begin"/>
            </w:r>
            <w:r w:rsidR="00FD58BF">
              <w:rPr>
                <w:noProof/>
                <w:webHidden/>
              </w:rPr>
              <w:instrText xml:space="preserve"> PAGEREF _Toc178838692 \h </w:instrText>
            </w:r>
            <w:r w:rsidR="00FD58BF">
              <w:rPr>
                <w:noProof/>
                <w:webHidden/>
              </w:rPr>
            </w:r>
            <w:r w:rsidR="00FD58BF">
              <w:rPr>
                <w:noProof/>
                <w:webHidden/>
              </w:rPr>
              <w:fldChar w:fldCharType="separate"/>
            </w:r>
            <w:r w:rsidR="00FD58BF">
              <w:rPr>
                <w:noProof/>
                <w:webHidden/>
              </w:rPr>
              <w:t>908</w:t>
            </w:r>
            <w:r w:rsidR="00FD58BF">
              <w:rPr>
                <w:noProof/>
                <w:webHidden/>
              </w:rPr>
              <w:fldChar w:fldCharType="end"/>
            </w:r>
          </w:hyperlink>
        </w:p>
        <w:p w14:paraId="711346DC" w14:textId="3C8C58B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3" w:history="1">
            <w:r w:rsidR="00FD58BF" w:rsidRPr="003004E5">
              <w:rPr>
                <w:rStyle w:val="Lienhypertexte"/>
                <w:noProof/>
              </w:rPr>
              <w:t>24.13.3a Poutres et barres en bois lamellé collé en bloc à inertie constante CCTB 01.11</w:t>
            </w:r>
            <w:r w:rsidR="00FD58BF">
              <w:rPr>
                <w:noProof/>
                <w:webHidden/>
              </w:rPr>
              <w:tab/>
            </w:r>
            <w:r w:rsidR="00FD58BF">
              <w:rPr>
                <w:noProof/>
                <w:webHidden/>
              </w:rPr>
              <w:fldChar w:fldCharType="begin"/>
            </w:r>
            <w:r w:rsidR="00FD58BF">
              <w:rPr>
                <w:noProof/>
                <w:webHidden/>
              </w:rPr>
              <w:instrText xml:space="preserve"> PAGEREF _Toc178838693 \h </w:instrText>
            </w:r>
            <w:r w:rsidR="00FD58BF">
              <w:rPr>
                <w:noProof/>
                <w:webHidden/>
              </w:rPr>
            </w:r>
            <w:r w:rsidR="00FD58BF">
              <w:rPr>
                <w:noProof/>
                <w:webHidden/>
              </w:rPr>
              <w:fldChar w:fldCharType="separate"/>
            </w:r>
            <w:r w:rsidR="00FD58BF">
              <w:rPr>
                <w:noProof/>
                <w:webHidden/>
              </w:rPr>
              <w:t>908</w:t>
            </w:r>
            <w:r w:rsidR="00FD58BF">
              <w:rPr>
                <w:noProof/>
                <w:webHidden/>
              </w:rPr>
              <w:fldChar w:fldCharType="end"/>
            </w:r>
          </w:hyperlink>
        </w:p>
        <w:p w14:paraId="0B92569E" w14:textId="213643B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4" w:history="1">
            <w:r w:rsidR="00FD58BF" w:rsidRPr="003004E5">
              <w:rPr>
                <w:rStyle w:val="Lienhypertexte"/>
                <w:noProof/>
              </w:rPr>
              <w:t>24.13.3b Poutres et barres en bois lamellé collé en bloc à inertie variable CCTB 01.11</w:t>
            </w:r>
            <w:r w:rsidR="00FD58BF">
              <w:rPr>
                <w:noProof/>
                <w:webHidden/>
              </w:rPr>
              <w:tab/>
            </w:r>
            <w:r w:rsidR="00FD58BF">
              <w:rPr>
                <w:noProof/>
                <w:webHidden/>
              </w:rPr>
              <w:fldChar w:fldCharType="begin"/>
            </w:r>
            <w:r w:rsidR="00FD58BF">
              <w:rPr>
                <w:noProof/>
                <w:webHidden/>
              </w:rPr>
              <w:instrText xml:space="preserve"> PAGEREF _Toc178838694 \h </w:instrText>
            </w:r>
            <w:r w:rsidR="00FD58BF">
              <w:rPr>
                <w:noProof/>
                <w:webHidden/>
              </w:rPr>
            </w:r>
            <w:r w:rsidR="00FD58BF">
              <w:rPr>
                <w:noProof/>
                <w:webHidden/>
              </w:rPr>
              <w:fldChar w:fldCharType="separate"/>
            </w:r>
            <w:r w:rsidR="00FD58BF">
              <w:rPr>
                <w:noProof/>
                <w:webHidden/>
              </w:rPr>
              <w:t>910</w:t>
            </w:r>
            <w:r w:rsidR="00FD58BF">
              <w:rPr>
                <w:noProof/>
                <w:webHidden/>
              </w:rPr>
              <w:fldChar w:fldCharType="end"/>
            </w:r>
          </w:hyperlink>
        </w:p>
        <w:p w14:paraId="0811A612" w14:textId="62457F6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95" w:history="1">
            <w:r w:rsidR="00FD58BF" w:rsidRPr="003004E5">
              <w:rPr>
                <w:rStyle w:val="Lienhypertexte"/>
                <w:noProof/>
              </w:rPr>
              <w:t>24.13.4 Poutres et barres en CLT CCTB 01.07</w:t>
            </w:r>
            <w:r w:rsidR="00FD58BF">
              <w:rPr>
                <w:noProof/>
                <w:webHidden/>
              </w:rPr>
              <w:tab/>
            </w:r>
            <w:r w:rsidR="00FD58BF">
              <w:rPr>
                <w:noProof/>
                <w:webHidden/>
              </w:rPr>
              <w:fldChar w:fldCharType="begin"/>
            </w:r>
            <w:r w:rsidR="00FD58BF">
              <w:rPr>
                <w:noProof/>
                <w:webHidden/>
              </w:rPr>
              <w:instrText xml:space="preserve"> PAGEREF _Toc178838695 \h </w:instrText>
            </w:r>
            <w:r w:rsidR="00FD58BF">
              <w:rPr>
                <w:noProof/>
                <w:webHidden/>
              </w:rPr>
            </w:r>
            <w:r w:rsidR="00FD58BF">
              <w:rPr>
                <w:noProof/>
                <w:webHidden/>
              </w:rPr>
              <w:fldChar w:fldCharType="separate"/>
            </w:r>
            <w:r w:rsidR="00FD58BF">
              <w:rPr>
                <w:noProof/>
                <w:webHidden/>
              </w:rPr>
              <w:t>911</w:t>
            </w:r>
            <w:r w:rsidR="00FD58BF">
              <w:rPr>
                <w:noProof/>
                <w:webHidden/>
              </w:rPr>
              <w:fldChar w:fldCharType="end"/>
            </w:r>
          </w:hyperlink>
        </w:p>
        <w:p w14:paraId="281CBCA2" w14:textId="215151C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6" w:history="1">
            <w:r w:rsidR="00FD58BF" w:rsidRPr="003004E5">
              <w:rPr>
                <w:rStyle w:val="Lienhypertexte"/>
                <w:noProof/>
              </w:rPr>
              <w:t>24.13.4a Poutres et barres en CLT à inertie constante CCTB 01.11</w:t>
            </w:r>
            <w:r w:rsidR="00FD58BF">
              <w:rPr>
                <w:noProof/>
                <w:webHidden/>
              </w:rPr>
              <w:tab/>
            </w:r>
            <w:r w:rsidR="00FD58BF">
              <w:rPr>
                <w:noProof/>
                <w:webHidden/>
              </w:rPr>
              <w:fldChar w:fldCharType="begin"/>
            </w:r>
            <w:r w:rsidR="00FD58BF">
              <w:rPr>
                <w:noProof/>
                <w:webHidden/>
              </w:rPr>
              <w:instrText xml:space="preserve"> PAGEREF _Toc178838696 \h </w:instrText>
            </w:r>
            <w:r w:rsidR="00FD58BF">
              <w:rPr>
                <w:noProof/>
                <w:webHidden/>
              </w:rPr>
            </w:r>
            <w:r w:rsidR="00FD58BF">
              <w:rPr>
                <w:noProof/>
                <w:webHidden/>
              </w:rPr>
              <w:fldChar w:fldCharType="separate"/>
            </w:r>
            <w:r w:rsidR="00FD58BF">
              <w:rPr>
                <w:noProof/>
                <w:webHidden/>
              </w:rPr>
              <w:t>911</w:t>
            </w:r>
            <w:r w:rsidR="00FD58BF">
              <w:rPr>
                <w:noProof/>
                <w:webHidden/>
              </w:rPr>
              <w:fldChar w:fldCharType="end"/>
            </w:r>
          </w:hyperlink>
        </w:p>
        <w:p w14:paraId="717D6040" w14:textId="5D2E3E2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7" w:history="1">
            <w:r w:rsidR="00FD58BF" w:rsidRPr="003004E5">
              <w:rPr>
                <w:rStyle w:val="Lienhypertexte"/>
                <w:noProof/>
              </w:rPr>
              <w:t>24.13.4b Poutres et barres en CLT à inertie variable CCTB 01.11</w:t>
            </w:r>
            <w:r w:rsidR="00FD58BF">
              <w:rPr>
                <w:noProof/>
                <w:webHidden/>
              </w:rPr>
              <w:tab/>
            </w:r>
            <w:r w:rsidR="00FD58BF">
              <w:rPr>
                <w:noProof/>
                <w:webHidden/>
              </w:rPr>
              <w:fldChar w:fldCharType="begin"/>
            </w:r>
            <w:r w:rsidR="00FD58BF">
              <w:rPr>
                <w:noProof/>
                <w:webHidden/>
              </w:rPr>
              <w:instrText xml:space="preserve"> PAGEREF _Toc178838697 \h </w:instrText>
            </w:r>
            <w:r w:rsidR="00FD58BF">
              <w:rPr>
                <w:noProof/>
                <w:webHidden/>
              </w:rPr>
            </w:r>
            <w:r w:rsidR="00FD58BF">
              <w:rPr>
                <w:noProof/>
                <w:webHidden/>
              </w:rPr>
              <w:fldChar w:fldCharType="separate"/>
            </w:r>
            <w:r w:rsidR="00FD58BF">
              <w:rPr>
                <w:noProof/>
                <w:webHidden/>
              </w:rPr>
              <w:t>913</w:t>
            </w:r>
            <w:r w:rsidR="00FD58BF">
              <w:rPr>
                <w:noProof/>
                <w:webHidden/>
              </w:rPr>
              <w:fldChar w:fldCharType="end"/>
            </w:r>
          </w:hyperlink>
        </w:p>
        <w:p w14:paraId="71E26970" w14:textId="301945B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98" w:history="1">
            <w:r w:rsidR="00FD58BF" w:rsidRPr="003004E5">
              <w:rPr>
                <w:rStyle w:val="Lienhypertexte"/>
                <w:noProof/>
              </w:rPr>
              <w:t>24.13.5 Poutres et barres en LVL CCTB 01.07</w:t>
            </w:r>
            <w:r w:rsidR="00FD58BF">
              <w:rPr>
                <w:noProof/>
                <w:webHidden/>
              </w:rPr>
              <w:tab/>
            </w:r>
            <w:r w:rsidR="00FD58BF">
              <w:rPr>
                <w:noProof/>
                <w:webHidden/>
              </w:rPr>
              <w:fldChar w:fldCharType="begin"/>
            </w:r>
            <w:r w:rsidR="00FD58BF">
              <w:rPr>
                <w:noProof/>
                <w:webHidden/>
              </w:rPr>
              <w:instrText xml:space="preserve"> PAGEREF _Toc178838698 \h </w:instrText>
            </w:r>
            <w:r w:rsidR="00FD58BF">
              <w:rPr>
                <w:noProof/>
                <w:webHidden/>
              </w:rPr>
            </w:r>
            <w:r w:rsidR="00FD58BF">
              <w:rPr>
                <w:noProof/>
                <w:webHidden/>
              </w:rPr>
              <w:fldChar w:fldCharType="separate"/>
            </w:r>
            <w:r w:rsidR="00FD58BF">
              <w:rPr>
                <w:noProof/>
                <w:webHidden/>
              </w:rPr>
              <w:t>915</w:t>
            </w:r>
            <w:r w:rsidR="00FD58BF">
              <w:rPr>
                <w:noProof/>
                <w:webHidden/>
              </w:rPr>
              <w:fldChar w:fldCharType="end"/>
            </w:r>
          </w:hyperlink>
        </w:p>
        <w:p w14:paraId="15F3E700" w14:textId="46A51C4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9" w:history="1">
            <w:r w:rsidR="00FD58BF" w:rsidRPr="003004E5">
              <w:rPr>
                <w:rStyle w:val="Lienhypertexte"/>
                <w:noProof/>
              </w:rPr>
              <w:t>24.13.5a Poutres et barres en LVL à inertie constante CCTB 01.11</w:t>
            </w:r>
            <w:r w:rsidR="00FD58BF">
              <w:rPr>
                <w:noProof/>
                <w:webHidden/>
              </w:rPr>
              <w:tab/>
            </w:r>
            <w:r w:rsidR="00FD58BF">
              <w:rPr>
                <w:noProof/>
                <w:webHidden/>
              </w:rPr>
              <w:fldChar w:fldCharType="begin"/>
            </w:r>
            <w:r w:rsidR="00FD58BF">
              <w:rPr>
                <w:noProof/>
                <w:webHidden/>
              </w:rPr>
              <w:instrText xml:space="preserve"> PAGEREF _Toc178838699 \h </w:instrText>
            </w:r>
            <w:r w:rsidR="00FD58BF">
              <w:rPr>
                <w:noProof/>
                <w:webHidden/>
              </w:rPr>
            </w:r>
            <w:r w:rsidR="00FD58BF">
              <w:rPr>
                <w:noProof/>
                <w:webHidden/>
              </w:rPr>
              <w:fldChar w:fldCharType="separate"/>
            </w:r>
            <w:r w:rsidR="00FD58BF">
              <w:rPr>
                <w:noProof/>
                <w:webHidden/>
              </w:rPr>
              <w:t>916</w:t>
            </w:r>
            <w:r w:rsidR="00FD58BF">
              <w:rPr>
                <w:noProof/>
                <w:webHidden/>
              </w:rPr>
              <w:fldChar w:fldCharType="end"/>
            </w:r>
          </w:hyperlink>
        </w:p>
        <w:p w14:paraId="48F1A179" w14:textId="5421496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0" w:history="1">
            <w:r w:rsidR="00FD58BF" w:rsidRPr="003004E5">
              <w:rPr>
                <w:rStyle w:val="Lienhypertexte"/>
                <w:noProof/>
              </w:rPr>
              <w:t>24.13.5b Poutres et barres en LVL à inertie variable CCTB 01.11</w:t>
            </w:r>
            <w:r w:rsidR="00FD58BF">
              <w:rPr>
                <w:noProof/>
                <w:webHidden/>
              </w:rPr>
              <w:tab/>
            </w:r>
            <w:r w:rsidR="00FD58BF">
              <w:rPr>
                <w:noProof/>
                <w:webHidden/>
              </w:rPr>
              <w:fldChar w:fldCharType="begin"/>
            </w:r>
            <w:r w:rsidR="00FD58BF">
              <w:rPr>
                <w:noProof/>
                <w:webHidden/>
              </w:rPr>
              <w:instrText xml:space="preserve"> PAGEREF _Toc178838700 \h </w:instrText>
            </w:r>
            <w:r w:rsidR="00FD58BF">
              <w:rPr>
                <w:noProof/>
                <w:webHidden/>
              </w:rPr>
            </w:r>
            <w:r w:rsidR="00FD58BF">
              <w:rPr>
                <w:noProof/>
                <w:webHidden/>
              </w:rPr>
              <w:fldChar w:fldCharType="separate"/>
            </w:r>
            <w:r w:rsidR="00FD58BF">
              <w:rPr>
                <w:noProof/>
                <w:webHidden/>
              </w:rPr>
              <w:t>917</w:t>
            </w:r>
            <w:r w:rsidR="00FD58BF">
              <w:rPr>
                <w:noProof/>
                <w:webHidden/>
              </w:rPr>
              <w:fldChar w:fldCharType="end"/>
            </w:r>
          </w:hyperlink>
        </w:p>
        <w:p w14:paraId="78CC7AD1" w14:textId="35326F8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1" w:history="1">
            <w:r w:rsidR="00FD58BF" w:rsidRPr="003004E5">
              <w:rPr>
                <w:rStyle w:val="Lienhypertexte"/>
                <w:noProof/>
              </w:rPr>
              <w:t>24.13.6 Poutres et barres en LSL CCTB 01.07</w:t>
            </w:r>
            <w:r w:rsidR="00FD58BF">
              <w:rPr>
                <w:noProof/>
                <w:webHidden/>
              </w:rPr>
              <w:tab/>
            </w:r>
            <w:r w:rsidR="00FD58BF">
              <w:rPr>
                <w:noProof/>
                <w:webHidden/>
              </w:rPr>
              <w:fldChar w:fldCharType="begin"/>
            </w:r>
            <w:r w:rsidR="00FD58BF">
              <w:rPr>
                <w:noProof/>
                <w:webHidden/>
              </w:rPr>
              <w:instrText xml:space="preserve"> PAGEREF _Toc178838701 \h </w:instrText>
            </w:r>
            <w:r w:rsidR="00FD58BF">
              <w:rPr>
                <w:noProof/>
                <w:webHidden/>
              </w:rPr>
            </w:r>
            <w:r w:rsidR="00FD58BF">
              <w:rPr>
                <w:noProof/>
                <w:webHidden/>
              </w:rPr>
              <w:fldChar w:fldCharType="separate"/>
            </w:r>
            <w:r w:rsidR="00FD58BF">
              <w:rPr>
                <w:noProof/>
                <w:webHidden/>
              </w:rPr>
              <w:t>919</w:t>
            </w:r>
            <w:r w:rsidR="00FD58BF">
              <w:rPr>
                <w:noProof/>
                <w:webHidden/>
              </w:rPr>
              <w:fldChar w:fldCharType="end"/>
            </w:r>
          </w:hyperlink>
        </w:p>
        <w:p w14:paraId="5790984A" w14:textId="5FD424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2" w:history="1">
            <w:r w:rsidR="00FD58BF" w:rsidRPr="003004E5">
              <w:rPr>
                <w:rStyle w:val="Lienhypertexte"/>
                <w:noProof/>
              </w:rPr>
              <w:t>24.13.6a Poutres et barres en LSL à inertie constante CCTB 01.11</w:t>
            </w:r>
            <w:r w:rsidR="00FD58BF">
              <w:rPr>
                <w:noProof/>
                <w:webHidden/>
              </w:rPr>
              <w:tab/>
            </w:r>
            <w:r w:rsidR="00FD58BF">
              <w:rPr>
                <w:noProof/>
                <w:webHidden/>
              </w:rPr>
              <w:fldChar w:fldCharType="begin"/>
            </w:r>
            <w:r w:rsidR="00FD58BF">
              <w:rPr>
                <w:noProof/>
                <w:webHidden/>
              </w:rPr>
              <w:instrText xml:space="preserve"> PAGEREF _Toc178838702 \h </w:instrText>
            </w:r>
            <w:r w:rsidR="00FD58BF">
              <w:rPr>
                <w:noProof/>
                <w:webHidden/>
              </w:rPr>
            </w:r>
            <w:r w:rsidR="00FD58BF">
              <w:rPr>
                <w:noProof/>
                <w:webHidden/>
              </w:rPr>
              <w:fldChar w:fldCharType="separate"/>
            </w:r>
            <w:r w:rsidR="00FD58BF">
              <w:rPr>
                <w:noProof/>
                <w:webHidden/>
              </w:rPr>
              <w:t>920</w:t>
            </w:r>
            <w:r w:rsidR="00FD58BF">
              <w:rPr>
                <w:noProof/>
                <w:webHidden/>
              </w:rPr>
              <w:fldChar w:fldCharType="end"/>
            </w:r>
          </w:hyperlink>
        </w:p>
        <w:p w14:paraId="612F2C2B" w14:textId="11E99B9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3" w:history="1">
            <w:r w:rsidR="00FD58BF" w:rsidRPr="003004E5">
              <w:rPr>
                <w:rStyle w:val="Lienhypertexte"/>
                <w:noProof/>
              </w:rPr>
              <w:t>24.13.6b Poutres et barres en LSL à inertie variable CCTB 01.11</w:t>
            </w:r>
            <w:r w:rsidR="00FD58BF">
              <w:rPr>
                <w:noProof/>
                <w:webHidden/>
              </w:rPr>
              <w:tab/>
            </w:r>
            <w:r w:rsidR="00FD58BF">
              <w:rPr>
                <w:noProof/>
                <w:webHidden/>
              </w:rPr>
              <w:fldChar w:fldCharType="begin"/>
            </w:r>
            <w:r w:rsidR="00FD58BF">
              <w:rPr>
                <w:noProof/>
                <w:webHidden/>
              </w:rPr>
              <w:instrText xml:space="preserve"> PAGEREF _Toc178838703 \h </w:instrText>
            </w:r>
            <w:r w:rsidR="00FD58BF">
              <w:rPr>
                <w:noProof/>
                <w:webHidden/>
              </w:rPr>
            </w:r>
            <w:r w:rsidR="00FD58BF">
              <w:rPr>
                <w:noProof/>
                <w:webHidden/>
              </w:rPr>
              <w:fldChar w:fldCharType="separate"/>
            </w:r>
            <w:r w:rsidR="00FD58BF">
              <w:rPr>
                <w:noProof/>
                <w:webHidden/>
              </w:rPr>
              <w:t>921</w:t>
            </w:r>
            <w:r w:rsidR="00FD58BF">
              <w:rPr>
                <w:noProof/>
                <w:webHidden/>
              </w:rPr>
              <w:fldChar w:fldCharType="end"/>
            </w:r>
          </w:hyperlink>
        </w:p>
        <w:p w14:paraId="69BE4CED" w14:textId="2A2B3CA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4" w:history="1">
            <w:r w:rsidR="00FD58BF" w:rsidRPr="003004E5">
              <w:rPr>
                <w:rStyle w:val="Lienhypertexte"/>
                <w:noProof/>
              </w:rPr>
              <w:t>24.13.7 Poutres et barres en PSL CCTB 01.07</w:t>
            </w:r>
            <w:r w:rsidR="00FD58BF">
              <w:rPr>
                <w:noProof/>
                <w:webHidden/>
              </w:rPr>
              <w:tab/>
            </w:r>
            <w:r w:rsidR="00FD58BF">
              <w:rPr>
                <w:noProof/>
                <w:webHidden/>
              </w:rPr>
              <w:fldChar w:fldCharType="begin"/>
            </w:r>
            <w:r w:rsidR="00FD58BF">
              <w:rPr>
                <w:noProof/>
                <w:webHidden/>
              </w:rPr>
              <w:instrText xml:space="preserve"> PAGEREF _Toc178838704 \h </w:instrText>
            </w:r>
            <w:r w:rsidR="00FD58BF">
              <w:rPr>
                <w:noProof/>
                <w:webHidden/>
              </w:rPr>
            </w:r>
            <w:r w:rsidR="00FD58BF">
              <w:rPr>
                <w:noProof/>
                <w:webHidden/>
              </w:rPr>
              <w:fldChar w:fldCharType="separate"/>
            </w:r>
            <w:r w:rsidR="00FD58BF">
              <w:rPr>
                <w:noProof/>
                <w:webHidden/>
              </w:rPr>
              <w:t>923</w:t>
            </w:r>
            <w:r w:rsidR="00FD58BF">
              <w:rPr>
                <w:noProof/>
                <w:webHidden/>
              </w:rPr>
              <w:fldChar w:fldCharType="end"/>
            </w:r>
          </w:hyperlink>
        </w:p>
        <w:p w14:paraId="449A2219" w14:textId="7FAF013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5" w:history="1">
            <w:r w:rsidR="00FD58BF" w:rsidRPr="003004E5">
              <w:rPr>
                <w:rStyle w:val="Lienhypertexte"/>
                <w:noProof/>
              </w:rPr>
              <w:t>24.13.7a Poutres et barres en PSL à inertie constante CCTB 01.11</w:t>
            </w:r>
            <w:r w:rsidR="00FD58BF">
              <w:rPr>
                <w:noProof/>
                <w:webHidden/>
              </w:rPr>
              <w:tab/>
            </w:r>
            <w:r w:rsidR="00FD58BF">
              <w:rPr>
                <w:noProof/>
                <w:webHidden/>
              </w:rPr>
              <w:fldChar w:fldCharType="begin"/>
            </w:r>
            <w:r w:rsidR="00FD58BF">
              <w:rPr>
                <w:noProof/>
                <w:webHidden/>
              </w:rPr>
              <w:instrText xml:space="preserve"> PAGEREF _Toc178838705 \h </w:instrText>
            </w:r>
            <w:r w:rsidR="00FD58BF">
              <w:rPr>
                <w:noProof/>
                <w:webHidden/>
              </w:rPr>
            </w:r>
            <w:r w:rsidR="00FD58BF">
              <w:rPr>
                <w:noProof/>
                <w:webHidden/>
              </w:rPr>
              <w:fldChar w:fldCharType="separate"/>
            </w:r>
            <w:r w:rsidR="00FD58BF">
              <w:rPr>
                <w:noProof/>
                <w:webHidden/>
              </w:rPr>
              <w:t>923</w:t>
            </w:r>
            <w:r w:rsidR="00FD58BF">
              <w:rPr>
                <w:noProof/>
                <w:webHidden/>
              </w:rPr>
              <w:fldChar w:fldCharType="end"/>
            </w:r>
          </w:hyperlink>
        </w:p>
        <w:p w14:paraId="681AF88A" w14:textId="34AB73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6" w:history="1">
            <w:r w:rsidR="00FD58BF" w:rsidRPr="003004E5">
              <w:rPr>
                <w:rStyle w:val="Lienhypertexte"/>
                <w:noProof/>
              </w:rPr>
              <w:t>24.13.7b Poutres et barres en PSL à inertie variable CCTB 01.11</w:t>
            </w:r>
            <w:r w:rsidR="00FD58BF">
              <w:rPr>
                <w:noProof/>
                <w:webHidden/>
              </w:rPr>
              <w:tab/>
            </w:r>
            <w:r w:rsidR="00FD58BF">
              <w:rPr>
                <w:noProof/>
                <w:webHidden/>
              </w:rPr>
              <w:fldChar w:fldCharType="begin"/>
            </w:r>
            <w:r w:rsidR="00FD58BF">
              <w:rPr>
                <w:noProof/>
                <w:webHidden/>
              </w:rPr>
              <w:instrText xml:space="preserve"> PAGEREF _Toc178838706 \h </w:instrText>
            </w:r>
            <w:r w:rsidR="00FD58BF">
              <w:rPr>
                <w:noProof/>
                <w:webHidden/>
              </w:rPr>
            </w:r>
            <w:r w:rsidR="00FD58BF">
              <w:rPr>
                <w:noProof/>
                <w:webHidden/>
              </w:rPr>
              <w:fldChar w:fldCharType="separate"/>
            </w:r>
            <w:r w:rsidR="00FD58BF">
              <w:rPr>
                <w:noProof/>
                <w:webHidden/>
              </w:rPr>
              <w:t>925</w:t>
            </w:r>
            <w:r w:rsidR="00FD58BF">
              <w:rPr>
                <w:noProof/>
                <w:webHidden/>
              </w:rPr>
              <w:fldChar w:fldCharType="end"/>
            </w:r>
          </w:hyperlink>
        </w:p>
        <w:p w14:paraId="6DBDAFB4" w14:textId="60A6654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7" w:history="1">
            <w:r w:rsidR="00FD58BF" w:rsidRPr="003004E5">
              <w:rPr>
                <w:rStyle w:val="Lienhypertexte"/>
                <w:noProof/>
              </w:rPr>
              <w:t>24.13.8 Poutres et barres faites de produits manufacturés en bois CCTB 01.07</w:t>
            </w:r>
            <w:r w:rsidR="00FD58BF">
              <w:rPr>
                <w:noProof/>
                <w:webHidden/>
              </w:rPr>
              <w:tab/>
            </w:r>
            <w:r w:rsidR="00FD58BF">
              <w:rPr>
                <w:noProof/>
                <w:webHidden/>
              </w:rPr>
              <w:fldChar w:fldCharType="begin"/>
            </w:r>
            <w:r w:rsidR="00FD58BF">
              <w:rPr>
                <w:noProof/>
                <w:webHidden/>
              </w:rPr>
              <w:instrText xml:space="preserve"> PAGEREF _Toc178838707 \h </w:instrText>
            </w:r>
            <w:r w:rsidR="00FD58BF">
              <w:rPr>
                <w:noProof/>
                <w:webHidden/>
              </w:rPr>
            </w:r>
            <w:r w:rsidR="00FD58BF">
              <w:rPr>
                <w:noProof/>
                <w:webHidden/>
              </w:rPr>
              <w:fldChar w:fldCharType="separate"/>
            </w:r>
            <w:r w:rsidR="00FD58BF">
              <w:rPr>
                <w:noProof/>
                <w:webHidden/>
              </w:rPr>
              <w:t>927</w:t>
            </w:r>
            <w:r w:rsidR="00FD58BF">
              <w:rPr>
                <w:noProof/>
                <w:webHidden/>
              </w:rPr>
              <w:fldChar w:fldCharType="end"/>
            </w:r>
          </w:hyperlink>
        </w:p>
        <w:p w14:paraId="210A89F9" w14:textId="0910980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8" w:history="1">
            <w:r w:rsidR="00FD58BF" w:rsidRPr="003004E5">
              <w:rPr>
                <w:rStyle w:val="Lienhypertexte"/>
                <w:noProof/>
              </w:rPr>
              <w:t>24.13.8a Poutres et barres faites de profilés en I à âme en bois CCTB 01.07</w:t>
            </w:r>
            <w:r w:rsidR="00FD58BF">
              <w:rPr>
                <w:noProof/>
                <w:webHidden/>
              </w:rPr>
              <w:tab/>
            </w:r>
            <w:r w:rsidR="00FD58BF">
              <w:rPr>
                <w:noProof/>
                <w:webHidden/>
              </w:rPr>
              <w:fldChar w:fldCharType="begin"/>
            </w:r>
            <w:r w:rsidR="00FD58BF">
              <w:rPr>
                <w:noProof/>
                <w:webHidden/>
              </w:rPr>
              <w:instrText xml:space="preserve"> PAGEREF _Toc178838708 \h </w:instrText>
            </w:r>
            <w:r w:rsidR="00FD58BF">
              <w:rPr>
                <w:noProof/>
                <w:webHidden/>
              </w:rPr>
            </w:r>
            <w:r w:rsidR="00FD58BF">
              <w:rPr>
                <w:noProof/>
                <w:webHidden/>
              </w:rPr>
              <w:fldChar w:fldCharType="separate"/>
            </w:r>
            <w:r w:rsidR="00FD58BF">
              <w:rPr>
                <w:noProof/>
                <w:webHidden/>
              </w:rPr>
              <w:t>927</w:t>
            </w:r>
            <w:r w:rsidR="00FD58BF">
              <w:rPr>
                <w:noProof/>
                <w:webHidden/>
              </w:rPr>
              <w:fldChar w:fldCharType="end"/>
            </w:r>
          </w:hyperlink>
        </w:p>
        <w:p w14:paraId="2C5BD96B" w14:textId="2B388A6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9" w:history="1">
            <w:r w:rsidR="00FD58BF" w:rsidRPr="003004E5">
              <w:rPr>
                <w:rStyle w:val="Lienhypertexte"/>
                <w:noProof/>
              </w:rPr>
              <w:t>24.13.8b Poutres et barres faites de profilés en I à âmes en métal CCTB 01.07</w:t>
            </w:r>
            <w:r w:rsidR="00FD58BF">
              <w:rPr>
                <w:noProof/>
                <w:webHidden/>
              </w:rPr>
              <w:tab/>
            </w:r>
            <w:r w:rsidR="00FD58BF">
              <w:rPr>
                <w:noProof/>
                <w:webHidden/>
              </w:rPr>
              <w:fldChar w:fldCharType="begin"/>
            </w:r>
            <w:r w:rsidR="00FD58BF">
              <w:rPr>
                <w:noProof/>
                <w:webHidden/>
              </w:rPr>
              <w:instrText xml:space="preserve"> PAGEREF _Toc178838709 \h </w:instrText>
            </w:r>
            <w:r w:rsidR="00FD58BF">
              <w:rPr>
                <w:noProof/>
                <w:webHidden/>
              </w:rPr>
            </w:r>
            <w:r w:rsidR="00FD58BF">
              <w:rPr>
                <w:noProof/>
                <w:webHidden/>
              </w:rPr>
              <w:fldChar w:fldCharType="separate"/>
            </w:r>
            <w:r w:rsidR="00FD58BF">
              <w:rPr>
                <w:noProof/>
                <w:webHidden/>
              </w:rPr>
              <w:t>928</w:t>
            </w:r>
            <w:r w:rsidR="00FD58BF">
              <w:rPr>
                <w:noProof/>
                <w:webHidden/>
              </w:rPr>
              <w:fldChar w:fldCharType="end"/>
            </w:r>
          </w:hyperlink>
        </w:p>
        <w:p w14:paraId="5AB0AE0B" w14:textId="52FA643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0" w:history="1">
            <w:r w:rsidR="00FD58BF" w:rsidRPr="003004E5">
              <w:rPr>
                <w:rStyle w:val="Lienhypertexte"/>
                <w:noProof/>
              </w:rPr>
              <w:t>24.13.8c Poutres et barres faites de profilés en treillis à diagonales en bois CCTB 01.07</w:t>
            </w:r>
            <w:r w:rsidR="00FD58BF">
              <w:rPr>
                <w:noProof/>
                <w:webHidden/>
              </w:rPr>
              <w:tab/>
            </w:r>
            <w:r w:rsidR="00FD58BF">
              <w:rPr>
                <w:noProof/>
                <w:webHidden/>
              </w:rPr>
              <w:fldChar w:fldCharType="begin"/>
            </w:r>
            <w:r w:rsidR="00FD58BF">
              <w:rPr>
                <w:noProof/>
                <w:webHidden/>
              </w:rPr>
              <w:instrText xml:space="preserve"> PAGEREF _Toc178838710 \h </w:instrText>
            </w:r>
            <w:r w:rsidR="00FD58BF">
              <w:rPr>
                <w:noProof/>
                <w:webHidden/>
              </w:rPr>
            </w:r>
            <w:r w:rsidR="00FD58BF">
              <w:rPr>
                <w:noProof/>
                <w:webHidden/>
              </w:rPr>
              <w:fldChar w:fldCharType="separate"/>
            </w:r>
            <w:r w:rsidR="00FD58BF">
              <w:rPr>
                <w:noProof/>
                <w:webHidden/>
              </w:rPr>
              <w:t>928</w:t>
            </w:r>
            <w:r w:rsidR="00FD58BF">
              <w:rPr>
                <w:noProof/>
                <w:webHidden/>
              </w:rPr>
              <w:fldChar w:fldCharType="end"/>
            </w:r>
          </w:hyperlink>
        </w:p>
        <w:p w14:paraId="4711C379" w14:textId="39C3ADB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1" w:history="1">
            <w:r w:rsidR="00FD58BF" w:rsidRPr="003004E5">
              <w:rPr>
                <w:rStyle w:val="Lienhypertexte"/>
                <w:noProof/>
              </w:rPr>
              <w:t>24.13.8d Poutres et barres faites de profilés en treillis à diagonales métalliques CCTB 01.07</w:t>
            </w:r>
            <w:r w:rsidR="00FD58BF">
              <w:rPr>
                <w:noProof/>
                <w:webHidden/>
              </w:rPr>
              <w:tab/>
            </w:r>
            <w:r w:rsidR="00FD58BF">
              <w:rPr>
                <w:noProof/>
                <w:webHidden/>
              </w:rPr>
              <w:fldChar w:fldCharType="begin"/>
            </w:r>
            <w:r w:rsidR="00FD58BF">
              <w:rPr>
                <w:noProof/>
                <w:webHidden/>
              </w:rPr>
              <w:instrText xml:space="preserve"> PAGEREF _Toc178838711 \h </w:instrText>
            </w:r>
            <w:r w:rsidR="00FD58BF">
              <w:rPr>
                <w:noProof/>
                <w:webHidden/>
              </w:rPr>
            </w:r>
            <w:r w:rsidR="00FD58BF">
              <w:rPr>
                <w:noProof/>
                <w:webHidden/>
              </w:rPr>
              <w:fldChar w:fldCharType="separate"/>
            </w:r>
            <w:r w:rsidR="00FD58BF">
              <w:rPr>
                <w:noProof/>
                <w:webHidden/>
              </w:rPr>
              <w:t>929</w:t>
            </w:r>
            <w:r w:rsidR="00FD58BF">
              <w:rPr>
                <w:noProof/>
                <w:webHidden/>
              </w:rPr>
              <w:fldChar w:fldCharType="end"/>
            </w:r>
          </w:hyperlink>
        </w:p>
        <w:p w14:paraId="0F84CCE1" w14:textId="72DD726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12" w:history="1">
            <w:r w:rsidR="00FD58BF" w:rsidRPr="003004E5">
              <w:rPr>
                <w:rStyle w:val="Lienhypertexte"/>
                <w:noProof/>
              </w:rPr>
              <w:t>24.14 Planchers en bois CCTB 01.11</w:t>
            </w:r>
            <w:r w:rsidR="00FD58BF">
              <w:rPr>
                <w:noProof/>
                <w:webHidden/>
              </w:rPr>
              <w:tab/>
            </w:r>
            <w:r w:rsidR="00FD58BF">
              <w:rPr>
                <w:noProof/>
                <w:webHidden/>
              </w:rPr>
              <w:fldChar w:fldCharType="begin"/>
            </w:r>
            <w:r w:rsidR="00FD58BF">
              <w:rPr>
                <w:noProof/>
                <w:webHidden/>
              </w:rPr>
              <w:instrText xml:space="preserve"> PAGEREF _Toc178838712 \h </w:instrText>
            </w:r>
            <w:r w:rsidR="00FD58BF">
              <w:rPr>
                <w:noProof/>
                <w:webHidden/>
              </w:rPr>
            </w:r>
            <w:r w:rsidR="00FD58BF">
              <w:rPr>
                <w:noProof/>
                <w:webHidden/>
              </w:rPr>
              <w:fldChar w:fldCharType="separate"/>
            </w:r>
            <w:r w:rsidR="00FD58BF">
              <w:rPr>
                <w:noProof/>
                <w:webHidden/>
              </w:rPr>
              <w:t>930</w:t>
            </w:r>
            <w:r w:rsidR="00FD58BF">
              <w:rPr>
                <w:noProof/>
                <w:webHidden/>
              </w:rPr>
              <w:fldChar w:fldCharType="end"/>
            </w:r>
          </w:hyperlink>
        </w:p>
        <w:p w14:paraId="74B497FF" w14:textId="232514A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3" w:history="1">
            <w:r w:rsidR="00FD58BF" w:rsidRPr="003004E5">
              <w:rPr>
                <w:rStyle w:val="Lienhypertexte"/>
                <w:noProof/>
              </w:rPr>
              <w:t>24.14.1 Planchers en CLT CCTB 01.11</w:t>
            </w:r>
            <w:r w:rsidR="00FD58BF">
              <w:rPr>
                <w:noProof/>
                <w:webHidden/>
              </w:rPr>
              <w:tab/>
            </w:r>
            <w:r w:rsidR="00FD58BF">
              <w:rPr>
                <w:noProof/>
                <w:webHidden/>
              </w:rPr>
              <w:fldChar w:fldCharType="begin"/>
            </w:r>
            <w:r w:rsidR="00FD58BF">
              <w:rPr>
                <w:noProof/>
                <w:webHidden/>
              </w:rPr>
              <w:instrText xml:space="preserve"> PAGEREF _Toc178838713 \h </w:instrText>
            </w:r>
            <w:r w:rsidR="00FD58BF">
              <w:rPr>
                <w:noProof/>
                <w:webHidden/>
              </w:rPr>
            </w:r>
            <w:r w:rsidR="00FD58BF">
              <w:rPr>
                <w:noProof/>
                <w:webHidden/>
              </w:rPr>
              <w:fldChar w:fldCharType="separate"/>
            </w:r>
            <w:r w:rsidR="00FD58BF">
              <w:rPr>
                <w:noProof/>
                <w:webHidden/>
              </w:rPr>
              <w:t>931</w:t>
            </w:r>
            <w:r w:rsidR="00FD58BF">
              <w:rPr>
                <w:noProof/>
                <w:webHidden/>
              </w:rPr>
              <w:fldChar w:fldCharType="end"/>
            </w:r>
          </w:hyperlink>
        </w:p>
        <w:p w14:paraId="4F37FDAF" w14:textId="074E8FE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4" w:history="1">
            <w:r w:rsidR="00FD58BF" w:rsidRPr="003004E5">
              <w:rPr>
                <w:rStyle w:val="Lienhypertexte"/>
                <w:noProof/>
              </w:rPr>
              <w:t>24.14.1a Planchers massifs en CLT collés CCTB 01.11</w:t>
            </w:r>
            <w:r w:rsidR="00FD58BF">
              <w:rPr>
                <w:noProof/>
                <w:webHidden/>
              </w:rPr>
              <w:tab/>
            </w:r>
            <w:r w:rsidR="00FD58BF">
              <w:rPr>
                <w:noProof/>
                <w:webHidden/>
              </w:rPr>
              <w:fldChar w:fldCharType="begin"/>
            </w:r>
            <w:r w:rsidR="00FD58BF">
              <w:rPr>
                <w:noProof/>
                <w:webHidden/>
              </w:rPr>
              <w:instrText xml:space="preserve"> PAGEREF _Toc178838714 \h </w:instrText>
            </w:r>
            <w:r w:rsidR="00FD58BF">
              <w:rPr>
                <w:noProof/>
                <w:webHidden/>
              </w:rPr>
            </w:r>
            <w:r w:rsidR="00FD58BF">
              <w:rPr>
                <w:noProof/>
                <w:webHidden/>
              </w:rPr>
              <w:fldChar w:fldCharType="separate"/>
            </w:r>
            <w:r w:rsidR="00FD58BF">
              <w:rPr>
                <w:noProof/>
                <w:webHidden/>
              </w:rPr>
              <w:t>935</w:t>
            </w:r>
            <w:r w:rsidR="00FD58BF">
              <w:rPr>
                <w:noProof/>
                <w:webHidden/>
              </w:rPr>
              <w:fldChar w:fldCharType="end"/>
            </w:r>
          </w:hyperlink>
        </w:p>
        <w:p w14:paraId="320BF9B8" w14:textId="7D5A2ED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5" w:history="1">
            <w:r w:rsidR="00FD58BF" w:rsidRPr="003004E5">
              <w:rPr>
                <w:rStyle w:val="Lienhypertexte"/>
                <w:noProof/>
              </w:rPr>
              <w:t>24.14.1b Planchers massifs en CLT cloués collés CCTB 01.11</w:t>
            </w:r>
            <w:r w:rsidR="00FD58BF">
              <w:rPr>
                <w:noProof/>
                <w:webHidden/>
              </w:rPr>
              <w:tab/>
            </w:r>
            <w:r w:rsidR="00FD58BF">
              <w:rPr>
                <w:noProof/>
                <w:webHidden/>
              </w:rPr>
              <w:fldChar w:fldCharType="begin"/>
            </w:r>
            <w:r w:rsidR="00FD58BF">
              <w:rPr>
                <w:noProof/>
                <w:webHidden/>
              </w:rPr>
              <w:instrText xml:space="preserve"> PAGEREF _Toc178838715 \h </w:instrText>
            </w:r>
            <w:r w:rsidR="00FD58BF">
              <w:rPr>
                <w:noProof/>
                <w:webHidden/>
              </w:rPr>
            </w:r>
            <w:r w:rsidR="00FD58BF">
              <w:rPr>
                <w:noProof/>
                <w:webHidden/>
              </w:rPr>
              <w:fldChar w:fldCharType="separate"/>
            </w:r>
            <w:r w:rsidR="00FD58BF">
              <w:rPr>
                <w:noProof/>
                <w:webHidden/>
              </w:rPr>
              <w:t>938</w:t>
            </w:r>
            <w:r w:rsidR="00FD58BF">
              <w:rPr>
                <w:noProof/>
                <w:webHidden/>
              </w:rPr>
              <w:fldChar w:fldCharType="end"/>
            </w:r>
          </w:hyperlink>
        </w:p>
        <w:p w14:paraId="1077C4D7" w14:textId="4BAD4A1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6" w:history="1">
            <w:r w:rsidR="00FD58BF" w:rsidRPr="003004E5">
              <w:rPr>
                <w:rStyle w:val="Lienhypertexte"/>
                <w:noProof/>
              </w:rPr>
              <w:t>24.14.1c Planchers massifs en CLT chevillés CCTB 01.11</w:t>
            </w:r>
            <w:r w:rsidR="00FD58BF">
              <w:rPr>
                <w:noProof/>
                <w:webHidden/>
              </w:rPr>
              <w:tab/>
            </w:r>
            <w:r w:rsidR="00FD58BF">
              <w:rPr>
                <w:noProof/>
                <w:webHidden/>
              </w:rPr>
              <w:fldChar w:fldCharType="begin"/>
            </w:r>
            <w:r w:rsidR="00FD58BF">
              <w:rPr>
                <w:noProof/>
                <w:webHidden/>
              </w:rPr>
              <w:instrText xml:space="preserve"> PAGEREF _Toc178838716 \h </w:instrText>
            </w:r>
            <w:r w:rsidR="00FD58BF">
              <w:rPr>
                <w:noProof/>
                <w:webHidden/>
              </w:rPr>
            </w:r>
            <w:r w:rsidR="00FD58BF">
              <w:rPr>
                <w:noProof/>
                <w:webHidden/>
              </w:rPr>
              <w:fldChar w:fldCharType="separate"/>
            </w:r>
            <w:r w:rsidR="00FD58BF">
              <w:rPr>
                <w:noProof/>
                <w:webHidden/>
              </w:rPr>
              <w:t>942</w:t>
            </w:r>
            <w:r w:rsidR="00FD58BF">
              <w:rPr>
                <w:noProof/>
                <w:webHidden/>
              </w:rPr>
              <w:fldChar w:fldCharType="end"/>
            </w:r>
          </w:hyperlink>
        </w:p>
        <w:p w14:paraId="5DC71A09" w14:textId="6D4219C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7" w:history="1">
            <w:r w:rsidR="00FD58BF" w:rsidRPr="003004E5">
              <w:rPr>
                <w:rStyle w:val="Lienhypertexte"/>
                <w:noProof/>
              </w:rPr>
              <w:t>24.14.2 Planchers en LVL CCTB 01.10</w:t>
            </w:r>
            <w:r w:rsidR="00FD58BF">
              <w:rPr>
                <w:noProof/>
                <w:webHidden/>
              </w:rPr>
              <w:tab/>
            </w:r>
            <w:r w:rsidR="00FD58BF">
              <w:rPr>
                <w:noProof/>
                <w:webHidden/>
              </w:rPr>
              <w:fldChar w:fldCharType="begin"/>
            </w:r>
            <w:r w:rsidR="00FD58BF">
              <w:rPr>
                <w:noProof/>
                <w:webHidden/>
              </w:rPr>
              <w:instrText xml:space="preserve"> PAGEREF _Toc178838717 \h </w:instrText>
            </w:r>
            <w:r w:rsidR="00FD58BF">
              <w:rPr>
                <w:noProof/>
                <w:webHidden/>
              </w:rPr>
            </w:r>
            <w:r w:rsidR="00FD58BF">
              <w:rPr>
                <w:noProof/>
                <w:webHidden/>
              </w:rPr>
              <w:fldChar w:fldCharType="separate"/>
            </w:r>
            <w:r w:rsidR="00FD58BF">
              <w:rPr>
                <w:noProof/>
                <w:webHidden/>
              </w:rPr>
              <w:t>945</w:t>
            </w:r>
            <w:r w:rsidR="00FD58BF">
              <w:rPr>
                <w:noProof/>
                <w:webHidden/>
              </w:rPr>
              <w:fldChar w:fldCharType="end"/>
            </w:r>
          </w:hyperlink>
        </w:p>
        <w:p w14:paraId="3A3EB25F" w14:textId="62B11A5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8" w:history="1">
            <w:r w:rsidR="00FD58BF" w:rsidRPr="003004E5">
              <w:rPr>
                <w:rStyle w:val="Lienhypertexte"/>
                <w:noProof/>
              </w:rPr>
              <w:t>24.14.2a Planchers en LVL CCTB 01.11</w:t>
            </w:r>
            <w:r w:rsidR="00FD58BF">
              <w:rPr>
                <w:noProof/>
                <w:webHidden/>
              </w:rPr>
              <w:tab/>
            </w:r>
            <w:r w:rsidR="00FD58BF">
              <w:rPr>
                <w:noProof/>
                <w:webHidden/>
              </w:rPr>
              <w:fldChar w:fldCharType="begin"/>
            </w:r>
            <w:r w:rsidR="00FD58BF">
              <w:rPr>
                <w:noProof/>
                <w:webHidden/>
              </w:rPr>
              <w:instrText xml:space="preserve"> PAGEREF _Toc178838718 \h </w:instrText>
            </w:r>
            <w:r w:rsidR="00FD58BF">
              <w:rPr>
                <w:noProof/>
                <w:webHidden/>
              </w:rPr>
            </w:r>
            <w:r w:rsidR="00FD58BF">
              <w:rPr>
                <w:noProof/>
                <w:webHidden/>
              </w:rPr>
              <w:fldChar w:fldCharType="separate"/>
            </w:r>
            <w:r w:rsidR="00FD58BF">
              <w:rPr>
                <w:noProof/>
                <w:webHidden/>
              </w:rPr>
              <w:t>945</w:t>
            </w:r>
            <w:r w:rsidR="00FD58BF">
              <w:rPr>
                <w:noProof/>
                <w:webHidden/>
              </w:rPr>
              <w:fldChar w:fldCharType="end"/>
            </w:r>
          </w:hyperlink>
        </w:p>
        <w:p w14:paraId="124DBDF5" w14:textId="7AA176E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19" w:history="1">
            <w:r w:rsidR="00FD58BF" w:rsidRPr="003004E5">
              <w:rPr>
                <w:rStyle w:val="Lienhypertexte"/>
                <w:noProof/>
              </w:rPr>
              <w:t>24.15 Voiles en bois CCTB 01.11</w:t>
            </w:r>
            <w:r w:rsidR="00FD58BF">
              <w:rPr>
                <w:noProof/>
                <w:webHidden/>
              </w:rPr>
              <w:tab/>
            </w:r>
            <w:r w:rsidR="00FD58BF">
              <w:rPr>
                <w:noProof/>
                <w:webHidden/>
              </w:rPr>
              <w:fldChar w:fldCharType="begin"/>
            </w:r>
            <w:r w:rsidR="00FD58BF">
              <w:rPr>
                <w:noProof/>
                <w:webHidden/>
              </w:rPr>
              <w:instrText xml:space="preserve"> PAGEREF _Toc178838719 \h </w:instrText>
            </w:r>
            <w:r w:rsidR="00FD58BF">
              <w:rPr>
                <w:noProof/>
                <w:webHidden/>
              </w:rPr>
            </w:r>
            <w:r w:rsidR="00FD58BF">
              <w:rPr>
                <w:noProof/>
                <w:webHidden/>
              </w:rPr>
              <w:fldChar w:fldCharType="separate"/>
            </w:r>
            <w:r w:rsidR="00FD58BF">
              <w:rPr>
                <w:noProof/>
                <w:webHidden/>
              </w:rPr>
              <w:t>946</w:t>
            </w:r>
            <w:r w:rsidR="00FD58BF">
              <w:rPr>
                <w:noProof/>
                <w:webHidden/>
              </w:rPr>
              <w:fldChar w:fldCharType="end"/>
            </w:r>
          </w:hyperlink>
        </w:p>
        <w:p w14:paraId="4B7D1281" w14:textId="3B24704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20" w:history="1">
            <w:r w:rsidR="00FD58BF" w:rsidRPr="003004E5">
              <w:rPr>
                <w:rStyle w:val="Lienhypertexte"/>
                <w:noProof/>
              </w:rPr>
              <w:t>24.15.1 Voiles en CLT CCTB 01.11</w:t>
            </w:r>
            <w:r w:rsidR="00FD58BF">
              <w:rPr>
                <w:noProof/>
                <w:webHidden/>
              </w:rPr>
              <w:tab/>
            </w:r>
            <w:r w:rsidR="00FD58BF">
              <w:rPr>
                <w:noProof/>
                <w:webHidden/>
              </w:rPr>
              <w:fldChar w:fldCharType="begin"/>
            </w:r>
            <w:r w:rsidR="00FD58BF">
              <w:rPr>
                <w:noProof/>
                <w:webHidden/>
              </w:rPr>
              <w:instrText xml:space="preserve"> PAGEREF _Toc178838720 \h </w:instrText>
            </w:r>
            <w:r w:rsidR="00FD58BF">
              <w:rPr>
                <w:noProof/>
                <w:webHidden/>
              </w:rPr>
            </w:r>
            <w:r w:rsidR="00FD58BF">
              <w:rPr>
                <w:noProof/>
                <w:webHidden/>
              </w:rPr>
              <w:fldChar w:fldCharType="separate"/>
            </w:r>
            <w:r w:rsidR="00FD58BF">
              <w:rPr>
                <w:noProof/>
                <w:webHidden/>
              </w:rPr>
              <w:t>948</w:t>
            </w:r>
            <w:r w:rsidR="00FD58BF">
              <w:rPr>
                <w:noProof/>
                <w:webHidden/>
              </w:rPr>
              <w:fldChar w:fldCharType="end"/>
            </w:r>
          </w:hyperlink>
        </w:p>
        <w:p w14:paraId="183BC90A" w14:textId="620BB2F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1" w:history="1">
            <w:r w:rsidR="00FD58BF" w:rsidRPr="003004E5">
              <w:rPr>
                <w:rStyle w:val="Lienhypertexte"/>
                <w:noProof/>
              </w:rPr>
              <w:t>24.15.1a Voiles massifs en CLT collés CCTB 01.11</w:t>
            </w:r>
            <w:r w:rsidR="00FD58BF">
              <w:rPr>
                <w:noProof/>
                <w:webHidden/>
              </w:rPr>
              <w:tab/>
            </w:r>
            <w:r w:rsidR="00FD58BF">
              <w:rPr>
                <w:noProof/>
                <w:webHidden/>
              </w:rPr>
              <w:fldChar w:fldCharType="begin"/>
            </w:r>
            <w:r w:rsidR="00FD58BF">
              <w:rPr>
                <w:noProof/>
                <w:webHidden/>
              </w:rPr>
              <w:instrText xml:space="preserve"> PAGEREF _Toc178838721 \h </w:instrText>
            </w:r>
            <w:r w:rsidR="00FD58BF">
              <w:rPr>
                <w:noProof/>
                <w:webHidden/>
              </w:rPr>
            </w:r>
            <w:r w:rsidR="00FD58BF">
              <w:rPr>
                <w:noProof/>
                <w:webHidden/>
              </w:rPr>
              <w:fldChar w:fldCharType="separate"/>
            </w:r>
            <w:r w:rsidR="00FD58BF">
              <w:rPr>
                <w:noProof/>
                <w:webHidden/>
              </w:rPr>
              <w:t>952</w:t>
            </w:r>
            <w:r w:rsidR="00FD58BF">
              <w:rPr>
                <w:noProof/>
                <w:webHidden/>
              </w:rPr>
              <w:fldChar w:fldCharType="end"/>
            </w:r>
          </w:hyperlink>
        </w:p>
        <w:p w14:paraId="489C46DF" w14:textId="51559B1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2" w:history="1">
            <w:r w:rsidR="00FD58BF" w:rsidRPr="003004E5">
              <w:rPr>
                <w:rStyle w:val="Lienhypertexte"/>
                <w:noProof/>
              </w:rPr>
              <w:t>24.15.1b Voiles massifs en CLT cloués CCTB 01.12</w:t>
            </w:r>
            <w:r w:rsidR="00FD58BF">
              <w:rPr>
                <w:noProof/>
                <w:webHidden/>
              </w:rPr>
              <w:tab/>
            </w:r>
            <w:r w:rsidR="00FD58BF">
              <w:rPr>
                <w:noProof/>
                <w:webHidden/>
              </w:rPr>
              <w:fldChar w:fldCharType="begin"/>
            </w:r>
            <w:r w:rsidR="00FD58BF">
              <w:rPr>
                <w:noProof/>
                <w:webHidden/>
              </w:rPr>
              <w:instrText xml:space="preserve"> PAGEREF _Toc178838722 \h </w:instrText>
            </w:r>
            <w:r w:rsidR="00FD58BF">
              <w:rPr>
                <w:noProof/>
                <w:webHidden/>
              </w:rPr>
            </w:r>
            <w:r w:rsidR="00FD58BF">
              <w:rPr>
                <w:noProof/>
                <w:webHidden/>
              </w:rPr>
              <w:fldChar w:fldCharType="separate"/>
            </w:r>
            <w:r w:rsidR="00FD58BF">
              <w:rPr>
                <w:noProof/>
                <w:webHidden/>
              </w:rPr>
              <w:t>956</w:t>
            </w:r>
            <w:r w:rsidR="00FD58BF">
              <w:rPr>
                <w:noProof/>
                <w:webHidden/>
              </w:rPr>
              <w:fldChar w:fldCharType="end"/>
            </w:r>
          </w:hyperlink>
        </w:p>
        <w:p w14:paraId="2E57A25E" w14:textId="19AF184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3" w:history="1">
            <w:r w:rsidR="00FD58BF" w:rsidRPr="003004E5">
              <w:rPr>
                <w:rStyle w:val="Lienhypertexte"/>
                <w:noProof/>
              </w:rPr>
              <w:t>24.15.1c Voiles massifs en CLT cloués collés CCTB 01.11</w:t>
            </w:r>
            <w:r w:rsidR="00FD58BF">
              <w:rPr>
                <w:noProof/>
                <w:webHidden/>
              </w:rPr>
              <w:tab/>
            </w:r>
            <w:r w:rsidR="00FD58BF">
              <w:rPr>
                <w:noProof/>
                <w:webHidden/>
              </w:rPr>
              <w:fldChar w:fldCharType="begin"/>
            </w:r>
            <w:r w:rsidR="00FD58BF">
              <w:rPr>
                <w:noProof/>
                <w:webHidden/>
              </w:rPr>
              <w:instrText xml:space="preserve"> PAGEREF _Toc178838723 \h </w:instrText>
            </w:r>
            <w:r w:rsidR="00FD58BF">
              <w:rPr>
                <w:noProof/>
                <w:webHidden/>
              </w:rPr>
            </w:r>
            <w:r w:rsidR="00FD58BF">
              <w:rPr>
                <w:noProof/>
                <w:webHidden/>
              </w:rPr>
              <w:fldChar w:fldCharType="separate"/>
            </w:r>
            <w:r w:rsidR="00FD58BF">
              <w:rPr>
                <w:noProof/>
                <w:webHidden/>
              </w:rPr>
              <w:t>959</w:t>
            </w:r>
            <w:r w:rsidR="00FD58BF">
              <w:rPr>
                <w:noProof/>
                <w:webHidden/>
              </w:rPr>
              <w:fldChar w:fldCharType="end"/>
            </w:r>
          </w:hyperlink>
        </w:p>
        <w:p w14:paraId="72FCC351" w14:textId="1681C2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4" w:history="1">
            <w:r w:rsidR="00FD58BF" w:rsidRPr="003004E5">
              <w:rPr>
                <w:rStyle w:val="Lienhypertexte"/>
                <w:noProof/>
              </w:rPr>
              <w:t>24.15.1d Voiles massifs en CLT chevillés CCTB 01.12</w:t>
            </w:r>
            <w:r w:rsidR="00FD58BF">
              <w:rPr>
                <w:noProof/>
                <w:webHidden/>
              </w:rPr>
              <w:tab/>
            </w:r>
            <w:r w:rsidR="00FD58BF">
              <w:rPr>
                <w:noProof/>
                <w:webHidden/>
              </w:rPr>
              <w:fldChar w:fldCharType="begin"/>
            </w:r>
            <w:r w:rsidR="00FD58BF">
              <w:rPr>
                <w:noProof/>
                <w:webHidden/>
              </w:rPr>
              <w:instrText xml:space="preserve"> PAGEREF _Toc178838724 \h </w:instrText>
            </w:r>
            <w:r w:rsidR="00FD58BF">
              <w:rPr>
                <w:noProof/>
                <w:webHidden/>
              </w:rPr>
            </w:r>
            <w:r w:rsidR="00FD58BF">
              <w:rPr>
                <w:noProof/>
                <w:webHidden/>
              </w:rPr>
              <w:fldChar w:fldCharType="separate"/>
            </w:r>
            <w:r w:rsidR="00FD58BF">
              <w:rPr>
                <w:noProof/>
                <w:webHidden/>
              </w:rPr>
              <w:t>962</w:t>
            </w:r>
            <w:r w:rsidR="00FD58BF">
              <w:rPr>
                <w:noProof/>
                <w:webHidden/>
              </w:rPr>
              <w:fldChar w:fldCharType="end"/>
            </w:r>
          </w:hyperlink>
        </w:p>
        <w:p w14:paraId="65DDEC17" w14:textId="7E62B44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25" w:history="1">
            <w:r w:rsidR="00FD58BF" w:rsidRPr="003004E5">
              <w:rPr>
                <w:rStyle w:val="Lienhypertexte"/>
                <w:noProof/>
              </w:rPr>
              <w:t>24.15.2 Voiles en LVL CCTB 01.10</w:t>
            </w:r>
            <w:r w:rsidR="00FD58BF">
              <w:rPr>
                <w:noProof/>
                <w:webHidden/>
              </w:rPr>
              <w:tab/>
            </w:r>
            <w:r w:rsidR="00FD58BF">
              <w:rPr>
                <w:noProof/>
                <w:webHidden/>
              </w:rPr>
              <w:fldChar w:fldCharType="begin"/>
            </w:r>
            <w:r w:rsidR="00FD58BF">
              <w:rPr>
                <w:noProof/>
                <w:webHidden/>
              </w:rPr>
              <w:instrText xml:space="preserve"> PAGEREF _Toc178838725 \h </w:instrText>
            </w:r>
            <w:r w:rsidR="00FD58BF">
              <w:rPr>
                <w:noProof/>
                <w:webHidden/>
              </w:rPr>
            </w:r>
            <w:r w:rsidR="00FD58BF">
              <w:rPr>
                <w:noProof/>
                <w:webHidden/>
              </w:rPr>
              <w:fldChar w:fldCharType="separate"/>
            </w:r>
            <w:r w:rsidR="00FD58BF">
              <w:rPr>
                <w:noProof/>
                <w:webHidden/>
              </w:rPr>
              <w:t>966</w:t>
            </w:r>
            <w:r w:rsidR="00FD58BF">
              <w:rPr>
                <w:noProof/>
                <w:webHidden/>
              </w:rPr>
              <w:fldChar w:fldCharType="end"/>
            </w:r>
          </w:hyperlink>
        </w:p>
        <w:p w14:paraId="0DB71D54" w14:textId="5B8AE85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6" w:history="1">
            <w:r w:rsidR="00FD58BF" w:rsidRPr="003004E5">
              <w:rPr>
                <w:rStyle w:val="Lienhypertexte"/>
                <w:noProof/>
              </w:rPr>
              <w:t>24.15.2a Voiles en LVL CCTB 01.11</w:t>
            </w:r>
            <w:r w:rsidR="00FD58BF">
              <w:rPr>
                <w:noProof/>
                <w:webHidden/>
              </w:rPr>
              <w:tab/>
            </w:r>
            <w:r w:rsidR="00FD58BF">
              <w:rPr>
                <w:noProof/>
                <w:webHidden/>
              </w:rPr>
              <w:fldChar w:fldCharType="begin"/>
            </w:r>
            <w:r w:rsidR="00FD58BF">
              <w:rPr>
                <w:noProof/>
                <w:webHidden/>
              </w:rPr>
              <w:instrText xml:space="preserve"> PAGEREF _Toc178838726 \h </w:instrText>
            </w:r>
            <w:r w:rsidR="00FD58BF">
              <w:rPr>
                <w:noProof/>
                <w:webHidden/>
              </w:rPr>
            </w:r>
            <w:r w:rsidR="00FD58BF">
              <w:rPr>
                <w:noProof/>
                <w:webHidden/>
              </w:rPr>
              <w:fldChar w:fldCharType="separate"/>
            </w:r>
            <w:r w:rsidR="00FD58BF">
              <w:rPr>
                <w:noProof/>
                <w:webHidden/>
              </w:rPr>
              <w:t>966</w:t>
            </w:r>
            <w:r w:rsidR="00FD58BF">
              <w:rPr>
                <w:noProof/>
                <w:webHidden/>
              </w:rPr>
              <w:fldChar w:fldCharType="end"/>
            </w:r>
          </w:hyperlink>
        </w:p>
        <w:p w14:paraId="44ECD35E" w14:textId="5095ED3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27" w:history="1">
            <w:r w:rsidR="00FD58BF" w:rsidRPr="003004E5">
              <w:rPr>
                <w:rStyle w:val="Lienhypertexte"/>
                <w:noProof/>
              </w:rPr>
              <w:t>24.16 Panneaux structuraux minces à base de bois CCTB 01.07</w:t>
            </w:r>
            <w:r w:rsidR="00FD58BF">
              <w:rPr>
                <w:noProof/>
                <w:webHidden/>
              </w:rPr>
              <w:tab/>
            </w:r>
            <w:r w:rsidR="00FD58BF">
              <w:rPr>
                <w:noProof/>
                <w:webHidden/>
              </w:rPr>
              <w:fldChar w:fldCharType="begin"/>
            </w:r>
            <w:r w:rsidR="00FD58BF">
              <w:rPr>
                <w:noProof/>
                <w:webHidden/>
              </w:rPr>
              <w:instrText xml:space="preserve"> PAGEREF _Toc178838727 \h </w:instrText>
            </w:r>
            <w:r w:rsidR="00FD58BF">
              <w:rPr>
                <w:noProof/>
                <w:webHidden/>
              </w:rPr>
            </w:r>
            <w:r w:rsidR="00FD58BF">
              <w:rPr>
                <w:noProof/>
                <w:webHidden/>
              </w:rPr>
              <w:fldChar w:fldCharType="separate"/>
            </w:r>
            <w:r w:rsidR="00FD58BF">
              <w:rPr>
                <w:noProof/>
                <w:webHidden/>
              </w:rPr>
              <w:t>967</w:t>
            </w:r>
            <w:r w:rsidR="00FD58BF">
              <w:rPr>
                <w:noProof/>
                <w:webHidden/>
              </w:rPr>
              <w:fldChar w:fldCharType="end"/>
            </w:r>
          </w:hyperlink>
        </w:p>
        <w:p w14:paraId="4C758B4C" w14:textId="774A286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28" w:history="1">
            <w:r w:rsidR="00FD58BF" w:rsidRPr="003004E5">
              <w:rPr>
                <w:rStyle w:val="Lienhypertexte"/>
                <w:noProof/>
              </w:rPr>
              <w:t>24.16.1 Panneaux structuraux minces à base de bois CCTB 01.07</w:t>
            </w:r>
            <w:r w:rsidR="00FD58BF">
              <w:rPr>
                <w:noProof/>
                <w:webHidden/>
              </w:rPr>
              <w:tab/>
            </w:r>
            <w:r w:rsidR="00FD58BF">
              <w:rPr>
                <w:noProof/>
                <w:webHidden/>
              </w:rPr>
              <w:fldChar w:fldCharType="begin"/>
            </w:r>
            <w:r w:rsidR="00FD58BF">
              <w:rPr>
                <w:noProof/>
                <w:webHidden/>
              </w:rPr>
              <w:instrText xml:space="preserve"> PAGEREF _Toc178838728 \h </w:instrText>
            </w:r>
            <w:r w:rsidR="00FD58BF">
              <w:rPr>
                <w:noProof/>
                <w:webHidden/>
              </w:rPr>
            </w:r>
            <w:r w:rsidR="00FD58BF">
              <w:rPr>
                <w:noProof/>
                <w:webHidden/>
              </w:rPr>
              <w:fldChar w:fldCharType="separate"/>
            </w:r>
            <w:r w:rsidR="00FD58BF">
              <w:rPr>
                <w:noProof/>
                <w:webHidden/>
              </w:rPr>
              <w:t>968</w:t>
            </w:r>
            <w:r w:rsidR="00FD58BF">
              <w:rPr>
                <w:noProof/>
                <w:webHidden/>
              </w:rPr>
              <w:fldChar w:fldCharType="end"/>
            </w:r>
          </w:hyperlink>
        </w:p>
        <w:p w14:paraId="546DCDC2" w14:textId="3F437D0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9" w:history="1">
            <w:r w:rsidR="00FD58BF" w:rsidRPr="003004E5">
              <w:rPr>
                <w:rStyle w:val="Lienhypertexte"/>
                <w:noProof/>
              </w:rPr>
              <w:t>24.16.1a Panneaux contreplaqués (PW) CCTB 01.11</w:t>
            </w:r>
            <w:r w:rsidR="00FD58BF">
              <w:rPr>
                <w:noProof/>
                <w:webHidden/>
              </w:rPr>
              <w:tab/>
            </w:r>
            <w:r w:rsidR="00FD58BF">
              <w:rPr>
                <w:noProof/>
                <w:webHidden/>
              </w:rPr>
              <w:fldChar w:fldCharType="begin"/>
            </w:r>
            <w:r w:rsidR="00FD58BF">
              <w:rPr>
                <w:noProof/>
                <w:webHidden/>
              </w:rPr>
              <w:instrText xml:space="preserve"> PAGEREF _Toc178838729 \h </w:instrText>
            </w:r>
            <w:r w:rsidR="00FD58BF">
              <w:rPr>
                <w:noProof/>
                <w:webHidden/>
              </w:rPr>
            </w:r>
            <w:r w:rsidR="00FD58BF">
              <w:rPr>
                <w:noProof/>
                <w:webHidden/>
              </w:rPr>
              <w:fldChar w:fldCharType="separate"/>
            </w:r>
            <w:r w:rsidR="00FD58BF">
              <w:rPr>
                <w:noProof/>
                <w:webHidden/>
              </w:rPr>
              <w:t>968</w:t>
            </w:r>
            <w:r w:rsidR="00FD58BF">
              <w:rPr>
                <w:noProof/>
                <w:webHidden/>
              </w:rPr>
              <w:fldChar w:fldCharType="end"/>
            </w:r>
          </w:hyperlink>
        </w:p>
        <w:p w14:paraId="137B5B94" w14:textId="6532AC6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0" w:history="1">
            <w:r w:rsidR="00FD58BF" w:rsidRPr="003004E5">
              <w:rPr>
                <w:rStyle w:val="Lienhypertexte"/>
                <w:noProof/>
              </w:rPr>
              <w:t>24.16.1b Panneaux OSB CCTB 01.11</w:t>
            </w:r>
            <w:r w:rsidR="00FD58BF">
              <w:rPr>
                <w:noProof/>
                <w:webHidden/>
              </w:rPr>
              <w:tab/>
            </w:r>
            <w:r w:rsidR="00FD58BF">
              <w:rPr>
                <w:noProof/>
                <w:webHidden/>
              </w:rPr>
              <w:fldChar w:fldCharType="begin"/>
            </w:r>
            <w:r w:rsidR="00FD58BF">
              <w:rPr>
                <w:noProof/>
                <w:webHidden/>
              </w:rPr>
              <w:instrText xml:space="preserve"> PAGEREF _Toc178838730 \h </w:instrText>
            </w:r>
            <w:r w:rsidR="00FD58BF">
              <w:rPr>
                <w:noProof/>
                <w:webHidden/>
              </w:rPr>
            </w:r>
            <w:r w:rsidR="00FD58BF">
              <w:rPr>
                <w:noProof/>
                <w:webHidden/>
              </w:rPr>
              <w:fldChar w:fldCharType="separate"/>
            </w:r>
            <w:r w:rsidR="00FD58BF">
              <w:rPr>
                <w:noProof/>
                <w:webHidden/>
              </w:rPr>
              <w:t>969</w:t>
            </w:r>
            <w:r w:rsidR="00FD58BF">
              <w:rPr>
                <w:noProof/>
                <w:webHidden/>
              </w:rPr>
              <w:fldChar w:fldCharType="end"/>
            </w:r>
          </w:hyperlink>
        </w:p>
        <w:p w14:paraId="7E74F6E8" w14:textId="7F803AE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1" w:history="1">
            <w:r w:rsidR="00FD58BF" w:rsidRPr="003004E5">
              <w:rPr>
                <w:rStyle w:val="Lienhypertexte"/>
                <w:noProof/>
              </w:rPr>
              <w:t>24.16.1c Panneaux de particules (PB) CCTB 01.11</w:t>
            </w:r>
            <w:r w:rsidR="00FD58BF">
              <w:rPr>
                <w:noProof/>
                <w:webHidden/>
              </w:rPr>
              <w:tab/>
            </w:r>
            <w:r w:rsidR="00FD58BF">
              <w:rPr>
                <w:noProof/>
                <w:webHidden/>
              </w:rPr>
              <w:fldChar w:fldCharType="begin"/>
            </w:r>
            <w:r w:rsidR="00FD58BF">
              <w:rPr>
                <w:noProof/>
                <w:webHidden/>
              </w:rPr>
              <w:instrText xml:space="preserve"> PAGEREF _Toc178838731 \h </w:instrText>
            </w:r>
            <w:r w:rsidR="00FD58BF">
              <w:rPr>
                <w:noProof/>
                <w:webHidden/>
              </w:rPr>
            </w:r>
            <w:r w:rsidR="00FD58BF">
              <w:rPr>
                <w:noProof/>
                <w:webHidden/>
              </w:rPr>
              <w:fldChar w:fldCharType="separate"/>
            </w:r>
            <w:r w:rsidR="00FD58BF">
              <w:rPr>
                <w:noProof/>
                <w:webHidden/>
              </w:rPr>
              <w:t>971</w:t>
            </w:r>
            <w:r w:rsidR="00FD58BF">
              <w:rPr>
                <w:noProof/>
                <w:webHidden/>
              </w:rPr>
              <w:fldChar w:fldCharType="end"/>
            </w:r>
          </w:hyperlink>
        </w:p>
        <w:p w14:paraId="683120AF" w14:textId="02A04BD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2" w:history="1">
            <w:r w:rsidR="00FD58BF" w:rsidRPr="003004E5">
              <w:rPr>
                <w:rStyle w:val="Lienhypertexte"/>
                <w:noProof/>
              </w:rPr>
              <w:t>24.16.1d Panneaux MDF CCTB 01.11</w:t>
            </w:r>
            <w:r w:rsidR="00FD58BF">
              <w:rPr>
                <w:noProof/>
                <w:webHidden/>
              </w:rPr>
              <w:tab/>
            </w:r>
            <w:r w:rsidR="00FD58BF">
              <w:rPr>
                <w:noProof/>
                <w:webHidden/>
              </w:rPr>
              <w:fldChar w:fldCharType="begin"/>
            </w:r>
            <w:r w:rsidR="00FD58BF">
              <w:rPr>
                <w:noProof/>
                <w:webHidden/>
              </w:rPr>
              <w:instrText xml:space="preserve"> PAGEREF _Toc178838732 \h </w:instrText>
            </w:r>
            <w:r w:rsidR="00FD58BF">
              <w:rPr>
                <w:noProof/>
                <w:webHidden/>
              </w:rPr>
            </w:r>
            <w:r w:rsidR="00FD58BF">
              <w:rPr>
                <w:noProof/>
                <w:webHidden/>
              </w:rPr>
              <w:fldChar w:fldCharType="separate"/>
            </w:r>
            <w:r w:rsidR="00FD58BF">
              <w:rPr>
                <w:noProof/>
                <w:webHidden/>
              </w:rPr>
              <w:t>972</w:t>
            </w:r>
            <w:r w:rsidR="00FD58BF">
              <w:rPr>
                <w:noProof/>
                <w:webHidden/>
              </w:rPr>
              <w:fldChar w:fldCharType="end"/>
            </w:r>
          </w:hyperlink>
        </w:p>
        <w:p w14:paraId="3FBFC3E6" w14:textId="1EDF103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33" w:history="1">
            <w:r w:rsidR="00FD58BF" w:rsidRPr="003004E5">
              <w:rPr>
                <w:rStyle w:val="Lienhypertexte"/>
                <w:noProof/>
              </w:rPr>
              <w:t>24.17 Arcs en bois CCTB 01.07</w:t>
            </w:r>
            <w:r w:rsidR="00FD58BF">
              <w:rPr>
                <w:noProof/>
                <w:webHidden/>
              </w:rPr>
              <w:tab/>
            </w:r>
            <w:r w:rsidR="00FD58BF">
              <w:rPr>
                <w:noProof/>
                <w:webHidden/>
              </w:rPr>
              <w:fldChar w:fldCharType="begin"/>
            </w:r>
            <w:r w:rsidR="00FD58BF">
              <w:rPr>
                <w:noProof/>
                <w:webHidden/>
              </w:rPr>
              <w:instrText xml:space="preserve"> PAGEREF _Toc178838733 \h </w:instrText>
            </w:r>
            <w:r w:rsidR="00FD58BF">
              <w:rPr>
                <w:noProof/>
                <w:webHidden/>
              </w:rPr>
            </w:r>
            <w:r w:rsidR="00FD58BF">
              <w:rPr>
                <w:noProof/>
                <w:webHidden/>
              </w:rPr>
              <w:fldChar w:fldCharType="separate"/>
            </w:r>
            <w:r w:rsidR="00FD58BF">
              <w:rPr>
                <w:noProof/>
                <w:webHidden/>
              </w:rPr>
              <w:t>973</w:t>
            </w:r>
            <w:r w:rsidR="00FD58BF">
              <w:rPr>
                <w:noProof/>
                <w:webHidden/>
              </w:rPr>
              <w:fldChar w:fldCharType="end"/>
            </w:r>
          </w:hyperlink>
        </w:p>
        <w:p w14:paraId="3ACB1EBB" w14:textId="6BD8B6F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4" w:history="1">
            <w:r w:rsidR="00FD58BF" w:rsidRPr="003004E5">
              <w:rPr>
                <w:rStyle w:val="Lienhypertexte"/>
                <w:noProof/>
              </w:rPr>
              <w:t>24.17.1 Arcs en bois lamellé collé CCTB 01.10</w:t>
            </w:r>
            <w:r w:rsidR="00FD58BF">
              <w:rPr>
                <w:noProof/>
                <w:webHidden/>
              </w:rPr>
              <w:tab/>
            </w:r>
            <w:r w:rsidR="00FD58BF">
              <w:rPr>
                <w:noProof/>
                <w:webHidden/>
              </w:rPr>
              <w:fldChar w:fldCharType="begin"/>
            </w:r>
            <w:r w:rsidR="00FD58BF">
              <w:rPr>
                <w:noProof/>
                <w:webHidden/>
              </w:rPr>
              <w:instrText xml:space="preserve"> PAGEREF _Toc178838734 \h </w:instrText>
            </w:r>
            <w:r w:rsidR="00FD58BF">
              <w:rPr>
                <w:noProof/>
                <w:webHidden/>
              </w:rPr>
            </w:r>
            <w:r w:rsidR="00FD58BF">
              <w:rPr>
                <w:noProof/>
                <w:webHidden/>
              </w:rPr>
              <w:fldChar w:fldCharType="separate"/>
            </w:r>
            <w:r w:rsidR="00FD58BF">
              <w:rPr>
                <w:noProof/>
                <w:webHidden/>
              </w:rPr>
              <w:t>973</w:t>
            </w:r>
            <w:r w:rsidR="00FD58BF">
              <w:rPr>
                <w:noProof/>
                <w:webHidden/>
              </w:rPr>
              <w:fldChar w:fldCharType="end"/>
            </w:r>
          </w:hyperlink>
        </w:p>
        <w:p w14:paraId="1D66AD0C" w14:textId="1016134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5" w:history="1">
            <w:r w:rsidR="00FD58BF" w:rsidRPr="003004E5">
              <w:rPr>
                <w:rStyle w:val="Lienhypertexte"/>
                <w:noProof/>
              </w:rPr>
              <w:t>24.17.1a Arcs en bois lamellé collé à simple courbure CCTB 01.11</w:t>
            </w:r>
            <w:r w:rsidR="00FD58BF">
              <w:rPr>
                <w:noProof/>
                <w:webHidden/>
              </w:rPr>
              <w:tab/>
            </w:r>
            <w:r w:rsidR="00FD58BF">
              <w:rPr>
                <w:noProof/>
                <w:webHidden/>
              </w:rPr>
              <w:fldChar w:fldCharType="begin"/>
            </w:r>
            <w:r w:rsidR="00FD58BF">
              <w:rPr>
                <w:noProof/>
                <w:webHidden/>
              </w:rPr>
              <w:instrText xml:space="preserve"> PAGEREF _Toc178838735 \h </w:instrText>
            </w:r>
            <w:r w:rsidR="00FD58BF">
              <w:rPr>
                <w:noProof/>
                <w:webHidden/>
              </w:rPr>
            </w:r>
            <w:r w:rsidR="00FD58BF">
              <w:rPr>
                <w:noProof/>
                <w:webHidden/>
              </w:rPr>
              <w:fldChar w:fldCharType="separate"/>
            </w:r>
            <w:r w:rsidR="00FD58BF">
              <w:rPr>
                <w:noProof/>
                <w:webHidden/>
              </w:rPr>
              <w:t>973</w:t>
            </w:r>
            <w:r w:rsidR="00FD58BF">
              <w:rPr>
                <w:noProof/>
                <w:webHidden/>
              </w:rPr>
              <w:fldChar w:fldCharType="end"/>
            </w:r>
          </w:hyperlink>
        </w:p>
        <w:p w14:paraId="07097948" w14:textId="58A2266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6" w:history="1">
            <w:r w:rsidR="00FD58BF" w:rsidRPr="003004E5">
              <w:rPr>
                <w:rStyle w:val="Lienhypertexte"/>
                <w:noProof/>
              </w:rPr>
              <w:t>24.17.1b Arcs en bois lamellé collé à double courbure CCTB 01.11</w:t>
            </w:r>
            <w:r w:rsidR="00FD58BF">
              <w:rPr>
                <w:noProof/>
                <w:webHidden/>
              </w:rPr>
              <w:tab/>
            </w:r>
            <w:r w:rsidR="00FD58BF">
              <w:rPr>
                <w:noProof/>
                <w:webHidden/>
              </w:rPr>
              <w:fldChar w:fldCharType="begin"/>
            </w:r>
            <w:r w:rsidR="00FD58BF">
              <w:rPr>
                <w:noProof/>
                <w:webHidden/>
              </w:rPr>
              <w:instrText xml:space="preserve"> PAGEREF _Toc178838736 \h </w:instrText>
            </w:r>
            <w:r w:rsidR="00FD58BF">
              <w:rPr>
                <w:noProof/>
                <w:webHidden/>
              </w:rPr>
            </w:r>
            <w:r w:rsidR="00FD58BF">
              <w:rPr>
                <w:noProof/>
                <w:webHidden/>
              </w:rPr>
              <w:fldChar w:fldCharType="separate"/>
            </w:r>
            <w:r w:rsidR="00FD58BF">
              <w:rPr>
                <w:noProof/>
                <w:webHidden/>
              </w:rPr>
              <w:t>974</w:t>
            </w:r>
            <w:r w:rsidR="00FD58BF">
              <w:rPr>
                <w:noProof/>
                <w:webHidden/>
              </w:rPr>
              <w:fldChar w:fldCharType="end"/>
            </w:r>
          </w:hyperlink>
        </w:p>
        <w:p w14:paraId="117E836B" w14:textId="5B775217"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37" w:history="1">
            <w:r w:rsidR="00FD58BF" w:rsidRPr="003004E5">
              <w:rPr>
                <w:rStyle w:val="Lienhypertexte"/>
                <w:noProof/>
              </w:rPr>
              <w:t>24.2 Systèmes d'éléments en bois CCTB 01.07</w:t>
            </w:r>
            <w:r w:rsidR="00FD58BF">
              <w:rPr>
                <w:noProof/>
                <w:webHidden/>
              </w:rPr>
              <w:tab/>
            </w:r>
            <w:r w:rsidR="00FD58BF">
              <w:rPr>
                <w:noProof/>
                <w:webHidden/>
              </w:rPr>
              <w:fldChar w:fldCharType="begin"/>
            </w:r>
            <w:r w:rsidR="00FD58BF">
              <w:rPr>
                <w:noProof/>
                <w:webHidden/>
              </w:rPr>
              <w:instrText xml:space="preserve"> PAGEREF _Toc178838737 \h </w:instrText>
            </w:r>
            <w:r w:rsidR="00FD58BF">
              <w:rPr>
                <w:noProof/>
                <w:webHidden/>
              </w:rPr>
            </w:r>
            <w:r w:rsidR="00FD58BF">
              <w:rPr>
                <w:noProof/>
                <w:webHidden/>
              </w:rPr>
              <w:fldChar w:fldCharType="separate"/>
            </w:r>
            <w:r w:rsidR="00FD58BF">
              <w:rPr>
                <w:noProof/>
                <w:webHidden/>
              </w:rPr>
              <w:t>975</w:t>
            </w:r>
            <w:r w:rsidR="00FD58BF">
              <w:rPr>
                <w:noProof/>
                <w:webHidden/>
              </w:rPr>
              <w:fldChar w:fldCharType="end"/>
            </w:r>
          </w:hyperlink>
        </w:p>
        <w:p w14:paraId="3D84658E" w14:textId="3345494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38" w:history="1">
            <w:r w:rsidR="00FD58BF" w:rsidRPr="003004E5">
              <w:rPr>
                <w:rStyle w:val="Lienhypertexte"/>
                <w:noProof/>
              </w:rPr>
              <w:t>24.21 Murs en bois CCTB 01.09</w:t>
            </w:r>
            <w:r w:rsidR="00FD58BF">
              <w:rPr>
                <w:noProof/>
                <w:webHidden/>
              </w:rPr>
              <w:tab/>
            </w:r>
            <w:r w:rsidR="00FD58BF">
              <w:rPr>
                <w:noProof/>
                <w:webHidden/>
              </w:rPr>
              <w:fldChar w:fldCharType="begin"/>
            </w:r>
            <w:r w:rsidR="00FD58BF">
              <w:rPr>
                <w:noProof/>
                <w:webHidden/>
              </w:rPr>
              <w:instrText xml:space="preserve"> PAGEREF _Toc178838738 \h </w:instrText>
            </w:r>
            <w:r w:rsidR="00FD58BF">
              <w:rPr>
                <w:noProof/>
                <w:webHidden/>
              </w:rPr>
            </w:r>
            <w:r w:rsidR="00FD58BF">
              <w:rPr>
                <w:noProof/>
                <w:webHidden/>
              </w:rPr>
              <w:fldChar w:fldCharType="separate"/>
            </w:r>
            <w:r w:rsidR="00FD58BF">
              <w:rPr>
                <w:noProof/>
                <w:webHidden/>
              </w:rPr>
              <w:t>975</w:t>
            </w:r>
            <w:r w:rsidR="00FD58BF">
              <w:rPr>
                <w:noProof/>
                <w:webHidden/>
              </w:rPr>
              <w:fldChar w:fldCharType="end"/>
            </w:r>
          </w:hyperlink>
        </w:p>
        <w:p w14:paraId="1B38CF95" w14:textId="05D5208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9" w:history="1">
            <w:r w:rsidR="00FD58BF" w:rsidRPr="003004E5">
              <w:rPr>
                <w:rStyle w:val="Lienhypertexte"/>
                <w:noProof/>
              </w:rPr>
              <w:t>24.21.1 Murs en bois assemblés sur place CCTB 01.07</w:t>
            </w:r>
            <w:r w:rsidR="00FD58BF">
              <w:rPr>
                <w:noProof/>
                <w:webHidden/>
              </w:rPr>
              <w:tab/>
            </w:r>
            <w:r w:rsidR="00FD58BF">
              <w:rPr>
                <w:noProof/>
                <w:webHidden/>
              </w:rPr>
              <w:fldChar w:fldCharType="begin"/>
            </w:r>
            <w:r w:rsidR="00FD58BF">
              <w:rPr>
                <w:noProof/>
                <w:webHidden/>
              </w:rPr>
              <w:instrText xml:space="preserve"> PAGEREF _Toc178838739 \h </w:instrText>
            </w:r>
            <w:r w:rsidR="00FD58BF">
              <w:rPr>
                <w:noProof/>
                <w:webHidden/>
              </w:rPr>
            </w:r>
            <w:r w:rsidR="00FD58BF">
              <w:rPr>
                <w:noProof/>
                <w:webHidden/>
              </w:rPr>
              <w:fldChar w:fldCharType="separate"/>
            </w:r>
            <w:r w:rsidR="00FD58BF">
              <w:rPr>
                <w:noProof/>
                <w:webHidden/>
              </w:rPr>
              <w:t>975</w:t>
            </w:r>
            <w:r w:rsidR="00FD58BF">
              <w:rPr>
                <w:noProof/>
                <w:webHidden/>
              </w:rPr>
              <w:fldChar w:fldCharType="end"/>
            </w:r>
          </w:hyperlink>
        </w:p>
        <w:p w14:paraId="6D80362E" w14:textId="6A00F18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0" w:history="1">
            <w:r w:rsidR="00FD58BF" w:rsidRPr="003004E5">
              <w:rPr>
                <w:rStyle w:val="Lienhypertexte"/>
                <w:noProof/>
              </w:rPr>
              <w:t>24.21.1a Murs ossatures bois assemblés sur place CCTB 01.07</w:t>
            </w:r>
            <w:r w:rsidR="00FD58BF">
              <w:rPr>
                <w:noProof/>
                <w:webHidden/>
              </w:rPr>
              <w:tab/>
            </w:r>
            <w:r w:rsidR="00FD58BF">
              <w:rPr>
                <w:noProof/>
                <w:webHidden/>
              </w:rPr>
              <w:fldChar w:fldCharType="begin"/>
            </w:r>
            <w:r w:rsidR="00FD58BF">
              <w:rPr>
                <w:noProof/>
                <w:webHidden/>
              </w:rPr>
              <w:instrText xml:space="preserve"> PAGEREF _Toc178838740 \h </w:instrText>
            </w:r>
            <w:r w:rsidR="00FD58BF">
              <w:rPr>
                <w:noProof/>
                <w:webHidden/>
              </w:rPr>
            </w:r>
            <w:r w:rsidR="00FD58BF">
              <w:rPr>
                <w:noProof/>
                <w:webHidden/>
              </w:rPr>
              <w:fldChar w:fldCharType="separate"/>
            </w:r>
            <w:r w:rsidR="00FD58BF">
              <w:rPr>
                <w:noProof/>
                <w:webHidden/>
              </w:rPr>
              <w:t>975</w:t>
            </w:r>
            <w:r w:rsidR="00FD58BF">
              <w:rPr>
                <w:noProof/>
                <w:webHidden/>
              </w:rPr>
              <w:fldChar w:fldCharType="end"/>
            </w:r>
          </w:hyperlink>
        </w:p>
        <w:p w14:paraId="6AAB859C" w14:textId="3673B61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1" w:history="1">
            <w:r w:rsidR="00FD58BF" w:rsidRPr="003004E5">
              <w:rPr>
                <w:rStyle w:val="Lienhypertexte"/>
                <w:noProof/>
              </w:rPr>
              <w:t>24.21.1b Murs de façade ossatures bois assemblés sur place CCTB 01.07</w:t>
            </w:r>
            <w:r w:rsidR="00FD58BF">
              <w:rPr>
                <w:noProof/>
                <w:webHidden/>
              </w:rPr>
              <w:tab/>
            </w:r>
            <w:r w:rsidR="00FD58BF">
              <w:rPr>
                <w:noProof/>
                <w:webHidden/>
              </w:rPr>
              <w:fldChar w:fldCharType="begin"/>
            </w:r>
            <w:r w:rsidR="00FD58BF">
              <w:rPr>
                <w:noProof/>
                <w:webHidden/>
              </w:rPr>
              <w:instrText xml:space="preserve"> PAGEREF _Toc178838741 \h </w:instrText>
            </w:r>
            <w:r w:rsidR="00FD58BF">
              <w:rPr>
                <w:noProof/>
                <w:webHidden/>
              </w:rPr>
            </w:r>
            <w:r w:rsidR="00FD58BF">
              <w:rPr>
                <w:noProof/>
                <w:webHidden/>
              </w:rPr>
              <w:fldChar w:fldCharType="separate"/>
            </w:r>
            <w:r w:rsidR="00FD58BF">
              <w:rPr>
                <w:noProof/>
                <w:webHidden/>
              </w:rPr>
              <w:t>975</w:t>
            </w:r>
            <w:r w:rsidR="00FD58BF">
              <w:rPr>
                <w:noProof/>
                <w:webHidden/>
              </w:rPr>
              <w:fldChar w:fldCharType="end"/>
            </w:r>
          </w:hyperlink>
        </w:p>
        <w:p w14:paraId="51319819" w14:textId="45931A6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2" w:history="1">
            <w:r w:rsidR="00FD58BF" w:rsidRPr="003004E5">
              <w:rPr>
                <w:rStyle w:val="Lienhypertexte"/>
                <w:noProof/>
              </w:rPr>
              <w:t>24.21.1c Murs en briques de bois empilées assemblés sur place CCTB 01.11</w:t>
            </w:r>
            <w:r w:rsidR="00FD58BF">
              <w:rPr>
                <w:noProof/>
                <w:webHidden/>
              </w:rPr>
              <w:tab/>
            </w:r>
            <w:r w:rsidR="00FD58BF">
              <w:rPr>
                <w:noProof/>
                <w:webHidden/>
              </w:rPr>
              <w:fldChar w:fldCharType="begin"/>
            </w:r>
            <w:r w:rsidR="00FD58BF">
              <w:rPr>
                <w:noProof/>
                <w:webHidden/>
              </w:rPr>
              <w:instrText xml:space="preserve"> PAGEREF _Toc178838742 \h </w:instrText>
            </w:r>
            <w:r w:rsidR="00FD58BF">
              <w:rPr>
                <w:noProof/>
                <w:webHidden/>
              </w:rPr>
            </w:r>
            <w:r w:rsidR="00FD58BF">
              <w:rPr>
                <w:noProof/>
                <w:webHidden/>
              </w:rPr>
              <w:fldChar w:fldCharType="separate"/>
            </w:r>
            <w:r w:rsidR="00FD58BF">
              <w:rPr>
                <w:noProof/>
                <w:webHidden/>
              </w:rPr>
              <w:t>976</w:t>
            </w:r>
            <w:r w:rsidR="00FD58BF">
              <w:rPr>
                <w:noProof/>
                <w:webHidden/>
              </w:rPr>
              <w:fldChar w:fldCharType="end"/>
            </w:r>
          </w:hyperlink>
        </w:p>
        <w:p w14:paraId="76A4DC88" w14:textId="3D2F73B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3" w:history="1">
            <w:r w:rsidR="00FD58BF" w:rsidRPr="003004E5">
              <w:rPr>
                <w:rStyle w:val="Lienhypertexte"/>
                <w:noProof/>
              </w:rPr>
              <w:t>24.21.1d Murs en bois empilés assemblés sur place CCTB 01.10</w:t>
            </w:r>
            <w:r w:rsidR="00FD58BF">
              <w:rPr>
                <w:noProof/>
                <w:webHidden/>
              </w:rPr>
              <w:tab/>
            </w:r>
            <w:r w:rsidR="00FD58BF">
              <w:rPr>
                <w:noProof/>
                <w:webHidden/>
              </w:rPr>
              <w:fldChar w:fldCharType="begin"/>
            </w:r>
            <w:r w:rsidR="00FD58BF">
              <w:rPr>
                <w:noProof/>
                <w:webHidden/>
              </w:rPr>
              <w:instrText xml:space="preserve"> PAGEREF _Toc178838743 \h </w:instrText>
            </w:r>
            <w:r w:rsidR="00FD58BF">
              <w:rPr>
                <w:noProof/>
                <w:webHidden/>
              </w:rPr>
            </w:r>
            <w:r w:rsidR="00FD58BF">
              <w:rPr>
                <w:noProof/>
                <w:webHidden/>
              </w:rPr>
              <w:fldChar w:fldCharType="separate"/>
            </w:r>
            <w:r w:rsidR="00FD58BF">
              <w:rPr>
                <w:noProof/>
                <w:webHidden/>
              </w:rPr>
              <w:t>978</w:t>
            </w:r>
            <w:r w:rsidR="00FD58BF">
              <w:rPr>
                <w:noProof/>
                <w:webHidden/>
              </w:rPr>
              <w:fldChar w:fldCharType="end"/>
            </w:r>
          </w:hyperlink>
        </w:p>
        <w:p w14:paraId="2DAD4B5D" w14:textId="7A3045C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4" w:history="1">
            <w:r w:rsidR="00FD58BF" w:rsidRPr="003004E5">
              <w:rPr>
                <w:rStyle w:val="Lienhypertexte"/>
                <w:noProof/>
              </w:rPr>
              <w:t>24.21.1e Murs en bois debout assemblés sur place CCTB 01.10</w:t>
            </w:r>
            <w:r w:rsidR="00FD58BF">
              <w:rPr>
                <w:noProof/>
                <w:webHidden/>
              </w:rPr>
              <w:tab/>
            </w:r>
            <w:r w:rsidR="00FD58BF">
              <w:rPr>
                <w:noProof/>
                <w:webHidden/>
              </w:rPr>
              <w:fldChar w:fldCharType="begin"/>
            </w:r>
            <w:r w:rsidR="00FD58BF">
              <w:rPr>
                <w:noProof/>
                <w:webHidden/>
              </w:rPr>
              <w:instrText xml:space="preserve"> PAGEREF _Toc178838744 \h </w:instrText>
            </w:r>
            <w:r w:rsidR="00FD58BF">
              <w:rPr>
                <w:noProof/>
                <w:webHidden/>
              </w:rPr>
            </w:r>
            <w:r w:rsidR="00FD58BF">
              <w:rPr>
                <w:noProof/>
                <w:webHidden/>
              </w:rPr>
              <w:fldChar w:fldCharType="separate"/>
            </w:r>
            <w:r w:rsidR="00FD58BF">
              <w:rPr>
                <w:noProof/>
                <w:webHidden/>
              </w:rPr>
              <w:t>978</w:t>
            </w:r>
            <w:r w:rsidR="00FD58BF">
              <w:rPr>
                <w:noProof/>
                <w:webHidden/>
              </w:rPr>
              <w:fldChar w:fldCharType="end"/>
            </w:r>
          </w:hyperlink>
        </w:p>
        <w:p w14:paraId="6C30EF4C" w14:textId="0DC5413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5" w:history="1">
            <w:r w:rsidR="00FD58BF" w:rsidRPr="003004E5">
              <w:rPr>
                <w:rStyle w:val="Lienhypertexte"/>
                <w:noProof/>
              </w:rPr>
              <w:t>24.21.2 Murs en bois préfabriqués CCTB 01.07</w:t>
            </w:r>
            <w:r w:rsidR="00FD58BF">
              <w:rPr>
                <w:noProof/>
                <w:webHidden/>
              </w:rPr>
              <w:tab/>
            </w:r>
            <w:r w:rsidR="00FD58BF">
              <w:rPr>
                <w:noProof/>
                <w:webHidden/>
              </w:rPr>
              <w:fldChar w:fldCharType="begin"/>
            </w:r>
            <w:r w:rsidR="00FD58BF">
              <w:rPr>
                <w:noProof/>
                <w:webHidden/>
              </w:rPr>
              <w:instrText xml:space="preserve"> PAGEREF _Toc178838745 \h </w:instrText>
            </w:r>
            <w:r w:rsidR="00FD58BF">
              <w:rPr>
                <w:noProof/>
                <w:webHidden/>
              </w:rPr>
            </w:r>
            <w:r w:rsidR="00FD58BF">
              <w:rPr>
                <w:noProof/>
                <w:webHidden/>
              </w:rPr>
              <w:fldChar w:fldCharType="separate"/>
            </w:r>
            <w:r w:rsidR="00FD58BF">
              <w:rPr>
                <w:noProof/>
                <w:webHidden/>
              </w:rPr>
              <w:t>978</w:t>
            </w:r>
            <w:r w:rsidR="00FD58BF">
              <w:rPr>
                <w:noProof/>
                <w:webHidden/>
              </w:rPr>
              <w:fldChar w:fldCharType="end"/>
            </w:r>
          </w:hyperlink>
        </w:p>
        <w:p w14:paraId="2C591F83" w14:textId="0F0CE8D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6" w:history="1">
            <w:r w:rsidR="00FD58BF" w:rsidRPr="003004E5">
              <w:rPr>
                <w:rStyle w:val="Lienhypertexte"/>
                <w:noProof/>
              </w:rPr>
              <w:t>24.21.2a Murs ossature bois préfabriqués CCTB 01.12</w:t>
            </w:r>
            <w:r w:rsidR="00FD58BF">
              <w:rPr>
                <w:noProof/>
                <w:webHidden/>
              </w:rPr>
              <w:tab/>
            </w:r>
            <w:r w:rsidR="00FD58BF">
              <w:rPr>
                <w:noProof/>
                <w:webHidden/>
              </w:rPr>
              <w:fldChar w:fldCharType="begin"/>
            </w:r>
            <w:r w:rsidR="00FD58BF">
              <w:rPr>
                <w:noProof/>
                <w:webHidden/>
              </w:rPr>
              <w:instrText xml:space="preserve"> PAGEREF _Toc178838746 \h </w:instrText>
            </w:r>
            <w:r w:rsidR="00FD58BF">
              <w:rPr>
                <w:noProof/>
                <w:webHidden/>
              </w:rPr>
            </w:r>
            <w:r w:rsidR="00FD58BF">
              <w:rPr>
                <w:noProof/>
                <w:webHidden/>
              </w:rPr>
              <w:fldChar w:fldCharType="separate"/>
            </w:r>
            <w:r w:rsidR="00FD58BF">
              <w:rPr>
                <w:noProof/>
                <w:webHidden/>
              </w:rPr>
              <w:t>978</w:t>
            </w:r>
            <w:r w:rsidR="00FD58BF">
              <w:rPr>
                <w:noProof/>
                <w:webHidden/>
              </w:rPr>
              <w:fldChar w:fldCharType="end"/>
            </w:r>
          </w:hyperlink>
        </w:p>
        <w:p w14:paraId="721AA374" w14:textId="12058ED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7" w:history="1">
            <w:r w:rsidR="00FD58BF" w:rsidRPr="003004E5">
              <w:rPr>
                <w:rStyle w:val="Lienhypertexte"/>
                <w:noProof/>
              </w:rPr>
              <w:t>24.21.2b Murs en CLT préfabriqués CCTB 01.12</w:t>
            </w:r>
            <w:r w:rsidR="00FD58BF">
              <w:rPr>
                <w:noProof/>
                <w:webHidden/>
              </w:rPr>
              <w:tab/>
            </w:r>
            <w:r w:rsidR="00FD58BF">
              <w:rPr>
                <w:noProof/>
                <w:webHidden/>
              </w:rPr>
              <w:fldChar w:fldCharType="begin"/>
            </w:r>
            <w:r w:rsidR="00FD58BF">
              <w:rPr>
                <w:noProof/>
                <w:webHidden/>
              </w:rPr>
              <w:instrText xml:space="preserve"> PAGEREF _Toc178838747 \h </w:instrText>
            </w:r>
            <w:r w:rsidR="00FD58BF">
              <w:rPr>
                <w:noProof/>
                <w:webHidden/>
              </w:rPr>
            </w:r>
            <w:r w:rsidR="00FD58BF">
              <w:rPr>
                <w:noProof/>
                <w:webHidden/>
              </w:rPr>
              <w:fldChar w:fldCharType="separate"/>
            </w:r>
            <w:r w:rsidR="00FD58BF">
              <w:rPr>
                <w:noProof/>
                <w:webHidden/>
              </w:rPr>
              <w:t>986</w:t>
            </w:r>
            <w:r w:rsidR="00FD58BF">
              <w:rPr>
                <w:noProof/>
                <w:webHidden/>
              </w:rPr>
              <w:fldChar w:fldCharType="end"/>
            </w:r>
          </w:hyperlink>
        </w:p>
        <w:p w14:paraId="02FD8232" w14:textId="3F299B5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8" w:history="1">
            <w:r w:rsidR="00FD58BF" w:rsidRPr="003004E5">
              <w:rPr>
                <w:rStyle w:val="Lienhypertexte"/>
                <w:noProof/>
              </w:rPr>
              <w:t>24.21.3 Murs en bois en caissons préfabriqués CCTB 01.10</w:t>
            </w:r>
            <w:r w:rsidR="00FD58BF">
              <w:rPr>
                <w:noProof/>
                <w:webHidden/>
              </w:rPr>
              <w:tab/>
            </w:r>
            <w:r w:rsidR="00FD58BF">
              <w:rPr>
                <w:noProof/>
                <w:webHidden/>
              </w:rPr>
              <w:fldChar w:fldCharType="begin"/>
            </w:r>
            <w:r w:rsidR="00FD58BF">
              <w:rPr>
                <w:noProof/>
                <w:webHidden/>
              </w:rPr>
              <w:instrText xml:space="preserve"> PAGEREF _Toc178838748 \h </w:instrText>
            </w:r>
            <w:r w:rsidR="00FD58BF">
              <w:rPr>
                <w:noProof/>
                <w:webHidden/>
              </w:rPr>
            </w:r>
            <w:r w:rsidR="00FD58BF">
              <w:rPr>
                <w:noProof/>
                <w:webHidden/>
              </w:rPr>
              <w:fldChar w:fldCharType="separate"/>
            </w:r>
            <w:r w:rsidR="00FD58BF">
              <w:rPr>
                <w:noProof/>
                <w:webHidden/>
              </w:rPr>
              <w:t>991</w:t>
            </w:r>
            <w:r w:rsidR="00FD58BF">
              <w:rPr>
                <w:noProof/>
                <w:webHidden/>
              </w:rPr>
              <w:fldChar w:fldCharType="end"/>
            </w:r>
          </w:hyperlink>
        </w:p>
        <w:p w14:paraId="52785EC0" w14:textId="4DBE6D6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9" w:history="1">
            <w:r w:rsidR="00FD58BF" w:rsidRPr="003004E5">
              <w:rPr>
                <w:rStyle w:val="Lienhypertexte"/>
                <w:noProof/>
              </w:rPr>
              <w:t>24.21.3a Murs en bois en caissons préfabriqués remplis d'isolant CCTB 01.12</w:t>
            </w:r>
            <w:r w:rsidR="00FD58BF">
              <w:rPr>
                <w:noProof/>
                <w:webHidden/>
              </w:rPr>
              <w:tab/>
            </w:r>
            <w:r w:rsidR="00FD58BF">
              <w:rPr>
                <w:noProof/>
                <w:webHidden/>
              </w:rPr>
              <w:fldChar w:fldCharType="begin"/>
            </w:r>
            <w:r w:rsidR="00FD58BF">
              <w:rPr>
                <w:noProof/>
                <w:webHidden/>
              </w:rPr>
              <w:instrText xml:space="preserve"> PAGEREF _Toc178838749 \h </w:instrText>
            </w:r>
            <w:r w:rsidR="00FD58BF">
              <w:rPr>
                <w:noProof/>
                <w:webHidden/>
              </w:rPr>
            </w:r>
            <w:r w:rsidR="00FD58BF">
              <w:rPr>
                <w:noProof/>
                <w:webHidden/>
              </w:rPr>
              <w:fldChar w:fldCharType="separate"/>
            </w:r>
            <w:r w:rsidR="00FD58BF">
              <w:rPr>
                <w:noProof/>
                <w:webHidden/>
              </w:rPr>
              <w:t>991</w:t>
            </w:r>
            <w:r w:rsidR="00FD58BF">
              <w:rPr>
                <w:noProof/>
                <w:webHidden/>
              </w:rPr>
              <w:fldChar w:fldCharType="end"/>
            </w:r>
          </w:hyperlink>
        </w:p>
        <w:p w14:paraId="6ED7DA7E" w14:textId="6FA7CCD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0" w:history="1">
            <w:r w:rsidR="00FD58BF" w:rsidRPr="003004E5">
              <w:rPr>
                <w:rStyle w:val="Lienhypertexte"/>
                <w:noProof/>
              </w:rPr>
              <w:t>24.21.3b Murs en bois en caissons préfabriqués remplis de paille CCTB 01.11</w:t>
            </w:r>
            <w:r w:rsidR="00FD58BF">
              <w:rPr>
                <w:noProof/>
                <w:webHidden/>
              </w:rPr>
              <w:tab/>
            </w:r>
            <w:r w:rsidR="00FD58BF">
              <w:rPr>
                <w:noProof/>
                <w:webHidden/>
              </w:rPr>
              <w:fldChar w:fldCharType="begin"/>
            </w:r>
            <w:r w:rsidR="00FD58BF">
              <w:rPr>
                <w:noProof/>
                <w:webHidden/>
              </w:rPr>
              <w:instrText xml:space="preserve"> PAGEREF _Toc178838750 \h </w:instrText>
            </w:r>
            <w:r w:rsidR="00FD58BF">
              <w:rPr>
                <w:noProof/>
                <w:webHidden/>
              </w:rPr>
            </w:r>
            <w:r w:rsidR="00FD58BF">
              <w:rPr>
                <w:noProof/>
                <w:webHidden/>
              </w:rPr>
              <w:fldChar w:fldCharType="separate"/>
            </w:r>
            <w:r w:rsidR="00FD58BF">
              <w:rPr>
                <w:noProof/>
                <w:webHidden/>
              </w:rPr>
              <w:t>998</w:t>
            </w:r>
            <w:r w:rsidR="00FD58BF">
              <w:rPr>
                <w:noProof/>
                <w:webHidden/>
              </w:rPr>
              <w:fldChar w:fldCharType="end"/>
            </w:r>
          </w:hyperlink>
        </w:p>
        <w:p w14:paraId="69E61672" w14:textId="0AAC656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1" w:history="1">
            <w:r w:rsidR="00FD58BF" w:rsidRPr="003004E5">
              <w:rPr>
                <w:rStyle w:val="Lienhypertexte"/>
                <w:noProof/>
              </w:rPr>
              <w:t>24.21.3c Murs en bois en caissons préfabriqués intégrant des galets d'argile CCTB 01.12</w:t>
            </w:r>
            <w:r w:rsidR="00FD58BF">
              <w:rPr>
                <w:noProof/>
                <w:webHidden/>
              </w:rPr>
              <w:tab/>
            </w:r>
            <w:r w:rsidR="00FD58BF">
              <w:rPr>
                <w:noProof/>
                <w:webHidden/>
              </w:rPr>
              <w:fldChar w:fldCharType="begin"/>
            </w:r>
            <w:r w:rsidR="00FD58BF">
              <w:rPr>
                <w:noProof/>
                <w:webHidden/>
              </w:rPr>
              <w:instrText xml:space="preserve"> PAGEREF _Toc178838751 \h </w:instrText>
            </w:r>
            <w:r w:rsidR="00FD58BF">
              <w:rPr>
                <w:noProof/>
                <w:webHidden/>
              </w:rPr>
            </w:r>
            <w:r w:rsidR="00FD58BF">
              <w:rPr>
                <w:noProof/>
                <w:webHidden/>
              </w:rPr>
              <w:fldChar w:fldCharType="separate"/>
            </w:r>
            <w:r w:rsidR="00FD58BF">
              <w:rPr>
                <w:noProof/>
                <w:webHidden/>
              </w:rPr>
              <w:t>1005</w:t>
            </w:r>
            <w:r w:rsidR="00FD58BF">
              <w:rPr>
                <w:noProof/>
                <w:webHidden/>
              </w:rPr>
              <w:fldChar w:fldCharType="end"/>
            </w:r>
          </w:hyperlink>
        </w:p>
        <w:p w14:paraId="3AF80B3A" w14:textId="0E63611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52" w:history="1">
            <w:r w:rsidR="00FD58BF" w:rsidRPr="003004E5">
              <w:rPr>
                <w:rStyle w:val="Lienhypertexte"/>
                <w:noProof/>
              </w:rPr>
              <w:t>24.22 Planchers en bois CCTB 01.11</w:t>
            </w:r>
            <w:r w:rsidR="00FD58BF">
              <w:rPr>
                <w:noProof/>
                <w:webHidden/>
              </w:rPr>
              <w:tab/>
            </w:r>
            <w:r w:rsidR="00FD58BF">
              <w:rPr>
                <w:noProof/>
                <w:webHidden/>
              </w:rPr>
              <w:fldChar w:fldCharType="begin"/>
            </w:r>
            <w:r w:rsidR="00FD58BF">
              <w:rPr>
                <w:noProof/>
                <w:webHidden/>
              </w:rPr>
              <w:instrText xml:space="preserve"> PAGEREF _Toc178838752 \h </w:instrText>
            </w:r>
            <w:r w:rsidR="00FD58BF">
              <w:rPr>
                <w:noProof/>
                <w:webHidden/>
              </w:rPr>
            </w:r>
            <w:r w:rsidR="00FD58BF">
              <w:rPr>
                <w:noProof/>
                <w:webHidden/>
              </w:rPr>
              <w:fldChar w:fldCharType="separate"/>
            </w:r>
            <w:r w:rsidR="00FD58BF">
              <w:rPr>
                <w:noProof/>
                <w:webHidden/>
              </w:rPr>
              <w:t>1012</w:t>
            </w:r>
            <w:r w:rsidR="00FD58BF">
              <w:rPr>
                <w:noProof/>
                <w:webHidden/>
              </w:rPr>
              <w:fldChar w:fldCharType="end"/>
            </w:r>
          </w:hyperlink>
        </w:p>
        <w:p w14:paraId="58D3748E" w14:textId="55BBF86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53" w:history="1">
            <w:r w:rsidR="00FD58BF" w:rsidRPr="003004E5">
              <w:rPr>
                <w:rStyle w:val="Lienhypertexte"/>
                <w:noProof/>
              </w:rPr>
              <w:t>24.22.1 Planchers en bois assemblés sur place CCTB 01.07</w:t>
            </w:r>
            <w:r w:rsidR="00FD58BF">
              <w:rPr>
                <w:noProof/>
                <w:webHidden/>
              </w:rPr>
              <w:tab/>
            </w:r>
            <w:r w:rsidR="00FD58BF">
              <w:rPr>
                <w:noProof/>
                <w:webHidden/>
              </w:rPr>
              <w:fldChar w:fldCharType="begin"/>
            </w:r>
            <w:r w:rsidR="00FD58BF">
              <w:rPr>
                <w:noProof/>
                <w:webHidden/>
              </w:rPr>
              <w:instrText xml:space="preserve"> PAGEREF _Toc178838753 \h </w:instrText>
            </w:r>
            <w:r w:rsidR="00FD58BF">
              <w:rPr>
                <w:noProof/>
                <w:webHidden/>
              </w:rPr>
            </w:r>
            <w:r w:rsidR="00FD58BF">
              <w:rPr>
                <w:noProof/>
                <w:webHidden/>
              </w:rPr>
              <w:fldChar w:fldCharType="separate"/>
            </w:r>
            <w:r w:rsidR="00FD58BF">
              <w:rPr>
                <w:noProof/>
                <w:webHidden/>
              </w:rPr>
              <w:t>1013</w:t>
            </w:r>
            <w:r w:rsidR="00FD58BF">
              <w:rPr>
                <w:noProof/>
                <w:webHidden/>
              </w:rPr>
              <w:fldChar w:fldCharType="end"/>
            </w:r>
          </w:hyperlink>
        </w:p>
        <w:p w14:paraId="432B462D" w14:textId="1414ED4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4" w:history="1">
            <w:r w:rsidR="00FD58BF" w:rsidRPr="003004E5">
              <w:rPr>
                <w:rStyle w:val="Lienhypertexte"/>
                <w:noProof/>
              </w:rPr>
              <w:t>24.22.1a Planchers ossature bois assemblés sur place CCTB 01.07</w:t>
            </w:r>
            <w:r w:rsidR="00FD58BF">
              <w:rPr>
                <w:noProof/>
                <w:webHidden/>
              </w:rPr>
              <w:tab/>
            </w:r>
            <w:r w:rsidR="00FD58BF">
              <w:rPr>
                <w:noProof/>
                <w:webHidden/>
              </w:rPr>
              <w:fldChar w:fldCharType="begin"/>
            </w:r>
            <w:r w:rsidR="00FD58BF">
              <w:rPr>
                <w:noProof/>
                <w:webHidden/>
              </w:rPr>
              <w:instrText xml:space="preserve"> PAGEREF _Toc178838754 \h </w:instrText>
            </w:r>
            <w:r w:rsidR="00FD58BF">
              <w:rPr>
                <w:noProof/>
                <w:webHidden/>
              </w:rPr>
            </w:r>
            <w:r w:rsidR="00FD58BF">
              <w:rPr>
                <w:noProof/>
                <w:webHidden/>
              </w:rPr>
              <w:fldChar w:fldCharType="separate"/>
            </w:r>
            <w:r w:rsidR="00FD58BF">
              <w:rPr>
                <w:noProof/>
                <w:webHidden/>
              </w:rPr>
              <w:t>1013</w:t>
            </w:r>
            <w:r w:rsidR="00FD58BF">
              <w:rPr>
                <w:noProof/>
                <w:webHidden/>
              </w:rPr>
              <w:fldChar w:fldCharType="end"/>
            </w:r>
          </w:hyperlink>
        </w:p>
        <w:p w14:paraId="6E2FF6F9" w14:textId="37F6401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5" w:history="1">
            <w:r w:rsidR="00FD58BF" w:rsidRPr="003004E5">
              <w:rPr>
                <w:rStyle w:val="Lienhypertexte"/>
                <w:noProof/>
              </w:rPr>
              <w:t>24.22.1b Solives revêtues d'un platelage assemblées sur place CCTB 01.07</w:t>
            </w:r>
            <w:r w:rsidR="00FD58BF">
              <w:rPr>
                <w:noProof/>
                <w:webHidden/>
              </w:rPr>
              <w:tab/>
            </w:r>
            <w:r w:rsidR="00FD58BF">
              <w:rPr>
                <w:noProof/>
                <w:webHidden/>
              </w:rPr>
              <w:fldChar w:fldCharType="begin"/>
            </w:r>
            <w:r w:rsidR="00FD58BF">
              <w:rPr>
                <w:noProof/>
                <w:webHidden/>
              </w:rPr>
              <w:instrText xml:space="preserve"> PAGEREF _Toc178838755 \h </w:instrText>
            </w:r>
            <w:r w:rsidR="00FD58BF">
              <w:rPr>
                <w:noProof/>
                <w:webHidden/>
              </w:rPr>
            </w:r>
            <w:r w:rsidR="00FD58BF">
              <w:rPr>
                <w:noProof/>
                <w:webHidden/>
              </w:rPr>
              <w:fldChar w:fldCharType="separate"/>
            </w:r>
            <w:r w:rsidR="00FD58BF">
              <w:rPr>
                <w:noProof/>
                <w:webHidden/>
              </w:rPr>
              <w:t>1013</w:t>
            </w:r>
            <w:r w:rsidR="00FD58BF">
              <w:rPr>
                <w:noProof/>
                <w:webHidden/>
              </w:rPr>
              <w:fldChar w:fldCharType="end"/>
            </w:r>
          </w:hyperlink>
        </w:p>
        <w:p w14:paraId="4122AB5D" w14:textId="3FCCE58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6" w:history="1">
            <w:r w:rsidR="00FD58BF" w:rsidRPr="003004E5">
              <w:rPr>
                <w:rStyle w:val="Lienhypertexte"/>
                <w:noProof/>
              </w:rPr>
              <w:t>24.22.1c Planchers mixtes bois-béton assemblés sur place CCTB 01.11</w:t>
            </w:r>
            <w:r w:rsidR="00FD58BF">
              <w:rPr>
                <w:noProof/>
                <w:webHidden/>
              </w:rPr>
              <w:tab/>
            </w:r>
            <w:r w:rsidR="00FD58BF">
              <w:rPr>
                <w:noProof/>
                <w:webHidden/>
              </w:rPr>
              <w:fldChar w:fldCharType="begin"/>
            </w:r>
            <w:r w:rsidR="00FD58BF">
              <w:rPr>
                <w:noProof/>
                <w:webHidden/>
              </w:rPr>
              <w:instrText xml:space="preserve"> PAGEREF _Toc178838756 \h </w:instrText>
            </w:r>
            <w:r w:rsidR="00FD58BF">
              <w:rPr>
                <w:noProof/>
                <w:webHidden/>
              </w:rPr>
            </w:r>
            <w:r w:rsidR="00FD58BF">
              <w:rPr>
                <w:noProof/>
                <w:webHidden/>
              </w:rPr>
              <w:fldChar w:fldCharType="separate"/>
            </w:r>
            <w:r w:rsidR="00FD58BF">
              <w:rPr>
                <w:noProof/>
                <w:webHidden/>
              </w:rPr>
              <w:t>1013</w:t>
            </w:r>
            <w:r w:rsidR="00FD58BF">
              <w:rPr>
                <w:noProof/>
                <w:webHidden/>
              </w:rPr>
              <w:fldChar w:fldCharType="end"/>
            </w:r>
          </w:hyperlink>
        </w:p>
        <w:p w14:paraId="6A14E0D4" w14:textId="03194A1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57" w:history="1">
            <w:r w:rsidR="00FD58BF" w:rsidRPr="003004E5">
              <w:rPr>
                <w:rStyle w:val="Lienhypertexte"/>
                <w:noProof/>
              </w:rPr>
              <w:t>24.22.2 Planchers en bois préfabriqués CCTB 01.11</w:t>
            </w:r>
            <w:r w:rsidR="00FD58BF">
              <w:rPr>
                <w:noProof/>
                <w:webHidden/>
              </w:rPr>
              <w:tab/>
            </w:r>
            <w:r w:rsidR="00FD58BF">
              <w:rPr>
                <w:noProof/>
                <w:webHidden/>
              </w:rPr>
              <w:fldChar w:fldCharType="begin"/>
            </w:r>
            <w:r w:rsidR="00FD58BF">
              <w:rPr>
                <w:noProof/>
                <w:webHidden/>
              </w:rPr>
              <w:instrText xml:space="preserve"> PAGEREF _Toc178838757 \h </w:instrText>
            </w:r>
            <w:r w:rsidR="00FD58BF">
              <w:rPr>
                <w:noProof/>
                <w:webHidden/>
              </w:rPr>
            </w:r>
            <w:r w:rsidR="00FD58BF">
              <w:rPr>
                <w:noProof/>
                <w:webHidden/>
              </w:rPr>
              <w:fldChar w:fldCharType="separate"/>
            </w:r>
            <w:r w:rsidR="00FD58BF">
              <w:rPr>
                <w:noProof/>
                <w:webHidden/>
              </w:rPr>
              <w:t>1017</w:t>
            </w:r>
            <w:r w:rsidR="00FD58BF">
              <w:rPr>
                <w:noProof/>
                <w:webHidden/>
              </w:rPr>
              <w:fldChar w:fldCharType="end"/>
            </w:r>
          </w:hyperlink>
        </w:p>
        <w:p w14:paraId="3E02213F" w14:textId="63B2C53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8" w:history="1">
            <w:r w:rsidR="00FD58BF" w:rsidRPr="003004E5">
              <w:rPr>
                <w:rStyle w:val="Lienhypertexte"/>
                <w:noProof/>
              </w:rPr>
              <w:t>24.22.2a Planchers ossature bois préfabriqués CCTB 01.12</w:t>
            </w:r>
            <w:r w:rsidR="00FD58BF">
              <w:rPr>
                <w:noProof/>
                <w:webHidden/>
              </w:rPr>
              <w:tab/>
            </w:r>
            <w:r w:rsidR="00FD58BF">
              <w:rPr>
                <w:noProof/>
                <w:webHidden/>
              </w:rPr>
              <w:fldChar w:fldCharType="begin"/>
            </w:r>
            <w:r w:rsidR="00FD58BF">
              <w:rPr>
                <w:noProof/>
                <w:webHidden/>
              </w:rPr>
              <w:instrText xml:space="preserve"> PAGEREF _Toc178838758 \h </w:instrText>
            </w:r>
            <w:r w:rsidR="00FD58BF">
              <w:rPr>
                <w:noProof/>
                <w:webHidden/>
              </w:rPr>
            </w:r>
            <w:r w:rsidR="00FD58BF">
              <w:rPr>
                <w:noProof/>
                <w:webHidden/>
              </w:rPr>
              <w:fldChar w:fldCharType="separate"/>
            </w:r>
            <w:r w:rsidR="00FD58BF">
              <w:rPr>
                <w:noProof/>
                <w:webHidden/>
              </w:rPr>
              <w:t>1019</w:t>
            </w:r>
            <w:r w:rsidR="00FD58BF">
              <w:rPr>
                <w:noProof/>
                <w:webHidden/>
              </w:rPr>
              <w:fldChar w:fldCharType="end"/>
            </w:r>
          </w:hyperlink>
        </w:p>
        <w:p w14:paraId="72C24DDE" w14:textId="55ED63C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9" w:history="1">
            <w:r w:rsidR="00FD58BF" w:rsidRPr="003004E5">
              <w:rPr>
                <w:rStyle w:val="Lienhypertexte"/>
                <w:noProof/>
              </w:rPr>
              <w:t>24.22.2b Planchers en hourdis bois préfabriqués CCTB 01.11</w:t>
            </w:r>
            <w:r w:rsidR="00FD58BF">
              <w:rPr>
                <w:noProof/>
                <w:webHidden/>
              </w:rPr>
              <w:tab/>
            </w:r>
            <w:r w:rsidR="00FD58BF">
              <w:rPr>
                <w:noProof/>
                <w:webHidden/>
              </w:rPr>
              <w:fldChar w:fldCharType="begin"/>
            </w:r>
            <w:r w:rsidR="00FD58BF">
              <w:rPr>
                <w:noProof/>
                <w:webHidden/>
              </w:rPr>
              <w:instrText xml:space="preserve"> PAGEREF _Toc178838759 \h </w:instrText>
            </w:r>
            <w:r w:rsidR="00FD58BF">
              <w:rPr>
                <w:noProof/>
                <w:webHidden/>
              </w:rPr>
            </w:r>
            <w:r w:rsidR="00FD58BF">
              <w:rPr>
                <w:noProof/>
                <w:webHidden/>
              </w:rPr>
              <w:fldChar w:fldCharType="separate"/>
            </w:r>
            <w:r w:rsidR="00FD58BF">
              <w:rPr>
                <w:noProof/>
                <w:webHidden/>
              </w:rPr>
              <w:t>1023</w:t>
            </w:r>
            <w:r w:rsidR="00FD58BF">
              <w:rPr>
                <w:noProof/>
                <w:webHidden/>
              </w:rPr>
              <w:fldChar w:fldCharType="end"/>
            </w:r>
          </w:hyperlink>
        </w:p>
        <w:p w14:paraId="233231A4" w14:textId="37AA179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0" w:history="1">
            <w:r w:rsidR="00FD58BF" w:rsidRPr="003004E5">
              <w:rPr>
                <w:rStyle w:val="Lienhypertexte"/>
                <w:noProof/>
              </w:rPr>
              <w:t>24.22.2c Planchers en hourdis fait de planches sur chants préfabriqués CCTB 01.12</w:t>
            </w:r>
            <w:r w:rsidR="00FD58BF">
              <w:rPr>
                <w:noProof/>
                <w:webHidden/>
              </w:rPr>
              <w:tab/>
            </w:r>
            <w:r w:rsidR="00FD58BF">
              <w:rPr>
                <w:noProof/>
                <w:webHidden/>
              </w:rPr>
              <w:fldChar w:fldCharType="begin"/>
            </w:r>
            <w:r w:rsidR="00FD58BF">
              <w:rPr>
                <w:noProof/>
                <w:webHidden/>
              </w:rPr>
              <w:instrText xml:space="preserve"> PAGEREF _Toc178838760 \h </w:instrText>
            </w:r>
            <w:r w:rsidR="00FD58BF">
              <w:rPr>
                <w:noProof/>
                <w:webHidden/>
              </w:rPr>
            </w:r>
            <w:r w:rsidR="00FD58BF">
              <w:rPr>
                <w:noProof/>
                <w:webHidden/>
              </w:rPr>
              <w:fldChar w:fldCharType="separate"/>
            </w:r>
            <w:r w:rsidR="00FD58BF">
              <w:rPr>
                <w:noProof/>
                <w:webHidden/>
              </w:rPr>
              <w:t>1026</w:t>
            </w:r>
            <w:r w:rsidR="00FD58BF">
              <w:rPr>
                <w:noProof/>
                <w:webHidden/>
              </w:rPr>
              <w:fldChar w:fldCharType="end"/>
            </w:r>
          </w:hyperlink>
        </w:p>
        <w:p w14:paraId="57A71AF2" w14:textId="46B6C19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1" w:history="1">
            <w:r w:rsidR="00FD58BF" w:rsidRPr="003004E5">
              <w:rPr>
                <w:rStyle w:val="Lienhypertexte"/>
                <w:noProof/>
              </w:rPr>
              <w:t>24.22.2d Planchers préfabriqués en lamellés collés à plat  CCTB 01.10</w:t>
            </w:r>
            <w:r w:rsidR="00FD58BF">
              <w:rPr>
                <w:noProof/>
                <w:webHidden/>
              </w:rPr>
              <w:tab/>
            </w:r>
            <w:r w:rsidR="00FD58BF">
              <w:rPr>
                <w:noProof/>
                <w:webHidden/>
              </w:rPr>
              <w:fldChar w:fldCharType="begin"/>
            </w:r>
            <w:r w:rsidR="00FD58BF">
              <w:rPr>
                <w:noProof/>
                <w:webHidden/>
              </w:rPr>
              <w:instrText xml:space="preserve"> PAGEREF _Toc178838761 \h </w:instrText>
            </w:r>
            <w:r w:rsidR="00FD58BF">
              <w:rPr>
                <w:noProof/>
                <w:webHidden/>
              </w:rPr>
            </w:r>
            <w:r w:rsidR="00FD58BF">
              <w:rPr>
                <w:noProof/>
                <w:webHidden/>
              </w:rPr>
              <w:fldChar w:fldCharType="separate"/>
            </w:r>
            <w:r w:rsidR="00FD58BF">
              <w:rPr>
                <w:noProof/>
                <w:webHidden/>
              </w:rPr>
              <w:t>1028</w:t>
            </w:r>
            <w:r w:rsidR="00FD58BF">
              <w:rPr>
                <w:noProof/>
                <w:webHidden/>
              </w:rPr>
              <w:fldChar w:fldCharType="end"/>
            </w:r>
          </w:hyperlink>
        </w:p>
        <w:p w14:paraId="40C1A2DC" w14:textId="3DCB776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2" w:history="1">
            <w:r w:rsidR="00FD58BF" w:rsidRPr="003004E5">
              <w:rPr>
                <w:rStyle w:val="Lienhypertexte"/>
                <w:noProof/>
              </w:rPr>
              <w:t>24.22.2e Planchers à caissons faits de planches préfabriqués CCTB 01.11</w:t>
            </w:r>
            <w:r w:rsidR="00FD58BF">
              <w:rPr>
                <w:noProof/>
                <w:webHidden/>
              </w:rPr>
              <w:tab/>
            </w:r>
            <w:r w:rsidR="00FD58BF">
              <w:rPr>
                <w:noProof/>
                <w:webHidden/>
              </w:rPr>
              <w:fldChar w:fldCharType="begin"/>
            </w:r>
            <w:r w:rsidR="00FD58BF">
              <w:rPr>
                <w:noProof/>
                <w:webHidden/>
              </w:rPr>
              <w:instrText xml:space="preserve"> PAGEREF _Toc178838762 \h </w:instrText>
            </w:r>
            <w:r w:rsidR="00FD58BF">
              <w:rPr>
                <w:noProof/>
                <w:webHidden/>
              </w:rPr>
            </w:r>
            <w:r w:rsidR="00FD58BF">
              <w:rPr>
                <w:noProof/>
                <w:webHidden/>
              </w:rPr>
              <w:fldChar w:fldCharType="separate"/>
            </w:r>
            <w:r w:rsidR="00FD58BF">
              <w:rPr>
                <w:noProof/>
                <w:webHidden/>
              </w:rPr>
              <w:t>1028</w:t>
            </w:r>
            <w:r w:rsidR="00FD58BF">
              <w:rPr>
                <w:noProof/>
                <w:webHidden/>
              </w:rPr>
              <w:fldChar w:fldCharType="end"/>
            </w:r>
          </w:hyperlink>
        </w:p>
        <w:p w14:paraId="5F91AFCE" w14:textId="4408B4C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3" w:history="1">
            <w:r w:rsidR="00FD58BF" w:rsidRPr="003004E5">
              <w:rPr>
                <w:rStyle w:val="Lienhypertexte"/>
                <w:noProof/>
              </w:rPr>
              <w:t>24.22.2f Planchers à caissons faits de LVL préfabriqués CCTB 01.07</w:t>
            </w:r>
            <w:r w:rsidR="00FD58BF">
              <w:rPr>
                <w:noProof/>
                <w:webHidden/>
              </w:rPr>
              <w:tab/>
            </w:r>
            <w:r w:rsidR="00FD58BF">
              <w:rPr>
                <w:noProof/>
                <w:webHidden/>
              </w:rPr>
              <w:fldChar w:fldCharType="begin"/>
            </w:r>
            <w:r w:rsidR="00FD58BF">
              <w:rPr>
                <w:noProof/>
                <w:webHidden/>
              </w:rPr>
              <w:instrText xml:space="preserve"> PAGEREF _Toc178838763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73126286" w14:textId="2D5C9B3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4" w:history="1">
            <w:r w:rsidR="00FD58BF" w:rsidRPr="003004E5">
              <w:rPr>
                <w:rStyle w:val="Lienhypertexte"/>
                <w:noProof/>
              </w:rPr>
              <w:t>24.22.2g Planchers en CLT nervuré préfabriqués  CCTB 01.07</w:t>
            </w:r>
            <w:r w:rsidR="00FD58BF">
              <w:rPr>
                <w:noProof/>
                <w:webHidden/>
              </w:rPr>
              <w:tab/>
            </w:r>
            <w:r w:rsidR="00FD58BF">
              <w:rPr>
                <w:noProof/>
                <w:webHidden/>
              </w:rPr>
              <w:fldChar w:fldCharType="begin"/>
            </w:r>
            <w:r w:rsidR="00FD58BF">
              <w:rPr>
                <w:noProof/>
                <w:webHidden/>
              </w:rPr>
              <w:instrText xml:space="preserve"> PAGEREF _Toc178838764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235AB614" w14:textId="0E3ABC2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5" w:history="1">
            <w:r w:rsidR="00FD58BF" w:rsidRPr="003004E5">
              <w:rPr>
                <w:rStyle w:val="Lienhypertexte"/>
                <w:noProof/>
              </w:rPr>
              <w:t>24.22.2h Planchers mixtes bois-béton préfabriqués CCTB 01.10</w:t>
            </w:r>
            <w:r w:rsidR="00FD58BF">
              <w:rPr>
                <w:noProof/>
                <w:webHidden/>
              </w:rPr>
              <w:tab/>
            </w:r>
            <w:r w:rsidR="00FD58BF">
              <w:rPr>
                <w:noProof/>
                <w:webHidden/>
              </w:rPr>
              <w:fldChar w:fldCharType="begin"/>
            </w:r>
            <w:r w:rsidR="00FD58BF">
              <w:rPr>
                <w:noProof/>
                <w:webHidden/>
              </w:rPr>
              <w:instrText xml:space="preserve"> PAGEREF _Toc178838765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6A07D96E" w14:textId="7491259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66" w:history="1">
            <w:r w:rsidR="00FD58BF" w:rsidRPr="003004E5">
              <w:rPr>
                <w:rStyle w:val="Lienhypertexte"/>
                <w:noProof/>
              </w:rPr>
              <w:t>24.23 Systèmes de toiture en bois CCTB 01.11</w:t>
            </w:r>
            <w:r w:rsidR="00FD58BF">
              <w:rPr>
                <w:noProof/>
                <w:webHidden/>
              </w:rPr>
              <w:tab/>
            </w:r>
            <w:r w:rsidR="00FD58BF">
              <w:rPr>
                <w:noProof/>
                <w:webHidden/>
              </w:rPr>
              <w:fldChar w:fldCharType="begin"/>
            </w:r>
            <w:r w:rsidR="00FD58BF">
              <w:rPr>
                <w:noProof/>
                <w:webHidden/>
              </w:rPr>
              <w:instrText xml:space="preserve"> PAGEREF _Toc178838766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4A2D4BB1" w14:textId="2D8AEC6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67" w:history="1">
            <w:r w:rsidR="00FD58BF" w:rsidRPr="003004E5">
              <w:rPr>
                <w:rStyle w:val="Lienhypertexte"/>
                <w:noProof/>
              </w:rPr>
              <w:t>24.23.1 Systèmes de toiture en bois assemblés sur place CCTB 01.07</w:t>
            </w:r>
            <w:r w:rsidR="00FD58BF">
              <w:rPr>
                <w:noProof/>
                <w:webHidden/>
              </w:rPr>
              <w:tab/>
            </w:r>
            <w:r w:rsidR="00FD58BF">
              <w:rPr>
                <w:noProof/>
                <w:webHidden/>
              </w:rPr>
              <w:fldChar w:fldCharType="begin"/>
            </w:r>
            <w:r w:rsidR="00FD58BF">
              <w:rPr>
                <w:noProof/>
                <w:webHidden/>
              </w:rPr>
              <w:instrText xml:space="preserve"> PAGEREF _Toc178838767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46BDB35F" w14:textId="34CB2FA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8" w:history="1">
            <w:r w:rsidR="00FD58BF" w:rsidRPr="003004E5">
              <w:rPr>
                <w:rStyle w:val="Lienhypertexte"/>
                <w:noProof/>
              </w:rPr>
              <w:t>24.23.1a Systèmes de toiture ossatures bois assemblés sur place CCTB 01.07</w:t>
            </w:r>
            <w:r w:rsidR="00FD58BF">
              <w:rPr>
                <w:noProof/>
                <w:webHidden/>
              </w:rPr>
              <w:tab/>
            </w:r>
            <w:r w:rsidR="00FD58BF">
              <w:rPr>
                <w:noProof/>
                <w:webHidden/>
              </w:rPr>
              <w:fldChar w:fldCharType="begin"/>
            </w:r>
            <w:r w:rsidR="00FD58BF">
              <w:rPr>
                <w:noProof/>
                <w:webHidden/>
              </w:rPr>
              <w:instrText xml:space="preserve"> PAGEREF _Toc178838768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769716D4" w14:textId="3BEC9AB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69" w:history="1">
            <w:r w:rsidR="00FD58BF" w:rsidRPr="003004E5">
              <w:rPr>
                <w:rStyle w:val="Lienhypertexte"/>
                <w:noProof/>
              </w:rPr>
              <w:t>24.23.2 Systèmes de toiture en bois préfabriqués CCTB 01.07</w:t>
            </w:r>
            <w:r w:rsidR="00FD58BF">
              <w:rPr>
                <w:noProof/>
                <w:webHidden/>
              </w:rPr>
              <w:tab/>
            </w:r>
            <w:r w:rsidR="00FD58BF">
              <w:rPr>
                <w:noProof/>
                <w:webHidden/>
              </w:rPr>
              <w:fldChar w:fldCharType="begin"/>
            </w:r>
            <w:r w:rsidR="00FD58BF">
              <w:rPr>
                <w:noProof/>
                <w:webHidden/>
              </w:rPr>
              <w:instrText xml:space="preserve"> PAGEREF _Toc178838769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1D53C29F" w14:textId="5879273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0" w:history="1">
            <w:r w:rsidR="00FD58BF" w:rsidRPr="003004E5">
              <w:rPr>
                <w:rStyle w:val="Lienhypertexte"/>
                <w:noProof/>
              </w:rPr>
              <w:t>24.23.2a Systèmes de toiture ossature bois préfabriqués CCTB 01.07</w:t>
            </w:r>
            <w:r w:rsidR="00FD58BF">
              <w:rPr>
                <w:noProof/>
                <w:webHidden/>
              </w:rPr>
              <w:tab/>
            </w:r>
            <w:r w:rsidR="00FD58BF">
              <w:rPr>
                <w:noProof/>
                <w:webHidden/>
              </w:rPr>
              <w:fldChar w:fldCharType="begin"/>
            </w:r>
            <w:r w:rsidR="00FD58BF">
              <w:rPr>
                <w:noProof/>
                <w:webHidden/>
              </w:rPr>
              <w:instrText xml:space="preserve"> PAGEREF _Toc178838770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315E0E20" w14:textId="4D2E5A6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1" w:history="1">
            <w:r w:rsidR="00FD58BF" w:rsidRPr="003004E5">
              <w:rPr>
                <w:rStyle w:val="Lienhypertexte"/>
                <w:noProof/>
              </w:rPr>
              <w:t>24.23.2b Systèmes de toiture en CLT préfabriqués collés CCTB 01.11</w:t>
            </w:r>
            <w:r w:rsidR="00FD58BF">
              <w:rPr>
                <w:noProof/>
                <w:webHidden/>
              </w:rPr>
              <w:tab/>
            </w:r>
            <w:r w:rsidR="00FD58BF">
              <w:rPr>
                <w:noProof/>
                <w:webHidden/>
              </w:rPr>
              <w:fldChar w:fldCharType="begin"/>
            </w:r>
            <w:r w:rsidR="00FD58BF">
              <w:rPr>
                <w:noProof/>
                <w:webHidden/>
              </w:rPr>
              <w:instrText xml:space="preserve"> PAGEREF _Toc178838771 \h </w:instrText>
            </w:r>
            <w:r w:rsidR="00FD58BF">
              <w:rPr>
                <w:noProof/>
                <w:webHidden/>
              </w:rPr>
            </w:r>
            <w:r w:rsidR="00FD58BF">
              <w:rPr>
                <w:noProof/>
                <w:webHidden/>
              </w:rPr>
              <w:fldChar w:fldCharType="separate"/>
            </w:r>
            <w:r w:rsidR="00FD58BF">
              <w:rPr>
                <w:noProof/>
                <w:webHidden/>
              </w:rPr>
              <w:t>1032</w:t>
            </w:r>
            <w:r w:rsidR="00FD58BF">
              <w:rPr>
                <w:noProof/>
                <w:webHidden/>
              </w:rPr>
              <w:fldChar w:fldCharType="end"/>
            </w:r>
          </w:hyperlink>
        </w:p>
        <w:p w14:paraId="0050BC98" w14:textId="18A3C7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2" w:history="1">
            <w:r w:rsidR="00FD58BF" w:rsidRPr="003004E5">
              <w:rPr>
                <w:rStyle w:val="Lienhypertexte"/>
                <w:noProof/>
              </w:rPr>
              <w:t>24.23.2c Systèmes de toiture en CLT préfabriqués cloués-collés CCTB 01.11</w:t>
            </w:r>
            <w:r w:rsidR="00FD58BF">
              <w:rPr>
                <w:noProof/>
                <w:webHidden/>
              </w:rPr>
              <w:tab/>
            </w:r>
            <w:r w:rsidR="00FD58BF">
              <w:rPr>
                <w:noProof/>
                <w:webHidden/>
              </w:rPr>
              <w:fldChar w:fldCharType="begin"/>
            </w:r>
            <w:r w:rsidR="00FD58BF">
              <w:rPr>
                <w:noProof/>
                <w:webHidden/>
              </w:rPr>
              <w:instrText xml:space="preserve"> PAGEREF _Toc178838772 \h </w:instrText>
            </w:r>
            <w:r w:rsidR="00FD58BF">
              <w:rPr>
                <w:noProof/>
                <w:webHidden/>
              </w:rPr>
            </w:r>
            <w:r w:rsidR="00FD58BF">
              <w:rPr>
                <w:noProof/>
                <w:webHidden/>
              </w:rPr>
              <w:fldChar w:fldCharType="separate"/>
            </w:r>
            <w:r w:rsidR="00FD58BF">
              <w:rPr>
                <w:noProof/>
                <w:webHidden/>
              </w:rPr>
              <w:t>1036</w:t>
            </w:r>
            <w:r w:rsidR="00FD58BF">
              <w:rPr>
                <w:noProof/>
                <w:webHidden/>
              </w:rPr>
              <w:fldChar w:fldCharType="end"/>
            </w:r>
          </w:hyperlink>
        </w:p>
        <w:p w14:paraId="345FB3F7" w14:textId="1F2DABB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73" w:history="1">
            <w:r w:rsidR="00FD58BF" w:rsidRPr="003004E5">
              <w:rPr>
                <w:rStyle w:val="Lienhypertexte"/>
                <w:noProof/>
              </w:rPr>
              <w:t>24.23.3 Systèmes de toiture en bois à base de caissons CCTB 01.11</w:t>
            </w:r>
            <w:r w:rsidR="00FD58BF">
              <w:rPr>
                <w:noProof/>
                <w:webHidden/>
              </w:rPr>
              <w:tab/>
            </w:r>
            <w:r w:rsidR="00FD58BF">
              <w:rPr>
                <w:noProof/>
                <w:webHidden/>
              </w:rPr>
              <w:fldChar w:fldCharType="begin"/>
            </w:r>
            <w:r w:rsidR="00FD58BF">
              <w:rPr>
                <w:noProof/>
                <w:webHidden/>
              </w:rPr>
              <w:instrText xml:space="preserve"> PAGEREF _Toc178838773 \h </w:instrText>
            </w:r>
            <w:r w:rsidR="00FD58BF">
              <w:rPr>
                <w:noProof/>
                <w:webHidden/>
              </w:rPr>
            </w:r>
            <w:r w:rsidR="00FD58BF">
              <w:rPr>
                <w:noProof/>
                <w:webHidden/>
              </w:rPr>
              <w:fldChar w:fldCharType="separate"/>
            </w:r>
            <w:r w:rsidR="00FD58BF">
              <w:rPr>
                <w:noProof/>
                <w:webHidden/>
              </w:rPr>
              <w:t>1039</w:t>
            </w:r>
            <w:r w:rsidR="00FD58BF">
              <w:rPr>
                <w:noProof/>
                <w:webHidden/>
              </w:rPr>
              <w:fldChar w:fldCharType="end"/>
            </w:r>
          </w:hyperlink>
        </w:p>
        <w:p w14:paraId="5687CCAB" w14:textId="27550E0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4" w:history="1">
            <w:r w:rsidR="00FD58BF" w:rsidRPr="003004E5">
              <w:rPr>
                <w:rStyle w:val="Lienhypertexte"/>
                <w:noProof/>
              </w:rPr>
              <w:t>24.23.3a Systèmes de toiture en bois à base de caissons faits de planches CCTB 01.11</w:t>
            </w:r>
            <w:r w:rsidR="00FD58BF">
              <w:rPr>
                <w:noProof/>
                <w:webHidden/>
              </w:rPr>
              <w:tab/>
            </w:r>
            <w:r w:rsidR="00FD58BF">
              <w:rPr>
                <w:noProof/>
                <w:webHidden/>
              </w:rPr>
              <w:fldChar w:fldCharType="begin"/>
            </w:r>
            <w:r w:rsidR="00FD58BF">
              <w:rPr>
                <w:noProof/>
                <w:webHidden/>
              </w:rPr>
              <w:instrText xml:space="preserve"> PAGEREF _Toc178838774 \h </w:instrText>
            </w:r>
            <w:r w:rsidR="00FD58BF">
              <w:rPr>
                <w:noProof/>
                <w:webHidden/>
              </w:rPr>
            </w:r>
            <w:r w:rsidR="00FD58BF">
              <w:rPr>
                <w:noProof/>
                <w:webHidden/>
              </w:rPr>
              <w:fldChar w:fldCharType="separate"/>
            </w:r>
            <w:r w:rsidR="00FD58BF">
              <w:rPr>
                <w:noProof/>
                <w:webHidden/>
              </w:rPr>
              <w:t>1041</w:t>
            </w:r>
            <w:r w:rsidR="00FD58BF">
              <w:rPr>
                <w:noProof/>
                <w:webHidden/>
              </w:rPr>
              <w:fldChar w:fldCharType="end"/>
            </w:r>
          </w:hyperlink>
        </w:p>
        <w:p w14:paraId="32C39E5A" w14:textId="68943BA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5" w:history="1">
            <w:r w:rsidR="00FD58BF" w:rsidRPr="003004E5">
              <w:rPr>
                <w:rStyle w:val="Lienhypertexte"/>
                <w:noProof/>
              </w:rPr>
              <w:t>24.23.3b Systèmes de toiture en bois à base de caissons faits de LVL CCTB 01.10</w:t>
            </w:r>
            <w:r w:rsidR="00FD58BF">
              <w:rPr>
                <w:noProof/>
                <w:webHidden/>
              </w:rPr>
              <w:tab/>
            </w:r>
            <w:r w:rsidR="00FD58BF">
              <w:rPr>
                <w:noProof/>
                <w:webHidden/>
              </w:rPr>
              <w:fldChar w:fldCharType="begin"/>
            </w:r>
            <w:r w:rsidR="00FD58BF">
              <w:rPr>
                <w:noProof/>
                <w:webHidden/>
              </w:rPr>
              <w:instrText xml:space="preserve"> PAGEREF _Toc178838775 \h </w:instrText>
            </w:r>
            <w:r w:rsidR="00FD58BF">
              <w:rPr>
                <w:noProof/>
                <w:webHidden/>
              </w:rPr>
            </w:r>
            <w:r w:rsidR="00FD58BF">
              <w:rPr>
                <w:noProof/>
                <w:webHidden/>
              </w:rPr>
              <w:fldChar w:fldCharType="separate"/>
            </w:r>
            <w:r w:rsidR="00FD58BF">
              <w:rPr>
                <w:noProof/>
                <w:webHidden/>
              </w:rPr>
              <w:t>1044</w:t>
            </w:r>
            <w:r w:rsidR="00FD58BF">
              <w:rPr>
                <w:noProof/>
                <w:webHidden/>
              </w:rPr>
              <w:fldChar w:fldCharType="end"/>
            </w:r>
          </w:hyperlink>
        </w:p>
        <w:p w14:paraId="159EC18F" w14:textId="461289D6"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76" w:history="1">
            <w:r w:rsidR="00FD58BF" w:rsidRPr="003004E5">
              <w:rPr>
                <w:rStyle w:val="Lienhypertexte"/>
                <w:noProof/>
              </w:rPr>
              <w:t>24.24 Charpentes en bois CCTB 01.11</w:t>
            </w:r>
            <w:r w:rsidR="00FD58BF">
              <w:rPr>
                <w:noProof/>
                <w:webHidden/>
              </w:rPr>
              <w:tab/>
            </w:r>
            <w:r w:rsidR="00FD58BF">
              <w:rPr>
                <w:noProof/>
                <w:webHidden/>
              </w:rPr>
              <w:fldChar w:fldCharType="begin"/>
            </w:r>
            <w:r w:rsidR="00FD58BF">
              <w:rPr>
                <w:noProof/>
                <w:webHidden/>
              </w:rPr>
              <w:instrText xml:space="preserve"> PAGEREF _Toc178838776 \h </w:instrText>
            </w:r>
            <w:r w:rsidR="00FD58BF">
              <w:rPr>
                <w:noProof/>
                <w:webHidden/>
              </w:rPr>
            </w:r>
            <w:r w:rsidR="00FD58BF">
              <w:rPr>
                <w:noProof/>
                <w:webHidden/>
              </w:rPr>
              <w:fldChar w:fldCharType="separate"/>
            </w:r>
            <w:r w:rsidR="00FD58BF">
              <w:rPr>
                <w:noProof/>
                <w:webHidden/>
              </w:rPr>
              <w:t>1044</w:t>
            </w:r>
            <w:r w:rsidR="00FD58BF">
              <w:rPr>
                <w:noProof/>
                <w:webHidden/>
              </w:rPr>
              <w:fldChar w:fldCharType="end"/>
            </w:r>
          </w:hyperlink>
        </w:p>
        <w:p w14:paraId="06743CC8" w14:textId="4F31C31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77" w:history="1">
            <w:r w:rsidR="00FD58BF" w:rsidRPr="003004E5">
              <w:rPr>
                <w:rStyle w:val="Lienhypertexte"/>
                <w:noProof/>
              </w:rPr>
              <w:t>24.24.1 Charpentes en bois assemblées sur place CCTB 01.04</w:t>
            </w:r>
            <w:r w:rsidR="00FD58BF">
              <w:rPr>
                <w:noProof/>
                <w:webHidden/>
              </w:rPr>
              <w:tab/>
            </w:r>
            <w:r w:rsidR="00FD58BF">
              <w:rPr>
                <w:noProof/>
                <w:webHidden/>
              </w:rPr>
              <w:fldChar w:fldCharType="begin"/>
            </w:r>
            <w:r w:rsidR="00FD58BF">
              <w:rPr>
                <w:noProof/>
                <w:webHidden/>
              </w:rPr>
              <w:instrText xml:space="preserve"> PAGEREF _Toc178838777 \h </w:instrText>
            </w:r>
            <w:r w:rsidR="00FD58BF">
              <w:rPr>
                <w:noProof/>
                <w:webHidden/>
              </w:rPr>
            </w:r>
            <w:r w:rsidR="00FD58BF">
              <w:rPr>
                <w:noProof/>
                <w:webHidden/>
              </w:rPr>
              <w:fldChar w:fldCharType="separate"/>
            </w:r>
            <w:r w:rsidR="00FD58BF">
              <w:rPr>
                <w:noProof/>
                <w:webHidden/>
              </w:rPr>
              <w:t>1052</w:t>
            </w:r>
            <w:r w:rsidR="00FD58BF">
              <w:rPr>
                <w:noProof/>
                <w:webHidden/>
              </w:rPr>
              <w:fldChar w:fldCharType="end"/>
            </w:r>
          </w:hyperlink>
        </w:p>
        <w:p w14:paraId="344C701E" w14:textId="44DE7D7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8" w:history="1">
            <w:r w:rsidR="00FD58BF" w:rsidRPr="003004E5">
              <w:rPr>
                <w:rStyle w:val="Lienhypertexte"/>
                <w:noProof/>
              </w:rPr>
              <w:t>24.24.1a Charpentes planes en bois assemblées sur place CCTB 01.11</w:t>
            </w:r>
            <w:r w:rsidR="00FD58BF">
              <w:rPr>
                <w:noProof/>
                <w:webHidden/>
              </w:rPr>
              <w:tab/>
            </w:r>
            <w:r w:rsidR="00FD58BF">
              <w:rPr>
                <w:noProof/>
                <w:webHidden/>
              </w:rPr>
              <w:fldChar w:fldCharType="begin"/>
            </w:r>
            <w:r w:rsidR="00FD58BF">
              <w:rPr>
                <w:noProof/>
                <w:webHidden/>
              </w:rPr>
              <w:instrText xml:space="preserve"> PAGEREF _Toc178838778 \h </w:instrText>
            </w:r>
            <w:r w:rsidR="00FD58BF">
              <w:rPr>
                <w:noProof/>
                <w:webHidden/>
              </w:rPr>
            </w:r>
            <w:r w:rsidR="00FD58BF">
              <w:rPr>
                <w:noProof/>
                <w:webHidden/>
              </w:rPr>
              <w:fldChar w:fldCharType="separate"/>
            </w:r>
            <w:r w:rsidR="00FD58BF">
              <w:rPr>
                <w:noProof/>
                <w:webHidden/>
              </w:rPr>
              <w:t>1052</w:t>
            </w:r>
            <w:r w:rsidR="00FD58BF">
              <w:rPr>
                <w:noProof/>
                <w:webHidden/>
              </w:rPr>
              <w:fldChar w:fldCharType="end"/>
            </w:r>
          </w:hyperlink>
        </w:p>
        <w:p w14:paraId="7375EFDC" w14:textId="4A10A0C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9" w:history="1">
            <w:r w:rsidR="00FD58BF" w:rsidRPr="003004E5">
              <w:rPr>
                <w:rStyle w:val="Lienhypertexte"/>
                <w:noProof/>
              </w:rPr>
              <w:t>24.24.1b Charpentes tridimensionnelles en bois assemblées sur place CCTB 01.09</w:t>
            </w:r>
            <w:r w:rsidR="00FD58BF">
              <w:rPr>
                <w:noProof/>
                <w:webHidden/>
              </w:rPr>
              <w:tab/>
            </w:r>
            <w:r w:rsidR="00FD58BF">
              <w:rPr>
                <w:noProof/>
                <w:webHidden/>
              </w:rPr>
              <w:fldChar w:fldCharType="begin"/>
            </w:r>
            <w:r w:rsidR="00FD58BF">
              <w:rPr>
                <w:noProof/>
                <w:webHidden/>
              </w:rPr>
              <w:instrText xml:space="preserve"> PAGEREF _Toc178838779 \h </w:instrText>
            </w:r>
            <w:r w:rsidR="00FD58BF">
              <w:rPr>
                <w:noProof/>
                <w:webHidden/>
              </w:rPr>
            </w:r>
            <w:r w:rsidR="00FD58BF">
              <w:rPr>
                <w:noProof/>
                <w:webHidden/>
              </w:rPr>
              <w:fldChar w:fldCharType="separate"/>
            </w:r>
            <w:r w:rsidR="00FD58BF">
              <w:rPr>
                <w:noProof/>
                <w:webHidden/>
              </w:rPr>
              <w:t>1058</w:t>
            </w:r>
            <w:r w:rsidR="00FD58BF">
              <w:rPr>
                <w:noProof/>
                <w:webHidden/>
              </w:rPr>
              <w:fldChar w:fldCharType="end"/>
            </w:r>
          </w:hyperlink>
        </w:p>
        <w:p w14:paraId="0E7FB746" w14:textId="47A45B7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0" w:history="1">
            <w:r w:rsidR="00FD58BF" w:rsidRPr="003004E5">
              <w:rPr>
                <w:rStyle w:val="Lienhypertexte"/>
                <w:noProof/>
              </w:rPr>
              <w:t>24.24.2 Charpentes en bois préfabriquées CCTB 01.04</w:t>
            </w:r>
            <w:r w:rsidR="00FD58BF">
              <w:rPr>
                <w:noProof/>
                <w:webHidden/>
              </w:rPr>
              <w:tab/>
            </w:r>
            <w:r w:rsidR="00FD58BF">
              <w:rPr>
                <w:noProof/>
                <w:webHidden/>
              </w:rPr>
              <w:fldChar w:fldCharType="begin"/>
            </w:r>
            <w:r w:rsidR="00FD58BF">
              <w:rPr>
                <w:noProof/>
                <w:webHidden/>
              </w:rPr>
              <w:instrText xml:space="preserve"> PAGEREF _Toc178838780 \h </w:instrText>
            </w:r>
            <w:r w:rsidR="00FD58BF">
              <w:rPr>
                <w:noProof/>
                <w:webHidden/>
              </w:rPr>
            </w:r>
            <w:r w:rsidR="00FD58BF">
              <w:rPr>
                <w:noProof/>
                <w:webHidden/>
              </w:rPr>
              <w:fldChar w:fldCharType="separate"/>
            </w:r>
            <w:r w:rsidR="00FD58BF">
              <w:rPr>
                <w:noProof/>
                <w:webHidden/>
              </w:rPr>
              <w:t>1058</w:t>
            </w:r>
            <w:r w:rsidR="00FD58BF">
              <w:rPr>
                <w:noProof/>
                <w:webHidden/>
              </w:rPr>
              <w:fldChar w:fldCharType="end"/>
            </w:r>
          </w:hyperlink>
        </w:p>
        <w:p w14:paraId="54A69EB8" w14:textId="64B3224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1" w:history="1">
            <w:r w:rsidR="00FD58BF" w:rsidRPr="003004E5">
              <w:rPr>
                <w:rStyle w:val="Lienhypertexte"/>
                <w:noProof/>
              </w:rPr>
              <w:t>24.24.2a Fermettes préfabriquées à partir de planches et de connecteurs à plaques CCTB 01.11</w:t>
            </w:r>
            <w:r w:rsidR="00FD58BF">
              <w:rPr>
                <w:noProof/>
                <w:webHidden/>
              </w:rPr>
              <w:tab/>
            </w:r>
            <w:r w:rsidR="00FD58BF">
              <w:rPr>
                <w:noProof/>
                <w:webHidden/>
              </w:rPr>
              <w:fldChar w:fldCharType="begin"/>
            </w:r>
            <w:r w:rsidR="00FD58BF">
              <w:rPr>
                <w:noProof/>
                <w:webHidden/>
              </w:rPr>
              <w:instrText xml:space="preserve"> PAGEREF _Toc178838781 \h </w:instrText>
            </w:r>
            <w:r w:rsidR="00FD58BF">
              <w:rPr>
                <w:noProof/>
                <w:webHidden/>
              </w:rPr>
            </w:r>
            <w:r w:rsidR="00FD58BF">
              <w:rPr>
                <w:noProof/>
                <w:webHidden/>
              </w:rPr>
              <w:fldChar w:fldCharType="separate"/>
            </w:r>
            <w:r w:rsidR="00FD58BF">
              <w:rPr>
                <w:noProof/>
                <w:webHidden/>
              </w:rPr>
              <w:t>1058</w:t>
            </w:r>
            <w:r w:rsidR="00FD58BF">
              <w:rPr>
                <w:noProof/>
                <w:webHidden/>
              </w:rPr>
              <w:fldChar w:fldCharType="end"/>
            </w:r>
          </w:hyperlink>
        </w:p>
        <w:p w14:paraId="1723CBB8" w14:textId="0B141C87"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82" w:history="1">
            <w:r w:rsidR="00FD58BF" w:rsidRPr="003004E5">
              <w:rPr>
                <w:rStyle w:val="Lienhypertexte"/>
                <w:noProof/>
              </w:rPr>
              <w:t>24.3 Structures secondaires en bois CCTB 01.11</w:t>
            </w:r>
            <w:r w:rsidR="00FD58BF">
              <w:rPr>
                <w:noProof/>
                <w:webHidden/>
              </w:rPr>
              <w:tab/>
            </w:r>
            <w:r w:rsidR="00FD58BF">
              <w:rPr>
                <w:noProof/>
                <w:webHidden/>
              </w:rPr>
              <w:fldChar w:fldCharType="begin"/>
            </w:r>
            <w:r w:rsidR="00FD58BF">
              <w:rPr>
                <w:noProof/>
                <w:webHidden/>
              </w:rPr>
              <w:instrText xml:space="preserve"> PAGEREF _Toc178838782 \h </w:instrText>
            </w:r>
            <w:r w:rsidR="00FD58BF">
              <w:rPr>
                <w:noProof/>
                <w:webHidden/>
              </w:rPr>
            </w:r>
            <w:r w:rsidR="00FD58BF">
              <w:rPr>
                <w:noProof/>
                <w:webHidden/>
              </w:rPr>
              <w:fldChar w:fldCharType="separate"/>
            </w:r>
            <w:r w:rsidR="00FD58BF">
              <w:rPr>
                <w:noProof/>
                <w:webHidden/>
              </w:rPr>
              <w:t>1062</w:t>
            </w:r>
            <w:r w:rsidR="00FD58BF">
              <w:rPr>
                <w:noProof/>
                <w:webHidden/>
              </w:rPr>
              <w:fldChar w:fldCharType="end"/>
            </w:r>
          </w:hyperlink>
        </w:p>
        <w:p w14:paraId="534B0146" w14:textId="54F4987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83" w:history="1">
            <w:r w:rsidR="00FD58BF" w:rsidRPr="003004E5">
              <w:rPr>
                <w:rStyle w:val="Lienhypertexte"/>
                <w:noProof/>
              </w:rPr>
              <w:t>24.31 Escaliers en bois CCTB 01.07</w:t>
            </w:r>
            <w:r w:rsidR="00FD58BF">
              <w:rPr>
                <w:noProof/>
                <w:webHidden/>
              </w:rPr>
              <w:tab/>
            </w:r>
            <w:r w:rsidR="00FD58BF">
              <w:rPr>
                <w:noProof/>
                <w:webHidden/>
              </w:rPr>
              <w:fldChar w:fldCharType="begin"/>
            </w:r>
            <w:r w:rsidR="00FD58BF">
              <w:rPr>
                <w:noProof/>
                <w:webHidden/>
              </w:rPr>
              <w:instrText xml:space="preserve"> PAGEREF _Toc178838783 \h </w:instrText>
            </w:r>
            <w:r w:rsidR="00FD58BF">
              <w:rPr>
                <w:noProof/>
                <w:webHidden/>
              </w:rPr>
            </w:r>
            <w:r w:rsidR="00FD58BF">
              <w:rPr>
                <w:noProof/>
                <w:webHidden/>
              </w:rPr>
              <w:fldChar w:fldCharType="separate"/>
            </w:r>
            <w:r w:rsidR="00FD58BF">
              <w:rPr>
                <w:noProof/>
                <w:webHidden/>
              </w:rPr>
              <w:t>1062</w:t>
            </w:r>
            <w:r w:rsidR="00FD58BF">
              <w:rPr>
                <w:noProof/>
                <w:webHidden/>
              </w:rPr>
              <w:fldChar w:fldCharType="end"/>
            </w:r>
          </w:hyperlink>
        </w:p>
        <w:p w14:paraId="7F7CB371" w14:textId="53E99F8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4" w:history="1">
            <w:r w:rsidR="00FD58BF" w:rsidRPr="003004E5">
              <w:rPr>
                <w:rStyle w:val="Lienhypertexte"/>
                <w:noProof/>
              </w:rPr>
              <w:t>24.31.1 Escaliers monolithiques en bois CCTB 01.07</w:t>
            </w:r>
            <w:r w:rsidR="00FD58BF">
              <w:rPr>
                <w:noProof/>
                <w:webHidden/>
              </w:rPr>
              <w:tab/>
            </w:r>
            <w:r w:rsidR="00FD58BF">
              <w:rPr>
                <w:noProof/>
                <w:webHidden/>
              </w:rPr>
              <w:fldChar w:fldCharType="begin"/>
            </w:r>
            <w:r w:rsidR="00FD58BF">
              <w:rPr>
                <w:noProof/>
                <w:webHidden/>
              </w:rPr>
              <w:instrText xml:space="preserve"> PAGEREF _Toc178838784 \h </w:instrText>
            </w:r>
            <w:r w:rsidR="00FD58BF">
              <w:rPr>
                <w:noProof/>
                <w:webHidden/>
              </w:rPr>
            </w:r>
            <w:r w:rsidR="00FD58BF">
              <w:rPr>
                <w:noProof/>
                <w:webHidden/>
              </w:rPr>
              <w:fldChar w:fldCharType="separate"/>
            </w:r>
            <w:r w:rsidR="00FD58BF">
              <w:rPr>
                <w:noProof/>
                <w:webHidden/>
              </w:rPr>
              <w:t>1062</w:t>
            </w:r>
            <w:r w:rsidR="00FD58BF">
              <w:rPr>
                <w:noProof/>
                <w:webHidden/>
              </w:rPr>
              <w:fldChar w:fldCharType="end"/>
            </w:r>
          </w:hyperlink>
        </w:p>
        <w:p w14:paraId="6DFCEE29" w14:textId="79DAECA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5" w:history="1">
            <w:r w:rsidR="00FD58BF" w:rsidRPr="003004E5">
              <w:rPr>
                <w:rStyle w:val="Lienhypertexte"/>
                <w:noProof/>
              </w:rPr>
              <w:t>24.31.1a Escaliers monolithiques en bois CCTB 01.11</w:t>
            </w:r>
            <w:r w:rsidR="00FD58BF">
              <w:rPr>
                <w:noProof/>
                <w:webHidden/>
              </w:rPr>
              <w:tab/>
            </w:r>
            <w:r w:rsidR="00FD58BF">
              <w:rPr>
                <w:noProof/>
                <w:webHidden/>
              </w:rPr>
              <w:fldChar w:fldCharType="begin"/>
            </w:r>
            <w:r w:rsidR="00FD58BF">
              <w:rPr>
                <w:noProof/>
                <w:webHidden/>
              </w:rPr>
              <w:instrText xml:space="preserve"> PAGEREF _Toc178838785 \h </w:instrText>
            </w:r>
            <w:r w:rsidR="00FD58BF">
              <w:rPr>
                <w:noProof/>
                <w:webHidden/>
              </w:rPr>
            </w:r>
            <w:r w:rsidR="00FD58BF">
              <w:rPr>
                <w:noProof/>
                <w:webHidden/>
              </w:rPr>
              <w:fldChar w:fldCharType="separate"/>
            </w:r>
            <w:r w:rsidR="00FD58BF">
              <w:rPr>
                <w:noProof/>
                <w:webHidden/>
              </w:rPr>
              <w:t>1062</w:t>
            </w:r>
            <w:r w:rsidR="00FD58BF">
              <w:rPr>
                <w:noProof/>
                <w:webHidden/>
              </w:rPr>
              <w:fldChar w:fldCharType="end"/>
            </w:r>
          </w:hyperlink>
        </w:p>
        <w:p w14:paraId="1B497B54" w14:textId="24D4BDD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86" w:history="1">
            <w:r w:rsidR="00FD58BF" w:rsidRPr="003004E5">
              <w:rPr>
                <w:rStyle w:val="Lienhypertexte"/>
                <w:noProof/>
              </w:rPr>
              <w:t>24.32 Balcons en bois CCTB 01.07</w:t>
            </w:r>
            <w:r w:rsidR="00FD58BF">
              <w:rPr>
                <w:noProof/>
                <w:webHidden/>
              </w:rPr>
              <w:tab/>
            </w:r>
            <w:r w:rsidR="00FD58BF">
              <w:rPr>
                <w:noProof/>
                <w:webHidden/>
              </w:rPr>
              <w:fldChar w:fldCharType="begin"/>
            </w:r>
            <w:r w:rsidR="00FD58BF">
              <w:rPr>
                <w:noProof/>
                <w:webHidden/>
              </w:rPr>
              <w:instrText xml:space="preserve"> PAGEREF _Toc178838786 \h </w:instrText>
            </w:r>
            <w:r w:rsidR="00FD58BF">
              <w:rPr>
                <w:noProof/>
                <w:webHidden/>
              </w:rPr>
            </w:r>
            <w:r w:rsidR="00FD58BF">
              <w:rPr>
                <w:noProof/>
                <w:webHidden/>
              </w:rPr>
              <w:fldChar w:fldCharType="separate"/>
            </w:r>
            <w:r w:rsidR="00FD58BF">
              <w:rPr>
                <w:noProof/>
                <w:webHidden/>
              </w:rPr>
              <w:t>1070</w:t>
            </w:r>
            <w:r w:rsidR="00FD58BF">
              <w:rPr>
                <w:noProof/>
                <w:webHidden/>
              </w:rPr>
              <w:fldChar w:fldCharType="end"/>
            </w:r>
          </w:hyperlink>
        </w:p>
        <w:p w14:paraId="6D0D16A9" w14:textId="64DDBB7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7" w:history="1">
            <w:r w:rsidR="00FD58BF" w:rsidRPr="003004E5">
              <w:rPr>
                <w:rStyle w:val="Lienhypertexte"/>
                <w:noProof/>
              </w:rPr>
              <w:t>24.32.1 Balcons en bois CCTB 01.07</w:t>
            </w:r>
            <w:r w:rsidR="00FD58BF">
              <w:rPr>
                <w:noProof/>
                <w:webHidden/>
              </w:rPr>
              <w:tab/>
            </w:r>
            <w:r w:rsidR="00FD58BF">
              <w:rPr>
                <w:noProof/>
                <w:webHidden/>
              </w:rPr>
              <w:fldChar w:fldCharType="begin"/>
            </w:r>
            <w:r w:rsidR="00FD58BF">
              <w:rPr>
                <w:noProof/>
                <w:webHidden/>
              </w:rPr>
              <w:instrText xml:space="preserve"> PAGEREF _Toc178838787 \h </w:instrText>
            </w:r>
            <w:r w:rsidR="00FD58BF">
              <w:rPr>
                <w:noProof/>
                <w:webHidden/>
              </w:rPr>
            </w:r>
            <w:r w:rsidR="00FD58BF">
              <w:rPr>
                <w:noProof/>
                <w:webHidden/>
              </w:rPr>
              <w:fldChar w:fldCharType="separate"/>
            </w:r>
            <w:r w:rsidR="00FD58BF">
              <w:rPr>
                <w:noProof/>
                <w:webHidden/>
              </w:rPr>
              <w:t>1070</w:t>
            </w:r>
            <w:r w:rsidR="00FD58BF">
              <w:rPr>
                <w:noProof/>
                <w:webHidden/>
              </w:rPr>
              <w:fldChar w:fldCharType="end"/>
            </w:r>
          </w:hyperlink>
        </w:p>
        <w:p w14:paraId="2A2B46BC" w14:textId="200BDCE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8" w:history="1">
            <w:r w:rsidR="00FD58BF" w:rsidRPr="003004E5">
              <w:rPr>
                <w:rStyle w:val="Lienhypertexte"/>
                <w:noProof/>
              </w:rPr>
              <w:t>24.32.1a Balcons en bois CCTB 01.11</w:t>
            </w:r>
            <w:r w:rsidR="00FD58BF">
              <w:rPr>
                <w:noProof/>
                <w:webHidden/>
              </w:rPr>
              <w:tab/>
            </w:r>
            <w:r w:rsidR="00FD58BF">
              <w:rPr>
                <w:noProof/>
                <w:webHidden/>
              </w:rPr>
              <w:fldChar w:fldCharType="begin"/>
            </w:r>
            <w:r w:rsidR="00FD58BF">
              <w:rPr>
                <w:noProof/>
                <w:webHidden/>
              </w:rPr>
              <w:instrText xml:space="preserve"> PAGEREF _Toc178838788 \h </w:instrText>
            </w:r>
            <w:r w:rsidR="00FD58BF">
              <w:rPr>
                <w:noProof/>
                <w:webHidden/>
              </w:rPr>
            </w:r>
            <w:r w:rsidR="00FD58BF">
              <w:rPr>
                <w:noProof/>
                <w:webHidden/>
              </w:rPr>
              <w:fldChar w:fldCharType="separate"/>
            </w:r>
            <w:r w:rsidR="00FD58BF">
              <w:rPr>
                <w:noProof/>
                <w:webHidden/>
              </w:rPr>
              <w:t>1070</w:t>
            </w:r>
            <w:r w:rsidR="00FD58BF">
              <w:rPr>
                <w:noProof/>
                <w:webHidden/>
              </w:rPr>
              <w:fldChar w:fldCharType="end"/>
            </w:r>
          </w:hyperlink>
        </w:p>
        <w:p w14:paraId="59455F28" w14:textId="669E06D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89" w:history="1">
            <w:r w:rsidR="00FD58BF" w:rsidRPr="003004E5">
              <w:rPr>
                <w:rStyle w:val="Lienhypertexte"/>
                <w:noProof/>
              </w:rPr>
              <w:t>24.33 Coursives en bois CCTB 01.07</w:t>
            </w:r>
            <w:r w:rsidR="00FD58BF">
              <w:rPr>
                <w:noProof/>
                <w:webHidden/>
              </w:rPr>
              <w:tab/>
            </w:r>
            <w:r w:rsidR="00FD58BF">
              <w:rPr>
                <w:noProof/>
                <w:webHidden/>
              </w:rPr>
              <w:fldChar w:fldCharType="begin"/>
            </w:r>
            <w:r w:rsidR="00FD58BF">
              <w:rPr>
                <w:noProof/>
                <w:webHidden/>
              </w:rPr>
              <w:instrText xml:space="preserve"> PAGEREF _Toc178838789 \h </w:instrText>
            </w:r>
            <w:r w:rsidR="00FD58BF">
              <w:rPr>
                <w:noProof/>
                <w:webHidden/>
              </w:rPr>
            </w:r>
            <w:r w:rsidR="00FD58BF">
              <w:rPr>
                <w:noProof/>
                <w:webHidden/>
              </w:rPr>
              <w:fldChar w:fldCharType="separate"/>
            </w:r>
            <w:r w:rsidR="00FD58BF">
              <w:rPr>
                <w:noProof/>
                <w:webHidden/>
              </w:rPr>
              <w:t>1073</w:t>
            </w:r>
            <w:r w:rsidR="00FD58BF">
              <w:rPr>
                <w:noProof/>
                <w:webHidden/>
              </w:rPr>
              <w:fldChar w:fldCharType="end"/>
            </w:r>
          </w:hyperlink>
        </w:p>
        <w:p w14:paraId="55605899" w14:textId="7A7F823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0" w:history="1">
            <w:r w:rsidR="00FD58BF" w:rsidRPr="003004E5">
              <w:rPr>
                <w:rStyle w:val="Lienhypertexte"/>
                <w:noProof/>
              </w:rPr>
              <w:t>24.33.1 Coursives en bois  CCTB 01.07</w:t>
            </w:r>
            <w:r w:rsidR="00FD58BF">
              <w:rPr>
                <w:noProof/>
                <w:webHidden/>
              </w:rPr>
              <w:tab/>
            </w:r>
            <w:r w:rsidR="00FD58BF">
              <w:rPr>
                <w:noProof/>
                <w:webHidden/>
              </w:rPr>
              <w:fldChar w:fldCharType="begin"/>
            </w:r>
            <w:r w:rsidR="00FD58BF">
              <w:rPr>
                <w:noProof/>
                <w:webHidden/>
              </w:rPr>
              <w:instrText xml:space="preserve"> PAGEREF _Toc178838790 \h </w:instrText>
            </w:r>
            <w:r w:rsidR="00FD58BF">
              <w:rPr>
                <w:noProof/>
                <w:webHidden/>
              </w:rPr>
            </w:r>
            <w:r w:rsidR="00FD58BF">
              <w:rPr>
                <w:noProof/>
                <w:webHidden/>
              </w:rPr>
              <w:fldChar w:fldCharType="separate"/>
            </w:r>
            <w:r w:rsidR="00FD58BF">
              <w:rPr>
                <w:noProof/>
                <w:webHidden/>
              </w:rPr>
              <w:t>1073</w:t>
            </w:r>
            <w:r w:rsidR="00FD58BF">
              <w:rPr>
                <w:noProof/>
                <w:webHidden/>
              </w:rPr>
              <w:fldChar w:fldCharType="end"/>
            </w:r>
          </w:hyperlink>
        </w:p>
        <w:p w14:paraId="6C33C1F7" w14:textId="21FC3EA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1" w:history="1">
            <w:r w:rsidR="00FD58BF" w:rsidRPr="003004E5">
              <w:rPr>
                <w:rStyle w:val="Lienhypertexte"/>
                <w:noProof/>
              </w:rPr>
              <w:t>24.33.1a Coursives en bois CCTB 01.11</w:t>
            </w:r>
            <w:r w:rsidR="00FD58BF">
              <w:rPr>
                <w:noProof/>
                <w:webHidden/>
              </w:rPr>
              <w:tab/>
            </w:r>
            <w:r w:rsidR="00FD58BF">
              <w:rPr>
                <w:noProof/>
                <w:webHidden/>
              </w:rPr>
              <w:fldChar w:fldCharType="begin"/>
            </w:r>
            <w:r w:rsidR="00FD58BF">
              <w:rPr>
                <w:noProof/>
                <w:webHidden/>
              </w:rPr>
              <w:instrText xml:space="preserve"> PAGEREF _Toc178838791 \h </w:instrText>
            </w:r>
            <w:r w:rsidR="00FD58BF">
              <w:rPr>
                <w:noProof/>
                <w:webHidden/>
              </w:rPr>
            </w:r>
            <w:r w:rsidR="00FD58BF">
              <w:rPr>
                <w:noProof/>
                <w:webHidden/>
              </w:rPr>
              <w:fldChar w:fldCharType="separate"/>
            </w:r>
            <w:r w:rsidR="00FD58BF">
              <w:rPr>
                <w:noProof/>
                <w:webHidden/>
              </w:rPr>
              <w:t>1073</w:t>
            </w:r>
            <w:r w:rsidR="00FD58BF">
              <w:rPr>
                <w:noProof/>
                <w:webHidden/>
              </w:rPr>
              <w:fldChar w:fldCharType="end"/>
            </w:r>
          </w:hyperlink>
        </w:p>
        <w:p w14:paraId="18A51F83" w14:textId="52972F5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92" w:history="1">
            <w:r w:rsidR="00FD58BF" w:rsidRPr="003004E5">
              <w:rPr>
                <w:rStyle w:val="Lienhypertexte"/>
                <w:noProof/>
              </w:rPr>
              <w:t>24.34 Passerelles en bois CCTB 01.07</w:t>
            </w:r>
            <w:r w:rsidR="00FD58BF">
              <w:rPr>
                <w:noProof/>
                <w:webHidden/>
              </w:rPr>
              <w:tab/>
            </w:r>
            <w:r w:rsidR="00FD58BF">
              <w:rPr>
                <w:noProof/>
                <w:webHidden/>
              </w:rPr>
              <w:fldChar w:fldCharType="begin"/>
            </w:r>
            <w:r w:rsidR="00FD58BF">
              <w:rPr>
                <w:noProof/>
                <w:webHidden/>
              </w:rPr>
              <w:instrText xml:space="preserve"> PAGEREF _Toc178838792 \h </w:instrText>
            </w:r>
            <w:r w:rsidR="00FD58BF">
              <w:rPr>
                <w:noProof/>
                <w:webHidden/>
              </w:rPr>
            </w:r>
            <w:r w:rsidR="00FD58BF">
              <w:rPr>
                <w:noProof/>
                <w:webHidden/>
              </w:rPr>
              <w:fldChar w:fldCharType="separate"/>
            </w:r>
            <w:r w:rsidR="00FD58BF">
              <w:rPr>
                <w:noProof/>
                <w:webHidden/>
              </w:rPr>
              <w:t>1077</w:t>
            </w:r>
            <w:r w:rsidR="00FD58BF">
              <w:rPr>
                <w:noProof/>
                <w:webHidden/>
              </w:rPr>
              <w:fldChar w:fldCharType="end"/>
            </w:r>
          </w:hyperlink>
        </w:p>
        <w:p w14:paraId="11B6A4F5" w14:textId="2C394F4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3" w:history="1">
            <w:r w:rsidR="00FD58BF" w:rsidRPr="003004E5">
              <w:rPr>
                <w:rStyle w:val="Lienhypertexte"/>
                <w:noProof/>
              </w:rPr>
              <w:t>24.34.1 Passerelles en bois  CCTB 01.07</w:t>
            </w:r>
            <w:r w:rsidR="00FD58BF">
              <w:rPr>
                <w:noProof/>
                <w:webHidden/>
              </w:rPr>
              <w:tab/>
            </w:r>
            <w:r w:rsidR="00FD58BF">
              <w:rPr>
                <w:noProof/>
                <w:webHidden/>
              </w:rPr>
              <w:fldChar w:fldCharType="begin"/>
            </w:r>
            <w:r w:rsidR="00FD58BF">
              <w:rPr>
                <w:noProof/>
                <w:webHidden/>
              </w:rPr>
              <w:instrText xml:space="preserve"> PAGEREF _Toc178838793 \h </w:instrText>
            </w:r>
            <w:r w:rsidR="00FD58BF">
              <w:rPr>
                <w:noProof/>
                <w:webHidden/>
              </w:rPr>
            </w:r>
            <w:r w:rsidR="00FD58BF">
              <w:rPr>
                <w:noProof/>
                <w:webHidden/>
              </w:rPr>
              <w:fldChar w:fldCharType="separate"/>
            </w:r>
            <w:r w:rsidR="00FD58BF">
              <w:rPr>
                <w:noProof/>
                <w:webHidden/>
              </w:rPr>
              <w:t>1077</w:t>
            </w:r>
            <w:r w:rsidR="00FD58BF">
              <w:rPr>
                <w:noProof/>
                <w:webHidden/>
              </w:rPr>
              <w:fldChar w:fldCharType="end"/>
            </w:r>
          </w:hyperlink>
        </w:p>
        <w:p w14:paraId="26E2FF9B" w14:textId="483CAE0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4" w:history="1">
            <w:r w:rsidR="00FD58BF" w:rsidRPr="003004E5">
              <w:rPr>
                <w:rStyle w:val="Lienhypertexte"/>
                <w:noProof/>
              </w:rPr>
              <w:t>24.34.1a Passerelles en bois  CCTB 01.11</w:t>
            </w:r>
            <w:r w:rsidR="00FD58BF">
              <w:rPr>
                <w:noProof/>
                <w:webHidden/>
              </w:rPr>
              <w:tab/>
            </w:r>
            <w:r w:rsidR="00FD58BF">
              <w:rPr>
                <w:noProof/>
                <w:webHidden/>
              </w:rPr>
              <w:fldChar w:fldCharType="begin"/>
            </w:r>
            <w:r w:rsidR="00FD58BF">
              <w:rPr>
                <w:noProof/>
                <w:webHidden/>
              </w:rPr>
              <w:instrText xml:space="preserve"> PAGEREF _Toc178838794 \h </w:instrText>
            </w:r>
            <w:r w:rsidR="00FD58BF">
              <w:rPr>
                <w:noProof/>
                <w:webHidden/>
              </w:rPr>
            </w:r>
            <w:r w:rsidR="00FD58BF">
              <w:rPr>
                <w:noProof/>
                <w:webHidden/>
              </w:rPr>
              <w:fldChar w:fldCharType="separate"/>
            </w:r>
            <w:r w:rsidR="00FD58BF">
              <w:rPr>
                <w:noProof/>
                <w:webHidden/>
              </w:rPr>
              <w:t>1077</w:t>
            </w:r>
            <w:r w:rsidR="00FD58BF">
              <w:rPr>
                <w:noProof/>
                <w:webHidden/>
              </w:rPr>
              <w:fldChar w:fldCharType="end"/>
            </w:r>
          </w:hyperlink>
        </w:p>
        <w:p w14:paraId="6D74A46A" w14:textId="68DDCBF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95" w:history="1">
            <w:r w:rsidR="00FD58BF" w:rsidRPr="003004E5">
              <w:rPr>
                <w:rStyle w:val="Lienhypertexte"/>
                <w:noProof/>
              </w:rPr>
              <w:t>24.35 Auvents en bois CCTB 01.02</w:t>
            </w:r>
            <w:r w:rsidR="00FD58BF">
              <w:rPr>
                <w:noProof/>
                <w:webHidden/>
              </w:rPr>
              <w:tab/>
            </w:r>
            <w:r w:rsidR="00FD58BF">
              <w:rPr>
                <w:noProof/>
                <w:webHidden/>
              </w:rPr>
              <w:fldChar w:fldCharType="begin"/>
            </w:r>
            <w:r w:rsidR="00FD58BF">
              <w:rPr>
                <w:noProof/>
                <w:webHidden/>
              </w:rPr>
              <w:instrText xml:space="preserve"> PAGEREF _Toc178838795 \h </w:instrText>
            </w:r>
            <w:r w:rsidR="00FD58BF">
              <w:rPr>
                <w:noProof/>
                <w:webHidden/>
              </w:rPr>
            </w:r>
            <w:r w:rsidR="00FD58BF">
              <w:rPr>
                <w:noProof/>
                <w:webHidden/>
              </w:rPr>
              <w:fldChar w:fldCharType="separate"/>
            </w:r>
            <w:r w:rsidR="00FD58BF">
              <w:rPr>
                <w:noProof/>
                <w:webHidden/>
              </w:rPr>
              <w:t>1081</w:t>
            </w:r>
            <w:r w:rsidR="00FD58BF">
              <w:rPr>
                <w:noProof/>
                <w:webHidden/>
              </w:rPr>
              <w:fldChar w:fldCharType="end"/>
            </w:r>
          </w:hyperlink>
        </w:p>
        <w:p w14:paraId="2ED45ECF" w14:textId="2E7B0DB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6" w:history="1">
            <w:r w:rsidR="00FD58BF" w:rsidRPr="003004E5">
              <w:rPr>
                <w:rStyle w:val="Lienhypertexte"/>
                <w:noProof/>
              </w:rPr>
              <w:t>24.35.1 Auvents en bois  CCTB 01.07</w:t>
            </w:r>
            <w:r w:rsidR="00FD58BF">
              <w:rPr>
                <w:noProof/>
                <w:webHidden/>
              </w:rPr>
              <w:tab/>
            </w:r>
            <w:r w:rsidR="00FD58BF">
              <w:rPr>
                <w:noProof/>
                <w:webHidden/>
              </w:rPr>
              <w:fldChar w:fldCharType="begin"/>
            </w:r>
            <w:r w:rsidR="00FD58BF">
              <w:rPr>
                <w:noProof/>
                <w:webHidden/>
              </w:rPr>
              <w:instrText xml:space="preserve"> PAGEREF _Toc178838796 \h </w:instrText>
            </w:r>
            <w:r w:rsidR="00FD58BF">
              <w:rPr>
                <w:noProof/>
                <w:webHidden/>
              </w:rPr>
            </w:r>
            <w:r w:rsidR="00FD58BF">
              <w:rPr>
                <w:noProof/>
                <w:webHidden/>
              </w:rPr>
              <w:fldChar w:fldCharType="separate"/>
            </w:r>
            <w:r w:rsidR="00FD58BF">
              <w:rPr>
                <w:noProof/>
                <w:webHidden/>
              </w:rPr>
              <w:t>1081</w:t>
            </w:r>
            <w:r w:rsidR="00FD58BF">
              <w:rPr>
                <w:noProof/>
                <w:webHidden/>
              </w:rPr>
              <w:fldChar w:fldCharType="end"/>
            </w:r>
          </w:hyperlink>
        </w:p>
        <w:p w14:paraId="2445FF0C" w14:textId="44DD517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7" w:history="1">
            <w:r w:rsidR="00FD58BF" w:rsidRPr="003004E5">
              <w:rPr>
                <w:rStyle w:val="Lienhypertexte"/>
                <w:noProof/>
              </w:rPr>
              <w:t>24.35.1a Auvents en bois CCTB 01.11</w:t>
            </w:r>
            <w:r w:rsidR="00FD58BF">
              <w:rPr>
                <w:noProof/>
                <w:webHidden/>
              </w:rPr>
              <w:tab/>
            </w:r>
            <w:r w:rsidR="00FD58BF">
              <w:rPr>
                <w:noProof/>
                <w:webHidden/>
              </w:rPr>
              <w:fldChar w:fldCharType="begin"/>
            </w:r>
            <w:r w:rsidR="00FD58BF">
              <w:rPr>
                <w:noProof/>
                <w:webHidden/>
              </w:rPr>
              <w:instrText xml:space="preserve"> PAGEREF _Toc178838797 \h </w:instrText>
            </w:r>
            <w:r w:rsidR="00FD58BF">
              <w:rPr>
                <w:noProof/>
                <w:webHidden/>
              </w:rPr>
            </w:r>
            <w:r w:rsidR="00FD58BF">
              <w:rPr>
                <w:noProof/>
                <w:webHidden/>
              </w:rPr>
              <w:fldChar w:fldCharType="separate"/>
            </w:r>
            <w:r w:rsidR="00FD58BF">
              <w:rPr>
                <w:noProof/>
                <w:webHidden/>
              </w:rPr>
              <w:t>1081</w:t>
            </w:r>
            <w:r w:rsidR="00FD58BF">
              <w:rPr>
                <w:noProof/>
                <w:webHidden/>
              </w:rPr>
              <w:fldChar w:fldCharType="end"/>
            </w:r>
          </w:hyperlink>
        </w:p>
        <w:p w14:paraId="2C562CA7" w14:textId="0338AC14"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98" w:history="1">
            <w:r w:rsidR="00FD58BF" w:rsidRPr="003004E5">
              <w:rPr>
                <w:rStyle w:val="Lienhypertexte"/>
                <w:noProof/>
              </w:rPr>
              <w:t>24.4 Assemblages CCTB 01.11</w:t>
            </w:r>
            <w:r w:rsidR="00FD58BF">
              <w:rPr>
                <w:noProof/>
                <w:webHidden/>
              </w:rPr>
              <w:tab/>
            </w:r>
            <w:r w:rsidR="00FD58BF">
              <w:rPr>
                <w:noProof/>
                <w:webHidden/>
              </w:rPr>
              <w:fldChar w:fldCharType="begin"/>
            </w:r>
            <w:r w:rsidR="00FD58BF">
              <w:rPr>
                <w:noProof/>
                <w:webHidden/>
              </w:rPr>
              <w:instrText xml:space="preserve"> PAGEREF _Toc178838798 \h </w:instrText>
            </w:r>
            <w:r w:rsidR="00FD58BF">
              <w:rPr>
                <w:noProof/>
                <w:webHidden/>
              </w:rPr>
            </w:r>
            <w:r w:rsidR="00FD58BF">
              <w:rPr>
                <w:noProof/>
                <w:webHidden/>
              </w:rPr>
              <w:fldChar w:fldCharType="separate"/>
            </w:r>
            <w:r w:rsidR="00FD58BF">
              <w:rPr>
                <w:noProof/>
                <w:webHidden/>
              </w:rPr>
              <w:t>1084</w:t>
            </w:r>
            <w:r w:rsidR="00FD58BF">
              <w:rPr>
                <w:noProof/>
                <w:webHidden/>
              </w:rPr>
              <w:fldChar w:fldCharType="end"/>
            </w:r>
          </w:hyperlink>
        </w:p>
        <w:p w14:paraId="00FBCC7A" w14:textId="15DE9E4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99" w:history="1">
            <w:r w:rsidR="00FD58BF" w:rsidRPr="003004E5">
              <w:rPr>
                <w:rStyle w:val="Lienhypertexte"/>
                <w:noProof/>
              </w:rPr>
              <w:t>24.41 Assemblages traditionnels (Bois/Bois) CCTB 01.07</w:t>
            </w:r>
            <w:r w:rsidR="00FD58BF">
              <w:rPr>
                <w:noProof/>
                <w:webHidden/>
              </w:rPr>
              <w:tab/>
            </w:r>
            <w:r w:rsidR="00FD58BF">
              <w:rPr>
                <w:noProof/>
                <w:webHidden/>
              </w:rPr>
              <w:fldChar w:fldCharType="begin"/>
            </w:r>
            <w:r w:rsidR="00FD58BF">
              <w:rPr>
                <w:noProof/>
                <w:webHidden/>
              </w:rPr>
              <w:instrText xml:space="preserve"> PAGEREF _Toc178838799 \h </w:instrText>
            </w:r>
            <w:r w:rsidR="00FD58BF">
              <w:rPr>
                <w:noProof/>
                <w:webHidden/>
              </w:rPr>
            </w:r>
            <w:r w:rsidR="00FD58BF">
              <w:rPr>
                <w:noProof/>
                <w:webHidden/>
              </w:rPr>
              <w:fldChar w:fldCharType="separate"/>
            </w:r>
            <w:r w:rsidR="00FD58BF">
              <w:rPr>
                <w:noProof/>
                <w:webHidden/>
              </w:rPr>
              <w:t>1085</w:t>
            </w:r>
            <w:r w:rsidR="00FD58BF">
              <w:rPr>
                <w:noProof/>
                <w:webHidden/>
              </w:rPr>
              <w:fldChar w:fldCharType="end"/>
            </w:r>
          </w:hyperlink>
        </w:p>
        <w:p w14:paraId="56E01493" w14:textId="5CE8475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0" w:history="1">
            <w:r w:rsidR="00FD58BF" w:rsidRPr="003004E5">
              <w:rPr>
                <w:rStyle w:val="Lienhypertexte"/>
                <w:noProof/>
              </w:rPr>
              <w:t>24.41.1 Assemblages traditionnels (bois/bois) CCTB 01.11</w:t>
            </w:r>
            <w:r w:rsidR="00FD58BF">
              <w:rPr>
                <w:noProof/>
                <w:webHidden/>
              </w:rPr>
              <w:tab/>
            </w:r>
            <w:r w:rsidR="00FD58BF">
              <w:rPr>
                <w:noProof/>
                <w:webHidden/>
              </w:rPr>
              <w:fldChar w:fldCharType="begin"/>
            </w:r>
            <w:r w:rsidR="00FD58BF">
              <w:rPr>
                <w:noProof/>
                <w:webHidden/>
              </w:rPr>
              <w:instrText xml:space="preserve"> PAGEREF _Toc178838800 \h </w:instrText>
            </w:r>
            <w:r w:rsidR="00FD58BF">
              <w:rPr>
                <w:noProof/>
                <w:webHidden/>
              </w:rPr>
            </w:r>
            <w:r w:rsidR="00FD58BF">
              <w:rPr>
                <w:noProof/>
                <w:webHidden/>
              </w:rPr>
              <w:fldChar w:fldCharType="separate"/>
            </w:r>
            <w:r w:rsidR="00FD58BF">
              <w:rPr>
                <w:noProof/>
                <w:webHidden/>
              </w:rPr>
              <w:t>1085</w:t>
            </w:r>
            <w:r w:rsidR="00FD58BF">
              <w:rPr>
                <w:noProof/>
                <w:webHidden/>
              </w:rPr>
              <w:fldChar w:fldCharType="end"/>
            </w:r>
          </w:hyperlink>
        </w:p>
        <w:p w14:paraId="6D822457" w14:textId="2481A89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1" w:history="1">
            <w:r w:rsidR="00FD58BF" w:rsidRPr="003004E5">
              <w:rPr>
                <w:rStyle w:val="Lienhypertexte"/>
                <w:noProof/>
              </w:rPr>
              <w:t>24.41.1a Assemblages traditionnels (bois/bois) - embrèvements CCTB 01.07</w:t>
            </w:r>
            <w:r w:rsidR="00FD58BF">
              <w:rPr>
                <w:noProof/>
                <w:webHidden/>
              </w:rPr>
              <w:tab/>
            </w:r>
            <w:r w:rsidR="00FD58BF">
              <w:rPr>
                <w:noProof/>
                <w:webHidden/>
              </w:rPr>
              <w:fldChar w:fldCharType="begin"/>
            </w:r>
            <w:r w:rsidR="00FD58BF">
              <w:rPr>
                <w:noProof/>
                <w:webHidden/>
              </w:rPr>
              <w:instrText xml:space="preserve"> PAGEREF _Toc178838801 \h </w:instrText>
            </w:r>
            <w:r w:rsidR="00FD58BF">
              <w:rPr>
                <w:noProof/>
                <w:webHidden/>
              </w:rPr>
            </w:r>
            <w:r w:rsidR="00FD58BF">
              <w:rPr>
                <w:noProof/>
                <w:webHidden/>
              </w:rPr>
              <w:fldChar w:fldCharType="separate"/>
            </w:r>
            <w:r w:rsidR="00FD58BF">
              <w:rPr>
                <w:noProof/>
                <w:webHidden/>
              </w:rPr>
              <w:t>1085</w:t>
            </w:r>
            <w:r w:rsidR="00FD58BF">
              <w:rPr>
                <w:noProof/>
                <w:webHidden/>
              </w:rPr>
              <w:fldChar w:fldCharType="end"/>
            </w:r>
          </w:hyperlink>
        </w:p>
        <w:p w14:paraId="34B91A36" w14:textId="7A40928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2" w:history="1">
            <w:r w:rsidR="00FD58BF" w:rsidRPr="003004E5">
              <w:rPr>
                <w:rStyle w:val="Lienhypertexte"/>
                <w:noProof/>
              </w:rPr>
              <w:t>24.41.1b Assemblages traditionnels (bois/bois) - tenons et mortaises CCTB 01.07</w:t>
            </w:r>
            <w:r w:rsidR="00FD58BF">
              <w:rPr>
                <w:noProof/>
                <w:webHidden/>
              </w:rPr>
              <w:tab/>
            </w:r>
            <w:r w:rsidR="00FD58BF">
              <w:rPr>
                <w:noProof/>
                <w:webHidden/>
              </w:rPr>
              <w:fldChar w:fldCharType="begin"/>
            </w:r>
            <w:r w:rsidR="00FD58BF">
              <w:rPr>
                <w:noProof/>
                <w:webHidden/>
              </w:rPr>
              <w:instrText xml:space="preserve"> PAGEREF _Toc178838802 \h </w:instrText>
            </w:r>
            <w:r w:rsidR="00FD58BF">
              <w:rPr>
                <w:noProof/>
                <w:webHidden/>
              </w:rPr>
            </w:r>
            <w:r w:rsidR="00FD58BF">
              <w:rPr>
                <w:noProof/>
                <w:webHidden/>
              </w:rPr>
              <w:fldChar w:fldCharType="separate"/>
            </w:r>
            <w:r w:rsidR="00FD58BF">
              <w:rPr>
                <w:noProof/>
                <w:webHidden/>
              </w:rPr>
              <w:t>1087</w:t>
            </w:r>
            <w:r w:rsidR="00FD58BF">
              <w:rPr>
                <w:noProof/>
                <w:webHidden/>
              </w:rPr>
              <w:fldChar w:fldCharType="end"/>
            </w:r>
          </w:hyperlink>
        </w:p>
        <w:p w14:paraId="3C2F6627" w14:textId="233E170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3" w:history="1">
            <w:r w:rsidR="00FD58BF" w:rsidRPr="003004E5">
              <w:rPr>
                <w:rStyle w:val="Lienhypertexte"/>
                <w:noProof/>
              </w:rPr>
              <w:t>24.41.1c Assemblages traditionnels (bois/bois) - queues d'aronde CCTB 01.11</w:t>
            </w:r>
            <w:r w:rsidR="00FD58BF">
              <w:rPr>
                <w:noProof/>
                <w:webHidden/>
              </w:rPr>
              <w:tab/>
            </w:r>
            <w:r w:rsidR="00FD58BF">
              <w:rPr>
                <w:noProof/>
                <w:webHidden/>
              </w:rPr>
              <w:fldChar w:fldCharType="begin"/>
            </w:r>
            <w:r w:rsidR="00FD58BF">
              <w:rPr>
                <w:noProof/>
                <w:webHidden/>
              </w:rPr>
              <w:instrText xml:space="preserve"> PAGEREF _Toc178838803 \h </w:instrText>
            </w:r>
            <w:r w:rsidR="00FD58BF">
              <w:rPr>
                <w:noProof/>
                <w:webHidden/>
              </w:rPr>
            </w:r>
            <w:r w:rsidR="00FD58BF">
              <w:rPr>
                <w:noProof/>
                <w:webHidden/>
              </w:rPr>
              <w:fldChar w:fldCharType="separate"/>
            </w:r>
            <w:r w:rsidR="00FD58BF">
              <w:rPr>
                <w:noProof/>
                <w:webHidden/>
              </w:rPr>
              <w:t>1089</w:t>
            </w:r>
            <w:r w:rsidR="00FD58BF">
              <w:rPr>
                <w:noProof/>
                <w:webHidden/>
              </w:rPr>
              <w:fldChar w:fldCharType="end"/>
            </w:r>
          </w:hyperlink>
        </w:p>
        <w:p w14:paraId="016ECC86" w14:textId="0EF47BC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4" w:history="1">
            <w:r w:rsidR="00FD58BF" w:rsidRPr="003004E5">
              <w:rPr>
                <w:rStyle w:val="Lienhypertexte"/>
                <w:noProof/>
              </w:rPr>
              <w:t>24.41.1d Assemblages traditionnels (bois/bois) - traits de Jupiter CCTB 01.07</w:t>
            </w:r>
            <w:r w:rsidR="00FD58BF">
              <w:rPr>
                <w:noProof/>
                <w:webHidden/>
              </w:rPr>
              <w:tab/>
            </w:r>
            <w:r w:rsidR="00FD58BF">
              <w:rPr>
                <w:noProof/>
                <w:webHidden/>
              </w:rPr>
              <w:fldChar w:fldCharType="begin"/>
            </w:r>
            <w:r w:rsidR="00FD58BF">
              <w:rPr>
                <w:noProof/>
                <w:webHidden/>
              </w:rPr>
              <w:instrText xml:space="preserve"> PAGEREF _Toc178838804 \h </w:instrText>
            </w:r>
            <w:r w:rsidR="00FD58BF">
              <w:rPr>
                <w:noProof/>
                <w:webHidden/>
              </w:rPr>
            </w:r>
            <w:r w:rsidR="00FD58BF">
              <w:rPr>
                <w:noProof/>
                <w:webHidden/>
              </w:rPr>
              <w:fldChar w:fldCharType="separate"/>
            </w:r>
            <w:r w:rsidR="00FD58BF">
              <w:rPr>
                <w:noProof/>
                <w:webHidden/>
              </w:rPr>
              <w:t>1091</w:t>
            </w:r>
            <w:r w:rsidR="00FD58BF">
              <w:rPr>
                <w:noProof/>
                <w:webHidden/>
              </w:rPr>
              <w:fldChar w:fldCharType="end"/>
            </w:r>
          </w:hyperlink>
        </w:p>
        <w:p w14:paraId="12A8E8CE" w14:textId="23A0AA5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05" w:history="1">
            <w:r w:rsidR="00FD58BF" w:rsidRPr="003004E5">
              <w:rPr>
                <w:rStyle w:val="Lienhypertexte"/>
                <w:noProof/>
              </w:rPr>
              <w:t>24.42 Assemblages mécaniques CCTB 01.11</w:t>
            </w:r>
            <w:r w:rsidR="00FD58BF">
              <w:rPr>
                <w:noProof/>
                <w:webHidden/>
              </w:rPr>
              <w:tab/>
            </w:r>
            <w:r w:rsidR="00FD58BF">
              <w:rPr>
                <w:noProof/>
                <w:webHidden/>
              </w:rPr>
              <w:fldChar w:fldCharType="begin"/>
            </w:r>
            <w:r w:rsidR="00FD58BF">
              <w:rPr>
                <w:noProof/>
                <w:webHidden/>
              </w:rPr>
              <w:instrText xml:space="preserve"> PAGEREF _Toc178838805 \h </w:instrText>
            </w:r>
            <w:r w:rsidR="00FD58BF">
              <w:rPr>
                <w:noProof/>
                <w:webHidden/>
              </w:rPr>
            </w:r>
            <w:r w:rsidR="00FD58BF">
              <w:rPr>
                <w:noProof/>
                <w:webHidden/>
              </w:rPr>
              <w:fldChar w:fldCharType="separate"/>
            </w:r>
            <w:r w:rsidR="00FD58BF">
              <w:rPr>
                <w:noProof/>
                <w:webHidden/>
              </w:rPr>
              <w:t>1092</w:t>
            </w:r>
            <w:r w:rsidR="00FD58BF">
              <w:rPr>
                <w:noProof/>
                <w:webHidden/>
              </w:rPr>
              <w:fldChar w:fldCharType="end"/>
            </w:r>
          </w:hyperlink>
        </w:p>
        <w:p w14:paraId="74F7DC2F" w14:textId="191C454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6" w:history="1">
            <w:r w:rsidR="00FD58BF" w:rsidRPr="003004E5">
              <w:rPr>
                <w:rStyle w:val="Lienhypertexte"/>
                <w:noProof/>
              </w:rPr>
              <w:t>24.42.1 Assemblages par tiges CCTB 01.07</w:t>
            </w:r>
            <w:r w:rsidR="00FD58BF">
              <w:rPr>
                <w:noProof/>
                <w:webHidden/>
              </w:rPr>
              <w:tab/>
            </w:r>
            <w:r w:rsidR="00FD58BF">
              <w:rPr>
                <w:noProof/>
                <w:webHidden/>
              </w:rPr>
              <w:fldChar w:fldCharType="begin"/>
            </w:r>
            <w:r w:rsidR="00FD58BF">
              <w:rPr>
                <w:noProof/>
                <w:webHidden/>
              </w:rPr>
              <w:instrText xml:space="preserve"> PAGEREF _Toc178838806 \h </w:instrText>
            </w:r>
            <w:r w:rsidR="00FD58BF">
              <w:rPr>
                <w:noProof/>
                <w:webHidden/>
              </w:rPr>
            </w:r>
            <w:r w:rsidR="00FD58BF">
              <w:rPr>
                <w:noProof/>
                <w:webHidden/>
              </w:rPr>
              <w:fldChar w:fldCharType="separate"/>
            </w:r>
            <w:r w:rsidR="00FD58BF">
              <w:rPr>
                <w:noProof/>
                <w:webHidden/>
              </w:rPr>
              <w:t>1093</w:t>
            </w:r>
            <w:r w:rsidR="00FD58BF">
              <w:rPr>
                <w:noProof/>
                <w:webHidden/>
              </w:rPr>
              <w:fldChar w:fldCharType="end"/>
            </w:r>
          </w:hyperlink>
        </w:p>
        <w:p w14:paraId="63C6E900" w14:textId="29F7E6B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7" w:history="1">
            <w:r w:rsidR="00FD58BF" w:rsidRPr="003004E5">
              <w:rPr>
                <w:rStyle w:val="Lienhypertexte"/>
                <w:noProof/>
              </w:rPr>
              <w:t>24.42.1a Assemblages par tiges - clous CCTB 01.11</w:t>
            </w:r>
            <w:r w:rsidR="00FD58BF">
              <w:rPr>
                <w:noProof/>
                <w:webHidden/>
              </w:rPr>
              <w:tab/>
            </w:r>
            <w:r w:rsidR="00FD58BF">
              <w:rPr>
                <w:noProof/>
                <w:webHidden/>
              </w:rPr>
              <w:fldChar w:fldCharType="begin"/>
            </w:r>
            <w:r w:rsidR="00FD58BF">
              <w:rPr>
                <w:noProof/>
                <w:webHidden/>
              </w:rPr>
              <w:instrText xml:space="preserve"> PAGEREF _Toc178838807 \h </w:instrText>
            </w:r>
            <w:r w:rsidR="00FD58BF">
              <w:rPr>
                <w:noProof/>
                <w:webHidden/>
              </w:rPr>
            </w:r>
            <w:r w:rsidR="00FD58BF">
              <w:rPr>
                <w:noProof/>
                <w:webHidden/>
              </w:rPr>
              <w:fldChar w:fldCharType="separate"/>
            </w:r>
            <w:r w:rsidR="00FD58BF">
              <w:rPr>
                <w:noProof/>
                <w:webHidden/>
              </w:rPr>
              <w:t>1094</w:t>
            </w:r>
            <w:r w:rsidR="00FD58BF">
              <w:rPr>
                <w:noProof/>
                <w:webHidden/>
              </w:rPr>
              <w:fldChar w:fldCharType="end"/>
            </w:r>
          </w:hyperlink>
        </w:p>
        <w:p w14:paraId="60E59936" w14:textId="7E456D4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8" w:history="1">
            <w:r w:rsidR="00FD58BF" w:rsidRPr="003004E5">
              <w:rPr>
                <w:rStyle w:val="Lienhypertexte"/>
                <w:noProof/>
              </w:rPr>
              <w:t>24.42.1b Assemblages par tiges - broches CCTB 01.11</w:t>
            </w:r>
            <w:r w:rsidR="00FD58BF">
              <w:rPr>
                <w:noProof/>
                <w:webHidden/>
              </w:rPr>
              <w:tab/>
            </w:r>
            <w:r w:rsidR="00FD58BF">
              <w:rPr>
                <w:noProof/>
                <w:webHidden/>
              </w:rPr>
              <w:fldChar w:fldCharType="begin"/>
            </w:r>
            <w:r w:rsidR="00FD58BF">
              <w:rPr>
                <w:noProof/>
                <w:webHidden/>
              </w:rPr>
              <w:instrText xml:space="preserve"> PAGEREF _Toc178838808 \h </w:instrText>
            </w:r>
            <w:r w:rsidR="00FD58BF">
              <w:rPr>
                <w:noProof/>
                <w:webHidden/>
              </w:rPr>
            </w:r>
            <w:r w:rsidR="00FD58BF">
              <w:rPr>
                <w:noProof/>
                <w:webHidden/>
              </w:rPr>
              <w:fldChar w:fldCharType="separate"/>
            </w:r>
            <w:r w:rsidR="00FD58BF">
              <w:rPr>
                <w:noProof/>
                <w:webHidden/>
              </w:rPr>
              <w:t>1096</w:t>
            </w:r>
            <w:r w:rsidR="00FD58BF">
              <w:rPr>
                <w:noProof/>
                <w:webHidden/>
              </w:rPr>
              <w:fldChar w:fldCharType="end"/>
            </w:r>
          </w:hyperlink>
        </w:p>
        <w:p w14:paraId="6333A241" w14:textId="2322105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9" w:history="1">
            <w:r w:rsidR="00FD58BF" w:rsidRPr="003004E5">
              <w:rPr>
                <w:rStyle w:val="Lienhypertexte"/>
                <w:noProof/>
              </w:rPr>
              <w:t>24.42.1c Assemblages par tiges - boulons CCTB 01.11</w:t>
            </w:r>
            <w:r w:rsidR="00FD58BF">
              <w:rPr>
                <w:noProof/>
                <w:webHidden/>
              </w:rPr>
              <w:tab/>
            </w:r>
            <w:r w:rsidR="00FD58BF">
              <w:rPr>
                <w:noProof/>
                <w:webHidden/>
              </w:rPr>
              <w:fldChar w:fldCharType="begin"/>
            </w:r>
            <w:r w:rsidR="00FD58BF">
              <w:rPr>
                <w:noProof/>
                <w:webHidden/>
              </w:rPr>
              <w:instrText xml:space="preserve"> PAGEREF _Toc178838809 \h </w:instrText>
            </w:r>
            <w:r w:rsidR="00FD58BF">
              <w:rPr>
                <w:noProof/>
                <w:webHidden/>
              </w:rPr>
            </w:r>
            <w:r w:rsidR="00FD58BF">
              <w:rPr>
                <w:noProof/>
                <w:webHidden/>
              </w:rPr>
              <w:fldChar w:fldCharType="separate"/>
            </w:r>
            <w:r w:rsidR="00FD58BF">
              <w:rPr>
                <w:noProof/>
                <w:webHidden/>
              </w:rPr>
              <w:t>1098</w:t>
            </w:r>
            <w:r w:rsidR="00FD58BF">
              <w:rPr>
                <w:noProof/>
                <w:webHidden/>
              </w:rPr>
              <w:fldChar w:fldCharType="end"/>
            </w:r>
          </w:hyperlink>
        </w:p>
        <w:p w14:paraId="4EE47832" w14:textId="57B4EC1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0" w:history="1">
            <w:r w:rsidR="00FD58BF" w:rsidRPr="003004E5">
              <w:rPr>
                <w:rStyle w:val="Lienhypertexte"/>
                <w:noProof/>
              </w:rPr>
              <w:t>24.42.1d Assemblages par tiges - vis CCTB 01.11</w:t>
            </w:r>
            <w:r w:rsidR="00FD58BF">
              <w:rPr>
                <w:noProof/>
                <w:webHidden/>
              </w:rPr>
              <w:tab/>
            </w:r>
            <w:r w:rsidR="00FD58BF">
              <w:rPr>
                <w:noProof/>
                <w:webHidden/>
              </w:rPr>
              <w:fldChar w:fldCharType="begin"/>
            </w:r>
            <w:r w:rsidR="00FD58BF">
              <w:rPr>
                <w:noProof/>
                <w:webHidden/>
              </w:rPr>
              <w:instrText xml:space="preserve"> PAGEREF _Toc178838810 \h </w:instrText>
            </w:r>
            <w:r w:rsidR="00FD58BF">
              <w:rPr>
                <w:noProof/>
                <w:webHidden/>
              </w:rPr>
            </w:r>
            <w:r w:rsidR="00FD58BF">
              <w:rPr>
                <w:noProof/>
                <w:webHidden/>
              </w:rPr>
              <w:fldChar w:fldCharType="separate"/>
            </w:r>
            <w:r w:rsidR="00FD58BF">
              <w:rPr>
                <w:noProof/>
                <w:webHidden/>
              </w:rPr>
              <w:t>1100</w:t>
            </w:r>
            <w:r w:rsidR="00FD58BF">
              <w:rPr>
                <w:noProof/>
                <w:webHidden/>
              </w:rPr>
              <w:fldChar w:fldCharType="end"/>
            </w:r>
          </w:hyperlink>
        </w:p>
        <w:p w14:paraId="2DE3F52D" w14:textId="5686B40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1" w:history="1">
            <w:r w:rsidR="00FD58BF" w:rsidRPr="003004E5">
              <w:rPr>
                <w:rStyle w:val="Lienhypertexte"/>
                <w:noProof/>
              </w:rPr>
              <w:t>24.42.1e Assemblages par tiges - tire-fonds CCTB 01.11</w:t>
            </w:r>
            <w:r w:rsidR="00FD58BF">
              <w:rPr>
                <w:noProof/>
                <w:webHidden/>
              </w:rPr>
              <w:tab/>
            </w:r>
            <w:r w:rsidR="00FD58BF">
              <w:rPr>
                <w:noProof/>
                <w:webHidden/>
              </w:rPr>
              <w:fldChar w:fldCharType="begin"/>
            </w:r>
            <w:r w:rsidR="00FD58BF">
              <w:rPr>
                <w:noProof/>
                <w:webHidden/>
              </w:rPr>
              <w:instrText xml:space="preserve"> PAGEREF _Toc178838811 \h </w:instrText>
            </w:r>
            <w:r w:rsidR="00FD58BF">
              <w:rPr>
                <w:noProof/>
                <w:webHidden/>
              </w:rPr>
            </w:r>
            <w:r w:rsidR="00FD58BF">
              <w:rPr>
                <w:noProof/>
                <w:webHidden/>
              </w:rPr>
              <w:fldChar w:fldCharType="separate"/>
            </w:r>
            <w:r w:rsidR="00FD58BF">
              <w:rPr>
                <w:noProof/>
                <w:webHidden/>
              </w:rPr>
              <w:t>1103</w:t>
            </w:r>
            <w:r w:rsidR="00FD58BF">
              <w:rPr>
                <w:noProof/>
                <w:webHidden/>
              </w:rPr>
              <w:fldChar w:fldCharType="end"/>
            </w:r>
          </w:hyperlink>
        </w:p>
        <w:p w14:paraId="1D417F1D" w14:textId="1E86AE8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2" w:history="1">
            <w:r w:rsidR="00FD58BF" w:rsidRPr="003004E5">
              <w:rPr>
                <w:rStyle w:val="Lienhypertexte"/>
                <w:noProof/>
              </w:rPr>
              <w:t>24.42.1f Assemblages par tiges - agrafes CCTB 01.11</w:t>
            </w:r>
            <w:r w:rsidR="00FD58BF">
              <w:rPr>
                <w:noProof/>
                <w:webHidden/>
              </w:rPr>
              <w:tab/>
            </w:r>
            <w:r w:rsidR="00FD58BF">
              <w:rPr>
                <w:noProof/>
                <w:webHidden/>
              </w:rPr>
              <w:fldChar w:fldCharType="begin"/>
            </w:r>
            <w:r w:rsidR="00FD58BF">
              <w:rPr>
                <w:noProof/>
                <w:webHidden/>
              </w:rPr>
              <w:instrText xml:space="preserve"> PAGEREF _Toc178838812 \h </w:instrText>
            </w:r>
            <w:r w:rsidR="00FD58BF">
              <w:rPr>
                <w:noProof/>
                <w:webHidden/>
              </w:rPr>
            </w:r>
            <w:r w:rsidR="00FD58BF">
              <w:rPr>
                <w:noProof/>
                <w:webHidden/>
              </w:rPr>
              <w:fldChar w:fldCharType="separate"/>
            </w:r>
            <w:r w:rsidR="00FD58BF">
              <w:rPr>
                <w:noProof/>
                <w:webHidden/>
              </w:rPr>
              <w:t>1105</w:t>
            </w:r>
            <w:r w:rsidR="00FD58BF">
              <w:rPr>
                <w:noProof/>
                <w:webHidden/>
              </w:rPr>
              <w:fldChar w:fldCharType="end"/>
            </w:r>
          </w:hyperlink>
        </w:p>
        <w:p w14:paraId="74B6451D" w14:textId="1FC6102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3" w:history="1">
            <w:r w:rsidR="00FD58BF" w:rsidRPr="003004E5">
              <w:rPr>
                <w:rStyle w:val="Lienhypertexte"/>
                <w:noProof/>
              </w:rPr>
              <w:t>24.42.2 Connecteurs de surface CCTB 01.07</w:t>
            </w:r>
            <w:r w:rsidR="00FD58BF">
              <w:rPr>
                <w:noProof/>
                <w:webHidden/>
              </w:rPr>
              <w:tab/>
            </w:r>
            <w:r w:rsidR="00FD58BF">
              <w:rPr>
                <w:noProof/>
                <w:webHidden/>
              </w:rPr>
              <w:fldChar w:fldCharType="begin"/>
            </w:r>
            <w:r w:rsidR="00FD58BF">
              <w:rPr>
                <w:noProof/>
                <w:webHidden/>
              </w:rPr>
              <w:instrText xml:space="preserve"> PAGEREF _Toc178838813 \h </w:instrText>
            </w:r>
            <w:r w:rsidR="00FD58BF">
              <w:rPr>
                <w:noProof/>
                <w:webHidden/>
              </w:rPr>
            </w:r>
            <w:r w:rsidR="00FD58BF">
              <w:rPr>
                <w:noProof/>
                <w:webHidden/>
              </w:rPr>
              <w:fldChar w:fldCharType="separate"/>
            </w:r>
            <w:r w:rsidR="00FD58BF">
              <w:rPr>
                <w:noProof/>
                <w:webHidden/>
              </w:rPr>
              <w:t>1107</w:t>
            </w:r>
            <w:r w:rsidR="00FD58BF">
              <w:rPr>
                <w:noProof/>
                <w:webHidden/>
              </w:rPr>
              <w:fldChar w:fldCharType="end"/>
            </w:r>
          </w:hyperlink>
        </w:p>
        <w:p w14:paraId="0F86519D" w14:textId="5FED0A3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4" w:history="1">
            <w:r w:rsidR="00FD58BF" w:rsidRPr="003004E5">
              <w:rPr>
                <w:rStyle w:val="Lienhypertexte"/>
                <w:noProof/>
              </w:rPr>
              <w:t>24.42.2a Connecteurs de surface - anneaux CCTB 01.12</w:t>
            </w:r>
            <w:r w:rsidR="00FD58BF">
              <w:rPr>
                <w:noProof/>
                <w:webHidden/>
              </w:rPr>
              <w:tab/>
            </w:r>
            <w:r w:rsidR="00FD58BF">
              <w:rPr>
                <w:noProof/>
                <w:webHidden/>
              </w:rPr>
              <w:fldChar w:fldCharType="begin"/>
            </w:r>
            <w:r w:rsidR="00FD58BF">
              <w:rPr>
                <w:noProof/>
                <w:webHidden/>
              </w:rPr>
              <w:instrText xml:space="preserve"> PAGEREF _Toc178838814 \h </w:instrText>
            </w:r>
            <w:r w:rsidR="00FD58BF">
              <w:rPr>
                <w:noProof/>
                <w:webHidden/>
              </w:rPr>
            </w:r>
            <w:r w:rsidR="00FD58BF">
              <w:rPr>
                <w:noProof/>
                <w:webHidden/>
              </w:rPr>
              <w:fldChar w:fldCharType="separate"/>
            </w:r>
            <w:r w:rsidR="00FD58BF">
              <w:rPr>
                <w:noProof/>
                <w:webHidden/>
              </w:rPr>
              <w:t>1107</w:t>
            </w:r>
            <w:r w:rsidR="00FD58BF">
              <w:rPr>
                <w:noProof/>
                <w:webHidden/>
              </w:rPr>
              <w:fldChar w:fldCharType="end"/>
            </w:r>
          </w:hyperlink>
        </w:p>
        <w:p w14:paraId="2EF5B30D" w14:textId="29A1669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5" w:history="1">
            <w:r w:rsidR="00FD58BF" w:rsidRPr="003004E5">
              <w:rPr>
                <w:rStyle w:val="Lienhypertexte"/>
                <w:noProof/>
              </w:rPr>
              <w:t>24.42.2b Connecteurs de surface - crampons CCTB 01.11</w:t>
            </w:r>
            <w:r w:rsidR="00FD58BF">
              <w:rPr>
                <w:noProof/>
                <w:webHidden/>
              </w:rPr>
              <w:tab/>
            </w:r>
            <w:r w:rsidR="00FD58BF">
              <w:rPr>
                <w:noProof/>
                <w:webHidden/>
              </w:rPr>
              <w:fldChar w:fldCharType="begin"/>
            </w:r>
            <w:r w:rsidR="00FD58BF">
              <w:rPr>
                <w:noProof/>
                <w:webHidden/>
              </w:rPr>
              <w:instrText xml:space="preserve"> PAGEREF _Toc178838815 \h </w:instrText>
            </w:r>
            <w:r w:rsidR="00FD58BF">
              <w:rPr>
                <w:noProof/>
                <w:webHidden/>
              </w:rPr>
            </w:r>
            <w:r w:rsidR="00FD58BF">
              <w:rPr>
                <w:noProof/>
                <w:webHidden/>
              </w:rPr>
              <w:fldChar w:fldCharType="separate"/>
            </w:r>
            <w:r w:rsidR="00FD58BF">
              <w:rPr>
                <w:noProof/>
                <w:webHidden/>
              </w:rPr>
              <w:t>1109</w:t>
            </w:r>
            <w:r w:rsidR="00FD58BF">
              <w:rPr>
                <w:noProof/>
                <w:webHidden/>
              </w:rPr>
              <w:fldChar w:fldCharType="end"/>
            </w:r>
          </w:hyperlink>
        </w:p>
        <w:p w14:paraId="22E2CA59" w14:textId="7CBA370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6" w:history="1">
            <w:r w:rsidR="00FD58BF" w:rsidRPr="003004E5">
              <w:rPr>
                <w:rStyle w:val="Lienhypertexte"/>
                <w:noProof/>
              </w:rPr>
              <w:t>24.42.2c Connecteurs de surface - plaques dentées CCTB 01.11</w:t>
            </w:r>
            <w:r w:rsidR="00FD58BF">
              <w:rPr>
                <w:noProof/>
                <w:webHidden/>
              </w:rPr>
              <w:tab/>
            </w:r>
            <w:r w:rsidR="00FD58BF">
              <w:rPr>
                <w:noProof/>
                <w:webHidden/>
              </w:rPr>
              <w:fldChar w:fldCharType="begin"/>
            </w:r>
            <w:r w:rsidR="00FD58BF">
              <w:rPr>
                <w:noProof/>
                <w:webHidden/>
              </w:rPr>
              <w:instrText xml:space="preserve"> PAGEREF _Toc178838816 \h </w:instrText>
            </w:r>
            <w:r w:rsidR="00FD58BF">
              <w:rPr>
                <w:noProof/>
                <w:webHidden/>
              </w:rPr>
            </w:r>
            <w:r w:rsidR="00FD58BF">
              <w:rPr>
                <w:noProof/>
                <w:webHidden/>
              </w:rPr>
              <w:fldChar w:fldCharType="separate"/>
            </w:r>
            <w:r w:rsidR="00FD58BF">
              <w:rPr>
                <w:noProof/>
                <w:webHidden/>
              </w:rPr>
              <w:t>1112</w:t>
            </w:r>
            <w:r w:rsidR="00FD58BF">
              <w:rPr>
                <w:noProof/>
                <w:webHidden/>
              </w:rPr>
              <w:fldChar w:fldCharType="end"/>
            </w:r>
          </w:hyperlink>
        </w:p>
        <w:p w14:paraId="71797CE4" w14:textId="0B5F750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7" w:history="1">
            <w:r w:rsidR="00FD58BF" w:rsidRPr="003004E5">
              <w:rPr>
                <w:rStyle w:val="Lienhypertexte"/>
                <w:noProof/>
              </w:rPr>
              <w:t>24.42.3 Systèmes de connexion CCTB 01.10</w:t>
            </w:r>
            <w:r w:rsidR="00FD58BF">
              <w:rPr>
                <w:noProof/>
                <w:webHidden/>
              </w:rPr>
              <w:tab/>
            </w:r>
            <w:r w:rsidR="00FD58BF">
              <w:rPr>
                <w:noProof/>
                <w:webHidden/>
              </w:rPr>
              <w:fldChar w:fldCharType="begin"/>
            </w:r>
            <w:r w:rsidR="00FD58BF">
              <w:rPr>
                <w:noProof/>
                <w:webHidden/>
              </w:rPr>
              <w:instrText xml:space="preserve"> PAGEREF _Toc178838817 \h </w:instrText>
            </w:r>
            <w:r w:rsidR="00FD58BF">
              <w:rPr>
                <w:noProof/>
                <w:webHidden/>
              </w:rPr>
            </w:r>
            <w:r w:rsidR="00FD58BF">
              <w:rPr>
                <w:noProof/>
                <w:webHidden/>
              </w:rPr>
              <w:fldChar w:fldCharType="separate"/>
            </w:r>
            <w:r w:rsidR="00FD58BF">
              <w:rPr>
                <w:noProof/>
                <w:webHidden/>
              </w:rPr>
              <w:t>1114</w:t>
            </w:r>
            <w:r w:rsidR="00FD58BF">
              <w:rPr>
                <w:noProof/>
                <w:webHidden/>
              </w:rPr>
              <w:fldChar w:fldCharType="end"/>
            </w:r>
          </w:hyperlink>
        </w:p>
        <w:p w14:paraId="5CB91862" w14:textId="3166FAB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8" w:history="1">
            <w:r w:rsidR="00FD58BF" w:rsidRPr="003004E5">
              <w:rPr>
                <w:rStyle w:val="Lienhypertexte"/>
                <w:noProof/>
              </w:rPr>
              <w:t>24.42.3a Systèmes de connexion - tôles minces clouées CCTB 01.07</w:t>
            </w:r>
            <w:r w:rsidR="00FD58BF">
              <w:rPr>
                <w:noProof/>
                <w:webHidden/>
              </w:rPr>
              <w:tab/>
            </w:r>
            <w:r w:rsidR="00FD58BF">
              <w:rPr>
                <w:noProof/>
                <w:webHidden/>
              </w:rPr>
              <w:fldChar w:fldCharType="begin"/>
            </w:r>
            <w:r w:rsidR="00FD58BF">
              <w:rPr>
                <w:noProof/>
                <w:webHidden/>
              </w:rPr>
              <w:instrText xml:space="preserve"> PAGEREF _Toc178838818 \h </w:instrText>
            </w:r>
            <w:r w:rsidR="00FD58BF">
              <w:rPr>
                <w:noProof/>
                <w:webHidden/>
              </w:rPr>
            </w:r>
            <w:r w:rsidR="00FD58BF">
              <w:rPr>
                <w:noProof/>
                <w:webHidden/>
              </w:rPr>
              <w:fldChar w:fldCharType="separate"/>
            </w:r>
            <w:r w:rsidR="00FD58BF">
              <w:rPr>
                <w:noProof/>
                <w:webHidden/>
              </w:rPr>
              <w:t>1114</w:t>
            </w:r>
            <w:r w:rsidR="00FD58BF">
              <w:rPr>
                <w:noProof/>
                <w:webHidden/>
              </w:rPr>
              <w:fldChar w:fldCharType="end"/>
            </w:r>
          </w:hyperlink>
        </w:p>
        <w:p w14:paraId="43E9549F" w14:textId="698BB0E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9" w:history="1">
            <w:r w:rsidR="00FD58BF" w:rsidRPr="003004E5">
              <w:rPr>
                <w:rStyle w:val="Lienhypertexte"/>
                <w:noProof/>
              </w:rPr>
              <w:t>24.42.3b Systèmes de connexion - ferrures standardisées CCTB 01.11</w:t>
            </w:r>
            <w:r w:rsidR="00FD58BF">
              <w:rPr>
                <w:noProof/>
                <w:webHidden/>
              </w:rPr>
              <w:tab/>
            </w:r>
            <w:r w:rsidR="00FD58BF">
              <w:rPr>
                <w:noProof/>
                <w:webHidden/>
              </w:rPr>
              <w:fldChar w:fldCharType="begin"/>
            </w:r>
            <w:r w:rsidR="00FD58BF">
              <w:rPr>
                <w:noProof/>
                <w:webHidden/>
              </w:rPr>
              <w:instrText xml:space="preserve"> PAGEREF _Toc178838819 \h </w:instrText>
            </w:r>
            <w:r w:rsidR="00FD58BF">
              <w:rPr>
                <w:noProof/>
                <w:webHidden/>
              </w:rPr>
            </w:r>
            <w:r w:rsidR="00FD58BF">
              <w:rPr>
                <w:noProof/>
                <w:webHidden/>
              </w:rPr>
              <w:fldChar w:fldCharType="separate"/>
            </w:r>
            <w:r w:rsidR="00FD58BF">
              <w:rPr>
                <w:noProof/>
                <w:webHidden/>
              </w:rPr>
              <w:t>1114</w:t>
            </w:r>
            <w:r w:rsidR="00FD58BF">
              <w:rPr>
                <w:noProof/>
                <w:webHidden/>
              </w:rPr>
              <w:fldChar w:fldCharType="end"/>
            </w:r>
          </w:hyperlink>
        </w:p>
        <w:p w14:paraId="69603C9D" w14:textId="04A1619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0" w:history="1">
            <w:r w:rsidR="00FD58BF" w:rsidRPr="003004E5">
              <w:rPr>
                <w:rStyle w:val="Lienhypertexte"/>
                <w:noProof/>
              </w:rPr>
              <w:t>24.42.3c Systèmes de connexion - ferrures mécano-soudées CCTB 01.11</w:t>
            </w:r>
            <w:r w:rsidR="00FD58BF">
              <w:rPr>
                <w:noProof/>
                <w:webHidden/>
              </w:rPr>
              <w:tab/>
            </w:r>
            <w:r w:rsidR="00FD58BF">
              <w:rPr>
                <w:noProof/>
                <w:webHidden/>
              </w:rPr>
              <w:fldChar w:fldCharType="begin"/>
            </w:r>
            <w:r w:rsidR="00FD58BF">
              <w:rPr>
                <w:noProof/>
                <w:webHidden/>
              </w:rPr>
              <w:instrText xml:space="preserve"> PAGEREF _Toc178838820 \h </w:instrText>
            </w:r>
            <w:r w:rsidR="00FD58BF">
              <w:rPr>
                <w:noProof/>
                <w:webHidden/>
              </w:rPr>
            </w:r>
            <w:r w:rsidR="00FD58BF">
              <w:rPr>
                <w:noProof/>
                <w:webHidden/>
              </w:rPr>
              <w:fldChar w:fldCharType="separate"/>
            </w:r>
            <w:r w:rsidR="00FD58BF">
              <w:rPr>
                <w:noProof/>
                <w:webHidden/>
              </w:rPr>
              <w:t>1116</w:t>
            </w:r>
            <w:r w:rsidR="00FD58BF">
              <w:rPr>
                <w:noProof/>
                <w:webHidden/>
              </w:rPr>
              <w:fldChar w:fldCharType="end"/>
            </w:r>
          </w:hyperlink>
        </w:p>
        <w:p w14:paraId="2C023F9C" w14:textId="26D19DE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1" w:history="1">
            <w:r w:rsidR="00FD58BF" w:rsidRPr="003004E5">
              <w:rPr>
                <w:rStyle w:val="Lienhypertexte"/>
                <w:noProof/>
              </w:rPr>
              <w:t>24.42.4 Finitions d'assemblages  CCTB 01.07</w:t>
            </w:r>
            <w:r w:rsidR="00FD58BF">
              <w:rPr>
                <w:noProof/>
                <w:webHidden/>
              </w:rPr>
              <w:tab/>
            </w:r>
            <w:r w:rsidR="00FD58BF">
              <w:rPr>
                <w:noProof/>
                <w:webHidden/>
              </w:rPr>
              <w:fldChar w:fldCharType="begin"/>
            </w:r>
            <w:r w:rsidR="00FD58BF">
              <w:rPr>
                <w:noProof/>
                <w:webHidden/>
              </w:rPr>
              <w:instrText xml:space="preserve"> PAGEREF _Toc178838821 \h </w:instrText>
            </w:r>
            <w:r w:rsidR="00FD58BF">
              <w:rPr>
                <w:noProof/>
                <w:webHidden/>
              </w:rPr>
            </w:r>
            <w:r w:rsidR="00FD58BF">
              <w:rPr>
                <w:noProof/>
                <w:webHidden/>
              </w:rPr>
              <w:fldChar w:fldCharType="separate"/>
            </w:r>
            <w:r w:rsidR="00FD58BF">
              <w:rPr>
                <w:noProof/>
                <w:webHidden/>
              </w:rPr>
              <w:t>1118</w:t>
            </w:r>
            <w:r w:rsidR="00FD58BF">
              <w:rPr>
                <w:noProof/>
                <w:webHidden/>
              </w:rPr>
              <w:fldChar w:fldCharType="end"/>
            </w:r>
          </w:hyperlink>
        </w:p>
        <w:p w14:paraId="6D4EFEB7" w14:textId="433757B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2" w:history="1">
            <w:r w:rsidR="00FD58BF" w:rsidRPr="003004E5">
              <w:rPr>
                <w:rStyle w:val="Lienhypertexte"/>
                <w:noProof/>
              </w:rPr>
              <w:t>24.42.4a Finitions d'assemblages - bouchonnage CCTB 01.11</w:t>
            </w:r>
            <w:r w:rsidR="00FD58BF">
              <w:rPr>
                <w:noProof/>
                <w:webHidden/>
              </w:rPr>
              <w:tab/>
            </w:r>
            <w:r w:rsidR="00FD58BF">
              <w:rPr>
                <w:noProof/>
                <w:webHidden/>
              </w:rPr>
              <w:fldChar w:fldCharType="begin"/>
            </w:r>
            <w:r w:rsidR="00FD58BF">
              <w:rPr>
                <w:noProof/>
                <w:webHidden/>
              </w:rPr>
              <w:instrText xml:space="preserve"> PAGEREF _Toc178838822 \h </w:instrText>
            </w:r>
            <w:r w:rsidR="00FD58BF">
              <w:rPr>
                <w:noProof/>
                <w:webHidden/>
              </w:rPr>
            </w:r>
            <w:r w:rsidR="00FD58BF">
              <w:rPr>
                <w:noProof/>
                <w:webHidden/>
              </w:rPr>
              <w:fldChar w:fldCharType="separate"/>
            </w:r>
            <w:r w:rsidR="00FD58BF">
              <w:rPr>
                <w:noProof/>
                <w:webHidden/>
              </w:rPr>
              <w:t>1118</w:t>
            </w:r>
            <w:r w:rsidR="00FD58BF">
              <w:rPr>
                <w:noProof/>
                <w:webHidden/>
              </w:rPr>
              <w:fldChar w:fldCharType="end"/>
            </w:r>
          </w:hyperlink>
        </w:p>
        <w:p w14:paraId="0A8E916B" w14:textId="35E93F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3" w:history="1">
            <w:r w:rsidR="00FD58BF" w:rsidRPr="003004E5">
              <w:rPr>
                <w:rStyle w:val="Lienhypertexte"/>
                <w:noProof/>
              </w:rPr>
              <w:t>24.42.4b Finitions d'assemblages - fermetures d'entailles CCTB 01.07</w:t>
            </w:r>
            <w:r w:rsidR="00FD58BF">
              <w:rPr>
                <w:noProof/>
                <w:webHidden/>
              </w:rPr>
              <w:tab/>
            </w:r>
            <w:r w:rsidR="00FD58BF">
              <w:rPr>
                <w:noProof/>
                <w:webHidden/>
              </w:rPr>
              <w:fldChar w:fldCharType="begin"/>
            </w:r>
            <w:r w:rsidR="00FD58BF">
              <w:rPr>
                <w:noProof/>
                <w:webHidden/>
              </w:rPr>
              <w:instrText xml:space="preserve"> PAGEREF _Toc178838823 \h </w:instrText>
            </w:r>
            <w:r w:rsidR="00FD58BF">
              <w:rPr>
                <w:noProof/>
                <w:webHidden/>
              </w:rPr>
            </w:r>
            <w:r w:rsidR="00FD58BF">
              <w:rPr>
                <w:noProof/>
                <w:webHidden/>
              </w:rPr>
              <w:fldChar w:fldCharType="separate"/>
            </w:r>
            <w:r w:rsidR="00FD58BF">
              <w:rPr>
                <w:noProof/>
                <w:webHidden/>
              </w:rPr>
              <w:t>1120</w:t>
            </w:r>
            <w:r w:rsidR="00FD58BF">
              <w:rPr>
                <w:noProof/>
                <w:webHidden/>
              </w:rPr>
              <w:fldChar w:fldCharType="end"/>
            </w:r>
          </w:hyperlink>
        </w:p>
        <w:p w14:paraId="1A6D6EBF" w14:textId="595BE5F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24" w:history="1">
            <w:r w:rsidR="00FD58BF" w:rsidRPr="003004E5">
              <w:rPr>
                <w:rStyle w:val="Lienhypertexte"/>
                <w:noProof/>
              </w:rPr>
              <w:t>24.43 Assemblages collés CCTB 01.10</w:t>
            </w:r>
            <w:r w:rsidR="00FD58BF">
              <w:rPr>
                <w:noProof/>
                <w:webHidden/>
              </w:rPr>
              <w:tab/>
            </w:r>
            <w:r w:rsidR="00FD58BF">
              <w:rPr>
                <w:noProof/>
                <w:webHidden/>
              </w:rPr>
              <w:fldChar w:fldCharType="begin"/>
            </w:r>
            <w:r w:rsidR="00FD58BF">
              <w:rPr>
                <w:noProof/>
                <w:webHidden/>
              </w:rPr>
              <w:instrText xml:space="preserve"> PAGEREF _Toc178838824 \h </w:instrText>
            </w:r>
            <w:r w:rsidR="00FD58BF">
              <w:rPr>
                <w:noProof/>
                <w:webHidden/>
              </w:rPr>
            </w:r>
            <w:r w:rsidR="00FD58BF">
              <w:rPr>
                <w:noProof/>
                <w:webHidden/>
              </w:rPr>
              <w:fldChar w:fldCharType="separate"/>
            </w:r>
            <w:r w:rsidR="00FD58BF">
              <w:rPr>
                <w:noProof/>
                <w:webHidden/>
              </w:rPr>
              <w:t>1120</w:t>
            </w:r>
            <w:r w:rsidR="00FD58BF">
              <w:rPr>
                <w:noProof/>
                <w:webHidden/>
              </w:rPr>
              <w:fldChar w:fldCharType="end"/>
            </w:r>
          </w:hyperlink>
        </w:p>
        <w:p w14:paraId="733E43B1" w14:textId="085A229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5" w:history="1">
            <w:r w:rsidR="00FD58BF" w:rsidRPr="003004E5">
              <w:rPr>
                <w:rStyle w:val="Lienhypertexte"/>
                <w:noProof/>
              </w:rPr>
              <w:t>24.43.1 Assemblages collés CCTB 01.07</w:t>
            </w:r>
            <w:r w:rsidR="00FD58BF">
              <w:rPr>
                <w:noProof/>
                <w:webHidden/>
              </w:rPr>
              <w:tab/>
            </w:r>
            <w:r w:rsidR="00FD58BF">
              <w:rPr>
                <w:noProof/>
                <w:webHidden/>
              </w:rPr>
              <w:fldChar w:fldCharType="begin"/>
            </w:r>
            <w:r w:rsidR="00FD58BF">
              <w:rPr>
                <w:noProof/>
                <w:webHidden/>
              </w:rPr>
              <w:instrText xml:space="preserve"> PAGEREF _Toc178838825 \h </w:instrText>
            </w:r>
            <w:r w:rsidR="00FD58BF">
              <w:rPr>
                <w:noProof/>
                <w:webHidden/>
              </w:rPr>
            </w:r>
            <w:r w:rsidR="00FD58BF">
              <w:rPr>
                <w:noProof/>
                <w:webHidden/>
              </w:rPr>
              <w:fldChar w:fldCharType="separate"/>
            </w:r>
            <w:r w:rsidR="00FD58BF">
              <w:rPr>
                <w:noProof/>
                <w:webHidden/>
              </w:rPr>
              <w:t>1120</w:t>
            </w:r>
            <w:r w:rsidR="00FD58BF">
              <w:rPr>
                <w:noProof/>
                <w:webHidden/>
              </w:rPr>
              <w:fldChar w:fldCharType="end"/>
            </w:r>
          </w:hyperlink>
        </w:p>
        <w:p w14:paraId="36B7C0E2" w14:textId="7340D85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6" w:history="1">
            <w:r w:rsidR="00FD58BF" w:rsidRPr="003004E5">
              <w:rPr>
                <w:rStyle w:val="Lienhypertexte"/>
                <w:noProof/>
              </w:rPr>
              <w:t>24.43.1a Assemblages collés - goujons collés CCTB 01.11</w:t>
            </w:r>
            <w:r w:rsidR="00FD58BF">
              <w:rPr>
                <w:noProof/>
                <w:webHidden/>
              </w:rPr>
              <w:tab/>
            </w:r>
            <w:r w:rsidR="00FD58BF">
              <w:rPr>
                <w:noProof/>
                <w:webHidden/>
              </w:rPr>
              <w:fldChar w:fldCharType="begin"/>
            </w:r>
            <w:r w:rsidR="00FD58BF">
              <w:rPr>
                <w:noProof/>
                <w:webHidden/>
              </w:rPr>
              <w:instrText xml:space="preserve"> PAGEREF _Toc178838826 \h </w:instrText>
            </w:r>
            <w:r w:rsidR="00FD58BF">
              <w:rPr>
                <w:noProof/>
                <w:webHidden/>
              </w:rPr>
            </w:r>
            <w:r w:rsidR="00FD58BF">
              <w:rPr>
                <w:noProof/>
                <w:webHidden/>
              </w:rPr>
              <w:fldChar w:fldCharType="separate"/>
            </w:r>
            <w:r w:rsidR="00FD58BF">
              <w:rPr>
                <w:noProof/>
                <w:webHidden/>
              </w:rPr>
              <w:t>1120</w:t>
            </w:r>
            <w:r w:rsidR="00FD58BF">
              <w:rPr>
                <w:noProof/>
                <w:webHidden/>
              </w:rPr>
              <w:fldChar w:fldCharType="end"/>
            </w:r>
          </w:hyperlink>
        </w:p>
        <w:p w14:paraId="426F6103" w14:textId="6E4AE6B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7" w:history="1">
            <w:r w:rsidR="00FD58BF" w:rsidRPr="003004E5">
              <w:rPr>
                <w:rStyle w:val="Lienhypertexte"/>
                <w:noProof/>
              </w:rPr>
              <w:t>24.43.1b Assemblages collés - entures multiples CCTB 01.07</w:t>
            </w:r>
            <w:r w:rsidR="00FD58BF">
              <w:rPr>
                <w:noProof/>
                <w:webHidden/>
              </w:rPr>
              <w:tab/>
            </w:r>
            <w:r w:rsidR="00FD58BF">
              <w:rPr>
                <w:noProof/>
                <w:webHidden/>
              </w:rPr>
              <w:fldChar w:fldCharType="begin"/>
            </w:r>
            <w:r w:rsidR="00FD58BF">
              <w:rPr>
                <w:noProof/>
                <w:webHidden/>
              </w:rPr>
              <w:instrText xml:space="preserve"> PAGEREF _Toc178838827 \h </w:instrText>
            </w:r>
            <w:r w:rsidR="00FD58BF">
              <w:rPr>
                <w:noProof/>
                <w:webHidden/>
              </w:rPr>
            </w:r>
            <w:r w:rsidR="00FD58BF">
              <w:rPr>
                <w:noProof/>
                <w:webHidden/>
              </w:rPr>
              <w:fldChar w:fldCharType="separate"/>
            </w:r>
            <w:r w:rsidR="00FD58BF">
              <w:rPr>
                <w:noProof/>
                <w:webHidden/>
              </w:rPr>
              <w:t>1122</w:t>
            </w:r>
            <w:r w:rsidR="00FD58BF">
              <w:rPr>
                <w:noProof/>
                <w:webHidden/>
              </w:rPr>
              <w:fldChar w:fldCharType="end"/>
            </w:r>
          </w:hyperlink>
        </w:p>
        <w:p w14:paraId="45E991CC" w14:textId="3256A7F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8" w:history="1">
            <w:r w:rsidR="00FD58BF" w:rsidRPr="003004E5">
              <w:rPr>
                <w:rStyle w:val="Lienhypertexte"/>
                <w:noProof/>
              </w:rPr>
              <w:t>24.43.1c Assemblages collés - collages structuraux pour éléments collaborants CCTB 01.07</w:t>
            </w:r>
            <w:r w:rsidR="00FD58BF">
              <w:rPr>
                <w:noProof/>
                <w:webHidden/>
              </w:rPr>
              <w:tab/>
            </w:r>
            <w:r w:rsidR="00FD58BF">
              <w:rPr>
                <w:noProof/>
                <w:webHidden/>
              </w:rPr>
              <w:fldChar w:fldCharType="begin"/>
            </w:r>
            <w:r w:rsidR="00FD58BF">
              <w:rPr>
                <w:noProof/>
                <w:webHidden/>
              </w:rPr>
              <w:instrText xml:space="preserve"> PAGEREF _Toc178838828 \h </w:instrText>
            </w:r>
            <w:r w:rsidR="00FD58BF">
              <w:rPr>
                <w:noProof/>
                <w:webHidden/>
              </w:rPr>
            </w:r>
            <w:r w:rsidR="00FD58BF">
              <w:rPr>
                <w:noProof/>
                <w:webHidden/>
              </w:rPr>
              <w:fldChar w:fldCharType="separate"/>
            </w:r>
            <w:r w:rsidR="00FD58BF">
              <w:rPr>
                <w:noProof/>
                <w:webHidden/>
              </w:rPr>
              <w:t>1124</w:t>
            </w:r>
            <w:r w:rsidR="00FD58BF">
              <w:rPr>
                <w:noProof/>
                <w:webHidden/>
              </w:rPr>
              <w:fldChar w:fldCharType="end"/>
            </w:r>
          </w:hyperlink>
        </w:p>
        <w:p w14:paraId="2C8B138E" w14:textId="0538341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29" w:history="1">
            <w:r w:rsidR="00FD58BF" w:rsidRPr="003004E5">
              <w:rPr>
                <w:rStyle w:val="Lienhypertexte"/>
                <w:noProof/>
              </w:rPr>
              <w:t>24.44 Ancrages pour structures en bois CCTB 01.07</w:t>
            </w:r>
            <w:r w:rsidR="00FD58BF">
              <w:rPr>
                <w:noProof/>
                <w:webHidden/>
              </w:rPr>
              <w:tab/>
            </w:r>
            <w:r w:rsidR="00FD58BF">
              <w:rPr>
                <w:noProof/>
                <w:webHidden/>
              </w:rPr>
              <w:fldChar w:fldCharType="begin"/>
            </w:r>
            <w:r w:rsidR="00FD58BF">
              <w:rPr>
                <w:noProof/>
                <w:webHidden/>
              </w:rPr>
              <w:instrText xml:space="preserve"> PAGEREF _Toc178838829 \h </w:instrText>
            </w:r>
            <w:r w:rsidR="00FD58BF">
              <w:rPr>
                <w:noProof/>
                <w:webHidden/>
              </w:rPr>
            </w:r>
            <w:r w:rsidR="00FD58BF">
              <w:rPr>
                <w:noProof/>
                <w:webHidden/>
              </w:rPr>
              <w:fldChar w:fldCharType="separate"/>
            </w:r>
            <w:r w:rsidR="00FD58BF">
              <w:rPr>
                <w:noProof/>
                <w:webHidden/>
              </w:rPr>
              <w:t>1124</w:t>
            </w:r>
            <w:r w:rsidR="00FD58BF">
              <w:rPr>
                <w:noProof/>
                <w:webHidden/>
              </w:rPr>
              <w:fldChar w:fldCharType="end"/>
            </w:r>
          </w:hyperlink>
        </w:p>
        <w:p w14:paraId="6E79FD42" w14:textId="70F6760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0" w:history="1">
            <w:r w:rsidR="00FD58BF" w:rsidRPr="003004E5">
              <w:rPr>
                <w:rStyle w:val="Lienhypertexte"/>
                <w:noProof/>
              </w:rPr>
              <w:t>24.44.1 Ancrages mécaniques pour structures en bois CCTB 01.07</w:t>
            </w:r>
            <w:r w:rsidR="00FD58BF">
              <w:rPr>
                <w:noProof/>
                <w:webHidden/>
              </w:rPr>
              <w:tab/>
            </w:r>
            <w:r w:rsidR="00FD58BF">
              <w:rPr>
                <w:noProof/>
                <w:webHidden/>
              </w:rPr>
              <w:fldChar w:fldCharType="begin"/>
            </w:r>
            <w:r w:rsidR="00FD58BF">
              <w:rPr>
                <w:noProof/>
                <w:webHidden/>
              </w:rPr>
              <w:instrText xml:space="preserve"> PAGEREF _Toc178838830 \h </w:instrText>
            </w:r>
            <w:r w:rsidR="00FD58BF">
              <w:rPr>
                <w:noProof/>
                <w:webHidden/>
              </w:rPr>
            </w:r>
            <w:r w:rsidR="00FD58BF">
              <w:rPr>
                <w:noProof/>
                <w:webHidden/>
              </w:rPr>
              <w:fldChar w:fldCharType="separate"/>
            </w:r>
            <w:r w:rsidR="00FD58BF">
              <w:rPr>
                <w:noProof/>
                <w:webHidden/>
              </w:rPr>
              <w:t>1124</w:t>
            </w:r>
            <w:r w:rsidR="00FD58BF">
              <w:rPr>
                <w:noProof/>
                <w:webHidden/>
              </w:rPr>
              <w:fldChar w:fldCharType="end"/>
            </w:r>
          </w:hyperlink>
        </w:p>
        <w:p w14:paraId="58F5C28A" w14:textId="604DD97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1" w:history="1">
            <w:r w:rsidR="00FD58BF" w:rsidRPr="003004E5">
              <w:rPr>
                <w:rStyle w:val="Lienhypertexte"/>
                <w:noProof/>
              </w:rPr>
              <w:t>24.44.1a Ancrages mécaniques pour structures en bois CCTB 01.07</w:t>
            </w:r>
            <w:r w:rsidR="00FD58BF">
              <w:rPr>
                <w:noProof/>
                <w:webHidden/>
              </w:rPr>
              <w:tab/>
            </w:r>
            <w:r w:rsidR="00FD58BF">
              <w:rPr>
                <w:noProof/>
                <w:webHidden/>
              </w:rPr>
              <w:fldChar w:fldCharType="begin"/>
            </w:r>
            <w:r w:rsidR="00FD58BF">
              <w:rPr>
                <w:noProof/>
                <w:webHidden/>
              </w:rPr>
              <w:instrText xml:space="preserve"> PAGEREF _Toc178838831 \h </w:instrText>
            </w:r>
            <w:r w:rsidR="00FD58BF">
              <w:rPr>
                <w:noProof/>
                <w:webHidden/>
              </w:rPr>
            </w:r>
            <w:r w:rsidR="00FD58BF">
              <w:rPr>
                <w:noProof/>
                <w:webHidden/>
              </w:rPr>
              <w:fldChar w:fldCharType="separate"/>
            </w:r>
            <w:r w:rsidR="00FD58BF">
              <w:rPr>
                <w:noProof/>
                <w:webHidden/>
              </w:rPr>
              <w:t>1124</w:t>
            </w:r>
            <w:r w:rsidR="00FD58BF">
              <w:rPr>
                <w:noProof/>
                <w:webHidden/>
              </w:rPr>
              <w:fldChar w:fldCharType="end"/>
            </w:r>
          </w:hyperlink>
        </w:p>
        <w:p w14:paraId="673501D2" w14:textId="1143A4E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2" w:history="1">
            <w:r w:rsidR="00FD58BF" w:rsidRPr="003004E5">
              <w:rPr>
                <w:rStyle w:val="Lienhypertexte"/>
                <w:noProof/>
              </w:rPr>
              <w:t>24.44.2 Ancrages chimiques pour structures en bois CCTB 01.07</w:t>
            </w:r>
            <w:r w:rsidR="00FD58BF">
              <w:rPr>
                <w:noProof/>
                <w:webHidden/>
              </w:rPr>
              <w:tab/>
            </w:r>
            <w:r w:rsidR="00FD58BF">
              <w:rPr>
                <w:noProof/>
                <w:webHidden/>
              </w:rPr>
              <w:fldChar w:fldCharType="begin"/>
            </w:r>
            <w:r w:rsidR="00FD58BF">
              <w:rPr>
                <w:noProof/>
                <w:webHidden/>
              </w:rPr>
              <w:instrText xml:space="preserve"> PAGEREF _Toc178838832 \h </w:instrText>
            </w:r>
            <w:r w:rsidR="00FD58BF">
              <w:rPr>
                <w:noProof/>
                <w:webHidden/>
              </w:rPr>
            </w:r>
            <w:r w:rsidR="00FD58BF">
              <w:rPr>
                <w:noProof/>
                <w:webHidden/>
              </w:rPr>
              <w:fldChar w:fldCharType="separate"/>
            </w:r>
            <w:r w:rsidR="00FD58BF">
              <w:rPr>
                <w:noProof/>
                <w:webHidden/>
              </w:rPr>
              <w:t>1125</w:t>
            </w:r>
            <w:r w:rsidR="00FD58BF">
              <w:rPr>
                <w:noProof/>
                <w:webHidden/>
              </w:rPr>
              <w:fldChar w:fldCharType="end"/>
            </w:r>
          </w:hyperlink>
        </w:p>
        <w:p w14:paraId="7793BF62" w14:textId="036E00E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3" w:history="1">
            <w:r w:rsidR="00FD58BF" w:rsidRPr="003004E5">
              <w:rPr>
                <w:rStyle w:val="Lienhypertexte"/>
                <w:noProof/>
              </w:rPr>
              <w:t>24.44.2a Ancrages chimiques pour structures en bois CCTB 01.11</w:t>
            </w:r>
            <w:r w:rsidR="00FD58BF">
              <w:rPr>
                <w:noProof/>
                <w:webHidden/>
              </w:rPr>
              <w:tab/>
            </w:r>
            <w:r w:rsidR="00FD58BF">
              <w:rPr>
                <w:noProof/>
                <w:webHidden/>
              </w:rPr>
              <w:fldChar w:fldCharType="begin"/>
            </w:r>
            <w:r w:rsidR="00FD58BF">
              <w:rPr>
                <w:noProof/>
                <w:webHidden/>
              </w:rPr>
              <w:instrText xml:space="preserve"> PAGEREF _Toc178838833 \h </w:instrText>
            </w:r>
            <w:r w:rsidR="00FD58BF">
              <w:rPr>
                <w:noProof/>
                <w:webHidden/>
              </w:rPr>
            </w:r>
            <w:r w:rsidR="00FD58BF">
              <w:rPr>
                <w:noProof/>
                <w:webHidden/>
              </w:rPr>
              <w:fldChar w:fldCharType="separate"/>
            </w:r>
            <w:r w:rsidR="00FD58BF">
              <w:rPr>
                <w:noProof/>
                <w:webHidden/>
              </w:rPr>
              <w:t>1125</w:t>
            </w:r>
            <w:r w:rsidR="00FD58BF">
              <w:rPr>
                <w:noProof/>
                <w:webHidden/>
              </w:rPr>
              <w:fldChar w:fldCharType="end"/>
            </w:r>
          </w:hyperlink>
        </w:p>
        <w:p w14:paraId="7A221A98" w14:textId="396B153C"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4" w:history="1">
            <w:r w:rsidR="00FD58BF" w:rsidRPr="003004E5">
              <w:rPr>
                <w:rStyle w:val="Lienhypertexte"/>
                <w:noProof/>
              </w:rPr>
              <w:t>24.5 (titre réservé) CCTB 01.04</w:t>
            </w:r>
            <w:r w:rsidR="00FD58BF">
              <w:rPr>
                <w:noProof/>
                <w:webHidden/>
              </w:rPr>
              <w:tab/>
            </w:r>
            <w:r w:rsidR="00FD58BF">
              <w:rPr>
                <w:noProof/>
                <w:webHidden/>
              </w:rPr>
              <w:fldChar w:fldCharType="begin"/>
            </w:r>
            <w:r w:rsidR="00FD58BF">
              <w:rPr>
                <w:noProof/>
                <w:webHidden/>
              </w:rPr>
              <w:instrText xml:space="preserve"> PAGEREF _Toc178838834 \h </w:instrText>
            </w:r>
            <w:r w:rsidR="00FD58BF">
              <w:rPr>
                <w:noProof/>
                <w:webHidden/>
              </w:rPr>
            </w:r>
            <w:r w:rsidR="00FD58BF">
              <w:rPr>
                <w:noProof/>
                <w:webHidden/>
              </w:rPr>
              <w:fldChar w:fldCharType="separate"/>
            </w:r>
            <w:r w:rsidR="00FD58BF">
              <w:rPr>
                <w:noProof/>
                <w:webHidden/>
              </w:rPr>
              <w:t>1127</w:t>
            </w:r>
            <w:r w:rsidR="00FD58BF">
              <w:rPr>
                <w:noProof/>
                <w:webHidden/>
              </w:rPr>
              <w:fldChar w:fldCharType="end"/>
            </w:r>
          </w:hyperlink>
        </w:p>
        <w:p w14:paraId="09632D23" w14:textId="7E607207"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5" w:history="1">
            <w:r w:rsidR="00FD58BF" w:rsidRPr="003004E5">
              <w:rPr>
                <w:rStyle w:val="Lienhypertexte"/>
                <w:noProof/>
              </w:rPr>
              <w:t>24.6 (titre réservé) CCTB 01.02</w:t>
            </w:r>
            <w:r w:rsidR="00FD58BF">
              <w:rPr>
                <w:noProof/>
                <w:webHidden/>
              </w:rPr>
              <w:tab/>
            </w:r>
            <w:r w:rsidR="00FD58BF">
              <w:rPr>
                <w:noProof/>
                <w:webHidden/>
              </w:rPr>
              <w:fldChar w:fldCharType="begin"/>
            </w:r>
            <w:r w:rsidR="00FD58BF">
              <w:rPr>
                <w:noProof/>
                <w:webHidden/>
              </w:rPr>
              <w:instrText xml:space="preserve"> PAGEREF _Toc178838835 \h </w:instrText>
            </w:r>
            <w:r w:rsidR="00FD58BF">
              <w:rPr>
                <w:noProof/>
                <w:webHidden/>
              </w:rPr>
            </w:r>
            <w:r w:rsidR="00FD58BF">
              <w:rPr>
                <w:noProof/>
                <w:webHidden/>
              </w:rPr>
              <w:fldChar w:fldCharType="separate"/>
            </w:r>
            <w:r w:rsidR="00FD58BF">
              <w:rPr>
                <w:noProof/>
                <w:webHidden/>
              </w:rPr>
              <w:t>1127</w:t>
            </w:r>
            <w:r w:rsidR="00FD58BF">
              <w:rPr>
                <w:noProof/>
                <w:webHidden/>
              </w:rPr>
              <w:fldChar w:fldCharType="end"/>
            </w:r>
          </w:hyperlink>
        </w:p>
        <w:p w14:paraId="3CC74B31" w14:textId="54487F7D"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6" w:history="1">
            <w:r w:rsidR="00FD58BF" w:rsidRPr="003004E5">
              <w:rPr>
                <w:rStyle w:val="Lienhypertexte"/>
                <w:noProof/>
              </w:rPr>
              <w:t>24.7 Traitements, protection et finition des bois CCTB 01.11</w:t>
            </w:r>
            <w:r w:rsidR="00FD58BF">
              <w:rPr>
                <w:noProof/>
                <w:webHidden/>
              </w:rPr>
              <w:tab/>
            </w:r>
            <w:r w:rsidR="00FD58BF">
              <w:rPr>
                <w:noProof/>
                <w:webHidden/>
              </w:rPr>
              <w:fldChar w:fldCharType="begin"/>
            </w:r>
            <w:r w:rsidR="00FD58BF">
              <w:rPr>
                <w:noProof/>
                <w:webHidden/>
              </w:rPr>
              <w:instrText xml:space="preserve"> PAGEREF _Toc178838836 \h </w:instrText>
            </w:r>
            <w:r w:rsidR="00FD58BF">
              <w:rPr>
                <w:noProof/>
                <w:webHidden/>
              </w:rPr>
            </w:r>
            <w:r w:rsidR="00FD58BF">
              <w:rPr>
                <w:noProof/>
                <w:webHidden/>
              </w:rPr>
              <w:fldChar w:fldCharType="separate"/>
            </w:r>
            <w:r w:rsidR="00FD58BF">
              <w:rPr>
                <w:noProof/>
                <w:webHidden/>
              </w:rPr>
              <w:t>1127</w:t>
            </w:r>
            <w:r w:rsidR="00FD58BF">
              <w:rPr>
                <w:noProof/>
                <w:webHidden/>
              </w:rPr>
              <w:fldChar w:fldCharType="end"/>
            </w:r>
          </w:hyperlink>
        </w:p>
        <w:p w14:paraId="449C6879" w14:textId="6ABC514C"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7" w:history="1">
            <w:r w:rsidR="00FD58BF" w:rsidRPr="003004E5">
              <w:rPr>
                <w:rStyle w:val="Lienhypertexte"/>
                <w:noProof/>
              </w:rPr>
              <w:t>24.8 Superstructures en bois - Rénovation CCTB 01.02</w:t>
            </w:r>
            <w:r w:rsidR="00FD58BF">
              <w:rPr>
                <w:noProof/>
                <w:webHidden/>
              </w:rPr>
              <w:tab/>
            </w:r>
            <w:r w:rsidR="00FD58BF">
              <w:rPr>
                <w:noProof/>
                <w:webHidden/>
              </w:rPr>
              <w:fldChar w:fldCharType="begin"/>
            </w:r>
            <w:r w:rsidR="00FD58BF">
              <w:rPr>
                <w:noProof/>
                <w:webHidden/>
              </w:rPr>
              <w:instrText xml:space="preserve"> PAGEREF _Toc178838837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3F60C359" w14:textId="30071AB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38" w:history="1">
            <w:r w:rsidR="00FD58BF" w:rsidRPr="003004E5">
              <w:rPr>
                <w:rStyle w:val="Lienhypertexte"/>
                <w:noProof/>
              </w:rPr>
              <w:t>24.81 Etudes / essais préliminaires CCTB 01.04</w:t>
            </w:r>
            <w:r w:rsidR="00FD58BF">
              <w:rPr>
                <w:noProof/>
                <w:webHidden/>
              </w:rPr>
              <w:tab/>
            </w:r>
            <w:r w:rsidR="00FD58BF">
              <w:rPr>
                <w:noProof/>
                <w:webHidden/>
              </w:rPr>
              <w:fldChar w:fldCharType="begin"/>
            </w:r>
            <w:r w:rsidR="00FD58BF">
              <w:rPr>
                <w:noProof/>
                <w:webHidden/>
              </w:rPr>
              <w:instrText xml:space="preserve"> PAGEREF _Toc178838838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7E32FB8E" w14:textId="368ECEF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39" w:history="1">
            <w:r w:rsidR="00FD58BF" w:rsidRPr="003004E5">
              <w:rPr>
                <w:rStyle w:val="Lienhypertexte"/>
                <w:noProof/>
              </w:rPr>
              <w:t>24.82 Dépose / démontage / percement / déconstruction-démolition CCTB 01.02</w:t>
            </w:r>
            <w:r w:rsidR="00FD58BF">
              <w:rPr>
                <w:noProof/>
                <w:webHidden/>
              </w:rPr>
              <w:tab/>
            </w:r>
            <w:r w:rsidR="00FD58BF">
              <w:rPr>
                <w:noProof/>
                <w:webHidden/>
              </w:rPr>
              <w:fldChar w:fldCharType="begin"/>
            </w:r>
            <w:r w:rsidR="00FD58BF">
              <w:rPr>
                <w:noProof/>
                <w:webHidden/>
              </w:rPr>
              <w:instrText xml:space="preserve"> PAGEREF _Toc178838839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04E968B5" w14:textId="423E4E0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0" w:history="1">
            <w:r w:rsidR="00FD58BF" w:rsidRPr="003004E5">
              <w:rPr>
                <w:rStyle w:val="Lienhypertexte"/>
                <w:noProof/>
              </w:rPr>
              <w:t>24.82.1 Travaux de stabilisation CCTB 01.04</w:t>
            </w:r>
            <w:r w:rsidR="00FD58BF">
              <w:rPr>
                <w:noProof/>
                <w:webHidden/>
              </w:rPr>
              <w:tab/>
            </w:r>
            <w:r w:rsidR="00FD58BF">
              <w:rPr>
                <w:noProof/>
                <w:webHidden/>
              </w:rPr>
              <w:fldChar w:fldCharType="begin"/>
            </w:r>
            <w:r w:rsidR="00FD58BF">
              <w:rPr>
                <w:noProof/>
                <w:webHidden/>
              </w:rPr>
              <w:instrText xml:space="preserve"> PAGEREF _Toc178838840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09628D72" w14:textId="32D61D8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1" w:history="1">
            <w:r w:rsidR="00FD58BF" w:rsidRPr="003004E5">
              <w:rPr>
                <w:rStyle w:val="Lienhypertexte"/>
                <w:noProof/>
              </w:rPr>
              <w:t>24.82.2 Dépose d'éléments (pour repose ultérieure) CCTB 01.04</w:t>
            </w:r>
            <w:r w:rsidR="00FD58BF">
              <w:rPr>
                <w:noProof/>
                <w:webHidden/>
              </w:rPr>
              <w:tab/>
            </w:r>
            <w:r w:rsidR="00FD58BF">
              <w:rPr>
                <w:noProof/>
                <w:webHidden/>
              </w:rPr>
              <w:fldChar w:fldCharType="begin"/>
            </w:r>
            <w:r w:rsidR="00FD58BF">
              <w:rPr>
                <w:noProof/>
                <w:webHidden/>
              </w:rPr>
              <w:instrText xml:space="preserve"> PAGEREF _Toc178838841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24D90FE7" w14:textId="3B2BFC6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2" w:history="1">
            <w:r w:rsidR="00FD58BF" w:rsidRPr="003004E5">
              <w:rPr>
                <w:rStyle w:val="Lienhypertexte"/>
                <w:noProof/>
              </w:rPr>
              <w:t>24.82.3 Démontage d'éléments (pour récupération) CCTB 01.04</w:t>
            </w:r>
            <w:r w:rsidR="00FD58BF">
              <w:rPr>
                <w:noProof/>
                <w:webHidden/>
              </w:rPr>
              <w:tab/>
            </w:r>
            <w:r w:rsidR="00FD58BF">
              <w:rPr>
                <w:noProof/>
                <w:webHidden/>
              </w:rPr>
              <w:fldChar w:fldCharType="begin"/>
            </w:r>
            <w:r w:rsidR="00FD58BF">
              <w:rPr>
                <w:noProof/>
                <w:webHidden/>
              </w:rPr>
              <w:instrText xml:space="preserve"> PAGEREF _Toc178838842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3643E151" w14:textId="7B7EADF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3" w:history="1">
            <w:r w:rsidR="00FD58BF" w:rsidRPr="003004E5">
              <w:rPr>
                <w:rStyle w:val="Lienhypertexte"/>
                <w:noProof/>
              </w:rPr>
              <w:t>24.82.4 Dégagement d'éléments spécifiques CCTB 01.02</w:t>
            </w:r>
            <w:r w:rsidR="00FD58BF">
              <w:rPr>
                <w:noProof/>
                <w:webHidden/>
              </w:rPr>
              <w:tab/>
            </w:r>
            <w:r w:rsidR="00FD58BF">
              <w:rPr>
                <w:noProof/>
                <w:webHidden/>
              </w:rPr>
              <w:fldChar w:fldCharType="begin"/>
            </w:r>
            <w:r w:rsidR="00FD58BF">
              <w:rPr>
                <w:noProof/>
                <w:webHidden/>
              </w:rPr>
              <w:instrText xml:space="preserve"> PAGEREF _Toc178838843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6527B671" w14:textId="5D16F95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4" w:history="1">
            <w:r w:rsidR="00FD58BF" w:rsidRPr="003004E5">
              <w:rPr>
                <w:rStyle w:val="Lienhypertexte"/>
                <w:noProof/>
              </w:rPr>
              <w:t>24.82.5 Décapage / déjointoiement (pour évacuation) CCTB 01.04</w:t>
            </w:r>
            <w:r w:rsidR="00FD58BF">
              <w:rPr>
                <w:noProof/>
                <w:webHidden/>
              </w:rPr>
              <w:tab/>
            </w:r>
            <w:r w:rsidR="00FD58BF">
              <w:rPr>
                <w:noProof/>
                <w:webHidden/>
              </w:rPr>
              <w:fldChar w:fldCharType="begin"/>
            </w:r>
            <w:r w:rsidR="00FD58BF">
              <w:rPr>
                <w:noProof/>
                <w:webHidden/>
              </w:rPr>
              <w:instrText xml:space="preserve"> PAGEREF _Toc178838844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3F8EFAF9" w14:textId="47B734A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5" w:history="1">
            <w:r w:rsidR="00FD58BF" w:rsidRPr="003004E5">
              <w:rPr>
                <w:rStyle w:val="Lienhypertexte"/>
                <w:noProof/>
              </w:rPr>
              <w:t>24.82.6 Percements / carottages CCTB 01.04</w:t>
            </w:r>
            <w:r w:rsidR="00FD58BF">
              <w:rPr>
                <w:noProof/>
                <w:webHidden/>
              </w:rPr>
              <w:tab/>
            </w:r>
            <w:r w:rsidR="00FD58BF">
              <w:rPr>
                <w:noProof/>
                <w:webHidden/>
              </w:rPr>
              <w:fldChar w:fldCharType="begin"/>
            </w:r>
            <w:r w:rsidR="00FD58BF">
              <w:rPr>
                <w:noProof/>
                <w:webHidden/>
              </w:rPr>
              <w:instrText xml:space="preserve"> PAGEREF _Toc178838845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6B3EE7D7" w14:textId="3695164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6" w:history="1">
            <w:r w:rsidR="00FD58BF" w:rsidRPr="003004E5">
              <w:rPr>
                <w:rStyle w:val="Lienhypertexte"/>
                <w:noProof/>
              </w:rPr>
              <w:t>24.82.7 Déconstruction/démolition (pour évacuation) CCTB 01.04</w:t>
            </w:r>
            <w:r w:rsidR="00FD58BF">
              <w:rPr>
                <w:noProof/>
                <w:webHidden/>
              </w:rPr>
              <w:tab/>
            </w:r>
            <w:r w:rsidR="00FD58BF">
              <w:rPr>
                <w:noProof/>
                <w:webHidden/>
              </w:rPr>
              <w:fldChar w:fldCharType="begin"/>
            </w:r>
            <w:r w:rsidR="00FD58BF">
              <w:rPr>
                <w:noProof/>
                <w:webHidden/>
              </w:rPr>
              <w:instrText xml:space="preserve"> PAGEREF _Toc178838846 \h </w:instrText>
            </w:r>
            <w:r w:rsidR="00FD58BF">
              <w:rPr>
                <w:noProof/>
                <w:webHidden/>
              </w:rPr>
            </w:r>
            <w:r w:rsidR="00FD58BF">
              <w:rPr>
                <w:noProof/>
                <w:webHidden/>
              </w:rPr>
              <w:fldChar w:fldCharType="separate"/>
            </w:r>
            <w:r w:rsidR="00FD58BF">
              <w:rPr>
                <w:noProof/>
                <w:webHidden/>
              </w:rPr>
              <w:t>1128</w:t>
            </w:r>
            <w:r w:rsidR="00FD58BF">
              <w:rPr>
                <w:noProof/>
                <w:webHidden/>
              </w:rPr>
              <w:fldChar w:fldCharType="end"/>
            </w:r>
          </w:hyperlink>
        </w:p>
        <w:p w14:paraId="67510496" w14:textId="4BA4AB76"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47" w:history="1">
            <w:r w:rsidR="00FD58BF" w:rsidRPr="003004E5">
              <w:rPr>
                <w:rStyle w:val="Lienhypertexte"/>
                <w:noProof/>
              </w:rPr>
              <w:t>24.83 Réparation non structurale CCTB 01.04</w:t>
            </w:r>
            <w:r w:rsidR="00FD58BF">
              <w:rPr>
                <w:noProof/>
                <w:webHidden/>
              </w:rPr>
              <w:tab/>
            </w:r>
            <w:r w:rsidR="00FD58BF">
              <w:rPr>
                <w:noProof/>
                <w:webHidden/>
              </w:rPr>
              <w:fldChar w:fldCharType="begin"/>
            </w:r>
            <w:r w:rsidR="00FD58BF">
              <w:rPr>
                <w:noProof/>
                <w:webHidden/>
              </w:rPr>
              <w:instrText xml:space="preserve"> PAGEREF _Toc178838847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2A29D479" w14:textId="46BAF94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8" w:history="1">
            <w:r w:rsidR="00FD58BF" w:rsidRPr="003004E5">
              <w:rPr>
                <w:rStyle w:val="Lienhypertexte"/>
                <w:noProof/>
              </w:rPr>
              <w:t>24.83.1 Réparation non structurale superficielle CCTB 01.04</w:t>
            </w:r>
            <w:r w:rsidR="00FD58BF">
              <w:rPr>
                <w:noProof/>
                <w:webHidden/>
              </w:rPr>
              <w:tab/>
            </w:r>
            <w:r w:rsidR="00FD58BF">
              <w:rPr>
                <w:noProof/>
                <w:webHidden/>
              </w:rPr>
              <w:fldChar w:fldCharType="begin"/>
            </w:r>
            <w:r w:rsidR="00FD58BF">
              <w:rPr>
                <w:noProof/>
                <w:webHidden/>
              </w:rPr>
              <w:instrText xml:space="preserve"> PAGEREF _Toc178838848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21C8E19A" w14:textId="3483925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9" w:history="1">
            <w:r w:rsidR="00FD58BF" w:rsidRPr="003004E5">
              <w:rPr>
                <w:rStyle w:val="Lienhypertexte"/>
                <w:noProof/>
              </w:rPr>
              <w:t>24.83.1a Masticage de fissures CCTB 01.02</w:t>
            </w:r>
            <w:r w:rsidR="00FD58BF">
              <w:rPr>
                <w:noProof/>
                <w:webHidden/>
              </w:rPr>
              <w:tab/>
            </w:r>
            <w:r w:rsidR="00FD58BF">
              <w:rPr>
                <w:noProof/>
                <w:webHidden/>
              </w:rPr>
              <w:fldChar w:fldCharType="begin"/>
            </w:r>
            <w:r w:rsidR="00FD58BF">
              <w:rPr>
                <w:noProof/>
                <w:webHidden/>
              </w:rPr>
              <w:instrText xml:space="preserve"> PAGEREF _Toc178838849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32839AE7" w14:textId="0D57944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0" w:history="1">
            <w:r w:rsidR="00FD58BF" w:rsidRPr="003004E5">
              <w:rPr>
                <w:rStyle w:val="Lienhypertexte"/>
                <w:noProof/>
              </w:rPr>
              <w:t>24.83.1b Application de résines CCTB 01.10</w:t>
            </w:r>
            <w:r w:rsidR="00FD58BF">
              <w:rPr>
                <w:noProof/>
                <w:webHidden/>
              </w:rPr>
              <w:tab/>
            </w:r>
            <w:r w:rsidR="00FD58BF">
              <w:rPr>
                <w:noProof/>
                <w:webHidden/>
              </w:rPr>
              <w:fldChar w:fldCharType="begin"/>
            </w:r>
            <w:r w:rsidR="00FD58BF">
              <w:rPr>
                <w:noProof/>
                <w:webHidden/>
              </w:rPr>
              <w:instrText xml:space="preserve"> PAGEREF _Toc178838850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7DDA4E1B" w14:textId="26E2D3C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1" w:history="1">
            <w:r w:rsidR="00FD58BF" w:rsidRPr="003004E5">
              <w:rPr>
                <w:rStyle w:val="Lienhypertexte"/>
                <w:noProof/>
              </w:rPr>
              <w:t>24.83.2 Réparation non structurale par pièce rapportée CCTB 01.10</w:t>
            </w:r>
            <w:r w:rsidR="00FD58BF">
              <w:rPr>
                <w:noProof/>
                <w:webHidden/>
              </w:rPr>
              <w:tab/>
            </w:r>
            <w:r w:rsidR="00FD58BF">
              <w:rPr>
                <w:noProof/>
                <w:webHidden/>
              </w:rPr>
              <w:fldChar w:fldCharType="begin"/>
            </w:r>
            <w:r w:rsidR="00FD58BF">
              <w:rPr>
                <w:noProof/>
                <w:webHidden/>
              </w:rPr>
              <w:instrText xml:space="preserve"> PAGEREF _Toc178838851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3AF358DF" w14:textId="072E0EC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2" w:history="1">
            <w:r w:rsidR="00FD58BF" w:rsidRPr="003004E5">
              <w:rPr>
                <w:rStyle w:val="Lienhypertexte"/>
                <w:noProof/>
              </w:rPr>
              <w:t>24.83.2a Application d'un placage CCTB 01.10</w:t>
            </w:r>
            <w:r w:rsidR="00FD58BF">
              <w:rPr>
                <w:noProof/>
                <w:webHidden/>
              </w:rPr>
              <w:tab/>
            </w:r>
            <w:r w:rsidR="00FD58BF">
              <w:rPr>
                <w:noProof/>
                <w:webHidden/>
              </w:rPr>
              <w:fldChar w:fldCharType="begin"/>
            </w:r>
            <w:r w:rsidR="00FD58BF">
              <w:rPr>
                <w:noProof/>
                <w:webHidden/>
              </w:rPr>
              <w:instrText xml:space="preserve"> PAGEREF _Toc178838852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24A52E9E" w14:textId="429F9A1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3" w:history="1">
            <w:r w:rsidR="00FD58BF" w:rsidRPr="003004E5">
              <w:rPr>
                <w:rStyle w:val="Lienhypertexte"/>
                <w:noProof/>
              </w:rPr>
              <w:t>24.83.2b Greffage CCTB 01.10</w:t>
            </w:r>
            <w:r w:rsidR="00FD58BF">
              <w:rPr>
                <w:noProof/>
                <w:webHidden/>
              </w:rPr>
              <w:tab/>
            </w:r>
            <w:r w:rsidR="00FD58BF">
              <w:rPr>
                <w:noProof/>
                <w:webHidden/>
              </w:rPr>
              <w:fldChar w:fldCharType="begin"/>
            </w:r>
            <w:r w:rsidR="00FD58BF">
              <w:rPr>
                <w:noProof/>
                <w:webHidden/>
              </w:rPr>
              <w:instrText xml:space="preserve"> PAGEREF _Toc178838853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6FFA2170" w14:textId="2BE4D11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4" w:history="1">
            <w:r w:rsidR="00FD58BF" w:rsidRPr="003004E5">
              <w:rPr>
                <w:rStyle w:val="Lienhypertexte"/>
                <w:noProof/>
              </w:rPr>
              <w:t>24.83.3 Réparation non structurale par injection CCTB 01.10</w:t>
            </w:r>
            <w:r w:rsidR="00FD58BF">
              <w:rPr>
                <w:noProof/>
                <w:webHidden/>
              </w:rPr>
              <w:tab/>
            </w:r>
            <w:r w:rsidR="00FD58BF">
              <w:rPr>
                <w:noProof/>
                <w:webHidden/>
              </w:rPr>
              <w:fldChar w:fldCharType="begin"/>
            </w:r>
            <w:r w:rsidR="00FD58BF">
              <w:rPr>
                <w:noProof/>
                <w:webHidden/>
              </w:rPr>
              <w:instrText xml:space="preserve"> PAGEREF _Toc178838854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69E1AECF" w14:textId="0E6AB35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5" w:history="1">
            <w:r w:rsidR="00FD58BF" w:rsidRPr="003004E5">
              <w:rPr>
                <w:rStyle w:val="Lienhypertexte"/>
                <w:noProof/>
              </w:rPr>
              <w:t>24.83.3a Réparation non structurale par injection CCTB 01.10</w:t>
            </w:r>
            <w:r w:rsidR="00FD58BF">
              <w:rPr>
                <w:noProof/>
                <w:webHidden/>
              </w:rPr>
              <w:tab/>
            </w:r>
            <w:r w:rsidR="00FD58BF">
              <w:rPr>
                <w:noProof/>
                <w:webHidden/>
              </w:rPr>
              <w:fldChar w:fldCharType="begin"/>
            </w:r>
            <w:r w:rsidR="00FD58BF">
              <w:rPr>
                <w:noProof/>
                <w:webHidden/>
              </w:rPr>
              <w:instrText xml:space="preserve"> PAGEREF _Toc178838855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11FC3569" w14:textId="7726C9F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56" w:history="1">
            <w:r w:rsidR="00FD58BF" w:rsidRPr="003004E5">
              <w:rPr>
                <w:rStyle w:val="Lienhypertexte"/>
                <w:noProof/>
              </w:rPr>
              <w:t>24.84 Réparation structurale / Renforcement CCTB 01.04</w:t>
            </w:r>
            <w:r w:rsidR="00FD58BF">
              <w:rPr>
                <w:noProof/>
                <w:webHidden/>
              </w:rPr>
              <w:tab/>
            </w:r>
            <w:r w:rsidR="00FD58BF">
              <w:rPr>
                <w:noProof/>
                <w:webHidden/>
              </w:rPr>
              <w:fldChar w:fldCharType="begin"/>
            </w:r>
            <w:r w:rsidR="00FD58BF">
              <w:rPr>
                <w:noProof/>
                <w:webHidden/>
              </w:rPr>
              <w:instrText xml:space="preserve"> PAGEREF _Toc178838856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1399BA70" w14:textId="58BEB3E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7" w:history="1">
            <w:r w:rsidR="00FD58BF" w:rsidRPr="003004E5">
              <w:rPr>
                <w:rStyle w:val="Lienhypertexte"/>
                <w:noProof/>
              </w:rPr>
              <w:t>24.84.1 Réparation structurale / Renforcement par injection CCTB 01.04</w:t>
            </w:r>
            <w:r w:rsidR="00FD58BF">
              <w:rPr>
                <w:noProof/>
                <w:webHidden/>
              </w:rPr>
              <w:tab/>
            </w:r>
            <w:r w:rsidR="00FD58BF">
              <w:rPr>
                <w:noProof/>
                <w:webHidden/>
              </w:rPr>
              <w:fldChar w:fldCharType="begin"/>
            </w:r>
            <w:r w:rsidR="00FD58BF">
              <w:rPr>
                <w:noProof/>
                <w:webHidden/>
              </w:rPr>
              <w:instrText xml:space="preserve"> PAGEREF _Toc178838857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0B92247F" w14:textId="6277161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8" w:history="1">
            <w:r w:rsidR="00FD58BF" w:rsidRPr="003004E5">
              <w:rPr>
                <w:rStyle w:val="Lienhypertexte"/>
                <w:noProof/>
              </w:rPr>
              <w:t>24.84.1a Injection à base de résines CCTB 01.04</w:t>
            </w:r>
            <w:r w:rsidR="00FD58BF">
              <w:rPr>
                <w:noProof/>
                <w:webHidden/>
              </w:rPr>
              <w:tab/>
            </w:r>
            <w:r w:rsidR="00FD58BF">
              <w:rPr>
                <w:noProof/>
                <w:webHidden/>
              </w:rPr>
              <w:fldChar w:fldCharType="begin"/>
            </w:r>
            <w:r w:rsidR="00FD58BF">
              <w:rPr>
                <w:noProof/>
                <w:webHidden/>
              </w:rPr>
              <w:instrText xml:space="preserve"> PAGEREF _Toc178838858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008ECC65" w14:textId="7599A00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9" w:history="1">
            <w:r w:rsidR="00FD58BF" w:rsidRPr="003004E5">
              <w:rPr>
                <w:rStyle w:val="Lienhypertexte"/>
                <w:noProof/>
              </w:rPr>
              <w:t>24.84.2 Réparation structurale / Renforcement par modification de la section de poutres existantes CCTB 01.02</w:t>
            </w:r>
            <w:r w:rsidR="00FD58BF">
              <w:rPr>
                <w:noProof/>
                <w:webHidden/>
              </w:rPr>
              <w:tab/>
            </w:r>
            <w:r w:rsidR="00FD58BF">
              <w:rPr>
                <w:noProof/>
                <w:webHidden/>
              </w:rPr>
              <w:fldChar w:fldCharType="begin"/>
            </w:r>
            <w:r w:rsidR="00FD58BF">
              <w:rPr>
                <w:noProof/>
                <w:webHidden/>
              </w:rPr>
              <w:instrText xml:space="preserve"> PAGEREF _Toc178838859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0143F146" w14:textId="4DCBC03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0" w:history="1">
            <w:r w:rsidR="00FD58BF" w:rsidRPr="003004E5">
              <w:rPr>
                <w:rStyle w:val="Lienhypertexte"/>
                <w:noProof/>
              </w:rPr>
              <w:t>24.84.2a Renforcement par modification de la section de poutres existantes CCTB 01.02</w:t>
            </w:r>
            <w:r w:rsidR="00FD58BF">
              <w:rPr>
                <w:noProof/>
                <w:webHidden/>
              </w:rPr>
              <w:tab/>
            </w:r>
            <w:r w:rsidR="00FD58BF">
              <w:rPr>
                <w:noProof/>
                <w:webHidden/>
              </w:rPr>
              <w:fldChar w:fldCharType="begin"/>
            </w:r>
            <w:r w:rsidR="00FD58BF">
              <w:rPr>
                <w:noProof/>
                <w:webHidden/>
              </w:rPr>
              <w:instrText xml:space="preserve"> PAGEREF _Toc178838860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268BAED9" w14:textId="18174E3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1" w:history="1">
            <w:r w:rsidR="00FD58BF" w:rsidRPr="003004E5">
              <w:rPr>
                <w:rStyle w:val="Lienhypertexte"/>
                <w:noProof/>
              </w:rPr>
              <w:t>24.84.3 Réparation structurale / Renforcement par insertion et scellement de barres (brochage / agrafage / épinglage) CCTB 01.04</w:t>
            </w:r>
            <w:r w:rsidR="00FD58BF">
              <w:rPr>
                <w:noProof/>
                <w:webHidden/>
              </w:rPr>
              <w:tab/>
            </w:r>
            <w:r w:rsidR="00FD58BF">
              <w:rPr>
                <w:noProof/>
                <w:webHidden/>
              </w:rPr>
              <w:fldChar w:fldCharType="begin"/>
            </w:r>
            <w:r w:rsidR="00FD58BF">
              <w:rPr>
                <w:noProof/>
                <w:webHidden/>
              </w:rPr>
              <w:instrText xml:space="preserve"> PAGEREF _Toc178838861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57BF8472" w14:textId="642B5D1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2" w:history="1">
            <w:r w:rsidR="00FD58BF" w:rsidRPr="003004E5">
              <w:rPr>
                <w:rStyle w:val="Lienhypertexte"/>
                <w:noProof/>
              </w:rPr>
              <w:t>24.84.3a Réparation structurale / Renforcement par brochage CCTB 01.10</w:t>
            </w:r>
            <w:r w:rsidR="00FD58BF">
              <w:rPr>
                <w:noProof/>
                <w:webHidden/>
              </w:rPr>
              <w:tab/>
            </w:r>
            <w:r w:rsidR="00FD58BF">
              <w:rPr>
                <w:noProof/>
                <w:webHidden/>
              </w:rPr>
              <w:fldChar w:fldCharType="begin"/>
            </w:r>
            <w:r w:rsidR="00FD58BF">
              <w:rPr>
                <w:noProof/>
                <w:webHidden/>
              </w:rPr>
              <w:instrText xml:space="preserve"> PAGEREF _Toc178838862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6948F126" w14:textId="1B34B3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3" w:history="1">
            <w:r w:rsidR="00FD58BF" w:rsidRPr="003004E5">
              <w:rPr>
                <w:rStyle w:val="Lienhypertexte"/>
                <w:noProof/>
              </w:rPr>
              <w:t>24.84.3b Réparation structurale / Renforcement par agrafage CCTB 01.04</w:t>
            </w:r>
            <w:r w:rsidR="00FD58BF">
              <w:rPr>
                <w:noProof/>
                <w:webHidden/>
              </w:rPr>
              <w:tab/>
            </w:r>
            <w:r w:rsidR="00FD58BF">
              <w:rPr>
                <w:noProof/>
                <w:webHidden/>
              </w:rPr>
              <w:fldChar w:fldCharType="begin"/>
            </w:r>
            <w:r w:rsidR="00FD58BF">
              <w:rPr>
                <w:noProof/>
                <w:webHidden/>
              </w:rPr>
              <w:instrText xml:space="preserve"> PAGEREF _Toc178838863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2E583E56" w14:textId="7D5D61D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4" w:history="1">
            <w:r w:rsidR="00FD58BF" w:rsidRPr="003004E5">
              <w:rPr>
                <w:rStyle w:val="Lienhypertexte"/>
                <w:noProof/>
              </w:rPr>
              <w:t>24.84.3c Réparation structurale / Renforcement par épinglage CCTB 01.10</w:t>
            </w:r>
            <w:r w:rsidR="00FD58BF">
              <w:rPr>
                <w:noProof/>
                <w:webHidden/>
              </w:rPr>
              <w:tab/>
            </w:r>
            <w:r w:rsidR="00FD58BF">
              <w:rPr>
                <w:noProof/>
                <w:webHidden/>
              </w:rPr>
              <w:fldChar w:fldCharType="begin"/>
            </w:r>
            <w:r w:rsidR="00FD58BF">
              <w:rPr>
                <w:noProof/>
                <w:webHidden/>
              </w:rPr>
              <w:instrText xml:space="preserve"> PAGEREF _Toc178838864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0A5C2291" w14:textId="0970D5C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5" w:history="1">
            <w:r w:rsidR="00FD58BF" w:rsidRPr="003004E5">
              <w:rPr>
                <w:rStyle w:val="Lienhypertexte"/>
                <w:noProof/>
              </w:rPr>
              <w:t>24.84.3d Réparation structurale / Renforcement de nœuds de charpente CCTB 01.04</w:t>
            </w:r>
            <w:r w:rsidR="00FD58BF">
              <w:rPr>
                <w:noProof/>
                <w:webHidden/>
              </w:rPr>
              <w:tab/>
            </w:r>
            <w:r w:rsidR="00FD58BF">
              <w:rPr>
                <w:noProof/>
                <w:webHidden/>
              </w:rPr>
              <w:fldChar w:fldCharType="begin"/>
            </w:r>
            <w:r w:rsidR="00FD58BF">
              <w:rPr>
                <w:noProof/>
                <w:webHidden/>
              </w:rPr>
              <w:instrText xml:space="preserve"> PAGEREF _Toc178838865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0BA6C66F" w14:textId="632B1E7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6" w:history="1">
            <w:r w:rsidR="00FD58BF" w:rsidRPr="003004E5">
              <w:rPr>
                <w:rStyle w:val="Lienhypertexte"/>
                <w:noProof/>
              </w:rPr>
              <w:t>24.84.4 Réparation structurale / Renforcement par fixation de plats et toiles CCTB 01.04</w:t>
            </w:r>
            <w:r w:rsidR="00FD58BF">
              <w:rPr>
                <w:noProof/>
                <w:webHidden/>
              </w:rPr>
              <w:tab/>
            </w:r>
            <w:r w:rsidR="00FD58BF">
              <w:rPr>
                <w:noProof/>
                <w:webHidden/>
              </w:rPr>
              <w:fldChar w:fldCharType="begin"/>
            </w:r>
            <w:r w:rsidR="00FD58BF">
              <w:rPr>
                <w:noProof/>
                <w:webHidden/>
              </w:rPr>
              <w:instrText xml:space="preserve"> PAGEREF _Toc178838866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181734D1" w14:textId="73D664E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7" w:history="1">
            <w:r w:rsidR="00FD58BF" w:rsidRPr="003004E5">
              <w:rPr>
                <w:rStyle w:val="Lienhypertexte"/>
                <w:noProof/>
              </w:rPr>
              <w:t>24.84.4a Ajout d'armatures collées en acier CCTB 01.02</w:t>
            </w:r>
            <w:r w:rsidR="00FD58BF">
              <w:rPr>
                <w:noProof/>
                <w:webHidden/>
              </w:rPr>
              <w:tab/>
            </w:r>
            <w:r w:rsidR="00FD58BF">
              <w:rPr>
                <w:noProof/>
                <w:webHidden/>
              </w:rPr>
              <w:fldChar w:fldCharType="begin"/>
            </w:r>
            <w:r w:rsidR="00FD58BF">
              <w:rPr>
                <w:noProof/>
                <w:webHidden/>
              </w:rPr>
              <w:instrText xml:space="preserve"> PAGEREF _Toc178838867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4D51FB02" w14:textId="470A8AF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8" w:history="1">
            <w:r w:rsidR="00FD58BF" w:rsidRPr="003004E5">
              <w:rPr>
                <w:rStyle w:val="Lienhypertexte"/>
                <w:noProof/>
              </w:rPr>
              <w:t>24.84.4b Ajout d'armatures collées en fibre de carbone CCTB 01.02</w:t>
            </w:r>
            <w:r w:rsidR="00FD58BF">
              <w:rPr>
                <w:noProof/>
                <w:webHidden/>
              </w:rPr>
              <w:tab/>
            </w:r>
            <w:r w:rsidR="00FD58BF">
              <w:rPr>
                <w:noProof/>
                <w:webHidden/>
              </w:rPr>
              <w:fldChar w:fldCharType="begin"/>
            </w:r>
            <w:r w:rsidR="00FD58BF">
              <w:rPr>
                <w:noProof/>
                <w:webHidden/>
              </w:rPr>
              <w:instrText xml:space="preserve"> PAGEREF _Toc178838868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5D1767B2" w14:textId="7EC47CB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9" w:history="1">
            <w:r w:rsidR="00FD58BF" w:rsidRPr="003004E5">
              <w:rPr>
                <w:rStyle w:val="Lienhypertexte"/>
                <w:noProof/>
              </w:rPr>
              <w:t>24.84.4c Moulages composites CCTB 01.02</w:t>
            </w:r>
            <w:r w:rsidR="00FD58BF">
              <w:rPr>
                <w:noProof/>
                <w:webHidden/>
              </w:rPr>
              <w:tab/>
            </w:r>
            <w:r w:rsidR="00FD58BF">
              <w:rPr>
                <w:noProof/>
                <w:webHidden/>
              </w:rPr>
              <w:fldChar w:fldCharType="begin"/>
            </w:r>
            <w:r w:rsidR="00FD58BF">
              <w:rPr>
                <w:noProof/>
                <w:webHidden/>
              </w:rPr>
              <w:instrText xml:space="preserve"> PAGEREF _Toc178838869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65F20E0C" w14:textId="7E30DA3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0" w:history="1">
            <w:r w:rsidR="00FD58BF" w:rsidRPr="003004E5">
              <w:rPr>
                <w:rStyle w:val="Lienhypertexte"/>
                <w:noProof/>
              </w:rPr>
              <w:t>24.84.4d Réparation structurale / Renforcement par brochage CCTB 01.04</w:t>
            </w:r>
            <w:r w:rsidR="00FD58BF">
              <w:rPr>
                <w:noProof/>
                <w:webHidden/>
              </w:rPr>
              <w:tab/>
            </w:r>
            <w:r w:rsidR="00FD58BF">
              <w:rPr>
                <w:noProof/>
                <w:webHidden/>
              </w:rPr>
              <w:fldChar w:fldCharType="begin"/>
            </w:r>
            <w:r w:rsidR="00FD58BF">
              <w:rPr>
                <w:noProof/>
                <w:webHidden/>
              </w:rPr>
              <w:instrText xml:space="preserve"> PAGEREF _Toc178838870 \h </w:instrText>
            </w:r>
            <w:r w:rsidR="00FD58BF">
              <w:rPr>
                <w:noProof/>
                <w:webHidden/>
              </w:rPr>
            </w:r>
            <w:r w:rsidR="00FD58BF">
              <w:rPr>
                <w:noProof/>
                <w:webHidden/>
              </w:rPr>
              <w:fldChar w:fldCharType="separate"/>
            </w:r>
            <w:r w:rsidR="00FD58BF">
              <w:rPr>
                <w:noProof/>
                <w:webHidden/>
              </w:rPr>
              <w:t>1129</w:t>
            </w:r>
            <w:r w:rsidR="00FD58BF">
              <w:rPr>
                <w:noProof/>
                <w:webHidden/>
              </w:rPr>
              <w:fldChar w:fldCharType="end"/>
            </w:r>
          </w:hyperlink>
        </w:p>
        <w:p w14:paraId="1211E244" w14:textId="59CE24D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1" w:history="1">
            <w:r w:rsidR="00FD58BF" w:rsidRPr="003004E5">
              <w:rPr>
                <w:rStyle w:val="Lienhypertexte"/>
                <w:noProof/>
              </w:rPr>
              <w:t>24.84.4e Ajout de toiles CCTB 01.10</w:t>
            </w:r>
            <w:r w:rsidR="00FD58BF">
              <w:rPr>
                <w:noProof/>
                <w:webHidden/>
              </w:rPr>
              <w:tab/>
            </w:r>
            <w:r w:rsidR="00FD58BF">
              <w:rPr>
                <w:noProof/>
                <w:webHidden/>
              </w:rPr>
              <w:fldChar w:fldCharType="begin"/>
            </w:r>
            <w:r w:rsidR="00FD58BF">
              <w:rPr>
                <w:noProof/>
                <w:webHidden/>
              </w:rPr>
              <w:instrText xml:space="preserve"> PAGEREF _Toc178838871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53220080" w14:textId="74A6CE5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2" w:history="1">
            <w:r w:rsidR="00FD58BF" w:rsidRPr="003004E5">
              <w:rPr>
                <w:rStyle w:val="Lienhypertexte"/>
                <w:noProof/>
              </w:rPr>
              <w:t>24.84.5 Réparation structurale / Renforcement par ajout d'éléments structuraux CCTB 01.04</w:t>
            </w:r>
            <w:r w:rsidR="00FD58BF">
              <w:rPr>
                <w:noProof/>
                <w:webHidden/>
              </w:rPr>
              <w:tab/>
            </w:r>
            <w:r w:rsidR="00FD58BF">
              <w:rPr>
                <w:noProof/>
                <w:webHidden/>
              </w:rPr>
              <w:fldChar w:fldCharType="begin"/>
            </w:r>
            <w:r w:rsidR="00FD58BF">
              <w:rPr>
                <w:noProof/>
                <w:webHidden/>
              </w:rPr>
              <w:instrText xml:space="preserve"> PAGEREF _Toc178838872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5A7A185F" w14:textId="4FB7CA1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3" w:history="1">
            <w:r w:rsidR="00FD58BF" w:rsidRPr="003004E5">
              <w:rPr>
                <w:rStyle w:val="Lienhypertexte"/>
                <w:noProof/>
              </w:rPr>
              <w:t>24.84.5a Ajout de tirants métalliques externes CCTB 01.02</w:t>
            </w:r>
            <w:r w:rsidR="00FD58BF">
              <w:rPr>
                <w:noProof/>
                <w:webHidden/>
              </w:rPr>
              <w:tab/>
            </w:r>
            <w:r w:rsidR="00FD58BF">
              <w:rPr>
                <w:noProof/>
                <w:webHidden/>
              </w:rPr>
              <w:fldChar w:fldCharType="begin"/>
            </w:r>
            <w:r w:rsidR="00FD58BF">
              <w:rPr>
                <w:noProof/>
                <w:webHidden/>
              </w:rPr>
              <w:instrText xml:space="preserve"> PAGEREF _Toc178838873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1905E79B" w14:textId="418FB32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4" w:history="1">
            <w:r w:rsidR="00FD58BF" w:rsidRPr="003004E5">
              <w:rPr>
                <w:rStyle w:val="Lienhypertexte"/>
                <w:noProof/>
              </w:rPr>
              <w:t>24.84.5b Ajout de profils métalliques externes boulonnés CCTB 01.02</w:t>
            </w:r>
            <w:r w:rsidR="00FD58BF">
              <w:rPr>
                <w:noProof/>
                <w:webHidden/>
              </w:rPr>
              <w:tab/>
            </w:r>
            <w:r w:rsidR="00FD58BF">
              <w:rPr>
                <w:noProof/>
                <w:webHidden/>
              </w:rPr>
              <w:fldChar w:fldCharType="begin"/>
            </w:r>
            <w:r w:rsidR="00FD58BF">
              <w:rPr>
                <w:noProof/>
                <w:webHidden/>
              </w:rPr>
              <w:instrText xml:space="preserve"> PAGEREF _Toc178838874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1292D8CA" w14:textId="680757F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5" w:history="1">
            <w:r w:rsidR="00FD58BF" w:rsidRPr="003004E5">
              <w:rPr>
                <w:rStyle w:val="Lienhypertexte"/>
                <w:noProof/>
              </w:rPr>
              <w:t>24.84.5c Réalisation de cerclage métallique externe CCTB 01.02</w:t>
            </w:r>
            <w:r w:rsidR="00FD58BF">
              <w:rPr>
                <w:noProof/>
                <w:webHidden/>
              </w:rPr>
              <w:tab/>
            </w:r>
            <w:r w:rsidR="00FD58BF">
              <w:rPr>
                <w:noProof/>
                <w:webHidden/>
              </w:rPr>
              <w:fldChar w:fldCharType="begin"/>
            </w:r>
            <w:r w:rsidR="00FD58BF">
              <w:rPr>
                <w:noProof/>
                <w:webHidden/>
              </w:rPr>
              <w:instrText xml:space="preserve"> PAGEREF _Toc178838875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269368B1" w14:textId="0713A4B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6" w:history="1">
            <w:r w:rsidR="00FD58BF" w:rsidRPr="003004E5">
              <w:rPr>
                <w:rStyle w:val="Lienhypertexte"/>
                <w:noProof/>
              </w:rPr>
              <w:t>24.84.5d Structure de délestage autour d'une structure existante CCTB 01.02</w:t>
            </w:r>
            <w:r w:rsidR="00FD58BF">
              <w:rPr>
                <w:noProof/>
                <w:webHidden/>
              </w:rPr>
              <w:tab/>
            </w:r>
            <w:r w:rsidR="00FD58BF">
              <w:rPr>
                <w:noProof/>
                <w:webHidden/>
              </w:rPr>
              <w:fldChar w:fldCharType="begin"/>
            </w:r>
            <w:r w:rsidR="00FD58BF">
              <w:rPr>
                <w:noProof/>
                <w:webHidden/>
              </w:rPr>
              <w:instrText xml:space="preserve"> PAGEREF _Toc178838876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002427B2" w14:textId="75C44B1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7" w:history="1">
            <w:r w:rsidR="00FD58BF" w:rsidRPr="003004E5">
              <w:rPr>
                <w:rStyle w:val="Lienhypertexte"/>
                <w:noProof/>
              </w:rPr>
              <w:t>24.84.5e Ajout d'éléments en bois CCTB 01.04</w:t>
            </w:r>
            <w:r w:rsidR="00FD58BF">
              <w:rPr>
                <w:noProof/>
                <w:webHidden/>
              </w:rPr>
              <w:tab/>
            </w:r>
            <w:r w:rsidR="00FD58BF">
              <w:rPr>
                <w:noProof/>
                <w:webHidden/>
              </w:rPr>
              <w:fldChar w:fldCharType="begin"/>
            </w:r>
            <w:r w:rsidR="00FD58BF">
              <w:rPr>
                <w:noProof/>
                <w:webHidden/>
              </w:rPr>
              <w:instrText xml:space="preserve"> PAGEREF _Toc178838877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06137F88" w14:textId="07916D9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8" w:history="1">
            <w:r w:rsidR="00FD58BF" w:rsidRPr="003004E5">
              <w:rPr>
                <w:rStyle w:val="Lienhypertexte"/>
                <w:noProof/>
              </w:rPr>
              <w:t>24.84.5f Ajout d'éléments en matière synthétique CCTB 01.04</w:t>
            </w:r>
            <w:r w:rsidR="00FD58BF">
              <w:rPr>
                <w:noProof/>
                <w:webHidden/>
              </w:rPr>
              <w:tab/>
            </w:r>
            <w:r w:rsidR="00FD58BF">
              <w:rPr>
                <w:noProof/>
                <w:webHidden/>
              </w:rPr>
              <w:fldChar w:fldCharType="begin"/>
            </w:r>
            <w:r w:rsidR="00FD58BF">
              <w:rPr>
                <w:noProof/>
                <w:webHidden/>
              </w:rPr>
              <w:instrText xml:space="preserve"> PAGEREF _Toc178838878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351029CC" w14:textId="4811DF7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9" w:history="1">
            <w:r w:rsidR="00FD58BF" w:rsidRPr="003004E5">
              <w:rPr>
                <w:rStyle w:val="Lienhypertexte"/>
                <w:noProof/>
              </w:rPr>
              <w:t>24.84.6 Réparation structurale / Renforcement de fixations ou d'assemblages de structure existantes CCTB 01.04</w:t>
            </w:r>
            <w:r w:rsidR="00FD58BF">
              <w:rPr>
                <w:noProof/>
                <w:webHidden/>
              </w:rPr>
              <w:tab/>
            </w:r>
            <w:r w:rsidR="00FD58BF">
              <w:rPr>
                <w:noProof/>
                <w:webHidden/>
              </w:rPr>
              <w:fldChar w:fldCharType="begin"/>
            </w:r>
            <w:r w:rsidR="00FD58BF">
              <w:rPr>
                <w:noProof/>
                <w:webHidden/>
              </w:rPr>
              <w:instrText xml:space="preserve"> PAGEREF _Toc178838879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48205175" w14:textId="1FC59AD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0" w:history="1">
            <w:r w:rsidR="00FD58BF" w:rsidRPr="003004E5">
              <w:rPr>
                <w:rStyle w:val="Lienhypertexte"/>
                <w:noProof/>
              </w:rPr>
              <w:t>24.84.6a Reprise d'abouts de poutres par sabot métallique CCTB 01.02</w:t>
            </w:r>
            <w:r w:rsidR="00FD58BF">
              <w:rPr>
                <w:noProof/>
                <w:webHidden/>
              </w:rPr>
              <w:tab/>
            </w:r>
            <w:r w:rsidR="00FD58BF">
              <w:rPr>
                <w:noProof/>
                <w:webHidden/>
              </w:rPr>
              <w:fldChar w:fldCharType="begin"/>
            </w:r>
            <w:r w:rsidR="00FD58BF">
              <w:rPr>
                <w:noProof/>
                <w:webHidden/>
              </w:rPr>
              <w:instrText xml:space="preserve"> PAGEREF _Toc178838880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1AE1E111" w14:textId="17A7BE1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1" w:history="1">
            <w:r w:rsidR="00FD58BF" w:rsidRPr="003004E5">
              <w:rPr>
                <w:rStyle w:val="Lienhypertexte"/>
                <w:noProof/>
              </w:rPr>
              <w:t>24.84.6b Ajout de chevilles en bois CCTB 01.10</w:t>
            </w:r>
            <w:r w:rsidR="00FD58BF">
              <w:rPr>
                <w:noProof/>
                <w:webHidden/>
              </w:rPr>
              <w:tab/>
            </w:r>
            <w:r w:rsidR="00FD58BF">
              <w:rPr>
                <w:noProof/>
                <w:webHidden/>
              </w:rPr>
              <w:fldChar w:fldCharType="begin"/>
            </w:r>
            <w:r w:rsidR="00FD58BF">
              <w:rPr>
                <w:noProof/>
                <w:webHidden/>
              </w:rPr>
              <w:instrText xml:space="preserve"> PAGEREF _Toc178838881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66840604" w14:textId="17D9FB3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2" w:history="1">
            <w:r w:rsidR="00FD58BF" w:rsidRPr="003004E5">
              <w:rPr>
                <w:rStyle w:val="Lienhypertexte"/>
                <w:noProof/>
              </w:rPr>
              <w:t>24.84.6c Ajout de tiges filetées CCTB 01.10</w:t>
            </w:r>
            <w:r w:rsidR="00FD58BF">
              <w:rPr>
                <w:noProof/>
                <w:webHidden/>
              </w:rPr>
              <w:tab/>
            </w:r>
            <w:r w:rsidR="00FD58BF">
              <w:rPr>
                <w:noProof/>
                <w:webHidden/>
              </w:rPr>
              <w:fldChar w:fldCharType="begin"/>
            </w:r>
            <w:r w:rsidR="00FD58BF">
              <w:rPr>
                <w:noProof/>
                <w:webHidden/>
              </w:rPr>
              <w:instrText xml:space="preserve"> PAGEREF _Toc178838882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71E7B42C" w14:textId="5D01141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3" w:history="1">
            <w:r w:rsidR="00FD58BF" w:rsidRPr="003004E5">
              <w:rPr>
                <w:rStyle w:val="Lienhypertexte"/>
                <w:noProof/>
              </w:rPr>
              <w:t>24.84.6d Ajout de vis CCTB 01.04</w:t>
            </w:r>
            <w:r w:rsidR="00FD58BF">
              <w:rPr>
                <w:noProof/>
                <w:webHidden/>
              </w:rPr>
              <w:tab/>
            </w:r>
            <w:r w:rsidR="00FD58BF">
              <w:rPr>
                <w:noProof/>
                <w:webHidden/>
              </w:rPr>
              <w:fldChar w:fldCharType="begin"/>
            </w:r>
            <w:r w:rsidR="00FD58BF">
              <w:rPr>
                <w:noProof/>
                <w:webHidden/>
              </w:rPr>
              <w:instrText xml:space="preserve"> PAGEREF _Toc178838883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60F7EB53" w14:textId="581CB48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4" w:history="1">
            <w:r w:rsidR="00FD58BF" w:rsidRPr="003004E5">
              <w:rPr>
                <w:rStyle w:val="Lienhypertexte"/>
                <w:noProof/>
              </w:rPr>
              <w:t>24.84.6e Ancrages métalliques CCTB 01.04</w:t>
            </w:r>
            <w:r w:rsidR="00FD58BF">
              <w:rPr>
                <w:noProof/>
                <w:webHidden/>
              </w:rPr>
              <w:tab/>
            </w:r>
            <w:r w:rsidR="00FD58BF">
              <w:rPr>
                <w:noProof/>
                <w:webHidden/>
              </w:rPr>
              <w:fldChar w:fldCharType="begin"/>
            </w:r>
            <w:r w:rsidR="00FD58BF">
              <w:rPr>
                <w:noProof/>
                <w:webHidden/>
              </w:rPr>
              <w:instrText xml:space="preserve"> PAGEREF _Toc178838884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220BCC5C" w14:textId="21CEAA9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85" w:history="1">
            <w:r w:rsidR="00FD58BF" w:rsidRPr="003004E5">
              <w:rPr>
                <w:rStyle w:val="Lienhypertexte"/>
                <w:noProof/>
              </w:rPr>
              <w:t>24.85 Adaptation CCTB 01.02</w:t>
            </w:r>
            <w:r w:rsidR="00FD58BF">
              <w:rPr>
                <w:noProof/>
                <w:webHidden/>
              </w:rPr>
              <w:tab/>
            </w:r>
            <w:r w:rsidR="00FD58BF">
              <w:rPr>
                <w:noProof/>
                <w:webHidden/>
              </w:rPr>
              <w:fldChar w:fldCharType="begin"/>
            </w:r>
            <w:r w:rsidR="00FD58BF">
              <w:rPr>
                <w:noProof/>
                <w:webHidden/>
              </w:rPr>
              <w:instrText xml:space="preserve"> PAGEREF _Toc178838885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39ABACE7" w14:textId="573B3D5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6" w:history="1">
            <w:r w:rsidR="00FD58BF" w:rsidRPr="003004E5">
              <w:rPr>
                <w:rStyle w:val="Lienhypertexte"/>
                <w:noProof/>
              </w:rPr>
              <w:t>24.85.1 Adaptation de charpentes en bois pour baies / passages CCTB 01.02</w:t>
            </w:r>
            <w:r w:rsidR="00FD58BF">
              <w:rPr>
                <w:noProof/>
                <w:webHidden/>
              </w:rPr>
              <w:tab/>
            </w:r>
            <w:r w:rsidR="00FD58BF">
              <w:rPr>
                <w:noProof/>
                <w:webHidden/>
              </w:rPr>
              <w:fldChar w:fldCharType="begin"/>
            </w:r>
            <w:r w:rsidR="00FD58BF">
              <w:rPr>
                <w:noProof/>
                <w:webHidden/>
              </w:rPr>
              <w:instrText xml:space="preserve"> PAGEREF _Toc178838886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0A14FEB3" w14:textId="72F210F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7" w:history="1">
            <w:r w:rsidR="00FD58BF" w:rsidRPr="003004E5">
              <w:rPr>
                <w:rStyle w:val="Lienhypertexte"/>
                <w:noProof/>
              </w:rPr>
              <w:t>24.85.1a Création de baies CCTB 01.04</w:t>
            </w:r>
            <w:r w:rsidR="00FD58BF">
              <w:rPr>
                <w:noProof/>
                <w:webHidden/>
              </w:rPr>
              <w:tab/>
            </w:r>
            <w:r w:rsidR="00FD58BF">
              <w:rPr>
                <w:noProof/>
                <w:webHidden/>
              </w:rPr>
              <w:fldChar w:fldCharType="begin"/>
            </w:r>
            <w:r w:rsidR="00FD58BF">
              <w:rPr>
                <w:noProof/>
                <w:webHidden/>
              </w:rPr>
              <w:instrText xml:space="preserve"> PAGEREF _Toc178838887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627BD844" w14:textId="30C180D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8" w:history="1">
            <w:r w:rsidR="00FD58BF" w:rsidRPr="003004E5">
              <w:rPr>
                <w:rStyle w:val="Lienhypertexte"/>
                <w:noProof/>
              </w:rPr>
              <w:t>24.85.1b Adaptation dimensionnelle de baies existantes CCTB 01.04</w:t>
            </w:r>
            <w:r w:rsidR="00FD58BF">
              <w:rPr>
                <w:noProof/>
                <w:webHidden/>
              </w:rPr>
              <w:tab/>
            </w:r>
            <w:r w:rsidR="00FD58BF">
              <w:rPr>
                <w:noProof/>
                <w:webHidden/>
              </w:rPr>
              <w:fldChar w:fldCharType="begin"/>
            </w:r>
            <w:r w:rsidR="00FD58BF">
              <w:rPr>
                <w:noProof/>
                <w:webHidden/>
              </w:rPr>
              <w:instrText xml:space="preserve"> PAGEREF _Toc178838888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44248E3B" w14:textId="3ACF8D2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9" w:history="1">
            <w:r w:rsidR="00FD58BF" w:rsidRPr="003004E5">
              <w:rPr>
                <w:rStyle w:val="Lienhypertexte"/>
                <w:noProof/>
              </w:rPr>
              <w:t>24.85.1c Obturation de baies existantes CCTB 01.02</w:t>
            </w:r>
            <w:r w:rsidR="00FD58BF">
              <w:rPr>
                <w:noProof/>
                <w:webHidden/>
              </w:rPr>
              <w:tab/>
            </w:r>
            <w:r w:rsidR="00FD58BF">
              <w:rPr>
                <w:noProof/>
                <w:webHidden/>
              </w:rPr>
              <w:fldChar w:fldCharType="begin"/>
            </w:r>
            <w:r w:rsidR="00FD58BF">
              <w:rPr>
                <w:noProof/>
                <w:webHidden/>
              </w:rPr>
              <w:instrText xml:space="preserve"> PAGEREF _Toc178838889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49714BFE" w14:textId="4126C2D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0" w:history="1">
            <w:r w:rsidR="00FD58BF" w:rsidRPr="003004E5">
              <w:rPr>
                <w:rStyle w:val="Lienhypertexte"/>
                <w:noProof/>
              </w:rPr>
              <w:t>24.85.1d Passage pour techniques spéciales CCTB 01.04</w:t>
            </w:r>
            <w:r w:rsidR="00FD58BF">
              <w:rPr>
                <w:noProof/>
                <w:webHidden/>
              </w:rPr>
              <w:tab/>
            </w:r>
            <w:r w:rsidR="00FD58BF">
              <w:rPr>
                <w:noProof/>
                <w:webHidden/>
              </w:rPr>
              <w:fldChar w:fldCharType="begin"/>
            </w:r>
            <w:r w:rsidR="00FD58BF">
              <w:rPr>
                <w:noProof/>
                <w:webHidden/>
              </w:rPr>
              <w:instrText xml:space="preserve"> PAGEREF _Toc178838890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1A7D31F5" w14:textId="49F4487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1" w:history="1">
            <w:r w:rsidR="00FD58BF" w:rsidRPr="003004E5">
              <w:rPr>
                <w:rStyle w:val="Lienhypertexte"/>
                <w:noProof/>
              </w:rPr>
              <w:t>24.85.1e Adaptations de charpentes en bois pour baies / passages en vue d'un changement d'affectation CCTB 01.04</w:t>
            </w:r>
            <w:r w:rsidR="00FD58BF">
              <w:rPr>
                <w:noProof/>
                <w:webHidden/>
              </w:rPr>
              <w:tab/>
            </w:r>
            <w:r w:rsidR="00FD58BF">
              <w:rPr>
                <w:noProof/>
                <w:webHidden/>
              </w:rPr>
              <w:fldChar w:fldCharType="begin"/>
            </w:r>
            <w:r w:rsidR="00FD58BF">
              <w:rPr>
                <w:noProof/>
                <w:webHidden/>
              </w:rPr>
              <w:instrText xml:space="preserve"> PAGEREF _Toc178838891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4FF23FF2" w14:textId="584E6196"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92" w:history="1">
            <w:r w:rsidR="00FD58BF" w:rsidRPr="003004E5">
              <w:rPr>
                <w:rStyle w:val="Lienhypertexte"/>
                <w:noProof/>
              </w:rPr>
              <w:t>24.86 Repose / remplacement (à l'identique) CCTB 01.02</w:t>
            </w:r>
            <w:r w:rsidR="00FD58BF">
              <w:rPr>
                <w:noProof/>
                <w:webHidden/>
              </w:rPr>
              <w:tab/>
            </w:r>
            <w:r w:rsidR="00FD58BF">
              <w:rPr>
                <w:noProof/>
                <w:webHidden/>
              </w:rPr>
              <w:fldChar w:fldCharType="begin"/>
            </w:r>
            <w:r w:rsidR="00FD58BF">
              <w:rPr>
                <w:noProof/>
                <w:webHidden/>
              </w:rPr>
              <w:instrText xml:space="preserve"> PAGEREF _Toc178838892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1B8C0CBF" w14:textId="24F4F09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3" w:history="1">
            <w:r w:rsidR="00FD58BF" w:rsidRPr="003004E5">
              <w:rPr>
                <w:rStyle w:val="Lienhypertexte"/>
                <w:noProof/>
              </w:rPr>
              <w:t>24.86.1 Repose d'éléments récupérés CCTB 01.02</w:t>
            </w:r>
            <w:r w:rsidR="00FD58BF">
              <w:rPr>
                <w:noProof/>
                <w:webHidden/>
              </w:rPr>
              <w:tab/>
            </w:r>
            <w:r w:rsidR="00FD58BF">
              <w:rPr>
                <w:noProof/>
                <w:webHidden/>
              </w:rPr>
              <w:fldChar w:fldCharType="begin"/>
            </w:r>
            <w:r w:rsidR="00FD58BF">
              <w:rPr>
                <w:noProof/>
                <w:webHidden/>
              </w:rPr>
              <w:instrText xml:space="preserve"> PAGEREF _Toc178838893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66D1A917" w14:textId="6FAC32A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4" w:history="1">
            <w:r w:rsidR="00FD58BF" w:rsidRPr="003004E5">
              <w:rPr>
                <w:rStyle w:val="Lienhypertexte"/>
                <w:noProof/>
              </w:rPr>
              <w:t>24.86.1a Repose d'éléments récupérés CCTB 01.02</w:t>
            </w:r>
            <w:r w:rsidR="00FD58BF">
              <w:rPr>
                <w:noProof/>
                <w:webHidden/>
              </w:rPr>
              <w:tab/>
            </w:r>
            <w:r w:rsidR="00FD58BF">
              <w:rPr>
                <w:noProof/>
                <w:webHidden/>
              </w:rPr>
              <w:fldChar w:fldCharType="begin"/>
            </w:r>
            <w:r w:rsidR="00FD58BF">
              <w:rPr>
                <w:noProof/>
                <w:webHidden/>
              </w:rPr>
              <w:instrText xml:space="preserve"> PAGEREF _Toc178838894 \h </w:instrText>
            </w:r>
            <w:r w:rsidR="00FD58BF">
              <w:rPr>
                <w:noProof/>
                <w:webHidden/>
              </w:rPr>
            </w:r>
            <w:r w:rsidR="00FD58BF">
              <w:rPr>
                <w:noProof/>
                <w:webHidden/>
              </w:rPr>
              <w:fldChar w:fldCharType="separate"/>
            </w:r>
            <w:r w:rsidR="00FD58BF">
              <w:rPr>
                <w:noProof/>
                <w:webHidden/>
              </w:rPr>
              <w:t>1130</w:t>
            </w:r>
            <w:r w:rsidR="00FD58BF">
              <w:rPr>
                <w:noProof/>
                <w:webHidden/>
              </w:rPr>
              <w:fldChar w:fldCharType="end"/>
            </w:r>
          </w:hyperlink>
        </w:p>
        <w:p w14:paraId="1450CFEB" w14:textId="669E4FB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5" w:history="1">
            <w:r w:rsidR="00FD58BF" w:rsidRPr="003004E5">
              <w:rPr>
                <w:rStyle w:val="Lienhypertexte"/>
                <w:noProof/>
              </w:rPr>
              <w:t>24.86.2 Remplacement complet à l'identique de structures en bois CCTB 01.04</w:t>
            </w:r>
            <w:r w:rsidR="00FD58BF">
              <w:rPr>
                <w:noProof/>
                <w:webHidden/>
              </w:rPr>
              <w:tab/>
            </w:r>
            <w:r w:rsidR="00FD58BF">
              <w:rPr>
                <w:noProof/>
                <w:webHidden/>
              </w:rPr>
              <w:fldChar w:fldCharType="begin"/>
            </w:r>
            <w:r w:rsidR="00FD58BF">
              <w:rPr>
                <w:noProof/>
                <w:webHidden/>
              </w:rPr>
              <w:instrText xml:space="preserve"> PAGEREF _Toc178838895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7B4527CF" w14:textId="1BE456B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6" w:history="1">
            <w:r w:rsidR="00FD58BF" w:rsidRPr="003004E5">
              <w:rPr>
                <w:rStyle w:val="Lienhypertexte"/>
                <w:noProof/>
              </w:rPr>
              <w:t>24.86.3 Remplacement complet d'éléments de structure en bois CCTB 01.02</w:t>
            </w:r>
            <w:r w:rsidR="00FD58BF">
              <w:rPr>
                <w:noProof/>
                <w:webHidden/>
              </w:rPr>
              <w:tab/>
            </w:r>
            <w:r w:rsidR="00FD58BF">
              <w:rPr>
                <w:noProof/>
                <w:webHidden/>
              </w:rPr>
              <w:fldChar w:fldCharType="begin"/>
            </w:r>
            <w:r w:rsidR="00FD58BF">
              <w:rPr>
                <w:noProof/>
                <w:webHidden/>
              </w:rPr>
              <w:instrText xml:space="preserve"> PAGEREF _Toc178838896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27152E4E" w14:textId="20906EF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7" w:history="1">
            <w:r w:rsidR="00FD58BF" w:rsidRPr="003004E5">
              <w:rPr>
                <w:rStyle w:val="Lienhypertexte"/>
                <w:noProof/>
              </w:rPr>
              <w:t>24.86.3a Remplacement d'éléments de structure en bois individuels CCTB 01.04</w:t>
            </w:r>
            <w:r w:rsidR="00FD58BF">
              <w:rPr>
                <w:noProof/>
                <w:webHidden/>
              </w:rPr>
              <w:tab/>
            </w:r>
            <w:r w:rsidR="00FD58BF">
              <w:rPr>
                <w:noProof/>
                <w:webHidden/>
              </w:rPr>
              <w:fldChar w:fldCharType="begin"/>
            </w:r>
            <w:r w:rsidR="00FD58BF">
              <w:rPr>
                <w:noProof/>
                <w:webHidden/>
              </w:rPr>
              <w:instrText xml:space="preserve"> PAGEREF _Toc178838897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729E34C8" w14:textId="0E988E4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8" w:history="1">
            <w:r w:rsidR="00FD58BF" w:rsidRPr="003004E5">
              <w:rPr>
                <w:rStyle w:val="Lienhypertexte"/>
                <w:noProof/>
              </w:rPr>
              <w:t>24.86.3b Remplacement d'éléments de structure en bois faisant partie d'une structure / charpente CCTB 01.02</w:t>
            </w:r>
            <w:r w:rsidR="00FD58BF">
              <w:rPr>
                <w:noProof/>
                <w:webHidden/>
              </w:rPr>
              <w:tab/>
            </w:r>
            <w:r w:rsidR="00FD58BF">
              <w:rPr>
                <w:noProof/>
                <w:webHidden/>
              </w:rPr>
              <w:fldChar w:fldCharType="begin"/>
            </w:r>
            <w:r w:rsidR="00FD58BF">
              <w:rPr>
                <w:noProof/>
                <w:webHidden/>
              </w:rPr>
              <w:instrText xml:space="preserve"> PAGEREF _Toc178838898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3A5BE3AD" w14:textId="7F0FEF8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9" w:history="1">
            <w:r w:rsidR="00FD58BF" w:rsidRPr="003004E5">
              <w:rPr>
                <w:rStyle w:val="Lienhypertexte"/>
                <w:noProof/>
              </w:rPr>
              <w:t>24.86.4 Remplacement / reconstitution partiel d'éléments de structure en bois CCTB 01.02</w:t>
            </w:r>
            <w:r w:rsidR="00FD58BF">
              <w:rPr>
                <w:noProof/>
                <w:webHidden/>
              </w:rPr>
              <w:tab/>
            </w:r>
            <w:r w:rsidR="00FD58BF">
              <w:rPr>
                <w:noProof/>
                <w:webHidden/>
              </w:rPr>
              <w:fldChar w:fldCharType="begin"/>
            </w:r>
            <w:r w:rsidR="00FD58BF">
              <w:rPr>
                <w:noProof/>
                <w:webHidden/>
              </w:rPr>
              <w:instrText xml:space="preserve"> PAGEREF _Toc178838899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723A49F9" w14:textId="758649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0" w:history="1">
            <w:r w:rsidR="00FD58BF" w:rsidRPr="003004E5">
              <w:rPr>
                <w:rStyle w:val="Lienhypertexte"/>
                <w:noProof/>
              </w:rPr>
              <w:t>24.86.4a Remplacement partiel d'éléments de structure en bois par greffes et plats métalliques CCTB 01.02</w:t>
            </w:r>
            <w:r w:rsidR="00FD58BF">
              <w:rPr>
                <w:noProof/>
                <w:webHidden/>
              </w:rPr>
              <w:tab/>
            </w:r>
            <w:r w:rsidR="00FD58BF">
              <w:rPr>
                <w:noProof/>
                <w:webHidden/>
              </w:rPr>
              <w:fldChar w:fldCharType="begin"/>
            </w:r>
            <w:r w:rsidR="00FD58BF">
              <w:rPr>
                <w:noProof/>
                <w:webHidden/>
              </w:rPr>
              <w:instrText xml:space="preserve"> PAGEREF _Toc178838900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4134C566" w14:textId="5DA0434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1" w:history="1">
            <w:r w:rsidR="00FD58BF" w:rsidRPr="003004E5">
              <w:rPr>
                <w:rStyle w:val="Lienhypertexte"/>
                <w:noProof/>
              </w:rPr>
              <w:t>24.86.4b Remplacement partiel d'éléments de structure en bois par greffes boulonnées CCTB 01.04</w:t>
            </w:r>
            <w:r w:rsidR="00FD58BF">
              <w:rPr>
                <w:noProof/>
                <w:webHidden/>
              </w:rPr>
              <w:tab/>
            </w:r>
            <w:r w:rsidR="00FD58BF">
              <w:rPr>
                <w:noProof/>
                <w:webHidden/>
              </w:rPr>
              <w:fldChar w:fldCharType="begin"/>
            </w:r>
            <w:r w:rsidR="00FD58BF">
              <w:rPr>
                <w:noProof/>
                <w:webHidden/>
              </w:rPr>
              <w:instrText xml:space="preserve"> PAGEREF _Toc178838901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2085C248" w14:textId="7C4096E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2" w:history="1">
            <w:r w:rsidR="00FD58BF" w:rsidRPr="003004E5">
              <w:rPr>
                <w:rStyle w:val="Lienhypertexte"/>
                <w:noProof/>
              </w:rPr>
              <w:t>24.86.4c Remplacement partiel d'éléments de structure en bois par greffes et assemblages à entailles (assemblages traditionnels) CCTB 01.04</w:t>
            </w:r>
            <w:r w:rsidR="00FD58BF">
              <w:rPr>
                <w:noProof/>
                <w:webHidden/>
              </w:rPr>
              <w:tab/>
            </w:r>
            <w:r w:rsidR="00FD58BF">
              <w:rPr>
                <w:noProof/>
                <w:webHidden/>
              </w:rPr>
              <w:fldChar w:fldCharType="begin"/>
            </w:r>
            <w:r w:rsidR="00FD58BF">
              <w:rPr>
                <w:noProof/>
                <w:webHidden/>
              </w:rPr>
              <w:instrText xml:space="preserve"> PAGEREF _Toc178838902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467B1108" w14:textId="2BE3268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3" w:history="1">
            <w:r w:rsidR="00FD58BF" w:rsidRPr="003004E5">
              <w:rPr>
                <w:rStyle w:val="Lienhypertexte"/>
                <w:noProof/>
              </w:rPr>
              <w:t>24.86.4d Reconstitution partielle d'éléments de structure en bois par moulage en résines et barre de renfort CCTB 01.02</w:t>
            </w:r>
            <w:r w:rsidR="00FD58BF">
              <w:rPr>
                <w:noProof/>
                <w:webHidden/>
              </w:rPr>
              <w:tab/>
            </w:r>
            <w:r w:rsidR="00FD58BF">
              <w:rPr>
                <w:noProof/>
                <w:webHidden/>
              </w:rPr>
              <w:fldChar w:fldCharType="begin"/>
            </w:r>
            <w:r w:rsidR="00FD58BF">
              <w:rPr>
                <w:noProof/>
                <w:webHidden/>
              </w:rPr>
              <w:instrText xml:space="preserve"> PAGEREF _Toc178838903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7A4947AE" w14:textId="1FA5392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4" w:history="1">
            <w:r w:rsidR="00FD58BF" w:rsidRPr="003004E5">
              <w:rPr>
                <w:rStyle w:val="Lienhypertexte"/>
                <w:noProof/>
              </w:rPr>
              <w:t>24.86.5 Remplacement d'éléments de fixation/assemblage CCTB 01.02</w:t>
            </w:r>
            <w:r w:rsidR="00FD58BF">
              <w:rPr>
                <w:noProof/>
                <w:webHidden/>
              </w:rPr>
              <w:tab/>
            </w:r>
            <w:r w:rsidR="00FD58BF">
              <w:rPr>
                <w:noProof/>
                <w:webHidden/>
              </w:rPr>
              <w:fldChar w:fldCharType="begin"/>
            </w:r>
            <w:r w:rsidR="00FD58BF">
              <w:rPr>
                <w:noProof/>
                <w:webHidden/>
              </w:rPr>
              <w:instrText xml:space="preserve"> PAGEREF _Toc178838904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684FCE00" w14:textId="44AD0D0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5" w:history="1">
            <w:r w:rsidR="00FD58BF" w:rsidRPr="003004E5">
              <w:rPr>
                <w:rStyle w:val="Lienhypertexte"/>
                <w:noProof/>
              </w:rPr>
              <w:t>24.86.5a Remplacement de chevilles en bois CCTB 01.02</w:t>
            </w:r>
            <w:r w:rsidR="00FD58BF">
              <w:rPr>
                <w:noProof/>
                <w:webHidden/>
              </w:rPr>
              <w:tab/>
            </w:r>
            <w:r w:rsidR="00FD58BF">
              <w:rPr>
                <w:noProof/>
                <w:webHidden/>
              </w:rPr>
              <w:fldChar w:fldCharType="begin"/>
            </w:r>
            <w:r w:rsidR="00FD58BF">
              <w:rPr>
                <w:noProof/>
                <w:webHidden/>
              </w:rPr>
              <w:instrText xml:space="preserve"> PAGEREF _Toc178838905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589ED680" w14:textId="19A7215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6" w:history="1">
            <w:r w:rsidR="00FD58BF" w:rsidRPr="003004E5">
              <w:rPr>
                <w:rStyle w:val="Lienhypertexte"/>
                <w:noProof/>
              </w:rPr>
              <w:t>24.86.5b Remplacement de fixations métalliques (boulons/écrous/étriers/sabots et autres) CCTB 01.04</w:t>
            </w:r>
            <w:r w:rsidR="00FD58BF">
              <w:rPr>
                <w:noProof/>
                <w:webHidden/>
              </w:rPr>
              <w:tab/>
            </w:r>
            <w:r w:rsidR="00FD58BF">
              <w:rPr>
                <w:noProof/>
                <w:webHidden/>
              </w:rPr>
              <w:fldChar w:fldCharType="begin"/>
            </w:r>
            <w:r w:rsidR="00FD58BF">
              <w:rPr>
                <w:noProof/>
                <w:webHidden/>
              </w:rPr>
              <w:instrText xml:space="preserve"> PAGEREF _Toc178838906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6097DA0B" w14:textId="55C65B1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07" w:history="1">
            <w:r w:rsidR="00FD58BF" w:rsidRPr="003004E5">
              <w:rPr>
                <w:rStyle w:val="Lienhypertexte"/>
                <w:noProof/>
              </w:rPr>
              <w:t>24.87 Nettoyage / préparation de surface CCTB 01.04</w:t>
            </w:r>
            <w:r w:rsidR="00FD58BF">
              <w:rPr>
                <w:noProof/>
                <w:webHidden/>
              </w:rPr>
              <w:tab/>
            </w:r>
            <w:r w:rsidR="00FD58BF">
              <w:rPr>
                <w:noProof/>
                <w:webHidden/>
              </w:rPr>
              <w:fldChar w:fldCharType="begin"/>
            </w:r>
            <w:r w:rsidR="00FD58BF">
              <w:rPr>
                <w:noProof/>
                <w:webHidden/>
              </w:rPr>
              <w:instrText xml:space="preserve"> PAGEREF _Toc178838907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3C94C744" w14:textId="7429423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08" w:history="1">
            <w:r w:rsidR="00FD58BF" w:rsidRPr="003004E5">
              <w:rPr>
                <w:rStyle w:val="Lienhypertexte"/>
                <w:noProof/>
              </w:rPr>
              <w:t>24.88 Traitement et protection CCTB 01.04</w:t>
            </w:r>
            <w:r w:rsidR="00FD58BF">
              <w:rPr>
                <w:noProof/>
                <w:webHidden/>
              </w:rPr>
              <w:tab/>
            </w:r>
            <w:r w:rsidR="00FD58BF">
              <w:rPr>
                <w:noProof/>
                <w:webHidden/>
              </w:rPr>
              <w:fldChar w:fldCharType="begin"/>
            </w:r>
            <w:r w:rsidR="00FD58BF">
              <w:rPr>
                <w:noProof/>
                <w:webHidden/>
              </w:rPr>
              <w:instrText xml:space="preserve"> PAGEREF _Toc178838908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32AD4B6E" w14:textId="2BA5713E" w:rsidR="00FD58BF" w:rsidRDefault="004016E8">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909" w:history="1">
            <w:r w:rsidR="00FD58BF" w:rsidRPr="003004E5">
              <w:rPr>
                <w:rStyle w:val="Lienhypertexte"/>
                <w:noProof/>
              </w:rPr>
              <w:t>25 Superstructures en verre CCTB 01.02</w:t>
            </w:r>
            <w:r w:rsidR="00FD58BF">
              <w:rPr>
                <w:noProof/>
                <w:webHidden/>
              </w:rPr>
              <w:tab/>
            </w:r>
            <w:r w:rsidR="00FD58BF">
              <w:rPr>
                <w:noProof/>
                <w:webHidden/>
              </w:rPr>
              <w:fldChar w:fldCharType="begin"/>
            </w:r>
            <w:r w:rsidR="00FD58BF">
              <w:rPr>
                <w:noProof/>
                <w:webHidden/>
              </w:rPr>
              <w:instrText xml:space="preserve"> PAGEREF _Toc178838909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3D3378A1" w14:textId="0594CF31" w:rsidR="00FD58BF" w:rsidRDefault="004016E8">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910" w:history="1">
            <w:r w:rsidR="00FD58BF" w:rsidRPr="003004E5">
              <w:rPr>
                <w:rStyle w:val="Lienhypertexte"/>
                <w:noProof/>
              </w:rPr>
              <w:t>26 Etanchéisation et isolation CCTB 01.02</w:t>
            </w:r>
            <w:r w:rsidR="00FD58BF">
              <w:rPr>
                <w:noProof/>
                <w:webHidden/>
              </w:rPr>
              <w:tab/>
            </w:r>
            <w:r w:rsidR="00FD58BF">
              <w:rPr>
                <w:noProof/>
                <w:webHidden/>
              </w:rPr>
              <w:fldChar w:fldCharType="begin"/>
            </w:r>
            <w:r w:rsidR="00FD58BF">
              <w:rPr>
                <w:noProof/>
                <w:webHidden/>
              </w:rPr>
              <w:instrText xml:space="preserve"> PAGEREF _Toc178838910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7AA77EC5" w14:textId="61C9BD0E"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11" w:history="1">
            <w:r w:rsidR="00FD58BF" w:rsidRPr="003004E5">
              <w:rPr>
                <w:rStyle w:val="Lienhypertexte"/>
                <w:noProof/>
              </w:rPr>
              <w:t>26.1 Etanchéisation aux matières liquides CCTB 01.02</w:t>
            </w:r>
            <w:r w:rsidR="00FD58BF">
              <w:rPr>
                <w:noProof/>
                <w:webHidden/>
              </w:rPr>
              <w:tab/>
            </w:r>
            <w:r w:rsidR="00FD58BF">
              <w:rPr>
                <w:noProof/>
                <w:webHidden/>
              </w:rPr>
              <w:fldChar w:fldCharType="begin"/>
            </w:r>
            <w:r w:rsidR="00FD58BF">
              <w:rPr>
                <w:noProof/>
                <w:webHidden/>
              </w:rPr>
              <w:instrText xml:space="preserve"> PAGEREF _Toc178838911 \h </w:instrText>
            </w:r>
            <w:r w:rsidR="00FD58BF">
              <w:rPr>
                <w:noProof/>
                <w:webHidden/>
              </w:rPr>
            </w:r>
            <w:r w:rsidR="00FD58BF">
              <w:rPr>
                <w:noProof/>
                <w:webHidden/>
              </w:rPr>
              <w:fldChar w:fldCharType="separate"/>
            </w:r>
            <w:r w:rsidR="00FD58BF">
              <w:rPr>
                <w:noProof/>
                <w:webHidden/>
              </w:rPr>
              <w:t>1131</w:t>
            </w:r>
            <w:r w:rsidR="00FD58BF">
              <w:rPr>
                <w:noProof/>
                <w:webHidden/>
              </w:rPr>
              <w:fldChar w:fldCharType="end"/>
            </w:r>
          </w:hyperlink>
        </w:p>
        <w:p w14:paraId="06B733F2" w14:textId="1C02FB1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12" w:history="1">
            <w:r w:rsidR="00FD58BF" w:rsidRPr="003004E5">
              <w:rPr>
                <w:rStyle w:val="Lienhypertexte"/>
                <w:noProof/>
              </w:rPr>
              <w:t>26.11 Feuilles et membranes d'étanchéité à l'eau CCTB 01.11</w:t>
            </w:r>
            <w:r w:rsidR="00FD58BF">
              <w:rPr>
                <w:noProof/>
                <w:webHidden/>
              </w:rPr>
              <w:tab/>
            </w:r>
            <w:r w:rsidR="00FD58BF">
              <w:rPr>
                <w:noProof/>
                <w:webHidden/>
              </w:rPr>
              <w:fldChar w:fldCharType="begin"/>
            </w:r>
            <w:r w:rsidR="00FD58BF">
              <w:rPr>
                <w:noProof/>
                <w:webHidden/>
              </w:rPr>
              <w:instrText xml:space="preserve"> PAGEREF _Toc178838912 \h </w:instrText>
            </w:r>
            <w:r w:rsidR="00FD58BF">
              <w:rPr>
                <w:noProof/>
                <w:webHidden/>
              </w:rPr>
            </w:r>
            <w:r w:rsidR="00FD58BF">
              <w:rPr>
                <w:noProof/>
                <w:webHidden/>
              </w:rPr>
              <w:fldChar w:fldCharType="separate"/>
            </w:r>
            <w:r w:rsidR="00FD58BF">
              <w:rPr>
                <w:noProof/>
                <w:webHidden/>
              </w:rPr>
              <w:t>1132</w:t>
            </w:r>
            <w:r w:rsidR="00FD58BF">
              <w:rPr>
                <w:noProof/>
                <w:webHidden/>
              </w:rPr>
              <w:fldChar w:fldCharType="end"/>
            </w:r>
          </w:hyperlink>
        </w:p>
        <w:p w14:paraId="3D507F70" w14:textId="24BCCCD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13" w:history="1">
            <w:r w:rsidR="00FD58BF" w:rsidRPr="003004E5">
              <w:rPr>
                <w:rStyle w:val="Lienhypertexte"/>
                <w:noProof/>
              </w:rPr>
              <w:t>26.11.1 Membranes souples - Membranes CCTB 01.02</w:t>
            </w:r>
            <w:r w:rsidR="00FD58BF">
              <w:rPr>
                <w:noProof/>
                <w:webHidden/>
              </w:rPr>
              <w:tab/>
            </w:r>
            <w:r w:rsidR="00FD58BF">
              <w:rPr>
                <w:noProof/>
                <w:webHidden/>
              </w:rPr>
              <w:fldChar w:fldCharType="begin"/>
            </w:r>
            <w:r w:rsidR="00FD58BF">
              <w:rPr>
                <w:noProof/>
                <w:webHidden/>
              </w:rPr>
              <w:instrText xml:space="preserve"> PAGEREF _Toc178838913 \h </w:instrText>
            </w:r>
            <w:r w:rsidR="00FD58BF">
              <w:rPr>
                <w:noProof/>
                <w:webHidden/>
              </w:rPr>
            </w:r>
            <w:r w:rsidR="00FD58BF">
              <w:rPr>
                <w:noProof/>
                <w:webHidden/>
              </w:rPr>
              <w:fldChar w:fldCharType="separate"/>
            </w:r>
            <w:r w:rsidR="00FD58BF">
              <w:rPr>
                <w:noProof/>
                <w:webHidden/>
              </w:rPr>
              <w:t>1133</w:t>
            </w:r>
            <w:r w:rsidR="00FD58BF">
              <w:rPr>
                <w:noProof/>
                <w:webHidden/>
              </w:rPr>
              <w:fldChar w:fldCharType="end"/>
            </w:r>
          </w:hyperlink>
        </w:p>
        <w:p w14:paraId="5435D230" w14:textId="3BB30F1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4" w:history="1">
            <w:r w:rsidR="00FD58BF" w:rsidRPr="003004E5">
              <w:rPr>
                <w:rStyle w:val="Lienhypertexte"/>
                <w:noProof/>
              </w:rPr>
              <w:t>26.11.1a Couches d'étanchéité - membranes / PE CCTB 01.11</w:t>
            </w:r>
            <w:r w:rsidR="00FD58BF">
              <w:rPr>
                <w:noProof/>
                <w:webHidden/>
              </w:rPr>
              <w:tab/>
            </w:r>
            <w:r w:rsidR="00FD58BF">
              <w:rPr>
                <w:noProof/>
                <w:webHidden/>
              </w:rPr>
              <w:fldChar w:fldCharType="begin"/>
            </w:r>
            <w:r w:rsidR="00FD58BF">
              <w:rPr>
                <w:noProof/>
                <w:webHidden/>
              </w:rPr>
              <w:instrText xml:space="preserve"> PAGEREF _Toc178838914 \h </w:instrText>
            </w:r>
            <w:r w:rsidR="00FD58BF">
              <w:rPr>
                <w:noProof/>
                <w:webHidden/>
              </w:rPr>
            </w:r>
            <w:r w:rsidR="00FD58BF">
              <w:rPr>
                <w:noProof/>
                <w:webHidden/>
              </w:rPr>
              <w:fldChar w:fldCharType="separate"/>
            </w:r>
            <w:r w:rsidR="00FD58BF">
              <w:rPr>
                <w:noProof/>
                <w:webHidden/>
              </w:rPr>
              <w:t>1133</w:t>
            </w:r>
            <w:r w:rsidR="00FD58BF">
              <w:rPr>
                <w:noProof/>
                <w:webHidden/>
              </w:rPr>
              <w:fldChar w:fldCharType="end"/>
            </w:r>
          </w:hyperlink>
        </w:p>
        <w:p w14:paraId="2FCD67DC" w14:textId="0B62928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5" w:history="1">
            <w:r w:rsidR="00FD58BF" w:rsidRPr="003004E5">
              <w:rPr>
                <w:rStyle w:val="Lienhypertexte"/>
                <w:noProof/>
              </w:rPr>
              <w:t>26.11.1b Couches d'étanchéité - membranes / PVC CCTB 01.11</w:t>
            </w:r>
            <w:r w:rsidR="00FD58BF">
              <w:rPr>
                <w:noProof/>
                <w:webHidden/>
              </w:rPr>
              <w:tab/>
            </w:r>
            <w:r w:rsidR="00FD58BF">
              <w:rPr>
                <w:noProof/>
                <w:webHidden/>
              </w:rPr>
              <w:fldChar w:fldCharType="begin"/>
            </w:r>
            <w:r w:rsidR="00FD58BF">
              <w:rPr>
                <w:noProof/>
                <w:webHidden/>
              </w:rPr>
              <w:instrText xml:space="preserve"> PAGEREF _Toc178838915 \h </w:instrText>
            </w:r>
            <w:r w:rsidR="00FD58BF">
              <w:rPr>
                <w:noProof/>
                <w:webHidden/>
              </w:rPr>
            </w:r>
            <w:r w:rsidR="00FD58BF">
              <w:rPr>
                <w:noProof/>
                <w:webHidden/>
              </w:rPr>
              <w:fldChar w:fldCharType="separate"/>
            </w:r>
            <w:r w:rsidR="00FD58BF">
              <w:rPr>
                <w:noProof/>
                <w:webHidden/>
              </w:rPr>
              <w:t>1134</w:t>
            </w:r>
            <w:r w:rsidR="00FD58BF">
              <w:rPr>
                <w:noProof/>
                <w:webHidden/>
              </w:rPr>
              <w:fldChar w:fldCharType="end"/>
            </w:r>
          </w:hyperlink>
        </w:p>
        <w:p w14:paraId="76163664" w14:textId="164BC6B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6" w:history="1">
            <w:r w:rsidR="00FD58BF" w:rsidRPr="003004E5">
              <w:rPr>
                <w:rStyle w:val="Lienhypertexte"/>
                <w:noProof/>
              </w:rPr>
              <w:t>26.11.1c Couches d'étanchéité - membranes / PIB CCTB 01.11</w:t>
            </w:r>
            <w:r w:rsidR="00FD58BF">
              <w:rPr>
                <w:noProof/>
                <w:webHidden/>
              </w:rPr>
              <w:tab/>
            </w:r>
            <w:r w:rsidR="00FD58BF">
              <w:rPr>
                <w:noProof/>
                <w:webHidden/>
              </w:rPr>
              <w:fldChar w:fldCharType="begin"/>
            </w:r>
            <w:r w:rsidR="00FD58BF">
              <w:rPr>
                <w:noProof/>
                <w:webHidden/>
              </w:rPr>
              <w:instrText xml:space="preserve"> PAGEREF _Toc178838916 \h </w:instrText>
            </w:r>
            <w:r w:rsidR="00FD58BF">
              <w:rPr>
                <w:noProof/>
                <w:webHidden/>
              </w:rPr>
            </w:r>
            <w:r w:rsidR="00FD58BF">
              <w:rPr>
                <w:noProof/>
                <w:webHidden/>
              </w:rPr>
              <w:fldChar w:fldCharType="separate"/>
            </w:r>
            <w:r w:rsidR="00FD58BF">
              <w:rPr>
                <w:noProof/>
                <w:webHidden/>
              </w:rPr>
              <w:t>1135</w:t>
            </w:r>
            <w:r w:rsidR="00FD58BF">
              <w:rPr>
                <w:noProof/>
                <w:webHidden/>
              </w:rPr>
              <w:fldChar w:fldCharType="end"/>
            </w:r>
          </w:hyperlink>
        </w:p>
        <w:p w14:paraId="4D318181" w14:textId="6812E8A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7" w:history="1">
            <w:r w:rsidR="00FD58BF" w:rsidRPr="003004E5">
              <w:rPr>
                <w:rStyle w:val="Lienhypertexte"/>
                <w:noProof/>
              </w:rPr>
              <w:t>26.11.1d Couches d'étanchéité - caoutchouc de butyle CCTB 01.11</w:t>
            </w:r>
            <w:r w:rsidR="00FD58BF">
              <w:rPr>
                <w:noProof/>
                <w:webHidden/>
              </w:rPr>
              <w:tab/>
            </w:r>
            <w:r w:rsidR="00FD58BF">
              <w:rPr>
                <w:noProof/>
                <w:webHidden/>
              </w:rPr>
              <w:fldChar w:fldCharType="begin"/>
            </w:r>
            <w:r w:rsidR="00FD58BF">
              <w:rPr>
                <w:noProof/>
                <w:webHidden/>
              </w:rPr>
              <w:instrText xml:space="preserve"> PAGEREF _Toc178838917 \h </w:instrText>
            </w:r>
            <w:r w:rsidR="00FD58BF">
              <w:rPr>
                <w:noProof/>
                <w:webHidden/>
              </w:rPr>
            </w:r>
            <w:r w:rsidR="00FD58BF">
              <w:rPr>
                <w:noProof/>
                <w:webHidden/>
              </w:rPr>
              <w:fldChar w:fldCharType="separate"/>
            </w:r>
            <w:r w:rsidR="00FD58BF">
              <w:rPr>
                <w:noProof/>
                <w:webHidden/>
              </w:rPr>
              <w:t>1136</w:t>
            </w:r>
            <w:r w:rsidR="00FD58BF">
              <w:rPr>
                <w:noProof/>
                <w:webHidden/>
              </w:rPr>
              <w:fldChar w:fldCharType="end"/>
            </w:r>
          </w:hyperlink>
        </w:p>
        <w:p w14:paraId="7F421058" w14:textId="3051AD7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8" w:history="1">
            <w:r w:rsidR="00FD58BF" w:rsidRPr="003004E5">
              <w:rPr>
                <w:rStyle w:val="Lienhypertexte"/>
                <w:noProof/>
              </w:rPr>
              <w:t>26.11.1e Couches d'étanchéité - membranes de verre bituminées CCTB 01.11</w:t>
            </w:r>
            <w:r w:rsidR="00FD58BF">
              <w:rPr>
                <w:noProof/>
                <w:webHidden/>
              </w:rPr>
              <w:tab/>
            </w:r>
            <w:r w:rsidR="00FD58BF">
              <w:rPr>
                <w:noProof/>
                <w:webHidden/>
              </w:rPr>
              <w:fldChar w:fldCharType="begin"/>
            </w:r>
            <w:r w:rsidR="00FD58BF">
              <w:rPr>
                <w:noProof/>
                <w:webHidden/>
              </w:rPr>
              <w:instrText xml:space="preserve"> PAGEREF _Toc178838918 \h </w:instrText>
            </w:r>
            <w:r w:rsidR="00FD58BF">
              <w:rPr>
                <w:noProof/>
                <w:webHidden/>
              </w:rPr>
            </w:r>
            <w:r w:rsidR="00FD58BF">
              <w:rPr>
                <w:noProof/>
                <w:webHidden/>
              </w:rPr>
              <w:fldChar w:fldCharType="separate"/>
            </w:r>
            <w:r w:rsidR="00FD58BF">
              <w:rPr>
                <w:noProof/>
                <w:webHidden/>
              </w:rPr>
              <w:t>1137</w:t>
            </w:r>
            <w:r w:rsidR="00FD58BF">
              <w:rPr>
                <w:noProof/>
                <w:webHidden/>
              </w:rPr>
              <w:fldChar w:fldCharType="end"/>
            </w:r>
          </w:hyperlink>
        </w:p>
        <w:p w14:paraId="247A020C" w14:textId="1F86625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9" w:history="1">
            <w:r w:rsidR="00FD58BF" w:rsidRPr="003004E5">
              <w:rPr>
                <w:rStyle w:val="Lienhypertexte"/>
                <w:noProof/>
              </w:rPr>
              <w:t>26.11.1f Couches d'étanchéité - membranes à pastilles CCTB 01.11</w:t>
            </w:r>
            <w:r w:rsidR="00FD58BF">
              <w:rPr>
                <w:noProof/>
                <w:webHidden/>
              </w:rPr>
              <w:tab/>
            </w:r>
            <w:r w:rsidR="00FD58BF">
              <w:rPr>
                <w:noProof/>
                <w:webHidden/>
              </w:rPr>
              <w:fldChar w:fldCharType="begin"/>
            </w:r>
            <w:r w:rsidR="00FD58BF">
              <w:rPr>
                <w:noProof/>
                <w:webHidden/>
              </w:rPr>
              <w:instrText xml:space="preserve"> PAGEREF _Toc178838919 \h </w:instrText>
            </w:r>
            <w:r w:rsidR="00FD58BF">
              <w:rPr>
                <w:noProof/>
                <w:webHidden/>
              </w:rPr>
            </w:r>
            <w:r w:rsidR="00FD58BF">
              <w:rPr>
                <w:noProof/>
                <w:webHidden/>
              </w:rPr>
              <w:fldChar w:fldCharType="separate"/>
            </w:r>
            <w:r w:rsidR="00FD58BF">
              <w:rPr>
                <w:noProof/>
                <w:webHidden/>
              </w:rPr>
              <w:t>1138</w:t>
            </w:r>
            <w:r w:rsidR="00FD58BF">
              <w:rPr>
                <w:noProof/>
                <w:webHidden/>
              </w:rPr>
              <w:fldChar w:fldCharType="end"/>
            </w:r>
          </w:hyperlink>
        </w:p>
        <w:p w14:paraId="77AD466C" w14:textId="732EDB7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0" w:history="1">
            <w:r w:rsidR="00FD58BF" w:rsidRPr="003004E5">
              <w:rPr>
                <w:rStyle w:val="Lienhypertexte"/>
                <w:noProof/>
              </w:rPr>
              <w:t>26.11.2 Feuilles rigides et semi-rigides CCTB 01.02</w:t>
            </w:r>
            <w:r w:rsidR="00FD58BF">
              <w:rPr>
                <w:noProof/>
                <w:webHidden/>
              </w:rPr>
              <w:tab/>
            </w:r>
            <w:r w:rsidR="00FD58BF">
              <w:rPr>
                <w:noProof/>
                <w:webHidden/>
              </w:rPr>
              <w:fldChar w:fldCharType="begin"/>
            </w:r>
            <w:r w:rsidR="00FD58BF">
              <w:rPr>
                <w:noProof/>
                <w:webHidden/>
              </w:rPr>
              <w:instrText xml:space="preserve"> PAGEREF _Toc178838920 \h </w:instrText>
            </w:r>
            <w:r w:rsidR="00FD58BF">
              <w:rPr>
                <w:noProof/>
                <w:webHidden/>
              </w:rPr>
            </w:r>
            <w:r w:rsidR="00FD58BF">
              <w:rPr>
                <w:noProof/>
                <w:webHidden/>
              </w:rPr>
              <w:fldChar w:fldCharType="separate"/>
            </w:r>
            <w:r w:rsidR="00FD58BF">
              <w:rPr>
                <w:noProof/>
                <w:webHidden/>
              </w:rPr>
              <w:t>1140</w:t>
            </w:r>
            <w:r w:rsidR="00FD58BF">
              <w:rPr>
                <w:noProof/>
                <w:webHidden/>
              </w:rPr>
              <w:fldChar w:fldCharType="end"/>
            </w:r>
          </w:hyperlink>
        </w:p>
        <w:p w14:paraId="4D7382B0" w14:textId="215B363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1" w:history="1">
            <w:r w:rsidR="00FD58BF" w:rsidRPr="003004E5">
              <w:rPr>
                <w:rStyle w:val="Lienhypertexte"/>
                <w:noProof/>
              </w:rPr>
              <w:t>26.11.2a Feuilles rigides et semi-rigides CCTB 01.02</w:t>
            </w:r>
            <w:r w:rsidR="00FD58BF">
              <w:rPr>
                <w:noProof/>
                <w:webHidden/>
              </w:rPr>
              <w:tab/>
            </w:r>
            <w:r w:rsidR="00FD58BF">
              <w:rPr>
                <w:noProof/>
                <w:webHidden/>
              </w:rPr>
              <w:fldChar w:fldCharType="begin"/>
            </w:r>
            <w:r w:rsidR="00FD58BF">
              <w:rPr>
                <w:noProof/>
                <w:webHidden/>
              </w:rPr>
              <w:instrText xml:space="preserve"> PAGEREF _Toc178838921 \h </w:instrText>
            </w:r>
            <w:r w:rsidR="00FD58BF">
              <w:rPr>
                <w:noProof/>
                <w:webHidden/>
              </w:rPr>
            </w:r>
            <w:r w:rsidR="00FD58BF">
              <w:rPr>
                <w:noProof/>
                <w:webHidden/>
              </w:rPr>
              <w:fldChar w:fldCharType="separate"/>
            </w:r>
            <w:r w:rsidR="00FD58BF">
              <w:rPr>
                <w:noProof/>
                <w:webHidden/>
              </w:rPr>
              <w:t>1140</w:t>
            </w:r>
            <w:r w:rsidR="00FD58BF">
              <w:rPr>
                <w:noProof/>
                <w:webHidden/>
              </w:rPr>
              <w:fldChar w:fldCharType="end"/>
            </w:r>
          </w:hyperlink>
        </w:p>
        <w:p w14:paraId="636971AD" w14:textId="281E701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22" w:history="1">
            <w:r w:rsidR="00FD58BF" w:rsidRPr="003004E5">
              <w:rPr>
                <w:rStyle w:val="Lienhypertexte"/>
                <w:noProof/>
              </w:rPr>
              <w:t>26.12 Traitements d'étanchéisation CCTB 01.11</w:t>
            </w:r>
            <w:r w:rsidR="00FD58BF">
              <w:rPr>
                <w:noProof/>
                <w:webHidden/>
              </w:rPr>
              <w:tab/>
            </w:r>
            <w:r w:rsidR="00FD58BF">
              <w:rPr>
                <w:noProof/>
                <w:webHidden/>
              </w:rPr>
              <w:fldChar w:fldCharType="begin"/>
            </w:r>
            <w:r w:rsidR="00FD58BF">
              <w:rPr>
                <w:noProof/>
                <w:webHidden/>
              </w:rPr>
              <w:instrText xml:space="preserve"> PAGEREF _Toc178838922 \h </w:instrText>
            </w:r>
            <w:r w:rsidR="00FD58BF">
              <w:rPr>
                <w:noProof/>
                <w:webHidden/>
              </w:rPr>
            </w:r>
            <w:r w:rsidR="00FD58BF">
              <w:rPr>
                <w:noProof/>
                <w:webHidden/>
              </w:rPr>
              <w:fldChar w:fldCharType="separate"/>
            </w:r>
            <w:r w:rsidR="00FD58BF">
              <w:rPr>
                <w:noProof/>
                <w:webHidden/>
              </w:rPr>
              <w:t>1140</w:t>
            </w:r>
            <w:r w:rsidR="00FD58BF">
              <w:rPr>
                <w:noProof/>
                <w:webHidden/>
              </w:rPr>
              <w:fldChar w:fldCharType="end"/>
            </w:r>
          </w:hyperlink>
        </w:p>
        <w:p w14:paraId="5F3AEE96" w14:textId="43F8E9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3" w:history="1">
            <w:r w:rsidR="00FD58BF" w:rsidRPr="003004E5">
              <w:rPr>
                <w:rStyle w:val="Lienhypertexte"/>
                <w:noProof/>
              </w:rPr>
              <w:t>26.12.1 Cimentage CCTB 01.02</w:t>
            </w:r>
            <w:r w:rsidR="00FD58BF">
              <w:rPr>
                <w:noProof/>
                <w:webHidden/>
              </w:rPr>
              <w:tab/>
            </w:r>
            <w:r w:rsidR="00FD58BF">
              <w:rPr>
                <w:noProof/>
                <w:webHidden/>
              </w:rPr>
              <w:fldChar w:fldCharType="begin"/>
            </w:r>
            <w:r w:rsidR="00FD58BF">
              <w:rPr>
                <w:noProof/>
                <w:webHidden/>
              </w:rPr>
              <w:instrText xml:space="preserve"> PAGEREF _Toc178838923 \h </w:instrText>
            </w:r>
            <w:r w:rsidR="00FD58BF">
              <w:rPr>
                <w:noProof/>
                <w:webHidden/>
              </w:rPr>
            </w:r>
            <w:r w:rsidR="00FD58BF">
              <w:rPr>
                <w:noProof/>
                <w:webHidden/>
              </w:rPr>
              <w:fldChar w:fldCharType="separate"/>
            </w:r>
            <w:r w:rsidR="00FD58BF">
              <w:rPr>
                <w:noProof/>
                <w:webHidden/>
              </w:rPr>
              <w:t>1140</w:t>
            </w:r>
            <w:r w:rsidR="00FD58BF">
              <w:rPr>
                <w:noProof/>
                <w:webHidden/>
              </w:rPr>
              <w:fldChar w:fldCharType="end"/>
            </w:r>
          </w:hyperlink>
        </w:p>
        <w:p w14:paraId="72DFCA2E" w14:textId="6935A1C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4" w:history="1">
            <w:r w:rsidR="00FD58BF" w:rsidRPr="003004E5">
              <w:rPr>
                <w:rStyle w:val="Lienhypertexte"/>
                <w:noProof/>
              </w:rPr>
              <w:t>26.12.1a Etanchéité - cimentage CCTB 01.11</w:t>
            </w:r>
            <w:r w:rsidR="00FD58BF">
              <w:rPr>
                <w:noProof/>
                <w:webHidden/>
              </w:rPr>
              <w:tab/>
            </w:r>
            <w:r w:rsidR="00FD58BF">
              <w:rPr>
                <w:noProof/>
                <w:webHidden/>
              </w:rPr>
              <w:fldChar w:fldCharType="begin"/>
            </w:r>
            <w:r w:rsidR="00FD58BF">
              <w:rPr>
                <w:noProof/>
                <w:webHidden/>
              </w:rPr>
              <w:instrText xml:space="preserve"> PAGEREF _Toc178838924 \h </w:instrText>
            </w:r>
            <w:r w:rsidR="00FD58BF">
              <w:rPr>
                <w:noProof/>
                <w:webHidden/>
              </w:rPr>
            </w:r>
            <w:r w:rsidR="00FD58BF">
              <w:rPr>
                <w:noProof/>
                <w:webHidden/>
              </w:rPr>
              <w:fldChar w:fldCharType="separate"/>
            </w:r>
            <w:r w:rsidR="00FD58BF">
              <w:rPr>
                <w:noProof/>
                <w:webHidden/>
              </w:rPr>
              <w:t>1140</w:t>
            </w:r>
            <w:r w:rsidR="00FD58BF">
              <w:rPr>
                <w:noProof/>
                <w:webHidden/>
              </w:rPr>
              <w:fldChar w:fldCharType="end"/>
            </w:r>
          </w:hyperlink>
        </w:p>
        <w:p w14:paraId="0E5C30D0" w14:textId="3916184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5" w:history="1">
            <w:r w:rsidR="00FD58BF" w:rsidRPr="003004E5">
              <w:rPr>
                <w:rStyle w:val="Lienhypertexte"/>
                <w:noProof/>
              </w:rPr>
              <w:t>26.12.2 Badigeonnage CCTB 01.02</w:t>
            </w:r>
            <w:r w:rsidR="00FD58BF">
              <w:rPr>
                <w:noProof/>
                <w:webHidden/>
              </w:rPr>
              <w:tab/>
            </w:r>
            <w:r w:rsidR="00FD58BF">
              <w:rPr>
                <w:noProof/>
                <w:webHidden/>
              </w:rPr>
              <w:fldChar w:fldCharType="begin"/>
            </w:r>
            <w:r w:rsidR="00FD58BF">
              <w:rPr>
                <w:noProof/>
                <w:webHidden/>
              </w:rPr>
              <w:instrText xml:space="preserve"> PAGEREF _Toc178838925 \h </w:instrText>
            </w:r>
            <w:r w:rsidR="00FD58BF">
              <w:rPr>
                <w:noProof/>
                <w:webHidden/>
              </w:rPr>
            </w:r>
            <w:r w:rsidR="00FD58BF">
              <w:rPr>
                <w:noProof/>
                <w:webHidden/>
              </w:rPr>
              <w:fldChar w:fldCharType="separate"/>
            </w:r>
            <w:r w:rsidR="00FD58BF">
              <w:rPr>
                <w:noProof/>
                <w:webHidden/>
              </w:rPr>
              <w:t>1141</w:t>
            </w:r>
            <w:r w:rsidR="00FD58BF">
              <w:rPr>
                <w:noProof/>
                <w:webHidden/>
              </w:rPr>
              <w:fldChar w:fldCharType="end"/>
            </w:r>
          </w:hyperlink>
        </w:p>
        <w:p w14:paraId="01C956D6" w14:textId="09205A1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6" w:history="1">
            <w:r w:rsidR="00FD58BF" w:rsidRPr="003004E5">
              <w:rPr>
                <w:rStyle w:val="Lienhypertexte"/>
                <w:noProof/>
              </w:rPr>
              <w:t>26.12.2a Etanchéité - badigeonnage CCTB 01.11</w:t>
            </w:r>
            <w:r w:rsidR="00FD58BF">
              <w:rPr>
                <w:noProof/>
                <w:webHidden/>
              </w:rPr>
              <w:tab/>
            </w:r>
            <w:r w:rsidR="00FD58BF">
              <w:rPr>
                <w:noProof/>
                <w:webHidden/>
              </w:rPr>
              <w:fldChar w:fldCharType="begin"/>
            </w:r>
            <w:r w:rsidR="00FD58BF">
              <w:rPr>
                <w:noProof/>
                <w:webHidden/>
              </w:rPr>
              <w:instrText xml:space="preserve"> PAGEREF _Toc178838926 \h </w:instrText>
            </w:r>
            <w:r w:rsidR="00FD58BF">
              <w:rPr>
                <w:noProof/>
                <w:webHidden/>
              </w:rPr>
            </w:r>
            <w:r w:rsidR="00FD58BF">
              <w:rPr>
                <w:noProof/>
                <w:webHidden/>
              </w:rPr>
              <w:fldChar w:fldCharType="separate"/>
            </w:r>
            <w:r w:rsidR="00FD58BF">
              <w:rPr>
                <w:noProof/>
                <w:webHidden/>
              </w:rPr>
              <w:t>1141</w:t>
            </w:r>
            <w:r w:rsidR="00FD58BF">
              <w:rPr>
                <w:noProof/>
                <w:webHidden/>
              </w:rPr>
              <w:fldChar w:fldCharType="end"/>
            </w:r>
          </w:hyperlink>
        </w:p>
        <w:p w14:paraId="2414F6DB" w14:textId="369D7A2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7" w:history="1">
            <w:r w:rsidR="00FD58BF" w:rsidRPr="003004E5">
              <w:rPr>
                <w:rStyle w:val="Lienhypertexte"/>
                <w:noProof/>
              </w:rPr>
              <w:t>26.12.3 Cuvelages extérieurs CCTB 01.11</w:t>
            </w:r>
            <w:r w:rsidR="00FD58BF">
              <w:rPr>
                <w:noProof/>
                <w:webHidden/>
              </w:rPr>
              <w:tab/>
            </w:r>
            <w:r w:rsidR="00FD58BF">
              <w:rPr>
                <w:noProof/>
                <w:webHidden/>
              </w:rPr>
              <w:fldChar w:fldCharType="begin"/>
            </w:r>
            <w:r w:rsidR="00FD58BF">
              <w:rPr>
                <w:noProof/>
                <w:webHidden/>
              </w:rPr>
              <w:instrText xml:space="preserve"> PAGEREF _Toc178838927 \h </w:instrText>
            </w:r>
            <w:r w:rsidR="00FD58BF">
              <w:rPr>
                <w:noProof/>
                <w:webHidden/>
              </w:rPr>
            </w:r>
            <w:r w:rsidR="00FD58BF">
              <w:rPr>
                <w:noProof/>
                <w:webHidden/>
              </w:rPr>
              <w:fldChar w:fldCharType="separate"/>
            </w:r>
            <w:r w:rsidR="00FD58BF">
              <w:rPr>
                <w:noProof/>
                <w:webHidden/>
              </w:rPr>
              <w:t>1141</w:t>
            </w:r>
            <w:r w:rsidR="00FD58BF">
              <w:rPr>
                <w:noProof/>
                <w:webHidden/>
              </w:rPr>
              <w:fldChar w:fldCharType="end"/>
            </w:r>
          </w:hyperlink>
        </w:p>
        <w:p w14:paraId="534F025B" w14:textId="778AED3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8" w:history="1">
            <w:r w:rsidR="00FD58BF" w:rsidRPr="003004E5">
              <w:rPr>
                <w:rStyle w:val="Lienhypertexte"/>
                <w:noProof/>
              </w:rPr>
              <w:t>26.12.3a Cuvelage / ciment modifié CCTB 01.11</w:t>
            </w:r>
            <w:r w:rsidR="00FD58BF">
              <w:rPr>
                <w:noProof/>
                <w:webHidden/>
              </w:rPr>
              <w:tab/>
            </w:r>
            <w:r w:rsidR="00FD58BF">
              <w:rPr>
                <w:noProof/>
                <w:webHidden/>
              </w:rPr>
              <w:fldChar w:fldCharType="begin"/>
            </w:r>
            <w:r w:rsidR="00FD58BF">
              <w:rPr>
                <w:noProof/>
                <w:webHidden/>
              </w:rPr>
              <w:instrText xml:space="preserve"> PAGEREF _Toc178838928 \h </w:instrText>
            </w:r>
            <w:r w:rsidR="00FD58BF">
              <w:rPr>
                <w:noProof/>
                <w:webHidden/>
              </w:rPr>
            </w:r>
            <w:r w:rsidR="00FD58BF">
              <w:rPr>
                <w:noProof/>
                <w:webHidden/>
              </w:rPr>
              <w:fldChar w:fldCharType="separate"/>
            </w:r>
            <w:r w:rsidR="00FD58BF">
              <w:rPr>
                <w:noProof/>
                <w:webHidden/>
              </w:rPr>
              <w:t>1142</w:t>
            </w:r>
            <w:r w:rsidR="00FD58BF">
              <w:rPr>
                <w:noProof/>
                <w:webHidden/>
              </w:rPr>
              <w:fldChar w:fldCharType="end"/>
            </w:r>
          </w:hyperlink>
        </w:p>
        <w:p w14:paraId="191A42E4" w14:textId="2217B41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9" w:history="1">
            <w:r w:rsidR="00FD58BF" w:rsidRPr="003004E5">
              <w:rPr>
                <w:rStyle w:val="Lienhypertexte"/>
                <w:noProof/>
              </w:rPr>
              <w:t>26.12.3b Cuvelage / émulsion bitumineuse CCTB 01.02</w:t>
            </w:r>
            <w:r w:rsidR="00FD58BF">
              <w:rPr>
                <w:noProof/>
                <w:webHidden/>
              </w:rPr>
              <w:tab/>
            </w:r>
            <w:r w:rsidR="00FD58BF">
              <w:rPr>
                <w:noProof/>
                <w:webHidden/>
              </w:rPr>
              <w:fldChar w:fldCharType="begin"/>
            </w:r>
            <w:r w:rsidR="00FD58BF">
              <w:rPr>
                <w:noProof/>
                <w:webHidden/>
              </w:rPr>
              <w:instrText xml:space="preserve"> PAGEREF _Toc178838929 \h </w:instrText>
            </w:r>
            <w:r w:rsidR="00FD58BF">
              <w:rPr>
                <w:noProof/>
                <w:webHidden/>
              </w:rPr>
            </w:r>
            <w:r w:rsidR="00FD58BF">
              <w:rPr>
                <w:noProof/>
                <w:webHidden/>
              </w:rPr>
              <w:fldChar w:fldCharType="separate"/>
            </w:r>
            <w:r w:rsidR="00FD58BF">
              <w:rPr>
                <w:noProof/>
                <w:webHidden/>
              </w:rPr>
              <w:t>1143</w:t>
            </w:r>
            <w:r w:rsidR="00FD58BF">
              <w:rPr>
                <w:noProof/>
                <w:webHidden/>
              </w:rPr>
              <w:fldChar w:fldCharType="end"/>
            </w:r>
          </w:hyperlink>
        </w:p>
        <w:p w14:paraId="1F84D289" w14:textId="1C51CB5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0" w:history="1">
            <w:r w:rsidR="00FD58BF" w:rsidRPr="003004E5">
              <w:rPr>
                <w:rStyle w:val="Lienhypertexte"/>
                <w:noProof/>
              </w:rPr>
              <w:t>26.12.4 Cuvelages intérieurs CCTB 01.02</w:t>
            </w:r>
            <w:r w:rsidR="00FD58BF">
              <w:rPr>
                <w:noProof/>
                <w:webHidden/>
              </w:rPr>
              <w:tab/>
            </w:r>
            <w:r w:rsidR="00FD58BF">
              <w:rPr>
                <w:noProof/>
                <w:webHidden/>
              </w:rPr>
              <w:fldChar w:fldCharType="begin"/>
            </w:r>
            <w:r w:rsidR="00FD58BF">
              <w:rPr>
                <w:noProof/>
                <w:webHidden/>
              </w:rPr>
              <w:instrText xml:space="preserve"> PAGEREF _Toc178838930 \h </w:instrText>
            </w:r>
            <w:r w:rsidR="00FD58BF">
              <w:rPr>
                <w:noProof/>
                <w:webHidden/>
              </w:rPr>
            </w:r>
            <w:r w:rsidR="00FD58BF">
              <w:rPr>
                <w:noProof/>
                <w:webHidden/>
              </w:rPr>
              <w:fldChar w:fldCharType="separate"/>
            </w:r>
            <w:r w:rsidR="00FD58BF">
              <w:rPr>
                <w:noProof/>
                <w:webHidden/>
              </w:rPr>
              <w:t>1143</w:t>
            </w:r>
            <w:r w:rsidR="00FD58BF">
              <w:rPr>
                <w:noProof/>
                <w:webHidden/>
              </w:rPr>
              <w:fldChar w:fldCharType="end"/>
            </w:r>
          </w:hyperlink>
        </w:p>
        <w:p w14:paraId="458DA3F7" w14:textId="566C69E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1" w:history="1">
            <w:r w:rsidR="00FD58BF" w:rsidRPr="003004E5">
              <w:rPr>
                <w:rStyle w:val="Lienhypertexte"/>
                <w:noProof/>
              </w:rPr>
              <w:t>26.12.4a Cuvelages intérieurs CCTB 01.11</w:t>
            </w:r>
            <w:r w:rsidR="00FD58BF">
              <w:rPr>
                <w:noProof/>
                <w:webHidden/>
              </w:rPr>
              <w:tab/>
            </w:r>
            <w:r w:rsidR="00FD58BF">
              <w:rPr>
                <w:noProof/>
                <w:webHidden/>
              </w:rPr>
              <w:fldChar w:fldCharType="begin"/>
            </w:r>
            <w:r w:rsidR="00FD58BF">
              <w:rPr>
                <w:noProof/>
                <w:webHidden/>
              </w:rPr>
              <w:instrText xml:space="preserve"> PAGEREF _Toc178838931 \h </w:instrText>
            </w:r>
            <w:r w:rsidR="00FD58BF">
              <w:rPr>
                <w:noProof/>
                <w:webHidden/>
              </w:rPr>
            </w:r>
            <w:r w:rsidR="00FD58BF">
              <w:rPr>
                <w:noProof/>
                <w:webHidden/>
              </w:rPr>
              <w:fldChar w:fldCharType="separate"/>
            </w:r>
            <w:r w:rsidR="00FD58BF">
              <w:rPr>
                <w:noProof/>
                <w:webHidden/>
              </w:rPr>
              <w:t>1143</w:t>
            </w:r>
            <w:r w:rsidR="00FD58BF">
              <w:rPr>
                <w:noProof/>
                <w:webHidden/>
              </w:rPr>
              <w:fldChar w:fldCharType="end"/>
            </w:r>
          </w:hyperlink>
        </w:p>
        <w:p w14:paraId="65D81E88" w14:textId="064B746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2" w:history="1">
            <w:r w:rsidR="00FD58BF" w:rsidRPr="003004E5">
              <w:rPr>
                <w:rStyle w:val="Lienhypertexte"/>
                <w:noProof/>
              </w:rPr>
              <w:t>26.12.5 Traitements d'étanchéisation par injection CCTB 01.11</w:t>
            </w:r>
            <w:r w:rsidR="00FD58BF">
              <w:rPr>
                <w:noProof/>
                <w:webHidden/>
              </w:rPr>
              <w:tab/>
            </w:r>
            <w:r w:rsidR="00FD58BF">
              <w:rPr>
                <w:noProof/>
                <w:webHidden/>
              </w:rPr>
              <w:fldChar w:fldCharType="begin"/>
            </w:r>
            <w:r w:rsidR="00FD58BF">
              <w:rPr>
                <w:noProof/>
                <w:webHidden/>
              </w:rPr>
              <w:instrText xml:space="preserve"> PAGEREF _Toc178838932 \h </w:instrText>
            </w:r>
            <w:r w:rsidR="00FD58BF">
              <w:rPr>
                <w:noProof/>
                <w:webHidden/>
              </w:rPr>
            </w:r>
            <w:r w:rsidR="00FD58BF">
              <w:rPr>
                <w:noProof/>
                <w:webHidden/>
              </w:rPr>
              <w:fldChar w:fldCharType="separate"/>
            </w:r>
            <w:r w:rsidR="00FD58BF">
              <w:rPr>
                <w:noProof/>
                <w:webHidden/>
              </w:rPr>
              <w:t>1146</w:t>
            </w:r>
            <w:r w:rsidR="00FD58BF">
              <w:rPr>
                <w:noProof/>
                <w:webHidden/>
              </w:rPr>
              <w:fldChar w:fldCharType="end"/>
            </w:r>
          </w:hyperlink>
        </w:p>
        <w:p w14:paraId="2F184583" w14:textId="7AE7882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3" w:history="1">
            <w:r w:rsidR="00FD58BF" w:rsidRPr="003004E5">
              <w:rPr>
                <w:rStyle w:val="Lienhypertexte"/>
                <w:noProof/>
              </w:rPr>
              <w:t>26.12.5a Etanchéisation d'éléments - Injections au polyuréthane CCTB 01.04</w:t>
            </w:r>
            <w:r w:rsidR="00FD58BF">
              <w:rPr>
                <w:noProof/>
                <w:webHidden/>
              </w:rPr>
              <w:tab/>
            </w:r>
            <w:r w:rsidR="00FD58BF">
              <w:rPr>
                <w:noProof/>
                <w:webHidden/>
              </w:rPr>
              <w:fldChar w:fldCharType="begin"/>
            </w:r>
            <w:r w:rsidR="00FD58BF">
              <w:rPr>
                <w:noProof/>
                <w:webHidden/>
              </w:rPr>
              <w:instrText xml:space="preserve"> PAGEREF _Toc178838933 \h </w:instrText>
            </w:r>
            <w:r w:rsidR="00FD58BF">
              <w:rPr>
                <w:noProof/>
                <w:webHidden/>
              </w:rPr>
            </w:r>
            <w:r w:rsidR="00FD58BF">
              <w:rPr>
                <w:noProof/>
                <w:webHidden/>
              </w:rPr>
              <w:fldChar w:fldCharType="separate"/>
            </w:r>
            <w:r w:rsidR="00FD58BF">
              <w:rPr>
                <w:noProof/>
                <w:webHidden/>
              </w:rPr>
              <w:t>1148</w:t>
            </w:r>
            <w:r w:rsidR="00FD58BF">
              <w:rPr>
                <w:noProof/>
                <w:webHidden/>
              </w:rPr>
              <w:fldChar w:fldCharType="end"/>
            </w:r>
          </w:hyperlink>
        </w:p>
        <w:p w14:paraId="512F80F7" w14:textId="2769C84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4" w:history="1">
            <w:r w:rsidR="00FD58BF" w:rsidRPr="003004E5">
              <w:rPr>
                <w:rStyle w:val="Lienhypertexte"/>
                <w:noProof/>
              </w:rPr>
              <w:t>26.12.5b Etanchéisation d'éléments - Injections aux résines époxy à deux composants CCTB 01.11</w:t>
            </w:r>
            <w:r w:rsidR="00FD58BF">
              <w:rPr>
                <w:noProof/>
                <w:webHidden/>
              </w:rPr>
              <w:tab/>
            </w:r>
            <w:r w:rsidR="00FD58BF">
              <w:rPr>
                <w:noProof/>
                <w:webHidden/>
              </w:rPr>
              <w:fldChar w:fldCharType="begin"/>
            </w:r>
            <w:r w:rsidR="00FD58BF">
              <w:rPr>
                <w:noProof/>
                <w:webHidden/>
              </w:rPr>
              <w:instrText xml:space="preserve"> PAGEREF _Toc178838934 \h </w:instrText>
            </w:r>
            <w:r w:rsidR="00FD58BF">
              <w:rPr>
                <w:noProof/>
                <w:webHidden/>
              </w:rPr>
            </w:r>
            <w:r w:rsidR="00FD58BF">
              <w:rPr>
                <w:noProof/>
                <w:webHidden/>
              </w:rPr>
              <w:fldChar w:fldCharType="separate"/>
            </w:r>
            <w:r w:rsidR="00FD58BF">
              <w:rPr>
                <w:noProof/>
                <w:webHidden/>
              </w:rPr>
              <w:t>1148</w:t>
            </w:r>
            <w:r w:rsidR="00FD58BF">
              <w:rPr>
                <w:noProof/>
                <w:webHidden/>
              </w:rPr>
              <w:fldChar w:fldCharType="end"/>
            </w:r>
          </w:hyperlink>
        </w:p>
        <w:p w14:paraId="26735D6C" w14:textId="4CACB33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5" w:history="1">
            <w:r w:rsidR="00FD58BF" w:rsidRPr="003004E5">
              <w:rPr>
                <w:rStyle w:val="Lienhypertexte"/>
                <w:noProof/>
              </w:rPr>
              <w:t>26.12.5c Etanchéisation d'éléments - Injections au silicate CCTB 01.04</w:t>
            </w:r>
            <w:r w:rsidR="00FD58BF">
              <w:rPr>
                <w:noProof/>
                <w:webHidden/>
              </w:rPr>
              <w:tab/>
            </w:r>
            <w:r w:rsidR="00FD58BF">
              <w:rPr>
                <w:noProof/>
                <w:webHidden/>
              </w:rPr>
              <w:fldChar w:fldCharType="begin"/>
            </w:r>
            <w:r w:rsidR="00FD58BF">
              <w:rPr>
                <w:noProof/>
                <w:webHidden/>
              </w:rPr>
              <w:instrText xml:space="preserve"> PAGEREF _Toc178838935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32D3BBF8" w14:textId="44AA45B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6" w:history="1">
            <w:r w:rsidR="00FD58BF" w:rsidRPr="003004E5">
              <w:rPr>
                <w:rStyle w:val="Lienhypertexte"/>
                <w:noProof/>
              </w:rPr>
              <w:t>26.12.5d Etanchéisation d'éléments - Injections à deux composants vinyliques CCTB 01.04</w:t>
            </w:r>
            <w:r w:rsidR="00FD58BF">
              <w:rPr>
                <w:noProof/>
                <w:webHidden/>
              </w:rPr>
              <w:tab/>
            </w:r>
            <w:r w:rsidR="00FD58BF">
              <w:rPr>
                <w:noProof/>
                <w:webHidden/>
              </w:rPr>
              <w:fldChar w:fldCharType="begin"/>
            </w:r>
            <w:r w:rsidR="00FD58BF">
              <w:rPr>
                <w:noProof/>
                <w:webHidden/>
              </w:rPr>
              <w:instrText xml:space="preserve"> PAGEREF _Toc178838936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7FDEFAB9" w14:textId="4796808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37" w:history="1">
            <w:r w:rsidR="00FD58BF" w:rsidRPr="003004E5">
              <w:rPr>
                <w:rStyle w:val="Lienhypertexte"/>
                <w:noProof/>
              </w:rPr>
              <w:t>26.13 Traitements d'imperméabilisation CCTB 01.02</w:t>
            </w:r>
            <w:r w:rsidR="00FD58BF">
              <w:rPr>
                <w:noProof/>
                <w:webHidden/>
              </w:rPr>
              <w:tab/>
            </w:r>
            <w:r w:rsidR="00FD58BF">
              <w:rPr>
                <w:noProof/>
                <w:webHidden/>
              </w:rPr>
              <w:fldChar w:fldCharType="begin"/>
            </w:r>
            <w:r w:rsidR="00FD58BF">
              <w:rPr>
                <w:noProof/>
                <w:webHidden/>
              </w:rPr>
              <w:instrText xml:space="preserve"> PAGEREF _Toc178838937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28457F0C" w14:textId="22D00A4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8" w:history="1">
            <w:r w:rsidR="00FD58BF" w:rsidRPr="003004E5">
              <w:rPr>
                <w:rStyle w:val="Lienhypertexte"/>
                <w:noProof/>
              </w:rPr>
              <w:t>26.13.1 Traitements d'imperméabilisation par injection CCTB 01.02</w:t>
            </w:r>
            <w:r w:rsidR="00FD58BF">
              <w:rPr>
                <w:noProof/>
                <w:webHidden/>
              </w:rPr>
              <w:tab/>
            </w:r>
            <w:r w:rsidR="00FD58BF">
              <w:rPr>
                <w:noProof/>
                <w:webHidden/>
              </w:rPr>
              <w:fldChar w:fldCharType="begin"/>
            </w:r>
            <w:r w:rsidR="00FD58BF">
              <w:rPr>
                <w:noProof/>
                <w:webHidden/>
              </w:rPr>
              <w:instrText xml:space="preserve"> PAGEREF _Toc178838938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0D27C24F" w14:textId="388A9D3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9" w:history="1">
            <w:r w:rsidR="00FD58BF" w:rsidRPr="003004E5">
              <w:rPr>
                <w:rStyle w:val="Lienhypertexte"/>
                <w:noProof/>
              </w:rPr>
              <w:t>26.13.1a Traitements d'imperméabilisation par injection CCTB 01.02</w:t>
            </w:r>
            <w:r w:rsidR="00FD58BF">
              <w:rPr>
                <w:noProof/>
                <w:webHidden/>
              </w:rPr>
              <w:tab/>
            </w:r>
            <w:r w:rsidR="00FD58BF">
              <w:rPr>
                <w:noProof/>
                <w:webHidden/>
              </w:rPr>
              <w:fldChar w:fldCharType="begin"/>
            </w:r>
            <w:r w:rsidR="00FD58BF">
              <w:rPr>
                <w:noProof/>
                <w:webHidden/>
              </w:rPr>
              <w:instrText xml:space="preserve"> PAGEREF _Toc178838939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49560719" w14:textId="554657C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40" w:history="1">
            <w:r w:rsidR="00FD58BF" w:rsidRPr="003004E5">
              <w:rPr>
                <w:rStyle w:val="Lienhypertexte"/>
                <w:noProof/>
              </w:rPr>
              <w:t>26.14 Systèmes étanches CCTB 01.02</w:t>
            </w:r>
            <w:r w:rsidR="00FD58BF">
              <w:rPr>
                <w:noProof/>
                <w:webHidden/>
              </w:rPr>
              <w:tab/>
            </w:r>
            <w:r w:rsidR="00FD58BF">
              <w:rPr>
                <w:noProof/>
                <w:webHidden/>
              </w:rPr>
              <w:fldChar w:fldCharType="begin"/>
            </w:r>
            <w:r w:rsidR="00FD58BF">
              <w:rPr>
                <w:noProof/>
                <w:webHidden/>
              </w:rPr>
              <w:instrText xml:space="preserve"> PAGEREF _Toc178838940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045B1EFB" w14:textId="1E19682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1" w:history="1">
            <w:r w:rsidR="00FD58BF" w:rsidRPr="003004E5">
              <w:rPr>
                <w:rStyle w:val="Lienhypertexte"/>
                <w:noProof/>
              </w:rPr>
              <w:t>26.14.1 Joints étanches CCTB 01.02</w:t>
            </w:r>
            <w:r w:rsidR="00FD58BF">
              <w:rPr>
                <w:noProof/>
                <w:webHidden/>
              </w:rPr>
              <w:tab/>
            </w:r>
            <w:r w:rsidR="00FD58BF">
              <w:rPr>
                <w:noProof/>
                <w:webHidden/>
              </w:rPr>
              <w:fldChar w:fldCharType="begin"/>
            </w:r>
            <w:r w:rsidR="00FD58BF">
              <w:rPr>
                <w:noProof/>
                <w:webHidden/>
              </w:rPr>
              <w:instrText xml:space="preserve"> PAGEREF _Toc178838941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36C02EF1" w14:textId="3C91734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2" w:history="1">
            <w:r w:rsidR="00FD58BF" w:rsidRPr="003004E5">
              <w:rPr>
                <w:rStyle w:val="Lienhypertexte"/>
                <w:noProof/>
              </w:rPr>
              <w:t>26.14.1a Joints étanches CCTB 01.02</w:t>
            </w:r>
            <w:r w:rsidR="00FD58BF">
              <w:rPr>
                <w:noProof/>
                <w:webHidden/>
              </w:rPr>
              <w:tab/>
            </w:r>
            <w:r w:rsidR="00FD58BF">
              <w:rPr>
                <w:noProof/>
                <w:webHidden/>
              </w:rPr>
              <w:fldChar w:fldCharType="begin"/>
            </w:r>
            <w:r w:rsidR="00FD58BF">
              <w:rPr>
                <w:noProof/>
                <w:webHidden/>
              </w:rPr>
              <w:instrText xml:space="preserve"> PAGEREF _Toc178838942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05D5B064" w14:textId="046E691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3" w:history="1">
            <w:r w:rsidR="00FD58BF" w:rsidRPr="003004E5">
              <w:rPr>
                <w:rStyle w:val="Lienhypertexte"/>
                <w:noProof/>
              </w:rPr>
              <w:t>26.14.2 Percements étanches (interaction avec autres tomes T1, T7) CCTB 01.02</w:t>
            </w:r>
            <w:r w:rsidR="00FD58BF">
              <w:rPr>
                <w:noProof/>
                <w:webHidden/>
              </w:rPr>
              <w:tab/>
            </w:r>
            <w:r w:rsidR="00FD58BF">
              <w:rPr>
                <w:noProof/>
                <w:webHidden/>
              </w:rPr>
              <w:fldChar w:fldCharType="begin"/>
            </w:r>
            <w:r w:rsidR="00FD58BF">
              <w:rPr>
                <w:noProof/>
                <w:webHidden/>
              </w:rPr>
              <w:instrText xml:space="preserve"> PAGEREF _Toc178838943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71DCA1D3" w14:textId="5D448E1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4" w:history="1">
            <w:r w:rsidR="00FD58BF" w:rsidRPr="003004E5">
              <w:rPr>
                <w:rStyle w:val="Lienhypertexte"/>
                <w:noProof/>
              </w:rPr>
              <w:t>26.14.2a Modules de raccordement CCTB 01.02</w:t>
            </w:r>
            <w:r w:rsidR="00FD58BF">
              <w:rPr>
                <w:noProof/>
                <w:webHidden/>
              </w:rPr>
              <w:tab/>
            </w:r>
            <w:r w:rsidR="00FD58BF">
              <w:rPr>
                <w:noProof/>
                <w:webHidden/>
              </w:rPr>
              <w:fldChar w:fldCharType="begin"/>
            </w:r>
            <w:r w:rsidR="00FD58BF">
              <w:rPr>
                <w:noProof/>
                <w:webHidden/>
              </w:rPr>
              <w:instrText xml:space="preserve"> PAGEREF _Toc178838944 \h </w:instrText>
            </w:r>
            <w:r w:rsidR="00FD58BF">
              <w:rPr>
                <w:noProof/>
                <w:webHidden/>
              </w:rPr>
            </w:r>
            <w:r w:rsidR="00FD58BF">
              <w:rPr>
                <w:noProof/>
                <w:webHidden/>
              </w:rPr>
              <w:fldChar w:fldCharType="separate"/>
            </w:r>
            <w:r w:rsidR="00FD58BF">
              <w:rPr>
                <w:noProof/>
                <w:webHidden/>
              </w:rPr>
              <w:t>1149</w:t>
            </w:r>
            <w:r w:rsidR="00FD58BF">
              <w:rPr>
                <w:noProof/>
                <w:webHidden/>
              </w:rPr>
              <w:fldChar w:fldCharType="end"/>
            </w:r>
          </w:hyperlink>
        </w:p>
        <w:p w14:paraId="38391004" w14:textId="69B21D1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45" w:history="1">
            <w:r w:rsidR="00FD58BF" w:rsidRPr="003004E5">
              <w:rPr>
                <w:rStyle w:val="Lienhypertexte"/>
                <w:noProof/>
              </w:rPr>
              <w:t>26.15 Etanchéisation de joints CCTB 01.02</w:t>
            </w:r>
            <w:r w:rsidR="00FD58BF">
              <w:rPr>
                <w:noProof/>
                <w:webHidden/>
              </w:rPr>
              <w:tab/>
            </w:r>
            <w:r w:rsidR="00FD58BF">
              <w:rPr>
                <w:noProof/>
                <w:webHidden/>
              </w:rPr>
              <w:fldChar w:fldCharType="begin"/>
            </w:r>
            <w:r w:rsidR="00FD58BF">
              <w:rPr>
                <w:noProof/>
                <w:webHidden/>
              </w:rPr>
              <w:instrText xml:space="preserve"> PAGEREF _Toc178838945 \h </w:instrText>
            </w:r>
            <w:r w:rsidR="00FD58BF">
              <w:rPr>
                <w:noProof/>
                <w:webHidden/>
              </w:rPr>
            </w:r>
            <w:r w:rsidR="00FD58BF">
              <w:rPr>
                <w:noProof/>
                <w:webHidden/>
              </w:rPr>
              <w:fldChar w:fldCharType="separate"/>
            </w:r>
            <w:r w:rsidR="00FD58BF">
              <w:rPr>
                <w:noProof/>
                <w:webHidden/>
              </w:rPr>
              <w:t>1150</w:t>
            </w:r>
            <w:r w:rsidR="00FD58BF">
              <w:rPr>
                <w:noProof/>
                <w:webHidden/>
              </w:rPr>
              <w:fldChar w:fldCharType="end"/>
            </w:r>
          </w:hyperlink>
        </w:p>
        <w:p w14:paraId="002846BE" w14:textId="4D44B74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46" w:history="1">
            <w:r w:rsidR="00FD58BF" w:rsidRPr="003004E5">
              <w:rPr>
                <w:rStyle w:val="Lienhypertexte"/>
                <w:noProof/>
              </w:rPr>
              <w:t>26.16 Systèmes de drainage CCTB 01.02</w:t>
            </w:r>
            <w:r w:rsidR="00FD58BF">
              <w:rPr>
                <w:noProof/>
                <w:webHidden/>
              </w:rPr>
              <w:tab/>
            </w:r>
            <w:r w:rsidR="00FD58BF">
              <w:rPr>
                <w:noProof/>
                <w:webHidden/>
              </w:rPr>
              <w:fldChar w:fldCharType="begin"/>
            </w:r>
            <w:r w:rsidR="00FD58BF">
              <w:rPr>
                <w:noProof/>
                <w:webHidden/>
              </w:rPr>
              <w:instrText xml:space="preserve"> PAGEREF _Toc178838946 \h </w:instrText>
            </w:r>
            <w:r w:rsidR="00FD58BF">
              <w:rPr>
                <w:noProof/>
                <w:webHidden/>
              </w:rPr>
            </w:r>
            <w:r w:rsidR="00FD58BF">
              <w:rPr>
                <w:noProof/>
                <w:webHidden/>
              </w:rPr>
              <w:fldChar w:fldCharType="separate"/>
            </w:r>
            <w:r w:rsidR="00FD58BF">
              <w:rPr>
                <w:noProof/>
                <w:webHidden/>
              </w:rPr>
              <w:t>1150</w:t>
            </w:r>
            <w:r w:rsidR="00FD58BF">
              <w:rPr>
                <w:noProof/>
                <w:webHidden/>
              </w:rPr>
              <w:fldChar w:fldCharType="end"/>
            </w:r>
          </w:hyperlink>
        </w:p>
        <w:p w14:paraId="242E9FF9" w14:textId="5C52E55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7" w:history="1">
            <w:r w:rsidR="00FD58BF" w:rsidRPr="003004E5">
              <w:rPr>
                <w:rStyle w:val="Lienhypertexte"/>
                <w:noProof/>
              </w:rPr>
              <w:t>26.16.1 Système de drainage des murs enterrés CCTB 01.04</w:t>
            </w:r>
            <w:r w:rsidR="00FD58BF">
              <w:rPr>
                <w:noProof/>
                <w:webHidden/>
              </w:rPr>
              <w:tab/>
            </w:r>
            <w:r w:rsidR="00FD58BF">
              <w:rPr>
                <w:noProof/>
                <w:webHidden/>
              </w:rPr>
              <w:fldChar w:fldCharType="begin"/>
            </w:r>
            <w:r w:rsidR="00FD58BF">
              <w:rPr>
                <w:noProof/>
                <w:webHidden/>
              </w:rPr>
              <w:instrText xml:space="preserve"> PAGEREF _Toc178838947 \h </w:instrText>
            </w:r>
            <w:r w:rsidR="00FD58BF">
              <w:rPr>
                <w:noProof/>
                <w:webHidden/>
              </w:rPr>
            </w:r>
            <w:r w:rsidR="00FD58BF">
              <w:rPr>
                <w:noProof/>
                <w:webHidden/>
              </w:rPr>
              <w:fldChar w:fldCharType="separate"/>
            </w:r>
            <w:r w:rsidR="00FD58BF">
              <w:rPr>
                <w:noProof/>
                <w:webHidden/>
              </w:rPr>
              <w:t>1150</w:t>
            </w:r>
            <w:r w:rsidR="00FD58BF">
              <w:rPr>
                <w:noProof/>
                <w:webHidden/>
              </w:rPr>
              <w:fldChar w:fldCharType="end"/>
            </w:r>
          </w:hyperlink>
        </w:p>
        <w:p w14:paraId="2BBBC8BC" w14:textId="14B342E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8" w:history="1">
            <w:r w:rsidR="00FD58BF" w:rsidRPr="003004E5">
              <w:rPr>
                <w:rStyle w:val="Lienhypertexte"/>
                <w:noProof/>
              </w:rPr>
              <w:t>26.16.1a Couches d'étanchéité - Revêtement mural drainant CCTB 01.02</w:t>
            </w:r>
            <w:r w:rsidR="00FD58BF">
              <w:rPr>
                <w:noProof/>
                <w:webHidden/>
              </w:rPr>
              <w:tab/>
            </w:r>
            <w:r w:rsidR="00FD58BF">
              <w:rPr>
                <w:noProof/>
                <w:webHidden/>
              </w:rPr>
              <w:fldChar w:fldCharType="begin"/>
            </w:r>
            <w:r w:rsidR="00FD58BF">
              <w:rPr>
                <w:noProof/>
                <w:webHidden/>
              </w:rPr>
              <w:instrText xml:space="preserve"> PAGEREF _Toc178838948 \h </w:instrText>
            </w:r>
            <w:r w:rsidR="00FD58BF">
              <w:rPr>
                <w:noProof/>
                <w:webHidden/>
              </w:rPr>
            </w:r>
            <w:r w:rsidR="00FD58BF">
              <w:rPr>
                <w:noProof/>
                <w:webHidden/>
              </w:rPr>
              <w:fldChar w:fldCharType="separate"/>
            </w:r>
            <w:r w:rsidR="00FD58BF">
              <w:rPr>
                <w:noProof/>
                <w:webHidden/>
              </w:rPr>
              <w:t>1150</w:t>
            </w:r>
            <w:r w:rsidR="00FD58BF">
              <w:rPr>
                <w:noProof/>
                <w:webHidden/>
              </w:rPr>
              <w:fldChar w:fldCharType="end"/>
            </w:r>
          </w:hyperlink>
        </w:p>
        <w:p w14:paraId="5E109BC7" w14:textId="535F2B6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49" w:history="1">
            <w:r w:rsidR="00FD58BF" w:rsidRPr="003004E5">
              <w:rPr>
                <w:rStyle w:val="Lienhypertexte"/>
                <w:noProof/>
              </w:rPr>
              <w:t>26.17 Joints CCTB 01.02</w:t>
            </w:r>
            <w:r w:rsidR="00FD58BF">
              <w:rPr>
                <w:noProof/>
                <w:webHidden/>
              </w:rPr>
              <w:tab/>
            </w:r>
            <w:r w:rsidR="00FD58BF">
              <w:rPr>
                <w:noProof/>
                <w:webHidden/>
              </w:rPr>
              <w:fldChar w:fldCharType="begin"/>
            </w:r>
            <w:r w:rsidR="00FD58BF">
              <w:rPr>
                <w:noProof/>
                <w:webHidden/>
              </w:rPr>
              <w:instrText xml:space="preserve"> PAGEREF _Toc178838949 \h </w:instrText>
            </w:r>
            <w:r w:rsidR="00FD58BF">
              <w:rPr>
                <w:noProof/>
                <w:webHidden/>
              </w:rPr>
            </w:r>
            <w:r w:rsidR="00FD58BF">
              <w:rPr>
                <w:noProof/>
                <w:webHidden/>
              </w:rPr>
              <w:fldChar w:fldCharType="separate"/>
            </w:r>
            <w:r w:rsidR="00FD58BF">
              <w:rPr>
                <w:noProof/>
                <w:webHidden/>
              </w:rPr>
              <w:t>1150</w:t>
            </w:r>
            <w:r w:rsidR="00FD58BF">
              <w:rPr>
                <w:noProof/>
                <w:webHidden/>
              </w:rPr>
              <w:fldChar w:fldCharType="end"/>
            </w:r>
          </w:hyperlink>
        </w:p>
        <w:p w14:paraId="3E350612" w14:textId="6AC25D2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0" w:history="1">
            <w:r w:rsidR="00FD58BF" w:rsidRPr="003004E5">
              <w:rPr>
                <w:rStyle w:val="Lienhypertexte"/>
                <w:noProof/>
              </w:rPr>
              <w:t>26.17.1 Joints de resserrage CCTB 01.02</w:t>
            </w:r>
            <w:r w:rsidR="00FD58BF">
              <w:rPr>
                <w:noProof/>
                <w:webHidden/>
              </w:rPr>
              <w:tab/>
            </w:r>
            <w:r w:rsidR="00FD58BF">
              <w:rPr>
                <w:noProof/>
                <w:webHidden/>
              </w:rPr>
              <w:fldChar w:fldCharType="begin"/>
            </w:r>
            <w:r w:rsidR="00FD58BF">
              <w:rPr>
                <w:noProof/>
                <w:webHidden/>
              </w:rPr>
              <w:instrText xml:space="preserve"> PAGEREF _Toc178838950 \h </w:instrText>
            </w:r>
            <w:r w:rsidR="00FD58BF">
              <w:rPr>
                <w:noProof/>
                <w:webHidden/>
              </w:rPr>
            </w:r>
            <w:r w:rsidR="00FD58BF">
              <w:rPr>
                <w:noProof/>
                <w:webHidden/>
              </w:rPr>
              <w:fldChar w:fldCharType="separate"/>
            </w:r>
            <w:r w:rsidR="00FD58BF">
              <w:rPr>
                <w:noProof/>
                <w:webHidden/>
              </w:rPr>
              <w:t>1150</w:t>
            </w:r>
            <w:r w:rsidR="00FD58BF">
              <w:rPr>
                <w:noProof/>
                <w:webHidden/>
              </w:rPr>
              <w:fldChar w:fldCharType="end"/>
            </w:r>
          </w:hyperlink>
        </w:p>
        <w:p w14:paraId="1336C625" w14:textId="580ABAE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1" w:history="1">
            <w:r w:rsidR="00FD58BF" w:rsidRPr="003004E5">
              <w:rPr>
                <w:rStyle w:val="Lienhypertexte"/>
                <w:noProof/>
              </w:rPr>
              <w:t>26.17.2 Joints de dilatation CCTB 01.02</w:t>
            </w:r>
            <w:r w:rsidR="00FD58BF">
              <w:rPr>
                <w:noProof/>
                <w:webHidden/>
              </w:rPr>
              <w:tab/>
            </w:r>
            <w:r w:rsidR="00FD58BF">
              <w:rPr>
                <w:noProof/>
                <w:webHidden/>
              </w:rPr>
              <w:fldChar w:fldCharType="begin"/>
            </w:r>
            <w:r w:rsidR="00FD58BF">
              <w:rPr>
                <w:noProof/>
                <w:webHidden/>
              </w:rPr>
              <w:instrText xml:space="preserve"> PAGEREF _Toc178838951 \h </w:instrText>
            </w:r>
            <w:r w:rsidR="00FD58BF">
              <w:rPr>
                <w:noProof/>
                <w:webHidden/>
              </w:rPr>
            </w:r>
            <w:r w:rsidR="00FD58BF">
              <w:rPr>
                <w:noProof/>
                <w:webHidden/>
              </w:rPr>
              <w:fldChar w:fldCharType="separate"/>
            </w:r>
            <w:r w:rsidR="00FD58BF">
              <w:rPr>
                <w:noProof/>
                <w:webHidden/>
              </w:rPr>
              <w:t>1150</w:t>
            </w:r>
            <w:r w:rsidR="00FD58BF">
              <w:rPr>
                <w:noProof/>
                <w:webHidden/>
              </w:rPr>
              <w:fldChar w:fldCharType="end"/>
            </w:r>
          </w:hyperlink>
        </w:p>
        <w:p w14:paraId="375C389B" w14:textId="0829285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2" w:history="1">
            <w:r w:rsidR="00FD58BF" w:rsidRPr="003004E5">
              <w:rPr>
                <w:rStyle w:val="Lienhypertexte"/>
                <w:noProof/>
              </w:rPr>
              <w:t>26.17.3 Joints étanches (système) CCTB 01.04</w:t>
            </w:r>
            <w:r w:rsidR="00FD58BF">
              <w:rPr>
                <w:noProof/>
                <w:webHidden/>
              </w:rPr>
              <w:tab/>
            </w:r>
            <w:r w:rsidR="00FD58BF">
              <w:rPr>
                <w:noProof/>
                <w:webHidden/>
              </w:rPr>
              <w:fldChar w:fldCharType="begin"/>
            </w:r>
            <w:r w:rsidR="00FD58BF">
              <w:rPr>
                <w:noProof/>
                <w:webHidden/>
              </w:rPr>
              <w:instrText xml:space="preserve"> PAGEREF _Toc178838952 \h </w:instrText>
            </w:r>
            <w:r w:rsidR="00FD58BF">
              <w:rPr>
                <w:noProof/>
                <w:webHidden/>
              </w:rPr>
            </w:r>
            <w:r w:rsidR="00FD58BF">
              <w:rPr>
                <w:noProof/>
                <w:webHidden/>
              </w:rPr>
              <w:fldChar w:fldCharType="separate"/>
            </w:r>
            <w:r w:rsidR="00FD58BF">
              <w:rPr>
                <w:noProof/>
                <w:webHidden/>
              </w:rPr>
              <w:t>1150</w:t>
            </w:r>
            <w:r w:rsidR="00FD58BF">
              <w:rPr>
                <w:noProof/>
                <w:webHidden/>
              </w:rPr>
              <w:fldChar w:fldCharType="end"/>
            </w:r>
          </w:hyperlink>
        </w:p>
        <w:p w14:paraId="67F470DE" w14:textId="6E2D678C"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53" w:history="1">
            <w:r w:rsidR="00FD58BF" w:rsidRPr="003004E5">
              <w:rPr>
                <w:rStyle w:val="Lienhypertexte"/>
                <w:noProof/>
              </w:rPr>
              <w:t>26.2 Etanchéisation aux matières gazeuses CCTB 01.02</w:t>
            </w:r>
            <w:r w:rsidR="00FD58BF">
              <w:rPr>
                <w:noProof/>
                <w:webHidden/>
              </w:rPr>
              <w:tab/>
            </w:r>
            <w:r w:rsidR="00FD58BF">
              <w:rPr>
                <w:noProof/>
                <w:webHidden/>
              </w:rPr>
              <w:fldChar w:fldCharType="begin"/>
            </w:r>
            <w:r w:rsidR="00FD58BF">
              <w:rPr>
                <w:noProof/>
                <w:webHidden/>
              </w:rPr>
              <w:instrText xml:space="preserve"> PAGEREF _Toc178838953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279AD755" w14:textId="0CDBAE7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54" w:history="1">
            <w:r w:rsidR="00FD58BF" w:rsidRPr="003004E5">
              <w:rPr>
                <w:rStyle w:val="Lienhypertexte"/>
                <w:noProof/>
              </w:rPr>
              <w:t>26.21 Pare-vapeur CCTB 01.02</w:t>
            </w:r>
            <w:r w:rsidR="00FD58BF">
              <w:rPr>
                <w:noProof/>
                <w:webHidden/>
              </w:rPr>
              <w:tab/>
            </w:r>
            <w:r w:rsidR="00FD58BF">
              <w:rPr>
                <w:noProof/>
                <w:webHidden/>
              </w:rPr>
              <w:fldChar w:fldCharType="begin"/>
            </w:r>
            <w:r w:rsidR="00FD58BF">
              <w:rPr>
                <w:noProof/>
                <w:webHidden/>
              </w:rPr>
              <w:instrText xml:space="preserve"> PAGEREF _Toc178838954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7A4393D1" w14:textId="6021A10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55" w:history="1">
            <w:r w:rsidR="00FD58BF" w:rsidRPr="003004E5">
              <w:rPr>
                <w:rStyle w:val="Lienhypertexte"/>
                <w:noProof/>
              </w:rPr>
              <w:t>26.22 Raccords et joints souples CCTB 01.02</w:t>
            </w:r>
            <w:r w:rsidR="00FD58BF">
              <w:rPr>
                <w:noProof/>
                <w:webHidden/>
              </w:rPr>
              <w:tab/>
            </w:r>
            <w:r w:rsidR="00FD58BF">
              <w:rPr>
                <w:noProof/>
                <w:webHidden/>
              </w:rPr>
              <w:fldChar w:fldCharType="begin"/>
            </w:r>
            <w:r w:rsidR="00FD58BF">
              <w:rPr>
                <w:noProof/>
                <w:webHidden/>
              </w:rPr>
              <w:instrText xml:space="preserve"> PAGEREF _Toc178838955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0D8AC51F" w14:textId="6F43D445"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56" w:history="1">
            <w:r w:rsidR="00FD58BF" w:rsidRPr="003004E5">
              <w:rPr>
                <w:rStyle w:val="Lienhypertexte"/>
                <w:noProof/>
              </w:rPr>
              <w:t>26.3 Etanchéisations particulières CCTB 01.02</w:t>
            </w:r>
            <w:r w:rsidR="00FD58BF">
              <w:rPr>
                <w:noProof/>
                <w:webHidden/>
              </w:rPr>
              <w:tab/>
            </w:r>
            <w:r w:rsidR="00FD58BF">
              <w:rPr>
                <w:noProof/>
                <w:webHidden/>
              </w:rPr>
              <w:fldChar w:fldCharType="begin"/>
            </w:r>
            <w:r w:rsidR="00FD58BF">
              <w:rPr>
                <w:noProof/>
                <w:webHidden/>
              </w:rPr>
              <w:instrText xml:space="preserve"> PAGEREF _Toc178838956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1FB8E40C" w14:textId="0D67A54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57" w:history="1">
            <w:r w:rsidR="00FD58BF" w:rsidRPr="003004E5">
              <w:rPr>
                <w:rStyle w:val="Lienhypertexte"/>
                <w:noProof/>
              </w:rPr>
              <w:t>26.31 Etanchéisation de joints CCTB 01.02</w:t>
            </w:r>
            <w:r w:rsidR="00FD58BF">
              <w:rPr>
                <w:noProof/>
                <w:webHidden/>
              </w:rPr>
              <w:tab/>
            </w:r>
            <w:r w:rsidR="00FD58BF">
              <w:rPr>
                <w:noProof/>
                <w:webHidden/>
              </w:rPr>
              <w:fldChar w:fldCharType="begin"/>
            </w:r>
            <w:r w:rsidR="00FD58BF">
              <w:rPr>
                <w:noProof/>
                <w:webHidden/>
              </w:rPr>
              <w:instrText xml:space="preserve"> PAGEREF _Toc178838957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1311532A" w14:textId="28CF630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8" w:history="1">
            <w:r w:rsidR="00FD58BF" w:rsidRPr="003004E5">
              <w:rPr>
                <w:rStyle w:val="Lienhypertexte"/>
                <w:noProof/>
              </w:rPr>
              <w:t>26.31.1 Mastics particuliers CCTB 01.02</w:t>
            </w:r>
            <w:r w:rsidR="00FD58BF">
              <w:rPr>
                <w:noProof/>
                <w:webHidden/>
              </w:rPr>
              <w:tab/>
            </w:r>
            <w:r w:rsidR="00FD58BF">
              <w:rPr>
                <w:noProof/>
                <w:webHidden/>
              </w:rPr>
              <w:fldChar w:fldCharType="begin"/>
            </w:r>
            <w:r w:rsidR="00FD58BF">
              <w:rPr>
                <w:noProof/>
                <w:webHidden/>
              </w:rPr>
              <w:instrText xml:space="preserve"> PAGEREF _Toc178838958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1AB02B95" w14:textId="3A54708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9" w:history="1">
            <w:r w:rsidR="00FD58BF" w:rsidRPr="003004E5">
              <w:rPr>
                <w:rStyle w:val="Lienhypertexte"/>
                <w:noProof/>
              </w:rPr>
              <w:t>26.31.1a Mastic Rf CCTB 01.02</w:t>
            </w:r>
            <w:r w:rsidR="00FD58BF">
              <w:rPr>
                <w:noProof/>
                <w:webHidden/>
              </w:rPr>
              <w:tab/>
            </w:r>
            <w:r w:rsidR="00FD58BF">
              <w:rPr>
                <w:noProof/>
                <w:webHidden/>
              </w:rPr>
              <w:fldChar w:fldCharType="begin"/>
            </w:r>
            <w:r w:rsidR="00FD58BF">
              <w:rPr>
                <w:noProof/>
                <w:webHidden/>
              </w:rPr>
              <w:instrText xml:space="preserve"> PAGEREF _Toc178838959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7384A4E1" w14:textId="69894D6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60" w:history="1">
            <w:r w:rsidR="00FD58BF" w:rsidRPr="003004E5">
              <w:rPr>
                <w:rStyle w:val="Lienhypertexte"/>
                <w:noProof/>
              </w:rPr>
              <w:t>26.31.2 Membranes souples - Membranes CCTB 01.02</w:t>
            </w:r>
            <w:r w:rsidR="00FD58BF">
              <w:rPr>
                <w:noProof/>
                <w:webHidden/>
              </w:rPr>
              <w:tab/>
            </w:r>
            <w:r w:rsidR="00FD58BF">
              <w:rPr>
                <w:noProof/>
                <w:webHidden/>
              </w:rPr>
              <w:fldChar w:fldCharType="begin"/>
            </w:r>
            <w:r w:rsidR="00FD58BF">
              <w:rPr>
                <w:noProof/>
                <w:webHidden/>
              </w:rPr>
              <w:instrText xml:space="preserve"> PAGEREF _Toc178838960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42B63CF5" w14:textId="20933DF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61" w:history="1">
            <w:r w:rsidR="00FD58BF" w:rsidRPr="003004E5">
              <w:rPr>
                <w:rStyle w:val="Lienhypertexte"/>
                <w:noProof/>
              </w:rPr>
              <w:t>26.31.3 Joints de resserrage acoustique CCTB 01.02</w:t>
            </w:r>
            <w:r w:rsidR="00FD58BF">
              <w:rPr>
                <w:noProof/>
                <w:webHidden/>
              </w:rPr>
              <w:tab/>
            </w:r>
            <w:r w:rsidR="00FD58BF">
              <w:rPr>
                <w:noProof/>
                <w:webHidden/>
              </w:rPr>
              <w:fldChar w:fldCharType="begin"/>
            </w:r>
            <w:r w:rsidR="00FD58BF">
              <w:rPr>
                <w:noProof/>
                <w:webHidden/>
              </w:rPr>
              <w:instrText xml:space="preserve"> PAGEREF _Toc178838961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644D4829" w14:textId="56E999DC"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62" w:history="1">
            <w:r w:rsidR="00FD58BF" w:rsidRPr="003004E5">
              <w:rPr>
                <w:rStyle w:val="Lienhypertexte"/>
                <w:noProof/>
              </w:rPr>
              <w:t>26.4 Isolation CCTB 01.11</w:t>
            </w:r>
            <w:r w:rsidR="00FD58BF">
              <w:rPr>
                <w:noProof/>
                <w:webHidden/>
              </w:rPr>
              <w:tab/>
            </w:r>
            <w:r w:rsidR="00FD58BF">
              <w:rPr>
                <w:noProof/>
                <w:webHidden/>
              </w:rPr>
              <w:fldChar w:fldCharType="begin"/>
            </w:r>
            <w:r w:rsidR="00FD58BF">
              <w:rPr>
                <w:noProof/>
                <w:webHidden/>
              </w:rPr>
              <w:instrText xml:space="preserve"> PAGEREF _Toc178838962 \h </w:instrText>
            </w:r>
            <w:r w:rsidR="00FD58BF">
              <w:rPr>
                <w:noProof/>
                <w:webHidden/>
              </w:rPr>
            </w:r>
            <w:r w:rsidR="00FD58BF">
              <w:rPr>
                <w:noProof/>
                <w:webHidden/>
              </w:rPr>
              <w:fldChar w:fldCharType="separate"/>
            </w:r>
            <w:r w:rsidR="00FD58BF">
              <w:rPr>
                <w:noProof/>
                <w:webHidden/>
              </w:rPr>
              <w:t>1151</w:t>
            </w:r>
            <w:r w:rsidR="00FD58BF">
              <w:rPr>
                <w:noProof/>
                <w:webHidden/>
              </w:rPr>
              <w:fldChar w:fldCharType="end"/>
            </w:r>
          </w:hyperlink>
        </w:p>
        <w:p w14:paraId="03D63FD7" w14:textId="7FDF0A4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63" w:history="1">
            <w:r w:rsidR="00FD58BF" w:rsidRPr="003004E5">
              <w:rPr>
                <w:rStyle w:val="Lienhypertexte"/>
                <w:noProof/>
              </w:rPr>
              <w:t>26.41 Isolation en panneaux CCTB 01.11</w:t>
            </w:r>
            <w:r w:rsidR="00FD58BF">
              <w:rPr>
                <w:noProof/>
                <w:webHidden/>
              </w:rPr>
              <w:tab/>
            </w:r>
            <w:r w:rsidR="00FD58BF">
              <w:rPr>
                <w:noProof/>
                <w:webHidden/>
              </w:rPr>
              <w:fldChar w:fldCharType="begin"/>
            </w:r>
            <w:r w:rsidR="00FD58BF">
              <w:rPr>
                <w:noProof/>
                <w:webHidden/>
              </w:rPr>
              <w:instrText xml:space="preserve"> PAGEREF _Toc178838963 \h </w:instrText>
            </w:r>
            <w:r w:rsidR="00FD58BF">
              <w:rPr>
                <w:noProof/>
                <w:webHidden/>
              </w:rPr>
            </w:r>
            <w:r w:rsidR="00FD58BF">
              <w:rPr>
                <w:noProof/>
                <w:webHidden/>
              </w:rPr>
              <w:fldChar w:fldCharType="separate"/>
            </w:r>
            <w:r w:rsidR="00FD58BF">
              <w:rPr>
                <w:noProof/>
                <w:webHidden/>
              </w:rPr>
              <w:t>1154</w:t>
            </w:r>
            <w:r w:rsidR="00FD58BF">
              <w:rPr>
                <w:noProof/>
                <w:webHidden/>
              </w:rPr>
              <w:fldChar w:fldCharType="end"/>
            </w:r>
          </w:hyperlink>
        </w:p>
        <w:p w14:paraId="4D5BC0A5" w14:textId="7E8AF45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64" w:history="1">
            <w:r w:rsidR="00FD58BF" w:rsidRPr="003004E5">
              <w:rPr>
                <w:rStyle w:val="Lienhypertexte"/>
                <w:noProof/>
              </w:rPr>
              <w:t>26.41.1 Isolation en panneaux - matières synthétiques CCTB 01.02</w:t>
            </w:r>
            <w:r w:rsidR="00FD58BF">
              <w:rPr>
                <w:noProof/>
                <w:webHidden/>
              </w:rPr>
              <w:tab/>
            </w:r>
            <w:r w:rsidR="00FD58BF">
              <w:rPr>
                <w:noProof/>
                <w:webHidden/>
              </w:rPr>
              <w:fldChar w:fldCharType="begin"/>
            </w:r>
            <w:r w:rsidR="00FD58BF">
              <w:rPr>
                <w:noProof/>
                <w:webHidden/>
              </w:rPr>
              <w:instrText xml:space="preserve"> PAGEREF _Toc178838964 \h </w:instrText>
            </w:r>
            <w:r w:rsidR="00FD58BF">
              <w:rPr>
                <w:noProof/>
                <w:webHidden/>
              </w:rPr>
            </w:r>
            <w:r w:rsidR="00FD58BF">
              <w:rPr>
                <w:noProof/>
                <w:webHidden/>
              </w:rPr>
              <w:fldChar w:fldCharType="separate"/>
            </w:r>
            <w:r w:rsidR="00FD58BF">
              <w:rPr>
                <w:noProof/>
                <w:webHidden/>
              </w:rPr>
              <w:t>1155</w:t>
            </w:r>
            <w:r w:rsidR="00FD58BF">
              <w:rPr>
                <w:noProof/>
                <w:webHidden/>
              </w:rPr>
              <w:fldChar w:fldCharType="end"/>
            </w:r>
          </w:hyperlink>
        </w:p>
        <w:p w14:paraId="53FA53DB" w14:textId="7AE32B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5" w:history="1">
            <w:r w:rsidR="00FD58BF" w:rsidRPr="003004E5">
              <w:rPr>
                <w:rStyle w:val="Lienhypertexte"/>
                <w:noProof/>
              </w:rPr>
              <w:t>26.41.1a Isolation en panneaux - polystyrène extrudé (XPS) CCTB 01.11</w:t>
            </w:r>
            <w:r w:rsidR="00FD58BF">
              <w:rPr>
                <w:noProof/>
                <w:webHidden/>
              </w:rPr>
              <w:tab/>
            </w:r>
            <w:r w:rsidR="00FD58BF">
              <w:rPr>
                <w:noProof/>
                <w:webHidden/>
              </w:rPr>
              <w:fldChar w:fldCharType="begin"/>
            </w:r>
            <w:r w:rsidR="00FD58BF">
              <w:rPr>
                <w:noProof/>
                <w:webHidden/>
              </w:rPr>
              <w:instrText xml:space="preserve"> PAGEREF _Toc178838965 \h </w:instrText>
            </w:r>
            <w:r w:rsidR="00FD58BF">
              <w:rPr>
                <w:noProof/>
                <w:webHidden/>
              </w:rPr>
            </w:r>
            <w:r w:rsidR="00FD58BF">
              <w:rPr>
                <w:noProof/>
                <w:webHidden/>
              </w:rPr>
              <w:fldChar w:fldCharType="separate"/>
            </w:r>
            <w:r w:rsidR="00FD58BF">
              <w:rPr>
                <w:noProof/>
                <w:webHidden/>
              </w:rPr>
              <w:t>1155</w:t>
            </w:r>
            <w:r w:rsidR="00FD58BF">
              <w:rPr>
                <w:noProof/>
                <w:webHidden/>
              </w:rPr>
              <w:fldChar w:fldCharType="end"/>
            </w:r>
          </w:hyperlink>
        </w:p>
        <w:p w14:paraId="456FD133" w14:textId="1102A09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6" w:history="1">
            <w:r w:rsidR="00FD58BF" w:rsidRPr="003004E5">
              <w:rPr>
                <w:rStyle w:val="Lienhypertexte"/>
                <w:noProof/>
              </w:rPr>
              <w:t>26.41.1b Isolation en panneaux - polystyrène expansé (EPS / EPS HD) CCTB 01.11</w:t>
            </w:r>
            <w:r w:rsidR="00FD58BF">
              <w:rPr>
                <w:noProof/>
                <w:webHidden/>
              </w:rPr>
              <w:tab/>
            </w:r>
            <w:r w:rsidR="00FD58BF">
              <w:rPr>
                <w:noProof/>
                <w:webHidden/>
              </w:rPr>
              <w:fldChar w:fldCharType="begin"/>
            </w:r>
            <w:r w:rsidR="00FD58BF">
              <w:rPr>
                <w:noProof/>
                <w:webHidden/>
              </w:rPr>
              <w:instrText xml:space="preserve"> PAGEREF _Toc178838966 \h </w:instrText>
            </w:r>
            <w:r w:rsidR="00FD58BF">
              <w:rPr>
                <w:noProof/>
                <w:webHidden/>
              </w:rPr>
            </w:r>
            <w:r w:rsidR="00FD58BF">
              <w:rPr>
                <w:noProof/>
                <w:webHidden/>
              </w:rPr>
              <w:fldChar w:fldCharType="separate"/>
            </w:r>
            <w:r w:rsidR="00FD58BF">
              <w:rPr>
                <w:noProof/>
                <w:webHidden/>
              </w:rPr>
              <w:t>1155</w:t>
            </w:r>
            <w:r w:rsidR="00FD58BF">
              <w:rPr>
                <w:noProof/>
                <w:webHidden/>
              </w:rPr>
              <w:fldChar w:fldCharType="end"/>
            </w:r>
          </w:hyperlink>
        </w:p>
        <w:p w14:paraId="6DB966CB" w14:textId="47B108D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7" w:history="1">
            <w:r w:rsidR="00FD58BF" w:rsidRPr="003004E5">
              <w:rPr>
                <w:rStyle w:val="Lienhypertexte"/>
                <w:noProof/>
              </w:rPr>
              <w:t>26.41.1c Isolation en panneaux - polystyrène expansé additionné de graphite/carbone CCTB 01.11</w:t>
            </w:r>
            <w:r w:rsidR="00FD58BF">
              <w:rPr>
                <w:noProof/>
                <w:webHidden/>
              </w:rPr>
              <w:tab/>
            </w:r>
            <w:r w:rsidR="00FD58BF">
              <w:rPr>
                <w:noProof/>
                <w:webHidden/>
              </w:rPr>
              <w:fldChar w:fldCharType="begin"/>
            </w:r>
            <w:r w:rsidR="00FD58BF">
              <w:rPr>
                <w:noProof/>
                <w:webHidden/>
              </w:rPr>
              <w:instrText xml:space="preserve"> PAGEREF _Toc178838967 \h </w:instrText>
            </w:r>
            <w:r w:rsidR="00FD58BF">
              <w:rPr>
                <w:noProof/>
                <w:webHidden/>
              </w:rPr>
            </w:r>
            <w:r w:rsidR="00FD58BF">
              <w:rPr>
                <w:noProof/>
                <w:webHidden/>
              </w:rPr>
              <w:fldChar w:fldCharType="separate"/>
            </w:r>
            <w:r w:rsidR="00FD58BF">
              <w:rPr>
                <w:noProof/>
                <w:webHidden/>
              </w:rPr>
              <w:t>1156</w:t>
            </w:r>
            <w:r w:rsidR="00FD58BF">
              <w:rPr>
                <w:noProof/>
                <w:webHidden/>
              </w:rPr>
              <w:fldChar w:fldCharType="end"/>
            </w:r>
          </w:hyperlink>
        </w:p>
        <w:p w14:paraId="7CA96EB5" w14:textId="459E9D4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8" w:history="1">
            <w:r w:rsidR="00FD58BF" w:rsidRPr="003004E5">
              <w:rPr>
                <w:rStyle w:val="Lienhypertexte"/>
                <w:noProof/>
              </w:rPr>
              <w:t>26.41.1d Isolation en panneaux - polyuréthane (PUR) CCTB 01.11</w:t>
            </w:r>
            <w:r w:rsidR="00FD58BF">
              <w:rPr>
                <w:noProof/>
                <w:webHidden/>
              </w:rPr>
              <w:tab/>
            </w:r>
            <w:r w:rsidR="00FD58BF">
              <w:rPr>
                <w:noProof/>
                <w:webHidden/>
              </w:rPr>
              <w:fldChar w:fldCharType="begin"/>
            </w:r>
            <w:r w:rsidR="00FD58BF">
              <w:rPr>
                <w:noProof/>
                <w:webHidden/>
              </w:rPr>
              <w:instrText xml:space="preserve"> PAGEREF _Toc178838968 \h </w:instrText>
            </w:r>
            <w:r w:rsidR="00FD58BF">
              <w:rPr>
                <w:noProof/>
                <w:webHidden/>
              </w:rPr>
            </w:r>
            <w:r w:rsidR="00FD58BF">
              <w:rPr>
                <w:noProof/>
                <w:webHidden/>
              </w:rPr>
              <w:fldChar w:fldCharType="separate"/>
            </w:r>
            <w:r w:rsidR="00FD58BF">
              <w:rPr>
                <w:noProof/>
                <w:webHidden/>
              </w:rPr>
              <w:t>1156</w:t>
            </w:r>
            <w:r w:rsidR="00FD58BF">
              <w:rPr>
                <w:noProof/>
                <w:webHidden/>
              </w:rPr>
              <w:fldChar w:fldCharType="end"/>
            </w:r>
          </w:hyperlink>
        </w:p>
        <w:p w14:paraId="0B09046D" w14:textId="27B75BB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9" w:history="1">
            <w:r w:rsidR="00FD58BF" w:rsidRPr="003004E5">
              <w:rPr>
                <w:rStyle w:val="Lienhypertexte"/>
                <w:noProof/>
              </w:rPr>
              <w:t>26.41.1e Isolation en panneaux - polyisocyanurate (PIR) CCTB 01.11</w:t>
            </w:r>
            <w:r w:rsidR="00FD58BF">
              <w:rPr>
                <w:noProof/>
                <w:webHidden/>
              </w:rPr>
              <w:tab/>
            </w:r>
            <w:r w:rsidR="00FD58BF">
              <w:rPr>
                <w:noProof/>
                <w:webHidden/>
              </w:rPr>
              <w:fldChar w:fldCharType="begin"/>
            </w:r>
            <w:r w:rsidR="00FD58BF">
              <w:rPr>
                <w:noProof/>
                <w:webHidden/>
              </w:rPr>
              <w:instrText xml:space="preserve"> PAGEREF _Toc178838969 \h </w:instrText>
            </w:r>
            <w:r w:rsidR="00FD58BF">
              <w:rPr>
                <w:noProof/>
                <w:webHidden/>
              </w:rPr>
            </w:r>
            <w:r w:rsidR="00FD58BF">
              <w:rPr>
                <w:noProof/>
                <w:webHidden/>
              </w:rPr>
              <w:fldChar w:fldCharType="separate"/>
            </w:r>
            <w:r w:rsidR="00FD58BF">
              <w:rPr>
                <w:noProof/>
                <w:webHidden/>
              </w:rPr>
              <w:t>1156</w:t>
            </w:r>
            <w:r w:rsidR="00FD58BF">
              <w:rPr>
                <w:noProof/>
                <w:webHidden/>
              </w:rPr>
              <w:fldChar w:fldCharType="end"/>
            </w:r>
          </w:hyperlink>
        </w:p>
        <w:p w14:paraId="73FB8803" w14:textId="3A053D5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0" w:history="1">
            <w:r w:rsidR="00FD58BF" w:rsidRPr="003004E5">
              <w:rPr>
                <w:rStyle w:val="Lienhypertexte"/>
                <w:noProof/>
              </w:rPr>
              <w:t>26.41.1f Isolation en panneaux - mousse phénolique (PF) CCTB 01.11</w:t>
            </w:r>
            <w:r w:rsidR="00FD58BF">
              <w:rPr>
                <w:noProof/>
                <w:webHidden/>
              </w:rPr>
              <w:tab/>
            </w:r>
            <w:r w:rsidR="00FD58BF">
              <w:rPr>
                <w:noProof/>
                <w:webHidden/>
              </w:rPr>
              <w:fldChar w:fldCharType="begin"/>
            </w:r>
            <w:r w:rsidR="00FD58BF">
              <w:rPr>
                <w:noProof/>
                <w:webHidden/>
              </w:rPr>
              <w:instrText xml:space="preserve"> PAGEREF _Toc178838970 \h </w:instrText>
            </w:r>
            <w:r w:rsidR="00FD58BF">
              <w:rPr>
                <w:noProof/>
                <w:webHidden/>
              </w:rPr>
            </w:r>
            <w:r w:rsidR="00FD58BF">
              <w:rPr>
                <w:noProof/>
                <w:webHidden/>
              </w:rPr>
              <w:fldChar w:fldCharType="separate"/>
            </w:r>
            <w:r w:rsidR="00FD58BF">
              <w:rPr>
                <w:noProof/>
                <w:webHidden/>
              </w:rPr>
              <w:t>1157</w:t>
            </w:r>
            <w:r w:rsidR="00FD58BF">
              <w:rPr>
                <w:noProof/>
                <w:webHidden/>
              </w:rPr>
              <w:fldChar w:fldCharType="end"/>
            </w:r>
          </w:hyperlink>
        </w:p>
        <w:p w14:paraId="139DC0B2" w14:textId="57A6E50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1" w:history="1">
            <w:r w:rsidR="00FD58BF" w:rsidRPr="003004E5">
              <w:rPr>
                <w:rStyle w:val="Lienhypertexte"/>
                <w:noProof/>
              </w:rPr>
              <w:t>26.41.1g Isolation en panneaux - sous vide CCTB 01.02</w:t>
            </w:r>
            <w:r w:rsidR="00FD58BF">
              <w:rPr>
                <w:noProof/>
                <w:webHidden/>
              </w:rPr>
              <w:tab/>
            </w:r>
            <w:r w:rsidR="00FD58BF">
              <w:rPr>
                <w:noProof/>
                <w:webHidden/>
              </w:rPr>
              <w:fldChar w:fldCharType="begin"/>
            </w:r>
            <w:r w:rsidR="00FD58BF">
              <w:rPr>
                <w:noProof/>
                <w:webHidden/>
              </w:rPr>
              <w:instrText xml:space="preserve"> PAGEREF _Toc178838971 \h </w:instrText>
            </w:r>
            <w:r w:rsidR="00FD58BF">
              <w:rPr>
                <w:noProof/>
                <w:webHidden/>
              </w:rPr>
            </w:r>
            <w:r w:rsidR="00FD58BF">
              <w:rPr>
                <w:noProof/>
                <w:webHidden/>
              </w:rPr>
              <w:fldChar w:fldCharType="separate"/>
            </w:r>
            <w:r w:rsidR="00FD58BF">
              <w:rPr>
                <w:noProof/>
                <w:webHidden/>
              </w:rPr>
              <w:t>1157</w:t>
            </w:r>
            <w:r w:rsidR="00FD58BF">
              <w:rPr>
                <w:noProof/>
                <w:webHidden/>
              </w:rPr>
              <w:fldChar w:fldCharType="end"/>
            </w:r>
          </w:hyperlink>
        </w:p>
        <w:p w14:paraId="25F62BD5" w14:textId="51C7892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72" w:history="1">
            <w:r w:rsidR="00FD58BF" w:rsidRPr="003004E5">
              <w:rPr>
                <w:rStyle w:val="Lienhypertexte"/>
                <w:noProof/>
              </w:rPr>
              <w:t>26.41.2 Isolation en panneaux - matières minérales CCTB 01.02</w:t>
            </w:r>
            <w:r w:rsidR="00FD58BF">
              <w:rPr>
                <w:noProof/>
                <w:webHidden/>
              </w:rPr>
              <w:tab/>
            </w:r>
            <w:r w:rsidR="00FD58BF">
              <w:rPr>
                <w:noProof/>
                <w:webHidden/>
              </w:rPr>
              <w:fldChar w:fldCharType="begin"/>
            </w:r>
            <w:r w:rsidR="00FD58BF">
              <w:rPr>
                <w:noProof/>
                <w:webHidden/>
              </w:rPr>
              <w:instrText xml:space="preserve"> PAGEREF _Toc178838972 \h </w:instrText>
            </w:r>
            <w:r w:rsidR="00FD58BF">
              <w:rPr>
                <w:noProof/>
                <w:webHidden/>
              </w:rPr>
            </w:r>
            <w:r w:rsidR="00FD58BF">
              <w:rPr>
                <w:noProof/>
                <w:webHidden/>
              </w:rPr>
              <w:fldChar w:fldCharType="separate"/>
            </w:r>
            <w:r w:rsidR="00FD58BF">
              <w:rPr>
                <w:noProof/>
                <w:webHidden/>
              </w:rPr>
              <w:t>1157</w:t>
            </w:r>
            <w:r w:rsidR="00FD58BF">
              <w:rPr>
                <w:noProof/>
                <w:webHidden/>
              </w:rPr>
              <w:fldChar w:fldCharType="end"/>
            </w:r>
          </w:hyperlink>
        </w:p>
        <w:p w14:paraId="6FFC4293" w14:textId="4E13FDD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3" w:history="1">
            <w:r w:rsidR="00FD58BF" w:rsidRPr="003004E5">
              <w:rPr>
                <w:rStyle w:val="Lienhypertexte"/>
                <w:noProof/>
              </w:rPr>
              <w:t>26.41.2a Isolation en panneaux - laine minérale (MW) CCTB 01.12</w:t>
            </w:r>
            <w:r w:rsidR="00FD58BF">
              <w:rPr>
                <w:noProof/>
                <w:webHidden/>
              </w:rPr>
              <w:tab/>
            </w:r>
            <w:r w:rsidR="00FD58BF">
              <w:rPr>
                <w:noProof/>
                <w:webHidden/>
              </w:rPr>
              <w:fldChar w:fldCharType="begin"/>
            </w:r>
            <w:r w:rsidR="00FD58BF">
              <w:rPr>
                <w:noProof/>
                <w:webHidden/>
              </w:rPr>
              <w:instrText xml:space="preserve"> PAGEREF _Toc178838973 \h </w:instrText>
            </w:r>
            <w:r w:rsidR="00FD58BF">
              <w:rPr>
                <w:noProof/>
                <w:webHidden/>
              </w:rPr>
            </w:r>
            <w:r w:rsidR="00FD58BF">
              <w:rPr>
                <w:noProof/>
                <w:webHidden/>
              </w:rPr>
              <w:fldChar w:fldCharType="separate"/>
            </w:r>
            <w:r w:rsidR="00FD58BF">
              <w:rPr>
                <w:noProof/>
                <w:webHidden/>
              </w:rPr>
              <w:t>1157</w:t>
            </w:r>
            <w:r w:rsidR="00FD58BF">
              <w:rPr>
                <w:noProof/>
                <w:webHidden/>
              </w:rPr>
              <w:fldChar w:fldCharType="end"/>
            </w:r>
          </w:hyperlink>
        </w:p>
        <w:p w14:paraId="3B92E415" w14:textId="682450D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4" w:history="1">
            <w:r w:rsidR="00FD58BF" w:rsidRPr="003004E5">
              <w:rPr>
                <w:rStyle w:val="Lienhypertexte"/>
                <w:noProof/>
              </w:rPr>
              <w:t>26.41.2b Isolation en panneaux - verre cellulaire (CG) CCTB 01.11</w:t>
            </w:r>
            <w:r w:rsidR="00FD58BF">
              <w:rPr>
                <w:noProof/>
                <w:webHidden/>
              </w:rPr>
              <w:tab/>
            </w:r>
            <w:r w:rsidR="00FD58BF">
              <w:rPr>
                <w:noProof/>
                <w:webHidden/>
              </w:rPr>
              <w:fldChar w:fldCharType="begin"/>
            </w:r>
            <w:r w:rsidR="00FD58BF">
              <w:rPr>
                <w:noProof/>
                <w:webHidden/>
              </w:rPr>
              <w:instrText xml:space="preserve"> PAGEREF _Toc178838974 \h </w:instrText>
            </w:r>
            <w:r w:rsidR="00FD58BF">
              <w:rPr>
                <w:noProof/>
                <w:webHidden/>
              </w:rPr>
            </w:r>
            <w:r w:rsidR="00FD58BF">
              <w:rPr>
                <w:noProof/>
                <w:webHidden/>
              </w:rPr>
              <w:fldChar w:fldCharType="separate"/>
            </w:r>
            <w:r w:rsidR="00FD58BF">
              <w:rPr>
                <w:noProof/>
                <w:webHidden/>
              </w:rPr>
              <w:t>1161</w:t>
            </w:r>
            <w:r w:rsidR="00FD58BF">
              <w:rPr>
                <w:noProof/>
                <w:webHidden/>
              </w:rPr>
              <w:fldChar w:fldCharType="end"/>
            </w:r>
          </w:hyperlink>
        </w:p>
        <w:p w14:paraId="0D44DC03" w14:textId="157BD0F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5" w:history="1">
            <w:r w:rsidR="00FD58BF" w:rsidRPr="003004E5">
              <w:rPr>
                <w:rStyle w:val="Lienhypertexte"/>
                <w:noProof/>
              </w:rPr>
              <w:t>26.41.2c Isolation en panneaux - perlite expansée (EPB) CCTB 01.11</w:t>
            </w:r>
            <w:r w:rsidR="00FD58BF">
              <w:rPr>
                <w:noProof/>
                <w:webHidden/>
              </w:rPr>
              <w:tab/>
            </w:r>
            <w:r w:rsidR="00FD58BF">
              <w:rPr>
                <w:noProof/>
                <w:webHidden/>
              </w:rPr>
              <w:fldChar w:fldCharType="begin"/>
            </w:r>
            <w:r w:rsidR="00FD58BF">
              <w:rPr>
                <w:noProof/>
                <w:webHidden/>
              </w:rPr>
              <w:instrText xml:space="preserve"> PAGEREF _Toc178838975 \h </w:instrText>
            </w:r>
            <w:r w:rsidR="00FD58BF">
              <w:rPr>
                <w:noProof/>
                <w:webHidden/>
              </w:rPr>
            </w:r>
            <w:r w:rsidR="00FD58BF">
              <w:rPr>
                <w:noProof/>
                <w:webHidden/>
              </w:rPr>
              <w:fldChar w:fldCharType="separate"/>
            </w:r>
            <w:r w:rsidR="00FD58BF">
              <w:rPr>
                <w:noProof/>
                <w:webHidden/>
              </w:rPr>
              <w:t>1162</w:t>
            </w:r>
            <w:r w:rsidR="00FD58BF">
              <w:rPr>
                <w:noProof/>
                <w:webHidden/>
              </w:rPr>
              <w:fldChar w:fldCharType="end"/>
            </w:r>
          </w:hyperlink>
        </w:p>
        <w:p w14:paraId="25B92586" w14:textId="6F99F89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6" w:history="1">
            <w:r w:rsidR="00FD58BF" w:rsidRPr="003004E5">
              <w:rPr>
                <w:rStyle w:val="Lienhypertexte"/>
                <w:noProof/>
              </w:rPr>
              <w:t>26.41.2d (titre réservé) CCTB 01.04</w:t>
            </w:r>
            <w:r w:rsidR="00FD58BF">
              <w:rPr>
                <w:noProof/>
                <w:webHidden/>
              </w:rPr>
              <w:tab/>
            </w:r>
            <w:r w:rsidR="00FD58BF">
              <w:rPr>
                <w:noProof/>
                <w:webHidden/>
              </w:rPr>
              <w:fldChar w:fldCharType="begin"/>
            </w:r>
            <w:r w:rsidR="00FD58BF">
              <w:rPr>
                <w:noProof/>
                <w:webHidden/>
              </w:rPr>
              <w:instrText xml:space="preserve"> PAGEREF _Toc178838976 \h </w:instrText>
            </w:r>
            <w:r w:rsidR="00FD58BF">
              <w:rPr>
                <w:noProof/>
                <w:webHidden/>
              </w:rPr>
            </w:r>
            <w:r w:rsidR="00FD58BF">
              <w:rPr>
                <w:noProof/>
                <w:webHidden/>
              </w:rPr>
              <w:fldChar w:fldCharType="separate"/>
            </w:r>
            <w:r w:rsidR="00FD58BF">
              <w:rPr>
                <w:noProof/>
                <w:webHidden/>
              </w:rPr>
              <w:t>1162</w:t>
            </w:r>
            <w:r w:rsidR="00FD58BF">
              <w:rPr>
                <w:noProof/>
                <w:webHidden/>
              </w:rPr>
              <w:fldChar w:fldCharType="end"/>
            </w:r>
          </w:hyperlink>
        </w:p>
        <w:p w14:paraId="4AE155A1" w14:textId="3C7C22A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7" w:history="1">
            <w:r w:rsidR="00FD58BF" w:rsidRPr="003004E5">
              <w:rPr>
                <w:rStyle w:val="Lienhypertexte"/>
                <w:noProof/>
              </w:rPr>
              <w:t>26.41.2e (titre réservé) CCTB 01.04</w:t>
            </w:r>
            <w:r w:rsidR="00FD58BF">
              <w:rPr>
                <w:noProof/>
                <w:webHidden/>
              </w:rPr>
              <w:tab/>
            </w:r>
            <w:r w:rsidR="00FD58BF">
              <w:rPr>
                <w:noProof/>
                <w:webHidden/>
              </w:rPr>
              <w:fldChar w:fldCharType="begin"/>
            </w:r>
            <w:r w:rsidR="00FD58BF">
              <w:rPr>
                <w:noProof/>
                <w:webHidden/>
              </w:rPr>
              <w:instrText xml:space="preserve"> PAGEREF _Toc178838977 \h </w:instrText>
            </w:r>
            <w:r w:rsidR="00FD58BF">
              <w:rPr>
                <w:noProof/>
                <w:webHidden/>
              </w:rPr>
            </w:r>
            <w:r w:rsidR="00FD58BF">
              <w:rPr>
                <w:noProof/>
                <w:webHidden/>
              </w:rPr>
              <w:fldChar w:fldCharType="separate"/>
            </w:r>
            <w:r w:rsidR="00FD58BF">
              <w:rPr>
                <w:noProof/>
                <w:webHidden/>
              </w:rPr>
              <w:t>1162</w:t>
            </w:r>
            <w:r w:rsidR="00FD58BF">
              <w:rPr>
                <w:noProof/>
                <w:webHidden/>
              </w:rPr>
              <w:fldChar w:fldCharType="end"/>
            </w:r>
          </w:hyperlink>
        </w:p>
        <w:p w14:paraId="419ED40F" w14:textId="12DA757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8" w:history="1">
            <w:r w:rsidR="00FD58BF" w:rsidRPr="003004E5">
              <w:rPr>
                <w:rStyle w:val="Lienhypertexte"/>
                <w:noProof/>
              </w:rPr>
              <w:t>26.41.2f (titre réservé) CCTB 01.04</w:t>
            </w:r>
            <w:r w:rsidR="00FD58BF">
              <w:rPr>
                <w:noProof/>
                <w:webHidden/>
              </w:rPr>
              <w:tab/>
            </w:r>
            <w:r w:rsidR="00FD58BF">
              <w:rPr>
                <w:noProof/>
                <w:webHidden/>
              </w:rPr>
              <w:fldChar w:fldCharType="begin"/>
            </w:r>
            <w:r w:rsidR="00FD58BF">
              <w:rPr>
                <w:noProof/>
                <w:webHidden/>
              </w:rPr>
              <w:instrText xml:space="preserve"> PAGEREF _Toc178838978 \h </w:instrText>
            </w:r>
            <w:r w:rsidR="00FD58BF">
              <w:rPr>
                <w:noProof/>
                <w:webHidden/>
              </w:rPr>
            </w:r>
            <w:r w:rsidR="00FD58BF">
              <w:rPr>
                <w:noProof/>
                <w:webHidden/>
              </w:rPr>
              <w:fldChar w:fldCharType="separate"/>
            </w:r>
            <w:r w:rsidR="00FD58BF">
              <w:rPr>
                <w:noProof/>
                <w:webHidden/>
              </w:rPr>
              <w:t>1162</w:t>
            </w:r>
            <w:r w:rsidR="00FD58BF">
              <w:rPr>
                <w:noProof/>
                <w:webHidden/>
              </w:rPr>
              <w:fldChar w:fldCharType="end"/>
            </w:r>
          </w:hyperlink>
        </w:p>
        <w:p w14:paraId="053A23BC" w14:textId="1213836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9" w:history="1">
            <w:r w:rsidR="00FD58BF" w:rsidRPr="003004E5">
              <w:rPr>
                <w:rStyle w:val="Lienhypertexte"/>
                <w:noProof/>
              </w:rPr>
              <w:t>26.41.2g (titre réservé) CCTB 01.04</w:t>
            </w:r>
            <w:r w:rsidR="00FD58BF">
              <w:rPr>
                <w:noProof/>
                <w:webHidden/>
              </w:rPr>
              <w:tab/>
            </w:r>
            <w:r w:rsidR="00FD58BF">
              <w:rPr>
                <w:noProof/>
                <w:webHidden/>
              </w:rPr>
              <w:fldChar w:fldCharType="begin"/>
            </w:r>
            <w:r w:rsidR="00FD58BF">
              <w:rPr>
                <w:noProof/>
                <w:webHidden/>
              </w:rPr>
              <w:instrText xml:space="preserve"> PAGEREF _Toc178838979 \h </w:instrText>
            </w:r>
            <w:r w:rsidR="00FD58BF">
              <w:rPr>
                <w:noProof/>
                <w:webHidden/>
              </w:rPr>
            </w:r>
            <w:r w:rsidR="00FD58BF">
              <w:rPr>
                <w:noProof/>
                <w:webHidden/>
              </w:rPr>
              <w:fldChar w:fldCharType="separate"/>
            </w:r>
            <w:r w:rsidR="00FD58BF">
              <w:rPr>
                <w:noProof/>
                <w:webHidden/>
              </w:rPr>
              <w:t>1162</w:t>
            </w:r>
            <w:r w:rsidR="00FD58BF">
              <w:rPr>
                <w:noProof/>
                <w:webHidden/>
              </w:rPr>
              <w:fldChar w:fldCharType="end"/>
            </w:r>
          </w:hyperlink>
        </w:p>
        <w:p w14:paraId="2279A66F" w14:textId="7D27B4E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80" w:history="1">
            <w:r w:rsidR="00FD58BF" w:rsidRPr="003004E5">
              <w:rPr>
                <w:rStyle w:val="Lienhypertexte"/>
                <w:noProof/>
              </w:rPr>
              <w:t>26.41.3 Isolation en panneaux - matières végétales CCTB 01.11</w:t>
            </w:r>
            <w:r w:rsidR="00FD58BF">
              <w:rPr>
                <w:noProof/>
                <w:webHidden/>
              </w:rPr>
              <w:tab/>
            </w:r>
            <w:r w:rsidR="00FD58BF">
              <w:rPr>
                <w:noProof/>
                <w:webHidden/>
              </w:rPr>
              <w:fldChar w:fldCharType="begin"/>
            </w:r>
            <w:r w:rsidR="00FD58BF">
              <w:rPr>
                <w:noProof/>
                <w:webHidden/>
              </w:rPr>
              <w:instrText xml:space="preserve"> PAGEREF _Toc178838980 \h </w:instrText>
            </w:r>
            <w:r w:rsidR="00FD58BF">
              <w:rPr>
                <w:noProof/>
                <w:webHidden/>
              </w:rPr>
            </w:r>
            <w:r w:rsidR="00FD58BF">
              <w:rPr>
                <w:noProof/>
                <w:webHidden/>
              </w:rPr>
              <w:fldChar w:fldCharType="separate"/>
            </w:r>
            <w:r w:rsidR="00FD58BF">
              <w:rPr>
                <w:noProof/>
                <w:webHidden/>
              </w:rPr>
              <w:t>1162</w:t>
            </w:r>
            <w:r w:rsidR="00FD58BF">
              <w:rPr>
                <w:noProof/>
                <w:webHidden/>
              </w:rPr>
              <w:fldChar w:fldCharType="end"/>
            </w:r>
          </w:hyperlink>
        </w:p>
        <w:p w14:paraId="2FF2C093" w14:textId="1C9C8FE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1" w:history="1">
            <w:r w:rsidR="00FD58BF" w:rsidRPr="003004E5">
              <w:rPr>
                <w:rStyle w:val="Lienhypertexte"/>
                <w:noProof/>
              </w:rPr>
              <w:t>26.41.3a Isolation en panneaux - liège expansé (ICB) CCTB 01.04</w:t>
            </w:r>
            <w:r w:rsidR="00FD58BF">
              <w:rPr>
                <w:noProof/>
                <w:webHidden/>
              </w:rPr>
              <w:tab/>
            </w:r>
            <w:r w:rsidR="00FD58BF">
              <w:rPr>
                <w:noProof/>
                <w:webHidden/>
              </w:rPr>
              <w:fldChar w:fldCharType="begin"/>
            </w:r>
            <w:r w:rsidR="00FD58BF">
              <w:rPr>
                <w:noProof/>
                <w:webHidden/>
              </w:rPr>
              <w:instrText xml:space="preserve"> PAGEREF _Toc178838981 \h </w:instrText>
            </w:r>
            <w:r w:rsidR="00FD58BF">
              <w:rPr>
                <w:noProof/>
                <w:webHidden/>
              </w:rPr>
            </w:r>
            <w:r w:rsidR="00FD58BF">
              <w:rPr>
                <w:noProof/>
                <w:webHidden/>
              </w:rPr>
              <w:fldChar w:fldCharType="separate"/>
            </w:r>
            <w:r w:rsidR="00FD58BF">
              <w:rPr>
                <w:noProof/>
                <w:webHidden/>
              </w:rPr>
              <w:t>1162</w:t>
            </w:r>
            <w:r w:rsidR="00FD58BF">
              <w:rPr>
                <w:noProof/>
                <w:webHidden/>
              </w:rPr>
              <w:fldChar w:fldCharType="end"/>
            </w:r>
          </w:hyperlink>
        </w:p>
        <w:p w14:paraId="0ED28F7D" w14:textId="214AA8A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2" w:history="1">
            <w:r w:rsidR="00FD58BF" w:rsidRPr="003004E5">
              <w:rPr>
                <w:rStyle w:val="Lienhypertexte"/>
                <w:noProof/>
              </w:rPr>
              <w:t>26.41.3b (titre réservé) CCTB 01.04</w:t>
            </w:r>
            <w:r w:rsidR="00FD58BF">
              <w:rPr>
                <w:noProof/>
                <w:webHidden/>
              </w:rPr>
              <w:tab/>
            </w:r>
            <w:r w:rsidR="00FD58BF">
              <w:rPr>
                <w:noProof/>
                <w:webHidden/>
              </w:rPr>
              <w:fldChar w:fldCharType="begin"/>
            </w:r>
            <w:r w:rsidR="00FD58BF">
              <w:rPr>
                <w:noProof/>
                <w:webHidden/>
              </w:rPr>
              <w:instrText xml:space="preserve"> PAGEREF _Toc178838982 \h </w:instrText>
            </w:r>
            <w:r w:rsidR="00FD58BF">
              <w:rPr>
                <w:noProof/>
                <w:webHidden/>
              </w:rPr>
            </w:r>
            <w:r w:rsidR="00FD58BF">
              <w:rPr>
                <w:noProof/>
                <w:webHidden/>
              </w:rPr>
              <w:fldChar w:fldCharType="separate"/>
            </w:r>
            <w:r w:rsidR="00FD58BF">
              <w:rPr>
                <w:noProof/>
                <w:webHidden/>
              </w:rPr>
              <w:t>1163</w:t>
            </w:r>
            <w:r w:rsidR="00FD58BF">
              <w:rPr>
                <w:noProof/>
                <w:webHidden/>
              </w:rPr>
              <w:fldChar w:fldCharType="end"/>
            </w:r>
          </w:hyperlink>
        </w:p>
        <w:p w14:paraId="3ED757D9" w14:textId="5877BD3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3" w:history="1">
            <w:r w:rsidR="00FD58BF" w:rsidRPr="003004E5">
              <w:rPr>
                <w:rStyle w:val="Lienhypertexte"/>
                <w:noProof/>
              </w:rPr>
              <w:t>26.41.3c Isolation en panneaux - fibres de bois (WF) CCTB 01.11</w:t>
            </w:r>
            <w:r w:rsidR="00FD58BF">
              <w:rPr>
                <w:noProof/>
                <w:webHidden/>
              </w:rPr>
              <w:tab/>
            </w:r>
            <w:r w:rsidR="00FD58BF">
              <w:rPr>
                <w:noProof/>
                <w:webHidden/>
              </w:rPr>
              <w:fldChar w:fldCharType="begin"/>
            </w:r>
            <w:r w:rsidR="00FD58BF">
              <w:rPr>
                <w:noProof/>
                <w:webHidden/>
              </w:rPr>
              <w:instrText xml:space="preserve"> PAGEREF _Toc178838983 \h </w:instrText>
            </w:r>
            <w:r w:rsidR="00FD58BF">
              <w:rPr>
                <w:noProof/>
                <w:webHidden/>
              </w:rPr>
            </w:r>
            <w:r w:rsidR="00FD58BF">
              <w:rPr>
                <w:noProof/>
                <w:webHidden/>
              </w:rPr>
              <w:fldChar w:fldCharType="separate"/>
            </w:r>
            <w:r w:rsidR="00FD58BF">
              <w:rPr>
                <w:noProof/>
                <w:webHidden/>
              </w:rPr>
              <w:t>1163</w:t>
            </w:r>
            <w:r w:rsidR="00FD58BF">
              <w:rPr>
                <w:noProof/>
                <w:webHidden/>
              </w:rPr>
              <w:fldChar w:fldCharType="end"/>
            </w:r>
          </w:hyperlink>
        </w:p>
        <w:p w14:paraId="6651E477" w14:textId="6698408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4" w:history="1">
            <w:r w:rsidR="00FD58BF" w:rsidRPr="003004E5">
              <w:rPr>
                <w:rStyle w:val="Lienhypertexte"/>
                <w:noProof/>
              </w:rPr>
              <w:t>26.41.3d Isolation en panneaux - cellulose CCTB 01.11</w:t>
            </w:r>
            <w:r w:rsidR="00FD58BF">
              <w:rPr>
                <w:noProof/>
                <w:webHidden/>
              </w:rPr>
              <w:tab/>
            </w:r>
            <w:r w:rsidR="00FD58BF">
              <w:rPr>
                <w:noProof/>
                <w:webHidden/>
              </w:rPr>
              <w:fldChar w:fldCharType="begin"/>
            </w:r>
            <w:r w:rsidR="00FD58BF">
              <w:rPr>
                <w:noProof/>
                <w:webHidden/>
              </w:rPr>
              <w:instrText xml:space="preserve"> PAGEREF _Toc178838984 \h </w:instrText>
            </w:r>
            <w:r w:rsidR="00FD58BF">
              <w:rPr>
                <w:noProof/>
                <w:webHidden/>
              </w:rPr>
            </w:r>
            <w:r w:rsidR="00FD58BF">
              <w:rPr>
                <w:noProof/>
                <w:webHidden/>
              </w:rPr>
              <w:fldChar w:fldCharType="separate"/>
            </w:r>
            <w:r w:rsidR="00FD58BF">
              <w:rPr>
                <w:noProof/>
                <w:webHidden/>
              </w:rPr>
              <w:t>1164</w:t>
            </w:r>
            <w:r w:rsidR="00FD58BF">
              <w:rPr>
                <w:noProof/>
                <w:webHidden/>
              </w:rPr>
              <w:fldChar w:fldCharType="end"/>
            </w:r>
          </w:hyperlink>
        </w:p>
        <w:p w14:paraId="6EB691C1" w14:textId="1ED9D38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5" w:history="1">
            <w:r w:rsidR="00FD58BF" w:rsidRPr="003004E5">
              <w:rPr>
                <w:rStyle w:val="Lienhypertexte"/>
                <w:noProof/>
              </w:rPr>
              <w:t>26.41.3e Isolation en panneaux - laine de chanvre CCTB 01.11</w:t>
            </w:r>
            <w:r w:rsidR="00FD58BF">
              <w:rPr>
                <w:noProof/>
                <w:webHidden/>
              </w:rPr>
              <w:tab/>
            </w:r>
            <w:r w:rsidR="00FD58BF">
              <w:rPr>
                <w:noProof/>
                <w:webHidden/>
              </w:rPr>
              <w:fldChar w:fldCharType="begin"/>
            </w:r>
            <w:r w:rsidR="00FD58BF">
              <w:rPr>
                <w:noProof/>
                <w:webHidden/>
              </w:rPr>
              <w:instrText xml:space="preserve"> PAGEREF _Toc178838985 \h </w:instrText>
            </w:r>
            <w:r w:rsidR="00FD58BF">
              <w:rPr>
                <w:noProof/>
                <w:webHidden/>
              </w:rPr>
            </w:r>
            <w:r w:rsidR="00FD58BF">
              <w:rPr>
                <w:noProof/>
                <w:webHidden/>
              </w:rPr>
              <w:fldChar w:fldCharType="separate"/>
            </w:r>
            <w:r w:rsidR="00FD58BF">
              <w:rPr>
                <w:noProof/>
                <w:webHidden/>
              </w:rPr>
              <w:t>1165</w:t>
            </w:r>
            <w:r w:rsidR="00FD58BF">
              <w:rPr>
                <w:noProof/>
                <w:webHidden/>
              </w:rPr>
              <w:fldChar w:fldCharType="end"/>
            </w:r>
          </w:hyperlink>
        </w:p>
        <w:p w14:paraId="6D0281DC" w14:textId="13C5E83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6" w:history="1">
            <w:r w:rsidR="00FD58BF" w:rsidRPr="003004E5">
              <w:rPr>
                <w:rStyle w:val="Lienhypertexte"/>
                <w:noProof/>
              </w:rPr>
              <w:t>26.41.3f (titre réservé) CCTB 01.04</w:t>
            </w:r>
            <w:r w:rsidR="00FD58BF">
              <w:rPr>
                <w:noProof/>
                <w:webHidden/>
              </w:rPr>
              <w:tab/>
            </w:r>
            <w:r w:rsidR="00FD58BF">
              <w:rPr>
                <w:noProof/>
                <w:webHidden/>
              </w:rPr>
              <w:fldChar w:fldCharType="begin"/>
            </w:r>
            <w:r w:rsidR="00FD58BF">
              <w:rPr>
                <w:noProof/>
                <w:webHidden/>
              </w:rPr>
              <w:instrText xml:space="preserve"> PAGEREF _Toc178838986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143CD2BB" w14:textId="53589EC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7" w:history="1">
            <w:r w:rsidR="00FD58BF" w:rsidRPr="003004E5">
              <w:rPr>
                <w:rStyle w:val="Lienhypertexte"/>
                <w:noProof/>
              </w:rPr>
              <w:t>26.41.3g (titre réservé) CCTB 01.04</w:t>
            </w:r>
            <w:r w:rsidR="00FD58BF">
              <w:rPr>
                <w:noProof/>
                <w:webHidden/>
              </w:rPr>
              <w:tab/>
            </w:r>
            <w:r w:rsidR="00FD58BF">
              <w:rPr>
                <w:noProof/>
                <w:webHidden/>
              </w:rPr>
              <w:fldChar w:fldCharType="begin"/>
            </w:r>
            <w:r w:rsidR="00FD58BF">
              <w:rPr>
                <w:noProof/>
                <w:webHidden/>
              </w:rPr>
              <w:instrText xml:space="preserve"> PAGEREF _Toc178838987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7C6D0282" w14:textId="75DA43A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8" w:history="1">
            <w:r w:rsidR="00FD58BF" w:rsidRPr="003004E5">
              <w:rPr>
                <w:rStyle w:val="Lienhypertexte"/>
                <w:noProof/>
              </w:rPr>
              <w:t>26.41.3h (titre réservé) CCTB 01.04</w:t>
            </w:r>
            <w:r w:rsidR="00FD58BF">
              <w:rPr>
                <w:noProof/>
                <w:webHidden/>
              </w:rPr>
              <w:tab/>
            </w:r>
            <w:r w:rsidR="00FD58BF">
              <w:rPr>
                <w:noProof/>
                <w:webHidden/>
              </w:rPr>
              <w:fldChar w:fldCharType="begin"/>
            </w:r>
            <w:r w:rsidR="00FD58BF">
              <w:rPr>
                <w:noProof/>
                <w:webHidden/>
              </w:rPr>
              <w:instrText xml:space="preserve"> PAGEREF _Toc178838988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7D06265D" w14:textId="2E0681E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9" w:history="1">
            <w:r w:rsidR="00FD58BF" w:rsidRPr="003004E5">
              <w:rPr>
                <w:rStyle w:val="Lienhypertexte"/>
                <w:noProof/>
              </w:rPr>
              <w:t>26.41.3i (titre réservé)</w:t>
            </w:r>
            <w:r w:rsidR="00FD58BF">
              <w:rPr>
                <w:noProof/>
                <w:webHidden/>
              </w:rPr>
              <w:tab/>
            </w:r>
            <w:r w:rsidR="00FD58BF">
              <w:rPr>
                <w:noProof/>
                <w:webHidden/>
              </w:rPr>
              <w:fldChar w:fldCharType="begin"/>
            </w:r>
            <w:r w:rsidR="00FD58BF">
              <w:rPr>
                <w:noProof/>
                <w:webHidden/>
              </w:rPr>
              <w:instrText xml:space="preserve"> PAGEREF _Toc178838989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6FFAC8C6" w14:textId="357263C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0" w:history="1">
            <w:r w:rsidR="00FD58BF" w:rsidRPr="003004E5">
              <w:rPr>
                <w:rStyle w:val="Lienhypertexte"/>
                <w:noProof/>
              </w:rPr>
              <w:t>26.41.3j (titre réservé)</w:t>
            </w:r>
            <w:r w:rsidR="00FD58BF">
              <w:rPr>
                <w:noProof/>
                <w:webHidden/>
              </w:rPr>
              <w:tab/>
            </w:r>
            <w:r w:rsidR="00FD58BF">
              <w:rPr>
                <w:noProof/>
                <w:webHidden/>
              </w:rPr>
              <w:fldChar w:fldCharType="begin"/>
            </w:r>
            <w:r w:rsidR="00FD58BF">
              <w:rPr>
                <w:noProof/>
                <w:webHidden/>
              </w:rPr>
              <w:instrText xml:space="preserve"> PAGEREF _Toc178838990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02F5520A" w14:textId="26DACAE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1" w:history="1">
            <w:r w:rsidR="00FD58BF" w:rsidRPr="003004E5">
              <w:rPr>
                <w:rStyle w:val="Lienhypertexte"/>
                <w:noProof/>
              </w:rPr>
              <w:t>26.41.3k (titre réservé)</w:t>
            </w:r>
            <w:r w:rsidR="00FD58BF">
              <w:rPr>
                <w:noProof/>
                <w:webHidden/>
              </w:rPr>
              <w:tab/>
            </w:r>
            <w:r w:rsidR="00FD58BF">
              <w:rPr>
                <w:noProof/>
                <w:webHidden/>
              </w:rPr>
              <w:fldChar w:fldCharType="begin"/>
            </w:r>
            <w:r w:rsidR="00FD58BF">
              <w:rPr>
                <w:noProof/>
                <w:webHidden/>
              </w:rPr>
              <w:instrText xml:space="preserve"> PAGEREF _Toc178838991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1858F1B9" w14:textId="5A92ABB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2" w:history="1">
            <w:r w:rsidR="00FD58BF" w:rsidRPr="003004E5">
              <w:rPr>
                <w:rStyle w:val="Lienhypertexte"/>
                <w:noProof/>
              </w:rPr>
              <w:t>26.41.3l (titre réservé)</w:t>
            </w:r>
            <w:r w:rsidR="00FD58BF">
              <w:rPr>
                <w:noProof/>
                <w:webHidden/>
              </w:rPr>
              <w:tab/>
            </w:r>
            <w:r w:rsidR="00FD58BF">
              <w:rPr>
                <w:noProof/>
                <w:webHidden/>
              </w:rPr>
              <w:fldChar w:fldCharType="begin"/>
            </w:r>
            <w:r w:rsidR="00FD58BF">
              <w:rPr>
                <w:noProof/>
                <w:webHidden/>
              </w:rPr>
              <w:instrText xml:space="preserve"> PAGEREF _Toc178838992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273E0081" w14:textId="6139581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3" w:history="1">
            <w:r w:rsidR="00FD58BF" w:rsidRPr="003004E5">
              <w:rPr>
                <w:rStyle w:val="Lienhypertexte"/>
                <w:noProof/>
              </w:rPr>
              <w:t>26.41.4 (titre réservé) CCTB 01.04</w:t>
            </w:r>
            <w:r w:rsidR="00FD58BF">
              <w:rPr>
                <w:noProof/>
                <w:webHidden/>
              </w:rPr>
              <w:tab/>
            </w:r>
            <w:r w:rsidR="00FD58BF">
              <w:rPr>
                <w:noProof/>
                <w:webHidden/>
              </w:rPr>
              <w:fldChar w:fldCharType="begin"/>
            </w:r>
            <w:r w:rsidR="00FD58BF">
              <w:rPr>
                <w:noProof/>
                <w:webHidden/>
              </w:rPr>
              <w:instrText xml:space="preserve"> PAGEREF _Toc178838993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10A62B7C" w14:textId="7C3A409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4" w:history="1">
            <w:r w:rsidR="00FD58BF" w:rsidRPr="003004E5">
              <w:rPr>
                <w:rStyle w:val="Lienhypertexte"/>
                <w:noProof/>
              </w:rPr>
              <w:t>26.41.5 (titre réservé) CCTB 01.04</w:t>
            </w:r>
            <w:r w:rsidR="00FD58BF">
              <w:rPr>
                <w:noProof/>
                <w:webHidden/>
              </w:rPr>
              <w:tab/>
            </w:r>
            <w:r w:rsidR="00FD58BF">
              <w:rPr>
                <w:noProof/>
                <w:webHidden/>
              </w:rPr>
              <w:fldChar w:fldCharType="begin"/>
            </w:r>
            <w:r w:rsidR="00FD58BF">
              <w:rPr>
                <w:noProof/>
                <w:webHidden/>
              </w:rPr>
              <w:instrText xml:space="preserve"> PAGEREF _Toc178838994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51DEE69F" w14:textId="33886FC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5" w:history="1">
            <w:r w:rsidR="00FD58BF" w:rsidRPr="003004E5">
              <w:rPr>
                <w:rStyle w:val="Lienhypertexte"/>
                <w:noProof/>
              </w:rPr>
              <w:t>26.41.6 (titre réservé) CCTB 01.04</w:t>
            </w:r>
            <w:r w:rsidR="00FD58BF">
              <w:rPr>
                <w:noProof/>
                <w:webHidden/>
              </w:rPr>
              <w:tab/>
            </w:r>
            <w:r w:rsidR="00FD58BF">
              <w:rPr>
                <w:noProof/>
                <w:webHidden/>
              </w:rPr>
              <w:fldChar w:fldCharType="begin"/>
            </w:r>
            <w:r w:rsidR="00FD58BF">
              <w:rPr>
                <w:noProof/>
                <w:webHidden/>
              </w:rPr>
              <w:instrText xml:space="preserve"> PAGEREF _Toc178838995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6F4252E7" w14:textId="7F17D76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96" w:history="1">
            <w:r w:rsidR="00FD58BF" w:rsidRPr="003004E5">
              <w:rPr>
                <w:rStyle w:val="Lienhypertexte"/>
                <w:noProof/>
              </w:rPr>
              <w:t>26.42 Isolation en rouleaux/matelas CCTB 01.02</w:t>
            </w:r>
            <w:r w:rsidR="00FD58BF">
              <w:rPr>
                <w:noProof/>
                <w:webHidden/>
              </w:rPr>
              <w:tab/>
            </w:r>
            <w:r w:rsidR="00FD58BF">
              <w:rPr>
                <w:noProof/>
                <w:webHidden/>
              </w:rPr>
              <w:fldChar w:fldCharType="begin"/>
            </w:r>
            <w:r w:rsidR="00FD58BF">
              <w:rPr>
                <w:noProof/>
                <w:webHidden/>
              </w:rPr>
              <w:instrText xml:space="preserve"> PAGEREF _Toc178838996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5E734C65" w14:textId="346BD36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7" w:history="1">
            <w:r w:rsidR="00FD58BF" w:rsidRPr="003004E5">
              <w:rPr>
                <w:rStyle w:val="Lienhypertexte"/>
                <w:noProof/>
              </w:rPr>
              <w:t>26.42.1 (titre réservé) CCTB 01.04</w:t>
            </w:r>
            <w:r w:rsidR="00FD58BF">
              <w:rPr>
                <w:noProof/>
                <w:webHidden/>
              </w:rPr>
              <w:tab/>
            </w:r>
            <w:r w:rsidR="00FD58BF">
              <w:rPr>
                <w:noProof/>
                <w:webHidden/>
              </w:rPr>
              <w:fldChar w:fldCharType="begin"/>
            </w:r>
            <w:r w:rsidR="00FD58BF">
              <w:rPr>
                <w:noProof/>
                <w:webHidden/>
              </w:rPr>
              <w:instrText xml:space="preserve"> PAGEREF _Toc178838997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0846AEDD" w14:textId="5D82011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8" w:history="1">
            <w:r w:rsidR="00FD58BF" w:rsidRPr="003004E5">
              <w:rPr>
                <w:rStyle w:val="Lienhypertexte"/>
                <w:noProof/>
              </w:rPr>
              <w:t>26.42.2 Isolation en rouleaux/matelas - matières minérales CCTB 01.04</w:t>
            </w:r>
            <w:r w:rsidR="00FD58BF">
              <w:rPr>
                <w:noProof/>
                <w:webHidden/>
              </w:rPr>
              <w:tab/>
            </w:r>
            <w:r w:rsidR="00FD58BF">
              <w:rPr>
                <w:noProof/>
                <w:webHidden/>
              </w:rPr>
              <w:fldChar w:fldCharType="begin"/>
            </w:r>
            <w:r w:rsidR="00FD58BF">
              <w:rPr>
                <w:noProof/>
                <w:webHidden/>
              </w:rPr>
              <w:instrText xml:space="preserve"> PAGEREF _Toc178838998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1AAF048B" w14:textId="4243E1C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9" w:history="1">
            <w:r w:rsidR="00FD58BF" w:rsidRPr="003004E5">
              <w:rPr>
                <w:rStyle w:val="Lienhypertexte"/>
                <w:noProof/>
              </w:rPr>
              <w:t>26.42.2a Isolation en rouleaux/matelas - laine minérale (MW) CCTB 01.12</w:t>
            </w:r>
            <w:r w:rsidR="00FD58BF">
              <w:rPr>
                <w:noProof/>
                <w:webHidden/>
              </w:rPr>
              <w:tab/>
            </w:r>
            <w:r w:rsidR="00FD58BF">
              <w:rPr>
                <w:noProof/>
                <w:webHidden/>
              </w:rPr>
              <w:fldChar w:fldCharType="begin"/>
            </w:r>
            <w:r w:rsidR="00FD58BF">
              <w:rPr>
                <w:noProof/>
                <w:webHidden/>
              </w:rPr>
              <w:instrText xml:space="preserve"> PAGEREF _Toc178838999 \h </w:instrText>
            </w:r>
            <w:r w:rsidR="00FD58BF">
              <w:rPr>
                <w:noProof/>
                <w:webHidden/>
              </w:rPr>
            </w:r>
            <w:r w:rsidR="00FD58BF">
              <w:rPr>
                <w:noProof/>
                <w:webHidden/>
              </w:rPr>
              <w:fldChar w:fldCharType="separate"/>
            </w:r>
            <w:r w:rsidR="00FD58BF">
              <w:rPr>
                <w:noProof/>
                <w:webHidden/>
              </w:rPr>
              <w:t>1166</w:t>
            </w:r>
            <w:r w:rsidR="00FD58BF">
              <w:rPr>
                <w:noProof/>
                <w:webHidden/>
              </w:rPr>
              <w:fldChar w:fldCharType="end"/>
            </w:r>
          </w:hyperlink>
        </w:p>
        <w:p w14:paraId="474DFB13" w14:textId="0E3D334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0" w:history="1">
            <w:r w:rsidR="00FD58BF" w:rsidRPr="003004E5">
              <w:rPr>
                <w:rStyle w:val="Lienhypertexte"/>
                <w:noProof/>
              </w:rPr>
              <w:t>26.42.3 Isolation en rouleaux/matelas - matières végétales CCTB 01.04</w:t>
            </w:r>
            <w:r w:rsidR="00FD58BF">
              <w:rPr>
                <w:noProof/>
                <w:webHidden/>
              </w:rPr>
              <w:tab/>
            </w:r>
            <w:r w:rsidR="00FD58BF">
              <w:rPr>
                <w:noProof/>
                <w:webHidden/>
              </w:rPr>
              <w:fldChar w:fldCharType="begin"/>
            </w:r>
            <w:r w:rsidR="00FD58BF">
              <w:rPr>
                <w:noProof/>
                <w:webHidden/>
              </w:rPr>
              <w:instrText xml:space="preserve"> PAGEREF _Toc178839000 \h </w:instrText>
            </w:r>
            <w:r w:rsidR="00FD58BF">
              <w:rPr>
                <w:noProof/>
                <w:webHidden/>
              </w:rPr>
            </w:r>
            <w:r w:rsidR="00FD58BF">
              <w:rPr>
                <w:noProof/>
                <w:webHidden/>
              </w:rPr>
              <w:fldChar w:fldCharType="separate"/>
            </w:r>
            <w:r w:rsidR="00FD58BF">
              <w:rPr>
                <w:noProof/>
                <w:webHidden/>
              </w:rPr>
              <w:t>1170</w:t>
            </w:r>
            <w:r w:rsidR="00FD58BF">
              <w:rPr>
                <w:noProof/>
                <w:webHidden/>
              </w:rPr>
              <w:fldChar w:fldCharType="end"/>
            </w:r>
          </w:hyperlink>
        </w:p>
        <w:p w14:paraId="15A5D2AF" w14:textId="295FC91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1" w:history="1">
            <w:r w:rsidR="00FD58BF" w:rsidRPr="003004E5">
              <w:rPr>
                <w:rStyle w:val="Lienhypertexte"/>
                <w:noProof/>
              </w:rPr>
              <w:t>26.42.3a Isolation en rouleaux/matelas - liège (ICB) CCTB 01.11</w:t>
            </w:r>
            <w:r w:rsidR="00FD58BF">
              <w:rPr>
                <w:noProof/>
                <w:webHidden/>
              </w:rPr>
              <w:tab/>
            </w:r>
            <w:r w:rsidR="00FD58BF">
              <w:rPr>
                <w:noProof/>
                <w:webHidden/>
              </w:rPr>
              <w:fldChar w:fldCharType="begin"/>
            </w:r>
            <w:r w:rsidR="00FD58BF">
              <w:rPr>
                <w:noProof/>
                <w:webHidden/>
              </w:rPr>
              <w:instrText xml:space="preserve"> PAGEREF _Toc178839001 \h </w:instrText>
            </w:r>
            <w:r w:rsidR="00FD58BF">
              <w:rPr>
                <w:noProof/>
                <w:webHidden/>
              </w:rPr>
            </w:r>
            <w:r w:rsidR="00FD58BF">
              <w:rPr>
                <w:noProof/>
                <w:webHidden/>
              </w:rPr>
              <w:fldChar w:fldCharType="separate"/>
            </w:r>
            <w:r w:rsidR="00FD58BF">
              <w:rPr>
                <w:noProof/>
                <w:webHidden/>
              </w:rPr>
              <w:t>1170</w:t>
            </w:r>
            <w:r w:rsidR="00FD58BF">
              <w:rPr>
                <w:noProof/>
                <w:webHidden/>
              </w:rPr>
              <w:fldChar w:fldCharType="end"/>
            </w:r>
          </w:hyperlink>
        </w:p>
        <w:p w14:paraId="159041B1" w14:textId="60D54D0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2" w:history="1">
            <w:r w:rsidR="00FD58BF" w:rsidRPr="003004E5">
              <w:rPr>
                <w:rStyle w:val="Lienhypertexte"/>
                <w:noProof/>
              </w:rPr>
              <w:t>26.42.3b (titre réservé) CCTB 01.04</w:t>
            </w:r>
            <w:r w:rsidR="00FD58BF">
              <w:rPr>
                <w:noProof/>
                <w:webHidden/>
              </w:rPr>
              <w:tab/>
            </w:r>
            <w:r w:rsidR="00FD58BF">
              <w:rPr>
                <w:noProof/>
                <w:webHidden/>
              </w:rPr>
              <w:fldChar w:fldCharType="begin"/>
            </w:r>
            <w:r w:rsidR="00FD58BF">
              <w:rPr>
                <w:noProof/>
                <w:webHidden/>
              </w:rPr>
              <w:instrText xml:space="preserve"> PAGEREF _Toc178839002 \h </w:instrText>
            </w:r>
            <w:r w:rsidR="00FD58BF">
              <w:rPr>
                <w:noProof/>
                <w:webHidden/>
              </w:rPr>
            </w:r>
            <w:r w:rsidR="00FD58BF">
              <w:rPr>
                <w:noProof/>
                <w:webHidden/>
              </w:rPr>
              <w:fldChar w:fldCharType="separate"/>
            </w:r>
            <w:r w:rsidR="00FD58BF">
              <w:rPr>
                <w:noProof/>
                <w:webHidden/>
              </w:rPr>
              <w:t>1170</w:t>
            </w:r>
            <w:r w:rsidR="00FD58BF">
              <w:rPr>
                <w:noProof/>
                <w:webHidden/>
              </w:rPr>
              <w:fldChar w:fldCharType="end"/>
            </w:r>
          </w:hyperlink>
        </w:p>
        <w:p w14:paraId="5A34ED07" w14:textId="4352F3F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3" w:history="1">
            <w:r w:rsidR="00FD58BF" w:rsidRPr="003004E5">
              <w:rPr>
                <w:rStyle w:val="Lienhypertexte"/>
                <w:noProof/>
              </w:rPr>
              <w:t>26.42.3c (titre réservé) CCTB 01.04</w:t>
            </w:r>
            <w:r w:rsidR="00FD58BF">
              <w:rPr>
                <w:noProof/>
                <w:webHidden/>
              </w:rPr>
              <w:tab/>
            </w:r>
            <w:r w:rsidR="00FD58BF">
              <w:rPr>
                <w:noProof/>
                <w:webHidden/>
              </w:rPr>
              <w:fldChar w:fldCharType="begin"/>
            </w:r>
            <w:r w:rsidR="00FD58BF">
              <w:rPr>
                <w:noProof/>
                <w:webHidden/>
              </w:rPr>
              <w:instrText xml:space="preserve"> PAGEREF _Toc178839003 \h </w:instrText>
            </w:r>
            <w:r w:rsidR="00FD58BF">
              <w:rPr>
                <w:noProof/>
                <w:webHidden/>
              </w:rPr>
            </w:r>
            <w:r w:rsidR="00FD58BF">
              <w:rPr>
                <w:noProof/>
                <w:webHidden/>
              </w:rPr>
              <w:fldChar w:fldCharType="separate"/>
            </w:r>
            <w:r w:rsidR="00FD58BF">
              <w:rPr>
                <w:noProof/>
                <w:webHidden/>
              </w:rPr>
              <w:t>1170</w:t>
            </w:r>
            <w:r w:rsidR="00FD58BF">
              <w:rPr>
                <w:noProof/>
                <w:webHidden/>
              </w:rPr>
              <w:fldChar w:fldCharType="end"/>
            </w:r>
          </w:hyperlink>
        </w:p>
        <w:p w14:paraId="3B761B8E" w14:textId="7D7185C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4" w:history="1">
            <w:r w:rsidR="00FD58BF" w:rsidRPr="003004E5">
              <w:rPr>
                <w:rStyle w:val="Lienhypertexte"/>
                <w:noProof/>
              </w:rPr>
              <w:t>26.42.3d (titre réservé) CCTB 01.04</w:t>
            </w:r>
            <w:r w:rsidR="00FD58BF">
              <w:rPr>
                <w:noProof/>
                <w:webHidden/>
              </w:rPr>
              <w:tab/>
            </w:r>
            <w:r w:rsidR="00FD58BF">
              <w:rPr>
                <w:noProof/>
                <w:webHidden/>
              </w:rPr>
              <w:fldChar w:fldCharType="begin"/>
            </w:r>
            <w:r w:rsidR="00FD58BF">
              <w:rPr>
                <w:noProof/>
                <w:webHidden/>
              </w:rPr>
              <w:instrText xml:space="preserve"> PAGEREF _Toc178839004 \h </w:instrText>
            </w:r>
            <w:r w:rsidR="00FD58BF">
              <w:rPr>
                <w:noProof/>
                <w:webHidden/>
              </w:rPr>
            </w:r>
            <w:r w:rsidR="00FD58BF">
              <w:rPr>
                <w:noProof/>
                <w:webHidden/>
              </w:rPr>
              <w:fldChar w:fldCharType="separate"/>
            </w:r>
            <w:r w:rsidR="00FD58BF">
              <w:rPr>
                <w:noProof/>
                <w:webHidden/>
              </w:rPr>
              <w:t>1170</w:t>
            </w:r>
            <w:r w:rsidR="00FD58BF">
              <w:rPr>
                <w:noProof/>
                <w:webHidden/>
              </w:rPr>
              <w:fldChar w:fldCharType="end"/>
            </w:r>
          </w:hyperlink>
        </w:p>
        <w:p w14:paraId="3D0BF3A6" w14:textId="1A203B0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5" w:history="1">
            <w:r w:rsidR="00FD58BF" w:rsidRPr="003004E5">
              <w:rPr>
                <w:rStyle w:val="Lienhypertexte"/>
                <w:noProof/>
              </w:rPr>
              <w:t>26.42.3e (titre réservé) CCTB 01.04</w:t>
            </w:r>
            <w:r w:rsidR="00FD58BF">
              <w:rPr>
                <w:noProof/>
                <w:webHidden/>
              </w:rPr>
              <w:tab/>
            </w:r>
            <w:r w:rsidR="00FD58BF">
              <w:rPr>
                <w:noProof/>
                <w:webHidden/>
              </w:rPr>
              <w:fldChar w:fldCharType="begin"/>
            </w:r>
            <w:r w:rsidR="00FD58BF">
              <w:rPr>
                <w:noProof/>
                <w:webHidden/>
              </w:rPr>
              <w:instrText xml:space="preserve"> PAGEREF _Toc178839005 \h </w:instrText>
            </w:r>
            <w:r w:rsidR="00FD58BF">
              <w:rPr>
                <w:noProof/>
                <w:webHidden/>
              </w:rPr>
            </w:r>
            <w:r w:rsidR="00FD58BF">
              <w:rPr>
                <w:noProof/>
                <w:webHidden/>
              </w:rPr>
              <w:fldChar w:fldCharType="separate"/>
            </w:r>
            <w:r w:rsidR="00FD58BF">
              <w:rPr>
                <w:noProof/>
                <w:webHidden/>
              </w:rPr>
              <w:t>1170</w:t>
            </w:r>
            <w:r w:rsidR="00FD58BF">
              <w:rPr>
                <w:noProof/>
                <w:webHidden/>
              </w:rPr>
              <w:fldChar w:fldCharType="end"/>
            </w:r>
          </w:hyperlink>
        </w:p>
        <w:p w14:paraId="0E8EF1B6" w14:textId="03996AA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6" w:history="1">
            <w:r w:rsidR="00FD58BF" w:rsidRPr="003004E5">
              <w:rPr>
                <w:rStyle w:val="Lienhypertexte"/>
                <w:noProof/>
              </w:rPr>
              <w:t>26.42.3f (titre réservé)</w:t>
            </w:r>
            <w:r w:rsidR="00FD58BF">
              <w:rPr>
                <w:noProof/>
                <w:webHidden/>
              </w:rPr>
              <w:tab/>
            </w:r>
            <w:r w:rsidR="00FD58BF">
              <w:rPr>
                <w:noProof/>
                <w:webHidden/>
              </w:rPr>
              <w:fldChar w:fldCharType="begin"/>
            </w:r>
            <w:r w:rsidR="00FD58BF">
              <w:rPr>
                <w:noProof/>
                <w:webHidden/>
              </w:rPr>
              <w:instrText xml:space="preserve"> PAGEREF _Toc178839006 \h </w:instrText>
            </w:r>
            <w:r w:rsidR="00FD58BF">
              <w:rPr>
                <w:noProof/>
                <w:webHidden/>
              </w:rPr>
            </w:r>
            <w:r w:rsidR="00FD58BF">
              <w:rPr>
                <w:noProof/>
                <w:webHidden/>
              </w:rPr>
              <w:fldChar w:fldCharType="separate"/>
            </w:r>
            <w:r w:rsidR="00FD58BF">
              <w:rPr>
                <w:noProof/>
                <w:webHidden/>
              </w:rPr>
              <w:t>1170</w:t>
            </w:r>
            <w:r w:rsidR="00FD58BF">
              <w:rPr>
                <w:noProof/>
                <w:webHidden/>
              </w:rPr>
              <w:fldChar w:fldCharType="end"/>
            </w:r>
          </w:hyperlink>
        </w:p>
        <w:p w14:paraId="1CDB94C2" w14:textId="4E763B7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7" w:history="1">
            <w:r w:rsidR="00FD58BF" w:rsidRPr="003004E5">
              <w:rPr>
                <w:rStyle w:val="Lienhypertexte"/>
                <w:noProof/>
              </w:rPr>
              <w:t>26.42.3g (titre réservé)</w:t>
            </w:r>
            <w:r w:rsidR="00FD58BF">
              <w:rPr>
                <w:noProof/>
                <w:webHidden/>
              </w:rPr>
              <w:tab/>
            </w:r>
            <w:r w:rsidR="00FD58BF">
              <w:rPr>
                <w:noProof/>
                <w:webHidden/>
              </w:rPr>
              <w:fldChar w:fldCharType="begin"/>
            </w:r>
            <w:r w:rsidR="00FD58BF">
              <w:rPr>
                <w:noProof/>
                <w:webHidden/>
              </w:rPr>
              <w:instrText xml:space="preserve"> PAGEREF _Toc178839007 \h </w:instrText>
            </w:r>
            <w:r w:rsidR="00FD58BF">
              <w:rPr>
                <w:noProof/>
                <w:webHidden/>
              </w:rPr>
            </w:r>
            <w:r w:rsidR="00FD58BF">
              <w:rPr>
                <w:noProof/>
                <w:webHidden/>
              </w:rPr>
              <w:fldChar w:fldCharType="separate"/>
            </w:r>
            <w:r w:rsidR="00FD58BF">
              <w:rPr>
                <w:noProof/>
                <w:webHidden/>
              </w:rPr>
              <w:t>1170</w:t>
            </w:r>
            <w:r w:rsidR="00FD58BF">
              <w:rPr>
                <w:noProof/>
                <w:webHidden/>
              </w:rPr>
              <w:fldChar w:fldCharType="end"/>
            </w:r>
          </w:hyperlink>
        </w:p>
        <w:p w14:paraId="2EE68E73" w14:textId="59B95D4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8" w:history="1">
            <w:r w:rsidR="00FD58BF" w:rsidRPr="003004E5">
              <w:rPr>
                <w:rStyle w:val="Lienhypertexte"/>
                <w:noProof/>
              </w:rPr>
              <w:t>26.42.4 (titre réservé) CCTB 01.04</w:t>
            </w:r>
            <w:r w:rsidR="00FD58BF">
              <w:rPr>
                <w:noProof/>
                <w:webHidden/>
              </w:rPr>
              <w:tab/>
            </w:r>
            <w:r w:rsidR="00FD58BF">
              <w:rPr>
                <w:noProof/>
                <w:webHidden/>
              </w:rPr>
              <w:fldChar w:fldCharType="begin"/>
            </w:r>
            <w:r w:rsidR="00FD58BF">
              <w:rPr>
                <w:noProof/>
                <w:webHidden/>
              </w:rPr>
              <w:instrText xml:space="preserve"> PAGEREF _Toc178839008 \h </w:instrText>
            </w:r>
            <w:r w:rsidR="00FD58BF">
              <w:rPr>
                <w:noProof/>
                <w:webHidden/>
              </w:rPr>
            </w:r>
            <w:r w:rsidR="00FD58BF">
              <w:rPr>
                <w:noProof/>
                <w:webHidden/>
              </w:rPr>
              <w:fldChar w:fldCharType="separate"/>
            </w:r>
            <w:r w:rsidR="00FD58BF">
              <w:rPr>
                <w:noProof/>
                <w:webHidden/>
              </w:rPr>
              <w:t>1171</w:t>
            </w:r>
            <w:r w:rsidR="00FD58BF">
              <w:rPr>
                <w:noProof/>
                <w:webHidden/>
              </w:rPr>
              <w:fldChar w:fldCharType="end"/>
            </w:r>
          </w:hyperlink>
        </w:p>
        <w:p w14:paraId="5DF39F8D" w14:textId="312369D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9" w:history="1">
            <w:r w:rsidR="00FD58BF" w:rsidRPr="003004E5">
              <w:rPr>
                <w:rStyle w:val="Lienhypertexte"/>
                <w:noProof/>
              </w:rPr>
              <w:t>26.42.5 Isolation en rouleaux/matelas - matières composites CCTB 01.02</w:t>
            </w:r>
            <w:r w:rsidR="00FD58BF">
              <w:rPr>
                <w:noProof/>
                <w:webHidden/>
              </w:rPr>
              <w:tab/>
            </w:r>
            <w:r w:rsidR="00FD58BF">
              <w:rPr>
                <w:noProof/>
                <w:webHidden/>
              </w:rPr>
              <w:fldChar w:fldCharType="begin"/>
            </w:r>
            <w:r w:rsidR="00FD58BF">
              <w:rPr>
                <w:noProof/>
                <w:webHidden/>
              </w:rPr>
              <w:instrText xml:space="preserve"> PAGEREF _Toc178839009 \h </w:instrText>
            </w:r>
            <w:r w:rsidR="00FD58BF">
              <w:rPr>
                <w:noProof/>
                <w:webHidden/>
              </w:rPr>
            </w:r>
            <w:r w:rsidR="00FD58BF">
              <w:rPr>
                <w:noProof/>
                <w:webHidden/>
              </w:rPr>
              <w:fldChar w:fldCharType="separate"/>
            </w:r>
            <w:r w:rsidR="00FD58BF">
              <w:rPr>
                <w:noProof/>
                <w:webHidden/>
              </w:rPr>
              <w:t>1171</w:t>
            </w:r>
            <w:r w:rsidR="00FD58BF">
              <w:rPr>
                <w:noProof/>
                <w:webHidden/>
              </w:rPr>
              <w:fldChar w:fldCharType="end"/>
            </w:r>
          </w:hyperlink>
        </w:p>
        <w:p w14:paraId="663CD2E4" w14:textId="22813A7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0" w:history="1">
            <w:r w:rsidR="00FD58BF" w:rsidRPr="003004E5">
              <w:rPr>
                <w:rStyle w:val="Lienhypertexte"/>
                <w:noProof/>
              </w:rPr>
              <w:t>26.42.5a Isolation en rouleaux/matelas - matières composites CCTB 01.02</w:t>
            </w:r>
            <w:r w:rsidR="00FD58BF">
              <w:rPr>
                <w:noProof/>
                <w:webHidden/>
              </w:rPr>
              <w:tab/>
            </w:r>
            <w:r w:rsidR="00FD58BF">
              <w:rPr>
                <w:noProof/>
                <w:webHidden/>
              </w:rPr>
              <w:fldChar w:fldCharType="begin"/>
            </w:r>
            <w:r w:rsidR="00FD58BF">
              <w:rPr>
                <w:noProof/>
                <w:webHidden/>
              </w:rPr>
              <w:instrText xml:space="preserve"> PAGEREF _Toc178839010 \h </w:instrText>
            </w:r>
            <w:r w:rsidR="00FD58BF">
              <w:rPr>
                <w:noProof/>
                <w:webHidden/>
              </w:rPr>
            </w:r>
            <w:r w:rsidR="00FD58BF">
              <w:rPr>
                <w:noProof/>
                <w:webHidden/>
              </w:rPr>
              <w:fldChar w:fldCharType="separate"/>
            </w:r>
            <w:r w:rsidR="00FD58BF">
              <w:rPr>
                <w:noProof/>
                <w:webHidden/>
              </w:rPr>
              <w:t>1171</w:t>
            </w:r>
            <w:r w:rsidR="00FD58BF">
              <w:rPr>
                <w:noProof/>
                <w:webHidden/>
              </w:rPr>
              <w:fldChar w:fldCharType="end"/>
            </w:r>
          </w:hyperlink>
        </w:p>
        <w:p w14:paraId="46735988" w14:textId="7FB6472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11" w:history="1">
            <w:r w:rsidR="00FD58BF" w:rsidRPr="003004E5">
              <w:rPr>
                <w:rStyle w:val="Lienhypertexte"/>
                <w:noProof/>
              </w:rPr>
              <w:t>26.43 Isolation à projeter CCTB 01.11</w:t>
            </w:r>
            <w:r w:rsidR="00FD58BF">
              <w:rPr>
                <w:noProof/>
                <w:webHidden/>
              </w:rPr>
              <w:tab/>
            </w:r>
            <w:r w:rsidR="00FD58BF">
              <w:rPr>
                <w:noProof/>
                <w:webHidden/>
              </w:rPr>
              <w:fldChar w:fldCharType="begin"/>
            </w:r>
            <w:r w:rsidR="00FD58BF">
              <w:rPr>
                <w:noProof/>
                <w:webHidden/>
              </w:rPr>
              <w:instrText xml:space="preserve"> PAGEREF _Toc178839011 \h </w:instrText>
            </w:r>
            <w:r w:rsidR="00FD58BF">
              <w:rPr>
                <w:noProof/>
                <w:webHidden/>
              </w:rPr>
            </w:r>
            <w:r w:rsidR="00FD58BF">
              <w:rPr>
                <w:noProof/>
                <w:webHidden/>
              </w:rPr>
              <w:fldChar w:fldCharType="separate"/>
            </w:r>
            <w:r w:rsidR="00FD58BF">
              <w:rPr>
                <w:noProof/>
                <w:webHidden/>
              </w:rPr>
              <w:t>1171</w:t>
            </w:r>
            <w:r w:rsidR="00FD58BF">
              <w:rPr>
                <w:noProof/>
                <w:webHidden/>
              </w:rPr>
              <w:fldChar w:fldCharType="end"/>
            </w:r>
          </w:hyperlink>
        </w:p>
        <w:p w14:paraId="523E950A" w14:textId="1720E5A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2" w:history="1">
            <w:r w:rsidR="00FD58BF" w:rsidRPr="003004E5">
              <w:rPr>
                <w:rStyle w:val="Lienhypertexte"/>
                <w:noProof/>
              </w:rPr>
              <w:t>26.43.1 Isolation à projeter - matières synthétiques CCTB 01.04</w:t>
            </w:r>
            <w:r w:rsidR="00FD58BF">
              <w:rPr>
                <w:noProof/>
                <w:webHidden/>
              </w:rPr>
              <w:tab/>
            </w:r>
            <w:r w:rsidR="00FD58BF">
              <w:rPr>
                <w:noProof/>
                <w:webHidden/>
              </w:rPr>
              <w:fldChar w:fldCharType="begin"/>
            </w:r>
            <w:r w:rsidR="00FD58BF">
              <w:rPr>
                <w:noProof/>
                <w:webHidden/>
              </w:rPr>
              <w:instrText xml:space="preserve"> PAGEREF _Toc178839012 \h </w:instrText>
            </w:r>
            <w:r w:rsidR="00FD58BF">
              <w:rPr>
                <w:noProof/>
                <w:webHidden/>
              </w:rPr>
            </w:r>
            <w:r w:rsidR="00FD58BF">
              <w:rPr>
                <w:noProof/>
                <w:webHidden/>
              </w:rPr>
              <w:fldChar w:fldCharType="separate"/>
            </w:r>
            <w:r w:rsidR="00FD58BF">
              <w:rPr>
                <w:noProof/>
                <w:webHidden/>
              </w:rPr>
              <w:t>1171</w:t>
            </w:r>
            <w:r w:rsidR="00FD58BF">
              <w:rPr>
                <w:noProof/>
                <w:webHidden/>
              </w:rPr>
              <w:fldChar w:fldCharType="end"/>
            </w:r>
          </w:hyperlink>
        </w:p>
        <w:p w14:paraId="45E88A48" w14:textId="561732B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3" w:history="1">
            <w:r w:rsidR="00FD58BF" w:rsidRPr="003004E5">
              <w:rPr>
                <w:rStyle w:val="Lienhypertexte"/>
                <w:noProof/>
              </w:rPr>
              <w:t>26.43.1a Isolation à projeter - polyuréthane (PUR) CCTB 01.11</w:t>
            </w:r>
            <w:r w:rsidR="00FD58BF">
              <w:rPr>
                <w:noProof/>
                <w:webHidden/>
              </w:rPr>
              <w:tab/>
            </w:r>
            <w:r w:rsidR="00FD58BF">
              <w:rPr>
                <w:noProof/>
                <w:webHidden/>
              </w:rPr>
              <w:fldChar w:fldCharType="begin"/>
            </w:r>
            <w:r w:rsidR="00FD58BF">
              <w:rPr>
                <w:noProof/>
                <w:webHidden/>
              </w:rPr>
              <w:instrText xml:space="preserve"> PAGEREF _Toc178839013 \h </w:instrText>
            </w:r>
            <w:r w:rsidR="00FD58BF">
              <w:rPr>
                <w:noProof/>
                <w:webHidden/>
              </w:rPr>
            </w:r>
            <w:r w:rsidR="00FD58BF">
              <w:rPr>
                <w:noProof/>
                <w:webHidden/>
              </w:rPr>
              <w:fldChar w:fldCharType="separate"/>
            </w:r>
            <w:r w:rsidR="00FD58BF">
              <w:rPr>
                <w:noProof/>
                <w:webHidden/>
              </w:rPr>
              <w:t>1171</w:t>
            </w:r>
            <w:r w:rsidR="00FD58BF">
              <w:rPr>
                <w:noProof/>
                <w:webHidden/>
              </w:rPr>
              <w:fldChar w:fldCharType="end"/>
            </w:r>
          </w:hyperlink>
        </w:p>
        <w:p w14:paraId="050DCA58" w14:textId="7E7BCB9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4" w:history="1">
            <w:r w:rsidR="00FD58BF" w:rsidRPr="003004E5">
              <w:rPr>
                <w:rStyle w:val="Lienhypertexte"/>
                <w:noProof/>
              </w:rPr>
              <w:t>26.43.1b Isolation à projeter - polyisocyanurate (PIR) CCTB 01.04</w:t>
            </w:r>
            <w:r w:rsidR="00FD58BF">
              <w:rPr>
                <w:noProof/>
                <w:webHidden/>
              </w:rPr>
              <w:tab/>
            </w:r>
            <w:r w:rsidR="00FD58BF">
              <w:rPr>
                <w:noProof/>
                <w:webHidden/>
              </w:rPr>
              <w:fldChar w:fldCharType="begin"/>
            </w:r>
            <w:r w:rsidR="00FD58BF">
              <w:rPr>
                <w:noProof/>
                <w:webHidden/>
              </w:rPr>
              <w:instrText xml:space="preserve"> PAGEREF _Toc178839014 \h </w:instrText>
            </w:r>
            <w:r w:rsidR="00FD58BF">
              <w:rPr>
                <w:noProof/>
                <w:webHidden/>
              </w:rPr>
            </w:r>
            <w:r w:rsidR="00FD58BF">
              <w:rPr>
                <w:noProof/>
                <w:webHidden/>
              </w:rPr>
              <w:fldChar w:fldCharType="separate"/>
            </w:r>
            <w:r w:rsidR="00FD58BF">
              <w:rPr>
                <w:noProof/>
                <w:webHidden/>
              </w:rPr>
              <w:t>1172</w:t>
            </w:r>
            <w:r w:rsidR="00FD58BF">
              <w:rPr>
                <w:noProof/>
                <w:webHidden/>
              </w:rPr>
              <w:fldChar w:fldCharType="end"/>
            </w:r>
          </w:hyperlink>
        </w:p>
        <w:p w14:paraId="7D1851CE" w14:textId="0AD253C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5" w:history="1">
            <w:r w:rsidR="00FD58BF" w:rsidRPr="003004E5">
              <w:rPr>
                <w:rStyle w:val="Lienhypertexte"/>
                <w:noProof/>
              </w:rPr>
              <w:t>26.43.1c Isolation à projeter - mousse phénolique (PF) CCTB 01.02</w:t>
            </w:r>
            <w:r w:rsidR="00FD58BF">
              <w:rPr>
                <w:noProof/>
                <w:webHidden/>
              </w:rPr>
              <w:tab/>
            </w:r>
            <w:r w:rsidR="00FD58BF">
              <w:rPr>
                <w:noProof/>
                <w:webHidden/>
              </w:rPr>
              <w:fldChar w:fldCharType="begin"/>
            </w:r>
            <w:r w:rsidR="00FD58BF">
              <w:rPr>
                <w:noProof/>
                <w:webHidden/>
              </w:rPr>
              <w:instrText xml:space="preserve"> PAGEREF _Toc178839015 \h </w:instrText>
            </w:r>
            <w:r w:rsidR="00FD58BF">
              <w:rPr>
                <w:noProof/>
                <w:webHidden/>
              </w:rPr>
            </w:r>
            <w:r w:rsidR="00FD58BF">
              <w:rPr>
                <w:noProof/>
                <w:webHidden/>
              </w:rPr>
              <w:fldChar w:fldCharType="separate"/>
            </w:r>
            <w:r w:rsidR="00FD58BF">
              <w:rPr>
                <w:noProof/>
                <w:webHidden/>
              </w:rPr>
              <w:t>1172</w:t>
            </w:r>
            <w:r w:rsidR="00FD58BF">
              <w:rPr>
                <w:noProof/>
                <w:webHidden/>
              </w:rPr>
              <w:fldChar w:fldCharType="end"/>
            </w:r>
          </w:hyperlink>
        </w:p>
        <w:p w14:paraId="290742C0" w14:textId="709B194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6" w:history="1">
            <w:r w:rsidR="00FD58BF" w:rsidRPr="003004E5">
              <w:rPr>
                <w:rStyle w:val="Lienhypertexte"/>
                <w:noProof/>
              </w:rPr>
              <w:t>26.43.1d Isolation à projeter - icynène CCTB 01.02</w:t>
            </w:r>
            <w:r w:rsidR="00FD58BF">
              <w:rPr>
                <w:noProof/>
                <w:webHidden/>
              </w:rPr>
              <w:tab/>
            </w:r>
            <w:r w:rsidR="00FD58BF">
              <w:rPr>
                <w:noProof/>
                <w:webHidden/>
              </w:rPr>
              <w:fldChar w:fldCharType="begin"/>
            </w:r>
            <w:r w:rsidR="00FD58BF">
              <w:rPr>
                <w:noProof/>
                <w:webHidden/>
              </w:rPr>
              <w:instrText xml:space="preserve"> PAGEREF _Toc178839016 \h </w:instrText>
            </w:r>
            <w:r w:rsidR="00FD58BF">
              <w:rPr>
                <w:noProof/>
                <w:webHidden/>
              </w:rPr>
            </w:r>
            <w:r w:rsidR="00FD58BF">
              <w:rPr>
                <w:noProof/>
                <w:webHidden/>
              </w:rPr>
              <w:fldChar w:fldCharType="separate"/>
            </w:r>
            <w:r w:rsidR="00FD58BF">
              <w:rPr>
                <w:noProof/>
                <w:webHidden/>
              </w:rPr>
              <w:t>1172</w:t>
            </w:r>
            <w:r w:rsidR="00FD58BF">
              <w:rPr>
                <w:noProof/>
                <w:webHidden/>
              </w:rPr>
              <w:fldChar w:fldCharType="end"/>
            </w:r>
          </w:hyperlink>
        </w:p>
        <w:p w14:paraId="16987D6B" w14:textId="027FE1F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7" w:history="1">
            <w:r w:rsidR="00FD58BF" w:rsidRPr="003004E5">
              <w:rPr>
                <w:rStyle w:val="Lienhypertexte"/>
                <w:noProof/>
              </w:rPr>
              <w:t>26.43.2 Isolation à projeter - matières minérales CCTB 01.04</w:t>
            </w:r>
            <w:r w:rsidR="00FD58BF">
              <w:rPr>
                <w:noProof/>
                <w:webHidden/>
              </w:rPr>
              <w:tab/>
            </w:r>
            <w:r w:rsidR="00FD58BF">
              <w:rPr>
                <w:noProof/>
                <w:webHidden/>
              </w:rPr>
              <w:fldChar w:fldCharType="begin"/>
            </w:r>
            <w:r w:rsidR="00FD58BF">
              <w:rPr>
                <w:noProof/>
                <w:webHidden/>
              </w:rPr>
              <w:instrText xml:space="preserve"> PAGEREF _Toc178839017 \h </w:instrText>
            </w:r>
            <w:r w:rsidR="00FD58BF">
              <w:rPr>
                <w:noProof/>
                <w:webHidden/>
              </w:rPr>
            </w:r>
            <w:r w:rsidR="00FD58BF">
              <w:rPr>
                <w:noProof/>
                <w:webHidden/>
              </w:rPr>
              <w:fldChar w:fldCharType="separate"/>
            </w:r>
            <w:r w:rsidR="00FD58BF">
              <w:rPr>
                <w:noProof/>
                <w:webHidden/>
              </w:rPr>
              <w:t>1173</w:t>
            </w:r>
            <w:r w:rsidR="00FD58BF">
              <w:rPr>
                <w:noProof/>
                <w:webHidden/>
              </w:rPr>
              <w:fldChar w:fldCharType="end"/>
            </w:r>
          </w:hyperlink>
        </w:p>
        <w:p w14:paraId="73103827" w14:textId="3F37DF8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8" w:history="1">
            <w:r w:rsidR="00FD58BF" w:rsidRPr="003004E5">
              <w:rPr>
                <w:rStyle w:val="Lienhypertexte"/>
                <w:noProof/>
              </w:rPr>
              <w:t>26.43.2a Isolation à projeter - laine de roche (MW) CCTB 01.11</w:t>
            </w:r>
            <w:r w:rsidR="00FD58BF">
              <w:rPr>
                <w:noProof/>
                <w:webHidden/>
              </w:rPr>
              <w:tab/>
            </w:r>
            <w:r w:rsidR="00FD58BF">
              <w:rPr>
                <w:noProof/>
                <w:webHidden/>
              </w:rPr>
              <w:fldChar w:fldCharType="begin"/>
            </w:r>
            <w:r w:rsidR="00FD58BF">
              <w:rPr>
                <w:noProof/>
                <w:webHidden/>
              </w:rPr>
              <w:instrText xml:space="preserve"> PAGEREF _Toc178839018 \h </w:instrText>
            </w:r>
            <w:r w:rsidR="00FD58BF">
              <w:rPr>
                <w:noProof/>
                <w:webHidden/>
              </w:rPr>
            </w:r>
            <w:r w:rsidR="00FD58BF">
              <w:rPr>
                <w:noProof/>
                <w:webHidden/>
              </w:rPr>
              <w:fldChar w:fldCharType="separate"/>
            </w:r>
            <w:r w:rsidR="00FD58BF">
              <w:rPr>
                <w:noProof/>
                <w:webHidden/>
              </w:rPr>
              <w:t>1173</w:t>
            </w:r>
            <w:r w:rsidR="00FD58BF">
              <w:rPr>
                <w:noProof/>
                <w:webHidden/>
              </w:rPr>
              <w:fldChar w:fldCharType="end"/>
            </w:r>
          </w:hyperlink>
        </w:p>
        <w:p w14:paraId="5047188B" w14:textId="25D556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9" w:history="1">
            <w:r w:rsidR="00FD58BF" w:rsidRPr="003004E5">
              <w:rPr>
                <w:rStyle w:val="Lienhypertexte"/>
                <w:noProof/>
              </w:rPr>
              <w:t>26.43.2b Isolation à projeter - laine de verre (MW) CCTB 01.11</w:t>
            </w:r>
            <w:r w:rsidR="00FD58BF">
              <w:rPr>
                <w:noProof/>
                <w:webHidden/>
              </w:rPr>
              <w:tab/>
            </w:r>
            <w:r w:rsidR="00FD58BF">
              <w:rPr>
                <w:noProof/>
                <w:webHidden/>
              </w:rPr>
              <w:fldChar w:fldCharType="begin"/>
            </w:r>
            <w:r w:rsidR="00FD58BF">
              <w:rPr>
                <w:noProof/>
                <w:webHidden/>
              </w:rPr>
              <w:instrText xml:space="preserve"> PAGEREF _Toc178839019 \h </w:instrText>
            </w:r>
            <w:r w:rsidR="00FD58BF">
              <w:rPr>
                <w:noProof/>
                <w:webHidden/>
              </w:rPr>
            </w:r>
            <w:r w:rsidR="00FD58BF">
              <w:rPr>
                <w:noProof/>
                <w:webHidden/>
              </w:rPr>
              <w:fldChar w:fldCharType="separate"/>
            </w:r>
            <w:r w:rsidR="00FD58BF">
              <w:rPr>
                <w:noProof/>
                <w:webHidden/>
              </w:rPr>
              <w:t>1174</w:t>
            </w:r>
            <w:r w:rsidR="00FD58BF">
              <w:rPr>
                <w:noProof/>
                <w:webHidden/>
              </w:rPr>
              <w:fldChar w:fldCharType="end"/>
            </w:r>
          </w:hyperlink>
        </w:p>
        <w:p w14:paraId="52856762" w14:textId="295ABE6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20" w:history="1">
            <w:r w:rsidR="00FD58BF" w:rsidRPr="003004E5">
              <w:rPr>
                <w:rStyle w:val="Lienhypertexte"/>
                <w:noProof/>
              </w:rPr>
              <w:t>26.43.3 (titre réservé) CCTB 01.04</w:t>
            </w:r>
            <w:r w:rsidR="00FD58BF">
              <w:rPr>
                <w:noProof/>
                <w:webHidden/>
              </w:rPr>
              <w:tab/>
            </w:r>
            <w:r w:rsidR="00FD58BF">
              <w:rPr>
                <w:noProof/>
                <w:webHidden/>
              </w:rPr>
              <w:fldChar w:fldCharType="begin"/>
            </w:r>
            <w:r w:rsidR="00FD58BF">
              <w:rPr>
                <w:noProof/>
                <w:webHidden/>
              </w:rPr>
              <w:instrText xml:space="preserve"> PAGEREF _Toc178839020 \h </w:instrText>
            </w:r>
            <w:r w:rsidR="00FD58BF">
              <w:rPr>
                <w:noProof/>
                <w:webHidden/>
              </w:rPr>
            </w:r>
            <w:r w:rsidR="00FD58BF">
              <w:rPr>
                <w:noProof/>
                <w:webHidden/>
              </w:rPr>
              <w:fldChar w:fldCharType="separate"/>
            </w:r>
            <w:r w:rsidR="00FD58BF">
              <w:rPr>
                <w:noProof/>
                <w:webHidden/>
              </w:rPr>
              <w:t>1176</w:t>
            </w:r>
            <w:r w:rsidR="00FD58BF">
              <w:rPr>
                <w:noProof/>
                <w:webHidden/>
              </w:rPr>
              <w:fldChar w:fldCharType="end"/>
            </w:r>
          </w:hyperlink>
        </w:p>
        <w:p w14:paraId="62DC011A" w14:textId="0D1A56D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21" w:history="1">
            <w:r w:rsidR="00FD58BF" w:rsidRPr="003004E5">
              <w:rPr>
                <w:rStyle w:val="Lienhypertexte"/>
                <w:noProof/>
              </w:rPr>
              <w:t>26.44 Isolation à souffler CCTB 01.11</w:t>
            </w:r>
            <w:r w:rsidR="00FD58BF">
              <w:rPr>
                <w:noProof/>
                <w:webHidden/>
              </w:rPr>
              <w:tab/>
            </w:r>
            <w:r w:rsidR="00FD58BF">
              <w:rPr>
                <w:noProof/>
                <w:webHidden/>
              </w:rPr>
              <w:fldChar w:fldCharType="begin"/>
            </w:r>
            <w:r w:rsidR="00FD58BF">
              <w:rPr>
                <w:noProof/>
                <w:webHidden/>
              </w:rPr>
              <w:instrText xml:space="preserve"> PAGEREF _Toc178839021 \h </w:instrText>
            </w:r>
            <w:r w:rsidR="00FD58BF">
              <w:rPr>
                <w:noProof/>
                <w:webHidden/>
              </w:rPr>
            </w:r>
            <w:r w:rsidR="00FD58BF">
              <w:rPr>
                <w:noProof/>
                <w:webHidden/>
              </w:rPr>
              <w:fldChar w:fldCharType="separate"/>
            </w:r>
            <w:r w:rsidR="00FD58BF">
              <w:rPr>
                <w:noProof/>
                <w:webHidden/>
              </w:rPr>
              <w:t>1176</w:t>
            </w:r>
            <w:r w:rsidR="00FD58BF">
              <w:rPr>
                <w:noProof/>
                <w:webHidden/>
              </w:rPr>
              <w:fldChar w:fldCharType="end"/>
            </w:r>
          </w:hyperlink>
        </w:p>
        <w:p w14:paraId="2D232EDE" w14:textId="4121C0F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22" w:history="1">
            <w:r w:rsidR="00FD58BF" w:rsidRPr="003004E5">
              <w:rPr>
                <w:rStyle w:val="Lienhypertexte"/>
                <w:noProof/>
              </w:rPr>
              <w:t>26.44.1 Isolation à souffler - matières synthétiques CCTB 01.04</w:t>
            </w:r>
            <w:r w:rsidR="00FD58BF">
              <w:rPr>
                <w:noProof/>
                <w:webHidden/>
              </w:rPr>
              <w:tab/>
            </w:r>
            <w:r w:rsidR="00FD58BF">
              <w:rPr>
                <w:noProof/>
                <w:webHidden/>
              </w:rPr>
              <w:fldChar w:fldCharType="begin"/>
            </w:r>
            <w:r w:rsidR="00FD58BF">
              <w:rPr>
                <w:noProof/>
                <w:webHidden/>
              </w:rPr>
              <w:instrText xml:space="preserve"> PAGEREF _Toc178839022 \h </w:instrText>
            </w:r>
            <w:r w:rsidR="00FD58BF">
              <w:rPr>
                <w:noProof/>
                <w:webHidden/>
              </w:rPr>
            </w:r>
            <w:r w:rsidR="00FD58BF">
              <w:rPr>
                <w:noProof/>
                <w:webHidden/>
              </w:rPr>
              <w:fldChar w:fldCharType="separate"/>
            </w:r>
            <w:r w:rsidR="00FD58BF">
              <w:rPr>
                <w:noProof/>
                <w:webHidden/>
              </w:rPr>
              <w:t>1177</w:t>
            </w:r>
            <w:r w:rsidR="00FD58BF">
              <w:rPr>
                <w:noProof/>
                <w:webHidden/>
              </w:rPr>
              <w:fldChar w:fldCharType="end"/>
            </w:r>
          </w:hyperlink>
        </w:p>
        <w:p w14:paraId="39C9CE1F" w14:textId="3993224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3" w:history="1">
            <w:r w:rsidR="00FD58BF" w:rsidRPr="003004E5">
              <w:rPr>
                <w:rStyle w:val="Lienhypertexte"/>
                <w:noProof/>
              </w:rPr>
              <w:t>26.44.1a Isolation à souffler - polystyrène expansé (EPS) CCTB 01.11</w:t>
            </w:r>
            <w:r w:rsidR="00FD58BF">
              <w:rPr>
                <w:noProof/>
                <w:webHidden/>
              </w:rPr>
              <w:tab/>
            </w:r>
            <w:r w:rsidR="00FD58BF">
              <w:rPr>
                <w:noProof/>
                <w:webHidden/>
              </w:rPr>
              <w:fldChar w:fldCharType="begin"/>
            </w:r>
            <w:r w:rsidR="00FD58BF">
              <w:rPr>
                <w:noProof/>
                <w:webHidden/>
              </w:rPr>
              <w:instrText xml:space="preserve"> PAGEREF _Toc178839023 \h </w:instrText>
            </w:r>
            <w:r w:rsidR="00FD58BF">
              <w:rPr>
                <w:noProof/>
                <w:webHidden/>
              </w:rPr>
            </w:r>
            <w:r w:rsidR="00FD58BF">
              <w:rPr>
                <w:noProof/>
                <w:webHidden/>
              </w:rPr>
              <w:fldChar w:fldCharType="separate"/>
            </w:r>
            <w:r w:rsidR="00FD58BF">
              <w:rPr>
                <w:noProof/>
                <w:webHidden/>
              </w:rPr>
              <w:t>1178</w:t>
            </w:r>
            <w:r w:rsidR="00FD58BF">
              <w:rPr>
                <w:noProof/>
                <w:webHidden/>
              </w:rPr>
              <w:fldChar w:fldCharType="end"/>
            </w:r>
          </w:hyperlink>
        </w:p>
        <w:p w14:paraId="0DF53C14" w14:textId="5F99332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24" w:history="1">
            <w:r w:rsidR="00FD58BF" w:rsidRPr="003004E5">
              <w:rPr>
                <w:rStyle w:val="Lienhypertexte"/>
                <w:noProof/>
              </w:rPr>
              <w:t>26.44.2 Isolation à souffler - matières minérales CCTB 01.04</w:t>
            </w:r>
            <w:r w:rsidR="00FD58BF">
              <w:rPr>
                <w:noProof/>
                <w:webHidden/>
              </w:rPr>
              <w:tab/>
            </w:r>
            <w:r w:rsidR="00FD58BF">
              <w:rPr>
                <w:noProof/>
                <w:webHidden/>
              </w:rPr>
              <w:fldChar w:fldCharType="begin"/>
            </w:r>
            <w:r w:rsidR="00FD58BF">
              <w:rPr>
                <w:noProof/>
                <w:webHidden/>
              </w:rPr>
              <w:instrText xml:space="preserve"> PAGEREF _Toc178839024 \h </w:instrText>
            </w:r>
            <w:r w:rsidR="00FD58BF">
              <w:rPr>
                <w:noProof/>
                <w:webHidden/>
              </w:rPr>
            </w:r>
            <w:r w:rsidR="00FD58BF">
              <w:rPr>
                <w:noProof/>
                <w:webHidden/>
              </w:rPr>
              <w:fldChar w:fldCharType="separate"/>
            </w:r>
            <w:r w:rsidR="00FD58BF">
              <w:rPr>
                <w:noProof/>
                <w:webHidden/>
              </w:rPr>
              <w:t>1178</w:t>
            </w:r>
            <w:r w:rsidR="00FD58BF">
              <w:rPr>
                <w:noProof/>
                <w:webHidden/>
              </w:rPr>
              <w:fldChar w:fldCharType="end"/>
            </w:r>
          </w:hyperlink>
        </w:p>
        <w:p w14:paraId="140E8351" w14:textId="5D5B79F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5" w:history="1">
            <w:r w:rsidR="00FD58BF" w:rsidRPr="003004E5">
              <w:rPr>
                <w:rStyle w:val="Lienhypertexte"/>
                <w:noProof/>
              </w:rPr>
              <w:t>26.44.2a Isolation à souffler - laine de verre CCTB 01.11</w:t>
            </w:r>
            <w:r w:rsidR="00FD58BF">
              <w:rPr>
                <w:noProof/>
                <w:webHidden/>
              </w:rPr>
              <w:tab/>
            </w:r>
            <w:r w:rsidR="00FD58BF">
              <w:rPr>
                <w:noProof/>
                <w:webHidden/>
              </w:rPr>
              <w:fldChar w:fldCharType="begin"/>
            </w:r>
            <w:r w:rsidR="00FD58BF">
              <w:rPr>
                <w:noProof/>
                <w:webHidden/>
              </w:rPr>
              <w:instrText xml:space="preserve"> PAGEREF _Toc178839025 \h </w:instrText>
            </w:r>
            <w:r w:rsidR="00FD58BF">
              <w:rPr>
                <w:noProof/>
                <w:webHidden/>
              </w:rPr>
            </w:r>
            <w:r w:rsidR="00FD58BF">
              <w:rPr>
                <w:noProof/>
                <w:webHidden/>
              </w:rPr>
              <w:fldChar w:fldCharType="separate"/>
            </w:r>
            <w:r w:rsidR="00FD58BF">
              <w:rPr>
                <w:noProof/>
                <w:webHidden/>
              </w:rPr>
              <w:t>1179</w:t>
            </w:r>
            <w:r w:rsidR="00FD58BF">
              <w:rPr>
                <w:noProof/>
                <w:webHidden/>
              </w:rPr>
              <w:fldChar w:fldCharType="end"/>
            </w:r>
          </w:hyperlink>
        </w:p>
        <w:p w14:paraId="0BD068CF" w14:textId="205339A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6" w:history="1">
            <w:r w:rsidR="00FD58BF" w:rsidRPr="003004E5">
              <w:rPr>
                <w:rStyle w:val="Lienhypertexte"/>
                <w:noProof/>
              </w:rPr>
              <w:t>26.44.2b Isolation à souffler - laine de roche CCTB 01.11</w:t>
            </w:r>
            <w:r w:rsidR="00FD58BF">
              <w:rPr>
                <w:noProof/>
                <w:webHidden/>
              </w:rPr>
              <w:tab/>
            </w:r>
            <w:r w:rsidR="00FD58BF">
              <w:rPr>
                <w:noProof/>
                <w:webHidden/>
              </w:rPr>
              <w:fldChar w:fldCharType="begin"/>
            </w:r>
            <w:r w:rsidR="00FD58BF">
              <w:rPr>
                <w:noProof/>
                <w:webHidden/>
              </w:rPr>
              <w:instrText xml:space="preserve"> PAGEREF _Toc178839026 \h </w:instrText>
            </w:r>
            <w:r w:rsidR="00FD58BF">
              <w:rPr>
                <w:noProof/>
                <w:webHidden/>
              </w:rPr>
            </w:r>
            <w:r w:rsidR="00FD58BF">
              <w:rPr>
                <w:noProof/>
                <w:webHidden/>
              </w:rPr>
              <w:fldChar w:fldCharType="separate"/>
            </w:r>
            <w:r w:rsidR="00FD58BF">
              <w:rPr>
                <w:noProof/>
                <w:webHidden/>
              </w:rPr>
              <w:t>1179</w:t>
            </w:r>
            <w:r w:rsidR="00FD58BF">
              <w:rPr>
                <w:noProof/>
                <w:webHidden/>
              </w:rPr>
              <w:fldChar w:fldCharType="end"/>
            </w:r>
          </w:hyperlink>
        </w:p>
        <w:p w14:paraId="55519162" w14:textId="5129557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7" w:history="1">
            <w:r w:rsidR="00FD58BF" w:rsidRPr="003004E5">
              <w:rPr>
                <w:rStyle w:val="Lienhypertexte"/>
                <w:noProof/>
              </w:rPr>
              <w:t>26.44.2c Isolation à souffler - fibres de verre CCTB 01.04</w:t>
            </w:r>
            <w:r w:rsidR="00FD58BF">
              <w:rPr>
                <w:noProof/>
                <w:webHidden/>
              </w:rPr>
              <w:tab/>
            </w:r>
            <w:r w:rsidR="00FD58BF">
              <w:rPr>
                <w:noProof/>
                <w:webHidden/>
              </w:rPr>
              <w:fldChar w:fldCharType="begin"/>
            </w:r>
            <w:r w:rsidR="00FD58BF">
              <w:rPr>
                <w:noProof/>
                <w:webHidden/>
              </w:rPr>
              <w:instrText xml:space="preserve"> PAGEREF _Toc178839027 \h </w:instrText>
            </w:r>
            <w:r w:rsidR="00FD58BF">
              <w:rPr>
                <w:noProof/>
                <w:webHidden/>
              </w:rPr>
            </w:r>
            <w:r w:rsidR="00FD58BF">
              <w:rPr>
                <w:noProof/>
                <w:webHidden/>
              </w:rPr>
              <w:fldChar w:fldCharType="separate"/>
            </w:r>
            <w:r w:rsidR="00FD58BF">
              <w:rPr>
                <w:noProof/>
                <w:webHidden/>
              </w:rPr>
              <w:t>1180</w:t>
            </w:r>
            <w:r w:rsidR="00FD58BF">
              <w:rPr>
                <w:noProof/>
                <w:webHidden/>
              </w:rPr>
              <w:fldChar w:fldCharType="end"/>
            </w:r>
          </w:hyperlink>
        </w:p>
        <w:p w14:paraId="354341AE" w14:textId="6BFC0A3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8" w:history="1">
            <w:r w:rsidR="00FD58BF" w:rsidRPr="003004E5">
              <w:rPr>
                <w:rStyle w:val="Lienhypertexte"/>
                <w:noProof/>
              </w:rPr>
              <w:t>26.44.2d Isolation à souffler - vermiculite expansée CCTB 01.04</w:t>
            </w:r>
            <w:r w:rsidR="00FD58BF">
              <w:rPr>
                <w:noProof/>
                <w:webHidden/>
              </w:rPr>
              <w:tab/>
            </w:r>
            <w:r w:rsidR="00FD58BF">
              <w:rPr>
                <w:noProof/>
                <w:webHidden/>
              </w:rPr>
              <w:fldChar w:fldCharType="begin"/>
            </w:r>
            <w:r w:rsidR="00FD58BF">
              <w:rPr>
                <w:noProof/>
                <w:webHidden/>
              </w:rPr>
              <w:instrText xml:space="preserve"> PAGEREF _Toc178839028 \h </w:instrText>
            </w:r>
            <w:r w:rsidR="00FD58BF">
              <w:rPr>
                <w:noProof/>
                <w:webHidden/>
              </w:rPr>
            </w:r>
            <w:r w:rsidR="00FD58BF">
              <w:rPr>
                <w:noProof/>
                <w:webHidden/>
              </w:rPr>
              <w:fldChar w:fldCharType="separate"/>
            </w:r>
            <w:r w:rsidR="00FD58BF">
              <w:rPr>
                <w:noProof/>
                <w:webHidden/>
              </w:rPr>
              <w:t>1181</w:t>
            </w:r>
            <w:r w:rsidR="00FD58BF">
              <w:rPr>
                <w:noProof/>
                <w:webHidden/>
              </w:rPr>
              <w:fldChar w:fldCharType="end"/>
            </w:r>
          </w:hyperlink>
        </w:p>
        <w:p w14:paraId="703B8B52" w14:textId="0E4FE10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9" w:history="1">
            <w:r w:rsidR="00FD58BF" w:rsidRPr="003004E5">
              <w:rPr>
                <w:rStyle w:val="Lienhypertexte"/>
                <w:noProof/>
              </w:rPr>
              <w:t>26.44.2e Isolation à souffler - perlite expansée CCTB 01.04</w:t>
            </w:r>
            <w:r w:rsidR="00FD58BF">
              <w:rPr>
                <w:noProof/>
                <w:webHidden/>
              </w:rPr>
              <w:tab/>
            </w:r>
            <w:r w:rsidR="00FD58BF">
              <w:rPr>
                <w:noProof/>
                <w:webHidden/>
              </w:rPr>
              <w:fldChar w:fldCharType="begin"/>
            </w:r>
            <w:r w:rsidR="00FD58BF">
              <w:rPr>
                <w:noProof/>
                <w:webHidden/>
              </w:rPr>
              <w:instrText xml:space="preserve"> PAGEREF _Toc178839029 \h </w:instrText>
            </w:r>
            <w:r w:rsidR="00FD58BF">
              <w:rPr>
                <w:noProof/>
                <w:webHidden/>
              </w:rPr>
            </w:r>
            <w:r w:rsidR="00FD58BF">
              <w:rPr>
                <w:noProof/>
                <w:webHidden/>
              </w:rPr>
              <w:fldChar w:fldCharType="separate"/>
            </w:r>
            <w:r w:rsidR="00FD58BF">
              <w:rPr>
                <w:noProof/>
                <w:webHidden/>
              </w:rPr>
              <w:t>1181</w:t>
            </w:r>
            <w:r w:rsidR="00FD58BF">
              <w:rPr>
                <w:noProof/>
                <w:webHidden/>
              </w:rPr>
              <w:fldChar w:fldCharType="end"/>
            </w:r>
          </w:hyperlink>
        </w:p>
        <w:p w14:paraId="375CC432" w14:textId="617CF76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0" w:history="1">
            <w:r w:rsidR="00FD58BF" w:rsidRPr="003004E5">
              <w:rPr>
                <w:rStyle w:val="Lienhypertexte"/>
                <w:noProof/>
              </w:rPr>
              <w:t>26.44.3 Isolation à souffler - matières végétales CCTB 01.04</w:t>
            </w:r>
            <w:r w:rsidR="00FD58BF">
              <w:rPr>
                <w:noProof/>
                <w:webHidden/>
              </w:rPr>
              <w:tab/>
            </w:r>
            <w:r w:rsidR="00FD58BF">
              <w:rPr>
                <w:noProof/>
                <w:webHidden/>
              </w:rPr>
              <w:fldChar w:fldCharType="begin"/>
            </w:r>
            <w:r w:rsidR="00FD58BF">
              <w:rPr>
                <w:noProof/>
                <w:webHidden/>
              </w:rPr>
              <w:instrText xml:space="preserve"> PAGEREF _Toc178839030 \h </w:instrText>
            </w:r>
            <w:r w:rsidR="00FD58BF">
              <w:rPr>
                <w:noProof/>
                <w:webHidden/>
              </w:rPr>
            </w:r>
            <w:r w:rsidR="00FD58BF">
              <w:rPr>
                <w:noProof/>
                <w:webHidden/>
              </w:rPr>
              <w:fldChar w:fldCharType="separate"/>
            </w:r>
            <w:r w:rsidR="00FD58BF">
              <w:rPr>
                <w:noProof/>
                <w:webHidden/>
              </w:rPr>
              <w:t>1182</w:t>
            </w:r>
            <w:r w:rsidR="00FD58BF">
              <w:rPr>
                <w:noProof/>
                <w:webHidden/>
              </w:rPr>
              <w:fldChar w:fldCharType="end"/>
            </w:r>
          </w:hyperlink>
        </w:p>
        <w:p w14:paraId="7CDF924B" w14:textId="1CBEEF2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1" w:history="1">
            <w:r w:rsidR="00FD58BF" w:rsidRPr="003004E5">
              <w:rPr>
                <w:rStyle w:val="Lienhypertexte"/>
                <w:noProof/>
              </w:rPr>
              <w:t>26.44.3a (titre réservé) CCTB 01.04</w:t>
            </w:r>
            <w:r w:rsidR="00FD58BF">
              <w:rPr>
                <w:noProof/>
                <w:webHidden/>
              </w:rPr>
              <w:tab/>
            </w:r>
            <w:r w:rsidR="00FD58BF">
              <w:rPr>
                <w:noProof/>
                <w:webHidden/>
              </w:rPr>
              <w:fldChar w:fldCharType="begin"/>
            </w:r>
            <w:r w:rsidR="00FD58BF">
              <w:rPr>
                <w:noProof/>
                <w:webHidden/>
              </w:rPr>
              <w:instrText xml:space="preserve"> PAGEREF _Toc178839031 \h </w:instrText>
            </w:r>
            <w:r w:rsidR="00FD58BF">
              <w:rPr>
                <w:noProof/>
                <w:webHidden/>
              </w:rPr>
            </w:r>
            <w:r w:rsidR="00FD58BF">
              <w:rPr>
                <w:noProof/>
                <w:webHidden/>
              </w:rPr>
              <w:fldChar w:fldCharType="separate"/>
            </w:r>
            <w:r w:rsidR="00FD58BF">
              <w:rPr>
                <w:noProof/>
                <w:webHidden/>
              </w:rPr>
              <w:t>1182</w:t>
            </w:r>
            <w:r w:rsidR="00FD58BF">
              <w:rPr>
                <w:noProof/>
                <w:webHidden/>
              </w:rPr>
              <w:fldChar w:fldCharType="end"/>
            </w:r>
          </w:hyperlink>
        </w:p>
        <w:p w14:paraId="27FC492C" w14:textId="1A222B9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2" w:history="1">
            <w:r w:rsidR="00FD58BF" w:rsidRPr="003004E5">
              <w:rPr>
                <w:rStyle w:val="Lienhypertexte"/>
                <w:noProof/>
              </w:rPr>
              <w:t>26.44.3b Isolation à souffler - granulés d'argile expansée CCTB 01.11</w:t>
            </w:r>
            <w:r w:rsidR="00FD58BF">
              <w:rPr>
                <w:noProof/>
                <w:webHidden/>
              </w:rPr>
              <w:tab/>
            </w:r>
            <w:r w:rsidR="00FD58BF">
              <w:rPr>
                <w:noProof/>
                <w:webHidden/>
              </w:rPr>
              <w:fldChar w:fldCharType="begin"/>
            </w:r>
            <w:r w:rsidR="00FD58BF">
              <w:rPr>
                <w:noProof/>
                <w:webHidden/>
              </w:rPr>
              <w:instrText xml:space="preserve"> PAGEREF _Toc178839032 \h </w:instrText>
            </w:r>
            <w:r w:rsidR="00FD58BF">
              <w:rPr>
                <w:noProof/>
                <w:webHidden/>
              </w:rPr>
            </w:r>
            <w:r w:rsidR="00FD58BF">
              <w:rPr>
                <w:noProof/>
                <w:webHidden/>
              </w:rPr>
              <w:fldChar w:fldCharType="separate"/>
            </w:r>
            <w:r w:rsidR="00FD58BF">
              <w:rPr>
                <w:noProof/>
                <w:webHidden/>
              </w:rPr>
              <w:t>1182</w:t>
            </w:r>
            <w:r w:rsidR="00FD58BF">
              <w:rPr>
                <w:noProof/>
                <w:webHidden/>
              </w:rPr>
              <w:fldChar w:fldCharType="end"/>
            </w:r>
          </w:hyperlink>
        </w:p>
        <w:p w14:paraId="148FF5A1" w14:textId="39A317C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3" w:history="1">
            <w:r w:rsidR="00FD58BF" w:rsidRPr="003004E5">
              <w:rPr>
                <w:rStyle w:val="Lienhypertexte"/>
                <w:noProof/>
              </w:rPr>
              <w:t>26.44.3c (titre réservé) CCTB 01.04</w:t>
            </w:r>
            <w:r w:rsidR="00FD58BF">
              <w:rPr>
                <w:noProof/>
                <w:webHidden/>
              </w:rPr>
              <w:tab/>
            </w:r>
            <w:r w:rsidR="00FD58BF">
              <w:rPr>
                <w:noProof/>
                <w:webHidden/>
              </w:rPr>
              <w:fldChar w:fldCharType="begin"/>
            </w:r>
            <w:r w:rsidR="00FD58BF">
              <w:rPr>
                <w:noProof/>
                <w:webHidden/>
              </w:rPr>
              <w:instrText xml:space="preserve"> PAGEREF _Toc178839033 \h </w:instrText>
            </w:r>
            <w:r w:rsidR="00FD58BF">
              <w:rPr>
                <w:noProof/>
                <w:webHidden/>
              </w:rPr>
            </w:r>
            <w:r w:rsidR="00FD58BF">
              <w:rPr>
                <w:noProof/>
                <w:webHidden/>
              </w:rPr>
              <w:fldChar w:fldCharType="separate"/>
            </w:r>
            <w:r w:rsidR="00FD58BF">
              <w:rPr>
                <w:noProof/>
                <w:webHidden/>
              </w:rPr>
              <w:t>1183</w:t>
            </w:r>
            <w:r w:rsidR="00FD58BF">
              <w:rPr>
                <w:noProof/>
                <w:webHidden/>
              </w:rPr>
              <w:fldChar w:fldCharType="end"/>
            </w:r>
          </w:hyperlink>
        </w:p>
        <w:p w14:paraId="71CED064" w14:textId="750DBFE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4" w:history="1">
            <w:r w:rsidR="00FD58BF" w:rsidRPr="003004E5">
              <w:rPr>
                <w:rStyle w:val="Lienhypertexte"/>
                <w:noProof/>
              </w:rPr>
              <w:t>26.44.3d (titre réservé) CCTB 01.04</w:t>
            </w:r>
            <w:r w:rsidR="00FD58BF">
              <w:rPr>
                <w:noProof/>
                <w:webHidden/>
              </w:rPr>
              <w:tab/>
            </w:r>
            <w:r w:rsidR="00FD58BF">
              <w:rPr>
                <w:noProof/>
                <w:webHidden/>
              </w:rPr>
              <w:fldChar w:fldCharType="begin"/>
            </w:r>
            <w:r w:rsidR="00FD58BF">
              <w:rPr>
                <w:noProof/>
                <w:webHidden/>
              </w:rPr>
              <w:instrText xml:space="preserve"> PAGEREF _Toc178839034 \h </w:instrText>
            </w:r>
            <w:r w:rsidR="00FD58BF">
              <w:rPr>
                <w:noProof/>
                <w:webHidden/>
              </w:rPr>
            </w:r>
            <w:r w:rsidR="00FD58BF">
              <w:rPr>
                <w:noProof/>
                <w:webHidden/>
              </w:rPr>
              <w:fldChar w:fldCharType="separate"/>
            </w:r>
            <w:r w:rsidR="00FD58BF">
              <w:rPr>
                <w:noProof/>
                <w:webHidden/>
              </w:rPr>
              <w:t>1183</w:t>
            </w:r>
            <w:r w:rsidR="00FD58BF">
              <w:rPr>
                <w:noProof/>
                <w:webHidden/>
              </w:rPr>
              <w:fldChar w:fldCharType="end"/>
            </w:r>
          </w:hyperlink>
        </w:p>
        <w:p w14:paraId="261D814B" w14:textId="32B9C12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5" w:history="1">
            <w:r w:rsidR="00FD58BF" w:rsidRPr="003004E5">
              <w:rPr>
                <w:rStyle w:val="Lienhypertexte"/>
                <w:noProof/>
              </w:rPr>
              <w:t>26.44.3e Isolation à souffler - granulés de liège expansé CCTB 01.11</w:t>
            </w:r>
            <w:r w:rsidR="00FD58BF">
              <w:rPr>
                <w:noProof/>
                <w:webHidden/>
              </w:rPr>
              <w:tab/>
            </w:r>
            <w:r w:rsidR="00FD58BF">
              <w:rPr>
                <w:noProof/>
                <w:webHidden/>
              </w:rPr>
              <w:fldChar w:fldCharType="begin"/>
            </w:r>
            <w:r w:rsidR="00FD58BF">
              <w:rPr>
                <w:noProof/>
                <w:webHidden/>
              </w:rPr>
              <w:instrText xml:space="preserve"> PAGEREF _Toc178839035 \h </w:instrText>
            </w:r>
            <w:r w:rsidR="00FD58BF">
              <w:rPr>
                <w:noProof/>
                <w:webHidden/>
              </w:rPr>
            </w:r>
            <w:r w:rsidR="00FD58BF">
              <w:rPr>
                <w:noProof/>
                <w:webHidden/>
              </w:rPr>
              <w:fldChar w:fldCharType="separate"/>
            </w:r>
            <w:r w:rsidR="00FD58BF">
              <w:rPr>
                <w:noProof/>
                <w:webHidden/>
              </w:rPr>
              <w:t>1183</w:t>
            </w:r>
            <w:r w:rsidR="00FD58BF">
              <w:rPr>
                <w:noProof/>
                <w:webHidden/>
              </w:rPr>
              <w:fldChar w:fldCharType="end"/>
            </w:r>
          </w:hyperlink>
        </w:p>
        <w:p w14:paraId="54F5E28D" w14:textId="14F4BAD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6" w:history="1">
            <w:r w:rsidR="00FD58BF" w:rsidRPr="003004E5">
              <w:rPr>
                <w:rStyle w:val="Lienhypertexte"/>
                <w:noProof/>
              </w:rPr>
              <w:t>26.44.3f (titre réservé) CCTB 01.04</w:t>
            </w:r>
            <w:r w:rsidR="00FD58BF">
              <w:rPr>
                <w:noProof/>
                <w:webHidden/>
              </w:rPr>
              <w:tab/>
            </w:r>
            <w:r w:rsidR="00FD58BF">
              <w:rPr>
                <w:noProof/>
                <w:webHidden/>
              </w:rPr>
              <w:fldChar w:fldCharType="begin"/>
            </w:r>
            <w:r w:rsidR="00FD58BF">
              <w:rPr>
                <w:noProof/>
                <w:webHidden/>
              </w:rPr>
              <w:instrText xml:space="preserve"> PAGEREF _Toc178839036 \h </w:instrText>
            </w:r>
            <w:r w:rsidR="00FD58BF">
              <w:rPr>
                <w:noProof/>
                <w:webHidden/>
              </w:rPr>
            </w:r>
            <w:r w:rsidR="00FD58BF">
              <w:rPr>
                <w:noProof/>
                <w:webHidden/>
              </w:rPr>
              <w:fldChar w:fldCharType="separate"/>
            </w:r>
            <w:r w:rsidR="00FD58BF">
              <w:rPr>
                <w:noProof/>
                <w:webHidden/>
              </w:rPr>
              <w:t>1184</w:t>
            </w:r>
            <w:r w:rsidR="00FD58BF">
              <w:rPr>
                <w:noProof/>
                <w:webHidden/>
              </w:rPr>
              <w:fldChar w:fldCharType="end"/>
            </w:r>
          </w:hyperlink>
        </w:p>
        <w:p w14:paraId="78011FEC" w14:textId="031E034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7" w:history="1">
            <w:r w:rsidR="00FD58BF" w:rsidRPr="003004E5">
              <w:rPr>
                <w:rStyle w:val="Lienhypertexte"/>
                <w:noProof/>
              </w:rPr>
              <w:t>26.44.3g (titre réservé) CCTB 01.10</w:t>
            </w:r>
            <w:r w:rsidR="00FD58BF">
              <w:rPr>
                <w:noProof/>
                <w:webHidden/>
              </w:rPr>
              <w:tab/>
            </w:r>
            <w:r w:rsidR="00FD58BF">
              <w:rPr>
                <w:noProof/>
                <w:webHidden/>
              </w:rPr>
              <w:fldChar w:fldCharType="begin"/>
            </w:r>
            <w:r w:rsidR="00FD58BF">
              <w:rPr>
                <w:noProof/>
                <w:webHidden/>
              </w:rPr>
              <w:instrText xml:space="preserve"> PAGEREF _Toc178839037 \h </w:instrText>
            </w:r>
            <w:r w:rsidR="00FD58BF">
              <w:rPr>
                <w:noProof/>
                <w:webHidden/>
              </w:rPr>
            </w:r>
            <w:r w:rsidR="00FD58BF">
              <w:rPr>
                <w:noProof/>
                <w:webHidden/>
              </w:rPr>
              <w:fldChar w:fldCharType="separate"/>
            </w:r>
            <w:r w:rsidR="00FD58BF">
              <w:rPr>
                <w:noProof/>
                <w:webHidden/>
              </w:rPr>
              <w:t>1184</w:t>
            </w:r>
            <w:r w:rsidR="00FD58BF">
              <w:rPr>
                <w:noProof/>
                <w:webHidden/>
              </w:rPr>
              <w:fldChar w:fldCharType="end"/>
            </w:r>
          </w:hyperlink>
        </w:p>
        <w:p w14:paraId="5E32A5BB" w14:textId="52C42CE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8" w:history="1">
            <w:r w:rsidR="00FD58BF" w:rsidRPr="003004E5">
              <w:rPr>
                <w:rStyle w:val="Lienhypertexte"/>
                <w:noProof/>
              </w:rPr>
              <w:t>26.44.4 (titre réservé) CCTB 01.04</w:t>
            </w:r>
            <w:r w:rsidR="00FD58BF">
              <w:rPr>
                <w:noProof/>
                <w:webHidden/>
              </w:rPr>
              <w:tab/>
            </w:r>
            <w:r w:rsidR="00FD58BF">
              <w:rPr>
                <w:noProof/>
                <w:webHidden/>
              </w:rPr>
              <w:fldChar w:fldCharType="begin"/>
            </w:r>
            <w:r w:rsidR="00FD58BF">
              <w:rPr>
                <w:noProof/>
                <w:webHidden/>
              </w:rPr>
              <w:instrText xml:space="preserve"> PAGEREF _Toc178839038 \h </w:instrText>
            </w:r>
            <w:r w:rsidR="00FD58BF">
              <w:rPr>
                <w:noProof/>
                <w:webHidden/>
              </w:rPr>
            </w:r>
            <w:r w:rsidR="00FD58BF">
              <w:rPr>
                <w:noProof/>
                <w:webHidden/>
              </w:rPr>
              <w:fldChar w:fldCharType="separate"/>
            </w:r>
            <w:r w:rsidR="00FD58BF">
              <w:rPr>
                <w:noProof/>
                <w:webHidden/>
              </w:rPr>
              <w:t>1184</w:t>
            </w:r>
            <w:r w:rsidR="00FD58BF">
              <w:rPr>
                <w:noProof/>
                <w:webHidden/>
              </w:rPr>
              <w:fldChar w:fldCharType="end"/>
            </w:r>
          </w:hyperlink>
        </w:p>
        <w:p w14:paraId="580CE0A8" w14:textId="17B70B3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39" w:history="1">
            <w:r w:rsidR="00FD58BF" w:rsidRPr="003004E5">
              <w:rPr>
                <w:rStyle w:val="Lienhypertexte"/>
                <w:noProof/>
              </w:rPr>
              <w:t>26.45 Isolation à injecter CCTB 01.04</w:t>
            </w:r>
            <w:r w:rsidR="00FD58BF">
              <w:rPr>
                <w:noProof/>
                <w:webHidden/>
              </w:rPr>
              <w:tab/>
            </w:r>
            <w:r w:rsidR="00FD58BF">
              <w:rPr>
                <w:noProof/>
                <w:webHidden/>
              </w:rPr>
              <w:fldChar w:fldCharType="begin"/>
            </w:r>
            <w:r w:rsidR="00FD58BF">
              <w:rPr>
                <w:noProof/>
                <w:webHidden/>
              </w:rPr>
              <w:instrText xml:space="preserve"> PAGEREF _Toc178839039 \h </w:instrText>
            </w:r>
            <w:r w:rsidR="00FD58BF">
              <w:rPr>
                <w:noProof/>
                <w:webHidden/>
              </w:rPr>
            </w:r>
            <w:r w:rsidR="00FD58BF">
              <w:rPr>
                <w:noProof/>
                <w:webHidden/>
              </w:rPr>
              <w:fldChar w:fldCharType="separate"/>
            </w:r>
            <w:r w:rsidR="00FD58BF">
              <w:rPr>
                <w:noProof/>
                <w:webHidden/>
              </w:rPr>
              <w:t>1184</w:t>
            </w:r>
            <w:r w:rsidR="00FD58BF">
              <w:rPr>
                <w:noProof/>
                <w:webHidden/>
              </w:rPr>
              <w:fldChar w:fldCharType="end"/>
            </w:r>
          </w:hyperlink>
        </w:p>
        <w:p w14:paraId="01137230" w14:textId="3113E18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0" w:history="1">
            <w:r w:rsidR="00FD58BF" w:rsidRPr="003004E5">
              <w:rPr>
                <w:rStyle w:val="Lienhypertexte"/>
                <w:noProof/>
              </w:rPr>
              <w:t>26.45.1 Isolation à injecter - matières synthétiques CCTB 01.02</w:t>
            </w:r>
            <w:r w:rsidR="00FD58BF">
              <w:rPr>
                <w:noProof/>
                <w:webHidden/>
              </w:rPr>
              <w:tab/>
            </w:r>
            <w:r w:rsidR="00FD58BF">
              <w:rPr>
                <w:noProof/>
                <w:webHidden/>
              </w:rPr>
              <w:fldChar w:fldCharType="begin"/>
            </w:r>
            <w:r w:rsidR="00FD58BF">
              <w:rPr>
                <w:noProof/>
                <w:webHidden/>
              </w:rPr>
              <w:instrText xml:space="preserve"> PAGEREF _Toc178839040 \h </w:instrText>
            </w:r>
            <w:r w:rsidR="00FD58BF">
              <w:rPr>
                <w:noProof/>
                <w:webHidden/>
              </w:rPr>
            </w:r>
            <w:r w:rsidR="00FD58BF">
              <w:rPr>
                <w:noProof/>
                <w:webHidden/>
              </w:rPr>
              <w:fldChar w:fldCharType="separate"/>
            </w:r>
            <w:r w:rsidR="00FD58BF">
              <w:rPr>
                <w:noProof/>
                <w:webHidden/>
              </w:rPr>
              <w:t>1185</w:t>
            </w:r>
            <w:r w:rsidR="00FD58BF">
              <w:rPr>
                <w:noProof/>
                <w:webHidden/>
              </w:rPr>
              <w:fldChar w:fldCharType="end"/>
            </w:r>
          </w:hyperlink>
        </w:p>
        <w:p w14:paraId="62105727" w14:textId="24552A7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1" w:history="1">
            <w:r w:rsidR="00FD58BF" w:rsidRPr="003004E5">
              <w:rPr>
                <w:rStyle w:val="Lienhypertexte"/>
                <w:noProof/>
              </w:rPr>
              <w:t>26.45.1a Isolation à injecter - mousse de polystyrène (EPS) CCTB 01.04</w:t>
            </w:r>
            <w:r w:rsidR="00FD58BF">
              <w:rPr>
                <w:noProof/>
                <w:webHidden/>
              </w:rPr>
              <w:tab/>
            </w:r>
            <w:r w:rsidR="00FD58BF">
              <w:rPr>
                <w:noProof/>
                <w:webHidden/>
              </w:rPr>
              <w:fldChar w:fldCharType="begin"/>
            </w:r>
            <w:r w:rsidR="00FD58BF">
              <w:rPr>
                <w:noProof/>
                <w:webHidden/>
              </w:rPr>
              <w:instrText xml:space="preserve"> PAGEREF _Toc178839041 \h </w:instrText>
            </w:r>
            <w:r w:rsidR="00FD58BF">
              <w:rPr>
                <w:noProof/>
                <w:webHidden/>
              </w:rPr>
            </w:r>
            <w:r w:rsidR="00FD58BF">
              <w:rPr>
                <w:noProof/>
                <w:webHidden/>
              </w:rPr>
              <w:fldChar w:fldCharType="separate"/>
            </w:r>
            <w:r w:rsidR="00FD58BF">
              <w:rPr>
                <w:noProof/>
                <w:webHidden/>
              </w:rPr>
              <w:t>1185</w:t>
            </w:r>
            <w:r w:rsidR="00FD58BF">
              <w:rPr>
                <w:noProof/>
                <w:webHidden/>
              </w:rPr>
              <w:fldChar w:fldCharType="end"/>
            </w:r>
          </w:hyperlink>
        </w:p>
        <w:p w14:paraId="27EC6A75" w14:textId="2CD2A0B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2" w:history="1">
            <w:r w:rsidR="00FD58BF" w:rsidRPr="003004E5">
              <w:rPr>
                <w:rStyle w:val="Lienhypertexte"/>
                <w:noProof/>
              </w:rPr>
              <w:t>26.45.1b Isolation à injecter - mousse de polyuréthane (PUR) CCTB 01.04</w:t>
            </w:r>
            <w:r w:rsidR="00FD58BF">
              <w:rPr>
                <w:noProof/>
                <w:webHidden/>
              </w:rPr>
              <w:tab/>
            </w:r>
            <w:r w:rsidR="00FD58BF">
              <w:rPr>
                <w:noProof/>
                <w:webHidden/>
              </w:rPr>
              <w:fldChar w:fldCharType="begin"/>
            </w:r>
            <w:r w:rsidR="00FD58BF">
              <w:rPr>
                <w:noProof/>
                <w:webHidden/>
              </w:rPr>
              <w:instrText xml:space="preserve"> PAGEREF _Toc178839042 \h </w:instrText>
            </w:r>
            <w:r w:rsidR="00FD58BF">
              <w:rPr>
                <w:noProof/>
                <w:webHidden/>
              </w:rPr>
            </w:r>
            <w:r w:rsidR="00FD58BF">
              <w:rPr>
                <w:noProof/>
                <w:webHidden/>
              </w:rPr>
              <w:fldChar w:fldCharType="separate"/>
            </w:r>
            <w:r w:rsidR="00FD58BF">
              <w:rPr>
                <w:noProof/>
                <w:webHidden/>
              </w:rPr>
              <w:t>1185</w:t>
            </w:r>
            <w:r w:rsidR="00FD58BF">
              <w:rPr>
                <w:noProof/>
                <w:webHidden/>
              </w:rPr>
              <w:fldChar w:fldCharType="end"/>
            </w:r>
          </w:hyperlink>
        </w:p>
        <w:p w14:paraId="33BCD00A" w14:textId="45F9152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3" w:history="1">
            <w:r w:rsidR="00FD58BF" w:rsidRPr="003004E5">
              <w:rPr>
                <w:rStyle w:val="Lienhypertexte"/>
                <w:noProof/>
              </w:rPr>
              <w:t>26.45.1c Isolation à injecter - mousse de polyisocyanurate (PIR) CCTB 01.04</w:t>
            </w:r>
            <w:r w:rsidR="00FD58BF">
              <w:rPr>
                <w:noProof/>
                <w:webHidden/>
              </w:rPr>
              <w:tab/>
            </w:r>
            <w:r w:rsidR="00FD58BF">
              <w:rPr>
                <w:noProof/>
                <w:webHidden/>
              </w:rPr>
              <w:fldChar w:fldCharType="begin"/>
            </w:r>
            <w:r w:rsidR="00FD58BF">
              <w:rPr>
                <w:noProof/>
                <w:webHidden/>
              </w:rPr>
              <w:instrText xml:space="preserve"> PAGEREF _Toc178839043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6D85D8AF" w14:textId="41B2551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4" w:history="1">
            <w:r w:rsidR="00FD58BF" w:rsidRPr="003004E5">
              <w:rPr>
                <w:rStyle w:val="Lienhypertexte"/>
                <w:noProof/>
              </w:rPr>
              <w:t>26.45.1d Isolation à injecter - mousse phénolique (PF) CCTB 01.02</w:t>
            </w:r>
            <w:r w:rsidR="00FD58BF">
              <w:rPr>
                <w:noProof/>
                <w:webHidden/>
              </w:rPr>
              <w:tab/>
            </w:r>
            <w:r w:rsidR="00FD58BF">
              <w:rPr>
                <w:noProof/>
                <w:webHidden/>
              </w:rPr>
              <w:fldChar w:fldCharType="begin"/>
            </w:r>
            <w:r w:rsidR="00FD58BF">
              <w:rPr>
                <w:noProof/>
                <w:webHidden/>
              </w:rPr>
              <w:instrText xml:space="preserve"> PAGEREF _Toc178839044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42D6B599" w14:textId="52EC35E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45" w:history="1">
            <w:r w:rsidR="00FD58BF" w:rsidRPr="003004E5">
              <w:rPr>
                <w:rStyle w:val="Lienhypertexte"/>
                <w:noProof/>
              </w:rPr>
              <w:t>26.46 Isolation à verser en vrac CCTB 01.02</w:t>
            </w:r>
            <w:r w:rsidR="00FD58BF">
              <w:rPr>
                <w:noProof/>
                <w:webHidden/>
              </w:rPr>
              <w:tab/>
            </w:r>
            <w:r w:rsidR="00FD58BF">
              <w:rPr>
                <w:noProof/>
                <w:webHidden/>
              </w:rPr>
              <w:fldChar w:fldCharType="begin"/>
            </w:r>
            <w:r w:rsidR="00FD58BF">
              <w:rPr>
                <w:noProof/>
                <w:webHidden/>
              </w:rPr>
              <w:instrText xml:space="preserve"> PAGEREF _Toc178839045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42018A85" w14:textId="0503B97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6" w:history="1">
            <w:r w:rsidR="00FD58BF" w:rsidRPr="003004E5">
              <w:rPr>
                <w:rStyle w:val="Lienhypertexte"/>
                <w:noProof/>
              </w:rPr>
              <w:t>26.46.1 Isolation à verser en vrac - matières synthétiques CCTB 01.02</w:t>
            </w:r>
            <w:r w:rsidR="00FD58BF">
              <w:rPr>
                <w:noProof/>
                <w:webHidden/>
              </w:rPr>
              <w:tab/>
            </w:r>
            <w:r w:rsidR="00FD58BF">
              <w:rPr>
                <w:noProof/>
                <w:webHidden/>
              </w:rPr>
              <w:fldChar w:fldCharType="begin"/>
            </w:r>
            <w:r w:rsidR="00FD58BF">
              <w:rPr>
                <w:noProof/>
                <w:webHidden/>
              </w:rPr>
              <w:instrText xml:space="preserve"> PAGEREF _Toc178839046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502BE549" w14:textId="6E4179A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7" w:history="1">
            <w:r w:rsidR="00FD58BF" w:rsidRPr="003004E5">
              <w:rPr>
                <w:rStyle w:val="Lienhypertexte"/>
                <w:noProof/>
              </w:rPr>
              <w:t>26.46.2 Isolation à verser en vrac - matières minérales CCTB 01.02</w:t>
            </w:r>
            <w:r w:rsidR="00FD58BF">
              <w:rPr>
                <w:noProof/>
                <w:webHidden/>
              </w:rPr>
              <w:tab/>
            </w:r>
            <w:r w:rsidR="00FD58BF">
              <w:rPr>
                <w:noProof/>
                <w:webHidden/>
              </w:rPr>
              <w:fldChar w:fldCharType="begin"/>
            </w:r>
            <w:r w:rsidR="00FD58BF">
              <w:rPr>
                <w:noProof/>
                <w:webHidden/>
              </w:rPr>
              <w:instrText xml:space="preserve"> PAGEREF _Toc178839047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3F07FA9C" w14:textId="5AFAD74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8" w:history="1">
            <w:r w:rsidR="00FD58BF" w:rsidRPr="003004E5">
              <w:rPr>
                <w:rStyle w:val="Lienhypertexte"/>
                <w:noProof/>
              </w:rPr>
              <w:t>26.46.2a Isolation à verser en vrac - laine de verre CCTB 01.02</w:t>
            </w:r>
            <w:r w:rsidR="00FD58BF">
              <w:rPr>
                <w:noProof/>
                <w:webHidden/>
              </w:rPr>
              <w:tab/>
            </w:r>
            <w:r w:rsidR="00FD58BF">
              <w:rPr>
                <w:noProof/>
                <w:webHidden/>
              </w:rPr>
              <w:fldChar w:fldCharType="begin"/>
            </w:r>
            <w:r w:rsidR="00FD58BF">
              <w:rPr>
                <w:noProof/>
                <w:webHidden/>
              </w:rPr>
              <w:instrText xml:space="preserve"> PAGEREF _Toc178839048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30260B63" w14:textId="2C073FD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9" w:history="1">
            <w:r w:rsidR="00FD58BF" w:rsidRPr="003004E5">
              <w:rPr>
                <w:rStyle w:val="Lienhypertexte"/>
                <w:noProof/>
              </w:rPr>
              <w:t>26.46.2b Isolation à verser en vrac - laine de roche CCTB 01.02</w:t>
            </w:r>
            <w:r w:rsidR="00FD58BF">
              <w:rPr>
                <w:noProof/>
                <w:webHidden/>
              </w:rPr>
              <w:tab/>
            </w:r>
            <w:r w:rsidR="00FD58BF">
              <w:rPr>
                <w:noProof/>
                <w:webHidden/>
              </w:rPr>
              <w:fldChar w:fldCharType="begin"/>
            </w:r>
            <w:r w:rsidR="00FD58BF">
              <w:rPr>
                <w:noProof/>
                <w:webHidden/>
              </w:rPr>
              <w:instrText xml:space="preserve"> PAGEREF _Toc178839049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3E8FB134" w14:textId="746ACD4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0" w:history="1">
            <w:r w:rsidR="00FD58BF" w:rsidRPr="003004E5">
              <w:rPr>
                <w:rStyle w:val="Lienhypertexte"/>
                <w:noProof/>
              </w:rPr>
              <w:t>26.46.2c Isolation à verser en vrac - fibres de verre CCTB 01.02</w:t>
            </w:r>
            <w:r w:rsidR="00FD58BF">
              <w:rPr>
                <w:noProof/>
                <w:webHidden/>
              </w:rPr>
              <w:tab/>
            </w:r>
            <w:r w:rsidR="00FD58BF">
              <w:rPr>
                <w:noProof/>
                <w:webHidden/>
              </w:rPr>
              <w:fldChar w:fldCharType="begin"/>
            </w:r>
            <w:r w:rsidR="00FD58BF">
              <w:rPr>
                <w:noProof/>
                <w:webHidden/>
              </w:rPr>
              <w:instrText xml:space="preserve"> PAGEREF _Toc178839050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298DE25F" w14:textId="21A19C6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1" w:history="1">
            <w:r w:rsidR="00FD58BF" w:rsidRPr="003004E5">
              <w:rPr>
                <w:rStyle w:val="Lienhypertexte"/>
                <w:noProof/>
              </w:rPr>
              <w:t>26.46.2d Isolation à verser en vrac - vermiculite expansée (EV) CCTB 01.04</w:t>
            </w:r>
            <w:r w:rsidR="00FD58BF">
              <w:rPr>
                <w:noProof/>
                <w:webHidden/>
              </w:rPr>
              <w:tab/>
            </w:r>
            <w:r w:rsidR="00FD58BF">
              <w:rPr>
                <w:noProof/>
                <w:webHidden/>
              </w:rPr>
              <w:fldChar w:fldCharType="begin"/>
            </w:r>
            <w:r w:rsidR="00FD58BF">
              <w:rPr>
                <w:noProof/>
                <w:webHidden/>
              </w:rPr>
              <w:instrText xml:space="preserve"> PAGEREF _Toc178839051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43321F1E" w14:textId="3AE879CE"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2" w:history="1">
            <w:r w:rsidR="00FD58BF" w:rsidRPr="003004E5">
              <w:rPr>
                <w:rStyle w:val="Lienhypertexte"/>
                <w:noProof/>
              </w:rPr>
              <w:t>26.46.2e Isolation à verser en vrac - perlite expansée (EPB) CCTB 01.04</w:t>
            </w:r>
            <w:r w:rsidR="00FD58BF">
              <w:rPr>
                <w:noProof/>
                <w:webHidden/>
              </w:rPr>
              <w:tab/>
            </w:r>
            <w:r w:rsidR="00FD58BF">
              <w:rPr>
                <w:noProof/>
                <w:webHidden/>
              </w:rPr>
              <w:fldChar w:fldCharType="begin"/>
            </w:r>
            <w:r w:rsidR="00FD58BF">
              <w:rPr>
                <w:noProof/>
                <w:webHidden/>
              </w:rPr>
              <w:instrText xml:space="preserve"> PAGEREF _Toc178839052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74E09C1C" w14:textId="0ED8F1D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3" w:history="1">
            <w:r w:rsidR="00FD58BF" w:rsidRPr="003004E5">
              <w:rPr>
                <w:rStyle w:val="Lienhypertexte"/>
                <w:noProof/>
              </w:rPr>
              <w:t>26.46.2f (titre réservé)</w:t>
            </w:r>
            <w:r w:rsidR="00FD58BF">
              <w:rPr>
                <w:noProof/>
                <w:webHidden/>
              </w:rPr>
              <w:tab/>
            </w:r>
            <w:r w:rsidR="00FD58BF">
              <w:rPr>
                <w:noProof/>
                <w:webHidden/>
              </w:rPr>
              <w:fldChar w:fldCharType="begin"/>
            </w:r>
            <w:r w:rsidR="00FD58BF">
              <w:rPr>
                <w:noProof/>
                <w:webHidden/>
              </w:rPr>
              <w:instrText xml:space="preserve"> PAGEREF _Toc178839053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67D1D2AF" w14:textId="5640E16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54" w:history="1">
            <w:r w:rsidR="00FD58BF" w:rsidRPr="003004E5">
              <w:rPr>
                <w:rStyle w:val="Lienhypertexte"/>
                <w:noProof/>
              </w:rPr>
              <w:t>26.46.3 Isolation à verser en vrac - matières végétales CCTB 01.02</w:t>
            </w:r>
            <w:r w:rsidR="00FD58BF">
              <w:rPr>
                <w:noProof/>
                <w:webHidden/>
              </w:rPr>
              <w:tab/>
            </w:r>
            <w:r w:rsidR="00FD58BF">
              <w:rPr>
                <w:noProof/>
                <w:webHidden/>
              </w:rPr>
              <w:fldChar w:fldCharType="begin"/>
            </w:r>
            <w:r w:rsidR="00FD58BF">
              <w:rPr>
                <w:noProof/>
                <w:webHidden/>
              </w:rPr>
              <w:instrText xml:space="preserve"> PAGEREF _Toc178839054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778C6ECB" w14:textId="10C3249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5" w:history="1">
            <w:r w:rsidR="00FD58BF" w:rsidRPr="003004E5">
              <w:rPr>
                <w:rStyle w:val="Lienhypertexte"/>
                <w:noProof/>
              </w:rPr>
              <w:t>26.46.3a (titre réservé) CCTB 01.04</w:t>
            </w:r>
            <w:r w:rsidR="00FD58BF">
              <w:rPr>
                <w:noProof/>
                <w:webHidden/>
              </w:rPr>
              <w:tab/>
            </w:r>
            <w:r w:rsidR="00FD58BF">
              <w:rPr>
                <w:noProof/>
                <w:webHidden/>
              </w:rPr>
              <w:fldChar w:fldCharType="begin"/>
            </w:r>
            <w:r w:rsidR="00FD58BF">
              <w:rPr>
                <w:noProof/>
                <w:webHidden/>
              </w:rPr>
              <w:instrText xml:space="preserve"> PAGEREF _Toc178839055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61835F2D" w14:textId="5C5C7EE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6" w:history="1">
            <w:r w:rsidR="00FD58BF" w:rsidRPr="003004E5">
              <w:rPr>
                <w:rStyle w:val="Lienhypertexte"/>
                <w:noProof/>
              </w:rPr>
              <w:t>26.46.3b Isolation à verser en vrac - granulés d'argile expansée (LWA) CCTB 01.04</w:t>
            </w:r>
            <w:r w:rsidR="00FD58BF">
              <w:rPr>
                <w:noProof/>
                <w:webHidden/>
              </w:rPr>
              <w:tab/>
            </w:r>
            <w:r w:rsidR="00FD58BF">
              <w:rPr>
                <w:noProof/>
                <w:webHidden/>
              </w:rPr>
              <w:fldChar w:fldCharType="begin"/>
            </w:r>
            <w:r w:rsidR="00FD58BF">
              <w:rPr>
                <w:noProof/>
                <w:webHidden/>
              </w:rPr>
              <w:instrText xml:space="preserve"> PAGEREF _Toc178839056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07E71DE3" w14:textId="04EF15F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7" w:history="1">
            <w:r w:rsidR="00FD58BF" w:rsidRPr="003004E5">
              <w:rPr>
                <w:rStyle w:val="Lienhypertexte"/>
                <w:noProof/>
              </w:rPr>
              <w:t>26.46.3c (titre réservé) CCTB 01.04</w:t>
            </w:r>
            <w:r w:rsidR="00FD58BF">
              <w:rPr>
                <w:noProof/>
                <w:webHidden/>
              </w:rPr>
              <w:tab/>
            </w:r>
            <w:r w:rsidR="00FD58BF">
              <w:rPr>
                <w:noProof/>
                <w:webHidden/>
              </w:rPr>
              <w:fldChar w:fldCharType="begin"/>
            </w:r>
            <w:r w:rsidR="00FD58BF">
              <w:rPr>
                <w:noProof/>
                <w:webHidden/>
              </w:rPr>
              <w:instrText xml:space="preserve"> PAGEREF _Toc178839057 \h </w:instrText>
            </w:r>
            <w:r w:rsidR="00FD58BF">
              <w:rPr>
                <w:noProof/>
                <w:webHidden/>
              </w:rPr>
            </w:r>
            <w:r w:rsidR="00FD58BF">
              <w:rPr>
                <w:noProof/>
                <w:webHidden/>
              </w:rPr>
              <w:fldChar w:fldCharType="separate"/>
            </w:r>
            <w:r w:rsidR="00FD58BF">
              <w:rPr>
                <w:noProof/>
                <w:webHidden/>
              </w:rPr>
              <w:t>1186</w:t>
            </w:r>
            <w:r w:rsidR="00FD58BF">
              <w:rPr>
                <w:noProof/>
                <w:webHidden/>
              </w:rPr>
              <w:fldChar w:fldCharType="end"/>
            </w:r>
          </w:hyperlink>
        </w:p>
        <w:p w14:paraId="48724D74" w14:textId="56334B7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8" w:history="1">
            <w:r w:rsidR="00FD58BF" w:rsidRPr="003004E5">
              <w:rPr>
                <w:rStyle w:val="Lienhypertexte"/>
                <w:noProof/>
              </w:rPr>
              <w:t>26.46.3d (titre réservé) CCTB 01.04</w:t>
            </w:r>
            <w:r w:rsidR="00FD58BF">
              <w:rPr>
                <w:noProof/>
                <w:webHidden/>
              </w:rPr>
              <w:tab/>
            </w:r>
            <w:r w:rsidR="00FD58BF">
              <w:rPr>
                <w:noProof/>
                <w:webHidden/>
              </w:rPr>
              <w:fldChar w:fldCharType="begin"/>
            </w:r>
            <w:r w:rsidR="00FD58BF">
              <w:rPr>
                <w:noProof/>
                <w:webHidden/>
              </w:rPr>
              <w:instrText xml:space="preserve"> PAGEREF _Toc178839058 \h </w:instrText>
            </w:r>
            <w:r w:rsidR="00FD58BF">
              <w:rPr>
                <w:noProof/>
                <w:webHidden/>
              </w:rPr>
            </w:r>
            <w:r w:rsidR="00FD58BF">
              <w:rPr>
                <w:noProof/>
                <w:webHidden/>
              </w:rPr>
              <w:fldChar w:fldCharType="separate"/>
            </w:r>
            <w:r w:rsidR="00FD58BF">
              <w:rPr>
                <w:noProof/>
                <w:webHidden/>
              </w:rPr>
              <w:t>1187</w:t>
            </w:r>
            <w:r w:rsidR="00FD58BF">
              <w:rPr>
                <w:noProof/>
                <w:webHidden/>
              </w:rPr>
              <w:fldChar w:fldCharType="end"/>
            </w:r>
          </w:hyperlink>
        </w:p>
        <w:p w14:paraId="641239A0" w14:textId="3921422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9" w:history="1">
            <w:r w:rsidR="00FD58BF" w:rsidRPr="003004E5">
              <w:rPr>
                <w:rStyle w:val="Lienhypertexte"/>
                <w:noProof/>
              </w:rPr>
              <w:t>26.46.3e (titre réservé) CCTB 01.04</w:t>
            </w:r>
            <w:r w:rsidR="00FD58BF">
              <w:rPr>
                <w:noProof/>
                <w:webHidden/>
              </w:rPr>
              <w:tab/>
            </w:r>
            <w:r w:rsidR="00FD58BF">
              <w:rPr>
                <w:noProof/>
                <w:webHidden/>
              </w:rPr>
              <w:fldChar w:fldCharType="begin"/>
            </w:r>
            <w:r w:rsidR="00FD58BF">
              <w:rPr>
                <w:noProof/>
                <w:webHidden/>
              </w:rPr>
              <w:instrText xml:space="preserve"> PAGEREF _Toc178839059 \h </w:instrText>
            </w:r>
            <w:r w:rsidR="00FD58BF">
              <w:rPr>
                <w:noProof/>
                <w:webHidden/>
              </w:rPr>
            </w:r>
            <w:r w:rsidR="00FD58BF">
              <w:rPr>
                <w:noProof/>
                <w:webHidden/>
              </w:rPr>
              <w:fldChar w:fldCharType="separate"/>
            </w:r>
            <w:r w:rsidR="00FD58BF">
              <w:rPr>
                <w:noProof/>
                <w:webHidden/>
              </w:rPr>
              <w:t>1187</w:t>
            </w:r>
            <w:r w:rsidR="00FD58BF">
              <w:rPr>
                <w:noProof/>
                <w:webHidden/>
              </w:rPr>
              <w:fldChar w:fldCharType="end"/>
            </w:r>
          </w:hyperlink>
        </w:p>
        <w:p w14:paraId="2A398AD7" w14:textId="02AACAA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0" w:history="1">
            <w:r w:rsidR="00FD58BF" w:rsidRPr="003004E5">
              <w:rPr>
                <w:rStyle w:val="Lienhypertexte"/>
                <w:noProof/>
              </w:rPr>
              <w:t>26.46.3f (titre réservé) CCTB 01.04</w:t>
            </w:r>
            <w:r w:rsidR="00FD58BF">
              <w:rPr>
                <w:noProof/>
                <w:webHidden/>
              </w:rPr>
              <w:tab/>
            </w:r>
            <w:r w:rsidR="00FD58BF">
              <w:rPr>
                <w:noProof/>
                <w:webHidden/>
              </w:rPr>
              <w:fldChar w:fldCharType="begin"/>
            </w:r>
            <w:r w:rsidR="00FD58BF">
              <w:rPr>
                <w:noProof/>
                <w:webHidden/>
              </w:rPr>
              <w:instrText xml:space="preserve"> PAGEREF _Toc178839060 \h </w:instrText>
            </w:r>
            <w:r w:rsidR="00FD58BF">
              <w:rPr>
                <w:noProof/>
                <w:webHidden/>
              </w:rPr>
            </w:r>
            <w:r w:rsidR="00FD58BF">
              <w:rPr>
                <w:noProof/>
                <w:webHidden/>
              </w:rPr>
              <w:fldChar w:fldCharType="separate"/>
            </w:r>
            <w:r w:rsidR="00FD58BF">
              <w:rPr>
                <w:noProof/>
                <w:webHidden/>
              </w:rPr>
              <w:t>1187</w:t>
            </w:r>
            <w:r w:rsidR="00FD58BF">
              <w:rPr>
                <w:noProof/>
                <w:webHidden/>
              </w:rPr>
              <w:fldChar w:fldCharType="end"/>
            </w:r>
          </w:hyperlink>
        </w:p>
        <w:p w14:paraId="7C901A2A" w14:textId="7550BF6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1" w:history="1">
            <w:r w:rsidR="00FD58BF" w:rsidRPr="003004E5">
              <w:rPr>
                <w:rStyle w:val="Lienhypertexte"/>
                <w:noProof/>
              </w:rPr>
              <w:t>26.46.3g Isolation à verser en vrac - granulés de liège expansé CCTB 01.12</w:t>
            </w:r>
            <w:r w:rsidR="00FD58BF">
              <w:rPr>
                <w:noProof/>
                <w:webHidden/>
              </w:rPr>
              <w:tab/>
            </w:r>
            <w:r w:rsidR="00FD58BF">
              <w:rPr>
                <w:noProof/>
                <w:webHidden/>
              </w:rPr>
              <w:fldChar w:fldCharType="begin"/>
            </w:r>
            <w:r w:rsidR="00FD58BF">
              <w:rPr>
                <w:noProof/>
                <w:webHidden/>
              </w:rPr>
              <w:instrText xml:space="preserve"> PAGEREF _Toc178839061 \h </w:instrText>
            </w:r>
            <w:r w:rsidR="00FD58BF">
              <w:rPr>
                <w:noProof/>
                <w:webHidden/>
              </w:rPr>
            </w:r>
            <w:r w:rsidR="00FD58BF">
              <w:rPr>
                <w:noProof/>
                <w:webHidden/>
              </w:rPr>
              <w:fldChar w:fldCharType="separate"/>
            </w:r>
            <w:r w:rsidR="00FD58BF">
              <w:rPr>
                <w:noProof/>
                <w:webHidden/>
              </w:rPr>
              <w:t>1187</w:t>
            </w:r>
            <w:r w:rsidR="00FD58BF">
              <w:rPr>
                <w:noProof/>
                <w:webHidden/>
              </w:rPr>
              <w:fldChar w:fldCharType="end"/>
            </w:r>
          </w:hyperlink>
        </w:p>
        <w:p w14:paraId="3F48C913" w14:textId="1CBF9C4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2" w:history="1">
            <w:r w:rsidR="00FD58BF" w:rsidRPr="003004E5">
              <w:rPr>
                <w:rStyle w:val="Lienhypertexte"/>
                <w:noProof/>
              </w:rPr>
              <w:t>26.46.3h (titre réservé)</w:t>
            </w:r>
            <w:r w:rsidR="00FD58BF">
              <w:rPr>
                <w:noProof/>
                <w:webHidden/>
              </w:rPr>
              <w:tab/>
            </w:r>
            <w:r w:rsidR="00FD58BF">
              <w:rPr>
                <w:noProof/>
                <w:webHidden/>
              </w:rPr>
              <w:fldChar w:fldCharType="begin"/>
            </w:r>
            <w:r w:rsidR="00FD58BF">
              <w:rPr>
                <w:noProof/>
                <w:webHidden/>
              </w:rPr>
              <w:instrText xml:space="preserve"> PAGEREF _Toc178839062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6656B5A4" w14:textId="3B4BB19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3" w:history="1">
            <w:r w:rsidR="00FD58BF" w:rsidRPr="003004E5">
              <w:rPr>
                <w:rStyle w:val="Lienhypertexte"/>
                <w:noProof/>
              </w:rPr>
              <w:t>26.46.4 (titre réservé) CCTB 01.04</w:t>
            </w:r>
            <w:r w:rsidR="00FD58BF">
              <w:rPr>
                <w:noProof/>
                <w:webHidden/>
              </w:rPr>
              <w:tab/>
            </w:r>
            <w:r w:rsidR="00FD58BF">
              <w:rPr>
                <w:noProof/>
                <w:webHidden/>
              </w:rPr>
              <w:fldChar w:fldCharType="begin"/>
            </w:r>
            <w:r w:rsidR="00FD58BF">
              <w:rPr>
                <w:noProof/>
                <w:webHidden/>
              </w:rPr>
              <w:instrText xml:space="preserve"> PAGEREF _Toc178839063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27834951" w14:textId="512689B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64" w:history="1">
            <w:r w:rsidR="00FD58BF" w:rsidRPr="003004E5">
              <w:rPr>
                <w:rStyle w:val="Lienhypertexte"/>
                <w:noProof/>
              </w:rPr>
              <w:t>26.47 Isolation en blocs CCTB 01.11</w:t>
            </w:r>
            <w:r w:rsidR="00FD58BF">
              <w:rPr>
                <w:noProof/>
                <w:webHidden/>
              </w:rPr>
              <w:tab/>
            </w:r>
            <w:r w:rsidR="00FD58BF">
              <w:rPr>
                <w:noProof/>
                <w:webHidden/>
              </w:rPr>
              <w:fldChar w:fldCharType="begin"/>
            </w:r>
            <w:r w:rsidR="00FD58BF">
              <w:rPr>
                <w:noProof/>
                <w:webHidden/>
              </w:rPr>
              <w:instrText xml:space="preserve"> PAGEREF _Toc178839064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72A0821D" w14:textId="7623DD7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5" w:history="1">
            <w:r w:rsidR="00FD58BF" w:rsidRPr="003004E5">
              <w:rPr>
                <w:rStyle w:val="Lienhypertexte"/>
                <w:noProof/>
              </w:rPr>
              <w:t>26.47.1 Isolation en blocs - matières synthétiques CCTB 01.02</w:t>
            </w:r>
            <w:r w:rsidR="00FD58BF">
              <w:rPr>
                <w:noProof/>
                <w:webHidden/>
              </w:rPr>
              <w:tab/>
            </w:r>
            <w:r w:rsidR="00FD58BF">
              <w:rPr>
                <w:noProof/>
                <w:webHidden/>
              </w:rPr>
              <w:fldChar w:fldCharType="begin"/>
            </w:r>
            <w:r w:rsidR="00FD58BF">
              <w:rPr>
                <w:noProof/>
                <w:webHidden/>
              </w:rPr>
              <w:instrText xml:space="preserve"> PAGEREF _Toc178839065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12AC7CA3" w14:textId="2EC9883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6" w:history="1">
            <w:r w:rsidR="00FD58BF" w:rsidRPr="003004E5">
              <w:rPr>
                <w:rStyle w:val="Lienhypertexte"/>
                <w:noProof/>
              </w:rPr>
              <w:t>26.47.1a Isolation en blocs - entrevous de polystyrène CCTB 01.04</w:t>
            </w:r>
            <w:r w:rsidR="00FD58BF">
              <w:rPr>
                <w:noProof/>
                <w:webHidden/>
              </w:rPr>
              <w:tab/>
            </w:r>
            <w:r w:rsidR="00FD58BF">
              <w:rPr>
                <w:noProof/>
                <w:webHidden/>
              </w:rPr>
              <w:fldChar w:fldCharType="begin"/>
            </w:r>
            <w:r w:rsidR="00FD58BF">
              <w:rPr>
                <w:noProof/>
                <w:webHidden/>
              </w:rPr>
              <w:instrText xml:space="preserve"> PAGEREF _Toc178839066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7E36347B" w14:textId="19955E1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7" w:history="1">
            <w:r w:rsidR="00FD58BF" w:rsidRPr="003004E5">
              <w:rPr>
                <w:rStyle w:val="Lienhypertexte"/>
                <w:noProof/>
              </w:rPr>
              <w:t>26.47.1b Isolation en blocs - polystyrène expansé (EPS) CCTB 01.02</w:t>
            </w:r>
            <w:r w:rsidR="00FD58BF">
              <w:rPr>
                <w:noProof/>
                <w:webHidden/>
              </w:rPr>
              <w:tab/>
            </w:r>
            <w:r w:rsidR="00FD58BF">
              <w:rPr>
                <w:noProof/>
                <w:webHidden/>
              </w:rPr>
              <w:fldChar w:fldCharType="begin"/>
            </w:r>
            <w:r w:rsidR="00FD58BF">
              <w:rPr>
                <w:noProof/>
                <w:webHidden/>
              </w:rPr>
              <w:instrText xml:space="preserve"> PAGEREF _Toc178839067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00884687" w14:textId="65B4B3F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8" w:history="1">
            <w:r w:rsidR="00FD58BF" w:rsidRPr="003004E5">
              <w:rPr>
                <w:rStyle w:val="Lienhypertexte"/>
                <w:noProof/>
              </w:rPr>
              <w:t>26.47.1c Isolation en blocs - polystyrène expansé additionné de graphite/carbone CCTB 01.02</w:t>
            </w:r>
            <w:r w:rsidR="00FD58BF">
              <w:rPr>
                <w:noProof/>
                <w:webHidden/>
              </w:rPr>
              <w:tab/>
            </w:r>
            <w:r w:rsidR="00FD58BF">
              <w:rPr>
                <w:noProof/>
                <w:webHidden/>
              </w:rPr>
              <w:fldChar w:fldCharType="begin"/>
            </w:r>
            <w:r w:rsidR="00FD58BF">
              <w:rPr>
                <w:noProof/>
                <w:webHidden/>
              </w:rPr>
              <w:instrText xml:space="preserve"> PAGEREF _Toc178839068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070655A1" w14:textId="783CCB8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9" w:history="1">
            <w:r w:rsidR="00FD58BF" w:rsidRPr="003004E5">
              <w:rPr>
                <w:rStyle w:val="Lienhypertexte"/>
                <w:noProof/>
              </w:rPr>
              <w:t>26.47.1d Isolation en blocs de coffrage - polystyrène expansé (EPS) CCTB 01.02</w:t>
            </w:r>
            <w:r w:rsidR="00FD58BF">
              <w:rPr>
                <w:noProof/>
                <w:webHidden/>
              </w:rPr>
              <w:tab/>
            </w:r>
            <w:r w:rsidR="00FD58BF">
              <w:rPr>
                <w:noProof/>
                <w:webHidden/>
              </w:rPr>
              <w:fldChar w:fldCharType="begin"/>
            </w:r>
            <w:r w:rsidR="00FD58BF">
              <w:rPr>
                <w:noProof/>
                <w:webHidden/>
              </w:rPr>
              <w:instrText xml:space="preserve"> PAGEREF _Toc178839069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190FB7E4" w14:textId="7395349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0" w:history="1">
            <w:r w:rsidR="00FD58BF" w:rsidRPr="003004E5">
              <w:rPr>
                <w:rStyle w:val="Lienhypertexte"/>
                <w:noProof/>
              </w:rPr>
              <w:t>26.47.1e Isolation en blocs de coffrage - avec surépaisseur de mousse de polystyrène expansé (EPS) CCTB 01.02</w:t>
            </w:r>
            <w:r w:rsidR="00FD58BF">
              <w:rPr>
                <w:noProof/>
                <w:webHidden/>
              </w:rPr>
              <w:tab/>
            </w:r>
            <w:r w:rsidR="00FD58BF">
              <w:rPr>
                <w:noProof/>
                <w:webHidden/>
              </w:rPr>
              <w:fldChar w:fldCharType="begin"/>
            </w:r>
            <w:r w:rsidR="00FD58BF">
              <w:rPr>
                <w:noProof/>
                <w:webHidden/>
              </w:rPr>
              <w:instrText xml:space="preserve"> PAGEREF _Toc178839070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0B0E5FDD" w14:textId="3919F27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1" w:history="1">
            <w:r w:rsidR="00FD58BF" w:rsidRPr="003004E5">
              <w:rPr>
                <w:rStyle w:val="Lienhypertexte"/>
                <w:noProof/>
              </w:rPr>
              <w:t>26.47.1f Isolation en blocs de coffrage - polystyrène expansé additionné de graphite/carbone CCTB 01.02</w:t>
            </w:r>
            <w:r w:rsidR="00FD58BF">
              <w:rPr>
                <w:noProof/>
                <w:webHidden/>
              </w:rPr>
              <w:tab/>
            </w:r>
            <w:r w:rsidR="00FD58BF">
              <w:rPr>
                <w:noProof/>
                <w:webHidden/>
              </w:rPr>
              <w:fldChar w:fldCharType="begin"/>
            </w:r>
            <w:r w:rsidR="00FD58BF">
              <w:rPr>
                <w:noProof/>
                <w:webHidden/>
              </w:rPr>
              <w:instrText xml:space="preserve"> PAGEREF _Toc178839071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41805BB1" w14:textId="44EA837A"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2" w:history="1">
            <w:r w:rsidR="00FD58BF" w:rsidRPr="003004E5">
              <w:rPr>
                <w:rStyle w:val="Lienhypertexte"/>
                <w:noProof/>
              </w:rPr>
              <w:t>26.47.1g Isolation en blocs de coffrage - avec surépaisseur de polystyrène expansé additionné de graphite/c. CCTB 01.11</w:t>
            </w:r>
            <w:r w:rsidR="00FD58BF">
              <w:rPr>
                <w:noProof/>
                <w:webHidden/>
              </w:rPr>
              <w:tab/>
            </w:r>
            <w:r w:rsidR="00FD58BF">
              <w:rPr>
                <w:noProof/>
                <w:webHidden/>
              </w:rPr>
              <w:fldChar w:fldCharType="begin"/>
            </w:r>
            <w:r w:rsidR="00FD58BF">
              <w:rPr>
                <w:noProof/>
                <w:webHidden/>
              </w:rPr>
              <w:instrText xml:space="preserve"> PAGEREF _Toc178839072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744A728C" w14:textId="1E7A4947"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73" w:history="1">
            <w:r w:rsidR="00FD58BF" w:rsidRPr="003004E5">
              <w:rPr>
                <w:rStyle w:val="Lienhypertexte"/>
                <w:noProof/>
              </w:rPr>
              <w:t>26.47.2 Isolation en blocs - matières végétales CCTB 01.02</w:t>
            </w:r>
            <w:r w:rsidR="00FD58BF">
              <w:rPr>
                <w:noProof/>
                <w:webHidden/>
              </w:rPr>
              <w:tab/>
            </w:r>
            <w:r w:rsidR="00FD58BF">
              <w:rPr>
                <w:noProof/>
                <w:webHidden/>
              </w:rPr>
              <w:fldChar w:fldCharType="begin"/>
            </w:r>
            <w:r w:rsidR="00FD58BF">
              <w:rPr>
                <w:noProof/>
                <w:webHidden/>
              </w:rPr>
              <w:instrText xml:space="preserve"> PAGEREF _Toc178839073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671953E7" w14:textId="6A6EC98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4" w:history="1">
            <w:r w:rsidR="00FD58BF" w:rsidRPr="003004E5">
              <w:rPr>
                <w:rStyle w:val="Lienhypertexte"/>
                <w:noProof/>
              </w:rPr>
              <w:t>26.47.2a Isolation en blocs - paille CCTB 01.11</w:t>
            </w:r>
            <w:r w:rsidR="00FD58BF">
              <w:rPr>
                <w:noProof/>
                <w:webHidden/>
              </w:rPr>
              <w:tab/>
            </w:r>
            <w:r w:rsidR="00FD58BF">
              <w:rPr>
                <w:noProof/>
                <w:webHidden/>
              </w:rPr>
              <w:fldChar w:fldCharType="begin"/>
            </w:r>
            <w:r w:rsidR="00FD58BF">
              <w:rPr>
                <w:noProof/>
                <w:webHidden/>
              </w:rPr>
              <w:instrText xml:space="preserve"> PAGEREF _Toc178839074 \h </w:instrText>
            </w:r>
            <w:r w:rsidR="00FD58BF">
              <w:rPr>
                <w:noProof/>
                <w:webHidden/>
              </w:rPr>
            </w:r>
            <w:r w:rsidR="00FD58BF">
              <w:rPr>
                <w:noProof/>
                <w:webHidden/>
              </w:rPr>
              <w:fldChar w:fldCharType="separate"/>
            </w:r>
            <w:r w:rsidR="00FD58BF">
              <w:rPr>
                <w:noProof/>
                <w:webHidden/>
              </w:rPr>
              <w:t>1189</w:t>
            </w:r>
            <w:r w:rsidR="00FD58BF">
              <w:rPr>
                <w:noProof/>
                <w:webHidden/>
              </w:rPr>
              <w:fldChar w:fldCharType="end"/>
            </w:r>
          </w:hyperlink>
        </w:p>
        <w:p w14:paraId="51B4A640" w14:textId="48C9EBC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75" w:history="1">
            <w:r w:rsidR="00FD58BF" w:rsidRPr="003004E5">
              <w:rPr>
                <w:rStyle w:val="Lienhypertexte"/>
                <w:noProof/>
              </w:rPr>
              <w:t>26.47.3 Isolation en blocs - matières composites CCTB 01.02</w:t>
            </w:r>
            <w:r w:rsidR="00FD58BF">
              <w:rPr>
                <w:noProof/>
                <w:webHidden/>
              </w:rPr>
              <w:tab/>
            </w:r>
            <w:r w:rsidR="00FD58BF">
              <w:rPr>
                <w:noProof/>
                <w:webHidden/>
              </w:rPr>
              <w:fldChar w:fldCharType="begin"/>
            </w:r>
            <w:r w:rsidR="00FD58BF">
              <w:rPr>
                <w:noProof/>
                <w:webHidden/>
              </w:rPr>
              <w:instrText xml:space="preserve"> PAGEREF _Toc178839075 \h </w:instrText>
            </w:r>
            <w:r w:rsidR="00FD58BF">
              <w:rPr>
                <w:noProof/>
                <w:webHidden/>
              </w:rPr>
            </w:r>
            <w:r w:rsidR="00FD58BF">
              <w:rPr>
                <w:noProof/>
                <w:webHidden/>
              </w:rPr>
              <w:fldChar w:fldCharType="separate"/>
            </w:r>
            <w:r w:rsidR="00FD58BF">
              <w:rPr>
                <w:noProof/>
                <w:webHidden/>
              </w:rPr>
              <w:t>1192</w:t>
            </w:r>
            <w:r w:rsidR="00FD58BF">
              <w:rPr>
                <w:noProof/>
                <w:webHidden/>
              </w:rPr>
              <w:fldChar w:fldCharType="end"/>
            </w:r>
          </w:hyperlink>
        </w:p>
        <w:p w14:paraId="1A5ABD38" w14:textId="7716DB8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6" w:history="1">
            <w:r w:rsidR="00FD58BF" w:rsidRPr="003004E5">
              <w:rPr>
                <w:rStyle w:val="Lienhypertexte"/>
                <w:noProof/>
              </w:rPr>
              <w:t>26.47.3a Isolation en blocs - ponce sans isolant complémentaire CCTB 01.02</w:t>
            </w:r>
            <w:r w:rsidR="00FD58BF">
              <w:rPr>
                <w:noProof/>
                <w:webHidden/>
              </w:rPr>
              <w:tab/>
            </w:r>
            <w:r w:rsidR="00FD58BF">
              <w:rPr>
                <w:noProof/>
                <w:webHidden/>
              </w:rPr>
              <w:fldChar w:fldCharType="begin"/>
            </w:r>
            <w:r w:rsidR="00FD58BF">
              <w:rPr>
                <w:noProof/>
                <w:webHidden/>
              </w:rPr>
              <w:instrText xml:space="preserve"> PAGEREF _Toc178839076 \h </w:instrText>
            </w:r>
            <w:r w:rsidR="00FD58BF">
              <w:rPr>
                <w:noProof/>
                <w:webHidden/>
              </w:rPr>
            </w:r>
            <w:r w:rsidR="00FD58BF">
              <w:rPr>
                <w:noProof/>
                <w:webHidden/>
              </w:rPr>
              <w:fldChar w:fldCharType="separate"/>
            </w:r>
            <w:r w:rsidR="00FD58BF">
              <w:rPr>
                <w:noProof/>
                <w:webHidden/>
              </w:rPr>
              <w:t>1192</w:t>
            </w:r>
            <w:r w:rsidR="00FD58BF">
              <w:rPr>
                <w:noProof/>
                <w:webHidden/>
              </w:rPr>
              <w:fldChar w:fldCharType="end"/>
            </w:r>
          </w:hyperlink>
        </w:p>
        <w:p w14:paraId="2619CA43" w14:textId="084B605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7" w:history="1">
            <w:r w:rsidR="00FD58BF" w:rsidRPr="003004E5">
              <w:rPr>
                <w:rStyle w:val="Lienhypertexte"/>
                <w:noProof/>
              </w:rPr>
              <w:t>26.47.3b Isolation en blocs - ponce avec isolant complémentaire CCTB 01.02</w:t>
            </w:r>
            <w:r w:rsidR="00FD58BF">
              <w:rPr>
                <w:noProof/>
                <w:webHidden/>
              </w:rPr>
              <w:tab/>
            </w:r>
            <w:r w:rsidR="00FD58BF">
              <w:rPr>
                <w:noProof/>
                <w:webHidden/>
              </w:rPr>
              <w:fldChar w:fldCharType="begin"/>
            </w:r>
            <w:r w:rsidR="00FD58BF">
              <w:rPr>
                <w:noProof/>
                <w:webHidden/>
              </w:rPr>
              <w:instrText xml:space="preserve"> PAGEREF _Toc178839077 \h </w:instrText>
            </w:r>
            <w:r w:rsidR="00FD58BF">
              <w:rPr>
                <w:noProof/>
                <w:webHidden/>
              </w:rPr>
            </w:r>
            <w:r w:rsidR="00FD58BF">
              <w:rPr>
                <w:noProof/>
                <w:webHidden/>
              </w:rPr>
              <w:fldChar w:fldCharType="separate"/>
            </w:r>
            <w:r w:rsidR="00FD58BF">
              <w:rPr>
                <w:noProof/>
                <w:webHidden/>
              </w:rPr>
              <w:t>1192</w:t>
            </w:r>
            <w:r w:rsidR="00FD58BF">
              <w:rPr>
                <w:noProof/>
                <w:webHidden/>
              </w:rPr>
              <w:fldChar w:fldCharType="end"/>
            </w:r>
          </w:hyperlink>
        </w:p>
        <w:p w14:paraId="467139AA" w14:textId="1FC77FB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8" w:history="1">
            <w:r w:rsidR="00FD58BF" w:rsidRPr="003004E5">
              <w:rPr>
                <w:rStyle w:val="Lienhypertexte"/>
                <w:noProof/>
              </w:rPr>
              <w:t>26.47.3c Isolation en blocs - béton de bois sans isolant complémentaire CCTB 01.11</w:t>
            </w:r>
            <w:r w:rsidR="00FD58BF">
              <w:rPr>
                <w:noProof/>
                <w:webHidden/>
              </w:rPr>
              <w:tab/>
            </w:r>
            <w:r w:rsidR="00FD58BF">
              <w:rPr>
                <w:noProof/>
                <w:webHidden/>
              </w:rPr>
              <w:fldChar w:fldCharType="begin"/>
            </w:r>
            <w:r w:rsidR="00FD58BF">
              <w:rPr>
                <w:noProof/>
                <w:webHidden/>
              </w:rPr>
              <w:instrText xml:space="preserve"> PAGEREF _Toc178839078 \h </w:instrText>
            </w:r>
            <w:r w:rsidR="00FD58BF">
              <w:rPr>
                <w:noProof/>
                <w:webHidden/>
              </w:rPr>
            </w:r>
            <w:r w:rsidR="00FD58BF">
              <w:rPr>
                <w:noProof/>
                <w:webHidden/>
              </w:rPr>
              <w:fldChar w:fldCharType="separate"/>
            </w:r>
            <w:r w:rsidR="00FD58BF">
              <w:rPr>
                <w:noProof/>
                <w:webHidden/>
              </w:rPr>
              <w:t>1192</w:t>
            </w:r>
            <w:r w:rsidR="00FD58BF">
              <w:rPr>
                <w:noProof/>
                <w:webHidden/>
              </w:rPr>
              <w:fldChar w:fldCharType="end"/>
            </w:r>
          </w:hyperlink>
        </w:p>
        <w:p w14:paraId="00BE19FC" w14:textId="2286D35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9" w:history="1">
            <w:r w:rsidR="00FD58BF" w:rsidRPr="003004E5">
              <w:rPr>
                <w:rStyle w:val="Lienhypertexte"/>
                <w:noProof/>
              </w:rPr>
              <w:t>26.47.3d Isolation en blocs - béton de bois avec isolant complémentaire CCTB 01.11</w:t>
            </w:r>
            <w:r w:rsidR="00FD58BF">
              <w:rPr>
                <w:noProof/>
                <w:webHidden/>
              </w:rPr>
              <w:tab/>
            </w:r>
            <w:r w:rsidR="00FD58BF">
              <w:rPr>
                <w:noProof/>
                <w:webHidden/>
              </w:rPr>
              <w:fldChar w:fldCharType="begin"/>
            </w:r>
            <w:r w:rsidR="00FD58BF">
              <w:rPr>
                <w:noProof/>
                <w:webHidden/>
              </w:rPr>
              <w:instrText xml:space="preserve"> PAGEREF _Toc178839079 \h </w:instrText>
            </w:r>
            <w:r w:rsidR="00FD58BF">
              <w:rPr>
                <w:noProof/>
                <w:webHidden/>
              </w:rPr>
            </w:r>
            <w:r w:rsidR="00FD58BF">
              <w:rPr>
                <w:noProof/>
                <w:webHidden/>
              </w:rPr>
              <w:fldChar w:fldCharType="separate"/>
            </w:r>
            <w:r w:rsidR="00FD58BF">
              <w:rPr>
                <w:noProof/>
                <w:webHidden/>
              </w:rPr>
              <w:t>1194</w:t>
            </w:r>
            <w:r w:rsidR="00FD58BF">
              <w:rPr>
                <w:noProof/>
                <w:webHidden/>
              </w:rPr>
              <w:fldChar w:fldCharType="end"/>
            </w:r>
          </w:hyperlink>
        </w:p>
        <w:p w14:paraId="17F78941" w14:textId="42895CA3"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80" w:history="1">
            <w:r w:rsidR="00FD58BF" w:rsidRPr="003004E5">
              <w:rPr>
                <w:rStyle w:val="Lienhypertexte"/>
                <w:noProof/>
              </w:rPr>
              <w:t>26.5 Isolations à usages spécifiques CCTB 01.04</w:t>
            </w:r>
            <w:r w:rsidR="00FD58BF">
              <w:rPr>
                <w:noProof/>
                <w:webHidden/>
              </w:rPr>
              <w:tab/>
            </w:r>
            <w:r w:rsidR="00FD58BF">
              <w:rPr>
                <w:noProof/>
                <w:webHidden/>
              </w:rPr>
              <w:fldChar w:fldCharType="begin"/>
            </w:r>
            <w:r w:rsidR="00FD58BF">
              <w:rPr>
                <w:noProof/>
                <w:webHidden/>
              </w:rPr>
              <w:instrText xml:space="preserve"> PAGEREF _Toc178839080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0E5938A4" w14:textId="3FF72E5F"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81" w:history="1">
            <w:r w:rsidR="00FD58BF" w:rsidRPr="003004E5">
              <w:rPr>
                <w:rStyle w:val="Lienhypertexte"/>
                <w:noProof/>
              </w:rPr>
              <w:t>26.6 - CCTB 01.02</w:t>
            </w:r>
            <w:r w:rsidR="00FD58BF">
              <w:rPr>
                <w:noProof/>
                <w:webHidden/>
              </w:rPr>
              <w:tab/>
            </w:r>
            <w:r w:rsidR="00FD58BF">
              <w:rPr>
                <w:noProof/>
                <w:webHidden/>
              </w:rPr>
              <w:fldChar w:fldCharType="begin"/>
            </w:r>
            <w:r w:rsidR="00FD58BF">
              <w:rPr>
                <w:noProof/>
                <w:webHidden/>
              </w:rPr>
              <w:instrText xml:space="preserve"> PAGEREF _Toc178839081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0FDEA923" w14:textId="451417FC"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82" w:history="1">
            <w:r w:rsidR="00FD58BF" w:rsidRPr="003004E5">
              <w:rPr>
                <w:rStyle w:val="Lienhypertexte"/>
                <w:noProof/>
              </w:rPr>
              <w:t>26.7 -</w:t>
            </w:r>
            <w:r w:rsidR="00FD58BF">
              <w:rPr>
                <w:noProof/>
                <w:webHidden/>
              </w:rPr>
              <w:tab/>
            </w:r>
            <w:r w:rsidR="00FD58BF">
              <w:rPr>
                <w:noProof/>
                <w:webHidden/>
              </w:rPr>
              <w:fldChar w:fldCharType="begin"/>
            </w:r>
            <w:r w:rsidR="00FD58BF">
              <w:rPr>
                <w:noProof/>
                <w:webHidden/>
              </w:rPr>
              <w:instrText xml:space="preserve"> PAGEREF _Toc178839082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6C0B4C5C" w14:textId="5963309A"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83" w:history="1">
            <w:r w:rsidR="00FD58BF" w:rsidRPr="003004E5">
              <w:rPr>
                <w:rStyle w:val="Lienhypertexte"/>
                <w:noProof/>
              </w:rPr>
              <w:t>26.8 Etanchéisation et isolation - Rénovation CCTB 01.04</w:t>
            </w:r>
            <w:r w:rsidR="00FD58BF">
              <w:rPr>
                <w:noProof/>
                <w:webHidden/>
              </w:rPr>
              <w:tab/>
            </w:r>
            <w:r w:rsidR="00FD58BF">
              <w:rPr>
                <w:noProof/>
                <w:webHidden/>
              </w:rPr>
              <w:fldChar w:fldCharType="begin"/>
            </w:r>
            <w:r w:rsidR="00FD58BF">
              <w:rPr>
                <w:noProof/>
                <w:webHidden/>
              </w:rPr>
              <w:instrText xml:space="preserve"> PAGEREF _Toc178839083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087D672A" w14:textId="3E2BE2A5"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84" w:history="1">
            <w:r w:rsidR="00FD58BF" w:rsidRPr="003004E5">
              <w:rPr>
                <w:rStyle w:val="Lienhypertexte"/>
                <w:noProof/>
              </w:rPr>
              <w:t>26.81 Etudes et essais préliminaires CCTB 01.04</w:t>
            </w:r>
            <w:r w:rsidR="00FD58BF">
              <w:rPr>
                <w:noProof/>
                <w:webHidden/>
              </w:rPr>
              <w:tab/>
            </w:r>
            <w:r w:rsidR="00FD58BF">
              <w:rPr>
                <w:noProof/>
                <w:webHidden/>
              </w:rPr>
              <w:fldChar w:fldCharType="begin"/>
            </w:r>
            <w:r w:rsidR="00FD58BF">
              <w:rPr>
                <w:noProof/>
                <w:webHidden/>
              </w:rPr>
              <w:instrText xml:space="preserve"> PAGEREF _Toc178839084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4DEB6A2F" w14:textId="40540FA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85" w:history="1">
            <w:r w:rsidR="00FD58BF" w:rsidRPr="003004E5">
              <w:rPr>
                <w:rStyle w:val="Lienhypertexte"/>
                <w:noProof/>
              </w:rPr>
              <w:t>26.82 Dépose / démontage / percement / déconstruction-démolition CCTB 01.04</w:t>
            </w:r>
            <w:r w:rsidR="00FD58BF">
              <w:rPr>
                <w:noProof/>
                <w:webHidden/>
              </w:rPr>
              <w:tab/>
            </w:r>
            <w:r w:rsidR="00FD58BF">
              <w:rPr>
                <w:noProof/>
                <w:webHidden/>
              </w:rPr>
              <w:fldChar w:fldCharType="begin"/>
            </w:r>
            <w:r w:rsidR="00FD58BF">
              <w:rPr>
                <w:noProof/>
                <w:webHidden/>
              </w:rPr>
              <w:instrText xml:space="preserve"> PAGEREF _Toc178839085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5B556231" w14:textId="71818E6D"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86" w:history="1">
            <w:r w:rsidR="00FD58BF" w:rsidRPr="003004E5">
              <w:rPr>
                <w:rStyle w:val="Lienhypertexte"/>
                <w:noProof/>
              </w:rPr>
              <w:t>26.83 Réparation / ragréage / rénovation CCTB 01.04</w:t>
            </w:r>
            <w:r w:rsidR="00FD58BF">
              <w:rPr>
                <w:noProof/>
                <w:webHidden/>
              </w:rPr>
              <w:tab/>
            </w:r>
            <w:r w:rsidR="00FD58BF">
              <w:rPr>
                <w:noProof/>
                <w:webHidden/>
              </w:rPr>
              <w:fldChar w:fldCharType="begin"/>
            </w:r>
            <w:r w:rsidR="00FD58BF">
              <w:rPr>
                <w:noProof/>
                <w:webHidden/>
              </w:rPr>
              <w:instrText xml:space="preserve"> PAGEREF _Toc178839086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75A4D8D3" w14:textId="4BB20D5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87" w:history="1">
            <w:r w:rsidR="00FD58BF" w:rsidRPr="003004E5">
              <w:rPr>
                <w:rStyle w:val="Lienhypertexte"/>
                <w:noProof/>
              </w:rPr>
              <w:t>26.83.1 Réparation locale de revêtements d'étanchéité CCTB 01.02</w:t>
            </w:r>
            <w:r w:rsidR="00FD58BF">
              <w:rPr>
                <w:noProof/>
                <w:webHidden/>
              </w:rPr>
              <w:tab/>
            </w:r>
            <w:r w:rsidR="00FD58BF">
              <w:rPr>
                <w:noProof/>
                <w:webHidden/>
              </w:rPr>
              <w:fldChar w:fldCharType="begin"/>
            </w:r>
            <w:r w:rsidR="00FD58BF">
              <w:rPr>
                <w:noProof/>
                <w:webHidden/>
              </w:rPr>
              <w:instrText xml:space="preserve"> PAGEREF _Toc178839087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501F0D7D" w14:textId="652310E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8" w:history="1">
            <w:r w:rsidR="00FD58BF" w:rsidRPr="003004E5">
              <w:rPr>
                <w:rStyle w:val="Lienhypertexte"/>
                <w:noProof/>
              </w:rPr>
              <w:t>26.83.1a Réparation locale de revêtements d'étanchéité CCTB 01.04</w:t>
            </w:r>
            <w:r w:rsidR="00FD58BF">
              <w:rPr>
                <w:noProof/>
                <w:webHidden/>
              </w:rPr>
              <w:tab/>
            </w:r>
            <w:r w:rsidR="00FD58BF">
              <w:rPr>
                <w:noProof/>
                <w:webHidden/>
              </w:rPr>
              <w:fldChar w:fldCharType="begin"/>
            </w:r>
            <w:r w:rsidR="00FD58BF">
              <w:rPr>
                <w:noProof/>
                <w:webHidden/>
              </w:rPr>
              <w:instrText xml:space="preserve"> PAGEREF _Toc178839088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5255518C" w14:textId="0E27EFF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89" w:history="1">
            <w:r w:rsidR="00FD58BF" w:rsidRPr="003004E5">
              <w:rPr>
                <w:rStyle w:val="Lienhypertexte"/>
                <w:noProof/>
              </w:rPr>
              <w:t>26.84 Adaptation / amélioration CCTB 01.04</w:t>
            </w:r>
            <w:r w:rsidR="00FD58BF">
              <w:rPr>
                <w:noProof/>
                <w:webHidden/>
              </w:rPr>
              <w:tab/>
            </w:r>
            <w:r w:rsidR="00FD58BF">
              <w:rPr>
                <w:noProof/>
                <w:webHidden/>
              </w:rPr>
              <w:fldChar w:fldCharType="begin"/>
            </w:r>
            <w:r w:rsidR="00FD58BF">
              <w:rPr>
                <w:noProof/>
                <w:webHidden/>
              </w:rPr>
              <w:instrText xml:space="preserve"> PAGEREF _Toc178839089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2E26393C" w14:textId="7C02EC6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0" w:history="1">
            <w:r w:rsidR="00FD58BF" w:rsidRPr="003004E5">
              <w:rPr>
                <w:rStyle w:val="Lienhypertexte"/>
                <w:noProof/>
              </w:rPr>
              <w:t>26.84.1 Amélioration des performances énergétiques - isolation a posteriori des murs extérieurs CCTB 01.04</w:t>
            </w:r>
            <w:r w:rsidR="00FD58BF">
              <w:rPr>
                <w:noProof/>
                <w:webHidden/>
              </w:rPr>
              <w:tab/>
            </w:r>
            <w:r w:rsidR="00FD58BF">
              <w:rPr>
                <w:noProof/>
                <w:webHidden/>
              </w:rPr>
              <w:fldChar w:fldCharType="begin"/>
            </w:r>
            <w:r w:rsidR="00FD58BF">
              <w:rPr>
                <w:noProof/>
                <w:webHidden/>
              </w:rPr>
              <w:instrText xml:space="preserve"> PAGEREF _Toc178839090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0B6E7051" w14:textId="0899218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1" w:history="1">
            <w:r w:rsidR="00FD58BF" w:rsidRPr="003004E5">
              <w:rPr>
                <w:rStyle w:val="Lienhypertexte"/>
                <w:noProof/>
              </w:rPr>
              <w:t>26.84.1a Isolation avec démolition / reconstruction du parement extérieur CCTB 01.04</w:t>
            </w:r>
            <w:r w:rsidR="00FD58BF">
              <w:rPr>
                <w:noProof/>
                <w:webHidden/>
              </w:rPr>
              <w:tab/>
            </w:r>
            <w:r w:rsidR="00FD58BF">
              <w:rPr>
                <w:noProof/>
                <w:webHidden/>
              </w:rPr>
              <w:fldChar w:fldCharType="begin"/>
            </w:r>
            <w:r w:rsidR="00FD58BF">
              <w:rPr>
                <w:noProof/>
                <w:webHidden/>
              </w:rPr>
              <w:instrText xml:space="preserve"> PAGEREF _Toc178839091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26D78BC6" w14:textId="269F2E0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2" w:history="1">
            <w:r w:rsidR="00FD58BF" w:rsidRPr="003004E5">
              <w:rPr>
                <w:rStyle w:val="Lienhypertexte"/>
                <w:noProof/>
              </w:rPr>
              <w:t>26.84.1b Isolation par l'extérieur des murs extérieurs CCTB 01.04</w:t>
            </w:r>
            <w:r w:rsidR="00FD58BF">
              <w:rPr>
                <w:noProof/>
                <w:webHidden/>
              </w:rPr>
              <w:tab/>
            </w:r>
            <w:r w:rsidR="00FD58BF">
              <w:rPr>
                <w:noProof/>
                <w:webHidden/>
              </w:rPr>
              <w:fldChar w:fldCharType="begin"/>
            </w:r>
            <w:r w:rsidR="00FD58BF">
              <w:rPr>
                <w:noProof/>
                <w:webHidden/>
              </w:rPr>
              <w:instrText xml:space="preserve"> PAGEREF _Toc178839092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3619F52F" w14:textId="09E59A48"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3" w:history="1">
            <w:r w:rsidR="00FD58BF" w:rsidRPr="003004E5">
              <w:rPr>
                <w:rStyle w:val="Lienhypertexte"/>
                <w:noProof/>
              </w:rPr>
              <w:t>26.84.1c Isolation par l'intérieur des murs extérieurs CCTB 01.04</w:t>
            </w:r>
            <w:r w:rsidR="00FD58BF">
              <w:rPr>
                <w:noProof/>
                <w:webHidden/>
              </w:rPr>
              <w:tab/>
            </w:r>
            <w:r w:rsidR="00FD58BF">
              <w:rPr>
                <w:noProof/>
                <w:webHidden/>
              </w:rPr>
              <w:fldChar w:fldCharType="begin"/>
            </w:r>
            <w:r w:rsidR="00FD58BF">
              <w:rPr>
                <w:noProof/>
                <w:webHidden/>
              </w:rPr>
              <w:instrText xml:space="preserve"> PAGEREF _Toc178839093 \h </w:instrText>
            </w:r>
            <w:r w:rsidR="00FD58BF">
              <w:rPr>
                <w:noProof/>
                <w:webHidden/>
              </w:rPr>
            </w:r>
            <w:r w:rsidR="00FD58BF">
              <w:rPr>
                <w:noProof/>
                <w:webHidden/>
              </w:rPr>
              <w:fldChar w:fldCharType="separate"/>
            </w:r>
            <w:r w:rsidR="00FD58BF">
              <w:rPr>
                <w:noProof/>
                <w:webHidden/>
              </w:rPr>
              <w:t>1197</w:t>
            </w:r>
            <w:r w:rsidR="00FD58BF">
              <w:rPr>
                <w:noProof/>
                <w:webHidden/>
              </w:rPr>
              <w:fldChar w:fldCharType="end"/>
            </w:r>
          </w:hyperlink>
        </w:p>
        <w:p w14:paraId="1CDFE624" w14:textId="15983CC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4" w:history="1">
            <w:r w:rsidR="00FD58BF" w:rsidRPr="003004E5">
              <w:rPr>
                <w:rStyle w:val="Lienhypertexte"/>
                <w:noProof/>
              </w:rPr>
              <w:t>26.84.1d Isolation a posteriori de la COULISSE des murs creux extérieurs CCTB 01.11</w:t>
            </w:r>
            <w:r w:rsidR="00FD58BF">
              <w:rPr>
                <w:noProof/>
                <w:webHidden/>
              </w:rPr>
              <w:tab/>
            </w:r>
            <w:r w:rsidR="00FD58BF">
              <w:rPr>
                <w:noProof/>
                <w:webHidden/>
              </w:rPr>
              <w:fldChar w:fldCharType="begin"/>
            </w:r>
            <w:r w:rsidR="00FD58BF">
              <w:rPr>
                <w:noProof/>
                <w:webHidden/>
              </w:rPr>
              <w:instrText xml:space="preserve"> PAGEREF _Toc178839094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548CB34A" w14:textId="3D6222D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5" w:history="1">
            <w:r w:rsidR="00FD58BF" w:rsidRPr="003004E5">
              <w:rPr>
                <w:rStyle w:val="Lienhypertexte"/>
                <w:noProof/>
              </w:rPr>
              <w:t>26.84.2 Amélioration des performances énergétiques - isolation des planchers CCTB 01.04</w:t>
            </w:r>
            <w:r w:rsidR="00FD58BF">
              <w:rPr>
                <w:noProof/>
                <w:webHidden/>
              </w:rPr>
              <w:tab/>
            </w:r>
            <w:r w:rsidR="00FD58BF">
              <w:rPr>
                <w:noProof/>
                <w:webHidden/>
              </w:rPr>
              <w:fldChar w:fldCharType="begin"/>
            </w:r>
            <w:r w:rsidR="00FD58BF">
              <w:rPr>
                <w:noProof/>
                <w:webHidden/>
              </w:rPr>
              <w:instrText xml:space="preserve"> PAGEREF _Toc178839095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34C71146" w14:textId="1743E1F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6" w:history="1">
            <w:r w:rsidR="00FD58BF" w:rsidRPr="003004E5">
              <w:rPr>
                <w:rStyle w:val="Lienhypertexte"/>
                <w:noProof/>
              </w:rPr>
              <w:t>26.84.2a Isolation des planchers par l'extérieur CCTB 01.04</w:t>
            </w:r>
            <w:r w:rsidR="00FD58BF">
              <w:rPr>
                <w:noProof/>
                <w:webHidden/>
              </w:rPr>
              <w:tab/>
            </w:r>
            <w:r w:rsidR="00FD58BF">
              <w:rPr>
                <w:noProof/>
                <w:webHidden/>
              </w:rPr>
              <w:fldChar w:fldCharType="begin"/>
            </w:r>
            <w:r w:rsidR="00FD58BF">
              <w:rPr>
                <w:noProof/>
                <w:webHidden/>
              </w:rPr>
              <w:instrText xml:space="preserve"> PAGEREF _Toc178839096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53EE79C7" w14:textId="4690FFE1"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7" w:history="1">
            <w:r w:rsidR="00FD58BF" w:rsidRPr="003004E5">
              <w:rPr>
                <w:rStyle w:val="Lienhypertexte"/>
                <w:noProof/>
              </w:rPr>
              <w:t>26.84.2b Isolation des planchers par l'intérieur CCTB 01.04</w:t>
            </w:r>
            <w:r w:rsidR="00FD58BF">
              <w:rPr>
                <w:noProof/>
                <w:webHidden/>
              </w:rPr>
              <w:tab/>
            </w:r>
            <w:r w:rsidR="00FD58BF">
              <w:rPr>
                <w:noProof/>
                <w:webHidden/>
              </w:rPr>
              <w:fldChar w:fldCharType="begin"/>
            </w:r>
            <w:r w:rsidR="00FD58BF">
              <w:rPr>
                <w:noProof/>
                <w:webHidden/>
              </w:rPr>
              <w:instrText xml:space="preserve"> PAGEREF _Toc178839097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7EC2AED7" w14:textId="78FA9AB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8" w:history="1">
            <w:r w:rsidR="00FD58BF" w:rsidRPr="003004E5">
              <w:rPr>
                <w:rStyle w:val="Lienhypertexte"/>
                <w:noProof/>
              </w:rPr>
              <w:t>26.84.3 Amélioration des performances énergétiques - réduction / suppression des ponts thermiques CCTB 01.04</w:t>
            </w:r>
            <w:r w:rsidR="00FD58BF">
              <w:rPr>
                <w:noProof/>
                <w:webHidden/>
              </w:rPr>
              <w:tab/>
            </w:r>
            <w:r w:rsidR="00FD58BF">
              <w:rPr>
                <w:noProof/>
                <w:webHidden/>
              </w:rPr>
              <w:fldChar w:fldCharType="begin"/>
            </w:r>
            <w:r w:rsidR="00FD58BF">
              <w:rPr>
                <w:noProof/>
                <w:webHidden/>
              </w:rPr>
              <w:instrText xml:space="preserve"> PAGEREF _Toc178839098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0DBA6F5C" w14:textId="458AD5E1"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9" w:history="1">
            <w:r w:rsidR="00FD58BF" w:rsidRPr="003004E5">
              <w:rPr>
                <w:rStyle w:val="Lienhypertexte"/>
                <w:noProof/>
              </w:rPr>
              <w:t>26.84.4 Amélioration de l'étanchéité à l'air du bâtiment CCTB 01.04</w:t>
            </w:r>
            <w:r w:rsidR="00FD58BF">
              <w:rPr>
                <w:noProof/>
                <w:webHidden/>
              </w:rPr>
              <w:tab/>
            </w:r>
            <w:r w:rsidR="00FD58BF">
              <w:rPr>
                <w:noProof/>
                <w:webHidden/>
              </w:rPr>
              <w:fldChar w:fldCharType="begin"/>
            </w:r>
            <w:r w:rsidR="00FD58BF">
              <w:rPr>
                <w:noProof/>
                <w:webHidden/>
              </w:rPr>
              <w:instrText xml:space="preserve"> PAGEREF _Toc178839099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444EDCA3" w14:textId="6D9B7F1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00" w:history="1">
            <w:r w:rsidR="00FD58BF" w:rsidRPr="003004E5">
              <w:rPr>
                <w:rStyle w:val="Lienhypertexte"/>
                <w:noProof/>
              </w:rPr>
              <w:t>26.85 Traitement et protection CCTB 01.04</w:t>
            </w:r>
            <w:r w:rsidR="00FD58BF">
              <w:rPr>
                <w:noProof/>
                <w:webHidden/>
              </w:rPr>
              <w:tab/>
            </w:r>
            <w:r w:rsidR="00FD58BF">
              <w:rPr>
                <w:noProof/>
                <w:webHidden/>
              </w:rPr>
              <w:fldChar w:fldCharType="begin"/>
            </w:r>
            <w:r w:rsidR="00FD58BF">
              <w:rPr>
                <w:noProof/>
                <w:webHidden/>
              </w:rPr>
              <w:instrText xml:space="preserve"> PAGEREF _Toc178839100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2073263E" w14:textId="2B73C6E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01" w:history="1">
            <w:r w:rsidR="00FD58BF" w:rsidRPr="003004E5">
              <w:rPr>
                <w:rStyle w:val="Lienhypertexte"/>
                <w:noProof/>
              </w:rPr>
              <w:t>26.86 Divers CCTB 01.04</w:t>
            </w:r>
            <w:r w:rsidR="00FD58BF">
              <w:rPr>
                <w:noProof/>
                <w:webHidden/>
              </w:rPr>
              <w:tab/>
            </w:r>
            <w:r w:rsidR="00FD58BF">
              <w:rPr>
                <w:noProof/>
                <w:webHidden/>
              </w:rPr>
              <w:fldChar w:fldCharType="begin"/>
            </w:r>
            <w:r w:rsidR="00FD58BF">
              <w:rPr>
                <w:noProof/>
                <w:webHidden/>
              </w:rPr>
              <w:instrText xml:space="preserve"> PAGEREF _Toc178839101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7C8EE7DE" w14:textId="657D4EBA" w:rsidR="00FD58BF" w:rsidRDefault="004016E8">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9102" w:history="1">
            <w:r w:rsidR="00FD58BF" w:rsidRPr="003004E5">
              <w:rPr>
                <w:rStyle w:val="Lienhypertexte"/>
                <w:noProof/>
              </w:rPr>
              <w:t>27 Conduits de fumée et de ventilation maçonnés CCTB 01.04</w:t>
            </w:r>
            <w:r w:rsidR="00FD58BF">
              <w:rPr>
                <w:noProof/>
                <w:webHidden/>
              </w:rPr>
              <w:tab/>
            </w:r>
            <w:r w:rsidR="00FD58BF">
              <w:rPr>
                <w:noProof/>
                <w:webHidden/>
              </w:rPr>
              <w:fldChar w:fldCharType="begin"/>
            </w:r>
            <w:r w:rsidR="00FD58BF">
              <w:rPr>
                <w:noProof/>
                <w:webHidden/>
              </w:rPr>
              <w:instrText xml:space="preserve"> PAGEREF _Toc178839102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11623D91" w14:textId="7B1A7936"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03" w:history="1">
            <w:r w:rsidR="00FD58BF" w:rsidRPr="003004E5">
              <w:rPr>
                <w:rStyle w:val="Lienhypertexte"/>
                <w:noProof/>
              </w:rPr>
              <w:t>27.1 Conduits de fumée maçonnés CCTB 01.11</w:t>
            </w:r>
            <w:r w:rsidR="00FD58BF">
              <w:rPr>
                <w:noProof/>
                <w:webHidden/>
              </w:rPr>
              <w:tab/>
            </w:r>
            <w:r w:rsidR="00FD58BF">
              <w:rPr>
                <w:noProof/>
                <w:webHidden/>
              </w:rPr>
              <w:fldChar w:fldCharType="begin"/>
            </w:r>
            <w:r w:rsidR="00FD58BF">
              <w:rPr>
                <w:noProof/>
                <w:webHidden/>
              </w:rPr>
              <w:instrText xml:space="preserve"> PAGEREF _Toc178839103 \h </w:instrText>
            </w:r>
            <w:r w:rsidR="00FD58BF">
              <w:rPr>
                <w:noProof/>
                <w:webHidden/>
              </w:rPr>
            </w:r>
            <w:r w:rsidR="00FD58BF">
              <w:rPr>
                <w:noProof/>
                <w:webHidden/>
              </w:rPr>
              <w:fldChar w:fldCharType="separate"/>
            </w:r>
            <w:r w:rsidR="00FD58BF">
              <w:rPr>
                <w:noProof/>
                <w:webHidden/>
              </w:rPr>
              <w:t>1198</w:t>
            </w:r>
            <w:r w:rsidR="00FD58BF">
              <w:rPr>
                <w:noProof/>
                <w:webHidden/>
              </w:rPr>
              <w:fldChar w:fldCharType="end"/>
            </w:r>
          </w:hyperlink>
        </w:p>
        <w:p w14:paraId="00E0985B" w14:textId="626C33D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04" w:history="1">
            <w:r w:rsidR="00FD58BF" w:rsidRPr="003004E5">
              <w:rPr>
                <w:rStyle w:val="Lienhypertexte"/>
                <w:noProof/>
              </w:rPr>
              <w:t>27.11 Hottes de cheminée maçonnées CCTB 01.02</w:t>
            </w:r>
            <w:r w:rsidR="00FD58BF">
              <w:rPr>
                <w:noProof/>
                <w:webHidden/>
              </w:rPr>
              <w:tab/>
            </w:r>
            <w:r w:rsidR="00FD58BF">
              <w:rPr>
                <w:noProof/>
                <w:webHidden/>
              </w:rPr>
              <w:fldChar w:fldCharType="begin"/>
            </w:r>
            <w:r w:rsidR="00FD58BF">
              <w:rPr>
                <w:noProof/>
                <w:webHidden/>
              </w:rPr>
              <w:instrText xml:space="preserve"> PAGEREF _Toc178839104 \h </w:instrText>
            </w:r>
            <w:r w:rsidR="00FD58BF">
              <w:rPr>
                <w:noProof/>
                <w:webHidden/>
              </w:rPr>
            </w:r>
            <w:r w:rsidR="00FD58BF">
              <w:rPr>
                <w:noProof/>
                <w:webHidden/>
              </w:rPr>
              <w:fldChar w:fldCharType="separate"/>
            </w:r>
            <w:r w:rsidR="00FD58BF">
              <w:rPr>
                <w:noProof/>
                <w:webHidden/>
              </w:rPr>
              <w:t>1200</w:t>
            </w:r>
            <w:r w:rsidR="00FD58BF">
              <w:rPr>
                <w:noProof/>
                <w:webHidden/>
              </w:rPr>
              <w:fldChar w:fldCharType="end"/>
            </w:r>
          </w:hyperlink>
        </w:p>
        <w:p w14:paraId="434182C5" w14:textId="66C81CA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05" w:history="1">
            <w:r w:rsidR="00FD58BF" w:rsidRPr="003004E5">
              <w:rPr>
                <w:rStyle w:val="Lienhypertexte"/>
                <w:noProof/>
              </w:rPr>
              <w:t>27.11.1 Hottes de cheminée maçonnées CCTB 01.02</w:t>
            </w:r>
            <w:r w:rsidR="00FD58BF">
              <w:rPr>
                <w:noProof/>
                <w:webHidden/>
              </w:rPr>
              <w:tab/>
            </w:r>
            <w:r w:rsidR="00FD58BF">
              <w:rPr>
                <w:noProof/>
                <w:webHidden/>
              </w:rPr>
              <w:fldChar w:fldCharType="begin"/>
            </w:r>
            <w:r w:rsidR="00FD58BF">
              <w:rPr>
                <w:noProof/>
                <w:webHidden/>
              </w:rPr>
              <w:instrText xml:space="preserve"> PAGEREF _Toc178839105 \h </w:instrText>
            </w:r>
            <w:r w:rsidR="00FD58BF">
              <w:rPr>
                <w:noProof/>
                <w:webHidden/>
              </w:rPr>
            </w:r>
            <w:r w:rsidR="00FD58BF">
              <w:rPr>
                <w:noProof/>
                <w:webHidden/>
              </w:rPr>
              <w:fldChar w:fldCharType="separate"/>
            </w:r>
            <w:r w:rsidR="00FD58BF">
              <w:rPr>
                <w:noProof/>
                <w:webHidden/>
              </w:rPr>
              <w:t>1200</w:t>
            </w:r>
            <w:r w:rsidR="00FD58BF">
              <w:rPr>
                <w:noProof/>
                <w:webHidden/>
              </w:rPr>
              <w:fldChar w:fldCharType="end"/>
            </w:r>
          </w:hyperlink>
        </w:p>
        <w:p w14:paraId="4342A3BF" w14:textId="516FA39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6" w:history="1">
            <w:r w:rsidR="00FD58BF" w:rsidRPr="003004E5">
              <w:rPr>
                <w:rStyle w:val="Lienhypertexte"/>
                <w:noProof/>
              </w:rPr>
              <w:t>27.11.1a Hottes de cheminée maçonnées en terre cuite CCTB 01.11</w:t>
            </w:r>
            <w:r w:rsidR="00FD58BF">
              <w:rPr>
                <w:noProof/>
                <w:webHidden/>
              </w:rPr>
              <w:tab/>
            </w:r>
            <w:r w:rsidR="00FD58BF">
              <w:rPr>
                <w:noProof/>
                <w:webHidden/>
              </w:rPr>
              <w:fldChar w:fldCharType="begin"/>
            </w:r>
            <w:r w:rsidR="00FD58BF">
              <w:rPr>
                <w:noProof/>
                <w:webHidden/>
              </w:rPr>
              <w:instrText xml:space="preserve"> PAGEREF _Toc178839106 \h </w:instrText>
            </w:r>
            <w:r w:rsidR="00FD58BF">
              <w:rPr>
                <w:noProof/>
                <w:webHidden/>
              </w:rPr>
            </w:r>
            <w:r w:rsidR="00FD58BF">
              <w:rPr>
                <w:noProof/>
                <w:webHidden/>
              </w:rPr>
              <w:fldChar w:fldCharType="separate"/>
            </w:r>
            <w:r w:rsidR="00FD58BF">
              <w:rPr>
                <w:noProof/>
                <w:webHidden/>
              </w:rPr>
              <w:t>1200</w:t>
            </w:r>
            <w:r w:rsidR="00FD58BF">
              <w:rPr>
                <w:noProof/>
                <w:webHidden/>
              </w:rPr>
              <w:fldChar w:fldCharType="end"/>
            </w:r>
          </w:hyperlink>
        </w:p>
        <w:p w14:paraId="6E90B611" w14:textId="62C0CAF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07" w:history="1">
            <w:r w:rsidR="00FD58BF" w:rsidRPr="003004E5">
              <w:rPr>
                <w:rStyle w:val="Lienhypertexte"/>
                <w:noProof/>
              </w:rPr>
              <w:t>27.12 Boisseaux maçonnés CCTB 01.02</w:t>
            </w:r>
            <w:r w:rsidR="00FD58BF">
              <w:rPr>
                <w:noProof/>
                <w:webHidden/>
              </w:rPr>
              <w:tab/>
            </w:r>
            <w:r w:rsidR="00FD58BF">
              <w:rPr>
                <w:noProof/>
                <w:webHidden/>
              </w:rPr>
              <w:fldChar w:fldCharType="begin"/>
            </w:r>
            <w:r w:rsidR="00FD58BF">
              <w:rPr>
                <w:noProof/>
                <w:webHidden/>
              </w:rPr>
              <w:instrText xml:space="preserve"> PAGEREF _Toc178839107 \h </w:instrText>
            </w:r>
            <w:r w:rsidR="00FD58BF">
              <w:rPr>
                <w:noProof/>
                <w:webHidden/>
              </w:rPr>
            </w:r>
            <w:r w:rsidR="00FD58BF">
              <w:rPr>
                <w:noProof/>
                <w:webHidden/>
              </w:rPr>
              <w:fldChar w:fldCharType="separate"/>
            </w:r>
            <w:r w:rsidR="00FD58BF">
              <w:rPr>
                <w:noProof/>
                <w:webHidden/>
              </w:rPr>
              <w:t>1201</w:t>
            </w:r>
            <w:r w:rsidR="00FD58BF">
              <w:rPr>
                <w:noProof/>
                <w:webHidden/>
              </w:rPr>
              <w:fldChar w:fldCharType="end"/>
            </w:r>
          </w:hyperlink>
        </w:p>
        <w:p w14:paraId="40A5A8A8" w14:textId="5D4E4860"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08" w:history="1">
            <w:r w:rsidR="00FD58BF" w:rsidRPr="003004E5">
              <w:rPr>
                <w:rStyle w:val="Lienhypertexte"/>
                <w:noProof/>
              </w:rPr>
              <w:t>27.12.1 Boisseaux maçonnés CCTB 01.11</w:t>
            </w:r>
            <w:r w:rsidR="00FD58BF">
              <w:rPr>
                <w:noProof/>
                <w:webHidden/>
              </w:rPr>
              <w:tab/>
            </w:r>
            <w:r w:rsidR="00FD58BF">
              <w:rPr>
                <w:noProof/>
                <w:webHidden/>
              </w:rPr>
              <w:fldChar w:fldCharType="begin"/>
            </w:r>
            <w:r w:rsidR="00FD58BF">
              <w:rPr>
                <w:noProof/>
                <w:webHidden/>
              </w:rPr>
              <w:instrText xml:space="preserve"> PAGEREF _Toc178839108 \h </w:instrText>
            </w:r>
            <w:r w:rsidR="00FD58BF">
              <w:rPr>
                <w:noProof/>
                <w:webHidden/>
              </w:rPr>
            </w:r>
            <w:r w:rsidR="00FD58BF">
              <w:rPr>
                <w:noProof/>
                <w:webHidden/>
              </w:rPr>
              <w:fldChar w:fldCharType="separate"/>
            </w:r>
            <w:r w:rsidR="00FD58BF">
              <w:rPr>
                <w:noProof/>
                <w:webHidden/>
              </w:rPr>
              <w:t>1201</w:t>
            </w:r>
            <w:r w:rsidR="00FD58BF">
              <w:rPr>
                <w:noProof/>
                <w:webHidden/>
              </w:rPr>
              <w:fldChar w:fldCharType="end"/>
            </w:r>
          </w:hyperlink>
        </w:p>
        <w:p w14:paraId="2E43FFE3" w14:textId="759EF5A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9" w:history="1">
            <w:r w:rsidR="00FD58BF" w:rsidRPr="003004E5">
              <w:rPr>
                <w:rStyle w:val="Lienhypertexte"/>
                <w:noProof/>
              </w:rPr>
              <w:t>27.12.1a Boisseaux maçonnés en éléments préfabriqués en béton CCTB 01.11</w:t>
            </w:r>
            <w:r w:rsidR="00FD58BF">
              <w:rPr>
                <w:noProof/>
                <w:webHidden/>
              </w:rPr>
              <w:tab/>
            </w:r>
            <w:r w:rsidR="00FD58BF">
              <w:rPr>
                <w:noProof/>
                <w:webHidden/>
              </w:rPr>
              <w:fldChar w:fldCharType="begin"/>
            </w:r>
            <w:r w:rsidR="00FD58BF">
              <w:rPr>
                <w:noProof/>
                <w:webHidden/>
              </w:rPr>
              <w:instrText xml:space="preserve"> PAGEREF _Toc178839109 \h </w:instrText>
            </w:r>
            <w:r w:rsidR="00FD58BF">
              <w:rPr>
                <w:noProof/>
                <w:webHidden/>
              </w:rPr>
            </w:r>
            <w:r w:rsidR="00FD58BF">
              <w:rPr>
                <w:noProof/>
                <w:webHidden/>
              </w:rPr>
              <w:fldChar w:fldCharType="separate"/>
            </w:r>
            <w:r w:rsidR="00FD58BF">
              <w:rPr>
                <w:noProof/>
                <w:webHidden/>
              </w:rPr>
              <w:t>1201</w:t>
            </w:r>
            <w:r w:rsidR="00FD58BF">
              <w:rPr>
                <w:noProof/>
                <w:webHidden/>
              </w:rPr>
              <w:fldChar w:fldCharType="end"/>
            </w:r>
          </w:hyperlink>
        </w:p>
        <w:p w14:paraId="01BC6C8E" w14:textId="7C8B5B3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0" w:history="1">
            <w:r w:rsidR="00FD58BF" w:rsidRPr="003004E5">
              <w:rPr>
                <w:rStyle w:val="Lienhypertexte"/>
                <w:noProof/>
              </w:rPr>
              <w:t>27.12.1b Boisseaux maçonnés en éléments en terre cuite CCTB 01.10</w:t>
            </w:r>
            <w:r w:rsidR="00FD58BF">
              <w:rPr>
                <w:noProof/>
                <w:webHidden/>
              </w:rPr>
              <w:tab/>
            </w:r>
            <w:r w:rsidR="00FD58BF">
              <w:rPr>
                <w:noProof/>
                <w:webHidden/>
              </w:rPr>
              <w:fldChar w:fldCharType="begin"/>
            </w:r>
            <w:r w:rsidR="00FD58BF">
              <w:rPr>
                <w:noProof/>
                <w:webHidden/>
              </w:rPr>
              <w:instrText xml:space="preserve"> PAGEREF _Toc178839110 \h </w:instrText>
            </w:r>
            <w:r w:rsidR="00FD58BF">
              <w:rPr>
                <w:noProof/>
                <w:webHidden/>
              </w:rPr>
            </w:r>
            <w:r w:rsidR="00FD58BF">
              <w:rPr>
                <w:noProof/>
                <w:webHidden/>
              </w:rPr>
              <w:fldChar w:fldCharType="separate"/>
            </w:r>
            <w:r w:rsidR="00FD58BF">
              <w:rPr>
                <w:noProof/>
                <w:webHidden/>
              </w:rPr>
              <w:t>1203</w:t>
            </w:r>
            <w:r w:rsidR="00FD58BF">
              <w:rPr>
                <w:noProof/>
                <w:webHidden/>
              </w:rPr>
              <w:fldChar w:fldCharType="end"/>
            </w:r>
          </w:hyperlink>
        </w:p>
        <w:p w14:paraId="349D22D5" w14:textId="6D108785"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11" w:history="1">
            <w:r w:rsidR="00FD58BF" w:rsidRPr="003004E5">
              <w:rPr>
                <w:rStyle w:val="Lienhypertexte"/>
                <w:noProof/>
              </w:rPr>
              <w:t>27.2 Conduits de ventilation maçonnés CCTB 01.11</w:t>
            </w:r>
            <w:r w:rsidR="00FD58BF">
              <w:rPr>
                <w:noProof/>
                <w:webHidden/>
              </w:rPr>
              <w:tab/>
            </w:r>
            <w:r w:rsidR="00FD58BF">
              <w:rPr>
                <w:noProof/>
                <w:webHidden/>
              </w:rPr>
              <w:fldChar w:fldCharType="begin"/>
            </w:r>
            <w:r w:rsidR="00FD58BF">
              <w:rPr>
                <w:noProof/>
                <w:webHidden/>
              </w:rPr>
              <w:instrText xml:space="preserve"> PAGEREF _Toc178839111 \h </w:instrText>
            </w:r>
            <w:r w:rsidR="00FD58BF">
              <w:rPr>
                <w:noProof/>
                <w:webHidden/>
              </w:rPr>
            </w:r>
            <w:r w:rsidR="00FD58BF">
              <w:rPr>
                <w:noProof/>
                <w:webHidden/>
              </w:rPr>
              <w:fldChar w:fldCharType="separate"/>
            </w:r>
            <w:r w:rsidR="00FD58BF">
              <w:rPr>
                <w:noProof/>
                <w:webHidden/>
              </w:rPr>
              <w:t>1204</w:t>
            </w:r>
            <w:r w:rsidR="00FD58BF">
              <w:rPr>
                <w:noProof/>
                <w:webHidden/>
              </w:rPr>
              <w:fldChar w:fldCharType="end"/>
            </w:r>
          </w:hyperlink>
        </w:p>
        <w:p w14:paraId="0B4E1569" w14:textId="394327C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12" w:history="1">
            <w:r w:rsidR="00FD58BF" w:rsidRPr="003004E5">
              <w:rPr>
                <w:rStyle w:val="Lienhypertexte"/>
                <w:noProof/>
              </w:rPr>
              <w:t>27.21 Conduits de ventilation maçonnés CCTB 01.02</w:t>
            </w:r>
            <w:r w:rsidR="00FD58BF">
              <w:rPr>
                <w:noProof/>
                <w:webHidden/>
              </w:rPr>
              <w:tab/>
            </w:r>
            <w:r w:rsidR="00FD58BF">
              <w:rPr>
                <w:noProof/>
                <w:webHidden/>
              </w:rPr>
              <w:fldChar w:fldCharType="begin"/>
            </w:r>
            <w:r w:rsidR="00FD58BF">
              <w:rPr>
                <w:noProof/>
                <w:webHidden/>
              </w:rPr>
              <w:instrText xml:space="preserve"> PAGEREF _Toc178839112 \h </w:instrText>
            </w:r>
            <w:r w:rsidR="00FD58BF">
              <w:rPr>
                <w:noProof/>
                <w:webHidden/>
              </w:rPr>
            </w:r>
            <w:r w:rsidR="00FD58BF">
              <w:rPr>
                <w:noProof/>
                <w:webHidden/>
              </w:rPr>
              <w:fldChar w:fldCharType="separate"/>
            </w:r>
            <w:r w:rsidR="00FD58BF">
              <w:rPr>
                <w:noProof/>
                <w:webHidden/>
              </w:rPr>
              <w:t>1205</w:t>
            </w:r>
            <w:r w:rsidR="00FD58BF">
              <w:rPr>
                <w:noProof/>
                <w:webHidden/>
              </w:rPr>
              <w:fldChar w:fldCharType="end"/>
            </w:r>
          </w:hyperlink>
        </w:p>
        <w:p w14:paraId="4D9800F6" w14:textId="6A8F7E6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13" w:history="1">
            <w:r w:rsidR="00FD58BF" w:rsidRPr="003004E5">
              <w:rPr>
                <w:rStyle w:val="Lienhypertexte"/>
                <w:noProof/>
              </w:rPr>
              <w:t>27.21.1 Conduits de ventilation maçonnés CCTB 01.11</w:t>
            </w:r>
            <w:r w:rsidR="00FD58BF">
              <w:rPr>
                <w:noProof/>
                <w:webHidden/>
              </w:rPr>
              <w:tab/>
            </w:r>
            <w:r w:rsidR="00FD58BF">
              <w:rPr>
                <w:noProof/>
                <w:webHidden/>
              </w:rPr>
              <w:fldChar w:fldCharType="begin"/>
            </w:r>
            <w:r w:rsidR="00FD58BF">
              <w:rPr>
                <w:noProof/>
                <w:webHidden/>
              </w:rPr>
              <w:instrText xml:space="preserve"> PAGEREF _Toc178839113 \h </w:instrText>
            </w:r>
            <w:r w:rsidR="00FD58BF">
              <w:rPr>
                <w:noProof/>
                <w:webHidden/>
              </w:rPr>
            </w:r>
            <w:r w:rsidR="00FD58BF">
              <w:rPr>
                <w:noProof/>
                <w:webHidden/>
              </w:rPr>
              <w:fldChar w:fldCharType="separate"/>
            </w:r>
            <w:r w:rsidR="00FD58BF">
              <w:rPr>
                <w:noProof/>
                <w:webHidden/>
              </w:rPr>
              <w:t>1205</w:t>
            </w:r>
            <w:r w:rsidR="00FD58BF">
              <w:rPr>
                <w:noProof/>
                <w:webHidden/>
              </w:rPr>
              <w:fldChar w:fldCharType="end"/>
            </w:r>
          </w:hyperlink>
        </w:p>
        <w:p w14:paraId="5B69B076" w14:textId="3849E27C"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4" w:history="1">
            <w:r w:rsidR="00FD58BF" w:rsidRPr="003004E5">
              <w:rPr>
                <w:rStyle w:val="Lienhypertexte"/>
                <w:noProof/>
              </w:rPr>
              <w:t>27.21.1a Conduits de ventilation maçonnés CCTB 01.02</w:t>
            </w:r>
            <w:r w:rsidR="00FD58BF">
              <w:rPr>
                <w:noProof/>
                <w:webHidden/>
              </w:rPr>
              <w:tab/>
            </w:r>
            <w:r w:rsidR="00FD58BF">
              <w:rPr>
                <w:noProof/>
                <w:webHidden/>
              </w:rPr>
              <w:fldChar w:fldCharType="begin"/>
            </w:r>
            <w:r w:rsidR="00FD58BF">
              <w:rPr>
                <w:noProof/>
                <w:webHidden/>
              </w:rPr>
              <w:instrText xml:space="preserve"> PAGEREF _Toc178839114 \h </w:instrText>
            </w:r>
            <w:r w:rsidR="00FD58BF">
              <w:rPr>
                <w:noProof/>
                <w:webHidden/>
              </w:rPr>
            </w:r>
            <w:r w:rsidR="00FD58BF">
              <w:rPr>
                <w:noProof/>
                <w:webHidden/>
              </w:rPr>
              <w:fldChar w:fldCharType="separate"/>
            </w:r>
            <w:r w:rsidR="00FD58BF">
              <w:rPr>
                <w:noProof/>
                <w:webHidden/>
              </w:rPr>
              <w:t>1205</w:t>
            </w:r>
            <w:r w:rsidR="00FD58BF">
              <w:rPr>
                <w:noProof/>
                <w:webHidden/>
              </w:rPr>
              <w:fldChar w:fldCharType="end"/>
            </w:r>
          </w:hyperlink>
        </w:p>
        <w:p w14:paraId="00A38992" w14:textId="73A2C808"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15" w:history="1">
            <w:r w:rsidR="00FD58BF" w:rsidRPr="003004E5">
              <w:rPr>
                <w:rStyle w:val="Lienhypertexte"/>
                <w:noProof/>
              </w:rPr>
              <w:t>27.3 Eléments particuliers pour conduits de fumée et de ventilation maçonnés CCTB 01.02</w:t>
            </w:r>
            <w:r w:rsidR="00FD58BF">
              <w:rPr>
                <w:noProof/>
                <w:webHidden/>
              </w:rPr>
              <w:tab/>
            </w:r>
            <w:r w:rsidR="00FD58BF">
              <w:rPr>
                <w:noProof/>
                <w:webHidden/>
              </w:rPr>
              <w:fldChar w:fldCharType="begin"/>
            </w:r>
            <w:r w:rsidR="00FD58BF">
              <w:rPr>
                <w:noProof/>
                <w:webHidden/>
              </w:rPr>
              <w:instrText xml:space="preserve"> PAGEREF _Toc178839115 \h </w:instrText>
            </w:r>
            <w:r w:rsidR="00FD58BF">
              <w:rPr>
                <w:noProof/>
                <w:webHidden/>
              </w:rPr>
            </w:r>
            <w:r w:rsidR="00FD58BF">
              <w:rPr>
                <w:noProof/>
                <w:webHidden/>
              </w:rPr>
              <w:fldChar w:fldCharType="separate"/>
            </w:r>
            <w:r w:rsidR="00FD58BF">
              <w:rPr>
                <w:noProof/>
                <w:webHidden/>
              </w:rPr>
              <w:t>1206</w:t>
            </w:r>
            <w:r w:rsidR="00FD58BF">
              <w:rPr>
                <w:noProof/>
                <w:webHidden/>
              </w:rPr>
              <w:fldChar w:fldCharType="end"/>
            </w:r>
          </w:hyperlink>
        </w:p>
        <w:p w14:paraId="1CE14C54" w14:textId="0DCBD044"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16" w:history="1">
            <w:r w:rsidR="00FD58BF" w:rsidRPr="003004E5">
              <w:rPr>
                <w:rStyle w:val="Lienhypertexte"/>
                <w:noProof/>
              </w:rPr>
              <w:t>27.31 Pénétration de toiture CCTB 01.11</w:t>
            </w:r>
            <w:r w:rsidR="00FD58BF">
              <w:rPr>
                <w:noProof/>
                <w:webHidden/>
              </w:rPr>
              <w:tab/>
            </w:r>
            <w:r w:rsidR="00FD58BF">
              <w:rPr>
                <w:noProof/>
                <w:webHidden/>
              </w:rPr>
              <w:fldChar w:fldCharType="begin"/>
            </w:r>
            <w:r w:rsidR="00FD58BF">
              <w:rPr>
                <w:noProof/>
                <w:webHidden/>
              </w:rPr>
              <w:instrText xml:space="preserve"> PAGEREF _Toc178839116 \h </w:instrText>
            </w:r>
            <w:r w:rsidR="00FD58BF">
              <w:rPr>
                <w:noProof/>
                <w:webHidden/>
              </w:rPr>
            </w:r>
            <w:r w:rsidR="00FD58BF">
              <w:rPr>
                <w:noProof/>
                <w:webHidden/>
              </w:rPr>
              <w:fldChar w:fldCharType="separate"/>
            </w:r>
            <w:r w:rsidR="00FD58BF">
              <w:rPr>
                <w:noProof/>
                <w:webHidden/>
              </w:rPr>
              <w:t>1206</w:t>
            </w:r>
            <w:r w:rsidR="00FD58BF">
              <w:rPr>
                <w:noProof/>
                <w:webHidden/>
              </w:rPr>
              <w:fldChar w:fldCharType="end"/>
            </w:r>
          </w:hyperlink>
        </w:p>
        <w:p w14:paraId="0A3A0564" w14:textId="5011469E"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17" w:history="1">
            <w:r w:rsidR="00FD58BF" w:rsidRPr="003004E5">
              <w:rPr>
                <w:rStyle w:val="Lienhypertexte"/>
                <w:noProof/>
              </w:rPr>
              <w:t>27.31.1 Collet et habillage CCTB 01.02</w:t>
            </w:r>
            <w:r w:rsidR="00FD58BF">
              <w:rPr>
                <w:noProof/>
                <w:webHidden/>
              </w:rPr>
              <w:tab/>
            </w:r>
            <w:r w:rsidR="00FD58BF">
              <w:rPr>
                <w:noProof/>
                <w:webHidden/>
              </w:rPr>
              <w:fldChar w:fldCharType="begin"/>
            </w:r>
            <w:r w:rsidR="00FD58BF">
              <w:rPr>
                <w:noProof/>
                <w:webHidden/>
              </w:rPr>
              <w:instrText xml:space="preserve"> PAGEREF _Toc178839117 \h </w:instrText>
            </w:r>
            <w:r w:rsidR="00FD58BF">
              <w:rPr>
                <w:noProof/>
                <w:webHidden/>
              </w:rPr>
            </w:r>
            <w:r w:rsidR="00FD58BF">
              <w:rPr>
                <w:noProof/>
                <w:webHidden/>
              </w:rPr>
              <w:fldChar w:fldCharType="separate"/>
            </w:r>
            <w:r w:rsidR="00FD58BF">
              <w:rPr>
                <w:noProof/>
                <w:webHidden/>
              </w:rPr>
              <w:t>1206</w:t>
            </w:r>
            <w:r w:rsidR="00FD58BF">
              <w:rPr>
                <w:noProof/>
                <w:webHidden/>
              </w:rPr>
              <w:fldChar w:fldCharType="end"/>
            </w:r>
          </w:hyperlink>
        </w:p>
        <w:p w14:paraId="6EED8842" w14:textId="5844BFD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8" w:history="1">
            <w:r w:rsidR="00FD58BF" w:rsidRPr="003004E5">
              <w:rPr>
                <w:rStyle w:val="Lienhypertexte"/>
                <w:noProof/>
              </w:rPr>
              <w:t>27.31.1a Collet et habillage en maçonnerie CCTB 01.11</w:t>
            </w:r>
            <w:r w:rsidR="00FD58BF">
              <w:rPr>
                <w:noProof/>
                <w:webHidden/>
              </w:rPr>
              <w:tab/>
            </w:r>
            <w:r w:rsidR="00FD58BF">
              <w:rPr>
                <w:noProof/>
                <w:webHidden/>
              </w:rPr>
              <w:fldChar w:fldCharType="begin"/>
            </w:r>
            <w:r w:rsidR="00FD58BF">
              <w:rPr>
                <w:noProof/>
                <w:webHidden/>
              </w:rPr>
              <w:instrText xml:space="preserve"> PAGEREF _Toc178839118 \h </w:instrText>
            </w:r>
            <w:r w:rsidR="00FD58BF">
              <w:rPr>
                <w:noProof/>
                <w:webHidden/>
              </w:rPr>
            </w:r>
            <w:r w:rsidR="00FD58BF">
              <w:rPr>
                <w:noProof/>
                <w:webHidden/>
              </w:rPr>
              <w:fldChar w:fldCharType="separate"/>
            </w:r>
            <w:r w:rsidR="00FD58BF">
              <w:rPr>
                <w:noProof/>
                <w:webHidden/>
              </w:rPr>
              <w:t>1206</w:t>
            </w:r>
            <w:r w:rsidR="00FD58BF">
              <w:rPr>
                <w:noProof/>
                <w:webHidden/>
              </w:rPr>
              <w:fldChar w:fldCharType="end"/>
            </w:r>
          </w:hyperlink>
        </w:p>
        <w:p w14:paraId="299133A4" w14:textId="2C7D8D45"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9" w:history="1">
            <w:r w:rsidR="00FD58BF" w:rsidRPr="003004E5">
              <w:rPr>
                <w:rStyle w:val="Lienhypertexte"/>
                <w:noProof/>
              </w:rPr>
              <w:t>27.31.1b Pénétration de toiture en acier inoxydable CCTB 01.11</w:t>
            </w:r>
            <w:r w:rsidR="00FD58BF">
              <w:rPr>
                <w:noProof/>
                <w:webHidden/>
              </w:rPr>
              <w:tab/>
            </w:r>
            <w:r w:rsidR="00FD58BF">
              <w:rPr>
                <w:noProof/>
                <w:webHidden/>
              </w:rPr>
              <w:fldChar w:fldCharType="begin"/>
            </w:r>
            <w:r w:rsidR="00FD58BF">
              <w:rPr>
                <w:noProof/>
                <w:webHidden/>
              </w:rPr>
              <w:instrText xml:space="preserve"> PAGEREF _Toc178839119 \h </w:instrText>
            </w:r>
            <w:r w:rsidR="00FD58BF">
              <w:rPr>
                <w:noProof/>
                <w:webHidden/>
              </w:rPr>
            </w:r>
            <w:r w:rsidR="00FD58BF">
              <w:rPr>
                <w:noProof/>
                <w:webHidden/>
              </w:rPr>
              <w:fldChar w:fldCharType="separate"/>
            </w:r>
            <w:r w:rsidR="00FD58BF">
              <w:rPr>
                <w:noProof/>
                <w:webHidden/>
              </w:rPr>
              <w:t>1207</w:t>
            </w:r>
            <w:r w:rsidR="00FD58BF">
              <w:rPr>
                <w:noProof/>
                <w:webHidden/>
              </w:rPr>
              <w:fldChar w:fldCharType="end"/>
            </w:r>
          </w:hyperlink>
        </w:p>
        <w:p w14:paraId="4276ECC6" w14:textId="5DA7DCB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20" w:history="1">
            <w:r w:rsidR="00FD58BF" w:rsidRPr="003004E5">
              <w:rPr>
                <w:rStyle w:val="Lienhypertexte"/>
                <w:noProof/>
              </w:rPr>
              <w:t>27.32 Régulateurs de tirage CCTB 01.02</w:t>
            </w:r>
            <w:r w:rsidR="00FD58BF">
              <w:rPr>
                <w:noProof/>
                <w:webHidden/>
              </w:rPr>
              <w:tab/>
            </w:r>
            <w:r w:rsidR="00FD58BF">
              <w:rPr>
                <w:noProof/>
                <w:webHidden/>
              </w:rPr>
              <w:fldChar w:fldCharType="begin"/>
            </w:r>
            <w:r w:rsidR="00FD58BF">
              <w:rPr>
                <w:noProof/>
                <w:webHidden/>
              </w:rPr>
              <w:instrText xml:space="preserve"> PAGEREF _Toc178839120 \h </w:instrText>
            </w:r>
            <w:r w:rsidR="00FD58BF">
              <w:rPr>
                <w:noProof/>
                <w:webHidden/>
              </w:rPr>
            </w:r>
            <w:r w:rsidR="00FD58BF">
              <w:rPr>
                <w:noProof/>
                <w:webHidden/>
              </w:rPr>
              <w:fldChar w:fldCharType="separate"/>
            </w:r>
            <w:r w:rsidR="00FD58BF">
              <w:rPr>
                <w:noProof/>
                <w:webHidden/>
              </w:rPr>
              <w:t>1207</w:t>
            </w:r>
            <w:r w:rsidR="00FD58BF">
              <w:rPr>
                <w:noProof/>
                <w:webHidden/>
              </w:rPr>
              <w:fldChar w:fldCharType="end"/>
            </w:r>
          </w:hyperlink>
        </w:p>
        <w:p w14:paraId="67664BBB" w14:textId="14A0877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1" w:history="1">
            <w:r w:rsidR="00FD58BF" w:rsidRPr="003004E5">
              <w:rPr>
                <w:rStyle w:val="Lienhypertexte"/>
                <w:noProof/>
              </w:rPr>
              <w:t>27.32.1 Régulateurs de tirage CCTB 01.04</w:t>
            </w:r>
            <w:r w:rsidR="00FD58BF">
              <w:rPr>
                <w:noProof/>
                <w:webHidden/>
              </w:rPr>
              <w:tab/>
            </w:r>
            <w:r w:rsidR="00FD58BF">
              <w:rPr>
                <w:noProof/>
                <w:webHidden/>
              </w:rPr>
              <w:fldChar w:fldCharType="begin"/>
            </w:r>
            <w:r w:rsidR="00FD58BF">
              <w:rPr>
                <w:noProof/>
                <w:webHidden/>
              </w:rPr>
              <w:instrText xml:space="preserve"> PAGEREF _Toc178839121 \h </w:instrText>
            </w:r>
            <w:r w:rsidR="00FD58BF">
              <w:rPr>
                <w:noProof/>
                <w:webHidden/>
              </w:rPr>
            </w:r>
            <w:r w:rsidR="00FD58BF">
              <w:rPr>
                <w:noProof/>
                <w:webHidden/>
              </w:rPr>
              <w:fldChar w:fldCharType="separate"/>
            </w:r>
            <w:r w:rsidR="00FD58BF">
              <w:rPr>
                <w:noProof/>
                <w:webHidden/>
              </w:rPr>
              <w:t>1207</w:t>
            </w:r>
            <w:r w:rsidR="00FD58BF">
              <w:rPr>
                <w:noProof/>
                <w:webHidden/>
              </w:rPr>
              <w:fldChar w:fldCharType="end"/>
            </w:r>
          </w:hyperlink>
        </w:p>
        <w:p w14:paraId="5A744309" w14:textId="0A89917F"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2" w:history="1">
            <w:r w:rsidR="00FD58BF" w:rsidRPr="003004E5">
              <w:rPr>
                <w:rStyle w:val="Lienhypertexte"/>
                <w:noProof/>
              </w:rPr>
              <w:t>27.32.1a Régulateurs en éléments préfabriqués en béton CCTB 01.11</w:t>
            </w:r>
            <w:r w:rsidR="00FD58BF">
              <w:rPr>
                <w:noProof/>
                <w:webHidden/>
              </w:rPr>
              <w:tab/>
            </w:r>
            <w:r w:rsidR="00FD58BF">
              <w:rPr>
                <w:noProof/>
                <w:webHidden/>
              </w:rPr>
              <w:fldChar w:fldCharType="begin"/>
            </w:r>
            <w:r w:rsidR="00FD58BF">
              <w:rPr>
                <w:noProof/>
                <w:webHidden/>
              </w:rPr>
              <w:instrText xml:space="preserve"> PAGEREF _Toc178839122 \h </w:instrText>
            </w:r>
            <w:r w:rsidR="00FD58BF">
              <w:rPr>
                <w:noProof/>
                <w:webHidden/>
              </w:rPr>
            </w:r>
            <w:r w:rsidR="00FD58BF">
              <w:rPr>
                <w:noProof/>
                <w:webHidden/>
              </w:rPr>
              <w:fldChar w:fldCharType="separate"/>
            </w:r>
            <w:r w:rsidR="00FD58BF">
              <w:rPr>
                <w:noProof/>
                <w:webHidden/>
              </w:rPr>
              <w:t>1208</w:t>
            </w:r>
            <w:r w:rsidR="00FD58BF">
              <w:rPr>
                <w:noProof/>
                <w:webHidden/>
              </w:rPr>
              <w:fldChar w:fldCharType="end"/>
            </w:r>
          </w:hyperlink>
        </w:p>
        <w:p w14:paraId="393CA502" w14:textId="764C388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3" w:history="1">
            <w:r w:rsidR="00FD58BF" w:rsidRPr="003004E5">
              <w:rPr>
                <w:rStyle w:val="Lienhypertexte"/>
                <w:noProof/>
              </w:rPr>
              <w:t>27.32.1b Régulateurs en fibres-ciment CCTB 01.02</w:t>
            </w:r>
            <w:r w:rsidR="00FD58BF">
              <w:rPr>
                <w:noProof/>
                <w:webHidden/>
              </w:rPr>
              <w:tab/>
            </w:r>
            <w:r w:rsidR="00FD58BF">
              <w:rPr>
                <w:noProof/>
                <w:webHidden/>
              </w:rPr>
              <w:fldChar w:fldCharType="begin"/>
            </w:r>
            <w:r w:rsidR="00FD58BF">
              <w:rPr>
                <w:noProof/>
                <w:webHidden/>
              </w:rPr>
              <w:instrText xml:space="preserve"> PAGEREF _Toc178839123 \h </w:instrText>
            </w:r>
            <w:r w:rsidR="00FD58BF">
              <w:rPr>
                <w:noProof/>
                <w:webHidden/>
              </w:rPr>
            </w:r>
            <w:r w:rsidR="00FD58BF">
              <w:rPr>
                <w:noProof/>
                <w:webHidden/>
              </w:rPr>
              <w:fldChar w:fldCharType="separate"/>
            </w:r>
            <w:r w:rsidR="00FD58BF">
              <w:rPr>
                <w:noProof/>
                <w:webHidden/>
              </w:rPr>
              <w:t>1208</w:t>
            </w:r>
            <w:r w:rsidR="00FD58BF">
              <w:rPr>
                <w:noProof/>
                <w:webHidden/>
              </w:rPr>
              <w:fldChar w:fldCharType="end"/>
            </w:r>
          </w:hyperlink>
        </w:p>
        <w:p w14:paraId="6693176A" w14:textId="562C13D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4" w:history="1">
            <w:r w:rsidR="00FD58BF" w:rsidRPr="003004E5">
              <w:rPr>
                <w:rStyle w:val="Lienhypertexte"/>
                <w:noProof/>
              </w:rPr>
              <w:t>27.32.1c Régulateurs en acier inoxydable CCTB 01.11</w:t>
            </w:r>
            <w:r w:rsidR="00FD58BF">
              <w:rPr>
                <w:noProof/>
                <w:webHidden/>
              </w:rPr>
              <w:tab/>
            </w:r>
            <w:r w:rsidR="00FD58BF">
              <w:rPr>
                <w:noProof/>
                <w:webHidden/>
              </w:rPr>
              <w:fldChar w:fldCharType="begin"/>
            </w:r>
            <w:r w:rsidR="00FD58BF">
              <w:rPr>
                <w:noProof/>
                <w:webHidden/>
              </w:rPr>
              <w:instrText xml:space="preserve"> PAGEREF _Toc178839124 \h </w:instrText>
            </w:r>
            <w:r w:rsidR="00FD58BF">
              <w:rPr>
                <w:noProof/>
                <w:webHidden/>
              </w:rPr>
            </w:r>
            <w:r w:rsidR="00FD58BF">
              <w:rPr>
                <w:noProof/>
                <w:webHidden/>
              </w:rPr>
              <w:fldChar w:fldCharType="separate"/>
            </w:r>
            <w:r w:rsidR="00FD58BF">
              <w:rPr>
                <w:noProof/>
                <w:webHidden/>
              </w:rPr>
              <w:t>1208</w:t>
            </w:r>
            <w:r w:rsidR="00FD58BF">
              <w:rPr>
                <w:noProof/>
                <w:webHidden/>
              </w:rPr>
              <w:fldChar w:fldCharType="end"/>
            </w:r>
          </w:hyperlink>
        </w:p>
        <w:p w14:paraId="33F6279B" w14:textId="07E3AEB0"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25" w:history="1">
            <w:r w:rsidR="00FD58BF" w:rsidRPr="003004E5">
              <w:rPr>
                <w:rStyle w:val="Lienhypertexte"/>
                <w:noProof/>
              </w:rPr>
              <w:t>27.33 Accessoires CCTB 01.04</w:t>
            </w:r>
            <w:r w:rsidR="00FD58BF">
              <w:rPr>
                <w:noProof/>
                <w:webHidden/>
              </w:rPr>
              <w:tab/>
            </w:r>
            <w:r w:rsidR="00FD58BF">
              <w:rPr>
                <w:noProof/>
                <w:webHidden/>
              </w:rPr>
              <w:fldChar w:fldCharType="begin"/>
            </w:r>
            <w:r w:rsidR="00FD58BF">
              <w:rPr>
                <w:noProof/>
                <w:webHidden/>
              </w:rPr>
              <w:instrText xml:space="preserve"> PAGEREF _Toc178839125 \h </w:instrText>
            </w:r>
            <w:r w:rsidR="00FD58BF">
              <w:rPr>
                <w:noProof/>
                <w:webHidden/>
              </w:rPr>
            </w:r>
            <w:r w:rsidR="00FD58BF">
              <w:rPr>
                <w:noProof/>
                <w:webHidden/>
              </w:rPr>
              <w:fldChar w:fldCharType="separate"/>
            </w:r>
            <w:r w:rsidR="00FD58BF">
              <w:rPr>
                <w:noProof/>
                <w:webHidden/>
              </w:rPr>
              <w:t>1209</w:t>
            </w:r>
            <w:r w:rsidR="00FD58BF">
              <w:rPr>
                <w:noProof/>
                <w:webHidden/>
              </w:rPr>
              <w:fldChar w:fldCharType="end"/>
            </w:r>
          </w:hyperlink>
        </w:p>
        <w:p w14:paraId="055A46F2" w14:textId="2420F6A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6" w:history="1">
            <w:r w:rsidR="00FD58BF" w:rsidRPr="003004E5">
              <w:rPr>
                <w:rStyle w:val="Lienhypertexte"/>
                <w:noProof/>
              </w:rPr>
              <w:t>27.33.1 Trappes de ramonage CCTB 01.11</w:t>
            </w:r>
            <w:r w:rsidR="00FD58BF">
              <w:rPr>
                <w:noProof/>
                <w:webHidden/>
              </w:rPr>
              <w:tab/>
            </w:r>
            <w:r w:rsidR="00FD58BF">
              <w:rPr>
                <w:noProof/>
                <w:webHidden/>
              </w:rPr>
              <w:fldChar w:fldCharType="begin"/>
            </w:r>
            <w:r w:rsidR="00FD58BF">
              <w:rPr>
                <w:noProof/>
                <w:webHidden/>
              </w:rPr>
              <w:instrText xml:space="preserve"> PAGEREF _Toc178839126 \h </w:instrText>
            </w:r>
            <w:r w:rsidR="00FD58BF">
              <w:rPr>
                <w:noProof/>
                <w:webHidden/>
              </w:rPr>
            </w:r>
            <w:r w:rsidR="00FD58BF">
              <w:rPr>
                <w:noProof/>
                <w:webHidden/>
              </w:rPr>
              <w:fldChar w:fldCharType="separate"/>
            </w:r>
            <w:r w:rsidR="00FD58BF">
              <w:rPr>
                <w:noProof/>
                <w:webHidden/>
              </w:rPr>
              <w:t>1209</w:t>
            </w:r>
            <w:r w:rsidR="00FD58BF">
              <w:rPr>
                <w:noProof/>
                <w:webHidden/>
              </w:rPr>
              <w:fldChar w:fldCharType="end"/>
            </w:r>
          </w:hyperlink>
        </w:p>
        <w:p w14:paraId="73605906" w14:textId="40C14792"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7" w:history="1">
            <w:r w:rsidR="00FD58BF" w:rsidRPr="003004E5">
              <w:rPr>
                <w:rStyle w:val="Lienhypertexte"/>
                <w:noProof/>
              </w:rPr>
              <w:t>27.33.1a Trappes de ramonage CCTB 01.11</w:t>
            </w:r>
            <w:r w:rsidR="00FD58BF">
              <w:rPr>
                <w:noProof/>
                <w:webHidden/>
              </w:rPr>
              <w:tab/>
            </w:r>
            <w:r w:rsidR="00FD58BF">
              <w:rPr>
                <w:noProof/>
                <w:webHidden/>
              </w:rPr>
              <w:fldChar w:fldCharType="begin"/>
            </w:r>
            <w:r w:rsidR="00FD58BF">
              <w:rPr>
                <w:noProof/>
                <w:webHidden/>
              </w:rPr>
              <w:instrText xml:space="preserve"> PAGEREF _Toc178839127 \h </w:instrText>
            </w:r>
            <w:r w:rsidR="00FD58BF">
              <w:rPr>
                <w:noProof/>
                <w:webHidden/>
              </w:rPr>
            </w:r>
            <w:r w:rsidR="00FD58BF">
              <w:rPr>
                <w:noProof/>
                <w:webHidden/>
              </w:rPr>
              <w:fldChar w:fldCharType="separate"/>
            </w:r>
            <w:r w:rsidR="00FD58BF">
              <w:rPr>
                <w:noProof/>
                <w:webHidden/>
              </w:rPr>
              <w:t>1209</w:t>
            </w:r>
            <w:r w:rsidR="00FD58BF">
              <w:rPr>
                <w:noProof/>
                <w:webHidden/>
              </w:rPr>
              <w:fldChar w:fldCharType="end"/>
            </w:r>
          </w:hyperlink>
        </w:p>
        <w:p w14:paraId="52443457" w14:textId="53D889E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8" w:history="1">
            <w:r w:rsidR="00FD58BF" w:rsidRPr="003004E5">
              <w:rPr>
                <w:rStyle w:val="Lienhypertexte"/>
                <w:noProof/>
              </w:rPr>
              <w:t>27.33.2 Collecteurs de suie CCTB 01.11</w:t>
            </w:r>
            <w:r w:rsidR="00FD58BF">
              <w:rPr>
                <w:noProof/>
                <w:webHidden/>
              </w:rPr>
              <w:tab/>
            </w:r>
            <w:r w:rsidR="00FD58BF">
              <w:rPr>
                <w:noProof/>
                <w:webHidden/>
              </w:rPr>
              <w:fldChar w:fldCharType="begin"/>
            </w:r>
            <w:r w:rsidR="00FD58BF">
              <w:rPr>
                <w:noProof/>
                <w:webHidden/>
              </w:rPr>
              <w:instrText xml:space="preserve"> PAGEREF _Toc178839128 \h </w:instrText>
            </w:r>
            <w:r w:rsidR="00FD58BF">
              <w:rPr>
                <w:noProof/>
                <w:webHidden/>
              </w:rPr>
            </w:r>
            <w:r w:rsidR="00FD58BF">
              <w:rPr>
                <w:noProof/>
                <w:webHidden/>
              </w:rPr>
              <w:fldChar w:fldCharType="separate"/>
            </w:r>
            <w:r w:rsidR="00FD58BF">
              <w:rPr>
                <w:noProof/>
                <w:webHidden/>
              </w:rPr>
              <w:t>1209</w:t>
            </w:r>
            <w:r w:rsidR="00FD58BF">
              <w:rPr>
                <w:noProof/>
                <w:webHidden/>
              </w:rPr>
              <w:fldChar w:fldCharType="end"/>
            </w:r>
          </w:hyperlink>
        </w:p>
        <w:p w14:paraId="1D98BC82" w14:textId="5229DA2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9" w:history="1">
            <w:r w:rsidR="00FD58BF" w:rsidRPr="003004E5">
              <w:rPr>
                <w:rStyle w:val="Lienhypertexte"/>
                <w:noProof/>
              </w:rPr>
              <w:t>27.33.2a Collecteurs de suie CCTB 01.11</w:t>
            </w:r>
            <w:r w:rsidR="00FD58BF">
              <w:rPr>
                <w:noProof/>
                <w:webHidden/>
              </w:rPr>
              <w:tab/>
            </w:r>
            <w:r w:rsidR="00FD58BF">
              <w:rPr>
                <w:noProof/>
                <w:webHidden/>
              </w:rPr>
              <w:fldChar w:fldCharType="begin"/>
            </w:r>
            <w:r w:rsidR="00FD58BF">
              <w:rPr>
                <w:noProof/>
                <w:webHidden/>
              </w:rPr>
              <w:instrText xml:space="preserve"> PAGEREF _Toc178839129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078484F9" w14:textId="7864A20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0" w:history="1">
            <w:r w:rsidR="00FD58BF" w:rsidRPr="003004E5">
              <w:rPr>
                <w:rStyle w:val="Lienhypertexte"/>
                <w:noProof/>
              </w:rPr>
              <w:t>27.33.3 Recueillement des condensats CCTB 01.02</w:t>
            </w:r>
            <w:r w:rsidR="00FD58BF">
              <w:rPr>
                <w:noProof/>
                <w:webHidden/>
              </w:rPr>
              <w:tab/>
            </w:r>
            <w:r w:rsidR="00FD58BF">
              <w:rPr>
                <w:noProof/>
                <w:webHidden/>
              </w:rPr>
              <w:fldChar w:fldCharType="begin"/>
            </w:r>
            <w:r w:rsidR="00FD58BF">
              <w:rPr>
                <w:noProof/>
                <w:webHidden/>
              </w:rPr>
              <w:instrText xml:space="preserve"> PAGEREF _Toc178839130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01EDEB59" w14:textId="576219FD"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1" w:history="1">
            <w:r w:rsidR="00FD58BF" w:rsidRPr="003004E5">
              <w:rPr>
                <w:rStyle w:val="Lienhypertexte"/>
                <w:noProof/>
              </w:rPr>
              <w:t>27.33.3a Recueillement des condensats CCTB 01.02</w:t>
            </w:r>
            <w:r w:rsidR="00FD58BF">
              <w:rPr>
                <w:noProof/>
                <w:webHidden/>
              </w:rPr>
              <w:tab/>
            </w:r>
            <w:r w:rsidR="00FD58BF">
              <w:rPr>
                <w:noProof/>
                <w:webHidden/>
              </w:rPr>
              <w:fldChar w:fldCharType="begin"/>
            </w:r>
            <w:r w:rsidR="00FD58BF">
              <w:rPr>
                <w:noProof/>
                <w:webHidden/>
              </w:rPr>
              <w:instrText xml:space="preserve"> PAGEREF _Toc178839131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1F6A733A" w14:textId="7E2A9E79"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32" w:history="1">
            <w:r w:rsidR="00FD58BF" w:rsidRPr="003004E5">
              <w:rPr>
                <w:rStyle w:val="Lienhypertexte"/>
                <w:noProof/>
              </w:rPr>
              <w:t>27.4 - CCTB 01.02</w:t>
            </w:r>
            <w:r w:rsidR="00FD58BF">
              <w:rPr>
                <w:noProof/>
                <w:webHidden/>
              </w:rPr>
              <w:tab/>
            </w:r>
            <w:r w:rsidR="00FD58BF">
              <w:rPr>
                <w:noProof/>
                <w:webHidden/>
              </w:rPr>
              <w:fldChar w:fldCharType="begin"/>
            </w:r>
            <w:r w:rsidR="00FD58BF">
              <w:rPr>
                <w:noProof/>
                <w:webHidden/>
              </w:rPr>
              <w:instrText xml:space="preserve"> PAGEREF _Toc178839132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51D32CE5" w14:textId="65667AFA"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33" w:history="1">
            <w:r w:rsidR="00FD58BF" w:rsidRPr="003004E5">
              <w:rPr>
                <w:rStyle w:val="Lienhypertexte"/>
                <w:noProof/>
              </w:rPr>
              <w:t>27.5 - CCTB 01.02</w:t>
            </w:r>
            <w:r w:rsidR="00FD58BF">
              <w:rPr>
                <w:noProof/>
                <w:webHidden/>
              </w:rPr>
              <w:tab/>
            </w:r>
            <w:r w:rsidR="00FD58BF">
              <w:rPr>
                <w:noProof/>
                <w:webHidden/>
              </w:rPr>
              <w:fldChar w:fldCharType="begin"/>
            </w:r>
            <w:r w:rsidR="00FD58BF">
              <w:rPr>
                <w:noProof/>
                <w:webHidden/>
              </w:rPr>
              <w:instrText xml:space="preserve"> PAGEREF _Toc178839133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2D6E4035" w14:textId="35E50D32"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34" w:history="1">
            <w:r w:rsidR="00FD58BF" w:rsidRPr="003004E5">
              <w:rPr>
                <w:rStyle w:val="Lienhypertexte"/>
                <w:noProof/>
              </w:rPr>
              <w:t>27.6 - CCTB 01.02</w:t>
            </w:r>
            <w:r w:rsidR="00FD58BF">
              <w:rPr>
                <w:noProof/>
                <w:webHidden/>
              </w:rPr>
              <w:tab/>
            </w:r>
            <w:r w:rsidR="00FD58BF">
              <w:rPr>
                <w:noProof/>
                <w:webHidden/>
              </w:rPr>
              <w:fldChar w:fldCharType="begin"/>
            </w:r>
            <w:r w:rsidR="00FD58BF">
              <w:rPr>
                <w:noProof/>
                <w:webHidden/>
              </w:rPr>
              <w:instrText xml:space="preserve"> PAGEREF _Toc178839134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79A2041F" w14:textId="2FB7D5BC"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35" w:history="1">
            <w:r w:rsidR="00FD58BF" w:rsidRPr="003004E5">
              <w:rPr>
                <w:rStyle w:val="Lienhypertexte"/>
                <w:noProof/>
              </w:rPr>
              <w:t>27.7 -</w:t>
            </w:r>
            <w:r w:rsidR="00FD58BF">
              <w:rPr>
                <w:noProof/>
                <w:webHidden/>
              </w:rPr>
              <w:tab/>
            </w:r>
            <w:r w:rsidR="00FD58BF">
              <w:rPr>
                <w:noProof/>
                <w:webHidden/>
              </w:rPr>
              <w:fldChar w:fldCharType="begin"/>
            </w:r>
            <w:r w:rsidR="00FD58BF">
              <w:rPr>
                <w:noProof/>
                <w:webHidden/>
              </w:rPr>
              <w:instrText xml:space="preserve"> PAGEREF _Toc178839135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5785156B" w14:textId="7DB603AE"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36" w:history="1">
            <w:r w:rsidR="00FD58BF" w:rsidRPr="003004E5">
              <w:rPr>
                <w:rStyle w:val="Lienhypertexte"/>
                <w:noProof/>
              </w:rPr>
              <w:t>27.8 Conduits de fumée et de ventilation maçonnés - Rénovation CCTB 01.04</w:t>
            </w:r>
            <w:r w:rsidR="00FD58BF">
              <w:rPr>
                <w:noProof/>
                <w:webHidden/>
              </w:rPr>
              <w:tab/>
            </w:r>
            <w:r w:rsidR="00FD58BF">
              <w:rPr>
                <w:noProof/>
                <w:webHidden/>
              </w:rPr>
              <w:fldChar w:fldCharType="begin"/>
            </w:r>
            <w:r w:rsidR="00FD58BF">
              <w:rPr>
                <w:noProof/>
                <w:webHidden/>
              </w:rPr>
              <w:instrText xml:space="preserve"> PAGEREF _Toc178839136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279382F6" w14:textId="79AD1983"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37" w:history="1">
            <w:r w:rsidR="00FD58BF" w:rsidRPr="003004E5">
              <w:rPr>
                <w:rStyle w:val="Lienhypertexte"/>
                <w:noProof/>
              </w:rPr>
              <w:t>27.81 Etudes / essais préliminaires CCTB 01.04</w:t>
            </w:r>
            <w:r w:rsidR="00FD58BF">
              <w:rPr>
                <w:noProof/>
                <w:webHidden/>
              </w:rPr>
              <w:tab/>
            </w:r>
            <w:r w:rsidR="00FD58BF">
              <w:rPr>
                <w:noProof/>
                <w:webHidden/>
              </w:rPr>
              <w:fldChar w:fldCharType="begin"/>
            </w:r>
            <w:r w:rsidR="00FD58BF">
              <w:rPr>
                <w:noProof/>
                <w:webHidden/>
              </w:rPr>
              <w:instrText xml:space="preserve"> PAGEREF _Toc178839137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6113F015" w14:textId="6D84687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38" w:history="1">
            <w:r w:rsidR="00FD58BF" w:rsidRPr="003004E5">
              <w:rPr>
                <w:rStyle w:val="Lienhypertexte"/>
                <w:noProof/>
              </w:rPr>
              <w:t>27.82 Dépose / démontage / percement / déconstruction-démolition CCTB 01.04</w:t>
            </w:r>
            <w:r w:rsidR="00FD58BF">
              <w:rPr>
                <w:noProof/>
                <w:webHidden/>
              </w:rPr>
              <w:tab/>
            </w:r>
            <w:r w:rsidR="00FD58BF">
              <w:rPr>
                <w:noProof/>
                <w:webHidden/>
              </w:rPr>
              <w:fldChar w:fldCharType="begin"/>
            </w:r>
            <w:r w:rsidR="00FD58BF">
              <w:rPr>
                <w:noProof/>
                <w:webHidden/>
              </w:rPr>
              <w:instrText xml:space="preserve"> PAGEREF _Toc178839138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54EE31DD" w14:textId="326D0CF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9" w:history="1">
            <w:r w:rsidR="00FD58BF" w:rsidRPr="003004E5">
              <w:rPr>
                <w:rStyle w:val="Lienhypertexte"/>
                <w:noProof/>
              </w:rPr>
              <w:t>27.82.1 Travaux de stabilisation CCTB 01.04</w:t>
            </w:r>
            <w:r w:rsidR="00FD58BF">
              <w:rPr>
                <w:noProof/>
                <w:webHidden/>
              </w:rPr>
              <w:tab/>
            </w:r>
            <w:r w:rsidR="00FD58BF">
              <w:rPr>
                <w:noProof/>
                <w:webHidden/>
              </w:rPr>
              <w:fldChar w:fldCharType="begin"/>
            </w:r>
            <w:r w:rsidR="00FD58BF">
              <w:rPr>
                <w:noProof/>
                <w:webHidden/>
              </w:rPr>
              <w:instrText xml:space="preserve"> PAGEREF _Toc178839139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50FBDC20" w14:textId="2379423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0" w:history="1">
            <w:r w:rsidR="00FD58BF" w:rsidRPr="003004E5">
              <w:rPr>
                <w:rStyle w:val="Lienhypertexte"/>
                <w:noProof/>
              </w:rPr>
              <w:t>27.82.2 Dépose d'éléments (pour repose ultérieure) CCTB 01.04</w:t>
            </w:r>
            <w:r w:rsidR="00FD58BF">
              <w:rPr>
                <w:noProof/>
                <w:webHidden/>
              </w:rPr>
              <w:tab/>
            </w:r>
            <w:r w:rsidR="00FD58BF">
              <w:rPr>
                <w:noProof/>
                <w:webHidden/>
              </w:rPr>
              <w:fldChar w:fldCharType="begin"/>
            </w:r>
            <w:r w:rsidR="00FD58BF">
              <w:rPr>
                <w:noProof/>
                <w:webHidden/>
              </w:rPr>
              <w:instrText xml:space="preserve"> PAGEREF _Toc178839140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6938A697" w14:textId="3416D07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1" w:history="1">
            <w:r w:rsidR="00FD58BF" w:rsidRPr="003004E5">
              <w:rPr>
                <w:rStyle w:val="Lienhypertexte"/>
                <w:noProof/>
              </w:rPr>
              <w:t>27.82.3 Démontage d'éléments (pour récupération)  CCTB 01.04</w:t>
            </w:r>
            <w:r w:rsidR="00FD58BF">
              <w:rPr>
                <w:noProof/>
                <w:webHidden/>
              </w:rPr>
              <w:tab/>
            </w:r>
            <w:r w:rsidR="00FD58BF">
              <w:rPr>
                <w:noProof/>
                <w:webHidden/>
              </w:rPr>
              <w:fldChar w:fldCharType="begin"/>
            </w:r>
            <w:r w:rsidR="00FD58BF">
              <w:rPr>
                <w:noProof/>
                <w:webHidden/>
              </w:rPr>
              <w:instrText xml:space="preserve"> PAGEREF _Toc178839141 \h </w:instrText>
            </w:r>
            <w:r w:rsidR="00FD58BF">
              <w:rPr>
                <w:noProof/>
                <w:webHidden/>
              </w:rPr>
            </w:r>
            <w:r w:rsidR="00FD58BF">
              <w:rPr>
                <w:noProof/>
                <w:webHidden/>
              </w:rPr>
              <w:fldChar w:fldCharType="separate"/>
            </w:r>
            <w:r w:rsidR="00FD58BF">
              <w:rPr>
                <w:noProof/>
                <w:webHidden/>
              </w:rPr>
              <w:t>1210</w:t>
            </w:r>
            <w:r w:rsidR="00FD58BF">
              <w:rPr>
                <w:noProof/>
                <w:webHidden/>
              </w:rPr>
              <w:fldChar w:fldCharType="end"/>
            </w:r>
          </w:hyperlink>
        </w:p>
        <w:p w14:paraId="3D5BEF6F" w14:textId="7FEF1FE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2" w:history="1">
            <w:r w:rsidR="00FD58BF" w:rsidRPr="003004E5">
              <w:rPr>
                <w:rStyle w:val="Lienhypertexte"/>
                <w:noProof/>
              </w:rPr>
              <w:t>27.82.4 Dégagement d'éléments spécifiques CCTB 01.04</w:t>
            </w:r>
            <w:r w:rsidR="00FD58BF">
              <w:rPr>
                <w:noProof/>
                <w:webHidden/>
              </w:rPr>
              <w:tab/>
            </w:r>
            <w:r w:rsidR="00FD58BF">
              <w:rPr>
                <w:noProof/>
                <w:webHidden/>
              </w:rPr>
              <w:fldChar w:fldCharType="begin"/>
            </w:r>
            <w:r w:rsidR="00FD58BF">
              <w:rPr>
                <w:noProof/>
                <w:webHidden/>
              </w:rPr>
              <w:instrText xml:space="preserve"> PAGEREF _Toc178839142 \h </w:instrText>
            </w:r>
            <w:r w:rsidR="00FD58BF">
              <w:rPr>
                <w:noProof/>
                <w:webHidden/>
              </w:rPr>
            </w:r>
            <w:r w:rsidR="00FD58BF">
              <w:rPr>
                <w:noProof/>
                <w:webHidden/>
              </w:rPr>
              <w:fldChar w:fldCharType="separate"/>
            </w:r>
            <w:r w:rsidR="00FD58BF">
              <w:rPr>
                <w:noProof/>
                <w:webHidden/>
              </w:rPr>
              <w:t>1211</w:t>
            </w:r>
            <w:r w:rsidR="00FD58BF">
              <w:rPr>
                <w:noProof/>
                <w:webHidden/>
              </w:rPr>
              <w:fldChar w:fldCharType="end"/>
            </w:r>
          </w:hyperlink>
        </w:p>
        <w:p w14:paraId="0AFD437A" w14:textId="0EC5771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3" w:history="1">
            <w:r w:rsidR="00FD58BF" w:rsidRPr="003004E5">
              <w:rPr>
                <w:rStyle w:val="Lienhypertexte"/>
                <w:noProof/>
              </w:rPr>
              <w:t>27.82.5 Décapage / Déjointoiement (pour évacuation) CCTB 01.04</w:t>
            </w:r>
            <w:r w:rsidR="00FD58BF">
              <w:rPr>
                <w:noProof/>
                <w:webHidden/>
              </w:rPr>
              <w:tab/>
            </w:r>
            <w:r w:rsidR="00FD58BF">
              <w:rPr>
                <w:noProof/>
                <w:webHidden/>
              </w:rPr>
              <w:fldChar w:fldCharType="begin"/>
            </w:r>
            <w:r w:rsidR="00FD58BF">
              <w:rPr>
                <w:noProof/>
                <w:webHidden/>
              </w:rPr>
              <w:instrText xml:space="preserve"> PAGEREF _Toc178839143 \h </w:instrText>
            </w:r>
            <w:r w:rsidR="00FD58BF">
              <w:rPr>
                <w:noProof/>
                <w:webHidden/>
              </w:rPr>
            </w:r>
            <w:r w:rsidR="00FD58BF">
              <w:rPr>
                <w:noProof/>
                <w:webHidden/>
              </w:rPr>
              <w:fldChar w:fldCharType="separate"/>
            </w:r>
            <w:r w:rsidR="00FD58BF">
              <w:rPr>
                <w:noProof/>
                <w:webHidden/>
              </w:rPr>
              <w:t>1211</w:t>
            </w:r>
            <w:r w:rsidR="00FD58BF">
              <w:rPr>
                <w:noProof/>
                <w:webHidden/>
              </w:rPr>
              <w:fldChar w:fldCharType="end"/>
            </w:r>
          </w:hyperlink>
        </w:p>
        <w:p w14:paraId="3112641B" w14:textId="2C1E75C3"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4" w:history="1">
            <w:r w:rsidR="00FD58BF" w:rsidRPr="003004E5">
              <w:rPr>
                <w:rStyle w:val="Lienhypertexte"/>
                <w:noProof/>
              </w:rPr>
              <w:t>27.82.6 Percements / carottages CCTB 01.04</w:t>
            </w:r>
            <w:r w:rsidR="00FD58BF">
              <w:rPr>
                <w:noProof/>
                <w:webHidden/>
              </w:rPr>
              <w:tab/>
            </w:r>
            <w:r w:rsidR="00FD58BF">
              <w:rPr>
                <w:noProof/>
                <w:webHidden/>
              </w:rPr>
              <w:fldChar w:fldCharType="begin"/>
            </w:r>
            <w:r w:rsidR="00FD58BF">
              <w:rPr>
                <w:noProof/>
                <w:webHidden/>
              </w:rPr>
              <w:instrText xml:space="preserve"> PAGEREF _Toc178839144 \h </w:instrText>
            </w:r>
            <w:r w:rsidR="00FD58BF">
              <w:rPr>
                <w:noProof/>
                <w:webHidden/>
              </w:rPr>
            </w:r>
            <w:r w:rsidR="00FD58BF">
              <w:rPr>
                <w:noProof/>
                <w:webHidden/>
              </w:rPr>
              <w:fldChar w:fldCharType="separate"/>
            </w:r>
            <w:r w:rsidR="00FD58BF">
              <w:rPr>
                <w:noProof/>
                <w:webHidden/>
              </w:rPr>
              <w:t>1211</w:t>
            </w:r>
            <w:r w:rsidR="00FD58BF">
              <w:rPr>
                <w:noProof/>
                <w:webHidden/>
              </w:rPr>
              <w:fldChar w:fldCharType="end"/>
            </w:r>
          </w:hyperlink>
        </w:p>
        <w:p w14:paraId="29972FE9" w14:textId="1D73F69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45" w:history="1">
            <w:r w:rsidR="00FD58BF" w:rsidRPr="003004E5">
              <w:rPr>
                <w:rStyle w:val="Lienhypertexte"/>
                <w:noProof/>
              </w:rPr>
              <w:t>27.83 Réparation / ragréage / rénovation CCTB 01.04</w:t>
            </w:r>
            <w:r w:rsidR="00FD58BF">
              <w:rPr>
                <w:noProof/>
                <w:webHidden/>
              </w:rPr>
              <w:tab/>
            </w:r>
            <w:r w:rsidR="00FD58BF">
              <w:rPr>
                <w:noProof/>
                <w:webHidden/>
              </w:rPr>
              <w:fldChar w:fldCharType="begin"/>
            </w:r>
            <w:r w:rsidR="00FD58BF">
              <w:rPr>
                <w:noProof/>
                <w:webHidden/>
              </w:rPr>
              <w:instrText xml:space="preserve"> PAGEREF _Toc178839145 \h </w:instrText>
            </w:r>
            <w:r w:rsidR="00FD58BF">
              <w:rPr>
                <w:noProof/>
                <w:webHidden/>
              </w:rPr>
            </w:r>
            <w:r w:rsidR="00FD58BF">
              <w:rPr>
                <w:noProof/>
                <w:webHidden/>
              </w:rPr>
              <w:fldChar w:fldCharType="separate"/>
            </w:r>
            <w:r w:rsidR="00FD58BF">
              <w:rPr>
                <w:noProof/>
                <w:webHidden/>
              </w:rPr>
              <w:t>1211</w:t>
            </w:r>
            <w:r w:rsidR="00FD58BF">
              <w:rPr>
                <w:noProof/>
                <w:webHidden/>
              </w:rPr>
              <w:fldChar w:fldCharType="end"/>
            </w:r>
          </w:hyperlink>
        </w:p>
        <w:p w14:paraId="2815B7CA" w14:textId="30917642"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6" w:history="1">
            <w:r w:rsidR="00FD58BF" w:rsidRPr="003004E5">
              <w:rPr>
                <w:rStyle w:val="Lienhypertexte"/>
                <w:noProof/>
              </w:rPr>
              <w:t>27.83.1 Ragréage de souches de cheminée CCTB 01.04</w:t>
            </w:r>
            <w:r w:rsidR="00FD58BF">
              <w:rPr>
                <w:noProof/>
                <w:webHidden/>
              </w:rPr>
              <w:tab/>
            </w:r>
            <w:r w:rsidR="00FD58BF">
              <w:rPr>
                <w:noProof/>
                <w:webHidden/>
              </w:rPr>
              <w:fldChar w:fldCharType="begin"/>
            </w:r>
            <w:r w:rsidR="00FD58BF">
              <w:rPr>
                <w:noProof/>
                <w:webHidden/>
              </w:rPr>
              <w:instrText xml:space="preserve"> PAGEREF _Toc178839146 \h </w:instrText>
            </w:r>
            <w:r w:rsidR="00FD58BF">
              <w:rPr>
                <w:noProof/>
                <w:webHidden/>
              </w:rPr>
            </w:r>
            <w:r w:rsidR="00FD58BF">
              <w:rPr>
                <w:noProof/>
                <w:webHidden/>
              </w:rPr>
              <w:fldChar w:fldCharType="separate"/>
            </w:r>
            <w:r w:rsidR="00FD58BF">
              <w:rPr>
                <w:noProof/>
                <w:webHidden/>
              </w:rPr>
              <w:t>1211</w:t>
            </w:r>
            <w:r w:rsidR="00FD58BF">
              <w:rPr>
                <w:noProof/>
                <w:webHidden/>
              </w:rPr>
              <w:fldChar w:fldCharType="end"/>
            </w:r>
          </w:hyperlink>
        </w:p>
        <w:p w14:paraId="6438986C" w14:textId="1B6D7DD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7" w:history="1">
            <w:r w:rsidR="00FD58BF" w:rsidRPr="003004E5">
              <w:rPr>
                <w:rStyle w:val="Lienhypertexte"/>
                <w:noProof/>
              </w:rPr>
              <w:t>27.83.1a Ragréage de souches de cheminée CCTB 01.04</w:t>
            </w:r>
            <w:r w:rsidR="00FD58BF">
              <w:rPr>
                <w:noProof/>
                <w:webHidden/>
              </w:rPr>
              <w:tab/>
            </w:r>
            <w:r w:rsidR="00FD58BF">
              <w:rPr>
                <w:noProof/>
                <w:webHidden/>
              </w:rPr>
              <w:fldChar w:fldCharType="begin"/>
            </w:r>
            <w:r w:rsidR="00FD58BF">
              <w:rPr>
                <w:noProof/>
                <w:webHidden/>
              </w:rPr>
              <w:instrText xml:space="preserve"> PAGEREF _Toc178839147 \h </w:instrText>
            </w:r>
            <w:r w:rsidR="00FD58BF">
              <w:rPr>
                <w:noProof/>
                <w:webHidden/>
              </w:rPr>
            </w:r>
            <w:r w:rsidR="00FD58BF">
              <w:rPr>
                <w:noProof/>
                <w:webHidden/>
              </w:rPr>
              <w:fldChar w:fldCharType="separate"/>
            </w:r>
            <w:r w:rsidR="00FD58BF">
              <w:rPr>
                <w:noProof/>
                <w:webHidden/>
              </w:rPr>
              <w:t>1211</w:t>
            </w:r>
            <w:r w:rsidR="00FD58BF">
              <w:rPr>
                <w:noProof/>
                <w:webHidden/>
              </w:rPr>
              <w:fldChar w:fldCharType="end"/>
            </w:r>
          </w:hyperlink>
        </w:p>
        <w:p w14:paraId="6A3C517B" w14:textId="686D71E6"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48" w:history="1">
            <w:r w:rsidR="00FD58BF" w:rsidRPr="003004E5">
              <w:rPr>
                <w:rStyle w:val="Lienhypertexte"/>
                <w:noProof/>
              </w:rPr>
              <w:t>27.84 Adaptation CCTB 01.12</w:t>
            </w:r>
            <w:r w:rsidR="00FD58BF">
              <w:rPr>
                <w:noProof/>
                <w:webHidden/>
              </w:rPr>
              <w:tab/>
            </w:r>
            <w:r w:rsidR="00FD58BF">
              <w:rPr>
                <w:noProof/>
                <w:webHidden/>
              </w:rPr>
              <w:fldChar w:fldCharType="begin"/>
            </w:r>
            <w:r w:rsidR="00FD58BF">
              <w:rPr>
                <w:noProof/>
                <w:webHidden/>
              </w:rPr>
              <w:instrText xml:space="preserve"> PAGEREF _Toc178839148 \h </w:instrText>
            </w:r>
            <w:r w:rsidR="00FD58BF">
              <w:rPr>
                <w:noProof/>
                <w:webHidden/>
              </w:rPr>
            </w:r>
            <w:r w:rsidR="00FD58BF">
              <w:rPr>
                <w:noProof/>
                <w:webHidden/>
              </w:rPr>
              <w:fldChar w:fldCharType="separate"/>
            </w:r>
            <w:r w:rsidR="00FD58BF">
              <w:rPr>
                <w:noProof/>
                <w:webHidden/>
              </w:rPr>
              <w:t>1211</w:t>
            </w:r>
            <w:r w:rsidR="00FD58BF">
              <w:rPr>
                <w:noProof/>
                <w:webHidden/>
              </w:rPr>
              <w:fldChar w:fldCharType="end"/>
            </w:r>
          </w:hyperlink>
        </w:p>
        <w:p w14:paraId="270ECB41" w14:textId="735DDDF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9" w:history="1">
            <w:r w:rsidR="00FD58BF" w:rsidRPr="003004E5">
              <w:rPr>
                <w:rStyle w:val="Lienhypertexte"/>
                <w:noProof/>
              </w:rPr>
              <w:t>27.84.1 Tubage de cheminée existante CCTB 01.12</w:t>
            </w:r>
            <w:r w:rsidR="00FD58BF">
              <w:rPr>
                <w:noProof/>
                <w:webHidden/>
              </w:rPr>
              <w:tab/>
            </w:r>
            <w:r w:rsidR="00FD58BF">
              <w:rPr>
                <w:noProof/>
                <w:webHidden/>
              </w:rPr>
              <w:fldChar w:fldCharType="begin"/>
            </w:r>
            <w:r w:rsidR="00FD58BF">
              <w:rPr>
                <w:noProof/>
                <w:webHidden/>
              </w:rPr>
              <w:instrText xml:space="preserve"> PAGEREF _Toc178839149 \h </w:instrText>
            </w:r>
            <w:r w:rsidR="00FD58BF">
              <w:rPr>
                <w:noProof/>
                <w:webHidden/>
              </w:rPr>
            </w:r>
            <w:r w:rsidR="00FD58BF">
              <w:rPr>
                <w:noProof/>
                <w:webHidden/>
              </w:rPr>
              <w:fldChar w:fldCharType="separate"/>
            </w:r>
            <w:r w:rsidR="00FD58BF">
              <w:rPr>
                <w:noProof/>
                <w:webHidden/>
              </w:rPr>
              <w:t>1212</w:t>
            </w:r>
            <w:r w:rsidR="00FD58BF">
              <w:rPr>
                <w:noProof/>
                <w:webHidden/>
              </w:rPr>
              <w:fldChar w:fldCharType="end"/>
            </w:r>
          </w:hyperlink>
        </w:p>
        <w:p w14:paraId="7D9841D8" w14:textId="3AE760C6"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0" w:history="1">
            <w:r w:rsidR="00FD58BF" w:rsidRPr="003004E5">
              <w:rPr>
                <w:rStyle w:val="Lienhypertexte"/>
                <w:noProof/>
              </w:rPr>
              <w:t>27.84.1a Tubage de cheminée existante CCTB 01.12</w:t>
            </w:r>
            <w:r w:rsidR="00FD58BF">
              <w:rPr>
                <w:noProof/>
                <w:webHidden/>
              </w:rPr>
              <w:tab/>
            </w:r>
            <w:r w:rsidR="00FD58BF">
              <w:rPr>
                <w:noProof/>
                <w:webHidden/>
              </w:rPr>
              <w:fldChar w:fldCharType="begin"/>
            </w:r>
            <w:r w:rsidR="00FD58BF">
              <w:rPr>
                <w:noProof/>
                <w:webHidden/>
              </w:rPr>
              <w:instrText xml:space="preserve"> PAGEREF _Toc178839150 \h </w:instrText>
            </w:r>
            <w:r w:rsidR="00FD58BF">
              <w:rPr>
                <w:noProof/>
                <w:webHidden/>
              </w:rPr>
            </w:r>
            <w:r w:rsidR="00FD58BF">
              <w:rPr>
                <w:noProof/>
                <w:webHidden/>
              </w:rPr>
              <w:fldChar w:fldCharType="separate"/>
            </w:r>
            <w:r w:rsidR="00FD58BF">
              <w:rPr>
                <w:noProof/>
                <w:webHidden/>
              </w:rPr>
              <w:t>1213</w:t>
            </w:r>
            <w:r w:rsidR="00FD58BF">
              <w:rPr>
                <w:noProof/>
                <w:webHidden/>
              </w:rPr>
              <w:fldChar w:fldCharType="end"/>
            </w:r>
          </w:hyperlink>
        </w:p>
        <w:p w14:paraId="5522F560" w14:textId="6CCCDD6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1" w:history="1">
            <w:r w:rsidR="00FD58BF" w:rsidRPr="003004E5">
              <w:rPr>
                <w:rStyle w:val="Lienhypertexte"/>
                <w:noProof/>
              </w:rPr>
              <w:t>27.84.2 Obturation / condamnation de cheminée existantes CCTB 01.04</w:t>
            </w:r>
            <w:r w:rsidR="00FD58BF">
              <w:rPr>
                <w:noProof/>
                <w:webHidden/>
              </w:rPr>
              <w:tab/>
            </w:r>
            <w:r w:rsidR="00FD58BF">
              <w:rPr>
                <w:noProof/>
                <w:webHidden/>
              </w:rPr>
              <w:fldChar w:fldCharType="begin"/>
            </w:r>
            <w:r w:rsidR="00FD58BF">
              <w:rPr>
                <w:noProof/>
                <w:webHidden/>
              </w:rPr>
              <w:instrText xml:space="preserve"> PAGEREF _Toc178839151 \h </w:instrText>
            </w:r>
            <w:r w:rsidR="00FD58BF">
              <w:rPr>
                <w:noProof/>
                <w:webHidden/>
              </w:rPr>
            </w:r>
            <w:r w:rsidR="00FD58BF">
              <w:rPr>
                <w:noProof/>
                <w:webHidden/>
              </w:rPr>
              <w:fldChar w:fldCharType="separate"/>
            </w:r>
            <w:r w:rsidR="00FD58BF">
              <w:rPr>
                <w:noProof/>
                <w:webHidden/>
              </w:rPr>
              <w:t>1215</w:t>
            </w:r>
            <w:r w:rsidR="00FD58BF">
              <w:rPr>
                <w:noProof/>
                <w:webHidden/>
              </w:rPr>
              <w:fldChar w:fldCharType="end"/>
            </w:r>
          </w:hyperlink>
        </w:p>
        <w:p w14:paraId="392C5218" w14:textId="7EAD46D7"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2" w:history="1">
            <w:r w:rsidR="00FD58BF" w:rsidRPr="003004E5">
              <w:rPr>
                <w:rStyle w:val="Lienhypertexte"/>
                <w:noProof/>
              </w:rPr>
              <w:t>27.84.2a Obturation / condamnation de cheminée existantes CCTB 01.04</w:t>
            </w:r>
            <w:r w:rsidR="00FD58BF">
              <w:rPr>
                <w:noProof/>
                <w:webHidden/>
              </w:rPr>
              <w:tab/>
            </w:r>
            <w:r w:rsidR="00FD58BF">
              <w:rPr>
                <w:noProof/>
                <w:webHidden/>
              </w:rPr>
              <w:fldChar w:fldCharType="begin"/>
            </w:r>
            <w:r w:rsidR="00FD58BF">
              <w:rPr>
                <w:noProof/>
                <w:webHidden/>
              </w:rPr>
              <w:instrText xml:space="preserve"> PAGEREF _Toc178839152 \h </w:instrText>
            </w:r>
            <w:r w:rsidR="00FD58BF">
              <w:rPr>
                <w:noProof/>
                <w:webHidden/>
              </w:rPr>
            </w:r>
            <w:r w:rsidR="00FD58BF">
              <w:rPr>
                <w:noProof/>
                <w:webHidden/>
              </w:rPr>
              <w:fldChar w:fldCharType="separate"/>
            </w:r>
            <w:r w:rsidR="00FD58BF">
              <w:rPr>
                <w:noProof/>
                <w:webHidden/>
              </w:rPr>
              <w:t>1215</w:t>
            </w:r>
            <w:r w:rsidR="00FD58BF">
              <w:rPr>
                <w:noProof/>
                <w:webHidden/>
              </w:rPr>
              <w:fldChar w:fldCharType="end"/>
            </w:r>
          </w:hyperlink>
        </w:p>
        <w:p w14:paraId="745643F9" w14:textId="6D9671FE"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53" w:history="1">
            <w:r w:rsidR="00FD58BF" w:rsidRPr="003004E5">
              <w:rPr>
                <w:rStyle w:val="Lienhypertexte"/>
                <w:noProof/>
              </w:rPr>
              <w:t>27.85 Nettoyage et préparation de surface CCTB 01.04</w:t>
            </w:r>
            <w:r w:rsidR="00FD58BF">
              <w:rPr>
                <w:noProof/>
                <w:webHidden/>
              </w:rPr>
              <w:tab/>
            </w:r>
            <w:r w:rsidR="00FD58BF">
              <w:rPr>
                <w:noProof/>
                <w:webHidden/>
              </w:rPr>
              <w:fldChar w:fldCharType="begin"/>
            </w:r>
            <w:r w:rsidR="00FD58BF">
              <w:rPr>
                <w:noProof/>
                <w:webHidden/>
              </w:rPr>
              <w:instrText xml:space="preserve"> PAGEREF _Toc178839153 \h </w:instrText>
            </w:r>
            <w:r w:rsidR="00FD58BF">
              <w:rPr>
                <w:noProof/>
                <w:webHidden/>
              </w:rPr>
            </w:r>
            <w:r w:rsidR="00FD58BF">
              <w:rPr>
                <w:noProof/>
                <w:webHidden/>
              </w:rPr>
              <w:fldChar w:fldCharType="separate"/>
            </w:r>
            <w:r w:rsidR="00FD58BF">
              <w:rPr>
                <w:noProof/>
                <w:webHidden/>
              </w:rPr>
              <w:t>1215</w:t>
            </w:r>
            <w:r w:rsidR="00FD58BF">
              <w:rPr>
                <w:noProof/>
                <w:webHidden/>
              </w:rPr>
              <w:fldChar w:fldCharType="end"/>
            </w:r>
          </w:hyperlink>
        </w:p>
        <w:p w14:paraId="2C7A9ED2" w14:textId="3F099598"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54" w:history="1">
            <w:r w:rsidR="00FD58BF" w:rsidRPr="003004E5">
              <w:rPr>
                <w:rStyle w:val="Lienhypertexte"/>
                <w:noProof/>
              </w:rPr>
              <w:t>27.86 Traitement et protection CCTB 01.04</w:t>
            </w:r>
            <w:r w:rsidR="00FD58BF">
              <w:rPr>
                <w:noProof/>
                <w:webHidden/>
              </w:rPr>
              <w:tab/>
            </w:r>
            <w:r w:rsidR="00FD58BF">
              <w:rPr>
                <w:noProof/>
                <w:webHidden/>
              </w:rPr>
              <w:fldChar w:fldCharType="begin"/>
            </w:r>
            <w:r w:rsidR="00FD58BF">
              <w:rPr>
                <w:noProof/>
                <w:webHidden/>
              </w:rPr>
              <w:instrText xml:space="preserve"> PAGEREF _Toc178839154 \h </w:instrText>
            </w:r>
            <w:r w:rsidR="00FD58BF">
              <w:rPr>
                <w:noProof/>
                <w:webHidden/>
              </w:rPr>
            </w:r>
            <w:r w:rsidR="00FD58BF">
              <w:rPr>
                <w:noProof/>
                <w:webHidden/>
              </w:rPr>
              <w:fldChar w:fldCharType="separate"/>
            </w:r>
            <w:r w:rsidR="00FD58BF">
              <w:rPr>
                <w:noProof/>
                <w:webHidden/>
              </w:rPr>
              <w:t>1215</w:t>
            </w:r>
            <w:r w:rsidR="00FD58BF">
              <w:rPr>
                <w:noProof/>
                <w:webHidden/>
              </w:rPr>
              <w:fldChar w:fldCharType="end"/>
            </w:r>
          </w:hyperlink>
        </w:p>
        <w:p w14:paraId="772B9F66" w14:textId="3B9676DC" w:rsidR="00FD58BF" w:rsidRDefault="004016E8">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9155" w:history="1">
            <w:r w:rsidR="00FD58BF" w:rsidRPr="003004E5">
              <w:rPr>
                <w:rStyle w:val="Lienhypertexte"/>
                <w:noProof/>
              </w:rPr>
              <w:t>28 Revêtements de façade en panneaux CCTB 01.11</w:t>
            </w:r>
            <w:r w:rsidR="00FD58BF">
              <w:rPr>
                <w:noProof/>
                <w:webHidden/>
              </w:rPr>
              <w:tab/>
            </w:r>
            <w:r w:rsidR="00FD58BF">
              <w:rPr>
                <w:noProof/>
                <w:webHidden/>
              </w:rPr>
              <w:fldChar w:fldCharType="begin"/>
            </w:r>
            <w:r w:rsidR="00FD58BF">
              <w:rPr>
                <w:noProof/>
                <w:webHidden/>
              </w:rPr>
              <w:instrText xml:space="preserve"> PAGEREF _Toc178839155 \h </w:instrText>
            </w:r>
            <w:r w:rsidR="00FD58BF">
              <w:rPr>
                <w:noProof/>
                <w:webHidden/>
              </w:rPr>
            </w:r>
            <w:r w:rsidR="00FD58BF">
              <w:rPr>
                <w:noProof/>
                <w:webHidden/>
              </w:rPr>
              <w:fldChar w:fldCharType="separate"/>
            </w:r>
            <w:r w:rsidR="00FD58BF">
              <w:rPr>
                <w:noProof/>
                <w:webHidden/>
              </w:rPr>
              <w:t>1215</w:t>
            </w:r>
            <w:r w:rsidR="00FD58BF">
              <w:rPr>
                <w:noProof/>
                <w:webHidden/>
              </w:rPr>
              <w:fldChar w:fldCharType="end"/>
            </w:r>
          </w:hyperlink>
        </w:p>
        <w:p w14:paraId="5F8F0656" w14:textId="1F5EE5C9"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56" w:history="1">
            <w:r w:rsidR="00FD58BF" w:rsidRPr="003004E5">
              <w:rPr>
                <w:rStyle w:val="Lienhypertexte"/>
                <w:noProof/>
              </w:rPr>
              <w:t>28.1 Revêtements de façade en panneaux de pierre CCTB 01.04</w:t>
            </w:r>
            <w:r w:rsidR="00FD58BF">
              <w:rPr>
                <w:noProof/>
                <w:webHidden/>
              </w:rPr>
              <w:tab/>
            </w:r>
            <w:r w:rsidR="00FD58BF">
              <w:rPr>
                <w:noProof/>
                <w:webHidden/>
              </w:rPr>
              <w:fldChar w:fldCharType="begin"/>
            </w:r>
            <w:r w:rsidR="00FD58BF">
              <w:rPr>
                <w:noProof/>
                <w:webHidden/>
              </w:rPr>
              <w:instrText xml:space="preserve"> PAGEREF _Toc178839156 \h </w:instrText>
            </w:r>
            <w:r w:rsidR="00FD58BF">
              <w:rPr>
                <w:noProof/>
                <w:webHidden/>
              </w:rPr>
            </w:r>
            <w:r w:rsidR="00FD58BF">
              <w:rPr>
                <w:noProof/>
                <w:webHidden/>
              </w:rPr>
              <w:fldChar w:fldCharType="separate"/>
            </w:r>
            <w:r w:rsidR="00FD58BF">
              <w:rPr>
                <w:noProof/>
                <w:webHidden/>
              </w:rPr>
              <w:t>1216</w:t>
            </w:r>
            <w:r w:rsidR="00FD58BF">
              <w:rPr>
                <w:noProof/>
                <w:webHidden/>
              </w:rPr>
              <w:fldChar w:fldCharType="end"/>
            </w:r>
          </w:hyperlink>
        </w:p>
        <w:p w14:paraId="0CF2FBDE" w14:textId="63A8329C"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57" w:history="1">
            <w:r w:rsidR="00FD58BF" w:rsidRPr="003004E5">
              <w:rPr>
                <w:rStyle w:val="Lienhypertexte"/>
                <w:noProof/>
              </w:rPr>
              <w:t>28.11 Revêtements de façade en panneaux de pierre CCTB 01.04</w:t>
            </w:r>
            <w:r w:rsidR="00FD58BF">
              <w:rPr>
                <w:noProof/>
                <w:webHidden/>
              </w:rPr>
              <w:tab/>
            </w:r>
            <w:r w:rsidR="00FD58BF">
              <w:rPr>
                <w:noProof/>
                <w:webHidden/>
              </w:rPr>
              <w:fldChar w:fldCharType="begin"/>
            </w:r>
            <w:r w:rsidR="00FD58BF">
              <w:rPr>
                <w:noProof/>
                <w:webHidden/>
              </w:rPr>
              <w:instrText xml:space="preserve"> PAGEREF _Toc178839157 \h </w:instrText>
            </w:r>
            <w:r w:rsidR="00FD58BF">
              <w:rPr>
                <w:noProof/>
                <w:webHidden/>
              </w:rPr>
            </w:r>
            <w:r w:rsidR="00FD58BF">
              <w:rPr>
                <w:noProof/>
                <w:webHidden/>
              </w:rPr>
              <w:fldChar w:fldCharType="separate"/>
            </w:r>
            <w:r w:rsidR="00FD58BF">
              <w:rPr>
                <w:noProof/>
                <w:webHidden/>
              </w:rPr>
              <w:t>1217</w:t>
            </w:r>
            <w:r w:rsidR="00FD58BF">
              <w:rPr>
                <w:noProof/>
                <w:webHidden/>
              </w:rPr>
              <w:fldChar w:fldCharType="end"/>
            </w:r>
          </w:hyperlink>
        </w:p>
        <w:p w14:paraId="60B53955" w14:textId="4386FDC6"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8" w:history="1">
            <w:r w:rsidR="00FD58BF" w:rsidRPr="003004E5">
              <w:rPr>
                <w:rStyle w:val="Lienhypertexte"/>
                <w:noProof/>
              </w:rPr>
              <w:t>28.11.1 Revêtements de façade en panneaux de pierre CCTB 01.12</w:t>
            </w:r>
            <w:r w:rsidR="00FD58BF">
              <w:rPr>
                <w:noProof/>
                <w:webHidden/>
              </w:rPr>
              <w:tab/>
            </w:r>
            <w:r w:rsidR="00FD58BF">
              <w:rPr>
                <w:noProof/>
                <w:webHidden/>
              </w:rPr>
              <w:fldChar w:fldCharType="begin"/>
            </w:r>
            <w:r w:rsidR="00FD58BF">
              <w:rPr>
                <w:noProof/>
                <w:webHidden/>
              </w:rPr>
              <w:instrText xml:space="preserve"> PAGEREF _Toc178839158 \h </w:instrText>
            </w:r>
            <w:r w:rsidR="00FD58BF">
              <w:rPr>
                <w:noProof/>
                <w:webHidden/>
              </w:rPr>
            </w:r>
            <w:r w:rsidR="00FD58BF">
              <w:rPr>
                <w:noProof/>
                <w:webHidden/>
              </w:rPr>
              <w:fldChar w:fldCharType="separate"/>
            </w:r>
            <w:r w:rsidR="00FD58BF">
              <w:rPr>
                <w:noProof/>
                <w:webHidden/>
              </w:rPr>
              <w:t>1217</w:t>
            </w:r>
            <w:r w:rsidR="00FD58BF">
              <w:rPr>
                <w:noProof/>
                <w:webHidden/>
              </w:rPr>
              <w:fldChar w:fldCharType="end"/>
            </w:r>
          </w:hyperlink>
        </w:p>
        <w:p w14:paraId="236548DF" w14:textId="15F98CA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9" w:history="1">
            <w:r w:rsidR="00FD58BF" w:rsidRPr="003004E5">
              <w:rPr>
                <w:rStyle w:val="Lienhypertexte"/>
                <w:noProof/>
              </w:rPr>
              <w:t>28.11.1a Revêtements de façade en panneaux de pierre naturelle CCTB 01.11</w:t>
            </w:r>
            <w:r w:rsidR="00FD58BF">
              <w:rPr>
                <w:noProof/>
                <w:webHidden/>
              </w:rPr>
              <w:tab/>
            </w:r>
            <w:r w:rsidR="00FD58BF">
              <w:rPr>
                <w:noProof/>
                <w:webHidden/>
              </w:rPr>
              <w:fldChar w:fldCharType="begin"/>
            </w:r>
            <w:r w:rsidR="00FD58BF">
              <w:rPr>
                <w:noProof/>
                <w:webHidden/>
              </w:rPr>
              <w:instrText xml:space="preserve"> PAGEREF _Toc178839159 \h </w:instrText>
            </w:r>
            <w:r w:rsidR="00FD58BF">
              <w:rPr>
                <w:noProof/>
                <w:webHidden/>
              </w:rPr>
            </w:r>
            <w:r w:rsidR="00FD58BF">
              <w:rPr>
                <w:noProof/>
                <w:webHidden/>
              </w:rPr>
              <w:fldChar w:fldCharType="separate"/>
            </w:r>
            <w:r w:rsidR="00FD58BF">
              <w:rPr>
                <w:noProof/>
                <w:webHidden/>
              </w:rPr>
              <w:t>1219</w:t>
            </w:r>
            <w:r w:rsidR="00FD58BF">
              <w:rPr>
                <w:noProof/>
                <w:webHidden/>
              </w:rPr>
              <w:fldChar w:fldCharType="end"/>
            </w:r>
          </w:hyperlink>
        </w:p>
        <w:p w14:paraId="7FA9686D" w14:textId="1D34EA7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0" w:history="1">
            <w:r w:rsidR="00FD58BF" w:rsidRPr="003004E5">
              <w:rPr>
                <w:rStyle w:val="Lienhypertexte"/>
                <w:noProof/>
              </w:rPr>
              <w:t>28.11.1b Revêtements de façade en panneaux de pierre composée CCTB 01.04</w:t>
            </w:r>
            <w:r w:rsidR="00FD58BF">
              <w:rPr>
                <w:noProof/>
                <w:webHidden/>
              </w:rPr>
              <w:tab/>
            </w:r>
            <w:r w:rsidR="00FD58BF">
              <w:rPr>
                <w:noProof/>
                <w:webHidden/>
              </w:rPr>
              <w:fldChar w:fldCharType="begin"/>
            </w:r>
            <w:r w:rsidR="00FD58BF">
              <w:rPr>
                <w:noProof/>
                <w:webHidden/>
              </w:rPr>
              <w:instrText xml:space="preserve"> PAGEREF _Toc178839160 \h </w:instrText>
            </w:r>
            <w:r w:rsidR="00FD58BF">
              <w:rPr>
                <w:noProof/>
                <w:webHidden/>
              </w:rPr>
            </w:r>
            <w:r w:rsidR="00FD58BF">
              <w:rPr>
                <w:noProof/>
                <w:webHidden/>
              </w:rPr>
              <w:fldChar w:fldCharType="separate"/>
            </w:r>
            <w:r w:rsidR="00FD58BF">
              <w:rPr>
                <w:noProof/>
                <w:webHidden/>
              </w:rPr>
              <w:t>1221</w:t>
            </w:r>
            <w:r w:rsidR="00FD58BF">
              <w:rPr>
                <w:noProof/>
                <w:webHidden/>
              </w:rPr>
              <w:fldChar w:fldCharType="end"/>
            </w:r>
          </w:hyperlink>
        </w:p>
        <w:p w14:paraId="21182080" w14:textId="66E8C085"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61" w:history="1">
            <w:r w:rsidR="00FD58BF" w:rsidRPr="003004E5">
              <w:rPr>
                <w:rStyle w:val="Lienhypertexte"/>
                <w:noProof/>
              </w:rPr>
              <w:t>28.2 Revêtements de façade en panneaux préfabriqués en béton CCTB 01.04</w:t>
            </w:r>
            <w:r w:rsidR="00FD58BF">
              <w:rPr>
                <w:noProof/>
                <w:webHidden/>
              </w:rPr>
              <w:tab/>
            </w:r>
            <w:r w:rsidR="00FD58BF">
              <w:rPr>
                <w:noProof/>
                <w:webHidden/>
              </w:rPr>
              <w:fldChar w:fldCharType="begin"/>
            </w:r>
            <w:r w:rsidR="00FD58BF">
              <w:rPr>
                <w:noProof/>
                <w:webHidden/>
              </w:rPr>
              <w:instrText xml:space="preserve"> PAGEREF _Toc178839161 \h </w:instrText>
            </w:r>
            <w:r w:rsidR="00FD58BF">
              <w:rPr>
                <w:noProof/>
                <w:webHidden/>
              </w:rPr>
            </w:r>
            <w:r w:rsidR="00FD58BF">
              <w:rPr>
                <w:noProof/>
                <w:webHidden/>
              </w:rPr>
              <w:fldChar w:fldCharType="separate"/>
            </w:r>
            <w:r w:rsidR="00FD58BF">
              <w:rPr>
                <w:noProof/>
                <w:webHidden/>
              </w:rPr>
              <w:t>1221</w:t>
            </w:r>
            <w:r w:rsidR="00FD58BF">
              <w:rPr>
                <w:noProof/>
                <w:webHidden/>
              </w:rPr>
              <w:fldChar w:fldCharType="end"/>
            </w:r>
          </w:hyperlink>
        </w:p>
        <w:p w14:paraId="35A38E91" w14:textId="64FD9381"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62" w:history="1">
            <w:r w:rsidR="00FD58BF" w:rsidRPr="003004E5">
              <w:rPr>
                <w:rStyle w:val="Lienhypertexte"/>
                <w:noProof/>
              </w:rPr>
              <w:t>28.21 Revêtements de façade en panneaux préfabriqués en béton CCTB 01.04</w:t>
            </w:r>
            <w:r w:rsidR="00FD58BF">
              <w:rPr>
                <w:noProof/>
                <w:webHidden/>
              </w:rPr>
              <w:tab/>
            </w:r>
            <w:r w:rsidR="00FD58BF">
              <w:rPr>
                <w:noProof/>
                <w:webHidden/>
              </w:rPr>
              <w:fldChar w:fldCharType="begin"/>
            </w:r>
            <w:r w:rsidR="00FD58BF">
              <w:rPr>
                <w:noProof/>
                <w:webHidden/>
              </w:rPr>
              <w:instrText xml:space="preserve"> PAGEREF _Toc178839162 \h </w:instrText>
            </w:r>
            <w:r w:rsidR="00FD58BF">
              <w:rPr>
                <w:noProof/>
                <w:webHidden/>
              </w:rPr>
            </w:r>
            <w:r w:rsidR="00FD58BF">
              <w:rPr>
                <w:noProof/>
                <w:webHidden/>
              </w:rPr>
              <w:fldChar w:fldCharType="separate"/>
            </w:r>
            <w:r w:rsidR="00FD58BF">
              <w:rPr>
                <w:noProof/>
                <w:webHidden/>
              </w:rPr>
              <w:t>1221</w:t>
            </w:r>
            <w:r w:rsidR="00FD58BF">
              <w:rPr>
                <w:noProof/>
                <w:webHidden/>
              </w:rPr>
              <w:fldChar w:fldCharType="end"/>
            </w:r>
          </w:hyperlink>
        </w:p>
        <w:p w14:paraId="5EA10FC4" w14:textId="65830A55"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63" w:history="1">
            <w:r w:rsidR="00FD58BF" w:rsidRPr="003004E5">
              <w:rPr>
                <w:rStyle w:val="Lienhypertexte"/>
                <w:noProof/>
              </w:rPr>
              <w:t>28.21.1 Revêtements de façade en panneaux préfabriqués en béton CCTB 01.11</w:t>
            </w:r>
            <w:r w:rsidR="00FD58BF">
              <w:rPr>
                <w:noProof/>
                <w:webHidden/>
              </w:rPr>
              <w:tab/>
            </w:r>
            <w:r w:rsidR="00FD58BF">
              <w:rPr>
                <w:noProof/>
                <w:webHidden/>
              </w:rPr>
              <w:fldChar w:fldCharType="begin"/>
            </w:r>
            <w:r w:rsidR="00FD58BF">
              <w:rPr>
                <w:noProof/>
                <w:webHidden/>
              </w:rPr>
              <w:instrText xml:space="preserve"> PAGEREF _Toc178839163 \h </w:instrText>
            </w:r>
            <w:r w:rsidR="00FD58BF">
              <w:rPr>
                <w:noProof/>
                <w:webHidden/>
              </w:rPr>
            </w:r>
            <w:r w:rsidR="00FD58BF">
              <w:rPr>
                <w:noProof/>
                <w:webHidden/>
              </w:rPr>
              <w:fldChar w:fldCharType="separate"/>
            </w:r>
            <w:r w:rsidR="00FD58BF">
              <w:rPr>
                <w:noProof/>
                <w:webHidden/>
              </w:rPr>
              <w:t>1221</w:t>
            </w:r>
            <w:r w:rsidR="00FD58BF">
              <w:rPr>
                <w:noProof/>
                <w:webHidden/>
              </w:rPr>
              <w:fldChar w:fldCharType="end"/>
            </w:r>
          </w:hyperlink>
        </w:p>
        <w:p w14:paraId="63E6A9CB" w14:textId="4C9D6D43"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4" w:history="1">
            <w:r w:rsidR="00FD58BF" w:rsidRPr="003004E5">
              <w:rPr>
                <w:rStyle w:val="Lienhypertexte"/>
                <w:noProof/>
              </w:rPr>
              <w:t>28.21.1a Revêtements de façade en panneaux préfabriqués en béton CCTB 01.11</w:t>
            </w:r>
            <w:r w:rsidR="00FD58BF">
              <w:rPr>
                <w:noProof/>
                <w:webHidden/>
              </w:rPr>
              <w:tab/>
            </w:r>
            <w:r w:rsidR="00FD58BF">
              <w:rPr>
                <w:noProof/>
                <w:webHidden/>
              </w:rPr>
              <w:fldChar w:fldCharType="begin"/>
            </w:r>
            <w:r w:rsidR="00FD58BF">
              <w:rPr>
                <w:noProof/>
                <w:webHidden/>
              </w:rPr>
              <w:instrText xml:space="preserve"> PAGEREF _Toc178839164 \h </w:instrText>
            </w:r>
            <w:r w:rsidR="00FD58BF">
              <w:rPr>
                <w:noProof/>
                <w:webHidden/>
              </w:rPr>
            </w:r>
            <w:r w:rsidR="00FD58BF">
              <w:rPr>
                <w:noProof/>
                <w:webHidden/>
              </w:rPr>
              <w:fldChar w:fldCharType="separate"/>
            </w:r>
            <w:r w:rsidR="00FD58BF">
              <w:rPr>
                <w:noProof/>
                <w:webHidden/>
              </w:rPr>
              <w:t>1224</w:t>
            </w:r>
            <w:r w:rsidR="00FD58BF">
              <w:rPr>
                <w:noProof/>
                <w:webHidden/>
              </w:rPr>
              <w:fldChar w:fldCharType="end"/>
            </w:r>
          </w:hyperlink>
        </w:p>
        <w:p w14:paraId="230CB78D" w14:textId="4F89D679"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5" w:history="1">
            <w:r w:rsidR="00FD58BF" w:rsidRPr="003004E5">
              <w:rPr>
                <w:rStyle w:val="Lienhypertexte"/>
                <w:noProof/>
              </w:rPr>
              <w:t>28.21.1b Revêtements de façade en panneaux préfabriqués en béton décoratif / architectonique CCTB 01.11</w:t>
            </w:r>
            <w:r w:rsidR="00FD58BF">
              <w:rPr>
                <w:noProof/>
                <w:webHidden/>
              </w:rPr>
              <w:tab/>
            </w:r>
            <w:r w:rsidR="00FD58BF">
              <w:rPr>
                <w:noProof/>
                <w:webHidden/>
              </w:rPr>
              <w:fldChar w:fldCharType="begin"/>
            </w:r>
            <w:r w:rsidR="00FD58BF">
              <w:rPr>
                <w:noProof/>
                <w:webHidden/>
              </w:rPr>
              <w:instrText xml:space="preserve"> PAGEREF _Toc178839165 \h </w:instrText>
            </w:r>
            <w:r w:rsidR="00FD58BF">
              <w:rPr>
                <w:noProof/>
                <w:webHidden/>
              </w:rPr>
            </w:r>
            <w:r w:rsidR="00FD58BF">
              <w:rPr>
                <w:noProof/>
                <w:webHidden/>
              </w:rPr>
              <w:fldChar w:fldCharType="separate"/>
            </w:r>
            <w:r w:rsidR="00FD58BF">
              <w:rPr>
                <w:noProof/>
                <w:webHidden/>
              </w:rPr>
              <w:t>1225</w:t>
            </w:r>
            <w:r w:rsidR="00FD58BF">
              <w:rPr>
                <w:noProof/>
                <w:webHidden/>
              </w:rPr>
              <w:fldChar w:fldCharType="end"/>
            </w:r>
          </w:hyperlink>
        </w:p>
        <w:p w14:paraId="39EA57CB" w14:textId="72F1E993"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66" w:history="1">
            <w:r w:rsidR="00FD58BF" w:rsidRPr="003004E5">
              <w:rPr>
                <w:rStyle w:val="Lienhypertexte"/>
                <w:noProof/>
              </w:rPr>
              <w:t>28.3 - CCTB 01.02</w:t>
            </w:r>
            <w:r w:rsidR="00FD58BF">
              <w:rPr>
                <w:noProof/>
                <w:webHidden/>
              </w:rPr>
              <w:tab/>
            </w:r>
            <w:r w:rsidR="00FD58BF">
              <w:rPr>
                <w:noProof/>
                <w:webHidden/>
              </w:rPr>
              <w:fldChar w:fldCharType="begin"/>
            </w:r>
            <w:r w:rsidR="00FD58BF">
              <w:rPr>
                <w:noProof/>
                <w:webHidden/>
              </w:rPr>
              <w:instrText xml:space="preserve"> PAGEREF _Toc178839166 \h </w:instrText>
            </w:r>
            <w:r w:rsidR="00FD58BF">
              <w:rPr>
                <w:noProof/>
                <w:webHidden/>
              </w:rPr>
            </w:r>
            <w:r w:rsidR="00FD58BF">
              <w:rPr>
                <w:noProof/>
                <w:webHidden/>
              </w:rPr>
              <w:fldChar w:fldCharType="separate"/>
            </w:r>
            <w:r w:rsidR="00FD58BF">
              <w:rPr>
                <w:noProof/>
                <w:webHidden/>
              </w:rPr>
              <w:t>1227</w:t>
            </w:r>
            <w:r w:rsidR="00FD58BF">
              <w:rPr>
                <w:noProof/>
                <w:webHidden/>
              </w:rPr>
              <w:fldChar w:fldCharType="end"/>
            </w:r>
          </w:hyperlink>
        </w:p>
        <w:p w14:paraId="6E36C9BB" w14:textId="0C8C6AD0"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67" w:history="1">
            <w:r w:rsidR="00FD58BF" w:rsidRPr="003004E5">
              <w:rPr>
                <w:rStyle w:val="Lienhypertexte"/>
                <w:noProof/>
              </w:rPr>
              <w:t>28.4 - CCTB 01.02</w:t>
            </w:r>
            <w:r w:rsidR="00FD58BF">
              <w:rPr>
                <w:noProof/>
                <w:webHidden/>
              </w:rPr>
              <w:tab/>
            </w:r>
            <w:r w:rsidR="00FD58BF">
              <w:rPr>
                <w:noProof/>
                <w:webHidden/>
              </w:rPr>
              <w:fldChar w:fldCharType="begin"/>
            </w:r>
            <w:r w:rsidR="00FD58BF">
              <w:rPr>
                <w:noProof/>
                <w:webHidden/>
              </w:rPr>
              <w:instrText xml:space="preserve"> PAGEREF _Toc178839167 \h </w:instrText>
            </w:r>
            <w:r w:rsidR="00FD58BF">
              <w:rPr>
                <w:noProof/>
                <w:webHidden/>
              </w:rPr>
            </w:r>
            <w:r w:rsidR="00FD58BF">
              <w:rPr>
                <w:noProof/>
                <w:webHidden/>
              </w:rPr>
              <w:fldChar w:fldCharType="separate"/>
            </w:r>
            <w:r w:rsidR="00FD58BF">
              <w:rPr>
                <w:noProof/>
                <w:webHidden/>
              </w:rPr>
              <w:t>1227</w:t>
            </w:r>
            <w:r w:rsidR="00FD58BF">
              <w:rPr>
                <w:noProof/>
                <w:webHidden/>
              </w:rPr>
              <w:fldChar w:fldCharType="end"/>
            </w:r>
          </w:hyperlink>
        </w:p>
        <w:p w14:paraId="46E5F39C" w14:textId="7A9DC993"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68" w:history="1">
            <w:r w:rsidR="00FD58BF" w:rsidRPr="003004E5">
              <w:rPr>
                <w:rStyle w:val="Lienhypertexte"/>
                <w:noProof/>
              </w:rPr>
              <w:t>28.5 - CCTB 01.02</w:t>
            </w:r>
            <w:r w:rsidR="00FD58BF">
              <w:rPr>
                <w:noProof/>
                <w:webHidden/>
              </w:rPr>
              <w:tab/>
            </w:r>
            <w:r w:rsidR="00FD58BF">
              <w:rPr>
                <w:noProof/>
                <w:webHidden/>
              </w:rPr>
              <w:fldChar w:fldCharType="begin"/>
            </w:r>
            <w:r w:rsidR="00FD58BF">
              <w:rPr>
                <w:noProof/>
                <w:webHidden/>
              </w:rPr>
              <w:instrText xml:space="preserve"> PAGEREF _Toc178839168 \h </w:instrText>
            </w:r>
            <w:r w:rsidR="00FD58BF">
              <w:rPr>
                <w:noProof/>
                <w:webHidden/>
              </w:rPr>
            </w:r>
            <w:r w:rsidR="00FD58BF">
              <w:rPr>
                <w:noProof/>
                <w:webHidden/>
              </w:rPr>
              <w:fldChar w:fldCharType="separate"/>
            </w:r>
            <w:r w:rsidR="00FD58BF">
              <w:rPr>
                <w:noProof/>
                <w:webHidden/>
              </w:rPr>
              <w:t>1227</w:t>
            </w:r>
            <w:r w:rsidR="00FD58BF">
              <w:rPr>
                <w:noProof/>
                <w:webHidden/>
              </w:rPr>
              <w:fldChar w:fldCharType="end"/>
            </w:r>
          </w:hyperlink>
        </w:p>
        <w:p w14:paraId="7EBF7811" w14:textId="722A6208"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69" w:history="1">
            <w:r w:rsidR="00FD58BF" w:rsidRPr="003004E5">
              <w:rPr>
                <w:rStyle w:val="Lienhypertexte"/>
                <w:noProof/>
              </w:rPr>
              <w:t>28.6 - CCTB 01.02</w:t>
            </w:r>
            <w:r w:rsidR="00FD58BF">
              <w:rPr>
                <w:noProof/>
                <w:webHidden/>
              </w:rPr>
              <w:tab/>
            </w:r>
            <w:r w:rsidR="00FD58BF">
              <w:rPr>
                <w:noProof/>
                <w:webHidden/>
              </w:rPr>
              <w:fldChar w:fldCharType="begin"/>
            </w:r>
            <w:r w:rsidR="00FD58BF">
              <w:rPr>
                <w:noProof/>
                <w:webHidden/>
              </w:rPr>
              <w:instrText xml:space="preserve"> PAGEREF _Toc178839169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126E208F" w14:textId="7C4F31AB"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70" w:history="1">
            <w:r w:rsidR="00FD58BF" w:rsidRPr="003004E5">
              <w:rPr>
                <w:rStyle w:val="Lienhypertexte"/>
                <w:noProof/>
              </w:rPr>
              <w:t>28.7 - CCTB 01.02</w:t>
            </w:r>
            <w:r w:rsidR="00FD58BF">
              <w:rPr>
                <w:noProof/>
                <w:webHidden/>
              </w:rPr>
              <w:tab/>
            </w:r>
            <w:r w:rsidR="00FD58BF">
              <w:rPr>
                <w:noProof/>
                <w:webHidden/>
              </w:rPr>
              <w:fldChar w:fldCharType="begin"/>
            </w:r>
            <w:r w:rsidR="00FD58BF">
              <w:rPr>
                <w:noProof/>
                <w:webHidden/>
              </w:rPr>
              <w:instrText xml:space="preserve"> PAGEREF _Toc178839170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25E3D582" w14:textId="3B392A8F" w:rsidR="00FD58BF" w:rsidRDefault="004016E8">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71" w:history="1">
            <w:r w:rsidR="00FD58BF" w:rsidRPr="003004E5">
              <w:rPr>
                <w:rStyle w:val="Lienhypertexte"/>
                <w:noProof/>
              </w:rPr>
              <w:t>28.8 Revêtements de façade en panneaux - Rénovation CCTB 01.04</w:t>
            </w:r>
            <w:r w:rsidR="00FD58BF">
              <w:rPr>
                <w:noProof/>
                <w:webHidden/>
              </w:rPr>
              <w:tab/>
            </w:r>
            <w:r w:rsidR="00FD58BF">
              <w:rPr>
                <w:noProof/>
                <w:webHidden/>
              </w:rPr>
              <w:fldChar w:fldCharType="begin"/>
            </w:r>
            <w:r w:rsidR="00FD58BF">
              <w:rPr>
                <w:noProof/>
                <w:webHidden/>
              </w:rPr>
              <w:instrText xml:space="preserve"> PAGEREF _Toc178839171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3082A19D" w14:textId="47C97CBA"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72" w:history="1">
            <w:r w:rsidR="00FD58BF" w:rsidRPr="003004E5">
              <w:rPr>
                <w:rStyle w:val="Lienhypertexte"/>
                <w:noProof/>
              </w:rPr>
              <w:t>28.81 Etudes / essais préliminaires CCTB 01.02</w:t>
            </w:r>
            <w:r w:rsidR="00FD58BF">
              <w:rPr>
                <w:noProof/>
                <w:webHidden/>
              </w:rPr>
              <w:tab/>
            </w:r>
            <w:r w:rsidR="00FD58BF">
              <w:rPr>
                <w:noProof/>
                <w:webHidden/>
              </w:rPr>
              <w:fldChar w:fldCharType="begin"/>
            </w:r>
            <w:r w:rsidR="00FD58BF">
              <w:rPr>
                <w:noProof/>
                <w:webHidden/>
              </w:rPr>
              <w:instrText xml:space="preserve"> PAGEREF _Toc178839172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1E7EBF28" w14:textId="51360B84"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3" w:history="1">
            <w:r w:rsidR="00FD58BF" w:rsidRPr="003004E5">
              <w:rPr>
                <w:rStyle w:val="Lienhypertexte"/>
                <w:noProof/>
              </w:rPr>
              <w:t>28.81.1 Mesures d'humidité CCTB 01.04</w:t>
            </w:r>
            <w:r w:rsidR="00FD58BF">
              <w:rPr>
                <w:noProof/>
                <w:webHidden/>
              </w:rPr>
              <w:tab/>
            </w:r>
            <w:r w:rsidR="00FD58BF">
              <w:rPr>
                <w:noProof/>
                <w:webHidden/>
              </w:rPr>
              <w:fldChar w:fldCharType="begin"/>
            </w:r>
            <w:r w:rsidR="00FD58BF">
              <w:rPr>
                <w:noProof/>
                <w:webHidden/>
              </w:rPr>
              <w:instrText xml:space="preserve"> PAGEREF _Toc178839173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7F782111" w14:textId="060E393C"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74" w:history="1">
            <w:r w:rsidR="00FD58BF" w:rsidRPr="003004E5">
              <w:rPr>
                <w:rStyle w:val="Lienhypertexte"/>
                <w:noProof/>
              </w:rPr>
              <w:t>28.82 Dépose / démontage / percement / déconstruction-démolition CCTB 01.02</w:t>
            </w:r>
            <w:r w:rsidR="00FD58BF">
              <w:rPr>
                <w:noProof/>
                <w:webHidden/>
              </w:rPr>
              <w:tab/>
            </w:r>
            <w:r w:rsidR="00FD58BF">
              <w:rPr>
                <w:noProof/>
                <w:webHidden/>
              </w:rPr>
              <w:fldChar w:fldCharType="begin"/>
            </w:r>
            <w:r w:rsidR="00FD58BF">
              <w:rPr>
                <w:noProof/>
                <w:webHidden/>
              </w:rPr>
              <w:instrText xml:space="preserve"> PAGEREF _Toc178839174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3E998A94" w14:textId="6B63309F"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5" w:history="1">
            <w:r w:rsidR="00FD58BF" w:rsidRPr="003004E5">
              <w:rPr>
                <w:rStyle w:val="Lienhypertexte"/>
                <w:noProof/>
              </w:rPr>
              <w:t>28.82.1 Travaux de stabilisation CCTB 01.04</w:t>
            </w:r>
            <w:r w:rsidR="00FD58BF">
              <w:rPr>
                <w:noProof/>
                <w:webHidden/>
              </w:rPr>
              <w:tab/>
            </w:r>
            <w:r w:rsidR="00FD58BF">
              <w:rPr>
                <w:noProof/>
                <w:webHidden/>
              </w:rPr>
              <w:fldChar w:fldCharType="begin"/>
            </w:r>
            <w:r w:rsidR="00FD58BF">
              <w:rPr>
                <w:noProof/>
                <w:webHidden/>
              </w:rPr>
              <w:instrText xml:space="preserve"> PAGEREF _Toc178839175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23661DEB" w14:textId="1B0CE39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6" w:history="1">
            <w:r w:rsidR="00FD58BF" w:rsidRPr="003004E5">
              <w:rPr>
                <w:rStyle w:val="Lienhypertexte"/>
                <w:noProof/>
              </w:rPr>
              <w:t>28.82.2 Dépose d'éléments (pour repose ultérieure) CCTB 01.04</w:t>
            </w:r>
            <w:r w:rsidR="00FD58BF">
              <w:rPr>
                <w:noProof/>
                <w:webHidden/>
              </w:rPr>
              <w:tab/>
            </w:r>
            <w:r w:rsidR="00FD58BF">
              <w:rPr>
                <w:noProof/>
                <w:webHidden/>
              </w:rPr>
              <w:fldChar w:fldCharType="begin"/>
            </w:r>
            <w:r w:rsidR="00FD58BF">
              <w:rPr>
                <w:noProof/>
                <w:webHidden/>
              </w:rPr>
              <w:instrText xml:space="preserve"> PAGEREF _Toc178839176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1F968528" w14:textId="2F1B115A"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7" w:history="1">
            <w:r w:rsidR="00FD58BF" w:rsidRPr="003004E5">
              <w:rPr>
                <w:rStyle w:val="Lienhypertexte"/>
                <w:noProof/>
              </w:rPr>
              <w:t>28.82.3 Démontage d'éléments (pour récupération) CCTB 01.04</w:t>
            </w:r>
            <w:r w:rsidR="00FD58BF">
              <w:rPr>
                <w:noProof/>
                <w:webHidden/>
              </w:rPr>
              <w:tab/>
            </w:r>
            <w:r w:rsidR="00FD58BF">
              <w:rPr>
                <w:noProof/>
                <w:webHidden/>
              </w:rPr>
              <w:fldChar w:fldCharType="begin"/>
            </w:r>
            <w:r w:rsidR="00FD58BF">
              <w:rPr>
                <w:noProof/>
                <w:webHidden/>
              </w:rPr>
              <w:instrText xml:space="preserve"> PAGEREF _Toc178839177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6C7F1FA1" w14:textId="7ABA07A8"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8" w:history="1">
            <w:r w:rsidR="00FD58BF" w:rsidRPr="003004E5">
              <w:rPr>
                <w:rStyle w:val="Lienhypertexte"/>
                <w:noProof/>
              </w:rPr>
              <w:t>28.82.4 Décapage / enlèvement (pour évacuation) CCTB 01.04</w:t>
            </w:r>
            <w:r w:rsidR="00FD58BF">
              <w:rPr>
                <w:noProof/>
                <w:webHidden/>
              </w:rPr>
              <w:tab/>
            </w:r>
            <w:r w:rsidR="00FD58BF">
              <w:rPr>
                <w:noProof/>
                <w:webHidden/>
              </w:rPr>
              <w:fldChar w:fldCharType="begin"/>
            </w:r>
            <w:r w:rsidR="00FD58BF">
              <w:rPr>
                <w:noProof/>
                <w:webHidden/>
              </w:rPr>
              <w:instrText xml:space="preserve"> PAGEREF _Toc178839178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63ED43FE" w14:textId="3447AEF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9" w:history="1">
            <w:r w:rsidR="00FD58BF" w:rsidRPr="003004E5">
              <w:rPr>
                <w:rStyle w:val="Lienhypertexte"/>
                <w:noProof/>
              </w:rPr>
              <w:t>28.82.5 Percements / carottages CCTB 01.04</w:t>
            </w:r>
            <w:r w:rsidR="00FD58BF">
              <w:rPr>
                <w:noProof/>
                <w:webHidden/>
              </w:rPr>
              <w:tab/>
            </w:r>
            <w:r w:rsidR="00FD58BF">
              <w:rPr>
                <w:noProof/>
                <w:webHidden/>
              </w:rPr>
              <w:fldChar w:fldCharType="begin"/>
            </w:r>
            <w:r w:rsidR="00FD58BF">
              <w:rPr>
                <w:noProof/>
                <w:webHidden/>
              </w:rPr>
              <w:instrText xml:space="preserve"> PAGEREF _Toc178839179 \h </w:instrText>
            </w:r>
            <w:r w:rsidR="00FD58BF">
              <w:rPr>
                <w:noProof/>
                <w:webHidden/>
              </w:rPr>
            </w:r>
            <w:r w:rsidR="00FD58BF">
              <w:rPr>
                <w:noProof/>
                <w:webHidden/>
              </w:rPr>
              <w:fldChar w:fldCharType="separate"/>
            </w:r>
            <w:r w:rsidR="00FD58BF">
              <w:rPr>
                <w:noProof/>
                <w:webHidden/>
              </w:rPr>
              <w:t>1228</w:t>
            </w:r>
            <w:r w:rsidR="00FD58BF">
              <w:rPr>
                <w:noProof/>
                <w:webHidden/>
              </w:rPr>
              <w:fldChar w:fldCharType="end"/>
            </w:r>
          </w:hyperlink>
        </w:p>
        <w:p w14:paraId="205665AE" w14:textId="1261832D"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0" w:history="1">
            <w:r w:rsidR="00FD58BF" w:rsidRPr="003004E5">
              <w:rPr>
                <w:rStyle w:val="Lienhypertexte"/>
                <w:noProof/>
              </w:rPr>
              <w:t>28.82.6 Démolition / déconstruction (pour évacuation) CCTB 01.04</w:t>
            </w:r>
            <w:r w:rsidR="00FD58BF">
              <w:rPr>
                <w:noProof/>
                <w:webHidden/>
              </w:rPr>
              <w:tab/>
            </w:r>
            <w:r w:rsidR="00FD58BF">
              <w:rPr>
                <w:noProof/>
                <w:webHidden/>
              </w:rPr>
              <w:fldChar w:fldCharType="begin"/>
            </w:r>
            <w:r w:rsidR="00FD58BF">
              <w:rPr>
                <w:noProof/>
                <w:webHidden/>
              </w:rPr>
              <w:instrText xml:space="preserve"> PAGEREF _Toc178839180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2D878819" w14:textId="31081D77"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81" w:history="1">
            <w:r w:rsidR="00FD58BF" w:rsidRPr="003004E5">
              <w:rPr>
                <w:rStyle w:val="Lienhypertexte"/>
                <w:noProof/>
              </w:rPr>
              <w:t>28.83 Réparation / ragréage / rénovation CCTB 01.04</w:t>
            </w:r>
            <w:r w:rsidR="00FD58BF">
              <w:rPr>
                <w:noProof/>
                <w:webHidden/>
              </w:rPr>
              <w:tab/>
            </w:r>
            <w:r w:rsidR="00FD58BF">
              <w:rPr>
                <w:noProof/>
                <w:webHidden/>
              </w:rPr>
              <w:fldChar w:fldCharType="begin"/>
            </w:r>
            <w:r w:rsidR="00FD58BF">
              <w:rPr>
                <w:noProof/>
                <w:webHidden/>
              </w:rPr>
              <w:instrText xml:space="preserve"> PAGEREF _Toc178839181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437CF049" w14:textId="1AEA0B92"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82" w:history="1">
            <w:r w:rsidR="00FD58BF" w:rsidRPr="003004E5">
              <w:rPr>
                <w:rStyle w:val="Lienhypertexte"/>
                <w:noProof/>
              </w:rPr>
              <w:t>28.84 Renforcement CCTB 01.05</w:t>
            </w:r>
            <w:r w:rsidR="00FD58BF">
              <w:rPr>
                <w:noProof/>
                <w:webHidden/>
              </w:rPr>
              <w:tab/>
            </w:r>
            <w:r w:rsidR="00FD58BF">
              <w:rPr>
                <w:noProof/>
                <w:webHidden/>
              </w:rPr>
              <w:fldChar w:fldCharType="begin"/>
            </w:r>
            <w:r w:rsidR="00FD58BF">
              <w:rPr>
                <w:noProof/>
                <w:webHidden/>
              </w:rPr>
              <w:instrText xml:space="preserve"> PAGEREF _Toc178839182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2B1B0C1E" w14:textId="0BF46749"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83" w:history="1">
            <w:r w:rsidR="00FD58BF" w:rsidRPr="003004E5">
              <w:rPr>
                <w:rStyle w:val="Lienhypertexte"/>
                <w:noProof/>
              </w:rPr>
              <w:t>28.85 Adaptation CCTB 01.02</w:t>
            </w:r>
            <w:r w:rsidR="00FD58BF">
              <w:rPr>
                <w:noProof/>
                <w:webHidden/>
              </w:rPr>
              <w:tab/>
            </w:r>
            <w:r w:rsidR="00FD58BF">
              <w:rPr>
                <w:noProof/>
                <w:webHidden/>
              </w:rPr>
              <w:fldChar w:fldCharType="begin"/>
            </w:r>
            <w:r w:rsidR="00FD58BF">
              <w:rPr>
                <w:noProof/>
                <w:webHidden/>
              </w:rPr>
              <w:instrText xml:space="preserve"> PAGEREF _Toc178839183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47ACAE71" w14:textId="76B85BD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84" w:history="1">
            <w:r w:rsidR="00FD58BF" w:rsidRPr="003004E5">
              <w:rPr>
                <w:rStyle w:val="Lienhypertexte"/>
                <w:noProof/>
              </w:rPr>
              <w:t>28.86 Repose / remplacement (à l'identique) CCTB 01.02</w:t>
            </w:r>
            <w:r w:rsidR="00FD58BF">
              <w:rPr>
                <w:noProof/>
                <w:webHidden/>
              </w:rPr>
              <w:tab/>
            </w:r>
            <w:r w:rsidR="00FD58BF">
              <w:rPr>
                <w:noProof/>
                <w:webHidden/>
              </w:rPr>
              <w:fldChar w:fldCharType="begin"/>
            </w:r>
            <w:r w:rsidR="00FD58BF">
              <w:rPr>
                <w:noProof/>
                <w:webHidden/>
              </w:rPr>
              <w:instrText xml:space="preserve"> PAGEREF _Toc178839184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46AD1332" w14:textId="0A81D4A9"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5" w:history="1">
            <w:r w:rsidR="00FD58BF" w:rsidRPr="003004E5">
              <w:rPr>
                <w:rStyle w:val="Lienhypertexte"/>
                <w:noProof/>
              </w:rPr>
              <w:t>28.86.1 Repose d'éléments récupérés CCTB 01.02</w:t>
            </w:r>
            <w:r w:rsidR="00FD58BF">
              <w:rPr>
                <w:noProof/>
                <w:webHidden/>
              </w:rPr>
              <w:tab/>
            </w:r>
            <w:r w:rsidR="00FD58BF">
              <w:rPr>
                <w:noProof/>
                <w:webHidden/>
              </w:rPr>
              <w:fldChar w:fldCharType="begin"/>
            </w:r>
            <w:r w:rsidR="00FD58BF">
              <w:rPr>
                <w:noProof/>
                <w:webHidden/>
              </w:rPr>
              <w:instrText xml:space="preserve"> PAGEREF _Toc178839185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78C63F73" w14:textId="5BDBBB40"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6" w:history="1">
            <w:r w:rsidR="00FD58BF" w:rsidRPr="003004E5">
              <w:rPr>
                <w:rStyle w:val="Lienhypertexte"/>
                <w:noProof/>
              </w:rPr>
              <w:t>28.86.1a Repose d'éléments récupérés CCTB 01.02</w:t>
            </w:r>
            <w:r w:rsidR="00FD58BF">
              <w:rPr>
                <w:noProof/>
                <w:webHidden/>
              </w:rPr>
              <w:tab/>
            </w:r>
            <w:r w:rsidR="00FD58BF">
              <w:rPr>
                <w:noProof/>
                <w:webHidden/>
              </w:rPr>
              <w:fldChar w:fldCharType="begin"/>
            </w:r>
            <w:r w:rsidR="00FD58BF">
              <w:rPr>
                <w:noProof/>
                <w:webHidden/>
              </w:rPr>
              <w:instrText xml:space="preserve"> PAGEREF _Toc178839186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687D1A42" w14:textId="2ED2204C"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7" w:history="1">
            <w:r w:rsidR="00FD58BF" w:rsidRPr="003004E5">
              <w:rPr>
                <w:rStyle w:val="Lienhypertexte"/>
                <w:noProof/>
              </w:rPr>
              <w:t>28.86.2 Remplacement de matériaux CCTB 01.02</w:t>
            </w:r>
            <w:r w:rsidR="00FD58BF">
              <w:rPr>
                <w:noProof/>
                <w:webHidden/>
              </w:rPr>
              <w:tab/>
            </w:r>
            <w:r w:rsidR="00FD58BF">
              <w:rPr>
                <w:noProof/>
                <w:webHidden/>
              </w:rPr>
              <w:fldChar w:fldCharType="begin"/>
            </w:r>
            <w:r w:rsidR="00FD58BF">
              <w:rPr>
                <w:noProof/>
                <w:webHidden/>
              </w:rPr>
              <w:instrText xml:space="preserve"> PAGEREF _Toc178839187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22653D01" w14:textId="39562DE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8" w:history="1">
            <w:r w:rsidR="00FD58BF" w:rsidRPr="003004E5">
              <w:rPr>
                <w:rStyle w:val="Lienhypertexte"/>
                <w:noProof/>
              </w:rPr>
              <w:t>28.86.2a Remplacement à l'identique de plaques CCTB 01.02</w:t>
            </w:r>
            <w:r w:rsidR="00FD58BF">
              <w:rPr>
                <w:noProof/>
                <w:webHidden/>
              </w:rPr>
              <w:tab/>
            </w:r>
            <w:r w:rsidR="00FD58BF">
              <w:rPr>
                <w:noProof/>
                <w:webHidden/>
              </w:rPr>
              <w:fldChar w:fldCharType="begin"/>
            </w:r>
            <w:r w:rsidR="00FD58BF">
              <w:rPr>
                <w:noProof/>
                <w:webHidden/>
              </w:rPr>
              <w:instrText xml:space="preserve"> PAGEREF _Toc178839188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20E21FD7" w14:textId="36C8F7FB" w:rsidR="00FD58BF" w:rsidRDefault="004016E8">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9" w:history="1">
            <w:r w:rsidR="00FD58BF" w:rsidRPr="003004E5">
              <w:rPr>
                <w:rStyle w:val="Lienhypertexte"/>
                <w:noProof/>
              </w:rPr>
              <w:t>28.86.3 Rejointoiement CCTB 01.02</w:t>
            </w:r>
            <w:r w:rsidR="00FD58BF">
              <w:rPr>
                <w:noProof/>
                <w:webHidden/>
              </w:rPr>
              <w:tab/>
            </w:r>
            <w:r w:rsidR="00FD58BF">
              <w:rPr>
                <w:noProof/>
                <w:webHidden/>
              </w:rPr>
              <w:fldChar w:fldCharType="begin"/>
            </w:r>
            <w:r w:rsidR="00FD58BF">
              <w:rPr>
                <w:noProof/>
                <w:webHidden/>
              </w:rPr>
              <w:instrText xml:space="preserve"> PAGEREF _Toc178839189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1DEC31BB" w14:textId="4722280B"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0" w:history="1">
            <w:r w:rsidR="00FD58BF" w:rsidRPr="003004E5">
              <w:rPr>
                <w:rStyle w:val="Lienhypertexte"/>
                <w:noProof/>
              </w:rPr>
              <w:t>28.86.3a Rejointoiement CCTB 01.04</w:t>
            </w:r>
            <w:r w:rsidR="00FD58BF">
              <w:rPr>
                <w:noProof/>
                <w:webHidden/>
              </w:rPr>
              <w:tab/>
            </w:r>
            <w:r w:rsidR="00FD58BF">
              <w:rPr>
                <w:noProof/>
                <w:webHidden/>
              </w:rPr>
              <w:fldChar w:fldCharType="begin"/>
            </w:r>
            <w:r w:rsidR="00FD58BF">
              <w:rPr>
                <w:noProof/>
                <w:webHidden/>
              </w:rPr>
              <w:instrText xml:space="preserve"> PAGEREF _Toc178839190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093C965F" w14:textId="0B356D34" w:rsidR="00FD58BF" w:rsidRDefault="004016E8">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1" w:history="1">
            <w:r w:rsidR="00FD58BF" w:rsidRPr="003004E5">
              <w:rPr>
                <w:rStyle w:val="Lienhypertexte"/>
                <w:noProof/>
              </w:rPr>
              <w:t>28.86.3b Renouvellement de joints souples &gt; renvoi au § 45.13 CCTB 01.02</w:t>
            </w:r>
            <w:r w:rsidR="00FD58BF">
              <w:rPr>
                <w:noProof/>
                <w:webHidden/>
              </w:rPr>
              <w:tab/>
            </w:r>
            <w:r w:rsidR="00FD58BF">
              <w:rPr>
                <w:noProof/>
                <w:webHidden/>
              </w:rPr>
              <w:fldChar w:fldCharType="begin"/>
            </w:r>
            <w:r w:rsidR="00FD58BF">
              <w:rPr>
                <w:noProof/>
                <w:webHidden/>
              </w:rPr>
              <w:instrText xml:space="preserve"> PAGEREF _Toc178839191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74618044" w14:textId="21FB4B46"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92" w:history="1">
            <w:r w:rsidR="00FD58BF" w:rsidRPr="003004E5">
              <w:rPr>
                <w:rStyle w:val="Lienhypertexte"/>
                <w:noProof/>
              </w:rPr>
              <w:t>28.87 Nettoyage et préparation de surface CCTB 01.04</w:t>
            </w:r>
            <w:r w:rsidR="00FD58BF">
              <w:rPr>
                <w:noProof/>
                <w:webHidden/>
              </w:rPr>
              <w:tab/>
            </w:r>
            <w:r w:rsidR="00FD58BF">
              <w:rPr>
                <w:noProof/>
                <w:webHidden/>
              </w:rPr>
              <w:fldChar w:fldCharType="begin"/>
            </w:r>
            <w:r w:rsidR="00FD58BF">
              <w:rPr>
                <w:noProof/>
                <w:webHidden/>
              </w:rPr>
              <w:instrText xml:space="preserve"> PAGEREF _Toc178839192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5B82B506" w14:textId="0457E49F" w:rsidR="00FD58BF" w:rsidRDefault="004016E8">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93" w:history="1">
            <w:r w:rsidR="00FD58BF" w:rsidRPr="003004E5">
              <w:rPr>
                <w:rStyle w:val="Lienhypertexte"/>
                <w:noProof/>
              </w:rPr>
              <w:t>28.88 Traitement et protection CCTB 01.04</w:t>
            </w:r>
            <w:r w:rsidR="00FD58BF">
              <w:rPr>
                <w:noProof/>
                <w:webHidden/>
              </w:rPr>
              <w:tab/>
            </w:r>
            <w:r w:rsidR="00FD58BF">
              <w:rPr>
                <w:noProof/>
                <w:webHidden/>
              </w:rPr>
              <w:fldChar w:fldCharType="begin"/>
            </w:r>
            <w:r w:rsidR="00FD58BF">
              <w:rPr>
                <w:noProof/>
                <w:webHidden/>
              </w:rPr>
              <w:instrText xml:space="preserve"> PAGEREF _Toc178839193 \h </w:instrText>
            </w:r>
            <w:r w:rsidR="00FD58BF">
              <w:rPr>
                <w:noProof/>
                <w:webHidden/>
              </w:rPr>
            </w:r>
            <w:r w:rsidR="00FD58BF">
              <w:rPr>
                <w:noProof/>
                <w:webHidden/>
              </w:rPr>
              <w:fldChar w:fldCharType="separate"/>
            </w:r>
            <w:r w:rsidR="00FD58BF">
              <w:rPr>
                <w:noProof/>
                <w:webHidden/>
              </w:rPr>
              <w:t>1229</w:t>
            </w:r>
            <w:r w:rsidR="00FD58BF">
              <w:rPr>
                <w:noProof/>
                <w:webHidden/>
              </w:rPr>
              <w:fldChar w:fldCharType="end"/>
            </w:r>
          </w:hyperlink>
        </w:p>
        <w:p w14:paraId="3C879AD7" w14:textId="40679EFE" w:rsidR="00DF410E" w:rsidRDefault="00CE7F43">
          <w:r>
            <w:rPr>
              <w:b/>
              <w:bCs/>
              <w:noProof/>
            </w:rPr>
            <w:fldChar w:fldCharType="end"/>
          </w:r>
        </w:p>
      </w:sdtContent>
    </w:sdt>
    <w:p w14:paraId="394BF94E" w14:textId="77777777" w:rsidR="00DF410E" w:rsidRDefault="00CE7F43">
      <w:r>
        <w:br w:type="page"/>
      </w:r>
    </w:p>
    <w:p w14:paraId="32A7FEF4" w14:textId="77777777" w:rsidR="00DF410E" w:rsidRDefault="00CE7F43">
      <w:pPr>
        <w:pStyle w:val="Author-eSectionHeading1"/>
      </w:pPr>
      <w:bookmarkStart w:id="0" w:name="_Toc178837279"/>
      <w:r>
        <w:t>2 T2 Superstructures CCTB 01.12</w:t>
      </w:r>
      <w:bookmarkEnd w:id="0"/>
    </w:p>
    <w:p w14:paraId="71EC9368" w14:textId="77777777" w:rsidR="00DF410E" w:rsidRDefault="00CE7F43">
      <w:pPr>
        <w:pStyle w:val="pheading"/>
      </w:pPr>
      <w:bookmarkStart w:id="1" w:name="41"/>
      <w:bookmarkEnd w:id="1"/>
      <w:r>
        <w:t>DESCRIPTION</w:t>
      </w:r>
    </w:p>
    <w:p w14:paraId="1BDFE289" w14:textId="77777777" w:rsidR="00DF410E" w:rsidRDefault="00CE7F43">
      <w:pPr>
        <w:pStyle w:val="pheading"/>
      </w:pPr>
      <w:r>
        <w:t>- Définition / Comprend</w:t>
      </w:r>
    </w:p>
    <w:p w14:paraId="77026F04" w14:textId="77777777" w:rsidR="00DF410E" w:rsidRDefault="00CE7F43">
      <w:r>
        <w:t>Ce tome décrit tous les éléments de gros-œuvre exécutés au-dessus des fondations.</w:t>
      </w:r>
    </w:p>
    <w:p w14:paraId="3369F712" w14:textId="77777777" w:rsidR="00DF410E" w:rsidRDefault="00CE7F43">
      <w:r>
        <w:rPr>
          <w:b/>
        </w:rPr>
        <w:t>Incendie</w:t>
      </w:r>
    </w:p>
    <w:p w14:paraId="033848E1" w14:textId="77777777" w:rsidR="00DF410E" w:rsidRDefault="00CE7F43">
      <w:r>
        <w:t>Cet article concerne des éléments de la structure ayant une fonction portante ou non.</w:t>
      </w:r>
    </w:p>
    <w:p w14:paraId="2150A353" w14:textId="77777777" w:rsidR="00DF410E" w:rsidRDefault="00CE7F43">
      <w:r>
        <w:t xml:space="preserve">Le terme </w:t>
      </w:r>
      <w:r>
        <w:rPr>
          <w:u w:val="single"/>
        </w:rPr>
        <w:t>élément structural (ou élément porteur ou élément portant)</w:t>
      </w:r>
      <w:r>
        <w:t xml:space="preserve"> englobe tous les éléments de construction ayant une fonction portante. Parmi les éléments structuraux (ou porteurs), il convient de faire une différence entre les éléments structurels et non structurels :</w:t>
      </w:r>
    </w:p>
    <w:p w14:paraId="2D967ADA" w14:textId="77777777" w:rsidR="00DF410E" w:rsidRDefault="00CE7F43">
      <w:pPr>
        <w:pStyle w:val="Author-eListParagraph"/>
        <w:numPr>
          <w:ilvl w:val="0"/>
          <w:numId w:val="1"/>
        </w:numPr>
      </w:pPr>
      <w:r>
        <w:t xml:space="preserve">les </w:t>
      </w:r>
      <w:r>
        <w:rPr>
          <w:u w:val="single"/>
        </w:rPr>
        <w:t>éléments porteurs "structurels"</w:t>
      </w:r>
      <w:r>
        <w:t>: éléments porteurs assurant la stabilité de l’ensemble ou d’une partie du bâtiment qui, en cas d’affaissement, donnent lieu à un effondrement progressif. Un effondrement progressif se produit lorsque l’affaissement d’un élément de construction entraîne l’affaissement d’éléments du bâtiment qui ne se trouvent pas à proximité immédiate de l’élément considéré et lorsque la résistance du reste de la construction est insuffisante pour supporter la charge produite.</w:t>
      </w:r>
    </w:p>
    <w:p w14:paraId="00F3C38F" w14:textId="77777777" w:rsidR="00DF410E" w:rsidRDefault="00CE7F43">
      <w:pPr>
        <w:pStyle w:val="Author-eListParagraph"/>
        <w:numPr>
          <w:ilvl w:val="0"/>
          <w:numId w:val="2"/>
        </w:numPr>
      </w:pPr>
      <w:r>
        <w:t xml:space="preserve">les </w:t>
      </w:r>
      <w:r>
        <w:rPr>
          <w:u w:val="single"/>
        </w:rPr>
        <w:t>éléments porteurs "non structurels"</w:t>
      </w:r>
      <w:r>
        <w:t>: éléments porteurs qui ne répondent pas à la définition d'éléments porteurs structurels.</w:t>
      </w:r>
    </w:p>
    <w:p w14:paraId="22A1E791" w14:textId="77777777" w:rsidR="00DF410E" w:rsidRDefault="00CE7F43">
      <w:r>
        <w:t> </w:t>
      </w:r>
    </w:p>
    <w:p w14:paraId="383D7C5F" w14:textId="77777777" w:rsidR="00DF410E" w:rsidRDefault="00CE7F43">
      <w:r>
        <w:t>Dans le cadre des bâtiments industriels soumis à l'arrêté royal "normes de prévention de base", une distinction est encore faite parmi les éléments porteurs "structurels" :</w:t>
      </w:r>
    </w:p>
    <w:p w14:paraId="29D90D8F" w14:textId="77777777" w:rsidR="00DF410E" w:rsidRDefault="00CE7F43">
      <w:pPr>
        <w:pStyle w:val="Author-eListParagraph"/>
        <w:numPr>
          <w:ilvl w:val="0"/>
          <w:numId w:val="3"/>
        </w:numPr>
      </w:pPr>
      <w:r>
        <w:rPr>
          <w:u w:val="single"/>
        </w:rPr>
        <w:t>éléments porteurs structurels de type I</w:t>
      </w:r>
      <w:r>
        <w:t>: éléments, qui en cas d’affaissement, donnent lieu à un effondrement progressif qui peut se propager au-delà des limites du compartiment ou provoquer des dommages aux parois du compartiment;</w:t>
      </w:r>
    </w:p>
    <w:p w14:paraId="06E9FC39" w14:textId="77777777" w:rsidR="00DF410E" w:rsidRDefault="00CE7F43">
      <w:pPr>
        <w:pStyle w:val="Author-eListParagraph"/>
        <w:numPr>
          <w:ilvl w:val="0"/>
          <w:numId w:val="3"/>
        </w:numPr>
      </w:pPr>
      <w:r>
        <w:rPr>
          <w:u w:val="single"/>
        </w:rPr>
        <w:t>éléments porteurs structurels de type II</w:t>
      </w:r>
      <w:r>
        <w:t>: éléments qui en cas d’affaissement donnent lieu à un effondrement progressif limité au compartiment.</w:t>
      </w:r>
    </w:p>
    <w:p w14:paraId="597DBEF1" w14:textId="77777777" w:rsidR="00DF410E" w:rsidRDefault="00CE7F43">
      <w:r>
        <w:t> </w:t>
      </w:r>
      <w:r>
        <w:rPr>
          <w:noProof/>
        </w:rPr>
        <w:drawing>
          <wp:inline distT="0" distB="0" distL="0" distR="0" wp14:anchorId="7CBBED34" wp14:editId="5087D4CF">
            <wp:extent cx="5715000" cy="2895600"/>
            <wp:effectExtent l="0" t="0" r="0" b="0"/>
            <wp:docPr id="2" name="T2 - éléments de structure.JPG" descr="T2 - éléments de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75780" descr=" "/>
                    <pic:cNvPicPr>
                      <a:picLocks noChangeAspect="1" noChangeArrowheads="1"/>
                    </pic:cNvPicPr>
                  </pic:nvPicPr>
                  <pic:blipFill>
                    <a:blip r:embed="rId7"/>
                    <a:srcRect/>
                    <a:stretch>
                      <a:fillRect/>
                    </a:stretch>
                  </pic:blipFill>
                  <pic:spPr bwMode="auto">
                    <a:xfrm>
                      <a:off x="0" y="0"/>
                      <a:ext cx="5715000" cy="2895600"/>
                    </a:xfrm>
                    <a:prstGeom prst="rect">
                      <a:avLst/>
                    </a:prstGeom>
                  </pic:spPr>
                </pic:pic>
              </a:graphicData>
            </a:graphic>
          </wp:inline>
        </w:drawing>
      </w:r>
    </w:p>
    <w:p w14:paraId="48131225" w14:textId="77777777" w:rsidR="00DF410E" w:rsidRDefault="00CE7F43">
      <w:r>
        <w:t>Selon la réglementation applicable aux bâtiments nouveaux en Belgique, la performance de résistance au feu d’un élément de construction doit être déterminée sur la base d’essais , exclusivement selon les normes européennes ou sur la base d’un calcul (selon les Eurocodes, parties ‘feu’).</w:t>
      </w:r>
    </w:p>
    <w:p w14:paraId="1EABF32E" w14:textId="77777777" w:rsidR="00DF410E" w:rsidRDefault="00CE7F43">
      <w:r>
        <w:t>Depuis le 1er décembre 2016, seules les séries de normes d’essais reprises dans les normes de classification [NBN EN 13501-2], [NBN EN 13501-3+A1] et [NBN EN 13501-4] peuvent être utilisées, sauf en ce qui concerne les portes résistant au feu et les plafonds suspendus pour lesquels la norme belge [NBN 713-020] peut encore être utilisée.</w:t>
      </w:r>
    </w:p>
    <w:p w14:paraId="459CE81A" w14:textId="77777777" w:rsidR="00DF410E" w:rsidRDefault="00CE7F43">
      <w:pPr>
        <w:pStyle w:val="pheading"/>
      </w:pPr>
      <w:r>
        <w:t>- Remarques importantes</w:t>
      </w:r>
    </w:p>
    <w:p w14:paraId="2F8116B9" w14:textId="77777777" w:rsidR="00DF410E" w:rsidRDefault="00CE7F43">
      <w:r>
        <w:rPr>
          <w:b/>
        </w:rPr>
        <w:t>Incendie</w:t>
      </w:r>
      <w:r>
        <w:t xml:space="preserve">  </w:t>
      </w:r>
    </w:p>
    <w:p w14:paraId="0651728E" w14:textId="77777777" w:rsidR="00DF410E" w:rsidRDefault="00CE7F43">
      <w:r>
        <w:t>Les exigences de résistance au feu (durée et fonction portante et/ou séparant) requises pour les éléments de structure sont fixées par la réglementation en vigueur, notamment l’arrêté royal « normes de prévention de base » et ses modifications (voir références).</w:t>
      </w:r>
    </w:p>
    <w:p w14:paraId="7DA45FAA" w14:textId="77777777" w:rsidR="00DF410E" w:rsidRDefault="00CE7F43">
      <w:r>
        <w:t>Elles dépendent notamment de la hauteur du bâtiment, du type de bâtiment, de la fonction de l’élément de structure, … Elles différent également en fonction du type d'élément de construction :</w:t>
      </w:r>
    </w:p>
    <w:p w14:paraId="25F6F1CC" w14:textId="77777777" w:rsidR="00DF410E" w:rsidRDefault="00CE7F43">
      <w:pPr>
        <w:pStyle w:val="Author-eListParagraph"/>
        <w:numPr>
          <w:ilvl w:val="0"/>
          <w:numId w:val="4"/>
        </w:numPr>
      </w:pPr>
      <w:r>
        <w:t>de sa fonction séparant ou non séparant: EI ou non</w:t>
      </w:r>
    </w:p>
    <w:p w14:paraId="0DA6EE76" w14:textId="77777777" w:rsidR="00DF410E" w:rsidRDefault="00CE7F43">
      <w:pPr>
        <w:pStyle w:val="Author-eListParagraph"/>
        <w:numPr>
          <w:ilvl w:val="0"/>
          <w:numId w:val="4"/>
        </w:numPr>
      </w:pPr>
      <w:r>
        <w:t xml:space="preserve">de sa fonction structurale (portante) ou non structurale (non portante) </w:t>
      </w:r>
    </w:p>
    <w:p w14:paraId="5816E60E" w14:textId="77777777" w:rsidR="00DF410E" w:rsidRDefault="00CE7F43">
      <w:pPr>
        <w:pStyle w:val="Author-eListParagraph"/>
        <w:numPr>
          <w:ilvl w:val="1"/>
          <w:numId w:val="5"/>
        </w:numPr>
      </w:pPr>
      <w:r>
        <w:t>de son critère structurel : R exigé</w:t>
      </w:r>
    </w:p>
    <w:p w14:paraId="018481FA" w14:textId="77777777" w:rsidR="00DF410E" w:rsidRDefault="00CE7F43">
      <w:pPr>
        <w:pStyle w:val="Author-eListParagraph"/>
        <w:numPr>
          <w:ilvl w:val="1"/>
          <w:numId w:val="5"/>
        </w:numPr>
      </w:pPr>
      <w:r>
        <w:t>ou non structurel : R pas exigé</w:t>
      </w:r>
    </w:p>
    <w:p w14:paraId="537B13F5" w14:textId="77777777" w:rsidR="00DF410E" w:rsidRDefault="00CE7F43">
      <w:r>
        <w:rPr>
          <w:b/>
        </w:rPr>
        <w:t>Déchets</w:t>
      </w:r>
    </w:p>
    <w:p w14:paraId="33B98A6D" w14:textId="77777777" w:rsidR="00DF410E" w:rsidRDefault="00CE7F43">
      <w:r>
        <w:t xml:space="preserve">La gestion et l’évacuation des déchets de chantier est décrite et comptabilisée au </w:t>
      </w:r>
      <w:hyperlink r:id="rId8" w:history="1" w:docLocation="116">
        <w:r>
          <w:t>07 Déchets, matériaux et éléments réemployables</w:t>
        </w:r>
      </w:hyperlink>
      <w:r>
        <w:t>.</w:t>
      </w:r>
    </w:p>
    <w:p w14:paraId="70005687" w14:textId="77777777" w:rsidR="00DF410E" w:rsidRDefault="00DF410E"/>
    <w:p w14:paraId="58047E90" w14:textId="77777777" w:rsidR="00DF410E" w:rsidRDefault="00CE7F43">
      <w:r>
        <w:t> </w:t>
      </w:r>
    </w:p>
    <w:p w14:paraId="3F784E87" w14:textId="77777777" w:rsidR="00DF410E" w:rsidRDefault="00CE7F43">
      <w:pPr>
        <w:pStyle w:val="pheading"/>
      </w:pPr>
      <w:r>
        <w:t>DOCUMENTS DE RÉFÉRENCE</w:t>
      </w:r>
    </w:p>
    <w:p w14:paraId="05696052" w14:textId="77777777" w:rsidR="00DF410E" w:rsidRDefault="00CE7F43">
      <w:pPr>
        <w:pStyle w:val="pheading"/>
      </w:pPr>
      <w:r>
        <w:t>- Matériau</w:t>
      </w:r>
    </w:p>
    <w:p w14:paraId="36A0E402" w14:textId="77777777" w:rsidR="00DF410E" w:rsidRDefault="00CE7F43">
      <w:r>
        <w:t>[AR 1994-07-07, Arrêté royal fixant les normes de base en matière de prévention contre l'incendie et l'explosion, auxquelles les bâtiments nouveaux doivent satisfaire]</w:t>
      </w:r>
    </w:p>
    <w:p w14:paraId="5557FFBC" w14:textId="77777777" w:rsidR="00DF410E" w:rsidRDefault="00CE7F43">
      <w:r>
        <w:t>[NBN 713-020, Protection contre l'incendie - Comportement au feu des matériaux et éléments de construction - Résistance au feu des éléments de construction (avec erratum)]</w:t>
      </w:r>
    </w:p>
    <w:p w14:paraId="2BFAB56D" w14:textId="77777777" w:rsidR="00DF410E" w:rsidRDefault="00CE7F43">
      <w:r>
        <w:t>[NBN EN 13501-1, Classement au feu des produits et éléments de construction - Partie 1: Classement à partir des données d'essais de réaction au feu]</w:t>
      </w:r>
    </w:p>
    <w:p w14:paraId="4C0EE02D"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1BB066C" w14:textId="77777777" w:rsidR="00DF410E" w:rsidRDefault="00CE7F43">
      <w:r>
        <w:t>[NBN EN 13501-3+A1, Classement au feu des produits et éléments de construction - Partie 3: Classement utilisant des données d'essais de résistance au feu de produits et éléments utilisés dans des installations d'entretien: Conduits et clapets résistants au feu]</w:t>
      </w:r>
    </w:p>
    <w:p w14:paraId="2EF2428A" w14:textId="77777777" w:rsidR="00DF410E" w:rsidRDefault="00CE7F43">
      <w:r>
        <w:t>[NBN EN 13501-4, Classement au feu des produits et éléments de construction - Partie 4: Classement à partir des données d'essais de résistance au feu des composants de dispositifs de contrôle de fumée] </w:t>
      </w:r>
    </w:p>
    <w:p w14:paraId="1EEF71CA" w14:textId="77777777" w:rsidR="00DF410E" w:rsidRDefault="00CE7F43">
      <w:r>
        <w:t>[NBN EN 13501-5, Classement au feu des produits et éléments de construction - Partie 5: Classement utilisant des données d'essais au feu des toitures exposées à un feu extérieur]</w:t>
      </w:r>
    </w:p>
    <w:p w14:paraId="62ED1B10" w14:textId="77777777" w:rsidR="00DF410E" w:rsidRDefault="00CE7F43">
      <w:r>
        <w:t>[NBN CEN/TS 1187, Méthodes d'essai pour l'exposition des toitures à un feu extérieur]</w:t>
      </w:r>
    </w:p>
    <w:p w14:paraId="3D3415FF" w14:textId="77777777" w:rsidR="00DF410E" w:rsidRDefault="00CE7F43">
      <w:pPr>
        <w:pStyle w:val="pheading"/>
      </w:pPr>
      <w:r>
        <w:t>- Exécution</w:t>
      </w:r>
    </w:p>
    <w:p w14:paraId="123CA1AB" w14:textId="77777777" w:rsidR="00DF410E" w:rsidRDefault="00CE7F43">
      <w:r>
        <w:t>[NIT 238, L'application de systèmes de peinture intumescente sur structures en acier.]</w:t>
      </w:r>
    </w:p>
    <w:p w14:paraId="3B12E248" w14:textId="77777777" w:rsidR="00DF410E" w:rsidRDefault="00CE7F43">
      <w:pPr>
        <w:pStyle w:val="Author-eSectionHeading2"/>
      </w:pPr>
      <w:bookmarkStart w:id="2" w:name="_Toc178837280"/>
      <w:r>
        <w:t>21 Superstructures en maçonnerie CCTB 01.12</w:t>
      </w:r>
      <w:bookmarkEnd w:id="2"/>
    </w:p>
    <w:p w14:paraId="5E7FB0BB" w14:textId="77777777" w:rsidR="00DF410E" w:rsidRDefault="00CE7F43">
      <w:pPr>
        <w:pStyle w:val="pheading"/>
      </w:pPr>
      <w:bookmarkStart w:id="3" w:name="293"/>
      <w:bookmarkEnd w:id="3"/>
      <w:r>
        <w:t>DESCRIPTION</w:t>
      </w:r>
    </w:p>
    <w:p w14:paraId="63ABE833" w14:textId="77777777" w:rsidR="00DF410E" w:rsidRDefault="00CE7F43">
      <w:pPr>
        <w:pStyle w:val="pheading"/>
      </w:pPr>
      <w:r>
        <w:t>- Définition / Comprend</w:t>
      </w:r>
    </w:p>
    <w:p w14:paraId="54F7C671" w14:textId="77777777" w:rsidR="00DF410E" w:rsidRDefault="00CE7F43">
      <w:r>
        <w:rPr>
          <w:rStyle w:val="normalChar"/>
          <w:color w:val="000000"/>
        </w:rPr>
        <w:t>Le présent chapitre comprend la réalisation de tous les ouvrages en maçonnerie.</w:t>
      </w:r>
    </w:p>
    <w:p w14:paraId="4084B5B1" w14:textId="77777777" w:rsidR="00DF410E" w:rsidRDefault="00CE7F43">
      <w:r>
        <w:t>Les maçonneries sont classées selon leur utilisation:</w:t>
      </w:r>
    </w:p>
    <w:p w14:paraId="3E3B1C92" w14:textId="77777777" w:rsidR="00DF410E" w:rsidRDefault="00CE7F43">
      <w:pPr>
        <w:pStyle w:val="Author-eListParagraph"/>
        <w:numPr>
          <w:ilvl w:val="0"/>
          <w:numId w:val="6"/>
        </w:numPr>
      </w:pPr>
      <w:r>
        <w:t>Maçonneries portantes (</w:t>
      </w:r>
      <w:hyperlink w:anchor="292" w:history="1">
        <w:r>
          <w:t>21.1 Maçonneries portantes</w:t>
        </w:r>
      </w:hyperlink>
      <w:r>
        <w:t>)</w:t>
      </w:r>
    </w:p>
    <w:p w14:paraId="7CC3DBA3" w14:textId="77777777" w:rsidR="00DF410E" w:rsidRDefault="00CE7F43">
      <w:pPr>
        <w:pStyle w:val="Author-eListParagraph"/>
        <w:numPr>
          <w:ilvl w:val="0"/>
          <w:numId w:val="6"/>
        </w:numPr>
      </w:pPr>
      <w:r>
        <w:t>Maçonneries non portantes (</w:t>
      </w:r>
      <w:hyperlink w:anchor="381" w:history="1">
        <w:r>
          <w:t>21.2 Maçonneries non portantes</w:t>
        </w:r>
      </w:hyperlink>
      <w:r>
        <w:t>)</w:t>
      </w:r>
    </w:p>
    <w:p w14:paraId="00CDEAD0" w14:textId="77777777" w:rsidR="00DF410E" w:rsidRDefault="00CE7F43">
      <w:pPr>
        <w:pStyle w:val="Author-eListParagraph"/>
        <w:numPr>
          <w:ilvl w:val="0"/>
          <w:numId w:val="6"/>
        </w:numPr>
      </w:pPr>
      <w:r>
        <w:t>Maçonneries de parements (</w:t>
      </w:r>
      <w:hyperlink w:anchor="379" w:history="1">
        <w:r>
          <w:t>21.3 Maçonneries de parement</w:t>
        </w:r>
      </w:hyperlink>
      <w:r>
        <w:t>)</w:t>
      </w:r>
    </w:p>
    <w:p w14:paraId="76B5E4EE" w14:textId="77777777" w:rsidR="00DF410E" w:rsidRDefault="00CE7F43">
      <w:pPr>
        <w:pStyle w:val="Author-eListParagraph"/>
        <w:numPr>
          <w:ilvl w:val="0"/>
          <w:numId w:val="6"/>
        </w:numPr>
      </w:pPr>
      <w:r>
        <w:t>Murs poids (</w:t>
      </w:r>
      <w:hyperlink w:anchor="471" w:history="1">
        <w:r>
          <w:t>21.5 Murs poids</w:t>
        </w:r>
      </w:hyperlink>
      <w:r>
        <w:t>)</w:t>
      </w:r>
    </w:p>
    <w:p w14:paraId="3B1C8795" w14:textId="77777777" w:rsidR="00DF410E" w:rsidRDefault="00CE7F43">
      <w:r>
        <w:t> </w:t>
      </w:r>
    </w:p>
    <w:p w14:paraId="508A2D94" w14:textId="77777777" w:rsidR="00DF410E" w:rsidRDefault="00CE7F43">
      <w:r>
        <w:t>On distingue également les travaux relatifs aux</w:t>
      </w:r>
    </w:p>
    <w:p w14:paraId="6003676C" w14:textId="77777777" w:rsidR="00DF410E" w:rsidRDefault="00CE7F43">
      <w:pPr>
        <w:pStyle w:val="Author-eListParagraph"/>
        <w:numPr>
          <w:ilvl w:val="0"/>
          <w:numId w:val="7"/>
        </w:numPr>
      </w:pPr>
      <w:r>
        <w:t>Accessoires pour maçonnerie (</w:t>
      </w:r>
      <w:hyperlink w:anchor="364" w:history="1">
        <w:r>
          <w:t>21.4 Eléments particuliers pour maçonneries</w:t>
        </w:r>
      </w:hyperlink>
      <w:r>
        <w:t>) (armatures, ancrages, consoles)</w:t>
      </w:r>
    </w:p>
    <w:p w14:paraId="7DA38035" w14:textId="77777777" w:rsidR="00DF410E" w:rsidRDefault="00CE7F43">
      <w:pPr>
        <w:pStyle w:val="Author-eListParagraph"/>
        <w:numPr>
          <w:ilvl w:val="0"/>
          <w:numId w:val="7"/>
        </w:numPr>
      </w:pPr>
      <w:r>
        <w:t>Eléments particuliers pour maçonnerie (</w:t>
      </w:r>
      <w:hyperlink w:anchor="364" w:history="1">
        <w:r>
          <w:t>21.4 Eléments particuliers pour maçonneries</w:t>
        </w:r>
      </w:hyperlink>
      <w:r>
        <w:t>) (éléments de ventilation et blocs de verre)</w:t>
      </w:r>
    </w:p>
    <w:p w14:paraId="047A79A1" w14:textId="77777777" w:rsidR="00DF410E" w:rsidRDefault="00CE7F43">
      <w:pPr>
        <w:pStyle w:val="Author-eListParagraph"/>
        <w:numPr>
          <w:ilvl w:val="0"/>
          <w:numId w:val="7"/>
        </w:numPr>
      </w:pPr>
      <w:r>
        <w:t>Travaux de rejointoiement (</w:t>
      </w:r>
      <w:hyperlink w:anchor="393" w:history="1">
        <w:r>
          <w:t>21.6 Réalisation de joints</w:t>
        </w:r>
      </w:hyperlink>
      <w:r>
        <w:t>) </w:t>
      </w:r>
    </w:p>
    <w:p w14:paraId="6998B914" w14:textId="77777777" w:rsidR="00DF410E" w:rsidRDefault="00CE7F43">
      <w:pPr>
        <w:pStyle w:val="Author-eListParagraph"/>
        <w:numPr>
          <w:ilvl w:val="0"/>
          <w:numId w:val="7"/>
        </w:numPr>
      </w:pPr>
      <w:r>
        <w:t>Traitement, protection et finition des maçonneries (</w:t>
      </w:r>
      <w:hyperlink w:anchor="472" w:history="1">
        <w:r>
          <w:t>21.7 Traitements, protection et finition des maçonneries</w:t>
        </w:r>
      </w:hyperlink>
      <w:r>
        <w:t>)</w:t>
      </w:r>
    </w:p>
    <w:p w14:paraId="230118D2" w14:textId="77777777" w:rsidR="00DF410E" w:rsidRDefault="00CE7F43">
      <w:pPr>
        <w:pStyle w:val="Author-eListParagraph"/>
        <w:numPr>
          <w:ilvl w:val="0"/>
          <w:numId w:val="7"/>
        </w:numPr>
      </w:pPr>
      <w:r>
        <w:t>Eléments de structure en maçonneries propres à la rénovation (</w:t>
      </w:r>
      <w:hyperlink w:anchor="223" w:history="1">
        <w:r>
          <w:t>21.8 Superstructures en maçonnerie - Rénovation</w:t>
        </w:r>
      </w:hyperlink>
      <w:r>
        <w:t>)</w:t>
      </w:r>
    </w:p>
    <w:p w14:paraId="7C2200FC" w14:textId="77777777" w:rsidR="00DF410E" w:rsidRDefault="00CE7F43">
      <w:r>
        <w:t>On définit également</w:t>
      </w:r>
    </w:p>
    <w:p w14:paraId="3F8CB570" w14:textId="77777777" w:rsidR="00DF410E" w:rsidRDefault="00CE7F43">
      <w:pPr>
        <w:pStyle w:val="Author-eListParagraph"/>
        <w:numPr>
          <w:ilvl w:val="0"/>
          <w:numId w:val="8"/>
        </w:numPr>
      </w:pPr>
      <w:r>
        <w:t>les "maçonneries souterraines" ou "maçonneries enterrées" comme étant tous les éléments qui relèvent des travaux pour les maçonneries de fondation et/ou les maçonneries portantes pour les caves et vides sanitaires.</w:t>
      </w:r>
    </w:p>
    <w:p w14:paraId="14196720" w14:textId="77777777" w:rsidR="00DF410E" w:rsidRDefault="00CE7F43">
      <w:pPr>
        <w:pStyle w:val="Author-eListParagraph"/>
        <w:numPr>
          <w:ilvl w:val="0"/>
          <w:numId w:val="8"/>
        </w:numPr>
      </w:pPr>
      <w:r>
        <w:t xml:space="preserve">les "maçonneries d'élévation" comme étant tous les éléments, travaux et fournitures concernant les ouvrages de maçonnerie situés au-dessus du niveau du sol et qui ne sont pas en contact avec les terres ni soumis aux influences atmosphériques. Sont donc compris : tous les </w:t>
      </w:r>
      <w:r>
        <w:rPr>
          <w:u w:val="single"/>
        </w:rPr>
        <w:t>murs intérieurs porteurs</w:t>
      </w:r>
      <w:r>
        <w:t xml:space="preserve">, </w:t>
      </w:r>
      <w:r>
        <w:rPr>
          <w:u w:val="single"/>
        </w:rPr>
        <w:t>murs de contre-façade</w:t>
      </w:r>
      <w:r>
        <w:t xml:space="preserve"> (la partie intérieure des murs extérieurs), ainsi que tous les murs extérieurs massifs destinés à recevoir un enduit de façade ou une isolation par l’extérieur.</w:t>
      </w:r>
    </w:p>
    <w:p w14:paraId="2D95FD82" w14:textId="77777777" w:rsidR="00DF410E" w:rsidRDefault="00CE7F43">
      <w:r>
        <w:t> </w:t>
      </w:r>
    </w:p>
    <w:p w14:paraId="6E2B379F" w14:textId="77777777" w:rsidR="00DF410E" w:rsidRDefault="00CE7F43">
      <w:r>
        <w:t>Conformément aux dispositions du cahier spécial des charges, les prix unitaires compris dans ce poste doivent toujours comprendre, soit selon la ventilation du métré récapitulatif, soit dans leur ensemble, les éléments suivants :</w:t>
      </w:r>
    </w:p>
    <w:p w14:paraId="0B01AEF9" w14:textId="77777777" w:rsidR="00DF410E" w:rsidRDefault="00CE7F43">
      <w:pPr>
        <w:pStyle w:val="Author-eListParagraph"/>
        <w:numPr>
          <w:ilvl w:val="0"/>
          <w:numId w:val="9"/>
        </w:numPr>
      </w:pPr>
      <w:r>
        <w:rPr>
          <w:rStyle w:val="normalChar"/>
          <w:color w:val="000000"/>
        </w:rPr>
        <w:t>la préparation des travaux, l'installation des échafaudages nécessaires, dispositifs de protection,...;</w:t>
      </w:r>
    </w:p>
    <w:p w14:paraId="5AA242A0" w14:textId="77777777" w:rsidR="00DF410E" w:rsidRDefault="00CE7F43">
      <w:pPr>
        <w:pStyle w:val="Author-eListParagraph"/>
        <w:numPr>
          <w:ilvl w:val="0"/>
          <w:numId w:val="9"/>
        </w:numPr>
      </w:pPr>
      <w:r>
        <w:rPr>
          <w:rStyle w:val="normalChar"/>
          <w:color w:val="000000"/>
        </w:rPr>
        <w:t>la fourniture et la préparation des éléments de maçonnerie ainsi que des produits de pose, de tous les éléments de renfort métalliques pour les linteaux / assises sur chant, les blochets d'ancrage, les cornières, les feuillards, le liaisonnement avec les murs intérieurs (crochets de mur), les ouvertures de façade et les rives de toiture, les étanchéités et les bandes d'isolation thermique au droit des ébrasements de fenêtres;...;</w:t>
      </w:r>
    </w:p>
    <w:p w14:paraId="1DE2C87F" w14:textId="77777777" w:rsidR="00DF410E" w:rsidRDefault="00CE7F43">
      <w:pPr>
        <w:pStyle w:val="Author-eListParagraph"/>
        <w:numPr>
          <w:ilvl w:val="0"/>
          <w:numId w:val="9"/>
        </w:numPr>
      </w:pPr>
      <w:r>
        <w:t>l'exécution de la maçonnerie proprement dite ainsi que tous les moyens de protection nécessaires, ...;</w:t>
      </w:r>
    </w:p>
    <w:p w14:paraId="203277D8" w14:textId="77777777" w:rsidR="00DF410E" w:rsidRDefault="00CE7F43">
      <w:pPr>
        <w:pStyle w:val="Author-eListParagraph"/>
        <w:numPr>
          <w:ilvl w:val="0"/>
          <w:numId w:val="9"/>
        </w:numPr>
      </w:pPr>
      <w:r>
        <w:t>l'isolation contre l'humidité/membranes contre l'humidité ascensionnelle;</w:t>
      </w:r>
    </w:p>
    <w:p w14:paraId="4B2C6CCA" w14:textId="77777777" w:rsidR="00DF410E" w:rsidRDefault="00CE7F43">
      <w:pPr>
        <w:pStyle w:val="Author-eListParagraph"/>
        <w:numPr>
          <w:ilvl w:val="0"/>
          <w:numId w:val="9"/>
        </w:numPr>
      </w:pPr>
      <w:r>
        <w:t xml:space="preserve">les linteaux préfabriqués pour les portes et fenêtres ainsi que les poutres de répartition, dans la mesure où elles ne sont pas comptées séparément dans le chapitre </w:t>
      </w:r>
      <w:hyperlink w:anchor="87" w:history="1">
        <w:r>
          <w:t>22 Superstructures en béton</w:t>
        </w:r>
      </w:hyperlink>
      <w:r>
        <w:t xml:space="preserve"> ou le chapitre </w:t>
      </w:r>
      <w:hyperlink w:anchor="347" w:history="1">
        <w:r>
          <w:t>23 Superstructures métalliques</w:t>
        </w:r>
      </w:hyperlink>
      <w:r>
        <w:t> ;</w:t>
      </w:r>
    </w:p>
    <w:p w14:paraId="02565AA0" w14:textId="77777777" w:rsidR="00DF410E" w:rsidRDefault="00CE7F43">
      <w:pPr>
        <w:pStyle w:val="Author-eListParagraph"/>
        <w:numPr>
          <w:ilvl w:val="0"/>
          <w:numId w:val="9"/>
        </w:numPr>
      </w:pPr>
      <w:r>
        <w:t>les blochets nécessaires pour la fixation de la menuiserie intérieure et extérieure;</w:t>
      </w:r>
    </w:p>
    <w:p w14:paraId="45DF6C6A" w14:textId="77777777" w:rsidR="00DF410E" w:rsidRDefault="00CE7F43">
      <w:pPr>
        <w:pStyle w:val="Author-eListParagraph"/>
        <w:numPr>
          <w:ilvl w:val="0"/>
          <w:numId w:val="9"/>
        </w:numPr>
      </w:pPr>
      <w:r>
        <w:t>les éléments de liaison et/ou les armatures pour l'intersection de deux murs ainsi que tous les chaînages aux murs; attenants non reliés ou aux murs attenants à l'ossature en béton;</w:t>
      </w:r>
    </w:p>
    <w:p w14:paraId="274EF282" w14:textId="77777777" w:rsidR="00DF410E" w:rsidRDefault="00CE7F43">
      <w:pPr>
        <w:pStyle w:val="Author-eListParagraph"/>
        <w:numPr>
          <w:ilvl w:val="0"/>
          <w:numId w:val="9"/>
        </w:numPr>
      </w:pPr>
      <w:r>
        <w:t xml:space="preserve">toutes les armatures prescrites pour la maçonnerie selon l'article </w:t>
      </w:r>
      <w:hyperlink w:anchor="417" w:history="1">
        <w:r>
          <w:t>21.41 Armatures pour maçonneries</w:t>
        </w:r>
      </w:hyperlink>
      <w:r>
        <w:t>;</w:t>
      </w:r>
    </w:p>
    <w:p w14:paraId="1ABA2119" w14:textId="77777777" w:rsidR="00DF410E" w:rsidRDefault="00CE7F43">
      <w:pPr>
        <w:pStyle w:val="Author-eListParagraph"/>
        <w:numPr>
          <w:ilvl w:val="0"/>
          <w:numId w:val="9"/>
        </w:numPr>
      </w:pPr>
      <w:r>
        <w:t xml:space="preserve">le rejointoiement en montant pour toutes les maçonneries destinées à rester apparentes (le cas échéant, comptés comme supplément sous la  rubrique </w:t>
      </w:r>
      <w:hyperlink w:anchor="393" w:history="1">
        <w:r>
          <w:t>21.6 Réalisation de joints</w:t>
        </w:r>
      </w:hyperlink>
      <w:r>
        <w:t>);</w:t>
      </w:r>
    </w:p>
    <w:p w14:paraId="71947493" w14:textId="77777777" w:rsidR="00DF410E" w:rsidRDefault="00CE7F43">
      <w:pPr>
        <w:pStyle w:val="Author-eListParagraph"/>
        <w:numPr>
          <w:ilvl w:val="0"/>
          <w:numId w:val="9"/>
        </w:numPr>
      </w:pPr>
      <w:r>
        <w:t>le rejointoiement, les joints de tassement et la finition;</w:t>
      </w:r>
    </w:p>
    <w:p w14:paraId="674929F4" w14:textId="77777777" w:rsidR="00DF410E" w:rsidRDefault="00CE7F43">
      <w:pPr>
        <w:pStyle w:val="Author-eListParagraph"/>
        <w:numPr>
          <w:ilvl w:val="0"/>
          <w:numId w:val="9"/>
        </w:numPr>
      </w:pPr>
      <w:r>
        <w:t>le cas échéant, le nettoyage et/ou le grattage de la façade;</w:t>
      </w:r>
    </w:p>
    <w:p w14:paraId="7CDB6DE6" w14:textId="77777777" w:rsidR="00DF410E" w:rsidRDefault="00CE7F43">
      <w:pPr>
        <w:pStyle w:val="Author-eListParagraph"/>
        <w:numPr>
          <w:ilvl w:val="0"/>
          <w:numId w:val="9"/>
        </w:numPr>
      </w:pPr>
      <w:r>
        <w:t>le cas échéant, la mise en œuvre de cornières de protection aux angles extérieurs et la finition des surfaces en vue des travaux de peinture (par ex. pour les blocs de plâtre / …);</w:t>
      </w:r>
    </w:p>
    <w:p w14:paraId="0913FEDA" w14:textId="77777777" w:rsidR="00DF410E" w:rsidRDefault="00CE7F43">
      <w:pPr>
        <w:pStyle w:val="Author-eListParagraph"/>
        <w:numPr>
          <w:ilvl w:val="0"/>
          <w:numId w:val="9"/>
        </w:numPr>
      </w:pPr>
      <w:r>
        <w:t>les cimentages et enduits étanches selon les prescriptions; sauf indications spécifiques dans le métré récapitulatif, la fourniture et la pose du système d'isolation contre l'humidité sont intégralement comprises dans le poste de la maçonnerie enterrée.</w:t>
      </w:r>
    </w:p>
    <w:p w14:paraId="5F24B30E" w14:textId="77777777" w:rsidR="00DF410E" w:rsidRDefault="00CE7F43">
      <w:pPr>
        <w:pStyle w:val="Author-eListParagraph"/>
        <w:numPr>
          <w:ilvl w:val="0"/>
          <w:numId w:val="9"/>
        </w:numPr>
      </w:pPr>
      <w:r>
        <w:t>l'enlèvement des protections nécessaires aux travaux, échafaudages, bâches de protection, …;</w:t>
      </w:r>
    </w:p>
    <w:p w14:paraId="1DF61354" w14:textId="77777777" w:rsidR="00DF410E" w:rsidRDefault="00CE7F43">
      <w:pPr>
        <w:pStyle w:val="Author-eListParagraph"/>
        <w:numPr>
          <w:ilvl w:val="0"/>
          <w:numId w:val="9"/>
        </w:numPr>
      </w:pPr>
      <w:r>
        <w:t>la mise en ordre et le nettoyage du chantier.</w:t>
      </w:r>
    </w:p>
    <w:p w14:paraId="04503EEF" w14:textId="77777777" w:rsidR="00DF410E" w:rsidRDefault="00CE7F43">
      <w:pPr>
        <w:pStyle w:val="pheading"/>
      </w:pPr>
      <w:r>
        <w:t>- Remarques importantes</w:t>
      </w:r>
    </w:p>
    <w:p w14:paraId="158AF9E5" w14:textId="77777777" w:rsidR="00DF410E" w:rsidRDefault="00DF410E"/>
    <w:p w14:paraId="0FA179F8" w14:textId="77777777" w:rsidR="00DF410E" w:rsidRDefault="00CE7F43">
      <w:pPr>
        <w:pStyle w:val="Author-eListParagraph"/>
        <w:numPr>
          <w:ilvl w:val="0"/>
          <w:numId w:val="10"/>
        </w:numPr>
      </w:pPr>
      <w:r>
        <w:t xml:space="preserve">Les cloisons maçonnées sont reprises dans le chapitre </w:t>
      </w:r>
      <w:hyperlink w:anchor="381" w:history="1">
        <w:r>
          <w:t>21.2 Maçonneries non portantes</w:t>
        </w:r>
      </w:hyperlink>
      <w:r>
        <w:t>.</w:t>
      </w:r>
    </w:p>
    <w:p w14:paraId="40D0E647" w14:textId="77777777" w:rsidR="00DF410E" w:rsidRDefault="00CE7F43">
      <w:pPr>
        <w:pStyle w:val="Author-eListParagraph"/>
        <w:numPr>
          <w:ilvl w:val="0"/>
          <w:numId w:val="11"/>
        </w:numPr>
      </w:pPr>
      <w:r>
        <w:t xml:space="preserve">Dans la mesure où elles ne sont pas comprises dans les méthodes de liaisonnement et/ou d'ancrage pour les maçonneries ou dans les conditions d'exécution en fonction du type de bloc de construction, les armatures supplémentaires pour la maçonnerie peuvent aussi être comptées séparément en tant que supplément (voir la rubrique </w:t>
      </w:r>
      <w:hyperlink w:anchor="364" w:history="1">
        <w:r>
          <w:t>21.4 Eléments particuliers pour maçonneries</w:t>
        </w:r>
      </w:hyperlink>
      <w:r>
        <w:t xml:space="preserve"> ).</w:t>
      </w:r>
    </w:p>
    <w:p w14:paraId="291EFAB3" w14:textId="77777777" w:rsidR="00DF410E" w:rsidRDefault="00CE7F43">
      <w:pPr>
        <w:pStyle w:val="Author-eListParagraph"/>
        <w:numPr>
          <w:ilvl w:val="0"/>
          <w:numId w:val="12"/>
        </w:numPr>
      </w:pPr>
      <w:r>
        <w:t xml:space="preserve">Les cimentages étanches et/ou les cuvelages étanches seront, en principe, comptés  dans le poste distinct selon la rubrique </w:t>
      </w:r>
      <w:hyperlink w:anchor="357" w:history="1">
        <w:r>
          <w:t>26.12 Traitements d'étanchéisation</w:t>
        </w:r>
      </w:hyperlink>
      <w:r>
        <w:t>.</w:t>
      </w:r>
    </w:p>
    <w:p w14:paraId="248474C1" w14:textId="77777777" w:rsidR="00DF410E" w:rsidRDefault="00CE7F43">
      <w:pPr>
        <w:pStyle w:val="Author-eListParagraph"/>
        <w:numPr>
          <w:ilvl w:val="0"/>
          <w:numId w:val="13"/>
        </w:numPr>
      </w:pPr>
      <w:r>
        <w:t xml:space="preserve">Les linteaux et/ou les autres éléments de structure en béton armé ou en acier qui ne sont pas explicitement comptés dans un poste séparé du métré récapitulatif sous le chapitre </w:t>
      </w:r>
      <w:hyperlink w:anchor="87" w:history="1">
        <w:r>
          <w:t>22 Superstructures en béton</w:t>
        </w:r>
      </w:hyperlink>
      <w:r>
        <w:t xml:space="preserve"> ou le chapitre </w:t>
      </w:r>
      <w:hyperlink w:anchor="347" w:history="1">
        <w:r>
          <w:t>23 Superstructures métalliques</w:t>
        </w:r>
      </w:hyperlink>
      <w:r>
        <w:t>, sont compris dans le prix unitaire des postes.</w:t>
      </w:r>
    </w:p>
    <w:p w14:paraId="087FCDC8" w14:textId="77777777" w:rsidR="00DF410E" w:rsidRDefault="00CE7F43">
      <w:pPr>
        <w:pStyle w:val="Author-eListParagraph"/>
        <w:numPr>
          <w:ilvl w:val="0"/>
          <w:numId w:val="14"/>
        </w:numPr>
      </w:pPr>
      <w:r>
        <w:t xml:space="preserve">Le prix des crochets de mur et les dispositifs d'étanchéité en vue de l'écoulement des eaux de pluie et de condensation dans les murs à coulisse sont compris dans le </w:t>
      </w:r>
      <w:hyperlink w:anchor="379" w:history="1">
        <w:r>
          <w:t>21.3 Maçonneries de parement</w:t>
        </w:r>
      </w:hyperlink>
    </w:p>
    <w:p w14:paraId="2A0637F1" w14:textId="77777777" w:rsidR="00DF410E" w:rsidRDefault="00CE7F43">
      <w:pPr>
        <w:pStyle w:val="pheading"/>
      </w:pPr>
      <w:r>
        <w:t>MATÉRIAUX</w:t>
      </w:r>
    </w:p>
    <w:p w14:paraId="4B9CDA90" w14:textId="77777777" w:rsidR="00DF410E" w:rsidRDefault="00CE7F43">
      <w:r>
        <w:t xml:space="preserve">Les matériaux sont conformes aux normes européennes 'produit' (marquage CE). Les matériaux et/ou leur mise en œuvre sont couverts par une déclaration d'aptitude à l'utilisation décrite à l'article </w:t>
      </w:r>
      <w:hyperlink r:id="rId9" w:history="1" w:docLocation="68">
        <w:r>
          <w:t>02.42.1 Critères d'acceptabilité</w:t>
        </w:r>
      </w:hyperlink>
    </w:p>
    <w:p w14:paraId="5B79A120" w14:textId="77777777" w:rsidR="00DF410E" w:rsidRDefault="00CE7F43">
      <w:pPr>
        <w:spacing w:line="259" w:lineRule="auto"/>
      </w:pPr>
      <w:r>
        <w:rPr>
          <w:rStyle w:val="normalChar"/>
          <w:color w:val="000000"/>
        </w:rPr>
        <w:t>Les spécifications type des matériaux et de la maçonnerie sont détaillées dans les STS 22 qui constituent la référence en Belgique.</w:t>
      </w:r>
    </w:p>
    <w:p w14:paraId="64272828" w14:textId="77777777" w:rsidR="00DF410E" w:rsidRDefault="00CE7F43">
      <w:pPr>
        <w:spacing w:line="259" w:lineRule="auto"/>
      </w:pPr>
      <w:r>
        <w:rPr>
          <w:rStyle w:val="normalChar"/>
          <w:color w:val="000000"/>
        </w:rPr>
        <w:t>Des alternatives ne sont pas exclues : blocs de chanvre, de plâtre, briques de récupération, mousse-colle PU,… : voir élément spécifique.</w:t>
      </w:r>
    </w:p>
    <w:p w14:paraId="4D3C7713" w14:textId="77777777" w:rsidR="00DF410E" w:rsidRDefault="00CE7F43">
      <w:r>
        <w:t>Les attestations et le certificat d'origine sont joints à chaque livraison de matériaux.</w:t>
      </w:r>
    </w:p>
    <w:p w14:paraId="23B0E700" w14:textId="77777777" w:rsidR="00DF410E" w:rsidRDefault="00CE7F43">
      <w:pPr>
        <w:spacing w:line="259" w:lineRule="auto"/>
      </w:pPr>
      <w:r>
        <w:rPr>
          <w:rStyle w:val="normalChar"/>
          <w:color w:val="000000"/>
        </w:rPr>
        <w:t>MAÇONNERIE PORTANTE</w:t>
      </w:r>
    </w:p>
    <w:p w14:paraId="549AAF55" w14:textId="77777777" w:rsidR="00DF410E" w:rsidRDefault="00CE7F43">
      <w:pPr>
        <w:spacing w:line="259" w:lineRule="auto"/>
      </w:pPr>
      <w:r>
        <w:rPr>
          <w:rStyle w:val="normalChar"/>
          <w:color w:val="000000"/>
        </w:rPr>
        <w:t>Les performances mécaniques (résistance à la compression) des éléments de maçonnerie et des mortiers sera toujours en rapport avec les différentes charges des planchers, l'épaisseur des murs, les différents types de sollicitation, la masse volumique de la maçonnerie et le nombre d'étage et ce, conformément aux méthodes de calcul de la [NBN EN 1996-1-2 ANB] et la [STS 22 série].</w:t>
      </w:r>
    </w:p>
    <w:p w14:paraId="4D4542E5" w14:textId="77777777" w:rsidR="00DF410E" w:rsidRDefault="00CE7F43">
      <w:pPr>
        <w:spacing w:line="259" w:lineRule="auto"/>
      </w:pPr>
      <w:r>
        <w:rPr>
          <w:rStyle w:val="normalChar"/>
          <w:color w:val="000000"/>
        </w:rPr>
        <w:t>Conformément au cahier spécial des charges et/ou à défaut de critères de performance univoques, l'entrepreneur établira lui-même et sous sa seule responsabilité, le choix des éléments. Ce choix dépendra également du domaine d'application et devra se faire en concertation avec le fabricant des éléments et l'auteur de projet.</w:t>
      </w:r>
    </w:p>
    <w:p w14:paraId="75241E0F" w14:textId="77777777" w:rsidR="00DF410E" w:rsidRDefault="00CE7F43">
      <w:r>
        <w:rPr>
          <w:rStyle w:val="headingChar"/>
        </w:rPr>
        <w:t>Eléments De Maçonnerie</w:t>
      </w:r>
    </w:p>
    <w:p w14:paraId="05A2219C" w14:textId="77777777" w:rsidR="00DF410E" w:rsidRDefault="00CE7F43">
      <w:r>
        <w:t xml:space="preserve">Les éléments de maçonnerie visés par le domaine d'application de l'Eurocode 6 et de ses annexes nationales (normes [NBN EN 1996 série] et par la [STS 22 série] sont de </w:t>
      </w:r>
      <w:r>
        <w:rPr>
          <w:b/>
        </w:rPr>
        <w:t>différentes natures</w:t>
      </w:r>
      <w:r>
        <w:t xml:space="preserve"> :</w:t>
      </w:r>
    </w:p>
    <w:p w14:paraId="37F01066" w14:textId="77777777" w:rsidR="00DF410E" w:rsidRDefault="00CE7F43">
      <w:pPr>
        <w:pStyle w:val="Author-eListParagraph"/>
        <w:numPr>
          <w:ilvl w:val="0"/>
          <w:numId w:val="15"/>
        </w:numPr>
      </w:pPr>
      <w:r>
        <w:t>éléments en terre cuite : [NBN EN 771-1+A1], [PTV 23-002], [PTV 23-003]</w:t>
      </w:r>
    </w:p>
    <w:p w14:paraId="0FB1F1C6" w14:textId="77777777" w:rsidR="00DF410E" w:rsidRDefault="00CE7F43">
      <w:pPr>
        <w:pStyle w:val="Author-eListParagraph"/>
        <w:numPr>
          <w:ilvl w:val="0"/>
          <w:numId w:val="15"/>
        </w:numPr>
      </w:pPr>
      <w:r>
        <w:t>éléments silico-calcaires : [NBN EN 771-2+A1], [PTV 21-003]</w:t>
      </w:r>
    </w:p>
    <w:p w14:paraId="3894EECE" w14:textId="77777777" w:rsidR="00DF410E" w:rsidRDefault="00CE7F43">
      <w:pPr>
        <w:pStyle w:val="Author-eListParagraph"/>
        <w:numPr>
          <w:ilvl w:val="0"/>
          <w:numId w:val="15"/>
        </w:numPr>
      </w:pPr>
      <w:r>
        <w:t>éléments en béton [NBN EN 771-3+A1], [PTV 21-001]</w:t>
      </w:r>
    </w:p>
    <w:p w14:paraId="449A1F51" w14:textId="77777777" w:rsidR="00DF410E" w:rsidRDefault="00CE7F43">
      <w:pPr>
        <w:pStyle w:val="Author-eListParagraph"/>
        <w:numPr>
          <w:ilvl w:val="0"/>
          <w:numId w:val="15"/>
        </w:numPr>
      </w:pPr>
      <w:r>
        <w:t>éléments en béton cellulaire autoclavé : [NBN EN 771-4+A1], [PTV 21-002]</w:t>
      </w:r>
    </w:p>
    <w:p w14:paraId="67B02F07" w14:textId="77777777" w:rsidR="00DF410E" w:rsidRDefault="00CE7F43">
      <w:pPr>
        <w:pStyle w:val="Author-eListParagraph"/>
        <w:numPr>
          <w:ilvl w:val="0"/>
          <w:numId w:val="15"/>
        </w:numPr>
      </w:pPr>
      <w:r>
        <w:t>éléments en pierre naturelle [NBN EN 771-6+A1].</w:t>
      </w:r>
    </w:p>
    <w:p w14:paraId="6D09201E" w14:textId="77777777" w:rsidR="00DF410E" w:rsidRDefault="00CE7F43">
      <w:r>
        <w:t>On dénomme « brique » :</w:t>
      </w:r>
      <w:r>
        <w:br/>
        <w:t>- tous les éléments en terre cuite à l’exception des blocs treillis (« snelbouw »)</w:t>
      </w:r>
      <w:r>
        <w:br/>
        <w:t>- tous les éléments en béton d’une largeur inférieure à 14 cm</w:t>
      </w:r>
      <w:r>
        <w:br/>
        <w:t>- tous les éléments en silico-calcaires manipulables avec une seule main ; actuellement, on ne produit plus de brique silico-calcaire en Belgique.</w:t>
      </w:r>
    </w:p>
    <w:p w14:paraId="1222136A" w14:textId="77777777" w:rsidR="00DF410E" w:rsidRDefault="00CE7F43">
      <w:r>
        <w:br/>
        <w:t>On dénomme « blocs » :</w:t>
      </w:r>
      <w:r>
        <w:br/>
        <w:t>- les éléments en terre cuite du type blocs treillis (« snelbouw »)</w:t>
      </w:r>
      <w:r>
        <w:br/>
        <w:t>- tous les éléments en béton dont la largeur est supérieure ou égale à 14 cm</w:t>
      </w:r>
      <w:r>
        <w:br/>
        <w:t>- tous les éléments en silico-calcaires qui ne sont pas manipulables avec une seule main.</w:t>
      </w:r>
    </w:p>
    <w:p w14:paraId="404F8E5E" w14:textId="77777777" w:rsidR="00DF410E" w:rsidRDefault="00CE7F43">
      <w:r>
        <w:t>Concernant les éléments en pierre naturelle :</w:t>
      </w:r>
      <w:r>
        <w:br/>
        <w:t>Toutes les pierres sont exemptes de défauts de nature à compromettre leur bonne tenue dans le temps et à entraver leur utilisation. Les pierres sont saines, sonnent clair sous le coup d'un marteau de fer et sont ingélives. Elles sont débarrassées de toute gangue ou terre, ébousinées à vif et parfaitement nettoyées. Elles sont exemptes de toutes souillures comme les taches de graisse, d'huile, rouille, etc. Les pierres mises en œuvre dans une même partie d'un bâtiment ne différent pas de teinte entre elles.</w:t>
      </w:r>
      <w:r>
        <w:br/>
        <w:t>Les pierres dont l'aspect présente les caractéristiques suivantes sont refusées :</w:t>
      </w:r>
    </w:p>
    <w:p w14:paraId="47158337" w14:textId="77777777" w:rsidR="00DF410E" w:rsidRDefault="00CE7F43">
      <w:pPr>
        <w:pStyle w:val="Author-eListParagraph"/>
        <w:numPr>
          <w:ilvl w:val="0"/>
          <w:numId w:val="16"/>
        </w:numPr>
      </w:pPr>
      <w:r>
        <w:t>des zones de structure schisteuse ou hétérogène ;</w:t>
      </w:r>
    </w:p>
    <w:p w14:paraId="1F57B15F" w14:textId="77777777" w:rsidR="00DF410E" w:rsidRDefault="00CE7F43">
      <w:pPr>
        <w:pStyle w:val="Author-eListParagraph"/>
        <w:numPr>
          <w:ilvl w:val="0"/>
          <w:numId w:val="16"/>
        </w:numPr>
      </w:pPr>
      <w:r>
        <w:t>des cavités ;</w:t>
      </w:r>
    </w:p>
    <w:p w14:paraId="023C3B91" w14:textId="77777777" w:rsidR="00DF410E" w:rsidRDefault="00CE7F43">
      <w:pPr>
        <w:pStyle w:val="Author-eListParagraph"/>
        <w:numPr>
          <w:ilvl w:val="0"/>
          <w:numId w:val="16"/>
        </w:numPr>
      </w:pPr>
      <w:r>
        <w:t>des fissures, des fils ou limés blancs qui sont situés dans un parement ;</w:t>
      </w:r>
    </w:p>
    <w:p w14:paraId="5BC5EA0A" w14:textId="77777777" w:rsidR="00DF410E" w:rsidRDefault="00CE7F43">
      <w:pPr>
        <w:pStyle w:val="Author-eListParagraph"/>
        <w:numPr>
          <w:ilvl w:val="0"/>
          <w:numId w:val="16"/>
        </w:numPr>
      </w:pPr>
      <w:r>
        <w:t>des stylolites qui sont situés à moins de 2 cm d'une face saillante rejointoyée, à moins de 4 cm d'une arête saillante non rejointoyée ou dans les faces des plaques minces (moins de 5 cm d'épaisseur) ;</w:t>
      </w:r>
    </w:p>
    <w:p w14:paraId="52B05C99" w14:textId="77777777" w:rsidR="00DF410E" w:rsidRDefault="00CE7F43">
      <w:pPr>
        <w:pStyle w:val="Author-eListParagraph"/>
        <w:numPr>
          <w:ilvl w:val="0"/>
          <w:numId w:val="16"/>
        </w:numPr>
      </w:pPr>
      <w:r>
        <w:t>des limés noirs lorsqu'ils retiennent l'eau ;</w:t>
      </w:r>
    </w:p>
    <w:p w14:paraId="52DD37B1" w14:textId="77777777" w:rsidR="00DF410E" w:rsidRDefault="00CE7F43">
      <w:pPr>
        <w:pStyle w:val="Author-eListParagraph"/>
        <w:numPr>
          <w:ilvl w:val="0"/>
          <w:numId w:val="16"/>
        </w:numPr>
      </w:pPr>
      <w:r>
        <w:t>de taches blanches d'une superficie supérieure à 1 dm2 ou d'une superficie supérieure à 20 % de la face de parement visible de la pierre ;</w:t>
      </w:r>
    </w:p>
    <w:p w14:paraId="0BAE608A" w14:textId="77777777" w:rsidR="00DF410E" w:rsidRDefault="00CE7F43">
      <w:pPr>
        <w:pStyle w:val="Author-eListParagraph"/>
        <w:numPr>
          <w:ilvl w:val="0"/>
          <w:numId w:val="16"/>
        </w:numPr>
      </w:pPr>
      <w:r>
        <w:t>des parties tendres et des fossiles non adhérents.</w:t>
      </w:r>
    </w:p>
    <w:p w14:paraId="3BBA3C70" w14:textId="77777777" w:rsidR="00DF410E" w:rsidRDefault="00CE7F43">
      <w:r>
        <w:t>Il est interdit d'utiliser un mastic ou toute autre pâte de jointoiement pour cacher les défauts</w:t>
      </w:r>
    </w:p>
    <w:p w14:paraId="72AD7844" w14:textId="77777777" w:rsidR="00DF410E" w:rsidRDefault="00CE7F43">
      <w:r>
        <w:rPr>
          <w:rStyle w:val="headingChar"/>
        </w:rPr>
        <w:t>Produits De Pose</w:t>
      </w:r>
    </w:p>
    <w:p w14:paraId="03EBB1E8" w14:textId="77777777" w:rsidR="00DF410E" w:rsidRDefault="00CE7F43">
      <w:r>
        <w:t>Les mortiers sont utilisés suivant les prescriptions de la [STS 22 série] et choisis en fonction des éléments de maçonnerie à assembler</w:t>
      </w:r>
      <w:r>
        <w:rPr>
          <w:rStyle w:val="normalChar"/>
          <w:color w:val="000000"/>
        </w:rPr>
        <w:t xml:space="preserve"> et de l’exposition (.apte à l’usage en extérieur et compatible avec l’élément de maçonnerie).</w:t>
      </w:r>
    </w:p>
    <w:p w14:paraId="0414C5A9" w14:textId="77777777" w:rsidR="00DF410E" w:rsidRDefault="00CE7F43">
      <w:r>
        <w:rPr>
          <w:b/>
        </w:rPr>
        <w:t>MORTIERS DE MAÇONNERIE MANUFACTURÉS</w:t>
      </w:r>
    </w:p>
    <w:p w14:paraId="2BEF9699" w14:textId="77777777" w:rsidR="00DF410E" w:rsidRDefault="00CE7F43">
      <w:r>
        <w:t>La norme [NBN EN 998-2] et le [PTV 651] définissent les mortiers de montage comme « un mélange composé d'un ou de plusieurs liants inorganiques (minéraux), de granulats, d’eau et parfois d’additions et/ou d'adjuvants, et destiné au hourdage, au jointoiement et au rejointoiement d'éléments en maçonnerie ».</w:t>
      </w:r>
    </w:p>
    <w:p w14:paraId="217139E2" w14:textId="77777777" w:rsidR="00DF410E" w:rsidRDefault="00CE7F43">
      <w:r>
        <w:rPr>
          <w:b/>
        </w:rPr>
        <w:t>MORTIERS DE MAÇONNERIE DOSÉS IN SITU</w:t>
      </w:r>
    </w:p>
    <w:p w14:paraId="0FC665D3" w14:textId="77777777" w:rsidR="00DF410E" w:rsidRDefault="00CE7F43">
      <w:r>
        <w:rPr>
          <w:b/>
        </w:rPr>
        <w:t>Constituants</w:t>
      </w:r>
    </w:p>
    <w:p w14:paraId="493D1782" w14:textId="77777777" w:rsidR="00DF410E" w:rsidRDefault="00CE7F43">
      <w:r>
        <w:t xml:space="preserve">Le ciment est conforme aux spécifications de la norme [NBN EN 413-1] ou de la norme [NBN EN 197-1]. La chaux est conforme aux spécifications de la norme [NBN EN 459-1]. </w:t>
      </w:r>
    </w:p>
    <w:p w14:paraId="47BBB77C" w14:textId="77777777" w:rsidR="00DF410E" w:rsidRDefault="00CE7F43">
      <w:r>
        <w:t>Le granulat est conforme aux spécifications de la norme [NBN EN 13139]. La classe granulaire d/D est 0/2 mm. La teneur en fines (fraction inférieure à 0,063 mm) est limitée (refus cumulé de 100%).</w:t>
      </w:r>
    </w:p>
    <w:p w14:paraId="077AE10C" w14:textId="77777777" w:rsidR="00DF410E" w:rsidRDefault="00CE7F43">
      <w:r>
        <w:t>Au sein de la classe granulaire, on distingue les gros granulats (G), les granulats moyens (M) et les granulats fins (F). Afin de les distinguer, le module de finesse (FM) peut être exprimé (somme des pourcentages cumulés en masse des refus sur la série suivante de tamis (mm), exprimée en pourcentage : 4, 2, 1, 0,5, 0,25, 0,125. Cette définition du FM est identique selon la [NBN EN 13139] et la [NIT 208]). On se base sur les recommandations de l'une ou l'autre pour le choix du granulat en fonction de l'utilisation. </w:t>
      </w:r>
    </w:p>
    <w:p w14:paraId="10184A66" w14:textId="77777777" w:rsidR="00DF410E" w:rsidRDefault="00CE7F43">
      <w:r>
        <w:t>En particulier, les sables gras ou argileux ainsi que les sables fins sont fortement déconseillés et absolument interdits pour les ouvrages de maçonnerie enterrée. Les granulats fins ne sont pas autorisés en maçonnerie non protégée. Le sable ne peut pas contenir plus de 0,5% de matières organiques et doit être exempt de substances solubles et non-solubles telles que les restes d'argile, sulfates, sels de fer. Il doit en outre être stocké de manière à ne pas pouvoir être souillé par d'autres substances.</w:t>
      </w:r>
    </w:p>
    <w:p w14:paraId="0EEAF802" w14:textId="77777777" w:rsidR="00DF410E" w:rsidRDefault="00CE7F43">
      <w:r>
        <w:t>Attention : Pour les maçonneries en briques de terre cuite le module de finesse de sable est compris entre 1 et 1,9 (entre autres en fonction du taux initial d'absorption d'eau (IRA - IW)); lorsque ce dernier est supérieur ou égal à 5, le module de finesse du sable doit au moins être égal à 1,4. L'eau de gâchage s'élève entre 30 et 35% du volume mis en œuvre et ne peut pas être souillée par des matières organiques, des acides, sels, alcalis, sucres, déchets industriels ou autres qui peuvent nuire à la résistance ou à la durabilité du mortier.</w:t>
      </w:r>
    </w:p>
    <w:p w14:paraId="67392D1B" w14:textId="77777777" w:rsidR="00DF410E" w:rsidRDefault="00CE7F43">
      <w:r>
        <w:t>Les adjuvants (entraîneurs d'air, plastifiants, agents de dispersion, …) sont uniquement autorisés sous réserve, moyennant accord de l'auteur de projet et/ou du bureau d'étude. Leur utilisation et le dosage correct doivent satisfaire aux directives du fournisseur et aux normes de la série [NBN EN 934-1]]. </w:t>
      </w:r>
    </w:p>
    <w:p w14:paraId="1784507C" w14:textId="77777777" w:rsidR="00DF410E" w:rsidRDefault="00CE7F43">
      <w:r>
        <w:rPr>
          <w:b/>
        </w:rPr>
        <w:t>Composition</w:t>
      </w:r>
    </w:p>
    <w:p w14:paraId="4A105932" w14:textId="77777777" w:rsidR="00DF410E" w:rsidRDefault="00CE7F43">
      <w:r>
        <w:t>L'entrepreneur adapte la composition du mortier et le choix des adjuvants en fonction des caractéristiques (résistance à la compression, porosité, dureté, …) des éléments de maçonnerie et de la résistance requise pour l'ouvrage de maçonnerie. Il endosse l'entière responsabilité de ces choix. L'influence de la qualité du mortier sur la résistance d'un ouvrage de maçonnerie est d'autant plus importante que le rapport entre les joints et les briques est élevé. En cas de doute au sujet de la force portante totale de l'ouvrage en maçonnerie dans son ensemble, celle-ci peut être testée sur des murets selon la [NBN EN 1052-1]. Les essais sont effectués suivant le cahier spécial des charges et l</w:t>
      </w:r>
      <w:r>
        <w:rPr>
          <w:color w:val="000000"/>
        </w:rPr>
        <w:t>'</w:t>
      </w:r>
      <w:r>
        <w:t>[AR 2013-01-14] - art. 27 - Réception technique.</w:t>
      </w:r>
    </w:p>
    <w:p w14:paraId="703ABD2F" w14:textId="77777777" w:rsidR="00DF410E" w:rsidRDefault="00CE7F43">
      <w:pPr>
        <w:pStyle w:val="Author-eListParagraph"/>
        <w:numPr>
          <w:ilvl w:val="0"/>
          <w:numId w:val="17"/>
        </w:numPr>
      </w:pPr>
      <w:r>
        <w:t>Le dosage du ciment dans la composition du mortier doit se faire minutieusement : trop peu de ciment donne un mortier poreux et de faible cohésion tandis que le surdosage entraîne un mortier à retrait très élevé et à mauvaise adhérence. L'excès d'eau nuit à la qualité. En effet, le mortier devient plus poreux et durcit lentement.</w:t>
      </w:r>
    </w:p>
    <w:p w14:paraId="1878B51A" w14:textId="77777777" w:rsidR="00DF410E" w:rsidRDefault="00CE7F43">
      <w:pPr>
        <w:pStyle w:val="Author-eListParagraph"/>
        <w:numPr>
          <w:ilvl w:val="0"/>
          <w:numId w:val="18"/>
        </w:numPr>
      </w:pPr>
      <w:r>
        <w:t>En raison de la multitude des paramètres d’influence, la norme [NBN EN 1996-1-2 ANB] ne prescrit pas des mélanges équivalents acceptables, décrits par la proportion des constituants, aux catégories (valeurs M) ou valeurs équivalentes de la résistance à la compression selon [NBN EN 998-2]. Elle se limite à donner une information indicative, faisant apparaître notamment que le mortier doit être adapté aux caractéristiques mécaniques des éléments de maçonnerie mis en</w:t>
      </w:r>
      <w:r>
        <w:rPr>
          <w:rStyle w:val="normalChar"/>
          <w:color w:val="000000"/>
        </w:rPr>
        <w:t xml:space="preserve"> œuvre </w:t>
      </w:r>
      <w:r>
        <w:t>(voir tableau 2.3.7 [STS 22 série])</w:t>
      </w:r>
    </w:p>
    <w:p w14:paraId="69C87831" w14:textId="77777777" w:rsidR="00DF410E" w:rsidRDefault="00CE7F43">
      <w:r>
        <w:rPr>
          <w:rStyle w:val="headingChar"/>
        </w:rPr>
        <w:t>COLLES PU UNICOMPOSANT</w:t>
      </w:r>
    </w:p>
    <w:p w14:paraId="4AB7D029" w14:textId="77777777" w:rsidR="00DF410E" w:rsidRDefault="00CE7F43">
      <w:r>
        <w:t>Les colles PU unicomposants sont des mousses colles à faible expansion.</w:t>
      </w:r>
      <w:r>
        <w:br/>
        <w:t xml:space="preserve">La colle doit répondre aux critères d’acceptabilité des produits tels que définis dans le chapitre </w:t>
      </w:r>
      <w:hyperlink r:id="rId10" w:history="1" w:docLocation="68">
        <w:r>
          <w:t>02.42.1 Critères d'acceptabilité</w:t>
        </w:r>
      </w:hyperlink>
      <w:r>
        <w:t>.</w:t>
      </w:r>
      <w:r>
        <w:br/>
        <w:t>La documentation technique à remettre à la Direction de chantier doit garantir la compatibilité de la colle avec le type d’élément de maçonnerie proposé.</w:t>
      </w:r>
      <w:r>
        <w:br/>
        <w:t>La combinaison des éléments de maçonnerie et de la colle fait partie d’un système de construction décrit dans une déclaration d’aptitude à l’emploi.</w:t>
      </w:r>
    </w:p>
    <w:p w14:paraId="08B97F01" w14:textId="77777777" w:rsidR="00DF410E" w:rsidRDefault="00CE7F43">
      <w:r>
        <w:rPr>
          <w:rStyle w:val="headingChar"/>
        </w:rPr>
        <w:t>Accessoires De Maçonnerie</w:t>
      </w:r>
    </w:p>
    <w:p w14:paraId="4F49EF20" w14:textId="77777777" w:rsidR="00DF410E" w:rsidRDefault="00CE7F43">
      <w:r>
        <w:rPr>
          <w:rStyle w:val="normalChar"/>
          <w:color w:val="000000"/>
        </w:rPr>
        <w:t>Les accessoires (attaches, brides, consoles, étriers, armatures des joints, linteaux, ...) sont conformes aux spécifications des normes européennes en vigueur</w:t>
      </w:r>
      <w:r>
        <w:t xml:space="preserve"> et aux règles et principes de conception de la [NBN EN 1996 série].</w:t>
      </w:r>
    </w:p>
    <w:p w14:paraId="62678D71" w14:textId="77777777" w:rsidR="00DF410E" w:rsidRDefault="00CE7F43">
      <w:r>
        <w:rPr>
          <w:rStyle w:val="normalChar"/>
          <w:color w:val="000000"/>
        </w:rPr>
        <w:t>Les attaches, brides de fixation, étriers de support et consoles </w:t>
      </w:r>
      <w:r>
        <w:t>répondent aux spécifications de la norme [NBN EN 845-1:2013+A1].</w:t>
      </w:r>
    </w:p>
    <w:p w14:paraId="39AA1AB1" w14:textId="77777777" w:rsidR="00DF410E" w:rsidRDefault="00CE7F43">
      <w:pPr>
        <w:spacing w:line="259" w:lineRule="auto"/>
      </w:pPr>
      <w:r>
        <w:rPr>
          <w:rStyle w:val="normalChar"/>
          <w:color w:val="000000"/>
        </w:rPr>
        <w:t>Les linteaux répondent aux spécifications de la norme [NBN EN 845-1:2013+A1].</w:t>
      </w:r>
    </w:p>
    <w:p w14:paraId="4DCECEB1" w14:textId="77777777" w:rsidR="00DF410E" w:rsidRDefault="00CE7F43">
      <w:pPr>
        <w:spacing w:line="259" w:lineRule="auto"/>
      </w:pPr>
      <w:r>
        <w:rPr>
          <w:rStyle w:val="normalChar"/>
          <w:color w:val="000000"/>
        </w:rPr>
        <w:t>Les treillis d’armature en acier pour joints horizontaux  répondent aux spécifications de la norme [NBN EN 845-3:2013+A1].</w:t>
      </w:r>
    </w:p>
    <w:p w14:paraId="11DC46B4" w14:textId="77777777" w:rsidR="00DF410E" w:rsidRDefault="00CE7F43">
      <w:pPr>
        <w:spacing w:line="259" w:lineRule="auto"/>
      </w:pPr>
      <w:r>
        <w:rPr>
          <w:rStyle w:val="normalChar"/>
          <w:color w:val="000000"/>
        </w:rPr>
        <w:t>Les accessoires sont choisis en fonction de leur nature et des classes d'exposition de la [NBN EN 1996-2 ANB].</w:t>
      </w:r>
    </w:p>
    <w:p w14:paraId="4A91182B" w14:textId="77777777" w:rsidR="00DF410E" w:rsidRDefault="00DF410E"/>
    <w:p w14:paraId="3B590CFA" w14:textId="77777777" w:rsidR="00DF410E" w:rsidRDefault="00CE7F43">
      <w:pPr>
        <w:pStyle w:val="pheading"/>
      </w:pPr>
      <w:r>
        <w:t>EXÉCUTION / MISE EN ŒUVRE</w:t>
      </w:r>
    </w:p>
    <w:p w14:paraId="6253A71D" w14:textId="77777777" w:rsidR="00DF410E" w:rsidRDefault="00CE7F43">
      <w:r>
        <w:rPr>
          <w:b/>
        </w:rPr>
        <w:t>PROTECTION CONTRE L'HUMIDITÉ</w:t>
      </w:r>
    </w:p>
    <w:p w14:paraId="3E3EEAA3" w14:textId="77777777" w:rsidR="00DF410E" w:rsidRDefault="00CE7F43">
      <w:r>
        <w:t xml:space="preserve">Conformément aux règles de bonne pratique et/ou selon les indications sur les plans ou les dessins de détail, les murs sont efficacement protégés contre l'humidité ascendante ou d'infiltration. En plus des méthodes courantes de cimentage et d'enduisage étanche décrites dans les notes d'exécution complémentaires, des méthodes de cuvelage plus appropriées peuvent être reprises sous la rubrique </w:t>
      </w:r>
      <w:hyperlink w:anchor="357" w:history="1">
        <w:r>
          <w:t>26.12 Traitements d'étanchéisation</w:t>
        </w:r>
      </w:hyperlink>
      <w:r>
        <w:t xml:space="preserve"> .</w:t>
      </w:r>
    </w:p>
    <w:p w14:paraId="0EBC46A9" w14:textId="77777777" w:rsidR="00DF410E" w:rsidRDefault="00CE7F43">
      <w:r>
        <w:rPr>
          <w:b/>
        </w:rPr>
        <w:t>LIAISONNEMENTS ET ANCRAGES</w:t>
      </w:r>
    </w:p>
    <w:p w14:paraId="67EF73E5" w14:textId="77777777" w:rsidR="00DF410E" w:rsidRDefault="00CE7F43">
      <w:r>
        <w:t>Les éléments de liaison et d'ancrage des ouvrages de maçonnerie entre eux et/ou à d'autres éléments de la construction doivent satisfaire aux principes d'exécution exposés dans les [STS 22 série] et la [NIT 271]. Les échantillons des matériaux de liaison et d'ancrage sont préalablement soumis à l'approbation de l'auteur de projet</w:t>
      </w:r>
    </w:p>
    <w:p w14:paraId="683E025D" w14:textId="77777777" w:rsidR="00DF410E" w:rsidRDefault="00CE7F43">
      <w:r>
        <w:t>Les murs attenants sont liaisonnés aux murs continus :</w:t>
      </w:r>
    </w:p>
    <w:p w14:paraId="2DED9263" w14:textId="77777777" w:rsidR="00DF410E" w:rsidRDefault="00CE7F43">
      <w:pPr>
        <w:pStyle w:val="Author-eListParagraph"/>
        <w:numPr>
          <w:ilvl w:val="0"/>
          <w:numId w:val="19"/>
        </w:numPr>
      </w:pPr>
      <w:r>
        <w:rPr>
          <w:u w:val="single"/>
        </w:rPr>
        <w:t>en appareil</w:t>
      </w:r>
      <w:r>
        <w:t>.</w:t>
      </w:r>
    </w:p>
    <w:p w14:paraId="0E15A953" w14:textId="77777777" w:rsidR="00DF410E" w:rsidRDefault="00CE7F43">
      <w:pPr>
        <w:pStyle w:val="Author-eListParagraph"/>
        <w:numPr>
          <w:ilvl w:val="0"/>
          <w:numId w:val="19"/>
        </w:numPr>
      </w:pPr>
      <w:r>
        <w:rPr>
          <w:u w:val="single"/>
        </w:rPr>
        <w:t>à l'aide de fers à béton</w:t>
      </w:r>
      <w:r>
        <w:t xml:space="preserve"> de 6 cm de diamètre, insérés dans les joints des murs continus. Ces armatures de liaison sont placées tous les 60 cm sur une longueur de minimum 50 cm dans les deux murs. Dans le mur attenant, elles sont alternativement posées à gauche et à droite.</w:t>
      </w:r>
    </w:p>
    <w:p w14:paraId="700D81F5" w14:textId="77777777" w:rsidR="00DF410E" w:rsidRDefault="00CE7F43">
      <w:pPr>
        <w:pStyle w:val="Author-eListParagraph"/>
        <w:numPr>
          <w:ilvl w:val="0"/>
          <w:numId w:val="19"/>
        </w:numPr>
      </w:pPr>
      <w:r>
        <w:rPr>
          <w:u w:val="single"/>
        </w:rPr>
        <w:t>à l'aide d'armatures transversales</w:t>
      </w:r>
      <w:r>
        <w:t xml:space="preserve"> en forme de diagonale, constituées d'un treillis préfabriqué sur la base de deux barres longitudinales profilées ou d'un système équivalent, incorporé dans les joints du mur continu. Une armature similaire est placée dans les joints du mur attenant. Les armatures présentent une longueur de 50 cm à partir du point d'intersection, dans tous les sens. On prévoit au moins 2 armatures par mètre de hauteur.</w:t>
      </w:r>
    </w:p>
    <w:p w14:paraId="513F85AB" w14:textId="77777777" w:rsidR="00DF410E" w:rsidRDefault="00CE7F43">
      <w:pPr>
        <w:pStyle w:val="Author-eListParagraph"/>
        <w:numPr>
          <w:ilvl w:val="0"/>
          <w:numId w:val="19"/>
        </w:numPr>
      </w:pPr>
      <w:r>
        <w:rPr>
          <w:u w:val="single"/>
        </w:rPr>
        <w:t>à l'aide de fers feuillards galvanisés</w:t>
      </w:r>
      <w:r>
        <w:t xml:space="preserve"> de 40 x 2 mm et d'environ 35 cm de longueur qui sont cloués tous les 60 cm dans les joints longitudinaux à l'aide clous galvanisés de 8 cm de longueur.</w:t>
      </w:r>
    </w:p>
    <w:p w14:paraId="0CF7E018" w14:textId="77777777" w:rsidR="00DF410E" w:rsidRDefault="00CE7F43">
      <w:r>
        <w:t>Les colonnes en béton sont liaisonnées mécaniquement à la maçonnerie, tous les 60 cm. Les murs sont liaisonnés à l'ossature en béton à l'aide de feuillards de 40 x 2 mm, insérés dans les joints de la maçonnerie sur une distance d'environ 50 cm et placés tous les 60 cm de hauteur.</w:t>
      </w:r>
    </w:p>
    <w:p w14:paraId="1C5CAC92" w14:textId="77777777" w:rsidR="00DF410E" w:rsidRDefault="00CE7F43">
      <w:r>
        <w:t>Tous les autres éléments de structure sont liaisonnés à la maçonnerie à l'aide des ancrages appropriés. Leur écartement ne dépasse pas 60 cm.</w:t>
      </w:r>
    </w:p>
    <w:p w14:paraId="2A552B31" w14:textId="77777777" w:rsidR="00DF410E" w:rsidRDefault="00CE7F43">
      <w:r>
        <w:t>Ancrage des murs aux constructions existantes : en principe, les murs sont liaisonnés en appareil dans les murs existants. Si cela s'avère impossible, une bande d'ancrage est insérée dans la maçonnerie tous les 50 cm et ancrée dans la construction existante. Des ancrages analogues seront posés tous les 50 cm, horizontalement et verticalement, entre les deux parties d'un mur, composé de deux fois une demi-brique.</w:t>
      </w:r>
    </w:p>
    <w:p w14:paraId="2066BB96" w14:textId="77777777" w:rsidR="00DF410E" w:rsidRDefault="00CE7F43">
      <w:r>
        <w:t>Pour le liaisonnement entre les murs non porteurs et les planchers et s'il existe un risque de fissuration et de fendillement, il faut tenir compte des mesures à prendre telles qu'elles sont proposées dans les [STS 22 série] et la [NIT 271].</w:t>
      </w:r>
    </w:p>
    <w:p w14:paraId="20373998" w14:textId="77777777" w:rsidR="00DF410E" w:rsidRDefault="00CE7F43">
      <w:r>
        <w:t>Les murs isolés sont étayés afin de résister aux sollicitations du vent.</w:t>
      </w:r>
    </w:p>
    <w:p w14:paraId="01A9365E" w14:textId="77777777" w:rsidR="00DF410E" w:rsidRDefault="00CE7F43">
      <w:r>
        <w:rPr>
          <w:b/>
        </w:rPr>
        <w:t>REPRISE DES SOLLICITATIONS VERTICALES - APPUIS POUR HOURDIS ET LINTEAUX</w:t>
      </w:r>
    </w:p>
    <w:p w14:paraId="539765D3" w14:textId="77777777" w:rsidR="00DF410E" w:rsidRDefault="00CE7F43">
      <w:r>
        <w:t>L'appui des planchers et des linteaux est exécuté conformément aux [STS 22 série] et à la [NIT 271].</w:t>
      </w:r>
    </w:p>
    <w:p w14:paraId="722A39E6" w14:textId="77777777" w:rsidR="00DF410E" w:rsidRDefault="00CE7F43">
      <w:r>
        <w:t>Les murs ne peuvent pas être mis en charge avant d'avoir atteint une résistance suffisante.</w:t>
      </w:r>
    </w:p>
    <w:p w14:paraId="58FC2796" w14:textId="77777777" w:rsidR="00DF410E" w:rsidRDefault="00CE7F43">
      <w:pPr>
        <w:pStyle w:val="Author-eListParagraph"/>
        <w:numPr>
          <w:ilvl w:val="0"/>
          <w:numId w:val="20"/>
        </w:numPr>
      </w:pPr>
      <w:r>
        <w:t>Le temps d'attente avant de pouvoir poser une charge uniformément répartie sur les ouvrages en maçonnerie est de 16 heures (dans des conditions normales pour le mortier de maçonnerie).</w:t>
      </w:r>
    </w:p>
    <w:p w14:paraId="5C878938" w14:textId="77777777" w:rsidR="00DF410E" w:rsidRDefault="00CE7F43">
      <w:pPr>
        <w:pStyle w:val="Author-eListParagraph"/>
        <w:numPr>
          <w:ilvl w:val="0"/>
          <w:numId w:val="20"/>
        </w:numPr>
      </w:pPr>
      <w:r>
        <w:t>Le temps d'attente avant de pouvoir poser une charge ponctuelle sur un ouvrage de maçonnerie est de 24 heures (dans des conditions normales pour le mortier de maçonnerie).</w:t>
      </w:r>
    </w:p>
    <w:p w14:paraId="56A8207B" w14:textId="77777777" w:rsidR="00DF410E" w:rsidRDefault="00CE7F43">
      <w:r>
        <w:t>Il est hors de question d'utiliser les murs non porteurs comme coffrage pour les éléments porteurs. Les murs non porteurs ne peuvent être maçonnés que lorsque les éléments porteurs ont été décoffrés.</w:t>
      </w:r>
    </w:p>
    <w:p w14:paraId="0AF2E12F" w14:textId="77777777" w:rsidR="00DF410E" w:rsidRDefault="00CE7F43">
      <w:r>
        <w:t xml:space="preserve">La longueur d'appui des linteaux de portes et fenêtres (préfabriqués ou non) est calculée en fonction des charges et est d'au moins </w:t>
      </w:r>
      <w:r>
        <w:rPr>
          <w:rStyle w:val="normalChar"/>
          <w:color w:val="000000"/>
        </w:rPr>
        <w:t>10 cm, voire 20 cm en cas de sollicitations sismiques</w:t>
      </w:r>
      <w:r>
        <w:t xml:space="preserve">. Le bord de l'appui reste au moins 40 mm en retrait de la battée de la baie (voir également </w:t>
      </w:r>
      <w:hyperlink w:anchor="358" w:history="1">
        <w:r>
          <w:t>22.13 Linteaux en béton</w:t>
        </w:r>
      </w:hyperlink>
      <w:r>
        <w:t xml:space="preserve"> ou </w:t>
      </w:r>
      <w:hyperlink w:anchor="401" w:history="1">
        <w:r>
          <w:t>23.13 Linteaux métalliques</w:t>
        </w:r>
      </w:hyperlink>
      <w:r>
        <w:t>.</w:t>
      </w:r>
    </w:p>
    <w:p w14:paraId="22B57B07" w14:textId="77777777" w:rsidR="00DF410E" w:rsidRDefault="00CE7F43">
      <w:r>
        <w:t>Les linteaux dans la maçonnerie en béton cellulaire autoclavé et en briques silico-calcaires sont posés en indépendance avec interposition, par exemple, d'une couche de feutre bitumé. L'appui est réalisé à l'aide d'un joint en matériau élastique insensible à l'humidité et imputrescible.</w:t>
      </w:r>
    </w:p>
    <w:p w14:paraId="273D82CD" w14:textId="77777777" w:rsidR="00DF410E" w:rsidRDefault="00CE7F43">
      <w:r>
        <w:t>Dans le cas de charges ponctuelles lourdes et/ou lorsque les poutres s'appuient perpendiculairement au mur, la charge concentrée doit être efficacement répartie sur la maçonnerie, soit à l'aide d'une poutre de répartition, soit en remplissant les briques creuses ou en les remplaçant par des briques pleines ou perforées.</w:t>
      </w:r>
    </w:p>
    <w:p w14:paraId="7DCFC258" w14:textId="77777777" w:rsidR="00DF410E" w:rsidRDefault="00CE7F43">
      <w:r>
        <w:t>Les charges de plancher sont centrées dans l'axe de la surface d'appui; ainsi, la longueur d'appui des hourdis préfabriqués est d'au moins 7 cm; soit au moins la moitié de l'épaisseur de la dalle de sol armée. La longueur d'appui des prédalles est d'au moins 5 cm. La profondeur de l'appui est augmentée de 2 cm.</w:t>
      </w:r>
    </w:p>
    <w:p w14:paraId="265F9BF0" w14:textId="77777777" w:rsidR="00DF410E" w:rsidRDefault="00CE7F43">
      <w:pPr>
        <w:pStyle w:val="Author-eListParagraph"/>
        <w:numPr>
          <w:ilvl w:val="0"/>
          <w:numId w:val="21"/>
        </w:numPr>
      </w:pPr>
      <w:r>
        <w:t>pour les portées de plus de 5 mètres et/ou lorsqu'on peut s'attendre à un fléchissement à long terme ;</w:t>
      </w:r>
    </w:p>
    <w:p w14:paraId="3CEE044E" w14:textId="77777777" w:rsidR="00DF410E" w:rsidRDefault="00CE7F43">
      <w:pPr>
        <w:pStyle w:val="Author-eListParagraph"/>
        <w:numPr>
          <w:ilvl w:val="0"/>
          <w:numId w:val="21"/>
        </w:numPr>
      </w:pPr>
      <w:r>
        <w:t>pour les appuis sur les murs en matériaux de maçonnerie légers.</w:t>
      </w:r>
    </w:p>
    <w:p w14:paraId="1227EE12" w14:textId="77777777" w:rsidR="00DF410E" w:rsidRDefault="00CE7F43">
      <w:r>
        <w:rPr>
          <w:b/>
        </w:rPr>
        <w:t>CROCHETS DE MUR</w:t>
      </w:r>
    </w:p>
    <w:p w14:paraId="20E4D1D4" w14:textId="77777777" w:rsidR="00DF410E" w:rsidRDefault="00CE7F43">
      <w:r>
        <w:t>Le diamètre des crochets et leur longueur sont tels qu'</w:t>
      </w:r>
      <w:r>
        <w:rPr>
          <w:rStyle w:val="normalChar"/>
          <w:color w:val="000000"/>
        </w:rPr>
        <w:t>ils respectent les spécifications normatives (longueur d’ancrage minimale à respecter)</w:t>
      </w:r>
      <w:r>
        <w:t>. Ils sont toujours pourvus d'un rejet d'eau qui se trouve dans la coulisse du mur creux. Pour les murs à coulisse partiellement isolée, les crochets sont pourvus d'une rosette synthétique (rondelle en matière plastique) fixée solidement afin de bien maintenir l'isolation en place. Lorsque le mur de contre-façade / l'isolation / la maçonnerie de parement doit être érigé en trois phases distinctes, on peut également, moyennant l'accord de l'auteur de projet, utiliser des chevilles d'ancrage appropriées, qui sont chassées dans la maçonnerie de contre-façade.</w:t>
      </w:r>
    </w:p>
    <w:p w14:paraId="055268B8" w14:textId="77777777" w:rsidR="00DF410E" w:rsidRDefault="00CE7F43">
      <w:r>
        <w:rPr>
          <w:b/>
        </w:rPr>
        <w:t>MESURES PRÉVENTIVES CONTRE LES FISSURATIONS - JOINTS DE DILATATION</w:t>
      </w:r>
    </w:p>
    <w:p w14:paraId="4587FEE2" w14:textId="77777777" w:rsidR="00DF410E" w:rsidRDefault="00CE7F43">
      <w:r>
        <w:t>Conformément à la norme [NBN EN 1996-2 ANB], aux [STS 22 série] et à la [NIT 271] il faut prévoir les joints de dilatation nécessaires afin qu'ils puissent reprendre les tassements différentiels et les mouvements hygrométriques qui se produisent dans la maçonnerie.</w:t>
      </w:r>
    </w:p>
    <w:p w14:paraId="0D4A0C1B" w14:textId="77777777" w:rsidR="00DF410E" w:rsidRDefault="00CE7F43">
      <w:r>
        <w:t>L'emplacement exact des joints est indiqué sur les plans et/ou est déterminé en fonction de l'étude du fabricant des blocs de maçonnerie. Les joints de retrait verticaux traversent toute l'épaisseur du mur, y compris les éventuelles briques de façade et sont conçus de façon telle que les tronçons de murs puissent bouger librement et souplement sans que l'étanchéité du joint n'en pâtisse. Ils présentent une largeur de 10 à 15 mm .</w:t>
      </w:r>
    </w:p>
    <w:p w14:paraId="6CBF1FC7" w14:textId="77777777" w:rsidR="00DF410E" w:rsidRDefault="00CE7F43">
      <w:r>
        <w:t>Les joints sont rembourrés à l'aide d'un matériau imputrescible et élastique à base de polysulfides, appliqué sur un fond de joint en matériau synthétique. L'intérieur du joint peut être bourré à l'aide d'un matériau (mousse de polyuréthane, laine de verre, polystyrène expansé) qui sert de support à la couche d'étanchéité. Cette dernière doit présenter une épaisseur suffisante pour bien adhérer aux lèvres du joint.</w:t>
      </w:r>
    </w:p>
    <w:p w14:paraId="7B33096E" w14:textId="77777777" w:rsidR="00DF410E" w:rsidRDefault="00CE7F43">
      <w:r>
        <w:t>Une note de calcul des joints de dilatation est soumise pour approbation à l'auteur de projet.</w:t>
      </w:r>
    </w:p>
    <w:p w14:paraId="6FFDAFC7" w14:textId="77777777" w:rsidR="00DF410E" w:rsidRDefault="00CE7F43">
      <w:r>
        <w:rPr>
          <w:rStyle w:val="headingChar"/>
        </w:rPr>
        <w:t>Mise En œUvre Sur Chantier</w:t>
      </w:r>
    </w:p>
    <w:p w14:paraId="724D5801" w14:textId="77777777" w:rsidR="00DF410E" w:rsidRDefault="00CE7F43">
      <w:r>
        <w:rPr>
          <w:b/>
        </w:rPr>
        <w:t>FOURNITURE &amp; ENTREPOSAGE DES MATÉRIAUX</w:t>
      </w:r>
    </w:p>
    <w:p w14:paraId="1C36222A" w14:textId="77777777" w:rsidR="00DF410E" w:rsidRDefault="00CE7F43">
      <w:r>
        <w:t>En ce qui concerne l'approvisionnement, l'âge, le transport et le stockage, les prescriptions des [STS 22 série] et de la [NIT 271] sont d'application. Les éléments sont livrés sur palettes et sont emballés dans des feuilles de plastic sauf en ce qui concerne les blocs de béton ou d’argile expansée. L'entrepreneur prend les mesures nécessaires pour que les palettes soient stockées sur un terrain plat et sec. L'emballage est enlevé le plus tard possible avant la mise en œuvre. En hiver, il faut absolument éviter que les éléments non résistant au gel ne s'humidifient.</w:t>
      </w:r>
    </w:p>
    <w:p w14:paraId="63C96C37" w14:textId="77777777" w:rsidR="00DF410E" w:rsidRDefault="00CE7F43">
      <w:r>
        <w:rPr>
          <w:b/>
        </w:rPr>
        <w:t>MISE EN ŒUVRE DES MORTIERS</w:t>
      </w:r>
    </w:p>
    <w:p w14:paraId="41495458" w14:textId="77777777" w:rsidR="00DF410E" w:rsidRDefault="00CE7F43">
      <w:r>
        <w:t>L'entrepreneur est tenu de vérifier à l'avance la compatibilité du mortier avec les éléments à mettre en œuvre et respecte à cet effet</w:t>
      </w:r>
      <w:r>
        <w:rPr>
          <w:rStyle w:val="normalChar"/>
          <w:color w:val="000000"/>
        </w:rPr>
        <w:t xml:space="preserve"> la documentation technique accompagnant les produits</w:t>
      </w:r>
      <w:r>
        <w:t>.</w:t>
      </w:r>
    </w:p>
    <w:p w14:paraId="3535900E" w14:textId="77777777" w:rsidR="00DF410E" w:rsidRDefault="00CE7F43">
      <w:pPr>
        <w:spacing w:line="259" w:lineRule="auto"/>
      </w:pPr>
      <w:r>
        <w:rPr>
          <w:rStyle w:val="normalChar"/>
          <w:b/>
          <w:color w:val="000000"/>
        </w:rPr>
        <w:t>Mise en œuvre d’une colle PU uni-composant</w:t>
      </w:r>
      <w:r>
        <w:br/>
      </w:r>
      <w:r>
        <w:rPr>
          <w:rStyle w:val="normalChar"/>
          <w:color w:val="000000"/>
        </w:rPr>
        <w:t xml:space="preserve"> Les prescriptions des fabricants et celles reprises dans la déclaration d’aptitude à l’emploi doivent être suivies. </w:t>
      </w:r>
      <w:r>
        <w:br/>
      </w:r>
      <w:r>
        <w:rPr>
          <w:rStyle w:val="normalChar"/>
          <w:color w:val="000000"/>
        </w:rPr>
        <w:t xml:space="preserve"> Le temps de durcissement dépend des températures et de l’humidité de l’air. </w:t>
      </w:r>
      <w:r>
        <w:br/>
      </w:r>
      <w:r>
        <w:rPr>
          <w:rStyle w:val="normalChar"/>
          <w:color w:val="000000"/>
        </w:rPr>
        <w:t xml:space="preserve"> La température minimale et maximale de mise en œuvre est respectée.</w:t>
      </w:r>
      <w:r>
        <w:br/>
      </w:r>
      <w:r>
        <w:rPr>
          <w:rStyle w:val="normalChar"/>
          <w:color w:val="000000"/>
        </w:rPr>
        <w:t xml:space="preserve"> Les conditions de stockage des bombes de colle PU sont respectées ; les bombes sont protégées contre le soleil et les autres sources de chaleur.</w:t>
      </w:r>
      <w:r>
        <w:br/>
      </w:r>
      <w:r>
        <w:rPr>
          <w:rStyle w:val="normalChar"/>
          <w:color w:val="000000"/>
        </w:rPr>
        <w:t xml:space="preserve"> Les blocs sont toujours brossés avant d’appliquer la colle PU. </w:t>
      </w:r>
      <w:r>
        <w:br/>
      </w:r>
      <w:r>
        <w:rPr>
          <w:rStyle w:val="normalChar"/>
          <w:color w:val="000000"/>
        </w:rPr>
        <w:t xml:space="preserve"> La colle est appliquée en bandes dont le nombre et la largeur sont fonction de l’épaisseur du mur. Elle est appliquée avec soin pour éviter tout débordement.</w:t>
      </w:r>
    </w:p>
    <w:p w14:paraId="62E44BFD" w14:textId="77777777" w:rsidR="00DF410E" w:rsidRDefault="00CE7F43">
      <w:r>
        <w:rPr>
          <w:b/>
        </w:rPr>
        <w:t>MESURES DE PROTECTION</w:t>
      </w:r>
    </w:p>
    <w:p w14:paraId="6B44201E" w14:textId="77777777" w:rsidR="00DF410E" w:rsidRDefault="00CE7F43">
      <w:r>
        <w:t>Les précautions nécessaires sont prises afin de protéger les ouvrages de maçonnerie exécutés contre toute dégradation mécanique et les influences atmosphériques :</w:t>
      </w:r>
    </w:p>
    <w:p w14:paraId="2F911EBA" w14:textId="77777777" w:rsidR="00DF410E" w:rsidRDefault="00CE7F43">
      <w:r>
        <w:t>Afin d'obtenir la meilleure adhérence entre le mortier et l'élément de maçonnerie, la nécessité de leur humidification préalable doit être étudiée en fonction des caractéristiques de l'élément, du mortier et des circonstances atmosphériques. En période de sécheresse durable, les briques sont humidifiées la veille de leur mise en œuvre. Il est toutefois interdit de les mouiller par immersion. Dans tous les cas, on respecte les préconisations des producteurs.</w:t>
      </w:r>
    </w:p>
    <w:p w14:paraId="6D549AE9" w14:textId="77777777" w:rsidR="00DF410E" w:rsidRDefault="00CE7F43">
      <w:r>
        <w:t>Par temps chaud et sec ou par grand ensoleillement, la maçonnerie fraîchement exécutée doit être légèrement aspergée afin d'éviter que le mortier ne se dessèche avant qu'il ne soit durci. Par temps froid, l'entrepreneur respecte les préconisations spécifiques.</w:t>
      </w:r>
    </w:p>
    <w:p w14:paraId="61C7D893" w14:textId="77777777" w:rsidR="00DF410E" w:rsidRDefault="00CE7F43">
      <w:r>
        <w:t>Il est fortement déconseillé de maçonner par des températures &lt;5°C.</w:t>
      </w:r>
    </w:p>
    <w:p w14:paraId="4ACC6A06" w14:textId="77777777" w:rsidR="00DF410E" w:rsidRDefault="00CE7F43">
      <w:r>
        <w:t>Si la maçonnerie fraîche est exposée à des températures inférieures à 5°C, elle doit être protégée avec un isolant.</w:t>
      </w:r>
    </w:p>
    <w:p w14:paraId="1F0C543B" w14:textId="77777777" w:rsidR="00DF410E" w:rsidRDefault="00CE7F43">
      <w:r>
        <w:t>Afin de limiter le risque d'apparition d'efflorescences, l'entrepreneur couvre, à la fin de chaque journée de travail et par temps de pluie, les lits supérieurs de l'ouvrage en maçonnerie afin de le protéger d'une humidification et que l'eau ne puisse s'accumuler dans les creux des briques.</w:t>
      </w:r>
    </w:p>
    <w:p w14:paraId="37080C10" w14:textId="77777777" w:rsidR="00DF410E" w:rsidRDefault="00CE7F43">
      <w:r>
        <w:t>En ce qui concerne le durcissement des ouvrages en maçonnerie, on respecte une période d'au moins 16 heures avant d'y faire reposer des planchers et 24 heures avant d'y appuyer des charges ponctuelles.</w:t>
      </w:r>
    </w:p>
    <w:p w14:paraId="4AC3973B" w14:textId="77777777" w:rsidR="00DF410E" w:rsidRDefault="00CE7F43">
      <w:r>
        <w:rPr>
          <w:b/>
        </w:rPr>
        <w:t>EXÉCUTION DES JOINTS</w:t>
      </w:r>
    </w:p>
    <w:p w14:paraId="4C8D8EF8" w14:textId="77777777" w:rsidR="00DF410E" w:rsidRDefault="00CE7F43">
      <w:r>
        <w:rPr>
          <w:b/>
        </w:rPr>
        <w:t>Epaisseur des joints de mortier </w:t>
      </w:r>
    </w:p>
    <w:p w14:paraId="6DB2A671" w14:textId="77777777" w:rsidR="00DF410E" w:rsidRDefault="00CE7F43">
      <w:r>
        <w:t>Le type et l'épaisseur de mortier sont choisis en fonction de l'utilisation (critères techniques et esthétiques). L'épaisseur de mortier préconisée par le producteur est respectée.</w:t>
      </w:r>
    </w:p>
    <w:p w14:paraId="79A841E5" w14:textId="77777777" w:rsidR="00DF410E" w:rsidRDefault="00CE7F43">
      <w:r>
        <w:rPr>
          <w:b/>
        </w:rPr>
        <w:t>Préparation du mortier</w:t>
      </w:r>
    </w:p>
    <w:p w14:paraId="46F4F057" w14:textId="77777777" w:rsidR="00DF410E" w:rsidRDefault="00CE7F43">
      <w:r>
        <w:t>Sauf mentions spécifiques dans le cahier spécial des charges, l'entrepreneur aura le choix entre</w:t>
      </w:r>
    </w:p>
    <w:p w14:paraId="3DB52713" w14:textId="77777777" w:rsidR="00DF410E" w:rsidRDefault="00CE7F43">
      <w:pPr>
        <w:pStyle w:val="Author-eListParagraph"/>
        <w:numPr>
          <w:ilvl w:val="0"/>
          <w:numId w:val="22"/>
        </w:numPr>
      </w:pPr>
      <w:r>
        <w:rPr>
          <w:u w:val="single"/>
        </w:rPr>
        <w:t>les mortiers préparés</w:t>
      </w:r>
      <w:r>
        <w:t xml:space="preserve"> mécaniquement sur chantier.</w:t>
      </w:r>
    </w:p>
    <w:p w14:paraId="69A8EC33" w14:textId="77777777" w:rsidR="00DF410E" w:rsidRDefault="00CE7F43">
      <w:pPr>
        <w:pStyle w:val="Author-eListParagraph"/>
        <w:numPr>
          <w:ilvl w:val="0"/>
          <w:numId w:val="22"/>
        </w:numPr>
      </w:pPr>
      <w:r>
        <w:rPr>
          <w:u w:val="single"/>
        </w:rPr>
        <w:t>les mortiers d'usine mélangés à l'avance du type sec</w:t>
      </w:r>
      <w:r>
        <w:t xml:space="preserve"> : ils sont préparés sur chantier conformément aux prescriptions du fabricant. Les mélanges livrés en vrac sont uniquement autorisés lorsqu'ils peuvent être stockés sur chantier dans des silos fermés.</w:t>
      </w:r>
    </w:p>
    <w:p w14:paraId="107A5ABD" w14:textId="77777777" w:rsidR="00DF410E" w:rsidRDefault="00CE7F43">
      <w:pPr>
        <w:pStyle w:val="Author-eListParagraph"/>
        <w:numPr>
          <w:ilvl w:val="0"/>
          <w:numId w:val="22"/>
        </w:numPr>
      </w:pPr>
      <w:r>
        <w:rPr>
          <w:u w:val="single"/>
        </w:rPr>
        <w:t>les mortiers d'usine mélangés à l'avance du type humide</w:t>
      </w:r>
      <w:r>
        <w:t xml:space="preserve"> : ils sont dosés et préparés sans qu'on doive ajouter de l'eau. L'entrepreneur est tenu de soumettre à l'auteur de projet les bons de livraison mentionnant la provenance et la composition du mortier ; Les bons mentionnent la catégorie du mortier livré, la classe du ciment utilisé, les rapports de dosage entre les différents liants pour le mortier bâtard, le temps de mise en œuvre et la présence d'adjuvants (retardateurs de prise).</w:t>
      </w:r>
    </w:p>
    <w:p w14:paraId="40F7C1F4" w14:textId="77777777" w:rsidR="00DF410E" w:rsidRDefault="00CE7F43">
      <w:pPr>
        <w:spacing w:line="259" w:lineRule="auto"/>
      </w:pPr>
      <w:r>
        <w:t>L'entrepreneur prend les précautions nécessaires pour protéger le mortier contre les influences atmosphériques. Il est interdit d'utiliser du mortier bâtard par temps de gel. Seule l'utilisation modérée et bien dosée d'agents moussants est alors autorisée.</w:t>
      </w:r>
    </w:p>
    <w:p w14:paraId="7BD87771" w14:textId="77777777" w:rsidR="00DF410E" w:rsidRDefault="00CE7F43">
      <w:r>
        <w:rPr>
          <w:b/>
        </w:rPr>
        <w:t xml:space="preserve">Mortier de rejointoiement (pour la maçonnerie apparente). </w:t>
      </w:r>
    </w:p>
    <w:p w14:paraId="3A6B2708" w14:textId="77777777" w:rsidR="00DF410E" w:rsidRDefault="00CE7F43">
      <w:r>
        <w:t>Pour tous les ouvrages de rejointoiement en montant dans les espaces intérieurs, on utilise le mortier de maçonnerie. Lorsque le jointoiement se fait après la réalisation de la maçonnerie, les joints sont d'abord évidés et l'entrepreneur contrôle, sous sa responsabilité, la compatibilité des deux mortiers. Voir aussi la [NIT 208].</w:t>
      </w:r>
    </w:p>
    <w:p w14:paraId="3BC536D9" w14:textId="77777777" w:rsidR="00DF410E" w:rsidRDefault="00CE7F43">
      <w:r>
        <w:rPr>
          <w:b/>
        </w:rPr>
        <w:t>MODALITÉS DE MISE EN ŒUVRE.</w:t>
      </w:r>
    </w:p>
    <w:p w14:paraId="17D5ED9D" w14:textId="77777777" w:rsidR="00DF410E" w:rsidRDefault="00CE7F43">
      <w:r>
        <w:rPr>
          <w:b/>
        </w:rPr>
        <w:t>Mode d'exécution courant</w:t>
      </w:r>
    </w:p>
    <w:p w14:paraId="05095E28" w14:textId="77777777" w:rsidR="00DF410E" w:rsidRDefault="00CE7F43">
      <w:r>
        <w:t>L'épaisseur nominale des joints est en moyenne de 10 à 12 mm pour une maçonnerie traditionnelle, compte tenu des tolérances concernant les briques utilisées. Des mortiers spécialement formulés pour l'usage peuvent être appliqués en d'autres épaisseurs.</w:t>
      </w:r>
    </w:p>
    <w:p w14:paraId="536DC7E6" w14:textId="77777777" w:rsidR="00DF410E" w:rsidRDefault="00CE7F43">
      <w:r>
        <w:t>Toutes les précautions sont prises pour donner à la maçonnerie un aspect soigné et impeccable et de le conserver. Les nids de terre ou d'autres matériaux dans la maçonnerie doivent être évités. Après chaque interruption de travail, l'entrepreneur enlève tous les restes de mortier lié sur le dernier tas de briques ou de blocs.</w:t>
      </w:r>
    </w:p>
    <w:p w14:paraId="359A9234" w14:textId="77777777" w:rsidR="00DF410E" w:rsidRDefault="00CE7F43">
      <w:r>
        <w:rPr>
          <w:rStyle w:val="normalChar"/>
          <w:color w:val="000000"/>
        </w:rPr>
        <w:t xml:space="preserve">Pour la maçonnerie à joints minces ou collée, la première couche d'assise est réalisée en mortier traditionnel. Les blocs destinés à être assemblés par collage ne sont jamais humidifiés (sauf si les conditions atmosphériques l’exigent). </w:t>
      </w:r>
    </w:p>
    <w:p w14:paraId="05E7B1F5" w14:textId="77777777" w:rsidR="00DF410E" w:rsidRDefault="00CE7F43">
      <w:r>
        <w:rPr>
          <w:b/>
        </w:rPr>
        <w:t>Maçonnerie destinée à rester apparente.</w:t>
      </w:r>
    </w:p>
    <w:p w14:paraId="24A2A80C" w14:textId="77777777" w:rsidR="00DF410E" w:rsidRDefault="00CE7F43">
      <w:r>
        <w:t>Les faces visibles des maçonneries destinées à rester apparentes sont dans la mesure du possible constituées de briques pleines et/ou de demi-briques. Il est interdit d'utiliser des éléments cassés ou de forme ou d'aspect irréguliers. Les briques entières sont coupées par sciage mécanique de façon à ne laisser aucune trace de briques coupées. Les angles sont toujours maçonnés en appareil.</w:t>
      </w:r>
    </w:p>
    <w:p w14:paraId="0F159600" w14:textId="77777777" w:rsidR="00DF410E" w:rsidRDefault="00CE7F43">
      <w:r>
        <w:t xml:space="preserve">Les blochets intégrés dans les murs ne sont pas visibles dans la face apparente de la maçonnerie. Pour la maçonnerie destinée à rester apparente, il est préférable que les conduites électriques soient intégrées dans la maçonnerie en montant. Dans la face vue de la maçonnerie, les ouvertures nécessaires pour les boîtes de dérivation sont soigneusement réservées ou découpées (voir également le Tome </w:t>
      </w:r>
      <w:hyperlink r:id="rId11" w:history="1" w:docLocation="35">
        <w:r>
          <w:t>7 T7 Electricité</w:t>
        </w:r>
      </w:hyperlink>
      <w:r>
        <w:t>).</w:t>
      </w:r>
    </w:p>
    <w:p w14:paraId="4A2835F9" w14:textId="77777777" w:rsidR="00DF410E" w:rsidRDefault="00CE7F43">
      <w:r>
        <w:t xml:space="preserve">Sauf mention contraire, les ouvrages de maçonnerie sont rejointoyés à plat en montant avec du mortier identique à celui de la maçonnerie. Pour les ouvrages en maçonnerie destinés à recevoir un plafonnage ou un carrelage, l'entrepreneur évide les joints sur une profondeur d'environ 10 à 12 mm en retrait du nu du mur. Les joints doivent être brossés et tous les restes de mortiers adhérents aux briques doivent être soigneusement enlevés. Les faces visibles des briques sont nettoyées et protégées contre toutes les éventuelles souillures. </w:t>
      </w:r>
    </w:p>
    <w:p w14:paraId="03AB5F3D" w14:textId="77777777" w:rsidR="00DF410E" w:rsidRDefault="00CE7F43">
      <w:r>
        <w:rPr>
          <w:b/>
        </w:rPr>
        <w:t>Appareil de maçonnerie - dimensionnement - tolérances</w:t>
      </w:r>
    </w:p>
    <w:p w14:paraId="6071491A" w14:textId="77777777" w:rsidR="00DF410E" w:rsidRDefault="00CE7F43">
      <w:r>
        <w:t>Toutes les règles de l'art sont respectées afin de donner aux ouvrages de maçonnerie un aspect soigné et régulier, c'est-à-dire que :</w:t>
      </w:r>
    </w:p>
    <w:p w14:paraId="750E4F25" w14:textId="77777777" w:rsidR="00DF410E" w:rsidRDefault="00CE7F43">
      <w:pPr>
        <w:pStyle w:val="Author-eListParagraph"/>
        <w:numPr>
          <w:ilvl w:val="0"/>
          <w:numId w:val="23"/>
        </w:numPr>
      </w:pPr>
      <w:r>
        <w:t>Tous les murs sont maçonnés d'aplomb, d'équerre et bien plans : tous les bords ou ouvertures dans les murs sont parfaitement d'aplomb, la face de jour est bien lisse. On maçonne chaque assise au cordeau. L'ouvrage est refusé lorsque les tolérances en ce qui concerne les baies de portes et fenêtres ne sont pas respectées.</w:t>
      </w:r>
    </w:p>
    <w:p w14:paraId="40FF4370" w14:textId="77777777" w:rsidR="00DF410E" w:rsidRDefault="00CE7F43">
      <w:pPr>
        <w:pStyle w:val="Author-eListParagraph"/>
        <w:numPr>
          <w:ilvl w:val="0"/>
          <w:numId w:val="23"/>
        </w:numPr>
      </w:pPr>
      <w:r>
        <w:t>Les joints sont de niveau et rectilignes et présente partout la même épaisseur, compte tenu des tolérances en ce qui concerne les éléments de maçonnerie utilisés. L'épaisseur moyenne des joints est contrôlée sur une hauteur de 10 tas.</w:t>
      </w:r>
    </w:p>
    <w:p w14:paraId="1BCB096A" w14:textId="77777777" w:rsidR="00DF410E" w:rsidRDefault="00CE7F43">
      <w:pPr>
        <w:pStyle w:val="Author-eListParagraph"/>
        <w:numPr>
          <w:ilvl w:val="0"/>
          <w:numId w:val="23"/>
        </w:numPr>
      </w:pPr>
      <w:r>
        <w:t>Les joints montants doivent s'alterner. Sauf mention contraire dans le cahier spécial des charges, les murs sont maçonnés en appareil d'une demi-brique (brique SB).</w:t>
      </w:r>
    </w:p>
    <w:p w14:paraId="5734E64C" w14:textId="77777777" w:rsidR="00DF410E" w:rsidRDefault="00CE7F43">
      <w:pPr>
        <w:pStyle w:val="Author-eListParagraph"/>
        <w:numPr>
          <w:ilvl w:val="0"/>
          <w:numId w:val="23"/>
        </w:numPr>
      </w:pPr>
      <w:r>
        <w:t>Toutes les faces visibles de la maçonnerie destinée à rester apparente sont exclusivement exécutées à l'aide d'éléments de construction dont la longueur est supérieure à une demi-brique. Les pièces d'ajustage sont sciées mécaniquement et non coupées.</w:t>
      </w:r>
    </w:p>
    <w:p w14:paraId="2373D3B1" w14:textId="77777777" w:rsidR="00DF410E" w:rsidRDefault="00CE7F43">
      <w:r>
        <w:rPr>
          <w:color w:val="000000"/>
        </w:rPr>
        <w:t xml:space="preserve">Les façades comportent à chaque niveau un élément de construction satisfaisant, pendant une durée déterminée en fonction du type de bâtiment, au critère d’étanchéité aux flammes. </w:t>
      </w:r>
    </w:p>
    <w:p w14:paraId="2D8CFE3A" w14:textId="77777777" w:rsidR="00DF410E" w:rsidRDefault="00CE7F43">
      <w:r>
        <w:t xml:space="preserve">Support aux prescripteurs : [AR 1994-07-07] et [SWL GSI/T1/C] de la prévention passive référencé dans le tome </w:t>
      </w:r>
      <w:hyperlink r:id="rId12" w:history="1" w:docLocation="2">
        <w:r>
          <w:t>0 T0 Entreprise / Chantier</w:t>
        </w:r>
      </w:hyperlink>
      <w:r>
        <w:t>  de ce cahier des charges.</w:t>
      </w:r>
    </w:p>
    <w:p w14:paraId="1501B125" w14:textId="77777777" w:rsidR="00DF410E" w:rsidRDefault="00CE7F43">
      <w:r>
        <w:rPr>
          <w:b/>
        </w:rPr>
        <w:t>Murs de séparation entre habitations</w:t>
      </w:r>
    </w:p>
    <w:p w14:paraId="7CF58326" w14:textId="77777777" w:rsidR="00DF410E" w:rsidRDefault="00CE7F43">
      <w:r>
        <w:t>Les murs séparant deux habitations sont dédoublés, ils sont séparés mécaniquement par une coulisse, de manière à être indépendants. Aucun crochet de mur ou patte d'ancrage, aucune dalle de fondation ou dalle de sol ne peut lier les deux murs entre eux.</w:t>
      </w:r>
    </w:p>
    <w:p w14:paraId="71B5372C" w14:textId="77777777" w:rsidR="00DF410E" w:rsidRDefault="00CE7F43">
      <w:r>
        <w:t xml:space="preserve">En ce qui concerne l'isolation thermique, le mur à coulisse satisfait aux exigences conformément à la réglementation PEB. Il satisfait aussi aux normes d'isolation acoustique [NBN S 01-400] (voir rubrique </w:t>
      </w:r>
      <w:hyperlink r:id="rId13" w:history="1" w:docLocation="73">
        <w:r>
          <w:t>52.4 Isolation</w:t>
        </w:r>
      </w:hyperlink>
      <w:r>
        <w:t>.</w:t>
      </w:r>
    </w:p>
    <w:p w14:paraId="50128241" w14:textId="77777777" w:rsidR="00DF410E" w:rsidRDefault="00CE7F43">
      <w:r>
        <w:rPr>
          <w:b/>
        </w:rPr>
        <w:t>Membranes d'étanchéité </w:t>
      </w:r>
    </w:p>
    <w:p w14:paraId="711BC769" w14:textId="77777777" w:rsidR="00DF410E" w:rsidRDefault="00CE7F43">
      <w:r>
        <w:t>Conformément aux règles de bonne pratique et/ou selon les indications sur les plans ou les dessins de détail, on applique partout où cela s'avère nécessaire, une couche d'étanchéité contre l'humidité ascendante et en vue d'évacuer les eaux de pluie ou de condensation, c'est-à-dire à la base des murs creux, à tous les endroits où la coulisse est interrompue et à chaque transition du mur extérieur d'un environnement intérieur vers un environnement extérieur (murs dépassants, pénétrations de toiture des cheminées).</w:t>
      </w:r>
    </w:p>
    <w:p w14:paraId="51BDF224" w14:textId="77777777" w:rsidR="00DF410E" w:rsidRDefault="00CE7F43">
      <w:r>
        <w:t xml:space="preserve">A la base de tous les ouvrages en maçonnerie d'élévation, on place des membranes anticapillaires. Ces membranes sont posées sur tous les murs de fondation, tant pour les murs intérieurs qu'extérieurs, un tas au-dessus du niveau de rez-de-chaussée, soit au moins 2 cm à maximum 6 cm au-dessus du niveau de sol fini. Sauf dispositions spécifiques dans le cahier spécial des charges, l'entrepreneur peut librement choisir le matériau des feuilles et membranes d’étanchéité à l’eau sous la rubrique </w:t>
      </w:r>
      <w:hyperlink w:anchor="354" w:history="1">
        <w:r>
          <w:t>26.11 Feuilles et membranes d'étanchéité à l'eau</w:t>
        </w:r>
      </w:hyperlink>
      <w:r>
        <w:t xml:space="preserve"> .</w:t>
      </w:r>
    </w:p>
    <w:p w14:paraId="7EFF3799" w14:textId="77777777" w:rsidR="00DF410E" w:rsidRDefault="00CE7F43">
      <w:r>
        <w:t>Les membranes sont posées sur toute l'épaisseur du mur et insérées entre 2 couches de mortier. Dans le sens longitudinal, les membranes sont posées dans la plus grande longueur possible. Les joints sont réalisés avec un chevauchement conforme aux prescriptions de pose de la membrane utilisée.</w:t>
      </w:r>
    </w:p>
    <w:p w14:paraId="2004F7B3" w14:textId="77777777" w:rsidR="00DF410E" w:rsidRDefault="00CE7F43">
      <w:r>
        <w:t xml:space="preserve">Les membranes d'étanchéité pour l'évacuation des eaux de pluie ou de condensation dans les murs creux sont décrites sous la rubrique </w:t>
      </w:r>
      <w:hyperlink w:anchor="354" w:history="1">
        <w:r>
          <w:t>26.11 Feuilles et membranes d'étanchéité à l'eau</w:t>
        </w:r>
      </w:hyperlink>
      <w:r>
        <w:t>.</w:t>
      </w:r>
    </w:p>
    <w:p w14:paraId="799F3F1A" w14:textId="77777777" w:rsidR="00DF410E" w:rsidRDefault="00CE7F43">
      <w:r>
        <w:t>Au-dessus de tous les linteaux de portes et fenêtres, on pose une membrane d'étanchéité en forme de Z dans le creux du mur afin d'évacuer l'eau d'infiltration. La membrane d'étanchéité doit couvrir toujours toute l'épaisseur du mur extérieur et est repliée de façon telle que l'évacuation se fasse vers l'extérieur. Latéralement, la membrane d'étanchéité est relevée afin d'empêcher que l'eau d'infiltration ne s'écoule dans la coulisse. Les chevauchements sont toujours collés ou assemblés par soudure à froid. Afin de permettre à l'eau d'infiltration de s'évacuer, on laisse des joints montants ouverts sur toute leur hauteur (jusqu'au joint d'assise suivant), à raison d'environ deux par mètre courant. Tous les deux étages, l'étanchéité en forme de Z n'est pas uniquement appliquée au-dessus des linteaux mais également sur toute la largeur de la façade. Au droit des poutres coulées sur place, au-dessus des baies de portes et fenêtres, on place des bandes d'isolation entre la poutre et le parement du mur ainsi qu'une bande d'étanchéité. Les ancrages des cornières métalliques doivent percer cette isolation.</w:t>
      </w:r>
    </w:p>
    <w:p w14:paraId="6D44C7AC" w14:textId="77777777" w:rsidR="00DF410E" w:rsidRDefault="00CE7F43">
      <w:r>
        <w:t>Au pied des murs creux, on place en outre, à hauteur du niveau du terrain, une double étanchéité, dont la partie supérieure est remontée dans le mur de contre-façade. Lorsque le niveau du terrain à l'extérieur n'est pas horizontal, l'étanchéité est posée en gradins qui se superposent et se chevauchent. La pose et le pliage des couches doivent assurer l'écoulement de l'eau vers le bas. Le cas échéant, l'étanchéité dans les coulisses repose sur une bande d'isolation inclinée, non capillaire et imputrescible.</w:t>
      </w:r>
    </w:p>
    <w:p w14:paraId="02ACFBD0" w14:textId="77777777" w:rsidR="00DF410E" w:rsidRDefault="00CE7F43">
      <w:r>
        <w:t>En outre, on prévoit une étanchéité à tous les points de contact des murs creux, sous l'appui des hourdis, au-dessus des caves et de vides ventilés, au-dessus des linteaux en béton dans les murs extérieurs, dans les conduits de cheminées au droit des pénétrations de toiture (en suivant en gradins la pente du versant), à la jonction avec un mur de façade plus élevé (contre l'eau d'infiltration) et partout où l’on peut supposer qu'il y a danger d'infiltration d'eau (eau de pluie, hausse du niveau de la nappe phréatique, eau d'infiltration, etc.).</w:t>
      </w:r>
    </w:p>
    <w:p w14:paraId="41450473" w14:textId="77777777" w:rsidR="00DF410E" w:rsidRDefault="00CE7F43">
      <w:r>
        <w:t>Pour les murs existants, la couche d'étanchéité est posée en même temps que la maçonnerie d'élévation. Les bavettes d'étanchéité doivent recouvrir alors toute l'épaisseur du parement et doivent être relevées sur au moins 5 cm contre le mur de façade. Les bavettes sont placées dans un joint du contre-mur de façade et doivent ressortir quelques tas plus bas dans le mur de parement. Afin de permettre l'évacuation des eaux d'infiltration, on laisse quelques joints montants ouverts dans la première assise de la maçonnerie de parement, au-dessus des bavettes, à raison d'environ 2 joints au mètre courant et ce, sur toute la hauteur des joints montants.</w:t>
      </w:r>
    </w:p>
    <w:p w14:paraId="0FC877DD" w14:textId="77777777" w:rsidR="00DF410E" w:rsidRDefault="00DF410E"/>
    <w:p w14:paraId="18AB19BA" w14:textId="77777777" w:rsidR="00DF410E" w:rsidRDefault="00CE7F43">
      <w:r>
        <w:rPr>
          <w:b/>
        </w:rPr>
        <w:t>DÉTAILS D'EXÉCUTION</w:t>
      </w:r>
    </w:p>
    <w:p w14:paraId="7706B023" w14:textId="77777777" w:rsidR="00DF410E" w:rsidRDefault="00CE7F43">
      <w:r>
        <w:rPr>
          <w:b/>
        </w:rPr>
        <w:t xml:space="preserve">Percements </w:t>
      </w:r>
    </w:p>
    <w:p w14:paraId="56A01810" w14:textId="77777777" w:rsidR="00DF410E" w:rsidRDefault="00CE7F43">
      <w:r>
        <w:t>Dans la mesure du possible, il convient de prévoir les percements et les fourreaux de passage pendant les travaux de gros-œuvre. L'entrepreneur prévoit par conséquent à l'avance les ouvertures qui doivent être ménagées afin de limiter le plus possible les décapages par la suite (cette mesure s’applique certainement aux parties des maçonneries destinées à rester apparentes).</w:t>
      </w:r>
    </w:p>
    <w:p w14:paraId="56C806A3" w14:textId="77777777" w:rsidR="00DF410E" w:rsidRDefault="00CE7F43">
      <w:r>
        <w:t>Lorsque l'entrepreneur refuse ou oublie d'effectuer ces travaux, lui-même ou un de ses sous-traitants doit réaliser par la suite les percements et les forages et toutes les conséquences qui en découlent seront entièrement à sa charge. Aucun décompte ou adaptation du délai ne peut être attribué du chef de cette situation.</w:t>
      </w:r>
    </w:p>
    <w:p w14:paraId="52B37979" w14:textId="77777777" w:rsidR="00DF410E" w:rsidRDefault="00CE7F43">
      <w:r>
        <w:rPr>
          <w:b/>
        </w:rPr>
        <w:t>Dispositifs d'ancrage pour la menuiserie intérieure</w:t>
      </w:r>
    </w:p>
    <w:p w14:paraId="4A480421" w14:textId="77777777" w:rsidR="00DF410E" w:rsidRDefault="00CE7F43">
      <w:r>
        <w:t>Les ouvertures de gros-œuvre destinées à recevoir des portes intérieures ou des revêtements doivent être situées dans le mur de manière à pouvoir appliquer un encadrement (chambranle) complet. Lorsque la maçonnerie est construite en matériaux non clouables ou vissables, l'entrepreneur doit prévoir, dans les ébrasements des baies de portes et fenêtres, des blochets ou autres moyens de fixation permettant de placer les dormants. Le prix est toujours compris dans celui de la maçonnerie d'élévation.</w:t>
      </w:r>
    </w:p>
    <w:p w14:paraId="47D3326A" w14:textId="77777777" w:rsidR="00DF410E" w:rsidRDefault="00CE7F43">
      <w:r>
        <w:t>Les blochets d'ancrage doivent satisfaire aux conditions suivantes : Les blochets clouables sont en queue d'aronde et pourvus de rainures de manière à assurer une adhérence parfaite dans l'ouvrage de maçonnerie. Ils sont facilement clouables et/ou vissables, sans retrait ni dilatation. Ils sont fabriqués soit en PNG ou RND durci (préalablement imprégnés d'un produit antiseptique selon les [STS 04 série] .31.12]), soit fabriqués à base de ciment et de matériaux inertes et imputrescibles, c'est-à-dire du béton clouable dans le format d'une brique de terre cuite.</w:t>
      </w:r>
    </w:p>
    <w:p w14:paraId="0C41F0D7" w14:textId="77777777" w:rsidR="00DF410E" w:rsidRDefault="00CE7F43">
      <w:r>
        <w:t>L'appareillage du mur ne peut pas être interrompu pour la pose des blochets. Ils ne peuvent en aucun cas interrompre l'isolation du mur. Les blochets de mur sont bien ancrés dans la maçonnerie, la longueur des blocs ne pouvant être supérieure à l'épaisseur du mur. Dans les maçonneries destinées à rester apparentes, les blochets doivent être invisibles lorsque le mur est terminé.</w:t>
      </w:r>
    </w:p>
    <w:p w14:paraId="58C123E6" w14:textId="77777777" w:rsidR="00DF410E" w:rsidRDefault="00CE7F43">
      <w:r>
        <w:t>Dans les murs érigés en blocs de plâtre, en blocs de béton cellulaire autoclavé et/ou en briques silico-calcaires pleines, les blochets sont remplacés par des vis et chevilles en inox de longueur adaptée en fonction de l'utilisation. Le nombre de points de fixation est directement proportionnel à la rigidité de l'ensemble.</w:t>
      </w:r>
    </w:p>
    <w:p w14:paraId="048B0673" w14:textId="77777777" w:rsidR="00DF410E" w:rsidRDefault="00CE7F43">
      <w:r>
        <w:t>L'emplacement des blochets ou des autres moyens de fixation dans la maçonnerie ainsi que leur nombre doit satisfaire aux indications pour la menuiserie correspondante (voir les postes concernés); l'entrepreneur est responsable de la bonne coordination à ce sujet.</w:t>
      </w:r>
    </w:p>
    <w:p w14:paraId="64831FB9" w14:textId="77777777" w:rsidR="00DF410E" w:rsidRDefault="00CE7F43">
      <w:r>
        <w:t>Battées latérales : à maximum 20 cm de l'ébrasement supérieur et inférieur de la baie; l'espacement entre 2 points de fixation n'excède pas 60 cm.</w:t>
      </w:r>
    </w:p>
    <w:p w14:paraId="1564F405" w14:textId="77777777" w:rsidR="00DF410E" w:rsidRDefault="00CE7F43">
      <w:r>
        <w:t>Battée supérieure</w:t>
      </w:r>
    </w:p>
    <w:p w14:paraId="5CF2284D" w14:textId="77777777" w:rsidR="00DF410E" w:rsidRDefault="00CE7F43">
      <w:pPr>
        <w:pStyle w:val="Author-eListParagraph"/>
        <w:numPr>
          <w:ilvl w:val="0"/>
          <w:numId w:val="24"/>
        </w:numPr>
      </w:pPr>
      <w:r>
        <w:t>Largeur de la baie &lt;1 m : pas de point de fixation ;</w:t>
      </w:r>
    </w:p>
    <w:p w14:paraId="5100EC8F" w14:textId="77777777" w:rsidR="00DF410E" w:rsidRDefault="00CE7F43">
      <w:pPr>
        <w:pStyle w:val="Author-eListParagraph"/>
        <w:numPr>
          <w:ilvl w:val="0"/>
          <w:numId w:val="24"/>
        </w:numPr>
      </w:pPr>
      <w:r>
        <w:t>Largeur de la baie &gt; 1 m : 1 point de fixation par mètre courant, régulièrement répartis sur toute la portée du linteau.</w:t>
      </w:r>
    </w:p>
    <w:p w14:paraId="2B801AF1" w14:textId="77777777" w:rsidR="00DF410E" w:rsidRDefault="00CE7F43">
      <w:r>
        <w:t>Caisses à volets : deux par ébrasement.</w:t>
      </w:r>
    </w:p>
    <w:p w14:paraId="6C966617" w14:textId="77777777" w:rsidR="00DF410E" w:rsidRDefault="00CE7F43">
      <w:r>
        <w:t>Dimensions des blochets : hauteur = au moins 4 cm; profondeur = au moins 6 cm; la largeur est de respectivement :</w:t>
      </w:r>
    </w:p>
    <w:p w14:paraId="60D778B0" w14:textId="77777777" w:rsidR="00DF410E" w:rsidRDefault="00CE7F43">
      <w:pPr>
        <w:pStyle w:val="Author-eListParagraph"/>
        <w:numPr>
          <w:ilvl w:val="0"/>
          <w:numId w:val="25"/>
        </w:numPr>
      </w:pPr>
      <w:r>
        <w:t>Pour les baies de fenêtres : largeur = minimum 4 cm;</w:t>
      </w:r>
    </w:p>
    <w:p w14:paraId="453DED5A" w14:textId="77777777" w:rsidR="00DF410E" w:rsidRDefault="00CE7F43">
      <w:pPr>
        <w:pStyle w:val="Author-eListParagraph"/>
        <w:numPr>
          <w:ilvl w:val="0"/>
          <w:numId w:val="25"/>
        </w:numPr>
      </w:pPr>
      <w:r>
        <w:t>Pour les baies de portes : largeur = égale à l'épaisseur du mur;</w:t>
      </w:r>
    </w:p>
    <w:p w14:paraId="73C7615F" w14:textId="77777777" w:rsidR="00DF410E" w:rsidRDefault="00CE7F43">
      <w:pPr>
        <w:pStyle w:val="Author-eListParagraph"/>
        <w:numPr>
          <w:ilvl w:val="0"/>
          <w:numId w:val="25"/>
        </w:numPr>
      </w:pPr>
      <w:r>
        <w:t>Pour la maçonnerie apparente : largeur = respectivement 5-9-12 cm pour les épaisseurs de murs de 9-14-19 cm; </w:t>
      </w:r>
    </w:p>
    <w:p w14:paraId="42EF64E2" w14:textId="77777777" w:rsidR="00DF410E" w:rsidRDefault="00CE7F43">
      <w:pPr>
        <w:pStyle w:val="pheading"/>
      </w:pPr>
      <w:r>
        <w:t>CONTRÔLES</w:t>
      </w:r>
    </w:p>
    <w:p w14:paraId="74FE172D" w14:textId="77777777" w:rsidR="00DF410E" w:rsidRDefault="00CE7F43">
      <w:r>
        <w:t>On ne peut procéder au remblayage des fouilles que lorsque l'auteur de projet a donné son accord et lorsque les enduits et cimentages sur les maçonneries des fondations, des caves et des vides sanitaires sont terminés et suffisamment durcis.</w:t>
      </w:r>
    </w:p>
    <w:p w14:paraId="52CC1AD3" w14:textId="77777777" w:rsidR="00DF410E" w:rsidRDefault="00CE7F43">
      <w:r>
        <w:rPr>
          <w:rStyle w:val="headingChar"/>
        </w:rPr>
        <w:t>Matériaux</w:t>
      </w:r>
    </w:p>
    <w:p w14:paraId="7B2DE5B1" w14:textId="77777777" w:rsidR="00DF410E" w:rsidRDefault="00CE7F43">
      <w:r>
        <w:t>La fourniture, l'échantillonnage et l'essai des matériaux se font conformément aux normes respectives.</w:t>
      </w:r>
    </w:p>
    <w:p w14:paraId="2AD1BDB9" w14:textId="77777777" w:rsidR="00DF410E" w:rsidRDefault="00CE7F43">
      <w:r>
        <w:t xml:space="preserve">Les matériaux livrés et mis en œuvre sont conformes aux </w:t>
      </w:r>
      <w:hyperlink r:id="rId14" w:history="1" w:docLocation="68">
        <w:r>
          <w:t>02.42.1 Critères d'acceptabilité</w:t>
        </w:r>
      </w:hyperlink>
      <w:r>
        <w:t>. En cas de doute, des essais de compression peuvent être effectués sur des murets conformément à la méthode décrite dans la norme [NBN EN 1052-1]. </w:t>
      </w:r>
    </w:p>
    <w:p w14:paraId="4B6836F3" w14:textId="77777777" w:rsidR="00DF410E" w:rsidRDefault="00CE7F43">
      <w:r>
        <w:rPr>
          <w:rStyle w:val="headingChar"/>
        </w:rPr>
        <w:t>Exécution</w:t>
      </w:r>
    </w:p>
    <w:p w14:paraId="7810F2D3" w14:textId="77777777" w:rsidR="00DF410E" w:rsidRDefault="00CE7F43">
      <w:r>
        <w:t>Tous les murs doivent respecter les écarts admissibles maximaux repris dans le tableau 52 de la [NIT 271].</w:t>
      </w:r>
    </w:p>
    <w:p w14:paraId="3D406DBB" w14:textId="77777777" w:rsidR="00DF410E" w:rsidRDefault="00CE7F43">
      <w:r>
        <w:t>L'ouvrage peut être refusé lorsque les tolérances susmentionnées ne sont pas respectées.</w:t>
      </w:r>
    </w:p>
    <w:p w14:paraId="6BBE7A1E" w14:textId="77777777" w:rsidR="00DF410E" w:rsidRDefault="00CE7F43">
      <w:pPr>
        <w:pStyle w:val="pheading"/>
      </w:pPr>
      <w:r>
        <w:t>DOCUMENTS DE RÉFÉRENCE</w:t>
      </w:r>
    </w:p>
    <w:p w14:paraId="055FD347" w14:textId="77777777" w:rsidR="00DF410E" w:rsidRDefault="00CE7F43">
      <w:pPr>
        <w:pStyle w:val="pheading"/>
      </w:pPr>
      <w:r>
        <w:t>- Matériau</w:t>
      </w:r>
    </w:p>
    <w:p w14:paraId="4839005E" w14:textId="77777777" w:rsidR="00DF410E" w:rsidRDefault="00DF410E"/>
    <w:p w14:paraId="4DCFEB1E" w14:textId="77777777" w:rsidR="00DF410E" w:rsidRDefault="00CE7F43">
      <w:pPr>
        <w:pStyle w:val="Author-eListParagraph"/>
        <w:numPr>
          <w:ilvl w:val="0"/>
          <w:numId w:val="26"/>
        </w:numPr>
      </w:pPr>
      <w:r>
        <w:t>Eléments de maçonnerie</w:t>
      </w:r>
    </w:p>
    <w:p w14:paraId="3C7BB6FD" w14:textId="77777777" w:rsidR="00DF410E" w:rsidRDefault="00CE7F43">
      <w:r>
        <w:t>[NBN EN 771-1+A1, Spécification pour éléments de maçonnerie - Partie 1: Briques de terre cuite]</w:t>
      </w:r>
    </w:p>
    <w:p w14:paraId="7127E09F" w14:textId="77777777" w:rsidR="00DF410E" w:rsidRDefault="00CE7F43">
      <w:r>
        <w:t>[PTV 23-002, Prescriptions techniques pour les briques de façades]</w:t>
      </w:r>
    </w:p>
    <w:p w14:paraId="21E1365D" w14:textId="77777777" w:rsidR="00DF410E" w:rsidRDefault="00CE7F43">
      <w:r>
        <w:t>[PTV 23-003, Prescriptions techniques pour les briques de maçonnerie non-décorative]</w:t>
      </w:r>
    </w:p>
    <w:p w14:paraId="57EF5856" w14:textId="77777777" w:rsidR="00DF410E" w:rsidRDefault="00CE7F43">
      <w:r>
        <w:t>[NBN EN 771-2+A1, Spécifications pour éléments de maçonnerie - Partie 2: Éléments de maçonnerie en silico-calcaire]</w:t>
      </w:r>
    </w:p>
    <w:p w14:paraId="141CD12F" w14:textId="77777777" w:rsidR="00DF410E" w:rsidRDefault="00CE7F43">
      <w:r>
        <w:t>[PTV 21-003, Eléments de maçonnerie en silico-calcaire - Classification et spécifications d'application.]</w:t>
      </w:r>
    </w:p>
    <w:p w14:paraId="3091A7CE" w14:textId="77777777" w:rsidR="00DF410E" w:rsidRDefault="00CE7F43">
      <w:r>
        <w:t>[NBN EN 771-3+A1, Spécifications pour éléments de maçonnerie - Partie 3: Éléments de maçonnerie en béton de granulats (granulats courants et légers)]</w:t>
      </w:r>
    </w:p>
    <w:p w14:paraId="5EDF585C" w14:textId="77777777" w:rsidR="00DF410E" w:rsidRDefault="00CE7F43">
      <w:r>
        <w:t>[PTV 21-001, Eléments de maçonnerie en béton (granulats courants et légers) - Classification et spécifications d'application]</w:t>
      </w:r>
    </w:p>
    <w:p w14:paraId="394DA90C" w14:textId="77777777" w:rsidR="00DF410E" w:rsidRDefault="00CE7F43">
      <w:r>
        <w:t>[NBN EN 771-4+A1, Spécifications pour éléments de maçonnerie - Partie 4: Éléments de maçonnerie en béton cellulaire autoclavé]</w:t>
      </w:r>
    </w:p>
    <w:p w14:paraId="735B1337" w14:textId="77777777" w:rsidR="00DF410E" w:rsidRDefault="00CE7F43">
      <w:r>
        <w:t>[PTV 21-002, Eléments de maçonnerie en béton cellulaire autoclavé - Classification et spécifications d'application.]</w:t>
      </w:r>
    </w:p>
    <w:p w14:paraId="07FD075D" w14:textId="77777777" w:rsidR="00DF410E" w:rsidRDefault="00CE7F43">
      <w:r>
        <w:t>[NBN EN 771-5+A1, Spécifications pour éléments de maçonnerie - Partie 5: Éléments de maçonnerie en pierre reconstituée]</w:t>
      </w:r>
    </w:p>
    <w:p w14:paraId="1110414C" w14:textId="77777777" w:rsidR="00DF410E" w:rsidRDefault="00CE7F43">
      <w:r>
        <w:t>[NBN EN 771-6+A1, Spécification pour éléments de maçonnerie - Partie 6: Éléments de maçonnerie en pierre naturelle]</w:t>
      </w:r>
    </w:p>
    <w:p w14:paraId="37A5B12A" w14:textId="77777777" w:rsidR="00DF410E" w:rsidRDefault="00CE7F43">
      <w:pPr>
        <w:pStyle w:val="Author-eListParagraph"/>
        <w:numPr>
          <w:ilvl w:val="0"/>
          <w:numId w:val="27"/>
        </w:numPr>
      </w:pPr>
      <w:r>
        <w:t>Mortiers de maçonnerie industriels</w:t>
      </w:r>
    </w:p>
    <w:p w14:paraId="6A8A66B5" w14:textId="77777777" w:rsidR="00DF410E" w:rsidRDefault="00CE7F43">
      <w:r>
        <w:t>[NBN EN 998-2, Définitions et spécifications des mortiers pour maçonnerie - Partie 2: Mortiers de montage des éléments de maçonnerie]</w:t>
      </w:r>
    </w:p>
    <w:p w14:paraId="5A930E69" w14:textId="77777777" w:rsidR="00DF410E" w:rsidRDefault="00CE7F43">
      <w:r>
        <w:t>[TRA 651, Édition 2.2 Règlement d’Application pour le mortier de maçonnerie à performances selon la NBN EN 998-2 et le mortier de jointoyage complémentaire selon la Recommandation CUR 61]</w:t>
      </w:r>
    </w:p>
    <w:p w14:paraId="569CB81F" w14:textId="77777777" w:rsidR="00DF410E" w:rsidRDefault="00CE7F43">
      <w:r>
        <w:t>[CUR Aanbeveling 061, CUR-Aanbeveling 061 - Het voegen en hydrofoberen van metselwerk].</w:t>
      </w:r>
    </w:p>
    <w:p w14:paraId="55505F44" w14:textId="77777777" w:rsidR="00DF410E" w:rsidRDefault="00CE7F43">
      <w:pPr>
        <w:pStyle w:val="Author-eListParagraph"/>
        <w:numPr>
          <w:ilvl w:val="0"/>
          <w:numId w:val="28"/>
        </w:numPr>
      </w:pPr>
      <w:r>
        <w:t>Constituants des mortiers de maçonnerie dosés in situ.</w:t>
      </w:r>
    </w:p>
    <w:p w14:paraId="0763A406" w14:textId="77777777" w:rsidR="00DF410E" w:rsidRDefault="00CE7F43">
      <w:r>
        <w:t>[NBN EN 413-1, Ciment à maçonner - Partie 1: Composition, spécifications et critères de conformité]</w:t>
      </w:r>
    </w:p>
    <w:p w14:paraId="14983860" w14:textId="77777777" w:rsidR="00DF410E" w:rsidRDefault="00CE7F43">
      <w:r>
        <w:t>[NBN EN 197-2, Ciment - Partie 2: Evaluation et vérification de la constance de la performance]</w:t>
      </w:r>
    </w:p>
    <w:p w14:paraId="2EB76536" w14:textId="77777777" w:rsidR="00DF410E" w:rsidRDefault="00CE7F43">
      <w:r>
        <w:t>[NBN EN 459-1, Chaux de construction - Partie 1: Définitions, spécifications et critères de conformité]</w:t>
      </w:r>
    </w:p>
    <w:p w14:paraId="4CB29425" w14:textId="77777777" w:rsidR="00DF410E" w:rsidRDefault="00CE7F43">
      <w:r>
        <w:t>[NBN EN 13139, Granulats pour mortiers (+AC:2004)]</w:t>
      </w:r>
    </w:p>
    <w:p w14:paraId="79EA2CE0" w14:textId="77777777" w:rsidR="00DF410E" w:rsidRDefault="00CE7F43">
      <w:r>
        <w:t>[NBN EN 934-1, Adjuvants pour béton, mortier et coulis - Partie 1 : Exigences communes]</w:t>
      </w:r>
    </w:p>
    <w:p w14:paraId="27C87A9F" w14:textId="77777777" w:rsidR="00DF410E" w:rsidRDefault="00CE7F43">
      <w:r>
        <w:t>[NBN EN 934-3+A1, Adjuvants pour béton, mortier et coulis - Partie 3: Adjuvants pour mortier de montage - Définitions, exigences, conformité, marquage et étiquetage]</w:t>
      </w:r>
    </w:p>
    <w:p w14:paraId="5114F94E" w14:textId="77777777" w:rsidR="00DF410E" w:rsidRDefault="00CE7F43">
      <w:pPr>
        <w:pStyle w:val="Author-eListParagraph"/>
        <w:numPr>
          <w:ilvl w:val="0"/>
          <w:numId w:val="29"/>
        </w:numPr>
      </w:pPr>
      <w:r>
        <w:t>Accessoires de maçonnerie (attaches, armatures, consoles, linteaux)</w:t>
      </w:r>
    </w:p>
    <w:p w14:paraId="2CAD137B" w14:textId="77777777" w:rsidR="00DF410E" w:rsidRDefault="00CE7F43">
      <w:r>
        <w:t>[NBN EN 845-1:2013+A1, Spécification pour composants accessoires de maçonnerie - Partie 1: Attaches, brides de fixation, étriers de support et consoles]</w:t>
      </w:r>
    </w:p>
    <w:p w14:paraId="06D12FFA" w14:textId="77777777" w:rsidR="00DF410E" w:rsidRDefault="00CE7F43">
      <w:r>
        <w:t>[NBN EN 845-2:2013+A1, Spécifications pour composants accessoires de maçonnerie - Partie 2: Linteaux]</w:t>
      </w:r>
    </w:p>
    <w:p w14:paraId="222A3894" w14:textId="77777777" w:rsidR="00DF410E" w:rsidRDefault="00CE7F43">
      <w:r>
        <w:t>[NBN EN 845-3:2013+A1, Spécifications pour composants accessoires de maçonnerie - Partie 3: Treillis d'armature en acier pour joints horizontaux]</w:t>
      </w:r>
    </w:p>
    <w:p w14:paraId="48C9466E" w14:textId="77777777" w:rsidR="00DF410E" w:rsidRDefault="00CE7F43">
      <w:pPr>
        <w:pStyle w:val="Author-eListParagraph"/>
        <w:numPr>
          <w:ilvl w:val="0"/>
          <w:numId w:val="30"/>
        </w:numPr>
      </w:pPr>
      <w:r>
        <w:t>Divers</w:t>
      </w:r>
    </w:p>
    <w:p w14:paraId="6C9FBA6E" w14:textId="77777777" w:rsidR="00DF410E" w:rsidRDefault="00CE7F43">
      <w:r>
        <w:t>[AR 2013-01-14, Arrêté royal établissant les règles générales d'exécution des marchés publics]</w:t>
      </w:r>
    </w:p>
    <w:p w14:paraId="46C0114F" w14:textId="77777777" w:rsidR="00DF410E" w:rsidRDefault="00CE7F43">
      <w:r>
        <w:t>[NBN B 62-002, Performances thermiques de bâtiments - Calcul des coefficients de transmission thermique (valeurs U) des composants et éléments de bâtiments - Calcul des coefficients de transfert de chaleur par transmission (valeur HT) et par ventilation (valeur Hv)]</w:t>
      </w:r>
    </w:p>
    <w:p w14:paraId="5164ED92" w14:textId="77777777" w:rsidR="00DF410E" w:rsidRDefault="00CE7F43">
      <w:r>
        <w:t>[NBN EN 1052-1, Méthodes d'essai de la maçonnerie - Partie 1: Détermination de la résistance à la compression]</w:t>
      </w:r>
    </w:p>
    <w:p w14:paraId="27FAED21" w14:textId="77777777" w:rsidR="00DF410E" w:rsidRDefault="00CE7F43">
      <w:r>
        <w:t>[NBN EN 12371, Méthodes d’essai pour pierres naturelles - Détermination de la résistance au gel]</w:t>
      </w:r>
    </w:p>
    <w:p w14:paraId="6067E4D3"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CC26AB1" w14:textId="77777777" w:rsidR="00DF410E" w:rsidRDefault="00CE7F43">
      <w:r>
        <w:t>[NBN EN 1996 série, Eurocode 6 : Calcul des ouvrages en maçonnerie]</w:t>
      </w:r>
    </w:p>
    <w:p w14:paraId="1983BB54" w14:textId="77777777" w:rsidR="00DF410E" w:rsidRDefault="00CE7F43">
      <w:r>
        <w:t>[NBN EN 1996-1-1+A1 ANB, Eurocode 6 : Calcul des ouvrages en maçonnerie - Partie 1-1: Règles communes pour ouvrages en maçonnerie armée et non armée - Annexe nationale]</w:t>
      </w:r>
    </w:p>
    <w:p w14:paraId="6DB653BD" w14:textId="77777777" w:rsidR="00DF410E" w:rsidRDefault="00CE7F43">
      <w:r>
        <w:t>[NBN EN 1996-1-1+A1, Eurocode 6 : Calcul des ouvrages en maçonnerie - Partie 1-1: Règles générales pour ouvrages en maçonnerie armée et non armée]</w:t>
      </w:r>
    </w:p>
    <w:p w14:paraId="06B76BC8" w14:textId="77777777" w:rsidR="00DF410E" w:rsidRDefault="00CE7F43">
      <w:r>
        <w:t>[NBN EN 1996-1-2 ANB, Eurocode 6 - Calcul des ouvrages en maçonnerie - Partie 1-2: Règles générales - Calcul du comportement au feu - Annexe nationale]</w:t>
      </w:r>
    </w:p>
    <w:p w14:paraId="45AE7D58" w14:textId="77777777" w:rsidR="00DF410E" w:rsidRDefault="00CE7F43">
      <w:r>
        <w:t>[NIT 208, Jointoiement des maçonneries.]</w:t>
      </w:r>
    </w:p>
    <w:p w14:paraId="520B80D2" w14:textId="77777777" w:rsidR="00DF410E" w:rsidRDefault="00CE7F43">
      <w:r>
        <w:t>[NIT 228, Pierres naturelles (NIT interactive et évolutive en remplacement de la NIT 205).]</w:t>
      </w:r>
    </w:p>
    <w:p w14:paraId="1E59C8B1" w14:textId="77777777" w:rsidR="00DF410E" w:rsidRDefault="00CE7F43">
      <w:r>
        <w:t>[STS 22 série, Maçonnerie pour constructions basses]</w:t>
      </w:r>
    </w:p>
    <w:p w14:paraId="7574DDF4" w14:textId="77777777" w:rsidR="00DF410E" w:rsidRDefault="00CE7F43">
      <w:r>
        <w:t>[SWL GSI/T1/C, Guides sécurité incendie - Tome 1 Prévention passive - Guide C Résistance au feu]</w:t>
      </w:r>
    </w:p>
    <w:p w14:paraId="1F73C790" w14:textId="77777777" w:rsidR="00DF410E" w:rsidRDefault="00CE7F43">
      <w:r>
        <w:t>[AM 2013-05-17, Arrêté ministériel relatif à l’utilisation des Eurocodes comme méthodes de calcul pour l’évaluation de la résistance au feu d’éléments de construction]</w:t>
      </w:r>
    </w:p>
    <w:p w14:paraId="37BBA4C6" w14:textId="77777777" w:rsidR="00DF410E" w:rsidRDefault="00CE7F43">
      <w:pPr>
        <w:pStyle w:val="pheading"/>
      </w:pPr>
      <w:r>
        <w:t>- Exécution</w:t>
      </w:r>
    </w:p>
    <w:p w14:paraId="34AD0204" w14:textId="77777777" w:rsidR="00DF410E" w:rsidRDefault="00CE7F43">
      <w:r>
        <w:t>[NBN EN 1996-1-1+A1, Eurocode 6 : Calcul des ouvrages en maçonnerie - Partie 1-1: Règles générales pour ouvrages en maçonnerie armée et non armée]</w:t>
      </w:r>
    </w:p>
    <w:p w14:paraId="6C33353B" w14:textId="77777777" w:rsidR="00DF410E" w:rsidRDefault="00CE7F43">
      <w:r>
        <w:t>[NBN EN 1996-1-2 ANB, Eurocode 6 - Calcul des ouvrages en maçonnerie - Partie 1-2: Règles générales - Calcul du comportement au feu - Annexe nationale]</w:t>
      </w:r>
    </w:p>
    <w:p w14:paraId="038E1A37" w14:textId="77777777" w:rsidR="00DF410E" w:rsidRDefault="00CE7F43">
      <w:r>
        <w:t>[NBN EN 1996-2 ANB, Eurocode 6 - Calcul des ouvrages en maçonnerie - Partie 2 : Conception, choix des matériaux et mise en oeuvre des maçonneries - Annexe nationale]</w:t>
      </w:r>
    </w:p>
    <w:p w14:paraId="7D90542B" w14:textId="77777777" w:rsidR="00DF410E" w:rsidRDefault="00CE7F43">
      <w:r>
        <w:t>[NBN EN 1996-3, Eurocode 6 - Calcul des ouvrages en maçonnerie - Partie 3: Méthodes de calcul simplifiées pour les ouvrages en maçonnerie non armée (+ AC:2009)]</w:t>
      </w:r>
    </w:p>
    <w:p w14:paraId="24F9EB8F" w14:textId="77777777" w:rsidR="00DF410E" w:rsidRDefault="00CE7F43">
      <w:r>
        <w:t>[STS 22 série, Maçonnerie pour constructions basses]</w:t>
      </w:r>
    </w:p>
    <w:p w14:paraId="22CEA332" w14:textId="77777777" w:rsidR="00DF410E" w:rsidRDefault="00CE7F43">
      <w:r>
        <w:t>[NBN EN 845-3:2013+A1, Spécifications pour composants accessoires de maçonnerie - Partie 3: Treillis d'armature en acier pour joints horizontaux]</w:t>
      </w:r>
    </w:p>
    <w:p w14:paraId="6C576B43" w14:textId="77777777" w:rsidR="00DF410E" w:rsidRDefault="00CE7F43">
      <w:r>
        <w:t>[NIT 208, Jointoiement des maçonneries.]</w:t>
      </w:r>
    </w:p>
    <w:p w14:paraId="70BAC8B9" w14:textId="77777777" w:rsidR="00DF410E" w:rsidRDefault="00CE7F43">
      <w:r>
        <w:t>[STS 04 série, Bois et panneaux à base de bois]</w:t>
      </w:r>
    </w:p>
    <w:p w14:paraId="48B343E3" w14:textId="77777777" w:rsidR="00DF410E" w:rsidRDefault="00CE7F43">
      <w:r>
        <w:t>[NIT 271, Exécution des maçonneries]</w:t>
      </w:r>
    </w:p>
    <w:p w14:paraId="20403DD9" w14:textId="77777777" w:rsidR="00DF410E" w:rsidRDefault="00CE7F43">
      <w:r>
        <w:t>[NIT 286, La pose des menuiseries extérieures Partie 2 : Mise en oeuvre de châssis en bois dans des murs creux]</w:t>
      </w:r>
    </w:p>
    <w:p w14:paraId="5B917443" w14:textId="77777777" w:rsidR="00DF410E" w:rsidRDefault="00CE7F43">
      <w:r>
        <w:t> </w:t>
      </w:r>
    </w:p>
    <w:p w14:paraId="762624A6" w14:textId="77777777" w:rsidR="00DF410E" w:rsidRDefault="00CE7F43">
      <w:r>
        <w:rPr>
          <w:i/>
          <w:u w:val="single"/>
        </w:rPr>
        <w:t>Documents généraux</w:t>
      </w:r>
    </w:p>
    <w:p w14:paraId="3058ED3E" w14:textId="77777777" w:rsidR="00DF410E" w:rsidRDefault="00CE7F43">
      <w:r>
        <w:t>[NBN B 04-001, Coordination dimensionnelle dans le bâtiment - Notions de base - Principes d'utilisation - Modules préférentiels]</w:t>
      </w:r>
    </w:p>
    <w:p w14:paraId="5E921D97" w14:textId="77777777" w:rsidR="00DF410E" w:rsidRDefault="00CE7F43">
      <w:r>
        <w:t>[NBN S 21-2xx série, Protection incendie dans les bâtiments]</w:t>
      </w:r>
    </w:p>
    <w:p w14:paraId="2686214B" w14:textId="77777777" w:rsidR="00DF410E" w:rsidRDefault="00CE7F43">
      <w:r>
        <w:t>[NBN EN 13501-1, Classement au feu des produits et éléments de construction - Partie 1: Classement à partir des données d'essais de réaction au feu]</w:t>
      </w:r>
    </w:p>
    <w:p w14:paraId="02B80242" w14:textId="77777777" w:rsidR="00DF410E" w:rsidRDefault="00CE7F43">
      <w:r>
        <w:t>[NBN 713-020, Protection contre l'incendie - Comportement au feu des matériaux et éléments de construction - Résistance au feu des éléments de construction (avec erratum)]</w:t>
      </w:r>
    </w:p>
    <w:p w14:paraId="683B4071"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44241E2C" w14:textId="77777777" w:rsidR="00DF410E" w:rsidRDefault="00CE7F43">
      <w:r>
        <w:t>[AR 1994-07-07, Arrêté royal fixant les normes de base en matière de prévention contre l'incendie et l'explosion, auxquelles les bâtiments nouveaux doivent satisfaire]</w:t>
      </w:r>
    </w:p>
    <w:p w14:paraId="38A656C6" w14:textId="77777777" w:rsidR="00DF410E" w:rsidRDefault="00CE7F43">
      <w:r>
        <w:t>[NBN S 01-400, Acoustique - Critères de l'isolation acoustique]</w:t>
      </w:r>
    </w:p>
    <w:p w14:paraId="605BCD22" w14:textId="77777777" w:rsidR="00DF410E" w:rsidRDefault="00CE7F43">
      <w:r>
        <w:t>[NBN S 01-401, Acoustique - Valeurs limites des niveaux de bruit en vue d'éviter l'inconfort dans les bâtiments]</w:t>
      </w:r>
    </w:p>
    <w:p w14:paraId="3CD97E13" w14:textId="77777777" w:rsidR="00DF410E" w:rsidRDefault="00CE7F43">
      <w:r>
        <w:t>[NBN EN ISO 717-1, Acoustique - Évaluation de l'isolement acoustique des immeubles et des éléments de construction - Partie 1: Isolement aux bruits aériens (ISO 717-1:2020)]</w:t>
      </w:r>
    </w:p>
    <w:p w14:paraId="7EC667E1" w14:textId="77777777" w:rsidR="00DF410E" w:rsidRDefault="00CE7F43">
      <w:r>
        <w:t>[NBN EN ISO 717-2, Acoustique - Évaluation de l'isolement acoustique des immeubles et des éléments de construction - Partie 2: Protection contre le bruit de choc (ISO 717-2:2020)]</w:t>
      </w:r>
    </w:p>
    <w:p w14:paraId="1C8C1FCC" w14:textId="77777777" w:rsidR="00DF410E" w:rsidRDefault="00CE7F43">
      <w:r>
        <w:t>[NBN B 62-002, Performances thermiques de bâtiments - Calcul des coefficients de transmission thermique (valeurs U) des composants et éléments de bâtiments - Calcul des coefficients de transfert de chaleur par transmission (valeur HT) et par ventilation (valeur Hv)]</w:t>
      </w:r>
    </w:p>
    <w:p w14:paraId="46AC8EBB" w14:textId="77777777" w:rsidR="00DF410E" w:rsidRDefault="00CE7F43">
      <w:r>
        <w:t>[NBN EN ISO 15148, Performance hygrothermique des matériaux et produits pour le bâtiment - Détermination du coefficient d'absorption d'eau par immersion partielle (ISO 15148:2002)]</w:t>
      </w:r>
    </w:p>
    <w:p w14:paraId="64EC698F" w14:textId="77777777" w:rsidR="00DF410E" w:rsidRDefault="00CE7F43">
      <w:r>
        <w:t>[NBN B 62-201, Détermination à l'état sec de la conductivité thermique ou de la perméance thermique des matériaux de construction par la méthode de la plaque chauffante à anneau de garde]</w:t>
      </w:r>
    </w:p>
    <w:p w14:paraId="5C9A73AE" w14:textId="77777777" w:rsidR="00DF410E" w:rsidRDefault="00CE7F43">
      <w:r>
        <w:t>[NBN EN ISO 8990, Isolation thermique - Détermination des propriétés de transmission thermique en régime stationnaire - Méthodes à la boîte chaude gardée et calibrée (ISO 8990:1994)]</w:t>
      </w:r>
    </w:p>
    <w:p w14:paraId="2C54C728" w14:textId="77777777" w:rsidR="00DF410E" w:rsidRDefault="00CE7F43">
      <w:r>
        <w:t>[SWL GSI/T1/A, Guides sécurité incendie - Tome 1 Prévention passive - Guide A Organisation spatiale des bâtiments]</w:t>
      </w:r>
    </w:p>
    <w:p w14:paraId="4B69276B" w14:textId="77777777" w:rsidR="00DF410E" w:rsidRDefault="00CE7F43">
      <w:r>
        <w:t>[SWL GSI/T1/B, Guides sécurité incendie - Tome 1 Prévention passive - Guide B Réaction au feu]</w:t>
      </w:r>
    </w:p>
    <w:p w14:paraId="1C19FE34" w14:textId="77777777" w:rsidR="00DF410E" w:rsidRDefault="00CE7F43">
      <w:r>
        <w:t>[SWL GSI/T1/C, Guides sécurité incendie - Tome 1 Prévention passive - Guide C Résistance au feu]</w:t>
      </w:r>
    </w:p>
    <w:p w14:paraId="2C39CB90" w14:textId="77777777" w:rsidR="00DF410E" w:rsidRDefault="00CE7F43">
      <w:pPr>
        <w:pStyle w:val="pheading"/>
      </w:pPr>
      <w:r>
        <w:t>AIDE</w:t>
      </w:r>
    </w:p>
    <w:p w14:paraId="40430F68" w14:textId="77777777" w:rsidR="00DF410E" w:rsidRDefault="00CE7F43">
      <w:r>
        <w:t>Note 1</w:t>
      </w:r>
      <w:r>
        <w:br/>
        <w:t>- Généralement, pour les maçonneries de fondation, on utilise des blocs en béton creux ou pleins ; les briques de terre cuite ou silico-calcaires ne sont que très rarement utilisées.</w:t>
      </w:r>
    </w:p>
    <w:p w14:paraId="67B2D62E" w14:textId="77777777" w:rsidR="00DF410E" w:rsidRDefault="00CE7F43">
      <w:r>
        <w:t>- Les mortiers de ciment présentent une résistance supérieure à la compression par rapport aux mortiers bâtards ; en outre, leur prise est plus rapide. Cependant, ils sont plus sensibles au retrait.</w:t>
      </w:r>
    </w:p>
    <w:p w14:paraId="52CF94E7" w14:textId="77777777" w:rsidR="00DF410E" w:rsidRDefault="00CE7F43">
      <w:r>
        <w:t>- Les mortiers bâtards ont l’avantage d'être plus élastiques et plus faciles à travailler que les mortiers de ciment purs tandis que leur retrait est nettement moindre. La chaux joue le rôle de plastifiant qui retient mieux l'eau de gâchage. C'est pourquoi l'utilisation du mortier bâtard est recommandée par temps chaud ou pour le maçonnage des matériaux poreux. L'inconvénient du mortier bâtard est que le temps de durcissement s'en trouve accru.</w:t>
      </w:r>
    </w:p>
    <w:p w14:paraId="009034DE" w14:textId="77777777" w:rsidR="00DF410E" w:rsidRDefault="00CE7F43">
      <w:r>
        <w:t>- La catégorie du mortier correspond au taux de résistance à la compression imposé pour la maçonnerie. - Pour la maçonnerie armée, seul le mortier de catégorie M20 ou 12 est autorisé.</w:t>
      </w:r>
    </w:p>
    <w:p w14:paraId="3748DF0C" w14:textId="77777777" w:rsidR="00DF410E" w:rsidRDefault="00CE7F43">
      <w:r>
        <w:t>- Le mortier en contact avec des environnements corrosifs (eau pure, eau corrosive, eaux usées, terre, eau de mer, …) est toujours de la catégorie M20.</w:t>
      </w:r>
    </w:p>
    <w:p w14:paraId="01A1A442" w14:textId="77777777" w:rsidR="00DF410E" w:rsidRDefault="00CE7F43">
      <w:r>
        <w:rPr>
          <w:i/>
        </w:rPr>
        <w:t>Note 2.</w:t>
      </w:r>
      <w:r>
        <w:br/>
        <w:t>- Afin de répartir les charges, de reprendre les tassements différentiels et d'ancrer les éventuelles charpentes de toiture, il peut s'avérer intéressant d'appliquer des poutres de ceinture pour les bâtiments de plus de deux étages, ainsi que dans le cas les dalles de sol en indépendance sur les murs en maçonnerie de blocs de béton cellulaire autoclavé.</w:t>
      </w:r>
    </w:p>
    <w:p w14:paraId="31272F33" w14:textId="77777777" w:rsidR="00DF410E" w:rsidRDefault="00CE7F43">
      <w:r>
        <w:t xml:space="preserve">- Les notes d'exécution complémentaires doivent toujours être spécifiées séparément dans le cahier spécial des charges, soit en coordination avec les linteaux (par ex. continus pour les murs contenant de larges ouvertures), soit en coordination avec le coulage des dalles de compression sur les dalles de sol (voir [STS 22 série]). L'exécution de ces travaux est comprise dans la section </w:t>
      </w:r>
      <w:hyperlink w:anchor="477" w:history="1">
        <w:r>
          <w:t>26 Etanchéisation et isolation</w:t>
        </w:r>
      </w:hyperlink>
      <w:r>
        <w:t>.</w:t>
      </w:r>
      <w:r>
        <w:br/>
      </w:r>
      <w:r>
        <w:br/>
        <w:t>- Une approbation du concept de maçonnerie par un organisme de contrôle peut être exigée.</w:t>
      </w:r>
    </w:p>
    <w:p w14:paraId="474A8C59" w14:textId="77777777" w:rsidR="00DF410E" w:rsidRDefault="00CE7F43">
      <w:r>
        <w:rPr>
          <w:rStyle w:val="normalChar"/>
          <w:i/>
        </w:rPr>
        <w:t>Note 3.</w:t>
      </w:r>
      <w:r>
        <w:br/>
      </w:r>
      <w:r>
        <w:rPr>
          <w:rStyle w:val="normalChar"/>
          <w:color w:val="000000"/>
        </w:rPr>
        <w:t>Afin de pouvoir résister aux sollicitations horizontales, les éléments de construction doivent eux-mêmes être résistants à la flexion tandis que les liaisons entre les éléments horizontaux et verticaux doivent pouvoir transmettre les forces de cisaillement. A cet effet, il est indispensable qu'il y ait suffisamment de murs porteurs dans les deux directions et qu'ils soient reliés de manière organique (harpage par exemple).</w:t>
      </w:r>
    </w:p>
    <w:p w14:paraId="11F708FD" w14:textId="77777777" w:rsidR="00DF410E" w:rsidRDefault="00CE7F43">
      <w:pPr>
        <w:spacing w:line="259" w:lineRule="auto"/>
      </w:pPr>
      <w:r>
        <w:rPr>
          <w:rStyle w:val="normalChar"/>
          <w:i/>
          <w:color w:val="000000"/>
        </w:rPr>
        <w:t>Note 4.</w:t>
      </w:r>
      <w:r>
        <w:t>Les documents de référence relatifs aux produits spécifient certes des critères mais n'imposent aucune valeur aux produits. Ainsi, pour les calculs de la maçonnerie portante, il incombe à l'auteur de projet de fixer lui-même, pour l'application qu'il envisage, les valeurs et classes de performances pour les critères mentionnés dans la norme, tels que le poids, la résistance à la compression, etc.</w:t>
      </w:r>
    </w:p>
    <w:p w14:paraId="4D209B31" w14:textId="77777777" w:rsidR="00DF410E" w:rsidRDefault="00CE7F43">
      <w:pPr>
        <w:pStyle w:val="Author-eSectionHeading3"/>
      </w:pPr>
      <w:bookmarkStart w:id="4" w:name="_Toc178837281"/>
      <w:r>
        <w:t>21.1 Maçonneries portantes CCTB 01.11</w:t>
      </w:r>
      <w:bookmarkEnd w:id="4"/>
    </w:p>
    <w:p w14:paraId="76EE7300" w14:textId="77777777" w:rsidR="00DF410E" w:rsidRDefault="00CE7F43">
      <w:pPr>
        <w:pStyle w:val="pheading"/>
      </w:pPr>
      <w:bookmarkStart w:id="5" w:name="292"/>
      <w:bookmarkEnd w:id="5"/>
      <w:r>
        <w:t>DESCRIPTION</w:t>
      </w:r>
    </w:p>
    <w:p w14:paraId="34BEBCCA" w14:textId="77777777" w:rsidR="00DF410E" w:rsidRDefault="00CE7F43">
      <w:pPr>
        <w:pStyle w:val="pheading"/>
      </w:pPr>
      <w:r>
        <w:t>- Définition / Comprend</w:t>
      </w:r>
    </w:p>
    <w:p w14:paraId="145D598B" w14:textId="77777777" w:rsidR="00DF410E" w:rsidRDefault="00CE7F43">
      <w:pPr>
        <w:jc w:val="both"/>
      </w:pPr>
      <w:r>
        <w:t>Cet élément concerne :</w:t>
      </w:r>
    </w:p>
    <w:p w14:paraId="5C40D9E6" w14:textId="77777777" w:rsidR="00DF410E" w:rsidRDefault="00CE7F43">
      <w:pPr>
        <w:pStyle w:val="Author-eListParagraph"/>
        <w:numPr>
          <w:ilvl w:val="0"/>
          <w:numId w:val="31"/>
        </w:numPr>
      </w:pPr>
      <w:r>
        <w:t>la maçonnerie enterrée pour les "fondations directes", c'est-à-dire tous les murs en contact avec les terres, la maçonnerie des murs continus des caves et vides sanitaires,</w:t>
      </w:r>
    </w:p>
    <w:p w14:paraId="3EF4336E" w14:textId="77777777" w:rsidR="00DF410E" w:rsidRDefault="00CE7F43">
      <w:pPr>
        <w:pStyle w:val="Author-eListParagraph"/>
        <w:numPr>
          <w:ilvl w:val="0"/>
          <w:numId w:val="31"/>
        </w:numPr>
      </w:pPr>
      <w:r>
        <w:t xml:space="preserve">tous les murs de contre-façade porteurs et, le cas échéant, les murs extérieurs massifs (à plafonner) exécutés en blocs de construction ou en brique. Le mur de parement est soit décrit au chapitre </w:t>
      </w:r>
      <w:hyperlink w:anchor="379" w:history="1">
        <w:r>
          <w:t>21.3 Maçonneries de parement</w:t>
        </w:r>
      </w:hyperlink>
      <w:r>
        <w:t xml:space="preserve"> soit réalisé conformément aux revêtements de façade prévus dans le chapitre </w:t>
      </w:r>
      <w:hyperlink r:id="rId15" w:history="1" w:docLocation="380">
        <w:r>
          <w:t>43 Revêtements de façade</w:t>
        </w:r>
      </w:hyperlink>
      <w:r>
        <w:t>.</w:t>
      </w:r>
    </w:p>
    <w:p w14:paraId="3965EBDC" w14:textId="77777777" w:rsidR="00DF410E" w:rsidRDefault="00CE7F43">
      <w:pPr>
        <w:pStyle w:val="Author-eListParagraph"/>
        <w:numPr>
          <w:ilvl w:val="0"/>
          <w:numId w:val="31"/>
        </w:numPr>
      </w:pPr>
      <w:r>
        <w:t>les murs intérieurs porteurs réalisés en blocs/briques</w:t>
      </w:r>
    </w:p>
    <w:p w14:paraId="16163C27" w14:textId="77777777" w:rsidR="00DF410E" w:rsidRDefault="00CE7F43">
      <w:pPr>
        <w:jc w:val="both"/>
      </w:pPr>
      <w:r>
        <w:t>Ce poste comprend tous les éléments, travaux et fournitures pour la réalisation des murs porteurs en maçonnerie.</w:t>
      </w:r>
    </w:p>
    <w:p w14:paraId="6E0E66DA" w14:textId="77777777" w:rsidR="00DF410E" w:rsidRDefault="00CE7F43">
      <w:pPr>
        <w:pStyle w:val="pheading"/>
      </w:pPr>
      <w:r>
        <w:t>EXÉCUTION / MISE EN ŒUVRE</w:t>
      </w:r>
    </w:p>
    <w:p w14:paraId="398CAC5C" w14:textId="77777777" w:rsidR="00DF410E" w:rsidRDefault="00CE7F43">
      <w:r>
        <w:t xml:space="preserve">La maçonnerie est exécutée conformément aux prescriptions de la [NBN EN 1996 série], de la [STS 22 série], de la [NIT 271] et du chapitre </w:t>
      </w:r>
      <w:hyperlink w:anchor="293" w:history="1">
        <w:r>
          <w:t>21 Superstructures en maçonnerie</w:t>
        </w:r>
      </w:hyperlink>
      <w:r>
        <w:t>. Tous les joints horizontaux et verticaux sont remplis, sauf indication contraire du fabricant. Les remblayages ne peuvent être effectués qu'avec l'accord de l'auteur de projet et lorsque les enduits et badigeonnages des maçonneries des murs des caves et des vides sanitaires ont été exécutés et sont suffisamment durcis.</w:t>
      </w:r>
    </w:p>
    <w:p w14:paraId="64BD264D" w14:textId="77777777" w:rsidR="00DF410E" w:rsidRDefault="00CE7F43">
      <w:pPr>
        <w:pStyle w:val="pheading"/>
      </w:pPr>
      <w:r>
        <w:t>AIDE</w:t>
      </w:r>
    </w:p>
    <w:p w14:paraId="477352DB" w14:textId="77777777" w:rsidR="00DF410E" w:rsidRDefault="00CE7F43">
      <w:r>
        <w:t>Note à l'attention de l'auteur du projet</w:t>
      </w:r>
    </w:p>
    <w:p w14:paraId="2E3E7134" w14:textId="77777777" w:rsidR="00DF410E" w:rsidRDefault="00CE7F43">
      <w:r>
        <w:t>- Lorsque des murs de refend sont liaisonnés aux murs extérieurs continus des caves, les éventuels cimentages hydrofuges prévus à l'intérieur des murs de cave doivent, en principe, être appliqués également sur ces murs de refend.</w:t>
      </w:r>
    </w:p>
    <w:p w14:paraId="2C89A2F8" w14:textId="77777777" w:rsidR="00DF410E" w:rsidRDefault="00CE7F43">
      <w:r>
        <w:t>- Lorsque les murs de refend sont construits indépendamment des murs de caves avec un joint ouvert, le cimentage hydrofuge sur la face intérieure des murs de cave est d'abord effectué avant de refermer le joint vertical entre les deux murs.</w:t>
      </w:r>
    </w:p>
    <w:p w14:paraId="373DDE15" w14:textId="77777777" w:rsidR="00DF410E" w:rsidRDefault="00CE7F43">
      <w:r>
        <w:t xml:space="preserve">- Les murs de séparation non porteurs qui sont prévus au chap. </w:t>
      </w:r>
      <w:hyperlink w:anchor="381" w:history="1">
        <w:r>
          <w:t>21.2</w:t>
        </w:r>
      </w:hyperlink>
      <w:r>
        <w:t xml:space="preserve"> sont construits indépendamment des murs de cave continus et le joint vertical de séparation est laissé ouvert.</w:t>
      </w:r>
    </w:p>
    <w:p w14:paraId="5B7DAB3C" w14:textId="77777777" w:rsidR="00DF410E" w:rsidRDefault="00CE7F43">
      <w:pPr>
        <w:pStyle w:val="Author-eSectionHeading4"/>
      </w:pPr>
      <w:bookmarkStart w:id="6" w:name="_Toc178837282"/>
      <w:r>
        <w:t>21.11 Maçonneries portantes en briques CCTB 01.11</w:t>
      </w:r>
      <w:bookmarkEnd w:id="6"/>
    </w:p>
    <w:p w14:paraId="7F1F144E" w14:textId="77777777" w:rsidR="00DF410E" w:rsidRDefault="00CE7F43">
      <w:pPr>
        <w:pStyle w:val="pheading"/>
      </w:pPr>
      <w:bookmarkStart w:id="7" w:name="451"/>
      <w:bookmarkEnd w:id="7"/>
      <w:r>
        <w:t>DOCUMENTS DE RÉFÉRENCE</w:t>
      </w:r>
    </w:p>
    <w:p w14:paraId="665AE9AC" w14:textId="77777777" w:rsidR="00DF410E" w:rsidRDefault="00CE7F43">
      <w:pPr>
        <w:pStyle w:val="pheading"/>
      </w:pPr>
      <w:r>
        <w:t>- Exécution</w:t>
      </w:r>
    </w:p>
    <w:p w14:paraId="48C356B5" w14:textId="77777777" w:rsidR="00DF410E" w:rsidRDefault="00CE7F43">
      <w:pPr>
        <w:pStyle w:val="heading"/>
      </w:pPr>
      <w:r>
        <w:rPr>
          <w:rStyle w:val="normalChar"/>
        </w:rPr>
        <w:t>-</w:t>
      </w:r>
      <w:r>
        <w:rPr>
          <w:rStyle w:val="normalChar"/>
          <w:color w:val="000000"/>
        </w:rPr>
        <w:t xml:space="preserve"> Notes d'exécution complémentaires</w:t>
      </w:r>
    </w:p>
    <w:p w14:paraId="08E234D3" w14:textId="77777777" w:rsidR="00DF410E" w:rsidRDefault="00CE7F43">
      <w:r>
        <w:t xml:space="preserve">Ancrages : </w:t>
      </w:r>
      <w:r>
        <w:rPr>
          <w:rStyle w:val="optioncarChar"/>
        </w:rPr>
        <w:t>***</w:t>
      </w:r>
    </w:p>
    <w:p w14:paraId="691138AC" w14:textId="77777777" w:rsidR="00DF410E" w:rsidRDefault="00CE7F43">
      <w:r>
        <w:t xml:space="preserve">Isolation contre l'humidité : </w:t>
      </w:r>
      <w:r>
        <w:rPr>
          <w:rStyle w:val="optioncarChar"/>
        </w:rPr>
        <w:t>***</w:t>
      </w:r>
    </w:p>
    <w:p w14:paraId="54B81D43" w14:textId="77777777" w:rsidR="00DF410E" w:rsidRDefault="00CE7F43">
      <w:r>
        <w:t>Les segments de murs suivants sont pourvus d'armatures: conformément au chapitre </w:t>
      </w:r>
      <w:hyperlink w:anchor="364" w:history="1">
        <w:r>
          <w:t>21.4 Eléments particuliers pour maçonneries</w:t>
        </w:r>
      </w:hyperlink>
    </w:p>
    <w:p w14:paraId="36477A11" w14:textId="77777777" w:rsidR="00DF410E" w:rsidRDefault="00CE7F43">
      <w:r>
        <w:t>Pour les maçonneries de caves destinées à rester apparentes, seules des briques non endommagées sont utilisées. Les joints des murs de cave destinés à rester apparents sont rejointoyés en montant.</w:t>
      </w:r>
    </w:p>
    <w:p w14:paraId="6F22B923" w14:textId="77777777" w:rsidR="00DF410E" w:rsidRDefault="00CE7F43">
      <w:r>
        <w:t>Pour les murs attenants, les chaînages nécessaires sont prévus dans la maçonnerie continue.</w:t>
      </w:r>
    </w:p>
    <w:p w14:paraId="22256130" w14:textId="77777777" w:rsidR="00DF410E" w:rsidRDefault="00CE7F43">
      <w:r>
        <w:t xml:space="preserve">Les maçonneries des murs de cave en contact avec les terres sont rendues étanches selon la description de l'article </w:t>
      </w:r>
      <w:hyperlink w:anchor="357" w:history="1">
        <w:r>
          <w:t>26.12 Traitements d'étanchéisation</w:t>
        </w:r>
      </w:hyperlink>
      <w:r>
        <w:t>. Traitements d'étanchéisation</w:t>
      </w:r>
    </w:p>
    <w:p w14:paraId="0F0E3074" w14:textId="77777777" w:rsidR="00DF410E" w:rsidRDefault="00CE7F43">
      <w:r>
        <w:t xml:space="preserve">Sur la face intérieure des murs de cave, un cimentage hydrofuge est prévu selon </w:t>
      </w:r>
      <w:r>
        <w:rPr>
          <w:rStyle w:val="optioncarChar"/>
        </w:rPr>
        <w:t>***</w:t>
      </w:r>
    </w:p>
    <w:p w14:paraId="2E658698" w14:textId="77777777" w:rsidR="00DF410E" w:rsidRDefault="00CE7F43">
      <w:pPr>
        <w:pStyle w:val="pheading"/>
      </w:pPr>
      <w:r>
        <w:t>AIDE</w:t>
      </w:r>
    </w:p>
    <w:p w14:paraId="07E92E65" w14:textId="77777777" w:rsidR="00DF410E" w:rsidRDefault="00CE7F43">
      <w:r>
        <w:t xml:space="preserve">Note à l'attention de l'auteur du projet </w:t>
      </w:r>
      <w:r>
        <w:br/>
        <w:t xml:space="preserve">Pour les maçonneries de caves et fondations, on utilise généralement des blocs de béton au lieu de briques de terre cuite pleines. Dans ce cas, la largeur de la maçonnerie en blocs de béton ne doit plus dépasser celle du mur extérieur. </w:t>
      </w:r>
    </w:p>
    <w:p w14:paraId="17A57C83" w14:textId="77777777" w:rsidR="00DF410E" w:rsidRDefault="00CE7F43">
      <w:pPr>
        <w:pStyle w:val="Author-eSectionHeading5"/>
      </w:pPr>
      <w:bookmarkStart w:id="8" w:name="_Toc178837283"/>
      <w:r>
        <w:t>21.11.1 Maçonneries portantes en briques de terre cuite CCTB 01.11</w:t>
      </w:r>
      <w:bookmarkEnd w:id="8"/>
    </w:p>
    <w:p w14:paraId="42A65A52" w14:textId="77777777" w:rsidR="00DF410E" w:rsidRDefault="00CE7F43">
      <w:pPr>
        <w:pStyle w:val="pheading"/>
      </w:pPr>
      <w:bookmarkStart w:id="9" w:name="376"/>
      <w:bookmarkEnd w:id="9"/>
      <w:r>
        <w:t>DESCRIPTION</w:t>
      </w:r>
    </w:p>
    <w:p w14:paraId="02E3E67E" w14:textId="77777777" w:rsidR="00DF410E" w:rsidRDefault="00CE7F43">
      <w:pPr>
        <w:pStyle w:val="pheading"/>
      </w:pPr>
      <w:r>
        <w:t>- Définition / Comprend</w:t>
      </w:r>
    </w:p>
    <w:p w14:paraId="7C0E160F" w14:textId="77777777" w:rsidR="00DF410E" w:rsidRDefault="00CE7F43">
      <w:pPr>
        <w:jc w:val="both"/>
      </w:pPr>
      <w:r>
        <w:t>Il s’agit de la fourniture (hors matériaux récupérés du site) et de la pose de maçonneries portantes en briques de terre cuite ainsi que les étanchéités, armatures et accessoires nécessaires.</w:t>
      </w:r>
    </w:p>
    <w:p w14:paraId="437136B0" w14:textId="77777777" w:rsidR="00DF410E" w:rsidRDefault="00CE7F43">
      <w:pPr>
        <w:pStyle w:val="pheading"/>
      </w:pPr>
      <w:r>
        <w:t>MATÉRIAUX</w:t>
      </w:r>
    </w:p>
    <w:p w14:paraId="694BC471" w14:textId="77777777" w:rsidR="00DF410E" w:rsidRDefault="00CE7F43">
      <w:pPr>
        <w:jc w:val="both"/>
      </w:pPr>
      <w:r>
        <w:t xml:space="preserve">Briques de terre cuite (selon les indications sur plans) : </w:t>
      </w:r>
      <w:r>
        <w:rPr>
          <w:rStyle w:val="optioncarChar"/>
        </w:rPr>
        <w:t xml:space="preserve">neuves </w:t>
      </w:r>
      <w:r>
        <w:t xml:space="preserve">(par défaut) </w:t>
      </w:r>
      <w:r>
        <w:rPr>
          <w:rStyle w:val="optioncarChar"/>
        </w:rPr>
        <w:t>/ de réemploi</w:t>
      </w:r>
    </w:p>
    <w:p w14:paraId="1ABC2055" w14:textId="77777777" w:rsidR="00DF410E" w:rsidRDefault="00CE7F43">
      <w:pPr>
        <w:ind w:left="567"/>
        <w:jc w:val="both"/>
      </w:pPr>
      <w:r>
        <w:rPr>
          <w:b/>
        </w:rPr>
        <w:t>(soit par défaut)</w:t>
      </w:r>
    </w:p>
    <w:p w14:paraId="3E312B54" w14:textId="77777777" w:rsidR="00DF410E" w:rsidRDefault="00CE7F43">
      <w:pPr>
        <w:ind w:left="567"/>
        <w:jc w:val="both"/>
      </w:pPr>
      <w:r>
        <w:rPr>
          <w:u w:val="single"/>
        </w:rPr>
        <w:t>Neuves :</w:t>
      </w:r>
      <w:r>
        <w:rPr>
          <w:color w:val="33CCCC"/>
        </w:rPr>
        <w:t xml:space="preserve"> il s'agit des briques de construction en terre cuite, qui répondent à la norme </w:t>
      </w:r>
      <w:r>
        <w:t>[NBN EN 771-1+A1]</w:t>
      </w:r>
      <w:r>
        <w:rPr>
          <w:color w:val="33CCCC"/>
        </w:rPr>
        <w:t> et au </w:t>
      </w:r>
      <w:r>
        <w:t>[PTV 23-002]</w:t>
      </w:r>
      <w:r>
        <w:rPr>
          <w:color w:val="33CCCC"/>
        </w:rPr>
        <w:t>. L'entrepreneur soumet un échantillon, la fiche technique et la déclaration des performances (DoP) du matériau pour approbation à l'auteur de projet et au maître de l’ouvrage.</w:t>
      </w:r>
    </w:p>
    <w:p w14:paraId="7F58162B" w14:textId="77777777" w:rsidR="00DF410E" w:rsidRDefault="00CE7F43">
      <w:pPr>
        <w:ind w:left="567"/>
        <w:jc w:val="both"/>
      </w:pPr>
      <w:r>
        <w:rPr>
          <w:b/>
        </w:rPr>
        <w:t>(soit)</w:t>
      </w:r>
    </w:p>
    <w:p w14:paraId="71577BF6" w14:textId="77777777" w:rsidR="00DF410E" w:rsidRDefault="00CE7F43">
      <w:pPr>
        <w:ind w:left="567"/>
        <w:jc w:val="both"/>
      </w:pPr>
      <w:r>
        <w:rPr>
          <w:u w:val="single"/>
        </w:rPr>
        <w:t>Réemploi :</w:t>
      </w:r>
      <w:r>
        <w:rPr>
          <w:color w:val="33CCCC"/>
        </w:rPr>
        <w:t xml:space="preserve"> il s’agit de briques de réemploi comme alternative aux briques neuves. Les caractéristiques techniques répondent au </w:t>
      </w:r>
      <w:r>
        <w:t>[PTV 23-002]</w:t>
      </w:r>
      <w:r>
        <w:rPr>
          <w:color w:val="33CCCC"/>
        </w:rPr>
        <w:t> le cas échéant. Briques récupérées sur place ou modèle à proposer par l’entrepreneur et soumis à l’approbation de l’auteur de projet.</w:t>
      </w:r>
    </w:p>
    <w:p w14:paraId="443B6E73" w14:textId="77777777" w:rsidR="00DF410E" w:rsidRDefault="00CE7F43">
      <w:pPr>
        <w:ind w:left="567"/>
        <w:jc w:val="both"/>
      </w:pPr>
      <w:r>
        <w:rPr>
          <w:rStyle w:val="soitChar"/>
        </w:rPr>
        <w:t>Les briques de réemploi sont triées sur palette par lot selon leur variété, leur origine (y compris typologie de la paroi de l’usage précédent), leurs dimensions, leur coloration (niveau de cuisson ou composition). Des tests d’orientation (sonner les briques, test d’absorption, etc.) peuvent permettre la distinction en lots. Un lot comporte en général de 1 à 5 palettes.</w:t>
      </w:r>
    </w:p>
    <w:p w14:paraId="370902C7" w14:textId="77777777" w:rsidR="00DF410E" w:rsidRDefault="00CE7F43">
      <w:pPr>
        <w:ind w:left="567"/>
        <w:jc w:val="both"/>
      </w:pPr>
      <w:r>
        <w:rPr>
          <w:rStyle w:val="soitChar"/>
        </w:rPr>
        <w:t xml:space="preserve"> L’évaluation et l’approbation d’un lot vise deux performances fondamentales : la résistance à la compression et la résistance au gel en cas d’exposition au climat extérieur.</w:t>
      </w:r>
    </w:p>
    <w:p w14:paraId="6FBC4D54" w14:textId="77777777" w:rsidR="00DF410E" w:rsidRDefault="00CE7F43">
      <w:pPr>
        <w:pStyle w:val="Author-eListParagraph"/>
        <w:numPr>
          <w:ilvl w:val="1"/>
          <w:numId w:val="32"/>
        </w:numPr>
      </w:pPr>
      <w:r>
        <w:rPr>
          <w:rStyle w:val="soitChar"/>
        </w:rPr>
        <w:t xml:space="preserve">Résistance à la compression : </w:t>
      </w:r>
      <w:r>
        <w:rPr>
          <w:rStyle w:val="optioncarChar"/>
        </w:rPr>
        <w:t xml:space="preserve">1 / 2 </w:t>
      </w:r>
      <w:r>
        <w:t>(par défaut)</w:t>
      </w:r>
      <w:r>
        <w:rPr>
          <w:rStyle w:val="optioncarChar"/>
        </w:rPr>
        <w:t xml:space="preserve"> / ***</w:t>
      </w:r>
      <w:r>
        <w:rPr>
          <w:rStyle w:val="soitChar"/>
        </w:rPr>
        <w:t xml:space="preserve"> échantillons de 5 briques par lot sont testés en laboratoire suivant la norme [NBN EN 772-1+A1]  (suivant prescriptions de l’ingénieur en stabilité).</w:t>
      </w:r>
    </w:p>
    <w:p w14:paraId="25EF82D5" w14:textId="77777777" w:rsidR="00DF410E" w:rsidRDefault="00CE7F43">
      <w:pPr>
        <w:pStyle w:val="Author-eListParagraph"/>
        <w:numPr>
          <w:ilvl w:val="1"/>
          <w:numId w:val="32"/>
        </w:numPr>
      </w:pPr>
      <w:r>
        <w:rPr>
          <w:rStyle w:val="soitChar"/>
        </w:rPr>
        <w:t xml:space="preserve">Résistance au gel : </w:t>
      </w:r>
      <w:r>
        <w:rPr>
          <w:rStyle w:val="optioncarChar"/>
        </w:rPr>
        <w:t xml:space="preserve">1 / 2 </w:t>
      </w:r>
      <w:r>
        <w:t xml:space="preserve">(par défaut) </w:t>
      </w:r>
      <w:r>
        <w:rPr>
          <w:rStyle w:val="optioncarChar"/>
        </w:rPr>
        <w:t>/ ***</w:t>
      </w:r>
      <w:r>
        <w:rPr>
          <w:rStyle w:val="soitChar"/>
        </w:rPr>
        <w:t xml:space="preserve"> échantillons de 5 briques par lot sont testés en laboratoire suivant la norme [NBN B 27-009] et/ou la [NBN EN 772-22]. </w:t>
      </w:r>
    </w:p>
    <w:p w14:paraId="707AEDD5" w14:textId="77777777" w:rsidR="00DF410E" w:rsidRDefault="00CE7F43">
      <w:pPr>
        <w:ind w:left="567"/>
        <w:jc w:val="both"/>
      </w:pPr>
      <w:r>
        <w:rPr>
          <w:rStyle w:val="soitChar"/>
        </w:rPr>
        <w:t>Des performances complémentaires doivent compléter les données techniques disponibles (voir par exemple le [PTV 23-002] : classe IW pour le choix du mortier par exemple).</w:t>
      </w:r>
    </w:p>
    <w:p w14:paraId="3702F705" w14:textId="77777777" w:rsidR="00DF410E" w:rsidRDefault="00CE7F43">
      <w:pPr>
        <w:ind w:left="567"/>
        <w:jc w:val="both"/>
      </w:pPr>
      <w:r>
        <w:rPr>
          <w:rStyle w:val="soitChar"/>
        </w:rPr>
        <w:t xml:space="preserve">Les briques </w:t>
      </w:r>
      <w:r>
        <w:rPr>
          <w:rStyle w:val="optioncarChar"/>
        </w:rPr>
        <w:t xml:space="preserve">proviennent d’un même lot </w:t>
      </w:r>
      <w:r>
        <w:t xml:space="preserve">(par défaut) </w:t>
      </w:r>
      <w:r>
        <w:rPr>
          <w:rStyle w:val="optioncarChar"/>
        </w:rPr>
        <w:t>/ peuvent provenir de maximum *** lots différents / peuvent provenir de lots différents</w:t>
      </w:r>
      <w:r>
        <w:rPr>
          <w:rStyle w:val="soitChar"/>
        </w:rPr>
        <w:t>.</w:t>
      </w:r>
    </w:p>
    <w:p w14:paraId="07CB515D" w14:textId="77777777" w:rsidR="00DF410E" w:rsidRDefault="00CE7F43">
      <w:pPr>
        <w:ind w:left="567"/>
        <w:jc w:val="both"/>
      </w:pPr>
      <w:r>
        <w:rPr>
          <w:rStyle w:val="soitChar"/>
        </w:rPr>
        <w:t>Défauts esthétiques acceptables sur les faces visibles des briques :</w:t>
      </w:r>
    </w:p>
    <w:p w14:paraId="1DFD0865" w14:textId="77777777" w:rsidR="00DF410E" w:rsidRDefault="00CE7F43">
      <w:pPr>
        <w:pStyle w:val="Author-eListParagraph"/>
        <w:numPr>
          <w:ilvl w:val="1"/>
          <w:numId w:val="33"/>
        </w:numPr>
      </w:pPr>
      <w:r>
        <w:rPr>
          <w:rStyle w:val="soitChar"/>
        </w:rPr>
        <w:t xml:space="preserve">Fissures de moins de 0,2 mm : </w:t>
      </w:r>
      <w:r>
        <w:rPr>
          <w:rStyle w:val="optioncarChar"/>
        </w:rPr>
        <w:t xml:space="preserve">sur une longueur de moins de 1 cm </w:t>
      </w:r>
      <w:r>
        <w:t xml:space="preserve">(par défaut) </w:t>
      </w:r>
      <w:r>
        <w:rPr>
          <w:rStyle w:val="optioncarChar"/>
        </w:rPr>
        <w:t>/ sur une longueur de moins de 2 cm /  sur une longueur de moins de 3 cm /  sur une longueur de moins de *** / sans objet</w:t>
      </w:r>
    </w:p>
    <w:p w14:paraId="0F37D998" w14:textId="77777777" w:rsidR="00DF410E" w:rsidRDefault="00CE7F43">
      <w:pPr>
        <w:pStyle w:val="Author-eListParagraph"/>
        <w:numPr>
          <w:ilvl w:val="1"/>
          <w:numId w:val="33"/>
        </w:numPr>
      </w:pPr>
      <w:r>
        <w:rPr>
          <w:rStyle w:val="soitChar"/>
        </w:rPr>
        <w:t xml:space="preserve">Eclats ou épaufrures de moins de </w:t>
      </w:r>
      <w:r>
        <w:rPr>
          <w:rStyle w:val="optioncarChar"/>
        </w:rPr>
        <w:t xml:space="preserve">1 cm </w:t>
      </w:r>
      <w:r>
        <w:t xml:space="preserve">(par défaut) </w:t>
      </w:r>
      <w:r>
        <w:rPr>
          <w:rStyle w:val="optioncarChar"/>
        </w:rPr>
        <w:t>/ 2 cm / 3 cm / ***</w:t>
      </w:r>
    </w:p>
    <w:p w14:paraId="6CA359F5" w14:textId="77777777" w:rsidR="00DF410E" w:rsidRDefault="00CE7F43">
      <w:pPr>
        <w:pStyle w:val="Author-eListParagraph"/>
        <w:numPr>
          <w:ilvl w:val="1"/>
          <w:numId w:val="33"/>
        </w:numPr>
      </w:pPr>
      <w:r>
        <w:rPr>
          <w:rStyle w:val="soitChar"/>
        </w:rPr>
        <w:t xml:space="preserve">Trace de peintures de maximum : </w:t>
      </w:r>
      <w:r>
        <w:rPr>
          <w:rStyle w:val="optioncarChar"/>
        </w:rPr>
        <w:t xml:space="preserve">aucune </w:t>
      </w:r>
      <w:r>
        <w:t>(par défaut)</w:t>
      </w:r>
      <w:r>
        <w:rPr>
          <w:rStyle w:val="optioncarChar"/>
        </w:rPr>
        <w:t xml:space="preserve"> / 10 % / 20 % / 30 % / 50 % / *** %</w:t>
      </w:r>
    </w:p>
    <w:p w14:paraId="51BEFF9E" w14:textId="77777777" w:rsidR="00DF410E" w:rsidRDefault="00CE7F43">
      <w:pPr>
        <w:pStyle w:val="Author-eListParagraph"/>
        <w:numPr>
          <w:ilvl w:val="1"/>
          <w:numId w:val="33"/>
        </w:numPr>
      </w:pPr>
      <w:r>
        <w:rPr>
          <w:rStyle w:val="soitChar"/>
        </w:rPr>
        <w:t xml:space="preserve">Trace de mortier : </w:t>
      </w:r>
      <w:r>
        <w:rPr>
          <w:rStyle w:val="optioncarChar"/>
        </w:rPr>
        <w:t>aucune / 10 %</w:t>
      </w:r>
      <w:r>
        <w:t xml:space="preserve"> (par défaut) </w:t>
      </w:r>
      <w:r>
        <w:rPr>
          <w:rStyle w:val="optioncarChar"/>
        </w:rPr>
        <w:t>/ 20 % / 30 % / 50 % / *** %  </w:t>
      </w:r>
    </w:p>
    <w:p w14:paraId="276134BB" w14:textId="77777777" w:rsidR="00DF410E" w:rsidRDefault="00CE7F43">
      <w:pPr>
        <w:pStyle w:val="Author-eListParagraph"/>
        <w:numPr>
          <w:ilvl w:val="1"/>
          <w:numId w:val="33"/>
        </w:numPr>
      </w:pPr>
      <w:r>
        <w:rPr>
          <w:rStyle w:val="soitChar"/>
        </w:rPr>
        <w:t xml:space="preserve">Trace de plâtre : </w:t>
      </w:r>
      <w:r>
        <w:rPr>
          <w:rStyle w:val="optioncarChar"/>
        </w:rPr>
        <w:t>aucune</w:t>
      </w:r>
      <w:r>
        <w:t xml:space="preserve"> (par défaut)</w:t>
      </w:r>
      <w:r>
        <w:rPr>
          <w:rStyle w:val="optioncarChar"/>
        </w:rPr>
        <w:t xml:space="preserve"> / 10 % / 20 % / 30 % / 50 % / *** %</w:t>
      </w:r>
    </w:p>
    <w:p w14:paraId="5730A5BA" w14:textId="77777777" w:rsidR="00DF410E" w:rsidRDefault="00CE7F43">
      <w:pPr>
        <w:pStyle w:val="Author-eListParagraph"/>
        <w:numPr>
          <w:ilvl w:val="1"/>
          <w:numId w:val="33"/>
        </w:numPr>
      </w:pPr>
      <w:r>
        <w:rPr>
          <w:rStyle w:val="soitChar"/>
        </w:rPr>
        <w:t xml:space="preserve">Efflorescence : </w:t>
      </w:r>
      <w:r>
        <w:rPr>
          <w:rStyle w:val="optioncarChar"/>
        </w:rPr>
        <w:t xml:space="preserve">acceptable / pas acceptable </w:t>
      </w:r>
      <w:r>
        <w:t>(par défaut)</w:t>
      </w:r>
    </w:p>
    <w:p w14:paraId="0052A877" w14:textId="77777777" w:rsidR="00DF410E" w:rsidRDefault="00CE7F43">
      <w:pPr>
        <w:pStyle w:val="Author-eListParagraph"/>
        <w:numPr>
          <w:ilvl w:val="1"/>
          <w:numId w:val="33"/>
        </w:numPr>
      </w:pPr>
      <w:r>
        <w:rPr>
          <w:rStyle w:val="soitChar"/>
        </w:rPr>
        <w:t xml:space="preserve">Autre : </w:t>
      </w:r>
      <w:r>
        <w:rPr>
          <w:rStyle w:val="optioncarChar"/>
        </w:rPr>
        <w:t>***</w:t>
      </w:r>
    </w:p>
    <w:p w14:paraId="7E15932D" w14:textId="77777777" w:rsidR="00DF410E" w:rsidRDefault="00CE7F43">
      <w:pPr>
        <w:jc w:val="both"/>
      </w:pPr>
      <w:r>
        <w:t> </w:t>
      </w:r>
    </w:p>
    <w:p w14:paraId="1CBC1D29" w14:textId="77777777" w:rsidR="00DF410E" w:rsidRDefault="00CE7F43">
      <w:pPr>
        <w:jc w:val="both"/>
      </w:pPr>
      <w:r>
        <w:t>Dans le cas d’utilisation de briques de réemploi, il s’agit </w:t>
      </w:r>
      <w:r>
        <w:rPr>
          <w:rStyle w:val="optioncarChar"/>
        </w:rPr>
        <w:t>de la fourniture et de la pose</w:t>
      </w:r>
      <w:r>
        <w:t xml:space="preserve"> (par défaut)</w:t>
      </w:r>
      <w:r>
        <w:rPr>
          <w:rStyle w:val="optioncarChar"/>
        </w:rPr>
        <w:t xml:space="preserve"> / uniquement de la pose</w:t>
      </w:r>
      <w:r>
        <w:t xml:space="preserve"> des maçonneries.</w:t>
      </w:r>
    </w:p>
    <w:p w14:paraId="77B780D6" w14:textId="77777777" w:rsidR="00DF410E" w:rsidRDefault="00CE7F43">
      <w:pPr>
        <w:ind w:left="567"/>
        <w:jc w:val="both"/>
      </w:pPr>
      <w:r>
        <w:rPr>
          <w:b/>
        </w:rPr>
        <w:t>(soit par défaut)</w:t>
      </w:r>
    </w:p>
    <w:p w14:paraId="55D694DE" w14:textId="77777777" w:rsidR="00DF410E" w:rsidRDefault="00CE7F43">
      <w:pPr>
        <w:ind w:left="567"/>
        <w:jc w:val="both"/>
      </w:pPr>
      <w:r>
        <w:rPr>
          <w:u w:val="single"/>
        </w:rPr>
        <w:t>Fourniture et pose </w:t>
      </w:r>
      <w:r>
        <w:rPr>
          <w:color w:val="33CCCC"/>
        </w:rPr>
        <w:t>: Les matériaux de maçonneries sont fournis par l’entreprise.</w:t>
      </w:r>
    </w:p>
    <w:p w14:paraId="2419DDB2" w14:textId="77777777" w:rsidR="00DF410E" w:rsidRDefault="00CE7F43">
      <w:pPr>
        <w:ind w:left="567"/>
        <w:jc w:val="both"/>
      </w:pPr>
      <w:r>
        <w:rPr>
          <w:b/>
        </w:rPr>
        <w:t>(soit)</w:t>
      </w:r>
    </w:p>
    <w:p w14:paraId="0F5AAF5D" w14:textId="77777777" w:rsidR="00DF410E" w:rsidRDefault="00CE7F43">
      <w:pPr>
        <w:ind w:left="567"/>
        <w:jc w:val="both"/>
      </w:pPr>
      <w:r>
        <w:rPr>
          <w:u w:val="single"/>
        </w:rPr>
        <w:t>Pose :</w:t>
      </w:r>
      <w:r>
        <w:rPr>
          <w:color w:val="33CCCC"/>
        </w:rPr>
        <w:t xml:space="preserve"> Les briques de maçonneries sont fournies par le maître de l’ouvrage.  Les autres matériaux nécessaires à la réalisation des maçonneries sont fournis par l’entrepreneur. Dans le cas d’un démontage sur chantier pour réutilisation du matériau, se référer aux éléments du </w:t>
      </w:r>
      <w:hyperlink r:id="rId16" w:history="1" w:docLocation="349">
        <w:r>
          <w:t>06.31.1 Démontage d'éléments de structures de maçonnerie</w:t>
        </w:r>
      </w:hyperlink>
      <w:r>
        <w:rPr>
          <w:color w:val="33CCCC"/>
        </w:rPr>
        <w:t xml:space="preserve">, </w:t>
      </w:r>
      <w:hyperlink r:id="rId17" w:history="1" w:docLocation="350">
        <w:r>
          <w:t>06.41.1 Démontage d'éléments de structures de maçonnerie</w:t>
        </w:r>
      </w:hyperlink>
      <w:r>
        <w:rPr>
          <w:color w:val="33CCCC"/>
        </w:rPr>
        <w:t xml:space="preserve">, </w:t>
      </w:r>
      <w:hyperlink r:id="rId18" w:history="1" w:docLocation="351">
        <w:r>
          <w:t>06.51.1 Démontage d'éléments de structures de maçonnerie</w:t>
        </w:r>
      </w:hyperlink>
      <w:r>
        <w:rPr>
          <w:color w:val="33CCCC"/>
        </w:rPr>
        <w:t xml:space="preserve"> ou </w:t>
      </w:r>
      <w:hyperlink r:id="rId19" w:history="1" w:docLocation="352">
        <w:r>
          <w:t>06.61.1 Démontage d'éléments de structures de maçonnerie</w:t>
        </w:r>
      </w:hyperlink>
    </w:p>
    <w:p w14:paraId="25063105" w14:textId="77777777" w:rsidR="00DF410E" w:rsidRDefault="00CE7F43">
      <w:pPr>
        <w:pStyle w:val="pheading"/>
      </w:pPr>
      <w:r>
        <w:t>EXÉCUTION / MISE EN ŒUVRE</w:t>
      </w:r>
    </w:p>
    <w:p w14:paraId="79934310" w14:textId="77777777" w:rsidR="00DF410E" w:rsidRDefault="00CE7F43">
      <w:pPr>
        <w:jc w:val="both"/>
      </w:pPr>
      <w:r>
        <w:t xml:space="preserve">Eléments en terre cuite à utiliser : </w:t>
      </w:r>
      <w:r>
        <w:rPr>
          <w:rStyle w:val="optioncarChar"/>
        </w:rPr>
        <w:t>brique U / brique P</w:t>
      </w:r>
      <w:r>
        <w:t xml:space="preserve"> conformément à la section </w:t>
      </w:r>
      <w:hyperlink w:anchor="293" w:history="1">
        <w:r>
          <w:t>21 Superstructures en maçonnerie</w:t>
        </w:r>
      </w:hyperlink>
    </w:p>
    <w:p w14:paraId="2180AA23" w14:textId="77777777" w:rsidR="00DF410E" w:rsidRDefault="00CE7F43">
      <w:pPr>
        <w:jc w:val="both"/>
      </w:pPr>
      <w:r>
        <w:t xml:space="preserve">Type : </w:t>
      </w:r>
      <w:r>
        <w:rPr>
          <w:rStyle w:val="optioncarChar"/>
        </w:rPr>
        <w:t>moulées à la main </w:t>
      </w:r>
      <w:r>
        <w:t>(par défaut)</w:t>
      </w:r>
      <w:r>
        <w:rPr>
          <w:rStyle w:val="optioncarChar"/>
        </w:rPr>
        <w:t xml:space="preserve"> / pleines / isolantes / pressées / perforées / étirées / ***</w:t>
      </w:r>
    </w:p>
    <w:p w14:paraId="600BB4CA" w14:textId="77777777" w:rsidR="00DF410E" w:rsidRDefault="00CE7F43">
      <w:pPr>
        <w:jc w:val="both"/>
      </w:pPr>
      <w:r>
        <w:t xml:space="preserve">Conformément au mode de mise en œuvre, les briques de construction en terre cuite sont </w:t>
      </w:r>
      <w:r>
        <w:rPr>
          <w:rStyle w:val="optioncarChar"/>
        </w:rPr>
        <w:t>maçonnées au mortier / collées à l’aide d’un mortier-colle</w:t>
      </w:r>
      <w:r>
        <w:t xml:space="preserve"> selon les indications du fabricant de mortier et des notes de calcul du bureau d’études.</w:t>
      </w:r>
    </w:p>
    <w:p w14:paraId="3C238C70" w14:textId="77777777" w:rsidR="00DF410E" w:rsidRDefault="00CE7F43">
      <w:pPr>
        <w:jc w:val="both"/>
      </w:pPr>
      <w:r>
        <w:t xml:space="preserve">Le mortier </w:t>
      </w:r>
      <w:r>
        <w:rPr>
          <w:rStyle w:val="optioncarChar"/>
        </w:rPr>
        <w:t>à coller / à maçonner</w:t>
      </w:r>
      <w:r>
        <w:t xml:space="preserve"> (selon la [NBN EN 998-2] et le [PTV 651]) répond à la catégorie : </w:t>
      </w:r>
      <w:r>
        <w:rPr>
          <w:rStyle w:val="optioncarChar"/>
        </w:rPr>
        <w:t xml:space="preserve">M10 </w:t>
      </w:r>
      <w:r>
        <w:t>(par défaut)</w:t>
      </w:r>
      <w:r>
        <w:rPr>
          <w:rStyle w:val="optioncarChar"/>
        </w:rPr>
        <w:t xml:space="preserve"> / M15 / M20 / ***</w:t>
      </w:r>
    </w:p>
    <w:p w14:paraId="3ACF8379" w14:textId="77777777" w:rsidR="00DF410E" w:rsidRDefault="00CE7F43">
      <w:pPr>
        <w:jc w:val="both"/>
      </w:pPr>
      <w:r>
        <w:t xml:space="preserve">Isolation contre l'humidité : membranes en </w:t>
      </w:r>
      <w:r>
        <w:rPr>
          <w:rStyle w:val="optioncarChar"/>
        </w:rPr>
        <w:t xml:space="preserve">PE </w:t>
      </w:r>
      <w:r>
        <w:t>(par défaut)</w:t>
      </w:r>
      <w:r>
        <w:rPr>
          <w:rStyle w:val="optioncarChar"/>
        </w:rPr>
        <w:t xml:space="preserve"> / ***</w:t>
      </w:r>
      <w:r>
        <w:t xml:space="preserve"> conformément à l’élément </w:t>
      </w:r>
      <w:hyperlink w:anchor="354" w:history="1">
        <w:r>
          <w:t>26.11 Feuilles et membranes d'étanchéité à l'eau</w:t>
        </w:r>
      </w:hyperlink>
      <w:r>
        <w:t>.</w:t>
      </w:r>
    </w:p>
    <w:p w14:paraId="45F38A2E" w14:textId="77777777" w:rsidR="00DF410E" w:rsidRDefault="00CE7F43">
      <w:pPr>
        <w:jc w:val="both"/>
      </w:pPr>
      <w:r>
        <w:t>Pour les maçonneries destinées à rester apparentes, à l’exception des briques de réemploi dont les caractéristiques sont définies dans la rubrique Matériaux ci-dessus, seules des briques non endommagées sont utilisées.</w:t>
      </w:r>
    </w:p>
    <w:p w14:paraId="2B08DCA8" w14:textId="77777777" w:rsidR="00DF410E" w:rsidRDefault="00CE7F43">
      <w:pPr>
        <w:jc w:val="both"/>
      </w:pPr>
      <w:r>
        <w:t xml:space="preserve">Les segments de murs sont pourvus d'armatures horizontales selon le chapitre </w:t>
      </w:r>
      <w:hyperlink w:anchor="355" w:history="1">
        <w:r>
          <w:t>21.41.1 Armatures horizontales pour maçonneries</w:t>
        </w:r>
      </w:hyperlink>
      <w:r>
        <w:t>.</w:t>
      </w:r>
    </w:p>
    <w:p w14:paraId="0E05D99F" w14:textId="77777777" w:rsidR="00DF410E" w:rsidRDefault="00CE7F43">
      <w:pPr>
        <w:jc w:val="both"/>
      </w:pPr>
      <w:r>
        <w:t xml:space="preserve">Les segments de murs sont pourvus d'armatures verticales selon le chapitre </w:t>
      </w:r>
      <w:hyperlink w:anchor="356" w:history="1">
        <w:r>
          <w:t>21.41.2 Armatures verticales pour maçonneries</w:t>
        </w:r>
      </w:hyperlink>
      <w:r>
        <w:t>.</w:t>
      </w:r>
    </w:p>
    <w:p w14:paraId="117A7245" w14:textId="77777777" w:rsidR="00DF410E" w:rsidRDefault="00CE7F43">
      <w:pPr>
        <w:jc w:val="both"/>
      </w:pPr>
      <w:r>
        <w:t xml:space="preserve">Les maçonneries de caves en contact avec les terres sont rendues étanches selon la description au sous-titre </w:t>
      </w:r>
      <w:hyperlink w:anchor="357" w:history="1">
        <w:r>
          <w:t>26.12 Traitements d'étanchéisation</w:t>
        </w:r>
      </w:hyperlink>
      <w:r>
        <w:t>.</w:t>
      </w:r>
    </w:p>
    <w:p w14:paraId="217E7BD0" w14:textId="77777777" w:rsidR="00DF410E" w:rsidRDefault="00CE7F43">
      <w:pPr>
        <w:jc w:val="both"/>
      </w:pPr>
      <w:r>
        <w:t>Les faces de murs suivantes sont exécutées comme maçonneries apparentes :</w:t>
      </w:r>
      <w:r>
        <w:rPr>
          <w:rStyle w:val="optioncarChar"/>
        </w:rPr>
        <w:t xml:space="preserve"> ***</w:t>
      </w:r>
    </w:p>
    <w:p w14:paraId="0C609DA0" w14:textId="77777777" w:rsidR="00DF410E" w:rsidRDefault="00CE7F43">
      <w:pPr>
        <w:jc w:val="both"/>
      </w:pPr>
      <w:r>
        <w:t xml:space="preserve">Crochets de mur : </w:t>
      </w:r>
      <w:r>
        <w:rPr>
          <w:rStyle w:val="optioncarChar"/>
        </w:rPr>
        <w:t xml:space="preserve">acier inoxydable </w:t>
      </w:r>
      <w:r>
        <w:t>(par défaut)</w:t>
      </w:r>
      <w:r>
        <w:rPr>
          <w:rStyle w:val="optioncarChar"/>
        </w:rPr>
        <w:t xml:space="preserve"> / ***</w:t>
      </w:r>
      <w:r>
        <w:t xml:space="preserve">, diamètre minimal </w:t>
      </w:r>
      <w:r>
        <w:rPr>
          <w:rStyle w:val="optioncarChar"/>
        </w:rPr>
        <w:t xml:space="preserve">3,5 </w:t>
      </w:r>
      <w:r>
        <w:t>(par défaut)</w:t>
      </w:r>
      <w:r>
        <w:rPr>
          <w:rStyle w:val="optioncarChar"/>
        </w:rPr>
        <w:t xml:space="preserve"> / *** </w:t>
      </w:r>
      <w:r>
        <w:t>mm</w:t>
      </w:r>
    </w:p>
    <w:p w14:paraId="718BCC67" w14:textId="77777777" w:rsidR="00DF410E" w:rsidRDefault="00CE7F43">
      <w:pPr>
        <w:jc w:val="both"/>
      </w:pPr>
      <w:r>
        <w:t xml:space="preserve">Linteaux : </w:t>
      </w:r>
      <w:r>
        <w:rPr>
          <w:rStyle w:val="optioncarChar"/>
        </w:rPr>
        <w:t>***</w:t>
      </w:r>
      <w:r>
        <w:t xml:space="preserve"> conformément au sous-titre </w:t>
      </w:r>
      <w:hyperlink w:anchor="358" w:history="1">
        <w:r>
          <w:t>22.13 Linteaux en béton</w:t>
        </w:r>
      </w:hyperlink>
      <w:r>
        <w:t>.</w:t>
      </w:r>
    </w:p>
    <w:p w14:paraId="1B2D7DFC" w14:textId="77777777" w:rsidR="00DF410E" w:rsidRDefault="00CE7F43">
      <w:pPr>
        <w:pStyle w:val="pheading"/>
      </w:pPr>
      <w:r>
        <w:t>DOCUMENTS DE RÉFÉRENCE</w:t>
      </w:r>
    </w:p>
    <w:p w14:paraId="3B46FC0C" w14:textId="77777777" w:rsidR="00DF410E" w:rsidRDefault="00CE7F43">
      <w:pPr>
        <w:pStyle w:val="pheading"/>
      </w:pPr>
      <w:r>
        <w:t>- Matériau</w:t>
      </w:r>
    </w:p>
    <w:p w14:paraId="2D40277C" w14:textId="77777777" w:rsidR="00DF410E" w:rsidRDefault="00CE7F43">
      <w:r>
        <w:t>[NBN EN 771-1+A1, Spécification pour éléments de maçonnerie - Partie 1: Briques de terre cuite]</w:t>
      </w:r>
    </w:p>
    <w:p w14:paraId="113792B2" w14:textId="77777777" w:rsidR="00DF410E" w:rsidRDefault="00CE7F43">
      <w:r>
        <w:t>[PTV 23-002, Prescriptions techniques pour les briques de façades]</w:t>
      </w:r>
    </w:p>
    <w:p w14:paraId="1C03778E" w14:textId="77777777" w:rsidR="00DF410E" w:rsidRDefault="00CE7F43">
      <w:r>
        <w:t>[NBN B 27-009, Produits céramiques pour parements de murs et de sols - Gélivité - Cycles de gel-dégel]</w:t>
      </w:r>
    </w:p>
    <w:p w14:paraId="4C0E419A" w14:textId="77777777" w:rsidR="00DF410E" w:rsidRDefault="00CE7F43">
      <w:r>
        <w:t>[NBN EN 772-1+A1, Méthodes d'essai des éléments de maçonnerie - Partie 1: Détermination de la résistance à la compression]</w:t>
      </w:r>
    </w:p>
    <w:p w14:paraId="59F78191" w14:textId="77777777" w:rsidR="00DF410E" w:rsidRDefault="00CE7F43">
      <w:r>
        <w:t>[NBN EN 772-22, Méthodes d'essai des éléments de maçonnerie - Partie 22: Détermination de la résistance au gel/dégel des éléments de maçonnerie en terre cuite]</w:t>
      </w:r>
    </w:p>
    <w:p w14:paraId="0732829A" w14:textId="77777777" w:rsidR="00DF410E" w:rsidRDefault="00CE7F43">
      <w:r>
        <w:t>[NBN EN 998-2, Définitions et spécifications des mortiers pour maçonnerie - Partie 2: Mortiers de montage des éléments de maçonnerie]</w:t>
      </w:r>
    </w:p>
    <w:p w14:paraId="37C90924" w14:textId="77777777" w:rsidR="00DF410E" w:rsidRDefault="00CE7F43">
      <w:r>
        <w:t>[PTV 651, Mortier de maçonnerie et mortier de jointoyage]</w:t>
      </w:r>
    </w:p>
    <w:p w14:paraId="36707096" w14:textId="77777777" w:rsidR="00DF410E" w:rsidRDefault="00CE7F43">
      <w:pPr>
        <w:pStyle w:val="pheading"/>
      </w:pPr>
      <w:r>
        <w:t>AIDE</w:t>
      </w:r>
    </w:p>
    <w:p w14:paraId="129C0169" w14:textId="77777777" w:rsidR="00DF410E" w:rsidRDefault="00CE7F43">
      <w:pPr>
        <w:jc w:val="both"/>
      </w:pPr>
      <w:r>
        <w:t>Pour le choix adéquat du mortier, se référer à la [STS 22 série].</w:t>
      </w:r>
    </w:p>
    <w:p w14:paraId="05EEE799" w14:textId="77777777" w:rsidR="00DF410E" w:rsidRDefault="00CE7F43">
      <w:pPr>
        <w:jc w:val="both"/>
      </w:pPr>
      <w:r>
        <w:t>Par typologie de la paroi de l'usage précédent, on entend Mur intérieur/extérieur - paroi portante/non-portante - Paroi ayant ou non subi des dégradations.</w:t>
      </w:r>
    </w:p>
    <w:p w14:paraId="393792E1" w14:textId="77777777" w:rsidR="00DF410E" w:rsidRDefault="00CE7F43">
      <w:pPr>
        <w:jc w:val="both"/>
      </w:pPr>
      <w:r>
        <w:rPr>
          <w:u w:val="single"/>
        </w:rPr>
        <w:t>Briques de réemploi :</w:t>
      </w:r>
    </w:p>
    <w:p w14:paraId="240A815B" w14:textId="77777777" w:rsidR="00DF410E" w:rsidRDefault="00CE7F43">
      <w:pPr>
        <w:jc w:val="both"/>
      </w:pPr>
      <w:r>
        <w:t>Ce sont des briques de bâtiments démontés qui sont nettoyées et remises en palettes. Elles peuvent être relativement récentes à plus anciennes.</w:t>
      </w:r>
    </w:p>
    <w:p w14:paraId="42113BB4" w14:textId="77777777" w:rsidR="00DF410E" w:rsidRDefault="00CE7F43">
      <w:pPr>
        <w:jc w:val="both"/>
      </w:pPr>
      <w:r>
        <w:t xml:space="preserve">Les briques de réemploi peuvent se distinguer par leur coloration qu’elle soit due aux matières premières ou à des différences de cuisson.       </w:t>
      </w:r>
    </w:p>
    <w:p w14:paraId="2A2C3259" w14:textId="77777777" w:rsidR="00DF410E" w:rsidRDefault="00CE7F43">
      <w:pPr>
        <w:jc w:val="both"/>
      </w:pPr>
      <w:r>
        <w:t xml:space="preserve"> Pour les briques plus anciennes, une couleur rouge-brun foncé correspond à une brique ‘bien’ cuite alors qu’une coloration rouge pâle est signe d’une cuisson moins poussée. Les premières étaient utilisées pour une exposition aux conditions climatiques car elles ont en général une résistance au gel plus élevée. Les secondes étaient utilisées en exposition intérieure car leur résistance au gel est moindre. Le triage sous forme de lot selon la couleur consécutive à la cuisson pour ces briques anciennes permet ainsi d’orienter un lot vers une application intérieure ou extérieure.</w:t>
      </w:r>
    </w:p>
    <w:p w14:paraId="7C943E85" w14:textId="77777777" w:rsidR="00DF410E" w:rsidRDefault="00CE7F43">
      <w:pPr>
        <w:jc w:val="both"/>
      </w:pPr>
      <w:r>
        <w:t>Les propriétés très dispersées des briques de réemploi peuvent nécessiter de tester plusieurs échantillons au sein d’un même lot.</w:t>
      </w:r>
    </w:p>
    <w:p w14:paraId="5E2F6B60" w14:textId="77777777" w:rsidR="00DF410E" w:rsidRDefault="00CE7F43">
      <w:pPr>
        <w:jc w:val="both"/>
      </w:pPr>
      <w:r>
        <w:t>Ce matériau n’ayant en général pas été testé au moment de sa fabrication, il est difficile d’imposer des valeurs minimales de performance énergétique pour celui-ci. Ce seront donc les valeurs par défaut de la PEB qui devront être encodées dans le logiciel PEB.</w:t>
      </w:r>
    </w:p>
    <w:p w14:paraId="5C3733D7" w14:textId="77777777" w:rsidR="00DF410E" w:rsidRDefault="00CE7F43">
      <w:pPr>
        <w:jc w:val="both"/>
      </w:pPr>
      <w:r>
        <w:t>La plupart des autres performances (résistance mécanique, aux cycles de gel-dégel, etc.) peuvent être caractérisées plus facilement par tests en laboratoire. Pour les performances structurelles, l’ingénieur en stabilité fixera le nombre de tests à réaliser.</w:t>
      </w:r>
    </w:p>
    <w:p w14:paraId="4CCCA382" w14:textId="77777777" w:rsidR="00DF410E" w:rsidRDefault="00CE7F43">
      <w:pPr>
        <w:pStyle w:val="Author-eSectionHeading6"/>
      </w:pPr>
      <w:bookmarkStart w:id="10" w:name="_Toc178837284"/>
      <w:r>
        <w:t>21.11.1a Maçonneries portantes en briques de terre cuite à maçonner CCTB 01.12</w:t>
      </w:r>
      <w:bookmarkEnd w:id="10"/>
    </w:p>
    <w:p w14:paraId="61A99B59" w14:textId="77777777" w:rsidR="00DF410E" w:rsidRDefault="00CE7F43">
      <w:pPr>
        <w:pStyle w:val="pheading"/>
      </w:pPr>
      <w:r>
        <w:t>DESCRIPTION</w:t>
      </w:r>
    </w:p>
    <w:p w14:paraId="42B99F77" w14:textId="77777777" w:rsidR="00DF410E" w:rsidRDefault="00CE7F43">
      <w:pPr>
        <w:pStyle w:val="pheading"/>
      </w:pPr>
      <w:r>
        <w:t>- Définition / Comprend</w:t>
      </w:r>
    </w:p>
    <w:p w14:paraId="662774EA" w14:textId="77777777" w:rsidR="00DF410E" w:rsidRDefault="00CE7F43">
      <w:r>
        <w:t>Il s’agit de la fourniture (hors matériaux récupérés du site) et de la pose de maçonneries portantes en briques de terre cuite à maçonner.</w:t>
      </w:r>
    </w:p>
    <w:p w14:paraId="12BD294D" w14:textId="77777777" w:rsidR="00DF410E" w:rsidRDefault="00CE7F43">
      <w:r>
        <w:t>La portée des travaux est décrite dans l’élément </w:t>
      </w:r>
      <w:hyperlink w:anchor="292" w:history="1">
        <w:r>
          <w:t>21.1 Maçonneries portantes</w:t>
        </w:r>
      </w:hyperlink>
      <w:r>
        <w:t>.</w:t>
      </w:r>
    </w:p>
    <w:p w14:paraId="7DE61ED9" w14:textId="77777777" w:rsidR="00DF410E" w:rsidRDefault="00CE7F43">
      <w:pPr>
        <w:pStyle w:val="pheading"/>
      </w:pPr>
      <w:r>
        <w:t>MATÉRIAUX</w:t>
      </w:r>
    </w:p>
    <w:p w14:paraId="003A6DA9" w14:textId="77777777" w:rsidR="00DF410E" w:rsidRDefault="00CE7F43">
      <w:pPr>
        <w:pStyle w:val="pheading"/>
      </w:pPr>
      <w:r>
        <w:t>- Caractéristiques générales</w:t>
      </w:r>
    </w:p>
    <w:p w14:paraId="5C8DA590" w14:textId="77777777" w:rsidR="00DF410E" w:rsidRDefault="00CE7F43">
      <w:pPr>
        <w:jc w:val="both"/>
      </w:pPr>
      <w:r>
        <w:t>Les prescriptions suivantes sont distinguées en fonction des briques neuves et/ou de réemploi s’il y a lieu.</w:t>
      </w:r>
    </w:p>
    <w:p w14:paraId="411575DB" w14:textId="77777777" w:rsidR="00DF410E" w:rsidRDefault="00CE7F43">
      <w:pPr>
        <w:jc w:val="both"/>
      </w:pPr>
      <w:r>
        <w:rPr>
          <w:u w:val="single"/>
        </w:rPr>
        <w:t>Briques</w:t>
      </w:r>
    </w:p>
    <w:p w14:paraId="6F57340A" w14:textId="77777777" w:rsidR="00DF410E" w:rsidRDefault="00CE7F43">
      <w:pPr>
        <w:jc w:val="both"/>
      </w:pPr>
      <w:r>
        <w:t>En ce qui concerne la déclaration de la résistance à la compression, les briques sont de catégorie I (la résistance à la compression est déclarée avec une fiabilité de 95%).</w:t>
      </w:r>
    </w:p>
    <w:p w14:paraId="7F744988" w14:textId="77777777" w:rsidR="00DF410E" w:rsidRDefault="00DF410E">
      <w:pPr>
        <w:jc w:val="both"/>
      </w:pPr>
    </w:p>
    <w:p w14:paraId="2B35E7CF" w14:textId="77777777" w:rsidR="00DF410E" w:rsidRDefault="00CE7F43">
      <w:pPr>
        <w:jc w:val="both"/>
      </w:pPr>
      <w:r>
        <w:t xml:space="preserve"> La résistance en compression </w:t>
      </w:r>
      <w:r>
        <w:rPr>
          <w:rStyle w:val="optioncarChar"/>
        </w:rPr>
        <w:t>moyenne (f</w:t>
      </w:r>
      <w:r>
        <w:rPr>
          <w:rStyle w:val="optioncarChar"/>
          <w:vertAlign w:val="subscript"/>
        </w:rPr>
        <w:t>mean</w:t>
      </w:r>
      <w:r>
        <w:rPr>
          <w:rStyle w:val="optioncarChar"/>
        </w:rPr>
        <w:t>) / normalisée (f</w:t>
      </w:r>
      <w:r>
        <w:rPr>
          <w:rStyle w:val="optioncarChar"/>
          <w:vertAlign w:val="subscript"/>
        </w:rPr>
        <w:t>b</w:t>
      </w:r>
      <w:r>
        <w:rPr>
          <w:rStyle w:val="optioncarChar"/>
        </w:rPr>
        <w:t>)</w:t>
      </w:r>
      <w:r>
        <w:t xml:space="preserve"> (par défaut) selon la [NBN EN 771-1+A1], la [NBN EN 772-1+A1] et la [NBN EN 1996 série] est au minimum : </w:t>
      </w:r>
      <w:r>
        <w:rPr>
          <w:rStyle w:val="optioncarChar"/>
        </w:rPr>
        <w:t>***</w:t>
      </w:r>
      <w:r>
        <w:t xml:space="preserve"> N/mm² (MPa).</w:t>
      </w:r>
    </w:p>
    <w:p w14:paraId="4E0ABE59" w14:textId="77777777" w:rsidR="00DF410E" w:rsidRDefault="00CE7F43">
      <w:pPr>
        <w:jc w:val="both"/>
      </w:pPr>
      <w:r>
        <w:t xml:space="preserve">Le groupe de configuration suivant [NBN EN 1996-1-1+A1 ANB] est : </w:t>
      </w:r>
      <w:r>
        <w:rPr>
          <w:rStyle w:val="optioncarChar"/>
        </w:rPr>
        <w:t>1 / 2 / 3 / 4</w:t>
      </w:r>
    </w:p>
    <w:p w14:paraId="0D35477C" w14:textId="77777777" w:rsidR="00DF410E" w:rsidRDefault="00CE7F43">
      <w:pPr>
        <w:jc w:val="both"/>
      </w:pPr>
      <w:r>
        <w:t xml:space="preserve">La masse volumique sèche apparente des briques ρ (rho) est : </w:t>
      </w:r>
      <w:r>
        <w:rPr>
          <w:rStyle w:val="optioncarChar"/>
        </w:rPr>
        <w:t>***</w:t>
      </w:r>
      <w:r>
        <w:t xml:space="preserve"> &lt; ρ &lt; </w:t>
      </w:r>
      <w:r>
        <w:rPr>
          <w:rStyle w:val="optioncarChar"/>
        </w:rPr>
        <w:t>***</w:t>
      </w:r>
      <w:r>
        <w:t xml:space="preserve"> kg/m³ selon la [NBN EN 771-1+A1]. </w:t>
      </w:r>
    </w:p>
    <w:p w14:paraId="500409C8" w14:textId="77777777" w:rsidR="00DF410E" w:rsidRDefault="00CE7F43">
      <w:pPr>
        <w:jc w:val="both"/>
      </w:pPr>
      <w:r>
        <w:t>La conductibilité thermique λ</w:t>
      </w:r>
      <w:r>
        <w:rPr>
          <w:vertAlign w:val="subscript"/>
        </w:rPr>
        <w:t>D</w:t>
      </w:r>
      <w:r>
        <w:t xml:space="preserve"> est compatible avec la valeur U prescrite pour la paroi. </w:t>
      </w:r>
    </w:p>
    <w:p w14:paraId="45F81E2A" w14:textId="77777777" w:rsidR="00DF410E" w:rsidRDefault="00CE7F43">
      <w:pPr>
        <w:jc w:val="both"/>
      </w:pPr>
      <w:r>
        <w:t xml:space="preserve">Boutisse : </w:t>
      </w:r>
      <w:r>
        <w:rPr>
          <w:rStyle w:val="optioncarChar"/>
        </w:rPr>
        <w:t xml:space="preserve">plate </w:t>
      </w:r>
      <w:r>
        <w:t>(par défaut)</w:t>
      </w:r>
      <w:r>
        <w:rPr>
          <w:rStyle w:val="optioncarChar"/>
        </w:rPr>
        <w:t xml:space="preserve"> / assemblage à rainures et languettes / assemblage à rainures et poignées</w:t>
      </w:r>
    </w:p>
    <w:p w14:paraId="5AAA094C" w14:textId="77777777" w:rsidR="00DF410E" w:rsidRDefault="00CE7F43">
      <w:pPr>
        <w:jc w:val="both"/>
      </w:pPr>
      <w:r>
        <w:t xml:space="preserve"> Face qui reste visible :</w:t>
      </w:r>
      <w:r>
        <w:rPr>
          <w:rStyle w:val="optioncarChar"/>
        </w:rPr>
        <w:t xml:space="preserve"> lisse </w:t>
      </w:r>
      <w:r>
        <w:t>(par défaut) </w:t>
      </w:r>
      <w:r>
        <w:rPr>
          <w:rStyle w:val="optioncarChar"/>
        </w:rPr>
        <w:t>/ striée / ***</w:t>
      </w:r>
    </w:p>
    <w:p w14:paraId="483392DC" w14:textId="77777777" w:rsidR="00DF410E" w:rsidRDefault="00CE7F43">
      <w:pPr>
        <w:jc w:val="both"/>
      </w:pPr>
      <w:r>
        <w:t xml:space="preserve"> Face à cimenter ou plafonner : </w:t>
      </w:r>
      <w:r>
        <w:rPr>
          <w:rStyle w:val="optioncarChar"/>
        </w:rPr>
        <w:t>lisse</w:t>
      </w:r>
      <w:r>
        <w:t xml:space="preserve"> (par défaut)</w:t>
      </w:r>
      <w:r>
        <w:rPr>
          <w:rStyle w:val="optioncarChar"/>
        </w:rPr>
        <w:t xml:space="preserve"> / striée / rainurée</w:t>
      </w:r>
    </w:p>
    <w:p w14:paraId="7D95CB20" w14:textId="77777777" w:rsidR="00DF410E" w:rsidRDefault="00CE7F43">
      <w:pPr>
        <w:jc w:val="both"/>
      </w:pPr>
      <w:r>
        <w:t xml:space="preserve">Teinte : </w:t>
      </w:r>
      <w:r>
        <w:rPr>
          <w:rStyle w:val="optioncarChar"/>
        </w:rPr>
        <w:t xml:space="preserve">blanc / rouge </w:t>
      </w:r>
      <w:r>
        <w:t>(par défaut)</w:t>
      </w:r>
      <w:r>
        <w:rPr>
          <w:rStyle w:val="optioncarChar"/>
        </w:rPr>
        <w:t xml:space="preserve"> / gris / ***</w:t>
      </w:r>
    </w:p>
    <w:p w14:paraId="769E7638" w14:textId="77777777" w:rsidR="00DF410E" w:rsidRDefault="00CE7F43">
      <w:pPr>
        <w:jc w:val="both"/>
      </w:pPr>
      <w:r>
        <w:t xml:space="preserve">Format : (L x l x h) </w:t>
      </w:r>
      <w:r>
        <w:rPr>
          <w:rStyle w:val="optioncarChar"/>
        </w:rPr>
        <w:t>*** x *** x *** mm / format modulaire proposé par l'entrepreneur</w:t>
      </w:r>
      <w:r>
        <w:t> (par défaut)</w:t>
      </w:r>
    </w:p>
    <w:p w14:paraId="382A3C41" w14:textId="77777777" w:rsidR="00DF410E" w:rsidRDefault="00DF410E">
      <w:pPr>
        <w:jc w:val="both"/>
      </w:pPr>
    </w:p>
    <w:p w14:paraId="47565178" w14:textId="77777777" w:rsidR="00DF410E" w:rsidRDefault="00CE7F43">
      <w:pPr>
        <w:jc w:val="both"/>
      </w:pPr>
      <w:r>
        <w:rPr>
          <w:u w:val="single"/>
        </w:rPr>
        <w:t>Tolérances dimensionnelles</w:t>
      </w:r>
    </w:p>
    <w:p w14:paraId="558049DA" w14:textId="77777777" w:rsidR="00DF410E" w:rsidRDefault="00CE7F43">
      <w:pPr>
        <w:jc w:val="both"/>
      </w:pPr>
      <w:r>
        <w:t xml:space="preserve">Tolérances de la valeur moyenne : </w:t>
      </w:r>
      <w:r>
        <w:rPr>
          <w:rStyle w:val="optioncarChar"/>
        </w:rPr>
        <w:t>T1 / T2 / Tm / non spécifié</w:t>
      </w:r>
      <w:r>
        <w:t xml:space="preserve"> (par défaut)</w:t>
      </w:r>
    </w:p>
    <w:p w14:paraId="359E0132" w14:textId="77777777" w:rsidR="00DF410E" w:rsidRDefault="00CE7F43">
      <w:pPr>
        <w:jc w:val="both"/>
      </w:pPr>
      <w:r>
        <w:t xml:space="preserve"> Plage : </w:t>
      </w:r>
      <w:r>
        <w:rPr>
          <w:rStyle w:val="optioncarChar"/>
        </w:rPr>
        <w:t>R1 / R2 / Rm / non spécifié</w:t>
      </w:r>
      <w:r>
        <w:t xml:space="preserve"> (par défaut)</w:t>
      </w:r>
    </w:p>
    <w:p w14:paraId="09A09C35" w14:textId="77777777" w:rsidR="00DF410E" w:rsidRDefault="00CE7F43">
      <w:pPr>
        <w:jc w:val="both"/>
      </w:pPr>
      <w:r>
        <w:t xml:space="preserve">Taux initial d’absorption d’eau : </w:t>
      </w:r>
      <w:r>
        <w:rPr>
          <w:rStyle w:val="optioncarChar"/>
        </w:rPr>
        <w:t>classe IW1 / classe IW2 / classe IW3 / classe IW4 / non spécifié</w:t>
      </w:r>
      <w:r>
        <w:t xml:space="preserve"> (par défaut)</w:t>
      </w:r>
    </w:p>
    <w:p w14:paraId="719543D7" w14:textId="77777777" w:rsidR="00DF410E" w:rsidRDefault="00CE7F43">
      <w:pPr>
        <w:jc w:val="both"/>
      </w:pPr>
      <w:r>
        <w:t xml:space="preserve"> Résistance au gel suivant les classes d’application MX… selon [NBN EN 1996-2 ANB] et la [NIT 271, Exécution des maçonneries].</w:t>
      </w:r>
    </w:p>
    <w:p w14:paraId="06587DDA" w14:textId="77777777" w:rsidR="00DF410E" w:rsidRDefault="00CE7F43">
      <w:pPr>
        <w:jc w:val="both"/>
      </w:pPr>
      <w:r>
        <w:t xml:space="preserve">Réaction au feu : </w:t>
      </w:r>
      <w:r>
        <w:rPr>
          <w:rStyle w:val="optioncarChar"/>
        </w:rPr>
        <w:t>A1 </w:t>
      </w:r>
      <w:r>
        <w:t>(par défaut)</w:t>
      </w:r>
      <w:r>
        <w:rPr>
          <w:rStyle w:val="optioncarChar"/>
        </w:rPr>
        <w:t xml:space="preserve"> / ***</w:t>
      </w:r>
    </w:p>
    <w:p w14:paraId="0BE0D9A8" w14:textId="77777777" w:rsidR="00DF410E" w:rsidRDefault="00DF410E">
      <w:pPr>
        <w:jc w:val="both"/>
      </w:pPr>
    </w:p>
    <w:p w14:paraId="4C0AC41E" w14:textId="77777777" w:rsidR="00DF410E" w:rsidRDefault="00CE7F43">
      <w:pPr>
        <w:jc w:val="both"/>
      </w:pPr>
      <w:r>
        <w:rPr>
          <w:u w:val="single"/>
        </w:rPr>
        <w:t>Mortier </w:t>
      </w:r>
    </w:p>
    <w:p w14:paraId="541294AE" w14:textId="77777777" w:rsidR="00DF410E" w:rsidRDefault="00CE7F43">
      <w:pPr>
        <w:jc w:val="both"/>
      </w:pPr>
      <w: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 xml:space="preserve">8 </w:t>
      </w:r>
      <w:r>
        <w:t>(par défaut) </w:t>
      </w:r>
      <w:r>
        <w:rPr>
          <w:rStyle w:val="optioncarChar"/>
        </w:rPr>
        <w:t>/ 12 / ***</w:t>
      </w:r>
      <w:r>
        <w:t xml:space="preserve"> mm.</w:t>
      </w:r>
    </w:p>
    <w:p w14:paraId="67DEB29F" w14:textId="77777777" w:rsidR="00DF410E" w:rsidRDefault="00DF410E">
      <w:pPr>
        <w:jc w:val="both"/>
      </w:pPr>
    </w:p>
    <w:p w14:paraId="65776EAD" w14:textId="77777777" w:rsidR="00DF410E" w:rsidRDefault="00CE7F43">
      <w:pPr>
        <w:jc w:val="both"/>
      </w:pPr>
      <w:r>
        <w:rPr>
          <w:b/>
        </w:rPr>
        <w:t>Critères de performances de la paroi</w:t>
      </w:r>
    </w:p>
    <w:p w14:paraId="31DDD8C9" w14:textId="77777777" w:rsidR="00DF410E" w:rsidRDefault="00DF410E">
      <w:pPr>
        <w:jc w:val="both"/>
      </w:pPr>
    </w:p>
    <w:p w14:paraId="26D26D1D" w14:textId="77777777" w:rsidR="00DF410E" w:rsidRDefault="00CE7F43">
      <w:pPr>
        <w:jc w:val="both"/>
      </w:pPr>
      <w:r>
        <w:rPr>
          <w:u w:val="single"/>
        </w:rPr>
        <w:t>Coefficient de transmission :</w:t>
      </w:r>
    </w:p>
    <w:p w14:paraId="71B0C00F" w14:textId="77777777" w:rsidR="00DF410E" w:rsidRDefault="00CE7F43">
      <w:pPr>
        <w:pStyle w:val="Author-eListParagraph"/>
        <w:numPr>
          <w:ilvl w:val="0"/>
          <w:numId w:val="34"/>
        </w:numPr>
      </w:pPr>
      <w:r>
        <w:t xml:space="preserve">valeur U de la paroi maximale de </w:t>
      </w:r>
      <w:r>
        <w:rPr>
          <w:rStyle w:val="optioncarChar"/>
        </w:rPr>
        <w:t>***</w:t>
      </w:r>
      <w:r>
        <w:t xml:space="preserve"> W/m²K</w:t>
      </w:r>
    </w:p>
    <w:p w14:paraId="24C4E714" w14:textId="77777777" w:rsidR="00DF410E" w:rsidRDefault="00CE7F43">
      <w:pPr>
        <w:pStyle w:val="Author-eListParagraph"/>
        <w:numPr>
          <w:ilvl w:val="0"/>
          <w:numId w:val="34"/>
        </w:numPr>
      </w:pPr>
      <w:r>
        <w:t>valeur λ</w:t>
      </w:r>
      <w:r>
        <w:rPr>
          <w:vertAlign w:val="subscript"/>
        </w:rPr>
        <w:t>Ui</w:t>
      </w:r>
      <w:r>
        <w:t xml:space="preserve"> ou λ</w:t>
      </w:r>
      <w:r>
        <w:rPr>
          <w:vertAlign w:val="subscript"/>
        </w:rPr>
        <w:t>Ue</w:t>
      </w:r>
      <w:r>
        <w:t xml:space="preserve"> maximale de la brique </w:t>
      </w:r>
      <w:r>
        <w:rPr>
          <w:rStyle w:val="optioncarChar"/>
        </w:rPr>
        <w:t>***</w:t>
      </w:r>
      <w:r>
        <w:t xml:space="preserve"> W/mK (suivant l’application).</w:t>
      </w:r>
    </w:p>
    <w:p w14:paraId="30E1A5D6" w14:textId="77777777" w:rsidR="00DF410E" w:rsidRDefault="00CE7F43">
      <w:pPr>
        <w:jc w:val="both"/>
      </w:pPr>
      <w:r>
        <w:rPr>
          <w:u w:val="single"/>
        </w:rPr>
        <w:t>Résistance au feu : selon la norme [NBN EN 1996-1-2 ANB] :</w:t>
      </w:r>
    </w:p>
    <w:p w14:paraId="5BA3C5BA" w14:textId="77777777" w:rsidR="00DF410E" w:rsidRDefault="00CE7F43">
      <w:pPr>
        <w:pStyle w:val="Author-eListParagraph"/>
        <w:numPr>
          <w:ilvl w:val="0"/>
          <w:numId w:val="35"/>
        </w:numPr>
        <w:jc w:val="both"/>
      </w:pPr>
      <w:r>
        <w:t xml:space="preserve">pour les éléments porteurs structurels sans fonction séparante : </w:t>
      </w:r>
      <w:r>
        <w:rPr>
          <w:rStyle w:val="optioncarChar"/>
        </w:rPr>
        <w:t>R15 / R30 </w:t>
      </w:r>
      <w:r>
        <w:t>(par défaut)</w:t>
      </w:r>
      <w:r>
        <w:rPr>
          <w:rStyle w:val="optioncarChar"/>
        </w:rPr>
        <w:t xml:space="preserve"> / R60/ R90 / R120 / R***</w:t>
      </w:r>
    </w:p>
    <w:p w14:paraId="34E5593F" w14:textId="77777777" w:rsidR="00DF410E" w:rsidRDefault="00CE7F43">
      <w:pPr>
        <w:pStyle w:val="Author-eListParagraph"/>
        <w:numPr>
          <w:ilvl w:val="0"/>
          <w:numId w:val="35"/>
        </w:numPr>
        <w:jc w:val="both"/>
      </w:pPr>
      <w:r>
        <w:t xml:space="preserve">pour les éléments porteurs structurels avec fonction séparante : </w:t>
      </w:r>
      <w:r>
        <w:rPr>
          <w:rStyle w:val="optioncarChar"/>
        </w:rPr>
        <w:t>REI30 </w:t>
      </w:r>
      <w:r>
        <w:t>(par défaut)</w:t>
      </w:r>
      <w:r>
        <w:rPr>
          <w:rStyle w:val="optioncarChar"/>
        </w:rPr>
        <w:t xml:space="preserve"> / REI60/ REI90 / REI120 / REI</w:t>
      </w:r>
    </w:p>
    <w:p w14:paraId="5D9D9635" w14:textId="77777777" w:rsidR="00DF410E" w:rsidRDefault="00CE7F43">
      <w:pPr>
        <w:pStyle w:val="pheading"/>
      </w:pPr>
      <w:r>
        <w:t>- Finitions</w:t>
      </w:r>
    </w:p>
    <w:p w14:paraId="019864AC" w14:textId="77777777" w:rsidR="00DF410E" w:rsidRDefault="00DF410E"/>
    <w:p w14:paraId="4E5ABFCC" w14:textId="77777777" w:rsidR="00DF410E" w:rsidRDefault="00CE7F43">
      <w:pPr>
        <w:pStyle w:val="Author-eListParagraph"/>
        <w:numPr>
          <w:ilvl w:val="0"/>
          <w:numId w:val="36"/>
        </w:numPr>
      </w:pPr>
      <w:r>
        <w:t xml:space="preserve">Les faces de murs suivantes sont exécutées comme maçonneries apparentes et sont </w:t>
      </w:r>
      <w:r>
        <w:rPr>
          <w:rStyle w:val="normalChar"/>
          <w:color w:val="000000"/>
        </w:rPr>
        <w:t>rejointoyées </w:t>
      </w:r>
      <w:r>
        <w:t xml:space="preserve">selon l'article </w:t>
      </w:r>
      <w:hyperlink w:anchor="344" w:history="1">
        <w:r>
          <w:t>21.61.1b Joints de maçonnerie apparente</w:t>
        </w:r>
      </w:hyperlink>
      <w:r>
        <w:t xml:space="preserve"> : </w:t>
      </w:r>
      <w:r>
        <w:rPr>
          <w:rStyle w:val="optioncarChar"/>
        </w:rPr>
        <w:t>***</w:t>
      </w:r>
    </w:p>
    <w:p w14:paraId="0A7CE07D" w14:textId="77777777" w:rsidR="00DF410E" w:rsidRDefault="00CE7F43">
      <w:pPr>
        <w:pStyle w:val="Author-eListParagraph"/>
        <w:numPr>
          <w:ilvl w:val="0"/>
          <w:numId w:val="36"/>
        </w:numPr>
      </w:pPr>
      <w:r>
        <w:t>Les murs suivants sont exécutés avec une face restant apparente : </w:t>
      </w:r>
      <w:r>
        <w:rPr>
          <w:rStyle w:val="optioncarChar"/>
        </w:rPr>
        <w:t>***</w:t>
      </w:r>
    </w:p>
    <w:p w14:paraId="73BCBF26" w14:textId="77777777" w:rsidR="00DF410E" w:rsidRDefault="00CE7F43">
      <w:pPr>
        <w:pStyle w:val="Author-eListParagraph"/>
        <w:numPr>
          <w:ilvl w:val="0"/>
          <w:numId w:val="36"/>
        </w:numPr>
      </w:pPr>
      <w:r>
        <w:t xml:space="preserve">Les murs suivants sont exécutés avec deux faces restant apparentes : </w:t>
      </w:r>
      <w:r>
        <w:rPr>
          <w:rStyle w:val="optioncarChar"/>
        </w:rPr>
        <w:t>***</w:t>
      </w:r>
    </w:p>
    <w:p w14:paraId="2AFE074C" w14:textId="77777777" w:rsidR="00DF410E" w:rsidRDefault="00CE7F43">
      <w:pPr>
        <w:pStyle w:val="pheading"/>
      </w:pPr>
      <w:r>
        <w:t>- Prescriptions complémentaires</w:t>
      </w:r>
    </w:p>
    <w:p w14:paraId="6E6AB710" w14:textId="77777777" w:rsidR="00DF410E" w:rsidRDefault="00CE7F43">
      <w:pPr>
        <w:jc w:val="both"/>
      </w:pPr>
      <w:r>
        <w:rPr>
          <w:rStyle w:val="facultChar"/>
        </w:rPr>
        <w:t xml:space="preserve">Caractéristiques techniques des briques de réemploi : </w:t>
      </w:r>
      <w:r>
        <w:rPr>
          <w:rStyle w:val="optioncarChar"/>
        </w:rPr>
        <w:t xml:space="preserve">1 / 2 </w:t>
      </w:r>
      <w:r>
        <w:t>(par défaut)</w:t>
      </w:r>
      <w:r>
        <w:rPr>
          <w:rStyle w:val="optioncarChar"/>
        </w:rPr>
        <w:t xml:space="preserve"> / ***</w:t>
      </w:r>
      <w:r>
        <w:rPr>
          <w:rStyle w:val="facultChar"/>
        </w:rPr>
        <w:t xml:space="preserve"> échantillon(s) de 5 briques par lot sont testés en laboratoire .</w:t>
      </w:r>
    </w:p>
    <w:p w14:paraId="0EFDD375" w14:textId="77777777" w:rsidR="00DF410E" w:rsidRDefault="00CE7F43">
      <w:pPr>
        <w:pStyle w:val="pheading"/>
      </w:pPr>
      <w:r>
        <w:t>EXÉCUTION / MISE EN ŒUVRE</w:t>
      </w:r>
    </w:p>
    <w:p w14:paraId="3AA5DFAF" w14:textId="77777777" w:rsidR="00DF410E" w:rsidRDefault="00CE7F43">
      <w:pPr>
        <w:pStyle w:val="pheading"/>
      </w:pPr>
      <w:r>
        <w:t>- Prescriptions générales</w:t>
      </w:r>
    </w:p>
    <w:p w14:paraId="08830E8D" w14:textId="77777777" w:rsidR="00DF410E" w:rsidRDefault="00CE7F43">
      <w:pPr>
        <w:jc w:val="both"/>
      </w:pPr>
      <w:r>
        <w:t xml:space="preserve">Type d’appareillage : </w:t>
      </w:r>
      <w:r>
        <w:rPr>
          <w:rStyle w:val="optioncarChar"/>
        </w:rPr>
        <w:t>appareillage à demi-brique</w:t>
      </w:r>
      <w:r>
        <w:t xml:space="preserve"> (par défaut)</w:t>
      </w:r>
      <w:r>
        <w:rPr>
          <w:rStyle w:val="optioncarChar"/>
        </w:rPr>
        <w:t xml:space="preserve"> / boutisse-panneresse / ***</w:t>
      </w:r>
      <w:r>
        <w:t>.</w:t>
      </w:r>
    </w:p>
    <w:p w14:paraId="26D1DFC3" w14:textId="77777777" w:rsidR="00DF410E" w:rsidRDefault="00CE7F43">
      <w:pPr>
        <w:pStyle w:val="pheading"/>
      </w:pPr>
      <w:r>
        <w:t>- Échantillons</w:t>
      </w:r>
    </w:p>
    <w:p w14:paraId="5C81F994" w14:textId="77777777" w:rsidR="00DF410E" w:rsidRDefault="00CE7F43">
      <w:pPr>
        <w:jc w:val="both"/>
      </w:pPr>
      <w:r>
        <w:t xml:space="preserve">L'entrepreneur soumet un échantillon de </w:t>
      </w:r>
      <w:r>
        <w:rPr>
          <w:rStyle w:val="optioncarChar"/>
        </w:rPr>
        <w:t>2 / 3 / 5</w:t>
      </w:r>
      <w:r>
        <w:t xml:space="preserve"> (par défaut) briques pour approbation à l'auteur de projet et/ou au maître de l’ouvrage.</w:t>
      </w:r>
    </w:p>
    <w:p w14:paraId="01509662" w14:textId="77777777" w:rsidR="00DF410E" w:rsidRDefault="00CE7F43">
      <w:pPr>
        <w:jc w:val="both"/>
      </w:pPr>
      <w:r>
        <w:t>Si plusieurs provenances, l’entrepreneur soumet un échantillon de</w:t>
      </w:r>
      <w:r>
        <w:rPr>
          <w:rStyle w:val="optioncarChar"/>
        </w:rPr>
        <w:t xml:space="preserve"> 2 / 3 / 5</w:t>
      </w:r>
      <w:r>
        <w:t xml:space="preserve"> (par défaut) briques par lot de provenance différente.</w:t>
      </w:r>
    </w:p>
    <w:p w14:paraId="0BA5EB7F" w14:textId="77777777" w:rsidR="00DF410E" w:rsidRDefault="00CE7F43">
      <w:pPr>
        <w:jc w:val="both"/>
      </w:pPr>
      <w:r>
        <w:rPr>
          <w:rStyle w:val="optioncarChar"/>
        </w:rPr>
        <w:t xml:space="preserve">2 </w:t>
      </w:r>
      <w:r>
        <w:t xml:space="preserve">(par défaut) </w:t>
      </w:r>
      <w:r>
        <w:rPr>
          <w:rStyle w:val="optioncarChar"/>
        </w:rPr>
        <w:t>/ 3 / ***</w:t>
      </w:r>
      <w:r>
        <w:t xml:space="preserve"> tests de joint dans la ou les teintes choisies sont réalisés pour approbations du maître de l’ouvrage et/ou de l’architecte. Ces tests ont une dimension minimale de 50 x 50 cm. Le tout est exécuté selon les prescriptions du sous-titre </w:t>
      </w:r>
      <w:hyperlink w:anchor="345" w:history="1">
        <w:r>
          <w:t>21.61 Rejointoyage</w:t>
        </w:r>
      </w:hyperlink>
      <w:r>
        <w:t>.</w:t>
      </w:r>
    </w:p>
    <w:p w14:paraId="77481BF6" w14:textId="77777777" w:rsidR="00DF410E" w:rsidRDefault="00CE7F43">
      <w:pPr>
        <w:pStyle w:val="pheading"/>
      </w:pPr>
      <w:r>
        <w:t>DOCUMENTS DE RÉFÉRENCE COMPLÉMENTAIRES</w:t>
      </w:r>
    </w:p>
    <w:p w14:paraId="246593E2" w14:textId="77777777" w:rsidR="00DF410E" w:rsidRDefault="00CE7F43">
      <w:pPr>
        <w:pStyle w:val="pheading"/>
      </w:pPr>
      <w:r>
        <w:t>- Matériau</w:t>
      </w:r>
    </w:p>
    <w:p w14:paraId="67E7095C" w14:textId="77777777" w:rsidR="00DF410E" w:rsidRDefault="00CE7F43">
      <w:r>
        <w:t>[NBN EN 772-1+A1, Méthodes d'essai des éléments de maçonnerie - Partie 1: Détermination de la résistance à la compression]</w:t>
      </w:r>
    </w:p>
    <w:p w14:paraId="255EFA78" w14:textId="77777777" w:rsidR="00DF410E" w:rsidRDefault="00CE7F43">
      <w:r>
        <w:t>[NBN EN 1996 série, Eurocode 6 : Calcul des ouvrages en maçonnerie]</w:t>
      </w:r>
    </w:p>
    <w:p w14:paraId="47BBA496" w14:textId="77777777" w:rsidR="00DF410E" w:rsidRDefault="00CE7F43">
      <w:r>
        <w:t>[NBN EN 1996-1-1+A1 ANB, Eurocode 6 : Calcul des ouvrages en maçonnerie - Partie 1-1: Règles communes pour ouvrages en maçonnerie armée et non armée - Annexe nationale]</w:t>
      </w:r>
    </w:p>
    <w:p w14:paraId="04A5E3EA" w14:textId="77777777" w:rsidR="00DF410E" w:rsidRDefault="00CE7F43">
      <w:r>
        <w:t>[NBN EN 771-1+A1, Spécification pour éléments de maçonnerie - Partie 1: Briques de terre cuite]</w:t>
      </w:r>
    </w:p>
    <w:p w14:paraId="6B253E2E" w14:textId="77777777" w:rsidR="00DF410E" w:rsidRDefault="00CE7F43">
      <w:r>
        <w:t>[NBN EN 1996-2 ANB, Eurocode 6 - Calcul des ouvrages en maçonnerie - Partie 2 : Conception, choix des matériaux et mise en oeuvre des maçonneries - Annexe nationale]</w:t>
      </w:r>
    </w:p>
    <w:p w14:paraId="0ECF5111" w14:textId="77777777" w:rsidR="00DF410E" w:rsidRDefault="00CE7F43">
      <w:r>
        <w:t>[NBN B 27-009, Produits céramiques pour parements de murs et de sols - Gélivité - Cycles de gel-dégel]</w:t>
      </w:r>
    </w:p>
    <w:p w14:paraId="4265B172" w14:textId="77777777" w:rsidR="00DF410E" w:rsidRDefault="00CE7F43">
      <w:pPr>
        <w:pStyle w:val="pheading"/>
      </w:pPr>
      <w:r>
        <w:t>MESURAGE</w:t>
      </w:r>
    </w:p>
    <w:p w14:paraId="52554C10" w14:textId="77777777" w:rsidR="00DF410E" w:rsidRDefault="00CE7F43">
      <w:pPr>
        <w:pStyle w:val="pheading"/>
      </w:pPr>
      <w:r>
        <w:t>- unité de mesure:</w:t>
      </w:r>
    </w:p>
    <w:p w14:paraId="2D53E000" w14:textId="77777777" w:rsidR="00DF410E" w:rsidRDefault="00CE7F43">
      <w:r>
        <w:rPr>
          <w:rStyle w:val="optioncarChar"/>
        </w:rPr>
        <w:t>m³ </w:t>
      </w:r>
      <w:r>
        <w:t>(par défaut)</w:t>
      </w:r>
      <w:r>
        <w:rPr>
          <w:rStyle w:val="optioncarChar"/>
        </w:rPr>
        <w:t> / m²</w:t>
      </w:r>
    </w:p>
    <w:p w14:paraId="05C51FD8" w14:textId="77777777" w:rsidR="00DF410E" w:rsidRDefault="00CE7F43">
      <w:r>
        <w:rPr>
          <w:b/>
        </w:rPr>
        <w:t>(soit par défaut)</w:t>
      </w:r>
      <w:r>
        <w:br/>
      </w:r>
      <w:r>
        <w:rPr>
          <w:rStyle w:val="soitChar"/>
        </w:rPr>
        <w:t>1. m³</w:t>
      </w:r>
      <w:r>
        <w:br/>
      </w:r>
      <w:r>
        <w:rPr>
          <w:b/>
        </w:rPr>
        <w:t>(soit)</w:t>
      </w:r>
      <w:r>
        <w:br/>
      </w:r>
      <w:r>
        <w:rPr>
          <w:rStyle w:val="soitChar"/>
        </w:rPr>
        <w:t>2. m²</w:t>
      </w:r>
    </w:p>
    <w:p w14:paraId="76634BA6" w14:textId="77777777" w:rsidR="00DF410E" w:rsidRDefault="00CE7F43">
      <w:pPr>
        <w:pStyle w:val="pheading"/>
      </w:pPr>
      <w:r>
        <w:t>- code de mesurage:</w:t>
      </w:r>
    </w:p>
    <w:p w14:paraId="5A5A299F" w14:textId="77777777" w:rsidR="00DF410E" w:rsidRDefault="00CE7F43">
      <w:pPr>
        <w:jc w:val="both"/>
      </w:pPr>
      <w:r>
        <w:t>Les maçonneries sont mesurées en fonction de leur forme géométrique.</w:t>
      </w:r>
    </w:p>
    <w:p w14:paraId="4FFB9E97" w14:textId="77777777" w:rsidR="00DF410E" w:rsidRDefault="00CE7F43">
      <w:pPr>
        <w:jc w:val="both"/>
      </w:pPr>
      <w:r>
        <w:t>La longueur des murs est mesurée dans l'axe de l'élément; lorsque deux murs se croisent ou se rencontrent, le mur le plus épais est compté. Aucun volume n'est porté deux fois en compte.</w:t>
      </w:r>
    </w:p>
    <w:p w14:paraId="02FFDAEE" w14:textId="77777777" w:rsidR="00DF410E" w:rsidRDefault="00CE7F43">
      <w:pPr>
        <w:jc w:val="both"/>
      </w:pPr>
      <w:r>
        <w:t>Le creux du mur n'est jamais compté.</w:t>
      </w:r>
    </w:p>
    <w:p w14:paraId="2C7E884C" w14:textId="77777777" w:rsidR="00DF410E" w:rsidRDefault="00CE7F43">
      <w:pPr>
        <w:jc w:val="both"/>
      </w:pPr>
      <w:r>
        <w:t xml:space="preserve">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xml:space="preserve"> ou le </w:t>
      </w:r>
      <w:hyperlink w:anchor="347" w:history="1">
        <w:r>
          <w:t>23 Superstructures métalliques</w:t>
        </w:r>
      </w:hyperlink>
      <w:r>
        <w:t>).</w:t>
      </w:r>
    </w:p>
    <w:p w14:paraId="0D3F890E" w14:textId="77777777" w:rsidR="00DF410E" w:rsidRDefault="00CE7F43">
      <w:pPr>
        <w:jc w:val="both"/>
      </w:pPr>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p>
    <w:p w14:paraId="5979A677" w14:textId="77777777" w:rsidR="00DF410E" w:rsidRDefault="00CE7F43">
      <w:pPr>
        <w:jc w:val="both"/>
      </w:pPr>
      <w:r>
        <w:t>La maçonnerie autour des conduits de fumée et de ventilation est mesurée comme un mur plein pour les fourreaux jusqu'à une section de 0,12 m2.</w:t>
      </w:r>
    </w:p>
    <w:p w14:paraId="2AF40EE7" w14:textId="77777777" w:rsidR="00DF410E" w:rsidRDefault="00DF410E"/>
    <w:p w14:paraId="6FEC8E6E" w14:textId="77777777" w:rsidR="00DF410E" w:rsidRDefault="00CE7F43">
      <w:pPr>
        <w:jc w:val="both"/>
      </w:pPr>
      <w:r>
        <w:rPr>
          <w:rStyle w:val="optioncarChar"/>
        </w:rPr>
        <w:t xml:space="preserve">Volume net </w:t>
      </w:r>
      <w:r>
        <w:t>(par défaut)</w:t>
      </w:r>
      <w:r>
        <w:rPr>
          <w:rStyle w:val="optioncarChar"/>
        </w:rPr>
        <w:t xml:space="preserve"> / Surface nette</w:t>
      </w:r>
    </w:p>
    <w:p w14:paraId="6120FBFC" w14:textId="77777777" w:rsidR="00DF410E" w:rsidRDefault="00CE7F43">
      <w:pPr>
        <w:jc w:val="both"/>
      </w:pPr>
      <w:r>
        <w:rPr>
          <w:b/>
        </w:rPr>
        <w:t>(soit par défaut)</w:t>
      </w:r>
    </w:p>
    <w:p w14:paraId="496FCD49" w14:textId="77777777" w:rsidR="00DF410E" w:rsidRDefault="00CE7F43">
      <w:pPr>
        <w:jc w:val="both"/>
      </w:pPr>
      <w:r>
        <w:rPr>
          <w:rStyle w:val="soitChar"/>
        </w:rPr>
        <w:t>1. </w:t>
      </w:r>
      <w:r>
        <w:rPr>
          <w:rStyle w:val="soitChar"/>
          <w:u w:val="single"/>
        </w:rPr>
        <w:t>Volume net</w:t>
      </w:r>
      <w:r>
        <w:rPr>
          <w:rStyle w:val="soitChar"/>
        </w:rPr>
        <w:t> de brique à mettre en œuvre</w:t>
      </w:r>
    </w:p>
    <w:p w14:paraId="61234215" w14:textId="77777777" w:rsidR="00DF410E" w:rsidRDefault="00CE7F43">
      <w:pPr>
        <w:jc w:val="both"/>
      </w:pPr>
      <w:r>
        <w:rPr>
          <w:rStyle w:val="soitChar"/>
        </w:rPr>
        <w:t>Distinction faite suivant le type, nature de brique (neuve et/ou de réemploi) et l’épaisseur du mur. S’il s’agit de réemploi, distinguer : avec ou sans fourniture.</w:t>
      </w:r>
    </w:p>
    <w:p w14:paraId="20AB144B" w14:textId="77777777" w:rsidR="00DF410E" w:rsidRDefault="00CE7F43">
      <w:pPr>
        <w:jc w:val="both"/>
      </w:pPr>
      <w:r>
        <w:rPr>
          <w:b/>
        </w:rPr>
        <w:t>(soit)</w:t>
      </w:r>
    </w:p>
    <w:p w14:paraId="5E3653F7" w14:textId="77777777" w:rsidR="00DF410E" w:rsidRDefault="00CE7F43">
      <w:pPr>
        <w:jc w:val="both"/>
      </w:pPr>
      <w:r>
        <w:rPr>
          <w:rStyle w:val="soitChar"/>
        </w:rPr>
        <w:t>2. </w:t>
      </w:r>
      <w:r>
        <w:rPr>
          <w:rStyle w:val="soitChar"/>
          <w:u w:val="single"/>
        </w:rPr>
        <w:t>Surface nette</w:t>
      </w:r>
      <w:r>
        <w:rPr>
          <w:rStyle w:val="soitChar"/>
        </w:rPr>
        <w:t> de brique à mettre en œuvre</w:t>
      </w:r>
    </w:p>
    <w:p w14:paraId="654018F3" w14:textId="77777777" w:rsidR="00DF410E" w:rsidRDefault="00CE7F43">
      <w:pPr>
        <w:jc w:val="both"/>
      </w:pPr>
      <w:r>
        <w:rPr>
          <w:rStyle w:val="soitChar"/>
        </w:rPr>
        <w:t>Distinction faite suivant le type, nature de brique (neuve et/ou de réemploi) et l’épaisseur du mur. S’il s’agit de réemploi, distinguer : avec ou sans fourniture.</w:t>
      </w:r>
    </w:p>
    <w:p w14:paraId="670A0388" w14:textId="77777777" w:rsidR="00DF410E" w:rsidRDefault="00DF410E"/>
    <w:p w14:paraId="06366FC5" w14:textId="77777777" w:rsidR="00DF410E" w:rsidRDefault="00CE7F43">
      <w:pPr>
        <w:pStyle w:val="pheading"/>
      </w:pPr>
      <w:r>
        <w:t>- nature du marché:</w:t>
      </w:r>
    </w:p>
    <w:p w14:paraId="716A999A" w14:textId="77777777" w:rsidR="00DF410E" w:rsidRDefault="00CE7F43">
      <w:r>
        <w:t>QF</w:t>
      </w:r>
    </w:p>
    <w:p w14:paraId="21939C43" w14:textId="77777777" w:rsidR="00DF410E" w:rsidRDefault="00CE7F43">
      <w:pPr>
        <w:pStyle w:val="Author-eSectionHeading6"/>
      </w:pPr>
      <w:bookmarkStart w:id="11" w:name="_Toc178837285"/>
      <w:r>
        <w:t>21.11.1b Maçonneries portantes en briques de terre cuite à coller CCTB 01.11</w:t>
      </w:r>
      <w:bookmarkEnd w:id="11"/>
    </w:p>
    <w:p w14:paraId="36DE7ECC" w14:textId="77777777" w:rsidR="00DF410E" w:rsidRDefault="00CE7F43">
      <w:pPr>
        <w:pStyle w:val="pheading"/>
      </w:pPr>
      <w:r>
        <w:t>DESCRIPTION</w:t>
      </w:r>
    </w:p>
    <w:p w14:paraId="10B32464" w14:textId="77777777" w:rsidR="00DF410E" w:rsidRDefault="00CE7F43">
      <w:pPr>
        <w:pStyle w:val="pheading"/>
      </w:pPr>
      <w:r>
        <w:t>- Définition / Comprend</w:t>
      </w:r>
    </w:p>
    <w:p w14:paraId="4387C05B" w14:textId="77777777" w:rsidR="00DF410E" w:rsidRDefault="00CE7F43">
      <w:r>
        <w:t>Il s’agit de la fourniture et la pose de maçonneries portantes en briques de terre cuite à coller.</w:t>
      </w:r>
    </w:p>
    <w:p w14:paraId="49EB4D75" w14:textId="77777777" w:rsidR="00DF410E" w:rsidRDefault="00CE7F43">
      <w:r>
        <w:t>La portée des travaux est décrite dans l’article </w:t>
      </w:r>
      <w:hyperlink w:anchor="292" w:history="1">
        <w:r>
          <w:t>21.1 Maçonneries portantes</w:t>
        </w:r>
      </w:hyperlink>
      <w:r>
        <w:t>.</w:t>
      </w:r>
    </w:p>
    <w:p w14:paraId="630758A5" w14:textId="77777777" w:rsidR="00DF410E" w:rsidRDefault="00CE7F43">
      <w:pPr>
        <w:pStyle w:val="pheading"/>
      </w:pPr>
      <w:r>
        <w:t>- Localisation</w:t>
      </w:r>
    </w:p>
    <w:p w14:paraId="2BE0954C" w14:textId="77777777" w:rsidR="00DF410E" w:rsidRDefault="00CE7F43">
      <w:r>
        <w:t>La pose est réalisée aux endroits suivants :</w:t>
      </w:r>
      <w:r>
        <w:rPr>
          <w:rStyle w:val="optioncarChar"/>
        </w:rPr>
        <w:t xml:space="preserve"> ***</w:t>
      </w:r>
      <w:r>
        <w:t>.</w:t>
      </w:r>
      <w:r>
        <w:br/>
        <w:t>Voir plans et métrés détaillés.</w:t>
      </w:r>
    </w:p>
    <w:p w14:paraId="61CC58E7" w14:textId="77777777" w:rsidR="00DF410E" w:rsidRDefault="00CE7F43">
      <w:pPr>
        <w:pStyle w:val="pheading"/>
      </w:pPr>
      <w:r>
        <w:t>MATÉRIAUX</w:t>
      </w:r>
    </w:p>
    <w:p w14:paraId="777B7D04" w14:textId="77777777" w:rsidR="00DF410E" w:rsidRDefault="00CE7F43">
      <w:pPr>
        <w:pStyle w:val="pheading"/>
      </w:pPr>
      <w:r>
        <w:t>- Caractéristiques générales</w:t>
      </w:r>
    </w:p>
    <w:p w14:paraId="57780042" w14:textId="77777777" w:rsidR="00DF410E" w:rsidRDefault="00CE7F43">
      <w:pPr>
        <w:pStyle w:val="heading"/>
      </w:pPr>
      <w:r>
        <w:t>Spécifications</w:t>
      </w:r>
    </w:p>
    <w:p w14:paraId="31AEBCEB" w14:textId="77777777" w:rsidR="00DF410E" w:rsidRDefault="00CE7F43">
      <w:r>
        <w:rPr>
          <w:u w:val="single"/>
        </w:rPr>
        <w:t>Briques</w:t>
      </w:r>
    </w:p>
    <w:p w14:paraId="17924E27" w14:textId="77777777" w:rsidR="00DF410E" w:rsidRDefault="00CE7F43">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  </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w:t>
      </w:r>
      <w:r>
        <w:rPr>
          <w:rStyle w:val="optioncarChar"/>
        </w:rPr>
        <w:t xml:space="preserve"> / assemblage à rainures et languettes / assemblage à rainures et poignées</w:t>
      </w:r>
      <w:r>
        <w:br/>
        <w:t xml:space="preserve"> Face qui reste visible :</w:t>
      </w:r>
      <w:r>
        <w:rPr>
          <w:rStyle w:val="optioncarChar"/>
        </w:rPr>
        <w:t xml:space="preserve"> lisse </w:t>
      </w:r>
      <w:r>
        <w:t>(par défaut) </w:t>
      </w:r>
      <w:r>
        <w:rPr>
          <w:rStyle w:val="optioncarChar"/>
        </w:rPr>
        <w:t>/ striée / ***</w:t>
      </w:r>
      <w:r>
        <w:br/>
        <w:t xml:space="preserve"> Face à cimenter ou plafonner : </w:t>
      </w:r>
      <w:r>
        <w:rPr>
          <w:rStyle w:val="optioncarChar"/>
        </w:rPr>
        <w:t>lisse</w:t>
      </w:r>
      <w:r>
        <w:t xml:space="preserve"> (par défaut)</w:t>
      </w:r>
      <w:r>
        <w:rPr>
          <w:rStyle w:val="optioncarChar"/>
        </w:rPr>
        <w:t xml:space="preserve"> / striée / rainurée</w:t>
      </w:r>
      <w:r>
        <w:br/>
        <w:t xml:space="preserve">Teinte : </w:t>
      </w:r>
      <w:r>
        <w:rPr>
          <w:rStyle w:val="optioncarChar"/>
        </w:rPr>
        <w:t xml:space="preserve">blanc / rouge </w:t>
      </w:r>
      <w:r>
        <w:t>(par défaut)</w:t>
      </w:r>
      <w:r>
        <w:rPr>
          <w:rStyle w:val="optioncarChar"/>
        </w:rPr>
        <w:t xml:space="preserve"> / gris / ***</w:t>
      </w:r>
      <w:r>
        <w:br/>
        <w:t xml:space="preserve">Format : (L x l x h) </w:t>
      </w:r>
      <w:r>
        <w:rPr>
          <w:rStyle w:val="optioncarChar"/>
        </w:rPr>
        <w:t>*** x *** x *** mm / format modulaire proposé par l'entrepreneur</w:t>
      </w:r>
      <w:r>
        <w:t> (par défaut)</w:t>
      </w:r>
      <w:r>
        <w:br/>
      </w:r>
      <w:r>
        <w:br/>
        <w:t xml:space="preserve">Tolérances dimensionnelles : </w:t>
      </w:r>
      <w:r>
        <w:br/>
        <w:t xml:space="preserve">Tolérances de la valeur moyenne : </w:t>
      </w:r>
      <w:r>
        <w:rPr>
          <w:rStyle w:val="optioncarChar"/>
        </w:rPr>
        <w:t>T1 / T2 / Tm</w:t>
      </w:r>
      <w:r>
        <w:br/>
        <w:t xml:space="preserve">Plage : </w:t>
      </w:r>
      <w:r>
        <w:rPr>
          <w:rStyle w:val="optioncarChar"/>
        </w:rPr>
        <w:t>R1 / R2 / Rm</w:t>
      </w:r>
      <w:r>
        <w:br/>
      </w:r>
      <w:r>
        <w:br/>
        <w:t>Taux initial d’absorption d’eau : classe</w:t>
      </w:r>
      <w:r>
        <w:rPr>
          <w:rStyle w:val="optioncarChar"/>
        </w:rPr>
        <w:t xml:space="preserve"> IW1 / IW2 / IW3 / IW4</w:t>
      </w:r>
    </w:p>
    <w:p w14:paraId="62CCEC48" w14:textId="77777777" w:rsidR="00DF410E" w:rsidRDefault="00CE7F43">
      <w:r>
        <w:t>Résistance au gel suivant les classes d’application MX… selon [NBN EN 1996-2 ANB] et [NIT 271].</w:t>
      </w:r>
      <w:r>
        <w:br/>
      </w:r>
      <w:r>
        <w:br/>
        <w:t>Réaction au feu :</w:t>
      </w:r>
      <w:r>
        <w:rPr>
          <w:rStyle w:val="optioncarChar"/>
        </w:rPr>
        <w:t xml:space="preserve"> A1 </w:t>
      </w:r>
      <w:r>
        <w:t>(par défaut)</w:t>
      </w:r>
      <w:r>
        <w:rPr>
          <w:rStyle w:val="optioncarChar"/>
        </w:rPr>
        <w:t xml:space="preserve"> / ***</w:t>
      </w:r>
    </w:p>
    <w:p w14:paraId="6A91763F" w14:textId="77777777" w:rsidR="00DF410E" w:rsidRDefault="00CE7F43">
      <w:r>
        <w:rPr>
          <w:u w:val="single"/>
        </w:rPr>
        <w:t>Mortier</w:t>
      </w:r>
    </w:p>
    <w:p w14:paraId="697244E6" w14:textId="77777777" w:rsidR="00DF410E" w:rsidRDefault="00CE7F43">
      <w: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 xml:space="preserve">8 </w:t>
      </w:r>
      <w:r>
        <w:t>(par défaut) </w:t>
      </w:r>
      <w:r>
        <w:rPr>
          <w:rStyle w:val="optioncarChar"/>
        </w:rPr>
        <w:t>/ 12 / ***</w:t>
      </w:r>
      <w:r>
        <w:t xml:space="preserve"> mm.</w:t>
      </w:r>
    </w:p>
    <w:p w14:paraId="5FCA089D" w14:textId="77777777" w:rsidR="00DF410E" w:rsidRDefault="00CE7F43">
      <w:pPr>
        <w:pStyle w:val="heading"/>
      </w:pPr>
      <w:r>
        <w:t>Critères de performances de la paroi</w:t>
      </w:r>
    </w:p>
    <w:p w14:paraId="64B95FCD" w14:textId="77777777" w:rsidR="00DF410E" w:rsidRDefault="00CE7F43">
      <w:r>
        <w:t>Coefficient de transmission :</w:t>
      </w:r>
    </w:p>
    <w:p w14:paraId="369D2379" w14:textId="77777777" w:rsidR="00DF410E" w:rsidRDefault="00CE7F43">
      <w:pPr>
        <w:pStyle w:val="Author-eListParagraph"/>
        <w:numPr>
          <w:ilvl w:val="0"/>
          <w:numId w:val="37"/>
        </w:numPr>
      </w:pPr>
      <w:r>
        <w:t xml:space="preserve">valeur U minimale de </w:t>
      </w:r>
      <w:r>
        <w:rPr>
          <w:rStyle w:val="optioncarChar"/>
        </w:rPr>
        <w:t>***</w:t>
      </w:r>
      <w:r>
        <w:t xml:space="preserve"> W/m²K</w:t>
      </w:r>
    </w:p>
    <w:p w14:paraId="4566B74B" w14:textId="77777777" w:rsidR="00DF410E" w:rsidRDefault="00CE7F43">
      <w:pPr>
        <w:pStyle w:val="Author-eListParagraph"/>
        <w:numPr>
          <w:ilvl w:val="0"/>
          <w:numId w:val="3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0928606" w14:textId="77777777" w:rsidR="00DF410E" w:rsidRDefault="00CE7F43">
      <w:r>
        <w:t>Résistance au feu :</w:t>
      </w:r>
    </w:p>
    <w:p w14:paraId="602C5C7C" w14:textId="77777777" w:rsidR="00DF410E" w:rsidRDefault="00CE7F43">
      <w:pPr>
        <w:pStyle w:val="Author-eListParagraph"/>
        <w:numPr>
          <w:ilvl w:val="0"/>
          <w:numId w:val="38"/>
        </w:numPr>
      </w:pPr>
      <w:r>
        <w:t xml:space="preserve">pour les éléments porteurs structurels sans fonction séparante : </w:t>
      </w:r>
      <w:r>
        <w:rPr>
          <w:rStyle w:val="optioncarChar"/>
        </w:rPr>
        <w:t>R15 / R30 </w:t>
      </w:r>
      <w:r>
        <w:t>(par défaut)</w:t>
      </w:r>
      <w:r>
        <w:rPr>
          <w:rStyle w:val="optioncarChar"/>
        </w:rPr>
        <w:t xml:space="preserve"> / R60/ R90 / R120 / R***</w:t>
      </w:r>
    </w:p>
    <w:p w14:paraId="20E4E5C1" w14:textId="77777777" w:rsidR="00DF410E" w:rsidRDefault="00CE7F43">
      <w:pPr>
        <w:pStyle w:val="Author-eListParagraph"/>
        <w:numPr>
          <w:ilvl w:val="0"/>
          <w:numId w:val="38"/>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084ED563" w14:textId="77777777" w:rsidR="00DF410E" w:rsidRDefault="00CE7F43">
      <w:r>
        <w:t>selon la norme [NBN EN 1996-1-2 ANB].</w:t>
      </w:r>
    </w:p>
    <w:p w14:paraId="535CFA40" w14:textId="77777777" w:rsidR="00DF410E" w:rsidRDefault="00CE7F43">
      <w:pPr>
        <w:pStyle w:val="pheading"/>
      </w:pPr>
      <w:r>
        <w:t>- Finitions</w:t>
      </w:r>
    </w:p>
    <w:p w14:paraId="30F94770" w14:textId="77777777" w:rsidR="00DF410E" w:rsidRDefault="00DF410E"/>
    <w:p w14:paraId="66365386" w14:textId="77777777" w:rsidR="00DF410E" w:rsidRDefault="00CE7F43">
      <w:pPr>
        <w:pStyle w:val="Author-eListParagraph"/>
        <w:numPr>
          <w:ilvl w:val="0"/>
          <w:numId w:val="39"/>
        </w:numPr>
      </w:pPr>
      <w:r>
        <w:t xml:space="preserve">Les faces de murs suivantes sont exécutées comme maçonneries apparentes et sont rejointoyées selon l'article 61.1b Joints de maçonnerie apparente : </w:t>
      </w:r>
      <w:r>
        <w:rPr>
          <w:color w:val="FF0000"/>
        </w:rPr>
        <w:t>***</w:t>
      </w:r>
    </w:p>
    <w:p w14:paraId="4D2F3297" w14:textId="77777777" w:rsidR="00DF410E" w:rsidRDefault="00CE7F43">
      <w:pPr>
        <w:pStyle w:val="Author-eListParagraph"/>
        <w:numPr>
          <w:ilvl w:val="0"/>
          <w:numId w:val="39"/>
        </w:numPr>
      </w:pPr>
      <w:r>
        <w:t>Les murs suivants sont exécutés avec une face restant apparente :</w:t>
      </w:r>
      <w:r>
        <w:rPr>
          <w:color w:val="FF0000"/>
        </w:rPr>
        <w:t>***</w:t>
      </w:r>
    </w:p>
    <w:p w14:paraId="26B4AED0" w14:textId="77777777" w:rsidR="00DF410E" w:rsidRDefault="00CE7F43">
      <w:pPr>
        <w:pStyle w:val="Author-eListParagraph"/>
        <w:numPr>
          <w:ilvl w:val="0"/>
          <w:numId w:val="39"/>
        </w:numPr>
      </w:pPr>
      <w:r>
        <w:t>Les murs suivants sont exécutés avec deux faces restant apparentes :</w:t>
      </w:r>
      <w:r>
        <w:rPr>
          <w:color w:val="FF0000"/>
        </w:rPr>
        <w:t xml:space="preserve"> ***</w:t>
      </w:r>
    </w:p>
    <w:p w14:paraId="7CA320E0" w14:textId="77777777" w:rsidR="00DF410E" w:rsidRDefault="00CE7F43">
      <w:r>
        <w:br/>
      </w:r>
    </w:p>
    <w:p w14:paraId="19311DE0" w14:textId="77777777" w:rsidR="00DF410E" w:rsidRDefault="00DF410E"/>
    <w:p w14:paraId="0C53CE74" w14:textId="77777777" w:rsidR="00DF410E" w:rsidRDefault="00CE7F43">
      <w:r>
        <w:t> </w:t>
      </w:r>
    </w:p>
    <w:p w14:paraId="0623F4D6" w14:textId="77777777" w:rsidR="00DF410E" w:rsidRDefault="00CE7F43">
      <w:pPr>
        <w:pStyle w:val="pheading"/>
      </w:pPr>
      <w:r>
        <w:t>MESURAGE</w:t>
      </w:r>
    </w:p>
    <w:p w14:paraId="2C746E2A" w14:textId="77777777" w:rsidR="00DF410E" w:rsidRDefault="00CE7F43">
      <w:pPr>
        <w:pStyle w:val="pheading"/>
      </w:pPr>
      <w:r>
        <w:t>- unité de mesure:</w:t>
      </w:r>
    </w:p>
    <w:p w14:paraId="09B3127C" w14:textId="77777777" w:rsidR="00DF410E" w:rsidRDefault="00CE7F43">
      <w:r>
        <w:rPr>
          <w:rStyle w:val="optioncarChar"/>
        </w:rPr>
        <w:t>m³ </w:t>
      </w:r>
      <w:r>
        <w:t>(par défaut)</w:t>
      </w:r>
      <w:r>
        <w:rPr>
          <w:rStyle w:val="optioncarChar"/>
        </w:rPr>
        <w:t> / m²</w:t>
      </w:r>
    </w:p>
    <w:p w14:paraId="35D8CEA1" w14:textId="77777777" w:rsidR="00DF410E" w:rsidRDefault="00CE7F43">
      <w:r>
        <w:rPr>
          <w:b/>
        </w:rPr>
        <w:t>(soit par défaut)</w:t>
      </w:r>
    </w:p>
    <w:p w14:paraId="597BB713" w14:textId="77777777" w:rsidR="00DF410E" w:rsidRDefault="00CE7F43">
      <w:r>
        <w:rPr>
          <w:rStyle w:val="soitChar"/>
        </w:rPr>
        <w:t>1. m³</w:t>
      </w:r>
    </w:p>
    <w:p w14:paraId="7A2B43C4" w14:textId="77777777" w:rsidR="00DF410E" w:rsidRDefault="00CE7F43">
      <w:r>
        <w:rPr>
          <w:b/>
        </w:rPr>
        <w:t>(soit)</w:t>
      </w:r>
    </w:p>
    <w:p w14:paraId="68D3BDAC" w14:textId="77777777" w:rsidR="00DF410E" w:rsidRDefault="00CE7F43">
      <w:r>
        <w:rPr>
          <w:rStyle w:val="soitChar"/>
        </w:rPr>
        <w:t>2. m²</w:t>
      </w:r>
    </w:p>
    <w:p w14:paraId="1E2058E9" w14:textId="77777777" w:rsidR="00DF410E" w:rsidRDefault="00CE7F43">
      <w:pPr>
        <w:pStyle w:val="pheading"/>
      </w:pPr>
      <w:r>
        <w:t>- code de mesurage:</w:t>
      </w:r>
    </w:p>
    <w:p w14:paraId="59FFABEC"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0736F4D"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781AC66"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34BF8D36" w14:textId="77777777" w:rsidR="00DF410E" w:rsidRDefault="00CE7F43">
      <w:r>
        <w:br/>
      </w:r>
      <w:r>
        <w:rPr>
          <w:rStyle w:val="optioncarChar"/>
        </w:rPr>
        <w:t>Volume net </w:t>
      </w:r>
      <w:r>
        <w:t>(par défaut)</w:t>
      </w:r>
      <w:r>
        <w:rPr>
          <w:rStyle w:val="optioncarChar"/>
        </w:rPr>
        <w:t> / Surface nette</w:t>
      </w:r>
    </w:p>
    <w:p w14:paraId="33992763" w14:textId="77777777" w:rsidR="00DF410E" w:rsidRDefault="00CE7F43">
      <w:r>
        <w:rPr>
          <w:b/>
        </w:rPr>
        <w:t>(soit par défaut)</w:t>
      </w:r>
    </w:p>
    <w:p w14:paraId="1588C17B"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du mur. S’il s’agit de réemploi, distinguer : avec ou sans fourniture.</w:t>
      </w:r>
    </w:p>
    <w:p w14:paraId="3A734E38" w14:textId="77777777" w:rsidR="00DF410E" w:rsidRDefault="00CE7F43">
      <w:r>
        <w:rPr>
          <w:b/>
        </w:rPr>
        <w:t>(soit)</w:t>
      </w:r>
    </w:p>
    <w:p w14:paraId="748C9F92"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du mur. S’il s’agit de réemploi, distinguer : avec ou sans fourniture.</w:t>
      </w:r>
    </w:p>
    <w:p w14:paraId="51D28D16" w14:textId="77777777" w:rsidR="00DF410E" w:rsidRDefault="00DF410E"/>
    <w:p w14:paraId="157B784F" w14:textId="77777777" w:rsidR="00DF410E" w:rsidRDefault="00CE7F43">
      <w:r>
        <w:t> </w:t>
      </w:r>
    </w:p>
    <w:p w14:paraId="3CC33715" w14:textId="77777777" w:rsidR="00DF410E" w:rsidRDefault="00DF410E"/>
    <w:p w14:paraId="2824E5F0" w14:textId="77777777" w:rsidR="00DF410E" w:rsidRDefault="00CE7F43">
      <w:r>
        <w:t> </w:t>
      </w:r>
    </w:p>
    <w:p w14:paraId="2A9602B4" w14:textId="77777777" w:rsidR="00DF410E" w:rsidRDefault="00CE7F43">
      <w:pPr>
        <w:pStyle w:val="pheading"/>
      </w:pPr>
      <w:r>
        <w:t>- nature du marché:</w:t>
      </w:r>
    </w:p>
    <w:p w14:paraId="57F2770D" w14:textId="77777777" w:rsidR="00DF410E" w:rsidRDefault="00CE7F43">
      <w:r>
        <w:t>QF</w:t>
      </w:r>
    </w:p>
    <w:p w14:paraId="0BCE0864" w14:textId="77777777" w:rsidR="00DF410E" w:rsidRDefault="00CE7F43">
      <w:pPr>
        <w:pStyle w:val="Author-eSectionHeading5"/>
      </w:pPr>
      <w:bookmarkStart w:id="12" w:name="_Toc178837286"/>
      <w:r>
        <w:t>21.11.2 Maçonneries portantes en briques de béton CCTB 01.11</w:t>
      </w:r>
      <w:bookmarkEnd w:id="12"/>
    </w:p>
    <w:p w14:paraId="7A248F8F" w14:textId="77777777" w:rsidR="00DF410E" w:rsidRDefault="00CE7F43">
      <w:pPr>
        <w:pStyle w:val="pheading"/>
      </w:pPr>
      <w:bookmarkStart w:id="13" w:name="359"/>
      <w:bookmarkEnd w:id="13"/>
      <w:r>
        <w:t>MATÉRIAUX</w:t>
      </w:r>
    </w:p>
    <w:p w14:paraId="67A459BB" w14:textId="77777777" w:rsidR="00DF410E" w:rsidRDefault="00CE7F43">
      <w:r>
        <w:t xml:space="preserve">Il s'agit des briques en béton, qui répondent à la norme [NBN EN 771-3+A1] et au [PTV 21-001]. L'entrepreneur soumet un échantillon, la fiche technique et la déclaration des performances (DoP) du matériau pour approbation à l'auteur de projet et au maître de l’ouvrage. </w:t>
      </w:r>
    </w:p>
    <w:p w14:paraId="271353A5" w14:textId="77777777" w:rsidR="00DF410E" w:rsidRDefault="00CE7F43">
      <w:pPr>
        <w:pStyle w:val="pheading"/>
      </w:pPr>
      <w:r>
        <w:t>EXÉCUTION / MISE EN ŒUVRE</w:t>
      </w:r>
    </w:p>
    <w:p w14:paraId="2B7CAC52" w14:textId="77777777" w:rsidR="00DF410E" w:rsidRDefault="00CE7F43">
      <w:r>
        <w:t>Conformément au mode de mise en œuvre, les briques en béton sont maçonnés au mortier / collés à l’aide d’un mortier-colle selon les indications du fabricant des briques, du fabricant de mortier et des notes de calcul du bureau d’études.</w:t>
      </w:r>
    </w:p>
    <w:p w14:paraId="68EB9549" w14:textId="77777777" w:rsidR="00DF410E" w:rsidRDefault="00CE7F43">
      <w:r>
        <w:t>Le mortier à coller / à maçonner (selon la norme [NBN EN 998-2] et le règlement d’application [TRA 651] répond à la catégorie :</w:t>
      </w:r>
      <w:r>
        <w:rPr>
          <w:rStyle w:val="optioncarChar"/>
        </w:rPr>
        <w:t xml:space="preserve"> M5 / M10 </w:t>
      </w:r>
      <w:r>
        <w:t>(par défaut) </w:t>
      </w:r>
      <w:r>
        <w:rPr>
          <w:rStyle w:val="optioncarChar"/>
        </w:rPr>
        <w:t>/ M15 / M20 / ***</w:t>
      </w:r>
      <w:r>
        <w:br/>
        <w:t xml:space="preserve">L'épaisseur des joints est d'au moins </w:t>
      </w:r>
      <w:r>
        <w:rPr>
          <w:rStyle w:val="optioncarChar"/>
        </w:rPr>
        <w:t>10 </w:t>
      </w:r>
      <w:r>
        <w:t>(par défaut)</w:t>
      </w:r>
      <w:r>
        <w:rPr>
          <w:rStyle w:val="optioncarChar"/>
        </w:rPr>
        <w:t xml:space="preserve">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54" w:history="1">
        <w:r>
          <w:t>26.11 Feuilles et membranes d'étanchéité à l'eau</w:t>
        </w:r>
      </w:hyperlink>
      <w:r>
        <w:t>.</w:t>
      </w:r>
    </w:p>
    <w:p w14:paraId="30CB0702" w14:textId="77777777" w:rsidR="00DF410E" w:rsidRDefault="00CE7F43">
      <w:r>
        <w:rPr>
          <w:b/>
        </w:rPr>
        <w:t>- Notes d'exécution complémentaires</w:t>
      </w:r>
    </w:p>
    <w:p w14:paraId="77D8AA5F" w14:textId="77777777" w:rsidR="00DF410E" w:rsidRDefault="00CE7F43">
      <w:r>
        <w:t>Pour les maçonneries destinées à rester apparentes, seules des briques non endommagés sont utilisés.</w:t>
      </w:r>
    </w:p>
    <w:p w14:paraId="4E0CE5C3"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5FD74F5E" w14:textId="77777777" w:rsidR="00DF410E" w:rsidRDefault="00CE7F43">
      <w:r>
        <w:t xml:space="preserve">Les segments de murs sont pourvus d'armatures verticales selon l'article </w:t>
      </w:r>
      <w:hyperlink w:anchor="356" w:history="1">
        <w:r>
          <w:t>21.41.2 Armatures verticales pour maçonneries</w:t>
        </w:r>
      </w:hyperlink>
    </w:p>
    <w:p w14:paraId="620CA7B5"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1A8AAD70" w14:textId="77777777" w:rsidR="00DF410E" w:rsidRDefault="00CE7F43">
      <w:r>
        <w:t xml:space="preserve">Les faces de murs suivantes sont exécutées comme maçonneries apparentes : </w:t>
      </w:r>
      <w:r>
        <w:rPr>
          <w:rStyle w:val="optioncarChar"/>
        </w:rPr>
        <w:t>***.</w:t>
      </w:r>
    </w:p>
    <w:p w14:paraId="552C5DA1" w14:textId="77777777" w:rsidR="00DF410E" w:rsidRDefault="00CE7F43">
      <w:r>
        <w:t xml:space="preserve">Crochets de mur : </w:t>
      </w:r>
      <w:r>
        <w:rPr>
          <w:rStyle w:val="optioncarChar"/>
        </w:rPr>
        <w:t xml:space="preserve">acier inoxydable </w:t>
      </w:r>
      <w:r>
        <w:t>(par défaut)</w:t>
      </w:r>
      <w:r>
        <w:rPr>
          <w:rStyle w:val="optioncarChar"/>
        </w:rPr>
        <w:t xml:space="preserve"> / *** , diamètre minimal 3,5</w:t>
      </w:r>
      <w:r>
        <w:t xml:space="preserve"> (par défaut)</w:t>
      </w:r>
      <w:r>
        <w:rPr>
          <w:rStyle w:val="optioncarChar"/>
        </w:rPr>
        <w:t xml:space="preserve"> / ***</w:t>
      </w:r>
      <w:r>
        <w:t xml:space="preserve"> mm</w:t>
      </w:r>
    </w:p>
    <w:p w14:paraId="2210CF51" w14:textId="77777777" w:rsidR="00DF410E" w:rsidRDefault="00CE7F43">
      <w:r>
        <w:br/>
        <w:t>Linteaux :</w:t>
      </w:r>
      <w:r>
        <w:rPr>
          <w:rStyle w:val="optioncarChar"/>
        </w:rPr>
        <w:t xml:space="preserve"> ***</w:t>
      </w:r>
      <w:r>
        <w:t xml:space="preserve"> conformément à l’article </w:t>
      </w:r>
      <w:hyperlink w:anchor="358" w:history="1">
        <w:r>
          <w:t>22.13 Linteaux en béton</w:t>
        </w:r>
      </w:hyperlink>
      <w:r>
        <w:t>.</w:t>
      </w:r>
    </w:p>
    <w:p w14:paraId="79EE2A7E" w14:textId="77777777" w:rsidR="00DF410E" w:rsidRDefault="00DF410E"/>
    <w:p w14:paraId="40E11C55" w14:textId="77777777" w:rsidR="00DF410E" w:rsidRDefault="00CE7F43">
      <w:r>
        <w:t> </w:t>
      </w:r>
    </w:p>
    <w:p w14:paraId="1708CCC3" w14:textId="77777777" w:rsidR="00DF410E" w:rsidRDefault="00CE7F43">
      <w:pPr>
        <w:pStyle w:val="pheading"/>
      </w:pPr>
      <w:r>
        <w:t>AIDE</w:t>
      </w:r>
    </w:p>
    <w:p w14:paraId="47A40D30" w14:textId="77777777" w:rsidR="00DF410E" w:rsidRDefault="00CE7F43">
      <w:r>
        <w:t>Note à l'attention de l'auteur du projet : pour le choix adéquat du mortier, se référer à la [STS 22 série].</w:t>
      </w:r>
    </w:p>
    <w:p w14:paraId="7B9AB4B0" w14:textId="77777777" w:rsidR="00DF410E" w:rsidRDefault="00CE7F43">
      <w:pPr>
        <w:pStyle w:val="Author-eSectionHeading6"/>
      </w:pPr>
      <w:bookmarkStart w:id="14" w:name="_Toc178837287"/>
      <w:r>
        <w:t>21.11.2a Maçonneries portantes en briques de béton à maçonner CCTB 01.12</w:t>
      </w:r>
      <w:bookmarkEnd w:id="14"/>
    </w:p>
    <w:p w14:paraId="7912C45D" w14:textId="77777777" w:rsidR="00DF410E" w:rsidRDefault="00CE7F43">
      <w:pPr>
        <w:pStyle w:val="pheading"/>
      </w:pPr>
      <w:r>
        <w:t>DESCRIPTION</w:t>
      </w:r>
    </w:p>
    <w:p w14:paraId="60040A83" w14:textId="77777777" w:rsidR="00DF410E" w:rsidRDefault="00CE7F43">
      <w:pPr>
        <w:pStyle w:val="pheading"/>
      </w:pPr>
      <w:r>
        <w:t>- Définition / Comprend</w:t>
      </w:r>
    </w:p>
    <w:p w14:paraId="16141EA1" w14:textId="77777777" w:rsidR="00DF410E" w:rsidRDefault="00CE7F43">
      <w:r>
        <w:t xml:space="preserve">Il s’agit de la fourniture et la pose de maçonneries portantes en briques de béton à maçonner. </w:t>
      </w:r>
      <w:r>
        <w:br/>
        <w:t xml:space="preserve">La portée des travaux est décrite dans l’article </w:t>
      </w:r>
      <w:hyperlink w:anchor="359" w:history="1">
        <w:r>
          <w:t>21.11.2 Maçonneries portantes en briques de béton</w:t>
        </w:r>
      </w:hyperlink>
      <w:r>
        <w:t>.</w:t>
      </w:r>
      <w:r>
        <w:br/>
        <w:t>Les travaux comprennent également la fourniture et la pose des pièces d’angle, de terminaison et de rencontre.</w:t>
      </w:r>
    </w:p>
    <w:p w14:paraId="1CE7D491" w14:textId="77777777" w:rsidR="00DF410E" w:rsidRDefault="00CE7F43">
      <w:pPr>
        <w:pStyle w:val="pheading"/>
      </w:pPr>
      <w:r>
        <w:t>- Localisation</w:t>
      </w:r>
    </w:p>
    <w:p w14:paraId="04D27C7F" w14:textId="77777777" w:rsidR="00DF410E" w:rsidRDefault="00CE7F43">
      <w:r>
        <w:t>La pose est réalisée aux endroits suivants :</w:t>
      </w:r>
      <w:r>
        <w:rPr>
          <w:rStyle w:val="optioncarChar"/>
        </w:rPr>
        <w:t xml:space="preserve"> ***</w:t>
      </w:r>
      <w:r>
        <w:t>.</w:t>
      </w:r>
      <w:r>
        <w:br/>
        <w:t>Voir plans et métrés détaillés.</w:t>
      </w:r>
    </w:p>
    <w:p w14:paraId="19FEC1FF" w14:textId="77777777" w:rsidR="00DF410E" w:rsidRDefault="00CE7F43">
      <w:pPr>
        <w:pStyle w:val="pheading"/>
      </w:pPr>
      <w:r>
        <w:t>MATÉRIAUX</w:t>
      </w:r>
    </w:p>
    <w:p w14:paraId="5D650D68" w14:textId="77777777" w:rsidR="00DF410E" w:rsidRDefault="00CE7F43">
      <w:pPr>
        <w:pStyle w:val="pheading"/>
      </w:pPr>
      <w:r>
        <w:t>- Caractéristiques générales</w:t>
      </w:r>
    </w:p>
    <w:p w14:paraId="08C02A59" w14:textId="77777777" w:rsidR="00DF410E" w:rsidRDefault="00CE7F43">
      <w:r>
        <w:rPr>
          <w:rStyle w:val="headingChar"/>
        </w:rPr>
        <w:t>Spécifications</w:t>
      </w:r>
    </w:p>
    <w:p w14:paraId="4F254A75" w14:textId="77777777" w:rsidR="00DF410E" w:rsidRDefault="00CE7F43">
      <w:r>
        <w:rPr>
          <w:u w:val="single"/>
        </w:rPr>
        <w:t>Briques</w:t>
      </w:r>
    </w:p>
    <w:p w14:paraId="64A65832"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 xml:space="preserve">lisse </w:t>
      </w:r>
      <w:r>
        <w:rPr>
          <w:rStyle w:val="normalChar"/>
          <w:color w:val="000000"/>
        </w:rPr>
        <w:t>(par défaut)</w:t>
      </w:r>
      <w:r>
        <w:rPr>
          <w:rStyle w:val="optioncarChar"/>
        </w:rPr>
        <w:t xml:space="preserve"> / rainurée</w:t>
      </w:r>
      <w:r>
        <w:br/>
      </w:r>
      <w:r>
        <w:br/>
        <w:t xml:space="preserve">Teinte : </w:t>
      </w:r>
      <w:r>
        <w:rPr>
          <w:rStyle w:val="optioncarChar"/>
        </w:rPr>
        <w:t xml:space="preserve">blanc / gris </w:t>
      </w:r>
      <w:r>
        <w:t>(par défaut)</w:t>
      </w:r>
      <w:r>
        <w:rPr>
          <w:rStyle w:val="optioncarChar"/>
        </w:rPr>
        <w:t xml:space="preserve"> / ***</w:t>
      </w:r>
      <w:r>
        <w:br/>
      </w:r>
      <w:r>
        <w:br/>
        <w:t>Format : (L x l x h) :</w:t>
      </w:r>
      <w:r>
        <w:rPr>
          <w:rStyle w:val="optioncarChar"/>
        </w:rPr>
        <w:t xml:space="preserve"> format modulaire proposé par l'entrepreneur</w:t>
      </w:r>
      <w:r>
        <w:t xml:space="preserve"> (par défaut) </w:t>
      </w:r>
      <w:r>
        <w:rPr>
          <w:rStyle w:val="optioncarChar"/>
        </w:rPr>
        <w:t xml:space="preserve">/ (190 / *** </w:t>
      </w:r>
      <w:r>
        <w:t>x</w:t>
      </w:r>
      <w:r>
        <w:rPr>
          <w:rStyle w:val="optioncarChar"/>
        </w:rPr>
        <w:t> 90 / *** </w:t>
      </w:r>
      <w:r>
        <w:rPr>
          <w:rStyle w:val="optioncarChar"/>
          <w:color w:val="000000"/>
        </w:rPr>
        <w:t>x</w:t>
      </w:r>
      <w:r>
        <w:rPr>
          <w:rStyle w:val="optioncarChar"/>
        </w:rPr>
        <w:t> 52 / 65 / *** </w:t>
      </w:r>
      <w:r>
        <w:t xml:space="preserve"> ) mm</w:t>
      </w:r>
    </w:p>
    <w:p w14:paraId="5C92735E"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7960CAFD" w14:textId="77777777" w:rsidR="00DF410E" w:rsidRDefault="00CE7F43">
      <w:r>
        <w:t xml:space="preserve">Taux initial d’absorption d’eau : classe </w:t>
      </w:r>
      <w:r>
        <w:rPr>
          <w:rStyle w:val="optioncarChar"/>
        </w:rPr>
        <w:t>IW1 / IW2 / IW3 / IW4</w:t>
      </w:r>
      <w:r>
        <w:br/>
        <w:t xml:space="preserve">Absorption d’eau par capillarité : </w:t>
      </w:r>
      <w:r>
        <w:rPr>
          <w:rStyle w:val="optioncarChar"/>
        </w:rPr>
        <w:t>A1 (exposé décoratif) / A2 (exposé) </w:t>
      </w:r>
      <w:r>
        <w:t>(par défaut)</w:t>
      </w:r>
      <w:r>
        <w:br/>
      </w:r>
      <w:r>
        <w:br/>
        <w:t xml:space="preserve">Résistance au gel suivant les classes d’application MX… selon </w:t>
      </w:r>
      <w:r>
        <w:rPr>
          <w:color w:val="0000FF"/>
        </w:rPr>
        <w:t>[NBN EN 1996-2 ANB]</w:t>
      </w:r>
      <w:r>
        <w:t xml:space="preserve"> et la [NIT 271].</w:t>
      </w:r>
      <w:r>
        <w:br/>
      </w:r>
      <w:r>
        <w:br/>
        <w:t xml:space="preserve">Réaction au feu : </w:t>
      </w:r>
      <w:r>
        <w:rPr>
          <w:rStyle w:val="optioncarChar"/>
        </w:rPr>
        <w:t>A1</w:t>
      </w:r>
      <w:r>
        <w:t> (par défaut)</w:t>
      </w:r>
      <w:r>
        <w:rPr>
          <w:rStyle w:val="optioncarChar"/>
        </w:rPr>
        <w:t xml:space="preserve"> / ***</w:t>
      </w:r>
    </w:p>
    <w:p w14:paraId="1158570E" w14:textId="77777777" w:rsidR="00DF410E" w:rsidRDefault="00CE7F43">
      <w:r>
        <w:rPr>
          <w:u w:val="single"/>
        </w:rPr>
        <w:t>Mortier</w:t>
      </w:r>
    </w:p>
    <w:p w14:paraId="05107367" w14:textId="77777777" w:rsidR="00DF410E" w:rsidRDefault="00CE7F43">
      <w:r>
        <w:rPr>
          <w:rStyle w:val="normalChar"/>
          <w:color w:val="000000"/>
        </w:rPr>
        <w:t>Classe de résistance :</w:t>
      </w:r>
      <w:r>
        <w:rPr>
          <w:rStyle w:val="optioncarChar"/>
        </w:rPr>
        <w:t>M1 / M2,5 / M5 / M10</w:t>
      </w:r>
      <w:r>
        <w:t xml:space="preserve"> (par défaut)</w:t>
      </w:r>
      <w:r>
        <w:rPr>
          <w:rStyle w:val="optioncarChar"/>
        </w:rPr>
        <w:t xml:space="preserve"> / M15 / M20 </w:t>
      </w:r>
    </w:p>
    <w:p w14:paraId="6327FC8D" w14:textId="77777777" w:rsidR="00DF410E" w:rsidRDefault="00CE7F43">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101087AA" w14:textId="77777777" w:rsidR="00DF410E" w:rsidRDefault="00CE7F43">
      <w:r>
        <w:rPr>
          <w:rStyle w:val="normalChar"/>
          <w:color w:val="000000"/>
        </w:rPr>
        <w:t>Résistance au gel : oui</w:t>
      </w:r>
    </w:p>
    <w:p w14:paraId="65314173" w14:textId="77777777" w:rsidR="00DF410E" w:rsidRDefault="00CE7F43">
      <w:r>
        <w:br/>
      </w:r>
      <w:r>
        <w:rPr>
          <w:rStyle w:val="headingChar"/>
        </w:rPr>
        <w:t>Critères De Performances De La Paroi</w:t>
      </w:r>
    </w:p>
    <w:p w14:paraId="2DA8B790" w14:textId="77777777" w:rsidR="00DF410E" w:rsidRDefault="00CE7F43">
      <w:r>
        <w:t>Coefficient de transmission :</w:t>
      </w:r>
    </w:p>
    <w:p w14:paraId="3C96E089" w14:textId="77777777" w:rsidR="00DF410E" w:rsidRDefault="00CE7F43">
      <w:pPr>
        <w:pStyle w:val="Author-eListParagraph"/>
        <w:numPr>
          <w:ilvl w:val="0"/>
          <w:numId w:val="40"/>
        </w:numPr>
      </w:pPr>
      <w:r>
        <w:t xml:space="preserve">valeur U minimale de </w:t>
      </w:r>
      <w:r>
        <w:rPr>
          <w:rStyle w:val="optioncarChar"/>
        </w:rPr>
        <w:t>***</w:t>
      </w:r>
      <w:r>
        <w:t xml:space="preserve"> W/m²K</w:t>
      </w:r>
    </w:p>
    <w:p w14:paraId="0330BDB7" w14:textId="77777777" w:rsidR="00DF410E" w:rsidRDefault="00CE7F43">
      <w:pPr>
        <w:pStyle w:val="Author-eListParagraph"/>
        <w:numPr>
          <w:ilvl w:val="0"/>
          <w:numId w:val="4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FEAD611" w14:textId="77777777" w:rsidR="00DF410E" w:rsidRDefault="00CE7F43">
      <w:r>
        <w:t>Résistance au feu :</w:t>
      </w:r>
    </w:p>
    <w:p w14:paraId="6F233A0B" w14:textId="77777777" w:rsidR="00DF410E" w:rsidRDefault="00CE7F43">
      <w:pPr>
        <w:pStyle w:val="Author-eListParagraph"/>
        <w:numPr>
          <w:ilvl w:val="0"/>
          <w:numId w:val="41"/>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3576B01B" w14:textId="77777777" w:rsidR="00DF410E" w:rsidRDefault="00CE7F43">
      <w:pPr>
        <w:pStyle w:val="Author-eListParagraph"/>
        <w:numPr>
          <w:ilvl w:val="0"/>
          <w:numId w:val="41"/>
        </w:numPr>
      </w:pPr>
      <w:r>
        <w:t xml:space="preserve">pour les éléments porteurs structurels avec fonction séparante : </w:t>
      </w:r>
      <w:r>
        <w:rPr>
          <w:rStyle w:val="optioncarChar"/>
        </w:rPr>
        <w:t>REI30 </w:t>
      </w:r>
      <w:r>
        <w:t>(par défaut)</w:t>
      </w:r>
      <w:r>
        <w:rPr>
          <w:rStyle w:val="optioncarChar"/>
        </w:rPr>
        <w:t xml:space="preserve"> / REI60/  REI90 / REI120 / REI***</w:t>
      </w:r>
    </w:p>
    <w:p w14:paraId="254EDC3E" w14:textId="77777777" w:rsidR="00DF410E" w:rsidRDefault="00CE7F43">
      <w:r>
        <w:t xml:space="preserve">selon les tableaux dans [NBN EN 1996-1-2 ANB]. </w:t>
      </w:r>
      <w:r>
        <w:br/>
      </w:r>
      <w:r>
        <w:br/>
      </w:r>
    </w:p>
    <w:p w14:paraId="5D640798" w14:textId="77777777" w:rsidR="00DF410E" w:rsidRDefault="00DF410E"/>
    <w:p w14:paraId="61844096" w14:textId="77777777" w:rsidR="00DF410E" w:rsidRDefault="00CE7F43">
      <w:r>
        <w:t> </w:t>
      </w:r>
    </w:p>
    <w:p w14:paraId="29AEA9B0" w14:textId="77777777" w:rsidR="00DF410E" w:rsidRDefault="00DF410E"/>
    <w:p w14:paraId="2CB08DB2" w14:textId="77777777" w:rsidR="00DF410E" w:rsidRDefault="00CE7F43">
      <w:r>
        <w:t> </w:t>
      </w:r>
    </w:p>
    <w:p w14:paraId="0C38A774" w14:textId="77777777" w:rsidR="00DF410E" w:rsidRDefault="00CE7F43">
      <w:pPr>
        <w:pStyle w:val="pheading"/>
      </w:pPr>
      <w:r>
        <w:t>- Finitions</w:t>
      </w:r>
    </w:p>
    <w:p w14:paraId="747CD30C" w14:textId="77777777" w:rsidR="00DF410E" w:rsidRDefault="00DF410E"/>
    <w:p w14:paraId="73B95F41" w14:textId="77777777" w:rsidR="00DF410E" w:rsidRDefault="00CE7F43">
      <w:pPr>
        <w:pStyle w:val="Author-eListParagraph"/>
        <w:numPr>
          <w:ilvl w:val="0"/>
          <w:numId w:val="42"/>
        </w:numPr>
      </w:pPr>
      <w:r>
        <w:t xml:space="preserve">Les faces de murs suivantes sont exécutées comme maçonneries apparentes et sont </w:t>
      </w:r>
      <w:r>
        <w:rPr>
          <w:rStyle w:val="normal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29883009" w14:textId="77777777" w:rsidR="00DF410E" w:rsidRDefault="00CE7F43">
      <w:pPr>
        <w:pStyle w:val="Author-eListParagraph"/>
        <w:numPr>
          <w:ilvl w:val="0"/>
          <w:numId w:val="42"/>
        </w:numPr>
      </w:pPr>
      <w:r>
        <w:t>Les murs suivants sont exécutés avec une face restant apparente : </w:t>
      </w:r>
      <w:r>
        <w:rPr>
          <w:rStyle w:val="optioncarChar"/>
        </w:rPr>
        <w:t>***</w:t>
      </w:r>
    </w:p>
    <w:p w14:paraId="68A780A4" w14:textId="77777777" w:rsidR="00DF410E" w:rsidRDefault="00CE7F43">
      <w:pPr>
        <w:pStyle w:val="Author-eListParagraph"/>
        <w:numPr>
          <w:ilvl w:val="0"/>
          <w:numId w:val="42"/>
        </w:numPr>
      </w:pPr>
      <w:r>
        <w:t xml:space="preserve">Les murs suivants sont exécutés avec deux faces restant apparentes : </w:t>
      </w:r>
      <w:r>
        <w:rPr>
          <w:rStyle w:val="optioncarChar"/>
        </w:rPr>
        <w:t>***</w:t>
      </w:r>
    </w:p>
    <w:p w14:paraId="7CFEF655" w14:textId="77777777" w:rsidR="00DF410E" w:rsidRDefault="00DF410E"/>
    <w:p w14:paraId="5C3D0427" w14:textId="77777777" w:rsidR="00DF410E" w:rsidRDefault="00CE7F43">
      <w:r>
        <w:t> </w:t>
      </w:r>
    </w:p>
    <w:p w14:paraId="2BD52DF3" w14:textId="77777777" w:rsidR="00DF410E" w:rsidRDefault="00CE7F43">
      <w:pPr>
        <w:pStyle w:val="pheading"/>
      </w:pPr>
      <w:r>
        <w:t>MESURAGE</w:t>
      </w:r>
    </w:p>
    <w:p w14:paraId="2C509EB1" w14:textId="77777777" w:rsidR="00DF410E" w:rsidRDefault="00CE7F43">
      <w:pPr>
        <w:pStyle w:val="pheading"/>
      </w:pPr>
      <w:r>
        <w:t>- unité de mesure:</w:t>
      </w:r>
    </w:p>
    <w:p w14:paraId="2BE4B6DB" w14:textId="77777777" w:rsidR="00DF410E" w:rsidRDefault="00CE7F43">
      <w:r>
        <w:rPr>
          <w:rStyle w:val="optioncarChar"/>
        </w:rPr>
        <w:t>m³ </w:t>
      </w:r>
      <w:r>
        <w:t>(par défaut)</w:t>
      </w:r>
      <w:r>
        <w:rPr>
          <w:rStyle w:val="optioncarChar"/>
        </w:rPr>
        <w:t> / m²</w:t>
      </w:r>
    </w:p>
    <w:p w14:paraId="0047BF23" w14:textId="77777777" w:rsidR="00DF410E" w:rsidRDefault="00CE7F43">
      <w:r>
        <w:rPr>
          <w:b/>
        </w:rPr>
        <w:t>(soit par défaut)</w:t>
      </w:r>
    </w:p>
    <w:p w14:paraId="5B7C5171" w14:textId="77777777" w:rsidR="00DF410E" w:rsidRDefault="00CE7F43">
      <w:r>
        <w:rPr>
          <w:rStyle w:val="soitChar"/>
        </w:rPr>
        <w:t>1. m³</w:t>
      </w:r>
    </w:p>
    <w:p w14:paraId="4B4D50F1" w14:textId="77777777" w:rsidR="00DF410E" w:rsidRDefault="00CE7F43">
      <w:r>
        <w:rPr>
          <w:b/>
        </w:rPr>
        <w:t>(soit)</w:t>
      </w:r>
    </w:p>
    <w:p w14:paraId="7026FD32" w14:textId="77777777" w:rsidR="00DF410E" w:rsidRDefault="00CE7F43">
      <w:r>
        <w:rPr>
          <w:rStyle w:val="soitChar"/>
        </w:rPr>
        <w:t>2. m²</w:t>
      </w:r>
    </w:p>
    <w:p w14:paraId="22CC6A97" w14:textId="77777777" w:rsidR="00DF410E" w:rsidRDefault="00CE7F43">
      <w:pPr>
        <w:pStyle w:val="pheading"/>
      </w:pPr>
      <w:r>
        <w:t>- code de mesurage:</w:t>
      </w:r>
    </w:p>
    <w:p w14:paraId="1721ED69"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B9DA4B9"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9C4FCF0"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52851B6" w14:textId="77777777" w:rsidR="00DF410E" w:rsidRDefault="00CE7F43">
      <w:r>
        <w:br/>
      </w:r>
      <w:r>
        <w:rPr>
          <w:rStyle w:val="optioncarChar"/>
        </w:rPr>
        <w:t>Volume net </w:t>
      </w:r>
      <w:r>
        <w:t>(par défaut)</w:t>
      </w:r>
      <w:r>
        <w:rPr>
          <w:rStyle w:val="optioncarChar"/>
        </w:rPr>
        <w:t> / Surface nette</w:t>
      </w:r>
    </w:p>
    <w:p w14:paraId="06D39ABF" w14:textId="77777777" w:rsidR="00DF410E" w:rsidRDefault="00CE7F43">
      <w:r>
        <w:rPr>
          <w:b/>
        </w:rPr>
        <w:t>(soit par défaut)</w:t>
      </w:r>
    </w:p>
    <w:p w14:paraId="7EE44CE0"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766361F" w14:textId="77777777" w:rsidR="00DF410E" w:rsidRDefault="00CE7F43">
      <w:r>
        <w:rPr>
          <w:b/>
        </w:rPr>
        <w:t>(soit)</w:t>
      </w:r>
    </w:p>
    <w:p w14:paraId="473709C5"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r>
        <w:br/>
      </w:r>
    </w:p>
    <w:p w14:paraId="257EA17C" w14:textId="77777777" w:rsidR="00DF410E" w:rsidRDefault="00DF410E"/>
    <w:p w14:paraId="0605E080" w14:textId="77777777" w:rsidR="00DF410E" w:rsidRDefault="00CE7F43">
      <w:r>
        <w:t> </w:t>
      </w:r>
    </w:p>
    <w:p w14:paraId="2A8248CC" w14:textId="77777777" w:rsidR="00DF410E" w:rsidRDefault="00DF410E"/>
    <w:p w14:paraId="632F79B9" w14:textId="77777777" w:rsidR="00DF410E" w:rsidRDefault="00CE7F43">
      <w:r>
        <w:t> </w:t>
      </w:r>
    </w:p>
    <w:p w14:paraId="2F5D9037" w14:textId="77777777" w:rsidR="00DF410E" w:rsidRDefault="00CE7F43">
      <w:pPr>
        <w:pStyle w:val="pheading"/>
      </w:pPr>
      <w:r>
        <w:t>- nature du marché:</w:t>
      </w:r>
    </w:p>
    <w:p w14:paraId="337257F0" w14:textId="77777777" w:rsidR="00DF410E" w:rsidRDefault="00CE7F43">
      <w:r>
        <w:t>QF</w:t>
      </w:r>
    </w:p>
    <w:p w14:paraId="44A45061" w14:textId="77777777" w:rsidR="00DF410E" w:rsidRDefault="00CE7F43">
      <w:pPr>
        <w:pStyle w:val="Author-eSectionHeading6"/>
      </w:pPr>
      <w:bookmarkStart w:id="15" w:name="_Toc178837288"/>
      <w:r>
        <w:t>21.11.2b Maçonneries portantes en briques de béton à coller CCTB 01.12</w:t>
      </w:r>
      <w:bookmarkEnd w:id="15"/>
    </w:p>
    <w:p w14:paraId="6EAC69EF" w14:textId="77777777" w:rsidR="00DF410E" w:rsidRDefault="00CE7F43">
      <w:pPr>
        <w:pStyle w:val="pheading"/>
      </w:pPr>
      <w:r>
        <w:t>DESCRIPTION</w:t>
      </w:r>
    </w:p>
    <w:p w14:paraId="6768E7B7" w14:textId="77777777" w:rsidR="00DF410E" w:rsidRDefault="00CE7F43">
      <w:pPr>
        <w:pStyle w:val="pheading"/>
      </w:pPr>
      <w:r>
        <w:t>- Définition / Comprend</w:t>
      </w:r>
    </w:p>
    <w:p w14:paraId="3E8E34EB" w14:textId="77777777" w:rsidR="00DF410E" w:rsidRDefault="00CE7F43">
      <w:r>
        <w:t xml:space="preserve">Il s’agit de la fourniture et la pose de maçonneries portantes en briques de béton à coller. </w:t>
      </w:r>
      <w:r>
        <w:br/>
        <w:t xml:space="preserve">La portée des travaux est décrite dans l’article </w:t>
      </w:r>
      <w:hyperlink w:anchor="359" w:history="1">
        <w:r>
          <w:t>21.11.2 Maçonneries portantes en briques de béton</w:t>
        </w:r>
      </w:hyperlink>
      <w:r>
        <w:t>.</w:t>
      </w:r>
      <w:r>
        <w:br/>
        <w:t>Les travaux comprennent également la fourniture et la pose des pièces d’angle, de terminaison et de rencontre.</w:t>
      </w:r>
    </w:p>
    <w:p w14:paraId="7090E240" w14:textId="77777777" w:rsidR="00DF410E" w:rsidRDefault="00CE7F43">
      <w:pPr>
        <w:pStyle w:val="pheading"/>
      </w:pPr>
      <w:r>
        <w:t>- Localisation</w:t>
      </w:r>
    </w:p>
    <w:p w14:paraId="0144AB03" w14:textId="77777777" w:rsidR="00DF410E" w:rsidRDefault="00CE7F43">
      <w:r>
        <w:t xml:space="preserve">La pose est réalisée aux endroits suivants : </w:t>
      </w:r>
      <w:r>
        <w:rPr>
          <w:rStyle w:val="optioncarChar"/>
        </w:rPr>
        <w:t>***</w:t>
      </w:r>
      <w:r>
        <w:t>.</w:t>
      </w:r>
      <w:r>
        <w:br/>
        <w:t>Voir plans et métrés détaillés.</w:t>
      </w:r>
    </w:p>
    <w:p w14:paraId="42614C02" w14:textId="77777777" w:rsidR="00DF410E" w:rsidRDefault="00CE7F43">
      <w:pPr>
        <w:pStyle w:val="pheading"/>
      </w:pPr>
      <w:r>
        <w:t>MATÉRIAUX</w:t>
      </w:r>
    </w:p>
    <w:p w14:paraId="29ADD23A" w14:textId="77777777" w:rsidR="00DF410E" w:rsidRDefault="00CE7F43">
      <w:pPr>
        <w:pStyle w:val="pheading"/>
      </w:pPr>
      <w:r>
        <w:t>- Caractéristiques générales</w:t>
      </w:r>
    </w:p>
    <w:p w14:paraId="0C66D6C9" w14:textId="77777777" w:rsidR="00DF410E" w:rsidRDefault="00CE7F43">
      <w:r>
        <w:rPr>
          <w:rStyle w:val="headingChar"/>
        </w:rPr>
        <w:t>Spécifications</w:t>
      </w:r>
    </w:p>
    <w:p w14:paraId="604A9D15" w14:textId="77777777" w:rsidR="00DF410E" w:rsidRDefault="00CE7F43">
      <w:r>
        <w:rPr>
          <w:u w:val="single"/>
        </w:rPr>
        <w:t>Briques</w:t>
      </w:r>
    </w:p>
    <w:p w14:paraId="29791415"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Face à cimenter ou plafonner :</w:t>
      </w:r>
      <w:r>
        <w:rPr>
          <w:rStyle w:val="optioncarChar"/>
        </w:rPr>
        <w:t xml:space="preserve"> lisse (par défait) / adhérence améliorée / rainurée</w:t>
      </w:r>
      <w:r>
        <w:br/>
      </w:r>
      <w:r>
        <w:br/>
        <w:t xml:space="preserve">Teinte : </w:t>
      </w:r>
      <w:r>
        <w:rPr>
          <w:rStyle w:val="optioncarChar"/>
        </w:rPr>
        <w:t xml:space="preserve">blanc / gris </w:t>
      </w:r>
      <w:r>
        <w:t>(par défaut)</w:t>
      </w:r>
      <w:r>
        <w:rPr>
          <w:rStyle w:val="optioncarChar"/>
        </w:rPr>
        <w:t xml:space="preserve"> / ***</w:t>
      </w:r>
      <w:r>
        <w:br/>
      </w:r>
      <w:r>
        <w:br/>
      </w:r>
    </w:p>
    <w:p w14:paraId="25044139" w14:textId="77777777" w:rsidR="00DF410E" w:rsidRDefault="00CE7F43">
      <w:r>
        <w:t>Format : (L x l x h)  :</w:t>
      </w:r>
      <w:r>
        <w:rPr>
          <w:rStyle w:val="optioncarChar"/>
        </w:rPr>
        <w:t> format modulaire proposé par l'entrepreneur</w:t>
      </w:r>
      <w:r>
        <w:t> (par défaut) </w:t>
      </w:r>
      <w:r>
        <w:rPr>
          <w:rStyle w:val="optioncarChar"/>
        </w:rPr>
        <w:t xml:space="preserve">/ (190 / ***  </w:t>
      </w:r>
      <w:r>
        <w:t>x</w:t>
      </w:r>
      <w:r>
        <w:rPr>
          <w:rStyle w:val="optioncarChar"/>
        </w:rPr>
        <w:t> 90 / ***</w:t>
      </w:r>
      <w:r>
        <w:t> x</w:t>
      </w:r>
      <w:r>
        <w:rPr>
          <w:rStyle w:val="optioncarChar"/>
        </w:rPr>
        <w:t> 52 / 65 / ***</w:t>
      </w:r>
      <w:r>
        <w:t>) mm</w:t>
      </w:r>
    </w:p>
    <w:p w14:paraId="2F46E826" w14:textId="77777777" w:rsidR="00DF410E" w:rsidRDefault="00CE7F43">
      <w:r>
        <w:t>Tolérances dimensionnelles :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4E44B55F" w14:textId="77777777" w:rsidR="00DF410E" w:rsidRDefault="00CE7F43">
      <w:pPr>
        <w:spacing w:before="0" w:after="0"/>
      </w:pPr>
      <w:r>
        <w:rPr>
          <w:u w:val="single"/>
        </w:rPr>
        <w:t>Mortier</w:t>
      </w:r>
    </w:p>
    <w:p w14:paraId="3CEEE6DD" w14:textId="77777777" w:rsidR="00DF410E" w:rsidRDefault="00CE7F43">
      <w:pPr>
        <w:spacing w:before="0" w:after="0"/>
      </w:pPr>
      <w:r>
        <w:rPr>
          <w:rStyle w:val="normalChar"/>
          <w:color w:val="000000"/>
        </w:rPr>
        <w:t>Classe de résistance :</w:t>
      </w:r>
      <w:r>
        <w:rPr>
          <w:rStyle w:val="optioncarChar"/>
        </w:rPr>
        <w:t xml:space="preserve">M1 / M2,5 / M5 / M10 </w:t>
      </w:r>
      <w:r>
        <w:rPr>
          <w:rStyle w:val="optioncarChar"/>
          <w:color w:val="000000"/>
        </w:rPr>
        <w:t>(par défaut)</w:t>
      </w:r>
      <w:r>
        <w:rPr>
          <w:rStyle w:val="optioncarChar"/>
        </w:rPr>
        <w:t xml:space="preserve"> / M15 / M20 </w:t>
      </w:r>
    </w:p>
    <w:p w14:paraId="341B6E99"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1B6EB3E8" w14:textId="77777777" w:rsidR="00DF410E" w:rsidRDefault="00CE7F43">
      <w:pPr>
        <w:spacing w:before="0" w:after="0"/>
      </w:pPr>
      <w:r>
        <w:rPr>
          <w:rStyle w:val="normalChar"/>
          <w:color w:val="000000"/>
        </w:rPr>
        <w:t>Résistance au gel : oui</w:t>
      </w:r>
    </w:p>
    <w:p w14:paraId="00F89A56" w14:textId="77777777" w:rsidR="00DF410E" w:rsidRDefault="00CE7F43">
      <w:pPr>
        <w:spacing w:before="0" w:after="0"/>
      </w:pPr>
      <w:r>
        <w:br/>
      </w:r>
      <w:r>
        <w:rPr>
          <w:rStyle w:val="headingChar"/>
        </w:rPr>
        <w:t>Critères De Performances De La Paroi</w:t>
      </w:r>
    </w:p>
    <w:p w14:paraId="5C457A8E" w14:textId="77777777" w:rsidR="00DF410E" w:rsidRDefault="00CE7F43">
      <w:r>
        <w:t>Coefficient de transmission :</w:t>
      </w:r>
    </w:p>
    <w:p w14:paraId="707B84F5" w14:textId="77777777" w:rsidR="00DF410E" w:rsidRDefault="00CE7F43">
      <w:pPr>
        <w:pStyle w:val="Author-eListParagraph"/>
        <w:numPr>
          <w:ilvl w:val="0"/>
          <w:numId w:val="43"/>
        </w:numPr>
      </w:pPr>
      <w:r>
        <w:t xml:space="preserve">valeur U minimale de </w:t>
      </w:r>
      <w:r>
        <w:rPr>
          <w:rStyle w:val="optioncarChar"/>
        </w:rPr>
        <w:t>***</w:t>
      </w:r>
      <w:r>
        <w:t xml:space="preserve"> W/m²K</w:t>
      </w:r>
    </w:p>
    <w:p w14:paraId="4DA89B79" w14:textId="77777777" w:rsidR="00DF410E" w:rsidRDefault="00CE7F43">
      <w:pPr>
        <w:pStyle w:val="Author-eListParagraph"/>
        <w:numPr>
          <w:ilvl w:val="0"/>
          <w:numId w:val="4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8613D28" w14:textId="77777777" w:rsidR="00DF410E" w:rsidRDefault="00CE7F43">
      <w:r>
        <w:t>Résistance au feu :</w:t>
      </w:r>
    </w:p>
    <w:p w14:paraId="25741D52" w14:textId="77777777" w:rsidR="00DF410E" w:rsidRDefault="00CE7F43">
      <w:pPr>
        <w:pStyle w:val="Author-eListParagraph"/>
        <w:numPr>
          <w:ilvl w:val="0"/>
          <w:numId w:val="44"/>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72959AF1" w14:textId="77777777" w:rsidR="00DF410E" w:rsidRDefault="00CE7F43">
      <w:pPr>
        <w:pStyle w:val="Author-eListParagraph"/>
        <w:numPr>
          <w:ilvl w:val="0"/>
          <w:numId w:val="44"/>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70660CAE" w14:textId="77777777" w:rsidR="00DF410E" w:rsidRDefault="00CE7F43">
      <w:r>
        <w:t>selon les tableaux dans [NBN EN 1996-1-2 ANB].</w:t>
      </w:r>
    </w:p>
    <w:p w14:paraId="1601563D" w14:textId="77777777" w:rsidR="00DF410E" w:rsidRDefault="00DF410E"/>
    <w:p w14:paraId="4C5632B5" w14:textId="77777777" w:rsidR="00DF410E" w:rsidRDefault="00CE7F43">
      <w:r>
        <w:t> </w:t>
      </w:r>
    </w:p>
    <w:p w14:paraId="21E42DB6" w14:textId="77777777" w:rsidR="00DF410E" w:rsidRDefault="00CE7F43">
      <w:pPr>
        <w:pStyle w:val="pheading"/>
      </w:pPr>
      <w:r>
        <w:t>- Finitions</w:t>
      </w:r>
    </w:p>
    <w:p w14:paraId="49BA5E6E" w14:textId="77777777" w:rsidR="00DF410E" w:rsidRDefault="00DF410E"/>
    <w:p w14:paraId="0DC58E76" w14:textId="77777777" w:rsidR="00DF410E" w:rsidRDefault="00CE7F43">
      <w:pPr>
        <w:pStyle w:val="Author-eListParagraph"/>
        <w:numPr>
          <w:ilvl w:val="0"/>
          <w:numId w:val="45"/>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w:t>
      </w:r>
      <w:r>
        <w:rPr>
          <w:rStyle w:val="optioncarChar"/>
        </w:rPr>
        <w:t xml:space="preserve"> ***</w:t>
      </w:r>
    </w:p>
    <w:p w14:paraId="6EF6F8F1" w14:textId="77777777" w:rsidR="00DF410E" w:rsidRDefault="00CE7F43">
      <w:pPr>
        <w:pStyle w:val="Author-eListParagraph"/>
        <w:numPr>
          <w:ilvl w:val="0"/>
          <w:numId w:val="45"/>
        </w:numPr>
      </w:pPr>
      <w:r>
        <w:t xml:space="preserve">Les murs suivants sont exécutés avec une face restant apparente : </w:t>
      </w:r>
      <w:r>
        <w:rPr>
          <w:rStyle w:val="optioncarChar"/>
        </w:rPr>
        <w:t>***</w:t>
      </w:r>
    </w:p>
    <w:p w14:paraId="13B9189C" w14:textId="77777777" w:rsidR="00DF410E" w:rsidRDefault="00CE7F43">
      <w:pPr>
        <w:pStyle w:val="Author-eListParagraph"/>
        <w:numPr>
          <w:ilvl w:val="0"/>
          <w:numId w:val="45"/>
        </w:numPr>
      </w:pPr>
      <w:r>
        <w:t xml:space="preserve">Les murs suivants sont exécutés avec deux faces restant apparentes : </w:t>
      </w:r>
      <w:r>
        <w:rPr>
          <w:rStyle w:val="optioncarChar"/>
        </w:rPr>
        <w:t>***</w:t>
      </w:r>
    </w:p>
    <w:p w14:paraId="3EF1D13E" w14:textId="77777777" w:rsidR="00DF410E" w:rsidRDefault="00DF410E"/>
    <w:p w14:paraId="5DF516AE" w14:textId="77777777" w:rsidR="00DF410E" w:rsidRDefault="00CE7F43">
      <w:r>
        <w:t> </w:t>
      </w:r>
    </w:p>
    <w:p w14:paraId="1E740547" w14:textId="77777777" w:rsidR="00DF410E" w:rsidRDefault="00CE7F43">
      <w:pPr>
        <w:pStyle w:val="pheading"/>
      </w:pPr>
      <w:r>
        <w:t>MESURAGE</w:t>
      </w:r>
    </w:p>
    <w:p w14:paraId="63FB3621" w14:textId="77777777" w:rsidR="00DF410E" w:rsidRDefault="00CE7F43">
      <w:pPr>
        <w:pStyle w:val="pheading"/>
      </w:pPr>
      <w:r>
        <w:t>- unité de mesure:</w:t>
      </w:r>
    </w:p>
    <w:p w14:paraId="375878D0" w14:textId="77777777" w:rsidR="00DF410E" w:rsidRDefault="00CE7F43">
      <w:r>
        <w:rPr>
          <w:rStyle w:val="optioncarChar"/>
        </w:rPr>
        <w:t>m³ </w:t>
      </w:r>
      <w:r>
        <w:t>(par défaut)</w:t>
      </w:r>
      <w:r>
        <w:rPr>
          <w:rStyle w:val="optioncarChar"/>
        </w:rPr>
        <w:t> / m²</w:t>
      </w:r>
    </w:p>
    <w:p w14:paraId="581FA1D2" w14:textId="77777777" w:rsidR="00DF410E" w:rsidRDefault="00CE7F43">
      <w:r>
        <w:rPr>
          <w:b/>
        </w:rPr>
        <w:t>(soit par défaut)</w:t>
      </w:r>
    </w:p>
    <w:p w14:paraId="508FE275" w14:textId="77777777" w:rsidR="00DF410E" w:rsidRDefault="00CE7F43">
      <w:r>
        <w:rPr>
          <w:rStyle w:val="soitChar"/>
        </w:rPr>
        <w:t>1. m³</w:t>
      </w:r>
    </w:p>
    <w:p w14:paraId="3AEF954B" w14:textId="77777777" w:rsidR="00DF410E" w:rsidRDefault="00CE7F43">
      <w:r>
        <w:rPr>
          <w:b/>
        </w:rPr>
        <w:t>(soit)</w:t>
      </w:r>
    </w:p>
    <w:p w14:paraId="143F4294" w14:textId="77777777" w:rsidR="00DF410E" w:rsidRDefault="00CE7F43">
      <w:r>
        <w:rPr>
          <w:rStyle w:val="soitChar"/>
        </w:rPr>
        <w:t>2. m²</w:t>
      </w:r>
    </w:p>
    <w:p w14:paraId="59E9E38F" w14:textId="77777777" w:rsidR="00DF410E" w:rsidRDefault="00CE7F43">
      <w:pPr>
        <w:pStyle w:val="pheading"/>
      </w:pPr>
      <w:r>
        <w:t>- code de mesurage:</w:t>
      </w:r>
    </w:p>
    <w:p w14:paraId="7CCBBCD6" w14:textId="77777777" w:rsidR="00DF410E" w:rsidRDefault="00CE7F43">
      <w:r>
        <w:t>Les maçonneries sont mesurées en fonction de leur forme géométrique.</w:t>
      </w:r>
    </w:p>
    <w:p w14:paraId="2F18606B" w14:textId="77777777" w:rsidR="00DF410E" w:rsidRDefault="00CE7F43">
      <w:r>
        <w:t>Si les maçonneries sont métrées en m², les quantités sont groupées selon leur épaisseur.</w:t>
      </w:r>
    </w:p>
    <w:p w14:paraId="5537BA51" w14:textId="77777777" w:rsidR="00DF410E" w:rsidRDefault="00CE7F43">
      <w:r>
        <w:t>La longueur des murs est mesurée dans l'axe de l'élément ; lorsque deux murs se croisent ou se rencontrent, le mur le plus épais est compté. Aucun volume n'est porté deux fois en compte.</w:t>
      </w:r>
    </w:p>
    <w:p w14:paraId="55F3A046" w14:textId="77777777" w:rsidR="00DF410E" w:rsidRDefault="00CE7F43">
      <w:r>
        <w:t>Le creux du mur n'est jamais compté.</w:t>
      </w:r>
    </w:p>
    <w:p w14:paraId="7E587804" w14:textId="77777777" w:rsidR="00DF410E" w:rsidRDefault="00CE7F43">
      <w:r>
        <w:t xml:space="preserve">Les ouvertures ou les éléments de construction intégrés dont la superficie est supérieure à 0,50 m² sont déduits (par ex. les linteaux ou poutres de ceinture dans la mesure où ils ne sont pas comptés dans le chapitre </w:t>
      </w:r>
      <w:hyperlink w:anchor="87" w:history="1">
        <w:r>
          <w:t>22 Superstructures en béton</w:t>
        </w:r>
      </w:hyperlink>
      <w:r>
        <w:t xml:space="preserve"> ou dans le chapitre </w:t>
      </w:r>
      <w:hyperlink w:anchor="347" w:history="1">
        <w:r>
          <w:t>23 Superstructures métalliques</w:t>
        </w:r>
      </w:hyperlink>
    </w:p>
    <w:p w14:paraId="23012272"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p>
    <w:p w14:paraId="7D9345F4" w14:textId="77777777" w:rsidR="00DF410E" w:rsidRDefault="00CE7F43">
      <w:r>
        <w:t>La maçonnerie autour des conduits de fumée et de ventilation est mesurée comme un mur plein pour les fourreaux jusqu'à une section de 0,12 m2.</w:t>
      </w:r>
    </w:p>
    <w:p w14:paraId="15EF99FA" w14:textId="77777777" w:rsidR="00DF410E" w:rsidRDefault="00DF410E"/>
    <w:p w14:paraId="23F2DADF" w14:textId="77777777" w:rsidR="00DF410E" w:rsidRDefault="00CE7F43">
      <w:pPr>
        <w:jc w:val="both"/>
      </w:pPr>
      <w:r>
        <w:rPr>
          <w:rStyle w:val="optioncarChar"/>
        </w:rPr>
        <w:t>Volume net </w:t>
      </w:r>
      <w:r>
        <w:t>(par défaut) </w:t>
      </w:r>
      <w:r>
        <w:rPr>
          <w:rStyle w:val="optioncarChar"/>
        </w:rPr>
        <w:t>/ Surface nette </w:t>
      </w:r>
    </w:p>
    <w:p w14:paraId="36C368B1" w14:textId="77777777" w:rsidR="00DF410E" w:rsidRDefault="00CE7F43">
      <w:pPr>
        <w:jc w:val="both"/>
      </w:pPr>
      <w:r>
        <w:rPr>
          <w:b/>
        </w:rPr>
        <w:t>(soit par défaut)</w:t>
      </w:r>
    </w:p>
    <w:p w14:paraId="01941350" w14:textId="77777777" w:rsidR="00DF410E" w:rsidRDefault="00CE7F43">
      <w:pPr>
        <w:jc w:val="both"/>
      </w:pPr>
      <w:r>
        <w:rPr>
          <w:rStyle w:val="soitChar"/>
        </w:rPr>
        <w:t>1. </w:t>
      </w:r>
      <w:r>
        <w:rPr>
          <w:rStyle w:val="soitChar"/>
          <w:u w:val="single"/>
        </w:rPr>
        <w:t>Volume net</w:t>
      </w:r>
      <w:r>
        <w:rPr>
          <w:rStyle w:val="soitChar"/>
        </w:rPr>
        <w:t> : distinction faite suivant la densité prescrite</w:t>
      </w:r>
    </w:p>
    <w:p w14:paraId="28B5A2B4" w14:textId="77777777" w:rsidR="00DF410E" w:rsidRDefault="00CE7F43">
      <w:pPr>
        <w:jc w:val="both"/>
      </w:pPr>
      <w:r>
        <w:rPr>
          <w:b/>
        </w:rPr>
        <w:t>(soit)</w:t>
      </w:r>
    </w:p>
    <w:p w14:paraId="5B2FA789" w14:textId="77777777" w:rsidR="00DF410E" w:rsidRDefault="00CE7F43">
      <w:pPr>
        <w:jc w:val="both"/>
      </w:pPr>
      <w:r>
        <w:rPr>
          <w:rStyle w:val="soitChar"/>
        </w:rPr>
        <w:t>2. </w:t>
      </w:r>
      <w:r>
        <w:rPr>
          <w:rStyle w:val="soitChar"/>
          <w:u w:val="single"/>
        </w:rPr>
        <w:t>Surface nette</w:t>
      </w:r>
      <w:r>
        <w:rPr>
          <w:rStyle w:val="soitChar"/>
        </w:rPr>
        <w:t> : distinction faite suivant l'épaisseur </w:t>
      </w:r>
    </w:p>
    <w:p w14:paraId="4E3B176F" w14:textId="77777777" w:rsidR="00DF410E" w:rsidRDefault="00CE7F43">
      <w:pPr>
        <w:pStyle w:val="pheading"/>
      </w:pPr>
      <w:r>
        <w:t>- nature du marché:</w:t>
      </w:r>
    </w:p>
    <w:p w14:paraId="4BFEEB9E" w14:textId="77777777" w:rsidR="00DF410E" w:rsidRDefault="00CE7F43">
      <w:r>
        <w:t>QF</w:t>
      </w:r>
    </w:p>
    <w:p w14:paraId="0DA1F4A1" w14:textId="77777777" w:rsidR="00DF410E" w:rsidRDefault="00CE7F43">
      <w:pPr>
        <w:pStyle w:val="Author-eSectionHeading6"/>
      </w:pPr>
      <w:bookmarkStart w:id="16" w:name="_Toc178837289"/>
      <w:r>
        <w:t>21.11.2c Maçonneries portantes en briques de béton avec système de dosage pour liant hydraulique CCTB 01.12</w:t>
      </w:r>
      <w:bookmarkEnd w:id="16"/>
    </w:p>
    <w:p w14:paraId="19326B01" w14:textId="77777777" w:rsidR="00DF410E" w:rsidRDefault="00CE7F43">
      <w:pPr>
        <w:pStyle w:val="pheading"/>
      </w:pPr>
      <w:r>
        <w:t>DESCRIPTION</w:t>
      </w:r>
    </w:p>
    <w:p w14:paraId="3E3FC6C7" w14:textId="77777777" w:rsidR="00DF410E" w:rsidRDefault="00CE7F43">
      <w:pPr>
        <w:pStyle w:val="pheading"/>
      </w:pPr>
      <w:r>
        <w:t>- Définition / Comprend</w:t>
      </w:r>
    </w:p>
    <w:p w14:paraId="2FB989B9" w14:textId="77777777" w:rsidR="00DF410E" w:rsidRDefault="00CE7F43">
      <w:r>
        <w:t xml:space="preserve">Il s’agit de la fourniture et la pose de maçonneries portantes en briques de béton avec système de dosage pour liant hydraulique. </w:t>
      </w:r>
      <w:r>
        <w:br/>
        <w:t xml:space="preserve">La portée des travaux est décrite dans l’article </w:t>
      </w:r>
      <w:hyperlink w:anchor="359" w:history="1">
        <w:r>
          <w:t>21.11.2 Maçonneries portantes en briques de béton</w:t>
        </w:r>
      </w:hyperlink>
      <w:r>
        <w:t>.</w:t>
      </w:r>
      <w:r>
        <w:br/>
        <w:t>Les travaux comprennent également la fourniture et la pose des pièces d’angle, de terminaison et de rencontre.</w:t>
      </w:r>
    </w:p>
    <w:p w14:paraId="7BE55858" w14:textId="77777777" w:rsidR="00DF410E" w:rsidRDefault="00CE7F43">
      <w:pPr>
        <w:pStyle w:val="pheading"/>
      </w:pPr>
      <w:r>
        <w:t>- Localisation</w:t>
      </w:r>
    </w:p>
    <w:p w14:paraId="287B1584" w14:textId="77777777" w:rsidR="00DF410E" w:rsidRDefault="00CE7F43">
      <w:r>
        <w:t xml:space="preserve">La pose est réalisée aux endroits suivants : </w:t>
      </w:r>
      <w:r>
        <w:rPr>
          <w:rStyle w:val="optioncarChar"/>
        </w:rPr>
        <w:t>***</w:t>
      </w:r>
      <w:r>
        <w:t>.</w:t>
      </w:r>
      <w:r>
        <w:br/>
        <w:t>Voir plans et métrés détaillés.</w:t>
      </w:r>
    </w:p>
    <w:p w14:paraId="14F53203" w14:textId="77777777" w:rsidR="00DF410E" w:rsidRDefault="00CE7F43">
      <w:pPr>
        <w:pStyle w:val="pheading"/>
      </w:pPr>
      <w:r>
        <w:t>MATÉRIAUX</w:t>
      </w:r>
    </w:p>
    <w:p w14:paraId="1D8C5464" w14:textId="77777777" w:rsidR="00DF410E" w:rsidRDefault="00CE7F43">
      <w:pPr>
        <w:pStyle w:val="pheading"/>
      </w:pPr>
      <w:r>
        <w:t>- Caractéristiques générales</w:t>
      </w:r>
    </w:p>
    <w:p w14:paraId="2B8E35C1" w14:textId="77777777" w:rsidR="00DF410E" w:rsidRDefault="00CE7F43">
      <w:r>
        <w:rPr>
          <w:rStyle w:val="headingChar"/>
        </w:rPr>
        <w:t>Spécifications</w:t>
      </w:r>
    </w:p>
    <w:p w14:paraId="09B0F426" w14:textId="77777777" w:rsidR="00DF410E" w:rsidRDefault="00CE7F43">
      <w:r>
        <w:rPr>
          <w:u w:val="single"/>
        </w:rPr>
        <w:t>Briques</w:t>
      </w:r>
    </w:p>
    <w:p w14:paraId="649310C5" w14:textId="77777777" w:rsidR="00DF410E" w:rsidRDefault="00CE7F43">
      <w:r>
        <w:t>En ce qui concerne la déclaration de la résistance à la compression, les briques sont de catégorie I (la résistance à la compression est déclarée avec une fiabilité de 95%).</w:t>
      </w:r>
      <w:r>
        <w:br/>
      </w:r>
      <w:r>
        <w:br/>
        <w:t>Les briques en béton sont de classe d’usage</w:t>
      </w:r>
      <w:r>
        <w:rPr>
          <w:rStyle w:val="optioncarChar"/>
        </w:rPr>
        <w:t xml:space="preserve"> 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rPr>
          <w:rStyle w:val="optioncarChar"/>
          <w:color w:val="000000"/>
        </w:rP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lisse </w:t>
      </w:r>
      <w:r>
        <w:rPr>
          <w:rStyle w:val="optioncarChar"/>
          <w:color w:val="000000"/>
        </w:rPr>
        <w:t>(par défaut)</w:t>
      </w:r>
      <w:r>
        <w:rPr>
          <w:rStyle w:val="optioncarChar"/>
        </w:rPr>
        <w:t xml:space="preserve"> / adhérence améliorée / rainurée</w:t>
      </w:r>
      <w:r>
        <w:br/>
      </w:r>
      <w:r>
        <w:br/>
        <w:t xml:space="preserve">Teinte : </w:t>
      </w:r>
      <w:r>
        <w:rPr>
          <w:rStyle w:val="optioncarChar"/>
        </w:rPr>
        <w:t xml:space="preserve">blanc / gris </w:t>
      </w:r>
      <w:r>
        <w:t>(par défaut)</w:t>
      </w:r>
      <w:r>
        <w:rPr>
          <w:rStyle w:val="optioncarChar"/>
        </w:rPr>
        <w:t xml:space="preserve"> / ***</w:t>
      </w:r>
    </w:p>
    <w:p w14:paraId="78F753E4" w14:textId="77777777" w:rsidR="00DF410E" w:rsidRDefault="00CE7F43">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35A5B79" w14:textId="77777777" w:rsidR="00DF410E" w:rsidRDefault="00CE7F43">
      <w:r>
        <w:t>La classe de tolérances dimensionnelles est D4</w:t>
      </w:r>
    </w:p>
    <w:p w14:paraId="7C73FE5B"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p>
    <w:p w14:paraId="08F1DB41" w14:textId="77777777" w:rsidR="00DF410E" w:rsidRDefault="00CE7F43">
      <w:r>
        <w:t xml:space="preserve">Réaction au feu : </w:t>
      </w:r>
      <w:r>
        <w:rPr>
          <w:rStyle w:val="optioncarChar"/>
        </w:rPr>
        <w:t>A1</w:t>
      </w:r>
      <w:r>
        <w:t> (par défaut)</w:t>
      </w:r>
      <w:r>
        <w:rPr>
          <w:rStyle w:val="optioncarChar"/>
        </w:rPr>
        <w:t xml:space="preserve"> / ***</w:t>
      </w:r>
    </w:p>
    <w:p w14:paraId="4174F932" w14:textId="77777777" w:rsidR="00DF410E" w:rsidRDefault="00CE7F43">
      <w:pPr>
        <w:spacing w:before="0" w:after="0"/>
      </w:pPr>
      <w:r>
        <w:rPr>
          <w:u w:val="single"/>
        </w:rPr>
        <w:t>Mortier</w:t>
      </w:r>
    </w:p>
    <w:p w14:paraId="3F88CFED"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7E9D8BFD" w14:textId="77777777" w:rsidR="00DF410E" w:rsidRDefault="00CE7F43">
      <w:r>
        <w:rPr>
          <w:rStyle w:val="headingChar"/>
        </w:rPr>
        <w:t>Critères De Performances De La Paroi</w:t>
      </w:r>
    </w:p>
    <w:p w14:paraId="7D106164" w14:textId="77777777" w:rsidR="00DF410E" w:rsidRDefault="00CE7F43">
      <w:r>
        <w:t>Coefficient de transmission :</w:t>
      </w:r>
    </w:p>
    <w:p w14:paraId="78753C86" w14:textId="77777777" w:rsidR="00DF410E" w:rsidRDefault="00CE7F43">
      <w:pPr>
        <w:pStyle w:val="Author-eListParagraph"/>
        <w:numPr>
          <w:ilvl w:val="0"/>
          <w:numId w:val="46"/>
        </w:numPr>
      </w:pPr>
      <w:r>
        <w:t xml:space="preserve">valeur U minimale de </w:t>
      </w:r>
      <w:r>
        <w:rPr>
          <w:rStyle w:val="optioncarChar"/>
        </w:rPr>
        <w:t>***</w:t>
      </w:r>
      <w:r>
        <w:t xml:space="preserve"> W/m²K</w:t>
      </w:r>
    </w:p>
    <w:p w14:paraId="449FE2FB" w14:textId="77777777" w:rsidR="00DF410E" w:rsidRDefault="00CE7F43">
      <w:pPr>
        <w:pStyle w:val="Author-eListParagraph"/>
        <w:numPr>
          <w:ilvl w:val="0"/>
          <w:numId w:val="4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4D38C3A" w14:textId="77777777" w:rsidR="00DF410E" w:rsidRDefault="00CE7F43">
      <w:r>
        <w:t>Résistance au feu :</w:t>
      </w:r>
    </w:p>
    <w:p w14:paraId="02B76D22" w14:textId="77777777" w:rsidR="00DF410E" w:rsidRDefault="00CE7F43">
      <w:pPr>
        <w:pStyle w:val="Author-eListParagraph"/>
        <w:numPr>
          <w:ilvl w:val="0"/>
          <w:numId w:val="47"/>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51E25F95" w14:textId="77777777" w:rsidR="00DF410E" w:rsidRDefault="00CE7F43">
      <w:pPr>
        <w:pStyle w:val="Author-eListParagraph"/>
        <w:numPr>
          <w:ilvl w:val="0"/>
          <w:numId w:val="47"/>
        </w:numPr>
      </w:pPr>
      <w:r>
        <w:t xml:space="preserve">pour les éléments porteurs structurels avec fonction séparante : </w:t>
      </w:r>
      <w:r>
        <w:rPr>
          <w:rStyle w:val="optioncarChar"/>
        </w:rPr>
        <w:t xml:space="preserve">REI30 </w:t>
      </w:r>
      <w:r>
        <w:t>(par défaut) </w:t>
      </w:r>
      <w:r>
        <w:rPr>
          <w:rStyle w:val="optioncarChar"/>
        </w:rPr>
        <w:t>/ REI60 / REI90 / REI120 / REI***</w:t>
      </w:r>
    </w:p>
    <w:p w14:paraId="7479B3BD" w14:textId="77777777" w:rsidR="00DF410E" w:rsidRDefault="00CE7F43">
      <w:r>
        <w:t>selon les tableaux dans [NBN EN 1996-1-2 ANB].</w:t>
      </w:r>
    </w:p>
    <w:p w14:paraId="7BF15DFB" w14:textId="77777777" w:rsidR="00DF410E" w:rsidRDefault="00DF410E"/>
    <w:p w14:paraId="75AF5DFE" w14:textId="77777777" w:rsidR="00DF410E" w:rsidRDefault="00CE7F43">
      <w:r>
        <w:t> </w:t>
      </w:r>
    </w:p>
    <w:p w14:paraId="63B5C432" w14:textId="77777777" w:rsidR="00DF410E" w:rsidRDefault="00CE7F43">
      <w:pPr>
        <w:pStyle w:val="pheading"/>
      </w:pPr>
      <w:r>
        <w:t>- Finitions</w:t>
      </w:r>
    </w:p>
    <w:p w14:paraId="4F3493CC" w14:textId="77777777" w:rsidR="00DF410E" w:rsidRDefault="00DF410E"/>
    <w:p w14:paraId="2F16C696" w14:textId="77777777" w:rsidR="00DF410E" w:rsidRDefault="00CE7F43">
      <w:pPr>
        <w:pStyle w:val="Author-eListParagraph"/>
        <w:numPr>
          <w:ilvl w:val="0"/>
          <w:numId w:val="48"/>
        </w:numPr>
      </w:pPr>
      <w:r>
        <w:t>Les faces</w:t>
      </w:r>
      <w:r>
        <w:rPr>
          <w:color w:val="000000"/>
        </w:rPr>
        <w:t xml:space="preserve"> de murs suivantes sont exécutées comme maçonneries apparentes et sont rejointoyées selon</w:t>
      </w:r>
      <w:hyperlink w:anchor="344" w:history="1">
        <w:r>
          <w:t>21.61.1b Joints de maçonnerie apparente</w:t>
        </w:r>
      </w:hyperlink>
      <w:r>
        <w:t xml:space="preserve"> : </w:t>
      </w:r>
      <w:r>
        <w:rPr>
          <w:rStyle w:val="optioncarChar"/>
        </w:rPr>
        <w:t>***</w:t>
      </w:r>
    </w:p>
    <w:p w14:paraId="17CD3B4A" w14:textId="77777777" w:rsidR="00DF410E" w:rsidRDefault="00CE7F43">
      <w:pPr>
        <w:pStyle w:val="Author-eListParagraph"/>
        <w:numPr>
          <w:ilvl w:val="0"/>
          <w:numId w:val="48"/>
        </w:numPr>
      </w:pPr>
      <w:r>
        <w:t xml:space="preserve">Les murs suivants sont exécutés avec une face restant apparente : </w:t>
      </w:r>
      <w:r>
        <w:rPr>
          <w:rStyle w:val="optioncarChar"/>
        </w:rPr>
        <w:t>***</w:t>
      </w:r>
    </w:p>
    <w:p w14:paraId="376854B5" w14:textId="77777777" w:rsidR="00DF410E" w:rsidRDefault="00CE7F43">
      <w:pPr>
        <w:pStyle w:val="Author-eListParagraph"/>
        <w:numPr>
          <w:ilvl w:val="0"/>
          <w:numId w:val="48"/>
        </w:numPr>
      </w:pPr>
      <w:r>
        <w:t xml:space="preserve">Les murs suivants sont exécutés avec deux faces restant apparentes : </w:t>
      </w:r>
      <w:r>
        <w:rPr>
          <w:rStyle w:val="optioncarChar"/>
        </w:rPr>
        <w:t>***</w:t>
      </w:r>
    </w:p>
    <w:p w14:paraId="388680E4" w14:textId="77777777" w:rsidR="00DF410E" w:rsidRDefault="00DF410E"/>
    <w:p w14:paraId="1B0B7C34" w14:textId="77777777" w:rsidR="00DF410E" w:rsidRDefault="00CE7F43">
      <w:pPr>
        <w:pStyle w:val="pheading"/>
      </w:pPr>
      <w:r>
        <w:t>EXÉCUTION / MISE EN ŒUVRE</w:t>
      </w:r>
    </w:p>
    <w:p w14:paraId="22A89469" w14:textId="77777777" w:rsidR="00DF410E" w:rsidRDefault="00CE7F43">
      <w:pPr>
        <w:pStyle w:val="pheading"/>
      </w:pPr>
      <w:r>
        <w:t>- Notes d’exécution complémentaires</w:t>
      </w:r>
    </w:p>
    <w:p w14:paraId="3852387E" w14:textId="77777777" w:rsidR="00DF410E" w:rsidRDefault="00CE7F43">
      <w:r>
        <w:t>Le mortier utilisé est spécifique au concept et possède une grande résistance à la compression (&gt; 20 N/mm²).</w:t>
      </w:r>
    </w:p>
    <w:p w14:paraId="454E0407" w14:textId="77777777" w:rsidR="00DF410E" w:rsidRDefault="00CE7F43">
      <w:pPr>
        <w:pStyle w:val="pheading"/>
      </w:pPr>
      <w:r>
        <w:t>MESURAGE</w:t>
      </w:r>
    </w:p>
    <w:p w14:paraId="5CFD5A9B" w14:textId="77777777" w:rsidR="00DF410E" w:rsidRDefault="00CE7F43">
      <w:pPr>
        <w:pStyle w:val="pheading"/>
      </w:pPr>
      <w:r>
        <w:t>- unité de mesure:</w:t>
      </w:r>
    </w:p>
    <w:p w14:paraId="7E89D2E2" w14:textId="77777777" w:rsidR="00DF410E" w:rsidRDefault="00CE7F43">
      <w:r>
        <w:rPr>
          <w:rStyle w:val="optioncarChar"/>
        </w:rPr>
        <w:t>m³ </w:t>
      </w:r>
      <w:r>
        <w:t>(par défaut)</w:t>
      </w:r>
      <w:r>
        <w:rPr>
          <w:rStyle w:val="optioncarChar"/>
        </w:rPr>
        <w:t> / m²</w:t>
      </w:r>
    </w:p>
    <w:p w14:paraId="086C1B7F" w14:textId="77777777" w:rsidR="00DF410E" w:rsidRDefault="00CE7F43">
      <w:r>
        <w:rPr>
          <w:b/>
        </w:rPr>
        <w:t>(soit par défaut)</w:t>
      </w:r>
    </w:p>
    <w:p w14:paraId="36678020" w14:textId="77777777" w:rsidR="00DF410E" w:rsidRDefault="00CE7F43">
      <w:r>
        <w:rPr>
          <w:rStyle w:val="soitChar"/>
        </w:rPr>
        <w:t>1. m³</w:t>
      </w:r>
    </w:p>
    <w:p w14:paraId="3BAB0CD0" w14:textId="77777777" w:rsidR="00DF410E" w:rsidRDefault="00CE7F43">
      <w:r>
        <w:rPr>
          <w:b/>
        </w:rPr>
        <w:t>(soit)</w:t>
      </w:r>
    </w:p>
    <w:p w14:paraId="2C176274" w14:textId="77777777" w:rsidR="00DF410E" w:rsidRDefault="00CE7F43">
      <w:r>
        <w:rPr>
          <w:rStyle w:val="soitChar"/>
        </w:rPr>
        <w:t>2. m²</w:t>
      </w:r>
    </w:p>
    <w:p w14:paraId="1828BC48" w14:textId="77777777" w:rsidR="00DF410E" w:rsidRDefault="00CE7F43">
      <w:pPr>
        <w:pStyle w:val="pheading"/>
      </w:pPr>
      <w:r>
        <w:t>- code de mesurage:</w:t>
      </w:r>
    </w:p>
    <w:p w14:paraId="6DCBDC36"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0CBFD73"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CC70C1A"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2B282DCB" w14:textId="77777777" w:rsidR="00DF410E" w:rsidRDefault="00CE7F43">
      <w:r>
        <w:br/>
      </w:r>
      <w:r>
        <w:rPr>
          <w:rStyle w:val="optioncarChar"/>
        </w:rPr>
        <w:t>Volume net </w:t>
      </w:r>
      <w:r>
        <w:t>(par défaut)</w:t>
      </w:r>
      <w:r>
        <w:rPr>
          <w:rStyle w:val="optioncarChar"/>
        </w:rPr>
        <w:t> / Surface nette</w:t>
      </w:r>
    </w:p>
    <w:p w14:paraId="3F719166" w14:textId="77777777" w:rsidR="00DF410E" w:rsidRDefault="00CE7F43">
      <w:r>
        <w:rPr>
          <w:b/>
        </w:rPr>
        <w:t>(soit par défaut)</w:t>
      </w:r>
    </w:p>
    <w:p w14:paraId="02E3C8EE"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7A001E3" w14:textId="77777777" w:rsidR="00DF410E" w:rsidRDefault="00CE7F43">
      <w:r>
        <w:rPr>
          <w:b/>
        </w:rPr>
        <w:t>(soit)</w:t>
      </w:r>
    </w:p>
    <w:p w14:paraId="507560D8"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211274B" w14:textId="77777777" w:rsidR="00DF410E" w:rsidRDefault="00CE7F43">
      <w:pPr>
        <w:pStyle w:val="pheading"/>
      </w:pPr>
      <w:r>
        <w:t>- nature du marché:</w:t>
      </w:r>
    </w:p>
    <w:p w14:paraId="271D4682" w14:textId="77777777" w:rsidR="00DF410E" w:rsidRDefault="00CE7F43">
      <w:r>
        <w:t>QF</w:t>
      </w:r>
    </w:p>
    <w:p w14:paraId="2926B009" w14:textId="77777777" w:rsidR="00DF410E" w:rsidRDefault="00CE7F43">
      <w:pPr>
        <w:pStyle w:val="Author-eSectionHeading5"/>
      </w:pPr>
      <w:bookmarkStart w:id="17" w:name="_Toc178837290"/>
      <w:r>
        <w:t>21.11.3 Maçonneries portantes en briques de silico-calcaire CCTB 01.11</w:t>
      </w:r>
      <w:bookmarkEnd w:id="17"/>
    </w:p>
    <w:p w14:paraId="4C3C15B2" w14:textId="77777777" w:rsidR="00DF410E" w:rsidRDefault="00CE7F43">
      <w:pPr>
        <w:pStyle w:val="pheading"/>
      </w:pPr>
      <w:bookmarkStart w:id="18" w:name="360"/>
      <w:bookmarkEnd w:id="18"/>
      <w:r>
        <w:t>MATÉRIAUX</w:t>
      </w:r>
    </w:p>
    <w:p w14:paraId="381931FE" w14:textId="77777777" w:rsidR="00DF410E" w:rsidRDefault="00CE7F43">
      <w:r>
        <w:t>Il s'agit des briques en silico-calcaire, qui répondent à la norme [NBN EN 771-2+A1] et au [PTV 21-003]. L'entrepreneur soumet un échantillon, la fiche technique et la déclaration des performances (DoP) du matériau pour approbation à l'auteur de projet et au maître de l’ouvrage.</w:t>
      </w:r>
    </w:p>
    <w:p w14:paraId="399FBF6E" w14:textId="77777777" w:rsidR="00DF410E" w:rsidRDefault="00CE7F43">
      <w:pPr>
        <w:pStyle w:val="pheading"/>
      </w:pPr>
      <w:r>
        <w:t>EXÉCUTION / MISE EN ŒUVRE</w:t>
      </w:r>
    </w:p>
    <w:p w14:paraId="407FB6DA" w14:textId="77777777" w:rsidR="00DF410E" w:rsidRDefault="00CE7F43">
      <w:r>
        <w:t xml:space="preserve">Eléments en silico-calcaire à utiliser : </w:t>
      </w:r>
      <w:r>
        <w:rPr>
          <w:rStyle w:val="optioncarChar"/>
        </w:rPr>
        <w:t>U (maçonnerie non protégée) / P (maçonnerie protégée)</w:t>
      </w:r>
    </w:p>
    <w:p w14:paraId="7E96A581" w14:textId="77777777" w:rsidR="00DF410E" w:rsidRDefault="00CE7F43">
      <w:r>
        <w:t xml:space="preserve">Conformément au mode de mise en œuvre, les briques en silico-calcaire sont maçonnées au mortier / collées à l’aide d’un mortier-colle selon les indications </w:t>
      </w:r>
      <w:r>
        <w:rPr>
          <w:rStyle w:val="optioncarChar"/>
        </w:rPr>
        <w:t>du fabricant des briques / du fabricant de mortier</w:t>
      </w:r>
      <w:r>
        <w:t xml:space="preserve"> et des notes de calcul du bureau d’études.</w:t>
      </w:r>
    </w:p>
    <w:p w14:paraId="74583DAC" w14:textId="77777777" w:rsidR="00DF410E" w:rsidRDefault="00CE7F43">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xml:space="preserve"> / M15 / M20 / ***</w:t>
      </w:r>
    </w:p>
    <w:p w14:paraId="7842DA67" w14:textId="77777777" w:rsidR="00DF410E" w:rsidRDefault="00CE7F43">
      <w:r>
        <w:t xml:space="preserve">L'épaisseur des joints est d'au moins : </w:t>
      </w:r>
      <w:r>
        <w:rPr>
          <w:rStyle w:val="optioncarChar"/>
        </w:rPr>
        <w:t>2 / 10</w:t>
      </w:r>
      <w:r>
        <w:rPr>
          <w:rStyle w:val="optioncarChar"/>
          <w:color w:val="000000"/>
        </w:rPr>
        <w:t xml:space="preserve"> (par défaut)</w:t>
      </w:r>
      <w:r>
        <w:rPr>
          <w:rStyle w:val="optioncarChar"/>
        </w:rPr>
        <w:t xml:space="preserve"> / ***</w:t>
      </w:r>
      <w:r>
        <w:t xml:space="preserve"> mm (tolérances suivant [NIT 208])</w:t>
      </w:r>
    </w:p>
    <w:p w14:paraId="37C1A96A" w14:textId="77777777" w:rsidR="00DF410E" w:rsidRDefault="00CE7F43">
      <w: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54" w:history="1">
        <w:r>
          <w:t>26.11 Feuilles et membranes d'étanchéité à l'eau</w:t>
        </w:r>
      </w:hyperlink>
      <w:r>
        <w:t>.</w:t>
      </w:r>
    </w:p>
    <w:p w14:paraId="1B8D1510" w14:textId="77777777" w:rsidR="00DF410E" w:rsidRDefault="00CE7F43">
      <w:r>
        <w:rPr>
          <w:b/>
        </w:rPr>
        <w:t>- Notes d'exécution complémentaires</w:t>
      </w:r>
      <w:r>
        <w:br/>
      </w:r>
      <w:r>
        <w:br/>
        <w:t>Pour les maçonneries destinées à rester apparentes, seules des briques non endommagés sont utilisés.</w:t>
      </w:r>
    </w:p>
    <w:p w14:paraId="0E6DBA37"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228D9AB0" w14:textId="77777777" w:rsidR="00DF410E" w:rsidRDefault="00CE7F43">
      <w:r>
        <w:t xml:space="preserve">Les segments de murs sont pourvus d'armatures verticales selon l'article </w:t>
      </w:r>
      <w:hyperlink w:anchor="356" w:history="1">
        <w:r>
          <w:t>21.41.2 Armatures verticales pour maçonneries</w:t>
        </w:r>
      </w:hyperlink>
      <w:r>
        <w:t>.</w:t>
      </w:r>
    </w:p>
    <w:p w14:paraId="2D740916"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578D5ED7" w14:textId="77777777" w:rsidR="00DF410E" w:rsidRDefault="00CE7F43">
      <w:r>
        <w:t xml:space="preserve">Crochets de mur : </w:t>
      </w:r>
      <w:r>
        <w:rPr>
          <w:rStyle w:val="optioncarChar"/>
        </w:rPr>
        <w:t>acier inoxydable </w:t>
      </w:r>
      <w:r>
        <w:rPr>
          <w:rStyle w:val="optioncarChar"/>
          <w:color w:val="000000"/>
        </w:rPr>
        <w:t>(par défaut)</w:t>
      </w:r>
      <w:r>
        <w:rPr>
          <w:rStyle w:val="optioncarChar"/>
        </w:rPr>
        <w:t xml:space="preserve"> / ***</w:t>
      </w:r>
      <w:r>
        <w:t xml:space="preserve"> , diamètre minimal </w:t>
      </w:r>
      <w:r>
        <w:rPr>
          <w:rStyle w:val="optioncarChar"/>
        </w:rPr>
        <w:t>3,5</w:t>
      </w:r>
      <w:r>
        <w:t> (par défaut)</w:t>
      </w:r>
      <w:r>
        <w:rPr>
          <w:rStyle w:val="optioncarChar"/>
        </w:rPr>
        <w:t> / ***</w:t>
      </w:r>
      <w:r>
        <w:t xml:space="preserve"> mm</w:t>
      </w:r>
    </w:p>
    <w:p w14:paraId="657C53BE" w14:textId="77777777" w:rsidR="00DF410E" w:rsidRDefault="00CE7F43">
      <w:r>
        <w:t xml:space="preserve">Linteaux : </w:t>
      </w:r>
      <w:r>
        <w:rPr>
          <w:rStyle w:val="optioncarChar"/>
        </w:rPr>
        <w:t>***</w:t>
      </w:r>
      <w:r>
        <w:t xml:space="preserve"> conformément à l’article </w:t>
      </w:r>
      <w:hyperlink w:anchor="358" w:history="1">
        <w:r>
          <w:t>22.13 Linteaux en béton</w:t>
        </w:r>
      </w:hyperlink>
    </w:p>
    <w:p w14:paraId="6DA5809B" w14:textId="77777777" w:rsidR="00DF410E" w:rsidRDefault="00CE7F43">
      <w:pPr>
        <w:pStyle w:val="pheading"/>
      </w:pPr>
      <w:r>
        <w:t>AIDE</w:t>
      </w:r>
    </w:p>
    <w:p w14:paraId="01439952" w14:textId="77777777" w:rsidR="00DF410E" w:rsidRDefault="00CE7F43">
      <w:r>
        <w:t>Pour le choix adéquat du mortier, se référer à la [STS 22 série].</w:t>
      </w:r>
    </w:p>
    <w:p w14:paraId="195D9E8E" w14:textId="77777777" w:rsidR="00DF410E" w:rsidRDefault="00CE7F43">
      <w:pPr>
        <w:pStyle w:val="Author-eSectionHeading6"/>
      </w:pPr>
      <w:bookmarkStart w:id="19" w:name="_Toc178837291"/>
      <w:r>
        <w:t>21.11.3a Maçonneries portantes en briques de silico-calcaire à maçonner CCTB 01.12</w:t>
      </w:r>
      <w:bookmarkEnd w:id="19"/>
    </w:p>
    <w:p w14:paraId="3798772B" w14:textId="77777777" w:rsidR="00DF410E" w:rsidRDefault="00CE7F43">
      <w:pPr>
        <w:pStyle w:val="pheading"/>
      </w:pPr>
      <w:r>
        <w:t>DESCRIPTION</w:t>
      </w:r>
    </w:p>
    <w:p w14:paraId="6F2079D5" w14:textId="77777777" w:rsidR="00DF410E" w:rsidRDefault="00CE7F43">
      <w:pPr>
        <w:pStyle w:val="pheading"/>
      </w:pPr>
      <w:r>
        <w:t>- Définition / Comprend</w:t>
      </w:r>
    </w:p>
    <w:p w14:paraId="4BEED45E" w14:textId="77777777" w:rsidR="00DF410E" w:rsidRDefault="00CE7F43">
      <w:r>
        <w:t xml:space="preserve">Il s’agit de la fourniture et la pose de maçonneries portantes en briques de silico-calcaire à maçonner. </w:t>
      </w:r>
      <w:r>
        <w:br/>
        <w:t xml:space="preserve">La portée des travaux est décrite dans l’article </w:t>
      </w:r>
      <w:hyperlink w:anchor="360" w:history="1">
        <w:r>
          <w:t>21.11.3 Maçonneries portantes en briques de silico-calcaire</w:t>
        </w:r>
      </w:hyperlink>
      <w:r>
        <w:t>.</w:t>
      </w:r>
      <w:r>
        <w:br/>
        <w:t>Les travaux comprennent également la fourniture et la pose des pièces d’angle, de terminaison et de rencontre.</w:t>
      </w:r>
    </w:p>
    <w:p w14:paraId="2455FAE2" w14:textId="77777777" w:rsidR="00DF410E" w:rsidRDefault="00CE7F43">
      <w:pPr>
        <w:pStyle w:val="pheading"/>
      </w:pPr>
      <w:r>
        <w:t>- Localisation</w:t>
      </w:r>
    </w:p>
    <w:p w14:paraId="118676B0" w14:textId="77777777" w:rsidR="00DF410E" w:rsidRDefault="00CE7F43">
      <w:r>
        <w:t xml:space="preserve">La pose est réalisée aux endroits suivants : </w:t>
      </w:r>
      <w:r>
        <w:rPr>
          <w:rStyle w:val="optioncarChar"/>
        </w:rPr>
        <w:t>***</w:t>
      </w:r>
      <w:r>
        <w:t>.</w:t>
      </w:r>
      <w:r>
        <w:br/>
        <w:t>Voir plans et métrés détaillés.</w:t>
      </w:r>
    </w:p>
    <w:p w14:paraId="6E83F575" w14:textId="77777777" w:rsidR="00DF410E" w:rsidRDefault="00CE7F43">
      <w:pPr>
        <w:pStyle w:val="pheading"/>
      </w:pPr>
      <w:r>
        <w:t>MATÉRIAUX</w:t>
      </w:r>
    </w:p>
    <w:p w14:paraId="576C7A32" w14:textId="77777777" w:rsidR="00DF410E" w:rsidRDefault="00CE7F43">
      <w:pPr>
        <w:pStyle w:val="pheading"/>
      </w:pPr>
      <w:r>
        <w:t>- Caractéristiques générales</w:t>
      </w:r>
    </w:p>
    <w:p w14:paraId="7798B131" w14:textId="77777777" w:rsidR="00DF410E" w:rsidRDefault="00CE7F43">
      <w:pPr>
        <w:pStyle w:val="heading"/>
      </w:pPr>
      <w:r>
        <w:t>Spécifications</w:t>
      </w:r>
    </w:p>
    <w:p w14:paraId="37D2AD9F"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t xml:space="preserve">La classe de qualité suivant [PTV 21-003] est : </w:t>
      </w:r>
      <w:r>
        <w:rPr>
          <w:rStyle w:val="optioncarChar"/>
        </w:rPr>
        <w:t>20/1,8 / ***</w:t>
      </w:r>
      <w:r>
        <w:br/>
        <w:t>La résistance en compression normalisée (f</w:t>
      </w:r>
      <w:r>
        <w:rPr>
          <w:vertAlign w:val="subscript"/>
        </w:rPr>
        <w:t>b</w:t>
      </w:r>
      <w:r>
        <w:t xml:space="preserve">) suivant [NBN EN 1996 série] est au minimum: </w:t>
      </w:r>
      <w:r>
        <w:rPr>
          <w:rStyle w:val="optioncarChar"/>
        </w:rPr>
        <w:t>5 / 10 / 15 / 20 / 25</w:t>
      </w:r>
      <w:r>
        <w:t xml:space="preserve"> N/mm² (MPa) (classe f </w:t>
      </w:r>
      <w:r>
        <w:rPr>
          <w:rStyle w:val="optioncarChar"/>
        </w:rPr>
        <w:t>***</w:t>
      </w:r>
      <w:r>
        <w:t xml:space="preserve">) (selon [NBN EN 771-2+A1]). </w:t>
      </w:r>
      <w:r>
        <w:br/>
        <w:t xml:space="preserve">Le groupe de configuration suivant [NBN EN 1996-1-1+A1 ANB] est: </w:t>
      </w:r>
      <w:r>
        <w:rPr>
          <w:rStyle w:val="optioncarChar"/>
        </w:rPr>
        <w:t xml:space="preserve">1 </w:t>
      </w:r>
      <w:r>
        <w:t xml:space="preserve">(par défaut) </w:t>
      </w:r>
      <w:r>
        <w:rPr>
          <w:rStyle w:val="optioncarChar"/>
        </w:rPr>
        <w:t>/ ***</w:t>
      </w:r>
      <w:r>
        <w:br/>
        <w:t xml:space="preserve">La masse volumique sèche apparente des briques ρ (rho) est : </w:t>
      </w:r>
      <w:r>
        <w:rPr>
          <w:rStyle w:val="optioncarChar"/>
        </w:rPr>
        <w:t>***</w:t>
      </w:r>
      <w:r>
        <w:t xml:space="preserve"> kg/m³ (blocs pleins), selon la [NBN EN 771-2+A1]. </w:t>
      </w:r>
      <w:r>
        <w:br/>
        <w:t>La conductibilité thermique λ</w:t>
      </w:r>
      <w:r>
        <w:rPr>
          <w:vertAlign w:val="subscript"/>
        </w:rPr>
        <w:t>D</w:t>
      </w:r>
      <w:r>
        <w:t xml:space="preserve"> est compatible avec la valeur U prescrite pour la paroi. </w:t>
      </w:r>
      <w:r>
        <w:br/>
        <w:t>Boutisse : plate</w:t>
      </w:r>
      <w:r>
        <w:br/>
        <w:t>Face qui reste visible : lisse</w:t>
      </w:r>
      <w:r>
        <w:br/>
        <w:t>Face à cimenter ou plafonner : lisse</w:t>
      </w:r>
      <w:r>
        <w:br/>
        <w:t>Teinte : blanc</w:t>
      </w:r>
      <w:r>
        <w:br/>
        <w:t xml:space="preserve">Format : (L x l x h) </w:t>
      </w:r>
      <w:r>
        <w:rPr>
          <w:rStyle w:val="optioncarChar"/>
        </w:rPr>
        <w:t>*** x *** x *** mm / format modulaire proposé par l'entrepreneur </w:t>
      </w:r>
      <w:r>
        <w:t>(par défaut)</w:t>
      </w:r>
      <w:r>
        <w:br/>
        <w:t>Classe de tolérances dimensionnelles: T1</w:t>
      </w:r>
      <w:r>
        <w:br/>
        <w:t>Stabilité de forme : les éléments en silico-calcaire destinés à un usage extérieur ou en maçonnerie souterraine respectent le critère suivant en matière de comportement à l'humidité : retrait et gonflement hygrométriques ≤ 0.45 mm / m (cf. [PTV 21-003]).</w:t>
      </w:r>
      <w:r>
        <w:br/>
        <w:t>Résistance au gel suivant les classes d’application selon [NBN EN 1996-2 ANB] et [NIT 271].</w:t>
      </w:r>
      <w:r>
        <w:br/>
        <w:t xml:space="preserve">Réaction au feu : </w:t>
      </w:r>
      <w:r>
        <w:rPr>
          <w:rStyle w:val="optioncarChar"/>
        </w:rPr>
        <w:t xml:space="preserve">A1 </w:t>
      </w:r>
      <w:r>
        <w:t>(par défaut)</w:t>
      </w:r>
      <w:r>
        <w:rPr>
          <w:rStyle w:val="optioncarChar"/>
        </w:rPr>
        <w:t xml:space="preserve"> / ***</w:t>
      </w:r>
    </w:p>
    <w:p w14:paraId="285B7A50" w14:textId="77777777" w:rsidR="00DF410E" w:rsidRDefault="00CE7F43">
      <w:r>
        <w:rPr>
          <w:rStyle w:val="headingChar"/>
        </w:rPr>
        <w:t>Critères De Performances De La Paroi</w:t>
      </w:r>
    </w:p>
    <w:p w14:paraId="587028D3" w14:textId="77777777" w:rsidR="00DF410E" w:rsidRDefault="00CE7F43">
      <w:r>
        <w:t>Coefficient de transmission :</w:t>
      </w:r>
    </w:p>
    <w:p w14:paraId="61DB17B8" w14:textId="77777777" w:rsidR="00DF410E" w:rsidRDefault="00CE7F43">
      <w:pPr>
        <w:pStyle w:val="Author-eListParagraph"/>
        <w:numPr>
          <w:ilvl w:val="0"/>
          <w:numId w:val="49"/>
        </w:numPr>
      </w:pPr>
      <w:r>
        <w:t xml:space="preserve">valeur U minimale de </w:t>
      </w:r>
      <w:r>
        <w:rPr>
          <w:rStyle w:val="optioncarChar"/>
        </w:rPr>
        <w:t>***</w:t>
      </w:r>
      <w:r>
        <w:t xml:space="preserve"> W/m²K</w:t>
      </w:r>
    </w:p>
    <w:p w14:paraId="2D29CB5B" w14:textId="77777777" w:rsidR="00DF410E" w:rsidRDefault="00CE7F43">
      <w:pPr>
        <w:pStyle w:val="Author-eListParagraph"/>
        <w:numPr>
          <w:ilvl w:val="0"/>
          <w:numId w:val="4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76B2FE9" w14:textId="77777777" w:rsidR="00DF410E" w:rsidRDefault="00CE7F43">
      <w:r>
        <w:t>Résistance au feu :</w:t>
      </w:r>
    </w:p>
    <w:p w14:paraId="2619CCEC" w14:textId="77777777" w:rsidR="00DF410E" w:rsidRDefault="00CE7F43">
      <w:pPr>
        <w:pStyle w:val="Author-eListParagraph"/>
        <w:numPr>
          <w:ilvl w:val="0"/>
          <w:numId w:val="50"/>
        </w:numPr>
      </w:pPr>
      <w:r>
        <w:t xml:space="preserve">pour les éléments porteurs structuraux sans fonction séparante : </w:t>
      </w:r>
      <w:r>
        <w:rPr>
          <w:rStyle w:val="optioncarChar"/>
        </w:rPr>
        <w:t>R15 / R30 </w:t>
      </w:r>
      <w:r>
        <w:t>(par défaut)</w:t>
      </w:r>
      <w:r>
        <w:rPr>
          <w:rStyle w:val="optioncarChar"/>
        </w:rPr>
        <w:t xml:space="preserve"> / R60/ R90 / R120 / R***</w:t>
      </w:r>
    </w:p>
    <w:p w14:paraId="46D733F4" w14:textId="77777777" w:rsidR="00DF410E" w:rsidRDefault="00CE7F43">
      <w:pPr>
        <w:pStyle w:val="Author-eListParagraph"/>
        <w:numPr>
          <w:ilvl w:val="0"/>
          <w:numId w:val="50"/>
        </w:numPr>
      </w:pPr>
      <w:r>
        <w:t xml:space="preserve">pour les éléments porteurs structuraux avec fonction séparante : </w:t>
      </w:r>
      <w:r>
        <w:rPr>
          <w:rStyle w:val="optioncarChar"/>
        </w:rPr>
        <w:t>REI30 </w:t>
      </w:r>
      <w:r>
        <w:t>(par défaut)</w:t>
      </w:r>
      <w:r>
        <w:rPr>
          <w:rStyle w:val="optioncarChar"/>
        </w:rPr>
        <w:t xml:space="preserve"> / REI60 / REI90 / REI120 / REI***</w:t>
      </w:r>
    </w:p>
    <w:p w14:paraId="48F0F6A6" w14:textId="77777777" w:rsidR="00DF410E" w:rsidRDefault="00CE7F43">
      <w:r>
        <w:t>selon les tableaux dans [NBN EN 1996-1-2 ANB]</w:t>
      </w:r>
    </w:p>
    <w:p w14:paraId="5F33246E" w14:textId="77777777" w:rsidR="00DF410E" w:rsidRDefault="00CE7F43">
      <w:pPr>
        <w:pStyle w:val="pheading"/>
      </w:pPr>
      <w:r>
        <w:t>- Finitions</w:t>
      </w:r>
    </w:p>
    <w:p w14:paraId="48097FE7" w14:textId="77777777" w:rsidR="00DF410E" w:rsidRDefault="00DF410E"/>
    <w:p w14:paraId="2F7CA8FF" w14:textId="77777777" w:rsidR="00DF410E" w:rsidRDefault="00CE7F43">
      <w:pPr>
        <w:pStyle w:val="Author-eListParagraph"/>
        <w:numPr>
          <w:ilvl w:val="0"/>
          <w:numId w:val="51"/>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5C6BFD93" w14:textId="77777777" w:rsidR="00DF410E" w:rsidRDefault="00CE7F43">
      <w:pPr>
        <w:pStyle w:val="Author-eListParagraph"/>
        <w:numPr>
          <w:ilvl w:val="0"/>
          <w:numId w:val="51"/>
        </w:numPr>
      </w:pPr>
      <w:r>
        <w:t xml:space="preserve">Les murs suivants sont exécutés avec une face restant apparente : </w:t>
      </w:r>
      <w:r>
        <w:rPr>
          <w:rStyle w:val="optioncarChar"/>
        </w:rPr>
        <w:t>***</w:t>
      </w:r>
    </w:p>
    <w:p w14:paraId="35EBE06C" w14:textId="77777777" w:rsidR="00DF410E" w:rsidRDefault="00CE7F43">
      <w:pPr>
        <w:pStyle w:val="Author-eListParagraph"/>
        <w:numPr>
          <w:ilvl w:val="0"/>
          <w:numId w:val="51"/>
        </w:numPr>
      </w:pPr>
      <w:r>
        <w:t xml:space="preserve">Les murs suivants sont exécutés avec deux faces restant apparentes : </w:t>
      </w:r>
      <w:r>
        <w:rPr>
          <w:rStyle w:val="optioncarChar"/>
        </w:rPr>
        <w:t>***</w:t>
      </w:r>
    </w:p>
    <w:p w14:paraId="350D57EA" w14:textId="77777777" w:rsidR="00DF410E" w:rsidRDefault="00DF410E"/>
    <w:p w14:paraId="5BF28D30" w14:textId="77777777" w:rsidR="00DF410E" w:rsidRDefault="00CE7F43">
      <w:r>
        <w:t> </w:t>
      </w:r>
    </w:p>
    <w:p w14:paraId="031F5AD5" w14:textId="77777777" w:rsidR="00DF410E" w:rsidRDefault="00CE7F43">
      <w:pPr>
        <w:pStyle w:val="pheading"/>
      </w:pPr>
      <w:r>
        <w:t>MESURAGE</w:t>
      </w:r>
    </w:p>
    <w:p w14:paraId="64EC6289" w14:textId="77777777" w:rsidR="00DF410E" w:rsidRDefault="00CE7F43">
      <w:pPr>
        <w:pStyle w:val="pheading"/>
      </w:pPr>
      <w:r>
        <w:t>- unité de mesure:</w:t>
      </w:r>
    </w:p>
    <w:p w14:paraId="5B8D14B6" w14:textId="77777777" w:rsidR="00DF410E" w:rsidRDefault="00CE7F43">
      <w:r>
        <w:rPr>
          <w:rStyle w:val="optioncarChar"/>
        </w:rPr>
        <w:t>m³ </w:t>
      </w:r>
      <w:r>
        <w:t>(par défaut)</w:t>
      </w:r>
      <w:r>
        <w:rPr>
          <w:rStyle w:val="optioncarChar"/>
        </w:rPr>
        <w:t> / m²</w:t>
      </w:r>
    </w:p>
    <w:p w14:paraId="4E606D06" w14:textId="77777777" w:rsidR="00DF410E" w:rsidRDefault="00CE7F43">
      <w:r>
        <w:rPr>
          <w:b/>
        </w:rPr>
        <w:t>(soit par défaut)</w:t>
      </w:r>
    </w:p>
    <w:p w14:paraId="64435007" w14:textId="77777777" w:rsidR="00DF410E" w:rsidRDefault="00CE7F43">
      <w:r>
        <w:rPr>
          <w:rStyle w:val="soitChar"/>
        </w:rPr>
        <w:t>1. m³</w:t>
      </w:r>
    </w:p>
    <w:p w14:paraId="0561F603" w14:textId="77777777" w:rsidR="00DF410E" w:rsidRDefault="00CE7F43">
      <w:r>
        <w:rPr>
          <w:b/>
        </w:rPr>
        <w:t>(soit)</w:t>
      </w:r>
    </w:p>
    <w:p w14:paraId="1A277FEC" w14:textId="77777777" w:rsidR="00DF410E" w:rsidRDefault="00CE7F43">
      <w:r>
        <w:rPr>
          <w:rStyle w:val="soitChar"/>
        </w:rPr>
        <w:t>2. m²</w:t>
      </w:r>
    </w:p>
    <w:p w14:paraId="7863485D" w14:textId="77777777" w:rsidR="00DF410E" w:rsidRDefault="00CE7F43">
      <w:pPr>
        <w:pStyle w:val="pheading"/>
      </w:pPr>
      <w:r>
        <w:t>- code de mesurage:</w:t>
      </w:r>
    </w:p>
    <w:p w14:paraId="13DC0A81"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B8BADEF"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89C9712"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A5C6115" w14:textId="77777777" w:rsidR="00DF410E" w:rsidRDefault="00CE7F43">
      <w:r>
        <w:br/>
      </w:r>
      <w:r>
        <w:rPr>
          <w:rStyle w:val="optioncarChar"/>
        </w:rPr>
        <w:t>Volume net </w:t>
      </w:r>
      <w:r>
        <w:t>(par défaut)</w:t>
      </w:r>
      <w:r>
        <w:rPr>
          <w:rStyle w:val="optioncarChar"/>
        </w:rPr>
        <w:t> / Surface nette</w:t>
      </w:r>
    </w:p>
    <w:p w14:paraId="750550C5" w14:textId="77777777" w:rsidR="00DF410E" w:rsidRDefault="00CE7F43">
      <w:r>
        <w:rPr>
          <w:b/>
        </w:rPr>
        <w:t>(soit par défaut)</w:t>
      </w:r>
    </w:p>
    <w:p w14:paraId="67F89637"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6A7B78A" w14:textId="77777777" w:rsidR="00DF410E" w:rsidRDefault="00CE7F43">
      <w:r>
        <w:rPr>
          <w:b/>
        </w:rPr>
        <w:t>(soit)</w:t>
      </w:r>
    </w:p>
    <w:p w14:paraId="2B38F0C4"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2795B8E" w14:textId="77777777" w:rsidR="00DF410E" w:rsidRDefault="00DF410E"/>
    <w:p w14:paraId="44BA33F2" w14:textId="77777777" w:rsidR="00DF410E" w:rsidRDefault="00CE7F43">
      <w:r>
        <w:t> </w:t>
      </w:r>
    </w:p>
    <w:p w14:paraId="3667B131" w14:textId="77777777" w:rsidR="00DF410E" w:rsidRDefault="00CE7F43">
      <w:pPr>
        <w:pStyle w:val="pheading"/>
      </w:pPr>
      <w:r>
        <w:t>- nature du marché:</w:t>
      </w:r>
    </w:p>
    <w:p w14:paraId="43057C51" w14:textId="77777777" w:rsidR="00DF410E" w:rsidRDefault="00CE7F43">
      <w:r>
        <w:t>QF</w:t>
      </w:r>
    </w:p>
    <w:p w14:paraId="447F0F42" w14:textId="77777777" w:rsidR="00DF410E" w:rsidRDefault="00CE7F43">
      <w:pPr>
        <w:pStyle w:val="Author-eSectionHeading6"/>
      </w:pPr>
      <w:bookmarkStart w:id="20" w:name="_Toc178837292"/>
      <w:r>
        <w:t>21.11.3b Maçonneries portantes en briques de silico-calcaire à coller CCTB 01.11</w:t>
      </w:r>
      <w:bookmarkEnd w:id="20"/>
    </w:p>
    <w:p w14:paraId="59793D07" w14:textId="77777777" w:rsidR="00DF410E" w:rsidRDefault="00CE7F43">
      <w:pPr>
        <w:pStyle w:val="pheading"/>
      </w:pPr>
      <w:r>
        <w:t>DESCRIPTION</w:t>
      </w:r>
    </w:p>
    <w:p w14:paraId="1B271E85" w14:textId="77777777" w:rsidR="00DF410E" w:rsidRDefault="00CE7F43">
      <w:pPr>
        <w:pStyle w:val="pheading"/>
      </w:pPr>
      <w:r>
        <w:t>- Définition / Comprend</w:t>
      </w:r>
    </w:p>
    <w:p w14:paraId="46CA9A26" w14:textId="77777777" w:rsidR="00DF410E" w:rsidRDefault="00CE7F43">
      <w:r>
        <w:t xml:space="preserve">Il s’agit de la fourniture et la pose de maçonneries portantes en briques de silico-calcaire à coller. </w:t>
      </w:r>
      <w:r>
        <w:br/>
        <w:t xml:space="preserve">La portée des travaux est décrite dans l’article </w:t>
      </w:r>
      <w:hyperlink w:anchor="360" w:history="1">
        <w:r>
          <w:t>21.11.3 Maçonneries portantes en briques de silico-calcaire</w:t>
        </w:r>
      </w:hyperlink>
      <w:r>
        <w:t>.</w:t>
      </w:r>
      <w:r>
        <w:br/>
        <w:t>Les travaux comprennent également la fourniture et la pose des pièces d’angle, de terminaison et de rencontre.</w:t>
      </w:r>
    </w:p>
    <w:p w14:paraId="658888BB" w14:textId="77777777" w:rsidR="00DF410E" w:rsidRDefault="00CE7F43">
      <w:pPr>
        <w:pStyle w:val="pheading"/>
      </w:pPr>
      <w:r>
        <w:t>- Localisation</w:t>
      </w:r>
    </w:p>
    <w:p w14:paraId="41F26179" w14:textId="77777777" w:rsidR="00DF410E" w:rsidRDefault="00CE7F43">
      <w:r>
        <w:t>La pose est réalisée aux endroits suivants :</w:t>
      </w:r>
      <w:r>
        <w:rPr>
          <w:rStyle w:val="optioncarChar"/>
        </w:rPr>
        <w:t xml:space="preserve"> ***</w:t>
      </w:r>
      <w:r>
        <w:t>.</w:t>
      </w:r>
      <w:r>
        <w:br/>
        <w:t>Voir plans et métrés détaillés.</w:t>
      </w:r>
    </w:p>
    <w:p w14:paraId="0A923C3F" w14:textId="77777777" w:rsidR="00DF410E" w:rsidRDefault="00CE7F43">
      <w:pPr>
        <w:pStyle w:val="pheading"/>
      </w:pPr>
      <w:r>
        <w:t>MATÉRIAUX</w:t>
      </w:r>
    </w:p>
    <w:p w14:paraId="271DF5D6" w14:textId="77777777" w:rsidR="00DF410E" w:rsidRDefault="00CE7F43">
      <w:pPr>
        <w:pStyle w:val="pheading"/>
      </w:pPr>
      <w:r>
        <w:t>- Caractéristiques générales</w:t>
      </w:r>
    </w:p>
    <w:p w14:paraId="436CC804" w14:textId="77777777" w:rsidR="00DF410E" w:rsidRDefault="00CE7F43">
      <w:pPr>
        <w:pStyle w:val="heading"/>
      </w:pPr>
      <w:r>
        <w:t>Spécifications</w:t>
      </w:r>
    </w:p>
    <w:p w14:paraId="3F4220EA"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t xml:space="preserve">La classe de qualité suivant [PTV 21-003] est : </w:t>
      </w:r>
      <w:r>
        <w:rPr>
          <w:rStyle w:val="optioncarChar"/>
        </w:rPr>
        <w:t>20/1,8 / ***</w:t>
      </w:r>
      <w:r>
        <w:br/>
        <w:t>La résistance en compression normalisée (f</w:t>
      </w:r>
      <w:r>
        <w:rPr>
          <w:vertAlign w:val="subscript"/>
        </w:rPr>
        <w:t>b</w:t>
      </w:r>
      <w:r>
        <w:t xml:space="preserve">) suivant [NBN EN 1996 série] est au minimum: </w:t>
      </w:r>
      <w:r>
        <w:rPr>
          <w:rStyle w:val="optioncarChar"/>
        </w:rPr>
        <w:t>5 / 10</w:t>
      </w:r>
      <w:r>
        <w:rPr>
          <w:rStyle w:val="optioncarChar"/>
          <w:color w:val="000000"/>
        </w:rPr>
        <w:t xml:space="preserve"> (par défaut)</w:t>
      </w:r>
      <w:r>
        <w:rPr>
          <w:rStyle w:val="optioncarChar"/>
        </w:rPr>
        <w:t xml:space="preserve"> / 15 / 20 / 25 /</w:t>
      </w:r>
      <w:r>
        <w:t> N/mm² (MPa) (classe f</w:t>
      </w:r>
      <w:r>
        <w:rPr>
          <w:rStyle w:val="optioncarChar"/>
        </w:rPr>
        <w:t xml:space="preserve"> ***</w:t>
      </w:r>
      <w:r>
        <w:t xml:space="preserve">) (selon [NBN EN 771-2+A1]). </w:t>
      </w:r>
      <w:r>
        <w:br/>
        <w:t xml:space="preserve">Le groupe de configuration suivant [NBN EN 1996-1-1+A1 ANB] est: </w:t>
      </w:r>
      <w:r>
        <w:rPr>
          <w:rStyle w:val="optioncarChar"/>
        </w:rPr>
        <w:t>1 </w:t>
      </w:r>
      <w:r>
        <w:t>(par défaut)</w:t>
      </w:r>
      <w:r>
        <w:rPr>
          <w:rStyle w:val="optioncarChar"/>
        </w:rPr>
        <w:t xml:space="preserve"> / ***</w:t>
      </w:r>
      <w:r>
        <w:br/>
        <w:t xml:space="preserve">La masse volumique sèche apparente des briques ρ (rho) est : </w:t>
      </w:r>
      <w:r>
        <w:rPr>
          <w:rStyle w:val="optioncarChar"/>
        </w:rPr>
        <w:t>***</w:t>
      </w:r>
      <w:r>
        <w:t xml:space="preserve"> kg/m³ (blocs pleins), selon la [NBN EN 771-2+A1]. </w:t>
      </w:r>
      <w:r>
        <w:br/>
        <w:t>La conductibilité thermique λ</w:t>
      </w:r>
      <w:r>
        <w:rPr>
          <w:vertAlign w:val="subscript"/>
        </w:rPr>
        <w:t>D</w:t>
      </w:r>
      <w:r>
        <w:t xml:space="preserve"> est compatible avec la valeur U prescrite pour la paroi. </w:t>
      </w:r>
      <w:r>
        <w:br/>
        <w:t xml:space="preserve">Boutisse : </w:t>
      </w:r>
      <w:r>
        <w:rPr>
          <w:rStyle w:val="optioncarChar"/>
          <w:color w:val="000000"/>
        </w:rPr>
        <w:t>plate</w:t>
      </w:r>
      <w:r>
        <w:br/>
        <w:t>Face qui reste visible :</w:t>
      </w:r>
      <w:r>
        <w:rPr>
          <w:rStyle w:val="optioncarChar"/>
          <w:color w:val="000000"/>
        </w:rPr>
        <w:t xml:space="preserve"> lisse</w:t>
      </w:r>
      <w:r>
        <w:br/>
        <w:t xml:space="preserve">Face à cimenter ou plafonner : </w:t>
      </w:r>
      <w:r>
        <w:rPr>
          <w:rStyle w:val="optioncarChar"/>
          <w:color w:val="000000"/>
        </w:rPr>
        <w:t>lisse</w:t>
      </w:r>
      <w:r>
        <w:br/>
        <w:t xml:space="preserve">Teinte : blanc </w:t>
      </w:r>
      <w:r>
        <w:br/>
        <w:t xml:space="preserve">Format : (L x l x h) </w:t>
      </w:r>
      <w:r>
        <w:rPr>
          <w:rStyle w:val="optioncarChar"/>
        </w:rPr>
        <w:t>***x***x***mm / format modulaire proposé par l'entrepreneur </w:t>
      </w:r>
      <w:r>
        <w:t>(par défaut)</w:t>
      </w:r>
      <w:r>
        <w:br/>
        <w:t>Classe de tolérances dimensionnelles: T2</w:t>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t xml:space="preserve">Absorption d’eau par immersion : code </w:t>
      </w:r>
      <w:r>
        <w:rPr>
          <w:rStyle w:val="optioncarChar"/>
        </w:rPr>
        <w:t>A1 (exposé décoratif) / A2 (exposé) </w:t>
      </w:r>
      <w:r>
        <w:t>(par défaut)</w:t>
      </w:r>
      <w:r>
        <w:br/>
        <w:t>Résistance au gel suivant les classes d’application selon [NBN EN 1996-2 ANB] et [NIT 271].</w:t>
      </w:r>
      <w:r>
        <w:br/>
        <w:t>Réaction au feu :</w:t>
      </w:r>
      <w:r>
        <w:rPr>
          <w:rStyle w:val="optioncarChar"/>
        </w:rPr>
        <w:t xml:space="preserve"> A1 </w:t>
      </w:r>
      <w:r>
        <w:t>(par défaut)</w:t>
      </w:r>
      <w:r>
        <w:rPr>
          <w:rStyle w:val="optioncarChar"/>
        </w:rPr>
        <w:t xml:space="preserve"> / ***</w:t>
      </w:r>
    </w:p>
    <w:p w14:paraId="66F57437" w14:textId="77777777" w:rsidR="00DF410E" w:rsidRDefault="00CE7F43">
      <w:r>
        <w:br/>
      </w:r>
      <w:r>
        <w:rPr>
          <w:rStyle w:val="headingChar"/>
        </w:rPr>
        <w:t>Critères De Performances De La Paroi</w:t>
      </w:r>
    </w:p>
    <w:p w14:paraId="71785F8F" w14:textId="77777777" w:rsidR="00DF410E" w:rsidRDefault="00CE7F43">
      <w:r>
        <w:t>Coefficient de transmission :</w:t>
      </w:r>
    </w:p>
    <w:p w14:paraId="31F6DB46" w14:textId="77777777" w:rsidR="00DF410E" w:rsidRDefault="00CE7F43">
      <w:pPr>
        <w:pStyle w:val="Author-eListParagraph"/>
        <w:numPr>
          <w:ilvl w:val="0"/>
          <w:numId w:val="52"/>
        </w:numPr>
      </w:pPr>
      <w:r>
        <w:t xml:space="preserve">valeur U minimale de </w:t>
      </w:r>
      <w:r>
        <w:rPr>
          <w:rStyle w:val="optioncarChar"/>
        </w:rPr>
        <w:t>***</w:t>
      </w:r>
      <w:r>
        <w:t xml:space="preserve"> W/m²K</w:t>
      </w:r>
    </w:p>
    <w:p w14:paraId="6646DCAD" w14:textId="77777777" w:rsidR="00DF410E" w:rsidRDefault="00CE7F43">
      <w:pPr>
        <w:pStyle w:val="Author-eListParagraph"/>
        <w:numPr>
          <w:ilvl w:val="0"/>
          <w:numId w:val="5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78CC74B" w14:textId="77777777" w:rsidR="00DF410E" w:rsidRDefault="00CE7F43">
      <w:r>
        <w:br/>
        <w:t>Résistance au feu :</w:t>
      </w:r>
    </w:p>
    <w:p w14:paraId="7EC6580B" w14:textId="77777777" w:rsidR="00DF410E" w:rsidRDefault="00CE7F43">
      <w:pPr>
        <w:pStyle w:val="Author-eListParagraph"/>
        <w:numPr>
          <w:ilvl w:val="0"/>
          <w:numId w:val="53"/>
        </w:numPr>
      </w:pPr>
      <w:r>
        <w:t xml:space="preserve">pour les éléments porteurs structuraux sans fonction séparante : </w:t>
      </w:r>
      <w:r>
        <w:rPr>
          <w:rStyle w:val="optioncarChar"/>
        </w:rPr>
        <w:t>R15 / R30 </w:t>
      </w:r>
      <w:r>
        <w:t>(par défaut)</w:t>
      </w:r>
      <w:r>
        <w:rPr>
          <w:rStyle w:val="optioncarChar"/>
        </w:rPr>
        <w:t xml:space="preserve"> / R60 / R90 / R120 / R***</w:t>
      </w:r>
    </w:p>
    <w:p w14:paraId="1A2C88FF" w14:textId="77777777" w:rsidR="00DF410E" w:rsidRDefault="00CE7F43">
      <w:pPr>
        <w:pStyle w:val="Author-eListParagraph"/>
        <w:numPr>
          <w:ilvl w:val="0"/>
          <w:numId w:val="53"/>
        </w:numPr>
      </w:pPr>
      <w:r>
        <w:t xml:space="preserve">pour les éléments porteurs structuraux avec fonction séparante : </w:t>
      </w:r>
      <w:r>
        <w:rPr>
          <w:rStyle w:val="optioncarChar"/>
        </w:rPr>
        <w:t>REI30 </w:t>
      </w:r>
      <w:r>
        <w:t>(par défaut)</w:t>
      </w:r>
      <w:r>
        <w:rPr>
          <w:rStyle w:val="optioncarChar"/>
        </w:rPr>
        <w:t xml:space="preserve"> / REI60 / REI90 / REI120 / REI***</w:t>
      </w:r>
    </w:p>
    <w:p w14:paraId="399060CD" w14:textId="77777777" w:rsidR="00DF410E" w:rsidRDefault="00CE7F43">
      <w:r>
        <w:t>selon les tableaux dans [NBN EN 1996-1-2 ANB].</w:t>
      </w:r>
    </w:p>
    <w:p w14:paraId="72DE5ADB" w14:textId="77777777" w:rsidR="00DF410E" w:rsidRDefault="00DF410E"/>
    <w:p w14:paraId="57508136" w14:textId="77777777" w:rsidR="00DF410E" w:rsidRDefault="00CE7F43">
      <w:r>
        <w:t> </w:t>
      </w:r>
    </w:p>
    <w:p w14:paraId="4679E5FC" w14:textId="77777777" w:rsidR="00DF410E" w:rsidRDefault="00CE7F43">
      <w:pPr>
        <w:pStyle w:val="pheading"/>
      </w:pPr>
      <w:r>
        <w:t>- Finitions</w:t>
      </w:r>
    </w:p>
    <w:p w14:paraId="4D78C791" w14:textId="77777777" w:rsidR="00DF410E" w:rsidRDefault="00DF410E"/>
    <w:p w14:paraId="2D8CE968" w14:textId="77777777" w:rsidR="00DF410E" w:rsidRDefault="00CE7F43">
      <w:pPr>
        <w:pStyle w:val="Author-eListParagraph"/>
        <w:numPr>
          <w:ilvl w:val="0"/>
          <w:numId w:val="54"/>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11E30B8F" w14:textId="77777777" w:rsidR="00DF410E" w:rsidRDefault="00CE7F43">
      <w:pPr>
        <w:pStyle w:val="Author-eListParagraph"/>
        <w:numPr>
          <w:ilvl w:val="0"/>
          <w:numId w:val="54"/>
        </w:numPr>
      </w:pPr>
      <w:r>
        <w:rPr>
          <w:rStyle w:val="normalChar"/>
        </w:rPr>
        <w:t>Les murs suivants sont exécutés avec une face restant apparente :</w:t>
      </w:r>
      <w:r>
        <w:rPr>
          <w:rStyle w:val="optioncarChar"/>
        </w:rPr>
        <w:t xml:space="preserve"> ***</w:t>
      </w:r>
    </w:p>
    <w:p w14:paraId="4E3F1915" w14:textId="77777777" w:rsidR="00DF410E" w:rsidRDefault="00CE7F43">
      <w:pPr>
        <w:pStyle w:val="Author-eListParagraph"/>
        <w:numPr>
          <w:ilvl w:val="0"/>
          <w:numId w:val="54"/>
        </w:numPr>
      </w:pPr>
      <w:r>
        <w:rPr>
          <w:rStyle w:val="normalChar"/>
        </w:rPr>
        <w:t>Les murs suivants sont exécutés avec deux faces restant apparentes :</w:t>
      </w:r>
      <w:r>
        <w:rPr>
          <w:rStyle w:val="optioncarChar"/>
        </w:rPr>
        <w:t xml:space="preserve"> ***</w:t>
      </w:r>
    </w:p>
    <w:p w14:paraId="65B213F1" w14:textId="77777777" w:rsidR="00DF410E" w:rsidRDefault="00DF410E"/>
    <w:p w14:paraId="7BB3F22B" w14:textId="77777777" w:rsidR="00DF410E" w:rsidRDefault="00CE7F43">
      <w:r>
        <w:t> </w:t>
      </w:r>
    </w:p>
    <w:p w14:paraId="415E51DC" w14:textId="77777777" w:rsidR="00DF410E" w:rsidRDefault="00CE7F43">
      <w:pPr>
        <w:pStyle w:val="pheading"/>
      </w:pPr>
      <w:r>
        <w:t>MESURAGE</w:t>
      </w:r>
    </w:p>
    <w:p w14:paraId="5A7730AC" w14:textId="77777777" w:rsidR="00DF410E" w:rsidRDefault="00CE7F43">
      <w:pPr>
        <w:pStyle w:val="pheading"/>
      </w:pPr>
      <w:r>
        <w:t>- unité de mesure:</w:t>
      </w:r>
    </w:p>
    <w:p w14:paraId="299328D4" w14:textId="77777777" w:rsidR="00DF410E" w:rsidRDefault="00CE7F43">
      <w:r>
        <w:rPr>
          <w:rStyle w:val="optioncarChar"/>
        </w:rPr>
        <w:t>m³ </w:t>
      </w:r>
      <w:r>
        <w:t>(par défaut)</w:t>
      </w:r>
      <w:r>
        <w:rPr>
          <w:rStyle w:val="optioncarChar"/>
        </w:rPr>
        <w:t> / m²</w:t>
      </w:r>
    </w:p>
    <w:p w14:paraId="0D92078A" w14:textId="77777777" w:rsidR="00DF410E" w:rsidRDefault="00CE7F43">
      <w:r>
        <w:rPr>
          <w:b/>
        </w:rPr>
        <w:t>(soit par défaut)</w:t>
      </w:r>
    </w:p>
    <w:p w14:paraId="3637E74A" w14:textId="77777777" w:rsidR="00DF410E" w:rsidRDefault="00CE7F43">
      <w:r>
        <w:rPr>
          <w:rStyle w:val="soitChar"/>
        </w:rPr>
        <w:t>1. m³</w:t>
      </w:r>
    </w:p>
    <w:p w14:paraId="19B0D787" w14:textId="77777777" w:rsidR="00DF410E" w:rsidRDefault="00CE7F43">
      <w:r>
        <w:rPr>
          <w:b/>
        </w:rPr>
        <w:t>(soit)</w:t>
      </w:r>
    </w:p>
    <w:p w14:paraId="3049211F" w14:textId="77777777" w:rsidR="00DF410E" w:rsidRDefault="00CE7F43">
      <w:r>
        <w:rPr>
          <w:rStyle w:val="soitChar"/>
        </w:rPr>
        <w:t>2. m²</w:t>
      </w:r>
    </w:p>
    <w:p w14:paraId="00887C41" w14:textId="77777777" w:rsidR="00DF410E" w:rsidRDefault="00CE7F43">
      <w:pPr>
        <w:pStyle w:val="pheading"/>
      </w:pPr>
      <w:r>
        <w:t>- code de mesurage:</w:t>
      </w:r>
    </w:p>
    <w:p w14:paraId="0F1382DD"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A900311"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1D2A405"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8EB00DA" w14:textId="77777777" w:rsidR="00DF410E" w:rsidRDefault="00CE7F43">
      <w:r>
        <w:br/>
      </w:r>
      <w:r>
        <w:rPr>
          <w:rStyle w:val="optioncarChar"/>
        </w:rPr>
        <w:t>Volume net </w:t>
      </w:r>
      <w:r>
        <w:t>(par défaut)</w:t>
      </w:r>
      <w:r>
        <w:rPr>
          <w:rStyle w:val="optioncarChar"/>
        </w:rPr>
        <w:t> / Surface nette</w:t>
      </w:r>
    </w:p>
    <w:p w14:paraId="3A8C650B" w14:textId="77777777" w:rsidR="00DF410E" w:rsidRDefault="00CE7F43">
      <w:r>
        <w:rPr>
          <w:b/>
        </w:rPr>
        <w:t>(soit par défaut)</w:t>
      </w:r>
    </w:p>
    <w:p w14:paraId="370D2A28"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r>
        <w:br/>
      </w:r>
    </w:p>
    <w:p w14:paraId="0F1722EA" w14:textId="77777777" w:rsidR="00DF410E" w:rsidRDefault="00CE7F43">
      <w:r>
        <w:rPr>
          <w:b/>
        </w:rPr>
        <w:t>(soit)</w:t>
      </w:r>
    </w:p>
    <w:p w14:paraId="05A33172"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60AC8BFF" w14:textId="77777777" w:rsidR="00DF410E" w:rsidRDefault="00DF410E"/>
    <w:p w14:paraId="5683AE92" w14:textId="77777777" w:rsidR="00DF410E" w:rsidRDefault="00CE7F43">
      <w:r>
        <w:t> </w:t>
      </w:r>
    </w:p>
    <w:p w14:paraId="14CCF753" w14:textId="77777777" w:rsidR="00DF410E" w:rsidRDefault="00CE7F43">
      <w:pPr>
        <w:pStyle w:val="pheading"/>
      </w:pPr>
      <w:r>
        <w:t>- nature du marché:</w:t>
      </w:r>
    </w:p>
    <w:p w14:paraId="1638EE4A" w14:textId="77777777" w:rsidR="00DF410E" w:rsidRDefault="00CE7F43">
      <w:r>
        <w:t>QF</w:t>
      </w:r>
    </w:p>
    <w:p w14:paraId="211A5D22" w14:textId="77777777" w:rsidR="00DF410E" w:rsidRDefault="00CE7F43">
      <w:pPr>
        <w:pStyle w:val="Author-eSectionHeading5"/>
      </w:pPr>
      <w:bookmarkStart w:id="21" w:name="_Toc178837293"/>
      <w:r>
        <w:t>21.11.4 Maçonneries portantes en briques de terre crue CCTB 01.11</w:t>
      </w:r>
      <w:bookmarkEnd w:id="21"/>
    </w:p>
    <w:p w14:paraId="0B73A970" w14:textId="77777777" w:rsidR="00DF410E" w:rsidRDefault="00CE7F43">
      <w:pPr>
        <w:pStyle w:val="pheading"/>
      </w:pPr>
      <w:r>
        <w:t>DESCRIPTION</w:t>
      </w:r>
    </w:p>
    <w:p w14:paraId="6F37D71F" w14:textId="77777777" w:rsidR="00DF410E" w:rsidRDefault="00CE7F43">
      <w:pPr>
        <w:pStyle w:val="pheading"/>
      </w:pPr>
      <w:r>
        <w:t>- Définition / Comprend</w:t>
      </w:r>
    </w:p>
    <w:p w14:paraId="4C44AB42" w14:textId="77777777" w:rsidR="00DF410E" w:rsidRDefault="00CE7F43">
      <w:r>
        <w:t xml:space="preserve">Il s'agit de maçonneries portantes en briques de terre crue. </w:t>
      </w:r>
    </w:p>
    <w:p w14:paraId="016AEB81" w14:textId="77777777" w:rsidR="00DF410E" w:rsidRDefault="00CE7F43">
      <w:pPr>
        <w:pStyle w:val="pheading"/>
      </w:pPr>
      <w:r>
        <w:t>MATÉRIAUX</w:t>
      </w:r>
    </w:p>
    <w:p w14:paraId="7DD9763F" w14:textId="77777777" w:rsidR="00DF410E" w:rsidRDefault="00CE7F43">
      <w:pPr>
        <w:jc w:val="both"/>
      </w:pPr>
      <w:r>
        <w:t>En l’absence de normes propres, les spécifications des briques sont basées sur la [NBN EN 771-3+A1] et le [PTV 21-001] relatifs aux éléments de maçonnerie en béton et les spécifications du mortier sont basées sur la [NBN EN 998-2] et le [PTV 651].</w:t>
      </w:r>
    </w:p>
    <w:p w14:paraId="1A9A4C8C" w14:textId="77777777" w:rsidR="00DF410E" w:rsidRDefault="00CE7F43">
      <w:pPr>
        <w:jc w:val="both"/>
      </w:pPr>
      <w:r>
        <w:t>L'entrepreneur soumet la fiche technique des matériaux (brique et mortier) pour approbation à l'auteur de projet et au maître de l’ouvrage.</w:t>
      </w:r>
    </w:p>
    <w:p w14:paraId="2C77470A" w14:textId="77777777" w:rsidR="00DF410E" w:rsidRDefault="00CE7F43">
      <w:pPr>
        <w:jc w:val="both"/>
      </w:pPr>
      <w:r>
        <w:t>La terre utilisée est issue de sol répondant au [DRW 2018-03-01]. En outre, les terre d’excavation sont conformes aux normes d'assainissements et normes d'intervention (voir [AGRBC 2018-03-29]). </w:t>
      </w:r>
    </w:p>
    <w:p w14:paraId="76ED1C9A" w14:textId="77777777" w:rsidR="00DF410E" w:rsidRDefault="00CE7F43">
      <w:pPr>
        <w:pStyle w:val="pheading"/>
      </w:pPr>
      <w:r>
        <w:t>EXÉCUTION / MISE EN ŒUVRE</w:t>
      </w:r>
    </w:p>
    <w:p w14:paraId="016F3536" w14:textId="77777777" w:rsidR="00DF410E" w:rsidRDefault="00CE7F43">
      <w:pPr>
        <w:jc w:val="both"/>
      </w:pPr>
      <w:r>
        <w:t>Conformément au mode de mise en œuvre, les briques en terre crue sont maçonnées selon la documentation technique accompagnant les produits et selon les notes de calcul du bureau d’études.</w:t>
      </w:r>
    </w:p>
    <w:p w14:paraId="2259166F" w14:textId="77777777" w:rsidR="00DF410E" w:rsidRDefault="00CE7F43">
      <w:pPr>
        <w:jc w:val="both"/>
      </w:pPr>
      <w:r>
        <w:rPr>
          <w:u w:val="single"/>
        </w:rPr>
        <w:t>Matériaux de liaison et d'ancrage</w:t>
      </w:r>
    </w:p>
    <w:p w14:paraId="4EBE748B" w14:textId="77777777" w:rsidR="00DF410E" w:rsidRDefault="00CE7F43">
      <w:pPr>
        <w:ind w:left="567"/>
        <w:jc w:val="both"/>
      </w:pPr>
      <w:r>
        <w:t xml:space="preserve">longueur nominale : </w:t>
      </w:r>
      <w:r>
        <w:rPr>
          <w:rStyle w:val="optioncarChar"/>
        </w:rPr>
        <w:t>***</w:t>
      </w:r>
    </w:p>
    <w:p w14:paraId="7B89E421" w14:textId="77777777" w:rsidR="00DF410E" w:rsidRDefault="00CE7F43">
      <w:pPr>
        <w:ind w:left="567"/>
        <w:jc w:val="both"/>
      </w:pPr>
      <w:r>
        <w:t xml:space="preserve"> diamètre : </w:t>
      </w:r>
      <w:r>
        <w:rPr>
          <w:rStyle w:val="optioncarChar"/>
        </w:rPr>
        <w:t>***</w:t>
      </w:r>
    </w:p>
    <w:p w14:paraId="7401B03C" w14:textId="77777777" w:rsidR="00DF410E" w:rsidRDefault="00CE7F43">
      <w:pPr>
        <w:ind w:left="567"/>
        <w:jc w:val="both"/>
      </w:pPr>
      <w:r>
        <w:t xml:space="preserve"> classe d’exposition : </w:t>
      </w:r>
      <w:r>
        <w:rPr>
          <w:rStyle w:val="optioncarChar"/>
        </w:rPr>
        <w:t>MX1 / MX2 / MX3 / MX4 / MX5</w:t>
      </w:r>
    </w:p>
    <w:p w14:paraId="7FD2DD83" w14:textId="77777777" w:rsidR="00DF410E" w:rsidRDefault="00CE7F43">
      <w:pPr>
        <w:ind w:left="567"/>
        <w:jc w:val="both"/>
      </w:pPr>
      <w:r>
        <w:t xml:space="preserve"> 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5788E433" w14:textId="77777777" w:rsidR="00DF410E" w:rsidRDefault="00CE7F43">
      <w:pPr>
        <w:jc w:val="both"/>
      </w:pPr>
      <w:r>
        <w:t xml:space="preserve">Isolation contre l'humidité : </w:t>
      </w:r>
      <w:r>
        <w:rPr>
          <w:rStyle w:val="optioncarChar"/>
        </w:rPr>
        <w:t xml:space="preserve">membranes en PE </w:t>
      </w:r>
      <w:r>
        <w:t>(par défaut)</w:t>
      </w:r>
      <w:r>
        <w:rPr>
          <w:rStyle w:val="optioncarChar"/>
        </w:rPr>
        <w:t xml:space="preserve"> / ***</w:t>
      </w:r>
      <w:r>
        <w:t xml:space="preserve"> conformément au sous-titre </w:t>
      </w:r>
      <w:hyperlink w:anchor="354" w:history="1">
        <w:r>
          <w:t>26.11 Feuilles et membranes d'étanchéité à l'eau</w:t>
        </w:r>
      </w:hyperlink>
      <w:r>
        <w:t>.</w:t>
      </w:r>
    </w:p>
    <w:p w14:paraId="39A74AE0" w14:textId="77777777" w:rsidR="00DF410E" w:rsidRDefault="00CE7F43">
      <w:pPr>
        <w:jc w:val="both"/>
      </w:pPr>
      <w:r>
        <w:t>Pour les maçonneries destinées à rester apparentes, seules des briques non endommagées sont utilisées.</w:t>
      </w:r>
    </w:p>
    <w:p w14:paraId="61F03EC0" w14:textId="77777777" w:rsidR="00DF410E" w:rsidRDefault="00CE7F43">
      <w:pPr>
        <w:jc w:val="both"/>
      </w:pPr>
      <w:r>
        <w:t xml:space="preserve">Les segments de murs sont pourvus d'armatures horizontales selon le chapitre </w:t>
      </w:r>
      <w:hyperlink w:anchor="355" w:history="1">
        <w:r>
          <w:t>21.41.1 Armatures horizontales pour maçonneries</w:t>
        </w:r>
      </w:hyperlink>
      <w:r>
        <w:t xml:space="preserve">. Les segments de murs sont pourvus d'armatures verticales selon le chapitre </w:t>
      </w:r>
      <w:hyperlink w:anchor="363" w:history="1">
        <w:r>
          <w:t>21.42.1 Crochets, tirants et pattes d'ancrages de maçonneries</w:t>
        </w:r>
      </w:hyperlink>
    </w:p>
    <w:p w14:paraId="58A4419C" w14:textId="77777777" w:rsidR="00DF410E" w:rsidRDefault="00CE7F43">
      <w:pPr>
        <w:jc w:val="both"/>
      </w:pPr>
      <w:r>
        <w:t xml:space="preserve">Les maçonneries de caves en contact avec les terres sont rendues étanches selon la description au sous-titre </w:t>
      </w:r>
      <w:hyperlink w:anchor="357" w:history="1">
        <w:r>
          <w:t>26.12 Traitements d'étanchéisation</w:t>
        </w:r>
      </w:hyperlink>
      <w:r>
        <w:t>.</w:t>
      </w:r>
    </w:p>
    <w:p w14:paraId="3075F329" w14:textId="77777777" w:rsidR="00DF410E" w:rsidRDefault="00CE7F43">
      <w:pPr>
        <w:jc w:val="both"/>
      </w:pPr>
      <w:r>
        <w:t>Crochets de murs :</w:t>
      </w:r>
      <w:r>
        <w:rPr>
          <w:rStyle w:val="optioncarChar"/>
        </w:rPr>
        <w:t xml:space="preserve"> acier inoxydable </w:t>
      </w:r>
      <w:r>
        <w:t>(par défaut)</w:t>
      </w:r>
      <w:r>
        <w:rPr>
          <w:rStyle w:val="optioncarChar"/>
        </w:rPr>
        <w:t xml:space="preserve"> / ***</w:t>
      </w:r>
      <w:r>
        <w:t xml:space="preserve"> , diamètre minimal </w:t>
      </w:r>
      <w:r>
        <w:rPr>
          <w:rStyle w:val="optioncarChar"/>
        </w:rPr>
        <w:t>3,5 / ***</w:t>
      </w:r>
      <w:r>
        <w:t xml:space="preserve"> mm.</w:t>
      </w:r>
    </w:p>
    <w:p w14:paraId="37FE3E8B" w14:textId="77777777" w:rsidR="00DF410E" w:rsidRDefault="00DF410E"/>
    <w:p w14:paraId="2FB21B63" w14:textId="77777777" w:rsidR="00DF410E" w:rsidRDefault="00CE7F43">
      <w:r>
        <w:t> </w:t>
      </w:r>
    </w:p>
    <w:p w14:paraId="5ED163FA" w14:textId="77777777" w:rsidR="00DF410E" w:rsidRDefault="00CE7F43">
      <w:pPr>
        <w:pStyle w:val="pheading"/>
      </w:pPr>
      <w:r>
        <w:t>DOCUMENTS DE RÉFÉRENCE</w:t>
      </w:r>
    </w:p>
    <w:p w14:paraId="21F564CF" w14:textId="77777777" w:rsidR="00DF410E" w:rsidRDefault="00CE7F43">
      <w:pPr>
        <w:pStyle w:val="pheading"/>
      </w:pPr>
      <w:r>
        <w:t>- Matériau</w:t>
      </w:r>
    </w:p>
    <w:p w14:paraId="5E291DC2" w14:textId="77777777" w:rsidR="00DF410E" w:rsidRDefault="00CE7F43">
      <w:r>
        <w:t>[NBN EN 771-3+A1, Spécifications pour éléments de maçonnerie - Partie 3: Éléments de maçonnerie en béton de granulats (granulats courants et légers)]</w:t>
      </w:r>
    </w:p>
    <w:p w14:paraId="6A677D08" w14:textId="77777777" w:rsidR="00DF410E" w:rsidRDefault="00CE7F43">
      <w:r>
        <w:t>[PTV 21-001, Eléments de maçonnerie en béton (granulats courants et légers) - Classification et spécifications d'application]</w:t>
      </w:r>
    </w:p>
    <w:p w14:paraId="1F3488C8" w14:textId="77777777" w:rsidR="00DF410E" w:rsidRDefault="00CE7F43">
      <w:r>
        <w:t>[NBN EN 998-2, Définitions et spécifications des mortiers pour maçonnerie - Partie 2: Mortiers de montage des éléments de maçonnerie]</w:t>
      </w:r>
    </w:p>
    <w:p w14:paraId="3D701136" w14:textId="77777777" w:rsidR="00DF410E" w:rsidRDefault="00CE7F43">
      <w:r>
        <w:t>[PTV 651, Mortier de maçonnerie et mortier de jointoyage]</w:t>
      </w:r>
    </w:p>
    <w:p w14:paraId="0F511312" w14:textId="77777777" w:rsidR="00DF410E" w:rsidRDefault="00CE7F43">
      <w:r>
        <w:t>[CRATerre Terre, CRATerre - Traité de construction en terre]</w:t>
      </w:r>
    </w:p>
    <w:p w14:paraId="345553D6" w14:textId="77777777" w:rsidR="00DF410E" w:rsidRDefault="00CE7F43">
      <w:r>
        <w:t>[Moniteur Terre crue, Röhlen / Ziegert - Construire en terre crue: Construction - Rénovation - Finitions]</w:t>
      </w:r>
    </w:p>
    <w:p w14:paraId="487DF85B" w14:textId="77777777" w:rsidR="00DF410E" w:rsidRDefault="00CE7F43">
      <w:r>
        <w:t>[DRW 2018-03-01, Décret relatif à la gestion et à l'assainissement des sols]</w:t>
      </w:r>
    </w:p>
    <w:p w14:paraId="23AD9D11" w14:textId="77777777" w:rsidR="00DF410E" w:rsidRDefault="00CE7F43">
      <w:r>
        <w:t>[AGRBC 2018-03-29, Arrêté du Gouvernement de la Région de Bruxelles-Capitale déterminant les normes d'intervention et les normes d'assainissement]</w:t>
      </w:r>
    </w:p>
    <w:p w14:paraId="566F5F21" w14:textId="77777777" w:rsidR="00DF410E" w:rsidRDefault="00CE7F43">
      <w:r>
        <w:t>[DIN 18945, Earth blocks - Requirements, test and labelling]</w:t>
      </w:r>
    </w:p>
    <w:p w14:paraId="09A1598C" w14:textId="77777777" w:rsidR="00DF410E" w:rsidRDefault="00CE7F43">
      <w:r>
        <w:t>[DIN 18946, Earth masonry mortar - Requirements, test and labelling]</w:t>
      </w:r>
    </w:p>
    <w:p w14:paraId="0DF4FA32" w14:textId="77777777" w:rsidR="00DF410E" w:rsidRDefault="00CE7F43">
      <w:pPr>
        <w:pStyle w:val="pheading"/>
      </w:pPr>
      <w:r>
        <w:t>- Exécution</w:t>
      </w:r>
    </w:p>
    <w:p w14:paraId="0A2F1BB2" w14:textId="77777777" w:rsidR="00DF410E" w:rsidRDefault="00CE7F43">
      <w:r>
        <w:t>[CRATerre Terre, CRATerre - Traité de construction en terre]</w:t>
      </w:r>
    </w:p>
    <w:p w14:paraId="4C4632BC" w14:textId="77777777" w:rsidR="00DF410E" w:rsidRDefault="00CE7F43">
      <w:r>
        <w:t>[Moniteur Terre crue, Röhlen / Ziegert - Construire en terre crue: Construction - Rénovation - Finitions]</w:t>
      </w:r>
    </w:p>
    <w:p w14:paraId="3C15438B" w14:textId="77777777" w:rsidR="00DF410E" w:rsidRDefault="00CE7F43">
      <w:pPr>
        <w:pStyle w:val="Author-eSectionHeading6"/>
      </w:pPr>
      <w:bookmarkStart w:id="22" w:name="_Toc178837294"/>
      <w:r>
        <w:t>21.11.4a Maçonneries portantes en briques de terre crue stabilisée à maçonner CCTB 01.11</w:t>
      </w:r>
      <w:bookmarkEnd w:id="22"/>
    </w:p>
    <w:p w14:paraId="16CCFEE5" w14:textId="77777777" w:rsidR="00DF410E" w:rsidRDefault="00CE7F43">
      <w:pPr>
        <w:pStyle w:val="pheading"/>
      </w:pPr>
      <w:r>
        <w:t>DESCRIPTION</w:t>
      </w:r>
    </w:p>
    <w:p w14:paraId="515B5109" w14:textId="77777777" w:rsidR="00DF410E" w:rsidRDefault="00CE7F43">
      <w:pPr>
        <w:pStyle w:val="pheading"/>
      </w:pPr>
      <w:r>
        <w:t>- Définition / Comprend</w:t>
      </w:r>
    </w:p>
    <w:p w14:paraId="3740A8CD" w14:textId="77777777" w:rsidR="00DF410E" w:rsidRDefault="00CE7F43">
      <w:pPr>
        <w:jc w:val="both"/>
      </w:pPr>
      <w:r>
        <w:t>Il s’agit de la fourniture et la pose de maçonneries portantes en briques de terre crue stabilisées à maçonner.</w:t>
      </w:r>
    </w:p>
    <w:p w14:paraId="469894D8" w14:textId="77777777" w:rsidR="00DF410E" w:rsidRDefault="00CE7F43">
      <w:pPr>
        <w:jc w:val="both"/>
      </w:pPr>
      <w:r>
        <w:t xml:space="preserve">La portée des travaux est décrite dans l’élément </w:t>
      </w:r>
      <w:hyperlink w:anchor="292" w:history="1">
        <w:r>
          <w:t>21.1 Maçonneries portantes</w:t>
        </w:r>
      </w:hyperlink>
      <w:r>
        <w:t>.</w:t>
      </w:r>
    </w:p>
    <w:p w14:paraId="6692EA2C" w14:textId="77777777" w:rsidR="00DF410E" w:rsidRDefault="00CE7F43">
      <w:pPr>
        <w:pStyle w:val="pheading"/>
      </w:pPr>
      <w:r>
        <w:t>- Localisation</w:t>
      </w:r>
    </w:p>
    <w:p w14:paraId="2D2E93AB" w14:textId="77777777" w:rsidR="00DF410E" w:rsidRDefault="00CE7F43">
      <w:r>
        <w:t>Localisation des travaux :</w:t>
      </w:r>
      <w:r>
        <w:rPr>
          <w:rStyle w:val="optioncarChar"/>
        </w:rPr>
        <w:t xml:space="preserve"> ***</w:t>
      </w:r>
      <w:r>
        <w:t>.</w:t>
      </w:r>
    </w:p>
    <w:p w14:paraId="6EE3E05C" w14:textId="77777777" w:rsidR="00DF410E" w:rsidRDefault="00CE7F43">
      <w:r>
        <w:t>Voir plans et métrés détaillés.</w:t>
      </w:r>
    </w:p>
    <w:p w14:paraId="37231013" w14:textId="77777777" w:rsidR="00DF410E" w:rsidRDefault="00CE7F43">
      <w:pPr>
        <w:pStyle w:val="pheading"/>
      </w:pPr>
      <w:r>
        <w:t>MATÉRIAUX</w:t>
      </w:r>
    </w:p>
    <w:p w14:paraId="572C7D0C" w14:textId="77777777" w:rsidR="00DF410E" w:rsidRDefault="00CE7F43">
      <w:pPr>
        <w:pStyle w:val="pheading"/>
      </w:pPr>
      <w:r>
        <w:t>- Caractéristiques générales</w:t>
      </w:r>
    </w:p>
    <w:p w14:paraId="60C60E86" w14:textId="77777777" w:rsidR="00DF410E" w:rsidRDefault="00CE7F43">
      <w:pPr>
        <w:jc w:val="both"/>
      </w:pPr>
      <w:r>
        <w:t xml:space="preserve">Les briques, le mortier et la maçonnerie disposent d'une déclaration d'aptitude à l'utilisation suivant les prescriptions de l'élément </w:t>
      </w:r>
      <w:hyperlink r:id="rId20" w:history="1" w:docLocation="68">
        <w:r>
          <w:t>02.42.1 Critères d'acceptabilité</w:t>
        </w:r>
      </w:hyperlink>
    </w:p>
    <w:p w14:paraId="29280A5D" w14:textId="77777777" w:rsidR="00DF410E" w:rsidRDefault="00CE7F43">
      <w:pPr>
        <w:jc w:val="both"/>
      </w:pPr>
      <w:r>
        <w:rPr>
          <w:rStyle w:val="headingChar"/>
        </w:rPr>
        <w:t>Spécifications</w:t>
      </w:r>
    </w:p>
    <w:p w14:paraId="002269E8" w14:textId="77777777" w:rsidR="00DF410E" w:rsidRDefault="00CE7F43">
      <w:pPr>
        <w:jc w:val="both"/>
      </w:pPr>
      <w:r>
        <w:rPr>
          <w:u w:val="single"/>
        </w:rPr>
        <w:t>Brique</w:t>
      </w:r>
    </w:p>
    <w:p w14:paraId="43458DC5" w14:textId="77777777" w:rsidR="00DF410E" w:rsidRDefault="00CE7F43">
      <w:pPr>
        <w:jc w:val="both"/>
      </w:pPr>
      <w:r>
        <w:t xml:space="preserve">Code d’identification du type de brique de maçonnerie suivant [PTV 21-001] : </w:t>
      </w:r>
      <w:r>
        <w:rPr>
          <w:rStyle w:val="optioncarChar"/>
        </w:rPr>
        <w:t>A1</w:t>
      </w:r>
      <w:r>
        <w:t xml:space="preserve"> (par défaut) </w:t>
      </w:r>
      <w:r>
        <w:rPr>
          <w:rStyle w:val="optioncarChar"/>
        </w:rPr>
        <w:t>/ A2 / B1 / B2 / C / D</w:t>
      </w:r>
    </w:p>
    <w:p w14:paraId="5E5CAA03" w14:textId="77777777" w:rsidR="00DF410E" w:rsidRDefault="00CE7F43">
      <w:pPr>
        <w:jc w:val="both"/>
      </w:pPr>
      <w:r>
        <w:t xml:space="preserve">Format (Lxlxh) mm : </w:t>
      </w:r>
      <w:r>
        <w:rPr>
          <w:rStyle w:val="optioncarChar"/>
        </w:rPr>
        <w:t>*** x *** x *** / format modulaire proposé par l'entrepreneur </w:t>
      </w:r>
      <w:r>
        <w:t>(par défaut)</w:t>
      </w:r>
    </w:p>
    <w:p w14:paraId="23F32F73" w14:textId="77777777" w:rsidR="00DF410E" w:rsidRDefault="00CE7F43">
      <w:pPr>
        <w:jc w:val="both"/>
      </w:pPr>
      <w:r>
        <w:t xml:space="preserve">Face qui reste visible : </w:t>
      </w:r>
      <w:r>
        <w:rPr>
          <w:rStyle w:val="optioncarChar"/>
        </w:rPr>
        <w:t xml:space="preserve">lisse </w:t>
      </w:r>
      <w:r>
        <w:t>(par défaut)</w:t>
      </w:r>
      <w:r>
        <w:rPr>
          <w:rStyle w:val="optioncarChar"/>
        </w:rPr>
        <w:t xml:space="preserve"> / ***</w:t>
      </w:r>
    </w:p>
    <w:p w14:paraId="43701A01" w14:textId="77777777" w:rsidR="00DF410E" w:rsidRDefault="00CE7F43">
      <w:pPr>
        <w:jc w:val="both"/>
      </w:pPr>
      <w:r>
        <w:t xml:space="preserve">Mode de fabrication : </w:t>
      </w:r>
      <w:r>
        <w:rPr>
          <w:rStyle w:val="optioncarChar"/>
        </w:rPr>
        <w:t>moulée à la main / moulée à la presse </w:t>
      </w:r>
      <w:r>
        <w:t>(par défaut)</w:t>
      </w:r>
      <w:r>
        <w:rPr>
          <w:rStyle w:val="optioncarChar"/>
        </w:rPr>
        <w:t xml:space="preserve"> / compressée / étirée</w:t>
      </w:r>
    </w:p>
    <w:p w14:paraId="3EA2804A" w14:textId="77777777" w:rsidR="00DF410E" w:rsidRDefault="00CE7F43">
      <w:pPr>
        <w:jc w:val="both"/>
      </w:pPr>
      <w:r>
        <w:t xml:space="preserve">Granulats : </w:t>
      </w:r>
      <w:r>
        <w:rPr>
          <w:rStyle w:val="optioncarChar"/>
        </w:rPr>
        <w:t xml:space="preserve">pas de granulat </w:t>
      </w:r>
      <w:r>
        <w:t>(par défaut)</w:t>
      </w:r>
      <w:r>
        <w:rPr>
          <w:rStyle w:val="optioncarChar"/>
        </w:rPr>
        <w:t xml:space="preserve"> / minéraux / minéraux et végétaux / végétaux / ***</w:t>
      </w:r>
    </w:p>
    <w:p w14:paraId="7B206E3F" w14:textId="77777777" w:rsidR="00DF410E" w:rsidRDefault="00CE7F43">
      <w:pPr>
        <w:jc w:val="both"/>
      </w:pPr>
      <w:r>
        <w:t xml:space="preserve">Description des granulats : </w:t>
      </w:r>
      <w:r>
        <w:rPr>
          <w:rStyle w:val="optioncarChar"/>
        </w:rPr>
        <w:t>***</w:t>
      </w:r>
      <w:r>
        <w:t>.</w:t>
      </w:r>
    </w:p>
    <w:p w14:paraId="26325F26" w14:textId="77777777" w:rsidR="00DF410E" w:rsidRDefault="00CE7F43">
      <w:pPr>
        <w:jc w:val="both"/>
      </w:pPr>
      <w:r>
        <w:t xml:space="preserve">Stabilisation des briques : </w:t>
      </w:r>
      <w:r>
        <w:rPr>
          <w:rStyle w:val="optioncarChar"/>
        </w:rPr>
        <w:t xml:space="preserve">au ciment </w:t>
      </w:r>
      <w:r>
        <w:t>(par défaut)</w:t>
      </w:r>
      <w:r>
        <w:rPr>
          <w:rStyle w:val="optioncarChar"/>
        </w:rPr>
        <w:t xml:space="preserve"> / à la chaux / ***</w:t>
      </w:r>
    </w:p>
    <w:p w14:paraId="7578FCCF" w14:textId="77777777" w:rsidR="00DF410E" w:rsidRDefault="00CE7F43">
      <w:pPr>
        <w:jc w:val="both"/>
      </w:pPr>
      <w:r>
        <w:rPr>
          <w:b/>
        </w:rPr>
        <w:t xml:space="preserve"> (soit par défaut) </w:t>
      </w:r>
    </w:p>
    <w:p w14:paraId="3D878065" w14:textId="77777777" w:rsidR="00DF410E" w:rsidRDefault="00CE7F43">
      <w:pPr>
        <w:jc w:val="both"/>
      </w:pPr>
      <w:r>
        <w:rPr>
          <w:rStyle w:val="soitChar"/>
          <w:u w:val="single"/>
        </w:rPr>
        <w:t xml:space="preserve"> Stabilisation au ciment </w:t>
      </w:r>
      <w:r>
        <w:rPr>
          <w:rStyle w:val="soitChar"/>
        </w:rPr>
        <w:t>, dosage : min</w:t>
      </w:r>
      <w:r>
        <w:rPr>
          <w:rStyle w:val="optioncarChar"/>
        </w:rPr>
        <w:t xml:space="preserve"> ***</w:t>
      </w:r>
      <w:r>
        <w:rPr>
          <w:rStyle w:val="soitChar"/>
        </w:rPr>
        <w:t xml:space="preserve"> % de ciment</w:t>
      </w:r>
    </w:p>
    <w:p w14:paraId="12556B73" w14:textId="77777777" w:rsidR="00DF410E" w:rsidRDefault="00CE7F43">
      <w:pPr>
        <w:jc w:val="both"/>
      </w:pPr>
      <w:r>
        <w:rPr>
          <w:b/>
        </w:rPr>
        <w:t>(soit)</w:t>
      </w:r>
    </w:p>
    <w:p w14:paraId="7207DC90" w14:textId="77777777" w:rsidR="00DF410E" w:rsidRDefault="00CE7F43">
      <w:pPr>
        <w:jc w:val="both"/>
      </w:pPr>
      <w:r>
        <w:rPr>
          <w:rStyle w:val="soitChar"/>
          <w:u w:val="single"/>
        </w:rPr>
        <w:t xml:space="preserve"> Stabilisation à la chaux </w:t>
      </w:r>
      <w:r>
        <w:rPr>
          <w:rStyle w:val="soitChar"/>
        </w:rPr>
        <w:t xml:space="preserve">, dosage : min </w:t>
      </w:r>
      <w:r>
        <w:rPr>
          <w:rStyle w:val="optioncarChar"/>
        </w:rPr>
        <w:t>***</w:t>
      </w:r>
      <w:r>
        <w:rPr>
          <w:rStyle w:val="soitChar"/>
        </w:rPr>
        <w:t xml:space="preserve"> % de chaux</w:t>
      </w:r>
    </w:p>
    <w:p w14:paraId="32A56C96" w14:textId="77777777" w:rsidR="00DF410E" w:rsidRDefault="00CE7F43">
      <w:pPr>
        <w:jc w:val="both"/>
      </w:pPr>
      <w:r>
        <w:rPr>
          <w:b/>
        </w:rPr>
        <w:t>(soit)</w:t>
      </w:r>
    </w:p>
    <w:p w14:paraId="0F437C1B" w14:textId="77777777" w:rsidR="00DF410E" w:rsidRDefault="00CE7F43">
      <w:pPr>
        <w:jc w:val="both"/>
      </w:pPr>
      <w:r>
        <w:rPr>
          <w:rStyle w:val="optioncarChar"/>
        </w:rPr>
        <w:t>***</w:t>
      </w:r>
    </w:p>
    <w:p w14:paraId="2AFCC178" w14:textId="77777777" w:rsidR="00DF410E" w:rsidRDefault="00CE7F43">
      <w:pPr>
        <w:jc w:val="both"/>
      </w:pPr>
      <w:r>
        <w:t>Résistance à la compression [NBN EN 772-1+A1] </w:t>
      </w:r>
      <w:r>
        <w:rPr>
          <w:rStyle w:val="optioncarChar"/>
        </w:rPr>
        <w:t>moyenne </w:t>
      </w:r>
      <w:r>
        <w:t>(par défaut)</w:t>
      </w:r>
      <w:r>
        <w:rPr>
          <w:rStyle w:val="optioncarChar"/>
        </w:rPr>
        <w:t xml:space="preserve"> / normalisée (f</w:t>
      </w:r>
      <w:r>
        <w:rPr>
          <w:rStyle w:val="optioncarChar"/>
          <w:vertAlign w:val="subscript"/>
        </w:rPr>
        <w:t>b</w:t>
      </w:r>
      <w:r>
        <w:rPr>
          <w:rStyle w:val="optioncarChar"/>
        </w:rPr>
        <w:t>)</w:t>
      </w:r>
      <w:r>
        <w:t xml:space="preserve"> : ≥ </w:t>
      </w:r>
      <w:r>
        <w:rPr>
          <w:rStyle w:val="optioncarChar"/>
        </w:rPr>
        <w:t>***</w:t>
      </w:r>
      <w:r>
        <w:t xml:space="preserve"> N/mm²</w:t>
      </w:r>
    </w:p>
    <w:p w14:paraId="3D96F222" w14:textId="77777777" w:rsidR="00DF410E" w:rsidRDefault="00CE7F43">
      <w:pPr>
        <w:jc w:val="both"/>
      </w:pPr>
      <w:r>
        <w:t xml:space="preserve">Résistance à la compression à l’état humide (conservation 48h par immersion dans l’eau puis essai selon [NBN EN 772-1+A1]) : ≥ </w:t>
      </w:r>
      <w:r>
        <w:rPr>
          <w:rStyle w:val="optioncarChar"/>
        </w:rPr>
        <w:t>***</w:t>
      </w:r>
      <w:r>
        <w:t xml:space="preserve"> N/mm²</w:t>
      </w:r>
    </w:p>
    <w:p w14:paraId="62D3DE83" w14:textId="77777777" w:rsidR="00DF410E" w:rsidRDefault="00CE7F43">
      <w:pPr>
        <w:jc w:val="both"/>
      </w:pPr>
      <w:r>
        <w:t xml:space="preserve">Masse volumique apparente selon la [NBN EN 772-13] : </w:t>
      </w:r>
      <w:r>
        <w:rPr>
          <w:rStyle w:val="optioncarChar"/>
        </w:rPr>
        <w:t>***</w:t>
      </w:r>
      <w:r>
        <w:t xml:space="preserve"> kg / m³</w:t>
      </w:r>
    </w:p>
    <w:p w14:paraId="750C3176" w14:textId="77777777" w:rsidR="00DF410E" w:rsidRDefault="00CE7F43">
      <w:pPr>
        <w:jc w:val="both"/>
      </w:pPr>
      <w:r>
        <w:t xml:space="preserve">Teneur en humidité à la sortie d’usine : </w:t>
      </w:r>
      <w:r>
        <w:rPr>
          <w:rStyle w:val="optioncarChar"/>
        </w:rPr>
        <w:t xml:space="preserve">≤ *** %  </w:t>
      </w:r>
      <w:r>
        <w:t xml:space="preserve">(par défaut) </w:t>
      </w:r>
      <w:r>
        <w:rPr>
          <w:rStyle w:val="optioncarChar"/>
        </w:rPr>
        <w:t>/ non-spécifié</w:t>
      </w:r>
    </w:p>
    <w:p w14:paraId="6FD26EF4" w14:textId="77777777" w:rsidR="00DF410E" w:rsidRDefault="00CE7F43">
      <w:pPr>
        <w:jc w:val="both"/>
      </w:pPr>
      <w:r>
        <w:t xml:space="preserve">Absorption capillaire de la face de parement (à 10 min) selon [NBN EN 772-11] : </w:t>
      </w:r>
      <w:r>
        <w:rPr>
          <w:rStyle w:val="optioncarChar"/>
        </w:rPr>
        <w:t xml:space="preserve">≤ *** g/m²s </w:t>
      </w:r>
      <w:r>
        <w:t>(par défaut)</w:t>
      </w:r>
      <w:r>
        <w:rPr>
          <w:rStyle w:val="optioncarChar"/>
        </w:rPr>
        <w:t xml:space="preserve"> / non spécifié</w:t>
      </w:r>
    </w:p>
    <w:p w14:paraId="76F786D7" w14:textId="77777777" w:rsidR="00DF410E" w:rsidRDefault="00CE7F43">
      <w:pPr>
        <w:jc w:val="both"/>
      </w:pPr>
      <w:r>
        <w:t xml:space="preserve">Taux initial d’absorption d’eau de la face de pose (à 1 min) selon [NBN EN 772-11] : </w:t>
      </w:r>
      <w:r>
        <w:rPr>
          <w:rStyle w:val="optioncarChar"/>
        </w:rPr>
        <w:t xml:space="preserve">≤ *** kg/m²min </w:t>
      </w:r>
      <w:r>
        <w:t>(par défaut)</w:t>
      </w:r>
      <w:r>
        <w:rPr>
          <w:rStyle w:val="optioncarChar"/>
        </w:rPr>
        <w:t xml:space="preserve"> / non spécifié</w:t>
      </w:r>
    </w:p>
    <w:p w14:paraId="10FCDE38" w14:textId="77777777" w:rsidR="00DF410E" w:rsidRDefault="00CE7F43">
      <w:pPr>
        <w:jc w:val="both"/>
      </w:pPr>
      <w:r>
        <w:t xml:space="preserve">Amplitude des déformations hygrométriques (retrait – gonflement) selon [NBN EN 772-14] : </w:t>
      </w:r>
      <w:r>
        <w:rPr>
          <w:rStyle w:val="optioncarChar"/>
        </w:rPr>
        <w:t xml:space="preserve">≤ *** mm/m </w:t>
      </w:r>
      <w:r>
        <w:t>(par défaut)</w:t>
      </w:r>
      <w:r>
        <w:rPr>
          <w:rStyle w:val="optioncarChar"/>
        </w:rPr>
        <w:t xml:space="preserve"> / non spécifié</w:t>
      </w:r>
    </w:p>
    <w:p w14:paraId="4FE5C46A" w14:textId="77777777" w:rsidR="00DF410E" w:rsidRDefault="00CE7F43">
      <w:pPr>
        <w:jc w:val="both"/>
      </w:pPr>
      <w:r>
        <w:t xml:space="preserve"> Les éléments destinés à un usage extérieur ou en maçonnerie souterraine respectent le critère suivant en matière de comportement à l'humidité : retrait et gonflement hygrométriques ≤ 0,45 mm / m.</w:t>
      </w:r>
    </w:p>
    <w:p w14:paraId="3CACE795" w14:textId="77777777" w:rsidR="00DF410E" w:rsidRDefault="00CE7F43">
      <w:pPr>
        <w:jc w:val="both"/>
      </w:pPr>
      <w:r>
        <w:t xml:space="preserve">Valeur µ selon [NBN EN ISO 12572] : </w:t>
      </w:r>
      <w:r>
        <w:rPr>
          <w:rStyle w:val="optioncarChar"/>
        </w:rPr>
        <w:t>*** / non spécifié</w:t>
      </w:r>
    </w:p>
    <w:p w14:paraId="503D0722" w14:textId="77777777" w:rsidR="00DF410E" w:rsidRDefault="00CE7F43">
      <w:pPr>
        <w:jc w:val="both"/>
      </w:pPr>
      <w:r>
        <w:t xml:space="preserve">Résistance au gel selon [NBN B 15-231] : </w:t>
      </w:r>
      <w:r>
        <w:rPr>
          <w:rStyle w:val="optioncarChar"/>
        </w:rPr>
        <w:t xml:space="preserve">résistant </w:t>
      </w:r>
      <w:r>
        <w:t>(par défaut)</w:t>
      </w:r>
      <w:r>
        <w:rPr>
          <w:rStyle w:val="optioncarChar"/>
        </w:rPr>
        <w:t xml:space="preserve"> / non spécifié</w:t>
      </w:r>
    </w:p>
    <w:p w14:paraId="5047928B" w14:textId="77777777" w:rsidR="00DF410E" w:rsidRDefault="00CE7F43">
      <w:pPr>
        <w:jc w:val="both"/>
      </w:pPr>
      <w:r>
        <w:t>La conductibilité thermique λ</w:t>
      </w:r>
      <w:r>
        <w:rPr>
          <w:vertAlign w:val="subscript"/>
        </w:rPr>
        <w:t>D</w:t>
      </w:r>
      <w:r>
        <w:t xml:space="preserve"> est compatible avec la valeur U prescrite pour la paroi ; λ</w:t>
      </w:r>
      <w:r>
        <w:rPr>
          <w:vertAlign w:val="subscript"/>
        </w:rPr>
        <w:t>D</w:t>
      </w:r>
      <w:r>
        <w:t xml:space="preserve"> : ≤ </w:t>
      </w:r>
      <w:r>
        <w:rPr>
          <w:rStyle w:val="optioncarChar"/>
        </w:rPr>
        <w:t>***</w:t>
      </w:r>
      <w:r>
        <w:t xml:space="preserve"> W/mK.</w:t>
      </w:r>
    </w:p>
    <w:p w14:paraId="64CDCD9D" w14:textId="77777777" w:rsidR="00DF410E" w:rsidRDefault="00CE7F43">
      <w:pPr>
        <w:jc w:val="both"/>
      </w:pPr>
      <w:r>
        <w:t>Chaleur spécifique :</w:t>
      </w:r>
      <w:r>
        <w:rPr>
          <w:rStyle w:val="optioncarChar"/>
        </w:rPr>
        <w:t xml:space="preserve"> *** J/kg K </w:t>
      </w:r>
      <w:r>
        <w:t>(par défaut)</w:t>
      </w:r>
      <w:r>
        <w:rPr>
          <w:rStyle w:val="optioncarChar"/>
        </w:rPr>
        <w:t xml:space="preserve"> / non spécifié</w:t>
      </w:r>
    </w:p>
    <w:p w14:paraId="4655E82F" w14:textId="77777777" w:rsidR="00DF410E" w:rsidRDefault="00CE7F43">
      <w:pPr>
        <w:jc w:val="both"/>
      </w:pPr>
      <w:r>
        <w:t xml:space="preserve">Réaction au feu : </w:t>
      </w:r>
      <w:r>
        <w:rPr>
          <w:rStyle w:val="optioncarChar"/>
        </w:rPr>
        <w:t>***</w:t>
      </w:r>
    </w:p>
    <w:p w14:paraId="68B93F58" w14:textId="77777777" w:rsidR="00DF410E" w:rsidRDefault="00CE7F43">
      <w:pPr>
        <w:jc w:val="both"/>
      </w:pPr>
      <w:r>
        <w:t xml:space="preserve">Emission de COV : </w:t>
      </w:r>
      <w:r>
        <w:rPr>
          <w:rStyle w:val="optioncarChar"/>
        </w:rPr>
        <w:t xml:space="preserve">≤ *** </w:t>
      </w:r>
      <w:r>
        <w:t>(par défaut)</w:t>
      </w:r>
      <w:r>
        <w:rPr>
          <w:rStyle w:val="optioncarChar"/>
        </w:rPr>
        <w:t xml:space="preserve"> / non spécifié</w:t>
      </w:r>
    </w:p>
    <w:p w14:paraId="25BFFEDE" w14:textId="77777777" w:rsidR="00DF410E" w:rsidRDefault="00DF410E"/>
    <w:p w14:paraId="51A153B4" w14:textId="77777777" w:rsidR="00DF410E" w:rsidRDefault="00CE7F43">
      <w:pPr>
        <w:jc w:val="both"/>
      </w:pPr>
      <w:r>
        <w:rPr>
          <w:b/>
        </w:rPr>
        <w:t>Mortier</w:t>
      </w:r>
    </w:p>
    <w:p w14:paraId="3514FE0D" w14:textId="77777777" w:rsidR="00DF410E" w:rsidRDefault="00CE7F43">
      <w:pPr>
        <w:jc w:val="both"/>
      </w:pPr>
      <w:r>
        <w:t xml:space="preserve">Type : </w:t>
      </w:r>
      <w:r>
        <w:rPr>
          <w:rStyle w:val="optioncarChar"/>
        </w:rPr>
        <w:t>mortier en terre crue </w:t>
      </w:r>
      <w:r>
        <w:t xml:space="preserve">(par défaut) </w:t>
      </w:r>
      <w:r>
        <w:rPr>
          <w:rStyle w:val="optioncarChar"/>
        </w:rPr>
        <w:t>/ mortier en terre crue stabilisée au ciment / mortier en terre crue stabilisée à la chaux / mortier à la chaux hydraulique.</w:t>
      </w:r>
    </w:p>
    <w:p w14:paraId="01631484" w14:textId="77777777" w:rsidR="00DF410E" w:rsidRDefault="00CE7F43">
      <w:pPr>
        <w:jc w:val="both"/>
      </w:pPr>
      <w:r>
        <w:t xml:space="preserve">Masse volumique apparente selon [NBN EN 1015-10] : </w:t>
      </w:r>
      <w:r>
        <w:rPr>
          <w:rStyle w:val="optioncarChar"/>
        </w:rPr>
        <w:t>***</w:t>
      </w:r>
      <w:r>
        <w:t xml:space="preserve"> kg/m³</w:t>
      </w:r>
    </w:p>
    <w:p w14:paraId="5116AC9F" w14:textId="77777777" w:rsidR="00DF410E" w:rsidRDefault="00CE7F43">
      <w:pPr>
        <w:jc w:val="both"/>
      </w:pPr>
      <w:r>
        <w:t xml:space="preserve">Résistance en compression selon [NBN EN 1015-11] : ≥ </w:t>
      </w:r>
      <w:r>
        <w:rPr>
          <w:rStyle w:val="optioncarChar"/>
        </w:rPr>
        <w:t>***</w:t>
      </w:r>
      <w:r>
        <w:t xml:space="preserve"> N/mm²</w:t>
      </w:r>
    </w:p>
    <w:p w14:paraId="6DE93118" w14:textId="77777777" w:rsidR="00DF410E" w:rsidRDefault="00CE7F43">
      <w:pPr>
        <w:jc w:val="both"/>
      </w:pPr>
      <w:r>
        <w:t>Absorption d’eau selon [NBN EN 1015-18]:</w:t>
      </w:r>
      <w:r>
        <w:rPr>
          <w:rStyle w:val="optioncarChar"/>
        </w:rPr>
        <w:t xml:space="preserve"> ***</w:t>
      </w:r>
      <w:r>
        <w:t xml:space="preserve"> kg/m²</w:t>
      </w:r>
    </w:p>
    <w:p w14:paraId="260D4927" w14:textId="77777777" w:rsidR="00DF410E" w:rsidRDefault="00CE7F43">
      <w:pPr>
        <w:jc w:val="both"/>
      </w:pPr>
      <w:r>
        <w:t xml:space="preserve">Adhérence : voir </w:t>
      </w:r>
      <w:r>
        <w:rPr>
          <w:i/>
        </w:rPr>
        <w:t>‘Maçonnerie – résistance initiale au cisaillement’</w:t>
      </w:r>
      <w:r>
        <w:t xml:space="preserve"> ci-dessous.</w:t>
      </w:r>
    </w:p>
    <w:p w14:paraId="66BC1224" w14:textId="77777777" w:rsidR="00DF410E" w:rsidRDefault="00CE7F43">
      <w:pPr>
        <w:jc w:val="both"/>
      </w:pPr>
      <w:r>
        <w:t xml:space="preserve">Epaisseur des joints : </w:t>
      </w:r>
      <w:r>
        <w:rPr>
          <w:rStyle w:val="optioncarChar"/>
        </w:rPr>
        <w:t xml:space="preserve">12 </w:t>
      </w:r>
      <w:r>
        <w:t>(par défaut)</w:t>
      </w:r>
      <w:r>
        <w:rPr>
          <w:rStyle w:val="optioncarChar"/>
        </w:rPr>
        <w:t xml:space="preserve"> / ***</w:t>
      </w:r>
      <w:r>
        <w:t xml:space="preserve"> mm.</w:t>
      </w:r>
    </w:p>
    <w:p w14:paraId="5810D907" w14:textId="77777777" w:rsidR="00DF410E" w:rsidRDefault="00CE7F43">
      <w:pPr>
        <w:jc w:val="both"/>
      </w:pPr>
      <w:r>
        <w:t xml:space="preserve">Réaction au feu : </w:t>
      </w:r>
      <w:r>
        <w:rPr>
          <w:rStyle w:val="optioncarChar"/>
        </w:rPr>
        <w:t>***</w:t>
      </w:r>
    </w:p>
    <w:p w14:paraId="1962B53E" w14:textId="77777777" w:rsidR="00DF410E" w:rsidRDefault="00CE7F43">
      <w:pPr>
        <w:jc w:val="both"/>
      </w:pPr>
      <w:r>
        <w:t xml:space="preserve">Emission de COV : </w:t>
      </w:r>
      <w:r>
        <w:rPr>
          <w:rStyle w:val="optioncarChar"/>
        </w:rPr>
        <w:t>≤ *** / non spécifié</w:t>
      </w:r>
    </w:p>
    <w:p w14:paraId="7ACFBAE0" w14:textId="77777777" w:rsidR="00DF410E" w:rsidRDefault="00DF410E"/>
    <w:p w14:paraId="0E411BCA" w14:textId="77777777" w:rsidR="00DF410E" w:rsidRDefault="00CE7F43">
      <w:pPr>
        <w:jc w:val="both"/>
      </w:pPr>
      <w:r>
        <w:rPr>
          <w:rStyle w:val="headingChar"/>
        </w:rPr>
        <w:t>Critères De Performances De La Paroi</w:t>
      </w:r>
    </w:p>
    <w:p w14:paraId="72D3C3F6" w14:textId="77777777" w:rsidR="00DF410E" w:rsidRDefault="00DF410E">
      <w:pPr>
        <w:jc w:val="both"/>
      </w:pPr>
    </w:p>
    <w:p w14:paraId="41119B52" w14:textId="77777777" w:rsidR="00DF410E" w:rsidRDefault="00CE7F43">
      <w:pPr>
        <w:jc w:val="both"/>
      </w:pPr>
      <w:r>
        <w:t>Résistance à la compression f</w:t>
      </w:r>
      <w:r>
        <w:rPr>
          <w:vertAlign w:val="subscript"/>
        </w:rPr>
        <w:t>k</w:t>
      </w:r>
      <w:r>
        <w:t xml:space="preserve"> selon la [NBN EN 1052-1] : ≥ </w:t>
      </w:r>
      <w:r>
        <w:rPr>
          <w:rStyle w:val="optioncarChar"/>
        </w:rPr>
        <w:t>***</w:t>
      </w:r>
      <w:r>
        <w:t xml:space="preserve"> N/mm²</w:t>
      </w:r>
    </w:p>
    <w:p w14:paraId="5B806271" w14:textId="77777777" w:rsidR="00DF410E" w:rsidRDefault="00CE7F43">
      <w:pPr>
        <w:jc w:val="both"/>
      </w:pPr>
      <w:r>
        <w:t xml:space="preserve">Module de Young E selon [NBN EN 1052-1] : </w:t>
      </w:r>
      <w:r>
        <w:rPr>
          <w:rStyle w:val="optioncarChar"/>
        </w:rPr>
        <w:t>***</w:t>
      </w:r>
      <w:r>
        <w:t xml:space="preserve"> N/mm²</w:t>
      </w:r>
    </w:p>
    <w:p w14:paraId="674D7818" w14:textId="77777777" w:rsidR="00DF410E" w:rsidRDefault="00CE7F43">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xml:space="preserve"> : ≥ </w:t>
      </w:r>
      <w:r>
        <w:rPr>
          <w:rStyle w:val="optioncarChar"/>
        </w:rPr>
        <w:t>***</w:t>
      </w:r>
      <w:r>
        <w:t xml:space="preserve"> N/mm²</w:t>
      </w:r>
    </w:p>
    <w:p w14:paraId="220511E7" w14:textId="77777777" w:rsidR="00DF410E" w:rsidRDefault="00CE7F43">
      <w:pPr>
        <w:jc w:val="both"/>
      </w:pPr>
      <w:r>
        <w:t>Résistance initiale au cisaillement f</w:t>
      </w:r>
      <w:r>
        <w:rPr>
          <w:vertAlign w:val="subscript"/>
        </w:rPr>
        <w:t>vk0</w:t>
      </w:r>
      <w:r>
        <w:t xml:space="preserve"> selon la [NBN EN 1052-3] : ≥ </w:t>
      </w:r>
      <w:r>
        <w:rPr>
          <w:rStyle w:val="optioncarChar"/>
        </w:rPr>
        <w:t>***</w:t>
      </w:r>
      <w:r>
        <w:t xml:space="preserve"> N/mm²</w:t>
      </w:r>
    </w:p>
    <w:p w14:paraId="378C94F3" w14:textId="77777777" w:rsidR="00DF410E" w:rsidRDefault="00CE7F43">
      <w:pPr>
        <w:jc w:val="both"/>
      </w:pPr>
      <w:r>
        <w:t xml:space="preserve">Autres éventuelles exigences de résistances mécaniques (compression excentrée, fluage) : </w:t>
      </w:r>
      <w:r>
        <w:rPr>
          <w:rStyle w:val="optioncarChar"/>
        </w:rPr>
        <w:t>***.</w:t>
      </w:r>
    </w:p>
    <w:p w14:paraId="273AF370" w14:textId="77777777" w:rsidR="00DF410E" w:rsidRDefault="00CE7F43">
      <w:pPr>
        <w:jc w:val="both"/>
      </w:pPr>
      <w:r>
        <w:t>Valeur λ</w:t>
      </w:r>
      <w:r>
        <w:rPr>
          <w:vertAlign w:val="subscript"/>
        </w:rPr>
        <w:t>Ui</w:t>
      </w:r>
      <w:r>
        <w:t xml:space="preserve"> ou λ</w:t>
      </w:r>
      <w:r>
        <w:rPr>
          <w:vertAlign w:val="subscript"/>
        </w:rPr>
        <w:t>Ue</w:t>
      </w:r>
      <w:r>
        <w:t> : ≤</w:t>
      </w:r>
      <w:r>
        <w:rPr>
          <w:rStyle w:val="optioncarChar"/>
        </w:rPr>
        <w:t xml:space="preserve"> ***</w:t>
      </w:r>
      <w:r>
        <w:t xml:space="preserve"> W/mK (suivant l’application).</w:t>
      </w:r>
    </w:p>
    <w:p w14:paraId="1B99DC44" w14:textId="77777777" w:rsidR="00DF410E" w:rsidRDefault="00CE7F43">
      <w:pPr>
        <w:jc w:val="both"/>
      </w:pPr>
      <w:r>
        <w:t>Résistance au feu ([NBN EN 13501-2], [NBN EN 1365-1]):</w:t>
      </w:r>
    </w:p>
    <w:p w14:paraId="78A3E89A" w14:textId="77777777" w:rsidR="00DF410E" w:rsidRDefault="00CE7F43">
      <w:pPr>
        <w:pStyle w:val="Author-eListParagraph"/>
        <w:numPr>
          <w:ilvl w:val="0"/>
          <w:numId w:val="55"/>
        </w:numPr>
      </w:pPr>
      <w:r>
        <w:t>pour les éléments porteurs structurels sans fonction séparante :</w:t>
      </w:r>
      <w:r>
        <w:rPr>
          <w:rStyle w:val="optioncarChar"/>
        </w:rPr>
        <w:t xml:space="preserve"> R15 / R30 </w:t>
      </w:r>
      <w:r>
        <w:t>(par défaut)</w:t>
      </w:r>
      <w:r>
        <w:rPr>
          <w:rStyle w:val="optioncarChar"/>
        </w:rPr>
        <w:t xml:space="preserve"> / R60 / R90 / R120 / ***</w:t>
      </w:r>
    </w:p>
    <w:p w14:paraId="431F5C39" w14:textId="77777777" w:rsidR="00DF410E" w:rsidRDefault="00CE7F43">
      <w:pPr>
        <w:pStyle w:val="Author-eListParagraph"/>
        <w:numPr>
          <w:ilvl w:val="0"/>
          <w:numId w:val="55"/>
        </w:numPr>
      </w:pPr>
      <w:r>
        <w:t xml:space="preserve">pour les éléments porteurs structurels avec fonction séparante : </w:t>
      </w:r>
      <w:r>
        <w:rPr>
          <w:rStyle w:val="optioncarChar"/>
        </w:rPr>
        <w:t>REI30</w:t>
      </w:r>
      <w:r>
        <w:t> (par défaut)</w:t>
      </w:r>
      <w:r>
        <w:rPr>
          <w:rStyle w:val="optioncarChar"/>
        </w:rPr>
        <w:t xml:space="preserve"> / REI60 / REI90 / REI120 / ***</w:t>
      </w:r>
    </w:p>
    <w:p w14:paraId="2521CF59" w14:textId="77777777" w:rsidR="00DF410E" w:rsidRDefault="00CE7F43">
      <w:pPr>
        <w:pStyle w:val="pheading"/>
      </w:pPr>
      <w:r>
        <w:t>- Finitions</w:t>
      </w:r>
    </w:p>
    <w:p w14:paraId="1D1C5E9A" w14:textId="77777777" w:rsidR="00DF410E" w:rsidRDefault="00CE7F43">
      <w:pPr>
        <w:jc w:val="both"/>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w:t>
      </w:r>
      <w:r>
        <w:rPr>
          <w:rStyle w:val="optioncarChar"/>
        </w:rPr>
        <w:t>***</w:t>
      </w:r>
    </w:p>
    <w:p w14:paraId="6466088B" w14:textId="77777777" w:rsidR="00DF410E" w:rsidRDefault="00CE7F43">
      <w:pPr>
        <w:jc w:val="both"/>
      </w:pPr>
      <w:r>
        <w:t xml:space="preserve">Les murs suivants sont exécutés avec deux faces restant apparentes : </w:t>
      </w:r>
      <w:r>
        <w:rPr>
          <w:rStyle w:val="optioncarChar"/>
        </w:rPr>
        <w:t>***</w:t>
      </w:r>
    </w:p>
    <w:p w14:paraId="3962AB17" w14:textId="77777777" w:rsidR="00DF410E" w:rsidRDefault="00CE7F43">
      <w:pPr>
        <w:jc w:val="both"/>
      </w:pPr>
      <w:r>
        <w:t xml:space="preserve">Couleur des joints : </w:t>
      </w:r>
      <w:r>
        <w:rPr>
          <w:rStyle w:val="optioncarChar"/>
        </w:rPr>
        <w:t xml:space="preserve">couleur approchant celle des briques </w:t>
      </w:r>
      <w:r>
        <w:t xml:space="preserve">(par défaut) </w:t>
      </w:r>
      <w:r>
        <w:rPr>
          <w:rStyle w:val="optioncarChar"/>
        </w:rPr>
        <w:t>/ ***</w:t>
      </w:r>
    </w:p>
    <w:p w14:paraId="194A6F18" w14:textId="77777777" w:rsidR="00DF410E" w:rsidRDefault="00CE7F43">
      <w:pPr>
        <w:jc w:val="both"/>
      </w:pPr>
      <w:r>
        <w:t>Type de joints :</w:t>
      </w:r>
      <w:r>
        <w:rPr>
          <w:rStyle w:val="optioncarChar"/>
        </w:rPr>
        <w:t xml:space="preserve"> joint creux</w:t>
      </w:r>
      <w:r>
        <w:t xml:space="preserve"> (par défaut) </w:t>
      </w:r>
      <w:r>
        <w:rPr>
          <w:rStyle w:val="optioncarChar"/>
        </w:rPr>
        <w:t>/ joint creux en retrait / joint plat / joint plat en retrait / joint biais en retrait / ***</w:t>
      </w:r>
    </w:p>
    <w:p w14:paraId="5794A81C" w14:textId="77777777" w:rsidR="00DF410E" w:rsidRDefault="00CE7F43">
      <w:pPr>
        <w:jc w:val="both"/>
      </w:pPr>
      <w:r>
        <w:t>Finition des joints :</w:t>
      </w:r>
      <w:r>
        <w:rPr>
          <w:rStyle w:val="optioncarChar"/>
        </w:rPr>
        <w:t xml:space="preserve"> joint brossé </w:t>
      </w:r>
      <w:r>
        <w:t>(par défaut)</w:t>
      </w:r>
      <w:r>
        <w:rPr>
          <w:rStyle w:val="optioncarChar"/>
        </w:rPr>
        <w:t xml:space="preserve"> / finition lisse / joint frappé à la brosse dure / ***</w:t>
      </w:r>
    </w:p>
    <w:p w14:paraId="7D022371" w14:textId="77777777" w:rsidR="00DF410E" w:rsidRDefault="00DF410E"/>
    <w:p w14:paraId="5616AE1F" w14:textId="77777777" w:rsidR="00DF410E" w:rsidRDefault="00CE7F43">
      <w:r>
        <w:t> </w:t>
      </w:r>
    </w:p>
    <w:p w14:paraId="3F22AFB5" w14:textId="77777777" w:rsidR="00DF410E" w:rsidRDefault="00CE7F43">
      <w:pPr>
        <w:pStyle w:val="pheading"/>
      </w:pPr>
      <w:r>
        <w:t>EXÉCUTION / MISE EN ŒUVRE</w:t>
      </w:r>
    </w:p>
    <w:p w14:paraId="30BB816E" w14:textId="77777777" w:rsidR="00DF410E" w:rsidRDefault="00CE7F43">
      <w:pPr>
        <w:pStyle w:val="pheading"/>
      </w:pPr>
      <w:r>
        <w:t>- Prescriptions générales</w:t>
      </w:r>
    </w:p>
    <w:p w14:paraId="2461282A" w14:textId="77777777" w:rsidR="00DF410E" w:rsidRDefault="00CE7F43">
      <w:pPr>
        <w:jc w:val="both"/>
      </w:pPr>
      <w:r>
        <w:t xml:space="preserve">La maçonnerie est exécutée en appareillage </w:t>
      </w:r>
      <w:r>
        <w:rPr>
          <w:rStyle w:val="optioncarChar"/>
        </w:rPr>
        <w:t xml:space="preserve">voir plans </w:t>
      </w:r>
      <w:r>
        <w:t>(par défaut)</w:t>
      </w:r>
      <w:r>
        <w:rPr>
          <w:rStyle w:val="optioncarChar"/>
        </w:rPr>
        <w:t xml:space="preserve"> / d’une demi-brique / ***.</w:t>
      </w:r>
    </w:p>
    <w:p w14:paraId="3E4E8682" w14:textId="77777777" w:rsidR="00DF410E" w:rsidRDefault="00CE7F43">
      <w:pPr>
        <w:jc w:val="both"/>
      </w:pPr>
      <w:r>
        <w:t xml:space="preserve">Linteaux : </w:t>
      </w:r>
      <w:r>
        <w:rPr>
          <w:rStyle w:val="optioncarChar"/>
        </w:rPr>
        <w:t>***</w:t>
      </w:r>
      <w:r>
        <w:t>.</w:t>
      </w:r>
    </w:p>
    <w:p w14:paraId="658B0C5B" w14:textId="77777777" w:rsidR="00DF410E" w:rsidRDefault="00CE7F43">
      <w:pPr>
        <w:pStyle w:val="pheading"/>
      </w:pPr>
      <w:r>
        <w:t>- Notes d’exécution complémentaires</w:t>
      </w:r>
    </w:p>
    <w:p w14:paraId="2265E4D0" w14:textId="77777777" w:rsidR="00DF410E" w:rsidRDefault="00CE7F43">
      <w:pPr>
        <w:jc w:val="both"/>
      </w:pPr>
      <w:r>
        <w:rPr>
          <w:rStyle w:val="facultChar"/>
        </w:rPr>
        <w:t xml:space="preserve">Armatures horizontales : selon l'élément </w:t>
      </w:r>
      <w:hyperlink w:anchor="355" w:history="1">
        <w:r>
          <w:rPr>
            <w:rStyle w:val="facultChar"/>
          </w:rPr>
          <w:t>21.41.1 Armatures horizontales pour maçonneries</w:t>
        </w:r>
      </w:hyperlink>
      <w:r>
        <w:rPr>
          <w:rStyle w:val="facultChar"/>
        </w:rPr>
        <w:t>.</w:t>
      </w:r>
    </w:p>
    <w:p w14:paraId="3A07CCAA" w14:textId="77777777" w:rsidR="00DF410E" w:rsidRDefault="00CE7F43">
      <w:pPr>
        <w:jc w:val="both"/>
      </w:pPr>
      <w:r>
        <w:rPr>
          <w:rStyle w:val="facultChar"/>
        </w:rPr>
        <w:t xml:space="preserve">Ancrages : selon l'élément </w:t>
      </w:r>
      <w:hyperlink w:anchor="362" w:history="1">
        <w:r>
          <w:rPr>
            <w:rStyle w:val="facultChar"/>
          </w:rPr>
          <w:t>21.42 Ancrages et fixations de maçonneries</w:t>
        </w:r>
      </w:hyperlink>
    </w:p>
    <w:p w14:paraId="58436C13" w14:textId="77777777" w:rsidR="00DF410E" w:rsidRDefault="00CE7F43">
      <w:pPr>
        <w:jc w:val="both"/>
      </w:pPr>
      <w:r>
        <w:rPr>
          <w:rStyle w:val="facultChar"/>
        </w:rPr>
        <w:t xml:space="preserve">Briques spéciales : </w:t>
      </w:r>
      <w:r>
        <w:rPr>
          <w:rStyle w:val="optioncarChar"/>
        </w:rPr>
        <w:t>*** </w:t>
      </w:r>
    </w:p>
    <w:p w14:paraId="2D95F855" w14:textId="77777777" w:rsidR="00DF410E" w:rsidRDefault="00CE7F43">
      <w:pPr>
        <w:jc w:val="both"/>
      </w:pPr>
      <w:r>
        <w:rPr>
          <w:rStyle w:val="facultChar"/>
        </w:rPr>
        <w:t xml:space="preserve">Étanchéité : </w:t>
      </w:r>
      <w:r>
        <w:rPr>
          <w:rStyle w:val="optioncarChar"/>
        </w:rPr>
        <w:t>***</w:t>
      </w:r>
    </w:p>
    <w:p w14:paraId="6D64B024" w14:textId="77777777" w:rsidR="00DF410E" w:rsidRDefault="00CE7F43">
      <w:pPr>
        <w:jc w:val="both"/>
      </w:pPr>
      <w:r>
        <w:rPr>
          <w:rStyle w:val="facultChar"/>
        </w:rPr>
        <w:t xml:space="preserve">Joints de dilatation : </w:t>
      </w:r>
      <w:r>
        <w:rPr>
          <w:rStyle w:val="optioncarChar"/>
        </w:rPr>
        <w:t>***</w:t>
      </w:r>
    </w:p>
    <w:p w14:paraId="4AC6380F" w14:textId="77777777" w:rsidR="00DF410E" w:rsidRDefault="00CE7F43">
      <w:pPr>
        <w:pStyle w:val="pheading"/>
      </w:pPr>
      <w:r>
        <w:t>- Échantillons</w:t>
      </w:r>
    </w:p>
    <w:p w14:paraId="31616F57" w14:textId="77777777" w:rsidR="00DF410E" w:rsidRDefault="00CE7F43">
      <w:pPr>
        <w:jc w:val="both"/>
      </w:pPr>
      <w:r>
        <w:t>L’entrepreneur soumet un échantillon de briques.</w:t>
      </w:r>
    </w:p>
    <w:p w14:paraId="01F938EC" w14:textId="77777777" w:rsidR="00DF410E" w:rsidRDefault="00CE7F43">
      <w:pPr>
        <w:jc w:val="both"/>
      </w:pPr>
      <w:r>
        <w:t>En vue du choix définitif des briques, un ou plusieurs échantillons d'environ 1 m² sont maçonnés à la demande de l'auteur de projet; les frais inhérents à la construction et à la démolition de ces murs sont à charge de l'entrepreneur.</w:t>
      </w:r>
    </w:p>
    <w:p w14:paraId="510960D1" w14:textId="77777777" w:rsidR="00DF410E" w:rsidRDefault="00CE7F43">
      <w:pPr>
        <w:pStyle w:val="pheading"/>
      </w:pPr>
      <w:r>
        <w:t>DOCUMENTS DE RÉFÉRENCE COMPLÉMENTAIRES</w:t>
      </w:r>
    </w:p>
    <w:p w14:paraId="6FD41CC6" w14:textId="77777777" w:rsidR="00DF410E" w:rsidRDefault="00CE7F43">
      <w:pPr>
        <w:pStyle w:val="pheading"/>
      </w:pPr>
      <w:r>
        <w:t>- Matériau</w:t>
      </w:r>
    </w:p>
    <w:p w14:paraId="3760C986" w14:textId="77777777" w:rsidR="00DF410E" w:rsidRDefault="00CE7F43">
      <w:r>
        <w:t>[PTV 21-001, Eléments de maçonnerie en béton (granulats courants et légers) - Classification et spécifications d'application]</w:t>
      </w:r>
    </w:p>
    <w:p w14:paraId="171FDB3F" w14:textId="77777777" w:rsidR="00DF410E" w:rsidRDefault="00CE7F43">
      <w:r>
        <w:t>[NBN EN 772-1+A1, Méthodes d'essai des éléments de maçonnerie - Partie 1: Détermination de la résistance à la compression]</w:t>
      </w:r>
    </w:p>
    <w:p w14:paraId="3C2AB0E4" w14:textId="77777777" w:rsidR="00DF410E" w:rsidRDefault="00CE7F43">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4CD0ECB9" w14:textId="77777777" w:rsidR="00DF410E" w:rsidRDefault="00CE7F43">
      <w:r>
        <w:t>[NBN EN 772-13, Méthodes d'essai des éléments de maçonnerie - Partie 13: Détermination de la masse volumique absolue sèche et de la masse volumique apparente sèche des éléments de maçonnerie (excepté les pierres naturelles)]</w:t>
      </w:r>
    </w:p>
    <w:p w14:paraId="06166381" w14:textId="77777777" w:rsidR="00DF410E" w:rsidRDefault="00CE7F43">
      <w:r>
        <w:t>[NBN EN 772-14, Méthode d'essai pour des éléments de maçonnerie - Partie 14 : Détermination de la variation due à l'humidité des éléments de maçonnerie en béton de granulats et en pierre reconstituée]</w:t>
      </w:r>
    </w:p>
    <w:p w14:paraId="23F40DBA" w14:textId="77777777" w:rsidR="00DF410E" w:rsidRDefault="00CE7F43">
      <w:r>
        <w:t>[NBN EN ISO 12572, Performance hygrothermique des matériaux et produits pour le bâtiment - Détermination des propriétés de transmission de la vapeur d'eau - Méthode de la coupelle (ISO 12572:2016)]</w:t>
      </w:r>
    </w:p>
    <w:p w14:paraId="64BF6572" w14:textId="77777777" w:rsidR="00DF410E" w:rsidRDefault="00CE7F43">
      <w:r>
        <w:t>[NBN B 15-231, Essais des bétons - Gélivité]</w:t>
      </w:r>
    </w:p>
    <w:p w14:paraId="1DA3AE31" w14:textId="77777777" w:rsidR="00DF410E" w:rsidRDefault="00CE7F43">
      <w:r>
        <w:t>[NBN EN 1015-10, Méthodes d'essai des mortiers pour la maçonnerie - Partie 10: Détermination de la masse volumique apparente sèche du mortier durci]</w:t>
      </w:r>
    </w:p>
    <w:p w14:paraId="2B5E573B" w14:textId="77777777" w:rsidR="00DF410E" w:rsidRDefault="00CE7F43">
      <w:r>
        <w:t>[NBN EN 1015-11, Méthodes d'essai des mortiers pour maçonnerie - Détermination de la résistance à la flexion et à la compression du mortier durci]</w:t>
      </w:r>
    </w:p>
    <w:p w14:paraId="5D454C92" w14:textId="77777777" w:rsidR="00DF410E" w:rsidRDefault="00CE7F43">
      <w:r>
        <w:t>[NBN EN 1015-18, Méthodes d'essai des mortiers pour maçonnerie - Partie 18: Détermination du coefficient d'absorption d'eau par capillarité du mortier durci]</w:t>
      </w:r>
    </w:p>
    <w:p w14:paraId="46976A96" w14:textId="77777777" w:rsidR="00DF410E" w:rsidRDefault="00CE7F43">
      <w:r>
        <w:t>[NBN EN 1052-1, Méthodes d'essai de la maçonnerie - Partie 1: Détermination de la résistance à la compression]</w:t>
      </w:r>
    </w:p>
    <w:p w14:paraId="39E0C566" w14:textId="77777777" w:rsidR="00DF410E" w:rsidRDefault="00CE7F43">
      <w:r>
        <w:t>[NBN EN 1052-2, Méthodes d'essai de la maçonnerie - Partie 2: Détermination de la résistance à la flexion (Corrected version - 2017-03-22)]</w:t>
      </w:r>
    </w:p>
    <w:p w14:paraId="7F01A9C6" w14:textId="77777777" w:rsidR="00DF410E" w:rsidRDefault="00CE7F43">
      <w:r>
        <w:t>[NBN EN 1052-3, Méthodes d'essai de la maçonnerie - Partie 3: Détermination de la résistance initiale au cisaillement]</w:t>
      </w:r>
    </w:p>
    <w:p w14:paraId="7DDB1B52"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59B40582" w14:textId="77777777" w:rsidR="00DF410E" w:rsidRDefault="00CE7F43">
      <w:r>
        <w:t>[NBN EN 1365-1, Essais de résistance au feu des éléments porteurs - Partie 1: Murs (+ AC:2013)]</w:t>
      </w:r>
    </w:p>
    <w:p w14:paraId="6A443BA5" w14:textId="77777777" w:rsidR="00DF410E" w:rsidRDefault="00CE7F43">
      <w:r>
        <w:t>[DIN 18945, Earth blocks - Requirements, test and labelling]</w:t>
      </w:r>
    </w:p>
    <w:p w14:paraId="56B1069A" w14:textId="77777777" w:rsidR="00DF410E" w:rsidRDefault="00CE7F43">
      <w:r>
        <w:t>[DIN 18946, Earth masonry mortar - Requirements, test and labelling]</w:t>
      </w:r>
    </w:p>
    <w:p w14:paraId="60571DBB" w14:textId="77777777" w:rsidR="00DF410E" w:rsidRDefault="00CE7F43">
      <w:pPr>
        <w:pStyle w:val="pheading"/>
      </w:pPr>
      <w:r>
        <w:t>MESURAGE</w:t>
      </w:r>
    </w:p>
    <w:p w14:paraId="091C7C55" w14:textId="77777777" w:rsidR="00DF410E" w:rsidRDefault="00CE7F43">
      <w:pPr>
        <w:pStyle w:val="pheading"/>
      </w:pPr>
      <w:r>
        <w:t>- unité de mesure:</w:t>
      </w:r>
    </w:p>
    <w:p w14:paraId="24DA83D9" w14:textId="77777777" w:rsidR="00DF410E" w:rsidRDefault="00CE7F43">
      <w:r>
        <w:rPr>
          <w:rStyle w:val="optioncarChar"/>
        </w:rPr>
        <w:t>m³ </w:t>
      </w:r>
      <w:r>
        <w:t>(par défaut)</w:t>
      </w:r>
      <w:r>
        <w:rPr>
          <w:rStyle w:val="optioncarChar"/>
        </w:rPr>
        <w:t> / m²</w:t>
      </w:r>
    </w:p>
    <w:p w14:paraId="6E00F3CC" w14:textId="77777777" w:rsidR="00DF410E" w:rsidRDefault="00CE7F43">
      <w:r>
        <w:rPr>
          <w:b/>
        </w:rPr>
        <w:t>(soit par défaut)</w:t>
      </w:r>
    </w:p>
    <w:p w14:paraId="3595BC64" w14:textId="77777777" w:rsidR="00DF410E" w:rsidRDefault="00CE7F43">
      <w:r>
        <w:rPr>
          <w:rStyle w:val="soitChar"/>
        </w:rPr>
        <w:t>1. m³</w:t>
      </w:r>
    </w:p>
    <w:p w14:paraId="4C6915BB" w14:textId="77777777" w:rsidR="00DF410E" w:rsidRDefault="00CE7F43">
      <w:r>
        <w:rPr>
          <w:b/>
        </w:rPr>
        <w:t>(soit)</w:t>
      </w:r>
    </w:p>
    <w:p w14:paraId="767372C2" w14:textId="77777777" w:rsidR="00DF410E" w:rsidRDefault="00CE7F43">
      <w:r>
        <w:rPr>
          <w:rStyle w:val="soitChar"/>
        </w:rPr>
        <w:t>2. m²</w:t>
      </w:r>
    </w:p>
    <w:p w14:paraId="460675C9" w14:textId="77777777" w:rsidR="00DF410E" w:rsidRDefault="00CE7F43">
      <w:pPr>
        <w:pStyle w:val="pheading"/>
      </w:pPr>
      <w:r>
        <w:t>- code de mesurage:</w:t>
      </w:r>
    </w:p>
    <w:p w14:paraId="00E17CDC"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57FB96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FF9323C"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6091079" w14:textId="77777777" w:rsidR="00DF410E" w:rsidRDefault="00CE7F43">
      <w:r>
        <w:br/>
      </w:r>
      <w:r>
        <w:rPr>
          <w:rStyle w:val="optioncarChar"/>
        </w:rPr>
        <w:t>Volume net </w:t>
      </w:r>
      <w:r>
        <w:t>(par défaut)</w:t>
      </w:r>
      <w:r>
        <w:rPr>
          <w:rStyle w:val="optioncarChar"/>
        </w:rPr>
        <w:t> / Surface nette</w:t>
      </w:r>
    </w:p>
    <w:p w14:paraId="64C9C25A" w14:textId="77777777" w:rsidR="00DF410E" w:rsidRDefault="00CE7F43">
      <w:r>
        <w:rPr>
          <w:b/>
        </w:rPr>
        <w:t>(soit par défaut)</w:t>
      </w:r>
    </w:p>
    <w:p w14:paraId="2B31F314"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6470DD3" w14:textId="77777777" w:rsidR="00DF410E" w:rsidRDefault="00CE7F43">
      <w:r>
        <w:rPr>
          <w:b/>
        </w:rPr>
        <w:t>(soit)</w:t>
      </w:r>
    </w:p>
    <w:p w14:paraId="5EEA1D09"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668C3C0" w14:textId="77777777" w:rsidR="00DF410E" w:rsidRDefault="00DF410E"/>
    <w:p w14:paraId="0C2A82A8" w14:textId="77777777" w:rsidR="00DF410E" w:rsidRDefault="00DF410E"/>
    <w:p w14:paraId="55E31BB4" w14:textId="77777777" w:rsidR="00DF410E" w:rsidRDefault="00CE7F43">
      <w:r>
        <w:t> </w:t>
      </w:r>
    </w:p>
    <w:p w14:paraId="04AABCD5" w14:textId="77777777" w:rsidR="00DF410E" w:rsidRDefault="00CE7F43">
      <w:pPr>
        <w:pStyle w:val="pheading"/>
      </w:pPr>
      <w:r>
        <w:t>- nature du marché:</w:t>
      </w:r>
    </w:p>
    <w:p w14:paraId="251AF532" w14:textId="77777777" w:rsidR="00DF410E" w:rsidRDefault="00CE7F43">
      <w:r>
        <w:t>QF</w:t>
      </w:r>
    </w:p>
    <w:p w14:paraId="163D5363" w14:textId="77777777" w:rsidR="00DF410E" w:rsidRDefault="00CE7F43">
      <w:pPr>
        <w:pStyle w:val="Author-eSectionHeading4"/>
      </w:pPr>
      <w:bookmarkStart w:id="23" w:name="_Toc178837295"/>
      <w:r>
        <w:t>21.12 Maçonneries portantes en blocs CCTB 01.04</w:t>
      </w:r>
      <w:bookmarkEnd w:id="23"/>
    </w:p>
    <w:p w14:paraId="49B4B6BC" w14:textId="77777777" w:rsidR="00DF410E" w:rsidRDefault="00CE7F43">
      <w:pPr>
        <w:pStyle w:val="Author-eSectionHeading5"/>
      </w:pPr>
      <w:bookmarkStart w:id="24" w:name="452"/>
      <w:bookmarkStart w:id="25" w:name="_Toc178837296"/>
      <w:bookmarkEnd w:id="24"/>
      <w:r>
        <w:t>21.12.1 Maçonneries portantes de fondation en blocs CCTB 01.11</w:t>
      </w:r>
      <w:bookmarkEnd w:id="25"/>
    </w:p>
    <w:p w14:paraId="34D325DC" w14:textId="77777777" w:rsidR="00DF410E" w:rsidRDefault="00CE7F43">
      <w:pPr>
        <w:pStyle w:val="pheading"/>
      </w:pPr>
      <w:bookmarkStart w:id="26" w:name="365"/>
      <w:bookmarkEnd w:id="26"/>
      <w:r>
        <w:t>MATÉRIAUX</w:t>
      </w:r>
    </w:p>
    <w:p w14:paraId="2360416A" w14:textId="77777777" w:rsidR="00DF410E" w:rsidRDefault="00CE7F43">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3EBA46D7" w14:textId="77777777" w:rsidR="00DF410E" w:rsidRDefault="00CE7F43">
      <w:pPr>
        <w:pStyle w:val="pheading"/>
      </w:pPr>
      <w:r>
        <w:t>EXÉCUTION / MISE EN ŒUVRE</w:t>
      </w:r>
    </w:p>
    <w:p w14:paraId="0B3C7CF3" w14:textId="77777777" w:rsidR="00DF410E" w:rsidRDefault="00CE7F43">
      <w:r>
        <w:t>Conformément au mode de mise en œuvre, les blocs en béton sont maçonnés au mortier / collés à l’aide d’un mortier-colle selon les indications du fabricant des blocs / du fabricant de mortier et des notes de calcul du bureau d’études.</w:t>
      </w:r>
    </w:p>
    <w:p w14:paraId="2A923DC3" w14:textId="77777777" w:rsidR="00DF410E" w:rsidRDefault="00CE7F43">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M15 / M20 / ***</w:t>
      </w:r>
      <w:r>
        <w:b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Eléments de liaison et d'ancrage :</w:t>
      </w:r>
    </w:p>
    <w:p w14:paraId="47582041" w14:textId="77777777" w:rsidR="00DF410E" w:rsidRDefault="00CE7F43">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1ADA4338" w14:textId="77777777" w:rsidR="00DF410E" w:rsidRDefault="00CE7F43">
      <w: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354" w:history="1">
        <w:r>
          <w:t>26.11 Feuilles et membranes d'étanchéité à l'eau</w:t>
        </w:r>
      </w:hyperlink>
      <w:r>
        <w:t xml:space="preserve">. </w:t>
      </w:r>
      <w:r>
        <w:br/>
      </w:r>
      <w:r>
        <w:br/>
      </w:r>
      <w:r>
        <w:rPr>
          <w:u w:val="single"/>
        </w:rPr>
        <w:t>-Notes d'exécution complémentaires</w:t>
      </w:r>
    </w:p>
    <w:p w14:paraId="42517A82" w14:textId="77777777" w:rsidR="00DF410E" w:rsidRDefault="00CE7F43">
      <w:r>
        <w:t>Pour les maçonneries destinées à rester apparentes, seules des blocs non endommagés sont utilisés.</w:t>
      </w:r>
    </w:p>
    <w:p w14:paraId="4AD5ABC9"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022C20B4" w14:textId="77777777" w:rsidR="00DF410E" w:rsidRDefault="00CE7F43">
      <w:r>
        <w:t xml:space="preserve">Les segments de murs sont pourvus d'armatures verticales selon l'article </w:t>
      </w:r>
      <w:hyperlink w:anchor="356" w:history="1">
        <w:r>
          <w:t>21.41.2 Armatures verticales pour maçonneries</w:t>
        </w:r>
      </w:hyperlink>
      <w:r>
        <w:t>.</w:t>
      </w:r>
    </w:p>
    <w:p w14:paraId="71EF5555"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05A983B6" w14:textId="77777777" w:rsidR="00DF410E" w:rsidRDefault="00CE7F43">
      <w:r>
        <w:t xml:space="preserve">Crochets de mur : </w:t>
      </w:r>
      <w:r>
        <w:rPr>
          <w:rStyle w:val="optioncarChar"/>
        </w:rPr>
        <w:t xml:space="preserve">acier inoxydable </w:t>
      </w:r>
      <w:r>
        <w:t>(par défaut)</w:t>
      </w:r>
      <w:r>
        <w:rPr>
          <w:rStyle w:val="optioncarChar"/>
        </w:rPr>
        <w:t xml:space="preserve"> / ***</w:t>
      </w:r>
      <w:r>
        <w:t xml:space="preserve"> , diamètre minimal </w:t>
      </w:r>
      <w:r>
        <w:rPr>
          <w:rStyle w:val="optioncarChar"/>
        </w:rPr>
        <w:t>3,5 / ***</w:t>
      </w:r>
      <w:r>
        <w:t xml:space="preserve"> mm</w:t>
      </w:r>
    </w:p>
    <w:p w14:paraId="532EA1D3"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3F030B25" w14:textId="77777777" w:rsidR="00DF410E" w:rsidRDefault="00DF410E"/>
    <w:p w14:paraId="72CF6F11" w14:textId="77777777" w:rsidR="00DF410E" w:rsidRDefault="00CE7F43">
      <w:r>
        <w:t> </w:t>
      </w:r>
    </w:p>
    <w:p w14:paraId="1AE4DD35" w14:textId="77777777" w:rsidR="00DF410E" w:rsidRDefault="00CE7F43">
      <w:pPr>
        <w:pStyle w:val="pheading"/>
      </w:pPr>
      <w:r>
        <w:t>AIDE</w:t>
      </w:r>
    </w:p>
    <w:p w14:paraId="590701CF" w14:textId="77777777" w:rsidR="00DF410E" w:rsidRDefault="00CE7F43">
      <w:r>
        <w:t>Note à l'attention de l'auteur du projet : pour le choix adéquat du mortier, se référer à la [STS 22 série]</w:t>
      </w:r>
    </w:p>
    <w:p w14:paraId="7CDD4DF1" w14:textId="77777777" w:rsidR="00DF410E" w:rsidRDefault="00CE7F43">
      <w:pPr>
        <w:pStyle w:val="Author-eSectionHeading6"/>
      </w:pPr>
      <w:bookmarkStart w:id="27" w:name="_Toc178837297"/>
      <w:r>
        <w:t>21.12.1a Maçonneries portantes de fondation en blocs de béton pleins à maçonner CCTB 01.12</w:t>
      </w:r>
      <w:bookmarkEnd w:id="27"/>
    </w:p>
    <w:p w14:paraId="51041E65" w14:textId="77777777" w:rsidR="00DF410E" w:rsidRDefault="00CE7F43">
      <w:pPr>
        <w:pStyle w:val="pheading"/>
      </w:pPr>
      <w:r>
        <w:t>DESCRIPTION</w:t>
      </w:r>
    </w:p>
    <w:p w14:paraId="260EEEAC" w14:textId="77777777" w:rsidR="00DF410E" w:rsidRDefault="00CE7F43">
      <w:pPr>
        <w:pStyle w:val="pheading"/>
      </w:pPr>
      <w:r>
        <w:t>- Définition / Comprend</w:t>
      </w:r>
    </w:p>
    <w:p w14:paraId="25E6F821" w14:textId="77777777" w:rsidR="00DF410E" w:rsidRDefault="00CE7F43">
      <w:r>
        <w:t xml:space="preserve">Il s’agit de la fourniture et la pose de maçonneries portantes de fondation en blocs de béton pleins à maçonner. </w:t>
      </w:r>
      <w:r>
        <w:br/>
        <w:t xml:space="preserve">La portée des travaux est décrite dans l’article </w:t>
      </w:r>
      <w:hyperlink w:anchor="365" w:history="1">
        <w:r>
          <w:t>21.12.1 Maçonneries portantes de fondation en blocs</w:t>
        </w:r>
      </w:hyperlink>
      <w:r>
        <w:t>.</w:t>
      </w:r>
      <w:r>
        <w:br/>
        <w:t>Les travaux comprennent également la fourniture et la pose des pièces d’angle, de terminaison et de rencontre.</w:t>
      </w:r>
    </w:p>
    <w:p w14:paraId="28C9D3F2" w14:textId="77777777" w:rsidR="00DF410E" w:rsidRDefault="00CE7F43">
      <w:pPr>
        <w:pStyle w:val="pheading"/>
      </w:pPr>
      <w:r>
        <w:t>- Localisation</w:t>
      </w:r>
    </w:p>
    <w:p w14:paraId="61D4A91A" w14:textId="77777777" w:rsidR="00DF410E" w:rsidRDefault="00CE7F43">
      <w:r>
        <w:t xml:space="preserve">La pose est réalisée aux endroits suivants : </w:t>
      </w:r>
      <w:r>
        <w:rPr>
          <w:rStyle w:val="optioncarChar"/>
        </w:rPr>
        <w:t>***</w:t>
      </w:r>
      <w:r>
        <w:t>.</w:t>
      </w:r>
      <w:r>
        <w:br/>
        <w:t>Voir plans et métrés détaillés.</w:t>
      </w:r>
    </w:p>
    <w:p w14:paraId="36684182" w14:textId="77777777" w:rsidR="00DF410E" w:rsidRDefault="00CE7F43">
      <w:pPr>
        <w:pStyle w:val="pheading"/>
      </w:pPr>
      <w:r>
        <w:t>MATÉRIAUX</w:t>
      </w:r>
    </w:p>
    <w:p w14:paraId="58A5E3C1" w14:textId="77777777" w:rsidR="00DF410E" w:rsidRDefault="00CE7F43">
      <w:pPr>
        <w:pStyle w:val="pheading"/>
      </w:pPr>
      <w:r>
        <w:t>- Caractéristiques générales</w:t>
      </w:r>
    </w:p>
    <w:p w14:paraId="6F1F408C" w14:textId="77777777" w:rsidR="00DF410E" w:rsidRDefault="00CE7F43">
      <w:r>
        <w:rPr>
          <w:rStyle w:val="headingChar"/>
        </w:rPr>
        <w:t>Spécifications</w:t>
      </w:r>
    </w:p>
    <w:p w14:paraId="1CFC281B" w14:textId="77777777" w:rsidR="00DF410E" w:rsidRDefault="00CE7F43">
      <w:r>
        <w:rPr>
          <w:u w:val="single"/>
        </w:rPr>
        <w:t>Blocs</w:t>
      </w:r>
    </w:p>
    <w:p w14:paraId="109B675B"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C / D</w:t>
      </w:r>
      <w:r>
        <w:br/>
        <w:t>La classe de qualité suivant [PTV 21-001] est :</w:t>
      </w:r>
      <w:r>
        <w:rPr>
          <w:rStyle w:val="optioncarChar"/>
        </w:rPr>
        <w:t xml:space="preserve"> 2/0,8 / 3/1,0 / 4/1,2 / 5/1,4 / 6/1,6 / 8/1,9 / 10/2.2</w:t>
      </w:r>
      <w:r>
        <w:rPr>
          <w:rStyle w:val="optioncarChar"/>
          <w:color w:val="000000"/>
        </w:rPr>
        <w:t xml:space="preserve"> (par défaut)</w:t>
      </w:r>
      <w:r>
        <w:rPr>
          <w:rStyle w:val="optioncarChar"/>
        </w:rPr>
        <w:t xml:space="preserve"> / 15/2,2+ / ***</w:t>
      </w:r>
      <w:r>
        <w:br/>
        <w:t xml:space="preserve">Le groupe de configuration suivant [NBN EN 1996-1-1+A1 ANB] est 1 </w:t>
      </w:r>
      <w:r>
        <w:br/>
        <w:t xml:space="preserve">La masse volumique sèche apparente des blocs ρ (rho) est : </w:t>
      </w:r>
      <w:r>
        <w:rPr>
          <w:rStyle w:val="optioncarChar"/>
        </w:rPr>
        <w:t>***</w:t>
      </w:r>
      <w:r>
        <w:t xml:space="preserve"> kg/m³, selon la [NBN EN 771-3+A1]. </w:t>
      </w:r>
      <w:r>
        <w:br/>
        <w:t xml:space="preserve">Boutisse : </w:t>
      </w:r>
      <w:r>
        <w:rPr>
          <w:rStyle w:val="optioncarChar"/>
        </w:rPr>
        <w:t xml:space="preserve">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 xml:space="preserve">lisse </w:t>
      </w:r>
      <w:r>
        <w:rPr>
          <w:rStyle w:val="optioncarChar"/>
          <w:color w:val="000000"/>
        </w:rPr>
        <w:t>(par défaut)</w:t>
      </w:r>
      <w:r>
        <w:rPr>
          <w:rStyle w:val="optioncarChar"/>
        </w:rPr>
        <w:t xml:space="preserve"> / adhérence améliorée / rainurée</w:t>
      </w:r>
      <w:r>
        <w:br/>
        <w:t xml:space="preserve">Teinte : </w:t>
      </w:r>
      <w:r>
        <w:rPr>
          <w:rStyle w:val="optioncarChar"/>
        </w:rPr>
        <w:t xml:space="preserve">blanc / gris </w:t>
      </w:r>
      <w:r>
        <w:t>(par défaut)</w:t>
      </w:r>
      <w:r>
        <w:rPr>
          <w:rStyle w:val="optioncarChar"/>
        </w:rPr>
        <w:t xml:space="preserve"> / ***</w:t>
      </w:r>
    </w:p>
    <w:p w14:paraId="34D8D5D7" w14:textId="77777777" w:rsidR="00DF410E" w:rsidRDefault="00CE7F43">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7D907364"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29A7BED0" w14:textId="77777777" w:rsidR="00DF410E" w:rsidRDefault="00CE7F43">
      <w:r>
        <w:t>Résistance au gel suivant les classes d’application MX… selon [NBN EN 1996-2 ANB] et [NIT 271].</w:t>
      </w:r>
    </w:p>
    <w:p w14:paraId="234FF23A" w14:textId="77777777" w:rsidR="00DF410E" w:rsidRDefault="00CE7F43">
      <w:pPr>
        <w:spacing w:before="0" w:after="0"/>
      </w:pPr>
      <w:r>
        <w:rPr>
          <w:u w:val="single"/>
        </w:rPr>
        <w:t>Mortier</w:t>
      </w:r>
    </w:p>
    <w:p w14:paraId="4D0C6B8B" w14:textId="77777777" w:rsidR="00DF410E" w:rsidRDefault="00CE7F43">
      <w:pPr>
        <w:spacing w:before="0" w:after="0"/>
      </w:pPr>
      <w:r>
        <w:rPr>
          <w:rStyle w:val="normalChar"/>
          <w:color w:val="000000"/>
        </w:rPr>
        <w:t>Classe de résistance :</w:t>
      </w:r>
      <w:r>
        <w:rPr>
          <w:rStyle w:val="optioncarChar"/>
        </w:rPr>
        <w:t xml:space="preserve">M1 / M2,5 / M5/ M10 </w:t>
      </w:r>
      <w:r>
        <w:t>(par défaut)</w:t>
      </w:r>
      <w:r>
        <w:rPr>
          <w:rStyle w:val="optioncarChar"/>
        </w:rPr>
        <w:t xml:space="preserve"> / M15 / M20 </w:t>
      </w:r>
    </w:p>
    <w:p w14:paraId="7086907B"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561A87B" w14:textId="77777777" w:rsidR="00DF410E" w:rsidRDefault="00CE7F43">
      <w:pPr>
        <w:spacing w:before="0" w:after="0"/>
      </w:pPr>
      <w:r>
        <w:rPr>
          <w:rStyle w:val="normalChar"/>
          <w:color w:val="000000"/>
        </w:rPr>
        <w:t>Résistance au gel : oui</w:t>
      </w:r>
    </w:p>
    <w:p w14:paraId="3E8962CE" w14:textId="77777777" w:rsidR="00DF410E" w:rsidRDefault="00DF410E"/>
    <w:p w14:paraId="37A056DF" w14:textId="77777777" w:rsidR="00DF410E" w:rsidRDefault="00CE7F43">
      <w:r>
        <w:t> </w:t>
      </w:r>
    </w:p>
    <w:p w14:paraId="1D318148" w14:textId="77777777" w:rsidR="00DF410E" w:rsidRDefault="00CE7F43">
      <w:pPr>
        <w:pStyle w:val="pheading"/>
      </w:pPr>
      <w:r>
        <w:t>- Finitions</w:t>
      </w:r>
    </w:p>
    <w:p w14:paraId="0F395996" w14:textId="77777777" w:rsidR="00DF410E" w:rsidRDefault="00DF410E"/>
    <w:p w14:paraId="262E8C56" w14:textId="77777777" w:rsidR="00DF410E" w:rsidRDefault="00CE7F43">
      <w:pPr>
        <w:pStyle w:val="Author-eListParagraph"/>
        <w:numPr>
          <w:ilvl w:val="0"/>
          <w:numId w:val="56"/>
        </w:numPr>
      </w:pPr>
      <w:r>
        <w:t>Les faces de murs suivantes sont exécutées comme maçonneries apparentes et sont</w:t>
      </w:r>
      <w:r>
        <w:rPr>
          <w:rStyle w:val="optioncarChar"/>
          <w:color w:val="000000"/>
        </w:rPr>
        <w:t xml:space="preserve"> rejointoyées </w:t>
      </w:r>
      <w:r>
        <w:t xml:space="preserve">selon </w:t>
      </w:r>
      <w:hyperlink w:anchor="344" w:history="1">
        <w:r>
          <w:t>21.61.1b Joints de maçonnerie apparente</w:t>
        </w:r>
      </w:hyperlink>
      <w:r>
        <w:t xml:space="preserve"> : </w:t>
      </w:r>
      <w:r>
        <w:rPr>
          <w:rStyle w:val="optioncarChar"/>
        </w:rPr>
        <w:t>***</w:t>
      </w:r>
    </w:p>
    <w:p w14:paraId="62CA8599" w14:textId="77777777" w:rsidR="00DF410E" w:rsidRDefault="00CE7F43">
      <w:pPr>
        <w:pStyle w:val="Author-eListParagraph"/>
        <w:numPr>
          <w:ilvl w:val="0"/>
          <w:numId w:val="56"/>
        </w:numPr>
      </w:pPr>
      <w:r>
        <w:t xml:space="preserve">Les murs suivants sont exécutés avec une face restant apparente : </w:t>
      </w:r>
      <w:r>
        <w:rPr>
          <w:rStyle w:val="optioncarChar"/>
        </w:rPr>
        <w:t>***</w:t>
      </w:r>
    </w:p>
    <w:p w14:paraId="0E742DEE" w14:textId="77777777" w:rsidR="00DF410E" w:rsidRDefault="00CE7F43">
      <w:pPr>
        <w:pStyle w:val="Author-eListParagraph"/>
        <w:numPr>
          <w:ilvl w:val="0"/>
          <w:numId w:val="56"/>
        </w:numPr>
      </w:pPr>
      <w:r>
        <w:t xml:space="preserve">Les murs suivants sont exécutés avec deux faces restant apparentes : </w:t>
      </w:r>
      <w:r>
        <w:rPr>
          <w:rStyle w:val="optioncarChar"/>
        </w:rPr>
        <w:t>***</w:t>
      </w:r>
    </w:p>
    <w:p w14:paraId="1A12B3CB" w14:textId="77777777" w:rsidR="00DF410E" w:rsidRDefault="00CE7F43">
      <w:pPr>
        <w:pStyle w:val="pheading"/>
      </w:pPr>
      <w:r>
        <w:t>MESURAGE</w:t>
      </w:r>
    </w:p>
    <w:p w14:paraId="5A882C4A" w14:textId="77777777" w:rsidR="00DF410E" w:rsidRDefault="00CE7F43">
      <w:pPr>
        <w:pStyle w:val="pheading"/>
      </w:pPr>
      <w:r>
        <w:t>- unité de mesure:</w:t>
      </w:r>
    </w:p>
    <w:p w14:paraId="3517FFE8" w14:textId="77777777" w:rsidR="00DF410E" w:rsidRDefault="00CE7F43">
      <w:r>
        <w:rPr>
          <w:rStyle w:val="optioncarChar"/>
        </w:rPr>
        <w:t>m³ </w:t>
      </w:r>
      <w:r>
        <w:t>(par défaut)</w:t>
      </w:r>
      <w:r>
        <w:rPr>
          <w:rStyle w:val="optioncarChar"/>
        </w:rPr>
        <w:t> / m²</w:t>
      </w:r>
    </w:p>
    <w:p w14:paraId="74C125C5" w14:textId="77777777" w:rsidR="00DF410E" w:rsidRDefault="00CE7F43">
      <w:r>
        <w:rPr>
          <w:b/>
        </w:rPr>
        <w:t>(soit par défaut)</w:t>
      </w:r>
    </w:p>
    <w:p w14:paraId="30D2E324" w14:textId="77777777" w:rsidR="00DF410E" w:rsidRDefault="00CE7F43">
      <w:r>
        <w:rPr>
          <w:rStyle w:val="soitChar"/>
        </w:rPr>
        <w:t>1. m³</w:t>
      </w:r>
    </w:p>
    <w:p w14:paraId="25609733" w14:textId="77777777" w:rsidR="00DF410E" w:rsidRDefault="00CE7F43">
      <w:r>
        <w:rPr>
          <w:b/>
        </w:rPr>
        <w:t>(soit)</w:t>
      </w:r>
    </w:p>
    <w:p w14:paraId="05953F12" w14:textId="77777777" w:rsidR="00DF410E" w:rsidRDefault="00CE7F43">
      <w:r>
        <w:rPr>
          <w:rStyle w:val="soitChar"/>
        </w:rPr>
        <w:t>2. m²</w:t>
      </w:r>
    </w:p>
    <w:p w14:paraId="49A14A37" w14:textId="77777777" w:rsidR="00DF410E" w:rsidRDefault="00CE7F43">
      <w:pPr>
        <w:pStyle w:val="pheading"/>
      </w:pPr>
      <w:r>
        <w:t>- code de mesurage:</w:t>
      </w:r>
    </w:p>
    <w:p w14:paraId="4BA8EE0E"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AC17344"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A6FCBEC"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DEEFCDF" w14:textId="77777777" w:rsidR="00DF410E" w:rsidRDefault="00CE7F43">
      <w:r>
        <w:br/>
      </w:r>
      <w:r>
        <w:rPr>
          <w:rStyle w:val="optioncarChar"/>
        </w:rPr>
        <w:t>Volume net </w:t>
      </w:r>
      <w:r>
        <w:t>(par défaut)</w:t>
      </w:r>
      <w:r>
        <w:rPr>
          <w:rStyle w:val="optioncarChar"/>
        </w:rPr>
        <w:t> / Surface nette</w:t>
      </w:r>
    </w:p>
    <w:p w14:paraId="2467AC36" w14:textId="77777777" w:rsidR="00DF410E" w:rsidRDefault="00CE7F43">
      <w:r>
        <w:rPr>
          <w:b/>
        </w:rPr>
        <w:t>(soit par défaut)</w:t>
      </w:r>
    </w:p>
    <w:p w14:paraId="38466C1C"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0AE3582" w14:textId="77777777" w:rsidR="00DF410E" w:rsidRDefault="00CE7F43">
      <w:r>
        <w:rPr>
          <w:b/>
        </w:rPr>
        <w:t>(soit)</w:t>
      </w:r>
    </w:p>
    <w:p w14:paraId="36476CB5"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D22233C" w14:textId="77777777" w:rsidR="00DF410E" w:rsidRDefault="00DF410E"/>
    <w:p w14:paraId="51AEA50A" w14:textId="77777777" w:rsidR="00DF410E" w:rsidRDefault="00CE7F43">
      <w:r>
        <w:t> </w:t>
      </w:r>
    </w:p>
    <w:p w14:paraId="33FE4E5F" w14:textId="77777777" w:rsidR="00DF410E" w:rsidRDefault="00CE7F43">
      <w:pPr>
        <w:pStyle w:val="pheading"/>
      </w:pPr>
      <w:r>
        <w:t>- nature du marché:</w:t>
      </w:r>
    </w:p>
    <w:p w14:paraId="3E114EE8" w14:textId="77777777" w:rsidR="00DF410E" w:rsidRDefault="00CE7F43">
      <w:r>
        <w:t>QF</w:t>
      </w:r>
    </w:p>
    <w:p w14:paraId="390CDD31" w14:textId="77777777" w:rsidR="00DF410E" w:rsidRDefault="00DF410E"/>
    <w:p w14:paraId="3D8E8282" w14:textId="77777777" w:rsidR="00DF410E" w:rsidRDefault="00CE7F43">
      <w:pPr>
        <w:pStyle w:val="Author-eSectionHeading6"/>
      </w:pPr>
      <w:bookmarkStart w:id="28" w:name="_Toc178837298"/>
      <w:r>
        <w:t>21.12.1b Maçonneries portantes de fondation en blocs de coffrage en béton CCTB 01.11</w:t>
      </w:r>
      <w:bookmarkEnd w:id="28"/>
    </w:p>
    <w:p w14:paraId="1F3189AC" w14:textId="77777777" w:rsidR="00DF410E" w:rsidRDefault="00CE7F43">
      <w:pPr>
        <w:pStyle w:val="pheading"/>
      </w:pPr>
      <w:r>
        <w:t>DESCRIPTION</w:t>
      </w:r>
    </w:p>
    <w:p w14:paraId="4A7B5A29" w14:textId="77777777" w:rsidR="00DF410E" w:rsidRDefault="00CE7F43">
      <w:pPr>
        <w:pStyle w:val="pheading"/>
      </w:pPr>
      <w:r>
        <w:t>- Définition / Comprend</w:t>
      </w:r>
    </w:p>
    <w:p w14:paraId="793EA617" w14:textId="77777777" w:rsidR="00DF410E" w:rsidRDefault="00CE7F43">
      <w:r>
        <w:t xml:space="preserve">Il s’agit de la fourniture et la pose de maçonneries portantes de fondation en blocs de coffrage de béton. </w:t>
      </w:r>
      <w:r>
        <w:br/>
        <w:t xml:space="preserve">La portée des travaux est décrite dans l’article </w:t>
      </w:r>
      <w:hyperlink w:anchor="365" w:history="1">
        <w:r>
          <w:t>21.12.1 Maçonneries portantes de fondation en blocs</w:t>
        </w:r>
      </w:hyperlink>
      <w:r>
        <w:t>.</w:t>
      </w:r>
      <w:r>
        <w:br/>
        <w:t>Les travaux comprennent également la fourniture et la pose des pièces d’angle, de terminaison et de rencontre.</w:t>
      </w:r>
    </w:p>
    <w:p w14:paraId="7376C055" w14:textId="77777777" w:rsidR="00DF410E" w:rsidRDefault="00CE7F43">
      <w:pPr>
        <w:pStyle w:val="pheading"/>
      </w:pPr>
      <w:r>
        <w:t>- Localisation</w:t>
      </w:r>
    </w:p>
    <w:p w14:paraId="2DBD6003" w14:textId="77777777" w:rsidR="00DF410E" w:rsidRDefault="00CE7F43">
      <w:r>
        <w:t xml:space="preserve">La pose est réalisée aux endroits suivants : </w:t>
      </w:r>
      <w:r>
        <w:rPr>
          <w:rStyle w:val="optioncarChar"/>
        </w:rPr>
        <w:t>***</w:t>
      </w:r>
      <w:r>
        <w:t>.</w:t>
      </w:r>
      <w:r>
        <w:br/>
        <w:t>Voir plans et métrés détaillés.</w:t>
      </w:r>
    </w:p>
    <w:p w14:paraId="5519128E" w14:textId="77777777" w:rsidR="00DF410E" w:rsidRDefault="00CE7F43">
      <w:pPr>
        <w:pStyle w:val="pheading"/>
      </w:pPr>
      <w:r>
        <w:t>MESURAGE</w:t>
      </w:r>
    </w:p>
    <w:p w14:paraId="3DE9A5A8" w14:textId="77777777" w:rsidR="00DF410E" w:rsidRDefault="00CE7F43">
      <w:pPr>
        <w:pStyle w:val="pheading"/>
      </w:pPr>
      <w:r>
        <w:t>- unité de mesure:</w:t>
      </w:r>
    </w:p>
    <w:p w14:paraId="4784F03A" w14:textId="77777777" w:rsidR="00DF410E" w:rsidRDefault="00CE7F43">
      <w:r>
        <w:rPr>
          <w:rStyle w:val="optioncarChar"/>
        </w:rPr>
        <w:t>m³ </w:t>
      </w:r>
      <w:r>
        <w:t>(par défaut)</w:t>
      </w:r>
      <w:r>
        <w:rPr>
          <w:rStyle w:val="optioncarChar"/>
        </w:rPr>
        <w:t> / m²</w:t>
      </w:r>
    </w:p>
    <w:p w14:paraId="5200C4E0" w14:textId="77777777" w:rsidR="00DF410E" w:rsidRDefault="00CE7F43">
      <w:r>
        <w:rPr>
          <w:b/>
        </w:rPr>
        <w:t>(soit par défaut)</w:t>
      </w:r>
    </w:p>
    <w:p w14:paraId="028D9D1F" w14:textId="77777777" w:rsidR="00DF410E" w:rsidRDefault="00CE7F43">
      <w:r>
        <w:rPr>
          <w:rStyle w:val="soitChar"/>
        </w:rPr>
        <w:t>1. m³</w:t>
      </w:r>
    </w:p>
    <w:p w14:paraId="0DD15647" w14:textId="77777777" w:rsidR="00DF410E" w:rsidRDefault="00CE7F43">
      <w:r>
        <w:rPr>
          <w:b/>
        </w:rPr>
        <w:t>(soit)</w:t>
      </w:r>
    </w:p>
    <w:p w14:paraId="32E7951F" w14:textId="77777777" w:rsidR="00DF410E" w:rsidRDefault="00CE7F43">
      <w:r>
        <w:rPr>
          <w:rStyle w:val="soitChar"/>
        </w:rPr>
        <w:t>2. m²</w:t>
      </w:r>
    </w:p>
    <w:p w14:paraId="7950A0FF" w14:textId="77777777" w:rsidR="00DF410E" w:rsidRDefault="00CE7F43">
      <w:pPr>
        <w:pStyle w:val="pheading"/>
      </w:pPr>
      <w:r>
        <w:t>- code de mesurage:</w:t>
      </w:r>
    </w:p>
    <w:p w14:paraId="253D5591"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D086A20"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6DC2E49"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7E86622" w14:textId="77777777" w:rsidR="00DF410E" w:rsidRDefault="00CE7F43">
      <w:r>
        <w:br/>
      </w:r>
      <w:r>
        <w:rPr>
          <w:rStyle w:val="optioncarChar"/>
        </w:rPr>
        <w:t>Volume net </w:t>
      </w:r>
      <w:r>
        <w:t>(par défaut)</w:t>
      </w:r>
      <w:r>
        <w:rPr>
          <w:rStyle w:val="optioncarChar"/>
        </w:rPr>
        <w:t> / Surface nette</w:t>
      </w:r>
    </w:p>
    <w:p w14:paraId="39A3085C" w14:textId="77777777" w:rsidR="00DF410E" w:rsidRDefault="00CE7F43">
      <w:r>
        <w:rPr>
          <w:b/>
        </w:rPr>
        <w:t>(soit par défaut)</w:t>
      </w:r>
    </w:p>
    <w:p w14:paraId="3E847B60"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B7DF66D" w14:textId="77777777" w:rsidR="00DF410E" w:rsidRDefault="00CE7F43">
      <w:r>
        <w:rPr>
          <w:b/>
        </w:rPr>
        <w:t>(soit)</w:t>
      </w:r>
    </w:p>
    <w:p w14:paraId="2A63AAA9"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C96E0FF" w14:textId="77777777" w:rsidR="00DF410E" w:rsidRDefault="00DF410E"/>
    <w:p w14:paraId="53427B0A" w14:textId="77777777" w:rsidR="00DF410E" w:rsidRDefault="00CE7F43">
      <w:r>
        <w:t> </w:t>
      </w:r>
    </w:p>
    <w:p w14:paraId="387717C2" w14:textId="77777777" w:rsidR="00DF410E" w:rsidRDefault="00CE7F43">
      <w:pPr>
        <w:pStyle w:val="pheading"/>
      </w:pPr>
      <w:r>
        <w:t>- nature du marché:</w:t>
      </w:r>
    </w:p>
    <w:p w14:paraId="4BD7413F" w14:textId="77777777" w:rsidR="00DF410E" w:rsidRDefault="00CE7F43">
      <w:r>
        <w:t>QF</w:t>
      </w:r>
    </w:p>
    <w:p w14:paraId="1BEEEA93" w14:textId="77777777" w:rsidR="00DF410E" w:rsidRDefault="00CE7F43">
      <w:pPr>
        <w:pStyle w:val="Author-eSectionHeading5"/>
      </w:pPr>
      <w:bookmarkStart w:id="29" w:name="_Toc178837299"/>
      <w:r>
        <w:t>21.12.2 Maçonneries portantes en blocs pour murs en contact direct avec la terre CCTB 01.11</w:t>
      </w:r>
      <w:bookmarkEnd w:id="29"/>
    </w:p>
    <w:p w14:paraId="37A9D754" w14:textId="77777777" w:rsidR="00DF410E" w:rsidRDefault="00CE7F43">
      <w:pPr>
        <w:pStyle w:val="pheading"/>
      </w:pPr>
      <w:bookmarkStart w:id="30" w:name="366"/>
      <w:bookmarkEnd w:id="30"/>
      <w:r>
        <w:t>MATÉRIAUX</w:t>
      </w:r>
    </w:p>
    <w:p w14:paraId="09B687C3" w14:textId="77777777" w:rsidR="00DF410E" w:rsidRDefault="00CE7F43">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3A82F9F0" w14:textId="77777777" w:rsidR="00DF410E" w:rsidRDefault="00CE7F43">
      <w:pPr>
        <w:pStyle w:val="pheading"/>
      </w:pPr>
      <w:r>
        <w:t>EXÉCUTION / MISE EN ŒUVRE</w:t>
      </w:r>
    </w:p>
    <w:p w14:paraId="4DBB4B92" w14:textId="77777777" w:rsidR="00DF410E" w:rsidRDefault="00CE7F43">
      <w:r>
        <w:t>Conformément au mode de mise en œuvre, les blocs en béton sont maçonnés au mortier / collés à l’aide d’un mortier-colle selon les indications du fabricant des blocs / du fabricant de mortier et des notes de calcul du bureau d’études.</w:t>
      </w:r>
    </w:p>
    <w:p w14:paraId="254F02A6" w14:textId="77777777" w:rsidR="00DF410E" w:rsidRDefault="00CE7F43">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xml:space="preserve"> / M15 / M20 / ***</w:t>
      </w:r>
      <w:r>
        <w:br/>
        <w:t xml:space="preserve">L'épaisseur des joints est d'au moins </w:t>
      </w:r>
      <w:r>
        <w:rPr>
          <w:rStyle w:val="optioncarChar"/>
        </w:rPr>
        <w:t xml:space="preserve">10 </w:t>
      </w:r>
      <w:r>
        <w:t xml:space="preserve">(par défaut) </w:t>
      </w:r>
      <w:r>
        <w:rPr>
          <w:rStyle w:val="optioncarChar"/>
        </w:rPr>
        <w:t>/ ***</w:t>
      </w:r>
      <w:r>
        <w:t xml:space="preserve"> mm (tolérances suivant [NIT 208])</w:t>
      </w:r>
      <w:r>
        <w:br/>
      </w:r>
      <w:r>
        <w:br/>
        <w:t>Matériaux de liaison et d'ancrage :</w:t>
      </w:r>
    </w:p>
    <w:p w14:paraId="63254F47" w14:textId="77777777" w:rsidR="00DF410E" w:rsidRDefault="00CE7F43">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295F40BE"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r>
        <w:t>.</w:t>
      </w:r>
      <w:r>
        <w:br/>
      </w:r>
      <w:r>
        <w:br/>
      </w:r>
      <w:r>
        <w:rPr>
          <w:u w:val="single"/>
        </w:rPr>
        <w:t>-Notes d'exécution complémentaires</w:t>
      </w:r>
    </w:p>
    <w:p w14:paraId="46438CB8" w14:textId="77777777" w:rsidR="00DF410E" w:rsidRDefault="00CE7F43">
      <w:r>
        <w:t>Pour les maçonneries destinées à rester apparentes, seules des blocs non endommagés sont utilisés.</w:t>
      </w:r>
    </w:p>
    <w:p w14:paraId="287A4490"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75A51A5B" w14:textId="77777777" w:rsidR="00DF410E" w:rsidRDefault="00CE7F43">
      <w:r>
        <w:t xml:space="preserve">Les segments de murs sont pourvus d'armatures verticales selon l'article </w:t>
      </w:r>
      <w:hyperlink w:anchor="356" w:history="1">
        <w:r>
          <w:t>21.41.2 Armatures verticales pour maçonneries</w:t>
        </w:r>
      </w:hyperlink>
      <w:r>
        <w:t>.</w:t>
      </w:r>
    </w:p>
    <w:p w14:paraId="59F1114A"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10312405" w14:textId="77777777" w:rsidR="00DF410E" w:rsidRDefault="00CE7F43">
      <w:r>
        <w:t xml:space="preserve">Les faces de murs suivantes sont exécutées comme maçonneries apparentes : </w:t>
      </w:r>
      <w:r>
        <w:rPr>
          <w:rStyle w:val="optioncarChar"/>
        </w:rPr>
        <w:t>***</w:t>
      </w:r>
    </w:p>
    <w:p w14:paraId="483F8904" w14:textId="77777777" w:rsidR="00DF410E" w:rsidRDefault="00CE7F43">
      <w:r>
        <w:t xml:space="preserve">Les murs et les jonctions verticales sont </w:t>
      </w:r>
      <w:r>
        <w:rPr>
          <w:rStyle w:val="optioncarChar"/>
        </w:rPr>
        <w:t xml:space="preserve">rejointoyés en montant </w:t>
      </w:r>
      <w:r>
        <w:t>(par défaut) </w:t>
      </w:r>
      <w:r>
        <w:rPr>
          <w:rStyle w:val="optioncarChar"/>
        </w:rPr>
        <w:t>/ rejointoyés par après au mortier de rejointoiement / ***.</w:t>
      </w:r>
    </w:p>
    <w:p w14:paraId="487836F1"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46E0A93F"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33C9ACBB" w14:textId="77777777" w:rsidR="00DF410E" w:rsidRDefault="00DF410E"/>
    <w:p w14:paraId="5AF4496A" w14:textId="77777777" w:rsidR="00DF410E" w:rsidRDefault="00CE7F43">
      <w:r>
        <w:t> </w:t>
      </w:r>
    </w:p>
    <w:p w14:paraId="68B14C49" w14:textId="77777777" w:rsidR="00DF410E" w:rsidRDefault="00CE7F43">
      <w:pPr>
        <w:pStyle w:val="pheading"/>
      </w:pPr>
      <w:r>
        <w:t>AIDE</w:t>
      </w:r>
    </w:p>
    <w:p w14:paraId="74C8721F" w14:textId="77777777" w:rsidR="00DF410E" w:rsidRDefault="00CE7F43">
      <w:r>
        <w:t>Note à l'attention de l'auteur du projet : pour le choix adéquat du mortier, se référer à la [STS 22 série].</w:t>
      </w:r>
      <w:r>
        <w:br/>
      </w:r>
      <w:r>
        <w:br/>
      </w:r>
    </w:p>
    <w:p w14:paraId="48CEF4CA" w14:textId="77777777" w:rsidR="00DF410E" w:rsidRDefault="00CE7F43">
      <w:pPr>
        <w:pStyle w:val="Author-eSectionHeading6"/>
      </w:pPr>
      <w:bookmarkStart w:id="31" w:name="_Toc178837300"/>
      <w:r>
        <w:t>21.12.2a Maçonneries portantes en blocs de béton pleins à maçonner CCTB 01.12</w:t>
      </w:r>
      <w:bookmarkEnd w:id="31"/>
    </w:p>
    <w:p w14:paraId="4691C804" w14:textId="77777777" w:rsidR="00DF410E" w:rsidRDefault="00CE7F43">
      <w:pPr>
        <w:pStyle w:val="pheading"/>
      </w:pPr>
      <w:r>
        <w:t>DESCRIPTION</w:t>
      </w:r>
    </w:p>
    <w:p w14:paraId="61B32B1A" w14:textId="77777777" w:rsidR="00DF410E" w:rsidRDefault="00CE7F43">
      <w:pPr>
        <w:pStyle w:val="pheading"/>
      </w:pPr>
      <w:r>
        <w:t>- Définition / Comprend</w:t>
      </w:r>
    </w:p>
    <w:p w14:paraId="318962A2" w14:textId="77777777" w:rsidR="00DF410E" w:rsidRDefault="00CE7F43">
      <w:r>
        <w:t xml:space="preserve">Il s’agit de la fourniture et la pose de maçonneries portantes en blocs de béton pleins à maçonner.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7E99A0B0" w14:textId="77777777" w:rsidR="00DF410E" w:rsidRDefault="00CE7F43">
      <w:pPr>
        <w:pStyle w:val="pheading"/>
      </w:pPr>
      <w:r>
        <w:t>- Localisation</w:t>
      </w:r>
    </w:p>
    <w:p w14:paraId="66B676D9" w14:textId="77777777" w:rsidR="00DF410E" w:rsidRDefault="00CE7F43">
      <w:r>
        <w:t xml:space="preserve">La pose est réalisée aux endroits suivants : </w:t>
      </w:r>
      <w:r>
        <w:rPr>
          <w:rStyle w:val="optioncarChar"/>
        </w:rPr>
        <w:t>***</w:t>
      </w:r>
      <w:r>
        <w:t>.</w:t>
      </w:r>
      <w:r>
        <w:br/>
        <w:t>Voir plans et métrés détaillés.</w:t>
      </w:r>
    </w:p>
    <w:p w14:paraId="00FA46DE" w14:textId="77777777" w:rsidR="00DF410E" w:rsidRDefault="00CE7F43">
      <w:pPr>
        <w:pStyle w:val="pheading"/>
      </w:pPr>
      <w:r>
        <w:t>MATÉRIAUX</w:t>
      </w:r>
    </w:p>
    <w:p w14:paraId="1C7D5292" w14:textId="77777777" w:rsidR="00DF410E" w:rsidRDefault="00CE7F43">
      <w:pPr>
        <w:pStyle w:val="pheading"/>
      </w:pPr>
      <w:r>
        <w:t>- Caractéristiques générales</w:t>
      </w:r>
    </w:p>
    <w:p w14:paraId="0ED56D0E" w14:textId="77777777" w:rsidR="00DF410E" w:rsidRDefault="00CE7F43">
      <w:r>
        <w:rPr>
          <w:rStyle w:val="headingChar"/>
        </w:rPr>
        <w:t>Spécifications</w:t>
      </w:r>
    </w:p>
    <w:p w14:paraId="2CC5720A" w14:textId="77777777" w:rsidR="00DF410E" w:rsidRDefault="00CE7F43">
      <w:r>
        <w:rPr>
          <w:u w:val="single"/>
        </w:rPr>
        <w:t>Blocs</w:t>
      </w:r>
    </w:p>
    <w:p w14:paraId="2DB4B174" w14:textId="77777777" w:rsidR="00DF410E" w:rsidRDefault="00CE7F43">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 / 3/1,0 / 4/1,2 / 5/1,4 / 6/1,6 / 8/1,9 / 10/2.2</w:t>
      </w:r>
      <w:r>
        <w:rPr>
          <w:rStyle w:val="optioncarChar"/>
          <w:color w:val="000000"/>
        </w:rPr>
        <w:t xml:space="preserve"> (par défaut)</w:t>
      </w:r>
      <w:r>
        <w:rPr>
          <w:rStyle w:val="optioncarChar"/>
        </w:rPr>
        <w:t xml:space="preserve"> / 15/2,2+ / ***</w:t>
      </w:r>
    </w:p>
    <w:p w14:paraId="080879BC" w14:textId="77777777" w:rsidR="00DF410E" w:rsidRDefault="00CE7F43">
      <w:r>
        <w:t xml:space="preserve">Le groupe de configuration suivant [NBN EN 1996-1-1+A1 ANB] est 1. </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 xml:space="preserve">lisse </w:t>
      </w:r>
      <w:r>
        <w:t xml:space="preserve">(par défaut) </w:t>
      </w:r>
      <w:r>
        <w:rPr>
          <w:rStyle w:val="optioncarChar"/>
        </w:rPr>
        <w:t xml:space="preserve"> / adhérence améliorée / rainurée</w:t>
      </w:r>
      <w:r>
        <w:br/>
      </w:r>
      <w:r>
        <w:br/>
        <w:t>Teinte :</w:t>
      </w:r>
      <w:r>
        <w:rPr>
          <w:rStyle w:val="optioncarChar"/>
        </w:rPr>
        <w:t xml:space="preserve"> blanc / gris </w:t>
      </w:r>
      <w:r>
        <w:t>(par défaut)</w:t>
      </w:r>
      <w:r>
        <w:rPr>
          <w:rStyle w:val="optioncarChar"/>
        </w:rPr>
        <w:t xml:space="preserve"> / ***</w:t>
      </w:r>
      <w:r>
        <w:br/>
      </w:r>
      <w:r>
        <w:br/>
      </w:r>
    </w:p>
    <w:p w14:paraId="4832E12C" w14:textId="77777777" w:rsidR="00DF410E" w:rsidRDefault="00CE7F43">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2F53C32"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Réaction au feu :</w:t>
      </w:r>
      <w:r>
        <w:rPr>
          <w:rStyle w:val="optioncarChar"/>
        </w:rPr>
        <w:t xml:space="preserve"> A1 </w:t>
      </w:r>
      <w:r>
        <w:t>(par défaut)</w:t>
      </w:r>
      <w:r>
        <w:rPr>
          <w:rStyle w:val="optioncarChar"/>
        </w:rPr>
        <w:t xml:space="preserve"> / ***</w:t>
      </w:r>
    </w:p>
    <w:p w14:paraId="75133F33" w14:textId="77777777" w:rsidR="00DF410E" w:rsidRDefault="00CE7F43">
      <w:pPr>
        <w:spacing w:before="0" w:after="0"/>
      </w:pPr>
      <w:r>
        <w:rPr>
          <w:u w:val="single"/>
        </w:rPr>
        <w:t>Mortier</w:t>
      </w:r>
    </w:p>
    <w:p w14:paraId="7E6C7D16" w14:textId="77777777" w:rsidR="00DF410E" w:rsidRDefault="00CE7F43">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2307B50C" w14:textId="77777777" w:rsidR="00DF410E" w:rsidRDefault="00CE7F43">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79B9512B" w14:textId="77777777" w:rsidR="00DF410E" w:rsidRDefault="00CE7F43">
      <w:pPr>
        <w:spacing w:before="0" w:after="0"/>
      </w:pPr>
      <w:r>
        <w:rPr>
          <w:rStyle w:val="normalChar"/>
          <w:color w:val="000000"/>
        </w:rPr>
        <w:t>Résistance au gel : oui</w:t>
      </w:r>
    </w:p>
    <w:p w14:paraId="556BC738" w14:textId="77777777" w:rsidR="00DF410E" w:rsidRDefault="00CE7F43">
      <w:r>
        <w:br/>
      </w:r>
      <w:r>
        <w:br/>
      </w:r>
      <w:r>
        <w:rPr>
          <w:rStyle w:val="headingChar"/>
        </w:rPr>
        <w:t>Critères De Performances De La Paroi</w:t>
      </w:r>
    </w:p>
    <w:p w14:paraId="22C69F10" w14:textId="77777777" w:rsidR="00DF410E" w:rsidRDefault="00CE7F43">
      <w:r>
        <w:t>Coefficient de transmission :</w:t>
      </w:r>
    </w:p>
    <w:p w14:paraId="38D0FBFC" w14:textId="77777777" w:rsidR="00DF410E" w:rsidRDefault="00CE7F43">
      <w:pPr>
        <w:pStyle w:val="Author-eListParagraph"/>
        <w:numPr>
          <w:ilvl w:val="0"/>
          <w:numId w:val="57"/>
        </w:numPr>
      </w:pPr>
      <w:r>
        <w:t xml:space="preserve">valeur U minimale de </w:t>
      </w:r>
      <w:r>
        <w:rPr>
          <w:rStyle w:val="optioncarChar"/>
        </w:rPr>
        <w:t>***</w:t>
      </w:r>
      <w:r>
        <w:t xml:space="preserve"> W/m²K</w:t>
      </w:r>
    </w:p>
    <w:p w14:paraId="445FBDDA" w14:textId="77777777" w:rsidR="00DF410E" w:rsidRDefault="00CE7F43">
      <w:pPr>
        <w:pStyle w:val="Author-eListParagraph"/>
        <w:numPr>
          <w:ilvl w:val="0"/>
          <w:numId w:val="5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8031CBA" w14:textId="77777777" w:rsidR="00DF410E" w:rsidRDefault="00CE7F43">
      <w:r>
        <w:br/>
        <w:t>Résistance au feu :</w:t>
      </w:r>
    </w:p>
    <w:p w14:paraId="1A71DED1" w14:textId="77777777" w:rsidR="00DF410E" w:rsidRDefault="00CE7F43">
      <w:pPr>
        <w:pStyle w:val="Author-eListParagraph"/>
        <w:numPr>
          <w:ilvl w:val="0"/>
          <w:numId w:val="58"/>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D7DCA33" w14:textId="77777777" w:rsidR="00DF410E" w:rsidRDefault="00CE7F43">
      <w:pPr>
        <w:pStyle w:val="Author-eListParagraph"/>
        <w:numPr>
          <w:ilvl w:val="0"/>
          <w:numId w:val="58"/>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7DC2CAEF" w14:textId="77777777" w:rsidR="00DF410E" w:rsidRDefault="00CE7F43">
      <w:r>
        <w:t>selon les tableaux dans [NBN EN 1996-1-2 ANB].</w:t>
      </w:r>
    </w:p>
    <w:p w14:paraId="34F02CCF" w14:textId="77777777" w:rsidR="00DF410E" w:rsidRDefault="00CE7F43">
      <w:pPr>
        <w:pStyle w:val="pheading"/>
      </w:pPr>
      <w:r>
        <w:t>- Finitions</w:t>
      </w:r>
    </w:p>
    <w:p w14:paraId="7CF3CFF2" w14:textId="77777777" w:rsidR="00DF410E" w:rsidRDefault="00DF410E"/>
    <w:p w14:paraId="307D7372" w14:textId="77777777" w:rsidR="00DF410E" w:rsidRDefault="00CE7F43">
      <w:pPr>
        <w:pStyle w:val="Author-eListParagraph"/>
        <w:numPr>
          <w:ilvl w:val="0"/>
          <w:numId w:val="59"/>
        </w:numPr>
      </w:pPr>
      <w:r>
        <w:t xml:space="preserve">Les faces de murs suivantes sont exécutées comme maçonneries apparentes et sont </w:t>
      </w:r>
      <w:r>
        <w:rPr>
          <w:rStyle w:val="optioncarChar"/>
          <w:color w:val="000000"/>
        </w:rPr>
        <w:t>rejointoyées </w:t>
      </w:r>
      <w:r>
        <w:t xml:space="preserve">selon l'article </w:t>
      </w:r>
      <w:hyperlink w:anchor="344" w:history="1">
        <w:r>
          <w:t>21.61.1b Joints de maçonnerie apparente</w:t>
        </w:r>
      </w:hyperlink>
      <w:r>
        <w:t xml:space="preserve"> : </w:t>
      </w:r>
      <w:r>
        <w:rPr>
          <w:rStyle w:val="optioncarChar"/>
        </w:rPr>
        <w:t>***</w:t>
      </w:r>
    </w:p>
    <w:p w14:paraId="57C2B20E" w14:textId="77777777" w:rsidR="00DF410E" w:rsidRDefault="00CE7F43">
      <w:pPr>
        <w:pStyle w:val="Author-eListParagraph"/>
        <w:numPr>
          <w:ilvl w:val="0"/>
          <w:numId w:val="59"/>
        </w:numPr>
      </w:pPr>
      <w:r>
        <w:t xml:space="preserve">Les murs suivants sont exécutés avec une face restant apparente : </w:t>
      </w:r>
      <w:r>
        <w:rPr>
          <w:rStyle w:val="optioncarChar"/>
        </w:rPr>
        <w:t>***</w:t>
      </w:r>
    </w:p>
    <w:p w14:paraId="6335B487" w14:textId="77777777" w:rsidR="00DF410E" w:rsidRDefault="00CE7F43">
      <w:pPr>
        <w:pStyle w:val="Author-eListParagraph"/>
        <w:numPr>
          <w:ilvl w:val="0"/>
          <w:numId w:val="59"/>
        </w:numPr>
      </w:pPr>
      <w:r>
        <w:t xml:space="preserve">Les murs suivants sont exécutés avec deux faces restant apparentes : </w:t>
      </w:r>
      <w:r>
        <w:rPr>
          <w:rStyle w:val="optioncarChar"/>
        </w:rPr>
        <w:t>***</w:t>
      </w:r>
    </w:p>
    <w:p w14:paraId="1E5B7909" w14:textId="77777777" w:rsidR="00DF410E" w:rsidRDefault="00DF410E"/>
    <w:p w14:paraId="363F0784" w14:textId="77777777" w:rsidR="00DF410E" w:rsidRDefault="00CE7F43">
      <w:pPr>
        <w:pStyle w:val="pheading"/>
      </w:pPr>
      <w:r>
        <w:t>EXÉCUTION / MISE EN ŒUVRE</w:t>
      </w:r>
    </w:p>
    <w:p w14:paraId="2B10241A" w14:textId="77777777" w:rsidR="00DF410E" w:rsidRDefault="00CE7F43">
      <w:pPr>
        <w:pStyle w:val="pheading"/>
      </w:pPr>
      <w:r>
        <w:t>- Prescriptions générales</w:t>
      </w:r>
    </w:p>
    <w:p w14:paraId="2545C86C" w14:textId="77777777" w:rsidR="00DF410E" w:rsidRDefault="00CE7F43">
      <w:r>
        <w:t>Tous les joints horizontaux et verticaux sont bien remplis. Les maçonneries et les colonnes en béton dans les murs extérieurs continus sont liaisonnés mécaniquement tous les 0,60 m.</w:t>
      </w:r>
    </w:p>
    <w:p w14:paraId="01269BF3" w14:textId="77777777" w:rsidR="00DF410E" w:rsidRDefault="00CE7F43">
      <w:pPr>
        <w:pStyle w:val="pheading"/>
      </w:pPr>
      <w:r>
        <w:t>MESURAGE</w:t>
      </w:r>
    </w:p>
    <w:p w14:paraId="41395C0B" w14:textId="77777777" w:rsidR="00DF410E" w:rsidRDefault="00CE7F43">
      <w:pPr>
        <w:pStyle w:val="pheading"/>
      </w:pPr>
      <w:r>
        <w:t>- unité de mesure:</w:t>
      </w:r>
    </w:p>
    <w:p w14:paraId="508CF6A0" w14:textId="77777777" w:rsidR="00DF410E" w:rsidRDefault="00CE7F43">
      <w:r>
        <w:rPr>
          <w:rStyle w:val="optioncarChar"/>
        </w:rPr>
        <w:t>m³ </w:t>
      </w:r>
      <w:r>
        <w:t>(par défaut)</w:t>
      </w:r>
      <w:r>
        <w:rPr>
          <w:rStyle w:val="optioncarChar"/>
        </w:rPr>
        <w:t> / m²</w:t>
      </w:r>
    </w:p>
    <w:p w14:paraId="4ADE3B41" w14:textId="77777777" w:rsidR="00DF410E" w:rsidRDefault="00CE7F43">
      <w:r>
        <w:rPr>
          <w:b/>
        </w:rPr>
        <w:t>(soit par défaut)</w:t>
      </w:r>
    </w:p>
    <w:p w14:paraId="4A94125E" w14:textId="77777777" w:rsidR="00DF410E" w:rsidRDefault="00CE7F43">
      <w:r>
        <w:rPr>
          <w:rStyle w:val="soitChar"/>
        </w:rPr>
        <w:t>1. m³</w:t>
      </w:r>
    </w:p>
    <w:p w14:paraId="2D916D40" w14:textId="77777777" w:rsidR="00DF410E" w:rsidRDefault="00CE7F43">
      <w:r>
        <w:rPr>
          <w:b/>
        </w:rPr>
        <w:t>(soit)</w:t>
      </w:r>
    </w:p>
    <w:p w14:paraId="3F190691" w14:textId="77777777" w:rsidR="00DF410E" w:rsidRDefault="00CE7F43">
      <w:r>
        <w:rPr>
          <w:rStyle w:val="soitChar"/>
        </w:rPr>
        <w:t>2. m²</w:t>
      </w:r>
    </w:p>
    <w:p w14:paraId="3E1DCC1B" w14:textId="77777777" w:rsidR="00DF410E" w:rsidRDefault="00CE7F43">
      <w:pPr>
        <w:pStyle w:val="pheading"/>
      </w:pPr>
      <w:r>
        <w:t>- code de mesurage:</w:t>
      </w:r>
    </w:p>
    <w:p w14:paraId="182C0313"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B7EAC84"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75AD4221"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12CEE7B3" w14:textId="77777777" w:rsidR="00DF410E" w:rsidRDefault="00CE7F43">
      <w:r>
        <w:br/>
      </w:r>
      <w:r>
        <w:rPr>
          <w:rStyle w:val="optioncarChar"/>
        </w:rPr>
        <w:t>Volume net </w:t>
      </w:r>
      <w:r>
        <w:t>(par défaut)</w:t>
      </w:r>
      <w:r>
        <w:rPr>
          <w:rStyle w:val="optioncarChar"/>
        </w:rPr>
        <w:t> / Surface nette</w:t>
      </w:r>
    </w:p>
    <w:p w14:paraId="269B6D4F" w14:textId="77777777" w:rsidR="00DF410E" w:rsidRDefault="00CE7F43">
      <w:r>
        <w:rPr>
          <w:b/>
        </w:rPr>
        <w:t>(soit par défaut)</w:t>
      </w:r>
    </w:p>
    <w:p w14:paraId="33BD3AC7"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D84BE47" w14:textId="77777777" w:rsidR="00DF410E" w:rsidRDefault="00CE7F43">
      <w:r>
        <w:rPr>
          <w:b/>
        </w:rPr>
        <w:t>(soit)</w:t>
      </w:r>
    </w:p>
    <w:p w14:paraId="6884AFC3"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557C35A" w14:textId="77777777" w:rsidR="00DF410E" w:rsidRDefault="00DF410E"/>
    <w:p w14:paraId="52EE22AB" w14:textId="77777777" w:rsidR="00DF410E" w:rsidRDefault="00CE7F43">
      <w:r>
        <w:t> </w:t>
      </w:r>
    </w:p>
    <w:p w14:paraId="14B4E532" w14:textId="77777777" w:rsidR="00DF410E" w:rsidRDefault="00CE7F43">
      <w:pPr>
        <w:pStyle w:val="pheading"/>
      </w:pPr>
      <w:r>
        <w:t>- nature du marché:</w:t>
      </w:r>
    </w:p>
    <w:p w14:paraId="7AC9784A" w14:textId="77777777" w:rsidR="00DF410E" w:rsidRDefault="00CE7F43">
      <w:r>
        <w:t>QF</w:t>
      </w:r>
    </w:p>
    <w:p w14:paraId="1E18B9E1" w14:textId="77777777" w:rsidR="00DF410E" w:rsidRDefault="00CE7F43">
      <w:pPr>
        <w:pStyle w:val="pheading"/>
      </w:pPr>
      <w:r>
        <w:t>AIDE</w:t>
      </w:r>
    </w:p>
    <w:p w14:paraId="359F9E1E" w14:textId="77777777" w:rsidR="00DF410E" w:rsidRDefault="00CE7F43">
      <w:r>
        <w:t>Note à l'attention de l'auteur du projet</w:t>
      </w:r>
      <w:r>
        <w:br/>
        <w:t>Les blocs de béton pleins sont répartis en catégories de qualité en fonction des combinaisons de résistance à la compression normalisée (premier chiffre exprimé en N/mm2) et à la masse volumique sèche (deuxième chiffre exprimé en tonnes/m3).</w:t>
      </w:r>
    </w:p>
    <w:p w14:paraId="4781B346" w14:textId="77777777" w:rsidR="00DF410E" w:rsidRDefault="00CE7F43">
      <w:pPr>
        <w:pStyle w:val="Author-eSectionHeading6"/>
      </w:pPr>
      <w:bookmarkStart w:id="32" w:name="_Toc178837301"/>
      <w:r>
        <w:t>21.12.2b Maçonneries portantes en blocs de béton pleins à coller CCTB 01.12</w:t>
      </w:r>
      <w:bookmarkEnd w:id="32"/>
    </w:p>
    <w:p w14:paraId="55C75E1E" w14:textId="77777777" w:rsidR="00DF410E" w:rsidRDefault="00CE7F43">
      <w:pPr>
        <w:pStyle w:val="pheading"/>
      </w:pPr>
      <w:r>
        <w:t>DESCRIPTION</w:t>
      </w:r>
    </w:p>
    <w:p w14:paraId="5C728EFF" w14:textId="77777777" w:rsidR="00DF410E" w:rsidRDefault="00CE7F43">
      <w:pPr>
        <w:pStyle w:val="pheading"/>
      </w:pPr>
      <w:r>
        <w:t>- Définition / Comprend</w:t>
      </w:r>
    </w:p>
    <w:p w14:paraId="31E4AE45" w14:textId="77777777" w:rsidR="00DF410E" w:rsidRDefault="00CE7F43">
      <w:r>
        <w:t xml:space="preserve">Il s’agit de la fourniture et la pose de maçonneries portantes en blocs de béton plains à coller.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2CFE5A8B" w14:textId="77777777" w:rsidR="00DF410E" w:rsidRDefault="00CE7F43">
      <w:pPr>
        <w:pStyle w:val="pheading"/>
      </w:pPr>
      <w:r>
        <w:t>- Localisation</w:t>
      </w:r>
    </w:p>
    <w:p w14:paraId="34E4594B" w14:textId="77777777" w:rsidR="00DF410E" w:rsidRDefault="00CE7F43">
      <w:r>
        <w:t xml:space="preserve">La pose est réalisée aux endroits suivants : </w:t>
      </w:r>
      <w:r>
        <w:rPr>
          <w:rStyle w:val="optioncarChar"/>
        </w:rPr>
        <w:t>***</w:t>
      </w:r>
      <w:r>
        <w:t>.</w:t>
      </w:r>
      <w:r>
        <w:br/>
        <w:t>Voir plans et métrés détaillés.</w:t>
      </w:r>
    </w:p>
    <w:p w14:paraId="37426112" w14:textId="77777777" w:rsidR="00DF410E" w:rsidRDefault="00CE7F43">
      <w:pPr>
        <w:pStyle w:val="pheading"/>
      </w:pPr>
      <w:r>
        <w:t>MATÉRIAUX</w:t>
      </w:r>
    </w:p>
    <w:p w14:paraId="0892CCAE" w14:textId="77777777" w:rsidR="00DF410E" w:rsidRDefault="00CE7F43">
      <w:pPr>
        <w:pStyle w:val="pheading"/>
      </w:pPr>
      <w:r>
        <w:t>- Caractéristiques générales</w:t>
      </w:r>
    </w:p>
    <w:p w14:paraId="02C2DA39" w14:textId="77777777" w:rsidR="00DF410E" w:rsidRDefault="00CE7F43">
      <w:r>
        <w:rPr>
          <w:rStyle w:val="headingChar"/>
        </w:rPr>
        <w:t>Spécifications</w:t>
      </w:r>
    </w:p>
    <w:p w14:paraId="083A7A3A" w14:textId="77777777" w:rsidR="00DF410E" w:rsidRDefault="00CE7F43">
      <w:r>
        <w:rPr>
          <w:u w:val="single"/>
        </w:rPr>
        <w:t>Blocs</w:t>
      </w:r>
    </w:p>
    <w:p w14:paraId="466FBB6B" w14:textId="77777777" w:rsidR="00DF410E" w:rsidRDefault="00CE7F43">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 xml:space="preserve">2/0,8 / 3/1,0 / 4/1,2 / 5/1,4 / 6/1,6 / 8/1,9 / 10/2.2 </w:t>
      </w:r>
      <w:r>
        <w:rPr>
          <w:rStyle w:val="optioncarChar"/>
          <w:color w:val="000000"/>
        </w:rPr>
        <w:t>(par défaut)</w:t>
      </w:r>
      <w:r>
        <w:rPr>
          <w:rStyle w:val="optioncarChar"/>
        </w:rPr>
        <w:t xml:space="preserve"> /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gris </w:t>
      </w:r>
      <w:r>
        <w:t xml:space="preserve">(par défaut) </w:t>
      </w:r>
      <w:r>
        <w:rPr>
          <w:rStyle w:val="optioncarChar"/>
        </w:rPr>
        <w:t>/ ***</w:t>
      </w:r>
    </w:p>
    <w:p w14:paraId="4775D91E" w14:textId="77777777" w:rsidR="00DF410E" w:rsidRDefault="00CE7F43">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F173BFA" w14:textId="77777777" w:rsidR="00DF410E" w:rsidRDefault="00CE7F43">
      <w:r>
        <w:t>La classe de tolérances dimensionnelles est D4.</w:t>
      </w:r>
    </w:p>
    <w:p w14:paraId="0964A4C4"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Résistance au gel suivant les classes d’application MX… selon [NBN EN 1996-2 ANB] et [NIT 271]. </w:t>
      </w:r>
      <w:r>
        <w:br/>
      </w:r>
      <w:r>
        <w:br/>
        <w:t xml:space="preserve">Réaction au feu : </w:t>
      </w:r>
      <w:r>
        <w:rPr>
          <w:rStyle w:val="optioncarChar"/>
        </w:rPr>
        <w:t>A1 </w:t>
      </w:r>
      <w:r>
        <w:t xml:space="preserve">(par défaut) </w:t>
      </w:r>
      <w:r>
        <w:rPr>
          <w:rStyle w:val="optioncarChar"/>
        </w:rPr>
        <w:t>/ ***</w:t>
      </w:r>
    </w:p>
    <w:p w14:paraId="7511967E" w14:textId="77777777" w:rsidR="00DF410E" w:rsidRDefault="00CE7F43">
      <w:pPr>
        <w:spacing w:before="0" w:after="0"/>
      </w:pPr>
      <w:r>
        <w:rPr>
          <w:u w:val="single"/>
        </w:rPr>
        <w:t>Mortier</w:t>
      </w:r>
    </w:p>
    <w:p w14:paraId="3EC74ED1" w14:textId="77777777" w:rsidR="00DF410E" w:rsidRDefault="00CE7F43">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7F278941" w14:textId="77777777" w:rsidR="00DF410E" w:rsidRDefault="00CE7F43">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2AC980F2" w14:textId="77777777" w:rsidR="00DF410E" w:rsidRDefault="00CE7F43">
      <w:pPr>
        <w:spacing w:before="0" w:after="0"/>
      </w:pPr>
      <w:r>
        <w:rPr>
          <w:rStyle w:val="normalChar"/>
          <w:color w:val="000000"/>
        </w:rPr>
        <w:t>Résistance au gel : oui</w:t>
      </w:r>
    </w:p>
    <w:p w14:paraId="0F6480FC" w14:textId="77777777" w:rsidR="00DF410E" w:rsidRDefault="00CE7F43">
      <w:r>
        <w:br/>
      </w:r>
      <w:r>
        <w:rPr>
          <w:rStyle w:val="headingChar"/>
        </w:rPr>
        <w:t>Critères De Performances De La Paroi</w:t>
      </w:r>
    </w:p>
    <w:p w14:paraId="1DB4F873" w14:textId="77777777" w:rsidR="00DF410E" w:rsidRDefault="00CE7F43">
      <w:r>
        <w:t>Coefficient de transmission :</w:t>
      </w:r>
    </w:p>
    <w:p w14:paraId="42AC1065" w14:textId="77777777" w:rsidR="00DF410E" w:rsidRDefault="00CE7F43">
      <w:pPr>
        <w:pStyle w:val="Author-eListParagraph"/>
        <w:numPr>
          <w:ilvl w:val="0"/>
          <w:numId w:val="60"/>
        </w:numPr>
      </w:pPr>
      <w:r>
        <w:t xml:space="preserve">valeur U minimale de </w:t>
      </w:r>
      <w:r>
        <w:rPr>
          <w:rStyle w:val="optioncarChar"/>
        </w:rPr>
        <w:t>***</w:t>
      </w:r>
      <w:r>
        <w:t xml:space="preserve"> W/m²K</w:t>
      </w:r>
    </w:p>
    <w:p w14:paraId="5DFDCA82" w14:textId="77777777" w:rsidR="00DF410E" w:rsidRDefault="00CE7F43">
      <w:pPr>
        <w:pStyle w:val="Author-eListParagraph"/>
        <w:numPr>
          <w:ilvl w:val="0"/>
          <w:numId w:val="6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C4EB291" w14:textId="77777777" w:rsidR="00DF410E" w:rsidRDefault="00CE7F43">
      <w:r>
        <w:br/>
        <w:t>Résistance au feu :</w:t>
      </w:r>
    </w:p>
    <w:p w14:paraId="2225609C" w14:textId="77777777" w:rsidR="00DF410E" w:rsidRDefault="00CE7F43">
      <w:pPr>
        <w:pStyle w:val="Author-eListParagraph"/>
        <w:numPr>
          <w:ilvl w:val="0"/>
          <w:numId w:val="61"/>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0EF804EF" w14:textId="77777777" w:rsidR="00DF410E" w:rsidRDefault="00CE7F43">
      <w:pPr>
        <w:pStyle w:val="Author-eListParagraph"/>
        <w:numPr>
          <w:ilvl w:val="0"/>
          <w:numId w:val="61"/>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5BE20A82" w14:textId="77777777" w:rsidR="00DF410E" w:rsidRDefault="00CE7F43">
      <w:r>
        <w:t>selon les tableaux dans [NBN EN 1996-1-2 ANB].</w:t>
      </w:r>
    </w:p>
    <w:p w14:paraId="09B9F439" w14:textId="77777777" w:rsidR="00DF410E" w:rsidRDefault="00CE7F43">
      <w:pPr>
        <w:pStyle w:val="pheading"/>
      </w:pPr>
      <w:r>
        <w:t>- Finitions</w:t>
      </w:r>
    </w:p>
    <w:p w14:paraId="3DDADDC3" w14:textId="77777777" w:rsidR="00DF410E" w:rsidRDefault="00CE7F43">
      <w:r>
        <w:t>Les faces de murs suivantes sont exécutées comme maçonneries apparentes et sont</w:t>
      </w:r>
      <w:r>
        <w:rPr>
          <w:rStyle w:val="optioncarChar"/>
        </w:rPr>
        <w:t xml:space="preserve"> rejointoyées</w:t>
      </w:r>
      <w:r>
        <w:t xml:space="preserve"> selon </w:t>
      </w:r>
      <w:hyperlink w:anchor="344"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r>
        <w:br/>
      </w:r>
      <w:r>
        <w:br/>
      </w:r>
    </w:p>
    <w:p w14:paraId="107A5E61" w14:textId="77777777" w:rsidR="00DF410E" w:rsidRDefault="00CE7F43">
      <w:pPr>
        <w:pStyle w:val="pheading"/>
      </w:pPr>
      <w:r>
        <w:t>EXÉCUTION / MISE EN ŒUVRE</w:t>
      </w:r>
    </w:p>
    <w:p w14:paraId="41836F3A" w14:textId="77777777" w:rsidR="00DF410E" w:rsidRDefault="00CE7F43">
      <w:pPr>
        <w:pStyle w:val="pheading"/>
      </w:pPr>
      <w:r>
        <w:t>- Prescriptions générales</w:t>
      </w:r>
    </w:p>
    <w:p w14:paraId="6A4EE28D" w14:textId="77777777" w:rsidR="00DF410E" w:rsidRDefault="00CE7F43">
      <w:r>
        <w:t>Tous les joints horizontaux et verticaux sont bien remplis. Les maçonneries et les colonnes en béton dans les murs extérieurs continus sont liaisonnés mécaniquement tous les 0,60 m.</w:t>
      </w:r>
    </w:p>
    <w:p w14:paraId="6F563D4C" w14:textId="77777777" w:rsidR="00DF410E" w:rsidRDefault="00CE7F43">
      <w:pPr>
        <w:pStyle w:val="pheading"/>
      </w:pPr>
      <w:r>
        <w:t>MESURAGE</w:t>
      </w:r>
    </w:p>
    <w:p w14:paraId="5A7A7309" w14:textId="77777777" w:rsidR="00DF410E" w:rsidRDefault="00CE7F43">
      <w:pPr>
        <w:pStyle w:val="pheading"/>
      </w:pPr>
      <w:r>
        <w:t>- unité de mesure:</w:t>
      </w:r>
    </w:p>
    <w:p w14:paraId="269C05CD" w14:textId="77777777" w:rsidR="00DF410E" w:rsidRDefault="00CE7F43">
      <w:r>
        <w:rPr>
          <w:rStyle w:val="optioncarChar"/>
        </w:rPr>
        <w:t>m³ </w:t>
      </w:r>
      <w:r>
        <w:t>(par défaut)</w:t>
      </w:r>
      <w:r>
        <w:rPr>
          <w:rStyle w:val="optioncarChar"/>
        </w:rPr>
        <w:t> / m²</w:t>
      </w:r>
    </w:p>
    <w:p w14:paraId="4A9741AB" w14:textId="77777777" w:rsidR="00DF410E" w:rsidRDefault="00CE7F43">
      <w:r>
        <w:rPr>
          <w:b/>
        </w:rPr>
        <w:t>(soit par défaut)</w:t>
      </w:r>
    </w:p>
    <w:p w14:paraId="27BF1FCE" w14:textId="77777777" w:rsidR="00DF410E" w:rsidRDefault="00CE7F43">
      <w:r>
        <w:rPr>
          <w:rStyle w:val="soitChar"/>
        </w:rPr>
        <w:t>1. m³</w:t>
      </w:r>
    </w:p>
    <w:p w14:paraId="6A33DDC7" w14:textId="77777777" w:rsidR="00DF410E" w:rsidRDefault="00CE7F43">
      <w:r>
        <w:rPr>
          <w:b/>
        </w:rPr>
        <w:t>(soit)</w:t>
      </w:r>
    </w:p>
    <w:p w14:paraId="62D0011E" w14:textId="77777777" w:rsidR="00DF410E" w:rsidRDefault="00CE7F43">
      <w:r>
        <w:rPr>
          <w:rStyle w:val="soitChar"/>
        </w:rPr>
        <w:t>2. m²</w:t>
      </w:r>
    </w:p>
    <w:p w14:paraId="60C7D654" w14:textId="77777777" w:rsidR="00DF410E" w:rsidRDefault="00CE7F43">
      <w:pPr>
        <w:pStyle w:val="pheading"/>
      </w:pPr>
      <w:r>
        <w:t>- code de mesurage:</w:t>
      </w:r>
    </w:p>
    <w:p w14:paraId="6D764D13"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E77B5B4"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182B880"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EECAE97" w14:textId="77777777" w:rsidR="00DF410E" w:rsidRDefault="00CE7F43">
      <w:r>
        <w:br/>
      </w:r>
      <w:r>
        <w:rPr>
          <w:rStyle w:val="optioncarChar"/>
        </w:rPr>
        <w:t>Volume net </w:t>
      </w:r>
      <w:r>
        <w:t>(par défaut)</w:t>
      </w:r>
      <w:r>
        <w:rPr>
          <w:rStyle w:val="optioncarChar"/>
        </w:rPr>
        <w:t> / Surface nette</w:t>
      </w:r>
    </w:p>
    <w:p w14:paraId="28F29127" w14:textId="77777777" w:rsidR="00DF410E" w:rsidRDefault="00CE7F43">
      <w:r>
        <w:rPr>
          <w:b/>
        </w:rPr>
        <w:t>(soit par défaut)</w:t>
      </w:r>
    </w:p>
    <w:p w14:paraId="7CB7504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F8FCAD0" w14:textId="77777777" w:rsidR="00DF410E" w:rsidRDefault="00CE7F43">
      <w:r>
        <w:rPr>
          <w:b/>
        </w:rPr>
        <w:t>(soit)</w:t>
      </w:r>
    </w:p>
    <w:p w14:paraId="6A6457F7"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68F86BC" w14:textId="77777777" w:rsidR="00DF410E" w:rsidRDefault="00DF410E"/>
    <w:p w14:paraId="6B309244" w14:textId="77777777" w:rsidR="00DF410E" w:rsidRDefault="00CE7F43">
      <w:r>
        <w:t> </w:t>
      </w:r>
    </w:p>
    <w:p w14:paraId="41682ED8" w14:textId="77777777" w:rsidR="00DF410E" w:rsidRDefault="00CE7F43">
      <w:pPr>
        <w:pStyle w:val="pheading"/>
      </w:pPr>
      <w:r>
        <w:t>- nature du marché:</w:t>
      </w:r>
    </w:p>
    <w:p w14:paraId="54D9DCEC" w14:textId="77777777" w:rsidR="00DF410E" w:rsidRDefault="00DF410E"/>
    <w:p w14:paraId="44FD3C60" w14:textId="77777777" w:rsidR="00DF410E" w:rsidRDefault="00CE7F43">
      <w:r>
        <w:t>QF</w:t>
      </w:r>
    </w:p>
    <w:p w14:paraId="42020544" w14:textId="77777777" w:rsidR="00DF410E" w:rsidRDefault="00CE7F43">
      <w:pPr>
        <w:pStyle w:val="Author-eSectionHeading6"/>
      </w:pPr>
      <w:bookmarkStart w:id="33" w:name="_Toc178837302"/>
      <w:r>
        <w:t>21.12.2c Maçonneries portantes en blocs de béton creux à maçonner CCTB 01.12</w:t>
      </w:r>
      <w:bookmarkEnd w:id="33"/>
    </w:p>
    <w:p w14:paraId="6290EC19" w14:textId="77777777" w:rsidR="00DF410E" w:rsidRDefault="00CE7F43">
      <w:pPr>
        <w:pStyle w:val="pheading"/>
      </w:pPr>
      <w:r>
        <w:t>DESCRIPTION</w:t>
      </w:r>
    </w:p>
    <w:p w14:paraId="6CBE7896" w14:textId="77777777" w:rsidR="00DF410E" w:rsidRDefault="00CE7F43">
      <w:pPr>
        <w:pStyle w:val="pheading"/>
      </w:pPr>
      <w:r>
        <w:t>- Définition / Comprend</w:t>
      </w:r>
    </w:p>
    <w:p w14:paraId="6224F5D8" w14:textId="77777777" w:rsidR="00DF410E" w:rsidRDefault="00CE7F43">
      <w:r>
        <w:t xml:space="preserve">Il s’agit de la fourniture et la pose de maçonneries portantes en blocs de béton creux à maçonner.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3EF85A47" w14:textId="77777777" w:rsidR="00DF410E" w:rsidRDefault="00CE7F43">
      <w:pPr>
        <w:pStyle w:val="pheading"/>
      </w:pPr>
      <w:r>
        <w:t>- Localisation</w:t>
      </w:r>
    </w:p>
    <w:p w14:paraId="58AC2477" w14:textId="77777777" w:rsidR="00DF410E" w:rsidRDefault="00CE7F43">
      <w:r>
        <w:t xml:space="preserve">La pose est réalisée aux endroits suivants : </w:t>
      </w:r>
      <w:r>
        <w:rPr>
          <w:rStyle w:val="optioncarChar"/>
        </w:rPr>
        <w:t>***</w:t>
      </w:r>
      <w:r>
        <w:t>.</w:t>
      </w:r>
      <w:r>
        <w:br/>
        <w:t>Voir plans et métrés détaillés.</w:t>
      </w:r>
    </w:p>
    <w:p w14:paraId="5EFFDECB" w14:textId="77777777" w:rsidR="00DF410E" w:rsidRDefault="00CE7F43">
      <w:pPr>
        <w:pStyle w:val="pheading"/>
      </w:pPr>
      <w:r>
        <w:t>MATÉRIAUX</w:t>
      </w:r>
    </w:p>
    <w:p w14:paraId="1912EB5D" w14:textId="77777777" w:rsidR="00DF410E" w:rsidRDefault="00CE7F43">
      <w:pPr>
        <w:pStyle w:val="pheading"/>
      </w:pPr>
      <w:r>
        <w:t>- Caractéristiques générales</w:t>
      </w:r>
    </w:p>
    <w:p w14:paraId="05DC0B8E" w14:textId="77777777" w:rsidR="00DF410E" w:rsidRDefault="00CE7F43">
      <w:r>
        <w:rPr>
          <w:rStyle w:val="headingChar"/>
        </w:rPr>
        <w:t>Spécifications</w:t>
      </w:r>
    </w:p>
    <w:p w14:paraId="65B405F9" w14:textId="77777777" w:rsidR="00DF410E" w:rsidRDefault="00CE7F43">
      <w:r>
        <w:rPr>
          <w:u w:val="single"/>
        </w:rPr>
        <w:t>Blocs</w:t>
      </w:r>
    </w:p>
    <w:p w14:paraId="465614EC" w14:textId="77777777" w:rsidR="00DF410E" w:rsidRDefault="00CE7F43">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 / 3/1,0 / 4/1,2 / 5/1,4 / 6/1,6 / 8/1,9 / 10/2.2</w:t>
      </w:r>
      <w:r>
        <w:rPr>
          <w:rStyle w:val="optioncarChar"/>
          <w:color w:val="000000"/>
        </w:rPr>
        <w:t xml:space="preserve"> (par défaut)</w:t>
      </w:r>
      <w:r>
        <w:rPr>
          <w:rStyle w:val="optioncarChar"/>
        </w:rPr>
        <w:t xml:space="preserve"> / 15/2,2+ / ***</w:t>
      </w:r>
    </w:p>
    <w:p w14:paraId="6F6D780D" w14:textId="77777777" w:rsidR="00DF410E" w:rsidRDefault="00CE7F43">
      <w:r>
        <w:t xml:space="preserve">Le groupe de configuration suivant [NBN EN 1996-1-1+A1 ANB] est: </w:t>
      </w:r>
      <w:r>
        <w:rPr>
          <w:rStyle w:val="optioncarChar"/>
        </w:rPr>
        <w:t>2 / 3 / 4 / creux </w:t>
      </w:r>
      <w:r>
        <w:t>(par défaut)</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Face à cimenter ou plafonner :</w:t>
      </w:r>
      <w:r>
        <w:rPr>
          <w:rStyle w:val="optioncarChar"/>
        </w:rPr>
        <w:t xml:space="preserve"> lisse</w:t>
      </w:r>
      <w:r>
        <w:t xml:space="preserve"> (par défaut)</w:t>
      </w:r>
      <w:r>
        <w:rPr>
          <w:rStyle w:val="optioncarChar"/>
        </w:rPr>
        <w:t xml:space="preserve"> / adhérence améliorée/ rainurée</w:t>
      </w:r>
      <w:r>
        <w:br/>
      </w:r>
      <w:r>
        <w:br/>
        <w:t>Teinte :</w:t>
      </w:r>
      <w:r>
        <w:rPr>
          <w:rStyle w:val="optioncarChar"/>
        </w:rPr>
        <w:t xml:space="preserve"> blanc / gris </w:t>
      </w:r>
      <w:r>
        <w:t>(par défaut) </w:t>
      </w:r>
      <w:r>
        <w:rPr>
          <w:rStyle w:val="optioncarChar"/>
        </w:rPr>
        <w:t>/ ***</w:t>
      </w:r>
      <w:r>
        <w:br/>
      </w:r>
      <w:r>
        <w:br/>
        <w:t xml:space="preserve">Format : (L x l x h) </w:t>
      </w:r>
      <w:r>
        <w:rPr>
          <w:rStyle w:val="optioncarChar"/>
        </w:rPr>
        <w:t>*** x *** x *** mm / format modulaire proposé par l'entrepreneur</w:t>
      </w:r>
      <w:r>
        <w:t> (par défaut)</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55A36E27" w14:textId="77777777" w:rsidR="00DF410E" w:rsidRDefault="00CE7F43">
      <w:pPr>
        <w:spacing w:before="0" w:after="0"/>
      </w:pPr>
      <w:r>
        <w:rPr>
          <w:u w:val="single"/>
        </w:rPr>
        <w:t>Mortier</w:t>
      </w:r>
    </w:p>
    <w:p w14:paraId="79C5A981"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2F04A3D0"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00D3668" w14:textId="77777777" w:rsidR="00DF410E" w:rsidRDefault="00CE7F43">
      <w:pPr>
        <w:spacing w:before="0" w:after="0"/>
      </w:pPr>
      <w:r>
        <w:rPr>
          <w:rStyle w:val="normalChar"/>
          <w:color w:val="000000"/>
        </w:rPr>
        <w:t>Résistance au gel : oui</w:t>
      </w:r>
    </w:p>
    <w:p w14:paraId="75ED176F" w14:textId="77777777" w:rsidR="00DF410E" w:rsidRDefault="00CE7F43">
      <w:r>
        <w:br/>
      </w:r>
      <w:r>
        <w:rPr>
          <w:rStyle w:val="headingChar"/>
        </w:rPr>
        <w:t>Critères De Performances De La Paroi</w:t>
      </w:r>
    </w:p>
    <w:p w14:paraId="23A8ED7E" w14:textId="77777777" w:rsidR="00DF410E" w:rsidRDefault="00CE7F43">
      <w:r>
        <w:t>Coefficient de transmission :</w:t>
      </w:r>
    </w:p>
    <w:p w14:paraId="22ABD178" w14:textId="77777777" w:rsidR="00DF410E" w:rsidRDefault="00CE7F43">
      <w:pPr>
        <w:pStyle w:val="Author-eListParagraph"/>
        <w:numPr>
          <w:ilvl w:val="0"/>
          <w:numId w:val="62"/>
        </w:numPr>
      </w:pPr>
      <w:r>
        <w:t xml:space="preserve">valeur U minimale de </w:t>
      </w:r>
      <w:r>
        <w:rPr>
          <w:rStyle w:val="optioncarChar"/>
        </w:rPr>
        <w:t>***</w:t>
      </w:r>
      <w:r>
        <w:t xml:space="preserve"> W/m²K</w:t>
      </w:r>
    </w:p>
    <w:p w14:paraId="348FA224" w14:textId="77777777" w:rsidR="00DF410E" w:rsidRDefault="00CE7F43">
      <w:pPr>
        <w:pStyle w:val="Author-eListParagraph"/>
        <w:numPr>
          <w:ilvl w:val="0"/>
          <w:numId w:val="6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54C05BD" w14:textId="77777777" w:rsidR="00DF410E" w:rsidRDefault="00CE7F43">
      <w:r>
        <w:br/>
        <w:t>Résistance au feu :</w:t>
      </w:r>
    </w:p>
    <w:p w14:paraId="5084E226" w14:textId="77777777" w:rsidR="00DF410E" w:rsidRDefault="00CE7F43">
      <w:pPr>
        <w:pStyle w:val="Author-eListParagraph"/>
        <w:numPr>
          <w:ilvl w:val="0"/>
          <w:numId w:val="6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4E4B861" w14:textId="77777777" w:rsidR="00DF410E" w:rsidRDefault="00CE7F43">
      <w:pPr>
        <w:pStyle w:val="Author-eListParagraph"/>
        <w:numPr>
          <w:ilvl w:val="0"/>
          <w:numId w:val="63"/>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25821C49" w14:textId="77777777" w:rsidR="00DF410E" w:rsidRDefault="00CE7F43">
      <w:r>
        <w:t>selon les tableaux dans [NBN EN 1996-1-2 ANB].</w:t>
      </w:r>
    </w:p>
    <w:p w14:paraId="0B83D518" w14:textId="77777777" w:rsidR="00DF410E" w:rsidRDefault="00CE7F43">
      <w:pPr>
        <w:pStyle w:val="pheading"/>
      </w:pPr>
      <w:r>
        <w:t>- Finitions</w:t>
      </w:r>
    </w:p>
    <w:p w14:paraId="5B92B283" w14:textId="77777777" w:rsidR="00DF410E" w:rsidRDefault="00DF410E"/>
    <w:p w14:paraId="25D73FA8" w14:textId="77777777" w:rsidR="00DF410E" w:rsidRDefault="00CE7F43">
      <w:pPr>
        <w:pStyle w:val="Author-eListParagraph"/>
        <w:numPr>
          <w:ilvl w:val="0"/>
          <w:numId w:val="64"/>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4DB1D15E" w14:textId="77777777" w:rsidR="00DF410E" w:rsidRDefault="00CE7F43">
      <w:pPr>
        <w:pStyle w:val="Author-eListParagraph"/>
        <w:numPr>
          <w:ilvl w:val="0"/>
          <w:numId w:val="64"/>
        </w:numPr>
      </w:pPr>
      <w:r>
        <w:t xml:space="preserve">Les murs suivants sont exécutés avec une face restant apparente : </w:t>
      </w:r>
      <w:r>
        <w:rPr>
          <w:rStyle w:val="optioncarChar"/>
        </w:rPr>
        <w:t>***</w:t>
      </w:r>
    </w:p>
    <w:p w14:paraId="39B9EBF9" w14:textId="77777777" w:rsidR="00DF410E" w:rsidRDefault="00CE7F43">
      <w:pPr>
        <w:pStyle w:val="Author-eListParagraph"/>
        <w:numPr>
          <w:ilvl w:val="0"/>
          <w:numId w:val="64"/>
        </w:numPr>
      </w:pPr>
      <w:r>
        <w:t xml:space="preserve">Les murs suivants sont exécutés avec deux faces restant apparentes : </w:t>
      </w:r>
      <w:r>
        <w:rPr>
          <w:rStyle w:val="optioncarChar"/>
        </w:rPr>
        <w:t>***</w:t>
      </w:r>
    </w:p>
    <w:p w14:paraId="2C9E8DB8" w14:textId="77777777" w:rsidR="00DF410E" w:rsidRDefault="00DF410E"/>
    <w:p w14:paraId="59AF92A6" w14:textId="77777777" w:rsidR="00DF410E" w:rsidRDefault="00CE7F43">
      <w:r>
        <w:t> </w:t>
      </w:r>
    </w:p>
    <w:p w14:paraId="3F99DD18" w14:textId="77777777" w:rsidR="00DF410E" w:rsidRDefault="00CE7F43">
      <w:pPr>
        <w:pStyle w:val="pheading"/>
      </w:pPr>
      <w:r>
        <w:t>EXÉCUTION / MISE EN ŒUVRE</w:t>
      </w:r>
    </w:p>
    <w:p w14:paraId="0CC3C60D" w14:textId="77777777" w:rsidR="00DF410E" w:rsidRDefault="00CE7F43">
      <w:pPr>
        <w:pStyle w:val="pheading"/>
      </w:pPr>
      <w:r>
        <w:t>- Prescriptions générales</w:t>
      </w:r>
    </w:p>
    <w:p w14:paraId="4D919C84" w14:textId="77777777" w:rsidR="00DF410E" w:rsidRDefault="00CE7F43">
      <w:r>
        <w:t>La pose est effectuée à plein bain de mortier (tous les joints horizontaux et verticaux sont bien remplis) Aux endroits prévus pour la pose de linteaux et/ou de poutres de répartition, les blocs creux sont remplis de béton.</w:t>
      </w:r>
    </w:p>
    <w:p w14:paraId="662E4BD8" w14:textId="77777777" w:rsidR="00DF410E" w:rsidRDefault="00CE7F43">
      <w:pPr>
        <w:pStyle w:val="pheading"/>
      </w:pPr>
      <w:r>
        <w:t>MESURAGE</w:t>
      </w:r>
    </w:p>
    <w:p w14:paraId="192079C8" w14:textId="77777777" w:rsidR="00DF410E" w:rsidRDefault="00CE7F43">
      <w:pPr>
        <w:pStyle w:val="pheading"/>
      </w:pPr>
      <w:r>
        <w:t>- unité de mesure:</w:t>
      </w:r>
    </w:p>
    <w:p w14:paraId="0DECBF1B" w14:textId="77777777" w:rsidR="00DF410E" w:rsidRDefault="00CE7F43">
      <w:r>
        <w:rPr>
          <w:rStyle w:val="optioncarChar"/>
        </w:rPr>
        <w:t>m³ </w:t>
      </w:r>
      <w:r>
        <w:t>(par défaut)</w:t>
      </w:r>
      <w:r>
        <w:rPr>
          <w:rStyle w:val="optioncarChar"/>
        </w:rPr>
        <w:t> / m²</w:t>
      </w:r>
    </w:p>
    <w:p w14:paraId="4E6C334B" w14:textId="77777777" w:rsidR="00DF410E" w:rsidRDefault="00CE7F43">
      <w:r>
        <w:rPr>
          <w:b/>
        </w:rPr>
        <w:t>(soit par défaut)</w:t>
      </w:r>
    </w:p>
    <w:p w14:paraId="27F89ED6" w14:textId="77777777" w:rsidR="00DF410E" w:rsidRDefault="00CE7F43">
      <w:r>
        <w:rPr>
          <w:rStyle w:val="soitChar"/>
        </w:rPr>
        <w:t>1. m³</w:t>
      </w:r>
    </w:p>
    <w:p w14:paraId="07F24260" w14:textId="77777777" w:rsidR="00DF410E" w:rsidRDefault="00CE7F43">
      <w:r>
        <w:rPr>
          <w:b/>
        </w:rPr>
        <w:t>(soit)</w:t>
      </w:r>
    </w:p>
    <w:p w14:paraId="73E90D0D" w14:textId="77777777" w:rsidR="00DF410E" w:rsidRDefault="00CE7F43">
      <w:r>
        <w:rPr>
          <w:rStyle w:val="soitChar"/>
        </w:rPr>
        <w:t>2. m²</w:t>
      </w:r>
    </w:p>
    <w:p w14:paraId="4EA6A40F" w14:textId="77777777" w:rsidR="00DF410E" w:rsidRDefault="00CE7F43">
      <w:pPr>
        <w:pStyle w:val="pheading"/>
      </w:pPr>
      <w:r>
        <w:t>- code de mesurage:</w:t>
      </w:r>
    </w:p>
    <w:p w14:paraId="69F0A27F"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F96D42D"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856ADB8"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05350D8" w14:textId="77777777" w:rsidR="00DF410E" w:rsidRDefault="00CE7F43">
      <w:r>
        <w:br/>
      </w:r>
      <w:r>
        <w:rPr>
          <w:rStyle w:val="optioncarChar"/>
        </w:rPr>
        <w:t>Volume net </w:t>
      </w:r>
      <w:r>
        <w:t>(par défaut)</w:t>
      </w:r>
      <w:r>
        <w:rPr>
          <w:rStyle w:val="optioncarChar"/>
        </w:rPr>
        <w:t> / Surface nette</w:t>
      </w:r>
    </w:p>
    <w:p w14:paraId="775168F9" w14:textId="77777777" w:rsidR="00DF410E" w:rsidRDefault="00CE7F43">
      <w:r>
        <w:rPr>
          <w:b/>
        </w:rPr>
        <w:t>(soit par défaut)</w:t>
      </w:r>
    </w:p>
    <w:p w14:paraId="093517FD"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4E5FE61" w14:textId="77777777" w:rsidR="00DF410E" w:rsidRDefault="00CE7F43">
      <w:r>
        <w:rPr>
          <w:b/>
        </w:rPr>
        <w:t>(soit)</w:t>
      </w:r>
    </w:p>
    <w:p w14:paraId="165CB54B"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DA3C0DB" w14:textId="77777777" w:rsidR="00DF410E" w:rsidRDefault="00CE7F43">
      <w:pPr>
        <w:pStyle w:val="pheading"/>
      </w:pPr>
      <w:r>
        <w:t>- nature du marché:</w:t>
      </w:r>
    </w:p>
    <w:p w14:paraId="0E2A7DC2" w14:textId="77777777" w:rsidR="00DF410E" w:rsidRDefault="00CE7F43">
      <w:r>
        <w:t>QF</w:t>
      </w:r>
    </w:p>
    <w:p w14:paraId="0F273A0C" w14:textId="77777777" w:rsidR="00DF410E" w:rsidRDefault="00CE7F43">
      <w:pPr>
        <w:pStyle w:val="Author-eSectionHeading6"/>
      </w:pPr>
      <w:bookmarkStart w:id="34" w:name="_Toc178837303"/>
      <w:r>
        <w:t>21.12.2d Maçonneries portantes en blocs de béton creux à coller CCTB 01.12</w:t>
      </w:r>
      <w:bookmarkEnd w:id="34"/>
    </w:p>
    <w:p w14:paraId="6EEA852B" w14:textId="77777777" w:rsidR="00DF410E" w:rsidRDefault="00CE7F43">
      <w:pPr>
        <w:pStyle w:val="pheading"/>
      </w:pPr>
      <w:r>
        <w:t>DESCRIPTION</w:t>
      </w:r>
    </w:p>
    <w:p w14:paraId="3603C645" w14:textId="77777777" w:rsidR="00DF410E" w:rsidRDefault="00CE7F43">
      <w:pPr>
        <w:pStyle w:val="pheading"/>
      </w:pPr>
      <w:r>
        <w:t>- Définition / Comprend</w:t>
      </w:r>
    </w:p>
    <w:p w14:paraId="49DA2473" w14:textId="77777777" w:rsidR="00DF410E" w:rsidRDefault="00CE7F43">
      <w:r>
        <w:t xml:space="preserve">Il s’agit de la fourniture et la pose de maçonneries portantes en blocs de béton creux à coller.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50B53262" w14:textId="77777777" w:rsidR="00DF410E" w:rsidRDefault="00CE7F43">
      <w:pPr>
        <w:pStyle w:val="pheading"/>
      </w:pPr>
      <w:r>
        <w:t>- Localisation</w:t>
      </w:r>
    </w:p>
    <w:p w14:paraId="525AB4F0" w14:textId="77777777" w:rsidR="00DF410E" w:rsidRDefault="00CE7F43">
      <w:r>
        <w:t>La pose est réalisée aux endroits suivants :</w:t>
      </w:r>
      <w:r>
        <w:rPr>
          <w:rStyle w:val="optioncarChar"/>
        </w:rPr>
        <w:t xml:space="preserve"> ***</w:t>
      </w:r>
      <w:r>
        <w:t>.</w:t>
      </w:r>
      <w:r>
        <w:br/>
        <w:t>Voir plans et métrés détaillés.</w:t>
      </w:r>
    </w:p>
    <w:p w14:paraId="7CDC4522" w14:textId="77777777" w:rsidR="00DF410E" w:rsidRDefault="00CE7F43">
      <w:pPr>
        <w:pStyle w:val="pheading"/>
      </w:pPr>
      <w:r>
        <w:t>MATÉRIAUX</w:t>
      </w:r>
    </w:p>
    <w:p w14:paraId="29552369" w14:textId="77777777" w:rsidR="00DF410E" w:rsidRDefault="00CE7F43">
      <w:pPr>
        <w:pStyle w:val="pheading"/>
      </w:pPr>
      <w:r>
        <w:t>- Caractéristiques générales</w:t>
      </w:r>
    </w:p>
    <w:p w14:paraId="423C48F0" w14:textId="77777777" w:rsidR="00DF410E" w:rsidRDefault="00CE7F43">
      <w:r>
        <w:rPr>
          <w:rStyle w:val="headingChar"/>
        </w:rPr>
        <w:t>Spécifications</w:t>
      </w:r>
    </w:p>
    <w:p w14:paraId="1DC6F834" w14:textId="77777777" w:rsidR="00DF410E" w:rsidRDefault="00CE7F43">
      <w:r>
        <w:rPr>
          <w:u w:val="single"/>
        </w:rPr>
        <w:t>Blocs</w:t>
      </w:r>
    </w:p>
    <w:p w14:paraId="752CB4A2" w14:textId="77777777" w:rsidR="00DF410E" w:rsidRDefault="00CE7F43">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w:t>
      </w:r>
      <w:r>
        <w:t xml:space="preserve"> (par défaut) </w:t>
      </w:r>
      <w:r>
        <w:rPr>
          <w:rStyle w:val="optioncarChar"/>
        </w:rPr>
        <w:t xml:space="preserve">/ 3/1,0 / 4/1,2 / 5/1,4 / 6/1,6 / 8/1,9 / 10/2.2 </w:t>
      </w:r>
      <w:r>
        <w:rPr>
          <w:rStyle w:val="optioncarChar"/>
          <w:color w:val="000000"/>
        </w:rPr>
        <w:t>(par défaut)</w:t>
      </w:r>
      <w:r>
        <w:rPr>
          <w:rStyle w:val="optioncarChar"/>
        </w:rPr>
        <w:t xml:space="preserve"> / 15/2,2+ / ***</w:t>
      </w:r>
    </w:p>
    <w:p w14:paraId="4F1AB192" w14:textId="77777777" w:rsidR="00DF410E" w:rsidRDefault="00CE7F43">
      <w:r>
        <w:t xml:space="preserve">Le groupe de configuration suivant [NBN EN 1996-1-1+A1 ANB] est </w:t>
      </w:r>
      <w:r>
        <w:rPr>
          <w:rStyle w:val="optioncarChar"/>
        </w:rPr>
        <w:t>2 / 3 / 4 / creux </w:t>
      </w:r>
      <w:r>
        <w:t>(par défaut)</w:t>
      </w:r>
      <w:r>
        <w:rPr>
          <w:rStyle w:val="optioncarChar"/>
        </w:rPr>
        <w:t xml:space="preserve"> / ***</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w:t>
      </w:r>
      <w:r>
        <w:t xml:space="preserve"> (par défaut) </w:t>
      </w:r>
      <w:r>
        <w:rPr>
          <w:rStyle w:val="optioncarChar"/>
        </w:rPr>
        <w:t>/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lisse</w:t>
      </w:r>
      <w:r>
        <w:t xml:space="preserve"> (par défaut)</w:t>
      </w:r>
      <w:r>
        <w:rPr>
          <w:rStyle w:val="optioncarChar"/>
        </w:rPr>
        <w:t xml:space="preserve"> / adhérence améliorée/ rainurée</w:t>
      </w:r>
      <w:r>
        <w:br/>
      </w:r>
      <w:r>
        <w:br/>
        <w:t xml:space="preserve">Teinte : </w:t>
      </w:r>
      <w:r>
        <w:rPr>
          <w:rStyle w:val="optioncarChar"/>
        </w:rPr>
        <w:t xml:space="preserve">blanc / gris </w:t>
      </w:r>
      <w:r>
        <w:t>(par défaut) </w:t>
      </w:r>
      <w:r>
        <w:rPr>
          <w:rStyle w:val="optioncarChar"/>
        </w:rPr>
        <w:t>/ ***</w:t>
      </w:r>
      <w:r>
        <w:br/>
      </w:r>
      <w:r>
        <w:br/>
      </w:r>
    </w:p>
    <w:p w14:paraId="4E1B1EA8" w14:textId="77777777" w:rsidR="00DF410E" w:rsidRDefault="00CE7F43">
      <w: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173ED19" w14:textId="77777777" w:rsidR="00DF410E" w:rsidRDefault="00CE7F43">
      <w:r>
        <w:t>La classe de tolérances dimensionnelles est D4</w:t>
      </w:r>
    </w:p>
    <w:p w14:paraId="575B984B"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1996-1-2 ANB] et [NIT 271].</w:t>
      </w:r>
      <w:r>
        <w:br/>
      </w:r>
      <w:r>
        <w:br/>
        <w:t>Réaction au feu :</w:t>
      </w:r>
      <w:r>
        <w:rPr>
          <w:rStyle w:val="optioncarChar"/>
        </w:rPr>
        <w:t xml:space="preserve"> A1 </w:t>
      </w:r>
      <w:r>
        <w:t>(par défaut)</w:t>
      </w:r>
      <w:r>
        <w:rPr>
          <w:rStyle w:val="optioncarChar"/>
        </w:rPr>
        <w:t xml:space="preserve"> / ***</w:t>
      </w:r>
    </w:p>
    <w:p w14:paraId="6FEE68A2" w14:textId="77777777" w:rsidR="00DF410E" w:rsidRDefault="00CE7F43">
      <w:pPr>
        <w:spacing w:before="0" w:after="0"/>
      </w:pPr>
      <w:r>
        <w:rPr>
          <w:u w:val="single"/>
        </w:rPr>
        <w:t>Mortier</w:t>
      </w:r>
    </w:p>
    <w:p w14:paraId="28311008" w14:textId="77777777" w:rsidR="00DF410E" w:rsidRDefault="00CE7F43">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7D40BC13" w14:textId="77777777" w:rsidR="00DF410E" w:rsidRDefault="00CE7F43">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377C1572" w14:textId="77777777" w:rsidR="00DF410E" w:rsidRDefault="00CE7F43">
      <w:pPr>
        <w:spacing w:before="0" w:after="0"/>
      </w:pPr>
      <w:r>
        <w:rPr>
          <w:rStyle w:val="normalChar"/>
          <w:color w:val="000000"/>
        </w:rPr>
        <w:t>Résistance au gel : oui</w:t>
      </w:r>
    </w:p>
    <w:p w14:paraId="2E4F89A9" w14:textId="77777777" w:rsidR="00DF410E" w:rsidRDefault="00CE7F43">
      <w:r>
        <w:br/>
      </w:r>
      <w:r>
        <w:rPr>
          <w:rStyle w:val="headingChar"/>
        </w:rPr>
        <w:t>Critères De Performances De La Paroi</w:t>
      </w:r>
    </w:p>
    <w:p w14:paraId="3C60EAAB" w14:textId="77777777" w:rsidR="00DF410E" w:rsidRDefault="00CE7F43">
      <w:r>
        <w:t>Coefficient de transmission :</w:t>
      </w:r>
    </w:p>
    <w:p w14:paraId="6D176687" w14:textId="77777777" w:rsidR="00DF410E" w:rsidRDefault="00CE7F43">
      <w:pPr>
        <w:pStyle w:val="Author-eListParagraph"/>
        <w:numPr>
          <w:ilvl w:val="0"/>
          <w:numId w:val="65"/>
        </w:numPr>
      </w:pPr>
      <w:r>
        <w:t xml:space="preserve">valeur U minimale de </w:t>
      </w:r>
      <w:r>
        <w:rPr>
          <w:rStyle w:val="optioncarChar"/>
        </w:rPr>
        <w:t>***</w:t>
      </w:r>
      <w:r>
        <w:t xml:space="preserve"> W/m²K</w:t>
      </w:r>
    </w:p>
    <w:p w14:paraId="35C54307" w14:textId="77777777" w:rsidR="00DF410E" w:rsidRDefault="00CE7F43">
      <w:pPr>
        <w:pStyle w:val="Author-eListParagraph"/>
        <w:numPr>
          <w:ilvl w:val="0"/>
          <w:numId w:val="6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BA9324A" w14:textId="77777777" w:rsidR="00DF410E" w:rsidRDefault="00CE7F43">
      <w:r>
        <w:br/>
        <w:t>Résistance au feu :</w:t>
      </w:r>
    </w:p>
    <w:p w14:paraId="54FB3D6A" w14:textId="77777777" w:rsidR="00DF410E" w:rsidRDefault="00CE7F43">
      <w:pPr>
        <w:pStyle w:val="Author-eListParagraph"/>
        <w:numPr>
          <w:ilvl w:val="0"/>
          <w:numId w:val="6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456FE127" w14:textId="77777777" w:rsidR="00DF410E" w:rsidRDefault="00CE7F43">
      <w:pPr>
        <w:pStyle w:val="Author-eListParagraph"/>
        <w:numPr>
          <w:ilvl w:val="0"/>
          <w:numId w:val="66"/>
        </w:numPr>
      </w:pPr>
      <w:r>
        <w:t xml:space="preserve">pour les éléments porteurs structurels avec fonction séparante : </w:t>
      </w:r>
      <w:r>
        <w:rPr>
          <w:rStyle w:val="optioncarChar"/>
        </w:rPr>
        <w:t>REI30 </w:t>
      </w:r>
      <w:r>
        <w:t>(par défaut) </w:t>
      </w:r>
      <w:r>
        <w:rPr>
          <w:rStyle w:val="optioncarChar"/>
        </w:rPr>
        <w:t>/ REI60 / REI90/ REI120 / REI***</w:t>
      </w:r>
    </w:p>
    <w:p w14:paraId="701D603E" w14:textId="77777777" w:rsidR="00DF410E" w:rsidRDefault="00CE7F43">
      <w:r>
        <w:t>selon les tableaux dans [NBN EN 1996-1-2 ANB].</w:t>
      </w:r>
    </w:p>
    <w:p w14:paraId="32022AE0" w14:textId="77777777" w:rsidR="00DF410E" w:rsidRDefault="00CE7F43">
      <w:pPr>
        <w:pStyle w:val="pheading"/>
      </w:pPr>
      <w:r>
        <w:t>- Finitions</w:t>
      </w:r>
    </w:p>
    <w:p w14:paraId="1833B310" w14:textId="77777777" w:rsidR="00DF410E" w:rsidRDefault="00DF410E"/>
    <w:p w14:paraId="12691E91" w14:textId="77777777" w:rsidR="00DF410E" w:rsidRDefault="00CE7F43">
      <w:pPr>
        <w:pStyle w:val="Author-eListParagraph"/>
        <w:numPr>
          <w:ilvl w:val="0"/>
          <w:numId w:val="67"/>
        </w:numPr>
      </w:pPr>
      <w:r>
        <w:t xml:space="preserve">Les faces de murs suivantes sont exécutées comme maçonneries apparentes et sont </w:t>
      </w:r>
      <w:r>
        <w:rP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65C66B87" w14:textId="77777777" w:rsidR="00DF410E" w:rsidRDefault="00CE7F43">
      <w:pPr>
        <w:pStyle w:val="Author-eListParagraph"/>
        <w:numPr>
          <w:ilvl w:val="0"/>
          <w:numId w:val="67"/>
        </w:numPr>
      </w:pPr>
      <w:r>
        <w:t xml:space="preserve">Les murs suivants sont exécutés avec une face restant apparente : </w:t>
      </w:r>
      <w:r>
        <w:rPr>
          <w:rStyle w:val="optioncarChar"/>
        </w:rPr>
        <w:t>***</w:t>
      </w:r>
    </w:p>
    <w:p w14:paraId="0818057E" w14:textId="77777777" w:rsidR="00DF410E" w:rsidRDefault="00CE7F43">
      <w:pPr>
        <w:pStyle w:val="Author-eListParagraph"/>
        <w:numPr>
          <w:ilvl w:val="0"/>
          <w:numId w:val="67"/>
        </w:numPr>
      </w:pPr>
      <w:r>
        <w:t xml:space="preserve">Les murs suivants sont exécutés avec deux faces restant apparentes : </w:t>
      </w:r>
      <w:r>
        <w:rPr>
          <w:rStyle w:val="optioncarChar"/>
        </w:rPr>
        <w:t>***</w:t>
      </w:r>
    </w:p>
    <w:p w14:paraId="1C977862" w14:textId="77777777" w:rsidR="00DF410E" w:rsidRDefault="00DF410E"/>
    <w:p w14:paraId="79F2179F" w14:textId="77777777" w:rsidR="00DF410E" w:rsidRDefault="00CE7F43">
      <w:pPr>
        <w:pStyle w:val="pheading"/>
      </w:pPr>
      <w:r>
        <w:t>EXÉCUTION / MISE EN ŒUVRE</w:t>
      </w:r>
    </w:p>
    <w:p w14:paraId="57812EAA" w14:textId="77777777" w:rsidR="00DF410E" w:rsidRDefault="00CE7F43">
      <w:pPr>
        <w:pStyle w:val="pheading"/>
      </w:pPr>
      <w:r>
        <w:t>- Prescriptions générales</w:t>
      </w:r>
    </w:p>
    <w:p w14:paraId="11E80BFF" w14:textId="77777777" w:rsidR="00DF410E" w:rsidRDefault="00CE7F43">
      <w:r>
        <w:t>La pose est effectuée à plein bain de mortier colle. Aux endroits prévus pour la pose de linteaux et/ou de poutres de répartition, les blocs creux sont remplis de béton.</w:t>
      </w:r>
    </w:p>
    <w:p w14:paraId="0E21001E" w14:textId="77777777" w:rsidR="00DF410E" w:rsidRDefault="00CE7F43">
      <w:pPr>
        <w:pStyle w:val="pheading"/>
      </w:pPr>
      <w:r>
        <w:t>MESURAGE</w:t>
      </w:r>
    </w:p>
    <w:p w14:paraId="230E4782" w14:textId="77777777" w:rsidR="00DF410E" w:rsidRDefault="00CE7F43">
      <w:pPr>
        <w:pStyle w:val="pheading"/>
      </w:pPr>
      <w:r>
        <w:t>- unité de mesure:</w:t>
      </w:r>
    </w:p>
    <w:p w14:paraId="75D9FA13" w14:textId="77777777" w:rsidR="00DF410E" w:rsidRDefault="00CE7F43">
      <w:r>
        <w:rPr>
          <w:rStyle w:val="optioncarChar"/>
        </w:rPr>
        <w:t>m³ </w:t>
      </w:r>
      <w:r>
        <w:t>(par défaut)</w:t>
      </w:r>
      <w:r>
        <w:rPr>
          <w:rStyle w:val="optioncarChar"/>
        </w:rPr>
        <w:t> / m²</w:t>
      </w:r>
    </w:p>
    <w:p w14:paraId="465B9F6A" w14:textId="77777777" w:rsidR="00DF410E" w:rsidRDefault="00CE7F43">
      <w:r>
        <w:rPr>
          <w:b/>
        </w:rPr>
        <w:t>(soit par défaut)</w:t>
      </w:r>
    </w:p>
    <w:p w14:paraId="43FF90BB" w14:textId="77777777" w:rsidR="00DF410E" w:rsidRDefault="00CE7F43">
      <w:r>
        <w:rPr>
          <w:rStyle w:val="soitChar"/>
        </w:rPr>
        <w:t>1. m³</w:t>
      </w:r>
    </w:p>
    <w:p w14:paraId="3E602D00" w14:textId="77777777" w:rsidR="00DF410E" w:rsidRDefault="00CE7F43">
      <w:r>
        <w:rPr>
          <w:b/>
        </w:rPr>
        <w:t>(soit)</w:t>
      </w:r>
    </w:p>
    <w:p w14:paraId="0AAB3564" w14:textId="77777777" w:rsidR="00DF410E" w:rsidRDefault="00CE7F43">
      <w:r>
        <w:rPr>
          <w:rStyle w:val="soitChar"/>
        </w:rPr>
        <w:t>2. m²</w:t>
      </w:r>
    </w:p>
    <w:p w14:paraId="652BEF61" w14:textId="77777777" w:rsidR="00DF410E" w:rsidRDefault="00CE7F43">
      <w:pPr>
        <w:pStyle w:val="pheading"/>
      </w:pPr>
      <w:r>
        <w:t>- code de mesurage:</w:t>
      </w:r>
    </w:p>
    <w:p w14:paraId="618B42F7"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694D8B2"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749EBC6"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39E6CCDE" w14:textId="77777777" w:rsidR="00DF410E" w:rsidRDefault="00CE7F43">
      <w:r>
        <w:rPr>
          <w:rStyle w:val="optioncarChar"/>
        </w:rPr>
        <w:t>Volume net </w:t>
      </w:r>
      <w:r>
        <w:t>(par défaut)</w:t>
      </w:r>
      <w:r>
        <w:rPr>
          <w:rStyle w:val="optioncarChar"/>
        </w:rPr>
        <w:t> / Surface nette</w:t>
      </w:r>
    </w:p>
    <w:p w14:paraId="664E347E" w14:textId="77777777" w:rsidR="00DF410E" w:rsidRDefault="00CE7F43">
      <w:r>
        <w:rPr>
          <w:b/>
        </w:rPr>
        <w:t>(soit par défaut)</w:t>
      </w:r>
    </w:p>
    <w:p w14:paraId="6140A96D"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8B0AAC5" w14:textId="77777777" w:rsidR="00DF410E" w:rsidRDefault="00CE7F43">
      <w:r>
        <w:rPr>
          <w:b/>
        </w:rPr>
        <w:t>(soit)</w:t>
      </w:r>
    </w:p>
    <w:p w14:paraId="7C93F7D1"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3970C3A" w14:textId="77777777" w:rsidR="00DF410E" w:rsidRDefault="00CE7F43">
      <w:pPr>
        <w:pStyle w:val="pheading"/>
      </w:pPr>
      <w:r>
        <w:t>- nature du marché:</w:t>
      </w:r>
    </w:p>
    <w:p w14:paraId="64BCFE49" w14:textId="77777777" w:rsidR="00DF410E" w:rsidRDefault="00CE7F43">
      <w:r>
        <w:t>QF</w:t>
      </w:r>
    </w:p>
    <w:p w14:paraId="417421F8" w14:textId="77777777" w:rsidR="00DF410E" w:rsidRDefault="00CE7F43">
      <w:pPr>
        <w:pStyle w:val="pheading"/>
      </w:pPr>
      <w:r>
        <w:t>AIDE</w:t>
      </w:r>
    </w:p>
    <w:p w14:paraId="1F47ECB4" w14:textId="77777777" w:rsidR="00DF410E" w:rsidRDefault="00CE7F43">
      <w:r>
        <w:t>Note à l'attention de l'auteur du projet</w:t>
      </w:r>
    </w:p>
    <w:p w14:paraId="2550856A" w14:textId="77777777" w:rsidR="00DF410E" w:rsidRDefault="00CE7F43">
      <w:r>
        <w:t>La masse volumique sèche apparente des blocs creux est supérieure à 1200 kg/m</w:t>
      </w:r>
      <w:r>
        <w:rPr>
          <w:vertAlign w:val="superscript"/>
        </w:rPr>
        <w:t>3</w:t>
      </w:r>
      <w:r>
        <w:t>.</w:t>
      </w:r>
    </w:p>
    <w:p w14:paraId="1D1B0D0D" w14:textId="77777777" w:rsidR="00DF410E" w:rsidRDefault="00CE7F43">
      <w:r>
        <w:t>* Les blocs de maçonnerie en béton sont répartis en catégories de qualité en fonction des combinaisons de résistance à la compression normalisée (premier chiffre exprimé en N/mm</w:t>
      </w:r>
      <w:r>
        <w:rPr>
          <w:vertAlign w:val="superscript"/>
        </w:rPr>
        <w:t>2</w:t>
      </w:r>
      <w:r>
        <w:t>) et à la masse volumique sèche (deuxième chiffre exprimé en tonnes/m3). D'autres catégories de qualité sont autorisées dans la mesure où elles ne combinent pas une certaine classe f avec une classe ρ supérieure à celle qui correspond à cette classe f dans le tableau et inversement, pourvu qu'elles ne combinent pas une classe f qui soit inférieure à celle qui correspond à la classe rho du tableau.</w:t>
      </w:r>
    </w:p>
    <w:p w14:paraId="31D06186" w14:textId="77777777" w:rsidR="00DF410E" w:rsidRDefault="00CE7F43">
      <w:pPr>
        <w:pStyle w:val="Author-eSectionHeading6"/>
      </w:pPr>
      <w:bookmarkStart w:id="35" w:name="_Toc178837304"/>
      <w:r>
        <w:t>21.12.2e Maçonneries portantes en blocs de béton empilables CCTB 01.11</w:t>
      </w:r>
      <w:bookmarkEnd w:id="35"/>
    </w:p>
    <w:p w14:paraId="223A1531" w14:textId="77777777" w:rsidR="00DF410E" w:rsidRDefault="00CE7F43">
      <w:pPr>
        <w:pStyle w:val="pheading"/>
      </w:pPr>
      <w:r>
        <w:t>DESCRIPTION</w:t>
      </w:r>
    </w:p>
    <w:p w14:paraId="294BC587" w14:textId="77777777" w:rsidR="00DF410E" w:rsidRDefault="00CE7F43">
      <w:pPr>
        <w:pStyle w:val="pheading"/>
      </w:pPr>
      <w:r>
        <w:t>- Définition / Comprend</w:t>
      </w:r>
    </w:p>
    <w:p w14:paraId="5AE5A5E1" w14:textId="77777777" w:rsidR="00DF410E" w:rsidRDefault="00CE7F43">
      <w:r>
        <w:t xml:space="preserve">Il s’agit de la fourniture et la pose de maçonneries portantes en blocs de béton empilables.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3719A0C6" w14:textId="77777777" w:rsidR="00DF410E" w:rsidRDefault="00CE7F43">
      <w:pPr>
        <w:pStyle w:val="pheading"/>
      </w:pPr>
      <w:r>
        <w:t>- Localisation</w:t>
      </w:r>
    </w:p>
    <w:p w14:paraId="6D39A551" w14:textId="77777777" w:rsidR="00DF410E" w:rsidRDefault="00CE7F43">
      <w:r>
        <w:t xml:space="preserve">La pose est réalisée aux endroits suivants : </w:t>
      </w:r>
      <w:r>
        <w:rPr>
          <w:rStyle w:val="optioncarChar"/>
        </w:rPr>
        <w:t>***</w:t>
      </w:r>
      <w:r>
        <w:t>.</w:t>
      </w:r>
      <w:r>
        <w:br/>
        <w:t>Voir plans et métrés détaillés.</w:t>
      </w:r>
    </w:p>
    <w:p w14:paraId="57880903" w14:textId="77777777" w:rsidR="00DF410E" w:rsidRDefault="00CE7F43">
      <w:pPr>
        <w:pStyle w:val="pheading"/>
      </w:pPr>
      <w:r>
        <w:t>MESURAGE</w:t>
      </w:r>
    </w:p>
    <w:p w14:paraId="18CEAA35" w14:textId="77777777" w:rsidR="00DF410E" w:rsidRDefault="00CE7F43">
      <w:pPr>
        <w:pStyle w:val="pheading"/>
      </w:pPr>
      <w:r>
        <w:t>- unité de mesure:</w:t>
      </w:r>
    </w:p>
    <w:p w14:paraId="4B647F3B" w14:textId="77777777" w:rsidR="00DF410E" w:rsidRDefault="00CE7F43">
      <w:r>
        <w:rPr>
          <w:rStyle w:val="optioncarChar"/>
        </w:rPr>
        <w:t>m³ </w:t>
      </w:r>
      <w:r>
        <w:t>(par défaut)</w:t>
      </w:r>
      <w:r>
        <w:rPr>
          <w:rStyle w:val="optioncarChar"/>
        </w:rPr>
        <w:t> / m²</w:t>
      </w:r>
    </w:p>
    <w:p w14:paraId="6971DB50" w14:textId="77777777" w:rsidR="00DF410E" w:rsidRDefault="00CE7F43">
      <w:r>
        <w:rPr>
          <w:b/>
        </w:rPr>
        <w:t>(soit par défaut)</w:t>
      </w:r>
    </w:p>
    <w:p w14:paraId="4FF786F2" w14:textId="77777777" w:rsidR="00DF410E" w:rsidRDefault="00CE7F43">
      <w:r>
        <w:rPr>
          <w:rStyle w:val="soitChar"/>
        </w:rPr>
        <w:t>1. m³</w:t>
      </w:r>
    </w:p>
    <w:p w14:paraId="6600C78E" w14:textId="77777777" w:rsidR="00DF410E" w:rsidRDefault="00CE7F43">
      <w:r>
        <w:rPr>
          <w:b/>
        </w:rPr>
        <w:t>(soit)</w:t>
      </w:r>
    </w:p>
    <w:p w14:paraId="46F48407" w14:textId="77777777" w:rsidR="00DF410E" w:rsidRDefault="00CE7F43">
      <w:r>
        <w:rPr>
          <w:rStyle w:val="soitChar"/>
        </w:rPr>
        <w:t>2. m²</w:t>
      </w:r>
    </w:p>
    <w:p w14:paraId="2D79DA89" w14:textId="77777777" w:rsidR="00DF410E" w:rsidRDefault="00CE7F43">
      <w:pPr>
        <w:pStyle w:val="pheading"/>
      </w:pPr>
      <w:r>
        <w:t>- code de mesurage:</w:t>
      </w:r>
    </w:p>
    <w:p w14:paraId="36C1730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666319A"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989AFEC"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22EB573" w14:textId="77777777" w:rsidR="00DF410E" w:rsidRDefault="00DF410E"/>
    <w:p w14:paraId="54F39F8B" w14:textId="77777777" w:rsidR="00DF410E" w:rsidRDefault="00CE7F43">
      <w:r>
        <w:rPr>
          <w:rStyle w:val="optioncarChar"/>
        </w:rPr>
        <w:t>Volume net </w:t>
      </w:r>
      <w:r>
        <w:t>(par défaut)</w:t>
      </w:r>
      <w:r>
        <w:rPr>
          <w:rStyle w:val="optioncarChar"/>
        </w:rPr>
        <w:t> / Surface nette</w:t>
      </w:r>
    </w:p>
    <w:p w14:paraId="213C7C21" w14:textId="77777777" w:rsidR="00DF410E" w:rsidRDefault="00CE7F43">
      <w:r>
        <w:rPr>
          <w:b/>
        </w:rPr>
        <w:t>(soit par défaut)</w:t>
      </w:r>
    </w:p>
    <w:p w14:paraId="2872C64C"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62E0FF3" w14:textId="77777777" w:rsidR="00DF410E" w:rsidRDefault="00CE7F43">
      <w:r>
        <w:rPr>
          <w:b/>
        </w:rPr>
        <w:t>(soit)</w:t>
      </w:r>
    </w:p>
    <w:p w14:paraId="4026BBE9"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903C34C" w14:textId="77777777" w:rsidR="00DF410E" w:rsidRDefault="00DF410E"/>
    <w:p w14:paraId="1067F26F" w14:textId="77777777" w:rsidR="00DF410E" w:rsidRDefault="00CE7F43">
      <w:pPr>
        <w:pStyle w:val="pheading"/>
      </w:pPr>
      <w:r>
        <w:t>- nature du marché:</w:t>
      </w:r>
    </w:p>
    <w:p w14:paraId="7ECC4C29" w14:textId="77777777" w:rsidR="00DF410E" w:rsidRDefault="00CE7F43">
      <w:r>
        <w:t>QF</w:t>
      </w:r>
    </w:p>
    <w:p w14:paraId="7E92B7CD" w14:textId="77777777" w:rsidR="00DF410E" w:rsidRDefault="00CE7F43">
      <w:pPr>
        <w:pStyle w:val="Author-eSectionHeading6"/>
      </w:pPr>
      <w:bookmarkStart w:id="36" w:name="_Toc178837305"/>
      <w:r>
        <w:t>21.12.2f Maçonneries portantes en blocs de béton avec système de dosage pour liant hydraulique CCTB 01.12</w:t>
      </w:r>
      <w:bookmarkEnd w:id="36"/>
    </w:p>
    <w:p w14:paraId="5DA23DDD" w14:textId="77777777" w:rsidR="00DF410E" w:rsidRDefault="00CE7F43">
      <w:pPr>
        <w:pStyle w:val="pheading"/>
      </w:pPr>
      <w:r>
        <w:t>DESCRIPTION</w:t>
      </w:r>
    </w:p>
    <w:p w14:paraId="342C3402" w14:textId="77777777" w:rsidR="00DF410E" w:rsidRDefault="00CE7F43">
      <w:pPr>
        <w:pStyle w:val="pheading"/>
      </w:pPr>
      <w:r>
        <w:t>- Définition / Comprend</w:t>
      </w:r>
    </w:p>
    <w:p w14:paraId="1ED3F9B6" w14:textId="77777777" w:rsidR="00DF410E" w:rsidRDefault="00CE7F43">
      <w:r>
        <w:t xml:space="preserve">Il s’agit de la fourniture et la pose de maçonneries portantes en blocs de béton avec système de dosage pour liant hydraulique.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451F6B72" w14:textId="77777777" w:rsidR="00DF410E" w:rsidRDefault="00CE7F43">
      <w:pPr>
        <w:pStyle w:val="pheading"/>
      </w:pPr>
      <w:r>
        <w:t>- Localisation</w:t>
      </w:r>
    </w:p>
    <w:p w14:paraId="6169D452" w14:textId="77777777" w:rsidR="00DF410E" w:rsidRDefault="00CE7F43">
      <w:r>
        <w:t xml:space="preserve">La pose est réalisée aux endroits suivants : </w:t>
      </w:r>
      <w:r>
        <w:rPr>
          <w:rStyle w:val="optioncarChar"/>
        </w:rPr>
        <w:t>***</w:t>
      </w:r>
      <w:r>
        <w:t>.</w:t>
      </w:r>
      <w:r>
        <w:br/>
        <w:t>Voir plans et métrés détaillés.</w:t>
      </w:r>
    </w:p>
    <w:p w14:paraId="34033AD0" w14:textId="77777777" w:rsidR="00DF410E" w:rsidRDefault="00CE7F43">
      <w:pPr>
        <w:pStyle w:val="pheading"/>
      </w:pPr>
      <w:r>
        <w:t>MATÉRIAUX</w:t>
      </w:r>
    </w:p>
    <w:p w14:paraId="7AF3FC0D" w14:textId="77777777" w:rsidR="00DF410E" w:rsidRDefault="00CE7F43">
      <w:pPr>
        <w:pStyle w:val="pheading"/>
      </w:pPr>
      <w:r>
        <w:t>- Caractéristiques générales</w:t>
      </w:r>
    </w:p>
    <w:p w14:paraId="7D196B4A" w14:textId="77777777" w:rsidR="00DF410E" w:rsidRDefault="00CE7F43">
      <w:r>
        <w:rPr>
          <w:rStyle w:val="headingChar"/>
        </w:rPr>
        <w:t>Spécifications</w:t>
      </w:r>
    </w:p>
    <w:p w14:paraId="5335FDBA" w14:textId="77777777" w:rsidR="00DF410E" w:rsidRDefault="00CE7F43">
      <w:r>
        <w:rPr>
          <w:u w:val="single"/>
        </w:rPr>
        <w:t>Blocs</w:t>
      </w:r>
    </w:p>
    <w:p w14:paraId="5953AE8C" w14:textId="77777777" w:rsidR="00DF410E" w:rsidRDefault="00CE7F43">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 </w:t>
      </w:r>
      <w:r>
        <w:t>(par défaut)</w:t>
      </w:r>
      <w:r>
        <w:rPr>
          <w:rStyle w:val="optioncarChar"/>
        </w:rPr>
        <w:t xml:space="preserve"> / 3/1,0 / 4/1,2 / 5/1,4 / 6/1,6 / 8/1,9 / 10/2.2 </w:t>
      </w:r>
      <w:r>
        <w:rPr>
          <w:rStyle w:val="optioncarChar"/>
          <w:color w:val="000000"/>
        </w:rPr>
        <w:t>(par défaut)</w:t>
      </w:r>
      <w:r>
        <w:rPr>
          <w:rStyle w:val="optioncarChar"/>
        </w:rPr>
        <w:t xml:space="preserve"> / 15/2,2+ / ***</w:t>
      </w:r>
      <w:r>
        <w:br/>
      </w:r>
      <w:r>
        <w:br/>
        <w:t xml:space="preserve">Le groupe de configuration suivant [NBN EN 1996-1-1+A1 ANB] est: </w:t>
      </w:r>
      <w:r>
        <w:rPr>
          <w:rStyle w:val="optioncarChar"/>
        </w:rPr>
        <w:t xml:space="preserve">1 / 2 / 3 / 4 / creux </w:t>
      </w:r>
      <w:r>
        <w:t>(par défaut) </w:t>
      </w:r>
      <w:r>
        <w:rPr>
          <w:rStyle w:val="optioncarChar"/>
        </w:rPr>
        <w:t>/ plein / ***</w:t>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t>La conductibilité thermique ρ</w:t>
      </w:r>
      <w:r>
        <w:rPr>
          <w:vertAlign w:val="subscript"/>
        </w:rPr>
        <w:t>D</w:t>
      </w:r>
      <w:r>
        <w:t xml:space="preserve"> est compatible avec la valeur U prescrite pour la paroi. </w:t>
      </w:r>
      <w:r>
        <w:br/>
      </w:r>
      <w:r>
        <w:br/>
        <w:t xml:space="preserve">Boutisse : </w:t>
      </w:r>
      <w:r>
        <w:rPr>
          <w:rStyle w:val="optioncarChar"/>
        </w:rPr>
        <w:t>plate</w:t>
      </w:r>
      <w:r>
        <w:t> (par défaut)</w:t>
      </w:r>
      <w:r>
        <w:rPr>
          <w:rStyle w:val="optioncarChar"/>
        </w:rPr>
        <w:t> / assemblage à rainures et languettes / assemblage à rainures et poignées</w:t>
      </w:r>
      <w:r>
        <w:br/>
        <w:t>Face qui reste visible :</w:t>
      </w:r>
      <w:r>
        <w:rPr>
          <w:rStyle w:val="optioncarChar"/>
        </w:rPr>
        <w:t xml:space="preserve"> lisse</w:t>
      </w:r>
      <w:r>
        <w:t xml:space="preserve"> (par défaut) </w:t>
      </w:r>
      <w:r>
        <w:rPr>
          <w:rStyle w:val="optioncarChar"/>
        </w:rPr>
        <w:t>/ clivé / ***</w:t>
      </w:r>
      <w:r>
        <w:br/>
        <w:t xml:space="preserve">Face à cimenter ou plafonner : </w:t>
      </w:r>
      <w:r>
        <w:rPr>
          <w:rStyle w:val="optioncarChar"/>
        </w:rPr>
        <w:t xml:space="preserve">lisse </w:t>
      </w:r>
      <w:r>
        <w:t>(par défaut)</w:t>
      </w:r>
      <w:r>
        <w:rPr>
          <w:rStyle w:val="optioncarChar"/>
        </w:rPr>
        <w:t xml:space="preserve"> / adhérence améliorée/ rainurée</w:t>
      </w:r>
      <w:r>
        <w:br/>
      </w:r>
      <w:r>
        <w:br/>
        <w:t xml:space="preserve">Teinte : </w:t>
      </w:r>
      <w:r>
        <w:rPr>
          <w:rStyle w:val="optioncarChar"/>
        </w:rPr>
        <w:t>blanc / gris </w:t>
      </w:r>
      <w:r>
        <w:t xml:space="preserve">(par défaut) </w:t>
      </w:r>
      <w:r>
        <w:rPr>
          <w:rStyle w:val="optioncarChar"/>
        </w:rPr>
        <w:t>/ ***</w:t>
      </w:r>
      <w:r>
        <w:br/>
      </w:r>
      <w:r>
        <w:br/>
      </w:r>
    </w:p>
    <w:p w14:paraId="7A5C12DD" w14:textId="77777777" w:rsidR="00DF410E" w:rsidRDefault="00CE7F43">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94C989A" w14:textId="77777777" w:rsidR="00DF410E" w:rsidRDefault="00CE7F43">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t> </w:t>
      </w:r>
      <w:r>
        <w:br/>
      </w:r>
      <w:r>
        <w:br/>
        <w:t>Résistance au gel suivant les classes d’application MX… selon [NBN EN 1996-2 ANB] et [NIT 271].</w:t>
      </w:r>
      <w:r>
        <w:br/>
      </w:r>
      <w:r>
        <w:br/>
        <w:t xml:space="preserve">Réaction au feu : </w:t>
      </w:r>
      <w:r>
        <w:rPr>
          <w:rStyle w:val="optioncarChar"/>
        </w:rPr>
        <w:t xml:space="preserve">A1 </w:t>
      </w:r>
      <w:r>
        <w:t>(par défaut) </w:t>
      </w:r>
      <w:r>
        <w:rPr>
          <w:rStyle w:val="optioncarChar"/>
        </w:rPr>
        <w:t>/ ***</w:t>
      </w:r>
    </w:p>
    <w:p w14:paraId="4A873093" w14:textId="77777777" w:rsidR="00DF410E" w:rsidRDefault="00CE7F43">
      <w:pPr>
        <w:spacing w:before="0" w:after="0"/>
      </w:pPr>
      <w:r>
        <w:rPr>
          <w:u w:val="single"/>
        </w:rPr>
        <w:t>Mortier</w:t>
      </w:r>
    </w:p>
    <w:p w14:paraId="3F5F4F12"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46692CF2" w14:textId="77777777" w:rsidR="00DF410E" w:rsidRDefault="00CE7F43">
      <w:r>
        <w:br/>
      </w:r>
      <w:r>
        <w:rPr>
          <w:rStyle w:val="headingChar"/>
        </w:rPr>
        <w:t>Critères De Performances De La Paroi</w:t>
      </w:r>
    </w:p>
    <w:p w14:paraId="4BEE1DB9" w14:textId="77777777" w:rsidR="00DF410E" w:rsidRDefault="00CE7F43">
      <w:r>
        <w:t>Coefficient de transmission :</w:t>
      </w:r>
    </w:p>
    <w:p w14:paraId="08F72BEF" w14:textId="77777777" w:rsidR="00DF410E" w:rsidRDefault="00CE7F43">
      <w:pPr>
        <w:pStyle w:val="Author-eListParagraph"/>
        <w:numPr>
          <w:ilvl w:val="0"/>
          <w:numId w:val="68"/>
        </w:numPr>
      </w:pPr>
      <w:r>
        <w:t xml:space="preserve">valeur U minimale de </w:t>
      </w:r>
      <w:r>
        <w:rPr>
          <w:rStyle w:val="optioncarChar"/>
        </w:rPr>
        <w:t>***</w:t>
      </w:r>
      <w:r>
        <w:t xml:space="preserve"> W/m²K</w:t>
      </w:r>
    </w:p>
    <w:p w14:paraId="0D5D2E9E" w14:textId="77777777" w:rsidR="00DF410E" w:rsidRDefault="00CE7F43">
      <w:pPr>
        <w:pStyle w:val="Author-eListParagraph"/>
        <w:numPr>
          <w:ilvl w:val="0"/>
          <w:numId w:val="6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AD21F1E" w14:textId="77777777" w:rsidR="00DF410E" w:rsidRDefault="00CE7F43">
      <w:r>
        <w:br/>
        <w:t>Résistance au feu :</w:t>
      </w:r>
    </w:p>
    <w:p w14:paraId="7A0092D1" w14:textId="77777777" w:rsidR="00DF410E" w:rsidRDefault="00CE7F43">
      <w:pPr>
        <w:pStyle w:val="Author-eListParagraph"/>
        <w:numPr>
          <w:ilvl w:val="0"/>
          <w:numId w:val="69"/>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030D62BA" w14:textId="77777777" w:rsidR="00DF410E" w:rsidRDefault="00CE7F43">
      <w:pPr>
        <w:pStyle w:val="Author-eListParagraph"/>
        <w:numPr>
          <w:ilvl w:val="0"/>
          <w:numId w:val="69"/>
        </w:numPr>
      </w:pPr>
      <w:r>
        <w:t xml:space="preserve">pour les éléments porteurs structurels avec fonction séparante : </w:t>
      </w:r>
      <w:r>
        <w:rPr>
          <w:rStyle w:val="optioncarChar"/>
        </w:rPr>
        <w:t>REI30 </w:t>
      </w:r>
      <w:r>
        <w:t xml:space="preserve">(par défaut) </w:t>
      </w:r>
      <w:r>
        <w:rPr>
          <w:rStyle w:val="optioncarChar"/>
        </w:rPr>
        <w:t xml:space="preserve">/ REI60 / REI90 / REI120 / REI*** </w:t>
      </w:r>
    </w:p>
    <w:p w14:paraId="3391245B" w14:textId="77777777" w:rsidR="00DF410E" w:rsidRDefault="00CE7F43">
      <w:r>
        <w:t>selon les tableaux dans [NBN EN 1996-1-2 ANB].</w:t>
      </w:r>
    </w:p>
    <w:p w14:paraId="622C8609" w14:textId="77777777" w:rsidR="00DF410E" w:rsidRDefault="00CE7F43">
      <w:pPr>
        <w:pStyle w:val="pheading"/>
      </w:pPr>
      <w:r>
        <w:t>- Finitions</w:t>
      </w:r>
    </w:p>
    <w:p w14:paraId="611EE2FB" w14:textId="77777777" w:rsidR="00DF410E" w:rsidRDefault="00DF410E"/>
    <w:p w14:paraId="78F69D9B" w14:textId="77777777" w:rsidR="00DF410E" w:rsidRDefault="00CE7F43">
      <w:pPr>
        <w:pStyle w:val="Author-eListParagraph"/>
        <w:numPr>
          <w:ilvl w:val="0"/>
          <w:numId w:val="70"/>
        </w:numPr>
      </w:pPr>
      <w:r>
        <w:t xml:space="preserve">Les faces de murs suivantes sont exécutées comme maçonneries apparentes et sont </w:t>
      </w:r>
      <w:r>
        <w:rPr>
          <w:color w:val="000000"/>
        </w:rPr>
        <w:t>rejointoyées s</w:t>
      </w:r>
      <w:r>
        <w:t xml:space="preserve">elon </w:t>
      </w:r>
      <w:hyperlink w:anchor="344" w:history="1">
        <w:r>
          <w:t>21.61.1b Joints de maçonnerie apparente</w:t>
        </w:r>
      </w:hyperlink>
      <w:r>
        <w:t xml:space="preserve"> : </w:t>
      </w:r>
      <w:r>
        <w:rPr>
          <w:rStyle w:val="optioncarChar"/>
        </w:rPr>
        <w:t>***</w:t>
      </w:r>
    </w:p>
    <w:p w14:paraId="28094F20" w14:textId="77777777" w:rsidR="00DF410E" w:rsidRDefault="00CE7F43">
      <w:pPr>
        <w:pStyle w:val="Author-eListParagraph"/>
        <w:numPr>
          <w:ilvl w:val="0"/>
          <w:numId w:val="70"/>
        </w:numPr>
      </w:pPr>
      <w:r>
        <w:t>Les murs suivants sont exécutés avec une face restant apparente :</w:t>
      </w:r>
      <w:r>
        <w:rPr>
          <w:rStyle w:val="optioncarChar"/>
        </w:rPr>
        <w:t xml:space="preserve"> ***</w:t>
      </w:r>
    </w:p>
    <w:p w14:paraId="082D565F" w14:textId="77777777" w:rsidR="00DF410E" w:rsidRDefault="00CE7F43">
      <w:pPr>
        <w:pStyle w:val="Author-eListParagraph"/>
        <w:numPr>
          <w:ilvl w:val="0"/>
          <w:numId w:val="70"/>
        </w:numPr>
      </w:pPr>
      <w:r>
        <w:t>Les murs suivants sont exécutés avec deux faces restant apparentes :</w:t>
      </w:r>
      <w:r>
        <w:rPr>
          <w:rStyle w:val="optioncarChar"/>
        </w:rPr>
        <w:t xml:space="preserve"> ***</w:t>
      </w:r>
    </w:p>
    <w:p w14:paraId="4E572286" w14:textId="77777777" w:rsidR="00DF410E" w:rsidRDefault="00DF410E"/>
    <w:p w14:paraId="7FD4485E" w14:textId="77777777" w:rsidR="00DF410E" w:rsidRDefault="00CE7F43">
      <w:r>
        <w:t> </w:t>
      </w:r>
    </w:p>
    <w:p w14:paraId="0DE92840" w14:textId="77777777" w:rsidR="00DF410E" w:rsidRDefault="00CE7F43">
      <w:pPr>
        <w:pStyle w:val="pheading"/>
      </w:pPr>
      <w:r>
        <w:t>EXÉCUTION / MISE EN ŒUVRE</w:t>
      </w:r>
    </w:p>
    <w:p w14:paraId="44B9DA85" w14:textId="77777777" w:rsidR="00DF410E" w:rsidRDefault="00CE7F43">
      <w:pPr>
        <w:pStyle w:val="pheading"/>
      </w:pPr>
      <w:r>
        <w:t>- Notes d’exécution complémentaires</w:t>
      </w:r>
    </w:p>
    <w:p w14:paraId="2900EDCB" w14:textId="77777777" w:rsidR="00DF410E" w:rsidRDefault="00CE7F43">
      <w:r>
        <w:t>Le mortier utilisé est spécifique au concept et possède une grande résistance à la compression (&gt; 20 N/mm²).</w:t>
      </w:r>
    </w:p>
    <w:p w14:paraId="23AF578B" w14:textId="77777777" w:rsidR="00DF410E" w:rsidRDefault="00CE7F43">
      <w:pPr>
        <w:pStyle w:val="pheading"/>
      </w:pPr>
      <w:r>
        <w:t>MESURAGE</w:t>
      </w:r>
    </w:p>
    <w:p w14:paraId="18BE3E53" w14:textId="77777777" w:rsidR="00DF410E" w:rsidRDefault="00CE7F43">
      <w:pPr>
        <w:pStyle w:val="pheading"/>
      </w:pPr>
      <w:r>
        <w:t>- unité de mesure:</w:t>
      </w:r>
    </w:p>
    <w:p w14:paraId="5569ACED" w14:textId="77777777" w:rsidR="00DF410E" w:rsidRDefault="00CE7F43">
      <w:r>
        <w:rPr>
          <w:rStyle w:val="optioncarChar"/>
        </w:rPr>
        <w:t>m³ </w:t>
      </w:r>
      <w:r>
        <w:t>(par défaut)</w:t>
      </w:r>
      <w:r>
        <w:rPr>
          <w:rStyle w:val="optioncarChar"/>
        </w:rPr>
        <w:t> / m²</w:t>
      </w:r>
    </w:p>
    <w:p w14:paraId="521BD178" w14:textId="77777777" w:rsidR="00DF410E" w:rsidRDefault="00CE7F43">
      <w:r>
        <w:rPr>
          <w:b/>
        </w:rPr>
        <w:t>(soit par défaut)</w:t>
      </w:r>
    </w:p>
    <w:p w14:paraId="103FCC7A" w14:textId="77777777" w:rsidR="00DF410E" w:rsidRDefault="00CE7F43">
      <w:r>
        <w:rPr>
          <w:rStyle w:val="soitChar"/>
        </w:rPr>
        <w:t>1. m³</w:t>
      </w:r>
    </w:p>
    <w:p w14:paraId="7A941CAA" w14:textId="77777777" w:rsidR="00DF410E" w:rsidRDefault="00CE7F43">
      <w:r>
        <w:rPr>
          <w:b/>
        </w:rPr>
        <w:t>(soit)</w:t>
      </w:r>
    </w:p>
    <w:p w14:paraId="1F1C9661" w14:textId="77777777" w:rsidR="00DF410E" w:rsidRDefault="00CE7F43">
      <w:r>
        <w:rPr>
          <w:rStyle w:val="soitChar"/>
        </w:rPr>
        <w:t>2. m²</w:t>
      </w:r>
    </w:p>
    <w:p w14:paraId="26C1BB04" w14:textId="77777777" w:rsidR="00DF410E" w:rsidRDefault="00CE7F43">
      <w:pPr>
        <w:pStyle w:val="pheading"/>
      </w:pPr>
      <w:r>
        <w:t>- code de mesurage:</w:t>
      </w:r>
    </w:p>
    <w:p w14:paraId="71304FA2"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56BE91E"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77DB1A0F"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2B839C73" w14:textId="77777777" w:rsidR="00DF410E" w:rsidRDefault="00DF410E"/>
    <w:p w14:paraId="7315A9F0" w14:textId="77777777" w:rsidR="00DF410E" w:rsidRDefault="00CE7F43">
      <w:r>
        <w:rPr>
          <w:rStyle w:val="optioncarChar"/>
        </w:rPr>
        <w:t>Volume net </w:t>
      </w:r>
      <w:r>
        <w:t>(par défaut)</w:t>
      </w:r>
      <w:r>
        <w:rPr>
          <w:rStyle w:val="optioncarChar"/>
        </w:rPr>
        <w:t> / Surface nette</w:t>
      </w:r>
    </w:p>
    <w:p w14:paraId="212544F1" w14:textId="77777777" w:rsidR="00DF410E" w:rsidRDefault="00CE7F43">
      <w:r>
        <w:rPr>
          <w:b/>
        </w:rPr>
        <w:t>(soit par défaut)</w:t>
      </w:r>
    </w:p>
    <w:p w14:paraId="2DD282A1"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FEA335A" w14:textId="77777777" w:rsidR="00DF410E" w:rsidRDefault="00CE7F43">
      <w:r>
        <w:rPr>
          <w:b/>
        </w:rPr>
        <w:t>(soit)</w:t>
      </w:r>
    </w:p>
    <w:p w14:paraId="56C0EDDE"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2724653" w14:textId="77777777" w:rsidR="00DF410E" w:rsidRDefault="00DF410E"/>
    <w:p w14:paraId="3500AE7A" w14:textId="77777777" w:rsidR="00DF410E" w:rsidRDefault="00CE7F43">
      <w:pPr>
        <w:pStyle w:val="pheading"/>
      </w:pPr>
      <w:r>
        <w:t>- nature du marché:</w:t>
      </w:r>
    </w:p>
    <w:p w14:paraId="76324D5E" w14:textId="77777777" w:rsidR="00DF410E" w:rsidRDefault="00CE7F43">
      <w:r>
        <w:t>QF</w:t>
      </w:r>
    </w:p>
    <w:p w14:paraId="02CF0132" w14:textId="77777777" w:rsidR="00DF410E" w:rsidRDefault="00CE7F43">
      <w:pPr>
        <w:pStyle w:val="Author-eSectionHeading6"/>
      </w:pPr>
      <w:bookmarkStart w:id="37" w:name="_Toc178837306"/>
      <w:r>
        <w:t>21.12.2g Maçonneries portantes en blocs de coffrage en béton CCTB 01.12</w:t>
      </w:r>
      <w:bookmarkEnd w:id="37"/>
    </w:p>
    <w:p w14:paraId="5A6D79F5" w14:textId="77777777" w:rsidR="00DF410E" w:rsidRDefault="00CE7F43">
      <w:pPr>
        <w:pStyle w:val="pheading"/>
      </w:pPr>
      <w:r>
        <w:t>DESCRIPTION</w:t>
      </w:r>
    </w:p>
    <w:p w14:paraId="34EC9EF2" w14:textId="77777777" w:rsidR="00DF410E" w:rsidRDefault="00CE7F43">
      <w:pPr>
        <w:pStyle w:val="pheading"/>
      </w:pPr>
      <w:r>
        <w:t>- Définition / Comprend</w:t>
      </w:r>
    </w:p>
    <w:p w14:paraId="749A8CD1" w14:textId="77777777" w:rsidR="00DF410E" w:rsidRDefault="00CE7F43">
      <w:r>
        <w:t xml:space="preserve">Il s’agit de la fourniture et la pose de maçonneries portantes en blocs de coffrage en béton. </w:t>
      </w:r>
      <w:r>
        <w:br/>
        <w:t xml:space="preserve">La portée des travaux est décrite dans l’article </w:t>
      </w:r>
      <w:hyperlink w:anchor="366" w:history="1">
        <w:r>
          <w:t>21.12.2 Maçonneries portantes en blocs pour murs en contact direct avec la terre</w:t>
        </w:r>
      </w:hyperlink>
      <w:r>
        <w:br/>
        <w:t>Les travaux comprennent également la fourniture et la pose des pièces d’angle, de terminaison et de rencontre.</w:t>
      </w:r>
    </w:p>
    <w:p w14:paraId="68192522" w14:textId="77777777" w:rsidR="00DF410E" w:rsidRDefault="00CE7F43">
      <w:pPr>
        <w:pStyle w:val="pheading"/>
      </w:pPr>
      <w:r>
        <w:t>- Localisation</w:t>
      </w:r>
    </w:p>
    <w:p w14:paraId="27B28942" w14:textId="77777777" w:rsidR="00DF410E" w:rsidRDefault="00CE7F43">
      <w:r>
        <w:t xml:space="preserve">La pose est réalisée aux endroits suivants : </w:t>
      </w:r>
      <w:r>
        <w:rPr>
          <w:rStyle w:val="optioncarChar"/>
        </w:rPr>
        <w:t>***</w:t>
      </w:r>
      <w:r>
        <w:t>.</w:t>
      </w:r>
      <w:r>
        <w:br/>
        <w:t>Voir plans et métrés détaillés.</w:t>
      </w:r>
    </w:p>
    <w:p w14:paraId="07485EC7" w14:textId="77777777" w:rsidR="00DF410E" w:rsidRDefault="00CE7F43">
      <w:pPr>
        <w:pStyle w:val="pheading"/>
      </w:pPr>
      <w:r>
        <w:t>MATÉRIAUX</w:t>
      </w:r>
    </w:p>
    <w:p w14:paraId="7E68BBCD" w14:textId="77777777" w:rsidR="00DF410E" w:rsidRDefault="00CE7F43">
      <w:pPr>
        <w:pStyle w:val="pheading"/>
      </w:pPr>
      <w:r>
        <w:t>- Caractéristiques générales</w:t>
      </w:r>
    </w:p>
    <w:p w14:paraId="12F99A91" w14:textId="77777777" w:rsidR="00DF410E" w:rsidRDefault="00CE7F43">
      <w:r>
        <w:rPr>
          <w:rStyle w:val="headingChar"/>
        </w:rPr>
        <w:t>Spécifications</w:t>
      </w:r>
    </w:p>
    <w:p w14:paraId="0CAB6028" w14:textId="77777777" w:rsidR="00DF410E" w:rsidRDefault="00CE7F43">
      <w:r>
        <w:rPr>
          <w:u w:val="single"/>
        </w:rPr>
        <w:t>Blocs</w:t>
      </w:r>
    </w:p>
    <w:p w14:paraId="259489D7" w14:textId="77777777" w:rsidR="00DF410E" w:rsidRDefault="00CE7F43">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w:t>
      </w:r>
      <w:r>
        <w:t xml:space="preserve">(par défaut) </w:t>
      </w:r>
      <w:r>
        <w:rPr>
          <w:rStyle w:val="optioncarChar"/>
        </w:rPr>
        <w:t xml:space="preserve">/ 3/1,0 / 4/1,2 / 5/1,4 / 6/1,6 / 8/1,9 / 10/2.2 </w:t>
      </w:r>
      <w:r>
        <w:rPr>
          <w:rStyle w:val="optioncarChar"/>
          <w:color w:val="000000"/>
        </w:rPr>
        <w:t>(par défaut)</w:t>
      </w:r>
      <w:r>
        <w:rPr>
          <w:rStyle w:val="optioncarChar"/>
        </w:rPr>
        <w:t xml:space="preserve"> / 15/2,2+ / ***</w:t>
      </w:r>
      <w:r>
        <w:br/>
      </w:r>
      <w:r>
        <w:br/>
        <w:t xml:space="preserve">Le groupe de configuration suivant [NBN EN 1996-1-1+A1 ANB] est: </w:t>
      </w:r>
      <w:r>
        <w:rPr>
          <w:rStyle w:val="optioncarChar"/>
        </w:rPr>
        <w:t>1 / 2 / 3 / 4 / creux </w:t>
      </w:r>
      <w:r>
        <w:t xml:space="preserve">(par défaut) </w:t>
      </w:r>
      <w:r>
        <w:rPr>
          <w:rStyle w:val="optioncarChar"/>
        </w:rPr>
        <w:t>/ plein / ***</w:t>
      </w:r>
      <w:r>
        <w:br/>
      </w:r>
      <w:r>
        <w:br/>
        <w:t xml:space="preserve">La masse volumique sèche apparente des blocs ρ (rho) est : </w:t>
      </w:r>
      <w:r>
        <w:rPr>
          <w:rStyle w:val="optioncarChar"/>
        </w:rPr>
        <w:t>*** </w:t>
      </w:r>
      <w:r>
        <w:t>kg/m³ (blocs creux),</w:t>
      </w:r>
      <w:r>
        <w:rPr>
          <w:rStyle w:val="optioncarChar"/>
        </w:rPr>
        <w:t> ***</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gris </w:t>
      </w:r>
      <w:r>
        <w:t xml:space="preserve">(par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E78D67F"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 </w:t>
      </w:r>
      <w:r>
        <w:br/>
        <w:t xml:space="preserve">Taux initial d’absorption d’eau : classe </w:t>
      </w:r>
      <w:r>
        <w:rPr>
          <w:rStyle w:val="optioncarChar"/>
        </w:rPr>
        <w:t>IW1 </w:t>
      </w:r>
      <w:r>
        <w:t>(par défaut)</w:t>
      </w:r>
      <w:r>
        <w:rPr>
          <w:rStyle w:val="optioncarChar"/>
        </w:rPr>
        <w:t xml:space="preserve"> / IW2 / IW3 / IW4</w:t>
      </w:r>
      <w:r>
        <w:br/>
        <w:t xml:space="preserve">Absorption d’eau par capillarité : </w:t>
      </w:r>
      <w:r>
        <w:rPr>
          <w:rStyle w:val="optioncarChar"/>
        </w:rPr>
        <w:t>A1 (exposé décoratif) / A2 (exposé)</w:t>
      </w:r>
      <w:r>
        <w:t> </w:t>
      </w:r>
      <w:r>
        <w:rPr>
          <w:rStyle w:val="optioncarChar"/>
          <w:color w:val="000000"/>
        </w:rPr>
        <w:t>(par défaut)</w:t>
      </w:r>
      <w:r>
        <w:br/>
      </w:r>
      <w:r>
        <w:br/>
        <w:t>Résistance au gel suivant les classes d’application MX… selon [NBN EN 1996-2 ANB] et [NIT 271].</w:t>
      </w:r>
      <w:r>
        <w:br/>
      </w:r>
      <w:r>
        <w:br/>
        <w:t>Réaction au feu :</w:t>
      </w:r>
      <w:r>
        <w:rPr>
          <w:rStyle w:val="optioncarChar"/>
        </w:rPr>
        <w:t xml:space="preserve"> A1</w:t>
      </w:r>
      <w:r>
        <w:t xml:space="preserve"> (par défaut) </w:t>
      </w:r>
      <w:r>
        <w:rPr>
          <w:rStyle w:val="optioncarChar"/>
        </w:rPr>
        <w:t>/ ***</w:t>
      </w:r>
    </w:p>
    <w:p w14:paraId="0CC9945E" w14:textId="77777777" w:rsidR="00DF410E" w:rsidRDefault="00CE7F43">
      <w:pPr>
        <w:spacing w:before="0" w:after="0"/>
      </w:pPr>
      <w:r>
        <w:rPr>
          <w:u w:val="single"/>
        </w:rPr>
        <w:t>Mortier</w:t>
      </w:r>
    </w:p>
    <w:p w14:paraId="2C4D7F8A" w14:textId="77777777" w:rsidR="00DF410E" w:rsidRDefault="00CE7F43">
      <w:pPr>
        <w:spacing w:before="0" w:after="0"/>
      </w:pPr>
      <w:r>
        <w:rPr>
          <w:rStyle w:val="normalChar"/>
          <w:color w:val="000000"/>
        </w:rPr>
        <w:t>Classe de résistance :</w:t>
      </w:r>
      <w:r>
        <w:rPr>
          <w:rStyle w:val="optioncarChar"/>
        </w:rPr>
        <w:t xml:space="preserve">M1 / M2,5 / M5 / M10 </w:t>
      </w:r>
      <w:r>
        <w:t xml:space="preserve">(par défaut) </w:t>
      </w:r>
      <w:r>
        <w:rPr>
          <w:rStyle w:val="optioncarChar"/>
        </w:rPr>
        <w:t xml:space="preserve">/ M15 / M20 </w:t>
      </w:r>
    </w:p>
    <w:p w14:paraId="34229D1C"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2EF21C0E" w14:textId="77777777" w:rsidR="00DF410E" w:rsidRDefault="00CE7F43">
      <w:pPr>
        <w:spacing w:before="0" w:after="0"/>
      </w:pPr>
      <w:r>
        <w:rPr>
          <w:rStyle w:val="normalChar"/>
          <w:color w:val="000000"/>
        </w:rPr>
        <w:t>Résistance au gel : oui</w:t>
      </w:r>
    </w:p>
    <w:p w14:paraId="192B199C" w14:textId="77777777" w:rsidR="00DF410E" w:rsidRDefault="00CE7F43">
      <w:r>
        <w:br/>
      </w:r>
      <w:r>
        <w:rPr>
          <w:rStyle w:val="headingChar"/>
        </w:rPr>
        <w:t>Critères De Performances De La Paroi</w:t>
      </w:r>
      <w:r>
        <w:br/>
        <w:t xml:space="preserve">Coefficient de transmission : </w:t>
      </w:r>
      <w:r>
        <w:br/>
        <w:t>• valeur U minimale de</w:t>
      </w:r>
      <w:r>
        <w:rPr>
          <w:rStyle w:val="optioncarChar"/>
        </w:rPr>
        <w:t xml:space="preserve"> ***</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r>
        <w:br/>
      </w:r>
      <w:r>
        <w:br/>
        <w:t xml:space="preserve">Résistance au feu : </w:t>
      </w:r>
      <w:r>
        <w:br/>
        <w:t xml:space="preserve">• pour les éléments porteurs structurels sans fonction séparante : </w:t>
      </w:r>
      <w:r>
        <w:rPr>
          <w:rStyle w:val="optioncarChar"/>
        </w:rPr>
        <w:t>R 15 / R 30</w:t>
      </w:r>
      <w:r>
        <w:t xml:space="preserve"> (par défaut) </w:t>
      </w:r>
      <w:r>
        <w:rPr>
          <w:rStyle w:val="optioncarChar"/>
        </w:rPr>
        <w:t>/ R 60 / R 120 / R ***</w:t>
      </w:r>
      <w:r>
        <w:br/>
        <w:t xml:space="preserve">• pour les éléments porteurs structurels avec fonction séparante : </w:t>
      </w:r>
      <w:r>
        <w:rPr>
          <w:rStyle w:val="optioncarChar"/>
        </w:rPr>
        <w:t>REI 30 </w:t>
      </w:r>
      <w:r>
        <w:t>(par défaut)</w:t>
      </w:r>
      <w:r>
        <w:rPr>
          <w:rStyle w:val="optioncarChar"/>
        </w:rPr>
        <w:t xml:space="preserve"> / REI 60 / REI 120 / REI ***</w:t>
      </w:r>
      <w:r>
        <w:br/>
        <w:t>selon les tableaux dans [NBN EN 1996-1-2 ANB]</w:t>
      </w:r>
    </w:p>
    <w:p w14:paraId="258224F4" w14:textId="77777777" w:rsidR="00DF410E" w:rsidRDefault="00CE7F43">
      <w:pPr>
        <w:pStyle w:val="pheading"/>
      </w:pPr>
      <w:r>
        <w:t>- Finitions</w:t>
      </w:r>
    </w:p>
    <w:p w14:paraId="0CD06FB9" w14:textId="77777777" w:rsidR="00DF410E" w:rsidRDefault="00CE7F43">
      <w:r>
        <w:t xml:space="preserve">Les faces de murs suivantes sont exécutées comme maçonneries apparentes et sont </w:t>
      </w:r>
      <w:r>
        <w:rPr>
          <w:rStyle w:val="optioncarChar"/>
        </w:rPr>
        <w:t>rejointoyées en cours d'élévation </w:t>
      </w:r>
      <w:r>
        <w:t>(par défaut)</w:t>
      </w:r>
      <w:r>
        <w:rPr>
          <w:rStyle w:val="optioncarChar"/>
        </w:rPr>
        <w:t xml:space="preserve"> / rejointoyées par après / ***</w:t>
      </w:r>
      <w:r>
        <w:t xml:space="preserve"> selon l'article </w:t>
      </w:r>
      <w:hyperlink w:anchor="344" w:history="1">
        <w:r>
          <w:t>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p>
    <w:p w14:paraId="335ABFD5" w14:textId="77777777" w:rsidR="00DF410E" w:rsidRDefault="00CE7F43">
      <w:pPr>
        <w:pStyle w:val="pheading"/>
      </w:pPr>
      <w:r>
        <w:t>MESURAGE</w:t>
      </w:r>
    </w:p>
    <w:p w14:paraId="3B7E2DFD" w14:textId="77777777" w:rsidR="00DF410E" w:rsidRDefault="00CE7F43">
      <w:pPr>
        <w:pStyle w:val="pheading"/>
      </w:pPr>
      <w:r>
        <w:t>- unité de mesure:</w:t>
      </w:r>
    </w:p>
    <w:p w14:paraId="72B7140E" w14:textId="77777777" w:rsidR="00DF410E" w:rsidRDefault="00CE7F43">
      <w:r>
        <w:rPr>
          <w:rStyle w:val="optioncarChar"/>
        </w:rPr>
        <w:t>m³ </w:t>
      </w:r>
      <w:r>
        <w:t>(par défaut)</w:t>
      </w:r>
      <w:r>
        <w:rPr>
          <w:rStyle w:val="optioncarChar"/>
        </w:rPr>
        <w:t> / m²</w:t>
      </w:r>
    </w:p>
    <w:p w14:paraId="7489526C" w14:textId="77777777" w:rsidR="00DF410E" w:rsidRDefault="00CE7F43">
      <w:r>
        <w:rPr>
          <w:b/>
        </w:rPr>
        <w:t>(soit par défaut)</w:t>
      </w:r>
    </w:p>
    <w:p w14:paraId="532BE475" w14:textId="77777777" w:rsidR="00DF410E" w:rsidRDefault="00CE7F43">
      <w:r>
        <w:rPr>
          <w:rStyle w:val="soitChar"/>
        </w:rPr>
        <w:t>1. m³</w:t>
      </w:r>
    </w:p>
    <w:p w14:paraId="55E833A5" w14:textId="77777777" w:rsidR="00DF410E" w:rsidRDefault="00CE7F43">
      <w:r>
        <w:rPr>
          <w:b/>
        </w:rPr>
        <w:t>(soit)</w:t>
      </w:r>
    </w:p>
    <w:p w14:paraId="4812244C" w14:textId="77777777" w:rsidR="00DF410E" w:rsidRDefault="00CE7F43">
      <w:r>
        <w:rPr>
          <w:rStyle w:val="soitChar"/>
        </w:rPr>
        <w:t>2. m²</w:t>
      </w:r>
    </w:p>
    <w:p w14:paraId="7B074BE7" w14:textId="77777777" w:rsidR="00DF410E" w:rsidRDefault="00CE7F43">
      <w:pPr>
        <w:pStyle w:val="pheading"/>
      </w:pPr>
      <w:r>
        <w:t>- code de mesurage:</w:t>
      </w:r>
    </w:p>
    <w:p w14:paraId="61F7C40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927CB41"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6AD7BD8"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874D16E" w14:textId="77777777" w:rsidR="00DF410E" w:rsidRDefault="00DF410E"/>
    <w:p w14:paraId="44933922" w14:textId="77777777" w:rsidR="00DF410E" w:rsidRDefault="00CE7F43">
      <w:r>
        <w:rPr>
          <w:rStyle w:val="optioncarChar"/>
        </w:rPr>
        <w:t>Volume net </w:t>
      </w:r>
      <w:r>
        <w:t>(par défaut)</w:t>
      </w:r>
      <w:r>
        <w:rPr>
          <w:rStyle w:val="optioncarChar"/>
        </w:rPr>
        <w:t> / Surface nette</w:t>
      </w:r>
    </w:p>
    <w:p w14:paraId="5F03B4D3" w14:textId="77777777" w:rsidR="00DF410E" w:rsidRDefault="00CE7F43">
      <w:r>
        <w:rPr>
          <w:b/>
        </w:rPr>
        <w:t>(soit par défaut)</w:t>
      </w:r>
    </w:p>
    <w:p w14:paraId="2C3CFCF0"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AC04773" w14:textId="77777777" w:rsidR="00DF410E" w:rsidRDefault="00CE7F43">
      <w:r>
        <w:rPr>
          <w:b/>
        </w:rPr>
        <w:t>(soit)</w:t>
      </w:r>
    </w:p>
    <w:p w14:paraId="7D81CC75"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78DA1DB" w14:textId="77777777" w:rsidR="00DF410E" w:rsidRDefault="00DF410E"/>
    <w:p w14:paraId="0F874A6B" w14:textId="77777777" w:rsidR="00DF410E" w:rsidRDefault="00CE7F43">
      <w:pPr>
        <w:pStyle w:val="pheading"/>
      </w:pPr>
      <w:r>
        <w:t>- nature du marché:</w:t>
      </w:r>
    </w:p>
    <w:p w14:paraId="543EA816" w14:textId="77777777" w:rsidR="00DF410E" w:rsidRDefault="00CE7F43">
      <w:r>
        <w:t>QF</w:t>
      </w:r>
    </w:p>
    <w:p w14:paraId="02C33D32" w14:textId="77777777" w:rsidR="00DF410E" w:rsidRDefault="00CE7F43">
      <w:pPr>
        <w:pStyle w:val="Author-eSectionHeading6"/>
      </w:pPr>
      <w:bookmarkStart w:id="38" w:name="_Toc178837307"/>
      <w:r>
        <w:t>21.12.2h Maçonneries portantes en blocs de coffrage en béton cellulaire CCTB 01.12</w:t>
      </w:r>
      <w:bookmarkEnd w:id="38"/>
    </w:p>
    <w:p w14:paraId="170F5B8B" w14:textId="77777777" w:rsidR="00DF410E" w:rsidRDefault="00CE7F43">
      <w:pPr>
        <w:pStyle w:val="pheading"/>
      </w:pPr>
      <w:r>
        <w:t>DESCRIPTION</w:t>
      </w:r>
    </w:p>
    <w:p w14:paraId="433795B3" w14:textId="77777777" w:rsidR="00DF410E" w:rsidRDefault="00CE7F43">
      <w:pPr>
        <w:pStyle w:val="pheading"/>
      </w:pPr>
      <w:r>
        <w:t>- Définition / Comprend</w:t>
      </w:r>
    </w:p>
    <w:p w14:paraId="4676D955" w14:textId="77777777" w:rsidR="00DF410E" w:rsidRDefault="00CE7F43">
      <w:r>
        <w:t xml:space="preserve">Il s’agit de la fourniture et la pose de maçonneries portantes en blocs de coffrage en béton cellulaire.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587C5B88" w14:textId="77777777" w:rsidR="00DF410E" w:rsidRDefault="00CE7F43">
      <w:pPr>
        <w:pStyle w:val="pheading"/>
      </w:pPr>
      <w:r>
        <w:t>- Localisation</w:t>
      </w:r>
    </w:p>
    <w:p w14:paraId="35D05F73" w14:textId="77777777" w:rsidR="00DF410E" w:rsidRDefault="00CE7F43">
      <w:r>
        <w:t xml:space="preserve">La pose est réalisée aux endroits suivants : </w:t>
      </w:r>
      <w:r>
        <w:rPr>
          <w:rStyle w:val="optioncarChar"/>
        </w:rPr>
        <w:t>***</w:t>
      </w:r>
      <w:r>
        <w:t>.</w:t>
      </w:r>
      <w:r>
        <w:br/>
        <w:t>Voir plans et métrés détaillés.</w:t>
      </w:r>
    </w:p>
    <w:p w14:paraId="15EA9FF6" w14:textId="77777777" w:rsidR="00DF410E" w:rsidRDefault="00CE7F43">
      <w:pPr>
        <w:pStyle w:val="pheading"/>
      </w:pPr>
      <w:r>
        <w:t>MATÉRIAUX</w:t>
      </w:r>
    </w:p>
    <w:p w14:paraId="65076A65" w14:textId="77777777" w:rsidR="00DF410E" w:rsidRDefault="00CE7F43">
      <w:pPr>
        <w:pStyle w:val="pheading"/>
      </w:pPr>
      <w:r>
        <w:t>- Caractéristiques générales</w:t>
      </w:r>
    </w:p>
    <w:p w14:paraId="68899036" w14:textId="77777777" w:rsidR="00DF410E" w:rsidRDefault="00CE7F43">
      <w:r>
        <w:rPr>
          <w:rStyle w:val="headingChar"/>
        </w:rPr>
        <w:t>Spécifications</w:t>
      </w:r>
      <w:r>
        <w:br/>
        <w:t>En ce qui concerne la déclaration de la résistance à la compression, les blocs sont de catégorie I (la résistance à la compression est déclarée avec une fiabilité de 95%).</w:t>
      </w:r>
      <w:r>
        <w:br/>
      </w:r>
      <w:r>
        <w:br/>
        <w:t>Les blocs en béton cellulaire sont de classe d’usage D</w:t>
      </w:r>
      <w:r>
        <w:br/>
        <w:t xml:space="preserve">La classe de qualité suivant [PTV 21-002] est : </w:t>
      </w:r>
      <w:r>
        <w:rPr>
          <w:rStyle w:val="optioncarChar"/>
        </w:rPr>
        <w:t xml:space="preserve">C4/550 </w:t>
      </w:r>
      <w:r>
        <w:t>(par défaut) </w:t>
      </w:r>
      <w:r>
        <w:rPr>
          <w:rStyle w:val="optioncarChar"/>
        </w:rPr>
        <w:t>/ ***</w:t>
      </w:r>
      <w:r>
        <w:br/>
      </w:r>
      <w:r>
        <w:br/>
        <w:t xml:space="preserve">La masse volumique sèche apparente des blocs ρ (rho) est : </w:t>
      </w:r>
      <w:r>
        <w:rPr>
          <w:rStyle w:val="optioncarChar"/>
        </w:rPr>
        <w:t>… kg/m³ (blocs pleins)</w:t>
      </w:r>
      <w:r>
        <w:t xml:space="preserve">, selon la [NBN EN 771-4+A1]. </w:t>
      </w:r>
      <w:r>
        <w:br/>
        <w:t>Conductibilité thermique :λ</w:t>
      </w:r>
      <w:r>
        <w:rPr>
          <w:vertAlign w:val="subscript"/>
        </w:rPr>
        <w:t>D</w:t>
      </w:r>
      <w:r>
        <w:t xml:space="preserve"> compatible avec la valeur U prescrite pour la paroi. </w:t>
      </w:r>
      <w:r>
        <w:br/>
      </w:r>
      <w:r>
        <w:br/>
        <w:t xml:space="preserve">Boutisse : </w:t>
      </w:r>
      <w:r>
        <w:rPr>
          <w:rStyle w:val="optioncarChar"/>
          <w:color w:val="000000"/>
        </w:rPr>
        <w:t>plate</w:t>
      </w:r>
      <w:r>
        <w:br/>
        <w:t xml:space="preserve">Face qui reste visible : </w:t>
      </w:r>
      <w:r>
        <w:rPr>
          <w:rStyle w:val="optioncarChar"/>
        </w:rPr>
        <w:t>lisse </w:t>
      </w:r>
      <w:r>
        <w:t>(par défaut)</w:t>
      </w:r>
      <w:r>
        <w:rPr>
          <w:rStyle w:val="optioncarChar"/>
        </w:rPr>
        <w:t xml:space="preserve"> /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(par défaut) </w:t>
      </w:r>
      <w:r>
        <w:rPr>
          <w:rStyle w:val="optioncarChar"/>
        </w:rPr>
        <w:t xml:space="preserve"> / ***</w:t>
      </w:r>
      <w:r>
        <w:br/>
      </w:r>
      <w:r>
        <w:br/>
        <w:t>Format :</w:t>
      </w:r>
      <w:r>
        <w:rPr>
          <w:rStyle w:val="optioncarChar"/>
        </w:rPr>
        <w:t> format modulaire proposé par l'entrepreneur</w:t>
      </w:r>
      <w:r>
        <w:t> (par défaut) </w:t>
      </w:r>
      <w:r>
        <w:rPr>
          <w:rStyle w:val="optioncarChar"/>
        </w:rPr>
        <w:t>/ (600 / 625 / *** </w:t>
      </w:r>
      <w:r>
        <w:t>x</w:t>
      </w:r>
      <w:r>
        <w:rPr>
          <w:rStyle w:val="optioncarChar"/>
        </w:rPr>
        <w:t> 250 / ***</w:t>
      </w:r>
      <w:r>
        <w:t> x</w:t>
      </w:r>
      <w:r>
        <w:rPr>
          <w:rStyle w:val="optioncarChar"/>
        </w:rPr>
        <w:t> 200 / 240 / 300 / 365 / ***</w:t>
      </w:r>
      <w:r>
        <w:t> ) mm</w:t>
      </w:r>
    </w:p>
    <w:p w14:paraId="006E5A90" w14:textId="77777777" w:rsidR="00DF410E" w:rsidRDefault="00CE7F43">
      <w:r>
        <w:t>La classe de tolérances dimensionnelles est TLMA.</w:t>
      </w:r>
    </w:p>
    <w:p w14:paraId="2494EBDB" w14:textId="77777777" w:rsidR="00DF410E" w:rsidRDefault="00CE7F43">
      <w:r>
        <w:t>Stabilité de forme : les éléments en béton cellulaire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br/>
      </w:r>
      <w:r>
        <w:rPr>
          <w:rStyle w:val="headingChar"/>
        </w:rPr>
        <w:t>Critères De Performances De La Paroi</w:t>
      </w:r>
      <w:r>
        <w:br/>
        <w:t>Coefficient de transmission :</w:t>
      </w:r>
    </w:p>
    <w:p w14:paraId="0028E41D" w14:textId="77777777" w:rsidR="00DF410E" w:rsidRDefault="00CE7F43">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BC3EA50" w14:textId="77777777" w:rsidR="00DF410E" w:rsidRDefault="00CE7F43">
      <w:r>
        <w:t>Résistance au feu :</w:t>
      </w:r>
    </w:p>
    <w:p w14:paraId="6600E2FB" w14:textId="77777777" w:rsidR="00DF410E" w:rsidRDefault="00CE7F43">
      <w:pPr>
        <w:ind w:left="567"/>
      </w:pPr>
      <w:r>
        <w:t>• pour les éléments porteurs structurels sans fonction séparante :</w:t>
      </w:r>
      <w:r>
        <w:rPr>
          <w:rStyle w:val="optioncarChar"/>
        </w:rPr>
        <w:t xml:space="preserve"> R 15 / R 30 </w:t>
      </w:r>
      <w:r>
        <w:t>(par défaut)</w:t>
      </w:r>
      <w:r>
        <w:rPr>
          <w:rStyle w:val="optioncarChar"/>
        </w:rPr>
        <w:t xml:space="preserve"> / R 60 / R 120 / R ***</w:t>
      </w:r>
      <w:r>
        <w:br/>
        <w:t xml:space="preserve">• pour les éléments porteurs structurels avec fonction séparante : </w:t>
      </w:r>
      <w:r>
        <w:rPr>
          <w:rStyle w:val="optioncarChar"/>
        </w:rPr>
        <w:t xml:space="preserve">REI 30 </w:t>
      </w:r>
      <w:r>
        <w:t>(par défaut) </w:t>
      </w:r>
      <w:r>
        <w:rPr>
          <w:rStyle w:val="optioncarChar"/>
        </w:rPr>
        <w:t>/ REI 60 / REI 120 / REI ***</w:t>
      </w:r>
    </w:p>
    <w:p w14:paraId="4B10948B" w14:textId="77777777" w:rsidR="00DF410E" w:rsidRDefault="00CE7F43">
      <w:pPr>
        <w:pStyle w:val="pheading"/>
      </w:pPr>
      <w:r>
        <w:t>- Finitions</w:t>
      </w:r>
    </w:p>
    <w:p w14:paraId="561F7EC6" w14:textId="77777777" w:rsidR="00DF410E" w:rsidRDefault="00DF410E"/>
    <w:p w14:paraId="114F4973" w14:textId="77777777" w:rsidR="00DF410E" w:rsidRDefault="00CE7F43">
      <w:pPr>
        <w:pStyle w:val="Author-eListParagraph"/>
        <w:numPr>
          <w:ilvl w:val="0"/>
          <w:numId w:val="71"/>
        </w:numPr>
      </w:pPr>
      <w:r>
        <w:t xml:space="preserve">Les faces de murs suivantes sont exécutées comme maçonneries apparentes et sont </w:t>
      </w:r>
      <w:r>
        <w:rPr>
          <w:rStyle w:val="optioncarChar"/>
          <w:color w:val="000000"/>
        </w:rPr>
        <w:t>rejointoyées</w:t>
      </w:r>
      <w:r>
        <w:t xml:space="preserve"> selon l'article </w:t>
      </w:r>
      <w:hyperlink w:anchor="344" w:history="1">
        <w:r>
          <w:t>Joints de maçonnerie apparente</w:t>
        </w:r>
      </w:hyperlink>
      <w:r>
        <w:t xml:space="preserve"> : </w:t>
      </w:r>
      <w:r>
        <w:rPr>
          <w:rStyle w:val="optioncarChar"/>
        </w:rPr>
        <w:t>***</w:t>
      </w:r>
    </w:p>
    <w:p w14:paraId="29C17A40" w14:textId="77777777" w:rsidR="00DF410E" w:rsidRDefault="00CE7F43">
      <w:pPr>
        <w:pStyle w:val="Author-eListParagraph"/>
        <w:numPr>
          <w:ilvl w:val="0"/>
          <w:numId w:val="71"/>
        </w:numPr>
      </w:pPr>
      <w:r>
        <w:t>Les murs suivants sont exécutés avec une face restant apparentes :</w:t>
      </w:r>
      <w:r>
        <w:rPr>
          <w:color w:val="FF0000"/>
        </w:rPr>
        <w:t>***</w:t>
      </w:r>
    </w:p>
    <w:p w14:paraId="7E7BA8F0" w14:textId="77777777" w:rsidR="00DF410E" w:rsidRDefault="00CE7F43">
      <w:pPr>
        <w:pStyle w:val="Author-eListParagraph"/>
        <w:numPr>
          <w:ilvl w:val="0"/>
          <w:numId w:val="71"/>
        </w:numPr>
      </w:pPr>
      <w:r>
        <w:t>Les murs suivants sont exécutés avec deux faces restant apparentes :</w:t>
      </w:r>
      <w:r>
        <w:rPr>
          <w:color w:val="FF0000"/>
        </w:rPr>
        <w:t xml:space="preserve"> ***</w:t>
      </w:r>
    </w:p>
    <w:p w14:paraId="690CE829" w14:textId="77777777" w:rsidR="00DF410E" w:rsidRDefault="00DF410E"/>
    <w:p w14:paraId="2F33592B" w14:textId="77777777" w:rsidR="00DF410E" w:rsidRDefault="00CE7F43">
      <w:r>
        <w:t> </w:t>
      </w:r>
    </w:p>
    <w:p w14:paraId="5FF08C27" w14:textId="77777777" w:rsidR="00DF410E" w:rsidRDefault="00CE7F43">
      <w:pPr>
        <w:pStyle w:val="pheading"/>
      </w:pPr>
      <w:r>
        <w:t>- Prescriptions complémentaires</w:t>
      </w:r>
    </w:p>
    <w:p w14:paraId="2A3DA397"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19B98F28" w14:textId="77777777" w:rsidR="00DF410E" w:rsidRDefault="00CE7F43">
      <w:pPr>
        <w:pStyle w:val="pheading"/>
      </w:pPr>
      <w:r>
        <w:t>MESURAGE</w:t>
      </w:r>
    </w:p>
    <w:p w14:paraId="7EB5A6F4" w14:textId="77777777" w:rsidR="00DF410E" w:rsidRDefault="00CE7F43">
      <w:pPr>
        <w:pStyle w:val="pheading"/>
      </w:pPr>
      <w:r>
        <w:t>- unité de mesure:</w:t>
      </w:r>
    </w:p>
    <w:p w14:paraId="19D2CC0A" w14:textId="77777777" w:rsidR="00DF410E" w:rsidRDefault="00CE7F43">
      <w:r>
        <w:rPr>
          <w:rStyle w:val="optioncarChar"/>
        </w:rPr>
        <w:t>m³ </w:t>
      </w:r>
      <w:r>
        <w:t>(par défaut)</w:t>
      </w:r>
      <w:r>
        <w:rPr>
          <w:rStyle w:val="optioncarChar"/>
        </w:rPr>
        <w:t> / m²</w:t>
      </w:r>
    </w:p>
    <w:p w14:paraId="46EA569A" w14:textId="77777777" w:rsidR="00DF410E" w:rsidRDefault="00CE7F43">
      <w:r>
        <w:rPr>
          <w:b/>
        </w:rPr>
        <w:t>(soit par défaut)</w:t>
      </w:r>
    </w:p>
    <w:p w14:paraId="270929EA" w14:textId="77777777" w:rsidR="00DF410E" w:rsidRDefault="00CE7F43">
      <w:r>
        <w:rPr>
          <w:rStyle w:val="soitChar"/>
        </w:rPr>
        <w:t>1. m³</w:t>
      </w:r>
    </w:p>
    <w:p w14:paraId="2599B2ED" w14:textId="77777777" w:rsidR="00DF410E" w:rsidRDefault="00CE7F43">
      <w:r>
        <w:rPr>
          <w:b/>
        </w:rPr>
        <w:t>(soit)</w:t>
      </w:r>
    </w:p>
    <w:p w14:paraId="1471FB6D" w14:textId="77777777" w:rsidR="00DF410E" w:rsidRDefault="00CE7F43">
      <w:r>
        <w:rPr>
          <w:rStyle w:val="soitChar"/>
        </w:rPr>
        <w:t>2. m²</w:t>
      </w:r>
    </w:p>
    <w:p w14:paraId="73C74974" w14:textId="77777777" w:rsidR="00DF410E" w:rsidRDefault="00CE7F43">
      <w:pPr>
        <w:pStyle w:val="pheading"/>
      </w:pPr>
      <w:r>
        <w:t>- code de mesurage:</w:t>
      </w:r>
    </w:p>
    <w:p w14:paraId="3F59E492"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6A29193"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5B79AC1"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FB8BCBF" w14:textId="77777777" w:rsidR="00DF410E" w:rsidRDefault="00DF410E"/>
    <w:p w14:paraId="6D2DD508" w14:textId="77777777" w:rsidR="00DF410E" w:rsidRDefault="00CE7F43">
      <w:r>
        <w:rPr>
          <w:rStyle w:val="optioncarChar"/>
        </w:rPr>
        <w:t>Volume net </w:t>
      </w:r>
      <w:r>
        <w:t>(par défaut)</w:t>
      </w:r>
      <w:r>
        <w:rPr>
          <w:rStyle w:val="optioncarChar"/>
        </w:rPr>
        <w:t> / Surface nette</w:t>
      </w:r>
    </w:p>
    <w:p w14:paraId="1252989B" w14:textId="77777777" w:rsidR="00DF410E" w:rsidRDefault="00CE7F43">
      <w:r>
        <w:rPr>
          <w:b/>
        </w:rPr>
        <w:t>(soit par défaut)</w:t>
      </w:r>
    </w:p>
    <w:p w14:paraId="05B5402A"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56B342C" w14:textId="77777777" w:rsidR="00DF410E" w:rsidRDefault="00CE7F43">
      <w:r>
        <w:rPr>
          <w:b/>
        </w:rPr>
        <w:t>(soit)</w:t>
      </w:r>
    </w:p>
    <w:p w14:paraId="4CBD3634"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1D547E7" w14:textId="77777777" w:rsidR="00DF410E" w:rsidRDefault="00CE7F43">
      <w:pPr>
        <w:pStyle w:val="pheading"/>
      </w:pPr>
      <w:r>
        <w:t>- nature du marché:</w:t>
      </w:r>
    </w:p>
    <w:p w14:paraId="3E3428AF" w14:textId="77777777" w:rsidR="00DF410E" w:rsidRDefault="00CE7F43">
      <w:r>
        <w:t>QF</w:t>
      </w:r>
    </w:p>
    <w:p w14:paraId="72098B27" w14:textId="77777777" w:rsidR="00DF410E" w:rsidRDefault="00CE7F43">
      <w:pPr>
        <w:pStyle w:val="Author-eSectionHeading6"/>
      </w:pPr>
      <w:bookmarkStart w:id="39" w:name="_Toc178837308"/>
      <w:r>
        <w:t>21.12.2i Maçonneries portantes en blocs treillis de terre cuite à maçonner CCTB 01.11</w:t>
      </w:r>
      <w:bookmarkEnd w:id="39"/>
    </w:p>
    <w:p w14:paraId="732C3F3E" w14:textId="77777777" w:rsidR="00DF410E" w:rsidRDefault="00CE7F43">
      <w:pPr>
        <w:pStyle w:val="pheading"/>
      </w:pPr>
      <w:r>
        <w:t>DESCRIPTION</w:t>
      </w:r>
    </w:p>
    <w:p w14:paraId="038312E8" w14:textId="77777777" w:rsidR="00DF410E" w:rsidRDefault="00CE7F43">
      <w:pPr>
        <w:pStyle w:val="pheading"/>
      </w:pPr>
      <w:r>
        <w:t>- Définition / Comprend</w:t>
      </w:r>
    </w:p>
    <w:p w14:paraId="5678F89D" w14:textId="77777777" w:rsidR="00DF410E" w:rsidRDefault="00CE7F43">
      <w:r>
        <w:t xml:space="preserve">Il s’agit de la fourniture et la pose de maçonneries portantes en blocs treillis de terre cuite à maçonner.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79E690EC" w14:textId="77777777" w:rsidR="00DF410E" w:rsidRDefault="00CE7F43">
      <w:pPr>
        <w:pStyle w:val="pheading"/>
      </w:pPr>
      <w:r>
        <w:t>- Localisation</w:t>
      </w:r>
    </w:p>
    <w:p w14:paraId="1D52B189" w14:textId="77777777" w:rsidR="00DF410E" w:rsidRDefault="00CE7F43">
      <w:r>
        <w:t xml:space="preserve">La pose est réalisée aux endroits suivants : </w:t>
      </w:r>
      <w:r>
        <w:rPr>
          <w:rStyle w:val="optioncarChar"/>
        </w:rPr>
        <w:t>***</w:t>
      </w:r>
      <w:r>
        <w:t>.</w:t>
      </w:r>
      <w:r>
        <w:br/>
        <w:t>Voir plans et métrés détaillés.</w:t>
      </w:r>
    </w:p>
    <w:p w14:paraId="08719BBB" w14:textId="77777777" w:rsidR="00DF410E" w:rsidRDefault="00CE7F43">
      <w:pPr>
        <w:pStyle w:val="pheading"/>
      </w:pPr>
      <w:r>
        <w:t>MESURAGE</w:t>
      </w:r>
    </w:p>
    <w:p w14:paraId="097008F0" w14:textId="77777777" w:rsidR="00DF410E" w:rsidRDefault="00CE7F43">
      <w:pPr>
        <w:pStyle w:val="pheading"/>
      </w:pPr>
      <w:r>
        <w:t>- unité de mesure:</w:t>
      </w:r>
    </w:p>
    <w:p w14:paraId="2A1394EA" w14:textId="77777777" w:rsidR="00DF410E" w:rsidRDefault="00CE7F43">
      <w:r>
        <w:rPr>
          <w:rStyle w:val="optioncarChar"/>
        </w:rPr>
        <w:t>m³ </w:t>
      </w:r>
      <w:r>
        <w:t>(par défaut)</w:t>
      </w:r>
      <w:r>
        <w:rPr>
          <w:rStyle w:val="optioncarChar"/>
        </w:rPr>
        <w:t> / m²</w:t>
      </w:r>
    </w:p>
    <w:p w14:paraId="4C44918D" w14:textId="77777777" w:rsidR="00DF410E" w:rsidRDefault="00CE7F43">
      <w:r>
        <w:rPr>
          <w:b/>
        </w:rPr>
        <w:t>(soit par défaut)</w:t>
      </w:r>
    </w:p>
    <w:p w14:paraId="7D909F11" w14:textId="77777777" w:rsidR="00DF410E" w:rsidRDefault="00CE7F43">
      <w:r>
        <w:rPr>
          <w:rStyle w:val="soitChar"/>
        </w:rPr>
        <w:t>1. m³</w:t>
      </w:r>
    </w:p>
    <w:p w14:paraId="30334F01" w14:textId="77777777" w:rsidR="00DF410E" w:rsidRDefault="00CE7F43">
      <w:r>
        <w:rPr>
          <w:b/>
        </w:rPr>
        <w:t>(soit)</w:t>
      </w:r>
    </w:p>
    <w:p w14:paraId="3B6AAEB5" w14:textId="77777777" w:rsidR="00DF410E" w:rsidRDefault="00CE7F43">
      <w:r>
        <w:rPr>
          <w:rStyle w:val="soitChar"/>
        </w:rPr>
        <w:t>2. m²</w:t>
      </w:r>
    </w:p>
    <w:p w14:paraId="06BD2B53" w14:textId="77777777" w:rsidR="00DF410E" w:rsidRDefault="00CE7F43">
      <w:pPr>
        <w:pStyle w:val="pheading"/>
      </w:pPr>
      <w:r>
        <w:t>- code de mesurage:</w:t>
      </w:r>
    </w:p>
    <w:p w14:paraId="2233D34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93C8F73"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3580E02"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41E5DC2" w14:textId="77777777" w:rsidR="00DF410E" w:rsidRDefault="00DF410E"/>
    <w:p w14:paraId="5BFFBF0E" w14:textId="77777777" w:rsidR="00DF410E" w:rsidRDefault="00CE7F43">
      <w:r>
        <w:rPr>
          <w:rStyle w:val="optioncarChar"/>
        </w:rPr>
        <w:t>Volume net </w:t>
      </w:r>
      <w:r>
        <w:t>(par défaut)</w:t>
      </w:r>
      <w:r>
        <w:rPr>
          <w:rStyle w:val="optioncarChar"/>
        </w:rPr>
        <w:t> / Surface nette</w:t>
      </w:r>
    </w:p>
    <w:p w14:paraId="7D516548" w14:textId="77777777" w:rsidR="00DF410E" w:rsidRDefault="00CE7F43">
      <w:r>
        <w:rPr>
          <w:b/>
        </w:rPr>
        <w:t>(soit par défaut)</w:t>
      </w:r>
    </w:p>
    <w:p w14:paraId="36A77C42"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256C89E" w14:textId="77777777" w:rsidR="00DF410E" w:rsidRDefault="00CE7F43">
      <w:r>
        <w:rPr>
          <w:b/>
        </w:rPr>
        <w:t>(soit)</w:t>
      </w:r>
    </w:p>
    <w:p w14:paraId="665B2AAA"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280B0B8" w14:textId="77777777" w:rsidR="00DF410E" w:rsidRDefault="00CE7F43">
      <w:pPr>
        <w:pStyle w:val="pheading"/>
      </w:pPr>
      <w:r>
        <w:t>- nature du marché:</w:t>
      </w:r>
    </w:p>
    <w:p w14:paraId="2E087170" w14:textId="77777777" w:rsidR="00DF410E" w:rsidRDefault="00CE7F43">
      <w:r>
        <w:t>QF</w:t>
      </w:r>
    </w:p>
    <w:p w14:paraId="14F4B36D" w14:textId="77777777" w:rsidR="00DF410E" w:rsidRDefault="00CE7F43">
      <w:pPr>
        <w:pStyle w:val="Author-eSectionHeading6"/>
      </w:pPr>
      <w:bookmarkStart w:id="40" w:name="_Toc178837309"/>
      <w:r>
        <w:t>21.12.2j Maçonneries portantes en blocs treillis de terre cuite à coller CCTB 01.11</w:t>
      </w:r>
      <w:bookmarkEnd w:id="40"/>
    </w:p>
    <w:p w14:paraId="0A9418FE" w14:textId="77777777" w:rsidR="00DF410E" w:rsidRDefault="00CE7F43">
      <w:pPr>
        <w:pStyle w:val="pheading"/>
      </w:pPr>
      <w:r>
        <w:t>DESCRIPTION</w:t>
      </w:r>
    </w:p>
    <w:p w14:paraId="6E8F8B2F" w14:textId="77777777" w:rsidR="00DF410E" w:rsidRDefault="00CE7F43">
      <w:pPr>
        <w:pStyle w:val="pheading"/>
      </w:pPr>
      <w:r>
        <w:t>- Définition / Comprend</w:t>
      </w:r>
    </w:p>
    <w:p w14:paraId="13DB6BC9" w14:textId="77777777" w:rsidR="00DF410E" w:rsidRDefault="00CE7F43">
      <w:r>
        <w:t xml:space="preserve">Il s’agit de la fourniture et la pose de maçonneries portantes en blocs treillis de terre cuite à coller. </w:t>
      </w:r>
      <w:r>
        <w:br/>
        <w:t xml:space="preserve">La portée des travaux est décrite dans l’article </w:t>
      </w:r>
      <w:hyperlink w:anchor="366" w:history="1">
        <w:r>
          <w:t>21.12.2 Maçonneries portantes en blocs pour murs en contact direct avec la terre</w:t>
        </w:r>
      </w:hyperlink>
      <w:r>
        <w:t>.</w:t>
      </w:r>
      <w:r>
        <w:br/>
        <w:t>Les travaux comprennent également la fourniture et la pose des pièces d’angle, de terminaison et de rencontre.</w:t>
      </w:r>
    </w:p>
    <w:p w14:paraId="63C2AC19" w14:textId="77777777" w:rsidR="00DF410E" w:rsidRDefault="00CE7F43">
      <w:pPr>
        <w:pStyle w:val="pheading"/>
      </w:pPr>
      <w:r>
        <w:t>- Localisation</w:t>
      </w:r>
    </w:p>
    <w:p w14:paraId="3E51301F" w14:textId="77777777" w:rsidR="00DF410E" w:rsidRDefault="00CE7F43">
      <w:r>
        <w:t xml:space="preserve">La pose est réalisée aux endroits suivants : </w:t>
      </w:r>
      <w:r>
        <w:rPr>
          <w:rStyle w:val="optioncarChar"/>
        </w:rPr>
        <w:t>***</w:t>
      </w:r>
      <w:r>
        <w:t>.</w:t>
      </w:r>
      <w:r>
        <w:br/>
        <w:t>Voir plans et métrés détaillés.</w:t>
      </w:r>
    </w:p>
    <w:p w14:paraId="4BAFE476" w14:textId="77777777" w:rsidR="00DF410E" w:rsidRDefault="00CE7F43">
      <w:pPr>
        <w:pStyle w:val="pheading"/>
      </w:pPr>
      <w:r>
        <w:t>MESURAGE</w:t>
      </w:r>
    </w:p>
    <w:p w14:paraId="35DC5C7B" w14:textId="77777777" w:rsidR="00DF410E" w:rsidRDefault="00CE7F43">
      <w:pPr>
        <w:pStyle w:val="pheading"/>
      </w:pPr>
      <w:r>
        <w:t>- unité de mesure:</w:t>
      </w:r>
    </w:p>
    <w:p w14:paraId="61D4BDD0" w14:textId="77777777" w:rsidR="00DF410E" w:rsidRDefault="00CE7F43">
      <w:r>
        <w:rPr>
          <w:rStyle w:val="optioncarChar"/>
        </w:rPr>
        <w:t>m³ </w:t>
      </w:r>
      <w:r>
        <w:t>(par défaut)</w:t>
      </w:r>
      <w:r>
        <w:rPr>
          <w:rStyle w:val="optioncarChar"/>
        </w:rPr>
        <w:t> / m²</w:t>
      </w:r>
    </w:p>
    <w:p w14:paraId="3982BA51" w14:textId="77777777" w:rsidR="00DF410E" w:rsidRDefault="00CE7F43">
      <w:r>
        <w:rPr>
          <w:b/>
        </w:rPr>
        <w:t>(soit par défaut)</w:t>
      </w:r>
    </w:p>
    <w:p w14:paraId="67328286" w14:textId="77777777" w:rsidR="00DF410E" w:rsidRDefault="00CE7F43">
      <w:r>
        <w:rPr>
          <w:rStyle w:val="soitChar"/>
        </w:rPr>
        <w:t>1. m³</w:t>
      </w:r>
    </w:p>
    <w:p w14:paraId="17C64B5D" w14:textId="77777777" w:rsidR="00DF410E" w:rsidRDefault="00CE7F43">
      <w:r>
        <w:rPr>
          <w:b/>
        </w:rPr>
        <w:t>(soit)</w:t>
      </w:r>
    </w:p>
    <w:p w14:paraId="2D45EBDA" w14:textId="77777777" w:rsidR="00DF410E" w:rsidRDefault="00CE7F43">
      <w:r>
        <w:rPr>
          <w:rStyle w:val="soitChar"/>
        </w:rPr>
        <w:t>2. m²</w:t>
      </w:r>
    </w:p>
    <w:p w14:paraId="6E75E575" w14:textId="77777777" w:rsidR="00DF410E" w:rsidRDefault="00CE7F43">
      <w:pPr>
        <w:pStyle w:val="pheading"/>
      </w:pPr>
      <w:r>
        <w:t>- code de mesurage:</w:t>
      </w:r>
    </w:p>
    <w:p w14:paraId="3BF09C7C"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8B018F1"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6B98B80"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7297EF3" w14:textId="77777777" w:rsidR="00DF410E" w:rsidRDefault="00DF410E"/>
    <w:p w14:paraId="5DF7F4C3" w14:textId="77777777" w:rsidR="00DF410E" w:rsidRDefault="00CE7F43">
      <w:r>
        <w:rPr>
          <w:rStyle w:val="optioncarChar"/>
        </w:rPr>
        <w:t>Volume net </w:t>
      </w:r>
      <w:r>
        <w:t>(par défaut)</w:t>
      </w:r>
      <w:r>
        <w:rPr>
          <w:rStyle w:val="optioncarChar"/>
        </w:rPr>
        <w:t> / Surface nette</w:t>
      </w:r>
    </w:p>
    <w:p w14:paraId="0C75B76E" w14:textId="77777777" w:rsidR="00DF410E" w:rsidRDefault="00CE7F43">
      <w:r>
        <w:rPr>
          <w:b/>
        </w:rPr>
        <w:t>(soit par défaut)</w:t>
      </w:r>
    </w:p>
    <w:p w14:paraId="1B0AC19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6B19467" w14:textId="77777777" w:rsidR="00DF410E" w:rsidRDefault="00CE7F43">
      <w:r>
        <w:rPr>
          <w:b/>
        </w:rPr>
        <w:t>(soit)</w:t>
      </w:r>
    </w:p>
    <w:p w14:paraId="6596DF06"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7F6DE71" w14:textId="77777777" w:rsidR="00DF410E" w:rsidRDefault="00DF410E"/>
    <w:p w14:paraId="04C07929" w14:textId="77777777" w:rsidR="00DF410E" w:rsidRDefault="00CE7F43">
      <w:r>
        <w:t> </w:t>
      </w:r>
    </w:p>
    <w:p w14:paraId="66F4C0C8" w14:textId="77777777" w:rsidR="00DF410E" w:rsidRDefault="00CE7F43">
      <w:pPr>
        <w:pStyle w:val="pheading"/>
      </w:pPr>
      <w:r>
        <w:t>- nature du marché:</w:t>
      </w:r>
    </w:p>
    <w:p w14:paraId="56949CE9" w14:textId="77777777" w:rsidR="00DF410E" w:rsidRDefault="00CE7F43">
      <w:r>
        <w:t>QF</w:t>
      </w:r>
    </w:p>
    <w:p w14:paraId="1E5471D6" w14:textId="77777777" w:rsidR="00DF410E" w:rsidRDefault="00CE7F43">
      <w:pPr>
        <w:pStyle w:val="Author-eSectionHeading5"/>
      </w:pPr>
      <w:bookmarkStart w:id="41" w:name="_Toc178837310"/>
      <w:r>
        <w:t>21.12.3 Maçonneries portantes en blocs treillis de terre cuite CCTB 01.11</w:t>
      </w:r>
      <w:bookmarkEnd w:id="41"/>
    </w:p>
    <w:p w14:paraId="289FD465" w14:textId="77777777" w:rsidR="00DF410E" w:rsidRDefault="00CE7F43">
      <w:pPr>
        <w:pStyle w:val="pheading"/>
      </w:pPr>
      <w:bookmarkStart w:id="42" w:name="367"/>
      <w:bookmarkEnd w:id="42"/>
      <w:r>
        <w:t>MATÉRIAUX</w:t>
      </w:r>
    </w:p>
    <w:p w14:paraId="16A3DC45" w14:textId="77777777" w:rsidR="00DF410E" w:rsidRDefault="00CE7F43">
      <w:r>
        <w:t>Il s'agit des blocs treillis de construction en terre cuite, qui répondent à la norme [NBN EN 771-1+A1] et au [PTV 23-003]. L'entrepreneur soumet un échantillon, la fiche technique et la déclaration des performances (DoP) du matériau pour approbation à l'auteur de projet et au maître de l’ouvrage.</w:t>
      </w:r>
    </w:p>
    <w:p w14:paraId="2745F1AC" w14:textId="77777777" w:rsidR="00DF410E" w:rsidRDefault="00CE7F43">
      <w:r>
        <w:t xml:space="preserve">Type : </w:t>
      </w:r>
      <w:r>
        <w:rPr>
          <w:rStyle w:val="optioncarChar"/>
        </w:rPr>
        <w:t>pressées</w:t>
      </w:r>
      <w:r>
        <w:t> (par défaut)</w:t>
      </w:r>
      <w:r>
        <w:rPr>
          <w:rStyle w:val="optioncarChar"/>
        </w:rPr>
        <w:t xml:space="preserve"> / perforées / étirées / isolantes / ***</w:t>
      </w:r>
    </w:p>
    <w:p w14:paraId="41552C93" w14:textId="77777777" w:rsidR="00DF410E" w:rsidRDefault="00CE7F43">
      <w:r>
        <w:t>Conformément au mode de mise en œuvre, les blocs de construction en terre cuite sont maçonnés au mortier / collés à l’aide d’un mortier-colle selon les indications du fabricant de mortier et des notes de calcul du bureau d’études.</w:t>
      </w:r>
    </w:p>
    <w:p w14:paraId="7B9BDC1D" w14:textId="77777777" w:rsidR="00DF410E" w:rsidRDefault="00CE7F43">
      <w:r>
        <w:t xml:space="preserve">Le mortier à coller / à maçonner (selon la norme [NBN EN 998-2] et le règlement d’application [TRA 651] ) répond à la catégorie : </w:t>
      </w:r>
      <w:r>
        <w:rPr>
          <w:rStyle w:val="optioncarChar"/>
        </w:rPr>
        <w:t>M10</w:t>
      </w:r>
      <w:r>
        <w:t xml:space="preserve"> (par défaut)</w:t>
      </w:r>
      <w:r>
        <w:rPr>
          <w:rStyle w:val="optioncarChar"/>
        </w:rPr>
        <w:t> / M15 / M20 / ***</w:t>
      </w:r>
    </w:p>
    <w:p w14:paraId="25584723"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r>
        <w:t>.</w:t>
      </w:r>
    </w:p>
    <w:p w14:paraId="46ADD445" w14:textId="77777777" w:rsidR="00DF410E" w:rsidRDefault="00CE7F43">
      <w:pPr>
        <w:pStyle w:val="pheading"/>
      </w:pPr>
      <w:r>
        <w:t>EXÉCUTION / MISE EN ŒUVRE</w:t>
      </w:r>
    </w:p>
    <w:p w14:paraId="15B52AA5" w14:textId="77777777" w:rsidR="00DF410E" w:rsidRDefault="00CE7F43">
      <w:r>
        <w:rPr>
          <w:color w:val="000000"/>
          <w:u w:val="single"/>
        </w:rPr>
        <w:t>- prescriptions générales</w:t>
      </w:r>
    </w:p>
    <w:p w14:paraId="6231ABAB" w14:textId="77777777" w:rsidR="00DF410E" w:rsidRDefault="00CE7F43">
      <w:r>
        <w:rPr>
          <w:color w:val="000000"/>
        </w:rPr>
        <w:t xml:space="preserve">Eléments en terre cuite à utiliser : </w:t>
      </w:r>
      <w:r>
        <w:rPr>
          <w:rStyle w:val="optioncarChar"/>
          <w:color w:val="000000"/>
        </w:rPr>
        <w:t xml:space="preserve">bloc U </w:t>
      </w:r>
      <w:r>
        <w:t>(par défaut) </w:t>
      </w:r>
      <w:r>
        <w:rPr>
          <w:rStyle w:val="optioncarChar"/>
          <w:color w:val="000000"/>
        </w:rPr>
        <w:t>/ bloc P</w:t>
      </w:r>
      <w:r>
        <w:rPr>
          <w:color w:val="000000"/>
        </w:rPr>
        <w:t xml:space="preserve"> conformément à l'article </w:t>
      </w:r>
      <w:hyperlink w:anchor="293" w:history="1">
        <w:r>
          <w:rPr>
            <w:color w:val="000000"/>
          </w:rPr>
          <w:t>21 Superstructures en maçonnerie</w:t>
        </w:r>
      </w:hyperlink>
      <w:r>
        <w:rPr>
          <w:color w:val="000000"/>
        </w:rPr>
        <w:t xml:space="preserve"> Classification .</w:t>
      </w:r>
    </w:p>
    <w:p w14:paraId="2693B403" w14:textId="77777777" w:rsidR="00DF410E" w:rsidRDefault="00CE7F43">
      <w:r>
        <w:rPr>
          <w:color w:val="000000"/>
        </w:rPr>
        <w:t xml:space="preserve">Type : </w:t>
      </w:r>
      <w:r>
        <w:rPr>
          <w:rStyle w:val="optioncarChar"/>
          <w:color w:val="000000"/>
        </w:rPr>
        <w:t xml:space="preserve">pressées </w:t>
      </w:r>
      <w:r>
        <w:t>(par défaut) </w:t>
      </w:r>
      <w:r>
        <w:rPr>
          <w:rStyle w:val="optioncarChar"/>
          <w:color w:val="000000"/>
        </w:rPr>
        <w:t>/ perforées / étirées / isolantes / ***</w:t>
      </w:r>
      <w:r>
        <w:br/>
      </w:r>
    </w:p>
    <w:p w14:paraId="0B6D985B" w14:textId="77777777" w:rsidR="00DF410E" w:rsidRDefault="00CE7F43">
      <w:r>
        <w:rPr>
          <w:color w:val="000000"/>
        </w:rPr>
        <w:t>Conformément au mode de mise en œuvre, les blocs de construction en terre cuite sont maçonnés au mortier / collés à l’aide d’un mortier-colle selon les indications du fabricant de mortier et des notes de calcul du bureau d’études.</w:t>
      </w:r>
      <w:r>
        <w:br/>
      </w:r>
    </w:p>
    <w:p w14:paraId="067A968E" w14:textId="77777777" w:rsidR="00DF410E" w:rsidRDefault="00CE7F43">
      <w:r>
        <w:rPr>
          <w:color w:val="000000"/>
        </w:rPr>
        <w:t xml:space="preserve">Le mortier à coller / à maçonner (selon la norme [NBN EN 998-2] et le règlement d’application [TRA 651]) répond à la catégorie : </w:t>
      </w:r>
      <w:r>
        <w:rPr>
          <w:rStyle w:val="optioncarChar"/>
          <w:color w:val="000000"/>
        </w:rPr>
        <w:t>M10 </w:t>
      </w:r>
      <w:r>
        <w:t>(par défaut)</w:t>
      </w:r>
      <w:r>
        <w:rPr>
          <w:rStyle w:val="optioncarChar"/>
          <w:color w:val="000000"/>
        </w:rPr>
        <w:t xml:space="preserve"> / M15 / M20 / ***</w:t>
      </w:r>
      <w:r>
        <w:br/>
      </w:r>
    </w:p>
    <w:p w14:paraId="27EE819B" w14:textId="77777777" w:rsidR="00DF410E" w:rsidRDefault="00CE7F43">
      <w:r>
        <w:rPr>
          <w:color w:val="000000"/>
        </w:rPr>
        <w:t xml:space="preserve">Isolation contre l'humidité : membranes en </w:t>
      </w:r>
      <w:r>
        <w:rPr>
          <w:rStyle w:val="optioncarChar"/>
          <w:color w:val="000000"/>
        </w:rPr>
        <w:t>PE </w:t>
      </w:r>
      <w:r>
        <w:t>(par défaut)</w:t>
      </w:r>
      <w:r>
        <w:rPr>
          <w:rStyle w:val="optioncarChar"/>
          <w:color w:val="000000"/>
        </w:rPr>
        <w:t xml:space="preserve"> / ***</w:t>
      </w:r>
      <w:r>
        <w:rPr>
          <w:color w:val="000000"/>
        </w:rPr>
        <w:t xml:space="preserve"> conformément à l'article </w:t>
      </w:r>
      <w:hyperlink w:anchor="354" w:history="1">
        <w:r>
          <w:t>26.11 Feuilles et membranes d'étanchéité à l'eau</w:t>
        </w:r>
      </w:hyperlink>
      <w:r>
        <w:t>.</w:t>
      </w:r>
      <w:r>
        <w:br/>
      </w:r>
      <w:r>
        <w:br/>
      </w:r>
    </w:p>
    <w:p w14:paraId="03EEDDBF" w14:textId="77777777" w:rsidR="00DF410E" w:rsidRDefault="00CE7F43">
      <w:r>
        <w:rPr>
          <w:color w:val="000000"/>
          <w:u w:val="single"/>
        </w:rPr>
        <w:t>- Notes d’exécution complémentaires</w:t>
      </w:r>
    </w:p>
    <w:p w14:paraId="7DBD91F8" w14:textId="77777777" w:rsidR="00DF410E" w:rsidRDefault="00CE7F43">
      <w:r>
        <w:t>Pour les maçonneries destinées à rester apparentes, seules des blocs treillis non endommagés sont utilisés.</w:t>
      </w:r>
    </w:p>
    <w:p w14:paraId="6C95D007" w14:textId="77777777" w:rsidR="00DF410E" w:rsidRDefault="00CE7F43">
      <w:r>
        <w:t xml:space="preserve">Les segments de murs sont pourvus d'armatures horizontales selon l'article </w:t>
      </w:r>
      <w:hyperlink w:anchor="355" w:history="1">
        <w:r>
          <w:t>21.41.1 Armatures horizontales pour maçonneries</w:t>
        </w:r>
      </w:hyperlink>
      <w:r>
        <w:t xml:space="preserve">. Les segments de murs sont pourvus d'armatures verticales selon l'article </w:t>
      </w:r>
      <w:hyperlink w:anchor="356" w:history="1">
        <w:r>
          <w:t>21.41.2 Armatures verticales pour maçonneries</w:t>
        </w:r>
      </w:hyperlink>
      <w:r>
        <w:t>.</w:t>
      </w:r>
    </w:p>
    <w:p w14:paraId="4A5A7CFA"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0C7953F9"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25972012" w14:textId="77777777" w:rsidR="00DF410E" w:rsidRDefault="00CE7F43">
      <w:r>
        <w:br/>
        <w:t xml:space="preserve">Linteaux : </w:t>
      </w:r>
      <w:r>
        <w:rPr>
          <w:rStyle w:val="optioncarChar"/>
        </w:rPr>
        <w:t>***</w:t>
      </w:r>
      <w:r>
        <w:t xml:space="preserve"> conformément à l’article </w:t>
      </w:r>
      <w:hyperlink w:anchor="358" w:history="1">
        <w:r>
          <w:t>22.13 Linteaux en béton</w:t>
        </w:r>
      </w:hyperlink>
      <w:r>
        <w:t>.</w:t>
      </w:r>
    </w:p>
    <w:p w14:paraId="31B61740" w14:textId="77777777" w:rsidR="00DF410E" w:rsidRDefault="00CE7F43">
      <w:pPr>
        <w:pStyle w:val="pheading"/>
      </w:pPr>
      <w:r>
        <w:t>AIDE</w:t>
      </w:r>
    </w:p>
    <w:p w14:paraId="31A6BB62" w14:textId="77777777" w:rsidR="00DF410E" w:rsidRDefault="00CE7F43">
      <w:r>
        <w:t>Note à l'attention de l'auteur du projet : pour le choix adéquat du mortier, se référer à la [STS 22 série].</w:t>
      </w:r>
    </w:p>
    <w:p w14:paraId="646F5CDD" w14:textId="77777777" w:rsidR="00DF410E" w:rsidRDefault="00CE7F43">
      <w:pPr>
        <w:pStyle w:val="Author-eSectionHeading6"/>
      </w:pPr>
      <w:bookmarkStart w:id="43" w:name="_Toc178837311"/>
      <w:r>
        <w:t>21.12.3a Maçonneries portantes en blocs treillis de terre cuite à maçonner CCTB 01.12</w:t>
      </w:r>
      <w:bookmarkEnd w:id="43"/>
    </w:p>
    <w:p w14:paraId="1F4A8851" w14:textId="77777777" w:rsidR="00DF410E" w:rsidRDefault="00CE7F43">
      <w:pPr>
        <w:pStyle w:val="pheading"/>
      </w:pPr>
      <w:r>
        <w:t>DESCRIPTION</w:t>
      </w:r>
    </w:p>
    <w:p w14:paraId="095C52D6" w14:textId="77777777" w:rsidR="00DF410E" w:rsidRDefault="00CE7F43">
      <w:pPr>
        <w:pStyle w:val="pheading"/>
      </w:pPr>
      <w:r>
        <w:t>- Définition / Comprend</w:t>
      </w:r>
    </w:p>
    <w:p w14:paraId="35E29331" w14:textId="77777777" w:rsidR="00DF410E" w:rsidRDefault="00CE7F43">
      <w:r>
        <w:t xml:space="preserve">Il s’agit de la fourniture et la pose de maçonneries portantes en blocs treillis de terre cuite à maçonner. </w:t>
      </w:r>
      <w:r>
        <w:br/>
        <w:t xml:space="preserve">La portée des travaux est décrite dans l’article </w:t>
      </w:r>
      <w:hyperlink w:anchor="367" w:history="1">
        <w:r>
          <w:t>21.12.3 Maçonneries portantes en blocs treillis de terre cuite</w:t>
        </w:r>
      </w:hyperlink>
      <w:r>
        <w:t>.</w:t>
      </w:r>
      <w:r>
        <w:br/>
        <w:t>Les travaux comprennent également la fourniture et la pose des pièces d’angle, de terminaison et de rencontre.</w:t>
      </w:r>
    </w:p>
    <w:p w14:paraId="50358229" w14:textId="77777777" w:rsidR="00DF410E" w:rsidRDefault="00CE7F43">
      <w:pPr>
        <w:pStyle w:val="pheading"/>
      </w:pPr>
      <w:r>
        <w:t>- Localisation</w:t>
      </w:r>
    </w:p>
    <w:p w14:paraId="2FCF440D" w14:textId="77777777" w:rsidR="00DF410E" w:rsidRDefault="00CE7F43">
      <w:r>
        <w:t xml:space="preserve">La pose est réalisée aux endroits suivants : </w:t>
      </w:r>
      <w:r>
        <w:rPr>
          <w:rStyle w:val="optioncarChar"/>
        </w:rPr>
        <w:t>***</w:t>
      </w:r>
      <w:r>
        <w:t>.</w:t>
      </w:r>
      <w:r>
        <w:br/>
        <w:t>Voir plans et métrés détaillés.</w:t>
      </w:r>
    </w:p>
    <w:p w14:paraId="3D726271" w14:textId="77777777" w:rsidR="00DF410E" w:rsidRDefault="00CE7F43">
      <w:pPr>
        <w:pStyle w:val="pheading"/>
      </w:pPr>
      <w:r>
        <w:t>MATÉRIAUX</w:t>
      </w:r>
    </w:p>
    <w:p w14:paraId="683759F9" w14:textId="77777777" w:rsidR="00DF410E" w:rsidRDefault="00CE7F43">
      <w:pPr>
        <w:pStyle w:val="pheading"/>
      </w:pPr>
      <w:r>
        <w:t>- Caractéristiques générales</w:t>
      </w:r>
    </w:p>
    <w:p w14:paraId="2E8385E4" w14:textId="77777777" w:rsidR="00DF410E" w:rsidRDefault="00CE7F43">
      <w:r>
        <w:rPr>
          <w:rStyle w:val="headingChar"/>
        </w:rPr>
        <w:t>Spécifications</w:t>
      </w:r>
    </w:p>
    <w:p w14:paraId="06B44CE8" w14:textId="77777777" w:rsidR="00DF410E" w:rsidRDefault="00CE7F43">
      <w:r>
        <w:t>En ce qui concerne la déclaration de la résistance à la compression, les blocs treillis sont de catégorie I (la résistance à la compression est déclarée avec une fiabilité de 95%).</w:t>
      </w:r>
    </w:p>
    <w:p w14:paraId="4DF701EC" w14:textId="77777777" w:rsidR="00DF410E" w:rsidRDefault="00CE7F43">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la [NBN EN 772-1+A1]</w:t>
      </w:r>
      <w:r>
        <w:rPr>
          <w:rStyle w:val="normalChar"/>
          <w:color w:val="FF0000"/>
        </w:rPr>
        <w:t> </w:t>
      </w:r>
      <w:r>
        <w:rPr>
          <w:rStyle w:val="normalChar"/>
          <w:color w:val="000000"/>
        </w:rPr>
        <w:t>et la </w:t>
      </w:r>
      <w:r>
        <w:rPr>
          <w:rStyle w:val="optioncarChar"/>
        </w:rPr>
        <w:t>[NBN EN 1996 série]</w:t>
      </w:r>
      <w:r>
        <w:rPr>
          <w:color w:val="000000"/>
        </w:rPr>
        <w:t xml:space="preserve"> est au minimum : </w:t>
      </w:r>
      <w:r>
        <w:rPr>
          <w:rStyle w:val="optioncarChar"/>
        </w:rPr>
        <w:t>20 / 25</w:t>
      </w:r>
      <w:r>
        <w:rPr>
          <w:color w:val="000000"/>
        </w:rPr>
        <w:t xml:space="preserve"> N/mm² (MPa). </w:t>
      </w:r>
    </w:p>
    <w:p w14:paraId="1811A9EE" w14:textId="77777777" w:rsidR="00DF410E" w:rsidRDefault="00CE7F43">
      <w:r>
        <w:t xml:space="preserve">Le groupe de configuration suivant [NBN EN 1996-1-1+A1 ANB] est: </w:t>
      </w:r>
      <w:r>
        <w:rPr>
          <w:rStyle w:val="optioncarChar"/>
        </w:rPr>
        <w:t>1 / 2 / 3 / 4.</w:t>
      </w:r>
      <w:r>
        <w:br/>
      </w:r>
      <w:r>
        <w:br/>
        <w:t xml:space="preserve">La masse volumique sèche apparente des blocs ρ (rho) est : </w:t>
      </w:r>
      <w:r>
        <w:rPr>
          <w:rStyle w:val="optioncarChar"/>
        </w:rPr>
        <w:t>925 </w:t>
      </w:r>
      <w:r>
        <w:t xml:space="preserve">&lt; ρ &lt; </w:t>
      </w:r>
      <w:r>
        <w:rPr>
          <w:rStyle w:val="optioncarChar"/>
        </w:rPr>
        <w:t>1150</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color w:val="000000"/>
        </w:rPr>
        <w:t>lisse</w:t>
      </w:r>
      <w:r>
        <w:br/>
        <w:t xml:space="preserve">Face à cimenter ou plafonner : </w:t>
      </w:r>
      <w:r>
        <w:rPr>
          <w:rStyle w:val="optioncarChar"/>
        </w:rPr>
        <w:t>lisse</w:t>
      </w:r>
      <w:r>
        <w:t xml:space="preserve"> (par défaut)</w:t>
      </w:r>
      <w:r>
        <w:rPr>
          <w:rStyle w:val="optioncarChar"/>
        </w:rPr>
        <w:t xml:space="preserve"> / rainurée</w:t>
      </w:r>
      <w:r>
        <w:br/>
      </w:r>
      <w:r>
        <w:br/>
        <w:t xml:space="preserve">Teinte : </w:t>
      </w:r>
      <w:r>
        <w:rPr>
          <w:rStyle w:val="optioncarChar"/>
        </w:rPr>
        <w:t>blanc / rouge</w:t>
      </w:r>
      <w:r>
        <w:t xml:space="preserve"> (par défaut) </w:t>
      </w:r>
      <w:r>
        <w:rPr>
          <w:rStyle w:val="optioncarChar"/>
        </w:rPr>
        <w:t>/ gris / ***</w:t>
      </w:r>
      <w:r>
        <w:br/>
      </w:r>
      <w:r>
        <w:br/>
        <w:t xml:space="preserve">Format : (L x l x h) </w:t>
      </w:r>
      <w:r>
        <w:rPr>
          <w:rStyle w:val="optioncarChar"/>
        </w:rPr>
        <w:t xml:space="preserve">(500/390 x 140/190 x 250) </w:t>
      </w:r>
      <w:r>
        <w:t>mm</w:t>
      </w:r>
      <w:r>
        <w:rPr>
          <w:rStyle w:val="optioncarChar"/>
        </w:rPr>
        <w:t xml:space="preserve"> / format modulaire proposé par l'entrepreneur </w:t>
      </w:r>
      <w:r>
        <w:t>(par défaut)</w:t>
      </w:r>
    </w:p>
    <w:p w14:paraId="78B0D837" w14:textId="77777777" w:rsidR="00DF410E" w:rsidRDefault="00CE7F43">
      <w: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14:paraId="33639E22" w14:textId="77777777" w:rsidR="00DF410E" w:rsidRDefault="00CE7F43">
      <w:r>
        <w:t>Résistance au gel suivant les classes d’application MX… selon [NBN EN 1996-1-2 ANB] et [NIT 271].</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0FB6446A" w14:textId="77777777" w:rsidR="00DF410E" w:rsidRDefault="00CE7F43">
      <w:r>
        <w:t>Coefficient de transmission :</w:t>
      </w:r>
    </w:p>
    <w:p w14:paraId="5E6B439D" w14:textId="77777777" w:rsidR="00DF410E" w:rsidRDefault="00CE7F43">
      <w:pPr>
        <w:pStyle w:val="Author-eListParagraph"/>
        <w:numPr>
          <w:ilvl w:val="0"/>
          <w:numId w:val="72"/>
        </w:numPr>
      </w:pPr>
      <w:r>
        <w:t xml:space="preserve">valeur U minimale de </w:t>
      </w:r>
      <w:r>
        <w:rPr>
          <w:rStyle w:val="optioncarChar"/>
        </w:rPr>
        <w:t>***</w:t>
      </w:r>
      <w:r>
        <w:t xml:space="preserve"> W/m²K</w:t>
      </w:r>
    </w:p>
    <w:p w14:paraId="540DC536" w14:textId="77777777" w:rsidR="00DF410E" w:rsidRDefault="00CE7F43">
      <w:pPr>
        <w:pStyle w:val="Author-eListParagraph"/>
        <w:numPr>
          <w:ilvl w:val="0"/>
          <w:numId w:val="72"/>
        </w:numPr>
      </w:pPr>
      <w:r>
        <w:t>valeur λ</w:t>
      </w:r>
      <w:r>
        <w:rPr>
          <w:vertAlign w:val="subscript"/>
        </w:rPr>
        <w:t>Ui</w:t>
      </w:r>
      <w:r>
        <w:t xml:space="preserve"> ou λ</w:t>
      </w:r>
      <w:r>
        <w:rPr>
          <w:vertAlign w:val="subscript"/>
        </w:rPr>
        <w:t>Ue</w:t>
      </w:r>
      <w:r>
        <w:t xml:space="preserve"> maximum </w:t>
      </w:r>
      <w:r>
        <w:rPr>
          <w:rStyle w:val="optioncarChar"/>
        </w:rPr>
        <w:t>0,26</w:t>
      </w:r>
      <w:r>
        <w:t> W/mK (suivant l’application).</w:t>
      </w:r>
    </w:p>
    <w:p w14:paraId="2F538707" w14:textId="77777777" w:rsidR="00DF410E" w:rsidRDefault="00CE7F43">
      <w:r>
        <w:br/>
        <w:t>Résistance au feu :</w:t>
      </w:r>
    </w:p>
    <w:p w14:paraId="326FEC4A" w14:textId="77777777" w:rsidR="00DF410E" w:rsidRDefault="00CE7F43">
      <w:pPr>
        <w:pStyle w:val="Author-eListParagraph"/>
        <w:numPr>
          <w:ilvl w:val="0"/>
          <w:numId w:val="7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0AC89712" w14:textId="77777777" w:rsidR="00DF410E" w:rsidRDefault="00CE7F43">
      <w:pPr>
        <w:pStyle w:val="Author-eListParagraph"/>
        <w:numPr>
          <w:ilvl w:val="0"/>
          <w:numId w:val="73"/>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4C584C41" w14:textId="77777777" w:rsidR="00DF410E" w:rsidRDefault="00CE7F43">
      <w:r>
        <w:t>selon la norme [NBN EN 1996-1-2 ANB].</w:t>
      </w:r>
    </w:p>
    <w:p w14:paraId="727234B9" w14:textId="77777777" w:rsidR="00DF410E" w:rsidRDefault="00CE7F43">
      <w:pPr>
        <w:pStyle w:val="pheading"/>
      </w:pPr>
      <w:r>
        <w:t>- Finitions</w:t>
      </w:r>
    </w:p>
    <w:p w14:paraId="225D989E" w14:textId="77777777" w:rsidR="00DF410E" w:rsidRDefault="00CE7F43">
      <w:r>
        <w:t xml:space="preserve">Les faces de murs suivantes sont exécutées comme maçonneries apparentes et sont </w:t>
      </w:r>
      <w:r>
        <w:rPr>
          <w:rStyle w:val="optioncarChar"/>
          <w:color w:val="000000"/>
        </w:rPr>
        <w:t>rejointoyées </w:t>
      </w:r>
      <w:r>
        <w:t xml:space="preserve">selon l'article </w:t>
      </w:r>
      <w:hyperlink w:anchor="344"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r>
        <w:br/>
      </w:r>
      <w:r>
        <w:br/>
      </w:r>
    </w:p>
    <w:p w14:paraId="7BB49F2A" w14:textId="77777777" w:rsidR="00DF410E" w:rsidRDefault="00CE7F43">
      <w:pPr>
        <w:pStyle w:val="pheading"/>
      </w:pPr>
      <w:r>
        <w:t>MESURAGE</w:t>
      </w:r>
    </w:p>
    <w:p w14:paraId="5B4B102F" w14:textId="77777777" w:rsidR="00DF410E" w:rsidRDefault="00CE7F43">
      <w:pPr>
        <w:pStyle w:val="pheading"/>
      </w:pPr>
      <w:r>
        <w:t>- unité de mesure:</w:t>
      </w:r>
    </w:p>
    <w:p w14:paraId="69B8B3B6" w14:textId="77777777" w:rsidR="00DF410E" w:rsidRDefault="00CE7F43">
      <w:r>
        <w:rPr>
          <w:rStyle w:val="optioncarChar"/>
        </w:rPr>
        <w:t>m³ </w:t>
      </w:r>
      <w:r>
        <w:t>(par défaut)</w:t>
      </w:r>
      <w:r>
        <w:rPr>
          <w:rStyle w:val="optioncarChar"/>
        </w:rPr>
        <w:t> / m²</w:t>
      </w:r>
    </w:p>
    <w:p w14:paraId="6DD348BF" w14:textId="77777777" w:rsidR="00DF410E" w:rsidRDefault="00CE7F43">
      <w:r>
        <w:rPr>
          <w:b/>
        </w:rPr>
        <w:t>(soit par défaut)</w:t>
      </w:r>
    </w:p>
    <w:p w14:paraId="5D9ABC59" w14:textId="77777777" w:rsidR="00DF410E" w:rsidRDefault="00CE7F43">
      <w:r>
        <w:rPr>
          <w:rStyle w:val="soitChar"/>
        </w:rPr>
        <w:t>1. m³</w:t>
      </w:r>
    </w:p>
    <w:p w14:paraId="14389101" w14:textId="77777777" w:rsidR="00DF410E" w:rsidRDefault="00CE7F43">
      <w:r>
        <w:rPr>
          <w:b/>
        </w:rPr>
        <w:t>(soit)</w:t>
      </w:r>
    </w:p>
    <w:p w14:paraId="591F91B4" w14:textId="77777777" w:rsidR="00DF410E" w:rsidRDefault="00CE7F43">
      <w:r>
        <w:rPr>
          <w:rStyle w:val="soitChar"/>
        </w:rPr>
        <w:t>2. m²</w:t>
      </w:r>
    </w:p>
    <w:p w14:paraId="2B258507" w14:textId="77777777" w:rsidR="00DF410E" w:rsidRDefault="00CE7F43">
      <w:pPr>
        <w:pStyle w:val="pheading"/>
      </w:pPr>
      <w:r>
        <w:t>- code de mesurage:</w:t>
      </w:r>
    </w:p>
    <w:p w14:paraId="596D20D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A914333"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1CBE1BB"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59F937B" w14:textId="77777777" w:rsidR="00DF410E" w:rsidRDefault="00DF410E"/>
    <w:p w14:paraId="15E9B9A4" w14:textId="77777777" w:rsidR="00DF410E" w:rsidRDefault="00CE7F43">
      <w:r>
        <w:rPr>
          <w:rStyle w:val="optioncarChar"/>
        </w:rPr>
        <w:t>Volume net </w:t>
      </w:r>
      <w:r>
        <w:t>(par défaut)</w:t>
      </w:r>
      <w:r>
        <w:rPr>
          <w:rStyle w:val="optioncarChar"/>
        </w:rPr>
        <w:t> / Surface nette</w:t>
      </w:r>
    </w:p>
    <w:p w14:paraId="428387E5" w14:textId="77777777" w:rsidR="00DF410E" w:rsidRDefault="00CE7F43">
      <w:r>
        <w:rPr>
          <w:b/>
        </w:rPr>
        <w:t>(soit par défaut)</w:t>
      </w:r>
    </w:p>
    <w:p w14:paraId="4B012253"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58EA498" w14:textId="77777777" w:rsidR="00DF410E" w:rsidRDefault="00CE7F43">
      <w:r>
        <w:rPr>
          <w:b/>
        </w:rPr>
        <w:t>(soit)</w:t>
      </w:r>
    </w:p>
    <w:p w14:paraId="4C4D17E9"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49B246E" w14:textId="77777777" w:rsidR="00DF410E" w:rsidRDefault="00CE7F43">
      <w:pPr>
        <w:pStyle w:val="pheading"/>
      </w:pPr>
      <w:r>
        <w:t>- nature du marché:</w:t>
      </w:r>
    </w:p>
    <w:p w14:paraId="0ED16130" w14:textId="77777777" w:rsidR="00DF410E" w:rsidRDefault="00CE7F43">
      <w:r>
        <w:t>QF</w:t>
      </w:r>
    </w:p>
    <w:p w14:paraId="118A1E05" w14:textId="77777777" w:rsidR="00DF410E" w:rsidRDefault="00CE7F43">
      <w:pPr>
        <w:pStyle w:val="Author-eSectionHeading6"/>
      </w:pPr>
      <w:bookmarkStart w:id="44" w:name="_Toc178837312"/>
      <w:r>
        <w:t>21.12.3b Maçonneries portantes en blocs treillis de terre cuite à coller avec mortier-colle CCTB 01.11</w:t>
      </w:r>
      <w:bookmarkEnd w:id="44"/>
    </w:p>
    <w:p w14:paraId="7AAE6667" w14:textId="77777777" w:rsidR="00DF410E" w:rsidRDefault="00CE7F43">
      <w:pPr>
        <w:pStyle w:val="pheading"/>
      </w:pPr>
      <w:r>
        <w:t>DESCRIPTION</w:t>
      </w:r>
    </w:p>
    <w:p w14:paraId="0F9B6D4A" w14:textId="77777777" w:rsidR="00DF410E" w:rsidRDefault="00CE7F43">
      <w:pPr>
        <w:pStyle w:val="pheading"/>
      </w:pPr>
      <w:r>
        <w:t>- Définition / Comprend</w:t>
      </w:r>
    </w:p>
    <w:p w14:paraId="58BC6AB3" w14:textId="77777777" w:rsidR="00DF410E" w:rsidRDefault="00CE7F43">
      <w:r>
        <w:t xml:space="preserve">Il s’agit de la fourniture et la pose de maçonneries portantes en blocs treillis cuite à coller. </w:t>
      </w:r>
      <w:r>
        <w:br/>
        <w:t xml:space="preserve">La portée des travaux est décrite dans l’article </w:t>
      </w:r>
      <w:hyperlink w:anchor="367" w:history="1">
        <w:r>
          <w:t>21.12.3 Maçonneries portantes en blocs treillis de terre cuite</w:t>
        </w:r>
      </w:hyperlink>
      <w:r>
        <w:t>.</w:t>
      </w:r>
      <w:r>
        <w:br/>
        <w:t>Les travaux comprennent également la fourniture et la pose des pièces d’angle, de terminaison et de rencontre.</w:t>
      </w:r>
    </w:p>
    <w:p w14:paraId="4F56456B" w14:textId="77777777" w:rsidR="00DF410E" w:rsidRDefault="00CE7F43">
      <w:pPr>
        <w:pStyle w:val="pheading"/>
      </w:pPr>
      <w:r>
        <w:t>- Localisation</w:t>
      </w:r>
    </w:p>
    <w:p w14:paraId="3BB20565" w14:textId="77777777" w:rsidR="00DF410E" w:rsidRDefault="00CE7F43">
      <w:r>
        <w:t>- Localisation</w:t>
      </w:r>
      <w:r>
        <w:br/>
        <w:t xml:space="preserve">La pose est réalisée aux endroits suivants : </w:t>
      </w:r>
      <w:r>
        <w:rPr>
          <w:rStyle w:val="optioncarChar"/>
        </w:rPr>
        <w:t>***</w:t>
      </w:r>
      <w:r>
        <w:t>.</w:t>
      </w:r>
      <w:r>
        <w:br/>
        <w:t>Voir plans et métrés détaillés.</w:t>
      </w:r>
    </w:p>
    <w:p w14:paraId="3785C045" w14:textId="77777777" w:rsidR="00DF410E" w:rsidRDefault="00CE7F43">
      <w:pPr>
        <w:pStyle w:val="pheading"/>
      </w:pPr>
      <w:r>
        <w:t>MATÉRIAUX</w:t>
      </w:r>
    </w:p>
    <w:p w14:paraId="212DE2F9" w14:textId="77777777" w:rsidR="00DF410E" w:rsidRDefault="00CE7F43">
      <w:pPr>
        <w:pStyle w:val="pheading"/>
      </w:pPr>
      <w:r>
        <w:t>- Caractéristiques générales</w:t>
      </w:r>
    </w:p>
    <w:p w14:paraId="78691E01" w14:textId="77777777" w:rsidR="00DF410E" w:rsidRDefault="00CE7F43">
      <w:r>
        <w:rPr>
          <w:rStyle w:val="headingChar"/>
        </w:rPr>
        <w:t>Spécifications</w:t>
      </w:r>
    </w:p>
    <w:p w14:paraId="73B10B5D" w14:textId="77777777" w:rsidR="00DF410E" w:rsidRDefault="00CE7F43">
      <w:r>
        <w:t>En ce qui concerne la déclaration de la résistance à la compression, les blocs treillis sont de catégorie I (la résistance à la compression est déclarée avec une fiabilité de 95%).</w:t>
      </w:r>
    </w:p>
    <w:p w14:paraId="6A0DEA7D" w14:textId="77777777" w:rsidR="00DF410E" w:rsidRDefault="00CE7F43">
      <w:r>
        <w:t>Caractéristiques :</w:t>
      </w:r>
    </w:p>
    <w:p w14:paraId="32E9B96B" w14:textId="77777777" w:rsidR="00DF410E" w:rsidRDefault="00CE7F43">
      <w:pPr>
        <w:pStyle w:val="Author-eListParagraph"/>
        <w:numPr>
          <w:ilvl w:val="0"/>
          <w:numId w:val="74"/>
        </w:numPr>
      </w:pP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 </w:t>
      </w:r>
      <w:r>
        <w:rPr>
          <w:rStyle w:val="optioncarChar"/>
        </w:rPr>
        <w:t>20 / 25</w:t>
      </w:r>
      <w:r>
        <w:rPr>
          <w:color w:val="000000"/>
        </w:rPr>
        <w:t xml:space="preserve"> N/mm² (MPa). </w:t>
      </w:r>
    </w:p>
    <w:p w14:paraId="4B7B08F3" w14:textId="77777777" w:rsidR="00DF410E" w:rsidRDefault="00CE7F43">
      <w:pPr>
        <w:pStyle w:val="Author-eListParagraph"/>
        <w:numPr>
          <w:ilvl w:val="0"/>
          <w:numId w:val="74"/>
        </w:numPr>
      </w:pPr>
      <w:r>
        <w:t xml:space="preserve">Le groupe de configuration suivant [NBN EN 1996-1-1+A1 ANB] est : </w:t>
      </w:r>
      <w:r>
        <w:rPr>
          <w:rStyle w:val="optioncarChar"/>
        </w:rPr>
        <w:t>1 / 2 / 3 / 4</w:t>
      </w:r>
    </w:p>
    <w:p w14:paraId="4A132C44" w14:textId="77777777" w:rsidR="00DF410E" w:rsidRDefault="00CE7F43">
      <w:pPr>
        <w:pStyle w:val="Author-eListParagraph"/>
        <w:numPr>
          <w:ilvl w:val="0"/>
          <w:numId w:val="74"/>
        </w:numPr>
      </w:pPr>
      <w:r>
        <w:t xml:space="preserve">La masse volumique sèche apparente des blocs ρ (rho) est : </w:t>
      </w:r>
      <w:r>
        <w:rPr>
          <w:rStyle w:val="optioncarChar"/>
        </w:rPr>
        <w:t>925</w:t>
      </w:r>
      <w:r>
        <w:t xml:space="preserve"> &lt; ρ &lt; </w:t>
      </w:r>
      <w:r>
        <w:rPr>
          <w:rStyle w:val="optioncarChar"/>
        </w:rPr>
        <w:t>1150</w:t>
      </w:r>
      <w:r>
        <w:t> kg/m³ selon la [NBN EN 771-1+A1].</w:t>
      </w:r>
    </w:p>
    <w:p w14:paraId="5C960C4F" w14:textId="77777777" w:rsidR="00DF410E" w:rsidRDefault="00CE7F43">
      <w:pPr>
        <w:pStyle w:val="Author-eListParagraph"/>
        <w:numPr>
          <w:ilvl w:val="0"/>
          <w:numId w:val="74"/>
        </w:numPr>
      </w:pPr>
      <w:r>
        <w:t>La conductibilité thermique λ</w:t>
      </w:r>
      <w:r>
        <w:rPr>
          <w:vertAlign w:val="subscript"/>
        </w:rPr>
        <w:t>D</w:t>
      </w:r>
      <w:r>
        <w:t xml:space="preserve"> est compatible avec la valeur U prescrite pour la paroi.</w:t>
      </w:r>
    </w:p>
    <w:p w14:paraId="03632A37" w14:textId="77777777" w:rsidR="00DF410E" w:rsidRDefault="00CE7F43">
      <w:pPr>
        <w:pStyle w:val="Author-eListParagraph"/>
        <w:numPr>
          <w:ilvl w:val="0"/>
          <w:numId w:val="74"/>
        </w:numPr>
      </w:pPr>
      <w:r>
        <w:t xml:space="preserve">Boutisse : </w:t>
      </w:r>
      <w:r>
        <w:rPr>
          <w:rStyle w:val="optioncarChar"/>
        </w:rPr>
        <w:t>plate </w:t>
      </w:r>
      <w:r>
        <w:t>(par défaut)</w:t>
      </w:r>
      <w:r>
        <w:rPr>
          <w:rStyle w:val="optioncarChar"/>
        </w:rPr>
        <w:t xml:space="preserve"> / assemblage à tenon et mortaise</w:t>
      </w:r>
    </w:p>
    <w:p w14:paraId="0E572898" w14:textId="77777777" w:rsidR="00DF410E" w:rsidRDefault="00CE7F43">
      <w:pPr>
        <w:pStyle w:val="Author-eListParagraph"/>
        <w:numPr>
          <w:ilvl w:val="0"/>
          <w:numId w:val="74"/>
        </w:numPr>
      </w:pPr>
      <w:r>
        <w:t>Face qui reste visible :</w:t>
      </w:r>
      <w:r>
        <w:rPr>
          <w:rStyle w:val="optioncarChar"/>
          <w:color w:val="000000"/>
        </w:rPr>
        <w:t xml:space="preserve"> lisse</w:t>
      </w:r>
    </w:p>
    <w:p w14:paraId="40BD13EE" w14:textId="77777777" w:rsidR="00DF410E" w:rsidRDefault="00CE7F43">
      <w:pPr>
        <w:pStyle w:val="Author-eListParagraph"/>
        <w:numPr>
          <w:ilvl w:val="0"/>
          <w:numId w:val="74"/>
        </w:numPr>
      </w:pPr>
      <w:r>
        <w:t xml:space="preserve">Face à cimenter ou plafonner : </w:t>
      </w:r>
      <w:r>
        <w:rPr>
          <w:rStyle w:val="optioncarChar"/>
        </w:rPr>
        <w:t>lisse</w:t>
      </w:r>
      <w:r>
        <w:t xml:space="preserve"> (par défaut)</w:t>
      </w:r>
      <w:r>
        <w:rPr>
          <w:rStyle w:val="optioncarChar"/>
        </w:rPr>
        <w:t xml:space="preserve"> / adhérence améliorée / rainurée</w:t>
      </w:r>
    </w:p>
    <w:p w14:paraId="30B25A98" w14:textId="77777777" w:rsidR="00DF410E" w:rsidRDefault="00CE7F43">
      <w:pPr>
        <w:pStyle w:val="Author-eListParagraph"/>
        <w:numPr>
          <w:ilvl w:val="0"/>
          <w:numId w:val="74"/>
        </w:numPr>
      </w:pPr>
      <w:r>
        <w:t xml:space="preserve">Teinte : </w:t>
      </w:r>
      <w:r>
        <w:rPr>
          <w:rStyle w:val="optioncarChar"/>
        </w:rPr>
        <w:t>blanc / rouge </w:t>
      </w:r>
      <w:r>
        <w:t>(par défaut)</w:t>
      </w:r>
      <w:r>
        <w:rPr>
          <w:rStyle w:val="optioncarChar"/>
        </w:rPr>
        <w:t xml:space="preserve"> / gris / ***</w:t>
      </w:r>
    </w:p>
    <w:p w14:paraId="454A377C" w14:textId="77777777" w:rsidR="00DF410E" w:rsidRDefault="00CE7F43">
      <w:pPr>
        <w:pStyle w:val="Author-eListParagraph"/>
        <w:numPr>
          <w:ilvl w:val="0"/>
          <w:numId w:val="74"/>
        </w:numPr>
      </w:pPr>
      <w:r>
        <w:t xml:space="preserve">Format : (L x l x h) </w:t>
      </w:r>
      <w:r>
        <w:rPr>
          <w:rStyle w:val="optioncarChar"/>
        </w:rPr>
        <w:t>(500 / 390 / 300 x 140 / 190 x 250) </w:t>
      </w:r>
      <w:r>
        <w:t>mm</w:t>
      </w:r>
      <w:r>
        <w:rPr>
          <w:rStyle w:val="optioncarChar"/>
        </w:rPr>
        <w:t xml:space="preserve"> / format modulaire proposé par l'entrepreneur </w:t>
      </w:r>
      <w:r>
        <w:t>(par défaut)</w:t>
      </w:r>
    </w:p>
    <w:p w14:paraId="4B3F67B6" w14:textId="77777777" w:rsidR="00DF410E" w:rsidRDefault="00CE7F43">
      <w:pPr>
        <w:pStyle w:val="Author-eListParagraph"/>
        <w:numPr>
          <w:ilvl w:val="0"/>
          <w:numId w:val="74"/>
        </w:numPr>
      </w:pPr>
      <w:r>
        <w:t>Tolérances dimensionnelles :</w:t>
      </w:r>
    </w:p>
    <w:p w14:paraId="5A7A9EE3" w14:textId="77777777" w:rsidR="00DF410E" w:rsidRDefault="00CE7F43">
      <w:pPr>
        <w:pStyle w:val="Author-eListParagraph"/>
        <w:numPr>
          <w:ilvl w:val="0"/>
          <w:numId w:val="74"/>
        </w:numPr>
      </w:pPr>
      <w:r>
        <w:t xml:space="preserve">Tolérances de la valeur moyenne </w:t>
      </w:r>
      <w:r>
        <w:rPr>
          <w:rStyle w:val="normalChar"/>
        </w:rPr>
        <w:t>:</w:t>
      </w:r>
      <w:r>
        <w:rPr>
          <w:rStyle w:val="optioncarChar"/>
        </w:rPr>
        <w:t xml:space="preserve"> T1 / T1+ / T2 / T2+ / Tm / ***</w:t>
      </w:r>
    </w:p>
    <w:p w14:paraId="2D2E4847" w14:textId="77777777" w:rsidR="00DF410E" w:rsidRDefault="00CE7F43">
      <w:pPr>
        <w:pStyle w:val="Author-eListParagraph"/>
        <w:numPr>
          <w:ilvl w:val="0"/>
          <w:numId w:val="74"/>
        </w:numPr>
      </w:pPr>
      <w:r>
        <w:rPr>
          <w:rStyle w:val="normalChar"/>
        </w:rPr>
        <w:t>Plage :</w:t>
      </w:r>
      <w:r>
        <w:rPr>
          <w:rStyle w:val="optioncarChar"/>
        </w:rPr>
        <w:t xml:space="preserve"> R1 / R1+ / R2 / R2+ / Rm / ***</w:t>
      </w:r>
    </w:p>
    <w:p w14:paraId="63978F27" w14:textId="77777777" w:rsidR="00DF410E" w:rsidRDefault="00CE7F43">
      <w:pPr>
        <w:pStyle w:val="Author-eListParagraph"/>
        <w:numPr>
          <w:ilvl w:val="0"/>
          <w:numId w:val="74"/>
        </w:numPr>
      </w:pPr>
      <w:r>
        <w:t>Taux initial d’absorption d’eau : classe</w:t>
      </w:r>
      <w:r>
        <w:rPr>
          <w:rStyle w:val="optioncarChar"/>
        </w:rPr>
        <w:t xml:space="preserve"> IW1 / IW2 / IW3 / IW4</w:t>
      </w:r>
    </w:p>
    <w:p w14:paraId="485BB052" w14:textId="77777777" w:rsidR="00DF410E" w:rsidRDefault="00CE7F43">
      <w:pPr>
        <w:pStyle w:val="Author-eListParagraph"/>
        <w:numPr>
          <w:ilvl w:val="0"/>
          <w:numId w:val="74"/>
        </w:numPr>
      </w:pPr>
      <w:r>
        <w:t>Résistance au gel suivant les classes d’application MX… selon [NBN EN 1996-2 ANB] et [NIT 271].</w:t>
      </w:r>
    </w:p>
    <w:p w14:paraId="00881BE0" w14:textId="77777777" w:rsidR="00DF410E" w:rsidRDefault="00CE7F43">
      <w:pPr>
        <w:pStyle w:val="Author-eListParagraph"/>
        <w:numPr>
          <w:ilvl w:val="0"/>
          <w:numId w:val="74"/>
        </w:numPr>
      </w:pPr>
      <w:r>
        <w:t xml:space="preserve">Réaction au feu : </w:t>
      </w:r>
      <w:r>
        <w:rPr>
          <w:rStyle w:val="optioncarChar"/>
        </w:rPr>
        <w:t>A1 </w:t>
      </w:r>
      <w:r>
        <w:t>(par défaut)</w:t>
      </w:r>
      <w:r>
        <w:rPr>
          <w:rStyle w:val="optioncarChar"/>
        </w:rPr>
        <w:t xml:space="preserve"> / ***</w:t>
      </w:r>
    </w:p>
    <w:p w14:paraId="00A20AF0" w14:textId="77777777" w:rsidR="00DF410E" w:rsidRDefault="00CE7F43">
      <w:r>
        <w:rPr>
          <w:rStyle w:val="headingChar"/>
        </w:rPr>
        <w:t>Critères De Performances De La Paroi</w:t>
      </w:r>
    </w:p>
    <w:p w14:paraId="638A5342" w14:textId="77777777" w:rsidR="00DF410E" w:rsidRDefault="00CE7F43">
      <w:r>
        <w:t>Coefficient de transmission :</w:t>
      </w:r>
    </w:p>
    <w:p w14:paraId="4CA8E78C" w14:textId="77777777" w:rsidR="00DF410E" w:rsidRDefault="00CE7F43">
      <w:pPr>
        <w:pStyle w:val="Author-eListParagraph"/>
        <w:numPr>
          <w:ilvl w:val="0"/>
          <w:numId w:val="75"/>
        </w:numPr>
      </w:pPr>
      <w:r>
        <w:t xml:space="preserve">valeur U minimale de </w:t>
      </w:r>
      <w:r>
        <w:rPr>
          <w:rStyle w:val="optioncarChar"/>
        </w:rPr>
        <w:t>***</w:t>
      </w:r>
      <w:r>
        <w:t xml:space="preserve"> W/m²K</w:t>
      </w:r>
    </w:p>
    <w:p w14:paraId="06C7CBEA" w14:textId="77777777" w:rsidR="00DF410E" w:rsidRDefault="00CE7F43">
      <w:pPr>
        <w:pStyle w:val="Author-eListParagraph"/>
        <w:numPr>
          <w:ilvl w:val="0"/>
          <w:numId w:val="75"/>
        </w:numPr>
      </w:pPr>
      <w:r>
        <w:t>valeur λ</w:t>
      </w:r>
      <w:r>
        <w:rPr>
          <w:vertAlign w:val="subscript"/>
        </w:rPr>
        <w:t>Ui</w:t>
      </w:r>
      <w:r>
        <w:t xml:space="preserve"> ou λ</w:t>
      </w:r>
      <w:r>
        <w:rPr>
          <w:vertAlign w:val="subscript"/>
        </w:rPr>
        <w:t>Ue</w:t>
      </w:r>
      <w:r>
        <w:t xml:space="preserve"> ≤ </w:t>
      </w:r>
      <w:r>
        <w:rPr>
          <w:rStyle w:val="optioncarChar"/>
        </w:rPr>
        <w:t>0,26</w:t>
      </w:r>
      <w:r>
        <w:t> W/mK (suivant l’application).</w:t>
      </w:r>
    </w:p>
    <w:p w14:paraId="39E6929F" w14:textId="77777777" w:rsidR="00DF410E" w:rsidRDefault="00CE7F43">
      <w:r>
        <w:t>Résistance au feu selon la norme [NBN EN 1996-1-2 ANB] :</w:t>
      </w:r>
    </w:p>
    <w:p w14:paraId="5D93A398" w14:textId="77777777" w:rsidR="00DF410E" w:rsidRDefault="00CE7F43">
      <w:pPr>
        <w:pStyle w:val="Author-eListParagraph"/>
        <w:numPr>
          <w:ilvl w:val="0"/>
          <w:numId w:val="7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03F7E327" w14:textId="77777777" w:rsidR="00DF410E" w:rsidRDefault="00CE7F43">
      <w:pPr>
        <w:pStyle w:val="Author-eListParagraph"/>
        <w:numPr>
          <w:ilvl w:val="0"/>
          <w:numId w:val="76"/>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57D1F5FB" w14:textId="77777777" w:rsidR="00DF410E" w:rsidRDefault="00CE7F43">
      <w:pPr>
        <w:pStyle w:val="pheading"/>
      </w:pPr>
      <w:r>
        <w:t>- Finitions</w:t>
      </w:r>
    </w:p>
    <w:p w14:paraId="2CD67B79" w14:textId="77777777" w:rsidR="00DF410E" w:rsidRDefault="00CE7F43">
      <w:r>
        <w:t xml:space="preserve">Les faces de murs suivantes sont exécutées comme maçonneries apparentes et sont </w:t>
      </w:r>
      <w:r>
        <w:rPr>
          <w:rStyle w:val="optioncarChar"/>
          <w:color w:val="000000"/>
        </w:rPr>
        <w:t>rejointoyées</w:t>
      </w:r>
      <w:r>
        <w:t xml:space="preserve"> selon l'article </w:t>
      </w:r>
      <w:hyperlink w:anchor="344" w:history="1">
        <w:r>
          <w:t>21.61.1b Joints de maçonnerie apparente</w:t>
        </w:r>
      </w:hyperlink>
      <w:r>
        <w:t xml:space="preserve"> :</w:t>
      </w:r>
      <w:r>
        <w:rPr>
          <w:rStyle w:val="optioncarChar"/>
        </w:rPr>
        <w:t xml:space="preserve"> ***</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p>
    <w:p w14:paraId="3B4B89E7" w14:textId="77777777" w:rsidR="00DF410E" w:rsidRDefault="00CE7F43">
      <w:pPr>
        <w:pStyle w:val="pheading"/>
      </w:pPr>
      <w:r>
        <w:t>MESURAGE</w:t>
      </w:r>
    </w:p>
    <w:p w14:paraId="5BF63E8E" w14:textId="77777777" w:rsidR="00DF410E" w:rsidRDefault="00CE7F43">
      <w:pPr>
        <w:pStyle w:val="pheading"/>
      </w:pPr>
      <w:r>
        <w:t>- unité de mesure:</w:t>
      </w:r>
    </w:p>
    <w:p w14:paraId="10CAAD0C" w14:textId="77777777" w:rsidR="00DF410E" w:rsidRDefault="00CE7F43">
      <w:r>
        <w:rPr>
          <w:rStyle w:val="optioncarChar"/>
        </w:rPr>
        <w:t>m³ </w:t>
      </w:r>
      <w:r>
        <w:t>(par défaut)</w:t>
      </w:r>
      <w:r>
        <w:rPr>
          <w:rStyle w:val="optioncarChar"/>
        </w:rPr>
        <w:t> / m²</w:t>
      </w:r>
    </w:p>
    <w:p w14:paraId="4A5D6892" w14:textId="77777777" w:rsidR="00DF410E" w:rsidRDefault="00CE7F43">
      <w:r>
        <w:rPr>
          <w:b/>
        </w:rPr>
        <w:t>(soit par défaut)</w:t>
      </w:r>
    </w:p>
    <w:p w14:paraId="7C818041" w14:textId="77777777" w:rsidR="00DF410E" w:rsidRDefault="00CE7F43">
      <w:r>
        <w:rPr>
          <w:rStyle w:val="soitChar"/>
        </w:rPr>
        <w:t>1. m³</w:t>
      </w:r>
    </w:p>
    <w:p w14:paraId="0F2227F1" w14:textId="77777777" w:rsidR="00DF410E" w:rsidRDefault="00CE7F43">
      <w:r>
        <w:rPr>
          <w:b/>
        </w:rPr>
        <w:t>(soit)</w:t>
      </w:r>
    </w:p>
    <w:p w14:paraId="2C62F270" w14:textId="77777777" w:rsidR="00DF410E" w:rsidRDefault="00CE7F43">
      <w:r>
        <w:rPr>
          <w:rStyle w:val="soitChar"/>
        </w:rPr>
        <w:t>2. m²</w:t>
      </w:r>
    </w:p>
    <w:p w14:paraId="6AFB7AC4" w14:textId="77777777" w:rsidR="00DF410E" w:rsidRDefault="00CE7F43">
      <w:pPr>
        <w:pStyle w:val="pheading"/>
      </w:pPr>
      <w:r>
        <w:t>- code de mesurage:</w:t>
      </w:r>
    </w:p>
    <w:p w14:paraId="4CA1A75D" w14:textId="77777777" w:rsidR="00DF410E" w:rsidRDefault="00CE7F43">
      <w:r>
        <w:t>Les maçonneries sont mesurées en fonction de leur forme géométrique.</w:t>
      </w:r>
      <w:r>
        <w:br/>
        <w:t>La longueur des murs est mesurée dans l'axe de l'élément. Lorsque deux murs se croisent ou se rencontrent, le mur le plus épais est compté. Aucun volume n'est porté deux fois en compte.</w:t>
      </w:r>
      <w:r>
        <w:br/>
        <w:t>Le creux du mur n'est jamais compté.</w:t>
      </w:r>
      <w:r>
        <w:br/>
        <w:t>Les ouvertures ou les éléments de construction intégrés, dont la superficie est &gt; 0,50 m², sont déduits.  Sont notamment déduits les linteaux et poutres de ceinture, dont la superficie est &gt; 0,50 m², dans la mesure où ils sont comptés dans le </w:t>
      </w:r>
      <w:hyperlink w:anchor="87" w:history="1">
        <w:r>
          <w:t>22 Superstructures en béton</w:t>
        </w:r>
      </w:hyperlink>
      <w:r>
        <w:t> ou le </w:t>
      </w:r>
      <w:hyperlink w:anchor="347" w:history="1">
        <w:r>
          <w:t>23 Superstructures métalliques</w:t>
        </w:r>
      </w:hyperlink>
      <w:r>
        <w:t>).</w:t>
      </w:r>
      <w:r>
        <w:br/>
        <w:t xml:space="preserve">L'appui des dalles de sol sur le mur porteur de contre-façade n'est pas déduit mais compté comme ouvrage de maçonnerie.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S ≤ 0,12 m².</w:t>
      </w:r>
    </w:p>
    <w:p w14:paraId="709E85DB" w14:textId="77777777" w:rsidR="00DF410E" w:rsidRDefault="00CE7F43">
      <w:r>
        <w:rPr>
          <w:rStyle w:val="optioncarChar"/>
        </w:rPr>
        <w:t>Volume net </w:t>
      </w:r>
      <w:r>
        <w:t>(par défaut)</w:t>
      </w:r>
      <w:r>
        <w:rPr>
          <w:rStyle w:val="optioncarChar"/>
        </w:rPr>
        <w:t> / Surface nette</w:t>
      </w:r>
    </w:p>
    <w:p w14:paraId="0C82120E" w14:textId="77777777" w:rsidR="00DF410E" w:rsidRDefault="00CE7F43">
      <w:r>
        <w:rPr>
          <w:b/>
        </w:rPr>
        <w:t>(soit par défaut)</w:t>
      </w:r>
    </w:p>
    <w:p w14:paraId="74FB6159"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AD2915C" w14:textId="77777777" w:rsidR="00DF410E" w:rsidRDefault="00CE7F43">
      <w:r>
        <w:rPr>
          <w:b/>
        </w:rPr>
        <w:t>(soit)</w:t>
      </w:r>
    </w:p>
    <w:p w14:paraId="2B1F6458"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E59496D" w14:textId="77777777" w:rsidR="00DF410E" w:rsidRDefault="00CE7F43">
      <w:pPr>
        <w:pStyle w:val="pheading"/>
      </w:pPr>
      <w:r>
        <w:t>- nature du marché:</w:t>
      </w:r>
    </w:p>
    <w:p w14:paraId="7262C30C" w14:textId="77777777" w:rsidR="00DF410E" w:rsidRDefault="00CE7F43">
      <w:r>
        <w:t>QF</w:t>
      </w:r>
    </w:p>
    <w:p w14:paraId="51E1854A" w14:textId="77777777" w:rsidR="00DF410E" w:rsidRDefault="00CE7F43">
      <w:pPr>
        <w:pStyle w:val="Author-eSectionHeading6"/>
      </w:pPr>
      <w:bookmarkStart w:id="45" w:name="_Toc178837313"/>
      <w:r>
        <w:t>21.12.3c Maçonneries portantes en blocs treillis de terre cuite avec colle PU uni-composante CCTB 01.12</w:t>
      </w:r>
      <w:bookmarkEnd w:id="45"/>
    </w:p>
    <w:p w14:paraId="53C3514E" w14:textId="77777777" w:rsidR="00DF410E" w:rsidRDefault="00CE7F43">
      <w:pPr>
        <w:pStyle w:val="pheading"/>
      </w:pPr>
      <w:r>
        <w:t>DESCRIPTION</w:t>
      </w:r>
    </w:p>
    <w:p w14:paraId="07130CFC" w14:textId="77777777" w:rsidR="00DF410E" w:rsidRDefault="00CE7F43">
      <w:pPr>
        <w:pStyle w:val="pheading"/>
      </w:pPr>
      <w:r>
        <w:t>- Définition / Comprend</w:t>
      </w:r>
    </w:p>
    <w:p w14:paraId="00E5C564" w14:textId="77777777" w:rsidR="00DF410E" w:rsidRDefault="00CE7F43">
      <w:r>
        <w:t>Cet article vise la fourniture et la pose de maçonneries portantes en blocs treillis de terre cuite à coller avec une colle PU uni-composante.</w:t>
      </w:r>
      <w:r>
        <w:br/>
        <w:t xml:space="preserve">La portée des travaux est décrite dans l’article </w:t>
      </w:r>
      <w:hyperlink w:anchor="367" w:history="1">
        <w:r>
          <w:t>21.12.3 Maçonneries portantes en blocs treillis de terre cuite</w:t>
        </w:r>
      </w:hyperlink>
      <w:r>
        <w:t>.</w:t>
      </w:r>
      <w:r>
        <w:br/>
        <w:t>Les travaux comprennent également la fourniture et la pose des pièces d’angle, de terminaison et de rencontre.</w:t>
      </w:r>
    </w:p>
    <w:p w14:paraId="09D23664" w14:textId="77777777" w:rsidR="00DF410E" w:rsidRDefault="00CE7F43">
      <w:pPr>
        <w:pStyle w:val="pheading"/>
      </w:pPr>
      <w:r>
        <w:t>- Localisation</w:t>
      </w:r>
    </w:p>
    <w:p w14:paraId="607D627C" w14:textId="77777777" w:rsidR="00DF410E" w:rsidRDefault="00CE7F43">
      <w:r>
        <w:t xml:space="preserve">La pose est réalisée aux endroits suivants : </w:t>
      </w:r>
      <w:r>
        <w:rPr>
          <w:rStyle w:val="optioncarChar"/>
        </w:rPr>
        <w:t>***</w:t>
      </w:r>
      <w:r>
        <w:t>.</w:t>
      </w:r>
    </w:p>
    <w:p w14:paraId="45381151" w14:textId="77777777" w:rsidR="00DF410E" w:rsidRDefault="00CE7F43">
      <w:r>
        <w:t>Voir plans et métrés détaillés.</w:t>
      </w:r>
    </w:p>
    <w:p w14:paraId="12FD1F8E" w14:textId="77777777" w:rsidR="00DF410E" w:rsidRDefault="00CE7F43">
      <w:pPr>
        <w:pStyle w:val="pheading"/>
      </w:pPr>
      <w:r>
        <w:t>MATÉRIAUX</w:t>
      </w:r>
    </w:p>
    <w:p w14:paraId="13B036DF" w14:textId="77777777" w:rsidR="00DF410E" w:rsidRDefault="00CE7F43">
      <w:pPr>
        <w:pStyle w:val="pheading"/>
      </w:pPr>
      <w:r>
        <w:t>- Caractéristiques générales</w:t>
      </w:r>
    </w:p>
    <w:p w14:paraId="6A35C9E6" w14:textId="77777777" w:rsidR="00DF410E" w:rsidRDefault="00CE7F43">
      <w:r>
        <w:rPr>
          <w:rStyle w:val="headingChar"/>
        </w:rPr>
        <w:t>Spécifications</w:t>
      </w:r>
    </w:p>
    <w:p w14:paraId="2C8F61EF" w14:textId="77777777" w:rsidR="00DF410E" w:rsidRDefault="00CE7F43">
      <w:r>
        <w:t>En ce qui concerne la déclaration de la résistance à la compression, les blocs treillis sont de catégorie I (la résistance à la compression est déclarée avec une fiabilité de 95%).</w:t>
      </w:r>
    </w:p>
    <w:p w14:paraId="13ACDE73" w14:textId="77777777" w:rsidR="00DF410E" w:rsidRDefault="00CE7F43">
      <w:pPr>
        <w:spacing w:after="0"/>
      </w:pPr>
      <w:r>
        <w:rPr>
          <w:rStyle w:val="normalChar"/>
          <w:color w:val="000000"/>
        </w:rPr>
        <w:t>La résistance en compression </w:t>
      </w:r>
      <w:r>
        <w:rPr>
          <w:rStyle w:val="optioncarChar"/>
          <w:color w:val="000000"/>
        </w:rPr>
        <w:t>moyenne (fmean) / normalisée (fb)</w:t>
      </w:r>
      <w:r>
        <w:rPr>
          <w:color w:val="000000"/>
        </w:rPr>
        <w:t xml:space="preserve"> selon la [NBN EN 771-1+A1], la [NBN EN 772-1+A1] et la [NBN EN 1996 série] est au minimum : </w:t>
      </w:r>
      <w:r>
        <w:rPr>
          <w:rStyle w:val="optioncarChar"/>
          <w:color w:val="000000"/>
        </w:rPr>
        <w:t>20 / 25</w:t>
      </w:r>
      <w:r>
        <w:rPr>
          <w:color w:val="000000"/>
        </w:rPr>
        <w:t> N/mm² (MPa).</w:t>
      </w:r>
    </w:p>
    <w:p w14:paraId="69DEA656" w14:textId="77777777" w:rsidR="00DF410E" w:rsidRDefault="00CE7F43">
      <w:r>
        <w:t>Le groupe de configuration suivant [NBN EN 1996-1-1+A1 ANB] est : 2</w:t>
      </w:r>
    </w:p>
    <w:p w14:paraId="1DA012CD" w14:textId="77777777" w:rsidR="00DF410E" w:rsidRDefault="00CE7F43">
      <w:r>
        <w:t xml:space="preserve">La masse volumique sèche apparente des blocs ρ (rho) est </w:t>
      </w:r>
      <w:r>
        <w:rPr>
          <w:rStyle w:val="optioncarChar"/>
        </w:rPr>
        <w:t>850</w:t>
      </w:r>
      <w:r>
        <w:t> (par défaut) </w:t>
      </w:r>
      <w:r>
        <w:rPr>
          <w:rStyle w:val="optioncarChar"/>
        </w:rPr>
        <w:t>/ ***</w:t>
      </w:r>
      <w:r>
        <w:t xml:space="preserve"> &lt; ρ &lt; </w:t>
      </w:r>
      <w:r>
        <w:rPr>
          <w:rStyle w:val="optioncarChar"/>
        </w:rPr>
        <w:t>925</w:t>
      </w:r>
      <w:r>
        <w:t xml:space="preserve"> (par défaut) </w:t>
      </w:r>
      <w:r>
        <w:rPr>
          <w:rStyle w:val="optioncarChar"/>
        </w:rPr>
        <w:t>/ *** </w:t>
      </w:r>
      <w:r>
        <w:t xml:space="preserve">kg/m³ selon la [NBN EN 771-1+A1]. (catégorie de tolérance </w:t>
      </w:r>
      <w:r>
        <w:rPr>
          <w:rStyle w:val="optioncarChar"/>
        </w:rPr>
        <w:t>D1 / D2 / ***</w:t>
      </w:r>
      <w:r>
        <w:t>).</w:t>
      </w:r>
    </w:p>
    <w:p w14:paraId="20FE08FB" w14:textId="77777777" w:rsidR="00DF410E" w:rsidRDefault="00CE7F43">
      <w:r>
        <w:t>Les blocs répondent aux conditions requises pour une utilisation avec une colle PU uni-composant reprises dans la déclaration de l’aptitude à l’emploi du système de construction.</w:t>
      </w:r>
    </w:p>
    <w:p w14:paraId="4CAB5C1A" w14:textId="77777777" w:rsidR="00DF410E" w:rsidRDefault="00CE7F43">
      <w:r>
        <w:rPr>
          <w:rStyle w:val="normalChar"/>
          <w:color w:val="000000"/>
        </w:rPr>
        <w:t>L’entrepreneur soumet à la Direction de chantier la fiche technique et, s’il le juge nécessaire, un échantillon pour approbation.</w:t>
      </w:r>
    </w:p>
    <w:p w14:paraId="64F91FE5" w14:textId="77777777" w:rsidR="00DF410E" w:rsidRDefault="00CE7F43">
      <w:r>
        <w:rPr>
          <w:rStyle w:val="normalChar"/>
          <w:color w:val="000000"/>
        </w:rPr>
        <w:t>Boutisse: assemblage à tenon et mortaise</w:t>
      </w:r>
    </w:p>
    <w:p w14:paraId="444974D9" w14:textId="77777777" w:rsidR="00DF410E" w:rsidRDefault="00CE7F43">
      <w:r>
        <w:rPr>
          <w:rStyle w:val="normalChar"/>
          <w:color w:val="000000"/>
        </w:rPr>
        <w:t>Face qui reste visible:  </w:t>
      </w:r>
      <w:r>
        <w:rPr>
          <w:rStyle w:val="optioncarChar"/>
          <w:color w:val="000000"/>
        </w:rPr>
        <w:t>lisse</w:t>
      </w:r>
    </w:p>
    <w:p w14:paraId="51148ECF" w14:textId="77777777" w:rsidR="00DF410E" w:rsidRDefault="00CE7F43">
      <w:r>
        <w:rPr>
          <w:rStyle w:val="normalChar"/>
          <w:color w:val="000000"/>
        </w:rPr>
        <w:t>Face à cimenter ou plafonner:  </w:t>
      </w:r>
      <w:r>
        <w:rPr>
          <w:rStyle w:val="optioncarChar"/>
          <w:color w:val="000000"/>
        </w:rPr>
        <w:t>lisse</w:t>
      </w:r>
    </w:p>
    <w:p w14:paraId="1CB77D35" w14:textId="77777777" w:rsidR="00DF410E" w:rsidRDefault="00CE7F43">
      <w:r>
        <w:rPr>
          <w:rStyle w:val="normalChar"/>
          <w:color w:val="000000"/>
        </w:rPr>
        <w:t xml:space="preserve">Format : (L x l x h) : </w:t>
      </w:r>
      <w:r>
        <w:rPr>
          <w:rStyle w:val="optioncarChar"/>
          <w:color w:val="000000"/>
        </w:rPr>
        <w:t xml:space="preserve"> (500/390 x 140/190 x 250) </w:t>
      </w:r>
      <w:r>
        <w:t xml:space="preserve">mm </w:t>
      </w:r>
      <w:r>
        <w:rPr>
          <w:rStyle w:val="optioncarChar"/>
          <w:color w:val="000000"/>
        </w:rPr>
        <w:t>/ format modulaire proposé par l'entrepreneur</w:t>
      </w:r>
      <w:r>
        <w:rPr>
          <w:rStyle w:val="normalChar"/>
          <w:color w:val="000000"/>
        </w:rPr>
        <w:t> (par défaut) mm</w:t>
      </w:r>
    </w:p>
    <w:p w14:paraId="464B2435" w14:textId="77777777" w:rsidR="00DF410E" w:rsidRDefault="00CE7F43">
      <w:r>
        <w:rPr>
          <w:rStyle w:val="normalChar"/>
          <w:color w:val="000000"/>
        </w:rPr>
        <w:t xml:space="preserve">Tolérances dimensionnelles: </w:t>
      </w:r>
    </w:p>
    <w:p w14:paraId="4BB8E9CF" w14:textId="77777777" w:rsidR="00DF410E" w:rsidRDefault="00CE7F43">
      <w:r>
        <w:rPr>
          <w:rStyle w:val="normalChar"/>
          <w:color w:val="000000"/>
        </w:rPr>
        <w:t xml:space="preserve">Tolérances de la valeur moyenne: T1+ </w:t>
      </w:r>
    </w:p>
    <w:p w14:paraId="0FEE7AE6" w14:textId="77777777" w:rsidR="00DF410E" w:rsidRDefault="00CE7F43">
      <w:r>
        <w:rPr>
          <w:rStyle w:val="normalChar"/>
          <w:color w:val="000000"/>
        </w:rPr>
        <w:t xml:space="preserve">Plage: R1+ </w:t>
      </w:r>
    </w:p>
    <w:p w14:paraId="4AED9515" w14:textId="77777777" w:rsidR="00DF410E" w:rsidRDefault="00CE7F43">
      <w:r>
        <w:rPr>
          <w:rStyle w:val="normalChar"/>
          <w:color w:val="000000"/>
        </w:rPr>
        <w:t xml:space="preserve">Planéité: 0,5 mm </w:t>
      </w:r>
    </w:p>
    <w:p w14:paraId="177D2411" w14:textId="77777777" w:rsidR="00DF410E" w:rsidRDefault="00CE7F43">
      <w:r>
        <w:rPr>
          <w:rStyle w:val="normalChar"/>
          <w:color w:val="000000"/>
        </w:rPr>
        <w:t>Parallélisme: 1  mm</w:t>
      </w:r>
    </w:p>
    <w:p w14:paraId="36DD670F" w14:textId="77777777" w:rsidR="00DF410E" w:rsidRDefault="00CE7F43">
      <w:r>
        <w:rPr>
          <w:rStyle w:val="normalChar"/>
          <w:color w:val="000000"/>
        </w:rPr>
        <w:t xml:space="preserve">Taux initial d’absorption d’eau : classe </w:t>
      </w:r>
      <w:r>
        <w:rPr>
          <w:rStyle w:val="optioncarChar"/>
        </w:rPr>
        <w:t>IW2 / IW3</w:t>
      </w:r>
    </w:p>
    <w:p w14:paraId="66C77DD8" w14:textId="77777777" w:rsidR="00DF410E" w:rsidRDefault="00CE7F43">
      <w:r>
        <w:rPr>
          <w:rStyle w:val="normalChar"/>
          <w:color w:val="000000"/>
        </w:rPr>
        <w:t>Résistance au gel suivant les classes d’application MX… selon [NBN EN 1996-2 ANB] et [NIT 271].</w:t>
      </w:r>
    </w:p>
    <w:p w14:paraId="0E33A7AE" w14:textId="77777777" w:rsidR="00DF410E" w:rsidRDefault="00CE7F43">
      <w:r>
        <w:rPr>
          <w:rStyle w:val="normalChar"/>
          <w:color w:val="000000"/>
        </w:rPr>
        <w:t xml:space="preserve">Réaction au feu : A1 selon </w:t>
      </w:r>
      <w:r>
        <w:rPr>
          <w:color w:val="00B050"/>
        </w:rPr>
        <w:t>[NBN EN 13501-1].</w:t>
      </w:r>
    </w:p>
    <w:p w14:paraId="6EB47A60" w14:textId="77777777" w:rsidR="00DF410E" w:rsidRDefault="00CE7F43">
      <w:r>
        <w:rPr>
          <w:rStyle w:val="normalChar"/>
          <w:color w:val="000000"/>
        </w:rPr>
        <w:t>Type de mortier : colle PU uni-composante durcissant à l’eau  selon </w:t>
      </w:r>
      <w:hyperlink w:anchor="293" w:history="1">
        <w:r>
          <w:rPr>
            <w:rStyle w:val="normalChar"/>
            <w:color w:val="000000"/>
          </w:rPr>
          <w:t>21 Superstructures en maçonnerie</w:t>
        </w:r>
      </w:hyperlink>
      <w:r>
        <w:rPr>
          <w:rStyle w:val="normalChar"/>
          <w:color w:val="B01780"/>
        </w:rPr>
        <w:t>.</w:t>
      </w:r>
    </w:p>
    <w:p w14:paraId="1CC7AF9C" w14:textId="77777777" w:rsidR="00DF410E" w:rsidRDefault="00CE7F43">
      <w:r>
        <w:rPr>
          <w:rStyle w:val="headingChar"/>
        </w:rPr>
        <w:t xml:space="preserve"> Critères de performances de la paroi </w:t>
      </w:r>
    </w:p>
    <w:p w14:paraId="33A8BB87" w14:textId="77777777" w:rsidR="00DF410E" w:rsidRDefault="00CE7F43">
      <w:pPr>
        <w:spacing w:line="259" w:lineRule="auto"/>
      </w:pPr>
      <w:r>
        <w:t>Résistance à la compression du mur:</w:t>
      </w:r>
    </w:p>
    <w:p w14:paraId="6B2F0B4C" w14:textId="77777777" w:rsidR="00DF410E" w:rsidRDefault="00CE7F43">
      <w:pPr>
        <w:pStyle w:val="Author-eListParagraph"/>
        <w:numPr>
          <w:ilvl w:val="0"/>
          <w:numId w:val="77"/>
        </w:numPr>
      </w:pPr>
      <w:r>
        <w:t>Testée selon [NBN EN 1052-1].</w:t>
      </w:r>
    </w:p>
    <w:p w14:paraId="06D159F9" w14:textId="77777777" w:rsidR="00DF410E" w:rsidRDefault="00CE7F43">
      <w:pPr>
        <w:pStyle w:val="Author-eListParagraph"/>
        <w:numPr>
          <w:ilvl w:val="0"/>
          <w:numId w:val="77"/>
        </w:numPr>
      </w:pPr>
      <w:r>
        <w:t>Les règles de calcul de la [NBN EN 1996-1-1+A1 ANB] sont d’application.</w:t>
      </w:r>
    </w:p>
    <w:p w14:paraId="28756692" w14:textId="77777777" w:rsidR="00DF410E" w:rsidRDefault="00CE7F43">
      <w:pPr>
        <w:spacing w:line="259" w:lineRule="auto"/>
      </w:pPr>
      <w:r>
        <w:t xml:space="preserve">Résistance à la flexion testée selon [NBN EN 1052-2]: </w:t>
      </w:r>
    </w:p>
    <w:p w14:paraId="3AECC2F6" w14:textId="77777777" w:rsidR="00DF410E" w:rsidRDefault="00CE7F43">
      <w:pPr>
        <w:pStyle w:val="Author-eListParagraph"/>
        <w:numPr>
          <w:ilvl w:val="0"/>
          <w:numId w:val="78"/>
        </w:numPr>
      </w:pPr>
      <w:r>
        <w:t>f</w:t>
      </w:r>
      <w:r>
        <w:rPr>
          <w:vertAlign w:val="subscript"/>
        </w:rPr>
        <w:t>xk1</w:t>
      </w:r>
      <w:r>
        <w:t xml:space="preserve"> = </w:t>
      </w:r>
      <w:r>
        <w:rPr>
          <w:rStyle w:val="optioncarChar"/>
        </w:rPr>
        <w:t>0,10 </w:t>
      </w:r>
      <w:r>
        <w:t>(par défaut)</w:t>
      </w:r>
      <w:r>
        <w:rPr>
          <w:rStyle w:val="optioncarChar"/>
        </w:rPr>
        <w:t xml:space="preserve"> / ***</w:t>
      </w:r>
      <w:r>
        <w:t>N/mm²</w:t>
      </w:r>
    </w:p>
    <w:p w14:paraId="28001BA1" w14:textId="77777777" w:rsidR="00DF410E" w:rsidRDefault="00CE7F43">
      <w:pPr>
        <w:pStyle w:val="Author-eListParagraph"/>
        <w:numPr>
          <w:ilvl w:val="0"/>
          <w:numId w:val="78"/>
        </w:numPr>
      </w:pPr>
      <w:r>
        <w:t>f</w:t>
      </w:r>
      <w:r>
        <w:rPr>
          <w:vertAlign w:val="subscript"/>
        </w:rPr>
        <w:t>xk2</w:t>
      </w:r>
      <w:r>
        <w:t xml:space="preserve"> = </w:t>
      </w:r>
      <w:r>
        <w:rPr>
          <w:rStyle w:val="optioncarChar"/>
        </w:rPr>
        <w:t>0,10 </w:t>
      </w:r>
      <w:r>
        <w:t>(par défaut)</w:t>
      </w:r>
      <w:r>
        <w:rPr>
          <w:rStyle w:val="optioncarChar"/>
        </w:rPr>
        <w:t xml:space="preserve"> / *** </w:t>
      </w:r>
      <w:r>
        <w:t>N/mm²</w:t>
      </w:r>
    </w:p>
    <w:p w14:paraId="2730B52C" w14:textId="77777777" w:rsidR="00DF410E" w:rsidRDefault="00CE7F43">
      <w:pPr>
        <w:spacing w:line="259" w:lineRule="auto"/>
      </w:pPr>
      <w:r>
        <w:t xml:space="preserve">Résistance au cisaillement testée selon [NBN EN 1052-3/A1]: </w:t>
      </w:r>
    </w:p>
    <w:p w14:paraId="12A32FFB" w14:textId="77777777" w:rsidR="00DF410E" w:rsidRDefault="00CE7F43">
      <w:pPr>
        <w:pStyle w:val="Author-eListParagraph"/>
        <w:numPr>
          <w:ilvl w:val="0"/>
          <w:numId w:val="79"/>
        </w:numPr>
      </w:pPr>
      <w:r>
        <w:t>f</w:t>
      </w:r>
      <w:r>
        <w:rPr>
          <w:vertAlign w:val="subscript"/>
        </w:rPr>
        <w:t>vk0</w:t>
      </w:r>
      <w:r>
        <w:t xml:space="preserve"> = </w:t>
      </w:r>
      <w:r>
        <w:rPr>
          <w:rStyle w:val="optioncarChar"/>
        </w:rPr>
        <w:t>0,10 (</w:t>
      </w:r>
      <w:r>
        <w:t>par défaut)</w:t>
      </w:r>
      <w:r>
        <w:rPr>
          <w:rStyle w:val="optioncarChar"/>
        </w:rPr>
        <w:t xml:space="preserve"> / ***</w:t>
      </w:r>
      <w:r>
        <w:t>N/mm²</w:t>
      </w:r>
    </w:p>
    <w:p w14:paraId="19745F3E" w14:textId="77777777" w:rsidR="00DF410E" w:rsidRDefault="00CE7F43">
      <w:pPr>
        <w:spacing w:line="259" w:lineRule="auto"/>
      </w:pPr>
      <w:r>
        <w:t>Coefficient de transmission :</w:t>
      </w:r>
    </w:p>
    <w:p w14:paraId="207683B3" w14:textId="77777777" w:rsidR="00DF410E" w:rsidRDefault="00CE7F43">
      <w:pPr>
        <w:pStyle w:val="Author-eListParagraph"/>
        <w:numPr>
          <w:ilvl w:val="0"/>
          <w:numId w:val="80"/>
        </w:numPr>
      </w:pPr>
      <w:r>
        <w:t xml:space="preserve">valeur U minimale de </w:t>
      </w:r>
      <w:r>
        <w:rPr>
          <w:rStyle w:val="optioncarChar"/>
        </w:rPr>
        <w:t>***</w:t>
      </w:r>
      <w:r>
        <w:t xml:space="preserve"> W/m²K</w:t>
      </w:r>
    </w:p>
    <w:p w14:paraId="7DA72A03" w14:textId="77777777" w:rsidR="00DF410E" w:rsidRDefault="00CE7F43">
      <w:pPr>
        <w:pStyle w:val="Author-eListParagraph"/>
        <w:numPr>
          <w:ilvl w:val="0"/>
          <w:numId w:val="80"/>
        </w:numPr>
      </w:pPr>
      <w:r>
        <w:t>valeur λ</w:t>
      </w:r>
      <w:r>
        <w:rPr>
          <w:vertAlign w:val="subscript"/>
        </w:rPr>
        <w:t>Ui</w:t>
      </w:r>
      <w:r>
        <w:t xml:space="preserve"> ou λ</w:t>
      </w:r>
      <w:r>
        <w:rPr>
          <w:vertAlign w:val="subscript"/>
        </w:rPr>
        <w:t>Ue</w:t>
      </w:r>
      <w:r>
        <w:t xml:space="preserve"> : max. </w:t>
      </w:r>
      <w:r>
        <w:rPr>
          <w:rStyle w:val="optioncarChar"/>
        </w:rPr>
        <w:t xml:space="preserve">0,185 / 0,26 / *** </w:t>
      </w:r>
      <w:r>
        <w:t>W/mK (suivant l’application).</w:t>
      </w:r>
    </w:p>
    <w:p w14:paraId="1103B9F1" w14:textId="77777777" w:rsidR="00DF410E" w:rsidRDefault="00CE7F43">
      <w:pPr>
        <w:pStyle w:val="Author-eListParagraph"/>
        <w:numPr>
          <w:ilvl w:val="0"/>
          <w:numId w:val="80"/>
        </w:numPr>
      </w:pPr>
      <w:r>
        <w:t>coefficient de conductivité thermique  déclaré: λ</w:t>
      </w:r>
      <w:r>
        <w:rPr>
          <w:vertAlign w:val="subscript"/>
        </w:rPr>
        <w:t xml:space="preserve">10,sec,bloc (50/50) </w:t>
      </w:r>
      <w:r>
        <w:t xml:space="preserve">(selon ): max. </w:t>
      </w:r>
      <w:r>
        <w:rPr>
          <w:rStyle w:val="optioncarChar"/>
        </w:rPr>
        <w:t>0,175</w:t>
      </w:r>
      <w:r>
        <w:t> (par défaut)</w:t>
      </w:r>
      <w:r>
        <w:rPr>
          <w:rStyle w:val="optioncarChar"/>
        </w:rPr>
        <w:t xml:space="preserve"> / 0,23 / *** </w:t>
      </w:r>
      <w:r>
        <w:t>W/mK</w:t>
      </w:r>
    </w:p>
    <w:p w14:paraId="570107F9" w14:textId="77777777" w:rsidR="00DF410E" w:rsidRDefault="00CE7F43">
      <w:pPr>
        <w:pStyle w:val="Author-eListParagraph"/>
        <w:numPr>
          <w:ilvl w:val="0"/>
          <w:numId w:val="80"/>
        </w:numPr>
      </w:pPr>
      <w:r>
        <w:t>coefficient de conductivité thermique  déclaré λ</w:t>
      </w:r>
      <w:r>
        <w:rPr>
          <w:vertAlign w:val="subscript"/>
        </w:rPr>
        <w:t xml:space="preserve">D </w:t>
      </w:r>
      <w:r>
        <w:t xml:space="preserve">: max. </w:t>
      </w:r>
      <w:r>
        <w:rPr>
          <w:rStyle w:val="optioncarChar"/>
        </w:rPr>
        <w:t>0,18</w:t>
      </w:r>
      <w:r>
        <w:t xml:space="preserve"> (par défaut)</w:t>
      </w:r>
      <w:r>
        <w:rPr>
          <w:rStyle w:val="optioncarChar"/>
        </w:rPr>
        <w:t xml:space="preserve"> / 0,24 / *** </w:t>
      </w:r>
      <w:r>
        <w:t>W/mK.</w:t>
      </w:r>
    </w:p>
    <w:p w14:paraId="5D9BC8DA" w14:textId="77777777" w:rsidR="00DF410E" w:rsidRDefault="00CE7F43">
      <w:pPr>
        <w:spacing w:line="259" w:lineRule="auto"/>
      </w:pPr>
      <w:r>
        <w:t>Résistance au feu:</w:t>
      </w:r>
    </w:p>
    <w:p w14:paraId="3C753487" w14:textId="77777777" w:rsidR="00DF410E" w:rsidRDefault="00CE7F43">
      <w:pPr>
        <w:pStyle w:val="Author-eListParagraph"/>
        <w:numPr>
          <w:ilvl w:val="0"/>
          <w:numId w:val="81"/>
        </w:numPr>
      </w:pPr>
      <w:r>
        <w:t xml:space="preserve">pour les éléments porteurs structurels sans fonction séparante : </w:t>
      </w:r>
      <w:r>
        <w:rPr>
          <w:rStyle w:val="optioncarChar"/>
        </w:rPr>
        <w:t>R120 </w:t>
      </w:r>
      <w:r>
        <w:t>(par défaut)</w:t>
      </w:r>
      <w:r>
        <w:rPr>
          <w:rStyle w:val="optioncarChar"/>
        </w:rPr>
        <w:t xml:space="preserve"> / ***</w:t>
      </w:r>
    </w:p>
    <w:p w14:paraId="776CF701" w14:textId="77777777" w:rsidR="00DF410E" w:rsidRDefault="00CE7F43">
      <w:pPr>
        <w:pStyle w:val="Author-eListParagraph"/>
        <w:numPr>
          <w:ilvl w:val="0"/>
          <w:numId w:val="81"/>
        </w:numPr>
      </w:pPr>
      <w:r>
        <w:t xml:space="preserve">pour les éléments porteurs structurels avec fonction séparante : </w:t>
      </w:r>
      <w:r>
        <w:rPr>
          <w:rStyle w:val="optioncarChar"/>
        </w:rPr>
        <w:t>REI120 </w:t>
      </w:r>
      <w:r>
        <w:t>(par défaut)</w:t>
      </w:r>
      <w:r>
        <w:rPr>
          <w:rStyle w:val="optioncarChar"/>
        </w:rPr>
        <w:t xml:space="preserve"> / ***</w:t>
      </w:r>
    </w:p>
    <w:p w14:paraId="2A4CEB02" w14:textId="77777777" w:rsidR="00DF410E" w:rsidRDefault="00CE7F43">
      <w:pPr>
        <w:spacing w:line="259" w:lineRule="auto"/>
        <w:ind w:left="360"/>
      </w:pPr>
      <w:r>
        <w:t>testée selon la norme [NBN EN 1363-1] et [NBN EN 1363-1].</w:t>
      </w:r>
    </w:p>
    <w:p w14:paraId="63E07920" w14:textId="77777777" w:rsidR="00DF410E" w:rsidRDefault="00CE7F43">
      <w:pPr>
        <w:pStyle w:val="pheading"/>
      </w:pPr>
      <w:r>
        <w:t>- Finitions</w:t>
      </w:r>
    </w:p>
    <w:p w14:paraId="3593B2D1" w14:textId="77777777" w:rsidR="00DF410E" w:rsidRDefault="00CE7F43">
      <w:r>
        <w:t xml:space="preserve">Les murs suivants sont érigés  avec deux faces restant apparentes : </w:t>
      </w:r>
      <w:r>
        <w:rPr>
          <w:rStyle w:val="optioncarChar"/>
        </w:rPr>
        <w:t>***</w:t>
      </w:r>
    </w:p>
    <w:p w14:paraId="7E3FCEDE" w14:textId="77777777" w:rsidR="00DF410E" w:rsidRDefault="00CE7F43">
      <w:pPr>
        <w:pStyle w:val="pheading"/>
      </w:pPr>
      <w:r>
        <w:t>EXÉCUTION / MISE EN ŒUVRE</w:t>
      </w:r>
    </w:p>
    <w:p w14:paraId="70F01DC5" w14:textId="77777777" w:rsidR="00DF410E" w:rsidRDefault="00CE7F43">
      <w:pPr>
        <w:pStyle w:val="pheading"/>
      </w:pPr>
      <w:r>
        <w:t>- Prescriptions générales</w:t>
      </w:r>
    </w:p>
    <w:p w14:paraId="46B309F9" w14:textId="77777777" w:rsidR="00DF410E" w:rsidRDefault="00CE7F43">
      <w:r>
        <w:rPr>
          <w:rStyle w:val="normalChar"/>
          <w:color w:val="000000"/>
        </w:rPr>
        <w:t>La mise en œuvre, y compris le bloc d’assise, est conforme à la déclaration de l’aptitude à l’emploi du système de construction.</w:t>
      </w:r>
    </w:p>
    <w:p w14:paraId="5D927597" w14:textId="77777777" w:rsidR="00DF410E" w:rsidRDefault="00CE7F43">
      <w:r>
        <w:rPr>
          <w:rStyle w:val="normalChar"/>
          <w:color w:val="000000"/>
        </w:rPr>
        <w:t xml:space="preserve">Les linteaux sont réalisés selon article </w:t>
      </w:r>
      <w:hyperlink w:anchor="368" w:history="1">
        <w:r>
          <w:rPr>
            <w:rStyle w:val="normalChar"/>
            <w:color w:val="000000"/>
          </w:rPr>
          <w:t>21.43.1 Linteaux</w:t>
        </w:r>
      </w:hyperlink>
      <w:r>
        <w:rPr>
          <w:rStyle w:val="normalChar"/>
          <w:color w:val="000000"/>
        </w:rPr>
        <w:t>.</w:t>
      </w:r>
    </w:p>
    <w:p w14:paraId="56B5FD6B" w14:textId="77777777" w:rsidR="00DF410E" w:rsidRDefault="00CE7F43">
      <w:r>
        <w:t>Il y a des bandes acoustiques </w:t>
      </w:r>
      <w:r>
        <w:rPr>
          <w:rStyle w:val="optioncarChar"/>
        </w:rPr>
        <w:t xml:space="preserve"> en bas des murs / en haut des murs / en bas et en haut des murs </w:t>
      </w:r>
      <w:r>
        <w:t>(par défaut)</w:t>
      </w:r>
      <w:r>
        <w:rPr>
          <w:rStyle w:val="optioncarChar"/>
        </w:rPr>
        <w:t> </w:t>
      </w:r>
      <w:r>
        <w:t xml:space="preserve">selon une étude acoustique.  La liaison entre les bandes acoustiques et les blocs treillis se fait avec un mortier traditionnel. </w:t>
      </w:r>
    </w:p>
    <w:p w14:paraId="1EC7CA5D" w14:textId="77777777" w:rsidR="00DF410E" w:rsidRDefault="00CE7F43">
      <w:pPr>
        <w:pStyle w:val="pheading"/>
      </w:pPr>
      <w:r>
        <w:t>MESURAGE</w:t>
      </w:r>
    </w:p>
    <w:p w14:paraId="71AB191D" w14:textId="77777777" w:rsidR="00DF410E" w:rsidRDefault="00CE7F43">
      <w:pPr>
        <w:pStyle w:val="pheading"/>
      </w:pPr>
      <w:r>
        <w:t>- unité de mesure:</w:t>
      </w:r>
    </w:p>
    <w:p w14:paraId="4BEF6ABD" w14:textId="77777777" w:rsidR="00DF410E" w:rsidRDefault="00CE7F43">
      <w:r>
        <w:rPr>
          <w:rStyle w:val="optioncarChar"/>
        </w:rPr>
        <w:t>m³ </w:t>
      </w:r>
      <w:r>
        <w:t>(par défaut)</w:t>
      </w:r>
      <w:r>
        <w:rPr>
          <w:rStyle w:val="optioncarChar"/>
        </w:rPr>
        <w:t> / m²</w:t>
      </w:r>
    </w:p>
    <w:p w14:paraId="3ADEC295" w14:textId="77777777" w:rsidR="00DF410E" w:rsidRDefault="00CE7F43">
      <w:r>
        <w:rPr>
          <w:b/>
        </w:rPr>
        <w:t>(soit par défaut)</w:t>
      </w:r>
    </w:p>
    <w:p w14:paraId="0EDB9384" w14:textId="77777777" w:rsidR="00DF410E" w:rsidRDefault="00CE7F43">
      <w:r>
        <w:rPr>
          <w:rStyle w:val="soitChar"/>
        </w:rPr>
        <w:t>1. m³</w:t>
      </w:r>
    </w:p>
    <w:p w14:paraId="18B6EA13" w14:textId="77777777" w:rsidR="00DF410E" w:rsidRDefault="00CE7F43">
      <w:r>
        <w:rPr>
          <w:b/>
        </w:rPr>
        <w:t>(soit)</w:t>
      </w:r>
    </w:p>
    <w:p w14:paraId="3C3E9A71" w14:textId="77777777" w:rsidR="00DF410E" w:rsidRDefault="00CE7F43">
      <w:r>
        <w:rPr>
          <w:rStyle w:val="soitChar"/>
        </w:rPr>
        <w:t>2. m²</w:t>
      </w:r>
    </w:p>
    <w:p w14:paraId="48B7BC17" w14:textId="77777777" w:rsidR="00DF410E" w:rsidRDefault="00CE7F43">
      <w:pPr>
        <w:pStyle w:val="pheading"/>
      </w:pPr>
      <w:r>
        <w:t>- code de mesurage:</w:t>
      </w:r>
    </w:p>
    <w:p w14:paraId="4BB78C6E"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B933C24"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A77054C"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31314BF" w14:textId="77777777" w:rsidR="00DF410E" w:rsidRDefault="00DF410E"/>
    <w:p w14:paraId="0E0F9897" w14:textId="77777777" w:rsidR="00DF410E" w:rsidRDefault="00CE7F43">
      <w:r>
        <w:rPr>
          <w:rStyle w:val="optioncarChar"/>
        </w:rPr>
        <w:t>Volume net </w:t>
      </w:r>
      <w:r>
        <w:t>(par défaut)</w:t>
      </w:r>
      <w:r>
        <w:rPr>
          <w:rStyle w:val="optioncarChar"/>
        </w:rPr>
        <w:t> / Surface nette</w:t>
      </w:r>
    </w:p>
    <w:p w14:paraId="075D8AFD" w14:textId="77777777" w:rsidR="00DF410E" w:rsidRDefault="00CE7F43">
      <w:r>
        <w:rPr>
          <w:b/>
        </w:rPr>
        <w:t>(soit par défaut)</w:t>
      </w:r>
    </w:p>
    <w:p w14:paraId="2AA9C3E2"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DCC82E0" w14:textId="77777777" w:rsidR="00DF410E" w:rsidRDefault="00CE7F43">
      <w:r>
        <w:rPr>
          <w:b/>
        </w:rPr>
        <w:t>(soit)</w:t>
      </w:r>
    </w:p>
    <w:p w14:paraId="39C5BA0B"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717F1CB2" w14:textId="77777777" w:rsidR="00DF410E" w:rsidRDefault="00CE7F43">
      <w:pPr>
        <w:pStyle w:val="pheading"/>
      </w:pPr>
      <w:r>
        <w:t>- nature du marché:</w:t>
      </w:r>
    </w:p>
    <w:p w14:paraId="347CDDAA" w14:textId="77777777" w:rsidR="00DF410E" w:rsidRDefault="00CE7F43">
      <w:r>
        <w:t>QF</w:t>
      </w:r>
    </w:p>
    <w:p w14:paraId="3550861F" w14:textId="77777777" w:rsidR="00DF410E" w:rsidRDefault="00CE7F43">
      <w:pPr>
        <w:pStyle w:val="Author-eSectionHeading5"/>
      </w:pPr>
      <w:bookmarkStart w:id="46" w:name="_Toc178837314"/>
      <w:r>
        <w:t>21.12.4 Maçonneries portantes en blocs de béton CCTB 01.11</w:t>
      </w:r>
      <w:bookmarkEnd w:id="46"/>
    </w:p>
    <w:p w14:paraId="6D36120D" w14:textId="77777777" w:rsidR="00DF410E" w:rsidRDefault="00CE7F43">
      <w:pPr>
        <w:pStyle w:val="pheading"/>
      </w:pPr>
      <w:bookmarkStart w:id="47" w:name="369"/>
      <w:bookmarkEnd w:id="47"/>
      <w:r>
        <w:t>MATÉRIAUX</w:t>
      </w:r>
    </w:p>
    <w:p w14:paraId="4E5F5ECE" w14:textId="77777777" w:rsidR="00DF410E" w:rsidRDefault="00CE7F43">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3BC4D5D6" w14:textId="77777777" w:rsidR="00DF410E" w:rsidRDefault="00CE7F43">
      <w:pPr>
        <w:pStyle w:val="pheading"/>
      </w:pPr>
      <w:r>
        <w:t>EXÉCUTION / MISE EN ŒUVRE</w:t>
      </w:r>
    </w:p>
    <w:p w14:paraId="094C33C9" w14:textId="77777777" w:rsidR="00DF410E" w:rsidRDefault="00CE7F43">
      <w:r>
        <w:rPr>
          <w:u w:val="single"/>
        </w:rPr>
        <w:t>-Prescriptions générales</w:t>
      </w:r>
    </w:p>
    <w:p w14:paraId="4B6B4C9B" w14:textId="77777777" w:rsidR="00DF410E" w:rsidRDefault="00CE7F43">
      <w:r>
        <w:t>Conformément au mode de mise en œuvre, les blocs en béton sont</w:t>
      </w:r>
      <w:r>
        <w:rPr>
          <w:rStyle w:val="optioncarChar"/>
        </w:rPr>
        <w:t xml:space="preserve"> maçonnés au mortier </w:t>
      </w:r>
      <w:r>
        <w:t>(par défaut)</w:t>
      </w:r>
      <w:r>
        <w:rPr>
          <w:rStyle w:val="optioncarChar"/>
        </w:rPr>
        <w:t xml:space="preserve"> / collés à l’aide d’un mortier-colle</w:t>
      </w:r>
      <w:r>
        <w:t xml:space="preserve"> selon les indications du fabricant </w:t>
      </w:r>
      <w:r>
        <w:rPr>
          <w:rStyle w:val="optioncarChar"/>
        </w:rPr>
        <w:t>des blocs </w:t>
      </w:r>
      <w:r>
        <w:t>(par défaut)</w:t>
      </w:r>
      <w:r>
        <w:rPr>
          <w:rStyle w:val="optioncarChar"/>
        </w:rPr>
        <w:t xml:space="preserve"> / du fabricant de mortier</w:t>
      </w:r>
      <w:r>
        <w:t xml:space="preserve"> et des notes de calcul du bureau d’études.</w:t>
      </w:r>
    </w:p>
    <w:p w14:paraId="6E66C50D" w14:textId="77777777" w:rsidR="00DF410E" w:rsidRDefault="00CE7F43">
      <w:r>
        <w:t xml:space="preserve">Le mortier </w:t>
      </w:r>
      <w:r>
        <w:rPr>
          <w:rStyle w:val="optioncarChar"/>
        </w:rPr>
        <w:t xml:space="preserve">à coller / à maçonner </w:t>
      </w:r>
      <w:r>
        <w:t xml:space="preserve">(par défaut)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77A26F64" w14:textId="77777777" w:rsidR="00DF410E" w:rsidRDefault="00CE7F43">
      <w: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2D985048"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r>
        <w:t xml:space="preserve">. </w:t>
      </w:r>
      <w:r>
        <w:br/>
      </w:r>
      <w:r>
        <w:br/>
      </w:r>
      <w:r>
        <w:rPr>
          <w:u w:val="single"/>
        </w:rPr>
        <w:t>-Notes d'exécution complémentaires</w:t>
      </w:r>
    </w:p>
    <w:p w14:paraId="474CA4DC" w14:textId="77777777" w:rsidR="00DF410E" w:rsidRDefault="00CE7F43">
      <w:r>
        <w:t xml:space="preserve">Pour les maçonneries destinées à rester apparentes, seules des blocs non endommagés sont utilisés. </w:t>
      </w:r>
      <w:r>
        <w:br/>
        <w:t xml:space="preserve">Les segments de murs sont pourvus d'armatures horizontales selon l'article </w:t>
      </w:r>
      <w:hyperlink w:anchor="355" w:history="1">
        <w:r>
          <w:t>21.41.1 Armatures horizontales pour maçonneries</w:t>
        </w:r>
      </w:hyperlink>
      <w:r>
        <w:t xml:space="preserve">. Les segments de murs sont pourvus d'armatures verticales selon l'article </w:t>
      </w:r>
      <w:hyperlink w:anchor="356" w:history="1">
        <w:r>
          <w:t>21.41.2 Armatures verticales pour maçonneries</w:t>
        </w:r>
      </w:hyperlink>
      <w:r>
        <w:t>.</w:t>
      </w:r>
    </w:p>
    <w:p w14:paraId="625D696E"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34A2952D" w14:textId="77777777" w:rsidR="00DF410E" w:rsidRDefault="00CE7F43">
      <w:r>
        <w:t xml:space="preserve">Les faces de murs suivantes sont exécutées comme maçonneries apparentes : </w:t>
      </w:r>
      <w:r>
        <w:rPr>
          <w:rStyle w:val="optioncarChar"/>
        </w:rPr>
        <w:t>***.</w:t>
      </w:r>
    </w:p>
    <w:p w14:paraId="5C41AE9F" w14:textId="77777777" w:rsidR="00DF410E" w:rsidRDefault="00CE7F43">
      <w:r>
        <w:t xml:space="preserve">Crochets de mur : </w:t>
      </w:r>
      <w:r>
        <w:rPr>
          <w:rStyle w:val="optioncarChar"/>
        </w:rPr>
        <w:t>acier inoxydable </w:t>
      </w:r>
      <w:r>
        <w:t>(par défaut)</w:t>
      </w:r>
      <w:r>
        <w:rPr>
          <w:rStyle w:val="optioncarChar"/>
        </w:rPr>
        <w:t> / ***</w:t>
      </w:r>
      <w:r>
        <w:t xml:space="preserve"> , diamètre minimal </w:t>
      </w:r>
      <w:r>
        <w:rPr>
          <w:rStyle w:val="optioncarChar"/>
        </w:rPr>
        <w:t>3,5 </w:t>
      </w:r>
      <w:r>
        <w:t>(par défaut)</w:t>
      </w:r>
      <w:r>
        <w:rPr>
          <w:rStyle w:val="optioncarChar"/>
        </w:rPr>
        <w:t> / ***</w:t>
      </w:r>
      <w:r>
        <w:t xml:space="preserve"> mm.</w:t>
      </w:r>
    </w:p>
    <w:p w14:paraId="5ED4EA58"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292F10FB" w14:textId="77777777" w:rsidR="00DF410E" w:rsidRDefault="00CE7F43">
      <w:pPr>
        <w:pStyle w:val="pheading"/>
      </w:pPr>
      <w:r>
        <w:t>AIDE</w:t>
      </w:r>
    </w:p>
    <w:p w14:paraId="0DAB2CF3" w14:textId="77777777" w:rsidR="00DF410E" w:rsidRDefault="00CE7F43">
      <w:r>
        <w:t>Note à l'attention de l'auteur du projet : pour le choix adéquat du mortier, se référer à la [STS 22 série].</w:t>
      </w:r>
    </w:p>
    <w:p w14:paraId="7AE82FDB" w14:textId="77777777" w:rsidR="00DF410E" w:rsidRDefault="00CE7F43">
      <w:pPr>
        <w:pStyle w:val="Author-eSectionHeading6"/>
      </w:pPr>
      <w:bookmarkStart w:id="48" w:name="_Toc178837315"/>
      <w:r>
        <w:t>21.12.4a Maçonneries portantes en blocs de béton pleins à maçonner CCTB 01.12</w:t>
      </w:r>
      <w:bookmarkEnd w:id="48"/>
    </w:p>
    <w:p w14:paraId="3880CCA3" w14:textId="77777777" w:rsidR="00DF410E" w:rsidRDefault="00CE7F43">
      <w:pPr>
        <w:pStyle w:val="pheading"/>
      </w:pPr>
      <w:r>
        <w:t>DESCRIPTION</w:t>
      </w:r>
    </w:p>
    <w:p w14:paraId="4037483B" w14:textId="77777777" w:rsidR="00DF410E" w:rsidRDefault="00CE7F43">
      <w:pPr>
        <w:pStyle w:val="pheading"/>
      </w:pPr>
      <w:r>
        <w:t>- Définition / Comprend</w:t>
      </w:r>
    </w:p>
    <w:p w14:paraId="23DAD00F" w14:textId="77777777" w:rsidR="00DF410E" w:rsidRDefault="00CE7F43">
      <w:r>
        <w:t>- nature du marché</w:t>
      </w:r>
      <w:r>
        <w:br/>
        <w:t xml:space="preserve">Il s’agit de la fourniture et la pose de maçonneries portantes en blocs de béton pleins à maçonner. </w:t>
      </w:r>
      <w:r>
        <w:br/>
        <w:t xml:space="preserve">La portée des travaux est décrite dans l’article </w:t>
      </w:r>
      <w:hyperlink w:anchor="369" w:history="1">
        <w:r>
          <w:t>21.12.4 Maçonneries portantes en blocs de béton</w:t>
        </w:r>
      </w:hyperlink>
      <w:r>
        <w:t>.</w:t>
      </w:r>
      <w:r>
        <w:br/>
        <w:t>Les travaux comprennent également la fourniture et la pose des pièces d’angle, de terminaison et de rencontre.</w:t>
      </w:r>
    </w:p>
    <w:p w14:paraId="1C6C9403" w14:textId="77777777" w:rsidR="00DF410E" w:rsidRDefault="00CE7F43">
      <w:pPr>
        <w:pStyle w:val="pheading"/>
      </w:pPr>
      <w:r>
        <w:t>- Localisation</w:t>
      </w:r>
    </w:p>
    <w:p w14:paraId="0C76F249" w14:textId="77777777" w:rsidR="00DF410E" w:rsidRDefault="00CE7F43">
      <w:r>
        <w:t xml:space="preserve">La pose est réalisée aux endroits suivants : </w:t>
      </w:r>
      <w:r>
        <w:rPr>
          <w:rStyle w:val="optioncarChar"/>
        </w:rPr>
        <w:t>***</w:t>
      </w:r>
      <w:r>
        <w:t>.</w:t>
      </w:r>
      <w:r>
        <w:br/>
        <w:t>Voir plans et métrés détaillés.</w:t>
      </w:r>
    </w:p>
    <w:p w14:paraId="4A39A107" w14:textId="77777777" w:rsidR="00DF410E" w:rsidRDefault="00CE7F43">
      <w:pPr>
        <w:pStyle w:val="pheading"/>
      </w:pPr>
      <w:r>
        <w:t>MATÉRIAUX</w:t>
      </w:r>
    </w:p>
    <w:p w14:paraId="1FE36076" w14:textId="77777777" w:rsidR="00DF410E" w:rsidRDefault="00CE7F43">
      <w:pPr>
        <w:pStyle w:val="pheading"/>
      </w:pPr>
      <w:r>
        <w:t>- Caractéristiques générales</w:t>
      </w:r>
    </w:p>
    <w:p w14:paraId="70F85D50" w14:textId="77777777" w:rsidR="00DF410E" w:rsidRDefault="00CE7F43">
      <w:r>
        <w:rPr>
          <w:rStyle w:val="headingChar"/>
        </w:rPr>
        <w:t>Spécifications</w:t>
      </w:r>
    </w:p>
    <w:p w14:paraId="0320CD16" w14:textId="77777777" w:rsidR="00DF410E" w:rsidRDefault="00CE7F43">
      <w:r>
        <w:rPr>
          <w:u w:val="single"/>
        </w:rPr>
        <w:t>Blocs</w:t>
      </w:r>
    </w:p>
    <w:p w14:paraId="1C6884C2"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70B9D00E" w14:textId="77777777" w:rsidR="00DF410E" w:rsidRDefault="00CE7F43">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w:t>
      </w:r>
      <w:r>
        <w:t> (par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w:t>
      </w:r>
      <w:r>
        <w:rPr>
          <w:rStyle w:val="optioncarChar"/>
          <w:color w:val="000000"/>
        </w:rPr>
        <w:t xml:space="preserve">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36FA82B"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 ***</w:t>
      </w:r>
    </w:p>
    <w:p w14:paraId="0D932F7F" w14:textId="77777777" w:rsidR="00DF410E" w:rsidRDefault="00CE7F43">
      <w:pPr>
        <w:spacing w:before="0" w:after="0"/>
      </w:pPr>
      <w:r>
        <w:rPr>
          <w:u w:val="single"/>
        </w:rPr>
        <w:t>Mortier</w:t>
      </w:r>
    </w:p>
    <w:p w14:paraId="6291E59D"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1222A702"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66DAB93" w14:textId="77777777" w:rsidR="00DF410E" w:rsidRDefault="00CE7F43">
      <w:pPr>
        <w:spacing w:before="0" w:after="0"/>
      </w:pPr>
      <w:r>
        <w:rPr>
          <w:rStyle w:val="normalChar"/>
          <w:color w:val="000000"/>
        </w:rPr>
        <w:t>Résistance au gel : oui</w:t>
      </w:r>
    </w:p>
    <w:p w14:paraId="485C1AEA" w14:textId="77777777" w:rsidR="00DF410E" w:rsidRDefault="00CE7F43">
      <w:r>
        <w:br/>
      </w:r>
      <w:r>
        <w:rPr>
          <w:rStyle w:val="headingChar"/>
        </w:rPr>
        <w:t>Critères De Performances De La Paroi</w:t>
      </w:r>
    </w:p>
    <w:p w14:paraId="10816E29" w14:textId="77777777" w:rsidR="00DF410E" w:rsidRDefault="00CE7F43">
      <w:r>
        <w:t>Coefficient de transmission :</w:t>
      </w:r>
    </w:p>
    <w:p w14:paraId="506BC4A1" w14:textId="77777777" w:rsidR="00DF410E" w:rsidRDefault="00CE7F43">
      <w:pPr>
        <w:pStyle w:val="Author-eListParagraph"/>
        <w:numPr>
          <w:ilvl w:val="0"/>
          <w:numId w:val="82"/>
        </w:numPr>
      </w:pPr>
      <w:r>
        <w:t xml:space="preserve">valeur U minimale de </w:t>
      </w:r>
      <w:r>
        <w:rPr>
          <w:rStyle w:val="optioncarChar"/>
        </w:rPr>
        <w:t>***</w:t>
      </w:r>
      <w:r>
        <w:t xml:space="preserve"> W/m²K</w:t>
      </w:r>
    </w:p>
    <w:p w14:paraId="516334FF" w14:textId="77777777" w:rsidR="00DF410E" w:rsidRDefault="00CE7F43">
      <w:pPr>
        <w:pStyle w:val="Author-eListParagraph"/>
        <w:numPr>
          <w:ilvl w:val="0"/>
          <w:numId w:val="8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5F4F2AD" w14:textId="77777777" w:rsidR="00DF410E" w:rsidRDefault="00CE7F43">
      <w:r>
        <w:br/>
        <w:t>Résistance au feu :</w:t>
      </w:r>
    </w:p>
    <w:p w14:paraId="010EC11A" w14:textId="77777777" w:rsidR="00DF410E" w:rsidRDefault="00CE7F43">
      <w:pPr>
        <w:pStyle w:val="Author-eListParagraph"/>
        <w:numPr>
          <w:ilvl w:val="0"/>
          <w:numId w:val="83"/>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2E12A54A" w14:textId="77777777" w:rsidR="00DF410E" w:rsidRDefault="00CE7F43">
      <w:pPr>
        <w:pStyle w:val="Author-eListParagraph"/>
        <w:numPr>
          <w:ilvl w:val="0"/>
          <w:numId w:val="83"/>
        </w:numPr>
      </w:pPr>
      <w:r>
        <w:t xml:space="preserve">pour les éléments porteurs structurels avec fonction séparante : </w:t>
      </w:r>
      <w:r>
        <w:rPr>
          <w:rStyle w:val="optioncarChar"/>
        </w:rPr>
        <w:t>REI30</w:t>
      </w:r>
      <w:r>
        <w:t> (par défaut)</w:t>
      </w:r>
      <w:r>
        <w:rPr>
          <w:rStyle w:val="optioncarChar"/>
        </w:rPr>
        <w:t xml:space="preserve"> / REI60 / REI90 / REI120 / REI*** </w:t>
      </w:r>
    </w:p>
    <w:p w14:paraId="1C5BCD1F" w14:textId="77777777" w:rsidR="00DF410E" w:rsidRDefault="00CE7F43">
      <w:r>
        <w:t>selon les tableaux dans [NBN EN 1996-1-2 ANB].</w:t>
      </w:r>
    </w:p>
    <w:p w14:paraId="08D8D6F3" w14:textId="77777777" w:rsidR="00DF410E" w:rsidRDefault="00CE7F43">
      <w:pPr>
        <w:pStyle w:val="pheading"/>
      </w:pPr>
      <w:r>
        <w:t>- Finitions</w:t>
      </w:r>
    </w:p>
    <w:p w14:paraId="01BAD859" w14:textId="77777777" w:rsidR="00DF410E" w:rsidRDefault="00DF410E"/>
    <w:p w14:paraId="780A82AB" w14:textId="77777777" w:rsidR="00DF410E" w:rsidRDefault="00CE7F43">
      <w:pPr>
        <w:pStyle w:val="Author-eListParagraph"/>
        <w:numPr>
          <w:ilvl w:val="0"/>
          <w:numId w:val="84"/>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4643C263" w14:textId="77777777" w:rsidR="00DF410E" w:rsidRDefault="00CE7F43">
      <w:pPr>
        <w:pStyle w:val="Author-eListParagraph"/>
        <w:numPr>
          <w:ilvl w:val="0"/>
          <w:numId w:val="84"/>
        </w:numPr>
      </w:pPr>
      <w:r>
        <w:t xml:space="preserve">Les murs suivants sont exécutés avec une face restant apparente : </w:t>
      </w:r>
      <w:r>
        <w:rPr>
          <w:rStyle w:val="optioncarChar"/>
        </w:rPr>
        <w:t>***</w:t>
      </w:r>
    </w:p>
    <w:p w14:paraId="30852443" w14:textId="77777777" w:rsidR="00DF410E" w:rsidRDefault="00CE7F43">
      <w:pPr>
        <w:pStyle w:val="Author-eListParagraph"/>
        <w:numPr>
          <w:ilvl w:val="0"/>
          <w:numId w:val="84"/>
        </w:numPr>
      </w:pPr>
      <w:r>
        <w:t xml:space="preserve">Les murs suivants sont exécutés avec deux faces restant apparentes : </w:t>
      </w:r>
      <w:r>
        <w:rPr>
          <w:rStyle w:val="optioncarChar"/>
        </w:rPr>
        <w:t>***</w:t>
      </w:r>
    </w:p>
    <w:p w14:paraId="7ECCDF13" w14:textId="77777777" w:rsidR="00DF410E" w:rsidRDefault="00CE7F43">
      <w:pPr>
        <w:pStyle w:val="pheading"/>
      </w:pPr>
      <w:r>
        <w:t>MESURAGE</w:t>
      </w:r>
    </w:p>
    <w:p w14:paraId="1496D9B6" w14:textId="77777777" w:rsidR="00DF410E" w:rsidRDefault="00CE7F43">
      <w:pPr>
        <w:pStyle w:val="pheading"/>
      </w:pPr>
      <w:r>
        <w:t>- unité de mesure:</w:t>
      </w:r>
    </w:p>
    <w:p w14:paraId="7A2ACDB1" w14:textId="77777777" w:rsidR="00DF410E" w:rsidRDefault="00CE7F43">
      <w:r>
        <w:rPr>
          <w:rStyle w:val="optioncarChar"/>
        </w:rPr>
        <w:t>m³ </w:t>
      </w:r>
      <w:r>
        <w:t>(par défaut)</w:t>
      </w:r>
      <w:r>
        <w:rPr>
          <w:rStyle w:val="optioncarChar"/>
        </w:rPr>
        <w:t> / m²</w:t>
      </w:r>
    </w:p>
    <w:p w14:paraId="5721F071" w14:textId="77777777" w:rsidR="00DF410E" w:rsidRDefault="00CE7F43">
      <w:r>
        <w:rPr>
          <w:b/>
        </w:rPr>
        <w:t>(soit par défaut)</w:t>
      </w:r>
    </w:p>
    <w:p w14:paraId="4C1203AE" w14:textId="77777777" w:rsidR="00DF410E" w:rsidRDefault="00CE7F43">
      <w:r>
        <w:rPr>
          <w:rStyle w:val="soitChar"/>
        </w:rPr>
        <w:t>1. m³</w:t>
      </w:r>
    </w:p>
    <w:p w14:paraId="6A2401E0" w14:textId="77777777" w:rsidR="00DF410E" w:rsidRDefault="00CE7F43">
      <w:r>
        <w:rPr>
          <w:b/>
        </w:rPr>
        <w:t>(soit)</w:t>
      </w:r>
    </w:p>
    <w:p w14:paraId="0268DC26" w14:textId="77777777" w:rsidR="00DF410E" w:rsidRDefault="00CE7F43">
      <w:r>
        <w:rPr>
          <w:rStyle w:val="soitChar"/>
        </w:rPr>
        <w:t>2. m²</w:t>
      </w:r>
    </w:p>
    <w:p w14:paraId="0BD25541" w14:textId="77777777" w:rsidR="00DF410E" w:rsidRDefault="00CE7F43">
      <w:pPr>
        <w:pStyle w:val="pheading"/>
      </w:pPr>
      <w:r>
        <w:t>- code de mesurage:</w:t>
      </w:r>
    </w:p>
    <w:p w14:paraId="1F1D61FA"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544899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715FC913"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2B1C442" w14:textId="77777777" w:rsidR="00DF410E" w:rsidRDefault="00DF410E"/>
    <w:p w14:paraId="78C2D03F" w14:textId="77777777" w:rsidR="00DF410E" w:rsidRDefault="00CE7F43">
      <w:r>
        <w:rPr>
          <w:rStyle w:val="optioncarChar"/>
        </w:rPr>
        <w:t>Volume net </w:t>
      </w:r>
      <w:r>
        <w:t>(par défaut)</w:t>
      </w:r>
      <w:r>
        <w:rPr>
          <w:rStyle w:val="optioncarChar"/>
        </w:rPr>
        <w:t> / Surface nette</w:t>
      </w:r>
    </w:p>
    <w:p w14:paraId="64BBEA89" w14:textId="77777777" w:rsidR="00DF410E" w:rsidRDefault="00CE7F43">
      <w:r>
        <w:rPr>
          <w:b/>
        </w:rPr>
        <w:t>(soit par défaut)</w:t>
      </w:r>
    </w:p>
    <w:p w14:paraId="18217F09"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8133A02" w14:textId="77777777" w:rsidR="00DF410E" w:rsidRDefault="00CE7F43">
      <w:r>
        <w:rPr>
          <w:b/>
        </w:rPr>
        <w:t>(soit)</w:t>
      </w:r>
    </w:p>
    <w:p w14:paraId="74A55257"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554B7DD" w14:textId="77777777" w:rsidR="00DF410E" w:rsidRDefault="00CE7F43">
      <w:pPr>
        <w:pStyle w:val="pheading"/>
      </w:pPr>
      <w:r>
        <w:t>- nature du marché:</w:t>
      </w:r>
    </w:p>
    <w:p w14:paraId="1E1E4E43" w14:textId="77777777" w:rsidR="00DF410E" w:rsidRDefault="00CE7F43">
      <w:r>
        <w:t>QF</w:t>
      </w:r>
    </w:p>
    <w:p w14:paraId="0BAD23EE" w14:textId="77777777" w:rsidR="00DF410E" w:rsidRDefault="00CE7F43">
      <w:pPr>
        <w:pStyle w:val="Author-eSectionHeading6"/>
      </w:pPr>
      <w:bookmarkStart w:id="49" w:name="_Toc178837316"/>
      <w:r>
        <w:t>21.12.4b Maçonneries portantes en blocs de béton pleins à coller CCTB 01.12</w:t>
      </w:r>
      <w:bookmarkEnd w:id="49"/>
    </w:p>
    <w:p w14:paraId="0C480ECC" w14:textId="77777777" w:rsidR="00DF410E" w:rsidRDefault="00CE7F43">
      <w:pPr>
        <w:pStyle w:val="pheading"/>
      </w:pPr>
      <w:r>
        <w:t>DESCRIPTION</w:t>
      </w:r>
    </w:p>
    <w:p w14:paraId="436C5777" w14:textId="77777777" w:rsidR="00DF410E" w:rsidRDefault="00CE7F43">
      <w:pPr>
        <w:pStyle w:val="pheading"/>
      </w:pPr>
      <w:r>
        <w:t>- Définition / Comprend</w:t>
      </w:r>
    </w:p>
    <w:p w14:paraId="2E644247" w14:textId="77777777" w:rsidR="00DF410E" w:rsidRDefault="00CE7F43">
      <w:r>
        <w:t xml:space="preserve">Il s’agit de la fourniture et la pose de maçonneries portantes en blocs de béton pleins à coller. </w:t>
      </w:r>
      <w:r>
        <w:br/>
        <w:t xml:space="preserve">La portée des travaux est décrite dans l’article </w:t>
      </w:r>
      <w:hyperlink w:anchor="369" w:history="1">
        <w:r>
          <w:t>21.12.4 Maçonneries portantes en blocs de béton</w:t>
        </w:r>
      </w:hyperlink>
      <w:r>
        <w:t>.</w:t>
      </w:r>
      <w:r>
        <w:br/>
        <w:t>Les travaux comprennent également la fourniture et la pose des pièces d’angle, de terminaison et de rencontre.</w:t>
      </w:r>
    </w:p>
    <w:p w14:paraId="574F73A9" w14:textId="77777777" w:rsidR="00DF410E" w:rsidRDefault="00CE7F43">
      <w:pPr>
        <w:pStyle w:val="pheading"/>
      </w:pPr>
      <w:r>
        <w:t>- Localisation</w:t>
      </w:r>
    </w:p>
    <w:p w14:paraId="1E14FA61" w14:textId="77777777" w:rsidR="00DF410E" w:rsidRDefault="00CE7F43">
      <w:r>
        <w:t xml:space="preserve">La pose est réalisée aux endroits suivants : </w:t>
      </w:r>
      <w:r>
        <w:rPr>
          <w:rStyle w:val="optioncarChar"/>
        </w:rPr>
        <w:t>***</w:t>
      </w:r>
      <w:r>
        <w:t>.</w:t>
      </w:r>
      <w:r>
        <w:br/>
        <w:t>Voir plans et métrés détaillés.</w:t>
      </w:r>
    </w:p>
    <w:p w14:paraId="25D628DE" w14:textId="77777777" w:rsidR="00DF410E" w:rsidRDefault="00CE7F43">
      <w:pPr>
        <w:pStyle w:val="pheading"/>
      </w:pPr>
      <w:r>
        <w:t>MATÉRIAUX</w:t>
      </w:r>
    </w:p>
    <w:p w14:paraId="23EA8705" w14:textId="77777777" w:rsidR="00DF410E" w:rsidRDefault="00CE7F43">
      <w:pPr>
        <w:pStyle w:val="pheading"/>
      </w:pPr>
      <w:r>
        <w:t>- Caractéristiques générales</w:t>
      </w:r>
    </w:p>
    <w:p w14:paraId="774A9165" w14:textId="77777777" w:rsidR="00DF410E" w:rsidRDefault="00CE7F43">
      <w:r>
        <w:rPr>
          <w:rStyle w:val="headingChar"/>
        </w:rPr>
        <w:t>Spécifications</w:t>
      </w:r>
    </w:p>
    <w:p w14:paraId="02B8D3F2" w14:textId="77777777" w:rsidR="00DF410E" w:rsidRDefault="00CE7F43">
      <w:r>
        <w:rPr>
          <w:u w:val="single"/>
        </w:rPr>
        <w:t>Blocs</w:t>
      </w:r>
    </w:p>
    <w:p w14:paraId="07A78EF5"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2240EA5" w14:textId="77777777" w:rsidR="00DF410E" w:rsidRDefault="00CE7F43">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r>
      <w:r>
        <w:br/>
        <w:t xml:space="preserve">Résistance au gel suivant les classes d’application MX… selon [NBN EN 1996-2 ANB] et [NIT 271]: </w:t>
      </w:r>
      <w:r>
        <w:rPr>
          <w:rStyle w:val="optioncarChar"/>
        </w:rPr>
        <w:t>sans résistance au gel / résistance normale au gel (MX3.1) </w:t>
      </w:r>
      <w:r>
        <w:t>(par défaut)</w:t>
      </w:r>
      <w:r>
        <w:rPr>
          <w:rStyle w:val="optioncarChar"/>
        </w:rPr>
        <w:t xml:space="preserve"> / résistance élevée au gel (MX3.2)</w:t>
      </w:r>
      <w:r>
        <w:br/>
      </w:r>
      <w:r>
        <w:br/>
        <w:t xml:space="preserve">Réaction au feu : </w:t>
      </w:r>
      <w:r>
        <w:rPr>
          <w:rStyle w:val="optioncarChar"/>
        </w:rPr>
        <w:t>A1 </w:t>
      </w:r>
      <w:r>
        <w:t>(par défaut)</w:t>
      </w:r>
      <w:r>
        <w:rPr>
          <w:rStyle w:val="optioncarChar"/>
        </w:rPr>
        <w:t xml:space="preserve"> / ***</w:t>
      </w:r>
    </w:p>
    <w:p w14:paraId="7C529EE7" w14:textId="77777777" w:rsidR="00DF410E" w:rsidRDefault="00CE7F43">
      <w:pPr>
        <w:spacing w:before="0" w:after="0"/>
      </w:pPr>
      <w:r>
        <w:rPr>
          <w:u w:val="single"/>
        </w:rPr>
        <w:t>Mortier</w:t>
      </w:r>
    </w:p>
    <w:p w14:paraId="08A70612" w14:textId="77777777" w:rsidR="00DF410E" w:rsidRDefault="00CE7F43">
      <w:pPr>
        <w:spacing w:before="0" w:after="0"/>
      </w:pPr>
      <w:r>
        <w:rPr>
          <w:rStyle w:val="normalChar"/>
          <w:color w:val="000000"/>
        </w:rPr>
        <w:t>Classe de résistance :</w:t>
      </w:r>
      <w:r>
        <w:rPr>
          <w:rStyle w:val="optioncarChar"/>
        </w:rPr>
        <w:t xml:space="preserve">M1 / M2,5 / M5 </w:t>
      </w:r>
      <w:r>
        <w:t>(par défaut)</w:t>
      </w:r>
      <w:r>
        <w:rPr>
          <w:rStyle w:val="optioncarChar"/>
        </w:rPr>
        <w:t xml:space="preserve"> / M10 / M15 / M20 </w:t>
      </w:r>
    </w:p>
    <w:p w14:paraId="0AA0A7A6"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04C4D3E" w14:textId="77777777" w:rsidR="00DF410E" w:rsidRDefault="00CE7F43">
      <w:pPr>
        <w:spacing w:before="0" w:after="0"/>
      </w:pPr>
      <w:r>
        <w:rPr>
          <w:rStyle w:val="normalChar"/>
          <w:color w:val="000000"/>
        </w:rPr>
        <w:t>Résistance au gel : oui</w:t>
      </w:r>
    </w:p>
    <w:p w14:paraId="1A3C175F" w14:textId="77777777" w:rsidR="00DF410E" w:rsidRDefault="00CE7F43">
      <w:r>
        <w:br/>
      </w:r>
      <w:r>
        <w:br/>
      </w:r>
      <w:r>
        <w:rPr>
          <w:rStyle w:val="headingChar"/>
        </w:rPr>
        <w:t>Critères De Performances De La Paroi</w:t>
      </w:r>
    </w:p>
    <w:p w14:paraId="0E5954CE" w14:textId="77777777" w:rsidR="00DF410E" w:rsidRDefault="00CE7F43">
      <w:r>
        <w:t>Coefficient de transmission :</w:t>
      </w:r>
    </w:p>
    <w:p w14:paraId="14172CA5" w14:textId="77777777" w:rsidR="00DF410E" w:rsidRDefault="00CE7F43">
      <w:pPr>
        <w:pStyle w:val="Author-eListParagraph"/>
        <w:numPr>
          <w:ilvl w:val="0"/>
          <w:numId w:val="85"/>
        </w:numPr>
      </w:pPr>
      <w:r>
        <w:t xml:space="preserve">valeur U minimale de </w:t>
      </w:r>
      <w:r>
        <w:rPr>
          <w:rStyle w:val="optioncarChar"/>
        </w:rPr>
        <w:t>***</w:t>
      </w:r>
      <w:r>
        <w:t xml:space="preserve"> W/m²K</w:t>
      </w:r>
    </w:p>
    <w:p w14:paraId="58186632" w14:textId="77777777" w:rsidR="00DF410E" w:rsidRDefault="00CE7F43">
      <w:pPr>
        <w:pStyle w:val="Author-eListParagraph"/>
        <w:numPr>
          <w:ilvl w:val="0"/>
          <w:numId w:val="8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B15651B" w14:textId="77777777" w:rsidR="00DF410E" w:rsidRDefault="00CE7F43">
      <w:r>
        <w:br/>
        <w:t>Résistance au feu :</w:t>
      </w:r>
    </w:p>
    <w:p w14:paraId="3ED48796" w14:textId="77777777" w:rsidR="00DF410E" w:rsidRDefault="00CE7F43">
      <w:pPr>
        <w:pStyle w:val="Author-eListParagraph"/>
        <w:numPr>
          <w:ilvl w:val="0"/>
          <w:numId w:val="86"/>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7A6269F8" w14:textId="77777777" w:rsidR="00DF410E" w:rsidRDefault="00CE7F43">
      <w:pPr>
        <w:pStyle w:val="Author-eListParagraph"/>
        <w:numPr>
          <w:ilvl w:val="0"/>
          <w:numId w:val="86"/>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2C883F30" w14:textId="77777777" w:rsidR="00DF410E" w:rsidRDefault="00CE7F43">
      <w:r>
        <w:t>selon les tableaux dans [NBN EN 1996-1-2 ANB].</w:t>
      </w:r>
    </w:p>
    <w:p w14:paraId="01ECE417" w14:textId="77777777" w:rsidR="00DF410E" w:rsidRDefault="00DF410E"/>
    <w:p w14:paraId="77F6FD0D" w14:textId="77777777" w:rsidR="00DF410E" w:rsidRDefault="00CE7F43">
      <w:r>
        <w:t> </w:t>
      </w:r>
    </w:p>
    <w:p w14:paraId="5956CC7E" w14:textId="77777777" w:rsidR="00DF410E" w:rsidRDefault="00CE7F43">
      <w:pPr>
        <w:pStyle w:val="pheading"/>
      </w:pPr>
      <w:r>
        <w:t>- Finitions</w:t>
      </w:r>
    </w:p>
    <w:p w14:paraId="71EFD669" w14:textId="77777777" w:rsidR="00DF410E" w:rsidRDefault="00DF410E"/>
    <w:p w14:paraId="190175C7" w14:textId="77777777" w:rsidR="00DF410E" w:rsidRDefault="00CE7F43">
      <w:pPr>
        <w:pStyle w:val="Author-eListParagraph"/>
        <w:numPr>
          <w:ilvl w:val="0"/>
          <w:numId w:val="87"/>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6810220A" w14:textId="77777777" w:rsidR="00DF410E" w:rsidRDefault="00CE7F43">
      <w:pPr>
        <w:pStyle w:val="Author-eListParagraph"/>
        <w:numPr>
          <w:ilvl w:val="0"/>
          <w:numId w:val="87"/>
        </w:numPr>
      </w:pPr>
      <w:r>
        <w:t xml:space="preserve">Les murs suivants sont exécutés avec une face restant apparente : </w:t>
      </w:r>
      <w:r>
        <w:rPr>
          <w:rStyle w:val="optioncarChar"/>
        </w:rPr>
        <w:t>***</w:t>
      </w:r>
    </w:p>
    <w:p w14:paraId="4DF6D62A" w14:textId="77777777" w:rsidR="00DF410E" w:rsidRDefault="00CE7F43">
      <w:pPr>
        <w:pStyle w:val="Author-eListParagraph"/>
        <w:numPr>
          <w:ilvl w:val="0"/>
          <w:numId w:val="87"/>
        </w:numPr>
      </w:pPr>
      <w:r>
        <w:t xml:space="preserve">Les murs suivants sont exécutés avec deux faces restant apparentes : </w:t>
      </w:r>
      <w:r>
        <w:rPr>
          <w:rStyle w:val="optioncarChar"/>
        </w:rPr>
        <w:t>***</w:t>
      </w:r>
    </w:p>
    <w:p w14:paraId="1182DEC1" w14:textId="77777777" w:rsidR="00DF410E" w:rsidRDefault="00CE7F43">
      <w:pPr>
        <w:pStyle w:val="pheading"/>
      </w:pPr>
      <w:r>
        <w:t>MESURAGE</w:t>
      </w:r>
    </w:p>
    <w:p w14:paraId="64A84F41" w14:textId="77777777" w:rsidR="00DF410E" w:rsidRDefault="00CE7F43">
      <w:pPr>
        <w:pStyle w:val="pheading"/>
      </w:pPr>
      <w:r>
        <w:t>- unité de mesure:</w:t>
      </w:r>
    </w:p>
    <w:p w14:paraId="27F552D9" w14:textId="77777777" w:rsidR="00DF410E" w:rsidRDefault="00CE7F43">
      <w:r>
        <w:rPr>
          <w:rStyle w:val="optioncarChar"/>
        </w:rPr>
        <w:t>m³ </w:t>
      </w:r>
      <w:r>
        <w:t>(par défaut)</w:t>
      </w:r>
      <w:r>
        <w:rPr>
          <w:rStyle w:val="optioncarChar"/>
        </w:rPr>
        <w:t> / m²</w:t>
      </w:r>
    </w:p>
    <w:p w14:paraId="09780755" w14:textId="77777777" w:rsidR="00DF410E" w:rsidRDefault="00CE7F43">
      <w:r>
        <w:rPr>
          <w:b/>
        </w:rPr>
        <w:t>(soit par défaut)</w:t>
      </w:r>
    </w:p>
    <w:p w14:paraId="5CBDF9B4" w14:textId="77777777" w:rsidR="00DF410E" w:rsidRDefault="00CE7F43">
      <w:r>
        <w:rPr>
          <w:rStyle w:val="soitChar"/>
        </w:rPr>
        <w:t>1. m³</w:t>
      </w:r>
    </w:p>
    <w:p w14:paraId="7F216692" w14:textId="77777777" w:rsidR="00DF410E" w:rsidRDefault="00CE7F43">
      <w:r>
        <w:rPr>
          <w:b/>
        </w:rPr>
        <w:t>(soit)</w:t>
      </w:r>
    </w:p>
    <w:p w14:paraId="3F68FCBB" w14:textId="77777777" w:rsidR="00DF410E" w:rsidRDefault="00CE7F43">
      <w:r>
        <w:rPr>
          <w:rStyle w:val="soitChar"/>
        </w:rPr>
        <w:t>2. m²</w:t>
      </w:r>
    </w:p>
    <w:p w14:paraId="39B457FE" w14:textId="77777777" w:rsidR="00DF410E" w:rsidRDefault="00CE7F43">
      <w:pPr>
        <w:pStyle w:val="pheading"/>
      </w:pPr>
      <w:r>
        <w:t>- code de mesurage:</w:t>
      </w:r>
    </w:p>
    <w:p w14:paraId="56A07EBE"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62B2633"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06550F0"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9DEDBEE" w14:textId="77777777" w:rsidR="00DF410E" w:rsidRDefault="00DF410E"/>
    <w:p w14:paraId="25A82403" w14:textId="77777777" w:rsidR="00DF410E" w:rsidRDefault="00CE7F43">
      <w:r>
        <w:rPr>
          <w:rStyle w:val="optioncarChar"/>
        </w:rPr>
        <w:t>Volume net </w:t>
      </w:r>
      <w:r>
        <w:t>(par défaut)</w:t>
      </w:r>
      <w:r>
        <w:rPr>
          <w:rStyle w:val="optioncarChar"/>
        </w:rPr>
        <w:t> / Surface nette</w:t>
      </w:r>
    </w:p>
    <w:p w14:paraId="3E7A45CE" w14:textId="77777777" w:rsidR="00DF410E" w:rsidRDefault="00CE7F43">
      <w:r>
        <w:rPr>
          <w:b/>
        </w:rPr>
        <w:t>(soit par défaut)</w:t>
      </w:r>
    </w:p>
    <w:p w14:paraId="73D4CAF2"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57AA152" w14:textId="77777777" w:rsidR="00DF410E" w:rsidRDefault="00CE7F43">
      <w:r>
        <w:rPr>
          <w:b/>
        </w:rPr>
        <w:t>(soit)</w:t>
      </w:r>
    </w:p>
    <w:p w14:paraId="0C8BA6ED"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48F874B" w14:textId="77777777" w:rsidR="00DF410E" w:rsidRDefault="00DF410E"/>
    <w:p w14:paraId="71464719" w14:textId="77777777" w:rsidR="00DF410E" w:rsidRDefault="00CE7F43">
      <w:r>
        <w:t> </w:t>
      </w:r>
    </w:p>
    <w:p w14:paraId="302277C7" w14:textId="77777777" w:rsidR="00DF410E" w:rsidRDefault="00CE7F43">
      <w:pPr>
        <w:pStyle w:val="pheading"/>
      </w:pPr>
      <w:r>
        <w:t>- nature du marché:</w:t>
      </w:r>
    </w:p>
    <w:p w14:paraId="3559E423" w14:textId="77777777" w:rsidR="00DF410E" w:rsidRDefault="00CE7F43">
      <w:r>
        <w:t>QF</w:t>
      </w:r>
    </w:p>
    <w:p w14:paraId="5491DA32" w14:textId="77777777" w:rsidR="00DF410E" w:rsidRDefault="00CE7F43">
      <w:pPr>
        <w:pStyle w:val="Author-eSectionHeading6"/>
      </w:pPr>
      <w:bookmarkStart w:id="50" w:name="_Toc178837317"/>
      <w:r>
        <w:t>21.12.4c Maçonneries portantes en blocs de béton creux à maçonner CCTB 01.12</w:t>
      </w:r>
      <w:bookmarkEnd w:id="50"/>
    </w:p>
    <w:p w14:paraId="7A6C94F0" w14:textId="77777777" w:rsidR="00DF410E" w:rsidRDefault="00CE7F43">
      <w:pPr>
        <w:pStyle w:val="pheading"/>
      </w:pPr>
      <w:r>
        <w:t>DESCRIPTION</w:t>
      </w:r>
    </w:p>
    <w:p w14:paraId="329AC728" w14:textId="77777777" w:rsidR="00DF410E" w:rsidRDefault="00CE7F43">
      <w:pPr>
        <w:pStyle w:val="pheading"/>
      </w:pPr>
      <w:r>
        <w:t>- Définition / Comprend</w:t>
      </w:r>
    </w:p>
    <w:p w14:paraId="76D708B1" w14:textId="77777777" w:rsidR="00DF410E" w:rsidRDefault="00CE7F43">
      <w:r>
        <w:t xml:space="preserve">Il s’agit de la fourniture et la pose de maçonneries portantes en blocs de béton creux à maçonner. </w:t>
      </w:r>
      <w:r>
        <w:br/>
        <w:t xml:space="preserve">La portée des travaux est décrite dans l’article </w:t>
      </w:r>
      <w:hyperlink w:anchor="369" w:history="1">
        <w:r>
          <w:t>21.12.4 Maçonneries portantes en blocs de béton</w:t>
        </w:r>
      </w:hyperlink>
      <w:r>
        <w:t>.</w:t>
      </w:r>
      <w:r>
        <w:br/>
        <w:t>Les travaux comprennent également la fourniture et la pose des pièces d’angle, de terminaison et de rencontre.</w:t>
      </w:r>
    </w:p>
    <w:p w14:paraId="3275733A" w14:textId="77777777" w:rsidR="00DF410E" w:rsidRDefault="00CE7F43">
      <w:pPr>
        <w:pStyle w:val="pheading"/>
      </w:pPr>
      <w:r>
        <w:t>- Localisation</w:t>
      </w:r>
    </w:p>
    <w:p w14:paraId="5ED23489" w14:textId="77777777" w:rsidR="00DF410E" w:rsidRDefault="00CE7F43">
      <w:r>
        <w:t xml:space="preserve">La pose est réalisée aux endroits suivants : </w:t>
      </w:r>
      <w:r>
        <w:rPr>
          <w:rStyle w:val="optioncarChar"/>
        </w:rPr>
        <w:t>***</w:t>
      </w:r>
      <w:r>
        <w:t>.</w:t>
      </w:r>
      <w:r>
        <w:br/>
        <w:t>Voir plans et métrés détaillés.</w:t>
      </w:r>
    </w:p>
    <w:p w14:paraId="41365C03" w14:textId="77777777" w:rsidR="00DF410E" w:rsidRDefault="00CE7F43">
      <w:pPr>
        <w:pStyle w:val="pheading"/>
      </w:pPr>
      <w:r>
        <w:t>MATÉRIAUX</w:t>
      </w:r>
    </w:p>
    <w:p w14:paraId="5D74BCAC" w14:textId="77777777" w:rsidR="00DF410E" w:rsidRDefault="00CE7F43">
      <w:pPr>
        <w:pStyle w:val="pheading"/>
      </w:pPr>
      <w:r>
        <w:t>- Caractéristiques générales</w:t>
      </w:r>
    </w:p>
    <w:p w14:paraId="62770DAA" w14:textId="77777777" w:rsidR="00DF410E" w:rsidRDefault="00CE7F43">
      <w:r>
        <w:rPr>
          <w:rStyle w:val="headingChar"/>
        </w:rPr>
        <w:t>Spécifications</w:t>
      </w:r>
    </w:p>
    <w:p w14:paraId="0C542447" w14:textId="77777777" w:rsidR="00DF410E" w:rsidRDefault="00CE7F43">
      <w:r>
        <w:rPr>
          <w:u w:val="single"/>
        </w:rPr>
        <w:t>Blocs</w:t>
      </w:r>
    </w:p>
    <w:p w14:paraId="13007264"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color w:val="000000"/>
        </w:rPr>
        <w:t>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3311B75"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 xml:space="preserve">Résistance au gel suivant les classes d’application MX… selon [NBN EN 1996-2 ANB] et [NIT 271]: </w:t>
      </w:r>
      <w:r>
        <w:rPr>
          <w:rStyle w:val="optioncarChar"/>
        </w:rPr>
        <w:t>sans résistance au gel / résistance normale au gel (MX3.1) </w:t>
      </w:r>
      <w:r>
        <w:t>(par défaut)</w:t>
      </w:r>
      <w:r>
        <w:rPr>
          <w:rStyle w:val="optioncarChar"/>
        </w:rPr>
        <w:t> / résistance élevée au gel (MX3.2)</w:t>
      </w:r>
      <w:r>
        <w:br/>
      </w:r>
      <w:r>
        <w:br/>
        <w:t xml:space="preserve">Réaction au feu : </w:t>
      </w:r>
      <w:r>
        <w:rPr>
          <w:rStyle w:val="optioncarChar"/>
        </w:rPr>
        <w:t>A1</w:t>
      </w:r>
      <w:r>
        <w:t xml:space="preserve"> (par défaut) </w:t>
      </w:r>
      <w:r>
        <w:rPr>
          <w:rStyle w:val="optioncarChar"/>
        </w:rPr>
        <w:t>/ ***</w:t>
      </w:r>
    </w:p>
    <w:p w14:paraId="5DF702A9" w14:textId="77777777" w:rsidR="00DF410E" w:rsidRDefault="00CE7F43">
      <w:pPr>
        <w:spacing w:before="0" w:after="0"/>
      </w:pPr>
      <w:r>
        <w:rPr>
          <w:u w:val="single"/>
        </w:rPr>
        <w:t>Mortier</w:t>
      </w:r>
    </w:p>
    <w:p w14:paraId="682DFF35" w14:textId="77777777" w:rsidR="00DF410E" w:rsidRDefault="00CE7F43">
      <w:pPr>
        <w:spacing w:before="0" w:after="0"/>
      </w:pPr>
      <w:r>
        <w:rPr>
          <w:rStyle w:val="normalChar"/>
          <w:color w:val="000000"/>
        </w:rPr>
        <w:t>Classe de résistance :</w:t>
      </w:r>
      <w:r>
        <w:rPr>
          <w:rStyle w:val="optioncarChar"/>
        </w:rPr>
        <w:t>M1 / M2,5 / M5</w:t>
      </w:r>
      <w:r>
        <w:t xml:space="preserve"> (par défaut) </w:t>
      </w:r>
      <w:r>
        <w:rPr>
          <w:rStyle w:val="optioncarChar"/>
        </w:rPr>
        <w:t xml:space="preserve">/ M10 / M15 / M20 </w:t>
      </w:r>
    </w:p>
    <w:p w14:paraId="47A49116"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0F5EC400" w14:textId="77777777" w:rsidR="00DF410E" w:rsidRDefault="00CE7F43">
      <w:pPr>
        <w:spacing w:before="0" w:after="0"/>
      </w:pPr>
      <w:r>
        <w:rPr>
          <w:rStyle w:val="normalChar"/>
          <w:color w:val="000000"/>
        </w:rPr>
        <w:t>Résistance au gel : oui</w:t>
      </w:r>
    </w:p>
    <w:p w14:paraId="4191E0A8" w14:textId="77777777" w:rsidR="00DF410E" w:rsidRDefault="00CE7F43">
      <w:r>
        <w:br/>
      </w:r>
      <w:r>
        <w:rPr>
          <w:rStyle w:val="headingChar"/>
        </w:rPr>
        <w:t>Critères De Performances De La Paroi</w:t>
      </w:r>
    </w:p>
    <w:p w14:paraId="146470C4" w14:textId="77777777" w:rsidR="00DF410E" w:rsidRDefault="00CE7F43">
      <w:r>
        <w:t>Coefficient de transmission :</w:t>
      </w:r>
    </w:p>
    <w:p w14:paraId="6C46B99C" w14:textId="77777777" w:rsidR="00DF410E" w:rsidRDefault="00CE7F43">
      <w:pPr>
        <w:pStyle w:val="Author-eListParagraph"/>
        <w:numPr>
          <w:ilvl w:val="0"/>
          <w:numId w:val="88"/>
        </w:numPr>
      </w:pPr>
      <w:r>
        <w:t xml:space="preserve">valeur U minimale de </w:t>
      </w:r>
      <w:r>
        <w:rPr>
          <w:rStyle w:val="optioncarChar"/>
        </w:rPr>
        <w:t>***</w:t>
      </w:r>
      <w:r>
        <w:t xml:space="preserve"> W/m²K</w:t>
      </w:r>
    </w:p>
    <w:p w14:paraId="704B8E87" w14:textId="77777777" w:rsidR="00DF410E" w:rsidRDefault="00CE7F43">
      <w:pPr>
        <w:pStyle w:val="Author-eListParagraph"/>
        <w:numPr>
          <w:ilvl w:val="0"/>
          <w:numId w:val="8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DA7D0CC" w14:textId="77777777" w:rsidR="00DF410E" w:rsidRDefault="00CE7F43">
      <w:r>
        <w:br/>
        <w:t>Résistance au feu :</w:t>
      </w:r>
    </w:p>
    <w:p w14:paraId="4A01F069" w14:textId="77777777" w:rsidR="00DF410E" w:rsidRDefault="00CE7F43">
      <w:pPr>
        <w:pStyle w:val="Author-eListParagraph"/>
        <w:numPr>
          <w:ilvl w:val="0"/>
          <w:numId w:val="89"/>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4770BEDE" w14:textId="77777777" w:rsidR="00DF410E" w:rsidRDefault="00CE7F43">
      <w:pPr>
        <w:pStyle w:val="Author-eListParagraph"/>
        <w:numPr>
          <w:ilvl w:val="0"/>
          <w:numId w:val="89"/>
        </w:numPr>
      </w:pPr>
      <w:r>
        <w:t xml:space="preserve">pour les éléments porteurs structurels avec fonction séparante : </w:t>
      </w:r>
      <w:r>
        <w:rPr>
          <w:rStyle w:val="optioncarChar"/>
        </w:rPr>
        <w:t xml:space="preserve">REI30 </w:t>
      </w:r>
      <w:r>
        <w:t>(par défaut) </w:t>
      </w:r>
      <w:r>
        <w:rPr>
          <w:rStyle w:val="optioncarChar"/>
        </w:rPr>
        <w:t xml:space="preserve">/ REI60 / REI90 / REI120 / REI*** </w:t>
      </w:r>
    </w:p>
    <w:p w14:paraId="4B571281" w14:textId="77777777" w:rsidR="00DF410E" w:rsidRDefault="00CE7F43">
      <w:r>
        <w:t>selon les tableaux dans [NBN EN 1996-1-2 ANB].</w:t>
      </w:r>
    </w:p>
    <w:p w14:paraId="666DC01E" w14:textId="77777777" w:rsidR="00DF410E" w:rsidRDefault="00DF410E"/>
    <w:p w14:paraId="1B703643" w14:textId="77777777" w:rsidR="00DF410E" w:rsidRDefault="00CE7F43">
      <w:r>
        <w:t> </w:t>
      </w:r>
    </w:p>
    <w:p w14:paraId="3ADE6961" w14:textId="77777777" w:rsidR="00DF410E" w:rsidRDefault="00CE7F43">
      <w:pPr>
        <w:pStyle w:val="pheading"/>
      </w:pPr>
      <w:r>
        <w:t>- Finitions</w:t>
      </w:r>
    </w:p>
    <w:p w14:paraId="017D7B32" w14:textId="77777777" w:rsidR="00DF410E" w:rsidRDefault="00CE7F43">
      <w:r>
        <w:t xml:space="preserve">Les faces de murs suivantes sont exécutées comme maçonneries apparentes et sont </w:t>
      </w:r>
      <w:r>
        <w:rPr>
          <w:rStyle w:val="optioncarChar"/>
        </w:rPr>
        <w:t xml:space="preserve">rejointoyées </w:t>
      </w:r>
      <w:r>
        <w:t xml:space="preserve">selon </w:t>
      </w:r>
      <w:hyperlink w:anchor="344"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p>
    <w:p w14:paraId="45EBCF2E" w14:textId="77777777" w:rsidR="00DF410E" w:rsidRDefault="00CE7F43">
      <w:pPr>
        <w:pStyle w:val="pheading"/>
      </w:pPr>
      <w:r>
        <w:t>MESURAGE</w:t>
      </w:r>
    </w:p>
    <w:p w14:paraId="02780363" w14:textId="77777777" w:rsidR="00DF410E" w:rsidRDefault="00CE7F43">
      <w:pPr>
        <w:pStyle w:val="pheading"/>
      </w:pPr>
      <w:r>
        <w:t>- unité de mesure:</w:t>
      </w:r>
    </w:p>
    <w:p w14:paraId="5126AC94" w14:textId="77777777" w:rsidR="00DF410E" w:rsidRDefault="00CE7F43">
      <w:r>
        <w:rPr>
          <w:rStyle w:val="optioncarChar"/>
        </w:rPr>
        <w:t>m³ </w:t>
      </w:r>
      <w:r>
        <w:t>(par défaut)</w:t>
      </w:r>
      <w:r>
        <w:rPr>
          <w:rStyle w:val="optioncarChar"/>
        </w:rPr>
        <w:t> / m²</w:t>
      </w:r>
    </w:p>
    <w:p w14:paraId="53B78BC6" w14:textId="77777777" w:rsidR="00DF410E" w:rsidRDefault="00CE7F43">
      <w:r>
        <w:rPr>
          <w:b/>
        </w:rPr>
        <w:t>(soit par défaut)</w:t>
      </w:r>
    </w:p>
    <w:p w14:paraId="437A0BE3" w14:textId="77777777" w:rsidR="00DF410E" w:rsidRDefault="00CE7F43">
      <w:r>
        <w:rPr>
          <w:rStyle w:val="soitChar"/>
        </w:rPr>
        <w:t>1. m³</w:t>
      </w:r>
    </w:p>
    <w:p w14:paraId="3C26DEF4" w14:textId="77777777" w:rsidR="00DF410E" w:rsidRDefault="00CE7F43">
      <w:r>
        <w:rPr>
          <w:b/>
        </w:rPr>
        <w:t>(soit)</w:t>
      </w:r>
    </w:p>
    <w:p w14:paraId="3A44082A" w14:textId="77777777" w:rsidR="00DF410E" w:rsidRDefault="00CE7F43">
      <w:r>
        <w:rPr>
          <w:rStyle w:val="soitChar"/>
        </w:rPr>
        <w:t>2. m²</w:t>
      </w:r>
    </w:p>
    <w:p w14:paraId="5EF9FEB6" w14:textId="77777777" w:rsidR="00DF410E" w:rsidRDefault="00CE7F43">
      <w:pPr>
        <w:pStyle w:val="pheading"/>
      </w:pPr>
      <w:r>
        <w:t>- code de mesurage:</w:t>
      </w:r>
    </w:p>
    <w:p w14:paraId="37AD6296"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1ABDF80"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9A9DE29"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4BC8843" w14:textId="77777777" w:rsidR="00DF410E" w:rsidRDefault="00DF410E"/>
    <w:p w14:paraId="5FC4431C" w14:textId="77777777" w:rsidR="00DF410E" w:rsidRDefault="00CE7F43">
      <w:r>
        <w:rPr>
          <w:rStyle w:val="optioncarChar"/>
        </w:rPr>
        <w:t>Volume net </w:t>
      </w:r>
      <w:r>
        <w:t>(par défaut)</w:t>
      </w:r>
      <w:r>
        <w:rPr>
          <w:rStyle w:val="optioncarChar"/>
        </w:rPr>
        <w:t> / Surface nette</w:t>
      </w:r>
    </w:p>
    <w:p w14:paraId="074F8209" w14:textId="77777777" w:rsidR="00DF410E" w:rsidRDefault="00CE7F43">
      <w:r>
        <w:rPr>
          <w:b/>
        </w:rPr>
        <w:t>(soit par défaut)</w:t>
      </w:r>
    </w:p>
    <w:p w14:paraId="103C4639"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35EBFF6" w14:textId="77777777" w:rsidR="00DF410E" w:rsidRDefault="00CE7F43">
      <w:r>
        <w:rPr>
          <w:b/>
        </w:rPr>
        <w:t>(soit)</w:t>
      </w:r>
    </w:p>
    <w:p w14:paraId="14F7369B"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AF6A40F" w14:textId="77777777" w:rsidR="00DF410E" w:rsidRDefault="00DF410E"/>
    <w:p w14:paraId="1300C5CB" w14:textId="77777777" w:rsidR="00DF410E" w:rsidRDefault="00CE7F43">
      <w:r>
        <w:t> </w:t>
      </w:r>
    </w:p>
    <w:p w14:paraId="1FB0B76B" w14:textId="77777777" w:rsidR="00DF410E" w:rsidRDefault="00CE7F43">
      <w:pPr>
        <w:pStyle w:val="pheading"/>
      </w:pPr>
      <w:r>
        <w:t>- nature du marché:</w:t>
      </w:r>
    </w:p>
    <w:p w14:paraId="59793FF6" w14:textId="77777777" w:rsidR="00DF410E" w:rsidRDefault="00CE7F43">
      <w:r>
        <w:t>QF</w:t>
      </w:r>
    </w:p>
    <w:p w14:paraId="1B97B422" w14:textId="77777777" w:rsidR="00DF410E" w:rsidRDefault="00CE7F43">
      <w:pPr>
        <w:pStyle w:val="Author-eSectionHeading6"/>
      </w:pPr>
      <w:bookmarkStart w:id="51" w:name="_Toc178837318"/>
      <w:r>
        <w:t>21.12.4d Maçonneries portantes en blocs de béton creux à coller CCTB 01.12</w:t>
      </w:r>
      <w:bookmarkEnd w:id="51"/>
    </w:p>
    <w:p w14:paraId="25E6482E" w14:textId="77777777" w:rsidR="00DF410E" w:rsidRDefault="00CE7F43">
      <w:pPr>
        <w:pStyle w:val="pheading"/>
      </w:pPr>
      <w:r>
        <w:t>DESCRIPTION</w:t>
      </w:r>
    </w:p>
    <w:p w14:paraId="0E6BDFA9" w14:textId="77777777" w:rsidR="00DF410E" w:rsidRDefault="00CE7F43">
      <w:pPr>
        <w:pStyle w:val="pheading"/>
      </w:pPr>
      <w:r>
        <w:t>- Définition / Comprend</w:t>
      </w:r>
    </w:p>
    <w:p w14:paraId="5B700CCB" w14:textId="77777777" w:rsidR="00DF410E" w:rsidRDefault="00CE7F43">
      <w:r>
        <w:t xml:space="preserve">Il s’agit de la fourniture et la pose de maçonneries portantes en blocs de béton creux à coller. </w:t>
      </w:r>
      <w:r>
        <w:br/>
        <w:t xml:space="preserve">La portée des travaux est décrite dans l’article </w:t>
      </w:r>
      <w:hyperlink w:anchor="369" w:history="1">
        <w:r>
          <w:t>21.12.4 Maçonneries portantes en blocs de béton</w:t>
        </w:r>
      </w:hyperlink>
      <w:r>
        <w:t>.</w:t>
      </w:r>
      <w:r>
        <w:br/>
        <w:t>Les travaux comprennent également la fourniture et la pose des pièces d’angle, de terminaison et de rencontre.</w:t>
      </w:r>
    </w:p>
    <w:p w14:paraId="74A79CA3" w14:textId="77777777" w:rsidR="00DF410E" w:rsidRDefault="00CE7F43">
      <w:pPr>
        <w:pStyle w:val="pheading"/>
      </w:pPr>
      <w:r>
        <w:t>- Localisation</w:t>
      </w:r>
    </w:p>
    <w:p w14:paraId="5D3111B3" w14:textId="77777777" w:rsidR="00DF410E" w:rsidRDefault="00CE7F43">
      <w:r>
        <w:t>La pose est réalisée aux endroits suivants :</w:t>
      </w:r>
      <w:r>
        <w:rPr>
          <w:rStyle w:val="optioncarChar"/>
        </w:rPr>
        <w:t xml:space="preserve"> ***</w:t>
      </w:r>
      <w:r>
        <w:t>.</w:t>
      </w:r>
      <w:r>
        <w:br/>
        <w:t>Voir plans et métrés détaillés.</w:t>
      </w:r>
    </w:p>
    <w:p w14:paraId="3E80DCDD" w14:textId="77777777" w:rsidR="00DF410E" w:rsidRDefault="00CE7F43">
      <w:pPr>
        <w:pStyle w:val="pheading"/>
      </w:pPr>
      <w:r>
        <w:t>MATÉRIAUX</w:t>
      </w:r>
    </w:p>
    <w:p w14:paraId="70A5E625" w14:textId="77777777" w:rsidR="00DF410E" w:rsidRDefault="00CE7F43">
      <w:pPr>
        <w:pStyle w:val="pheading"/>
      </w:pPr>
      <w:r>
        <w:t>- Caractéristiques générales</w:t>
      </w:r>
    </w:p>
    <w:p w14:paraId="277B0DCF" w14:textId="77777777" w:rsidR="00DF410E" w:rsidRDefault="00CE7F43">
      <w:r>
        <w:rPr>
          <w:rStyle w:val="headingChar"/>
        </w:rPr>
        <w:t>Spécifications</w:t>
      </w:r>
    </w:p>
    <w:p w14:paraId="36CD751F" w14:textId="77777777" w:rsidR="00DF410E" w:rsidRDefault="00CE7F43">
      <w:r>
        <w:rPr>
          <w:u w:val="single"/>
        </w:rPr>
        <w:t>Blocs</w:t>
      </w:r>
    </w:p>
    <w:p w14:paraId="03130593"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w:t>
      </w:r>
      <w:r>
        <w:rPr>
          <w:rStyle w:val="optioncarChar"/>
        </w:rPr>
        <w:t xml:space="preserve"> 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BC98DAE" w14:textId="77777777" w:rsidR="00DF410E" w:rsidRDefault="00CE7F43">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4E4D054F" w14:textId="77777777" w:rsidR="00DF410E" w:rsidRDefault="00CE7F43">
      <w:pPr>
        <w:spacing w:before="0" w:after="0"/>
      </w:pPr>
      <w:r>
        <w:rPr>
          <w:u w:val="single"/>
        </w:rPr>
        <w:t>Mortier</w:t>
      </w:r>
    </w:p>
    <w:p w14:paraId="7BD181E6"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2F716026" w14:textId="77777777" w:rsidR="00DF410E" w:rsidRDefault="00CE7F43">
      <w:pPr>
        <w:spacing w:before="0" w:after="0"/>
      </w:pPr>
      <w:r>
        <w:rPr>
          <w:rStyle w:val="normalChar"/>
          <w:color w:val="000000"/>
        </w:rPr>
        <w:t>Adhérence en cisaillement :</w:t>
      </w:r>
      <w:r>
        <w:rPr>
          <w:rStyle w:val="optioncarChar"/>
        </w:rPr>
        <w:t xml:space="preserve"> ≥ 0,10 N/mm² / ≥ 0,15 N/mm²</w:t>
      </w:r>
      <w:r>
        <w:t xml:space="preserve"> (par défaut)</w:t>
      </w:r>
      <w:r>
        <w:rPr>
          <w:rStyle w:val="optioncarChar"/>
        </w:rPr>
        <w:t xml:space="preserve"> / non spécifié / ***</w:t>
      </w:r>
    </w:p>
    <w:p w14:paraId="2B825491" w14:textId="77777777" w:rsidR="00DF410E" w:rsidRDefault="00CE7F43">
      <w:pPr>
        <w:spacing w:before="0" w:after="0"/>
      </w:pPr>
      <w:r>
        <w:rPr>
          <w:rStyle w:val="normalChar"/>
          <w:color w:val="000000"/>
        </w:rPr>
        <w:t>Résistance au gel : oui</w:t>
      </w:r>
    </w:p>
    <w:p w14:paraId="41F31272" w14:textId="77777777" w:rsidR="00DF410E" w:rsidRDefault="00CE7F43">
      <w:r>
        <w:br/>
      </w:r>
      <w:r>
        <w:rPr>
          <w:rStyle w:val="headingChar"/>
        </w:rPr>
        <w:t>Critères De Performances De La Paroi</w:t>
      </w:r>
    </w:p>
    <w:p w14:paraId="25177C1A" w14:textId="77777777" w:rsidR="00DF410E" w:rsidRDefault="00CE7F43">
      <w:r>
        <w:t>Coefficient de transmission :</w:t>
      </w:r>
    </w:p>
    <w:p w14:paraId="1100BF60" w14:textId="77777777" w:rsidR="00DF410E" w:rsidRDefault="00CE7F43">
      <w:pPr>
        <w:pStyle w:val="Author-eListParagraph"/>
        <w:numPr>
          <w:ilvl w:val="0"/>
          <w:numId w:val="90"/>
        </w:numPr>
      </w:pPr>
      <w:r>
        <w:t xml:space="preserve">valeur U minimale de </w:t>
      </w:r>
      <w:r>
        <w:rPr>
          <w:rStyle w:val="optioncarChar"/>
        </w:rPr>
        <w:t>***</w:t>
      </w:r>
      <w:r>
        <w:t xml:space="preserve"> W/m²K</w:t>
      </w:r>
    </w:p>
    <w:p w14:paraId="64BA75C1" w14:textId="77777777" w:rsidR="00DF410E" w:rsidRDefault="00CE7F43">
      <w:pPr>
        <w:pStyle w:val="Author-eListParagraph"/>
        <w:numPr>
          <w:ilvl w:val="0"/>
          <w:numId w:val="9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0444993" w14:textId="77777777" w:rsidR="00DF410E" w:rsidRDefault="00CE7F43">
      <w:r>
        <w:br/>
        <w:t>Résistance au feu :</w:t>
      </w:r>
    </w:p>
    <w:p w14:paraId="36C76BC9" w14:textId="77777777" w:rsidR="00DF410E" w:rsidRDefault="00CE7F43">
      <w:pPr>
        <w:pStyle w:val="Author-eListParagraph"/>
        <w:numPr>
          <w:ilvl w:val="0"/>
          <w:numId w:val="91"/>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1B7EE0A1" w14:textId="77777777" w:rsidR="00DF410E" w:rsidRDefault="00CE7F43">
      <w:pPr>
        <w:pStyle w:val="Author-eListParagraph"/>
        <w:numPr>
          <w:ilvl w:val="0"/>
          <w:numId w:val="91"/>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6D7C3576" w14:textId="77777777" w:rsidR="00DF410E" w:rsidRDefault="00CE7F43">
      <w:r>
        <w:t>selon les tableaux dans [NBN EN 1996-1-2 ANB].</w:t>
      </w:r>
    </w:p>
    <w:p w14:paraId="511BD9D1" w14:textId="77777777" w:rsidR="00DF410E" w:rsidRDefault="00DF410E"/>
    <w:p w14:paraId="347FFAC6" w14:textId="77777777" w:rsidR="00DF410E" w:rsidRDefault="00CE7F43">
      <w:r>
        <w:t> </w:t>
      </w:r>
    </w:p>
    <w:p w14:paraId="2CC43B39" w14:textId="77777777" w:rsidR="00DF410E" w:rsidRDefault="00CE7F43">
      <w:pPr>
        <w:pStyle w:val="pheading"/>
      </w:pPr>
      <w:r>
        <w:t>- Finitions</w:t>
      </w:r>
    </w:p>
    <w:p w14:paraId="7F20C382" w14:textId="77777777" w:rsidR="00DF410E" w:rsidRDefault="00DF410E"/>
    <w:p w14:paraId="26F94F35" w14:textId="77777777" w:rsidR="00DF410E" w:rsidRDefault="00CE7F43">
      <w:pPr>
        <w:pStyle w:val="Author-eListParagraph"/>
        <w:numPr>
          <w:ilvl w:val="0"/>
          <w:numId w:val="92"/>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45607D32" w14:textId="77777777" w:rsidR="00DF410E" w:rsidRDefault="00CE7F43">
      <w:pPr>
        <w:pStyle w:val="Author-eListParagraph"/>
        <w:numPr>
          <w:ilvl w:val="0"/>
          <w:numId w:val="92"/>
        </w:numPr>
      </w:pPr>
      <w:r>
        <w:t xml:space="preserve">Les murs suivants sont exécutés avec une face restant apparente : </w:t>
      </w:r>
      <w:r>
        <w:rPr>
          <w:rStyle w:val="optioncarChar"/>
        </w:rPr>
        <w:t>***</w:t>
      </w:r>
    </w:p>
    <w:p w14:paraId="21AFB1F2" w14:textId="77777777" w:rsidR="00DF410E" w:rsidRDefault="00CE7F43">
      <w:pPr>
        <w:pStyle w:val="Author-eListParagraph"/>
        <w:numPr>
          <w:ilvl w:val="0"/>
          <w:numId w:val="92"/>
        </w:numPr>
      </w:pPr>
      <w:r>
        <w:t xml:space="preserve">Les murs suivants sont exécutés avec deux faces restant apparentes : </w:t>
      </w:r>
      <w:r>
        <w:rPr>
          <w:rStyle w:val="optioncarChar"/>
        </w:rPr>
        <w:t>***</w:t>
      </w:r>
    </w:p>
    <w:p w14:paraId="6C4A4F07" w14:textId="77777777" w:rsidR="00DF410E" w:rsidRDefault="00CE7F43">
      <w:pPr>
        <w:pStyle w:val="pheading"/>
      </w:pPr>
      <w:r>
        <w:t>MESURAGE</w:t>
      </w:r>
    </w:p>
    <w:p w14:paraId="79C6AFA2" w14:textId="77777777" w:rsidR="00DF410E" w:rsidRDefault="00CE7F43">
      <w:pPr>
        <w:pStyle w:val="pheading"/>
      </w:pPr>
      <w:r>
        <w:t>- unité de mesure:</w:t>
      </w:r>
    </w:p>
    <w:p w14:paraId="564CCFDD" w14:textId="77777777" w:rsidR="00DF410E" w:rsidRDefault="00CE7F43">
      <w:r>
        <w:rPr>
          <w:rStyle w:val="optioncarChar"/>
        </w:rPr>
        <w:t>m³ </w:t>
      </w:r>
      <w:r>
        <w:t>(par défaut)</w:t>
      </w:r>
      <w:r>
        <w:rPr>
          <w:rStyle w:val="optioncarChar"/>
        </w:rPr>
        <w:t> / m²</w:t>
      </w:r>
    </w:p>
    <w:p w14:paraId="5BCF2E6B" w14:textId="77777777" w:rsidR="00DF410E" w:rsidRDefault="00CE7F43">
      <w:r>
        <w:rPr>
          <w:b/>
        </w:rPr>
        <w:t>(soit par défaut)</w:t>
      </w:r>
    </w:p>
    <w:p w14:paraId="3634B69C" w14:textId="77777777" w:rsidR="00DF410E" w:rsidRDefault="00CE7F43">
      <w:r>
        <w:rPr>
          <w:rStyle w:val="soitChar"/>
        </w:rPr>
        <w:t>1. m³</w:t>
      </w:r>
    </w:p>
    <w:p w14:paraId="1F4E3C31" w14:textId="77777777" w:rsidR="00DF410E" w:rsidRDefault="00CE7F43">
      <w:r>
        <w:rPr>
          <w:b/>
        </w:rPr>
        <w:t>(soit)</w:t>
      </w:r>
    </w:p>
    <w:p w14:paraId="1767DC26" w14:textId="77777777" w:rsidR="00DF410E" w:rsidRDefault="00CE7F43">
      <w:r>
        <w:rPr>
          <w:rStyle w:val="soitChar"/>
        </w:rPr>
        <w:t>2. m²</w:t>
      </w:r>
    </w:p>
    <w:p w14:paraId="06756810" w14:textId="77777777" w:rsidR="00DF410E" w:rsidRDefault="00CE7F43">
      <w:pPr>
        <w:pStyle w:val="pheading"/>
      </w:pPr>
      <w:r>
        <w:t>- code de mesurage:</w:t>
      </w:r>
    </w:p>
    <w:p w14:paraId="6125E183"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549452C"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6EF4FA5"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5CF62A8" w14:textId="77777777" w:rsidR="00DF410E" w:rsidRDefault="00DF410E"/>
    <w:p w14:paraId="00088839" w14:textId="77777777" w:rsidR="00DF410E" w:rsidRDefault="00CE7F43">
      <w:r>
        <w:rPr>
          <w:rStyle w:val="optioncarChar"/>
        </w:rPr>
        <w:t>Volume net </w:t>
      </w:r>
      <w:r>
        <w:t>(par défaut)</w:t>
      </w:r>
      <w:r>
        <w:rPr>
          <w:rStyle w:val="optioncarChar"/>
        </w:rPr>
        <w:t> / Surface nette</w:t>
      </w:r>
    </w:p>
    <w:p w14:paraId="625EA73B" w14:textId="77777777" w:rsidR="00DF410E" w:rsidRDefault="00CE7F43">
      <w:r>
        <w:rPr>
          <w:b/>
        </w:rPr>
        <w:t>(soit par défaut)</w:t>
      </w:r>
    </w:p>
    <w:p w14:paraId="644268EF"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2C092E1" w14:textId="77777777" w:rsidR="00DF410E" w:rsidRDefault="00CE7F43">
      <w:r>
        <w:rPr>
          <w:b/>
        </w:rPr>
        <w:t>(soit)</w:t>
      </w:r>
    </w:p>
    <w:p w14:paraId="10CFBDD3"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CB1F357" w14:textId="77777777" w:rsidR="00DF410E" w:rsidRDefault="00CE7F43">
      <w:pPr>
        <w:pStyle w:val="pheading"/>
      </w:pPr>
      <w:r>
        <w:t>- nature du marché:</w:t>
      </w:r>
    </w:p>
    <w:p w14:paraId="21D1001D" w14:textId="77777777" w:rsidR="00DF410E" w:rsidRDefault="00CE7F43">
      <w:r>
        <w:t>QF</w:t>
      </w:r>
    </w:p>
    <w:p w14:paraId="69FE1227" w14:textId="77777777" w:rsidR="00DF410E" w:rsidRDefault="00CE7F43">
      <w:pPr>
        <w:pStyle w:val="Author-eSectionHeading6"/>
      </w:pPr>
      <w:bookmarkStart w:id="52" w:name="_Toc178837319"/>
      <w:r>
        <w:t>21.12.4e Maçonneries portantes en blocs de béton avec système de dosage pour liant hydraulique CCTB 01.12</w:t>
      </w:r>
      <w:bookmarkEnd w:id="52"/>
    </w:p>
    <w:p w14:paraId="530B5628" w14:textId="77777777" w:rsidR="00DF410E" w:rsidRDefault="00CE7F43">
      <w:pPr>
        <w:pStyle w:val="pheading"/>
      </w:pPr>
      <w:r>
        <w:t>DESCRIPTION</w:t>
      </w:r>
    </w:p>
    <w:p w14:paraId="74F51D43" w14:textId="77777777" w:rsidR="00DF410E" w:rsidRDefault="00CE7F43">
      <w:pPr>
        <w:pStyle w:val="pheading"/>
      </w:pPr>
      <w:r>
        <w:t>- Définition / Comprend</w:t>
      </w:r>
    </w:p>
    <w:p w14:paraId="7A708048" w14:textId="77777777" w:rsidR="00DF410E" w:rsidRDefault="00CE7F43">
      <w:r>
        <w:t xml:space="preserve">Il s’agit de la fourniture et la pose de maçonneries portantes en blocs de béton avec système de dosage pur liant hydraulique. </w:t>
      </w:r>
      <w:r>
        <w:br/>
        <w:t xml:space="preserve">La portée des travaux est décrite dans l’article </w:t>
      </w:r>
      <w:hyperlink w:anchor="369" w:history="1">
        <w:r>
          <w:t>21.12.4 Maçonneries portantes en blocs de béton</w:t>
        </w:r>
      </w:hyperlink>
      <w:r>
        <w:t>.</w:t>
      </w:r>
      <w:r>
        <w:br/>
        <w:t>Les travaux comprennent également la fourniture et la pose des pièces d’angle, de terminaison et de rencontre.</w:t>
      </w:r>
    </w:p>
    <w:p w14:paraId="48F64E8E" w14:textId="77777777" w:rsidR="00DF410E" w:rsidRDefault="00CE7F43">
      <w:pPr>
        <w:pStyle w:val="pheading"/>
      </w:pPr>
      <w:r>
        <w:t>- Localisation</w:t>
      </w:r>
    </w:p>
    <w:p w14:paraId="2C3075EE" w14:textId="77777777" w:rsidR="00DF410E" w:rsidRDefault="00CE7F43">
      <w:r>
        <w:t xml:space="preserve">La pose est réalisée aux endroits suivants : </w:t>
      </w:r>
      <w:r>
        <w:rPr>
          <w:rStyle w:val="optioncarChar"/>
        </w:rPr>
        <w:t>***</w:t>
      </w:r>
      <w:r>
        <w:t>.</w:t>
      </w:r>
      <w:r>
        <w:br/>
        <w:t>Voir plans et métrés détaillés.</w:t>
      </w:r>
    </w:p>
    <w:p w14:paraId="5A28E4DB" w14:textId="77777777" w:rsidR="00DF410E" w:rsidRDefault="00CE7F43">
      <w:pPr>
        <w:pStyle w:val="pheading"/>
      </w:pPr>
      <w:r>
        <w:t>MATÉRIAUX</w:t>
      </w:r>
    </w:p>
    <w:p w14:paraId="6DE084A4" w14:textId="77777777" w:rsidR="00DF410E" w:rsidRDefault="00CE7F43">
      <w:pPr>
        <w:pStyle w:val="pheading"/>
      </w:pPr>
      <w:r>
        <w:t>- Caractéristiques générales</w:t>
      </w:r>
    </w:p>
    <w:p w14:paraId="594D74AC" w14:textId="77777777" w:rsidR="00DF410E" w:rsidRDefault="00CE7F43">
      <w:r>
        <w:rPr>
          <w:rStyle w:val="headingChar"/>
        </w:rPr>
        <w:t>Spécifications</w:t>
      </w:r>
    </w:p>
    <w:p w14:paraId="0B81D64F" w14:textId="77777777" w:rsidR="00DF410E" w:rsidRDefault="00CE7F43">
      <w:r>
        <w:rPr>
          <w:u w:val="single"/>
        </w:rPr>
        <w:t>Blocs</w:t>
      </w:r>
    </w:p>
    <w:p w14:paraId="0F0756CA"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w:t>
      </w:r>
      <w:r>
        <w:t>(par défaut)</w:t>
      </w:r>
      <w:r>
        <w:rPr>
          <w:rStyle w:val="optioncarChar"/>
        </w:rPr>
        <w:t xml:space="preserve">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w:t>
      </w:r>
      <w:r>
        <w:rPr>
          <w:rStyle w:val="optioncarChar"/>
        </w:rPr>
        <w:t xml:space="preserve"> lisse </w:t>
      </w:r>
      <w:r>
        <w:t>(par défaut)</w:t>
      </w:r>
      <w:r>
        <w:rPr>
          <w:rStyle w:val="optioncarChar"/>
        </w:rPr>
        <w:t xml:space="preserve"> / clivé / ***</w:t>
      </w:r>
      <w:r>
        <w:br/>
        <w:t>Face à cimenter ou plafonner :</w:t>
      </w:r>
      <w:r>
        <w:rPr>
          <w:rStyle w:val="optioncarChar"/>
          <w:color w:val="000000"/>
        </w:rPr>
        <w:t xml:space="preserve"> lisse</w:t>
      </w:r>
      <w:r>
        <w:br/>
        <w:t>Teinte :</w:t>
      </w:r>
      <w:r>
        <w:rPr>
          <w:rStyle w:val="optioncarChar"/>
        </w:rPr>
        <w:t xml:space="preserve"> blanc / gris </w:t>
      </w:r>
      <w:r>
        <w:t>(par défaut)</w:t>
      </w:r>
      <w:r>
        <w:rPr>
          <w:rStyle w:val="optioncarChar"/>
        </w:rPr>
        <w:t xml:space="preserve"> / ***</w:t>
      </w:r>
      <w:r>
        <w:br/>
      </w:r>
      <w:r>
        <w:br/>
        <w:t>Format : (L x l x h)</w:t>
      </w:r>
      <w:r>
        <w:rPr>
          <w:rStyle w:val="optioncarChar"/>
        </w:rPr>
        <w:t>: format modulaire proposé par l'entrepreneur (par défaut) / (290 / 300 / *** x 140 /150 / 190 / 200 / *** x 140 / 150 / 190 / 200 / *** ) mm</w:t>
      </w:r>
    </w:p>
    <w:p w14:paraId="27993ECE" w14:textId="77777777" w:rsidR="00DF410E" w:rsidRDefault="00CE7F43">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3D0B19E3" w14:textId="77777777" w:rsidR="00DF410E" w:rsidRDefault="00CE7F43">
      <w:pPr>
        <w:spacing w:before="0" w:after="0"/>
      </w:pPr>
      <w:r>
        <w:rPr>
          <w:u w:val="single"/>
        </w:rPr>
        <w:t>Mortier</w:t>
      </w:r>
    </w:p>
    <w:p w14:paraId="6DECE404"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33F46364" w14:textId="77777777" w:rsidR="00DF410E" w:rsidRDefault="00CE7F43">
      <w:r>
        <w:br/>
      </w:r>
      <w:r>
        <w:rPr>
          <w:rStyle w:val="headingChar"/>
        </w:rPr>
        <w:t>Critères De Performances De La Paroi</w:t>
      </w:r>
    </w:p>
    <w:p w14:paraId="4195C992" w14:textId="77777777" w:rsidR="00DF410E" w:rsidRDefault="00CE7F43">
      <w:r>
        <w:t>Coefficient de transmission :</w:t>
      </w:r>
    </w:p>
    <w:p w14:paraId="2A62C281" w14:textId="77777777" w:rsidR="00DF410E" w:rsidRDefault="00CE7F43">
      <w:pPr>
        <w:pStyle w:val="Author-eListParagraph"/>
        <w:numPr>
          <w:ilvl w:val="0"/>
          <w:numId w:val="93"/>
        </w:numPr>
      </w:pPr>
      <w:r>
        <w:t xml:space="preserve">valeur U minimale de </w:t>
      </w:r>
      <w:r>
        <w:rPr>
          <w:rStyle w:val="optioncarChar"/>
        </w:rPr>
        <w:t>***</w:t>
      </w:r>
      <w:r>
        <w:t xml:space="preserve"> W/m²K</w:t>
      </w:r>
    </w:p>
    <w:p w14:paraId="29CC87E3" w14:textId="77777777" w:rsidR="00DF410E" w:rsidRDefault="00CE7F43">
      <w:pPr>
        <w:pStyle w:val="Author-eListParagraph"/>
        <w:numPr>
          <w:ilvl w:val="0"/>
          <w:numId w:val="9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685CBB6" w14:textId="77777777" w:rsidR="00DF410E" w:rsidRDefault="00CE7F43">
      <w:r>
        <w:br/>
        <w:t>Résistance au feu :</w:t>
      </w:r>
    </w:p>
    <w:p w14:paraId="75E4BA17" w14:textId="77777777" w:rsidR="00DF410E" w:rsidRDefault="00CE7F43">
      <w:pPr>
        <w:pStyle w:val="Author-eListParagraph"/>
        <w:numPr>
          <w:ilvl w:val="0"/>
          <w:numId w:val="94"/>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62C3EE4D" w14:textId="77777777" w:rsidR="00DF410E" w:rsidRDefault="00CE7F43">
      <w:pPr>
        <w:pStyle w:val="Author-eListParagraph"/>
        <w:numPr>
          <w:ilvl w:val="0"/>
          <w:numId w:val="94"/>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1199FA2F" w14:textId="77777777" w:rsidR="00DF410E" w:rsidRDefault="00CE7F43">
      <w:r>
        <w:t>selon les tableaux dans [NBN EN 1996-1-2 ANB].</w:t>
      </w:r>
    </w:p>
    <w:p w14:paraId="5B1F9A5D" w14:textId="77777777" w:rsidR="00DF410E" w:rsidRDefault="00DF410E"/>
    <w:p w14:paraId="6671D1F3" w14:textId="77777777" w:rsidR="00DF410E" w:rsidRDefault="00CE7F43">
      <w:r>
        <w:t> </w:t>
      </w:r>
    </w:p>
    <w:p w14:paraId="37905442" w14:textId="77777777" w:rsidR="00DF410E" w:rsidRDefault="00CE7F43">
      <w:pPr>
        <w:pStyle w:val="pheading"/>
      </w:pPr>
      <w:r>
        <w:t>- Finitions</w:t>
      </w:r>
    </w:p>
    <w:p w14:paraId="36FD40EB" w14:textId="77777777" w:rsidR="00DF410E" w:rsidRDefault="00DF410E"/>
    <w:p w14:paraId="2CB04227" w14:textId="77777777" w:rsidR="00DF410E" w:rsidRDefault="00CE7F43">
      <w:pPr>
        <w:pStyle w:val="Author-eListParagraph"/>
        <w:numPr>
          <w:ilvl w:val="0"/>
          <w:numId w:val="95"/>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00E6904A" w14:textId="77777777" w:rsidR="00DF410E" w:rsidRDefault="00CE7F43">
      <w:pPr>
        <w:pStyle w:val="Author-eListParagraph"/>
        <w:numPr>
          <w:ilvl w:val="0"/>
          <w:numId w:val="95"/>
        </w:numPr>
      </w:pPr>
      <w:r>
        <w:t xml:space="preserve">Les murs suivants sont exécutés avec une face restant apparente : </w:t>
      </w:r>
      <w:r>
        <w:rPr>
          <w:rStyle w:val="optioncarChar"/>
        </w:rPr>
        <w:t>***</w:t>
      </w:r>
    </w:p>
    <w:p w14:paraId="283A0A40" w14:textId="77777777" w:rsidR="00DF410E" w:rsidRDefault="00CE7F43">
      <w:pPr>
        <w:pStyle w:val="Author-eListParagraph"/>
        <w:numPr>
          <w:ilvl w:val="0"/>
          <w:numId w:val="95"/>
        </w:numPr>
      </w:pPr>
      <w:r>
        <w:t xml:space="preserve">Les murs suivants sont exécutés avec deux faces restant apparentes : </w:t>
      </w:r>
      <w:r>
        <w:rPr>
          <w:rStyle w:val="optioncarChar"/>
        </w:rPr>
        <w:t>***</w:t>
      </w:r>
    </w:p>
    <w:p w14:paraId="55A808E6" w14:textId="77777777" w:rsidR="00DF410E" w:rsidRDefault="00DF410E"/>
    <w:p w14:paraId="2A6A481E" w14:textId="77777777" w:rsidR="00DF410E" w:rsidRDefault="00CE7F43">
      <w:r>
        <w:t> </w:t>
      </w:r>
    </w:p>
    <w:p w14:paraId="4A5D7FEA" w14:textId="77777777" w:rsidR="00DF410E" w:rsidRDefault="00CE7F43">
      <w:pPr>
        <w:pStyle w:val="pheading"/>
      </w:pPr>
      <w:r>
        <w:t>EXÉCUTION / MISE EN ŒUVRE</w:t>
      </w:r>
    </w:p>
    <w:p w14:paraId="000105C2" w14:textId="77777777" w:rsidR="00DF410E" w:rsidRDefault="00CE7F43">
      <w:pPr>
        <w:pStyle w:val="pheading"/>
      </w:pPr>
      <w:r>
        <w:t>- Notes d’exécution complémentaires</w:t>
      </w:r>
    </w:p>
    <w:p w14:paraId="42469D79" w14:textId="77777777" w:rsidR="00DF410E" w:rsidRDefault="00CE7F43">
      <w:r>
        <w:t>Le mortier utilisé est spécifique au concept et possède une grande résistance à la compression (&gt; 20 N/mm²).</w:t>
      </w:r>
    </w:p>
    <w:p w14:paraId="2A13F510" w14:textId="77777777" w:rsidR="00DF410E" w:rsidRDefault="00CE7F43">
      <w:pPr>
        <w:pStyle w:val="pheading"/>
      </w:pPr>
      <w:r>
        <w:t>MESURAGE</w:t>
      </w:r>
    </w:p>
    <w:p w14:paraId="5AAD40CD" w14:textId="77777777" w:rsidR="00DF410E" w:rsidRDefault="00CE7F43">
      <w:pPr>
        <w:pStyle w:val="pheading"/>
      </w:pPr>
      <w:r>
        <w:t>- unité de mesure:</w:t>
      </w:r>
    </w:p>
    <w:p w14:paraId="439BD815" w14:textId="77777777" w:rsidR="00DF410E" w:rsidRDefault="00CE7F43">
      <w:r>
        <w:rPr>
          <w:rStyle w:val="optioncarChar"/>
        </w:rPr>
        <w:t>m³ </w:t>
      </w:r>
      <w:r>
        <w:t>(par défaut)</w:t>
      </w:r>
      <w:r>
        <w:rPr>
          <w:rStyle w:val="optioncarChar"/>
        </w:rPr>
        <w:t> / m²</w:t>
      </w:r>
    </w:p>
    <w:p w14:paraId="4CBD6EC7" w14:textId="77777777" w:rsidR="00DF410E" w:rsidRDefault="00CE7F43">
      <w:r>
        <w:rPr>
          <w:b/>
        </w:rPr>
        <w:t>(soit par défaut)</w:t>
      </w:r>
    </w:p>
    <w:p w14:paraId="1A4F9745" w14:textId="77777777" w:rsidR="00DF410E" w:rsidRDefault="00CE7F43">
      <w:r>
        <w:rPr>
          <w:rStyle w:val="soitChar"/>
        </w:rPr>
        <w:t>1. m³</w:t>
      </w:r>
    </w:p>
    <w:p w14:paraId="7A6AF6C6" w14:textId="77777777" w:rsidR="00DF410E" w:rsidRDefault="00CE7F43">
      <w:r>
        <w:rPr>
          <w:b/>
        </w:rPr>
        <w:t>(soit)</w:t>
      </w:r>
    </w:p>
    <w:p w14:paraId="7489F96C" w14:textId="77777777" w:rsidR="00DF410E" w:rsidRDefault="00CE7F43">
      <w:r>
        <w:rPr>
          <w:rStyle w:val="soitChar"/>
        </w:rPr>
        <w:t>2. m²</w:t>
      </w:r>
    </w:p>
    <w:p w14:paraId="6C3288DC" w14:textId="77777777" w:rsidR="00DF410E" w:rsidRDefault="00CE7F43">
      <w:pPr>
        <w:pStyle w:val="pheading"/>
      </w:pPr>
      <w:r>
        <w:t>- code de mesurage:</w:t>
      </w:r>
    </w:p>
    <w:p w14:paraId="69B95E06"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75900FF"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7C87F0ED"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632C071" w14:textId="77777777" w:rsidR="00DF410E" w:rsidRDefault="00DF410E"/>
    <w:p w14:paraId="640D6AC4" w14:textId="77777777" w:rsidR="00DF410E" w:rsidRDefault="00CE7F43">
      <w:r>
        <w:rPr>
          <w:rStyle w:val="optioncarChar"/>
        </w:rPr>
        <w:t>Volume net </w:t>
      </w:r>
      <w:r>
        <w:t>(par défaut)</w:t>
      </w:r>
      <w:r>
        <w:rPr>
          <w:rStyle w:val="optioncarChar"/>
        </w:rPr>
        <w:t> / Surface nette</w:t>
      </w:r>
    </w:p>
    <w:p w14:paraId="71C5D87C" w14:textId="77777777" w:rsidR="00DF410E" w:rsidRDefault="00CE7F43">
      <w:r>
        <w:rPr>
          <w:b/>
        </w:rPr>
        <w:t>(soit par défaut)</w:t>
      </w:r>
    </w:p>
    <w:p w14:paraId="4E0F13D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379169E" w14:textId="77777777" w:rsidR="00DF410E" w:rsidRDefault="00CE7F43">
      <w:r>
        <w:rPr>
          <w:b/>
        </w:rPr>
        <w:t>(soit)</w:t>
      </w:r>
    </w:p>
    <w:p w14:paraId="47657A5F"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B147996" w14:textId="77777777" w:rsidR="00DF410E" w:rsidRDefault="00DF410E"/>
    <w:p w14:paraId="7B89389E" w14:textId="77777777" w:rsidR="00DF410E" w:rsidRDefault="00CE7F43">
      <w:r>
        <w:t> </w:t>
      </w:r>
    </w:p>
    <w:p w14:paraId="5A4E1064" w14:textId="77777777" w:rsidR="00DF410E" w:rsidRDefault="00CE7F43">
      <w:pPr>
        <w:pStyle w:val="pheading"/>
      </w:pPr>
      <w:r>
        <w:t>- nature du marché:</w:t>
      </w:r>
    </w:p>
    <w:p w14:paraId="7FD7A411" w14:textId="77777777" w:rsidR="00DF410E" w:rsidRDefault="00CE7F43">
      <w:r>
        <w:t>QF</w:t>
      </w:r>
    </w:p>
    <w:p w14:paraId="0EBE14EB" w14:textId="77777777" w:rsidR="00DF410E" w:rsidRDefault="00CE7F43">
      <w:pPr>
        <w:pStyle w:val="Author-eSectionHeading6"/>
      </w:pPr>
      <w:bookmarkStart w:id="53" w:name="_Toc178837320"/>
      <w:r>
        <w:t>21.12.4f Maçonneries portantes en blocs de béton acoustiques CCTB 01.12</w:t>
      </w:r>
      <w:bookmarkEnd w:id="53"/>
    </w:p>
    <w:p w14:paraId="2D352ED9" w14:textId="77777777" w:rsidR="00DF410E" w:rsidRDefault="00CE7F43">
      <w:pPr>
        <w:pStyle w:val="pheading"/>
      </w:pPr>
      <w:r>
        <w:t>DESCRIPTION</w:t>
      </w:r>
    </w:p>
    <w:p w14:paraId="6C530C80" w14:textId="77777777" w:rsidR="00DF410E" w:rsidRDefault="00CE7F43">
      <w:pPr>
        <w:pStyle w:val="pheading"/>
      </w:pPr>
      <w:r>
        <w:t>- Définition / Comprend</w:t>
      </w:r>
    </w:p>
    <w:p w14:paraId="49138A41" w14:textId="77777777" w:rsidR="00DF410E" w:rsidRDefault="00CE7F43">
      <w:r>
        <w:t xml:space="preserve">Il s’agit de la fourniture et la pose de maçonneries portantes en blocs de béton acoustiques. </w:t>
      </w:r>
      <w:r>
        <w:br/>
        <w:t xml:space="preserve">La portée des travaux est décrite dans l’article </w:t>
      </w:r>
      <w:hyperlink w:anchor="369" w:history="1">
        <w:r>
          <w:t>21.12.4 Maçonneries portantes en blocs de béton</w:t>
        </w:r>
      </w:hyperlink>
      <w:r>
        <w:t>.</w:t>
      </w:r>
      <w:r>
        <w:br/>
        <w:t>Les travaux comprennent également la fourniture et la pose des pièces d’angle, de terminaison et de rencontre.</w:t>
      </w:r>
    </w:p>
    <w:p w14:paraId="0DABADEB" w14:textId="77777777" w:rsidR="00DF410E" w:rsidRDefault="00CE7F43">
      <w:pPr>
        <w:pStyle w:val="pheading"/>
      </w:pPr>
      <w:r>
        <w:t>- Localisation</w:t>
      </w:r>
    </w:p>
    <w:p w14:paraId="0E3BBCBB" w14:textId="77777777" w:rsidR="00DF410E" w:rsidRDefault="00CE7F43">
      <w:r>
        <w:t>La pose est réalisée aux endroits suivants :</w:t>
      </w:r>
      <w:r>
        <w:rPr>
          <w:rStyle w:val="optioncarChar"/>
        </w:rPr>
        <w:t xml:space="preserve"> ***</w:t>
      </w:r>
      <w:r>
        <w:t>.</w:t>
      </w:r>
      <w:r>
        <w:br/>
        <w:t>Voir plans et métrés détaillés.</w:t>
      </w:r>
    </w:p>
    <w:p w14:paraId="24C419CB" w14:textId="77777777" w:rsidR="00DF410E" w:rsidRDefault="00CE7F43">
      <w:pPr>
        <w:pStyle w:val="pheading"/>
      </w:pPr>
      <w:r>
        <w:t>MATÉRIAUX</w:t>
      </w:r>
    </w:p>
    <w:p w14:paraId="121E3BA5" w14:textId="77777777" w:rsidR="00DF410E" w:rsidRDefault="00CE7F43">
      <w:pPr>
        <w:pStyle w:val="pheading"/>
      </w:pPr>
      <w:r>
        <w:t>- Caractéristiques générales</w:t>
      </w:r>
    </w:p>
    <w:p w14:paraId="2CE2D394" w14:textId="77777777" w:rsidR="00DF410E" w:rsidRDefault="00CE7F43">
      <w:r>
        <w:rPr>
          <w:rStyle w:val="headingChar"/>
        </w:rPr>
        <w:t>Spécifications</w:t>
      </w:r>
    </w:p>
    <w:p w14:paraId="14DB95CE" w14:textId="77777777" w:rsidR="00DF410E" w:rsidRDefault="00CE7F43">
      <w:r>
        <w:rPr>
          <w:u w:val="single"/>
        </w:rPr>
        <w:t>Blocs</w:t>
      </w:r>
    </w:p>
    <w:p w14:paraId="470ECCCA"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w:t>
      </w:r>
      <w:r>
        <w:t>(par défaut)</w:t>
      </w:r>
      <w:r>
        <w:rPr>
          <w:rStyle w:val="optioncarChar"/>
        </w:rPr>
        <w:t xml:space="preserve">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w:t>
      </w:r>
      <w:r>
        <w:rPr>
          <w:rStyle w:val="optioncarChar"/>
        </w:rPr>
        <w:t xml:space="preserve"> / assemblage à rainures et languettes / assemblage à rainures et poig</w:t>
      </w:r>
      <w:r>
        <w:t>nées</w:t>
      </w:r>
      <w:r>
        <w:br/>
        <w:t xml:space="preserve">Face qui reste visible : </w:t>
      </w:r>
      <w:r>
        <w:rPr>
          <w:rStyle w:val="optioncarChar"/>
        </w:rPr>
        <w:t>lisse </w:t>
      </w:r>
      <w:r>
        <w:t>(par défaut)</w:t>
      </w:r>
      <w:r>
        <w:rPr>
          <w:rStyle w:val="optioncarChar"/>
        </w:rPr>
        <w:t xml:space="preserve"> / clivé / ***</w:t>
      </w:r>
      <w:r>
        <w:br/>
        <w:t>Face à cimenter ou plafonner : lisse</w:t>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DD329C4"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p>
    <w:p w14:paraId="48F60983" w14:textId="77777777" w:rsidR="00DF410E" w:rsidRDefault="00CE7F43">
      <w:r>
        <w:t xml:space="preserve">Réaction au feu : </w:t>
      </w:r>
      <w:r>
        <w:rPr>
          <w:rStyle w:val="optioncarChar"/>
        </w:rPr>
        <w:t>A1</w:t>
      </w:r>
      <w:r>
        <w:t xml:space="preserve"> (par défaut) </w:t>
      </w:r>
      <w:r>
        <w:rPr>
          <w:rStyle w:val="optioncarChar"/>
        </w:rPr>
        <w:t>/ ***</w:t>
      </w:r>
    </w:p>
    <w:p w14:paraId="21D7C11B" w14:textId="77777777" w:rsidR="00DF410E" w:rsidRDefault="00CE7F43">
      <w:pPr>
        <w:spacing w:before="0" w:after="0"/>
      </w:pPr>
      <w:r>
        <w:rPr>
          <w:u w:val="single"/>
        </w:rPr>
        <w:t>Mortier</w:t>
      </w:r>
    </w:p>
    <w:p w14:paraId="6D17EC77"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49D79242"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E12BFB9" w14:textId="77777777" w:rsidR="00DF410E" w:rsidRDefault="00CE7F43">
      <w:pPr>
        <w:spacing w:before="0" w:after="0"/>
      </w:pPr>
      <w:r>
        <w:rPr>
          <w:rStyle w:val="normalChar"/>
          <w:color w:val="000000"/>
        </w:rPr>
        <w:t>Résistance au gel : oui</w:t>
      </w:r>
    </w:p>
    <w:p w14:paraId="6051FC90" w14:textId="77777777" w:rsidR="00DF410E" w:rsidRDefault="00CE7F43">
      <w:r>
        <w:br/>
      </w:r>
      <w:r>
        <w:rPr>
          <w:rStyle w:val="headingChar"/>
        </w:rPr>
        <w:t>Critères De Performances De La Paroi</w:t>
      </w:r>
    </w:p>
    <w:p w14:paraId="445310EE" w14:textId="77777777" w:rsidR="00DF410E" w:rsidRDefault="00CE7F43">
      <w:r>
        <w:t>Coefficient de transmission :</w:t>
      </w:r>
    </w:p>
    <w:p w14:paraId="41BD5486" w14:textId="77777777" w:rsidR="00DF410E" w:rsidRDefault="00CE7F43">
      <w:pPr>
        <w:pStyle w:val="Author-eListParagraph"/>
        <w:numPr>
          <w:ilvl w:val="0"/>
          <w:numId w:val="96"/>
        </w:numPr>
      </w:pPr>
      <w:r>
        <w:t xml:space="preserve">valeur U minimale de </w:t>
      </w:r>
      <w:r>
        <w:rPr>
          <w:rStyle w:val="optioncarChar"/>
        </w:rPr>
        <w:t>***</w:t>
      </w:r>
      <w:r>
        <w:t xml:space="preserve"> W/m²K</w:t>
      </w:r>
    </w:p>
    <w:p w14:paraId="17607F42" w14:textId="77777777" w:rsidR="00DF410E" w:rsidRDefault="00CE7F43">
      <w:pPr>
        <w:pStyle w:val="Author-eListParagraph"/>
        <w:numPr>
          <w:ilvl w:val="0"/>
          <w:numId w:val="9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BFED400" w14:textId="77777777" w:rsidR="00DF410E" w:rsidRDefault="00CE7F43">
      <w:r>
        <w:br/>
        <w:t>Résistance au feu :</w:t>
      </w:r>
    </w:p>
    <w:p w14:paraId="2A17F9B7" w14:textId="77777777" w:rsidR="00DF410E" w:rsidRDefault="00CE7F43">
      <w:pPr>
        <w:pStyle w:val="Author-eListParagraph"/>
        <w:numPr>
          <w:ilvl w:val="0"/>
          <w:numId w:val="97"/>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74D3A2BD" w14:textId="77777777" w:rsidR="00DF410E" w:rsidRDefault="00CE7F43">
      <w:pPr>
        <w:pStyle w:val="Author-eListParagraph"/>
        <w:numPr>
          <w:ilvl w:val="0"/>
          <w:numId w:val="97"/>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761734E0" w14:textId="77777777" w:rsidR="00DF410E" w:rsidRDefault="00CE7F43">
      <w:r>
        <w:t>selon les tableaux dans [NBN EN 1996-1-2 ANB].</w:t>
      </w:r>
    </w:p>
    <w:p w14:paraId="73547E44" w14:textId="77777777" w:rsidR="00DF410E" w:rsidRDefault="00DF410E"/>
    <w:p w14:paraId="0B7CF184" w14:textId="77777777" w:rsidR="00DF410E" w:rsidRDefault="00CE7F43">
      <w:r>
        <w:t> </w:t>
      </w:r>
    </w:p>
    <w:p w14:paraId="5349FD57" w14:textId="77777777" w:rsidR="00DF410E" w:rsidRDefault="00CE7F43">
      <w:pPr>
        <w:pStyle w:val="pheading"/>
      </w:pPr>
      <w:r>
        <w:t>- Finitions</w:t>
      </w:r>
    </w:p>
    <w:p w14:paraId="5888C8C6" w14:textId="77777777" w:rsidR="00DF410E" w:rsidRDefault="00DF410E"/>
    <w:p w14:paraId="128B296D" w14:textId="77777777" w:rsidR="00DF410E" w:rsidRDefault="00CE7F43">
      <w:pPr>
        <w:pStyle w:val="Author-eListParagraph"/>
        <w:numPr>
          <w:ilvl w:val="0"/>
          <w:numId w:val="98"/>
        </w:numPr>
      </w:pPr>
      <w:r>
        <w:rPr>
          <w:color w:val="000000"/>
        </w:rPr>
        <w:t xml:space="preserve">Les faces de murs suivantes sont exécutées comme maçonneries apparentes et sont rejointoyées selon </w:t>
      </w:r>
      <w:hyperlink w:anchor="344" w:history="1">
        <w:r>
          <w:rPr>
            <w:color w:val="000000"/>
          </w:rPr>
          <w:t>21.61.1b Joints de maçonnerie apparente</w:t>
        </w:r>
      </w:hyperlink>
      <w:r>
        <w:rPr>
          <w:color w:val="000000"/>
        </w:rPr>
        <w:t xml:space="preserve"> : </w:t>
      </w:r>
      <w:r>
        <w:rPr>
          <w:rStyle w:val="optioncarChar"/>
          <w:color w:val="000000"/>
        </w:rPr>
        <w:t>***</w:t>
      </w:r>
    </w:p>
    <w:p w14:paraId="7FC0F7BC" w14:textId="77777777" w:rsidR="00DF410E" w:rsidRDefault="00CE7F43">
      <w:pPr>
        <w:pStyle w:val="Author-eListParagraph"/>
        <w:numPr>
          <w:ilvl w:val="0"/>
          <w:numId w:val="98"/>
        </w:numPr>
      </w:pPr>
      <w:r>
        <w:rPr>
          <w:color w:val="000000"/>
        </w:rPr>
        <w:t xml:space="preserve">Les murs suivants sont exécutés avec une face restant apparente : </w:t>
      </w:r>
      <w:r>
        <w:rPr>
          <w:rStyle w:val="optioncarChar"/>
          <w:color w:val="000000"/>
        </w:rPr>
        <w:t>***</w:t>
      </w:r>
    </w:p>
    <w:p w14:paraId="28ECEFE5" w14:textId="77777777" w:rsidR="00DF410E" w:rsidRDefault="00CE7F43">
      <w:pPr>
        <w:pStyle w:val="Author-eListParagraph"/>
        <w:numPr>
          <w:ilvl w:val="0"/>
          <w:numId w:val="98"/>
        </w:numPr>
      </w:pPr>
      <w:r>
        <w:rPr>
          <w:color w:val="000000"/>
        </w:rPr>
        <w:t xml:space="preserve">Les murs suivants sont exécutés avec deux faces restant apparentes : </w:t>
      </w:r>
      <w:r>
        <w:rPr>
          <w:rStyle w:val="optioncarChar"/>
          <w:color w:val="000000"/>
        </w:rPr>
        <w:t>***</w:t>
      </w:r>
    </w:p>
    <w:p w14:paraId="24BBDCC4" w14:textId="77777777" w:rsidR="00DF410E" w:rsidRDefault="00CE7F43">
      <w:pPr>
        <w:pStyle w:val="pheading"/>
      </w:pPr>
      <w:r>
        <w:t>MESURAGE</w:t>
      </w:r>
    </w:p>
    <w:p w14:paraId="561103FF" w14:textId="77777777" w:rsidR="00DF410E" w:rsidRDefault="00CE7F43">
      <w:pPr>
        <w:pStyle w:val="pheading"/>
      </w:pPr>
      <w:r>
        <w:t>- unité de mesure:</w:t>
      </w:r>
    </w:p>
    <w:p w14:paraId="65D341B3" w14:textId="77777777" w:rsidR="00DF410E" w:rsidRDefault="00CE7F43">
      <w:r>
        <w:rPr>
          <w:rStyle w:val="optioncarChar"/>
        </w:rPr>
        <w:t>m³ </w:t>
      </w:r>
      <w:r>
        <w:t>(par défaut)</w:t>
      </w:r>
      <w:r>
        <w:rPr>
          <w:rStyle w:val="optioncarChar"/>
        </w:rPr>
        <w:t> / m²</w:t>
      </w:r>
    </w:p>
    <w:p w14:paraId="748C57BA" w14:textId="77777777" w:rsidR="00DF410E" w:rsidRDefault="00CE7F43">
      <w:r>
        <w:rPr>
          <w:b/>
        </w:rPr>
        <w:t>(soit par défaut)</w:t>
      </w:r>
    </w:p>
    <w:p w14:paraId="470E6365" w14:textId="77777777" w:rsidR="00DF410E" w:rsidRDefault="00CE7F43">
      <w:r>
        <w:rPr>
          <w:rStyle w:val="soitChar"/>
        </w:rPr>
        <w:t>1. m³</w:t>
      </w:r>
    </w:p>
    <w:p w14:paraId="0E07F808" w14:textId="77777777" w:rsidR="00DF410E" w:rsidRDefault="00CE7F43">
      <w:r>
        <w:rPr>
          <w:b/>
        </w:rPr>
        <w:t>(soit)</w:t>
      </w:r>
    </w:p>
    <w:p w14:paraId="62C2F251" w14:textId="77777777" w:rsidR="00DF410E" w:rsidRDefault="00CE7F43">
      <w:r>
        <w:rPr>
          <w:rStyle w:val="soitChar"/>
        </w:rPr>
        <w:t>2. m²</w:t>
      </w:r>
    </w:p>
    <w:p w14:paraId="6BD6FC18" w14:textId="77777777" w:rsidR="00DF410E" w:rsidRDefault="00CE7F43">
      <w:pPr>
        <w:pStyle w:val="pheading"/>
      </w:pPr>
      <w:r>
        <w:t>- code de mesurage:</w:t>
      </w:r>
    </w:p>
    <w:p w14:paraId="3192096C"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A8052DE"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7F7F84C"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3EFD59CB" w14:textId="77777777" w:rsidR="00DF410E" w:rsidRDefault="00DF410E"/>
    <w:p w14:paraId="186AA6F3" w14:textId="77777777" w:rsidR="00DF410E" w:rsidRDefault="00CE7F43">
      <w:r>
        <w:rPr>
          <w:rStyle w:val="optioncarChar"/>
        </w:rPr>
        <w:t>Volume net </w:t>
      </w:r>
      <w:r>
        <w:t>(par défaut)</w:t>
      </w:r>
      <w:r>
        <w:rPr>
          <w:rStyle w:val="optioncarChar"/>
        </w:rPr>
        <w:t> / Surface nette</w:t>
      </w:r>
    </w:p>
    <w:p w14:paraId="4E9388D3" w14:textId="77777777" w:rsidR="00DF410E" w:rsidRDefault="00CE7F43">
      <w:r>
        <w:rPr>
          <w:b/>
        </w:rPr>
        <w:t>(soit par défaut)</w:t>
      </w:r>
    </w:p>
    <w:p w14:paraId="0CF4EA9C"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AD921FD" w14:textId="77777777" w:rsidR="00DF410E" w:rsidRDefault="00CE7F43">
      <w:r>
        <w:rPr>
          <w:b/>
        </w:rPr>
        <w:t>(soit)</w:t>
      </w:r>
    </w:p>
    <w:p w14:paraId="66F9AD0A"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3705970" w14:textId="77777777" w:rsidR="00DF410E" w:rsidRDefault="00CE7F43">
      <w:pPr>
        <w:pStyle w:val="pheading"/>
      </w:pPr>
      <w:r>
        <w:t>- nature du marché:</w:t>
      </w:r>
    </w:p>
    <w:p w14:paraId="5823DA61" w14:textId="77777777" w:rsidR="00DF410E" w:rsidRDefault="00CE7F43">
      <w:r>
        <w:t>QF</w:t>
      </w:r>
    </w:p>
    <w:p w14:paraId="727D9A05" w14:textId="77777777" w:rsidR="00DF410E" w:rsidRDefault="00CE7F43">
      <w:pPr>
        <w:pStyle w:val="Author-eSectionHeading6"/>
      </w:pPr>
      <w:bookmarkStart w:id="54" w:name="_Toc178837321"/>
      <w:r>
        <w:t>21.12.4g Maçonneries portantes en blocs de coffrage en béton CCTB 01.11</w:t>
      </w:r>
      <w:bookmarkEnd w:id="54"/>
    </w:p>
    <w:p w14:paraId="578AA967" w14:textId="77777777" w:rsidR="00DF410E" w:rsidRDefault="00CE7F43">
      <w:pPr>
        <w:pStyle w:val="pheading"/>
      </w:pPr>
      <w:r>
        <w:t>DESCRIPTION</w:t>
      </w:r>
    </w:p>
    <w:p w14:paraId="7D91AA5B" w14:textId="77777777" w:rsidR="00DF410E" w:rsidRDefault="00CE7F43">
      <w:pPr>
        <w:pStyle w:val="pheading"/>
      </w:pPr>
      <w:r>
        <w:t>- Définition / Comprend</w:t>
      </w:r>
    </w:p>
    <w:p w14:paraId="5841725F" w14:textId="77777777" w:rsidR="00DF410E" w:rsidRDefault="00CE7F43">
      <w:r>
        <w:t xml:space="preserve">Il s’agit de la fourniture et la pose de maçonneries portantes en blocs de coffrage en béton. </w:t>
      </w:r>
      <w:r>
        <w:br/>
        <w:t xml:space="preserve">La portée des travaux est décrite dans l’article </w:t>
      </w:r>
      <w:hyperlink w:anchor="369" w:history="1">
        <w:r>
          <w:t>21.12.4 Maçonneries portantes en blocs de béton</w:t>
        </w:r>
      </w:hyperlink>
      <w:r>
        <w:t>.</w:t>
      </w:r>
      <w:r>
        <w:br/>
        <w:t>Les travaux comprennent également la fourniture et la pose des pièces d’angle, de terminaison et de rencontre.</w:t>
      </w:r>
    </w:p>
    <w:p w14:paraId="61CD9687" w14:textId="77777777" w:rsidR="00DF410E" w:rsidRDefault="00CE7F43">
      <w:pPr>
        <w:pStyle w:val="pheading"/>
      </w:pPr>
      <w:r>
        <w:t>- Localisation</w:t>
      </w:r>
    </w:p>
    <w:p w14:paraId="2714A817" w14:textId="77777777" w:rsidR="00DF410E" w:rsidRDefault="00CE7F43">
      <w:r>
        <w:t xml:space="preserve">La pose est réalisée aux endroits suivants : </w:t>
      </w:r>
      <w:r>
        <w:rPr>
          <w:rStyle w:val="optioncarChar"/>
        </w:rPr>
        <w:t>***</w:t>
      </w:r>
      <w:r>
        <w:t>.</w:t>
      </w:r>
      <w:r>
        <w:br/>
        <w:t>Voir plans et métrés détaillés.</w:t>
      </w:r>
    </w:p>
    <w:p w14:paraId="5E81352C" w14:textId="77777777" w:rsidR="00DF410E" w:rsidRDefault="00CE7F43">
      <w:pPr>
        <w:pStyle w:val="pheading"/>
      </w:pPr>
      <w:r>
        <w:t>MESURAGE</w:t>
      </w:r>
    </w:p>
    <w:p w14:paraId="1DE1C961" w14:textId="77777777" w:rsidR="00DF410E" w:rsidRDefault="00CE7F43">
      <w:pPr>
        <w:pStyle w:val="pheading"/>
      </w:pPr>
      <w:r>
        <w:t>- unité de mesure:</w:t>
      </w:r>
    </w:p>
    <w:p w14:paraId="79F75365" w14:textId="77777777" w:rsidR="00DF410E" w:rsidRDefault="00CE7F43">
      <w:r>
        <w:rPr>
          <w:rStyle w:val="optioncarChar"/>
        </w:rPr>
        <w:t>m³ </w:t>
      </w:r>
      <w:r>
        <w:t>(par défaut)</w:t>
      </w:r>
      <w:r>
        <w:rPr>
          <w:rStyle w:val="optioncarChar"/>
        </w:rPr>
        <w:t> / m²</w:t>
      </w:r>
    </w:p>
    <w:p w14:paraId="20473CA2" w14:textId="77777777" w:rsidR="00DF410E" w:rsidRDefault="00CE7F43">
      <w:r>
        <w:rPr>
          <w:b/>
        </w:rPr>
        <w:t>(soit par défaut)</w:t>
      </w:r>
    </w:p>
    <w:p w14:paraId="67EDDEE7" w14:textId="77777777" w:rsidR="00DF410E" w:rsidRDefault="00CE7F43">
      <w:r>
        <w:rPr>
          <w:rStyle w:val="soitChar"/>
        </w:rPr>
        <w:t>1. m³</w:t>
      </w:r>
    </w:p>
    <w:p w14:paraId="2B8D2BC5" w14:textId="77777777" w:rsidR="00DF410E" w:rsidRDefault="00CE7F43">
      <w:r>
        <w:rPr>
          <w:b/>
        </w:rPr>
        <w:t>(soit)</w:t>
      </w:r>
    </w:p>
    <w:p w14:paraId="61D4F4F6" w14:textId="77777777" w:rsidR="00DF410E" w:rsidRDefault="00CE7F43">
      <w:r>
        <w:rPr>
          <w:rStyle w:val="soitChar"/>
        </w:rPr>
        <w:t>2. m²</w:t>
      </w:r>
    </w:p>
    <w:p w14:paraId="41C67DC0" w14:textId="77777777" w:rsidR="00DF410E" w:rsidRDefault="00CE7F43">
      <w:pPr>
        <w:pStyle w:val="pheading"/>
      </w:pPr>
      <w:r>
        <w:t>- code de mesurage:</w:t>
      </w:r>
    </w:p>
    <w:p w14:paraId="76D2F64E"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63FFA16"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F69D943"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AC0ACD2" w14:textId="77777777" w:rsidR="00DF410E" w:rsidRDefault="00DF410E"/>
    <w:p w14:paraId="1CB2A0B9" w14:textId="77777777" w:rsidR="00DF410E" w:rsidRDefault="00CE7F43">
      <w:r>
        <w:rPr>
          <w:rStyle w:val="optioncarChar"/>
        </w:rPr>
        <w:t>Volume net </w:t>
      </w:r>
      <w:r>
        <w:t>(par défaut)</w:t>
      </w:r>
      <w:r>
        <w:rPr>
          <w:rStyle w:val="optioncarChar"/>
        </w:rPr>
        <w:t> / Surface nette</w:t>
      </w:r>
    </w:p>
    <w:p w14:paraId="0BCCA809" w14:textId="77777777" w:rsidR="00DF410E" w:rsidRDefault="00CE7F43">
      <w:r>
        <w:rPr>
          <w:b/>
        </w:rPr>
        <w:t>(soit par défaut)</w:t>
      </w:r>
    </w:p>
    <w:p w14:paraId="4557180B"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422F5E" w14:textId="77777777" w:rsidR="00DF410E" w:rsidRDefault="00CE7F43">
      <w:r>
        <w:rPr>
          <w:b/>
        </w:rPr>
        <w:t>(soit)</w:t>
      </w:r>
    </w:p>
    <w:p w14:paraId="3B200D07"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7A0A440" w14:textId="77777777" w:rsidR="00DF410E" w:rsidRDefault="00DF410E"/>
    <w:p w14:paraId="48CA1BDE" w14:textId="77777777" w:rsidR="00DF410E" w:rsidRDefault="00CE7F43">
      <w:r>
        <w:t> </w:t>
      </w:r>
    </w:p>
    <w:p w14:paraId="0C9BEDB7" w14:textId="77777777" w:rsidR="00DF410E" w:rsidRDefault="00CE7F43">
      <w:pPr>
        <w:pStyle w:val="pheading"/>
      </w:pPr>
      <w:r>
        <w:t>- nature du marché:</w:t>
      </w:r>
    </w:p>
    <w:p w14:paraId="54FB45B1" w14:textId="77777777" w:rsidR="00DF410E" w:rsidRDefault="00CE7F43">
      <w:r>
        <w:t>QF</w:t>
      </w:r>
    </w:p>
    <w:p w14:paraId="46AD8AB1" w14:textId="77777777" w:rsidR="00DF410E" w:rsidRDefault="00CE7F43">
      <w:pPr>
        <w:pStyle w:val="Author-eSectionHeading5"/>
      </w:pPr>
      <w:bookmarkStart w:id="55" w:name="_Toc178837322"/>
      <w:r>
        <w:t>21.12.5 Maçonneries portantes en blocs de silico-calcaire CCTB 01.11</w:t>
      </w:r>
      <w:bookmarkEnd w:id="55"/>
    </w:p>
    <w:p w14:paraId="0AAE77A7" w14:textId="77777777" w:rsidR="00DF410E" w:rsidRDefault="00CE7F43">
      <w:pPr>
        <w:pStyle w:val="pheading"/>
      </w:pPr>
      <w:bookmarkStart w:id="56" w:name="370"/>
      <w:bookmarkEnd w:id="56"/>
      <w:r>
        <w:t>MATÉRIAUX</w:t>
      </w:r>
    </w:p>
    <w:p w14:paraId="623102DB" w14:textId="77777777" w:rsidR="00DF410E" w:rsidRDefault="00CE7F43">
      <w:r>
        <w:t xml:space="preserve">Il s'agit des blocs en silico-calcaire, qui répondent à la norme [NBN EN 771-2+A1] et au [PTV 21-003]. L'entrepreneur soumet un échantillon, la fiche technique et la déclaration des performances (DoP) du matériau pour approbation à l'auteur de projet et au maître de l’ouvrage. </w:t>
      </w:r>
    </w:p>
    <w:p w14:paraId="0D476673" w14:textId="77777777" w:rsidR="00DF410E" w:rsidRDefault="00CE7F43">
      <w:pPr>
        <w:pStyle w:val="pheading"/>
      </w:pPr>
      <w:r>
        <w:t>EXÉCUTION / MISE EN ŒUVRE</w:t>
      </w:r>
    </w:p>
    <w:p w14:paraId="073209EB" w14:textId="77777777" w:rsidR="00DF410E" w:rsidRDefault="00CE7F43">
      <w:r>
        <w:rPr>
          <w:u w:val="single"/>
        </w:rPr>
        <w:t>-Prescriptions générales</w:t>
      </w:r>
    </w:p>
    <w:p w14:paraId="25B3426E" w14:textId="77777777" w:rsidR="00DF410E" w:rsidRDefault="00CE7F43">
      <w:r>
        <w:t xml:space="preserve">Eléments en silico-calcaire à utiliser : </w:t>
      </w:r>
      <w:r>
        <w:rPr>
          <w:rStyle w:val="optioncarChar"/>
        </w:rPr>
        <w:t>U (maçonnerie non protégée) </w:t>
      </w:r>
      <w:r>
        <w:t>(par défaut)</w:t>
      </w:r>
      <w:r>
        <w:rPr>
          <w:rStyle w:val="optioncarChar"/>
        </w:rPr>
        <w:t xml:space="preserve"> / P (maçonnerie protégée)</w:t>
      </w:r>
    </w:p>
    <w:p w14:paraId="6908496E" w14:textId="77777777" w:rsidR="00DF410E" w:rsidRDefault="00CE7F43">
      <w:r>
        <w:t xml:space="preserve">Conformément au mode de mise en œuvre, les blocs en silico-calcaire sont </w:t>
      </w:r>
      <w:r>
        <w:rPr>
          <w:rStyle w:val="optioncarChar"/>
        </w:rPr>
        <w:t>maçonnés au mortier</w:t>
      </w:r>
      <w:r>
        <w:t> (par défaut)</w:t>
      </w:r>
      <w:r>
        <w:rPr>
          <w:rStyle w:val="optioncarChar"/>
        </w:rPr>
        <w:t xml:space="preserve"> / collés à l’aide d’un mortier-colle</w:t>
      </w:r>
      <w:r>
        <w:t xml:space="preserve"> selon les indications du </w:t>
      </w:r>
      <w:r>
        <w:rPr>
          <w:rStyle w:val="optioncarChar"/>
        </w:rPr>
        <w:t>fabricant des blocs</w:t>
      </w:r>
      <w:r>
        <w:t xml:space="preserve"> (par défaut)</w:t>
      </w:r>
      <w:r>
        <w:rPr>
          <w:rStyle w:val="optioncarChar"/>
        </w:rPr>
        <w:t> / du fabricant de mortier</w:t>
      </w:r>
      <w:r>
        <w:t xml:space="preserve"> et des notes de calcul du bureau d’études.</w:t>
      </w:r>
    </w:p>
    <w:p w14:paraId="7DF5E822" w14:textId="77777777" w:rsidR="00DF410E" w:rsidRDefault="00CE7F43">
      <w:r>
        <w:t xml:space="preserve">Le mortier </w:t>
      </w:r>
      <w:r>
        <w:rPr>
          <w:rStyle w:val="optioncarChar"/>
        </w:rPr>
        <w:t>à coller/ à maçonner</w:t>
      </w:r>
      <w:r>
        <w:t xml:space="preserve"> (par défaut) (selon la norme [NBN EN 998-2] et le règlement d’application [TRA 651] ) répond à la catégorie : </w:t>
      </w:r>
      <w:r>
        <w:rPr>
          <w:rStyle w:val="optioncarChar"/>
        </w:rPr>
        <w:t xml:space="preserve">M5 / M10 </w:t>
      </w:r>
      <w:r>
        <w:rPr>
          <w:rStyle w:val="optioncarChar"/>
          <w:color w:val="000000"/>
        </w:rPr>
        <w:t xml:space="preserve">(par défaut) </w:t>
      </w:r>
      <w:r>
        <w:rPr>
          <w:rStyle w:val="optioncarChar"/>
        </w:rPr>
        <w:t>/ M15 / M20 / ***</w:t>
      </w:r>
    </w:p>
    <w:p w14:paraId="5DD7651F" w14:textId="77777777" w:rsidR="00DF410E" w:rsidRDefault="00CE7F43">
      <w:r>
        <w:t xml:space="preserve">L'épaisseur des joints est d'au moins </w:t>
      </w:r>
      <w:r>
        <w:rPr>
          <w:rStyle w:val="optioncarChar"/>
        </w:rPr>
        <w:t xml:space="preserve">10 </w:t>
      </w:r>
      <w:r>
        <w:t>(par défaut) </w:t>
      </w:r>
      <w:r>
        <w:rPr>
          <w:rStyle w:val="optioncarChar"/>
        </w:rPr>
        <w:t>/ ***</w:t>
      </w:r>
      <w:r>
        <w:t xml:space="preserve"> mm (tolérances suivant la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2B4F515F"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r>
        <w:t xml:space="preserve">. </w:t>
      </w:r>
      <w:r>
        <w:br/>
      </w:r>
      <w:r>
        <w:br/>
      </w:r>
      <w:r>
        <w:rPr>
          <w:u w:val="single"/>
        </w:rPr>
        <w:t>-Notes d'exécution complémentaires</w:t>
      </w:r>
    </w:p>
    <w:p w14:paraId="1CF16DB3" w14:textId="77777777" w:rsidR="00DF410E" w:rsidRDefault="00CE7F43">
      <w:r>
        <w:t>Pour les maçonneries destinées à rester apparentes, seuls des blocs non endommagés sont utilisés.</w:t>
      </w:r>
    </w:p>
    <w:p w14:paraId="750A2ABD" w14:textId="77777777" w:rsidR="00DF410E" w:rsidRDefault="00CE7F43">
      <w:r>
        <w:t xml:space="preserve">Les segments de murs sont pourvus d'armatures horizontales selon l'article </w:t>
      </w:r>
      <w:hyperlink w:anchor="355" w:history="1">
        <w:r>
          <w:t>21.41.1 Armatures horizontales pour maçonneries</w:t>
        </w:r>
      </w:hyperlink>
      <w:r>
        <w:t xml:space="preserve">. Les segments de murs sont pourvus d'armatures verticales selon l'article </w:t>
      </w:r>
      <w:hyperlink w:anchor="356" w:history="1">
        <w:r>
          <w:t>21.41.2 Armatures verticales pour maçonneries</w:t>
        </w:r>
      </w:hyperlink>
      <w:r>
        <w:t>.</w:t>
      </w:r>
    </w:p>
    <w:p w14:paraId="22169623"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578A91C2"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minimal</w:t>
      </w:r>
      <w:r>
        <w:rPr>
          <w:rStyle w:val="optioncarChar"/>
        </w:rPr>
        <w:t xml:space="preserve"> 3,5 </w:t>
      </w:r>
      <w:r>
        <w:t>(par défaut)</w:t>
      </w:r>
      <w:r>
        <w:rPr>
          <w:rStyle w:val="optioncarChar"/>
        </w:rPr>
        <w:t xml:space="preserve"> / ***</w:t>
      </w:r>
      <w:r>
        <w:t xml:space="preserve"> mm.</w:t>
      </w:r>
    </w:p>
    <w:p w14:paraId="7A069F88"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6B231F5C" w14:textId="77777777" w:rsidR="00DF410E" w:rsidRDefault="00CE7F43">
      <w:pPr>
        <w:pStyle w:val="pheading"/>
      </w:pPr>
      <w:r>
        <w:t>AIDE</w:t>
      </w:r>
    </w:p>
    <w:p w14:paraId="3D770F79" w14:textId="77777777" w:rsidR="00DF410E" w:rsidRDefault="00CE7F43">
      <w:r>
        <w:t>Note à l'attention de l'auteur du projet : pour le choix adéquat du mortier, se référer à la [STS 22 série].</w:t>
      </w:r>
    </w:p>
    <w:p w14:paraId="1B9962F6" w14:textId="77777777" w:rsidR="00DF410E" w:rsidRDefault="00CE7F43">
      <w:pPr>
        <w:pStyle w:val="Author-eSectionHeading6"/>
      </w:pPr>
      <w:bookmarkStart w:id="57" w:name="_Toc178837323"/>
      <w:r>
        <w:t>21.12.5a Maçonneries portantes en blocs de silico-calcaire creux à maçonner CCTB 01.12</w:t>
      </w:r>
      <w:bookmarkEnd w:id="57"/>
    </w:p>
    <w:p w14:paraId="66762E36" w14:textId="77777777" w:rsidR="00DF410E" w:rsidRDefault="00CE7F43">
      <w:pPr>
        <w:pStyle w:val="pheading"/>
      </w:pPr>
      <w:r>
        <w:t>DESCRIPTION</w:t>
      </w:r>
    </w:p>
    <w:p w14:paraId="5ED7CC52" w14:textId="77777777" w:rsidR="00DF410E" w:rsidRDefault="00CE7F43">
      <w:pPr>
        <w:pStyle w:val="pheading"/>
      </w:pPr>
      <w:r>
        <w:t>- Définition / Comprend</w:t>
      </w:r>
    </w:p>
    <w:p w14:paraId="17C6458D" w14:textId="77777777" w:rsidR="00DF410E" w:rsidRDefault="00CE7F43">
      <w:r>
        <w:t xml:space="preserve">Il s’agit de la fourniture et la pose de maçonneries portantes en blocs de silico-calcaire creux à maçonner. </w:t>
      </w:r>
      <w:r>
        <w:br/>
        <w:t xml:space="preserve">La portée des travaux est décrite dans l’article </w:t>
      </w:r>
      <w:hyperlink w:anchor="370" w:history="1">
        <w:r>
          <w:t>21.12.5 Maçonneries portantes en blocs de silico-calcaire</w:t>
        </w:r>
      </w:hyperlink>
      <w:r>
        <w:t>.</w:t>
      </w:r>
      <w:r>
        <w:br/>
        <w:t>Les travaux comprennent également la fourniture et la pose des pièces d’angle, de terminaison et de rencontre.</w:t>
      </w:r>
    </w:p>
    <w:p w14:paraId="2C66EAF2" w14:textId="77777777" w:rsidR="00DF410E" w:rsidRDefault="00CE7F43">
      <w:pPr>
        <w:pStyle w:val="pheading"/>
      </w:pPr>
      <w:r>
        <w:t>- Localisation</w:t>
      </w:r>
    </w:p>
    <w:p w14:paraId="03500CA7" w14:textId="77777777" w:rsidR="00DF410E" w:rsidRDefault="00CE7F43">
      <w:r>
        <w:t>La pose est réalisée aux endroits suivants :</w:t>
      </w:r>
      <w:r>
        <w:rPr>
          <w:rStyle w:val="optioncarChar"/>
        </w:rPr>
        <w:t xml:space="preserve"> ***</w:t>
      </w:r>
      <w:r>
        <w:t>.</w:t>
      </w:r>
      <w:r>
        <w:br/>
        <w:t>Voir plans et métrés détaillés.</w:t>
      </w:r>
    </w:p>
    <w:p w14:paraId="310201C4" w14:textId="77777777" w:rsidR="00DF410E" w:rsidRDefault="00CE7F43">
      <w:pPr>
        <w:pStyle w:val="pheading"/>
      </w:pPr>
      <w:r>
        <w:t>MATÉRIAUX</w:t>
      </w:r>
    </w:p>
    <w:p w14:paraId="350A7E4B" w14:textId="77777777" w:rsidR="00DF410E" w:rsidRDefault="00CE7F43">
      <w:pPr>
        <w:pStyle w:val="pheading"/>
      </w:pPr>
      <w:r>
        <w:t>- Caractéristiques générales</w:t>
      </w:r>
    </w:p>
    <w:p w14:paraId="6E9BD5AA" w14:textId="77777777" w:rsidR="00DF410E" w:rsidRDefault="00CE7F43">
      <w:r>
        <w:rPr>
          <w:rStyle w:val="headingChar"/>
        </w:rPr>
        <w:t>Spécifications</w:t>
      </w:r>
    </w:p>
    <w:p w14:paraId="6B60D377"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w:t>
      </w:r>
      <w:r>
        <w:t>(par défaut)</w:t>
      </w:r>
      <w:r>
        <w:rPr>
          <w:rStyle w:val="optioncarChar"/>
        </w:rPr>
        <w:t xml:space="preserve"> / ***</w:t>
      </w:r>
      <w:r>
        <w:br/>
      </w:r>
      <w:r>
        <w:br/>
        <w:t>La résistance en compression normalisée (f</w:t>
      </w:r>
      <w:r>
        <w:rPr>
          <w:vertAlign w:val="subscript"/>
        </w:rPr>
        <w:t>b</w:t>
      </w:r>
      <w:r>
        <w:t xml:space="preserve">) suivant [NBN EN 1996 série] est au minimum : </w:t>
      </w:r>
      <w:r>
        <w:rPr>
          <w:rStyle w:val="optioncarChar"/>
        </w:rPr>
        <w:t>5 / 10 / 15 </w:t>
      </w:r>
      <w:r>
        <w:rPr>
          <w:rStyle w:val="optioncarChar"/>
          <w:color w:val="000000"/>
        </w:rPr>
        <w:t>(par défaut)</w:t>
      </w:r>
      <w:r>
        <w:rPr>
          <w:rStyle w:val="optioncarChar"/>
        </w:rPr>
        <w:t xml:space="preserve">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w:t>
      </w:r>
      <w:r>
        <w:t>(par défaut)</w:t>
      </w:r>
      <w:r>
        <w:rPr>
          <w:rStyle w:val="optioncarChar"/>
        </w:rPr>
        <w:t xml:space="preserve"> / ***</w:t>
      </w:r>
      <w:r>
        <w:t xml:space="preserve"> kg/m³ (blocs creux) selon la [NBN EN 771-2+A1].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(290 / *** </w:t>
      </w:r>
      <w:r>
        <w:t>x</w:t>
      </w:r>
      <w:r>
        <w:rPr>
          <w:rStyle w:val="optioncarChar"/>
        </w:rPr>
        <w:t> 140 /190 ***</w:t>
      </w:r>
      <w:r>
        <w:t> x</w:t>
      </w:r>
      <w:r>
        <w:rPr>
          <w:rStyle w:val="optioncarChar"/>
        </w:rPr>
        <w:t> 140 / 190 ***</w:t>
      </w:r>
      <w:r>
        <w:t> ) mm</w:t>
      </w:r>
    </w:p>
    <w:p w14:paraId="7C9D6E0B" w14:textId="77777777" w:rsidR="00DF410E" w:rsidRDefault="00CE7F43">
      <w: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3E9398E7" w14:textId="77777777" w:rsidR="00DF410E" w:rsidRDefault="00CE7F43">
      <w:r>
        <w:t>Coefficient de transmission :</w:t>
      </w:r>
    </w:p>
    <w:p w14:paraId="3F5DA7F7" w14:textId="77777777" w:rsidR="00DF410E" w:rsidRDefault="00CE7F43">
      <w:pPr>
        <w:pStyle w:val="Author-eListParagraph"/>
        <w:numPr>
          <w:ilvl w:val="0"/>
          <w:numId w:val="99"/>
        </w:numPr>
      </w:pPr>
      <w:r>
        <w:t xml:space="preserve">valeur U minimale de </w:t>
      </w:r>
      <w:r>
        <w:rPr>
          <w:rStyle w:val="optioncarChar"/>
        </w:rPr>
        <w:t>***</w:t>
      </w:r>
      <w:r>
        <w:t xml:space="preserve"> W/m²K</w:t>
      </w:r>
    </w:p>
    <w:p w14:paraId="0701849A" w14:textId="77777777" w:rsidR="00DF410E" w:rsidRDefault="00CE7F43">
      <w:pPr>
        <w:pStyle w:val="Author-eListParagraph"/>
        <w:numPr>
          <w:ilvl w:val="0"/>
          <w:numId w:val="9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048C190" w14:textId="77777777" w:rsidR="00DF410E" w:rsidRDefault="00CE7F43">
      <w:r>
        <w:br/>
        <w:t>Résistance au feu :</w:t>
      </w:r>
    </w:p>
    <w:p w14:paraId="6236A54D" w14:textId="77777777" w:rsidR="00DF410E" w:rsidRDefault="00CE7F43">
      <w:pPr>
        <w:pStyle w:val="Author-eListParagraph"/>
        <w:numPr>
          <w:ilvl w:val="0"/>
          <w:numId w:val="100"/>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65705BB4" w14:textId="77777777" w:rsidR="00DF410E" w:rsidRDefault="00CE7F43">
      <w:pPr>
        <w:pStyle w:val="Author-eListParagraph"/>
        <w:numPr>
          <w:ilvl w:val="0"/>
          <w:numId w:val="100"/>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227AF557" w14:textId="77777777" w:rsidR="00DF410E" w:rsidRDefault="00CE7F43">
      <w:r>
        <w:t>selon les tableaux dans [NBN EN 1996-1-2 ANB].</w:t>
      </w:r>
    </w:p>
    <w:p w14:paraId="6222C220" w14:textId="77777777" w:rsidR="00DF410E" w:rsidRDefault="00CE7F43">
      <w:pPr>
        <w:pStyle w:val="pheading"/>
      </w:pPr>
      <w:r>
        <w:t>- Finitions</w:t>
      </w:r>
    </w:p>
    <w:p w14:paraId="6A7E3651" w14:textId="77777777" w:rsidR="00DF410E" w:rsidRDefault="00DF410E"/>
    <w:p w14:paraId="06F6A276" w14:textId="77777777" w:rsidR="00DF410E" w:rsidRDefault="00CE7F43">
      <w:pPr>
        <w:pStyle w:val="Author-eListParagraph"/>
        <w:numPr>
          <w:ilvl w:val="0"/>
          <w:numId w:val="101"/>
        </w:numPr>
      </w:pPr>
      <w:r>
        <w:t>Les faces de murs suivantes sont exécutées comme maçonneries apparentes et sont</w:t>
      </w:r>
      <w:r>
        <w:rPr>
          <w:rStyle w:val="optioncarChar"/>
          <w:color w:val="000000"/>
        </w:rPr>
        <w:t xml:space="preserve"> rejointoyées </w:t>
      </w:r>
      <w:r>
        <w:t xml:space="preserve">selon </w:t>
      </w:r>
      <w:hyperlink w:anchor="344" w:history="1">
        <w:r>
          <w:t>21.61.1b Joints de maçonnerie apparente</w:t>
        </w:r>
      </w:hyperlink>
      <w:r>
        <w:t xml:space="preserve"> : </w:t>
      </w:r>
      <w:r>
        <w:rPr>
          <w:rStyle w:val="optioncarChar"/>
        </w:rPr>
        <w:t>***</w:t>
      </w:r>
    </w:p>
    <w:p w14:paraId="3EC344F6" w14:textId="77777777" w:rsidR="00DF410E" w:rsidRDefault="00CE7F43">
      <w:pPr>
        <w:pStyle w:val="Author-eListParagraph"/>
        <w:numPr>
          <w:ilvl w:val="0"/>
          <w:numId w:val="101"/>
        </w:numPr>
      </w:pPr>
      <w:r>
        <w:t xml:space="preserve">Les murs suivants sont exécutés avec une face restant apparente : </w:t>
      </w:r>
      <w:r>
        <w:rPr>
          <w:rStyle w:val="optioncarChar"/>
        </w:rPr>
        <w:t>***</w:t>
      </w:r>
    </w:p>
    <w:p w14:paraId="64395EC4" w14:textId="77777777" w:rsidR="00DF410E" w:rsidRDefault="00CE7F43">
      <w:pPr>
        <w:pStyle w:val="Author-eListParagraph"/>
        <w:numPr>
          <w:ilvl w:val="0"/>
          <w:numId w:val="101"/>
        </w:numPr>
      </w:pPr>
      <w:r>
        <w:t xml:space="preserve">Les murs suivants sont exécutés avec deux faces restant apparentes : </w:t>
      </w:r>
      <w:r>
        <w:rPr>
          <w:rStyle w:val="optioncarChar"/>
        </w:rPr>
        <w:t>***</w:t>
      </w:r>
    </w:p>
    <w:p w14:paraId="07F57766"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6EF230A2" w14:textId="77777777" w:rsidR="00DF410E" w:rsidRDefault="00CE7F43">
      <w:r>
        <w:t> </w:t>
      </w:r>
    </w:p>
    <w:p w14:paraId="5C40B9FA" w14:textId="77777777" w:rsidR="00DF410E" w:rsidRDefault="00CE7F43">
      <w:r>
        <w:t> </w:t>
      </w:r>
    </w:p>
    <w:p w14:paraId="3A2B80DD" w14:textId="77777777" w:rsidR="00DF410E" w:rsidRDefault="00CE7F43">
      <w:pPr>
        <w:pStyle w:val="pheading"/>
      </w:pPr>
      <w:r>
        <w:t>MESURAGE</w:t>
      </w:r>
    </w:p>
    <w:p w14:paraId="31FB7E58" w14:textId="77777777" w:rsidR="00DF410E" w:rsidRDefault="00CE7F43">
      <w:pPr>
        <w:pStyle w:val="pheading"/>
      </w:pPr>
      <w:r>
        <w:t>- unité de mesure:</w:t>
      </w:r>
    </w:p>
    <w:p w14:paraId="182ACA91" w14:textId="77777777" w:rsidR="00DF410E" w:rsidRDefault="00CE7F43">
      <w:r>
        <w:rPr>
          <w:rStyle w:val="optioncarChar"/>
        </w:rPr>
        <w:t>m³ </w:t>
      </w:r>
      <w:r>
        <w:t>(par défaut)</w:t>
      </w:r>
      <w:r>
        <w:rPr>
          <w:rStyle w:val="optioncarChar"/>
        </w:rPr>
        <w:t> / m²</w:t>
      </w:r>
    </w:p>
    <w:p w14:paraId="3CA9D2ED" w14:textId="77777777" w:rsidR="00DF410E" w:rsidRDefault="00CE7F43">
      <w:r>
        <w:rPr>
          <w:b/>
        </w:rPr>
        <w:t>(soit par défaut)</w:t>
      </w:r>
    </w:p>
    <w:p w14:paraId="5A0D950E" w14:textId="77777777" w:rsidR="00DF410E" w:rsidRDefault="00CE7F43">
      <w:r>
        <w:rPr>
          <w:rStyle w:val="soitChar"/>
        </w:rPr>
        <w:t>1. m³</w:t>
      </w:r>
    </w:p>
    <w:p w14:paraId="561C1473" w14:textId="77777777" w:rsidR="00DF410E" w:rsidRDefault="00CE7F43">
      <w:r>
        <w:rPr>
          <w:b/>
        </w:rPr>
        <w:t>(soit)</w:t>
      </w:r>
    </w:p>
    <w:p w14:paraId="0E495BDE" w14:textId="77777777" w:rsidR="00DF410E" w:rsidRDefault="00CE7F43">
      <w:r>
        <w:rPr>
          <w:rStyle w:val="soitChar"/>
        </w:rPr>
        <w:t>2. m²</w:t>
      </w:r>
    </w:p>
    <w:p w14:paraId="2F561031" w14:textId="77777777" w:rsidR="00DF410E" w:rsidRDefault="00CE7F43">
      <w:pPr>
        <w:pStyle w:val="pheading"/>
      </w:pPr>
      <w:r>
        <w:t>- code de mesurage:</w:t>
      </w:r>
    </w:p>
    <w:p w14:paraId="13B7F8A7"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3CAD1C6"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6DE47C2"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873CB78" w14:textId="77777777" w:rsidR="00DF410E" w:rsidRDefault="00DF410E"/>
    <w:p w14:paraId="0D51AD50" w14:textId="77777777" w:rsidR="00DF410E" w:rsidRDefault="00CE7F43">
      <w:r>
        <w:rPr>
          <w:rStyle w:val="optioncarChar"/>
        </w:rPr>
        <w:t>Volume net </w:t>
      </w:r>
      <w:r>
        <w:t>(par défaut)</w:t>
      </w:r>
      <w:r>
        <w:rPr>
          <w:rStyle w:val="optioncarChar"/>
        </w:rPr>
        <w:t> / Surface nette</w:t>
      </w:r>
    </w:p>
    <w:p w14:paraId="11728D23" w14:textId="77777777" w:rsidR="00DF410E" w:rsidRDefault="00CE7F43">
      <w:r>
        <w:rPr>
          <w:b/>
        </w:rPr>
        <w:t>(soit par défaut)</w:t>
      </w:r>
    </w:p>
    <w:p w14:paraId="729D3E9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57746FB" w14:textId="77777777" w:rsidR="00DF410E" w:rsidRDefault="00CE7F43">
      <w:r>
        <w:rPr>
          <w:b/>
        </w:rPr>
        <w:t>(soit)</w:t>
      </w:r>
    </w:p>
    <w:p w14:paraId="1BEAC51B"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8985FF2" w14:textId="77777777" w:rsidR="00DF410E" w:rsidRDefault="00DF410E"/>
    <w:p w14:paraId="28A5972A" w14:textId="77777777" w:rsidR="00DF410E" w:rsidRDefault="00CE7F43">
      <w:r>
        <w:t> </w:t>
      </w:r>
    </w:p>
    <w:p w14:paraId="73A4EE56" w14:textId="77777777" w:rsidR="00DF410E" w:rsidRDefault="00CE7F43">
      <w:pPr>
        <w:pStyle w:val="pheading"/>
      </w:pPr>
      <w:r>
        <w:t>- nature du marché:</w:t>
      </w:r>
    </w:p>
    <w:p w14:paraId="19584F68" w14:textId="77777777" w:rsidR="00DF410E" w:rsidRDefault="00CE7F43">
      <w:r>
        <w:t>QF</w:t>
      </w:r>
    </w:p>
    <w:p w14:paraId="6BEB0D7D" w14:textId="77777777" w:rsidR="00DF410E" w:rsidRDefault="00CE7F43">
      <w:pPr>
        <w:pStyle w:val="Author-eSectionHeading6"/>
      </w:pPr>
      <w:bookmarkStart w:id="58" w:name="_Toc178837324"/>
      <w:r>
        <w:t>21.12.5b Maçonneries portantes en blocs de silico-calcaire pleins à coller CCTB 01.12</w:t>
      </w:r>
      <w:bookmarkEnd w:id="58"/>
    </w:p>
    <w:p w14:paraId="337163E8" w14:textId="77777777" w:rsidR="00DF410E" w:rsidRDefault="00CE7F43">
      <w:pPr>
        <w:pStyle w:val="pheading"/>
      </w:pPr>
      <w:r>
        <w:t>DESCRIPTION</w:t>
      </w:r>
    </w:p>
    <w:p w14:paraId="2012798D" w14:textId="77777777" w:rsidR="00DF410E" w:rsidRDefault="00CE7F43">
      <w:pPr>
        <w:pStyle w:val="pheading"/>
      </w:pPr>
      <w:r>
        <w:t>- Définition / Comprend</w:t>
      </w:r>
    </w:p>
    <w:p w14:paraId="7FCDC786" w14:textId="77777777" w:rsidR="00DF410E" w:rsidRDefault="00CE7F43">
      <w:r>
        <w:t xml:space="preserve">Il s’agit de la fourniture et la pose de maçonneries portantes en blocs de silico-calcaire pleins à coller. </w:t>
      </w:r>
      <w:r>
        <w:br/>
        <w:t xml:space="preserve">La portée des travaux est décrite dans l’article </w:t>
      </w:r>
      <w:hyperlink w:anchor="370" w:history="1">
        <w:r>
          <w:t>21.12.5 Maçonneries portantes en blocs de silico-calcaire</w:t>
        </w:r>
      </w:hyperlink>
      <w:r>
        <w:t>.</w:t>
      </w:r>
      <w:r>
        <w:br/>
        <w:t>Les travaux comprennent également la fourniture et la pose des pièces d’angle, de terminaison et de rencontre.</w:t>
      </w:r>
    </w:p>
    <w:p w14:paraId="146C4D74" w14:textId="77777777" w:rsidR="00DF410E" w:rsidRDefault="00CE7F43">
      <w:pPr>
        <w:pStyle w:val="pheading"/>
      </w:pPr>
      <w:r>
        <w:t>- Localisation</w:t>
      </w:r>
    </w:p>
    <w:p w14:paraId="19E412AA" w14:textId="77777777" w:rsidR="00DF410E" w:rsidRDefault="00CE7F43">
      <w:r>
        <w:t xml:space="preserve">La pose est réalisée aux endroits suivants : </w:t>
      </w:r>
      <w:r>
        <w:rPr>
          <w:rStyle w:val="optioncarChar"/>
        </w:rPr>
        <w:t>***</w:t>
      </w:r>
      <w:r>
        <w:t>.</w:t>
      </w:r>
      <w:r>
        <w:br/>
        <w:t>Voir plans et métrés détaillés.</w:t>
      </w:r>
    </w:p>
    <w:p w14:paraId="5DACCE16" w14:textId="77777777" w:rsidR="00DF410E" w:rsidRDefault="00CE7F43">
      <w:pPr>
        <w:pStyle w:val="pheading"/>
      </w:pPr>
      <w:r>
        <w:t>MATÉRIAUX</w:t>
      </w:r>
    </w:p>
    <w:p w14:paraId="496B0306" w14:textId="77777777" w:rsidR="00DF410E" w:rsidRDefault="00CE7F43">
      <w:pPr>
        <w:pStyle w:val="pheading"/>
      </w:pPr>
      <w:r>
        <w:t>- Caractéristiques générales</w:t>
      </w:r>
    </w:p>
    <w:p w14:paraId="295FDFA3" w14:textId="77777777" w:rsidR="00DF410E" w:rsidRDefault="00CE7F43">
      <w:r>
        <w:rPr>
          <w:rStyle w:val="headingChar"/>
        </w:rPr>
        <w:t>Spécifications</w:t>
      </w:r>
    </w:p>
    <w:p w14:paraId="5E133D9D"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25/1,8 / ***</w:t>
      </w:r>
      <w:r>
        <w:br/>
      </w:r>
      <w:r>
        <w:br/>
        <w:t>La résistance en compression normalisée (f</w:t>
      </w:r>
      <w:r>
        <w:rPr>
          <w:vertAlign w:val="subscript"/>
        </w:rPr>
        <w:t>b</w:t>
      </w:r>
      <w:r>
        <w:t>) suivant [NBN EN 1996 série] est au minimum :</w:t>
      </w:r>
      <w:r>
        <w:rPr>
          <w:rStyle w:val="optioncarChar"/>
        </w:rPr>
        <w:t xml:space="preserve"> 5 / 10 / 15 / 20 / 25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w:t>
      </w:r>
      <w:r>
        <w:rPr>
          <w:rStyle w:val="optioncarChar"/>
        </w:rPr>
        <w:t>1800 kg/m³ (blocs pleins)</w:t>
      </w:r>
      <w:r>
        <w:t xml:space="preserve"> (par défaut)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 </w:t>
      </w:r>
      <w:r>
        <w:rPr>
          <w:rStyle w:val="optioncarChar"/>
        </w:rPr>
        <w:t>150 / 200 / ***</w:t>
      </w:r>
      <w:r>
        <w:t> x</w:t>
      </w:r>
      <w:r>
        <w:rPr>
          <w:rStyle w:val="optioncarChar"/>
        </w:rPr>
        <w:t> 150 / 200 / ***</w:t>
      </w:r>
      <w:r>
        <w:t> ) mm</w:t>
      </w:r>
    </w:p>
    <w:p w14:paraId="232FA23A" w14:textId="77777777" w:rsidR="00DF410E" w:rsidRDefault="00CE7F43">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 xml:space="preserve">(par défaut) </w:t>
      </w:r>
      <w:r>
        <w:rPr>
          <w:rStyle w:val="optioncarChar"/>
        </w:rPr>
        <w:t>/ ***</w:t>
      </w:r>
      <w:r>
        <w:br/>
      </w:r>
      <w:r>
        <w:br/>
      </w:r>
      <w:r>
        <w:rPr>
          <w:rStyle w:val="headingChar"/>
        </w:rPr>
        <w:t>Critères De Performances De La Paroi</w:t>
      </w:r>
    </w:p>
    <w:p w14:paraId="756F5E03" w14:textId="77777777" w:rsidR="00DF410E" w:rsidRDefault="00CE7F43">
      <w:r>
        <w:t>Coefficient de transmission :</w:t>
      </w:r>
    </w:p>
    <w:p w14:paraId="4C769C37" w14:textId="77777777" w:rsidR="00DF410E" w:rsidRDefault="00CE7F43">
      <w:pPr>
        <w:pStyle w:val="Author-eListParagraph"/>
        <w:numPr>
          <w:ilvl w:val="0"/>
          <w:numId w:val="102"/>
        </w:numPr>
      </w:pPr>
      <w:r>
        <w:t xml:space="preserve">valeur U minimale de </w:t>
      </w:r>
      <w:r>
        <w:rPr>
          <w:rStyle w:val="optioncarChar"/>
        </w:rPr>
        <w:t>***</w:t>
      </w:r>
      <w:r>
        <w:t xml:space="preserve"> W/m²K</w:t>
      </w:r>
    </w:p>
    <w:p w14:paraId="7D53BF05" w14:textId="77777777" w:rsidR="00DF410E" w:rsidRDefault="00CE7F43">
      <w:pPr>
        <w:pStyle w:val="Author-eListParagraph"/>
        <w:numPr>
          <w:ilvl w:val="0"/>
          <w:numId w:val="10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0D4293E" w14:textId="77777777" w:rsidR="00DF410E" w:rsidRDefault="00CE7F43">
      <w:r>
        <w:br/>
        <w:t>Résistance au feu :</w:t>
      </w:r>
    </w:p>
    <w:p w14:paraId="363EDDE8" w14:textId="77777777" w:rsidR="00DF410E" w:rsidRDefault="00CE7F43">
      <w:pPr>
        <w:pStyle w:val="Author-eListParagraph"/>
        <w:numPr>
          <w:ilvl w:val="0"/>
          <w:numId w:val="10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24D3D178" w14:textId="77777777" w:rsidR="00DF410E" w:rsidRDefault="00CE7F43">
      <w:pPr>
        <w:pStyle w:val="Author-eListParagraph"/>
        <w:numPr>
          <w:ilvl w:val="0"/>
          <w:numId w:val="103"/>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6D17A74E" w14:textId="77777777" w:rsidR="00DF410E" w:rsidRDefault="00CE7F43">
      <w:r>
        <w:t>selon les tableaux dans [NBN EN 1996-1-2 ANB].</w:t>
      </w:r>
    </w:p>
    <w:p w14:paraId="3F7A5CD0" w14:textId="77777777" w:rsidR="00DF410E" w:rsidRDefault="00CE7F43">
      <w:pPr>
        <w:pStyle w:val="pheading"/>
      </w:pPr>
      <w:r>
        <w:t>- Finitions</w:t>
      </w:r>
    </w:p>
    <w:p w14:paraId="54476C9B" w14:textId="77777777" w:rsidR="00DF410E" w:rsidRDefault="00DF410E"/>
    <w:p w14:paraId="531E565E" w14:textId="77777777" w:rsidR="00DF410E" w:rsidRDefault="00CE7F43">
      <w:pPr>
        <w:pStyle w:val="Author-eListParagraph"/>
        <w:numPr>
          <w:ilvl w:val="0"/>
          <w:numId w:val="104"/>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4DE428BE" w14:textId="77777777" w:rsidR="00DF410E" w:rsidRDefault="00CE7F43">
      <w:pPr>
        <w:pStyle w:val="Author-eListParagraph"/>
        <w:numPr>
          <w:ilvl w:val="0"/>
          <w:numId w:val="104"/>
        </w:numPr>
      </w:pPr>
      <w:r>
        <w:t xml:space="preserve">Les murs suivants sont exécutés avec une face restant apparente : </w:t>
      </w:r>
      <w:r>
        <w:rPr>
          <w:rStyle w:val="optioncarChar"/>
        </w:rPr>
        <w:t>***</w:t>
      </w:r>
    </w:p>
    <w:p w14:paraId="44FBDDA3" w14:textId="77777777" w:rsidR="00DF410E" w:rsidRDefault="00CE7F43">
      <w:pPr>
        <w:pStyle w:val="Author-eListParagraph"/>
        <w:numPr>
          <w:ilvl w:val="0"/>
          <w:numId w:val="104"/>
        </w:numPr>
      </w:pPr>
      <w:r>
        <w:t xml:space="preserve">Les murs suivants sont exécutés avec deux faces restant apparentes : </w:t>
      </w:r>
      <w:r>
        <w:rPr>
          <w:rStyle w:val="optioncarChar"/>
        </w:rPr>
        <w:t>***</w:t>
      </w:r>
    </w:p>
    <w:p w14:paraId="0D727D2D"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7C38DB58" w14:textId="77777777" w:rsidR="00DF410E" w:rsidRDefault="00CE7F43">
      <w:pPr>
        <w:pStyle w:val="pheading"/>
      </w:pPr>
      <w:r>
        <w:t>MESURAGE</w:t>
      </w:r>
    </w:p>
    <w:p w14:paraId="2C43C16C" w14:textId="77777777" w:rsidR="00DF410E" w:rsidRDefault="00CE7F43">
      <w:pPr>
        <w:pStyle w:val="pheading"/>
      </w:pPr>
      <w:r>
        <w:t>- unité de mesure:</w:t>
      </w:r>
    </w:p>
    <w:p w14:paraId="3E6008DA" w14:textId="77777777" w:rsidR="00DF410E" w:rsidRDefault="00CE7F43">
      <w:r>
        <w:rPr>
          <w:rStyle w:val="optioncarChar"/>
        </w:rPr>
        <w:t>m³ </w:t>
      </w:r>
      <w:r>
        <w:t>(par défaut)</w:t>
      </w:r>
      <w:r>
        <w:rPr>
          <w:rStyle w:val="optioncarChar"/>
        </w:rPr>
        <w:t> / m²</w:t>
      </w:r>
    </w:p>
    <w:p w14:paraId="05406B04" w14:textId="77777777" w:rsidR="00DF410E" w:rsidRDefault="00CE7F43">
      <w:r>
        <w:rPr>
          <w:b/>
        </w:rPr>
        <w:t>(soit par défaut)</w:t>
      </w:r>
    </w:p>
    <w:p w14:paraId="13562770" w14:textId="77777777" w:rsidR="00DF410E" w:rsidRDefault="00CE7F43">
      <w:r>
        <w:rPr>
          <w:rStyle w:val="soitChar"/>
        </w:rPr>
        <w:t>1. m³</w:t>
      </w:r>
    </w:p>
    <w:p w14:paraId="6B33A2E4" w14:textId="77777777" w:rsidR="00DF410E" w:rsidRDefault="00CE7F43">
      <w:r>
        <w:rPr>
          <w:b/>
        </w:rPr>
        <w:t>(soit)</w:t>
      </w:r>
    </w:p>
    <w:p w14:paraId="36FCEF4D" w14:textId="77777777" w:rsidR="00DF410E" w:rsidRDefault="00CE7F43">
      <w:r>
        <w:rPr>
          <w:rStyle w:val="soitChar"/>
        </w:rPr>
        <w:t>2. m²</w:t>
      </w:r>
    </w:p>
    <w:p w14:paraId="20753B29" w14:textId="77777777" w:rsidR="00DF410E" w:rsidRDefault="00CE7F43">
      <w:pPr>
        <w:pStyle w:val="pheading"/>
      </w:pPr>
      <w:r>
        <w:t>- code de mesurage:</w:t>
      </w:r>
    </w:p>
    <w:p w14:paraId="4C6B53BC"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C7823D8"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803F96D"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B8489EA" w14:textId="77777777" w:rsidR="00DF410E" w:rsidRDefault="00DF410E"/>
    <w:p w14:paraId="76AB9C23" w14:textId="77777777" w:rsidR="00DF410E" w:rsidRDefault="00CE7F43">
      <w:r>
        <w:rPr>
          <w:rStyle w:val="optioncarChar"/>
        </w:rPr>
        <w:t>Volume net </w:t>
      </w:r>
      <w:r>
        <w:t>(par défaut)</w:t>
      </w:r>
      <w:r>
        <w:rPr>
          <w:rStyle w:val="optioncarChar"/>
        </w:rPr>
        <w:t> / Surface nette</w:t>
      </w:r>
    </w:p>
    <w:p w14:paraId="3091EB85" w14:textId="77777777" w:rsidR="00DF410E" w:rsidRDefault="00CE7F43">
      <w:r>
        <w:rPr>
          <w:b/>
        </w:rPr>
        <w:t>(soit par défaut)</w:t>
      </w:r>
    </w:p>
    <w:p w14:paraId="69050A15"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160AD63" w14:textId="77777777" w:rsidR="00DF410E" w:rsidRDefault="00CE7F43">
      <w:r>
        <w:rPr>
          <w:b/>
        </w:rPr>
        <w:t>(soit)</w:t>
      </w:r>
    </w:p>
    <w:p w14:paraId="74E855B3"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02CB0B6" w14:textId="77777777" w:rsidR="00DF410E" w:rsidRDefault="00CE7F43">
      <w:pPr>
        <w:pStyle w:val="pheading"/>
      </w:pPr>
      <w:r>
        <w:t>- nature du marché:</w:t>
      </w:r>
    </w:p>
    <w:p w14:paraId="1D83FEBA" w14:textId="77777777" w:rsidR="00DF410E" w:rsidRDefault="00CE7F43">
      <w:r>
        <w:t>QF</w:t>
      </w:r>
    </w:p>
    <w:p w14:paraId="6BCFD96B" w14:textId="77777777" w:rsidR="00DF410E" w:rsidRDefault="00CE7F43">
      <w:pPr>
        <w:pStyle w:val="Author-eSectionHeading6"/>
      </w:pPr>
      <w:bookmarkStart w:id="59" w:name="_Toc178837325"/>
      <w:r>
        <w:t>21.12.5c Maçonneries portantes en blocs de silico-calcaire creux à coller CCTB 01.12</w:t>
      </w:r>
      <w:bookmarkEnd w:id="59"/>
    </w:p>
    <w:p w14:paraId="1FD4D263" w14:textId="77777777" w:rsidR="00DF410E" w:rsidRDefault="00CE7F43">
      <w:pPr>
        <w:pStyle w:val="pheading"/>
      </w:pPr>
      <w:r>
        <w:t>DESCRIPTION</w:t>
      </w:r>
    </w:p>
    <w:p w14:paraId="4297E4D3" w14:textId="77777777" w:rsidR="00DF410E" w:rsidRDefault="00CE7F43">
      <w:pPr>
        <w:pStyle w:val="pheading"/>
      </w:pPr>
      <w:r>
        <w:t>- Définition / Comprend</w:t>
      </w:r>
    </w:p>
    <w:p w14:paraId="583249B8" w14:textId="77777777" w:rsidR="00DF410E" w:rsidRDefault="00CE7F43">
      <w:r>
        <w:t xml:space="preserve">Il s’agit de la fourniture et la pose de maçonneries portantes en blocs de silico-calcaire creux à coller. </w:t>
      </w:r>
      <w:r>
        <w:br/>
        <w:t xml:space="preserve">La portée des travaux est décrite dans l’article </w:t>
      </w:r>
      <w:hyperlink w:anchor="370" w:history="1">
        <w:r>
          <w:t>21.12.5 Maçonneries portantes en blocs de silico-calcaire</w:t>
        </w:r>
      </w:hyperlink>
      <w:r>
        <w:t>.</w:t>
      </w:r>
      <w:r>
        <w:br/>
        <w:t>Les travaux comprennent également la fourniture et la pose des pièces d’angle, de terminaison et de rencontre.</w:t>
      </w:r>
    </w:p>
    <w:p w14:paraId="1C42F43C" w14:textId="77777777" w:rsidR="00DF410E" w:rsidRDefault="00CE7F43">
      <w:pPr>
        <w:pStyle w:val="pheading"/>
      </w:pPr>
      <w:r>
        <w:t>- Localisation</w:t>
      </w:r>
    </w:p>
    <w:p w14:paraId="4FA053D9" w14:textId="77777777" w:rsidR="00DF410E" w:rsidRDefault="00CE7F43">
      <w:r>
        <w:t xml:space="preserve">La pose est réalisée aux endroits suivants : </w:t>
      </w:r>
      <w:r>
        <w:rPr>
          <w:rStyle w:val="optioncarChar"/>
        </w:rPr>
        <w:t>***</w:t>
      </w:r>
      <w:r>
        <w:t>.</w:t>
      </w:r>
      <w:r>
        <w:br/>
        <w:t>Voir plans et métrés détaillés.</w:t>
      </w:r>
    </w:p>
    <w:p w14:paraId="54BD928F" w14:textId="77777777" w:rsidR="00DF410E" w:rsidRDefault="00CE7F43">
      <w:pPr>
        <w:pStyle w:val="pheading"/>
      </w:pPr>
      <w:r>
        <w:t>MATÉRIAUX</w:t>
      </w:r>
    </w:p>
    <w:p w14:paraId="07AC52EA" w14:textId="77777777" w:rsidR="00DF410E" w:rsidRDefault="00CE7F43">
      <w:pPr>
        <w:pStyle w:val="pheading"/>
      </w:pPr>
      <w:r>
        <w:t>- Caractéristiques générales</w:t>
      </w:r>
    </w:p>
    <w:p w14:paraId="78F5A21D" w14:textId="77777777" w:rsidR="00DF410E" w:rsidRDefault="00CE7F43">
      <w:r>
        <w:rPr>
          <w:rStyle w:val="headingChar"/>
        </w:rPr>
        <w:t>Spécifications</w:t>
      </w:r>
    </w:p>
    <w:p w14:paraId="02591AD7"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w:t>
      </w:r>
      <w:r>
        <w:rPr>
          <w:rStyle w:val="optioncarChar"/>
          <w:color w:val="000000"/>
        </w:rPr>
        <w:t>(par défaut)</w:t>
      </w:r>
      <w:r>
        <w:rPr>
          <w:rStyle w:val="optioncarChar"/>
        </w:rPr>
        <w:t xml:space="preserve">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 </w:t>
      </w:r>
      <w:r>
        <w:rPr>
          <w:rStyle w:val="optioncarChar"/>
        </w:rPr>
        <w:t>150 / 200 / ***</w:t>
      </w:r>
      <w:r>
        <w:t> x</w:t>
      </w:r>
      <w:r>
        <w:rPr>
          <w:rStyle w:val="optioncarChar"/>
        </w:rPr>
        <w:t> 150 / 200 / ***</w:t>
      </w:r>
      <w:r>
        <w:t> ) mm </w:t>
      </w:r>
    </w:p>
    <w:p w14:paraId="2F675797" w14:textId="77777777" w:rsidR="00DF410E" w:rsidRDefault="00CE7F43">
      <w: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code </w:t>
      </w:r>
      <w:r>
        <w:rPr>
          <w:rStyle w:val="optioncarChar"/>
        </w:rPr>
        <w:t>A1 (exposé décoratif) / A2 (exposé)</w:t>
      </w:r>
      <w:r>
        <w:t> (par défaut)</w:t>
      </w:r>
      <w:r>
        <w:br/>
      </w:r>
      <w:r>
        <w:br/>
        <w:t xml:space="preserve">Résistance au gel suivant les classes d’application selon [NBN EN 1996-2 ANB] et [NIT 271]: </w:t>
      </w:r>
      <w:r>
        <w:rPr>
          <w:rStyle w:val="optioncarChar"/>
        </w:rPr>
        <w:t>classe F1 (MX3.1) </w:t>
      </w:r>
      <w:r>
        <w:t>(par défaut)</w:t>
      </w:r>
      <w:r>
        <w:rPr>
          <w:rStyle w:val="optioncarChar"/>
        </w:rPr>
        <w:t xml:space="preserve"> / classe F2 (MX3.2</w:t>
      </w:r>
      <w:r>
        <w:t>)</w:t>
      </w:r>
      <w:r>
        <w:br/>
      </w:r>
      <w:r>
        <w:br/>
        <w:t xml:space="preserve">Réaction au feu : </w:t>
      </w:r>
      <w:r>
        <w:rPr>
          <w:rStyle w:val="optioncarChar"/>
        </w:rPr>
        <w:t>A1</w:t>
      </w:r>
      <w:r>
        <w:t> (par défaut)</w:t>
      </w:r>
      <w:r>
        <w:rPr>
          <w:rStyle w:val="optioncarChar"/>
        </w:rPr>
        <w:t xml:space="preserve"> / ***</w:t>
      </w:r>
      <w:r>
        <w:br/>
      </w:r>
      <w:r>
        <w:br/>
      </w:r>
      <w:r>
        <w:rPr>
          <w:rStyle w:val="headingChar"/>
        </w:rPr>
        <w:t>Critères De Performances De La Paroi</w:t>
      </w:r>
    </w:p>
    <w:p w14:paraId="2A97F927" w14:textId="77777777" w:rsidR="00DF410E" w:rsidRDefault="00CE7F43">
      <w:r>
        <w:t>Coefficient de transmission :</w:t>
      </w:r>
    </w:p>
    <w:p w14:paraId="233E079D" w14:textId="77777777" w:rsidR="00DF410E" w:rsidRDefault="00CE7F43">
      <w:pPr>
        <w:pStyle w:val="Author-eListParagraph"/>
        <w:numPr>
          <w:ilvl w:val="0"/>
          <w:numId w:val="105"/>
        </w:numPr>
      </w:pPr>
      <w:r>
        <w:t xml:space="preserve">valeur U minimale de </w:t>
      </w:r>
      <w:r>
        <w:rPr>
          <w:rStyle w:val="optioncarChar"/>
        </w:rPr>
        <w:t>***</w:t>
      </w:r>
      <w:r>
        <w:t xml:space="preserve"> W/m²K</w:t>
      </w:r>
    </w:p>
    <w:p w14:paraId="1DB6DF97" w14:textId="77777777" w:rsidR="00DF410E" w:rsidRDefault="00CE7F43">
      <w:pPr>
        <w:pStyle w:val="Author-eListParagraph"/>
        <w:numPr>
          <w:ilvl w:val="0"/>
          <w:numId w:val="10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BAC5743" w14:textId="77777777" w:rsidR="00DF410E" w:rsidRDefault="00CE7F43">
      <w:r>
        <w:br/>
        <w:t>Résistance au feu :</w:t>
      </w:r>
    </w:p>
    <w:p w14:paraId="6D9C49AD" w14:textId="77777777" w:rsidR="00DF410E" w:rsidRDefault="00CE7F43">
      <w:pPr>
        <w:pStyle w:val="Author-eListParagraph"/>
        <w:numPr>
          <w:ilvl w:val="0"/>
          <w:numId w:val="10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FC375B9" w14:textId="77777777" w:rsidR="00DF410E" w:rsidRDefault="00CE7F43">
      <w:pPr>
        <w:pStyle w:val="Author-eListParagraph"/>
        <w:numPr>
          <w:ilvl w:val="0"/>
          <w:numId w:val="106"/>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2888080F" w14:textId="77777777" w:rsidR="00DF410E" w:rsidRDefault="00CE7F43">
      <w:r>
        <w:t>selon les tableaux dans [NBN EN 1996-1-2 ANB].</w:t>
      </w:r>
    </w:p>
    <w:p w14:paraId="05A9F6BA" w14:textId="77777777" w:rsidR="00DF410E" w:rsidRDefault="00DF410E"/>
    <w:p w14:paraId="646AF7CA" w14:textId="77777777" w:rsidR="00DF410E" w:rsidRDefault="00CE7F43">
      <w:r>
        <w:t> </w:t>
      </w:r>
    </w:p>
    <w:p w14:paraId="76B0DF64" w14:textId="77777777" w:rsidR="00DF410E" w:rsidRDefault="00CE7F43">
      <w:pPr>
        <w:pStyle w:val="pheading"/>
      </w:pPr>
      <w:r>
        <w:t>- Finitions</w:t>
      </w:r>
    </w:p>
    <w:p w14:paraId="7A76E574" w14:textId="77777777" w:rsidR="00DF410E" w:rsidRDefault="00DF410E"/>
    <w:p w14:paraId="3E4D8329" w14:textId="77777777" w:rsidR="00DF410E" w:rsidRDefault="00CE7F43">
      <w:pPr>
        <w:pStyle w:val="Author-eListParagraph"/>
        <w:numPr>
          <w:ilvl w:val="0"/>
          <w:numId w:val="107"/>
        </w:numPr>
      </w:pPr>
      <w:r>
        <w:t>Les faces de murs suivantes sont exécutées comme maçonneries apparentes et sont</w:t>
      </w:r>
      <w:r>
        <w:rPr>
          <w:rStyle w:val="optioncarChar"/>
          <w:color w:val="000000"/>
        </w:rPr>
        <w:t xml:space="preserve"> rejointoyées</w:t>
      </w:r>
      <w:r>
        <w:t xml:space="preserve"> selon </w:t>
      </w:r>
      <w:hyperlink w:anchor="344" w:history="1">
        <w:r>
          <w:t>21.61.1b Joints de maçonnerie apparente</w:t>
        </w:r>
      </w:hyperlink>
      <w:r>
        <w:t xml:space="preserve"> : </w:t>
      </w:r>
      <w:r>
        <w:rPr>
          <w:rStyle w:val="optioncarChar"/>
        </w:rPr>
        <w:t>***</w:t>
      </w:r>
    </w:p>
    <w:p w14:paraId="3EAD84A6" w14:textId="77777777" w:rsidR="00DF410E" w:rsidRDefault="00CE7F43">
      <w:pPr>
        <w:pStyle w:val="Author-eListParagraph"/>
        <w:numPr>
          <w:ilvl w:val="0"/>
          <w:numId w:val="107"/>
        </w:numPr>
      </w:pPr>
      <w:r>
        <w:t xml:space="preserve">Les murs suivants sont exécutés avec une face restant apparente : </w:t>
      </w:r>
      <w:r>
        <w:rPr>
          <w:rStyle w:val="optioncarChar"/>
        </w:rPr>
        <w:t>***</w:t>
      </w:r>
    </w:p>
    <w:p w14:paraId="21C6BC75" w14:textId="77777777" w:rsidR="00DF410E" w:rsidRDefault="00CE7F43">
      <w:pPr>
        <w:pStyle w:val="Author-eListParagraph"/>
        <w:numPr>
          <w:ilvl w:val="0"/>
          <w:numId w:val="107"/>
        </w:numPr>
      </w:pPr>
      <w:r>
        <w:t xml:space="preserve">Les murs suivants sont exécutés avec deux faces restant apparentes : </w:t>
      </w:r>
      <w:r>
        <w:rPr>
          <w:rStyle w:val="optioncarChar"/>
        </w:rPr>
        <w:t>***</w:t>
      </w:r>
    </w:p>
    <w:p w14:paraId="60389A69"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76889A0A" w14:textId="77777777" w:rsidR="00DF410E" w:rsidRDefault="00CE7F43">
      <w:pPr>
        <w:pStyle w:val="pheading"/>
      </w:pPr>
      <w:r>
        <w:t>MESURAGE</w:t>
      </w:r>
    </w:p>
    <w:p w14:paraId="718A610C" w14:textId="77777777" w:rsidR="00DF410E" w:rsidRDefault="00CE7F43">
      <w:pPr>
        <w:pStyle w:val="pheading"/>
      </w:pPr>
      <w:r>
        <w:t>- unité de mesure:</w:t>
      </w:r>
    </w:p>
    <w:p w14:paraId="64BA0D75" w14:textId="77777777" w:rsidR="00DF410E" w:rsidRDefault="00CE7F43">
      <w:r>
        <w:rPr>
          <w:rStyle w:val="optioncarChar"/>
        </w:rPr>
        <w:t>m³ </w:t>
      </w:r>
      <w:r>
        <w:t>(par défaut)</w:t>
      </w:r>
      <w:r>
        <w:rPr>
          <w:rStyle w:val="optioncarChar"/>
        </w:rPr>
        <w:t> / m²</w:t>
      </w:r>
    </w:p>
    <w:p w14:paraId="50A32455" w14:textId="77777777" w:rsidR="00DF410E" w:rsidRDefault="00CE7F43">
      <w:r>
        <w:rPr>
          <w:b/>
        </w:rPr>
        <w:t>(soit par défaut)</w:t>
      </w:r>
    </w:p>
    <w:p w14:paraId="1DB5C120" w14:textId="77777777" w:rsidR="00DF410E" w:rsidRDefault="00CE7F43">
      <w:r>
        <w:rPr>
          <w:rStyle w:val="soitChar"/>
        </w:rPr>
        <w:t>1. m³</w:t>
      </w:r>
    </w:p>
    <w:p w14:paraId="60BE9FD8" w14:textId="77777777" w:rsidR="00DF410E" w:rsidRDefault="00CE7F43">
      <w:r>
        <w:rPr>
          <w:b/>
        </w:rPr>
        <w:t>(soit)</w:t>
      </w:r>
    </w:p>
    <w:p w14:paraId="0C071CA8" w14:textId="77777777" w:rsidR="00DF410E" w:rsidRDefault="00CE7F43">
      <w:r>
        <w:rPr>
          <w:rStyle w:val="soitChar"/>
        </w:rPr>
        <w:t>2. m²</w:t>
      </w:r>
    </w:p>
    <w:p w14:paraId="07E2FDD3" w14:textId="77777777" w:rsidR="00DF410E" w:rsidRDefault="00CE7F43">
      <w:pPr>
        <w:pStyle w:val="pheading"/>
      </w:pPr>
      <w:r>
        <w:t>- code de mesurage:</w:t>
      </w:r>
    </w:p>
    <w:p w14:paraId="2A30423F"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86A4660"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01AA266"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8D4EE82" w14:textId="77777777" w:rsidR="00DF410E" w:rsidRDefault="00CE7F43">
      <w:r>
        <w:rPr>
          <w:rStyle w:val="optioncarChar"/>
        </w:rPr>
        <w:t>Volume net </w:t>
      </w:r>
      <w:r>
        <w:t>(par défaut)</w:t>
      </w:r>
      <w:r>
        <w:rPr>
          <w:rStyle w:val="optioncarChar"/>
        </w:rPr>
        <w:t> / Surface nette</w:t>
      </w:r>
    </w:p>
    <w:p w14:paraId="7BCEC7B1" w14:textId="77777777" w:rsidR="00DF410E" w:rsidRDefault="00CE7F43">
      <w:r>
        <w:rPr>
          <w:b/>
        </w:rPr>
        <w:t>(soit par défaut)</w:t>
      </w:r>
    </w:p>
    <w:p w14:paraId="46CFC2AB"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B6BED38" w14:textId="77777777" w:rsidR="00DF410E" w:rsidRDefault="00CE7F43">
      <w:r>
        <w:rPr>
          <w:b/>
        </w:rPr>
        <w:t>(soit)</w:t>
      </w:r>
    </w:p>
    <w:p w14:paraId="667841AD"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E7C7CDD" w14:textId="77777777" w:rsidR="00DF410E" w:rsidRDefault="00DF410E"/>
    <w:p w14:paraId="78CEFD27" w14:textId="77777777" w:rsidR="00DF410E" w:rsidRDefault="00CE7F43">
      <w:r>
        <w:t> </w:t>
      </w:r>
    </w:p>
    <w:p w14:paraId="37D2BD53" w14:textId="77777777" w:rsidR="00DF410E" w:rsidRDefault="00CE7F43">
      <w:pPr>
        <w:pStyle w:val="pheading"/>
      </w:pPr>
      <w:r>
        <w:t>- nature du marché:</w:t>
      </w:r>
    </w:p>
    <w:p w14:paraId="2AB5F23E" w14:textId="77777777" w:rsidR="00DF410E" w:rsidRDefault="00CE7F43">
      <w:r>
        <w:t>QF</w:t>
      </w:r>
    </w:p>
    <w:p w14:paraId="211B0D3E" w14:textId="77777777" w:rsidR="00DF410E" w:rsidRDefault="00CE7F43">
      <w:pPr>
        <w:pStyle w:val="Author-eSectionHeading6"/>
      </w:pPr>
      <w:bookmarkStart w:id="60" w:name="_Toc178837326"/>
      <w:r>
        <w:t>21.12.5d Maçonneries portantes en blocs de silico-calcaire apparents à coller avec chanfreins CCTB 01.12</w:t>
      </w:r>
      <w:bookmarkEnd w:id="60"/>
    </w:p>
    <w:p w14:paraId="25D7B966" w14:textId="77777777" w:rsidR="00DF410E" w:rsidRDefault="00CE7F43">
      <w:pPr>
        <w:pStyle w:val="pheading"/>
      </w:pPr>
      <w:r>
        <w:t>DESCRIPTION</w:t>
      </w:r>
    </w:p>
    <w:p w14:paraId="5FF04888" w14:textId="77777777" w:rsidR="00DF410E" w:rsidRDefault="00CE7F43">
      <w:pPr>
        <w:pStyle w:val="pheading"/>
      </w:pPr>
      <w:r>
        <w:t>- Définition / Comprend</w:t>
      </w:r>
    </w:p>
    <w:p w14:paraId="201B7861" w14:textId="77777777" w:rsidR="00DF410E" w:rsidRDefault="00CE7F43">
      <w:r>
        <w:t xml:space="preserve">Il s’agit de la fourniture et la pose de maçonneries portantes en blocs de silico-calcaire apparents à coller avec chanfreins. </w:t>
      </w:r>
      <w:r>
        <w:br/>
        <w:t xml:space="preserve">La portée des travaux est décrite dans l’article </w:t>
      </w:r>
      <w:hyperlink w:anchor="370" w:history="1">
        <w:r>
          <w:t>21.12.5 Maçonneries portantes en blocs de silico-calcaire</w:t>
        </w:r>
      </w:hyperlink>
      <w:r>
        <w:t>.</w:t>
      </w:r>
      <w:r>
        <w:br/>
        <w:t>Les travaux comprennent également la fourniture et la pose des pièces d’angle, de terminaison et de rencontre.</w:t>
      </w:r>
    </w:p>
    <w:p w14:paraId="58E5D516" w14:textId="77777777" w:rsidR="00DF410E" w:rsidRDefault="00CE7F43">
      <w:pPr>
        <w:pStyle w:val="pheading"/>
      </w:pPr>
      <w:r>
        <w:t>- Localisation</w:t>
      </w:r>
    </w:p>
    <w:p w14:paraId="042CA182" w14:textId="77777777" w:rsidR="00DF410E" w:rsidRDefault="00CE7F43">
      <w:r>
        <w:t xml:space="preserve">La pose est réalisée aux endroits suivants : </w:t>
      </w:r>
      <w:r>
        <w:rPr>
          <w:rStyle w:val="optioncarChar"/>
        </w:rPr>
        <w:t>***</w:t>
      </w:r>
      <w:r>
        <w:t>.</w:t>
      </w:r>
      <w:r>
        <w:br/>
        <w:t>Voir plans et métrés détaillés.</w:t>
      </w:r>
    </w:p>
    <w:p w14:paraId="3F3CBD03" w14:textId="77777777" w:rsidR="00DF410E" w:rsidRDefault="00CE7F43">
      <w:pPr>
        <w:pStyle w:val="pheading"/>
      </w:pPr>
      <w:r>
        <w:t>MATÉRIAUX</w:t>
      </w:r>
    </w:p>
    <w:p w14:paraId="182BEC31" w14:textId="77777777" w:rsidR="00DF410E" w:rsidRDefault="00CE7F43">
      <w:pPr>
        <w:pStyle w:val="pheading"/>
      </w:pPr>
      <w:r>
        <w:t>- Caractéristiques générales</w:t>
      </w:r>
    </w:p>
    <w:p w14:paraId="6810CDF1" w14:textId="77777777" w:rsidR="00DF410E" w:rsidRDefault="00CE7F43">
      <w:r>
        <w:rPr>
          <w:rStyle w:val="headingChar"/>
        </w:rPr>
        <w:t>Spécifications</w:t>
      </w:r>
      <w:r>
        <w:br/>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avec chanfreins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150 / 200 / ***</w:t>
      </w:r>
      <w:r>
        <w:t> ) mm</w:t>
      </w:r>
    </w:p>
    <w:p w14:paraId="67B994F4" w14:textId="77777777" w:rsidR="00DF410E" w:rsidRDefault="00CE7F43">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w:t>
      </w:r>
      <w:r>
        <w:t> (par défaut</w:t>
      </w:r>
      <w:r>
        <w:rPr>
          <w:rStyle w:val="optioncarChar"/>
        </w:rPr>
        <w:t>) / ***</w:t>
      </w:r>
      <w:r>
        <w:br/>
      </w:r>
      <w:r>
        <w:br/>
      </w:r>
      <w:r>
        <w:rPr>
          <w:rStyle w:val="headingChar"/>
        </w:rPr>
        <w:t>Critères De Performances De La Paroi</w:t>
      </w:r>
    </w:p>
    <w:p w14:paraId="55943EE3" w14:textId="77777777" w:rsidR="00DF410E" w:rsidRDefault="00CE7F43">
      <w:r>
        <w:t>Coefficient de transmission :</w:t>
      </w:r>
    </w:p>
    <w:p w14:paraId="333D7A09" w14:textId="77777777" w:rsidR="00DF410E" w:rsidRDefault="00CE7F43">
      <w:pPr>
        <w:pStyle w:val="Author-eListParagraph"/>
        <w:numPr>
          <w:ilvl w:val="0"/>
          <w:numId w:val="108"/>
        </w:numPr>
      </w:pPr>
      <w:r>
        <w:t xml:space="preserve">valeur U minimale de </w:t>
      </w:r>
      <w:r>
        <w:rPr>
          <w:rStyle w:val="optioncarChar"/>
        </w:rPr>
        <w:t>***</w:t>
      </w:r>
      <w:r>
        <w:t xml:space="preserve"> W/m²K</w:t>
      </w:r>
    </w:p>
    <w:p w14:paraId="587F7081" w14:textId="77777777" w:rsidR="00DF410E" w:rsidRDefault="00CE7F43">
      <w:pPr>
        <w:pStyle w:val="Author-eListParagraph"/>
        <w:numPr>
          <w:ilvl w:val="0"/>
          <w:numId w:val="10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C0BD869" w14:textId="77777777" w:rsidR="00DF410E" w:rsidRDefault="00CE7F43">
      <w:r>
        <w:br/>
        <w:t>Résistance au feu :</w:t>
      </w:r>
    </w:p>
    <w:p w14:paraId="5D79FBED" w14:textId="77777777" w:rsidR="00DF410E" w:rsidRDefault="00CE7F43">
      <w:pPr>
        <w:pStyle w:val="Author-eListParagraph"/>
        <w:numPr>
          <w:ilvl w:val="0"/>
          <w:numId w:val="109"/>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2BC28D63" w14:textId="77777777" w:rsidR="00DF410E" w:rsidRDefault="00CE7F43">
      <w:pPr>
        <w:pStyle w:val="Author-eListParagraph"/>
        <w:numPr>
          <w:ilvl w:val="0"/>
          <w:numId w:val="109"/>
        </w:numPr>
      </w:pPr>
      <w:r>
        <w:t xml:space="preserve">pour les éléments porteurs structurels avec fonction séparante : </w:t>
      </w:r>
      <w:r>
        <w:rPr>
          <w:rStyle w:val="optioncarChar"/>
        </w:rPr>
        <w:t>REI30 </w:t>
      </w:r>
      <w:r>
        <w:t>(par défaut)</w:t>
      </w:r>
      <w:r>
        <w:rPr>
          <w:rStyle w:val="optioncarChar"/>
        </w:rPr>
        <w:t xml:space="preserve"> / REI60 / R90 / REI120 / REI***</w:t>
      </w:r>
    </w:p>
    <w:p w14:paraId="61B6E415" w14:textId="77777777" w:rsidR="00DF410E" w:rsidRDefault="00CE7F43">
      <w:r>
        <w:t>selon les tableaux dans [NBN EN 1996-1-2 ANB].</w:t>
      </w:r>
    </w:p>
    <w:p w14:paraId="4058E0A8" w14:textId="77777777" w:rsidR="00DF410E" w:rsidRDefault="00CE7F43">
      <w:pPr>
        <w:pStyle w:val="pheading"/>
      </w:pPr>
      <w:r>
        <w:t>- Finitions</w:t>
      </w:r>
    </w:p>
    <w:p w14:paraId="2CAF5D81" w14:textId="77777777" w:rsidR="00DF410E" w:rsidRDefault="00CE7F43">
      <w:r>
        <w:t xml:space="preserve">Les faces de murs suivantes sont exécutées comme maçonneries apparentes et sont </w:t>
      </w:r>
      <w:r>
        <w:rPr>
          <w:rStyle w:val="optioncarChar"/>
          <w:color w:val="000000"/>
        </w:rPr>
        <w:t>rejointoyées </w:t>
      </w:r>
      <w:r>
        <w:t xml:space="preserve">selon l'article </w:t>
      </w:r>
      <w:hyperlink w:anchor="344" w:history="1">
        <w:r>
          <w:t>21.61.1b Joints de maçonnerie apparente</w:t>
        </w:r>
      </w:hyperlink>
      <w:r>
        <w:t xml:space="preserve"> : </w:t>
      </w:r>
      <w:r>
        <w:rPr>
          <w:rStyle w:val="optioncarChar"/>
        </w:rPr>
        <w:t>***</w:t>
      </w:r>
    </w:p>
    <w:p w14:paraId="5EA2FAD9" w14:textId="77777777" w:rsidR="00DF410E" w:rsidRDefault="00CE7F43">
      <w:r>
        <w:t xml:space="preserve">Les murs suivants sont exécutés avec une face restant apparente : </w:t>
      </w:r>
      <w:r>
        <w:rPr>
          <w:rStyle w:val="optioncarChar"/>
        </w:rPr>
        <w:t>***</w:t>
      </w:r>
    </w:p>
    <w:p w14:paraId="2D7E40A2" w14:textId="77777777" w:rsidR="00DF410E" w:rsidRDefault="00CE7F43">
      <w:r>
        <w:t xml:space="preserve">Les murs suivants sont exécutés avec deux faces restant apparentes : </w:t>
      </w:r>
      <w:r>
        <w:rPr>
          <w:rStyle w:val="optioncarChar"/>
        </w:rPr>
        <w:t>***</w:t>
      </w:r>
    </w:p>
    <w:p w14:paraId="5F824C9C"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24C1DAA2" w14:textId="77777777" w:rsidR="00DF410E" w:rsidRDefault="00CE7F43">
      <w:pPr>
        <w:pStyle w:val="pheading"/>
      </w:pPr>
      <w:r>
        <w:t>MESURAGE</w:t>
      </w:r>
    </w:p>
    <w:p w14:paraId="3BED4A26" w14:textId="77777777" w:rsidR="00DF410E" w:rsidRDefault="00CE7F43">
      <w:pPr>
        <w:pStyle w:val="pheading"/>
      </w:pPr>
      <w:r>
        <w:t>- unité de mesure:</w:t>
      </w:r>
    </w:p>
    <w:p w14:paraId="194270B8" w14:textId="77777777" w:rsidR="00DF410E" w:rsidRDefault="00CE7F43">
      <w:r>
        <w:rPr>
          <w:rStyle w:val="optioncarChar"/>
        </w:rPr>
        <w:t>m³ </w:t>
      </w:r>
      <w:r>
        <w:t>(par défaut)</w:t>
      </w:r>
      <w:r>
        <w:rPr>
          <w:rStyle w:val="optioncarChar"/>
        </w:rPr>
        <w:t> / m²</w:t>
      </w:r>
    </w:p>
    <w:p w14:paraId="24EAFF50" w14:textId="77777777" w:rsidR="00DF410E" w:rsidRDefault="00CE7F43">
      <w:r>
        <w:rPr>
          <w:b/>
        </w:rPr>
        <w:t>(soit par défaut)</w:t>
      </w:r>
    </w:p>
    <w:p w14:paraId="665169F1" w14:textId="77777777" w:rsidR="00DF410E" w:rsidRDefault="00CE7F43">
      <w:r>
        <w:rPr>
          <w:rStyle w:val="soitChar"/>
        </w:rPr>
        <w:t>1. m³</w:t>
      </w:r>
    </w:p>
    <w:p w14:paraId="5C5A2023" w14:textId="77777777" w:rsidR="00DF410E" w:rsidRDefault="00CE7F43">
      <w:r>
        <w:rPr>
          <w:b/>
        </w:rPr>
        <w:t>(soit)</w:t>
      </w:r>
    </w:p>
    <w:p w14:paraId="088FB38A" w14:textId="77777777" w:rsidR="00DF410E" w:rsidRDefault="00CE7F43">
      <w:r>
        <w:rPr>
          <w:rStyle w:val="soitChar"/>
        </w:rPr>
        <w:t>2. m²</w:t>
      </w:r>
    </w:p>
    <w:p w14:paraId="0BE759ED" w14:textId="77777777" w:rsidR="00DF410E" w:rsidRDefault="00CE7F43">
      <w:pPr>
        <w:pStyle w:val="pheading"/>
      </w:pPr>
      <w:r>
        <w:t>- code de mesurage:</w:t>
      </w:r>
    </w:p>
    <w:p w14:paraId="457193B1"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13BC8CA"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D92BEE7"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1B295BB" w14:textId="77777777" w:rsidR="00DF410E" w:rsidRDefault="00DF410E"/>
    <w:p w14:paraId="1B2723C4" w14:textId="77777777" w:rsidR="00DF410E" w:rsidRDefault="00CE7F43">
      <w:r>
        <w:rPr>
          <w:rStyle w:val="optioncarChar"/>
        </w:rPr>
        <w:t>Volume net </w:t>
      </w:r>
      <w:r>
        <w:t>(par défaut)</w:t>
      </w:r>
      <w:r>
        <w:rPr>
          <w:rStyle w:val="optioncarChar"/>
        </w:rPr>
        <w:t> / Surface nette</w:t>
      </w:r>
    </w:p>
    <w:p w14:paraId="4793E135" w14:textId="77777777" w:rsidR="00DF410E" w:rsidRDefault="00CE7F43">
      <w:r>
        <w:rPr>
          <w:b/>
        </w:rPr>
        <w:t>(soit par défaut)</w:t>
      </w:r>
    </w:p>
    <w:p w14:paraId="0F338147"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5F33E29" w14:textId="77777777" w:rsidR="00DF410E" w:rsidRDefault="00CE7F43">
      <w:r>
        <w:rPr>
          <w:b/>
        </w:rPr>
        <w:t>(soit)</w:t>
      </w:r>
    </w:p>
    <w:p w14:paraId="1FA47BAB"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429219F" w14:textId="77777777" w:rsidR="00DF410E" w:rsidRDefault="00CE7F43">
      <w:pPr>
        <w:pStyle w:val="pheading"/>
      </w:pPr>
      <w:r>
        <w:t>- nature du marché:</w:t>
      </w:r>
    </w:p>
    <w:p w14:paraId="38FB83B7" w14:textId="77777777" w:rsidR="00DF410E" w:rsidRDefault="00CE7F43">
      <w:r>
        <w:t>QF</w:t>
      </w:r>
    </w:p>
    <w:p w14:paraId="23F8CABD" w14:textId="77777777" w:rsidR="00DF410E" w:rsidRDefault="00CE7F43">
      <w:pPr>
        <w:pStyle w:val="Author-eSectionHeading5"/>
      </w:pPr>
      <w:bookmarkStart w:id="61" w:name="_Toc178837327"/>
      <w:r>
        <w:t>21.12.6 Maçonneries portantes en blocs de béton d'argile expansée CCTB 01.11</w:t>
      </w:r>
      <w:bookmarkEnd w:id="61"/>
    </w:p>
    <w:p w14:paraId="1A868489" w14:textId="77777777" w:rsidR="00DF410E" w:rsidRDefault="00CE7F43">
      <w:pPr>
        <w:pStyle w:val="pheading"/>
      </w:pPr>
      <w:bookmarkStart w:id="62" w:name="371"/>
      <w:bookmarkEnd w:id="62"/>
      <w:r>
        <w:t>MATÉRIAUX</w:t>
      </w:r>
    </w:p>
    <w:p w14:paraId="35974760" w14:textId="77777777" w:rsidR="00DF410E" w:rsidRDefault="00CE7F43">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0799EBEB" w14:textId="77777777" w:rsidR="00DF410E" w:rsidRDefault="00CE7F43">
      <w:pPr>
        <w:pStyle w:val="pheading"/>
      </w:pPr>
      <w:r>
        <w:t>EXÉCUTION / MISE EN ŒUVRE</w:t>
      </w:r>
    </w:p>
    <w:p w14:paraId="36FC5922" w14:textId="77777777" w:rsidR="00DF410E" w:rsidRDefault="00CE7F43">
      <w:r>
        <w:rPr>
          <w:u w:val="single"/>
        </w:rPr>
        <w:t>-Prescriptions générales</w:t>
      </w:r>
    </w:p>
    <w:p w14:paraId="09F44120" w14:textId="77777777" w:rsidR="00DF410E" w:rsidRDefault="00CE7F43">
      <w:r>
        <w:t>Conformément au mode de mise en œuvre, les blocs en béton sont maçonnés au mortier / collés à l’aide d’un mortier-colle selon les indications du fabricant des blocs / du fabricant de mortier et des notes de calcul du bureau d’études.</w:t>
      </w:r>
    </w:p>
    <w:p w14:paraId="7A731EF2" w14:textId="77777777" w:rsidR="00DF410E" w:rsidRDefault="00CE7F43">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2D771E34" w14:textId="77777777" w:rsidR="00DF410E" w:rsidRDefault="00CE7F43">
      <w:r>
        <w:t xml:space="preserve">L'épaisseur des joints est d'au moins </w:t>
      </w:r>
      <w:r>
        <w:rPr>
          <w:rStyle w:val="optioncarChar"/>
        </w:rPr>
        <w:t>10</w:t>
      </w:r>
      <w:r>
        <w:t> (par défaut)</w:t>
      </w:r>
      <w:r>
        <w:rPr>
          <w:rStyle w:val="optioncarChar"/>
        </w:rPr>
        <w:t xml:space="preserve">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4DCE8722"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r>
        <w:t>.</w:t>
      </w:r>
      <w:r>
        <w:br/>
      </w:r>
      <w:r>
        <w:br/>
      </w:r>
      <w:r>
        <w:rPr>
          <w:u w:val="single"/>
        </w:rPr>
        <w:t>-Notes d'exécution complémentaires</w:t>
      </w:r>
    </w:p>
    <w:p w14:paraId="0722FFD1" w14:textId="77777777" w:rsidR="00DF410E" w:rsidRDefault="00CE7F43">
      <w:r>
        <w:t>Pour les maçonneries destinées à rester apparentes, seules des blocs non endommagés sont utilisés.</w:t>
      </w:r>
    </w:p>
    <w:p w14:paraId="64BCADF2"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3569FF85" w14:textId="77777777" w:rsidR="00DF410E" w:rsidRDefault="00CE7F43">
      <w:r>
        <w:t xml:space="preserve">Les segments de murs sont pourvus d'armatures verticales selon l'article </w:t>
      </w:r>
      <w:hyperlink w:anchor="356" w:history="1">
        <w:r>
          <w:t>21.41.2 Armatures verticales pour maçonneries</w:t>
        </w:r>
      </w:hyperlink>
      <w:r>
        <w:t>.</w:t>
      </w:r>
    </w:p>
    <w:p w14:paraId="3E7C6CA8"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46612C9E"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18F97D19"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3640D770" w14:textId="77777777" w:rsidR="00DF410E" w:rsidRDefault="00CE7F43">
      <w:pPr>
        <w:pStyle w:val="pheading"/>
      </w:pPr>
      <w:r>
        <w:t>AIDE</w:t>
      </w:r>
    </w:p>
    <w:p w14:paraId="7095B5BB" w14:textId="77777777" w:rsidR="00DF410E" w:rsidRDefault="00CE7F43">
      <w:r>
        <w:t>Note à l'attention de l'auteur du projet : pour le choix adéquat du mortier, se référer à la [STS 22 série].</w:t>
      </w:r>
    </w:p>
    <w:p w14:paraId="3A69C32A" w14:textId="77777777" w:rsidR="00DF410E" w:rsidRDefault="00CE7F43">
      <w:pPr>
        <w:pStyle w:val="Author-eSectionHeading6"/>
      </w:pPr>
      <w:bookmarkStart w:id="63" w:name="_Toc178837328"/>
      <w:r>
        <w:t>21.12.6a Maçonneries portantes en blocs de béton d'argile expansée pleins à maçonner CCTB 01.12</w:t>
      </w:r>
      <w:bookmarkEnd w:id="63"/>
    </w:p>
    <w:p w14:paraId="06710265" w14:textId="77777777" w:rsidR="00DF410E" w:rsidRDefault="00CE7F43">
      <w:pPr>
        <w:pStyle w:val="pheading"/>
      </w:pPr>
      <w:r>
        <w:t>DESCRIPTION</w:t>
      </w:r>
    </w:p>
    <w:p w14:paraId="387591E4" w14:textId="77777777" w:rsidR="00DF410E" w:rsidRDefault="00CE7F43">
      <w:pPr>
        <w:pStyle w:val="pheading"/>
      </w:pPr>
      <w:r>
        <w:t>- Définition / Comprend</w:t>
      </w:r>
    </w:p>
    <w:p w14:paraId="116AB052" w14:textId="77777777" w:rsidR="00DF410E" w:rsidRDefault="00CE7F43">
      <w:r>
        <w:t xml:space="preserve">Il s’agit de la fourniture et la pose de maçonneries portantes en blocs de béton d’argile expansée pleins à maçonner. </w:t>
      </w:r>
      <w:r>
        <w:br/>
        <w:t xml:space="preserve">La portée des travaux est décrite dans l’article </w:t>
      </w:r>
      <w:hyperlink w:anchor="371" w:history="1">
        <w:r>
          <w:t>21.12.6 Maçonneries portantes en blocs de béton d'argile expansée</w:t>
        </w:r>
      </w:hyperlink>
      <w:r>
        <w:t>.</w:t>
      </w:r>
      <w:r>
        <w:br/>
        <w:t>Les travaux comprennent également la fourniture et la pose des pièces d’angle, de terminaison et de rencontre.</w:t>
      </w:r>
    </w:p>
    <w:p w14:paraId="44FB011F" w14:textId="77777777" w:rsidR="00DF410E" w:rsidRDefault="00CE7F43">
      <w:pPr>
        <w:pStyle w:val="pheading"/>
      </w:pPr>
      <w:r>
        <w:t>- Localisation</w:t>
      </w:r>
    </w:p>
    <w:p w14:paraId="6C66D91A" w14:textId="77777777" w:rsidR="00DF410E" w:rsidRDefault="00CE7F43">
      <w:r>
        <w:t>La pose est réalisée aux endroits suivants :</w:t>
      </w:r>
      <w:r>
        <w:rPr>
          <w:rStyle w:val="optioncarChar"/>
        </w:rPr>
        <w:t xml:space="preserve"> ***</w:t>
      </w:r>
      <w:r>
        <w:t>.</w:t>
      </w:r>
      <w:r>
        <w:br/>
        <w:t>Voir plans et métrés détaillés.</w:t>
      </w:r>
    </w:p>
    <w:p w14:paraId="40A3A84A" w14:textId="77777777" w:rsidR="00DF410E" w:rsidRDefault="00CE7F43">
      <w:pPr>
        <w:pStyle w:val="pheading"/>
      </w:pPr>
      <w:r>
        <w:t>MATÉRIAUX</w:t>
      </w:r>
    </w:p>
    <w:p w14:paraId="617C03CF" w14:textId="77777777" w:rsidR="00DF410E" w:rsidRDefault="00CE7F43">
      <w:pPr>
        <w:pStyle w:val="pheading"/>
      </w:pPr>
      <w:r>
        <w:t>- Caractéristiques générales</w:t>
      </w:r>
    </w:p>
    <w:p w14:paraId="6DAB0FBC" w14:textId="77777777" w:rsidR="00DF410E" w:rsidRDefault="00CE7F43">
      <w:r>
        <w:rPr>
          <w:rStyle w:val="headingChar"/>
        </w:rPr>
        <w:t>Spécifications</w:t>
      </w:r>
    </w:p>
    <w:p w14:paraId="5687A2F2" w14:textId="77777777" w:rsidR="00DF410E" w:rsidRDefault="00CE7F43">
      <w:r>
        <w:rPr>
          <w:u w:val="single"/>
        </w:rPr>
        <w:t>Blocs</w:t>
      </w:r>
    </w:p>
    <w:p w14:paraId="2C82FD4D"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83C2F37" w14:textId="77777777" w:rsidR="00DF410E" w:rsidRDefault="00CE7F43">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rPr>
        <w:t>lisse </w:t>
      </w:r>
      <w:r>
        <w:t>(par défaut)</w:t>
      </w:r>
      <w:r>
        <w:rPr>
          <w:rStyle w:val="optioncarChar"/>
        </w:rPr>
        <w:t xml:space="preserve">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77EC2C51" w14:textId="77777777" w:rsidR="00DF410E" w:rsidRDefault="00CE7F43">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3A6D0960" w14:textId="77777777" w:rsidR="00DF410E" w:rsidRDefault="00CE7F43">
      <w:pPr>
        <w:spacing w:before="0" w:after="0"/>
      </w:pPr>
      <w:r>
        <w:rPr>
          <w:u w:val="single"/>
        </w:rPr>
        <w:t>Mortier</w:t>
      </w:r>
    </w:p>
    <w:p w14:paraId="040D7BB9" w14:textId="77777777" w:rsidR="00DF410E" w:rsidRDefault="00CE7F43">
      <w:pPr>
        <w:spacing w:before="0" w:after="0"/>
      </w:pPr>
      <w:r>
        <w:rPr>
          <w:rStyle w:val="normalChar"/>
          <w:color w:val="000000"/>
        </w:rPr>
        <w:t>Classe de résistance :</w:t>
      </w:r>
      <w:r>
        <w:rPr>
          <w:rStyle w:val="optioncarChar"/>
        </w:rPr>
        <w:t xml:space="preserve">M1 / M2,5 / M5 / M10 </w:t>
      </w:r>
      <w:r>
        <w:rPr>
          <w:rStyle w:val="optioncarChar"/>
          <w:color w:val="000000"/>
        </w:rPr>
        <w:t>(</w:t>
      </w:r>
      <w:r>
        <w:t xml:space="preserve">par défaut) </w:t>
      </w:r>
      <w:r>
        <w:rPr>
          <w:rStyle w:val="optioncarChar"/>
        </w:rPr>
        <w:t xml:space="preserve">/ M15 / M20 </w:t>
      </w:r>
    </w:p>
    <w:p w14:paraId="14502580"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1BB694D" w14:textId="77777777" w:rsidR="00DF410E" w:rsidRDefault="00CE7F43">
      <w:pPr>
        <w:spacing w:before="0" w:after="0"/>
      </w:pPr>
      <w:r>
        <w:rPr>
          <w:rStyle w:val="normalChar"/>
          <w:color w:val="000000"/>
        </w:rPr>
        <w:t>Résistance au gel : oui</w:t>
      </w:r>
    </w:p>
    <w:p w14:paraId="6DC3ABF3" w14:textId="77777777" w:rsidR="00DF410E" w:rsidRDefault="00CE7F43">
      <w:r>
        <w:br/>
      </w:r>
      <w:r>
        <w:rPr>
          <w:rStyle w:val="headingChar"/>
        </w:rPr>
        <w:t>Critères De Performances De La Paroi</w:t>
      </w:r>
    </w:p>
    <w:p w14:paraId="06A88896" w14:textId="77777777" w:rsidR="00DF410E" w:rsidRDefault="00CE7F43">
      <w:r>
        <w:t>Coefficient de transmission :</w:t>
      </w:r>
    </w:p>
    <w:p w14:paraId="0A8C86FC" w14:textId="77777777" w:rsidR="00DF410E" w:rsidRDefault="00CE7F43">
      <w:pPr>
        <w:pStyle w:val="Author-eListParagraph"/>
        <w:numPr>
          <w:ilvl w:val="0"/>
          <w:numId w:val="110"/>
        </w:numPr>
      </w:pPr>
      <w:r>
        <w:t xml:space="preserve">valeur U minimale de </w:t>
      </w:r>
      <w:r>
        <w:rPr>
          <w:rStyle w:val="optioncarChar"/>
        </w:rPr>
        <w:t>***</w:t>
      </w:r>
      <w:r>
        <w:t xml:space="preserve"> W/m²K</w:t>
      </w:r>
    </w:p>
    <w:p w14:paraId="4C2336A1" w14:textId="77777777" w:rsidR="00DF410E" w:rsidRDefault="00CE7F43">
      <w:pPr>
        <w:pStyle w:val="Author-eListParagraph"/>
        <w:numPr>
          <w:ilvl w:val="0"/>
          <w:numId w:val="11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DF3AA75" w14:textId="77777777" w:rsidR="00DF410E" w:rsidRDefault="00CE7F43">
      <w:r>
        <w:br/>
        <w:t>Résistance au feu :</w:t>
      </w:r>
    </w:p>
    <w:p w14:paraId="07DF40E5" w14:textId="77777777" w:rsidR="00DF410E" w:rsidRDefault="00CE7F43">
      <w:pPr>
        <w:pStyle w:val="Author-eListParagraph"/>
        <w:numPr>
          <w:ilvl w:val="0"/>
          <w:numId w:val="111"/>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AC9445F" w14:textId="77777777" w:rsidR="00DF410E" w:rsidRDefault="00CE7F43">
      <w:pPr>
        <w:pStyle w:val="Author-eListParagraph"/>
        <w:numPr>
          <w:ilvl w:val="0"/>
          <w:numId w:val="111"/>
        </w:numPr>
      </w:pPr>
      <w:r>
        <w:t xml:space="preserve">pour les éléments porteurs structurels avec fonction séparante : </w:t>
      </w:r>
      <w:r>
        <w:rPr>
          <w:rStyle w:val="optioncarChar"/>
        </w:rPr>
        <w:t>REI30 </w:t>
      </w:r>
      <w:r>
        <w:t>(par défaut)</w:t>
      </w:r>
      <w:r>
        <w:rPr>
          <w:rStyle w:val="optioncarChar"/>
        </w:rPr>
        <w:t xml:space="preserve"> / REI6 0/ REI90 / REI120 / REI***</w:t>
      </w:r>
    </w:p>
    <w:p w14:paraId="3650A650" w14:textId="77777777" w:rsidR="00DF410E" w:rsidRDefault="00CE7F43">
      <w:r>
        <w:t>selon les tableaux dans [NBN EN 1996-1-2 ANB].</w:t>
      </w:r>
    </w:p>
    <w:p w14:paraId="4F090E93" w14:textId="77777777" w:rsidR="00DF410E" w:rsidRDefault="00CE7F43">
      <w:pPr>
        <w:pStyle w:val="pheading"/>
      </w:pPr>
      <w:r>
        <w:t>- Finitions</w:t>
      </w:r>
    </w:p>
    <w:p w14:paraId="2980EA21" w14:textId="77777777" w:rsidR="00DF410E" w:rsidRDefault="00DF410E"/>
    <w:p w14:paraId="51A2CDD4" w14:textId="77777777" w:rsidR="00DF410E" w:rsidRDefault="00CE7F43">
      <w:pPr>
        <w:pStyle w:val="Author-eListParagraph"/>
        <w:numPr>
          <w:ilvl w:val="0"/>
          <w:numId w:val="112"/>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p>
    <w:p w14:paraId="6DBF0FAF" w14:textId="77777777" w:rsidR="00DF410E" w:rsidRDefault="00CE7F43">
      <w:pPr>
        <w:pStyle w:val="Author-eListParagraph"/>
        <w:numPr>
          <w:ilvl w:val="0"/>
          <w:numId w:val="112"/>
        </w:numPr>
      </w:pPr>
      <w:r>
        <w:t xml:space="preserve">Les murs suivants sont exécutés avec une face restant apparente : </w:t>
      </w:r>
      <w:r>
        <w:rPr>
          <w:rStyle w:val="optioncarChar"/>
        </w:rPr>
        <w:t>***</w:t>
      </w:r>
    </w:p>
    <w:p w14:paraId="55C9AC53" w14:textId="77777777" w:rsidR="00DF410E" w:rsidRDefault="00CE7F43">
      <w:pPr>
        <w:pStyle w:val="Author-eListParagraph"/>
        <w:numPr>
          <w:ilvl w:val="0"/>
          <w:numId w:val="112"/>
        </w:numPr>
      </w:pPr>
      <w:r>
        <w:t xml:space="preserve">Les murs suivants sont exécutés avec deux faces restant apparentes : </w:t>
      </w:r>
      <w:r>
        <w:rPr>
          <w:rStyle w:val="optioncarChar"/>
        </w:rPr>
        <w:t>***</w:t>
      </w:r>
    </w:p>
    <w:p w14:paraId="34E4E0D1" w14:textId="77777777" w:rsidR="00DF410E" w:rsidRDefault="00CE7F43">
      <w:pPr>
        <w:pStyle w:val="pheading"/>
      </w:pPr>
      <w:r>
        <w:t>MESURAGE</w:t>
      </w:r>
    </w:p>
    <w:p w14:paraId="4B9184A5" w14:textId="77777777" w:rsidR="00DF410E" w:rsidRDefault="00CE7F43">
      <w:pPr>
        <w:pStyle w:val="pheading"/>
      </w:pPr>
      <w:r>
        <w:t>- unité de mesure:</w:t>
      </w:r>
    </w:p>
    <w:p w14:paraId="289A9C2A" w14:textId="77777777" w:rsidR="00DF410E" w:rsidRDefault="00CE7F43">
      <w:r>
        <w:rPr>
          <w:rStyle w:val="optioncarChar"/>
        </w:rPr>
        <w:t>m³ </w:t>
      </w:r>
      <w:r>
        <w:t>(par défaut)</w:t>
      </w:r>
      <w:r>
        <w:rPr>
          <w:rStyle w:val="optioncarChar"/>
        </w:rPr>
        <w:t> / m²</w:t>
      </w:r>
    </w:p>
    <w:p w14:paraId="4E65B227" w14:textId="77777777" w:rsidR="00DF410E" w:rsidRDefault="00CE7F43">
      <w:r>
        <w:rPr>
          <w:b/>
        </w:rPr>
        <w:t>(soit par défaut)</w:t>
      </w:r>
    </w:p>
    <w:p w14:paraId="2E70532B" w14:textId="77777777" w:rsidR="00DF410E" w:rsidRDefault="00CE7F43">
      <w:r>
        <w:rPr>
          <w:rStyle w:val="soitChar"/>
        </w:rPr>
        <w:t>1. m³</w:t>
      </w:r>
    </w:p>
    <w:p w14:paraId="263359A9" w14:textId="77777777" w:rsidR="00DF410E" w:rsidRDefault="00CE7F43">
      <w:r>
        <w:rPr>
          <w:b/>
        </w:rPr>
        <w:t>(soit)</w:t>
      </w:r>
    </w:p>
    <w:p w14:paraId="1B037559" w14:textId="77777777" w:rsidR="00DF410E" w:rsidRDefault="00CE7F43">
      <w:r>
        <w:rPr>
          <w:rStyle w:val="soitChar"/>
        </w:rPr>
        <w:t>2. m²</w:t>
      </w:r>
    </w:p>
    <w:p w14:paraId="6EB99FB6" w14:textId="77777777" w:rsidR="00DF410E" w:rsidRDefault="00CE7F43">
      <w:pPr>
        <w:pStyle w:val="pheading"/>
      </w:pPr>
      <w:r>
        <w:t>- code de mesurage:</w:t>
      </w:r>
    </w:p>
    <w:p w14:paraId="6230F4CA"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B2BC3FA"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909F216"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D990C88" w14:textId="77777777" w:rsidR="00DF410E" w:rsidRDefault="00DF410E"/>
    <w:p w14:paraId="7382B5BD" w14:textId="77777777" w:rsidR="00DF410E" w:rsidRDefault="00CE7F43">
      <w:r>
        <w:rPr>
          <w:rStyle w:val="optioncarChar"/>
        </w:rPr>
        <w:t>Volume net </w:t>
      </w:r>
      <w:r>
        <w:t>(par défaut)</w:t>
      </w:r>
      <w:r>
        <w:rPr>
          <w:rStyle w:val="optioncarChar"/>
        </w:rPr>
        <w:t> / Surface nette</w:t>
      </w:r>
    </w:p>
    <w:p w14:paraId="78830912" w14:textId="77777777" w:rsidR="00DF410E" w:rsidRDefault="00CE7F43">
      <w:r>
        <w:rPr>
          <w:b/>
        </w:rPr>
        <w:t>(soit par défaut)</w:t>
      </w:r>
    </w:p>
    <w:p w14:paraId="55FFE9A7"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5B39E15" w14:textId="77777777" w:rsidR="00DF410E" w:rsidRDefault="00CE7F43">
      <w:r>
        <w:rPr>
          <w:b/>
        </w:rPr>
        <w:t>(soit)</w:t>
      </w:r>
    </w:p>
    <w:p w14:paraId="66C4737A"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98F0616" w14:textId="77777777" w:rsidR="00DF410E" w:rsidRDefault="00CE7F43">
      <w:pPr>
        <w:pStyle w:val="pheading"/>
      </w:pPr>
      <w:r>
        <w:t>- nature du marché:</w:t>
      </w:r>
    </w:p>
    <w:p w14:paraId="1EE929A6" w14:textId="77777777" w:rsidR="00DF410E" w:rsidRDefault="00CE7F43">
      <w:r>
        <w:t>QF</w:t>
      </w:r>
    </w:p>
    <w:p w14:paraId="71EF8CDC" w14:textId="77777777" w:rsidR="00DF410E" w:rsidRDefault="00CE7F43">
      <w:pPr>
        <w:pStyle w:val="Author-eSectionHeading6"/>
      </w:pPr>
      <w:bookmarkStart w:id="64" w:name="_Toc178837329"/>
      <w:r>
        <w:t>21.12.6b Maçonneries portantes en blocs de béton d'argile expansée pleins à coller CCTB 01.12</w:t>
      </w:r>
      <w:bookmarkEnd w:id="64"/>
    </w:p>
    <w:p w14:paraId="0DFBBFAC" w14:textId="77777777" w:rsidR="00DF410E" w:rsidRDefault="00CE7F43">
      <w:pPr>
        <w:pStyle w:val="pheading"/>
      </w:pPr>
      <w:r>
        <w:t>DESCRIPTION</w:t>
      </w:r>
    </w:p>
    <w:p w14:paraId="0DF4E4C2" w14:textId="77777777" w:rsidR="00DF410E" w:rsidRDefault="00CE7F43">
      <w:pPr>
        <w:pStyle w:val="pheading"/>
      </w:pPr>
      <w:r>
        <w:t>- Définition / Comprend</w:t>
      </w:r>
    </w:p>
    <w:p w14:paraId="06F88D98" w14:textId="77777777" w:rsidR="00DF410E" w:rsidRDefault="00CE7F43">
      <w:r>
        <w:t xml:space="preserve">Il s’agit de la fourniture et la pose de maçonneries portantes en blocs de béton d’argile expansée pleins à coller. </w:t>
      </w:r>
      <w:r>
        <w:br/>
        <w:t xml:space="preserve">La portée des travaux est décrite dans l’article </w:t>
      </w:r>
      <w:hyperlink w:anchor="371" w:history="1">
        <w:r>
          <w:t>21.12.6 Maçonneries portantes en blocs de béton d'argile expansée</w:t>
        </w:r>
      </w:hyperlink>
      <w:r>
        <w:t>.</w:t>
      </w:r>
      <w:r>
        <w:br/>
        <w:t>Les travaux comprennent également la fourniture et la pose des pièces d’angle, de terminaison et de rencontre.</w:t>
      </w:r>
    </w:p>
    <w:p w14:paraId="085CACA8" w14:textId="77777777" w:rsidR="00DF410E" w:rsidRDefault="00CE7F43">
      <w:pPr>
        <w:pStyle w:val="pheading"/>
      </w:pPr>
      <w:r>
        <w:t>- Localisation</w:t>
      </w:r>
    </w:p>
    <w:p w14:paraId="6658517E" w14:textId="77777777" w:rsidR="00DF410E" w:rsidRDefault="00CE7F43">
      <w:r>
        <w:t>La pose est réalisée aux endroits suivants :</w:t>
      </w:r>
      <w:r>
        <w:rPr>
          <w:rStyle w:val="optioncarChar"/>
        </w:rPr>
        <w:t xml:space="preserve"> ***</w:t>
      </w:r>
      <w:r>
        <w:t>.</w:t>
      </w:r>
      <w:r>
        <w:br/>
        <w:t>Voir plans et métrés détaillés.</w:t>
      </w:r>
    </w:p>
    <w:p w14:paraId="653B2BE8" w14:textId="77777777" w:rsidR="00DF410E" w:rsidRDefault="00CE7F43">
      <w:pPr>
        <w:pStyle w:val="pheading"/>
      </w:pPr>
      <w:r>
        <w:t>MATÉRIAUX</w:t>
      </w:r>
    </w:p>
    <w:p w14:paraId="2A105B05" w14:textId="77777777" w:rsidR="00DF410E" w:rsidRDefault="00CE7F43">
      <w:pPr>
        <w:pStyle w:val="pheading"/>
      </w:pPr>
      <w:r>
        <w:t>- Caractéristiques générales</w:t>
      </w:r>
    </w:p>
    <w:p w14:paraId="50808C55" w14:textId="77777777" w:rsidR="00DF410E" w:rsidRDefault="00CE7F43">
      <w:r>
        <w:rPr>
          <w:rStyle w:val="headingChar"/>
        </w:rPr>
        <w:t>Spécifications</w:t>
      </w:r>
    </w:p>
    <w:p w14:paraId="6E947796" w14:textId="77777777" w:rsidR="00DF410E" w:rsidRDefault="00CE7F43">
      <w:r>
        <w:rPr>
          <w:u w:val="single"/>
        </w:rPr>
        <w:t>Blocs</w:t>
      </w:r>
    </w:p>
    <w:p w14:paraId="50BCA61C"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703D5A4F" w14:textId="77777777" w:rsidR="00DF410E" w:rsidRDefault="00CE7F43">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 xml:space="preserve">Face à cimenter ou plafonner : </w:t>
      </w:r>
      <w:r>
        <w:rPr>
          <w:rStyle w:val="optioncarChar"/>
        </w:rPr>
        <w:t>lisse</w:t>
      </w:r>
      <w:r>
        <w:t xml:space="preserve"> (par défaut) </w:t>
      </w:r>
      <w:r>
        <w:rPr>
          <w:rStyle w:val="optioncarChar"/>
        </w:rPr>
        <w:t xml:space="preserve"> / adhérence améliorée/ rainurée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w:t>
      </w:r>
      <w:r>
        <w:t xml:space="preserve"> (par défaut) </w:t>
      </w:r>
      <w:r>
        <w:rPr>
          <w:rStyle w:val="optioncarChar"/>
        </w:rPr>
        <w:t>/ ***</w:t>
      </w:r>
    </w:p>
    <w:p w14:paraId="7CBE763E" w14:textId="77777777" w:rsidR="00DF410E" w:rsidRDefault="00CE7F43">
      <w:pPr>
        <w:spacing w:before="0" w:after="0"/>
      </w:pPr>
      <w:r>
        <w:rPr>
          <w:u w:val="single"/>
        </w:rPr>
        <w:t>Mortier</w:t>
      </w:r>
    </w:p>
    <w:p w14:paraId="31CB17F1" w14:textId="77777777" w:rsidR="00DF410E" w:rsidRDefault="00CE7F43">
      <w:pPr>
        <w:spacing w:before="0" w:after="0"/>
      </w:pPr>
      <w:r>
        <w:rPr>
          <w:rStyle w:val="normalChar"/>
          <w:color w:val="000000"/>
        </w:rPr>
        <w:t>Classe de résistance :</w:t>
      </w:r>
      <w:r>
        <w:rPr>
          <w:rStyle w:val="optioncarChar"/>
        </w:rPr>
        <w:t xml:space="preserve">M1 / M2,5 / M5 / M10 </w:t>
      </w:r>
      <w:r>
        <w:t xml:space="preserve">(par défaut) </w:t>
      </w:r>
      <w:r>
        <w:rPr>
          <w:rStyle w:val="optioncarChar"/>
        </w:rPr>
        <w:t xml:space="preserve"> / M15 / M20 </w:t>
      </w:r>
    </w:p>
    <w:p w14:paraId="57625649"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2951146" w14:textId="77777777" w:rsidR="00DF410E" w:rsidRDefault="00CE7F43">
      <w:pPr>
        <w:spacing w:before="0" w:after="0"/>
      </w:pPr>
      <w:r>
        <w:rPr>
          <w:rStyle w:val="normalChar"/>
          <w:color w:val="000000"/>
        </w:rPr>
        <w:t>Résistance au gel : oui</w:t>
      </w:r>
    </w:p>
    <w:p w14:paraId="5BC493B4" w14:textId="77777777" w:rsidR="00DF410E" w:rsidRDefault="00CE7F43">
      <w:r>
        <w:br/>
      </w:r>
      <w:r>
        <w:br/>
      </w:r>
      <w:r>
        <w:rPr>
          <w:rStyle w:val="headingChar"/>
        </w:rPr>
        <w:t>Critères De Performances De La Paroi</w:t>
      </w:r>
    </w:p>
    <w:p w14:paraId="1F63422D" w14:textId="77777777" w:rsidR="00DF410E" w:rsidRDefault="00CE7F43">
      <w:r>
        <w:t>Coefficient de transmission :</w:t>
      </w:r>
    </w:p>
    <w:p w14:paraId="3DEE6D66" w14:textId="77777777" w:rsidR="00DF410E" w:rsidRDefault="00CE7F43">
      <w:pPr>
        <w:pStyle w:val="Author-eListParagraph"/>
        <w:numPr>
          <w:ilvl w:val="0"/>
          <w:numId w:val="113"/>
        </w:numPr>
      </w:pPr>
      <w:r>
        <w:t xml:space="preserve">valeur U minimale de </w:t>
      </w:r>
      <w:r>
        <w:rPr>
          <w:rStyle w:val="optioncarChar"/>
        </w:rPr>
        <w:t>***</w:t>
      </w:r>
      <w:r>
        <w:t xml:space="preserve"> W/m²K</w:t>
      </w:r>
    </w:p>
    <w:p w14:paraId="7EE7AC9B" w14:textId="77777777" w:rsidR="00DF410E" w:rsidRDefault="00CE7F43">
      <w:pPr>
        <w:pStyle w:val="Author-eListParagraph"/>
        <w:numPr>
          <w:ilvl w:val="0"/>
          <w:numId w:val="11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8D5AC40" w14:textId="77777777" w:rsidR="00DF410E" w:rsidRDefault="00CE7F43">
      <w:r>
        <w:br/>
        <w:t>Résistance au feu :</w:t>
      </w:r>
    </w:p>
    <w:p w14:paraId="583DC321" w14:textId="77777777" w:rsidR="00DF410E" w:rsidRDefault="00CE7F43">
      <w:pPr>
        <w:pStyle w:val="Author-eListParagraph"/>
        <w:numPr>
          <w:ilvl w:val="0"/>
          <w:numId w:val="114"/>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5473A573" w14:textId="77777777" w:rsidR="00DF410E" w:rsidRDefault="00CE7F43">
      <w:pPr>
        <w:pStyle w:val="Author-eListParagraph"/>
        <w:numPr>
          <w:ilvl w:val="0"/>
          <w:numId w:val="114"/>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739F0C29" w14:textId="77777777" w:rsidR="00DF410E" w:rsidRDefault="00CE7F43">
      <w:r>
        <w:t>selon les tableaux dans [NBN EN 1996-1-2 ANB].</w:t>
      </w:r>
    </w:p>
    <w:p w14:paraId="37A26380" w14:textId="77777777" w:rsidR="00DF410E" w:rsidRDefault="00DF410E"/>
    <w:p w14:paraId="6BD000D6" w14:textId="77777777" w:rsidR="00DF410E" w:rsidRDefault="00CE7F43">
      <w:r>
        <w:t> </w:t>
      </w:r>
    </w:p>
    <w:p w14:paraId="25BCFBB1" w14:textId="77777777" w:rsidR="00DF410E" w:rsidRDefault="00CE7F43">
      <w:pPr>
        <w:pStyle w:val="pheading"/>
      </w:pPr>
      <w:r>
        <w:t>- Finitions</w:t>
      </w:r>
    </w:p>
    <w:p w14:paraId="5E108925" w14:textId="77777777" w:rsidR="00DF410E" w:rsidRDefault="00DF410E"/>
    <w:p w14:paraId="3B6A3419" w14:textId="77777777" w:rsidR="00DF410E" w:rsidRDefault="00CE7F43">
      <w:pPr>
        <w:pStyle w:val="Author-eListParagraph"/>
        <w:numPr>
          <w:ilvl w:val="0"/>
          <w:numId w:val="115"/>
        </w:numPr>
      </w:pPr>
      <w:r>
        <w:t xml:space="preserve">Les faces de murs suivantes sont exécutées comme maçonneries apparentes et sont </w:t>
      </w:r>
      <w:r>
        <w:rPr>
          <w:rStyle w:val="optioncarChar"/>
          <w:color w:val="000000"/>
        </w:rPr>
        <w:t xml:space="preserve">rejointoyées </w:t>
      </w:r>
      <w:r>
        <w:t xml:space="preserve">selon l'article </w:t>
      </w:r>
      <w:hyperlink w:anchor="344" w:history="1">
        <w:r>
          <w:t>21.61.1b Joints de maçonnerie apparente</w:t>
        </w:r>
      </w:hyperlink>
    </w:p>
    <w:p w14:paraId="745D6CE2" w14:textId="77777777" w:rsidR="00DF410E" w:rsidRDefault="00CE7F43">
      <w:pPr>
        <w:pStyle w:val="Author-eListParagraph"/>
        <w:numPr>
          <w:ilvl w:val="0"/>
          <w:numId w:val="115"/>
        </w:numPr>
      </w:pPr>
      <w:r>
        <w:t xml:space="preserve">Les murs suivants sont exécutés avec une face restant apparente : </w:t>
      </w:r>
      <w:r>
        <w:rPr>
          <w:rStyle w:val="optioncarChar"/>
        </w:rPr>
        <w:t>***</w:t>
      </w:r>
    </w:p>
    <w:p w14:paraId="3F271715" w14:textId="77777777" w:rsidR="00DF410E" w:rsidRDefault="00CE7F43">
      <w:pPr>
        <w:pStyle w:val="Author-eListParagraph"/>
        <w:numPr>
          <w:ilvl w:val="0"/>
          <w:numId w:val="115"/>
        </w:numPr>
      </w:pPr>
      <w:r>
        <w:t xml:space="preserve">Les murs suivants sont exécutés avec deux faces restant apparentes : </w:t>
      </w:r>
      <w:r>
        <w:rPr>
          <w:rStyle w:val="optioncarChar"/>
        </w:rPr>
        <w:t>***</w:t>
      </w:r>
    </w:p>
    <w:p w14:paraId="59AD5991" w14:textId="77777777" w:rsidR="00DF410E" w:rsidRDefault="00CE7F43">
      <w:pPr>
        <w:pStyle w:val="pheading"/>
      </w:pPr>
      <w:r>
        <w:t>MESURAGE</w:t>
      </w:r>
    </w:p>
    <w:p w14:paraId="6A5200D1" w14:textId="77777777" w:rsidR="00DF410E" w:rsidRDefault="00CE7F43">
      <w:pPr>
        <w:pStyle w:val="pheading"/>
      </w:pPr>
      <w:r>
        <w:t>- unité de mesure:</w:t>
      </w:r>
    </w:p>
    <w:p w14:paraId="66F63667" w14:textId="77777777" w:rsidR="00DF410E" w:rsidRDefault="00CE7F43">
      <w:r>
        <w:rPr>
          <w:rStyle w:val="optioncarChar"/>
        </w:rPr>
        <w:t>m³ </w:t>
      </w:r>
      <w:r>
        <w:t>(par défaut)</w:t>
      </w:r>
      <w:r>
        <w:rPr>
          <w:rStyle w:val="optioncarChar"/>
        </w:rPr>
        <w:t> / m²</w:t>
      </w:r>
    </w:p>
    <w:p w14:paraId="0E91FD84" w14:textId="77777777" w:rsidR="00DF410E" w:rsidRDefault="00CE7F43">
      <w:r>
        <w:rPr>
          <w:b/>
        </w:rPr>
        <w:t>(soit par défaut)</w:t>
      </w:r>
    </w:p>
    <w:p w14:paraId="11B75A3E" w14:textId="77777777" w:rsidR="00DF410E" w:rsidRDefault="00CE7F43">
      <w:r>
        <w:rPr>
          <w:rStyle w:val="soitChar"/>
        </w:rPr>
        <w:t>1. m³</w:t>
      </w:r>
    </w:p>
    <w:p w14:paraId="420DB339" w14:textId="77777777" w:rsidR="00DF410E" w:rsidRDefault="00CE7F43">
      <w:r>
        <w:rPr>
          <w:b/>
        </w:rPr>
        <w:t>(soit)</w:t>
      </w:r>
    </w:p>
    <w:p w14:paraId="22A15C1D" w14:textId="77777777" w:rsidR="00DF410E" w:rsidRDefault="00CE7F43">
      <w:r>
        <w:rPr>
          <w:rStyle w:val="soitChar"/>
        </w:rPr>
        <w:t>2. m²</w:t>
      </w:r>
    </w:p>
    <w:p w14:paraId="2357862D" w14:textId="77777777" w:rsidR="00DF410E" w:rsidRDefault="00CE7F43">
      <w:pPr>
        <w:pStyle w:val="pheading"/>
      </w:pPr>
      <w:r>
        <w:t>- code de mesurage:</w:t>
      </w:r>
    </w:p>
    <w:p w14:paraId="6FC32451"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C552B91"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A752221"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AAB3EA1" w14:textId="77777777" w:rsidR="00DF410E" w:rsidRDefault="00CE7F43">
      <w:r>
        <w:rPr>
          <w:rStyle w:val="optioncarChar"/>
        </w:rPr>
        <w:t>Volume net </w:t>
      </w:r>
      <w:r>
        <w:t>(par défaut)</w:t>
      </w:r>
      <w:r>
        <w:rPr>
          <w:rStyle w:val="optioncarChar"/>
        </w:rPr>
        <w:t> / Surface nette</w:t>
      </w:r>
    </w:p>
    <w:p w14:paraId="768E7CE1" w14:textId="77777777" w:rsidR="00DF410E" w:rsidRDefault="00CE7F43">
      <w:r>
        <w:rPr>
          <w:b/>
        </w:rPr>
        <w:t>(soit par défaut)</w:t>
      </w:r>
    </w:p>
    <w:p w14:paraId="5359AE23"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27A4BDC" w14:textId="77777777" w:rsidR="00DF410E" w:rsidRDefault="00CE7F43">
      <w:r>
        <w:rPr>
          <w:b/>
        </w:rPr>
        <w:t>(soit)</w:t>
      </w:r>
    </w:p>
    <w:p w14:paraId="18BCF3EB"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3E62C4E" w14:textId="77777777" w:rsidR="00DF410E" w:rsidRDefault="00CE7F43">
      <w:pPr>
        <w:pStyle w:val="pheading"/>
      </w:pPr>
      <w:r>
        <w:t>- nature du marché:</w:t>
      </w:r>
    </w:p>
    <w:p w14:paraId="503E6D13" w14:textId="77777777" w:rsidR="00DF410E" w:rsidRDefault="00CE7F43">
      <w:r>
        <w:t>QF</w:t>
      </w:r>
    </w:p>
    <w:p w14:paraId="05EB4959" w14:textId="77777777" w:rsidR="00DF410E" w:rsidRDefault="00CE7F43">
      <w:pPr>
        <w:pStyle w:val="Author-eSectionHeading6"/>
      </w:pPr>
      <w:bookmarkStart w:id="65" w:name="_Toc178837330"/>
      <w:r>
        <w:t>21.12.6c Maçonneries portantes en blocs de béton d'argile expansée creux à maçonner CCTB 01.12</w:t>
      </w:r>
      <w:bookmarkEnd w:id="65"/>
    </w:p>
    <w:p w14:paraId="2E698DD6" w14:textId="77777777" w:rsidR="00DF410E" w:rsidRDefault="00CE7F43">
      <w:pPr>
        <w:pStyle w:val="pheading"/>
      </w:pPr>
      <w:r>
        <w:t>DESCRIPTION</w:t>
      </w:r>
    </w:p>
    <w:p w14:paraId="22730E8E" w14:textId="77777777" w:rsidR="00DF410E" w:rsidRDefault="00CE7F43">
      <w:pPr>
        <w:pStyle w:val="pheading"/>
      </w:pPr>
      <w:r>
        <w:t>- Définition / Comprend</w:t>
      </w:r>
    </w:p>
    <w:p w14:paraId="33021FD3" w14:textId="77777777" w:rsidR="00DF410E" w:rsidRDefault="00CE7F43">
      <w:r>
        <w:t xml:space="preserve">Il s’agit de la fourniture et la pose de maçonneries portantes en blocs de béton d’argile expansée creux à maçonner. </w:t>
      </w:r>
      <w:r>
        <w:br/>
        <w:t xml:space="preserve">La portée des travaux est décrite dans l’article </w:t>
      </w:r>
      <w:hyperlink w:anchor="371" w:history="1">
        <w:r>
          <w:t>21.12.6 Maçonneries portantes en blocs de béton d'argile expansée</w:t>
        </w:r>
      </w:hyperlink>
      <w:r>
        <w:t>.</w:t>
      </w:r>
      <w:r>
        <w:br/>
        <w:t>Les travaux comprennent également la fourniture et la pose des pièces d’angle, de terminaison et de rencontre.</w:t>
      </w:r>
    </w:p>
    <w:p w14:paraId="738BAB01" w14:textId="77777777" w:rsidR="00DF410E" w:rsidRDefault="00CE7F43">
      <w:pPr>
        <w:pStyle w:val="pheading"/>
      </w:pPr>
      <w:r>
        <w:t>- Localisation</w:t>
      </w:r>
    </w:p>
    <w:p w14:paraId="502C3EE5" w14:textId="77777777" w:rsidR="00DF410E" w:rsidRDefault="00CE7F43">
      <w:r>
        <w:t xml:space="preserve">La pose est réalisée aux endroits suivants : </w:t>
      </w:r>
      <w:r>
        <w:rPr>
          <w:rStyle w:val="optioncarChar"/>
        </w:rPr>
        <w:t>***</w:t>
      </w:r>
      <w:r>
        <w:t>.</w:t>
      </w:r>
      <w:r>
        <w:br/>
        <w:t>Voir plans et métrés détaillés.</w:t>
      </w:r>
    </w:p>
    <w:p w14:paraId="4C75C902" w14:textId="77777777" w:rsidR="00DF410E" w:rsidRDefault="00CE7F43">
      <w:pPr>
        <w:pStyle w:val="pheading"/>
      </w:pPr>
      <w:r>
        <w:t>MATÉRIAUX</w:t>
      </w:r>
    </w:p>
    <w:p w14:paraId="5DAD2831" w14:textId="77777777" w:rsidR="00DF410E" w:rsidRDefault="00CE7F43">
      <w:pPr>
        <w:pStyle w:val="pheading"/>
      </w:pPr>
      <w:r>
        <w:t>- Caractéristiques générales</w:t>
      </w:r>
    </w:p>
    <w:p w14:paraId="56EBD12B" w14:textId="77777777" w:rsidR="00DF410E" w:rsidRDefault="00CE7F43">
      <w:r>
        <w:rPr>
          <w:rStyle w:val="headingChar"/>
        </w:rPr>
        <w:t>Spécifications</w:t>
      </w:r>
    </w:p>
    <w:p w14:paraId="2FC431A5" w14:textId="77777777" w:rsidR="00DF410E" w:rsidRDefault="00CE7F43">
      <w:r>
        <w:rPr>
          <w:u w:val="single"/>
        </w:rPr>
        <w:t>Blocs</w:t>
      </w:r>
    </w:p>
    <w:p w14:paraId="14B14450"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F965B78" w14:textId="77777777" w:rsidR="00DF410E" w:rsidRDefault="00CE7F43">
      <w:r>
        <w:t xml:space="preserve">Le groupe de configuration suivant [NBN EN 1996-1-1+A1 ANB] est </w:t>
      </w:r>
      <w:r>
        <w:rPr>
          <w:rStyle w:val="optioncarChar"/>
        </w:rPr>
        <w:t>2 / 3 / 4 creux</w:t>
      </w:r>
      <w:r>
        <w:t> </w:t>
      </w:r>
      <w:r>
        <w:rPr>
          <w:rStyle w:val="optioncarChar"/>
        </w:rPr>
        <w:t>/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76400373" w14:textId="77777777" w:rsidR="00DF410E" w:rsidRDefault="00CE7F43">
      <w: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10D15289" w14:textId="77777777" w:rsidR="00DF410E" w:rsidRDefault="00CE7F43">
      <w:pPr>
        <w:spacing w:before="0" w:after="0"/>
      </w:pPr>
      <w:r>
        <w:rPr>
          <w:u w:val="single"/>
        </w:rPr>
        <w:t>Mortier</w:t>
      </w:r>
    </w:p>
    <w:p w14:paraId="4957F9B5"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4F136779"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36757B2D" w14:textId="77777777" w:rsidR="00DF410E" w:rsidRDefault="00CE7F43">
      <w:pPr>
        <w:spacing w:before="0" w:after="0"/>
      </w:pPr>
      <w:r>
        <w:rPr>
          <w:rStyle w:val="normalChar"/>
          <w:color w:val="000000"/>
        </w:rPr>
        <w:t>Résistance au gel : oui</w:t>
      </w:r>
    </w:p>
    <w:p w14:paraId="54034E9B" w14:textId="77777777" w:rsidR="00DF410E" w:rsidRDefault="00CE7F43">
      <w:r>
        <w:br/>
      </w:r>
      <w:r>
        <w:rPr>
          <w:rStyle w:val="headingChar"/>
        </w:rPr>
        <w:t>Critères De Performances De La Paroi</w:t>
      </w:r>
    </w:p>
    <w:p w14:paraId="1DEB614F" w14:textId="77777777" w:rsidR="00DF410E" w:rsidRDefault="00CE7F43">
      <w:r>
        <w:t>Coefficient de transmission :</w:t>
      </w:r>
    </w:p>
    <w:p w14:paraId="6A00D4BC" w14:textId="77777777" w:rsidR="00DF410E" w:rsidRDefault="00CE7F43">
      <w:pPr>
        <w:pStyle w:val="Author-eListParagraph"/>
        <w:numPr>
          <w:ilvl w:val="0"/>
          <w:numId w:val="116"/>
        </w:numPr>
      </w:pPr>
      <w:r>
        <w:t xml:space="preserve">valeur U minimale de </w:t>
      </w:r>
      <w:r>
        <w:rPr>
          <w:rStyle w:val="optioncarChar"/>
        </w:rPr>
        <w:t>***</w:t>
      </w:r>
      <w:r>
        <w:t xml:space="preserve"> W/m²K</w:t>
      </w:r>
    </w:p>
    <w:p w14:paraId="3CEE239D" w14:textId="77777777" w:rsidR="00DF410E" w:rsidRDefault="00CE7F43">
      <w:pPr>
        <w:pStyle w:val="Author-eListParagraph"/>
        <w:numPr>
          <w:ilvl w:val="0"/>
          <w:numId w:val="11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6D9066B" w14:textId="77777777" w:rsidR="00DF410E" w:rsidRDefault="00CE7F43">
      <w:r>
        <w:br/>
        <w:t>Résistance au feu :</w:t>
      </w:r>
    </w:p>
    <w:p w14:paraId="1ED7FC2F" w14:textId="77777777" w:rsidR="00DF410E" w:rsidRDefault="00CE7F43">
      <w:pPr>
        <w:pStyle w:val="Author-eListParagraph"/>
        <w:numPr>
          <w:ilvl w:val="0"/>
          <w:numId w:val="117"/>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5EF24B39" w14:textId="77777777" w:rsidR="00DF410E" w:rsidRDefault="00CE7F43">
      <w:pPr>
        <w:pStyle w:val="Author-eListParagraph"/>
        <w:numPr>
          <w:ilvl w:val="0"/>
          <w:numId w:val="117"/>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103CB3BC" w14:textId="77777777" w:rsidR="00DF410E" w:rsidRDefault="00CE7F43">
      <w:r>
        <w:t>selon les tableaux dans [NBN EN 1996-1-2 ANB].</w:t>
      </w:r>
    </w:p>
    <w:p w14:paraId="03C7E79A" w14:textId="77777777" w:rsidR="00DF410E" w:rsidRDefault="00DF410E"/>
    <w:p w14:paraId="270CAA2E" w14:textId="77777777" w:rsidR="00DF410E" w:rsidRDefault="00CE7F43">
      <w:r>
        <w:t> </w:t>
      </w:r>
    </w:p>
    <w:p w14:paraId="2BE97922" w14:textId="77777777" w:rsidR="00DF410E" w:rsidRDefault="00CE7F43">
      <w:pPr>
        <w:pStyle w:val="pheading"/>
      </w:pPr>
      <w:r>
        <w:t>- Finitions</w:t>
      </w:r>
    </w:p>
    <w:p w14:paraId="36D8DFB3" w14:textId="77777777" w:rsidR="00DF410E" w:rsidRDefault="00DF410E"/>
    <w:p w14:paraId="390AA168" w14:textId="77777777" w:rsidR="00DF410E" w:rsidRDefault="00CE7F43">
      <w:pPr>
        <w:pStyle w:val="Author-eListParagraph"/>
        <w:numPr>
          <w:ilvl w:val="0"/>
          <w:numId w:val="118"/>
        </w:numPr>
      </w:pPr>
      <w:r>
        <w:t xml:space="preserve">Les faces de murs suivantes sont exécutées comme maçonneries apparentes et sont </w:t>
      </w:r>
      <w:r>
        <w:rPr>
          <w:rStyle w:val="optioncarChar"/>
          <w:color w:val="000000"/>
        </w:rPr>
        <w:t>rejointoyées</w:t>
      </w:r>
      <w:r>
        <w:t xml:space="preserve"> selon </w:t>
      </w:r>
      <w:hyperlink w:anchor="344" w:history="1">
        <w:r>
          <w:t>21.61.1b Joints de maçonnerie apparente</w:t>
        </w:r>
      </w:hyperlink>
      <w:r>
        <w:t xml:space="preserve"> : </w:t>
      </w:r>
      <w:r>
        <w:rPr>
          <w:rStyle w:val="optioncarChar"/>
        </w:rPr>
        <w:t>***</w:t>
      </w:r>
    </w:p>
    <w:p w14:paraId="67DEE247" w14:textId="77777777" w:rsidR="00DF410E" w:rsidRDefault="00CE7F43">
      <w:pPr>
        <w:pStyle w:val="Author-eListParagraph"/>
        <w:numPr>
          <w:ilvl w:val="0"/>
          <w:numId w:val="118"/>
        </w:numPr>
      </w:pPr>
      <w:r>
        <w:t xml:space="preserve">Les murs suivants sont exécutés avec une face restant apparente : </w:t>
      </w:r>
      <w:r>
        <w:rPr>
          <w:rStyle w:val="optioncarChar"/>
        </w:rPr>
        <w:t>***</w:t>
      </w:r>
    </w:p>
    <w:p w14:paraId="6C9BB347" w14:textId="77777777" w:rsidR="00DF410E" w:rsidRDefault="00CE7F43">
      <w:pPr>
        <w:pStyle w:val="Author-eListParagraph"/>
        <w:numPr>
          <w:ilvl w:val="0"/>
          <w:numId w:val="118"/>
        </w:numPr>
      </w:pPr>
      <w:r>
        <w:t xml:space="preserve">Les murs suivants sont exécutés avec deux faces restant apparentes : </w:t>
      </w:r>
      <w:r>
        <w:rPr>
          <w:rStyle w:val="optioncarChar"/>
        </w:rPr>
        <w:t>***</w:t>
      </w:r>
    </w:p>
    <w:p w14:paraId="2C39A3CE" w14:textId="77777777" w:rsidR="00DF410E" w:rsidRDefault="00CE7F43">
      <w:pPr>
        <w:pStyle w:val="pheading"/>
      </w:pPr>
      <w:r>
        <w:t>MESURAGE</w:t>
      </w:r>
    </w:p>
    <w:p w14:paraId="3A4DD6CD" w14:textId="77777777" w:rsidR="00DF410E" w:rsidRDefault="00CE7F43">
      <w:pPr>
        <w:pStyle w:val="pheading"/>
      </w:pPr>
      <w:r>
        <w:t>- unité de mesure:</w:t>
      </w:r>
    </w:p>
    <w:p w14:paraId="57363C74" w14:textId="77777777" w:rsidR="00DF410E" w:rsidRDefault="00CE7F43">
      <w:r>
        <w:rPr>
          <w:rStyle w:val="optioncarChar"/>
        </w:rPr>
        <w:t>m³ </w:t>
      </w:r>
      <w:r>
        <w:t>(par défaut)</w:t>
      </w:r>
      <w:r>
        <w:rPr>
          <w:rStyle w:val="optioncarChar"/>
        </w:rPr>
        <w:t> / m²</w:t>
      </w:r>
    </w:p>
    <w:p w14:paraId="56BA2101" w14:textId="77777777" w:rsidR="00DF410E" w:rsidRDefault="00CE7F43">
      <w:r>
        <w:rPr>
          <w:b/>
        </w:rPr>
        <w:t>(soit par défaut)</w:t>
      </w:r>
    </w:p>
    <w:p w14:paraId="3D910EA9" w14:textId="77777777" w:rsidR="00DF410E" w:rsidRDefault="00CE7F43">
      <w:r>
        <w:rPr>
          <w:rStyle w:val="soitChar"/>
        </w:rPr>
        <w:t>1. m³</w:t>
      </w:r>
    </w:p>
    <w:p w14:paraId="00EC476F" w14:textId="77777777" w:rsidR="00DF410E" w:rsidRDefault="00CE7F43">
      <w:r>
        <w:rPr>
          <w:b/>
        </w:rPr>
        <w:t>(soit)</w:t>
      </w:r>
    </w:p>
    <w:p w14:paraId="037D1F3B" w14:textId="77777777" w:rsidR="00DF410E" w:rsidRDefault="00CE7F43">
      <w:r>
        <w:rPr>
          <w:rStyle w:val="soitChar"/>
        </w:rPr>
        <w:t>2. m²</w:t>
      </w:r>
    </w:p>
    <w:p w14:paraId="7223CCDC" w14:textId="77777777" w:rsidR="00DF410E" w:rsidRDefault="00CE7F43">
      <w:pPr>
        <w:pStyle w:val="pheading"/>
      </w:pPr>
      <w:r>
        <w:t>- code de mesurage:</w:t>
      </w:r>
    </w:p>
    <w:p w14:paraId="6277029F"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AAC8188"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6F1E3E0"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8BFB4F5" w14:textId="77777777" w:rsidR="00DF410E" w:rsidRDefault="00CE7F43">
      <w:r>
        <w:rPr>
          <w:rStyle w:val="optioncarChar"/>
        </w:rPr>
        <w:t>Volume net </w:t>
      </w:r>
      <w:r>
        <w:t>(par défaut)</w:t>
      </w:r>
      <w:r>
        <w:rPr>
          <w:rStyle w:val="optioncarChar"/>
        </w:rPr>
        <w:t> / Surface nette</w:t>
      </w:r>
    </w:p>
    <w:p w14:paraId="4D8DF7C4" w14:textId="77777777" w:rsidR="00DF410E" w:rsidRDefault="00CE7F43">
      <w:r>
        <w:rPr>
          <w:b/>
        </w:rPr>
        <w:t>(soit par défaut)</w:t>
      </w:r>
    </w:p>
    <w:p w14:paraId="5A66EF1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EF6434" w14:textId="77777777" w:rsidR="00DF410E" w:rsidRDefault="00CE7F43">
      <w:r>
        <w:rPr>
          <w:b/>
        </w:rPr>
        <w:t>(soit)</w:t>
      </w:r>
    </w:p>
    <w:p w14:paraId="2FE3FBBA"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83CEA6E" w14:textId="77777777" w:rsidR="00DF410E" w:rsidRDefault="00CE7F43">
      <w:pPr>
        <w:pStyle w:val="pheading"/>
      </w:pPr>
      <w:r>
        <w:t>- nature du marché:</w:t>
      </w:r>
    </w:p>
    <w:p w14:paraId="33FA7253" w14:textId="77777777" w:rsidR="00DF410E" w:rsidRDefault="00CE7F43">
      <w:r>
        <w:t>QF</w:t>
      </w:r>
    </w:p>
    <w:p w14:paraId="2A00B75D" w14:textId="77777777" w:rsidR="00DF410E" w:rsidRDefault="00CE7F43">
      <w:pPr>
        <w:pStyle w:val="Author-eSectionHeading6"/>
      </w:pPr>
      <w:bookmarkStart w:id="66" w:name="_Toc178837331"/>
      <w:r>
        <w:t>21.12.6d Maçonneries portantes en blocs de béton d'argile expansée creux à coller CCTB 01.12</w:t>
      </w:r>
      <w:bookmarkEnd w:id="66"/>
    </w:p>
    <w:p w14:paraId="7887431F" w14:textId="77777777" w:rsidR="00DF410E" w:rsidRDefault="00CE7F43">
      <w:pPr>
        <w:pStyle w:val="pheading"/>
      </w:pPr>
      <w:r>
        <w:t>DESCRIPTION</w:t>
      </w:r>
    </w:p>
    <w:p w14:paraId="78270261" w14:textId="77777777" w:rsidR="00DF410E" w:rsidRDefault="00CE7F43">
      <w:pPr>
        <w:pStyle w:val="pheading"/>
      </w:pPr>
      <w:r>
        <w:t>- Définition / Comprend</w:t>
      </w:r>
    </w:p>
    <w:p w14:paraId="0B9348D7" w14:textId="77777777" w:rsidR="00DF410E" w:rsidRDefault="00CE7F43">
      <w:r>
        <w:t xml:space="preserve">Il s’agit de la fourniture et la pose de maçonneries portantes en blocs de béton d’argile expansée creux à coller. </w:t>
      </w:r>
      <w:r>
        <w:br/>
        <w:t xml:space="preserve">La portée des travaux est décrite dans l’article </w:t>
      </w:r>
      <w:hyperlink w:anchor="371" w:history="1">
        <w:r>
          <w:t>21.12.6 Maçonneries portantes en blocs de béton d'argile expansée</w:t>
        </w:r>
      </w:hyperlink>
      <w:r>
        <w:t>.</w:t>
      </w:r>
      <w:r>
        <w:br/>
        <w:t>Les travaux comprennent également la fourniture et la pose des pièces d’angle, de terminaison et de rencontre.</w:t>
      </w:r>
    </w:p>
    <w:p w14:paraId="2C5E0E7D" w14:textId="77777777" w:rsidR="00DF410E" w:rsidRDefault="00CE7F43">
      <w:pPr>
        <w:pStyle w:val="pheading"/>
      </w:pPr>
      <w:r>
        <w:t>- Localisation</w:t>
      </w:r>
    </w:p>
    <w:p w14:paraId="2F5E9599" w14:textId="77777777" w:rsidR="00DF410E" w:rsidRDefault="00CE7F43">
      <w:r>
        <w:t xml:space="preserve">La pose est réalisée aux endroits suivants : </w:t>
      </w:r>
      <w:r>
        <w:rPr>
          <w:rStyle w:val="optioncarChar"/>
        </w:rPr>
        <w:t>***</w:t>
      </w:r>
      <w:r>
        <w:t>.</w:t>
      </w:r>
      <w:r>
        <w:br/>
        <w:t>Voir plans et métrés détaillés.</w:t>
      </w:r>
    </w:p>
    <w:p w14:paraId="5A9DCD4C" w14:textId="77777777" w:rsidR="00DF410E" w:rsidRDefault="00CE7F43">
      <w:pPr>
        <w:pStyle w:val="pheading"/>
      </w:pPr>
      <w:r>
        <w:t>MATÉRIAUX</w:t>
      </w:r>
    </w:p>
    <w:p w14:paraId="72D9B7B8" w14:textId="77777777" w:rsidR="00DF410E" w:rsidRDefault="00CE7F43">
      <w:pPr>
        <w:pStyle w:val="pheading"/>
      </w:pPr>
      <w:r>
        <w:t>- Caractéristiques générales</w:t>
      </w:r>
    </w:p>
    <w:p w14:paraId="256A0941" w14:textId="77777777" w:rsidR="00DF410E" w:rsidRDefault="00CE7F43">
      <w:r>
        <w:rPr>
          <w:rStyle w:val="headingChar"/>
        </w:rPr>
        <w:t>Spécifications</w:t>
      </w:r>
    </w:p>
    <w:p w14:paraId="6FF1BC61" w14:textId="77777777" w:rsidR="00DF410E" w:rsidRDefault="00CE7F43">
      <w:r>
        <w:rPr>
          <w:u w:val="single"/>
        </w:rPr>
        <w:t>Blocs</w:t>
      </w:r>
    </w:p>
    <w:p w14:paraId="27D4D72A"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2B4F3EE6" w14:textId="77777777" w:rsidR="00DF410E" w:rsidRDefault="00CE7F43">
      <w:r>
        <w:t xml:space="preserve">Le groupe de configuration suivant [NBN EN 1996-1-1+A1 ANB] est </w:t>
      </w:r>
      <w:r>
        <w:rPr>
          <w:rStyle w:val="optioncarChar"/>
        </w:rPr>
        <w:t>2 / 3 / 4 / creux / ***</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1A2CD2D3" w14:textId="77777777" w:rsidR="00DF410E" w:rsidRDefault="00CE7F43">
      <w: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44A0B741" w14:textId="77777777" w:rsidR="00DF410E" w:rsidRDefault="00CE7F43">
      <w:pPr>
        <w:spacing w:before="0" w:after="0"/>
      </w:pPr>
      <w:r>
        <w:rPr>
          <w:u w:val="single"/>
        </w:rPr>
        <w:t>Mortier</w:t>
      </w:r>
    </w:p>
    <w:p w14:paraId="64A300D8" w14:textId="77777777" w:rsidR="00DF410E" w:rsidRDefault="00CE7F43">
      <w:pPr>
        <w:spacing w:before="0" w:after="0"/>
      </w:pPr>
      <w:r>
        <w:rPr>
          <w:rStyle w:val="normalChar"/>
          <w:color w:val="000000"/>
        </w:rPr>
        <w:t>Classe de résistance :</w:t>
      </w:r>
      <w:r>
        <w:rPr>
          <w:rStyle w:val="optioncarChar"/>
        </w:rPr>
        <w:t>M1 / M2,5 / M5 (</w:t>
      </w:r>
      <w:r>
        <w:t>par défaut)</w:t>
      </w:r>
      <w:r>
        <w:rPr>
          <w:rStyle w:val="optioncarChar"/>
        </w:rPr>
        <w:t xml:space="preserve"> / M10 / M15 / M20 </w:t>
      </w:r>
    </w:p>
    <w:p w14:paraId="5C643C34"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0C6679A6" w14:textId="77777777" w:rsidR="00DF410E" w:rsidRDefault="00CE7F43">
      <w:pPr>
        <w:spacing w:before="0" w:after="0"/>
      </w:pPr>
      <w:r>
        <w:rPr>
          <w:rStyle w:val="normalChar"/>
          <w:color w:val="000000"/>
        </w:rPr>
        <w:t>Résistance au gel : oui</w:t>
      </w:r>
    </w:p>
    <w:p w14:paraId="52559837" w14:textId="77777777" w:rsidR="00DF410E" w:rsidRDefault="00CE7F43">
      <w:r>
        <w:br/>
      </w:r>
      <w:r>
        <w:rPr>
          <w:rStyle w:val="headingChar"/>
        </w:rPr>
        <w:t>Critères De Performances De La Paroi</w:t>
      </w:r>
    </w:p>
    <w:p w14:paraId="38BD57B0" w14:textId="77777777" w:rsidR="00DF410E" w:rsidRDefault="00CE7F43">
      <w:r>
        <w:t>Coefficient de transmission :</w:t>
      </w:r>
    </w:p>
    <w:p w14:paraId="52D9CF62" w14:textId="77777777" w:rsidR="00DF410E" w:rsidRDefault="00CE7F43">
      <w:pPr>
        <w:pStyle w:val="Author-eListParagraph"/>
        <w:numPr>
          <w:ilvl w:val="0"/>
          <w:numId w:val="119"/>
        </w:numPr>
      </w:pPr>
      <w:r>
        <w:t xml:space="preserve">valeur U minimale de </w:t>
      </w:r>
      <w:r>
        <w:rPr>
          <w:rStyle w:val="optioncarChar"/>
        </w:rPr>
        <w:t>***</w:t>
      </w:r>
      <w:r>
        <w:t xml:space="preserve"> W/m²K</w:t>
      </w:r>
    </w:p>
    <w:p w14:paraId="08F5B148" w14:textId="77777777" w:rsidR="00DF410E" w:rsidRDefault="00CE7F43">
      <w:pPr>
        <w:pStyle w:val="Author-eListParagraph"/>
        <w:numPr>
          <w:ilvl w:val="0"/>
          <w:numId w:val="11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49EBFFE" w14:textId="77777777" w:rsidR="00DF410E" w:rsidRDefault="00CE7F43">
      <w:r>
        <w:br/>
        <w:t>Résistance au feu :</w:t>
      </w:r>
    </w:p>
    <w:p w14:paraId="69384CE3" w14:textId="77777777" w:rsidR="00DF410E" w:rsidRDefault="00CE7F43">
      <w:pPr>
        <w:pStyle w:val="Author-eListParagraph"/>
        <w:numPr>
          <w:ilvl w:val="0"/>
          <w:numId w:val="120"/>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2FEA8399" w14:textId="77777777" w:rsidR="00DF410E" w:rsidRDefault="00CE7F43">
      <w:pPr>
        <w:pStyle w:val="Author-eListParagraph"/>
        <w:numPr>
          <w:ilvl w:val="0"/>
          <w:numId w:val="120"/>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52C743F8" w14:textId="77777777" w:rsidR="00DF410E" w:rsidRDefault="00CE7F43">
      <w:r>
        <w:t>selon les tableaux dans [NBN EN 1996-1-2 ANB].</w:t>
      </w:r>
    </w:p>
    <w:p w14:paraId="4187748F" w14:textId="77777777" w:rsidR="00DF410E" w:rsidRDefault="00DF410E"/>
    <w:p w14:paraId="048F6845" w14:textId="77777777" w:rsidR="00DF410E" w:rsidRDefault="00CE7F43">
      <w:r>
        <w:t> </w:t>
      </w:r>
    </w:p>
    <w:p w14:paraId="0C9FDC23" w14:textId="77777777" w:rsidR="00DF410E" w:rsidRDefault="00CE7F43">
      <w:pPr>
        <w:pStyle w:val="pheading"/>
      </w:pPr>
      <w:r>
        <w:t>- Finitions</w:t>
      </w:r>
    </w:p>
    <w:p w14:paraId="6BCCDF9D" w14:textId="77777777" w:rsidR="00DF410E" w:rsidRDefault="00DF410E"/>
    <w:p w14:paraId="2DAB6D04" w14:textId="77777777" w:rsidR="00DF410E" w:rsidRDefault="00CE7F43">
      <w:pPr>
        <w:pStyle w:val="Author-eListParagraph"/>
        <w:numPr>
          <w:ilvl w:val="0"/>
          <w:numId w:val="121"/>
        </w:numPr>
      </w:pPr>
      <w:r>
        <w:t>Les faces de murs suivantes sont exécutées comme maçonneries apparentes et sont</w:t>
      </w:r>
      <w:r>
        <w:rPr>
          <w:rStyle w:val="optioncarChar"/>
          <w:color w:val="000000"/>
        </w:rPr>
        <w:t xml:space="preserve"> rejointoyées</w:t>
      </w:r>
      <w:r>
        <w:t xml:space="preserve"> selon </w:t>
      </w:r>
      <w:hyperlink w:anchor="344" w:history="1">
        <w:r>
          <w:t>21.61.1b Joints de maçonnerie apparente</w:t>
        </w:r>
      </w:hyperlink>
      <w:r>
        <w:t xml:space="preserve"> : </w:t>
      </w:r>
      <w:r>
        <w:rPr>
          <w:rStyle w:val="optioncarChar"/>
        </w:rPr>
        <w:t>***</w:t>
      </w:r>
    </w:p>
    <w:p w14:paraId="24820A59" w14:textId="77777777" w:rsidR="00DF410E" w:rsidRDefault="00CE7F43">
      <w:pPr>
        <w:pStyle w:val="Author-eListParagraph"/>
        <w:numPr>
          <w:ilvl w:val="0"/>
          <w:numId w:val="121"/>
        </w:numPr>
      </w:pPr>
      <w:r>
        <w:t xml:space="preserve">Les murs suivants sont exécutés avec une face restant apparente : </w:t>
      </w:r>
      <w:r>
        <w:rPr>
          <w:rStyle w:val="optioncarChar"/>
        </w:rPr>
        <w:t>***</w:t>
      </w:r>
    </w:p>
    <w:p w14:paraId="2BD3AE48" w14:textId="77777777" w:rsidR="00DF410E" w:rsidRDefault="00CE7F43">
      <w:pPr>
        <w:pStyle w:val="Author-eListParagraph"/>
        <w:numPr>
          <w:ilvl w:val="0"/>
          <w:numId w:val="121"/>
        </w:numPr>
      </w:pPr>
      <w:r>
        <w:t xml:space="preserve">Les murs suivants sont exécutés avec deux faces restant apparentes : </w:t>
      </w:r>
      <w:r>
        <w:rPr>
          <w:rStyle w:val="optioncarChar"/>
        </w:rPr>
        <w:t>***</w:t>
      </w:r>
    </w:p>
    <w:p w14:paraId="72D1D19A" w14:textId="77777777" w:rsidR="00DF410E" w:rsidRDefault="00CE7F43">
      <w:pPr>
        <w:pStyle w:val="pheading"/>
      </w:pPr>
      <w:r>
        <w:t>MESURAGE</w:t>
      </w:r>
    </w:p>
    <w:p w14:paraId="7662EBCA" w14:textId="77777777" w:rsidR="00DF410E" w:rsidRDefault="00CE7F43">
      <w:pPr>
        <w:pStyle w:val="pheading"/>
      </w:pPr>
      <w:r>
        <w:t>- unité de mesure:</w:t>
      </w:r>
    </w:p>
    <w:p w14:paraId="4BFCA57C" w14:textId="77777777" w:rsidR="00DF410E" w:rsidRDefault="00CE7F43">
      <w:r>
        <w:rPr>
          <w:rStyle w:val="optioncarChar"/>
        </w:rPr>
        <w:t>m³ </w:t>
      </w:r>
      <w:r>
        <w:t>(par défaut)</w:t>
      </w:r>
      <w:r>
        <w:rPr>
          <w:rStyle w:val="optioncarChar"/>
        </w:rPr>
        <w:t> / m²</w:t>
      </w:r>
    </w:p>
    <w:p w14:paraId="36655EB0" w14:textId="77777777" w:rsidR="00DF410E" w:rsidRDefault="00CE7F43">
      <w:r>
        <w:rPr>
          <w:b/>
        </w:rPr>
        <w:t>(soit par défaut)</w:t>
      </w:r>
    </w:p>
    <w:p w14:paraId="69EE5B34" w14:textId="77777777" w:rsidR="00DF410E" w:rsidRDefault="00CE7F43">
      <w:r>
        <w:rPr>
          <w:rStyle w:val="soitChar"/>
        </w:rPr>
        <w:t>1. m³</w:t>
      </w:r>
    </w:p>
    <w:p w14:paraId="782DCEDA" w14:textId="77777777" w:rsidR="00DF410E" w:rsidRDefault="00CE7F43">
      <w:r>
        <w:rPr>
          <w:b/>
        </w:rPr>
        <w:t>(soit)</w:t>
      </w:r>
    </w:p>
    <w:p w14:paraId="10656FCB" w14:textId="77777777" w:rsidR="00DF410E" w:rsidRDefault="00CE7F43">
      <w:r>
        <w:rPr>
          <w:rStyle w:val="soitChar"/>
        </w:rPr>
        <w:t>2. m²</w:t>
      </w:r>
    </w:p>
    <w:p w14:paraId="1E7E761F" w14:textId="77777777" w:rsidR="00DF410E" w:rsidRDefault="00CE7F43">
      <w:pPr>
        <w:pStyle w:val="pheading"/>
      </w:pPr>
      <w:r>
        <w:t>- code de mesurage:</w:t>
      </w:r>
    </w:p>
    <w:p w14:paraId="74863FA7"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D44D2F1"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45D4955"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9D31D4A" w14:textId="77777777" w:rsidR="00DF410E" w:rsidRDefault="00CE7F43">
      <w:r>
        <w:rPr>
          <w:rStyle w:val="optioncarChar"/>
        </w:rPr>
        <w:t>Volume net </w:t>
      </w:r>
      <w:r>
        <w:t>(par défaut)</w:t>
      </w:r>
      <w:r>
        <w:rPr>
          <w:rStyle w:val="optioncarChar"/>
        </w:rPr>
        <w:t> / Surface nette</w:t>
      </w:r>
    </w:p>
    <w:p w14:paraId="331790CD" w14:textId="77777777" w:rsidR="00DF410E" w:rsidRDefault="00CE7F43">
      <w:r>
        <w:rPr>
          <w:b/>
        </w:rPr>
        <w:t>(soit par défaut)</w:t>
      </w:r>
    </w:p>
    <w:p w14:paraId="2A1AD820"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2E1FA52" w14:textId="77777777" w:rsidR="00DF410E" w:rsidRDefault="00CE7F43">
      <w:r>
        <w:rPr>
          <w:b/>
        </w:rPr>
        <w:t>(soit)</w:t>
      </w:r>
    </w:p>
    <w:p w14:paraId="124D0C8F"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0E78B96" w14:textId="77777777" w:rsidR="00DF410E" w:rsidRDefault="00DF410E"/>
    <w:p w14:paraId="3DE2D7D4" w14:textId="77777777" w:rsidR="00DF410E" w:rsidRDefault="00CE7F43">
      <w:r>
        <w:t> </w:t>
      </w:r>
    </w:p>
    <w:p w14:paraId="427EADCB" w14:textId="77777777" w:rsidR="00DF410E" w:rsidRDefault="00CE7F43">
      <w:pPr>
        <w:pStyle w:val="pheading"/>
      </w:pPr>
      <w:r>
        <w:t>- nature du marché:</w:t>
      </w:r>
    </w:p>
    <w:p w14:paraId="10DE0D0E" w14:textId="77777777" w:rsidR="00DF410E" w:rsidRDefault="00CE7F43">
      <w:r>
        <w:t>QF</w:t>
      </w:r>
    </w:p>
    <w:p w14:paraId="31A7906D" w14:textId="77777777" w:rsidR="00DF410E" w:rsidRDefault="00CE7F43">
      <w:pPr>
        <w:pStyle w:val="Author-eSectionHeading6"/>
      </w:pPr>
      <w:bookmarkStart w:id="67" w:name="_Toc178837332"/>
      <w:r>
        <w:t>21.12.6e Maçonneries portantes en blocs de béton d'argile expansée avec système de dosage pour liant hydraulique CCTB 01.12</w:t>
      </w:r>
      <w:bookmarkEnd w:id="67"/>
    </w:p>
    <w:p w14:paraId="045C843C" w14:textId="77777777" w:rsidR="00DF410E" w:rsidRDefault="00CE7F43">
      <w:pPr>
        <w:pStyle w:val="pheading"/>
      </w:pPr>
      <w:r>
        <w:t>DESCRIPTION</w:t>
      </w:r>
    </w:p>
    <w:p w14:paraId="6C49B515" w14:textId="77777777" w:rsidR="00DF410E" w:rsidRDefault="00CE7F43">
      <w:pPr>
        <w:pStyle w:val="pheading"/>
      </w:pPr>
      <w:r>
        <w:t>- Définition / Comprend</w:t>
      </w:r>
    </w:p>
    <w:p w14:paraId="62B4C4D0" w14:textId="77777777" w:rsidR="00DF410E" w:rsidRDefault="00CE7F43">
      <w:r>
        <w:t xml:space="preserve">Il s’agit de la fourniture et la pose de maçonneries portantes en blocs de béton d’argile expansée avec système de dosage pour liant hydraulique. </w:t>
      </w:r>
      <w:r>
        <w:br/>
        <w:t xml:space="preserve">La portée des travaux est décrite dans l’article </w:t>
      </w:r>
      <w:hyperlink w:anchor="371" w:history="1">
        <w:r>
          <w:t>21.12.6 Maçonneries portantes en blocs de béton d'argile expansée</w:t>
        </w:r>
      </w:hyperlink>
      <w:r>
        <w:t>.</w:t>
      </w:r>
      <w:r>
        <w:br/>
        <w:t>Les travaux comprennent également la fourniture et la pose des pièces d’angle, de terminaison et de rencontre.</w:t>
      </w:r>
    </w:p>
    <w:p w14:paraId="4BEF45D7" w14:textId="77777777" w:rsidR="00DF410E" w:rsidRDefault="00CE7F43">
      <w:pPr>
        <w:pStyle w:val="pheading"/>
      </w:pPr>
      <w:r>
        <w:t>- Localisation</w:t>
      </w:r>
    </w:p>
    <w:p w14:paraId="3557209F" w14:textId="77777777" w:rsidR="00DF410E" w:rsidRDefault="00CE7F43">
      <w:r>
        <w:t xml:space="preserve">La pose est réalisée aux endroits suivants : </w:t>
      </w:r>
      <w:r>
        <w:rPr>
          <w:rStyle w:val="optioncarChar"/>
        </w:rPr>
        <w:t>***</w:t>
      </w:r>
      <w:r>
        <w:t>.</w:t>
      </w:r>
      <w:r>
        <w:br/>
        <w:t>Voir plans et métrés détaillés.</w:t>
      </w:r>
    </w:p>
    <w:p w14:paraId="6A8B5398" w14:textId="77777777" w:rsidR="00DF410E" w:rsidRDefault="00CE7F43">
      <w:pPr>
        <w:pStyle w:val="pheading"/>
      </w:pPr>
      <w:r>
        <w:t>MATÉRIAUX</w:t>
      </w:r>
    </w:p>
    <w:p w14:paraId="7E12D445" w14:textId="77777777" w:rsidR="00DF410E" w:rsidRDefault="00CE7F43">
      <w:pPr>
        <w:pStyle w:val="pheading"/>
      </w:pPr>
      <w:r>
        <w:t>- Caractéristiques générales</w:t>
      </w:r>
    </w:p>
    <w:p w14:paraId="3366440B" w14:textId="77777777" w:rsidR="00DF410E" w:rsidRDefault="00CE7F43">
      <w:r>
        <w:rPr>
          <w:rStyle w:val="headingChar"/>
        </w:rPr>
        <w:t>Spécifications</w:t>
      </w:r>
    </w:p>
    <w:p w14:paraId="754D1FE7" w14:textId="77777777" w:rsidR="00DF410E" w:rsidRDefault="00CE7F43">
      <w:r>
        <w:rPr>
          <w:u w:val="single"/>
        </w:rPr>
        <w:t>Blocs</w:t>
      </w:r>
    </w:p>
    <w:p w14:paraId="2ACDCCD1"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43736FB" w14:textId="77777777" w:rsidR="00DF410E" w:rsidRDefault="00CE7F43">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454518D8" w14:textId="77777777" w:rsidR="00DF410E" w:rsidRDefault="00CE7F43">
      <w: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06D6F242" w14:textId="77777777" w:rsidR="00DF410E" w:rsidRDefault="00CE7F43">
      <w: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7F189501" w14:textId="77777777" w:rsidR="00DF410E" w:rsidRDefault="00CE7F43">
      <w:pPr>
        <w:spacing w:before="0" w:after="0"/>
      </w:pPr>
      <w:r>
        <w:rPr>
          <w:u w:val="single"/>
        </w:rPr>
        <w:t>Mortier</w:t>
      </w:r>
    </w:p>
    <w:p w14:paraId="6D194F0E"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7EFACA7D" w14:textId="77777777" w:rsidR="00DF410E" w:rsidRDefault="00CE7F43">
      <w:r>
        <w:br/>
      </w:r>
      <w:r>
        <w:rPr>
          <w:rStyle w:val="headingChar"/>
        </w:rPr>
        <w:t>Critères De Performances De La Paroi</w:t>
      </w:r>
    </w:p>
    <w:p w14:paraId="763707BB" w14:textId="77777777" w:rsidR="00DF410E" w:rsidRDefault="00CE7F43">
      <w:r>
        <w:t>Coefficient de transmission :</w:t>
      </w:r>
    </w:p>
    <w:p w14:paraId="3830878C" w14:textId="77777777" w:rsidR="00DF410E" w:rsidRDefault="00CE7F43">
      <w:pPr>
        <w:pStyle w:val="Author-eListParagraph"/>
        <w:numPr>
          <w:ilvl w:val="0"/>
          <w:numId w:val="122"/>
        </w:numPr>
      </w:pPr>
      <w:r>
        <w:t xml:space="preserve">valeur U minimale de </w:t>
      </w:r>
      <w:r>
        <w:rPr>
          <w:rStyle w:val="optioncarChar"/>
        </w:rPr>
        <w:t>***</w:t>
      </w:r>
      <w:r>
        <w:t xml:space="preserve"> W/m²K</w:t>
      </w:r>
    </w:p>
    <w:p w14:paraId="38CCCE04" w14:textId="77777777" w:rsidR="00DF410E" w:rsidRDefault="00CE7F43">
      <w:pPr>
        <w:pStyle w:val="Author-eListParagraph"/>
        <w:numPr>
          <w:ilvl w:val="0"/>
          <w:numId w:val="12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4084639" w14:textId="77777777" w:rsidR="00DF410E" w:rsidRDefault="00CE7F43">
      <w:r>
        <w:br/>
        <w:t>Résistance au feu :</w:t>
      </w:r>
    </w:p>
    <w:p w14:paraId="6C7AB938" w14:textId="77777777" w:rsidR="00DF410E" w:rsidRDefault="00CE7F43">
      <w:pPr>
        <w:pStyle w:val="Author-eListParagraph"/>
        <w:numPr>
          <w:ilvl w:val="0"/>
          <w:numId w:val="123"/>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3B20823E" w14:textId="77777777" w:rsidR="00DF410E" w:rsidRDefault="00CE7F43">
      <w:pPr>
        <w:pStyle w:val="Author-eListParagraph"/>
        <w:numPr>
          <w:ilvl w:val="0"/>
          <w:numId w:val="123"/>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693169C0" w14:textId="77777777" w:rsidR="00DF410E" w:rsidRDefault="00CE7F43">
      <w:r>
        <w:t>selon les tableaux dans [NBN EN 1996-1-2 ANB].</w:t>
      </w:r>
    </w:p>
    <w:p w14:paraId="27B2D3CD" w14:textId="77777777" w:rsidR="00DF410E" w:rsidRDefault="00DF410E"/>
    <w:p w14:paraId="12742C47" w14:textId="77777777" w:rsidR="00DF410E" w:rsidRDefault="00CE7F43">
      <w:r>
        <w:t> </w:t>
      </w:r>
    </w:p>
    <w:p w14:paraId="0DD35A3E" w14:textId="77777777" w:rsidR="00DF410E" w:rsidRDefault="00CE7F43">
      <w:pPr>
        <w:pStyle w:val="pheading"/>
      </w:pPr>
      <w:r>
        <w:t>- Finitions</w:t>
      </w:r>
    </w:p>
    <w:p w14:paraId="0039A3B7" w14:textId="77777777" w:rsidR="00DF410E" w:rsidRDefault="00DF410E"/>
    <w:p w14:paraId="3E4A56E2" w14:textId="77777777" w:rsidR="00DF410E" w:rsidRDefault="00CE7F43">
      <w:pPr>
        <w:pStyle w:val="Author-eListParagraph"/>
        <w:numPr>
          <w:ilvl w:val="0"/>
          <w:numId w:val="124"/>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44F3E6CE" w14:textId="77777777" w:rsidR="00DF410E" w:rsidRDefault="00CE7F43">
      <w:pPr>
        <w:pStyle w:val="Author-eListParagraph"/>
        <w:numPr>
          <w:ilvl w:val="0"/>
          <w:numId w:val="124"/>
        </w:numPr>
      </w:pPr>
      <w:r>
        <w:t xml:space="preserve">Les murs suivants sont exécutés avec une face restant apparente : </w:t>
      </w:r>
      <w:r>
        <w:rPr>
          <w:color w:val="FF0000"/>
        </w:rPr>
        <w:t>***</w:t>
      </w:r>
    </w:p>
    <w:p w14:paraId="5BEA58BB" w14:textId="77777777" w:rsidR="00DF410E" w:rsidRDefault="00CE7F43">
      <w:pPr>
        <w:pStyle w:val="Author-eListParagraph"/>
        <w:numPr>
          <w:ilvl w:val="0"/>
          <w:numId w:val="124"/>
        </w:numPr>
      </w:pPr>
      <w:r>
        <w:t xml:space="preserve">Les murs suivants sont exécutés avec deux faces restant apparentes : </w:t>
      </w:r>
      <w:r>
        <w:rPr>
          <w:rStyle w:val="optioncarChar"/>
        </w:rPr>
        <w:t>***</w:t>
      </w:r>
    </w:p>
    <w:p w14:paraId="485AED5A" w14:textId="77777777" w:rsidR="00DF410E" w:rsidRDefault="00CE7F43">
      <w:pPr>
        <w:pStyle w:val="pheading"/>
      </w:pPr>
      <w:r>
        <w:t>MESURAGE</w:t>
      </w:r>
    </w:p>
    <w:p w14:paraId="6350735B" w14:textId="77777777" w:rsidR="00DF410E" w:rsidRDefault="00CE7F43">
      <w:pPr>
        <w:pStyle w:val="pheading"/>
      </w:pPr>
      <w:r>
        <w:t>- unité de mesure:</w:t>
      </w:r>
    </w:p>
    <w:p w14:paraId="206645D9" w14:textId="77777777" w:rsidR="00DF410E" w:rsidRDefault="00CE7F43">
      <w:r>
        <w:rPr>
          <w:rStyle w:val="optioncarChar"/>
        </w:rPr>
        <w:t>m³ </w:t>
      </w:r>
      <w:r>
        <w:t>(par défaut)</w:t>
      </w:r>
      <w:r>
        <w:rPr>
          <w:rStyle w:val="optioncarChar"/>
        </w:rPr>
        <w:t> / m²</w:t>
      </w:r>
    </w:p>
    <w:p w14:paraId="0E925CDE" w14:textId="77777777" w:rsidR="00DF410E" w:rsidRDefault="00CE7F43">
      <w:r>
        <w:rPr>
          <w:b/>
        </w:rPr>
        <w:t>(soit par défaut)</w:t>
      </w:r>
    </w:p>
    <w:p w14:paraId="20016B9F" w14:textId="77777777" w:rsidR="00DF410E" w:rsidRDefault="00CE7F43">
      <w:r>
        <w:rPr>
          <w:rStyle w:val="soitChar"/>
        </w:rPr>
        <w:t>1. m³</w:t>
      </w:r>
    </w:p>
    <w:p w14:paraId="718A645D" w14:textId="77777777" w:rsidR="00DF410E" w:rsidRDefault="00CE7F43">
      <w:r>
        <w:rPr>
          <w:b/>
        </w:rPr>
        <w:t>(soit)</w:t>
      </w:r>
    </w:p>
    <w:p w14:paraId="65392710" w14:textId="77777777" w:rsidR="00DF410E" w:rsidRDefault="00CE7F43">
      <w:r>
        <w:rPr>
          <w:rStyle w:val="soitChar"/>
        </w:rPr>
        <w:t>2. m²</w:t>
      </w:r>
    </w:p>
    <w:p w14:paraId="5C9C8493" w14:textId="77777777" w:rsidR="00DF410E" w:rsidRDefault="00CE7F43">
      <w:pPr>
        <w:pStyle w:val="pheading"/>
      </w:pPr>
      <w:r>
        <w:t>- code de mesurage:</w:t>
      </w:r>
    </w:p>
    <w:p w14:paraId="7B96ED97"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825B32A"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9572F19"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0B68794" w14:textId="77777777" w:rsidR="00DF410E" w:rsidRDefault="00CE7F43">
      <w:r>
        <w:rPr>
          <w:rStyle w:val="optioncarChar"/>
        </w:rPr>
        <w:t>Volume net </w:t>
      </w:r>
      <w:r>
        <w:t>(par défaut)</w:t>
      </w:r>
      <w:r>
        <w:rPr>
          <w:rStyle w:val="optioncarChar"/>
        </w:rPr>
        <w:t> / Surface nette</w:t>
      </w:r>
    </w:p>
    <w:p w14:paraId="257C2D22" w14:textId="77777777" w:rsidR="00DF410E" w:rsidRDefault="00CE7F43">
      <w:r>
        <w:rPr>
          <w:b/>
        </w:rPr>
        <w:t>(soit par défaut)</w:t>
      </w:r>
    </w:p>
    <w:p w14:paraId="27DC2847"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401E4BD" w14:textId="77777777" w:rsidR="00DF410E" w:rsidRDefault="00CE7F43">
      <w:r>
        <w:rPr>
          <w:b/>
        </w:rPr>
        <w:t>(soit)</w:t>
      </w:r>
    </w:p>
    <w:p w14:paraId="17B1024D"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7CB1FD11" w14:textId="77777777" w:rsidR="00DF410E" w:rsidRDefault="00DF410E"/>
    <w:p w14:paraId="53465EC0" w14:textId="77777777" w:rsidR="00DF410E" w:rsidRDefault="00CE7F43">
      <w:r>
        <w:t> </w:t>
      </w:r>
    </w:p>
    <w:p w14:paraId="4DADC30A" w14:textId="77777777" w:rsidR="00DF410E" w:rsidRDefault="00CE7F43">
      <w:pPr>
        <w:pStyle w:val="pheading"/>
      </w:pPr>
      <w:r>
        <w:t>- nature du marché:</w:t>
      </w:r>
    </w:p>
    <w:p w14:paraId="1E2047ED" w14:textId="77777777" w:rsidR="00DF410E" w:rsidRDefault="00CE7F43">
      <w:r>
        <w:t>QF</w:t>
      </w:r>
    </w:p>
    <w:p w14:paraId="57741B26" w14:textId="77777777" w:rsidR="00DF410E" w:rsidRDefault="00CE7F43">
      <w:pPr>
        <w:pStyle w:val="pheading"/>
      </w:pPr>
      <w:r>
        <w:t>AIDE</w:t>
      </w:r>
    </w:p>
    <w:p w14:paraId="1C4268A8" w14:textId="77777777" w:rsidR="00DF410E" w:rsidRDefault="00CE7F43">
      <w:r>
        <w:t>À l'attention de l'auteur de projet</w:t>
      </w:r>
    </w:p>
    <w:p w14:paraId="3AB5C56E" w14:textId="77777777" w:rsidR="00DF410E" w:rsidRDefault="00CE7F43">
      <w:r>
        <w:t>D'autres catégories de qualité sont autorisées pourvu qu'elles ne combinent pas une certaine classe f avec une classe rho supérieure à celle qui correspond à cette classe f dans le tableau. Elles seront proposées par l’auteur de projet au maître de l’ouvrage. Dans le cas de la maçonnerie portante calculée, la classe f requise est déterminée sur la base des calculs effectués selon l'Eurocode 6 et son annexe nationale. La classe f2 est uniquement autorisée pour la maçonnerie non-portante.</w:t>
      </w:r>
    </w:p>
    <w:p w14:paraId="6A63E2FA" w14:textId="77777777" w:rsidR="00DF410E" w:rsidRDefault="00CE7F43">
      <w:pPr>
        <w:pStyle w:val="Author-eSectionHeading6"/>
      </w:pPr>
      <w:bookmarkStart w:id="68" w:name="_Toc178837333"/>
      <w:r>
        <w:t>21.12.6f Maçonneries portantes en blocs de béton d'argile expansée acoustiques CCTB 01.12</w:t>
      </w:r>
      <w:bookmarkEnd w:id="68"/>
    </w:p>
    <w:p w14:paraId="15077EBE" w14:textId="77777777" w:rsidR="00DF410E" w:rsidRDefault="00CE7F43">
      <w:pPr>
        <w:pStyle w:val="pheading"/>
      </w:pPr>
      <w:r>
        <w:t>DESCRIPTION</w:t>
      </w:r>
    </w:p>
    <w:p w14:paraId="5B960468" w14:textId="77777777" w:rsidR="00DF410E" w:rsidRDefault="00CE7F43">
      <w:pPr>
        <w:pStyle w:val="pheading"/>
      </w:pPr>
      <w:r>
        <w:t>- Définition / Comprend</w:t>
      </w:r>
    </w:p>
    <w:p w14:paraId="2533EB44" w14:textId="77777777" w:rsidR="00DF410E" w:rsidRDefault="00CE7F43">
      <w:r>
        <w:t xml:space="preserve">Il s’agit de la fourniture et la pose de maçonneries portantes en blocs de béton d’argile expansée acoustiques. </w:t>
      </w:r>
      <w:r>
        <w:br/>
        <w:t xml:space="preserve">La portée des travaux est décrite dans l’article </w:t>
      </w:r>
      <w:hyperlink w:anchor="371" w:history="1">
        <w:r>
          <w:t>21.12.6 Maçonneries portantes en blocs de béton d'argile expansée</w:t>
        </w:r>
      </w:hyperlink>
      <w:r>
        <w:t>.</w:t>
      </w:r>
      <w:r>
        <w:br/>
        <w:t>Les travaux comprennent également la fourniture et la pose des pièces d’angle, de terminaison et de rencontre.</w:t>
      </w:r>
    </w:p>
    <w:p w14:paraId="53D54F3E" w14:textId="77777777" w:rsidR="00DF410E" w:rsidRDefault="00CE7F43">
      <w:pPr>
        <w:pStyle w:val="pheading"/>
      </w:pPr>
      <w:r>
        <w:t>- Localisation</w:t>
      </w:r>
    </w:p>
    <w:p w14:paraId="394DD890" w14:textId="77777777" w:rsidR="00DF410E" w:rsidRDefault="00CE7F43">
      <w:r>
        <w:t xml:space="preserve">La pose est réalisée aux endroits suivants : </w:t>
      </w:r>
      <w:r>
        <w:rPr>
          <w:rStyle w:val="optioncarChar"/>
        </w:rPr>
        <w:t>***</w:t>
      </w:r>
      <w:r>
        <w:t>.</w:t>
      </w:r>
      <w:r>
        <w:br/>
        <w:t>Voir plans et métrés détaillés.</w:t>
      </w:r>
    </w:p>
    <w:p w14:paraId="7A79DA62" w14:textId="77777777" w:rsidR="00DF410E" w:rsidRDefault="00CE7F43">
      <w:pPr>
        <w:pStyle w:val="pheading"/>
      </w:pPr>
      <w:r>
        <w:t>MATÉRIAUX</w:t>
      </w:r>
    </w:p>
    <w:p w14:paraId="2FBBEC25" w14:textId="77777777" w:rsidR="00DF410E" w:rsidRDefault="00CE7F43">
      <w:pPr>
        <w:pStyle w:val="pheading"/>
      </w:pPr>
      <w:r>
        <w:t>- Caractéristiques générales</w:t>
      </w:r>
    </w:p>
    <w:p w14:paraId="575F1BBC" w14:textId="77777777" w:rsidR="00DF410E" w:rsidRDefault="00CE7F43">
      <w:r>
        <w:rPr>
          <w:rStyle w:val="headingChar"/>
        </w:rPr>
        <w:t>Spécifications</w:t>
      </w:r>
    </w:p>
    <w:p w14:paraId="76B7E265" w14:textId="77777777" w:rsidR="00DF410E" w:rsidRDefault="00CE7F43">
      <w:r>
        <w:rPr>
          <w:u w:val="single"/>
        </w:rPr>
        <w:t>Blocs</w:t>
      </w:r>
    </w:p>
    <w:p w14:paraId="07753A80"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751F314" w14:textId="77777777" w:rsidR="00DF410E" w:rsidRDefault="00CE7F43">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5DE7110B" w14:textId="77777777" w:rsidR="00DF410E" w:rsidRDefault="00CE7F43">
      <w: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rPr>
        <w:t>lisse / adhérence améliorée </w:t>
      </w:r>
      <w:r>
        <w:t xml:space="preserve">(par défaut) </w:t>
      </w:r>
      <w:r>
        <w:rPr>
          <w:rStyle w:val="optioncarChar"/>
        </w:rPr>
        <w:t>/ rainurée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0485B77B" w14:textId="77777777" w:rsidR="00DF410E" w:rsidRDefault="00CE7F43">
      <w:r>
        <w:t>Résistance au gel suivant les classes d’application MX… selon [NBN EN 1996-2 ANB] et [NIT 271].</w:t>
      </w:r>
    </w:p>
    <w:p w14:paraId="18DC8D0D" w14:textId="77777777" w:rsidR="00DF410E" w:rsidRDefault="00CE7F43">
      <w:r>
        <w:t xml:space="preserve">Réaction au feu : </w:t>
      </w:r>
      <w:r>
        <w:rPr>
          <w:rStyle w:val="optioncarChar"/>
        </w:rPr>
        <w:t>A1 / ***</w:t>
      </w:r>
    </w:p>
    <w:p w14:paraId="601BFB5F" w14:textId="77777777" w:rsidR="00DF410E" w:rsidRDefault="00CE7F43">
      <w:pPr>
        <w:spacing w:before="0" w:after="0"/>
      </w:pPr>
      <w:r>
        <w:rPr>
          <w:u w:val="single"/>
        </w:rPr>
        <w:t>Mortier</w:t>
      </w:r>
    </w:p>
    <w:p w14:paraId="2C874893"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5CF7F9CE"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30373BD6" w14:textId="77777777" w:rsidR="00DF410E" w:rsidRDefault="00CE7F43">
      <w:pPr>
        <w:spacing w:before="0" w:after="0"/>
      </w:pPr>
      <w:r>
        <w:rPr>
          <w:rStyle w:val="normalChar"/>
          <w:color w:val="000000"/>
        </w:rPr>
        <w:t>Résistance au gel : oui</w:t>
      </w:r>
    </w:p>
    <w:p w14:paraId="51FF5F13" w14:textId="77777777" w:rsidR="00DF410E" w:rsidRDefault="00CE7F43">
      <w:r>
        <w:br/>
      </w:r>
      <w:r>
        <w:rPr>
          <w:rStyle w:val="headingChar"/>
        </w:rPr>
        <w:t>Critères De Performances De La Paroi</w:t>
      </w:r>
    </w:p>
    <w:p w14:paraId="4CEF500A" w14:textId="77777777" w:rsidR="00DF410E" w:rsidRDefault="00CE7F43">
      <w:r>
        <w:t>Coefficient de transmission :</w:t>
      </w:r>
    </w:p>
    <w:p w14:paraId="13DE7E4E" w14:textId="77777777" w:rsidR="00DF410E" w:rsidRDefault="00CE7F43">
      <w:pPr>
        <w:pStyle w:val="Author-eListParagraph"/>
        <w:numPr>
          <w:ilvl w:val="0"/>
          <w:numId w:val="125"/>
        </w:numPr>
      </w:pPr>
      <w:r>
        <w:t xml:space="preserve">valeur U minimale de </w:t>
      </w:r>
      <w:r>
        <w:rPr>
          <w:rStyle w:val="optioncarChar"/>
        </w:rPr>
        <w:t>***</w:t>
      </w:r>
      <w:r>
        <w:t xml:space="preserve"> W/m²K</w:t>
      </w:r>
    </w:p>
    <w:p w14:paraId="59A034AD" w14:textId="77777777" w:rsidR="00DF410E" w:rsidRDefault="00CE7F43">
      <w:pPr>
        <w:pStyle w:val="Author-eListParagraph"/>
        <w:numPr>
          <w:ilvl w:val="0"/>
          <w:numId w:val="12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211AF7B" w14:textId="77777777" w:rsidR="00DF410E" w:rsidRDefault="00CE7F43">
      <w:r>
        <w:br/>
        <w:t>Résistance au feu :</w:t>
      </w:r>
    </w:p>
    <w:p w14:paraId="2B85EB56" w14:textId="77777777" w:rsidR="00DF410E" w:rsidRDefault="00CE7F43">
      <w:pPr>
        <w:pStyle w:val="Author-eListParagraph"/>
        <w:numPr>
          <w:ilvl w:val="0"/>
          <w:numId w:val="12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4BA1FA37" w14:textId="77777777" w:rsidR="00DF410E" w:rsidRDefault="00CE7F43">
      <w:pPr>
        <w:pStyle w:val="Author-eListParagraph"/>
        <w:numPr>
          <w:ilvl w:val="0"/>
          <w:numId w:val="126"/>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2008DDC2" w14:textId="77777777" w:rsidR="00DF410E" w:rsidRDefault="00CE7F43">
      <w:r>
        <w:t>selon les tableaux dans [NBN EN 1996-1-2 ANB].</w:t>
      </w:r>
    </w:p>
    <w:p w14:paraId="0F3023C9" w14:textId="77777777" w:rsidR="00DF410E" w:rsidRDefault="00DF410E"/>
    <w:p w14:paraId="44D9945C" w14:textId="77777777" w:rsidR="00DF410E" w:rsidRDefault="00CE7F43">
      <w:r>
        <w:t> </w:t>
      </w:r>
    </w:p>
    <w:p w14:paraId="6A1D6C0E" w14:textId="77777777" w:rsidR="00DF410E" w:rsidRDefault="00CE7F43">
      <w:pPr>
        <w:pStyle w:val="pheading"/>
      </w:pPr>
      <w:r>
        <w:t>- Finitions</w:t>
      </w:r>
    </w:p>
    <w:p w14:paraId="05C73EBD" w14:textId="77777777" w:rsidR="00DF410E" w:rsidRDefault="00DF410E"/>
    <w:p w14:paraId="47BE907B" w14:textId="77777777" w:rsidR="00DF410E" w:rsidRDefault="00CE7F43">
      <w:pPr>
        <w:pStyle w:val="Author-eListParagraph"/>
        <w:numPr>
          <w:ilvl w:val="0"/>
          <w:numId w:val="127"/>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74B9A4E2" w14:textId="77777777" w:rsidR="00DF410E" w:rsidRDefault="00CE7F43">
      <w:pPr>
        <w:pStyle w:val="Author-eListParagraph"/>
        <w:numPr>
          <w:ilvl w:val="0"/>
          <w:numId w:val="127"/>
        </w:numPr>
      </w:pPr>
      <w:r>
        <w:t xml:space="preserve">Les murs suivants sont exécutés avec une face restant apparente : </w:t>
      </w:r>
      <w:r>
        <w:rPr>
          <w:rStyle w:val="optioncarChar"/>
        </w:rPr>
        <w:t>***</w:t>
      </w:r>
    </w:p>
    <w:p w14:paraId="10F76904" w14:textId="77777777" w:rsidR="00DF410E" w:rsidRDefault="00CE7F43">
      <w:pPr>
        <w:pStyle w:val="Author-eListParagraph"/>
        <w:numPr>
          <w:ilvl w:val="0"/>
          <w:numId w:val="127"/>
        </w:numPr>
      </w:pPr>
      <w:r>
        <w:t xml:space="preserve">Les murs suivants sont exécutés avec deux faces restant apparentes : </w:t>
      </w:r>
      <w:r>
        <w:rPr>
          <w:rStyle w:val="optioncarChar"/>
        </w:rPr>
        <w:t>***</w:t>
      </w:r>
    </w:p>
    <w:p w14:paraId="7E847C1E" w14:textId="77777777" w:rsidR="00DF410E" w:rsidRDefault="00CE7F43">
      <w:pPr>
        <w:pStyle w:val="pheading"/>
      </w:pPr>
      <w:r>
        <w:t>MESURAGE</w:t>
      </w:r>
    </w:p>
    <w:p w14:paraId="3B9A778C" w14:textId="77777777" w:rsidR="00DF410E" w:rsidRDefault="00CE7F43">
      <w:pPr>
        <w:pStyle w:val="pheading"/>
      </w:pPr>
      <w:r>
        <w:t>- unité de mesure:</w:t>
      </w:r>
    </w:p>
    <w:p w14:paraId="2FE8F806" w14:textId="77777777" w:rsidR="00DF410E" w:rsidRDefault="00CE7F43">
      <w:r>
        <w:rPr>
          <w:rStyle w:val="optioncarChar"/>
        </w:rPr>
        <w:t>m³ </w:t>
      </w:r>
      <w:r>
        <w:t>(par défaut)</w:t>
      </w:r>
      <w:r>
        <w:rPr>
          <w:rStyle w:val="optioncarChar"/>
        </w:rPr>
        <w:t> / m²</w:t>
      </w:r>
    </w:p>
    <w:p w14:paraId="177FC092" w14:textId="77777777" w:rsidR="00DF410E" w:rsidRDefault="00CE7F43">
      <w:r>
        <w:rPr>
          <w:b/>
        </w:rPr>
        <w:t>(soit par défaut)</w:t>
      </w:r>
    </w:p>
    <w:p w14:paraId="1B0B51F8" w14:textId="77777777" w:rsidR="00DF410E" w:rsidRDefault="00CE7F43">
      <w:r>
        <w:rPr>
          <w:rStyle w:val="soitChar"/>
        </w:rPr>
        <w:t>1. m³</w:t>
      </w:r>
    </w:p>
    <w:p w14:paraId="1C546206" w14:textId="77777777" w:rsidR="00DF410E" w:rsidRDefault="00CE7F43">
      <w:r>
        <w:rPr>
          <w:b/>
        </w:rPr>
        <w:t>(soit)</w:t>
      </w:r>
    </w:p>
    <w:p w14:paraId="6C414C3B" w14:textId="77777777" w:rsidR="00DF410E" w:rsidRDefault="00CE7F43">
      <w:r>
        <w:rPr>
          <w:rStyle w:val="soitChar"/>
        </w:rPr>
        <w:t>2. m²</w:t>
      </w:r>
    </w:p>
    <w:p w14:paraId="20165B49" w14:textId="77777777" w:rsidR="00DF410E" w:rsidRDefault="00CE7F43">
      <w:pPr>
        <w:pStyle w:val="pheading"/>
      </w:pPr>
      <w:r>
        <w:t>- code de mesurage:</w:t>
      </w:r>
    </w:p>
    <w:p w14:paraId="14B8D012"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1130022"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0F8D7AB"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5768142" w14:textId="77777777" w:rsidR="00DF410E" w:rsidRDefault="00CE7F43">
      <w:r>
        <w:rPr>
          <w:rStyle w:val="optioncarChar"/>
        </w:rPr>
        <w:t>Volume net </w:t>
      </w:r>
      <w:r>
        <w:t>(par défaut)</w:t>
      </w:r>
      <w:r>
        <w:rPr>
          <w:rStyle w:val="optioncarChar"/>
        </w:rPr>
        <w:t> / Surface nette</w:t>
      </w:r>
    </w:p>
    <w:p w14:paraId="2E49750E" w14:textId="77777777" w:rsidR="00DF410E" w:rsidRDefault="00CE7F43">
      <w:r>
        <w:rPr>
          <w:b/>
        </w:rPr>
        <w:t>(soit par défaut)</w:t>
      </w:r>
    </w:p>
    <w:p w14:paraId="531C56C7"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139EF15" w14:textId="77777777" w:rsidR="00DF410E" w:rsidRDefault="00CE7F43">
      <w:r>
        <w:rPr>
          <w:b/>
        </w:rPr>
        <w:t>(soit)</w:t>
      </w:r>
    </w:p>
    <w:p w14:paraId="2695A37D"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5ADC85A" w14:textId="77777777" w:rsidR="00DF410E" w:rsidRDefault="00DF410E"/>
    <w:p w14:paraId="06EC1727" w14:textId="77777777" w:rsidR="00DF410E" w:rsidRDefault="00CE7F43">
      <w:r>
        <w:t> </w:t>
      </w:r>
    </w:p>
    <w:p w14:paraId="2A40E4EC" w14:textId="77777777" w:rsidR="00DF410E" w:rsidRDefault="00CE7F43">
      <w:pPr>
        <w:pStyle w:val="pheading"/>
      </w:pPr>
      <w:r>
        <w:t>- nature du marché:</w:t>
      </w:r>
    </w:p>
    <w:p w14:paraId="169AFC97" w14:textId="77777777" w:rsidR="00DF410E" w:rsidRDefault="00CE7F43">
      <w:r>
        <w:t>QF</w:t>
      </w:r>
    </w:p>
    <w:p w14:paraId="52D8F1F0" w14:textId="77777777" w:rsidR="00DF410E" w:rsidRDefault="00CE7F43">
      <w:pPr>
        <w:pStyle w:val="Author-eSectionHeading5"/>
      </w:pPr>
      <w:bookmarkStart w:id="69" w:name="_Toc178837334"/>
      <w:r>
        <w:t>21.12.7 Maçonneries portantes en blocs de béton cellulaire CCTB 01.11</w:t>
      </w:r>
      <w:bookmarkEnd w:id="69"/>
    </w:p>
    <w:p w14:paraId="67C67028" w14:textId="77777777" w:rsidR="00DF410E" w:rsidRDefault="00CE7F43">
      <w:pPr>
        <w:pStyle w:val="pheading"/>
      </w:pPr>
      <w:bookmarkStart w:id="70" w:name="372"/>
      <w:bookmarkEnd w:id="70"/>
      <w:r>
        <w:t>MATÉRIAUX</w:t>
      </w:r>
    </w:p>
    <w:p w14:paraId="42C9A4EB" w14:textId="77777777" w:rsidR="00DF410E" w:rsidRDefault="00CE7F43">
      <w:r>
        <w:t>Il s'agit des blocs en béton cellulaire, qui répondent à la norme [NBN EN 771-4+A1] et au [PTV 21-002]. L'entrepreneur soumet un échantillon, la fiche technique et la déclaration des performances (DoP) du matériau pour approbation à l'auteur de projet et au maître de l’ouvrage.</w:t>
      </w:r>
    </w:p>
    <w:p w14:paraId="4CC8A4E9" w14:textId="77777777" w:rsidR="00DF410E" w:rsidRDefault="00CE7F43">
      <w:pPr>
        <w:pStyle w:val="pheading"/>
      </w:pPr>
      <w:r>
        <w:t>EXÉCUTION / MISE EN ŒUVRE</w:t>
      </w:r>
    </w:p>
    <w:p w14:paraId="486B5ACE" w14:textId="77777777" w:rsidR="00DF410E" w:rsidRDefault="00CE7F43">
      <w:r>
        <w:rPr>
          <w:u w:val="single"/>
        </w:rPr>
        <w:t>- Prescriptions générales</w:t>
      </w:r>
    </w:p>
    <w:p w14:paraId="59877AB5" w14:textId="77777777" w:rsidR="00DF410E" w:rsidRDefault="00CE7F43">
      <w:r>
        <w:t>Conformément au mode de mise en œuvre, les blocs en béton cellulaire sont collés à l’aide d’un mortier-colle selon les indications du fabricant des blocs et des notes de calcul du bureau d’études.</w:t>
      </w:r>
    </w:p>
    <w:p w14:paraId="3D7B64D8" w14:textId="77777777" w:rsidR="00DF410E" w:rsidRDefault="00CE7F43">
      <w:r>
        <w:t xml:space="preserve">Le mortier à coller (selon la norme [NBN EN 998-2] et le règlement d’application [TRA 651] ) répond à la catégorie : </w:t>
      </w:r>
      <w:r>
        <w:rPr>
          <w:rStyle w:val="optioncarChar"/>
        </w:rPr>
        <w:t>M10 </w:t>
      </w:r>
      <w:r>
        <w:t>(par défaut)</w:t>
      </w:r>
      <w:r>
        <w:rPr>
          <w:rStyle w:val="optioncarChar"/>
        </w:rPr>
        <w:t xml:space="preserve"> / ***</w:t>
      </w:r>
    </w:p>
    <w:p w14:paraId="41D88C4F" w14:textId="77777777" w:rsidR="00DF410E" w:rsidRDefault="00CE7F43">
      <w:r>
        <w:t xml:space="preserve">L'épaisseur des joints est d'au moins </w:t>
      </w:r>
      <w:r>
        <w:rPr>
          <w:rStyle w:val="optioncarChar"/>
        </w:rPr>
        <w:t>2 / ***</w:t>
      </w:r>
      <w:r>
        <w:t xml:space="preserve"> mm (tolérances suivant [NIT 208])</w:t>
      </w:r>
      <w:r>
        <w:br/>
      </w:r>
      <w:r>
        <w:br/>
        <w:t>Eléments de liaison et d'ancrage :</w:t>
      </w:r>
    </w:p>
    <w:p w14:paraId="2B8B845F" w14:textId="77777777" w:rsidR="00DF410E" w:rsidRDefault="00CE7F43">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226209E7" w14:textId="77777777" w:rsidR="00DF410E" w:rsidRDefault="00CE7F43">
      <w:r>
        <w:t xml:space="preserve">Isolation contre l'humidité : </w:t>
      </w:r>
      <w:r>
        <w:rPr>
          <w:rStyle w:val="optioncarChar"/>
        </w:rPr>
        <w:t>membranes en PE </w:t>
      </w:r>
      <w:r>
        <w:t>(par défaut)</w:t>
      </w:r>
      <w:r>
        <w:rPr>
          <w:rStyle w:val="optioncarChar"/>
        </w:rPr>
        <w:t xml:space="preserve"> / ***</w:t>
      </w:r>
      <w:r>
        <w:rPr>
          <w:rStyle w:val="normalChar"/>
        </w:rPr>
        <w:t xml:space="preserve"> conformément à l'article </w:t>
      </w:r>
      <w:hyperlink w:anchor="354" w:history="1">
        <w:r>
          <w:t>26.11 Feuilles et membranes d'étanchéité à l'eau</w:t>
        </w:r>
      </w:hyperlink>
      <w:r>
        <w:br/>
      </w:r>
      <w:r>
        <w:br/>
      </w:r>
    </w:p>
    <w:p w14:paraId="2622B125" w14:textId="77777777" w:rsidR="00DF410E" w:rsidRDefault="00CE7F43">
      <w:r>
        <w:rPr>
          <w:u w:val="single"/>
        </w:rPr>
        <w:t>- Notes d'exécution complémentaires</w:t>
      </w:r>
    </w:p>
    <w:p w14:paraId="1BF2A432" w14:textId="77777777" w:rsidR="00DF410E" w:rsidRDefault="00CE7F43">
      <w:r>
        <w:t>Pour les maçonneries destinées à rester apparentes, seuls des blocs non endommagés sont utilisés.</w:t>
      </w:r>
    </w:p>
    <w:p w14:paraId="4691DE24"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6503EBF5" w14:textId="77777777" w:rsidR="00DF410E" w:rsidRDefault="00CE7F43">
      <w:r>
        <w:t xml:space="preserve">Les segments de murs sont pourvus d'armatures verticales selon l'article </w:t>
      </w:r>
      <w:hyperlink w:anchor="356" w:history="1">
        <w:r>
          <w:t>21.41.2 Armatures verticales pour maçonneries</w:t>
        </w:r>
      </w:hyperlink>
      <w:r>
        <w:t>.</w:t>
      </w:r>
    </w:p>
    <w:p w14:paraId="628010E2"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6614AA1B" w14:textId="77777777" w:rsidR="00DF410E" w:rsidRDefault="00CE7F43">
      <w:r>
        <w:t xml:space="preserve">Crochets de mur : </w:t>
      </w:r>
      <w:r>
        <w:rPr>
          <w:rStyle w:val="optioncarChar"/>
        </w:rPr>
        <w:t>acier inoxydable </w:t>
      </w:r>
      <w:r>
        <w:t xml:space="preserve">(par défaut) </w:t>
      </w:r>
      <w:r>
        <w:rPr>
          <w:rStyle w:val="optioncarChar"/>
        </w:rPr>
        <w:t>/ ***</w:t>
      </w:r>
      <w:r>
        <w:t xml:space="preserve"> , diamètre minimal </w:t>
      </w:r>
      <w:r>
        <w:rPr>
          <w:rStyle w:val="optioncarChar"/>
        </w:rPr>
        <w:t>3,5 </w:t>
      </w:r>
      <w:r>
        <w:t>(par défaut)</w:t>
      </w:r>
      <w:r>
        <w:rPr>
          <w:rStyle w:val="optioncarChar"/>
        </w:rPr>
        <w:t xml:space="preserve"> / ***</w:t>
      </w:r>
      <w:r>
        <w:t xml:space="preserve"> mm</w:t>
      </w:r>
    </w:p>
    <w:p w14:paraId="41CEBF40" w14:textId="77777777" w:rsidR="00DF410E" w:rsidRDefault="00CE7F43">
      <w:r>
        <w:t xml:space="preserve">Linteaux : </w:t>
      </w:r>
      <w:r>
        <w:rPr>
          <w:rStyle w:val="optioncarChar"/>
        </w:rPr>
        <w:t>***</w:t>
      </w:r>
      <w:r>
        <w:t xml:space="preserve"> conformément à l’article </w:t>
      </w:r>
      <w:hyperlink w:anchor="358" w:history="1">
        <w:r>
          <w:t>22.13 Linteaux en béton</w:t>
        </w:r>
      </w:hyperlink>
    </w:p>
    <w:p w14:paraId="338BD43D" w14:textId="77777777" w:rsidR="00DF410E" w:rsidRDefault="00DF410E"/>
    <w:p w14:paraId="165A07C6" w14:textId="77777777" w:rsidR="00DF410E" w:rsidRDefault="00CE7F43">
      <w:r>
        <w:t> </w:t>
      </w:r>
    </w:p>
    <w:p w14:paraId="16E8E1B7" w14:textId="77777777" w:rsidR="00DF410E" w:rsidRDefault="00CE7F43">
      <w:pPr>
        <w:pStyle w:val="pheading"/>
      </w:pPr>
      <w:r>
        <w:t>AIDE</w:t>
      </w:r>
    </w:p>
    <w:p w14:paraId="7F27F874" w14:textId="77777777" w:rsidR="00DF410E" w:rsidRDefault="00CE7F43">
      <w:r>
        <w:t>Note à l'attention de l'auteur du projet : pour le choix adéquat du mortier, se référer à la [STS 22 série].</w:t>
      </w:r>
    </w:p>
    <w:p w14:paraId="3B736537" w14:textId="77777777" w:rsidR="00DF410E" w:rsidRDefault="00CE7F43">
      <w:pPr>
        <w:pStyle w:val="Author-eSectionHeading6"/>
      </w:pPr>
      <w:bookmarkStart w:id="71" w:name="_Toc178837335"/>
      <w:r>
        <w:t>21.12.7a Maçonneries portantes en blocs de béton cellulaire CCTB 01.12</w:t>
      </w:r>
      <w:bookmarkEnd w:id="71"/>
    </w:p>
    <w:p w14:paraId="54FEB82F" w14:textId="77777777" w:rsidR="00DF410E" w:rsidRDefault="00CE7F43">
      <w:pPr>
        <w:pStyle w:val="pheading"/>
      </w:pPr>
      <w:r>
        <w:t>DESCRIPTION</w:t>
      </w:r>
    </w:p>
    <w:p w14:paraId="4AECCEAC" w14:textId="77777777" w:rsidR="00DF410E" w:rsidRDefault="00CE7F43">
      <w:pPr>
        <w:pStyle w:val="pheading"/>
      </w:pPr>
      <w:r>
        <w:t>- Définition / Comprend</w:t>
      </w:r>
    </w:p>
    <w:p w14:paraId="79C17007" w14:textId="77777777" w:rsidR="00DF410E" w:rsidRDefault="00CE7F43">
      <w:r>
        <w:t xml:space="preserve">Il s’agit de la fourniture et la pose de maçonneries portantes en blocs de béton cellulaire. </w:t>
      </w:r>
      <w:r>
        <w:br/>
        <w:t xml:space="preserve">La portée des travaux est décrite dans l’article </w:t>
      </w:r>
      <w:hyperlink w:anchor="372" w:history="1">
        <w:r>
          <w:t>21.12.7 Maçonneries portantes en blocs de béton cellulaire</w:t>
        </w:r>
      </w:hyperlink>
      <w:r>
        <w:t>.</w:t>
      </w:r>
      <w:r>
        <w:br/>
        <w:t>Les travaux comprennent également la fourniture et la pose des pièces d’angle, de terminaison et de rencontre.</w:t>
      </w:r>
    </w:p>
    <w:p w14:paraId="0CF3AAB1" w14:textId="77777777" w:rsidR="00DF410E" w:rsidRDefault="00CE7F43">
      <w:pPr>
        <w:pStyle w:val="pheading"/>
      </w:pPr>
      <w:r>
        <w:t>- Localisation</w:t>
      </w:r>
    </w:p>
    <w:p w14:paraId="7AE7FC5F" w14:textId="77777777" w:rsidR="00DF410E" w:rsidRDefault="00CE7F43">
      <w:r>
        <w:t xml:space="preserve">La pose est réalisée aux endroits suivants : </w:t>
      </w:r>
      <w:r>
        <w:rPr>
          <w:rStyle w:val="optioncarChar"/>
        </w:rPr>
        <w:t>***</w:t>
      </w:r>
      <w:r>
        <w:t>.</w:t>
      </w:r>
      <w:r>
        <w:br/>
        <w:t>Voir plans et métrés détaillés.</w:t>
      </w:r>
    </w:p>
    <w:p w14:paraId="30C9D1EE" w14:textId="77777777" w:rsidR="00DF410E" w:rsidRDefault="00CE7F43">
      <w:pPr>
        <w:pStyle w:val="pheading"/>
      </w:pPr>
      <w:r>
        <w:t>MATÉRIAUX</w:t>
      </w:r>
    </w:p>
    <w:p w14:paraId="49877665" w14:textId="77777777" w:rsidR="00DF410E" w:rsidRDefault="00CE7F43">
      <w:pPr>
        <w:pStyle w:val="pheading"/>
      </w:pPr>
      <w:r>
        <w:t>- Caractéristiques générales</w:t>
      </w:r>
    </w:p>
    <w:p w14:paraId="6CD5DFD9" w14:textId="77777777" w:rsidR="00DF410E" w:rsidRDefault="00CE7F43">
      <w:r>
        <w:rPr>
          <w:rStyle w:val="headingChar"/>
        </w:rPr>
        <w:t>Spécifications</w:t>
      </w:r>
    </w:p>
    <w:p w14:paraId="63F97BE5"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 lisse</w:t>
      </w:r>
      <w:r>
        <w:br/>
      </w:r>
      <w:r>
        <w:br/>
        <w:t xml:space="preserve">Teinte : </w:t>
      </w:r>
      <w:r>
        <w:rPr>
          <w:rStyle w:val="optioncarChar"/>
        </w:rPr>
        <w:t>blanc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(600 / *** </w:t>
      </w:r>
      <w:r>
        <w:t>x</w:t>
      </w:r>
      <w:r>
        <w:rPr>
          <w:rStyle w:val="optioncarChar"/>
        </w:rPr>
        <w:t> 200 / 250 / 500 ***</w:t>
      </w:r>
      <w:r>
        <w:t> x</w:t>
      </w:r>
      <w:r>
        <w:rPr>
          <w:rStyle w:val="optioncarChar"/>
        </w:rPr>
        <w:t> 150 / 175 / 200 / 240 / 300 / 365 / ***</w:t>
      </w:r>
      <w:r>
        <w:t> ) mm</w:t>
      </w:r>
    </w:p>
    <w:p w14:paraId="7512E7F7" w14:textId="77777777" w:rsidR="00DF410E" w:rsidRDefault="00CE7F43">
      <w:r>
        <w:t>Stabilité de forme : les éléments en béton cellulaire destinés à un usage extérieur ou en maçonnerie souterraine respectent le critère suivant en matière de comportement à l'humidité : retrait et gonflement hygrométriques ≤ 0.45 mm / m (cf. [NBN EN 772 série] et [NBN EN 680]).</w:t>
      </w:r>
      <w:r>
        <w:br/>
      </w:r>
      <w:r>
        <w:br/>
        <w:t xml:space="preserve">Absorption d’eau par capillarité : code A inférieur à </w:t>
      </w:r>
      <w:r>
        <w:rPr>
          <w:rStyle w:val="optioncarChar"/>
        </w:rPr>
        <w:t>4500 g/m² en 10 min </w:t>
      </w:r>
      <w:r>
        <w:t xml:space="preserve">(par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A1</w:t>
      </w:r>
      <w:r>
        <w:t xml:space="preserve"> (par défaut)</w:t>
      </w:r>
      <w:r>
        <w:rPr>
          <w:rStyle w:val="optioncarChar"/>
        </w:rPr>
        <w:t> / ***</w:t>
      </w:r>
      <w:r>
        <w:br/>
      </w:r>
      <w:r>
        <w:br/>
      </w:r>
      <w:r>
        <w:rPr>
          <w:rStyle w:val="headingChar"/>
        </w:rPr>
        <w:t>Critères De Performances De La Paroi</w:t>
      </w:r>
    </w:p>
    <w:p w14:paraId="7159DE85" w14:textId="77777777" w:rsidR="00DF410E" w:rsidRDefault="00CE7F43">
      <w:r>
        <w:t>Coefficient de transmission :</w:t>
      </w:r>
    </w:p>
    <w:p w14:paraId="1FBA94D2" w14:textId="77777777" w:rsidR="00DF410E" w:rsidRDefault="00CE7F43">
      <w:pPr>
        <w:pStyle w:val="Author-eListParagraph"/>
        <w:numPr>
          <w:ilvl w:val="0"/>
          <w:numId w:val="128"/>
        </w:numPr>
      </w:pPr>
      <w:r>
        <w:t xml:space="preserve">valeur U minimale de </w:t>
      </w:r>
      <w:r>
        <w:rPr>
          <w:rStyle w:val="optioncarChar"/>
        </w:rPr>
        <w:t>***</w:t>
      </w:r>
      <w:r>
        <w:t xml:space="preserve"> W/m²K</w:t>
      </w:r>
    </w:p>
    <w:p w14:paraId="53EC038C" w14:textId="77777777" w:rsidR="00DF410E" w:rsidRDefault="00CE7F43">
      <w:pPr>
        <w:pStyle w:val="Author-eListParagraph"/>
        <w:numPr>
          <w:ilvl w:val="0"/>
          <w:numId w:val="12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050E1BC" w14:textId="77777777" w:rsidR="00DF410E" w:rsidRDefault="00CE7F43">
      <w:r>
        <w:br/>
        <w:t>Résistance au feu :</w:t>
      </w:r>
    </w:p>
    <w:p w14:paraId="59F0B4E6" w14:textId="77777777" w:rsidR="00DF410E" w:rsidRDefault="00CE7F43">
      <w:pPr>
        <w:pStyle w:val="Author-eListParagraph"/>
        <w:numPr>
          <w:ilvl w:val="0"/>
          <w:numId w:val="129"/>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0258BFF6" w14:textId="77777777" w:rsidR="00DF410E" w:rsidRDefault="00CE7F43">
      <w:pPr>
        <w:pStyle w:val="Author-eListParagraph"/>
        <w:numPr>
          <w:ilvl w:val="0"/>
          <w:numId w:val="129"/>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21C90321" w14:textId="77777777" w:rsidR="00DF410E" w:rsidRDefault="00CE7F43">
      <w:r>
        <w:t>selon les tableaux dans [NBN EN 1996-1-2 ANB].</w:t>
      </w:r>
    </w:p>
    <w:p w14:paraId="3789DCC3" w14:textId="77777777" w:rsidR="00DF410E" w:rsidRDefault="00DF410E"/>
    <w:p w14:paraId="3EE6F22B" w14:textId="77777777" w:rsidR="00DF410E" w:rsidRDefault="00CE7F43">
      <w:r>
        <w:t> </w:t>
      </w:r>
    </w:p>
    <w:p w14:paraId="3CE5207B" w14:textId="77777777" w:rsidR="00DF410E" w:rsidRDefault="00CE7F43">
      <w:pPr>
        <w:pStyle w:val="pheading"/>
      </w:pPr>
      <w:r>
        <w:t>- Finitions</w:t>
      </w:r>
    </w:p>
    <w:p w14:paraId="3D1BE5C0" w14:textId="77777777" w:rsidR="00DF410E" w:rsidRDefault="00DF410E"/>
    <w:p w14:paraId="7249D322" w14:textId="77777777" w:rsidR="00DF410E" w:rsidRDefault="00CE7F43">
      <w:pPr>
        <w:pStyle w:val="Author-eListParagraph"/>
        <w:numPr>
          <w:ilvl w:val="0"/>
          <w:numId w:val="130"/>
        </w:numPr>
      </w:pPr>
      <w:r>
        <w:t>Les faces de murs suivantes sont exécutées comme maçonneries apparentes et son</w:t>
      </w:r>
      <w:r>
        <w:rPr>
          <w:color w:val="000000"/>
        </w:rPr>
        <w:t xml:space="preserve">t rejointoyées </w:t>
      </w:r>
      <w:r>
        <w:t xml:space="preserve">selon </w:t>
      </w:r>
      <w:hyperlink w:anchor="344" w:history="1">
        <w:r>
          <w:t>21.61.1b Joints de maçonnerie apparente</w:t>
        </w:r>
      </w:hyperlink>
      <w:r>
        <w:t xml:space="preserve"> : </w:t>
      </w:r>
      <w:r>
        <w:rPr>
          <w:rStyle w:val="optioncarChar"/>
        </w:rPr>
        <w:t>***</w:t>
      </w:r>
    </w:p>
    <w:p w14:paraId="1535BE22" w14:textId="77777777" w:rsidR="00DF410E" w:rsidRDefault="00CE7F43">
      <w:pPr>
        <w:pStyle w:val="Author-eListParagraph"/>
        <w:numPr>
          <w:ilvl w:val="0"/>
          <w:numId w:val="130"/>
        </w:numPr>
      </w:pPr>
      <w:r>
        <w:t xml:space="preserve">Les murs suivants sont exécutés avec une face restant apparente : </w:t>
      </w:r>
      <w:r>
        <w:rPr>
          <w:rStyle w:val="optioncarChar"/>
        </w:rPr>
        <w:t>***</w:t>
      </w:r>
    </w:p>
    <w:p w14:paraId="49CBDEB7" w14:textId="77777777" w:rsidR="00DF410E" w:rsidRDefault="00CE7F43">
      <w:pPr>
        <w:pStyle w:val="Author-eListParagraph"/>
        <w:numPr>
          <w:ilvl w:val="0"/>
          <w:numId w:val="130"/>
        </w:numPr>
      </w:pPr>
      <w:r>
        <w:t xml:space="preserve">Les murs suivants sont exécutés avec deux faces restant apparentes : </w:t>
      </w:r>
      <w:r>
        <w:rPr>
          <w:rStyle w:val="optioncarChar"/>
        </w:rPr>
        <w:t>***</w:t>
      </w:r>
    </w:p>
    <w:p w14:paraId="2D2BED72"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0940F586" w14:textId="77777777" w:rsidR="00DF410E" w:rsidRDefault="00CE7F43">
      <w:pPr>
        <w:pStyle w:val="pheading"/>
      </w:pPr>
      <w:r>
        <w:t>MESURAGE</w:t>
      </w:r>
    </w:p>
    <w:p w14:paraId="1C17D79E" w14:textId="77777777" w:rsidR="00DF410E" w:rsidRDefault="00CE7F43">
      <w:pPr>
        <w:pStyle w:val="pheading"/>
      </w:pPr>
      <w:r>
        <w:t>- unité de mesure:</w:t>
      </w:r>
    </w:p>
    <w:p w14:paraId="59B79C3E" w14:textId="77777777" w:rsidR="00DF410E" w:rsidRDefault="00CE7F43">
      <w:r>
        <w:rPr>
          <w:rStyle w:val="optioncarChar"/>
        </w:rPr>
        <w:t>m³ </w:t>
      </w:r>
      <w:r>
        <w:t>(par défaut)</w:t>
      </w:r>
      <w:r>
        <w:rPr>
          <w:rStyle w:val="optioncarChar"/>
        </w:rPr>
        <w:t> / m²</w:t>
      </w:r>
    </w:p>
    <w:p w14:paraId="73F1DA2D" w14:textId="77777777" w:rsidR="00DF410E" w:rsidRDefault="00CE7F43">
      <w:r>
        <w:rPr>
          <w:b/>
        </w:rPr>
        <w:t>(soit par défaut)</w:t>
      </w:r>
    </w:p>
    <w:p w14:paraId="204BE084" w14:textId="77777777" w:rsidR="00DF410E" w:rsidRDefault="00CE7F43">
      <w:r>
        <w:rPr>
          <w:rStyle w:val="soitChar"/>
        </w:rPr>
        <w:t>1. m³</w:t>
      </w:r>
    </w:p>
    <w:p w14:paraId="19F0FEA6" w14:textId="77777777" w:rsidR="00DF410E" w:rsidRDefault="00CE7F43">
      <w:r>
        <w:rPr>
          <w:b/>
        </w:rPr>
        <w:t>(soit)</w:t>
      </w:r>
    </w:p>
    <w:p w14:paraId="4D65DFD9" w14:textId="77777777" w:rsidR="00DF410E" w:rsidRDefault="00CE7F43">
      <w:r>
        <w:rPr>
          <w:rStyle w:val="soitChar"/>
        </w:rPr>
        <w:t>2. m²</w:t>
      </w:r>
    </w:p>
    <w:p w14:paraId="584974DA" w14:textId="77777777" w:rsidR="00DF410E" w:rsidRDefault="00CE7F43">
      <w:pPr>
        <w:pStyle w:val="pheading"/>
      </w:pPr>
      <w:r>
        <w:t>- code de mesurage:</w:t>
      </w:r>
    </w:p>
    <w:p w14:paraId="1514B40D"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64C1CEE"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0FEB7DE"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6E09E96" w14:textId="77777777" w:rsidR="00DF410E" w:rsidRDefault="00CE7F43">
      <w:r>
        <w:rPr>
          <w:rStyle w:val="optioncarChar"/>
        </w:rPr>
        <w:t>Volume net </w:t>
      </w:r>
      <w:r>
        <w:t>(par défaut)</w:t>
      </w:r>
      <w:r>
        <w:rPr>
          <w:rStyle w:val="optioncarChar"/>
        </w:rPr>
        <w:t> / Surface nette</w:t>
      </w:r>
    </w:p>
    <w:p w14:paraId="72309949" w14:textId="77777777" w:rsidR="00DF410E" w:rsidRDefault="00CE7F43">
      <w:r>
        <w:rPr>
          <w:b/>
        </w:rPr>
        <w:t>(soit par défaut)</w:t>
      </w:r>
    </w:p>
    <w:p w14:paraId="4D757995"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EC630E8" w14:textId="77777777" w:rsidR="00DF410E" w:rsidRDefault="00CE7F43">
      <w:r>
        <w:rPr>
          <w:b/>
        </w:rPr>
        <w:t>(soit)</w:t>
      </w:r>
    </w:p>
    <w:p w14:paraId="044EFDB7"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5680941" w14:textId="77777777" w:rsidR="00DF410E" w:rsidRDefault="00DF410E"/>
    <w:p w14:paraId="6337F028" w14:textId="77777777" w:rsidR="00DF410E" w:rsidRDefault="00CE7F43">
      <w:r>
        <w:t> </w:t>
      </w:r>
    </w:p>
    <w:p w14:paraId="74051DCC" w14:textId="77777777" w:rsidR="00DF410E" w:rsidRDefault="00CE7F43">
      <w:pPr>
        <w:pStyle w:val="pheading"/>
      </w:pPr>
      <w:r>
        <w:t>- nature du marché:</w:t>
      </w:r>
    </w:p>
    <w:p w14:paraId="03551133" w14:textId="77777777" w:rsidR="00DF410E" w:rsidRDefault="00CE7F43">
      <w:r>
        <w:t>QF</w:t>
      </w:r>
    </w:p>
    <w:p w14:paraId="71818F31" w14:textId="77777777" w:rsidR="00DF410E" w:rsidRDefault="00CE7F43">
      <w:pPr>
        <w:pStyle w:val="Author-eSectionHeading6"/>
      </w:pPr>
      <w:bookmarkStart w:id="72" w:name="_Toc178837336"/>
      <w:r>
        <w:t>21.12.7b Maçonneries portantes en blocs de coffrage de béton cellulaire CCTB 01.04</w:t>
      </w:r>
      <w:bookmarkEnd w:id="72"/>
    </w:p>
    <w:p w14:paraId="125F3774" w14:textId="77777777" w:rsidR="00DF410E" w:rsidRDefault="00CE7F43">
      <w:pPr>
        <w:pStyle w:val="Author-eSectionHeading5"/>
      </w:pPr>
      <w:bookmarkStart w:id="73" w:name="_Toc178837337"/>
      <w:r>
        <w:t>21.12.8 Maçonneries portantes en blocs de terre crue CCTB 01.11</w:t>
      </w:r>
      <w:bookmarkEnd w:id="73"/>
    </w:p>
    <w:p w14:paraId="69DF0FDD" w14:textId="77777777" w:rsidR="00DF410E" w:rsidRDefault="00CE7F43">
      <w:pPr>
        <w:pStyle w:val="pheading"/>
      </w:pPr>
      <w:r>
        <w:t>DESCRIPTION</w:t>
      </w:r>
    </w:p>
    <w:p w14:paraId="2D70905D" w14:textId="77777777" w:rsidR="00DF410E" w:rsidRDefault="00CE7F43">
      <w:pPr>
        <w:pStyle w:val="pheading"/>
      </w:pPr>
      <w:r>
        <w:t>- Définition / Comprend</w:t>
      </w:r>
    </w:p>
    <w:p w14:paraId="525F1C05" w14:textId="77777777" w:rsidR="00DF410E" w:rsidRDefault="00CE7F43">
      <w:r>
        <w:t>Il s'agit de maçonneries portantes en blocs de terre crue.</w:t>
      </w:r>
    </w:p>
    <w:p w14:paraId="25C2DCA9" w14:textId="77777777" w:rsidR="00DF410E" w:rsidRDefault="00CE7F43">
      <w:pPr>
        <w:pStyle w:val="pheading"/>
      </w:pPr>
      <w:r>
        <w:t>MATÉRIAUX</w:t>
      </w:r>
    </w:p>
    <w:p w14:paraId="3F980800" w14:textId="77777777" w:rsidR="00DF410E" w:rsidRDefault="00CE7F43">
      <w:pPr>
        <w:jc w:val="both"/>
      </w:pPr>
      <w:r>
        <w:t>En l’absence de normes propres, les spécifications des blocs sont basées sur la [NBN EN 771-3+A1] et le [PTV 21-001] relatifs aux éléments en béton et les spécifications du mortier sont basées sur la  [NBN EN 998-2] et le [PTV 651].</w:t>
      </w:r>
    </w:p>
    <w:p w14:paraId="4677C237" w14:textId="77777777" w:rsidR="00DF410E" w:rsidRDefault="00CE7F43">
      <w:pPr>
        <w:jc w:val="both"/>
      </w:pPr>
      <w:r>
        <w:t>L'entrepreneur soumet la fiche technique des matériaux (bloc et mortier) pour approbation à l'auteur de projet et au maître de l’ouvrage.</w:t>
      </w:r>
    </w:p>
    <w:p w14:paraId="7B628621" w14:textId="77777777" w:rsidR="00DF410E" w:rsidRDefault="00CE7F43">
      <w:pPr>
        <w:jc w:val="both"/>
      </w:pPr>
      <w:r>
        <w:t>La terre utilisée est issue de sol répondant au [DRW 2018-03-01]. En outre, les terre d’excavation sont conformes aux normes d'assainissements et normes d'intervention (voir [AGRBC 2018-03-29]).</w:t>
      </w:r>
    </w:p>
    <w:p w14:paraId="0DC08B24" w14:textId="77777777" w:rsidR="00DF410E" w:rsidRDefault="00CE7F43">
      <w:pPr>
        <w:pStyle w:val="pheading"/>
      </w:pPr>
      <w:r>
        <w:t>EXÉCUTION / MISE EN ŒUVRE</w:t>
      </w:r>
    </w:p>
    <w:p w14:paraId="2EA68DF7" w14:textId="77777777" w:rsidR="00DF410E" w:rsidRDefault="00CE7F43">
      <w:pPr>
        <w:jc w:val="both"/>
      </w:pPr>
      <w:r>
        <w:t>Conformément au mode de mise en œuvre, les blocs en terre crue sont maçonnés selon la documentation technique accompagnant les produits et selon les notes de calcul du bureau d’études.</w:t>
      </w:r>
    </w:p>
    <w:p w14:paraId="46A104D0" w14:textId="77777777" w:rsidR="00DF410E" w:rsidRDefault="00CE7F43">
      <w:pPr>
        <w:jc w:val="both"/>
      </w:pPr>
      <w:r>
        <w:rPr>
          <w:u w:val="single"/>
        </w:rPr>
        <w:t>Matériaux de liaison et d'ancrage</w:t>
      </w:r>
    </w:p>
    <w:p w14:paraId="2A426F5D" w14:textId="77777777" w:rsidR="00DF410E" w:rsidRDefault="00DF410E"/>
    <w:p w14:paraId="51B7076B" w14:textId="77777777" w:rsidR="00DF410E" w:rsidRDefault="00CE7F43">
      <w:pPr>
        <w:ind w:left="567"/>
        <w:jc w:val="both"/>
      </w:pPr>
      <w:r>
        <w:t xml:space="preserve"> longueur nominale : </w:t>
      </w:r>
      <w:r>
        <w:rPr>
          <w:rStyle w:val="optioncarChar"/>
        </w:rPr>
        <w:t>***</w:t>
      </w:r>
    </w:p>
    <w:p w14:paraId="75A47C65" w14:textId="77777777" w:rsidR="00DF410E" w:rsidRDefault="00CE7F43">
      <w:pPr>
        <w:ind w:left="567"/>
        <w:jc w:val="both"/>
      </w:pPr>
      <w:r>
        <w:t xml:space="preserve"> diamètre : </w:t>
      </w:r>
      <w:r>
        <w:rPr>
          <w:rStyle w:val="optioncarChar"/>
        </w:rPr>
        <w:t>***</w:t>
      </w:r>
    </w:p>
    <w:p w14:paraId="42451771" w14:textId="77777777" w:rsidR="00DF410E" w:rsidRDefault="00CE7F43">
      <w:pPr>
        <w:ind w:left="567"/>
        <w:jc w:val="both"/>
      </w:pPr>
      <w:r>
        <w:t xml:space="preserve"> classe d’exposition : </w:t>
      </w:r>
      <w:r>
        <w:rPr>
          <w:rStyle w:val="optioncarChar"/>
        </w:rPr>
        <w:t>MX1 / MX2 / MX3 / MX4 / MX5</w:t>
      </w:r>
    </w:p>
    <w:p w14:paraId="6FA1217D" w14:textId="77777777" w:rsidR="00DF410E" w:rsidRDefault="00CE7F43">
      <w:pPr>
        <w:ind w:left="567"/>
        <w:jc w:val="both"/>
      </w:pPr>
      <w:r>
        <w:t xml:space="preserve"> 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138EB7A4" w14:textId="77777777" w:rsidR="00DF410E" w:rsidRDefault="00DF410E"/>
    <w:p w14:paraId="6527D289" w14:textId="77777777" w:rsidR="00DF410E" w:rsidRDefault="00CE7F43">
      <w:pPr>
        <w:jc w:val="both"/>
      </w:pPr>
      <w:r>
        <w:t xml:space="preserve">Isolation contre l'humidité : </w:t>
      </w:r>
      <w:r>
        <w:rPr>
          <w:rStyle w:val="optioncarChar"/>
        </w:rPr>
        <w:t xml:space="preserve">membranes en PE </w:t>
      </w:r>
      <w:r>
        <w:t>(par défaut) </w:t>
      </w:r>
      <w:r>
        <w:rPr>
          <w:rStyle w:val="optioncarChar"/>
        </w:rPr>
        <w:t>/ ***</w:t>
      </w:r>
      <w:r>
        <w:t xml:space="preserve"> conformément au sous-titre </w:t>
      </w:r>
      <w:hyperlink w:anchor="354" w:history="1">
        <w:r>
          <w:t>26.11 Feuilles et membranes d'étanchéité à l'eau</w:t>
        </w:r>
      </w:hyperlink>
      <w:r>
        <w:t xml:space="preserve">. </w:t>
      </w:r>
    </w:p>
    <w:p w14:paraId="43C4C84E" w14:textId="77777777" w:rsidR="00DF410E" w:rsidRDefault="00DF410E">
      <w:pPr>
        <w:jc w:val="both"/>
      </w:pPr>
    </w:p>
    <w:p w14:paraId="6F453FCF" w14:textId="77777777" w:rsidR="00DF410E" w:rsidRDefault="00CE7F43">
      <w:pPr>
        <w:jc w:val="both"/>
      </w:pPr>
      <w:r>
        <w:t xml:space="preserve"> Pour les maçonneries destinées à rester apparentes, seules des blocs non endommagés sont utilisés. </w:t>
      </w:r>
    </w:p>
    <w:p w14:paraId="4EADE27B" w14:textId="77777777" w:rsidR="00DF410E" w:rsidRDefault="00DF410E">
      <w:pPr>
        <w:jc w:val="both"/>
      </w:pPr>
    </w:p>
    <w:p w14:paraId="7FD6734E" w14:textId="77777777" w:rsidR="00DF410E" w:rsidRDefault="00CE7F43">
      <w:pPr>
        <w:jc w:val="both"/>
      </w:pPr>
      <w:r>
        <w:t xml:space="preserve"> Les segments de murs sont pourvus d'armatures horizontales selon le chapitre </w:t>
      </w:r>
      <w:hyperlink w:anchor="355" w:history="1">
        <w:r>
          <w:t>21.41.1 Armatures horizontales pour maçonneries</w:t>
        </w:r>
      </w:hyperlink>
      <w:r>
        <w:t>.</w:t>
      </w:r>
    </w:p>
    <w:p w14:paraId="61126361" w14:textId="77777777" w:rsidR="00DF410E" w:rsidRDefault="00CE7F43">
      <w:pPr>
        <w:jc w:val="both"/>
      </w:pPr>
      <w:r>
        <w:t xml:space="preserve">Les segments de murs sont pourvus d'armatures verticales selon le chapitre </w:t>
      </w:r>
      <w:hyperlink w:anchor="356" w:history="1">
        <w:r>
          <w:t>21.41.2 Armatures verticales pour maçonneries</w:t>
        </w:r>
      </w:hyperlink>
      <w:r>
        <w:t>.</w:t>
      </w:r>
    </w:p>
    <w:p w14:paraId="197B7DBF" w14:textId="77777777" w:rsidR="00DF410E" w:rsidRDefault="00CE7F43">
      <w:pPr>
        <w:jc w:val="both"/>
      </w:pPr>
      <w:r>
        <w:t xml:space="preserve">Les maçonneries de caves en contact avec les terres sont rendues étanches selon la description au sous-titre </w:t>
      </w:r>
      <w:hyperlink w:anchor="357" w:history="1">
        <w:r>
          <w:t>26.12 Traitements d'étanchéisation</w:t>
        </w:r>
      </w:hyperlink>
      <w:r>
        <w:t>.</w:t>
      </w:r>
    </w:p>
    <w:p w14:paraId="3193C561" w14:textId="77777777" w:rsidR="00DF410E" w:rsidRDefault="00CE7F43">
      <w:pPr>
        <w:jc w:val="both"/>
      </w:pPr>
      <w:r>
        <w:t xml:space="preserve">Crochets de mur : </w:t>
      </w:r>
      <w:r>
        <w:rPr>
          <w:rStyle w:val="optioncarChar"/>
        </w:rPr>
        <w:t xml:space="preserve">acier inoxydable </w:t>
      </w:r>
      <w:r>
        <w:t>(par défaut) </w:t>
      </w:r>
      <w:r>
        <w:rPr>
          <w:rStyle w:val="optioncarChar"/>
        </w:rPr>
        <w:t>/ ***</w:t>
      </w:r>
      <w:r>
        <w:t xml:space="preserve"> , diamètre minimum </w:t>
      </w:r>
      <w:r>
        <w:rPr>
          <w:rStyle w:val="optioncarChar"/>
        </w:rPr>
        <w:t>3,5 </w:t>
      </w:r>
      <w:r>
        <w:t>(par défaut)</w:t>
      </w:r>
      <w:r>
        <w:rPr>
          <w:rStyle w:val="optioncarChar"/>
        </w:rPr>
        <w:t xml:space="preserve"> / ***</w:t>
      </w:r>
      <w:r>
        <w:t xml:space="preserve"> mm.</w:t>
      </w:r>
    </w:p>
    <w:p w14:paraId="0D07EE89" w14:textId="77777777" w:rsidR="00DF410E" w:rsidRDefault="00DF410E"/>
    <w:p w14:paraId="0456BE83" w14:textId="77777777" w:rsidR="00DF410E" w:rsidRDefault="00CE7F43">
      <w:r>
        <w:t> </w:t>
      </w:r>
    </w:p>
    <w:p w14:paraId="0ED758AC" w14:textId="77777777" w:rsidR="00DF410E" w:rsidRDefault="00CE7F43">
      <w:pPr>
        <w:pStyle w:val="pheading"/>
      </w:pPr>
      <w:r>
        <w:t>DOCUMENTS DE RÉFÉRENCE</w:t>
      </w:r>
    </w:p>
    <w:p w14:paraId="767170FC" w14:textId="77777777" w:rsidR="00DF410E" w:rsidRDefault="00CE7F43">
      <w:pPr>
        <w:pStyle w:val="pheading"/>
      </w:pPr>
      <w:r>
        <w:t>- Matériau</w:t>
      </w:r>
    </w:p>
    <w:p w14:paraId="79085DB8" w14:textId="77777777" w:rsidR="00DF410E" w:rsidRDefault="00CE7F43">
      <w:r>
        <w:t>[NBN EN 771-3+A1, Spécifications pour éléments de maçonnerie - Partie 3: Éléments de maçonnerie en béton de granulats (granulats courants et légers)]</w:t>
      </w:r>
    </w:p>
    <w:p w14:paraId="51004485" w14:textId="77777777" w:rsidR="00DF410E" w:rsidRDefault="00CE7F43">
      <w:r>
        <w:t>[PTV 21-001, Eléments de maçonnerie en béton (granulats courants et légers) - Classification et spécifications d'application]</w:t>
      </w:r>
    </w:p>
    <w:p w14:paraId="125172B8" w14:textId="77777777" w:rsidR="00DF410E" w:rsidRDefault="00CE7F43">
      <w:r>
        <w:t>[NBN EN 998-2, Définitions et spécifications des mortiers pour maçonnerie - Partie 2: Mortiers de montage des éléments de maçonnerie]</w:t>
      </w:r>
    </w:p>
    <w:p w14:paraId="59AAAC7F" w14:textId="77777777" w:rsidR="00DF410E" w:rsidRDefault="00CE7F43">
      <w:r>
        <w:t>[PTV 651, Mortier de maçonnerie et mortier de jointoyage]</w:t>
      </w:r>
    </w:p>
    <w:p w14:paraId="03A8720F" w14:textId="77777777" w:rsidR="00DF410E" w:rsidRDefault="00CE7F43">
      <w:r>
        <w:t>[CRATerre Terre, CRATerre - Traité de construction en terre]</w:t>
      </w:r>
    </w:p>
    <w:p w14:paraId="702C6ED5" w14:textId="77777777" w:rsidR="00DF410E" w:rsidRDefault="00CE7F43">
      <w:r>
        <w:t>[Moniteur Terre crue, Röhlen / Ziegert - Construire en terre crue: Construction - Rénovation - Finitions]</w:t>
      </w:r>
    </w:p>
    <w:p w14:paraId="73A4C2DC" w14:textId="77777777" w:rsidR="00DF410E" w:rsidRDefault="00CE7F43">
      <w:r>
        <w:t>[DIN 18945, Earth blocks - Requirements, test and labelling]</w:t>
      </w:r>
    </w:p>
    <w:p w14:paraId="12D457E7" w14:textId="77777777" w:rsidR="00DF410E" w:rsidRDefault="00CE7F43">
      <w:r>
        <w:t>[DIN 18946, Earth masonry mortar - Requirements, test and labelling]</w:t>
      </w:r>
    </w:p>
    <w:p w14:paraId="773CF4A2" w14:textId="77777777" w:rsidR="00DF410E" w:rsidRDefault="00CE7F43">
      <w:r>
        <w:t>[DRW 2018-03-01, Décret relatif à la gestion et à l'assainissement des sols]</w:t>
      </w:r>
    </w:p>
    <w:p w14:paraId="7881E222" w14:textId="77777777" w:rsidR="00DF410E" w:rsidRDefault="00CE7F43">
      <w:r>
        <w:t>[AGRBC 2018-03-29, Arrêté du Gouvernement de la Région de Bruxelles-Capitale déterminant les normes d'intervention et les normes d'assainissement]</w:t>
      </w:r>
    </w:p>
    <w:p w14:paraId="29CD3926" w14:textId="77777777" w:rsidR="00DF410E" w:rsidRDefault="00CE7F43">
      <w:pPr>
        <w:pStyle w:val="pheading"/>
      </w:pPr>
      <w:r>
        <w:t>- Exécution</w:t>
      </w:r>
    </w:p>
    <w:p w14:paraId="411637F4" w14:textId="77777777" w:rsidR="00DF410E" w:rsidRDefault="00CE7F43">
      <w:r>
        <w:t>[CRATerre Terre, CRATerre - Traité de construction en terre]</w:t>
      </w:r>
    </w:p>
    <w:p w14:paraId="0C6D5A9E" w14:textId="77777777" w:rsidR="00DF410E" w:rsidRDefault="00CE7F43">
      <w:r>
        <w:t>[Moniteur Terre crue, Röhlen / Ziegert - Construire en terre crue: Construction - Rénovation - Finitions]</w:t>
      </w:r>
    </w:p>
    <w:p w14:paraId="5A3A241B" w14:textId="77777777" w:rsidR="00DF410E" w:rsidRDefault="00CE7F43">
      <w:pPr>
        <w:pStyle w:val="Author-eSectionHeading6"/>
      </w:pPr>
      <w:bookmarkStart w:id="74" w:name="_Toc178837338"/>
      <w:r>
        <w:t>21.12.8a Maçonneries portantes en blocs de terre crue stabilisée à maçonner CCTB 01.12</w:t>
      </w:r>
      <w:bookmarkEnd w:id="74"/>
    </w:p>
    <w:p w14:paraId="03880F4E" w14:textId="77777777" w:rsidR="00DF410E" w:rsidRDefault="00CE7F43">
      <w:pPr>
        <w:pStyle w:val="pheading"/>
      </w:pPr>
      <w:r>
        <w:t>DESCRIPTION</w:t>
      </w:r>
    </w:p>
    <w:p w14:paraId="15BFE19B" w14:textId="77777777" w:rsidR="00DF410E" w:rsidRDefault="00CE7F43">
      <w:pPr>
        <w:pStyle w:val="pheading"/>
      </w:pPr>
      <w:r>
        <w:t>- Définition / Comprend</w:t>
      </w:r>
    </w:p>
    <w:p w14:paraId="7D3EA89C" w14:textId="77777777" w:rsidR="00DF410E" w:rsidRDefault="00CE7F43">
      <w:pPr>
        <w:jc w:val="both"/>
      </w:pPr>
      <w:r>
        <w:t>Il s’agit de la fourniture et la pose de maçonneries portantes en blocs de terre crue stabilisées à maçonner.</w:t>
      </w:r>
    </w:p>
    <w:p w14:paraId="67D75671" w14:textId="77777777" w:rsidR="00DF410E" w:rsidRDefault="00CE7F43">
      <w:pPr>
        <w:jc w:val="both"/>
      </w:pPr>
      <w:r>
        <w:t xml:space="preserve">La portée des travaux est décrite dans l’élément </w:t>
      </w:r>
      <w:hyperlink w:anchor="292" w:history="1">
        <w:r>
          <w:t>21.1 Maçonneries portantes</w:t>
        </w:r>
      </w:hyperlink>
      <w:r>
        <w:t>.</w:t>
      </w:r>
    </w:p>
    <w:p w14:paraId="4B1C0AF0" w14:textId="77777777" w:rsidR="00DF410E" w:rsidRDefault="00CE7F43">
      <w:pPr>
        <w:pStyle w:val="pheading"/>
      </w:pPr>
      <w:r>
        <w:t>- Localisation</w:t>
      </w:r>
    </w:p>
    <w:p w14:paraId="0DDC6385" w14:textId="77777777" w:rsidR="00DF410E" w:rsidRDefault="00CE7F43">
      <w:r>
        <w:t xml:space="preserve">Localisation des travaux : </w:t>
      </w:r>
      <w:r>
        <w:rPr>
          <w:rStyle w:val="optioncarChar"/>
        </w:rPr>
        <w:t>***</w:t>
      </w:r>
      <w:r>
        <w:t>.</w:t>
      </w:r>
    </w:p>
    <w:p w14:paraId="5AE29FFC" w14:textId="77777777" w:rsidR="00DF410E" w:rsidRDefault="00CE7F43">
      <w:r>
        <w:t>Voir plans et métrés détaillés.</w:t>
      </w:r>
    </w:p>
    <w:p w14:paraId="43206901" w14:textId="77777777" w:rsidR="00DF410E" w:rsidRDefault="00CE7F43">
      <w:pPr>
        <w:pStyle w:val="pheading"/>
      </w:pPr>
      <w:r>
        <w:t>MATÉRIAUX</w:t>
      </w:r>
    </w:p>
    <w:p w14:paraId="4D6918C4" w14:textId="77777777" w:rsidR="00DF410E" w:rsidRDefault="00CE7F43">
      <w:pPr>
        <w:pStyle w:val="pheading"/>
      </w:pPr>
      <w:r>
        <w:t>- Caractéristiques générales</w:t>
      </w:r>
    </w:p>
    <w:p w14:paraId="53E7E308" w14:textId="77777777" w:rsidR="00DF410E" w:rsidRDefault="00CE7F43">
      <w:pPr>
        <w:jc w:val="both"/>
      </w:pPr>
      <w:r>
        <w:rPr>
          <w:rStyle w:val="headingChar"/>
        </w:rPr>
        <w:t>Spécifications</w:t>
      </w:r>
    </w:p>
    <w:p w14:paraId="01FD7CDB" w14:textId="77777777" w:rsidR="00DF410E" w:rsidRDefault="00CE7F43">
      <w:pPr>
        <w:jc w:val="both"/>
      </w:pPr>
      <w:r>
        <w:t xml:space="preserve">Les blocs, le mortier et la maçonnerie disposent d'une déclaration d'aptitude à l'utilisation suivant les prescriptions de l'élément </w:t>
      </w:r>
      <w:hyperlink r:id="rId21" w:history="1" w:docLocation="68">
        <w:r>
          <w:t>02.42.1 Critères d'acceptabilité</w:t>
        </w:r>
      </w:hyperlink>
    </w:p>
    <w:p w14:paraId="74AB93F4" w14:textId="77777777" w:rsidR="00DF410E" w:rsidRDefault="00CE7F43">
      <w:pPr>
        <w:jc w:val="both"/>
      </w:pPr>
      <w:r>
        <w:rPr>
          <w:u w:val="single"/>
        </w:rPr>
        <w:t>Blocs</w:t>
      </w:r>
    </w:p>
    <w:p w14:paraId="7557F2E6" w14:textId="77777777" w:rsidR="00DF410E" w:rsidRDefault="00CE7F43">
      <w:pPr>
        <w:jc w:val="both"/>
      </w:pPr>
      <w:r>
        <w:t xml:space="preserve">Code d’identification du type de bloc de maçonnerie suivant [PTV 21-001] : </w:t>
      </w:r>
      <w:r>
        <w:rPr>
          <w:rStyle w:val="optioncarChar"/>
        </w:rPr>
        <w:t>A1 / A2 / B1 / B2 / C / D</w:t>
      </w:r>
    </w:p>
    <w:p w14:paraId="4A0E4AAE" w14:textId="77777777" w:rsidR="00DF410E" w:rsidRDefault="00CE7F43">
      <w:pPr>
        <w:jc w:val="both"/>
      </w:pPr>
      <w:r>
        <w:t xml:space="preserve">Format (Lxlxh) mm : </w:t>
      </w:r>
      <w:r>
        <w:rPr>
          <w:rStyle w:val="optioncarChar"/>
        </w:rPr>
        <w:t>*** x *** x *** / format modulaire proposé par l'entrepreneur </w:t>
      </w:r>
      <w:r>
        <w:t>(par défaut)</w:t>
      </w:r>
    </w:p>
    <w:p w14:paraId="2153C90F" w14:textId="77777777" w:rsidR="00DF410E" w:rsidRDefault="00CE7F43">
      <w:pPr>
        <w:jc w:val="both"/>
      </w:pPr>
      <w:r>
        <w:t>Face qui reste visible : lisse</w:t>
      </w:r>
    </w:p>
    <w:p w14:paraId="265501BE" w14:textId="77777777" w:rsidR="00DF410E" w:rsidRDefault="00CE7F43">
      <w:pPr>
        <w:jc w:val="both"/>
      </w:pPr>
      <w:r>
        <w:t xml:space="preserve">Mode de fabrication : </w:t>
      </w:r>
      <w:r>
        <w:rPr>
          <w:rStyle w:val="optioncarChar"/>
        </w:rPr>
        <w:t>moulée à la main / moulée à la presse </w:t>
      </w:r>
      <w:r>
        <w:t>(par défaut)</w:t>
      </w:r>
      <w:r>
        <w:rPr>
          <w:rStyle w:val="optioncarChar"/>
        </w:rPr>
        <w:t xml:space="preserve"> / compressée / étirée</w:t>
      </w:r>
    </w:p>
    <w:p w14:paraId="26309FD4" w14:textId="77777777" w:rsidR="00DF410E" w:rsidRDefault="00CE7F43">
      <w:pPr>
        <w:jc w:val="both"/>
      </w:pPr>
      <w:r>
        <w:t xml:space="preserve">Granulats : </w:t>
      </w:r>
      <w:r>
        <w:rPr>
          <w:rStyle w:val="optioncarChar"/>
        </w:rPr>
        <w:t xml:space="preserve">pas de granulat </w:t>
      </w:r>
      <w:r>
        <w:t xml:space="preserve">(par défaut) </w:t>
      </w:r>
      <w:r>
        <w:rPr>
          <w:rStyle w:val="optioncarChar"/>
        </w:rPr>
        <w:t>/ minéraux / minéraux et végétaux / végétaux / ***</w:t>
      </w:r>
    </w:p>
    <w:p w14:paraId="32705EA2" w14:textId="77777777" w:rsidR="00DF410E" w:rsidRDefault="00CE7F43">
      <w:pPr>
        <w:jc w:val="both"/>
      </w:pPr>
      <w:r>
        <w:t>Description des granulats :</w:t>
      </w:r>
      <w:r>
        <w:rPr>
          <w:rStyle w:val="optioncarChar"/>
        </w:rPr>
        <w:t xml:space="preserve"> ***</w:t>
      </w:r>
      <w:r>
        <w:t>.</w:t>
      </w:r>
    </w:p>
    <w:p w14:paraId="1BEB45CB" w14:textId="77777777" w:rsidR="00DF410E" w:rsidRDefault="00CE7F43">
      <w:pPr>
        <w:jc w:val="both"/>
      </w:pPr>
      <w:r>
        <w:t xml:space="preserve">Stabilisation des blocs : </w:t>
      </w:r>
      <w:r>
        <w:rPr>
          <w:rStyle w:val="optioncarChar"/>
        </w:rPr>
        <w:t xml:space="preserve">au ciment </w:t>
      </w:r>
      <w:r>
        <w:t>(par défaut) </w:t>
      </w:r>
      <w:r>
        <w:rPr>
          <w:rStyle w:val="optioncarChar"/>
        </w:rPr>
        <w:t>/ à la chaux / *** :</w:t>
      </w:r>
    </w:p>
    <w:p w14:paraId="2BE14787" w14:textId="77777777" w:rsidR="00DF410E" w:rsidRDefault="00CE7F43">
      <w:pPr>
        <w:jc w:val="both"/>
      </w:pPr>
      <w:r>
        <w:rPr>
          <w:b/>
        </w:rPr>
        <w:t>(soit par défaut)</w:t>
      </w:r>
    </w:p>
    <w:p w14:paraId="7C81C428" w14:textId="77777777" w:rsidR="00DF410E" w:rsidRDefault="00CE7F43">
      <w:pPr>
        <w:jc w:val="both"/>
      </w:pPr>
      <w:r>
        <w:rPr>
          <w:rStyle w:val="soitChar"/>
          <w:b/>
          <w:u w:val="single"/>
        </w:rPr>
        <w:t>Au Ciment</w:t>
      </w:r>
      <w:r>
        <w:rPr>
          <w:rStyle w:val="soitChar"/>
          <w:b/>
        </w:rPr>
        <w:t xml:space="preserve"> : stabilisation au ciment</w:t>
      </w:r>
      <w:r>
        <w:rPr>
          <w:rStyle w:val="soitChar"/>
        </w:rPr>
        <w:t xml:space="preserve">, dosage : min </w:t>
      </w:r>
      <w:r>
        <w:rPr>
          <w:rStyle w:val="optioncarChar"/>
        </w:rPr>
        <w:t>***</w:t>
      </w:r>
      <w:r>
        <w:rPr>
          <w:rStyle w:val="soitChar"/>
        </w:rPr>
        <w:t xml:space="preserve"> % de ciment</w:t>
      </w:r>
    </w:p>
    <w:p w14:paraId="194F22A0" w14:textId="77777777" w:rsidR="00DF410E" w:rsidRDefault="00CE7F43">
      <w:pPr>
        <w:jc w:val="both"/>
      </w:pPr>
      <w:r>
        <w:rPr>
          <w:b/>
        </w:rPr>
        <w:t>(soit)</w:t>
      </w:r>
    </w:p>
    <w:p w14:paraId="0BF023C7" w14:textId="77777777" w:rsidR="00DF410E" w:rsidRDefault="00CE7F43">
      <w:pPr>
        <w:jc w:val="both"/>
      </w:pPr>
      <w:r>
        <w:rPr>
          <w:rStyle w:val="soitChar"/>
          <w:b/>
          <w:u w:val="single"/>
        </w:rPr>
        <w:t>A la chaux</w:t>
      </w:r>
      <w:r>
        <w:rPr>
          <w:rStyle w:val="soitChar"/>
          <w:b/>
        </w:rPr>
        <w:t xml:space="preserve"> : stabilisation à la chaux</w:t>
      </w:r>
      <w:r>
        <w:rPr>
          <w:rStyle w:val="soitChar"/>
        </w:rPr>
        <w:t xml:space="preserve">, dosage : min </w:t>
      </w:r>
      <w:r>
        <w:rPr>
          <w:rStyle w:val="optioncarChar"/>
        </w:rPr>
        <w:t>***</w:t>
      </w:r>
      <w:r>
        <w:rPr>
          <w:rStyle w:val="soitChar"/>
        </w:rPr>
        <w:t>% de chaux</w:t>
      </w:r>
    </w:p>
    <w:p w14:paraId="16993FFE" w14:textId="77777777" w:rsidR="00DF410E" w:rsidRDefault="00CE7F43">
      <w:pPr>
        <w:jc w:val="both"/>
      </w:pPr>
      <w:r>
        <w:rPr>
          <w:b/>
        </w:rPr>
        <w:t>(soit)</w:t>
      </w:r>
    </w:p>
    <w:p w14:paraId="1038BDAE" w14:textId="77777777" w:rsidR="00DF410E" w:rsidRDefault="00CE7F43">
      <w:pPr>
        <w:jc w:val="both"/>
      </w:pPr>
      <w:r>
        <w:rPr>
          <w:rStyle w:val="optioncarChar"/>
        </w:rPr>
        <w:t>***</w:t>
      </w:r>
    </w:p>
    <w:p w14:paraId="6BD17DD9" w14:textId="77777777" w:rsidR="00DF410E" w:rsidRDefault="00CE7F43">
      <w:pPr>
        <w:jc w:val="both"/>
      </w:pPr>
      <w:r>
        <w:t>Résistance à la compression [NBN EN 772-1+A1] </w:t>
      </w:r>
      <w:r>
        <w:rPr>
          <w:rStyle w:val="optioncarChar"/>
        </w:rPr>
        <w:t>moyenne </w:t>
      </w:r>
      <w:r>
        <w:t>(par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14:paraId="5ED5CC2A" w14:textId="77777777" w:rsidR="00DF410E" w:rsidRDefault="00CE7F43">
      <w:pPr>
        <w:jc w:val="both"/>
      </w:pPr>
      <w:r>
        <w:t xml:space="preserve">Résistance à la compression à l’état humide (conservation 48h par immersion dans l’eau puis essai selon [NBN EN 772-1+A1]) : ≥ </w:t>
      </w:r>
      <w:r>
        <w:rPr>
          <w:rStyle w:val="optioncarChar"/>
        </w:rPr>
        <w:t>***</w:t>
      </w:r>
      <w:r>
        <w:t xml:space="preserve"> N/mm²</w:t>
      </w:r>
    </w:p>
    <w:p w14:paraId="4B065B79" w14:textId="77777777" w:rsidR="00DF410E" w:rsidRDefault="00CE7F43">
      <w:pPr>
        <w:jc w:val="both"/>
      </w:pPr>
      <w:r>
        <w:t>Masse volumique apparente selon la [NBN EN 772-13] :</w:t>
      </w:r>
      <w:r>
        <w:rPr>
          <w:rStyle w:val="optioncarChar"/>
        </w:rPr>
        <w:t xml:space="preserve"> ***</w:t>
      </w:r>
      <w:r>
        <w:t xml:space="preserve"> kg / m³</w:t>
      </w:r>
    </w:p>
    <w:p w14:paraId="4DF0003B" w14:textId="77777777" w:rsidR="00DF410E" w:rsidRDefault="00CE7F43">
      <w:pPr>
        <w:jc w:val="both"/>
      </w:pPr>
      <w:r>
        <w:t xml:space="preserve">Teneur en humidité à la sortie d’usine : </w:t>
      </w:r>
      <w:r>
        <w:rPr>
          <w:rStyle w:val="optioncarChar"/>
        </w:rPr>
        <w:t>≤ *** % / non-spécifié</w:t>
      </w:r>
    </w:p>
    <w:p w14:paraId="0B45B805" w14:textId="77777777" w:rsidR="00DF410E" w:rsidRDefault="00CE7F43">
      <w:pPr>
        <w:jc w:val="both"/>
      </w:pPr>
      <w:r>
        <w:t xml:space="preserve">Absorption capillaire de la face de parement (à 10 min) selon [NBN EN 772-11] : </w:t>
      </w:r>
      <w:r>
        <w:rPr>
          <w:rStyle w:val="optioncarChar"/>
        </w:rPr>
        <w:t>≤ *** g/m²s / non spécifié</w:t>
      </w:r>
    </w:p>
    <w:p w14:paraId="0CB15077" w14:textId="77777777" w:rsidR="00DF410E" w:rsidRDefault="00CE7F43">
      <w:pPr>
        <w:jc w:val="both"/>
      </w:pPr>
      <w:r>
        <w:t xml:space="preserve">Taux initial d’absorption d’eau de la face de pose (à 1 min) selon [NBN EN 772-11] : </w:t>
      </w:r>
      <w:r>
        <w:rPr>
          <w:rStyle w:val="optioncarChar"/>
        </w:rPr>
        <w:t>≤ *** kg/m²min / non spécifié</w:t>
      </w:r>
    </w:p>
    <w:p w14:paraId="0968A500" w14:textId="77777777" w:rsidR="00DF410E" w:rsidRDefault="00CE7F43">
      <w:pPr>
        <w:jc w:val="both"/>
      </w:pPr>
      <w:r>
        <w:t xml:space="preserve">Amplitude des déformations hygrométriques (retrait – gonflement) selon [NBN EN 772-14] : </w:t>
      </w:r>
      <w:r>
        <w:rPr>
          <w:rStyle w:val="optioncarChar"/>
        </w:rPr>
        <w:t>≤ *** mm/m / non spécifié.</w:t>
      </w:r>
    </w:p>
    <w:p w14:paraId="0E8E9438" w14:textId="77777777" w:rsidR="00DF410E" w:rsidRDefault="00CE7F43">
      <w:pPr>
        <w:jc w:val="both"/>
      </w:pPr>
      <w:r>
        <w:t xml:space="preserve"> Les éléments destinés à un usage extérieur ou en maçonnerie souterraine respectent le critère suivant en matière de comportement à l'humidité : retrait et gonflement hygrométriques ≤ 0.45 mm / m.</w:t>
      </w:r>
    </w:p>
    <w:p w14:paraId="0ED8EA0F" w14:textId="77777777" w:rsidR="00DF410E" w:rsidRDefault="00CE7F43">
      <w:pPr>
        <w:jc w:val="both"/>
      </w:pPr>
      <w:r>
        <w:t xml:space="preserve">Valeur µ selon [NBN EN ISO 12572] : </w:t>
      </w:r>
      <w:r>
        <w:rPr>
          <w:rStyle w:val="optioncarChar"/>
        </w:rPr>
        <w:t>*** / non spécifié</w:t>
      </w:r>
    </w:p>
    <w:p w14:paraId="32980064" w14:textId="77777777" w:rsidR="00DF410E" w:rsidRDefault="00CE7F43">
      <w:pPr>
        <w:jc w:val="both"/>
      </w:pPr>
      <w:r>
        <w:t xml:space="preserve">Résistance au gel selon [NBN B 15-231] : </w:t>
      </w:r>
      <w:r>
        <w:rPr>
          <w:rStyle w:val="optioncarChar"/>
        </w:rPr>
        <w:t>résistant </w:t>
      </w:r>
      <w:r>
        <w:t>(par défaut)</w:t>
      </w:r>
      <w:r>
        <w:rPr>
          <w:rStyle w:val="optioncarChar"/>
        </w:rPr>
        <w:t xml:space="preserve"> / non spécifié</w:t>
      </w:r>
    </w:p>
    <w:p w14:paraId="0C53C5FC" w14:textId="77777777" w:rsidR="00DF410E" w:rsidRDefault="00CE7F43">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14:paraId="04DF1D3B" w14:textId="77777777" w:rsidR="00DF410E" w:rsidRDefault="00CE7F43">
      <w:pPr>
        <w:jc w:val="both"/>
      </w:pPr>
      <w:r>
        <w:t xml:space="preserve">Chaleur spécifique : </w:t>
      </w:r>
      <w:r>
        <w:rPr>
          <w:rStyle w:val="optioncarChar"/>
        </w:rPr>
        <w:t>*** J/kg K / non spécifié</w:t>
      </w:r>
    </w:p>
    <w:p w14:paraId="7E711B40" w14:textId="77777777" w:rsidR="00DF410E" w:rsidRDefault="00CE7F43">
      <w:pPr>
        <w:jc w:val="both"/>
      </w:pPr>
      <w:r>
        <w:t xml:space="preserve">Réaction au feu : </w:t>
      </w:r>
      <w:r>
        <w:rPr>
          <w:rStyle w:val="optioncarChar"/>
        </w:rPr>
        <w:t>***</w:t>
      </w:r>
    </w:p>
    <w:p w14:paraId="542F56A4" w14:textId="77777777" w:rsidR="00DF410E" w:rsidRDefault="00CE7F43">
      <w:pPr>
        <w:jc w:val="both"/>
      </w:pPr>
      <w:r>
        <w:t xml:space="preserve">Emission de COV : </w:t>
      </w:r>
      <w:r>
        <w:rPr>
          <w:rStyle w:val="optioncarChar"/>
        </w:rPr>
        <w:t>≤ *** / non spécifié</w:t>
      </w:r>
    </w:p>
    <w:p w14:paraId="371BBD1A" w14:textId="77777777" w:rsidR="00DF410E" w:rsidRDefault="00CE7F43">
      <w:pPr>
        <w:jc w:val="both"/>
      </w:pPr>
      <w:r>
        <w:t> </w:t>
      </w:r>
    </w:p>
    <w:p w14:paraId="3E325B06" w14:textId="77777777" w:rsidR="00DF410E" w:rsidRDefault="00CE7F43">
      <w:pPr>
        <w:jc w:val="both"/>
      </w:pPr>
      <w:r>
        <w:rPr>
          <w:u w:val="single"/>
        </w:rPr>
        <w:t>Mortier</w:t>
      </w:r>
    </w:p>
    <w:p w14:paraId="2CDAC115" w14:textId="77777777" w:rsidR="00DF410E" w:rsidRDefault="00CE7F43">
      <w:pPr>
        <w:jc w:val="both"/>
      </w:pPr>
      <w:r>
        <w:t xml:space="preserve">Type : </w:t>
      </w:r>
      <w:r>
        <w:rPr>
          <w:rStyle w:val="optioncarChar"/>
        </w:rPr>
        <w:t>mortier en terre crue / mortier en terre crue stabilisée au ciment </w:t>
      </w:r>
      <w:r>
        <w:t>(par défaut)</w:t>
      </w:r>
      <w:r>
        <w:rPr>
          <w:rStyle w:val="optioncarChar"/>
        </w:rPr>
        <w:t xml:space="preserve"> / mortier en terre crue stabilisée à la chaux / mortier à la chaux hydraulique.</w:t>
      </w:r>
    </w:p>
    <w:p w14:paraId="5F2E1C8B" w14:textId="77777777" w:rsidR="00DF410E" w:rsidRDefault="00CE7F43">
      <w:pPr>
        <w:jc w:val="both"/>
      </w:pPr>
      <w:r>
        <w:t xml:space="preserve">Masse volumique apparente selon [NBN EN 1015-10] : </w:t>
      </w:r>
      <w:r>
        <w:rPr>
          <w:rStyle w:val="optioncarChar"/>
        </w:rPr>
        <w:t>***</w:t>
      </w:r>
      <w:r>
        <w:t xml:space="preserve"> kg/m³</w:t>
      </w:r>
    </w:p>
    <w:p w14:paraId="0709D924" w14:textId="77777777" w:rsidR="00DF410E" w:rsidRDefault="00CE7F43">
      <w:pPr>
        <w:jc w:val="both"/>
      </w:pPr>
      <w:r>
        <w:t xml:space="preserve">Résistance en compression selon [NBN EN 1015-11] : ≥ </w:t>
      </w:r>
      <w:r>
        <w:rPr>
          <w:rStyle w:val="optioncarChar"/>
        </w:rPr>
        <w:t>***</w:t>
      </w:r>
      <w:r>
        <w:t xml:space="preserve"> N/mm²</w:t>
      </w:r>
    </w:p>
    <w:p w14:paraId="1FDBE8FC" w14:textId="77777777" w:rsidR="00DF410E" w:rsidRDefault="00CE7F43">
      <w:pPr>
        <w:jc w:val="both"/>
      </w:pPr>
      <w:r>
        <w:t xml:space="preserve">Absorption d’eau selon [NBN EN 1015-18] : </w:t>
      </w:r>
      <w:r>
        <w:rPr>
          <w:rStyle w:val="optioncarChar"/>
        </w:rPr>
        <w:t>***</w:t>
      </w:r>
      <w:r>
        <w:t xml:space="preserve"> kg/m²</w:t>
      </w:r>
    </w:p>
    <w:p w14:paraId="5285DA25" w14:textId="77777777" w:rsidR="00DF410E" w:rsidRDefault="00CE7F43">
      <w:pPr>
        <w:jc w:val="both"/>
      </w:pPr>
      <w:r>
        <w:t xml:space="preserve">Adhérence : voir </w:t>
      </w:r>
      <w:r>
        <w:rPr>
          <w:i/>
        </w:rPr>
        <w:t>‘Maçonnerie – résistance initiale au cisaillement’</w:t>
      </w:r>
      <w:r>
        <w:t xml:space="preserve"> ci-dessous.</w:t>
      </w:r>
    </w:p>
    <w:p w14:paraId="740EAC08" w14:textId="77777777" w:rsidR="00DF410E" w:rsidRDefault="00CE7F43">
      <w:pPr>
        <w:jc w:val="both"/>
      </w:pPr>
      <w:r>
        <w:t xml:space="preserve">Epaisseur des joints : </w:t>
      </w:r>
      <w:r>
        <w:rPr>
          <w:rStyle w:val="optioncarChar"/>
        </w:rPr>
        <w:t>12 / ***</w:t>
      </w:r>
      <w:r>
        <w:t xml:space="preserve"> mm.</w:t>
      </w:r>
    </w:p>
    <w:p w14:paraId="71EAB301" w14:textId="77777777" w:rsidR="00DF410E" w:rsidRDefault="00CE7F43">
      <w:pPr>
        <w:jc w:val="both"/>
      </w:pPr>
      <w:r>
        <w:t xml:space="preserve">Réaction au feu : </w:t>
      </w:r>
      <w:r>
        <w:rPr>
          <w:rStyle w:val="optioncarChar"/>
        </w:rPr>
        <w:t>***</w:t>
      </w:r>
    </w:p>
    <w:p w14:paraId="53E21031" w14:textId="77777777" w:rsidR="00DF410E" w:rsidRDefault="00CE7F43">
      <w:pPr>
        <w:jc w:val="both"/>
      </w:pPr>
      <w:r>
        <w:t xml:space="preserve">Emission de COV : </w:t>
      </w:r>
      <w:r>
        <w:rPr>
          <w:rStyle w:val="optioncarChar"/>
        </w:rPr>
        <w:t>≤ *** / non spécifié</w:t>
      </w:r>
    </w:p>
    <w:p w14:paraId="2294181F" w14:textId="77777777" w:rsidR="00DF410E" w:rsidRDefault="00CE7F43">
      <w:pPr>
        <w:jc w:val="both"/>
      </w:pPr>
      <w:r>
        <w:t> </w:t>
      </w:r>
    </w:p>
    <w:p w14:paraId="266E1B74" w14:textId="77777777" w:rsidR="00DF410E" w:rsidRDefault="00CE7F43">
      <w:pPr>
        <w:jc w:val="both"/>
      </w:pPr>
      <w:r>
        <w:rPr>
          <w:rStyle w:val="headingChar"/>
        </w:rPr>
        <w:t>Performances De La Parois</w:t>
      </w:r>
    </w:p>
    <w:p w14:paraId="692001D6" w14:textId="77777777" w:rsidR="00DF410E" w:rsidRDefault="00DF410E">
      <w:pPr>
        <w:jc w:val="both"/>
      </w:pPr>
    </w:p>
    <w:p w14:paraId="0BF360A3" w14:textId="77777777" w:rsidR="00DF410E" w:rsidRDefault="00CE7F43">
      <w:pPr>
        <w:jc w:val="both"/>
      </w:pPr>
      <w:r>
        <w:t>Résistance à la compression f</w:t>
      </w:r>
      <w:r>
        <w:rPr>
          <w:vertAlign w:val="subscript"/>
        </w:rPr>
        <w:t>k</w:t>
      </w:r>
      <w:r>
        <w:t xml:space="preserve"> selon la [NBN EN 1052-1] : ≥ </w:t>
      </w:r>
      <w:r>
        <w:rPr>
          <w:rStyle w:val="optioncarChar"/>
        </w:rPr>
        <w:t>***</w:t>
      </w:r>
      <w:r>
        <w:t xml:space="preserve"> N/mm²</w:t>
      </w:r>
    </w:p>
    <w:p w14:paraId="12CF044A" w14:textId="77777777" w:rsidR="00DF410E" w:rsidRDefault="00CE7F43">
      <w:pPr>
        <w:jc w:val="both"/>
      </w:pPr>
      <w:r>
        <w:t xml:space="preserve">Module de Young E selon [NBN EN 1052-1] : </w:t>
      </w:r>
      <w:r>
        <w:rPr>
          <w:rStyle w:val="optioncarChar"/>
        </w:rPr>
        <w:t>***</w:t>
      </w:r>
      <w:r>
        <w:t xml:space="preserve"> N/mm²</w:t>
      </w:r>
    </w:p>
    <w:p w14:paraId="2AE451C4" w14:textId="77777777" w:rsidR="00DF410E" w:rsidRDefault="00CE7F43">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 ≥</w:t>
      </w:r>
      <w:r>
        <w:rPr>
          <w:rStyle w:val="optioncarChar"/>
        </w:rPr>
        <w:t xml:space="preserve"> ***</w:t>
      </w:r>
      <w:r>
        <w:t xml:space="preserve"> N/mm²</w:t>
      </w:r>
    </w:p>
    <w:p w14:paraId="14219F9A" w14:textId="77777777" w:rsidR="00DF410E" w:rsidRDefault="00CE7F43">
      <w:pPr>
        <w:jc w:val="both"/>
      </w:pPr>
      <w:r>
        <w:t>Résistance initiale au cisaillement f</w:t>
      </w:r>
      <w:r>
        <w:rPr>
          <w:vertAlign w:val="subscript"/>
        </w:rPr>
        <w:t>vk0</w:t>
      </w:r>
      <w:r>
        <w:t xml:space="preserve"> selon la [NBN EN 1052-3] : ≥</w:t>
      </w:r>
      <w:r>
        <w:rPr>
          <w:rStyle w:val="optioncarChar"/>
        </w:rPr>
        <w:t xml:space="preserve"> ***</w:t>
      </w:r>
      <w:r>
        <w:t xml:space="preserve"> N/mm²</w:t>
      </w:r>
    </w:p>
    <w:p w14:paraId="68F490CA" w14:textId="77777777" w:rsidR="00DF410E" w:rsidRDefault="00CE7F43">
      <w:pPr>
        <w:jc w:val="both"/>
      </w:pPr>
      <w:r>
        <w:t>Autres éventuelles exigences de résistances mécaniques (compression excentrée, fluage) :</w:t>
      </w:r>
      <w:r>
        <w:rPr>
          <w:rStyle w:val="optioncarChar"/>
        </w:rPr>
        <w:t xml:space="preserve"> ***.</w:t>
      </w:r>
    </w:p>
    <w:p w14:paraId="096377EB" w14:textId="77777777" w:rsidR="00DF410E" w:rsidRDefault="00CE7F43">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14:paraId="47FC2060" w14:textId="77777777" w:rsidR="00DF410E" w:rsidRDefault="00CE7F43">
      <w:pPr>
        <w:jc w:val="both"/>
      </w:pPr>
      <w:r>
        <w:t> </w:t>
      </w:r>
    </w:p>
    <w:p w14:paraId="2E72F0F2" w14:textId="77777777" w:rsidR="00DF410E" w:rsidRDefault="00CE7F43">
      <w:pPr>
        <w:jc w:val="both"/>
      </w:pPr>
      <w:r>
        <w:t>Résistance au feu ([NBN EN 13501-2], [NBN EN 1365-1]):</w:t>
      </w:r>
    </w:p>
    <w:p w14:paraId="0A92473D" w14:textId="77777777" w:rsidR="00DF410E" w:rsidRDefault="00CE7F43">
      <w:pPr>
        <w:pStyle w:val="Author-eListParagraph"/>
        <w:numPr>
          <w:ilvl w:val="0"/>
          <w:numId w:val="131"/>
        </w:numPr>
      </w:pPr>
      <w:r>
        <w:t>pour les éléments porteurs structurels sans fonction séparante :</w:t>
      </w:r>
      <w:r>
        <w:rPr>
          <w:rStyle w:val="optioncarChar"/>
        </w:rPr>
        <w:t xml:space="preserve"> R15 / R30</w:t>
      </w:r>
      <w:r>
        <w:t> (par défaut)</w:t>
      </w:r>
      <w:r>
        <w:rPr>
          <w:rStyle w:val="optioncarChar"/>
        </w:rPr>
        <w:t xml:space="preserve"> / R60 / R90 / R120 / ***</w:t>
      </w:r>
    </w:p>
    <w:p w14:paraId="28C3A20A" w14:textId="77777777" w:rsidR="00DF410E" w:rsidRDefault="00CE7F43">
      <w:pPr>
        <w:pStyle w:val="Author-eListParagraph"/>
        <w:numPr>
          <w:ilvl w:val="0"/>
          <w:numId w:val="131"/>
        </w:numPr>
      </w:pPr>
      <w:r>
        <w:t xml:space="preserve">pour les éléments porteurs structurels avec fonction séparante : </w:t>
      </w:r>
      <w:r>
        <w:rPr>
          <w:rStyle w:val="optioncarChar"/>
        </w:rPr>
        <w:t>REI30 </w:t>
      </w:r>
      <w:r>
        <w:t>(par défaut)</w:t>
      </w:r>
      <w:r>
        <w:rPr>
          <w:rStyle w:val="optioncarChar"/>
        </w:rPr>
        <w:t xml:space="preserve"> / REI60 / REI90 / REI120 / ***</w:t>
      </w:r>
    </w:p>
    <w:p w14:paraId="742C19EB" w14:textId="77777777" w:rsidR="00DF410E" w:rsidRDefault="00DF410E"/>
    <w:p w14:paraId="5AEB46BA" w14:textId="77777777" w:rsidR="00DF410E" w:rsidRDefault="00CE7F43">
      <w:r>
        <w:t> </w:t>
      </w:r>
    </w:p>
    <w:p w14:paraId="0F053F3D" w14:textId="77777777" w:rsidR="00DF410E" w:rsidRDefault="00CE7F43">
      <w:pPr>
        <w:pStyle w:val="pheading"/>
      </w:pPr>
      <w:r>
        <w:t>- Finitions</w:t>
      </w:r>
    </w:p>
    <w:p w14:paraId="5757CFB1" w14:textId="77777777" w:rsidR="00DF410E" w:rsidRDefault="00DF410E"/>
    <w:p w14:paraId="5EC78C8B" w14:textId="77777777" w:rsidR="00DF410E" w:rsidRDefault="00CE7F43">
      <w:pPr>
        <w:pStyle w:val="Author-eListParagraph"/>
        <w:numPr>
          <w:ilvl w:val="0"/>
          <w:numId w:val="132"/>
        </w:numPr>
      </w:pPr>
      <w:r>
        <w:t xml:space="preserve">Les faces de murs suivantes sont exécutées comme maçonneries apparentes et sont </w:t>
      </w:r>
      <w:r>
        <w:rPr>
          <w:rStyle w:val="optioncarChar"/>
        </w:rPr>
        <w:t xml:space="preserve">rejointoyées </w:t>
      </w:r>
      <w:r>
        <w:t xml:space="preserve">selon </w:t>
      </w:r>
      <w:hyperlink w:anchor="344" w:history="1">
        <w:r>
          <w:t>21.61.1b Joints de maçonnerie apparente</w:t>
        </w:r>
      </w:hyperlink>
      <w:r>
        <w:t xml:space="preserve">: </w:t>
      </w:r>
      <w:r>
        <w:rPr>
          <w:color w:val="FF0000"/>
        </w:rPr>
        <w:t>***</w:t>
      </w:r>
    </w:p>
    <w:p w14:paraId="2867A922" w14:textId="77777777" w:rsidR="00DF410E" w:rsidRDefault="00CE7F43">
      <w:pPr>
        <w:pStyle w:val="Author-eListParagraph"/>
        <w:numPr>
          <w:ilvl w:val="0"/>
          <w:numId w:val="132"/>
        </w:numPr>
      </w:pPr>
      <w:r>
        <w:t xml:space="preserve">Les murs suivants sont exécutés avec une face restant apparente : </w:t>
      </w:r>
      <w:r>
        <w:rPr>
          <w:rStyle w:val="optioncarChar"/>
        </w:rPr>
        <w:t>***</w:t>
      </w:r>
    </w:p>
    <w:p w14:paraId="2BD041C3" w14:textId="77777777" w:rsidR="00DF410E" w:rsidRDefault="00CE7F43">
      <w:pPr>
        <w:pStyle w:val="Author-eListParagraph"/>
        <w:numPr>
          <w:ilvl w:val="0"/>
          <w:numId w:val="132"/>
        </w:numPr>
      </w:pPr>
      <w:r>
        <w:t xml:space="preserve">Les murs suivants sont exécutés avec deux faces restant apparentes : </w:t>
      </w:r>
      <w:r>
        <w:rPr>
          <w:rStyle w:val="optioncarChar"/>
        </w:rPr>
        <w:t>***</w:t>
      </w:r>
    </w:p>
    <w:p w14:paraId="6F77A975" w14:textId="77777777" w:rsidR="00DF410E" w:rsidRDefault="00CE7F43">
      <w:pPr>
        <w:jc w:val="both"/>
      </w:pPr>
      <w:r>
        <w:t>Couleur des joints :</w:t>
      </w:r>
      <w:r>
        <w:rPr>
          <w:rStyle w:val="optioncarChar"/>
        </w:rPr>
        <w:t xml:space="preserve"> couleur approchant celle des briques </w:t>
      </w:r>
      <w:r>
        <w:t>(par défaut)</w:t>
      </w:r>
      <w:r>
        <w:rPr>
          <w:rStyle w:val="optioncarChar"/>
        </w:rPr>
        <w:t xml:space="preserve"> / ***</w:t>
      </w:r>
    </w:p>
    <w:p w14:paraId="5CACE29E" w14:textId="77777777" w:rsidR="00DF410E" w:rsidRDefault="00CE7F43">
      <w:pPr>
        <w:jc w:val="both"/>
      </w:pPr>
      <w:r>
        <w:t>Type de joints :</w:t>
      </w:r>
      <w:r>
        <w:rPr>
          <w:rStyle w:val="optioncarChar"/>
        </w:rPr>
        <w:t xml:space="preserve"> joint creux</w:t>
      </w:r>
      <w:r>
        <w:t xml:space="preserve"> (par défaut)</w:t>
      </w:r>
      <w:r>
        <w:rPr>
          <w:rStyle w:val="optioncarChar"/>
        </w:rPr>
        <w:t xml:space="preserve"> / joint creux en retrait / joint plat / joint plat en retrait / joint biais en retrait / ***</w:t>
      </w:r>
    </w:p>
    <w:p w14:paraId="6F7E9DA3" w14:textId="77777777" w:rsidR="00DF410E" w:rsidRDefault="00CE7F43">
      <w:pPr>
        <w:jc w:val="both"/>
      </w:pPr>
      <w:r>
        <w:t>Finition des joints :</w:t>
      </w:r>
      <w:r>
        <w:rPr>
          <w:rStyle w:val="optioncarChar"/>
        </w:rPr>
        <w:t xml:space="preserve"> joint brossé</w:t>
      </w:r>
      <w:r>
        <w:t xml:space="preserve"> (par défaut)</w:t>
      </w:r>
      <w:r>
        <w:rPr>
          <w:rStyle w:val="optioncarChar"/>
        </w:rPr>
        <w:t xml:space="preserve"> / finition lisse / joint frappé à la brosse dure / ***</w:t>
      </w:r>
    </w:p>
    <w:p w14:paraId="6772790A" w14:textId="77777777" w:rsidR="00DF410E" w:rsidRDefault="00CE7F43">
      <w:pPr>
        <w:pStyle w:val="pheading"/>
      </w:pPr>
      <w:r>
        <w:t>EXÉCUTION / MISE EN ŒUVRE</w:t>
      </w:r>
    </w:p>
    <w:p w14:paraId="2D9A542B" w14:textId="77777777" w:rsidR="00DF410E" w:rsidRDefault="00CE7F43">
      <w:pPr>
        <w:pStyle w:val="pheading"/>
      </w:pPr>
      <w:r>
        <w:t>- Prescriptions générales</w:t>
      </w:r>
    </w:p>
    <w:p w14:paraId="149BBFCE" w14:textId="77777777" w:rsidR="00DF410E" w:rsidRDefault="00CE7F43">
      <w:pPr>
        <w:jc w:val="both"/>
      </w:pPr>
      <w:r>
        <w:t xml:space="preserve">La maçonnerie est exécutée en appareillage </w:t>
      </w:r>
      <w:r>
        <w:rPr>
          <w:rStyle w:val="optioncarChar"/>
        </w:rPr>
        <w:t>d’une demi-brique / ***</w:t>
      </w:r>
      <w:r>
        <w:t>.</w:t>
      </w:r>
    </w:p>
    <w:p w14:paraId="3619EE92" w14:textId="77777777" w:rsidR="00DF410E" w:rsidRDefault="00CE7F43">
      <w:pPr>
        <w:jc w:val="both"/>
      </w:pPr>
      <w:r>
        <w:t>Linteaux :</w:t>
      </w:r>
      <w:r>
        <w:rPr>
          <w:rStyle w:val="optioncarChar"/>
        </w:rPr>
        <w:t xml:space="preserve"> ***</w:t>
      </w:r>
      <w:r>
        <w:t>.</w:t>
      </w:r>
    </w:p>
    <w:p w14:paraId="1BE21B60" w14:textId="77777777" w:rsidR="00DF410E" w:rsidRDefault="00CE7F43">
      <w:pPr>
        <w:pStyle w:val="pheading"/>
      </w:pPr>
      <w:r>
        <w:t>- Notes d’exécution complémentaires</w:t>
      </w:r>
    </w:p>
    <w:p w14:paraId="4C40FE87" w14:textId="77777777" w:rsidR="00DF410E" w:rsidRDefault="00CE7F43">
      <w:pPr>
        <w:jc w:val="both"/>
      </w:pPr>
      <w:r>
        <w:rPr>
          <w:rStyle w:val="facultChar"/>
        </w:rPr>
        <w:t xml:space="preserve">Armatures horizontales : selon l'élément </w:t>
      </w:r>
      <w:hyperlink w:anchor="355" w:history="1">
        <w:r>
          <w:rPr>
            <w:rStyle w:val="facultChar"/>
          </w:rPr>
          <w:t>21.41.1 Armatures horizontales pour maçonneries</w:t>
        </w:r>
      </w:hyperlink>
    </w:p>
    <w:p w14:paraId="747153E9" w14:textId="77777777" w:rsidR="00DF410E" w:rsidRDefault="00CE7F43">
      <w:pPr>
        <w:jc w:val="both"/>
      </w:pPr>
      <w:r>
        <w:rPr>
          <w:rStyle w:val="facultChar"/>
        </w:rPr>
        <w:t xml:space="preserve">Ancrages : selon l'élément </w:t>
      </w:r>
      <w:hyperlink w:anchor="362" w:history="1">
        <w:r>
          <w:rPr>
            <w:rStyle w:val="facultChar"/>
          </w:rPr>
          <w:t>21.42 Ancrages et fixations de maçonneries</w:t>
        </w:r>
      </w:hyperlink>
    </w:p>
    <w:p w14:paraId="3AAD0DCD" w14:textId="77777777" w:rsidR="00DF410E" w:rsidRDefault="00CE7F43">
      <w:pPr>
        <w:jc w:val="both"/>
      </w:pPr>
      <w:r>
        <w:rPr>
          <w:rStyle w:val="facultChar"/>
        </w:rPr>
        <w:t xml:space="preserve">Blocs spéciaux : </w:t>
      </w:r>
      <w:r>
        <w:rPr>
          <w:rStyle w:val="optioncarChar"/>
        </w:rPr>
        <w:t>***</w:t>
      </w:r>
    </w:p>
    <w:p w14:paraId="1BF74A91" w14:textId="77777777" w:rsidR="00DF410E" w:rsidRDefault="00CE7F43">
      <w:pPr>
        <w:jc w:val="both"/>
      </w:pPr>
      <w:r>
        <w:rPr>
          <w:rStyle w:val="facultChar"/>
        </w:rPr>
        <w:t xml:space="preserve">Étanchéité : </w:t>
      </w:r>
      <w:r>
        <w:rPr>
          <w:rStyle w:val="optioncarChar"/>
        </w:rPr>
        <w:t>***</w:t>
      </w:r>
    </w:p>
    <w:p w14:paraId="78F44F06" w14:textId="77777777" w:rsidR="00DF410E" w:rsidRDefault="00CE7F43">
      <w:pPr>
        <w:jc w:val="both"/>
      </w:pPr>
      <w:r>
        <w:rPr>
          <w:rStyle w:val="facultChar"/>
        </w:rPr>
        <w:t>Joints de dilatation :</w:t>
      </w:r>
      <w:r>
        <w:rPr>
          <w:rStyle w:val="optioncarChar"/>
        </w:rPr>
        <w:t xml:space="preserve"> ***</w:t>
      </w:r>
    </w:p>
    <w:p w14:paraId="4F889BC7" w14:textId="77777777" w:rsidR="00DF410E" w:rsidRDefault="00CE7F43">
      <w:pPr>
        <w:pStyle w:val="pheading"/>
      </w:pPr>
      <w:r>
        <w:t>- Échantillons</w:t>
      </w:r>
    </w:p>
    <w:p w14:paraId="46CD1236" w14:textId="77777777" w:rsidR="00DF410E" w:rsidRDefault="00CE7F43">
      <w:pPr>
        <w:jc w:val="both"/>
      </w:pPr>
      <w:r>
        <w:t>L’entrepreneur soumet un échantillon de bloc.</w:t>
      </w:r>
    </w:p>
    <w:p w14:paraId="44407131" w14:textId="77777777" w:rsidR="00DF410E" w:rsidRDefault="00CE7F43">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77433AE4" w14:textId="77777777" w:rsidR="00DF410E" w:rsidRDefault="00CE7F43">
      <w:pPr>
        <w:pStyle w:val="pheading"/>
      </w:pPr>
      <w:r>
        <w:t>DOCUMENTS DE RÉFÉRENCE COMPLÉMENTAIRES</w:t>
      </w:r>
    </w:p>
    <w:p w14:paraId="693731B7" w14:textId="77777777" w:rsidR="00DF410E" w:rsidRDefault="00CE7F43">
      <w:pPr>
        <w:pStyle w:val="pheading"/>
      </w:pPr>
      <w:r>
        <w:t>- Matériau</w:t>
      </w:r>
    </w:p>
    <w:p w14:paraId="057B211C" w14:textId="77777777" w:rsidR="00DF410E" w:rsidRDefault="00CE7F43">
      <w:r>
        <w:t>[PTV 21-001, Eléments de maçonnerie en béton (granulats courants et légers) - Classification et spécifications d'application]</w:t>
      </w:r>
    </w:p>
    <w:p w14:paraId="5FB1EAAA" w14:textId="77777777" w:rsidR="00DF410E" w:rsidRDefault="00CE7F43">
      <w:r>
        <w:t>[NBN EN 772-1+A1, Méthodes d'essai des éléments de maçonnerie - Partie 1: Détermination de la résistance à la compression]</w:t>
      </w:r>
    </w:p>
    <w:p w14:paraId="47845E23" w14:textId="77777777" w:rsidR="00DF410E" w:rsidRDefault="00CE7F43">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3C1C5183" w14:textId="77777777" w:rsidR="00DF410E" w:rsidRDefault="00CE7F43">
      <w:r>
        <w:t>[NBN EN 772-13, Méthodes d'essai des éléments de maçonnerie - Partie 13: Détermination de la masse volumique absolue sèche et de la masse volumique apparente sèche des éléments de maçonnerie (excepté les pierres naturelles)]</w:t>
      </w:r>
    </w:p>
    <w:p w14:paraId="256FDE8A" w14:textId="77777777" w:rsidR="00DF410E" w:rsidRDefault="00CE7F43">
      <w:r>
        <w:t>[NBN EN 772-14, Méthode d'essai pour des éléments de maçonnerie - Partie 14 : Détermination de la variation due à l'humidité des éléments de maçonnerie en béton de granulats et en pierre reconstituée]</w:t>
      </w:r>
    </w:p>
    <w:p w14:paraId="4FB926B4" w14:textId="77777777" w:rsidR="00DF410E" w:rsidRDefault="00CE7F43">
      <w:r>
        <w:t>[NBN EN ISO 12572, Performance hygrothermique des matériaux et produits pour le bâtiment - Détermination des propriétés de transmission de la vapeur d'eau - Méthode de la coupelle (ISO 12572:2016)]</w:t>
      </w:r>
    </w:p>
    <w:p w14:paraId="0D0EA7AD" w14:textId="77777777" w:rsidR="00DF410E" w:rsidRDefault="00CE7F43">
      <w:r>
        <w:t>[NBN B 15-231, Essais des bétons - Gélivité]</w:t>
      </w:r>
    </w:p>
    <w:p w14:paraId="06435AFD" w14:textId="77777777" w:rsidR="00DF410E" w:rsidRDefault="00CE7F43">
      <w:r>
        <w:t>[NBN EN 1015-10, Méthodes d'essai des mortiers pour la maçonnerie - Partie 10: Détermination de la masse volumique apparente sèche du mortier durci]</w:t>
      </w:r>
    </w:p>
    <w:p w14:paraId="610645CB" w14:textId="77777777" w:rsidR="00DF410E" w:rsidRDefault="00CE7F43">
      <w:r>
        <w:t>[NBN EN 1015-11, Méthodes d'essai des mortiers pour maçonnerie - Détermination de la résistance à la flexion et à la compression du mortier durci]</w:t>
      </w:r>
    </w:p>
    <w:p w14:paraId="48B06B31" w14:textId="77777777" w:rsidR="00DF410E" w:rsidRDefault="00CE7F43">
      <w:r>
        <w:t>[NBN EN 1015-18, Méthodes d'essai des mortiers pour maçonnerie - Partie 18: Détermination du coefficient d'absorption d'eau par capillarité du mortier durci]</w:t>
      </w:r>
    </w:p>
    <w:p w14:paraId="330D069A" w14:textId="77777777" w:rsidR="00DF410E" w:rsidRDefault="00CE7F43">
      <w:r>
        <w:t>[NBN EN 1052-1, Méthodes d'essai de la maçonnerie - Partie 1: Détermination de la résistance à la compression]</w:t>
      </w:r>
    </w:p>
    <w:p w14:paraId="15C30695" w14:textId="77777777" w:rsidR="00DF410E" w:rsidRDefault="00CE7F43">
      <w:r>
        <w:t>[NBN EN 1052-2, Méthodes d'essai de la maçonnerie - Partie 2: Détermination de la résistance à la flexion (Corrected version - 2017-03-22)]</w:t>
      </w:r>
    </w:p>
    <w:p w14:paraId="75E0444A" w14:textId="77777777" w:rsidR="00DF410E" w:rsidRDefault="00CE7F43">
      <w:r>
        <w:t>[NBN EN 1052-3, Méthodes d'essai de la maçonnerie - Partie 3: Détermination de la résistance initiale au cisaillement]</w:t>
      </w:r>
    </w:p>
    <w:p w14:paraId="37A8B3A2"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5E00254B" w14:textId="77777777" w:rsidR="00DF410E" w:rsidRDefault="00CE7F43">
      <w:r>
        <w:t>[NBN EN 1365-1, Essais de résistance au feu des éléments porteurs - Partie 1: Murs (+ AC:2013)]</w:t>
      </w:r>
    </w:p>
    <w:p w14:paraId="46A3871C" w14:textId="77777777" w:rsidR="00DF410E" w:rsidRDefault="00CE7F43">
      <w:r>
        <w:t>[DIN 18945, Earth blocks - Requirements, test and labelling]</w:t>
      </w:r>
    </w:p>
    <w:p w14:paraId="0A832759" w14:textId="77777777" w:rsidR="00DF410E" w:rsidRDefault="00CE7F43">
      <w:r>
        <w:t>[DIN 18946, Earth masonry mortar - Requirements, test and labelling]</w:t>
      </w:r>
    </w:p>
    <w:p w14:paraId="64894391" w14:textId="77777777" w:rsidR="00DF410E" w:rsidRDefault="00CE7F43">
      <w:pPr>
        <w:pStyle w:val="pheading"/>
      </w:pPr>
      <w:r>
        <w:t>MESURAGE</w:t>
      </w:r>
    </w:p>
    <w:p w14:paraId="00F20166" w14:textId="77777777" w:rsidR="00DF410E" w:rsidRDefault="00CE7F43">
      <w:pPr>
        <w:pStyle w:val="pheading"/>
      </w:pPr>
      <w:r>
        <w:t>- unité de mesure:</w:t>
      </w:r>
    </w:p>
    <w:p w14:paraId="5F2C52DC" w14:textId="77777777" w:rsidR="00DF410E" w:rsidRDefault="00CE7F43">
      <w:r>
        <w:rPr>
          <w:rStyle w:val="optioncarChar"/>
        </w:rPr>
        <w:t>m³</w:t>
      </w:r>
      <w:r>
        <w:t xml:space="preserve"> (par défaut)</w:t>
      </w:r>
      <w:r>
        <w:rPr>
          <w:rStyle w:val="optioncarChar"/>
        </w:rPr>
        <w:t xml:space="preserve"> / m²</w:t>
      </w:r>
    </w:p>
    <w:p w14:paraId="4273B397" w14:textId="77777777" w:rsidR="00DF410E" w:rsidRDefault="00CE7F43">
      <w:r>
        <w:rPr>
          <w:b/>
          <w:i/>
        </w:rPr>
        <w:t>(Soit par défaut)</w:t>
      </w:r>
    </w:p>
    <w:p w14:paraId="6BBD7BD9" w14:textId="77777777" w:rsidR="00DF410E" w:rsidRDefault="00CE7F43">
      <w:r>
        <w:rPr>
          <w:rStyle w:val="soitChar"/>
        </w:rPr>
        <w:t>m³</w:t>
      </w:r>
      <w:r>
        <w:br/>
      </w:r>
      <w:r>
        <w:br/>
      </w:r>
      <w:r>
        <w:rPr>
          <w:b/>
          <w:i/>
        </w:rPr>
        <w:t>(Soit)</w:t>
      </w:r>
    </w:p>
    <w:p w14:paraId="5F45256C" w14:textId="77777777" w:rsidR="00DF410E" w:rsidRDefault="00CE7F43">
      <w:r>
        <w:rPr>
          <w:rStyle w:val="soitChar"/>
        </w:rPr>
        <w:t>m²</w:t>
      </w:r>
    </w:p>
    <w:p w14:paraId="7AB98828" w14:textId="77777777" w:rsidR="00DF410E" w:rsidRDefault="00CE7F43">
      <w:pPr>
        <w:pStyle w:val="pheading"/>
      </w:pPr>
      <w:r>
        <w:t>- code de mesurage:</w:t>
      </w:r>
    </w:p>
    <w:p w14:paraId="3AA96443"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F783064"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0E51BD6"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0699A5D" w14:textId="77777777" w:rsidR="00DF410E" w:rsidRDefault="00CE7F43">
      <w:r>
        <w:rPr>
          <w:rStyle w:val="optioncarChar"/>
        </w:rPr>
        <w:t>Volume net </w:t>
      </w:r>
      <w:r>
        <w:t>(par défaut)</w:t>
      </w:r>
      <w:r>
        <w:rPr>
          <w:rStyle w:val="optioncarChar"/>
        </w:rPr>
        <w:t> / Surface nette</w:t>
      </w:r>
    </w:p>
    <w:p w14:paraId="2E53AF6A" w14:textId="77777777" w:rsidR="00DF410E" w:rsidRDefault="00CE7F43">
      <w:r>
        <w:rPr>
          <w:b/>
        </w:rPr>
        <w:t>(soit par défaut)</w:t>
      </w:r>
    </w:p>
    <w:p w14:paraId="5B7D2FE0"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CA29151" w14:textId="77777777" w:rsidR="00DF410E" w:rsidRDefault="00CE7F43">
      <w:r>
        <w:rPr>
          <w:b/>
        </w:rPr>
        <w:t>(soit)</w:t>
      </w:r>
    </w:p>
    <w:p w14:paraId="33ADD4AD"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EC4BB41" w14:textId="77777777" w:rsidR="00DF410E" w:rsidRDefault="00DF410E"/>
    <w:p w14:paraId="4C506E40" w14:textId="77777777" w:rsidR="00DF410E" w:rsidRDefault="00CE7F43">
      <w:pPr>
        <w:pStyle w:val="pheading"/>
      </w:pPr>
      <w:r>
        <w:t>- nature du marché:</w:t>
      </w:r>
    </w:p>
    <w:p w14:paraId="44A26B96" w14:textId="77777777" w:rsidR="00DF410E" w:rsidRDefault="00CE7F43">
      <w:r>
        <w:t>QF</w:t>
      </w:r>
    </w:p>
    <w:p w14:paraId="26062745" w14:textId="77777777" w:rsidR="00DF410E" w:rsidRDefault="00CE7F43">
      <w:pPr>
        <w:pStyle w:val="Author-eSectionHeading4"/>
      </w:pPr>
      <w:bookmarkStart w:id="75" w:name="_Toc178837339"/>
      <w:r>
        <w:t>21.13 Maçonneries portantes en pierre CCTB 01.02</w:t>
      </w:r>
      <w:bookmarkEnd w:id="75"/>
    </w:p>
    <w:p w14:paraId="551D4A5F" w14:textId="77777777" w:rsidR="00DF410E" w:rsidRDefault="00CE7F43">
      <w:pPr>
        <w:pStyle w:val="Author-eSectionHeading5"/>
      </w:pPr>
      <w:bookmarkStart w:id="76" w:name="453"/>
      <w:bookmarkStart w:id="77" w:name="_Toc178837340"/>
      <w:bookmarkEnd w:id="76"/>
      <w:r>
        <w:t>21.13.1 Maçonneries portantes en pierre de taille CCTB 01.02</w:t>
      </w:r>
      <w:bookmarkEnd w:id="77"/>
    </w:p>
    <w:p w14:paraId="5FBB0337" w14:textId="77777777" w:rsidR="00DF410E" w:rsidRDefault="00CE7F43">
      <w:pPr>
        <w:pStyle w:val="Author-eSectionHeading6"/>
      </w:pPr>
      <w:bookmarkStart w:id="78" w:name="_Toc178837341"/>
      <w:r>
        <w:t>21.13.1a Maçonneries portantes en petit granit - pierre bleue CCTB 01.04</w:t>
      </w:r>
      <w:bookmarkEnd w:id="78"/>
    </w:p>
    <w:p w14:paraId="2477339E" w14:textId="77777777" w:rsidR="00DF410E" w:rsidRDefault="00CE7F43">
      <w:pPr>
        <w:pStyle w:val="Author-eSectionHeading6"/>
      </w:pPr>
      <w:bookmarkStart w:id="79" w:name="_Toc178837342"/>
      <w:r>
        <w:t>21.13.1b Maçonneries portantes en pierre calcaire CCTB 01.04</w:t>
      </w:r>
      <w:bookmarkEnd w:id="79"/>
    </w:p>
    <w:p w14:paraId="0C03F7B0" w14:textId="77777777" w:rsidR="00DF410E" w:rsidRDefault="00CE7F43">
      <w:pPr>
        <w:pStyle w:val="Author-eSectionHeading5"/>
      </w:pPr>
      <w:bookmarkStart w:id="80" w:name="_Toc178837343"/>
      <w:r>
        <w:t>21.13.2 Maçonneries portantes en moellons de pierre calcaire CCTB 01.02</w:t>
      </w:r>
      <w:bookmarkEnd w:id="80"/>
    </w:p>
    <w:p w14:paraId="0F41D2C3" w14:textId="77777777" w:rsidR="00DF410E" w:rsidRDefault="00CE7F43">
      <w:pPr>
        <w:pStyle w:val="Author-eSectionHeading6"/>
      </w:pPr>
      <w:bookmarkStart w:id="81" w:name="_Toc178837344"/>
      <w:r>
        <w:t>21.13.2a Maçonneries portantes en moellons de pierre bleue CCTB 01.04</w:t>
      </w:r>
      <w:bookmarkEnd w:id="81"/>
    </w:p>
    <w:p w14:paraId="6B3F42AD" w14:textId="77777777" w:rsidR="00DF410E" w:rsidRDefault="00CE7F43">
      <w:pPr>
        <w:pStyle w:val="Author-eSectionHeading6"/>
      </w:pPr>
      <w:bookmarkStart w:id="82" w:name="_Toc178837345"/>
      <w:r>
        <w:t>21.13.2b Maçonneries portantes en moellons de pierre blanche CCTB 01.04</w:t>
      </w:r>
      <w:bookmarkEnd w:id="82"/>
    </w:p>
    <w:p w14:paraId="74EDDDC2" w14:textId="77777777" w:rsidR="00DF410E" w:rsidRDefault="00CE7F43">
      <w:pPr>
        <w:pStyle w:val="Author-eSectionHeading6"/>
      </w:pPr>
      <w:bookmarkStart w:id="83" w:name="_Toc178837346"/>
      <w:r>
        <w:t>21.13.2c Maçonneries portantes en moellons de marbre CCTB 01.04</w:t>
      </w:r>
      <w:bookmarkEnd w:id="83"/>
    </w:p>
    <w:p w14:paraId="64613F81" w14:textId="77777777" w:rsidR="00DF410E" w:rsidRDefault="00CE7F43">
      <w:pPr>
        <w:pStyle w:val="Author-eSectionHeading5"/>
      </w:pPr>
      <w:bookmarkStart w:id="84" w:name="_Toc178837347"/>
      <w:r>
        <w:t>21.13.3 Maçonneries portantes en moellons de pierres siliceuses CCTB 01.02</w:t>
      </w:r>
      <w:bookmarkEnd w:id="84"/>
    </w:p>
    <w:p w14:paraId="01CE2497" w14:textId="77777777" w:rsidR="00DF410E" w:rsidRDefault="00CE7F43">
      <w:pPr>
        <w:pStyle w:val="Author-eSectionHeading6"/>
      </w:pPr>
      <w:bookmarkStart w:id="85" w:name="_Toc178837348"/>
      <w:r>
        <w:t>21.13.3a Maçonneries portantes en moellons d'arkose CCTB 01.04</w:t>
      </w:r>
      <w:bookmarkEnd w:id="85"/>
    </w:p>
    <w:p w14:paraId="5C5E5779" w14:textId="77777777" w:rsidR="00DF410E" w:rsidRDefault="00CE7F43">
      <w:pPr>
        <w:pStyle w:val="Author-eSectionHeading6"/>
      </w:pPr>
      <w:bookmarkStart w:id="86" w:name="_Toc178837349"/>
      <w:r>
        <w:t>21.13.3b Maçonneries portantes en moellons de schiste CCTB 01.04</w:t>
      </w:r>
      <w:bookmarkEnd w:id="86"/>
    </w:p>
    <w:p w14:paraId="2A4E93A7" w14:textId="77777777" w:rsidR="00DF410E" w:rsidRDefault="00CE7F43">
      <w:pPr>
        <w:pStyle w:val="Author-eSectionHeading6"/>
      </w:pPr>
      <w:bookmarkStart w:id="87" w:name="_Toc178837350"/>
      <w:r>
        <w:t>21.13.3c Maçonneries portantes en moellons de grès CCTB 01.02</w:t>
      </w:r>
      <w:bookmarkEnd w:id="87"/>
    </w:p>
    <w:p w14:paraId="23833E38" w14:textId="77777777" w:rsidR="00DF410E" w:rsidRDefault="00CE7F43">
      <w:pPr>
        <w:pStyle w:val="Author-eSectionHeading6"/>
      </w:pPr>
      <w:bookmarkStart w:id="88" w:name="_Toc178837351"/>
      <w:r>
        <w:t>21.13.3d Maçonneries portantes en moellons de quartzite CCTB 01.04</w:t>
      </w:r>
      <w:bookmarkEnd w:id="88"/>
    </w:p>
    <w:p w14:paraId="7CF6A7EE" w14:textId="77777777" w:rsidR="00DF410E" w:rsidRDefault="00CE7F43">
      <w:pPr>
        <w:pStyle w:val="Author-eSectionHeading6"/>
      </w:pPr>
      <w:bookmarkStart w:id="89" w:name="_Toc178837352"/>
      <w:r>
        <w:t>21.13.3e Maçonneries portantes en moellons de silex CCTB 01.04</w:t>
      </w:r>
      <w:bookmarkEnd w:id="89"/>
    </w:p>
    <w:p w14:paraId="1D956181" w14:textId="77777777" w:rsidR="00DF410E" w:rsidRDefault="00CE7F43">
      <w:pPr>
        <w:pStyle w:val="Author-eSectionHeading4"/>
      </w:pPr>
      <w:bookmarkStart w:id="90" w:name="_Toc178837353"/>
      <w:r>
        <w:t>21.14 Maçonneries portantes en grands éléments CCTB 01.04</w:t>
      </w:r>
      <w:bookmarkEnd w:id="90"/>
    </w:p>
    <w:p w14:paraId="06CA5813" w14:textId="77777777" w:rsidR="00DF410E" w:rsidRDefault="00CE7F43">
      <w:pPr>
        <w:pStyle w:val="Author-eSectionHeading5"/>
      </w:pPr>
      <w:bookmarkStart w:id="91" w:name="454"/>
      <w:bookmarkStart w:id="92" w:name="_Toc178837354"/>
      <w:bookmarkEnd w:id="91"/>
      <w:r>
        <w:t>21.14.1 Maçonneries portantes en éléments de grand format CCTB 01.11</w:t>
      </w:r>
      <w:bookmarkEnd w:id="92"/>
    </w:p>
    <w:p w14:paraId="1BA18BF3" w14:textId="77777777" w:rsidR="00DF410E" w:rsidRDefault="00CE7F43">
      <w:pPr>
        <w:pStyle w:val="pheading"/>
      </w:pPr>
      <w:bookmarkStart w:id="93" w:name="373"/>
      <w:bookmarkEnd w:id="93"/>
      <w:r>
        <w:t>MATÉRIAUX</w:t>
      </w:r>
    </w:p>
    <w:p w14:paraId="1F82A1DA" w14:textId="77777777" w:rsidR="00DF410E" w:rsidRDefault="00CE7F43">
      <w:r>
        <w:t>Il s'agit des grands éléments de construction en silico-calcaire, qui répondent à la norme [NBN EN 771-2+A1] et au [PTV 21-003]. L'entrepreneur soumet un échantillon, la fiche technique et la déclaration des performances (DoP) du matériau pour approbation à l'auteur de projet et au maître de l’ouvrage</w:t>
      </w:r>
    </w:p>
    <w:p w14:paraId="7187E0FD" w14:textId="77777777" w:rsidR="00DF410E" w:rsidRDefault="00CE7F43">
      <w:pPr>
        <w:pStyle w:val="pheading"/>
      </w:pPr>
      <w:r>
        <w:t>EXÉCUTION / MISE EN ŒUVRE</w:t>
      </w:r>
    </w:p>
    <w:p w14:paraId="04CF3DFA" w14:textId="77777777" w:rsidR="00DF410E" w:rsidRDefault="00CE7F43">
      <w:r>
        <w:rPr>
          <w:u w:val="single"/>
        </w:rPr>
        <w:t>-Prescriptions générales</w:t>
      </w:r>
    </w:p>
    <w:p w14:paraId="1D89613C" w14:textId="77777777" w:rsidR="00DF410E" w:rsidRDefault="00CE7F43">
      <w:r>
        <w:t xml:space="preserve">Eléments en silico-calcaire à utiliser : </w:t>
      </w:r>
      <w:r>
        <w:rPr>
          <w:rStyle w:val="optioncarChar"/>
        </w:rPr>
        <w:t>U (maçonnerie non protégée) / P (maçonnerie protégée)</w:t>
      </w:r>
    </w:p>
    <w:p w14:paraId="3A64043A" w14:textId="77777777" w:rsidR="00DF410E" w:rsidRDefault="00CE7F43">
      <w:r>
        <w:t>Conformément au mode de mise en œuvre, les grands éléments de construction en silico-calcaire sont collés à l’aide d’un mortier-colle selon les indications du fabricant des grands éléments et des notes de calcul du bureau d’études.</w:t>
      </w:r>
    </w:p>
    <w:p w14:paraId="2A02FF36" w14:textId="77777777" w:rsidR="00DF410E" w:rsidRDefault="00CE7F43">
      <w:r>
        <w:t xml:space="preserve">Le mortier à coller (selon la norme [NBN EN 998-2] et le règlement d’application [TRA 651]) répond à la catégorie : </w:t>
      </w:r>
      <w:r>
        <w:rPr>
          <w:rStyle w:val="optioncarChar"/>
        </w:rPr>
        <w:t>M5 / M10 </w:t>
      </w:r>
      <w:r>
        <w:rPr>
          <w:rStyle w:val="optioncarChar"/>
          <w:color w:val="000000"/>
        </w:rPr>
        <w:t>(par défaut)</w:t>
      </w:r>
      <w:r>
        <w:rPr>
          <w:rStyle w:val="optioncarChar"/>
        </w:rPr>
        <w:t xml:space="preserve"> / M15 / M20 / ***</w:t>
      </w:r>
    </w:p>
    <w:p w14:paraId="500581CC" w14:textId="77777777" w:rsidR="00DF410E" w:rsidRDefault="00CE7F43">
      <w:r>
        <w:t xml:space="preserve">L'épaisseur des joints est d'au moins </w:t>
      </w:r>
      <w:r>
        <w:rPr>
          <w:rStyle w:val="optioncarChar"/>
        </w:rPr>
        <w:t xml:space="preserve">2 </w:t>
      </w:r>
      <w:r>
        <w:t>(par défaut) </w:t>
      </w:r>
      <w:r>
        <w:rPr>
          <w:rStyle w:val="optioncarChar"/>
        </w:rPr>
        <w:t>/ ***</w:t>
      </w:r>
      <w:r>
        <w:t xml:space="preserve"> mm (tolérances suivant la [NIT 208])</w:t>
      </w:r>
      <w:r>
        <w:br/>
      </w:r>
      <w:r>
        <w:br/>
        <w:t>Eléments de liaison et d'ancrage :</w:t>
      </w:r>
    </w:p>
    <w:p w14:paraId="7E515E60" w14:textId="77777777" w:rsidR="00DF410E" w:rsidRDefault="00CE7F43">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129E7EF7" w14:textId="77777777" w:rsidR="00DF410E" w:rsidRDefault="00CE7F43">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354" w:history="1">
        <w:r>
          <w:t>26.11 Feuilles et membranes d'étanchéité à l'eau</w:t>
        </w:r>
      </w:hyperlink>
      <w:r>
        <w:t xml:space="preserve">. </w:t>
      </w:r>
      <w:r>
        <w:br/>
      </w:r>
      <w:r>
        <w:br/>
      </w:r>
      <w:r>
        <w:rPr>
          <w:u w:val="single"/>
        </w:rPr>
        <w:t>-Notes d'exécution complémentaires</w:t>
      </w:r>
    </w:p>
    <w:p w14:paraId="65798765" w14:textId="77777777" w:rsidR="00DF410E" w:rsidRDefault="00CE7F43">
      <w:r>
        <w:t>Pour les maçonneries destinées à rester apparentes, seuls des grands éléments non endommagés sont utilisés.</w:t>
      </w:r>
    </w:p>
    <w:p w14:paraId="024C1A57"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3C9B3D9E" w14:textId="77777777" w:rsidR="00DF410E" w:rsidRDefault="00CE7F43">
      <w:r>
        <w:t xml:space="preserve">Les segments de murs sont pourvus d'armatures verticales selon l'article </w:t>
      </w:r>
      <w:hyperlink w:anchor="356" w:history="1">
        <w:r>
          <w:t>21.41.2 Armatures verticales pour maçonneries</w:t>
        </w:r>
      </w:hyperlink>
    </w:p>
    <w:p w14:paraId="2A97B137"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18765B28"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 ***</w:t>
      </w:r>
      <w:r>
        <w:t xml:space="preserve"> mm</w:t>
      </w:r>
    </w:p>
    <w:p w14:paraId="0F93CEA6" w14:textId="77777777" w:rsidR="00DF410E" w:rsidRDefault="00CE7F43">
      <w:r>
        <w:t>Linteaux :</w:t>
      </w:r>
      <w:r>
        <w:rPr>
          <w:rStyle w:val="optioncarChar"/>
        </w:rPr>
        <w:t xml:space="preserve"> ***</w:t>
      </w:r>
      <w:r>
        <w:t xml:space="preserve"> conformément à l’article </w:t>
      </w:r>
      <w:hyperlink w:anchor="358" w:history="1">
        <w:r>
          <w:t>22.13 Linteaux en béton</w:t>
        </w:r>
      </w:hyperlink>
    </w:p>
    <w:p w14:paraId="346B63DD" w14:textId="77777777" w:rsidR="00DF410E" w:rsidRDefault="00DF410E"/>
    <w:p w14:paraId="16E2D98C" w14:textId="77777777" w:rsidR="00DF410E" w:rsidRDefault="00CE7F43">
      <w:r>
        <w:t> </w:t>
      </w:r>
    </w:p>
    <w:p w14:paraId="17C0958C" w14:textId="77777777" w:rsidR="00DF410E" w:rsidRDefault="00CE7F43">
      <w:pPr>
        <w:pStyle w:val="pheading"/>
      </w:pPr>
      <w:r>
        <w:t>AIDE</w:t>
      </w:r>
    </w:p>
    <w:p w14:paraId="5235CC7D" w14:textId="77777777" w:rsidR="00DF410E" w:rsidRDefault="00CE7F43">
      <w:r>
        <w:t>Note à l'attention de l'auteur du projet : pour le choix adéquat du mortier, se référer à la [STS 22 série].</w:t>
      </w:r>
    </w:p>
    <w:p w14:paraId="74F2ACD3" w14:textId="77777777" w:rsidR="00DF410E" w:rsidRDefault="00CE7F43">
      <w:pPr>
        <w:pStyle w:val="Author-eSectionHeading6"/>
      </w:pPr>
      <w:bookmarkStart w:id="94" w:name="_Toc178837355"/>
      <w:r>
        <w:t>21.14.1a Maçonneries portantes en éléments de grand format de silico-calcaire CCTB 01.12</w:t>
      </w:r>
      <w:bookmarkEnd w:id="94"/>
    </w:p>
    <w:p w14:paraId="1CDD1D8E" w14:textId="77777777" w:rsidR="00DF410E" w:rsidRDefault="00CE7F43">
      <w:pPr>
        <w:pStyle w:val="pheading"/>
      </w:pPr>
      <w:r>
        <w:t>DESCRIPTION</w:t>
      </w:r>
    </w:p>
    <w:p w14:paraId="69C390A6" w14:textId="77777777" w:rsidR="00DF410E" w:rsidRDefault="00CE7F43">
      <w:pPr>
        <w:pStyle w:val="pheading"/>
      </w:pPr>
      <w:r>
        <w:t>- Définition / Comprend</w:t>
      </w:r>
    </w:p>
    <w:p w14:paraId="0E9115C3" w14:textId="77777777" w:rsidR="00DF410E" w:rsidRDefault="00CE7F43">
      <w:r>
        <w:t xml:space="preserve">Il s’agit de la fourniture et la pose de maçonneries portantes en éléments de grand format de silico-calcaire. </w:t>
      </w:r>
      <w:r>
        <w:br/>
        <w:t xml:space="preserve">La portée des travaux est décrite dans l’article </w:t>
      </w:r>
      <w:hyperlink w:anchor="373" w:history="1">
        <w:r>
          <w:t>21.14.1 Maçonneries portantes en éléments de grand format</w:t>
        </w:r>
      </w:hyperlink>
      <w:r>
        <w:t>.</w:t>
      </w:r>
      <w:r>
        <w:br/>
        <w:t>Les travaux comprennent également la fourniture et la pose des pièces d’angle, de terminaison et de rencontre.</w:t>
      </w:r>
    </w:p>
    <w:p w14:paraId="6EFC8B11" w14:textId="77777777" w:rsidR="00DF410E" w:rsidRDefault="00CE7F43">
      <w:pPr>
        <w:pStyle w:val="pheading"/>
      </w:pPr>
      <w:r>
        <w:t>- Localisation</w:t>
      </w:r>
    </w:p>
    <w:p w14:paraId="696FF1FA" w14:textId="77777777" w:rsidR="00DF410E" w:rsidRDefault="00CE7F43">
      <w:r>
        <w:t xml:space="preserve">La pose est réalisée aux endroits suivants : </w:t>
      </w:r>
      <w:r>
        <w:rPr>
          <w:rStyle w:val="optioncarChar"/>
        </w:rPr>
        <w:t>***</w:t>
      </w:r>
      <w:r>
        <w:t>.</w:t>
      </w:r>
      <w:r>
        <w:br/>
        <w:t>Voir plans et métrés détaillés.</w:t>
      </w:r>
    </w:p>
    <w:p w14:paraId="06A2E5C1" w14:textId="77777777" w:rsidR="00DF410E" w:rsidRDefault="00CE7F43">
      <w:pPr>
        <w:pStyle w:val="pheading"/>
      </w:pPr>
      <w:r>
        <w:t>MATÉRIAUX</w:t>
      </w:r>
    </w:p>
    <w:p w14:paraId="3254E01A" w14:textId="77777777" w:rsidR="00DF410E" w:rsidRDefault="00CE7F43">
      <w:pPr>
        <w:pStyle w:val="pheading"/>
      </w:pPr>
      <w:r>
        <w:t>- Caractéristiques générales</w:t>
      </w:r>
    </w:p>
    <w:p w14:paraId="7D2607C1" w14:textId="77777777" w:rsidR="00DF410E" w:rsidRDefault="00CE7F43">
      <w:r>
        <w:rPr>
          <w:rStyle w:val="headingChar"/>
        </w:rPr>
        <w:t>Spécifications</w:t>
      </w:r>
    </w:p>
    <w:p w14:paraId="37046DCD" w14:textId="77777777" w:rsidR="00DF410E" w:rsidRDefault="00CE7F43">
      <w:r>
        <w:t>En ce qui concerne la déclaration de la résistance à la compression, les grands éléments sont de catégorie I (la résistance à la compression est déclarée avec une fiabilité de 95%).</w:t>
      </w:r>
      <w:r>
        <w:br/>
      </w:r>
      <w:r>
        <w:br/>
        <w:t>Les grands éléments en silico-calcaire sont de classe d’usage :</w:t>
      </w:r>
      <w:r>
        <w:rPr>
          <w:rStyle w:val="optioncarChar"/>
        </w:rPr>
        <w:t xml:space="preserve"> A1 / A2 / B1 / B2 / C / D</w:t>
      </w:r>
      <w:r>
        <w:br/>
      </w:r>
      <w:r>
        <w:br/>
        <w:t xml:space="preserve">La classe de qualité suivant [PTV 21-003] est : </w:t>
      </w:r>
      <w:r>
        <w:rPr>
          <w:rStyle w:val="optioncarChar"/>
        </w:rPr>
        <w:t>20/1,8 </w:t>
      </w:r>
      <w:r>
        <w:t xml:space="preserve">(par défaut) </w:t>
      </w:r>
      <w:r>
        <w:rPr>
          <w:rStyle w:val="optioncarChar"/>
        </w:rPr>
        <w:t>/ ***</w:t>
      </w:r>
      <w:r>
        <w:br/>
      </w:r>
      <w:r>
        <w:br/>
        <w:t>La résistance en compression normalisée (f</w:t>
      </w:r>
      <w:r>
        <w:rPr>
          <w:vertAlign w:val="subscript"/>
        </w:rPr>
        <w:t>b</w:t>
      </w:r>
      <w:r>
        <w:t xml:space="preserve">) suivant [NBN EN 1996 série] est au minimum: </w:t>
      </w:r>
      <w:r>
        <w:rPr>
          <w:rStyle w:val="optioncarChar"/>
        </w:rPr>
        <w:t>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 xml:space="preserve">(par défaut) </w:t>
      </w:r>
      <w:r>
        <w:rPr>
          <w:rStyle w:val="optioncarChar"/>
        </w:rPr>
        <w:t>/ ***</w:t>
      </w:r>
      <w:r>
        <w:br/>
      </w:r>
      <w:r>
        <w:br/>
        <w:t xml:space="preserve">La masse volumique sèche apparente des blocs ρ (rho) est : 1800 kg/m³ (éléments pleins),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 xml:space="preserve">Format : (L x l x h) : </w:t>
      </w:r>
      <w:r>
        <w:rPr>
          <w:rStyle w:val="optioncarChar"/>
        </w:rPr>
        <w:t> format modulaire proposé par l'entrepreneur</w:t>
      </w:r>
      <w:r>
        <w:t> (par défaut) </w:t>
      </w:r>
      <w:r>
        <w:rPr>
          <w:rStyle w:val="optioncarChar"/>
        </w:rPr>
        <w:t>/ (900 / *** </w:t>
      </w:r>
      <w:r>
        <w:t>x</w:t>
      </w:r>
      <w:r>
        <w:rPr>
          <w:rStyle w:val="optioncarChar"/>
        </w:rPr>
        <w:t> 600 / ***</w:t>
      </w:r>
      <w:r>
        <w:t> x</w:t>
      </w:r>
      <w:r>
        <w:rPr>
          <w:rStyle w:val="optioncarChar"/>
        </w:rPr>
        <w:t> 150 / 175 / 214 / 240 / 300 / ***</w:t>
      </w:r>
      <w:r>
        <w:t> ) mm</w:t>
      </w:r>
    </w:p>
    <w:p w14:paraId="3FF52086" w14:textId="77777777" w:rsidR="00DF410E" w:rsidRDefault="00CE7F43">
      <w: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code </w:t>
      </w:r>
      <w:r>
        <w:rPr>
          <w:rStyle w:val="optioncarChar"/>
        </w:rPr>
        <w:t>A1 (exposé décoratif) / A2 (exposé) </w:t>
      </w:r>
      <w:r>
        <w:t>(par défaut)</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39ED805C" w14:textId="77777777" w:rsidR="00DF410E" w:rsidRDefault="00CE7F43">
      <w:r>
        <w:t>Coefficient de transmission :</w:t>
      </w:r>
    </w:p>
    <w:p w14:paraId="67620E6E" w14:textId="77777777" w:rsidR="00DF410E" w:rsidRDefault="00CE7F43">
      <w:pPr>
        <w:pStyle w:val="Author-eListParagraph"/>
        <w:numPr>
          <w:ilvl w:val="0"/>
          <w:numId w:val="133"/>
        </w:numPr>
      </w:pPr>
      <w:r>
        <w:t xml:space="preserve">valeur U minimale de </w:t>
      </w:r>
      <w:r>
        <w:rPr>
          <w:rStyle w:val="optioncarChar"/>
        </w:rPr>
        <w:t>***</w:t>
      </w:r>
      <w:r>
        <w:t xml:space="preserve"> W/m²K</w:t>
      </w:r>
    </w:p>
    <w:p w14:paraId="37D076F7" w14:textId="77777777" w:rsidR="00DF410E" w:rsidRDefault="00CE7F43">
      <w:pPr>
        <w:pStyle w:val="Author-eListParagraph"/>
        <w:numPr>
          <w:ilvl w:val="0"/>
          <w:numId w:val="13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370B5E0" w14:textId="77777777" w:rsidR="00DF410E" w:rsidRDefault="00CE7F43">
      <w:r>
        <w:br/>
        <w:t>Résistance au feu :</w:t>
      </w:r>
    </w:p>
    <w:p w14:paraId="25FE2B8B" w14:textId="77777777" w:rsidR="00DF410E" w:rsidRDefault="00CE7F43">
      <w:pPr>
        <w:pStyle w:val="Author-eListParagraph"/>
        <w:numPr>
          <w:ilvl w:val="0"/>
          <w:numId w:val="134"/>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22D92CD1" w14:textId="77777777" w:rsidR="00DF410E" w:rsidRDefault="00CE7F43">
      <w:pPr>
        <w:pStyle w:val="Author-eListParagraph"/>
        <w:numPr>
          <w:ilvl w:val="0"/>
          <w:numId w:val="134"/>
        </w:numPr>
      </w:pPr>
      <w:r>
        <w:t xml:space="preserve">pour les éléments porteurs structurels avec fonction séparante : </w:t>
      </w:r>
      <w:r>
        <w:rPr>
          <w:rStyle w:val="optioncarChar"/>
        </w:rPr>
        <w:t>REI30</w:t>
      </w:r>
      <w:r>
        <w:t> (par défaut)</w:t>
      </w:r>
      <w:r>
        <w:rPr>
          <w:rStyle w:val="optioncarChar"/>
        </w:rPr>
        <w:t xml:space="preserve"> / REI60 / REI90 / REI120 / REI***</w:t>
      </w:r>
    </w:p>
    <w:p w14:paraId="0099260C" w14:textId="77777777" w:rsidR="00DF410E" w:rsidRDefault="00CE7F43">
      <w:r>
        <w:t>selon les tableaux dans [NBN EN 1996-1-2 ANB].</w:t>
      </w:r>
    </w:p>
    <w:p w14:paraId="0E553EDA" w14:textId="77777777" w:rsidR="00DF410E" w:rsidRDefault="00DF410E"/>
    <w:p w14:paraId="7758F647" w14:textId="77777777" w:rsidR="00DF410E" w:rsidRDefault="00CE7F43">
      <w:r>
        <w:t> </w:t>
      </w:r>
    </w:p>
    <w:p w14:paraId="2AECF945" w14:textId="77777777" w:rsidR="00DF410E" w:rsidRDefault="00CE7F43">
      <w:pPr>
        <w:pStyle w:val="pheading"/>
      </w:pPr>
      <w:r>
        <w:t>- Finitions</w:t>
      </w:r>
    </w:p>
    <w:p w14:paraId="6023847C" w14:textId="77777777" w:rsidR="00DF410E" w:rsidRDefault="00DF410E"/>
    <w:p w14:paraId="4D9E80A2" w14:textId="77777777" w:rsidR="00DF410E" w:rsidRDefault="00CE7F43">
      <w:pPr>
        <w:pStyle w:val="Author-eListParagraph"/>
        <w:numPr>
          <w:ilvl w:val="0"/>
          <w:numId w:val="135"/>
        </w:numPr>
      </w:pPr>
      <w:r>
        <w:t>Les faces de murs suivantes sont exécutées comme maçonneries apparentes et sont</w:t>
      </w:r>
      <w:r>
        <w:rPr>
          <w:rStyle w:val="optioncarChar"/>
          <w:color w:val="000000"/>
        </w:rPr>
        <w:t xml:space="preserve"> rejointoyées </w:t>
      </w:r>
      <w:r>
        <w:t xml:space="preserve">selon </w:t>
      </w:r>
      <w:hyperlink w:anchor="344" w:history="1">
        <w:r>
          <w:t>21.61.1b Joints de maçonnerie apparente</w:t>
        </w:r>
      </w:hyperlink>
      <w:r>
        <w:t xml:space="preserve"> : </w:t>
      </w:r>
      <w:r>
        <w:rPr>
          <w:rStyle w:val="optioncarChar"/>
        </w:rPr>
        <w:t>***</w:t>
      </w:r>
    </w:p>
    <w:p w14:paraId="54B99CCB" w14:textId="77777777" w:rsidR="00DF410E" w:rsidRDefault="00CE7F43">
      <w:pPr>
        <w:pStyle w:val="Author-eListParagraph"/>
        <w:numPr>
          <w:ilvl w:val="0"/>
          <w:numId w:val="135"/>
        </w:numPr>
      </w:pPr>
      <w:r>
        <w:t xml:space="preserve">Les murs suivants sont exécutés avec une face restant apparente : </w:t>
      </w:r>
      <w:r>
        <w:rPr>
          <w:rStyle w:val="optioncarChar"/>
        </w:rPr>
        <w:t>***</w:t>
      </w:r>
    </w:p>
    <w:p w14:paraId="6FC0FEB2" w14:textId="77777777" w:rsidR="00DF410E" w:rsidRDefault="00CE7F43">
      <w:pPr>
        <w:pStyle w:val="Author-eListParagraph"/>
        <w:numPr>
          <w:ilvl w:val="0"/>
          <w:numId w:val="135"/>
        </w:numPr>
      </w:pPr>
      <w:r>
        <w:t xml:space="preserve">Les murs suivants sont exécutés avec deux faces restant apparentes : </w:t>
      </w:r>
      <w:r>
        <w:rPr>
          <w:rStyle w:val="optioncarChar"/>
        </w:rPr>
        <w:t>***</w:t>
      </w:r>
    </w:p>
    <w:p w14:paraId="59F7E288" w14:textId="77777777" w:rsidR="00DF410E" w:rsidRDefault="00DF410E"/>
    <w:p w14:paraId="15BA5C97" w14:textId="77777777" w:rsidR="00DF410E" w:rsidRDefault="00CE7F43">
      <w:r>
        <w:t> </w:t>
      </w:r>
    </w:p>
    <w:p w14:paraId="297ED6E3" w14:textId="77777777" w:rsidR="00DF410E" w:rsidRDefault="00CE7F43">
      <w:r>
        <w:t> </w:t>
      </w:r>
    </w:p>
    <w:p w14:paraId="020687A1" w14:textId="77777777" w:rsidR="00DF410E" w:rsidRDefault="00CE7F43">
      <w:pPr>
        <w:pStyle w:val="pheading"/>
      </w:pPr>
      <w:r>
        <w:t>EXÉCUTION / MISE EN ŒUVRE</w:t>
      </w:r>
    </w:p>
    <w:p w14:paraId="4F8DD1B3" w14:textId="77777777" w:rsidR="00DF410E" w:rsidRDefault="00CE7F43">
      <w:pPr>
        <w:pStyle w:val="pheading"/>
      </w:pPr>
      <w:r>
        <w:t>- Prescriptions générales</w:t>
      </w:r>
    </w:p>
    <w:p w14:paraId="0EB2B24C" w14:textId="77777777" w:rsidR="00DF410E" w:rsidRDefault="00CE7F43">
      <w:r>
        <w:t xml:space="preserve">On utilise des éléments à assemblage à rainure et languette à assembler par collage, longueur </w:t>
      </w:r>
      <w:r>
        <w:rPr>
          <w:rStyle w:val="optioncarChar"/>
        </w:rPr>
        <w:t>90 </w:t>
      </w:r>
      <w:r>
        <w:t>(par défaut)</w:t>
      </w:r>
      <w:r>
        <w:rPr>
          <w:rStyle w:val="optioncarChar"/>
        </w:rPr>
        <w:t xml:space="preserve"> / ***</w:t>
      </w:r>
      <w:r>
        <w:t xml:space="preserve"> cm hauteur </w:t>
      </w:r>
      <w:r>
        <w:rPr>
          <w:rStyle w:val="optioncarChar"/>
        </w:rPr>
        <w:t>60</w:t>
      </w:r>
      <w:r>
        <w:t> (par défaut)</w:t>
      </w:r>
      <w:r>
        <w:rPr>
          <w:rStyle w:val="optioncarChar"/>
        </w:rPr>
        <w:t xml:space="preserve"> / ***</w:t>
      </w:r>
      <w:r>
        <w:t xml:space="preserve"> cm. Ils sont livrés sur le chantier prêts à poser, y compris les pièces d'ajustage (droites, obliques, …), selon le calepinage des murs préalablement approuvé. La mise en œuvre s'effectue selon les prescriptions du fabricant. Les murs qui se recoupent ne doivent pas être maçonnés en appareil, on peut faire usage de bandes de liaisons encollées qui donnent un résultat identique.</w:t>
      </w:r>
    </w:p>
    <w:p w14:paraId="786ED829" w14:textId="77777777" w:rsidR="00DF410E" w:rsidRDefault="00DF410E"/>
    <w:p w14:paraId="4F6792D5" w14:textId="77777777" w:rsidR="00DF410E" w:rsidRDefault="00CE7F43">
      <w:r>
        <w:t> </w:t>
      </w:r>
    </w:p>
    <w:p w14:paraId="5378CB9F" w14:textId="77777777" w:rsidR="00DF410E" w:rsidRDefault="00CE7F43">
      <w:pPr>
        <w:pStyle w:val="pheading"/>
      </w:pPr>
      <w:r>
        <w:t>MESURAGE</w:t>
      </w:r>
    </w:p>
    <w:p w14:paraId="5C286F39" w14:textId="77777777" w:rsidR="00DF410E" w:rsidRDefault="00CE7F43">
      <w:pPr>
        <w:pStyle w:val="pheading"/>
      </w:pPr>
      <w:r>
        <w:t>- unité de mesure:</w:t>
      </w:r>
    </w:p>
    <w:p w14:paraId="163FBD18" w14:textId="77777777" w:rsidR="00DF410E" w:rsidRDefault="00CE7F43">
      <w:r>
        <w:rPr>
          <w:rStyle w:val="optioncarChar"/>
        </w:rPr>
        <w:t>m³ </w:t>
      </w:r>
      <w:r>
        <w:t>(par défaut)</w:t>
      </w:r>
      <w:r>
        <w:rPr>
          <w:rStyle w:val="optioncarChar"/>
        </w:rPr>
        <w:t> / m²</w:t>
      </w:r>
    </w:p>
    <w:p w14:paraId="2645FDF7" w14:textId="77777777" w:rsidR="00DF410E" w:rsidRDefault="00CE7F43">
      <w:r>
        <w:rPr>
          <w:b/>
        </w:rPr>
        <w:t>(soit par défaut)</w:t>
      </w:r>
    </w:p>
    <w:p w14:paraId="662CA1B4" w14:textId="77777777" w:rsidR="00DF410E" w:rsidRDefault="00CE7F43">
      <w:r>
        <w:rPr>
          <w:rStyle w:val="soitChar"/>
        </w:rPr>
        <w:t>1. m³</w:t>
      </w:r>
    </w:p>
    <w:p w14:paraId="59446057" w14:textId="77777777" w:rsidR="00DF410E" w:rsidRDefault="00CE7F43">
      <w:r>
        <w:rPr>
          <w:b/>
        </w:rPr>
        <w:t>(soit)</w:t>
      </w:r>
    </w:p>
    <w:p w14:paraId="2F30BD4D" w14:textId="77777777" w:rsidR="00DF410E" w:rsidRDefault="00CE7F43">
      <w:r>
        <w:rPr>
          <w:rStyle w:val="soitChar"/>
        </w:rPr>
        <w:t>2. m²</w:t>
      </w:r>
    </w:p>
    <w:p w14:paraId="7BDB08B0" w14:textId="77777777" w:rsidR="00DF410E" w:rsidRDefault="00CE7F43">
      <w:pPr>
        <w:pStyle w:val="pheading"/>
      </w:pPr>
      <w:r>
        <w:t>- code de mesurage:</w:t>
      </w:r>
    </w:p>
    <w:p w14:paraId="1CE9405A"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B566C47"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7D84A061"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409991B" w14:textId="77777777" w:rsidR="00DF410E" w:rsidRDefault="00CE7F43">
      <w:r>
        <w:rPr>
          <w:rStyle w:val="optioncarChar"/>
        </w:rPr>
        <w:t>Volume net </w:t>
      </w:r>
      <w:r>
        <w:t>(par défaut)</w:t>
      </w:r>
      <w:r>
        <w:rPr>
          <w:rStyle w:val="optioncarChar"/>
        </w:rPr>
        <w:t> / Surface nette</w:t>
      </w:r>
    </w:p>
    <w:p w14:paraId="5F4381FD" w14:textId="77777777" w:rsidR="00DF410E" w:rsidRDefault="00CE7F43">
      <w:r>
        <w:rPr>
          <w:b/>
        </w:rPr>
        <w:t>(soit par défaut)</w:t>
      </w:r>
    </w:p>
    <w:p w14:paraId="3BDEB74E"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A2AF07E" w14:textId="77777777" w:rsidR="00DF410E" w:rsidRDefault="00CE7F43">
      <w:r>
        <w:rPr>
          <w:b/>
        </w:rPr>
        <w:t>(soit)</w:t>
      </w:r>
    </w:p>
    <w:p w14:paraId="0C5904B8"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E16AC62" w14:textId="77777777" w:rsidR="00DF410E" w:rsidRDefault="00DF410E"/>
    <w:p w14:paraId="56E00584" w14:textId="77777777" w:rsidR="00DF410E" w:rsidRDefault="00CE7F43">
      <w:pPr>
        <w:pStyle w:val="pheading"/>
      </w:pPr>
      <w:r>
        <w:t>- nature du marché:</w:t>
      </w:r>
    </w:p>
    <w:p w14:paraId="6B407197" w14:textId="77777777" w:rsidR="00DF410E" w:rsidRDefault="00CE7F43">
      <w:r>
        <w:t>QF</w:t>
      </w:r>
    </w:p>
    <w:p w14:paraId="2252A97D" w14:textId="77777777" w:rsidR="00DF410E" w:rsidRDefault="00CE7F43">
      <w:pPr>
        <w:pStyle w:val="Author-eSectionHeading5"/>
      </w:pPr>
      <w:bookmarkStart w:id="95" w:name="_Toc178837356"/>
      <w:r>
        <w:t>21.14.2 Maçonneries portantes préfabriquées CCTB 01.04</w:t>
      </w:r>
      <w:bookmarkEnd w:id="95"/>
    </w:p>
    <w:p w14:paraId="583CEF29" w14:textId="77777777" w:rsidR="00DF410E" w:rsidRDefault="00CE7F43">
      <w:pPr>
        <w:pStyle w:val="Author-eSectionHeading6"/>
      </w:pPr>
      <w:bookmarkStart w:id="96" w:name="374"/>
      <w:bookmarkStart w:id="97" w:name="_Toc178837357"/>
      <w:bookmarkEnd w:id="96"/>
      <w:r>
        <w:t>21.14.2a Maçonneries portantes préfabriquées en blocs de terre cuite CCTB 01.12</w:t>
      </w:r>
      <w:bookmarkEnd w:id="97"/>
    </w:p>
    <w:p w14:paraId="34AFCE10" w14:textId="77777777" w:rsidR="00DF410E" w:rsidRDefault="00CE7F43">
      <w:pPr>
        <w:pStyle w:val="pheading"/>
      </w:pPr>
      <w:r>
        <w:t>DESCRIPTION</w:t>
      </w:r>
    </w:p>
    <w:p w14:paraId="5781114E" w14:textId="77777777" w:rsidR="00DF410E" w:rsidRDefault="00CE7F43">
      <w:pPr>
        <w:pStyle w:val="pheading"/>
      </w:pPr>
      <w:r>
        <w:t>- Définition / Comprend</w:t>
      </w:r>
    </w:p>
    <w:p w14:paraId="0D81C0D8" w14:textId="77777777" w:rsidR="00DF410E" w:rsidRDefault="00CE7F43">
      <w:r>
        <w:t xml:space="preserve">Il s’agit de la fourniture et la pose de maçonneries portantes préfabriquées en blocs de terre cuite. </w:t>
      </w:r>
      <w:r>
        <w:br/>
        <w:t xml:space="preserve">La portée des travaux est décrite dans l’article </w:t>
      </w:r>
      <w:hyperlink w:anchor="374" w:history="1">
        <w:r>
          <w:t>21.14.2 Maçonneries portantes préfabriquées</w:t>
        </w:r>
      </w:hyperlink>
      <w:r>
        <w:t>.</w:t>
      </w:r>
      <w:r>
        <w:br/>
        <w:t>Les travaux comprennent également la fourniture et la pose des pièces d’angle, de terminaison et de rencontre.</w:t>
      </w:r>
    </w:p>
    <w:p w14:paraId="45CFDA56" w14:textId="77777777" w:rsidR="00DF410E" w:rsidRDefault="00CE7F43">
      <w:pPr>
        <w:pStyle w:val="pheading"/>
      </w:pPr>
      <w:r>
        <w:t>- Localisation</w:t>
      </w:r>
    </w:p>
    <w:p w14:paraId="51F7F41A" w14:textId="77777777" w:rsidR="00DF410E" w:rsidRDefault="00CE7F43">
      <w:r>
        <w:t xml:space="preserve">La pose est réalisée aux endroits suivants : </w:t>
      </w:r>
      <w:r>
        <w:rPr>
          <w:rStyle w:val="optioncarChar"/>
        </w:rPr>
        <w:t>***</w:t>
      </w:r>
      <w:r>
        <w:t>.</w:t>
      </w:r>
      <w:r>
        <w:br/>
        <w:t>Voir plans et métrés détaillés.</w:t>
      </w:r>
    </w:p>
    <w:p w14:paraId="305C61A3" w14:textId="77777777" w:rsidR="00DF410E" w:rsidRDefault="00CE7F43">
      <w:pPr>
        <w:pStyle w:val="pheading"/>
      </w:pPr>
      <w:r>
        <w:t>MESURAGE</w:t>
      </w:r>
    </w:p>
    <w:p w14:paraId="631A7C09" w14:textId="77777777" w:rsidR="00DF410E" w:rsidRDefault="00CE7F43">
      <w:pPr>
        <w:pStyle w:val="pheading"/>
      </w:pPr>
      <w:r>
        <w:t>- unité de mesure:</w:t>
      </w:r>
    </w:p>
    <w:p w14:paraId="0A154C99" w14:textId="77777777" w:rsidR="00DF410E" w:rsidRDefault="00CE7F43">
      <w:r>
        <w:rPr>
          <w:rStyle w:val="optioncarChar"/>
        </w:rPr>
        <w:t>m³ </w:t>
      </w:r>
      <w:r>
        <w:t>(par défaut)</w:t>
      </w:r>
      <w:r>
        <w:rPr>
          <w:rStyle w:val="optioncarChar"/>
        </w:rPr>
        <w:t> / m²</w:t>
      </w:r>
    </w:p>
    <w:p w14:paraId="6E284F90" w14:textId="77777777" w:rsidR="00DF410E" w:rsidRDefault="00CE7F43">
      <w:r>
        <w:rPr>
          <w:b/>
        </w:rPr>
        <w:t>(soit par défaut)</w:t>
      </w:r>
    </w:p>
    <w:p w14:paraId="1B813A2E" w14:textId="77777777" w:rsidR="00DF410E" w:rsidRDefault="00CE7F43">
      <w:r>
        <w:rPr>
          <w:rStyle w:val="soitChar"/>
        </w:rPr>
        <w:t>1. m³</w:t>
      </w:r>
    </w:p>
    <w:p w14:paraId="47A1BBB8" w14:textId="77777777" w:rsidR="00DF410E" w:rsidRDefault="00CE7F43">
      <w:r>
        <w:rPr>
          <w:b/>
        </w:rPr>
        <w:t>(soit)</w:t>
      </w:r>
    </w:p>
    <w:p w14:paraId="22AB66D9" w14:textId="77777777" w:rsidR="00DF410E" w:rsidRDefault="00CE7F43">
      <w:r>
        <w:rPr>
          <w:rStyle w:val="soitChar"/>
        </w:rPr>
        <w:t>2. m²</w:t>
      </w:r>
    </w:p>
    <w:p w14:paraId="249566FA" w14:textId="77777777" w:rsidR="00DF410E" w:rsidRDefault="00CE7F43">
      <w:pPr>
        <w:pStyle w:val="pheading"/>
      </w:pPr>
      <w:r>
        <w:t>- code de mesurage:</w:t>
      </w:r>
    </w:p>
    <w:p w14:paraId="129C5DFD"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3CE6C3C"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711AEB8C"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30CB4B14" w14:textId="77777777" w:rsidR="00DF410E" w:rsidRDefault="00CE7F43">
      <w:r>
        <w:rPr>
          <w:rStyle w:val="optioncarChar"/>
        </w:rPr>
        <w:t>Volume net </w:t>
      </w:r>
      <w:r>
        <w:t>(par défaut)</w:t>
      </w:r>
      <w:r>
        <w:rPr>
          <w:rStyle w:val="optioncarChar"/>
        </w:rPr>
        <w:t> / Surface nette</w:t>
      </w:r>
    </w:p>
    <w:p w14:paraId="020C036E" w14:textId="77777777" w:rsidR="00DF410E" w:rsidRDefault="00CE7F43">
      <w:r>
        <w:rPr>
          <w:b/>
        </w:rPr>
        <w:t>(soit par défaut)</w:t>
      </w:r>
    </w:p>
    <w:p w14:paraId="21EC392D"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5A3F40" w14:textId="77777777" w:rsidR="00DF410E" w:rsidRDefault="00CE7F43">
      <w:r>
        <w:rPr>
          <w:b/>
        </w:rPr>
        <w:t>(soit)</w:t>
      </w:r>
    </w:p>
    <w:p w14:paraId="67396B2A"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0D12046" w14:textId="77777777" w:rsidR="00DF410E" w:rsidRDefault="00DF410E"/>
    <w:p w14:paraId="11CFD421" w14:textId="77777777" w:rsidR="00DF410E" w:rsidRDefault="00CE7F43">
      <w:pPr>
        <w:pStyle w:val="pheading"/>
      </w:pPr>
      <w:r>
        <w:t>- nature du marché:</w:t>
      </w:r>
    </w:p>
    <w:p w14:paraId="6D09C064" w14:textId="77777777" w:rsidR="00DF410E" w:rsidRDefault="00CE7F43">
      <w:r>
        <w:t>QF</w:t>
      </w:r>
    </w:p>
    <w:p w14:paraId="2A26A455" w14:textId="77777777" w:rsidR="00DF410E" w:rsidRDefault="00CE7F43">
      <w:pPr>
        <w:pStyle w:val="Author-eSectionHeading6"/>
      </w:pPr>
      <w:bookmarkStart w:id="98" w:name="_Toc178837358"/>
      <w:r>
        <w:t>21.14.2b Maçonneries portantes préfabriquées en blocs de béton CCTB 01.11</w:t>
      </w:r>
      <w:bookmarkEnd w:id="98"/>
    </w:p>
    <w:p w14:paraId="277B08DA" w14:textId="77777777" w:rsidR="00DF410E" w:rsidRDefault="00CE7F43">
      <w:pPr>
        <w:pStyle w:val="pheading"/>
      </w:pPr>
      <w:r>
        <w:t>DESCRIPTION</w:t>
      </w:r>
    </w:p>
    <w:p w14:paraId="360F60F9" w14:textId="77777777" w:rsidR="00DF410E" w:rsidRDefault="00CE7F43">
      <w:pPr>
        <w:pStyle w:val="pheading"/>
      </w:pPr>
      <w:r>
        <w:t>- Définition / Comprend</w:t>
      </w:r>
    </w:p>
    <w:p w14:paraId="0707F8C4" w14:textId="77777777" w:rsidR="00DF410E" w:rsidRDefault="00CE7F43">
      <w:r>
        <w:t xml:space="preserve">Il s’agit de la fourniture et la pose de maçonneries portantes préfabriquées en blocs de béton. </w:t>
      </w:r>
      <w:r>
        <w:br/>
        <w:t xml:space="preserve">La portée des travaux est décrite dans l’article </w:t>
      </w:r>
      <w:hyperlink w:anchor="374" w:history="1">
        <w:r>
          <w:t>21.14.2 Maçonneries portantes préfabriquées</w:t>
        </w:r>
      </w:hyperlink>
      <w:r>
        <w:t>.</w:t>
      </w:r>
      <w:r>
        <w:br/>
        <w:t>Les travaux comprennent également la fourniture et la pose des pièces d’angle, de terminaison et de rencontre.</w:t>
      </w:r>
    </w:p>
    <w:p w14:paraId="57DF358B" w14:textId="77777777" w:rsidR="00DF410E" w:rsidRDefault="00CE7F43">
      <w:pPr>
        <w:pStyle w:val="pheading"/>
      </w:pPr>
      <w:r>
        <w:t>- Localisation</w:t>
      </w:r>
    </w:p>
    <w:p w14:paraId="2915F422" w14:textId="77777777" w:rsidR="00DF410E" w:rsidRDefault="00CE7F43">
      <w:r>
        <w:t xml:space="preserve">La pose est réalisée aux endroits suivants : </w:t>
      </w:r>
      <w:r>
        <w:rPr>
          <w:rStyle w:val="optioncarChar"/>
        </w:rPr>
        <w:t>***</w:t>
      </w:r>
      <w:r>
        <w:t>.</w:t>
      </w:r>
      <w:r>
        <w:br/>
        <w:t>Voir plans et métrés détaillés.</w:t>
      </w:r>
    </w:p>
    <w:p w14:paraId="4A437FA3" w14:textId="77777777" w:rsidR="00DF410E" w:rsidRDefault="00CE7F43">
      <w:pPr>
        <w:pStyle w:val="pheading"/>
      </w:pPr>
      <w:r>
        <w:t>MESURAGE</w:t>
      </w:r>
    </w:p>
    <w:p w14:paraId="1A846E67" w14:textId="77777777" w:rsidR="00DF410E" w:rsidRDefault="00CE7F43">
      <w:pPr>
        <w:pStyle w:val="pheading"/>
      </w:pPr>
      <w:r>
        <w:t>- unité de mesure:</w:t>
      </w:r>
    </w:p>
    <w:p w14:paraId="658C2541" w14:textId="77777777" w:rsidR="00DF410E" w:rsidRDefault="00CE7F43">
      <w:r>
        <w:rPr>
          <w:rStyle w:val="optioncarChar"/>
        </w:rPr>
        <w:t>m³ </w:t>
      </w:r>
      <w:r>
        <w:t>(par défaut)</w:t>
      </w:r>
      <w:r>
        <w:rPr>
          <w:rStyle w:val="optioncarChar"/>
        </w:rPr>
        <w:t> / m²</w:t>
      </w:r>
    </w:p>
    <w:p w14:paraId="4C7E2586" w14:textId="77777777" w:rsidR="00DF410E" w:rsidRDefault="00CE7F43">
      <w:r>
        <w:rPr>
          <w:b/>
        </w:rPr>
        <w:t>(soit par défaut)</w:t>
      </w:r>
    </w:p>
    <w:p w14:paraId="1E7269A3" w14:textId="77777777" w:rsidR="00DF410E" w:rsidRDefault="00CE7F43">
      <w:r>
        <w:rPr>
          <w:rStyle w:val="soitChar"/>
        </w:rPr>
        <w:t>1. m³</w:t>
      </w:r>
    </w:p>
    <w:p w14:paraId="264B5188" w14:textId="77777777" w:rsidR="00DF410E" w:rsidRDefault="00CE7F43">
      <w:r>
        <w:rPr>
          <w:b/>
        </w:rPr>
        <w:t>(soit)</w:t>
      </w:r>
    </w:p>
    <w:p w14:paraId="3283948A" w14:textId="77777777" w:rsidR="00DF410E" w:rsidRDefault="00CE7F43">
      <w:r>
        <w:rPr>
          <w:rStyle w:val="soitChar"/>
        </w:rPr>
        <w:t>2. m²</w:t>
      </w:r>
    </w:p>
    <w:p w14:paraId="7CE64C91" w14:textId="77777777" w:rsidR="00DF410E" w:rsidRDefault="00CE7F43">
      <w:pPr>
        <w:pStyle w:val="pheading"/>
      </w:pPr>
      <w:r>
        <w:t>- code de mesurage:</w:t>
      </w:r>
    </w:p>
    <w:p w14:paraId="2A146019"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AB757A7"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6AA80D4"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261D12B8" w14:textId="77777777" w:rsidR="00DF410E" w:rsidRDefault="00CE7F43">
      <w:r>
        <w:rPr>
          <w:rStyle w:val="optioncarChar"/>
        </w:rPr>
        <w:t>Volume net </w:t>
      </w:r>
      <w:r>
        <w:t>(par défaut)</w:t>
      </w:r>
      <w:r>
        <w:rPr>
          <w:rStyle w:val="optioncarChar"/>
        </w:rPr>
        <w:t> / Surface nette</w:t>
      </w:r>
    </w:p>
    <w:p w14:paraId="4463DE2E" w14:textId="77777777" w:rsidR="00DF410E" w:rsidRDefault="00CE7F43">
      <w:r>
        <w:rPr>
          <w:b/>
        </w:rPr>
        <w:t>(soit par défaut)</w:t>
      </w:r>
    </w:p>
    <w:p w14:paraId="464F7389"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1102D07" w14:textId="77777777" w:rsidR="00DF410E" w:rsidRDefault="00CE7F43">
      <w:r>
        <w:rPr>
          <w:b/>
        </w:rPr>
        <w:t>(soit)</w:t>
      </w:r>
    </w:p>
    <w:p w14:paraId="149C52B7"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C1E02FB" w14:textId="77777777" w:rsidR="00DF410E" w:rsidRDefault="00DF410E"/>
    <w:p w14:paraId="3665427B" w14:textId="77777777" w:rsidR="00DF410E" w:rsidRDefault="00CE7F43">
      <w:pPr>
        <w:pStyle w:val="pheading"/>
      </w:pPr>
      <w:r>
        <w:t>- nature du marché:</w:t>
      </w:r>
    </w:p>
    <w:p w14:paraId="65B446B7" w14:textId="77777777" w:rsidR="00DF410E" w:rsidRDefault="00CE7F43">
      <w:r>
        <w:t>QF</w:t>
      </w:r>
    </w:p>
    <w:p w14:paraId="5009D91C" w14:textId="77777777" w:rsidR="00DF410E" w:rsidRDefault="00CE7F43">
      <w:pPr>
        <w:pStyle w:val="Author-eSectionHeading6"/>
      </w:pPr>
      <w:bookmarkStart w:id="99" w:name="_Toc178837359"/>
      <w:r>
        <w:t>21.14.2c Maçonneries portantes préfabriquées en blocs de béton d'argile expansée CCTB 01.11</w:t>
      </w:r>
      <w:bookmarkEnd w:id="99"/>
    </w:p>
    <w:p w14:paraId="24DADFF7" w14:textId="77777777" w:rsidR="00DF410E" w:rsidRDefault="00CE7F43">
      <w:pPr>
        <w:pStyle w:val="pheading"/>
      </w:pPr>
      <w:r>
        <w:t>DESCRIPTION</w:t>
      </w:r>
    </w:p>
    <w:p w14:paraId="7BCEC392" w14:textId="77777777" w:rsidR="00DF410E" w:rsidRDefault="00CE7F43">
      <w:pPr>
        <w:pStyle w:val="pheading"/>
      </w:pPr>
      <w:r>
        <w:t>- Définition / Comprend</w:t>
      </w:r>
    </w:p>
    <w:p w14:paraId="4631A4C3" w14:textId="77777777" w:rsidR="00DF410E" w:rsidRDefault="00CE7F43">
      <w:r>
        <w:t xml:space="preserve">Il s’agit de la fourniture et la pose de maçonneries portantes préfabriquées en blocs de béton d’argile expansée. </w:t>
      </w:r>
      <w:r>
        <w:br/>
        <w:t xml:space="preserve">La portée des travaux est décrite dans l’article </w:t>
      </w:r>
      <w:hyperlink w:anchor="374" w:history="1">
        <w:r>
          <w:t>21.14.2 Maçonneries portantes préfabriquées</w:t>
        </w:r>
      </w:hyperlink>
      <w:r>
        <w:t>.</w:t>
      </w:r>
      <w:r>
        <w:br/>
        <w:t>Les travaux comprennent également la fourniture et la pose des pièces d’angle, de terminaison et de rencontre.</w:t>
      </w:r>
    </w:p>
    <w:p w14:paraId="798A95E4" w14:textId="77777777" w:rsidR="00DF410E" w:rsidRDefault="00CE7F43">
      <w:pPr>
        <w:pStyle w:val="pheading"/>
      </w:pPr>
      <w:r>
        <w:t>- Localisation</w:t>
      </w:r>
    </w:p>
    <w:p w14:paraId="54A54FDA" w14:textId="77777777" w:rsidR="00DF410E" w:rsidRDefault="00CE7F43">
      <w:r>
        <w:t xml:space="preserve">La pose est réalisée aux endroits suivants : </w:t>
      </w:r>
      <w:r>
        <w:rPr>
          <w:rStyle w:val="optioncarChar"/>
        </w:rPr>
        <w:t>***</w:t>
      </w:r>
      <w:r>
        <w:t>.</w:t>
      </w:r>
      <w:r>
        <w:br/>
        <w:t>Voir plans et métrés détaillés.</w:t>
      </w:r>
    </w:p>
    <w:p w14:paraId="64F53A21" w14:textId="77777777" w:rsidR="00DF410E" w:rsidRDefault="00CE7F43">
      <w:pPr>
        <w:pStyle w:val="pheading"/>
      </w:pPr>
      <w:r>
        <w:t>MESURAGE</w:t>
      </w:r>
    </w:p>
    <w:p w14:paraId="2EC3FF52" w14:textId="77777777" w:rsidR="00DF410E" w:rsidRDefault="00CE7F43">
      <w:pPr>
        <w:pStyle w:val="pheading"/>
      </w:pPr>
      <w:r>
        <w:t>- unité de mesure:</w:t>
      </w:r>
    </w:p>
    <w:p w14:paraId="3026C5E1" w14:textId="77777777" w:rsidR="00DF410E" w:rsidRDefault="00CE7F43">
      <w:r>
        <w:rPr>
          <w:rStyle w:val="optioncarChar"/>
        </w:rPr>
        <w:t>m³ </w:t>
      </w:r>
      <w:r>
        <w:t>(par défaut)</w:t>
      </w:r>
      <w:r>
        <w:rPr>
          <w:rStyle w:val="optioncarChar"/>
        </w:rPr>
        <w:t> / m²</w:t>
      </w:r>
    </w:p>
    <w:p w14:paraId="5A822174" w14:textId="77777777" w:rsidR="00DF410E" w:rsidRDefault="00CE7F43">
      <w:r>
        <w:rPr>
          <w:b/>
        </w:rPr>
        <w:t>(soit par défaut)</w:t>
      </w:r>
    </w:p>
    <w:p w14:paraId="4D4A3B60" w14:textId="77777777" w:rsidR="00DF410E" w:rsidRDefault="00CE7F43">
      <w:r>
        <w:rPr>
          <w:rStyle w:val="soitChar"/>
        </w:rPr>
        <w:t>1. m³</w:t>
      </w:r>
    </w:p>
    <w:p w14:paraId="33D4C2B8" w14:textId="77777777" w:rsidR="00DF410E" w:rsidRDefault="00CE7F43">
      <w:r>
        <w:rPr>
          <w:b/>
        </w:rPr>
        <w:t>(soit)</w:t>
      </w:r>
    </w:p>
    <w:p w14:paraId="043ED574" w14:textId="77777777" w:rsidR="00DF410E" w:rsidRDefault="00CE7F43">
      <w:r>
        <w:rPr>
          <w:rStyle w:val="soitChar"/>
        </w:rPr>
        <w:t>2. m²</w:t>
      </w:r>
    </w:p>
    <w:p w14:paraId="798F76FD" w14:textId="77777777" w:rsidR="00DF410E" w:rsidRDefault="00CE7F43">
      <w:pPr>
        <w:pStyle w:val="pheading"/>
      </w:pPr>
      <w:r>
        <w:t>- code de mesurage:</w:t>
      </w:r>
    </w:p>
    <w:p w14:paraId="0FD4BC6D"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F4D6674"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7606D93"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19585694" w14:textId="77777777" w:rsidR="00DF410E" w:rsidRDefault="00CE7F43">
      <w:r>
        <w:rPr>
          <w:rStyle w:val="optioncarChar"/>
        </w:rPr>
        <w:t>Volume net </w:t>
      </w:r>
      <w:r>
        <w:t>(par défaut)</w:t>
      </w:r>
      <w:r>
        <w:rPr>
          <w:rStyle w:val="optioncarChar"/>
        </w:rPr>
        <w:t> / Surface nette</w:t>
      </w:r>
    </w:p>
    <w:p w14:paraId="6CFE2BC1" w14:textId="77777777" w:rsidR="00DF410E" w:rsidRDefault="00CE7F43">
      <w:r>
        <w:rPr>
          <w:b/>
        </w:rPr>
        <w:t>(soit par défaut)</w:t>
      </w:r>
    </w:p>
    <w:p w14:paraId="6DE1699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B9CEE5E" w14:textId="77777777" w:rsidR="00DF410E" w:rsidRDefault="00CE7F43">
      <w:r>
        <w:rPr>
          <w:b/>
        </w:rPr>
        <w:t>(soit)</w:t>
      </w:r>
    </w:p>
    <w:p w14:paraId="4E71799E"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2538AC5" w14:textId="77777777" w:rsidR="00DF410E" w:rsidRDefault="00DF410E"/>
    <w:p w14:paraId="09FFA8BF" w14:textId="77777777" w:rsidR="00DF410E" w:rsidRDefault="00CE7F43">
      <w:pPr>
        <w:pStyle w:val="pheading"/>
      </w:pPr>
      <w:r>
        <w:t>- nature du marché:</w:t>
      </w:r>
    </w:p>
    <w:p w14:paraId="2FF9608F" w14:textId="77777777" w:rsidR="00DF410E" w:rsidRDefault="00CE7F43">
      <w:r>
        <w:t>QF</w:t>
      </w:r>
    </w:p>
    <w:p w14:paraId="0CFA1822" w14:textId="77777777" w:rsidR="00DF410E" w:rsidRDefault="00CE7F43">
      <w:pPr>
        <w:pStyle w:val="Author-eSectionHeading6"/>
      </w:pPr>
      <w:bookmarkStart w:id="100" w:name="_Toc178837360"/>
      <w:r>
        <w:t>21.14.2d Maçonneries portantes préfabriquées en blocs de silico-calcaire CCTB 01.12</w:t>
      </w:r>
      <w:bookmarkEnd w:id="100"/>
    </w:p>
    <w:p w14:paraId="717C7D15" w14:textId="77777777" w:rsidR="00DF410E" w:rsidRDefault="00CE7F43">
      <w:pPr>
        <w:pStyle w:val="pheading"/>
      </w:pPr>
      <w:r>
        <w:t>DESCRIPTION</w:t>
      </w:r>
    </w:p>
    <w:p w14:paraId="4FD77953" w14:textId="77777777" w:rsidR="00DF410E" w:rsidRDefault="00CE7F43">
      <w:pPr>
        <w:pStyle w:val="pheading"/>
      </w:pPr>
      <w:r>
        <w:t>- Définition / Comprend</w:t>
      </w:r>
    </w:p>
    <w:p w14:paraId="1856582C" w14:textId="77777777" w:rsidR="00DF410E" w:rsidRDefault="00CE7F43">
      <w:r>
        <w:t xml:space="preserve">Il s’agit de la fourniture et la pose de maçonneries portantes préfabriquées en blocs de silico-calcaire. </w:t>
      </w:r>
      <w:r>
        <w:br/>
        <w:t xml:space="preserve">La portée des travaux est décrite dans l’article </w:t>
      </w:r>
      <w:hyperlink w:anchor="374" w:history="1">
        <w:r>
          <w:t>21.14.2 Maçonneries portantes préfabriquées</w:t>
        </w:r>
      </w:hyperlink>
      <w:r>
        <w:t>.</w:t>
      </w:r>
      <w:r>
        <w:br/>
        <w:t>Les travaux comprennent également la fourniture et la pose des pièces d’angle, de terminaison et de rencontre.</w:t>
      </w:r>
    </w:p>
    <w:p w14:paraId="43813C7E" w14:textId="77777777" w:rsidR="00DF410E" w:rsidRDefault="00CE7F43">
      <w:pPr>
        <w:pStyle w:val="pheading"/>
      </w:pPr>
      <w:r>
        <w:t>- Localisation</w:t>
      </w:r>
    </w:p>
    <w:p w14:paraId="4FFA8391" w14:textId="77777777" w:rsidR="00DF410E" w:rsidRDefault="00CE7F43">
      <w:r>
        <w:t xml:space="preserve">La pose est réalisée aux endroits suivants : </w:t>
      </w:r>
      <w:r>
        <w:rPr>
          <w:rStyle w:val="optioncarChar"/>
        </w:rPr>
        <w:t>***</w:t>
      </w:r>
      <w:r>
        <w:t>.</w:t>
      </w:r>
      <w:r>
        <w:br/>
        <w:t>Voir plans et métrés détaillés.</w:t>
      </w:r>
    </w:p>
    <w:p w14:paraId="58962AB0" w14:textId="77777777" w:rsidR="00DF410E" w:rsidRDefault="00CE7F43">
      <w:pPr>
        <w:pStyle w:val="pheading"/>
      </w:pPr>
      <w:r>
        <w:t>MATÉRIAUX</w:t>
      </w:r>
    </w:p>
    <w:p w14:paraId="13F09A0D" w14:textId="77777777" w:rsidR="00DF410E" w:rsidRDefault="00CE7F43">
      <w:pPr>
        <w:pStyle w:val="pheading"/>
      </w:pPr>
      <w:r>
        <w:t>- Caractéristiques générales</w:t>
      </w:r>
    </w:p>
    <w:p w14:paraId="10529EB8" w14:textId="77777777" w:rsidR="00DF410E" w:rsidRDefault="00CE7F43">
      <w:r>
        <w:rPr>
          <w:rStyle w:val="headingChar"/>
        </w:rPr>
        <w:t>Spécifications</w:t>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w:t>
      </w:r>
      <w:r>
        <w:t>(par défaut)</w:t>
      </w:r>
      <w:r>
        <w:rPr>
          <w:rStyle w:val="optioncarChar"/>
        </w:rPr>
        <w:t xml:space="preserve"> / ***</w:t>
      </w:r>
      <w:r>
        <w:br/>
      </w:r>
      <w:r>
        <w:br/>
        <w:t>La résistance en compression normalisée (f</w:t>
      </w:r>
      <w:r>
        <w:rPr>
          <w:vertAlign w:val="subscript"/>
        </w:rPr>
        <w:t>b</w:t>
      </w:r>
      <w:r>
        <w:t xml:space="preserve">) suivant [NBN EN 1996-1-1+A1 ANB] est au minimum: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1400 kg/m³ (blocs creux) </w:t>
      </w:r>
      <w:r>
        <w:t>(par défaut)</w:t>
      </w:r>
      <w:r>
        <w:rPr>
          <w:rStyle w:val="optioncarChar"/>
        </w:rPr>
        <w:t xml:space="preserve"> / ***</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w:t>
      </w:r>
      <w:r>
        <w:rPr>
          <w:rStyle w:val="optioncarChar"/>
          <w:color w:val="000000"/>
        </w:rPr>
        <w:t xml:space="preserve"> assemblage à rainures et languettes</w:t>
      </w:r>
      <w:r>
        <w:br/>
        <w:t>Face qui reste visible :</w:t>
      </w:r>
      <w:r>
        <w:rPr>
          <w:rStyle w:val="optioncarChar"/>
          <w:color w:val="000000"/>
        </w:rPr>
        <w:t xml:space="preserve"> lisse</w:t>
      </w:r>
      <w:r>
        <w:br/>
        <w:t>Face à cimenter ou plafonner :</w:t>
      </w:r>
      <w:r>
        <w:rPr>
          <w:rStyle w:val="optioncarChar"/>
          <w:color w:val="000000"/>
        </w:rPr>
        <w:t xml:space="preserve"> lisse</w:t>
      </w:r>
      <w:r>
        <w:br/>
      </w:r>
      <w:r>
        <w:br/>
        <w:t xml:space="preserve">Teinte : </w:t>
      </w:r>
      <w:r>
        <w:rPr>
          <w:rStyle w:val="optioncarChar"/>
        </w:rPr>
        <w:t>blanc</w:t>
      </w:r>
      <w:r>
        <w:br/>
      </w:r>
      <w:r>
        <w:br/>
        <w:t>Format : (L x l x h) :</w:t>
      </w:r>
      <w:r>
        <w:rPr>
          <w:rStyle w:val="optioncarChar"/>
        </w:rPr>
        <w:t> format modulaire proposé par l'entrepreneur</w:t>
      </w:r>
      <w:r>
        <w:t> (par défaut) </w:t>
      </w:r>
      <w:r>
        <w:rPr>
          <w:rStyle w:val="optioncarChar"/>
        </w:rPr>
        <w:t>/</w:t>
      </w:r>
      <w:r>
        <w:t xml:space="preserve"> (</w:t>
      </w:r>
      <w:r>
        <w:rPr>
          <w:rStyle w:val="optioncarChar"/>
        </w:rPr>
        <w:t>300 / *** </w:t>
      </w:r>
      <w:r>
        <w:t>x</w:t>
      </w:r>
      <w:r>
        <w:rPr>
          <w:rStyle w:val="optioncarChar"/>
        </w:rPr>
        <w:t> 150 / 200 / ***</w:t>
      </w:r>
      <w:r>
        <w:t> x</w:t>
      </w:r>
      <w:r>
        <w:rPr>
          <w:rStyle w:val="optioncarChar"/>
        </w:rPr>
        <w:t> 150 / 200 / ***</w:t>
      </w:r>
      <w:r>
        <w:t> ) mm</w:t>
      </w:r>
    </w:p>
    <w:p w14:paraId="4C9FC2F3" w14:textId="77777777" w:rsidR="00DF410E" w:rsidRDefault="00CE7F43">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t> </w:t>
      </w:r>
      <w:r>
        <w:rPr>
          <w:rStyle w:val="optioncarChar"/>
          <w:color w:val="000000"/>
        </w:rPr>
        <w:t>(par défaut)</w:t>
      </w:r>
      <w:r>
        <w:br/>
      </w:r>
      <w:r>
        <w:br/>
        <w:t>Résistance au gel suivant les classes d’application selon [NBN EN 1996-2] et [NIT 271].</w:t>
      </w:r>
      <w:r>
        <w:br/>
      </w:r>
      <w:r>
        <w:br/>
        <w:t xml:space="preserve">Réaction au feu : </w:t>
      </w:r>
      <w:r>
        <w:rPr>
          <w:rStyle w:val="optioncarChar"/>
        </w:rPr>
        <w:t>A1</w:t>
      </w:r>
      <w:r>
        <w:t> (par défaut)</w:t>
      </w:r>
      <w:r>
        <w:rPr>
          <w:rStyle w:val="optioncarChar"/>
        </w:rPr>
        <w:t> / ***</w:t>
      </w:r>
      <w:r>
        <w:br/>
      </w:r>
      <w:r>
        <w:br/>
        <w:t>Critères de performances de la paroi</w:t>
      </w:r>
      <w:r>
        <w:br/>
        <w:t>Coefficient de transmission :</w:t>
      </w:r>
    </w:p>
    <w:p w14:paraId="2806B068" w14:textId="77777777" w:rsidR="00DF410E" w:rsidRDefault="00CE7F43">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3AA4E3D" w14:textId="77777777" w:rsidR="00DF410E" w:rsidRDefault="00CE7F43">
      <w:r>
        <w:t>Résistance au feu :</w:t>
      </w:r>
    </w:p>
    <w:p w14:paraId="57884670" w14:textId="77777777" w:rsidR="00DF410E" w:rsidRDefault="00CE7F43">
      <w:pPr>
        <w:ind w:left="567"/>
      </w:pPr>
      <w:r>
        <w:t xml:space="preserve">• pour les éléments porteurs structurels sans fonction séparante : </w:t>
      </w:r>
      <w:r>
        <w:rPr>
          <w:rStyle w:val="optioncarChar"/>
        </w:rPr>
        <w:t>R 15 / R 30 </w:t>
      </w:r>
      <w:r>
        <w:t>(par défaut)</w:t>
      </w:r>
      <w:r>
        <w:rPr>
          <w:rStyle w:val="optioncarChar"/>
        </w:rPr>
        <w:t xml:space="preserve"> / R 60 / R 120 / R ***</w:t>
      </w:r>
      <w:r>
        <w:br/>
        <w:t xml:space="preserve">• pour les éléments porteurs structurels avec fonction séparante : </w:t>
      </w:r>
      <w:r>
        <w:rPr>
          <w:rStyle w:val="optioncarChar"/>
        </w:rPr>
        <w:t>REI 30</w:t>
      </w:r>
      <w:r>
        <w:t> (par défaut)</w:t>
      </w:r>
      <w:r>
        <w:rPr>
          <w:rStyle w:val="optioncarChar"/>
        </w:rPr>
        <w:t xml:space="preserve"> / REI 60 / REI 120 / REI ***</w:t>
      </w:r>
    </w:p>
    <w:p w14:paraId="22030D15" w14:textId="77777777" w:rsidR="00DF410E" w:rsidRDefault="00CE7F43">
      <w:r>
        <w:t>selon les tableaux dans [NBN EN 1996-1-2 ANB].</w:t>
      </w:r>
    </w:p>
    <w:p w14:paraId="6A19A2A9" w14:textId="77777777" w:rsidR="00DF410E" w:rsidRDefault="00DF410E"/>
    <w:p w14:paraId="74822AE6" w14:textId="77777777" w:rsidR="00DF410E" w:rsidRDefault="00CE7F43">
      <w:r>
        <w:t> </w:t>
      </w:r>
    </w:p>
    <w:p w14:paraId="40B49CE9" w14:textId="77777777" w:rsidR="00DF410E" w:rsidRDefault="00CE7F43">
      <w:pPr>
        <w:pStyle w:val="pheading"/>
      </w:pPr>
      <w:r>
        <w:t>- Finitions</w:t>
      </w:r>
    </w:p>
    <w:p w14:paraId="6BF46B16" w14:textId="77777777" w:rsidR="00DF410E" w:rsidRDefault="00DF410E"/>
    <w:p w14:paraId="1ABD2008" w14:textId="77777777" w:rsidR="00DF410E" w:rsidRDefault="00CE7F43">
      <w:pPr>
        <w:pStyle w:val="Author-eListParagraph"/>
        <w:numPr>
          <w:ilvl w:val="0"/>
          <w:numId w:val="136"/>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Joints de maçonnerie apparente</w:t>
        </w:r>
      </w:hyperlink>
      <w:r>
        <w:t xml:space="preserve"> : </w:t>
      </w:r>
      <w:r>
        <w:rPr>
          <w:rStyle w:val="optioncarChar"/>
        </w:rPr>
        <w:t>***</w:t>
      </w:r>
    </w:p>
    <w:p w14:paraId="6482A241" w14:textId="77777777" w:rsidR="00DF410E" w:rsidRDefault="00CE7F43">
      <w:pPr>
        <w:pStyle w:val="Author-eListParagraph"/>
        <w:numPr>
          <w:ilvl w:val="0"/>
          <w:numId w:val="136"/>
        </w:numPr>
      </w:pPr>
      <w:r>
        <w:t>Les murs suivants sont exécutés avec une face restant apparente :</w:t>
      </w:r>
      <w:r>
        <w:rPr>
          <w:color w:val="FF0000"/>
        </w:rPr>
        <w:t>***</w:t>
      </w:r>
    </w:p>
    <w:p w14:paraId="02977F2B" w14:textId="77777777" w:rsidR="00DF410E" w:rsidRDefault="00CE7F43">
      <w:pPr>
        <w:pStyle w:val="Author-eListParagraph"/>
        <w:numPr>
          <w:ilvl w:val="0"/>
          <w:numId w:val="136"/>
        </w:numPr>
      </w:pPr>
      <w:r>
        <w:t>Les murs suivants sont exécutés avec deux faces restant apparentes :</w:t>
      </w:r>
      <w:r>
        <w:rPr>
          <w:color w:val="FF0000"/>
        </w:rPr>
        <w:t xml:space="preserve"> ***</w:t>
      </w:r>
    </w:p>
    <w:p w14:paraId="08F64926" w14:textId="77777777" w:rsidR="00DF410E" w:rsidRDefault="00CE7F43">
      <w:pPr>
        <w:pStyle w:val="pheading"/>
      </w:pPr>
      <w:r>
        <w:t>- Prescriptions complémentaires</w:t>
      </w:r>
    </w:p>
    <w:p w14:paraId="6B60F6F1" w14:textId="77777777" w:rsidR="00DF410E" w:rsidRDefault="00CE7F43">
      <w:r>
        <w:t>La mise en œuvre s'effectue selon les prescriptions du fabricant. Les murs ne sont pas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01EE7EF8" w14:textId="77777777" w:rsidR="00DF410E" w:rsidRDefault="00CE7F43">
      <w:pPr>
        <w:pStyle w:val="pheading"/>
      </w:pPr>
      <w:r>
        <w:t>MESURAGE</w:t>
      </w:r>
    </w:p>
    <w:p w14:paraId="3589AB5D" w14:textId="77777777" w:rsidR="00DF410E" w:rsidRDefault="00CE7F43">
      <w:pPr>
        <w:pStyle w:val="pheading"/>
      </w:pPr>
      <w:r>
        <w:t>- unité de mesure:</w:t>
      </w:r>
    </w:p>
    <w:p w14:paraId="7D7FDC43" w14:textId="77777777" w:rsidR="00DF410E" w:rsidRDefault="00CE7F43">
      <w:r>
        <w:rPr>
          <w:rStyle w:val="optioncarChar"/>
        </w:rPr>
        <w:t>m³ </w:t>
      </w:r>
      <w:r>
        <w:t>(par défaut)</w:t>
      </w:r>
      <w:r>
        <w:rPr>
          <w:rStyle w:val="optioncarChar"/>
        </w:rPr>
        <w:t> / m²</w:t>
      </w:r>
    </w:p>
    <w:p w14:paraId="2D31E024" w14:textId="77777777" w:rsidR="00DF410E" w:rsidRDefault="00CE7F43">
      <w:r>
        <w:rPr>
          <w:b/>
        </w:rPr>
        <w:t>(soit par défaut)</w:t>
      </w:r>
    </w:p>
    <w:p w14:paraId="6D708AD5" w14:textId="77777777" w:rsidR="00DF410E" w:rsidRDefault="00CE7F43">
      <w:r>
        <w:rPr>
          <w:rStyle w:val="soitChar"/>
        </w:rPr>
        <w:t>1. m³</w:t>
      </w:r>
    </w:p>
    <w:p w14:paraId="118B11B5" w14:textId="77777777" w:rsidR="00DF410E" w:rsidRDefault="00CE7F43">
      <w:r>
        <w:rPr>
          <w:b/>
        </w:rPr>
        <w:t>(soit)</w:t>
      </w:r>
    </w:p>
    <w:p w14:paraId="1F32F7D7" w14:textId="77777777" w:rsidR="00DF410E" w:rsidRDefault="00CE7F43">
      <w:r>
        <w:rPr>
          <w:rStyle w:val="soitChar"/>
        </w:rPr>
        <w:t>2. m²</w:t>
      </w:r>
    </w:p>
    <w:p w14:paraId="015AB798" w14:textId="77777777" w:rsidR="00DF410E" w:rsidRDefault="00CE7F43">
      <w:pPr>
        <w:pStyle w:val="pheading"/>
      </w:pPr>
      <w:r>
        <w:t>- code de mesurage:</w:t>
      </w:r>
    </w:p>
    <w:p w14:paraId="1041F672"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D983E0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4910E0A"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2BD4764B" w14:textId="77777777" w:rsidR="00DF410E" w:rsidRDefault="00CE7F43">
      <w:r>
        <w:rPr>
          <w:rStyle w:val="optioncarChar"/>
        </w:rPr>
        <w:t>Volume net </w:t>
      </w:r>
      <w:r>
        <w:t>(par défaut)</w:t>
      </w:r>
      <w:r>
        <w:rPr>
          <w:rStyle w:val="optioncarChar"/>
        </w:rPr>
        <w:t> / Surface nette</w:t>
      </w:r>
    </w:p>
    <w:p w14:paraId="10CADADD" w14:textId="77777777" w:rsidR="00DF410E" w:rsidRDefault="00CE7F43">
      <w:r>
        <w:rPr>
          <w:b/>
        </w:rPr>
        <w:t>(soit par défaut)</w:t>
      </w:r>
    </w:p>
    <w:p w14:paraId="513B0BED"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145736A" w14:textId="77777777" w:rsidR="00DF410E" w:rsidRDefault="00CE7F43">
      <w:r>
        <w:rPr>
          <w:b/>
        </w:rPr>
        <w:t>(soit)</w:t>
      </w:r>
    </w:p>
    <w:p w14:paraId="40698E10"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C7BCC83" w14:textId="77777777" w:rsidR="00DF410E" w:rsidRDefault="00DF410E"/>
    <w:p w14:paraId="2461891F" w14:textId="77777777" w:rsidR="00DF410E" w:rsidRDefault="00CE7F43">
      <w:pPr>
        <w:pStyle w:val="pheading"/>
      </w:pPr>
      <w:r>
        <w:t>- nature du marché:</w:t>
      </w:r>
    </w:p>
    <w:p w14:paraId="4CD62155" w14:textId="77777777" w:rsidR="00DF410E" w:rsidRDefault="00CE7F43">
      <w:r>
        <w:t>QF</w:t>
      </w:r>
    </w:p>
    <w:p w14:paraId="4DC9A720" w14:textId="77777777" w:rsidR="00DF410E" w:rsidRDefault="00CE7F43">
      <w:pPr>
        <w:pStyle w:val="Author-eSectionHeading4"/>
      </w:pPr>
      <w:bookmarkStart w:id="101" w:name="_Toc178837361"/>
      <w:r>
        <w:t>21.15 Maçonneries portantes particulières CCTB 01.02</w:t>
      </w:r>
      <w:bookmarkEnd w:id="101"/>
    </w:p>
    <w:p w14:paraId="4C1D4A05" w14:textId="77777777" w:rsidR="00DF410E" w:rsidRDefault="00CE7F43">
      <w:pPr>
        <w:pStyle w:val="Author-eSectionHeading5"/>
      </w:pPr>
      <w:bookmarkStart w:id="102" w:name="455"/>
      <w:bookmarkStart w:id="103" w:name="_Toc178837362"/>
      <w:bookmarkEnd w:id="102"/>
      <w:r>
        <w:t>21.15.1 Escaliers en maçonnerie CCTB 01.11</w:t>
      </w:r>
      <w:bookmarkEnd w:id="103"/>
    </w:p>
    <w:p w14:paraId="1AAD8207" w14:textId="77777777" w:rsidR="00DF410E" w:rsidRDefault="00CE7F43">
      <w:pPr>
        <w:pStyle w:val="pheading"/>
      </w:pPr>
      <w:bookmarkStart w:id="104" w:name="1096"/>
      <w:bookmarkEnd w:id="104"/>
      <w:r>
        <w:t>AIDE</w:t>
      </w:r>
    </w:p>
    <w:p w14:paraId="0D6202B7" w14:textId="77777777" w:rsidR="00DF410E" w:rsidRDefault="00CE7F43">
      <w:r>
        <w:t>Note à l'auteur de projet</w:t>
      </w:r>
    </w:p>
    <w:p w14:paraId="040ED47E" w14:textId="77777777" w:rsidR="00DF410E" w:rsidRDefault="00CE7F43">
      <w:r>
        <w:t> </w:t>
      </w:r>
    </w:p>
    <w:p w14:paraId="47FA871E" w14:textId="77777777" w:rsidR="00DF410E" w:rsidRDefault="00CE7F43">
      <w:r>
        <w:rPr>
          <w:b/>
        </w:rPr>
        <w:t>Accessibilité aux personnes à mobilité réduite (PMR)</w:t>
      </w:r>
    </w:p>
    <w:p w14:paraId="711E5D37" w14:textId="77777777" w:rsidR="00DF410E" w:rsidRDefault="00CE7F43">
      <w:r>
        <w:t> </w:t>
      </w:r>
      <w:r>
        <w:rPr>
          <w:i/>
          <w:u w:val="single"/>
        </w:rPr>
        <w:t>Général :</w:t>
      </w:r>
    </w:p>
    <w:p w14:paraId="34EB0696" w14:textId="77777777" w:rsidR="00DF410E" w:rsidRDefault="00CE7F43">
      <w:r>
        <w:t>Pente : entre 19° et 33° [Buildwise Article Dossier (2004/4.06)]</w:t>
      </w:r>
    </w:p>
    <w:p w14:paraId="376868DB" w14:textId="77777777" w:rsidR="00DF410E" w:rsidRDefault="00CE7F43">
      <w:r>
        <w:t>Géométrie : éviter les escaliers en colimaçon et l’utilisation de la méthode de balancement des marches [Buildwise Article Dossier (2004/4.06)]</w:t>
      </w:r>
    </w:p>
    <w:p w14:paraId="3B8B7486" w14:textId="77777777" w:rsidR="00DF410E" w:rsidRDefault="00CE7F43">
      <w:r>
        <w:t>Echappée : 220 cm minimum [SWL CALA]</w:t>
      </w:r>
    </w:p>
    <w:p w14:paraId="7001FFC9" w14:textId="77777777" w:rsidR="00DF410E" w:rsidRDefault="00CE7F43">
      <w:r>
        <w:t>Largeur de libre passage, en cas de :</w:t>
      </w:r>
    </w:p>
    <w:p w14:paraId="17BEAA53" w14:textId="77777777" w:rsidR="00DF410E" w:rsidRDefault="00CE7F43">
      <w:pPr>
        <w:pStyle w:val="Author-eListParagraph"/>
        <w:numPr>
          <w:ilvl w:val="0"/>
          <w:numId w:val="137"/>
        </w:numPr>
      </w:pPr>
      <w:r>
        <w:t>Installation d’un fauteuil monte-escalier : 70 cm minimum</w:t>
      </w:r>
    </w:p>
    <w:p w14:paraId="0898DFA3" w14:textId="77777777" w:rsidR="00DF410E" w:rsidRDefault="00CE7F43">
      <w:pPr>
        <w:pStyle w:val="Author-eListParagraph"/>
        <w:numPr>
          <w:ilvl w:val="0"/>
          <w:numId w:val="137"/>
        </w:numPr>
      </w:pPr>
      <w:r>
        <w:t>Installation d’une plateforme : 90 cm minimum [Buildwise Article Dossier (2004/4.06)]</w:t>
      </w:r>
    </w:p>
    <w:p w14:paraId="6BC82D81" w14:textId="77777777" w:rsidR="00DF410E" w:rsidRDefault="00CE7F43">
      <w:pPr>
        <w:pStyle w:val="Author-eListParagraph"/>
        <w:numPr>
          <w:ilvl w:val="0"/>
          <w:numId w:val="137"/>
        </w:numPr>
      </w:pPr>
      <w:r>
        <w:t>Evacuation manuelle : 122 cm minimum [NFPA 101 Life Safety Code Handbook]</w:t>
      </w:r>
    </w:p>
    <w:p w14:paraId="79869E07" w14:textId="77777777" w:rsidR="00DF410E" w:rsidRDefault="00CE7F43">
      <w:pPr>
        <w:pStyle w:val="Author-eListParagraph"/>
        <w:numPr>
          <w:ilvl w:val="0"/>
          <w:numId w:val="137"/>
        </w:numPr>
      </w:pPr>
      <w:r>
        <w:t>Utilisation d’une chaise d’évacuation : à établir en fonction des dimensions de la chaise</w:t>
      </w:r>
    </w:p>
    <w:p w14:paraId="3C696F99" w14:textId="77777777" w:rsidR="00DF410E" w:rsidRDefault="00CE7F43">
      <w:r>
        <w:rPr>
          <w:i/>
          <w:u w:val="single"/>
        </w:rPr>
        <w:t xml:space="preserve">Marches et contremarches : </w:t>
      </w:r>
      <w:r>
        <w:br/>
        <w:t>Nombre de marches par volée : 15 à 20 maximum [SWL CALA], [NBN ISO 21542] et [BS 8300]</w:t>
      </w:r>
    </w:p>
    <w:p w14:paraId="33EB2091" w14:textId="77777777" w:rsidR="00DF410E" w:rsidRDefault="00CE7F43">
      <w:r>
        <w:t>Module de pas (M=2H+G) : entre 60 et 64 cm [SWL CALA]</w:t>
      </w:r>
    </w:p>
    <w:p w14:paraId="5E4D284D" w14:textId="77777777" w:rsidR="00DF410E" w:rsidRDefault="00CE7F43">
      <w:r>
        <w:t>Hauteur des marches (H) : 18 cm maximum [SWL CALA]</w:t>
      </w:r>
    </w:p>
    <w:p w14:paraId="510FF2B4" w14:textId="77777777" w:rsidR="00DF410E" w:rsidRDefault="00CE7F43">
      <w:r>
        <w:t>Giron (G) : 25 cm minimum [SWL CALA]</w:t>
      </w:r>
    </w:p>
    <w:p w14:paraId="6BDED056" w14:textId="77777777" w:rsidR="00DF410E" w:rsidRDefault="00CE7F43">
      <w:r>
        <w:t>Type de marches : pleines, antidérapantes [CWATUP] (Article 415) et [SWL CALA]</w:t>
      </w:r>
    </w:p>
    <w:p w14:paraId="5DEB5120" w14:textId="77777777" w:rsidR="00DF410E" w:rsidRDefault="00CE7F43">
      <w:r>
        <w:t>Type de contremarches : pleines, profil oblique [SWL CALA], [NBN ISO 21542] et [BS 8300]</w:t>
      </w:r>
    </w:p>
    <w:p w14:paraId="27942965" w14:textId="77777777" w:rsidR="00DF410E" w:rsidRDefault="00CE7F43">
      <w:r>
        <w:rPr>
          <w:i/>
          <w:u w:val="single"/>
        </w:rPr>
        <w:t>Nez de marches :</w:t>
      </w:r>
    </w:p>
    <w:p w14:paraId="7A04C953" w14:textId="77777777" w:rsidR="00DF410E" w:rsidRDefault="00CE7F43">
      <w:r>
        <w:t>Forme : non saillants [SWL CALA], [NBN ISO 21542] et [BS 8300]</w:t>
      </w:r>
    </w:p>
    <w:p w14:paraId="24AC79DA" w14:textId="77777777" w:rsidR="00DF410E" w:rsidRDefault="00CE7F43">
      <w:r>
        <w:t>Projection : 2.5 cm maximum [NBN ISO 21542] et [BS 8300]</w:t>
      </w:r>
    </w:p>
    <w:p w14:paraId="07CB6E0D" w14:textId="77777777" w:rsidR="00DF410E" w:rsidRDefault="00CE7F43">
      <w:r>
        <w:t>Indicateurs visuels sur les nez de marches : [NBN ISO 21542] et [BS 8300]</w:t>
      </w:r>
    </w:p>
    <w:p w14:paraId="224991A3" w14:textId="77777777" w:rsidR="00DF410E" w:rsidRDefault="00CE7F43">
      <w:pPr>
        <w:pStyle w:val="Author-eListParagraph"/>
        <w:numPr>
          <w:ilvl w:val="0"/>
          <w:numId w:val="138"/>
        </w:numPr>
      </w:pPr>
      <w:r>
        <w:t>Localisation : de préférence, sur chaque marche ; sinon, sur la première et la dernière marche de chaque volée </w:t>
      </w:r>
    </w:p>
    <w:p w14:paraId="7B64D46E" w14:textId="77777777" w:rsidR="00DF410E" w:rsidRDefault="00CE7F43">
      <w:pPr>
        <w:pStyle w:val="Author-eListParagraph"/>
        <w:numPr>
          <w:ilvl w:val="0"/>
          <w:numId w:val="139"/>
        </w:numPr>
      </w:pPr>
      <w:r>
        <w:t>Largeur : continus sur toute la largeur des marches</w:t>
      </w:r>
    </w:p>
    <w:p w14:paraId="66368555" w14:textId="77777777" w:rsidR="00DF410E" w:rsidRDefault="00CE7F43">
      <w:pPr>
        <w:pStyle w:val="Author-eListParagraph"/>
        <w:numPr>
          <w:ilvl w:val="0"/>
          <w:numId w:val="139"/>
        </w:numPr>
      </w:pPr>
      <w:r>
        <w:t>Revêtement : antidérapants</w:t>
      </w:r>
    </w:p>
    <w:p w14:paraId="54A5F401" w14:textId="77777777" w:rsidR="00DF410E" w:rsidRDefault="00CE7F43">
      <w:pPr>
        <w:pStyle w:val="Author-eListParagraph"/>
        <w:numPr>
          <w:ilvl w:val="0"/>
          <w:numId w:val="139"/>
        </w:numPr>
      </w:pPr>
      <w:r>
        <w:t>Profondeur : 4 cm minimum sur la marche, peut redescendre sur la contremarche</w:t>
      </w:r>
    </w:p>
    <w:p w14:paraId="7D8EBA4D" w14:textId="77777777" w:rsidR="00DF410E" w:rsidRDefault="00CE7F43">
      <w:pPr>
        <w:pStyle w:val="Author-eListParagraph"/>
        <w:numPr>
          <w:ilvl w:val="0"/>
          <w:numId w:val="139"/>
        </w:numPr>
      </w:pPr>
      <w:r>
        <w:t>Contraste : différence de coefficient de réflexion (LRV) entre les indicateurs et les marches de minimum 60%</w:t>
      </w:r>
    </w:p>
    <w:p w14:paraId="678E2A69" w14:textId="77777777" w:rsidR="00DF410E" w:rsidRDefault="00CE7F43">
      <w:r>
        <w:rPr>
          <w:i/>
          <w:u w:val="single"/>
        </w:rPr>
        <w:t>Paliers :</w:t>
      </w:r>
      <w:r>
        <w:t>  [CWATUP] et [NBN ISO 21542]</w:t>
      </w:r>
    </w:p>
    <w:p w14:paraId="53FDE386" w14:textId="77777777" w:rsidR="00DF410E" w:rsidRDefault="00CE7F43">
      <w:r>
        <w:t>Contraste : différence de coefficient de réflexion (LRV) entre les paliers et les marches de minimum 60%</w:t>
      </w:r>
    </w:p>
    <w:p w14:paraId="4E0E5C4D" w14:textId="77777777" w:rsidR="00DF410E" w:rsidRDefault="00CE7F43">
      <w:r>
        <w:rPr>
          <w:i/>
          <w:u w:val="single"/>
        </w:rPr>
        <w:t>Dalles d’éveil à la vigilance (ou dalles podotactiles) :</w:t>
      </w:r>
      <w:r>
        <w:t>  [CWATUP] (Article 415), [SWL CALA], [NBN ISO 21542] et [NEN 1814]</w:t>
      </w:r>
    </w:p>
    <w:p w14:paraId="17F7E0E6" w14:textId="77777777" w:rsidR="00DF410E" w:rsidRDefault="00CE7F43">
      <w:r>
        <w:t>Position : sur les paliers, au-dessus et en-dessous de chaque volée, à 50 cm du nez de la première et de la dernière marche</w:t>
      </w:r>
    </w:p>
    <w:p w14:paraId="1B7B92C0" w14:textId="77777777" w:rsidR="00DF410E" w:rsidRDefault="00CE7F43">
      <w:r>
        <w:t>Largeur : sur toute la largeur de l’escalier</w:t>
      </w:r>
    </w:p>
    <w:p w14:paraId="6EB99641" w14:textId="77777777" w:rsidR="00DF410E" w:rsidRDefault="00CE7F43">
      <w:r>
        <w:t>Profondeur : 60 cm minimum</w:t>
      </w:r>
    </w:p>
    <w:p w14:paraId="60C638E4" w14:textId="77777777" w:rsidR="00DF410E" w:rsidRDefault="00CE7F43">
      <w:r>
        <w:rPr>
          <w:i/>
          <w:u w:val="single"/>
        </w:rPr>
        <w:t>Main-courantes :</w:t>
      </w:r>
    </w:p>
    <w:p w14:paraId="2F8177A5" w14:textId="77777777" w:rsidR="00DF410E" w:rsidRDefault="00CE7F43">
      <w:r>
        <w:t>Type : double (2 lisses) [SWL CALA], [NBN ISO 21542] et [BS 8300]</w:t>
      </w:r>
    </w:p>
    <w:p w14:paraId="14D7AF3D" w14:textId="77777777" w:rsidR="00DF410E" w:rsidRDefault="00CE7F43">
      <w:r>
        <w:t>Position : de chaque côté de l’escalier [CWATUP] (Article 415) et [SWL CALA]</w:t>
      </w:r>
    </w:p>
    <w:p w14:paraId="316A76C7" w14:textId="77777777" w:rsidR="00DF410E" w:rsidRDefault="00CE7F43">
      <w:r>
        <w:t>Géométrie : solides et continues sur les paliers [CWATUP] (Article 415) et [SWL CALA]</w:t>
      </w:r>
    </w:p>
    <w:p w14:paraId="5C5B6BEF" w14:textId="77777777" w:rsidR="00DF410E" w:rsidRDefault="00CE7F43">
      <w:r>
        <w:t>Prolongement : [CWATUP] (Article 415) et [SWL CALA]</w:t>
      </w:r>
    </w:p>
    <w:p w14:paraId="3A48A024" w14:textId="77777777" w:rsidR="00DF410E" w:rsidRDefault="00CE7F43">
      <w:pPr>
        <w:pStyle w:val="Author-eListParagraph"/>
        <w:numPr>
          <w:ilvl w:val="0"/>
          <w:numId w:val="140"/>
        </w:numPr>
      </w:pPr>
      <w:r>
        <w:t>Côté mur : prolongement de 40 cm à l’origine et à l’extrémité de l’escalier</w:t>
      </w:r>
    </w:p>
    <w:p w14:paraId="0F3469A3" w14:textId="77777777" w:rsidR="00DF410E" w:rsidRDefault="00CE7F43">
      <w:pPr>
        <w:pStyle w:val="Author-eListParagraph"/>
        <w:numPr>
          <w:ilvl w:val="0"/>
          <w:numId w:val="140"/>
        </w:numPr>
      </w:pPr>
      <w:r>
        <w:t>Côté vide : prolongement jusqu’au sol, et de 40 cm à l’origine et à l’extrémité de l’escalier pour autant que ce prolongement ne représente aucun obstacle ni danger    </w:t>
      </w:r>
    </w:p>
    <w:p w14:paraId="68C53C8C" w14:textId="77777777" w:rsidR="00DF410E" w:rsidRDefault="00CE7F43">
      <w:r>
        <w:t>Hauteur : [SWL CALA] et [NBN ISO 21542]</w:t>
      </w:r>
    </w:p>
    <w:p w14:paraId="71B0B8BF" w14:textId="77777777" w:rsidR="00DF410E" w:rsidRDefault="00CE7F43">
      <w:pPr>
        <w:pStyle w:val="Author-eListParagraph"/>
        <w:numPr>
          <w:ilvl w:val="0"/>
          <w:numId w:val="141"/>
        </w:numPr>
      </w:pPr>
      <w:r>
        <w:t>Main-courante principale : entre 85 et 100 cm par rapport au nez de marche</w:t>
      </w:r>
    </w:p>
    <w:p w14:paraId="23AC7B30" w14:textId="77777777" w:rsidR="00DF410E" w:rsidRDefault="00CE7F43">
      <w:pPr>
        <w:pStyle w:val="Author-eListParagraph"/>
        <w:numPr>
          <w:ilvl w:val="0"/>
          <w:numId w:val="141"/>
        </w:numPr>
      </w:pPr>
      <w:r>
        <w:t>Main-courante secondaire : entre 60 et 75 cm par rapport au nez de marche</w:t>
      </w:r>
    </w:p>
    <w:p w14:paraId="2AFEA765" w14:textId="77777777" w:rsidR="00DF410E" w:rsidRDefault="00CE7F43">
      <w:r>
        <w:t>Distance du mur : 4 cm minimum [SWL CALA]</w:t>
      </w:r>
    </w:p>
    <w:p w14:paraId="0668A80F" w14:textId="77777777" w:rsidR="00DF410E" w:rsidRDefault="00CE7F43">
      <w:r>
        <w:t>Diamètre : entre 4 et 5 cm [SWL CALA]</w:t>
      </w:r>
    </w:p>
    <w:p w14:paraId="7803FD2B" w14:textId="77777777" w:rsidR="00DF410E" w:rsidRDefault="00CE7F43">
      <w:r>
        <w:t>Contraste : différence de coefficient de réflexion (LRV) entre la main courante et son support de minimum 30% [NBN ISO 21542] et [BS 8300]</w:t>
      </w:r>
    </w:p>
    <w:p w14:paraId="4C1463E4" w14:textId="77777777" w:rsidR="00DF410E" w:rsidRDefault="00CE7F43">
      <w:pPr>
        <w:pStyle w:val="Author-eSectionHeading6"/>
      </w:pPr>
      <w:bookmarkStart w:id="105" w:name="_Toc178837363"/>
      <w:r>
        <w:t>21.15.1a Assises d'escaliers en maçonnerie (pour finition ultérieure) CCTB 01.04</w:t>
      </w:r>
      <w:bookmarkEnd w:id="105"/>
    </w:p>
    <w:p w14:paraId="4548F2AD" w14:textId="77777777" w:rsidR="00DF410E" w:rsidRDefault="00CE7F43">
      <w:pPr>
        <w:pStyle w:val="Author-eSectionHeading6"/>
      </w:pPr>
      <w:bookmarkStart w:id="106" w:name="_Toc178837364"/>
      <w:r>
        <w:t>21.15.1b Escaliers en briques CCTB 01.02</w:t>
      </w:r>
      <w:bookmarkEnd w:id="106"/>
    </w:p>
    <w:p w14:paraId="1A92B051" w14:textId="77777777" w:rsidR="00DF410E" w:rsidRDefault="00CE7F43">
      <w:pPr>
        <w:pStyle w:val="Author-eSectionHeading6"/>
      </w:pPr>
      <w:bookmarkStart w:id="107" w:name="_Toc178837365"/>
      <w:r>
        <w:t>21.15.1c Escaliers en pierre naturelle CCTB 01.02</w:t>
      </w:r>
      <w:bookmarkEnd w:id="107"/>
    </w:p>
    <w:p w14:paraId="0882C242" w14:textId="77777777" w:rsidR="00DF410E" w:rsidRDefault="00CE7F43">
      <w:pPr>
        <w:pStyle w:val="Author-eSectionHeading6"/>
      </w:pPr>
      <w:bookmarkStart w:id="108" w:name="_Toc178837366"/>
      <w:r>
        <w:t>21.15.1d Assises d'escaliers en maçonnerie en blocs de béton CCTB 01.04</w:t>
      </w:r>
      <w:bookmarkEnd w:id="108"/>
    </w:p>
    <w:p w14:paraId="1B63259C" w14:textId="77777777" w:rsidR="00DF410E" w:rsidRDefault="00CE7F43">
      <w:pPr>
        <w:pStyle w:val="Author-eSectionHeading6"/>
      </w:pPr>
      <w:bookmarkStart w:id="109" w:name="_Toc178837367"/>
      <w:r>
        <w:t>21.15.1e Assises d'escaliers en maçonnerie en briques CCTB 01.04</w:t>
      </w:r>
      <w:bookmarkEnd w:id="109"/>
    </w:p>
    <w:p w14:paraId="45A69E06" w14:textId="77777777" w:rsidR="00DF410E" w:rsidRDefault="00CE7F43">
      <w:pPr>
        <w:pStyle w:val="Author-eSectionHeading6"/>
      </w:pPr>
      <w:bookmarkStart w:id="110" w:name="_Toc178837368"/>
      <w:r>
        <w:t>21.15.1f Finitions d'escaliers CCTB 01.04</w:t>
      </w:r>
      <w:bookmarkEnd w:id="110"/>
    </w:p>
    <w:p w14:paraId="2409298B" w14:textId="77777777" w:rsidR="00DF410E" w:rsidRDefault="00CE7F43">
      <w:pPr>
        <w:pStyle w:val="pheading"/>
      </w:pPr>
      <w:r>
        <w:t>DESCRIPTION</w:t>
      </w:r>
    </w:p>
    <w:p w14:paraId="0E8B796A" w14:textId="77777777" w:rsidR="00DF410E" w:rsidRDefault="00CE7F43">
      <w:pPr>
        <w:pStyle w:val="pheading"/>
      </w:pPr>
      <w:r>
        <w:t>- Définition / Comprend</w:t>
      </w:r>
    </w:p>
    <w:p w14:paraId="17BD88AA" w14:textId="77777777" w:rsidR="00DF410E" w:rsidRDefault="00CE7F43">
      <w:r>
        <w:t>Renvoi au §</w:t>
      </w:r>
      <w:hyperlink r:id="rId22" w:history="1" w:docLocation="375">
        <w:r>
          <w:t>57.1 Escaliers et garde-corps complets</w:t>
        </w:r>
      </w:hyperlink>
    </w:p>
    <w:p w14:paraId="5D309B3A" w14:textId="77777777" w:rsidR="00DF410E" w:rsidRDefault="00CE7F43">
      <w:pPr>
        <w:pStyle w:val="Author-eSectionHeading5"/>
      </w:pPr>
      <w:bookmarkStart w:id="111" w:name="_Toc178837369"/>
      <w:r>
        <w:t>21.15.2 Garde-corps et rampes en maçonnerie CCTB 01.11</w:t>
      </w:r>
      <w:bookmarkEnd w:id="111"/>
    </w:p>
    <w:p w14:paraId="2CBFE620" w14:textId="77777777" w:rsidR="00DF410E" w:rsidRDefault="00CE7F43">
      <w:pPr>
        <w:pStyle w:val="pheading"/>
      </w:pPr>
      <w:bookmarkStart w:id="112" w:name="1100"/>
      <w:bookmarkEnd w:id="112"/>
      <w:r>
        <w:t>DOCUMENTS DE RÉFÉRENCE</w:t>
      </w:r>
    </w:p>
    <w:p w14:paraId="58EC1C3C" w14:textId="77777777" w:rsidR="00DF410E" w:rsidRDefault="00CE7F43">
      <w:pPr>
        <w:pStyle w:val="pheading"/>
      </w:pPr>
      <w:r>
        <w:t>- Exécution</w:t>
      </w:r>
    </w:p>
    <w:p w14:paraId="750415FE" w14:textId="77777777" w:rsidR="00DF410E" w:rsidRDefault="00CE7F43">
      <w:r>
        <w:t>[NBN B 03-004, Garde-corps de bâtiments]</w:t>
      </w:r>
    </w:p>
    <w:p w14:paraId="38CC9634" w14:textId="77777777" w:rsidR="00DF410E" w:rsidRDefault="00CE7F43">
      <w:pPr>
        <w:pStyle w:val="pheading"/>
      </w:pPr>
      <w:r>
        <w:t>AIDE</w:t>
      </w:r>
    </w:p>
    <w:p w14:paraId="1BAB1625" w14:textId="77777777" w:rsidR="00DF410E" w:rsidRDefault="00CE7F43">
      <w:r>
        <w:t>Note à l'auteur de projet</w:t>
      </w:r>
    </w:p>
    <w:p w14:paraId="0D7D4756" w14:textId="77777777" w:rsidR="00DF410E" w:rsidRDefault="00CE7F43">
      <w:r>
        <w:rPr>
          <w:b/>
        </w:rPr>
        <w:t>Accessibilité aux personnes à mobilité réduite (PMR)</w:t>
      </w:r>
    </w:p>
    <w:p w14:paraId="1A266312" w14:textId="77777777" w:rsidR="00DF410E" w:rsidRDefault="00CE7F43">
      <w:r>
        <w:rPr>
          <w:i/>
        </w:rPr>
        <w:t>Main-courantes :</w:t>
      </w:r>
    </w:p>
    <w:p w14:paraId="4DB35F30" w14:textId="77777777" w:rsidR="00DF410E" w:rsidRDefault="00CE7F43">
      <w:r>
        <w:t>Type : double (2 lisses) [SWL CALA], [NBN ISO 21542] et [BS 8300]</w:t>
      </w:r>
    </w:p>
    <w:p w14:paraId="7557905F" w14:textId="77777777" w:rsidR="00DF410E" w:rsidRDefault="00CE7F43">
      <w:r>
        <w:t>Position : de chaque côté de l’escalier [CWATUP] (Article 415) et [SWL CALA]</w:t>
      </w:r>
    </w:p>
    <w:p w14:paraId="3B4A87D8" w14:textId="77777777" w:rsidR="00DF410E" w:rsidRDefault="00CE7F43">
      <w:r>
        <w:t>Géométrie : solides et continues sur les paliers [CWATUP] (Article 415) et [SWL CALA]</w:t>
      </w:r>
    </w:p>
    <w:p w14:paraId="354A42B6" w14:textId="77777777" w:rsidR="00DF410E" w:rsidRDefault="00CE7F43">
      <w:r>
        <w:t>Prolongement : [CWATUP] (Article 415) et [SWL CALA]</w:t>
      </w:r>
    </w:p>
    <w:p w14:paraId="7CEE0067" w14:textId="77777777" w:rsidR="00DF410E" w:rsidRDefault="00CE7F43">
      <w:pPr>
        <w:pStyle w:val="Author-eListParagraph"/>
        <w:numPr>
          <w:ilvl w:val="0"/>
          <w:numId w:val="142"/>
        </w:numPr>
      </w:pPr>
      <w:r>
        <w:t>Côté mur : prolongement de 40 cm à l’origine et à l’extrémité de l’escalier</w:t>
      </w:r>
    </w:p>
    <w:p w14:paraId="519269C6" w14:textId="77777777" w:rsidR="00DF410E" w:rsidRDefault="00CE7F43">
      <w:pPr>
        <w:pStyle w:val="Author-eListParagraph"/>
        <w:numPr>
          <w:ilvl w:val="0"/>
          <w:numId w:val="142"/>
        </w:numPr>
      </w:pPr>
      <w:r>
        <w:t>Côté vide : prolongement jusqu’au sol et de 40 cm, à l’origine et à l’extrémité de l’escalier pour autant que ce prolongement ne représente aucun obstacle ni danger    </w:t>
      </w:r>
    </w:p>
    <w:p w14:paraId="78F0C298" w14:textId="77777777" w:rsidR="00DF410E" w:rsidRDefault="00CE7F43">
      <w:r>
        <w:t>Hauteur : [SWL CALA] et [NBN ISO 21542]</w:t>
      </w:r>
    </w:p>
    <w:p w14:paraId="4766301D" w14:textId="77777777" w:rsidR="00DF410E" w:rsidRDefault="00CE7F43">
      <w:pPr>
        <w:pStyle w:val="Author-eListParagraph"/>
        <w:numPr>
          <w:ilvl w:val="0"/>
          <w:numId w:val="143"/>
        </w:numPr>
      </w:pPr>
      <w:r>
        <w:t>Main-courante principale : entre 85 et 100 cm par rapport au nez de marche</w:t>
      </w:r>
    </w:p>
    <w:p w14:paraId="36509BC8" w14:textId="77777777" w:rsidR="00DF410E" w:rsidRDefault="00CE7F43">
      <w:pPr>
        <w:pStyle w:val="Author-eListParagraph"/>
        <w:numPr>
          <w:ilvl w:val="0"/>
          <w:numId w:val="143"/>
        </w:numPr>
      </w:pPr>
      <w:r>
        <w:t>Main-courante secondaire : entre 60 et 75 cm par rapport au nez de marche</w:t>
      </w:r>
    </w:p>
    <w:p w14:paraId="4D7519ED" w14:textId="77777777" w:rsidR="00DF410E" w:rsidRDefault="00CE7F43">
      <w:r>
        <w:t>Distance du mur : 4 cm minimum [SWL CALA]</w:t>
      </w:r>
    </w:p>
    <w:p w14:paraId="207083DF" w14:textId="77777777" w:rsidR="00DF410E" w:rsidRDefault="00CE7F43">
      <w:r>
        <w:t>Diamètre : entre 4 et 5 cm [SWL CALA]</w:t>
      </w:r>
    </w:p>
    <w:p w14:paraId="177FD5A2" w14:textId="77777777" w:rsidR="00DF410E" w:rsidRDefault="00CE7F43">
      <w:r>
        <w:t>Contraste: différence de coefficient de réflexion (LRV) entre la main courante et son support de minimum 30% [NBN ISO 21542] et [BS 8300]</w:t>
      </w:r>
    </w:p>
    <w:p w14:paraId="1E33769B" w14:textId="77777777" w:rsidR="00DF410E" w:rsidRDefault="00CE7F43">
      <w:pPr>
        <w:pStyle w:val="Author-eSectionHeading6"/>
      </w:pPr>
      <w:bookmarkStart w:id="113" w:name="_Toc178837370"/>
      <w:r>
        <w:t>21.15.2a Garde-corps en briques de terre cuite CCTB 01.04</w:t>
      </w:r>
      <w:bookmarkEnd w:id="113"/>
    </w:p>
    <w:p w14:paraId="3759C81D" w14:textId="77777777" w:rsidR="00DF410E" w:rsidRDefault="00CE7F43">
      <w:pPr>
        <w:pStyle w:val="Author-eSectionHeading6"/>
      </w:pPr>
      <w:bookmarkStart w:id="114" w:name="_Toc178837371"/>
      <w:r>
        <w:t>21.15.2b Garde-corps en briques de béton CCTB 01.04</w:t>
      </w:r>
      <w:bookmarkEnd w:id="114"/>
    </w:p>
    <w:p w14:paraId="0A5ED608" w14:textId="77777777" w:rsidR="00DF410E" w:rsidRDefault="00CE7F43">
      <w:pPr>
        <w:pStyle w:val="Author-eSectionHeading6"/>
      </w:pPr>
      <w:bookmarkStart w:id="115" w:name="_Toc178837372"/>
      <w:r>
        <w:t>21.15.2c Garde-corps en blocs de béton CCTB 01.04</w:t>
      </w:r>
      <w:bookmarkEnd w:id="115"/>
    </w:p>
    <w:p w14:paraId="7345AE0C" w14:textId="77777777" w:rsidR="00DF410E" w:rsidRDefault="00CE7F43">
      <w:pPr>
        <w:pStyle w:val="Author-eSectionHeading6"/>
      </w:pPr>
      <w:bookmarkStart w:id="116" w:name="_Toc178837373"/>
      <w:r>
        <w:t>21.15.2d Garde-corps en pierre naturelle CCTB 01.02</w:t>
      </w:r>
      <w:bookmarkEnd w:id="116"/>
    </w:p>
    <w:p w14:paraId="5332E497" w14:textId="77777777" w:rsidR="00DF410E" w:rsidRDefault="00CE7F43">
      <w:pPr>
        <w:pStyle w:val="Author-eSectionHeading5"/>
      </w:pPr>
      <w:bookmarkStart w:id="117" w:name="_Toc178837374"/>
      <w:r>
        <w:t>21.15.3 Colonnes et piliers CCTB 01.11</w:t>
      </w:r>
      <w:bookmarkEnd w:id="117"/>
    </w:p>
    <w:p w14:paraId="627853CA" w14:textId="77777777" w:rsidR="00DF410E" w:rsidRDefault="00CE7F43">
      <w:pPr>
        <w:pStyle w:val="pheading"/>
      </w:pPr>
      <w:r>
        <w:t>DESCRIPTION</w:t>
      </w:r>
    </w:p>
    <w:p w14:paraId="3D334B8B" w14:textId="77777777" w:rsidR="00DF410E" w:rsidRDefault="00CE7F43">
      <w:pPr>
        <w:pStyle w:val="pheading"/>
      </w:pPr>
      <w:r>
        <w:t>- Définition / Comprend</w:t>
      </w:r>
    </w:p>
    <w:p w14:paraId="73E5E132" w14:textId="77777777" w:rsidR="00DF410E" w:rsidRDefault="00CE7F43">
      <w:pPr>
        <w:jc w:val="both"/>
      </w:pPr>
      <w:r>
        <w:t>Il s’agit de la fourniture et de tous les travaux de réalisation de colonnes et piliers en maçonnerie portante.</w:t>
      </w:r>
    </w:p>
    <w:p w14:paraId="54FD22DD" w14:textId="77777777" w:rsidR="00DF410E" w:rsidRDefault="00CE7F43">
      <w:pPr>
        <w:pStyle w:val="pheading"/>
      </w:pPr>
      <w:r>
        <w:t>EXÉCUTION / MISE EN ŒUVRE</w:t>
      </w:r>
    </w:p>
    <w:p w14:paraId="0E2F611D" w14:textId="77777777" w:rsidR="00DF410E" w:rsidRDefault="00CE7F43">
      <w:pPr>
        <w:jc w:val="both"/>
      </w:pPr>
      <w:r>
        <w:t>Conformément au mode de mise en œuvre, les éléments sont maçonnés au mortier ou collés au mortier-colle selon les recommandations accompagnant le produit ou les notes de calcul du bureau d’études.</w:t>
      </w:r>
    </w:p>
    <w:p w14:paraId="4AAD4D6E" w14:textId="77777777" w:rsidR="00DF410E" w:rsidRDefault="00CE7F43">
      <w:pPr>
        <w:jc w:val="both"/>
      </w:pPr>
      <w:r>
        <w:t>Les piliers en contact avec les terres sont rendus étanches selon la description du </w:t>
      </w:r>
      <w:hyperlink w:anchor="357" w:history="1">
        <w:r>
          <w:t>26.12 Traitements d'étanchéisation</w:t>
        </w:r>
      </w:hyperlink>
      <w:r>
        <w:t xml:space="preserve"> et éléments qui en découlent.</w:t>
      </w:r>
    </w:p>
    <w:p w14:paraId="75806221" w14:textId="77777777" w:rsidR="00DF410E" w:rsidRDefault="00CE7F43">
      <w:pPr>
        <w:pStyle w:val="Author-eSectionHeading6"/>
      </w:pPr>
      <w:bookmarkStart w:id="118" w:name="_Toc178837375"/>
      <w:r>
        <w:t>21.15.3a Colonnes et piliers en briques de terre cuite CCTB 01.12</w:t>
      </w:r>
      <w:bookmarkEnd w:id="118"/>
    </w:p>
    <w:p w14:paraId="59417EC7" w14:textId="77777777" w:rsidR="00DF410E" w:rsidRDefault="00CE7F43">
      <w:pPr>
        <w:pStyle w:val="pheading"/>
      </w:pPr>
      <w:r>
        <w:t>DESCRIPTION</w:t>
      </w:r>
    </w:p>
    <w:p w14:paraId="40A97C9F" w14:textId="77777777" w:rsidR="00DF410E" w:rsidRDefault="00CE7F43">
      <w:pPr>
        <w:pStyle w:val="pheading"/>
      </w:pPr>
      <w:r>
        <w:t>- Définition / Comprend</w:t>
      </w:r>
    </w:p>
    <w:p w14:paraId="411EC1EB" w14:textId="77777777" w:rsidR="00DF410E" w:rsidRDefault="00CE7F43">
      <w:pPr>
        <w:jc w:val="both"/>
      </w:pPr>
      <w:r>
        <w:t>Il s’agit de la fourniture et la pose de maçonneries portantes en briques de terre cuite pour la réalisation des colonnes et piliers.</w:t>
      </w:r>
    </w:p>
    <w:p w14:paraId="54022C43" w14:textId="77777777" w:rsidR="00DF410E" w:rsidRDefault="00CE7F43">
      <w:pPr>
        <w:pStyle w:val="pheading"/>
      </w:pPr>
      <w:r>
        <w:t>MATÉRIAUX</w:t>
      </w:r>
    </w:p>
    <w:p w14:paraId="7268E2A6" w14:textId="77777777" w:rsidR="00DF410E" w:rsidRDefault="00CE7F43">
      <w:pPr>
        <w:pStyle w:val="pheading"/>
      </w:pPr>
      <w:r>
        <w:t>- Caractéristiques générales</w:t>
      </w:r>
    </w:p>
    <w:p w14:paraId="3CCBF21E" w14:textId="77777777" w:rsidR="00DF410E" w:rsidRDefault="00CE7F43">
      <w:pPr>
        <w:jc w:val="both"/>
      </w:pPr>
      <w:r>
        <w:t xml:space="preserve">Briques : </w:t>
      </w:r>
      <w:r>
        <w:rPr>
          <w:rStyle w:val="optioncarChar"/>
        </w:rPr>
        <w:t>identiques aux murs</w:t>
      </w:r>
      <w:r>
        <w:t xml:space="preserve"> (par défaut)</w:t>
      </w:r>
      <w:r>
        <w:rPr>
          <w:rStyle w:val="optioncarChar"/>
        </w:rPr>
        <w:t xml:space="preserve"> / suivant prescriptions</w:t>
      </w:r>
    </w:p>
    <w:p w14:paraId="77142D74" w14:textId="77777777" w:rsidR="00DF410E" w:rsidRDefault="00CE7F43">
      <w:pPr>
        <w:jc w:val="both"/>
      </w:pPr>
      <w:r>
        <w:rPr>
          <w:b/>
        </w:rPr>
        <w:t>Identiques aux murs :</w:t>
      </w:r>
    </w:p>
    <w:p w14:paraId="5C20C30F" w14:textId="77777777" w:rsidR="00DF410E" w:rsidRDefault="00CE7F43">
      <w:pPr>
        <w:jc w:val="both"/>
      </w:pPr>
      <w:r>
        <w:t>Les briques utilisées pour les colonnes/piliers sont identiques et ont la même provenance que les briques utilisées pour les maçonneries des murs</w:t>
      </w:r>
      <w:r>
        <w:rPr>
          <w:rStyle w:val="optioncarChar"/>
        </w:rPr>
        <w:t xml:space="preserve"> portants</w:t>
      </w:r>
      <w:r>
        <w:t xml:space="preserve"> (par défaut)</w:t>
      </w:r>
      <w:r>
        <w:rPr>
          <w:rStyle w:val="optioncarChar"/>
        </w:rPr>
        <w:t xml:space="preserve"> / de parement</w:t>
      </w:r>
      <w:r>
        <w:t xml:space="preserve"> en briques de terre cuite.</w:t>
      </w:r>
    </w:p>
    <w:p w14:paraId="6FE80378" w14:textId="77777777" w:rsidR="00DF410E" w:rsidRDefault="00CE7F43">
      <w:pPr>
        <w:jc w:val="both"/>
      </w:pPr>
      <w:r>
        <w:rPr>
          <w:b/>
        </w:rPr>
        <w:t>(soit par défaut)</w:t>
      </w:r>
    </w:p>
    <w:p w14:paraId="32D9F773" w14:textId="77777777" w:rsidR="00DF410E" w:rsidRDefault="00CE7F43">
      <w:pPr>
        <w:jc w:val="both"/>
      </w:pPr>
      <w:r>
        <w:rPr>
          <w:rStyle w:val="soitChar"/>
          <w:u w:val="single"/>
        </w:rPr>
        <w:t>Portants :</w:t>
      </w:r>
    </w:p>
    <w:p w14:paraId="6EF6BD22" w14:textId="77777777" w:rsidR="00DF410E" w:rsidRDefault="00CE7F43">
      <w:pPr>
        <w:jc w:val="both"/>
      </w:pPr>
      <w:r>
        <w:rPr>
          <w:rStyle w:val="soitChar"/>
        </w:rPr>
        <w:t xml:space="preserve">Voir les prescriptions du matériau aux éléments qui découlent du </w:t>
      </w:r>
      <w:hyperlink w:anchor="376" w:history="1">
        <w:r>
          <w:rPr>
            <w:rStyle w:val="soitChar"/>
          </w:rPr>
          <w:t>21.11.1 Maçonneries portantes en briques de terre cuite</w:t>
        </w:r>
      </w:hyperlink>
      <w:r>
        <w:rPr>
          <w:rStyle w:val="soitChar"/>
        </w:rPr>
        <w:t>.</w:t>
      </w:r>
    </w:p>
    <w:p w14:paraId="0AC2B0B3" w14:textId="77777777" w:rsidR="00DF410E" w:rsidRDefault="00CE7F43">
      <w:pPr>
        <w:jc w:val="both"/>
      </w:pPr>
      <w:r>
        <w:rPr>
          <w:b/>
        </w:rPr>
        <w:t>(soit)</w:t>
      </w:r>
    </w:p>
    <w:p w14:paraId="6A017381" w14:textId="77777777" w:rsidR="00DF410E" w:rsidRDefault="00CE7F43">
      <w:pPr>
        <w:jc w:val="both"/>
      </w:pPr>
      <w:r>
        <w:rPr>
          <w:rStyle w:val="soitChar"/>
          <w:u w:val="single"/>
        </w:rPr>
        <w:t>De parement :</w:t>
      </w:r>
    </w:p>
    <w:p w14:paraId="54B909B5" w14:textId="77777777" w:rsidR="00DF410E" w:rsidRDefault="00CE7F43">
      <w:pPr>
        <w:jc w:val="both"/>
      </w:pPr>
      <w:r>
        <w:rPr>
          <w:rStyle w:val="soitChar"/>
        </w:rPr>
        <w:t xml:space="preserve">Voir les prescriptions du matériau aux éléments qui découlent du </w:t>
      </w:r>
      <w:hyperlink w:anchor="377" w:history="1">
        <w:r>
          <w:rPr>
            <w:rStyle w:val="soitChar"/>
          </w:rPr>
          <w:t>21.31.1 Maçonneries de parement en briques de terre cuite</w:t>
        </w:r>
      </w:hyperlink>
      <w:r>
        <w:rPr>
          <w:rStyle w:val="soitChar"/>
        </w:rPr>
        <w:t>.</w:t>
      </w:r>
    </w:p>
    <w:p w14:paraId="59B64988" w14:textId="77777777" w:rsidR="00DF410E" w:rsidRDefault="00CE7F43">
      <w:pPr>
        <w:jc w:val="both"/>
      </w:pPr>
      <w:r>
        <w:rPr>
          <w:b/>
        </w:rPr>
        <w:t>Suivant prescriptions :</w:t>
      </w:r>
    </w:p>
    <w:p w14:paraId="412FCC02" w14:textId="77777777" w:rsidR="00DF410E" w:rsidRDefault="00CE7F43">
      <w:pPr>
        <w:jc w:val="both"/>
      </w:pPr>
      <w:r>
        <w:t>Les briques de construction en terre cuite répondent au [PTV 23-002] et à la norme [NBN EN 771-1+A1] :</w:t>
      </w:r>
    </w:p>
    <w:p w14:paraId="61B24E41" w14:textId="77777777" w:rsidR="00DF410E" w:rsidRDefault="00CE7F43">
      <w:pPr>
        <w:pStyle w:val="Author-eListParagraph"/>
        <w:numPr>
          <w:ilvl w:val="0"/>
          <w:numId w:val="144"/>
        </w:numPr>
      </w:pPr>
      <w:r>
        <w:t xml:space="preserve">Masse volumique sèche apparente des briques ρ (rho) ≥ </w:t>
      </w:r>
      <w:r>
        <w:rPr>
          <w:rStyle w:val="optioncarChar"/>
        </w:rPr>
        <w:t xml:space="preserve">*** </w:t>
      </w:r>
      <w:r>
        <w:t>kg/m³</w:t>
      </w:r>
    </w:p>
    <w:p w14:paraId="1070F22D" w14:textId="77777777" w:rsidR="00DF410E" w:rsidRDefault="00CE7F43">
      <w:pPr>
        <w:pStyle w:val="Author-eListParagraph"/>
        <w:numPr>
          <w:ilvl w:val="0"/>
          <w:numId w:val="144"/>
        </w:numPr>
      </w:pPr>
      <w:r>
        <w:t>Type de briques : </w:t>
      </w:r>
      <w:r>
        <w:rPr>
          <w:rStyle w:val="optioncarChar"/>
        </w:rPr>
        <w:t xml:space="preserve">moulées à la main </w:t>
      </w:r>
      <w:r>
        <w:t xml:space="preserve">(par défaut) </w:t>
      </w:r>
      <w:r>
        <w:rPr>
          <w:rStyle w:val="optioncarChar"/>
        </w:rPr>
        <w:t>/ pleines / pressées / perforées / étirées / ***</w:t>
      </w:r>
    </w:p>
    <w:p w14:paraId="580764AA" w14:textId="77777777" w:rsidR="00DF410E" w:rsidRDefault="00CE7F43">
      <w:pPr>
        <w:pStyle w:val="Author-eListParagraph"/>
        <w:numPr>
          <w:ilvl w:val="0"/>
          <w:numId w:val="144"/>
        </w:numPr>
      </w:pPr>
      <w:r>
        <w:t xml:space="preserve">Face visible : </w:t>
      </w:r>
      <w:r>
        <w:rPr>
          <w:rStyle w:val="optioncarChar"/>
        </w:rPr>
        <w:t xml:space="preserve">lisse </w:t>
      </w:r>
      <w:r>
        <w:t>(par défaut) </w:t>
      </w:r>
      <w:r>
        <w:rPr>
          <w:rStyle w:val="optioncarChar"/>
        </w:rPr>
        <w:t>/ striée / émaillée / étirée / ***</w:t>
      </w:r>
    </w:p>
    <w:p w14:paraId="2EADB011" w14:textId="77777777" w:rsidR="00DF410E" w:rsidRDefault="00CE7F43">
      <w:pPr>
        <w:pStyle w:val="Author-eListParagraph"/>
        <w:numPr>
          <w:ilvl w:val="0"/>
          <w:numId w:val="144"/>
        </w:numPr>
      </w:pPr>
      <w:r>
        <w:t>Teinte : </w:t>
      </w:r>
      <w:r>
        <w:rPr>
          <w:rStyle w:val="optioncarChar"/>
        </w:rPr>
        <w:t>blanc / rouge</w:t>
      </w:r>
      <w:r>
        <w:rPr>
          <w:rStyle w:val="optioncarChar"/>
          <w:color w:val="000000"/>
        </w:rPr>
        <w:t xml:space="preserve"> (par défaut)</w:t>
      </w:r>
      <w:r>
        <w:rPr>
          <w:rStyle w:val="optioncarChar"/>
        </w:rPr>
        <w:t xml:space="preserve"> / gris / ***</w:t>
      </w:r>
    </w:p>
    <w:p w14:paraId="58483BA4" w14:textId="77777777" w:rsidR="00DF410E" w:rsidRDefault="00CE7F43">
      <w:pPr>
        <w:pStyle w:val="Author-eListParagraph"/>
        <w:numPr>
          <w:ilvl w:val="0"/>
          <w:numId w:val="144"/>
        </w:numPr>
      </w:pPr>
      <w:r>
        <w:t xml:space="preserve">Format : (L x l x h) = </w:t>
      </w:r>
      <w:r>
        <w:rPr>
          <w:rStyle w:val="optioncarChar"/>
        </w:rPr>
        <w:t xml:space="preserve">proposé par l'entrepreneur </w:t>
      </w:r>
      <w:r>
        <w:t>(par défaut)</w:t>
      </w:r>
      <w:r>
        <w:rPr>
          <w:rStyle w:val="optioncarChar"/>
        </w:rPr>
        <w:t xml:space="preserve"> / *** x *** x *** </w:t>
      </w:r>
      <w:r>
        <w:t>mm</w:t>
      </w:r>
    </w:p>
    <w:p w14:paraId="6624D6A5" w14:textId="77777777" w:rsidR="00DF410E" w:rsidRDefault="00CE7F43">
      <w:pPr>
        <w:pStyle w:val="Author-eListParagraph"/>
        <w:numPr>
          <w:ilvl w:val="0"/>
          <w:numId w:val="144"/>
        </w:numPr>
        <w:jc w:val="both"/>
      </w:pPr>
      <w:r>
        <w:t xml:space="preserve">Tolérances dimensionnelles : </w:t>
      </w:r>
    </w:p>
    <w:p w14:paraId="2E4B7081" w14:textId="77777777" w:rsidR="00DF410E" w:rsidRDefault="00CE7F43">
      <w:pPr>
        <w:pStyle w:val="Author-eListParagraph"/>
        <w:numPr>
          <w:ilvl w:val="1"/>
          <w:numId w:val="145"/>
        </w:numPr>
        <w:jc w:val="both"/>
      </w:pPr>
      <w:r>
        <w:t>tolérances de la valeur moyenne : </w:t>
      </w:r>
      <w:r>
        <w:rPr>
          <w:rStyle w:val="optioncarChar"/>
        </w:rPr>
        <w:t xml:space="preserve">T1 / T2 / Tm </w:t>
      </w:r>
      <w:r>
        <w:t>(par défaut)</w:t>
      </w:r>
      <w:r>
        <w:rPr>
          <w:rStyle w:val="optioncarChar"/>
        </w:rPr>
        <w:t xml:space="preserve"> / non spécifié</w:t>
      </w:r>
    </w:p>
    <w:p w14:paraId="1F27C24F" w14:textId="77777777" w:rsidR="00DF410E" w:rsidRDefault="00CE7F43">
      <w:pPr>
        <w:pStyle w:val="Author-eListParagraph"/>
        <w:numPr>
          <w:ilvl w:val="1"/>
          <w:numId w:val="145"/>
        </w:numPr>
        <w:jc w:val="both"/>
      </w:pPr>
      <w:r>
        <w:t>plage : </w:t>
      </w:r>
      <w:r>
        <w:rPr>
          <w:rStyle w:val="optioncarChar"/>
        </w:rPr>
        <w:t xml:space="preserve">R1 / R2 / Rm </w:t>
      </w:r>
      <w:r>
        <w:t xml:space="preserve">(par défaut) </w:t>
      </w:r>
      <w:r>
        <w:rPr>
          <w:rStyle w:val="optioncarChar"/>
        </w:rPr>
        <w:t>/ non spécifié</w:t>
      </w:r>
    </w:p>
    <w:p w14:paraId="53560213" w14:textId="77777777" w:rsidR="00DF410E" w:rsidRDefault="00CE7F43">
      <w:pPr>
        <w:pStyle w:val="Author-eListParagraph"/>
        <w:numPr>
          <w:ilvl w:val="0"/>
          <w:numId w:val="144"/>
        </w:numPr>
        <w:jc w:val="both"/>
      </w:pPr>
      <w:r>
        <w:t>Classe d’exposition déterminant la résistance au gel, selon [NBN EN 1996-2] et [NIT 271].</w:t>
      </w:r>
    </w:p>
    <w:p w14:paraId="259A87A4" w14:textId="77777777" w:rsidR="00DF410E" w:rsidRDefault="00CE7F43">
      <w:pPr>
        <w:pStyle w:val="Author-eListParagraph"/>
        <w:numPr>
          <w:ilvl w:val="0"/>
          <w:numId w:val="144"/>
        </w:numPr>
        <w:jc w:val="both"/>
      </w:pPr>
      <w:r>
        <w:t xml:space="preserve">Origine des briques : </w:t>
      </w:r>
      <w:r>
        <w:rPr>
          <w:rStyle w:val="optioncarChar"/>
        </w:rPr>
        <w:t xml:space="preserve">neuves </w:t>
      </w:r>
      <w:r>
        <w:t xml:space="preserve">(par défaut) </w:t>
      </w:r>
      <w:r>
        <w:rPr>
          <w:rStyle w:val="optioncarChar"/>
        </w:rPr>
        <w:t>/ de réemploi</w:t>
      </w:r>
    </w:p>
    <w:p w14:paraId="34527845" w14:textId="77777777" w:rsidR="00DF410E" w:rsidRDefault="00CE7F43">
      <w:pPr>
        <w:ind w:left="567"/>
        <w:jc w:val="both"/>
      </w:pPr>
      <w:r>
        <w:rPr>
          <w:b/>
        </w:rPr>
        <w:t>(soit par défaut)</w:t>
      </w:r>
    </w:p>
    <w:p w14:paraId="5ADCB2CD" w14:textId="77777777" w:rsidR="00DF410E" w:rsidRDefault="00CE7F43">
      <w:pPr>
        <w:ind w:left="567"/>
        <w:jc w:val="both"/>
      </w:pPr>
      <w:r>
        <w:rPr>
          <w:rStyle w:val="soitChar"/>
          <w:u w:val="single"/>
        </w:rPr>
        <w:t>Neuve :</w:t>
      </w:r>
    </w:p>
    <w:p w14:paraId="5FC4441A" w14:textId="77777777" w:rsidR="00DF410E" w:rsidRDefault="00CE7F43">
      <w:pPr>
        <w:pStyle w:val="Author-eListParagraph"/>
        <w:numPr>
          <w:ilvl w:val="0"/>
          <w:numId w:val="146"/>
        </w:numPr>
      </w:pPr>
      <w:r>
        <w:rPr>
          <w:rStyle w:val="soitChar"/>
        </w:rPr>
        <w:t xml:space="preserve">Utilisation de la brique : brique </w:t>
      </w:r>
      <w:r>
        <w:rPr>
          <w:rStyle w:val="optioncarChar"/>
        </w:rPr>
        <w:t xml:space="preserve">U (non protégée) </w:t>
      </w:r>
      <w:r>
        <w:t>(par défaut)</w:t>
      </w:r>
      <w:r>
        <w:rPr>
          <w:rStyle w:val="optioncarChar"/>
        </w:rPr>
        <w:t xml:space="preserve"> / P (protégée)</w:t>
      </w:r>
    </w:p>
    <w:p w14:paraId="07758D4A" w14:textId="77777777" w:rsidR="00DF410E" w:rsidRDefault="00CE7F43">
      <w:pPr>
        <w:pStyle w:val="Author-eListParagraph"/>
        <w:numPr>
          <w:ilvl w:val="0"/>
          <w:numId w:val="146"/>
        </w:numPr>
      </w:pPr>
      <w:r>
        <w:rPr>
          <w:rStyle w:val="soitChar"/>
        </w:rPr>
        <w:t>La résistance à la compression des briques est déclarée avec une fiabilité de 95% (catégorie I) :</w:t>
      </w:r>
    </w:p>
    <w:p w14:paraId="43B9FC51" w14:textId="77777777" w:rsidR="00DF410E" w:rsidRDefault="00CE7F43">
      <w:pPr>
        <w:pStyle w:val="Author-eListParagraph"/>
        <w:numPr>
          <w:ilvl w:val="1"/>
          <w:numId w:val="147"/>
        </w:numPr>
      </w:pPr>
      <w:r>
        <w:rPr>
          <w:rStyle w:val="soitChar"/>
        </w:rPr>
        <w:t>Valeur de la résistance en compression </w:t>
      </w:r>
      <w:r>
        <w:rPr>
          <w:rStyle w:val="optioncarChar"/>
        </w:rPr>
        <w:t>moyenne (f</w:t>
      </w:r>
      <w:r>
        <w:rPr>
          <w:rStyle w:val="optioncarChar"/>
          <w:vertAlign w:val="subscript"/>
        </w:rPr>
        <w:t>mean</w:t>
      </w:r>
      <w:r>
        <w:rPr>
          <w:rStyle w:val="optioncarChar"/>
        </w:rPr>
        <w:t>)</w:t>
      </w:r>
      <w:r>
        <w:t> (par défaut)</w:t>
      </w:r>
      <w:r>
        <w:rPr>
          <w:rStyle w:val="optioncarChar"/>
        </w:rPr>
        <w:t xml:space="preserve"> / normalisée (f</w:t>
      </w:r>
      <w:r>
        <w:rPr>
          <w:rStyle w:val="optioncarChar"/>
          <w:vertAlign w:val="subscript"/>
        </w:rPr>
        <w:t>b</w:t>
      </w:r>
      <w:r>
        <w:rPr>
          <w:rStyle w:val="optioncarChar"/>
        </w:rPr>
        <w:t>)</w:t>
      </w:r>
    </w:p>
    <w:p w14:paraId="51117E40" w14:textId="77777777" w:rsidR="00DF410E" w:rsidRDefault="00CE7F43">
      <w:pPr>
        <w:pStyle w:val="Author-eListParagraph"/>
        <w:numPr>
          <w:ilvl w:val="1"/>
          <w:numId w:val="147"/>
        </w:numPr>
      </w:pPr>
      <w:r>
        <w:rPr>
          <w:rStyle w:val="soitChar"/>
        </w:rPr>
        <w:t xml:space="preserve"> ≥ </w:t>
      </w:r>
      <w:r>
        <w:rPr>
          <w:rStyle w:val="optioncarChar"/>
        </w:rPr>
        <w:t>voir l’étude du bureau de stabilité</w:t>
      </w:r>
      <w:r>
        <w:t xml:space="preserve"> (par défaut)</w:t>
      </w:r>
      <w:r>
        <w:rPr>
          <w:rStyle w:val="optioncarChar"/>
        </w:rPr>
        <w:t xml:space="preserve"> / 10 / 15 / 20 / *** </w:t>
      </w:r>
      <w:r>
        <w:rPr>
          <w:rStyle w:val="soitChar"/>
        </w:rPr>
        <w:t>N/mm² (MPa)</w:t>
      </w:r>
    </w:p>
    <w:p w14:paraId="27253A63" w14:textId="77777777" w:rsidR="00DF410E" w:rsidRDefault="00CE7F43">
      <w:pPr>
        <w:pStyle w:val="Author-eListParagraph"/>
        <w:numPr>
          <w:ilvl w:val="0"/>
          <w:numId w:val="146"/>
        </w:numPr>
      </w:pPr>
      <w:r>
        <w:rPr>
          <w:rStyle w:val="soitChar"/>
        </w:rPr>
        <w:t>Taux initial d’absorption d’eau :</w:t>
      </w:r>
      <w:r>
        <w:rPr>
          <w:rStyle w:val="optioncarChar"/>
        </w:rPr>
        <w:t xml:space="preserve"> IW1</w:t>
      </w:r>
      <w:r>
        <w:t xml:space="preserve"> (par défaut)</w:t>
      </w:r>
      <w:r>
        <w:rPr>
          <w:rStyle w:val="optioncarChar"/>
        </w:rPr>
        <w:t xml:space="preserve"> / IW2 / IW3 / IW4 </w:t>
      </w:r>
    </w:p>
    <w:p w14:paraId="5A3DB956" w14:textId="77777777" w:rsidR="00DF410E" w:rsidRDefault="00CE7F43">
      <w:pPr>
        <w:ind w:left="567"/>
        <w:jc w:val="both"/>
      </w:pPr>
      <w:r>
        <w:rPr>
          <w:b/>
        </w:rPr>
        <w:t>(soit)</w:t>
      </w:r>
    </w:p>
    <w:p w14:paraId="0CFBFC20" w14:textId="77777777" w:rsidR="00DF410E" w:rsidRDefault="00CE7F43">
      <w:pPr>
        <w:ind w:left="567"/>
        <w:jc w:val="both"/>
      </w:pPr>
      <w:r>
        <w:rPr>
          <w:rStyle w:val="soitChar"/>
          <w:u w:val="single"/>
        </w:rPr>
        <w:t>De réemploi :</w:t>
      </w:r>
    </w:p>
    <w:p w14:paraId="3A040FF9" w14:textId="77777777" w:rsidR="00DF410E" w:rsidRDefault="00CE7F43">
      <w:pPr>
        <w:ind w:left="567"/>
        <w:jc w:val="both"/>
      </w:pPr>
      <w:r>
        <w:rPr>
          <w:rStyle w:val="soitChar"/>
        </w:rPr>
        <w:t>Les briques de récupération sont triées sur palette par lot selon leur origine, leurs dimensions, leur coloration (niveau de cuisson). Un lot comporte en général de 1 à 5 palettes.</w:t>
      </w:r>
    </w:p>
    <w:p w14:paraId="48E58DB6" w14:textId="77777777" w:rsidR="00DF410E" w:rsidRDefault="00CE7F43">
      <w:pPr>
        <w:pStyle w:val="Author-eListParagraph"/>
        <w:numPr>
          <w:ilvl w:val="0"/>
          <w:numId w:val="148"/>
        </w:numPr>
      </w:pPr>
      <w:r>
        <w:rPr>
          <w:rStyle w:val="soitChar"/>
        </w:rPr>
        <w:t>Résistance à la compression  ≥ </w:t>
      </w:r>
      <w:r>
        <w:rPr>
          <w:rStyle w:val="optioncarChar"/>
        </w:rPr>
        <w:t>voir l’étude du bureau de stabilité</w:t>
      </w:r>
      <w:r>
        <w:t xml:space="preserve"> (par défaut)</w:t>
      </w:r>
      <w:r>
        <w:rPr>
          <w:rStyle w:val="optioncarChar"/>
        </w:rPr>
        <w:t xml:space="preserve"> / 10 / 15 / 20 / *** </w:t>
      </w:r>
      <w:r>
        <w:rPr>
          <w:rStyle w:val="soitChar"/>
        </w:rPr>
        <w:t>N/mm² . Echantillon de 5 briques par lot testées en laboratoire suivant la [NBN EN 772-1+A1]</w:t>
      </w:r>
    </w:p>
    <w:p w14:paraId="297A592F" w14:textId="77777777" w:rsidR="00DF410E" w:rsidRDefault="00DF410E"/>
    <w:p w14:paraId="55BC2049" w14:textId="77777777" w:rsidR="00DF410E" w:rsidRDefault="00CE7F43">
      <w:pPr>
        <w:pStyle w:val="Author-eListParagraph"/>
        <w:numPr>
          <w:ilvl w:val="0"/>
          <w:numId w:val="149"/>
        </w:numPr>
      </w:pPr>
      <w:r>
        <w:t>Réaction au feu selon la [NBN EN 13501-1] : A1</w:t>
      </w:r>
    </w:p>
    <w:p w14:paraId="2D2F83E9" w14:textId="77777777" w:rsidR="00DF410E" w:rsidRDefault="00CE7F43">
      <w:pPr>
        <w:pStyle w:val="Author-eListParagraph"/>
        <w:numPr>
          <w:ilvl w:val="0"/>
          <w:numId w:val="149"/>
        </w:numPr>
      </w:pPr>
      <w:r>
        <w:t xml:space="preserve">Résistance au feu, selon la [NBN EN 13501-2] : </w:t>
      </w:r>
      <w:r>
        <w:rPr>
          <w:rStyle w:val="optioncarChar"/>
        </w:rPr>
        <w:t>pas d’application / R30 / R60</w:t>
      </w:r>
      <w:r>
        <w:t xml:space="preserve"> (par défaut)</w:t>
      </w:r>
      <w:r>
        <w:rPr>
          <w:rStyle w:val="optioncarChar"/>
        </w:rPr>
        <w:t xml:space="preserve"> / R90 / R120.</w:t>
      </w:r>
      <w:r>
        <w:br/>
        <w:t>En cas d’application, cette résistance au feu est atteinte sans traitement particulier. Elle est démontrée par test au feu selon la [NBN EN 13501-2] ou par calcul selon l’Eurocode [NBN EN 1996-1-2] conformément à l’[AM 2013-05-17].</w:t>
      </w:r>
    </w:p>
    <w:p w14:paraId="12E450FF" w14:textId="77777777" w:rsidR="00DF410E" w:rsidRDefault="00CE7F43">
      <w:pPr>
        <w:pStyle w:val="pheading"/>
      </w:pPr>
      <w:r>
        <w:t>- Finitions</w:t>
      </w:r>
    </w:p>
    <w:p w14:paraId="5C0407D3" w14:textId="77777777" w:rsidR="00DF410E" w:rsidRDefault="00CE7F43">
      <w:pPr>
        <w:jc w:val="both"/>
      </w:pPr>
      <w:r>
        <w:rPr>
          <w:rStyle w:val="optioncarChar"/>
          <w:color w:val="000000"/>
        </w:rPr>
        <w:t xml:space="preserve">Les piliers sont exécutées comme maçonneries apparentes et sont rejointoyées selon </w:t>
      </w:r>
      <w:hyperlink w:anchor="344" w:history="1">
        <w:r>
          <w:rPr>
            <w:rStyle w:val="optioncarChar"/>
          </w:rPr>
          <w:t>21.61.1b Joints de maçonnerie apparente</w:t>
        </w:r>
      </w:hyperlink>
      <w:r>
        <w:t>.</w:t>
      </w:r>
    </w:p>
    <w:p w14:paraId="21AD048B" w14:textId="77777777" w:rsidR="00DF410E" w:rsidRDefault="00CE7F43">
      <w:pPr>
        <w:pStyle w:val="pheading"/>
      </w:pPr>
      <w:r>
        <w:t>EXÉCUTION / MISE EN ŒUVRE</w:t>
      </w:r>
    </w:p>
    <w:p w14:paraId="059408A3" w14:textId="77777777" w:rsidR="00DF410E" w:rsidRDefault="00CE7F43">
      <w:pPr>
        <w:pStyle w:val="pheading"/>
      </w:pPr>
      <w:r>
        <w:t>- Prescriptions générales</w:t>
      </w:r>
    </w:p>
    <w:p w14:paraId="1B1C1B46" w14:textId="77777777" w:rsidR="00DF410E" w:rsidRDefault="00CE7F43">
      <w:pPr>
        <w:jc w:val="both"/>
      </w:pPr>
      <w:r>
        <w:t>Les briques sont </w:t>
      </w:r>
      <w:r>
        <w:rPr>
          <w:rStyle w:val="optioncarChar"/>
        </w:rPr>
        <w:t xml:space="preserve">maçonnées au mortier </w:t>
      </w:r>
      <w:r>
        <w:t xml:space="preserve">(par défaut) </w:t>
      </w:r>
      <w:r>
        <w:rPr>
          <w:rStyle w:val="optioncarChar"/>
        </w:rPr>
        <w:t>/ collées au mortier-colle</w:t>
      </w:r>
      <w:r>
        <w:t>.</w:t>
      </w:r>
    </w:p>
    <w:p w14:paraId="204F1FE7" w14:textId="77777777" w:rsidR="00DF410E" w:rsidRDefault="00CE7F43">
      <w:pPr>
        <w:jc w:val="both"/>
      </w:pPr>
      <w:r>
        <w:t xml:space="preserve">Le mortier de pose répond à la catégorie, selon la [NBN EN 998-2] : </w:t>
      </w:r>
      <w:r>
        <w:rPr>
          <w:rStyle w:val="optioncarChar"/>
        </w:rPr>
        <w:t>M10 / M15</w:t>
      </w:r>
      <w:r>
        <w:t xml:space="preserve"> (par défaut) </w:t>
      </w:r>
      <w:r>
        <w:rPr>
          <w:rStyle w:val="optioncarChar"/>
        </w:rPr>
        <w:t>/ M20 / ***</w:t>
      </w:r>
    </w:p>
    <w:p w14:paraId="1687A1BC" w14:textId="77777777" w:rsidR="00DF410E" w:rsidRDefault="00CE7F43">
      <w:pPr>
        <w:jc w:val="both"/>
      </w:pPr>
      <w:r>
        <w:t xml:space="preserve">L'épaisseur des joints est ≥ </w:t>
      </w:r>
      <w:r>
        <w:rPr>
          <w:rStyle w:val="optioncarChar"/>
        </w:rPr>
        <w:t xml:space="preserve">3 / 5 / 10 </w:t>
      </w:r>
      <w:r>
        <w:t xml:space="preserve">(par défaut) </w:t>
      </w:r>
      <w:r>
        <w:rPr>
          <w:rStyle w:val="optioncarChar"/>
        </w:rPr>
        <w:t>/ sans joint / ***</w:t>
      </w:r>
      <w:r>
        <w:t xml:space="preserve"> mm </w:t>
      </w:r>
    </w:p>
    <w:p w14:paraId="6C546157" w14:textId="77777777" w:rsidR="00DF410E" w:rsidRDefault="00CE7F43">
      <w:pPr>
        <w:jc w:val="both"/>
      </w:pPr>
      <w:r>
        <w:t>Type d’appareillage : </w:t>
      </w:r>
      <w:r>
        <w:rPr>
          <w:rStyle w:val="optioncarChar"/>
        </w:rPr>
        <w:t>boutisse-panneresse</w:t>
      </w:r>
      <w:r>
        <w:t xml:space="preserve"> (par défaut) </w:t>
      </w:r>
      <w:r>
        <w:rPr>
          <w:rStyle w:val="optioncarChar"/>
        </w:rPr>
        <w:t>/ à demi-brique / ***</w:t>
      </w:r>
    </w:p>
    <w:p w14:paraId="7C2741B6" w14:textId="77777777" w:rsidR="00DF410E" w:rsidRDefault="00CE7F43">
      <w:pPr>
        <w:jc w:val="both"/>
      </w:pPr>
      <w:r>
        <w:t>Pour les maçonneries destinées à rester apparentes, seules des briques non endommagées sont utilisées.</w:t>
      </w:r>
    </w:p>
    <w:p w14:paraId="0910CDBE" w14:textId="77777777" w:rsidR="00DF410E" w:rsidRDefault="00CE7F43">
      <w:pPr>
        <w:jc w:val="both"/>
      </w:pPr>
      <w:r>
        <w:t xml:space="preserve">Isolation contre l'humidité, selon la description des éléments qui découlent du </w:t>
      </w:r>
      <w:hyperlink w:anchor="354" w:history="1">
        <w:r>
          <w:t>26.11 Feuilles et membranes d'étanchéité à l'eau</w:t>
        </w:r>
      </w:hyperlink>
      <w:r>
        <w:t xml:space="preserve"> : </w:t>
      </w:r>
      <w:r>
        <w:rPr>
          <w:rStyle w:val="optioncarChar"/>
        </w:rPr>
        <w:t>oui</w:t>
      </w:r>
      <w:r>
        <w:t xml:space="preserve"> (par défaut)</w:t>
      </w:r>
      <w:r>
        <w:rPr>
          <w:rStyle w:val="optioncarChar"/>
        </w:rPr>
        <w:t xml:space="preserve"> / non</w:t>
      </w:r>
    </w:p>
    <w:p w14:paraId="64B1B7C8" w14:textId="77777777" w:rsidR="00DF410E" w:rsidRDefault="00CE7F43">
      <w:pPr>
        <w:jc w:val="both"/>
      </w:pPr>
      <w:r>
        <w:t xml:space="preserve">Les piliers sont pourvus d'armatures horizontales selon la description des éléments qui découlent du </w:t>
      </w:r>
      <w:hyperlink w:anchor="355" w:history="1">
        <w:r>
          <w:t>21.41.1 Armatures horizontales pour maçonneries</w:t>
        </w:r>
      </w:hyperlink>
      <w:r>
        <w:t xml:space="preserve"> : </w:t>
      </w:r>
      <w:r>
        <w:rPr>
          <w:rStyle w:val="optioncarChar"/>
        </w:rPr>
        <w:t>oui</w:t>
      </w:r>
      <w:r>
        <w:t xml:space="preserve"> (par défaut)</w:t>
      </w:r>
      <w:r>
        <w:rPr>
          <w:rStyle w:val="optioncarChar"/>
        </w:rPr>
        <w:t xml:space="preserve"> / non</w:t>
      </w:r>
    </w:p>
    <w:p w14:paraId="10E4519F" w14:textId="77777777" w:rsidR="00DF410E" w:rsidRDefault="00CE7F43">
      <w:pPr>
        <w:jc w:val="both"/>
      </w:pPr>
      <w:r>
        <w:t xml:space="preserve">Les piliers sont pourvus d'armatures verticales selon la description des éléments qui découlent du </w:t>
      </w:r>
      <w:hyperlink w:anchor="356" w:history="1">
        <w:r>
          <w:t>21.41.2 Armatures verticales pour maçonneries</w:t>
        </w:r>
      </w:hyperlink>
      <w:r>
        <w:t xml:space="preserve"> : </w:t>
      </w:r>
      <w:r>
        <w:rPr>
          <w:rStyle w:val="optioncarChar"/>
        </w:rPr>
        <w:t>non</w:t>
      </w:r>
      <w:r>
        <w:t xml:space="preserve"> (par défaut)</w:t>
      </w:r>
      <w:r>
        <w:rPr>
          <w:rStyle w:val="optioncarChar"/>
        </w:rPr>
        <w:t xml:space="preserve"> / oui</w:t>
      </w:r>
    </w:p>
    <w:p w14:paraId="221BEBB3" w14:textId="77777777" w:rsidR="00DF410E" w:rsidRDefault="00CE7F43">
      <w:pPr>
        <w:pStyle w:val="pheading"/>
      </w:pPr>
      <w:r>
        <w:t>- Échantillons</w:t>
      </w:r>
    </w:p>
    <w:p w14:paraId="242DE894" w14:textId="77777777" w:rsidR="00DF410E" w:rsidRDefault="00CE7F43">
      <w:r>
        <w:t>L'entrepreneur soumet un échantillon, la fiche technique et la déclaration des performances (DoP) du matériau pour approbation à l'auteur de projet et au maître de l’ouvrage avant exécution.</w:t>
      </w:r>
    </w:p>
    <w:p w14:paraId="1040323C" w14:textId="77777777" w:rsidR="00DF410E" w:rsidRDefault="00CE7F43">
      <w:pPr>
        <w:pStyle w:val="pheading"/>
      </w:pPr>
      <w:r>
        <w:t>MESURAGE</w:t>
      </w:r>
    </w:p>
    <w:p w14:paraId="09D3F1AE" w14:textId="77777777" w:rsidR="00DF410E" w:rsidRDefault="00CE7F43">
      <w:pPr>
        <w:pStyle w:val="pheading"/>
      </w:pPr>
      <w:r>
        <w:t>- unité de mesure:</w:t>
      </w:r>
    </w:p>
    <w:p w14:paraId="22EB576F" w14:textId="77777777" w:rsidR="00DF410E" w:rsidRDefault="00CE7F43">
      <w:r>
        <w:t xml:space="preserve">m³  </w:t>
      </w:r>
    </w:p>
    <w:p w14:paraId="39861225" w14:textId="77777777" w:rsidR="00DF410E" w:rsidRDefault="00CE7F43">
      <w:pPr>
        <w:pStyle w:val="pheading"/>
      </w:pPr>
      <w:r>
        <w:t>- code de mesurage:</w:t>
      </w:r>
    </w:p>
    <w:p w14:paraId="6772E098" w14:textId="77777777" w:rsidR="00DF410E" w:rsidRDefault="00CE7F43">
      <w:pPr>
        <w:jc w:val="both"/>
      </w:pPr>
      <w:r>
        <w:t>Volume net à mettre en œuvre.</w:t>
      </w:r>
    </w:p>
    <w:p w14:paraId="3D1F082D" w14:textId="77777777" w:rsidR="00DF410E" w:rsidRDefault="00CE7F43">
      <w:pPr>
        <w:pStyle w:val="pheading"/>
      </w:pPr>
      <w:r>
        <w:t>- nature du marché:</w:t>
      </w:r>
    </w:p>
    <w:p w14:paraId="6A8981D5" w14:textId="77777777" w:rsidR="00DF410E" w:rsidRDefault="00CE7F43">
      <w:r>
        <w:t>QF</w:t>
      </w:r>
    </w:p>
    <w:p w14:paraId="3846C044" w14:textId="77777777" w:rsidR="00DF410E" w:rsidRDefault="00CE7F43">
      <w:pPr>
        <w:pStyle w:val="Author-eSectionHeading6"/>
      </w:pPr>
      <w:bookmarkStart w:id="119" w:name="_Toc178837376"/>
      <w:r>
        <w:t>21.15.3b Colonnes et piliers en briques de béton CCTB 01.11</w:t>
      </w:r>
      <w:bookmarkEnd w:id="119"/>
    </w:p>
    <w:p w14:paraId="0D4ABC29" w14:textId="77777777" w:rsidR="00DF410E" w:rsidRDefault="00CE7F43">
      <w:pPr>
        <w:pStyle w:val="Author-eSectionHeading6"/>
      </w:pPr>
      <w:bookmarkStart w:id="120" w:name="_Toc178837377"/>
      <w:r>
        <w:t>21.15.3c Colonnes et piliers en blocs de béton CCTB 01.04</w:t>
      </w:r>
      <w:bookmarkEnd w:id="120"/>
    </w:p>
    <w:p w14:paraId="07212101" w14:textId="77777777" w:rsidR="00DF410E" w:rsidRDefault="00CE7F43">
      <w:pPr>
        <w:pStyle w:val="Author-eSectionHeading6"/>
      </w:pPr>
      <w:bookmarkStart w:id="121" w:name="_Toc178837378"/>
      <w:r>
        <w:t>21.15.3d Colonnes et piliers en pierre naturelle CCTB 01.11</w:t>
      </w:r>
      <w:bookmarkEnd w:id="121"/>
    </w:p>
    <w:p w14:paraId="1CFBC801" w14:textId="77777777" w:rsidR="00DF410E" w:rsidRDefault="00CE7F43">
      <w:pPr>
        <w:pStyle w:val="pheading"/>
      </w:pPr>
      <w:r>
        <w:t>DESCRIPTION</w:t>
      </w:r>
    </w:p>
    <w:p w14:paraId="0234A163" w14:textId="77777777" w:rsidR="00DF410E" w:rsidRDefault="00CE7F43">
      <w:pPr>
        <w:pStyle w:val="pheading"/>
      </w:pPr>
      <w:r>
        <w:t>- Définition / Comprend</w:t>
      </w:r>
    </w:p>
    <w:p w14:paraId="38201055" w14:textId="77777777" w:rsidR="00DF410E" w:rsidRDefault="00CE7F43">
      <w:pPr>
        <w:jc w:val="both"/>
      </w:pPr>
      <w:r>
        <w:t>Il s’agit de la fourniture et la pose de maçonneries portantes en pierre naturelle pour la réalisation des colonnes et piliers.</w:t>
      </w:r>
    </w:p>
    <w:p w14:paraId="411F5DA7" w14:textId="77777777" w:rsidR="00DF410E" w:rsidRDefault="00CE7F43">
      <w:pPr>
        <w:pStyle w:val="pheading"/>
      </w:pPr>
      <w:r>
        <w:t>MATÉRIAUX</w:t>
      </w:r>
    </w:p>
    <w:p w14:paraId="6B58B92A" w14:textId="77777777" w:rsidR="00DF410E" w:rsidRDefault="00CE7F43">
      <w:pPr>
        <w:pStyle w:val="pheading"/>
      </w:pPr>
      <w:r>
        <w:t>- Caractéristiques générales</w:t>
      </w:r>
    </w:p>
    <w:p w14:paraId="45C476DF" w14:textId="77777777" w:rsidR="00DF410E" w:rsidRDefault="00CE7F43">
      <w:pPr>
        <w:jc w:val="both"/>
      </w:pPr>
      <w:r>
        <w:t>Les pierres naturelles répondent à la norme [NBN EN 771-6+A1] :</w:t>
      </w:r>
    </w:p>
    <w:p w14:paraId="1D11112C" w14:textId="77777777" w:rsidR="00DF410E" w:rsidRDefault="00CE7F43">
      <w:pPr>
        <w:pStyle w:val="Author-eListParagraph"/>
        <w:numPr>
          <w:ilvl w:val="0"/>
          <w:numId w:val="150"/>
        </w:numPr>
      </w:pPr>
      <w:r>
        <w:t xml:space="preserve">Aspect : </w:t>
      </w:r>
      <w:r>
        <w:rPr>
          <w:rStyle w:val="optioncarChar"/>
        </w:rPr>
        <w:t>moellon équarri</w:t>
      </w:r>
      <w:r>
        <w:t xml:space="preserve"> (par défaut) </w:t>
      </w:r>
      <w:r>
        <w:rPr>
          <w:rStyle w:val="optioncarChar"/>
        </w:rPr>
        <w:t>/ moellon brut / pierre de taille</w:t>
      </w:r>
    </w:p>
    <w:p w14:paraId="32CC7564" w14:textId="77777777" w:rsidR="00DF410E" w:rsidRDefault="00CE7F43">
      <w:pPr>
        <w:pStyle w:val="Author-eListParagraph"/>
        <w:numPr>
          <w:ilvl w:val="0"/>
          <w:numId w:val="150"/>
        </w:numPr>
      </w:pPr>
      <w:r>
        <w:t xml:space="preserve">Format approximatif (L x l x h) = </w:t>
      </w:r>
      <w:r>
        <w:rPr>
          <w:rStyle w:val="optioncarChar"/>
        </w:rPr>
        <w:t xml:space="preserve">proposé par l'entrepreneur </w:t>
      </w:r>
      <w:r>
        <w:t>(par défaut)</w:t>
      </w:r>
      <w:r>
        <w:rPr>
          <w:rStyle w:val="optioncarChar"/>
        </w:rPr>
        <w:t xml:space="preserve"> / *** x *** x ***</w:t>
      </w:r>
      <w:r>
        <w:t xml:space="preserve"> mm</w:t>
      </w:r>
    </w:p>
    <w:p w14:paraId="68C03DD7" w14:textId="77777777" w:rsidR="00DF410E" w:rsidRDefault="00CE7F43">
      <w:pPr>
        <w:pStyle w:val="Author-eListParagraph"/>
        <w:numPr>
          <w:ilvl w:val="0"/>
          <w:numId w:val="150"/>
        </w:numPr>
      </w:pPr>
      <w:r>
        <w:t xml:space="preserve">Dénomination de référence, suivant la [NBN EN 12440] : </w:t>
      </w:r>
      <w:r>
        <w:rPr>
          <w:rStyle w:val="optioncarChar"/>
        </w:rPr>
        <w:t>***</w:t>
      </w:r>
    </w:p>
    <w:p w14:paraId="32114A02" w14:textId="77777777" w:rsidR="00DF410E" w:rsidRDefault="00CE7F43">
      <w:pPr>
        <w:pStyle w:val="Author-eListParagraph"/>
        <w:numPr>
          <w:ilvl w:val="0"/>
          <w:numId w:val="150"/>
        </w:numPr>
      </w:pPr>
      <w:r>
        <w:t xml:space="preserve">Masse volumique sèche apparente ρ (rho), en kg/m³ ≥ </w:t>
      </w:r>
      <w:r>
        <w:rPr>
          <w:rStyle w:val="optioncarChar"/>
        </w:rPr>
        <w:t>***</w:t>
      </w:r>
    </w:p>
    <w:p w14:paraId="5C50ED97" w14:textId="77777777" w:rsidR="00DF410E" w:rsidRDefault="00CE7F43">
      <w:pPr>
        <w:pStyle w:val="Author-eListParagraph"/>
        <w:numPr>
          <w:ilvl w:val="0"/>
          <w:numId w:val="150"/>
        </w:numPr>
      </w:pPr>
      <w:r>
        <w:t>Porosité ouverte, en vol. % ≤ </w:t>
      </w:r>
      <w:r>
        <w:rPr>
          <w:rStyle w:val="optioncarChar"/>
        </w:rPr>
        <w:t>***</w:t>
      </w:r>
    </w:p>
    <w:p w14:paraId="27B7A2E8" w14:textId="77777777" w:rsidR="00DF410E" w:rsidRDefault="00CE7F43">
      <w:pPr>
        <w:pStyle w:val="Author-eListParagraph"/>
        <w:numPr>
          <w:ilvl w:val="0"/>
          <w:numId w:val="150"/>
        </w:numPr>
      </w:pPr>
      <w:r>
        <w:t xml:space="preserve">Résistance en compression normalisée moyenne (fb) ≥ </w:t>
      </w:r>
      <w:r>
        <w:rPr>
          <w:rStyle w:val="optioncarChar"/>
        </w:rPr>
        <w:t xml:space="preserve">voir l’étude du bureau de stabilité </w:t>
      </w:r>
      <w:r>
        <w:t xml:space="preserve">(par défaut) </w:t>
      </w:r>
      <w:r>
        <w:rPr>
          <w:rStyle w:val="optioncarChar"/>
        </w:rPr>
        <w:t>/ ***</w:t>
      </w:r>
      <w:r>
        <w:t> N/mm² (MPa)</w:t>
      </w:r>
    </w:p>
    <w:p w14:paraId="4AF16B15" w14:textId="77777777" w:rsidR="00DF410E" w:rsidRDefault="00CE7F43">
      <w:pPr>
        <w:pStyle w:val="Author-eListParagraph"/>
        <w:numPr>
          <w:ilvl w:val="0"/>
          <w:numId w:val="150"/>
        </w:numPr>
      </w:pPr>
      <w:r>
        <w:t xml:space="preserve">Résistance au gel, selon la [NBN B 27-009]  ≥ </w:t>
      </w:r>
      <w:r>
        <w:rPr>
          <w:rStyle w:val="optioncarChar"/>
        </w:rPr>
        <w:t>400 / 500 / 650</w:t>
      </w:r>
      <w:r>
        <w:t xml:space="preserve"> (par défaut)</w:t>
      </w:r>
      <w:r>
        <w:rPr>
          <w:rStyle w:val="optioncarChar"/>
        </w:rPr>
        <w:t xml:space="preserve"> / ***</w:t>
      </w:r>
      <w:r>
        <w:t xml:space="preserve"> mm Hg</w:t>
      </w:r>
    </w:p>
    <w:p w14:paraId="2AA5E570" w14:textId="77777777" w:rsidR="00DF410E" w:rsidRDefault="00CE7F43">
      <w:pPr>
        <w:pStyle w:val="Author-eListParagraph"/>
        <w:numPr>
          <w:ilvl w:val="0"/>
          <w:numId w:val="150"/>
        </w:numPr>
      </w:pPr>
      <w:r>
        <w:t>Réaction au feu selon la [NBN EN 13501-1] : A1</w:t>
      </w:r>
    </w:p>
    <w:p w14:paraId="395FC73D" w14:textId="77777777" w:rsidR="00DF410E" w:rsidRDefault="00CE7F43">
      <w:pPr>
        <w:pStyle w:val="Author-eListParagraph"/>
        <w:numPr>
          <w:ilvl w:val="0"/>
          <w:numId w:val="150"/>
        </w:numPr>
      </w:pPr>
      <w:r>
        <w:t xml:space="preserve">Résistance au feu, selon la [NBN EN 13501-2] : </w:t>
      </w:r>
      <w:r>
        <w:rPr>
          <w:rStyle w:val="optioncarChar"/>
        </w:rPr>
        <w:t>pas d’application / R30 / R60</w:t>
      </w:r>
      <w:r>
        <w:t xml:space="preserve"> (par défaut)</w:t>
      </w:r>
      <w:r>
        <w:rPr>
          <w:rStyle w:val="optioncarChar"/>
        </w:rPr>
        <w:t xml:space="preserve"> / R90 / R120</w:t>
      </w:r>
    </w:p>
    <w:p w14:paraId="2A6B48ED" w14:textId="77777777" w:rsidR="00DF410E" w:rsidRDefault="00CE7F43">
      <w:pPr>
        <w:jc w:val="both"/>
      </w:pPr>
      <w:r>
        <w:t>En cas d’application, cette résistance au feu est atteinte sans traitement particulier. Elle est démontrée par test au feu selon la [NBN EN 13501-2].</w:t>
      </w:r>
    </w:p>
    <w:p w14:paraId="70D976CC" w14:textId="77777777" w:rsidR="00DF410E" w:rsidRDefault="00CE7F43">
      <w:pPr>
        <w:pStyle w:val="pheading"/>
      </w:pPr>
      <w:r>
        <w:t>- Finitions</w:t>
      </w:r>
    </w:p>
    <w:p w14:paraId="61AF73FB" w14:textId="77777777" w:rsidR="00DF410E" w:rsidRDefault="00CE7F43">
      <w:pPr>
        <w:jc w:val="both"/>
      </w:pPr>
      <w:r>
        <w:t xml:space="preserve">Face visible : </w:t>
      </w:r>
      <w:r>
        <w:rPr>
          <w:rStyle w:val="optioncarChar"/>
        </w:rPr>
        <w:t xml:space="preserve">taille grossière </w:t>
      </w:r>
      <w:r>
        <w:t>(par défaut)</w:t>
      </w:r>
      <w:r>
        <w:rPr>
          <w:rStyle w:val="optioncarChar"/>
        </w:rPr>
        <w:t xml:space="preserve"> / taille fine / lisse</w:t>
      </w:r>
    </w:p>
    <w:p w14:paraId="23015866" w14:textId="77777777" w:rsidR="00DF410E" w:rsidRDefault="00CE7F43">
      <w:pPr>
        <w:jc w:val="both"/>
      </w:pPr>
      <w:r>
        <w:rPr>
          <w:b/>
        </w:rPr>
        <w:t>(soit par défaut)</w:t>
      </w:r>
    </w:p>
    <w:p w14:paraId="05A91055" w14:textId="77777777" w:rsidR="00DF410E" w:rsidRDefault="00CE7F43">
      <w:pPr>
        <w:jc w:val="both"/>
      </w:pPr>
      <w:r>
        <w:rPr>
          <w:rStyle w:val="soitChar"/>
          <w:u w:val="single"/>
        </w:rPr>
        <w:t>Taille grossière </w:t>
      </w:r>
      <w:r>
        <w:rPr>
          <w:rStyle w:val="soitChar"/>
        </w:rPr>
        <w:t>: Type :</w:t>
      </w:r>
      <w:r>
        <w:rPr>
          <w:rStyle w:val="optioncarChar"/>
        </w:rPr>
        <w:t>clivé</w:t>
      </w:r>
      <w:r>
        <w:t xml:space="preserve"> (par défaut)</w:t>
      </w:r>
      <w:r>
        <w:rPr>
          <w:rStyle w:val="optioncarChar"/>
        </w:rPr>
        <w:t xml:space="preserve"> / piqueté / strié / sclypé (layé) / sablé / gradiné / flammé</w:t>
      </w:r>
    </w:p>
    <w:p w14:paraId="41E44719" w14:textId="77777777" w:rsidR="00DF410E" w:rsidRDefault="00CE7F43">
      <w:pPr>
        <w:jc w:val="both"/>
      </w:pPr>
      <w:r>
        <w:rPr>
          <w:b/>
        </w:rPr>
        <w:t>(soit)</w:t>
      </w:r>
    </w:p>
    <w:p w14:paraId="6D886917" w14:textId="77777777" w:rsidR="00DF410E" w:rsidRDefault="00CE7F43">
      <w:pPr>
        <w:jc w:val="both"/>
      </w:pPr>
      <w:r>
        <w:rPr>
          <w:rStyle w:val="soitChar"/>
          <w:u w:val="single"/>
        </w:rPr>
        <w:t>Taille fine :</w:t>
      </w:r>
      <w:r>
        <w:rPr>
          <w:rStyle w:val="soitChar"/>
        </w:rPr>
        <w:t xml:space="preserve"> Type :</w:t>
      </w:r>
      <w:r>
        <w:rPr>
          <w:rStyle w:val="optioncarChar"/>
        </w:rPr>
        <w:t>taille ancienne mécanique</w:t>
      </w:r>
      <w:r>
        <w:t xml:space="preserve"> (par défaut)</w:t>
      </w:r>
      <w:r>
        <w:rPr>
          <w:rStyle w:val="optioncarChar"/>
        </w:rPr>
        <w:t xml:space="preserve"> / taille ancienne manuelle / givré / ciselé manuel / ciselé mécanique / sbattu / bouchardé manuel / bouchardé mécanique</w:t>
      </w:r>
    </w:p>
    <w:p w14:paraId="25347D7C" w14:textId="77777777" w:rsidR="00DF410E" w:rsidRDefault="00CE7F43">
      <w:pPr>
        <w:jc w:val="both"/>
      </w:pPr>
      <w:r>
        <w:rPr>
          <w:b/>
        </w:rPr>
        <w:t>(soit)</w:t>
      </w:r>
    </w:p>
    <w:p w14:paraId="69BEC7B3" w14:textId="77777777" w:rsidR="00DF410E" w:rsidRDefault="00CE7F43">
      <w:pPr>
        <w:jc w:val="both"/>
      </w:pPr>
      <w:r>
        <w:rPr>
          <w:rStyle w:val="soitChar"/>
          <w:u w:val="single"/>
        </w:rPr>
        <w:t>Lisse :</w:t>
      </w:r>
      <w:r>
        <w:rPr>
          <w:rStyle w:val="soitChar"/>
        </w:rPr>
        <w:t xml:space="preserve"> Type :</w:t>
      </w:r>
      <w:r>
        <w:rPr>
          <w:rStyle w:val="optioncarChar"/>
        </w:rPr>
        <w:t xml:space="preserve">adouci </w:t>
      </w:r>
      <w:r>
        <w:t>(par défaut)</w:t>
      </w:r>
      <w:r>
        <w:rPr>
          <w:rStyle w:val="optioncarChar"/>
        </w:rPr>
        <w:t xml:space="preserve"> / scié / meulé-écuré / poli</w:t>
      </w:r>
    </w:p>
    <w:p w14:paraId="57000D12" w14:textId="77777777" w:rsidR="00DF410E" w:rsidRDefault="00CE7F43">
      <w:pPr>
        <w:jc w:val="both"/>
      </w:pPr>
      <w:r>
        <w:t>Les piliers sont rejointoyés </w:t>
      </w:r>
      <w:r>
        <w:rPr>
          <w:rStyle w:val="optioncarChar"/>
        </w:rPr>
        <w:t xml:space="preserve">à posteriori (décrit et comptabilisé au </w:t>
      </w:r>
      <w:hyperlink w:anchor="378" w:history="1">
        <w:r>
          <w:rPr>
            <w:rStyle w:val="optioncarChar"/>
          </w:rPr>
          <w:t>21.61.1 Rejointoyage</w:t>
        </w:r>
      </w:hyperlink>
      <w:r>
        <w:t> </w:t>
      </w:r>
      <w:r>
        <w:rPr>
          <w:rStyle w:val="optioncarChar"/>
        </w:rPr>
        <w:t>et éléments qui en découlent)</w:t>
      </w:r>
      <w:r>
        <w:t xml:space="preserve"> (par défaut) </w:t>
      </w:r>
      <w:r>
        <w:rPr>
          <w:rStyle w:val="optioncarChar"/>
        </w:rPr>
        <w:t>/ en montant (compris dans le présent travail)</w:t>
      </w:r>
      <w:r>
        <w:t>.</w:t>
      </w:r>
    </w:p>
    <w:p w14:paraId="38024CB9" w14:textId="77777777" w:rsidR="00DF410E" w:rsidRDefault="00CE7F43">
      <w:pPr>
        <w:pStyle w:val="pheading"/>
      </w:pPr>
      <w:r>
        <w:t>EXÉCUTION / MISE EN ŒUVRE</w:t>
      </w:r>
    </w:p>
    <w:p w14:paraId="4B461F3C" w14:textId="77777777" w:rsidR="00DF410E" w:rsidRDefault="00CE7F43">
      <w:pPr>
        <w:pStyle w:val="pheading"/>
      </w:pPr>
      <w:r>
        <w:t>- Prescriptions générales</w:t>
      </w:r>
    </w:p>
    <w:p w14:paraId="5C292C51" w14:textId="77777777" w:rsidR="00DF410E" w:rsidRDefault="00CE7F43">
      <w:pPr>
        <w:jc w:val="both"/>
      </w:pPr>
      <w:r>
        <w:rPr>
          <w:b/>
        </w:rPr>
        <w:t>Pierres</w:t>
      </w:r>
    </w:p>
    <w:p w14:paraId="3296125E" w14:textId="77777777" w:rsidR="00DF410E" w:rsidRDefault="00CE7F43">
      <w:pPr>
        <w:jc w:val="both"/>
      </w:pPr>
      <w:r>
        <w:t>Les pierres sont exécutées d'aplomb, d'équerre et de la façon la plus plane possible. Les faces de parement présentent des arêtes droites sans épaufrures ou écornures. Les pierres ciselées sont toutes posées avec le ciselage dans le même sens.</w:t>
      </w:r>
    </w:p>
    <w:p w14:paraId="424B6C0D" w14:textId="77777777" w:rsidR="00DF410E" w:rsidRDefault="00CE7F43">
      <w:pPr>
        <w:jc w:val="both"/>
      </w:pPr>
      <w:r>
        <w:t>Les faces de pose et les joints sont bien lissés dans le plan de la maçonnerie.</w:t>
      </w:r>
    </w:p>
    <w:p w14:paraId="627D08A3" w14:textId="77777777" w:rsidR="00DF410E" w:rsidRDefault="00CE7F43">
      <w:pPr>
        <w:jc w:val="both"/>
      </w:pPr>
      <w:r>
        <w:t>Toutes les précautions sont prises pour que les pierres de taille aient et conservent un aspect soigné et propre.</w:t>
      </w:r>
    </w:p>
    <w:p w14:paraId="71C12DDA" w14:textId="77777777" w:rsidR="00DF410E" w:rsidRDefault="00CE7F43">
      <w:pPr>
        <w:jc w:val="both"/>
      </w:pPr>
      <w:r>
        <w:t xml:space="preserve">Les pierres sont </w:t>
      </w:r>
      <w:r>
        <w:rPr>
          <w:rStyle w:val="optioncarChar"/>
        </w:rPr>
        <w:t>maçonnées au mortier</w:t>
      </w:r>
      <w:r>
        <w:t xml:space="preserve"> (par défaut) </w:t>
      </w:r>
      <w:r>
        <w:rPr>
          <w:rStyle w:val="optioncarChar"/>
        </w:rPr>
        <w:t>/ collées au mortier-colle</w:t>
      </w:r>
      <w:r>
        <w:t>.</w:t>
      </w:r>
    </w:p>
    <w:p w14:paraId="1B08FFD4" w14:textId="77777777" w:rsidR="00DF410E" w:rsidRDefault="00CE7F43">
      <w:pPr>
        <w:jc w:val="both"/>
      </w:pPr>
      <w:r>
        <w:t xml:space="preserve">Le mortier de pose répond à la catégorie, selon la [NBN EN 998-2] : </w:t>
      </w:r>
      <w:r>
        <w:rPr>
          <w:rStyle w:val="optioncarChar"/>
        </w:rPr>
        <w:t>M10 / M15</w:t>
      </w:r>
      <w:r>
        <w:t xml:space="preserve"> (par défaut)</w:t>
      </w:r>
      <w:r>
        <w:rPr>
          <w:rStyle w:val="optioncarChar"/>
        </w:rPr>
        <w:t xml:space="preserve"> / M20 / ***</w:t>
      </w:r>
    </w:p>
    <w:p w14:paraId="434B36C4" w14:textId="77777777" w:rsidR="00DF410E" w:rsidRDefault="00CE7F43">
      <w:pPr>
        <w:jc w:val="both"/>
      </w:pPr>
      <w:r>
        <w:t xml:space="preserve">L'épaisseur des joints est ≥ </w:t>
      </w:r>
      <w:r>
        <w:rPr>
          <w:rStyle w:val="optioncarChar"/>
        </w:rPr>
        <w:t xml:space="preserve">3 mm / 5 mm / 10 mm / adaptée en fonction des pierres </w:t>
      </w:r>
      <w:r>
        <w:t>(par défaut)</w:t>
      </w:r>
      <w:r>
        <w:rPr>
          <w:rStyle w:val="optioncarChar"/>
        </w:rPr>
        <w:t xml:space="preserve"> / sans joint.</w:t>
      </w:r>
    </w:p>
    <w:p w14:paraId="3780D35F" w14:textId="77777777" w:rsidR="00DF410E" w:rsidRDefault="00CE7F43">
      <w:pPr>
        <w:jc w:val="both"/>
      </w:pPr>
      <w:r>
        <w:t xml:space="preserve">Isolation contre l'humidité, selon la description des éléments qui découlent du </w:t>
      </w:r>
      <w:hyperlink w:anchor="354" w:history="1">
        <w:r>
          <w:t>26.11 Feuilles et membranes d'étanchéité à l'eau</w:t>
        </w:r>
      </w:hyperlink>
      <w:r>
        <w:t xml:space="preserve"> : </w:t>
      </w:r>
      <w:r>
        <w:rPr>
          <w:rStyle w:val="optioncarChar"/>
        </w:rPr>
        <w:t xml:space="preserve">oui </w:t>
      </w:r>
      <w:r>
        <w:t>(par défaut)</w:t>
      </w:r>
      <w:r>
        <w:rPr>
          <w:rStyle w:val="optioncarChar"/>
        </w:rPr>
        <w:t xml:space="preserve"> / non</w:t>
      </w:r>
    </w:p>
    <w:p w14:paraId="6439B901" w14:textId="77777777" w:rsidR="00DF410E" w:rsidRDefault="00CE7F43">
      <w:pPr>
        <w:jc w:val="both"/>
      </w:pPr>
      <w:r>
        <w:t xml:space="preserve">Les piliers sont pourvus d'armatures horizontales selon la description des éléments qui découlent du </w:t>
      </w:r>
      <w:hyperlink w:anchor="355" w:history="1">
        <w:r>
          <w:t>21.41.1 Armatures horizontales pour maçonneries</w:t>
        </w:r>
      </w:hyperlink>
      <w:r>
        <w:t xml:space="preserve"> : </w:t>
      </w:r>
      <w:r>
        <w:rPr>
          <w:rStyle w:val="optioncarChar"/>
        </w:rPr>
        <w:t>oui</w:t>
      </w:r>
      <w:r>
        <w:t xml:space="preserve"> (par défaut)</w:t>
      </w:r>
      <w:r>
        <w:rPr>
          <w:rStyle w:val="optioncarChar"/>
        </w:rPr>
        <w:t xml:space="preserve"> / non</w:t>
      </w:r>
    </w:p>
    <w:p w14:paraId="157B3EDF" w14:textId="77777777" w:rsidR="00DF410E" w:rsidRDefault="00CE7F43">
      <w:pPr>
        <w:jc w:val="both"/>
      </w:pPr>
      <w:r>
        <w:t xml:space="preserve">Les piliers sont pourvus d'armatures verticales selon la description des éléments qui découlent du </w:t>
      </w:r>
      <w:hyperlink w:anchor="356" w:history="1">
        <w:r>
          <w:t>21.41.2 Armatures verticales pour maçonneries</w:t>
        </w:r>
      </w:hyperlink>
      <w:r>
        <w:t xml:space="preserve"> : </w:t>
      </w:r>
      <w:r>
        <w:rPr>
          <w:rStyle w:val="optioncarChar"/>
        </w:rPr>
        <w:t xml:space="preserve">non </w:t>
      </w:r>
      <w:r>
        <w:t xml:space="preserve">(par défaut) </w:t>
      </w:r>
      <w:r>
        <w:rPr>
          <w:rStyle w:val="optioncarChar"/>
        </w:rPr>
        <w:t>/ oui</w:t>
      </w:r>
    </w:p>
    <w:p w14:paraId="3427ACE1" w14:textId="77777777" w:rsidR="00DF410E" w:rsidRDefault="00CE7F43">
      <w:pPr>
        <w:pStyle w:val="pheading"/>
      </w:pPr>
      <w:r>
        <w:t>- Échantillons</w:t>
      </w:r>
    </w:p>
    <w:p w14:paraId="71201298" w14:textId="77777777" w:rsidR="00DF410E" w:rsidRDefault="00CE7F43">
      <w:pPr>
        <w:jc w:val="both"/>
      </w:pPr>
      <w:r>
        <w:t>L'entrepreneur soumet un échantillon, la fiche technique et la déclaration des performances (DoP) du matériau pour approbation à l'auteur de projet et au maître de l’ouvrage avant exécution.</w:t>
      </w:r>
    </w:p>
    <w:p w14:paraId="76764FC5" w14:textId="77777777" w:rsidR="00DF410E" w:rsidRDefault="00CE7F43">
      <w:pPr>
        <w:pStyle w:val="pheading"/>
      </w:pPr>
      <w:r>
        <w:t>CONTRÔLES PARTICULIERS</w:t>
      </w:r>
    </w:p>
    <w:p w14:paraId="33DF30D4" w14:textId="77777777" w:rsidR="00DF410E" w:rsidRDefault="00CE7F43">
      <w:pPr>
        <w:jc w:val="both"/>
      </w:pPr>
      <w:r>
        <w:t>Toute pierre qui est fêlée, écornée ou dont les arêtes sont épaufrées est refusée et remplacée par et aux frais de l'entrepreneur.</w:t>
      </w:r>
    </w:p>
    <w:p w14:paraId="1460FD06" w14:textId="77777777" w:rsidR="00DF410E" w:rsidRDefault="00CE7F43">
      <w:pPr>
        <w:pStyle w:val="pheading"/>
      </w:pPr>
      <w:r>
        <w:t>DOCUMENTS DE RÉFÉRENCE COMPLÉMENTAIRES</w:t>
      </w:r>
    </w:p>
    <w:p w14:paraId="67D79802" w14:textId="77777777" w:rsidR="00DF410E" w:rsidRDefault="00CE7F43">
      <w:pPr>
        <w:pStyle w:val="pheading"/>
      </w:pPr>
      <w:r>
        <w:t>- Matériau</w:t>
      </w:r>
    </w:p>
    <w:p w14:paraId="54EF73D8" w14:textId="77777777" w:rsidR="00DF410E" w:rsidRDefault="00CE7F43">
      <w:r>
        <w:t>[NBN EN 12440, Pierres naturelles - Critères de dénomination]</w:t>
      </w:r>
    </w:p>
    <w:p w14:paraId="013C0DA0" w14:textId="77777777" w:rsidR="00DF410E" w:rsidRDefault="00CE7F43">
      <w:r>
        <w:t>[NIT 228] Pierres naturelles</w:t>
      </w:r>
    </w:p>
    <w:p w14:paraId="77E352AB" w14:textId="77777777" w:rsidR="00DF410E" w:rsidRDefault="00CE7F43">
      <w:r>
        <w:t>[PTV 844, Classifications des roches]</w:t>
      </w:r>
    </w:p>
    <w:p w14:paraId="66E75604" w14:textId="77777777" w:rsidR="00DF410E" w:rsidRDefault="00CE7F43">
      <w:pPr>
        <w:pStyle w:val="pheading"/>
      </w:pPr>
      <w:r>
        <w:t>MESURAGE</w:t>
      </w:r>
    </w:p>
    <w:p w14:paraId="53DBD269" w14:textId="77777777" w:rsidR="00DF410E" w:rsidRDefault="00CE7F43">
      <w:pPr>
        <w:pStyle w:val="pheading"/>
      </w:pPr>
      <w:r>
        <w:t>- unité de mesure:</w:t>
      </w:r>
    </w:p>
    <w:p w14:paraId="3323E2C2" w14:textId="77777777" w:rsidR="00DF410E" w:rsidRDefault="00CE7F43">
      <w:r>
        <w:t>m³</w:t>
      </w:r>
    </w:p>
    <w:p w14:paraId="02BEF370" w14:textId="77777777" w:rsidR="00DF410E" w:rsidRDefault="00CE7F43">
      <w:pPr>
        <w:pStyle w:val="pheading"/>
      </w:pPr>
      <w:r>
        <w:t>- code de mesurage:</w:t>
      </w:r>
    </w:p>
    <w:p w14:paraId="728DC3AF" w14:textId="77777777" w:rsidR="00DF410E" w:rsidRDefault="00CE7F43">
      <w:r>
        <w:t>Volume net à mettre en œuvre.</w:t>
      </w:r>
    </w:p>
    <w:p w14:paraId="43991307" w14:textId="77777777" w:rsidR="00DF410E" w:rsidRDefault="00CE7F43">
      <w:pPr>
        <w:pStyle w:val="pheading"/>
      </w:pPr>
      <w:r>
        <w:t>- nature du marché:</w:t>
      </w:r>
    </w:p>
    <w:p w14:paraId="627BC716" w14:textId="77777777" w:rsidR="00DF410E" w:rsidRDefault="00CE7F43">
      <w:r>
        <w:t>QF</w:t>
      </w:r>
    </w:p>
    <w:p w14:paraId="41918523" w14:textId="77777777" w:rsidR="00DF410E" w:rsidRDefault="00CE7F43">
      <w:pPr>
        <w:pStyle w:val="pheading"/>
      </w:pPr>
      <w:r>
        <w:t>AIDE</w:t>
      </w:r>
    </w:p>
    <w:p w14:paraId="06AD6A02" w14:textId="77777777" w:rsidR="00DF410E" w:rsidRDefault="00CE7F43">
      <w:r>
        <w:t>Consulter les fiches techniques de la [NIT 228] pour  compléter les caractéristiques des pierres.</w:t>
      </w:r>
    </w:p>
    <w:p w14:paraId="45C87D7B" w14:textId="77777777" w:rsidR="00DF410E" w:rsidRDefault="00CE7F43">
      <w:pPr>
        <w:pStyle w:val="Author-eSectionHeading5"/>
      </w:pPr>
      <w:bookmarkStart w:id="122" w:name="_Toc178837379"/>
      <w:r>
        <w:t>21.15.4 Socles et embases CCTB 01.02</w:t>
      </w:r>
      <w:bookmarkEnd w:id="122"/>
    </w:p>
    <w:p w14:paraId="3782BEB6" w14:textId="77777777" w:rsidR="00DF410E" w:rsidRDefault="00CE7F43">
      <w:pPr>
        <w:pStyle w:val="Author-eSectionHeading6"/>
      </w:pPr>
      <w:bookmarkStart w:id="123" w:name="1512"/>
      <w:bookmarkStart w:id="124" w:name="_Toc178837380"/>
      <w:bookmarkEnd w:id="123"/>
      <w:r>
        <w:t>21.15.4a Socles et embases en briques de terre cuite CCTB 01.04</w:t>
      </w:r>
      <w:bookmarkEnd w:id="124"/>
    </w:p>
    <w:p w14:paraId="2DDB1C97" w14:textId="77777777" w:rsidR="00DF410E" w:rsidRDefault="00CE7F43">
      <w:pPr>
        <w:pStyle w:val="pheading"/>
      </w:pPr>
      <w:r>
        <w:t>AIDE</w:t>
      </w:r>
    </w:p>
    <w:p w14:paraId="49E4A9D7" w14:textId="77777777" w:rsidR="00DF410E" w:rsidRDefault="00CE7F43">
      <w:r>
        <w:t>À l'attention de l'auteur de projet</w:t>
      </w:r>
    </w:p>
    <w:p w14:paraId="645486E7" w14:textId="77777777" w:rsidR="00DF410E" w:rsidRDefault="00CE7F43">
      <w:r>
        <w:t>- Les socles en maçonnerie ne sont plus que rarement appliqués. Il est plus usuel de réaliser des revêtements à l'aide de matériaux en plaques.</w:t>
      </w:r>
    </w:p>
    <w:p w14:paraId="19C8380B" w14:textId="77777777" w:rsidR="00DF410E" w:rsidRDefault="00CE7F43">
      <w:pPr>
        <w:pStyle w:val="Author-eSectionHeading6"/>
      </w:pPr>
      <w:bookmarkStart w:id="125" w:name="_Toc178837381"/>
      <w:r>
        <w:t>21.15.4b Socles et embases en briques de béton CCTB 01.04</w:t>
      </w:r>
      <w:bookmarkEnd w:id="125"/>
    </w:p>
    <w:p w14:paraId="311AB598" w14:textId="77777777" w:rsidR="00DF410E" w:rsidRDefault="00CE7F43">
      <w:pPr>
        <w:pStyle w:val="pheading"/>
      </w:pPr>
      <w:r>
        <w:t>AIDE</w:t>
      </w:r>
    </w:p>
    <w:p w14:paraId="68B55984" w14:textId="77777777" w:rsidR="00DF410E" w:rsidRDefault="00CE7F43">
      <w:r>
        <w:t>À l'attention de l'auteur de projet</w:t>
      </w:r>
    </w:p>
    <w:p w14:paraId="1037F9DE" w14:textId="77777777" w:rsidR="00DF410E" w:rsidRDefault="00CE7F43">
      <w:r>
        <w:t>- Les socles en maçonnerie ne sont plus que rarement appliqués. Il est plus usuel de réaliser des revêtements à l'aide de matériaux en plaques.</w:t>
      </w:r>
    </w:p>
    <w:p w14:paraId="4E79761D" w14:textId="77777777" w:rsidR="00DF410E" w:rsidRDefault="00CE7F43">
      <w:pPr>
        <w:pStyle w:val="Author-eSectionHeading6"/>
      </w:pPr>
      <w:bookmarkStart w:id="126" w:name="_Toc178837382"/>
      <w:r>
        <w:t>21.15.4c Socles et embases en blocs de béton CCTB 01.04</w:t>
      </w:r>
      <w:bookmarkEnd w:id="126"/>
    </w:p>
    <w:p w14:paraId="24B526C8" w14:textId="77777777" w:rsidR="00DF410E" w:rsidRDefault="00CE7F43">
      <w:pPr>
        <w:pStyle w:val="Author-eSectionHeading6"/>
      </w:pPr>
      <w:bookmarkStart w:id="127" w:name="_Toc178837383"/>
      <w:r>
        <w:t>21.15.4d Socles et embases en pierre naturelle CCTB 01.02</w:t>
      </w:r>
      <w:bookmarkEnd w:id="127"/>
    </w:p>
    <w:p w14:paraId="549D7DE1" w14:textId="77777777" w:rsidR="00DF410E" w:rsidRDefault="00CE7F43">
      <w:pPr>
        <w:pStyle w:val="Author-eSectionHeading5"/>
      </w:pPr>
      <w:bookmarkStart w:id="128" w:name="_Toc178837384"/>
      <w:r>
        <w:t>21.15.5 Voûtes et voussettes CCTB 01.02</w:t>
      </w:r>
      <w:bookmarkEnd w:id="128"/>
    </w:p>
    <w:p w14:paraId="38F2F58F" w14:textId="77777777" w:rsidR="00DF410E" w:rsidRDefault="00CE7F43">
      <w:pPr>
        <w:pStyle w:val="Author-eSectionHeading6"/>
      </w:pPr>
      <w:bookmarkStart w:id="129" w:name="_Toc178837385"/>
      <w:r>
        <w:t>21.15.5a Voûtes et voussettes en briques de terre cuite CCTB 01.04</w:t>
      </w:r>
      <w:bookmarkEnd w:id="129"/>
    </w:p>
    <w:p w14:paraId="5BC33A1A" w14:textId="77777777" w:rsidR="00DF410E" w:rsidRDefault="00CE7F43">
      <w:pPr>
        <w:pStyle w:val="Author-eSectionHeading6"/>
      </w:pPr>
      <w:bookmarkStart w:id="130" w:name="_Toc178837386"/>
      <w:r>
        <w:t>21.15.5b Voûtes et voussettes en briques de béton CCTB 01.04</w:t>
      </w:r>
      <w:bookmarkEnd w:id="130"/>
    </w:p>
    <w:p w14:paraId="6B98D866" w14:textId="77777777" w:rsidR="00DF410E" w:rsidRDefault="00CE7F43">
      <w:pPr>
        <w:pStyle w:val="Author-eSectionHeading6"/>
      </w:pPr>
      <w:bookmarkStart w:id="131" w:name="_Toc178837387"/>
      <w:r>
        <w:t>21.15.5c Voûtes et voussettes en pierre naturelle CCTB 01.02</w:t>
      </w:r>
      <w:bookmarkEnd w:id="131"/>
    </w:p>
    <w:p w14:paraId="61B2C2E7" w14:textId="77777777" w:rsidR="00DF410E" w:rsidRDefault="00CE7F43">
      <w:pPr>
        <w:pStyle w:val="Author-eSectionHeading5"/>
      </w:pPr>
      <w:bookmarkStart w:id="132" w:name="_Toc178837388"/>
      <w:r>
        <w:t>21.15.6 Arcs CCTB 01.02</w:t>
      </w:r>
      <w:bookmarkEnd w:id="132"/>
    </w:p>
    <w:p w14:paraId="21EC0FE1" w14:textId="77777777" w:rsidR="00DF410E" w:rsidRDefault="00CE7F43">
      <w:pPr>
        <w:pStyle w:val="Author-eSectionHeading6"/>
      </w:pPr>
      <w:bookmarkStart w:id="133" w:name="_Toc178837389"/>
      <w:r>
        <w:t>21.15.6a Arcs en briques de terre cuite CCTB 01.04</w:t>
      </w:r>
      <w:bookmarkEnd w:id="133"/>
    </w:p>
    <w:p w14:paraId="7829FD28" w14:textId="77777777" w:rsidR="00DF410E" w:rsidRDefault="00CE7F43">
      <w:pPr>
        <w:pStyle w:val="Author-eSectionHeading6"/>
      </w:pPr>
      <w:bookmarkStart w:id="134" w:name="_Toc178837390"/>
      <w:r>
        <w:t>21.15.6b Arcs en briques de béton CCTB 01.04</w:t>
      </w:r>
      <w:bookmarkEnd w:id="134"/>
    </w:p>
    <w:p w14:paraId="7DE1E03D" w14:textId="77777777" w:rsidR="00DF410E" w:rsidRDefault="00CE7F43">
      <w:pPr>
        <w:pStyle w:val="Author-eSectionHeading6"/>
      </w:pPr>
      <w:bookmarkStart w:id="135" w:name="_Toc178837391"/>
      <w:r>
        <w:t>21.15.6c Arcs en pierre naturelle CCTB 01.02</w:t>
      </w:r>
      <w:bookmarkEnd w:id="135"/>
    </w:p>
    <w:p w14:paraId="5D6475FA" w14:textId="77777777" w:rsidR="00DF410E" w:rsidRDefault="00CE7F43">
      <w:pPr>
        <w:pStyle w:val="Author-eSectionHeading3"/>
      </w:pPr>
      <w:bookmarkStart w:id="136" w:name="_Toc178837392"/>
      <w:r>
        <w:t>21.2 Maçonneries non portantes CCTB 01.09</w:t>
      </w:r>
      <w:bookmarkEnd w:id="136"/>
    </w:p>
    <w:p w14:paraId="720ECE5C" w14:textId="77777777" w:rsidR="00DF410E" w:rsidRDefault="00CE7F43">
      <w:pPr>
        <w:pStyle w:val="pheading"/>
      </w:pPr>
      <w:bookmarkStart w:id="137" w:name="381"/>
      <w:bookmarkEnd w:id="137"/>
      <w:r>
        <w:t>DESCRIPTION</w:t>
      </w:r>
    </w:p>
    <w:p w14:paraId="3D0F97C2" w14:textId="77777777" w:rsidR="00DF410E" w:rsidRDefault="00CE7F43">
      <w:pPr>
        <w:pStyle w:val="pheading"/>
      </w:pPr>
      <w:r>
        <w:t>- Définition / Comprend</w:t>
      </w:r>
    </w:p>
    <w:p w14:paraId="1A3DBC87" w14:textId="77777777" w:rsidR="00DF410E" w:rsidRDefault="00CE7F43">
      <w:r>
        <w:t xml:space="preserve">Ce poste comprend tous les éléments, travaux et fournitures pour la réalisation des murs intérieurs non-porteurs en maçonnerie (cloisons). </w:t>
      </w:r>
    </w:p>
    <w:p w14:paraId="4D7652B8" w14:textId="77777777" w:rsidR="00DF410E" w:rsidRDefault="00CE7F43">
      <w:pPr>
        <w:pStyle w:val="pheading"/>
      </w:pPr>
      <w:r>
        <w:t>EXÉCUTION / MISE EN ŒUVRE</w:t>
      </w:r>
    </w:p>
    <w:p w14:paraId="4F504837" w14:textId="77777777" w:rsidR="00DF410E" w:rsidRDefault="00CE7F43">
      <w:pPr>
        <w:spacing w:line="259" w:lineRule="auto"/>
      </w:pPr>
      <w:r>
        <w:rPr>
          <w:rStyle w:val="normalChar"/>
          <w:color w:val="000000"/>
        </w:rPr>
        <w:t>Les murs non porteurs sont érigés indépendamment de la construction porteuse adjacente. Les connexions des murs non porteurs avec d’autres éléments de la structure porteuse répondent aux exigences nécessaires par rapport à la résistance au feu et permettent suffisamment de liberté de mouvement.</w:t>
      </w:r>
    </w:p>
    <w:p w14:paraId="55EF4AFC" w14:textId="77777777" w:rsidR="00DF410E" w:rsidRDefault="00CE7F43">
      <w:pPr>
        <w:pStyle w:val="Author-eSectionHeading4"/>
      </w:pPr>
      <w:bookmarkStart w:id="138" w:name="_Toc178837393"/>
      <w:r>
        <w:t>21.21 Maçonneries non portantes en briques CCTB 01.02</w:t>
      </w:r>
      <w:bookmarkEnd w:id="138"/>
    </w:p>
    <w:p w14:paraId="581C79B1" w14:textId="77777777" w:rsidR="00DF410E" w:rsidRDefault="00CE7F43">
      <w:pPr>
        <w:pStyle w:val="Author-eSectionHeading5"/>
      </w:pPr>
      <w:bookmarkStart w:id="139" w:name="456"/>
      <w:bookmarkStart w:id="140" w:name="_Toc178837394"/>
      <w:bookmarkEnd w:id="139"/>
      <w:r>
        <w:t>21.21.1 Maçonneries non portantes en briques de terre cuite CCTB 01.11</w:t>
      </w:r>
      <w:bookmarkEnd w:id="140"/>
    </w:p>
    <w:p w14:paraId="57755477" w14:textId="77777777" w:rsidR="00DF410E" w:rsidRDefault="00CE7F43">
      <w:pPr>
        <w:pStyle w:val="pheading"/>
      </w:pPr>
      <w:bookmarkStart w:id="141" w:name="382"/>
      <w:bookmarkEnd w:id="141"/>
      <w:r>
        <w:t>MATÉRIAUX</w:t>
      </w:r>
    </w:p>
    <w:p w14:paraId="4B3638EA" w14:textId="77777777" w:rsidR="00DF410E" w:rsidRDefault="00CE7F43">
      <w:r>
        <w:t>Il s'agit des briques de construction en terre cuite, qui répondent à la norme [NBN EN 771-1+A1] et au [PTV 23-002]. L'entrepreneur soumet un échantillon, la fiche technique et la déclaration des performances (DoP) du matériau pour approbation à l'auteur de projet et au maître de l’ouvrage.</w:t>
      </w:r>
    </w:p>
    <w:p w14:paraId="7A32411F" w14:textId="77777777" w:rsidR="00DF410E" w:rsidRDefault="00CE7F43">
      <w:pPr>
        <w:pStyle w:val="pheading"/>
      </w:pPr>
      <w:r>
        <w:t>EXÉCUTION / MISE EN ŒUVRE</w:t>
      </w:r>
    </w:p>
    <w:p w14:paraId="74F9337A" w14:textId="77777777" w:rsidR="00DF410E" w:rsidRDefault="00CE7F43">
      <w:r>
        <w:t xml:space="preserve">Eléments en terre cuite à utiliser : </w:t>
      </w:r>
      <w:r>
        <w:rPr>
          <w:rStyle w:val="optioncarChar"/>
        </w:rPr>
        <w:t xml:space="preserve">brique U </w:t>
      </w:r>
      <w:r>
        <w:t>(par défaut) </w:t>
      </w:r>
      <w:r>
        <w:rPr>
          <w:rStyle w:val="optioncarChar"/>
        </w:rPr>
        <w:t>/ brique P</w:t>
      </w:r>
      <w:r>
        <w:t xml:space="preserve"> conformément à l'article </w:t>
      </w:r>
      <w:hyperlink w:anchor="293" w:history="1">
        <w:r>
          <w:t>21 Superstructures en maçonnerie</w:t>
        </w:r>
      </w:hyperlink>
      <w:r>
        <w:t xml:space="preserve"> Classification.</w:t>
      </w:r>
    </w:p>
    <w:p w14:paraId="1738BAD8" w14:textId="77777777" w:rsidR="00DF410E" w:rsidRDefault="00CE7F43">
      <w:r>
        <w:t xml:space="preserve">Type : </w:t>
      </w:r>
      <w:r>
        <w:rPr>
          <w:rStyle w:val="optioncarChar"/>
        </w:rPr>
        <w:t>moulées à la main / pleines </w:t>
      </w:r>
      <w:r>
        <w:t xml:space="preserve">(par défaut) </w:t>
      </w:r>
      <w:r>
        <w:rPr>
          <w:rStyle w:val="optioncarChar"/>
        </w:rPr>
        <w:t>/ isolantes / pressées /perforées / étirées / ***</w:t>
      </w:r>
    </w:p>
    <w:p w14:paraId="7664BD1E" w14:textId="77777777" w:rsidR="00DF410E" w:rsidRDefault="00CE7F43">
      <w:r>
        <w:t>Conformément au mode de mise en œuvre, les briques de construction en terre cuite sont maçonnés au mortier / collés à l’aide d’un mortier-colle selon les indications du fabricant de mortier et des notes de calcul du bureau d’études.</w:t>
      </w:r>
    </w:p>
    <w:p w14:paraId="11B82123" w14:textId="77777777" w:rsidR="00DF410E" w:rsidRDefault="00CE7F43">
      <w:r>
        <w:t xml:space="preserve">Le mortier à coller / à maçonner (selon la [NBN EN 998-2] et le règlement d’application [TRA 651] ) répond à la catégorie : </w:t>
      </w:r>
      <w:r>
        <w:rPr>
          <w:rStyle w:val="optioncarChar"/>
        </w:rPr>
        <w:t xml:space="preserve">M10 </w:t>
      </w:r>
      <w:r>
        <w:rPr>
          <w:rStyle w:val="optioncarChar"/>
          <w:color w:val="000000"/>
        </w:rPr>
        <w:t xml:space="preserve">(par défaut) </w:t>
      </w:r>
      <w:r>
        <w:rPr>
          <w:rStyle w:val="optioncarChar"/>
        </w:rPr>
        <w:t>/ M15 / M20 / ***</w:t>
      </w:r>
    </w:p>
    <w:p w14:paraId="5FDBEB4B"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p>
    <w:p w14:paraId="12DE8333" w14:textId="77777777" w:rsidR="00DF410E" w:rsidRDefault="00CE7F43">
      <w:r>
        <w:t>Pour les maçonneries destinées à rester apparentes, seules des briques non endommagés sont utilisés.</w:t>
      </w:r>
    </w:p>
    <w:p w14:paraId="7D5C0507"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4E39E503" w14:textId="77777777" w:rsidR="00DF410E" w:rsidRDefault="00CE7F43">
      <w:r>
        <w:t xml:space="preserve">Les segments de murs sont pourvus d'armatures verticales selon l'article </w:t>
      </w:r>
      <w:hyperlink w:anchor="356" w:history="1">
        <w:r>
          <w:t>21.41.2 Armatures verticales pour maçonneries</w:t>
        </w:r>
      </w:hyperlink>
      <w:r>
        <w:t>.</w:t>
      </w:r>
    </w:p>
    <w:p w14:paraId="1E138D84" w14:textId="77777777" w:rsidR="00DF410E" w:rsidRDefault="00CE7F43">
      <w:r>
        <w:t xml:space="preserve">Les maçonneries de caves en contact avec les terres sont rendues étanches selon la description au chapitre </w:t>
      </w:r>
      <w:hyperlink w:anchor="354" w:history="1">
        <w:r>
          <w:t>26.11 Feuilles et membranes d'étanchéité à l'eau</w:t>
        </w:r>
      </w:hyperlink>
      <w:r>
        <w:t>.</w:t>
      </w:r>
    </w:p>
    <w:p w14:paraId="6F28CA3B" w14:textId="77777777" w:rsidR="00DF410E" w:rsidRDefault="00CE7F43">
      <w:r>
        <w:t xml:space="preserve">Crochets de mur : </w:t>
      </w:r>
      <w:r>
        <w:rPr>
          <w:rStyle w:val="optioncarChar"/>
        </w:rPr>
        <w:t>acier inoxydable </w:t>
      </w:r>
      <w:r>
        <w:t>(par défaut)</w:t>
      </w:r>
      <w:r>
        <w:rPr>
          <w:rStyle w:val="optioncarChar"/>
        </w:rPr>
        <w:t xml:space="preserve"> / *** </w:t>
      </w:r>
      <w:r>
        <w:rPr>
          <w:rStyle w:val="optioncarChar"/>
          <w:color w:val="000000"/>
        </w:rPr>
        <w:t>, diamètre minimal</w:t>
      </w:r>
      <w:r>
        <w:rPr>
          <w:rStyle w:val="optioncarChar"/>
        </w:rPr>
        <w:t xml:space="preserve"> 3,5 </w:t>
      </w:r>
      <w:r>
        <w:t>(par défaut)</w:t>
      </w:r>
      <w:r>
        <w:rPr>
          <w:rStyle w:val="optioncarChar"/>
        </w:rPr>
        <w:t xml:space="preserve"> / ***</w:t>
      </w:r>
      <w:r>
        <w:t xml:space="preserve"> mm</w:t>
      </w:r>
    </w:p>
    <w:p w14:paraId="0AE32C01"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481BCB80" w14:textId="77777777" w:rsidR="00DF410E" w:rsidRDefault="00CE7F43">
      <w:pPr>
        <w:pStyle w:val="pheading"/>
      </w:pPr>
      <w:r>
        <w:t>AIDE</w:t>
      </w:r>
    </w:p>
    <w:p w14:paraId="6D5ABC9F" w14:textId="77777777" w:rsidR="00DF410E" w:rsidRDefault="00CE7F43">
      <w:r>
        <w:t>Note à l'attention de l'auteur du projet : pour le choix adéquat du mortier, se référer à la [STS 22 série].</w:t>
      </w:r>
    </w:p>
    <w:p w14:paraId="4D0318C5" w14:textId="77777777" w:rsidR="00DF410E" w:rsidRDefault="00CE7F43">
      <w:pPr>
        <w:pStyle w:val="Author-eSectionHeading6"/>
      </w:pPr>
      <w:bookmarkStart w:id="142" w:name="_Toc178837395"/>
      <w:r>
        <w:t>21.21.1a Maçonneries non portantes en briques de terre cuite à maçonner CCTB 01.12</w:t>
      </w:r>
      <w:bookmarkEnd w:id="142"/>
    </w:p>
    <w:p w14:paraId="0ADA24E5" w14:textId="77777777" w:rsidR="00DF410E" w:rsidRDefault="00CE7F43">
      <w:pPr>
        <w:pStyle w:val="pheading"/>
      </w:pPr>
      <w:r>
        <w:t>DESCRIPTION</w:t>
      </w:r>
    </w:p>
    <w:p w14:paraId="6DC62B2C" w14:textId="77777777" w:rsidR="00DF410E" w:rsidRDefault="00CE7F43">
      <w:pPr>
        <w:pStyle w:val="pheading"/>
      </w:pPr>
      <w:r>
        <w:t>- Définition / Comprend</w:t>
      </w:r>
    </w:p>
    <w:p w14:paraId="667329D9" w14:textId="77777777" w:rsidR="00DF410E" w:rsidRDefault="00CE7F43">
      <w:r>
        <w:t xml:space="preserve">Il s’agit de la fourniture et la pose de maçonneries non portantes en briques de terre cuite à maçonner. </w:t>
      </w:r>
      <w:r>
        <w:br/>
        <w:t xml:space="preserve">La portée des travaux est décrite dans l’article </w:t>
      </w:r>
      <w:hyperlink w:anchor="382" w:history="1">
        <w:r>
          <w:t>21.21.1 Maçonneries non portantes en briques de terre cuite</w:t>
        </w:r>
      </w:hyperlink>
      <w:r>
        <w:t>.</w:t>
      </w:r>
      <w:r>
        <w:br/>
        <w:t>Les travaux comprennent également la fourniture et la pose des pièces d’angle, de terminaison et de rencontre.</w:t>
      </w:r>
    </w:p>
    <w:p w14:paraId="6B195534" w14:textId="77777777" w:rsidR="00DF410E" w:rsidRDefault="00CE7F43">
      <w:pPr>
        <w:pStyle w:val="pheading"/>
      </w:pPr>
      <w:r>
        <w:t>- Localisation</w:t>
      </w:r>
    </w:p>
    <w:p w14:paraId="45E690E5" w14:textId="77777777" w:rsidR="00DF410E" w:rsidRDefault="00CE7F43">
      <w:r>
        <w:t xml:space="preserve">La pose est réalisée aux endroits suivants : </w:t>
      </w:r>
      <w:r>
        <w:rPr>
          <w:rStyle w:val="optioncarChar"/>
        </w:rPr>
        <w:t>***</w:t>
      </w:r>
      <w:r>
        <w:t>.</w:t>
      </w:r>
      <w:r>
        <w:br/>
        <w:t>Voir plans et métrés détaillés.</w:t>
      </w:r>
    </w:p>
    <w:p w14:paraId="39517556" w14:textId="77777777" w:rsidR="00DF410E" w:rsidRDefault="00CE7F43">
      <w:pPr>
        <w:pStyle w:val="pheading"/>
      </w:pPr>
      <w:r>
        <w:t>MATÉRIAUX</w:t>
      </w:r>
    </w:p>
    <w:p w14:paraId="050F3D69" w14:textId="77777777" w:rsidR="00DF410E" w:rsidRDefault="00CE7F43">
      <w:pPr>
        <w:pStyle w:val="pheading"/>
      </w:pPr>
      <w:r>
        <w:t>- Caractéristiques générales</w:t>
      </w:r>
    </w:p>
    <w:p w14:paraId="34B39E77" w14:textId="77777777" w:rsidR="00DF410E" w:rsidRDefault="00CE7F43">
      <w:pPr>
        <w:pStyle w:val="heading"/>
      </w:pPr>
      <w:r>
        <w:t>Spécifications</w:t>
      </w:r>
    </w:p>
    <w:p w14:paraId="69D31358" w14:textId="77777777" w:rsidR="00DF410E" w:rsidRDefault="00CE7F43">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w:t>
      </w:r>
      <w:r>
        <w:t xml:space="preserve"> (par défaut)</w:t>
      </w:r>
      <w:r>
        <w:rPr>
          <w:rStyle w:val="optioncarChar"/>
        </w:rPr>
        <w:t> / assemblage à rainures et languettes / assemblage à rainures et poignées</w:t>
      </w:r>
      <w:r>
        <w:br/>
        <w:t xml:space="preserve">Face qui reste visible : </w:t>
      </w:r>
      <w:r>
        <w:rPr>
          <w:rStyle w:val="optioncarChar"/>
        </w:rPr>
        <w:t>lisse </w:t>
      </w:r>
      <w:r>
        <w:t>(par défaut)</w:t>
      </w:r>
      <w:r>
        <w:rPr>
          <w:rStyle w:val="optioncarChar"/>
        </w:rPr>
        <w:t xml:space="preserve"> / striée / ***</w:t>
      </w:r>
      <w:r>
        <w:br/>
        <w:t>Face à cimenter ou plafonner :</w:t>
      </w:r>
      <w:r>
        <w:rPr>
          <w:rStyle w:val="optioncarChar"/>
        </w:rPr>
        <w:t xml:space="preserve"> lisse </w:t>
      </w:r>
      <w:r>
        <w:rPr>
          <w:rStyle w:val="optioncarChar"/>
          <w:color w:val="000000"/>
        </w:rPr>
        <w:t xml:space="preserve">(par défaut) </w:t>
      </w:r>
      <w:r>
        <w:rPr>
          <w:rStyle w:val="optioncarChar"/>
        </w:rPr>
        <w:t>/ striée / rainurée</w:t>
      </w:r>
      <w:r>
        <w:br/>
      </w:r>
      <w:r>
        <w:br/>
        <w:t xml:space="preserve">Teinte : </w:t>
      </w:r>
      <w:r>
        <w:rPr>
          <w:rStyle w:val="optioncarChar"/>
        </w:rPr>
        <w:t>blanc / rouge </w:t>
      </w:r>
      <w:r>
        <w:t>(par défaut)</w:t>
      </w:r>
      <w:r>
        <w:rPr>
          <w:rStyle w:val="optioncarChar"/>
        </w:rPr>
        <w:t xml:space="preserve"> / gris / ***</w:t>
      </w:r>
      <w:r>
        <w:br/>
      </w:r>
      <w:r>
        <w:br/>
        <w:t xml:space="preserve">Format : (L x l x h) </w:t>
      </w:r>
      <w:r>
        <w:rPr>
          <w:rStyle w:val="optioncarChar"/>
        </w:rPr>
        <w:t>*** x *** x *** mm / format modulaire proposé par l'entrepreneur </w:t>
      </w:r>
      <w:r>
        <w:t>(par défaut)</w:t>
      </w:r>
      <w:r>
        <w:br/>
      </w:r>
      <w:r>
        <w:br/>
        <w:t xml:space="preserve">Tolérances dimensionnelles : </w:t>
      </w:r>
      <w:r>
        <w:br/>
        <w:t xml:space="preserve">Tolérances de la valeur moyenne : </w:t>
      </w:r>
      <w:r>
        <w:rPr>
          <w:rStyle w:val="optioncarChar"/>
        </w:rPr>
        <w:t>T1 </w:t>
      </w:r>
      <w:r>
        <w:t>(par défaut)</w:t>
      </w:r>
      <w:r>
        <w:rPr>
          <w:rStyle w:val="optioncarChar"/>
        </w:rPr>
        <w:t xml:space="preserve"> / T2 / Tm / ***</w:t>
      </w:r>
      <w:r>
        <w:br/>
        <w:t xml:space="preserve">Plage : </w:t>
      </w:r>
      <w:r>
        <w:rPr>
          <w:rStyle w:val="optioncarChar"/>
        </w:rPr>
        <w:t>R1 </w:t>
      </w:r>
      <w:r>
        <w:t>(par défaut)</w:t>
      </w:r>
      <w:r>
        <w:rPr>
          <w:rStyle w:val="optioncarChar"/>
        </w:rPr>
        <w:t xml:space="preserve"> / R2 / Rm / ***</w:t>
      </w:r>
      <w:r>
        <w:br/>
      </w:r>
      <w:r>
        <w:br/>
        <w:t xml:space="preserve">Taux initial d’absorption d’eau : classe </w:t>
      </w:r>
      <w:r>
        <w:rPr>
          <w:rStyle w:val="optioncarChar"/>
        </w:rPr>
        <w:t>IW1 / IW2 / IW3 / IW4</w:t>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619A082F" w14:textId="77777777" w:rsidR="00DF410E" w:rsidRDefault="00CE7F43">
      <w:pPr>
        <w:pStyle w:val="heading"/>
      </w:pPr>
      <w:r>
        <w:t>Critères de performances de la paroi</w:t>
      </w:r>
    </w:p>
    <w:p w14:paraId="6D38DE85" w14:textId="77777777" w:rsidR="00DF410E" w:rsidRDefault="00CE7F43">
      <w:r>
        <w:t>Coefficient de transmission :</w:t>
      </w:r>
    </w:p>
    <w:p w14:paraId="39BD804A" w14:textId="77777777" w:rsidR="00DF410E" w:rsidRDefault="00CE7F43">
      <w:pPr>
        <w:pStyle w:val="Author-eListParagraph"/>
        <w:numPr>
          <w:ilvl w:val="0"/>
          <w:numId w:val="151"/>
        </w:numPr>
      </w:pPr>
      <w:r>
        <w:t xml:space="preserve">valeur U minimale de </w:t>
      </w:r>
      <w:r>
        <w:rPr>
          <w:rStyle w:val="optioncarChar"/>
        </w:rPr>
        <w:t>***</w:t>
      </w:r>
      <w:r>
        <w:t xml:space="preserve"> W/m²K</w:t>
      </w:r>
    </w:p>
    <w:p w14:paraId="35EF66FB" w14:textId="77777777" w:rsidR="00DF410E" w:rsidRDefault="00CE7F43">
      <w:pPr>
        <w:pStyle w:val="Author-eListParagraph"/>
        <w:numPr>
          <w:ilvl w:val="0"/>
          <w:numId w:val="15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C4E8BB1" w14:textId="77777777" w:rsidR="00DF410E" w:rsidRDefault="00CE7F43">
      <w:r>
        <w:t xml:space="preserve">Résistance au feu : </w:t>
      </w:r>
      <w:r>
        <w:rPr>
          <w:rStyle w:val="optioncarChar"/>
        </w:rPr>
        <w:t>EI30</w:t>
      </w:r>
      <w:r>
        <w:t xml:space="preserve"> (par défaut)</w:t>
      </w:r>
      <w:r>
        <w:rPr>
          <w:rStyle w:val="optioncarChar"/>
        </w:rPr>
        <w:t xml:space="preserve"> / EI60 / EI90 / EI120 / EI *** </w:t>
      </w:r>
      <w:r>
        <w:t>selon la norme [NBN EN 1996-1-2 ANB].</w:t>
      </w:r>
    </w:p>
    <w:p w14:paraId="2C51DD58" w14:textId="77777777" w:rsidR="00DF410E" w:rsidRDefault="00DF410E"/>
    <w:p w14:paraId="5BA53CDA" w14:textId="77777777" w:rsidR="00DF410E" w:rsidRDefault="00CE7F43">
      <w:r>
        <w:t> </w:t>
      </w:r>
    </w:p>
    <w:p w14:paraId="6D1C66C3" w14:textId="77777777" w:rsidR="00DF410E" w:rsidRDefault="00CE7F43">
      <w:pPr>
        <w:pStyle w:val="pheading"/>
      </w:pPr>
      <w:r>
        <w:t>- Finitions</w:t>
      </w:r>
    </w:p>
    <w:p w14:paraId="759F326F" w14:textId="77777777" w:rsidR="00DF410E" w:rsidRDefault="00DF410E"/>
    <w:p w14:paraId="775EC63B" w14:textId="77777777" w:rsidR="00DF410E" w:rsidRDefault="00CE7F43">
      <w:pPr>
        <w:pStyle w:val="Author-eListParagraph"/>
        <w:numPr>
          <w:ilvl w:val="0"/>
          <w:numId w:val="152"/>
        </w:numPr>
      </w:pPr>
      <w:r>
        <w:t xml:space="preserve">Les faces de murs suivantes sont exécutées comme maçonneries apparentes et sont </w:t>
      </w:r>
      <w:r>
        <w:rPr>
          <w:rStyle w:val="optioncarChar"/>
          <w:color w:val="000000"/>
        </w:rPr>
        <w:t>rejointoyées</w:t>
      </w:r>
      <w:r>
        <w:t xml:space="preserve"> selon l'article </w:t>
      </w:r>
      <w:hyperlink w:anchor="344" w:history="1">
        <w:r>
          <w:t>21.61.1b Joints de maçonnerie apparente</w:t>
        </w:r>
      </w:hyperlink>
      <w:r>
        <w:t xml:space="preserve"> : </w:t>
      </w:r>
      <w:r>
        <w:rPr>
          <w:rStyle w:val="optioncarChar"/>
        </w:rPr>
        <w:t>***</w:t>
      </w:r>
    </w:p>
    <w:p w14:paraId="09E7B3A8" w14:textId="77777777" w:rsidR="00DF410E" w:rsidRDefault="00CE7F43">
      <w:pPr>
        <w:pStyle w:val="Author-eListParagraph"/>
        <w:numPr>
          <w:ilvl w:val="0"/>
          <w:numId w:val="152"/>
        </w:numPr>
      </w:pPr>
      <w:r>
        <w:t xml:space="preserve">Les murs suivants sont exécutés avec une face restant apparente : </w:t>
      </w:r>
      <w:r>
        <w:rPr>
          <w:rStyle w:val="optioncarChar"/>
        </w:rPr>
        <w:t>***</w:t>
      </w:r>
    </w:p>
    <w:p w14:paraId="18E3EF01" w14:textId="77777777" w:rsidR="00DF410E" w:rsidRDefault="00CE7F43">
      <w:pPr>
        <w:pStyle w:val="Author-eListParagraph"/>
        <w:numPr>
          <w:ilvl w:val="0"/>
          <w:numId w:val="152"/>
        </w:numPr>
      </w:pPr>
      <w:r>
        <w:t xml:space="preserve">Les murs suivants sont exécutés avec deux faces restant apparentes : </w:t>
      </w:r>
      <w:r>
        <w:rPr>
          <w:rStyle w:val="optioncarChar"/>
        </w:rPr>
        <w:t>***</w:t>
      </w:r>
    </w:p>
    <w:p w14:paraId="7B54AAF6" w14:textId="77777777" w:rsidR="00DF410E" w:rsidRDefault="00CE7F43">
      <w:pPr>
        <w:pStyle w:val="pheading"/>
      </w:pPr>
      <w:r>
        <w:t>MESURAGE</w:t>
      </w:r>
    </w:p>
    <w:p w14:paraId="7A2FA902" w14:textId="77777777" w:rsidR="00DF410E" w:rsidRDefault="00CE7F43">
      <w:pPr>
        <w:pStyle w:val="pheading"/>
      </w:pPr>
      <w:r>
        <w:t>- unité de mesure:</w:t>
      </w:r>
    </w:p>
    <w:p w14:paraId="1173A57E" w14:textId="77777777" w:rsidR="00DF410E" w:rsidRDefault="00CE7F43">
      <w:r>
        <w:rPr>
          <w:rStyle w:val="optioncarChar"/>
        </w:rPr>
        <w:t>m³ </w:t>
      </w:r>
      <w:r>
        <w:t>(par défaut)</w:t>
      </w:r>
      <w:r>
        <w:rPr>
          <w:rStyle w:val="optioncarChar"/>
        </w:rPr>
        <w:t> / m²</w:t>
      </w:r>
    </w:p>
    <w:p w14:paraId="1CA09EAE" w14:textId="77777777" w:rsidR="00DF410E" w:rsidRDefault="00CE7F43">
      <w:r>
        <w:rPr>
          <w:b/>
        </w:rPr>
        <w:t>(soit par défaut)</w:t>
      </w:r>
    </w:p>
    <w:p w14:paraId="58F42CC3" w14:textId="77777777" w:rsidR="00DF410E" w:rsidRDefault="00CE7F43">
      <w:r>
        <w:rPr>
          <w:rStyle w:val="soitChar"/>
        </w:rPr>
        <w:t>1. m³</w:t>
      </w:r>
    </w:p>
    <w:p w14:paraId="2A660D7B" w14:textId="77777777" w:rsidR="00DF410E" w:rsidRDefault="00CE7F43">
      <w:r>
        <w:rPr>
          <w:b/>
        </w:rPr>
        <w:t>(soit)</w:t>
      </w:r>
    </w:p>
    <w:p w14:paraId="281FFCF4" w14:textId="77777777" w:rsidR="00DF410E" w:rsidRDefault="00CE7F43">
      <w:r>
        <w:rPr>
          <w:rStyle w:val="soitChar"/>
        </w:rPr>
        <w:t>2. m²</w:t>
      </w:r>
    </w:p>
    <w:p w14:paraId="6E37EB3D" w14:textId="77777777" w:rsidR="00DF410E" w:rsidRDefault="00CE7F43">
      <w:pPr>
        <w:pStyle w:val="pheading"/>
      </w:pPr>
      <w:r>
        <w:t>- code de mesurage:</w:t>
      </w:r>
    </w:p>
    <w:p w14:paraId="724871C0"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040D6D9"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27F25AA"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2D4B4A3" w14:textId="77777777" w:rsidR="00DF410E" w:rsidRDefault="00CE7F43">
      <w:r>
        <w:br/>
      </w:r>
      <w:r>
        <w:rPr>
          <w:rStyle w:val="optioncarChar"/>
        </w:rPr>
        <w:t>Volume net </w:t>
      </w:r>
      <w:r>
        <w:t>(par défaut)</w:t>
      </w:r>
      <w:r>
        <w:rPr>
          <w:rStyle w:val="optioncarChar"/>
        </w:rPr>
        <w:t> / Surface nette</w:t>
      </w:r>
    </w:p>
    <w:p w14:paraId="4522AECD" w14:textId="77777777" w:rsidR="00DF410E" w:rsidRDefault="00CE7F43">
      <w:r>
        <w:rPr>
          <w:b/>
        </w:rPr>
        <w:t>(soit par défaut)</w:t>
      </w:r>
    </w:p>
    <w:p w14:paraId="5E98C34A"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2588DF67" w14:textId="77777777" w:rsidR="00DF410E" w:rsidRDefault="00CE7F43">
      <w:r>
        <w:rPr>
          <w:b/>
        </w:rPr>
        <w:t>(soit)</w:t>
      </w:r>
    </w:p>
    <w:p w14:paraId="0EEF2D04"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89EA795" w14:textId="77777777" w:rsidR="00DF410E" w:rsidRDefault="00CE7F43">
      <w:pPr>
        <w:pStyle w:val="pheading"/>
      </w:pPr>
      <w:r>
        <w:t>- nature du marché:</w:t>
      </w:r>
    </w:p>
    <w:p w14:paraId="498FAA4A" w14:textId="77777777" w:rsidR="00DF410E" w:rsidRDefault="00CE7F43">
      <w:r>
        <w:t>QF</w:t>
      </w:r>
    </w:p>
    <w:p w14:paraId="2784A456" w14:textId="77777777" w:rsidR="00DF410E" w:rsidRDefault="00CE7F43">
      <w:pPr>
        <w:pStyle w:val="Author-eSectionHeading6"/>
      </w:pPr>
      <w:bookmarkStart w:id="143" w:name="_Toc178837396"/>
      <w:r>
        <w:t>21.21.1b Maçonneries non portantes en briques de terre cuite à coller CCTB 01.11</w:t>
      </w:r>
      <w:bookmarkEnd w:id="143"/>
    </w:p>
    <w:p w14:paraId="26A14DB6" w14:textId="77777777" w:rsidR="00DF410E" w:rsidRDefault="00CE7F43">
      <w:pPr>
        <w:pStyle w:val="pheading"/>
      </w:pPr>
      <w:r>
        <w:t>DESCRIPTION</w:t>
      </w:r>
    </w:p>
    <w:p w14:paraId="152F0A20" w14:textId="77777777" w:rsidR="00DF410E" w:rsidRDefault="00CE7F43">
      <w:pPr>
        <w:pStyle w:val="pheading"/>
      </w:pPr>
      <w:r>
        <w:t>- Définition / Comprend</w:t>
      </w:r>
    </w:p>
    <w:p w14:paraId="48A41A48" w14:textId="77777777" w:rsidR="00DF410E" w:rsidRDefault="00CE7F43">
      <w:r>
        <w:t xml:space="preserve">Il s’agit de la fourniture et la pose de maçonneries non portantes en briques de terre cuite à coller. </w:t>
      </w:r>
      <w:r>
        <w:br/>
        <w:t xml:space="preserve">La portée des travaux est décrite dans l’article </w:t>
      </w:r>
      <w:hyperlink w:anchor="382" w:history="1">
        <w:r>
          <w:t>21.21.1 Maçonneries non portantes en briques de terre cuite</w:t>
        </w:r>
      </w:hyperlink>
      <w:r>
        <w:t xml:space="preserve"> .</w:t>
      </w:r>
      <w:r>
        <w:br/>
        <w:t>Les travaux comprennent également la fourniture et la pose des pièces d’angle, de terminaison et de rencontre.</w:t>
      </w:r>
    </w:p>
    <w:p w14:paraId="5A911FE2" w14:textId="77777777" w:rsidR="00DF410E" w:rsidRDefault="00CE7F43">
      <w:pPr>
        <w:pStyle w:val="pheading"/>
      </w:pPr>
      <w:r>
        <w:t>- Localisation</w:t>
      </w:r>
    </w:p>
    <w:p w14:paraId="0C81183E" w14:textId="77777777" w:rsidR="00DF410E" w:rsidRDefault="00CE7F43">
      <w:r>
        <w:t>La pose est réalisée aux endroits suivants :</w:t>
      </w:r>
      <w:r>
        <w:rPr>
          <w:rStyle w:val="optioncarChar"/>
        </w:rPr>
        <w:t xml:space="preserve"> ***</w:t>
      </w:r>
      <w:r>
        <w:t>.</w:t>
      </w:r>
      <w:r>
        <w:br/>
        <w:t>Voir plans et métrés détaillés.</w:t>
      </w:r>
    </w:p>
    <w:p w14:paraId="4F8BAEA8" w14:textId="77777777" w:rsidR="00DF410E" w:rsidRDefault="00CE7F43">
      <w:pPr>
        <w:pStyle w:val="pheading"/>
      </w:pPr>
      <w:r>
        <w:t>MATÉRIAUX</w:t>
      </w:r>
    </w:p>
    <w:p w14:paraId="3CB83C59" w14:textId="77777777" w:rsidR="00DF410E" w:rsidRDefault="00CE7F43">
      <w:pPr>
        <w:pStyle w:val="pheading"/>
      </w:pPr>
      <w:r>
        <w:t>- Caractéristiques générales</w:t>
      </w:r>
    </w:p>
    <w:p w14:paraId="02EFE998" w14:textId="77777777" w:rsidR="00DF410E" w:rsidRDefault="00CE7F43">
      <w:pPr>
        <w:pStyle w:val="heading"/>
      </w:pPr>
      <w:r>
        <w:t>Spécifications</w:t>
      </w:r>
    </w:p>
    <w:p w14:paraId="48E115BB" w14:textId="77777777" w:rsidR="00DF410E" w:rsidRDefault="00CE7F43">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w:t>
      </w:r>
    </w:p>
    <w:p w14:paraId="7E0B7289" w14:textId="77777777" w:rsidR="00DF410E" w:rsidRDefault="00CE7F43">
      <w: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w:t>
      </w:r>
      <w:r>
        <w:br/>
        <w:t xml:space="preserve">Face à cimenter ou plafonner : </w:t>
      </w:r>
      <w:r>
        <w:rPr>
          <w:rStyle w:val="optioncarChar"/>
        </w:rPr>
        <w:t xml:space="preserve">lisse </w:t>
      </w:r>
      <w:r>
        <w:t>(par défaut)</w:t>
      </w:r>
      <w:r>
        <w:rPr>
          <w:rStyle w:val="optioncarChar"/>
        </w:rPr>
        <w:t xml:space="preserve"> / rainurée</w:t>
      </w:r>
      <w:r>
        <w:br/>
      </w:r>
      <w:r>
        <w:br/>
        <w:t xml:space="preserve">Teinte : </w:t>
      </w:r>
      <w:r>
        <w:rPr>
          <w:rStyle w:val="optioncarChar"/>
        </w:rPr>
        <w:t>blanc / rouge </w:t>
      </w:r>
      <w:r>
        <w:t>(par défaut)</w:t>
      </w:r>
      <w:r>
        <w:rPr>
          <w:rStyle w:val="optioncarChar"/>
        </w:rPr>
        <w:t> / gris / ***λ</w:t>
      </w:r>
      <w:r>
        <w:br/>
      </w:r>
      <w:r>
        <w:br/>
        <w:t xml:space="preserve">Format : (L x l x h) </w:t>
      </w:r>
      <w:r>
        <w:rPr>
          <w:rStyle w:val="optioncarChar"/>
        </w:rPr>
        <w:t>*** x *** x *** mm / format modulaire proposé par l'entrepreneur </w:t>
      </w:r>
      <w:r>
        <w:t>(par défaut)</w:t>
      </w:r>
      <w:r>
        <w:br/>
      </w:r>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p>
    <w:p w14:paraId="1835ED2E" w14:textId="77777777" w:rsidR="00DF410E" w:rsidRDefault="00CE7F43">
      <w:r>
        <w:t>Résistance au gel suivant les classes d’application MX… selon [NBN EN 1996-2 ANB] et [NIT 271].</w:t>
      </w:r>
      <w:r>
        <w:br/>
      </w:r>
      <w:r>
        <w:br/>
        <w:t>Réaction au feu :</w:t>
      </w:r>
      <w:r>
        <w:rPr>
          <w:rStyle w:val="optioncarChar"/>
        </w:rPr>
        <w:t xml:space="preserve"> A1 / ***</w:t>
      </w:r>
    </w:p>
    <w:p w14:paraId="67D8B77B" w14:textId="77777777" w:rsidR="00DF410E" w:rsidRDefault="00CE7F43">
      <w:pPr>
        <w:pStyle w:val="heading"/>
      </w:pPr>
      <w:r>
        <w:t>Critères de performances de la paroi</w:t>
      </w:r>
    </w:p>
    <w:p w14:paraId="0003C540" w14:textId="77777777" w:rsidR="00DF410E" w:rsidRDefault="00CE7F43">
      <w:r>
        <w:t>Coefficient de transmission :</w:t>
      </w:r>
    </w:p>
    <w:p w14:paraId="2BB2DA61" w14:textId="77777777" w:rsidR="00DF410E" w:rsidRDefault="00CE7F43">
      <w:pPr>
        <w:pStyle w:val="Author-eListParagraph"/>
        <w:numPr>
          <w:ilvl w:val="0"/>
          <w:numId w:val="153"/>
        </w:numPr>
      </w:pPr>
      <w:r>
        <w:t xml:space="preserve">valeur U minimale de </w:t>
      </w:r>
      <w:r>
        <w:rPr>
          <w:rStyle w:val="optioncarChar"/>
        </w:rPr>
        <w:t>***</w:t>
      </w:r>
      <w:r>
        <w:t xml:space="preserve"> W/m²K</w:t>
      </w:r>
    </w:p>
    <w:p w14:paraId="07708293" w14:textId="77777777" w:rsidR="00DF410E" w:rsidRDefault="00CE7F43">
      <w:pPr>
        <w:pStyle w:val="Author-eListParagraph"/>
        <w:numPr>
          <w:ilvl w:val="0"/>
          <w:numId w:val="15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24DFFB6" w14:textId="77777777" w:rsidR="00DF410E" w:rsidRDefault="00CE7F43">
      <w:r>
        <w:br/>
        <w:t xml:space="preserve">Résistance au feu : </w:t>
      </w:r>
      <w:r>
        <w:rPr>
          <w:rStyle w:val="optioncarChar"/>
        </w:rPr>
        <w:t>EI30 </w:t>
      </w:r>
      <w:r>
        <w:t>(par défaut)</w:t>
      </w:r>
      <w:r>
        <w:rPr>
          <w:rStyle w:val="optioncarChar"/>
        </w:rPr>
        <w:t xml:space="preserve"> / EI60 / EI90 / EI120 / EI*** </w:t>
      </w:r>
    </w:p>
    <w:p w14:paraId="05578ABA" w14:textId="77777777" w:rsidR="00DF410E" w:rsidRDefault="00CE7F43">
      <w:r>
        <w:t>selon la norme [NBN EN 1996-1-2 ANB].</w:t>
      </w:r>
    </w:p>
    <w:p w14:paraId="0A71B3BE" w14:textId="77777777" w:rsidR="00DF410E" w:rsidRDefault="00DF410E"/>
    <w:p w14:paraId="4709284A" w14:textId="77777777" w:rsidR="00DF410E" w:rsidRDefault="00CE7F43">
      <w:r>
        <w:t> </w:t>
      </w:r>
    </w:p>
    <w:p w14:paraId="455B6E86" w14:textId="77777777" w:rsidR="00DF410E" w:rsidRDefault="00CE7F43">
      <w:pPr>
        <w:pStyle w:val="pheading"/>
      </w:pPr>
      <w:r>
        <w:t>- Finitions</w:t>
      </w:r>
    </w:p>
    <w:p w14:paraId="5FABD874" w14:textId="77777777" w:rsidR="00DF410E" w:rsidRDefault="00CE7F43">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5E9BC8CF" w14:textId="77777777" w:rsidR="00DF410E" w:rsidRDefault="00CE7F43">
      <w:r>
        <w:rPr>
          <w:rStyle w:val="normalChar"/>
        </w:rPr>
        <w:t>Les murs suivants sont exécutés avec une face restant apparente :</w:t>
      </w:r>
      <w:r>
        <w:rPr>
          <w:rStyle w:val="optioncarChar"/>
        </w:rPr>
        <w:t>***</w:t>
      </w:r>
    </w:p>
    <w:p w14:paraId="197391E8" w14:textId="77777777" w:rsidR="00DF410E" w:rsidRDefault="00CE7F43">
      <w:r>
        <w:rPr>
          <w:rStyle w:val="normalChar"/>
        </w:rPr>
        <w:t>Les murs suivants sont exécutés avec deux faces restant apparentes :</w:t>
      </w:r>
      <w:r>
        <w:rPr>
          <w:rStyle w:val="optioncarChar"/>
        </w:rPr>
        <w:t>***</w:t>
      </w:r>
    </w:p>
    <w:p w14:paraId="01B1298E" w14:textId="77777777" w:rsidR="00DF410E" w:rsidRDefault="00CE7F43">
      <w:pPr>
        <w:pStyle w:val="pheading"/>
      </w:pPr>
      <w:r>
        <w:t>MESURAGE</w:t>
      </w:r>
    </w:p>
    <w:p w14:paraId="0493EFE0" w14:textId="77777777" w:rsidR="00DF410E" w:rsidRDefault="00CE7F43">
      <w:pPr>
        <w:pStyle w:val="pheading"/>
      </w:pPr>
      <w:r>
        <w:t>- unité de mesure:</w:t>
      </w:r>
    </w:p>
    <w:p w14:paraId="3A661C33" w14:textId="77777777" w:rsidR="00DF410E" w:rsidRDefault="00CE7F43">
      <w:r>
        <w:rPr>
          <w:rStyle w:val="optioncarChar"/>
        </w:rPr>
        <w:t>m³ </w:t>
      </w:r>
      <w:r>
        <w:t>(par défaut)</w:t>
      </w:r>
      <w:r>
        <w:rPr>
          <w:rStyle w:val="optioncarChar"/>
        </w:rPr>
        <w:t> / m²</w:t>
      </w:r>
    </w:p>
    <w:p w14:paraId="7A54A75B" w14:textId="77777777" w:rsidR="00DF410E" w:rsidRDefault="00CE7F43">
      <w:r>
        <w:rPr>
          <w:b/>
        </w:rPr>
        <w:t>(soit par défaut)</w:t>
      </w:r>
    </w:p>
    <w:p w14:paraId="1CA552FC" w14:textId="77777777" w:rsidR="00DF410E" w:rsidRDefault="00CE7F43">
      <w:r>
        <w:rPr>
          <w:rStyle w:val="soitChar"/>
        </w:rPr>
        <w:t>1. m³</w:t>
      </w:r>
    </w:p>
    <w:p w14:paraId="0D6D4A04" w14:textId="77777777" w:rsidR="00DF410E" w:rsidRDefault="00CE7F43">
      <w:r>
        <w:rPr>
          <w:b/>
        </w:rPr>
        <w:t>(soit)</w:t>
      </w:r>
    </w:p>
    <w:p w14:paraId="34BD4555" w14:textId="77777777" w:rsidR="00DF410E" w:rsidRDefault="00CE7F43">
      <w:r>
        <w:rPr>
          <w:rStyle w:val="soitChar"/>
        </w:rPr>
        <w:t>2. m²</w:t>
      </w:r>
    </w:p>
    <w:p w14:paraId="5C19AB77" w14:textId="77777777" w:rsidR="00DF410E" w:rsidRDefault="00CE7F43">
      <w:pPr>
        <w:pStyle w:val="pheading"/>
      </w:pPr>
      <w:r>
        <w:t>- code de mesurage:</w:t>
      </w:r>
    </w:p>
    <w:p w14:paraId="5FD3C90C"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AD4C2E0"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F44EC55"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22B545F" w14:textId="77777777" w:rsidR="00DF410E" w:rsidRDefault="00CE7F43">
      <w:r>
        <w:br/>
      </w:r>
      <w:r>
        <w:rPr>
          <w:rStyle w:val="optioncarChar"/>
        </w:rPr>
        <w:t>Volume net </w:t>
      </w:r>
      <w:r>
        <w:t>(par défaut)</w:t>
      </w:r>
      <w:r>
        <w:rPr>
          <w:rStyle w:val="optioncarChar"/>
        </w:rPr>
        <w:t> / Surface nette</w:t>
      </w:r>
    </w:p>
    <w:p w14:paraId="53506BAB" w14:textId="77777777" w:rsidR="00DF410E" w:rsidRDefault="00CE7F43">
      <w:r>
        <w:rPr>
          <w:b/>
        </w:rPr>
        <w:t>(soit par défaut)</w:t>
      </w:r>
    </w:p>
    <w:p w14:paraId="4F3F70F0"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FDC94A8" w14:textId="77777777" w:rsidR="00DF410E" w:rsidRDefault="00CE7F43">
      <w:r>
        <w:rPr>
          <w:b/>
        </w:rPr>
        <w:t>(soit)</w:t>
      </w:r>
    </w:p>
    <w:p w14:paraId="5C3FD954"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88165BA" w14:textId="77777777" w:rsidR="00DF410E" w:rsidRDefault="00DF410E"/>
    <w:p w14:paraId="37284DDD" w14:textId="77777777" w:rsidR="00DF410E" w:rsidRDefault="00CE7F43">
      <w:r>
        <w:t> </w:t>
      </w:r>
    </w:p>
    <w:p w14:paraId="203FE117" w14:textId="77777777" w:rsidR="00DF410E" w:rsidRDefault="00CE7F43">
      <w:pPr>
        <w:pStyle w:val="pheading"/>
      </w:pPr>
      <w:r>
        <w:t>- nature du marché:</w:t>
      </w:r>
    </w:p>
    <w:p w14:paraId="4DAB05F9" w14:textId="77777777" w:rsidR="00DF410E" w:rsidRDefault="00CE7F43">
      <w:r>
        <w:t>QF</w:t>
      </w:r>
    </w:p>
    <w:p w14:paraId="3510FA66" w14:textId="77777777" w:rsidR="00DF410E" w:rsidRDefault="00CE7F43">
      <w:pPr>
        <w:pStyle w:val="Author-eSectionHeading6"/>
      </w:pPr>
      <w:bookmarkStart w:id="144" w:name="_Toc178837397"/>
      <w:r>
        <w:t>21.21.1c Maçonneries non portantes en briques de terre cuite de réemploi CCTB 01.12</w:t>
      </w:r>
      <w:bookmarkEnd w:id="144"/>
    </w:p>
    <w:p w14:paraId="6762E5D5" w14:textId="77777777" w:rsidR="00DF410E" w:rsidRDefault="00CE7F43">
      <w:pPr>
        <w:pStyle w:val="pheading"/>
      </w:pPr>
      <w:bookmarkStart w:id="145" w:name="139"/>
      <w:bookmarkEnd w:id="145"/>
      <w:r>
        <w:t>DESCRIPTION</w:t>
      </w:r>
    </w:p>
    <w:p w14:paraId="581800DB" w14:textId="77777777" w:rsidR="00DF410E" w:rsidRDefault="00CE7F43">
      <w:pPr>
        <w:pStyle w:val="pheading"/>
      </w:pPr>
      <w:r>
        <w:t>- Définition / Comprend</w:t>
      </w:r>
    </w:p>
    <w:p w14:paraId="2BE5C1A7" w14:textId="77777777" w:rsidR="00DF410E" w:rsidRDefault="00CE7F43">
      <w:r>
        <w:t xml:space="preserve">Il s’agit de la fourniture et la pose de maçonneries non portantes en briques de terre cuite de réemploi. </w:t>
      </w:r>
      <w:r>
        <w:br/>
        <w:t xml:space="preserve">La portée des travaux est décrite dans l’article </w:t>
      </w:r>
      <w:hyperlink w:anchor="382" w:history="1">
        <w:r>
          <w:t>21.21.1 Maçonneries non portantes en briques de terre cuite</w:t>
        </w:r>
      </w:hyperlink>
      <w:r>
        <w:t>.</w:t>
      </w:r>
      <w:r>
        <w:br/>
        <w:t>Les travaux comprennent également la fourniture et la pose des pièces d’angle, de terminaison et de rencontre.</w:t>
      </w:r>
    </w:p>
    <w:p w14:paraId="2842F352" w14:textId="77777777" w:rsidR="00DF410E" w:rsidRDefault="00CE7F43">
      <w:pPr>
        <w:pStyle w:val="pheading"/>
      </w:pPr>
      <w:r>
        <w:t>- Localisation</w:t>
      </w:r>
    </w:p>
    <w:p w14:paraId="2B7D477D" w14:textId="77777777" w:rsidR="00DF410E" w:rsidRDefault="00CE7F43">
      <w:r>
        <w:t xml:space="preserve">La pose est réalisée aux endroits suivants : </w:t>
      </w:r>
      <w:r>
        <w:rPr>
          <w:rStyle w:val="optioncarChar"/>
        </w:rPr>
        <w:t>***</w:t>
      </w:r>
      <w:r>
        <w:t>.</w:t>
      </w:r>
      <w:r>
        <w:br/>
        <w:t>Voir plans et métrés détaillés.</w:t>
      </w:r>
    </w:p>
    <w:p w14:paraId="002C50D1" w14:textId="77777777" w:rsidR="00DF410E" w:rsidRDefault="00CE7F43">
      <w:pPr>
        <w:pStyle w:val="pheading"/>
      </w:pPr>
      <w:r>
        <w:t>MATÉRIAUX</w:t>
      </w:r>
    </w:p>
    <w:p w14:paraId="3F252390" w14:textId="77777777" w:rsidR="00DF410E" w:rsidRDefault="00CE7F43">
      <w:pPr>
        <w:pStyle w:val="pheading"/>
      </w:pPr>
      <w:r>
        <w:t>- Caractéristiques générales</w:t>
      </w:r>
    </w:p>
    <w:p w14:paraId="0ED229A7" w14:textId="77777777" w:rsidR="00DF410E" w:rsidRDefault="00CE7F43">
      <w:pPr>
        <w:pStyle w:val="heading"/>
      </w:pPr>
      <w:r>
        <w:t>Spécifications</w:t>
      </w:r>
    </w:p>
    <w:p w14:paraId="2F94A178" w14:textId="77777777" w:rsidR="00DF410E" w:rsidRDefault="00CE7F43">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xml:space="preserve">) </w:t>
      </w:r>
      <w:r>
        <w:t>(par défaut) </w:t>
      </w:r>
      <w:r>
        <w:rPr>
          <w:rStyle w:val="optioncarChar"/>
        </w:rPr>
        <w:t>/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&lt; ρ &lt;</w:t>
      </w:r>
      <w:r>
        <w:rPr>
          <w:rStyle w:val="optioncarChar"/>
        </w:rPr>
        <w:t xml:space="preserve"> ***</w:t>
      </w:r>
      <w:r>
        <w:t xml:space="preserve"> kg/m³ selon la [NBN EN 771-1+A1].</w:t>
      </w:r>
    </w:p>
    <w:p w14:paraId="74033C1A" w14:textId="77777777" w:rsidR="00DF410E" w:rsidRDefault="00CE7F43">
      <w: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w:t>
      </w:r>
      <w:r>
        <w:rPr>
          <w:rStyle w:val="optioncarChar"/>
        </w:rPr>
        <w:t xml:space="preserve"> lisse </w:t>
      </w:r>
      <w:r>
        <w:t>(par défaut) </w:t>
      </w:r>
      <w:r>
        <w:rPr>
          <w:rStyle w:val="optioncarChar"/>
        </w:rPr>
        <w:t>/ rainuré</w:t>
      </w:r>
      <w:r>
        <w:br/>
      </w:r>
      <w:r>
        <w:br/>
        <w:t xml:space="preserve">Teinte : </w:t>
      </w:r>
      <w:r>
        <w:rPr>
          <w:rStyle w:val="optioncarChar"/>
        </w:rPr>
        <w:t>blanc / rouge </w:t>
      </w:r>
      <w:r>
        <w:t>(par défaut)</w:t>
      </w:r>
      <w:r>
        <w:rPr>
          <w:rStyle w:val="optioncarChar"/>
        </w:rPr>
        <w:t xml:space="preserve"> / gris / *** </w:t>
      </w:r>
      <w:r>
        <w:br/>
      </w:r>
      <w:r>
        <w:br/>
        <w:t xml:space="preserve">Format : (L x l x h) </w:t>
      </w:r>
      <w:r>
        <w:rPr>
          <w:rStyle w:val="optioncarChar"/>
        </w:rPr>
        <w:t>*** x *** x *** mm / format modulaire proposé par l'entrepreneur </w:t>
      </w:r>
      <w:r>
        <w:t>(par défaut)</w:t>
      </w:r>
    </w:p>
    <w:p w14:paraId="3B25A489" w14:textId="77777777" w:rsidR="00DF410E" w:rsidRDefault="00CE7F43">
      <w: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r>
        <w:br/>
        <w:t>Résistance au gel suivant les classes d’application MX… selon [NBN EN 1996-2 ANB] et [NIT 271].</w:t>
      </w:r>
      <w:r>
        <w:br/>
      </w:r>
      <w:r>
        <w:br/>
        <w:t xml:space="preserve">Réaction au feu : </w:t>
      </w:r>
      <w:r>
        <w:rPr>
          <w:rStyle w:val="optioncarChar"/>
        </w:rPr>
        <w:t xml:space="preserve">A1 </w:t>
      </w:r>
      <w:r>
        <w:t>(par défaut) </w:t>
      </w:r>
      <w:r>
        <w:rPr>
          <w:rStyle w:val="optioncarChar"/>
        </w:rPr>
        <w:t>/ ***</w:t>
      </w:r>
      <w:r>
        <w:br/>
      </w:r>
      <w:r>
        <w:br/>
      </w:r>
    </w:p>
    <w:p w14:paraId="2E25F59C" w14:textId="77777777" w:rsidR="00DF410E" w:rsidRDefault="00CE7F43">
      <w:pPr>
        <w:pStyle w:val="heading"/>
      </w:pPr>
      <w:r>
        <w:t>Critères de performances</w:t>
      </w:r>
    </w:p>
    <w:p w14:paraId="014C3359" w14:textId="77777777" w:rsidR="00DF410E" w:rsidRDefault="00CE7F43">
      <w:r>
        <w:t>Coefficient de transmission :</w:t>
      </w:r>
    </w:p>
    <w:p w14:paraId="635A905B" w14:textId="77777777" w:rsidR="00DF410E" w:rsidRDefault="00CE7F43">
      <w:pPr>
        <w:pStyle w:val="Author-eListParagraph"/>
        <w:numPr>
          <w:ilvl w:val="0"/>
          <w:numId w:val="154"/>
        </w:numPr>
      </w:pPr>
      <w:r>
        <w:t xml:space="preserve">valeur U minimale de </w:t>
      </w:r>
      <w:r>
        <w:rPr>
          <w:rStyle w:val="optioncarChar"/>
        </w:rPr>
        <w:t>***</w:t>
      </w:r>
      <w:r>
        <w:t xml:space="preserve"> W/m²K</w:t>
      </w:r>
    </w:p>
    <w:p w14:paraId="2460E7A6" w14:textId="77777777" w:rsidR="00DF410E" w:rsidRDefault="00CE7F43">
      <w:pPr>
        <w:pStyle w:val="Author-eListParagraph"/>
        <w:numPr>
          <w:ilvl w:val="0"/>
          <w:numId w:val="15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4A3A286" w14:textId="77777777" w:rsidR="00DF410E" w:rsidRDefault="00CE7F43">
      <w:r>
        <w:br/>
        <w:t xml:space="preserve">Résistance au feu : </w:t>
      </w:r>
      <w:r>
        <w:rPr>
          <w:rStyle w:val="optioncarChar"/>
        </w:rPr>
        <w:t>EI30</w:t>
      </w:r>
      <w:r>
        <w:t> (par défaut)</w:t>
      </w:r>
      <w:r>
        <w:rPr>
          <w:rStyle w:val="optioncarChar"/>
        </w:rPr>
        <w:t xml:space="preserve"> / EI60 / EI90 / EI120 / EI*** </w:t>
      </w:r>
    </w:p>
    <w:p w14:paraId="049EB2A5" w14:textId="77777777" w:rsidR="00DF410E" w:rsidRDefault="00CE7F43">
      <w:r>
        <w:t>selon la norme [NBN EN 1996-1-2 ANB].</w:t>
      </w:r>
    </w:p>
    <w:p w14:paraId="57380DC0" w14:textId="77777777" w:rsidR="00DF410E" w:rsidRDefault="00DF410E"/>
    <w:p w14:paraId="1C74663A" w14:textId="77777777" w:rsidR="00DF410E" w:rsidRDefault="00CE7F43">
      <w:r>
        <w:t> </w:t>
      </w:r>
    </w:p>
    <w:p w14:paraId="388292FE" w14:textId="77777777" w:rsidR="00DF410E" w:rsidRDefault="00CE7F43">
      <w:pPr>
        <w:pStyle w:val="pheading"/>
      </w:pPr>
      <w:r>
        <w:t>- Finitions</w:t>
      </w:r>
    </w:p>
    <w:p w14:paraId="044DDE89" w14:textId="77777777" w:rsidR="00DF410E" w:rsidRDefault="00DF410E"/>
    <w:p w14:paraId="3A5EF374" w14:textId="77777777" w:rsidR="00DF410E" w:rsidRDefault="00CE7F43">
      <w:pPr>
        <w:pStyle w:val="Author-eListParagraph"/>
        <w:numPr>
          <w:ilvl w:val="0"/>
          <w:numId w:val="155"/>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67AE8021" w14:textId="77777777" w:rsidR="00DF410E" w:rsidRDefault="00CE7F43">
      <w:pPr>
        <w:pStyle w:val="Author-eListParagraph"/>
        <w:numPr>
          <w:ilvl w:val="0"/>
          <w:numId w:val="155"/>
        </w:numPr>
      </w:pPr>
      <w:r>
        <w:rPr>
          <w:rStyle w:val="normalChar"/>
        </w:rPr>
        <w:t>Les murs suivants sont exécutés avec deux faces restant apparentes :</w:t>
      </w:r>
      <w:r>
        <w:rPr>
          <w:rStyle w:val="optioncarChar"/>
        </w:rPr>
        <w:t>***</w:t>
      </w:r>
    </w:p>
    <w:p w14:paraId="2C766DC5" w14:textId="77777777" w:rsidR="00DF410E" w:rsidRDefault="00CE7F43">
      <w:pPr>
        <w:pStyle w:val="Author-eListParagraph"/>
        <w:numPr>
          <w:ilvl w:val="0"/>
          <w:numId w:val="155"/>
        </w:numPr>
      </w:pPr>
      <w:r>
        <w:rPr>
          <w:rStyle w:val="normalChar"/>
        </w:rPr>
        <w:t>Les murs suivants sont exécutés avec deux faces restant apparentes :</w:t>
      </w:r>
      <w:r>
        <w:rPr>
          <w:rStyle w:val="optioncarChar"/>
        </w:rPr>
        <w:t>***</w:t>
      </w:r>
    </w:p>
    <w:p w14:paraId="565DFB1A" w14:textId="77777777" w:rsidR="00DF410E" w:rsidRDefault="00CE7F43">
      <w:pPr>
        <w:pStyle w:val="pheading"/>
      </w:pPr>
      <w:r>
        <w:t>MESURAGE</w:t>
      </w:r>
    </w:p>
    <w:p w14:paraId="6E76FACB" w14:textId="77777777" w:rsidR="00DF410E" w:rsidRDefault="00CE7F43">
      <w:pPr>
        <w:pStyle w:val="pheading"/>
      </w:pPr>
      <w:r>
        <w:t>- unité de mesure:</w:t>
      </w:r>
    </w:p>
    <w:p w14:paraId="65804298" w14:textId="77777777" w:rsidR="00DF410E" w:rsidRDefault="00CE7F43">
      <w:r>
        <w:rPr>
          <w:rStyle w:val="optioncarChar"/>
        </w:rPr>
        <w:t>m³ </w:t>
      </w:r>
      <w:r>
        <w:t>(par défaut)</w:t>
      </w:r>
      <w:r>
        <w:rPr>
          <w:rStyle w:val="optioncarChar"/>
        </w:rPr>
        <w:t> / m²</w:t>
      </w:r>
    </w:p>
    <w:p w14:paraId="04879D03" w14:textId="77777777" w:rsidR="00DF410E" w:rsidRDefault="00CE7F43">
      <w:r>
        <w:rPr>
          <w:b/>
        </w:rPr>
        <w:t>(soit par défaut)</w:t>
      </w:r>
    </w:p>
    <w:p w14:paraId="619F1CC2" w14:textId="77777777" w:rsidR="00DF410E" w:rsidRDefault="00CE7F43">
      <w:r>
        <w:rPr>
          <w:rStyle w:val="soitChar"/>
        </w:rPr>
        <w:t>1. m³</w:t>
      </w:r>
    </w:p>
    <w:p w14:paraId="301F1FCF" w14:textId="77777777" w:rsidR="00DF410E" w:rsidRDefault="00CE7F43">
      <w:r>
        <w:rPr>
          <w:b/>
        </w:rPr>
        <w:t>(soit)</w:t>
      </w:r>
    </w:p>
    <w:p w14:paraId="3514202B" w14:textId="77777777" w:rsidR="00DF410E" w:rsidRDefault="00CE7F43">
      <w:r>
        <w:rPr>
          <w:rStyle w:val="soitChar"/>
        </w:rPr>
        <w:t>2. m²</w:t>
      </w:r>
    </w:p>
    <w:p w14:paraId="6022CE89" w14:textId="77777777" w:rsidR="00DF410E" w:rsidRDefault="00CE7F43">
      <w:pPr>
        <w:pStyle w:val="pheading"/>
      </w:pPr>
      <w:r>
        <w:t>- code de mesurage:</w:t>
      </w:r>
    </w:p>
    <w:p w14:paraId="325A5176"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DF3E0BA"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00116A4"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4CE4799" w14:textId="77777777" w:rsidR="00DF410E" w:rsidRDefault="00CE7F43">
      <w:r>
        <w:br/>
      </w:r>
      <w:r>
        <w:rPr>
          <w:rStyle w:val="optioncarChar"/>
        </w:rPr>
        <w:t>Volume net </w:t>
      </w:r>
      <w:r>
        <w:t>(par défaut)</w:t>
      </w:r>
      <w:r>
        <w:rPr>
          <w:rStyle w:val="optioncarChar"/>
        </w:rPr>
        <w:t> / Surface nette</w:t>
      </w:r>
    </w:p>
    <w:p w14:paraId="589DB75C" w14:textId="77777777" w:rsidR="00DF410E" w:rsidRDefault="00CE7F43">
      <w:r>
        <w:rPr>
          <w:b/>
        </w:rPr>
        <w:t>(soit par défaut)</w:t>
      </w:r>
    </w:p>
    <w:p w14:paraId="35902B26"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6D42BC4" w14:textId="77777777" w:rsidR="00DF410E" w:rsidRDefault="00CE7F43">
      <w:r>
        <w:rPr>
          <w:b/>
        </w:rPr>
        <w:t>(soit)</w:t>
      </w:r>
    </w:p>
    <w:p w14:paraId="449FEBAC"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et nature de brique (neuve et/ou de réemploi) et l’épaisseur. S’il s’agit de réemploi, distinguer : avec ou sans fourniture.</w:t>
      </w:r>
    </w:p>
    <w:p w14:paraId="46210DDC" w14:textId="77777777" w:rsidR="00DF410E" w:rsidRDefault="00DF410E"/>
    <w:p w14:paraId="7D1D8BBB" w14:textId="77777777" w:rsidR="00DF410E" w:rsidRDefault="00CE7F43">
      <w:r>
        <w:t> </w:t>
      </w:r>
    </w:p>
    <w:p w14:paraId="71868AD4" w14:textId="77777777" w:rsidR="00DF410E" w:rsidRDefault="00CE7F43">
      <w:pPr>
        <w:pStyle w:val="pheading"/>
      </w:pPr>
      <w:r>
        <w:t>- nature du marché:</w:t>
      </w:r>
    </w:p>
    <w:p w14:paraId="5188D7A2" w14:textId="77777777" w:rsidR="00DF410E" w:rsidRDefault="00CE7F43">
      <w:r>
        <w:t>QF</w:t>
      </w:r>
    </w:p>
    <w:p w14:paraId="09C53BFE" w14:textId="77777777" w:rsidR="00DF410E" w:rsidRDefault="00CE7F43">
      <w:pPr>
        <w:pStyle w:val="Author-eSectionHeading5"/>
      </w:pPr>
      <w:bookmarkStart w:id="146" w:name="_Toc178837398"/>
      <w:r>
        <w:t>21.21.2 Maçonneries non portantes en briques de béton CCTB 01.12</w:t>
      </w:r>
      <w:bookmarkEnd w:id="146"/>
    </w:p>
    <w:p w14:paraId="6E9B4674" w14:textId="77777777" w:rsidR="00DF410E" w:rsidRDefault="00CE7F43">
      <w:pPr>
        <w:pStyle w:val="pheading"/>
      </w:pPr>
      <w:bookmarkStart w:id="147" w:name="383"/>
      <w:bookmarkEnd w:id="147"/>
      <w:r>
        <w:t>MATÉRIAUX</w:t>
      </w:r>
    </w:p>
    <w:p w14:paraId="55EABF68" w14:textId="77777777" w:rsidR="00DF410E" w:rsidRDefault="00CE7F43">
      <w:r>
        <w:t>Il s'agit des briques en béton, qui répondent à la norme [NBN EN 771-3+A1] et au [PTV 21-001]. L'entrepreneur soumet un échantillon, la fiche technique et la déclaration des performances (DoP) du matériau pour approbation à l'auteur de projet et au maître de l’ouvrage.</w:t>
      </w:r>
    </w:p>
    <w:p w14:paraId="29BDEEF2" w14:textId="77777777" w:rsidR="00DF410E" w:rsidRDefault="00CE7F43">
      <w:pPr>
        <w:pStyle w:val="pheading"/>
      </w:pPr>
      <w:r>
        <w:t>EXÉCUTION / MISE EN ŒUVRE</w:t>
      </w:r>
    </w:p>
    <w:p w14:paraId="76847E8C" w14:textId="77777777" w:rsidR="00DF410E" w:rsidRDefault="00CE7F43">
      <w:r>
        <w:t>Conformément au mode de mise en œuvre, les briques en béton sont maçonnés au mortier / collés à l’aide d’un mortier-colle selon les indications du fabricant des briques, du fabricant de mortier et des notes de calcul du bureau d’études.</w:t>
      </w:r>
    </w:p>
    <w:p w14:paraId="53F7A962" w14:textId="77777777" w:rsidR="00DF410E" w:rsidRDefault="00CE7F43">
      <w:r>
        <w:t>Le mortier à coller / à maçonner (selon la norme [NBN EN 998-2] et le règlement d’application [TRA 651] répond à la catégorie :</w:t>
      </w:r>
      <w:r>
        <w:rPr>
          <w:rStyle w:val="optioncarChar"/>
        </w:rPr>
        <w:t xml:space="preserve"> M5 / M10 </w:t>
      </w:r>
      <w:r>
        <w:rPr>
          <w:rStyle w:val="optioncarChar"/>
          <w:color w:val="000000"/>
        </w:rPr>
        <w:t xml:space="preserve">﻿(par défaut) </w:t>
      </w:r>
      <w:r>
        <w:rPr>
          <w:rStyle w:val="optioncarChar"/>
        </w:rPr>
        <w:t>/ M15 / M20 / ***</w:t>
      </w:r>
      <w:r>
        <w:br/>
        <w:t xml:space="preserve">L'épaisseur des joints est d'au moins </w:t>
      </w:r>
      <w:r>
        <w:rPr>
          <w:rStyle w:val="optioncarChar"/>
        </w:rPr>
        <w:t>10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 </w:t>
      </w:r>
      <w:r>
        <w:rPr>
          <w:rStyle w:val="optioncarChar"/>
        </w:rPr>
        <w:t>/ acier galvanisé min 60 g/m² avec revêtement organique / acier inoxydable austénitique / ***</w:t>
      </w:r>
      <w:r>
        <w:br/>
        <w:t xml:space="preserve">Isolation contre l'humidité : membranes en </w:t>
      </w:r>
      <w:r>
        <w:rPr>
          <w:rStyle w:val="optioncarChar"/>
        </w:rPr>
        <w:t>PE</w:t>
      </w:r>
      <w:r>
        <w:t> (par défaut)</w:t>
      </w:r>
      <w:r>
        <w:rPr>
          <w:rStyle w:val="optioncarChar"/>
        </w:rPr>
        <w:t xml:space="preserve"> / ***</w:t>
      </w:r>
      <w:r>
        <w:t xml:space="preserve"> conformément à l'article </w:t>
      </w:r>
      <w:hyperlink w:anchor="354" w:history="1">
        <w:r>
          <w:t>26.11 Feuilles et membranes d'étanchéité à l'eau</w:t>
        </w:r>
      </w:hyperlink>
      <w:r>
        <w:t>.</w:t>
      </w:r>
    </w:p>
    <w:p w14:paraId="5F29FD6D" w14:textId="77777777" w:rsidR="00DF410E" w:rsidRDefault="00CE7F43">
      <w:r>
        <w:t>Pour les maçonneries destinées à rester apparentes, seules des briques non endommagés sont utilisés.</w:t>
      </w:r>
    </w:p>
    <w:p w14:paraId="68EC1CDB"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451BEABB" w14:textId="77777777" w:rsidR="00DF410E" w:rsidRDefault="00CE7F43">
      <w:r>
        <w:t xml:space="preserve">Les segments de murs sont pourvus d'armatures verticales selon l'article </w:t>
      </w:r>
      <w:hyperlink w:anchor="356" w:history="1">
        <w:r>
          <w:t>21.41.2 Armatures verticales pour maçonneries</w:t>
        </w:r>
      </w:hyperlink>
    </w:p>
    <w:p w14:paraId="5B08D45C"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7CC7B1BF" w14:textId="77777777" w:rsidR="00DF410E" w:rsidRDefault="00CE7F43">
      <w:r>
        <w:t xml:space="preserve">Crochets de mur : </w:t>
      </w:r>
      <w:r>
        <w:rPr>
          <w:rStyle w:val="optioncarChar"/>
        </w:rPr>
        <w:t xml:space="preserve">acier inoxydable </w:t>
      </w:r>
      <w:r>
        <w:t>(par défaut) </w:t>
      </w:r>
      <w:r>
        <w:rPr>
          <w:rStyle w:val="optioncarChar"/>
        </w:rPr>
        <w:t>/ *** , diamètre minimal 3,5 </w:t>
      </w:r>
      <w:r>
        <w:t>(par défaut)</w:t>
      </w:r>
      <w:r>
        <w:rPr>
          <w:rStyle w:val="optioncarChar"/>
        </w:rPr>
        <w:t xml:space="preserve"> / ***</w:t>
      </w:r>
      <w:r>
        <w:t xml:space="preserve"> mm</w:t>
      </w:r>
    </w:p>
    <w:p w14:paraId="13FAF4E9" w14:textId="77777777" w:rsidR="00DF410E" w:rsidRDefault="00CE7F43">
      <w:r>
        <w:t>Linteaux :</w:t>
      </w:r>
      <w:r>
        <w:rPr>
          <w:rStyle w:val="optioncarChar"/>
        </w:rPr>
        <w:t xml:space="preserve"> ***</w:t>
      </w:r>
      <w:r>
        <w:t xml:space="preserve"> conformément à l’article </w:t>
      </w:r>
      <w:hyperlink w:anchor="358" w:history="1">
        <w:r>
          <w:t>22.13 Linteaux en béton</w:t>
        </w:r>
      </w:hyperlink>
      <w:r>
        <w:t>.</w:t>
      </w:r>
    </w:p>
    <w:p w14:paraId="1D924053" w14:textId="77777777" w:rsidR="00DF410E" w:rsidRDefault="00CE7F43">
      <w:pPr>
        <w:pStyle w:val="pheading"/>
      </w:pPr>
      <w:r>
        <w:t>AIDE</w:t>
      </w:r>
    </w:p>
    <w:p w14:paraId="0EBA740A" w14:textId="77777777" w:rsidR="00DF410E" w:rsidRDefault="00CE7F43">
      <w:r>
        <w:t>Note à l'attention de l'auteur du projet : pour le choix adéquat du mortier, se référer à la [STS 22 série].</w:t>
      </w:r>
    </w:p>
    <w:p w14:paraId="22026CD7" w14:textId="77777777" w:rsidR="00DF410E" w:rsidRDefault="00CE7F43">
      <w:pPr>
        <w:pStyle w:val="Author-eSectionHeading6"/>
      </w:pPr>
      <w:bookmarkStart w:id="148" w:name="_Toc178837399"/>
      <w:r>
        <w:t>21.21.2a Maçonneries non portantes en briques de béton à maçonner CCTB 01.12</w:t>
      </w:r>
      <w:bookmarkEnd w:id="148"/>
    </w:p>
    <w:p w14:paraId="52163957" w14:textId="77777777" w:rsidR="00DF410E" w:rsidRDefault="00CE7F43">
      <w:pPr>
        <w:pStyle w:val="pheading"/>
      </w:pPr>
      <w:r>
        <w:t>DESCRIPTION</w:t>
      </w:r>
    </w:p>
    <w:p w14:paraId="39A29227" w14:textId="77777777" w:rsidR="00DF410E" w:rsidRDefault="00CE7F43">
      <w:pPr>
        <w:pStyle w:val="pheading"/>
      </w:pPr>
      <w:r>
        <w:t>- Définition / Comprend</w:t>
      </w:r>
    </w:p>
    <w:p w14:paraId="2CCDA9F3" w14:textId="77777777" w:rsidR="00DF410E" w:rsidRDefault="00CE7F43">
      <w:r>
        <w:t xml:space="preserve">Il s’agit de la fourniture et la pose de maçonneries non portantes en briques en béton à maçonner. </w:t>
      </w:r>
      <w:r>
        <w:br/>
        <w:t xml:space="preserve">La portée des travaux est décrite dans l’article </w:t>
      </w:r>
      <w:hyperlink w:anchor="383" w:history="1">
        <w:r>
          <w:t>21.21.2 Maçonneries non portantes en briques de béton</w:t>
        </w:r>
      </w:hyperlink>
      <w:r>
        <w:t>.</w:t>
      </w:r>
      <w:r>
        <w:br/>
        <w:t>Les travaux comprennent également la fourniture et la pose des pièces d’angle, de terminaison et de rencontre.</w:t>
      </w:r>
    </w:p>
    <w:p w14:paraId="68FDA990" w14:textId="77777777" w:rsidR="00DF410E" w:rsidRDefault="00CE7F43">
      <w:pPr>
        <w:pStyle w:val="pheading"/>
      </w:pPr>
      <w:r>
        <w:t>- Localisation</w:t>
      </w:r>
    </w:p>
    <w:p w14:paraId="665EF4CB" w14:textId="77777777" w:rsidR="00DF410E" w:rsidRDefault="00CE7F43">
      <w:r>
        <w:t>La pose est réalisée aux endroits suivants :</w:t>
      </w:r>
      <w:r>
        <w:rPr>
          <w:rStyle w:val="optioncarChar"/>
        </w:rPr>
        <w:t xml:space="preserve"> ***</w:t>
      </w:r>
      <w:r>
        <w:t>.</w:t>
      </w:r>
      <w:r>
        <w:br/>
        <w:t>Voir plans et métrés détaillés.</w:t>
      </w:r>
    </w:p>
    <w:p w14:paraId="63E1F6C5" w14:textId="77777777" w:rsidR="00DF410E" w:rsidRDefault="00CE7F43">
      <w:pPr>
        <w:pStyle w:val="pheading"/>
      </w:pPr>
      <w:r>
        <w:t>MATÉRIAUX</w:t>
      </w:r>
    </w:p>
    <w:p w14:paraId="6EC4DA66" w14:textId="77777777" w:rsidR="00DF410E" w:rsidRDefault="00CE7F43">
      <w:pPr>
        <w:pStyle w:val="pheading"/>
      </w:pPr>
      <w:r>
        <w:t>- Caractéristiques générales</w:t>
      </w:r>
    </w:p>
    <w:p w14:paraId="10FB7E68" w14:textId="77777777" w:rsidR="00DF410E" w:rsidRDefault="00CE7F43">
      <w:r>
        <w:rPr>
          <w:rStyle w:val="headingChar"/>
        </w:rPr>
        <w:t>Spécifications</w:t>
      </w:r>
    </w:p>
    <w:p w14:paraId="1B2D1F4B" w14:textId="77777777" w:rsidR="00DF410E" w:rsidRDefault="00CE7F43">
      <w:r>
        <w:rPr>
          <w:u w:val="single"/>
        </w:rPr>
        <w:t>Blocs</w:t>
      </w:r>
    </w:p>
    <w:p w14:paraId="2D164CF9"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 xml:space="preserve">Format : (L x l x h) : </w:t>
      </w:r>
      <w:r>
        <w:rPr>
          <w:rStyle w:val="optioncarChar"/>
        </w:rPr>
        <w:t>format modulaire proposé par l'entrepreneur</w:t>
      </w:r>
      <w:r>
        <w:t> (par défaut) </w:t>
      </w:r>
      <w:r>
        <w:rPr>
          <w:rStyle w:val="optioncarChar"/>
        </w:rPr>
        <w:t xml:space="preserve">/ (190 / *** </w:t>
      </w:r>
      <w:r>
        <w:t> x</w:t>
      </w:r>
      <w:r>
        <w:rPr>
          <w:rStyle w:val="optioncarChar"/>
        </w:rPr>
        <w:t> 90 / *** </w:t>
      </w:r>
      <w:r>
        <w:rPr>
          <w:rStyle w:val="optioncarChar"/>
          <w:color w:val="000000"/>
        </w:rPr>
        <w:t>x</w:t>
      </w:r>
      <w:r>
        <w:rPr>
          <w:rStyle w:val="optioncarChar"/>
        </w:rPr>
        <w:t> 52 / 65 / ***</w:t>
      </w:r>
      <w:r>
        <w:t xml:space="preserve"> ) mm</w:t>
      </w:r>
    </w:p>
    <w:p w14:paraId="4B93C64C"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 ).</w:t>
      </w:r>
    </w:p>
    <w:p w14:paraId="7F2B2347" w14:textId="77777777" w:rsidR="00DF410E" w:rsidRDefault="00CE7F43">
      <w:r>
        <w:t xml:space="preserve">Taux initial d’absorption d’eau : classe </w:t>
      </w:r>
      <w:r>
        <w:rPr>
          <w:rStyle w:val="optioncarChar"/>
        </w:rPr>
        <w:t>IW1 / IW2 / IW3 / IW4</w:t>
      </w:r>
      <w:r>
        <w:br/>
        <w:t xml:space="preserve">Absorption d’eau par capillarité : </w:t>
      </w:r>
      <w:r>
        <w:rPr>
          <w:rStyle w:val="optioncarChar"/>
        </w:rPr>
        <w:t>A1 (exposé décoratif) / A2 (exposé) </w:t>
      </w:r>
      <w:r>
        <w:t>(par défaut)</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34F55A8C" w14:textId="77777777" w:rsidR="00DF410E" w:rsidRDefault="00CE7F43">
      <w:pPr>
        <w:spacing w:before="0" w:after="0"/>
      </w:pPr>
      <w:r>
        <w:rPr>
          <w:u w:val="single"/>
        </w:rPr>
        <w:t>Mortier</w:t>
      </w:r>
    </w:p>
    <w:p w14:paraId="439F7B29"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5844A69D"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CB8C341" w14:textId="77777777" w:rsidR="00DF410E" w:rsidRDefault="00CE7F43">
      <w:pPr>
        <w:spacing w:before="0" w:after="0"/>
      </w:pPr>
      <w:r>
        <w:rPr>
          <w:rStyle w:val="normalChar"/>
          <w:color w:val="000000"/>
        </w:rPr>
        <w:t>Résistance au gel : oui</w:t>
      </w:r>
    </w:p>
    <w:p w14:paraId="372775DF" w14:textId="77777777" w:rsidR="00DF410E" w:rsidRDefault="00CE7F43">
      <w:r>
        <w:br/>
      </w:r>
      <w:r>
        <w:rPr>
          <w:rStyle w:val="headingChar"/>
        </w:rPr>
        <w:t>Critères De Performances De La Paroi</w:t>
      </w:r>
    </w:p>
    <w:p w14:paraId="7FE1BD01" w14:textId="77777777" w:rsidR="00DF410E" w:rsidRDefault="00CE7F43">
      <w:r>
        <w:t>Coefficient de transmission :</w:t>
      </w:r>
    </w:p>
    <w:p w14:paraId="121CDD21" w14:textId="77777777" w:rsidR="00DF410E" w:rsidRDefault="00CE7F43">
      <w:pPr>
        <w:pStyle w:val="Author-eListParagraph"/>
        <w:numPr>
          <w:ilvl w:val="0"/>
          <w:numId w:val="156"/>
        </w:numPr>
      </w:pPr>
      <w:r>
        <w:t xml:space="preserve">valeur U minimale de </w:t>
      </w:r>
      <w:r>
        <w:rPr>
          <w:rStyle w:val="optioncarChar"/>
        </w:rPr>
        <w:t>***</w:t>
      </w:r>
      <w:r>
        <w:t xml:space="preserve"> W/m²K</w:t>
      </w:r>
    </w:p>
    <w:p w14:paraId="785C07F0" w14:textId="77777777" w:rsidR="00DF410E" w:rsidRDefault="00CE7F43">
      <w:pPr>
        <w:pStyle w:val="Author-eListParagraph"/>
        <w:numPr>
          <w:ilvl w:val="0"/>
          <w:numId w:val="15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DA970EE" w14:textId="77777777" w:rsidR="00DF410E" w:rsidRDefault="00CE7F43">
      <w:r>
        <w:br/>
        <w:t xml:space="preserve">Résistance au feu : </w:t>
      </w:r>
      <w:r>
        <w:rPr>
          <w:rStyle w:val="optioncarChar"/>
        </w:rPr>
        <w:t>EI30 </w:t>
      </w:r>
      <w:r>
        <w:t>(par défaut)</w:t>
      </w:r>
      <w:r>
        <w:rPr>
          <w:rStyle w:val="optioncarChar"/>
        </w:rPr>
        <w:t xml:space="preserve"> / EI60 / EI90 / EI120 / EI***</w:t>
      </w:r>
    </w:p>
    <w:p w14:paraId="685E4648" w14:textId="77777777" w:rsidR="00DF410E" w:rsidRDefault="00CE7F43">
      <w:r>
        <w:t>selon les tableaux dans [NBN EN 1996-1-2 ANB];</w:t>
      </w:r>
    </w:p>
    <w:p w14:paraId="03BB20AF" w14:textId="77777777" w:rsidR="00DF410E" w:rsidRDefault="00DF410E"/>
    <w:p w14:paraId="3CE19BF6" w14:textId="77777777" w:rsidR="00DF410E" w:rsidRDefault="00CE7F43">
      <w:r>
        <w:t> </w:t>
      </w:r>
    </w:p>
    <w:p w14:paraId="362903A9" w14:textId="77777777" w:rsidR="00DF410E" w:rsidRDefault="00CE7F43">
      <w:pPr>
        <w:pStyle w:val="pheading"/>
      </w:pPr>
      <w:r>
        <w:t>- Finitions</w:t>
      </w:r>
    </w:p>
    <w:p w14:paraId="5E7E3552" w14:textId="77777777" w:rsidR="00DF410E" w:rsidRDefault="00DF410E"/>
    <w:p w14:paraId="2AD07D35" w14:textId="77777777" w:rsidR="00DF410E" w:rsidRDefault="00CE7F43">
      <w:pPr>
        <w:pStyle w:val="Author-eListParagraph"/>
        <w:numPr>
          <w:ilvl w:val="0"/>
          <w:numId w:val="157"/>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1B601BBE" w14:textId="77777777" w:rsidR="00DF410E" w:rsidRDefault="00CE7F43">
      <w:pPr>
        <w:pStyle w:val="Author-eListParagraph"/>
        <w:numPr>
          <w:ilvl w:val="0"/>
          <w:numId w:val="157"/>
        </w:numPr>
      </w:pPr>
      <w:r>
        <w:t>Les murs suivants sont exécutés avec une face restant apparente :</w:t>
      </w:r>
      <w:r>
        <w:rPr>
          <w:rStyle w:val="optioncarChar"/>
        </w:rPr>
        <w:t xml:space="preserve"> ***</w:t>
      </w:r>
    </w:p>
    <w:p w14:paraId="5115186C" w14:textId="77777777" w:rsidR="00DF410E" w:rsidRDefault="00CE7F43">
      <w:pPr>
        <w:pStyle w:val="Author-eListParagraph"/>
        <w:numPr>
          <w:ilvl w:val="0"/>
          <w:numId w:val="157"/>
        </w:numPr>
      </w:pPr>
      <w:r>
        <w:t>Les murs suivants sont exécutés avec deux faces restant apparentes :</w:t>
      </w:r>
      <w:r>
        <w:rPr>
          <w:rStyle w:val="optioncarChar"/>
        </w:rPr>
        <w:t xml:space="preserve"> ***</w:t>
      </w:r>
    </w:p>
    <w:p w14:paraId="3156BD41" w14:textId="77777777" w:rsidR="00DF410E" w:rsidRDefault="00CE7F43">
      <w:pPr>
        <w:pStyle w:val="pheading"/>
      </w:pPr>
      <w:r>
        <w:t>MESURAGE</w:t>
      </w:r>
    </w:p>
    <w:p w14:paraId="67A72E2B" w14:textId="77777777" w:rsidR="00DF410E" w:rsidRDefault="00CE7F43">
      <w:pPr>
        <w:pStyle w:val="pheading"/>
      </w:pPr>
      <w:r>
        <w:t>- unité de mesure:</w:t>
      </w:r>
    </w:p>
    <w:p w14:paraId="13A3135F" w14:textId="77777777" w:rsidR="00DF410E" w:rsidRDefault="00CE7F43">
      <w:r>
        <w:rPr>
          <w:rStyle w:val="optioncarChar"/>
        </w:rPr>
        <w:t>m³ </w:t>
      </w:r>
      <w:r>
        <w:t>(par défaut)</w:t>
      </w:r>
      <w:r>
        <w:rPr>
          <w:rStyle w:val="optioncarChar"/>
        </w:rPr>
        <w:t> / m²</w:t>
      </w:r>
    </w:p>
    <w:p w14:paraId="722ADEA1" w14:textId="77777777" w:rsidR="00DF410E" w:rsidRDefault="00CE7F43">
      <w:r>
        <w:rPr>
          <w:b/>
        </w:rPr>
        <w:t>(soit par défaut)</w:t>
      </w:r>
    </w:p>
    <w:p w14:paraId="71ABAC63" w14:textId="77777777" w:rsidR="00DF410E" w:rsidRDefault="00CE7F43">
      <w:r>
        <w:rPr>
          <w:rStyle w:val="soitChar"/>
        </w:rPr>
        <w:t>1. m³</w:t>
      </w:r>
    </w:p>
    <w:p w14:paraId="6201535D" w14:textId="77777777" w:rsidR="00DF410E" w:rsidRDefault="00CE7F43">
      <w:r>
        <w:rPr>
          <w:b/>
        </w:rPr>
        <w:t>(soit)</w:t>
      </w:r>
    </w:p>
    <w:p w14:paraId="67E80B4C" w14:textId="77777777" w:rsidR="00DF410E" w:rsidRDefault="00CE7F43">
      <w:r>
        <w:rPr>
          <w:rStyle w:val="soitChar"/>
        </w:rPr>
        <w:t>2. m²</w:t>
      </w:r>
    </w:p>
    <w:p w14:paraId="4C064DC2" w14:textId="77777777" w:rsidR="00DF410E" w:rsidRDefault="00CE7F43">
      <w:pPr>
        <w:pStyle w:val="pheading"/>
      </w:pPr>
      <w:r>
        <w:t>- code de mesurage:</w:t>
      </w:r>
    </w:p>
    <w:p w14:paraId="28E1DB9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BB176E8"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22BA0AF"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3EC043E6" w14:textId="77777777" w:rsidR="00DF410E" w:rsidRDefault="00CE7F43">
      <w:r>
        <w:br/>
      </w:r>
      <w:r>
        <w:rPr>
          <w:rStyle w:val="optioncarChar"/>
        </w:rPr>
        <w:t>Volume net </w:t>
      </w:r>
      <w:r>
        <w:t>(par défaut)</w:t>
      </w:r>
      <w:r>
        <w:rPr>
          <w:rStyle w:val="optioncarChar"/>
        </w:rPr>
        <w:t> / Surface nette</w:t>
      </w:r>
    </w:p>
    <w:p w14:paraId="70F99EBA" w14:textId="77777777" w:rsidR="00DF410E" w:rsidRDefault="00CE7F43">
      <w:r>
        <w:rPr>
          <w:b/>
        </w:rPr>
        <w:t>(soit par défaut)</w:t>
      </w:r>
    </w:p>
    <w:p w14:paraId="334B2D0C"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660BF95A" w14:textId="77777777" w:rsidR="00DF410E" w:rsidRDefault="00CE7F43">
      <w:r>
        <w:rPr>
          <w:b/>
        </w:rPr>
        <w:t>(soit)</w:t>
      </w:r>
    </w:p>
    <w:p w14:paraId="7469E349"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D414F73" w14:textId="77777777" w:rsidR="00DF410E" w:rsidRDefault="00CE7F43">
      <w:pPr>
        <w:pStyle w:val="pheading"/>
      </w:pPr>
      <w:r>
        <w:t>- nature du marché:</w:t>
      </w:r>
    </w:p>
    <w:p w14:paraId="6D919FDA" w14:textId="77777777" w:rsidR="00DF410E" w:rsidRDefault="00CE7F43">
      <w:r>
        <w:t>QF</w:t>
      </w:r>
    </w:p>
    <w:p w14:paraId="06AE6D6D" w14:textId="77777777" w:rsidR="00DF410E" w:rsidRDefault="00CE7F43">
      <w:pPr>
        <w:pStyle w:val="Author-eSectionHeading6"/>
      </w:pPr>
      <w:bookmarkStart w:id="149" w:name="_Toc178837400"/>
      <w:r>
        <w:t>21.21.2b Maçonneries non portantes en briques de béton à coller CCTB 01.12</w:t>
      </w:r>
      <w:bookmarkEnd w:id="149"/>
    </w:p>
    <w:p w14:paraId="6CA8B28E" w14:textId="77777777" w:rsidR="00DF410E" w:rsidRDefault="00CE7F43">
      <w:pPr>
        <w:pStyle w:val="pheading"/>
      </w:pPr>
      <w:r>
        <w:t>DESCRIPTION</w:t>
      </w:r>
    </w:p>
    <w:p w14:paraId="1ED6E820" w14:textId="77777777" w:rsidR="00DF410E" w:rsidRDefault="00CE7F43">
      <w:pPr>
        <w:pStyle w:val="pheading"/>
      </w:pPr>
      <w:r>
        <w:t>- Définition / Comprend</w:t>
      </w:r>
    </w:p>
    <w:p w14:paraId="3593D4E3" w14:textId="77777777" w:rsidR="00DF410E" w:rsidRDefault="00CE7F43">
      <w:r>
        <w:t xml:space="preserve">Il s’agit de la fourniture et la pose de maçonneries non portantes en briques en béton à coller. </w:t>
      </w:r>
      <w:r>
        <w:br/>
        <w:t xml:space="preserve">La portée des travaux est décrite dans l’article </w:t>
      </w:r>
      <w:hyperlink w:anchor="383" w:history="1">
        <w:r>
          <w:t>21.21.2 Maçonneries non portantes en briques de béton</w:t>
        </w:r>
      </w:hyperlink>
      <w:r>
        <w:t>.</w:t>
      </w:r>
      <w:r>
        <w:br/>
        <w:t>Les travaux comprennent également la fourniture et la pose des pièces d’angle, de terminaison et de rencontre.</w:t>
      </w:r>
    </w:p>
    <w:p w14:paraId="035AEA53" w14:textId="77777777" w:rsidR="00DF410E" w:rsidRDefault="00CE7F43">
      <w:pPr>
        <w:pStyle w:val="pheading"/>
      </w:pPr>
      <w:r>
        <w:t>- Localisation</w:t>
      </w:r>
    </w:p>
    <w:p w14:paraId="51DC2E2B" w14:textId="77777777" w:rsidR="00DF410E" w:rsidRDefault="00CE7F43">
      <w:r>
        <w:t xml:space="preserve">La pose est réalisée aux endroits suivants : </w:t>
      </w:r>
      <w:r>
        <w:rPr>
          <w:rStyle w:val="optioncarChar"/>
        </w:rPr>
        <w:t>***</w:t>
      </w:r>
      <w:r>
        <w:t>.</w:t>
      </w:r>
      <w:r>
        <w:br/>
        <w:t>Voir plans et métrés détaillés.</w:t>
      </w:r>
    </w:p>
    <w:p w14:paraId="06E4146C" w14:textId="77777777" w:rsidR="00DF410E" w:rsidRDefault="00CE7F43">
      <w:pPr>
        <w:pStyle w:val="pheading"/>
      </w:pPr>
      <w:r>
        <w:t>MATÉRIAUX</w:t>
      </w:r>
    </w:p>
    <w:p w14:paraId="76F01CD1" w14:textId="77777777" w:rsidR="00DF410E" w:rsidRDefault="00CE7F43">
      <w:pPr>
        <w:pStyle w:val="pheading"/>
      </w:pPr>
      <w:r>
        <w:t>- Caractéristiques générales</w:t>
      </w:r>
    </w:p>
    <w:p w14:paraId="748E76DB" w14:textId="77777777" w:rsidR="00DF410E" w:rsidRDefault="00CE7F43">
      <w:r>
        <w:rPr>
          <w:rStyle w:val="headingChar"/>
        </w:rPr>
        <w:t>Spécifications</w:t>
      </w:r>
    </w:p>
    <w:p w14:paraId="1872B65B" w14:textId="77777777" w:rsidR="00DF410E" w:rsidRDefault="00CE7F43">
      <w:r>
        <w:rPr>
          <w:u w:val="single"/>
        </w:rPr>
        <w:t>Blocs</w:t>
      </w:r>
    </w:p>
    <w:p w14:paraId="03CA9236"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La masse volumique sèche apparente des blocs ρ (rho) est : ***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(190 / *** </w:t>
      </w:r>
      <w:r>
        <w:t>x</w:t>
      </w:r>
      <w:r>
        <w:rPr>
          <w:rStyle w:val="optioncarChar"/>
        </w:rPr>
        <w:t> 50 / 65 / ***</w:t>
      </w:r>
      <w:r>
        <w:t> x</w:t>
      </w:r>
      <w:r>
        <w:rPr>
          <w:rStyle w:val="optioncarChar"/>
        </w:rPr>
        <w:t> 90 / ***</w:t>
      </w:r>
      <w:r>
        <w:t> ) mm</w:t>
      </w:r>
    </w:p>
    <w:p w14:paraId="0D57CA3B" w14:textId="77777777" w:rsidR="00DF410E" w:rsidRDefault="00CE7F43">
      <w:r>
        <w:t>Tolérances dimensionnelles :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7BF5FE24" w14:textId="77777777" w:rsidR="00DF410E" w:rsidRDefault="00CE7F43">
      <w:pPr>
        <w:spacing w:before="0" w:after="0"/>
      </w:pPr>
      <w:r>
        <w:rPr>
          <w:u w:val="single"/>
        </w:rPr>
        <w:t>Mortier</w:t>
      </w:r>
    </w:p>
    <w:p w14:paraId="27239A93" w14:textId="77777777" w:rsidR="00DF410E" w:rsidRDefault="00CE7F43">
      <w:pPr>
        <w:spacing w:before="0" w:after="0"/>
      </w:pPr>
      <w:r>
        <w:rPr>
          <w:rStyle w:val="normalChar"/>
          <w:color w:val="000000"/>
        </w:rPr>
        <w:t>Classe de résistance :</w:t>
      </w:r>
      <w:r>
        <w:rPr>
          <w:rStyle w:val="optioncarChar"/>
        </w:rPr>
        <w:t xml:space="preserve">M1 / M2,5 / M5 / M10 </w:t>
      </w:r>
      <w:r>
        <w:t xml:space="preserve"> (par défaut) </w:t>
      </w:r>
      <w:r>
        <w:rPr>
          <w:rStyle w:val="optioncarChar"/>
        </w:rPr>
        <w:t xml:space="preserve">/ M15 / M20 </w:t>
      </w:r>
    </w:p>
    <w:p w14:paraId="1BEDB7AC"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09ABF2CA" w14:textId="77777777" w:rsidR="00DF410E" w:rsidRDefault="00CE7F43">
      <w:pPr>
        <w:spacing w:before="0" w:after="0"/>
      </w:pPr>
      <w:r>
        <w:rPr>
          <w:rStyle w:val="normalChar"/>
          <w:color w:val="000000"/>
        </w:rPr>
        <w:t>Résistance au gel : oui</w:t>
      </w:r>
    </w:p>
    <w:p w14:paraId="248DF6CB" w14:textId="77777777" w:rsidR="00DF410E" w:rsidRDefault="00CE7F43">
      <w:r>
        <w:br/>
      </w:r>
      <w:r>
        <w:rPr>
          <w:rStyle w:val="headingChar"/>
        </w:rPr>
        <w:t>Critères De Performances De La Paroi</w:t>
      </w:r>
    </w:p>
    <w:p w14:paraId="75418131" w14:textId="77777777" w:rsidR="00DF410E" w:rsidRDefault="00CE7F43">
      <w:r>
        <w:t>Coefficient de transmission :</w:t>
      </w:r>
    </w:p>
    <w:p w14:paraId="6D061E86" w14:textId="77777777" w:rsidR="00DF410E" w:rsidRDefault="00CE7F43">
      <w:pPr>
        <w:pStyle w:val="Author-eListParagraph"/>
        <w:numPr>
          <w:ilvl w:val="0"/>
          <w:numId w:val="158"/>
        </w:numPr>
      </w:pPr>
      <w:r>
        <w:t xml:space="preserve">valeur U minimale de </w:t>
      </w:r>
      <w:r>
        <w:rPr>
          <w:rStyle w:val="optioncarChar"/>
        </w:rPr>
        <w:t>***</w:t>
      </w:r>
      <w:r>
        <w:t xml:space="preserve"> W/m²K</w:t>
      </w:r>
    </w:p>
    <w:p w14:paraId="1ECDDFE9" w14:textId="77777777" w:rsidR="00DF410E" w:rsidRDefault="00CE7F43">
      <w:pPr>
        <w:pStyle w:val="Author-eListParagraph"/>
        <w:numPr>
          <w:ilvl w:val="0"/>
          <w:numId w:val="15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B13B068" w14:textId="77777777" w:rsidR="00DF410E" w:rsidRDefault="00CE7F43">
      <w:r>
        <w:br/>
        <w:t xml:space="preserve">Résistance au feu : </w:t>
      </w:r>
      <w:r>
        <w:rPr>
          <w:rStyle w:val="optioncarChar"/>
        </w:rPr>
        <w:t>EI30 </w:t>
      </w:r>
      <w:r>
        <w:t>(par défaut)</w:t>
      </w:r>
      <w:r>
        <w:rPr>
          <w:rStyle w:val="optioncarChar"/>
        </w:rPr>
        <w:t xml:space="preserve"> / EI60 / EI90 / EI120 / EI***</w:t>
      </w:r>
    </w:p>
    <w:p w14:paraId="1D63598E" w14:textId="77777777" w:rsidR="00DF410E" w:rsidRDefault="00CE7F43">
      <w:r>
        <w:t>selon les tableaux dans [NBN EN 1996-1-2 ANB].</w:t>
      </w:r>
    </w:p>
    <w:p w14:paraId="076F52EA" w14:textId="77777777" w:rsidR="00DF410E" w:rsidRDefault="00DF410E"/>
    <w:p w14:paraId="54CC8292" w14:textId="77777777" w:rsidR="00DF410E" w:rsidRDefault="00CE7F43">
      <w:r>
        <w:t> </w:t>
      </w:r>
    </w:p>
    <w:p w14:paraId="44B9F148" w14:textId="77777777" w:rsidR="00DF410E" w:rsidRDefault="00CE7F43">
      <w:pPr>
        <w:pStyle w:val="pheading"/>
      </w:pPr>
      <w:r>
        <w:t>- Finitions</w:t>
      </w:r>
    </w:p>
    <w:p w14:paraId="2C6A339F" w14:textId="77777777" w:rsidR="00DF410E" w:rsidRDefault="00DF410E"/>
    <w:p w14:paraId="014B13C9" w14:textId="77777777" w:rsidR="00DF410E" w:rsidRDefault="00CE7F43">
      <w:pPr>
        <w:pStyle w:val="Author-eListParagraph"/>
        <w:numPr>
          <w:ilvl w:val="0"/>
          <w:numId w:val="159"/>
        </w:numPr>
      </w:pPr>
      <w:r>
        <w:t>Les faces de murs suivantes sont exécutées comme maçonneries apparentes et sont</w:t>
      </w:r>
      <w:r>
        <w:rPr>
          <w:rStyle w:val="optioncarChar"/>
          <w:color w:val="000000"/>
        </w:rPr>
        <w:t xml:space="preserve"> rejointoyées </w:t>
      </w:r>
      <w:r>
        <w:t xml:space="preserve">selon </w:t>
      </w:r>
      <w:hyperlink w:anchor="344" w:history="1">
        <w:r>
          <w:t>21.61.1b Joints de maçonnerie apparente</w:t>
        </w:r>
      </w:hyperlink>
      <w:r>
        <w:t xml:space="preserve"> :</w:t>
      </w:r>
      <w:r>
        <w:rPr>
          <w:rStyle w:val="optioncarChar"/>
        </w:rPr>
        <w:t xml:space="preserve"> ***</w:t>
      </w:r>
    </w:p>
    <w:p w14:paraId="3842C243" w14:textId="77777777" w:rsidR="00DF410E" w:rsidRDefault="00CE7F43">
      <w:pPr>
        <w:pStyle w:val="Author-eListParagraph"/>
        <w:numPr>
          <w:ilvl w:val="0"/>
          <w:numId w:val="159"/>
        </w:numPr>
      </w:pPr>
      <w:r>
        <w:t xml:space="preserve">Les murs suivants sont exécutés avec une face restant apparente : </w:t>
      </w:r>
      <w:r>
        <w:rPr>
          <w:rStyle w:val="optioncarChar"/>
        </w:rPr>
        <w:t>***</w:t>
      </w:r>
    </w:p>
    <w:p w14:paraId="74235FAD" w14:textId="77777777" w:rsidR="00DF410E" w:rsidRDefault="00CE7F43">
      <w:pPr>
        <w:pStyle w:val="Author-eListParagraph"/>
        <w:numPr>
          <w:ilvl w:val="0"/>
          <w:numId w:val="159"/>
        </w:numPr>
      </w:pPr>
      <w:r>
        <w:t xml:space="preserve">Les murs suivants sont exécutés avec deux faces restant apparentes : </w:t>
      </w:r>
      <w:r>
        <w:rPr>
          <w:rStyle w:val="optioncarChar"/>
        </w:rPr>
        <w:t>***</w:t>
      </w:r>
    </w:p>
    <w:p w14:paraId="0C1A6544" w14:textId="77777777" w:rsidR="00DF410E" w:rsidRDefault="00CE7F43">
      <w:pPr>
        <w:pStyle w:val="pheading"/>
      </w:pPr>
      <w:r>
        <w:t>MESURAGE</w:t>
      </w:r>
    </w:p>
    <w:p w14:paraId="6BAB8717" w14:textId="77777777" w:rsidR="00DF410E" w:rsidRDefault="00CE7F43">
      <w:pPr>
        <w:pStyle w:val="pheading"/>
      </w:pPr>
      <w:r>
        <w:t>- unité de mesure:</w:t>
      </w:r>
    </w:p>
    <w:p w14:paraId="2E6A6FB3" w14:textId="77777777" w:rsidR="00DF410E" w:rsidRDefault="00CE7F43">
      <w:r>
        <w:rPr>
          <w:rStyle w:val="optioncarChar"/>
        </w:rPr>
        <w:t>m³ </w:t>
      </w:r>
      <w:r>
        <w:t>(par défaut)</w:t>
      </w:r>
      <w:r>
        <w:rPr>
          <w:rStyle w:val="optioncarChar"/>
        </w:rPr>
        <w:t> / m²</w:t>
      </w:r>
    </w:p>
    <w:p w14:paraId="444BE0B2" w14:textId="77777777" w:rsidR="00DF410E" w:rsidRDefault="00CE7F43">
      <w:r>
        <w:rPr>
          <w:b/>
        </w:rPr>
        <w:t>(soit par défaut)</w:t>
      </w:r>
    </w:p>
    <w:p w14:paraId="2DF7EF1F" w14:textId="77777777" w:rsidR="00DF410E" w:rsidRDefault="00CE7F43">
      <w:r>
        <w:rPr>
          <w:rStyle w:val="soitChar"/>
        </w:rPr>
        <w:t>1. m³</w:t>
      </w:r>
    </w:p>
    <w:p w14:paraId="1B9D45AA" w14:textId="77777777" w:rsidR="00DF410E" w:rsidRDefault="00CE7F43">
      <w:r>
        <w:rPr>
          <w:b/>
        </w:rPr>
        <w:t>(soit)</w:t>
      </w:r>
    </w:p>
    <w:p w14:paraId="7B865695" w14:textId="77777777" w:rsidR="00DF410E" w:rsidRDefault="00CE7F43">
      <w:r>
        <w:rPr>
          <w:rStyle w:val="soitChar"/>
        </w:rPr>
        <w:t>2. m²</w:t>
      </w:r>
    </w:p>
    <w:p w14:paraId="6BB48B6F" w14:textId="77777777" w:rsidR="00DF410E" w:rsidRDefault="00CE7F43">
      <w:pPr>
        <w:pStyle w:val="pheading"/>
      </w:pPr>
      <w:r>
        <w:t>- code de mesurage:</w:t>
      </w:r>
    </w:p>
    <w:p w14:paraId="08562487"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BC4049D"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9F1F65E" w14:textId="77777777" w:rsidR="00DF410E" w:rsidRDefault="00CE7F43">
      <w:r>
        <w:t>L'appui des dalles de sol sur le mur porteur de contre-façade n'est pas déduit mais compté comme ouvrage de maçonnerie ; par contre, les murs intérieurs porteurs sont mesurés entre les planchers (voir sous-titre </w:t>
      </w:r>
      <w:hyperlink w:anchor="88" w:history="1">
        <w:r>
          <w:t>22.15 Planchers en béton</w:t>
        </w:r>
      </w:hyperlink>
      <w:r>
        <w:t>).</w:t>
      </w:r>
      <w:r>
        <w:br/>
        <w:t>La maçonnerie autour des conduits de fumée et de ventilation est mesurée comme un mur plein pour les fourreaux jusqu'à une section de 0,12 m2.</w:t>
      </w:r>
    </w:p>
    <w:p w14:paraId="32854D64" w14:textId="77777777" w:rsidR="00DF410E" w:rsidRDefault="00CE7F43">
      <w:r>
        <w:br/>
      </w:r>
      <w:r>
        <w:rPr>
          <w:rStyle w:val="optioncarChar"/>
        </w:rPr>
        <w:t>Volume net </w:t>
      </w:r>
      <w:r>
        <w:t>(par défaut)</w:t>
      </w:r>
      <w:r>
        <w:rPr>
          <w:rStyle w:val="optioncarChar"/>
        </w:rPr>
        <w:t> / Surface nette</w:t>
      </w:r>
    </w:p>
    <w:p w14:paraId="3EF6B59E" w14:textId="77777777" w:rsidR="00DF410E" w:rsidRDefault="00CE7F43">
      <w:r>
        <w:rPr>
          <w:b/>
        </w:rPr>
        <w:t>(soit par défaut)</w:t>
      </w:r>
    </w:p>
    <w:p w14:paraId="19A24265"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0D9E7EC" w14:textId="77777777" w:rsidR="00DF410E" w:rsidRDefault="00CE7F43">
      <w:r>
        <w:rPr>
          <w:b/>
        </w:rPr>
        <w:t>(soit)</w:t>
      </w:r>
    </w:p>
    <w:p w14:paraId="42A30A4C"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3CEDCFB" w14:textId="77777777" w:rsidR="00DF410E" w:rsidRDefault="00DF410E"/>
    <w:p w14:paraId="3200402F" w14:textId="77777777" w:rsidR="00DF410E" w:rsidRDefault="00CE7F43">
      <w:r>
        <w:t> </w:t>
      </w:r>
    </w:p>
    <w:p w14:paraId="4EAB0AFD" w14:textId="77777777" w:rsidR="00DF410E" w:rsidRDefault="00CE7F43">
      <w:pPr>
        <w:pStyle w:val="pheading"/>
      </w:pPr>
      <w:r>
        <w:t>- nature du marché:</w:t>
      </w:r>
    </w:p>
    <w:p w14:paraId="12D1636E" w14:textId="77777777" w:rsidR="00DF410E" w:rsidRDefault="00CE7F43">
      <w:r>
        <w:t>QF</w:t>
      </w:r>
    </w:p>
    <w:p w14:paraId="05E02C6F" w14:textId="77777777" w:rsidR="00DF410E" w:rsidRDefault="00CE7F43">
      <w:pPr>
        <w:pStyle w:val="Author-eSectionHeading6"/>
      </w:pPr>
      <w:bookmarkStart w:id="150" w:name="_Toc178837401"/>
      <w:r>
        <w:t>21.21.2c Maçonneries non portantes en briques de béton avec système de dosage pour liant hydraulique CCTB 01.12</w:t>
      </w:r>
      <w:bookmarkEnd w:id="150"/>
    </w:p>
    <w:p w14:paraId="04155E04" w14:textId="77777777" w:rsidR="00DF410E" w:rsidRDefault="00CE7F43">
      <w:pPr>
        <w:pStyle w:val="pheading"/>
      </w:pPr>
      <w:r>
        <w:t>DESCRIPTION</w:t>
      </w:r>
    </w:p>
    <w:p w14:paraId="42C48211" w14:textId="77777777" w:rsidR="00DF410E" w:rsidRDefault="00CE7F43">
      <w:pPr>
        <w:pStyle w:val="pheading"/>
      </w:pPr>
      <w:r>
        <w:t>- Définition / Comprend</w:t>
      </w:r>
    </w:p>
    <w:p w14:paraId="07BE8C03" w14:textId="77777777" w:rsidR="00DF410E" w:rsidRDefault="00CE7F43">
      <w:r>
        <w:t xml:space="preserve">Il s’agit de la fourniture et la pose de maçonneries non portantes en briques en béton avec système de dosage pour liant hydraulique. </w:t>
      </w:r>
      <w:r>
        <w:br/>
        <w:t xml:space="preserve">La portée des travaux est décrite dans l’article </w:t>
      </w:r>
      <w:hyperlink w:anchor="383" w:history="1">
        <w:r>
          <w:t>21.21.2 Maçonneries non portantes en briques de béton</w:t>
        </w:r>
      </w:hyperlink>
      <w:r>
        <w:t>.</w:t>
      </w:r>
      <w:r>
        <w:br/>
        <w:t>Les travaux comprennent également la fourniture et la pose des pièces d’angle, de terminaison et de rencontre.</w:t>
      </w:r>
    </w:p>
    <w:p w14:paraId="340E0DA8" w14:textId="77777777" w:rsidR="00DF410E" w:rsidRDefault="00CE7F43">
      <w:pPr>
        <w:pStyle w:val="pheading"/>
      </w:pPr>
      <w:r>
        <w:t>- Localisation</w:t>
      </w:r>
    </w:p>
    <w:p w14:paraId="1A2EB336" w14:textId="77777777" w:rsidR="00DF410E" w:rsidRDefault="00CE7F43">
      <w:r>
        <w:t xml:space="preserve">La pose est réalisée aux endroits suivants : </w:t>
      </w:r>
      <w:r>
        <w:rPr>
          <w:rStyle w:val="optioncarChar"/>
        </w:rPr>
        <w:t>***</w:t>
      </w:r>
      <w:r>
        <w:t>.</w:t>
      </w:r>
      <w:r>
        <w:br/>
        <w:t>Voir plans et métrés détaillés.</w:t>
      </w:r>
    </w:p>
    <w:p w14:paraId="0C9DD58B" w14:textId="77777777" w:rsidR="00DF410E" w:rsidRDefault="00CE7F43">
      <w:pPr>
        <w:pStyle w:val="pheading"/>
      </w:pPr>
      <w:r>
        <w:t>MATÉRIAUX</w:t>
      </w:r>
    </w:p>
    <w:p w14:paraId="1E15EE72" w14:textId="77777777" w:rsidR="00DF410E" w:rsidRDefault="00CE7F43">
      <w:pPr>
        <w:pStyle w:val="pheading"/>
      </w:pPr>
      <w:r>
        <w:t>- Caractéristiques générales</w:t>
      </w:r>
    </w:p>
    <w:p w14:paraId="4A6940B0" w14:textId="77777777" w:rsidR="00DF410E" w:rsidRDefault="00CE7F43">
      <w:r>
        <w:rPr>
          <w:rStyle w:val="headingChar"/>
        </w:rPr>
        <w:t>Spécifications</w:t>
      </w:r>
    </w:p>
    <w:p w14:paraId="42E37F65" w14:textId="77777777" w:rsidR="00DF410E" w:rsidRDefault="00CE7F43">
      <w:r>
        <w:rPr>
          <w:u w:val="single"/>
        </w:rPr>
        <w:t>Blocs</w:t>
      </w:r>
    </w:p>
    <w:p w14:paraId="2C9B2F44" w14:textId="77777777" w:rsidR="00DF410E" w:rsidRDefault="00CE7F43">
      <w:r>
        <w:t>En ce qui concerne la déclaration de la résistance à la compression, les briques sont de catégorie I (la résistance à la compression est déclarée avec une fiabilité de 95%).</w:t>
      </w:r>
      <w:r>
        <w:br/>
      </w:r>
      <w:r>
        <w:br/>
        <w:t>Les briques en béton sont de classe d’usage</w:t>
      </w:r>
      <w:r>
        <w:rPr>
          <w:rStyle w:val="optioncarChar"/>
        </w:rPr>
        <w:t xml:space="preserve"> 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p>
    <w:p w14:paraId="58711AEB" w14:textId="77777777" w:rsidR="00DF410E" w:rsidRDefault="00CE7F43">
      <w: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xml:space="preserve">/ (190 / *** </w:t>
      </w:r>
      <w:r>
        <w:t>x</w:t>
      </w:r>
      <w:r>
        <w:rPr>
          <w:rStyle w:val="optioncarChar"/>
        </w:rPr>
        <w:t> 90 / ***</w:t>
      </w:r>
      <w:r>
        <w:t> x</w:t>
      </w:r>
      <w:r>
        <w:rPr>
          <w:rStyle w:val="optioncarChar"/>
        </w:rPr>
        <w:t> 52 / 65 / ***</w:t>
      </w:r>
      <w:r>
        <w:t>) mm</w:t>
      </w:r>
    </w:p>
    <w:p w14:paraId="062293B3" w14:textId="77777777" w:rsidR="00DF410E" w:rsidRDefault="00CE7F43">
      <w:r>
        <w:t>La classe de tolérances dimensionnelles est D4</w:t>
      </w:r>
    </w:p>
    <w:p w14:paraId="7788E3D6"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p>
    <w:p w14:paraId="59997038" w14:textId="77777777" w:rsidR="00DF410E" w:rsidRDefault="00CE7F43">
      <w:r>
        <w:t xml:space="preserve">Réaction au feu : </w:t>
      </w:r>
      <w:r>
        <w:rPr>
          <w:rStyle w:val="optioncarChar"/>
        </w:rPr>
        <w:t>A1 </w:t>
      </w:r>
      <w:r>
        <w:t xml:space="preserve">(par défaut) </w:t>
      </w:r>
      <w:r>
        <w:rPr>
          <w:rStyle w:val="optioncarChar"/>
        </w:rPr>
        <w:t>/ ***</w:t>
      </w:r>
    </w:p>
    <w:p w14:paraId="6E72E856" w14:textId="77777777" w:rsidR="00DF410E" w:rsidRDefault="00CE7F43">
      <w:pPr>
        <w:spacing w:before="0" w:after="0"/>
      </w:pPr>
      <w:r>
        <w:rPr>
          <w:u w:val="single"/>
        </w:rPr>
        <w:t>Mortier</w:t>
      </w:r>
    </w:p>
    <w:p w14:paraId="49481CD5"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6E86FF4D" w14:textId="77777777" w:rsidR="00DF410E" w:rsidRDefault="00CE7F43">
      <w:r>
        <w:br/>
      </w:r>
      <w:r>
        <w:rPr>
          <w:rStyle w:val="headingChar"/>
        </w:rPr>
        <w:t>Critères De Performances De La Paroi</w:t>
      </w:r>
    </w:p>
    <w:p w14:paraId="4BFD2AB4" w14:textId="77777777" w:rsidR="00DF410E" w:rsidRDefault="00CE7F43">
      <w:r>
        <w:t>Coefficient de transmission :</w:t>
      </w:r>
    </w:p>
    <w:p w14:paraId="4A5C0D70" w14:textId="77777777" w:rsidR="00DF410E" w:rsidRDefault="00CE7F43">
      <w:pPr>
        <w:pStyle w:val="Author-eListParagraph"/>
        <w:numPr>
          <w:ilvl w:val="0"/>
          <w:numId w:val="160"/>
        </w:numPr>
      </w:pPr>
      <w:r>
        <w:t xml:space="preserve">valeur U minimale de </w:t>
      </w:r>
      <w:r>
        <w:rPr>
          <w:rStyle w:val="optioncarChar"/>
        </w:rPr>
        <w:t>***</w:t>
      </w:r>
      <w:r>
        <w:t xml:space="preserve"> W/m²K</w:t>
      </w:r>
    </w:p>
    <w:p w14:paraId="487C578E" w14:textId="77777777" w:rsidR="00DF410E" w:rsidRDefault="00CE7F43">
      <w:pPr>
        <w:pStyle w:val="Author-eListParagraph"/>
        <w:numPr>
          <w:ilvl w:val="0"/>
          <w:numId w:val="16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537C291" w14:textId="77777777" w:rsidR="00DF410E" w:rsidRDefault="00CE7F43">
      <w:r>
        <w:br/>
        <w:t xml:space="preserve">Résistance au feu : </w:t>
      </w:r>
      <w:r>
        <w:rPr>
          <w:rStyle w:val="optioncarChar"/>
        </w:rPr>
        <w:t>EI30 </w:t>
      </w:r>
      <w:r>
        <w:t>(par défaut)</w:t>
      </w:r>
      <w:r>
        <w:rPr>
          <w:rStyle w:val="optioncarChar"/>
        </w:rPr>
        <w:t xml:space="preserve"> / EI60 / EI90 / EI120 / EI***</w:t>
      </w:r>
    </w:p>
    <w:p w14:paraId="273028AB" w14:textId="77777777" w:rsidR="00DF410E" w:rsidRDefault="00CE7F43">
      <w:r>
        <w:t>selon les tableaux dans [NBN EN 1996-1-2 ANB].</w:t>
      </w:r>
    </w:p>
    <w:p w14:paraId="7D94E27D" w14:textId="77777777" w:rsidR="00DF410E" w:rsidRDefault="00DF410E"/>
    <w:p w14:paraId="53C1C25B" w14:textId="77777777" w:rsidR="00DF410E" w:rsidRDefault="00CE7F43">
      <w:r>
        <w:t> </w:t>
      </w:r>
    </w:p>
    <w:p w14:paraId="4B49FB18" w14:textId="77777777" w:rsidR="00DF410E" w:rsidRDefault="00CE7F43">
      <w:pPr>
        <w:pStyle w:val="pheading"/>
      </w:pPr>
      <w:r>
        <w:t>- Finitions</w:t>
      </w:r>
    </w:p>
    <w:p w14:paraId="70329FFB" w14:textId="77777777" w:rsidR="00DF410E" w:rsidRDefault="00DF410E"/>
    <w:p w14:paraId="61305F56" w14:textId="77777777" w:rsidR="00DF410E" w:rsidRDefault="00CE7F43">
      <w:pPr>
        <w:pStyle w:val="Author-eListParagraph"/>
        <w:numPr>
          <w:ilvl w:val="0"/>
          <w:numId w:val="161"/>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17C64986" w14:textId="77777777" w:rsidR="00DF410E" w:rsidRDefault="00CE7F43">
      <w:pPr>
        <w:pStyle w:val="Author-eListParagraph"/>
        <w:numPr>
          <w:ilvl w:val="0"/>
          <w:numId w:val="161"/>
        </w:numPr>
      </w:pPr>
      <w:r>
        <w:t xml:space="preserve">Les murs suivants sont exécutés avec une face restant apparente : </w:t>
      </w:r>
      <w:r>
        <w:rPr>
          <w:rStyle w:val="optioncarChar"/>
        </w:rPr>
        <w:t>***</w:t>
      </w:r>
    </w:p>
    <w:p w14:paraId="2CFF6702" w14:textId="77777777" w:rsidR="00DF410E" w:rsidRDefault="00CE7F43">
      <w:pPr>
        <w:pStyle w:val="Author-eListParagraph"/>
        <w:numPr>
          <w:ilvl w:val="0"/>
          <w:numId w:val="161"/>
        </w:numPr>
      </w:pPr>
      <w:r>
        <w:t xml:space="preserve">Les murs suivants sont exécutés avec deux faces restant apparentes : </w:t>
      </w:r>
      <w:r>
        <w:rPr>
          <w:rStyle w:val="optioncarChar"/>
        </w:rPr>
        <w:t>***</w:t>
      </w:r>
    </w:p>
    <w:p w14:paraId="5D1F7C96" w14:textId="77777777" w:rsidR="00DF410E" w:rsidRDefault="00CE7F43">
      <w:pPr>
        <w:pStyle w:val="pheading"/>
      </w:pPr>
      <w:r>
        <w:t>EXÉCUTION / MISE EN ŒUVRE</w:t>
      </w:r>
    </w:p>
    <w:p w14:paraId="1BFB5D90" w14:textId="77777777" w:rsidR="00DF410E" w:rsidRDefault="00CE7F43">
      <w:pPr>
        <w:pStyle w:val="pheading"/>
      </w:pPr>
      <w:r>
        <w:t>- Notes d’exécution complémentaires</w:t>
      </w:r>
    </w:p>
    <w:p w14:paraId="15411357" w14:textId="77777777" w:rsidR="00DF410E" w:rsidRDefault="00CE7F43">
      <w:r>
        <w:t>Le mortier utilisé est spécifique au concept et possède une grande résistance à la compression (&gt; 20 N/mm²).</w:t>
      </w:r>
    </w:p>
    <w:p w14:paraId="7C8FA2A7" w14:textId="77777777" w:rsidR="00DF410E" w:rsidRDefault="00CE7F43">
      <w:pPr>
        <w:pStyle w:val="pheading"/>
      </w:pPr>
      <w:r>
        <w:t>MESURAGE</w:t>
      </w:r>
    </w:p>
    <w:p w14:paraId="2D5FEDC2" w14:textId="77777777" w:rsidR="00DF410E" w:rsidRDefault="00CE7F43">
      <w:pPr>
        <w:pStyle w:val="pheading"/>
      </w:pPr>
      <w:r>
        <w:t>- unité de mesure:</w:t>
      </w:r>
    </w:p>
    <w:p w14:paraId="54310683" w14:textId="77777777" w:rsidR="00DF410E" w:rsidRDefault="00CE7F43">
      <w:r>
        <w:rPr>
          <w:rStyle w:val="optioncarChar"/>
        </w:rPr>
        <w:t>m³ </w:t>
      </w:r>
      <w:r>
        <w:t>(par défaut)</w:t>
      </w:r>
      <w:r>
        <w:rPr>
          <w:rStyle w:val="optioncarChar"/>
        </w:rPr>
        <w:t> / m²</w:t>
      </w:r>
    </w:p>
    <w:p w14:paraId="77D3C406" w14:textId="77777777" w:rsidR="00DF410E" w:rsidRDefault="00CE7F43">
      <w:r>
        <w:rPr>
          <w:b/>
        </w:rPr>
        <w:t>(soit par défaut)</w:t>
      </w:r>
    </w:p>
    <w:p w14:paraId="121424BA" w14:textId="77777777" w:rsidR="00DF410E" w:rsidRDefault="00CE7F43">
      <w:r>
        <w:rPr>
          <w:rStyle w:val="soitChar"/>
        </w:rPr>
        <w:t>1. m³</w:t>
      </w:r>
    </w:p>
    <w:p w14:paraId="29D1A181" w14:textId="77777777" w:rsidR="00DF410E" w:rsidRDefault="00CE7F43">
      <w:r>
        <w:rPr>
          <w:b/>
        </w:rPr>
        <w:t>(soit)</w:t>
      </w:r>
    </w:p>
    <w:p w14:paraId="6A2D9299" w14:textId="77777777" w:rsidR="00DF410E" w:rsidRDefault="00CE7F43">
      <w:r>
        <w:rPr>
          <w:rStyle w:val="soitChar"/>
        </w:rPr>
        <w:t>2. m²</w:t>
      </w:r>
    </w:p>
    <w:p w14:paraId="715DF562" w14:textId="77777777" w:rsidR="00DF410E" w:rsidRDefault="00CE7F43">
      <w:pPr>
        <w:pStyle w:val="pheading"/>
      </w:pPr>
      <w:r>
        <w:t>- code de mesurage:</w:t>
      </w:r>
    </w:p>
    <w:p w14:paraId="3C9BAFD5"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BB54257"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3BED3C8"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3ACF60C5" w14:textId="77777777" w:rsidR="00DF410E" w:rsidRDefault="00CE7F43">
      <w:r>
        <w:br/>
      </w:r>
      <w:r>
        <w:rPr>
          <w:rStyle w:val="optioncarChar"/>
        </w:rPr>
        <w:t>Volume net </w:t>
      </w:r>
      <w:r>
        <w:t>(par défaut)</w:t>
      </w:r>
      <w:r>
        <w:rPr>
          <w:rStyle w:val="optioncarChar"/>
        </w:rPr>
        <w:t> / Surface nette</w:t>
      </w:r>
    </w:p>
    <w:p w14:paraId="40C0397D" w14:textId="77777777" w:rsidR="00DF410E" w:rsidRDefault="00CE7F43">
      <w:r>
        <w:rPr>
          <w:b/>
        </w:rPr>
        <w:t>(soit par défaut)</w:t>
      </w:r>
    </w:p>
    <w:p w14:paraId="296A34AC"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6A73702A" w14:textId="77777777" w:rsidR="00DF410E" w:rsidRDefault="00CE7F43">
      <w:r>
        <w:rPr>
          <w:b/>
        </w:rPr>
        <w:t>(soit)</w:t>
      </w:r>
    </w:p>
    <w:p w14:paraId="69A2F89C"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2C287474" w14:textId="77777777" w:rsidR="00DF410E" w:rsidRDefault="00CE7F43">
      <w:pPr>
        <w:pStyle w:val="pheading"/>
      </w:pPr>
      <w:r>
        <w:t>- nature du marché:</w:t>
      </w:r>
    </w:p>
    <w:p w14:paraId="270862AE" w14:textId="77777777" w:rsidR="00DF410E" w:rsidRDefault="00CE7F43">
      <w:r>
        <w:t>QF</w:t>
      </w:r>
    </w:p>
    <w:p w14:paraId="07BE6D34" w14:textId="77777777" w:rsidR="00DF410E" w:rsidRDefault="00CE7F43">
      <w:pPr>
        <w:pStyle w:val="Author-eSectionHeading5"/>
      </w:pPr>
      <w:bookmarkStart w:id="151" w:name="_Toc178837402"/>
      <w:r>
        <w:t>21.21.3 Maçonneries non portantes en briques de silico-calcaire CCTB 01.12</w:t>
      </w:r>
      <w:bookmarkEnd w:id="151"/>
    </w:p>
    <w:p w14:paraId="2F701C03" w14:textId="77777777" w:rsidR="00DF410E" w:rsidRDefault="00CE7F43">
      <w:pPr>
        <w:pStyle w:val="pheading"/>
      </w:pPr>
      <w:bookmarkStart w:id="152" w:name="384"/>
      <w:bookmarkEnd w:id="152"/>
      <w:r>
        <w:t>MATÉRIAUX</w:t>
      </w:r>
    </w:p>
    <w:p w14:paraId="7AEF7ACC" w14:textId="77777777" w:rsidR="00DF410E" w:rsidRDefault="00CE7F43">
      <w:r>
        <w:t>Il s'agit des briques en silico-calcaire, qui répondent à la norme [NBN EN 771-2+A1] et au [PTV 21-003]. L'entrepreneur soumet un échantillon, la fiche technique et la déclaration des performances (DoP) du matériau pour approbation à l'auteur de projet et au maître de l’ouvrage.</w:t>
      </w:r>
    </w:p>
    <w:p w14:paraId="5046F0E6" w14:textId="77777777" w:rsidR="00DF410E" w:rsidRDefault="00CE7F43">
      <w:pPr>
        <w:pStyle w:val="pheading"/>
      </w:pPr>
      <w:r>
        <w:t>EXÉCUTION / MISE EN ŒUVRE</w:t>
      </w:r>
    </w:p>
    <w:p w14:paraId="4C948D15" w14:textId="77777777" w:rsidR="00DF410E" w:rsidRDefault="00CE7F43">
      <w:r>
        <w:t xml:space="preserve">Eléments en silico-calcaire à utiliser : </w:t>
      </w:r>
      <w:r>
        <w:rPr>
          <w:rStyle w:val="optioncarChar"/>
        </w:rPr>
        <w:t>U (maçonnerie non protégée) </w:t>
      </w:r>
      <w:r>
        <w:t>(par défaut) </w:t>
      </w:r>
      <w:r>
        <w:rPr>
          <w:rStyle w:val="optioncarChar"/>
        </w:rPr>
        <w:t>/ P (maçonnerie protégée)</w:t>
      </w:r>
    </w:p>
    <w:p w14:paraId="79F53D2F" w14:textId="77777777" w:rsidR="00DF410E" w:rsidRDefault="00CE7F43">
      <w:r>
        <w:t xml:space="preserve">Conformément au mode de mise en œuvre, les briques en silico-calcaire sont maçonnées au mortier / collées à l’aide d’un mortier-colle selon les indications </w:t>
      </w:r>
      <w:r>
        <w:rPr>
          <w:rStyle w:val="optioncarChar"/>
        </w:rPr>
        <w:t>du fabricant des briques </w:t>
      </w:r>
      <w:r>
        <w:t>(par défaut)</w:t>
      </w:r>
      <w:r>
        <w:rPr>
          <w:rStyle w:val="optioncarChar"/>
        </w:rPr>
        <w:t xml:space="preserve"> / du fabricant de mortier</w:t>
      </w:r>
      <w:r>
        <w:t xml:space="preserve"> et des notes de calcul du bureau d’études.</w:t>
      </w:r>
    </w:p>
    <w:p w14:paraId="50393D1E" w14:textId="77777777" w:rsidR="00DF410E" w:rsidRDefault="00CE7F43">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3EEA8A48" w14:textId="77777777" w:rsidR="00DF410E" w:rsidRDefault="00CE7F43">
      <w:r>
        <w:t xml:space="preserve">L'épaisseur des joints est d'au moins : </w:t>
      </w:r>
      <w:r>
        <w:rPr>
          <w:rStyle w:val="optioncarChar"/>
        </w:rPr>
        <w:t>2 / 10</w:t>
      </w:r>
      <w:r>
        <w:t xml:space="preserve"> (par défaut) </w:t>
      </w:r>
      <w:r>
        <w:rPr>
          <w:rStyle w:val="optioncarChar"/>
        </w:rPr>
        <w:t>/ ***</w:t>
      </w:r>
      <w:r>
        <w:t xml:space="preserve"> mm (tolérances suivant [NIT 208])</w:t>
      </w:r>
      <w:r>
        <w:br/>
      </w:r>
      <w:r>
        <w:br/>
        <w:t>Eléments de liaison et d'ancrage :</w:t>
      </w:r>
    </w:p>
    <w:p w14:paraId="46C7B297" w14:textId="77777777" w:rsidR="00DF410E" w:rsidRDefault="00CE7F43">
      <w:pPr>
        <w:ind w:left="567"/>
      </w:pPr>
      <w:r>
        <w:t xml:space="preserve">longueur nominale : </w:t>
      </w:r>
      <w:r>
        <w:rPr>
          <w:rStyle w:val="optioncarChar"/>
        </w:rPr>
        <w:t>***</w:t>
      </w:r>
      <w:r>
        <w:br/>
        <w:t xml:space="preserve">diamètre : </w:t>
      </w:r>
      <w:r>
        <w:rPr>
          <w:rStyle w:val="optioncarChar"/>
        </w:rPr>
        <w:t>***</w:t>
      </w:r>
      <w:r>
        <w:br/>
        <w:t>classe d’exposition :</w:t>
      </w:r>
      <w:r>
        <w:rPr>
          <w:rStyle w:val="optioncarChar"/>
        </w:rPr>
        <w:t xml:space="preserve"> 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761B1ACD" w14:textId="77777777" w:rsidR="00DF410E" w:rsidRDefault="00CE7F43">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354" w:history="1">
        <w:r>
          <w:t>26.11 Feuilles et membranes d'étanchéité à l'eau</w:t>
        </w:r>
      </w:hyperlink>
      <w:r>
        <w:t>.</w:t>
      </w:r>
    </w:p>
    <w:p w14:paraId="08E02369" w14:textId="77777777" w:rsidR="00DF410E" w:rsidRDefault="00CE7F43">
      <w:r>
        <w:rPr>
          <w:b/>
        </w:rPr>
        <w:t>- Notes d'exécution complémentaires</w:t>
      </w:r>
    </w:p>
    <w:p w14:paraId="19BB2D37" w14:textId="77777777" w:rsidR="00DF410E" w:rsidRDefault="00CE7F43">
      <w:r>
        <w:t>Pour les maçonneries destinées à rester apparentes, seules des briques non endommagés sont utilisés.</w:t>
      </w:r>
    </w:p>
    <w:p w14:paraId="3CC2680E"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091EA919" w14:textId="77777777" w:rsidR="00DF410E" w:rsidRDefault="00CE7F43">
      <w:r>
        <w:t xml:space="preserve">Les segments de murs sont pourvus d'armatures verticales selon l'article </w:t>
      </w:r>
      <w:hyperlink w:anchor="356" w:history="1">
        <w:r>
          <w:t>21.41.2 Armatures verticales pour maçonneries</w:t>
        </w:r>
      </w:hyperlink>
      <w:r>
        <w:t>.</w:t>
      </w:r>
    </w:p>
    <w:p w14:paraId="7849C68C"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4152D7FA"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22347A0C" w14:textId="77777777" w:rsidR="00DF410E" w:rsidRDefault="00CE7F43">
      <w:r>
        <w:t xml:space="preserve">Linteaux : </w:t>
      </w:r>
      <w:r>
        <w:rPr>
          <w:rStyle w:val="optioncarChar"/>
        </w:rPr>
        <w:t>***</w:t>
      </w:r>
      <w:r>
        <w:t xml:space="preserve"> conformément à l’article </w:t>
      </w:r>
      <w:hyperlink w:anchor="358" w:history="1">
        <w:r>
          <w:t>22.13 Linteaux en béton</w:t>
        </w:r>
      </w:hyperlink>
    </w:p>
    <w:p w14:paraId="523AEB3C" w14:textId="77777777" w:rsidR="00DF410E" w:rsidRDefault="00CE7F43">
      <w:pPr>
        <w:pStyle w:val="pheading"/>
      </w:pPr>
      <w:r>
        <w:t>AIDE</w:t>
      </w:r>
    </w:p>
    <w:p w14:paraId="395F4493" w14:textId="77777777" w:rsidR="00DF410E" w:rsidRDefault="00CE7F43">
      <w:r>
        <w:t>Note à l'attention de l'auteur du projet : pour le choix adéquat du mortier, se référer à la [STS 22 série].</w:t>
      </w:r>
    </w:p>
    <w:p w14:paraId="16D684D6" w14:textId="77777777" w:rsidR="00DF410E" w:rsidRDefault="00CE7F43">
      <w:pPr>
        <w:pStyle w:val="Author-eSectionHeading6"/>
      </w:pPr>
      <w:bookmarkStart w:id="153" w:name="_Toc178837403"/>
      <w:r>
        <w:t>21.21.3a Maçonneries non portantes en briques de silico-calcaire à maçonner CCTB 01.12</w:t>
      </w:r>
      <w:bookmarkEnd w:id="153"/>
    </w:p>
    <w:p w14:paraId="3EB2B985" w14:textId="77777777" w:rsidR="00DF410E" w:rsidRDefault="00CE7F43">
      <w:pPr>
        <w:pStyle w:val="pheading"/>
      </w:pPr>
      <w:r>
        <w:t>DESCRIPTION</w:t>
      </w:r>
    </w:p>
    <w:p w14:paraId="6983EA7F" w14:textId="77777777" w:rsidR="00DF410E" w:rsidRDefault="00CE7F43">
      <w:pPr>
        <w:pStyle w:val="pheading"/>
      </w:pPr>
      <w:r>
        <w:t>- Définition / Comprend</w:t>
      </w:r>
    </w:p>
    <w:p w14:paraId="04C7F969" w14:textId="77777777" w:rsidR="00DF410E" w:rsidRDefault="00CE7F43">
      <w:r>
        <w:t xml:space="preserve">Il s’agit de la fourniture et la pose de maçonneries non portantes en briques de silico-calcaire à maçonner. </w:t>
      </w:r>
      <w:r>
        <w:br/>
        <w:t xml:space="preserve">La portée des travaux est décrite dans l’article </w:t>
      </w:r>
      <w:hyperlink w:anchor="384" w:history="1">
        <w:r>
          <w:t>21.21.3 Maçonneries non portantes en briques de silico-calcaire</w:t>
        </w:r>
      </w:hyperlink>
      <w:r>
        <w:t>.</w:t>
      </w:r>
      <w:r>
        <w:br/>
        <w:t>Les travaux comprennent également la fourniture et la pose des pièces d’angle, de terminaison et de rencontre.</w:t>
      </w:r>
    </w:p>
    <w:p w14:paraId="06B7DA82" w14:textId="77777777" w:rsidR="00DF410E" w:rsidRDefault="00CE7F43">
      <w:pPr>
        <w:pStyle w:val="pheading"/>
      </w:pPr>
      <w:r>
        <w:t>- Localisation</w:t>
      </w:r>
    </w:p>
    <w:p w14:paraId="56466AE4" w14:textId="77777777" w:rsidR="00DF410E" w:rsidRDefault="00CE7F43">
      <w:r>
        <w:t xml:space="preserve">La pose est réalisée aux endroits suivants : </w:t>
      </w:r>
      <w:r>
        <w:rPr>
          <w:rStyle w:val="optioncarChar"/>
        </w:rPr>
        <w:t>***</w:t>
      </w:r>
      <w:r>
        <w:t>.</w:t>
      </w:r>
      <w:r>
        <w:br/>
        <w:t>Voir plans et métrés détaillés.</w:t>
      </w:r>
    </w:p>
    <w:p w14:paraId="667F9979" w14:textId="77777777" w:rsidR="00DF410E" w:rsidRDefault="00CE7F43">
      <w:pPr>
        <w:pStyle w:val="pheading"/>
      </w:pPr>
      <w:r>
        <w:t>MATÉRIAUX</w:t>
      </w:r>
    </w:p>
    <w:p w14:paraId="482F9F55" w14:textId="77777777" w:rsidR="00DF410E" w:rsidRDefault="00CE7F43">
      <w:pPr>
        <w:pStyle w:val="pheading"/>
      </w:pPr>
      <w:r>
        <w:t>- Caractéristiques générales</w:t>
      </w:r>
    </w:p>
    <w:p w14:paraId="66005AB1" w14:textId="77777777" w:rsidR="00DF410E" w:rsidRDefault="00CE7F43">
      <w:pPr>
        <w:pStyle w:val="heading"/>
      </w:pPr>
      <w:r>
        <w:t>Spécifications</w:t>
      </w:r>
    </w:p>
    <w:p w14:paraId="36A417D6"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 xml:space="preserve">(par défaut) </w:t>
      </w:r>
      <w:r>
        <w:rPr>
          <w:rStyle w:val="optioncarChar"/>
        </w:rPr>
        <w:t>/ ***</w:t>
      </w:r>
      <w:r>
        <w:br/>
      </w:r>
      <w:r>
        <w:br/>
        <w:t xml:space="preserve">La masse volumique sèche apparente des briques ρ (rho) est : </w:t>
      </w:r>
      <w:r>
        <w:rPr>
          <w:rStyle w:val="optioncarChar"/>
        </w:rPr>
        <w:t>***</w:t>
      </w:r>
      <w:r>
        <w:t xml:space="preserve"> kg/m³ (blocs pleins), selon la [NBN EN 771-2+A1].</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 blanc</w:t>
      </w:r>
      <w:r>
        <w:br/>
      </w:r>
      <w:r>
        <w:br/>
        <w:t xml:space="preserve">Format : (L x l x h) </w:t>
      </w:r>
      <w:r>
        <w:rPr>
          <w:rStyle w:val="optioncarChar"/>
        </w:rPr>
        <w:t>*** x *** x *** mm / format modulaire proposé par l'entrepreneur </w:t>
      </w:r>
      <w:r>
        <w:t>(par défaut)</w:t>
      </w:r>
      <w:r>
        <w:br/>
      </w:r>
      <w:r>
        <w:br/>
        <w:t>Classe de tolérances dimensionnelles: T1</w:t>
      </w:r>
      <w:r>
        <w:br/>
      </w:r>
      <w:r>
        <w:b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p>
    <w:p w14:paraId="503336EC" w14:textId="77777777" w:rsidR="00DF410E" w:rsidRDefault="00CE7F43">
      <w:r>
        <w:rPr>
          <w:rStyle w:val="headingChar"/>
        </w:rPr>
        <w:t>Critères De Performances De La Paroi</w:t>
      </w:r>
    </w:p>
    <w:p w14:paraId="57CECED4" w14:textId="77777777" w:rsidR="00DF410E" w:rsidRDefault="00CE7F43">
      <w:r>
        <w:t>Coefficient de transmission :</w:t>
      </w:r>
    </w:p>
    <w:p w14:paraId="33E185B7" w14:textId="77777777" w:rsidR="00DF410E" w:rsidRDefault="00CE7F43">
      <w:pPr>
        <w:pStyle w:val="Author-eListParagraph"/>
        <w:numPr>
          <w:ilvl w:val="0"/>
          <w:numId w:val="162"/>
        </w:numPr>
      </w:pPr>
      <w:r>
        <w:t xml:space="preserve">valeur U minimale de </w:t>
      </w:r>
      <w:r>
        <w:rPr>
          <w:rStyle w:val="optioncarChar"/>
        </w:rPr>
        <w:t>***</w:t>
      </w:r>
      <w:r>
        <w:t xml:space="preserve"> W/m²K</w:t>
      </w:r>
    </w:p>
    <w:p w14:paraId="6DD38A21" w14:textId="77777777" w:rsidR="00DF410E" w:rsidRDefault="00CE7F43">
      <w:pPr>
        <w:pStyle w:val="Author-eListParagraph"/>
        <w:numPr>
          <w:ilvl w:val="0"/>
          <w:numId w:val="16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7670D38" w14:textId="77777777" w:rsidR="00DF410E" w:rsidRDefault="00CE7F43">
      <w:r>
        <w:t xml:space="preserve">Résistance au feu : </w:t>
      </w:r>
      <w:r>
        <w:rPr>
          <w:rStyle w:val="optioncarChar"/>
        </w:rPr>
        <w:t>EI30 </w:t>
      </w:r>
      <w:r>
        <w:t xml:space="preserve">(par défaut) </w:t>
      </w:r>
      <w:r>
        <w:rPr>
          <w:rStyle w:val="optioncarChar"/>
        </w:rPr>
        <w:t>/ EI60 / EI90 / EI120 / EI***</w:t>
      </w:r>
    </w:p>
    <w:p w14:paraId="777319A6" w14:textId="77777777" w:rsidR="00DF410E" w:rsidRDefault="00CE7F43">
      <w:r>
        <w:t>selon les tableaux dans [NBN EN 1996-1-2 ANB].</w:t>
      </w:r>
    </w:p>
    <w:p w14:paraId="15ABDC42" w14:textId="77777777" w:rsidR="00DF410E" w:rsidRDefault="00DF410E"/>
    <w:p w14:paraId="7D2D99A1" w14:textId="77777777" w:rsidR="00DF410E" w:rsidRDefault="00CE7F43">
      <w:r>
        <w:t> </w:t>
      </w:r>
    </w:p>
    <w:p w14:paraId="596BA488" w14:textId="77777777" w:rsidR="00DF410E" w:rsidRDefault="00CE7F43">
      <w:pPr>
        <w:pStyle w:val="pheading"/>
      </w:pPr>
      <w:r>
        <w:t>- Finitions</w:t>
      </w:r>
    </w:p>
    <w:p w14:paraId="1193D6BE" w14:textId="77777777" w:rsidR="00DF410E" w:rsidRDefault="00CE7F43">
      <w:r>
        <w:t xml:space="preserve">Les faces de murs suivantes sont exécutées comme maçonneries apparentes et sont </w:t>
      </w:r>
      <w:r>
        <w:rPr>
          <w:rStyle w:val="optioncarChar"/>
        </w:rPr>
        <w:t>rejointoyées en cours d'élévation </w:t>
      </w:r>
      <w:r>
        <w:t>(par défaut)</w:t>
      </w:r>
      <w:r>
        <w:rPr>
          <w:rStyle w:val="optioncarChar"/>
        </w:rPr>
        <w:t xml:space="preserve"> / rejointoyées par après / ***</w:t>
      </w:r>
      <w:r>
        <w:t xml:space="preserve"> selon l'article </w:t>
      </w:r>
      <w:hyperlink w:anchor="344"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14:paraId="6FA1E8A0" w14:textId="77777777" w:rsidR="00DF410E" w:rsidRDefault="00CE7F43">
      <w:pPr>
        <w:pStyle w:val="pheading"/>
      </w:pPr>
      <w:r>
        <w:t>MESURAGE</w:t>
      </w:r>
    </w:p>
    <w:p w14:paraId="31662568" w14:textId="77777777" w:rsidR="00DF410E" w:rsidRDefault="00CE7F43">
      <w:pPr>
        <w:pStyle w:val="pheading"/>
      </w:pPr>
      <w:r>
        <w:t>- unité de mesure:</w:t>
      </w:r>
    </w:p>
    <w:p w14:paraId="36B5D42F" w14:textId="77777777" w:rsidR="00DF410E" w:rsidRDefault="00CE7F43">
      <w:r>
        <w:rPr>
          <w:rStyle w:val="optioncarChar"/>
        </w:rPr>
        <w:t>m³ </w:t>
      </w:r>
      <w:r>
        <w:t>(par défaut)</w:t>
      </w:r>
      <w:r>
        <w:rPr>
          <w:rStyle w:val="optioncarChar"/>
        </w:rPr>
        <w:t> / m²</w:t>
      </w:r>
    </w:p>
    <w:p w14:paraId="7899DAE6" w14:textId="77777777" w:rsidR="00DF410E" w:rsidRDefault="00CE7F43">
      <w:r>
        <w:rPr>
          <w:b/>
        </w:rPr>
        <w:t>(soit par défaut)</w:t>
      </w:r>
    </w:p>
    <w:p w14:paraId="416FA2DD" w14:textId="77777777" w:rsidR="00DF410E" w:rsidRDefault="00CE7F43">
      <w:r>
        <w:rPr>
          <w:rStyle w:val="soitChar"/>
        </w:rPr>
        <w:t>1. m³</w:t>
      </w:r>
    </w:p>
    <w:p w14:paraId="72C7D51E" w14:textId="77777777" w:rsidR="00DF410E" w:rsidRDefault="00CE7F43">
      <w:r>
        <w:rPr>
          <w:b/>
        </w:rPr>
        <w:t>(soit)</w:t>
      </w:r>
    </w:p>
    <w:p w14:paraId="7747E21F" w14:textId="77777777" w:rsidR="00DF410E" w:rsidRDefault="00CE7F43">
      <w:r>
        <w:rPr>
          <w:rStyle w:val="soitChar"/>
        </w:rPr>
        <w:t>2. m²</w:t>
      </w:r>
    </w:p>
    <w:p w14:paraId="1BBAB3C7" w14:textId="77777777" w:rsidR="00DF410E" w:rsidRDefault="00CE7F43">
      <w:pPr>
        <w:pStyle w:val="pheading"/>
      </w:pPr>
      <w:r>
        <w:t>- code de mesurage:</w:t>
      </w:r>
    </w:p>
    <w:p w14:paraId="648F9E26"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4B3153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5427B30" w14:textId="77777777" w:rsidR="00DF410E" w:rsidRDefault="00CE7F43">
      <w:r>
        <w:t>L'appui des dalles de sol sur le mur porteur de contre-façade n'est pas déduit mais compté comme ouvrage de maçonnerie ; par contre, les murs intérieurs porteurs sont mesurés entre les planchers (voir sous-titre </w:t>
      </w:r>
      <w:hyperlink w:anchor="88" w:history="1">
        <w:r>
          <w:t>22.15 Planchers en béton</w:t>
        </w:r>
      </w:hyperlink>
      <w:r>
        <w:t>).</w:t>
      </w:r>
      <w:r>
        <w:br/>
        <w:t>La maçonnerie autour des conduits de fumée et de ventilation est mesurée comme un mur plein pour les fourreaux jusqu'à une section de 0,12 m2.</w:t>
      </w:r>
    </w:p>
    <w:p w14:paraId="327C9291" w14:textId="77777777" w:rsidR="00DF410E" w:rsidRDefault="00CE7F43">
      <w:r>
        <w:br/>
      </w:r>
      <w:r>
        <w:rPr>
          <w:rStyle w:val="optioncarChar"/>
        </w:rPr>
        <w:t>Volume net </w:t>
      </w:r>
      <w:r>
        <w:t>(par défaut)</w:t>
      </w:r>
      <w:r>
        <w:rPr>
          <w:rStyle w:val="optioncarChar"/>
        </w:rPr>
        <w:t> / Surface nette</w:t>
      </w:r>
    </w:p>
    <w:p w14:paraId="700F8C01" w14:textId="77777777" w:rsidR="00DF410E" w:rsidRDefault="00CE7F43">
      <w:r>
        <w:rPr>
          <w:b/>
        </w:rPr>
        <w:t>(soit par défaut)</w:t>
      </w:r>
    </w:p>
    <w:p w14:paraId="1F7AFF92"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CAB4B98" w14:textId="77777777" w:rsidR="00DF410E" w:rsidRDefault="00CE7F43">
      <w:r>
        <w:rPr>
          <w:b/>
        </w:rPr>
        <w:t>(soit)</w:t>
      </w:r>
    </w:p>
    <w:p w14:paraId="627FF1F7"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61727236" w14:textId="77777777" w:rsidR="00DF410E" w:rsidRDefault="00CE7F43">
      <w:pPr>
        <w:pStyle w:val="pheading"/>
      </w:pPr>
      <w:r>
        <w:t>- nature du marché:</w:t>
      </w:r>
    </w:p>
    <w:p w14:paraId="7E946784" w14:textId="77777777" w:rsidR="00DF410E" w:rsidRDefault="00CE7F43">
      <w:r>
        <w:t>QF</w:t>
      </w:r>
    </w:p>
    <w:p w14:paraId="1E54345B" w14:textId="77777777" w:rsidR="00DF410E" w:rsidRDefault="00CE7F43">
      <w:pPr>
        <w:pStyle w:val="Author-eSectionHeading6"/>
      </w:pPr>
      <w:bookmarkStart w:id="154" w:name="_Toc178837404"/>
      <w:r>
        <w:t>21.21.3b Maçonneries non portantes en briques de silico-calcaire à coller CCTB 01.12</w:t>
      </w:r>
      <w:bookmarkEnd w:id="154"/>
    </w:p>
    <w:p w14:paraId="1F695536" w14:textId="77777777" w:rsidR="00DF410E" w:rsidRDefault="00CE7F43">
      <w:pPr>
        <w:pStyle w:val="pheading"/>
      </w:pPr>
      <w:r>
        <w:t>DESCRIPTION</w:t>
      </w:r>
    </w:p>
    <w:p w14:paraId="26F6BD67" w14:textId="77777777" w:rsidR="00DF410E" w:rsidRDefault="00CE7F43">
      <w:pPr>
        <w:pStyle w:val="pheading"/>
      </w:pPr>
      <w:r>
        <w:t>- Définition / Comprend</w:t>
      </w:r>
    </w:p>
    <w:p w14:paraId="62CCE884" w14:textId="77777777" w:rsidR="00DF410E" w:rsidRDefault="00CE7F43">
      <w:r>
        <w:t xml:space="preserve">Il s’agit de la fourniture et la pose de maçonneries non portantes en briques de silico-calcaire à coller. </w:t>
      </w:r>
      <w:r>
        <w:br/>
        <w:t xml:space="preserve">La portée des travaux est décrite dans l’article </w:t>
      </w:r>
      <w:hyperlink w:anchor="384" w:history="1">
        <w:r>
          <w:t>21.21.3 Maçonneries non portantes en briques de silico-calcaire</w:t>
        </w:r>
      </w:hyperlink>
      <w:r>
        <w:t>.</w:t>
      </w:r>
      <w:r>
        <w:br/>
        <w:t>Les travaux comprennent également la fourniture et la pose des pièces d’angle, de terminaison et de rencontre.</w:t>
      </w:r>
    </w:p>
    <w:p w14:paraId="6A00F075" w14:textId="77777777" w:rsidR="00DF410E" w:rsidRDefault="00CE7F43">
      <w:pPr>
        <w:pStyle w:val="pheading"/>
      </w:pPr>
      <w:r>
        <w:t>- Localisation</w:t>
      </w:r>
    </w:p>
    <w:p w14:paraId="4115B6E8" w14:textId="77777777" w:rsidR="00DF410E" w:rsidRDefault="00CE7F43">
      <w:r>
        <w:t xml:space="preserve">La pose est réalisée aux endroits suivants : </w:t>
      </w:r>
      <w:r>
        <w:rPr>
          <w:rStyle w:val="optioncarChar"/>
        </w:rPr>
        <w:t>***</w:t>
      </w:r>
      <w:r>
        <w:t>.</w:t>
      </w:r>
      <w:r>
        <w:br/>
        <w:t>Voir plans et métrés détaillés.</w:t>
      </w:r>
    </w:p>
    <w:p w14:paraId="7916CC87" w14:textId="77777777" w:rsidR="00DF410E" w:rsidRDefault="00CE7F43">
      <w:pPr>
        <w:pStyle w:val="pheading"/>
      </w:pPr>
      <w:r>
        <w:t>MATÉRIAUX</w:t>
      </w:r>
    </w:p>
    <w:p w14:paraId="7AB1469C" w14:textId="77777777" w:rsidR="00DF410E" w:rsidRDefault="00CE7F43">
      <w:pPr>
        <w:pStyle w:val="pheading"/>
      </w:pPr>
      <w:r>
        <w:t>- Caractéristiques générales</w:t>
      </w:r>
    </w:p>
    <w:p w14:paraId="7DEEBA57" w14:textId="77777777" w:rsidR="00DF410E" w:rsidRDefault="00CE7F43">
      <w:pPr>
        <w:pStyle w:val="heading"/>
      </w:pPr>
      <w:r>
        <w:t>Spécifications</w:t>
      </w:r>
    </w:p>
    <w:p w14:paraId="4A6F9C8F"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w:t>
      </w:r>
      <w:r>
        <w:rPr>
          <w:rStyle w:val="optioncarChar"/>
        </w:rPr>
        <w:t xml:space="preserve"> ***</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briques ρ (rho) est : </w:t>
      </w:r>
      <w:r>
        <w:rPr>
          <w:rStyle w:val="optioncarChar"/>
        </w:rPr>
        <w:t>***</w:t>
      </w:r>
      <w:r>
        <w:t xml:space="preserve"> kg/m³ (blocs pleins), selon la [NBN EN 771-2+A1].</w:t>
      </w:r>
    </w:p>
    <w:p w14:paraId="36D5E4A7" w14:textId="77777777" w:rsidR="00DF410E" w:rsidRDefault="00CE7F43">
      <w: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 xml:space="preserve">Teinte : blanc </w:t>
      </w:r>
      <w:r>
        <w:br/>
      </w:r>
      <w:r>
        <w:br/>
        <w:t xml:space="preserve">Format : (L x l x h) </w:t>
      </w:r>
      <w:r>
        <w:rPr>
          <w:rStyle w:val="optioncarChar"/>
        </w:rPr>
        <w:t>*** x *** x ***mm / format modulaire proposé par l'entrepreneur </w:t>
      </w:r>
      <w:r>
        <w:t>(par défaut)</w:t>
      </w:r>
    </w:p>
    <w:p w14:paraId="46B1B82E" w14:textId="77777777" w:rsidR="00DF410E" w:rsidRDefault="00CE7F43">
      <w:r>
        <w:t>Classe de tolérances dimensionnelles: T2</w:t>
      </w:r>
    </w:p>
    <w:p w14:paraId="2AF38A90" w14:textId="77777777" w:rsidR="00DF410E" w:rsidRDefault="00CE7F43">
      <w: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code </w:t>
      </w:r>
      <w:r>
        <w:rPr>
          <w:rStyle w:val="optioncarChar"/>
        </w:rPr>
        <w:t>A1 (exposé décoratif) / A2 (exposé)</w:t>
      </w:r>
      <w:r>
        <w:t> </w:t>
      </w:r>
      <w:r>
        <w:rPr>
          <w:rStyle w:val="optioncarChar"/>
        </w:rPr>
        <w:t>(par défaut)</w:t>
      </w:r>
      <w:r>
        <w:br/>
      </w:r>
      <w:r>
        <w:br/>
        <w:t>Résistance au gel suivant les classes d’application selon [NBN EN 1996-2 ANB] et [NIT 271].</w:t>
      </w:r>
      <w:r>
        <w:br/>
      </w:r>
      <w:r>
        <w:br/>
        <w:t>Réaction au feu :</w:t>
      </w:r>
      <w:r>
        <w:rPr>
          <w:rStyle w:val="optioncarChar"/>
        </w:rPr>
        <w:t xml:space="preserve"> A1 </w:t>
      </w:r>
      <w:r>
        <w:t>(par défaut)</w:t>
      </w:r>
      <w:r>
        <w:rPr>
          <w:rStyle w:val="optioncarChar"/>
        </w:rPr>
        <w:t xml:space="preserve"> / ***</w:t>
      </w:r>
    </w:p>
    <w:p w14:paraId="5C178596" w14:textId="77777777" w:rsidR="00DF410E" w:rsidRDefault="00CE7F43">
      <w:r>
        <w:br/>
      </w:r>
      <w:r>
        <w:br/>
      </w:r>
      <w:r>
        <w:rPr>
          <w:rStyle w:val="headingChar"/>
        </w:rPr>
        <w:t>Critères De Performances De La Paroi</w:t>
      </w:r>
    </w:p>
    <w:p w14:paraId="0D6CAC14" w14:textId="77777777" w:rsidR="00DF410E" w:rsidRDefault="00CE7F43">
      <w:r>
        <w:t>Coefficient de transmission :</w:t>
      </w:r>
    </w:p>
    <w:p w14:paraId="1D1233EA" w14:textId="77777777" w:rsidR="00DF410E" w:rsidRDefault="00CE7F43">
      <w:pPr>
        <w:pStyle w:val="Author-eListParagraph"/>
        <w:numPr>
          <w:ilvl w:val="0"/>
          <w:numId w:val="163"/>
        </w:numPr>
      </w:pPr>
      <w:r>
        <w:t xml:space="preserve">valeur U minimale de </w:t>
      </w:r>
      <w:r>
        <w:rPr>
          <w:rStyle w:val="optioncarChar"/>
        </w:rPr>
        <w:t>***</w:t>
      </w:r>
      <w:r>
        <w:t xml:space="preserve"> W/m²K</w:t>
      </w:r>
    </w:p>
    <w:p w14:paraId="5E5E57C5" w14:textId="77777777" w:rsidR="00DF410E" w:rsidRDefault="00CE7F43">
      <w:pPr>
        <w:pStyle w:val="Author-eListParagraph"/>
        <w:numPr>
          <w:ilvl w:val="0"/>
          <w:numId w:val="16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45A1082" w14:textId="77777777" w:rsidR="00DF410E" w:rsidRDefault="00CE7F43">
      <w:r>
        <w:br/>
        <w:t xml:space="preserve">Résistance au feu : </w:t>
      </w:r>
      <w:r>
        <w:rPr>
          <w:rStyle w:val="optioncarChar"/>
        </w:rPr>
        <w:t>EI30 </w:t>
      </w:r>
      <w:r>
        <w:t xml:space="preserve">(par défaut) </w:t>
      </w:r>
      <w:r>
        <w:rPr>
          <w:rStyle w:val="optioncarChar"/>
        </w:rPr>
        <w:t>/ EI60 / EI90 / EI120 / EI***</w:t>
      </w:r>
    </w:p>
    <w:p w14:paraId="6E38334D" w14:textId="77777777" w:rsidR="00DF410E" w:rsidRDefault="00CE7F43">
      <w:r>
        <w:t>selon les tableaux dans [NBN EN 1996-1-2 ANB].</w:t>
      </w:r>
    </w:p>
    <w:p w14:paraId="7D14F646" w14:textId="77777777" w:rsidR="00DF410E" w:rsidRDefault="00DF410E"/>
    <w:p w14:paraId="2838CB73" w14:textId="77777777" w:rsidR="00DF410E" w:rsidRDefault="00CE7F43">
      <w:r>
        <w:t> </w:t>
      </w:r>
    </w:p>
    <w:p w14:paraId="25E1C389" w14:textId="77777777" w:rsidR="00DF410E" w:rsidRDefault="00CE7F43">
      <w:pPr>
        <w:pStyle w:val="pheading"/>
      </w:pPr>
      <w:r>
        <w:t>- Finitions</w:t>
      </w:r>
    </w:p>
    <w:p w14:paraId="6117208E" w14:textId="77777777" w:rsidR="00DF410E" w:rsidRDefault="00DF410E"/>
    <w:p w14:paraId="4F48D3DB" w14:textId="77777777" w:rsidR="00DF410E" w:rsidRDefault="00CE7F43">
      <w:pPr>
        <w:pStyle w:val="Author-eListParagraph"/>
        <w:numPr>
          <w:ilvl w:val="0"/>
          <w:numId w:val="164"/>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37F46475" w14:textId="77777777" w:rsidR="00DF410E" w:rsidRDefault="00CE7F43">
      <w:pPr>
        <w:pStyle w:val="Author-eListParagraph"/>
        <w:numPr>
          <w:ilvl w:val="0"/>
          <w:numId w:val="164"/>
        </w:numPr>
      </w:pPr>
      <w:r>
        <w:t xml:space="preserve">Les murs suivants sont exécutés avec une face restant apparente : </w:t>
      </w:r>
      <w:r>
        <w:rPr>
          <w:rStyle w:val="optioncarChar"/>
        </w:rPr>
        <w:t>***</w:t>
      </w:r>
    </w:p>
    <w:p w14:paraId="35BEA58F" w14:textId="77777777" w:rsidR="00DF410E" w:rsidRDefault="00CE7F43">
      <w:pPr>
        <w:pStyle w:val="Author-eListParagraph"/>
        <w:numPr>
          <w:ilvl w:val="0"/>
          <w:numId w:val="164"/>
        </w:numPr>
      </w:pPr>
      <w:r>
        <w:t xml:space="preserve">Les murs suivants sont exécutés avec deux faces restant apparentes : </w:t>
      </w:r>
      <w:r>
        <w:rPr>
          <w:rStyle w:val="optioncarChar"/>
        </w:rPr>
        <w:t>***</w:t>
      </w:r>
    </w:p>
    <w:p w14:paraId="6DE23C9B" w14:textId="77777777" w:rsidR="00DF410E" w:rsidRDefault="00DF410E"/>
    <w:p w14:paraId="1B3C0876" w14:textId="77777777" w:rsidR="00DF410E" w:rsidRDefault="00CE7F43">
      <w:pPr>
        <w:pStyle w:val="pheading"/>
      </w:pPr>
      <w:r>
        <w:t>MESURAGE</w:t>
      </w:r>
    </w:p>
    <w:p w14:paraId="691D5DF9" w14:textId="77777777" w:rsidR="00DF410E" w:rsidRDefault="00CE7F43">
      <w:pPr>
        <w:pStyle w:val="pheading"/>
      </w:pPr>
      <w:r>
        <w:t>- unité de mesure:</w:t>
      </w:r>
    </w:p>
    <w:p w14:paraId="26AB01C2" w14:textId="77777777" w:rsidR="00DF410E" w:rsidRDefault="00CE7F43">
      <w:r>
        <w:rPr>
          <w:rStyle w:val="optioncarChar"/>
        </w:rPr>
        <w:t>m³ </w:t>
      </w:r>
      <w:r>
        <w:t>(par défaut)</w:t>
      </w:r>
      <w:r>
        <w:rPr>
          <w:rStyle w:val="optioncarChar"/>
        </w:rPr>
        <w:t> / m²</w:t>
      </w:r>
    </w:p>
    <w:p w14:paraId="096F4353" w14:textId="77777777" w:rsidR="00DF410E" w:rsidRDefault="00CE7F43">
      <w:r>
        <w:rPr>
          <w:b/>
        </w:rPr>
        <w:t>(soit par défaut)</w:t>
      </w:r>
    </w:p>
    <w:p w14:paraId="0C768472" w14:textId="77777777" w:rsidR="00DF410E" w:rsidRDefault="00CE7F43">
      <w:r>
        <w:rPr>
          <w:rStyle w:val="soitChar"/>
        </w:rPr>
        <w:t>1. m³</w:t>
      </w:r>
    </w:p>
    <w:p w14:paraId="39C3D338" w14:textId="77777777" w:rsidR="00DF410E" w:rsidRDefault="00CE7F43">
      <w:r>
        <w:rPr>
          <w:b/>
        </w:rPr>
        <w:t>(soit)</w:t>
      </w:r>
    </w:p>
    <w:p w14:paraId="288AE1F6" w14:textId="77777777" w:rsidR="00DF410E" w:rsidRDefault="00CE7F43">
      <w:r>
        <w:rPr>
          <w:rStyle w:val="soitChar"/>
        </w:rPr>
        <w:t>2. m²</w:t>
      </w:r>
    </w:p>
    <w:p w14:paraId="730B734E" w14:textId="77777777" w:rsidR="00DF410E" w:rsidRDefault="00CE7F43">
      <w:pPr>
        <w:pStyle w:val="pheading"/>
      </w:pPr>
      <w:r>
        <w:t>- code de mesurage:</w:t>
      </w:r>
    </w:p>
    <w:p w14:paraId="1953687B"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FDBF4F3"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450E5F2"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E923C52" w14:textId="77777777" w:rsidR="00DF410E" w:rsidRDefault="00CE7F43">
      <w:r>
        <w:br/>
      </w:r>
      <w:r>
        <w:rPr>
          <w:rStyle w:val="optioncarChar"/>
        </w:rPr>
        <w:t>Volume net </w:t>
      </w:r>
      <w:r>
        <w:t>(par défaut)</w:t>
      </w:r>
      <w:r>
        <w:rPr>
          <w:rStyle w:val="optioncarChar"/>
        </w:rPr>
        <w:t> / Surface nette</w:t>
      </w:r>
    </w:p>
    <w:p w14:paraId="5B20F399" w14:textId="77777777" w:rsidR="00DF410E" w:rsidRDefault="00CE7F43">
      <w:r>
        <w:rPr>
          <w:b/>
        </w:rPr>
        <w:t>(soit par défaut)</w:t>
      </w:r>
    </w:p>
    <w:p w14:paraId="1A2E1E4F" w14:textId="77777777" w:rsidR="00DF410E" w:rsidRDefault="00CE7F43">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64D7B7C" w14:textId="77777777" w:rsidR="00DF410E" w:rsidRDefault="00CE7F43">
      <w:r>
        <w:rPr>
          <w:b/>
        </w:rPr>
        <w:t>(soit)</w:t>
      </w:r>
    </w:p>
    <w:p w14:paraId="15874C7F" w14:textId="77777777" w:rsidR="00DF410E" w:rsidRDefault="00CE7F43">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28E4EC6" w14:textId="77777777" w:rsidR="00DF410E" w:rsidRDefault="00CE7F43">
      <w:pPr>
        <w:pStyle w:val="pheading"/>
      </w:pPr>
      <w:r>
        <w:t>- nature du marché:</w:t>
      </w:r>
    </w:p>
    <w:p w14:paraId="2870C2F8" w14:textId="77777777" w:rsidR="00DF410E" w:rsidRDefault="00CE7F43">
      <w:r>
        <w:t>QF</w:t>
      </w:r>
    </w:p>
    <w:p w14:paraId="08F4710D" w14:textId="77777777" w:rsidR="00DF410E" w:rsidRDefault="00CE7F43">
      <w:pPr>
        <w:pStyle w:val="Author-eSectionHeading4"/>
      </w:pPr>
      <w:bookmarkStart w:id="155" w:name="_Toc178837405"/>
      <w:r>
        <w:t>21.22 Maçonneries non portantes en blocs CCTB 01.02</w:t>
      </w:r>
      <w:bookmarkEnd w:id="155"/>
    </w:p>
    <w:p w14:paraId="24A1B8BF" w14:textId="77777777" w:rsidR="00DF410E" w:rsidRDefault="00CE7F43">
      <w:pPr>
        <w:pStyle w:val="Author-eSectionHeading5"/>
      </w:pPr>
      <w:bookmarkStart w:id="156" w:name="457"/>
      <w:bookmarkStart w:id="157" w:name="_Toc178837406"/>
      <w:bookmarkEnd w:id="156"/>
      <w:r>
        <w:t>21.22.1 Maçonneries non portantes en blocs treillis de terre cuite CCTB 01.11</w:t>
      </w:r>
      <w:bookmarkEnd w:id="157"/>
    </w:p>
    <w:p w14:paraId="6B3933A0" w14:textId="77777777" w:rsidR="00DF410E" w:rsidRDefault="00CE7F43">
      <w:pPr>
        <w:pStyle w:val="pheading"/>
      </w:pPr>
      <w:bookmarkStart w:id="158" w:name="385"/>
      <w:bookmarkEnd w:id="158"/>
      <w:r>
        <w:t>MATÉRIAUX</w:t>
      </w:r>
    </w:p>
    <w:p w14:paraId="0C7E82D4" w14:textId="77777777" w:rsidR="00DF410E" w:rsidRDefault="00CE7F43">
      <w:r>
        <w:rPr>
          <w:color w:val="000000"/>
        </w:rPr>
        <w:t xml:space="preserve">Eléments en terre cuite à utiliser : </w:t>
      </w:r>
      <w:r>
        <w:rPr>
          <w:rStyle w:val="optioncarChar"/>
          <w:color w:val="000000"/>
        </w:rPr>
        <w:t>bloc U / bloc P</w:t>
      </w:r>
      <w:r>
        <w:rPr>
          <w:color w:val="000000"/>
        </w:rPr>
        <w:t xml:space="preserve"> conformément à l'article </w:t>
      </w:r>
      <w:hyperlink w:anchor="293" w:history="1">
        <w:r>
          <w:rPr>
            <w:color w:val="000000"/>
          </w:rPr>
          <w:t>21 Superstructures en maçonnerie</w:t>
        </w:r>
      </w:hyperlink>
      <w:r>
        <w:rPr>
          <w:color w:val="000000"/>
        </w:rPr>
        <w:t xml:space="preserve"> Classification .</w:t>
      </w:r>
    </w:p>
    <w:p w14:paraId="6C6DC2AC" w14:textId="77777777" w:rsidR="00DF410E" w:rsidRDefault="00CE7F43">
      <w:r>
        <w:t>Il s'agit des blocs treillis de construction en terre cuite, qui répondent à la norme [NBN EN 771-1+A1] et au [PTV 23-003]. L'entrepreneur soumet un échantillon, la fiche technique et la déclaration des performances (DoP) du matériau pour approbation à l'auteur de projet et au maître de l’ouvrage.</w:t>
      </w:r>
    </w:p>
    <w:p w14:paraId="49D24183" w14:textId="77777777" w:rsidR="00DF410E" w:rsidRDefault="00CE7F43">
      <w:r>
        <w:t xml:space="preserve">Type : </w:t>
      </w:r>
      <w:r>
        <w:rPr>
          <w:rStyle w:val="optioncarChar"/>
        </w:rPr>
        <w:t>pressées </w:t>
      </w:r>
      <w:r>
        <w:t>(par défaut)</w:t>
      </w:r>
      <w:r>
        <w:rPr>
          <w:rStyle w:val="optioncarChar"/>
        </w:rPr>
        <w:t xml:space="preserve"> /perforées / étirées / isolantes / ***</w:t>
      </w:r>
    </w:p>
    <w:p w14:paraId="22281057" w14:textId="77777777" w:rsidR="00DF410E" w:rsidRDefault="00CE7F43">
      <w:r>
        <w:t>Conformément au mode de mise en œuvre, les blocs de construction en terre cuite sont maçonnés au mortier / collés à l’aide d’un mortier-colle selon les indications du fabricant de mortier et des notes de calcul du bureau d’études.</w:t>
      </w:r>
    </w:p>
    <w:p w14:paraId="76079399" w14:textId="77777777" w:rsidR="00DF410E" w:rsidRDefault="00CE7F43">
      <w:r>
        <w:t xml:space="preserve">Le mortier à coller / à maçonner (selon la norme [NBN EN 998-2] et le règlement d’application [TRA 651] répond à la catégorie : </w:t>
      </w:r>
      <w:r>
        <w:rPr>
          <w:rStyle w:val="optioncarChar"/>
        </w:rPr>
        <w:t xml:space="preserve">M10 </w:t>
      </w:r>
      <w:r>
        <w:rPr>
          <w:rStyle w:val="optioncarChar"/>
          <w:color w:val="000000"/>
        </w:rPr>
        <w:t xml:space="preserve">﻿(par défaut) </w:t>
      </w:r>
      <w:r>
        <w:rPr>
          <w:rStyle w:val="optioncarChar"/>
        </w:rPr>
        <w:t>/ M15 / M20 / ***</w:t>
      </w:r>
    </w:p>
    <w:p w14:paraId="1BB6450D" w14:textId="77777777" w:rsidR="00DF410E" w:rsidRDefault="00CE7F43">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354" w:history="1">
        <w:r>
          <w:t>26.11 Feuilles et membranes d'étanchéité à l'eau</w:t>
        </w:r>
      </w:hyperlink>
      <w:r>
        <w:t>.</w:t>
      </w:r>
    </w:p>
    <w:p w14:paraId="3A83CFED" w14:textId="77777777" w:rsidR="00DF410E" w:rsidRDefault="00CE7F43">
      <w:pPr>
        <w:pStyle w:val="pheading"/>
      </w:pPr>
      <w:r>
        <w:t>EXÉCUTION / MISE EN ŒUVRE</w:t>
      </w:r>
    </w:p>
    <w:p w14:paraId="6DCC8685" w14:textId="77777777" w:rsidR="00DF410E" w:rsidRDefault="00CE7F43">
      <w:r>
        <w:rPr>
          <w:color w:val="000000"/>
          <w:u w:val="single"/>
        </w:rPr>
        <w:t>- Notes d’exécution complémentaires</w:t>
      </w:r>
    </w:p>
    <w:p w14:paraId="5A518AD6" w14:textId="77777777" w:rsidR="00DF410E" w:rsidRDefault="00CE7F43">
      <w:r>
        <w:t>Pour les maçonneries destinées à rester apparentes, seules des blocs treillis non endommagés sont utilisés.</w:t>
      </w:r>
    </w:p>
    <w:p w14:paraId="05480A97"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37CAE3F9" w14:textId="77777777" w:rsidR="00DF410E" w:rsidRDefault="00CE7F43">
      <w:r>
        <w:t xml:space="preserve">Les segments de murs sont pourvus d'armatures verticales selon l'article </w:t>
      </w:r>
      <w:hyperlink w:anchor="356" w:history="1">
        <w:r>
          <w:t>21.41.2 Armatures verticales pour maçonneries</w:t>
        </w:r>
      </w:hyperlink>
      <w:r>
        <w:t>.</w:t>
      </w:r>
    </w:p>
    <w:p w14:paraId="7D98AC3B"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65145F66"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minimum </w:t>
      </w:r>
      <w:r>
        <w:rPr>
          <w:rStyle w:val="optioncarChar"/>
        </w:rPr>
        <w:t>3,5 </w:t>
      </w:r>
      <w:r>
        <w:t xml:space="preserve">(par défaut) </w:t>
      </w:r>
      <w:r>
        <w:rPr>
          <w:rStyle w:val="optioncarChar"/>
        </w:rPr>
        <w:t>/ ***</w:t>
      </w:r>
      <w:r>
        <w:t xml:space="preserve"> mm.</w:t>
      </w:r>
    </w:p>
    <w:p w14:paraId="599CB195"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6B557FB0" w14:textId="77777777" w:rsidR="00DF410E" w:rsidRDefault="00CE7F43">
      <w:pPr>
        <w:pStyle w:val="pheading"/>
      </w:pPr>
      <w:r>
        <w:t>AIDE</w:t>
      </w:r>
    </w:p>
    <w:p w14:paraId="4A10659E" w14:textId="77777777" w:rsidR="00DF410E" w:rsidRDefault="00CE7F43">
      <w:r>
        <w:t>Note à l'attention de l'auteur du projet : pour le choix adéquat du mortier, se référer à la [STS 22 série].</w:t>
      </w:r>
    </w:p>
    <w:p w14:paraId="721740C7" w14:textId="77777777" w:rsidR="00DF410E" w:rsidRDefault="00CE7F43">
      <w:pPr>
        <w:pStyle w:val="Author-eSectionHeading6"/>
      </w:pPr>
      <w:bookmarkStart w:id="159" w:name="_Toc178837407"/>
      <w:r>
        <w:t>21.22.1a Maçonneries non portantes en blocs treillis de terre cuite à maçonner CCTB 01.11</w:t>
      </w:r>
      <w:bookmarkEnd w:id="159"/>
    </w:p>
    <w:p w14:paraId="011CFF18" w14:textId="77777777" w:rsidR="00DF410E" w:rsidRDefault="00CE7F43">
      <w:pPr>
        <w:pStyle w:val="pheading"/>
      </w:pPr>
      <w:r>
        <w:t>DESCRIPTION</w:t>
      </w:r>
    </w:p>
    <w:p w14:paraId="5072E54E" w14:textId="77777777" w:rsidR="00DF410E" w:rsidRDefault="00CE7F43">
      <w:pPr>
        <w:pStyle w:val="pheading"/>
      </w:pPr>
      <w:r>
        <w:t>- Définition / Comprend</w:t>
      </w:r>
    </w:p>
    <w:p w14:paraId="62D3B3E8" w14:textId="77777777" w:rsidR="00DF410E" w:rsidRDefault="00CE7F43">
      <w:r>
        <w:t xml:space="preserve">Il s’agit de la fourniture et la pose de maçonneries non portantes en blocs treillis de terre cuite à maçonner. </w:t>
      </w:r>
      <w:r>
        <w:br/>
        <w:t xml:space="preserve">La portée des travaux est décrite dans l’article </w:t>
      </w:r>
      <w:hyperlink w:anchor="385" w:history="1">
        <w:r>
          <w:t>21.22.1 Maçonneries non portantes en blocs treillis de terre cuite</w:t>
        </w:r>
      </w:hyperlink>
      <w:r>
        <w:t>.</w:t>
      </w:r>
      <w:r>
        <w:br/>
        <w:t>Les travaux comprennent également la fourniture et la pose des pièces d’angle, de terminaison et de rencontre.</w:t>
      </w:r>
    </w:p>
    <w:p w14:paraId="6EA9B707" w14:textId="77777777" w:rsidR="00DF410E" w:rsidRDefault="00CE7F43">
      <w:pPr>
        <w:pStyle w:val="pheading"/>
      </w:pPr>
      <w:r>
        <w:t>- Localisation</w:t>
      </w:r>
    </w:p>
    <w:p w14:paraId="7FDF6905" w14:textId="77777777" w:rsidR="00DF410E" w:rsidRDefault="00CE7F43">
      <w:r>
        <w:t xml:space="preserve">La pose est réalisée aux endroits suivants : </w:t>
      </w:r>
      <w:r>
        <w:rPr>
          <w:rStyle w:val="optioncarChar"/>
        </w:rPr>
        <w:t>***</w:t>
      </w:r>
      <w:r>
        <w:t>.</w:t>
      </w:r>
      <w:r>
        <w:br/>
        <w:t>Voir plans et métrés détaillés.</w:t>
      </w:r>
    </w:p>
    <w:p w14:paraId="38CCF128" w14:textId="77777777" w:rsidR="00DF410E" w:rsidRDefault="00CE7F43">
      <w:pPr>
        <w:pStyle w:val="pheading"/>
      </w:pPr>
      <w:r>
        <w:t>MATÉRIAUX</w:t>
      </w:r>
    </w:p>
    <w:p w14:paraId="294C6D9D" w14:textId="77777777" w:rsidR="00DF410E" w:rsidRDefault="00CE7F43">
      <w:pPr>
        <w:pStyle w:val="pheading"/>
      </w:pPr>
      <w:r>
        <w:t>- Caractéristiques générales</w:t>
      </w:r>
    </w:p>
    <w:p w14:paraId="7415F0F4" w14:textId="77777777" w:rsidR="00DF410E" w:rsidRDefault="00CE7F43">
      <w:r>
        <w:rPr>
          <w:rStyle w:val="headingChar"/>
        </w:rPr>
        <w:t>Spécifications</w:t>
      </w:r>
    </w:p>
    <w:p w14:paraId="08C9C771" w14:textId="77777777" w:rsidR="00DF410E" w:rsidRDefault="00CE7F43">
      <w:r>
        <w:t>En ce qui concerne la déclaration de la résistance à la compression, les blocs treillis sont de catégorie I (la résistance à la compression est déclarée avec une fiabilité de 95%).</w:t>
      </w:r>
    </w:p>
    <w:p w14:paraId="3FF4E4D6" w14:textId="77777777" w:rsidR="00DF410E" w:rsidRDefault="00CE7F43">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selon l</w:t>
      </w:r>
      <w:r>
        <w:t>a [NBN EN 771-1+A1] ,</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rPr>
        <w:t xml:space="preserve">10 </w:t>
      </w:r>
      <w:r>
        <w:rPr>
          <w:rStyle w:val="optioncarChar"/>
          <w:color w:val="000000"/>
        </w:rPr>
        <w:t xml:space="preserve">(par défaut) </w:t>
      </w:r>
      <w:r>
        <w:rPr>
          <w:rStyle w:val="optioncarChar"/>
        </w:rPr>
        <w:t>/ 15</w:t>
      </w:r>
      <w:r>
        <w:rPr>
          <w:color w:val="000000"/>
        </w:rPr>
        <w:t> N/mm² (MPa).</w:t>
      </w:r>
    </w:p>
    <w:p w14:paraId="30FBB4B8" w14:textId="77777777" w:rsidR="00DF410E" w:rsidRDefault="00CE7F43">
      <w:r>
        <w:t>Le groupe de configuration suivant</w:t>
      </w:r>
      <w:r>
        <w:rPr>
          <w:color w:val="0000FF"/>
        </w:rPr>
        <w:t> [NBN EN 1996-1-1+A1 ANB]</w:t>
      </w:r>
      <w:r>
        <w:t xml:space="preserve">est : </w:t>
      </w:r>
      <w:r>
        <w:rPr>
          <w:rStyle w:val="optioncarChar"/>
        </w:rPr>
        <w:t>1 / 2 / 3 / 4.</w:t>
      </w:r>
      <w:r>
        <w:br/>
      </w:r>
      <w:r>
        <w:br/>
        <w:t xml:space="preserve">La masse volumique sèche apparente des blocs ρ (rho) est : </w:t>
      </w:r>
      <w:r>
        <w:rPr>
          <w:rStyle w:val="optioncarChar"/>
        </w:rPr>
        <w:t>850 </w:t>
      </w:r>
      <w:r>
        <w:t>(par défaut)</w:t>
      </w:r>
      <w:r>
        <w:rPr>
          <w:rStyle w:val="optioncarChar"/>
        </w:rPr>
        <w:t> / ***</w:t>
      </w:r>
      <w:r>
        <w:t> &lt; ρ &lt; </w:t>
      </w:r>
      <w:r>
        <w:rPr>
          <w:rStyle w:val="optioncarChar"/>
        </w:rPr>
        <w:t>925 </w:t>
      </w:r>
      <w:r>
        <w:t>(par défaut)</w:t>
      </w:r>
      <w:r>
        <w:rPr>
          <w:rStyle w:val="optioncarChar"/>
        </w:rPr>
        <w:t> / ***</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Face qui reste visible : lisse</w:t>
      </w:r>
      <w:r>
        <w:br/>
        <w:t xml:space="preserve">Face à cimenter ou plafonner : </w:t>
      </w:r>
      <w:r>
        <w:rPr>
          <w:rStyle w:val="optioncarChar"/>
        </w:rPr>
        <w:t>lisse</w:t>
      </w:r>
      <w:r>
        <w:t xml:space="preserve"> (par défaut)</w:t>
      </w:r>
      <w:r>
        <w:rPr>
          <w:rStyle w:val="optioncarChar"/>
        </w:rPr>
        <w:t xml:space="preserve"> / rainurée</w:t>
      </w:r>
      <w:r>
        <w:br/>
      </w:r>
      <w:r>
        <w:br/>
        <w:t xml:space="preserve">Teinte : </w:t>
      </w:r>
      <w:r>
        <w:rPr>
          <w:rStyle w:val="optioncarChar"/>
        </w:rPr>
        <w:t xml:space="preserve">blanc / rouge </w:t>
      </w:r>
      <w:r>
        <w:rPr>
          <w:rStyle w:val="optioncarChar"/>
          <w:color w:val="000000"/>
        </w:rPr>
        <w:t xml:space="preserve">(par défaut) </w:t>
      </w:r>
      <w:r>
        <w:rPr>
          <w:rStyle w:val="optioncarChar"/>
        </w:rPr>
        <w:t>/ gris / ***</w:t>
      </w:r>
      <w:r>
        <w:br/>
      </w:r>
      <w:r>
        <w:br/>
        <w:t xml:space="preserve">Format : (L x l x h) </w:t>
      </w:r>
      <w:r>
        <w:rPr>
          <w:rStyle w:val="optioncarChar"/>
        </w:rPr>
        <w:t>(500 x 100/140/190 x 135/185/250 mm) / format modulaire proposé par l'entrepreneur </w:t>
      </w:r>
      <w:r>
        <w:t xml:space="preserve">(par défaut) </w:t>
      </w:r>
      <w:r>
        <w:rPr>
          <w:rStyle w:val="optioncarChar"/>
        </w:rPr>
        <w:t>/ ***</w:t>
      </w:r>
    </w:p>
    <w:p w14:paraId="4350BB8E" w14:textId="77777777" w:rsidR="00DF410E" w:rsidRDefault="00CE7F43">
      <w:r>
        <w:t>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14:paraId="0B37FFB8" w14:textId="77777777" w:rsidR="00DF410E" w:rsidRDefault="00CE7F43">
      <w:r>
        <w:t>Résistance au gel suivant les classes d’application MX… selon [NBN EN 1996-1-2 ANB] et [NIT 271].</w:t>
      </w:r>
      <w:r>
        <w:br/>
      </w:r>
      <w:r>
        <w:br/>
        <w:t xml:space="preserve">Réaction au feu : </w:t>
      </w:r>
      <w:r>
        <w:rPr>
          <w:rStyle w:val="optioncarChar"/>
        </w:rPr>
        <w:t>A1</w:t>
      </w:r>
      <w:r>
        <w:t xml:space="preserve"> (par défaut) </w:t>
      </w:r>
      <w:r>
        <w:rPr>
          <w:rStyle w:val="optioncarChar"/>
        </w:rPr>
        <w:t>/ ***</w:t>
      </w:r>
      <w:r>
        <w:br/>
      </w:r>
      <w:r>
        <w:br/>
      </w:r>
      <w:r>
        <w:br/>
      </w:r>
      <w:r>
        <w:rPr>
          <w:rStyle w:val="headingChar"/>
        </w:rPr>
        <w:t>Critères De Performances De La Paroi</w:t>
      </w:r>
    </w:p>
    <w:p w14:paraId="7E59F41B" w14:textId="77777777" w:rsidR="00DF410E" w:rsidRDefault="00CE7F43">
      <w:r>
        <w:t>Coefficient de transmission :</w:t>
      </w:r>
    </w:p>
    <w:p w14:paraId="5BF6ADD6" w14:textId="77777777" w:rsidR="00DF410E" w:rsidRDefault="00CE7F43">
      <w:pPr>
        <w:pStyle w:val="Author-eListParagraph"/>
        <w:numPr>
          <w:ilvl w:val="0"/>
          <w:numId w:val="165"/>
        </w:numPr>
      </w:pPr>
      <w:r>
        <w:t xml:space="preserve">valeur U minimale de </w:t>
      </w:r>
      <w:r>
        <w:rPr>
          <w:rStyle w:val="optioncarChar"/>
        </w:rPr>
        <w:t>***</w:t>
      </w:r>
      <w:r>
        <w:t xml:space="preserve"> W/m²K</w:t>
      </w:r>
    </w:p>
    <w:p w14:paraId="2177D8AA" w14:textId="77777777" w:rsidR="00DF410E" w:rsidRDefault="00CE7F43">
      <w:pPr>
        <w:pStyle w:val="Author-eListParagraph"/>
        <w:numPr>
          <w:ilvl w:val="0"/>
          <w:numId w:val="165"/>
        </w:numPr>
      </w:pPr>
      <w:r>
        <w:t>valeur λ</w:t>
      </w:r>
      <w:r>
        <w:rPr>
          <w:vertAlign w:val="subscript"/>
        </w:rPr>
        <w:t>Ui</w:t>
      </w:r>
      <w:r>
        <w:t xml:space="preserve"> ou λ</w:t>
      </w:r>
      <w:r>
        <w:rPr>
          <w:vertAlign w:val="subscript"/>
        </w:rPr>
        <w:t>Ue</w:t>
      </w:r>
      <w:r>
        <w:t xml:space="preserve"> maximum </w:t>
      </w:r>
      <w:r>
        <w:rPr>
          <w:rStyle w:val="optioncarChar"/>
        </w:rPr>
        <w:t>0.26 / 0.29</w:t>
      </w:r>
      <w:r>
        <w:t> W/mK (suivant l’application).</w:t>
      </w:r>
    </w:p>
    <w:p w14:paraId="0DBFB725" w14:textId="77777777" w:rsidR="00DF410E" w:rsidRDefault="00CE7F43">
      <w:r>
        <w:br/>
        <w:t xml:space="preserve">Résistance au feu : </w:t>
      </w:r>
      <w:r>
        <w:rPr>
          <w:rStyle w:val="optioncarChar"/>
        </w:rPr>
        <w:t>EI30</w:t>
      </w:r>
      <w:r>
        <w:t xml:space="preserve"> (par défaut) </w:t>
      </w:r>
      <w:r>
        <w:rPr>
          <w:rStyle w:val="optioncarChar"/>
        </w:rPr>
        <w:t>/ EI60 / EI90 / EI120 / EI***</w:t>
      </w:r>
    </w:p>
    <w:p w14:paraId="0EE1C190" w14:textId="77777777" w:rsidR="00DF410E" w:rsidRDefault="00CE7F43">
      <w:r>
        <w:t>selon la norme [NBN EN 1996-1-2 ANB].</w:t>
      </w:r>
    </w:p>
    <w:p w14:paraId="05CB70DB" w14:textId="77777777" w:rsidR="00DF410E" w:rsidRDefault="00CE7F43">
      <w:pPr>
        <w:pStyle w:val="pheading"/>
      </w:pPr>
      <w:r>
        <w:t>- Finitions</w:t>
      </w:r>
    </w:p>
    <w:p w14:paraId="68B5363B" w14:textId="77777777" w:rsidR="00DF410E" w:rsidRDefault="00DF410E"/>
    <w:p w14:paraId="0AEE69E0" w14:textId="77777777" w:rsidR="00DF410E" w:rsidRDefault="00CE7F43">
      <w:pPr>
        <w:pStyle w:val="Author-eListParagraph"/>
        <w:numPr>
          <w:ilvl w:val="0"/>
          <w:numId w:val="166"/>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77607430" w14:textId="77777777" w:rsidR="00DF410E" w:rsidRDefault="00CE7F43">
      <w:pPr>
        <w:pStyle w:val="Author-eListParagraph"/>
        <w:numPr>
          <w:ilvl w:val="0"/>
          <w:numId w:val="166"/>
        </w:numPr>
      </w:pPr>
      <w:r>
        <w:t xml:space="preserve">Les murs suivants sont exécutés avec une face restant apparente : </w:t>
      </w:r>
      <w:r>
        <w:rPr>
          <w:rStyle w:val="optioncarChar"/>
        </w:rPr>
        <w:t>***</w:t>
      </w:r>
    </w:p>
    <w:p w14:paraId="4A565005" w14:textId="77777777" w:rsidR="00DF410E" w:rsidRDefault="00CE7F43">
      <w:pPr>
        <w:pStyle w:val="Author-eListParagraph"/>
        <w:numPr>
          <w:ilvl w:val="0"/>
          <w:numId w:val="166"/>
        </w:numPr>
      </w:pPr>
      <w:r>
        <w:t xml:space="preserve">Les murs suivants sont exécutés avec deux faces restant apparentes : </w:t>
      </w:r>
      <w:r>
        <w:rPr>
          <w:rStyle w:val="optioncarChar"/>
        </w:rPr>
        <w:t>***</w:t>
      </w:r>
    </w:p>
    <w:p w14:paraId="6C48AFF2" w14:textId="77777777" w:rsidR="00DF410E" w:rsidRDefault="00CE7F43">
      <w:pPr>
        <w:pStyle w:val="pheading"/>
      </w:pPr>
      <w:r>
        <w:t>MESURAGE</w:t>
      </w:r>
    </w:p>
    <w:p w14:paraId="3B92D8D7" w14:textId="77777777" w:rsidR="00DF410E" w:rsidRDefault="00CE7F43">
      <w:pPr>
        <w:pStyle w:val="pheading"/>
      </w:pPr>
      <w:r>
        <w:t>- unité de mesure:</w:t>
      </w:r>
    </w:p>
    <w:p w14:paraId="0B9588C0" w14:textId="77777777" w:rsidR="00DF410E" w:rsidRDefault="00CE7F43">
      <w:r>
        <w:rPr>
          <w:rStyle w:val="optioncarChar"/>
        </w:rPr>
        <w:t>m³ </w:t>
      </w:r>
      <w:r>
        <w:t>(par défaut)</w:t>
      </w:r>
      <w:r>
        <w:rPr>
          <w:rStyle w:val="optioncarChar"/>
        </w:rPr>
        <w:t> / m²</w:t>
      </w:r>
    </w:p>
    <w:p w14:paraId="02ABDCA9" w14:textId="77777777" w:rsidR="00DF410E" w:rsidRDefault="00CE7F43">
      <w:r>
        <w:rPr>
          <w:b/>
        </w:rPr>
        <w:t>(soit par défaut)</w:t>
      </w:r>
    </w:p>
    <w:p w14:paraId="163CE7A2" w14:textId="77777777" w:rsidR="00DF410E" w:rsidRDefault="00CE7F43">
      <w:r>
        <w:rPr>
          <w:rStyle w:val="soitChar"/>
        </w:rPr>
        <w:t>1. m³</w:t>
      </w:r>
    </w:p>
    <w:p w14:paraId="398EFA16" w14:textId="77777777" w:rsidR="00DF410E" w:rsidRDefault="00CE7F43">
      <w:r>
        <w:rPr>
          <w:b/>
        </w:rPr>
        <w:t>(soit)</w:t>
      </w:r>
    </w:p>
    <w:p w14:paraId="3D1CEC5E" w14:textId="77777777" w:rsidR="00DF410E" w:rsidRDefault="00CE7F43">
      <w:r>
        <w:rPr>
          <w:rStyle w:val="soitChar"/>
        </w:rPr>
        <w:t>2. m²</w:t>
      </w:r>
    </w:p>
    <w:p w14:paraId="19A4ABD7" w14:textId="77777777" w:rsidR="00DF410E" w:rsidRDefault="00CE7F43">
      <w:pPr>
        <w:pStyle w:val="pheading"/>
      </w:pPr>
      <w:r>
        <w:t>- code de mesurage:</w:t>
      </w:r>
    </w:p>
    <w:p w14:paraId="5D611AD7"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14F8BBC"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3B09F24"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9D5D4A8" w14:textId="77777777" w:rsidR="00DF410E" w:rsidRDefault="00CE7F43">
      <w:r>
        <w:rPr>
          <w:rStyle w:val="optioncarChar"/>
        </w:rPr>
        <w:t>Volume net </w:t>
      </w:r>
      <w:r>
        <w:t>(par défaut)</w:t>
      </w:r>
      <w:r>
        <w:rPr>
          <w:rStyle w:val="optioncarChar"/>
        </w:rPr>
        <w:t> / Surface nette</w:t>
      </w:r>
    </w:p>
    <w:p w14:paraId="1B4C3429" w14:textId="77777777" w:rsidR="00DF410E" w:rsidRDefault="00CE7F43">
      <w:r>
        <w:rPr>
          <w:b/>
        </w:rPr>
        <w:t>(soit par défaut)</w:t>
      </w:r>
    </w:p>
    <w:p w14:paraId="5579B793"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846276" w14:textId="77777777" w:rsidR="00DF410E" w:rsidRDefault="00CE7F43">
      <w:r>
        <w:rPr>
          <w:b/>
        </w:rPr>
        <w:t>(soit)</w:t>
      </w:r>
    </w:p>
    <w:p w14:paraId="26C21D77"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FF1147A" w14:textId="77777777" w:rsidR="00DF410E" w:rsidRDefault="00DF410E"/>
    <w:p w14:paraId="5EAB79A4" w14:textId="77777777" w:rsidR="00DF410E" w:rsidRDefault="00CE7F43">
      <w:r>
        <w:t> </w:t>
      </w:r>
    </w:p>
    <w:p w14:paraId="73666304" w14:textId="77777777" w:rsidR="00DF410E" w:rsidRDefault="00CE7F43">
      <w:pPr>
        <w:pStyle w:val="pheading"/>
      </w:pPr>
      <w:r>
        <w:t>- nature du marché:</w:t>
      </w:r>
    </w:p>
    <w:p w14:paraId="39F17382" w14:textId="77777777" w:rsidR="00DF410E" w:rsidRDefault="00CE7F43">
      <w:r>
        <w:t>QF</w:t>
      </w:r>
    </w:p>
    <w:p w14:paraId="7EE92128" w14:textId="77777777" w:rsidR="00DF410E" w:rsidRDefault="00CE7F43">
      <w:pPr>
        <w:pStyle w:val="Author-eSectionHeading6"/>
      </w:pPr>
      <w:bookmarkStart w:id="160" w:name="_Toc178837408"/>
      <w:r>
        <w:t>21.22.1b Maçonneries non portantes en blocs treillis de terre cuite à coller CCTB 01.12</w:t>
      </w:r>
      <w:bookmarkEnd w:id="160"/>
    </w:p>
    <w:p w14:paraId="50AA010E" w14:textId="77777777" w:rsidR="00DF410E" w:rsidRDefault="00CE7F43">
      <w:pPr>
        <w:pStyle w:val="pheading"/>
      </w:pPr>
      <w:bookmarkStart w:id="161" w:name="386"/>
      <w:bookmarkEnd w:id="161"/>
      <w:r>
        <w:t>DESCRIPTION</w:t>
      </w:r>
    </w:p>
    <w:p w14:paraId="24F743F0" w14:textId="77777777" w:rsidR="00DF410E" w:rsidRDefault="00CE7F43">
      <w:pPr>
        <w:pStyle w:val="pheading"/>
      </w:pPr>
      <w:r>
        <w:t>- Définition / Comprend</w:t>
      </w:r>
    </w:p>
    <w:p w14:paraId="3CF61D76" w14:textId="77777777" w:rsidR="00DF410E" w:rsidRDefault="00CE7F43">
      <w:r>
        <w:t xml:space="preserve">Il s’agit de la fourniture et la pose de maçonneries non portantes en blocs treillis de terre cuite à coller. </w:t>
      </w:r>
      <w:r>
        <w:br/>
        <w:t xml:space="preserve">La portée des travaux est décrite dans l’article </w:t>
      </w:r>
      <w:hyperlink w:anchor="386" w:history="1">
        <w:r>
          <w:t>21.22.1b Maçonneries non portantes en blocs treillis de terre cuite à coller</w:t>
        </w:r>
      </w:hyperlink>
      <w:r>
        <w:t>.</w:t>
      </w:r>
      <w:r>
        <w:br/>
        <w:t>Les travaux comprennent également la fourniture et la pose des pièces d’angle, de terminaison et de rencontre.</w:t>
      </w:r>
    </w:p>
    <w:p w14:paraId="48D51873" w14:textId="77777777" w:rsidR="00DF410E" w:rsidRDefault="00CE7F43">
      <w:pPr>
        <w:pStyle w:val="pheading"/>
      </w:pPr>
      <w:r>
        <w:t>- Localisation</w:t>
      </w:r>
    </w:p>
    <w:p w14:paraId="3217D2CA" w14:textId="77777777" w:rsidR="00DF410E" w:rsidRDefault="00CE7F43">
      <w:r>
        <w:t xml:space="preserve">La pose est réalisée aux endroits suivants : </w:t>
      </w:r>
      <w:r>
        <w:rPr>
          <w:rStyle w:val="optioncarChar"/>
        </w:rPr>
        <w:t>***</w:t>
      </w:r>
      <w:r>
        <w:t>.</w:t>
      </w:r>
      <w:r>
        <w:br/>
        <w:t>Voir plans et métrés détaillés.</w:t>
      </w:r>
    </w:p>
    <w:p w14:paraId="56FE4F25" w14:textId="77777777" w:rsidR="00DF410E" w:rsidRDefault="00CE7F43">
      <w:pPr>
        <w:pStyle w:val="pheading"/>
      </w:pPr>
      <w:r>
        <w:t>MATÉRIAUX</w:t>
      </w:r>
    </w:p>
    <w:p w14:paraId="752F2E62" w14:textId="77777777" w:rsidR="00DF410E" w:rsidRDefault="00CE7F43">
      <w:pPr>
        <w:pStyle w:val="pheading"/>
      </w:pPr>
      <w:r>
        <w:t>- Caractéristiques générales</w:t>
      </w:r>
    </w:p>
    <w:p w14:paraId="2E134DAE" w14:textId="77777777" w:rsidR="00DF410E" w:rsidRDefault="00CE7F43">
      <w:r>
        <w:rPr>
          <w:rStyle w:val="headingChar"/>
        </w:rPr>
        <w:t>Spécifications</w:t>
      </w:r>
    </w:p>
    <w:p w14:paraId="3597CB3A" w14:textId="77777777" w:rsidR="00DF410E" w:rsidRDefault="00CE7F43">
      <w:r>
        <w:t>En ce qui concerne la déclaration de la résistance à la compression, les blocs treillis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rPr>
        <w:t xml:space="preserve">10 </w:t>
      </w:r>
      <w:r>
        <w:rPr>
          <w:rStyle w:val="optioncarChar"/>
          <w:color w:val="000000"/>
        </w:rPr>
        <w:t xml:space="preserve">(par défaut) </w:t>
      </w:r>
      <w:r>
        <w:rPr>
          <w:rStyle w:val="optioncarChar"/>
        </w:rPr>
        <w:t>/ 15</w:t>
      </w:r>
      <w:r>
        <w:rPr>
          <w:color w:val="000000"/>
        </w:rPr>
        <w:t> N/mm² (MPa).</w:t>
      </w:r>
      <w:r>
        <w:t> </w:t>
      </w:r>
      <w:r>
        <w:br/>
      </w:r>
      <w:r>
        <w:br/>
        <w:t xml:space="preserve">Le groupe de configuration suivant [NBN EN 1996-1-1+A1 ANB] est : </w:t>
      </w:r>
      <w:r>
        <w:rPr>
          <w:rStyle w:val="optioncarChar"/>
        </w:rPr>
        <w:t>1 / 2 / 3 / 4</w:t>
      </w:r>
      <w:r>
        <w:br/>
      </w:r>
      <w:r>
        <w:br/>
        <w:t xml:space="preserve">La masse volumique sèche apparente des blocs ρ (rho) est : </w:t>
      </w:r>
      <w:r>
        <w:rPr>
          <w:rStyle w:val="optioncarChar"/>
        </w:rPr>
        <w:t xml:space="preserve">850 </w:t>
      </w:r>
      <w:r>
        <w:t>(par défaut)</w:t>
      </w:r>
      <w:r>
        <w:rPr>
          <w:rStyle w:val="optioncarChar"/>
        </w:rPr>
        <w:t xml:space="preserve"> / ***</w:t>
      </w:r>
      <w:r>
        <w:t xml:space="preserve"> &lt; ρ &lt; </w:t>
      </w:r>
      <w:r>
        <w:rPr>
          <w:rStyle w:val="optioncarChar"/>
        </w:rPr>
        <w:t xml:space="preserve">925 </w:t>
      </w:r>
      <w:r>
        <w:t>(par défaut)</w:t>
      </w:r>
      <w:r>
        <w:rPr>
          <w:rStyle w:val="optioncarChar"/>
        </w:rPr>
        <w:t xml:space="preserve"> / ***</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tenon et mortaise</w:t>
      </w:r>
      <w:r>
        <w:br/>
        <w:t>Face qui reste visible : lisse</w:t>
      </w:r>
      <w:r>
        <w:br/>
        <w:t xml:space="preserve">Face à cimenter ou plafonner : </w:t>
      </w:r>
      <w:r>
        <w:rPr>
          <w:rStyle w:val="optioncarChar"/>
        </w:rPr>
        <w:t xml:space="preserve">lisse </w:t>
      </w:r>
      <w:r>
        <w:t>(par défaut)</w:t>
      </w:r>
      <w:r>
        <w:rPr>
          <w:rStyle w:val="optioncarChar"/>
        </w:rPr>
        <w:t> / rainurée</w:t>
      </w:r>
      <w:r>
        <w:br/>
      </w:r>
      <w:r>
        <w:br/>
        <w:t xml:space="preserve">Teinte : </w:t>
      </w:r>
      <w:r>
        <w:rPr>
          <w:rStyle w:val="optioncarChar"/>
        </w:rPr>
        <w:t xml:space="preserve">blanc / rouge </w:t>
      </w:r>
      <w:r>
        <w:t>(par défaut) </w:t>
      </w:r>
      <w:r>
        <w:rPr>
          <w:rStyle w:val="optioncarChar"/>
        </w:rPr>
        <w:t>/ gris / ***</w:t>
      </w:r>
      <w:r>
        <w:br/>
      </w:r>
      <w:r>
        <w:br/>
        <w:t xml:space="preserve">Format : (L x l x h) </w:t>
      </w:r>
      <w:r>
        <w:rPr>
          <w:rStyle w:val="optioncarChar"/>
        </w:rPr>
        <w:t>(500 x 100/140/190 x 135/185/250 mm) </w:t>
      </w:r>
      <w:r>
        <w:t>mm</w:t>
      </w:r>
      <w:r>
        <w:rPr>
          <w:rStyle w:val="optioncarChar"/>
        </w:rPr>
        <w:t xml:space="preserve"> / format modulaire proposé par l'entrepreneur </w:t>
      </w:r>
      <w:r>
        <w:t>(par défaut)</w:t>
      </w:r>
    </w:p>
    <w:p w14:paraId="1B5C40B2" w14:textId="77777777" w:rsidR="00DF410E" w:rsidRDefault="00CE7F43">
      <w:r>
        <w:t xml:space="preserve">Tolérances dimensionnelles : </w:t>
      </w:r>
      <w:r>
        <w:br/>
        <w:t xml:space="preserve">Tolérances de la valeur moyenne : </w:t>
      </w:r>
      <w:r>
        <w:rPr>
          <w:rStyle w:val="optioncarChar"/>
        </w:rPr>
        <w:t>T1 / T1+ / T2 / T2+ / Tm / ***</w:t>
      </w:r>
      <w:r>
        <w:br/>
      </w:r>
      <w:r>
        <w:rPr>
          <w:rStyle w:val="normalChar"/>
        </w:rPr>
        <w:t>Plage :</w:t>
      </w:r>
      <w:r>
        <w:rPr>
          <w:rStyle w:val="optioncarChar"/>
        </w:rPr>
        <w:t xml:space="preserve"> R1 / R1+ / R2 / R2+ / Rm / ***</w:t>
      </w:r>
      <w:r>
        <w:br/>
      </w:r>
      <w:r>
        <w:br/>
      </w:r>
      <w:r>
        <w:br/>
        <w:t>Taux initial d’absorption d’eau : classe</w:t>
      </w:r>
      <w:r>
        <w:rPr>
          <w:rStyle w:val="optioncarChar"/>
        </w:rPr>
        <w:t xml:space="preserve"> IW1 / IW2 / IW3 / IW4</w:t>
      </w:r>
    </w:p>
    <w:p w14:paraId="3D2AB139" w14:textId="77777777" w:rsidR="00DF410E" w:rsidRDefault="00CE7F43">
      <w:r>
        <w:t xml:space="preserve">Résistance au gel suivant les classes d’application MX… selon [NBN EN 1996-2 ANB] et [NIT 271]. </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29DDB944" w14:textId="77777777" w:rsidR="00DF410E" w:rsidRDefault="00CE7F43">
      <w:r>
        <w:t>Coefficient de transmission :</w:t>
      </w:r>
    </w:p>
    <w:p w14:paraId="3A192C36" w14:textId="77777777" w:rsidR="00DF410E" w:rsidRDefault="00CE7F43">
      <w:pPr>
        <w:pStyle w:val="Author-eListParagraph"/>
        <w:numPr>
          <w:ilvl w:val="0"/>
          <w:numId w:val="167"/>
        </w:numPr>
      </w:pPr>
      <w:r>
        <w:t xml:space="preserve">valeur U minimale de </w:t>
      </w:r>
      <w:r>
        <w:rPr>
          <w:rStyle w:val="optioncarChar"/>
        </w:rPr>
        <w:t>***</w:t>
      </w:r>
      <w:r>
        <w:t xml:space="preserve"> W/m²K</w:t>
      </w:r>
    </w:p>
    <w:p w14:paraId="72C1EA88" w14:textId="77777777" w:rsidR="00DF410E" w:rsidRDefault="00CE7F43">
      <w:pPr>
        <w:pStyle w:val="Author-eListParagraph"/>
        <w:numPr>
          <w:ilvl w:val="0"/>
          <w:numId w:val="167"/>
        </w:numPr>
      </w:pPr>
      <w:r>
        <w:t>valeur λ</w:t>
      </w:r>
      <w:r>
        <w:rPr>
          <w:vertAlign w:val="subscript"/>
        </w:rPr>
        <w:t>Ui</w:t>
      </w:r>
      <w:r>
        <w:t xml:space="preserve"> ou λ</w:t>
      </w:r>
      <w:r>
        <w:rPr>
          <w:vertAlign w:val="subscript"/>
        </w:rPr>
        <w:t>Ue</w:t>
      </w:r>
      <w:r>
        <w:t xml:space="preserve"> maximum </w:t>
      </w:r>
      <w:r>
        <w:rPr>
          <w:rStyle w:val="optioncarChar"/>
        </w:rPr>
        <w:t>0,26 / 0,29</w:t>
      </w:r>
      <w:r>
        <w:t> W/mK (suivant l’application).</w:t>
      </w:r>
    </w:p>
    <w:p w14:paraId="144F5839" w14:textId="77777777" w:rsidR="00DF410E" w:rsidRDefault="00CE7F43">
      <w:r>
        <w:br/>
        <w:t xml:space="preserve">Résistance au feu : </w:t>
      </w:r>
      <w:r>
        <w:rPr>
          <w:rStyle w:val="optioncarChar"/>
        </w:rPr>
        <w:t>EI30 </w:t>
      </w:r>
      <w:r>
        <w:t>(par défaut)</w:t>
      </w:r>
      <w:r>
        <w:rPr>
          <w:rStyle w:val="optioncarChar"/>
        </w:rPr>
        <w:t xml:space="preserve"> / EI60 / EI90 / EI120 / EI*** </w:t>
      </w:r>
    </w:p>
    <w:p w14:paraId="42F83D14" w14:textId="77777777" w:rsidR="00DF410E" w:rsidRDefault="00CE7F43">
      <w:r>
        <w:t>selon la norme [NBN EN 1996-1-2 ANB].</w:t>
      </w:r>
    </w:p>
    <w:p w14:paraId="484BEED9" w14:textId="77777777" w:rsidR="00DF410E" w:rsidRDefault="00DF410E"/>
    <w:p w14:paraId="2416D8B8" w14:textId="77777777" w:rsidR="00DF410E" w:rsidRDefault="00CE7F43">
      <w:r>
        <w:t> </w:t>
      </w:r>
    </w:p>
    <w:p w14:paraId="1B84D52D" w14:textId="77777777" w:rsidR="00DF410E" w:rsidRDefault="00DF410E"/>
    <w:p w14:paraId="51F2DA04" w14:textId="77777777" w:rsidR="00DF410E" w:rsidRDefault="00CE7F43">
      <w:r>
        <w:t> </w:t>
      </w:r>
    </w:p>
    <w:p w14:paraId="6CA2ADE8" w14:textId="77777777" w:rsidR="00DF410E" w:rsidRDefault="00CE7F43">
      <w:pPr>
        <w:pStyle w:val="pheading"/>
      </w:pPr>
      <w:r>
        <w:t>- Finitions</w:t>
      </w:r>
    </w:p>
    <w:p w14:paraId="37F6910C" w14:textId="77777777" w:rsidR="00DF410E" w:rsidRDefault="00CE7F43">
      <w:r>
        <w:t xml:space="preserve">Les faces de murs suivantes sont exécutées comme maçonneries apparentes et sont </w:t>
      </w:r>
      <w:r>
        <w:rPr>
          <w:rStyle w:val="optioncarChar"/>
        </w:rPr>
        <w:t xml:space="preserve">rejointoyées en cours d'élévation </w:t>
      </w:r>
      <w:r>
        <w:t>(par défaut) </w:t>
      </w:r>
      <w:r>
        <w:rPr>
          <w:rStyle w:val="optioncarChar"/>
        </w:rPr>
        <w:t>/ rejointoyées par après / ***</w:t>
      </w:r>
      <w:r>
        <w:t xml:space="preserve"> selon l'article </w:t>
      </w:r>
      <w:hyperlink w:anchor="344" w:history="1">
        <w:r>
          <w:t>21.61.1b 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p>
    <w:p w14:paraId="09274544" w14:textId="77777777" w:rsidR="00DF410E" w:rsidRDefault="00CE7F43">
      <w:pPr>
        <w:pStyle w:val="pheading"/>
      </w:pPr>
      <w:r>
        <w:t>MESURAGE</w:t>
      </w:r>
    </w:p>
    <w:p w14:paraId="4298F541" w14:textId="77777777" w:rsidR="00DF410E" w:rsidRDefault="00CE7F43">
      <w:pPr>
        <w:pStyle w:val="pheading"/>
      </w:pPr>
      <w:r>
        <w:t>- unité de mesure:</w:t>
      </w:r>
    </w:p>
    <w:p w14:paraId="01059742" w14:textId="77777777" w:rsidR="00DF410E" w:rsidRDefault="00CE7F43">
      <w:r>
        <w:rPr>
          <w:rStyle w:val="optioncarChar"/>
        </w:rPr>
        <w:t>m³ </w:t>
      </w:r>
      <w:r>
        <w:t>(par défaut)</w:t>
      </w:r>
      <w:r>
        <w:rPr>
          <w:rStyle w:val="optioncarChar"/>
        </w:rPr>
        <w:t> / m²</w:t>
      </w:r>
    </w:p>
    <w:p w14:paraId="4E886DE2" w14:textId="77777777" w:rsidR="00DF410E" w:rsidRDefault="00CE7F43">
      <w:r>
        <w:rPr>
          <w:b/>
        </w:rPr>
        <w:t>(soit par défaut)</w:t>
      </w:r>
    </w:p>
    <w:p w14:paraId="62EC45B3" w14:textId="77777777" w:rsidR="00DF410E" w:rsidRDefault="00CE7F43">
      <w:r>
        <w:rPr>
          <w:rStyle w:val="soitChar"/>
        </w:rPr>
        <w:t>1. m³</w:t>
      </w:r>
    </w:p>
    <w:p w14:paraId="1D3ADE17" w14:textId="77777777" w:rsidR="00DF410E" w:rsidRDefault="00CE7F43">
      <w:r>
        <w:rPr>
          <w:b/>
        </w:rPr>
        <w:t>(soit)</w:t>
      </w:r>
    </w:p>
    <w:p w14:paraId="7666C7B5" w14:textId="77777777" w:rsidR="00DF410E" w:rsidRDefault="00CE7F43">
      <w:r>
        <w:rPr>
          <w:rStyle w:val="soitChar"/>
        </w:rPr>
        <w:t>2. m²</w:t>
      </w:r>
    </w:p>
    <w:p w14:paraId="60086329" w14:textId="77777777" w:rsidR="00DF410E" w:rsidRDefault="00CE7F43">
      <w:pPr>
        <w:pStyle w:val="pheading"/>
      </w:pPr>
      <w:r>
        <w:t>- code de mesurage:</w:t>
      </w:r>
    </w:p>
    <w:p w14:paraId="3CD11833"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C9A437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51B8F31"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D51058C" w14:textId="77777777" w:rsidR="00DF410E" w:rsidRDefault="00CE7F43">
      <w:r>
        <w:rPr>
          <w:rStyle w:val="optioncarChar"/>
        </w:rPr>
        <w:t>Volume net </w:t>
      </w:r>
      <w:r>
        <w:t>(par défaut)</w:t>
      </w:r>
      <w:r>
        <w:rPr>
          <w:rStyle w:val="optioncarChar"/>
        </w:rPr>
        <w:t> / Surface nette</w:t>
      </w:r>
    </w:p>
    <w:p w14:paraId="784E8EEB" w14:textId="77777777" w:rsidR="00DF410E" w:rsidRDefault="00CE7F43">
      <w:r>
        <w:rPr>
          <w:b/>
        </w:rPr>
        <w:t>(soit par défaut)</w:t>
      </w:r>
    </w:p>
    <w:p w14:paraId="78CDBD03"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7D90ECF" w14:textId="77777777" w:rsidR="00DF410E" w:rsidRDefault="00CE7F43">
      <w:r>
        <w:rPr>
          <w:b/>
        </w:rPr>
        <w:t>(soit)</w:t>
      </w:r>
    </w:p>
    <w:p w14:paraId="2D19D246"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2A48E50" w14:textId="77777777" w:rsidR="00DF410E" w:rsidRDefault="00DF410E"/>
    <w:p w14:paraId="0DF46676" w14:textId="77777777" w:rsidR="00DF410E" w:rsidRDefault="00DF410E"/>
    <w:p w14:paraId="740B76B5" w14:textId="77777777" w:rsidR="00DF410E" w:rsidRDefault="00CE7F43">
      <w:r>
        <w:t> </w:t>
      </w:r>
    </w:p>
    <w:p w14:paraId="76D606A5" w14:textId="77777777" w:rsidR="00DF410E" w:rsidRDefault="00CE7F43">
      <w:pPr>
        <w:pStyle w:val="pheading"/>
      </w:pPr>
      <w:r>
        <w:t>- nature du marché:</w:t>
      </w:r>
    </w:p>
    <w:p w14:paraId="0BC9E2C1" w14:textId="77777777" w:rsidR="00DF410E" w:rsidRDefault="00CE7F43">
      <w:r>
        <w:t>QF</w:t>
      </w:r>
    </w:p>
    <w:p w14:paraId="5B0CAE80" w14:textId="77777777" w:rsidR="00DF410E" w:rsidRDefault="00CE7F43">
      <w:pPr>
        <w:pStyle w:val="Author-eSectionHeading6"/>
      </w:pPr>
      <w:bookmarkStart w:id="162" w:name="_Toc178837409"/>
      <w:r>
        <w:t>21.22.1c Maçonneries non portantes en blocs treillis de terre cuite à coller avec colle PU uni-composante CCTB 01.11</w:t>
      </w:r>
      <w:bookmarkEnd w:id="162"/>
    </w:p>
    <w:p w14:paraId="108F3AAC" w14:textId="77777777" w:rsidR="00DF410E" w:rsidRDefault="00CE7F43">
      <w:pPr>
        <w:pStyle w:val="pheading"/>
      </w:pPr>
      <w:r>
        <w:t>DESCRIPTION</w:t>
      </w:r>
    </w:p>
    <w:p w14:paraId="61CA879D" w14:textId="77777777" w:rsidR="00DF410E" w:rsidRDefault="00CE7F43">
      <w:pPr>
        <w:pStyle w:val="pheading"/>
      </w:pPr>
      <w:r>
        <w:t>- Définition / Comprend</w:t>
      </w:r>
    </w:p>
    <w:p w14:paraId="31C1758B" w14:textId="77777777" w:rsidR="00DF410E" w:rsidRDefault="00CE7F43">
      <w:r>
        <w:rPr>
          <w:rStyle w:val="normalChar"/>
          <w:color w:val="000000"/>
        </w:rPr>
        <w:t>Cet article vise la fourniture et la pose de maçonneries non portantes en blocs treillis de terre cuite à coller avec une colle PU uni-composante.</w:t>
      </w:r>
    </w:p>
    <w:p w14:paraId="65C7115D" w14:textId="77777777" w:rsidR="00DF410E" w:rsidRDefault="00CE7F43">
      <w:r>
        <w:rPr>
          <w:rStyle w:val="normalChar"/>
          <w:color w:val="000000"/>
        </w:rPr>
        <w:t xml:space="preserve">La portée des travaux est décrite dans l’article </w:t>
      </w:r>
      <w:hyperlink w:anchor="385" w:history="1">
        <w:r>
          <w:rPr>
            <w:rStyle w:val="normalChar"/>
            <w:color w:val="000000"/>
          </w:rPr>
          <w:t>21.22.1 Maçonneries non portantes en blocs treillis de terre cuite</w:t>
        </w:r>
      </w:hyperlink>
      <w:r>
        <w:rPr>
          <w:rStyle w:val="normalChar"/>
          <w:color w:val="000000"/>
        </w:rPr>
        <w:t>.</w:t>
      </w:r>
    </w:p>
    <w:p w14:paraId="20F1FBA6" w14:textId="77777777" w:rsidR="00DF410E" w:rsidRDefault="00CE7F43">
      <w:r>
        <w:rPr>
          <w:rStyle w:val="normalChar"/>
          <w:color w:val="000000"/>
        </w:rPr>
        <w:t>Les travaux comprennent également la fourniture et la pose des pièces d’angle, de terminaison et de rencontre.</w:t>
      </w:r>
    </w:p>
    <w:p w14:paraId="7E4FC121" w14:textId="77777777" w:rsidR="00DF410E" w:rsidRDefault="00CE7F43">
      <w:pPr>
        <w:pStyle w:val="pheading"/>
      </w:pPr>
      <w:r>
        <w:t>- Localisation</w:t>
      </w:r>
    </w:p>
    <w:p w14:paraId="54B1072C" w14:textId="77777777" w:rsidR="00DF410E" w:rsidRDefault="00CE7F43">
      <w:r>
        <w:rPr>
          <w:rStyle w:val="normalChar"/>
          <w:color w:val="000000"/>
        </w:rPr>
        <w:t xml:space="preserve">La pose est réalisée aux endroits suivants : </w:t>
      </w:r>
      <w:r>
        <w:rPr>
          <w:rStyle w:val="optioncarChar"/>
          <w:color w:val="000000"/>
        </w:rPr>
        <w:t>***</w:t>
      </w:r>
      <w:r>
        <w:rPr>
          <w:rStyle w:val="normalChar"/>
          <w:color w:val="000000"/>
        </w:rPr>
        <w:t>.</w:t>
      </w:r>
    </w:p>
    <w:p w14:paraId="266D0A50" w14:textId="77777777" w:rsidR="00DF410E" w:rsidRDefault="00CE7F43">
      <w:r>
        <w:rPr>
          <w:rStyle w:val="normalChar"/>
          <w:color w:val="000000"/>
        </w:rPr>
        <w:t>Voir plans et métrés détaillés.</w:t>
      </w:r>
    </w:p>
    <w:p w14:paraId="4031650C" w14:textId="77777777" w:rsidR="00DF410E" w:rsidRDefault="00CE7F43">
      <w:pPr>
        <w:pStyle w:val="pheading"/>
      </w:pPr>
      <w:r>
        <w:t>MATÉRIAUX</w:t>
      </w:r>
    </w:p>
    <w:p w14:paraId="41FE49DD" w14:textId="77777777" w:rsidR="00DF410E" w:rsidRDefault="00CE7F43">
      <w:pPr>
        <w:pStyle w:val="pheading"/>
      </w:pPr>
      <w:r>
        <w:t>- Caractéristiques générales</w:t>
      </w:r>
    </w:p>
    <w:p w14:paraId="53646838" w14:textId="77777777" w:rsidR="00DF410E" w:rsidRDefault="00CE7F43">
      <w:pPr>
        <w:spacing w:line="259" w:lineRule="auto"/>
      </w:pPr>
      <w:r>
        <w:rPr>
          <w:b/>
        </w:rPr>
        <w:t>Spécifications</w:t>
      </w:r>
    </w:p>
    <w:p w14:paraId="4DFF0A61" w14:textId="77777777" w:rsidR="00DF410E" w:rsidRDefault="00CE7F43">
      <w:r>
        <w:t>En ce qui concerne la déclaration de la résistance à la compression, les blocs treillis sont de catégorie I (la résistance à la compression est déclarée avec une fiabilité de 95%).</w:t>
      </w:r>
    </w:p>
    <w:p w14:paraId="4C3E0381" w14:textId="77777777" w:rsidR="00DF410E" w:rsidRDefault="00CE7F43">
      <w:r>
        <w:br/>
      </w:r>
      <w:r>
        <w:rPr>
          <w:color w:val="000000"/>
        </w:rPr>
        <w:t xml:space="preserve">La résistance en compression </w:t>
      </w:r>
      <w:r>
        <w:rPr>
          <w:rStyle w:val="optioncarChar"/>
        </w:rPr>
        <w:t>moyenne (f</w:t>
      </w:r>
      <w:r>
        <w:rPr>
          <w:rStyle w:val="optioncarChar"/>
          <w:vertAlign w:val="subscript"/>
        </w:rPr>
        <w:t>mean</w:t>
      </w:r>
      <w:r>
        <w:rPr>
          <w:rStyle w:val="optioncarChar"/>
        </w:rPr>
        <w:t xml:space="preserve">) </w:t>
      </w:r>
      <w:r>
        <w:t>(par défaut) </w:t>
      </w:r>
      <w:r>
        <w:rPr>
          <w:rStyle w:val="optioncarChar"/>
        </w:rPr>
        <w:t>/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color w:val="000000"/>
        </w:rPr>
        <w:t xml:space="preserve">10 / 15 / </w:t>
      </w:r>
      <w:r>
        <w:rPr>
          <w:rStyle w:val="optioncarChar"/>
        </w:rPr>
        <w:t>***</w:t>
      </w:r>
      <w:r>
        <w:rPr>
          <w:color w:val="000000"/>
        </w:rPr>
        <w:t xml:space="preserve"> N/mm² (MPa).</w:t>
      </w:r>
    </w:p>
    <w:p w14:paraId="021944A8" w14:textId="77777777" w:rsidR="00DF410E" w:rsidRDefault="00CE7F43">
      <w:r>
        <w:t>Le groupe de configuration suivant [NBN EN 1996-1-1+A1 ANB] est : 2</w:t>
      </w:r>
    </w:p>
    <w:p w14:paraId="1E6B9DE0" w14:textId="77777777" w:rsidR="00DF410E" w:rsidRDefault="00CE7F43">
      <w:r>
        <w:t xml:space="preserve">La masse volumique sèche apparente des blocs ρ (rho) est </w:t>
      </w:r>
      <w:r>
        <w:rPr>
          <w:rStyle w:val="optioncarChar"/>
        </w:rPr>
        <w:t>850 </w:t>
      </w:r>
      <w:r>
        <w:t>(par défaut)</w:t>
      </w:r>
      <w:r>
        <w:rPr>
          <w:rStyle w:val="optioncarChar"/>
        </w:rPr>
        <w:t> / ***</w:t>
      </w:r>
      <w:r>
        <w:t> &lt; ρ &lt; </w:t>
      </w:r>
      <w:r>
        <w:rPr>
          <w:rStyle w:val="optioncarChar"/>
        </w:rPr>
        <w:t>925 </w:t>
      </w:r>
      <w:r>
        <w:t>(par défaut)</w:t>
      </w:r>
      <w:r>
        <w:rPr>
          <w:rStyle w:val="optioncarChar"/>
        </w:rPr>
        <w:t> / ***</w:t>
      </w:r>
      <w:r>
        <w:t xml:space="preserve"> kg/m³ selon la [NBN EN 771-1+A1]. (catégorie de tolérance </w:t>
      </w:r>
      <w:r>
        <w:rPr>
          <w:rStyle w:val="optioncarChar"/>
        </w:rPr>
        <w:t>D1 / D2 / ***</w:t>
      </w:r>
      <w:r>
        <w:t>).</w:t>
      </w:r>
    </w:p>
    <w:p w14:paraId="219460BD" w14:textId="77777777" w:rsidR="00DF410E" w:rsidRDefault="00CE7F43">
      <w:r>
        <w:t>Les blocs répondent aux conditions requises pour une utilisation avec une colle PU uni-composant reprises dans la déclaration de l’aptitude à l’emploi du système de construction.</w:t>
      </w:r>
    </w:p>
    <w:p w14:paraId="544FEC47" w14:textId="77777777" w:rsidR="00DF410E" w:rsidRDefault="00CE7F43">
      <w:r>
        <w:rPr>
          <w:rStyle w:val="normalChar"/>
        </w:rPr>
        <w:t>L’entrepreneur soumet à la Direction de chantier la fiche technique et, s’il le juge nécessaire, un échantillon pour approbation.</w:t>
      </w:r>
    </w:p>
    <w:p w14:paraId="192853C9" w14:textId="77777777" w:rsidR="00DF410E" w:rsidRDefault="00CE7F43">
      <w:r>
        <w:rPr>
          <w:rStyle w:val="normalChar"/>
        </w:rPr>
        <w:t>Boutisse: plate</w:t>
      </w:r>
    </w:p>
    <w:p w14:paraId="3B230064" w14:textId="77777777" w:rsidR="00DF410E" w:rsidRDefault="00CE7F43">
      <w:r>
        <w:rPr>
          <w:rStyle w:val="normalChar"/>
        </w:rPr>
        <w:t>Face qui reste visible : lisse</w:t>
      </w:r>
    </w:p>
    <w:p w14:paraId="48D2C2E9" w14:textId="77777777" w:rsidR="00DF410E" w:rsidRDefault="00CE7F43">
      <w:r>
        <w:rPr>
          <w:rStyle w:val="normalChar"/>
        </w:rPr>
        <w:t>Face à cimenter ou plafonner : l</w:t>
      </w:r>
      <w:r>
        <w:rPr>
          <w:rStyle w:val="optioncarChar"/>
        </w:rPr>
        <w:t>isse</w:t>
      </w:r>
      <w:r>
        <w:t xml:space="preserve"> (par défaut)</w:t>
      </w:r>
      <w:r>
        <w:rPr>
          <w:rStyle w:val="optioncarChar"/>
        </w:rPr>
        <w:t xml:space="preserve"> / rainurée</w:t>
      </w:r>
    </w:p>
    <w:p w14:paraId="588C4287" w14:textId="77777777" w:rsidR="00DF410E" w:rsidRDefault="00CE7F43">
      <w:r>
        <w:rPr>
          <w:rStyle w:val="normalChar"/>
          <w:color w:val="000000"/>
        </w:rPr>
        <w:t xml:space="preserve">Format : (L x l x h) </w:t>
      </w:r>
      <w:r>
        <w:rPr>
          <w:rStyle w:val="optioncarChar"/>
          <w:color w:val="000000"/>
        </w:rPr>
        <w:t>(500 x 100/140/190 x 135/185/250 mm)</w:t>
      </w:r>
      <w:r>
        <w:rPr>
          <w:rStyle w:val="normalChar"/>
          <w:color w:val="000000"/>
        </w:rPr>
        <w:t> mm /</w:t>
      </w:r>
      <w:r>
        <w:rPr>
          <w:rStyle w:val="optioncarChar"/>
          <w:color w:val="000000"/>
        </w:rPr>
        <w:t> format</w:t>
      </w:r>
      <w:r>
        <w:rPr>
          <w:rStyle w:val="normalChar"/>
          <w:color w:val="000000"/>
        </w:rPr>
        <w:t xml:space="preserve"> modulaire</w:t>
      </w:r>
      <w:r>
        <w:rPr>
          <w:rStyle w:val="optioncarChar"/>
          <w:color w:val="000000"/>
        </w:rPr>
        <w:t xml:space="preserve"> proposé par l'entrepreneur</w:t>
      </w:r>
      <w:r>
        <w:rPr>
          <w:rStyle w:val="normalChar"/>
          <w:color w:val="000000"/>
        </w:rPr>
        <w:t> (par défaut)</w:t>
      </w:r>
    </w:p>
    <w:p w14:paraId="17E125BD" w14:textId="77777777" w:rsidR="00DF410E" w:rsidRDefault="00CE7F43">
      <w:r>
        <w:rPr>
          <w:rStyle w:val="normalChar"/>
          <w:color w:val="000000"/>
        </w:rPr>
        <w:t xml:space="preserve">Tolérances dimensionnelles : </w:t>
      </w:r>
    </w:p>
    <w:p w14:paraId="33717E55" w14:textId="77777777" w:rsidR="00DF410E" w:rsidRDefault="00CE7F43">
      <w:r>
        <w:rPr>
          <w:rStyle w:val="normalChar"/>
          <w:color w:val="000000"/>
        </w:rPr>
        <w:t xml:space="preserve">Tolérances de la valeur moyenne : T1+ </w:t>
      </w:r>
    </w:p>
    <w:p w14:paraId="24083EF9" w14:textId="77777777" w:rsidR="00DF410E" w:rsidRDefault="00CE7F43">
      <w:r>
        <w:rPr>
          <w:rStyle w:val="normalChar"/>
          <w:color w:val="000000"/>
        </w:rPr>
        <w:t xml:space="preserve">Plage : R1+ </w:t>
      </w:r>
    </w:p>
    <w:p w14:paraId="6B64A3DB" w14:textId="77777777" w:rsidR="00DF410E" w:rsidRDefault="00CE7F43">
      <w:r>
        <w:rPr>
          <w:rStyle w:val="normalChar"/>
          <w:color w:val="000000"/>
        </w:rPr>
        <w:t xml:space="preserve">Planéité : 0,5 mm </w:t>
      </w:r>
    </w:p>
    <w:p w14:paraId="0EEEFAC1" w14:textId="77777777" w:rsidR="00DF410E" w:rsidRDefault="00CE7F43">
      <w:r>
        <w:rPr>
          <w:rStyle w:val="normalChar"/>
          <w:color w:val="000000"/>
        </w:rPr>
        <w:t>Parallélisme : 1  mm</w:t>
      </w:r>
    </w:p>
    <w:p w14:paraId="01166AB3" w14:textId="77777777" w:rsidR="00DF410E" w:rsidRDefault="00CE7F43">
      <w:r>
        <w:rPr>
          <w:rStyle w:val="normalChar"/>
          <w:color w:val="000000"/>
        </w:rPr>
        <w:t xml:space="preserve">Taux initial d’absorption d’eau : classe </w:t>
      </w:r>
      <w:r>
        <w:rPr>
          <w:rStyle w:val="optioncarChar"/>
          <w:color w:val="000000"/>
        </w:rPr>
        <w:t xml:space="preserve"> IW2 / IW3</w:t>
      </w:r>
    </w:p>
    <w:p w14:paraId="54080B6D" w14:textId="77777777" w:rsidR="00DF410E" w:rsidRDefault="00CE7F43">
      <w:r>
        <w:rPr>
          <w:rStyle w:val="normalChar"/>
          <w:color w:val="000000"/>
        </w:rPr>
        <w:t>Résistance au gel suivant les classes d’application MX… selon [NBN EN 1996-1-2 ANB]</w:t>
      </w:r>
      <w:r>
        <w:t xml:space="preserve"> et [NIT 271].</w:t>
      </w:r>
    </w:p>
    <w:p w14:paraId="53AB297E" w14:textId="77777777" w:rsidR="00DF410E" w:rsidRDefault="00CE7F43">
      <w:r>
        <w:rPr>
          <w:rStyle w:val="normalChar"/>
          <w:color w:val="000000"/>
        </w:rPr>
        <w:t>Réaction au feu : A1 selon [NBN EN 13501-1].</w:t>
      </w:r>
    </w:p>
    <w:p w14:paraId="6863A45B" w14:textId="77777777" w:rsidR="00DF410E" w:rsidRDefault="00CE7F43">
      <w:r>
        <w:t xml:space="preserve">Type de mortier : colle PU uni-composante durcissant à l’eau selon </w:t>
      </w:r>
      <w:r>
        <w:rPr>
          <w:rStyle w:val="normalChar"/>
          <w:color w:val="000000"/>
        </w:rPr>
        <w:t xml:space="preserve">paragraphe </w:t>
      </w:r>
      <w:hyperlink w:anchor="293" w:history="1">
        <w:r>
          <w:rPr>
            <w:color w:val="00B050"/>
          </w:rPr>
          <w:t>21 Superstructures en maçonnerie</w:t>
        </w:r>
      </w:hyperlink>
    </w:p>
    <w:p w14:paraId="51A5323D" w14:textId="77777777" w:rsidR="00DF410E" w:rsidRDefault="00CE7F43">
      <w:r>
        <w:rPr>
          <w:b/>
        </w:rPr>
        <w:t>Critères de performances de la paroi</w:t>
      </w:r>
    </w:p>
    <w:p w14:paraId="49853FAD" w14:textId="77777777" w:rsidR="00DF410E" w:rsidRDefault="00CE7F43">
      <w:pPr>
        <w:spacing w:line="259" w:lineRule="auto"/>
      </w:pPr>
      <w:r>
        <w:t>Résistance à la compression du mur :</w:t>
      </w:r>
    </w:p>
    <w:p w14:paraId="17E8B0CF" w14:textId="77777777" w:rsidR="00DF410E" w:rsidRDefault="00CE7F43">
      <w:pPr>
        <w:pStyle w:val="Author-eListParagraph"/>
        <w:numPr>
          <w:ilvl w:val="0"/>
          <w:numId w:val="168"/>
        </w:numPr>
      </w:pPr>
      <w:r>
        <w:t>Testée selon [NBN EN 1052-1]</w:t>
      </w:r>
    </w:p>
    <w:p w14:paraId="54D3AA53" w14:textId="77777777" w:rsidR="00DF410E" w:rsidRDefault="00CE7F43">
      <w:pPr>
        <w:pStyle w:val="Author-eListParagraph"/>
        <w:numPr>
          <w:ilvl w:val="0"/>
          <w:numId w:val="168"/>
        </w:numPr>
      </w:pPr>
      <w:r>
        <w:t>Les règles de calcul de la [NBN EN 1996-1-1+A1 ANB] sont d’application.</w:t>
      </w:r>
    </w:p>
    <w:p w14:paraId="573A03AC" w14:textId="77777777" w:rsidR="00DF410E" w:rsidRDefault="00CE7F43">
      <w:pPr>
        <w:spacing w:line="259" w:lineRule="auto"/>
      </w:pPr>
      <w:r>
        <w:t xml:space="preserve">Résistance à la flexion testée selon [NBN EN 1052-2]: </w:t>
      </w:r>
    </w:p>
    <w:p w14:paraId="67ABCF4C" w14:textId="77777777" w:rsidR="00DF410E" w:rsidRDefault="00CE7F43">
      <w:pPr>
        <w:pStyle w:val="Author-eListParagraph"/>
        <w:numPr>
          <w:ilvl w:val="0"/>
          <w:numId w:val="169"/>
        </w:numPr>
      </w:pPr>
      <w:r>
        <w:t>f</w:t>
      </w:r>
      <w:r>
        <w:rPr>
          <w:vertAlign w:val="subscript"/>
        </w:rPr>
        <w:t>xk1</w:t>
      </w:r>
      <w:r>
        <w:t xml:space="preserve"> = </w:t>
      </w:r>
      <w:r>
        <w:rPr>
          <w:rStyle w:val="optioncarChar"/>
        </w:rPr>
        <w:t xml:space="preserve">0,10 / *** </w:t>
      </w:r>
      <w:r>
        <w:t>N/mm²</w:t>
      </w:r>
    </w:p>
    <w:p w14:paraId="453C9371" w14:textId="77777777" w:rsidR="00DF410E" w:rsidRDefault="00CE7F43">
      <w:pPr>
        <w:pStyle w:val="Author-eListParagraph"/>
        <w:numPr>
          <w:ilvl w:val="0"/>
          <w:numId w:val="169"/>
        </w:numPr>
      </w:pPr>
      <w:r>
        <w:t>f</w:t>
      </w:r>
      <w:r>
        <w:rPr>
          <w:vertAlign w:val="subscript"/>
        </w:rPr>
        <w:t>xk2</w:t>
      </w:r>
      <w:r>
        <w:t xml:space="preserve"> = </w:t>
      </w:r>
      <w:r>
        <w:rPr>
          <w:rStyle w:val="optioncarChar"/>
        </w:rPr>
        <w:t xml:space="preserve">0,10 / *** </w:t>
      </w:r>
      <w:r>
        <w:t>N/mm²</w:t>
      </w:r>
    </w:p>
    <w:p w14:paraId="3FF1210E" w14:textId="77777777" w:rsidR="00DF410E" w:rsidRDefault="00CE7F43">
      <w:pPr>
        <w:spacing w:line="259" w:lineRule="auto"/>
      </w:pPr>
      <w:r>
        <w:t xml:space="preserve">Résistance au cisaillement testée selon[NBN EN 1052-3/A1]: </w:t>
      </w:r>
    </w:p>
    <w:p w14:paraId="208DE91C" w14:textId="77777777" w:rsidR="00DF410E" w:rsidRDefault="00CE7F43">
      <w:pPr>
        <w:pStyle w:val="Author-eListParagraph"/>
        <w:numPr>
          <w:ilvl w:val="0"/>
          <w:numId w:val="170"/>
        </w:numPr>
      </w:pPr>
      <w:r>
        <w:t>f</w:t>
      </w:r>
      <w:r>
        <w:rPr>
          <w:vertAlign w:val="subscript"/>
        </w:rPr>
        <w:t>vk0</w:t>
      </w:r>
      <w:r>
        <w:t xml:space="preserve"> = </w:t>
      </w:r>
      <w:r>
        <w:rPr>
          <w:rStyle w:val="optioncarChar"/>
        </w:rPr>
        <w:t>0,10 / ***</w:t>
      </w:r>
      <w:r>
        <w:t>N/mm²</w:t>
      </w:r>
    </w:p>
    <w:p w14:paraId="7F349489" w14:textId="77777777" w:rsidR="00DF410E" w:rsidRDefault="00CE7F43">
      <w:pPr>
        <w:spacing w:line="259" w:lineRule="auto"/>
      </w:pPr>
      <w:r>
        <w:t>Coefficient de transmission :</w:t>
      </w:r>
    </w:p>
    <w:p w14:paraId="1F3342E8" w14:textId="77777777" w:rsidR="00DF410E" w:rsidRDefault="00CE7F43">
      <w:pPr>
        <w:pStyle w:val="Author-eListParagraph"/>
        <w:numPr>
          <w:ilvl w:val="0"/>
          <w:numId w:val="171"/>
        </w:numPr>
      </w:pPr>
      <w:r>
        <w:t xml:space="preserve">valeur U minimale de </w:t>
      </w:r>
      <w:r>
        <w:rPr>
          <w:rStyle w:val="optioncarChar"/>
        </w:rPr>
        <w:t>***</w:t>
      </w:r>
      <w:r>
        <w:t xml:space="preserve"> W/m²K</w:t>
      </w:r>
    </w:p>
    <w:p w14:paraId="0C9A90EE" w14:textId="77777777" w:rsidR="00DF410E" w:rsidRDefault="00CE7F43">
      <w:pPr>
        <w:pStyle w:val="Author-eListParagraph"/>
        <w:numPr>
          <w:ilvl w:val="0"/>
          <w:numId w:val="171"/>
        </w:numPr>
      </w:pPr>
      <w:r>
        <w:t>valeur λ</w:t>
      </w:r>
      <w:r>
        <w:rPr>
          <w:vertAlign w:val="subscript"/>
        </w:rPr>
        <w:t>Ui</w:t>
      </w:r>
      <w:r>
        <w:t xml:space="preserve"> ou λ</w:t>
      </w:r>
      <w:r>
        <w:rPr>
          <w:vertAlign w:val="subscript"/>
        </w:rPr>
        <w:t>Ue</w:t>
      </w:r>
      <w:r>
        <w:t xml:space="preserve"> : max. </w:t>
      </w:r>
      <w:r>
        <w:rPr>
          <w:rStyle w:val="optioncarChar"/>
        </w:rPr>
        <w:t>0,185 / 0,26 / 0,29 </w:t>
      </w:r>
      <w:r>
        <w:t>W/mK (suivant l’application).</w:t>
      </w:r>
    </w:p>
    <w:p w14:paraId="20B6BB5A" w14:textId="77777777" w:rsidR="00DF410E" w:rsidRDefault="00CE7F43">
      <w:pPr>
        <w:pStyle w:val="Author-eListParagraph"/>
        <w:numPr>
          <w:ilvl w:val="0"/>
          <w:numId w:val="171"/>
        </w:numPr>
      </w:pPr>
      <w:r>
        <w:t>coefficient de conductivité thermique  déclaré: λ</w:t>
      </w:r>
      <w:r>
        <w:rPr>
          <w:vertAlign w:val="subscript"/>
        </w:rPr>
        <w:t xml:space="preserve">10,sec,bloc (50/50) </w:t>
      </w:r>
      <w:r>
        <w:t>(selon [NBN EN 1745]): max.</w:t>
      </w:r>
      <w:r>
        <w:rPr>
          <w:rStyle w:val="optioncarChar"/>
        </w:rPr>
        <w:t xml:space="preserve"> 0,175 / 0,23 / *** </w:t>
      </w:r>
      <w:r>
        <w:t>W/mK</w:t>
      </w:r>
    </w:p>
    <w:p w14:paraId="1D3E2AB6" w14:textId="77777777" w:rsidR="00DF410E" w:rsidRDefault="00CE7F43">
      <w:pPr>
        <w:pStyle w:val="Author-eListParagraph"/>
        <w:numPr>
          <w:ilvl w:val="0"/>
          <w:numId w:val="171"/>
        </w:numPr>
      </w:pPr>
      <w:r>
        <w:t>coefficient de conductivité thermique  déclaré λ</w:t>
      </w:r>
      <w:r>
        <w:rPr>
          <w:vertAlign w:val="subscript"/>
        </w:rPr>
        <w:t xml:space="preserve">D </w:t>
      </w:r>
      <w:r>
        <w:t>: max.</w:t>
      </w:r>
      <w:r>
        <w:rPr>
          <w:rStyle w:val="optioncarChar"/>
        </w:rPr>
        <w:t xml:space="preserve"> 0,18 / 0,24 / *** </w:t>
      </w:r>
      <w:r>
        <w:t>W/mK.</w:t>
      </w:r>
    </w:p>
    <w:p w14:paraId="74F958BD" w14:textId="77777777" w:rsidR="00DF410E" w:rsidRDefault="00CE7F43">
      <w:pPr>
        <w:spacing w:line="259" w:lineRule="auto"/>
      </w:pPr>
      <w:r>
        <w:t>Résistance au feu :</w:t>
      </w:r>
    </w:p>
    <w:p w14:paraId="1CCE3596" w14:textId="77777777" w:rsidR="00DF410E" w:rsidRDefault="00CE7F43">
      <w:pPr>
        <w:pStyle w:val="Author-eListParagraph"/>
        <w:numPr>
          <w:ilvl w:val="0"/>
          <w:numId w:val="172"/>
        </w:numPr>
      </w:pPr>
      <w:r>
        <w:t xml:space="preserve">pour les éléments porteurs structurels sans fonction séparante : </w:t>
      </w:r>
      <w:r>
        <w:rPr>
          <w:rStyle w:val="optioncarChar"/>
        </w:rPr>
        <w:t>R120 / ***</w:t>
      </w:r>
    </w:p>
    <w:p w14:paraId="2DEA76C3" w14:textId="77777777" w:rsidR="00DF410E" w:rsidRDefault="00CE7F43">
      <w:pPr>
        <w:pStyle w:val="Author-eListParagraph"/>
        <w:numPr>
          <w:ilvl w:val="0"/>
          <w:numId w:val="172"/>
        </w:numPr>
      </w:pPr>
      <w:r>
        <w:t xml:space="preserve">pour les éléments porteurs structurels avec fonction séparante : </w:t>
      </w:r>
      <w:r>
        <w:rPr>
          <w:rStyle w:val="optioncarChar"/>
        </w:rPr>
        <w:t>REI120 / ***</w:t>
      </w:r>
    </w:p>
    <w:p w14:paraId="16DAE452" w14:textId="77777777" w:rsidR="00DF410E" w:rsidRDefault="00CE7F43">
      <w:pPr>
        <w:spacing w:line="259" w:lineRule="auto"/>
        <w:ind w:left="360"/>
      </w:pPr>
      <w:r>
        <w:t>testée selon la norme [NBN EN 1363-1] et [NBN EN 1365-2]</w:t>
      </w:r>
    </w:p>
    <w:p w14:paraId="6675CA38" w14:textId="77777777" w:rsidR="00DF410E" w:rsidRDefault="00DF410E"/>
    <w:p w14:paraId="4FDBBB88" w14:textId="77777777" w:rsidR="00DF410E" w:rsidRDefault="00CE7F43">
      <w:r>
        <w:t> </w:t>
      </w:r>
    </w:p>
    <w:p w14:paraId="3BB62D8B" w14:textId="77777777" w:rsidR="00DF410E" w:rsidRDefault="00CE7F43">
      <w:pPr>
        <w:pStyle w:val="pheading"/>
      </w:pPr>
      <w:r>
        <w:t>- Finitions</w:t>
      </w:r>
    </w:p>
    <w:p w14:paraId="56FDFEDE" w14:textId="77777777" w:rsidR="00DF410E" w:rsidRDefault="00DF410E"/>
    <w:p w14:paraId="69276E87" w14:textId="77777777" w:rsidR="00DF410E" w:rsidRDefault="00CE7F43">
      <w:pPr>
        <w:pStyle w:val="Author-eListParagraph"/>
        <w:numPr>
          <w:ilvl w:val="0"/>
          <w:numId w:val="173"/>
        </w:numPr>
      </w:pPr>
      <w:r>
        <w:t>Les murs suivants sont érigés  avec une face restant apparente :</w:t>
      </w:r>
      <w:r>
        <w:rPr>
          <w:rStyle w:val="optioncarChar"/>
        </w:rPr>
        <w:t xml:space="preserve"> ***</w:t>
      </w:r>
    </w:p>
    <w:p w14:paraId="28C80FC1" w14:textId="77777777" w:rsidR="00DF410E" w:rsidRDefault="00CE7F43">
      <w:pPr>
        <w:pStyle w:val="Author-eListParagraph"/>
        <w:numPr>
          <w:ilvl w:val="0"/>
          <w:numId w:val="173"/>
        </w:numPr>
      </w:pPr>
      <w:r>
        <w:t>Les murs suivants sont érigés  avec deux faces restant apparentes :</w:t>
      </w:r>
      <w:r>
        <w:rPr>
          <w:rStyle w:val="optioncarChar"/>
        </w:rPr>
        <w:t xml:space="preserve"> ***</w:t>
      </w:r>
    </w:p>
    <w:p w14:paraId="1E11295F" w14:textId="77777777" w:rsidR="00DF410E" w:rsidRDefault="00CE7F43">
      <w:pPr>
        <w:pStyle w:val="pheading"/>
      </w:pPr>
      <w:r>
        <w:t>EXÉCUTION / MISE EN ŒUVRE</w:t>
      </w:r>
    </w:p>
    <w:p w14:paraId="136CD537" w14:textId="77777777" w:rsidR="00DF410E" w:rsidRDefault="00CE7F43">
      <w:pPr>
        <w:pStyle w:val="pheading"/>
      </w:pPr>
      <w:r>
        <w:t>- Prescriptions générales</w:t>
      </w:r>
    </w:p>
    <w:p w14:paraId="513C5F31" w14:textId="77777777" w:rsidR="00DF410E" w:rsidRDefault="00CE7F43">
      <w:r>
        <w:rPr>
          <w:color w:val="000000"/>
        </w:rPr>
        <w:t>La mise en œuvre, y compris le bloc d’assise, est conforme à la déclaration de l’aptitude à l’emploi du système de construction.</w:t>
      </w:r>
    </w:p>
    <w:p w14:paraId="141CCE31" w14:textId="77777777" w:rsidR="00DF410E" w:rsidRDefault="00CE7F43">
      <w:r>
        <w:rPr>
          <w:color w:val="000000"/>
        </w:rPr>
        <w:t>Les linteaux seront réalisés selon article 21.43.1.</w:t>
      </w:r>
    </w:p>
    <w:p w14:paraId="301EFD27" w14:textId="77777777" w:rsidR="00DF410E" w:rsidRDefault="00CE7F43">
      <w:pPr>
        <w:pStyle w:val="pheading"/>
      </w:pPr>
      <w:r>
        <w:t>MESURAGE</w:t>
      </w:r>
    </w:p>
    <w:p w14:paraId="2FE2825B" w14:textId="77777777" w:rsidR="00DF410E" w:rsidRDefault="00CE7F43">
      <w:pPr>
        <w:pStyle w:val="pheading"/>
      </w:pPr>
      <w:r>
        <w:t>- unité de mesure:</w:t>
      </w:r>
    </w:p>
    <w:p w14:paraId="1FAFB7F3" w14:textId="77777777" w:rsidR="00DF410E" w:rsidRDefault="00CE7F43">
      <w:r>
        <w:rPr>
          <w:rStyle w:val="optioncarChar"/>
        </w:rPr>
        <w:t>m³ </w:t>
      </w:r>
      <w:r>
        <w:t>(par défaut)</w:t>
      </w:r>
      <w:r>
        <w:rPr>
          <w:rStyle w:val="optioncarChar"/>
        </w:rPr>
        <w:t> / m²</w:t>
      </w:r>
    </w:p>
    <w:p w14:paraId="3330A56B" w14:textId="77777777" w:rsidR="00DF410E" w:rsidRDefault="00CE7F43">
      <w:r>
        <w:rPr>
          <w:b/>
        </w:rPr>
        <w:t>(soit par défaut)</w:t>
      </w:r>
    </w:p>
    <w:p w14:paraId="6C46BFED" w14:textId="77777777" w:rsidR="00DF410E" w:rsidRDefault="00CE7F43">
      <w:r>
        <w:rPr>
          <w:rStyle w:val="soitChar"/>
        </w:rPr>
        <w:t>1. m³</w:t>
      </w:r>
    </w:p>
    <w:p w14:paraId="713DE0EE" w14:textId="77777777" w:rsidR="00DF410E" w:rsidRDefault="00CE7F43">
      <w:r>
        <w:rPr>
          <w:b/>
        </w:rPr>
        <w:t>(soit)</w:t>
      </w:r>
    </w:p>
    <w:p w14:paraId="6DEAF1C9" w14:textId="77777777" w:rsidR="00DF410E" w:rsidRDefault="00CE7F43">
      <w:r>
        <w:rPr>
          <w:rStyle w:val="soitChar"/>
        </w:rPr>
        <w:t>2. m²</w:t>
      </w:r>
    </w:p>
    <w:p w14:paraId="694A9870" w14:textId="77777777" w:rsidR="00DF410E" w:rsidRDefault="00CE7F43">
      <w:pPr>
        <w:pStyle w:val="pheading"/>
      </w:pPr>
      <w:r>
        <w:t>- code de mesurage:</w:t>
      </w:r>
    </w:p>
    <w:p w14:paraId="6DC6FA98"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588875E"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1BDD539"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AA9CEC3" w14:textId="77777777" w:rsidR="00DF410E" w:rsidRDefault="00CE7F43">
      <w:r>
        <w:rPr>
          <w:rStyle w:val="optioncarChar"/>
        </w:rPr>
        <w:t>Volume net </w:t>
      </w:r>
      <w:r>
        <w:t>(par défaut)</w:t>
      </w:r>
      <w:r>
        <w:rPr>
          <w:rStyle w:val="optioncarChar"/>
        </w:rPr>
        <w:t> / Surface nette</w:t>
      </w:r>
    </w:p>
    <w:p w14:paraId="6F6DED9F" w14:textId="77777777" w:rsidR="00DF410E" w:rsidRDefault="00CE7F43">
      <w:r>
        <w:rPr>
          <w:b/>
        </w:rPr>
        <w:t>(soit par défaut)</w:t>
      </w:r>
    </w:p>
    <w:p w14:paraId="6741E45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5E20046" w14:textId="77777777" w:rsidR="00DF410E" w:rsidRDefault="00CE7F43">
      <w:r>
        <w:rPr>
          <w:b/>
        </w:rPr>
        <w:t>(soit)</w:t>
      </w:r>
    </w:p>
    <w:p w14:paraId="2A316462"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3E4CD1B" w14:textId="77777777" w:rsidR="00DF410E" w:rsidRDefault="00DF410E"/>
    <w:p w14:paraId="3B9D65EB" w14:textId="77777777" w:rsidR="00DF410E" w:rsidRDefault="00DF410E"/>
    <w:p w14:paraId="205BAB6F" w14:textId="77777777" w:rsidR="00DF410E" w:rsidRDefault="00CE7F43">
      <w:r>
        <w:t> </w:t>
      </w:r>
    </w:p>
    <w:p w14:paraId="77CC8A9A" w14:textId="77777777" w:rsidR="00DF410E" w:rsidRDefault="00CE7F43">
      <w:pPr>
        <w:pStyle w:val="pheading"/>
      </w:pPr>
      <w:r>
        <w:t>- nature du marché:</w:t>
      </w:r>
    </w:p>
    <w:p w14:paraId="7CEE2882" w14:textId="77777777" w:rsidR="00DF410E" w:rsidRDefault="00CE7F43">
      <w:r>
        <w:t>QF</w:t>
      </w:r>
    </w:p>
    <w:p w14:paraId="5794F916" w14:textId="77777777" w:rsidR="00DF410E" w:rsidRDefault="00CE7F43">
      <w:pPr>
        <w:pStyle w:val="Author-eSectionHeading5"/>
      </w:pPr>
      <w:bookmarkStart w:id="163" w:name="_Toc178837410"/>
      <w:r>
        <w:t>21.22.2 Maçonneries non portantes en blocs de béton CCTB 01.11</w:t>
      </w:r>
      <w:bookmarkEnd w:id="163"/>
    </w:p>
    <w:p w14:paraId="0924B68F" w14:textId="77777777" w:rsidR="00DF410E" w:rsidRDefault="00CE7F43">
      <w:pPr>
        <w:pStyle w:val="pheading"/>
      </w:pPr>
      <w:bookmarkStart w:id="164" w:name="387"/>
      <w:bookmarkEnd w:id="164"/>
      <w:r>
        <w:t>MATÉRIAUX</w:t>
      </w:r>
    </w:p>
    <w:p w14:paraId="607C3F33" w14:textId="77777777" w:rsidR="00DF410E" w:rsidRDefault="00CE7F43">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19916AA9" w14:textId="77777777" w:rsidR="00DF410E" w:rsidRDefault="00CE7F43">
      <w:pPr>
        <w:pStyle w:val="pheading"/>
      </w:pPr>
      <w:r>
        <w:t>EXÉCUTION / MISE EN ŒUVRE</w:t>
      </w:r>
    </w:p>
    <w:p w14:paraId="7AB594C8" w14:textId="77777777" w:rsidR="00DF410E" w:rsidRDefault="00CE7F43">
      <w:r>
        <w:rPr>
          <w:u w:val="single"/>
        </w:rPr>
        <w:t>-Prescriptions générales</w:t>
      </w:r>
    </w:p>
    <w:p w14:paraId="2319B01F" w14:textId="77777777" w:rsidR="00DF410E" w:rsidRDefault="00CE7F43">
      <w:r>
        <w:t>Conformément au mode de mise en œuvre, les blocs en béton sont maçonnés au mortier / collés à l’aide d’un mortier-colle selon les indications du fabricant des blocs / du fabricant de mortier et des notes de calcul du bureau d’études.</w:t>
      </w:r>
    </w:p>
    <w:p w14:paraId="2B866BA8" w14:textId="77777777" w:rsidR="00DF410E" w:rsidRDefault="00CE7F43">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5EDCD011" w14:textId="77777777" w:rsidR="00DF410E" w:rsidRDefault="00CE7F43">
      <w: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Matériaux de liaison et d'ancrage :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5826F351"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r>
        <w:t xml:space="preserve">. </w:t>
      </w:r>
      <w:r>
        <w:br/>
      </w:r>
      <w:r>
        <w:br/>
      </w:r>
      <w:r>
        <w:rPr>
          <w:u w:val="single"/>
        </w:rPr>
        <w:t>-Notes d'exécution complémentaires</w:t>
      </w:r>
    </w:p>
    <w:p w14:paraId="69514DC7" w14:textId="77777777" w:rsidR="00DF410E" w:rsidRDefault="00CE7F43">
      <w:r>
        <w:t xml:space="preserve">Pour les maçonneries destinées à rester apparentes, seules des blocs non endommagés sont utilisés. </w:t>
      </w:r>
      <w:r>
        <w:br/>
        <w:t xml:space="preserve">Les segments de murs sont pourvus d'armatures horizontales selon l'article </w:t>
      </w:r>
      <w:hyperlink w:anchor="355" w:history="1">
        <w:r>
          <w:t>21.41.1 Armatures horizontales pour maçonneries</w:t>
        </w:r>
      </w:hyperlink>
      <w:r>
        <w:t>.</w:t>
      </w:r>
    </w:p>
    <w:p w14:paraId="6F21C5F3" w14:textId="77777777" w:rsidR="00DF410E" w:rsidRDefault="00CE7F43">
      <w:r>
        <w:t xml:space="preserve">Les segments de murs sont pourvus d'armatures verticales selon l'article </w:t>
      </w:r>
      <w:hyperlink w:anchor="356" w:history="1">
        <w:r>
          <w:t>21.41.2 Armatures verticales pour maçonneries</w:t>
        </w:r>
      </w:hyperlink>
      <w:r>
        <w:t>.</w:t>
      </w:r>
    </w:p>
    <w:p w14:paraId="7DB3E260"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79007AAD"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 xml:space="preserve">3,5 </w:t>
      </w:r>
      <w:r>
        <w:t>(par défaut) </w:t>
      </w:r>
      <w:r>
        <w:rPr>
          <w:rStyle w:val="optioncarChar"/>
        </w:rPr>
        <w:t>/ ***</w:t>
      </w:r>
      <w:r>
        <w:t xml:space="preserve"> mm.</w:t>
      </w:r>
    </w:p>
    <w:p w14:paraId="226F3E27" w14:textId="77777777" w:rsidR="00DF410E" w:rsidRDefault="00CE7F43">
      <w:r>
        <w:t xml:space="preserve">Linteaux : *** conformément à l’article </w:t>
      </w:r>
      <w:hyperlink w:anchor="358" w:history="1">
        <w:r>
          <w:t>22.13 Linteaux en béton</w:t>
        </w:r>
      </w:hyperlink>
      <w:r>
        <w:t>.</w:t>
      </w:r>
    </w:p>
    <w:p w14:paraId="20B02906" w14:textId="77777777" w:rsidR="00DF410E" w:rsidRDefault="00CE7F43">
      <w:pPr>
        <w:pStyle w:val="pheading"/>
      </w:pPr>
      <w:r>
        <w:t>AIDE</w:t>
      </w:r>
    </w:p>
    <w:p w14:paraId="21229044" w14:textId="77777777" w:rsidR="00DF410E" w:rsidRDefault="00CE7F43">
      <w:r>
        <w:t>Note à l'attention de l'auteur du projet : pour le choix adéquat du mortier, se référer à la [STS 22 série].</w:t>
      </w:r>
    </w:p>
    <w:p w14:paraId="46054650" w14:textId="77777777" w:rsidR="00DF410E" w:rsidRDefault="00CE7F43">
      <w:pPr>
        <w:pStyle w:val="Author-eSectionHeading6"/>
      </w:pPr>
      <w:bookmarkStart w:id="165" w:name="_Toc178837411"/>
      <w:r>
        <w:t>21.22.2a Maçonneries non portantes en blocs de béton pleins à maçonner CCTB 01.12</w:t>
      </w:r>
      <w:bookmarkEnd w:id="165"/>
    </w:p>
    <w:p w14:paraId="53673B16" w14:textId="77777777" w:rsidR="00DF410E" w:rsidRDefault="00CE7F43">
      <w:pPr>
        <w:pStyle w:val="pheading"/>
      </w:pPr>
      <w:r>
        <w:t>DESCRIPTION</w:t>
      </w:r>
    </w:p>
    <w:p w14:paraId="3A529488" w14:textId="77777777" w:rsidR="00DF410E" w:rsidRDefault="00CE7F43">
      <w:pPr>
        <w:pStyle w:val="pheading"/>
      </w:pPr>
      <w:r>
        <w:t>- Définition / Comprend</w:t>
      </w:r>
    </w:p>
    <w:p w14:paraId="0D190192" w14:textId="77777777" w:rsidR="00DF410E" w:rsidRDefault="00CE7F43">
      <w:r>
        <w:t xml:space="preserve">Il s’agit de la fourniture et la pose de maçonneries non portantes en blocs de béton pleins à maçonner. </w:t>
      </w:r>
      <w:r>
        <w:br/>
        <w:t xml:space="preserve">La portée des travaux est décrite dans l’article </w:t>
      </w:r>
      <w:hyperlink w:anchor="387" w:history="1">
        <w:r>
          <w:t>21.22.2 Maçonneries non portantes en blocs de béton</w:t>
        </w:r>
      </w:hyperlink>
      <w:r>
        <w:t>.</w:t>
      </w:r>
      <w:r>
        <w:br/>
        <w:t>Les travaux comprennent également la fourniture et la pose des pièces d’angle, de terminaison et de rencontre.</w:t>
      </w:r>
    </w:p>
    <w:p w14:paraId="135E018D" w14:textId="77777777" w:rsidR="00DF410E" w:rsidRDefault="00CE7F43">
      <w:pPr>
        <w:pStyle w:val="pheading"/>
      </w:pPr>
      <w:r>
        <w:t>- Localisation</w:t>
      </w:r>
    </w:p>
    <w:p w14:paraId="186E4AF4" w14:textId="77777777" w:rsidR="00DF410E" w:rsidRDefault="00CE7F43">
      <w:r>
        <w:t>La pose est réalisée aux endroits suivants :</w:t>
      </w:r>
      <w:r>
        <w:rPr>
          <w:rStyle w:val="optioncarChar"/>
        </w:rPr>
        <w:t xml:space="preserve"> ***</w:t>
      </w:r>
      <w:r>
        <w:t>.</w:t>
      </w:r>
      <w:r>
        <w:br/>
        <w:t>Voir plans et métrés détaillés.</w:t>
      </w:r>
    </w:p>
    <w:p w14:paraId="5A3E261D" w14:textId="77777777" w:rsidR="00DF410E" w:rsidRDefault="00CE7F43">
      <w:pPr>
        <w:pStyle w:val="pheading"/>
      </w:pPr>
      <w:r>
        <w:t>MATÉRIAUX</w:t>
      </w:r>
    </w:p>
    <w:p w14:paraId="1D491E93" w14:textId="77777777" w:rsidR="00DF410E" w:rsidRDefault="00CE7F43">
      <w:pPr>
        <w:pStyle w:val="pheading"/>
      </w:pPr>
      <w:r>
        <w:t>- Caractéristiques générales</w:t>
      </w:r>
    </w:p>
    <w:p w14:paraId="1926A06E" w14:textId="77777777" w:rsidR="00DF410E" w:rsidRDefault="00CE7F43">
      <w:r>
        <w:rPr>
          <w:rStyle w:val="headingChar"/>
        </w:rPr>
        <w:t>Spécifications</w:t>
      </w:r>
    </w:p>
    <w:p w14:paraId="79E56A2F" w14:textId="77777777" w:rsidR="00DF410E" w:rsidRDefault="00CE7F43">
      <w:r>
        <w:rPr>
          <w:u w:val="single"/>
        </w:rPr>
        <w:t>Blocs</w:t>
      </w:r>
    </w:p>
    <w:p w14:paraId="71277F30"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134746DB" w14:textId="77777777" w:rsidR="00DF410E" w:rsidRDefault="00CE7F43">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 </w:t>
      </w:r>
      <w:r>
        <w:rPr>
          <w:rStyle w:val="optioncarChar"/>
        </w:rPr>
        <w:t>/ assemblage à rainures et languettes / assemblage à rainures et poignées</w:t>
      </w:r>
      <w:r>
        <w:br/>
        <w:t xml:space="preserve">Face qui reste visible : </w:t>
      </w:r>
      <w:r>
        <w:rPr>
          <w:rStyle w:val="optioncarChar"/>
        </w:rPr>
        <w:t>lisse </w:t>
      </w:r>
      <w:r>
        <w:t xml:space="preserve">(par défaut) </w:t>
      </w:r>
      <w:r>
        <w:rPr>
          <w:rStyle w:val="optioncarChar"/>
        </w:rPr>
        <w:t>/ clivé / ***</w:t>
      </w:r>
      <w:r>
        <w:br/>
        <w:t>Face à cimenter ou plafonner :</w:t>
      </w:r>
      <w:r>
        <w:rPr>
          <w:rStyle w:val="optioncarChar"/>
        </w:rPr>
        <w:t xml:space="preserve"> lisse </w:t>
      </w:r>
      <w:r>
        <w:t>(par défaut)</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076011F"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3A15D9A1" w14:textId="77777777" w:rsidR="00DF410E" w:rsidRDefault="00CE7F43">
      <w:pPr>
        <w:spacing w:before="0" w:after="0"/>
      </w:pPr>
      <w:r>
        <w:rPr>
          <w:u w:val="single"/>
        </w:rPr>
        <w:t>Mortier</w:t>
      </w:r>
    </w:p>
    <w:p w14:paraId="734AC762" w14:textId="77777777" w:rsidR="00DF410E" w:rsidRDefault="00CE7F43">
      <w:pPr>
        <w:spacing w:before="0" w:after="0"/>
      </w:pPr>
      <w:r>
        <w:rPr>
          <w:rStyle w:val="normalChar"/>
          <w:color w:val="000000"/>
        </w:rPr>
        <w:t>Classe de résistance :</w:t>
      </w:r>
      <w:r>
        <w:rPr>
          <w:rStyle w:val="optioncarChar"/>
        </w:rPr>
        <w:t xml:space="preserve">M1 / M2,5 / M5 / M10 </w:t>
      </w:r>
      <w:r>
        <w:t xml:space="preserve"> (par défaut) </w:t>
      </w:r>
      <w:r>
        <w:rPr>
          <w:rStyle w:val="optioncarChar"/>
        </w:rPr>
        <w:t xml:space="preserve">/ M15 / M20 </w:t>
      </w:r>
    </w:p>
    <w:p w14:paraId="16CFE8E6"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126816B" w14:textId="77777777" w:rsidR="00DF410E" w:rsidRDefault="00CE7F43">
      <w:pPr>
        <w:spacing w:before="0" w:after="0"/>
      </w:pPr>
      <w:r>
        <w:rPr>
          <w:rStyle w:val="normalChar"/>
          <w:color w:val="000000"/>
        </w:rPr>
        <w:t>Résistance au gel : oui</w:t>
      </w:r>
    </w:p>
    <w:p w14:paraId="7D3FB2BE" w14:textId="77777777" w:rsidR="00DF410E" w:rsidRDefault="00CE7F43">
      <w:r>
        <w:br/>
      </w:r>
      <w:r>
        <w:rPr>
          <w:rStyle w:val="headingChar"/>
        </w:rPr>
        <w:t>Critères De Performances De La Paroi</w:t>
      </w:r>
    </w:p>
    <w:p w14:paraId="0FB9312A" w14:textId="77777777" w:rsidR="00DF410E" w:rsidRDefault="00CE7F43">
      <w:r>
        <w:t>Coefficient de transmission :</w:t>
      </w:r>
    </w:p>
    <w:p w14:paraId="4E9FE1C3" w14:textId="77777777" w:rsidR="00DF410E" w:rsidRDefault="00CE7F43">
      <w:pPr>
        <w:pStyle w:val="Author-eListParagraph"/>
        <w:numPr>
          <w:ilvl w:val="0"/>
          <w:numId w:val="174"/>
        </w:numPr>
      </w:pPr>
      <w:r>
        <w:t xml:space="preserve">valeur U minimale de </w:t>
      </w:r>
      <w:r>
        <w:rPr>
          <w:rStyle w:val="optioncarChar"/>
        </w:rPr>
        <w:t>***</w:t>
      </w:r>
      <w:r>
        <w:t xml:space="preserve"> W/m²K</w:t>
      </w:r>
    </w:p>
    <w:p w14:paraId="66A4D6F2" w14:textId="77777777" w:rsidR="00DF410E" w:rsidRDefault="00CE7F43">
      <w:pPr>
        <w:pStyle w:val="Author-eListParagraph"/>
        <w:numPr>
          <w:ilvl w:val="0"/>
          <w:numId w:val="17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CD6EB56" w14:textId="77777777" w:rsidR="00DF410E" w:rsidRDefault="00CE7F43">
      <w:r>
        <w:br/>
        <w:t xml:space="preserve">Résistance au feu : </w:t>
      </w:r>
      <w:r>
        <w:rPr>
          <w:rStyle w:val="optioncarChar"/>
        </w:rPr>
        <w:t>EI30</w:t>
      </w:r>
      <w:r>
        <w:t> (par défaut)</w:t>
      </w:r>
      <w:r>
        <w:rPr>
          <w:rStyle w:val="optioncarChar"/>
        </w:rPr>
        <w:t xml:space="preserve"> / EI60/ EI90 / EI120 / EI*** </w:t>
      </w:r>
    </w:p>
    <w:p w14:paraId="3C0F31E3" w14:textId="77777777" w:rsidR="00DF410E" w:rsidRDefault="00CE7F43">
      <w:r>
        <w:t xml:space="preserve">selon les tableaux dans </w:t>
      </w:r>
      <w:r>
        <w:rPr>
          <w:color w:val="0000FF"/>
        </w:rPr>
        <w:t>[NBN EN 1996-1-2 ANB]</w:t>
      </w:r>
      <w:r>
        <w:t>.</w:t>
      </w:r>
    </w:p>
    <w:p w14:paraId="2DF99DAB" w14:textId="77777777" w:rsidR="00DF410E" w:rsidRDefault="00DF410E"/>
    <w:p w14:paraId="5C22788B" w14:textId="77777777" w:rsidR="00DF410E" w:rsidRDefault="00CE7F43">
      <w:r>
        <w:t> </w:t>
      </w:r>
    </w:p>
    <w:p w14:paraId="31775B04" w14:textId="77777777" w:rsidR="00DF410E" w:rsidRDefault="00CE7F43">
      <w:pPr>
        <w:pStyle w:val="pheading"/>
      </w:pPr>
      <w:r>
        <w:t>- Finitions</w:t>
      </w:r>
    </w:p>
    <w:p w14:paraId="4AEB7F38" w14:textId="77777777" w:rsidR="00DF410E" w:rsidRDefault="00DF410E"/>
    <w:p w14:paraId="477C6E38" w14:textId="77777777" w:rsidR="00DF410E" w:rsidRDefault="00CE7F43">
      <w:pPr>
        <w:pStyle w:val="Author-eListParagraph"/>
        <w:numPr>
          <w:ilvl w:val="0"/>
          <w:numId w:val="175"/>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0B9D433F" w14:textId="77777777" w:rsidR="00DF410E" w:rsidRDefault="00CE7F43">
      <w:pPr>
        <w:pStyle w:val="Author-eListParagraph"/>
        <w:numPr>
          <w:ilvl w:val="0"/>
          <w:numId w:val="175"/>
        </w:numPr>
      </w:pPr>
      <w:r>
        <w:t xml:space="preserve">Les murs suivants sont exécutés avec une face restant apparente : </w:t>
      </w:r>
      <w:r>
        <w:rPr>
          <w:rStyle w:val="optioncarChar"/>
        </w:rPr>
        <w:t>***</w:t>
      </w:r>
    </w:p>
    <w:p w14:paraId="2B2986C1" w14:textId="77777777" w:rsidR="00DF410E" w:rsidRDefault="00CE7F43">
      <w:pPr>
        <w:pStyle w:val="Author-eListParagraph"/>
        <w:numPr>
          <w:ilvl w:val="0"/>
          <w:numId w:val="175"/>
        </w:numPr>
      </w:pPr>
      <w:r>
        <w:t xml:space="preserve">Les murs suivants sont exécutés avec deux faces restant apparentes : </w:t>
      </w:r>
      <w:r>
        <w:rPr>
          <w:rStyle w:val="optioncarChar"/>
        </w:rPr>
        <w:t>***</w:t>
      </w:r>
    </w:p>
    <w:p w14:paraId="73235CCC" w14:textId="77777777" w:rsidR="00DF410E" w:rsidRDefault="00CE7F43">
      <w:pPr>
        <w:pStyle w:val="pheading"/>
      </w:pPr>
      <w:r>
        <w:t>MESURAGE</w:t>
      </w:r>
    </w:p>
    <w:p w14:paraId="2EABF147" w14:textId="77777777" w:rsidR="00DF410E" w:rsidRDefault="00CE7F43">
      <w:pPr>
        <w:pStyle w:val="pheading"/>
      </w:pPr>
      <w:r>
        <w:t>- unité de mesure:</w:t>
      </w:r>
    </w:p>
    <w:p w14:paraId="1553EB51" w14:textId="77777777" w:rsidR="00DF410E" w:rsidRDefault="00CE7F43">
      <w:r>
        <w:rPr>
          <w:rStyle w:val="optioncarChar"/>
        </w:rPr>
        <w:t>m³ </w:t>
      </w:r>
      <w:r>
        <w:t>(par défaut)</w:t>
      </w:r>
      <w:r>
        <w:rPr>
          <w:rStyle w:val="optioncarChar"/>
        </w:rPr>
        <w:t> / m²</w:t>
      </w:r>
    </w:p>
    <w:p w14:paraId="4F773095" w14:textId="77777777" w:rsidR="00DF410E" w:rsidRDefault="00CE7F43">
      <w:r>
        <w:rPr>
          <w:b/>
        </w:rPr>
        <w:t>(soit par défaut)</w:t>
      </w:r>
    </w:p>
    <w:p w14:paraId="2A8F99C6" w14:textId="77777777" w:rsidR="00DF410E" w:rsidRDefault="00CE7F43">
      <w:r>
        <w:rPr>
          <w:rStyle w:val="soitChar"/>
        </w:rPr>
        <w:t>1. m³</w:t>
      </w:r>
    </w:p>
    <w:p w14:paraId="620B0C02" w14:textId="77777777" w:rsidR="00DF410E" w:rsidRDefault="00CE7F43">
      <w:r>
        <w:rPr>
          <w:b/>
        </w:rPr>
        <w:t>(soit)</w:t>
      </w:r>
    </w:p>
    <w:p w14:paraId="5CD882B7" w14:textId="77777777" w:rsidR="00DF410E" w:rsidRDefault="00CE7F43">
      <w:r>
        <w:rPr>
          <w:rStyle w:val="soitChar"/>
        </w:rPr>
        <w:t>2. m²</w:t>
      </w:r>
    </w:p>
    <w:p w14:paraId="791B8616" w14:textId="77777777" w:rsidR="00DF410E" w:rsidRDefault="00CE7F43">
      <w:pPr>
        <w:pStyle w:val="pheading"/>
      </w:pPr>
      <w:r>
        <w:t>- code de mesurage:</w:t>
      </w:r>
    </w:p>
    <w:p w14:paraId="2FF3F181"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C84B0EA"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983CCAF"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05040F2" w14:textId="77777777" w:rsidR="00DF410E" w:rsidRDefault="00CE7F43">
      <w:r>
        <w:rPr>
          <w:rStyle w:val="optioncarChar"/>
        </w:rPr>
        <w:t>Volume net </w:t>
      </w:r>
      <w:r>
        <w:t>(par défaut)</w:t>
      </w:r>
      <w:r>
        <w:rPr>
          <w:rStyle w:val="optioncarChar"/>
        </w:rPr>
        <w:t> / Surface nette</w:t>
      </w:r>
    </w:p>
    <w:p w14:paraId="01D868EC" w14:textId="77777777" w:rsidR="00DF410E" w:rsidRDefault="00CE7F43">
      <w:r>
        <w:rPr>
          <w:b/>
        </w:rPr>
        <w:t>(soit par défaut)</w:t>
      </w:r>
    </w:p>
    <w:p w14:paraId="663DD383"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CE8481E" w14:textId="77777777" w:rsidR="00DF410E" w:rsidRDefault="00CE7F43">
      <w:r>
        <w:rPr>
          <w:b/>
        </w:rPr>
        <w:t>(soit)</w:t>
      </w:r>
    </w:p>
    <w:p w14:paraId="26239D96"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F61528B" w14:textId="77777777" w:rsidR="00DF410E" w:rsidRDefault="00DF410E"/>
    <w:p w14:paraId="13A86A2D" w14:textId="77777777" w:rsidR="00DF410E" w:rsidRDefault="00CE7F43">
      <w:r>
        <w:t> </w:t>
      </w:r>
    </w:p>
    <w:p w14:paraId="3EFE055B" w14:textId="77777777" w:rsidR="00DF410E" w:rsidRDefault="00CE7F43">
      <w:pPr>
        <w:pStyle w:val="pheading"/>
      </w:pPr>
      <w:r>
        <w:t>- nature du marché:</w:t>
      </w:r>
    </w:p>
    <w:p w14:paraId="32205910" w14:textId="77777777" w:rsidR="00DF410E" w:rsidRDefault="00CE7F43">
      <w:r>
        <w:t>QF</w:t>
      </w:r>
    </w:p>
    <w:p w14:paraId="1E058EF6" w14:textId="77777777" w:rsidR="00DF410E" w:rsidRDefault="00CE7F43">
      <w:pPr>
        <w:pStyle w:val="Author-eSectionHeading6"/>
      </w:pPr>
      <w:bookmarkStart w:id="166" w:name="_Toc178837412"/>
      <w:r>
        <w:t>21.22.2b Maçonneries non portantes en blocs de béton pleins à coller CCTB 01.12</w:t>
      </w:r>
      <w:bookmarkEnd w:id="166"/>
    </w:p>
    <w:p w14:paraId="564A262B" w14:textId="77777777" w:rsidR="00DF410E" w:rsidRDefault="00CE7F43">
      <w:pPr>
        <w:pStyle w:val="pheading"/>
      </w:pPr>
      <w:r>
        <w:t>DESCRIPTION</w:t>
      </w:r>
    </w:p>
    <w:p w14:paraId="75A71F4D" w14:textId="77777777" w:rsidR="00DF410E" w:rsidRDefault="00CE7F43">
      <w:pPr>
        <w:pStyle w:val="pheading"/>
      </w:pPr>
      <w:r>
        <w:t>- Définition / Comprend</w:t>
      </w:r>
    </w:p>
    <w:p w14:paraId="2768CB74" w14:textId="77777777" w:rsidR="00DF410E" w:rsidRDefault="00CE7F43">
      <w:r>
        <w:t xml:space="preserve">Il s’agit de la fourniture et la pose de maçonneries non portantes en blocs de béton à coller. </w:t>
      </w:r>
      <w:r>
        <w:br/>
        <w:t xml:space="preserve">La portée des travaux est décrite dans l’article </w:t>
      </w:r>
      <w:hyperlink w:anchor="387" w:history="1">
        <w:r>
          <w:t>21.22.2 Maçonneries non portantes en blocs de béton</w:t>
        </w:r>
      </w:hyperlink>
      <w:r>
        <w:t>.</w:t>
      </w:r>
      <w:r>
        <w:br/>
        <w:t>Les travaux comprennent également la fourniture et la pose des pièces d’angle, de terminaison et de rencontre.</w:t>
      </w:r>
    </w:p>
    <w:p w14:paraId="7A51EBFE" w14:textId="77777777" w:rsidR="00DF410E" w:rsidRDefault="00CE7F43">
      <w:pPr>
        <w:pStyle w:val="pheading"/>
      </w:pPr>
      <w:r>
        <w:t>- Localisation</w:t>
      </w:r>
    </w:p>
    <w:p w14:paraId="33D75AB9" w14:textId="77777777" w:rsidR="00DF410E" w:rsidRDefault="00CE7F43">
      <w:r>
        <w:t xml:space="preserve">La pose est réalisée aux endroits suivants : </w:t>
      </w:r>
      <w:r>
        <w:rPr>
          <w:rStyle w:val="optioncarChar"/>
        </w:rPr>
        <w:t>***</w:t>
      </w:r>
      <w:r>
        <w:t>.</w:t>
      </w:r>
      <w:r>
        <w:br/>
        <w:t>Voir plans et métrés détaillés.</w:t>
      </w:r>
    </w:p>
    <w:p w14:paraId="67C030F7" w14:textId="77777777" w:rsidR="00DF410E" w:rsidRDefault="00CE7F43">
      <w:pPr>
        <w:pStyle w:val="pheading"/>
      </w:pPr>
      <w:r>
        <w:t>MATÉRIAUX</w:t>
      </w:r>
    </w:p>
    <w:p w14:paraId="532351B1" w14:textId="77777777" w:rsidR="00DF410E" w:rsidRDefault="00CE7F43">
      <w:pPr>
        <w:pStyle w:val="pheading"/>
      </w:pPr>
      <w:r>
        <w:t>- Caractéristiques générales</w:t>
      </w:r>
    </w:p>
    <w:p w14:paraId="0D01C49A" w14:textId="77777777" w:rsidR="00DF410E" w:rsidRDefault="00CE7F43">
      <w:r>
        <w:rPr>
          <w:rStyle w:val="headingChar"/>
        </w:rPr>
        <w:t>Spécifications</w:t>
      </w:r>
    </w:p>
    <w:p w14:paraId="17DFFE7F" w14:textId="77777777" w:rsidR="00DF410E" w:rsidRDefault="00CE7F43">
      <w:r>
        <w:rPr>
          <w:u w:val="single"/>
        </w:rPr>
        <w:t>Blocs</w:t>
      </w:r>
    </w:p>
    <w:p w14:paraId="07330A9C"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C2AA630" w14:textId="77777777" w:rsidR="00DF410E" w:rsidRDefault="00CE7F43">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1B365D07" w14:textId="77777777" w:rsidR="00DF410E" w:rsidRDefault="00CE7F43">
      <w:pPr>
        <w:spacing w:before="0" w:after="0"/>
      </w:pPr>
      <w:r>
        <w:rPr>
          <w:u w:val="single"/>
        </w:rPr>
        <w:t>Mortier</w:t>
      </w:r>
    </w:p>
    <w:p w14:paraId="0F9B8400"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5C23BF27"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62691C20" w14:textId="77777777" w:rsidR="00DF410E" w:rsidRDefault="00CE7F43">
      <w:pPr>
        <w:spacing w:before="0" w:after="0"/>
      </w:pPr>
      <w:r>
        <w:rPr>
          <w:rStyle w:val="normalChar"/>
          <w:color w:val="000000"/>
        </w:rPr>
        <w:t>Résistance au gel : oui</w:t>
      </w:r>
    </w:p>
    <w:p w14:paraId="7568D31C" w14:textId="77777777" w:rsidR="00DF410E" w:rsidRDefault="00CE7F43">
      <w:r>
        <w:br/>
      </w:r>
      <w:r>
        <w:rPr>
          <w:rStyle w:val="headingChar"/>
        </w:rPr>
        <w:t>Critères De Performances De La Paroi</w:t>
      </w:r>
    </w:p>
    <w:p w14:paraId="5177D10E" w14:textId="77777777" w:rsidR="00DF410E" w:rsidRDefault="00CE7F43">
      <w:r>
        <w:t>Coefficient de transmission :</w:t>
      </w:r>
    </w:p>
    <w:p w14:paraId="7C9BF7E6" w14:textId="77777777" w:rsidR="00DF410E" w:rsidRDefault="00CE7F43">
      <w:pPr>
        <w:pStyle w:val="Author-eListParagraph"/>
        <w:numPr>
          <w:ilvl w:val="0"/>
          <w:numId w:val="176"/>
        </w:numPr>
      </w:pPr>
      <w:r>
        <w:t xml:space="preserve">valeur U minimale de </w:t>
      </w:r>
      <w:r>
        <w:rPr>
          <w:rStyle w:val="optioncarChar"/>
        </w:rPr>
        <w:t>***</w:t>
      </w:r>
      <w:r>
        <w:t xml:space="preserve"> W/m²K</w:t>
      </w:r>
    </w:p>
    <w:p w14:paraId="06822F64" w14:textId="77777777" w:rsidR="00DF410E" w:rsidRDefault="00CE7F43">
      <w:pPr>
        <w:pStyle w:val="Author-eListParagraph"/>
        <w:numPr>
          <w:ilvl w:val="0"/>
          <w:numId w:val="17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B60B41E" w14:textId="77777777" w:rsidR="00DF410E" w:rsidRDefault="00CE7F43">
      <w:r>
        <w:br/>
        <w:t xml:space="preserve">Résistance au feu: </w:t>
      </w:r>
      <w:r>
        <w:rPr>
          <w:rStyle w:val="optioncarChar"/>
        </w:rPr>
        <w:t xml:space="preserve">EI30 </w:t>
      </w:r>
      <w:r>
        <w:t>(par défaut) </w:t>
      </w:r>
      <w:r>
        <w:rPr>
          <w:rStyle w:val="optioncarChar"/>
        </w:rPr>
        <w:t>/ EI60 / EI90 / EI120 / EI***</w:t>
      </w:r>
    </w:p>
    <w:p w14:paraId="57EAC3DB" w14:textId="77777777" w:rsidR="00DF410E" w:rsidRDefault="00CE7F43">
      <w:r>
        <w:t>selon les tableaux dans [NBN EN 1996-1-2 ANB].</w:t>
      </w:r>
    </w:p>
    <w:p w14:paraId="6468840B" w14:textId="77777777" w:rsidR="00DF410E" w:rsidRDefault="00DF410E"/>
    <w:p w14:paraId="189E91E2" w14:textId="77777777" w:rsidR="00DF410E" w:rsidRDefault="00CE7F43">
      <w:r>
        <w:t> </w:t>
      </w:r>
    </w:p>
    <w:p w14:paraId="164F568F" w14:textId="77777777" w:rsidR="00DF410E" w:rsidRDefault="00CE7F43">
      <w:pPr>
        <w:pStyle w:val="pheading"/>
      </w:pPr>
      <w:r>
        <w:t>- Finitions</w:t>
      </w:r>
    </w:p>
    <w:p w14:paraId="7CB85C0D" w14:textId="77777777" w:rsidR="00DF410E" w:rsidRDefault="00DF410E"/>
    <w:p w14:paraId="47B05017" w14:textId="77777777" w:rsidR="00DF410E" w:rsidRDefault="00CE7F43">
      <w:pPr>
        <w:pStyle w:val="Author-eListParagraph"/>
        <w:numPr>
          <w:ilvl w:val="0"/>
          <w:numId w:val="177"/>
        </w:numPr>
      </w:pPr>
      <w:r>
        <w:t xml:space="preserve">Les murs suivants sont exécutés avec deux faces restant apparentes : </w:t>
      </w:r>
      <w:r>
        <w:rPr>
          <w:rStyle w:val="optioncarChar"/>
        </w:rPr>
        <w:t>***</w:t>
      </w:r>
    </w:p>
    <w:p w14:paraId="51FD5573" w14:textId="77777777" w:rsidR="00DF410E" w:rsidRDefault="00CE7F43">
      <w:pPr>
        <w:pStyle w:val="Author-eListParagraph"/>
        <w:numPr>
          <w:ilvl w:val="0"/>
          <w:numId w:val="177"/>
        </w:numPr>
      </w:pPr>
      <w:r>
        <w:t xml:space="preserve">Les murs suivants sont exécutés avec deux faces restant apparentes : </w:t>
      </w:r>
      <w:r>
        <w:rPr>
          <w:rStyle w:val="optioncarChar"/>
        </w:rPr>
        <w:t>***</w:t>
      </w:r>
    </w:p>
    <w:p w14:paraId="7EC40779" w14:textId="77777777" w:rsidR="00DF410E" w:rsidRDefault="00CE7F43">
      <w:pPr>
        <w:pStyle w:val="pheading"/>
      </w:pPr>
      <w:r>
        <w:t>MESURAGE</w:t>
      </w:r>
    </w:p>
    <w:p w14:paraId="415F9FF9" w14:textId="77777777" w:rsidR="00DF410E" w:rsidRDefault="00CE7F43">
      <w:pPr>
        <w:pStyle w:val="pheading"/>
      </w:pPr>
      <w:r>
        <w:t>- unité de mesure:</w:t>
      </w:r>
    </w:p>
    <w:p w14:paraId="0C88E668" w14:textId="77777777" w:rsidR="00DF410E" w:rsidRDefault="00CE7F43">
      <w:r>
        <w:rPr>
          <w:rStyle w:val="optioncarChar"/>
        </w:rPr>
        <w:t>m³ </w:t>
      </w:r>
      <w:r>
        <w:t>(par défaut)</w:t>
      </w:r>
      <w:r>
        <w:rPr>
          <w:rStyle w:val="optioncarChar"/>
        </w:rPr>
        <w:t> / m²</w:t>
      </w:r>
    </w:p>
    <w:p w14:paraId="7AFBDA2D" w14:textId="77777777" w:rsidR="00DF410E" w:rsidRDefault="00CE7F43">
      <w:r>
        <w:rPr>
          <w:b/>
        </w:rPr>
        <w:t>(soit par défaut)</w:t>
      </w:r>
    </w:p>
    <w:p w14:paraId="2AEDEB9B" w14:textId="77777777" w:rsidR="00DF410E" w:rsidRDefault="00CE7F43">
      <w:r>
        <w:rPr>
          <w:rStyle w:val="soitChar"/>
        </w:rPr>
        <w:t>1. m³</w:t>
      </w:r>
    </w:p>
    <w:p w14:paraId="04746B82" w14:textId="77777777" w:rsidR="00DF410E" w:rsidRDefault="00CE7F43">
      <w:r>
        <w:rPr>
          <w:b/>
        </w:rPr>
        <w:t>(soit)</w:t>
      </w:r>
    </w:p>
    <w:p w14:paraId="014D17AC" w14:textId="77777777" w:rsidR="00DF410E" w:rsidRDefault="00CE7F43">
      <w:r>
        <w:rPr>
          <w:rStyle w:val="soitChar"/>
        </w:rPr>
        <w:t>2. m²</w:t>
      </w:r>
    </w:p>
    <w:p w14:paraId="0591D2DE" w14:textId="77777777" w:rsidR="00DF410E" w:rsidRDefault="00CE7F43">
      <w:pPr>
        <w:pStyle w:val="pheading"/>
      </w:pPr>
      <w:r>
        <w:t>- code de mesurage:</w:t>
      </w:r>
    </w:p>
    <w:p w14:paraId="465336A9"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164D696"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488DCE9"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18F94C2" w14:textId="77777777" w:rsidR="00DF410E" w:rsidRDefault="00CE7F43">
      <w:r>
        <w:rPr>
          <w:rStyle w:val="optioncarChar"/>
        </w:rPr>
        <w:t>Volume net </w:t>
      </w:r>
      <w:r>
        <w:t>(par défaut)</w:t>
      </w:r>
      <w:r>
        <w:rPr>
          <w:rStyle w:val="optioncarChar"/>
        </w:rPr>
        <w:t> / Surface nette</w:t>
      </w:r>
    </w:p>
    <w:p w14:paraId="5C4AD212" w14:textId="77777777" w:rsidR="00DF410E" w:rsidRDefault="00CE7F43">
      <w:r>
        <w:rPr>
          <w:b/>
        </w:rPr>
        <w:t>(soit par défaut)</w:t>
      </w:r>
    </w:p>
    <w:p w14:paraId="3D69DACD"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0FBB148" w14:textId="77777777" w:rsidR="00DF410E" w:rsidRDefault="00CE7F43">
      <w:r>
        <w:rPr>
          <w:b/>
        </w:rPr>
        <w:t>(soit)</w:t>
      </w:r>
    </w:p>
    <w:p w14:paraId="72CCE395"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43AF75" w14:textId="77777777" w:rsidR="00DF410E" w:rsidRDefault="00CE7F43">
      <w:pPr>
        <w:pStyle w:val="pheading"/>
      </w:pPr>
      <w:r>
        <w:t>- nature du marché:</w:t>
      </w:r>
    </w:p>
    <w:p w14:paraId="74AEFDBB" w14:textId="77777777" w:rsidR="00DF410E" w:rsidRDefault="00CE7F43">
      <w:r>
        <w:t>QF</w:t>
      </w:r>
    </w:p>
    <w:p w14:paraId="7848F427" w14:textId="77777777" w:rsidR="00DF410E" w:rsidRDefault="00CE7F43">
      <w:pPr>
        <w:pStyle w:val="Author-eSectionHeading6"/>
      </w:pPr>
      <w:bookmarkStart w:id="167" w:name="_Toc178837413"/>
      <w:r>
        <w:t>21.22.2c Maçonneries non portantes en blocs de béton creux à maçonner CCTB 01.12</w:t>
      </w:r>
      <w:bookmarkEnd w:id="167"/>
    </w:p>
    <w:p w14:paraId="21CB7AE0" w14:textId="77777777" w:rsidR="00DF410E" w:rsidRDefault="00CE7F43">
      <w:pPr>
        <w:pStyle w:val="pheading"/>
      </w:pPr>
      <w:r>
        <w:t>DESCRIPTION</w:t>
      </w:r>
    </w:p>
    <w:p w14:paraId="16359CD9" w14:textId="77777777" w:rsidR="00DF410E" w:rsidRDefault="00CE7F43">
      <w:pPr>
        <w:pStyle w:val="pheading"/>
      </w:pPr>
      <w:r>
        <w:t>- Définition / Comprend</w:t>
      </w:r>
    </w:p>
    <w:p w14:paraId="21CEF086" w14:textId="77777777" w:rsidR="00DF410E" w:rsidRDefault="00CE7F43">
      <w:r>
        <w:t xml:space="preserve">Il s’agit de la fourniture et la pose de maçonneries non portantes en blocs de béton creux à maçonner. </w:t>
      </w:r>
      <w:r>
        <w:br/>
        <w:t xml:space="preserve">La portée des travaux est décrite dans l’article </w:t>
      </w:r>
      <w:hyperlink w:anchor="387" w:history="1">
        <w:r>
          <w:t>21.22.2 Maçonneries non portantes en blocs de béton</w:t>
        </w:r>
      </w:hyperlink>
      <w:r>
        <w:t>.</w:t>
      </w:r>
      <w:r>
        <w:br/>
        <w:t>Les travaux comprennent également la fourniture et la pose des pièces d’angle, de terminaison et de rencontre.</w:t>
      </w:r>
    </w:p>
    <w:p w14:paraId="1AEE074B" w14:textId="77777777" w:rsidR="00DF410E" w:rsidRDefault="00CE7F43">
      <w:pPr>
        <w:pStyle w:val="pheading"/>
      </w:pPr>
      <w:r>
        <w:t>- Localisation</w:t>
      </w:r>
    </w:p>
    <w:p w14:paraId="389A8E14" w14:textId="77777777" w:rsidR="00DF410E" w:rsidRDefault="00CE7F43">
      <w:r>
        <w:t xml:space="preserve">La pose est réalisée aux endroits suivants : </w:t>
      </w:r>
      <w:r>
        <w:rPr>
          <w:rStyle w:val="optioncarChar"/>
        </w:rPr>
        <w:t>***</w:t>
      </w:r>
      <w:r>
        <w:t>.</w:t>
      </w:r>
      <w:r>
        <w:br/>
        <w:t>Voir plans et métrés détaillés.</w:t>
      </w:r>
    </w:p>
    <w:p w14:paraId="1C497A32" w14:textId="77777777" w:rsidR="00DF410E" w:rsidRDefault="00CE7F43">
      <w:pPr>
        <w:pStyle w:val="pheading"/>
      </w:pPr>
      <w:r>
        <w:t>MATÉRIAUX</w:t>
      </w:r>
    </w:p>
    <w:p w14:paraId="49E19D57" w14:textId="77777777" w:rsidR="00DF410E" w:rsidRDefault="00CE7F43">
      <w:pPr>
        <w:pStyle w:val="pheading"/>
      </w:pPr>
      <w:r>
        <w:t>- Caractéristiques générales</w:t>
      </w:r>
    </w:p>
    <w:p w14:paraId="6F5DEFE3" w14:textId="77777777" w:rsidR="00DF410E" w:rsidRDefault="00CE7F43">
      <w:r>
        <w:rPr>
          <w:rStyle w:val="headingChar"/>
        </w:rPr>
        <w:t>Spécifications</w:t>
      </w:r>
    </w:p>
    <w:p w14:paraId="01C8DD24" w14:textId="77777777" w:rsidR="00DF410E" w:rsidRDefault="00CE7F43">
      <w:r>
        <w:rPr>
          <w:u w:val="single"/>
        </w:rPr>
        <w:t>Blocs</w:t>
      </w:r>
    </w:p>
    <w:p w14:paraId="11D8635B"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5685328" w14:textId="77777777" w:rsidR="00DF410E" w:rsidRDefault="00CE7F43">
      <w: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p>
    <w:p w14:paraId="7E4AFFBE" w14:textId="77777777" w:rsidR="00DF410E" w:rsidRDefault="00CE7F43">
      <w:r>
        <w:t>Face qui reste visible : lisse</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E42108A"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 ***</w:t>
      </w:r>
    </w:p>
    <w:p w14:paraId="678142FD" w14:textId="77777777" w:rsidR="00DF410E" w:rsidRDefault="00CE7F43">
      <w:pPr>
        <w:spacing w:before="0" w:after="0"/>
      </w:pPr>
      <w:r>
        <w:rPr>
          <w:u w:val="single"/>
        </w:rPr>
        <w:t>Mortier</w:t>
      </w:r>
    </w:p>
    <w:p w14:paraId="64F3E157"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7B18A2FD"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B31C2AF" w14:textId="77777777" w:rsidR="00DF410E" w:rsidRDefault="00CE7F43">
      <w:pPr>
        <w:spacing w:before="0" w:after="0"/>
      </w:pPr>
      <w:r>
        <w:rPr>
          <w:rStyle w:val="normalChar"/>
          <w:color w:val="000000"/>
        </w:rPr>
        <w:t>Résistance au gel : oui</w:t>
      </w:r>
    </w:p>
    <w:p w14:paraId="3F06C0AA" w14:textId="77777777" w:rsidR="00DF410E" w:rsidRDefault="00CE7F43">
      <w:r>
        <w:br/>
      </w:r>
      <w:r>
        <w:rPr>
          <w:rStyle w:val="headingChar"/>
        </w:rPr>
        <w:t>Critères De Performances De La Paroi</w:t>
      </w:r>
    </w:p>
    <w:p w14:paraId="011A14CD" w14:textId="77777777" w:rsidR="00DF410E" w:rsidRDefault="00CE7F43">
      <w:r>
        <w:t>Coefficient de transmission :</w:t>
      </w:r>
    </w:p>
    <w:p w14:paraId="609CA42F" w14:textId="77777777" w:rsidR="00DF410E" w:rsidRDefault="00CE7F43">
      <w:pPr>
        <w:pStyle w:val="Author-eListParagraph"/>
        <w:numPr>
          <w:ilvl w:val="0"/>
          <w:numId w:val="178"/>
        </w:numPr>
      </w:pPr>
      <w:r>
        <w:t xml:space="preserve">valeur U minimale de </w:t>
      </w:r>
      <w:r>
        <w:rPr>
          <w:rStyle w:val="optioncarChar"/>
        </w:rPr>
        <w:t>***</w:t>
      </w:r>
      <w:r>
        <w:t xml:space="preserve"> W/m²K</w:t>
      </w:r>
    </w:p>
    <w:p w14:paraId="74538340" w14:textId="77777777" w:rsidR="00DF410E" w:rsidRDefault="00CE7F43">
      <w:pPr>
        <w:pStyle w:val="Author-eListParagraph"/>
        <w:numPr>
          <w:ilvl w:val="0"/>
          <w:numId w:val="17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2DF344C" w14:textId="77777777" w:rsidR="00DF410E" w:rsidRDefault="00CE7F43">
      <w:r>
        <w:br/>
        <w:t xml:space="preserve">Résistance au feu : </w:t>
      </w:r>
      <w:r>
        <w:rPr>
          <w:rStyle w:val="optioncarChar"/>
        </w:rPr>
        <w:t>EI30 </w:t>
      </w:r>
      <w:r>
        <w:t>(par défaut)</w:t>
      </w:r>
      <w:r>
        <w:rPr>
          <w:rStyle w:val="optioncarChar"/>
        </w:rPr>
        <w:t xml:space="preserve"> / EI60 / EI90 / EI120 / EI*** </w:t>
      </w:r>
    </w:p>
    <w:p w14:paraId="07E61FCE" w14:textId="77777777" w:rsidR="00DF410E" w:rsidRDefault="00CE7F43">
      <w:r>
        <w:t>selon les tableaux dans [NBN EN 1996-1-2 ANB].</w:t>
      </w:r>
    </w:p>
    <w:p w14:paraId="225ECD4C" w14:textId="77777777" w:rsidR="00DF410E" w:rsidRDefault="00DF410E"/>
    <w:p w14:paraId="29F69D93" w14:textId="77777777" w:rsidR="00DF410E" w:rsidRDefault="00CE7F43">
      <w:r>
        <w:t> </w:t>
      </w:r>
    </w:p>
    <w:p w14:paraId="7507D662" w14:textId="77777777" w:rsidR="00DF410E" w:rsidRDefault="00CE7F43">
      <w:pPr>
        <w:pStyle w:val="pheading"/>
      </w:pPr>
      <w:r>
        <w:t>- Finitions</w:t>
      </w:r>
    </w:p>
    <w:p w14:paraId="48B86077" w14:textId="77777777" w:rsidR="00DF410E" w:rsidRDefault="00DF410E"/>
    <w:p w14:paraId="6459A09A" w14:textId="77777777" w:rsidR="00DF410E" w:rsidRDefault="00CE7F43">
      <w:pPr>
        <w:pStyle w:val="Author-eListParagraph"/>
        <w:numPr>
          <w:ilvl w:val="0"/>
          <w:numId w:val="179"/>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5D7318F2" w14:textId="77777777" w:rsidR="00DF410E" w:rsidRDefault="00CE7F43">
      <w:pPr>
        <w:pStyle w:val="Author-eListParagraph"/>
        <w:numPr>
          <w:ilvl w:val="0"/>
          <w:numId w:val="179"/>
        </w:numPr>
      </w:pPr>
      <w:r>
        <w:t xml:space="preserve">Les murs suivants sont exécutés avec une face restant apparente : </w:t>
      </w:r>
      <w:r>
        <w:rPr>
          <w:rStyle w:val="optioncarChar"/>
        </w:rPr>
        <w:t>***</w:t>
      </w:r>
    </w:p>
    <w:p w14:paraId="2390F66D" w14:textId="77777777" w:rsidR="00DF410E" w:rsidRDefault="00CE7F43">
      <w:pPr>
        <w:pStyle w:val="Author-eListParagraph"/>
        <w:numPr>
          <w:ilvl w:val="0"/>
          <w:numId w:val="179"/>
        </w:numPr>
      </w:pPr>
      <w:r>
        <w:t xml:space="preserve">Les murs suivants sont exécutés avec deux faces restant apparentes : </w:t>
      </w:r>
      <w:r>
        <w:rPr>
          <w:rStyle w:val="optioncarChar"/>
        </w:rPr>
        <w:t>***</w:t>
      </w:r>
    </w:p>
    <w:p w14:paraId="0B4A6667" w14:textId="77777777" w:rsidR="00DF410E" w:rsidRDefault="00CE7F43">
      <w:pPr>
        <w:pStyle w:val="pheading"/>
      </w:pPr>
      <w:r>
        <w:t>MESURAGE</w:t>
      </w:r>
    </w:p>
    <w:p w14:paraId="404736BD" w14:textId="77777777" w:rsidR="00DF410E" w:rsidRDefault="00CE7F43">
      <w:pPr>
        <w:pStyle w:val="pheading"/>
      </w:pPr>
      <w:r>
        <w:t>- unité de mesure:</w:t>
      </w:r>
    </w:p>
    <w:p w14:paraId="070BC8C8" w14:textId="77777777" w:rsidR="00DF410E" w:rsidRDefault="00CE7F43">
      <w:r>
        <w:rPr>
          <w:rStyle w:val="optioncarChar"/>
        </w:rPr>
        <w:t>m³ </w:t>
      </w:r>
      <w:r>
        <w:t>(par défaut)</w:t>
      </w:r>
      <w:r>
        <w:rPr>
          <w:rStyle w:val="optioncarChar"/>
        </w:rPr>
        <w:t> / m²</w:t>
      </w:r>
    </w:p>
    <w:p w14:paraId="6A224525" w14:textId="77777777" w:rsidR="00DF410E" w:rsidRDefault="00CE7F43">
      <w:r>
        <w:rPr>
          <w:b/>
        </w:rPr>
        <w:t>(soit par défaut)</w:t>
      </w:r>
    </w:p>
    <w:p w14:paraId="3FC387E4" w14:textId="77777777" w:rsidR="00DF410E" w:rsidRDefault="00CE7F43">
      <w:r>
        <w:rPr>
          <w:rStyle w:val="soitChar"/>
        </w:rPr>
        <w:t>1. m³</w:t>
      </w:r>
    </w:p>
    <w:p w14:paraId="4B40FB70" w14:textId="77777777" w:rsidR="00DF410E" w:rsidRDefault="00CE7F43">
      <w:r>
        <w:rPr>
          <w:b/>
        </w:rPr>
        <w:t>(soit)</w:t>
      </w:r>
    </w:p>
    <w:p w14:paraId="16FAC7B7" w14:textId="77777777" w:rsidR="00DF410E" w:rsidRDefault="00CE7F43">
      <w:r>
        <w:rPr>
          <w:rStyle w:val="soitChar"/>
        </w:rPr>
        <w:t>2. m²</w:t>
      </w:r>
    </w:p>
    <w:p w14:paraId="2DCC6AA8" w14:textId="77777777" w:rsidR="00DF410E" w:rsidRDefault="00CE7F43">
      <w:pPr>
        <w:pStyle w:val="pheading"/>
      </w:pPr>
      <w:r>
        <w:t>- code de mesurage:</w:t>
      </w:r>
    </w:p>
    <w:p w14:paraId="16248B32"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2FCC0AD"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5787994"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9DCD63D" w14:textId="77777777" w:rsidR="00DF410E" w:rsidRDefault="00CE7F43">
      <w:r>
        <w:rPr>
          <w:rStyle w:val="optioncarChar"/>
        </w:rPr>
        <w:t>Volume net </w:t>
      </w:r>
      <w:r>
        <w:t>(par défaut)</w:t>
      </w:r>
      <w:r>
        <w:rPr>
          <w:rStyle w:val="optioncarChar"/>
        </w:rPr>
        <w:t> / Surface nette</w:t>
      </w:r>
    </w:p>
    <w:p w14:paraId="2813DA32" w14:textId="77777777" w:rsidR="00DF410E" w:rsidRDefault="00CE7F43">
      <w:r>
        <w:rPr>
          <w:b/>
        </w:rPr>
        <w:t>(soit par défaut)</w:t>
      </w:r>
    </w:p>
    <w:p w14:paraId="1CA689B5"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BFD9A8E" w14:textId="77777777" w:rsidR="00DF410E" w:rsidRDefault="00CE7F43">
      <w:r>
        <w:rPr>
          <w:b/>
        </w:rPr>
        <w:t>(soit)</w:t>
      </w:r>
    </w:p>
    <w:p w14:paraId="0B1EFD1A"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EE074CF" w14:textId="77777777" w:rsidR="00DF410E" w:rsidRDefault="00DF410E"/>
    <w:p w14:paraId="43EE030A" w14:textId="77777777" w:rsidR="00DF410E" w:rsidRDefault="00DF410E"/>
    <w:p w14:paraId="1CF7684F" w14:textId="77777777" w:rsidR="00DF410E" w:rsidRDefault="00CE7F43">
      <w:r>
        <w:t> </w:t>
      </w:r>
    </w:p>
    <w:p w14:paraId="5A6951B9" w14:textId="77777777" w:rsidR="00DF410E" w:rsidRDefault="00CE7F43">
      <w:pPr>
        <w:pStyle w:val="pheading"/>
      </w:pPr>
      <w:r>
        <w:t>- nature du marché:</w:t>
      </w:r>
    </w:p>
    <w:p w14:paraId="15711ACC" w14:textId="77777777" w:rsidR="00DF410E" w:rsidRDefault="00CE7F43">
      <w:r>
        <w:t>QF</w:t>
      </w:r>
    </w:p>
    <w:p w14:paraId="2F1DCFDD" w14:textId="77777777" w:rsidR="00DF410E" w:rsidRDefault="00CE7F43">
      <w:pPr>
        <w:pStyle w:val="Author-eSectionHeading6"/>
      </w:pPr>
      <w:bookmarkStart w:id="168" w:name="_Toc178837414"/>
      <w:r>
        <w:t>21.22.2d Maçonneries non portantes en blocs de béton creux à coller CCTB 01.12</w:t>
      </w:r>
      <w:bookmarkEnd w:id="168"/>
    </w:p>
    <w:p w14:paraId="25BC1D44" w14:textId="77777777" w:rsidR="00DF410E" w:rsidRDefault="00CE7F43">
      <w:pPr>
        <w:pStyle w:val="pheading"/>
      </w:pPr>
      <w:r>
        <w:t>DESCRIPTION</w:t>
      </w:r>
    </w:p>
    <w:p w14:paraId="3CBB7439" w14:textId="77777777" w:rsidR="00DF410E" w:rsidRDefault="00CE7F43">
      <w:pPr>
        <w:pStyle w:val="pheading"/>
      </w:pPr>
      <w:r>
        <w:t>- Définition / Comprend</w:t>
      </w:r>
    </w:p>
    <w:p w14:paraId="7E668339" w14:textId="77777777" w:rsidR="00DF410E" w:rsidRDefault="00CE7F43">
      <w:r>
        <w:t xml:space="preserve">Il s’agit de la fourniture et la pose de maçonneries non portantes en blocs en béton creux à coller. </w:t>
      </w:r>
      <w:r>
        <w:br/>
        <w:t xml:space="preserve">La portée des travaux est décrite dans l’article </w:t>
      </w:r>
      <w:hyperlink w:anchor="387" w:history="1">
        <w:r>
          <w:t>21.22.2 Maçonneries non portantes en blocs de béton</w:t>
        </w:r>
      </w:hyperlink>
      <w:r>
        <w:t>.</w:t>
      </w:r>
      <w:r>
        <w:br/>
        <w:t>Les travaux comprennent également la fourniture et la pose des pièces d’angle, de terminaison et de rencontre.</w:t>
      </w:r>
    </w:p>
    <w:p w14:paraId="3DC51DB7" w14:textId="77777777" w:rsidR="00DF410E" w:rsidRDefault="00CE7F43">
      <w:pPr>
        <w:pStyle w:val="pheading"/>
      </w:pPr>
      <w:r>
        <w:t>- Localisation</w:t>
      </w:r>
    </w:p>
    <w:p w14:paraId="4E11C0A2" w14:textId="77777777" w:rsidR="00DF410E" w:rsidRDefault="00CE7F43">
      <w:r>
        <w:t xml:space="preserve">La pose est réalisée aux endroits suivants : </w:t>
      </w:r>
      <w:r>
        <w:rPr>
          <w:rStyle w:val="optioncarChar"/>
        </w:rPr>
        <w:t>***</w:t>
      </w:r>
      <w:r>
        <w:t>.</w:t>
      </w:r>
      <w:r>
        <w:br/>
        <w:t>Voir plans et métrés détaillés.</w:t>
      </w:r>
    </w:p>
    <w:p w14:paraId="1A17E7D0" w14:textId="77777777" w:rsidR="00DF410E" w:rsidRDefault="00CE7F43">
      <w:pPr>
        <w:pStyle w:val="pheading"/>
      </w:pPr>
      <w:r>
        <w:t>MATÉRIAUX</w:t>
      </w:r>
    </w:p>
    <w:p w14:paraId="2224CBB0" w14:textId="77777777" w:rsidR="00DF410E" w:rsidRDefault="00CE7F43">
      <w:pPr>
        <w:pStyle w:val="pheading"/>
      </w:pPr>
      <w:r>
        <w:t>- Caractéristiques générales</w:t>
      </w:r>
    </w:p>
    <w:p w14:paraId="78A6F075" w14:textId="77777777" w:rsidR="00DF410E" w:rsidRDefault="00CE7F43">
      <w:r>
        <w:rPr>
          <w:rStyle w:val="headingChar"/>
        </w:rPr>
        <w:t>Spécifications</w:t>
      </w:r>
    </w:p>
    <w:p w14:paraId="3763AA52" w14:textId="77777777" w:rsidR="00DF410E" w:rsidRDefault="00CE7F43">
      <w:r>
        <w:rPr>
          <w:u w:val="single"/>
        </w:rPr>
        <w:t>Blocs</w:t>
      </w:r>
    </w:p>
    <w:p w14:paraId="0589E256"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 xml:space="preserve">Face à cimenter ou plafonner : </w:t>
      </w:r>
      <w:r>
        <w:rPr>
          <w:rStyle w:val="optioncarChar"/>
        </w:rPr>
        <w:t xml:space="preserve">lisse </w:t>
      </w:r>
      <w:r>
        <w:t>(par défaut)</w:t>
      </w:r>
      <w:r>
        <w:rPr>
          <w:rStyle w:val="optioncarChar"/>
        </w:rPr>
        <w:t xml:space="preserve"> / rainurée</w:t>
      </w:r>
      <w:r>
        <w:br/>
      </w:r>
      <w:r>
        <w:br/>
        <w:t xml:space="preserve">Teinte : </w:t>
      </w:r>
      <w:r>
        <w:rPr>
          <w:rStyle w:val="optioncarChar"/>
        </w:rPr>
        <w:t>blanc / gris </w:t>
      </w:r>
      <w:r>
        <w:t>(par défaut)</w:t>
      </w:r>
      <w:r>
        <w:rPr>
          <w:rStyle w:val="optioncarChar"/>
        </w:rPr>
        <w:t xml:space="preserve"> / ***</w:t>
      </w:r>
      <w:r>
        <w:br/>
      </w:r>
      <w:r>
        <w:br/>
        <w:t>Format : (L x l x h) : </w:t>
      </w:r>
      <w:r>
        <w:rPr>
          <w:rStyle w:val="optioncarChar"/>
        </w:rPr>
        <w:t>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5BCA8DA" w14:textId="77777777" w:rsidR="00DF410E" w:rsidRDefault="00CE7F43">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w:t>
      </w:r>
      <w:r>
        <w:t xml:space="preserve"> (par défaut) </w:t>
      </w:r>
      <w:r>
        <w:rPr>
          <w:rStyle w:val="optioncarChar"/>
        </w:rPr>
        <w:t>/ ***</w:t>
      </w:r>
    </w:p>
    <w:p w14:paraId="01A68219" w14:textId="77777777" w:rsidR="00DF410E" w:rsidRDefault="00CE7F43">
      <w:pPr>
        <w:spacing w:before="0" w:after="0"/>
      </w:pPr>
      <w:r>
        <w:rPr>
          <w:u w:val="single"/>
        </w:rPr>
        <w:t>Mortier</w:t>
      </w:r>
    </w:p>
    <w:p w14:paraId="6BD9B6D2" w14:textId="77777777" w:rsidR="00DF410E" w:rsidRDefault="00CE7F43">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1A4789E8"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58252C9" w14:textId="77777777" w:rsidR="00DF410E" w:rsidRDefault="00CE7F43">
      <w:pPr>
        <w:spacing w:before="0" w:after="0"/>
      </w:pPr>
      <w:r>
        <w:rPr>
          <w:rStyle w:val="normalChar"/>
          <w:color w:val="000000"/>
        </w:rPr>
        <w:t>Résistance au gel : oui</w:t>
      </w:r>
    </w:p>
    <w:p w14:paraId="33AECA21" w14:textId="77777777" w:rsidR="00DF410E" w:rsidRDefault="00CE7F43">
      <w:r>
        <w:br/>
      </w:r>
      <w:r>
        <w:rPr>
          <w:rStyle w:val="headingChar"/>
        </w:rPr>
        <w:t>Critères De Performances De La Paroi</w:t>
      </w:r>
    </w:p>
    <w:p w14:paraId="538D170C" w14:textId="77777777" w:rsidR="00DF410E" w:rsidRDefault="00CE7F43">
      <w:r>
        <w:t>Coefficient de transmission :</w:t>
      </w:r>
    </w:p>
    <w:p w14:paraId="66BA1700" w14:textId="77777777" w:rsidR="00DF410E" w:rsidRDefault="00CE7F43">
      <w:pPr>
        <w:pStyle w:val="Author-eListParagraph"/>
        <w:numPr>
          <w:ilvl w:val="0"/>
          <w:numId w:val="180"/>
        </w:numPr>
      </w:pPr>
      <w:r>
        <w:t xml:space="preserve">valeur U minimale de </w:t>
      </w:r>
      <w:r>
        <w:rPr>
          <w:rStyle w:val="optioncarChar"/>
        </w:rPr>
        <w:t>***</w:t>
      </w:r>
      <w:r>
        <w:t xml:space="preserve"> W/m²K</w:t>
      </w:r>
    </w:p>
    <w:p w14:paraId="0C114D92" w14:textId="77777777" w:rsidR="00DF410E" w:rsidRDefault="00CE7F43">
      <w:pPr>
        <w:pStyle w:val="Author-eListParagraph"/>
        <w:numPr>
          <w:ilvl w:val="0"/>
          <w:numId w:val="18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ED9831A" w14:textId="77777777" w:rsidR="00DF410E" w:rsidRDefault="00CE7F43">
      <w:r>
        <w:br/>
        <w:t xml:space="preserve">Résistance au feu : </w:t>
      </w:r>
      <w:r>
        <w:rPr>
          <w:rStyle w:val="optioncarChar"/>
        </w:rPr>
        <w:t>EI30</w:t>
      </w:r>
      <w:r>
        <w:t> (par défaut)</w:t>
      </w:r>
      <w:r>
        <w:rPr>
          <w:rStyle w:val="optioncarChar"/>
        </w:rPr>
        <w:t xml:space="preserve"> / EI60 / EI90 / EI120 / EI*** </w:t>
      </w:r>
    </w:p>
    <w:p w14:paraId="4987449A" w14:textId="77777777" w:rsidR="00DF410E" w:rsidRDefault="00CE7F43">
      <w:r>
        <w:t>selon les tableaux dans [NBN EN 1996-1-2 ANB].</w:t>
      </w:r>
    </w:p>
    <w:p w14:paraId="655F9EB6" w14:textId="77777777" w:rsidR="00DF410E" w:rsidRDefault="00DF410E"/>
    <w:p w14:paraId="205892FF" w14:textId="77777777" w:rsidR="00DF410E" w:rsidRDefault="00CE7F43">
      <w:r>
        <w:t> </w:t>
      </w:r>
    </w:p>
    <w:p w14:paraId="010C032D" w14:textId="77777777" w:rsidR="00DF410E" w:rsidRDefault="00CE7F43">
      <w:pPr>
        <w:pStyle w:val="pheading"/>
      </w:pPr>
      <w:r>
        <w:t>- Finitions</w:t>
      </w:r>
    </w:p>
    <w:p w14:paraId="44E29436" w14:textId="77777777" w:rsidR="00DF410E" w:rsidRDefault="00DF410E"/>
    <w:p w14:paraId="435CC4AB" w14:textId="77777777" w:rsidR="00DF410E" w:rsidRDefault="00CE7F43">
      <w:pPr>
        <w:pStyle w:val="Author-eListParagraph"/>
        <w:numPr>
          <w:ilvl w:val="0"/>
          <w:numId w:val="181"/>
        </w:numPr>
      </w:pPr>
      <w:r>
        <w:t xml:space="preserve">Les murs suivants sont exécutés avec une face restant apparente : </w:t>
      </w:r>
      <w:r>
        <w:rPr>
          <w:rStyle w:val="optioncarChar"/>
        </w:rPr>
        <w:t>*** </w:t>
      </w:r>
    </w:p>
    <w:p w14:paraId="58F1AC63" w14:textId="77777777" w:rsidR="00DF410E" w:rsidRDefault="00CE7F43">
      <w:pPr>
        <w:pStyle w:val="Author-eListParagraph"/>
        <w:numPr>
          <w:ilvl w:val="0"/>
          <w:numId w:val="181"/>
        </w:numPr>
      </w:pPr>
      <w:r>
        <w:t xml:space="preserve">Les murs suivants sont exécutés avec deux faces restant apparentes : </w:t>
      </w:r>
      <w:r>
        <w:rPr>
          <w:rStyle w:val="optioncarChar"/>
        </w:rPr>
        <w:t>***</w:t>
      </w:r>
    </w:p>
    <w:p w14:paraId="4A6F2AC1" w14:textId="77777777" w:rsidR="00DF410E" w:rsidRDefault="00CE7F43">
      <w:pPr>
        <w:pStyle w:val="pheading"/>
      </w:pPr>
      <w:r>
        <w:t>MESURAGE</w:t>
      </w:r>
    </w:p>
    <w:p w14:paraId="25C81152" w14:textId="77777777" w:rsidR="00DF410E" w:rsidRDefault="00CE7F43">
      <w:pPr>
        <w:pStyle w:val="pheading"/>
      </w:pPr>
      <w:r>
        <w:t>- unité de mesure:</w:t>
      </w:r>
    </w:p>
    <w:p w14:paraId="074D3D27" w14:textId="77777777" w:rsidR="00DF410E" w:rsidRDefault="00CE7F43">
      <w:r>
        <w:rPr>
          <w:rStyle w:val="optioncarChar"/>
        </w:rPr>
        <w:t>m³ </w:t>
      </w:r>
      <w:r>
        <w:t>(par défaut)</w:t>
      </w:r>
      <w:r>
        <w:rPr>
          <w:rStyle w:val="optioncarChar"/>
        </w:rPr>
        <w:t> / m²</w:t>
      </w:r>
    </w:p>
    <w:p w14:paraId="392FA3C9" w14:textId="77777777" w:rsidR="00DF410E" w:rsidRDefault="00CE7F43">
      <w:r>
        <w:rPr>
          <w:b/>
        </w:rPr>
        <w:t>(soit par défaut)</w:t>
      </w:r>
    </w:p>
    <w:p w14:paraId="73AB2CB5" w14:textId="77777777" w:rsidR="00DF410E" w:rsidRDefault="00CE7F43">
      <w:r>
        <w:rPr>
          <w:rStyle w:val="soitChar"/>
        </w:rPr>
        <w:t>1. m³</w:t>
      </w:r>
    </w:p>
    <w:p w14:paraId="08DF2207" w14:textId="77777777" w:rsidR="00DF410E" w:rsidRDefault="00CE7F43">
      <w:r>
        <w:rPr>
          <w:b/>
        </w:rPr>
        <w:t>(soit)</w:t>
      </w:r>
    </w:p>
    <w:p w14:paraId="73292D33" w14:textId="77777777" w:rsidR="00DF410E" w:rsidRDefault="00CE7F43">
      <w:r>
        <w:rPr>
          <w:rStyle w:val="soitChar"/>
        </w:rPr>
        <w:t>2. m²</w:t>
      </w:r>
    </w:p>
    <w:p w14:paraId="0DB7E262" w14:textId="77777777" w:rsidR="00DF410E" w:rsidRDefault="00CE7F43">
      <w:pPr>
        <w:pStyle w:val="pheading"/>
      </w:pPr>
      <w:r>
        <w:t>- code de mesurage:</w:t>
      </w:r>
    </w:p>
    <w:p w14:paraId="62748FF5"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CC39959"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6DEC206"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AC64017" w14:textId="77777777" w:rsidR="00DF410E" w:rsidRDefault="00CE7F43">
      <w:r>
        <w:rPr>
          <w:rStyle w:val="optioncarChar"/>
        </w:rPr>
        <w:t>Volume net </w:t>
      </w:r>
      <w:r>
        <w:t>(par défaut)</w:t>
      </w:r>
      <w:r>
        <w:rPr>
          <w:rStyle w:val="optioncarChar"/>
        </w:rPr>
        <w:t> / Surface nette</w:t>
      </w:r>
    </w:p>
    <w:p w14:paraId="72957903" w14:textId="77777777" w:rsidR="00DF410E" w:rsidRDefault="00CE7F43">
      <w:r>
        <w:rPr>
          <w:b/>
        </w:rPr>
        <w:t>(soit par défaut)</w:t>
      </w:r>
    </w:p>
    <w:p w14:paraId="6B504CF1"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2A4A647" w14:textId="77777777" w:rsidR="00DF410E" w:rsidRDefault="00CE7F43">
      <w:r>
        <w:rPr>
          <w:b/>
        </w:rPr>
        <w:t>(soit)</w:t>
      </w:r>
    </w:p>
    <w:p w14:paraId="018B947D"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2CC36B5" w14:textId="77777777" w:rsidR="00DF410E" w:rsidRDefault="00DF410E"/>
    <w:p w14:paraId="4F5BB08A" w14:textId="77777777" w:rsidR="00DF410E" w:rsidRDefault="00DF410E"/>
    <w:p w14:paraId="0B906F5C" w14:textId="77777777" w:rsidR="00DF410E" w:rsidRDefault="00CE7F43">
      <w:r>
        <w:t> </w:t>
      </w:r>
    </w:p>
    <w:p w14:paraId="3F0CCC00" w14:textId="77777777" w:rsidR="00DF410E" w:rsidRDefault="00CE7F43">
      <w:pPr>
        <w:pStyle w:val="pheading"/>
      </w:pPr>
      <w:r>
        <w:t>- nature du marché:</w:t>
      </w:r>
    </w:p>
    <w:p w14:paraId="68FB02F3" w14:textId="77777777" w:rsidR="00DF410E" w:rsidRDefault="00CE7F43">
      <w:r>
        <w:t>QF</w:t>
      </w:r>
    </w:p>
    <w:p w14:paraId="00AD1426" w14:textId="77777777" w:rsidR="00DF410E" w:rsidRDefault="00CE7F43">
      <w:pPr>
        <w:pStyle w:val="Author-eSectionHeading6"/>
      </w:pPr>
      <w:bookmarkStart w:id="169" w:name="_Toc178837415"/>
      <w:r>
        <w:t>21.22.2e Maçonneries non portantes en blocs de béton à système de dosage pour liant hydraulique CCTB 01.12</w:t>
      </w:r>
      <w:bookmarkEnd w:id="169"/>
    </w:p>
    <w:p w14:paraId="0AEAB08D" w14:textId="77777777" w:rsidR="00DF410E" w:rsidRDefault="00CE7F43">
      <w:pPr>
        <w:pStyle w:val="pheading"/>
      </w:pPr>
      <w:r>
        <w:t>DESCRIPTION</w:t>
      </w:r>
    </w:p>
    <w:p w14:paraId="6883D448" w14:textId="77777777" w:rsidR="00DF410E" w:rsidRDefault="00CE7F43">
      <w:pPr>
        <w:pStyle w:val="pheading"/>
      </w:pPr>
      <w:r>
        <w:t>- Définition / Comprend</w:t>
      </w:r>
    </w:p>
    <w:p w14:paraId="2473C94E" w14:textId="77777777" w:rsidR="00DF410E" w:rsidRDefault="00CE7F43">
      <w:r>
        <w:t>Il s’agit de la fourniture et la pose de maçonneries non portantes en blocs de béton à système de dosage pour liant hydraulique.</w:t>
      </w:r>
    </w:p>
    <w:p w14:paraId="08FE69CA" w14:textId="77777777" w:rsidR="00DF410E" w:rsidRDefault="00CE7F43">
      <w:r>
        <w:t>La portée des travaux est décrite dans l’article</w:t>
      </w:r>
      <w:r>
        <w:rPr>
          <w:color w:val="00B050"/>
        </w:rPr>
        <w:t> </w:t>
      </w:r>
      <w:hyperlink w:anchor="387" w:history="1">
        <w:r>
          <w:t>21.22.2 Maçonneries non portantes en blocs de béton</w:t>
        </w:r>
      </w:hyperlink>
      <w:r>
        <w:rPr>
          <w:color w:val="000000"/>
        </w:rPr>
        <w:t>.</w:t>
      </w:r>
    </w:p>
    <w:p w14:paraId="232D238E" w14:textId="77777777" w:rsidR="00DF410E" w:rsidRDefault="00CE7F43">
      <w:r>
        <w:t>Les travaux comprennent également la fourniture et la pose des pièces d’angle, de terminaison et de rencontre.</w:t>
      </w:r>
    </w:p>
    <w:p w14:paraId="15B9C8C5" w14:textId="77777777" w:rsidR="00DF410E" w:rsidRDefault="00CE7F43">
      <w:pPr>
        <w:pStyle w:val="pheading"/>
      </w:pPr>
      <w:r>
        <w:t>- Localisation</w:t>
      </w:r>
    </w:p>
    <w:p w14:paraId="1357DA4D" w14:textId="77777777" w:rsidR="00DF410E" w:rsidRDefault="00CE7F43">
      <w:r>
        <w:t>La pose est réalisée aux endroits suivants :</w:t>
      </w:r>
      <w:r>
        <w:rPr>
          <w:rStyle w:val="optioncarChar"/>
        </w:rPr>
        <w:t xml:space="preserve"> ***</w:t>
      </w:r>
      <w:r>
        <w:t>.</w:t>
      </w:r>
      <w:r>
        <w:br/>
        <w:t>Voir plans et métrés détaillés.</w:t>
      </w:r>
    </w:p>
    <w:p w14:paraId="2C5E804F" w14:textId="77777777" w:rsidR="00DF410E" w:rsidRDefault="00CE7F43">
      <w:pPr>
        <w:pStyle w:val="pheading"/>
      </w:pPr>
      <w:r>
        <w:t>MATÉRIAUX</w:t>
      </w:r>
    </w:p>
    <w:p w14:paraId="406D235A" w14:textId="77777777" w:rsidR="00DF410E" w:rsidRDefault="00CE7F43">
      <w:pPr>
        <w:pStyle w:val="pheading"/>
      </w:pPr>
      <w:r>
        <w:t>- Caractéristiques générales</w:t>
      </w:r>
    </w:p>
    <w:p w14:paraId="35F20691" w14:textId="77777777" w:rsidR="00DF410E" w:rsidRDefault="00CE7F43">
      <w:r>
        <w:rPr>
          <w:rStyle w:val="headingChar"/>
        </w:rPr>
        <w:t>Spécifications</w:t>
      </w:r>
    </w:p>
    <w:p w14:paraId="20F2BE79" w14:textId="77777777" w:rsidR="00DF410E" w:rsidRDefault="00CE7F43">
      <w:r>
        <w:rPr>
          <w:u w:val="single"/>
        </w:rPr>
        <w:t>Blocs</w:t>
      </w:r>
    </w:p>
    <w:p w14:paraId="1B81DA9C"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w:t>
      </w:r>
      <w:r>
        <w:rPr>
          <w:rStyle w:val="optioncarChar"/>
        </w:rPr>
        <w:t xml:space="preserve"> blanc / gris </w:t>
      </w:r>
      <w:r>
        <w:t>(par défaut)</w:t>
      </w:r>
      <w:r>
        <w:rPr>
          <w:rStyle w:val="optioncarChar"/>
        </w:rPr>
        <w:t xml:space="preserve"> / ***</w:t>
      </w:r>
      <w:r>
        <w:br/>
      </w:r>
      <w:r>
        <w:br/>
        <w:t>Format : (L x l x h)</w:t>
      </w:r>
      <w:r>
        <w:rPr>
          <w:rStyle w:val="optioncarChar"/>
        </w:rPr>
        <w:t>: format modulaire proposé par l'entrepreneur (par défaut) / (290 / 300 / *** x 140 /150 / 190 / 200 / *** x 140 / 150 / 190 / 200 / *** ) mm</w:t>
      </w:r>
    </w:p>
    <w:p w14:paraId="5FAC646B" w14:textId="77777777" w:rsidR="00DF410E" w:rsidRDefault="00CE7F43">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73953D3A" w14:textId="77777777" w:rsidR="00DF410E" w:rsidRDefault="00CE7F43">
      <w:pPr>
        <w:spacing w:before="0" w:after="0"/>
      </w:pPr>
      <w:r>
        <w:rPr>
          <w:u w:val="single"/>
        </w:rPr>
        <w:t>Mortier</w:t>
      </w:r>
    </w:p>
    <w:p w14:paraId="3F5ACA8A"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1918DC56" w14:textId="77777777" w:rsidR="00DF410E" w:rsidRDefault="00CE7F43">
      <w:r>
        <w:br/>
      </w:r>
      <w:r>
        <w:rPr>
          <w:rStyle w:val="headingChar"/>
        </w:rPr>
        <w:t>Critères De Performances De La Paroi</w:t>
      </w:r>
    </w:p>
    <w:p w14:paraId="69C99EAA" w14:textId="77777777" w:rsidR="00DF410E" w:rsidRDefault="00CE7F43">
      <w:r>
        <w:t>Coefficient de transmission :</w:t>
      </w:r>
    </w:p>
    <w:p w14:paraId="76D8CE46" w14:textId="77777777" w:rsidR="00DF410E" w:rsidRDefault="00CE7F43">
      <w:pPr>
        <w:pStyle w:val="Author-eListParagraph"/>
        <w:numPr>
          <w:ilvl w:val="0"/>
          <w:numId w:val="182"/>
        </w:numPr>
      </w:pPr>
      <w:r>
        <w:t xml:space="preserve">valeur U minimale de </w:t>
      </w:r>
      <w:r>
        <w:rPr>
          <w:rStyle w:val="optioncarChar"/>
        </w:rPr>
        <w:t>***</w:t>
      </w:r>
      <w:r>
        <w:t xml:space="preserve"> W/m²K</w:t>
      </w:r>
    </w:p>
    <w:p w14:paraId="766E508F" w14:textId="77777777" w:rsidR="00DF410E" w:rsidRDefault="00CE7F43">
      <w:pPr>
        <w:pStyle w:val="Author-eListParagraph"/>
        <w:numPr>
          <w:ilvl w:val="0"/>
          <w:numId w:val="18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11564FB" w14:textId="77777777" w:rsidR="00DF410E" w:rsidRDefault="00CE7F43">
      <w:r>
        <w:br/>
        <w:t xml:space="preserve">Résistance au feu : </w:t>
      </w:r>
      <w:r>
        <w:rPr>
          <w:rStyle w:val="optioncarChar"/>
        </w:rPr>
        <w:t>EI30</w:t>
      </w:r>
      <w:r>
        <w:t> (par défaut)</w:t>
      </w:r>
      <w:r>
        <w:rPr>
          <w:rStyle w:val="optioncarChar"/>
        </w:rPr>
        <w:t xml:space="preserve"> / EI60 / EI90 / EI120 / EI***</w:t>
      </w:r>
    </w:p>
    <w:p w14:paraId="2CCF9B5F" w14:textId="77777777" w:rsidR="00DF410E" w:rsidRDefault="00CE7F43">
      <w:r>
        <w:t>selon les tableaux dans [NBN EN 1996-1-2 ANB].</w:t>
      </w:r>
    </w:p>
    <w:p w14:paraId="3388491B" w14:textId="77777777" w:rsidR="00DF410E" w:rsidRDefault="00DF410E"/>
    <w:p w14:paraId="0E695BA1" w14:textId="77777777" w:rsidR="00DF410E" w:rsidRDefault="00CE7F43">
      <w:r>
        <w:t> </w:t>
      </w:r>
    </w:p>
    <w:p w14:paraId="7AECDDE7" w14:textId="77777777" w:rsidR="00DF410E" w:rsidRDefault="00CE7F43">
      <w:pPr>
        <w:pStyle w:val="pheading"/>
      </w:pPr>
      <w:r>
        <w:t>- Finitions</w:t>
      </w:r>
    </w:p>
    <w:p w14:paraId="6C09E821" w14:textId="77777777" w:rsidR="00DF410E" w:rsidRDefault="00DF410E"/>
    <w:p w14:paraId="531B304D" w14:textId="77777777" w:rsidR="00DF410E" w:rsidRDefault="00CE7F43">
      <w:pPr>
        <w:pStyle w:val="Author-eListParagraph"/>
        <w:numPr>
          <w:ilvl w:val="0"/>
          <w:numId w:val="183"/>
        </w:numPr>
      </w:pPr>
      <w:r>
        <w:t xml:space="preserve">Les murs suivants sont exécutés avec une face restant apparente : </w:t>
      </w:r>
      <w:r>
        <w:rPr>
          <w:rStyle w:val="optioncarChar"/>
        </w:rPr>
        <w:t>***</w:t>
      </w:r>
    </w:p>
    <w:p w14:paraId="5518CC9E" w14:textId="77777777" w:rsidR="00DF410E" w:rsidRDefault="00CE7F43">
      <w:pPr>
        <w:pStyle w:val="Author-eListParagraph"/>
        <w:numPr>
          <w:ilvl w:val="0"/>
          <w:numId w:val="183"/>
        </w:numPr>
      </w:pPr>
      <w:r>
        <w:t xml:space="preserve">Les murs suivants sont exécutés avec deux faces restant apparentes : </w:t>
      </w:r>
      <w:r>
        <w:rPr>
          <w:rStyle w:val="optioncarChar"/>
        </w:rPr>
        <w:t>***</w:t>
      </w:r>
    </w:p>
    <w:p w14:paraId="336EB0A7" w14:textId="77777777" w:rsidR="00DF410E" w:rsidRDefault="00CE7F43">
      <w:pPr>
        <w:pStyle w:val="pheading"/>
      </w:pPr>
      <w:r>
        <w:t>EXÉCUTION / MISE EN ŒUVRE</w:t>
      </w:r>
    </w:p>
    <w:p w14:paraId="387BB5AF" w14:textId="77777777" w:rsidR="00DF410E" w:rsidRDefault="00CE7F43">
      <w:pPr>
        <w:pStyle w:val="pheading"/>
      </w:pPr>
      <w:r>
        <w:t>- Notes d’exécution complémentaires</w:t>
      </w:r>
    </w:p>
    <w:p w14:paraId="7CF5CB32" w14:textId="77777777" w:rsidR="00DF410E" w:rsidRDefault="00CE7F43">
      <w:r>
        <w:t>Le mortier utilisé est spécifique au concept et possède une grande résistance à la compression (&gt; 20 N/mm²).</w:t>
      </w:r>
    </w:p>
    <w:p w14:paraId="7C812815" w14:textId="77777777" w:rsidR="00DF410E" w:rsidRDefault="00CE7F43">
      <w:pPr>
        <w:pStyle w:val="pheading"/>
      </w:pPr>
      <w:r>
        <w:t>MESURAGE</w:t>
      </w:r>
    </w:p>
    <w:p w14:paraId="01EBB5A1" w14:textId="77777777" w:rsidR="00DF410E" w:rsidRDefault="00CE7F43">
      <w:pPr>
        <w:pStyle w:val="pheading"/>
      </w:pPr>
      <w:r>
        <w:t>- unité de mesure:</w:t>
      </w:r>
    </w:p>
    <w:p w14:paraId="4AA388AD" w14:textId="77777777" w:rsidR="00DF410E" w:rsidRDefault="00CE7F43">
      <w:r>
        <w:rPr>
          <w:rStyle w:val="optioncarChar"/>
        </w:rPr>
        <w:t>m³ </w:t>
      </w:r>
      <w:r>
        <w:t>(par défaut)</w:t>
      </w:r>
      <w:r>
        <w:rPr>
          <w:rStyle w:val="optioncarChar"/>
        </w:rPr>
        <w:t> / m²</w:t>
      </w:r>
    </w:p>
    <w:p w14:paraId="7EBF2E9C" w14:textId="77777777" w:rsidR="00DF410E" w:rsidRDefault="00CE7F43">
      <w:r>
        <w:rPr>
          <w:b/>
        </w:rPr>
        <w:t>(soit par défaut)</w:t>
      </w:r>
    </w:p>
    <w:p w14:paraId="076C1EBF" w14:textId="77777777" w:rsidR="00DF410E" w:rsidRDefault="00CE7F43">
      <w:r>
        <w:rPr>
          <w:rStyle w:val="soitChar"/>
        </w:rPr>
        <w:t>1. m³</w:t>
      </w:r>
    </w:p>
    <w:p w14:paraId="59E43377" w14:textId="77777777" w:rsidR="00DF410E" w:rsidRDefault="00CE7F43">
      <w:r>
        <w:rPr>
          <w:b/>
        </w:rPr>
        <w:t>(soit)</w:t>
      </w:r>
    </w:p>
    <w:p w14:paraId="22975145" w14:textId="77777777" w:rsidR="00DF410E" w:rsidRDefault="00CE7F43">
      <w:r>
        <w:rPr>
          <w:rStyle w:val="soitChar"/>
        </w:rPr>
        <w:t>2. m²</w:t>
      </w:r>
    </w:p>
    <w:p w14:paraId="22159345" w14:textId="77777777" w:rsidR="00DF410E" w:rsidRDefault="00CE7F43">
      <w:pPr>
        <w:pStyle w:val="pheading"/>
      </w:pPr>
      <w:r>
        <w:t>- code de mesurage:</w:t>
      </w:r>
    </w:p>
    <w:p w14:paraId="30BF7152"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B6B138E"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5DA1457"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6A4B1AB4" w14:textId="77777777" w:rsidR="00DF410E" w:rsidRDefault="00CE7F43">
      <w:r>
        <w:rPr>
          <w:rStyle w:val="optioncarChar"/>
        </w:rPr>
        <w:t>Volume net </w:t>
      </w:r>
      <w:r>
        <w:t>(par défaut)</w:t>
      </w:r>
      <w:r>
        <w:rPr>
          <w:rStyle w:val="optioncarChar"/>
        </w:rPr>
        <w:t> / Surface nette</w:t>
      </w:r>
    </w:p>
    <w:p w14:paraId="5E4C6812" w14:textId="77777777" w:rsidR="00DF410E" w:rsidRDefault="00CE7F43">
      <w:r>
        <w:rPr>
          <w:b/>
        </w:rPr>
        <w:t>(soit par défaut)</w:t>
      </w:r>
    </w:p>
    <w:p w14:paraId="34415DF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 .</w:t>
      </w:r>
    </w:p>
    <w:p w14:paraId="4ABECE5B" w14:textId="77777777" w:rsidR="00DF410E" w:rsidRDefault="00CE7F43">
      <w:r>
        <w:rPr>
          <w:b/>
        </w:rPr>
        <w:t>(soit)</w:t>
      </w:r>
    </w:p>
    <w:p w14:paraId="14FF5C0B"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37AC373" w14:textId="77777777" w:rsidR="00DF410E" w:rsidRDefault="00DF410E"/>
    <w:p w14:paraId="37A8E81F" w14:textId="77777777" w:rsidR="00DF410E" w:rsidRDefault="00CE7F43">
      <w:r>
        <w:t> </w:t>
      </w:r>
    </w:p>
    <w:p w14:paraId="65DDC2D4" w14:textId="77777777" w:rsidR="00DF410E" w:rsidRDefault="00CE7F43">
      <w:pPr>
        <w:pStyle w:val="pheading"/>
      </w:pPr>
      <w:r>
        <w:t>- nature du marché:</w:t>
      </w:r>
    </w:p>
    <w:p w14:paraId="0788297E" w14:textId="77777777" w:rsidR="00DF410E" w:rsidRDefault="00CE7F43">
      <w:r>
        <w:t>QF</w:t>
      </w:r>
    </w:p>
    <w:p w14:paraId="0DAC7E86" w14:textId="77777777" w:rsidR="00DF410E" w:rsidRDefault="00CE7F43">
      <w:pPr>
        <w:pStyle w:val="Author-eSectionHeading6"/>
      </w:pPr>
      <w:bookmarkStart w:id="170" w:name="_Toc178837416"/>
      <w:r>
        <w:t>21.22.2f Maçonneries non portantes en blocs de béton acoustiques CCTB 01.12</w:t>
      </w:r>
      <w:bookmarkEnd w:id="170"/>
    </w:p>
    <w:p w14:paraId="2D7E938D" w14:textId="77777777" w:rsidR="00DF410E" w:rsidRDefault="00CE7F43">
      <w:pPr>
        <w:pStyle w:val="pheading"/>
      </w:pPr>
      <w:r>
        <w:t>DESCRIPTION</w:t>
      </w:r>
    </w:p>
    <w:p w14:paraId="6BEF5CE4" w14:textId="77777777" w:rsidR="00DF410E" w:rsidRDefault="00CE7F43">
      <w:pPr>
        <w:pStyle w:val="pheading"/>
      </w:pPr>
      <w:r>
        <w:t>- Définition / Comprend</w:t>
      </w:r>
    </w:p>
    <w:p w14:paraId="58CB7A68" w14:textId="77777777" w:rsidR="00DF410E" w:rsidRDefault="00CE7F43">
      <w:r>
        <w:t xml:space="preserve">Il s’agit de la fourniture et la pose de maçonneries non portantes en blocs de béton acoustiques. </w:t>
      </w:r>
      <w:r>
        <w:br/>
        <w:t xml:space="preserve">La portée des travaux est décrite dans l’article </w:t>
      </w:r>
      <w:hyperlink w:anchor="387" w:history="1">
        <w:r>
          <w:t>21.22.2 Maçonneries non portantes en blocs de béton</w:t>
        </w:r>
      </w:hyperlink>
      <w:r>
        <w:t>.</w:t>
      </w:r>
      <w:r>
        <w:br/>
        <w:t>Les travaux comprennent également la fourniture et la pose des pièces d’angle, de terminaison et de rencontre.</w:t>
      </w:r>
    </w:p>
    <w:p w14:paraId="1123D10F" w14:textId="77777777" w:rsidR="00DF410E" w:rsidRDefault="00CE7F43">
      <w:pPr>
        <w:pStyle w:val="pheading"/>
      </w:pPr>
      <w:r>
        <w:t>- Localisation</w:t>
      </w:r>
    </w:p>
    <w:p w14:paraId="2617E7CB" w14:textId="77777777" w:rsidR="00DF410E" w:rsidRDefault="00CE7F43">
      <w:r>
        <w:t xml:space="preserve">La pose est réalisée aux endroits suivants : </w:t>
      </w:r>
      <w:r>
        <w:rPr>
          <w:rStyle w:val="optioncarChar"/>
        </w:rPr>
        <w:t>***</w:t>
      </w:r>
      <w:r>
        <w:t>.</w:t>
      </w:r>
      <w:r>
        <w:br/>
        <w:t>Voir plans et métrés détaillés.</w:t>
      </w:r>
    </w:p>
    <w:p w14:paraId="7E242B30" w14:textId="77777777" w:rsidR="00DF410E" w:rsidRDefault="00CE7F43">
      <w:pPr>
        <w:pStyle w:val="pheading"/>
      </w:pPr>
      <w:r>
        <w:t>MATÉRIAUX</w:t>
      </w:r>
    </w:p>
    <w:p w14:paraId="4C99C57A" w14:textId="77777777" w:rsidR="00DF410E" w:rsidRDefault="00CE7F43">
      <w:pPr>
        <w:pStyle w:val="pheading"/>
      </w:pPr>
      <w:r>
        <w:t>- Caractéristiques générales</w:t>
      </w:r>
    </w:p>
    <w:p w14:paraId="4239A8AB" w14:textId="77777777" w:rsidR="00DF410E" w:rsidRDefault="00CE7F43">
      <w:r>
        <w:rPr>
          <w:rStyle w:val="headingChar"/>
        </w:rPr>
        <w:t>Spécifications</w:t>
      </w:r>
    </w:p>
    <w:p w14:paraId="39088FAC" w14:textId="77777777" w:rsidR="00DF410E" w:rsidRDefault="00CE7F43">
      <w:r>
        <w:rPr>
          <w:u w:val="single"/>
        </w:rPr>
        <w:t>Blocs</w:t>
      </w:r>
    </w:p>
    <w:p w14:paraId="187C9460"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w:t>
      </w:r>
      <w:r>
        <w:rPr>
          <w:rStyle w:val="optioncarChar"/>
        </w:rPr>
        <w:t xml:space="preserve"> blanc / gris </w:t>
      </w:r>
      <w:r>
        <w:t>(par défaut)</w:t>
      </w:r>
      <w:r>
        <w:rPr>
          <w:rStyle w:val="optioncarChar"/>
        </w:rPr>
        <w:t xml:space="preserve"> / ***</w:t>
      </w:r>
      <w:r>
        <w:br/>
      </w:r>
      <w:r>
        <w:br/>
        <w:t>Format : (L x l x h) :</w:t>
      </w:r>
      <w:r>
        <w:rPr>
          <w:rStyle w:val="optioncarChar"/>
        </w:rPr>
        <w:t>: format modulaire proposé par l'entrepreneur (par défaut) / (290 / 300 / *** x 140 /150 / 190 / 200 / *** x 140 / 150 / 190 / 200 / *** ) mm</w:t>
      </w:r>
    </w:p>
    <w:p w14:paraId="7E54E703" w14:textId="77777777" w:rsidR="00DF410E" w:rsidRDefault="00CE7F43">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1A2F4A84" w14:textId="77777777" w:rsidR="00DF410E" w:rsidRDefault="00CE7F43">
      <w:pPr>
        <w:spacing w:before="0" w:after="0"/>
      </w:pPr>
      <w:r>
        <w:rPr>
          <w:u w:val="single"/>
        </w:rPr>
        <w:t>Mortier</w:t>
      </w:r>
    </w:p>
    <w:p w14:paraId="234A5723" w14:textId="77777777" w:rsidR="00DF410E" w:rsidRDefault="00CE7F43">
      <w:pPr>
        <w:spacing w:before="0" w:after="0"/>
      </w:pPr>
      <w:r>
        <w:rPr>
          <w:rStyle w:val="normalChar"/>
          <w:color w:val="000000"/>
        </w:rPr>
        <w:t>Classe de résistance :</w:t>
      </w:r>
      <w:r>
        <w:rPr>
          <w:rStyle w:val="optioncarChar"/>
        </w:rPr>
        <w:t xml:space="preserve">M1 / M2,5 / M5/ M10 </w:t>
      </w:r>
      <w:r>
        <w:t xml:space="preserve"> (par défaut) </w:t>
      </w:r>
      <w:r>
        <w:rPr>
          <w:rStyle w:val="optioncarChar"/>
        </w:rPr>
        <w:t xml:space="preserve">/ M15 / M20 </w:t>
      </w:r>
    </w:p>
    <w:p w14:paraId="75FDA17E" w14:textId="77777777" w:rsidR="00DF410E" w:rsidRDefault="00CE7F43">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1E295F6D" w14:textId="77777777" w:rsidR="00DF410E" w:rsidRDefault="00CE7F43">
      <w:pPr>
        <w:spacing w:before="0" w:after="0"/>
      </w:pPr>
      <w:r>
        <w:rPr>
          <w:rStyle w:val="normalChar"/>
          <w:color w:val="000000"/>
        </w:rPr>
        <w:t>Résistance au gel : oui</w:t>
      </w:r>
    </w:p>
    <w:p w14:paraId="343EADCB" w14:textId="77777777" w:rsidR="00DF410E" w:rsidRDefault="00CE7F43">
      <w:r>
        <w:br/>
      </w:r>
      <w:r>
        <w:rPr>
          <w:rStyle w:val="headingChar"/>
        </w:rPr>
        <w:t>Critères De Performances De La Paroi</w:t>
      </w:r>
    </w:p>
    <w:p w14:paraId="639E0C60" w14:textId="77777777" w:rsidR="00DF410E" w:rsidRDefault="00CE7F43">
      <w:r>
        <w:t>Coefficient de transmission :</w:t>
      </w:r>
    </w:p>
    <w:p w14:paraId="414DB197" w14:textId="77777777" w:rsidR="00DF410E" w:rsidRDefault="00CE7F43">
      <w:pPr>
        <w:pStyle w:val="Author-eListParagraph"/>
        <w:numPr>
          <w:ilvl w:val="0"/>
          <w:numId w:val="184"/>
        </w:numPr>
      </w:pPr>
      <w:r>
        <w:t xml:space="preserve">valeur U minimale de </w:t>
      </w:r>
      <w:r>
        <w:rPr>
          <w:rStyle w:val="optioncarChar"/>
        </w:rPr>
        <w:t>***</w:t>
      </w:r>
      <w:r>
        <w:t xml:space="preserve"> W/m²K</w:t>
      </w:r>
    </w:p>
    <w:p w14:paraId="5CA2CB37" w14:textId="77777777" w:rsidR="00DF410E" w:rsidRDefault="00CE7F43">
      <w:pPr>
        <w:pStyle w:val="Author-eListParagraph"/>
        <w:numPr>
          <w:ilvl w:val="0"/>
          <w:numId w:val="18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C5AE341" w14:textId="77777777" w:rsidR="00DF410E" w:rsidRDefault="00CE7F43">
      <w:r>
        <w:br/>
        <w:t xml:space="preserve">Résistance au feu : </w:t>
      </w:r>
      <w:r>
        <w:rPr>
          <w:rStyle w:val="optioncarChar"/>
        </w:rPr>
        <w:t xml:space="preserve">EI30 </w:t>
      </w:r>
      <w:r>
        <w:t>(par défaut) </w:t>
      </w:r>
      <w:r>
        <w:rPr>
          <w:rStyle w:val="optioncarChar"/>
        </w:rPr>
        <w:t>/ EI60/ EI90 / EI120 / EI***</w:t>
      </w:r>
    </w:p>
    <w:p w14:paraId="75CD327D" w14:textId="77777777" w:rsidR="00DF410E" w:rsidRDefault="00CE7F43">
      <w:r>
        <w:t>selon les tableaux dans [NBN EN 1996-1-2 ANB].</w:t>
      </w:r>
    </w:p>
    <w:p w14:paraId="5C16EB9B" w14:textId="77777777" w:rsidR="00DF410E" w:rsidRDefault="00DF410E"/>
    <w:p w14:paraId="76597F6F" w14:textId="77777777" w:rsidR="00DF410E" w:rsidRDefault="00CE7F43">
      <w:r>
        <w:t> </w:t>
      </w:r>
    </w:p>
    <w:p w14:paraId="627AB544" w14:textId="77777777" w:rsidR="00DF410E" w:rsidRDefault="00CE7F43">
      <w:pPr>
        <w:pStyle w:val="pheading"/>
      </w:pPr>
      <w:r>
        <w:t>- Finitions</w:t>
      </w:r>
    </w:p>
    <w:p w14:paraId="1888D9EE" w14:textId="77777777" w:rsidR="00DF410E" w:rsidRDefault="00DF410E"/>
    <w:p w14:paraId="551D4C56" w14:textId="77777777" w:rsidR="00DF410E" w:rsidRDefault="00CE7F43">
      <w:pPr>
        <w:pStyle w:val="Author-eListParagraph"/>
        <w:numPr>
          <w:ilvl w:val="0"/>
          <w:numId w:val="185"/>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60066704" w14:textId="77777777" w:rsidR="00DF410E" w:rsidRDefault="00CE7F43">
      <w:pPr>
        <w:pStyle w:val="Author-eListParagraph"/>
        <w:numPr>
          <w:ilvl w:val="0"/>
          <w:numId w:val="185"/>
        </w:numPr>
      </w:pPr>
      <w:r>
        <w:t xml:space="preserve">Les murs suivants sont exécutés avec une face restant apparente : </w:t>
      </w:r>
      <w:r>
        <w:rPr>
          <w:rStyle w:val="optioncarChar"/>
        </w:rPr>
        <w:t>***</w:t>
      </w:r>
    </w:p>
    <w:p w14:paraId="70AAF43E" w14:textId="77777777" w:rsidR="00DF410E" w:rsidRDefault="00CE7F43">
      <w:pPr>
        <w:pStyle w:val="Author-eListParagraph"/>
        <w:numPr>
          <w:ilvl w:val="0"/>
          <w:numId w:val="185"/>
        </w:numPr>
      </w:pPr>
      <w:r>
        <w:t xml:space="preserve">Les murs suivants sont exécutés avec deux faces restant apparentes : </w:t>
      </w:r>
      <w:r>
        <w:rPr>
          <w:rStyle w:val="optioncarChar"/>
        </w:rPr>
        <w:t>***</w:t>
      </w:r>
    </w:p>
    <w:p w14:paraId="6968EF06" w14:textId="77777777" w:rsidR="00DF410E" w:rsidRDefault="00CE7F43">
      <w:pPr>
        <w:pStyle w:val="pheading"/>
      </w:pPr>
      <w:r>
        <w:t>MESURAGE</w:t>
      </w:r>
    </w:p>
    <w:p w14:paraId="79A6A6CC" w14:textId="77777777" w:rsidR="00DF410E" w:rsidRDefault="00CE7F43">
      <w:pPr>
        <w:pStyle w:val="pheading"/>
      </w:pPr>
      <w:r>
        <w:t>- unité de mesure:</w:t>
      </w:r>
    </w:p>
    <w:p w14:paraId="0959D65A" w14:textId="77777777" w:rsidR="00DF410E" w:rsidRDefault="00CE7F43">
      <w:r>
        <w:rPr>
          <w:rStyle w:val="optioncarChar"/>
        </w:rPr>
        <w:t>m³ </w:t>
      </w:r>
      <w:r>
        <w:t>(par défaut)</w:t>
      </w:r>
      <w:r>
        <w:rPr>
          <w:rStyle w:val="optioncarChar"/>
        </w:rPr>
        <w:t> / m²</w:t>
      </w:r>
    </w:p>
    <w:p w14:paraId="5680E015" w14:textId="77777777" w:rsidR="00DF410E" w:rsidRDefault="00CE7F43">
      <w:r>
        <w:rPr>
          <w:b/>
        </w:rPr>
        <w:t>(soit par défaut)</w:t>
      </w:r>
    </w:p>
    <w:p w14:paraId="292177F9" w14:textId="77777777" w:rsidR="00DF410E" w:rsidRDefault="00CE7F43">
      <w:r>
        <w:rPr>
          <w:rStyle w:val="soitChar"/>
        </w:rPr>
        <w:t>1. m³</w:t>
      </w:r>
    </w:p>
    <w:p w14:paraId="040445FB" w14:textId="77777777" w:rsidR="00DF410E" w:rsidRDefault="00CE7F43">
      <w:r>
        <w:rPr>
          <w:b/>
        </w:rPr>
        <w:t>(soit)</w:t>
      </w:r>
    </w:p>
    <w:p w14:paraId="32FD5C57" w14:textId="77777777" w:rsidR="00DF410E" w:rsidRDefault="00CE7F43">
      <w:r>
        <w:rPr>
          <w:rStyle w:val="soitChar"/>
        </w:rPr>
        <w:t>2. m²</w:t>
      </w:r>
    </w:p>
    <w:p w14:paraId="3CCC4B40" w14:textId="77777777" w:rsidR="00DF410E" w:rsidRDefault="00CE7F43">
      <w:pPr>
        <w:pStyle w:val="pheading"/>
      </w:pPr>
      <w:r>
        <w:t>- code de mesurage:</w:t>
      </w:r>
    </w:p>
    <w:p w14:paraId="046FA155"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98CED81"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E804D79"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B28EC1A" w14:textId="77777777" w:rsidR="00DF410E" w:rsidRDefault="00CE7F43">
      <w:r>
        <w:rPr>
          <w:rStyle w:val="optioncarChar"/>
        </w:rPr>
        <w:t>Volume net </w:t>
      </w:r>
      <w:r>
        <w:t>(par défaut)</w:t>
      </w:r>
      <w:r>
        <w:rPr>
          <w:rStyle w:val="optioncarChar"/>
        </w:rPr>
        <w:t> / Surface nette</w:t>
      </w:r>
    </w:p>
    <w:p w14:paraId="4BF696C8" w14:textId="77777777" w:rsidR="00DF410E" w:rsidRDefault="00CE7F43">
      <w:r>
        <w:rPr>
          <w:b/>
        </w:rPr>
        <w:t>(soit par défaut)</w:t>
      </w:r>
    </w:p>
    <w:p w14:paraId="4E0361BA"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2C90C10" w14:textId="77777777" w:rsidR="00DF410E" w:rsidRDefault="00CE7F43">
      <w:r>
        <w:rPr>
          <w:b/>
        </w:rPr>
        <w:t>(soit)</w:t>
      </w:r>
    </w:p>
    <w:p w14:paraId="25E0A671"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65E14CB" w14:textId="77777777" w:rsidR="00DF410E" w:rsidRDefault="00DF410E"/>
    <w:p w14:paraId="52507E1F" w14:textId="77777777" w:rsidR="00DF410E" w:rsidRDefault="00DF410E"/>
    <w:p w14:paraId="750344F3" w14:textId="77777777" w:rsidR="00DF410E" w:rsidRDefault="00CE7F43">
      <w:r>
        <w:t> </w:t>
      </w:r>
    </w:p>
    <w:p w14:paraId="19790861" w14:textId="77777777" w:rsidR="00DF410E" w:rsidRDefault="00CE7F43">
      <w:pPr>
        <w:pStyle w:val="pheading"/>
      </w:pPr>
      <w:r>
        <w:t>- nature du marché:</w:t>
      </w:r>
    </w:p>
    <w:p w14:paraId="53432C81" w14:textId="77777777" w:rsidR="00DF410E" w:rsidRDefault="00CE7F43">
      <w:r>
        <w:t>QF</w:t>
      </w:r>
    </w:p>
    <w:p w14:paraId="530F44B4" w14:textId="77777777" w:rsidR="00DF410E" w:rsidRDefault="00CE7F43">
      <w:pPr>
        <w:pStyle w:val="Author-eSectionHeading6"/>
      </w:pPr>
      <w:bookmarkStart w:id="171" w:name="_Toc178837417"/>
      <w:r>
        <w:t>21.22.2g Maçonneries non portantes en blocs de coffrage en béton CCTB 01.11</w:t>
      </w:r>
      <w:bookmarkEnd w:id="171"/>
    </w:p>
    <w:p w14:paraId="0BCB8031" w14:textId="77777777" w:rsidR="00DF410E" w:rsidRDefault="00CE7F43">
      <w:pPr>
        <w:pStyle w:val="pheading"/>
      </w:pPr>
      <w:r>
        <w:t>DESCRIPTION</w:t>
      </w:r>
    </w:p>
    <w:p w14:paraId="19018044" w14:textId="77777777" w:rsidR="00DF410E" w:rsidRDefault="00CE7F43">
      <w:pPr>
        <w:pStyle w:val="pheading"/>
      </w:pPr>
      <w:r>
        <w:t>- Définition / Comprend</w:t>
      </w:r>
    </w:p>
    <w:p w14:paraId="69A26779" w14:textId="77777777" w:rsidR="00DF410E" w:rsidRDefault="00CE7F43">
      <w:r>
        <w:t xml:space="preserve">Il s’agit de la fourniture et la pose de maçonneries non portantes en blocs de coffrage en béton. </w:t>
      </w:r>
      <w:r>
        <w:br/>
        <w:t xml:space="preserve">La portée des travaux est décrite dans l’article </w:t>
      </w:r>
      <w:hyperlink w:anchor="387" w:history="1">
        <w:r>
          <w:t>21.22.2 Maçonneries non portantes en blocs de béton</w:t>
        </w:r>
      </w:hyperlink>
      <w:r>
        <w:t>.</w:t>
      </w:r>
      <w:r>
        <w:br/>
        <w:t>Les travaux comprennent également la fourniture et la pose des pièces d’angle, de terminaison et de rencontre.</w:t>
      </w:r>
    </w:p>
    <w:p w14:paraId="166884B2" w14:textId="77777777" w:rsidR="00DF410E" w:rsidRDefault="00CE7F43">
      <w:pPr>
        <w:pStyle w:val="pheading"/>
      </w:pPr>
      <w:r>
        <w:t>- Localisation</w:t>
      </w:r>
    </w:p>
    <w:p w14:paraId="42B75E2E" w14:textId="77777777" w:rsidR="00DF410E" w:rsidRDefault="00CE7F43">
      <w:r>
        <w:t xml:space="preserve">La pose est réalisée aux endroits suivants : </w:t>
      </w:r>
      <w:r>
        <w:rPr>
          <w:rStyle w:val="optioncarChar"/>
        </w:rPr>
        <w:t>***</w:t>
      </w:r>
      <w:r>
        <w:t>.</w:t>
      </w:r>
      <w:r>
        <w:br/>
        <w:t>Voir plans et métrés détaillés.</w:t>
      </w:r>
    </w:p>
    <w:p w14:paraId="0FA4E96C" w14:textId="77777777" w:rsidR="00DF410E" w:rsidRDefault="00CE7F43">
      <w:pPr>
        <w:pStyle w:val="pheading"/>
      </w:pPr>
      <w:r>
        <w:t>MESURAGE</w:t>
      </w:r>
    </w:p>
    <w:p w14:paraId="449B9E7D" w14:textId="77777777" w:rsidR="00DF410E" w:rsidRDefault="00CE7F43">
      <w:pPr>
        <w:pStyle w:val="pheading"/>
      </w:pPr>
      <w:r>
        <w:t>- unité de mesure:</w:t>
      </w:r>
    </w:p>
    <w:p w14:paraId="211BFB7A" w14:textId="77777777" w:rsidR="00DF410E" w:rsidRDefault="00CE7F43">
      <w:r>
        <w:rPr>
          <w:rStyle w:val="optioncarChar"/>
        </w:rPr>
        <w:t>m³ </w:t>
      </w:r>
      <w:r>
        <w:t>(par défaut)</w:t>
      </w:r>
      <w:r>
        <w:rPr>
          <w:rStyle w:val="optioncarChar"/>
        </w:rPr>
        <w:t> / m²</w:t>
      </w:r>
    </w:p>
    <w:p w14:paraId="498B3789" w14:textId="77777777" w:rsidR="00DF410E" w:rsidRDefault="00CE7F43">
      <w:r>
        <w:rPr>
          <w:b/>
        </w:rPr>
        <w:t>(soit par défaut)</w:t>
      </w:r>
    </w:p>
    <w:p w14:paraId="7CDE4FCB" w14:textId="77777777" w:rsidR="00DF410E" w:rsidRDefault="00CE7F43">
      <w:r>
        <w:rPr>
          <w:rStyle w:val="soitChar"/>
        </w:rPr>
        <w:t>1. m³</w:t>
      </w:r>
    </w:p>
    <w:p w14:paraId="77A81475" w14:textId="77777777" w:rsidR="00DF410E" w:rsidRDefault="00CE7F43">
      <w:r>
        <w:rPr>
          <w:b/>
        </w:rPr>
        <w:t>(soit)</w:t>
      </w:r>
    </w:p>
    <w:p w14:paraId="0625B422" w14:textId="77777777" w:rsidR="00DF410E" w:rsidRDefault="00CE7F43">
      <w:r>
        <w:rPr>
          <w:rStyle w:val="soitChar"/>
        </w:rPr>
        <w:t>2. m²</w:t>
      </w:r>
    </w:p>
    <w:p w14:paraId="6F7C37EB" w14:textId="77777777" w:rsidR="00DF410E" w:rsidRDefault="00CE7F43">
      <w:pPr>
        <w:pStyle w:val="pheading"/>
      </w:pPr>
      <w:r>
        <w:t>- code de mesurage:</w:t>
      </w:r>
    </w:p>
    <w:p w14:paraId="0B7A1BB9"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6864AA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8EB6061"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08DD566A" w14:textId="77777777" w:rsidR="00DF410E" w:rsidRDefault="00CE7F43">
      <w:r>
        <w:rPr>
          <w:rStyle w:val="optioncarChar"/>
        </w:rPr>
        <w:t>Volume net </w:t>
      </w:r>
      <w:r>
        <w:t>(par défaut)</w:t>
      </w:r>
      <w:r>
        <w:rPr>
          <w:rStyle w:val="optioncarChar"/>
        </w:rPr>
        <w:t> / Surface nette</w:t>
      </w:r>
    </w:p>
    <w:p w14:paraId="2E48C693" w14:textId="77777777" w:rsidR="00DF410E" w:rsidRDefault="00CE7F43">
      <w:r>
        <w:rPr>
          <w:b/>
        </w:rPr>
        <w:t>(soit par défaut)</w:t>
      </w:r>
    </w:p>
    <w:p w14:paraId="38F6B35E"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B4BFF4D" w14:textId="77777777" w:rsidR="00DF410E" w:rsidRDefault="00CE7F43">
      <w:r>
        <w:rPr>
          <w:b/>
        </w:rPr>
        <w:t>(soit)</w:t>
      </w:r>
    </w:p>
    <w:p w14:paraId="5D8E2B3A"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21D2C75" w14:textId="77777777" w:rsidR="00DF410E" w:rsidRDefault="00DF410E"/>
    <w:p w14:paraId="243F5CEC" w14:textId="77777777" w:rsidR="00DF410E" w:rsidRDefault="00CE7F43">
      <w:r>
        <w:t> </w:t>
      </w:r>
    </w:p>
    <w:p w14:paraId="2DDC8A19" w14:textId="77777777" w:rsidR="00DF410E" w:rsidRDefault="00CE7F43">
      <w:pPr>
        <w:pStyle w:val="pheading"/>
      </w:pPr>
      <w:r>
        <w:t>- nature du marché:</w:t>
      </w:r>
    </w:p>
    <w:p w14:paraId="00AABC0D" w14:textId="77777777" w:rsidR="00DF410E" w:rsidRDefault="00CE7F43">
      <w:r>
        <w:t>QF</w:t>
      </w:r>
    </w:p>
    <w:p w14:paraId="30FCDF78" w14:textId="77777777" w:rsidR="00DF410E" w:rsidRDefault="00CE7F43">
      <w:pPr>
        <w:pStyle w:val="Author-eSectionHeading5"/>
      </w:pPr>
      <w:bookmarkStart w:id="172" w:name="_Toc178837418"/>
      <w:r>
        <w:t>21.22.3 Maçonneries non portantes en blocs de silico-calcaire CCTB 01.11</w:t>
      </w:r>
      <w:bookmarkEnd w:id="172"/>
    </w:p>
    <w:p w14:paraId="7015C087" w14:textId="77777777" w:rsidR="00DF410E" w:rsidRDefault="00CE7F43">
      <w:pPr>
        <w:pStyle w:val="pheading"/>
      </w:pPr>
      <w:bookmarkStart w:id="173" w:name="388"/>
      <w:bookmarkEnd w:id="173"/>
      <w:r>
        <w:t>MATÉRIAUX</w:t>
      </w:r>
    </w:p>
    <w:p w14:paraId="0D8800C2" w14:textId="77777777" w:rsidR="00DF410E" w:rsidRDefault="00CE7F43">
      <w:r>
        <w:t>Il s'agit des blocs en silico-calcaire, qui répondent à la norme [NBN EN 771-2+A1] et au [PTV 21-003]. L'entrepreneur soumet un échantillon, la fiche technique et la déclaration des performances (DoP) du matériau pour approbation à l'auteur de projet et au maître de l’ouvrage.</w:t>
      </w:r>
    </w:p>
    <w:p w14:paraId="3591B82B" w14:textId="77777777" w:rsidR="00DF410E" w:rsidRDefault="00CE7F43">
      <w:pPr>
        <w:pStyle w:val="pheading"/>
      </w:pPr>
      <w:r>
        <w:t>EXÉCUTION / MISE EN ŒUVRE</w:t>
      </w:r>
    </w:p>
    <w:p w14:paraId="32530B1C" w14:textId="77777777" w:rsidR="00DF410E" w:rsidRDefault="00CE7F43">
      <w:r>
        <w:rPr>
          <w:u w:val="single"/>
        </w:rPr>
        <w:t>-Prescriptions générales</w:t>
      </w:r>
    </w:p>
    <w:p w14:paraId="36DE0192" w14:textId="77777777" w:rsidR="00DF410E" w:rsidRDefault="00CE7F43">
      <w:r>
        <w:t xml:space="preserve">Eléments en silico-calcaire à utiliser : </w:t>
      </w:r>
      <w:r>
        <w:rPr>
          <w:rStyle w:val="optioncarChar"/>
        </w:rPr>
        <w:t xml:space="preserve">U (maçonnerie non protégée) </w:t>
      </w:r>
      <w:r>
        <w:t>(par défaut) </w:t>
      </w:r>
      <w:r>
        <w:rPr>
          <w:rStyle w:val="optioncarChar"/>
        </w:rPr>
        <w:t>/ P (maçonnerie protégée)</w:t>
      </w:r>
    </w:p>
    <w:p w14:paraId="7DEF140E" w14:textId="77777777" w:rsidR="00DF410E" w:rsidRDefault="00CE7F43">
      <w:r>
        <w:t xml:space="preserve">Conformément au mode de mise en œuvre, les blocs en silico-calcaire sont maçonnés au mortier / collés à l’aide d’un mortier-colle selon les indications du </w:t>
      </w:r>
      <w:r>
        <w:rPr>
          <w:rStyle w:val="optioncarChar"/>
        </w:rPr>
        <w:t>fabricant des blocs </w:t>
      </w:r>
      <w:r>
        <w:t>(par défaut)</w:t>
      </w:r>
      <w:r>
        <w:rPr>
          <w:rStyle w:val="optioncarChar"/>
        </w:rPr>
        <w:t> / du fabricant de mortier</w:t>
      </w:r>
      <w:r>
        <w:t xml:space="preserve"> et des notes de calcul du bureau d’études.</w:t>
      </w:r>
    </w:p>
    <w:p w14:paraId="57E14B01" w14:textId="77777777" w:rsidR="00DF410E" w:rsidRDefault="00CE7F43">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7907512F" w14:textId="77777777" w:rsidR="00DF410E" w:rsidRDefault="00CE7F43">
      <w:r>
        <w:t xml:space="preserve">L'épaisseur des joints est d'au moins </w:t>
      </w:r>
      <w:r>
        <w:rPr>
          <w:rStyle w:val="optioncarChar"/>
        </w:rPr>
        <w:t>2 / 10 </w:t>
      </w:r>
      <w:r>
        <w:t xml:space="preserve">(par défaut) </w:t>
      </w:r>
      <w:r>
        <w:rPr>
          <w:rStyle w:val="optioncarChar"/>
        </w:rPr>
        <w:t>/ ***</w:t>
      </w:r>
      <w:r>
        <w:t xml:space="preserve"> mm (tolérances suivant :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28C26087"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r>
        <w:t xml:space="preserve">. </w:t>
      </w:r>
      <w:r>
        <w:br/>
      </w:r>
      <w:r>
        <w:br/>
      </w:r>
      <w:r>
        <w:rPr>
          <w:u w:val="single"/>
        </w:rPr>
        <w:t>-Notes d'exécution complémentaires</w:t>
      </w:r>
    </w:p>
    <w:p w14:paraId="43FDD69C" w14:textId="77777777" w:rsidR="00DF410E" w:rsidRDefault="00CE7F43">
      <w:r>
        <w:t>Pour les maçonneries destinées à rester apparentes, seuls des blocs non endommagés sont utilisés.</w:t>
      </w:r>
    </w:p>
    <w:p w14:paraId="7C1F0805"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4D83907E" w14:textId="77777777" w:rsidR="00DF410E" w:rsidRDefault="00CE7F43">
      <w:r>
        <w:t xml:space="preserve">Les segments de murs sont pourvus d'armatures verticales selon l'article </w:t>
      </w:r>
      <w:hyperlink w:anchor="356" w:history="1">
        <w:r>
          <w:t>21.41.2 Armatures verticales pour maçonneries</w:t>
        </w:r>
      </w:hyperlink>
      <w:r>
        <w:t>.</w:t>
      </w:r>
    </w:p>
    <w:p w14:paraId="4B4B022C"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179F2801" w14:textId="77777777" w:rsidR="00DF410E" w:rsidRDefault="00DF410E"/>
    <w:p w14:paraId="4FCE75EB" w14:textId="77777777" w:rsidR="00DF410E" w:rsidRDefault="00CE7F43">
      <w:r>
        <w:t xml:space="preserve">Crochets de mur : </w:t>
      </w:r>
      <w:r>
        <w:rPr>
          <w:color w:val="FF0000"/>
        </w:rPr>
        <w:t>a</w:t>
      </w:r>
      <w:r>
        <w:rPr>
          <w:rStyle w:val="optioncarChar"/>
        </w:rPr>
        <w:t>cier inoxydable</w:t>
      </w:r>
      <w:r>
        <w:t> (par défaut)</w:t>
      </w:r>
      <w:r>
        <w:rPr>
          <w:rStyle w:val="optioncarChar"/>
        </w:rPr>
        <w:t xml:space="preserve"> / ***</w:t>
      </w:r>
      <w:r>
        <w:t xml:space="preserve"> , diamètre minimal</w:t>
      </w:r>
      <w:r>
        <w:rPr>
          <w:rStyle w:val="optioncarChar"/>
        </w:rPr>
        <w:t xml:space="preserve"> 3,5 </w:t>
      </w:r>
      <w:r>
        <w:t>(par défaut)</w:t>
      </w:r>
      <w:r>
        <w:rPr>
          <w:rStyle w:val="optioncarChar"/>
        </w:rPr>
        <w:t xml:space="preserve"> / ***</w:t>
      </w:r>
      <w:r>
        <w:t xml:space="preserve"> mm.</w:t>
      </w:r>
    </w:p>
    <w:p w14:paraId="3E8EA41E"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013AF462" w14:textId="77777777" w:rsidR="00DF410E" w:rsidRDefault="00CE7F43">
      <w:pPr>
        <w:pStyle w:val="pheading"/>
      </w:pPr>
      <w:r>
        <w:t>AIDE</w:t>
      </w:r>
    </w:p>
    <w:p w14:paraId="4DBE1324" w14:textId="77777777" w:rsidR="00DF410E" w:rsidRDefault="00CE7F43">
      <w:r>
        <w:t>Note à l'attention de l'auteur du projet : pour le choix adéquat du mortier, se référer à la [STS 22 série].</w:t>
      </w:r>
    </w:p>
    <w:p w14:paraId="0FF1271F" w14:textId="77777777" w:rsidR="00DF410E" w:rsidRDefault="00CE7F43">
      <w:pPr>
        <w:pStyle w:val="Author-eSectionHeading6"/>
      </w:pPr>
      <w:bookmarkStart w:id="174" w:name="_Toc178837419"/>
      <w:r>
        <w:t>21.22.3a Maçonneries non portantes en blocs de silico-calcaire à maçonner CCTB 01.12</w:t>
      </w:r>
      <w:bookmarkEnd w:id="174"/>
    </w:p>
    <w:p w14:paraId="31768370" w14:textId="77777777" w:rsidR="00DF410E" w:rsidRDefault="00CE7F43">
      <w:pPr>
        <w:pStyle w:val="pheading"/>
      </w:pPr>
      <w:r>
        <w:t>DESCRIPTION</w:t>
      </w:r>
    </w:p>
    <w:p w14:paraId="2A9D3BDA" w14:textId="77777777" w:rsidR="00DF410E" w:rsidRDefault="00CE7F43">
      <w:pPr>
        <w:pStyle w:val="pheading"/>
      </w:pPr>
      <w:r>
        <w:t>- Définition / Comprend</w:t>
      </w:r>
    </w:p>
    <w:p w14:paraId="6D0DDDB4" w14:textId="77777777" w:rsidR="00DF410E" w:rsidRDefault="00CE7F43">
      <w:r>
        <w:t xml:space="preserve">Il s’agit de la fourniture et la pose de maçonneries non portantes en blocs de silico-calcaire à maçonner. </w:t>
      </w:r>
      <w:r>
        <w:br/>
        <w:t xml:space="preserve">La portée des travaux est décrite dans l’article </w:t>
      </w:r>
      <w:hyperlink w:anchor="388" w:history="1">
        <w:r>
          <w:t>21.22.3 Maçonneries non portantes en blocs de silico-calcaire</w:t>
        </w:r>
      </w:hyperlink>
      <w:r>
        <w:t>.</w:t>
      </w:r>
      <w:r>
        <w:br/>
        <w:t>Les travaux comprennent également la fourniture et la pose des pièces d’angle, de terminaison et de rencontre.</w:t>
      </w:r>
    </w:p>
    <w:p w14:paraId="47FF357B" w14:textId="77777777" w:rsidR="00DF410E" w:rsidRDefault="00CE7F43">
      <w:pPr>
        <w:pStyle w:val="pheading"/>
      </w:pPr>
      <w:r>
        <w:t>- Localisation</w:t>
      </w:r>
    </w:p>
    <w:p w14:paraId="24B38986" w14:textId="77777777" w:rsidR="00DF410E" w:rsidRDefault="00CE7F43">
      <w:r>
        <w:t xml:space="preserve">La pose est réalisée aux endroits suivants : </w:t>
      </w:r>
      <w:r>
        <w:rPr>
          <w:rStyle w:val="optioncarChar"/>
        </w:rPr>
        <w:t>***</w:t>
      </w:r>
      <w:r>
        <w:t>.</w:t>
      </w:r>
      <w:r>
        <w:br/>
        <w:t>Voir plans et métrés détaillés.</w:t>
      </w:r>
    </w:p>
    <w:p w14:paraId="16AFAB5B" w14:textId="77777777" w:rsidR="00DF410E" w:rsidRDefault="00CE7F43">
      <w:pPr>
        <w:pStyle w:val="pheading"/>
      </w:pPr>
      <w:r>
        <w:t>MATÉRIAUX</w:t>
      </w:r>
    </w:p>
    <w:p w14:paraId="6C4D7515" w14:textId="77777777" w:rsidR="00DF410E" w:rsidRDefault="00CE7F43">
      <w:pPr>
        <w:pStyle w:val="pheading"/>
      </w:pPr>
      <w:r>
        <w:t>- Caractéristiques générales</w:t>
      </w:r>
    </w:p>
    <w:p w14:paraId="72919B37" w14:textId="77777777" w:rsidR="00DF410E" w:rsidRDefault="00CE7F43">
      <w:r>
        <w:rPr>
          <w:rStyle w:val="headingChar"/>
        </w:rPr>
        <w:t>Spécifications</w:t>
      </w:r>
    </w:p>
    <w:p w14:paraId="56FC7F18"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w:t>
      </w:r>
      <w:r>
        <w:rPr>
          <w:rStyle w:val="optioncarChar"/>
          <w:color w:val="000000"/>
        </w:rPr>
        <w:t xml:space="preserve">(par défaut) </w:t>
      </w:r>
      <w:r>
        <w:rPr>
          <w:rStyle w:val="optioncarChar"/>
        </w:rPr>
        <w:t>/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w:t>
      </w:r>
      <w:r>
        <w:t>(par défaut)</w:t>
      </w:r>
      <w:r>
        <w:rPr>
          <w:rStyle w:val="optioncarChar"/>
        </w:rPr>
        <w:t xml:space="preserve"> / ***</w:t>
      </w:r>
      <w:r>
        <w:t xml:space="preserve"> kg/m³ (blocs creux) selon la [NBN EN 771-2+A1].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(290 / *** </w:t>
      </w:r>
      <w:r>
        <w:t>x</w:t>
      </w:r>
      <w:r>
        <w:rPr>
          <w:rStyle w:val="optioncarChar"/>
        </w:rPr>
        <w:t> 140 / 190 / ***</w:t>
      </w:r>
      <w:r>
        <w:t> x</w:t>
      </w:r>
      <w:r>
        <w:rPr>
          <w:rStyle w:val="optioncarChar"/>
        </w:rPr>
        <w:t> 90 / 140 / 190 / ***</w:t>
      </w:r>
      <w:r>
        <w:t> ) mm</w:t>
      </w:r>
    </w:p>
    <w:p w14:paraId="2FA4AE23" w14:textId="77777777" w:rsidR="00DF410E" w:rsidRDefault="00CE7F43">
      <w:r>
        <w:b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 xml:space="preserve">(par défaut) </w:t>
      </w:r>
      <w:r>
        <w:rPr>
          <w:rStyle w:val="optioncarChar"/>
        </w:rPr>
        <w:t>/ ***</w:t>
      </w:r>
      <w:r>
        <w:br/>
      </w:r>
      <w:r>
        <w:br/>
      </w:r>
      <w:r>
        <w:rPr>
          <w:rStyle w:val="headingChar"/>
        </w:rPr>
        <w:t>Critères De Performances De La Paroi</w:t>
      </w:r>
    </w:p>
    <w:p w14:paraId="5BB93633" w14:textId="77777777" w:rsidR="00DF410E" w:rsidRDefault="00CE7F43">
      <w:r>
        <w:t>Coefficient de transmission :</w:t>
      </w:r>
    </w:p>
    <w:p w14:paraId="6B613949" w14:textId="77777777" w:rsidR="00DF410E" w:rsidRDefault="00CE7F43">
      <w:pPr>
        <w:pStyle w:val="Author-eListParagraph"/>
        <w:numPr>
          <w:ilvl w:val="0"/>
          <w:numId w:val="186"/>
        </w:numPr>
      </w:pPr>
      <w:r>
        <w:t xml:space="preserve">valeur U minimale de </w:t>
      </w:r>
      <w:r>
        <w:rPr>
          <w:rStyle w:val="optioncarChar"/>
        </w:rPr>
        <w:t>***</w:t>
      </w:r>
      <w:r>
        <w:t xml:space="preserve"> W/m²K</w:t>
      </w:r>
    </w:p>
    <w:p w14:paraId="0BDFA1E7" w14:textId="77777777" w:rsidR="00DF410E" w:rsidRDefault="00CE7F43">
      <w:pPr>
        <w:pStyle w:val="Author-eListParagraph"/>
        <w:numPr>
          <w:ilvl w:val="0"/>
          <w:numId w:val="18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D52E27A" w14:textId="77777777" w:rsidR="00DF410E" w:rsidRDefault="00CE7F43">
      <w:r>
        <w:br/>
        <w:t xml:space="preserve">Résistance au feu : </w:t>
      </w:r>
      <w:r>
        <w:rPr>
          <w:rStyle w:val="optioncarChar"/>
        </w:rPr>
        <w:t>EI30 </w:t>
      </w:r>
      <w:r>
        <w:t xml:space="preserve">(par défaut) </w:t>
      </w:r>
      <w:r>
        <w:rPr>
          <w:rStyle w:val="optioncarChar"/>
        </w:rPr>
        <w:t>/ EI60 / EI90 / EI120 / EI***</w:t>
      </w:r>
    </w:p>
    <w:p w14:paraId="0FC727B5" w14:textId="77777777" w:rsidR="00DF410E" w:rsidRDefault="00CE7F43">
      <w:r>
        <w:t>selon les tableaux dans [NBN EN 1996-1-2 ANB].</w:t>
      </w:r>
    </w:p>
    <w:p w14:paraId="664B05DF" w14:textId="77777777" w:rsidR="00DF410E" w:rsidRDefault="00DF410E"/>
    <w:p w14:paraId="672D21EA" w14:textId="77777777" w:rsidR="00DF410E" w:rsidRDefault="00CE7F43">
      <w:r>
        <w:t> </w:t>
      </w:r>
    </w:p>
    <w:p w14:paraId="497AE90C" w14:textId="77777777" w:rsidR="00DF410E" w:rsidRDefault="00CE7F43">
      <w:pPr>
        <w:pStyle w:val="pheading"/>
      </w:pPr>
      <w:r>
        <w:t>- Finitions</w:t>
      </w:r>
    </w:p>
    <w:p w14:paraId="0B4B3F70" w14:textId="77777777" w:rsidR="00DF410E" w:rsidRDefault="00DF410E"/>
    <w:p w14:paraId="60CD6980" w14:textId="77777777" w:rsidR="00DF410E" w:rsidRDefault="00CE7F43">
      <w:pPr>
        <w:pStyle w:val="Author-eListParagraph"/>
        <w:numPr>
          <w:ilvl w:val="0"/>
          <w:numId w:val="187"/>
        </w:numPr>
      </w:pPr>
      <w:r>
        <w:t>Les faces de murs suivantes sont exécutées comme maçonneries apparentes et sont </w:t>
      </w:r>
      <w:r>
        <w:rPr>
          <w:rStyle w:val="optioncarChar"/>
          <w:color w:val="000000"/>
        </w:rPr>
        <w:t>rejointoyées </w:t>
      </w:r>
      <w:r>
        <w:t>selon l'article </w:t>
      </w:r>
      <w:hyperlink w:anchor="344" w:history="1">
        <w:r>
          <w:t>21.61.1b Joints de maçonnerie apparente</w:t>
        </w:r>
      </w:hyperlink>
      <w:r>
        <w:t> : </w:t>
      </w:r>
      <w:r>
        <w:rPr>
          <w:rStyle w:val="optioncarChar"/>
        </w:rPr>
        <w:t>***</w:t>
      </w:r>
    </w:p>
    <w:p w14:paraId="43554E15" w14:textId="77777777" w:rsidR="00DF410E" w:rsidRDefault="00CE7F43">
      <w:pPr>
        <w:pStyle w:val="Author-eListParagraph"/>
        <w:numPr>
          <w:ilvl w:val="0"/>
          <w:numId w:val="187"/>
        </w:numPr>
      </w:pPr>
      <w:r>
        <w:t>Les murs suivants sont exécutés avec une face restant apparente : </w:t>
      </w:r>
      <w:r>
        <w:rPr>
          <w:rStyle w:val="optioncarChar"/>
        </w:rPr>
        <w:t>***</w:t>
      </w:r>
    </w:p>
    <w:p w14:paraId="3AA15BC3" w14:textId="77777777" w:rsidR="00DF410E" w:rsidRDefault="00CE7F43">
      <w:pPr>
        <w:pStyle w:val="Author-eListParagraph"/>
        <w:numPr>
          <w:ilvl w:val="0"/>
          <w:numId w:val="187"/>
        </w:numPr>
      </w:pPr>
      <w:r>
        <w:t>Les murs suivants sont exécutés avec deux faces restant apparentes : </w:t>
      </w:r>
      <w:r>
        <w:rPr>
          <w:rStyle w:val="optioncarChar"/>
        </w:rPr>
        <w:t>***</w:t>
      </w:r>
    </w:p>
    <w:p w14:paraId="5B4A2367"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463CFEE9" w14:textId="77777777" w:rsidR="00DF410E" w:rsidRDefault="00CE7F43">
      <w:pPr>
        <w:pStyle w:val="pheading"/>
      </w:pPr>
      <w:r>
        <w:t>MESURAGE</w:t>
      </w:r>
    </w:p>
    <w:p w14:paraId="2D0BF7FA" w14:textId="77777777" w:rsidR="00DF410E" w:rsidRDefault="00CE7F43">
      <w:pPr>
        <w:pStyle w:val="pheading"/>
      </w:pPr>
      <w:r>
        <w:t>- unité de mesure:</w:t>
      </w:r>
    </w:p>
    <w:p w14:paraId="3F3508AA" w14:textId="77777777" w:rsidR="00DF410E" w:rsidRDefault="00CE7F43">
      <w:r>
        <w:rPr>
          <w:rStyle w:val="optioncarChar"/>
        </w:rPr>
        <w:t>m³ </w:t>
      </w:r>
      <w:r>
        <w:t>(par défaut)</w:t>
      </w:r>
      <w:r>
        <w:rPr>
          <w:rStyle w:val="optioncarChar"/>
        </w:rPr>
        <w:t> / m²</w:t>
      </w:r>
    </w:p>
    <w:p w14:paraId="709A293D" w14:textId="77777777" w:rsidR="00DF410E" w:rsidRDefault="00CE7F43">
      <w:r>
        <w:rPr>
          <w:b/>
        </w:rPr>
        <w:t>(soit par défaut)</w:t>
      </w:r>
    </w:p>
    <w:p w14:paraId="652CEDF0" w14:textId="77777777" w:rsidR="00DF410E" w:rsidRDefault="00CE7F43">
      <w:r>
        <w:rPr>
          <w:rStyle w:val="soitChar"/>
        </w:rPr>
        <w:t>1. m³</w:t>
      </w:r>
    </w:p>
    <w:p w14:paraId="07B0F5DE" w14:textId="77777777" w:rsidR="00DF410E" w:rsidRDefault="00CE7F43">
      <w:r>
        <w:rPr>
          <w:b/>
        </w:rPr>
        <w:t>(soit)</w:t>
      </w:r>
    </w:p>
    <w:p w14:paraId="2AD50BC8" w14:textId="77777777" w:rsidR="00DF410E" w:rsidRDefault="00CE7F43">
      <w:r>
        <w:rPr>
          <w:rStyle w:val="soitChar"/>
        </w:rPr>
        <w:t>2. m²</w:t>
      </w:r>
    </w:p>
    <w:p w14:paraId="4A31D218" w14:textId="77777777" w:rsidR="00DF410E" w:rsidRDefault="00CE7F43">
      <w:pPr>
        <w:pStyle w:val="pheading"/>
      </w:pPr>
      <w:r>
        <w:t>- code de mesurage:</w:t>
      </w:r>
    </w:p>
    <w:p w14:paraId="7455C5C5"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9911BB7"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EE10CC6"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AB40B34" w14:textId="77777777" w:rsidR="00DF410E" w:rsidRDefault="00CE7F43">
      <w:r>
        <w:rPr>
          <w:rStyle w:val="optioncarChar"/>
        </w:rPr>
        <w:t>Volume net </w:t>
      </w:r>
      <w:r>
        <w:t>(par défaut)</w:t>
      </w:r>
      <w:r>
        <w:rPr>
          <w:rStyle w:val="optioncarChar"/>
        </w:rPr>
        <w:t> / Surface nette</w:t>
      </w:r>
    </w:p>
    <w:p w14:paraId="781EACB8" w14:textId="77777777" w:rsidR="00DF410E" w:rsidRDefault="00CE7F43">
      <w:r>
        <w:rPr>
          <w:b/>
        </w:rPr>
        <w:t>(soit par défaut)</w:t>
      </w:r>
    </w:p>
    <w:p w14:paraId="4BD4FF16"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54ACCBA" w14:textId="77777777" w:rsidR="00DF410E" w:rsidRDefault="00CE7F43">
      <w:r>
        <w:rPr>
          <w:b/>
        </w:rPr>
        <w:t>(soit)</w:t>
      </w:r>
    </w:p>
    <w:p w14:paraId="619CDE53"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A09FF6D" w14:textId="77777777" w:rsidR="00DF410E" w:rsidRDefault="00DF410E"/>
    <w:p w14:paraId="4C98DA4E" w14:textId="77777777" w:rsidR="00DF410E" w:rsidRDefault="00CE7F43">
      <w:r>
        <w:t> </w:t>
      </w:r>
    </w:p>
    <w:p w14:paraId="1EFBB6C8" w14:textId="77777777" w:rsidR="00DF410E" w:rsidRDefault="00CE7F43">
      <w:pPr>
        <w:pStyle w:val="pheading"/>
      </w:pPr>
      <w:r>
        <w:t>- nature du marché:</w:t>
      </w:r>
    </w:p>
    <w:p w14:paraId="399FE555" w14:textId="77777777" w:rsidR="00DF410E" w:rsidRDefault="00CE7F43">
      <w:r>
        <w:t>QF</w:t>
      </w:r>
    </w:p>
    <w:p w14:paraId="462DBD14" w14:textId="77777777" w:rsidR="00DF410E" w:rsidRDefault="00CE7F43">
      <w:pPr>
        <w:pStyle w:val="Author-eSectionHeading6"/>
      </w:pPr>
      <w:bookmarkStart w:id="175" w:name="_Toc178837420"/>
      <w:r>
        <w:t>21.22.3b Maçonneries non portantes en blocs de silico-calcaire pleins à coller CCTB 01.12</w:t>
      </w:r>
      <w:bookmarkEnd w:id="175"/>
    </w:p>
    <w:p w14:paraId="63BB81E1" w14:textId="77777777" w:rsidR="00DF410E" w:rsidRDefault="00CE7F43">
      <w:pPr>
        <w:pStyle w:val="pheading"/>
      </w:pPr>
      <w:r>
        <w:t>DESCRIPTION</w:t>
      </w:r>
    </w:p>
    <w:p w14:paraId="2B7277DF" w14:textId="77777777" w:rsidR="00DF410E" w:rsidRDefault="00CE7F43">
      <w:pPr>
        <w:pStyle w:val="pheading"/>
      </w:pPr>
      <w:r>
        <w:t>- Définition / Comprend</w:t>
      </w:r>
    </w:p>
    <w:p w14:paraId="616D6566" w14:textId="77777777" w:rsidR="00DF410E" w:rsidRDefault="00CE7F43">
      <w:r>
        <w:t xml:space="preserve">Il s’agit de la fourniture et la pose de maçonneries non portantes en blocs de silico-calcaire à coller. </w:t>
      </w:r>
      <w:r>
        <w:br/>
        <w:t xml:space="preserve">La portée des travaux est décrite dans l’article </w:t>
      </w:r>
      <w:hyperlink w:anchor="388" w:history="1">
        <w:r>
          <w:t>21.22.3 Maçonneries non portantes en blocs de silico-calcaire</w:t>
        </w:r>
      </w:hyperlink>
      <w:r>
        <w:t>.</w:t>
      </w:r>
      <w:r>
        <w:br/>
        <w:t>Les travaux comprennent également la fourniture et la pose des pièces d’angle, de terminaison et de rencontre.</w:t>
      </w:r>
    </w:p>
    <w:p w14:paraId="3CD7ED85" w14:textId="77777777" w:rsidR="00DF410E" w:rsidRDefault="00CE7F43">
      <w:pPr>
        <w:pStyle w:val="pheading"/>
      </w:pPr>
      <w:r>
        <w:t>- Localisation</w:t>
      </w:r>
    </w:p>
    <w:p w14:paraId="42BFDDA2" w14:textId="77777777" w:rsidR="00DF410E" w:rsidRDefault="00CE7F43">
      <w:r>
        <w:t xml:space="preserve">La pose est réalisée aux endroits suivants : </w:t>
      </w:r>
      <w:r>
        <w:rPr>
          <w:rStyle w:val="optioncarChar"/>
        </w:rPr>
        <w:t>***</w:t>
      </w:r>
      <w:r>
        <w:t>.</w:t>
      </w:r>
      <w:r>
        <w:br/>
        <w:t>Voir plans et métrés détaillés.</w:t>
      </w:r>
    </w:p>
    <w:p w14:paraId="55A67348" w14:textId="77777777" w:rsidR="00DF410E" w:rsidRDefault="00CE7F43">
      <w:pPr>
        <w:pStyle w:val="pheading"/>
      </w:pPr>
      <w:r>
        <w:t>MATÉRIAUX</w:t>
      </w:r>
    </w:p>
    <w:p w14:paraId="6DA16C6B" w14:textId="77777777" w:rsidR="00DF410E" w:rsidRDefault="00CE7F43">
      <w:pPr>
        <w:pStyle w:val="pheading"/>
      </w:pPr>
      <w:r>
        <w:t>- Caractéristiques générales</w:t>
      </w:r>
    </w:p>
    <w:p w14:paraId="64C927D9" w14:textId="77777777" w:rsidR="00DF410E" w:rsidRDefault="00CE7F43">
      <w:r>
        <w:rPr>
          <w:rStyle w:val="headingChar"/>
        </w:rPr>
        <w:t>Spécifications</w:t>
      </w:r>
    </w:p>
    <w:p w14:paraId="140AAE17" w14:textId="77777777" w:rsidR="00DF410E" w:rsidRDefault="00CE7F43">
      <w:r>
        <w:t>En ce qui concerne la déclaration de la résistance à la compression, les blocs sont de catégorie I (la résistance à la compression est déclarée avec une fiabilité de 95%).</w:t>
      </w:r>
      <w:r>
        <w:br/>
      </w:r>
      <w:r>
        <w:br/>
        <w:t>Les blocs en silico-calcaire sont de classe d’usage : </w:t>
      </w:r>
      <w:r>
        <w:rPr>
          <w:rStyle w:val="optioncarChar"/>
        </w:rPr>
        <w:t>A1 / A2 / B1 / B2 / C / D</w:t>
      </w:r>
      <w:r>
        <w:br/>
      </w:r>
      <w:r>
        <w:br/>
        <w:t>La classe de qualité suivant [PTV 21-003] est : </w:t>
      </w:r>
      <w:r>
        <w:rPr>
          <w:rStyle w:val="optioncarChar"/>
        </w:rPr>
        <w:t>15/1,4 / ***</w:t>
      </w:r>
      <w:r>
        <w:br/>
      </w:r>
      <w:r>
        <w:br/>
        <w:t>La résistance en compression normalisée (f</w:t>
      </w:r>
      <w:r>
        <w:rPr>
          <w:vertAlign w:val="subscript"/>
        </w:rPr>
        <w:t>b</w:t>
      </w:r>
      <w:r>
        <w:t>) suivant [NBN EN 1996 série] est au minimum : </w:t>
      </w:r>
      <w:r>
        <w:rPr>
          <w:rStyle w:val="optioncarChar"/>
        </w:rPr>
        <w:t xml:space="preserve">5 / 10 / 15 </w:t>
      </w:r>
      <w:r>
        <w:rPr>
          <w:rStyle w:val="optioncarChar"/>
          <w:color w:val="000000"/>
        </w:rPr>
        <w:t xml:space="preserve">(par défaut) </w:t>
      </w:r>
      <w:r>
        <w:rPr>
          <w:rStyle w:val="optioncarChar"/>
        </w:rPr>
        <w:t>/ ***</w:t>
      </w:r>
      <w:r>
        <w:t> N/mm² (MPa) (classe f </w:t>
      </w:r>
      <w:r>
        <w:rPr>
          <w:rStyle w:val="optioncarChar"/>
        </w:rPr>
        <w:t>***</w:t>
      </w:r>
      <w:r>
        <w:t>) (selon [NBN EN 771-2+A1]).</w:t>
      </w:r>
      <w:r>
        <w:br/>
      </w:r>
      <w:r>
        <w:br/>
        <w:t>Le groupe de configuration suivant [NBN EN 1996-1-1+A1 ANB] est : </w:t>
      </w:r>
      <w:r>
        <w:rPr>
          <w:rStyle w:val="optioncarChar"/>
        </w:rPr>
        <w:t>1 / 2 / ***</w:t>
      </w:r>
      <w:r>
        <w:br/>
      </w:r>
      <w:r>
        <w:br/>
        <w:t>La masse volumique sèche apparente des blocs ρ (rho) est : </w:t>
      </w:r>
      <w:r>
        <w:rPr>
          <w:rStyle w:val="optioncarChar"/>
        </w:rPr>
        <w:t>1400 </w:t>
      </w:r>
      <w:r>
        <w:t>(par défaut)</w:t>
      </w:r>
      <w:r>
        <w:rPr>
          <w:rStyle w:val="optioncarChar"/>
        </w:rPr>
        <w:t xml:space="preserve"> / ***</w:t>
      </w:r>
      <w:r>
        <w:t> kg/m³ (blocs creux) selon la [NBN EN 771-2+A1].</w:t>
      </w:r>
      <w:r>
        <w:br/>
      </w:r>
      <w:r>
        <w:br/>
        <w:t>La conductibilité thermique λ</w:t>
      </w:r>
      <w:r>
        <w:rPr>
          <w:vertAlign w:val="subscript"/>
        </w:rPr>
        <w:t>D</w:t>
      </w:r>
      <w:r>
        <w:t> est compatible avec la valeur U prescrite pour la paroi.</w:t>
      </w:r>
      <w:r>
        <w:br/>
      </w:r>
      <w:r>
        <w:br/>
        <w:t>Boutisse : plate</w:t>
      </w:r>
      <w:r>
        <w:br/>
        <w:t>Face qui reste visible : lisse</w:t>
      </w:r>
      <w:r>
        <w:br/>
        <w:t>Face à cimenter ou plafonner : lisse</w:t>
      </w:r>
      <w:r>
        <w:br/>
      </w:r>
      <w:r>
        <w:br/>
        <w:t>Teinte : blanc</w:t>
      </w:r>
      <w:r>
        <w:br/>
      </w:r>
      <w:r>
        <w:br/>
        <w:t>Format : (L x l x h) :</w:t>
      </w:r>
      <w:r>
        <w:rPr>
          <w:rStyle w:val="optioncarChar"/>
        </w:rPr>
        <w:t> format modulaire proposé par l'entrepreneur</w:t>
      </w:r>
      <w:r>
        <w:t> (par défaut) </w:t>
      </w:r>
      <w:r>
        <w:rPr>
          <w:rStyle w:val="optioncarChar"/>
        </w:rPr>
        <w:t>/ (290 / *** </w:t>
      </w:r>
      <w:r>
        <w:t>x</w:t>
      </w:r>
      <w:r>
        <w:rPr>
          <w:rStyle w:val="optioncarChar"/>
        </w:rPr>
        <w:t> 140 / 190 / ***</w:t>
      </w:r>
      <w:r>
        <w:t> x</w:t>
      </w:r>
      <w:r>
        <w:rPr>
          <w:rStyle w:val="optioncarChar"/>
        </w:rPr>
        <w:t> 90 / 140 / 190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Absorption d’eau par immersion : </w:t>
      </w:r>
      <w:r>
        <w:rPr>
          <w:rStyle w:val="optioncarChar"/>
        </w:rPr>
        <w:t>code A1 (exposé décoratif) / A2 (exposé) </w:t>
      </w:r>
      <w:r>
        <w:t>(par défaut)</w:t>
      </w:r>
      <w:r>
        <w:br/>
      </w:r>
      <w:r>
        <w:br/>
        <w:t>Résistance au gel suivant les classes d’application selon [NBN EN 1996-2 ANB] et [NIT 271].</w:t>
      </w:r>
      <w:r>
        <w:br/>
      </w:r>
      <w:r>
        <w:br/>
        <w:t>Réaction au feu : </w:t>
      </w:r>
      <w:r>
        <w:rPr>
          <w:rStyle w:val="optioncarChar"/>
        </w:rPr>
        <w:t>A1 </w:t>
      </w:r>
      <w:r>
        <w:t>(par défaut)</w:t>
      </w:r>
      <w:r>
        <w:rPr>
          <w:rStyle w:val="optioncarChar"/>
        </w:rPr>
        <w:t xml:space="preserve"> / ***</w:t>
      </w:r>
      <w:r>
        <w:br/>
      </w:r>
      <w:r>
        <w:br/>
      </w:r>
      <w:r>
        <w:rPr>
          <w:rStyle w:val="headingChar"/>
        </w:rPr>
        <w:t>Critères De Performances De La Paroi</w:t>
      </w:r>
    </w:p>
    <w:p w14:paraId="78C55E4D" w14:textId="77777777" w:rsidR="00DF410E" w:rsidRDefault="00CE7F43">
      <w:r>
        <w:t>Coefficient de transmission :</w:t>
      </w:r>
    </w:p>
    <w:p w14:paraId="46BFA7C8" w14:textId="77777777" w:rsidR="00DF410E" w:rsidRDefault="00CE7F43">
      <w:pPr>
        <w:pStyle w:val="Author-eListParagraph"/>
        <w:numPr>
          <w:ilvl w:val="0"/>
          <w:numId w:val="188"/>
        </w:numPr>
      </w:pPr>
      <w:r>
        <w:t>valeur U minimale de </w:t>
      </w:r>
      <w:r>
        <w:rPr>
          <w:rStyle w:val="optioncarChar"/>
        </w:rPr>
        <w:t>***</w:t>
      </w:r>
      <w:r>
        <w:t> W/m²K</w:t>
      </w:r>
    </w:p>
    <w:p w14:paraId="41948E94" w14:textId="77777777" w:rsidR="00DF410E" w:rsidRDefault="00CE7F43">
      <w:pPr>
        <w:pStyle w:val="Author-eListParagraph"/>
        <w:numPr>
          <w:ilvl w:val="0"/>
          <w:numId w:val="188"/>
        </w:numPr>
      </w:pPr>
      <w:r>
        <w:t>valeur λ</w:t>
      </w:r>
      <w:r>
        <w:rPr>
          <w:vertAlign w:val="subscript"/>
        </w:rPr>
        <w:t>Ui</w:t>
      </w:r>
      <w:r>
        <w:t> ou λ</w:t>
      </w:r>
      <w:r>
        <w:rPr>
          <w:vertAlign w:val="subscript"/>
        </w:rPr>
        <w:t>Ue</w:t>
      </w:r>
      <w:r>
        <w:t> maximum </w:t>
      </w:r>
      <w:r>
        <w:rPr>
          <w:rStyle w:val="optioncarChar"/>
        </w:rPr>
        <w:t>***</w:t>
      </w:r>
      <w:r>
        <w:t> W/mK (suivant l’application).</w:t>
      </w:r>
    </w:p>
    <w:p w14:paraId="7B2EA552" w14:textId="77777777" w:rsidR="00DF410E" w:rsidRDefault="00CE7F43">
      <w:r>
        <w:br/>
        <w:t>Résistance au feu : </w:t>
      </w:r>
      <w:r>
        <w:rPr>
          <w:rStyle w:val="optioncarChar"/>
        </w:rPr>
        <w:t>EI30 </w:t>
      </w:r>
      <w:r>
        <w:t>(par défaut)</w:t>
      </w:r>
      <w:r>
        <w:rPr>
          <w:rStyle w:val="optioncarChar"/>
        </w:rPr>
        <w:t xml:space="preserve">  / EI60 / EI90 / EI120 / EI***</w:t>
      </w:r>
    </w:p>
    <w:p w14:paraId="478927A9" w14:textId="77777777" w:rsidR="00DF410E" w:rsidRDefault="00CE7F43">
      <w:r>
        <w:t>selon les tableaux dans [NBN EN 1996-1-2 ANB].</w:t>
      </w:r>
    </w:p>
    <w:p w14:paraId="73C35562" w14:textId="77777777" w:rsidR="00DF410E" w:rsidRDefault="00DF410E"/>
    <w:p w14:paraId="27AF8C63" w14:textId="77777777" w:rsidR="00DF410E" w:rsidRDefault="00CE7F43">
      <w:r>
        <w:t> </w:t>
      </w:r>
    </w:p>
    <w:p w14:paraId="14A96824" w14:textId="77777777" w:rsidR="00DF410E" w:rsidRDefault="00CE7F43">
      <w:pPr>
        <w:pStyle w:val="pheading"/>
      </w:pPr>
      <w:r>
        <w:t>- Finitions</w:t>
      </w:r>
    </w:p>
    <w:p w14:paraId="420CED11" w14:textId="77777777" w:rsidR="00DF410E" w:rsidRDefault="00DF410E"/>
    <w:p w14:paraId="04EF83AA" w14:textId="77777777" w:rsidR="00DF410E" w:rsidRDefault="00CE7F43">
      <w:pPr>
        <w:pStyle w:val="Author-eListParagraph"/>
        <w:numPr>
          <w:ilvl w:val="0"/>
          <w:numId w:val="189"/>
        </w:numPr>
      </w:pPr>
      <w:r>
        <w:t xml:space="preserve">Les murs suivants sont exécutés avec deux faces restant apparentes : </w:t>
      </w:r>
      <w:r>
        <w:rPr>
          <w:rStyle w:val="optioncarChar"/>
        </w:rPr>
        <w:t>***</w:t>
      </w:r>
    </w:p>
    <w:p w14:paraId="739AC61B" w14:textId="77777777" w:rsidR="00DF410E" w:rsidRDefault="00CE7F43">
      <w:pPr>
        <w:pStyle w:val="Author-eListParagraph"/>
        <w:numPr>
          <w:ilvl w:val="0"/>
          <w:numId w:val="189"/>
        </w:numPr>
      </w:pPr>
      <w:r>
        <w:t>Les murs suivants sont exécutés avec deux faces restant apparentes : </w:t>
      </w:r>
      <w:r>
        <w:rPr>
          <w:rStyle w:val="optioncarChar"/>
        </w:rPr>
        <w:t>***</w:t>
      </w:r>
    </w:p>
    <w:p w14:paraId="13AEE03D"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36DD4353" w14:textId="77777777" w:rsidR="00DF410E" w:rsidRDefault="00CE7F43">
      <w:pPr>
        <w:pStyle w:val="pheading"/>
      </w:pPr>
      <w:r>
        <w:t>MESURAGE</w:t>
      </w:r>
    </w:p>
    <w:p w14:paraId="616CA5B6" w14:textId="77777777" w:rsidR="00DF410E" w:rsidRDefault="00CE7F43">
      <w:pPr>
        <w:pStyle w:val="pheading"/>
      </w:pPr>
      <w:r>
        <w:t>- unité de mesure:</w:t>
      </w:r>
    </w:p>
    <w:p w14:paraId="201E19CD" w14:textId="77777777" w:rsidR="00DF410E" w:rsidRDefault="00CE7F43">
      <w:r>
        <w:rPr>
          <w:rStyle w:val="optioncarChar"/>
        </w:rPr>
        <w:t>m³ </w:t>
      </w:r>
      <w:r>
        <w:t>(par défaut)</w:t>
      </w:r>
      <w:r>
        <w:rPr>
          <w:rStyle w:val="optioncarChar"/>
        </w:rPr>
        <w:t> / m²</w:t>
      </w:r>
    </w:p>
    <w:p w14:paraId="3DD0896A" w14:textId="77777777" w:rsidR="00DF410E" w:rsidRDefault="00CE7F43">
      <w:r>
        <w:rPr>
          <w:b/>
        </w:rPr>
        <w:t>(soit par défaut)</w:t>
      </w:r>
    </w:p>
    <w:p w14:paraId="04348D57" w14:textId="77777777" w:rsidR="00DF410E" w:rsidRDefault="00CE7F43">
      <w:r>
        <w:rPr>
          <w:rStyle w:val="soitChar"/>
        </w:rPr>
        <w:t>1. m³</w:t>
      </w:r>
    </w:p>
    <w:p w14:paraId="6F1EF04F" w14:textId="77777777" w:rsidR="00DF410E" w:rsidRDefault="00CE7F43">
      <w:r>
        <w:rPr>
          <w:b/>
        </w:rPr>
        <w:t>(soit)</w:t>
      </w:r>
    </w:p>
    <w:p w14:paraId="10F5FF43" w14:textId="77777777" w:rsidR="00DF410E" w:rsidRDefault="00CE7F43">
      <w:r>
        <w:rPr>
          <w:rStyle w:val="soitChar"/>
        </w:rPr>
        <w:t>2. m²</w:t>
      </w:r>
    </w:p>
    <w:p w14:paraId="484E6ADB" w14:textId="77777777" w:rsidR="00DF410E" w:rsidRDefault="00CE7F43">
      <w:pPr>
        <w:pStyle w:val="pheading"/>
      </w:pPr>
      <w:r>
        <w:t>- code de mesurage:</w:t>
      </w:r>
    </w:p>
    <w:p w14:paraId="03663246"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2A34B53"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D8D62DA"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4162BC6" w14:textId="77777777" w:rsidR="00DF410E" w:rsidRDefault="00CE7F43">
      <w:r>
        <w:rPr>
          <w:rStyle w:val="optioncarChar"/>
        </w:rPr>
        <w:t>Volume net </w:t>
      </w:r>
      <w:r>
        <w:t>(par défaut)</w:t>
      </w:r>
      <w:r>
        <w:rPr>
          <w:rStyle w:val="optioncarChar"/>
        </w:rPr>
        <w:t> / Surface nette</w:t>
      </w:r>
    </w:p>
    <w:p w14:paraId="219A2EF6" w14:textId="77777777" w:rsidR="00DF410E" w:rsidRDefault="00CE7F43">
      <w:r>
        <w:rPr>
          <w:b/>
        </w:rPr>
        <w:t>(soit par défaut)</w:t>
      </w:r>
    </w:p>
    <w:p w14:paraId="330859A7"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2641DAE" w14:textId="77777777" w:rsidR="00DF410E" w:rsidRDefault="00CE7F43">
      <w:r>
        <w:rPr>
          <w:b/>
        </w:rPr>
        <w:t>(soit)</w:t>
      </w:r>
    </w:p>
    <w:p w14:paraId="35D37706"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C8A00B7" w14:textId="77777777" w:rsidR="00DF410E" w:rsidRDefault="00CE7F43">
      <w:pPr>
        <w:pStyle w:val="pheading"/>
      </w:pPr>
      <w:r>
        <w:t>- nature du marché:</w:t>
      </w:r>
    </w:p>
    <w:p w14:paraId="254A36A9" w14:textId="77777777" w:rsidR="00DF410E" w:rsidRDefault="00CE7F43">
      <w:r>
        <w:t>QF</w:t>
      </w:r>
    </w:p>
    <w:p w14:paraId="2B1FC47E" w14:textId="77777777" w:rsidR="00DF410E" w:rsidRDefault="00CE7F43">
      <w:pPr>
        <w:pStyle w:val="Author-eSectionHeading6"/>
      </w:pPr>
      <w:bookmarkStart w:id="176" w:name="_Toc178837421"/>
      <w:r>
        <w:t>21.22.3c Maçonneries non portantes en blocs de silico-calcaire creux à coller CCTB 01.12</w:t>
      </w:r>
      <w:bookmarkEnd w:id="176"/>
    </w:p>
    <w:p w14:paraId="7CC1DA1B" w14:textId="77777777" w:rsidR="00DF410E" w:rsidRDefault="00CE7F43">
      <w:pPr>
        <w:pStyle w:val="pheading"/>
      </w:pPr>
      <w:r>
        <w:t>DESCRIPTION</w:t>
      </w:r>
    </w:p>
    <w:p w14:paraId="33D930D3" w14:textId="77777777" w:rsidR="00DF410E" w:rsidRDefault="00CE7F43">
      <w:pPr>
        <w:pStyle w:val="pheading"/>
      </w:pPr>
      <w:r>
        <w:t>- Définition / Comprend</w:t>
      </w:r>
    </w:p>
    <w:p w14:paraId="2E32E199" w14:textId="77777777" w:rsidR="00DF410E" w:rsidRDefault="00CE7F43">
      <w:r>
        <w:t xml:space="preserve">Il s’agit de la fourniture et la pose de maçonneries non portantes en blocs de silico-calcaire creux à coller. </w:t>
      </w:r>
      <w:r>
        <w:br/>
        <w:t xml:space="preserve">La portée des travaux est décrite dans l’article </w:t>
      </w:r>
      <w:hyperlink w:anchor="388" w:history="1">
        <w:r>
          <w:t>21.22.3 Maçonneries non portantes en blocs de silico-calcaire</w:t>
        </w:r>
      </w:hyperlink>
      <w:r>
        <w:t>.</w:t>
      </w:r>
      <w:r>
        <w:br/>
        <w:t>Les travaux comprennent également la fourniture et la pose des pièces d’angle, de terminaison et de rencontre.</w:t>
      </w:r>
    </w:p>
    <w:p w14:paraId="71058757" w14:textId="77777777" w:rsidR="00DF410E" w:rsidRDefault="00CE7F43">
      <w:pPr>
        <w:pStyle w:val="pheading"/>
      </w:pPr>
      <w:r>
        <w:t>- Localisation</w:t>
      </w:r>
    </w:p>
    <w:p w14:paraId="7C260FDC" w14:textId="77777777" w:rsidR="00DF410E" w:rsidRDefault="00CE7F43">
      <w:r>
        <w:t xml:space="preserve">La pose est réalisée aux endroits suivants : </w:t>
      </w:r>
      <w:r>
        <w:rPr>
          <w:rStyle w:val="optioncarChar"/>
        </w:rPr>
        <w:t>***</w:t>
      </w:r>
      <w:r>
        <w:t>.</w:t>
      </w:r>
      <w:r>
        <w:br/>
        <w:t>Voir plans et métrés détaillés.</w:t>
      </w:r>
    </w:p>
    <w:p w14:paraId="5B3B637B" w14:textId="77777777" w:rsidR="00DF410E" w:rsidRDefault="00CE7F43">
      <w:pPr>
        <w:pStyle w:val="pheading"/>
      </w:pPr>
      <w:r>
        <w:t>MATÉRIAUX</w:t>
      </w:r>
    </w:p>
    <w:p w14:paraId="10644991" w14:textId="77777777" w:rsidR="00DF410E" w:rsidRDefault="00CE7F43">
      <w:pPr>
        <w:pStyle w:val="pheading"/>
      </w:pPr>
      <w:r>
        <w:t>- Caractéristiques générales</w:t>
      </w:r>
    </w:p>
    <w:p w14:paraId="7266F805" w14:textId="77777777" w:rsidR="00DF410E" w:rsidRDefault="00CE7F43">
      <w:r>
        <w:rPr>
          <w:rStyle w:val="headingChar"/>
        </w:rPr>
        <w:t>Spécifications</w:t>
      </w:r>
    </w:p>
    <w:p w14:paraId="7345C86E"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 [PTV 21-003]).</w:t>
      </w:r>
      <w:r>
        <w:br/>
      </w:r>
      <w:r>
        <w:br/>
        <w:t>Absorption d’eau par immersion : code A1 (exposé décoratif) / A2 (exposé) </w:t>
      </w:r>
      <w:r>
        <w:rPr>
          <w:rStyle w:val="optioncarChar"/>
        </w:rP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57272476" w14:textId="77777777" w:rsidR="00DF410E" w:rsidRDefault="00CE7F43">
      <w:r>
        <w:t>Coefficient de transmission :</w:t>
      </w:r>
    </w:p>
    <w:p w14:paraId="13AEB07E" w14:textId="77777777" w:rsidR="00DF410E" w:rsidRDefault="00CE7F43">
      <w:pPr>
        <w:pStyle w:val="Author-eListParagraph"/>
        <w:numPr>
          <w:ilvl w:val="0"/>
          <w:numId w:val="190"/>
        </w:numPr>
      </w:pPr>
      <w:r>
        <w:t xml:space="preserve">valeur U minimale de </w:t>
      </w:r>
      <w:r>
        <w:rPr>
          <w:rStyle w:val="optioncarChar"/>
        </w:rPr>
        <w:t>***</w:t>
      </w:r>
      <w:r>
        <w:t xml:space="preserve"> W/m²K</w:t>
      </w:r>
    </w:p>
    <w:p w14:paraId="2FB57B49" w14:textId="77777777" w:rsidR="00DF410E" w:rsidRDefault="00CE7F43">
      <w:pPr>
        <w:pStyle w:val="Author-eListParagraph"/>
        <w:numPr>
          <w:ilvl w:val="0"/>
          <w:numId w:val="19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0476B1F" w14:textId="77777777" w:rsidR="00DF410E" w:rsidRDefault="00CE7F43">
      <w:r>
        <w:br/>
        <w:t xml:space="preserve">Résistance au feu : </w:t>
      </w:r>
      <w:r>
        <w:rPr>
          <w:rStyle w:val="optioncarChar"/>
        </w:rPr>
        <w:t xml:space="preserve">EI30 </w:t>
      </w:r>
      <w:r>
        <w:t>(par défaut) </w:t>
      </w:r>
      <w:r>
        <w:rPr>
          <w:rStyle w:val="optioncarChar"/>
        </w:rPr>
        <w:t>/ EI60 / EI90 / EI120 / EI***</w:t>
      </w:r>
    </w:p>
    <w:p w14:paraId="2EE568AB" w14:textId="77777777" w:rsidR="00DF410E" w:rsidRDefault="00CE7F43">
      <w:r>
        <w:t>selon les tableaux dans [NBN EN 1996-1-2 ANB].</w:t>
      </w:r>
    </w:p>
    <w:p w14:paraId="31ED2AE2" w14:textId="77777777" w:rsidR="00DF410E" w:rsidRDefault="00DF410E"/>
    <w:p w14:paraId="7292F3DE" w14:textId="77777777" w:rsidR="00DF410E" w:rsidRDefault="00CE7F43">
      <w:r>
        <w:t> </w:t>
      </w:r>
    </w:p>
    <w:p w14:paraId="0AA28EB4" w14:textId="77777777" w:rsidR="00DF410E" w:rsidRDefault="00CE7F43">
      <w:pPr>
        <w:pStyle w:val="pheading"/>
      </w:pPr>
      <w:r>
        <w:t>- Finitions</w:t>
      </w:r>
    </w:p>
    <w:p w14:paraId="19493708" w14:textId="77777777" w:rsidR="00DF410E" w:rsidRDefault="00DF410E"/>
    <w:p w14:paraId="28D0E4C1" w14:textId="77777777" w:rsidR="00DF410E" w:rsidRDefault="00CE7F43">
      <w:pPr>
        <w:pStyle w:val="Author-eListParagraph"/>
        <w:numPr>
          <w:ilvl w:val="0"/>
          <w:numId w:val="191"/>
        </w:numPr>
      </w:pPr>
      <w:r>
        <w:t xml:space="preserve">Les murs suivants sont exécutés avec deux faces restant apparentes : </w:t>
      </w:r>
      <w:r>
        <w:rPr>
          <w:rStyle w:val="optioncarChar"/>
        </w:rPr>
        <w:t>***</w:t>
      </w:r>
    </w:p>
    <w:p w14:paraId="70E49873" w14:textId="77777777" w:rsidR="00DF410E" w:rsidRDefault="00CE7F43">
      <w:pPr>
        <w:pStyle w:val="Author-eListParagraph"/>
        <w:numPr>
          <w:ilvl w:val="0"/>
          <w:numId w:val="191"/>
        </w:numPr>
      </w:pPr>
      <w:r>
        <w:t xml:space="preserve">Les murs suivants sont exécutés avec deux faces restant apparentes : </w:t>
      </w:r>
      <w:r>
        <w:rPr>
          <w:rStyle w:val="optioncarChar"/>
        </w:rPr>
        <w:t>***</w:t>
      </w:r>
    </w:p>
    <w:p w14:paraId="0CB979E7"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r>
        <w:br/>
      </w:r>
    </w:p>
    <w:p w14:paraId="42864BCA" w14:textId="77777777" w:rsidR="00DF410E" w:rsidRDefault="00CE7F43">
      <w:pPr>
        <w:pStyle w:val="pheading"/>
      </w:pPr>
      <w:r>
        <w:t>MESURAGE</w:t>
      </w:r>
    </w:p>
    <w:p w14:paraId="3516590E" w14:textId="77777777" w:rsidR="00DF410E" w:rsidRDefault="00CE7F43">
      <w:pPr>
        <w:pStyle w:val="pheading"/>
      </w:pPr>
      <w:r>
        <w:t>- unité de mesure:</w:t>
      </w:r>
    </w:p>
    <w:p w14:paraId="35632B4E" w14:textId="77777777" w:rsidR="00DF410E" w:rsidRDefault="00CE7F43">
      <w:r>
        <w:rPr>
          <w:rStyle w:val="optioncarChar"/>
        </w:rPr>
        <w:t>m³ </w:t>
      </w:r>
      <w:r>
        <w:t>(par défaut)</w:t>
      </w:r>
      <w:r>
        <w:rPr>
          <w:rStyle w:val="optioncarChar"/>
        </w:rPr>
        <w:t> / m²</w:t>
      </w:r>
    </w:p>
    <w:p w14:paraId="3881122C" w14:textId="77777777" w:rsidR="00DF410E" w:rsidRDefault="00CE7F43">
      <w:r>
        <w:rPr>
          <w:b/>
        </w:rPr>
        <w:t>(soit par défaut)</w:t>
      </w:r>
    </w:p>
    <w:p w14:paraId="4AA2FCB9" w14:textId="77777777" w:rsidR="00DF410E" w:rsidRDefault="00CE7F43">
      <w:r>
        <w:rPr>
          <w:rStyle w:val="soitChar"/>
        </w:rPr>
        <w:t>1. m³</w:t>
      </w:r>
    </w:p>
    <w:p w14:paraId="69C61DC5" w14:textId="77777777" w:rsidR="00DF410E" w:rsidRDefault="00CE7F43">
      <w:r>
        <w:rPr>
          <w:b/>
        </w:rPr>
        <w:t>(soit)</w:t>
      </w:r>
    </w:p>
    <w:p w14:paraId="7071033A" w14:textId="77777777" w:rsidR="00DF410E" w:rsidRDefault="00CE7F43">
      <w:r>
        <w:rPr>
          <w:rStyle w:val="soitChar"/>
        </w:rPr>
        <w:t>2. m²</w:t>
      </w:r>
    </w:p>
    <w:p w14:paraId="3A95C128" w14:textId="77777777" w:rsidR="00DF410E" w:rsidRDefault="00CE7F43">
      <w:pPr>
        <w:pStyle w:val="pheading"/>
      </w:pPr>
      <w:r>
        <w:t>- code de mesurage:</w:t>
      </w:r>
    </w:p>
    <w:p w14:paraId="1E1FE36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8632E39"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FF111B5"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E410DCA" w14:textId="77777777" w:rsidR="00DF410E" w:rsidRDefault="00CE7F43">
      <w:r>
        <w:rPr>
          <w:rStyle w:val="optioncarChar"/>
        </w:rPr>
        <w:t>Volume net </w:t>
      </w:r>
      <w:r>
        <w:t>(par défaut)</w:t>
      </w:r>
      <w:r>
        <w:rPr>
          <w:rStyle w:val="optioncarChar"/>
        </w:rPr>
        <w:t> / Surface nette</w:t>
      </w:r>
    </w:p>
    <w:p w14:paraId="20BAF1B3" w14:textId="77777777" w:rsidR="00DF410E" w:rsidRDefault="00CE7F43">
      <w:r>
        <w:rPr>
          <w:b/>
        </w:rPr>
        <w:t>(soit par défaut)</w:t>
      </w:r>
    </w:p>
    <w:p w14:paraId="3ED7287C"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F38E953" w14:textId="77777777" w:rsidR="00DF410E" w:rsidRDefault="00CE7F43">
      <w:r>
        <w:rPr>
          <w:b/>
        </w:rPr>
        <w:t>(soit)</w:t>
      </w:r>
    </w:p>
    <w:p w14:paraId="255BEB8C"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2681DE5" w14:textId="77777777" w:rsidR="00DF410E" w:rsidRDefault="00DF410E"/>
    <w:p w14:paraId="7F4FB154" w14:textId="77777777" w:rsidR="00DF410E" w:rsidRDefault="00CE7F43">
      <w:pPr>
        <w:pStyle w:val="pheading"/>
      </w:pPr>
      <w:r>
        <w:t>- nature du marché:</w:t>
      </w:r>
    </w:p>
    <w:p w14:paraId="2F52ED3C" w14:textId="77777777" w:rsidR="00DF410E" w:rsidRDefault="00CE7F43">
      <w:r>
        <w:t>QF</w:t>
      </w:r>
    </w:p>
    <w:p w14:paraId="1B63EB3E" w14:textId="77777777" w:rsidR="00DF410E" w:rsidRDefault="00CE7F43">
      <w:pPr>
        <w:pStyle w:val="Author-eSectionHeading6"/>
      </w:pPr>
      <w:bookmarkStart w:id="177" w:name="_Toc178837422"/>
      <w:r>
        <w:t>21.22.3d Maçonneries non portantes en blocs de silico-calcaire apparents à coller avec chanfreins CCTB 01.11</w:t>
      </w:r>
      <w:bookmarkEnd w:id="177"/>
    </w:p>
    <w:p w14:paraId="63447832" w14:textId="77777777" w:rsidR="00DF410E" w:rsidRDefault="00CE7F43">
      <w:pPr>
        <w:pStyle w:val="pheading"/>
      </w:pPr>
      <w:r>
        <w:t>DESCRIPTION</w:t>
      </w:r>
    </w:p>
    <w:p w14:paraId="54C40BBA" w14:textId="77777777" w:rsidR="00DF410E" w:rsidRDefault="00CE7F43">
      <w:pPr>
        <w:pStyle w:val="pheading"/>
      </w:pPr>
      <w:r>
        <w:t>- Définition / Comprend</w:t>
      </w:r>
    </w:p>
    <w:p w14:paraId="0002B830" w14:textId="77777777" w:rsidR="00DF410E" w:rsidRDefault="00CE7F43">
      <w:r>
        <w:t xml:space="preserve">Il s’agit de la fourniture et la pose de maçonneries non portantes en blocs de silico-calcaire apparents à coller avec chanfreins. </w:t>
      </w:r>
      <w:r>
        <w:br/>
        <w:t xml:space="preserve">La portée des travaux est décrite dans l’article </w:t>
      </w:r>
      <w:hyperlink w:anchor="388" w:history="1">
        <w:r>
          <w:t>21.22.3 Maçonneries non portantes en blocs de silico-calcaire</w:t>
        </w:r>
      </w:hyperlink>
      <w:r>
        <w:t>.</w:t>
      </w:r>
      <w:r>
        <w:br/>
        <w:t>Les travaux comprennent également la fourniture et la pose des pièces d’angle, de terminaison et de rencontre.</w:t>
      </w:r>
    </w:p>
    <w:p w14:paraId="0360C635" w14:textId="77777777" w:rsidR="00DF410E" w:rsidRDefault="00CE7F43">
      <w:pPr>
        <w:pStyle w:val="pheading"/>
      </w:pPr>
      <w:r>
        <w:t>- Localisation</w:t>
      </w:r>
    </w:p>
    <w:p w14:paraId="32A09EA5" w14:textId="77777777" w:rsidR="00DF410E" w:rsidRDefault="00CE7F43">
      <w:r>
        <w:t xml:space="preserve">La pose est réalisée aux endroits suivants : </w:t>
      </w:r>
      <w:r>
        <w:rPr>
          <w:rStyle w:val="optioncarChar"/>
        </w:rPr>
        <w:t>***</w:t>
      </w:r>
      <w:r>
        <w:t>.</w:t>
      </w:r>
      <w:r>
        <w:br/>
        <w:t>Voir plans et métrés détaillés.</w:t>
      </w:r>
    </w:p>
    <w:p w14:paraId="56F2FAE0" w14:textId="77777777" w:rsidR="00DF410E" w:rsidRDefault="00CE7F43">
      <w:pPr>
        <w:pStyle w:val="pheading"/>
      </w:pPr>
      <w:r>
        <w:t>MATÉRIAUX</w:t>
      </w:r>
    </w:p>
    <w:p w14:paraId="428F496D" w14:textId="77777777" w:rsidR="00DF410E" w:rsidRDefault="00CE7F43">
      <w:pPr>
        <w:pStyle w:val="pheading"/>
      </w:pPr>
      <w:r>
        <w:t>- Caractéristiques générales</w:t>
      </w:r>
    </w:p>
    <w:p w14:paraId="0E00C393" w14:textId="77777777" w:rsidR="00DF410E" w:rsidRDefault="00CE7F43">
      <w:r>
        <w:rPr>
          <w:rStyle w:val="headingChar"/>
        </w:rPr>
        <w:t>Spécifications</w:t>
      </w:r>
      <w:r>
        <w:br/>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w:t>
      </w:r>
      <w:r>
        <w:t> (par défaut)</w:t>
      </w:r>
      <w:r>
        <w:rPr>
          <w:rStyle w:val="optioncarChar"/>
        </w:rPr>
        <w:t xml:space="preserve">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avec chanfreins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4E5BA43C" w14:textId="77777777" w:rsidR="00DF410E" w:rsidRDefault="00CE7F43">
      <w:r>
        <w:t>Coefficient de transmission :</w:t>
      </w:r>
    </w:p>
    <w:p w14:paraId="2CB876BA" w14:textId="77777777" w:rsidR="00DF410E" w:rsidRDefault="00CE7F43">
      <w:pPr>
        <w:pStyle w:val="Author-eListParagraph"/>
        <w:numPr>
          <w:ilvl w:val="0"/>
          <w:numId w:val="192"/>
        </w:numPr>
      </w:pPr>
      <w:r>
        <w:t xml:space="preserve">valeur U minimale de </w:t>
      </w:r>
      <w:r>
        <w:rPr>
          <w:rStyle w:val="optioncarChar"/>
        </w:rPr>
        <w:t>***</w:t>
      </w:r>
      <w:r>
        <w:t xml:space="preserve"> W/m²K</w:t>
      </w:r>
    </w:p>
    <w:p w14:paraId="3BAF8ABF" w14:textId="77777777" w:rsidR="00DF410E" w:rsidRDefault="00CE7F43">
      <w:pPr>
        <w:pStyle w:val="Author-eListParagraph"/>
        <w:numPr>
          <w:ilvl w:val="0"/>
          <w:numId w:val="19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86A9EAC" w14:textId="77777777" w:rsidR="00DF410E" w:rsidRDefault="00CE7F43">
      <w:r>
        <w:br/>
        <w:t xml:space="preserve">Résistance au feu : </w:t>
      </w:r>
      <w:r>
        <w:rPr>
          <w:rStyle w:val="optioncarChar"/>
        </w:rPr>
        <w:t>EI30 </w:t>
      </w:r>
      <w:r>
        <w:t>(par défaut)</w:t>
      </w:r>
      <w:r>
        <w:rPr>
          <w:rStyle w:val="optioncarChar"/>
        </w:rPr>
        <w:t xml:space="preserve"> / EI60 / EI90 / EI120 / EI***</w:t>
      </w:r>
    </w:p>
    <w:p w14:paraId="0D560BCC" w14:textId="77777777" w:rsidR="00DF410E" w:rsidRDefault="00CE7F43">
      <w:r>
        <w:t>selon les tableaux dans [NBN EN 1996-1-2 ANB].</w:t>
      </w:r>
    </w:p>
    <w:p w14:paraId="390F4662" w14:textId="77777777" w:rsidR="00DF410E" w:rsidRDefault="00DF410E"/>
    <w:p w14:paraId="1A0BFD10" w14:textId="77777777" w:rsidR="00DF410E" w:rsidRDefault="00CE7F43">
      <w:r>
        <w:t> </w:t>
      </w:r>
    </w:p>
    <w:p w14:paraId="58F81206" w14:textId="77777777" w:rsidR="00DF410E" w:rsidRDefault="00CE7F43">
      <w:pPr>
        <w:pStyle w:val="pheading"/>
      </w:pPr>
      <w:r>
        <w:t>- Finitions</w:t>
      </w:r>
    </w:p>
    <w:p w14:paraId="3FD84766" w14:textId="77777777" w:rsidR="00DF410E" w:rsidRDefault="00DF410E"/>
    <w:p w14:paraId="6737D803" w14:textId="77777777" w:rsidR="00DF410E" w:rsidRDefault="00CE7F43">
      <w:pPr>
        <w:pStyle w:val="Author-eListParagraph"/>
        <w:numPr>
          <w:ilvl w:val="0"/>
          <w:numId w:val="193"/>
        </w:numPr>
      </w:pPr>
      <w:r>
        <w:t xml:space="preserve">Les murs suivants sont exécutés avec une face restant apparente : </w:t>
      </w:r>
      <w:r>
        <w:rPr>
          <w:rStyle w:val="optioncarChar"/>
        </w:rPr>
        <w:t>***</w:t>
      </w:r>
    </w:p>
    <w:p w14:paraId="6466E1A0" w14:textId="77777777" w:rsidR="00DF410E" w:rsidRDefault="00CE7F43">
      <w:pPr>
        <w:pStyle w:val="Author-eListParagraph"/>
        <w:numPr>
          <w:ilvl w:val="0"/>
          <w:numId w:val="193"/>
        </w:numPr>
      </w:pPr>
      <w:r>
        <w:t xml:space="preserve">Les murs suivants sont exécutés avec deux faces restant apparentes : </w:t>
      </w:r>
      <w:r>
        <w:rPr>
          <w:rStyle w:val="optioncarChar"/>
        </w:rPr>
        <w:t>***</w:t>
      </w:r>
    </w:p>
    <w:p w14:paraId="59EA9E9A"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18D34DDE" w14:textId="77777777" w:rsidR="00DF410E" w:rsidRDefault="00CE7F43">
      <w:pPr>
        <w:pStyle w:val="pheading"/>
      </w:pPr>
      <w:r>
        <w:t>MESURAGE</w:t>
      </w:r>
    </w:p>
    <w:p w14:paraId="7D5F01E8" w14:textId="77777777" w:rsidR="00DF410E" w:rsidRDefault="00CE7F43">
      <w:pPr>
        <w:pStyle w:val="pheading"/>
      </w:pPr>
      <w:r>
        <w:t>- unité de mesure:</w:t>
      </w:r>
    </w:p>
    <w:p w14:paraId="40D90D54" w14:textId="77777777" w:rsidR="00DF410E" w:rsidRDefault="00CE7F43">
      <w:r>
        <w:rPr>
          <w:rStyle w:val="optioncarChar"/>
        </w:rPr>
        <w:t>m³ </w:t>
      </w:r>
      <w:r>
        <w:t>(par défaut)</w:t>
      </w:r>
      <w:r>
        <w:rPr>
          <w:rStyle w:val="optioncarChar"/>
        </w:rPr>
        <w:t> / m²</w:t>
      </w:r>
    </w:p>
    <w:p w14:paraId="61E126A8" w14:textId="77777777" w:rsidR="00DF410E" w:rsidRDefault="00CE7F43">
      <w:r>
        <w:rPr>
          <w:b/>
        </w:rPr>
        <w:t>(soit par défaut)</w:t>
      </w:r>
    </w:p>
    <w:p w14:paraId="1594DE64" w14:textId="77777777" w:rsidR="00DF410E" w:rsidRDefault="00CE7F43">
      <w:r>
        <w:rPr>
          <w:rStyle w:val="soitChar"/>
        </w:rPr>
        <w:t>1. m³</w:t>
      </w:r>
    </w:p>
    <w:p w14:paraId="0B245043" w14:textId="77777777" w:rsidR="00DF410E" w:rsidRDefault="00CE7F43">
      <w:r>
        <w:rPr>
          <w:b/>
        </w:rPr>
        <w:t>(soit)</w:t>
      </w:r>
    </w:p>
    <w:p w14:paraId="0B27DB15" w14:textId="77777777" w:rsidR="00DF410E" w:rsidRDefault="00CE7F43">
      <w:r>
        <w:rPr>
          <w:rStyle w:val="soitChar"/>
        </w:rPr>
        <w:t>2. m²</w:t>
      </w:r>
    </w:p>
    <w:p w14:paraId="130C65B6" w14:textId="77777777" w:rsidR="00DF410E" w:rsidRDefault="00CE7F43">
      <w:pPr>
        <w:pStyle w:val="pheading"/>
      </w:pPr>
      <w:r>
        <w:t>- code de mesurage:</w:t>
      </w:r>
    </w:p>
    <w:p w14:paraId="5DA6A99E"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DC5FC92"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F7755A4"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01D3DEE" w14:textId="77777777" w:rsidR="00DF410E" w:rsidRDefault="00CE7F43">
      <w:r>
        <w:rPr>
          <w:rStyle w:val="optioncarChar"/>
        </w:rPr>
        <w:t>Volume net </w:t>
      </w:r>
      <w:r>
        <w:t>(par défaut)</w:t>
      </w:r>
      <w:r>
        <w:rPr>
          <w:rStyle w:val="optioncarChar"/>
        </w:rPr>
        <w:t> / Surface nette</w:t>
      </w:r>
    </w:p>
    <w:p w14:paraId="2CDDCCFF" w14:textId="77777777" w:rsidR="00DF410E" w:rsidRDefault="00CE7F43">
      <w:r>
        <w:rPr>
          <w:b/>
        </w:rPr>
        <w:t>(soit par défaut)</w:t>
      </w:r>
    </w:p>
    <w:p w14:paraId="540E1E17"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CA52ED3" w14:textId="77777777" w:rsidR="00DF410E" w:rsidRDefault="00CE7F43">
      <w:r>
        <w:rPr>
          <w:b/>
        </w:rPr>
        <w:t>(soit)</w:t>
      </w:r>
    </w:p>
    <w:p w14:paraId="28021FA8"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485430D" w14:textId="77777777" w:rsidR="00DF410E" w:rsidRDefault="00DF410E"/>
    <w:p w14:paraId="376A2D74" w14:textId="77777777" w:rsidR="00DF410E" w:rsidRDefault="00CE7F43">
      <w:r>
        <w:t> </w:t>
      </w:r>
    </w:p>
    <w:p w14:paraId="7F5E8BFC" w14:textId="77777777" w:rsidR="00DF410E" w:rsidRDefault="00CE7F43">
      <w:pPr>
        <w:pStyle w:val="pheading"/>
      </w:pPr>
      <w:r>
        <w:t>- nature du marché:</w:t>
      </w:r>
    </w:p>
    <w:p w14:paraId="692D425F" w14:textId="77777777" w:rsidR="00DF410E" w:rsidRDefault="00CE7F43">
      <w:r>
        <w:t>QF</w:t>
      </w:r>
    </w:p>
    <w:p w14:paraId="08583239" w14:textId="77777777" w:rsidR="00DF410E" w:rsidRDefault="00CE7F43">
      <w:pPr>
        <w:pStyle w:val="Author-eSectionHeading5"/>
      </w:pPr>
      <w:bookmarkStart w:id="178" w:name="_Toc178837423"/>
      <w:r>
        <w:t>21.22.4 Maçonneries non portantes en blocs de béton d'argile expansée CCTB 01.11</w:t>
      </w:r>
      <w:bookmarkEnd w:id="178"/>
    </w:p>
    <w:p w14:paraId="3A8B63EA" w14:textId="77777777" w:rsidR="00DF410E" w:rsidRDefault="00CE7F43">
      <w:pPr>
        <w:pStyle w:val="pheading"/>
      </w:pPr>
      <w:bookmarkStart w:id="179" w:name="389"/>
      <w:bookmarkEnd w:id="179"/>
      <w:r>
        <w:t>MATÉRIAUX</w:t>
      </w:r>
    </w:p>
    <w:p w14:paraId="1084CC1F" w14:textId="77777777" w:rsidR="00DF410E" w:rsidRDefault="00CE7F43">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51977902" w14:textId="77777777" w:rsidR="00DF410E" w:rsidRDefault="00CE7F43">
      <w:pPr>
        <w:pStyle w:val="pheading"/>
      </w:pPr>
      <w:r>
        <w:t>EXÉCUTION / MISE EN ŒUVRE</w:t>
      </w:r>
    </w:p>
    <w:p w14:paraId="3B0A20F6" w14:textId="77777777" w:rsidR="00DF410E" w:rsidRDefault="00CE7F43">
      <w:r>
        <w:rPr>
          <w:u w:val="single"/>
        </w:rPr>
        <w:t>-Prescriptions générales</w:t>
      </w:r>
    </w:p>
    <w:p w14:paraId="0E9F520A" w14:textId="77777777" w:rsidR="00DF410E" w:rsidRDefault="00CE7F43">
      <w:r>
        <w:t>Conformément au mode de mise en œuvre, les blocs en béton sont maçonnés au mortier / collés à l’aide d’un mortier-colle selon les indications du fabricant des blocs / du fabricant de mortier et des notes de calcul du bureau d’études.</w:t>
      </w:r>
    </w:p>
    <w:p w14:paraId="111B06DA" w14:textId="77777777" w:rsidR="00DF410E" w:rsidRDefault="00CE7F43">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54E29C08" w14:textId="77777777" w:rsidR="00DF410E" w:rsidRDefault="00CE7F43">
      <w:r>
        <w:t xml:space="preserve">L'épaisseur des joints est d'au moins </w:t>
      </w:r>
      <w:r>
        <w:rPr>
          <w:rStyle w:val="optioncarChar"/>
        </w:rPr>
        <w:t>10 </w:t>
      </w:r>
      <w:r>
        <w:t xml:space="preserve">(par défaut) </w:t>
      </w:r>
      <w:r>
        <w:rPr>
          <w:rStyle w:val="optioncarChar"/>
        </w:rPr>
        <w:t>/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1488B9A6" w14:textId="77777777" w:rsidR="00DF410E" w:rsidRDefault="00CE7F43">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r>
        <w:t>.</w:t>
      </w:r>
      <w:r>
        <w:br/>
      </w:r>
      <w:r>
        <w:br/>
      </w:r>
      <w:r>
        <w:rPr>
          <w:u w:val="single"/>
        </w:rPr>
        <w:t>-Notes d'exécution complémentaires</w:t>
      </w:r>
    </w:p>
    <w:p w14:paraId="5C46C781" w14:textId="77777777" w:rsidR="00DF410E" w:rsidRDefault="00CE7F43">
      <w:r>
        <w:t>Pour les maçonneries destinées à rester apparentes, seules des blocs non endommagés sont utilisés.</w:t>
      </w:r>
    </w:p>
    <w:p w14:paraId="22609487"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6E2ED1C3" w14:textId="77777777" w:rsidR="00DF410E" w:rsidRDefault="00CE7F43">
      <w:r>
        <w:t xml:space="preserve">Les segments de murs sont pourvus d'armatures verticales selon l'article </w:t>
      </w:r>
      <w:hyperlink w:anchor="356" w:history="1">
        <w:r>
          <w:t>21.41.2 Armatures verticales pour maçonneries</w:t>
        </w:r>
      </w:hyperlink>
      <w:r>
        <w:t>.</w:t>
      </w:r>
    </w:p>
    <w:p w14:paraId="15321410"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3D3864C8" w14:textId="77777777" w:rsidR="00DF410E" w:rsidRDefault="00CE7F43">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377F249F" w14:textId="77777777" w:rsidR="00DF410E" w:rsidRDefault="00CE7F43">
      <w:r>
        <w:t xml:space="preserve">Linteaux : </w:t>
      </w:r>
      <w:r>
        <w:rPr>
          <w:rStyle w:val="optioncarChar"/>
        </w:rPr>
        <w:t>***</w:t>
      </w:r>
      <w:r>
        <w:t xml:space="preserve"> conformément à l’article </w:t>
      </w:r>
      <w:hyperlink w:anchor="358" w:history="1">
        <w:r>
          <w:t>22.13 Linteaux en béton</w:t>
        </w:r>
      </w:hyperlink>
      <w:r>
        <w:t>.</w:t>
      </w:r>
    </w:p>
    <w:p w14:paraId="23ACCB0B" w14:textId="77777777" w:rsidR="00DF410E" w:rsidRDefault="00DF410E"/>
    <w:p w14:paraId="36F63253" w14:textId="77777777" w:rsidR="00DF410E" w:rsidRDefault="00CE7F43">
      <w:r>
        <w:t> </w:t>
      </w:r>
    </w:p>
    <w:p w14:paraId="1DF55F04" w14:textId="77777777" w:rsidR="00DF410E" w:rsidRDefault="00CE7F43">
      <w:pPr>
        <w:pStyle w:val="pheading"/>
      </w:pPr>
      <w:r>
        <w:t>AIDE</w:t>
      </w:r>
    </w:p>
    <w:p w14:paraId="694ACD28" w14:textId="77777777" w:rsidR="00DF410E" w:rsidRDefault="00CE7F43">
      <w:r>
        <w:t>Note à l'attention de l'auteur du projet : pour le choix adéquat du mortier, se référer à la [STS 22 série].</w:t>
      </w:r>
    </w:p>
    <w:p w14:paraId="75AD53EA" w14:textId="77777777" w:rsidR="00DF410E" w:rsidRDefault="00CE7F43">
      <w:pPr>
        <w:pStyle w:val="Author-eSectionHeading6"/>
      </w:pPr>
      <w:bookmarkStart w:id="180" w:name="_Toc178837424"/>
      <w:r>
        <w:t>21.22.4a Maçonneries non portantes en blocs de béton d'argile expansée pleins à maçonner CCTB 01.12</w:t>
      </w:r>
      <w:bookmarkEnd w:id="180"/>
    </w:p>
    <w:p w14:paraId="157936CA" w14:textId="77777777" w:rsidR="00DF410E" w:rsidRDefault="00CE7F43">
      <w:pPr>
        <w:pStyle w:val="pheading"/>
      </w:pPr>
      <w:r>
        <w:t>DESCRIPTION</w:t>
      </w:r>
    </w:p>
    <w:p w14:paraId="6637A3BF" w14:textId="77777777" w:rsidR="00DF410E" w:rsidRDefault="00CE7F43">
      <w:pPr>
        <w:pStyle w:val="pheading"/>
      </w:pPr>
      <w:r>
        <w:t>- Définition / Comprend</w:t>
      </w:r>
    </w:p>
    <w:p w14:paraId="7F91B159" w14:textId="77777777" w:rsidR="00DF410E" w:rsidRDefault="00CE7F43">
      <w:r>
        <w:t xml:space="preserve">Il s’agit de la fourniture et la pose de maçonneries non portantes en blocs de béton d’argile expansée pleins à maçonner. </w:t>
      </w:r>
      <w:r>
        <w:br/>
        <w:t xml:space="preserve">La portée des travaux est décrite dans l’article </w:t>
      </w:r>
      <w:hyperlink w:anchor="389" w:history="1">
        <w:r>
          <w:t>21.22.4 Maçonneries non portantes en blocs de béton d'argile expansée</w:t>
        </w:r>
      </w:hyperlink>
      <w:r>
        <w:t>.</w:t>
      </w:r>
      <w:r>
        <w:br/>
        <w:t>Les travaux comprennent également la fourniture et la pose des pièces d’angle, de terminaison et de rencontre.</w:t>
      </w:r>
    </w:p>
    <w:p w14:paraId="134D90CE" w14:textId="77777777" w:rsidR="00DF410E" w:rsidRDefault="00CE7F43">
      <w:pPr>
        <w:pStyle w:val="pheading"/>
      </w:pPr>
      <w:r>
        <w:t>- Localisation</w:t>
      </w:r>
    </w:p>
    <w:p w14:paraId="21B8F0DA" w14:textId="77777777" w:rsidR="00DF410E" w:rsidRDefault="00CE7F43">
      <w:r>
        <w:t xml:space="preserve">La pose est réalisée aux endroits suivants : </w:t>
      </w:r>
      <w:r>
        <w:rPr>
          <w:rStyle w:val="optioncarChar"/>
        </w:rPr>
        <w:t>***</w:t>
      </w:r>
      <w:r>
        <w:t>.</w:t>
      </w:r>
      <w:r>
        <w:br/>
        <w:t>Voir plans et métrés détaillés.</w:t>
      </w:r>
    </w:p>
    <w:p w14:paraId="4EFC8FA5" w14:textId="77777777" w:rsidR="00DF410E" w:rsidRDefault="00CE7F43">
      <w:pPr>
        <w:pStyle w:val="pheading"/>
      </w:pPr>
      <w:r>
        <w:t>MATÉRIAUX</w:t>
      </w:r>
    </w:p>
    <w:p w14:paraId="4A1F8C7A" w14:textId="77777777" w:rsidR="00DF410E" w:rsidRDefault="00CE7F43">
      <w:pPr>
        <w:pStyle w:val="pheading"/>
      </w:pPr>
      <w:r>
        <w:t>- Caractéristiques générales</w:t>
      </w:r>
    </w:p>
    <w:p w14:paraId="375CEE80" w14:textId="77777777" w:rsidR="00DF410E" w:rsidRDefault="00CE7F43">
      <w:r>
        <w:rPr>
          <w:rStyle w:val="headingChar"/>
        </w:rPr>
        <w:t>Spécifications</w:t>
      </w:r>
    </w:p>
    <w:p w14:paraId="03367799" w14:textId="77777777" w:rsidR="00DF410E" w:rsidRDefault="00CE7F43">
      <w:r>
        <w:rPr>
          <w:u w:val="single"/>
        </w:rPr>
        <w:t>Blocs</w:t>
      </w:r>
    </w:p>
    <w:p w14:paraId="5B96ECEA"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480BC006" w14:textId="77777777" w:rsidR="00DF410E" w:rsidRDefault="00CE7F43">
      <w:r>
        <w:t xml:space="preserve">Le groupe de configuration suivant [PTV 21-001]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5D2900F"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79ED35CF" w14:textId="77777777" w:rsidR="00DF410E" w:rsidRDefault="00CE7F43">
      <w:pPr>
        <w:spacing w:before="0" w:after="0"/>
      </w:pPr>
      <w:r>
        <w:rPr>
          <w:u w:val="single"/>
        </w:rPr>
        <w:t>Mortier</w:t>
      </w:r>
    </w:p>
    <w:p w14:paraId="1C364667" w14:textId="77777777" w:rsidR="00DF410E" w:rsidRDefault="00CE7F43">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6937AF2A" w14:textId="77777777" w:rsidR="00DF410E" w:rsidRDefault="00CE7F43">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1847BE9E" w14:textId="77777777" w:rsidR="00DF410E" w:rsidRDefault="00CE7F43">
      <w:pPr>
        <w:spacing w:before="0" w:after="0"/>
      </w:pPr>
      <w:r>
        <w:rPr>
          <w:rStyle w:val="normalChar"/>
          <w:color w:val="000000"/>
        </w:rPr>
        <w:t>Résistance au gel : oui</w:t>
      </w:r>
    </w:p>
    <w:p w14:paraId="13687D81" w14:textId="77777777" w:rsidR="00DF410E" w:rsidRDefault="00CE7F43">
      <w:r>
        <w:br/>
      </w:r>
      <w:r>
        <w:rPr>
          <w:rStyle w:val="headingChar"/>
        </w:rPr>
        <w:t>Critères De Performances De La Paroi</w:t>
      </w:r>
    </w:p>
    <w:p w14:paraId="2AA389FE" w14:textId="77777777" w:rsidR="00DF410E" w:rsidRDefault="00CE7F43">
      <w:r>
        <w:t>Coefficient de transmission :</w:t>
      </w:r>
    </w:p>
    <w:p w14:paraId="5EF19DBA" w14:textId="77777777" w:rsidR="00DF410E" w:rsidRDefault="00CE7F43">
      <w:pPr>
        <w:pStyle w:val="Author-eListParagraph"/>
        <w:numPr>
          <w:ilvl w:val="0"/>
          <w:numId w:val="194"/>
        </w:numPr>
      </w:pPr>
      <w:r>
        <w:t xml:space="preserve">valeur U minimale de </w:t>
      </w:r>
      <w:r>
        <w:rPr>
          <w:rStyle w:val="optioncarChar"/>
        </w:rPr>
        <w:t>***</w:t>
      </w:r>
      <w:r>
        <w:t xml:space="preserve"> W/m²K</w:t>
      </w:r>
    </w:p>
    <w:p w14:paraId="763CDB35" w14:textId="77777777" w:rsidR="00DF410E" w:rsidRDefault="00CE7F43">
      <w:pPr>
        <w:pStyle w:val="Author-eListParagraph"/>
        <w:numPr>
          <w:ilvl w:val="0"/>
          <w:numId w:val="19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7B27D03" w14:textId="77777777" w:rsidR="00DF410E" w:rsidRDefault="00CE7F43">
      <w:r>
        <w:br/>
        <w:t xml:space="preserve">Résistance au feu : </w:t>
      </w:r>
      <w:r>
        <w:rPr>
          <w:rStyle w:val="optioncarChar"/>
        </w:rPr>
        <w:t>EI30</w:t>
      </w:r>
      <w:r>
        <w:t> (par défaut)</w:t>
      </w:r>
      <w:r>
        <w:rPr>
          <w:rStyle w:val="optioncarChar"/>
        </w:rPr>
        <w:t xml:space="preserve"> / EI60/ EI90 / EI120 / EI***</w:t>
      </w:r>
    </w:p>
    <w:p w14:paraId="3572A033" w14:textId="77777777" w:rsidR="00DF410E" w:rsidRDefault="00CE7F43">
      <w:r>
        <w:t>selon les tableaux dans [NBN EN 1996-1-2 ANB].</w:t>
      </w:r>
    </w:p>
    <w:p w14:paraId="0978A2A4" w14:textId="77777777" w:rsidR="00DF410E" w:rsidRDefault="00CE7F43">
      <w:pPr>
        <w:pStyle w:val="pheading"/>
      </w:pPr>
      <w:r>
        <w:t>- Finitions</w:t>
      </w:r>
    </w:p>
    <w:p w14:paraId="74042672" w14:textId="77777777" w:rsidR="00DF410E" w:rsidRDefault="00DF410E"/>
    <w:p w14:paraId="5E43DE72" w14:textId="77777777" w:rsidR="00DF410E" w:rsidRDefault="00CE7F43">
      <w:pPr>
        <w:pStyle w:val="Author-eListParagraph"/>
        <w:numPr>
          <w:ilvl w:val="0"/>
          <w:numId w:val="195"/>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p>
    <w:p w14:paraId="6CB99F24" w14:textId="77777777" w:rsidR="00DF410E" w:rsidRDefault="00CE7F43">
      <w:pPr>
        <w:pStyle w:val="Author-eListParagraph"/>
        <w:numPr>
          <w:ilvl w:val="0"/>
          <w:numId w:val="195"/>
        </w:numPr>
      </w:pPr>
      <w:r>
        <w:t xml:space="preserve">Les murs suivants sont exécutés avec une face restant apparente : </w:t>
      </w:r>
      <w:r>
        <w:rPr>
          <w:rStyle w:val="optioncarChar"/>
        </w:rPr>
        <w:t>***</w:t>
      </w:r>
    </w:p>
    <w:p w14:paraId="281B1F37" w14:textId="77777777" w:rsidR="00DF410E" w:rsidRDefault="00CE7F43">
      <w:pPr>
        <w:pStyle w:val="Author-eListParagraph"/>
        <w:numPr>
          <w:ilvl w:val="0"/>
          <w:numId w:val="195"/>
        </w:numPr>
      </w:pPr>
      <w:r>
        <w:t xml:space="preserve">Les murs suivants sont exécutés avec deux faces restant apparentes : </w:t>
      </w:r>
      <w:r>
        <w:rPr>
          <w:rStyle w:val="optioncarChar"/>
        </w:rPr>
        <w:t>***</w:t>
      </w:r>
    </w:p>
    <w:p w14:paraId="338953A1" w14:textId="77777777" w:rsidR="00DF410E" w:rsidRDefault="00CE7F43">
      <w:pPr>
        <w:pStyle w:val="pheading"/>
      </w:pPr>
      <w:r>
        <w:t>MESURAGE</w:t>
      </w:r>
    </w:p>
    <w:p w14:paraId="365A0861" w14:textId="77777777" w:rsidR="00DF410E" w:rsidRDefault="00CE7F43">
      <w:pPr>
        <w:pStyle w:val="pheading"/>
      </w:pPr>
      <w:r>
        <w:t>- unité de mesure:</w:t>
      </w:r>
    </w:p>
    <w:p w14:paraId="37003041" w14:textId="77777777" w:rsidR="00DF410E" w:rsidRDefault="00CE7F43">
      <w:r>
        <w:rPr>
          <w:rStyle w:val="optioncarChar"/>
        </w:rPr>
        <w:t>m³ </w:t>
      </w:r>
      <w:r>
        <w:t>(par défaut)</w:t>
      </w:r>
      <w:r>
        <w:rPr>
          <w:rStyle w:val="optioncarChar"/>
        </w:rPr>
        <w:t> / m²</w:t>
      </w:r>
    </w:p>
    <w:p w14:paraId="1D47FE3D" w14:textId="77777777" w:rsidR="00DF410E" w:rsidRDefault="00CE7F43">
      <w:r>
        <w:rPr>
          <w:b/>
        </w:rPr>
        <w:t>(soit par défaut)</w:t>
      </w:r>
    </w:p>
    <w:p w14:paraId="6DF12EB8" w14:textId="77777777" w:rsidR="00DF410E" w:rsidRDefault="00CE7F43">
      <w:r>
        <w:rPr>
          <w:rStyle w:val="soitChar"/>
        </w:rPr>
        <w:t>1. m³</w:t>
      </w:r>
    </w:p>
    <w:p w14:paraId="589A2A66" w14:textId="77777777" w:rsidR="00DF410E" w:rsidRDefault="00CE7F43">
      <w:r>
        <w:rPr>
          <w:b/>
        </w:rPr>
        <w:t>(soit)</w:t>
      </w:r>
    </w:p>
    <w:p w14:paraId="2D597814" w14:textId="77777777" w:rsidR="00DF410E" w:rsidRDefault="00CE7F43">
      <w:r>
        <w:rPr>
          <w:rStyle w:val="soitChar"/>
        </w:rPr>
        <w:t>2. m²</w:t>
      </w:r>
    </w:p>
    <w:p w14:paraId="5C6055C1" w14:textId="77777777" w:rsidR="00DF410E" w:rsidRDefault="00CE7F43">
      <w:pPr>
        <w:pStyle w:val="pheading"/>
      </w:pPr>
      <w:r>
        <w:t>- code de mesurage:</w:t>
      </w:r>
    </w:p>
    <w:p w14:paraId="76C6B9AE"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0CE4FF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5DF2F1E"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1E1F710F" w14:textId="77777777" w:rsidR="00DF410E" w:rsidRDefault="00CE7F43">
      <w:r>
        <w:rPr>
          <w:rStyle w:val="optioncarChar"/>
        </w:rPr>
        <w:t>Volume net </w:t>
      </w:r>
      <w:r>
        <w:t>(par défaut)</w:t>
      </w:r>
      <w:r>
        <w:rPr>
          <w:rStyle w:val="optioncarChar"/>
        </w:rPr>
        <w:t> / Surface nette</w:t>
      </w:r>
    </w:p>
    <w:p w14:paraId="37411A27" w14:textId="77777777" w:rsidR="00DF410E" w:rsidRDefault="00CE7F43">
      <w:r>
        <w:rPr>
          <w:b/>
        </w:rPr>
        <w:t>(soit par défaut)</w:t>
      </w:r>
    </w:p>
    <w:p w14:paraId="57950B81"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BE73CB1" w14:textId="77777777" w:rsidR="00DF410E" w:rsidRDefault="00CE7F43">
      <w:r>
        <w:rPr>
          <w:b/>
        </w:rPr>
        <w:t>(soit)</w:t>
      </w:r>
    </w:p>
    <w:p w14:paraId="41100A33"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F640D56" w14:textId="77777777" w:rsidR="00DF410E" w:rsidRDefault="00DF410E"/>
    <w:p w14:paraId="5C6068AB" w14:textId="77777777" w:rsidR="00DF410E" w:rsidRDefault="00DF410E"/>
    <w:p w14:paraId="799C4C72" w14:textId="77777777" w:rsidR="00DF410E" w:rsidRDefault="00CE7F43">
      <w:r>
        <w:t> </w:t>
      </w:r>
    </w:p>
    <w:p w14:paraId="7C2DB9EE" w14:textId="77777777" w:rsidR="00DF410E" w:rsidRDefault="00CE7F43">
      <w:pPr>
        <w:pStyle w:val="pheading"/>
      </w:pPr>
      <w:r>
        <w:t>- nature du marché:</w:t>
      </w:r>
    </w:p>
    <w:p w14:paraId="0142DDDE" w14:textId="77777777" w:rsidR="00DF410E" w:rsidRDefault="00CE7F43">
      <w:r>
        <w:t>QF</w:t>
      </w:r>
    </w:p>
    <w:p w14:paraId="7D46519B" w14:textId="77777777" w:rsidR="00DF410E" w:rsidRDefault="00CE7F43">
      <w:pPr>
        <w:pStyle w:val="Author-eSectionHeading6"/>
      </w:pPr>
      <w:bookmarkStart w:id="181" w:name="_Toc178837425"/>
      <w:r>
        <w:t>21.22.4b Maçonneries non portantes en blocs de béton d'argile expansée pleins à coller CCTB 01.12</w:t>
      </w:r>
      <w:bookmarkEnd w:id="181"/>
    </w:p>
    <w:p w14:paraId="0DB59DDA" w14:textId="77777777" w:rsidR="00DF410E" w:rsidRDefault="00CE7F43">
      <w:pPr>
        <w:pStyle w:val="pheading"/>
      </w:pPr>
      <w:r>
        <w:t>DESCRIPTION</w:t>
      </w:r>
    </w:p>
    <w:p w14:paraId="0B755A7D" w14:textId="77777777" w:rsidR="00DF410E" w:rsidRDefault="00CE7F43">
      <w:pPr>
        <w:pStyle w:val="pheading"/>
      </w:pPr>
      <w:r>
        <w:t>- Définition / Comprend</w:t>
      </w:r>
    </w:p>
    <w:p w14:paraId="301D19EB" w14:textId="77777777" w:rsidR="00DF410E" w:rsidRDefault="00CE7F43">
      <w:r>
        <w:t xml:space="preserve">Il s’agit de la fourniture et la pose de maçonneries non portantes en blocs de béton d’argile expansée pleins à coller. </w:t>
      </w:r>
      <w:r>
        <w:br/>
        <w:t xml:space="preserve">La portée des travaux est décrite dans l’article </w:t>
      </w:r>
      <w:hyperlink w:anchor="389" w:history="1">
        <w:r>
          <w:t>21.22.4 Maçonneries non portantes en blocs de béton d'argile expansée</w:t>
        </w:r>
      </w:hyperlink>
      <w:r>
        <w:t>.</w:t>
      </w:r>
      <w:r>
        <w:br/>
        <w:t>Les travaux comprennent également la fourniture et la pose des pièces d’angle, de terminaison et de rencontre.</w:t>
      </w:r>
    </w:p>
    <w:p w14:paraId="67782229" w14:textId="77777777" w:rsidR="00DF410E" w:rsidRDefault="00CE7F43">
      <w:pPr>
        <w:pStyle w:val="pheading"/>
      </w:pPr>
      <w:r>
        <w:t>- Localisation</w:t>
      </w:r>
    </w:p>
    <w:p w14:paraId="06C37E47" w14:textId="77777777" w:rsidR="00DF410E" w:rsidRDefault="00CE7F43">
      <w:r>
        <w:t xml:space="preserve">La pose est réalisée aux endroits suivants : </w:t>
      </w:r>
      <w:r>
        <w:rPr>
          <w:rStyle w:val="optioncarChar"/>
        </w:rPr>
        <w:t>***</w:t>
      </w:r>
      <w:r>
        <w:t>.</w:t>
      </w:r>
      <w:r>
        <w:br/>
        <w:t>Voir plans et métrés détaillés.</w:t>
      </w:r>
    </w:p>
    <w:p w14:paraId="14D0152E" w14:textId="77777777" w:rsidR="00DF410E" w:rsidRDefault="00CE7F43">
      <w:pPr>
        <w:pStyle w:val="pheading"/>
      </w:pPr>
      <w:r>
        <w:t>MATÉRIAUX</w:t>
      </w:r>
    </w:p>
    <w:p w14:paraId="0DC93FB5" w14:textId="77777777" w:rsidR="00DF410E" w:rsidRDefault="00CE7F43">
      <w:pPr>
        <w:pStyle w:val="pheading"/>
      </w:pPr>
      <w:r>
        <w:t>- Caractéristiques générales</w:t>
      </w:r>
    </w:p>
    <w:p w14:paraId="7C9DCCDB" w14:textId="77777777" w:rsidR="00DF410E" w:rsidRDefault="00CE7F43">
      <w:r>
        <w:rPr>
          <w:rStyle w:val="headingChar"/>
        </w:rPr>
        <w:t>Spécifications</w:t>
      </w:r>
    </w:p>
    <w:p w14:paraId="4CC8E00C" w14:textId="77777777" w:rsidR="00DF410E" w:rsidRDefault="00CE7F43">
      <w:r>
        <w:rPr>
          <w:u w:val="single"/>
        </w:rPr>
        <w:t>Blocs</w:t>
      </w:r>
    </w:p>
    <w:p w14:paraId="51481B2D"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56477FFD" w14:textId="77777777" w:rsidR="00DF410E" w:rsidRDefault="00CE7F43">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w:t>
      </w:r>
      <w:r>
        <w:t xml:space="preserve"> (</w:t>
      </w:r>
      <w:r>
        <w:rPr>
          <w:rStyle w:val="optioncarChar"/>
        </w:rPr>
        <w:t>290 / 300 / *** </w:t>
      </w:r>
      <w:r>
        <w:t>x</w:t>
      </w:r>
      <w:r>
        <w:rPr>
          <w:rStyle w:val="optioncarChar"/>
        </w:rPr>
        <w:t> 140 / 150 / 190 / 200 / ***</w:t>
      </w:r>
      <w:r>
        <w:t> x</w:t>
      </w:r>
      <w:r>
        <w:rPr>
          <w:rStyle w:val="optioncarChar"/>
        </w:rPr>
        <w:t> 140 / 150 / 190 / 200 / ***</w:t>
      </w:r>
      <w:r>
        <w:t> ) mm</w:t>
      </w:r>
    </w:p>
    <w:p w14:paraId="1005E34E"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4CEDEB5F" w14:textId="77777777" w:rsidR="00DF410E" w:rsidRDefault="00CE7F43">
      <w:pPr>
        <w:spacing w:before="0" w:after="0"/>
      </w:pPr>
      <w:r>
        <w:rPr>
          <w:u w:val="single"/>
        </w:rPr>
        <w:t>Mortier</w:t>
      </w:r>
    </w:p>
    <w:p w14:paraId="5E6B72A7"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5B1A5406"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1C163E7A" w14:textId="77777777" w:rsidR="00DF410E" w:rsidRDefault="00CE7F43">
      <w:pPr>
        <w:spacing w:before="0" w:after="0"/>
      </w:pPr>
      <w:r>
        <w:rPr>
          <w:rStyle w:val="normalChar"/>
          <w:color w:val="000000"/>
        </w:rPr>
        <w:t>Résistance au gel : oui</w:t>
      </w:r>
    </w:p>
    <w:p w14:paraId="1C678F10" w14:textId="77777777" w:rsidR="00DF410E" w:rsidRDefault="00CE7F43">
      <w:r>
        <w:br/>
      </w:r>
      <w:r>
        <w:rPr>
          <w:rStyle w:val="headingChar"/>
        </w:rPr>
        <w:t>Critères De Performances De La Paroi</w:t>
      </w:r>
    </w:p>
    <w:p w14:paraId="4BE809E4" w14:textId="77777777" w:rsidR="00DF410E" w:rsidRDefault="00CE7F43">
      <w:r>
        <w:t>Coefficient de transmission :</w:t>
      </w:r>
    </w:p>
    <w:p w14:paraId="1FD048B2" w14:textId="77777777" w:rsidR="00DF410E" w:rsidRDefault="00CE7F43">
      <w:pPr>
        <w:pStyle w:val="Author-eListParagraph"/>
        <w:numPr>
          <w:ilvl w:val="0"/>
          <w:numId w:val="196"/>
        </w:numPr>
      </w:pPr>
      <w:r>
        <w:t xml:space="preserve">valeur U minimale de </w:t>
      </w:r>
      <w:r>
        <w:rPr>
          <w:rStyle w:val="optioncarChar"/>
        </w:rPr>
        <w:t>***</w:t>
      </w:r>
      <w:r>
        <w:t xml:space="preserve"> W/m²K</w:t>
      </w:r>
    </w:p>
    <w:p w14:paraId="1481987A" w14:textId="77777777" w:rsidR="00DF410E" w:rsidRDefault="00CE7F43">
      <w:pPr>
        <w:pStyle w:val="Author-eListParagraph"/>
        <w:numPr>
          <w:ilvl w:val="0"/>
          <w:numId w:val="19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AC3428E" w14:textId="77777777" w:rsidR="00DF410E" w:rsidRDefault="00CE7F43">
      <w:r>
        <w:br/>
        <w:t xml:space="preserve">Résistance au feu : </w:t>
      </w:r>
      <w:r>
        <w:rPr>
          <w:rStyle w:val="optioncarChar"/>
        </w:rPr>
        <w:t>EI30</w:t>
      </w:r>
      <w:r>
        <w:t xml:space="preserve"> (par défaut) </w:t>
      </w:r>
      <w:r>
        <w:rPr>
          <w:rStyle w:val="optioncarChar"/>
        </w:rPr>
        <w:t>/ EI60 / EI90 / EI120 / EI***</w:t>
      </w:r>
    </w:p>
    <w:p w14:paraId="3FDD314E" w14:textId="77777777" w:rsidR="00DF410E" w:rsidRDefault="00CE7F43">
      <w:r>
        <w:t>selon les tableaux dans [NBN EN 1996-1-2 ANB].</w:t>
      </w:r>
    </w:p>
    <w:p w14:paraId="23B95082" w14:textId="77777777" w:rsidR="00DF410E" w:rsidRDefault="00DF410E"/>
    <w:p w14:paraId="17525688" w14:textId="77777777" w:rsidR="00DF410E" w:rsidRDefault="00CE7F43">
      <w:r>
        <w:t> </w:t>
      </w:r>
    </w:p>
    <w:p w14:paraId="4CCE67F0" w14:textId="77777777" w:rsidR="00DF410E" w:rsidRDefault="00CE7F43">
      <w:pPr>
        <w:pStyle w:val="pheading"/>
      </w:pPr>
      <w:r>
        <w:t>- Finitions</w:t>
      </w:r>
    </w:p>
    <w:p w14:paraId="2576356F" w14:textId="77777777" w:rsidR="00DF410E" w:rsidRDefault="00DF410E"/>
    <w:p w14:paraId="42ECB598" w14:textId="77777777" w:rsidR="00DF410E" w:rsidRDefault="00CE7F43">
      <w:pPr>
        <w:pStyle w:val="Author-eListParagraph"/>
        <w:numPr>
          <w:ilvl w:val="0"/>
          <w:numId w:val="197"/>
        </w:numPr>
      </w:pPr>
      <w:r>
        <w:t xml:space="preserve">Les murs suivants sont exécutés avec une face restant apparente : </w:t>
      </w:r>
      <w:r>
        <w:rPr>
          <w:rStyle w:val="optioncarChar"/>
        </w:rPr>
        <w:t>***</w:t>
      </w:r>
    </w:p>
    <w:p w14:paraId="0DFF72FF" w14:textId="77777777" w:rsidR="00DF410E" w:rsidRDefault="00CE7F43">
      <w:pPr>
        <w:pStyle w:val="Author-eListParagraph"/>
        <w:numPr>
          <w:ilvl w:val="0"/>
          <w:numId w:val="197"/>
        </w:numPr>
      </w:pPr>
      <w:r>
        <w:t xml:space="preserve">Les murs suivants sont exécutés avec deux faces restant apparentes : </w:t>
      </w:r>
      <w:r>
        <w:rPr>
          <w:rStyle w:val="optioncarChar"/>
        </w:rPr>
        <w:t>***</w:t>
      </w:r>
    </w:p>
    <w:p w14:paraId="1BEB4DE5" w14:textId="77777777" w:rsidR="00DF410E" w:rsidRDefault="00CE7F43">
      <w:pPr>
        <w:pStyle w:val="pheading"/>
      </w:pPr>
      <w:r>
        <w:t>MESURAGE</w:t>
      </w:r>
    </w:p>
    <w:p w14:paraId="2D1818F1" w14:textId="77777777" w:rsidR="00DF410E" w:rsidRDefault="00CE7F43">
      <w:pPr>
        <w:pStyle w:val="pheading"/>
      </w:pPr>
      <w:r>
        <w:t>- unité de mesure:</w:t>
      </w:r>
    </w:p>
    <w:p w14:paraId="1081ABB9" w14:textId="77777777" w:rsidR="00DF410E" w:rsidRDefault="00CE7F43">
      <w:r>
        <w:rPr>
          <w:rStyle w:val="optioncarChar"/>
        </w:rPr>
        <w:t>m³ </w:t>
      </w:r>
      <w:r>
        <w:t>(par défaut)</w:t>
      </w:r>
      <w:r>
        <w:rPr>
          <w:rStyle w:val="optioncarChar"/>
        </w:rPr>
        <w:t> / m²</w:t>
      </w:r>
    </w:p>
    <w:p w14:paraId="59A58756" w14:textId="77777777" w:rsidR="00DF410E" w:rsidRDefault="00CE7F43">
      <w:r>
        <w:rPr>
          <w:b/>
        </w:rPr>
        <w:t>(soit par défaut)</w:t>
      </w:r>
    </w:p>
    <w:p w14:paraId="3E45D1BF" w14:textId="77777777" w:rsidR="00DF410E" w:rsidRDefault="00CE7F43">
      <w:r>
        <w:rPr>
          <w:rStyle w:val="soitChar"/>
        </w:rPr>
        <w:t>1. m³</w:t>
      </w:r>
    </w:p>
    <w:p w14:paraId="178C6E9F" w14:textId="77777777" w:rsidR="00DF410E" w:rsidRDefault="00CE7F43">
      <w:r>
        <w:rPr>
          <w:b/>
        </w:rPr>
        <w:t>(soit)</w:t>
      </w:r>
    </w:p>
    <w:p w14:paraId="017C8243" w14:textId="77777777" w:rsidR="00DF410E" w:rsidRDefault="00CE7F43">
      <w:r>
        <w:rPr>
          <w:rStyle w:val="soitChar"/>
        </w:rPr>
        <w:t>2. m²</w:t>
      </w:r>
    </w:p>
    <w:p w14:paraId="209DF62B" w14:textId="77777777" w:rsidR="00DF410E" w:rsidRDefault="00CE7F43">
      <w:pPr>
        <w:pStyle w:val="pheading"/>
      </w:pPr>
      <w:r>
        <w:t>- code de mesurage:</w:t>
      </w:r>
    </w:p>
    <w:p w14:paraId="66F9A171"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1B35EE2"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94BB269"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808235C" w14:textId="77777777" w:rsidR="00DF410E" w:rsidRDefault="00CE7F43">
      <w:r>
        <w:rPr>
          <w:rStyle w:val="optioncarChar"/>
        </w:rPr>
        <w:t>Volume net </w:t>
      </w:r>
      <w:r>
        <w:t>(par défaut)</w:t>
      </w:r>
      <w:r>
        <w:rPr>
          <w:rStyle w:val="optioncarChar"/>
        </w:rPr>
        <w:t> / Surface nette</w:t>
      </w:r>
    </w:p>
    <w:p w14:paraId="4B41699F" w14:textId="77777777" w:rsidR="00DF410E" w:rsidRDefault="00CE7F43">
      <w:r>
        <w:rPr>
          <w:b/>
        </w:rPr>
        <w:t>(soit par défaut)</w:t>
      </w:r>
    </w:p>
    <w:p w14:paraId="277DD380"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127AE11" w14:textId="77777777" w:rsidR="00DF410E" w:rsidRDefault="00CE7F43">
      <w:r>
        <w:rPr>
          <w:b/>
        </w:rPr>
        <w:t>(soit)</w:t>
      </w:r>
    </w:p>
    <w:p w14:paraId="0A4D907B"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CAC6B0A" w14:textId="77777777" w:rsidR="00DF410E" w:rsidRDefault="00CE7F43">
      <w:pPr>
        <w:pStyle w:val="pheading"/>
      </w:pPr>
      <w:r>
        <w:t>- nature du marché:</w:t>
      </w:r>
    </w:p>
    <w:p w14:paraId="5D934CDA" w14:textId="77777777" w:rsidR="00DF410E" w:rsidRDefault="00CE7F43">
      <w:r>
        <w:t>QF</w:t>
      </w:r>
    </w:p>
    <w:p w14:paraId="76F82873" w14:textId="77777777" w:rsidR="00DF410E" w:rsidRDefault="00CE7F43">
      <w:pPr>
        <w:pStyle w:val="Author-eSectionHeading6"/>
      </w:pPr>
      <w:bookmarkStart w:id="182" w:name="_Toc178837426"/>
      <w:r>
        <w:t>21.22.4c Maçonneries non portantes en blocs de béton d'argile expansée creux à maçonner CCTB 01.11</w:t>
      </w:r>
      <w:bookmarkEnd w:id="182"/>
    </w:p>
    <w:p w14:paraId="2934BB24" w14:textId="77777777" w:rsidR="00DF410E" w:rsidRDefault="00CE7F43">
      <w:pPr>
        <w:pStyle w:val="pheading"/>
      </w:pPr>
      <w:r>
        <w:t>DESCRIPTION</w:t>
      </w:r>
    </w:p>
    <w:p w14:paraId="66FC1530" w14:textId="77777777" w:rsidR="00DF410E" w:rsidRDefault="00CE7F43">
      <w:pPr>
        <w:pStyle w:val="pheading"/>
      </w:pPr>
      <w:r>
        <w:t>- Définition / Comprend</w:t>
      </w:r>
    </w:p>
    <w:p w14:paraId="6FC5CCB8" w14:textId="77777777" w:rsidR="00DF410E" w:rsidRDefault="00CE7F43">
      <w:r>
        <w:t xml:space="preserve">Il s’agit de la fourniture et la pose de maçonneries non portantes en blocs de béton d’argile expansée creux à maçonner. </w:t>
      </w:r>
      <w:r>
        <w:br/>
        <w:t xml:space="preserve">La portée des travaux est décrite dans l’article </w:t>
      </w:r>
      <w:hyperlink w:anchor="389" w:history="1">
        <w:r>
          <w:t>21.22.4 Maçonneries non portantes en blocs de béton d'argile expansée</w:t>
        </w:r>
      </w:hyperlink>
      <w:r>
        <w:t>.</w:t>
      </w:r>
      <w:r>
        <w:br/>
        <w:t>Les travaux comprennent également la fourniture et la pose des pièces d’angle, de terminaison et de rencontre.</w:t>
      </w:r>
    </w:p>
    <w:p w14:paraId="124B9978" w14:textId="77777777" w:rsidR="00DF410E" w:rsidRDefault="00CE7F43">
      <w:pPr>
        <w:pStyle w:val="pheading"/>
      </w:pPr>
      <w:r>
        <w:t>- Localisation</w:t>
      </w:r>
    </w:p>
    <w:p w14:paraId="794B5659" w14:textId="77777777" w:rsidR="00DF410E" w:rsidRDefault="00CE7F43">
      <w:r>
        <w:t>La pose est réalisée aux endroits suivants :</w:t>
      </w:r>
      <w:r>
        <w:rPr>
          <w:rStyle w:val="optioncarChar"/>
        </w:rPr>
        <w:t xml:space="preserve"> ***</w:t>
      </w:r>
      <w:r>
        <w:t>.</w:t>
      </w:r>
      <w:r>
        <w:br/>
        <w:t>Voir plans et métrés détaillés.</w:t>
      </w:r>
    </w:p>
    <w:p w14:paraId="5A3C98A7" w14:textId="77777777" w:rsidR="00DF410E" w:rsidRDefault="00CE7F43">
      <w:pPr>
        <w:pStyle w:val="pheading"/>
      </w:pPr>
      <w:r>
        <w:t>MATÉRIAUX</w:t>
      </w:r>
    </w:p>
    <w:p w14:paraId="61B9367A" w14:textId="77777777" w:rsidR="00DF410E" w:rsidRDefault="00CE7F43">
      <w:pPr>
        <w:pStyle w:val="pheading"/>
      </w:pPr>
      <w:r>
        <w:t>- Caractéristiques générales</w:t>
      </w:r>
    </w:p>
    <w:p w14:paraId="196BD12C" w14:textId="77777777" w:rsidR="00DF410E" w:rsidRDefault="00CE7F43">
      <w:r>
        <w:rPr>
          <w:rStyle w:val="headingChar"/>
        </w:rPr>
        <w:t>Spécifications</w:t>
      </w:r>
    </w:p>
    <w:p w14:paraId="58443935" w14:textId="77777777" w:rsidR="00DF410E" w:rsidRDefault="00CE7F43">
      <w:r>
        <w:rPr>
          <w:u w:val="single"/>
        </w:rPr>
        <w:t>Blocs</w:t>
      </w:r>
    </w:p>
    <w:p w14:paraId="4C53973F"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w:t>
      </w:r>
      <w:r>
        <w:rPr>
          <w:rStyle w:val="optioncarChar"/>
          <w:color w:val="000000"/>
        </w:rPr>
        <w:t>(par défaut)</w:t>
      </w:r>
      <w:r>
        <w:rPr>
          <w:rStyle w:val="optioncarChar"/>
        </w:rPr>
        <w:t xml:space="preserve"> / 15/2,2+ / ***</w:t>
      </w:r>
    </w:p>
    <w:p w14:paraId="3DDE226E" w14:textId="77777777" w:rsidR="00DF410E" w:rsidRDefault="00CE7F43">
      <w:r>
        <w:t xml:space="preserve">Le groupe de configuration suivant [NBN EN 1996-1-1+A1 ANB] est </w:t>
      </w:r>
      <w:r>
        <w:rPr>
          <w:rStyle w:val="optioncarChar"/>
        </w:rPr>
        <w:t>2 / 3 / 4 / creux /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DDBA7F0"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3EC64AB9" w14:textId="77777777" w:rsidR="00DF410E" w:rsidRDefault="00CE7F43">
      <w: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582D7F4F" w14:textId="77777777" w:rsidR="00DF410E" w:rsidRDefault="00CE7F43">
      <w:pPr>
        <w:spacing w:before="0" w:after="0"/>
      </w:pPr>
      <w:r>
        <w:rPr>
          <w:u w:val="single"/>
        </w:rPr>
        <w:t>Mortier</w:t>
      </w:r>
    </w:p>
    <w:p w14:paraId="6479ED50"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3491FA51" w14:textId="77777777" w:rsidR="00DF410E" w:rsidRDefault="00CE7F43">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5F3CD09D" w14:textId="77777777" w:rsidR="00DF410E" w:rsidRDefault="00CE7F43">
      <w:pPr>
        <w:spacing w:before="0" w:after="0"/>
      </w:pPr>
      <w:r>
        <w:rPr>
          <w:rStyle w:val="normalChar"/>
          <w:color w:val="000000"/>
        </w:rPr>
        <w:t>Résistance au gel : oui</w:t>
      </w:r>
    </w:p>
    <w:p w14:paraId="3B1BF30C" w14:textId="77777777" w:rsidR="00DF410E" w:rsidRDefault="00CE7F43">
      <w:r>
        <w:br/>
      </w:r>
      <w:r>
        <w:rPr>
          <w:rStyle w:val="headingChar"/>
        </w:rPr>
        <w:t>Critères De Performances De La Paroi</w:t>
      </w:r>
    </w:p>
    <w:p w14:paraId="3A47EF4C" w14:textId="77777777" w:rsidR="00DF410E" w:rsidRDefault="00CE7F43">
      <w:r>
        <w:t>Coefficient de transmission :</w:t>
      </w:r>
    </w:p>
    <w:p w14:paraId="74B40B93" w14:textId="77777777" w:rsidR="00DF410E" w:rsidRDefault="00CE7F43">
      <w:pPr>
        <w:pStyle w:val="Author-eListParagraph"/>
        <w:numPr>
          <w:ilvl w:val="0"/>
          <w:numId w:val="198"/>
        </w:numPr>
      </w:pPr>
      <w:r>
        <w:t xml:space="preserve">valeur U minimale de </w:t>
      </w:r>
      <w:r>
        <w:rPr>
          <w:rStyle w:val="optioncarChar"/>
        </w:rPr>
        <w:t>***</w:t>
      </w:r>
      <w:r>
        <w:t xml:space="preserve"> W/m²K</w:t>
      </w:r>
    </w:p>
    <w:p w14:paraId="3A2D05DB" w14:textId="77777777" w:rsidR="00DF410E" w:rsidRDefault="00CE7F43">
      <w:pPr>
        <w:pStyle w:val="Author-eListParagraph"/>
        <w:numPr>
          <w:ilvl w:val="0"/>
          <w:numId w:val="19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C467B59" w14:textId="77777777" w:rsidR="00DF410E" w:rsidRDefault="00CE7F43">
      <w:r>
        <w:br/>
        <w:t xml:space="preserve">Résistance au feu : </w:t>
      </w:r>
      <w:r>
        <w:rPr>
          <w:rStyle w:val="optioncarChar"/>
        </w:rPr>
        <w:t>EI30 </w:t>
      </w:r>
      <w:r>
        <w:t>(par défaut)</w:t>
      </w:r>
      <w:r>
        <w:rPr>
          <w:rStyle w:val="optioncarChar"/>
        </w:rPr>
        <w:t xml:space="preserve"> / EI60 / EI90 / EI120 / EI***</w:t>
      </w:r>
    </w:p>
    <w:p w14:paraId="66F6E889" w14:textId="77777777" w:rsidR="00DF410E" w:rsidRDefault="00CE7F43">
      <w:r>
        <w:t>selon les tableaux dans [NBN EN 1996-1-2 ANB].</w:t>
      </w:r>
    </w:p>
    <w:p w14:paraId="2943BC7E" w14:textId="77777777" w:rsidR="00DF410E" w:rsidRDefault="00DF410E"/>
    <w:p w14:paraId="26A2F6C1" w14:textId="77777777" w:rsidR="00DF410E" w:rsidRDefault="00CE7F43">
      <w:r>
        <w:t> </w:t>
      </w:r>
    </w:p>
    <w:p w14:paraId="54E120CE" w14:textId="77777777" w:rsidR="00DF410E" w:rsidRDefault="00CE7F43">
      <w:pPr>
        <w:pStyle w:val="pheading"/>
      </w:pPr>
      <w:r>
        <w:t>- Finitions</w:t>
      </w:r>
    </w:p>
    <w:p w14:paraId="5BB45EBE" w14:textId="77777777" w:rsidR="00DF410E" w:rsidRDefault="00DF410E"/>
    <w:p w14:paraId="31A38C0C" w14:textId="77777777" w:rsidR="00DF410E" w:rsidRDefault="00CE7F43">
      <w:pPr>
        <w:pStyle w:val="Author-eListParagraph"/>
        <w:numPr>
          <w:ilvl w:val="0"/>
          <w:numId w:val="199"/>
        </w:numPr>
      </w:pPr>
      <w:r>
        <w:t>Les faces de murs suivantes sont exécutées comme maçonneries apparentes et sont</w:t>
      </w:r>
      <w:r>
        <w:rPr>
          <w:rStyle w:val="optioncarChar"/>
          <w:color w:val="000000"/>
        </w:rPr>
        <w:t xml:space="preserve"> rejointoyées </w:t>
      </w:r>
      <w:r>
        <w:t xml:space="preserve">selon </w:t>
      </w:r>
      <w:hyperlink w:anchor="344" w:history="1">
        <w:r>
          <w:t>21.61.1b Joints de maçonnerie apparente</w:t>
        </w:r>
      </w:hyperlink>
      <w:r>
        <w:t xml:space="preserve"> : </w:t>
      </w:r>
      <w:r>
        <w:rPr>
          <w:rStyle w:val="optioncarChar"/>
        </w:rPr>
        <w:t>***</w:t>
      </w:r>
    </w:p>
    <w:p w14:paraId="6A4066D9" w14:textId="77777777" w:rsidR="00DF410E" w:rsidRDefault="00CE7F43">
      <w:pPr>
        <w:pStyle w:val="Author-eListParagraph"/>
        <w:numPr>
          <w:ilvl w:val="0"/>
          <w:numId w:val="199"/>
        </w:numPr>
      </w:pPr>
      <w:r>
        <w:t xml:space="preserve">Les murs suivants sont exécutés avec une face restant apparente : </w:t>
      </w:r>
      <w:r>
        <w:rPr>
          <w:rStyle w:val="optioncarChar"/>
        </w:rPr>
        <w:t>***</w:t>
      </w:r>
    </w:p>
    <w:p w14:paraId="43B67F67" w14:textId="77777777" w:rsidR="00DF410E" w:rsidRDefault="00CE7F43">
      <w:pPr>
        <w:pStyle w:val="Author-eListParagraph"/>
        <w:numPr>
          <w:ilvl w:val="0"/>
          <w:numId w:val="199"/>
        </w:numPr>
      </w:pPr>
      <w:r>
        <w:t xml:space="preserve">Les murs suivants sont exécutés avec deux faces restant apparentes : </w:t>
      </w:r>
      <w:r>
        <w:rPr>
          <w:rStyle w:val="optioncarChar"/>
        </w:rPr>
        <w:t>***</w:t>
      </w:r>
    </w:p>
    <w:p w14:paraId="4B4273D3" w14:textId="77777777" w:rsidR="00DF410E" w:rsidRDefault="00CE7F43">
      <w:pPr>
        <w:pStyle w:val="pheading"/>
      </w:pPr>
      <w:r>
        <w:t>MESURAGE</w:t>
      </w:r>
    </w:p>
    <w:p w14:paraId="4F624496" w14:textId="77777777" w:rsidR="00DF410E" w:rsidRDefault="00CE7F43">
      <w:pPr>
        <w:pStyle w:val="pheading"/>
      </w:pPr>
      <w:r>
        <w:t>- unité de mesure:</w:t>
      </w:r>
    </w:p>
    <w:p w14:paraId="07EE0DA8" w14:textId="77777777" w:rsidR="00DF410E" w:rsidRDefault="00CE7F43">
      <w:r>
        <w:rPr>
          <w:rStyle w:val="optioncarChar"/>
        </w:rPr>
        <w:t>m³ </w:t>
      </w:r>
      <w:r>
        <w:t>(par défaut)</w:t>
      </w:r>
      <w:r>
        <w:rPr>
          <w:rStyle w:val="optioncarChar"/>
        </w:rPr>
        <w:t> / m²</w:t>
      </w:r>
    </w:p>
    <w:p w14:paraId="528E8D5E" w14:textId="77777777" w:rsidR="00DF410E" w:rsidRDefault="00CE7F43">
      <w:r>
        <w:rPr>
          <w:b/>
        </w:rPr>
        <w:t>(soit par défaut)</w:t>
      </w:r>
    </w:p>
    <w:p w14:paraId="41D236D9" w14:textId="77777777" w:rsidR="00DF410E" w:rsidRDefault="00CE7F43">
      <w:r>
        <w:rPr>
          <w:rStyle w:val="soitChar"/>
        </w:rPr>
        <w:t>1. m³</w:t>
      </w:r>
    </w:p>
    <w:p w14:paraId="388F0BA8" w14:textId="77777777" w:rsidR="00DF410E" w:rsidRDefault="00CE7F43">
      <w:r>
        <w:rPr>
          <w:b/>
        </w:rPr>
        <w:t>(soit)</w:t>
      </w:r>
    </w:p>
    <w:p w14:paraId="62BF0A4A" w14:textId="77777777" w:rsidR="00DF410E" w:rsidRDefault="00CE7F43">
      <w:r>
        <w:rPr>
          <w:rStyle w:val="soitChar"/>
        </w:rPr>
        <w:t>2. m²</w:t>
      </w:r>
    </w:p>
    <w:p w14:paraId="55FAA60D" w14:textId="77777777" w:rsidR="00DF410E" w:rsidRDefault="00CE7F43">
      <w:pPr>
        <w:pStyle w:val="pheading"/>
      </w:pPr>
      <w:r>
        <w:t>- code de mesurage:</w:t>
      </w:r>
    </w:p>
    <w:p w14:paraId="0BC1338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DE20CEC"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4167587"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CA793EF" w14:textId="77777777" w:rsidR="00DF410E" w:rsidRDefault="00CE7F43">
      <w:r>
        <w:rPr>
          <w:rStyle w:val="optioncarChar"/>
        </w:rPr>
        <w:t>Volume net </w:t>
      </w:r>
      <w:r>
        <w:t>(par défaut)</w:t>
      </w:r>
      <w:r>
        <w:rPr>
          <w:rStyle w:val="optioncarChar"/>
        </w:rPr>
        <w:t> / Surface nette</w:t>
      </w:r>
    </w:p>
    <w:p w14:paraId="23E31423" w14:textId="77777777" w:rsidR="00DF410E" w:rsidRDefault="00CE7F43">
      <w:r>
        <w:rPr>
          <w:b/>
        </w:rPr>
        <w:t>(soit par défaut)</w:t>
      </w:r>
    </w:p>
    <w:p w14:paraId="59885429"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E1193BE" w14:textId="77777777" w:rsidR="00DF410E" w:rsidRDefault="00CE7F43">
      <w:r>
        <w:rPr>
          <w:b/>
        </w:rPr>
        <w:t>(soit)</w:t>
      </w:r>
    </w:p>
    <w:p w14:paraId="635DBA9C"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DCCE3AB" w14:textId="77777777" w:rsidR="00DF410E" w:rsidRDefault="00CE7F43">
      <w:pPr>
        <w:pStyle w:val="pheading"/>
      </w:pPr>
      <w:r>
        <w:t>- nature du marché:</w:t>
      </w:r>
    </w:p>
    <w:p w14:paraId="5846C74D" w14:textId="77777777" w:rsidR="00DF410E" w:rsidRDefault="00CE7F43">
      <w:r>
        <w:t>QF</w:t>
      </w:r>
    </w:p>
    <w:p w14:paraId="2E58A6F2" w14:textId="77777777" w:rsidR="00DF410E" w:rsidRDefault="00CE7F43">
      <w:pPr>
        <w:pStyle w:val="Author-eSectionHeading6"/>
      </w:pPr>
      <w:bookmarkStart w:id="183" w:name="_Toc178837427"/>
      <w:r>
        <w:t>21.22.4d Maçonneries non portantes en blocs de béton d'argile expansée creux à coller CCTB 01.12</w:t>
      </w:r>
      <w:bookmarkEnd w:id="183"/>
    </w:p>
    <w:p w14:paraId="1A0960D1" w14:textId="77777777" w:rsidR="00DF410E" w:rsidRDefault="00CE7F43">
      <w:pPr>
        <w:pStyle w:val="pheading"/>
      </w:pPr>
      <w:r>
        <w:t>DESCRIPTION</w:t>
      </w:r>
    </w:p>
    <w:p w14:paraId="74D3EFAA" w14:textId="77777777" w:rsidR="00DF410E" w:rsidRDefault="00CE7F43">
      <w:pPr>
        <w:pStyle w:val="pheading"/>
      </w:pPr>
      <w:r>
        <w:t>- Définition / Comprend</w:t>
      </w:r>
    </w:p>
    <w:p w14:paraId="019E4060" w14:textId="77777777" w:rsidR="00DF410E" w:rsidRDefault="00CE7F43">
      <w:r>
        <w:t xml:space="preserve">Il s’agit de la fourniture et la pose de maçonneries non portantes en blocs de béton d’argile expansée creux à coller. </w:t>
      </w:r>
      <w:r>
        <w:br/>
        <w:t xml:space="preserve">La portée des travaux est décrite dans l’article </w:t>
      </w:r>
      <w:hyperlink w:anchor="389" w:history="1">
        <w:r>
          <w:t>21.22.4 Maçonneries non portantes en blocs de béton d'argile expansée</w:t>
        </w:r>
      </w:hyperlink>
      <w:r>
        <w:t>.</w:t>
      </w:r>
      <w:r>
        <w:br/>
        <w:t>Les travaux comprennent également la fourniture et la pose des pièces d’angle, de terminaison et de rencontre.</w:t>
      </w:r>
    </w:p>
    <w:p w14:paraId="2F1860D8" w14:textId="77777777" w:rsidR="00DF410E" w:rsidRDefault="00CE7F43">
      <w:pPr>
        <w:pStyle w:val="pheading"/>
      </w:pPr>
      <w:r>
        <w:t>- Localisation</w:t>
      </w:r>
    </w:p>
    <w:p w14:paraId="5547FA43" w14:textId="77777777" w:rsidR="00DF410E" w:rsidRDefault="00CE7F43">
      <w:r>
        <w:t xml:space="preserve">La pose est réalisée aux endroits suivants : </w:t>
      </w:r>
      <w:r>
        <w:rPr>
          <w:rStyle w:val="optioncarChar"/>
        </w:rPr>
        <w:t>***</w:t>
      </w:r>
      <w:r>
        <w:t>.</w:t>
      </w:r>
      <w:r>
        <w:br/>
        <w:t>Voir plans et métrés détaillés.</w:t>
      </w:r>
    </w:p>
    <w:p w14:paraId="4558BFBB" w14:textId="77777777" w:rsidR="00DF410E" w:rsidRDefault="00CE7F43">
      <w:pPr>
        <w:pStyle w:val="pheading"/>
      </w:pPr>
      <w:r>
        <w:t>MATÉRIAUX</w:t>
      </w:r>
    </w:p>
    <w:p w14:paraId="78C053EE" w14:textId="77777777" w:rsidR="00DF410E" w:rsidRDefault="00CE7F43">
      <w:pPr>
        <w:pStyle w:val="pheading"/>
      </w:pPr>
      <w:r>
        <w:t>- Caractéristiques générales</w:t>
      </w:r>
    </w:p>
    <w:p w14:paraId="0560B9FD" w14:textId="77777777" w:rsidR="00DF410E" w:rsidRDefault="00CE7F43">
      <w:r>
        <w:rPr>
          <w:rStyle w:val="headingChar"/>
        </w:rPr>
        <w:t>Spécifications</w:t>
      </w:r>
    </w:p>
    <w:p w14:paraId="6ACBE15F" w14:textId="77777777" w:rsidR="00DF410E" w:rsidRDefault="00CE7F43">
      <w:r>
        <w:rPr>
          <w:u w:val="single"/>
        </w:rPr>
        <w:t>Blocs</w:t>
      </w:r>
    </w:p>
    <w:p w14:paraId="2A91D7C6"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80F8DE3" w14:textId="77777777" w:rsidR="00DF410E" w:rsidRDefault="00CE7F43">
      <w:r>
        <w:t xml:space="preserve">Le groupe de configuration suivant [NBN EN 1996-1-1+A1 ANB] est </w:t>
      </w:r>
      <w:r>
        <w:rPr>
          <w:rStyle w:val="optioncarChar"/>
        </w:rPr>
        <w:t>2 / 3 / 4 creux / ***</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7C317D4"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2275FC1B" w14:textId="77777777" w:rsidR="00DF410E" w:rsidRDefault="00CE7F43">
      <w:r>
        <w:t>Résistance au gel suivant les classes d’application MX… selon [NBN EN 1996-2 ANB] et [NIT 271].</w:t>
      </w:r>
    </w:p>
    <w:p w14:paraId="2355545A" w14:textId="77777777" w:rsidR="00DF410E" w:rsidRDefault="00CE7F43">
      <w:r>
        <w:t xml:space="preserve">Réaction au feu : </w:t>
      </w:r>
      <w:r>
        <w:rPr>
          <w:rStyle w:val="optioncarChar"/>
        </w:rPr>
        <w:t>A1</w:t>
      </w:r>
      <w:r>
        <w:t> (par défaut)</w:t>
      </w:r>
      <w:r>
        <w:rPr>
          <w:rStyle w:val="optioncarChar"/>
        </w:rPr>
        <w:t xml:space="preserve"> / ***</w:t>
      </w:r>
    </w:p>
    <w:p w14:paraId="1B91D18C" w14:textId="77777777" w:rsidR="00DF410E" w:rsidRDefault="00CE7F43">
      <w:pPr>
        <w:spacing w:before="0" w:after="0"/>
      </w:pPr>
      <w:r>
        <w:rPr>
          <w:u w:val="single"/>
        </w:rPr>
        <w:t>Mortier</w:t>
      </w:r>
    </w:p>
    <w:p w14:paraId="44209AF6"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31E5A490"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51E6EFF1" w14:textId="77777777" w:rsidR="00DF410E" w:rsidRDefault="00CE7F43">
      <w:pPr>
        <w:spacing w:before="0" w:after="0"/>
      </w:pPr>
      <w:r>
        <w:rPr>
          <w:rStyle w:val="normalChar"/>
          <w:color w:val="000000"/>
        </w:rPr>
        <w:t>Résistance au gel : oui</w:t>
      </w:r>
    </w:p>
    <w:p w14:paraId="238FE345" w14:textId="77777777" w:rsidR="00DF410E" w:rsidRDefault="00CE7F43">
      <w:r>
        <w:br/>
      </w:r>
      <w:r>
        <w:rPr>
          <w:rStyle w:val="headingChar"/>
        </w:rPr>
        <w:t>Critères De Performances De La Paroi</w:t>
      </w:r>
    </w:p>
    <w:p w14:paraId="620E8510" w14:textId="77777777" w:rsidR="00DF410E" w:rsidRDefault="00CE7F43">
      <w:r>
        <w:t>Coefficient de transmission :</w:t>
      </w:r>
    </w:p>
    <w:p w14:paraId="62139D16" w14:textId="77777777" w:rsidR="00DF410E" w:rsidRDefault="00CE7F43">
      <w:pPr>
        <w:pStyle w:val="Author-eListParagraph"/>
        <w:numPr>
          <w:ilvl w:val="0"/>
          <w:numId w:val="200"/>
        </w:numPr>
      </w:pPr>
      <w:r>
        <w:t xml:space="preserve">valeur U minimale de </w:t>
      </w:r>
      <w:r>
        <w:rPr>
          <w:rStyle w:val="optioncarChar"/>
        </w:rPr>
        <w:t>***</w:t>
      </w:r>
      <w:r>
        <w:t xml:space="preserve"> W/m²K</w:t>
      </w:r>
    </w:p>
    <w:p w14:paraId="257E52E0" w14:textId="77777777" w:rsidR="00DF410E" w:rsidRDefault="00CE7F43">
      <w:pPr>
        <w:pStyle w:val="Author-eListParagraph"/>
        <w:numPr>
          <w:ilvl w:val="0"/>
          <w:numId w:val="20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A3E14D7" w14:textId="77777777" w:rsidR="00DF410E" w:rsidRDefault="00CE7F43">
      <w:r>
        <w:br/>
        <w:t xml:space="preserve">Résistance au feu : </w:t>
      </w:r>
      <w:r>
        <w:rPr>
          <w:rStyle w:val="optioncarChar"/>
        </w:rPr>
        <w:t>EI30</w:t>
      </w:r>
      <w:r>
        <w:t xml:space="preserve"> (par défaut) </w:t>
      </w:r>
      <w:r>
        <w:rPr>
          <w:rStyle w:val="optioncarChar"/>
        </w:rPr>
        <w:t>/ EI60 / EI90 / EI120 / EI***</w:t>
      </w:r>
    </w:p>
    <w:p w14:paraId="3AB28886" w14:textId="77777777" w:rsidR="00DF410E" w:rsidRDefault="00CE7F43">
      <w:r>
        <w:t>selon les tableaux dans [NBN EN 1996-1-2 ANB].</w:t>
      </w:r>
    </w:p>
    <w:p w14:paraId="6E2C3F70" w14:textId="77777777" w:rsidR="00DF410E" w:rsidRDefault="00DF410E"/>
    <w:p w14:paraId="328AA5D2" w14:textId="77777777" w:rsidR="00DF410E" w:rsidRDefault="00CE7F43">
      <w:r>
        <w:t> </w:t>
      </w:r>
    </w:p>
    <w:p w14:paraId="0C084621" w14:textId="77777777" w:rsidR="00DF410E" w:rsidRDefault="00CE7F43">
      <w:pPr>
        <w:pStyle w:val="pheading"/>
      </w:pPr>
      <w:r>
        <w:t>- Finitions</w:t>
      </w:r>
    </w:p>
    <w:p w14:paraId="3477157D" w14:textId="77777777" w:rsidR="00DF410E" w:rsidRDefault="00DF410E"/>
    <w:p w14:paraId="57802A69" w14:textId="77777777" w:rsidR="00DF410E" w:rsidRDefault="00CE7F43">
      <w:pPr>
        <w:pStyle w:val="Author-eListParagraph"/>
        <w:numPr>
          <w:ilvl w:val="0"/>
          <w:numId w:val="201"/>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6AE7DB5A" w14:textId="77777777" w:rsidR="00DF410E" w:rsidRDefault="00CE7F43">
      <w:pPr>
        <w:pStyle w:val="Author-eListParagraph"/>
        <w:numPr>
          <w:ilvl w:val="0"/>
          <w:numId w:val="201"/>
        </w:numPr>
      </w:pPr>
      <w:r>
        <w:t xml:space="preserve">Les murs suivants sont exécutés avec une face restant apparente : </w:t>
      </w:r>
      <w:r>
        <w:rPr>
          <w:rStyle w:val="optioncarChar"/>
        </w:rPr>
        <w:t>***</w:t>
      </w:r>
    </w:p>
    <w:p w14:paraId="5BD70A66" w14:textId="77777777" w:rsidR="00DF410E" w:rsidRDefault="00CE7F43">
      <w:pPr>
        <w:pStyle w:val="Author-eListParagraph"/>
        <w:numPr>
          <w:ilvl w:val="0"/>
          <w:numId w:val="201"/>
        </w:numPr>
      </w:pPr>
      <w:r>
        <w:t xml:space="preserve">Les murs suivants sont exécutés avec deux faces restant apparentes : </w:t>
      </w:r>
      <w:r>
        <w:rPr>
          <w:rStyle w:val="optioncarChar"/>
        </w:rPr>
        <w:t>***</w:t>
      </w:r>
    </w:p>
    <w:p w14:paraId="63B6CAE3" w14:textId="77777777" w:rsidR="00DF410E" w:rsidRDefault="00CE7F43">
      <w:pPr>
        <w:pStyle w:val="pheading"/>
      </w:pPr>
      <w:r>
        <w:t>MESURAGE</w:t>
      </w:r>
    </w:p>
    <w:p w14:paraId="76924C84" w14:textId="77777777" w:rsidR="00DF410E" w:rsidRDefault="00CE7F43">
      <w:pPr>
        <w:pStyle w:val="pheading"/>
      </w:pPr>
      <w:r>
        <w:t>- unité de mesure:</w:t>
      </w:r>
    </w:p>
    <w:p w14:paraId="658E4CED" w14:textId="77777777" w:rsidR="00DF410E" w:rsidRDefault="00CE7F43">
      <w:r>
        <w:rPr>
          <w:rStyle w:val="optioncarChar"/>
        </w:rPr>
        <w:t>m³ </w:t>
      </w:r>
      <w:r>
        <w:t>(par défaut)</w:t>
      </w:r>
      <w:r>
        <w:rPr>
          <w:rStyle w:val="optioncarChar"/>
        </w:rPr>
        <w:t> / m²</w:t>
      </w:r>
    </w:p>
    <w:p w14:paraId="1F2A0C5F" w14:textId="77777777" w:rsidR="00DF410E" w:rsidRDefault="00CE7F43">
      <w:r>
        <w:rPr>
          <w:b/>
        </w:rPr>
        <w:t>(soit par défaut)</w:t>
      </w:r>
    </w:p>
    <w:p w14:paraId="2B295E0C" w14:textId="77777777" w:rsidR="00DF410E" w:rsidRDefault="00CE7F43">
      <w:r>
        <w:rPr>
          <w:rStyle w:val="soitChar"/>
        </w:rPr>
        <w:t>1. m³</w:t>
      </w:r>
    </w:p>
    <w:p w14:paraId="6D09BB69" w14:textId="77777777" w:rsidR="00DF410E" w:rsidRDefault="00CE7F43">
      <w:r>
        <w:rPr>
          <w:b/>
        </w:rPr>
        <w:t>(soit)</w:t>
      </w:r>
    </w:p>
    <w:p w14:paraId="2967AF2B" w14:textId="77777777" w:rsidR="00DF410E" w:rsidRDefault="00CE7F43">
      <w:r>
        <w:rPr>
          <w:rStyle w:val="soitChar"/>
        </w:rPr>
        <w:t>2. m²</w:t>
      </w:r>
    </w:p>
    <w:p w14:paraId="09B7E090" w14:textId="77777777" w:rsidR="00DF410E" w:rsidRDefault="00CE7F43">
      <w:pPr>
        <w:pStyle w:val="pheading"/>
      </w:pPr>
      <w:r>
        <w:t>- code de mesurage:</w:t>
      </w:r>
    </w:p>
    <w:p w14:paraId="6E2EA2EA"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E2CEA77"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C2B89A8" w14:textId="77777777" w:rsidR="00DF410E" w:rsidRDefault="00CE7F43">
      <w:r>
        <w:t>L'appui des dalles de sol sur le mur porteur de contre-façade n'est pas déduit mais est compté comme ouvrage de maçonnerie ; par contre, les murs intérieurs porteurs sont mesurés entre les planchers (voir sous-titre </w:t>
      </w:r>
      <w:hyperlink w:anchor="88" w:history="1">
        <w:r>
          <w:t>22.15 Planchers en béton</w:t>
        </w:r>
      </w:hyperlink>
      <w:r>
        <w:t>).</w:t>
      </w:r>
      <w:r>
        <w:br/>
        <w:t>La maçonnerie autour des conduits de fumée et de ventilation est mesurée comme un mur plein pour les fourreaux jusqu'à une section de 0,12 m2.</w:t>
      </w:r>
    </w:p>
    <w:p w14:paraId="5D4CD53C" w14:textId="77777777" w:rsidR="00DF410E" w:rsidRDefault="00CE7F43">
      <w:r>
        <w:rPr>
          <w:rStyle w:val="optioncarChar"/>
        </w:rPr>
        <w:t>Volume net </w:t>
      </w:r>
      <w:r>
        <w:t>(par défaut)</w:t>
      </w:r>
      <w:r>
        <w:rPr>
          <w:rStyle w:val="optioncarChar"/>
        </w:rPr>
        <w:t> / Surface nette</w:t>
      </w:r>
    </w:p>
    <w:p w14:paraId="679D4B84" w14:textId="77777777" w:rsidR="00DF410E" w:rsidRDefault="00CE7F43">
      <w:r>
        <w:rPr>
          <w:b/>
        </w:rPr>
        <w:t>(soit par défaut)</w:t>
      </w:r>
    </w:p>
    <w:p w14:paraId="1866F64D"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103984D" w14:textId="77777777" w:rsidR="00DF410E" w:rsidRDefault="00CE7F43">
      <w:r>
        <w:rPr>
          <w:b/>
        </w:rPr>
        <w:t>(soit)</w:t>
      </w:r>
    </w:p>
    <w:p w14:paraId="41F6A1E2"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DAD21C3" w14:textId="77777777" w:rsidR="00DF410E" w:rsidRDefault="00DF410E"/>
    <w:p w14:paraId="65F4F454" w14:textId="77777777" w:rsidR="00DF410E" w:rsidRDefault="00CE7F43">
      <w:r>
        <w:t> </w:t>
      </w:r>
    </w:p>
    <w:p w14:paraId="014E2717" w14:textId="77777777" w:rsidR="00DF410E" w:rsidRDefault="00CE7F43">
      <w:pPr>
        <w:pStyle w:val="pheading"/>
      </w:pPr>
      <w:r>
        <w:t>- nature du marché:</w:t>
      </w:r>
    </w:p>
    <w:p w14:paraId="2E3E5866" w14:textId="77777777" w:rsidR="00DF410E" w:rsidRDefault="00CE7F43">
      <w:r>
        <w:t>QF</w:t>
      </w:r>
    </w:p>
    <w:p w14:paraId="28D21FFE" w14:textId="77777777" w:rsidR="00DF410E" w:rsidRDefault="00CE7F43">
      <w:pPr>
        <w:pStyle w:val="Author-eSectionHeading6"/>
      </w:pPr>
      <w:bookmarkStart w:id="184" w:name="_Toc178837428"/>
      <w:r>
        <w:t>21.22.4e Maçonneries non portantes en blocs de béton d'argile expansée avec système de dosage pour liant hydraulique CCTB 01.12</w:t>
      </w:r>
      <w:bookmarkEnd w:id="184"/>
    </w:p>
    <w:p w14:paraId="20221793" w14:textId="77777777" w:rsidR="00DF410E" w:rsidRDefault="00CE7F43">
      <w:pPr>
        <w:pStyle w:val="pheading"/>
      </w:pPr>
      <w:r>
        <w:t>DESCRIPTION</w:t>
      </w:r>
    </w:p>
    <w:p w14:paraId="56EF1863" w14:textId="77777777" w:rsidR="00DF410E" w:rsidRDefault="00CE7F43">
      <w:pPr>
        <w:pStyle w:val="pheading"/>
      </w:pPr>
      <w:r>
        <w:t>- Définition / Comprend</w:t>
      </w:r>
    </w:p>
    <w:p w14:paraId="2D877614" w14:textId="77777777" w:rsidR="00DF410E" w:rsidRDefault="00CE7F43">
      <w:r>
        <w:t xml:space="preserve">Il s’agit de la fourniture et la pose de maçonneries non portantes en blocs de béton d’argile expansée avec dosage pour liant hydraulique. </w:t>
      </w:r>
      <w:r>
        <w:br/>
        <w:t xml:space="preserve">La portée des travaux est décrite dans l’article </w:t>
      </w:r>
      <w:hyperlink w:anchor="389" w:history="1">
        <w:r>
          <w:t>21.22.4 Maçonneries non portantes en blocs de béton d’argile expansée</w:t>
        </w:r>
      </w:hyperlink>
      <w:r>
        <w:t>.</w:t>
      </w:r>
      <w:r>
        <w:br/>
        <w:t>Les travaux comprennent également la fourniture et la pose des pièces d’angle, de terminaison et de rencontre.</w:t>
      </w:r>
    </w:p>
    <w:p w14:paraId="40C9B2D6" w14:textId="77777777" w:rsidR="00DF410E" w:rsidRDefault="00CE7F43">
      <w:pPr>
        <w:pStyle w:val="pheading"/>
      </w:pPr>
      <w:r>
        <w:t>- Localisation</w:t>
      </w:r>
    </w:p>
    <w:p w14:paraId="14DE7FDB" w14:textId="77777777" w:rsidR="00DF410E" w:rsidRDefault="00CE7F43">
      <w:r>
        <w:t xml:space="preserve">La pose est réalisée aux endroits suivants : </w:t>
      </w:r>
      <w:r>
        <w:rPr>
          <w:rStyle w:val="optioncarChar"/>
        </w:rPr>
        <w:t>***</w:t>
      </w:r>
      <w:r>
        <w:t>.</w:t>
      </w:r>
      <w:r>
        <w:br/>
        <w:t>Voir plans et métrés détaillés.</w:t>
      </w:r>
    </w:p>
    <w:p w14:paraId="36DBAC4E" w14:textId="77777777" w:rsidR="00DF410E" w:rsidRDefault="00CE7F43">
      <w:pPr>
        <w:pStyle w:val="pheading"/>
      </w:pPr>
      <w:r>
        <w:t>MATÉRIAUX</w:t>
      </w:r>
    </w:p>
    <w:p w14:paraId="246E0B92" w14:textId="77777777" w:rsidR="00DF410E" w:rsidRDefault="00CE7F43">
      <w:pPr>
        <w:pStyle w:val="pheading"/>
      </w:pPr>
      <w:r>
        <w:t>- Caractéristiques générales</w:t>
      </w:r>
    </w:p>
    <w:p w14:paraId="2CBEB4B6" w14:textId="77777777" w:rsidR="00DF410E" w:rsidRDefault="00CE7F43">
      <w:r>
        <w:rPr>
          <w:rStyle w:val="headingChar"/>
        </w:rPr>
        <w:t>Spécifications</w:t>
      </w:r>
    </w:p>
    <w:p w14:paraId="2B276756" w14:textId="77777777" w:rsidR="00DF410E" w:rsidRDefault="00CE7F43">
      <w:r>
        <w:rPr>
          <w:u w:val="single"/>
        </w:rPr>
        <w:t>Blocs</w:t>
      </w:r>
    </w:p>
    <w:p w14:paraId="21B41115"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14000702" w14:textId="77777777" w:rsidR="00DF410E" w:rsidRDefault="00CE7F43">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601989ED" w14:textId="77777777" w:rsidR="00DF410E" w:rsidRDefault="00CE7F43">
      <w: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ECD3DC3"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 [NBN EN 772 série] et [NBN EN 680]).</w:t>
      </w:r>
    </w:p>
    <w:p w14:paraId="32C73490" w14:textId="77777777" w:rsidR="00DF410E" w:rsidRDefault="00CE7F43">
      <w:r>
        <w:t>Résistance au gel suivant les classes d’application MX… selon [NBN EN 1996-2 ANB] et [NIT 271].</w:t>
      </w:r>
      <w:r>
        <w:br/>
      </w:r>
      <w:r>
        <w:br/>
        <w:t xml:space="preserve">Réaction au feu : </w:t>
      </w:r>
      <w:r>
        <w:rPr>
          <w:rStyle w:val="optioncarChar"/>
        </w:rPr>
        <w:t>A1</w:t>
      </w:r>
      <w:r>
        <w:t>(par défaut)</w:t>
      </w:r>
      <w:r>
        <w:rPr>
          <w:rStyle w:val="optioncarChar"/>
        </w:rPr>
        <w:t xml:space="preserve"> / ***</w:t>
      </w:r>
    </w:p>
    <w:p w14:paraId="1F38402C" w14:textId="77777777" w:rsidR="00DF410E" w:rsidRDefault="00CE7F43">
      <w:pPr>
        <w:spacing w:before="0" w:after="0"/>
      </w:pPr>
      <w:r>
        <w:rPr>
          <w:u w:val="single"/>
        </w:rPr>
        <w:t>Mortier</w:t>
      </w:r>
    </w:p>
    <w:p w14:paraId="4C0292E1"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19C992BD" w14:textId="77777777" w:rsidR="00DF410E" w:rsidRDefault="00CE7F43">
      <w:r>
        <w:br/>
      </w:r>
      <w:r>
        <w:rPr>
          <w:rStyle w:val="headingChar"/>
        </w:rPr>
        <w:t>Critères De Performances De La Paroi</w:t>
      </w:r>
    </w:p>
    <w:p w14:paraId="650F1DB2" w14:textId="77777777" w:rsidR="00DF410E" w:rsidRDefault="00CE7F43">
      <w:r>
        <w:t>Coefficient de transmission :</w:t>
      </w:r>
    </w:p>
    <w:p w14:paraId="0FF328FB" w14:textId="77777777" w:rsidR="00DF410E" w:rsidRDefault="00CE7F43">
      <w:pPr>
        <w:pStyle w:val="Author-eListParagraph"/>
        <w:numPr>
          <w:ilvl w:val="0"/>
          <w:numId w:val="202"/>
        </w:numPr>
      </w:pPr>
      <w:r>
        <w:t xml:space="preserve">valeur U minimale de </w:t>
      </w:r>
      <w:r>
        <w:rPr>
          <w:rStyle w:val="optioncarChar"/>
        </w:rPr>
        <w:t>***</w:t>
      </w:r>
      <w:r>
        <w:t xml:space="preserve"> W/m²K</w:t>
      </w:r>
    </w:p>
    <w:p w14:paraId="7E77ED90" w14:textId="77777777" w:rsidR="00DF410E" w:rsidRDefault="00CE7F43">
      <w:pPr>
        <w:pStyle w:val="Author-eListParagraph"/>
        <w:numPr>
          <w:ilvl w:val="0"/>
          <w:numId w:val="20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9E198FC" w14:textId="77777777" w:rsidR="00DF410E" w:rsidRDefault="00CE7F43">
      <w:r>
        <w:br/>
        <w:t xml:space="preserve">Résistance au feu : </w:t>
      </w:r>
      <w:r>
        <w:rPr>
          <w:rStyle w:val="optioncarChar"/>
        </w:rPr>
        <w:t>EI30 </w:t>
      </w:r>
      <w:r>
        <w:t>(par défaut)</w:t>
      </w:r>
      <w:r>
        <w:rPr>
          <w:rStyle w:val="optioncarChar"/>
        </w:rPr>
        <w:t xml:space="preserve"> / EI60 / EI90 / EI120 / EI***</w:t>
      </w:r>
    </w:p>
    <w:p w14:paraId="3EB6D623" w14:textId="77777777" w:rsidR="00DF410E" w:rsidRDefault="00CE7F43">
      <w:r>
        <w:t>selon les tableaux dans [NBN EN 1996-1-2 ANB].</w:t>
      </w:r>
    </w:p>
    <w:p w14:paraId="0741C759" w14:textId="77777777" w:rsidR="00DF410E" w:rsidRDefault="00CE7F43">
      <w:pPr>
        <w:pStyle w:val="pheading"/>
      </w:pPr>
      <w:r>
        <w:t>- Finitions</w:t>
      </w:r>
    </w:p>
    <w:p w14:paraId="01895184" w14:textId="77777777" w:rsidR="00DF410E" w:rsidRDefault="00DF410E"/>
    <w:p w14:paraId="0C08E091" w14:textId="77777777" w:rsidR="00DF410E" w:rsidRDefault="00CE7F43">
      <w:pPr>
        <w:pStyle w:val="Author-eListParagraph"/>
        <w:numPr>
          <w:ilvl w:val="0"/>
          <w:numId w:val="203"/>
        </w:numPr>
      </w:pPr>
      <w:r>
        <w:t xml:space="preserve">Les murs suivants sont exécutés avec une face restant apparente : </w:t>
      </w:r>
      <w:r>
        <w:rPr>
          <w:rStyle w:val="optioncarChar"/>
        </w:rPr>
        <w:t>***</w:t>
      </w:r>
    </w:p>
    <w:p w14:paraId="4B9BC336" w14:textId="77777777" w:rsidR="00DF410E" w:rsidRDefault="00CE7F43">
      <w:pPr>
        <w:pStyle w:val="Author-eListParagraph"/>
        <w:numPr>
          <w:ilvl w:val="0"/>
          <w:numId w:val="203"/>
        </w:numPr>
      </w:pPr>
      <w:r>
        <w:t xml:space="preserve">Les murs suivants sont exécutés avec deux faces restant apparentes : </w:t>
      </w:r>
      <w:r>
        <w:rPr>
          <w:rStyle w:val="optioncarChar"/>
        </w:rPr>
        <w:t>***</w:t>
      </w:r>
    </w:p>
    <w:p w14:paraId="319CDE39" w14:textId="77777777" w:rsidR="00DF410E" w:rsidRDefault="00CE7F43">
      <w:pPr>
        <w:pStyle w:val="pheading"/>
      </w:pPr>
      <w:r>
        <w:t>MESURAGE</w:t>
      </w:r>
    </w:p>
    <w:p w14:paraId="6A060C91" w14:textId="77777777" w:rsidR="00DF410E" w:rsidRDefault="00CE7F43">
      <w:pPr>
        <w:pStyle w:val="pheading"/>
      </w:pPr>
      <w:r>
        <w:t>- unité de mesure:</w:t>
      </w:r>
    </w:p>
    <w:p w14:paraId="051D0B0B" w14:textId="77777777" w:rsidR="00DF410E" w:rsidRDefault="00CE7F43">
      <w:r>
        <w:rPr>
          <w:rStyle w:val="optioncarChar"/>
        </w:rPr>
        <w:t>m³ </w:t>
      </w:r>
      <w:r>
        <w:t>(par défaut)</w:t>
      </w:r>
      <w:r>
        <w:rPr>
          <w:rStyle w:val="optioncarChar"/>
        </w:rPr>
        <w:t> / m²</w:t>
      </w:r>
    </w:p>
    <w:p w14:paraId="463D5BD8" w14:textId="77777777" w:rsidR="00DF410E" w:rsidRDefault="00CE7F43">
      <w:r>
        <w:rPr>
          <w:b/>
        </w:rPr>
        <w:t>(soit par défaut)</w:t>
      </w:r>
    </w:p>
    <w:p w14:paraId="3AF945CF" w14:textId="77777777" w:rsidR="00DF410E" w:rsidRDefault="00CE7F43">
      <w:r>
        <w:rPr>
          <w:rStyle w:val="soitChar"/>
        </w:rPr>
        <w:t>1. m³</w:t>
      </w:r>
    </w:p>
    <w:p w14:paraId="07F7F5F6" w14:textId="77777777" w:rsidR="00DF410E" w:rsidRDefault="00CE7F43">
      <w:r>
        <w:rPr>
          <w:b/>
        </w:rPr>
        <w:t>(soit)</w:t>
      </w:r>
    </w:p>
    <w:p w14:paraId="4EA39716" w14:textId="77777777" w:rsidR="00DF410E" w:rsidRDefault="00CE7F43">
      <w:r>
        <w:rPr>
          <w:rStyle w:val="soitChar"/>
        </w:rPr>
        <w:t>2. m²</w:t>
      </w:r>
    </w:p>
    <w:p w14:paraId="74E81416" w14:textId="77777777" w:rsidR="00DF410E" w:rsidRDefault="00CE7F43">
      <w:pPr>
        <w:pStyle w:val="pheading"/>
      </w:pPr>
      <w:r>
        <w:t>- code de mesurage:</w:t>
      </w:r>
    </w:p>
    <w:p w14:paraId="06577BD1"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535C316"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A8A0BBE"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7CF14F50" w14:textId="77777777" w:rsidR="00DF410E" w:rsidRDefault="00CE7F43">
      <w:r>
        <w:rPr>
          <w:rStyle w:val="optioncarChar"/>
        </w:rPr>
        <w:t>Volume net </w:t>
      </w:r>
      <w:r>
        <w:t>(par défaut)</w:t>
      </w:r>
      <w:r>
        <w:rPr>
          <w:rStyle w:val="optioncarChar"/>
        </w:rPr>
        <w:t> / Surface nette</w:t>
      </w:r>
    </w:p>
    <w:p w14:paraId="507CA15A" w14:textId="77777777" w:rsidR="00DF410E" w:rsidRDefault="00CE7F43">
      <w:r>
        <w:rPr>
          <w:b/>
        </w:rPr>
        <w:t>(soit par défaut)</w:t>
      </w:r>
    </w:p>
    <w:p w14:paraId="5846EC1C"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3DCD606" w14:textId="77777777" w:rsidR="00DF410E" w:rsidRDefault="00CE7F43">
      <w:r>
        <w:rPr>
          <w:b/>
        </w:rPr>
        <w:t>(soit)</w:t>
      </w:r>
    </w:p>
    <w:p w14:paraId="3A0B7494"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48427C8" w14:textId="77777777" w:rsidR="00DF410E" w:rsidRDefault="00DF410E"/>
    <w:p w14:paraId="3CF71194" w14:textId="77777777" w:rsidR="00DF410E" w:rsidRDefault="00DF410E"/>
    <w:p w14:paraId="6D6A2026" w14:textId="77777777" w:rsidR="00DF410E" w:rsidRDefault="00CE7F43">
      <w:r>
        <w:t> </w:t>
      </w:r>
    </w:p>
    <w:p w14:paraId="1B60334A" w14:textId="77777777" w:rsidR="00DF410E" w:rsidRDefault="00CE7F43">
      <w:pPr>
        <w:pStyle w:val="pheading"/>
      </w:pPr>
      <w:r>
        <w:t>- nature du marché:</w:t>
      </w:r>
    </w:p>
    <w:p w14:paraId="549C5D7F" w14:textId="77777777" w:rsidR="00DF410E" w:rsidRDefault="00CE7F43">
      <w:r>
        <w:t>QF</w:t>
      </w:r>
    </w:p>
    <w:p w14:paraId="0DBBB325" w14:textId="77777777" w:rsidR="00DF410E" w:rsidRDefault="00CE7F43">
      <w:pPr>
        <w:pStyle w:val="Author-eSectionHeading6"/>
      </w:pPr>
      <w:bookmarkStart w:id="185" w:name="_Toc178837429"/>
      <w:r>
        <w:t>21.22.4f Maçonneries non portantes en blocs de béton d'argile expansée acoustiques CCTB 01.11</w:t>
      </w:r>
      <w:bookmarkEnd w:id="185"/>
    </w:p>
    <w:p w14:paraId="74D45C65" w14:textId="77777777" w:rsidR="00DF410E" w:rsidRDefault="00CE7F43">
      <w:pPr>
        <w:pStyle w:val="pheading"/>
      </w:pPr>
      <w:r>
        <w:t>DESCRIPTION</w:t>
      </w:r>
    </w:p>
    <w:p w14:paraId="11E97340" w14:textId="77777777" w:rsidR="00DF410E" w:rsidRDefault="00CE7F43">
      <w:pPr>
        <w:pStyle w:val="pheading"/>
      </w:pPr>
      <w:r>
        <w:t>- Définition / Comprend</w:t>
      </w:r>
    </w:p>
    <w:p w14:paraId="43F708BC" w14:textId="77777777" w:rsidR="00DF410E" w:rsidRDefault="00CE7F43">
      <w:r>
        <w:t xml:space="preserve">Il s’agit de la fourniture et la pose de maçonneries non portantes en blocs de béton d’argile expansée acoustiques. </w:t>
      </w:r>
      <w:r>
        <w:br/>
        <w:t xml:space="preserve">La portée des travaux est décrite dans l’article </w:t>
      </w:r>
      <w:hyperlink w:anchor="389" w:history="1">
        <w:r>
          <w:t>21.22.4 Maçonneries non portantes en blocs de béton d'argile expansée</w:t>
        </w:r>
      </w:hyperlink>
      <w:r>
        <w:t>.</w:t>
      </w:r>
      <w:r>
        <w:br/>
        <w:t>Les travaux comprennent également la fourniture et la pose des pièces d’angle, de terminaison et de rencontre.</w:t>
      </w:r>
    </w:p>
    <w:p w14:paraId="7716EDC2" w14:textId="77777777" w:rsidR="00DF410E" w:rsidRDefault="00CE7F43">
      <w:pPr>
        <w:pStyle w:val="pheading"/>
      </w:pPr>
      <w:r>
        <w:t>- Localisation</w:t>
      </w:r>
    </w:p>
    <w:p w14:paraId="45AC2709" w14:textId="77777777" w:rsidR="00DF410E" w:rsidRDefault="00CE7F43">
      <w:r>
        <w:t>La pose est réalisée aux endroits suivants :</w:t>
      </w:r>
      <w:r>
        <w:rPr>
          <w:rStyle w:val="optioncarChar"/>
        </w:rPr>
        <w:t xml:space="preserve"> ***</w:t>
      </w:r>
      <w:r>
        <w:t>.</w:t>
      </w:r>
      <w:r>
        <w:br/>
        <w:t>Voir plans et métrés détaillés.</w:t>
      </w:r>
    </w:p>
    <w:p w14:paraId="78624BF9" w14:textId="77777777" w:rsidR="00DF410E" w:rsidRDefault="00CE7F43">
      <w:pPr>
        <w:pStyle w:val="pheading"/>
      </w:pPr>
      <w:r>
        <w:t>MATÉRIAUX</w:t>
      </w:r>
    </w:p>
    <w:p w14:paraId="6E098923" w14:textId="77777777" w:rsidR="00DF410E" w:rsidRDefault="00CE7F43">
      <w:pPr>
        <w:pStyle w:val="pheading"/>
      </w:pPr>
      <w:r>
        <w:t>- Caractéristiques générales</w:t>
      </w:r>
    </w:p>
    <w:p w14:paraId="7EDF0350" w14:textId="77777777" w:rsidR="00DF410E" w:rsidRDefault="00CE7F43">
      <w:r>
        <w:rPr>
          <w:rStyle w:val="headingChar"/>
        </w:rPr>
        <w:t>Spécifications</w:t>
      </w:r>
    </w:p>
    <w:p w14:paraId="4C8F2127" w14:textId="77777777" w:rsidR="00DF410E" w:rsidRDefault="00CE7F43">
      <w:r>
        <w:rPr>
          <w:u w:val="single"/>
        </w:rPr>
        <w:t>Blocs</w:t>
      </w:r>
    </w:p>
    <w:p w14:paraId="29F7B035" w14:textId="77777777" w:rsidR="00DF410E" w:rsidRDefault="00CE7F43">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1E2FAF55" w14:textId="77777777" w:rsidR="00DF410E" w:rsidRDefault="00CE7F43">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26660DB2" w14:textId="77777777" w:rsidR="00DF410E" w:rsidRDefault="00CE7F43">
      <w: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p>
    <w:p w14:paraId="342839E2" w14:textId="77777777" w:rsidR="00DF410E" w:rsidRDefault="00CE7F43">
      <w: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641733D" w14:textId="77777777" w:rsidR="00DF410E" w:rsidRDefault="00CE7F43">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17EEA05D" w14:textId="77777777" w:rsidR="00DF410E" w:rsidRDefault="00CE7F43">
      <w:r>
        <w:t>Résistance au gel suivant les classes d’application MX… selon [NBN EN 1996-2 ANB] et [NIT 271].</w:t>
      </w:r>
    </w:p>
    <w:p w14:paraId="388AC1EA" w14:textId="77777777" w:rsidR="00DF410E" w:rsidRDefault="00CE7F43">
      <w:r>
        <w:t xml:space="preserve">Réaction au feu : </w:t>
      </w:r>
      <w:r>
        <w:rPr>
          <w:rStyle w:val="optioncarChar"/>
        </w:rPr>
        <w:t>A1</w:t>
      </w:r>
      <w:r>
        <w:t> (par défaut)</w:t>
      </w:r>
      <w:r>
        <w:rPr>
          <w:rStyle w:val="optioncarChar"/>
        </w:rPr>
        <w:t> / ***</w:t>
      </w:r>
    </w:p>
    <w:p w14:paraId="3E3DF557" w14:textId="77777777" w:rsidR="00DF410E" w:rsidRDefault="00CE7F43">
      <w:pPr>
        <w:spacing w:before="0" w:after="0"/>
      </w:pPr>
      <w:r>
        <w:rPr>
          <w:u w:val="single"/>
        </w:rPr>
        <w:t>Mortier</w:t>
      </w:r>
    </w:p>
    <w:p w14:paraId="69F9E172" w14:textId="77777777" w:rsidR="00DF410E" w:rsidRDefault="00CE7F43">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324AC043" w14:textId="77777777" w:rsidR="00DF410E" w:rsidRDefault="00CE7F43">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8BE88C1" w14:textId="77777777" w:rsidR="00DF410E" w:rsidRDefault="00CE7F43">
      <w:pPr>
        <w:spacing w:before="0" w:after="0"/>
      </w:pPr>
      <w:r>
        <w:rPr>
          <w:rStyle w:val="normalChar"/>
          <w:color w:val="000000"/>
        </w:rPr>
        <w:t>Résistance au gel : oui</w:t>
      </w:r>
    </w:p>
    <w:p w14:paraId="409139B7" w14:textId="77777777" w:rsidR="00DF410E" w:rsidRDefault="00CE7F43">
      <w:r>
        <w:br/>
      </w:r>
      <w:r>
        <w:rPr>
          <w:rStyle w:val="headingChar"/>
        </w:rPr>
        <w:t>Critères De Performances De La Paroi</w:t>
      </w:r>
    </w:p>
    <w:p w14:paraId="1E600703" w14:textId="77777777" w:rsidR="00DF410E" w:rsidRDefault="00CE7F43">
      <w:r>
        <w:t>Coefficient de transmission :</w:t>
      </w:r>
    </w:p>
    <w:p w14:paraId="64F9B649" w14:textId="77777777" w:rsidR="00DF410E" w:rsidRDefault="00CE7F43">
      <w:pPr>
        <w:pStyle w:val="Author-eListParagraph"/>
        <w:numPr>
          <w:ilvl w:val="0"/>
          <w:numId w:val="204"/>
        </w:numPr>
      </w:pPr>
      <w:r>
        <w:t xml:space="preserve">valeur U minimale de </w:t>
      </w:r>
      <w:r>
        <w:rPr>
          <w:rStyle w:val="optioncarChar"/>
        </w:rPr>
        <w:t>***</w:t>
      </w:r>
      <w:r>
        <w:t xml:space="preserve"> W/m²K</w:t>
      </w:r>
    </w:p>
    <w:p w14:paraId="5AD2F133" w14:textId="77777777" w:rsidR="00DF410E" w:rsidRDefault="00CE7F43">
      <w:pPr>
        <w:pStyle w:val="Author-eListParagraph"/>
        <w:numPr>
          <w:ilvl w:val="0"/>
          <w:numId w:val="20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97C13D5" w14:textId="77777777" w:rsidR="00DF410E" w:rsidRDefault="00CE7F43">
      <w:r>
        <w:t xml:space="preserve">Résistance au feu </w:t>
      </w:r>
      <w:r>
        <w:rPr>
          <w:rStyle w:val="optioncarChar"/>
        </w:rPr>
        <w:t>EI30 </w:t>
      </w:r>
      <w:r>
        <w:t xml:space="preserve">(par défaut) </w:t>
      </w:r>
      <w:r>
        <w:rPr>
          <w:rStyle w:val="optioncarChar"/>
        </w:rPr>
        <w:t xml:space="preserve">/ EI60 / EI90 / EI120 / EI*** </w:t>
      </w:r>
      <w:r>
        <w:t>selon les tableaux dans [NBN EN 1996-1-2 ANB].</w:t>
      </w:r>
    </w:p>
    <w:p w14:paraId="5811B835" w14:textId="77777777" w:rsidR="00DF410E" w:rsidRDefault="00DF410E"/>
    <w:p w14:paraId="3AD49D53" w14:textId="77777777" w:rsidR="00DF410E" w:rsidRDefault="00CE7F43">
      <w:r>
        <w:t> </w:t>
      </w:r>
    </w:p>
    <w:p w14:paraId="09A44B5A" w14:textId="77777777" w:rsidR="00DF410E" w:rsidRDefault="00CE7F43">
      <w:pPr>
        <w:pStyle w:val="pheading"/>
      </w:pPr>
      <w:r>
        <w:t>- Finitions</w:t>
      </w:r>
    </w:p>
    <w:p w14:paraId="7EEB7922" w14:textId="77777777" w:rsidR="00DF410E" w:rsidRDefault="00DF410E"/>
    <w:p w14:paraId="2A930B75" w14:textId="77777777" w:rsidR="00DF410E" w:rsidRDefault="00CE7F43">
      <w:pPr>
        <w:pStyle w:val="Author-eListParagraph"/>
        <w:numPr>
          <w:ilvl w:val="0"/>
          <w:numId w:val="205"/>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662B55F4" w14:textId="77777777" w:rsidR="00DF410E" w:rsidRDefault="00CE7F43">
      <w:pPr>
        <w:pStyle w:val="Author-eListParagraph"/>
        <w:numPr>
          <w:ilvl w:val="0"/>
          <w:numId w:val="205"/>
        </w:numPr>
      </w:pPr>
      <w:r>
        <w:t xml:space="preserve">Les murs suivants sont exécutés avec une face restant apparente : </w:t>
      </w:r>
      <w:r>
        <w:rPr>
          <w:rStyle w:val="optioncarChar"/>
        </w:rPr>
        <w:t>***</w:t>
      </w:r>
    </w:p>
    <w:p w14:paraId="278D524D" w14:textId="77777777" w:rsidR="00DF410E" w:rsidRDefault="00CE7F43">
      <w:pPr>
        <w:pStyle w:val="Author-eListParagraph"/>
        <w:numPr>
          <w:ilvl w:val="0"/>
          <w:numId w:val="205"/>
        </w:numPr>
      </w:pPr>
      <w:r>
        <w:t xml:space="preserve">Les murs suivants sont exécutés avec deux faces restant apparentes : </w:t>
      </w:r>
      <w:r>
        <w:rPr>
          <w:rStyle w:val="optioncarChar"/>
        </w:rPr>
        <w:t>***</w:t>
      </w:r>
    </w:p>
    <w:p w14:paraId="739B1395" w14:textId="77777777" w:rsidR="00DF410E" w:rsidRDefault="00CE7F43">
      <w:pPr>
        <w:pStyle w:val="pheading"/>
      </w:pPr>
      <w:r>
        <w:t>MESURAGE</w:t>
      </w:r>
    </w:p>
    <w:p w14:paraId="1F4B4380" w14:textId="77777777" w:rsidR="00DF410E" w:rsidRDefault="00CE7F43">
      <w:pPr>
        <w:pStyle w:val="pheading"/>
      </w:pPr>
      <w:r>
        <w:t>- unité de mesure:</w:t>
      </w:r>
    </w:p>
    <w:p w14:paraId="25694F75" w14:textId="77777777" w:rsidR="00DF410E" w:rsidRDefault="00CE7F43">
      <w:r>
        <w:rPr>
          <w:rStyle w:val="optioncarChar"/>
        </w:rPr>
        <w:t>m³ </w:t>
      </w:r>
      <w:r>
        <w:t>(par défaut)</w:t>
      </w:r>
      <w:r>
        <w:rPr>
          <w:rStyle w:val="optioncarChar"/>
        </w:rPr>
        <w:t> / m²</w:t>
      </w:r>
    </w:p>
    <w:p w14:paraId="5419F9B2" w14:textId="77777777" w:rsidR="00DF410E" w:rsidRDefault="00CE7F43">
      <w:r>
        <w:rPr>
          <w:b/>
        </w:rPr>
        <w:t>(soit par défaut)</w:t>
      </w:r>
    </w:p>
    <w:p w14:paraId="038CF25E" w14:textId="77777777" w:rsidR="00DF410E" w:rsidRDefault="00CE7F43">
      <w:r>
        <w:rPr>
          <w:rStyle w:val="soitChar"/>
        </w:rPr>
        <w:t>1. m³</w:t>
      </w:r>
    </w:p>
    <w:p w14:paraId="513AA550" w14:textId="77777777" w:rsidR="00DF410E" w:rsidRDefault="00CE7F43">
      <w:r>
        <w:rPr>
          <w:b/>
        </w:rPr>
        <w:t>(soit)</w:t>
      </w:r>
    </w:p>
    <w:p w14:paraId="51E4CB7F" w14:textId="77777777" w:rsidR="00DF410E" w:rsidRDefault="00CE7F43">
      <w:r>
        <w:rPr>
          <w:rStyle w:val="soitChar"/>
        </w:rPr>
        <w:t>2. m²</w:t>
      </w:r>
    </w:p>
    <w:p w14:paraId="515FB462" w14:textId="77777777" w:rsidR="00DF410E" w:rsidRDefault="00CE7F43">
      <w:pPr>
        <w:pStyle w:val="pheading"/>
      </w:pPr>
      <w:r>
        <w:t>- code de mesurage:</w:t>
      </w:r>
    </w:p>
    <w:p w14:paraId="5F97E6FF"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185A4D8"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F11D4FF"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A25355E" w14:textId="77777777" w:rsidR="00DF410E" w:rsidRDefault="00CE7F43">
      <w:r>
        <w:rPr>
          <w:rStyle w:val="optioncarChar"/>
        </w:rPr>
        <w:t>Volume net </w:t>
      </w:r>
      <w:r>
        <w:t>(par défaut)</w:t>
      </w:r>
      <w:r>
        <w:rPr>
          <w:rStyle w:val="optioncarChar"/>
        </w:rPr>
        <w:t> / Surface nette</w:t>
      </w:r>
    </w:p>
    <w:p w14:paraId="107D4539" w14:textId="77777777" w:rsidR="00DF410E" w:rsidRDefault="00CE7F43">
      <w:r>
        <w:rPr>
          <w:b/>
        </w:rPr>
        <w:t>(soit par défaut)</w:t>
      </w:r>
    </w:p>
    <w:p w14:paraId="30D548AA"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1517B00" w14:textId="77777777" w:rsidR="00DF410E" w:rsidRDefault="00CE7F43">
      <w:r>
        <w:rPr>
          <w:b/>
        </w:rPr>
        <w:t>(soit)</w:t>
      </w:r>
    </w:p>
    <w:p w14:paraId="2DE86F4A"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9023DE1" w14:textId="77777777" w:rsidR="00DF410E" w:rsidRDefault="00CE7F43">
      <w:pPr>
        <w:pStyle w:val="pheading"/>
      </w:pPr>
      <w:r>
        <w:t>- nature du marché:</w:t>
      </w:r>
    </w:p>
    <w:p w14:paraId="760CB777" w14:textId="77777777" w:rsidR="00DF410E" w:rsidRDefault="00CE7F43">
      <w:r>
        <w:t>QF</w:t>
      </w:r>
    </w:p>
    <w:p w14:paraId="60E746C4" w14:textId="77777777" w:rsidR="00DF410E" w:rsidRDefault="00CE7F43">
      <w:pPr>
        <w:pStyle w:val="Author-eSectionHeading5"/>
      </w:pPr>
      <w:bookmarkStart w:id="186" w:name="_Toc178837430"/>
      <w:r>
        <w:t>21.22.5 Maçonneries non portantes en béton cellulaire CCTB 01.11</w:t>
      </w:r>
      <w:bookmarkEnd w:id="186"/>
    </w:p>
    <w:p w14:paraId="2392B4D5" w14:textId="77777777" w:rsidR="00DF410E" w:rsidRDefault="00CE7F43">
      <w:pPr>
        <w:pStyle w:val="pheading"/>
      </w:pPr>
      <w:bookmarkStart w:id="187" w:name="390"/>
      <w:bookmarkEnd w:id="187"/>
      <w:r>
        <w:t>MATÉRIAUX</w:t>
      </w:r>
    </w:p>
    <w:p w14:paraId="4E300ADF" w14:textId="77777777" w:rsidR="00DF410E" w:rsidRDefault="00CE7F43">
      <w:r>
        <w:t>Il s'agit d'éléments en béton cellulaire (blocs / grands éléments, selon le cas), qui répondent à la norme [NBN EN 771-4+A1] et au [PTV 21-002]. L'entrepreneur soumet un échantillon, la fiche technique et la déclaration des performances (DoP) du matériau pour approbation à l'auteur de projet et au maître de l’ouvrage.</w:t>
      </w:r>
    </w:p>
    <w:p w14:paraId="241DEF65" w14:textId="77777777" w:rsidR="00DF410E" w:rsidRDefault="00CE7F43">
      <w:pPr>
        <w:pStyle w:val="pheading"/>
      </w:pPr>
      <w:r>
        <w:t>EXÉCUTION / MISE EN ŒUVRE</w:t>
      </w:r>
    </w:p>
    <w:p w14:paraId="2B75BC20" w14:textId="77777777" w:rsidR="00DF410E" w:rsidRDefault="00CE7F43">
      <w:r>
        <w:rPr>
          <w:u w:val="single"/>
        </w:rPr>
        <w:t>- Prescriptions générales</w:t>
      </w:r>
    </w:p>
    <w:p w14:paraId="5EBEE792" w14:textId="77777777" w:rsidR="00DF410E" w:rsidRDefault="00CE7F43">
      <w:r>
        <w:t>Conformément au mode de mise en œuvre, les éléments en béton cellulaire sont collés à l’aide d’un mortier-colle selon les indications du fabricant des blocs et des notes de calcul du bureau d’études.</w:t>
      </w:r>
    </w:p>
    <w:p w14:paraId="5CC6C4F9" w14:textId="77777777" w:rsidR="00DF410E" w:rsidRDefault="00CE7F43">
      <w:r>
        <w:t xml:space="preserve">Le mortier à coller (selon la norme [NBN EN 998-2] et le règlement d’application [TRA 651]) répond à la catégorie : </w:t>
      </w:r>
      <w:r>
        <w:rPr>
          <w:rStyle w:val="optioncarChar"/>
        </w:rPr>
        <w:t xml:space="preserve">M10 </w:t>
      </w:r>
      <w:r>
        <w:rPr>
          <w:rStyle w:val="optioncarChar"/>
          <w:color w:val="000000"/>
        </w:rPr>
        <w:t xml:space="preserve">(par défaut) </w:t>
      </w:r>
      <w:r>
        <w:rPr>
          <w:rStyle w:val="optioncarChar"/>
        </w:rPr>
        <w:t>/ ***</w:t>
      </w:r>
    </w:p>
    <w:p w14:paraId="507F64BD" w14:textId="77777777" w:rsidR="00DF410E" w:rsidRDefault="00CE7F43">
      <w:r>
        <w:t xml:space="preserve">L'épaisseur des joints est d'au moins </w:t>
      </w:r>
      <w:r>
        <w:rPr>
          <w:rStyle w:val="optioncarChar"/>
        </w:rPr>
        <w:t>2 </w:t>
      </w:r>
      <w:r>
        <w:t>(par défaut)</w:t>
      </w:r>
      <w:r>
        <w:rPr>
          <w:rStyle w:val="optioncarChar"/>
        </w:rPr>
        <w:t xml:space="preserve"> / ***</w:t>
      </w:r>
      <w:r>
        <w:t xml:space="preserve"> mm (tolérances suivant [NIT 208])</w:t>
      </w:r>
      <w:r>
        <w:br/>
        <w:t>Eléments de liaison et d'ancrage :</w:t>
      </w:r>
    </w:p>
    <w:p w14:paraId="42489029" w14:textId="77777777" w:rsidR="00DF410E" w:rsidRDefault="00CE7F43">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74CF4524" w14:textId="77777777" w:rsidR="00DF410E" w:rsidRDefault="00CE7F43">
      <w:r>
        <w:t xml:space="preserve">Isolation contre l'humidité : </w:t>
      </w:r>
      <w:r>
        <w:rPr>
          <w:rStyle w:val="optioncarChar"/>
        </w:rPr>
        <w:t>membranes en PE </w:t>
      </w:r>
      <w:r>
        <w:t>(par défaut)</w:t>
      </w:r>
      <w:r>
        <w:rPr>
          <w:rStyle w:val="optioncarChar"/>
        </w:rPr>
        <w:t xml:space="preserve"> / ***</w:t>
      </w:r>
      <w:r>
        <w:rPr>
          <w:rStyle w:val="normalChar"/>
        </w:rPr>
        <w:t xml:space="preserve"> conformément à l'article </w:t>
      </w:r>
      <w:hyperlink w:anchor="354" w:history="1">
        <w:r>
          <w:t>26.11 Feuilles et membranes d'étanchéité à l'eau</w:t>
        </w:r>
      </w:hyperlink>
      <w:r>
        <w:br/>
      </w:r>
      <w:r>
        <w:br/>
      </w:r>
    </w:p>
    <w:p w14:paraId="4E9C6486" w14:textId="77777777" w:rsidR="00DF410E" w:rsidRDefault="00CE7F43">
      <w:r>
        <w:rPr>
          <w:u w:val="single"/>
        </w:rPr>
        <w:t>- Notes d'exécution complémentaires</w:t>
      </w:r>
    </w:p>
    <w:p w14:paraId="60C938A0" w14:textId="77777777" w:rsidR="00DF410E" w:rsidRDefault="00CE7F43">
      <w:r>
        <w:t>Pour les maçonneries destinées à rester apparentes, seuls des éléments non endommagés sont utilisés.</w:t>
      </w:r>
    </w:p>
    <w:p w14:paraId="228E4B10" w14:textId="77777777" w:rsidR="00DF410E" w:rsidRDefault="00CE7F43">
      <w:r>
        <w:t xml:space="preserve">Les segments de murs sont pourvus d'armatures horizontales selon l'article </w:t>
      </w:r>
      <w:hyperlink w:anchor="355" w:history="1">
        <w:r>
          <w:t>21.41.1 Armatures horizontales pour maçonneries</w:t>
        </w:r>
      </w:hyperlink>
      <w:r>
        <w:t>.</w:t>
      </w:r>
    </w:p>
    <w:p w14:paraId="47E25EBB" w14:textId="77777777" w:rsidR="00DF410E" w:rsidRDefault="00CE7F43">
      <w:r>
        <w:t xml:space="preserve">Les segments de murs sont pourvus d'armatures verticales selon l'article </w:t>
      </w:r>
      <w:hyperlink w:anchor="356" w:history="1">
        <w:r>
          <w:t>21.41.2 Armatures verticales pour maçonneries</w:t>
        </w:r>
      </w:hyperlink>
      <w:r>
        <w:t>.</w:t>
      </w:r>
    </w:p>
    <w:p w14:paraId="5259156F" w14:textId="77777777" w:rsidR="00DF410E" w:rsidRDefault="00CE7F43">
      <w:r>
        <w:t xml:space="preserve">Les maçonneries de caves en contact avec les terres sont rendues étanches selon la description au chapitre </w:t>
      </w:r>
      <w:hyperlink w:anchor="357" w:history="1">
        <w:r>
          <w:t>26.12 Traitements d'étanchéisation</w:t>
        </w:r>
      </w:hyperlink>
      <w:r>
        <w:t>.</w:t>
      </w:r>
    </w:p>
    <w:p w14:paraId="3E981393" w14:textId="77777777" w:rsidR="00DF410E" w:rsidRDefault="00CE7F43">
      <w:r>
        <w:t xml:space="preserve">Crochets de mur : </w:t>
      </w:r>
      <w:r>
        <w:rPr>
          <w:rStyle w:val="optioncarChar"/>
        </w:rPr>
        <w:t xml:space="preserve">acier inoxydable </w:t>
      </w:r>
      <w:r>
        <w:t>(par défaut) </w:t>
      </w:r>
      <w:r>
        <w:rPr>
          <w:rStyle w:val="optioncarChar"/>
        </w:rPr>
        <w:t>/ ***</w:t>
      </w:r>
      <w:r>
        <w:t xml:space="preserve"> , diamètre minimal </w:t>
      </w:r>
      <w:r>
        <w:rPr>
          <w:rStyle w:val="optioncarChar"/>
        </w:rPr>
        <w:t>3,5 </w:t>
      </w:r>
      <w:r>
        <w:t>(par défaut) </w:t>
      </w:r>
      <w:r>
        <w:rPr>
          <w:rStyle w:val="optioncarChar"/>
        </w:rPr>
        <w:t>/ ***</w:t>
      </w:r>
      <w:r>
        <w:t xml:space="preserve"> mm</w:t>
      </w:r>
    </w:p>
    <w:p w14:paraId="6B33B67B" w14:textId="77777777" w:rsidR="00DF410E" w:rsidRDefault="00CE7F43">
      <w:r>
        <w:t xml:space="preserve">Linteaux : </w:t>
      </w:r>
      <w:r>
        <w:rPr>
          <w:rStyle w:val="optioncarChar"/>
        </w:rPr>
        <w:t>***</w:t>
      </w:r>
      <w:r>
        <w:t xml:space="preserve"> conformément à l’article </w:t>
      </w:r>
      <w:hyperlink w:anchor="358" w:history="1">
        <w:r>
          <w:t>22.13 Linteaux en béton</w:t>
        </w:r>
      </w:hyperlink>
    </w:p>
    <w:p w14:paraId="39EC82D9" w14:textId="77777777" w:rsidR="00DF410E" w:rsidRDefault="00CE7F43">
      <w:pPr>
        <w:pStyle w:val="pheading"/>
      </w:pPr>
      <w:r>
        <w:t>AIDE</w:t>
      </w:r>
    </w:p>
    <w:p w14:paraId="4164838B" w14:textId="77777777" w:rsidR="00DF410E" w:rsidRDefault="00CE7F43">
      <w:r>
        <w:t>Note à l'attention de l'auteur du projet : pour le choix adéquat du mortier, se référer à la [STS 22 série].</w:t>
      </w:r>
    </w:p>
    <w:p w14:paraId="481734A0" w14:textId="77777777" w:rsidR="00DF410E" w:rsidRDefault="00CE7F43">
      <w:pPr>
        <w:pStyle w:val="Author-eSectionHeading6"/>
      </w:pPr>
      <w:bookmarkStart w:id="188" w:name="_Toc178837431"/>
      <w:r>
        <w:t>21.22.5a Maçonneries non portantes en blocs de béton cellulaire CCTB 01.12</w:t>
      </w:r>
      <w:bookmarkEnd w:id="188"/>
    </w:p>
    <w:p w14:paraId="3D4AC2C1" w14:textId="77777777" w:rsidR="00DF410E" w:rsidRDefault="00CE7F43">
      <w:pPr>
        <w:pStyle w:val="pheading"/>
      </w:pPr>
      <w:r>
        <w:t>DESCRIPTION</w:t>
      </w:r>
    </w:p>
    <w:p w14:paraId="781E3DC7" w14:textId="77777777" w:rsidR="00DF410E" w:rsidRDefault="00CE7F43">
      <w:pPr>
        <w:pStyle w:val="pheading"/>
      </w:pPr>
      <w:r>
        <w:t>- Définition / Comprend</w:t>
      </w:r>
    </w:p>
    <w:p w14:paraId="3B34E910" w14:textId="77777777" w:rsidR="00DF410E" w:rsidRDefault="00CE7F43">
      <w:r>
        <w:t xml:space="preserve">Il s’agit de la fourniture et la pose de maçonneries non portantes en blocs de béton cellulaire. </w:t>
      </w:r>
      <w:r>
        <w:br/>
        <w:t xml:space="preserve">La portée des travaux est décrite dans l’article </w:t>
      </w:r>
      <w:hyperlink w:anchor="390" w:history="1">
        <w:r>
          <w:t>21.22.5 Maçonneries non portantes en béton cellulaire</w:t>
        </w:r>
      </w:hyperlink>
      <w:r>
        <w:t>.</w:t>
      </w:r>
      <w:r>
        <w:br/>
        <w:t>Les travaux comprennent également la fourniture et la pose des pièces d’angle, de terminaison et de rencontre.</w:t>
      </w:r>
    </w:p>
    <w:p w14:paraId="77DDE8B2" w14:textId="77777777" w:rsidR="00DF410E" w:rsidRDefault="00CE7F43">
      <w:pPr>
        <w:pStyle w:val="pheading"/>
      </w:pPr>
      <w:r>
        <w:t>- Localisation</w:t>
      </w:r>
    </w:p>
    <w:p w14:paraId="1734E55C" w14:textId="77777777" w:rsidR="00DF410E" w:rsidRDefault="00CE7F43">
      <w:r>
        <w:t xml:space="preserve">La pose est réalisée aux endroits suivants : </w:t>
      </w:r>
      <w:r>
        <w:rPr>
          <w:rStyle w:val="optioncarChar"/>
        </w:rPr>
        <w:t>***</w:t>
      </w:r>
      <w:r>
        <w:t>.</w:t>
      </w:r>
      <w:r>
        <w:br/>
        <w:t>Voir plans et métrés détaillés</w:t>
      </w:r>
    </w:p>
    <w:p w14:paraId="634FB517" w14:textId="77777777" w:rsidR="00DF410E" w:rsidRDefault="00CE7F43">
      <w:pPr>
        <w:pStyle w:val="pheading"/>
      </w:pPr>
      <w:r>
        <w:t>MATÉRIAUX</w:t>
      </w:r>
    </w:p>
    <w:p w14:paraId="03E315D1" w14:textId="77777777" w:rsidR="00DF410E" w:rsidRDefault="00CE7F43">
      <w:pPr>
        <w:pStyle w:val="pheading"/>
      </w:pPr>
      <w:r>
        <w:t>- Caractéristiques générales</w:t>
      </w:r>
    </w:p>
    <w:p w14:paraId="39C899F7" w14:textId="77777777" w:rsidR="00DF410E" w:rsidRDefault="00CE7F43">
      <w:r>
        <w:rPr>
          <w:rStyle w:val="headingChar"/>
        </w:rPr>
        <w:t>Spécifications</w:t>
      </w:r>
    </w:p>
    <w:p w14:paraId="5FC7648E"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(600 / *** </w:t>
      </w:r>
      <w:r>
        <w:t>x</w:t>
      </w:r>
      <w:r>
        <w:rPr>
          <w:rStyle w:val="optioncarChar"/>
        </w:rPr>
        <w:t> 200 / 250 / 500 / ***</w:t>
      </w:r>
      <w:r>
        <w:t> x</w:t>
      </w:r>
      <w:r>
        <w:rPr>
          <w:rStyle w:val="optioncarChar"/>
        </w:rPr>
        <w:t> 150 / 175 / 200 / 240 / 300 / 365 ***</w:t>
      </w:r>
      <w:r>
        <w:t> ) mm</w:t>
      </w:r>
      <w:r>
        <w:br/>
      </w:r>
      <w:r>
        <w:br/>
        <w:t>Stabilité de forme : les éléments en béton cellulaire destinés à un usage extérieur ou en maçonnerie souterraine respectent le critère suivant en matière de comportement à l'humidité : retrait et gonflement hygrométriques ≤ 0.45 mm / m (cf. [NBN EN 772 série] et [NBN EN 680]).</w:t>
      </w:r>
      <w:r>
        <w:br/>
      </w:r>
      <w:r>
        <w:br/>
        <w:t xml:space="preserve">Absorption d’eau par capillarité : code A inférieur à </w:t>
      </w:r>
      <w:r>
        <w:rPr>
          <w:rStyle w:val="optioncarChar"/>
        </w:rPr>
        <w:t xml:space="preserve">4500 g/m² en 10 min </w:t>
      </w:r>
      <w:r>
        <w:t>(par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7F6994E4" w14:textId="77777777" w:rsidR="00DF410E" w:rsidRDefault="00CE7F43">
      <w:r>
        <w:t>Coefficient de transmission :</w:t>
      </w:r>
    </w:p>
    <w:p w14:paraId="1081F1F5" w14:textId="77777777" w:rsidR="00DF410E" w:rsidRDefault="00CE7F43">
      <w:pPr>
        <w:pStyle w:val="Author-eListParagraph"/>
        <w:numPr>
          <w:ilvl w:val="0"/>
          <w:numId w:val="206"/>
        </w:numPr>
      </w:pPr>
      <w:r>
        <w:t xml:space="preserve">valeur U minimale de </w:t>
      </w:r>
      <w:r>
        <w:rPr>
          <w:rStyle w:val="optioncarChar"/>
        </w:rPr>
        <w:t>***</w:t>
      </w:r>
      <w:r>
        <w:t xml:space="preserve"> W/m²K</w:t>
      </w:r>
    </w:p>
    <w:p w14:paraId="642BF2AF" w14:textId="77777777" w:rsidR="00DF410E" w:rsidRDefault="00CE7F43">
      <w:pPr>
        <w:pStyle w:val="Author-eListParagraph"/>
        <w:numPr>
          <w:ilvl w:val="0"/>
          <w:numId w:val="20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50A03A3" w14:textId="77777777" w:rsidR="00DF410E" w:rsidRDefault="00CE7F43">
      <w:r>
        <w:br/>
        <w:t xml:space="preserve">Résistance au feu : </w:t>
      </w:r>
      <w:r>
        <w:rPr>
          <w:rStyle w:val="optioncarChar"/>
        </w:rPr>
        <w:t>EI30</w:t>
      </w:r>
      <w:r>
        <w:t> (par défaut)</w:t>
      </w:r>
      <w:r>
        <w:rPr>
          <w:rStyle w:val="optioncarChar"/>
        </w:rPr>
        <w:t xml:space="preserve"> / EI60/ EI90 / EI120 / EI***</w:t>
      </w:r>
    </w:p>
    <w:p w14:paraId="6C3A3271" w14:textId="77777777" w:rsidR="00DF410E" w:rsidRDefault="00CE7F43">
      <w:r>
        <w:t>selon les tableaux dans [NBN EN 1996-1-2 ANB].</w:t>
      </w:r>
    </w:p>
    <w:p w14:paraId="0FAE1C07" w14:textId="77777777" w:rsidR="00DF410E" w:rsidRDefault="00DF410E"/>
    <w:p w14:paraId="2575FF81" w14:textId="77777777" w:rsidR="00DF410E" w:rsidRDefault="00CE7F43">
      <w:r>
        <w:t> </w:t>
      </w:r>
    </w:p>
    <w:p w14:paraId="3AD7ABDD" w14:textId="77777777" w:rsidR="00DF410E" w:rsidRDefault="00CE7F43">
      <w:pPr>
        <w:pStyle w:val="pheading"/>
      </w:pPr>
      <w:r>
        <w:t>- Finitions</w:t>
      </w:r>
    </w:p>
    <w:p w14:paraId="7EE9195E" w14:textId="77777777" w:rsidR="00DF410E" w:rsidRDefault="00DF410E"/>
    <w:p w14:paraId="4F7F346B" w14:textId="77777777" w:rsidR="00DF410E" w:rsidRDefault="00CE7F43">
      <w:pPr>
        <w:pStyle w:val="Author-eListParagraph"/>
        <w:numPr>
          <w:ilvl w:val="0"/>
          <w:numId w:val="207"/>
        </w:numPr>
      </w:pPr>
      <w:r>
        <w:t xml:space="preserve">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xml:space="preserve"> : </w:t>
      </w:r>
      <w:r>
        <w:rPr>
          <w:rStyle w:val="optioncarChar"/>
        </w:rPr>
        <w:t>***</w:t>
      </w:r>
    </w:p>
    <w:p w14:paraId="5E0ABDB8" w14:textId="77777777" w:rsidR="00DF410E" w:rsidRDefault="00CE7F43">
      <w:pPr>
        <w:pStyle w:val="Author-eListParagraph"/>
        <w:numPr>
          <w:ilvl w:val="0"/>
          <w:numId w:val="207"/>
        </w:numPr>
      </w:pPr>
      <w:r>
        <w:t xml:space="preserve">Les murs suivants sont exécutés avec une face restant apparente : </w:t>
      </w:r>
      <w:r>
        <w:rPr>
          <w:rStyle w:val="optioncarChar"/>
        </w:rPr>
        <w:t>***</w:t>
      </w:r>
    </w:p>
    <w:p w14:paraId="5D1D154F" w14:textId="77777777" w:rsidR="00DF410E" w:rsidRDefault="00CE7F43">
      <w:pPr>
        <w:pStyle w:val="Author-eListParagraph"/>
        <w:numPr>
          <w:ilvl w:val="0"/>
          <w:numId w:val="207"/>
        </w:numPr>
      </w:pPr>
      <w:r>
        <w:t xml:space="preserve">Les murs suivants sont exécutés avec deux faces restant apparentes : </w:t>
      </w:r>
      <w:r>
        <w:rPr>
          <w:rStyle w:val="optioncarChar"/>
        </w:rPr>
        <w:t>***</w:t>
      </w:r>
    </w:p>
    <w:p w14:paraId="3FC74CE5"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5BDDB4D2" w14:textId="77777777" w:rsidR="00DF410E" w:rsidRDefault="00CE7F43">
      <w:pPr>
        <w:pStyle w:val="pheading"/>
      </w:pPr>
      <w:r>
        <w:t>MESURAGE</w:t>
      </w:r>
    </w:p>
    <w:p w14:paraId="636ECF01" w14:textId="77777777" w:rsidR="00DF410E" w:rsidRDefault="00CE7F43">
      <w:pPr>
        <w:pStyle w:val="pheading"/>
      </w:pPr>
      <w:r>
        <w:t>- unité de mesure:</w:t>
      </w:r>
    </w:p>
    <w:p w14:paraId="2D0836BA" w14:textId="77777777" w:rsidR="00DF410E" w:rsidRDefault="00CE7F43">
      <w:r>
        <w:rPr>
          <w:rStyle w:val="optioncarChar"/>
        </w:rPr>
        <w:t>m³ </w:t>
      </w:r>
      <w:r>
        <w:t>(par défaut)</w:t>
      </w:r>
      <w:r>
        <w:rPr>
          <w:rStyle w:val="optioncarChar"/>
        </w:rPr>
        <w:t> / m²</w:t>
      </w:r>
    </w:p>
    <w:p w14:paraId="2F283D7C" w14:textId="77777777" w:rsidR="00DF410E" w:rsidRDefault="00CE7F43">
      <w:r>
        <w:rPr>
          <w:b/>
        </w:rPr>
        <w:t>(soit par défaut)</w:t>
      </w:r>
    </w:p>
    <w:p w14:paraId="35CB9590" w14:textId="77777777" w:rsidR="00DF410E" w:rsidRDefault="00CE7F43">
      <w:r>
        <w:rPr>
          <w:rStyle w:val="soitChar"/>
        </w:rPr>
        <w:t>1. m³</w:t>
      </w:r>
    </w:p>
    <w:p w14:paraId="5E359525" w14:textId="77777777" w:rsidR="00DF410E" w:rsidRDefault="00CE7F43">
      <w:r>
        <w:rPr>
          <w:b/>
        </w:rPr>
        <w:t>(soit)</w:t>
      </w:r>
    </w:p>
    <w:p w14:paraId="48A7927E" w14:textId="77777777" w:rsidR="00DF410E" w:rsidRDefault="00CE7F43">
      <w:r>
        <w:rPr>
          <w:rStyle w:val="soitChar"/>
        </w:rPr>
        <w:t>2. m²</w:t>
      </w:r>
    </w:p>
    <w:p w14:paraId="5FABD4BF" w14:textId="77777777" w:rsidR="00DF410E" w:rsidRDefault="00CE7F43">
      <w:pPr>
        <w:pStyle w:val="pheading"/>
      </w:pPr>
      <w:r>
        <w:t>- code de mesurage:</w:t>
      </w:r>
    </w:p>
    <w:p w14:paraId="5E0D8F95"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94A2C0F"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D8908A0"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D1CBF69" w14:textId="77777777" w:rsidR="00DF410E" w:rsidRDefault="00CE7F43">
      <w:r>
        <w:rPr>
          <w:rStyle w:val="optioncarChar"/>
        </w:rPr>
        <w:t>Volume net </w:t>
      </w:r>
      <w:r>
        <w:t>(par défaut)</w:t>
      </w:r>
      <w:r>
        <w:rPr>
          <w:rStyle w:val="optioncarChar"/>
        </w:rPr>
        <w:t> / Surface nette</w:t>
      </w:r>
    </w:p>
    <w:p w14:paraId="62E7FE74" w14:textId="77777777" w:rsidR="00DF410E" w:rsidRDefault="00CE7F43">
      <w:r>
        <w:rPr>
          <w:b/>
        </w:rPr>
        <w:t>(soit par défaut)</w:t>
      </w:r>
    </w:p>
    <w:p w14:paraId="791983C6"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2E148C0" w14:textId="77777777" w:rsidR="00DF410E" w:rsidRDefault="00CE7F43">
      <w:r>
        <w:rPr>
          <w:b/>
        </w:rPr>
        <w:t>(soit)</w:t>
      </w:r>
    </w:p>
    <w:p w14:paraId="77B0D779"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5647221C" w14:textId="77777777" w:rsidR="00DF410E" w:rsidRDefault="00DF410E"/>
    <w:p w14:paraId="01F46E68" w14:textId="77777777" w:rsidR="00DF410E" w:rsidRDefault="00CE7F43">
      <w:r>
        <w:t> </w:t>
      </w:r>
    </w:p>
    <w:p w14:paraId="193C4448" w14:textId="77777777" w:rsidR="00DF410E" w:rsidRDefault="00CE7F43">
      <w:pPr>
        <w:pStyle w:val="pheading"/>
      </w:pPr>
      <w:r>
        <w:t>- nature du marché:</w:t>
      </w:r>
    </w:p>
    <w:p w14:paraId="38142FFD" w14:textId="77777777" w:rsidR="00DF410E" w:rsidRDefault="00CE7F43">
      <w:r>
        <w:t>QF</w:t>
      </w:r>
    </w:p>
    <w:p w14:paraId="7981BF5E" w14:textId="77777777" w:rsidR="00DF410E" w:rsidRDefault="00CE7F43">
      <w:pPr>
        <w:pStyle w:val="Author-eSectionHeading6"/>
      </w:pPr>
      <w:bookmarkStart w:id="189" w:name="_Toc178837432"/>
      <w:r>
        <w:t>21.22.5b Maçonneries non portantes en carreaux de béton cellulaire CCTB 01.12</w:t>
      </w:r>
      <w:bookmarkEnd w:id="189"/>
    </w:p>
    <w:p w14:paraId="01977DC7" w14:textId="77777777" w:rsidR="00DF410E" w:rsidRDefault="00CE7F43">
      <w:pPr>
        <w:pStyle w:val="pheading"/>
      </w:pPr>
      <w:r>
        <w:t>DESCRIPTION</w:t>
      </w:r>
    </w:p>
    <w:p w14:paraId="2BC0DBE3" w14:textId="77777777" w:rsidR="00DF410E" w:rsidRDefault="00CE7F43">
      <w:pPr>
        <w:pStyle w:val="pheading"/>
      </w:pPr>
      <w:r>
        <w:t>- Définition / Comprend</w:t>
      </w:r>
    </w:p>
    <w:p w14:paraId="20C06DD5" w14:textId="77777777" w:rsidR="00DF410E" w:rsidRDefault="00CE7F43">
      <w:r>
        <w:t xml:space="preserve">Il s’agit de la fourniture et la pose de maçonneries non portantes en carreaux de béton cellulaire. </w:t>
      </w:r>
      <w:r>
        <w:br/>
        <w:t xml:space="preserve">La portée des travaux est décrite dans l’article </w:t>
      </w:r>
      <w:hyperlink w:anchor="390" w:history="1">
        <w:r>
          <w:t>21.22.5 Maçonneries non portantes en béton cellulaire</w:t>
        </w:r>
      </w:hyperlink>
      <w:r>
        <w:t xml:space="preserve">. </w:t>
      </w:r>
      <w:r>
        <w:br/>
        <w:t>Les travaux comprennent également la fourniture et la pose des pièces d’angle, de terminaison et de rencontre.</w:t>
      </w:r>
    </w:p>
    <w:p w14:paraId="1142459B" w14:textId="77777777" w:rsidR="00DF410E" w:rsidRDefault="00CE7F43">
      <w:pPr>
        <w:pStyle w:val="pheading"/>
      </w:pPr>
      <w:r>
        <w:t>- Localisation</w:t>
      </w:r>
    </w:p>
    <w:p w14:paraId="36751680" w14:textId="77777777" w:rsidR="00DF410E" w:rsidRDefault="00CE7F43">
      <w:r>
        <w:t xml:space="preserve">La pose est réalisée aux endroits suivants : </w:t>
      </w:r>
      <w:r>
        <w:rPr>
          <w:rStyle w:val="optioncarChar"/>
        </w:rPr>
        <w:t>***</w:t>
      </w:r>
      <w:r>
        <w:t>.</w:t>
      </w:r>
      <w:r>
        <w:br/>
        <w:t>Voir plans et métrés détaillés.</w:t>
      </w:r>
    </w:p>
    <w:p w14:paraId="44ECFDC2" w14:textId="77777777" w:rsidR="00DF410E" w:rsidRDefault="00CE7F43">
      <w:pPr>
        <w:pStyle w:val="pheading"/>
      </w:pPr>
      <w:r>
        <w:t>MATÉRIAUX</w:t>
      </w:r>
    </w:p>
    <w:p w14:paraId="52CFE81F" w14:textId="77777777" w:rsidR="00DF410E" w:rsidRDefault="00CE7F43">
      <w:pPr>
        <w:pStyle w:val="pheading"/>
      </w:pPr>
      <w:r>
        <w:t>- Caractéristiques générales</w:t>
      </w:r>
    </w:p>
    <w:p w14:paraId="0D08D5A4" w14:textId="77777777" w:rsidR="00DF410E" w:rsidRDefault="00CE7F43">
      <w:r>
        <w:rPr>
          <w:rStyle w:val="headingChar"/>
        </w:rPr>
        <w:t>Spécifications</w:t>
      </w:r>
    </w:p>
    <w:p w14:paraId="26F8A908" w14:textId="77777777" w:rsidR="00DF410E" w:rsidRDefault="00CE7F43">
      <w:r>
        <w:t>En ce qui concerne la déclaration de la résistance à la compression, les grands éléments sont de catégorie I (la résistance à la compression est déclarée avec une fiabilité de 95%).</w:t>
      </w:r>
      <w:r>
        <w:br/>
      </w:r>
      <w:r>
        <w:br/>
        <w:t xml:space="preserve">Les éléments en béton cellulaire sont de classe d’usage </w:t>
      </w:r>
      <w:r>
        <w:rPr>
          <w:rStyle w:val="optioncarChar"/>
        </w:rPr>
        <w:t>D</w:t>
      </w:r>
      <w:r>
        <w:br/>
      </w:r>
      <w:r>
        <w:br/>
        <w:t xml:space="preserve">La classe de qualité suivant [PTV 21-002] est : </w:t>
      </w:r>
      <w:r>
        <w:rPr>
          <w:rStyle w:val="optioncarChar"/>
        </w:rPr>
        <w:t>C4/550 / ***</w:t>
      </w:r>
      <w:r>
        <w:br/>
      </w:r>
      <w:r>
        <w:br/>
        <w:t>La résistance en compression normalisée (f</w:t>
      </w:r>
      <w:r>
        <w:rPr>
          <w:vertAlign w:val="subscript"/>
        </w:rPr>
        <w:t>b</w:t>
      </w:r>
      <w:r>
        <w:t>) / moyenne (f</w:t>
      </w:r>
      <w:r>
        <w:rPr>
          <w:vertAlign w:val="subscript"/>
        </w:rPr>
        <w:t>mean</w:t>
      </w:r>
      <w:r>
        <w:t xml:space="preserve">) suivant [NBN EN 1996 série] est au minimum: </w:t>
      </w:r>
      <w:r>
        <w:rPr>
          <w:rStyle w:val="optioncarChar"/>
        </w:rPr>
        <w:t>4 / ***</w:t>
      </w:r>
      <w:r>
        <w:t xml:space="preserve"> N/mm² (MPa) (classe f</w:t>
      </w:r>
      <w:r>
        <w:rPr>
          <w:rStyle w:val="optioncarChar"/>
        </w:rPr>
        <w:t xml:space="preserve"> ***</w:t>
      </w:r>
      <w:r>
        <w:t xml:space="preserve">) (selon [NBN EN 771-4+A1]).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w:t>
      </w:r>
      <w:r>
        <w:rPr>
          <w:rStyle w:val="optioncarChar"/>
        </w:rPr>
        <w:t>lisse </w:t>
      </w:r>
      <w:r>
        <w:t>(par défaut)</w:t>
      </w:r>
      <w:r>
        <w:rPr>
          <w:rStyle w:val="optioncarChar"/>
        </w:rPr>
        <w:t xml:space="preserve"> /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 xml:space="preserve">(par défaut) </w:t>
      </w:r>
      <w:r>
        <w:rPr>
          <w:rStyle w:val="optioncarChar"/>
        </w:rPr>
        <w:t>/ ***</w:t>
      </w:r>
      <w:r>
        <w:br/>
      </w:r>
      <w:r>
        <w:br/>
        <w:t>Format : (L x l x h) :</w:t>
      </w:r>
      <w:r>
        <w:rPr>
          <w:rStyle w:val="optioncarChar"/>
        </w:rPr>
        <w:t> format modulaire proposé par l'entrepreneur</w:t>
      </w:r>
      <w:r>
        <w:t> (par défaut) </w:t>
      </w:r>
      <w:r>
        <w:rPr>
          <w:rStyle w:val="optioncarChar"/>
        </w:rPr>
        <w:t>/ (600 / 1200 / *** </w:t>
      </w:r>
      <w:r>
        <w:t>x</w:t>
      </w:r>
      <w:r>
        <w:rPr>
          <w:rStyle w:val="optioncarChar"/>
        </w:rPr>
        <w:t> 500 /600 / ***</w:t>
      </w:r>
      <w:r>
        <w:t> x</w:t>
      </w:r>
      <w:r>
        <w:rPr>
          <w:rStyle w:val="optioncarChar"/>
        </w:rPr>
        <w:t> 70 / 100 / 200 / 240 /300 / 365 / ***</w:t>
      </w:r>
      <w:r>
        <w:t> ) mm</w:t>
      </w:r>
      <w:r>
        <w:br/>
        <w:t xml:space="preserve">longueur : </w:t>
      </w:r>
      <w:r>
        <w:rPr>
          <w:rStyle w:val="optioncarChar"/>
        </w:rPr>
        <w:t>600 / 1200 / *** mm / au choix de l'entrepreneur</w:t>
      </w:r>
      <w:r>
        <w:br/>
        <w:t xml:space="preserve">hauteur : </w:t>
      </w:r>
      <w:r>
        <w:rPr>
          <w:rStyle w:val="optioncarChar"/>
        </w:rPr>
        <w:t>500 / 600 / *** mm / au choix de l'entrepreneur</w:t>
      </w:r>
      <w:r>
        <w:br/>
        <w:t xml:space="preserve">largeur : </w:t>
      </w:r>
      <w:r>
        <w:rPr>
          <w:rStyle w:val="optioncarChar"/>
        </w:rPr>
        <w:t>70 / 100 / 200 / 240 / 300 / 365 / ***</w:t>
      </w:r>
      <w:r>
        <w:t xml:space="preserve"> mm </w:t>
      </w:r>
      <w:r>
        <w:br/>
      </w:r>
      <w:r>
        <w:br/>
        <w:t>Stabilité de forme : les éléments en béton cellulaire destinés à un usage extérieur ou en maçonnerie souterraine respectent le critère suivant en matière de comportement à l'humidité : retrait et gonflement hygrométriques ≤ 0.45 mm / m (cf. [NBN EN 772 série] et [NBN EN 680]).</w:t>
      </w:r>
    </w:p>
    <w:p w14:paraId="2C795114" w14:textId="77777777" w:rsidR="00DF410E" w:rsidRDefault="00CE7F43">
      <w:r>
        <w:t xml:space="preserve">Absorption d’eau par capillarité : code A inférieur à </w:t>
      </w:r>
      <w:r>
        <w:rPr>
          <w:rStyle w:val="optioncarChar"/>
        </w:rPr>
        <w:t>4500 g/m² en 10 min </w:t>
      </w:r>
      <w:r>
        <w:t xml:space="preserve">(par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45283672" w14:textId="77777777" w:rsidR="00DF410E" w:rsidRDefault="00CE7F43">
      <w:r>
        <w:t>Coefficient de transmission :</w:t>
      </w:r>
    </w:p>
    <w:p w14:paraId="32BD8683" w14:textId="77777777" w:rsidR="00DF410E" w:rsidRDefault="00CE7F43">
      <w:pPr>
        <w:pStyle w:val="Author-eListParagraph"/>
        <w:numPr>
          <w:ilvl w:val="0"/>
          <w:numId w:val="208"/>
        </w:numPr>
      </w:pPr>
      <w:r>
        <w:t xml:space="preserve">valeur U minimale de </w:t>
      </w:r>
      <w:r>
        <w:rPr>
          <w:rStyle w:val="optioncarChar"/>
        </w:rPr>
        <w:t>***</w:t>
      </w:r>
      <w:r>
        <w:t xml:space="preserve"> W/m²K</w:t>
      </w:r>
    </w:p>
    <w:p w14:paraId="2BDE13ED" w14:textId="77777777" w:rsidR="00DF410E" w:rsidRDefault="00CE7F43">
      <w:pPr>
        <w:pStyle w:val="Author-eListParagraph"/>
        <w:numPr>
          <w:ilvl w:val="0"/>
          <w:numId w:val="20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1AF37C1" w14:textId="77777777" w:rsidR="00DF410E" w:rsidRDefault="00CE7F43">
      <w:r>
        <w:br/>
        <w:t xml:space="preserve">Résistance au feu pour les éléments non porteurs avec fonction séparante : </w:t>
      </w:r>
      <w:r>
        <w:rPr>
          <w:rStyle w:val="optioncarChar"/>
        </w:rPr>
        <w:t>EI 30 </w:t>
      </w:r>
      <w:r>
        <w:t>(par défaut)</w:t>
      </w:r>
      <w:r>
        <w:rPr>
          <w:rStyle w:val="optioncarChar"/>
        </w:rPr>
        <w:t xml:space="preserve"> / EI 60/ EI 90 / EI 120 / EI ***</w:t>
      </w:r>
      <w:r>
        <w:br/>
        <w:t>selon les tableaux dans [NBN EN 1996-1-2 ANB]</w:t>
      </w:r>
    </w:p>
    <w:p w14:paraId="39FA939F" w14:textId="77777777" w:rsidR="00DF410E" w:rsidRDefault="00DF410E"/>
    <w:p w14:paraId="5CFE108E" w14:textId="77777777" w:rsidR="00DF410E" w:rsidRDefault="00CE7F43">
      <w:r>
        <w:t> </w:t>
      </w:r>
    </w:p>
    <w:p w14:paraId="19CE079B" w14:textId="77777777" w:rsidR="00DF410E" w:rsidRDefault="00CE7F43">
      <w:pPr>
        <w:pStyle w:val="pheading"/>
      </w:pPr>
      <w:r>
        <w:t>- Finitions</w:t>
      </w:r>
    </w:p>
    <w:p w14:paraId="10068DFE" w14:textId="77777777" w:rsidR="00DF410E" w:rsidRDefault="00DF410E"/>
    <w:p w14:paraId="66820417" w14:textId="77777777" w:rsidR="00DF410E" w:rsidRDefault="00CE7F43">
      <w:pPr>
        <w:pStyle w:val="Author-eListParagraph"/>
        <w:numPr>
          <w:ilvl w:val="0"/>
          <w:numId w:val="209"/>
        </w:numPr>
      </w:pPr>
      <w:r>
        <w:t xml:space="preserve">Les murs suivants sont exécutés avec une face restant apparente : </w:t>
      </w:r>
      <w:r>
        <w:rPr>
          <w:rStyle w:val="optioncarChar"/>
        </w:rPr>
        <w:t>***</w:t>
      </w:r>
    </w:p>
    <w:p w14:paraId="24E3D6C0" w14:textId="77777777" w:rsidR="00DF410E" w:rsidRDefault="00CE7F43">
      <w:pPr>
        <w:pStyle w:val="Author-eListParagraph"/>
        <w:numPr>
          <w:ilvl w:val="0"/>
          <w:numId w:val="209"/>
        </w:numPr>
      </w:pPr>
      <w:r>
        <w:t xml:space="preserve">Les murs suivants sont exécutés avec deux faces restant apparentes : </w:t>
      </w:r>
      <w:r>
        <w:rPr>
          <w:rStyle w:val="optioncarChar"/>
        </w:rPr>
        <w:t>***</w:t>
      </w:r>
    </w:p>
    <w:p w14:paraId="53B248E8" w14:textId="77777777" w:rsidR="00DF410E" w:rsidRDefault="00DF410E"/>
    <w:p w14:paraId="79A3DF38" w14:textId="77777777" w:rsidR="00DF410E" w:rsidRDefault="00CE7F43">
      <w:pPr>
        <w:pStyle w:val="pheading"/>
      </w:pPr>
      <w:r>
        <w:t>- Prescriptions complémentaires</w:t>
      </w:r>
    </w:p>
    <w:p w14:paraId="1EB7599D"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7AF58FA8" w14:textId="77777777" w:rsidR="00DF410E" w:rsidRDefault="00CE7F43">
      <w:pPr>
        <w:pStyle w:val="pheading"/>
      </w:pPr>
      <w:r>
        <w:t>MESURAGE</w:t>
      </w:r>
    </w:p>
    <w:p w14:paraId="39952601" w14:textId="77777777" w:rsidR="00DF410E" w:rsidRDefault="00CE7F43">
      <w:pPr>
        <w:pStyle w:val="pheading"/>
      </w:pPr>
      <w:r>
        <w:t>- unité de mesure:</w:t>
      </w:r>
    </w:p>
    <w:p w14:paraId="29DFC583" w14:textId="77777777" w:rsidR="00DF410E" w:rsidRDefault="00CE7F43">
      <w:r>
        <w:rPr>
          <w:rStyle w:val="optioncarChar"/>
        </w:rPr>
        <w:t>m³ </w:t>
      </w:r>
      <w:r>
        <w:t>(par défaut)</w:t>
      </w:r>
      <w:r>
        <w:rPr>
          <w:rStyle w:val="optioncarChar"/>
        </w:rPr>
        <w:t> / m²</w:t>
      </w:r>
    </w:p>
    <w:p w14:paraId="08A90191" w14:textId="77777777" w:rsidR="00DF410E" w:rsidRDefault="00CE7F43">
      <w:r>
        <w:rPr>
          <w:b/>
        </w:rPr>
        <w:t>(soit par défaut)</w:t>
      </w:r>
    </w:p>
    <w:p w14:paraId="56ADDC62" w14:textId="77777777" w:rsidR="00DF410E" w:rsidRDefault="00CE7F43">
      <w:r>
        <w:rPr>
          <w:rStyle w:val="soitChar"/>
        </w:rPr>
        <w:t>1. m³</w:t>
      </w:r>
    </w:p>
    <w:p w14:paraId="66EC8B18" w14:textId="77777777" w:rsidR="00DF410E" w:rsidRDefault="00CE7F43">
      <w:r>
        <w:rPr>
          <w:b/>
        </w:rPr>
        <w:t>(soit)</w:t>
      </w:r>
    </w:p>
    <w:p w14:paraId="1BA0FC5A" w14:textId="77777777" w:rsidR="00DF410E" w:rsidRDefault="00CE7F43">
      <w:r>
        <w:rPr>
          <w:rStyle w:val="soitChar"/>
        </w:rPr>
        <w:t>2. m²</w:t>
      </w:r>
    </w:p>
    <w:p w14:paraId="09FDBA00" w14:textId="77777777" w:rsidR="00DF410E" w:rsidRDefault="00CE7F43">
      <w:pPr>
        <w:pStyle w:val="pheading"/>
      </w:pPr>
      <w:r>
        <w:t>- code de mesurage:</w:t>
      </w:r>
    </w:p>
    <w:p w14:paraId="65D55968"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4D3C897"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BC33295"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A783CEB" w14:textId="77777777" w:rsidR="00DF410E" w:rsidRDefault="00CE7F43">
      <w:r>
        <w:rPr>
          <w:rStyle w:val="optioncarChar"/>
        </w:rPr>
        <w:t>Volume net </w:t>
      </w:r>
      <w:r>
        <w:t>(par défaut)</w:t>
      </w:r>
      <w:r>
        <w:rPr>
          <w:rStyle w:val="optioncarChar"/>
        </w:rPr>
        <w:t> / Surface nette</w:t>
      </w:r>
    </w:p>
    <w:p w14:paraId="51C5E574" w14:textId="77777777" w:rsidR="00DF410E" w:rsidRDefault="00CE7F43">
      <w:r>
        <w:rPr>
          <w:b/>
        </w:rPr>
        <w:t>(soit par défaut)</w:t>
      </w:r>
    </w:p>
    <w:p w14:paraId="30006411"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A0B9A3F" w14:textId="77777777" w:rsidR="00DF410E" w:rsidRDefault="00CE7F43">
      <w:r>
        <w:rPr>
          <w:b/>
        </w:rPr>
        <w:t>(soit)</w:t>
      </w:r>
    </w:p>
    <w:p w14:paraId="4A2933F5"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9BB2C60" w14:textId="77777777" w:rsidR="00DF410E" w:rsidRDefault="00DF410E"/>
    <w:p w14:paraId="0CA227B5" w14:textId="77777777" w:rsidR="00DF410E" w:rsidRDefault="00DF410E"/>
    <w:p w14:paraId="43DA1382" w14:textId="77777777" w:rsidR="00DF410E" w:rsidRDefault="00CE7F43">
      <w:r>
        <w:t> </w:t>
      </w:r>
    </w:p>
    <w:p w14:paraId="202B4A61" w14:textId="77777777" w:rsidR="00DF410E" w:rsidRDefault="00CE7F43">
      <w:pPr>
        <w:pStyle w:val="pheading"/>
      </w:pPr>
      <w:r>
        <w:t>- nature du marché:</w:t>
      </w:r>
    </w:p>
    <w:p w14:paraId="37D13126" w14:textId="77777777" w:rsidR="00DF410E" w:rsidRDefault="00CE7F43">
      <w:r>
        <w:t>QF</w:t>
      </w:r>
    </w:p>
    <w:p w14:paraId="6F574456" w14:textId="77777777" w:rsidR="00DF410E" w:rsidRDefault="00CE7F43">
      <w:pPr>
        <w:pStyle w:val="Author-eSectionHeading5"/>
      </w:pPr>
      <w:bookmarkStart w:id="190" w:name="_Toc178837433"/>
      <w:r>
        <w:t>21.22.6 Maçonneries non portantes en blocs de plâtre CCTB 01.04</w:t>
      </w:r>
      <w:bookmarkEnd w:id="190"/>
    </w:p>
    <w:p w14:paraId="01E586AA" w14:textId="77777777" w:rsidR="00DF410E" w:rsidRDefault="00CE7F43">
      <w:pPr>
        <w:pStyle w:val="Author-eSectionHeading6"/>
      </w:pPr>
      <w:bookmarkStart w:id="191" w:name="391"/>
      <w:bookmarkStart w:id="192" w:name="_Toc178837434"/>
      <w:bookmarkEnd w:id="191"/>
      <w:r>
        <w:t>21.22.6a Maçonneries non portantes en blocs de plâtre CCTB 01.11</w:t>
      </w:r>
      <w:bookmarkEnd w:id="192"/>
    </w:p>
    <w:p w14:paraId="5D6BDF21" w14:textId="77777777" w:rsidR="00DF410E" w:rsidRDefault="00CE7F43">
      <w:pPr>
        <w:pStyle w:val="pheading"/>
      </w:pPr>
      <w:r>
        <w:t>DESCRIPTION</w:t>
      </w:r>
    </w:p>
    <w:p w14:paraId="0E5BD7C0" w14:textId="77777777" w:rsidR="00DF410E" w:rsidRDefault="00CE7F43">
      <w:pPr>
        <w:pStyle w:val="pheading"/>
      </w:pPr>
      <w:r>
        <w:t>- Définition / Comprend</w:t>
      </w:r>
    </w:p>
    <w:p w14:paraId="7470944C" w14:textId="77777777" w:rsidR="00DF410E" w:rsidRDefault="00CE7F43">
      <w:r>
        <w:t xml:space="preserve">Il s’agit de la fourniture et la pose de maçonneries non portantes en blocs de plâtre. </w:t>
      </w:r>
      <w:r>
        <w:br/>
        <w:t xml:space="preserve">La portée des travaux est décrite dans l’article </w:t>
      </w:r>
      <w:hyperlink w:anchor="391" w:history="1">
        <w:r>
          <w:t>21.22.6 Maçonneries non portantes en blocs de plâtre</w:t>
        </w:r>
      </w:hyperlink>
      <w:r>
        <w:t>.</w:t>
      </w:r>
      <w:r>
        <w:br/>
        <w:t>Les travaux comprennent également la fourniture et la pose des pièces d’angle, de terminaison et de rencontre.</w:t>
      </w:r>
    </w:p>
    <w:p w14:paraId="1DF6269E" w14:textId="77777777" w:rsidR="00DF410E" w:rsidRDefault="00CE7F43">
      <w:pPr>
        <w:pStyle w:val="pheading"/>
      </w:pPr>
      <w:r>
        <w:t>- Localisation</w:t>
      </w:r>
    </w:p>
    <w:p w14:paraId="07342A62" w14:textId="77777777" w:rsidR="00DF410E" w:rsidRDefault="00CE7F43">
      <w:r>
        <w:t xml:space="preserve">Blocs ordinaires, la pose est réalisée aux endroits suivants : </w:t>
      </w:r>
      <w:r>
        <w:rPr>
          <w:rStyle w:val="optioncarChar"/>
        </w:rPr>
        <w:t>***</w:t>
      </w:r>
      <w:r>
        <w:t>.</w:t>
      </w:r>
    </w:p>
    <w:p w14:paraId="774AA0CE" w14:textId="77777777" w:rsidR="00DF410E" w:rsidRDefault="00CE7F43">
      <w:r>
        <w:t>Blocs hydrofuges : première assise + cloisons complètes dans les salles de bains et les cuisines hors projection d’eau</w:t>
      </w:r>
    </w:p>
    <w:p w14:paraId="0507E950" w14:textId="77777777" w:rsidR="00DF410E" w:rsidRDefault="00CE7F43">
      <w:r>
        <w:t>Voir plans et métrés détaillés.</w:t>
      </w:r>
    </w:p>
    <w:p w14:paraId="1B8E59E3" w14:textId="77777777" w:rsidR="00DF410E" w:rsidRDefault="00CE7F43">
      <w:pPr>
        <w:pStyle w:val="pheading"/>
      </w:pPr>
      <w:r>
        <w:t>MATÉRIAUX</w:t>
      </w:r>
    </w:p>
    <w:p w14:paraId="3F1B194E" w14:textId="77777777" w:rsidR="00DF410E" w:rsidRDefault="00CE7F43">
      <w:pPr>
        <w:pStyle w:val="pheading"/>
      </w:pPr>
      <w:r>
        <w:t>- Caractéristiques générales</w:t>
      </w:r>
    </w:p>
    <w:p w14:paraId="0DA695E3" w14:textId="77777777" w:rsidR="00DF410E" w:rsidRDefault="00CE7F43">
      <w:r>
        <w:t>Il s'agit de blocs pleins fabriqués en plâtre de bonne qualité et présentant deux faces lisses. Les blocs sont pourvus d'un profil à rainure et languette pour permettre d'effectuer la pose avec précision. Pour les locaux humides, on utilise des blocs hydrofuges, traités avec un produit hydrofuge dans la masse (ceux-ci se distinguent par leur couleur verte) hors projection d’eau (ex : parois douches)</w:t>
      </w:r>
    </w:p>
    <w:p w14:paraId="4AD0E30E" w14:textId="77777777" w:rsidR="00DF410E" w:rsidRDefault="00CE7F43">
      <w:pPr>
        <w:pStyle w:val="heading"/>
      </w:pPr>
      <w:r>
        <w:t>Spécifications</w:t>
      </w:r>
    </w:p>
    <w:p w14:paraId="4AA375C3" w14:textId="77777777" w:rsidR="00DF410E" w:rsidRDefault="00CE7F43">
      <w:r>
        <w:t xml:space="preserve">Masse volumique : au moins </w:t>
      </w:r>
      <w:r>
        <w:rPr>
          <w:rStyle w:val="optioncarChar"/>
        </w:rPr>
        <w:t>700 </w:t>
      </w:r>
      <w:r>
        <w:t>(par défaut)</w:t>
      </w:r>
      <w:r>
        <w:rPr>
          <w:rStyle w:val="optioncarChar"/>
        </w:rPr>
        <w:t xml:space="preserve"> / 900 / 1100 / 1200 / ***</w:t>
      </w:r>
      <w:r>
        <w:t xml:space="preserve"> kg/m3</w:t>
      </w:r>
    </w:p>
    <w:p w14:paraId="7BE9A655" w14:textId="77777777" w:rsidR="00DF410E" w:rsidRDefault="00CE7F43">
      <w:r>
        <w:t xml:space="preserve">Epaisseur du mur : environ </w:t>
      </w:r>
      <w:r>
        <w:rPr>
          <w:rStyle w:val="optioncarChar"/>
        </w:rPr>
        <w:t>6 / 7 / 8 / 10 / *** cm / selon les indications sur les plans et en fonction de la résistance au feu exigée</w:t>
      </w:r>
      <w:r>
        <w:t> (par défaut)</w:t>
      </w:r>
    </w:p>
    <w:p w14:paraId="4D9F0BAE" w14:textId="77777777" w:rsidR="00DF410E" w:rsidRDefault="00CE7F43">
      <w:r>
        <w:t xml:space="preserve">Résistance au feu : </w:t>
      </w:r>
      <w:r>
        <w:rPr>
          <w:rStyle w:val="optioncarChar"/>
        </w:rPr>
        <w:t>E 30 / E 60 / E *** / EI 30 </w:t>
      </w:r>
      <w:r>
        <w:t>(par défaut)</w:t>
      </w:r>
      <w:r>
        <w:rPr>
          <w:rStyle w:val="optioncarChar"/>
        </w:rPr>
        <w:t xml:space="preserve"> / EI 60 / EI 120 / EI ***</w:t>
      </w:r>
      <w:r>
        <w:t xml:space="preserve"> (remarque : la durée de résistance au feu spécifiée a une influence sur l’épaisseur nominale du mur).</w:t>
      </w:r>
    </w:p>
    <w:p w14:paraId="698FF557" w14:textId="77777777" w:rsidR="00DF410E" w:rsidRDefault="00CE7F43">
      <w:pPr>
        <w:pStyle w:val="pheading"/>
      </w:pPr>
      <w:r>
        <w:t>- Prescriptions complémentaires</w:t>
      </w:r>
    </w:p>
    <w:p w14:paraId="52C3F05B" w14:textId="77777777" w:rsidR="00DF410E" w:rsidRDefault="00CE7F43">
      <w:r>
        <w:t>Les blocs ont obtenu l'agrément technique UBAtc pour l'application concernée.</w:t>
      </w:r>
    </w:p>
    <w:p w14:paraId="41E8C686" w14:textId="77777777" w:rsidR="00DF410E" w:rsidRDefault="00CE7F43">
      <w:pPr>
        <w:pStyle w:val="pheading"/>
      </w:pPr>
      <w:r>
        <w:t>EXÉCUTION / MISE EN ŒUVRE</w:t>
      </w:r>
    </w:p>
    <w:p w14:paraId="1A14D900" w14:textId="77777777" w:rsidR="00DF410E" w:rsidRDefault="00CE7F43">
      <w:pPr>
        <w:pStyle w:val="pheading"/>
      </w:pPr>
      <w:r>
        <w:t>- Prescriptions générales</w:t>
      </w:r>
    </w:p>
    <w:p w14:paraId="2CD59211" w14:textId="77777777" w:rsidR="00DF410E" w:rsidRDefault="00CE7F43">
      <w:r>
        <w:t>Les blocs sont collés en appareil à l'aide d'une colle à base de plâtre. La mise en œuvre de la colle s'effectue conformément aux prescriptions du fabricant. Les blocs sont posés directement sur le sol, dans un mélange composé de 50% de colle et 50% de plâtre.</w:t>
      </w:r>
    </w:p>
    <w:p w14:paraId="18517171" w14:textId="77777777" w:rsidR="00DF410E" w:rsidRDefault="00CE7F43">
      <w:r>
        <w:t>Lorsque l'humidité ascensionnelle est à craindre, on pose d'abord sous le mur une feuille de polyéthylène d'au moins 40 cm. Cette feuille est remontée le long des faces intérieures de façon à dépasser de 2 cm au-dessus du niveau fini du sol.</w:t>
      </w:r>
    </w:p>
    <w:p w14:paraId="0779B8AC" w14:textId="77777777" w:rsidR="00DF410E" w:rsidRDefault="00CE7F43">
      <w:r>
        <w:t>Les jonctions transversales avec la maçonnerie d'élévation portante ou les colonnes en béton sont réalisées à l'aide de pattes d'ancrage adaptées. Lorsque plusieurs cloisons doivent être liaisonnées, les assises successives doivent s'alterner.</w:t>
      </w:r>
    </w:p>
    <w:p w14:paraId="63AE4FEF" w14:textId="77777777" w:rsidR="00DF410E" w:rsidRDefault="00CE7F43">
      <w:r>
        <w:t>Pour les linteaux de faible portée, on pose à hauteur des baies de portes un support provisoire. Après durcissement complet, l'ouverture exacte est sciée. Pour les portées supérieures à 160 cm, on utilise des linteaux préfabriqués.</w:t>
      </w:r>
    </w:p>
    <w:p w14:paraId="313D7F88" w14:textId="77777777" w:rsidR="00DF410E" w:rsidRDefault="00CE7F43">
      <w:r>
        <w:t xml:space="preserve">La jonction avec le plafond s'effectue par de la </w:t>
      </w:r>
      <w:r>
        <w:rPr>
          <w:rStyle w:val="optioncarChar"/>
        </w:rPr>
        <w:t>bande compressible / mousse de PUR</w:t>
      </w:r>
      <w:r>
        <w:t xml:space="preserve"> : </w:t>
      </w:r>
    </w:p>
    <w:p w14:paraId="1F5259FA" w14:textId="77777777" w:rsidR="00DF410E" w:rsidRDefault="00CE7F43">
      <w:r>
        <w:rPr>
          <w:b/>
        </w:rPr>
        <w:t>(soit)</w:t>
      </w:r>
    </w:p>
    <w:p w14:paraId="35528FEE" w14:textId="77777777" w:rsidR="00DF410E" w:rsidRDefault="00CE7F43">
      <w:r>
        <w:rPr>
          <w:rStyle w:val="soitChar"/>
          <w:u w:val="single"/>
        </w:rPr>
        <w:t>Bande compressible</w:t>
      </w:r>
      <w:r>
        <w:rPr>
          <w:rStyle w:val="soitChar"/>
        </w:rPr>
        <w:t xml:space="preserve"> : par collage au plafond d'une bande compressible d'au moins 10 mm d'épaisseur.</w:t>
      </w:r>
    </w:p>
    <w:p w14:paraId="3B687B92" w14:textId="77777777" w:rsidR="00DF410E" w:rsidRDefault="00CE7F43">
      <w:r>
        <w:rPr>
          <w:b/>
        </w:rPr>
        <w:t xml:space="preserve">(soit) </w:t>
      </w:r>
    </w:p>
    <w:p w14:paraId="32596F46" w14:textId="77777777" w:rsidR="00DF410E" w:rsidRDefault="00CE7F43">
      <w:r>
        <w:rPr>
          <w:rStyle w:val="soitChar"/>
          <w:u w:val="single"/>
        </w:rPr>
        <w:t>Mousse de PUR</w:t>
      </w:r>
      <w:r>
        <w:rPr>
          <w:rStyle w:val="soitChar"/>
        </w:rPr>
        <w:t xml:space="preserve"> : en remplissant le joint de mousse de PUR dont les débordements seront découpés après durcissement.</w:t>
      </w:r>
    </w:p>
    <w:p w14:paraId="2C0EA51A" w14:textId="77777777" w:rsidR="00DF410E" w:rsidRDefault="00CE7F43">
      <w:r>
        <w:t>Les angles sortants sont protégés à l'aide d'une cornière scellée, qui est ensuite enduite à l'aide d'un mélange composé de 50% de colle et 50% de plâtre.</w:t>
      </w:r>
    </w:p>
    <w:p w14:paraId="48E093A9" w14:textId="77777777" w:rsidR="00DF410E" w:rsidRDefault="00CE7F43">
      <w:r>
        <w:t>Après l'achèvement des joints, la surface est parachevée en appliquant sur toute la surface une colle formant une fine pellicule. Après l'application de cet enduit, les murs doivent être prêts à peindre. Là où des carrelages sont prévus, l'enduit pelliculaire ne peut pas être appliqué.</w:t>
      </w:r>
    </w:p>
    <w:p w14:paraId="6A8DA397" w14:textId="77777777" w:rsidR="00DF410E" w:rsidRDefault="00CE7F43">
      <w:pPr>
        <w:pStyle w:val="pheading"/>
      </w:pPr>
      <w:r>
        <w:t>- Notes d’exécution complémentaires</w:t>
      </w:r>
    </w:p>
    <w:p w14:paraId="56C9D8F5" w14:textId="77777777" w:rsidR="00DF410E" w:rsidRDefault="00CE7F43">
      <w:r>
        <w:t xml:space="preserve">Les cloisons construites en blocs collés sont enduites d'un mince enduit pelliculaire conformément à l'article </w:t>
      </w:r>
      <w:hyperlink r:id="rId23" w:history="1" w:docLocation="392">
        <w:r>
          <w:t>51.54.3 Enduit à base de plâtre, pelliculaire</w:t>
        </w:r>
      </w:hyperlink>
    </w:p>
    <w:p w14:paraId="18950792" w14:textId="77777777" w:rsidR="00DF410E" w:rsidRDefault="00CE7F43">
      <w:pPr>
        <w:pStyle w:val="pheading"/>
      </w:pPr>
      <w:r>
        <w:t>MESURAGE</w:t>
      </w:r>
    </w:p>
    <w:p w14:paraId="28503A57" w14:textId="77777777" w:rsidR="00DF410E" w:rsidRDefault="00CE7F43">
      <w:pPr>
        <w:pStyle w:val="pheading"/>
      </w:pPr>
      <w:r>
        <w:t>- unité de mesure:</w:t>
      </w:r>
    </w:p>
    <w:p w14:paraId="28DAEE54" w14:textId="77777777" w:rsidR="00DF410E" w:rsidRDefault="00CE7F43">
      <w:r>
        <w:rPr>
          <w:rStyle w:val="optioncarChar"/>
        </w:rPr>
        <w:t>m³ </w:t>
      </w:r>
      <w:r>
        <w:t>(par défaut)</w:t>
      </w:r>
      <w:r>
        <w:rPr>
          <w:rStyle w:val="optioncarChar"/>
        </w:rPr>
        <w:t> / m²</w:t>
      </w:r>
    </w:p>
    <w:p w14:paraId="71F5D45E" w14:textId="77777777" w:rsidR="00DF410E" w:rsidRDefault="00CE7F43">
      <w:r>
        <w:rPr>
          <w:b/>
        </w:rPr>
        <w:t>(soit par défaut)</w:t>
      </w:r>
    </w:p>
    <w:p w14:paraId="7EE121C4" w14:textId="77777777" w:rsidR="00DF410E" w:rsidRDefault="00CE7F43">
      <w:r>
        <w:rPr>
          <w:rStyle w:val="soitChar"/>
        </w:rPr>
        <w:t>1. m³</w:t>
      </w:r>
    </w:p>
    <w:p w14:paraId="1DD953B7" w14:textId="77777777" w:rsidR="00DF410E" w:rsidRDefault="00CE7F43">
      <w:r>
        <w:rPr>
          <w:b/>
        </w:rPr>
        <w:t>(soit)</w:t>
      </w:r>
    </w:p>
    <w:p w14:paraId="356D6288" w14:textId="77777777" w:rsidR="00DF410E" w:rsidRDefault="00CE7F43">
      <w:r>
        <w:rPr>
          <w:rStyle w:val="soitChar"/>
        </w:rPr>
        <w:t>2. m²</w:t>
      </w:r>
    </w:p>
    <w:p w14:paraId="4069C716" w14:textId="77777777" w:rsidR="00DF410E" w:rsidRDefault="00CE7F43">
      <w:pPr>
        <w:pStyle w:val="pheading"/>
      </w:pPr>
      <w:r>
        <w:t>- code de mesurage:</w:t>
      </w:r>
    </w:p>
    <w:p w14:paraId="35075C01"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6615100"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E6D6783"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1628BF78" w14:textId="77777777" w:rsidR="00DF410E" w:rsidRDefault="00CE7F43">
      <w:r>
        <w:rPr>
          <w:rStyle w:val="optioncarChar"/>
        </w:rPr>
        <w:t>Volume net </w:t>
      </w:r>
      <w:r>
        <w:t>(par défaut)</w:t>
      </w:r>
      <w:r>
        <w:rPr>
          <w:rStyle w:val="optioncarChar"/>
        </w:rPr>
        <w:t> / Surface nette</w:t>
      </w:r>
    </w:p>
    <w:p w14:paraId="34461EE2" w14:textId="77777777" w:rsidR="00DF410E" w:rsidRDefault="00CE7F43">
      <w:r>
        <w:rPr>
          <w:b/>
        </w:rPr>
        <w:t>(soit par défaut)</w:t>
      </w:r>
    </w:p>
    <w:p w14:paraId="011B981A"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AA6C250" w14:textId="77777777" w:rsidR="00DF410E" w:rsidRDefault="00CE7F43">
      <w:r>
        <w:rPr>
          <w:b/>
        </w:rPr>
        <w:t>(soit)</w:t>
      </w:r>
    </w:p>
    <w:p w14:paraId="0A7938A1"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77E34FE" w14:textId="77777777" w:rsidR="00DF410E" w:rsidRDefault="00DF410E"/>
    <w:p w14:paraId="6FC3D4D1" w14:textId="77777777" w:rsidR="00DF410E" w:rsidRDefault="00CE7F43">
      <w:pPr>
        <w:pStyle w:val="pheading"/>
      </w:pPr>
      <w:r>
        <w:t>- nature du marché:</w:t>
      </w:r>
    </w:p>
    <w:p w14:paraId="46C844AB" w14:textId="77777777" w:rsidR="00DF410E" w:rsidRDefault="00CE7F43">
      <w:r>
        <w:t>QF</w:t>
      </w:r>
    </w:p>
    <w:p w14:paraId="0BFF3FF2" w14:textId="77777777" w:rsidR="00DF410E" w:rsidRDefault="00CE7F43">
      <w:pPr>
        <w:pStyle w:val="pheading"/>
      </w:pPr>
      <w:r>
        <w:t>AIDE</w:t>
      </w:r>
    </w:p>
    <w:p w14:paraId="5A44E900" w14:textId="77777777" w:rsidR="00DF410E" w:rsidRDefault="00CE7F43">
      <w:r>
        <w:t>À l'attention de l'auteur de projet</w:t>
      </w:r>
    </w:p>
    <w:p w14:paraId="20AB86C9" w14:textId="77777777" w:rsidR="00DF410E" w:rsidRDefault="00CE7F43">
      <w:r>
        <w:t>- Masse volumique inférieure : entre 600 et 800 kg/m3</w:t>
      </w:r>
    </w:p>
    <w:p w14:paraId="6F5E8211" w14:textId="77777777" w:rsidR="00DF410E" w:rsidRDefault="00CE7F43">
      <w:r>
        <w:t>- Masse volumique moyenne: entre 800 et 1100 kg/m3</w:t>
      </w:r>
    </w:p>
    <w:p w14:paraId="17B0B718" w14:textId="77777777" w:rsidR="00DF410E" w:rsidRDefault="00CE7F43">
      <w:r>
        <w:t>- Masse volumique supérieure (lourde) : entre 1100 et 1500 kg/m3</w:t>
      </w:r>
    </w:p>
    <w:p w14:paraId="716CE35D" w14:textId="77777777" w:rsidR="00DF410E" w:rsidRDefault="00CE7F43">
      <w:pPr>
        <w:pStyle w:val="Author-eSectionHeading5"/>
      </w:pPr>
      <w:bookmarkStart w:id="193" w:name="_Toc178837435"/>
      <w:r>
        <w:t>21.22.7 Maçonneries non portantes en blocs de terre crue CCTB 01.11</w:t>
      </w:r>
      <w:bookmarkEnd w:id="193"/>
    </w:p>
    <w:p w14:paraId="795B6A35" w14:textId="77777777" w:rsidR="00DF410E" w:rsidRDefault="00CE7F43">
      <w:pPr>
        <w:pStyle w:val="pheading"/>
      </w:pPr>
      <w:r>
        <w:t>DESCRIPTION</w:t>
      </w:r>
    </w:p>
    <w:p w14:paraId="4306642C" w14:textId="77777777" w:rsidR="00DF410E" w:rsidRDefault="00CE7F43">
      <w:pPr>
        <w:pStyle w:val="pheading"/>
      </w:pPr>
      <w:r>
        <w:t>- Définition / Comprend</w:t>
      </w:r>
    </w:p>
    <w:p w14:paraId="673DBBA2" w14:textId="77777777" w:rsidR="00DF410E" w:rsidRDefault="00CE7F43">
      <w:pPr>
        <w:jc w:val="both"/>
      </w:pPr>
      <w:r>
        <w:t>Il s'agit de maçonneries non portantes en blocs de terre crue.</w:t>
      </w:r>
    </w:p>
    <w:p w14:paraId="465412EA" w14:textId="77777777" w:rsidR="00DF410E" w:rsidRDefault="00CE7F43">
      <w:pPr>
        <w:pStyle w:val="pheading"/>
      </w:pPr>
      <w:r>
        <w:t>MATÉRIAUX</w:t>
      </w:r>
    </w:p>
    <w:p w14:paraId="2266656A" w14:textId="77777777" w:rsidR="00DF410E" w:rsidRDefault="00CE7F43">
      <w:pPr>
        <w:jc w:val="both"/>
      </w:pPr>
      <w:r>
        <w:t>En l’absence de normes propres, les spécifications des blocs sont basées sur la [NBN EN 771-3+A1] et le [PTV 21-001] relatifs aux éléments en béton et les spécifications du mortier sont basées sur la [NBN EN 998-2] et le [PTV 651].</w:t>
      </w:r>
    </w:p>
    <w:p w14:paraId="4D4D5525" w14:textId="77777777" w:rsidR="00DF410E" w:rsidRDefault="00CE7F43">
      <w:pPr>
        <w:jc w:val="both"/>
      </w:pPr>
      <w:r>
        <w:t>L'entrepreneur soumet la fiche technique des matériaux (bloc et mortier) pour approbation à l'auteur de projet et au maître de l’ouvrage.</w:t>
      </w:r>
    </w:p>
    <w:p w14:paraId="2AC84AC7" w14:textId="77777777" w:rsidR="00DF410E" w:rsidRDefault="00CE7F43">
      <w:pPr>
        <w:jc w:val="both"/>
      </w:pPr>
      <w:r>
        <w:t>La terre utilisée est issue de sol répondant au [DRW 2013-11-28]. En outre, les terre d’excavation sont conformes aux normes d'assainissements et normes d'intervention (voir [Arrêté du 29/03/2018 du Gouvernement de la Région de Bruxelles-Capitale déterminant les normes d’intervention et les normes d’assainissement].</w:t>
      </w:r>
    </w:p>
    <w:p w14:paraId="60E98211" w14:textId="77777777" w:rsidR="00DF410E" w:rsidRDefault="00CE7F43">
      <w:pPr>
        <w:pStyle w:val="pheading"/>
      </w:pPr>
      <w:r>
        <w:t>EXÉCUTION / MISE EN ŒUVRE</w:t>
      </w:r>
    </w:p>
    <w:p w14:paraId="792FB4D7" w14:textId="77777777" w:rsidR="00DF410E" w:rsidRDefault="00CE7F43">
      <w:pPr>
        <w:jc w:val="both"/>
      </w:pPr>
      <w:r>
        <w:t>Conformément au mode de mise en œuvre, les blocs en terre crue sont maçonnés selon la documentation technique accompagnant les produits.</w:t>
      </w:r>
    </w:p>
    <w:p w14:paraId="3639A72C" w14:textId="77777777" w:rsidR="00DF410E" w:rsidRDefault="00CE7F43">
      <w:pPr>
        <w:jc w:val="both"/>
      </w:pPr>
      <w:r>
        <w:t>Matériaux de liaison et d'ancrage</w:t>
      </w:r>
    </w:p>
    <w:p w14:paraId="5CCF219E" w14:textId="77777777" w:rsidR="00DF410E" w:rsidRDefault="00CE7F43">
      <w:pPr>
        <w:pStyle w:val="Author-eListParagraph"/>
        <w:numPr>
          <w:ilvl w:val="0"/>
          <w:numId w:val="210"/>
        </w:numPr>
      </w:pPr>
      <w:r>
        <w:t xml:space="preserve">longueur nominale : </w:t>
      </w:r>
      <w:r>
        <w:rPr>
          <w:rStyle w:val="optioncarChar"/>
        </w:rPr>
        <w:t>***</w:t>
      </w:r>
    </w:p>
    <w:p w14:paraId="1149940D" w14:textId="77777777" w:rsidR="00DF410E" w:rsidRDefault="00CE7F43">
      <w:pPr>
        <w:pStyle w:val="Author-eListParagraph"/>
        <w:numPr>
          <w:ilvl w:val="0"/>
          <w:numId w:val="210"/>
        </w:numPr>
      </w:pPr>
      <w:r>
        <w:t xml:space="preserve">diamètre : </w:t>
      </w:r>
      <w:r>
        <w:rPr>
          <w:rStyle w:val="optioncarChar"/>
        </w:rPr>
        <w:t>***</w:t>
      </w:r>
    </w:p>
    <w:p w14:paraId="4EC16E8B" w14:textId="77777777" w:rsidR="00DF410E" w:rsidRDefault="00CE7F43">
      <w:pPr>
        <w:pStyle w:val="Author-eListParagraph"/>
        <w:numPr>
          <w:ilvl w:val="0"/>
          <w:numId w:val="210"/>
        </w:numPr>
      </w:pPr>
      <w:r>
        <w:t xml:space="preserve">classe d’exposition : </w:t>
      </w:r>
      <w:r>
        <w:rPr>
          <w:rStyle w:val="optioncarChar"/>
        </w:rPr>
        <w:t>MX1 / MX2 / MX3 / MX4 / MX5</w:t>
      </w:r>
    </w:p>
    <w:p w14:paraId="6DBAB0B2" w14:textId="77777777" w:rsidR="00DF410E" w:rsidRDefault="00CE7F43">
      <w:pPr>
        <w:pStyle w:val="Author-eListParagraph"/>
        <w:numPr>
          <w:ilvl w:val="0"/>
          <w:numId w:val="210"/>
        </w:numPr>
      </w:pPr>
      <w: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2E199394" w14:textId="77777777" w:rsidR="00DF410E" w:rsidRDefault="00CE7F43">
      <w:pPr>
        <w:jc w:val="both"/>
      </w:pPr>
      <w:r>
        <w:t xml:space="preserve">Isolation contre l'humidité : </w:t>
      </w:r>
      <w:r>
        <w:rPr>
          <w:rStyle w:val="optioncarChar"/>
        </w:rPr>
        <w:t>membranes en PE </w:t>
      </w:r>
      <w:r>
        <w:t>(par défaut)</w:t>
      </w:r>
      <w:r>
        <w:rPr>
          <w:rStyle w:val="optioncarChar"/>
        </w:rPr>
        <w:t> / ***</w:t>
      </w:r>
      <w:r>
        <w:t xml:space="preserve"> conformément au sous-titre </w:t>
      </w:r>
      <w:hyperlink w:anchor="354" w:history="1">
        <w:r>
          <w:t>26.11 Feuilles et membranes d'étanchéité à l'eau</w:t>
        </w:r>
      </w:hyperlink>
      <w:r>
        <w:t xml:space="preserve">. </w:t>
      </w:r>
    </w:p>
    <w:p w14:paraId="263F526F" w14:textId="77777777" w:rsidR="00DF410E" w:rsidRDefault="00DF410E">
      <w:pPr>
        <w:jc w:val="both"/>
      </w:pPr>
    </w:p>
    <w:p w14:paraId="664A329B" w14:textId="77777777" w:rsidR="00DF410E" w:rsidRDefault="00CE7F43">
      <w:pPr>
        <w:jc w:val="both"/>
      </w:pPr>
      <w:r>
        <w:t xml:space="preserve"> Pour les maçonneries destinées à rester apparentes, seules des blocs non endommagés sont utilisés.</w:t>
      </w:r>
    </w:p>
    <w:p w14:paraId="47844CAF" w14:textId="77777777" w:rsidR="00DF410E" w:rsidRDefault="00CE7F43">
      <w:pPr>
        <w:jc w:val="both"/>
      </w:pPr>
      <w:r>
        <w:t xml:space="preserve">Les segments de murs sont pourvus d'armatures horizontales selon le chapitre </w:t>
      </w:r>
      <w:hyperlink w:anchor="355" w:history="1">
        <w:r>
          <w:t>21.41.1 Armatures horizontales pour maçonneries</w:t>
        </w:r>
      </w:hyperlink>
      <w:r>
        <w:t>.</w:t>
      </w:r>
    </w:p>
    <w:p w14:paraId="397EB063" w14:textId="77777777" w:rsidR="00DF410E" w:rsidRDefault="00CE7F43">
      <w:pPr>
        <w:jc w:val="both"/>
      </w:pPr>
      <w:r>
        <w:t xml:space="preserve">Les segments de murs sont pourvus d'armatures verticales selon le chapitre </w:t>
      </w:r>
      <w:hyperlink w:anchor="356" w:history="1">
        <w:r>
          <w:t>21.41.2 Armatures verticales pour maçonneries</w:t>
        </w:r>
      </w:hyperlink>
      <w:r>
        <w:t>.</w:t>
      </w:r>
    </w:p>
    <w:p w14:paraId="4C41A57F" w14:textId="77777777" w:rsidR="00DF410E" w:rsidRDefault="00CE7F43">
      <w:pPr>
        <w:jc w:val="both"/>
      </w:pPr>
      <w:r>
        <w:t xml:space="preserve">Les maçonneries de caves en contact avec les terres sont rendues étanches selon la description au sous-titre </w:t>
      </w:r>
      <w:hyperlink w:anchor="357" w:history="1">
        <w:r>
          <w:t>26.12 Traitements d'étanchéisation</w:t>
        </w:r>
      </w:hyperlink>
      <w:r>
        <w:t>.</w:t>
      </w:r>
    </w:p>
    <w:p w14:paraId="0D76E9AF" w14:textId="77777777" w:rsidR="00DF410E" w:rsidRDefault="00CE7F43">
      <w:pPr>
        <w:jc w:val="both"/>
      </w:pPr>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25EF8B4F" w14:textId="77777777" w:rsidR="00DF410E" w:rsidRDefault="00CE7F43">
      <w:pPr>
        <w:pStyle w:val="pheading"/>
      </w:pPr>
      <w:r>
        <w:t>DOCUMENTS DE RÉFÉRENCE</w:t>
      </w:r>
    </w:p>
    <w:p w14:paraId="71C01A08" w14:textId="77777777" w:rsidR="00DF410E" w:rsidRDefault="00CE7F43">
      <w:pPr>
        <w:pStyle w:val="pheading"/>
      </w:pPr>
      <w:r>
        <w:t>- Matériau</w:t>
      </w:r>
    </w:p>
    <w:p w14:paraId="71B397EB" w14:textId="77777777" w:rsidR="00DF410E" w:rsidRDefault="00CE7F43">
      <w:r>
        <w:rPr>
          <w:color w:val="000000"/>
        </w:rPr>
        <w:t>[NBN EN 771-3+A1, Spécifications pour éléments de maçonnerie - Partie 3: Éléments de maçonnerie en béton de granulats (granulats courants et légers)]</w:t>
      </w:r>
    </w:p>
    <w:p w14:paraId="11D80BAF" w14:textId="77777777" w:rsidR="00DF410E" w:rsidRDefault="00CE7F43">
      <w:r>
        <w:rPr>
          <w:color w:val="000000"/>
        </w:rPr>
        <w:t>[PTV 21-001, Eléments de maçonnerie en béton (granulats courants et légers) - Classification et spécifications d'application]</w:t>
      </w:r>
    </w:p>
    <w:p w14:paraId="2844EF0D" w14:textId="77777777" w:rsidR="00DF410E" w:rsidRDefault="00CE7F43">
      <w:r>
        <w:rPr>
          <w:color w:val="000000"/>
        </w:rPr>
        <w:t>[NBN EN 998-2, Définitions et spécifications des mortiers pour maçonnerie - Partie 2: Mortiers de montage des éléments de maçonnerie]</w:t>
      </w:r>
    </w:p>
    <w:p w14:paraId="77937B38" w14:textId="77777777" w:rsidR="00DF410E" w:rsidRDefault="00CE7F43">
      <w:r>
        <w:rPr>
          <w:color w:val="000000"/>
        </w:rPr>
        <w:t>[PTV 651, Mortier de maçonnerie et mortier de jointoyage]</w:t>
      </w:r>
    </w:p>
    <w:p w14:paraId="6FEB07B4" w14:textId="77777777" w:rsidR="00DF410E" w:rsidRDefault="00CE7F43">
      <w:r>
        <w:rPr>
          <w:color w:val="000000"/>
        </w:rPr>
        <w:t>[CRATerre Terre, CRATerre - Traité de construction en terre]</w:t>
      </w:r>
    </w:p>
    <w:p w14:paraId="2693880B" w14:textId="77777777" w:rsidR="00DF410E" w:rsidRDefault="00CE7F43">
      <w:r>
        <w:rPr>
          <w:color w:val="000000"/>
        </w:rPr>
        <w:t>[Moniteur Terre crue, Röhlen / Ziegert - Construire en terre crue: Construction - Rénovation - Finitions]</w:t>
      </w:r>
    </w:p>
    <w:p w14:paraId="04D6C705" w14:textId="77777777" w:rsidR="00DF410E" w:rsidRDefault="00CE7F43">
      <w:r>
        <w:t>[DRW 2018-03-01, Décret relatif à la gestion et à l'assainissement des sols]</w:t>
      </w:r>
    </w:p>
    <w:p w14:paraId="3E9DC70F" w14:textId="77777777" w:rsidR="00DF410E" w:rsidRDefault="00CE7F43">
      <w:r>
        <w:rPr>
          <w:color w:val="555555"/>
        </w:rPr>
        <w:t>[AGRBC 2018-03-29, Arrêté du Gouvernement de la Région de Bruxelles-Capitale déterminant les normes d'intervention et les normes d'assainissement]</w:t>
      </w:r>
    </w:p>
    <w:p w14:paraId="45EA65C9" w14:textId="77777777" w:rsidR="00DF410E" w:rsidRDefault="00CE7F43">
      <w:r>
        <w:rPr>
          <w:color w:val="000000"/>
        </w:rPr>
        <w:t>[DIN 18945, Earth blocks - Requirements, test and labelling]</w:t>
      </w:r>
    </w:p>
    <w:p w14:paraId="4C4FB9F8" w14:textId="77777777" w:rsidR="00DF410E" w:rsidRDefault="00CE7F43">
      <w:r>
        <w:rPr>
          <w:color w:val="000000"/>
        </w:rPr>
        <w:t>[DIN 18946, Earth masonry mortar - Requirements, test and labelling]</w:t>
      </w:r>
    </w:p>
    <w:p w14:paraId="299E32CA" w14:textId="77777777" w:rsidR="00DF410E" w:rsidRDefault="00CE7F43">
      <w:pPr>
        <w:pStyle w:val="pheading"/>
      </w:pPr>
      <w:r>
        <w:t>- Exécution</w:t>
      </w:r>
    </w:p>
    <w:p w14:paraId="350F451A" w14:textId="77777777" w:rsidR="00DF410E" w:rsidRDefault="00CE7F43">
      <w:r>
        <w:rPr>
          <w:color w:val="000000"/>
        </w:rPr>
        <w:t>[CRATerre Terre, CRATerre - Traité de construction en terre]</w:t>
      </w:r>
    </w:p>
    <w:p w14:paraId="25DAC87E" w14:textId="77777777" w:rsidR="00DF410E" w:rsidRDefault="00CE7F43">
      <w:r>
        <w:rPr>
          <w:color w:val="000000"/>
        </w:rPr>
        <w:t>[Moniteur Terre crue, Röhlen / Ziegert - Construire en terre crue: Construction - Rénovation - Finitions]</w:t>
      </w:r>
    </w:p>
    <w:p w14:paraId="554A5FA4" w14:textId="77777777" w:rsidR="00DF410E" w:rsidRDefault="00CE7F43">
      <w:pPr>
        <w:pStyle w:val="Author-eSectionHeading6"/>
      </w:pPr>
      <w:bookmarkStart w:id="194" w:name="_Toc178837436"/>
      <w:r>
        <w:t>21.22.7a Maçonneries non portantes en blocs de terre crue à maçonner CCTB 01.11</w:t>
      </w:r>
      <w:bookmarkEnd w:id="194"/>
    </w:p>
    <w:p w14:paraId="2143F690" w14:textId="77777777" w:rsidR="00DF410E" w:rsidRDefault="00CE7F43">
      <w:pPr>
        <w:pStyle w:val="pheading"/>
      </w:pPr>
      <w:r>
        <w:t>DESCRIPTION</w:t>
      </w:r>
    </w:p>
    <w:p w14:paraId="4756BFF0" w14:textId="77777777" w:rsidR="00DF410E" w:rsidRDefault="00CE7F43">
      <w:pPr>
        <w:pStyle w:val="pheading"/>
      </w:pPr>
      <w:r>
        <w:t>- Définition / Comprend</w:t>
      </w:r>
    </w:p>
    <w:p w14:paraId="660E3AEB" w14:textId="77777777" w:rsidR="00DF410E" w:rsidRDefault="00CE7F43">
      <w:pPr>
        <w:jc w:val="both"/>
      </w:pPr>
      <w:r>
        <w:t>Il s’agit de la fourniture et la pose de maçonneries non portantes en blocs de terre crue à maçonner.</w:t>
      </w:r>
    </w:p>
    <w:p w14:paraId="4AF73651" w14:textId="77777777" w:rsidR="00DF410E" w:rsidRDefault="00CE7F43">
      <w:pPr>
        <w:jc w:val="both"/>
      </w:pPr>
      <w:r>
        <w:t xml:space="preserve">La portée des travaux est décrite dans l’élément </w:t>
      </w:r>
      <w:hyperlink w:anchor="381" w:history="1">
        <w:r>
          <w:t>21.2 Maçonneries non portantes</w:t>
        </w:r>
      </w:hyperlink>
      <w:r>
        <w:t>.</w:t>
      </w:r>
    </w:p>
    <w:p w14:paraId="08EB9F51" w14:textId="77777777" w:rsidR="00DF410E" w:rsidRDefault="00CE7F43">
      <w:pPr>
        <w:pStyle w:val="pheading"/>
      </w:pPr>
      <w:r>
        <w:t>- Localisation</w:t>
      </w:r>
    </w:p>
    <w:p w14:paraId="524B8A64" w14:textId="77777777" w:rsidR="00DF410E" w:rsidRDefault="00CE7F43">
      <w:r>
        <w:t>Localisation des travaux : </w:t>
      </w:r>
      <w:r>
        <w:rPr>
          <w:rStyle w:val="optioncarChar"/>
        </w:rPr>
        <w:t>***</w:t>
      </w:r>
      <w:r>
        <w:t>.</w:t>
      </w:r>
    </w:p>
    <w:p w14:paraId="3708FF5C" w14:textId="77777777" w:rsidR="00DF410E" w:rsidRDefault="00CE7F43">
      <w:r>
        <w:t>Voir plans et métrés détaillés.</w:t>
      </w:r>
    </w:p>
    <w:p w14:paraId="6F394EE0" w14:textId="77777777" w:rsidR="00DF410E" w:rsidRDefault="00CE7F43">
      <w:pPr>
        <w:pStyle w:val="pheading"/>
      </w:pPr>
      <w:r>
        <w:t>MATÉRIAUX</w:t>
      </w:r>
    </w:p>
    <w:p w14:paraId="0493DB25" w14:textId="77777777" w:rsidR="00DF410E" w:rsidRDefault="00CE7F43">
      <w:pPr>
        <w:pStyle w:val="pheading"/>
      </w:pPr>
      <w:r>
        <w:t>- Caractéristiques générales</w:t>
      </w:r>
    </w:p>
    <w:p w14:paraId="374ABFFB" w14:textId="77777777" w:rsidR="00DF410E" w:rsidRDefault="00CE7F43">
      <w:pPr>
        <w:jc w:val="both"/>
      </w:pPr>
      <w:r>
        <w:rPr>
          <w:rStyle w:val="headingChar"/>
        </w:rPr>
        <w:t>Spécification</w:t>
      </w:r>
    </w:p>
    <w:p w14:paraId="49B3DA19" w14:textId="77777777" w:rsidR="00DF410E" w:rsidRDefault="00CE7F43">
      <w:pPr>
        <w:jc w:val="both"/>
      </w:pPr>
      <w:r>
        <w:rPr>
          <w:u w:val="single"/>
        </w:rPr>
        <w:t>Blocs</w:t>
      </w:r>
    </w:p>
    <w:p w14:paraId="13C2C9BA" w14:textId="77777777" w:rsidR="00DF410E" w:rsidRDefault="00CE7F43">
      <w:pPr>
        <w:jc w:val="both"/>
      </w:pPr>
      <w:r>
        <w:t>Code d’identification du type de bloc de maçonnerie suivant [PTV 21-001] : </w:t>
      </w:r>
      <w:r>
        <w:rPr>
          <w:rStyle w:val="optioncarChar"/>
        </w:rPr>
        <w:t>A1 / A2 / B1 / B2 / C / D</w:t>
      </w:r>
    </w:p>
    <w:p w14:paraId="32C1937A" w14:textId="77777777" w:rsidR="00DF410E" w:rsidRDefault="00CE7F43">
      <w:pPr>
        <w:jc w:val="both"/>
      </w:pPr>
      <w:r>
        <w:t>Format (Lxlxh) mm :</w:t>
      </w:r>
      <w:r>
        <w:rPr>
          <w:rStyle w:val="optioncarChar"/>
        </w:rPr>
        <w:t> *** x *** x *** / format modulaire proposé par l'entrepreneur</w:t>
      </w:r>
      <w:r>
        <w:t> (par défaut)</w:t>
      </w:r>
    </w:p>
    <w:p w14:paraId="47437DEC" w14:textId="77777777" w:rsidR="00DF410E" w:rsidRDefault="00CE7F43">
      <w:pPr>
        <w:jc w:val="both"/>
      </w:pPr>
      <w:r>
        <w:t>Face qui reste visible : </w:t>
      </w:r>
      <w:r>
        <w:rPr>
          <w:rStyle w:val="optioncarChar"/>
        </w:rPr>
        <w:t>lisse </w:t>
      </w:r>
      <w:r>
        <w:t>(par défaut)</w:t>
      </w:r>
      <w:r>
        <w:rPr>
          <w:rStyle w:val="optioncarChar"/>
        </w:rPr>
        <w:t xml:space="preserve"> / ***</w:t>
      </w:r>
    </w:p>
    <w:p w14:paraId="03428EF8" w14:textId="77777777" w:rsidR="00DF410E" w:rsidRDefault="00CE7F43">
      <w:pPr>
        <w:jc w:val="both"/>
      </w:pPr>
      <w:r>
        <w:t>Mode de fabrication :</w:t>
      </w:r>
      <w:r>
        <w:rPr>
          <w:rStyle w:val="optioncarChar"/>
        </w:rPr>
        <w:t> moulée à la main / moulée à la presse / compressée / étirée</w:t>
      </w:r>
    </w:p>
    <w:p w14:paraId="2B737778" w14:textId="77777777" w:rsidR="00DF410E" w:rsidRDefault="00CE7F43">
      <w:pPr>
        <w:jc w:val="both"/>
      </w:pPr>
      <w:r>
        <w:t>Granulats : </w:t>
      </w:r>
      <w:r>
        <w:rPr>
          <w:rStyle w:val="optioncarChar"/>
        </w:rPr>
        <w:t>pas de granulat</w:t>
      </w:r>
      <w:r>
        <w:t> (par défaut) </w:t>
      </w:r>
      <w:r>
        <w:rPr>
          <w:rStyle w:val="optioncarChar"/>
        </w:rPr>
        <w:t>/ minéraux / minéraux et végétaux / végétaux / ***</w:t>
      </w:r>
    </w:p>
    <w:p w14:paraId="07BAF2FE" w14:textId="77777777" w:rsidR="00DF410E" w:rsidRDefault="00CE7F43">
      <w:pPr>
        <w:jc w:val="both"/>
      </w:pPr>
      <w:r>
        <w:t>Description des granulats : </w:t>
      </w:r>
      <w:r>
        <w:rPr>
          <w:rStyle w:val="optioncarChar"/>
        </w:rPr>
        <w:t>***</w:t>
      </w:r>
      <w:r>
        <w:t>.</w:t>
      </w:r>
    </w:p>
    <w:p w14:paraId="2A08ADD3" w14:textId="77777777" w:rsidR="00DF410E" w:rsidRDefault="00CE7F43">
      <w:pPr>
        <w:jc w:val="both"/>
      </w:pPr>
      <w:r>
        <w:t>Stabilisation des blocs : </w:t>
      </w:r>
      <w:r>
        <w:rPr>
          <w:rStyle w:val="optioncarChar"/>
        </w:rPr>
        <w:t>oui / non.</w:t>
      </w:r>
    </w:p>
    <w:p w14:paraId="2A01504B" w14:textId="77777777" w:rsidR="00DF410E" w:rsidRDefault="00CE7F43">
      <w:pPr>
        <w:jc w:val="both"/>
      </w:pPr>
      <w:r>
        <w:t>Mode de stabilisation des blocs le cas échéant : </w:t>
      </w:r>
      <w:r>
        <w:rPr>
          <w:rStyle w:val="optioncarChar"/>
        </w:rPr>
        <w:t xml:space="preserve">au ciment </w:t>
      </w:r>
      <w:r>
        <w:t>(par défaut) </w:t>
      </w:r>
      <w:r>
        <w:rPr>
          <w:rStyle w:val="optioncarChar"/>
        </w:rPr>
        <w:t>/ à la chaux / ***</w:t>
      </w:r>
    </w:p>
    <w:p w14:paraId="0F722285" w14:textId="77777777" w:rsidR="00DF410E" w:rsidRDefault="00CE7F43">
      <w:pPr>
        <w:jc w:val="both"/>
      </w:pPr>
      <w:r>
        <w:rPr>
          <w:b/>
        </w:rPr>
        <w:t>(soit)</w:t>
      </w:r>
    </w:p>
    <w:p w14:paraId="28A2F08E" w14:textId="77777777" w:rsidR="00DF410E" w:rsidRDefault="00CE7F43">
      <w:pPr>
        <w:jc w:val="both"/>
      </w:pPr>
      <w:r>
        <w:rPr>
          <w:rStyle w:val="soitChar"/>
          <w:u w:val="single"/>
        </w:rPr>
        <w:t>Au ciment</w:t>
      </w:r>
      <w:r>
        <w:rPr>
          <w:rStyle w:val="soitChar"/>
        </w:rPr>
        <w:t>, dosage : min</w:t>
      </w:r>
      <w:r>
        <w:t> </w:t>
      </w:r>
      <w:r>
        <w:rPr>
          <w:rStyle w:val="optioncarChar"/>
        </w:rPr>
        <w:t>***</w:t>
      </w:r>
      <w:r>
        <w:t> </w:t>
      </w:r>
      <w:r>
        <w:rPr>
          <w:rStyle w:val="soitChar"/>
        </w:rPr>
        <w:t>% de ciment</w:t>
      </w:r>
    </w:p>
    <w:p w14:paraId="0DF33FD2" w14:textId="77777777" w:rsidR="00DF410E" w:rsidRDefault="00CE7F43">
      <w:pPr>
        <w:jc w:val="both"/>
      </w:pPr>
      <w:r>
        <w:rPr>
          <w:b/>
        </w:rPr>
        <w:t>(soit)</w:t>
      </w:r>
    </w:p>
    <w:p w14:paraId="47E412A9" w14:textId="77777777" w:rsidR="00DF410E" w:rsidRDefault="00CE7F43">
      <w:pPr>
        <w:jc w:val="both"/>
      </w:pPr>
      <w:r>
        <w:rPr>
          <w:rStyle w:val="soitChar"/>
          <w:u w:val="single"/>
        </w:rPr>
        <w:t xml:space="preserve">A la chaux   </w:t>
      </w:r>
      <w:r>
        <w:rPr>
          <w:rStyle w:val="soitChar"/>
        </w:rPr>
        <w:t>, dosage : min </w:t>
      </w:r>
      <w:r>
        <w:rPr>
          <w:rStyle w:val="optioncarChar"/>
        </w:rPr>
        <w:t>***</w:t>
      </w:r>
      <w:r>
        <w:t> </w:t>
      </w:r>
      <w:r>
        <w:rPr>
          <w:rStyle w:val="soitChar"/>
        </w:rPr>
        <w:t>% de chaux</w:t>
      </w:r>
    </w:p>
    <w:p w14:paraId="13ACC027" w14:textId="77777777" w:rsidR="00DF410E" w:rsidRDefault="00CE7F43">
      <w:pPr>
        <w:jc w:val="both"/>
      </w:pPr>
      <w:r>
        <w:rPr>
          <w:b/>
        </w:rPr>
        <w:t>(soit)</w:t>
      </w:r>
    </w:p>
    <w:p w14:paraId="65545B14" w14:textId="77777777" w:rsidR="00DF410E" w:rsidRDefault="00CE7F43">
      <w:pPr>
        <w:jc w:val="both"/>
      </w:pPr>
      <w:r>
        <w:rPr>
          <w:rStyle w:val="optioncarChar"/>
        </w:rPr>
        <w:t>***</w:t>
      </w:r>
    </w:p>
    <w:p w14:paraId="7036EFF8" w14:textId="77777777" w:rsidR="00DF410E" w:rsidRDefault="00CE7F43">
      <w:pPr>
        <w:jc w:val="both"/>
      </w:pPr>
      <w:r>
        <w:t>Résistance à la compression [NBN EN 772-1+A1] </w:t>
      </w:r>
      <w:r>
        <w:rPr>
          <w:rStyle w:val="optioncarChar"/>
        </w:rPr>
        <w:t>moyenne </w:t>
      </w:r>
      <w:r>
        <w:t xml:space="preserve">(par défaut) </w:t>
      </w:r>
      <w:r>
        <w:rPr>
          <w:rStyle w:val="optioncarChar"/>
        </w:rPr>
        <w:t>/ normalisée (f</w:t>
      </w:r>
      <w:r>
        <w:rPr>
          <w:rStyle w:val="optioncarChar"/>
          <w:vertAlign w:val="subscript"/>
        </w:rPr>
        <w:t>b</w:t>
      </w:r>
      <w:r>
        <w:rPr>
          <w:rStyle w:val="optioncarChar"/>
        </w:rPr>
        <w:t>)</w:t>
      </w:r>
      <w:r>
        <w:t> : ≥ </w:t>
      </w:r>
      <w:r>
        <w:rPr>
          <w:rStyle w:val="optioncarChar"/>
        </w:rPr>
        <w:t>***</w:t>
      </w:r>
      <w:r>
        <w:t> N/mm²</w:t>
      </w:r>
    </w:p>
    <w:p w14:paraId="06A0F7E8" w14:textId="77777777" w:rsidR="00DF410E" w:rsidRDefault="00CE7F43">
      <w:pPr>
        <w:jc w:val="both"/>
      </w:pPr>
      <w:r>
        <w:t>Résistance à la compression à l’état humide (conservation 48h par immersion dans l’eau puis essai selon [NBN EN 772-1+A1]) : </w:t>
      </w:r>
      <w:r>
        <w:rPr>
          <w:rStyle w:val="optioncarChar"/>
        </w:rPr>
        <w:t>≥ *** N/mm² / non spécifié</w:t>
      </w:r>
    </w:p>
    <w:p w14:paraId="685327AA" w14:textId="77777777" w:rsidR="00DF410E" w:rsidRDefault="00CE7F43">
      <w:pPr>
        <w:jc w:val="both"/>
      </w:pPr>
      <w:r>
        <w:t>Masse volumique apparente selon la [NBN EN 772-13] : </w:t>
      </w:r>
      <w:r>
        <w:rPr>
          <w:rStyle w:val="optioncarChar"/>
        </w:rPr>
        <w:t>***</w:t>
      </w:r>
      <w:r>
        <w:t> kg / m³</w:t>
      </w:r>
    </w:p>
    <w:p w14:paraId="5925A14A" w14:textId="77777777" w:rsidR="00DF410E" w:rsidRDefault="00CE7F43">
      <w:pPr>
        <w:jc w:val="both"/>
      </w:pPr>
      <w:r>
        <w:t>Teneur en humidité à la sortie d’usine : </w:t>
      </w:r>
      <w:r>
        <w:rPr>
          <w:rStyle w:val="optioncarChar"/>
        </w:rPr>
        <w:t>≤ *** % / non-spécifié</w:t>
      </w:r>
    </w:p>
    <w:p w14:paraId="13A96961" w14:textId="77777777" w:rsidR="00DF410E" w:rsidRDefault="00CE7F43">
      <w:pPr>
        <w:jc w:val="both"/>
      </w:pPr>
      <w:r>
        <w:t>Absorption capillaire de la face de parement (à 10 min) selon [NBN EN 772-11] : </w:t>
      </w:r>
      <w:r>
        <w:rPr>
          <w:rStyle w:val="optioncarChar"/>
        </w:rPr>
        <w:t>≤ *** g/m²s / non spécifié</w:t>
      </w:r>
    </w:p>
    <w:p w14:paraId="653C6B61" w14:textId="77777777" w:rsidR="00DF410E" w:rsidRDefault="00CE7F43">
      <w:pPr>
        <w:jc w:val="both"/>
      </w:pPr>
      <w:r>
        <w:t>Taux initial d’absorption d’eau de la face de pose (à 1 min) selon [NBN EN 772-11] : </w:t>
      </w:r>
      <w:r>
        <w:rPr>
          <w:rStyle w:val="optioncarChar"/>
        </w:rPr>
        <w:t>≤ *** kg/m²min / non spécifié</w:t>
      </w:r>
    </w:p>
    <w:p w14:paraId="59F04A78" w14:textId="77777777" w:rsidR="00DF410E" w:rsidRDefault="00CE7F43">
      <w:pPr>
        <w:jc w:val="both"/>
      </w:pPr>
      <w:r>
        <w:t>Amplitude des déformations hygrométriques (retrait – gonflement) selon [NBN EN 772-14] : </w:t>
      </w:r>
      <w:r>
        <w:rPr>
          <w:rStyle w:val="optioncarChar"/>
        </w:rPr>
        <w:t>≤ *** mm/m / non spécifié.</w:t>
      </w:r>
    </w:p>
    <w:p w14:paraId="7265BC73" w14:textId="77777777" w:rsidR="00DF410E" w:rsidRDefault="00CE7F43">
      <w:pPr>
        <w:jc w:val="both"/>
      </w:pPr>
      <w:r>
        <w:t>Les éléments destinés à un usage extérieur ou en maçonnerie souterraine respectent le critère suivant en matière de comportement à l'humidité : retrait et gonflement hygrométriques ≤ 0.45 mm / m.</w:t>
      </w:r>
    </w:p>
    <w:p w14:paraId="43FB8655" w14:textId="77777777" w:rsidR="00DF410E" w:rsidRDefault="00CE7F43">
      <w:pPr>
        <w:jc w:val="both"/>
      </w:pPr>
      <w:r>
        <w:t>Valeur µ selon [NBN EN ISO 12572] : </w:t>
      </w:r>
      <w:r>
        <w:rPr>
          <w:rStyle w:val="optioncarChar"/>
        </w:rPr>
        <w:t>*** / non spécifié</w:t>
      </w:r>
    </w:p>
    <w:p w14:paraId="235D3CC7" w14:textId="77777777" w:rsidR="00DF410E" w:rsidRDefault="00CE7F43">
      <w:pPr>
        <w:jc w:val="both"/>
      </w:pPr>
      <w:r>
        <w:t>Résistance au gel selon [NBN B 15-231] : </w:t>
      </w:r>
      <w:r>
        <w:rPr>
          <w:rStyle w:val="optioncarChar"/>
        </w:rPr>
        <w:t>résistant / non spécifié</w:t>
      </w:r>
    </w:p>
    <w:p w14:paraId="4AF16639" w14:textId="77777777" w:rsidR="00DF410E" w:rsidRDefault="00CE7F43">
      <w:pPr>
        <w:jc w:val="both"/>
      </w:pPr>
      <w:r>
        <w:t>La conductibilité thermique λ</w:t>
      </w:r>
      <w:r>
        <w:rPr>
          <w:vertAlign w:val="subscript"/>
        </w:rPr>
        <w:t>D</w:t>
      </w:r>
      <w:r>
        <w:t> est compatible avec la valeur U prescrite pour la paroi ; λ</w:t>
      </w:r>
      <w:r>
        <w:rPr>
          <w:vertAlign w:val="subscript"/>
        </w:rPr>
        <w:t>D</w:t>
      </w:r>
      <w:r>
        <w:t> : ≤</w:t>
      </w:r>
      <w:r>
        <w:rPr>
          <w:rStyle w:val="optioncarChar"/>
        </w:rPr>
        <w:t> ***</w:t>
      </w:r>
      <w:r>
        <w:t> W/mK.</w:t>
      </w:r>
    </w:p>
    <w:p w14:paraId="29EB80EF" w14:textId="77777777" w:rsidR="00DF410E" w:rsidRDefault="00CE7F43">
      <w:pPr>
        <w:jc w:val="both"/>
      </w:pPr>
      <w:r>
        <w:t>Chaleur spécifique : </w:t>
      </w:r>
      <w:r>
        <w:rPr>
          <w:rStyle w:val="optioncarChar"/>
        </w:rPr>
        <w:t>*** J/kg K / non spécifié</w:t>
      </w:r>
    </w:p>
    <w:p w14:paraId="4ABE1DB3" w14:textId="77777777" w:rsidR="00DF410E" w:rsidRDefault="00CE7F43">
      <w:pPr>
        <w:jc w:val="both"/>
      </w:pPr>
      <w:r>
        <w:t>Réaction au feu : </w:t>
      </w:r>
      <w:r>
        <w:rPr>
          <w:rStyle w:val="optioncarChar"/>
        </w:rPr>
        <w:t>***</w:t>
      </w:r>
    </w:p>
    <w:p w14:paraId="7A8643CD" w14:textId="77777777" w:rsidR="00DF410E" w:rsidRDefault="00CE7F43">
      <w:pPr>
        <w:jc w:val="both"/>
      </w:pPr>
      <w:r>
        <w:t>Emission de COV : </w:t>
      </w:r>
      <w:r>
        <w:rPr>
          <w:rStyle w:val="optioncarChar"/>
        </w:rPr>
        <w:t>≤ *** / non spécifié</w:t>
      </w:r>
    </w:p>
    <w:p w14:paraId="0BE3FF45" w14:textId="77777777" w:rsidR="00DF410E" w:rsidRDefault="00CE7F43">
      <w:pPr>
        <w:jc w:val="both"/>
      </w:pPr>
      <w:r>
        <w:t> </w:t>
      </w:r>
    </w:p>
    <w:p w14:paraId="44C4ADD8" w14:textId="77777777" w:rsidR="00DF410E" w:rsidRDefault="00CE7F43">
      <w:pPr>
        <w:jc w:val="both"/>
      </w:pPr>
      <w:r>
        <w:rPr>
          <w:u w:val="single"/>
        </w:rPr>
        <w:t>Mortier</w:t>
      </w:r>
    </w:p>
    <w:p w14:paraId="484DFEA7" w14:textId="77777777" w:rsidR="00DF410E" w:rsidRDefault="00CE7F43">
      <w:pPr>
        <w:jc w:val="both"/>
      </w:pPr>
      <w:r>
        <w:t>Type : </w:t>
      </w:r>
      <w:r>
        <w:rPr>
          <w:rStyle w:val="optioncarChar"/>
        </w:rPr>
        <w:t>mortier en terre crue / mortier en terre crue stabilisée au ciment </w:t>
      </w:r>
      <w:r>
        <w:t>(par défaut)</w:t>
      </w:r>
      <w:r>
        <w:rPr>
          <w:rStyle w:val="optioncarChar"/>
        </w:rPr>
        <w:t xml:space="preserve"> / mortier en terre crue stabilisée à la chaux / mortier à la chaux hydraulique</w:t>
      </w:r>
      <w:r>
        <w:t>.</w:t>
      </w:r>
    </w:p>
    <w:p w14:paraId="732F1592" w14:textId="77777777" w:rsidR="00DF410E" w:rsidRDefault="00CE7F43">
      <w:pPr>
        <w:jc w:val="both"/>
      </w:pPr>
      <w:r>
        <w:t>Masse volumique apparente selon [NBN EN 1015-10] :</w:t>
      </w:r>
      <w:r>
        <w:rPr>
          <w:rStyle w:val="optioncarChar"/>
        </w:rPr>
        <w:t> ***</w:t>
      </w:r>
      <w:r>
        <w:t> kg/m³</w:t>
      </w:r>
    </w:p>
    <w:p w14:paraId="705B7820" w14:textId="77777777" w:rsidR="00DF410E" w:rsidRDefault="00CE7F43">
      <w:pPr>
        <w:jc w:val="both"/>
      </w:pPr>
      <w:r>
        <w:t>Résistance en compression selon [NBN EN 1015-11] : ≥ </w:t>
      </w:r>
      <w:r>
        <w:rPr>
          <w:rStyle w:val="optioncarChar"/>
        </w:rPr>
        <w:t>***</w:t>
      </w:r>
      <w:r>
        <w:t> N/mm²</w:t>
      </w:r>
    </w:p>
    <w:p w14:paraId="001C47A9" w14:textId="77777777" w:rsidR="00DF410E" w:rsidRDefault="00CE7F43">
      <w:pPr>
        <w:jc w:val="both"/>
      </w:pPr>
      <w:r>
        <w:t>Absorption d’eau selon [NBN EN 1015-18]] :</w:t>
      </w:r>
      <w:r>
        <w:rPr>
          <w:rStyle w:val="optioncarChar"/>
        </w:rPr>
        <w:t> ***</w:t>
      </w:r>
      <w:r>
        <w:t> kg/m²</w:t>
      </w:r>
    </w:p>
    <w:p w14:paraId="57F5BE63" w14:textId="77777777" w:rsidR="00DF410E" w:rsidRDefault="00CE7F43">
      <w:pPr>
        <w:jc w:val="both"/>
      </w:pPr>
      <w:r>
        <w:t>Adhérence  - Résistance initiale au cisaillement f</w:t>
      </w:r>
      <w:r>
        <w:rPr>
          <w:vertAlign w:val="subscript"/>
        </w:rPr>
        <w:t>vk0</w:t>
      </w:r>
      <w:r>
        <w:t> selon la [NBN EN 1052-3] : ≥</w:t>
      </w:r>
      <w:r>
        <w:rPr>
          <w:rStyle w:val="optioncarChar"/>
        </w:rPr>
        <w:t> ***</w:t>
      </w:r>
      <w:r>
        <w:t> N/mm²</w:t>
      </w:r>
    </w:p>
    <w:p w14:paraId="0995CB50" w14:textId="77777777" w:rsidR="00DF410E" w:rsidRDefault="00CE7F43">
      <w:pPr>
        <w:jc w:val="both"/>
      </w:pPr>
      <w:r>
        <w:t>Epaisseur des joints : </w:t>
      </w:r>
      <w:r>
        <w:rPr>
          <w:rStyle w:val="optioncarChar"/>
        </w:rPr>
        <w:t>12 / ***</w:t>
      </w:r>
      <w:r>
        <w:t> mm.</w:t>
      </w:r>
    </w:p>
    <w:p w14:paraId="52A57AC7" w14:textId="77777777" w:rsidR="00DF410E" w:rsidRDefault="00CE7F43">
      <w:pPr>
        <w:jc w:val="both"/>
      </w:pPr>
      <w:r>
        <w:t>Réaction au feu : </w:t>
      </w:r>
      <w:r>
        <w:rPr>
          <w:rStyle w:val="optioncarChar"/>
        </w:rPr>
        <w:t>***</w:t>
      </w:r>
    </w:p>
    <w:p w14:paraId="3163FF68" w14:textId="77777777" w:rsidR="00DF410E" w:rsidRDefault="00CE7F43">
      <w:pPr>
        <w:jc w:val="both"/>
      </w:pPr>
      <w:r>
        <w:t>Emission de COV : </w:t>
      </w:r>
      <w:r>
        <w:rPr>
          <w:rStyle w:val="optioncarChar"/>
        </w:rPr>
        <w:t>≤ *** / non spécifié</w:t>
      </w:r>
    </w:p>
    <w:p w14:paraId="644A0DD3" w14:textId="77777777" w:rsidR="00DF410E" w:rsidRDefault="00CE7F43">
      <w:pPr>
        <w:jc w:val="both"/>
      </w:pPr>
      <w:r>
        <w:t> </w:t>
      </w:r>
    </w:p>
    <w:p w14:paraId="080137B7" w14:textId="77777777" w:rsidR="00DF410E" w:rsidRDefault="00CE7F43">
      <w:pPr>
        <w:jc w:val="both"/>
      </w:pPr>
      <w:r>
        <w:rPr>
          <w:rStyle w:val="headingChar"/>
        </w:rPr>
        <w:t>Critères De Performances De La Parois</w:t>
      </w:r>
    </w:p>
    <w:p w14:paraId="31C315B6" w14:textId="77777777" w:rsidR="00DF410E" w:rsidRDefault="00DF410E">
      <w:pPr>
        <w:jc w:val="both"/>
      </w:pPr>
    </w:p>
    <w:p w14:paraId="2424C3BB" w14:textId="77777777" w:rsidR="00DF410E" w:rsidRDefault="00CE7F43">
      <w:pPr>
        <w:jc w:val="both"/>
      </w:pPr>
      <w:r>
        <w:t>Valeur λ</w:t>
      </w:r>
      <w:r>
        <w:rPr>
          <w:vertAlign w:val="subscript"/>
        </w:rPr>
        <w:t>Ui</w:t>
      </w:r>
      <w:r>
        <w:t> ou λ</w:t>
      </w:r>
      <w:r>
        <w:rPr>
          <w:vertAlign w:val="subscript"/>
        </w:rPr>
        <w:t>Ue</w:t>
      </w:r>
      <w:r>
        <w:t> : ≤ </w:t>
      </w:r>
      <w:r>
        <w:rPr>
          <w:rStyle w:val="optioncarChar"/>
        </w:rPr>
        <w:t>***</w:t>
      </w:r>
      <w:r>
        <w:t> W/mK (suivant l’application).</w:t>
      </w:r>
    </w:p>
    <w:p w14:paraId="3175A3E4" w14:textId="77777777" w:rsidR="00DF410E" w:rsidRDefault="00CE7F43">
      <w:pPr>
        <w:jc w:val="both"/>
      </w:pPr>
      <w:r>
        <w:t>Résistance au feu ([NBN EN 13501-2], [NBN EN 1364-1]):</w:t>
      </w:r>
      <w:r>
        <w:rPr>
          <w:rStyle w:val="optioncarChar"/>
        </w:rPr>
        <w:t> EI30 </w:t>
      </w:r>
      <w:r>
        <w:t>(par défaut)</w:t>
      </w:r>
      <w:r>
        <w:rPr>
          <w:rStyle w:val="optioncarChar"/>
        </w:rPr>
        <w:t xml:space="preserve"> / EI60 / EI90 / EI120 / ***</w:t>
      </w:r>
    </w:p>
    <w:p w14:paraId="091D3C32" w14:textId="77777777" w:rsidR="00DF410E" w:rsidRDefault="00DF410E"/>
    <w:p w14:paraId="419AFFE3" w14:textId="77777777" w:rsidR="00DF410E" w:rsidRDefault="00CE7F43">
      <w:r>
        <w:t> </w:t>
      </w:r>
    </w:p>
    <w:p w14:paraId="72578A5E" w14:textId="77777777" w:rsidR="00DF410E" w:rsidRDefault="00CE7F43">
      <w:pPr>
        <w:pStyle w:val="pheading"/>
      </w:pPr>
      <w:r>
        <w:t>- Finitions</w:t>
      </w:r>
    </w:p>
    <w:p w14:paraId="23642F5D" w14:textId="77777777" w:rsidR="00DF410E" w:rsidRDefault="00DF410E"/>
    <w:p w14:paraId="5579B5F6" w14:textId="77777777" w:rsidR="00DF410E" w:rsidRDefault="00CE7F43">
      <w:pPr>
        <w:pStyle w:val="Author-eListParagraph"/>
        <w:numPr>
          <w:ilvl w:val="0"/>
          <w:numId w:val="211"/>
        </w:numPr>
      </w:pPr>
      <w:r>
        <w:t>Les faces de murs suivantes sont exécutées comme maçonneries apparentes et sont </w:t>
      </w:r>
      <w:r>
        <w:rPr>
          <w:rStyle w:val="optioncarChar"/>
          <w:color w:val="000000"/>
        </w:rPr>
        <w:t xml:space="preserve">rejointoyées </w:t>
      </w:r>
      <w:r>
        <w:t xml:space="preserve">selon </w:t>
      </w:r>
      <w:hyperlink w:anchor="344" w:history="1">
        <w:r>
          <w:t>21.61.1b Joints de maçonnerie apparente</w:t>
        </w:r>
      </w:hyperlink>
      <w:r>
        <w:t>: </w:t>
      </w:r>
      <w:r>
        <w:rPr>
          <w:rStyle w:val="optioncarChar"/>
        </w:rPr>
        <w:t>***</w:t>
      </w:r>
      <w:r>
        <w:t>.</w:t>
      </w:r>
    </w:p>
    <w:p w14:paraId="39467A88" w14:textId="77777777" w:rsidR="00DF410E" w:rsidRDefault="00CE7F43">
      <w:pPr>
        <w:pStyle w:val="Author-eListParagraph"/>
        <w:numPr>
          <w:ilvl w:val="0"/>
          <w:numId w:val="211"/>
        </w:numPr>
      </w:pPr>
      <w:r>
        <w:t>Les murs suivants sont exécutés avec une face restant apparente : </w:t>
      </w:r>
      <w:r>
        <w:rPr>
          <w:rStyle w:val="optioncarChar"/>
        </w:rPr>
        <w:t>***</w:t>
      </w:r>
    </w:p>
    <w:p w14:paraId="5FD776EA" w14:textId="77777777" w:rsidR="00DF410E" w:rsidRDefault="00CE7F43">
      <w:pPr>
        <w:pStyle w:val="Author-eListParagraph"/>
        <w:numPr>
          <w:ilvl w:val="0"/>
          <w:numId w:val="211"/>
        </w:numPr>
      </w:pPr>
      <w:r>
        <w:t xml:space="preserve">Les murs suivants sont exécutés avec deux faces restant apparentes : </w:t>
      </w:r>
      <w:r>
        <w:rPr>
          <w:rStyle w:val="optioncarChar"/>
        </w:rPr>
        <w:t>***</w:t>
      </w:r>
    </w:p>
    <w:p w14:paraId="67F9E218" w14:textId="77777777" w:rsidR="00DF410E" w:rsidRDefault="00CE7F43">
      <w:pPr>
        <w:jc w:val="both"/>
      </w:pPr>
      <w:r>
        <w:t>Couleur des joints : </w:t>
      </w:r>
      <w:r>
        <w:rPr>
          <w:rStyle w:val="optioncarChar"/>
        </w:rPr>
        <w:t xml:space="preserve">couleur approchant celle des blocs </w:t>
      </w:r>
      <w:r>
        <w:t>(par défaut) </w:t>
      </w:r>
      <w:r>
        <w:rPr>
          <w:rStyle w:val="optioncarChar"/>
        </w:rPr>
        <w:t>/ ***</w:t>
      </w:r>
      <w:r>
        <w:t>.</w:t>
      </w:r>
    </w:p>
    <w:p w14:paraId="7863B2EB" w14:textId="77777777" w:rsidR="00DF410E" w:rsidRDefault="00CE7F43">
      <w:pPr>
        <w:jc w:val="both"/>
      </w:pPr>
      <w:r>
        <w:t>Type de joints : </w:t>
      </w:r>
      <w:r>
        <w:rPr>
          <w:rStyle w:val="optioncarChar"/>
        </w:rPr>
        <w:t>joint creux</w:t>
      </w:r>
      <w:r>
        <w:t> (par défaut)</w:t>
      </w:r>
      <w:r>
        <w:rPr>
          <w:rStyle w:val="optioncarChar"/>
        </w:rPr>
        <w:t> / joint creux en retrait / joint plat / joint plat en retrait / joint biais en retrait / ***.</w:t>
      </w:r>
    </w:p>
    <w:p w14:paraId="23D3D969" w14:textId="77777777" w:rsidR="00DF410E" w:rsidRDefault="00CE7F43">
      <w:pPr>
        <w:jc w:val="both"/>
      </w:pPr>
      <w:r>
        <w:t>Finition des joints :</w:t>
      </w:r>
      <w:r>
        <w:rPr>
          <w:rStyle w:val="optioncarChar"/>
        </w:rPr>
        <w:t> joint brossé</w:t>
      </w:r>
      <w:r>
        <w:t> (par défaut) </w:t>
      </w:r>
      <w:r>
        <w:rPr>
          <w:rStyle w:val="optioncarChar"/>
        </w:rPr>
        <w:t>/ finition lisse / joint frappé à la brosse dure / ***</w:t>
      </w:r>
      <w:r>
        <w:t>.</w:t>
      </w:r>
    </w:p>
    <w:p w14:paraId="11484453" w14:textId="77777777" w:rsidR="00DF410E" w:rsidRDefault="00CE7F43">
      <w:r>
        <w:t> </w:t>
      </w:r>
    </w:p>
    <w:p w14:paraId="1C71D9F4" w14:textId="77777777" w:rsidR="00DF410E" w:rsidRDefault="00CE7F43">
      <w:pPr>
        <w:pStyle w:val="pheading"/>
      </w:pPr>
      <w:r>
        <w:t>- Prescriptions complémentaires</w:t>
      </w:r>
    </w:p>
    <w:p w14:paraId="56C32926" w14:textId="77777777" w:rsidR="00DF410E" w:rsidRDefault="00CE7F43">
      <w:pPr>
        <w:jc w:val="both"/>
      </w:pPr>
      <w:r>
        <w:rPr>
          <w:rStyle w:val="facultChar"/>
        </w:rPr>
        <w:t xml:space="preserve">Les blocs, le mortier et la maçonnerie disposent d'une déclaration d'aptitude à l'utilisation suivant les prescriptions de l'élément  </w:t>
      </w:r>
      <w:hyperlink r:id="rId24" w:history="1" w:docLocation="68">
        <w:r>
          <w:rPr>
            <w:rStyle w:val="facultChar"/>
          </w:rPr>
          <w:t>02.42.1 Critères d'acceptabilité</w:t>
        </w:r>
      </w:hyperlink>
      <w:r>
        <w:rPr>
          <w:rStyle w:val="facultChar"/>
        </w:rPr>
        <w:t xml:space="preserve"> .</w:t>
      </w:r>
    </w:p>
    <w:p w14:paraId="180E89E6" w14:textId="77777777" w:rsidR="00DF410E" w:rsidRDefault="00CE7F43">
      <w:pPr>
        <w:pStyle w:val="pheading"/>
      </w:pPr>
      <w:r>
        <w:t>EXÉCUTION / MISE EN ŒUVRE</w:t>
      </w:r>
    </w:p>
    <w:p w14:paraId="00CCF009" w14:textId="77777777" w:rsidR="00DF410E" w:rsidRDefault="00CE7F43">
      <w:pPr>
        <w:pStyle w:val="pheading"/>
      </w:pPr>
      <w:r>
        <w:t>- Prescriptions générales</w:t>
      </w:r>
    </w:p>
    <w:p w14:paraId="51213494" w14:textId="77777777" w:rsidR="00DF410E" w:rsidRDefault="00CE7F43">
      <w:pPr>
        <w:jc w:val="both"/>
      </w:pPr>
      <w:r>
        <w:t>La maçonnerie est exécutée en appareillage </w:t>
      </w:r>
      <w:r>
        <w:rPr>
          <w:rStyle w:val="optioncarChar"/>
        </w:rPr>
        <w:t>d’une demi-brique / ***</w:t>
      </w:r>
      <w:r>
        <w:t>.</w:t>
      </w:r>
    </w:p>
    <w:p w14:paraId="01EAEB29" w14:textId="77777777" w:rsidR="00DF410E" w:rsidRDefault="00CE7F43">
      <w:pPr>
        <w:jc w:val="both"/>
      </w:pPr>
      <w:r>
        <w:t>Linteaux : </w:t>
      </w:r>
      <w:r>
        <w:rPr>
          <w:rStyle w:val="optioncarChar"/>
        </w:rPr>
        <w:t>***</w:t>
      </w:r>
      <w:r>
        <w:t>.</w:t>
      </w:r>
    </w:p>
    <w:p w14:paraId="2C4C3739" w14:textId="77777777" w:rsidR="00DF410E" w:rsidRDefault="00CE7F43">
      <w:pPr>
        <w:pStyle w:val="pheading"/>
      </w:pPr>
      <w:r>
        <w:t>- Notes d’exécution complémentaires</w:t>
      </w:r>
    </w:p>
    <w:p w14:paraId="02EF4973" w14:textId="77777777" w:rsidR="00DF410E" w:rsidRDefault="00CE7F43">
      <w:pPr>
        <w:jc w:val="both"/>
      </w:pPr>
      <w:r>
        <w:rPr>
          <w:rStyle w:val="facultChar"/>
        </w:rPr>
        <w:t>Armatures horizontales : selon l'élément </w:t>
      </w:r>
      <w:hyperlink w:anchor="355" w:history="1">
        <w:r>
          <w:rPr>
            <w:rStyle w:val="facultChar"/>
          </w:rPr>
          <w:t>21.41.1 Armatures horizontales pour maçonneries</w:t>
        </w:r>
      </w:hyperlink>
      <w:r>
        <w:rPr>
          <w:rStyle w:val="facultChar"/>
        </w:rPr>
        <w:t>.</w:t>
      </w:r>
    </w:p>
    <w:p w14:paraId="30E16CB0" w14:textId="77777777" w:rsidR="00DF410E" w:rsidRDefault="00CE7F43">
      <w:pPr>
        <w:jc w:val="both"/>
      </w:pPr>
      <w:r>
        <w:rPr>
          <w:rStyle w:val="facultChar"/>
        </w:rPr>
        <w:t>Ancrages : selon l'élément </w:t>
      </w:r>
      <w:hyperlink w:anchor="362" w:history="1">
        <w:r>
          <w:rPr>
            <w:rStyle w:val="facultChar"/>
          </w:rPr>
          <w:t>21.42 Ancrages et fixations de maçonneries</w:t>
        </w:r>
      </w:hyperlink>
    </w:p>
    <w:p w14:paraId="53136059" w14:textId="77777777" w:rsidR="00DF410E" w:rsidRDefault="00CE7F43">
      <w:pPr>
        <w:jc w:val="both"/>
      </w:pPr>
      <w:r>
        <w:rPr>
          <w:rStyle w:val="facultChar"/>
        </w:rPr>
        <w:t>Blocs spéciaux :</w:t>
      </w:r>
      <w:r>
        <w:t> </w:t>
      </w:r>
      <w:r>
        <w:rPr>
          <w:rStyle w:val="optioncarChar"/>
        </w:rPr>
        <w:t>***</w:t>
      </w:r>
    </w:p>
    <w:p w14:paraId="296420F5" w14:textId="77777777" w:rsidR="00DF410E" w:rsidRDefault="00CE7F43">
      <w:pPr>
        <w:jc w:val="both"/>
      </w:pPr>
      <w:r>
        <w:rPr>
          <w:rStyle w:val="facultChar"/>
        </w:rPr>
        <w:t>Étanchéité :</w:t>
      </w:r>
      <w:r>
        <w:t> </w:t>
      </w:r>
      <w:r>
        <w:rPr>
          <w:rStyle w:val="optioncarChar"/>
        </w:rPr>
        <w:t>***</w:t>
      </w:r>
    </w:p>
    <w:p w14:paraId="01511CB1" w14:textId="77777777" w:rsidR="00DF410E" w:rsidRDefault="00CE7F43">
      <w:pPr>
        <w:jc w:val="both"/>
      </w:pPr>
      <w:r>
        <w:rPr>
          <w:rStyle w:val="facultChar"/>
        </w:rPr>
        <w:t>Joints de dilatation :</w:t>
      </w:r>
      <w:r>
        <w:t> </w:t>
      </w:r>
      <w:r>
        <w:rPr>
          <w:rStyle w:val="optioncarChar"/>
        </w:rPr>
        <w:t>***</w:t>
      </w:r>
    </w:p>
    <w:p w14:paraId="1FC662EE" w14:textId="77777777" w:rsidR="00DF410E" w:rsidRDefault="00CE7F43">
      <w:pPr>
        <w:pStyle w:val="pheading"/>
      </w:pPr>
      <w:r>
        <w:t>- Échantillons</w:t>
      </w:r>
    </w:p>
    <w:p w14:paraId="18CE19E2" w14:textId="77777777" w:rsidR="00DF410E" w:rsidRDefault="00CE7F43">
      <w:pPr>
        <w:jc w:val="both"/>
      </w:pPr>
      <w:r>
        <w:t>L’entrepreneur soumet un échantillon de bloc.</w:t>
      </w:r>
    </w:p>
    <w:p w14:paraId="35C3B4C7" w14:textId="77777777" w:rsidR="00DF410E" w:rsidRDefault="00CE7F43">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2FFB04EE" w14:textId="77777777" w:rsidR="00DF410E" w:rsidRDefault="00CE7F43">
      <w:pPr>
        <w:pStyle w:val="pheading"/>
      </w:pPr>
      <w:r>
        <w:t>DOCUMENTS DE RÉFÉRENCE COMPLÉMENTAIRES</w:t>
      </w:r>
    </w:p>
    <w:p w14:paraId="4BF8FD52" w14:textId="77777777" w:rsidR="00DF410E" w:rsidRDefault="00CE7F43">
      <w:pPr>
        <w:pStyle w:val="pheading"/>
      </w:pPr>
      <w:r>
        <w:t>- Matériau</w:t>
      </w:r>
    </w:p>
    <w:p w14:paraId="2A1B0AFB" w14:textId="77777777" w:rsidR="00DF410E" w:rsidRDefault="00CE7F43">
      <w:r>
        <w:t>[PTV 21-001, Eléments de maçonnerie en béton (granulats courants et légers) - Classification et spécifications d'application]</w:t>
      </w:r>
    </w:p>
    <w:p w14:paraId="6A811101" w14:textId="77777777" w:rsidR="00DF410E" w:rsidRDefault="00CE7F43">
      <w:r>
        <w:t>[NBN EN 772-1+A1, Méthodes d'essai des éléments de maçonnerie - Partie 1: Détermination de la résistance à la compression]</w:t>
      </w:r>
    </w:p>
    <w:p w14:paraId="74763AB0" w14:textId="77777777" w:rsidR="00DF410E" w:rsidRDefault="00CE7F43">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76B65E48" w14:textId="77777777" w:rsidR="00DF410E" w:rsidRDefault="00CE7F43">
      <w:r>
        <w:t>[NBN EN 772-13, Méthodes d'essai des éléments de maçonnerie - Partie 13: Détermination de la masse volumique absolue sèche et de la masse volumique apparente sèche des éléments de maçonnerie (excepté les pierres naturelles)]</w:t>
      </w:r>
    </w:p>
    <w:p w14:paraId="4D4BE32C" w14:textId="77777777" w:rsidR="00DF410E" w:rsidRDefault="00CE7F43">
      <w:r>
        <w:t>[NBN EN 772-14, Méthode d'essai pour des éléments de maçonnerie - Partie 14 : Détermination de la variation due à l'humidité des éléments de maçonnerie en béton de granulats et en pierre reconstituée]</w:t>
      </w:r>
    </w:p>
    <w:p w14:paraId="7356E1ED" w14:textId="77777777" w:rsidR="00DF410E" w:rsidRDefault="00CE7F43">
      <w:r>
        <w:t>[NBN EN ISO 12572, Performance hygrothermique des matériaux et produits pour le bâtiment - Détermination des propriétés de transmission de la vapeur d'eau - Méthode de la coupelle (ISO 12572:2016)]</w:t>
      </w:r>
    </w:p>
    <w:p w14:paraId="67264438" w14:textId="77777777" w:rsidR="00DF410E" w:rsidRDefault="00CE7F43">
      <w:r>
        <w:t>[NBN B 15-231, Essais des bétons - Gélivité]</w:t>
      </w:r>
    </w:p>
    <w:p w14:paraId="421413C0" w14:textId="77777777" w:rsidR="00DF410E" w:rsidRDefault="00CE7F43">
      <w:r>
        <w:t>[NBN EN 1015-10, Méthodes d'essai des mortiers pour la maçonnerie - Partie 10: Détermination de la masse volumique apparente sèche du mortier durci]</w:t>
      </w:r>
    </w:p>
    <w:p w14:paraId="17468CD0" w14:textId="77777777" w:rsidR="00DF410E" w:rsidRDefault="00CE7F43">
      <w:r>
        <w:t>[NBN EN 1015-11, Méthodes d'essai des mortiers pour maçonnerie - Détermination de la résistance à la flexion et à la compression du mortier durci]</w:t>
      </w:r>
    </w:p>
    <w:p w14:paraId="0894B5CC" w14:textId="77777777" w:rsidR="00DF410E" w:rsidRDefault="00CE7F43">
      <w:r>
        <w:t>[NBN EN 1015-18, Méthodes d'essai des mortiers pour maçonnerie - Partie 18: Détermination du coefficient d'absorption d'eau par capillarité du mortier durci]</w:t>
      </w:r>
    </w:p>
    <w:p w14:paraId="4C0F095B" w14:textId="77777777" w:rsidR="00DF410E" w:rsidRDefault="00CE7F43">
      <w:r>
        <w:t>[NBN EN 1052-3, Méthodes d'essai de la maçonnerie - Partie 3: Détermination de la résistance initiale au cisaillement]</w:t>
      </w:r>
    </w:p>
    <w:p w14:paraId="77E6D560"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6D94C499" w14:textId="77777777" w:rsidR="00DF410E" w:rsidRDefault="00CE7F43">
      <w:r>
        <w:t>[NBN EN 1364-1, Essais de résistance au feu des éléments non porteurs - Partie 1: Murs]</w:t>
      </w:r>
    </w:p>
    <w:p w14:paraId="7F47242E" w14:textId="77777777" w:rsidR="00DF410E" w:rsidRDefault="00CE7F43">
      <w:r>
        <w:t>[DIN 18945, Earth blocks - Requirements, test and labelling]</w:t>
      </w:r>
    </w:p>
    <w:p w14:paraId="6743E9A0" w14:textId="77777777" w:rsidR="00DF410E" w:rsidRDefault="00CE7F43">
      <w:r>
        <w:t>[DIN 18946, Earth masonry mortar - Requirements, test and labelling]</w:t>
      </w:r>
    </w:p>
    <w:p w14:paraId="33669523" w14:textId="77777777" w:rsidR="00DF410E" w:rsidRDefault="00CE7F43">
      <w:pPr>
        <w:pStyle w:val="pheading"/>
      </w:pPr>
      <w:r>
        <w:t>MESURAGE</w:t>
      </w:r>
    </w:p>
    <w:p w14:paraId="01743CC8" w14:textId="77777777" w:rsidR="00DF410E" w:rsidRDefault="00CE7F43">
      <w:pPr>
        <w:pStyle w:val="pheading"/>
      </w:pPr>
      <w:r>
        <w:t>- unité de mesure:</w:t>
      </w:r>
    </w:p>
    <w:p w14:paraId="634C68B2" w14:textId="77777777" w:rsidR="00DF410E" w:rsidRDefault="00CE7F43">
      <w:r>
        <w:rPr>
          <w:rStyle w:val="optioncarChar"/>
        </w:rPr>
        <w:t>m³</w:t>
      </w:r>
      <w:r>
        <w:t> (par défaut)</w:t>
      </w:r>
      <w:r>
        <w:rPr>
          <w:rStyle w:val="optioncarChar"/>
        </w:rPr>
        <w:t> / m²</w:t>
      </w:r>
    </w:p>
    <w:p w14:paraId="05595CAB" w14:textId="77777777" w:rsidR="00DF410E" w:rsidRDefault="00CE7F43">
      <w:r>
        <w:rPr>
          <w:b/>
          <w:i/>
        </w:rPr>
        <w:t>(Soit par défaut)</w:t>
      </w:r>
    </w:p>
    <w:p w14:paraId="5044CF8E" w14:textId="77777777" w:rsidR="00DF410E" w:rsidRDefault="00CE7F43">
      <w:r>
        <w:rPr>
          <w:rStyle w:val="soitChar"/>
        </w:rPr>
        <w:t>m³</w:t>
      </w:r>
      <w:r>
        <w:t> </w:t>
      </w:r>
      <w:r>
        <w:br/>
      </w:r>
      <w:r>
        <w:br/>
      </w:r>
      <w:r>
        <w:rPr>
          <w:b/>
          <w:i/>
        </w:rPr>
        <w:t>(Soit)</w:t>
      </w:r>
    </w:p>
    <w:p w14:paraId="7ADB66B4" w14:textId="77777777" w:rsidR="00DF410E" w:rsidRDefault="00CE7F43">
      <w:r>
        <w:rPr>
          <w:rStyle w:val="soitChar"/>
        </w:rPr>
        <w:t>m²</w:t>
      </w:r>
    </w:p>
    <w:p w14:paraId="4E000BB7" w14:textId="77777777" w:rsidR="00DF410E" w:rsidRDefault="00CE7F43">
      <w:pPr>
        <w:pStyle w:val="pheading"/>
      </w:pPr>
      <w:r>
        <w:t>- code de mesurage:</w:t>
      </w:r>
    </w:p>
    <w:p w14:paraId="72CE3CED"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D043AF1"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65630A7"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3954F4F" w14:textId="77777777" w:rsidR="00DF410E" w:rsidRDefault="00CE7F43">
      <w:r>
        <w:rPr>
          <w:rStyle w:val="optioncarChar"/>
        </w:rPr>
        <w:t>Volume net </w:t>
      </w:r>
      <w:r>
        <w:t>(par défaut)</w:t>
      </w:r>
      <w:r>
        <w:rPr>
          <w:rStyle w:val="optioncarChar"/>
        </w:rPr>
        <w:t> / Surface nette</w:t>
      </w:r>
    </w:p>
    <w:p w14:paraId="52105EF8" w14:textId="77777777" w:rsidR="00DF410E" w:rsidRDefault="00CE7F43">
      <w:r>
        <w:rPr>
          <w:b/>
        </w:rPr>
        <w:t>(soit par défaut)</w:t>
      </w:r>
    </w:p>
    <w:p w14:paraId="59181EB1"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D5E5AE6" w14:textId="77777777" w:rsidR="00DF410E" w:rsidRDefault="00CE7F43">
      <w:r>
        <w:rPr>
          <w:b/>
        </w:rPr>
        <w:t>(soit)</w:t>
      </w:r>
    </w:p>
    <w:p w14:paraId="77D1E0EC"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9AEC6DA" w14:textId="77777777" w:rsidR="00DF410E" w:rsidRDefault="00DF410E"/>
    <w:p w14:paraId="510F829E" w14:textId="77777777" w:rsidR="00DF410E" w:rsidRDefault="00DF410E"/>
    <w:p w14:paraId="5B12D70A" w14:textId="77777777" w:rsidR="00DF410E" w:rsidRDefault="00CE7F43">
      <w:r>
        <w:t> </w:t>
      </w:r>
    </w:p>
    <w:p w14:paraId="7CD08D32" w14:textId="77777777" w:rsidR="00DF410E" w:rsidRDefault="00CE7F43">
      <w:pPr>
        <w:pStyle w:val="pheading"/>
      </w:pPr>
      <w:r>
        <w:t>- nature du marché:</w:t>
      </w:r>
    </w:p>
    <w:p w14:paraId="67C5ACF3" w14:textId="77777777" w:rsidR="00DF410E" w:rsidRDefault="00CE7F43">
      <w:r>
        <w:t>QF</w:t>
      </w:r>
    </w:p>
    <w:p w14:paraId="2588D4CC" w14:textId="77777777" w:rsidR="00DF410E" w:rsidRDefault="00CE7F43">
      <w:pPr>
        <w:pStyle w:val="Author-eSectionHeading5"/>
      </w:pPr>
      <w:bookmarkStart w:id="195" w:name="_Toc178837437"/>
      <w:r>
        <w:t>21.22.8 Maçonneries non portantes en blocs de chaux-chanvre CCTB 01.11</w:t>
      </w:r>
      <w:bookmarkEnd w:id="195"/>
    </w:p>
    <w:p w14:paraId="0D586CE1" w14:textId="77777777" w:rsidR="00DF410E" w:rsidRDefault="00CE7F43">
      <w:pPr>
        <w:pStyle w:val="pheading"/>
      </w:pPr>
      <w:r>
        <w:t>DESCRIPTION</w:t>
      </w:r>
    </w:p>
    <w:p w14:paraId="1455B441" w14:textId="77777777" w:rsidR="00DF410E" w:rsidRDefault="00CE7F43">
      <w:pPr>
        <w:pStyle w:val="pheading"/>
      </w:pPr>
      <w:r>
        <w:t>- Définition / Comprend</w:t>
      </w:r>
    </w:p>
    <w:p w14:paraId="36F0E427" w14:textId="77777777" w:rsidR="00DF410E" w:rsidRDefault="00CE7F43">
      <w:r>
        <w:t>Il s'agit de maçonneries non portantes en blocs de chaux-chanvre.</w:t>
      </w:r>
    </w:p>
    <w:p w14:paraId="526D6B08" w14:textId="77777777" w:rsidR="00DF410E" w:rsidRDefault="00CE7F43">
      <w:pPr>
        <w:pStyle w:val="pheading"/>
      </w:pPr>
      <w:r>
        <w:t>MATÉRIAUX</w:t>
      </w:r>
    </w:p>
    <w:p w14:paraId="4AAFFAF5" w14:textId="77777777" w:rsidR="00DF410E" w:rsidRDefault="00CE7F43">
      <w:pPr>
        <w:jc w:val="both"/>
      </w:pPr>
      <w:r>
        <w:t>En l’absence de normes propres, les spécifications des blocs sont basées sur la [NBN EN 771-3+A1] et le [PTV 21-001] et les spécifications du mortier sont basées sur la [NBN EN 998-2] et le [PTV 651].</w:t>
      </w:r>
    </w:p>
    <w:p w14:paraId="5C3B55CE" w14:textId="77777777" w:rsidR="00DF410E" w:rsidRDefault="00CE7F43">
      <w:pPr>
        <w:jc w:val="both"/>
      </w:pPr>
      <w:r>
        <w:t>L'entrepreneur soumet la fiche technique des matériaux (bloc et mortier) pour approbation à l'auteur de projet et au maître de l’ouvrage.</w:t>
      </w:r>
    </w:p>
    <w:p w14:paraId="6B57A0A4" w14:textId="77777777" w:rsidR="00DF410E" w:rsidRDefault="00CE7F43">
      <w:pPr>
        <w:pStyle w:val="pheading"/>
      </w:pPr>
      <w:r>
        <w:t>EXÉCUTION / MISE EN ŒUVRE</w:t>
      </w:r>
    </w:p>
    <w:p w14:paraId="1BBAA77F" w14:textId="77777777" w:rsidR="00DF410E" w:rsidRDefault="00CE7F43">
      <w:pPr>
        <w:jc w:val="both"/>
      </w:pPr>
      <w:r>
        <w:t>Conformément au mode de mise en œuvre, les blocs de chaux-chanvre sont maçonnés selon la documentation technique accompagnant les produits.</w:t>
      </w:r>
    </w:p>
    <w:p w14:paraId="62B8669C" w14:textId="77777777" w:rsidR="00DF410E" w:rsidRDefault="00CE7F43">
      <w:pPr>
        <w:jc w:val="both"/>
      </w:pPr>
      <w:r>
        <w:t>Matériaux de liaison et d'ancrage</w:t>
      </w:r>
    </w:p>
    <w:p w14:paraId="574566B5" w14:textId="77777777" w:rsidR="00DF410E" w:rsidRDefault="00CE7F43">
      <w:pPr>
        <w:pStyle w:val="Author-eListParagraph"/>
        <w:numPr>
          <w:ilvl w:val="0"/>
          <w:numId w:val="212"/>
        </w:numPr>
      </w:pPr>
      <w:r>
        <w:t xml:space="preserve">longueur nominale : </w:t>
      </w:r>
      <w:r>
        <w:rPr>
          <w:rStyle w:val="optioncarChar"/>
        </w:rPr>
        <w:t>***</w:t>
      </w:r>
    </w:p>
    <w:p w14:paraId="1C820725" w14:textId="77777777" w:rsidR="00DF410E" w:rsidRDefault="00CE7F43">
      <w:pPr>
        <w:pStyle w:val="Author-eListParagraph"/>
        <w:numPr>
          <w:ilvl w:val="0"/>
          <w:numId w:val="212"/>
        </w:numPr>
      </w:pPr>
      <w:r>
        <w:t xml:space="preserve">diamètre : </w:t>
      </w:r>
      <w:r>
        <w:rPr>
          <w:rStyle w:val="optioncarChar"/>
        </w:rPr>
        <w:t>***</w:t>
      </w:r>
    </w:p>
    <w:p w14:paraId="4358E4AB" w14:textId="77777777" w:rsidR="00DF410E" w:rsidRDefault="00CE7F43">
      <w:pPr>
        <w:pStyle w:val="Author-eListParagraph"/>
        <w:numPr>
          <w:ilvl w:val="0"/>
          <w:numId w:val="212"/>
        </w:numPr>
      </w:pPr>
      <w:r>
        <w:t xml:space="preserve">classe d’exposition : </w:t>
      </w:r>
      <w:r>
        <w:rPr>
          <w:rStyle w:val="optioncarChar"/>
        </w:rPr>
        <w:t xml:space="preserve">MX1 </w:t>
      </w:r>
      <w:r>
        <w:t>(par défaut)</w:t>
      </w:r>
      <w:r>
        <w:rPr>
          <w:rStyle w:val="optioncarChar"/>
        </w:rPr>
        <w:t xml:space="preserve"> / MX2 / MX3 / MX4 / MX5</w:t>
      </w:r>
    </w:p>
    <w:p w14:paraId="44493FE0" w14:textId="77777777" w:rsidR="00DF410E" w:rsidRDefault="00CE7F43">
      <w:pPr>
        <w:pStyle w:val="Author-eListParagraph"/>
        <w:numPr>
          <w:ilvl w:val="0"/>
          <w:numId w:val="212"/>
        </w:numPr>
      </w:pPr>
      <w: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4924405A" w14:textId="77777777" w:rsidR="00DF410E" w:rsidRDefault="00DF410E"/>
    <w:p w14:paraId="0EC59D95" w14:textId="77777777" w:rsidR="00DF410E" w:rsidRDefault="00CE7F43">
      <w:pPr>
        <w:jc w:val="both"/>
      </w:pPr>
      <w:r>
        <w:t xml:space="preserve">Isolation contre l'humidité : </w:t>
      </w:r>
      <w:r>
        <w:rPr>
          <w:rStyle w:val="optioncarChar"/>
        </w:rPr>
        <w:t>membranes en PE </w:t>
      </w:r>
      <w:r>
        <w:t>(par défaut)</w:t>
      </w:r>
      <w:r>
        <w:rPr>
          <w:rStyle w:val="optioncarChar"/>
        </w:rPr>
        <w:t xml:space="preserve"> / ***</w:t>
      </w:r>
      <w:r>
        <w:t xml:space="preserve"> conformément au sous-titre </w:t>
      </w:r>
      <w:hyperlink w:anchor="354" w:history="1">
        <w:r>
          <w:t>26.11 Feuilles et membranes d'étanchéité à l'eau</w:t>
        </w:r>
      </w:hyperlink>
      <w:r>
        <w:t xml:space="preserve">. </w:t>
      </w:r>
    </w:p>
    <w:p w14:paraId="4E3B0B49" w14:textId="77777777" w:rsidR="00DF410E" w:rsidRDefault="00DF410E">
      <w:pPr>
        <w:jc w:val="both"/>
      </w:pPr>
    </w:p>
    <w:p w14:paraId="4A2CC52A" w14:textId="77777777" w:rsidR="00DF410E" w:rsidRDefault="00CE7F43">
      <w:pPr>
        <w:jc w:val="both"/>
      </w:pPr>
      <w:r>
        <w:t xml:space="preserve"> Pour les maçonneries destinées à rester apparentes, seules des blocs non endommagés sont utilisés.</w:t>
      </w:r>
    </w:p>
    <w:p w14:paraId="3294A756" w14:textId="77777777" w:rsidR="00DF410E" w:rsidRDefault="00CE7F43">
      <w:pPr>
        <w:jc w:val="both"/>
      </w:pPr>
      <w:r>
        <w:t xml:space="preserve">Les segments de murs sont pourvus d'armatures horizontales selon le chapitre </w:t>
      </w:r>
      <w:hyperlink w:anchor="355" w:history="1">
        <w:r>
          <w:t>21.41.1 Armatures horizontales pour maçonneries</w:t>
        </w:r>
      </w:hyperlink>
      <w:r>
        <w:t>.</w:t>
      </w:r>
    </w:p>
    <w:p w14:paraId="0BE4683C" w14:textId="77777777" w:rsidR="00DF410E" w:rsidRDefault="00CE7F43">
      <w:pPr>
        <w:jc w:val="both"/>
      </w:pPr>
      <w:r>
        <w:t xml:space="preserve">Les segments de murs sont pourvus d'armatures verticales selon le chapitre </w:t>
      </w:r>
      <w:hyperlink w:anchor="356" w:history="1">
        <w:r>
          <w:t>21.41.2 Armatures verticales pour maçonneries</w:t>
        </w:r>
      </w:hyperlink>
      <w:r>
        <w:t>.</w:t>
      </w:r>
    </w:p>
    <w:p w14:paraId="547F7F0B" w14:textId="77777777" w:rsidR="00DF410E" w:rsidRDefault="00CE7F43">
      <w:pPr>
        <w:jc w:val="both"/>
      </w:pPr>
      <w:r>
        <w:t xml:space="preserve">Les maçonneries de caves en contact avec les terres sont rendues étanches selon la description au sous-titre </w:t>
      </w:r>
      <w:hyperlink w:anchor="357" w:history="1">
        <w:r>
          <w:t>26.12 Traitements d'étanchéisation</w:t>
        </w:r>
      </w:hyperlink>
      <w:r>
        <w:t>.</w:t>
      </w:r>
    </w:p>
    <w:p w14:paraId="3A399A25" w14:textId="77777777" w:rsidR="00DF410E" w:rsidRDefault="00CE7F43">
      <w:pPr>
        <w:pStyle w:val="pheading"/>
      </w:pPr>
      <w:r>
        <w:t>DOCUMENTS DE RÉFÉRENCE</w:t>
      </w:r>
    </w:p>
    <w:p w14:paraId="4EDB4C6A" w14:textId="77777777" w:rsidR="00DF410E" w:rsidRDefault="00CE7F43">
      <w:pPr>
        <w:pStyle w:val="pheading"/>
      </w:pPr>
      <w:r>
        <w:t>- Matériau</w:t>
      </w:r>
    </w:p>
    <w:p w14:paraId="4E0F6994" w14:textId="77777777" w:rsidR="00DF410E" w:rsidRDefault="00CE7F43">
      <w:r>
        <w:t>[NBN EN 771-3+A1, Spécifications pour éléments de maçonnerie - Partie 3: Éléments de maçonnerie en béton de granulats (granulats courants et légers)]</w:t>
      </w:r>
    </w:p>
    <w:p w14:paraId="40524242" w14:textId="77777777" w:rsidR="00DF410E" w:rsidRDefault="00CE7F43">
      <w:r>
        <w:t>[PTV 21-001, Eléments de maçonnerie en béton (granulats courants et légers) - Classification et spécifications d'application]</w:t>
      </w:r>
    </w:p>
    <w:p w14:paraId="2EC4C29B" w14:textId="77777777" w:rsidR="00DF410E" w:rsidRDefault="00CE7F43">
      <w:r>
        <w:t>[NBN EN 998-2, Définitions et spécifications des mortiers pour maçonnerie - Partie 2: Mortiers de montage des éléments de maçonnerie]</w:t>
      </w:r>
    </w:p>
    <w:p w14:paraId="4D6A8BF9" w14:textId="77777777" w:rsidR="00DF410E" w:rsidRDefault="00CE7F43">
      <w:r>
        <w:t>[PTV 651, Mortier de maçonnerie et mortier de jointoyage]</w:t>
      </w:r>
    </w:p>
    <w:p w14:paraId="0B88BD3B" w14:textId="77777777" w:rsidR="00DF410E" w:rsidRDefault="00CE7F43">
      <w:pPr>
        <w:pStyle w:val="Author-eSectionHeading6"/>
      </w:pPr>
      <w:bookmarkStart w:id="196" w:name="_Toc178837438"/>
      <w:r>
        <w:t>21.22.8a Maçonneries non portantes en blocs de chaux-chanvre CCTB 01.12</w:t>
      </w:r>
      <w:bookmarkEnd w:id="196"/>
    </w:p>
    <w:p w14:paraId="17D037E2" w14:textId="77777777" w:rsidR="00DF410E" w:rsidRDefault="00CE7F43">
      <w:pPr>
        <w:pStyle w:val="pheading"/>
      </w:pPr>
      <w:r>
        <w:t>DESCRIPTION</w:t>
      </w:r>
    </w:p>
    <w:p w14:paraId="29FC9C77" w14:textId="77777777" w:rsidR="00DF410E" w:rsidRDefault="00CE7F43">
      <w:pPr>
        <w:pStyle w:val="pheading"/>
      </w:pPr>
      <w:r>
        <w:t>- Définition / Comprend</w:t>
      </w:r>
    </w:p>
    <w:p w14:paraId="5B0B4005" w14:textId="77777777" w:rsidR="00DF410E" w:rsidRDefault="00CE7F43">
      <w:pPr>
        <w:jc w:val="both"/>
      </w:pPr>
      <w:r>
        <w:t>Il s’agit de la fourniture et la pose de maçonneries non portantes en blocs de chaux-chanvre.</w:t>
      </w:r>
    </w:p>
    <w:p w14:paraId="59A3E1E5" w14:textId="77777777" w:rsidR="00DF410E" w:rsidRDefault="00CE7F43">
      <w:pPr>
        <w:jc w:val="both"/>
      </w:pPr>
      <w:r>
        <w:t xml:space="preserve">La portée des travaux est décrite dans l’élément </w:t>
      </w:r>
      <w:hyperlink w:anchor="381" w:history="1">
        <w:r>
          <w:t>21.2 Maçonneries non portantes</w:t>
        </w:r>
      </w:hyperlink>
      <w:r>
        <w:t>.</w:t>
      </w:r>
    </w:p>
    <w:p w14:paraId="7F1E0579" w14:textId="77777777" w:rsidR="00DF410E" w:rsidRDefault="00CE7F43">
      <w:pPr>
        <w:pStyle w:val="pheading"/>
      </w:pPr>
      <w:r>
        <w:t>- Localisation</w:t>
      </w:r>
    </w:p>
    <w:p w14:paraId="3DC4F9C1" w14:textId="77777777" w:rsidR="00DF410E" w:rsidRDefault="00CE7F43">
      <w:r>
        <w:t xml:space="preserve">Localisation des travaux : </w:t>
      </w:r>
      <w:r>
        <w:rPr>
          <w:rStyle w:val="optioncarChar"/>
        </w:rPr>
        <w:t>***</w:t>
      </w:r>
      <w:r>
        <w:t>.</w:t>
      </w:r>
    </w:p>
    <w:p w14:paraId="48AE3243" w14:textId="77777777" w:rsidR="00DF410E" w:rsidRDefault="00CE7F43">
      <w:r>
        <w:t>Voir plans et métrés détaillés.</w:t>
      </w:r>
    </w:p>
    <w:p w14:paraId="5DCB0350" w14:textId="77777777" w:rsidR="00DF410E" w:rsidRDefault="00CE7F43">
      <w:pPr>
        <w:pStyle w:val="pheading"/>
      </w:pPr>
      <w:r>
        <w:t>MATÉRIAUX</w:t>
      </w:r>
    </w:p>
    <w:p w14:paraId="504AFF22" w14:textId="77777777" w:rsidR="00DF410E" w:rsidRDefault="00CE7F43">
      <w:pPr>
        <w:pStyle w:val="pheading"/>
      </w:pPr>
      <w:r>
        <w:t>- Caractéristiques générales</w:t>
      </w:r>
    </w:p>
    <w:p w14:paraId="682AAAD8" w14:textId="77777777" w:rsidR="00DF410E" w:rsidRDefault="00CE7F43">
      <w:pPr>
        <w:jc w:val="both"/>
      </w:pPr>
      <w:r>
        <w:rPr>
          <w:b/>
        </w:rPr>
        <w:t>Bloc</w:t>
      </w:r>
    </w:p>
    <w:p w14:paraId="47E90519" w14:textId="77777777" w:rsidR="00DF410E" w:rsidRDefault="00CE7F43">
      <w:pPr>
        <w:jc w:val="both"/>
      </w:pPr>
      <w:r>
        <w:t xml:space="preserve">Les blocs disposent d'une déclaration d'aptitude à l'utilisation suivant les prescriptions de l'élément </w:t>
      </w:r>
      <w:hyperlink r:id="rId25" w:history="1" w:docLocation="68">
        <w:r>
          <w:t>02.42.1 Critères d'acceptabilité</w:t>
        </w:r>
      </w:hyperlink>
      <w:r>
        <w:t>.</w:t>
      </w:r>
    </w:p>
    <w:p w14:paraId="517567BF" w14:textId="77777777" w:rsidR="00DF410E" w:rsidRDefault="00CE7F43">
      <w:pPr>
        <w:jc w:val="both"/>
      </w:pPr>
      <w:r>
        <w:t>Format (Lxlxh) mm :</w:t>
      </w:r>
      <w:r>
        <w:rPr>
          <w:rStyle w:val="optioncarChar"/>
        </w:rPr>
        <w:t xml:space="preserve"> *** x *** x *** / format modulaire proposé par l'entrepreneur</w:t>
      </w:r>
      <w:r>
        <w:t> (par défaut)</w:t>
      </w:r>
    </w:p>
    <w:p w14:paraId="2019F829" w14:textId="77777777" w:rsidR="00DF410E" w:rsidRDefault="00CE7F43">
      <w:pPr>
        <w:jc w:val="both"/>
      </w:pPr>
      <w:r>
        <w:t xml:space="preserve">Face qui reste visible : </w:t>
      </w:r>
      <w:r>
        <w:rPr>
          <w:rStyle w:val="optioncarChar"/>
        </w:rPr>
        <w:t xml:space="preserve">lisse </w:t>
      </w:r>
      <w:r>
        <w:t>(par défaut)</w:t>
      </w:r>
      <w:r>
        <w:rPr>
          <w:rStyle w:val="optioncarChar"/>
        </w:rPr>
        <w:t xml:space="preserve"> / ***</w:t>
      </w:r>
    </w:p>
    <w:p w14:paraId="1F51F458" w14:textId="77777777" w:rsidR="00DF410E" w:rsidRDefault="00DF410E">
      <w:pPr>
        <w:jc w:val="both"/>
      </w:pPr>
    </w:p>
    <w:p w14:paraId="26179755" w14:textId="77777777" w:rsidR="00DF410E" w:rsidRDefault="00CE7F43">
      <w:pPr>
        <w:jc w:val="both"/>
      </w:pPr>
      <w:r>
        <w:t xml:space="preserve">Description des granulats (granulométrie) : </w:t>
      </w:r>
      <w:r>
        <w:rPr>
          <w:rStyle w:val="optioncarChar"/>
        </w:rPr>
        <w:t xml:space="preserve">≤ 20 mm </w:t>
      </w:r>
      <w:r>
        <w:t>(par défaut)</w:t>
      </w:r>
      <w:r>
        <w:rPr>
          <w:rStyle w:val="optioncarChar"/>
        </w:rPr>
        <w:t xml:space="preserve"> / ***</w:t>
      </w:r>
      <w:r>
        <w:t>.</w:t>
      </w:r>
    </w:p>
    <w:p w14:paraId="721556AB" w14:textId="77777777" w:rsidR="00DF410E" w:rsidRDefault="00CE7F43">
      <w:pPr>
        <w:jc w:val="both"/>
      </w:pPr>
      <w:r>
        <w:t>Résistance à la compression [NBN EN 772-1+A1] </w:t>
      </w:r>
      <w:r>
        <w:rPr>
          <w:rStyle w:val="optioncarChar"/>
        </w:rPr>
        <w:t xml:space="preserve">moyenne </w:t>
      </w:r>
      <w:r>
        <w:t xml:space="preserve">(par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14:paraId="37AAC034" w14:textId="77777777" w:rsidR="00DF410E" w:rsidRDefault="00CE7F43">
      <w:pPr>
        <w:jc w:val="both"/>
      </w:pPr>
      <w:r>
        <w:t xml:space="preserve">Masse volumique apparente selon la [NBN EN 772-13] : </w:t>
      </w:r>
      <w:r>
        <w:rPr>
          <w:rStyle w:val="optioncarChar"/>
        </w:rPr>
        <w:t>***</w:t>
      </w:r>
      <w:r>
        <w:t xml:space="preserve"> kg / m³</w:t>
      </w:r>
    </w:p>
    <w:p w14:paraId="2C9C5BE4" w14:textId="77777777" w:rsidR="00DF410E" w:rsidRDefault="00CE7F43">
      <w:pPr>
        <w:jc w:val="both"/>
      </w:pPr>
      <w:r>
        <w:t xml:space="preserve">Teneur en humidité à la sortie d’usine : </w:t>
      </w:r>
      <w:r>
        <w:rPr>
          <w:rStyle w:val="optioncarChar"/>
        </w:rPr>
        <w:t>≤ *** % / non-spécifié</w:t>
      </w:r>
    </w:p>
    <w:p w14:paraId="057DFADF" w14:textId="77777777" w:rsidR="00DF410E" w:rsidRDefault="00CE7F43">
      <w:pPr>
        <w:jc w:val="both"/>
      </w:pPr>
      <w:r>
        <w:t xml:space="preserve">Absorption capillaire de la face de parement (à 10 min) selon [NBN EN 772-11] : </w:t>
      </w:r>
      <w:r>
        <w:rPr>
          <w:rStyle w:val="optioncarChar"/>
        </w:rPr>
        <w:t>≤ *** g/m²s / non spécifié</w:t>
      </w:r>
    </w:p>
    <w:p w14:paraId="4D0DE399" w14:textId="77777777" w:rsidR="00DF410E" w:rsidRDefault="00CE7F43">
      <w:pPr>
        <w:jc w:val="both"/>
      </w:pPr>
      <w:r>
        <w:t xml:space="preserve">Taux initial d’absorption d’eau de la face de pose (à 1 min) selon [NBN EN 772-11] : </w:t>
      </w:r>
      <w:r>
        <w:rPr>
          <w:rStyle w:val="optioncarChar"/>
        </w:rPr>
        <w:t>≤ *** kg/m²min / non spécifié</w:t>
      </w:r>
    </w:p>
    <w:p w14:paraId="28E15354" w14:textId="77777777" w:rsidR="00DF410E" w:rsidRDefault="00CE7F43">
      <w:pPr>
        <w:jc w:val="both"/>
      </w:pPr>
      <w:r>
        <w:t xml:space="preserve">Amplitude des déformations hygrométriques (retrait – gonflement) selon [NBN EN 772-14] : </w:t>
      </w:r>
      <w:r>
        <w:rPr>
          <w:rStyle w:val="optioncarChar"/>
        </w:rPr>
        <w:t>≤ *** mm/m / non spécifié.</w:t>
      </w:r>
    </w:p>
    <w:p w14:paraId="674682D2" w14:textId="77777777" w:rsidR="00DF410E" w:rsidRDefault="00CE7F43">
      <w:pPr>
        <w:jc w:val="both"/>
      </w:pPr>
      <w:r>
        <w:t xml:space="preserve"> Les éléments destinés à un usage extérieur ou en maçonnerie souterraine respectent le critère suivant en matière de comportement à l'humidité : retrait et gonflement hygrométriques ≤ 0,45 mm / m.</w:t>
      </w:r>
    </w:p>
    <w:p w14:paraId="1715B32B" w14:textId="77777777" w:rsidR="00DF410E" w:rsidRDefault="00CE7F43">
      <w:pPr>
        <w:jc w:val="both"/>
      </w:pPr>
      <w:r>
        <w:t xml:space="preserve">Valeur µ selon [NBN EN ISO 12572] : </w:t>
      </w:r>
      <w:r>
        <w:rPr>
          <w:rStyle w:val="optioncarChar"/>
        </w:rPr>
        <w:t>*** / non spécifié</w:t>
      </w:r>
    </w:p>
    <w:p w14:paraId="36873C48" w14:textId="77777777" w:rsidR="00DF410E" w:rsidRDefault="00CE7F43">
      <w:pPr>
        <w:jc w:val="both"/>
      </w:pPr>
      <w:r>
        <w:t xml:space="preserve">Résistance au gel selon [NBN B 15-231] : </w:t>
      </w:r>
      <w:r>
        <w:rPr>
          <w:rStyle w:val="optioncarChar"/>
        </w:rPr>
        <w:t>résistant / non spécifié</w:t>
      </w:r>
    </w:p>
    <w:p w14:paraId="7D2070D1" w14:textId="77777777" w:rsidR="00DF410E" w:rsidRDefault="00CE7F43">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14:paraId="6094F9E2" w14:textId="77777777" w:rsidR="00DF410E" w:rsidRDefault="00CE7F43">
      <w:pPr>
        <w:jc w:val="both"/>
      </w:pPr>
      <w:r>
        <w:t xml:space="preserve">Chaleur spécifique : </w:t>
      </w:r>
      <w:r>
        <w:rPr>
          <w:rStyle w:val="optioncarChar"/>
        </w:rPr>
        <w:t>*** J/kg K / non spécifié</w:t>
      </w:r>
    </w:p>
    <w:p w14:paraId="4E434BF6" w14:textId="77777777" w:rsidR="00DF410E" w:rsidRDefault="00CE7F43">
      <w:pPr>
        <w:jc w:val="both"/>
      </w:pPr>
      <w:r>
        <w:t xml:space="preserve">Réaction au feu : </w:t>
      </w:r>
      <w:r>
        <w:rPr>
          <w:rStyle w:val="optioncarChar"/>
        </w:rPr>
        <w:t>***</w:t>
      </w:r>
    </w:p>
    <w:p w14:paraId="06C5F5AF" w14:textId="77777777" w:rsidR="00DF410E" w:rsidRDefault="00CE7F43">
      <w:pPr>
        <w:jc w:val="both"/>
      </w:pPr>
      <w:r>
        <w:t> </w:t>
      </w:r>
    </w:p>
    <w:p w14:paraId="736F01D4" w14:textId="77777777" w:rsidR="00DF410E" w:rsidRDefault="00CE7F43">
      <w:pPr>
        <w:jc w:val="both"/>
      </w:pPr>
      <w:r>
        <w:rPr>
          <w:b/>
        </w:rPr>
        <w:t>Mortier</w:t>
      </w:r>
    </w:p>
    <w:p w14:paraId="04A61842" w14:textId="77777777" w:rsidR="00DF410E" w:rsidRDefault="00CE7F43">
      <w:pPr>
        <w:jc w:val="both"/>
      </w:pPr>
      <w:r>
        <w:t xml:space="preserve">Type : </w:t>
      </w:r>
      <w:r>
        <w:rPr>
          <w:rStyle w:val="optioncarChar"/>
        </w:rPr>
        <w:t xml:space="preserve">mortier-colle au plâtre-chaux </w:t>
      </w:r>
      <w:r>
        <w:t>(par défaut)</w:t>
      </w:r>
      <w:r>
        <w:rPr>
          <w:rStyle w:val="optioncarChar"/>
        </w:rPr>
        <w:t xml:space="preserve"> / mortier à la chaux hydraulique / ***</w:t>
      </w:r>
      <w:r>
        <w:t>.</w:t>
      </w:r>
    </w:p>
    <w:p w14:paraId="72FD415D" w14:textId="77777777" w:rsidR="00DF410E" w:rsidRDefault="00CE7F43">
      <w:pPr>
        <w:jc w:val="both"/>
      </w:pPr>
      <w:r>
        <w:t>Masse volumique apparente selon [NBN EN 1015-10] :</w:t>
      </w:r>
      <w:r>
        <w:rPr>
          <w:rStyle w:val="optioncarChar"/>
        </w:rPr>
        <w:t xml:space="preserve"> ***</w:t>
      </w:r>
      <w:r>
        <w:t xml:space="preserve"> kg/m³</w:t>
      </w:r>
    </w:p>
    <w:p w14:paraId="78C17F1F" w14:textId="77777777" w:rsidR="00DF410E" w:rsidRDefault="00CE7F43">
      <w:pPr>
        <w:jc w:val="both"/>
      </w:pPr>
      <w:r>
        <w:t xml:space="preserve">Résistance en compression selon [NBN EN 1015-11] : ≥ </w:t>
      </w:r>
      <w:r>
        <w:rPr>
          <w:rStyle w:val="optioncarChar"/>
        </w:rPr>
        <w:t>***</w:t>
      </w:r>
      <w:r>
        <w:t xml:space="preserve"> N/mm²</w:t>
      </w:r>
    </w:p>
    <w:p w14:paraId="3236CFA9" w14:textId="77777777" w:rsidR="00DF410E" w:rsidRDefault="00CE7F43">
      <w:pPr>
        <w:jc w:val="both"/>
      </w:pPr>
      <w:r>
        <w:t>Absorption d’eau selon [NBN EN 1015-18] :</w:t>
      </w:r>
      <w:r>
        <w:rPr>
          <w:rStyle w:val="optioncarChar"/>
        </w:rPr>
        <w:t xml:space="preserve"> ***</w:t>
      </w:r>
      <w:r>
        <w:t xml:space="preserve"> kg/m²</w:t>
      </w:r>
    </w:p>
    <w:p w14:paraId="7BC9428F" w14:textId="77777777" w:rsidR="00DF410E" w:rsidRDefault="00CE7F43">
      <w:pPr>
        <w:jc w:val="both"/>
      </w:pPr>
      <w:r>
        <w:t>Adhérence  - Résistance initiale au cisaillement f</w:t>
      </w:r>
      <w:r>
        <w:rPr>
          <w:vertAlign w:val="subscript"/>
        </w:rPr>
        <w:t>vk0</w:t>
      </w:r>
      <w:r>
        <w:t xml:space="preserve"> selon la [NBN EN 1052-3] : ≥</w:t>
      </w:r>
      <w:r>
        <w:rPr>
          <w:rStyle w:val="optioncarChar"/>
        </w:rPr>
        <w:t xml:space="preserve"> ***</w:t>
      </w:r>
      <w:r>
        <w:t xml:space="preserve"> N/mm²</w:t>
      </w:r>
    </w:p>
    <w:p w14:paraId="730B62AE" w14:textId="77777777" w:rsidR="00DF410E" w:rsidRDefault="00CE7F43">
      <w:pPr>
        <w:jc w:val="both"/>
      </w:pPr>
      <w:r>
        <w:t xml:space="preserve">Epaisseur des joints : </w:t>
      </w:r>
      <w:r>
        <w:rPr>
          <w:rStyle w:val="optioncarChar"/>
        </w:rPr>
        <w:t>3 ( mortier-colle)</w:t>
      </w:r>
      <w:r>
        <w:t xml:space="preserve"> (par défaut)</w:t>
      </w:r>
      <w:r>
        <w:rPr>
          <w:rStyle w:val="optioncarChar"/>
        </w:rPr>
        <w:t> / 12 (mortier à la chaux) / ***</w:t>
      </w:r>
      <w:r>
        <w:t xml:space="preserve"> mm.</w:t>
      </w:r>
    </w:p>
    <w:p w14:paraId="16D59B6F" w14:textId="77777777" w:rsidR="00DF410E" w:rsidRDefault="00CE7F43">
      <w:pPr>
        <w:jc w:val="both"/>
      </w:pPr>
      <w:r>
        <w:t xml:space="preserve">Réaction au feu : </w:t>
      </w:r>
      <w:r>
        <w:rPr>
          <w:rStyle w:val="optioncarChar"/>
        </w:rPr>
        <w:t>***</w:t>
      </w:r>
    </w:p>
    <w:p w14:paraId="1BB8AC4C" w14:textId="77777777" w:rsidR="00DF410E" w:rsidRDefault="00CE7F43">
      <w:pPr>
        <w:jc w:val="both"/>
      </w:pPr>
      <w:r>
        <w:t> </w:t>
      </w:r>
    </w:p>
    <w:p w14:paraId="16B69137" w14:textId="77777777" w:rsidR="00DF410E" w:rsidRDefault="00CE7F43">
      <w:pPr>
        <w:jc w:val="both"/>
      </w:pPr>
      <w:r>
        <w:rPr>
          <w:b/>
        </w:rPr>
        <w:t>Maçonnerie</w:t>
      </w:r>
    </w:p>
    <w:p w14:paraId="74EDA7E5" w14:textId="77777777" w:rsidR="00DF410E" w:rsidRDefault="00CE7F43">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14:paraId="5C4EEFE1" w14:textId="77777777" w:rsidR="00DF410E" w:rsidRDefault="00CE7F43">
      <w:pPr>
        <w:jc w:val="both"/>
      </w:pPr>
      <w:r>
        <w:t>Résistance au feu ([NBN EN 13501-2], [NBN EN 1364-1]):</w:t>
      </w:r>
      <w:r>
        <w:rPr>
          <w:rStyle w:val="optioncarChar"/>
        </w:rPr>
        <w:t xml:space="preserve"> EI30 </w:t>
      </w:r>
      <w:r>
        <w:t>(par défaut)</w:t>
      </w:r>
      <w:r>
        <w:rPr>
          <w:rStyle w:val="optioncarChar"/>
        </w:rPr>
        <w:t xml:space="preserve"> / EI60 / EI90 / EI120 / ***</w:t>
      </w:r>
    </w:p>
    <w:p w14:paraId="5B5575F6" w14:textId="77777777" w:rsidR="00DF410E" w:rsidRDefault="00CE7F43">
      <w:pPr>
        <w:jc w:val="both"/>
      </w:pPr>
      <w:r>
        <w:t xml:space="preserve">Performances acoustiques : </w:t>
      </w:r>
      <w:r>
        <w:rPr>
          <w:rStyle w:val="optioncarChar"/>
        </w:rPr>
        <w:t>***</w:t>
      </w:r>
    </w:p>
    <w:p w14:paraId="789B356E" w14:textId="77777777" w:rsidR="00DF410E" w:rsidRDefault="00CE7F43">
      <w:pPr>
        <w:pStyle w:val="pheading"/>
      </w:pPr>
      <w:r>
        <w:t>- Finitions</w:t>
      </w:r>
    </w:p>
    <w:p w14:paraId="755DBFB5" w14:textId="77777777" w:rsidR="00DF410E" w:rsidRDefault="00CE7F43">
      <w:pPr>
        <w:jc w:val="both"/>
      </w:pPr>
      <w:r>
        <w:t xml:space="preserve">Les blocs de chaux-chanvre sont : </w:t>
      </w:r>
      <w:r>
        <w:rPr>
          <w:rStyle w:val="optioncarChar"/>
        </w:rPr>
        <w:t xml:space="preserve">apparents </w:t>
      </w:r>
      <w:r>
        <w:t>(soit par défaut)</w:t>
      </w:r>
      <w:r>
        <w:rPr>
          <w:rStyle w:val="optioncarChar"/>
        </w:rPr>
        <w:t xml:space="preserve"> / enduits / peints</w:t>
      </w:r>
      <w:r>
        <w:t>.</w:t>
      </w:r>
    </w:p>
    <w:p w14:paraId="2890819C" w14:textId="77777777" w:rsidR="00DF410E" w:rsidRDefault="00CE7F43">
      <w:pPr>
        <w:jc w:val="both"/>
      </w:pPr>
      <w:r>
        <w:rPr>
          <w:b/>
        </w:rPr>
        <w:t>(soit par défaut)</w:t>
      </w:r>
    </w:p>
    <w:p w14:paraId="4AC90514" w14:textId="77777777" w:rsidR="00DF410E" w:rsidRDefault="00CE7F43">
      <w:pPr>
        <w:jc w:val="both"/>
      </w:pPr>
      <w:r>
        <w:rPr>
          <w:rStyle w:val="soitChar"/>
          <w:u w:val="single"/>
        </w:rPr>
        <w:t>Apparents</w:t>
      </w:r>
      <w:r>
        <w:rPr>
          <w:rStyle w:val="soitChar"/>
        </w:rPr>
        <w:t xml:space="preserve"> : Laissés apparents</w:t>
      </w:r>
    </w:p>
    <w:p w14:paraId="1CD4AE14" w14:textId="77777777" w:rsidR="00DF410E" w:rsidRDefault="00CE7F43">
      <w:pPr>
        <w:jc w:val="both"/>
      </w:pPr>
      <w:r>
        <w:rPr>
          <w:b/>
        </w:rPr>
        <w:t>(soit)</w:t>
      </w:r>
    </w:p>
    <w:p w14:paraId="2626F8A1" w14:textId="77777777" w:rsidR="00DF410E" w:rsidRDefault="00CE7F43">
      <w:pPr>
        <w:jc w:val="both"/>
      </w:pPr>
      <w:r>
        <w:rPr>
          <w:rStyle w:val="soitChar"/>
          <w:u w:val="single"/>
        </w:rPr>
        <w:t>Enduits</w:t>
      </w:r>
      <w:r>
        <w:rPr>
          <w:rStyle w:val="soitChar"/>
        </w:rPr>
        <w:t xml:space="preserve"> : enduit plâtreux, cimentage ou encore enduit d'argile décrits et comptabilisés dans des articles séparés</w:t>
      </w:r>
    </w:p>
    <w:p w14:paraId="401CF747" w14:textId="77777777" w:rsidR="00DF410E" w:rsidRDefault="00CE7F43">
      <w:pPr>
        <w:jc w:val="both"/>
      </w:pPr>
      <w:r>
        <w:rPr>
          <w:b/>
        </w:rPr>
        <w:t>(soit)</w:t>
      </w:r>
    </w:p>
    <w:p w14:paraId="324740E0" w14:textId="77777777" w:rsidR="00DF410E" w:rsidRDefault="00CE7F43">
      <w:pPr>
        <w:jc w:val="both"/>
      </w:pPr>
      <w:r>
        <w:rPr>
          <w:rStyle w:val="soitChar"/>
          <w:u w:val="single"/>
        </w:rPr>
        <w:t>Peints</w:t>
      </w:r>
      <w:r>
        <w:rPr>
          <w:rStyle w:val="soitChar"/>
        </w:rPr>
        <w:t> : travaux de peinture décrits et comptabilisés dans des articles séparés</w:t>
      </w:r>
    </w:p>
    <w:p w14:paraId="7290A24B" w14:textId="77777777" w:rsidR="00DF410E" w:rsidRDefault="00CE7F43">
      <w:pPr>
        <w:jc w:val="both"/>
      </w:pPr>
      <w:r>
        <w:t xml:space="preserve">Les maçonneries en blocs de chaux-chanvre </w:t>
      </w:r>
      <w:r>
        <w:rPr>
          <w:rStyle w:val="optioncarChar"/>
        </w:rPr>
        <w:t>sont / ne sont pas</w:t>
      </w:r>
      <w:r>
        <w:t xml:space="preserve"> (par défaut) rejointoyées.</w:t>
      </w:r>
    </w:p>
    <w:p w14:paraId="31AF1E0B" w14:textId="77777777" w:rsidR="00DF410E" w:rsidRDefault="00CE7F43">
      <w:pPr>
        <w:pStyle w:val="Author-eListParagraph"/>
        <w:numPr>
          <w:ilvl w:val="0"/>
          <w:numId w:val="213"/>
        </w:numPr>
      </w:pPr>
      <w:r>
        <w:t xml:space="preserve">Le cas échéant, 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w:t>
      </w:r>
      <w:r>
        <w:rPr>
          <w:rStyle w:val="optioncarChar"/>
        </w:rPr>
        <w:t>***</w:t>
      </w:r>
      <w:r>
        <w:t>.</w:t>
      </w:r>
    </w:p>
    <w:p w14:paraId="26205D25" w14:textId="77777777" w:rsidR="00DF410E" w:rsidRDefault="00CE7F43">
      <w:pPr>
        <w:pStyle w:val="Author-eListParagraph"/>
        <w:numPr>
          <w:ilvl w:val="0"/>
          <w:numId w:val="213"/>
        </w:numPr>
      </w:pPr>
      <w:r>
        <w:t xml:space="preserve">Les murs suivants sont exécutés avec une face restant apparente : </w:t>
      </w:r>
      <w:r>
        <w:rPr>
          <w:rStyle w:val="optioncarChar"/>
        </w:rPr>
        <w:t>***</w:t>
      </w:r>
    </w:p>
    <w:p w14:paraId="42A2236A" w14:textId="77777777" w:rsidR="00DF410E" w:rsidRDefault="00CE7F43">
      <w:pPr>
        <w:pStyle w:val="Author-eListParagraph"/>
        <w:numPr>
          <w:ilvl w:val="0"/>
          <w:numId w:val="213"/>
        </w:numPr>
      </w:pPr>
      <w:r>
        <w:t xml:space="preserve">Les murs suivants sont exécutés avec deux faces restant apparentes : </w:t>
      </w:r>
      <w:r>
        <w:rPr>
          <w:rStyle w:val="optioncarChar"/>
        </w:rPr>
        <w:t>***</w:t>
      </w:r>
    </w:p>
    <w:p w14:paraId="61358494" w14:textId="77777777" w:rsidR="00DF410E" w:rsidRDefault="00CE7F43">
      <w:pPr>
        <w:jc w:val="both"/>
      </w:pPr>
      <w:r>
        <w:t xml:space="preserve">Couleur des joints : </w:t>
      </w:r>
      <w:r>
        <w:rPr>
          <w:rStyle w:val="optioncarChar"/>
        </w:rPr>
        <w:t>pas de joint /</w:t>
      </w:r>
      <w:r>
        <w:t> </w:t>
      </w:r>
      <w:r>
        <w:rPr>
          <w:rStyle w:val="optioncarChar"/>
        </w:rPr>
        <w:t>couleur approchant celle des blocs </w:t>
      </w:r>
      <w:r>
        <w:t>(par défaut)</w:t>
      </w:r>
      <w:r>
        <w:rPr>
          <w:rStyle w:val="optioncarChar"/>
        </w:rPr>
        <w:t xml:space="preserve"> / ***</w:t>
      </w:r>
      <w:r>
        <w:t>.</w:t>
      </w:r>
    </w:p>
    <w:p w14:paraId="5D2C1142" w14:textId="77777777" w:rsidR="00DF410E" w:rsidRDefault="00CE7F43">
      <w:pPr>
        <w:jc w:val="both"/>
      </w:pPr>
      <w:r>
        <w:t xml:space="preserve">Type de joints : </w:t>
      </w:r>
      <w:r>
        <w:rPr>
          <w:rStyle w:val="optioncarChar"/>
        </w:rPr>
        <w:t>joint creux</w:t>
      </w:r>
      <w:r>
        <w:t xml:space="preserve"> (par défaut)</w:t>
      </w:r>
      <w:r>
        <w:rPr>
          <w:rStyle w:val="optioncarChar"/>
        </w:rPr>
        <w:t xml:space="preserve"> / joint creux en retrait / joint plat / joint plat en retrait / joint biais en retrait / ***.</w:t>
      </w:r>
    </w:p>
    <w:p w14:paraId="7E9EF59A" w14:textId="77777777" w:rsidR="00DF410E" w:rsidRDefault="00CE7F43">
      <w:pPr>
        <w:jc w:val="both"/>
      </w:pPr>
      <w:r>
        <w:t>Finition des joints :</w:t>
      </w:r>
      <w:r>
        <w:rPr>
          <w:rStyle w:val="optioncarChar"/>
        </w:rPr>
        <w:t xml:space="preserve"> joint brossé</w:t>
      </w:r>
      <w:r>
        <w:t xml:space="preserve"> (par défaut) </w:t>
      </w:r>
      <w:r>
        <w:rPr>
          <w:rStyle w:val="optioncarChar"/>
        </w:rPr>
        <w:t>/ finition lisse / joint frappé à la brosse dure / ***</w:t>
      </w:r>
      <w:r>
        <w:t>.</w:t>
      </w:r>
    </w:p>
    <w:p w14:paraId="334112FA" w14:textId="77777777" w:rsidR="00DF410E" w:rsidRDefault="00CE7F43">
      <w:pPr>
        <w:pStyle w:val="pheading"/>
      </w:pPr>
      <w:r>
        <w:t>- Prescriptions complémentaires</w:t>
      </w:r>
    </w:p>
    <w:p w14:paraId="6281C860" w14:textId="77777777" w:rsidR="00DF410E" w:rsidRDefault="00CE7F43">
      <w:pPr>
        <w:jc w:val="both"/>
      </w:pPr>
      <w:r>
        <w:rPr>
          <w:rStyle w:val="facultChar"/>
        </w:rPr>
        <w:t xml:space="preserve">Le mortier et la maçonnerie disposent d'une déclaration d'aptitude à l'utilisation suivant les prescriptions de l'élément </w:t>
      </w:r>
      <w:hyperlink r:id="rId26" w:history="1" w:docLocation="68">
        <w:r>
          <w:rPr>
            <w:rStyle w:val="facultChar"/>
          </w:rPr>
          <w:t>02.42.1 Critères d'acceptabilité</w:t>
        </w:r>
      </w:hyperlink>
      <w:r>
        <w:rPr>
          <w:rStyle w:val="facultChar"/>
        </w:rPr>
        <w:t>.</w:t>
      </w:r>
    </w:p>
    <w:p w14:paraId="27F0F6A0" w14:textId="77777777" w:rsidR="00DF410E" w:rsidRDefault="00CE7F43">
      <w:pPr>
        <w:pStyle w:val="pheading"/>
      </w:pPr>
      <w:r>
        <w:t>EXÉCUTION / MISE EN ŒUVRE</w:t>
      </w:r>
    </w:p>
    <w:p w14:paraId="6232133E" w14:textId="77777777" w:rsidR="00DF410E" w:rsidRDefault="00CE7F43">
      <w:pPr>
        <w:pStyle w:val="pheading"/>
      </w:pPr>
      <w:r>
        <w:t>- Prescriptions générales</w:t>
      </w:r>
    </w:p>
    <w:p w14:paraId="3619176D" w14:textId="77777777" w:rsidR="00DF410E" w:rsidRDefault="00CE7F43">
      <w:pPr>
        <w:jc w:val="both"/>
      </w:pPr>
      <w:r>
        <w:t>La documentation technique accompagnant le produit renseigne les spécificités de la mise en œuvre (chevauchement minimal, etc.).</w:t>
      </w:r>
    </w:p>
    <w:p w14:paraId="7BA48BA2" w14:textId="77777777" w:rsidR="00DF410E" w:rsidRDefault="00CE7F43">
      <w:pPr>
        <w:jc w:val="both"/>
      </w:pPr>
      <w:r>
        <w:t xml:space="preserve">La maçonnerie est exécutée en appareillage </w:t>
      </w:r>
      <w:r>
        <w:rPr>
          <w:rStyle w:val="optioncarChar"/>
        </w:rPr>
        <w:t>d’une demi-brique / un tiers de brique minimum /***</w:t>
      </w:r>
      <w:r>
        <w:t>.</w:t>
      </w:r>
    </w:p>
    <w:p w14:paraId="728DBA4A" w14:textId="77777777" w:rsidR="00DF410E" w:rsidRDefault="00CE7F43">
      <w:pPr>
        <w:jc w:val="both"/>
      </w:pPr>
      <w:r>
        <w:t xml:space="preserve">Linteaux : </w:t>
      </w:r>
      <w:r>
        <w:rPr>
          <w:rStyle w:val="optioncarChar"/>
        </w:rPr>
        <w:t>***</w:t>
      </w:r>
      <w:r>
        <w:t>.</w:t>
      </w:r>
    </w:p>
    <w:p w14:paraId="42308D36" w14:textId="77777777" w:rsidR="00DF410E" w:rsidRDefault="00CE7F43">
      <w:pPr>
        <w:pStyle w:val="pheading"/>
      </w:pPr>
      <w:r>
        <w:t>- Notes d’exécution complémentaires</w:t>
      </w:r>
    </w:p>
    <w:p w14:paraId="5BA632D9" w14:textId="77777777" w:rsidR="00DF410E" w:rsidRDefault="00CE7F43">
      <w:pPr>
        <w:jc w:val="both"/>
      </w:pPr>
      <w:r>
        <w:rPr>
          <w:rStyle w:val="facultChar"/>
        </w:rPr>
        <w:t xml:space="preserve">Armatures horizontales : selon l'élément </w:t>
      </w:r>
      <w:hyperlink w:anchor="355" w:history="1">
        <w:r>
          <w:rPr>
            <w:rStyle w:val="facultChar"/>
          </w:rPr>
          <w:t>21.41.1 Armatures horizontales pour maçonneries</w:t>
        </w:r>
      </w:hyperlink>
      <w:r>
        <w:rPr>
          <w:rStyle w:val="facultChar"/>
        </w:rPr>
        <w:t>.</w:t>
      </w:r>
    </w:p>
    <w:p w14:paraId="11F98DB2" w14:textId="77777777" w:rsidR="00DF410E" w:rsidRDefault="00CE7F43">
      <w:pPr>
        <w:jc w:val="both"/>
      </w:pPr>
      <w:r>
        <w:rPr>
          <w:rStyle w:val="facultChar"/>
        </w:rPr>
        <w:t xml:space="preserve">Ancrages : selon l'élément </w:t>
      </w:r>
      <w:hyperlink w:anchor="362" w:history="1">
        <w:r>
          <w:rPr>
            <w:rStyle w:val="facultChar"/>
          </w:rPr>
          <w:t>21.42 Ancrages et fixations de maçonneries</w:t>
        </w:r>
      </w:hyperlink>
    </w:p>
    <w:p w14:paraId="2DBD977E" w14:textId="77777777" w:rsidR="00DF410E" w:rsidRDefault="00CE7F43">
      <w:pPr>
        <w:jc w:val="both"/>
      </w:pPr>
      <w:r>
        <w:rPr>
          <w:rStyle w:val="facultChar"/>
        </w:rPr>
        <w:t>Blocs spéciaux :</w:t>
      </w:r>
      <w:r>
        <w:rPr>
          <w:rStyle w:val="optioncarChar"/>
        </w:rPr>
        <w:t>***</w:t>
      </w:r>
    </w:p>
    <w:p w14:paraId="5D698E98" w14:textId="77777777" w:rsidR="00DF410E" w:rsidRDefault="00CE7F43">
      <w:pPr>
        <w:jc w:val="both"/>
      </w:pPr>
      <w:r>
        <w:rPr>
          <w:rStyle w:val="facultChar"/>
        </w:rPr>
        <w:t>Étanchéité :</w:t>
      </w:r>
      <w:r>
        <w:rPr>
          <w:rStyle w:val="optioncarChar"/>
        </w:rPr>
        <w:t>***</w:t>
      </w:r>
    </w:p>
    <w:p w14:paraId="3590448C" w14:textId="77777777" w:rsidR="00DF410E" w:rsidRDefault="00CE7F43">
      <w:pPr>
        <w:jc w:val="both"/>
      </w:pPr>
      <w:r>
        <w:rPr>
          <w:rStyle w:val="facultChar"/>
        </w:rPr>
        <w:t>Joints de dilatation :</w:t>
      </w:r>
      <w:r>
        <w:rPr>
          <w:rStyle w:val="optioncarChar"/>
        </w:rPr>
        <w:t>***</w:t>
      </w:r>
    </w:p>
    <w:p w14:paraId="7AA274D7" w14:textId="77777777" w:rsidR="00DF410E" w:rsidRDefault="00CE7F43">
      <w:pPr>
        <w:pStyle w:val="pheading"/>
      </w:pPr>
      <w:r>
        <w:t>- Échantillons</w:t>
      </w:r>
    </w:p>
    <w:p w14:paraId="45694EF8" w14:textId="77777777" w:rsidR="00DF410E" w:rsidRDefault="00CE7F43">
      <w:pPr>
        <w:jc w:val="both"/>
      </w:pPr>
      <w:r>
        <w:t>L’entrepreneur soumet un échantillon de bloc à l'auteur de projet.</w:t>
      </w:r>
    </w:p>
    <w:p w14:paraId="74076B77" w14:textId="77777777" w:rsidR="00DF410E" w:rsidRDefault="00CE7F43">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5BB2993C" w14:textId="77777777" w:rsidR="00DF410E" w:rsidRDefault="00CE7F43">
      <w:pPr>
        <w:pStyle w:val="pheading"/>
      </w:pPr>
      <w:r>
        <w:t>DOCUMENTS DE RÉFÉRENCE COMPLÉMENTAIRES</w:t>
      </w:r>
    </w:p>
    <w:p w14:paraId="6DAD66F0" w14:textId="77777777" w:rsidR="00DF410E" w:rsidRDefault="00CE7F43">
      <w:pPr>
        <w:pStyle w:val="pheading"/>
      </w:pPr>
      <w:r>
        <w:t>- Matériau</w:t>
      </w:r>
    </w:p>
    <w:p w14:paraId="305304B7" w14:textId="77777777" w:rsidR="00DF410E" w:rsidRDefault="00CE7F43">
      <w:r>
        <w:t>[PTV 21-001, Eléments de maçonnerie en béton (granulats courants et légers) - Classification et spécifications d'application]</w:t>
      </w:r>
    </w:p>
    <w:p w14:paraId="7BE8C04F" w14:textId="77777777" w:rsidR="00DF410E" w:rsidRDefault="00CE7F43">
      <w:r>
        <w:t>[NBN EN 772-1+A1, Méthodes d'essai des éléments de maçonnerie - Partie 1: Détermination de la résistance à la compression]</w:t>
      </w:r>
    </w:p>
    <w:p w14:paraId="2B26A31E" w14:textId="77777777" w:rsidR="00DF410E" w:rsidRDefault="00CE7F43">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044C78AA" w14:textId="77777777" w:rsidR="00DF410E" w:rsidRDefault="00CE7F43">
      <w:r>
        <w:t>[NBN EN 772-13, Méthodes d'essai des éléments de maçonnerie - Partie 13: Détermination de la masse volumique absolue sèche et de la masse volumique apparente sèche des éléments de maçonnerie (excepté les pierres naturelles)]</w:t>
      </w:r>
    </w:p>
    <w:p w14:paraId="04BDBF2B" w14:textId="77777777" w:rsidR="00DF410E" w:rsidRDefault="00CE7F43">
      <w:r>
        <w:t>[NBN EN 772-14, Méthode d'essai pour des éléments de maçonnerie - Partie 14 : Détermination de la variation due à l'humidité des éléments de maçonnerie en béton de granulats et en pierre reconstituée]</w:t>
      </w:r>
    </w:p>
    <w:p w14:paraId="7E5B8AF1" w14:textId="77777777" w:rsidR="00DF410E" w:rsidRDefault="00CE7F43">
      <w:r>
        <w:t>[NBN EN ISO 12572, Performance hygrothermique des matériaux et produits pour le bâtiment - Détermination des propriétés de transmission de la vapeur d'eau - Méthode de la coupelle (ISO 12572:2016)]</w:t>
      </w:r>
    </w:p>
    <w:p w14:paraId="18EE33D8" w14:textId="77777777" w:rsidR="00DF410E" w:rsidRDefault="00CE7F43">
      <w:r>
        <w:t>[NBN B 15-231, Essais des bétons - Gélivité]</w:t>
      </w:r>
    </w:p>
    <w:p w14:paraId="0547955A" w14:textId="77777777" w:rsidR="00DF410E" w:rsidRDefault="00CE7F43">
      <w:r>
        <w:t>[NBN EN 1015-10, Méthodes d'essai des mortiers pour la maçonnerie - Partie 10: Détermination de la masse volumique apparente sèche du mortier durci]</w:t>
      </w:r>
    </w:p>
    <w:p w14:paraId="263953CC" w14:textId="77777777" w:rsidR="00DF410E" w:rsidRDefault="00CE7F43">
      <w:r>
        <w:t>[NBN EN 1015-11, Méthodes d'essai des mortiers pour maçonnerie - Détermination de la résistance à la flexion et à la compression du mortier durci]</w:t>
      </w:r>
    </w:p>
    <w:p w14:paraId="00507222" w14:textId="77777777" w:rsidR="00DF410E" w:rsidRDefault="00CE7F43">
      <w:r>
        <w:t>[NBN EN 1015-18, Méthodes d'essai des mortiers pour maçonnerie - Partie 18: Détermination du coefficient d'absorption d'eau par capillarité du mortier durci]</w:t>
      </w:r>
    </w:p>
    <w:p w14:paraId="29373E98" w14:textId="77777777" w:rsidR="00DF410E" w:rsidRDefault="00CE7F43">
      <w:r>
        <w:t>[NBN EN 1052-3, Méthodes d'essai de la maçonnerie - Partie 3: Détermination de la résistance initiale au cisaillement]</w:t>
      </w:r>
    </w:p>
    <w:p w14:paraId="4769288F"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2845C7EC" w14:textId="77777777" w:rsidR="00DF410E" w:rsidRDefault="00CE7F43">
      <w:r>
        <w:t>[NBN EN 1364-1, Essais de résistance au feu des éléments non porteurs - Partie 1: Murs]</w:t>
      </w:r>
    </w:p>
    <w:p w14:paraId="181377A3" w14:textId="77777777" w:rsidR="00DF410E" w:rsidRDefault="00CE7F43">
      <w:pPr>
        <w:pStyle w:val="pheading"/>
      </w:pPr>
      <w:r>
        <w:t>MESURAGE</w:t>
      </w:r>
    </w:p>
    <w:p w14:paraId="3DE165F5" w14:textId="77777777" w:rsidR="00DF410E" w:rsidRDefault="00CE7F43">
      <w:pPr>
        <w:pStyle w:val="pheading"/>
      </w:pPr>
      <w:r>
        <w:t>- unité de mesure:</w:t>
      </w:r>
    </w:p>
    <w:p w14:paraId="0B113542" w14:textId="77777777" w:rsidR="00DF410E" w:rsidRDefault="00CE7F43">
      <w:r>
        <w:rPr>
          <w:rStyle w:val="optioncarChar"/>
        </w:rPr>
        <w:t>m³ </w:t>
      </w:r>
      <w:r>
        <w:t>(par défaut)</w:t>
      </w:r>
      <w:r>
        <w:rPr>
          <w:rStyle w:val="optioncarChar"/>
        </w:rPr>
        <w:t> / m²</w:t>
      </w:r>
    </w:p>
    <w:p w14:paraId="2E34E2DE" w14:textId="77777777" w:rsidR="00DF410E" w:rsidRDefault="00CE7F43">
      <w:r>
        <w:rPr>
          <w:b/>
        </w:rPr>
        <w:t>(soit par défaut)</w:t>
      </w:r>
    </w:p>
    <w:p w14:paraId="3DF039D6" w14:textId="77777777" w:rsidR="00DF410E" w:rsidRDefault="00CE7F43">
      <w:r>
        <w:rPr>
          <w:rStyle w:val="soitChar"/>
        </w:rPr>
        <w:t>1. m³</w:t>
      </w:r>
    </w:p>
    <w:p w14:paraId="43E7A2C1" w14:textId="77777777" w:rsidR="00DF410E" w:rsidRDefault="00CE7F43">
      <w:r>
        <w:rPr>
          <w:b/>
        </w:rPr>
        <w:t>(soit)</w:t>
      </w:r>
    </w:p>
    <w:p w14:paraId="285BA20D" w14:textId="77777777" w:rsidR="00DF410E" w:rsidRDefault="00CE7F43">
      <w:r>
        <w:rPr>
          <w:rStyle w:val="soitChar"/>
        </w:rPr>
        <w:t>2. m²</w:t>
      </w:r>
    </w:p>
    <w:p w14:paraId="5E64A1B1" w14:textId="77777777" w:rsidR="00DF410E" w:rsidRDefault="00CE7F43">
      <w:pPr>
        <w:pStyle w:val="pheading"/>
      </w:pPr>
      <w:r>
        <w:t>- code de mesurage:</w:t>
      </w:r>
    </w:p>
    <w:p w14:paraId="559BDC6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762C10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2949F3D"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1AAD8B47" w14:textId="77777777" w:rsidR="00DF410E" w:rsidRDefault="00CE7F43">
      <w:r>
        <w:rPr>
          <w:rStyle w:val="optioncarChar"/>
        </w:rPr>
        <w:t>Volume net </w:t>
      </w:r>
      <w:r>
        <w:t>(par défaut)</w:t>
      </w:r>
      <w:r>
        <w:rPr>
          <w:rStyle w:val="optioncarChar"/>
        </w:rPr>
        <w:t> / Surface nette</w:t>
      </w:r>
    </w:p>
    <w:p w14:paraId="0EC4EB67" w14:textId="77777777" w:rsidR="00DF410E" w:rsidRDefault="00CE7F43">
      <w:r>
        <w:rPr>
          <w:b/>
        </w:rPr>
        <w:t>(soit par défaut)</w:t>
      </w:r>
    </w:p>
    <w:p w14:paraId="33879946"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40FD783" w14:textId="77777777" w:rsidR="00DF410E" w:rsidRDefault="00CE7F43">
      <w:r>
        <w:rPr>
          <w:b/>
        </w:rPr>
        <w:t>(soit)</w:t>
      </w:r>
    </w:p>
    <w:p w14:paraId="1ECBA890"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60E6C6A" w14:textId="77777777" w:rsidR="00DF410E" w:rsidRDefault="00CE7F43">
      <w:pPr>
        <w:pStyle w:val="pheading"/>
      </w:pPr>
      <w:r>
        <w:t>- nature du marché:</w:t>
      </w:r>
    </w:p>
    <w:p w14:paraId="7261D8A6" w14:textId="77777777" w:rsidR="00DF410E" w:rsidRDefault="00CE7F43">
      <w:r>
        <w:t>QF</w:t>
      </w:r>
    </w:p>
    <w:p w14:paraId="2EC156B6" w14:textId="77777777" w:rsidR="00DF410E" w:rsidRDefault="00CE7F43">
      <w:pPr>
        <w:pStyle w:val="Author-eSectionHeading4"/>
      </w:pPr>
      <w:bookmarkStart w:id="197" w:name="_Toc178837439"/>
      <w:r>
        <w:t>21.23 Maçonneries non portantes en pierre CCTB 01.12</w:t>
      </w:r>
      <w:bookmarkEnd w:id="197"/>
    </w:p>
    <w:p w14:paraId="4A284814" w14:textId="77777777" w:rsidR="00DF410E" w:rsidRDefault="00CE7F43">
      <w:pPr>
        <w:pStyle w:val="pheading"/>
      </w:pPr>
      <w:bookmarkStart w:id="198" w:name="458"/>
      <w:bookmarkEnd w:id="198"/>
      <w:r>
        <w:t>MATÉRIAUX</w:t>
      </w:r>
    </w:p>
    <w:p w14:paraId="0661F771" w14:textId="77777777" w:rsidR="00DF410E" w:rsidRDefault="00CE7F43">
      <w:pPr>
        <w:jc w:val="both"/>
      </w:pPr>
      <w:r>
        <w:rPr>
          <w:b/>
        </w:rPr>
        <w:t>Divers :</w:t>
      </w:r>
    </w:p>
    <w:p w14:paraId="775E6B29" w14:textId="77777777" w:rsidR="00DF410E" w:rsidRDefault="00CE7F43">
      <w:pPr>
        <w:jc w:val="both"/>
      </w:pPr>
      <w:r>
        <w:t>Toutes les pierres sont exemptes de défauts de nature à compromettre leur bonne tenue dans le temps et à entraver leur utilisation.</w:t>
      </w:r>
    </w:p>
    <w:p w14:paraId="7C41FE2D" w14:textId="77777777" w:rsidR="00DF410E" w:rsidRDefault="00CE7F43">
      <w:pPr>
        <w:jc w:val="both"/>
      </w:pPr>
      <w:r>
        <w:t>Les pierres sont saines, compactes et cohérentes, sans microfissuration ni minéraux altérés, sonnent clair sous le coup d'un marteau de fer.</w:t>
      </w:r>
    </w:p>
    <w:p w14:paraId="0AC0EEF9" w14:textId="77777777" w:rsidR="00DF410E" w:rsidRDefault="00CE7F43">
      <w:pPr>
        <w:jc w:val="both"/>
      </w:pPr>
      <w:r>
        <w:t>Elles sont débarrassées de toute gangue ou terre, ébousinées à vif et parfaitement nettoyées.</w:t>
      </w:r>
    </w:p>
    <w:p w14:paraId="269C8C38" w14:textId="77777777" w:rsidR="00DF410E" w:rsidRDefault="00CE7F43">
      <w:pPr>
        <w:jc w:val="both"/>
      </w:pPr>
      <w:r>
        <w:t>Elles sont exemptes de toutes souillures comme les taches de graisse, d'huile, rouille, etc.</w:t>
      </w:r>
    </w:p>
    <w:p w14:paraId="5EBBF7F0" w14:textId="77777777" w:rsidR="00DF410E" w:rsidRDefault="00CE7F43">
      <w:pPr>
        <w:jc w:val="both"/>
      </w:pPr>
      <w:r>
        <w:t>Les fortes hétérogénéités (comme les zones schisteuses ou de poudingues) et les discontinuités, en particulier celles qui présentent un comportement inégal lors du séchage, conduisent au rebut.</w:t>
      </w:r>
    </w:p>
    <w:p w14:paraId="6C23A9D8" w14:textId="77777777" w:rsidR="00DF410E" w:rsidRDefault="00CE7F43">
      <w:pPr>
        <w:jc w:val="both"/>
      </w:pPr>
      <w:r>
        <w:t>Les pierres considérées inaptes ne sont pas posées et sont, le cas échéant, remplacées aux frais de l'entrepreneur.</w:t>
      </w:r>
    </w:p>
    <w:p w14:paraId="2F37C6BF" w14:textId="77777777" w:rsidR="00DF410E" w:rsidRDefault="00CE7F43">
      <w:pPr>
        <w:jc w:val="both"/>
      </w:pPr>
      <w:r>
        <w:t>Les pierres mises en œuvre dans une même partie d'un bâtiment proviennent d’un même lot et ne différent pas de teinte entre elles.</w:t>
      </w:r>
    </w:p>
    <w:p w14:paraId="09D049DC" w14:textId="77777777" w:rsidR="00DF410E" w:rsidRDefault="00CE7F43">
      <w:pPr>
        <w:jc w:val="both"/>
      </w:pPr>
      <w:r>
        <w:t>Il est interdit d'utiliser un mastic ou toute autre pâte de jointoiement pour cacher les défauts.</w:t>
      </w:r>
    </w:p>
    <w:p w14:paraId="16AE2071" w14:textId="77777777" w:rsidR="00DF410E" w:rsidRDefault="00CE7F43">
      <w:pPr>
        <w:pStyle w:val="pheading"/>
      </w:pPr>
      <w:r>
        <w:t>EXÉCUTION / MISE EN ŒUVRE</w:t>
      </w:r>
    </w:p>
    <w:p w14:paraId="311F4646" w14:textId="77777777" w:rsidR="00DF410E" w:rsidRDefault="00CE7F43">
      <w:pPr>
        <w:jc w:val="both"/>
      </w:pPr>
      <w:r>
        <w:rPr>
          <w:b/>
        </w:rPr>
        <w:t>Travail de pierre / Pose :</w:t>
      </w:r>
    </w:p>
    <w:p w14:paraId="17D7C040" w14:textId="77777777" w:rsidR="00DF410E" w:rsidRDefault="00CE7F43">
      <w:pPr>
        <w:jc w:val="both"/>
      </w:pPr>
      <w:r>
        <w:t>Toutes les précautions sont prises pour que les maçonneries de moellons aient et conservent un aspect soigné et propre.</w:t>
      </w:r>
    </w:p>
    <w:p w14:paraId="4AF72267" w14:textId="77777777" w:rsidR="00DF410E" w:rsidRDefault="00CE7F43">
      <w:pPr>
        <w:pStyle w:val="Author-eSectionHeading5"/>
      </w:pPr>
      <w:bookmarkStart w:id="199" w:name="_Toc178837440"/>
      <w:r>
        <w:t>21.23.1 Maçonneries non portantes en pierre de taille CCTB 01.02</w:t>
      </w:r>
      <w:bookmarkEnd w:id="199"/>
    </w:p>
    <w:p w14:paraId="05EFAA61" w14:textId="77777777" w:rsidR="00DF410E" w:rsidRDefault="00CE7F43">
      <w:pPr>
        <w:pStyle w:val="Author-eSectionHeading6"/>
      </w:pPr>
      <w:bookmarkStart w:id="200" w:name="_Toc178837441"/>
      <w:r>
        <w:t>21.23.1a Maçonneries non portantes en petit granit - pierre bleue CCTB 01.04</w:t>
      </w:r>
      <w:bookmarkEnd w:id="200"/>
    </w:p>
    <w:p w14:paraId="5668005D" w14:textId="77777777" w:rsidR="00DF410E" w:rsidRDefault="00CE7F43">
      <w:pPr>
        <w:pStyle w:val="Author-eSectionHeading6"/>
      </w:pPr>
      <w:bookmarkStart w:id="201" w:name="_Toc178837442"/>
      <w:r>
        <w:t>21.23.1b Maçonneries non portantes en pierre calcaire CCTB 01.04</w:t>
      </w:r>
      <w:bookmarkEnd w:id="201"/>
    </w:p>
    <w:p w14:paraId="6EE2C14E" w14:textId="77777777" w:rsidR="00DF410E" w:rsidRDefault="00CE7F43">
      <w:pPr>
        <w:pStyle w:val="Author-eSectionHeading5"/>
      </w:pPr>
      <w:bookmarkStart w:id="202" w:name="_Toc178837443"/>
      <w:r>
        <w:t>21.23.2 Maçonneries non portantes en moellons de pierre calcaire CCTB 01.02</w:t>
      </w:r>
      <w:bookmarkEnd w:id="202"/>
    </w:p>
    <w:p w14:paraId="0C1EBF28" w14:textId="77777777" w:rsidR="00DF410E" w:rsidRDefault="00CE7F43">
      <w:pPr>
        <w:pStyle w:val="Author-eSectionHeading6"/>
      </w:pPr>
      <w:bookmarkStart w:id="203" w:name="_Toc178837444"/>
      <w:r>
        <w:t>21.23.2a Maçonneries non portantes en moellons de pierre bleue CCTB 01.04</w:t>
      </w:r>
      <w:bookmarkEnd w:id="203"/>
    </w:p>
    <w:p w14:paraId="129811B7" w14:textId="77777777" w:rsidR="00DF410E" w:rsidRDefault="00CE7F43">
      <w:pPr>
        <w:pStyle w:val="Author-eSectionHeading6"/>
      </w:pPr>
      <w:bookmarkStart w:id="204" w:name="_Toc178837445"/>
      <w:r>
        <w:t>21.23.2b Maçonneries non portantes en moellons de pierre blanche CCTB 01.04</w:t>
      </w:r>
      <w:bookmarkEnd w:id="204"/>
    </w:p>
    <w:p w14:paraId="6EEC4516" w14:textId="77777777" w:rsidR="00DF410E" w:rsidRDefault="00CE7F43">
      <w:pPr>
        <w:pStyle w:val="Author-eSectionHeading6"/>
      </w:pPr>
      <w:bookmarkStart w:id="205" w:name="_Toc178837446"/>
      <w:r>
        <w:t>21.23.2c Maçonneries non portantes en moellons de marbre CCTB 01.04</w:t>
      </w:r>
      <w:bookmarkEnd w:id="205"/>
    </w:p>
    <w:p w14:paraId="79235240" w14:textId="77777777" w:rsidR="00DF410E" w:rsidRDefault="00CE7F43">
      <w:pPr>
        <w:pStyle w:val="pheading"/>
      </w:pPr>
      <w:r>
        <w:t>MESURAGE</w:t>
      </w:r>
    </w:p>
    <w:p w14:paraId="5B176BCB" w14:textId="77777777" w:rsidR="00DF410E" w:rsidRDefault="00CE7F43">
      <w:pPr>
        <w:pStyle w:val="pheading"/>
      </w:pPr>
      <w:r>
        <w:t>- unité de mesure:</w:t>
      </w:r>
    </w:p>
    <w:p w14:paraId="2C8F1F0B" w14:textId="77777777" w:rsidR="00DF410E" w:rsidRDefault="00CE7F43">
      <w:r>
        <w:t>m²</w:t>
      </w:r>
    </w:p>
    <w:p w14:paraId="09A6A9BD" w14:textId="77777777" w:rsidR="00DF410E" w:rsidRDefault="00CE7F43">
      <w:pPr>
        <w:pStyle w:val="pheading"/>
      </w:pPr>
      <w:r>
        <w:t>- nature du marché:</w:t>
      </w:r>
    </w:p>
    <w:p w14:paraId="59CA68BD" w14:textId="77777777" w:rsidR="00DF410E" w:rsidRDefault="00CE7F43">
      <w:r>
        <w:t>QF</w:t>
      </w:r>
    </w:p>
    <w:p w14:paraId="4520F386" w14:textId="77777777" w:rsidR="00DF410E" w:rsidRDefault="00DF410E"/>
    <w:p w14:paraId="1C2B45DB" w14:textId="77777777" w:rsidR="00DF410E" w:rsidRDefault="00CE7F43">
      <w:pPr>
        <w:pStyle w:val="Author-eSectionHeading5"/>
      </w:pPr>
      <w:bookmarkStart w:id="206" w:name="_Toc178837447"/>
      <w:r>
        <w:t>21.23.3 Maçonneries non portantes en moellons de pierres siliceuses CCTB 01.12</w:t>
      </w:r>
      <w:bookmarkEnd w:id="206"/>
    </w:p>
    <w:p w14:paraId="4323A4CC" w14:textId="77777777" w:rsidR="00DF410E" w:rsidRDefault="00CE7F43">
      <w:pPr>
        <w:pStyle w:val="pheading"/>
      </w:pPr>
      <w:r>
        <w:t>EXÉCUTION / MISE EN ŒUVRE</w:t>
      </w:r>
    </w:p>
    <w:p w14:paraId="4975EF77" w14:textId="77777777" w:rsidR="00DF410E" w:rsidRDefault="00CE7F43">
      <w:pPr>
        <w:jc w:val="both"/>
      </w:pPr>
      <w:r>
        <w:rPr>
          <w:b/>
        </w:rPr>
        <w:t>Recommandations spécifiques :</w:t>
      </w:r>
      <w:r>
        <w:t xml:space="preserve"> voir [NIT 228, Pierres naturelles (NIT interactive et évolutive en remplacement de la NIT 205).]</w:t>
      </w:r>
    </w:p>
    <w:p w14:paraId="4C707B67" w14:textId="77777777" w:rsidR="00DF410E" w:rsidRDefault="00CE7F43">
      <w:pPr>
        <w:jc w:val="both"/>
      </w:pPr>
      <w:r>
        <w:t>Un défaut d'adhérence au mortier de pose peut apparaître avec certains types de pierre. L’entrepreneur prend toutes les mesures nécessaires pour y remédier via un renforcement de l'adhérence (par exemple, par badigeonnage d'un lait de ciment ou d'une résine PVA sur la face de pose), éventuellement précédé d'un nettoyage de la face de pose à l'aide d'un produit dégraissant adéquat.</w:t>
      </w:r>
    </w:p>
    <w:p w14:paraId="123AE9B9" w14:textId="77777777" w:rsidR="00DF410E" w:rsidRDefault="00CE7F43">
      <w:pPr>
        <w:pStyle w:val="Author-eSectionHeading6"/>
      </w:pPr>
      <w:bookmarkStart w:id="207" w:name="_Toc178837448"/>
      <w:r>
        <w:t>21.23.3a Maçonneries non portantes en moellons d'arkose CCTB 01.04</w:t>
      </w:r>
      <w:bookmarkEnd w:id="207"/>
    </w:p>
    <w:p w14:paraId="792526BC" w14:textId="77777777" w:rsidR="00DF410E" w:rsidRDefault="00CE7F43">
      <w:pPr>
        <w:pStyle w:val="Author-eSectionHeading6"/>
      </w:pPr>
      <w:bookmarkStart w:id="208" w:name="_Toc178837449"/>
      <w:r>
        <w:t>21.23.3b Maçonneries non portantes en moellons de schiste CCTB 01.04</w:t>
      </w:r>
      <w:bookmarkEnd w:id="208"/>
    </w:p>
    <w:p w14:paraId="214BF3E8" w14:textId="77777777" w:rsidR="00DF410E" w:rsidRDefault="00CE7F43">
      <w:pPr>
        <w:pStyle w:val="Author-eSectionHeading6"/>
      </w:pPr>
      <w:bookmarkStart w:id="209" w:name="_Toc178837450"/>
      <w:r>
        <w:t>21.23.3c Maçonneries non portantes en moellons de grès CCTB 01.12</w:t>
      </w:r>
      <w:bookmarkEnd w:id="209"/>
    </w:p>
    <w:p w14:paraId="79D8DDA0" w14:textId="77777777" w:rsidR="00DF410E" w:rsidRDefault="00CE7F43">
      <w:pPr>
        <w:pStyle w:val="pheading"/>
      </w:pPr>
      <w:r>
        <w:t>DESCRIPTION</w:t>
      </w:r>
    </w:p>
    <w:p w14:paraId="0FBB34DF" w14:textId="77777777" w:rsidR="00DF410E" w:rsidRDefault="00CE7F43">
      <w:pPr>
        <w:pStyle w:val="pheading"/>
      </w:pPr>
      <w:r>
        <w:t>- Définition / Comprend</w:t>
      </w:r>
    </w:p>
    <w:p w14:paraId="1BE7F84D" w14:textId="77777777" w:rsidR="00DF410E" w:rsidRDefault="00CE7F43">
      <w:pPr>
        <w:jc w:val="both"/>
      </w:pPr>
      <w:r>
        <w:t>Il s’agit de la fourniture (hormis les pierres en provenance éventuellement du chantier en question) et de la pose de maçonneries intérieures, non portantes, en moellons de grès.</w:t>
      </w:r>
    </w:p>
    <w:p w14:paraId="2D2D58AC" w14:textId="77777777" w:rsidR="00DF410E" w:rsidRDefault="00CE7F43">
      <w:pPr>
        <w:jc w:val="both"/>
      </w:pPr>
      <w:r>
        <w:t>Les maçonneries comprennent notamment :</w:t>
      </w:r>
    </w:p>
    <w:p w14:paraId="3FAF88E3" w14:textId="77777777" w:rsidR="00DF410E" w:rsidRDefault="00CE7F43">
      <w:pPr>
        <w:pStyle w:val="Author-eListParagraph"/>
        <w:numPr>
          <w:ilvl w:val="0"/>
          <w:numId w:val="214"/>
        </w:numPr>
      </w:pPr>
      <w:r>
        <w:t>Les moellons proprement dits ;</w:t>
      </w:r>
    </w:p>
    <w:p w14:paraId="4C235477" w14:textId="77777777" w:rsidR="00DF410E" w:rsidRDefault="00CE7F43">
      <w:pPr>
        <w:pStyle w:val="Author-eListParagraph"/>
        <w:numPr>
          <w:ilvl w:val="0"/>
          <w:numId w:val="214"/>
        </w:numPr>
      </w:pPr>
      <w:r>
        <w:t>Les éléments d'angle, de terminaison et de rencontre, …</w:t>
      </w:r>
    </w:p>
    <w:p w14:paraId="026C3792" w14:textId="77777777" w:rsidR="00DF410E" w:rsidRDefault="00CE7F43">
      <w:pPr>
        <w:jc w:val="both"/>
      </w:pPr>
      <w:r>
        <w:t xml:space="preserve">Si un rejointoiement est réalisé à postériori, il est décrit et compris aux </w:t>
      </w:r>
      <w:hyperlink w:anchor="393" w:history="1">
        <w:r>
          <w:t>21.6 Réalisation de joints</w:t>
        </w:r>
      </w:hyperlink>
      <w:r>
        <w:t xml:space="preserve"> et suivants.</w:t>
      </w:r>
    </w:p>
    <w:p w14:paraId="0C9C8374" w14:textId="77777777" w:rsidR="00DF410E" w:rsidRDefault="00CE7F43">
      <w:pPr>
        <w:pStyle w:val="pheading"/>
      </w:pPr>
      <w:r>
        <w:t>MATÉRIAUX</w:t>
      </w:r>
    </w:p>
    <w:p w14:paraId="6B6BC172" w14:textId="77777777" w:rsidR="00DF410E" w:rsidRDefault="00CE7F43">
      <w:pPr>
        <w:pStyle w:val="pheading"/>
      </w:pPr>
      <w:r>
        <w:t>- Caractéristiques générales</w:t>
      </w:r>
    </w:p>
    <w:p w14:paraId="1FE92E1D" w14:textId="77777777" w:rsidR="00DF410E" w:rsidRDefault="00CE7F43">
      <w:pPr>
        <w:jc w:val="both"/>
      </w:pPr>
      <w:r>
        <w:t>La [NIT 228] est d'application.</w:t>
      </w:r>
    </w:p>
    <w:p w14:paraId="4F9AD4E4" w14:textId="77777777" w:rsidR="00DF410E" w:rsidRDefault="00DF410E">
      <w:pPr>
        <w:jc w:val="both"/>
      </w:pPr>
    </w:p>
    <w:p w14:paraId="01E61E2D" w14:textId="77777777" w:rsidR="00DF410E" w:rsidRDefault="00CE7F43">
      <w:pPr>
        <w:jc w:val="both"/>
      </w:pPr>
      <w:r>
        <w:t xml:space="preserve">Les pierres sont des éléments : </w:t>
      </w:r>
      <w:r>
        <w:rPr>
          <w:rStyle w:val="optioncarChar"/>
        </w:rPr>
        <w:t xml:space="preserve">neufs </w:t>
      </w:r>
      <w:r>
        <w:t>(par défaut) </w:t>
      </w:r>
      <w:r>
        <w:rPr>
          <w:rStyle w:val="optioncarChar"/>
        </w:rPr>
        <w:t>/ recyclés / de réemploi</w:t>
      </w:r>
    </w:p>
    <w:p w14:paraId="742054AC" w14:textId="77777777" w:rsidR="00DF410E" w:rsidRDefault="00CE7F43">
      <w:pPr>
        <w:jc w:val="both"/>
      </w:pPr>
      <w:r>
        <w:rPr>
          <w:b/>
        </w:rPr>
        <w:t>Généralités :</w:t>
      </w:r>
    </w:p>
    <w:p w14:paraId="175D50C3" w14:textId="77777777" w:rsidR="00DF410E" w:rsidRDefault="00CE7F43">
      <w:pPr>
        <w:pStyle w:val="Author-eListParagraph"/>
        <w:numPr>
          <w:ilvl w:val="0"/>
          <w:numId w:val="215"/>
        </w:numPr>
      </w:pPr>
      <w:r>
        <w:t xml:space="preserve">Dénomination de référence [NBN EN 12440] : </w:t>
      </w:r>
      <w:r>
        <w:rPr>
          <w:rStyle w:val="optioncarChar"/>
        </w:rPr>
        <w:t>Grès famenniens du Condroz / Grès gris-vert de Steinbach / Pierre de Waimes EN / ***</w:t>
      </w:r>
    </w:p>
    <w:p w14:paraId="71F00036" w14:textId="77777777" w:rsidR="00DF410E" w:rsidRDefault="00CE7F43">
      <w:pPr>
        <w:pStyle w:val="Author-eListParagraph"/>
        <w:numPr>
          <w:ilvl w:val="0"/>
          <w:numId w:val="215"/>
        </w:numPr>
      </w:pPr>
      <w:r>
        <w:t xml:space="preserve">Dénomination commerciale usuelle : </w:t>
      </w:r>
      <w:r>
        <w:rPr>
          <w:rStyle w:val="optioncarChar"/>
        </w:rPr>
        <w:t>Grès durs / Pierre de Steinbach / Arkose de Waimes / ***</w:t>
      </w:r>
    </w:p>
    <w:p w14:paraId="1F44FA60" w14:textId="77777777" w:rsidR="00DF410E" w:rsidRDefault="00CE7F43">
      <w:pPr>
        <w:pStyle w:val="Author-eListParagraph"/>
        <w:numPr>
          <w:ilvl w:val="0"/>
          <w:numId w:val="215"/>
        </w:numPr>
      </w:pPr>
      <w:r>
        <w:t xml:space="preserve">Lieu d'extraction : </w:t>
      </w:r>
      <w:r>
        <w:rPr>
          <w:rStyle w:val="optioncarChar"/>
        </w:rPr>
        <w:t>La Meuse et ses affluents, Condroz, Belgique / Ardennes, région de Malmédy, province de Liège, Belgique / Ardennes, région de Malmédy, Plateau des Tailles, province de Liège, Belgique / ***</w:t>
      </w:r>
    </w:p>
    <w:p w14:paraId="3445F7F0" w14:textId="77777777" w:rsidR="00DF410E" w:rsidRDefault="00CE7F43">
      <w:pPr>
        <w:pStyle w:val="Author-eListParagraph"/>
        <w:numPr>
          <w:ilvl w:val="0"/>
          <w:numId w:val="215"/>
        </w:numPr>
      </w:pPr>
      <w:r>
        <w:t xml:space="preserve">Variétés : </w:t>
      </w:r>
      <w:r>
        <w:rPr>
          <w:rStyle w:val="optioncarChar"/>
        </w:rPr>
        <w:t>Grès de l'Ourthe, grès d'Yvoir, grès de Meuse, grès d'Arbre / ***</w:t>
      </w:r>
    </w:p>
    <w:p w14:paraId="7B457B77" w14:textId="77777777" w:rsidR="00DF410E" w:rsidRDefault="00CE7F43">
      <w:pPr>
        <w:pStyle w:val="Author-eListParagraph"/>
        <w:numPr>
          <w:ilvl w:val="0"/>
          <w:numId w:val="215"/>
        </w:numPr>
      </w:pPr>
      <w:r>
        <w:t xml:space="preserve">Descriptions macroscopique / microscopique : </w:t>
      </w:r>
      <w:r>
        <w:rPr>
          <w:rStyle w:val="optioncarChar"/>
        </w:rPr>
        <w:t>Roche de teinte, homogène, à grain grossier - Structure compacte - Aucun litage n'est décelable / Pierre homogène, à grain grossier - Structure peu compacte – Présence localement de quelques petites cavités d'un demi-centimètre de diamètre, parfois remplies d'argile de même couleur - Aucun litage n'est décelable / ***</w:t>
      </w:r>
    </w:p>
    <w:p w14:paraId="339E76CC" w14:textId="77777777" w:rsidR="00DF410E" w:rsidRDefault="00CE7F43">
      <w:pPr>
        <w:pStyle w:val="Author-eListParagraph"/>
        <w:numPr>
          <w:ilvl w:val="0"/>
          <w:numId w:val="215"/>
        </w:numPr>
      </w:pPr>
      <w:r>
        <w:t xml:space="preserve">Classification selon [PTV 819-4] : </w:t>
      </w:r>
      <w:r>
        <w:rPr>
          <w:rStyle w:val="optioncarChar"/>
        </w:rPr>
        <w:t>2.1.1.1 roche sédimentaire silicoclastique - grès - quartzarénite / 2.1.1.2 roche sédimentaire silicoclastique, type grès – litharénite / ***</w:t>
      </w:r>
    </w:p>
    <w:p w14:paraId="61403F9B" w14:textId="77777777" w:rsidR="00DF410E" w:rsidRDefault="00CE7F43">
      <w:pPr>
        <w:jc w:val="both"/>
      </w:pPr>
      <w:r>
        <w:rPr>
          <w:b/>
        </w:rPr>
        <w:t>Caractéristiques techniques intrinsèques de la pierre :</w:t>
      </w:r>
    </w:p>
    <w:p w14:paraId="78D512CB" w14:textId="77777777" w:rsidR="00DF410E" w:rsidRDefault="00CE7F43">
      <w:pPr>
        <w:pStyle w:val="Author-eListParagraph"/>
        <w:numPr>
          <w:ilvl w:val="0"/>
          <w:numId w:val="216"/>
        </w:numPr>
      </w:pPr>
      <w:r>
        <w:t xml:space="preserve">Masse volumique apparente, ± : </w:t>
      </w:r>
      <w:r>
        <w:rPr>
          <w:rStyle w:val="optioncarChar"/>
        </w:rPr>
        <w:t>2630 / 2640 / 2670 / ***</w:t>
      </w:r>
      <w:r>
        <w:t xml:space="preserve"> kg/m³, selon [NBN EN 1936]</w:t>
      </w:r>
    </w:p>
    <w:p w14:paraId="213EEEC2" w14:textId="77777777" w:rsidR="00DF410E" w:rsidRDefault="00CE7F43">
      <w:pPr>
        <w:pStyle w:val="Author-eListParagraph"/>
        <w:numPr>
          <w:ilvl w:val="0"/>
          <w:numId w:val="216"/>
        </w:numPr>
      </w:pPr>
      <w:r>
        <w:t xml:space="preserve">Porosité, ± : </w:t>
      </w:r>
      <w:r>
        <w:rPr>
          <w:rStyle w:val="optioncarChar"/>
        </w:rPr>
        <w:t>1,1 / 1,9 / 2,5 / ***</w:t>
      </w:r>
      <w:r>
        <w:t xml:space="preserve"> % vol, selon [NBN EN 1936]</w:t>
      </w:r>
    </w:p>
    <w:p w14:paraId="065A4971" w14:textId="77777777" w:rsidR="00DF410E" w:rsidRDefault="00CE7F43">
      <w:pPr>
        <w:pStyle w:val="Author-eListParagraph"/>
        <w:numPr>
          <w:ilvl w:val="0"/>
          <w:numId w:val="216"/>
        </w:numPr>
      </w:pPr>
      <w:r>
        <w:t xml:space="preserve">Résistance à la compression, ± : </w:t>
      </w:r>
      <w:r>
        <w:rPr>
          <w:rStyle w:val="optioncarChar"/>
        </w:rPr>
        <w:t>160 / 210 / 260 / ***</w:t>
      </w:r>
      <w:r>
        <w:t xml:space="preserve"> MPa, selon [NBN EN 1926]</w:t>
      </w:r>
    </w:p>
    <w:p w14:paraId="50C03A08" w14:textId="77777777" w:rsidR="00DF410E" w:rsidRDefault="00CE7F43">
      <w:pPr>
        <w:pStyle w:val="Author-eListParagraph"/>
        <w:numPr>
          <w:ilvl w:val="0"/>
          <w:numId w:val="216"/>
        </w:numPr>
      </w:pPr>
      <w:r>
        <w:t xml:space="preserve">Résistance à la flexion, ± : </w:t>
      </w:r>
      <w:r>
        <w:rPr>
          <w:rStyle w:val="optioncarChar"/>
        </w:rPr>
        <w:t>27 / 36 / 42 / ***</w:t>
      </w:r>
      <w:r>
        <w:t xml:space="preserve"> MPa, selon [NBN EN 12372]</w:t>
      </w:r>
    </w:p>
    <w:p w14:paraId="797F37C5" w14:textId="77777777" w:rsidR="00DF410E" w:rsidRDefault="00CE7F43">
      <w:pPr>
        <w:pStyle w:val="Author-eListParagraph"/>
        <w:numPr>
          <w:ilvl w:val="0"/>
          <w:numId w:val="216"/>
        </w:numPr>
      </w:pPr>
      <w:r>
        <w:t xml:space="preserve">Résistance à l'usure, ± : </w:t>
      </w:r>
      <w:r>
        <w:rPr>
          <w:rStyle w:val="optioncarChar"/>
        </w:rPr>
        <w:t>0 / 15 / ***</w:t>
      </w:r>
      <w:r>
        <w:t xml:space="preserve"> mm, selon [NBN EN 14157]</w:t>
      </w:r>
      <w:r>
        <w:rPr>
          <w:rStyle w:val="optioncarChar"/>
        </w:rPr>
        <w:t> / méthode Capon [NBN EN 1341] / méthode Amsler [NBN B 15-223] / ***</w:t>
      </w:r>
    </w:p>
    <w:p w14:paraId="208B6BDE" w14:textId="77777777" w:rsidR="00DF410E" w:rsidRDefault="00CE7F43">
      <w:pPr>
        <w:pStyle w:val="Author-eListParagraph"/>
        <w:numPr>
          <w:ilvl w:val="0"/>
          <w:numId w:val="216"/>
        </w:numPr>
      </w:pPr>
      <w:r>
        <w:t xml:space="preserve">Vitesse du son //, ± : </w:t>
      </w:r>
      <w:r>
        <w:rPr>
          <w:rStyle w:val="optioncarChar"/>
        </w:rPr>
        <w:t>5,2 / ***</w:t>
      </w:r>
      <w:r>
        <w:t xml:space="preserve"> km/s, selon [NBN EN 14157]</w:t>
      </w:r>
    </w:p>
    <w:p w14:paraId="1FB5DB53" w14:textId="77777777" w:rsidR="00DF410E" w:rsidRDefault="00CE7F43">
      <w:pPr>
        <w:pStyle w:val="Author-eListParagraph"/>
        <w:numPr>
          <w:ilvl w:val="0"/>
          <w:numId w:val="216"/>
        </w:numPr>
      </w:pPr>
      <w:r>
        <w:t xml:space="preserve">Vitesse du son Ʇ, ± : </w:t>
      </w:r>
      <w:r>
        <w:rPr>
          <w:rStyle w:val="optioncarChar"/>
        </w:rPr>
        <w:t>4,9 / ***</w:t>
      </w:r>
      <w:r>
        <w:t xml:space="preserve"> km/s, selon [NBN EN 14157]</w:t>
      </w:r>
    </w:p>
    <w:p w14:paraId="1EABB10F" w14:textId="77777777" w:rsidR="00DF410E" w:rsidRDefault="00CE7F43">
      <w:pPr>
        <w:pStyle w:val="Author-eListParagraph"/>
        <w:numPr>
          <w:ilvl w:val="0"/>
          <w:numId w:val="216"/>
        </w:numPr>
      </w:pPr>
      <w:r>
        <w:t xml:space="preserve">Coefficient de dilatation thermique, ± : </w:t>
      </w:r>
      <w:r>
        <w:rPr>
          <w:rStyle w:val="optioncarChar"/>
        </w:rPr>
        <w:t>9,8 E-06 / ***</w:t>
      </w:r>
      <w:r>
        <w:t xml:space="preserve"> [1/°C], selon [NBN EN 14581:2005]</w:t>
      </w:r>
    </w:p>
    <w:p w14:paraId="3BB43EE0" w14:textId="77777777" w:rsidR="00DF410E" w:rsidRDefault="00CE7F43">
      <w:pPr>
        <w:pStyle w:val="Author-eListParagraph"/>
        <w:numPr>
          <w:ilvl w:val="0"/>
          <w:numId w:val="216"/>
        </w:numPr>
      </w:pPr>
      <w:r>
        <w:t xml:space="preserve">Sensibilité au tachage accidentel : </w:t>
      </w:r>
      <w:r>
        <w:rPr>
          <w:rStyle w:val="optioncarChar"/>
        </w:rPr>
        <w:t>***</w:t>
      </w:r>
      <w:r>
        <w:t>, selon [NBN EN 16301:2021]</w:t>
      </w:r>
    </w:p>
    <w:p w14:paraId="0CDCFA95" w14:textId="77777777" w:rsidR="00DF410E" w:rsidRDefault="00CE7F43">
      <w:pPr>
        <w:pStyle w:val="Author-eListParagraph"/>
        <w:numPr>
          <w:ilvl w:val="0"/>
          <w:numId w:val="216"/>
        </w:numPr>
      </w:pPr>
      <w:r>
        <w:t xml:space="preserve">Recommandations spécifiques au type de pierre : </w:t>
      </w:r>
      <w:r>
        <w:rPr>
          <w:rStyle w:val="optioncarChar"/>
        </w:rPr>
        <w:t>***</w:t>
      </w:r>
    </w:p>
    <w:p w14:paraId="1485EC7D" w14:textId="77777777" w:rsidR="00DF410E" w:rsidRDefault="00CE7F43">
      <w:pPr>
        <w:jc w:val="both"/>
      </w:pPr>
      <w:r>
        <w:rPr>
          <w:b/>
        </w:rPr>
        <w:t>Finition – Critères techniques (Voir AIDE):</w:t>
      </w:r>
    </w:p>
    <w:p w14:paraId="70CE4063" w14:textId="77777777" w:rsidR="00DF410E" w:rsidRDefault="00CE7F43">
      <w:pPr>
        <w:jc w:val="both"/>
      </w:pPr>
      <w:r>
        <w:t>Il est fait usage de pierres :</w:t>
      </w:r>
    </w:p>
    <w:p w14:paraId="33891305" w14:textId="77777777" w:rsidR="00DF410E" w:rsidRDefault="00CE7F43">
      <w:pPr>
        <w:pStyle w:val="Author-eListParagraph"/>
        <w:numPr>
          <w:ilvl w:val="0"/>
          <w:numId w:val="217"/>
        </w:numPr>
      </w:pPr>
      <w:r>
        <w:t xml:space="preserve">épincées : </w:t>
      </w:r>
      <w:r>
        <w:rPr>
          <w:rStyle w:val="optioncarChar"/>
        </w:rPr>
        <w:t>oui / non</w:t>
      </w:r>
    </w:p>
    <w:p w14:paraId="2CAB86CD" w14:textId="77777777" w:rsidR="00DF410E" w:rsidRDefault="00CE7F43">
      <w:pPr>
        <w:pStyle w:val="Author-eListParagraph"/>
        <w:numPr>
          <w:ilvl w:val="0"/>
          <w:numId w:val="217"/>
        </w:numPr>
      </w:pPr>
      <w:r>
        <w:t xml:space="preserve">équarries : </w:t>
      </w:r>
      <w:r>
        <w:rPr>
          <w:rStyle w:val="optioncarChar"/>
        </w:rPr>
        <w:t>oui / non</w:t>
      </w:r>
    </w:p>
    <w:p w14:paraId="4B5F3419" w14:textId="77777777" w:rsidR="00DF410E" w:rsidRDefault="00CE7F43">
      <w:pPr>
        <w:pStyle w:val="Author-eListParagraph"/>
        <w:numPr>
          <w:ilvl w:val="0"/>
          <w:numId w:val="217"/>
        </w:numPr>
      </w:pPr>
      <w:r>
        <w:rPr>
          <w:rStyle w:val="optioncarChar"/>
        </w:rPr>
        <w:t>***</w:t>
      </w:r>
    </w:p>
    <w:p w14:paraId="1E5E83D1" w14:textId="77777777" w:rsidR="00DF410E" w:rsidRDefault="00CE7F43">
      <w:pPr>
        <w:jc w:val="both"/>
      </w:pPr>
      <w:r>
        <w:t>Les dimensions des faces de dos sont au moins égales au 2/3 de la dimension correspondante de la face de parement.</w:t>
      </w:r>
    </w:p>
    <w:p w14:paraId="2AF3AF83" w14:textId="77777777" w:rsidR="00DF410E" w:rsidRDefault="00CE7F43">
      <w:pPr>
        <w:jc w:val="both"/>
      </w:pPr>
      <w:r>
        <w:t xml:space="preserve">L’entrepreneur fournit une déclaration d’origine de la pierre, établie par le producteur et complétée par des rapports d’essais : </w:t>
      </w:r>
      <w:r>
        <w:rPr>
          <w:rStyle w:val="optioncarChar"/>
        </w:rPr>
        <w:t>oui (</w:t>
      </w:r>
      <w:r>
        <w:t>par défaut)</w:t>
      </w:r>
      <w:r>
        <w:rPr>
          <w:rStyle w:val="optioncarChar"/>
        </w:rPr>
        <w:t xml:space="preserve"> / non.</w:t>
      </w:r>
    </w:p>
    <w:p w14:paraId="61A0EC1C" w14:textId="77777777" w:rsidR="00DF410E" w:rsidRDefault="00CE7F43">
      <w:pPr>
        <w:jc w:val="both"/>
      </w:pPr>
      <w:r>
        <w:rPr>
          <w:b/>
        </w:rPr>
        <w:t>(soit par défaut)</w:t>
      </w:r>
    </w:p>
    <w:p w14:paraId="758EDEDC" w14:textId="77777777" w:rsidR="00DF410E" w:rsidRDefault="00CE7F43">
      <w:pPr>
        <w:jc w:val="both"/>
      </w:pPr>
      <w:r>
        <w:rPr>
          <w:rStyle w:val="soitChar"/>
          <w:u w:val="single"/>
        </w:rPr>
        <w:t>Oui :</w:t>
      </w:r>
    </w:p>
    <w:p w14:paraId="0508A552" w14:textId="77777777" w:rsidR="00DF410E" w:rsidRDefault="00CE7F43">
      <w:pPr>
        <w:jc w:val="both"/>
      </w:pPr>
      <w:r>
        <w:rPr>
          <w:rStyle w:val="soitChar"/>
        </w:rPr>
        <w:t>L’entrepreneur fournit un document pour chaque livraison.</w:t>
      </w:r>
    </w:p>
    <w:p w14:paraId="37BAF6F5" w14:textId="77777777" w:rsidR="00DF410E" w:rsidRDefault="00CE7F43">
      <w:pPr>
        <w:jc w:val="both"/>
      </w:pPr>
      <w:r>
        <w:rPr>
          <w:rStyle w:val="soitChar"/>
        </w:rPr>
        <w:t>La déclaration d’origine comporte obligatoirement les renseignements suivants :</w:t>
      </w:r>
    </w:p>
    <w:p w14:paraId="1AA0E960" w14:textId="77777777" w:rsidR="00DF410E" w:rsidRDefault="00CE7F43">
      <w:pPr>
        <w:jc w:val="both"/>
      </w:pPr>
      <w:r>
        <w:rPr>
          <w:rStyle w:val="soitChar"/>
          <w:u w:val="single"/>
        </w:rPr>
        <w:t>Pour les éléments neufs :</w:t>
      </w:r>
    </w:p>
    <w:p w14:paraId="2A25CF95" w14:textId="77777777" w:rsidR="00DF410E" w:rsidRDefault="00CE7F43">
      <w:pPr>
        <w:pStyle w:val="Author-eListParagraph"/>
        <w:numPr>
          <w:ilvl w:val="0"/>
          <w:numId w:val="218"/>
        </w:numPr>
      </w:pPr>
      <w:r>
        <w:rPr>
          <w:rStyle w:val="soitChar"/>
        </w:rPr>
        <w:t>Le nom commercial de la pierre selon [NBN EN 12440]</w:t>
      </w:r>
    </w:p>
    <w:p w14:paraId="07995A74" w14:textId="77777777" w:rsidR="00DF410E" w:rsidRDefault="00CE7F43">
      <w:pPr>
        <w:pStyle w:val="Author-eListParagraph"/>
        <w:numPr>
          <w:ilvl w:val="0"/>
          <w:numId w:val="218"/>
        </w:numPr>
      </w:pPr>
      <w:r>
        <w:rPr>
          <w:rStyle w:val="soitChar"/>
        </w:rPr>
        <w:t>La nature lithologique de la pierre, déterminée conformément au [PTV 819-4] jusqu’au niveau le plus précis</w:t>
      </w:r>
    </w:p>
    <w:p w14:paraId="212FC705" w14:textId="77777777" w:rsidR="00DF410E" w:rsidRDefault="00CE7F43">
      <w:pPr>
        <w:pStyle w:val="Author-eListParagraph"/>
        <w:numPr>
          <w:ilvl w:val="0"/>
          <w:numId w:val="218"/>
        </w:numPr>
      </w:pPr>
      <w:r>
        <w:rPr>
          <w:rStyle w:val="soitChar"/>
        </w:rPr>
        <w:t>Le nom et les coordonnées du producteur de la pierre</w:t>
      </w:r>
    </w:p>
    <w:p w14:paraId="40F2CB1B" w14:textId="77777777" w:rsidR="00DF410E" w:rsidRDefault="00CE7F43">
      <w:pPr>
        <w:pStyle w:val="Author-eListParagraph"/>
        <w:numPr>
          <w:ilvl w:val="0"/>
          <w:numId w:val="218"/>
        </w:numPr>
      </w:pPr>
      <w:r>
        <w:rPr>
          <w:rStyle w:val="soitChar"/>
        </w:rPr>
        <w:t>Le nom et les coordonnées du transformateur (producteur des produits finis) si différent</w:t>
      </w:r>
    </w:p>
    <w:p w14:paraId="3D669ECE" w14:textId="77777777" w:rsidR="00DF410E" w:rsidRDefault="00CE7F43">
      <w:pPr>
        <w:pStyle w:val="Author-eListParagraph"/>
        <w:numPr>
          <w:ilvl w:val="0"/>
          <w:numId w:val="218"/>
        </w:numPr>
      </w:pPr>
      <w:r>
        <w:rPr>
          <w:rStyle w:val="soitChar"/>
        </w:rPr>
        <w:t>Le nom et les coordonnées du fournisseur si différent.</w:t>
      </w:r>
    </w:p>
    <w:p w14:paraId="24E71011" w14:textId="77777777" w:rsidR="00DF410E" w:rsidRDefault="00CE7F43">
      <w:pPr>
        <w:jc w:val="both"/>
      </w:pPr>
      <w:r>
        <w:rPr>
          <w:rStyle w:val="soitChar"/>
          <w:u w:val="single"/>
        </w:rPr>
        <w:t>Pour les éléments recyclés et de réemploi :</w:t>
      </w:r>
    </w:p>
    <w:p w14:paraId="4F601DBD" w14:textId="77777777" w:rsidR="00DF410E" w:rsidRDefault="00CE7F43">
      <w:pPr>
        <w:pStyle w:val="Author-eListParagraph"/>
        <w:numPr>
          <w:ilvl w:val="0"/>
          <w:numId w:val="219"/>
        </w:numPr>
      </w:pPr>
      <w:r>
        <w:rPr>
          <w:rStyle w:val="soitChar"/>
        </w:rPr>
        <w:t>Le nom commercial de la pierre selon [NBN EN 12440]</w:t>
      </w:r>
    </w:p>
    <w:p w14:paraId="3561B307" w14:textId="77777777" w:rsidR="00DF410E" w:rsidRDefault="00CE7F43">
      <w:pPr>
        <w:pStyle w:val="Author-eListParagraph"/>
        <w:numPr>
          <w:ilvl w:val="0"/>
          <w:numId w:val="219"/>
        </w:numPr>
      </w:pPr>
      <w:r>
        <w:rPr>
          <w:rStyle w:val="soitChar"/>
        </w:rPr>
        <w:t>La nature lithologique de la pierre, déterminée conformément au [PTV 819-4] jusqu’au niveau le plus précis</w:t>
      </w:r>
    </w:p>
    <w:p w14:paraId="001DE572" w14:textId="77777777" w:rsidR="00DF410E" w:rsidRDefault="00CE7F43">
      <w:pPr>
        <w:pStyle w:val="Author-eListParagraph"/>
        <w:numPr>
          <w:ilvl w:val="0"/>
          <w:numId w:val="219"/>
        </w:numPr>
      </w:pPr>
      <w:r>
        <w:rPr>
          <w:rStyle w:val="soitChar"/>
        </w:rPr>
        <w:t>L’origine des matières premières (y compris traçabilité administrative de la dernière mise en œuvre au moins, conformément à la législation wallonne en vigueur et des différents intervenants de la filière)</w:t>
      </w:r>
    </w:p>
    <w:p w14:paraId="15F7E7FC" w14:textId="77777777" w:rsidR="00DF410E" w:rsidRDefault="00CE7F43">
      <w:pPr>
        <w:pStyle w:val="Author-eListParagraph"/>
        <w:numPr>
          <w:ilvl w:val="0"/>
          <w:numId w:val="219"/>
        </w:numPr>
      </w:pPr>
      <w:r>
        <w:rPr>
          <w:rStyle w:val="soitChar"/>
        </w:rPr>
        <w:t>La procédure d’acceptation des matières premières détaillant les contrôles et tris effectués ainsi que la gestion du stockage</w:t>
      </w:r>
    </w:p>
    <w:p w14:paraId="628B7069" w14:textId="77777777" w:rsidR="00DF410E" w:rsidRDefault="00CE7F43">
      <w:pPr>
        <w:pStyle w:val="Author-eListParagraph"/>
        <w:numPr>
          <w:ilvl w:val="0"/>
          <w:numId w:val="219"/>
        </w:numPr>
      </w:pPr>
      <w:r>
        <w:rPr>
          <w:rStyle w:val="soitChar"/>
        </w:rPr>
        <w:t>Le nom et les coordonnées du transformateur (producteur des produits finis) si différent</w:t>
      </w:r>
    </w:p>
    <w:p w14:paraId="1A644764" w14:textId="77777777" w:rsidR="00DF410E" w:rsidRDefault="00CE7F43">
      <w:pPr>
        <w:pStyle w:val="Author-eListParagraph"/>
        <w:numPr>
          <w:ilvl w:val="0"/>
          <w:numId w:val="219"/>
        </w:numPr>
      </w:pPr>
      <w:r>
        <w:rPr>
          <w:rStyle w:val="soitChar"/>
        </w:rPr>
        <w:t>Le nom et les coordonnées du fournisseur si différent.</w:t>
      </w:r>
    </w:p>
    <w:p w14:paraId="14138BD1" w14:textId="77777777" w:rsidR="00DF410E" w:rsidRDefault="00CE7F43">
      <w:pPr>
        <w:jc w:val="both"/>
      </w:pPr>
      <w:r>
        <w:rPr>
          <w:rStyle w:val="soitChar"/>
        </w:rPr>
        <w:t>Dans tous les cas, la déclaration d’origine est complétée par des rapports d’essais réalisés par des laboratoires accrédités pour ces essais et portant sur les caractéristiques physiques et mécaniques pertinentes exigées pour l’usage requis (aptitude spécifique à l’emploi).</w:t>
      </w:r>
    </w:p>
    <w:p w14:paraId="4CE78526" w14:textId="77777777" w:rsidR="00DF410E" w:rsidRDefault="00CE7F43">
      <w:pPr>
        <w:jc w:val="both"/>
      </w:pPr>
      <w:r>
        <w:rPr>
          <w:b/>
        </w:rPr>
        <w:t>(soit)</w:t>
      </w:r>
    </w:p>
    <w:p w14:paraId="68EBF3CB" w14:textId="77777777" w:rsidR="00DF410E" w:rsidRDefault="00CE7F43">
      <w:pPr>
        <w:jc w:val="both"/>
      </w:pPr>
      <w:r>
        <w:rPr>
          <w:rStyle w:val="soitChar"/>
          <w:u w:val="single"/>
        </w:rPr>
        <w:t>Non :</w:t>
      </w:r>
    </w:p>
    <w:p w14:paraId="3EF4AFA7" w14:textId="77777777" w:rsidR="00DF410E" w:rsidRDefault="00CE7F43">
      <w:pPr>
        <w:jc w:val="both"/>
      </w:pPr>
      <w:r>
        <w:rPr>
          <w:rStyle w:val="soitChar"/>
        </w:rPr>
        <w:t>Aucun document n’est exigé.</w:t>
      </w:r>
    </w:p>
    <w:p w14:paraId="4C036BA4" w14:textId="77777777" w:rsidR="00DF410E" w:rsidRDefault="00CE7F43">
      <w:pPr>
        <w:jc w:val="both"/>
      </w:pPr>
      <w:r>
        <w:rPr>
          <w:b/>
        </w:rPr>
        <w:t>Pierres en provenance du chantier en question :</w:t>
      </w:r>
    </w:p>
    <w:p w14:paraId="3A45417A" w14:textId="77777777" w:rsidR="00DF410E" w:rsidRDefault="00CE7F43">
      <w:pPr>
        <w:jc w:val="both"/>
      </w:pPr>
      <w:r>
        <w:t>L’entrepreneur réalise toutes les prestations préparatoires nécessaires (tri, nettoyage, …) à la mise en œuvre de ces éléments existants.</w:t>
      </w:r>
    </w:p>
    <w:p w14:paraId="0DEDC96E" w14:textId="77777777" w:rsidR="00DF410E" w:rsidRDefault="00CE7F43">
      <w:pPr>
        <w:jc w:val="both"/>
      </w:pPr>
      <w:r>
        <w:t xml:space="preserve">Les critères d’acceptabilité sont notamment définis aux </w:t>
      </w:r>
      <w:hyperlink r:id="rId27" w:history="1" w:docLocation="394">
        <w:r>
          <w:t>02.42 Approbations / agréations de matériaux</w:t>
        </w:r>
      </w:hyperlink>
      <w:r>
        <w:t xml:space="preserve"> et suivants.</w:t>
      </w:r>
    </w:p>
    <w:p w14:paraId="765527D9" w14:textId="77777777" w:rsidR="00DF410E" w:rsidRDefault="00CE7F43">
      <w:pPr>
        <w:jc w:val="both"/>
      </w:pPr>
      <w:r>
        <w:rPr>
          <w:b/>
        </w:rPr>
        <w:t>Mortier :</w:t>
      </w:r>
    </w:p>
    <w:p w14:paraId="3BE69416" w14:textId="77777777" w:rsidR="00DF410E" w:rsidRDefault="00CE7F43">
      <w:pPr>
        <w:jc w:val="both"/>
      </w:pPr>
      <w:r>
        <w:t>Le mortier à maçonner répond à la catégorie : </w:t>
      </w:r>
      <w:r>
        <w:rPr>
          <w:rStyle w:val="optioncarChar"/>
        </w:rPr>
        <w:t>M10 </w:t>
      </w:r>
      <w:r>
        <w:t>(par défaut)</w:t>
      </w:r>
      <w:r>
        <w:rPr>
          <w:rStyle w:val="optioncarChar"/>
        </w:rPr>
        <w:t xml:space="preserve"> / M15 / M20 / ***</w:t>
      </w:r>
      <w:r>
        <w:t>, selon [NBN EN 998-2]</w:t>
      </w:r>
    </w:p>
    <w:p w14:paraId="17CBEB55" w14:textId="77777777" w:rsidR="00DF410E" w:rsidRDefault="00CE7F43">
      <w:pPr>
        <w:pStyle w:val="pheading"/>
      </w:pPr>
      <w:r>
        <w:t>- Finitions</w:t>
      </w:r>
    </w:p>
    <w:p w14:paraId="050FDF78" w14:textId="77777777" w:rsidR="00DF410E" w:rsidRDefault="00CE7F43">
      <w:pPr>
        <w:jc w:val="both"/>
      </w:pPr>
      <w:r>
        <w:rPr>
          <w:b/>
        </w:rPr>
        <w:t>Dimensions / Forme / Aspect :</w:t>
      </w:r>
    </w:p>
    <w:p w14:paraId="4CFCABED" w14:textId="77777777" w:rsidR="00DF410E" w:rsidRDefault="00CE7F43">
      <w:pPr>
        <w:jc w:val="both"/>
      </w:pPr>
      <w:r>
        <w:t xml:space="preserve">Avant le début des travaux, l’entrepreneur soumet au minium </w:t>
      </w:r>
      <w:r>
        <w:rPr>
          <w:rStyle w:val="optioncarChar"/>
        </w:rPr>
        <w:t xml:space="preserve">2 </w:t>
      </w:r>
      <w:r>
        <w:t>(par défaut)</w:t>
      </w:r>
      <w:r>
        <w:rPr>
          <w:rStyle w:val="optioncarChar"/>
        </w:rPr>
        <w:t xml:space="preserve"> / 3 / ***</w:t>
      </w:r>
      <w:r>
        <w:t xml:space="preserve"> choix possibles à la direction des travaux en fournissant des échantillons représentatifs. </w:t>
      </w:r>
    </w:p>
    <w:p w14:paraId="145C78D2" w14:textId="77777777" w:rsidR="00DF410E" w:rsidRDefault="00CE7F43">
      <w:pPr>
        <w:pStyle w:val="Author-eListParagraph"/>
        <w:numPr>
          <w:ilvl w:val="0"/>
          <w:numId w:val="220"/>
        </w:numPr>
      </w:pPr>
      <w:r>
        <w:t xml:space="preserve">Dimensions nominales : </w:t>
      </w:r>
    </w:p>
    <w:p w14:paraId="3A93BBF9" w14:textId="77777777" w:rsidR="00DF410E" w:rsidRDefault="00CE7F43">
      <w:pPr>
        <w:pStyle w:val="Author-eListParagraph"/>
        <w:numPr>
          <w:ilvl w:val="1"/>
          <w:numId w:val="221"/>
        </w:numPr>
      </w:pPr>
      <w:r>
        <w:t xml:space="preserve">Hauteur d’assise : ≤ </w:t>
      </w:r>
      <w:r>
        <w:rPr>
          <w:rStyle w:val="optioncarChar"/>
        </w:rPr>
        <w:t>15 / 20 / 30 / ***</w:t>
      </w:r>
      <w:r>
        <w:t xml:space="preserve"> cm</w:t>
      </w:r>
    </w:p>
    <w:p w14:paraId="509F1553" w14:textId="77777777" w:rsidR="00DF410E" w:rsidRDefault="00CE7F43">
      <w:pPr>
        <w:pStyle w:val="Author-eListParagraph"/>
        <w:numPr>
          <w:ilvl w:val="1"/>
          <w:numId w:val="221"/>
        </w:numPr>
      </w:pPr>
      <w:r>
        <w:t xml:space="preserve">Profondeur d’assise : ≤ </w:t>
      </w:r>
      <w:r>
        <w:rPr>
          <w:rStyle w:val="optioncarChar"/>
        </w:rPr>
        <w:t>30 / 40 / 50 / ***</w:t>
      </w:r>
      <w:r>
        <w:t xml:space="preserve"> cm</w:t>
      </w:r>
    </w:p>
    <w:p w14:paraId="0201F124" w14:textId="77777777" w:rsidR="00DF410E" w:rsidRDefault="00CE7F43">
      <w:pPr>
        <w:pStyle w:val="Author-eListParagraph"/>
        <w:numPr>
          <w:ilvl w:val="1"/>
          <w:numId w:val="221"/>
        </w:numPr>
      </w:pPr>
      <w:r>
        <w:t xml:space="preserve">Profondeur de queue : ≤ </w:t>
      </w:r>
      <w:r>
        <w:rPr>
          <w:rStyle w:val="optioncarChar"/>
        </w:rPr>
        <w:t>9 / 10/ 12 / 15 / 20 / ***</w:t>
      </w:r>
      <w:r>
        <w:t xml:space="preserve"> cm</w:t>
      </w:r>
    </w:p>
    <w:p w14:paraId="1F8C9958" w14:textId="77777777" w:rsidR="00DF410E" w:rsidRDefault="00CE7F43">
      <w:pPr>
        <w:pStyle w:val="Author-eListParagraph"/>
        <w:numPr>
          <w:ilvl w:val="0"/>
          <w:numId w:val="220"/>
        </w:numPr>
      </w:pPr>
      <w:r>
        <w:t xml:space="preserve">Gamme des teintes : </w:t>
      </w:r>
      <w:r>
        <w:rPr>
          <w:rStyle w:val="optioncarChar"/>
        </w:rPr>
        <w:t>gris, gris bleu, gris vert, rouge / jaune - brun / jaune - ocre / rosé / tendance gris / mélangés gris-bleu, bleu-jaune, jaune-rouille, rouge grenat / ***</w:t>
      </w:r>
    </w:p>
    <w:p w14:paraId="6FE37F56" w14:textId="77777777" w:rsidR="00DF410E" w:rsidRDefault="00CE7F43">
      <w:pPr>
        <w:pStyle w:val="Author-eListParagraph"/>
        <w:numPr>
          <w:ilvl w:val="0"/>
          <w:numId w:val="220"/>
        </w:numPr>
      </w:pPr>
      <w:r>
        <w:t>Finition des pierres :</w:t>
      </w:r>
      <w:r>
        <w:br/>
        <w:t xml:space="preserve">En fonction des critères technique indiqués ci-avant, les moellons sont : </w:t>
      </w:r>
      <w:r>
        <w:rPr>
          <w:rStyle w:val="optioncarChar"/>
        </w:rPr>
        <w:t>taillés d’équerre / clivés et retaillés manuellement / débrutis au gros marteau, avec tolérances dans le parallélisme des arêtes / de format « tout venant » / ***</w:t>
      </w:r>
    </w:p>
    <w:p w14:paraId="05990A32" w14:textId="77777777" w:rsidR="00DF410E" w:rsidRDefault="00CE7F43">
      <w:pPr>
        <w:jc w:val="both"/>
      </w:pPr>
      <w:r>
        <w:t>Remarque : les pierres présentent naturellement une variabilité de teinte et d’aspect.</w:t>
      </w:r>
    </w:p>
    <w:p w14:paraId="5B28CEB1" w14:textId="77777777" w:rsidR="00DF410E" w:rsidRDefault="00CE7F43">
      <w:pPr>
        <w:jc w:val="both"/>
      </w:pPr>
      <w:r>
        <w:rPr>
          <w:b/>
        </w:rPr>
        <w:t>Rejointoiement :</w:t>
      </w:r>
    </w:p>
    <w:p w14:paraId="478E54C9" w14:textId="77777777" w:rsidR="00DF410E" w:rsidRDefault="00CE7F43">
      <w:pPr>
        <w:jc w:val="both"/>
      </w:pPr>
      <w:r>
        <w:t xml:space="preserve">Types de joint : </w:t>
      </w:r>
      <w:r>
        <w:rPr>
          <w:rStyle w:val="optioncarChar"/>
        </w:rPr>
        <w:t>plat à fleur de parement</w:t>
      </w:r>
      <w:r>
        <w:t xml:space="preserve"> (par défaut)</w:t>
      </w:r>
      <w:r>
        <w:rPr>
          <w:rStyle w:val="optioncarChar"/>
        </w:rPr>
        <w:t xml:space="preserve"> / plat en refend ou en retrait / ***</w:t>
      </w:r>
    </w:p>
    <w:p w14:paraId="3A577FDB" w14:textId="77777777" w:rsidR="00DF410E" w:rsidRDefault="00CE7F43">
      <w:pPr>
        <w:jc w:val="both"/>
      </w:pPr>
      <w:r>
        <w:t xml:space="preserve">Type de finition : </w:t>
      </w:r>
      <w:r>
        <w:rPr>
          <w:rStyle w:val="optioncarChar"/>
        </w:rPr>
        <w:t>lissée</w:t>
      </w:r>
      <w:r>
        <w:t xml:space="preserve"> (par défaut)</w:t>
      </w:r>
      <w:r>
        <w:rPr>
          <w:rStyle w:val="optioncarChar"/>
        </w:rPr>
        <w:t xml:space="preserve"> / brossée / ***</w:t>
      </w:r>
    </w:p>
    <w:p w14:paraId="49D0D06C" w14:textId="77777777" w:rsidR="00DF410E" w:rsidRDefault="00CE7F43">
      <w:pPr>
        <w:pStyle w:val="pheading"/>
      </w:pPr>
      <w:r>
        <w:t>EXÉCUTION / MISE EN ŒUVRE</w:t>
      </w:r>
    </w:p>
    <w:p w14:paraId="6AD88D3C" w14:textId="77777777" w:rsidR="00DF410E" w:rsidRDefault="00CE7F43">
      <w:pPr>
        <w:pStyle w:val="pheading"/>
      </w:pPr>
      <w:r>
        <w:t>- Prescriptions générales</w:t>
      </w:r>
    </w:p>
    <w:p w14:paraId="10AF1403" w14:textId="77777777" w:rsidR="00DF410E" w:rsidRDefault="00CE7F43">
      <w:pPr>
        <w:jc w:val="both"/>
      </w:pPr>
      <w:r>
        <w:rPr>
          <w:b/>
        </w:rPr>
        <w:t>Travail de la pierre / Pose :</w:t>
      </w:r>
    </w:p>
    <w:p w14:paraId="279F6912" w14:textId="77777777" w:rsidR="00DF410E" w:rsidRDefault="00CE7F43">
      <w:pPr>
        <w:jc w:val="both"/>
      </w:pPr>
      <w:r>
        <w:t>Les maçonneries sont exécutées d'aplomb, d'équerre et de la façon la plus plane possible.</w:t>
      </w:r>
    </w:p>
    <w:p w14:paraId="298E90F0" w14:textId="77777777" w:rsidR="00DF410E" w:rsidRDefault="00CE7F43">
      <w:pPr>
        <w:jc w:val="both"/>
      </w:pPr>
      <w:r>
        <w:t>Les faces de parement présentent des arêtes nettes, sans épaufrures ou écornures.</w:t>
      </w:r>
    </w:p>
    <w:p w14:paraId="5D5AFFE8" w14:textId="77777777" w:rsidR="00DF410E" w:rsidRDefault="00CE7F43">
      <w:pPr>
        <w:jc w:val="both"/>
      </w:pPr>
      <w:r>
        <w:t xml:space="preserve">Le parement des moellons ne présente aucune rugosité de plus de </w:t>
      </w:r>
      <w:r>
        <w:rPr>
          <w:rStyle w:val="optioncarChar"/>
        </w:rPr>
        <w:t xml:space="preserve">2 </w:t>
      </w:r>
      <w:r>
        <w:t>(par défaut)</w:t>
      </w:r>
      <w:r>
        <w:rPr>
          <w:rStyle w:val="optioncarChar"/>
        </w:rPr>
        <w:t xml:space="preserve"> / 3 / ***</w:t>
      </w:r>
      <w:r>
        <w:t xml:space="preserve"> cm en creux ou en saillie par rapport au plan passant par les arêtes. Les aspérités plus fortes sont rabattues.</w:t>
      </w:r>
    </w:p>
    <w:p w14:paraId="07185461" w14:textId="77777777" w:rsidR="00DF410E" w:rsidRDefault="00CE7F43">
      <w:pPr>
        <w:jc w:val="both"/>
      </w:pPr>
      <w:r>
        <w:t>Les moellons sont posés à plein bain de mortier.</w:t>
      </w:r>
    </w:p>
    <w:p w14:paraId="4B69D2B2" w14:textId="77777777" w:rsidR="00DF410E" w:rsidRDefault="00CE7F43">
      <w:pPr>
        <w:jc w:val="both"/>
      </w:pPr>
      <w:r>
        <w:t xml:space="preserve">La mise en œuvre se fait : </w:t>
      </w:r>
      <w:r>
        <w:rPr>
          <w:rStyle w:val="optioncarChar"/>
        </w:rPr>
        <w:t xml:space="preserve">en lit de carrière </w:t>
      </w:r>
      <w:r>
        <w:t>(par défaut)</w:t>
      </w:r>
      <w:r>
        <w:rPr>
          <w:rStyle w:val="optioncarChar"/>
        </w:rPr>
        <w:t xml:space="preserve"> / ***</w:t>
      </w:r>
    </w:p>
    <w:p w14:paraId="35C4DF1D" w14:textId="77777777" w:rsidR="00DF410E" w:rsidRDefault="00CE7F43">
      <w:pPr>
        <w:jc w:val="both"/>
      </w:pPr>
      <w:r>
        <w:t>Les faces de pose et des joints sont bien lissées dans le plan du parement. </w:t>
      </w:r>
    </w:p>
    <w:p w14:paraId="5CB03D51" w14:textId="77777777" w:rsidR="00DF410E" w:rsidRDefault="00CE7F43">
      <w:pPr>
        <w:jc w:val="both"/>
      </w:pPr>
      <w:r>
        <w:rPr>
          <w:b/>
        </w:rPr>
        <w:t>Mode de mise en œuvre :</w:t>
      </w:r>
    </w:p>
    <w:p w14:paraId="702D27D6" w14:textId="77777777" w:rsidR="00DF410E" w:rsidRDefault="00CE7F43">
      <w:pPr>
        <w:jc w:val="both"/>
      </w:pPr>
      <w:r>
        <w:t xml:space="preserve">En fonction notamment des critères techniques indiqués ci-avant, les moellons sont montés par assises réglées : </w:t>
      </w:r>
      <w:r>
        <w:rPr>
          <w:rStyle w:val="optioncarChar"/>
        </w:rPr>
        <w:t>non (concerne les moellons non équarris et non épincés ) / oui (concerne les moellons équarris et épincés) / ***</w:t>
      </w:r>
    </w:p>
    <w:p w14:paraId="0F5E2DAA" w14:textId="77777777" w:rsidR="00DF410E" w:rsidRDefault="00CE7F43">
      <w:pPr>
        <w:jc w:val="both"/>
      </w:pPr>
      <w:r>
        <w:rPr>
          <w:b/>
        </w:rPr>
        <w:t>(soit)</w:t>
      </w:r>
    </w:p>
    <w:p w14:paraId="2B0A7C0B" w14:textId="77777777" w:rsidR="00DF410E" w:rsidRDefault="00CE7F43">
      <w:pPr>
        <w:jc w:val="both"/>
      </w:pPr>
      <w:r>
        <w:rPr>
          <w:rStyle w:val="soitChar"/>
          <w:u w:val="single"/>
        </w:rPr>
        <w:t>Non :</w:t>
      </w:r>
    </w:p>
    <w:p w14:paraId="4C458F0E" w14:textId="77777777" w:rsidR="00DF410E" w:rsidRDefault="00CE7F43">
      <w:pPr>
        <w:jc w:val="both"/>
      </w:pPr>
      <w:r>
        <w:rPr>
          <w:rStyle w:val="soitChar"/>
        </w:rPr>
        <w:t>La maçonnerie est montée sans recherche d'appareillage ni souci d'une rectitude et d'une continuité parfaites des lits.</w:t>
      </w:r>
    </w:p>
    <w:p w14:paraId="238DFCDB" w14:textId="77777777" w:rsidR="00DF410E" w:rsidRDefault="00CE7F43">
      <w:pPr>
        <w:jc w:val="both"/>
      </w:pPr>
      <w:r>
        <w:rPr>
          <w:rStyle w:val="soitChar"/>
        </w:rPr>
        <w:t xml:space="preserve"> Les joints verticaux sont décalés autant qu'il est possible et en tout cas ne se prolongent jamais au-delà de deux hauteurs de moellons.</w:t>
      </w:r>
    </w:p>
    <w:p w14:paraId="192A1F33" w14:textId="77777777" w:rsidR="00DF410E" w:rsidRDefault="00CE7F43">
      <w:pPr>
        <w:jc w:val="both"/>
      </w:pPr>
      <w:r>
        <w:rPr>
          <w:rStyle w:val="soitChar"/>
        </w:rPr>
        <w:t xml:space="preserve"> L'épaisseur des lits et des joints ne dépasse pas </w:t>
      </w:r>
      <w:r>
        <w:rPr>
          <w:rStyle w:val="optioncarChar"/>
        </w:rPr>
        <w:t>2 / 3</w:t>
      </w:r>
      <w:r>
        <w:t xml:space="preserve"> (par défaut) </w:t>
      </w:r>
      <w:r>
        <w:rPr>
          <w:rStyle w:val="optioncarChar"/>
        </w:rPr>
        <w:t>/ ***</w:t>
      </w:r>
      <w:r>
        <w:rPr>
          <w:rStyle w:val="soitChar"/>
        </w:rPr>
        <w:t xml:space="preserve"> cm.</w:t>
      </w:r>
    </w:p>
    <w:p w14:paraId="7FFB9F7F" w14:textId="77777777" w:rsidR="00DF410E" w:rsidRDefault="00CE7F43">
      <w:pPr>
        <w:jc w:val="both"/>
      </w:pPr>
      <w:r>
        <w:rPr>
          <w:rStyle w:val="soitChar"/>
        </w:rPr>
        <w:t xml:space="preserve">La maçonnerie </w:t>
      </w:r>
      <w:r>
        <w:rPr>
          <w:rStyle w:val="optioncarChar"/>
        </w:rPr>
        <w:t>est / n’est pas</w:t>
      </w:r>
      <w:r>
        <w:rPr>
          <w:rStyle w:val="soitChar"/>
        </w:rPr>
        <w:t xml:space="preserve"> montée par assises sensiblement horizontales.</w:t>
      </w:r>
    </w:p>
    <w:p w14:paraId="7322BF46" w14:textId="77777777" w:rsidR="00DF410E" w:rsidRDefault="00CE7F43">
      <w:pPr>
        <w:jc w:val="both"/>
      </w:pPr>
      <w:r>
        <w:rPr>
          <w:b/>
        </w:rPr>
        <w:t>(soit)</w:t>
      </w:r>
    </w:p>
    <w:p w14:paraId="1710CF40" w14:textId="77777777" w:rsidR="00DF410E" w:rsidRDefault="00CE7F43">
      <w:pPr>
        <w:jc w:val="both"/>
      </w:pPr>
      <w:r>
        <w:rPr>
          <w:rStyle w:val="soitChar"/>
          <w:u w:val="single"/>
        </w:rPr>
        <w:t>Oui :</w:t>
      </w:r>
    </w:p>
    <w:p w14:paraId="7AEB9699" w14:textId="77777777" w:rsidR="00DF410E" w:rsidRDefault="00CE7F43">
      <w:pPr>
        <w:jc w:val="both"/>
      </w:pPr>
      <w:r>
        <w:rPr>
          <w:rStyle w:val="soitChar"/>
        </w:rPr>
        <w:t xml:space="preserve">Les ouvrages sont érigés selon un dessin d'appareil : </w:t>
      </w:r>
      <w:r>
        <w:rPr>
          <w:rStyle w:val="optioncarChar"/>
        </w:rPr>
        <w:t xml:space="preserve">soumis à la direction des travaux avant exécution, par l’entrepreneur </w:t>
      </w:r>
      <w:r>
        <w:t xml:space="preserve">(par défaut) </w:t>
      </w:r>
      <w:r>
        <w:rPr>
          <w:rStyle w:val="optioncarChar"/>
        </w:rPr>
        <w:t>/ indiqué aux plans / ***</w:t>
      </w:r>
    </w:p>
    <w:p w14:paraId="3AFD6F4E" w14:textId="77777777" w:rsidR="00DF410E" w:rsidRDefault="00CE7F43">
      <w:pPr>
        <w:jc w:val="both"/>
      </w:pPr>
      <w:r>
        <w:rPr>
          <w:rStyle w:val="soitChar"/>
        </w:rPr>
        <w:t xml:space="preserve">Les moellons sont montés à assises : </w:t>
      </w:r>
      <w:r>
        <w:rPr>
          <w:rStyle w:val="optioncarChar"/>
        </w:rPr>
        <w:t>irrégulières / régulières</w:t>
      </w:r>
    </w:p>
    <w:p w14:paraId="27A3E9C4" w14:textId="77777777" w:rsidR="00DF410E" w:rsidRDefault="00CE7F43">
      <w:pPr>
        <w:ind w:left="567"/>
        <w:jc w:val="both"/>
      </w:pPr>
      <w:r>
        <w:rPr>
          <w:b/>
        </w:rPr>
        <w:t>(soit)</w:t>
      </w:r>
    </w:p>
    <w:p w14:paraId="564BC34B" w14:textId="77777777" w:rsidR="00DF410E" w:rsidRDefault="00CE7F43">
      <w:pPr>
        <w:ind w:left="567"/>
        <w:jc w:val="both"/>
      </w:pPr>
      <w:r>
        <w:rPr>
          <w:rStyle w:val="soitChar"/>
          <w:u w:val="single"/>
        </w:rPr>
        <w:t>Irrégulières :</w:t>
      </w:r>
    </w:p>
    <w:p w14:paraId="338FEBD7" w14:textId="77777777" w:rsidR="00DF410E" w:rsidRDefault="00CE7F43">
      <w:pPr>
        <w:ind w:left="567"/>
        <w:jc w:val="both"/>
      </w:pPr>
      <w:r>
        <w:rPr>
          <w:rStyle w:val="soitChar"/>
        </w:rPr>
        <w:t>La maçonnerie est conduite par assises horizontales réglées à joints décalés, la hauteur pouvant varier d'une assise à l'autre.</w:t>
      </w:r>
    </w:p>
    <w:p w14:paraId="3357578B" w14:textId="77777777" w:rsidR="00DF410E" w:rsidRDefault="00CE7F43">
      <w:pPr>
        <w:ind w:left="567"/>
        <w:jc w:val="both"/>
      </w:pPr>
      <w:r>
        <w:rPr>
          <w:rStyle w:val="soitChar"/>
        </w:rPr>
        <w:t xml:space="preserve"> Les joints sont aussi réguliers que possible.</w:t>
      </w:r>
    </w:p>
    <w:p w14:paraId="38C6516E" w14:textId="77777777" w:rsidR="00DF410E" w:rsidRDefault="00CE7F43">
      <w:pPr>
        <w:ind w:left="567"/>
        <w:jc w:val="both"/>
      </w:pPr>
      <w:r>
        <w:rPr>
          <w:rStyle w:val="soitChar"/>
        </w:rPr>
        <w:t xml:space="preserve"> Leur épaisseur ne dépasse généralement pas </w:t>
      </w:r>
      <w:r>
        <w:rPr>
          <w:rStyle w:val="optioncarChar"/>
        </w:rPr>
        <w:t>1 / 1,5 / 2</w:t>
      </w:r>
      <w:r>
        <w:t xml:space="preserve"> (par défaut)</w:t>
      </w:r>
      <w:r>
        <w:rPr>
          <w:rStyle w:val="optioncarChar"/>
        </w:rPr>
        <w:t xml:space="preserve"> / ***</w:t>
      </w:r>
      <w:r>
        <w:rPr>
          <w:rStyle w:val="soitChar"/>
        </w:rPr>
        <w:t xml:space="preserve"> cm.</w:t>
      </w:r>
    </w:p>
    <w:p w14:paraId="2B2EABF3" w14:textId="77777777" w:rsidR="00DF410E" w:rsidRDefault="00CE7F43">
      <w:pPr>
        <w:ind w:left="567"/>
        <w:jc w:val="both"/>
      </w:pPr>
      <w:r>
        <w:rPr>
          <w:rStyle w:val="soitChar"/>
        </w:rPr>
        <w:t xml:space="preserve"> Il peut être posé quelques moellons de la hauteur de deux assises, répartis irrégulièrement pour obtenir un effet décoratif.</w:t>
      </w:r>
    </w:p>
    <w:p w14:paraId="38874B97" w14:textId="77777777" w:rsidR="00DF410E" w:rsidRDefault="00CE7F43">
      <w:pPr>
        <w:ind w:left="567"/>
        <w:jc w:val="both"/>
      </w:pPr>
      <w:r>
        <w:rPr>
          <w:b/>
        </w:rPr>
        <w:t>(soit)</w:t>
      </w:r>
    </w:p>
    <w:p w14:paraId="396BB02E" w14:textId="77777777" w:rsidR="00DF410E" w:rsidRDefault="00CE7F43">
      <w:pPr>
        <w:ind w:left="567"/>
        <w:jc w:val="both"/>
      </w:pPr>
      <w:r>
        <w:rPr>
          <w:rStyle w:val="soitChar"/>
          <w:u w:val="single"/>
        </w:rPr>
        <w:t>Régulières :</w:t>
      </w:r>
    </w:p>
    <w:p w14:paraId="7352A3C2" w14:textId="77777777" w:rsidR="00DF410E" w:rsidRDefault="00CE7F43">
      <w:pPr>
        <w:ind w:left="567"/>
        <w:jc w:val="both"/>
      </w:pPr>
      <w:r>
        <w:rPr>
          <w:rStyle w:val="soitChar"/>
        </w:rPr>
        <w:t xml:space="preserve">La maçonnerie est conduite par assises horizontales de même hauteur réglées à joints décalés. </w:t>
      </w:r>
    </w:p>
    <w:p w14:paraId="44613B84" w14:textId="77777777" w:rsidR="00DF410E" w:rsidRDefault="00CE7F43">
      <w:pPr>
        <w:ind w:left="567"/>
        <w:jc w:val="both"/>
      </w:pPr>
      <w:r>
        <w:rPr>
          <w:rStyle w:val="soitChar"/>
        </w:rPr>
        <w:t xml:space="preserve"> Les joints sont aussi réguliers que possible.</w:t>
      </w:r>
    </w:p>
    <w:p w14:paraId="61352279" w14:textId="77777777" w:rsidR="00DF410E" w:rsidRDefault="00CE7F43">
      <w:pPr>
        <w:ind w:left="567"/>
        <w:jc w:val="both"/>
      </w:pPr>
      <w:r>
        <w:rPr>
          <w:rStyle w:val="soitChar"/>
        </w:rPr>
        <w:t xml:space="preserve"> Leur épaisseur ne dépasse généralement pas </w:t>
      </w:r>
      <w:r>
        <w:rPr>
          <w:rStyle w:val="optioncarChar"/>
        </w:rPr>
        <w:t xml:space="preserve">1,5 / 2 </w:t>
      </w:r>
      <w:r>
        <w:t>(par défaut)</w:t>
      </w:r>
      <w:r>
        <w:rPr>
          <w:rStyle w:val="optioncarChar"/>
        </w:rPr>
        <w:t xml:space="preserve"> / ***</w:t>
      </w:r>
      <w:r>
        <w:rPr>
          <w:rStyle w:val="soitChar"/>
        </w:rPr>
        <w:t xml:space="preserve"> cm.</w:t>
      </w:r>
    </w:p>
    <w:p w14:paraId="4E786EE5" w14:textId="77777777" w:rsidR="00DF410E" w:rsidRDefault="00CE7F43">
      <w:pPr>
        <w:jc w:val="both"/>
      </w:pPr>
      <w:r>
        <w:rPr>
          <w:b/>
        </w:rPr>
        <w:t>(soit)</w:t>
      </w:r>
    </w:p>
    <w:p w14:paraId="7D433974" w14:textId="77777777" w:rsidR="00DF410E" w:rsidRDefault="00CE7F43">
      <w:pPr>
        <w:jc w:val="both"/>
      </w:pPr>
      <w:r>
        <w:rPr>
          <w:rStyle w:val="optioncarChar"/>
        </w:rPr>
        <w:t>***</w:t>
      </w:r>
    </w:p>
    <w:p w14:paraId="1700176C" w14:textId="77777777" w:rsidR="00DF410E" w:rsidRDefault="00CE7F43">
      <w:pPr>
        <w:pStyle w:val="pheading"/>
      </w:pPr>
      <w:r>
        <w:t>DOCUMENTS DE RÉFÉRENCE COMPLÉMENTAIRES</w:t>
      </w:r>
    </w:p>
    <w:p w14:paraId="798F3C82" w14:textId="77777777" w:rsidR="00DF410E" w:rsidRDefault="00CE7F43">
      <w:pPr>
        <w:pStyle w:val="pheading"/>
      </w:pPr>
      <w:r>
        <w:t>- Matériau</w:t>
      </w:r>
    </w:p>
    <w:p w14:paraId="071142DD" w14:textId="77777777" w:rsidR="00DF410E" w:rsidRDefault="00CE7F43">
      <w:r>
        <w:t>[NIT 228, Pierres naturelles (NIT interactive et évolutive en remplacement de la NIT 205).]</w:t>
      </w:r>
    </w:p>
    <w:p w14:paraId="3C3EC0AC" w14:textId="77777777" w:rsidR="00DF410E" w:rsidRDefault="00CE7F43">
      <w:r>
        <w:t>[STS 22-1, Maçonnerie pour construction basse - Partie 1 : Matériaux]</w:t>
      </w:r>
    </w:p>
    <w:p w14:paraId="4E725CA7" w14:textId="77777777" w:rsidR="00DF410E" w:rsidRDefault="00CE7F43">
      <w:r>
        <w:t>[STS 22-2, Maçonnerie pour construction basse - Partie 2 : Stabilité]</w:t>
      </w:r>
    </w:p>
    <w:p w14:paraId="1459482A" w14:textId="77777777" w:rsidR="00DF410E" w:rsidRDefault="00CE7F43">
      <w:r>
        <w:t>[STS 22-3, Maçonnerie pour construction basse-Thermique, acoustique, feu et étanchéité à l'air]</w:t>
      </w:r>
    </w:p>
    <w:p w14:paraId="40323066" w14:textId="77777777" w:rsidR="00DF410E" w:rsidRDefault="00CE7F43">
      <w:r>
        <w:t>[NBN EN 771-6+A1, Spécification pour éléments de maçonnerie - Partie 6: Éléments de maçonnerie en pierre naturelle]</w:t>
      </w:r>
    </w:p>
    <w:p w14:paraId="60779B49" w14:textId="77777777" w:rsidR="00DF410E" w:rsidRDefault="00CE7F43">
      <w:r>
        <w:t>[NBN EN 998-2, Définitions et spécifications des mortiers pour maçonnerie - Partie 2: Mortiers de montage des éléments de maçonnerie]</w:t>
      </w:r>
    </w:p>
    <w:p w14:paraId="678D1E60" w14:textId="77777777" w:rsidR="00DF410E" w:rsidRDefault="00CE7F43">
      <w:r>
        <w:t>[NBN EN 12670:2019, Pierre naturelle – Terminologie]</w:t>
      </w:r>
    </w:p>
    <w:p w14:paraId="2BD3476E" w14:textId="77777777" w:rsidR="00DF410E" w:rsidRDefault="00CE7F43">
      <w:r>
        <w:t>[PTV 819-4, Prescriptions techniques pour classification des roches]</w:t>
      </w:r>
    </w:p>
    <w:p w14:paraId="636818C8" w14:textId="77777777" w:rsidR="00DF410E" w:rsidRDefault="00CE7F43">
      <w:r>
        <w:t>[NBN EN 1925:1999 , Méthodes d'essai pour pierres naturelles - Détermination du coefficient d'absorption d'eau par capillarité.]</w:t>
      </w:r>
      <w:r>
        <w:br/>
      </w:r>
      <w:r>
        <w:br/>
        <w:t>[NBN EN 1926, Méthodes d'essai des pierres naturelles - Détermination de la résistance en compression uniaxiale]</w:t>
      </w:r>
      <w:r>
        <w:br/>
      </w:r>
      <w:r>
        <w:br/>
        <w:t>[NBN EN 1936, Méthodes d'essai des pierres naturelles - Détermination des masses volumiques réelle et apparente et des porosités ouverte et totale]</w:t>
      </w:r>
      <w:r>
        <w:br/>
      </w:r>
      <w:r>
        <w:br/>
        <w:t>[NBN EN 12371, Méthodes d’essai pour pierres naturelles - Détermination de la résistance au gel]</w:t>
      </w:r>
      <w:r>
        <w:br/>
      </w:r>
      <w:r>
        <w:br/>
        <w:t>[NBN EN 12372, Méthodes d'essai pour pierres naturelles - Détermination de la résistance à la flexion sous charge centrée]</w:t>
      </w:r>
      <w:r>
        <w:br/>
      </w:r>
      <w:r>
        <w:br/>
        <w:t>[NBN EN 12407:2019, Méthodes d'essai pour pierres naturelles. Examen pétrographique]</w:t>
      </w:r>
      <w:r>
        <w:br/>
      </w:r>
      <w:r>
        <w:br/>
        <w:t>[NBN EN 12440, Pierres naturelles - Critères de dénomination]</w:t>
      </w:r>
      <w:r>
        <w:br/>
      </w:r>
      <w:r>
        <w:br/>
        <w:t>[NBN EN 13364, Méthodes d'essai pour pierre naturelle - Détermination de l'effort de rupture au niveau du goujon de l'agrafe ]</w:t>
      </w:r>
      <w:r>
        <w:br/>
      </w:r>
      <w:r>
        <w:br/>
        <w:t>[NBN EN 13755, Méthodes d'essai pour pierres naturelles - Détermination de l'absorption d'eau à la pression atmosphérique]</w:t>
      </w:r>
      <w:r>
        <w:br/>
      </w:r>
      <w:r>
        <w:br/>
        <w:t>[NBN EN 14146:2004 , Méthodes d'essai pour pierres naturelles. Examen pétrographique]</w:t>
      </w:r>
      <w:r>
        <w:br/>
      </w:r>
      <w:r>
        <w:br/>
        <w:t>[NBN EN 14157, Méthodes d'essai pour pierres naturelles - Détermination de la résistance à l'usure]</w:t>
      </w:r>
      <w:r>
        <w:br/>
      </w:r>
      <w:r>
        <w:br/>
        <w:t>[NBN EN 14158:2004, Méthodes d'essai pour pierres naturelles - Détermination de l'énergie de rupture]</w:t>
      </w:r>
      <w:r>
        <w:br/>
      </w:r>
      <w:r>
        <w:br/>
        <w:t>[NBN EN 14579:2004, Méthodes d'essai pour pierres naturelles - Détermination de la vitesse et propagation du son]</w:t>
      </w:r>
      <w:r>
        <w:br/>
      </w:r>
      <w:r>
        <w:br/>
        <w:t>[NBN EN 14581:2005, Méthodes d'essai pour pierres naturelles - Détermination du coefficient linéaire de dilatation thermique]</w:t>
      </w:r>
      <w:r>
        <w:br/>
      </w:r>
      <w:r>
        <w:br/>
        <w:t>[NBN EN 16140, Méthodes d'essai pour pierres naturelles - Détermination de la sensibilité aux changements d'aspect induits par des cycles thermiques]</w:t>
      </w:r>
      <w:r>
        <w:br/>
      </w:r>
      <w:r>
        <w:br/>
        <w:t>[NBN EN 14066, Méthodes d'essai pour les pierres naturelles - Détermination de la résistance au vieillissement accéléré par choc thermique]</w:t>
      </w:r>
      <w:r>
        <w:br/>
      </w:r>
      <w:r>
        <w:br/>
        <w:t>[NBN EN 14231:2003, Méthodes d'essai pour les pierres naturelles - Détermination de la résistance à la glissance au moyen du pendule de frottement]</w:t>
      </w:r>
      <w:r>
        <w:br/>
      </w:r>
      <w:r>
        <w:br/>
        <w:t>[NBN EN 16301:2021, Méthodes d'essai pour les pierres naturelles - Détermination de la sensibilité au tachage accidentel]</w:t>
      </w:r>
      <w:r>
        <w:br/>
      </w:r>
      <w:r>
        <w:br/>
        <w:t>[NBN EN 16306, Méthodes d'essai pour pierres naturelles - Détermination de la résistance du marbre aux cycles thermiques et d'humidité]</w:t>
      </w:r>
    </w:p>
    <w:p w14:paraId="2B8B97FC" w14:textId="77777777" w:rsidR="00DF410E" w:rsidRDefault="00CE7F43">
      <w:pPr>
        <w:pStyle w:val="pheading"/>
      </w:pPr>
      <w:r>
        <w:t>- Exécution</w:t>
      </w:r>
    </w:p>
    <w:p w14:paraId="25526488" w14:textId="77777777" w:rsidR="00DF410E" w:rsidRDefault="00CE7F43">
      <w:r>
        <w:t>[NIT 271, Exécution des maçonneries]</w:t>
      </w:r>
    </w:p>
    <w:p w14:paraId="64E781E8" w14:textId="77777777" w:rsidR="00DF410E" w:rsidRDefault="00CE7F43">
      <w:r>
        <w:t>[STS 22-4, Maçonnerie pour construction basse - Conception et prescriptions pour l’exécution]</w:t>
      </w:r>
    </w:p>
    <w:p w14:paraId="206F8C95" w14:textId="77777777" w:rsidR="00DF410E" w:rsidRDefault="00CE7F43">
      <w:r>
        <w:t>Chapitre J du [CCT Qualiroutes, Cahier des charges type Qualiroutes]</w:t>
      </w:r>
    </w:p>
    <w:p w14:paraId="7270E7CC" w14:textId="77777777" w:rsidR="00DF410E" w:rsidRDefault="00CE7F43">
      <w:pPr>
        <w:pStyle w:val="pheading"/>
      </w:pPr>
      <w:r>
        <w:t>MESURAGE</w:t>
      </w:r>
    </w:p>
    <w:p w14:paraId="70797BBC" w14:textId="77777777" w:rsidR="00DF410E" w:rsidRDefault="00CE7F43">
      <w:pPr>
        <w:pStyle w:val="pheading"/>
      </w:pPr>
      <w:r>
        <w:t>- unité de mesure:</w:t>
      </w:r>
    </w:p>
    <w:p w14:paraId="7F8CDA99" w14:textId="77777777" w:rsidR="00DF410E" w:rsidRDefault="00CE7F43">
      <w:r>
        <w:rPr>
          <w:rStyle w:val="optioncarChar"/>
        </w:rPr>
        <w:t xml:space="preserve">m² </w:t>
      </w:r>
      <w:r>
        <w:t xml:space="preserve">(par défaut) </w:t>
      </w:r>
      <w:r>
        <w:rPr>
          <w:rStyle w:val="optioncarChar"/>
        </w:rPr>
        <w:t>/ m³</w:t>
      </w:r>
    </w:p>
    <w:p w14:paraId="59AB10CC" w14:textId="77777777" w:rsidR="00DF410E" w:rsidRDefault="00CE7F43">
      <w:r>
        <w:rPr>
          <w:b/>
        </w:rPr>
        <w:t>(soit par défaut)</w:t>
      </w:r>
      <w:r>
        <w:br/>
      </w:r>
      <w:r>
        <w:rPr>
          <w:rStyle w:val="soitChar"/>
        </w:rPr>
        <w:t>1.  m²</w:t>
      </w:r>
      <w:r>
        <w:br/>
      </w:r>
      <w:r>
        <w:rPr>
          <w:b/>
        </w:rPr>
        <w:t>(soit)</w:t>
      </w:r>
      <w:r>
        <w:br/>
      </w:r>
      <w:r>
        <w:rPr>
          <w:rStyle w:val="soitChar"/>
        </w:rPr>
        <w:t>2.  m³</w:t>
      </w:r>
    </w:p>
    <w:p w14:paraId="12B04DA2" w14:textId="77777777" w:rsidR="00DF410E" w:rsidRDefault="00CE7F43">
      <w:pPr>
        <w:pStyle w:val="pheading"/>
      </w:pPr>
      <w:r>
        <w:t>- code de mesurage:</w:t>
      </w:r>
    </w:p>
    <w:p w14:paraId="109F0C6E" w14:textId="77777777" w:rsidR="00DF410E" w:rsidRDefault="00CE7F43">
      <w:pPr>
        <w:jc w:val="both"/>
      </w:pPr>
      <w:r>
        <w:rPr>
          <w:rStyle w:val="optioncarChar"/>
        </w:rPr>
        <w:t xml:space="preserve">Surface nette </w:t>
      </w:r>
      <w:r>
        <w:t xml:space="preserve">(par défaut) </w:t>
      </w:r>
      <w:r>
        <w:rPr>
          <w:rStyle w:val="optioncarChar"/>
        </w:rPr>
        <w:t>/ Volume net</w:t>
      </w:r>
    </w:p>
    <w:p w14:paraId="40ACA3DD" w14:textId="77777777" w:rsidR="00DF410E" w:rsidRDefault="00CE7F43">
      <w:pPr>
        <w:jc w:val="both"/>
      </w:pPr>
      <w:r>
        <w:rPr>
          <w:b/>
        </w:rPr>
        <w:t>(soit par défaut)</w:t>
      </w:r>
    </w:p>
    <w:p w14:paraId="3A172F33" w14:textId="77777777" w:rsidR="00DF410E" w:rsidRDefault="00CE7F43">
      <w:pPr>
        <w:jc w:val="both"/>
      </w:pPr>
      <w:r>
        <w:rPr>
          <w:rStyle w:val="soitChar"/>
        </w:rPr>
        <w:t xml:space="preserve">1. </w:t>
      </w:r>
      <w:r>
        <w:rPr>
          <w:rStyle w:val="soitChar"/>
          <w:u w:val="single"/>
        </w:rPr>
        <w:t>Surface nette :</w:t>
      </w:r>
    </w:p>
    <w:p w14:paraId="267A902B" w14:textId="77777777" w:rsidR="00DF410E" w:rsidRDefault="00CE7F43">
      <w:pPr>
        <w:jc w:val="both"/>
      </w:pPr>
      <w:r>
        <w:rPr>
          <w:rStyle w:val="soitChar"/>
        </w:rPr>
        <w:t>Mesurée selon sa forme géométrique dans l’axe de la maçonnerie de parement.</w:t>
      </w:r>
    </w:p>
    <w:p w14:paraId="46F996E4" w14:textId="77777777" w:rsidR="00DF410E" w:rsidRDefault="00CE7F43">
      <w:pPr>
        <w:jc w:val="both"/>
      </w:pPr>
      <w:r>
        <w:rPr>
          <w:rStyle w:val="soitChar"/>
        </w:rPr>
        <w:t xml:space="preserve"> Il n’est pas fait distinction entre les assises de chant, assises de panneresses, seuils, éventuels blocs d'angle, assises en maçonnerie décorative, etc.</w:t>
      </w:r>
    </w:p>
    <w:p w14:paraId="701E776D" w14:textId="77777777" w:rsidR="00DF410E" w:rsidRDefault="00CE7F43">
      <w:pPr>
        <w:jc w:val="both"/>
      </w:pPr>
      <w:r>
        <w:rPr>
          <w:rStyle w:val="soitChar"/>
        </w:rPr>
        <w:t>Les ébrasements des ouvertures et des baies de fenêtres ainsi que la face inférieure des linteaux ne sont comptés (en surface nette) que lorsque leur largeur est supérieure à celle des moellons de façade.</w:t>
      </w:r>
    </w:p>
    <w:p w14:paraId="5BD87F31" w14:textId="77777777" w:rsidR="00DF410E" w:rsidRDefault="00CE7F43">
      <w:pPr>
        <w:jc w:val="both"/>
      </w:pPr>
      <w:r>
        <w:rPr>
          <w:rStyle w:val="soitChar"/>
        </w:rPr>
        <w:t>La coulisse éventuelle n'est jamais prise en compte.</w:t>
      </w:r>
    </w:p>
    <w:p w14:paraId="1B94588A" w14:textId="77777777" w:rsidR="00DF410E" w:rsidRDefault="00CE7F43">
      <w:pPr>
        <w:jc w:val="both"/>
      </w:pPr>
      <w:r>
        <w:rPr>
          <w:rStyle w:val="soitChar"/>
        </w:rPr>
        <w:t>Les accessoires (crochets de maçonnerie, …) sont compris dans le prix.</w:t>
      </w:r>
    </w:p>
    <w:p w14:paraId="25156287" w14:textId="77777777" w:rsidR="00DF410E" w:rsidRDefault="00CE7F43">
      <w:pPr>
        <w:jc w:val="both"/>
      </w:pPr>
      <w:r>
        <w:rPr>
          <w:rStyle w:val="soitChar"/>
        </w:rPr>
        <w:t xml:space="preserve">La surface est éventuellement scindée dans différents postes selon : le type ; la nature des moellons (neufs et/ou recyclés et/ou de réemploi) ; l’épaisseur ; … </w:t>
      </w:r>
    </w:p>
    <w:p w14:paraId="407197F4" w14:textId="77777777" w:rsidR="00DF410E" w:rsidRDefault="00CE7F43">
      <w:pPr>
        <w:jc w:val="both"/>
      </w:pPr>
      <w:r>
        <w:rPr>
          <w:rStyle w:val="soitChar"/>
        </w:rPr>
        <w:t xml:space="preserve"> Distinction est faite des maçonneries réalisées à l’aide de pierres en provenance du chantier en question.</w:t>
      </w:r>
    </w:p>
    <w:p w14:paraId="60DF4D58" w14:textId="77777777" w:rsidR="00DF410E" w:rsidRDefault="00CE7F43">
      <w:pPr>
        <w:jc w:val="both"/>
      </w:pPr>
      <w:r>
        <w:rPr>
          <w:b/>
        </w:rPr>
        <w:t>(soit)</w:t>
      </w:r>
    </w:p>
    <w:p w14:paraId="71A723C6" w14:textId="77777777" w:rsidR="00DF410E" w:rsidRDefault="00CE7F43">
      <w:pPr>
        <w:jc w:val="both"/>
      </w:pPr>
      <w:r>
        <w:rPr>
          <w:rStyle w:val="soitChar"/>
        </w:rPr>
        <w:t xml:space="preserve">2. </w:t>
      </w:r>
      <w:r>
        <w:rPr>
          <w:rStyle w:val="soitChar"/>
          <w:u w:val="single"/>
        </w:rPr>
        <w:t>Volume net :</w:t>
      </w:r>
    </w:p>
    <w:p w14:paraId="341457F8" w14:textId="77777777" w:rsidR="00DF410E" w:rsidRDefault="00CE7F43">
      <w:pPr>
        <w:jc w:val="both"/>
      </w:pPr>
      <w:r>
        <w:rPr>
          <w:rStyle w:val="soitChar"/>
        </w:rPr>
        <w:t>Mesuré selon sa forme géométrique.</w:t>
      </w:r>
    </w:p>
    <w:p w14:paraId="0B7F9472" w14:textId="77777777" w:rsidR="00DF410E" w:rsidRDefault="00CE7F43">
      <w:pPr>
        <w:jc w:val="both"/>
      </w:pPr>
      <w:r>
        <w:rPr>
          <w:rStyle w:val="soitChar"/>
        </w:rPr>
        <w:t>La longueur des murs est mesurée dans l'axe de l'élément.</w:t>
      </w:r>
    </w:p>
    <w:p w14:paraId="386E9A9A" w14:textId="77777777" w:rsidR="00DF410E" w:rsidRDefault="00CE7F43">
      <w:pPr>
        <w:jc w:val="both"/>
      </w:pPr>
      <w:r>
        <w:rPr>
          <w:rStyle w:val="soitChar"/>
        </w:rPr>
        <w:t xml:space="preserve"> A l’intersection de deux murs, seul le mur le plus épais est considéré.</w:t>
      </w:r>
    </w:p>
    <w:p w14:paraId="062DE0D6" w14:textId="77777777" w:rsidR="00DF410E" w:rsidRDefault="00CE7F43">
      <w:pPr>
        <w:jc w:val="both"/>
      </w:pPr>
      <w:r>
        <w:rPr>
          <w:rStyle w:val="soitChar"/>
        </w:rPr>
        <w:t xml:space="preserve"> Aucun volume n'est compté deux fois.</w:t>
      </w:r>
    </w:p>
    <w:p w14:paraId="291731E2" w14:textId="77777777" w:rsidR="00DF410E" w:rsidRDefault="00CE7F43">
      <w:pPr>
        <w:jc w:val="both"/>
      </w:pPr>
      <w:r>
        <w:rPr>
          <w:rStyle w:val="soitChar"/>
        </w:rPr>
        <w:t>Les ouvertures ou les éléments de construction intégrés dont l'aire est ˃ 0,50 m² sont déduits.</w:t>
      </w:r>
    </w:p>
    <w:p w14:paraId="79E17128" w14:textId="77777777" w:rsidR="00DF410E" w:rsidRDefault="00CE7F43">
      <w:pPr>
        <w:jc w:val="both"/>
      </w:pPr>
      <w:r>
        <w:rPr>
          <w:rStyle w:val="soitChar"/>
        </w:rPr>
        <w:t xml:space="preserve">Le volume est éventuellement scindé dans différents postes selon : le type , la nature des moellons (neufs et/ou recyclés et/ou de réemploi) , l’épaisseur ; … </w:t>
      </w:r>
    </w:p>
    <w:p w14:paraId="58BF055D" w14:textId="77777777" w:rsidR="00DF410E" w:rsidRDefault="00CE7F43">
      <w:pPr>
        <w:jc w:val="both"/>
      </w:pPr>
      <w:r>
        <w:rPr>
          <w:rStyle w:val="soitChar"/>
        </w:rPr>
        <w:t xml:space="preserve"> Distinction est faite des maçonneries réalisées à l’aide de pierres en provenance du chantier en question (réemploi).</w:t>
      </w:r>
    </w:p>
    <w:p w14:paraId="333DA81D" w14:textId="77777777" w:rsidR="00DF410E" w:rsidRDefault="00CE7F43">
      <w:pPr>
        <w:pStyle w:val="pheading"/>
      </w:pPr>
      <w:r>
        <w:t>- nature du marché:</w:t>
      </w:r>
    </w:p>
    <w:p w14:paraId="5F672684" w14:textId="77777777" w:rsidR="00DF410E" w:rsidRDefault="00CE7F43">
      <w:r>
        <w:rPr>
          <w:rStyle w:val="optioncarChar"/>
        </w:rPr>
        <w:t xml:space="preserve">QF </w:t>
      </w:r>
      <w:r>
        <w:t>(par défaut)</w:t>
      </w:r>
      <w:r>
        <w:rPr>
          <w:rStyle w:val="optioncarChar"/>
        </w:rPr>
        <w:t xml:space="preserve"> / QP</w:t>
      </w:r>
    </w:p>
    <w:p w14:paraId="133D88D2" w14:textId="77777777" w:rsidR="00DF410E" w:rsidRDefault="00CE7F43">
      <w:r>
        <w:rPr>
          <w:b/>
        </w:rPr>
        <w:t>(soit par défaut)</w:t>
      </w:r>
      <w:r>
        <w:br/>
      </w:r>
      <w:r>
        <w:rPr>
          <w:rStyle w:val="soitChar"/>
        </w:rPr>
        <w:t>1. 2. QF</w:t>
      </w:r>
      <w:r>
        <w:br/>
      </w:r>
      <w:r>
        <w:rPr>
          <w:b/>
        </w:rPr>
        <w:t>(soit)</w:t>
      </w:r>
      <w:r>
        <w:br/>
      </w:r>
      <w:r>
        <w:rPr>
          <w:rStyle w:val="soitChar"/>
        </w:rPr>
        <w:t>1. 2. QP</w:t>
      </w:r>
    </w:p>
    <w:p w14:paraId="3AB6A539" w14:textId="77777777" w:rsidR="00DF410E" w:rsidRDefault="00CE7F43">
      <w:pPr>
        <w:pStyle w:val="pheading"/>
      </w:pPr>
      <w:r>
        <w:t>AIDE</w:t>
      </w:r>
    </w:p>
    <w:p w14:paraId="0BED59BF" w14:textId="77777777" w:rsidR="00DF410E" w:rsidRDefault="00CE7F43">
      <w:pPr>
        <w:jc w:val="both"/>
      </w:pPr>
      <w:r>
        <w:t>L’épinçage consiste à rectifier les faces vues d’une pierre de façon à ce que leurs arêtes se situent dans un même plan.</w:t>
      </w:r>
    </w:p>
    <w:p w14:paraId="2B98A64A" w14:textId="77777777" w:rsidR="00DF410E" w:rsidRDefault="00CE7F43">
      <w:pPr>
        <w:jc w:val="both"/>
      </w:pPr>
      <w:r>
        <w:t>L’équarrissage consiste à rectifier une pierre de façon à donner aux faces vues une forme se rapprochant d’un rectangle.</w:t>
      </w:r>
    </w:p>
    <w:p w14:paraId="1A303DAD" w14:textId="77777777" w:rsidR="00DF410E" w:rsidRDefault="00CE7F43">
      <w:pPr>
        <w:pStyle w:val="Author-eSectionHeading6"/>
      </w:pPr>
      <w:bookmarkStart w:id="210" w:name="_Toc178837451"/>
      <w:r>
        <w:t>21.23.3d Maçonneries non portantes en moellons de quartzite CCTB 01.04</w:t>
      </w:r>
      <w:bookmarkEnd w:id="210"/>
    </w:p>
    <w:p w14:paraId="47BAD2B0" w14:textId="77777777" w:rsidR="00DF410E" w:rsidRDefault="00CE7F43">
      <w:pPr>
        <w:pStyle w:val="Author-eSectionHeading6"/>
      </w:pPr>
      <w:bookmarkStart w:id="211" w:name="_Toc178837452"/>
      <w:r>
        <w:t>21.23.3e Maçonneries non portantes en moellons de silex CCTB 01.04</w:t>
      </w:r>
      <w:bookmarkEnd w:id="211"/>
    </w:p>
    <w:p w14:paraId="653196A8" w14:textId="77777777" w:rsidR="00DF410E" w:rsidRDefault="00CE7F43">
      <w:pPr>
        <w:pStyle w:val="Author-eSectionHeading4"/>
      </w:pPr>
      <w:bookmarkStart w:id="212" w:name="_Toc178837453"/>
      <w:r>
        <w:t>21.24 Maçonneries non portantes en grands éléments CCTB 01.04</w:t>
      </w:r>
      <w:bookmarkEnd w:id="212"/>
    </w:p>
    <w:p w14:paraId="3A6D9A60" w14:textId="77777777" w:rsidR="00DF410E" w:rsidRDefault="00CE7F43">
      <w:pPr>
        <w:pStyle w:val="Author-eSectionHeading5"/>
      </w:pPr>
      <w:bookmarkStart w:id="213" w:name="459"/>
      <w:bookmarkStart w:id="214" w:name="_Toc178837454"/>
      <w:bookmarkEnd w:id="213"/>
      <w:r>
        <w:t>21.24.1 Maçonneries non portantes en éléments de grand format CCTB 01.04</w:t>
      </w:r>
      <w:bookmarkEnd w:id="214"/>
    </w:p>
    <w:p w14:paraId="19C82B92" w14:textId="77777777" w:rsidR="00DF410E" w:rsidRDefault="00CE7F43">
      <w:pPr>
        <w:pStyle w:val="Author-eSectionHeading6"/>
      </w:pPr>
      <w:bookmarkStart w:id="215" w:name="395"/>
      <w:bookmarkStart w:id="216" w:name="_Toc178837455"/>
      <w:bookmarkEnd w:id="215"/>
      <w:r>
        <w:t>21.24.1a Maçonneries non portantes en éléments de grand format de silico-calcaire CCTB 01.12</w:t>
      </w:r>
      <w:bookmarkEnd w:id="216"/>
    </w:p>
    <w:p w14:paraId="2F3C3996" w14:textId="77777777" w:rsidR="00DF410E" w:rsidRDefault="00CE7F43">
      <w:pPr>
        <w:pStyle w:val="pheading"/>
      </w:pPr>
      <w:r>
        <w:t>DESCRIPTION</w:t>
      </w:r>
    </w:p>
    <w:p w14:paraId="3479F627" w14:textId="77777777" w:rsidR="00DF410E" w:rsidRDefault="00CE7F43">
      <w:pPr>
        <w:pStyle w:val="pheading"/>
      </w:pPr>
      <w:r>
        <w:t>- Définition / Comprend</w:t>
      </w:r>
    </w:p>
    <w:p w14:paraId="45E4F4A8" w14:textId="77777777" w:rsidR="00DF410E" w:rsidRDefault="00CE7F43">
      <w:r>
        <w:t xml:space="preserve">Il s’agit de la fourniture et la pose de maçonneries non portantes en éléments de grand format de silico-calcaire. </w:t>
      </w:r>
      <w:r>
        <w:br/>
        <w:t xml:space="preserve">La portée des travaux est décrite dans l’article </w:t>
      </w:r>
      <w:hyperlink w:anchor="395" w:history="1">
        <w:r>
          <w:t>21.24.1 Maçonneries non portantes en éléments de grand format</w:t>
        </w:r>
      </w:hyperlink>
      <w:r>
        <w:t>.</w:t>
      </w:r>
      <w:r>
        <w:br/>
        <w:t>Les travaux comprennent également la fourniture et la pose des pièces d’angle, de terminaison et de rencontre.</w:t>
      </w:r>
    </w:p>
    <w:p w14:paraId="7B8ABD99" w14:textId="77777777" w:rsidR="00DF410E" w:rsidRDefault="00CE7F43">
      <w:pPr>
        <w:pStyle w:val="pheading"/>
      </w:pPr>
      <w:r>
        <w:t>- Localisation</w:t>
      </w:r>
    </w:p>
    <w:p w14:paraId="14989E5B" w14:textId="77777777" w:rsidR="00DF410E" w:rsidRDefault="00CE7F43">
      <w:r>
        <w:t xml:space="preserve">La pose est réalisée aux endroits suivants : </w:t>
      </w:r>
      <w:r>
        <w:rPr>
          <w:rStyle w:val="optioncarChar"/>
        </w:rPr>
        <w:t>***</w:t>
      </w:r>
      <w:r>
        <w:t>.</w:t>
      </w:r>
      <w:r>
        <w:br/>
        <w:t>Voir plans et métrés détaillés.</w:t>
      </w:r>
    </w:p>
    <w:p w14:paraId="3DFFC1A1" w14:textId="77777777" w:rsidR="00DF410E" w:rsidRDefault="00CE7F43">
      <w:pPr>
        <w:pStyle w:val="pheading"/>
      </w:pPr>
      <w:r>
        <w:t>MATÉRIAUX</w:t>
      </w:r>
    </w:p>
    <w:p w14:paraId="17B41CA6" w14:textId="77777777" w:rsidR="00DF410E" w:rsidRDefault="00CE7F43">
      <w:pPr>
        <w:pStyle w:val="pheading"/>
      </w:pPr>
      <w:r>
        <w:t>- Caractéristiques générales</w:t>
      </w:r>
    </w:p>
    <w:p w14:paraId="73BBDA01" w14:textId="77777777" w:rsidR="00DF410E" w:rsidRDefault="00CE7F43">
      <w:r>
        <w:t xml:space="preserve">Il s'agit des grands éléments de construction en silico-calcaire, qui répondent à la norme [NBN EN 771-2+A1] et au [PTV 21-003]. L'entrepreneur soumet un échantillon, la fiche technique et la déclaration des performances (DoP) du matériau pour approbation à l'auteur de projet et au maître de l’ouvrage. </w:t>
      </w:r>
      <w:r>
        <w:br/>
      </w:r>
      <w:r>
        <w:br/>
        <w:t>Spécifications</w:t>
      </w:r>
      <w:r>
        <w:br/>
        <w:t>En ce qui concerne la déclaration de la résistance à la compression, les grands éléments sont de catégorie I (la résistance à la compression est déclarée avec une fiabilité de 95%).</w:t>
      </w:r>
      <w:r>
        <w:br/>
      </w:r>
      <w:r>
        <w:br/>
        <w:t xml:space="preserve">Les éléments en silico-calcaire sont de classe d’usage : </w:t>
      </w:r>
      <w:r>
        <w:rPr>
          <w:rStyle w:val="optioncarChar"/>
        </w:rPr>
        <w:t>A1 / A2 / B1 / B2 / C / D</w:t>
      </w:r>
      <w:r>
        <w:br/>
      </w:r>
      <w:r>
        <w:br/>
        <w:t xml:space="preserve">La classe de qualité suivant [PTV 21-003] est : </w:t>
      </w:r>
      <w:r>
        <w:rPr>
          <w:rStyle w:val="optioncarChar"/>
        </w:rPr>
        <w:t>20/1,8 / ***</w:t>
      </w:r>
      <w:r>
        <w:br/>
      </w:r>
      <w:r>
        <w:br/>
        <w:t xml:space="preserve">La résistance en compression normalisée (fb)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 xml:space="preserve">1800 </w:t>
      </w:r>
      <w:r>
        <w:t>(par défaut) </w:t>
      </w:r>
      <w:r>
        <w:rPr>
          <w:rStyle w:val="optioncarChar"/>
        </w:rPr>
        <w:t>/ ***</w:t>
      </w:r>
      <w:r>
        <w:t xml:space="preserve"> kg/m³ (éléments pleins), selon la [NBN EN 771-2+A1]. </w:t>
      </w:r>
      <w:r>
        <w:br/>
      </w:r>
      <w:r>
        <w:br/>
        <w:t xml:space="preserve">La conductibilité thermique λD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w:t>
      </w:r>
      <w:r>
        <w:rPr>
          <w:rStyle w:val="optioncarChar"/>
        </w:rPr>
        <w:t>: format modulaire proposé par l'entrepreneur (par défaut) / (900 / *** x 600 / *** x 100 / 150 / 175 / 214 / *** ) mm</w:t>
      </w:r>
      <w:r>
        <w:br/>
      </w:r>
      <w:r>
        <w:br/>
        <w:t>Stabilité de forme : les éléments en silico-calcaire destinés à un usage extérieur ou en maçonnerie souterraine respectent le critère suivant en matière de comportement à l'humidité : retrait et gonflement hygrométriques ≤ 0.45 mm / m (cf. [PTV 21-003] annexe E).</w:t>
      </w:r>
      <w:r>
        <w:br/>
      </w:r>
      <w:r>
        <w:br/>
        <w:t xml:space="preserve">Absorption d’eau par immersion : code </w:t>
      </w:r>
      <w:r>
        <w:rPr>
          <w:rStyle w:val="optioncarChar"/>
        </w:rPr>
        <w:t>A1 (exposé décoratif) / A2 (exposé) </w:t>
      </w:r>
      <w:r>
        <w:t>(par défaut)</w:t>
      </w:r>
      <w:r>
        <w:br/>
      </w:r>
      <w:r>
        <w:br/>
        <w:t>Résistance au gel suivant les classes d’application selon [NBN EN 1996-1-2 ANB] et [NIT 271].</w:t>
      </w:r>
      <w:r>
        <w:br/>
      </w:r>
      <w:r>
        <w:br/>
        <w:t xml:space="preserve">Réaction au feu : </w:t>
      </w:r>
      <w:r>
        <w:rPr>
          <w:rStyle w:val="optioncarChar"/>
        </w:rPr>
        <w:t xml:space="preserve">A1 </w:t>
      </w:r>
      <w:r>
        <w:t>(par défaut) </w:t>
      </w:r>
      <w:r>
        <w:rPr>
          <w:rStyle w:val="optioncarChar"/>
        </w:rPr>
        <w:t>/ ***</w:t>
      </w:r>
      <w:r>
        <w:br/>
      </w:r>
      <w:r>
        <w:br/>
        <w:t>Critères de performances de la paroi</w:t>
      </w:r>
      <w:r>
        <w:b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w:t>
      </w:r>
      <w:r>
        <w:t>(par défaut)</w:t>
      </w:r>
      <w:r>
        <w:rPr>
          <w:rStyle w:val="optioncarChar"/>
        </w:rPr>
        <w:t xml:space="preserve"> / EI 60/ EI 120 / EI ***</w:t>
      </w:r>
      <w:r>
        <w:t xml:space="preserve"> selon les tableaux dans [NBN EN 1996-1-2 ANB].</w:t>
      </w:r>
    </w:p>
    <w:p w14:paraId="08A74011" w14:textId="77777777" w:rsidR="00DF410E" w:rsidRDefault="00CE7F43">
      <w:pPr>
        <w:pStyle w:val="pheading"/>
      </w:pPr>
      <w:r>
        <w:t>- Finitions</w:t>
      </w:r>
    </w:p>
    <w:p w14:paraId="13518EA4" w14:textId="77777777" w:rsidR="00DF410E" w:rsidRDefault="00DF410E"/>
    <w:p w14:paraId="3AD9E17A" w14:textId="77777777" w:rsidR="00DF410E" w:rsidRDefault="00CE7F43">
      <w:pPr>
        <w:pStyle w:val="Author-eListParagraph"/>
        <w:numPr>
          <w:ilvl w:val="0"/>
          <w:numId w:val="222"/>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53ABCC20" w14:textId="77777777" w:rsidR="00DF410E" w:rsidRDefault="00CE7F43">
      <w:pPr>
        <w:pStyle w:val="Author-eListParagraph"/>
        <w:numPr>
          <w:ilvl w:val="0"/>
          <w:numId w:val="222"/>
        </w:numPr>
      </w:pPr>
      <w:r>
        <w:t xml:space="preserve">Les murs suivants sont exécutés avec une face restant apparente : </w:t>
      </w:r>
      <w:r>
        <w:rPr>
          <w:rStyle w:val="optioncarChar"/>
        </w:rPr>
        <w:t>***</w:t>
      </w:r>
    </w:p>
    <w:p w14:paraId="00C2DA6B" w14:textId="77777777" w:rsidR="00DF410E" w:rsidRDefault="00CE7F43">
      <w:pPr>
        <w:pStyle w:val="Author-eListParagraph"/>
        <w:numPr>
          <w:ilvl w:val="0"/>
          <w:numId w:val="222"/>
        </w:numPr>
      </w:pPr>
      <w:r>
        <w:t xml:space="preserve">Les murs suivants sont exécutés avec deux faces restant apparentes : </w:t>
      </w:r>
      <w:r>
        <w:rPr>
          <w:rStyle w:val="optioncarChar"/>
        </w:rPr>
        <w:t>***</w:t>
      </w:r>
    </w:p>
    <w:p w14:paraId="4E41F8D6" w14:textId="77777777" w:rsidR="00DF410E" w:rsidRDefault="00CE7F43">
      <w:pPr>
        <w:pStyle w:val="pheading"/>
      </w:pPr>
      <w:r>
        <w:t>- Prescriptions complémentaires</w:t>
      </w:r>
    </w:p>
    <w:p w14:paraId="53F40BE6" w14:textId="77777777" w:rsidR="00DF410E" w:rsidRDefault="00CE7F43">
      <w:r>
        <w:t xml:space="preserve">On utilise des éléments à assemblage à rainure et languette à assembler par collage, longueur </w:t>
      </w:r>
      <w:r>
        <w:rPr>
          <w:rStyle w:val="optioncarChar"/>
        </w:rPr>
        <w:t>90 </w:t>
      </w:r>
      <w:r>
        <w:t>(par défaut)</w:t>
      </w:r>
      <w:r>
        <w:rPr>
          <w:rStyle w:val="optioncarChar"/>
        </w:rPr>
        <w:t xml:space="preserve"> / ***</w:t>
      </w:r>
      <w:r>
        <w:t xml:space="preserve"> cm hauteur </w:t>
      </w:r>
      <w:r>
        <w:rPr>
          <w:rStyle w:val="optioncarChar"/>
        </w:rPr>
        <w:t xml:space="preserve">60 </w:t>
      </w:r>
      <w:r>
        <w:t>(par défaut) </w:t>
      </w:r>
      <w:r>
        <w:rPr>
          <w:rStyle w:val="optioncarChar"/>
        </w:rPr>
        <w:t>/ ***</w:t>
      </w:r>
      <w:r>
        <w:t xml:space="preserve"> cm. Ils sont livrés sur le chantier prêts à poser, y compris les pièces d'ajustage (droites, obliques, …), selon le calepinage des murs préalablement approuvé. La mise en œuvre s'effectue selon les prescriptions du fabricant. Les murs qui se recoupent ne doivent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547959E9" w14:textId="77777777" w:rsidR="00DF410E" w:rsidRDefault="00CE7F43">
      <w:pPr>
        <w:pStyle w:val="pheading"/>
      </w:pPr>
      <w:r>
        <w:t>EXÉCUTION / MISE EN ŒUVRE</w:t>
      </w:r>
    </w:p>
    <w:p w14:paraId="4E7B13F0" w14:textId="77777777" w:rsidR="00DF410E" w:rsidRDefault="00CE7F43">
      <w:pPr>
        <w:pStyle w:val="pheading"/>
      </w:pPr>
      <w:r>
        <w:t>- Prescriptions générales</w:t>
      </w:r>
    </w:p>
    <w:p w14:paraId="62B8C549" w14:textId="77777777" w:rsidR="00DF410E" w:rsidRDefault="00CE7F43">
      <w:r>
        <w:t xml:space="preserve">Eléments en silico-calcaire à utiliser : </w:t>
      </w:r>
      <w:r>
        <w:rPr>
          <w:rStyle w:val="optioncarChar"/>
        </w:rPr>
        <w:t>U (maçonnerie non protégée) </w:t>
      </w:r>
      <w:r>
        <w:t>(par défaut)</w:t>
      </w:r>
      <w:r>
        <w:rPr>
          <w:rStyle w:val="optioncarChar"/>
        </w:rPr>
        <w:t xml:space="preserve"> / P (maçonnerie protégée)</w:t>
      </w:r>
      <w:r>
        <w:br/>
        <w:t xml:space="preserve">Conformément au mode de mise en œuvre, les grands éléments de construction en silico-calcaire sont collés à l’aide d’un mortier-colle selon les indications du fabricant des grands éléments et des notes de calcul du bureau d’études. </w:t>
      </w:r>
      <w:r>
        <w:br/>
        <w:t xml:space="preserve">Le mortier à coller (selon la norme [NBN EN 998-2] et le règlement d’application [TRA 651]) répond à la catégorie : </w:t>
      </w:r>
      <w:r>
        <w:rPr>
          <w:rStyle w:val="optioncarChar"/>
        </w:rPr>
        <w:t xml:space="preserve">M5 / M10 / M15 / M20 </w:t>
      </w:r>
      <w:r>
        <w:rPr>
          <w:rStyle w:val="optioncarChar"/>
          <w:color w:val="000000"/>
        </w:rPr>
        <w:t xml:space="preserve">﻿(par défaut) </w:t>
      </w:r>
      <w:r>
        <w:rPr>
          <w:rStyle w:val="optioncarChar"/>
        </w:rPr>
        <w:t>/ ***</w:t>
      </w:r>
      <w:r>
        <w:br/>
        <w:t xml:space="preserve">L'épaisseur des joints est d'au moins </w:t>
      </w:r>
      <w:r>
        <w:rPr>
          <w:rStyle w:val="optioncarChar"/>
        </w:rPr>
        <w:t>2 / 10</w:t>
      </w:r>
      <w:r>
        <w:t> (par défaut)</w:t>
      </w:r>
      <w:r>
        <w:rPr>
          <w:rStyle w:val="optioncarChar"/>
        </w:rPr>
        <w:t xml:space="preserve"> / ***</w:t>
      </w:r>
      <w:r>
        <w:t xml:space="preserve"> mm (tolérances suivant [NIT 208])</w:t>
      </w:r>
      <w:r>
        <w:br/>
      </w:r>
      <w:r>
        <w:br/>
        <w:t>Matériaux de liaison et d'ancrage :</w:t>
      </w:r>
      <w:r>
        <w:br/>
        <w:t xml:space="preserve">longueur nominale : </w:t>
      </w:r>
      <w:r>
        <w:rPr>
          <w:rStyle w:val="optioncarChar"/>
        </w:rPr>
        <w:t>***</w:t>
      </w:r>
      <w:r>
        <w:br/>
        <w:t>diamètre :</w:t>
      </w:r>
      <w:r>
        <w:rPr>
          <w:rStyle w:val="optioncarChar"/>
        </w:rPr>
        <w:t xml:space="preserve"> ***</w:t>
      </w:r>
      <w:r>
        <w:br/>
        <w:t xml:space="preserve">classe d’exposition : </w:t>
      </w:r>
      <w:r>
        <w:rPr>
          <w:rStyle w:val="optioncarChar"/>
        </w:rPr>
        <w:t>MX1 / MX2 / MX3 / MX4 / MX5</w:t>
      </w:r>
      <w:r>
        <w:br/>
        <w:t>matériau :</w:t>
      </w:r>
      <w:r>
        <w:rPr>
          <w:rStyle w:val="optioncarChar"/>
        </w:rPr>
        <w:t xml:space="preserve"> 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p>
    <w:p w14:paraId="65757F52" w14:textId="77777777" w:rsidR="00DF410E" w:rsidRDefault="00DF410E"/>
    <w:p w14:paraId="67A26C04" w14:textId="77777777" w:rsidR="00DF410E" w:rsidRDefault="00CE7F43">
      <w:r>
        <w:t> </w:t>
      </w:r>
    </w:p>
    <w:p w14:paraId="5D16BFA0" w14:textId="77777777" w:rsidR="00DF410E" w:rsidRDefault="00CE7F43">
      <w:pPr>
        <w:pStyle w:val="pheading"/>
      </w:pPr>
      <w:r>
        <w:t>- Notes d’exécution complémentaires</w:t>
      </w:r>
    </w:p>
    <w:p w14:paraId="4CC245B9" w14:textId="77777777" w:rsidR="00DF410E" w:rsidRDefault="00CE7F43">
      <w:r>
        <w:t xml:space="preserve">Pour les maçonneries destinées à rester apparentes, seuls des grands éléments non endommagés sont utilisés. </w:t>
      </w:r>
      <w:r>
        <w:br/>
        <w:t xml:space="preserve">Les segments de murs sont pourvus d'armatures horizontales selon l'article </w:t>
      </w:r>
      <w:hyperlink w:anchor="355" w:history="1">
        <w:r>
          <w:t>21.41.1 Armatures horizontales pour maçonneries</w:t>
        </w:r>
      </w:hyperlink>
      <w:r>
        <w:t>.</w:t>
      </w:r>
      <w:r>
        <w:br/>
        <w:t xml:space="preserve">Les segments de murs sont pourvus d'armatures verticales selon l'article </w:t>
      </w:r>
      <w:hyperlink w:anchor="356" w:history="1">
        <w:r>
          <w:t>21.41.2 Armatures verticales pour maçonneries</w:t>
        </w:r>
      </w:hyperlink>
      <w:hyperlink r:id="rId28" w:anchor="dv_0_843_0_0_0" w:history="1">
        <w:r>
          <w:t>.</w:t>
        </w:r>
      </w:hyperlink>
      <w:r>
        <w:br/>
        <w:t xml:space="preserve">Les maçonneries de caves en contact avec les terres sont rendues étanches selon la description au chapitre </w:t>
      </w:r>
      <w:hyperlink w:anchor="357" w:history="1">
        <w:r>
          <w:t>26.12 Traitements d'étanchéisation</w:t>
        </w:r>
      </w:hyperlink>
      <w:r>
        <w:t>.</w:t>
      </w:r>
      <w:r>
        <w:b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r>
        <w:br/>
        <w:t>Linteaux :</w:t>
      </w:r>
      <w:r>
        <w:rPr>
          <w:rStyle w:val="optioncarChar"/>
        </w:rPr>
        <w:t xml:space="preserve"> ***</w:t>
      </w:r>
      <w:r>
        <w:t xml:space="preserve"> conformément à l’article </w:t>
      </w:r>
      <w:hyperlink w:anchor="41" w:history="1">
        <w:r>
          <w:t>2 T2 Superstructures</w:t>
        </w:r>
      </w:hyperlink>
    </w:p>
    <w:p w14:paraId="53F9B9ED" w14:textId="77777777" w:rsidR="00DF410E" w:rsidRDefault="00CE7F43">
      <w:pPr>
        <w:pStyle w:val="pheading"/>
      </w:pPr>
      <w:r>
        <w:t>MESURAGE</w:t>
      </w:r>
    </w:p>
    <w:p w14:paraId="2E5E8C45" w14:textId="77777777" w:rsidR="00DF410E" w:rsidRDefault="00CE7F43">
      <w:pPr>
        <w:pStyle w:val="pheading"/>
      </w:pPr>
      <w:r>
        <w:t>- unité de mesure:</w:t>
      </w:r>
    </w:p>
    <w:p w14:paraId="7C37FE5E" w14:textId="77777777" w:rsidR="00DF410E" w:rsidRDefault="00CE7F43">
      <w:r>
        <w:rPr>
          <w:rStyle w:val="optioncarChar"/>
        </w:rPr>
        <w:t>m³ </w:t>
      </w:r>
      <w:r>
        <w:t>(par défaut)</w:t>
      </w:r>
      <w:r>
        <w:rPr>
          <w:rStyle w:val="optioncarChar"/>
        </w:rPr>
        <w:t> / m²</w:t>
      </w:r>
    </w:p>
    <w:p w14:paraId="0B264B0C" w14:textId="77777777" w:rsidR="00DF410E" w:rsidRDefault="00CE7F43">
      <w:r>
        <w:rPr>
          <w:b/>
        </w:rPr>
        <w:t>(soit par défaut)</w:t>
      </w:r>
    </w:p>
    <w:p w14:paraId="5719B83E" w14:textId="77777777" w:rsidR="00DF410E" w:rsidRDefault="00CE7F43">
      <w:r>
        <w:rPr>
          <w:rStyle w:val="soitChar"/>
        </w:rPr>
        <w:t>1. m³</w:t>
      </w:r>
    </w:p>
    <w:p w14:paraId="10BDF4CC" w14:textId="77777777" w:rsidR="00DF410E" w:rsidRDefault="00CE7F43">
      <w:r>
        <w:rPr>
          <w:b/>
        </w:rPr>
        <w:t>(soit)</w:t>
      </w:r>
    </w:p>
    <w:p w14:paraId="6264FA84" w14:textId="77777777" w:rsidR="00DF410E" w:rsidRDefault="00CE7F43">
      <w:r>
        <w:rPr>
          <w:rStyle w:val="soitChar"/>
        </w:rPr>
        <w:t>2. m²</w:t>
      </w:r>
    </w:p>
    <w:p w14:paraId="56EB93EF" w14:textId="77777777" w:rsidR="00DF410E" w:rsidRDefault="00CE7F43">
      <w:pPr>
        <w:pStyle w:val="pheading"/>
      </w:pPr>
      <w:r>
        <w:t>- code de mesurage:</w:t>
      </w:r>
    </w:p>
    <w:p w14:paraId="26972CF0"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0A3C95C"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76707D8C"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48D6DBA" w14:textId="77777777" w:rsidR="00DF410E" w:rsidRDefault="00CE7F43">
      <w:r>
        <w:rPr>
          <w:rStyle w:val="optioncarChar"/>
        </w:rPr>
        <w:t>Volume net </w:t>
      </w:r>
      <w:r>
        <w:t>(par défaut)</w:t>
      </w:r>
      <w:r>
        <w:rPr>
          <w:rStyle w:val="optioncarChar"/>
        </w:rPr>
        <w:t> / Surface nette</w:t>
      </w:r>
    </w:p>
    <w:p w14:paraId="50B75ACD" w14:textId="77777777" w:rsidR="00DF410E" w:rsidRDefault="00CE7F43">
      <w:r>
        <w:rPr>
          <w:b/>
        </w:rPr>
        <w:t>(soit par défaut)</w:t>
      </w:r>
    </w:p>
    <w:p w14:paraId="25234955"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5C11A12" w14:textId="77777777" w:rsidR="00DF410E" w:rsidRDefault="00CE7F43">
      <w:r>
        <w:rPr>
          <w:b/>
        </w:rPr>
        <w:t>(soit)</w:t>
      </w:r>
    </w:p>
    <w:p w14:paraId="6C11F65C"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8250EC0" w14:textId="77777777" w:rsidR="00DF410E" w:rsidRDefault="00DF410E"/>
    <w:p w14:paraId="10B3A1D0" w14:textId="77777777" w:rsidR="00DF410E" w:rsidRDefault="00CE7F43">
      <w:r>
        <w:t> </w:t>
      </w:r>
    </w:p>
    <w:p w14:paraId="565355AB" w14:textId="77777777" w:rsidR="00DF410E" w:rsidRDefault="00CE7F43">
      <w:pPr>
        <w:pStyle w:val="pheading"/>
      </w:pPr>
      <w:r>
        <w:t>- nature du marché:</w:t>
      </w:r>
    </w:p>
    <w:p w14:paraId="560A684C" w14:textId="77777777" w:rsidR="00DF410E" w:rsidRDefault="00CE7F43">
      <w:r>
        <w:t>QF</w:t>
      </w:r>
    </w:p>
    <w:p w14:paraId="68500A04" w14:textId="77777777" w:rsidR="00DF410E" w:rsidRDefault="00CE7F43">
      <w:pPr>
        <w:pStyle w:val="pheading"/>
      </w:pPr>
      <w:r>
        <w:t>AIDE</w:t>
      </w:r>
    </w:p>
    <w:p w14:paraId="619D368F" w14:textId="77777777" w:rsidR="00DF410E" w:rsidRDefault="00CE7F43">
      <w:r>
        <w:t>Note à l'attention de l'auteur du projet : pour le choix adéquat du mortier, se référer à la [STS 22 série].</w:t>
      </w:r>
    </w:p>
    <w:p w14:paraId="6742F67F" w14:textId="77777777" w:rsidR="00DF410E" w:rsidRDefault="00CE7F43">
      <w:pPr>
        <w:pStyle w:val="Author-eSectionHeading6"/>
      </w:pPr>
      <w:bookmarkStart w:id="217" w:name="_Toc178837456"/>
      <w:r>
        <w:t>21.24.1b Maçonneries non portantes en panneaux verticaux collés en béton cellulaire CCTB 01.11</w:t>
      </w:r>
      <w:bookmarkEnd w:id="217"/>
    </w:p>
    <w:p w14:paraId="0EF74B38" w14:textId="77777777" w:rsidR="00DF410E" w:rsidRDefault="00CE7F43">
      <w:pPr>
        <w:pStyle w:val="pheading"/>
      </w:pPr>
      <w:r>
        <w:t>DESCRIPTION</w:t>
      </w:r>
    </w:p>
    <w:p w14:paraId="400D5818" w14:textId="77777777" w:rsidR="00DF410E" w:rsidRDefault="00CE7F43">
      <w:pPr>
        <w:pStyle w:val="pheading"/>
      </w:pPr>
      <w:r>
        <w:t>- Définition / Comprend</w:t>
      </w:r>
    </w:p>
    <w:p w14:paraId="5AF965C3" w14:textId="77777777" w:rsidR="00DF410E" w:rsidRDefault="00CE7F43">
      <w:r>
        <w:t xml:space="preserve">Il s’agit de la fourniture et la pose de maçonneries non portantes en panneaux verticaux collés en béton cellulaire. </w:t>
      </w:r>
      <w:r>
        <w:br/>
        <w:t xml:space="preserve">La portée des travaux est décrite dans l’article </w:t>
      </w:r>
      <w:hyperlink w:anchor="395" w:history="1">
        <w:r>
          <w:t>21.24.1 Maçonneries non portantes en éléments de grand format</w:t>
        </w:r>
      </w:hyperlink>
      <w:r>
        <w:t>.</w:t>
      </w:r>
      <w:r>
        <w:br/>
        <w:t>Les travaux comprennent également la fourniture et la pose des pièces d’angle, de terminaison et de rencontre.</w:t>
      </w:r>
    </w:p>
    <w:p w14:paraId="2CC1C9E6" w14:textId="77777777" w:rsidR="00DF410E" w:rsidRDefault="00CE7F43">
      <w:pPr>
        <w:pStyle w:val="pheading"/>
      </w:pPr>
      <w:r>
        <w:t>- Localisation</w:t>
      </w:r>
    </w:p>
    <w:p w14:paraId="216B5127" w14:textId="77777777" w:rsidR="00DF410E" w:rsidRDefault="00CE7F43">
      <w:r>
        <w:t xml:space="preserve">La pose est réalisée aux endroits suivants : </w:t>
      </w:r>
      <w:r>
        <w:rPr>
          <w:rStyle w:val="optioncarChar"/>
        </w:rPr>
        <w:t>***</w:t>
      </w:r>
      <w:r>
        <w:t>.</w:t>
      </w:r>
      <w:r>
        <w:br/>
        <w:t>Voir plans et métrés détaillés.</w:t>
      </w:r>
    </w:p>
    <w:p w14:paraId="2D14FB6B" w14:textId="77777777" w:rsidR="00DF410E" w:rsidRDefault="00CE7F43">
      <w:pPr>
        <w:pStyle w:val="pheading"/>
      </w:pPr>
      <w:r>
        <w:t>MATÉRIAUX</w:t>
      </w:r>
    </w:p>
    <w:p w14:paraId="18FDFED5" w14:textId="77777777" w:rsidR="00DF410E" w:rsidRDefault="00CE7F43">
      <w:pPr>
        <w:pStyle w:val="pheading"/>
      </w:pPr>
      <w:r>
        <w:t>- Caractéristiques générales</w:t>
      </w:r>
    </w:p>
    <w:p w14:paraId="6325E561" w14:textId="77777777" w:rsidR="00DF410E" w:rsidRDefault="00CE7F43">
      <w:r>
        <w:rPr>
          <w:rStyle w:val="headingChar"/>
        </w:rPr>
        <w:t>Spécifications</w:t>
      </w:r>
    </w:p>
    <w:p w14:paraId="3FDD9653" w14:textId="77777777" w:rsidR="00DF410E" w:rsidRDefault="00CE7F43">
      <w:r>
        <w:t>La classe de qualité suivant [NBN EN 12602] est :</w:t>
      </w:r>
      <w:r>
        <w:rPr>
          <w:rStyle w:val="optioncarChar"/>
        </w:rPr>
        <w:t xml:space="preserve"> AAC 4/550 / AAC 5/750 / ***</w:t>
      </w:r>
      <w:r>
        <w:br/>
      </w:r>
      <w:r>
        <w:br/>
        <w:t xml:space="preserve">La résistance en compression normalisée (fb) est au minimum: </w:t>
      </w:r>
      <w:r>
        <w:rPr>
          <w:rStyle w:val="optioncarChar"/>
        </w:rPr>
        <w:t>4 / 5 / ***</w:t>
      </w:r>
      <w:r>
        <w:t xml:space="preserve"> N/mm² (MPa).</w:t>
      </w:r>
      <w:r>
        <w:br/>
      </w:r>
      <w:r>
        <w:br/>
        <w:t xml:space="preserve">La masse volumique sèche apparente des blocs ρ (rho) est : </w:t>
      </w:r>
      <w:r>
        <w:rPr>
          <w:rStyle w:val="optioncarChar"/>
        </w:rPr>
        <w:t>***</w:t>
      </w:r>
      <w:r>
        <w:t xml:space="preserve"> kg/m³ (blocs pleins), selon la [NBN EN 12602]. </w:t>
      </w:r>
      <w:r>
        <w:br/>
      </w:r>
      <w:r>
        <w:br/>
        <w:t xml:space="preserve">La conductibilité thermique λD est compatible avec la valeur U prescrite pour la paroi. </w:t>
      </w:r>
      <w:r>
        <w:br/>
      </w:r>
      <w:r>
        <w:br/>
        <w:t xml:space="preserve">Boutisse : plate </w:t>
      </w:r>
      <w:r>
        <w:br/>
        <w:t>Face qui reste visible : lisse</w:t>
      </w:r>
      <w:r>
        <w:br/>
        <w:t>Face à cimenter ou plafonner : lisse</w:t>
      </w:r>
      <w:r>
        <w:br/>
      </w:r>
      <w:r>
        <w:br/>
        <w:t xml:space="preserve">Teinte : </w:t>
      </w:r>
      <w:r>
        <w:rPr>
          <w:rStyle w:val="optioncarChar"/>
        </w:rPr>
        <w:t>blanc </w:t>
      </w:r>
      <w:r>
        <w:t>(par défaut)</w:t>
      </w:r>
      <w:r>
        <w:rPr>
          <w:rStyle w:val="optioncarChar"/>
        </w:rPr>
        <w:t xml:space="preserve"> / ***</w:t>
      </w:r>
      <w:r>
        <w:br/>
        <w:t>Format : (L x xl h) :</w:t>
      </w:r>
      <w:r>
        <w:rPr>
          <w:rStyle w:val="optioncarChar"/>
        </w:rPr>
        <w:t> format modulaire proposé par l'entrepreneur</w:t>
      </w:r>
      <w:r>
        <w:t> (par défaut) </w:t>
      </w:r>
      <w:r>
        <w:rPr>
          <w:rStyle w:val="optioncarChar"/>
        </w:rPr>
        <w:t>/ (max 3000 / *** </w:t>
      </w:r>
      <w:r>
        <w:t>x</w:t>
      </w:r>
      <w:r>
        <w:rPr>
          <w:rStyle w:val="optioncarChar"/>
        </w:rPr>
        <w:t> 500 / 600 / ***</w:t>
      </w:r>
      <w:r>
        <w:t> x</w:t>
      </w:r>
      <w:r>
        <w:rPr>
          <w:rStyle w:val="optioncarChar"/>
        </w:rPr>
        <w:t> 70 / 100 / ***</w:t>
      </w:r>
      <w:r>
        <w:t> ) mm</w:t>
      </w:r>
    </w:p>
    <w:p w14:paraId="32DCD10F" w14:textId="77777777" w:rsidR="00DF410E" w:rsidRDefault="00CE7F43">
      <w:r>
        <w:t>Réaction au feu :</w:t>
      </w:r>
      <w:r>
        <w:rPr>
          <w:rStyle w:val="optioncarChar"/>
        </w:rPr>
        <w:t xml:space="preserve"> A1 </w:t>
      </w:r>
      <w:r>
        <w:t>(par défaut)</w:t>
      </w:r>
      <w:r>
        <w:rPr>
          <w:rStyle w:val="optioncarChar"/>
        </w:rPr>
        <w:t xml:space="preserve"> / ***</w:t>
      </w:r>
    </w:p>
    <w:p w14:paraId="5C4CFD4C" w14:textId="77777777" w:rsidR="00DF410E" w:rsidRDefault="00CE7F43">
      <w:r>
        <w:rPr>
          <w:rStyle w:val="headingChar"/>
        </w:rPr>
        <w:t>Critères De Performances De La Paroi</w:t>
      </w:r>
    </w:p>
    <w:p w14:paraId="109E2614" w14:textId="77777777" w:rsidR="00DF410E" w:rsidRDefault="00CE7F43">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w:t>
      </w:r>
      <w:r>
        <w:t>(par défaut)</w:t>
      </w:r>
      <w:r>
        <w:rPr>
          <w:rStyle w:val="optioncarChar"/>
        </w:rPr>
        <w:t xml:space="preserve"> / EI 60/ EI 120 / EI ***</w:t>
      </w:r>
      <w:r>
        <w:t xml:space="preserve"> selon les tableaux dans [NBN EN 1996-1-2 ANB].</w:t>
      </w:r>
    </w:p>
    <w:p w14:paraId="1E277C19" w14:textId="77777777" w:rsidR="00DF410E" w:rsidRDefault="00DF410E"/>
    <w:p w14:paraId="6BD092B6" w14:textId="77777777" w:rsidR="00DF410E" w:rsidRDefault="00CE7F43">
      <w:r>
        <w:t> </w:t>
      </w:r>
    </w:p>
    <w:p w14:paraId="3B9942D5" w14:textId="77777777" w:rsidR="00DF410E" w:rsidRDefault="00CE7F43">
      <w:pPr>
        <w:pStyle w:val="pheading"/>
      </w:pPr>
      <w:r>
        <w:t>- Finitions</w:t>
      </w:r>
    </w:p>
    <w:p w14:paraId="01A5C2D2" w14:textId="77777777" w:rsidR="00DF410E" w:rsidRDefault="00DF410E"/>
    <w:p w14:paraId="4F2F92CF" w14:textId="77777777" w:rsidR="00DF410E" w:rsidRDefault="00CE7F43">
      <w:pPr>
        <w:pStyle w:val="Author-eListParagraph"/>
        <w:numPr>
          <w:ilvl w:val="0"/>
          <w:numId w:val="223"/>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6F1FE298" w14:textId="77777777" w:rsidR="00DF410E" w:rsidRDefault="00CE7F43">
      <w:pPr>
        <w:pStyle w:val="Author-eListParagraph"/>
        <w:numPr>
          <w:ilvl w:val="0"/>
          <w:numId w:val="223"/>
        </w:numPr>
      </w:pPr>
      <w:r>
        <w:t xml:space="preserve">Les murs suivants sont exécutés avec une face restant apparente : </w:t>
      </w:r>
      <w:r>
        <w:rPr>
          <w:rStyle w:val="optioncarChar"/>
        </w:rPr>
        <w:t>***</w:t>
      </w:r>
    </w:p>
    <w:p w14:paraId="3544CCE4" w14:textId="77777777" w:rsidR="00DF410E" w:rsidRDefault="00CE7F43">
      <w:pPr>
        <w:pStyle w:val="Author-eListParagraph"/>
        <w:numPr>
          <w:ilvl w:val="0"/>
          <w:numId w:val="223"/>
        </w:numPr>
      </w:pPr>
      <w:r>
        <w:t xml:space="preserve">Les murs suivants sont exécutés avec deux faces restant apparentes : </w:t>
      </w:r>
      <w:r>
        <w:rPr>
          <w:rStyle w:val="optioncarChar"/>
        </w:rPr>
        <w:t>***</w:t>
      </w:r>
    </w:p>
    <w:p w14:paraId="2B75216B" w14:textId="77777777" w:rsidR="00DF410E" w:rsidRDefault="00CE7F43">
      <w:pPr>
        <w:pStyle w:val="pheading"/>
      </w:pPr>
      <w:r>
        <w:t>- Prescriptions complémentaires</w:t>
      </w:r>
    </w:p>
    <w:p w14:paraId="478FD080"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r>
        <w:br/>
        <w:t>Les murs suivants sont exécutés avec deux faces restant apparentes :</w:t>
      </w:r>
      <w:r>
        <w:rPr>
          <w:rStyle w:val="optioncarChar"/>
        </w:rPr>
        <w:t xml:space="preserve"> ***</w:t>
      </w:r>
    </w:p>
    <w:p w14:paraId="733E950A" w14:textId="77777777" w:rsidR="00DF410E" w:rsidRDefault="00CE7F43">
      <w:pPr>
        <w:pStyle w:val="pheading"/>
      </w:pPr>
      <w:r>
        <w:t>EXÉCUTION / MISE EN ŒUVRE</w:t>
      </w:r>
    </w:p>
    <w:p w14:paraId="42E898F8" w14:textId="77777777" w:rsidR="00DF410E" w:rsidRDefault="00CE7F43">
      <w:pPr>
        <w:pStyle w:val="pheading"/>
      </w:pPr>
      <w:r>
        <w:t>- Prescriptions générales</w:t>
      </w:r>
    </w:p>
    <w:p w14:paraId="70413124" w14:textId="77777777" w:rsidR="00DF410E" w:rsidRDefault="00CE7F43">
      <w:r>
        <w:t xml:space="preserve">Conformément au mode de mise en œuvre, les panneaux en béton cellulaire sont collés à l’aide d’un mortier-colle selon les indications du fabricant des blocs et des notes de calcul du bureau d’études. </w:t>
      </w:r>
      <w:r>
        <w:br/>
        <w:t xml:space="preserve">Le mortier à coller (selon la norme [NBN EN 998-2] et le règlement d’application [TRA 651]) répond à la catégorie : </w:t>
      </w:r>
      <w:r>
        <w:rPr>
          <w:rStyle w:val="optioncarChar"/>
        </w:rPr>
        <w:t>M10 / ***</w:t>
      </w:r>
      <w:r>
        <w:br/>
        <w:t xml:space="preserve">L'épaisseur des joints est d'au moins </w:t>
      </w:r>
      <w:r>
        <w:rPr>
          <w:rStyle w:val="optioncarChar"/>
        </w:rPr>
        <w:t>2</w:t>
      </w:r>
      <w:r>
        <w:t xml:space="preserve"> (par défaut) </w:t>
      </w:r>
      <w:r>
        <w:rPr>
          <w:rStyle w:val="optioncarChar"/>
        </w:rPr>
        <w:t>/ ***</w:t>
      </w:r>
      <w:r>
        <w:t xml:space="preserve"> mm (tolérances suivant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354" w:history="1">
        <w:r>
          <w:t>26.11 Feuilles et membranes d'étanchéité à l'eau</w:t>
        </w:r>
      </w:hyperlink>
    </w:p>
    <w:p w14:paraId="1007241F" w14:textId="77777777" w:rsidR="00DF410E" w:rsidRDefault="00CE7F43">
      <w:pPr>
        <w:pStyle w:val="pheading"/>
      </w:pPr>
      <w:r>
        <w:t>- Notes d’exécution complémentaires</w:t>
      </w:r>
    </w:p>
    <w:p w14:paraId="7D017E6B" w14:textId="77777777" w:rsidR="00DF410E" w:rsidRDefault="00CE7F43">
      <w:r>
        <w:t xml:space="preserve">Pour les maçonneries destinées à rester apparentes, seuls des panneaux non endommagés sont utilisés. </w:t>
      </w:r>
      <w:r>
        <w:br/>
        <w:t xml:space="preserve">Les segments de murs sont pourvus d'armatures horizontales selon l'article </w:t>
      </w:r>
      <w:hyperlink w:anchor="355" w:history="1">
        <w:r>
          <w:t>21.41.1 Armatures horizontales pour maçonneries</w:t>
        </w:r>
      </w:hyperlink>
      <w:r>
        <w:t>.</w:t>
      </w:r>
      <w:r>
        <w:br/>
        <w:t xml:space="preserve">Les segments de murs sont pourvus d'armatures verticales selon l'article </w:t>
      </w:r>
      <w:hyperlink w:anchor="356" w:history="1">
        <w:r>
          <w:t>21.41.2 Armatures verticales pour maçonneries</w:t>
        </w:r>
      </w:hyperlink>
      <w:r>
        <w:t>;</w:t>
      </w:r>
      <w:r>
        <w:br/>
        <w:t xml:space="preserve">Les maçonneries de caves en contact avec les terres sont rendues étanches selon la description au chapitre </w:t>
      </w:r>
      <w:hyperlink w:anchor="357" w:history="1">
        <w:r>
          <w:t>26.12 Traitements d'étanchéisation</w:t>
        </w:r>
      </w:hyperlink>
      <w:r>
        <w:t>.</w:t>
      </w:r>
      <w:r>
        <w:br/>
        <w:t xml:space="preserve">Crochets de mur : </w:t>
      </w:r>
      <w:r>
        <w:rPr>
          <w:rStyle w:val="optioncarChar"/>
        </w:rPr>
        <w:t>acier inoxydable</w:t>
      </w:r>
      <w:r>
        <w:t xml:space="preserve"> (par défaut)</w:t>
      </w:r>
      <w:r>
        <w:rPr>
          <w:rStyle w:val="optioncarChar"/>
        </w:rPr>
        <w:t> / ***</w:t>
      </w:r>
      <w:r>
        <w:t xml:space="preserve"> , diamètre minimal </w:t>
      </w:r>
      <w:r>
        <w:rPr>
          <w:rStyle w:val="optioncarChar"/>
        </w:rPr>
        <w:t>3,5 </w:t>
      </w:r>
      <w:r>
        <w:t>(par défaut)</w:t>
      </w:r>
      <w:r>
        <w:rPr>
          <w:rStyle w:val="optioncarChar"/>
        </w:rPr>
        <w:t xml:space="preserve"> / ***</w:t>
      </w:r>
      <w:r>
        <w:t xml:space="preserve"> mm</w:t>
      </w:r>
      <w:r>
        <w:br/>
        <w:t xml:space="preserve">Linteaux : </w:t>
      </w:r>
      <w:r>
        <w:rPr>
          <w:rStyle w:val="optioncarChar"/>
        </w:rPr>
        <w:t>***</w:t>
      </w:r>
      <w:r>
        <w:t xml:space="preserve"> conformément à l’article </w:t>
      </w:r>
      <w:hyperlink w:anchor="358" w:history="1">
        <w:r>
          <w:t>22.13 Linteaux en béton</w:t>
        </w:r>
      </w:hyperlink>
    </w:p>
    <w:p w14:paraId="3D5BC1D0" w14:textId="77777777" w:rsidR="00DF410E" w:rsidRDefault="00CE7F43">
      <w:pPr>
        <w:pStyle w:val="pheading"/>
      </w:pPr>
      <w:r>
        <w:t>MESURAGE</w:t>
      </w:r>
    </w:p>
    <w:p w14:paraId="0427149E" w14:textId="77777777" w:rsidR="00DF410E" w:rsidRDefault="00CE7F43">
      <w:pPr>
        <w:pStyle w:val="pheading"/>
      </w:pPr>
      <w:r>
        <w:t>- unité de mesure:</w:t>
      </w:r>
    </w:p>
    <w:p w14:paraId="6A4EB2E2" w14:textId="77777777" w:rsidR="00DF410E" w:rsidRDefault="00CE7F43">
      <w:r>
        <w:rPr>
          <w:rStyle w:val="optioncarChar"/>
        </w:rPr>
        <w:t>m³ </w:t>
      </w:r>
      <w:r>
        <w:t>(par défaut)</w:t>
      </w:r>
      <w:r>
        <w:rPr>
          <w:rStyle w:val="optioncarChar"/>
        </w:rPr>
        <w:t> / m²</w:t>
      </w:r>
    </w:p>
    <w:p w14:paraId="68317EDC" w14:textId="77777777" w:rsidR="00DF410E" w:rsidRDefault="00CE7F43">
      <w:r>
        <w:rPr>
          <w:b/>
        </w:rPr>
        <w:t>(soit par défaut)</w:t>
      </w:r>
    </w:p>
    <w:p w14:paraId="4DDCBA4D" w14:textId="77777777" w:rsidR="00DF410E" w:rsidRDefault="00CE7F43">
      <w:r>
        <w:rPr>
          <w:rStyle w:val="soitChar"/>
        </w:rPr>
        <w:t>1. m³</w:t>
      </w:r>
    </w:p>
    <w:p w14:paraId="27E409E5" w14:textId="77777777" w:rsidR="00DF410E" w:rsidRDefault="00CE7F43">
      <w:r>
        <w:rPr>
          <w:b/>
        </w:rPr>
        <w:t>(soit)</w:t>
      </w:r>
    </w:p>
    <w:p w14:paraId="725C5B92" w14:textId="77777777" w:rsidR="00DF410E" w:rsidRDefault="00CE7F43">
      <w:r>
        <w:rPr>
          <w:rStyle w:val="soitChar"/>
        </w:rPr>
        <w:t>2. m²</w:t>
      </w:r>
    </w:p>
    <w:p w14:paraId="5C31F7E2" w14:textId="77777777" w:rsidR="00DF410E" w:rsidRDefault="00CE7F43">
      <w:pPr>
        <w:pStyle w:val="pheading"/>
      </w:pPr>
      <w:r>
        <w:t>- code de mesurage:</w:t>
      </w:r>
    </w:p>
    <w:p w14:paraId="03FF7F15"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BBB0445"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09FBB62"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1AE4833C" w14:textId="77777777" w:rsidR="00DF410E" w:rsidRDefault="00CE7F43">
      <w:r>
        <w:rPr>
          <w:rStyle w:val="optioncarChar"/>
        </w:rPr>
        <w:t>Volume net </w:t>
      </w:r>
      <w:r>
        <w:t>(par défaut)</w:t>
      </w:r>
      <w:r>
        <w:rPr>
          <w:rStyle w:val="optioncarChar"/>
        </w:rPr>
        <w:t> / Surface nette</w:t>
      </w:r>
    </w:p>
    <w:p w14:paraId="4B8B4619" w14:textId="77777777" w:rsidR="00DF410E" w:rsidRDefault="00CE7F43">
      <w:r>
        <w:rPr>
          <w:b/>
        </w:rPr>
        <w:t>(soit par défaut)</w:t>
      </w:r>
    </w:p>
    <w:p w14:paraId="390D1ADA"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6CBFB01" w14:textId="77777777" w:rsidR="00DF410E" w:rsidRDefault="00CE7F43">
      <w:r>
        <w:rPr>
          <w:b/>
        </w:rPr>
        <w:t>(soit)</w:t>
      </w:r>
    </w:p>
    <w:p w14:paraId="1A693F17"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2A61425" w14:textId="77777777" w:rsidR="00DF410E" w:rsidRDefault="00CE7F43">
      <w:pPr>
        <w:pStyle w:val="pheading"/>
      </w:pPr>
      <w:r>
        <w:t>- nature du marché:</w:t>
      </w:r>
    </w:p>
    <w:p w14:paraId="485FB186" w14:textId="77777777" w:rsidR="00DF410E" w:rsidRDefault="00CE7F43">
      <w:r>
        <w:t>QF</w:t>
      </w:r>
    </w:p>
    <w:p w14:paraId="1A2A329B" w14:textId="77777777" w:rsidR="00DF410E" w:rsidRDefault="00CE7F43">
      <w:pPr>
        <w:pStyle w:val="pheading"/>
      </w:pPr>
      <w:r>
        <w:t>AIDE</w:t>
      </w:r>
    </w:p>
    <w:p w14:paraId="5FE41E60" w14:textId="77777777" w:rsidR="00DF410E" w:rsidRDefault="00CE7F43">
      <w:r>
        <w:t>Note à l'attention de l'auteur du projet : pour le choix adéquat du mortier, se référer à la [STS 22 série].</w:t>
      </w:r>
    </w:p>
    <w:p w14:paraId="4D6E404F" w14:textId="77777777" w:rsidR="00DF410E" w:rsidRDefault="00CE7F43">
      <w:pPr>
        <w:pStyle w:val="Author-eSectionHeading5"/>
      </w:pPr>
      <w:bookmarkStart w:id="218" w:name="_Toc178837457"/>
      <w:r>
        <w:t>21.24.2 Maçonneries non portantes préfabriquées CCTB 01.04</w:t>
      </w:r>
      <w:bookmarkEnd w:id="218"/>
    </w:p>
    <w:p w14:paraId="19A60512" w14:textId="77777777" w:rsidR="00DF410E" w:rsidRDefault="00CE7F43">
      <w:pPr>
        <w:pStyle w:val="Author-eSectionHeading6"/>
      </w:pPr>
      <w:bookmarkStart w:id="219" w:name="397"/>
      <w:bookmarkStart w:id="220" w:name="_Toc178837458"/>
      <w:bookmarkEnd w:id="219"/>
      <w:r>
        <w:t>21.24.2a Maçonneries non portantes préfabriquées en blocs de terre cuite CCTB 01.11</w:t>
      </w:r>
      <w:bookmarkEnd w:id="220"/>
    </w:p>
    <w:p w14:paraId="111D4C5F" w14:textId="77777777" w:rsidR="00DF410E" w:rsidRDefault="00CE7F43">
      <w:pPr>
        <w:pStyle w:val="pheading"/>
      </w:pPr>
      <w:r>
        <w:t>DESCRIPTION</w:t>
      </w:r>
    </w:p>
    <w:p w14:paraId="2C07A145" w14:textId="77777777" w:rsidR="00DF410E" w:rsidRDefault="00CE7F43">
      <w:pPr>
        <w:pStyle w:val="pheading"/>
      </w:pPr>
      <w:r>
        <w:t>- Définition / Comprend</w:t>
      </w:r>
    </w:p>
    <w:p w14:paraId="3BC295DB" w14:textId="77777777" w:rsidR="00DF410E" w:rsidRDefault="00CE7F43">
      <w:r>
        <w:t xml:space="preserve">Il s’agit de la fourniture et la pose de maçonneries non portantes préfabriquées en blocs de terre cuite. </w:t>
      </w:r>
      <w:r>
        <w:br/>
        <w:t xml:space="preserve">La portée des travaux est décrite dans l’article </w:t>
      </w:r>
      <w:hyperlink w:anchor="397" w:history="1">
        <w:r>
          <w:t>21.24.2 Maçonneries non portantes préfabriquées</w:t>
        </w:r>
      </w:hyperlink>
      <w:r>
        <w:t>.</w:t>
      </w:r>
      <w:r>
        <w:br/>
        <w:t>Les travaux comprennent également la fourniture et la pose des pièces d’angle, de terminaison et de rencontre.</w:t>
      </w:r>
    </w:p>
    <w:p w14:paraId="32FBB878" w14:textId="77777777" w:rsidR="00DF410E" w:rsidRDefault="00CE7F43">
      <w:pPr>
        <w:pStyle w:val="pheading"/>
      </w:pPr>
      <w:r>
        <w:t>- Localisation</w:t>
      </w:r>
    </w:p>
    <w:p w14:paraId="7DE09920" w14:textId="77777777" w:rsidR="00DF410E" w:rsidRDefault="00CE7F43">
      <w:r>
        <w:t xml:space="preserve">La pose est réalisée aux endroits suivants : </w:t>
      </w:r>
      <w:r>
        <w:rPr>
          <w:rStyle w:val="optioncarChar"/>
        </w:rPr>
        <w:t>***</w:t>
      </w:r>
      <w:r>
        <w:t>.</w:t>
      </w:r>
      <w:r>
        <w:br/>
        <w:t>Voir plans et métrés détaillés.</w:t>
      </w:r>
    </w:p>
    <w:p w14:paraId="2C5F500B" w14:textId="77777777" w:rsidR="00DF410E" w:rsidRDefault="00CE7F43">
      <w:pPr>
        <w:pStyle w:val="pheading"/>
      </w:pPr>
      <w:r>
        <w:t>MESURAGE</w:t>
      </w:r>
    </w:p>
    <w:p w14:paraId="5F8E93BB" w14:textId="77777777" w:rsidR="00DF410E" w:rsidRDefault="00CE7F43">
      <w:pPr>
        <w:pStyle w:val="pheading"/>
      </w:pPr>
      <w:r>
        <w:t>- unité de mesure:</w:t>
      </w:r>
    </w:p>
    <w:p w14:paraId="7BC64FB0" w14:textId="77777777" w:rsidR="00DF410E" w:rsidRDefault="00CE7F43">
      <w:r>
        <w:rPr>
          <w:rStyle w:val="optioncarChar"/>
        </w:rPr>
        <w:t>m³ </w:t>
      </w:r>
      <w:r>
        <w:t>(par défaut)</w:t>
      </w:r>
      <w:r>
        <w:rPr>
          <w:rStyle w:val="optioncarChar"/>
        </w:rPr>
        <w:t> / m²</w:t>
      </w:r>
    </w:p>
    <w:p w14:paraId="01EBFC37" w14:textId="77777777" w:rsidR="00DF410E" w:rsidRDefault="00CE7F43">
      <w:r>
        <w:rPr>
          <w:b/>
        </w:rPr>
        <w:t>(soit par défaut)</w:t>
      </w:r>
    </w:p>
    <w:p w14:paraId="55378566" w14:textId="77777777" w:rsidR="00DF410E" w:rsidRDefault="00CE7F43">
      <w:r>
        <w:rPr>
          <w:rStyle w:val="soitChar"/>
        </w:rPr>
        <w:t>1. m³</w:t>
      </w:r>
    </w:p>
    <w:p w14:paraId="4E057578" w14:textId="77777777" w:rsidR="00DF410E" w:rsidRDefault="00CE7F43">
      <w:r>
        <w:rPr>
          <w:b/>
        </w:rPr>
        <w:t>(soit)</w:t>
      </w:r>
    </w:p>
    <w:p w14:paraId="42785E27" w14:textId="77777777" w:rsidR="00DF410E" w:rsidRDefault="00CE7F43">
      <w:r>
        <w:rPr>
          <w:rStyle w:val="soitChar"/>
        </w:rPr>
        <w:t>2. m²</w:t>
      </w:r>
    </w:p>
    <w:p w14:paraId="1EC0C4AE" w14:textId="77777777" w:rsidR="00DF410E" w:rsidRDefault="00CE7F43">
      <w:pPr>
        <w:pStyle w:val="pheading"/>
      </w:pPr>
      <w:r>
        <w:t>- code de mesurage:</w:t>
      </w:r>
    </w:p>
    <w:p w14:paraId="6445F7C3"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B3EE8A7"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7702F53"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5D46947" w14:textId="77777777" w:rsidR="00DF410E" w:rsidRDefault="00CE7F43">
      <w:r>
        <w:rPr>
          <w:rStyle w:val="optioncarChar"/>
        </w:rPr>
        <w:t>Volume net </w:t>
      </w:r>
      <w:r>
        <w:t>(par défaut)</w:t>
      </w:r>
      <w:r>
        <w:rPr>
          <w:rStyle w:val="optioncarChar"/>
        </w:rPr>
        <w:t> / Surface nette</w:t>
      </w:r>
    </w:p>
    <w:p w14:paraId="50D7B8BC" w14:textId="77777777" w:rsidR="00DF410E" w:rsidRDefault="00CE7F43">
      <w:r>
        <w:rPr>
          <w:b/>
        </w:rPr>
        <w:t>(soit par défaut)</w:t>
      </w:r>
    </w:p>
    <w:p w14:paraId="7ED6EC5E"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636DDD1" w14:textId="77777777" w:rsidR="00DF410E" w:rsidRDefault="00CE7F43">
      <w:r>
        <w:rPr>
          <w:b/>
        </w:rPr>
        <w:t>(soit)</w:t>
      </w:r>
    </w:p>
    <w:p w14:paraId="51E86494"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B6770CF" w14:textId="77777777" w:rsidR="00DF410E" w:rsidRDefault="00DF410E"/>
    <w:p w14:paraId="2A5F9662" w14:textId="77777777" w:rsidR="00DF410E" w:rsidRDefault="00CE7F43">
      <w:r>
        <w:t> </w:t>
      </w:r>
    </w:p>
    <w:p w14:paraId="3018F7A2" w14:textId="77777777" w:rsidR="00DF410E" w:rsidRDefault="00CE7F43">
      <w:pPr>
        <w:pStyle w:val="pheading"/>
      </w:pPr>
      <w:r>
        <w:t>- nature du marché:</w:t>
      </w:r>
    </w:p>
    <w:p w14:paraId="48E0C703" w14:textId="77777777" w:rsidR="00DF410E" w:rsidRDefault="00CE7F43">
      <w:r>
        <w:t>QF</w:t>
      </w:r>
    </w:p>
    <w:p w14:paraId="723F8AAA" w14:textId="77777777" w:rsidR="00DF410E" w:rsidRDefault="00CE7F43">
      <w:pPr>
        <w:pStyle w:val="Author-eSectionHeading6"/>
      </w:pPr>
      <w:bookmarkStart w:id="221" w:name="_Toc178837459"/>
      <w:r>
        <w:t>21.24.2b Maçonneries non portantes préfabriquées en blocs de béton CCTB 01.11</w:t>
      </w:r>
      <w:bookmarkEnd w:id="221"/>
    </w:p>
    <w:p w14:paraId="0AB78E07" w14:textId="77777777" w:rsidR="00DF410E" w:rsidRDefault="00CE7F43">
      <w:pPr>
        <w:pStyle w:val="pheading"/>
      </w:pPr>
      <w:r>
        <w:t>DESCRIPTION</w:t>
      </w:r>
    </w:p>
    <w:p w14:paraId="3ED0562B" w14:textId="77777777" w:rsidR="00DF410E" w:rsidRDefault="00CE7F43">
      <w:pPr>
        <w:pStyle w:val="pheading"/>
      </w:pPr>
      <w:r>
        <w:t>- Définition / Comprend</w:t>
      </w:r>
    </w:p>
    <w:p w14:paraId="59868F3A" w14:textId="77777777" w:rsidR="00DF410E" w:rsidRDefault="00CE7F43">
      <w:r>
        <w:t xml:space="preserve">Il s’agit de la fourniture et la pose de maçonneries non portantes préfabriquées en blocs de béton. </w:t>
      </w:r>
      <w:r>
        <w:br/>
        <w:t xml:space="preserve">La portée des travaux est décrite dans l’article </w:t>
      </w:r>
      <w:hyperlink w:anchor="397" w:history="1">
        <w:r>
          <w:t>21.24.2 Maçonneries non portantes préfabriquées</w:t>
        </w:r>
      </w:hyperlink>
      <w:r>
        <w:t>.</w:t>
      </w:r>
      <w:r>
        <w:br/>
        <w:t>Les travaux comprennent également la fourniture et la pose des pièces d’angle, de terminaison et de rencontre.</w:t>
      </w:r>
    </w:p>
    <w:p w14:paraId="1A319B95" w14:textId="77777777" w:rsidR="00DF410E" w:rsidRDefault="00CE7F43">
      <w:pPr>
        <w:pStyle w:val="pheading"/>
      </w:pPr>
      <w:r>
        <w:t>- Localisation</w:t>
      </w:r>
    </w:p>
    <w:p w14:paraId="7C2A721A" w14:textId="77777777" w:rsidR="00DF410E" w:rsidRDefault="00CE7F43">
      <w:r>
        <w:t xml:space="preserve">La pose est réalisée aux endroits suivants : </w:t>
      </w:r>
      <w:r>
        <w:rPr>
          <w:rStyle w:val="optioncarChar"/>
        </w:rPr>
        <w:t>***</w:t>
      </w:r>
      <w:r>
        <w:t>.</w:t>
      </w:r>
      <w:r>
        <w:br/>
        <w:t>Voir plans et métrés détaillés.</w:t>
      </w:r>
    </w:p>
    <w:p w14:paraId="03683A86" w14:textId="77777777" w:rsidR="00DF410E" w:rsidRDefault="00CE7F43">
      <w:pPr>
        <w:pStyle w:val="pheading"/>
      </w:pPr>
      <w:r>
        <w:t>MESURAGE</w:t>
      </w:r>
    </w:p>
    <w:p w14:paraId="5099C985" w14:textId="77777777" w:rsidR="00DF410E" w:rsidRDefault="00CE7F43">
      <w:pPr>
        <w:pStyle w:val="pheading"/>
      </w:pPr>
      <w:r>
        <w:t>- unité de mesure:</w:t>
      </w:r>
    </w:p>
    <w:p w14:paraId="36D4DEEA" w14:textId="77777777" w:rsidR="00DF410E" w:rsidRDefault="00CE7F43">
      <w:r>
        <w:rPr>
          <w:rStyle w:val="optioncarChar"/>
        </w:rPr>
        <w:t>m³ </w:t>
      </w:r>
      <w:r>
        <w:t>(par défaut)</w:t>
      </w:r>
      <w:r>
        <w:rPr>
          <w:rStyle w:val="optioncarChar"/>
        </w:rPr>
        <w:t> / m²</w:t>
      </w:r>
    </w:p>
    <w:p w14:paraId="1F788A8E" w14:textId="77777777" w:rsidR="00DF410E" w:rsidRDefault="00CE7F43">
      <w:r>
        <w:rPr>
          <w:b/>
        </w:rPr>
        <w:t>(soit par défaut)</w:t>
      </w:r>
    </w:p>
    <w:p w14:paraId="6E68315D" w14:textId="77777777" w:rsidR="00DF410E" w:rsidRDefault="00CE7F43">
      <w:r>
        <w:rPr>
          <w:rStyle w:val="soitChar"/>
        </w:rPr>
        <w:t>1. m³</w:t>
      </w:r>
    </w:p>
    <w:p w14:paraId="2E3ABD70" w14:textId="77777777" w:rsidR="00DF410E" w:rsidRDefault="00CE7F43">
      <w:r>
        <w:rPr>
          <w:b/>
        </w:rPr>
        <w:t>(soit)</w:t>
      </w:r>
    </w:p>
    <w:p w14:paraId="1E8246E2" w14:textId="77777777" w:rsidR="00DF410E" w:rsidRDefault="00CE7F43">
      <w:r>
        <w:rPr>
          <w:rStyle w:val="soitChar"/>
        </w:rPr>
        <w:t>2. m²</w:t>
      </w:r>
    </w:p>
    <w:p w14:paraId="06E613BD" w14:textId="77777777" w:rsidR="00DF410E" w:rsidRDefault="00CE7F43">
      <w:pPr>
        <w:pStyle w:val="pheading"/>
      </w:pPr>
      <w:r>
        <w:t>- code de mesurage:</w:t>
      </w:r>
    </w:p>
    <w:p w14:paraId="438FDFA6"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183C0AB"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6832009"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F70D0C9" w14:textId="77777777" w:rsidR="00DF410E" w:rsidRDefault="00CE7F43">
      <w:r>
        <w:rPr>
          <w:rStyle w:val="optioncarChar"/>
        </w:rPr>
        <w:t>Volume net </w:t>
      </w:r>
      <w:r>
        <w:t>(par défaut)</w:t>
      </w:r>
      <w:r>
        <w:rPr>
          <w:rStyle w:val="optioncarChar"/>
        </w:rPr>
        <w:t> / Surface nette</w:t>
      </w:r>
    </w:p>
    <w:p w14:paraId="06069A52" w14:textId="77777777" w:rsidR="00DF410E" w:rsidRDefault="00CE7F43">
      <w:r>
        <w:rPr>
          <w:b/>
        </w:rPr>
        <w:t>(soit par défaut)</w:t>
      </w:r>
    </w:p>
    <w:p w14:paraId="465AF376"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A3ACE22" w14:textId="77777777" w:rsidR="00DF410E" w:rsidRDefault="00CE7F43">
      <w:r>
        <w:rPr>
          <w:b/>
        </w:rPr>
        <w:t>(soit)</w:t>
      </w:r>
    </w:p>
    <w:p w14:paraId="2D02C725"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E9E9348" w14:textId="77777777" w:rsidR="00DF410E" w:rsidRDefault="00DF410E"/>
    <w:p w14:paraId="04851DE2" w14:textId="77777777" w:rsidR="00DF410E" w:rsidRDefault="00CE7F43">
      <w:r>
        <w:t> </w:t>
      </w:r>
    </w:p>
    <w:p w14:paraId="01D809B9" w14:textId="77777777" w:rsidR="00DF410E" w:rsidRDefault="00CE7F43">
      <w:pPr>
        <w:pStyle w:val="pheading"/>
      </w:pPr>
      <w:r>
        <w:t>- nature du marché:</w:t>
      </w:r>
    </w:p>
    <w:p w14:paraId="57F9AE89" w14:textId="77777777" w:rsidR="00DF410E" w:rsidRDefault="00CE7F43">
      <w:r>
        <w:t>QF</w:t>
      </w:r>
    </w:p>
    <w:p w14:paraId="20A99DAF" w14:textId="77777777" w:rsidR="00DF410E" w:rsidRDefault="00CE7F43">
      <w:pPr>
        <w:pStyle w:val="Author-eSectionHeading6"/>
      </w:pPr>
      <w:bookmarkStart w:id="222" w:name="_Toc178837460"/>
      <w:r>
        <w:t>21.24.2c Maçonneries non portantes préfabriquées en blocs de béton d'argile expansée CCTB 01.11</w:t>
      </w:r>
      <w:bookmarkEnd w:id="222"/>
    </w:p>
    <w:p w14:paraId="2612F9E0" w14:textId="77777777" w:rsidR="00DF410E" w:rsidRDefault="00CE7F43">
      <w:pPr>
        <w:pStyle w:val="pheading"/>
      </w:pPr>
      <w:r>
        <w:t>DESCRIPTION</w:t>
      </w:r>
    </w:p>
    <w:p w14:paraId="4108BBCD" w14:textId="77777777" w:rsidR="00DF410E" w:rsidRDefault="00CE7F43">
      <w:pPr>
        <w:pStyle w:val="pheading"/>
      </w:pPr>
      <w:r>
        <w:t>- Définition / Comprend</w:t>
      </w:r>
    </w:p>
    <w:p w14:paraId="07196E82" w14:textId="77777777" w:rsidR="00DF410E" w:rsidRDefault="00CE7F43">
      <w:r>
        <w:t xml:space="preserve">Il s’agit de la fourniture et la pose de maçonneries non portantes préfabriquées en blocs de béton d’argile expansée. </w:t>
      </w:r>
      <w:r>
        <w:br/>
        <w:t xml:space="preserve">La portée des travaux est décrite dans l’article </w:t>
      </w:r>
      <w:hyperlink w:anchor="397" w:history="1">
        <w:r>
          <w:t>21.24.2 Maçonneries non portantes préfabriquées</w:t>
        </w:r>
      </w:hyperlink>
      <w:r>
        <w:t>.</w:t>
      </w:r>
      <w:r>
        <w:br/>
        <w:t>Les travaux comprennent également la fourniture et la pose des pièces d’angle, de terminaison et de rencontre.</w:t>
      </w:r>
    </w:p>
    <w:p w14:paraId="75B12C31" w14:textId="77777777" w:rsidR="00DF410E" w:rsidRDefault="00CE7F43">
      <w:pPr>
        <w:pStyle w:val="pheading"/>
      </w:pPr>
      <w:r>
        <w:t>- Localisation</w:t>
      </w:r>
    </w:p>
    <w:p w14:paraId="28F95222" w14:textId="77777777" w:rsidR="00DF410E" w:rsidRDefault="00CE7F43">
      <w:r>
        <w:t xml:space="preserve">La pose est réalisée aux endroits suivants : </w:t>
      </w:r>
      <w:r>
        <w:rPr>
          <w:rStyle w:val="optioncarChar"/>
        </w:rPr>
        <w:t>***</w:t>
      </w:r>
      <w:r>
        <w:t>.</w:t>
      </w:r>
      <w:r>
        <w:br/>
        <w:t>Voir plans et métrés détaillés.</w:t>
      </w:r>
    </w:p>
    <w:p w14:paraId="7FD09F6A" w14:textId="77777777" w:rsidR="00DF410E" w:rsidRDefault="00CE7F43">
      <w:pPr>
        <w:pStyle w:val="pheading"/>
      </w:pPr>
      <w:r>
        <w:t>MESURAGE</w:t>
      </w:r>
    </w:p>
    <w:p w14:paraId="0180A723" w14:textId="77777777" w:rsidR="00DF410E" w:rsidRDefault="00CE7F43">
      <w:pPr>
        <w:pStyle w:val="pheading"/>
      </w:pPr>
      <w:r>
        <w:t>- unité de mesure:</w:t>
      </w:r>
    </w:p>
    <w:p w14:paraId="3F98A67B" w14:textId="77777777" w:rsidR="00DF410E" w:rsidRDefault="00CE7F43">
      <w:r>
        <w:rPr>
          <w:rStyle w:val="optioncarChar"/>
        </w:rPr>
        <w:t>m³ </w:t>
      </w:r>
      <w:r>
        <w:t>(par défaut)</w:t>
      </w:r>
      <w:r>
        <w:rPr>
          <w:rStyle w:val="optioncarChar"/>
        </w:rPr>
        <w:t> / m²</w:t>
      </w:r>
    </w:p>
    <w:p w14:paraId="5E37A270" w14:textId="77777777" w:rsidR="00DF410E" w:rsidRDefault="00CE7F43">
      <w:r>
        <w:rPr>
          <w:b/>
        </w:rPr>
        <w:t>(soit par défaut)</w:t>
      </w:r>
    </w:p>
    <w:p w14:paraId="175F7B41" w14:textId="77777777" w:rsidR="00DF410E" w:rsidRDefault="00CE7F43">
      <w:r>
        <w:rPr>
          <w:rStyle w:val="soitChar"/>
        </w:rPr>
        <w:t>1. m³</w:t>
      </w:r>
    </w:p>
    <w:p w14:paraId="45083AEA" w14:textId="77777777" w:rsidR="00DF410E" w:rsidRDefault="00CE7F43">
      <w:r>
        <w:rPr>
          <w:b/>
        </w:rPr>
        <w:t>(soit)</w:t>
      </w:r>
    </w:p>
    <w:p w14:paraId="67C8F5BA" w14:textId="77777777" w:rsidR="00DF410E" w:rsidRDefault="00CE7F43">
      <w:r>
        <w:rPr>
          <w:rStyle w:val="soitChar"/>
        </w:rPr>
        <w:t>2. m²</w:t>
      </w:r>
    </w:p>
    <w:p w14:paraId="2387CECB" w14:textId="77777777" w:rsidR="00DF410E" w:rsidRDefault="00CE7F43">
      <w:pPr>
        <w:pStyle w:val="pheading"/>
      </w:pPr>
      <w:r>
        <w:t>- code de mesurage:</w:t>
      </w:r>
    </w:p>
    <w:p w14:paraId="2C14FCA4"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C2CF093"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3161ECE"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22A891CA" w14:textId="77777777" w:rsidR="00DF410E" w:rsidRDefault="00CE7F43">
      <w:r>
        <w:rPr>
          <w:rStyle w:val="optioncarChar"/>
        </w:rPr>
        <w:t>Volume net </w:t>
      </w:r>
      <w:r>
        <w:t>(par défaut)</w:t>
      </w:r>
      <w:r>
        <w:rPr>
          <w:rStyle w:val="optioncarChar"/>
        </w:rPr>
        <w:t> / Surface nette</w:t>
      </w:r>
    </w:p>
    <w:p w14:paraId="37EDBAC4" w14:textId="77777777" w:rsidR="00DF410E" w:rsidRDefault="00CE7F43">
      <w:r>
        <w:rPr>
          <w:b/>
        </w:rPr>
        <w:t>(soit par défaut)</w:t>
      </w:r>
    </w:p>
    <w:p w14:paraId="3622B683"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CC09A1A" w14:textId="77777777" w:rsidR="00DF410E" w:rsidRDefault="00CE7F43">
      <w:r>
        <w:rPr>
          <w:b/>
        </w:rPr>
        <w:t>(soit)</w:t>
      </w:r>
    </w:p>
    <w:p w14:paraId="33E4C178"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9DEF354" w14:textId="77777777" w:rsidR="00DF410E" w:rsidRDefault="00CE7F43">
      <w:pPr>
        <w:pStyle w:val="pheading"/>
      </w:pPr>
      <w:r>
        <w:t>- nature du marché:</w:t>
      </w:r>
    </w:p>
    <w:p w14:paraId="2929DC72" w14:textId="77777777" w:rsidR="00DF410E" w:rsidRDefault="00CE7F43">
      <w:r>
        <w:t>QF</w:t>
      </w:r>
    </w:p>
    <w:p w14:paraId="45FACFB7" w14:textId="77777777" w:rsidR="00DF410E" w:rsidRDefault="00CE7F43">
      <w:pPr>
        <w:pStyle w:val="Author-eSectionHeading6"/>
      </w:pPr>
      <w:bookmarkStart w:id="223" w:name="_Toc178837461"/>
      <w:r>
        <w:t>21.24.2d Maçonneries non portantes préfabriquées en blocs de silico-calcaire CCTB 01.12</w:t>
      </w:r>
      <w:bookmarkEnd w:id="223"/>
    </w:p>
    <w:p w14:paraId="41FF7234" w14:textId="77777777" w:rsidR="00DF410E" w:rsidRDefault="00CE7F43">
      <w:pPr>
        <w:pStyle w:val="pheading"/>
      </w:pPr>
      <w:r>
        <w:t>DESCRIPTION</w:t>
      </w:r>
    </w:p>
    <w:p w14:paraId="7FCCFCBE" w14:textId="77777777" w:rsidR="00DF410E" w:rsidRDefault="00CE7F43">
      <w:pPr>
        <w:pStyle w:val="pheading"/>
      </w:pPr>
      <w:r>
        <w:t>- Définition / Comprend</w:t>
      </w:r>
    </w:p>
    <w:p w14:paraId="76090CA4" w14:textId="77777777" w:rsidR="00DF410E" w:rsidRDefault="00CE7F43">
      <w:r>
        <w:t xml:space="preserve">Il s’agit de la fourniture et la pose de maçonneries non portantes préfabriquées en blocs de silico-calcaire. </w:t>
      </w:r>
      <w:r>
        <w:br/>
        <w:t xml:space="preserve">La portée des travaux est décrite dans l’article </w:t>
      </w:r>
      <w:hyperlink w:anchor="397" w:history="1">
        <w:r>
          <w:t>21.24.2 Maçonneries non portantes préfabriquées</w:t>
        </w:r>
      </w:hyperlink>
      <w:r>
        <w:t>.</w:t>
      </w:r>
      <w:r>
        <w:br/>
        <w:t>Les travaux comprennent également la fourniture et la pose des pièces d’angle, de terminaison et de rencontre.</w:t>
      </w:r>
    </w:p>
    <w:p w14:paraId="5436E716" w14:textId="77777777" w:rsidR="00DF410E" w:rsidRDefault="00CE7F43">
      <w:pPr>
        <w:pStyle w:val="pheading"/>
      </w:pPr>
      <w:r>
        <w:t>- Localisation</w:t>
      </w:r>
    </w:p>
    <w:p w14:paraId="594C2C67" w14:textId="77777777" w:rsidR="00DF410E" w:rsidRDefault="00CE7F43">
      <w:r>
        <w:t xml:space="preserve">La pose est réalisée aux endroits suivants : </w:t>
      </w:r>
      <w:r>
        <w:rPr>
          <w:rStyle w:val="optioncarChar"/>
        </w:rPr>
        <w:t>***</w:t>
      </w:r>
      <w:r>
        <w:t>.</w:t>
      </w:r>
      <w:r>
        <w:br/>
        <w:t>Voir plans et métrés détaillés.</w:t>
      </w:r>
    </w:p>
    <w:p w14:paraId="5A505D75" w14:textId="77777777" w:rsidR="00DF410E" w:rsidRDefault="00CE7F43">
      <w:pPr>
        <w:pStyle w:val="pheading"/>
      </w:pPr>
      <w:r>
        <w:t>MATÉRIAUX</w:t>
      </w:r>
    </w:p>
    <w:p w14:paraId="581E3CE0" w14:textId="77777777" w:rsidR="00DF410E" w:rsidRDefault="00CE7F43">
      <w:pPr>
        <w:pStyle w:val="pheading"/>
      </w:pPr>
      <w:r>
        <w:t>- Caractéristiques générales</w:t>
      </w:r>
    </w:p>
    <w:p w14:paraId="1B124262" w14:textId="77777777" w:rsidR="00DF410E" w:rsidRDefault="00CE7F43">
      <w:r>
        <w:rPr>
          <w:rStyle w:val="headingChar"/>
        </w:rPr>
        <w:t>Spécifications</w:t>
      </w:r>
    </w:p>
    <w:p w14:paraId="26895762" w14:textId="77777777" w:rsidR="00DF410E" w:rsidRDefault="00CE7F43">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 xml:space="preserve">La résistance en compression normalisée (fb) suivant [NBN EN 1996 série] + ANB est au minimum: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w:t>
      </w:r>
      <w:r>
        <w:t> (par défaut)</w:t>
      </w:r>
      <w:r>
        <w:rPr>
          <w:rStyle w:val="optioncarChar"/>
        </w:rPr>
        <w:t xml:space="preserve"> / ***</w:t>
      </w:r>
      <w:r>
        <w:br/>
      </w:r>
      <w:r>
        <w:br/>
        <w:t xml:space="preserve">La masse volumique sèche apparente des blocs ρ (rho) est : </w:t>
      </w:r>
      <w:r>
        <w:rPr>
          <w:rStyle w:val="optioncarChar"/>
        </w:rPr>
        <w:t>1400 kg/m³ (blocs creux) </w:t>
      </w:r>
      <w:r>
        <w:t>(par défaut)</w:t>
      </w:r>
      <w:r>
        <w:rPr>
          <w:rStyle w:val="optioncarChar"/>
        </w:rPr>
        <w:t xml:space="preserve"> / ***</w:t>
      </w:r>
      <w:r>
        <w:t xml:space="preserve"> kg/m³, selon la [NBN EN 771-2+A1]. </w:t>
      </w:r>
      <w:r>
        <w:br/>
      </w:r>
      <w:r>
        <w:br/>
        <w:t xml:space="preserve">La conductibilité thermique λD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 [PTV 21-003] annexe E).</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7DEA23C3" w14:textId="77777777" w:rsidR="00DF410E" w:rsidRDefault="00CE7F43">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 xml:space="preserve">EI 30 </w:t>
      </w:r>
      <w:r>
        <w:t>(par défaut) </w:t>
      </w:r>
      <w:r>
        <w:rPr>
          <w:rStyle w:val="optioncarChar"/>
        </w:rPr>
        <w:t>/ EI 60/ EI 120 / EI ***</w:t>
      </w:r>
      <w:r>
        <w:t xml:space="preserve"> selon les tableaux dans [NBN EN 1996-1-2 ANB].</w:t>
      </w:r>
    </w:p>
    <w:p w14:paraId="1A6AF5E4" w14:textId="77777777" w:rsidR="00DF410E" w:rsidRDefault="00DF410E"/>
    <w:p w14:paraId="1467DDA9" w14:textId="77777777" w:rsidR="00DF410E" w:rsidRDefault="00CE7F43">
      <w:r>
        <w:t> </w:t>
      </w:r>
    </w:p>
    <w:p w14:paraId="6FAF47DA" w14:textId="77777777" w:rsidR="00DF410E" w:rsidRDefault="00CE7F43">
      <w:pPr>
        <w:pStyle w:val="pheading"/>
      </w:pPr>
      <w:r>
        <w:t>- Finitions</w:t>
      </w:r>
    </w:p>
    <w:p w14:paraId="32645D86" w14:textId="77777777" w:rsidR="00DF410E" w:rsidRDefault="00DF410E"/>
    <w:p w14:paraId="4F64A3BD" w14:textId="77777777" w:rsidR="00DF410E" w:rsidRDefault="00CE7F43">
      <w:pPr>
        <w:pStyle w:val="Author-eListParagraph"/>
        <w:numPr>
          <w:ilvl w:val="0"/>
          <w:numId w:val="224"/>
        </w:numPr>
      </w:pPr>
      <w:r>
        <w:t xml:space="preserve">Les faces de murs suivantes sont exécutées comme maçonneries apparentes et sont </w:t>
      </w:r>
      <w:r>
        <w:rPr>
          <w:rStyle w:val="optioncarChar"/>
          <w:color w:val="000000"/>
        </w:rPr>
        <w:t>rejointoyées </w:t>
      </w:r>
      <w:r>
        <w:t xml:space="preserve">selon </w:t>
      </w:r>
      <w:hyperlink w:anchor="344" w:history="1">
        <w:r>
          <w:t>21.61.1b Joints de maçonnerie apparente</w:t>
        </w:r>
      </w:hyperlink>
      <w:r>
        <w:t xml:space="preserve"> : </w:t>
      </w:r>
      <w:r>
        <w:rPr>
          <w:rStyle w:val="optioncarChar"/>
        </w:rPr>
        <w:t>***</w:t>
      </w:r>
    </w:p>
    <w:p w14:paraId="62EA5D21" w14:textId="77777777" w:rsidR="00DF410E" w:rsidRDefault="00CE7F43">
      <w:pPr>
        <w:pStyle w:val="Author-eListParagraph"/>
        <w:numPr>
          <w:ilvl w:val="0"/>
          <w:numId w:val="224"/>
        </w:numPr>
      </w:pPr>
      <w:r>
        <w:t xml:space="preserve">Les murs suivants sont exécutés avec une face restant apparente : </w:t>
      </w:r>
      <w:r>
        <w:rPr>
          <w:rStyle w:val="optioncarChar"/>
        </w:rPr>
        <w:t>***</w:t>
      </w:r>
    </w:p>
    <w:p w14:paraId="5403A22A" w14:textId="77777777" w:rsidR="00DF410E" w:rsidRDefault="00CE7F43">
      <w:pPr>
        <w:pStyle w:val="Author-eListParagraph"/>
        <w:numPr>
          <w:ilvl w:val="0"/>
          <w:numId w:val="224"/>
        </w:numPr>
      </w:pPr>
      <w:r>
        <w:t xml:space="preserve">Les murs suivants sont exécutés avec deux faces restant apparentes : </w:t>
      </w:r>
      <w:r>
        <w:rPr>
          <w:rStyle w:val="optioncarChar"/>
        </w:rPr>
        <w:t>***</w:t>
      </w:r>
    </w:p>
    <w:p w14:paraId="2A7103AB" w14:textId="77777777" w:rsidR="00DF410E" w:rsidRDefault="00DF410E"/>
    <w:p w14:paraId="4CA68BDD" w14:textId="77777777" w:rsidR="00DF410E" w:rsidRDefault="00CE7F43">
      <w:pPr>
        <w:pStyle w:val="pheading"/>
      </w:pPr>
      <w:r>
        <w:t>- Prescriptions complémentaires</w:t>
      </w:r>
    </w:p>
    <w:p w14:paraId="2C5087D6" w14:textId="77777777" w:rsidR="00DF410E" w:rsidRDefault="00CE7F43">
      <w:r>
        <w:t>La mise en œuvre s'effectue selon les prescriptions du fabricant. Les murs ne sont pas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2877DB75" w14:textId="77777777" w:rsidR="00DF410E" w:rsidRDefault="00CE7F43">
      <w:pPr>
        <w:pStyle w:val="pheading"/>
      </w:pPr>
      <w:r>
        <w:t>MESURAGE</w:t>
      </w:r>
    </w:p>
    <w:p w14:paraId="192AF29F" w14:textId="77777777" w:rsidR="00DF410E" w:rsidRDefault="00CE7F43">
      <w:pPr>
        <w:pStyle w:val="pheading"/>
      </w:pPr>
      <w:r>
        <w:t>- unité de mesure:</w:t>
      </w:r>
    </w:p>
    <w:p w14:paraId="1FAA6C72" w14:textId="77777777" w:rsidR="00DF410E" w:rsidRDefault="00CE7F43">
      <w:r>
        <w:rPr>
          <w:rStyle w:val="optioncarChar"/>
        </w:rPr>
        <w:t>m³ </w:t>
      </w:r>
      <w:r>
        <w:t>(par défaut)</w:t>
      </w:r>
      <w:r>
        <w:rPr>
          <w:rStyle w:val="optioncarChar"/>
        </w:rPr>
        <w:t> / m²</w:t>
      </w:r>
    </w:p>
    <w:p w14:paraId="680F0B1B" w14:textId="77777777" w:rsidR="00DF410E" w:rsidRDefault="00CE7F43">
      <w:r>
        <w:rPr>
          <w:b/>
        </w:rPr>
        <w:t>(soit par défaut)</w:t>
      </w:r>
    </w:p>
    <w:p w14:paraId="242A05C5" w14:textId="77777777" w:rsidR="00DF410E" w:rsidRDefault="00CE7F43">
      <w:r>
        <w:rPr>
          <w:rStyle w:val="soitChar"/>
        </w:rPr>
        <w:t>1. m³</w:t>
      </w:r>
    </w:p>
    <w:p w14:paraId="7B2C0CD0" w14:textId="77777777" w:rsidR="00DF410E" w:rsidRDefault="00CE7F43">
      <w:r>
        <w:rPr>
          <w:b/>
        </w:rPr>
        <w:t>(soit)</w:t>
      </w:r>
    </w:p>
    <w:p w14:paraId="63F474E2" w14:textId="77777777" w:rsidR="00DF410E" w:rsidRDefault="00CE7F43">
      <w:r>
        <w:rPr>
          <w:rStyle w:val="soitChar"/>
        </w:rPr>
        <w:t>2. m²</w:t>
      </w:r>
    </w:p>
    <w:p w14:paraId="3434DC8B" w14:textId="77777777" w:rsidR="00DF410E" w:rsidRDefault="00CE7F43">
      <w:pPr>
        <w:pStyle w:val="pheading"/>
      </w:pPr>
      <w:r>
        <w:t>- code de mesurage:</w:t>
      </w:r>
    </w:p>
    <w:p w14:paraId="6AFD7D30"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9B87939"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50F5101"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47A37046" w14:textId="77777777" w:rsidR="00DF410E" w:rsidRDefault="00CE7F43">
      <w:r>
        <w:rPr>
          <w:rStyle w:val="optioncarChar"/>
        </w:rPr>
        <w:t>Volume net </w:t>
      </w:r>
      <w:r>
        <w:t>(par défaut)</w:t>
      </w:r>
      <w:r>
        <w:rPr>
          <w:rStyle w:val="optioncarChar"/>
        </w:rPr>
        <w:t> / Surface nette</w:t>
      </w:r>
    </w:p>
    <w:p w14:paraId="64171042" w14:textId="77777777" w:rsidR="00DF410E" w:rsidRDefault="00CE7F43">
      <w:r>
        <w:rPr>
          <w:b/>
        </w:rPr>
        <w:t>(soit par défaut)</w:t>
      </w:r>
    </w:p>
    <w:p w14:paraId="63D7A438"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2C3D5ED" w14:textId="77777777" w:rsidR="00DF410E" w:rsidRDefault="00CE7F43">
      <w:r>
        <w:rPr>
          <w:b/>
        </w:rPr>
        <w:t>(soit)</w:t>
      </w:r>
    </w:p>
    <w:p w14:paraId="0DF2E048"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992F54F" w14:textId="77777777" w:rsidR="00DF410E" w:rsidRDefault="00DF410E"/>
    <w:p w14:paraId="55D9B8A8" w14:textId="77777777" w:rsidR="00DF410E" w:rsidRDefault="00CE7F43">
      <w:r>
        <w:t> </w:t>
      </w:r>
    </w:p>
    <w:p w14:paraId="1C8DE085" w14:textId="77777777" w:rsidR="00DF410E" w:rsidRDefault="00CE7F43">
      <w:pPr>
        <w:pStyle w:val="pheading"/>
      </w:pPr>
      <w:r>
        <w:t>- nature du marché:</w:t>
      </w:r>
    </w:p>
    <w:p w14:paraId="09EB1FD8" w14:textId="77777777" w:rsidR="00DF410E" w:rsidRDefault="00CE7F43">
      <w:r>
        <w:t>QF</w:t>
      </w:r>
    </w:p>
    <w:p w14:paraId="1C314690" w14:textId="77777777" w:rsidR="00DF410E" w:rsidRDefault="00CE7F43">
      <w:pPr>
        <w:pStyle w:val="Author-eSectionHeading4"/>
      </w:pPr>
      <w:bookmarkStart w:id="224" w:name="_Toc178837462"/>
      <w:r>
        <w:t>21.25 Maçonneries non portantes en ensembles de blocs de verre CCTB 01.10</w:t>
      </w:r>
      <w:bookmarkEnd w:id="224"/>
    </w:p>
    <w:p w14:paraId="296CB26B" w14:textId="77777777" w:rsidR="00DF410E" w:rsidRDefault="00CE7F43">
      <w:pPr>
        <w:pStyle w:val="pheading"/>
      </w:pPr>
      <w:bookmarkStart w:id="225" w:name="460"/>
      <w:bookmarkEnd w:id="225"/>
      <w:r>
        <w:t>DESCRIPTION</w:t>
      </w:r>
    </w:p>
    <w:p w14:paraId="4A057DE0" w14:textId="77777777" w:rsidR="00DF410E" w:rsidRDefault="00CE7F43">
      <w:pPr>
        <w:pStyle w:val="pheading"/>
      </w:pPr>
      <w:r>
        <w:t>- Définition / Comprend</w:t>
      </w:r>
    </w:p>
    <w:p w14:paraId="4FBACD65" w14:textId="77777777" w:rsidR="00DF410E" w:rsidRDefault="00CE7F43">
      <w:r>
        <w:t xml:space="preserve">Renvoi au § </w:t>
      </w:r>
      <w:hyperlink w:anchor="399" w:history="1">
        <w:r>
          <w:t>21.45 Blocs de verre individuels</w:t>
        </w:r>
      </w:hyperlink>
    </w:p>
    <w:p w14:paraId="4C667F6C" w14:textId="77777777" w:rsidR="00DF410E" w:rsidRDefault="00CE7F43">
      <w:pPr>
        <w:pStyle w:val="pheading"/>
      </w:pPr>
      <w:r>
        <w:t>- Remarques importantes</w:t>
      </w:r>
    </w:p>
    <w:p w14:paraId="13332303" w14:textId="77777777" w:rsidR="00DF410E" w:rsidRDefault="00CE7F43">
      <w:r>
        <w:t>Les maçonneries non portantes en blocs de verre peuvent être soumises à des exigences en termes de performances au feu. Le cas échéant, l’auteur de projet spécifie les exigences requises basées notamment sur les documents de référence d’application. Il peut s’agir (voir les généralités chapitre </w:t>
      </w:r>
      <w:hyperlink w:anchor="41" w:history="1">
        <w:r>
          <w:t>2 T2 Superstructures</w:t>
        </w:r>
      </w:hyperlink>
      <w:r>
        <w:t>)</w:t>
      </w:r>
    </w:p>
    <w:p w14:paraId="2BD2D639" w14:textId="77777777" w:rsidR="00DF410E" w:rsidRDefault="00CE7F43">
      <w:pPr>
        <w:pStyle w:val="Author-eListParagraph"/>
        <w:numPr>
          <w:ilvl w:val="0"/>
          <w:numId w:val="225"/>
        </w:numPr>
      </w:pPr>
      <w:r>
        <w:t>D’exigence de résistance au feu : E tt ou EI tt (tt étant le temps en minutes)</w:t>
      </w:r>
    </w:p>
    <w:p w14:paraId="52712205" w14:textId="77777777" w:rsidR="00DF410E" w:rsidRDefault="00CE7F43">
      <w:pPr>
        <w:pStyle w:val="Author-eListParagraph"/>
        <w:numPr>
          <w:ilvl w:val="0"/>
          <w:numId w:val="225"/>
        </w:numPr>
      </w:pPr>
      <w:r>
        <w:t>D’exigence de réaction au feu du revêtement de la paroi (en l’occurrence le bloc de verre) : A1 à F, complétée des aspects additionnels s et d.</w:t>
      </w:r>
    </w:p>
    <w:p w14:paraId="5933076F" w14:textId="77777777" w:rsidR="00DF410E" w:rsidRDefault="00CE7F43">
      <w:pPr>
        <w:pStyle w:val="Author-eSectionHeading5"/>
      </w:pPr>
      <w:bookmarkStart w:id="226" w:name="_Toc178837463"/>
      <w:r>
        <w:t>21.25.1 Maçonneries non portantes en ensembles de blocs de verre CCTB 01.11</w:t>
      </w:r>
      <w:bookmarkEnd w:id="226"/>
    </w:p>
    <w:p w14:paraId="15B12390" w14:textId="77777777" w:rsidR="00DF410E" w:rsidRDefault="00CE7F43">
      <w:pPr>
        <w:pStyle w:val="pheading"/>
      </w:pPr>
      <w:bookmarkStart w:id="227" w:name="398"/>
      <w:bookmarkEnd w:id="227"/>
      <w:r>
        <w:t>DESCRIPTION</w:t>
      </w:r>
    </w:p>
    <w:p w14:paraId="47AE16EA" w14:textId="77777777" w:rsidR="00DF410E" w:rsidRDefault="00CE7F43">
      <w:pPr>
        <w:pStyle w:val="pheading"/>
      </w:pPr>
      <w:r>
        <w:t>- Définition / Comprend</w:t>
      </w:r>
    </w:p>
    <w:p w14:paraId="7CB1F369" w14:textId="77777777" w:rsidR="00DF410E" w:rsidRDefault="00CE7F43">
      <w:r>
        <w:t>Ce poste comprend toutes les fournitures et les travaux nécessaires en vue de la réalisation de murs translucides préfabriqués et/ou d'éléments de façades en briques de verre. Conformément aux dispositions générales et/ou spécifiques du cahier spécial des charges, les prix unitaires compris dans ce poste doivent toujours comprendre, soit selon la ventilation au métré récapitulatif, soit dans leur totalité :</w:t>
      </w:r>
    </w:p>
    <w:p w14:paraId="51D3EC45" w14:textId="77777777" w:rsidR="00DF410E" w:rsidRDefault="00CE7F43">
      <w:pPr>
        <w:pStyle w:val="Author-eListParagraph"/>
        <w:numPr>
          <w:ilvl w:val="0"/>
          <w:numId w:val="226"/>
        </w:numPr>
      </w:pPr>
      <w:r>
        <w:t>la fourniture et la préparation de tous les matériaux c'est-à-dire des briques ou panneaux, des mortiers, de tous les ancrages et les dispositifs de liaison nécessaires avec les murs, les raccordements aux rives de toiture (solins), l'étanchéité au droit des baies de façade et des rives de toiture, les étanchéités et les bandes d'isolation thermique dans les ébrasements des baies de façade;</w:t>
      </w:r>
    </w:p>
    <w:p w14:paraId="4A1BE6E9" w14:textId="77777777" w:rsidR="00DF410E" w:rsidRDefault="00CE7F43">
      <w:pPr>
        <w:pStyle w:val="Author-eListParagraph"/>
        <w:numPr>
          <w:ilvl w:val="0"/>
          <w:numId w:val="226"/>
        </w:numPr>
      </w:pPr>
      <w:r>
        <w:t>la pose proprement dite des blocs de verre ou des panneaux et les éventuelles mesures de protection,</w:t>
      </w:r>
    </w:p>
    <w:p w14:paraId="2B765C4D" w14:textId="77777777" w:rsidR="00DF410E" w:rsidRDefault="00CE7F43">
      <w:pPr>
        <w:pStyle w:val="Author-eListParagraph"/>
        <w:numPr>
          <w:ilvl w:val="0"/>
          <w:numId w:val="226"/>
        </w:numPr>
      </w:pPr>
      <w:r>
        <w:t>l'évidement des joints ou le jointoiement et le parachèvement;</w:t>
      </w:r>
    </w:p>
    <w:p w14:paraId="76BFBFC6" w14:textId="77777777" w:rsidR="00DF410E" w:rsidRDefault="00CE7F43">
      <w:pPr>
        <w:pStyle w:val="Author-eListParagraph"/>
        <w:numPr>
          <w:ilvl w:val="0"/>
          <w:numId w:val="226"/>
        </w:numPr>
      </w:pPr>
      <w:r>
        <w:t>le nettoyage des briques de verre et/ou des parties souillées de la façade;</w:t>
      </w:r>
    </w:p>
    <w:p w14:paraId="352D0BE9" w14:textId="77777777" w:rsidR="00DF410E" w:rsidRDefault="00CE7F43">
      <w:pPr>
        <w:pStyle w:val="Author-eListParagraph"/>
        <w:numPr>
          <w:ilvl w:val="0"/>
          <w:numId w:val="226"/>
        </w:numPr>
      </w:pPr>
      <w:r>
        <w:t>l'enlèvement des protections;</w:t>
      </w:r>
    </w:p>
    <w:p w14:paraId="1C2EC296" w14:textId="77777777" w:rsidR="00DF410E" w:rsidRDefault="00CE7F43">
      <w:pPr>
        <w:pStyle w:val="Author-eListParagraph"/>
        <w:numPr>
          <w:ilvl w:val="0"/>
          <w:numId w:val="226"/>
        </w:numPr>
      </w:pPr>
      <w:r>
        <w:t>le déblaiement et le nettoyage du chantier.</w:t>
      </w:r>
    </w:p>
    <w:p w14:paraId="48EBBF45" w14:textId="77777777" w:rsidR="00DF410E" w:rsidRDefault="00DF410E"/>
    <w:p w14:paraId="17159E8C" w14:textId="77777777" w:rsidR="00DF410E" w:rsidRDefault="00CE7F43">
      <w:r>
        <w:t> </w:t>
      </w:r>
    </w:p>
    <w:p w14:paraId="33702A97" w14:textId="77777777" w:rsidR="00DF410E" w:rsidRDefault="00CE7F43">
      <w:pPr>
        <w:pStyle w:val="pheading"/>
      </w:pPr>
      <w:r>
        <w:t>MATÉRIAUX</w:t>
      </w:r>
    </w:p>
    <w:p w14:paraId="711EB280" w14:textId="77777777" w:rsidR="00DF410E" w:rsidRDefault="00CE7F43">
      <w:r>
        <w:t>Les blocs de verre répondent à la [NBN S 23-002] et sont mises en œuvre sous la forme de panneaux préfabriqués ou en tant qu'éléments indépendants, conformément au cahier spécial des charges. Les blocs de verre à double paroi consistent en deux demi-éléments soudés l'un à l'autre, la coulisse contenant uniquement de l'air. Les bords sont revêtus d'une membrane blanche synthétique ou d'une couche de revêtement afin d'améliorer le passage de la lumière. Les blocs de verre sont insensibles aux chocs et aux influences atmosphériques. Les éléments répondent aux exigences de la paroi dans laquelle ils sont (verre A1). Les mortiers hydrofuges et/ou les mortiers de colle satisfont aux prescriptions du fabricant.</w:t>
      </w:r>
    </w:p>
    <w:p w14:paraId="41B2DBED" w14:textId="77777777" w:rsidR="00DF410E" w:rsidRDefault="00DF410E"/>
    <w:p w14:paraId="05ABDDA8" w14:textId="77777777" w:rsidR="00DF410E" w:rsidRDefault="00CE7F43">
      <w:r>
        <w:t> </w:t>
      </w:r>
    </w:p>
    <w:p w14:paraId="2D631F3E" w14:textId="77777777" w:rsidR="00DF410E" w:rsidRDefault="00CE7F43">
      <w:pPr>
        <w:pStyle w:val="pheading"/>
      </w:pPr>
      <w:r>
        <w:t>EXÉCUTION / MISE EN ŒUVRE</w:t>
      </w:r>
    </w:p>
    <w:p w14:paraId="4EB2639E" w14:textId="77777777" w:rsidR="00DF410E" w:rsidRDefault="00CE7F43">
      <w:r>
        <w:t>Les maçonneries en blocs de verre sont exécutées conformément à la [NBN S 23-002] complétée par les prescriptions d'exécution du fabricant. Le montage des panneaux préfabriqués se fait uniquement par des ouvriers spécialisés. Pour les panneaux en blocs de verre, l'entrepreneur soumet les notes de calcul et les dessins d'exécution à l'approbation de l'auteur de projet. Ils tiennent compte des directives de la [NBN S 23-002] et de la [NBN EN 1991-1-4] en ce qui concerne l'étanchéité au vent.</w:t>
      </w:r>
    </w:p>
    <w:p w14:paraId="2CA472ED" w14:textId="77777777" w:rsidR="00DF410E" w:rsidRDefault="00CE7F43">
      <w:r>
        <w:t>À l'attention de l'auteur de projet</w:t>
      </w:r>
    </w:p>
    <w:p w14:paraId="3BD9AF5C" w14:textId="77777777" w:rsidR="00DF410E" w:rsidRDefault="00CE7F43">
      <w:r>
        <w:t>Pour plus d'information, consultez aussi Parois extérieures en blocs de verre [Buildwise Article Revue (1996-04-31)]</w:t>
      </w:r>
    </w:p>
    <w:p w14:paraId="29293E48" w14:textId="77777777" w:rsidR="00DF410E" w:rsidRDefault="00DF410E"/>
    <w:p w14:paraId="2E470C2D" w14:textId="77777777" w:rsidR="00DF410E" w:rsidRDefault="00CE7F43">
      <w:r>
        <w:t> </w:t>
      </w:r>
    </w:p>
    <w:p w14:paraId="76AAE0C7" w14:textId="77777777" w:rsidR="00DF410E" w:rsidRDefault="00CE7F43">
      <w:pPr>
        <w:pStyle w:val="Author-eSectionHeading6"/>
      </w:pPr>
      <w:bookmarkStart w:id="228" w:name="_Toc178837464"/>
      <w:r>
        <w:t>21.25.1a Maçonneries non portantes en ensembles de blocs de verre CCTB 01.11</w:t>
      </w:r>
      <w:bookmarkEnd w:id="228"/>
    </w:p>
    <w:p w14:paraId="147E289C" w14:textId="77777777" w:rsidR="00DF410E" w:rsidRDefault="00CE7F43">
      <w:pPr>
        <w:pStyle w:val="pheading"/>
      </w:pPr>
      <w:r>
        <w:t>DESCRIPTION</w:t>
      </w:r>
    </w:p>
    <w:p w14:paraId="46E894F4" w14:textId="77777777" w:rsidR="00DF410E" w:rsidRDefault="00CE7F43">
      <w:pPr>
        <w:pStyle w:val="pheading"/>
      </w:pPr>
      <w:r>
        <w:t>- Définition / Comprend</w:t>
      </w:r>
    </w:p>
    <w:p w14:paraId="63A73BE4" w14:textId="77777777" w:rsidR="00DF410E" w:rsidRDefault="00CE7F43">
      <w:r>
        <w:t xml:space="preserve">Il s’agit de la fourniture et la pose de maçonneries non portantes en ensembles de blocs de verre. </w:t>
      </w:r>
      <w:r>
        <w:br/>
        <w:t xml:space="preserve">La portée des travaux est décrite dans l’article </w:t>
      </w:r>
      <w:hyperlink w:anchor="398" w:history="1">
        <w:r>
          <w:t>21.25.1 Maçonneries non portantes en ensembles de blocs de verre</w:t>
        </w:r>
      </w:hyperlink>
      <w:r>
        <w:t>.</w:t>
      </w:r>
      <w:r>
        <w:br/>
        <w:t>Les travaux comprennent également la fourniture et la pose des panneaux, des</w:t>
      </w:r>
      <w:r>
        <w:br/>
        <w:t>isolations périphériques, les couches d'étanchéité, les bavettes de plomb, les armatures, les solins, les accessoires, des pièces d’angle, de terminaison et de rencontre, jusqu'au rejointoiement</w:t>
      </w:r>
      <w:r>
        <w:br/>
        <w:t>complet et le ragréage à l'aide d'un mastic élastique.</w:t>
      </w:r>
    </w:p>
    <w:p w14:paraId="21B17F35" w14:textId="77777777" w:rsidR="00DF410E" w:rsidRDefault="00CE7F43">
      <w:r>
        <w:t>Les blocs de verre avec ventilation peuvent, le cas échéant, être comptés séparément comme</w:t>
      </w:r>
      <w:r>
        <w:br/>
        <w:t>supplément pour la surface des panneaux.</w:t>
      </w:r>
    </w:p>
    <w:p w14:paraId="3169E4E1" w14:textId="77777777" w:rsidR="00DF410E" w:rsidRDefault="00CE7F43">
      <w:pPr>
        <w:pStyle w:val="pheading"/>
      </w:pPr>
      <w:r>
        <w:t>- Localisation</w:t>
      </w:r>
    </w:p>
    <w:p w14:paraId="467E504C" w14:textId="77777777" w:rsidR="00DF410E" w:rsidRDefault="00CE7F43">
      <w:r>
        <w:t xml:space="preserve">La pose est réalisée aux endroits suivants : </w:t>
      </w:r>
      <w:r>
        <w:rPr>
          <w:rStyle w:val="optioncarChar"/>
        </w:rPr>
        <w:t>***</w:t>
      </w:r>
      <w:r>
        <w:t>.</w:t>
      </w:r>
      <w:r>
        <w:br/>
        <w:t>Voir plans et métrés détaillés.</w:t>
      </w:r>
    </w:p>
    <w:p w14:paraId="76DB552A" w14:textId="77777777" w:rsidR="00DF410E" w:rsidRDefault="00CE7F43">
      <w:pPr>
        <w:pStyle w:val="pheading"/>
      </w:pPr>
      <w:r>
        <w:t>MATÉRIAUX</w:t>
      </w:r>
    </w:p>
    <w:p w14:paraId="575F1921" w14:textId="77777777" w:rsidR="00DF410E" w:rsidRDefault="00CE7F43">
      <w:pPr>
        <w:pStyle w:val="pheading"/>
      </w:pPr>
      <w:r>
        <w:t>- Caractéristiques générales</w:t>
      </w:r>
    </w:p>
    <w:p w14:paraId="7653DDFA" w14:textId="77777777" w:rsidR="00DF410E" w:rsidRDefault="00CE7F43">
      <w:pPr>
        <w:pStyle w:val="heading"/>
      </w:pPr>
      <w:r>
        <w:t>Spécifications</w:t>
      </w:r>
    </w:p>
    <w:p w14:paraId="0A77BB9B" w14:textId="77777777" w:rsidR="00DF410E" w:rsidRDefault="00CE7F43">
      <w:r>
        <w:t xml:space="preserve">Format des blocs de verre (mm) : </w:t>
      </w:r>
      <w:r>
        <w:rPr>
          <w:rStyle w:val="optioncarChar"/>
        </w:rPr>
        <w:t>145 x 145 x 55 / 190 x 190 x 80 </w:t>
      </w:r>
      <w:r>
        <w:t>(par défaut)</w:t>
      </w:r>
      <w:r>
        <w:rPr>
          <w:rStyle w:val="optioncarChar"/>
        </w:rPr>
        <w:t xml:space="preserve"> / 240 x 240 x 80 / 240 x 115 x 80 / 300 x 300 x 100 / *** x *** x ***</w:t>
      </w:r>
      <w:r>
        <w:t xml:space="preserve"> mm</w:t>
      </w:r>
    </w:p>
    <w:p w14:paraId="2E64DF7C" w14:textId="77777777" w:rsidR="00DF410E" w:rsidRDefault="00CE7F43">
      <w:r>
        <w:t xml:space="preserve">Aspect des blocs de verre : </w:t>
      </w:r>
      <w:r>
        <w:rPr>
          <w:rStyle w:val="optioncarChar"/>
        </w:rPr>
        <w:t>lisse uni </w:t>
      </w:r>
      <w:r>
        <w:t>(par défaut)</w:t>
      </w:r>
      <w:r>
        <w:rPr>
          <w:rStyle w:val="optioncarChar"/>
        </w:rPr>
        <w:t xml:space="preserve"> / lisse strié / lisse ondé / ***</w:t>
      </w:r>
    </w:p>
    <w:p w14:paraId="6EDE5808" w14:textId="77777777" w:rsidR="00DF410E" w:rsidRDefault="00CE7F43">
      <w:r>
        <w:t>Valeur d'isolation acoustique : environ 36dB</w:t>
      </w:r>
    </w:p>
    <w:p w14:paraId="62E42FC1" w14:textId="77777777" w:rsidR="00DF410E" w:rsidRDefault="00CE7F43">
      <w:r>
        <w:t xml:space="preserve">Valeur d'isolation thermique : k </w:t>
      </w:r>
      <w:r>
        <w:rPr>
          <w:u w:val="single"/>
        </w:rPr>
        <w:t>&lt;</w:t>
      </w:r>
      <w:r>
        <w:t xml:space="preserve"> 2.6 kcal/m2 (ne s'applique pas aux éléments de ventilation).</w:t>
      </w:r>
    </w:p>
    <w:p w14:paraId="6708DAE6" w14:textId="77777777" w:rsidR="00DF410E" w:rsidRDefault="00CE7F43">
      <w:pPr>
        <w:pStyle w:val="pheading"/>
      </w:pPr>
      <w:r>
        <w:t>- Finitions</w:t>
      </w:r>
    </w:p>
    <w:p w14:paraId="59C296F3" w14:textId="77777777" w:rsidR="00DF410E" w:rsidRDefault="00CE7F43">
      <w:r>
        <w:t xml:space="preserve">Teinte des blocs de verre : </w:t>
      </w:r>
      <w:r>
        <w:rPr>
          <w:rStyle w:val="optioncarChar"/>
        </w:rPr>
        <w:t>transparentes claires </w:t>
      </w:r>
      <w:r>
        <w:t>(par défaut)</w:t>
      </w:r>
      <w:r>
        <w:rPr>
          <w:rStyle w:val="optioncarChar"/>
        </w:rPr>
        <w:t xml:space="preserve"> / ***</w:t>
      </w:r>
    </w:p>
    <w:p w14:paraId="1925C99D" w14:textId="77777777" w:rsidR="00DF410E" w:rsidRDefault="00CE7F43">
      <w:pPr>
        <w:pStyle w:val="pheading"/>
      </w:pPr>
      <w:r>
        <w:t>- Prescriptions complémentaires</w:t>
      </w:r>
    </w:p>
    <w:p w14:paraId="59B43DA3" w14:textId="77777777" w:rsidR="00DF410E" w:rsidRDefault="00CE7F43">
      <w:r>
        <w:t xml:space="preserve">Eléments de ventilation : les blocs de verre avec ventilation répondent à la [NBN S 23-002] et ont une </w:t>
      </w:r>
      <w:r>
        <w:rPr>
          <w:rStyle w:val="optioncarChar"/>
        </w:rPr>
        <w:t>ouverture fixe / un clapet réglable / un clapet réglable avec moustiquaire</w:t>
      </w:r>
      <w:r>
        <w:t xml:space="preserve">, avec passage libre de l'air de </w:t>
      </w:r>
      <w:r>
        <w:rPr>
          <w:rStyle w:val="optioncarChar"/>
        </w:rPr>
        <w:t>25</w:t>
      </w:r>
      <w:r>
        <w:t> (par défaut)</w:t>
      </w:r>
      <w:r>
        <w:rPr>
          <w:rStyle w:val="optioncarChar"/>
        </w:rPr>
        <w:t xml:space="preserve"> / ***</w:t>
      </w:r>
      <w:r>
        <w:t xml:space="preserve"> %. L'application est conforme aux indications sur les plans et/ou aux dessins d'exécution.</w:t>
      </w:r>
    </w:p>
    <w:p w14:paraId="72AD797E" w14:textId="77777777" w:rsidR="00DF410E" w:rsidRDefault="00CE7F43">
      <w:r>
        <w:t xml:space="preserve">Si une façade vitrée domine des constructions, les toitures de ces constructions doivent répondre à </w:t>
      </w:r>
      <w:r>
        <w:rPr>
          <w:rStyle w:val="optioncarChar"/>
        </w:rPr>
        <w:t xml:space="preserve">E60 </w:t>
      </w:r>
      <w:r>
        <w:t>(par défaut) </w:t>
      </w:r>
      <w:r>
        <w:rPr>
          <w:rStyle w:val="optioncarChar"/>
        </w:rPr>
        <w:t xml:space="preserve">/ E120 / *** </w:t>
      </w:r>
      <w:r>
        <w:t>selon la [NBN EN 13501-2], sur une distance de 5m à partir de ces façades. Sinon, la façade ne peut pas être vitrée.</w:t>
      </w:r>
    </w:p>
    <w:p w14:paraId="041ACA77" w14:textId="77777777" w:rsidR="00DF410E" w:rsidRDefault="00CE7F43">
      <w:pPr>
        <w:pStyle w:val="pheading"/>
      </w:pPr>
      <w:r>
        <w:t>EXÉCUTION / MISE EN ŒUVRE</w:t>
      </w:r>
    </w:p>
    <w:p w14:paraId="12D5FC18" w14:textId="77777777" w:rsidR="00DF410E" w:rsidRDefault="00CE7F43">
      <w:pPr>
        <w:pStyle w:val="pheading"/>
      </w:pPr>
      <w:r>
        <w:t>- Prescriptions générales</w:t>
      </w:r>
    </w:p>
    <w:p w14:paraId="3634D56C" w14:textId="77777777" w:rsidR="00DF410E" w:rsidRDefault="00CE7F43">
      <w:r>
        <w:t xml:space="preserve">Les blocs de verre isolés sont insérés dans la maçonnerie à l'aide de mortier de maçonnerie, les joints entre les blocs de verre présentent une épaisseur constante de </w:t>
      </w:r>
      <w:r>
        <w:rPr>
          <w:rStyle w:val="optioncarChar"/>
        </w:rPr>
        <w:t>10 </w:t>
      </w:r>
      <w:r>
        <w:t>(par défaut)</w:t>
      </w:r>
      <w:r>
        <w:rPr>
          <w:rStyle w:val="optioncarChar"/>
        </w:rPr>
        <w:t xml:space="preserve"> / ***</w:t>
      </w:r>
      <w:r>
        <w:t xml:space="preserve"> mm. Pendant la mise en œuvre, les blocs sont nettoyés et lissés, il est conseillé de les enduire préalablement d'une couche protectrice. Tous les joints sont lissés et doivent être étanches.</w:t>
      </w:r>
    </w:p>
    <w:p w14:paraId="23EC6C9F" w14:textId="77777777" w:rsidR="00DF410E" w:rsidRDefault="00CE7F43">
      <w:r>
        <w:t>Dans tous les joints verticaux et horizontaux, on prévoit des armatures, en fonction des sollicitations dues au vent. Tous les joints, tant verticaux qu'horizontaux, sont armés d'au moins deux barres BE 400 diamètre 5 mm; ces barres se situent à au moins 20 mm des faces extérieures.</w:t>
      </w:r>
    </w:p>
    <w:p w14:paraId="400FE82D" w14:textId="77777777" w:rsidR="00DF410E" w:rsidRDefault="00CE7F43">
      <w:r>
        <w:t>La face inférieure et tous les autres bords incorporés reçoivent une bande bitumineuse d’une épaisseur de 1 cm. Lorsque la base repose sur un seuil approprié,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3D4AED13" w14:textId="77777777" w:rsidR="00DF410E" w:rsidRDefault="00DF410E"/>
    <w:p w14:paraId="7E75CCDD" w14:textId="77777777" w:rsidR="00DF410E" w:rsidRDefault="00CE7F43">
      <w:r>
        <w:t> </w:t>
      </w:r>
    </w:p>
    <w:p w14:paraId="084127C2" w14:textId="77777777" w:rsidR="00DF410E" w:rsidRDefault="00CE7F43">
      <w:pPr>
        <w:pStyle w:val="pheading"/>
      </w:pPr>
      <w:r>
        <w:t>- Notes d’exécution complémentaires</w:t>
      </w:r>
    </w:p>
    <w:p w14:paraId="469EFF7D" w14:textId="77777777" w:rsidR="00DF410E" w:rsidRDefault="00CE7F43">
      <w:r>
        <w:t>Les blocs de verre individuels ventilés sont intégrés dans la maçonnerie à l'aide de mortier de maçonnerie.</w:t>
      </w:r>
    </w:p>
    <w:p w14:paraId="5CBC3939" w14:textId="77777777" w:rsidR="00DF410E" w:rsidRDefault="00CE7F43">
      <w:r>
        <w:t xml:space="preserve">A l'intérieur, les niches sont parachevées à l'aide </w:t>
      </w:r>
      <w:r>
        <w:rPr>
          <w:rStyle w:val="optioncarChar"/>
        </w:rPr>
        <w:t>d'un cimentage / d'un plafonnage</w:t>
      </w:r>
      <w:r>
        <w:t>.</w:t>
      </w:r>
    </w:p>
    <w:p w14:paraId="3BEC1F3E" w14:textId="77777777" w:rsidR="00DF410E" w:rsidRDefault="00CE7F43">
      <w:pPr>
        <w:pStyle w:val="pheading"/>
      </w:pPr>
      <w:r>
        <w:t>MESURAGE</w:t>
      </w:r>
    </w:p>
    <w:p w14:paraId="6C7757B3" w14:textId="77777777" w:rsidR="00DF410E" w:rsidRDefault="00CE7F43">
      <w:pPr>
        <w:pStyle w:val="pheading"/>
      </w:pPr>
      <w:r>
        <w:t>- unité de mesure:</w:t>
      </w:r>
    </w:p>
    <w:p w14:paraId="396C677D" w14:textId="77777777" w:rsidR="00DF410E" w:rsidRDefault="00CE7F43">
      <w:pPr>
        <w:ind w:left="454"/>
      </w:pPr>
      <w:r>
        <w:rPr>
          <w:rStyle w:val="optioncarChar"/>
        </w:rPr>
        <w:t xml:space="preserve">m³ </w:t>
      </w:r>
      <w:r>
        <w:t>(par défaut)</w:t>
      </w:r>
      <w:r>
        <w:rPr>
          <w:rStyle w:val="optioncarChar"/>
        </w:rPr>
        <w:t xml:space="preserve"> / m²/ Pce</w:t>
      </w:r>
    </w:p>
    <w:p w14:paraId="0ECAEAD3" w14:textId="77777777" w:rsidR="00DF410E" w:rsidRDefault="00CE7F43">
      <w:pPr>
        <w:pStyle w:val="pheading"/>
      </w:pPr>
      <w:r>
        <w:t>- code de mesurage:</w:t>
      </w:r>
    </w:p>
    <w:p w14:paraId="199F4DE9"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F7CB266"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DD4A2DC"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2178A76B" w14:textId="77777777" w:rsidR="00DF410E" w:rsidRDefault="00CE7F43">
      <w:r>
        <w:rPr>
          <w:rStyle w:val="optioncarChar"/>
        </w:rPr>
        <w:t>Volume net </w:t>
      </w:r>
      <w:r>
        <w:t>(par défaut)</w:t>
      </w:r>
      <w:r>
        <w:rPr>
          <w:rStyle w:val="optioncarChar"/>
        </w:rPr>
        <w:t> / Surface nette</w:t>
      </w:r>
    </w:p>
    <w:p w14:paraId="2CBB7104" w14:textId="77777777" w:rsidR="00DF410E" w:rsidRDefault="00CE7F43">
      <w:r>
        <w:rPr>
          <w:b/>
        </w:rPr>
        <w:t>(soit par défaut)</w:t>
      </w:r>
    </w:p>
    <w:p w14:paraId="2DEB6252"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A27C2A6" w14:textId="77777777" w:rsidR="00DF410E" w:rsidRDefault="00CE7F43">
      <w:r>
        <w:rPr>
          <w:b/>
        </w:rPr>
        <w:t>(soit)</w:t>
      </w:r>
    </w:p>
    <w:p w14:paraId="2263327F"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29503F5" w14:textId="77777777" w:rsidR="00DF410E" w:rsidRDefault="00DF410E"/>
    <w:p w14:paraId="39C5B555" w14:textId="77777777" w:rsidR="00DF410E" w:rsidRDefault="00CE7F43">
      <w:pPr>
        <w:pStyle w:val="pheading"/>
      </w:pPr>
      <w:r>
        <w:t>- nature du marché:</w:t>
      </w:r>
    </w:p>
    <w:p w14:paraId="70CA43DC" w14:textId="77777777" w:rsidR="00DF410E" w:rsidRDefault="00CE7F43">
      <w:r>
        <w:t>QF</w:t>
      </w:r>
    </w:p>
    <w:p w14:paraId="1A9A41CA" w14:textId="77777777" w:rsidR="00DF410E" w:rsidRDefault="00CE7F43">
      <w:pPr>
        <w:pStyle w:val="pheading"/>
      </w:pPr>
      <w:r>
        <w:t>AIDE</w:t>
      </w:r>
    </w:p>
    <w:p w14:paraId="2ADAA765" w14:textId="77777777" w:rsidR="00DF410E" w:rsidRDefault="00CE7F43">
      <w:r>
        <w:t>Support aux prescripteurs : [AR 1994-07-07] et [SWL GSI/T1/C] de la prévention passive .</w:t>
      </w:r>
    </w:p>
    <w:p w14:paraId="21548C55" w14:textId="77777777" w:rsidR="00DF410E" w:rsidRDefault="00CE7F43">
      <w:pPr>
        <w:pStyle w:val="Author-eSectionHeading6"/>
      </w:pPr>
      <w:bookmarkStart w:id="229" w:name="_Toc178837465"/>
      <w:r>
        <w:t>21.25.1b Maçonneries non portantes en panneaux préfabriqués en blocs de verre CCTB 01.11</w:t>
      </w:r>
      <w:bookmarkEnd w:id="229"/>
    </w:p>
    <w:p w14:paraId="43986D06" w14:textId="77777777" w:rsidR="00DF410E" w:rsidRDefault="00CE7F43">
      <w:pPr>
        <w:pStyle w:val="pheading"/>
      </w:pPr>
      <w:r>
        <w:t>DESCRIPTION</w:t>
      </w:r>
    </w:p>
    <w:p w14:paraId="499B5858" w14:textId="77777777" w:rsidR="00DF410E" w:rsidRDefault="00CE7F43">
      <w:pPr>
        <w:pStyle w:val="pheading"/>
      </w:pPr>
      <w:r>
        <w:t>- Définition / Comprend</w:t>
      </w:r>
    </w:p>
    <w:p w14:paraId="679907A6" w14:textId="77777777" w:rsidR="00DF410E" w:rsidRDefault="00CE7F43">
      <w:r>
        <w:t xml:space="preserve">Il s’agit de la fourniture et la pose de maçonneries non portantes en panneaux préfabriqués de blocs de verre. </w:t>
      </w:r>
      <w:r>
        <w:br/>
        <w:t xml:space="preserve">La portée des travaux est décrite dans l’article </w:t>
      </w:r>
      <w:hyperlink w:anchor="398" w:history="1">
        <w:r>
          <w:t>21.25.1 Maçonneries non portantes en ensembles de blocs de verre</w:t>
        </w:r>
      </w:hyperlink>
      <w:r>
        <w:t>.</w:t>
      </w:r>
      <w:r>
        <w:br/>
        <w:t>Les travaux comprennent également la fourniture et la pose des pièces d’angle, de terminaison et de rencontre.</w:t>
      </w:r>
    </w:p>
    <w:p w14:paraId="74C769C8" w14:textId="77777777" w:rsidR="00DF410E" w:rsidRDefault="00CE7F43">
      <w:r>
        <w:t>Les travaux comprennent également la fourniture et la pose des panneaux, des</w:t>
      </w:r>
      <w:r>
        <w:br/>
        <w:t>isolations périphériques, les couches d'étanchéité, les bavettes de plomb, les armatures, les solins, les accessoires, des pièces d’angle, de terminaison et de rencontre, jusqu'au rejointoiement</w:t>
      </w:r>
      <w:r>
        <w:br/>
        <w:t>complet et le ragréage à l'aide d'un mastic élastique.</w:t>
      </w:r>
    </w:p>
    <w:p w14:paraId="21320EE0" w14:textId="77777777" w:rsidR="00DF410E" w:rsidRDefault="00CE7F43">
      <w:r>
        <w:t>Les blocs de verre avec ventilation peuvent, le cas échéant, être comptés séparément comme</w:t>
      </w:r>
      <w:r>
        <w:br/>
        <w:t>supplément pour la surface des panneaux.</w:t>
      </w:r>
    </w:p>
    <w:p w14:paraId="18716C89" w14:textId="77777777" w:rsidR="00DF410E" w:rsidRDefault="00CE7F43">
      <w:pPr>
        <w:pStyle w:val="pheading"/>
      </w:pPr>
      <w:r>
        <w:t>- Localisation</w:t>
      </w:r>
    </w:p>
    <w:p w14:paraId="525D9058" w14:textId="77777777" w:rsidR="00DF410E" w:rsidRDefault="00CE7F43">
      <w:r>
        <w:t>La pose est réalisée aux endroits suivants :</w:t>
      </w:r>
      <w:r>
        <w:rPr>
          <w:rStyle w:val="optioncarChar"/>
        </w:rPr>
        <w:t xml:space="preserve"> ***</w:t>
      </w:r>
      <w:r>
        <w:t>.</w:t>
      </w:r>
      <w:r>
        <w:br/>
        <w:t>Voir plans et métrés détaillés.</w:t>
      </w:r>
    </w:p>
    <w:p w14:paraId="6A77723B" w14:textId="77777777" w:rsidR="00DF410E" w:rsidRDefault="00CE7F43">
      <w:pPr>
        <w:pStyle w:val="pheading"/>
      </w:pPr>
      <w:r>
        <w:t>MATÉRIAUX</w:t>
      </w:r>
    </w:p>
    <w:p w14:paraId="036641B7" w14:textId="77777777" w:rsidR="00DF410E" w:rsidRDefault="00CE7F43">
      <w:pPr>
        <w:pStyle w:val="pheading"/>
      </w:pPr>
      <w:r>
        <w:t>- Caractéristiques générales</w:t>
      </w:r>
    </w:p>
    <w:p w14:paraId="04F3BBC3" w14:textId="77777777" w:rsidR="00DF410E" w:rsidRDefault="00CE7F43">
      <w:r>
        <w:t>Il s'agit de blocs de verre préassemblés dans des cadres préfabriqués sur mesure, en vue de constituer des panneaux. Le montage est effectué par une firme spécialisée. Latéralement, les panneaux sont ancrés dans la maçonnerie à l'aide d'armatures dépassantes, d'un diamètre d'environ 1 cm; ces armatures permettent la fixation des panneaux et sont maçonnées dans la maçonnerie attenante. L'entrepreneur soumet les notes de calcul et les détails d'exécution des panneaux préfabriqués en blocs de verre pour approbation à l'auteur de projet. Ils respectent la [NBN S 23-002] et la [NBN EN 1991-1-4] en ce qui concerne l'étanchéité des murs extérieurs.</w:t>
      </w:r>
    </w:p>
    <w:p w14:paraId="1576D6BF" w14:textId="77777777" w:rsidR="00DF410E" w:rsidRDefault="00CE7F43">
      <w:pPr>
        <w:pStyle w:val="heading"/>
      </w:pPr>
      <w:r>
        <w:t>Spécifications</w:t>
      </w:r>
    </w:p>
    <w:p w14:paraId="0B192BFD" w14:textId="77777777" w:rsidR="00DF410E" w:rsidRDefault="00CE7F43">
      <w:r>
        <w:t>Cadre : cadre en béton d'au moins</w:t>
      </w:r>
      <w:r>
        <w:rPr>
          <w:rStyle w:val="optioncarChar"/>
        </w:rPr>
        <w:t xml:space="preserve"> 5 </w:t>
      </w:r>
      <w:r>
        <w:t>(par défaut)</w:t>
      </w:r>
      <w:r>
        <w:rPr>
          <w:rStyle w:val="optioncarChar"/>
        </w:rPr>
        <w:t xml:space="preserve"> / *** cm de largeur.</w:t>
      </w:r>
    </w:p>
    <w:p w14:paraId="5FB95124" w14:textId="77777777" w:rsidR="00DF410E" w:rsidRDefault="00CE7F43">
      <w:r>
        <w:t xml:space="preserve">Dimensions du cadre (cm) : </w:t>
      </w:r>
      <w:r>
        <w:rPr>
          <w:rStyle w:val="optioncarChar"/>
        </w:rPr>
        <w:t>selon les indications sur les plans </w:t>
      </w:r>
      <w:r>
        <w:t xml:space="preserve">(par défaut) </w:t>
      </w:r>
      <w:r>
        <w:rPr>
          <w:rStyle w:val="optioncarChar"/>
        </w:rPr>
        <w:t>/ *** x ***</w:t>
      </w:r>
      <w:r>
        <w:t> </w:t>
      </w:r>
    </w:p>
    <w:p w14:paraId="636AAFD0" w14:textId="77777777" w:rsidR="00DF410E" w:rsidRDefault="00CE7F43">
      <w:r>
        <w:t xml:space="preserve">Format des blocs de verre (mm) : </w:t>
      </w:r>
      <w:r>
        <w:rPr>
          <w:rStyle w:val="optioncarChar"/>
        </w:rPr>
        <w:t>145 x 145 x 55 / 190 x 190 x 80 </w:t>
      </w:r>
      <w:r>
        <w:t>(par défaut)</w:t>
      </w:r>
      <w:r>
        <w:rPr>
          <w:rStyle w:val="optioncarChar"/>
        </w:rPr>
        <w:t> / 240 x 240 x 80 / 240 x 115 x 80 / 300 x 300 x 100 / *** x *** x ***</w:t>
      </w:r>
    </w:p>
    <w:p w14:paraId="0EE7A152" w14:textId="77777777" w:rsidR="00DF410E" w:rsidRDefault="00CE7F43">
      <w:r>
        <w:t xml:space="preserve">Aspect des blocs de verre : </w:t>
      </w:r>
      <w:r>
        <w:rPr>
          <w:rStyle w:val="optioncarChar"/>
        </w:rPr>
        <w:t>lisse uni </w:t>
      </w:r>
      <w:r>
        <w:t>(par défaut)</w:t>
      </w:r>
      <w:r>
        <w:rPr>
          <w:rStyle w:val="optioncarChar"/>
        </w:rPr>
        <w:t xml:space="preserve"> / lisse strié / lisse ondé / ***</w:t>
      </w:r>
    </w:p>
    <w:p w14:paraId="672489B3" w14:textId="77777777" w:rsidR="00DF410E" w:rsidRDefault="00DF410E"/>
    <w:p w14:paraId="7FC379BB" w14:textId="77777777" w:rsidR="00DF410E" w:rsidRDefault="00CE7F43">
      <w:r>
        <w:t> </w:t>
      </w:r>
    </w:p>
    <w:p w14:paraId="0921F5BF" w14:textId="77777777" w:rsidR="00DF410E" w:rsidRDefault="00CE7F43">
      <w:pPr>
        <w:pStyle w:val="pheading"/>
      </w:pPr>
      <w:r>
        <w:t>- Finitions</w:t>
      </w:r>
    </w:p>
    <w:p w14:paraId="76DD48C5" w14:textId="77777777" w:rsidR="00DF410E" w:rsidRDefault="00CE7F43">
      <w:r>
        <w:t xml:space="preserve">Teinte des blocs de verre : </w:t>
      </w:r>
      <w:r>
        <w:rPr>
          <w:rStyle w:val="optioncarChar"/>
        </w:rPr>
        <w:t>transparentes claires</w:t>
      </w:r>
      <w:r>
        <w:t xml:space="preserve"> (par défaut)</w:t>
      </w:r>
      <w:r>
        <w:rPr>
          <w:rStyle w:val="optioncarChar"/>
        </w:rPr>
        <w:t> / ***</w:t>
      </w:r>
    </w:p>
    <w:p w14:paraId="223DAA19" w14:textId="77777777" w:rsidR="00DF410E" w:rsidRDefault="00CE7F43">
      <w:pPr>
        <w:pStyle w:val="pheading"/>
      </w:pPr>
      <w:r>
        <w:t>- Prescriptions complémentaires</w:t>
      </w:r>
    </w:p>
    <w:p w14:paraId="32B356BA" w14:textId="77777777" w:rsidR="00DF410E" w:rsidRDefault="00CE7F43">
      <w:r>
        <w:t xml:space="preserve">Eléments de ventilation : les blocs de verre ventilées répondent à la [NBN S 23-002] et présentent </w:t>
      </w:r>
      <w:r>
        <w:rPr>
          <w:rStyle w:val="optioncarChar"/>
        </w:rPr>
        <w:t>une ouverture fixe / un clapet réglable / un clapet réglable avec moustiquaire</w:t>
      </w:r>
      <w:r>
        <w:t xml:space="preserve">, passage libre de l'air de </w:t>
      </w:r>
      <w:r>
        <w:rPr>
          <w:rStyle w:val="optioncarChar"/>
        </w:rPr>
        <w:t xml:space="preserve">25 </w:t>
      </w:r>
      <w:r>
        <w:t>(par défaut) </w:t>
      </w:r>
      <w:r>
        <w:rPr>
          <w:rStyle w:val="optioncarChar"/>
        </w:rPr>
        <w:t xml:space="preserve">/ *** </w:t>
      </w:r>
      <w:r>
        <w:t>%. L'application est conforme aux indications sur les plans et/ou aux dessins de d'exécution.</w:t>
      </w:r>
    </w:p>
    <w:p w14:paraId="2512E8A7" w14:textId="77777777" w:rsidR="00DF410E" w:rsidRDefault="00CE7F43">
      <w:r>
        <w:t>On pose une bande de polystyrène extrudé d'une épaisseur de 15 mm sur les côtés et de 25 mm au-dessus des panneaux préfabriqués</w:t>
      </w:r>
    </w:p>
    <w:p w14:paraId="6174024B" w14:textId="77777777" w:rsidR="00DF410E" w:rsidRDefault="00CE7F43">
      <w:r>
        <w:t xml:space="preserve">Si une façade vitrée domine des constructions, les toitures de ces constructions doivent répondre à </w:t>
      </w:r>
      <w:r>
        <w:rPr>
          <w:rStyle w:val="optioncarChar"/>
        </w:rPr>
        <w:t>E60 </w:t>
      </w:r>
      <w:r>
        <w:t>(par défaut) </w:t>
      </w:r>
      <w:r>
        <w:rPr>
          <w:rStyle w:val="optioncarChar"/>
        </w:rPr>
        <w:t xml:space="preserve">/ E120 </w:t>
      </w:r>
      <w:r>
        <w:t>selon la [NBN EN 13501-2], sur une distance de 5m à partir de ces façades. Sinon, la façade ne peut pas être vitrée.</w:t>
      </w:r>
    </w:p>
    <w:p w14:paraId="3A88D6DB" w14:textId="77777777" w:rsidR="00DF410E" w:rsidRDefault="00DF410E"/>
    <w:p w14:paraId="2EA760B5" w14:textId="77777777" w:rsidR="00DF410E" w:rsidRDefault="00CE7F43">
      <w:r>
        <w:t> </w:t>
      </w:r>
    </w:p>
    <w:p w14:paraId="6635CEBA" w14:textId="77777777" w:rsidR="00DF410E" w:rsidRDefault="00CE7F43">
      <w:pPr>
        <w:pStyle w:val="pheading"/>
      </w:pPr>
      <w:r>
        <w:t>EXÉCUTION / MISE EN ŒUVRE</w:t>
      </w:r>
    </w:p>
    <w:p w14:paraId="3948A0A5" w14:textId="77777777" w:rsidR="00DF410E" w:rsidRDefault="00CE7F43">
      <w:pPr>
        <w:pStyle w:val="pheading"/>
      </w:pPr>
      <w:r>
        <w:t>- Prescriptions générales</w:t>
      </w:r>
    </w:p>
    <w:p w14:paraId="3247A313" w14:textId="77777777" w:rsidR="00DF410E" w:rsidRDefault="00CE7F43">
      <w:r>
        <w:t> L'ancrage et la pose des panneaux en briques de verre s'effectuent conformément aux directives du fabricant des blocs de verre et de l'entreprise spécialisée. La construction est totalement indépendante de l'ouvrage de gros-œuvre et ne peut en aucun cas subir les sollicitations et les tassements du gros-œuvre. A cet effet, on insère au-dessus et sur les côtés un joint de dilatation en matériau extrêmement compressible (par exemple, un mastic de polysulfide à deux composantes), d'une épaisseur d'environ 10 mm (au-dessus 15 mm). Les joints sont lissés et doivent à la fois rester étanches à l'eau et conserver leur élasticité. La couleur est déterminée par l'auteur de projet.</w:t>
      </w:r>
    </w:p>
    <w:p w14:paraId="0147CE2C" w14:textId="77777777" w:rsidR="00DF410E" w:rsidRDefault="00CE7F43">
      <w:pPr>
        <w:pStyle w:val="pheading"/>
      </w:pPr>
      <w:r>
        <w:t>- Notes d’exécution complémentaires</w:t>
      </w:r>
    </w:p>
    <w:p w14:paraId="3ABD1F4A" w14:textId="77777777" w:rsidR="00DF410E" w:rsidRDefault="00CE7F43">
      <w:r>
        <w:t>Les joints périphériques sont rembourrés à l'aide d'un matériau isolant approprié.</w:t>
      </w:r>
    </w:p>
    <w:p w14:paraId="0466214B" w14:textId="77777777" w:rsidR="00DF410E" w:rsidRDefault="00CE7F43">
      <w:r>
        <w:t>Les bords inférieurs sont pourvus d'une couche hydrofuge, c'est-à-dire d’une bande de bitume et d’une bavette de plomb continue</w:t>
      </w:r>
      <w:r>
        <w:rPr>
          <w:color w:val="FF0000"/>
        </w:rPr>
        <w:t>.</w:t>
      </w:r>
    </w:p>
    <w:p w14:paraId="5D17FD28" w14:textId="77777777" w:rsidR="00DF410E" w:rsidRDefault="00CE7F43">
      <w:r>
        <w:t>Les blocs de verre ventilés sont intégrés dans les panneaux préfabriqués selon les indications sur les plans et/ou les dessins de détail.</w:t>
      </w:r>
    </w:p>
    <w:p w14:paraId="7C57C93C" w14:textId="77777777" w:rsidR="00DF410E" w:rsidRDefault="00CE7F43">
      <w:pPr>
        <w:pStyle w:val="pheading"/>
      </w:pPr>
      <w:r>
        <w:t>MESURAGE</w:t>
      </w:r>
    </w:p>
    <w:p w14:paraId="4ECFFD9B" w14:textId="77777777" w:rsidR="00DF410E" w:rsidRDefault="00CE7F43">
      <w:pPr>
        <w:pStyle w:val="pheading"/>
      </w:pPr>
      <w:r>
        <w:t>- unité de mesure:</w:t>
      </w:r>
    </w:p>
    <w:p w14:paraId="1C40F210" w14:textId="77777777" w:rsidR="00DF410E" w:rsidRDefault="00CE7F43">
      <w:r>
        <w:rPr>
          <w:rStyle w:val="optioncarChar"/>
        </w:rPr>
        <w:t>m³ </w:t>
      </w:r>
      <w:r>
        <w:t>(par défaut)</w:t>
      </w:r>
      <w:r>
        <w:rPr>
          <w:rStyle w:val="optioncarChar"/>
        </w:rPr>
        <w:t> / m²</w:t>
      </w:r>
    </w:p>
    <w:p w14:paraId="0292FF9F" w14:textId="77777777" w:rsidR="00DF410E" w:rsidRDefault="00CE7F43">
      <w:r>
        <w:rPr>
          <w:b/>
        </w:rPr>
        <w:t>(soit par défaut)</w:t>
      </w:r>
    </w:p>
    <w:p w14:paraId="5C6525E4" w14:textId="77777777" w:rsidR="00DF410E" w:rsidRDefault="00CE7F43">
      <w:r>
        <w:rPr>
          <w:rStyle w:val="soitChar"/>
        </w:rPr>
        <w:t>1. m³</w:t>
      </w:r>
    </w:p>
    <w:p w14:paraId="2F6B7F56" w14:textId="77777777" w:rsidR="00DF410E" w:rsidRDefault="00CE7F43">
      <w:r>
        <w:rPr>
          <w:b/>
        </w:rPr>
        <w:t>(soit)</w:t>
      </w:r>
    </w:p>
    <w:p w14:paraId="4A00D91D" w14:textId="77777777" w:rsidR="00DF410E" w:rsidRDefault="00CE7F43">
      <w:r>
        <w:rPr>
          <w:rStyle w:val="soitChar"/>
        </w:rPr>
        <w:t>2. m²</w:t>
      </w:r>
    </w:p>
    <w:p w14:paraId="1D960355" w14:textId="77777777" w:rsidR="00DF410E" w:rsidRDefault="00CE7F43">
      <w:pPr>
        <w:pStyle w:val="pheading"/>
      </w:pPr>
      <w:r>
        <w:t>- code de mesurage:</w:t>
      </w:r>
    </w:p>
    <w:p w14:paraId="1F0A8688" w14:textId="77777777" w:rsidR="00DF410E" w:rsidRDefault="00CE7F43">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1D7E126" w14:textId="77777777" w:rsidR="00DF410E" w:rsidRDefault="00CE7F43">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01E57588" w14:textId="77777777" w:rsidR="00DF410E" w:rsidRDefault="00CE7F43">
      <w:r>
        <w:t xml:space="preserve">L'appui des dalles de sol sur le mur porteur de contre-façade n'est pas déduit mais compté comme ouvrage de maçonnerie ; par contre, les murs intérieurs porteurs sont mesurés entre les planchers (voir </w:t>
      </w:r>
      <w:hyperlink w:anchor="88" w:history="1">
        <w:r>
          <w:t>22.15 Planchers en béton</w:t>
        </w:r>
      </w:hyperlink>
      <w:r>
        <w:t>).</w:t>
      </w:r>
      <w:r>
        <w:br/>
        <w:t>La maçonnerie autour des conduits de fumée et de ventilation est mesurée comme un mur plein pour les fourreaux jusqu'à une section de 0,12 m2.</w:t>
      </w:r>
    </w:p>
    <w:p w14:paraId="5ADA864C" w14:textId="77777777" w:rsidR="00DF410E" w:rsidRDefault="00CE7F43">
      <w:r>
        <w:rPr>
          <w:rStyle w:val="optioncarChar"/>
        </w:rPr>
        <w:t>Volume net </w:t>
      </w:r>
      <w:r>
        <w:t>(par défaut)</w:t>
      </w:r>
      <w:r>
        <w:rPr>
          <w:rStyle w:val="optioncarChar"/>
        </w:rPr>
        <w:t> / Surface nette</w:t>
      </w:r>
    </w:p>
    <w:p w14:paraId="0C5EEBAE" w14:textId="77777777" w:rsidR="00DF410E" w:rsidRDefault="00CE7F43">
      <w:r>
        <w:rPr>
          <w:b/>
        </w:rPr>
        <w:t>(soit par défaut)</w:t>
      </w:r>
    </w:p>
    <w:p w14:paraId="30842311" w14:textId="77777777" w:rsidR="00DF410E" w:rsidRDefault="00CE7F43">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8420722" w14:textId="77777777" w:rsidR="00DF410E" w:rsidRDefault="00CE7F43">
      <w:r>
        <w:rPr>
          <w:b/>
        </w:rPr>
        <w:t>(soit)</w:t>
      </w:r>
    </w:p>
    <w:p w14:paraId="781899E3" w14:textId="77777777" w:rsidR="00DF410E" w:rsidRDefault="00CE7F43">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2D480F0" w14:textId="77777777" w:rsidR="00DF410E" w:rsidRDefault="00DF410E"/>
    <w:p w14:paraId="0D63718C" w14:textId="77777777" w:rsidR="00DF410E" w:rsidRDefault="00CE7F43">
      <w:r>
        <w:t> </w:t>
      </w:r>
    </w:p>
    <w:p w14:paraId="3B07D317" w14:textId="77777777" w:rsidR="00DF410E" w:rsidRDefault="00CE7F43">
      <w:pPr>
        <w:pStyle w:val="pheading"/>
      </w:pPr>
      <w:r>
        <w:t>- nature du marché:</w:t>
      </w:r>
    </w:p>
    <w:p w14:paraId="3639DAEB" w14:textId="77777777" w:rsidR="00DF410E" w:rsidRDefault="00CE7F43">
      <w:r>
        <w:t>QF</w:t>
      </w:r>
    </w:p>
    <w:p w14:paraId="649040BC" w14:textId="77777777" w:rsidR="00DF410E" w:rsidRDefault="00CE7F43">
      <w:pPr>
        <w:pStyle w:val="pheading"/>
      </w:pPr>
      <w:r>
        <w:t>AIDE</w:t>
      </w:r>
    </w:p>
    <w:p w14:paraId="0D10648F" w14:textId="77777777" w:rsidR="00DF410E" w:rsidRDefault="00CE7F43">
      <w:r>
        <w:t>Support aux prescripteurs : [AR 1994-07-07] et [SWL GSI/T1/C] de la prévention passive.</w:t>
      </w:r>
    </w:p>
    <w:p w14:paraId="48EE89E1" w14:textId="77777777" w:rsidR="00DF410E" w:rsidRDefault="00CE7F43">
      <w:pPr>
        <w:pStyle w:val="Author-eSectionHeading3"/>
      </w:pPr>
      <w:bookmarkStart w:id="230" w:name="_Toc178837466"/>
      <w:r>
        <w:t>21.3 Maçonneries de parement CCTB 01.11</w:t>
      </w:r>
      <w:bookmarkEnd w:id="230"/>
    </w:p>
    <w:p w14:paraId="022C64F8" w14:textId="77777777" w:rsidR="00DF410E" w:rsidRDefault="00CE7F43">
      <w:pPr>
        <w:pStyle w:val="pheading"/>
      </w:pPr>
      <w:bookmarkStart w:id="231" w:name="379"/>
      <w:bookmarkEnd w:id="231"/>
      <w:r>
        <w:t>DESCRIPTION</w:t>
      </w:r>
    </w:p>
    <w:p w14:paraId="7C2A249B" w14:textId="77777777" w:rsidR="00DF410E" w:rsidRDefault="00CE7F43">
      <w:pPr>
        <w:pStyle w:val="pheading"/>
      </w:pPr>
      <w:r>
        <w:t>- Définition / Comprend</w:t>
      </w:r>
    </w:p>
    <w:p w14:paraId="77CB3615" w14:textId="77777777" w:rsidR="00DF410E" w:rsidRDefault="00CE7F43">
      <w:r>
        <w:t>Ce poste comprend tous les éléments, travaux et fournitures pour les ouvrages de maçonnerie de parement décrits dans le cahier spécial des charges, y compris toutes les sujétions d'exécution en fonction de la nature de l'application et/ou de la composition.</w:t>
      </w:r>
    </w:p>
    <w:p w14:paraId="49E6CA6D" w14:textId="77777777" w:rsidR="00DF410E" w:rsidRDefault="00CE7F43">
      <w:r>
        <w:rPr>
          <w:rStyle w:val="normalChar"/>
          <w:color w:val="000000"/>
        </w:rPr>
        <w:t xml:space="preserve">Ce poste concerne les murs de parement non porteurs des murs creux (intérieurs ou extérieurs). </w:t>
      </w:r>
      <w:r>
        <w:br/>
      </w:r>
    </w:p>
    <w:p w14:paraId="35F088BF" w14:textId="77777777" w:rsidR="00DF410E" w:rsidRDefault="00CE7F43">
      <w:pPr>
        <w:pStyle w:val="pheading"/>
      </w:pPr>
      <w:r>
        <w:t>MATÉRIAUX</w:t>
      </w:r>
    </w:p>
    <w:p w14:paraId="67BAD65C" w14:textId="77777777" w:rsidR="00DF410E" w:rsidRDefault="00CE7F43">
      <w:pPr>
        <w:spacing w:line="259" w:lineRule="auto"/>
      </w:pPr>
      <w:r>
        <w:rPr>
          <w:rStyle w:val="headingChar"/>
        </w:rPr>
        <w:t>A. ELEMENTS DE MACONNERIE</w:t>
      </w:r>
    </w:p>
    <w:p w14:paraId="05BE7280" w14:textId="77777777" w:rsidR="00DF410E" w:rsidRDefault="00DF410E"/>
    <w:p w14:paraId="763B3B44" w14:textId="77777777" w:rsidR="00DF410E" w:rsidRDefault="00CE7F43">
      <w:pPr>
        <w:spacing w:line="259" w:lineRule="auto"/>
      </w:pPr>
      <w:r>
        <w:rPr>
          <w:rStyle w:val="normalChar"/>
          <w:color w:val="000000"/>
        </w:rPr>
        <w:t>Les éléments de maçonnerie qui présentent des défauts ou endommagements sont refusés à moins de pouvoir les utiliser partiellement (‘demi-brique’ par exemple). Le pourcentage de tels éléments est limité (voir définitions et limitations dans la [STS 22 série] et la [NIT 271]). Lorsque la livraison ne respecte pas cette limite, contact est pris avec le fournisseur en vue de refuser la livraison. Le triage préalable des éléments à cet égard ne fait pas partie des travaux normaux sauf mention contraire dans le cahier spécial des charges. Les briques de parement sont exemptes de crevasses, d'écornures ou d'épaufrures. Les éléments cassés ou ceux qui présentent des traces d'incuits, les éléments d'aspect ou de forme irrégulière sont refusés. Lorsque toute une livraison est refusée, l'entrepreneur a le droit de trier les briques sur chantier et d'évacuer les briques refusées en dehors du chantier.</w:t>
      </w:r>
    </w:p>
    <w:p w14:paraId="595D8455" w14:textId="77777777" w:rsidR="00DF410E" w:rsidRDefault="00CE7F43">
      <w:r>
        <w:rPr>
          <w:rStyle w:val="normalChar"/>
          <w:color w:val="000000"/>
        </w:rPr>
        <w:t> </w:t>
      </w:r>
    </w:p>
    <w:p w14:paraId="73AA889E" w14:textId="77777777" w:rsidR="00DF410E" w:rsidRDefault="00CE7F43">
      <w:r>
        <w:rPr>
          <w:rStyle w:val="headingChar"/>
        </w:rPr>
        <w:t>B. MORTIERS DE MACONNERIE</w:t>
      </w:r>
    </w:p>
    <w:p w14:paraId="70480A22" w14:textId="77777777" w:rsidR="00DF410E" w:rsidRDefault="00CE7F43">
      <w:pPr>
        <w:pStyle w:val="heading"/>
      </w:pPr>
      <w:r>
        <w:t>composants des mortiers dosés in situ</w:t>
      </w:r>
    </w:p>
    <w:p w14:paraId="16B9BA8F" w14:textId="77777777" w:rsidR="00DF410E" w:rsidRDefault="00CE7F43">
      <w:r>
        <w:t>Le mortier doit être fabriqué à l'aide de sable rugueux (les sables gras ou argileux ainsi que les sables fins sont déconseillés). Le module de finesse du sable est compris entre 1-1,9. Le sable ne peut pas contenir plus de 0,05% de matières organiques et doit être exempt de substances solubles et non-solubles telles que les restes d'argile, les sulfates, les sels de fer, … Il doit en outre être stocké de manière à ne pas pouvoir être sali par des substances étrangères.</w:t>
      </w:r>
    </w:p>
    <w:p w14:paraId="6E36AB55" w14:textId="77777777" w:rsidR="00DF410E" w:rsidRDefault="00CE7F43">
      <w:r>
        <w:t>Le pourcentage d'eau de gâchage est de 30 à 35 % du volume total; l'eau ne peut pas être polluée par des matières organiques, des acides, des sels, des alcali, des sucres, des déchets industriels ou autres qui risquent de nuire à la résistance ou à la durabilité du mortier.</w:t>
      </w:r>
    </w:p>
    <w:p w14:paraId="4257BC3D" w14:textId="77777777" w:rsidR="00DF410E" w:rsidRDefault="00CE7F43">
      <w:r>
        <w:t>Les adjuvants sont uniquement autorisés avec l'accord préalable de l'auteur de projet. Leur utilisation et le dosage exact doivent correspondre aux directives du fournisseur et aux normes de la série [NBN EN 934-1]. Les retardateurs de prise sont interdits.</w:t>
      </w:r>
    </w:p>
    <w:p w14:paraId="3ADD3A6A" w14:textId="77777777" w:rsidR="00DF410E" w:rsidRDefault="00CE7F43">
      <w:r>
        <w:t>L'entrepreneur prend les précautions nécessaires pour protéger le mortier contre les influences atmosphériques. Il est interdit d'utiliser du mortier bâtard par temps de gel. Seul l'usage modéré et bien dosé d'agents moussants est alors autorisé.</w:t>
      </w:r>
    </w:p>
    <w:p w14:paraId="5416CE92" w14:textId="77777777" w:rsidR="00DF410E" w:rsidRDefault="00CE7F43">
      <w:r>
        <w:t> </w:t>
      </w:r>
    </w:p>
    <w:p w14:paraId="09FF9D9F" w14:textId="77777777" w:rsidR="00DF410E" w:rsidRDefault="00CE7F43">
      <w:pPr>
        <w:pStyle w:val="heading"/>
      </w:pPr>
      <w:r>
        <w:t>C. MORTIERS DE REJOINTOIEMENT</w:t>
      </w:r>
    </w:p>
    <w:p w14:paraId="2E4E836D" w14:textId="77777777" w:rsidR="00DF410E" w:rsidRDefault="00CE7F43">
      <w:r>
        <w:t>Le mortier de rejointoiement doit être adapté à la nature des briques aux caractéristiques du mortier de pose. Sous sa seule responsabilité, l'entrepreneur étudie les mortiers de pose et de rejointoiement afin de s'assurer de leur compatibilité. L'entrepreneur est responsable de la bonne adhérence des joints.</w:t>
      </w:r>
    </w:p>
    <w:p w14:paraId="1514BBF3" w14:textId="77777777" w:rsidR="00DF410E" w:rsidRDefault="00CE7F43">
      <w:r>
        <w:t>Le mortier de rejointoiement contient les adjuvants nécessaires afin d'assurer les performances suivantes : une bonne adhérence, des couleurs inaltérables, l'étanchéité dans la masse, une bonne résistance au retrait et aux fissures, l'absence de faïençage, d'efflorescences et de taches de rouille.</w:t>
      </w:r>
    </w:p>
    <w:p w14:paraId="577B1A77" w14:textId="77777777" w:rsidR="00DF410E" w:rsidRDefault="00CE7F43">
      <w:r>
        <w:t>Détermination de la couleur des joints : Trois échantillons de couleur, texture et forme différente du joint sont appliqués sur une surface d'essai d'environ 70 x 40 cm. Sur la base de ces modèles, l'auteur de projet et le maître de l'ouvrage choisissent le type de joint définitif. Le mélange est suffisamment homogène pour garantir une teinte uniforme sur toute la surface.</w:t>
      </w:r>
    </w:p>
    <w:p w14:paraId="28B3221F" w14:textId="77777777" w:rsidR="00DF410E" w:rsidRDefault="00CE7F43">
      <w:pPr>
        <w:pStyle w:val="Author-eListParagraph"/>
        <w:numPr>
          <w:ilvl w:val="0"/>
          <w:numId w:val="227"/>
        </w:numPr>
      </w:pPr>
      <w:r>
        <w:t>Mortier bâtard : composition </w:t>
      </w:r>
      <w:r>
        <w:rPr>
          <w:rStyle w:val="normalChar"/>
          <w:color w:val="000000"/>
        </w:rPr>
        <w:t xml:space="preserve">voir [NIT 208]. Choix : </w:t>
      </w:r>
      <w:r>
        <w:rPr>
          <w:rStyle w:val="optioncarChar"/>
          <w:color w:val="000000"/>
        </w:rPr>
        <w:t>***/non spécifié (par défaut)</w:t>
      </w:r>
    </w:p>
    <w:p w14:paraId="7B30BF66" w14:textId="77777777" w:rsidR="00DF410E" w:rsidRDefault="00CE7F43">
      <w:pPr>
        <w:pStyle w:val="Author-eListParagraph"/>
        <w:numPr>
          <w:ilvl w:val="0"/>
          <w:numId w:val="227"/>
        </w:numPr>
      </w:pPr>
      <w:r>
        <w:t>Mortier d'usine : mortier spécial pour le rejointoiement, constitué d'un mélange complet, fabriqué à sec en usine auquel, pour la mise en œuvre, il suffit d'ajouter de l'eau claire, à l'exclusion de toute autre matière première. Le produit est livré en sac de papier hydrofuge. L'emballage mentionne clairement le nom du produit, sa provenance et la composition du mortier. Le mortier est régi par les dispositions de la [NBN EN 998-2] .</w:t>
      </w:r>
    </w:p>
    <w:p w14:paraId="182B987B" w14:textId="77777777" w:rsidR="00DF410E" w:rsidRDefault="00CE7F43">
      <w:r>
        <w:t>L'auteur de projet est toujours libre d'exiger un mélange de plusieurs produits de la gamme de fabrication afin d'obtenir la couleur souhaitée. </w:t>
      </w:r>
    </w:p>
    <w:p w14:paraId="5B8553DD" w14:textId="77777777" w:rsidR="00DF410E" w:rsidRDefault="00CE7F43">
      <w:pPr>
        <w:pStyle w:val="heading"/>
      </w:pPr>
      <w:r>
        <w:t>D. CROCHETS DE MUR</w:t>
      </w:r>
    </w:p>
    <w:p w14:paraId="24EF336F" w14:textId="77777777" w:rsidR="00DF410E" w:rsidRDefault="00CE7F43">
      <w:pPr>
        <w:spacing w:line="259" w:lineRule="auto"/>
      </w:pPr>
      <w:r>
        <w:rPr>
          <w:rStyle w:val="normalChar"/>
          <w:color w:val="000000"/>
        </w:rPr>
        <w:t xml:space="preserve">Les crochets de mur sont fabriqués en acier galvanisé à chaud, en acier galvanisé revêtu d'une couche de protection époxy, et en acier inoxydable 18/8 ou 18/10 . Ils sont conformes à la [NBN EN 845-1:2013+A1]. </w:t>
      </w:r>
    </w:p>
    <w:p w14:paraId="0794DD41" w14:textId="77777777" w:rsidR="00DF410E" w:rsidRDefault="00CE7F43">
      <w:pPr>
        <w:spacing w:line="259" w:lineRule="auto"/>
      </w:pPr>
      <w:r>
        <w:rPr>
          <w:rStyle w:val="normalChar"/>
          <w:color w:val="000000"/>
        </w:rPr>
        <w:t>Leur nature (référence du matériau) est choisie en fonction de la classe d’exposition de la maçonnerie conformément à la [NBN EN 1996-2]</w:t>
      </w:r>
    </w:p>
    <w:p w14:paraId="74F8B55E" w14:textId="77777777" w:rsidR="00DF410E" w:rsidRDefault="00CE7F43">
      <w:pPr>
        <w:spacing w:line="259" w:lineRule="auto"/>
      </w:pPr>
      <w:r>
        <w:rPr>
          <w:rStyle w:val="normalChar"/>
          <w:color w:val="000000"/>
        </w:rPr>
        <w:t>Le modèle doit être soumis à l'auteur de projet.</w:t>
      </w:r>
    </w:p>
    <w:p w14:paraId="0452BE2E" w14:textId="77777777" w:rsidR="00DF410E" w:rsidRDefault="00CE7F43">
      <w:pPr>
        <w:spacing w:line="259" w:lineRule="auto"/>
      </w:pPr>
      <w:r>
        <w:rPr>
          <w:rStyle w:val="normalChar"/>
          <w:color w:val="000000"/>
        </w:rPr>
        <w:t>Leur nombre est au moins 5 par m² et dépend de l’action du vent ainsi que de leurs performances mécaniques déclarées par le fabricant (résistance à la traction et à la compression).</w:t>
      </w:r>
    </w:p>
    <w:p w14:paraId="755694E5" w14:textId="77777777" w:rsidR="00DF410E" w:rsidRDefault="00CE7F43">
      <w:pPr>
        <w:spacing w:line="259" w:lineRule="auto"/>
      </w:pPr>
      <w:r>
        <w:rPr>
          <w:rStyle w:val="normalChar"/>
          <w:color w:val="000000"/>
        </w:rPr>
        <w:t xml:space="preserve"> A proximité des ouvertures dans la maçonnerie, on augmente le nombre des crochets. </w:t>
      </w:r>
    </w:p>
    <w:p w14:paraId="159AF926" w14:textId="77777777" w:rsidR="00DF410E" w:rsidRDefault="00CE7F43">
      <w:r>
        <w:t>Les crochets sont toujours pourvus d'un larmier qui se trouve dans le vide de la coulisse. Lorsque la coulisse est partiellement remplie, une plaquette synthétique vient se glisser solidement sur les crochets de mur pour maintenir l'isolation des murs creux bien en place.</w:t>
      </w:r>
    </w:p>
    <w:p w14:paraId="7554E644" w14:textId="77777777" w:rsidR="00DF410E" w:rsidRDefault="00CE7F43">
      <w:r>
        <w:t>Comme le mur de contre-façade / l'isolation / la maçonnerie de parement doivent être érigés en trois phases successives, on peut également utiliser, moyennant l'accord de l'auteur de projet, des chevilles d'ancrage appropriées, qui sont chassées dans la maçonnerie.</w:t>
      </w:r>
    </w:p>
    <w:p w14:paraId="5512B923" w14:textId="77777777" w:rsidR="00DF410E" w:rsidRDefault="00CE7F43">
      <w:pPr>
        <w:pStyle w:val="pheading"/>
      </w:pPr>
      <w:r>
        <w:t>EXÉCUTION / MISE EN ŒUVRE</w:t>
      </w:r>
    </w:p>
    <w:p w14:paraId="4A554610" w14:textId="77777777" w:rsidR="00DF410E" w:rsidRDefault="00CE7F43">
      <w:pPr>
        <w:spacing w:line="252" w:lineRule="auto"/>
      </w:pPr>
      <w:r>
        <w:rPr>
          <w:rStyle w:val="normalChar"/>
          <w:b/>
          <w:color w:val="000000"/>
        </w:rPr>
        <w:t>EFFLORESCENCES</w:t>
      </w:r>
    </w:p>
    <w:p w14:paraId="446D9F31" w14:textId="77777777" w:rsidR="00DF410E" w:rsidRDefault="00CE7F43">
      <w:pPr>
        <w:spacing w:line="252" w:lineRule="auto"/>
      </w:pPr>
      <w:r>
        <w:t>Certains points de vigilance sont à respecter afin de limiter le risque d’apparitions d’efflorescences. Les prescriptions de la [NIT 271] et du [Buildwise Article Dossier (2019/06.05)] sont d’application.</w:t>
      </w:r>
    </w:p>
    <w:p w14:paraId="3C80EA4D" w14:textId="77777777" w:rsidR="00DF410E" w:rsidRDefault="00DF410E"/>
    <w:p w14:paraId="38A95B19" w14:textId="77777777" w:rsidR="00DF410E" w:rsidRDefault="00CE7F43">
      <w:pPr>
        <w:spacing w:line="252" w:lineRule="auto"/>
      </w:pPr>
      <w:r>
        <w:rPr>
          <w:rStyle w:val="normalChar"/>
          <w:color w:val="000000"/>
        </w:rPr>
        <w:t xml:space="preserve">Les traces d'efflorescence qui apparaissent avant la réception provisoire sont </w:t>
      </w:r>
      <w:r>
        <w:rPr>
          <w:rStyle w:val="normalChar"/>
          <w:color w:val="FF0000"/>
        </w:rPr>
        <w:t xml:space="preserve">non traitées </w:t>
      </w:r>
      <w:r>
        <w:t>(par défaut)</w:t>
      </w:r>
      <w:r>
        <w:rPr>
          <w:rStyle w:val="normalChar"/>
          <w:color w:val="FF0000"/>
        </w:rPr>
        <w:t xml:space="preserve"> / nettoyées à sec</w:t>
      </w:r>
      <w:r>
        <w:t xml:space="preserve"> :</w:t>
      </w:r>
    </w:p>
    <w:p w14:paraId="5418A0BA" w14:textId="77777777" w:rsidR="00DF410E" w:rsidRDefault="00CE7F43">
      <w:r>
        <w:rPr>
          <w:b/>
        </w:rPr>
        <w:t>(soit par défaut)</w:t>
      </w:r>
    </w:p>
    <w:p w14:paraId="4FDAE6D2" w14:textId="77777777" w:rsidR="00DF410E" w:rsidRDefault="00CE7F43">
      <w:r>
        <w:rPr>
          <w:rStyle w:val="soitChar"/>
          <w:u w:val="single"/>
        </w:rPr>
        <w:t xml:space="preserve">Non traitées </w:t>
      </w:r>
    </w:p>
    <w:p w14:paraId="1BD5EBAB" w14:textId="77777777" w:rsidR="00DF410E" w:rsidRDefault="00CE7F43">
      <w:r>
        <w:rPr>
          <w:b/>
        </w:rPr>
        <w:t>(soit)</w:t>
      </w:r>
    </w:p>
    <w:p w14:paraId="78BECFBE" w14:textId="77777777" w:rsidR="00DF410E" w:rsidRDefault="00CE7F43">
      <w:r>
        <w:rPr>
          <w:rStyle w:val="soitChar"/>
          <w:u w:val="single"/>
        </w:rPr>
        <w:t>Nettoyées à sec</w:t>
      </w:r>
      <w:r>
        <w:rPr>
          <w:rStyle w:val="soitChar"/>
        </w:rPr>
        <w:t xml:space="preserve"> (compris dans le prix unitaire)</w:t>
      </w:r>
    </w:p>
    <w:p w14:paraId="4B3496F2" w14:textId="77777777" w:rsidR="00DF410E" w:rsidRDefault="00CE7F43">
      <w:pPr>
        <w:spacing w:line="252" w:lineRule="auto"/>
      </w:pPr>
      <w:r>
        <w:rPr>
          <w:rStyle w:val="normalChar"/>
          <w:color w:val="000000"/>
        </w:rPr>
        <w:t>Si les efflorescences persistent ou apparaissent après la réception provisoire, leur nature est à déterminer et un traitement approprié est proposé. Cette détermination et ce traitement ne font pas partie du présent marché.</w:t>
      </w:r>
    </w:p>
    <w:p w14:paraId="3B8FA38C" w14:textId="77777777" w:rsidR="00DF410E" w:rsidRDefault="00DF410E"/>
    <w:p w14:paraId="1081FF57" w14:textId="77777777" w:rsidR="00DF410E" w:rsidRDefault="00CE7F43">
      <w:pPr>
        <w:pStyle w:val="heading"/>
      </w:pPr>
      <w:r>
        <w:t>PRINCIPE D'EXÉCUTION</w:t>
      </w:r>
    </w:p>
    <w:p w14:paraId="662D5909" w14:textId="77777777" w:rsidR="00DF410E" w:rsidRDefault="00CE7F43">
      <w:r>
        <w:t xml:space="preserve">Les murs extérieurs à coulisse doivent obligatoirement (!) être exécutés en </w:t>
      </w:r>
      <w:r>
        <w:rPr>
          <w:u w:val="single"/>
        </w:rPr>
        <w:t>trois phases successives</w:t>
      </w:r>
      <w:r>
        <w:t>, selon le principe de base suivant :</w:t>
      </w:r>
    </w:p>
    <w:p w14:paraId="74BDA374" w14:textId="77777777" w:rsidR="00DF410E" w:rsidRDefault="00CE7F43">
      <w:pPr>
        <w:pStyle w:val="Author-eListParagraph"/>
        <w:numPr>
          <w:ilvl w:val="0"/>
          <w:numId w:val="228"/>
        </w:numPr>
      </w:pPr>
      <w:r>
        <w:t xml:space="preserve">le mur intérieur porteur sur </w:t>
      </w:r>
      <w:r>
        <w:rPr>
          <w:u w:val="single"/>
        </w:rPr>
        <w:t>toute</w:t>
      </w:r>
      <w:r>
        <w:t xml:space="preserve"> sa hauteur;</w:t>
      </w:r>
    </w:p>
    <w:p w14:paraId="2A349CA4" w14:textId="77777777" w:rsidR="00DF410E" w:rsidRDefault="00CE7F43">
      <w:pPr>
        <w:pStyle w:val="Author-eListParagraph"/>
        <w:numPr>
          <w:ilvl w:val="0"/>
          <w:numId w:val="228"/>
        </w:numPr>
      </w:pPr>
      <w:r>
        <w:t xml:space="preserve">ensuite, l'isolation sera appliquée sur </w:t>
      </w:r>
      <w:r>
        <w:rPr>
          <w:u w:val="single"/>
        </w:rPr>
        <w:t>toute</w:t>
      </w:r>
      <w:r>
        <w:t xml:space="preserve"> la surface;</w:t>
      </w:r>
    </w:p>
    <w:p w14:paraId="3F6A1107" w14:textId="77777777" w:rsidR="00DF410E" w:rsidRDefault="00CE7F43">
      <w:pPr>
        <w:pStyle w:val="Author-eListParagraph"/>
        <w:numPr>
          <w:ilvl w:val="0"/>
          <w:numId w:val="228"/>
        </w:numPr>
      </w:pPr>
      <w:r>
        <w:t>après le contrôle de ces ouvrages par l'auteur de projet, le mur de parement peut être érigé.</w:t>
      </w:r>
    </w:p>
    <w:p w14:paraId="631BFE07" w14:textId="77777777" w:rsidR="00DF410E" w:rsidRDefault="00CE7F43">
      <w:pPr>
        <w:pStyle w:val="Author-eListParagraph"/>
        <w:numPr>
          <w:ilvl w:val="0"/>
          <w:numId w:val="228"/>
        </w:numPr>
      </w:pPr>
      <w:r>
        <w:t>Les plaques d'isolation sont soigneusement pressées sur les crochets de murs et placées bien jointivement l'une contre l'autre afin d'obtenir des joints étanches. Le cas échéant, les plaques d'isolation peuvent être fixées à l'aide de plaquettes, de vis et de chevilles spéciales, qui sont introduites dans des trous forés dans la maçonnerie et fixées au mur de contre-façade.</w:t>
      </w:r>
    </w:p>
    <w:p w14:paraId="43ED2D22" w14:textId="77777777" w:rsidR="00DF410E" w:rsidRDefault="00CE7F43">
      <w:pPr>
        <w:pStyle w:val="heading"/>
      </w:pPr>
      <w:r>
        <w:t>CONCEPTION DE LA COULISSE</w:t>
      </w:r>
    </w:p>
    <w:p w14:paraId="7CE93BFA" w14:textId="77777777" w:rsidR="00DF410E" w:rsidRDefault="00CE7F43">
      <w:pPr>
        <w:spacing w:line="259" w:lineRule="auto"/>
      </w:pPr>
      <w:r>
        <w:rPr>
          <w:rStyle w:val="normalChar"/>
          <w:color w:val="000000"/>
        </w:rPr>
        <w:t xml:space="preserve">Conformément à la nature et/ou à l'épaisseur du matériau d'isolation prévu et à l’exposition aux pluies battantes, la coulisse est exécutée avec </w:t>
      </w:r>
      <w:r>
        <w:rPr>
          <w:rStyle w:val="optioncarChar"/>
          <w:color w:val="000000"/>
        </w:rPr>
        <w:t xml:space="preserve">un remplissage partiel </w:t>
      </w:r>
      <w:r>
        <w:t>(par défaut)</w:t>
      </w:r>
      <w:r>
        <w:rPr>
          <w:rStyle w:val="optioncarChar"/>
          <w:color w:val="000000"/>
        </w:rPr>
        <w:t xml:space="preserve"> / un remplissage complet de la coulisse </w:t>
      </w:r>
      <w:r>
        <w:rPr>
          <w:rStyle w:val="normalChar"/>
          <w:color w:val="000000"/>
        </w:rPr>
        <w:t>:</w:t>
      </w:r>
    </w:p>
    <w:p w14:paraId="1AAEE2BA" w14:textId="77777777" w:rsidR="00DF410E" w:rsidRDefault="00CE7F43">
      <w:r>
        <w:rPr>
          <w:b/>
        </w:rPr>
        <w:t xml:space="preserve"> (soit par défaut) : </w:t>
      </w:r>
    </w:p>
    <w:p w14:paraId="423CCB9E" w14:textId="77777777" w:rsidR="00DF410E" w:rsidRDefault="00CE7F43">
      <w:r>
        <w:rPr>
          <w:rStyle w:val="soitChar"/>
          <w:u w:val="single"/>
        </w:rPr>
        <w:t>Un remplissage partiel</w:t>
      </w:r>
      <w:r>
        <w:rPr>
          <w:rStyle w:val="soitChar"/>
        </w:rPr>
        <w:t xml:space="preserve"> de la coulisse : La couche d'air verticale dans ce qu'il reste de la coulisse est d'au moins 30 mm en cas de maçonnerie traditionnelle et 20 mm en cas de maçonnerie collée à joints minces (largeur sur plan afin d’obtenir un creux effectif en pratique). </w:t>
      </w:r>
    </w:p>
    <w:p w14:paraId="315C4244" w14:textId="77777777" w:rsidR="00DF410E" w:rsidRDefault="00CE7F43">
      <w:r>
        <w:rPr>
          <w:b/>
        </w:rPr>
        <w:t xml:space="preserve"> (soit) </w:t>
      </w:r>
    </w:p>
    <w:p w14:paraId="3B670AB0" w14:textId="77777777" w:rsidR="00DF410E" w:rsidRDefault="00CE7F43">
      <w:r>
        <w:rPr>
          <w:rStyle w:val="soitChar"/>
          <w:u w:val="single"/>
        </w:rPr>
        <w:t>Un remplissage</w:t>
      </w:r>
      <w:r>
        <w:rPr>
          <w:rStyle w:val="soitChar"/>
        </w:rPr>
        <w:t xml:space="preserve"> complet de la coulisse (non ventilée)</w:t>
      </w:r>
    </w:p>
    <w:p w14:paraId="7B11CF8F" w14:textId="77777777" w:rsidR="00DF410E" w:rsidRDefault="00CE7F43">
      <w:r>
        <w:rPr>
          <w:rStyle w:val="headingChar"/>
        </w:rPr>
        <w:t>ISOLATION CONTRE L'humidité</w:t>
      </w:r>
    </w:p>
    <w:p w14:paraId="7554A80B" w14:textId="77777777" w:rsidR="00DF410E" w:rsidRDefault="00CE7F43">
      <w:pPr>
        <w:pStyle w:val="heading"/>
      </w:pPr>
      <w:r>
        <w:t>membranes d'étanchéité</w:t>
      </w:r>
    </w:p>
    <w:p w14:paraId="4BBF9B04" w14:textId="77777777" w:rsidR="00DF410E" w:rsidRDefault="00CE7F43">
      <w:r>
        <w:t>Les membranes d'étanchéité sont constituées d'une feuille de polyéthylène (PE, 450 gr/m2) ou d'un matériau équivalent, conformément aux descriptifs du cahier des charges. Dans la mesure du possible, les feuilles sont posées d'un seul tenant dans le sens longitudinal. Les joints sont réalisés avec un chevauchement suffisant conforme aux prescriptions de pose du fabricant. Les chevauchements sont toujours fixés par collage  à l'aide de</w:t>
      </w:r>
      <w:r>
        <w:rPr>
          <w:color w:val="FF0000"/>
        </w:rPr>
        <w:t xml:space="preserve"> bande de soudure à froid / soudure à la flamme (APP, SBS, …)</w:t>
      </w:r>
    </w:p>
    <w:p w14:paraId="10AACD62" w14:textId="77777777" w:rsidR="00DF410E" w:rsidRDefault="00CE7F43">
      <w:pPr>
        <w:pStyle w:val="heading"/>
      </w:pPr>
      <w:r>
        <w:t>raccords de rive de toiture</w:t>
      </w:r>
    </w:p>
    <w:p w14:paraId="0395F5C8" w14:textId="77777777" w:rsidR="00DF410E" w:rsidRDefault="00CE7F43">
      <w:r>
        <w:t>L'exécution de la maçonnerie de parement doit assurer une étanchéité parfaite avec le matériau de couverture prévu, à hauteur des cheminées et des rives en butée. Tous les solins (bavettes de plomb d'une épaisseur d'au moins 1,5 mm), engravés dans la maçonnerie de parement (en parallèle ou en gradins), sont également compris. Les bavettes de plomb ont un débordement suffisant sur la face extérieure de la maçonnerie de manière à pouvoir être repliées par le couvreur. Le mode de pliage et de chevauchement assure une étanchéité parfaite et une exécution soignée et esthétique. Moyennant l'approbation préalable de l'auteur de projet, l'entrepreneur peut proposer en alternative un système approprié d'éléments préfabriqués en matière synthétique. Les modalités d'exécution adaptées au degré de complexité en ce qui concerne la maçonnerie de parement peuvent, conformément au descriptif du cahier des charges, être décrites séparément et comptées comme supplément au chapitre </w:t>
      </w:r>
      <w:hyperlink w:anchor="416" w:history="1">
        <w:r>
          <w:t>27.31.1 Collet et habillage</w:t>
        </w:r>
      </w:hyperlink>
      <w:r>
        <w:t>.</w:t>
      </w:r>
    </w:p>
    <w:p w14:paraId="2B02B095" w14:textId="77777777" w:rsidR="00DF410E" w:rsidRDefault="00CE7F43">
      <w:pPr>
        <w:pStyle w:val="heading"/>
      </w:pPr>
      <w:r>
        <w:t>JOINTS DE DILATATION</w:t>
      </w:r>
    </w:p>
    <w:p w14:paraId="213CFD14" w14:textId="77777777" w:rsidR="00DF410E" w:rsidRDefault="00CE7F43">
      <w:r>
        <w:rPr>
          <w:rStyle w:val="normalChar"/>
          <w:color w:val="000000"/>
        </w:rPr>
        <w:t xml:space="preserve">Des joints de dilatation sont réalisés conformément aux distances maximales préconisées dans la </w:t>
      </w:r>
      <w:r>
        <w:t>et  entre chaque groupe de deux habitations. Ces joints dans le parement sont conçus de manière à permettre la libre dilatation et le retrait des différents pans de murs, tandis que le joint demeure étanche. Leur largeur est d'environ 10 mm. Le fond de joint en retrait se compose de bandes de mousse de polyuréthane bitumeuse à structure cellulaire ouverte ou en caoutchouc de néoprène, enduites d'une couche de fond ou préformé en mousse de polyéthylène à cellules fermées. Le parachèvement du joint à l'extérieur est réalisé à l'aide d'un joint élastique, du type mastic élastique, classe VI, selon la classification de la [NIT 124] ou selon les [STS 56.1]. Le mastic est inaltérable, adhésif et durablement élastique. La couleur se rapproche de celle du rejointoiement ou est de teinte gris-clair.</w:t>
      </w:r>
    </w:p>
    <w:p w14:paraId="3BC59D8A" w14:textId="77777777" w:rsidR="00DF410E" w:rsidRDefault="00CE7F43">
      <w:pPr>
        <w:pStyle w:val="heading"/>
      </w:pPr>
      <w:r>
        <w:t>ARMATURES</w:t>
      </w:r>
    </w:p>
    <w:p w14:paraId="27399698" w14:textId="77777777" w:rsidR="00DF410E" w:rsidRDefault="00CE7F43">
      <w:r>
        <w:t>Conformément au cahier spécial des charges et/ou selon les indications sur les plans, des armatures de joint d'assise spéciales sont posées aux endroits nécessaires. Elles sont protégées contre la corrosion et conviennent pour être posées dans une maçonnerie soumise à l'humidité le cas échéant. La mise en œuvre s'effectue conformément</w:t>
      </w:r>
      <w:r>
        <w:rPr>
          <w:rStyle w:val="normalChar"/>
          <w:color w:val="000000"/>
        </w:rPr>
        <w:t xml:space="preserve"> à la documentation technique accompagnant le produit. </w:t>
      </w:r>
      <w:r>
        <w:t>Conformément aux descriptifs du cahier des charges, les armatures peuvent, le cas échéant, être décrites séparément et comptées comme supplément au sous-titre </w:t>
      </w:r>
      <w:hyperlink w:anchor="417" w:history="1">
        <w:r>
          <w:t>21.41 Armatures pour maçonneries</w:t>
        </w:r>
      </w:hyperlink>
      <w:r>
        <w:t> </w:t>
      </w:r>
    </w:p>
    <w:p w14:paraId="6753086D" w14:textId="77777777" w:rsidR="00DF410E" w:rsidRDefault="00CE7F43">
      <w:pPr>
        <w:pStyle w:val="heading"/>
      </w:pPr>
      <w:r>
        <w:t>fourniture et entreposage des MATÉRIAUX</w:t>
      </w:r>
    </w:p>
    <w:p w14:paraId="77773B2D" w14:textId="77777777" w:rsidR="00DF410E" w:rsidRDefault="00CE7F43">
      <w:r>
        <w:t>L'approvisionnement, l'âge, le transport et l'entreposage des éléments de maçonnerie sont régis par les prescriptions de la . Les briques sont livrées sur palettes et emballées dans une feuille rétractible de manière à ce qu'elles soient sèches à l'air au moment de leur mise en œuvre. L'entrepreneur prend toutes les précautions pour que les briques puissent être entreposées à un endroit plan et sec. Il enlève l'emballage juste avant la mise en œuvre des briques. Les briques doivent être maintenues propres car les restes de boue, de poussière délavée et de lait de ciment s'enlèvent difficilement par la suite. Elles sont acheminées dans les plus grandes quantités possibles sur chantier et mélangées avant leur mise en œuvre, en prenant les briques en diagonale dans 5 paquets différents à la fois de façon à mélanger les différences de couleur et de texture dans les faces de parement.</w:t>
      </w:r>
    </w:p>
    <w:p w14:paraId="342617AC" w14:textId="77777777" w:rsidR="00DF410E" w:rsidRDefault="00CE7F43">
      <w:pPr>
        <w:pStyle w:val="heading"/>
      </w:pPr>
      <w:r>
        <w:t>mesures de protection</w:t>
      </w:r>
    </w:p>
    <w:p w14:paraId="3466F1BC" w14:textId="77777777" w:rsidR="00DF410E" w:rsidRDefault="00CE7F43">
      <w:r>
        <w:t>Les mesures de protection sont prises afin de protéger les ouvrages de maçonnerie exécutés contre les dégradations mécaniques et les influences atmosphériques :</w:t>
      </w:r>
    </w:p>
    <w:p w14:paraId="6C548160" w14:textId="77777777" w:rsidR="00DF410E" w:rsidRDefault="00CE7F43">
      <w:r>
        <w:t>Afin d'obtenir une adhérence optimale entre le mortier et les briques, il est nécessaire d'étudier préalablement s'il y a lieu de les humidifier avant de les mettre en œuvre. Cela dépend des caractéristiques des briques, du mortier et des circonstances atmosphériques. Au cours des périodes de sécheresse, il est conseillé d'humidifier les briques la veille. Il est toutefois interdit d'humidifier les briques par immersion.</w:t>
      </w:r>
    </w:p>
    <w:p w14:paraId="00F4360B" w14:textId="77777777" w:rsidR="00DF410E" w:rsidRDefault="00CE7F43">
      <w:r>
        <w:t>Par temps sec et chaud ou sous un fort ensoleillement, la maçonnerie fraîchement exécutée doit être régulièrement aspergée afin de prévenir la dessiccation du mortier avant qu'il ne durcisse complètement. Par temps froid, l'entrepreneur se conforme aux prescriptions de la .</w:t>
      </w:r>
    </w:p>
    <w:p w14:paraId="33C9E258" w14:textId="77777777" w:rsidR="00DF410E" w:rsidRDefault="00CE7F43">
      <w:r>
        <w:t xml:space="preserve">En cours d'élévation, les coulisses ouvertes sont protégées des intempéries. A la fin de chaque journée de travail, les assises supérieures de l'ouvrage en maçonnerie sont </w:t>
      </w:r>
      <w:r>
        <w:rPr>
          <w:rStyle w:val="normalChar"/>
          <w:color w:val="000000"/>
        </w:rPr>
        <w:t>protégées contre leur humidification.</w:t>
      </w:r>
    </w:p>
    <w:p w14:paraId="62FD1319" w14:textId="77777777" w:rsidR="00DF410E" w:rsidRDefault="00CE7F43">
      <w:pPr>
        <w:pStyle w:val="heading"/>
      </w:pPr>
      <w:r>
        <w:t>modalités de mise en œuvre</w:t>
      </w:r>
    </w:p>
    <w:p w14:paraId="21D29637" w14:textId="77777777" w:rsidR="00DF410E" w:rsidRDefault="00CE7F43">
      <w:r>
        <w:t>Toutes les précautions sont prises pour que la coulisse reste propre, exempte de bavures et de restes de mortier qui risquent de former des ponts d'humidité ou de nuire aux performances du mur. Aucun contact direct n'est autorisé entre les deux parois du mur à coulisse.</w:t>
      </w:r>
    </w:p>
    <w:p w14:paraId="26D97BF9" w14:textId="77777777" w:rsidR="00DF410E" w:rsidRDefault="00CE7F43">
      <w:r>
        <w:t xml:space="preserve">Le mortier refluant le long des faces du mur orientées vers la coulisse, est lissé à la truelle tandis que les crochets de mur sont débarrassés de tous les restes de mortier. Du côté extérieur, les joints d'assise et debout sont évidés et brossés sur une profondeur de 10 à 15 mm </w:t>
      </w:r>
      <w:r>
        <w:rPr>
          <w:rStyle w:val="normalChar"/>
          <w:color w:val="000000"/>
        </w:rPr>
        <w:t>en fonction de la largeur du joint et de l’épaisseur de l’élément de maçonnerie</w:t>
      </w:r>
      <w:r>
        <w:t xml:space="preserve"> afin de permettre d'effectuer soigneusement le rejointoiement par après. Les joints montants ouverts sont marqués clairement jusqu'après l'exécution du rejointoiement.</w:t>
      </w:r>
    </w:p>
    <w:p w14:paraId="0075B795" w14:textId="77777777" w:rsidR="00DF410E" w:rsidRDefault="00CE7F43">
      <w:r>
        <w:t>Les traces de mortier et/ou les souillures sur les faces de parement sont immédiatement enlevées à l'eau et à la brosse dure (à l'exclusion des brosses en métal).</w:t>
      </w:r>
    </w:p>
    <w:p w14:paraId="3F10847A" w14:textId="77777777" w:rsidR="00DF410E" w:rsidRDefault="00CE7F43">
      <w:pPr>
        <w:pStyle w:val="heading"/>
      </w:pPr>
      <w:r>
        <w:t>dimensions - appareillage - ASPECT</w:t>
      </w:r>
    </w:p>
    <w:p w14:paraId="77B722BF" w14:textId="77777777" w:rsidR="00DF410E" w:rsidRDefault="00CE7F43">
      <w:r>
        <w:t>Toutes les règles de l'art sont respectées afin de donner à la maçonnerie un aspect propre, régulier et soigné. Chaque assise est maçonnée au cordeau en veillant à ce que :</w:t>
      </w:r>
    </w:p>
    <w:p w14:paraId="47BCEA4E" w14:textId="77777777" w:rsidR="00DF410E" w:rsidRDefault="00CE7F43">
      <w:pPr>
        <w:pStyle w:val="Author-eListParagraph"/>
        <w:numPr>
          <w:ilvl w:val="0"/>
          <w:numId w:val="229"/>
        </w:numPr>
      </w:pPr>
      <w:r>
        <w:t>la face vue des murs soit bien plane et que tous bords et les baies soient bien d'aplomb.</w:t>
      </w:r>
    </w:p>
    <w:p w14:paraId="357581FC" w14:textId="77777777" w:rsidR="00DF410E" w:rsidRDefault="00CE7F43">
      <w:pPr>
        <w:pStyle w:val="Author-eListParagraph"/>
        <w:numPr>
          <w:ilvl w:val="0"/>
          <w:numId w:val="229"/>
        </w:numPr>
      </w:pPr>
      <w:r>
        <w:t>tous les murs formant un ensemble soient érigés en même temps. Le liaisonnement entre les maçonneries de même type doit être effectué en respectant la continuité de l'appareillage.</w:t>
      </w:r>
    </w:p>
    <w:p w14:paraId="78087D9B" w14:textId="77777777" w:rsidR="00DF410E" w:rsidRDefault="00CE7F43">
      <w:pPr>
        <w:pStyle w:val="Author-eListParagraph"/>
        <w:numPr>
          <w:ilvl w:val="0"/>
          <w:numId w:val="229"/>
        </w:numPr>
      </w:pPr>
      <w:r>
        <w:t xml:space="preserve">les joints aient partout la même épaisseur nominale; ils doivent être de niveau et rectilignes. L'épaisseur moyenne des joints se situe </w:t>
      </w:r>
      <w:r>
        <w:rPr>
          <w:rStyle w:val="normalChar"/>
          <w:color w:val="000000"/>
        </w:rPr>
        <w:t>dans la fourchette prescrite</w:t>
      </w:r>
      <w:r>
        <w:t>, compte tenu des tolérances dimensionnelles sur les briques utilisées. L'épaisseur moyenne des joints est contrôlée sur une hauteur de 10 tas.</w:t>
      </w:r>
    </w:p>
    <w:p w14:paraId="78C79413" w14:textId="77777777" w:rsidR="00DF410E" w:rsidRDefault="00CE7F43">
      <w:pPr>
        <w:pStyle w:val="Author-eListParagraph"/>
        <w:numPr>
          <w:ilvl w:val="0"/>
          <w:numId w:val="229"/>
        </w:numPr>
      </w:pPr>
      <w:r>
        <w:t>toutes les faces vues de la maçonnerie destinée à rester apparente doivent exclusivement être exécutées à l'aide d'éléments de construction dont la longueur est supérieure ou égale à une demi-brique. Les pièces d'ajustement sont sciées mécaniquement et non coupées de façon à ce qu'il n'y ait pas de traces de briques coupées dans la face de parement.</w:t>
      </w:r>
    </w:p>
    <w:p w14:paraId="1B8884FB" w14:textId="77777777" w:rsidR="00DF410E" w:rsidRDefault="00CE7F43">
      <w:r>
        <w:t>Sauf mentions contraires dans le cahier spécial des charges, les murs sont érigés en appareillage d'une demi-brique ou de panneresses. Dans les cas dérogatoires, l'auteur de projet établit un plan de détail de l'appareillage prescrit.</w:t>
      </w:r>
    </w:p>
    <w:p w14:paraId="5F625032" w14:textId="77777777" w:rsidR="00DF410E" w:rsidRDefault="00CE7F43">
      <w:pPr>
        <w:pStyle w:val="pheading"/>
      </w:pPr>
      <w:r>
        <w:t>DOCUMENTS DE RÉFÉRENCE</w:t>
      </w:r>
    </w:p>
    <w:p w14:paraId="59AB8526" w14:textId="77777777" w:rsidR="00DF410E" w:rsidRDefault="00CE7F43">
      <w:pPr>
        <w:pStyle w:val="pheading"/>
      </w:pPr>
      <w:r>
        <w:t>- Matériau</w:t>
      </w:r>
    </w:p>
    <w:p w14:paraId="241FEDBB" w14:textId="77777777" w:rsidR="00DF410E" w:rsidRDefault="00CE7F43">
      <w:r>
        <w:t>voir section </w:t>
      </w:r>
      <w:hyperlink w:anchor="293" w:history="1">
        <w:r>
          <w:t>21 Superstructures en maçonnerie</w:t>
        </w:r>
      </w:hyperlink>
    </w:p>
    <w:p w14:paraId="77EFDA20" w14:textId="77777777" w:rsidR="00DF410E" w:rsidRDefault="00CE7F43">
      <w:pPr>
        <w:pStyle w:val="pheading"/>
      </w:pPr>
      <w:r>
        <w:t>- Exécution</w:t>
      </w:r>
    </w:p>
    <w:p w14:paraId="478FEA7F" w14:textId="77777777" w:rsidR="00DF410E" w:rsidRDefault="00CE7F43">
      <w:r>
        <w:t>voir section </w:t>
      </w:r>
      <w:hyperlink w:anchor="293" w:history="1">
        <w:r>
          <w:t>21 Superstructures en maçonnerie</w:t>
        </w:r>
      </w:hyperlink>
    </w:p>
    <w:p w14:paraId="7723E120" w14:textId="77777777" w:rsidR="00DF410E" w:rsidRDefault="00CE7F43">
      <w:pPr>
        <w:pStyle w:val="pheading"/>
      </w:pPr>
      <w:r>
        <w:t>AIDE</w:t>
      </w:r>
    </w:p>
    <w:p w14:paraId="36808468" w14:textId="77777777" w:rsidR="00DF410E" w:rsidRDefault="00CE7F43">
      <w:r>
        <w:t>À l'attention de l'auteur de projet</w:t>
      </w:r>
    </w:p>
    <w:p w14:paraId="7B646650" w14:textId="77777777" w:rsidR="00DF410E" w:rsidRDefault="00CE7F43">
      <w:r>
        <w:rPr>
          <w:rStyle w:val="normalChar"/>
        </w:rPr>
        <w:t>- Les efflorescences constituent un phénomène dont l’apparition dépend des circonstances. Elles sont parfois difficiles à éviter, mais elles ne présentent rarement, voir jamais, un problème de stabilité ni de durabilité. Cependant, dans certaines conditions, elles peuvent présenter un problème esthétique mineur. Exceptionnellement, elles présentent un problème esthétique majeur ; dans ce dernier cas, il y a lieu de prévoir un traitement.</w:t>
      </w:r>
    </w:p>
    <w:p w14:paraId="55B617C7" w14:textId="77777777" w:rsidR="00DF410E" w:rsidRDefault="00CE7F43">
      <w:r>
        <w:t>- Les mortiers de ciment ont une plus grande résistance à la compression que les mortiers bâtards; en outre, leur prise est plus rapide. Par contre, ils sont plus sensibles au retrait.</w:t>
      </w:r>
    </w:p>
    <w:p w14:paraId="45BB0BED" w14:textId="77777777" w:rsidR="00DF410E" w:rsidRDefault="00CE7F43">
      <w:r>
        <w:t>- Les mortiers bâtards ont l'avantage d'être plus élastiques et plus faciles à travailler que les mortiers de ciment purs tandis que leur retrait est nettement moindre. Le rôle de la chaux est celui d'un plastifiant qui retient mieux l'eau de gâchage. C'est pourquoi l'utilisation du mortier bâtard est recommandée par temps chaud ou pour le maçonnage des matériaux poreux. L'inconvénient du mortier bâtard est que le temps de durcissement s'en trouve accru.</w:t>
      </w:r>
    </w:p>
    <w:p w14:paraId="33C56CBF" w14:textId="77777777" w:rsidR="00DF410E" w:rsidRDefault="00CE7F43">
      <w:r>
        <w:t>- Lorsqu'une armature est posée dans la maçonnerie de façade, selon les dispositions du chapitre </w:t>
      </w:r>
      <w:hyperlink w:anchor="355" w:history="1">
        <w:r>
          <w:t>21.41.1 Armatures horizontales pour maçonneries</w:t>
        </w:r>
      </w:hyperlink>
      <w:r>
        <w:rPr>
          <w:rStyle w:val="normalChar"/>
        </w:rPr>
        <w:t>, l’application peut requérir des éléments et un mortier de résistance minimale appropriée (voir documentation technique accompagnant le produit).</w:t>
      </w:r>
    </w:p>
    <w:p w14:paraId="37E9B993" w14:textId="77777777" w:rsidR="00DF410E" w:rsidRDefault="00CE7F43">
      <w:pPr>
        <w:pStyle w:val="Author-eSectionHeading4"/>
      </w:pPr>
      <w:bookmarkStart w:id="232" w:name="_Toc178837467"/>
      <w:r>
        <w:t>21.31 Maçonneries de parement en briques CCTB 01.09</w:t>
      </w:r>
      <w:bookmarkEnd w:id="232"/>
    </w:p>
    <w:p w14:paraId="1C80FC3E" w14:textId="77777777" w:rsidR="00DF410E" w:rsidRDefault="00CE7F43">
      <w:pPr>
        <w:pStyle w:val="pheading"/>
      </w:pPr>
      <w:bookmarkStart w:id="233" w:name="407"/>
      <w:bookmarkEnd w:id="233"/>
      <w:r>
        <w:t>AIDE</w:t>
      </w:r>
    </w:p>
    <w:p w14:paraId="1B59A713" w14:textId="77777777" w:rsidR="00DF410E" w:rsidRDefault="00CE7F43">
      <w:r>
        <w:t>En pratique, l'utilisation des briques de terre cuite isolantes n'est intéressante que pour les murs de contre-façade. Pour les murs intérieurs, leur utilisation est inutile tandis que pour les murs de séparation d'habitations, leur usage est déconseillé du point de vue acoustique.</w:t>
      </w:r>
    </w:p>
    <w:p w14:paraId="596B417E" w14:textId="77777777" w:rsidR="00DF410E" w:rsidRDefault="00CE7F43">
      <w:pPr>
        <w:pStyle w:val="Author-eSectionHeading5"/>
      </w:pPr>
      <w:bookmarkStart w:id="234" w:name="_Toc178837468"/>
      <w:r>
        <w:t>21.31.1 Maçonneries de parement en briques de terre cuite CCTB 01.11</w:t>
      </w:r>
      <w:bookmarkEnd w:id="234"/>
    </w:p>
    <w:p w14:paraId="02BC6475" w14:textId="77777777" w:rsidR="00DF410E" w:rsidRDefault="00CE7F43">
      <w:pPr>
        <w:pStyle w:val="pheading"/>
      </w:pPr>
      <w:bookmarkStart w:id="235" w:name="377"/>
      <w:bookmarkEnd w:id="235"/>
      <w:r>
        <w:t>MATÉRIAUX</w:t>
      </w:r>
    </w:p>
    <w:p w14:paraId="10667C47" w14:textId="77777777" w:rsidR="00DF410E" w:rsidRDefault="00CE7F43">
      <w:r>
        <w:t>Il s'agit des briques</w:t>
      </w:r>
      <w:r>
        <w:rPr>
          <w:rStyle w:val="normalChar"/>
          <w:color w:val="000000"/>
        </w:rPr>
        <w:t> mécaniques ou moulées à la main </w:t>
      </w:r>
      <w:r>
        <w:t>de parement en terre cuite, qui répondent à la norme [NBN EN 771-1+A1] et au [PTV 23-002]. L'entrepreneur soumet un échantillon, la fiche technique et la déclaration des performances (DoP) du matériau pour approbation à l'auteur de projet et au maître de l’ouvrage.</w:t>
      </w:r>
    </w:p>
    <w:p w14:paraId="46BA63DF" w14:textId="77777777" w:rsidR="00DF410E" w:rsidRDefault="00CE7F43">
      <w:pPr>
        <w:spacing w:line="259" w:lineRule="auto"/>
      </w:pPr>
      <w:r>
        <w:rPr>
          <w:rStyle w:val="normalChar"/>
          <w:b/>
          <w:color w:val="000000"/>
        </w:rPr>
        <w:t>BRIQUES DE TERRE CUITE - caractéristiques mécaniques et physiques</w:t>
      </w:r>
    </w:p>
    <w:p w14:paraId="779635B4" w14:textId="77777777" w:rsidR="00DF410E" w:rsidRDefault="00CE7F43">
      <w:pPr>
        <w:spacing w:line="259" w:lineRule="auto"/>
      </w:pPr>
      <w:r>
        <w:rPr>
          <w:rStyle w:val="normalChar"/>
          <w:color w:val="000000"/>
        </w:rPr>
        <w:t>A chaque livraison, les certificats d'origine sont soumis. Les briques de parement doivent en outre répondre aux critères de performances suivants :</w:t>
      </w:r>
    </w:p>
    <w:p w14:paraId="58973678" w14:textId="77777777" w:rsidR="00DF410E" w:rsidRDefault="00CE7F43">
      <w:pPr>
        <w:pStyle w:val="Author-eListParagraph"/>
        <w:numPr>
          <w:ilvl w:val="0"/>
          <w:numId w:val="230"/>
        </w:numPr>
      </w:pPr>
      <w:r>
        <w:rPr>
          <w:rStyle w:val="normalChar"/>
          <w:color w:val="000000"/>
        </w:rPr>
        <w:t xml:space="preserve"> Résistance au gel élevée (++) (~ classe 5 selon la [NBN B 27-0xx série]) : conformément aux valeurs GC obtenues selon la [NBN B 27-010], après l'essai de gélivité direct (20 cycles à -15°C) selon la [NBN B 27-009/A2] les briques ne présentent pas de dégâts visibles (code 0). Voir section 21 Superstructures en maçonnerie</w:t>
      </w:r>
    </w:p>
    <w:p w14:paraId="3C119201" w14:textId="77777777" w:rsidR="00DF410E" w:rsidRDefault="00CE7F43">
      <w:pPr>
        <w:pStyle w:val="Author-eListParagraph"/>
        <w:numPr>
          <w:ilvl w:val="0"/>
          <w:numId w:val="230"/>
        </w:numPr>
      </w:pPr>
      <w:r>
        <w:rPr>
          <w:rStyle w:val="normalChar"/>
          <w:color w:val="000000"/>
        </w:rPr>
        <w:t xml:space="preserve"> Absorption d'eau après 24h d'immersion (informatif) : </w:t>
      </w:r>
      <w:r>
        <w:rPr>
          <w:rStyle w:val="optioncarChar"/>
        </w:rPr>
        <w:t>***</w:t>
      </w:r>
      <w:r>
        <w:rPr>
          <w:rStyle w:val="normalChar"/>
          <w:color w:val="000000"/>
        </w:rPr>
        <w:t xml:space="preserve"> %;</w:t>
      </w:r>
    </w:p>
    <w:p w14:paraId="091B063C" w14:textId="77777777" w:rsidR="00DF410E" w:rsidRDefault="00CE7F43">
      <w:pPr>
        <w:pStyle w:val="Author-eListParagraph"/>
        <w:numPr>
          <w:ilvl w:val="0"/>
          <w:numId w:val="230"/>
        </w:numPr>
      </w:pPr>
      <w:r>
        <w:rPr>
          <w:rStyle w:val="normalChar"/>
          <w:color w:val="000000"/>
        </w:rPr>
        <w:t xml:space="preserve"> Taux initial d'absorption d'eau (IW) - d'importance pour le choix du mortier : </w:t>
      </w:r>
      <w:r>
        <w:rPr>
          <w:rStyle w:val="optioncarChar"/>
        </w:rPr>
        <w:t>***</w:t>
      </w:r>
      <w:r>
        <w:rPr>
          <w:rStyle w:val="normalChar"/>
          <w:color w:val="000000"/>
        </w:rPr>
        <w:t xml:space="preserve"> kg/m².min</w:t>
      </w:r>
    </w:p>
    <w:p w14:paraId="6CCAE56A" w14:textId="77777777" w:rsidR="00DF410E" w:rsidRDefault="00CE7F43">
      <w:pPr>
        <w:spacing w:line="259" w:lineRule="auto"/>
      </w:pPr>
      <w:r>
        <w:rPr>
          <w:rStyle w:val="normalChar"/>
          <w:color w:val="000000"/>
        </w:rPr>
        <w:t>I</w:t>
      </w:r>
      <w:r>
        <w:rPr>
          <w:rStyle w:val="optioncarChar"/>
        </w:rPr>
        <w:t>W1 : très peu de succion / IW2 : peu de succion / IW3 : succion normale / IW4 : Forte succion</w:t>
      </w:r>
    </w:p>
    <w:p w14:paraId="3ED0077F" w14:textId="77777777" w:rsidR="00DF410E" w:rsidRDefault="00CE7F43">
      <w:pPr>
        <w:pStyle w:val="Author-eListParagraph"/>
        <w:numPr>
          <w:ilvl w:val="0"/>
          <w:numId w:val="231"/>
        </w:numPr>
      </w:pPr>
      <w:r>
        <w:rPr>
          <w:rStyle w:val="normalChar"/>
          <w:color w:val="000000"/>
        </w:rPr>
        <w:t xml:space="preserve"> Essais d'efflorescence selon la [NBN B 24-209]: pas de taches blanches supérieures à 5 cm2 (briques de terre cuite);</w:t>
      </w:r>
    </w:p>
    <w:p w14:paraId="4DBC73DE" w14:textId="77777777" w:rsidR="00DF410E" w:rsidRDefault="00CE7F43">
      <w:pPr>
        <w:pStyle w:val="Author-eListParagraph"/>
        <w:numPr>
          <w:ilvl w:val="0"/>
          <w:numId w:val="231"/>
        </w:numPr>
      </w:pPr>
      <w:r>
        <w:rPr>
          <w:rStyle w:val="normalChar"/>
          <w:color w:val="000000"/>
        </w:rPr>
        <w:t xml:space="preserve"> Teneur en sels solubles actifs : classe S2</w:t>
      </w:r>
    </w:p>
    <w:p w14:paraId="51B5F898" w14:textId="77777777" w:rsidR="00DF410E" w:rsidRDefault="00CE7F43">
      <w:pPr>
        <w:pStyle w:val="Author-eListParagraph"/>
        <w:numPr>
          <w:ilvl w:val="0"/>
          <w:numId w:val="231"/>
        </w:numPr>
      </w:pPr>
      <w:r>
        <w:rPr>
          <w:rStyle w:val="normalChar"/>
          <w:color w:val="000000"/>
        </w:rPr>
        <w:t xml:space="preserve"> Essai de compression selon la [NBN EN 772-1+A1]: minimum </w:t>
      </w:r>
      <w:r>
        <w:rPr>
          <w:rStyle w:val="optioncarChar"/>
        </w:rPr>
        <w:t>***</w:t>
      </w:r>
      <w:r>
        <w:rPr>
          <w:rStyle w:val="normalChar"/>
          <w:color w:val="000000"/>
        </w:rPr>
        <w:t xml:space="preserve"> N/mm2.</w:t>
      </w:r>
    </w:p>
    <w:p w14:paraId="4D0EBD1A" w14:textId="77777777" w:rsidR="00DF410E" w:rsidRDefault="00CE7F43">
      <w:pPr>
        <w:spacing w:line="259" w:lineRule="auto"/>
      </w:pPr>
      <w:r>
        <w:rPr>
          <w:rStyle w:val="normalChar"/>
          <w:color w:val="000000"/>
        </w:rPr>
        <w:t>La [Décision 96/603/CE] établit qu’une brique avec une teneur en matière organique inférieure à 1% (pourcentage massique ou volumique, selon la valeur la plus élevée) appartient à la classe de réaction au feu A1 (incombustible) sans qu’aucun autre test ne soit nécessaire.</w:t>
      </w:r>
    </w:p>
    <w:p w14:paraId="49797F23" w14:textId="77777777" w:rsidR="00DF410E" w:rsidRDefault="00DF410E"/>
    <w:p w14:paraId="550F42BF" w14:textId="77777777" w:rsidR="00DF410E" w:rsidRDefault="00CE7F43">
      <w:pPr>
        <w:spacing w:line="259" w:lineRule="auto"/>
      </w:pPr>
      <w:r>
        <w:rPr>
          <w:rStyle w:val="normalChar"/>
          <w:b/>
          <w:color w:val="000000"/>
        </w:rPr>
        <w:t>BRIQUES DE TERRE CUITE - FORMAT, FORME &amp; ASPECT</w:t>
      </w:r>
    </w:p>
    <w:p w14:paraId="45807BD8" w14:textId="77777777" w:rsidR="00DF410E" w:rsidRDefault="00CE7F43">
      <w:pPr>
        <w:spacing w:line="259" w:lineRule="auto"/>
      </w:pPr>
      <w:r>
        <w:rPr>
          <w:rStyle w:val="normalChar"/>
          <w:color w:val="000000"/>
        </w:rPr>
        <w:t>Avant l'exécution, au moins trois échantillons sont soumis pour approbation à l'auteur de projet et au maître de l'ouvrage, afin de déterminer la couleur définitive. A la demande de l'auteur de projet, on maçonne pour ce faire un ou plusieurs essais de murs d'environ 1 m2; les frais de la construction et de la démolition de ces murets sont à charge de l'entrepreneur.</w:t>
      </w:r>
    </w:p>
    <w:p w14:paraId="6D1BDADE" w14:textId="77777777" w:rsidR="00DF410E" w:rsidRDefault="00CE7F43">
      <w:pPr>
        <w:spacing w:line="259" w:lineRule="auto"/>
      </w:pPr>
      <w:r>
        <w:rPr>
          <w:rStyle w:val="normalChar"/>
          <w:color w:val="000000"/>
        </w:rPr>
        <w:t>Les briques à mettre en œuvre sont exemptes de crevasses, ou écornures. Les briques cassées ou qui présentent des traces d'incuits, les briques de forme ou d'aspect irréguliers sont refusées. Lorsque la fourniture entière est refusée, l'entrepreneur peut trier les briques sur place; les briques refusées doivent toutefois être évacuées du chantier.</w:t>
      </w:r>
    </w:p>
    <w:p w14:paraId="60A868D6" w14:textId="77777777" w:rsidR="00DF410E" w:rsidRDefault="00CE7F43">
      <w:pPr>
        <w:spacing w:line="259" w:lineRule="auto"/>
      </w:pPr>
      <w:r>
        <w:rPr>
          <w:rStyle w:val="normalChar"/>
          <w:color w:val="000000"/>
        </w:rPr>
        <w:t>En ce qui concerne les limites au niveau des dégradations et des défauts, les briques respectent le [PTV 23-002] :</w:t>
      </w:r>
    </w:p>
    <w:p w14:paraId="37CAD30D" w14:textId="77777777" w:rsidR="00DF410E" w:rsidRDefault="00CE7F43">
      <w:pPr>
        <w:pStyle w:val="Author-eListParagraph"/>
        <w:numPr>
          <w:ilvl w:val="0"/>
          <w:numId w:val="232"/>
        </w:numPr>
      </w:pPr>
      <w:r>
        <w:rPr>
          <w:rStyle w:val="normalChar"/>
          <w:color w:val="000000"/>
        </w:rPr>
        <w:t>Dégradations (briques cassées, fissures, écornures, épaufrures visibles) : sur un échantillonnage de 100 briques, au moins 90 ne présentent pas de dégradations sur une boutisse et une panneresse. Les dimensions minimales des dégradations sont définies dans le PTV en fonction du type de brique (étirée, pressée, moulée).</w:t>
      </w:r>
    </w:p>
    <w:p w14:paraId="7B0F767B" w14:textId="77777777" w:rsidR="00DF410E" w:rsidRDefault="00CE7F43">
      <w:pPr>
        <w:pStyle w:val="Author-eListParagraph"/>
        <w:numPr>
          <w:ilvl w:val="0"/>
          <w:numId w:val="232"/>
        </w:numPr>
      </w:pPr>
      <w:r>
        <w:rPr>
          <w:rStyle w:val="normalChar"/>
          <w:color w:val="000000"/>
        </w:rPr>
        <w:t>Défauts (présence d'inclusions ou fissures d'épaisseur ≥ 0.2 mm sur la face vue) : le nombre de briques avec défaut ne peut dépasser 5%.</w:t>
      </w:r>
    </w:p>
    <w:p w14:paraId="1B4147F1" w14:textId="77777777" w:rsidR="00DF410E" w:rsidRDefault="00CE7F43">
      <w:pPr>
        <w:spacing w:line="259" w:lineRule="auto"/>
      </w:pPr>
      <w:r>
        <w:rPr>
          <w:rStyle w:val="normalChar"/>
          <w:color w:val="000000"/>
        </w:rPr>
        <w:t>Attention : les critères concernant les dégradations ne sont pas d'application pour les briques dégradées intentionnellement en usine pour raisons esthétiques.</w:t>
      </w:r>
    </w:p>
    <w:p w14:paraId="3271BAC0" w14:textId="77777777" w:rsidR="00DF410E" w:rsidRDefault="00DF410E"/>
    <w:p w14:paraId="50161531" w14:textId="77777777" w:rsidR="00DF410E" w:rsidRDefault="00CE7F43">
      <w:pPr>
        <w:spacing w:line="259" w:lineRule="auto"/>
      </w:pPr>
      <w:r>
        <w:rPr>
          <w:rStyle w:val="normalChar"/>
          <w:b/>
          <w:color w:val="000000"/>
        </w:rPr>
        <w:t>MORTIER</w:t>
      </w:r>
    </w:p>
    <w:p w14:paraId="7A37D08A" w14:textId="77777777" w:rsidR="00DF410E" w:rsidRDefault="00CE7F43">
      <w:pPr>
        <w:spacing w:line="259" w:lineRule="auto"/>
      </w:pPr>
      <w:r>
        <w:rPr>
          <w:rStyle w:val="normalChar"/>
          <w:color w:val="000000"/>
        </w:rPr>
        <w:t>Le mortier à coller ou à maçonner répond à la norme [NBN EN 998-2] et au règlement d’application [TRA 651].</w:t>
      </w:r>
    </w:p>
    <w:p w14:paraId="4A4832DF" w14:textId="77777777" w:rsidR="00DF410E" w:rsidRDefault="00CE7F43">
      <w:pPr>
        <w:pStyle w:val="Author-eSectionHeading6"/>
      </w:pPr>
      <w:bookmarkStart w:id="236" w:name="_Toc178837469"/>
      <w:r>
        <w:t>21.31.1a Maçonneries de parement en briques de terre cuite à maçonner CCTB 01.12</w:t>
      </w:r>
      <w:bookmarkEnd w:id="236"/>
    </w:p>
    <w:p w14:paraId="4ED46EDA" w14:textId="77777777" w:rsidR="00DF410E" w:rsidRDefault="00CE7F43">
      <w:pPr>
        <w:pStyle w:val="pheading"/>
      </w:pPr>
      <w:r>
        <w:t>DESCRIPTION</w:t>
      </w:r>
    </w:p>
    <w:p w14:paraId="46AD72DE" w14:textId="77777777" w:rsidR="00DF410E" w:rsidRDefault="00CE7F43">
      <w:pPr>
        <w:pStyle w:val="pheading"/>
      </w:pPr>
      <w:r>
        <w:t>- Définition / Comprend</w:t>
      </w:r>
    </w:p>
    <w:p w14:paraId="071C880B" w14:textId="77777777" w:rsidR="00DF410E" w:rsidRDefault="00CE7F43">
      <w:r>
        <w:t xml:space="preserve">Il s’agit de la fourniture et la pose de maçonneries de parement en briques de terre cuite à maçonner. </w:t>
      </w:r>
      <w:r>
        <w:br/>
        <w:t xml:space="preserve">La portée des travaux est décrite dans l’article </w:t>
      </w:r>
      <w:hyperlink w:anchor="379" w:history="1">
        <w:r>
          <w:t>21.3 Maçonneries de parement</w:t>
        </w:r>
      </w:hyperlink>
      <w:r>
        <w:t>.</w:t>
      </w:r>
    </w:p>
    <w:p w14:paraId="6C9BB5DB" w14:textId="77777777" w:rsidR="00DF410E" w:rsidRDefault="00CE7F43">
      <w:pPr>
        <w:pStyle w:val="pheading"/>
      </w:pPr>
      <w:r>
        <w:t>- Localisation</w:t>
      </w:r>
    </w:p>
    <w:p w14:paraId="2C9C84AD" w14:textId="77777777" w:rsidR="00DF410E" w:rsidRDefault="00CE7F43">
      <w:r>
        <w:t xml:space="preserve">La pose est réalisée aux endroits suivants : </w:t>
      </w:r>
      <w:r>
        <w:rPr>
          <w:rStyle w:val="optioncarChar"/>
        </w:rPr>
        <w:t>***</w:t>
      </w:r>
      <w:r>
        <w:t>.</w:t>
      </w:r>
      <w:r>
        <w:br/>
        <w:t>Voir plans et métrés détaillés.</w:t>
      </w:r>
    </w:p>
    <w:p w14:paraId="0B9AACE7" w14:textId="77777777" w:rsidR="00DF410E" w:rsidRDefault="00CE7F43">
      <w:pPr>
        <w:pStyle w:val="pheading"/>
      </w:pPr>
      <w:r>
        <w:t>MATÉRIAUX</w:t>
      </w:r>
    </w:p>
    <w:p w14:paraId="47E7DB68" w14:textId="77777777" w:rsidR="00DF410E" w:rsidRDefault="00CE7F43">
      <w:pPr>
        <w:pStyle w:val="pheading"/>
      </w:pPr>
      <w:r>
        <w:t>- Caractéristiques générales</w:t>
      </w:r>
    </w:p>
    <w:p w14:paraId="24D8F52E" w14:textId="77777777" w:rsidR="00DF410E" w:rsidRDefault="00CE7F43">
      <w:r>
        <w:t>B</w:t>
      </w:r>
      <w:r>
        <w:rPr>
          <w:b/>
        </w:rPr>
        <w:t>rique</w:t>
      </w:r>
    </w:p>
    <w:p w14:paraId="3242BBBB" w14:textId="77777777" w:rsidR="00DF410E" w:rsidRDefault="00CE7F43">
      <w:r>
        <w:t>En ce qui concerne la déclaration de la résistance à la compression, les briques sont de catégorie I (la résistance à la compression est déclarée avec une fiabilité de 95%).</w:t>
      </w:r>
      <w:r>
        <w:br/>
      </w:r>
      <w:r>
        <w:br/>
      </w:r>
      <w:r>
        <w:rPr>
          <w:rStyle w:val="normalChar"/>
          <w:color w:val="000000"/>
        </w:rPr>
        <w:t>La résistance en compression</w:t>
      </w:r>
      <w:r>
        <w:rPr>
          <w:rStyle w:val="optioncarChar"/>
        </w:rPr>
        <w:t xml:space="preserve"> moyenne (fmean) </w:t>
      </w:r>
      <w:r>
        <w:t>(par défaut)</w:t>
      </w:r>
      <w:r>
        <w:rPr>
          <w:rStyle w:val="optioncarChar"/>
        </w:rPr>
        <w:t xml:space="preserve"> / normalisée (fb) </w:t>
      </w:r>
      <w:r>
        <w:rPr>
          <w:rStyle w:val="normalChar"/>
          <w:color w:val="000000"/>
        </w:rPr>
        <w:t>selon la [NBN EN 771-1+A1], la [NBN EN 772-1+A1] et la [NBN EN 1996 série] est au minimum:</w:t>
      </w:r>
      <w:r>
        <w:rPr>
          <w:rStyle w:val="optioncarChar"/>
          <w:color w:val="000000"/>
        </w:rPr>
        <w:t xml:space="preserve"> *** </w:t>
      </w:r>
      <w:r>
        <w:rPr>
          <w:rStyle w:val="normalChar"/>
          <w:color w:val="000000"/>
        </w:rPr>
        <w:t>N/mm² (MPa).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clivé / ***</w:t>
      </w:r>
      <w:r>
        <w:br/>
      </w:r>
      <w:r>
        <w:br/>
        <w:t xml:space="preserve">Teinte : </w:t>
      </w:r>
      <w:r>
        <w:rPr>
          <w:rStyle w:val="optioncarChar"/>
        </w:rPr>
        <w:t>blanc / rouge </w:t>
      </w:r>
      <w:r>
        <w:t>(par défaut)</w:t>
      </w:r>
      <w:r>
        <w:rPr>
          <w:rStyle w:val="optioncarChar"/>
        </w:rPr>
        <w:t xml:space="preserve"> / gris / ***</w:t>
      </w:r>
    </w:p>
    <w:p w14:paraId="4528BC7D" w14:textId="77777777" w:rsidR="00DF410E" w:rsidRDefault="00CE7F43">
      <w:r>
        <w:rPr>
          <w:rStyle w:val="normalChar"/>
          <w:color w:val="000000"/>
        </w:rPr>
        <w:t xml:space="preserve">Épaisseur nominale du mur : </w:t>
      </w:r>
      <w:r>
        <w:rPr>
          <w:rStyle w:val="optioncarChar"/>
          <w:color w:val="000000"/>
        </w:rPr>
        <w:t xml:space="preserve">6,5 / 9 / selon les indications sur les plans </w:t>
      </w:r>
      <w:r>
        <w:t>(par défaut)</w:t>
      </w:r>
      <w:r>
        <w:rPr>
          <w:rStyle w:val="optioncarChar"/>
        </w:rPr>
        <w:t xml:space="preserve"> / ***</w:t>
      </w:r>
      <w:r>
        <w:t xml:space="preserve"> cm</w:t>
      </w:r>
      <w:r>
        <w:rPr>
          <w:rStyle w:val="optioncarChar"/>
          <w:color w:val="000000"/>
        </w:rPr>
        <w:t>.</w:t>
      </w:r>
    </w:p>
    <w:p w14:paraId="46D3F328" w14:textId="77777777" w:rsidR="00DF410E" w:rsidRDefault="00CE7F43">
      <w:r>
        <w:br/>
        <w:t xml:space="preserve">Format : (L x l x h) </w:t>
      </w:r>
      <w:r>
        <w:rPr>
          <w:rStyle w:val="optioncarChar"/>
        </w:rPr>
        <w:t>*** x *** x *** mm / format modulaire proposé par l'entrepreneur </w:t>
      </w:r>
      <w:r>
        <w:t>(par défaut)</w:t>
      </w:r>
    </w:p>
    <w:p w14:paraId="4C242703" w14:textId="77777777" w:rsidR="00DF410E" w:rsidRDefault="00CE7F43">
      <w:r>
        <w:rPr>
          <w:rStyle w:val="normalChar"/>
          <w:color w:val="000000"/>
        </w:rPr>
        <w:t xml:space="preserve">Type de brique de forme spéciale pour donner un aspect maçonnerie à joints minces : </w:t>
      </w:r>
      <w:r>
        <w:rPr>
          <w:rStyle w:val="optioncarChar"/>
          <w:color w:val="000000"/>
        </w:rPr>
        <w:t>oui / non</w:t>
      </w:r>
    </w:p>
    <w:p w14:paraId="21F983FF" w14:textId="77777777" w:rsidR="00DF410E" w:rsidRDefault="00CE7F43">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p>
    <w:p w14:paraId="7C49824F" w14:textId="77777777" w:rsidR="00DF410E" w:rsidRDefault="00CE7F43">
      <w:r>
        <w:rPr>
          <w:rStyle w:val="normalChar"/>
          <w:color w:val="000000"/>
        </w:rPr>
        <w:t xml:space="preserve">La classe d’exposition de la maçonnerie est : </w:t>
      </w:r>
      <w:r>
        <w:rPr>
          <w:rStyle w:val="optioncarChar"/>
        </w:rPr>
        <w:t>MX1 / MX2 ou MX3 (par défaut)/ MX4 / MX5</w:t>
      </w:r>
    </w:p>
    <w:p w14:paraId="2B190524" w14:textId="77777777" w:rsidR="00DF410E" w:rsidRDefault="00CE7F43">
      <w:r>
        <w:t xml:space="preserve">Taux initial d’absorption d’eau : classe </w:t>
      </w:r>
      <w:r>
        <w:rPr>
          <w:rStyle w:val="optioncarChar"/>
        </w:rPr>
        <w:t>IW1 / IW2 / IW3 / IW4</w:t>
      </w:r>
    </w:p>
    <w:p w14:paraId="79E6F40A" w14:textId="77777777" w:rsidR="00DF410E" w:rsidRDefault="00CE7F43">
      <w:r>
        <w:rPr>
          <w:rStyle w:val="normalChar"/>
          <w:color w:val="000000"/>
        </w:rPr>
        <w:t>Le niveau de résistance au gel est compatible avec la classe d’exposition.</w:t>
      </w:r>
      <w:r>
        <w:br/>
      </w:r>
      <w:r>
        <w:br/>
        <w:t xml:space="preserve">Réaction au feu : </w:t>
      </w:r>
      <w:r>
        <w:rPr>
          <w:rStyle w:val="optioncarChar"/>
        </w:rPr>
        <w:t xml:space="preserve">A1 </w:t>
      </w:r>
      <w:r>
        <w:t>(par défaut) </w:t>
      </w:r>
      <w:r>
        <w:rPr>
          <w:rStyle w:val="optioncarChar"/>
        </w:rPr>
        <w:t>/ ***</w:t>
      </w:r>
      <w:r>
        <w:br/>
      </w:r>
      <w:r>
        <w:br/>
      </w:r>
      <w:r>
        <w:rPr>
          <w:b/>
        </w:rPr>
        <w:t>Mortier</w:t>
      </w:r>
    </w:p>
    <w:p w14:paraId="2C2D2C27" w14:textId="77777777" w:rsidR="00DF410E" w:rsidRDefault="00CE7F43">
      <w:r>
        <w:rPr>
          <w:rStyle w:val="normalChar"/>
          <w:color w:val="000000"/>
        </w:rPr>
        <w:t xml:space="preserve">Le mortier est du type G ou dosé in situ adapté à des joints d’épaisseur nominale de </w:t>
      </w:r>
      <w:r>
        <w:rPr>
          <w:rStyle w:val="optioncarChar"/>
        </w:rPr>
        <w:t>8 </w:t>
      </w:r>
      <w:r>
        <w:t>(par défaut)</w:t>
      </w:r>
      <w:r>
        <w:rPr>
          <w:rStyle w:val="optioncarChar"/>
        </w:rPr>
        <w:t xml:space="preserve"> / 12 / ***</w:t>
      </w:r>
      <w:r>
        <w:t xml:space="preserve"> mm.</w:t>
      </w:r>
      <w:r>
        <w:br/>
      </w:r>
      <w:r>
        <w:br/>
      </w:r>
      <w:r>
        <w:br/>
      </w:r>
      <w:r>
        <w:rPr>
          <w:b/>
        </w:rPr>
        <w:t>Critères de performances du parement</w:t>
      </w:r>
    </w:p>
    <w:p w14:paraId="5C03AC35" w14:textId="77777777" w:rsidR="00DF410E" w:rsidRDefault="00CE7F43">
      <w:r>
        <w:br/>
        <w:t xml:space="preserve">• valeur λUi ou λUe maximum </w:t>
      </w:r>
      <w:r>
        <w:rPr>
          <w:rStyle w:val="optioncarChar"/>
        </w:rPr>
        <w:t>***</w:t>
      </w:r>
      <w:r>
        <w:t xml:space="preserve"> W/mK (suivant l’application).</w:t>
      </w:r>
    </w:p>
    <w:p w14:paraId="13F25781" w14:textId="77777777" w:rsidR="00DF410E" w:rsidRDefault="00CE7F43">
      <w:pPr>
        <w:pStyle w:val="pheading"/>
      </w:pPr>
      <w:r>
        <w:t>- Finitions</w:t>
      </w:r>
    </w:p>
    <w:p w14:paraId="5313B911"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6AFACC6"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C83FB7A"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3E533F1A"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1AA8A2BD"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277DB6A" w14:textId="77777777" w:rsidR="00DF410E" w:rsidRDefault="00CE7F43">
      <w:pPr>
        <w:pStyle w:val="pheading"/>
      </w:pPr>
      <w:r>
        <w:t>EXÉCUTION / MISE EN ŒUVRE</w:t>
      </w:r>
    </w:p>
    <w:p w14:paraId="5B295888" w14:textId="77777777" w:rsidR="00DF410E" w:rsidRDefault="00CE7F43">
      <w:pPr>
        <w:pStyle w:val="pheading"/>
      </w:pPr>
      <w:r>
        <w:t>- Prescriptions générales</w:t>
      </w:r>
    </w:p>
    <w:p w14:paraId="5C36503E" w14:textId="77777777" w:rsidR="00DF410E" w:rsidRDefault="00CE7F43">
      <w:pPr>
        <w:spacing w:line="259" w:lineRule="auto"/>
      </w:pPr>
      <w:r>
        <w:t xml:space="preserve">La maçonnerie est exécutée en appareil </w:t>
      </w:r>
      <w:r>
        <w:rPr>
          <w:rStyle w:val="optioncarChar"/>
        </w:rPr>
        <w:t>d'une demi-brique </w:t>
      </w:r>
      <w:r>
        <w:t>(par défaut)</w:t>
      </w:r>
      <w:r>
        <w:rPr>
          <w:rStyle w:val="optioncarChar"/>
        </w:rPr>
        <w:t xml:space="preserve"> / ***</w:t>
      </w:r>
    </w:p>
    <w:p w14:paraId="2AB13783" w14:textId="77777777" w:rsidR="00DF410E" w:rsidRDefault="00DF410E"/>
    <w:p w14:paraId="6BAB6006"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288FB24E" w14:textId="77777777" w:rsidR="00DF410E" w:rsidRDefault="00DF410E"/>
    <w:p w14:paraId="2BB81202" w14:textId="77777777" w:rsidR="00DF410E" w:rsidRDefault="00CE7F43">
      <w:pPr>
        <w:spacing w:line="259" w:lineRule="auto"/>
      </w:pPr>
      <w:r>
        <w:rPr>
          <w:rStyle w:val="normalChar"/>
          <w:b/>
          <w:color w:val="000000"/>
        </w:rPr>
        <w:t>LINTEAUX</w:t>
      </w:r>
    </w:p>
    <w:p w14:paraId="4F97AEFE"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09211F11" w14:textId="77777777" w:rsidR="00DF410E" w:rsidRDefault="00CE7F43">
      <w:r>
        <w:rPr>
          <w:b/>
        </w:rPr>
        <w:t>(soit par défaut)</w:t>
      </w:r>
    </w:p>
    <w:p w14:paraId="56B18C04" w14:textId="77777777" w:rsidR="00DF410E" w:rsidRDefault="00CE7F43">
      <w:r>
        <w:rPr>
          <w:rStyle w:val="soitChar"/>
          <w:u w:val="single"/>
        </w:rPr>
        <w:t>D'une armature et de crochets de mur</w:t>
      </w:r>
      <w:r>
        <w:rPr>
          <w:rStyle w:val="soitChar"/>
        </w:rPr>
        <w:t> :</w:t>
      </w:r>
    </w:p>
    <w:p w14:paraId="7455622C"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 xml:space="preserve">(par défaut) </w:t>
      </w:r>
      <w:r>
        <w:rPr>
          <w:rStyle w:val="optioncarChar"/>
        </w:rPr>
        <w:t>/ selon l’appareillage général de la maçonnerie / ***</w:t>
      </w:r>
    </w:p>
    <w:p w14:paraId="0AA42155" w14:textId="77777777" w:rsidR="00DF410E" w:rsidRDefault="00CE7F43">
      <w:r>
        <w:rPr>
          <w:b/>
        </w:rPr>
        <w:t>(soit)</w:t>
      </w:r>
    </w:p>
    <w:p w14:paraId="559F6A5B"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r>
        <w:br/>
      </w:r>
    </w:p>
    <w:p w14:paraId="5FC012E7" w14:textId="77777777" w:rsidR="00DF410E" w:rsidRDefault="00CE7F43">
      <w:r>
        <w:rPr>
          <w:b/>
        </w:rPr>
        <w:t>(soit)</w:t>
      </w:r>
    </w:p>
    <w:p w14:paraId="66A20CB2"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r>
        <w:br/>
      </w:r>
    </w:p>
    <w:p w14:paraId="71CDEE44" w14:textId="77777777" w:rsidR="00DF410E" w:rsidRDefault="00CE7F43">
      <w:r>
        <w:rPr>
          <w:b/>
        </w:rPr>
        <w:t>(soit)</w:t>
      </w:r>
    </w:p>
    <w:p w14:paraId="043A8C3C"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 xml:space="preserve">(par défaut) </w:t>
      </w:r>
      <w:r>
        <w:rPr>
          <w:rStyle w:val="optioncarChar"/>
        </w:rPr>
        <w:t>/ arcs / linteau en béton / linteau en pierre / ***</w:t>
      </w:r>
    </w:p>
    <w:p w14:paraId="55229211" w14:textId="77777777" w:rsidR="00DF410E" w:rsidRDefault="00CE7F43">
      <w:r>
        <w:rPr>
          <w:b/>
        </w:rPr>
        <w:t>(soit)</w:t>
      </w:r>
    </w:p>
    <w:p w14:paraId="2A4A7FD4" w14:textId="77777777" w:rsidR="00DF410E" w:rsidRDefault="00CE7F43">
      <w:r>
        <w:rPr>
          <w:rStyle w:val="optioncarChar"/>
        </w:rPr>
        <w:t> ***</w:t>
      </w:r>
    </w:p>
    <w:p w14:paraId="07169FD7" w14:textId="77777777" w:rsidR="00DF410E" w:rsidRDefault="00DF410E"/>
    <w:p w14:paraId="09FEBAF3" w14:textId="77777777" w:rsidR="00DF410E" w:rsidRDefault="00CE7F43">
      <w:r>
        <w:t> </w:t>
      </w:r>
    </w:p>
    <w:p w14:paraId="0C56A677" w14:textId="77777777" w:rsidR="00DF410E" w:rsidRDefault="00CE7F43">
      <w:pPr>
        <w:pStyle w:val="pheading"/>
      </w:pPr>
      <w:r>
        <w:t>MESURAGE</w:t>
      </w:r>
    </w:p>
    <w:p w14:paraId="733CE0D2" w14:textId="77777777" w:rsidR="00DF410E" w:rsidRDefault="00CE7F43">
      <w:pPr>
        <w:pStyle w:val="pheading"/>
      </w:pPr>
      <w:r>
        <w:t>- unité de mesure:</w:t>
      </w:r>
    </w:p>
    <w:p w14:paraId="0189BDF9" w14:textId="77777777" w:rsidR="00DF410E" w:rsidRDefault="00CE7F43">
      <w:r>
        <w:rPr>
          <w:rStyle w:val="optioncarChar"/>
        </w:rPr>
        <w:t xml:space="preserve">m² </w:t>
      </w:r>
      <w:r>
        <w:rPr>
          <w:rStyle w:val="optioncarChar"/>
          <w:color w:val="000000"/>
        </w:rPr>
        <w:t>(par défaut)</w:t>
      </w:r>
      <w:r>
        <w:rPr>
          <w:rStyle w:val="optioncarChar"/>
        </w:rPr>
        <w:t xml:space="preserve"> / m³</w:t>
      </w:r>
    </w:p>
    <w:p w14:paraId="1C49994E" w14:textId="77777777" w:rsidR="00DF410E" w:rsidRDefault="00CE7F43">
      <w:pPr>
        <w:spacing w:after="0" w:line="0" w:lineRule="atLeast"/>
      </w:pPr>
      <w:r>
        <w:rPr>
          <w:b/>
          <w:color w:val="000000"/>
        </w:rPr>
        <w:t xml:space="preserve"> (soit par défaut) </w:t>
      </w:r>
    </w:p>
    <w:p w14:paraId="4E8B0061" w14:textId="77777777" w:rsidR="00DF410E" w:rsidRDefault="00CE7F43">
      <w:pPr>
        <w:spacing w:after="0" w:line="0" w:lineRule="atLeast"/>
      </w:pPr>
      <w:r>
        <w:rPr>
          <w:rStyle w:val="soitChar"/>
        </w:rPr>
        <w:t>1. m²</w:t>
      </w:r>
    </w:p>
    <w:p w14:paraId="459A73AD" w14:textId="77777777" w:rsidR="00DF410E" w:rsidRDefault="00CE7F43">
      <w:pPr>
        <w:spacing w:after="0" w:line="0" w:lineRule="atLeast"/>
      </w:pPr>
      <w:r>
        <w:rPr>
          <w:b/>
          <w:color w:val="000000"/>
        </w:rPr>
        <w:t xml:space="preserve"> (soit) </w:t>
      </w:r>
    </w:p>
    <w:p w14:paraId="51547B54" w14:textId="77777777" w:rsidR="00DF410E" w:rsidRDefault="00CE7F43">
      <w:pPr>
        <w:spacing w:after="0" w:line="0" w:lineRule="atLeast"/>
      </w:pPr>
      <w:r>
        <w:rPr>
          <w:rStyle w:val="soitChar"/>
        </w:rPr>
        <w:t>2. m³</w:t>
      </w:r>
    </w:p>
    <w:p w14:paraId="310C2A4C" w14:textId="77777777" w:rsidR="00DF410E" w:rsidRDefault="00CE7F43">
      <w:pPr>
        <w:pStyle w:val="pheading"/>
      </w:pPr>
      <w:r>
        <w:t>- code de mesurage:</w:t>
      </w:r>
    </w:p>
    <w:p w14:paraId="3ABF64D9" w14:textId="77777777" w:rsidR="00DF410E" w:rsidRDefault="00CE7F43">
      <w:pPr>
        <w:spacing w:before="0" w:after="0"/>
      </w:pPr>
      <w:r>
        <w:t>Les maçonneries sont mesurées en fonction de leur forme géométrique.</w:t>
      </w:r>
    </w:p>
    <w:p w14:paraId="5B8CBE5C"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416FADFB" w14:textId="77777777" w:rsidR="00DF410E" w:rsidRDefault="00CE7F43">
      <w:pPr>
        <w:spacing w:before="0" w:after="0"/>
      </w:pPr>
      <w:r>
        <w:t>La coulisse n'est jamais prise en compte.</w:t>
      </w:r>
    </w:p>
    <w:p w14:paraId="747258DC" w14:textId="77777777" w:rsidR="00DF410E" w:rsidRDefault="00CE7F43">
      <w:pPr>
        <w:spacing w:after="0" w:line="259" w:lineRule="auto"/>
      </w:pPr>
      <w:r>
        <w:rPr>
          <w:rStyle w:val="normalChar"/>
        </w:rPr>
        <w:t>Les accessoires (linteaux non décrits et non comptés dans un autre poste, attaches,…) sont compris dans le prix.</w:t>
      </w:r>
    </w:p>
    <w:p w14:paraId="61C7F897" w14:textId="77777777" w:rsidR="00DF410E" w:rsidRDefault="00CE7F43">
      <w:pPr>
        <w:spacing w:after="0" w:line="259" w:lineRule="auto"/>
      </w:pPr>
      <w:r>
        <w:rPr>
          <w:rStyle w:val="normalChar"/>
        </w:rPr>
        <w:t>Sont entre-autres décrits et comptés dans un autre poste :</w:t>
      </w:r>
    </w:p>
    <w:p w14:paraId="4F989EAF" w14:textId="77777777" w:rsidR="00DF410E" w:rsidRDefault="00CE7F43">
      <w:pPr>
        <w:pStyle w:val="Author-eListParagraph"/>
        <w:numPr>
          <w:ilvl w:val="0"/>
          <w:numId w:val="233"/>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2D0C73A5" w14:textId="77777777" w:rsidR="00DF410E" w:rsidRDefault="00CE7F43">
      <w:pPr>
        <w:pStyle w:val="Author-eListParagraph"/>
        <w:numPr>
          <w:ilvl w:val="0"/>
          <w:numId w:val="233"/>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51BD5323" w14:textId="77777777" w:rsidR="00DF410E" w:rsidRDefault="00CE7F43">
      <w:pPr>
        <w:pStyle w:val="Author-eListParagraph"/>
        <w:numPr>
          <w:ilvl w:val="0"/>
          <w:numId w:val="233"/>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672B4984" w14:textId="77777777" w:rsidR="00DF410E" w:rsidRDefault="00CE7F43">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14:paraId="02B04B10" w14:textId="77777777" w:rsidR="00DF410E" w:rsidRDefault="00CE7F43">
      <w:pPr>
        <w:spacing w:after="0" w:line="252" w:lineRule="auto"/>
      </w:pPr>
      <w:r>
        <w:rPr>
          <w:b/>
          <w:color w:val="000000"/>
        </w:rPr>
        <w:t xml:space="preserve"> (soit par défaut) </w:t>
      </w:r>
    </w:p>
    <w:p w14:paraId="403C4CD3" w14:textId="77777777" w:rsidR="00DF410E" w:rsidRDefault="00CE7F43">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14:paraId="645C1458" w14:textId="77777777" w:rsidR="00DF410E" w:rsidRDefault="00CE7F43">
      <w:pPr>
        <w:spacing w:after="0" w:line="252" w:lineRule="auto"/>
      </w:pPr>
      <w:r>
        <w:rPr>
          <w:rStyle w:val="soitChar"/>
        </w:rPr>
        <w:t>Distinction faite suivant l'épaisseur.</w:t>
      </w:r>
    </w:p>
    <w:p w14:paraId="3B854EB5" w14:textId="77777777" w:rsidR="00DF410E" w:rsidRDefault="00CE7F43">
      <w:pPr>
        <w:spacing w:line="252" w:lineRule="auto"/>
      </w:pPr>
      <w:r>
        <w:rPr>
          <w:b/>
          <w:color w:val="000000"/>
        </w:rPr>
        <w:t>(soit)</w:t>
      </w:r>
    </w:p>
    <w:p w14:paraId="04294E53" w14:textId="77777777" w:rsidR="00DF410E" w:rsidRDefault="00CE7F43">
      <w:pPr>
        <w:spacing w:line="252" w:lineRule="auto"/>
      </w:pPr>
      <w:r>
        <w:rPr>
          <w:rStyle w:val="soitChar"/>
          <w:u w:val="single"/>
        </w:rPr>
        <w:t xml:space="preserve">Volume net </w:t>
      </w:r>
      <w:r>
        <w:rPr>
          <w:rStyle w:val="soitChar"/>
        </w:rPr>
        <w:t xml:space="preserve">du parement ; la longueur des murs est mesurée dans l'axe de l'élément ; à l’intersection de deux murs, seul le mur le plus épais est considéré. Aucun volume n'est compté deux fois. </w:t>
      </w:r>
    </w:p>
    <w:p w14:paraId="3FAE6E17"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21C23B14" w14:textId="77777777" w:rsidR="00DF410E" w:rsidRDefault="00CE7F43">
      <w:pPr>
        <w:pStyle w:val="pheading"/>
      </w:pPr>
      <w:r>
        <w:t>- nature du marché:</w:t>
      </w:r>
    </w:p>
    <w:p w14:paraId="3361361F" w14:textId="77777777" w:rsidR="00DF410E" w:rsidRDefault="00CE7F43">
      <w:r>
        <w:t>QF</w:t>
      </w:r>
    </w:p>
    <w:p w14:paraId="33662485" w14:textId="77777777" w:rsidR="00DF410E" w:rsidRDefault="00CE7F43">
      <w:pPr>
        <w:pStyle w:val="Author-eSectionHeading6"/>
      </w:pPr>
      <w:bookmarkStart w:id="237" w:name="_Toc178837470"/>
      <w:r>
        <w:t>21.31.1b Maçonneries de parement en briques de terre cuite à coller CCTB 01.11</w:t>
      </w:r>
      <w:bookmarkEnd w:id="237"/>
    </w:p>
    <w:p w14:paraId="7093D350" w14:textId="77777777" w:rsidR="00DF410E" w:rsidRDefault="00CE7F43">
      <w:pPr>
        <w:pStyle w:val="pheading"/>
      </w:pPr>
      <w:r>
        <w:t>DESCRIPTION</w:t>
      </w:r>
    </w:p>
    <w:p w14:paraId="721E8B76" w14:textId="77777777" w:rsidR="00DF410E" w:rsidRDefault="00CE7F43">
      <w:pPr>
        <w:pStyle w:val="pheading"/>
      </w:pPr>
      <w:r>
        <w:t>- Définition / Comprend</w:t>
      </w:r>
    </w:p>
    <w:p w14:paraId="18D9212F" w14:textId="77777777" w:rsidR="00DF410E" w:rsidRDefault="00CE7F43">
      <w:r>
        <w:t xml:space="preserve">Il s’agit de la fourniture et la pose de maçonneries de parement en briques de terre cuite à coller. </w:t>
      </w:r>
      <w:r>
        <w:br/>
        <w:t xml:space="preserve">La portée des travaux est décrite dans l’article </w:t>
      </w:r>
      <w:hyperlink w:anchor="379" w:history="1">
        <w:r>
          <w:t>21.3 Maçonneries de parement</w:t>
        </w:r>
      </w:hyperlink>
      <w:r>
        <w:t>.</w:t>
      </w:r>
    </w:p>
    <w:p w14:paraId="5CDAD087" w14:textId="77777777" w:rsidR="00DF410E" w:rsidRDefault="00CE7F43">
      <w:pPr>
        <w:pStyle w:val="pheading"/>
      </w:pPr>
      <w:r>
        <w:t>- Localisation</w:t>
      </w:r>
    </w:p>
    <w:p w14:paraId="517EBDAF" w14:textId="77777777" w:rsidR="00DF410E" w:rsidRDefault="00CE7F43">
      <w:r>
        <w:t xml:space="preserve">La pose est réalisée aux endroits suivants : </w:t>
      </w:r>
      <w:r>
        <w:rPr>
          <w:rStyle w:val="optioncarChar"/>
        </w:rPr>
        <w:t>***</w:t>
      </w:r>
      <w:r>
        <w:t>.</w:t>
      </w:r>
      <w:r>
        <w:br/>
        <w:t>Voir plans et métrés détaillés.</w:t>
      </w:r>
    </w:p>
    <w:p w14:paraId="063FB8F8" w14:textId="77777777" w:rsidR="00DF410E" w:rsidRDefault="00CE7F43">
      <w:pPr>
        <w:pStyle w:val="pheading"/>
      </w:pPr>
      <w:r>
        <w:t>MATÉRIAUX</w:t>
      </w:r>
    </w:p>
    <w:p w14:paraId="55A7C621" w14:textId="77777777" w:rsidR="00DF410E" w:rsidRDefault="00CE7F43">
      <w:pPr>
        <w:pStyle w:val="pheading"/>
      </w:pPr>
      <w:r>
        <w:t>- Caractéristiques générales</w:t>
      </w:r>
    </w:p>
    <w:p w14:paraId="2068B722" w14:textId="77777777" w:rsidR="00DF410E" w:rsidRDefault="00CE7F43">
      <w:r>
        <w:rPr>
          <w:b/>
        </w:rPr>
        <w:t>Briques</w:t>
      </w:r>
    </w:p>
    <w:p w14:paraId="6C465057" w14:textId="77777777" w:rsidR="00DF410E" w:rsidRDefault="00CE7F43">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[NBN EN 771-1+A1], la [NBN EN 772-1+A1] et la [NBN EN 1996 série] est au minimum: *** N/mm² (MPa).</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clivé / ***</w:t>
      </w:r>
      <w:r>
        <w:br/>
      </w:r>
      <w:r>
        <w:br/>
        <w:t xml:space="preserve">Teinte : </w:t>
      </w:r>
      <w:r>
        <w:rPr>
          <w:rStyle w:val="optioncarChar"/>
        </w:rPr>
        <w:t>blanc / rouge</w:t>
      </w:r>
      <w:r>
        <w:t> (par défaut)</w:t>
      </w:r>
      <w:r>
        <w:rPr>
          <w:rStyle w:val="optioncarChar"/>
        </w:rPr>
        <w:t xml:space="preserve"> / gris / ***</w:t>
      </w:r>
    </w:p>
    <w:p w14:paraId="60851443" w14:textId="77777777" w:rsidR="00DF410E" w:rsidRDefault="00CE7F43">
      <w:r>
        <w:rPr>
          <w:rStyle w:val="normalChar"/>
          <w:color w:val="000000"/>
        </w:rPr>
        <w:t xml:space="preserve">Épaisseur nominale du mur : </w:t>
      </w:r>
      <w:r>
        <w:rPr>
          <w:rStyle w:val="optioncarChar"/>
        </w:rPr>
        <w:t xml:space="preserve">6,5 / 9 / selon les indications sur les plans </w:t>
      </w:r>
      <w:r>
        <w:t xml:space="preserve">(par défaut) </w:t>
      </w:r>
      <w:r>
        <w:rPr>
          <w:rStyle w:val="optioncarChar"/>
        </w:rPr>
        <w:t>/ ***</w:t>
      </w:r>
      <w:r>
        <w:t xml:space="preserve"> cm</w:t>
      </w:r>
      <w:r>
        <w:rPr>
          <w:rStyle w:val="optioncarChar"/>
        </w:rPr>
        <w:t xml:space="preserve">. </w:t>
      </w:r>
    </w:p>
    <w:p w14:paraId="6C673584" w14:textId="77777777" w:rsidR="00DF410E" w:rsidRDefault="00CE7F43">
      <w:r>
        <w:t xml:space="preserve">Format : (L x l x h) </w:t>
      </w:r>
      <w:r>
        <w:rPr>
          <w:rStyle w:val="optioncarChar"/>
        </w:rPr>
        <w:t>*** x *** x *** mm / format modulaire proposé par l'entrepreneur </w:t>
      </w:r>
      <w:r>
        <w:t>(par défaut)</w:t>
      </w:r>
    </w:p>
    <w:p w14:paraId="4E7CE75D" w14:textId="77777777" w:rsidR="00DF410E" w:rsidRDefault="00CE7F43">
      <w:pPr>
        <w:spacing w:line="259" w:lineRule="auto"/>
      </w:pPr>
      <w:r>
        <w:rPr>
          <w:rStyle w:val="normalChar"/>
          <w:color w:val="000000"/>
        </w:rPr>
        <w:t>Type de brique de forme spéciale pour donner un aspect maçonnerie à joints minces :</w:t>
      </w:r>
      <w:r>
        <w:rPr>
          <w:rStyle w:val="optioncarChar"/>
        </w:rPr>
        <w:t>oui / non</w:t>
      </w:r>
      <w:r>
        <w:br/>
      </w: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14:paraId="28C4AF88" w14:textId="77777777" w:rsidR="00DF410E" w:rsidRDefault="00CE7F43">
      <w:r>
        <w:rPr>
          <w:rStyle w:val="normalChar"/>
          <w:color w:val="000000"/>
        </w:rPr>
        <w:t xml:space="preserve">La classe d’exposition de la maçonnerie est : </w:t>
      </w:r>
      <w:r>
        <w:rPr>
          <w:rStyle w:val="optioncarChar"/>
        </w:rPr>
        <w:t>MX1 / MX2 ou MX3 / MX4 / MX5</w:t>
      </w:r>
    </w:p>
    <w:p w14:paraId="1C8EB898" w14:textId="77777777" w:rsidR="00DF410E" w:rsidRDefault="00CE7F43">
      <w:r>
        <w:t xml:space="preserve">Taux initial d’absorption d’eau : classe </w:t>
      </w:r>
      <w:r>
        <w:rPr>
          <w:rStyle w:val="optioncarChar"/>
        </w:rPr>
        <w:t>IW1 / IW2 / IW3 / IW4</w:t>
      </w:r>
    </w:p>
    <w:p w14:paraId="2A4C5DEF" w14:textId="77777777" w:rsidR="00DF410E" w:rsidRDefault="00CE7F43">
      <w:r>
        <w:rPr>
          <w:rStyle w:val="normalChar"/>
          <w:color w:val="000000"/>
        </w:rPr>
        <w:t>Le niveau de résistance au gel est compatible avec la classe d’exposition.</w:t>
      </w:r>
      <w:r>
        <w:br/>
      </w:r>
      <w:r>
        <w:br/>
        <w:t xml:space="preserve">Réaction au feu : </w:t>
      </w:r>
      <w:r>
        <w:rPr>
          <w:rStyle w:val="optioncarChar"/>
        </w:rPr>
        <w:t>A1</w:t>
      </w:r>
      <w:r>
        <w:t> (par défaut)</w:t>
      </w:r>
      <w:r>
        <w:rPr>
          <w:rStyle w:val="optioncarChar"/>
        </w:rPr>
        <w:t xml:space="preserve"> / ***</w:t>
      </w:r>
      <w:r>
        <w:br/>
      </w:r>
      <w:r>
        <w:br/>
      </w:r>
      <w:r>
        <w:rPr>
          <w:b/>
        </w:rPr>
        <w:t>Mortier</w:t>
      </w:r>
    </w:p>
    <w:p w14:paraId="4EBC74F0" w14:textId="77777777" w:rsidR="00DF410E" w:rsidRDefault="00CE7F43">
      <w:pPr>
        <w:spacing w:line="259" w:lineRule="auto"/>
      </w:pPr>
      <w:r>
        <w:t>Le mortier-colle est du type T adapté à des joints d’épaisseur nominale comprise entre 3 et 6 mm.</w:t>
      </w:r>
      <w:r>
        <w:br/>
      </w:r>
      <w:r>
        <w:br/>
      </w:r>
      <w:r>
        <w:br/>
      </w:r>
      <w:r>
        <w:rPr>
          <w:b/>
        </w:rPr>
        <w:t>Critères de performances du parement</w:t>
      </w:r>
    </w:p>
    <w:p w14:paraId="2EDEF03C" w14:textId="77777777" w:rsidR="00DF410E" w:rsidRDefault="00CE7F43">
      <w:pPr>
        <w:spacing w:line="259" w:lineRule="auto"/>
      </w:pPr>
      <w:r>
        <w:br/>
        <w:t xml:space="preserve">• valeur λUi ou λUe maximum </w:t>
      </w:r>
      <w:r>
        <w:rPr>
          <w:rStyle w:val="optioncarChar"/>
        </w:rPr>
        <w:t>***</w:t>
      </w:r>
      <w:r>
        <w:t xml:space="preserve"> W/mK (suivant l’application).</w:t>
      </w:r>
    </w:p>
    <w:p w14:paraId="39B2E77E" w14:textId="77777777" w:rsidR="00DF410E" w:rsidRDefault="00DF410E"/>
    <w:p w14:paraId="1F67A15F" w14:textId="77777777" w:rsidR="00DF410E" w:rsidRDefault="00CE7F43">
      <w:r>
        <w:t> </w:t>
      </w:r>
    </w:p>
    <w:p w14:paraId="65A66FC2" w14:textId="77777777" w:rsidR="00DF410E" w:rsidRDefault="00CE7F43">
      <w:pPr>
        <w:pStyle w:val="pheading"/>
      </w:pPr>
      <w:r>
        <w:t>- Finitions</w:t>
      </w:r>
    </w:p>
    <w:p w14:paraId="3D1A52CC"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5E73679" w14:textId="77777777" w:rsidR="00DF410E" w:rsidRDefault="00CE7F43">
      <w:pPr>
        <w:pStyle w:val="pheading"/>
      </w:pPr>
      <w:r>
        <w:t>EXÉCUTION / MISE EN ŒUVRE</w:t>
      </w:r>
    </w:p>
    <w:p w14:paraId="02219C0C" w14:textId="77777777" w:rsidR="00DF410E" w:rsidRDefault="00CE7F43">
      <w:pPr>
        <w:pStyle w:val="pheading"/>
      </w:pPr>
      <w:r>
        <w:t>- Prescriptions générales</w:t>
      </w:r>
    </w:p>
    <w:p w14:paraId="5E6C34E6" w14:textId="77777777" w:rsidR="00DF410E" w:rsidRDefault="00CE7F43">
      <w:pPr>
        <w:spacing w:line="259" w:lineRule="auto"/>
      </w:pPr>
      <w:r>
        <w:t xml:space="preserve">La maçonnerie est exécutée en appareil </w:t>
      </w:r>
      <w:r>
        <w:rPr>
          <w:rStyle w:val="optioncarChar"/>
        </w:rPr>
        <w:t>d'une demi-brique </w:t>
      </w:r>
      <w:r>
        <w:t>(par défaut)</w:t>
      </w:r>
      <w:r>
        <w:rPr>
          <w:rStyle w:val="optioncarChar"/>
        </w:rPr>
        <w:t xml:space="preserve"> / ***</w:t>
      </w:r>
    </w:p>
    <w:p w14:paraId="783652C4"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571219AB" w14:textId="77777777" w:rsidR="00DF410E" w:rsidRDefault="00DF410E"/>
    <w:p w14:paraId="6C6FA7AF" w14:textId="77777777" w:rsidR="00DF410E" w:rsidRDefault="00CE7F43">
      <w:pPr>
        <w:spacing w:line="259" w:lineRule="auto"/>
      </w:pPr>
      <w:r>
        <w:rPr>
          <w:rStyle w:val="normalChar"/>
          <w:b/>
          <w:color w:val="000000"/>
        </w:rPr>
        <w:t>LINTEAUX</w:t>
      </w:r>
    </w:p>
    <w:p w14:paraId="1280DA5D" w14:textId="77777777" w:rsidR="00DF410E" w:rsidRDefault="00CE7F43">
      <w:pPr>
        <w:spacing w:line="259" w:lineRule="auto"/>
      </w:pPr>
      <w:r>
        <w:rPr>
          <w:rStyle w:val="normalChar"/>
          <w:color w:val="000000"/>
        </w:rPr>
        <w:t>Les linteaux des ouvertures du parement sont réalisés à l’aide </w:t>
      </w:r>
      <w:r>
        <w:rPr>
          <w:rStyle w:val="optioncarChar"/>
        </w:rPr>
        <w:t xml:space="preserve">d’une armature et de crochets de mur </w:t>
      </w:r>
      <w:r>
        <w:t>(par défaut)</w:t>
      </w:r>
      <w:r>
        <w:rPr>
          <w:rStyle w:val="optioncarChar"/>
        </w:rPr>
        <w:t xml:space="preserve"> / d’une cornière continue / de consoles trapézoïdales / de briques sur chants sans accessoires / ***</w:t>
      </w:r>
    </w:p>
    <w:p w14:paraId="7445E9F0" w14:textId="77777777" w:rsidR="00DF410E" w:rsidRDefault="00CE7F43">
      <w:r>
        <w:rPr>
          <w:b/>
        </w:rPr>
        <w:t xml:space="preserve"> (soit par défaut) </w:t>
      </w:r>
    </w:p>
    <w:p w14:paraId="392C9952" w14:textId="77777777" w:rsidR="00DF410E" w:rsidRDefault="00CE7F43">
      <w:r>
        <w:rPr>
          <w:rStyle w:val="soitChar"/>
          <w:u w:val="single"/>
        </w:rPr>
        <w:t>D'une armature et de crochets de mur</w:t>
      </w:r>
      <w:r>
        <w:rPr>
          <w:rStyle w:val="soitChar"/>
        </w:rPr>
        <w:t xml:space="preserve"> :</w:t>
      </w:r>
    </w:p>
    <w:p w14:paraId="7F029F73" w14:textId="77777777" w:rsidR="00DF410E" w:rsidRDefault="00CE7F43">
      <w:r>
        <w:rPr>
          <w:rStyle w:val="soitChar"/>
        </w:rPr>
        <w:t>L’armature est conforme aux descriptions du 21.41.1</w:t>
      </w:r>
      <w:r>
        <w:br/>
      </w:r>
      <w:r>
        <w:rPr>
          <w:color w:val="33CCCC"/>
        </w:rPr>
        <w:t>Les crochets sont prévus tous les</w:t>
      </w:r>
      <w:r>
        <w:rPr>
          <w:rStyle w:val="optioncarChar"/>
        </w:rPr>
        <w:t>*** </w:t>
      </w:r>
      <w:r>
        <w:rPr>
          <w:color w:val="33CCCC"/>
        </w:rPr>
        <w:t>joints montants. La nature de l’armature et des crochets est compatible avec la classe d’exposition.</w:t>
      </w:r>
      <w:r>
        <w:br/>
      </w:r>
      <w:r>
        <w:rPr>
          <w:color w:val="33CCCC"/>
        </w:rPr>
        <w:t xml:space="preserve">Les briques formant linteau sont disposées </w:t>
      </w:r>
      <w:r>
        <w:rPr>
          <w:rStyle w:val="optioncarChar"/>
        </w:rPr>
        <w:t>sur chant </w:t>
      </w:r>
      <w:r>
        <w:t>(par défaut)</w:t>
      </w:r>
      <w:r>
        <w:rPr>
          <w:rStyle w:val="optioncarChar"/>
        </w:rPr>
        <w:t xml:space="preserve"> / selon l’appareillage général de la maçonnerie / ***</w:t>
      </w:r>
    </w:p>
    <w:p w14:paraId="22ABF59E" w14:textId="77777777" w:rsidR="00DF410E" w:rsidRDefault="00CE7F43">
      <w:r>
        <w:rPr>
          <w:b/>
        </w:rPr>
        <w:t xml:space="preserve"> (soit) </w:t>
      </w:r>
    </w:p>
    <w:p w14:paraId="39FA652C" w14:textId="77777777" w:rsidR="00DF410E" w:rsidRDefault="00CE7F43">
      <w:r>
        <w:rPr>
          <w:rStyle w:val="soitChar"/>
          <w:u w:val="single"/>
        </w:rPr>
        <w:t>D’une cornière continue</w:t>
      </w:r>
      <w:r>
        <w:rPr>
          <w:rStyle w:val="soitChar"/>
        </w:rPr>
        <w:t xml:space="preserve"> : </w:t>
      </w:r>
      <w:r>
        <w:br/>
      </w:r>
      <w:r>
        <w:rPr>
          <w:rStyle w:val="soitChar"/>
        </w:rPr>
        <w:t>La nature de la cornière continue est compatible avec la classe d’exposition.</w:t>
      </w:r>
      <w:r>
        <w:br/>
      </w:r>
      <w:r>
        <w:rPr>
          <w:color w:val="33CCCC"/>
        </w:rPr>
        <w:t xml:space="preserve">La brique est découpée pour masquer la cornière : </w:t>
      </w:r>
      <w:r>
        <w:rPr>
          <w:rStyle w:val="optioncarChar"/>
        </w:rPr>
        <w:t xml:space="preserve">oui / non </w:t>
      </w:r>
      <w:r>
        <w:rPr>
          <w:rStyle w:val="optioncarChar"/>
          <w:color w:val="000000"/>
        </w:rPr>
        <w:t>(par défaut)</w:t>
      </w:r>
      <w:r>
        <w:br/>
      </w:r>
    </w:p>
    <w:p w14:paraId="56081A5B" w14:textId="77777777" w:rsidR="00DF410E" w:rsidRDefault="00CE7F43">
      <w:r>
        <w:rPr>
          <w:b/>
        </w:rPr>
        <w:t xml:space="preserve"> (soit) </w:t>
      </w:r>
    </w:p>
    <w:p w14:paraId="0FE7F8F1"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 xml:space="preserve">La brique est découpée pour masquer la cornière : </w:t>
      </w:r>
      <w:r>
        <w:rPr>
          <w:rStyle w:val="optioncarChar"/>
        </w:rPr>
        <w:t xml:space="preserve">oui / non </w:t>
      </w:r>
      <w:r>
        <w:rPr>
          <w:rStyle w:val="optioncarChar"/>
          <w:color w:val="000000"/>
        </w:rPr>
        <w:t>﻿(par défaut)</w:t>
      </w:r>
      <w:r>
        <w:br/>
      </w:r>
    </w:p>
    <w:p w14:paraId="5145EDE5" w14:textId="77777777" w:rsidR="00DF410E" w:rsidRDefault="00CE7F43">
      <w:r>
        <w:rPr>
          <w:b/>
        </w:rPr>
        <w:t xml:space="preserve"> (soit) </w:t>
      </w:r>
    </w:p>
    <w:p w14:paraId="02C45AD0" w14:textId="77777777" w:rsidR="00DF410E" w:rsidRDefault="00CE7F43">
      <w:r>
        <w:rPr>
          <w:rStyle w:val="soitChar"/>
        </w:rPr>
        <w:t xml:space="preserve">De briques sur chant </w:t>
      </w:r>
      <w:r>
        <w:rPr>
          <w:rStyle w:val="optioncarChar"/>
        </w:rPr>
        <w:t>sans accessoires, pour portée limitée à 90 cm </w:t>
      </w:r>
      <w:r>
        <w:t>(par défaut)</w:t>
      </w:r>
      <w:r>
        <w:rPr>
          <w:rStyle w:val="optioncarChar"/>
        </w:rPr>
        <w:t xml:space="preserve"> / arcs / linteau en béton / linteau en pierre / ***</w:t>
      </w:r>
    </w:p>
    <w:p w14:paraId="41DC9143" w14:textId="77777777" w:rsidR="00DF410E" w:rsidRDefault="00CE7F43">
      <w:r>
        <w:rPr>
          <w:b/>
        </w:rPr>
        <w:t>(soit)</w:t>
      </w:r>
    </w:p>
    <w:p w14:paraId="45BD9DEB" w14:textId="77777777" w:rsidR="00DF410E" w:rsidRDefault="00CE7F43">
      <w:r>
        <w:rPr>
          <w:rStyle w:val="optioncarChar"/>
        </w:rPr>
        <w:t> ***</w:t>
      </w:r>
    </w:p>
    <w:p w14:paraId="16602467" w14:textId="77777777" w:rsidR="00DF410E" w:rsidRDefault="00CE7F43">
      <w:pPr>
        <w:pStyle w:val="pheading"/>
      </w:pPr>
      <w:r>
        <w:t>- Notes d’exécution complémentaires</w:t>
      </w:r>
    </w:p>
    <w:p w14:paraId="016149B4" w14:textId="77777777" w:rsidR="00DF410E" w:rsidRDefault="00CE7F43">
      <w:pPr>
        <w:jc w:val="both"/>
      </w:pPr>
      <w:r>
        <w:rPr>
          <w:rStyle w:val="facultChar"/>
          <w:color w:val="000000"/>
        </w:rPr>
        <w:t xml:space="preserve">Afin de déterminer le choix définitif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14:paraId="0C554068" w14:textId="77777777" w:rsidR="00DF410E" w:rsidRDefault="00CE7F43">
      <w:pPr>
        <w:pStyle w:val="pheading"/>
      </w:pPr>
      <w:r>
        <w:t>MESURAGE</w:t>
      </w:r>
    </w:p>
    <w:p w14:paraId="3D948A3C" w14:textId="77777777" w:rsidR="00DF410E" w:rsidRDefault="00CE7F43">
      <w:pPr>
        <w:pStyle w:val="pheading"/>
      </w:pPr>
      <w:r>
        <w:t>- unité de mesure:</w:t>
      </w:r>
    </w:p>
    <w:p w14:paraId="0687E479" w14:textId="77777777" w:rsidR="00DF410E" w:rsidRDefault="00CE7F43">
      <w:r>
        <w:rPr>
          <w:rStyle w:val="optioncarChar"/>
        </w:rPr>
        <w:t>m² </w:t>
      </w:r>
      <w:r>
        <w:rPr>
          <w:rStyle w:val="optioncarChar"/>
          <w:color w:val="000000"/>
        </w:rPr>
        <w:t>(par défaut)</w:t>
      </w:r>
      <w:r>
        <w:rPr>
          <w:rStyle w:val="optioncarChar"/>
        </w:rPr>
        <w:t> / m³</w:t>
      </w:r>
    </w:p>
    <w:p w14:paraId="2654A876" w14:textId="77777777" w:rsidR="00DF410E" w:rsidRDefault="00CE7F43">
      <w:pPr>
        <w:spacing w:after="0" w:line="0" w:lineRule="atLeast"/>
      </w:pPr>
      <w:r>
        <w:rPr>
          <w:b/>
          <w:color w:val="000000"/>
        </w:rPr>
        <w:t>(soit par défaut)</w:t>
      </w:r>
    </w:p>
    <w:p w14:paraId="18CF7AAE" w14:textId="77777777" w:rsidR="00DF410E" w:rsidRDefault="00CE7F43">
      <w:pPr>
        <w:spacing w:after="0" w:line="0" w:lineRule="atLeast"/>
      </w:pPr>
      <w:r>
        <w:rPr>
          <w:rStyle w:val="soitChar"/>
        </w:rPr>
        <w:t>1. m²</w:t>
      </w:r>
    </w:p>
    <w:p w14:paraId="6AA22772" w14:textId="77777777" w:rsidR="00DF410E" w:rsidRDefault="00CE7F43">
      <w:pPr>
        <w:spacing w:after="0" w:line="0" w:lineRule="atLeast"/>
      </w:pPr>
      <w:r>
        <w:rPr>
          <w:b/>
          <w:color w:val="000000"/>
        </w:rPr>
        <w:t>(soit)</w:t>
      </w:r>
    </w:p>
    <w:p w14:paraId="69D03021" w14:textId="77777777" w:rsidR="00DF410E" w:rsidRDefault="00CE7F43">
      <w:pPr>
        <w:spacing w:after="0" w:line="0" w:lineRule="atLeast"/>
      </w:pPr>
      <w:r>
        <w:rPr>
          <w:rStyle w:val="soitChar"/>
        </w:rPr>
        <w:t>2. m³</w:t>
      </w:r>
    </w:p>
    <w:p w14:paraId="72D35B85" w14:textId="77777777" w:rsidR="00DF410E" w:rsidRDefault="00CE7F43">
      <w:pPr>
        <w:pStyle w:val="pheading"/>
      </w:pPr>
      <w:r>
        <w:t>- code de mesurage:</w:t>
      </w:r>
    </w:p>
    <w:p w14:paraId="316AEEFC" w14:textId="77777777" w:rsidR="00DF410E" w:rsidRDefault="00CE7F43">
      <w:pPr>
        <w:spacing w:before="0" w:after="0"/>
      </w:pPr>
      <w:r>
        <w:t>Les maçonneries sont mesurées en fonction de leur forme géométrique.</w:t>
      </w:r>
    </w:p>
    <w:p w14:paraId="6E5F0226"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4DE26C62" w14:textId="77777777" w:rsidR="00DF410E" w:rsidRDefault="00CE7F43">
      <w:pPr>
        <w:spacing w:before="0" w:after="0"/>
      </w:pPr>
      <w:r>
        <w:t>La coulisse n'est jamais prise en compte.</w:t>
      </w:r>
    </w:p>
    <w:p w14:paraId="0264B9C1" w14:textId="77777777" w:rsidR="00DF410E" w:rsidRDefault="00CE7F43">
      <w:pPr>
        <w:spacing w:after="0" w:line="259" w:lineRule="auto"/>
      </w:pPr>
      <w:r>
        <w:rPr>
          <w:rStyle w:val="normalChar"/>
        </w:rPr>
        <w:t>Les accessoires (linteaux non décrits et non comptés dans un autre poste, attaches,…) sont compris dans le prix.</w:t>
      </w:r>
    </w:p>
    <w:p w14:paraId="6D36E5E5" w14:textId="77777777" w:rsidR="00DF410E" w:rsidRDefault="00CE7F43">
      <w:pPr>
        <w:spacing w:after="0" w:line="259" w:lineRule="auto"/>
      </w:pPr>
      <w:r>
        <w:rPr>
          <w:rStyle w:val="normalChar"/>
        </w:rPr>
        <w:t>Sont entre-autres décrits et comptés dans un autre poste :</w:t>
      </w:r>
    </w:p>
    <w:p w14:paraId="6E1E78A7" w14:textId="77777777" w:rsidR="00DF410E" w:rsidRDefault="00CE7F43">
      <w:pPr>
        <w:pStyle w:val="Author-eListParagraph"/>
        <w:numPr>
          <w:ilvl w:val="0"/>
          <w:numId w:val="234"/>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2207962E" w14:textId="77777777" w:rsidR="00DF410E" w:rsidRDefault="00CE7F43">
      <w:pPr>
        <w:pStyle w:val="Author-eListParagraph"/>
        <w:numPr>
          <w:ilvl w:val="0"/>
          <w:numId w:val="234"/>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181931C3" w14:textId="77777777" w:rsidR="00DF410E" w:rsidRDefault="00DF410E">
      <w:pPr>
        <w:pStyle w:val="Author-eListParagraph"/>
        <w:numPr>
          <w:ilvl w:val="0"/>
          <w:numId w:val="234"/>
        </w:numPr>
      </w:pPr>
    </w:p>
    <w:p w14:paraId="1996D185" w14:textId="77777777" w:rsidR="00DF410E" w:rsidRDefault="00CE7F43">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49F0A053" w14:textId="77777777" w:rsidR="00DF410E" w:rsidRDefault="00CE7F43">
      <w:r>
        <w:rPr>
          <w:rStyle w:val="optioncarChar"/>
        </w:rPr>
        <w:t>Surface nette (par défaut) / volume net</w:t>
      </w:r>
    </w:p>
    <w:p w14:paraId="2F437528" w14:textId="77777777" w:rsidR="00DF410E" w:rsidRDefault="00CE7F43">
      <w:r>
        <w:rPr>
          <w:b/>
        </w:rPr>
        <w:t>(Soit par défaut)</w:t>
      </w:r>
    </w:p>
    <w:p w14:paraId="49F253AD" w14:textId="77777777" w:rsidR="00DF410E" w:rsidRDefault="00CE7F43">
      <w:r>
        <w:rPr>
          <w:rStyle w:val="soitChar"/>
        </w:rPr>
        <w:t>1. Surface nette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080ED02" w14:textId="77777777" w:rsidR="00DF410E" w:rsidRDefault="00CE7F43">
      <w:r>
        <w:rPr>
          <w:rStyle w:val="soitChar"/>
        </w:rPr>
        <w:t>Distinction faite suivant l'épaisseur.</w:t>
      </w:r>
    </w:p>
    <w:p w14:paraId="1D116BC7" w14:textId="77777777" w:rsidR="00DF410E" w:rsidRDefault="00CE7F43">
      <w:r>
        <w:rPr>
          <w:b/>
        </w:rPr>
        <w:t>(Soit)</w:t>
      </w:r>
    </w:p>
    <w:p w14:paraId="4060631F" w14:textId="77777777" w:rsidR="00DF410E" w:rsidRDefault="00CE7F43">
      <w:r>
        <w:rPr>
          <w:rStyle w:val="soitChar"/>
        </w:rPr>
        <w:t>2. Volume net du parement ; la longueur des murs est mesurée dans l'axe de l'élément ; à l’intersection de deux murs, seul le mur le plus épais est considéré. Aucun volume n'est compté deux fois.</w:t>
      </w:r>
    </w:p>
    <w:p w14:paraId="4CC76E15" w14:textId="77777777" w:rsidR="00DF410E" w:rsidRDefault="00CE7F43">
      <w:r>
        <w:rPr>
          <w:rStyle w:val="soitChar"/>
        </w:rPr>
        <w:t>Les ouvertures ou les éléments de construction intégrés dont l'aire est supérieure à 0,5 m² multipliées par l’épaisseur à réaliser sont déduites.</w:t>
      </w:r>
    </w:p>
    <w:p w14:paraId="19D702F5" w14:textId="77777777" w:rsidR="00DF410E" w:rsidRDefault="00CE7F43">
      <w:pPr>
        <w:pStyle w:val="pheading"/>
      </w:pPr>
      <w:r>
        <w:t>- nature du marché:</w:t>
      </w:r>
    </w:p>
    <w:p w14:paraId="689936FC" w14:textId="77777777" w:rsidR="00DF410E" w:rsidRDefault="00CE7F43">
      <w:r>
        <w:t>QF</w:t>
      </w:r>
    </w:p>
    <w:p w14:paraId="58DF5469" w14:textId="77777777" w:rsidR="00DF410E" w:rsidRDefault="00CE7F43">
      <w:pPr>
        <w:pStyle w:val="pheading"/>
      </w:pPr>
      <w:r>
        <w:t>AIDE</w:t>
      </w:r>
    </w:p>
    <w:p w14:paraId="0AB62B72" w14:textId="77777777" w:rsidR="00DF410E" w:rsidRDefault="00CE7F43">
      <w:pPr>
        <w:jc w:val="both"/>
      </w:pPr>
      <w:r>
        <w:t>L’épaisseur nominale minimale réalisable du joint de mortier et ses variations dépendent de la classe de dispersion de la brique et de la planéité de ses faces de pose (voir fiche technique) et du soin apporté à l’exécution. Au plus mince est le joint, au plus stricts doivent être ces écarts dimensionnels. Des joints minces de 3 mm d’épaisseur nominale nécessitent une mise en œuvre soignée caractérisée par une tolérance sur l’exécution plus stricte (2 mm pour la tolérance sévère au lieu de 4 mm pour la tolérance normale). Un appareil sauvage est à privilégier lorsque la brique est caractérisée par une classe de dispersion sur la longueur peu stricte afin d’éviter le manque d’alignement des joints verticaux.</w:t>
      </w:r>
    </w:p>
    <w:p w14:paraId="09AD6C17" w14:textId="77777777" w:rsidR="00DF410E" w:rsidRDefault="00CE7F43">
      <w:pPr>
        <w:jc w:val="both"/>
      </w:pPr>
      <w:r>
        <w:t xml:space="preserve"> Source : [Buildwise Article Dossier (2017/3.02)].</w:t>
      </w:r>
    </w:p>
    <w:p w14:paraId="5D186042" w14:textId="77777777" w:rsidR="00DF410E" w:rsidRDefault="00CE7F43">
      <w:pPr>
        <w:jc w:val="both"/>
      </w:pPr>
      <w:r>
        <w:t> </w:t>
      </w:r>
    </w:p>
    <w:p w14:paraId="0B319CC5" w14:textId="77777777" w:rsidR="00DF410E" w:rsidRDefault="00CE7F43">
      <w:pPr>
        <w:jc w:val="both"/>
      </w:pPr>
      <w:r>
        <w:t>L’appareillage en demi-brique est souvent problématique en joints minces si les tolérances en longueur des briques ne sont pas hyper strictes. L’appareillage sauvage est libre au point qu’il mène à des joints verticaux alignés ou presqu’alignés sur plusieurs tas d’affilée.</w:t>
      </w:r>
    </w:p>
    <w:p w14:paraId="0957EE69" w14:textId="77777777" w:rsidR="00DF410E" w:rsidRDefault="00CE7F43">
      <w:pPr>
        <w:pStyle w:val="Author-eSectionHeading6"/>
      </w:pPr>
      <w:bookmarkStart w:id="238" w:name="_Toc178837471"/>
      <w:r>
        <w:t>21.31.1c Maçonneries de parement en briques de terre cuite de réemploi CCTB 01.11</w:t>
      </w:r>
      <w:bookmarkEnd w:id="238"/>
    </w:p>
    <w:p w14:paraId="0D61F881" w14:textId="77777777" w:rsidR="00DF410E" w:rsidRDefault="00CE7F43">
      <w:pPr>
        <w:pStyle w:val="pheading"/>
      </w:pPr>
      <w:bookmarkStart w:id="239" w:name="140"/>
      <w:bookmarkEnd w:id="239"/>
      <w:r>
        <w:t>DESCRIPTION</w:t>
      </w:r>
    </w:p>
    <w:p w14:paraId="028735D9" w14:textId="77777777" w:rsidR="00DF410E" w:rsidRDefault="00CE7F43">
      <w:pPr>
        <w:pStyle w:val="pheading"/>
      </w:pPr>
      <w:r>
        <w:t>- Définition / Comprend</w:t>
      </w:r>
    </w:p>
    <w:p w14:paraId="1829762A" w14:textId="77777777" w:rsidR="00DF410E" w:rsidRDefault="00CE7F43">
      <w:r>
        <w:t>Il s’agit de la fourniture et la pose de maçonneries de parement en briques de terre cuite de réemploi issues de déconstruction et ayant été sélectionnées dans ce but.</w:t>
      </w:r>
      <w:r>
        <w:br/>
        <w:t xml:space="preserve">La portée des travaux est décrite dans l’article </w:t>
      </w:r>
      <w:hyperlink w:anchor="41" w:history="1">
        <w:r>
          <w:t>2 T2 Superstructures</w:t>
        </w:r>
      </w:hyperlink>
      <w:r>
        <w:t>.</w:t>
      </w:r>
    </w:p>
    <w:p w14:paraId="09A6E2CF" w14:textId="77777777" w:rsidR="00DF410E" w:rsidRDefault="00CE7F43">
      <w:pPr>
        <w:pStyle w:val="pheading"/>
      </w:pPr>
      <w:r>
        <w:t>- Localisation</w:t>
      </w:r>
    </w:p>
    <w:p w14:paraId="6257D67F" w14:textId="77777777" w:rsidR="00DF410E" w:rsidRDefault="00CE7F43">
      <w:r>
        <w:t xml:space="preserve">La pose est réalisée aux endroits suivants : </w:t>
      </w:r>
      <w:r>
        <w:rPr>
          <w:rStyle w:val="optioncarChar"/>
        </w:rPr>
        <w:t>***</w:t>
      </w:r>
      <w:r>
        <w:t>.</w:t>
      </w:r>
      <w:r>
        <w:br/>
        <w:t>Voir plans et métrés détaillés.</w:t>
      </w:r>
    </w:p>
    <w:p w14:paraId="5ECCA1EC" w14:textId="77777777" w:rsidR="00DF410E" w:rsidRDefault="00CE7F43">
      <w:pPr>
        <w:pStyle w:val="pheading"/>
      </w:pPr>
      <w:r>
        <w:t>MATÉRIAUX</w:t>
      </w:r>
    </w:p>
    <w:p w14:paraId="6B6CC821" w14:textId="77777777" w:rsidR="00DF410E" w:rsidRDefault="00CE7F43">
      <w:pPr>
        <w:pStyle w:val="pheading"/>
      </w:pPr>
      <w:r>
        <w:t>- Caractéristiques générales</w:t>
      </w:r>
    </w:p>
    <w:p w14:paraId="47467B52" w14:textId="77777777" w:rsidR="00DF410E" w:rsidRDefault="00CE7F43">
      <w:r>
        <w:rPr>
          <w:b/>
        </w:rPr>
        <w:t>Spécifications de la brique</w:t>
      </w:r>
    </w:p>
    <w:p w14:paraId="75F5D0D4" w14:textId="77777777" w:rsidR="00DF410E" w:rsidRDefault="00CE7F43">
      <w:r>
        <w:t>Les travaux de maçonnerie sont exécutés en briques de récupération à soumettre préalablement pour approbation à la Direction de chantier. Les briques sont bien cuites et résistantes au gel.</w:t>
      </w:r>
      <w:r>
        <w:br/>
        <w:t>Les briques de récupération sont des mêmes espèces et origine et sont triées selon les mêmes dimensions. Toutes les faces de parement sont préalablement nettoyées. Les briques sont débarrassées de toutes bavures de mortier et de particules de chaux, les bords sont libérés. Aucune trace de mortier, de salissures ou de rouille ne peut subsister.</w:t>
      </w:r>
      <w:r>
        <w:br/>
      </w:r>
      <w:r>
        <w:br/>
        <w:t xml:space="preserve">La résistance en compression </w:t>
      </w:r>
      <w:r>
        <w:rPr>
          <w:rStyle w:val="optioncarChar"/>
        </w:rPr>
        <w:t>moyenne (fmean) selon la [NBN EN 771-1+A1] / normalisé (fb) suivant</w:t>
      </w:r>
      <w:r>
        <w:t xml:space="preserve">[NBN EN 1996 série] est au minimum: </w:t>
      </w:r>
      <w:r>
        <w:rPr>
          <w:rStyle w:val="optioncarChar"/>
        </w:rPr>
        <w:t>*** / non spécifié</w:t>
      </w:r>
      <w:r>
        <w:t xml:space="preserve"> N/mm² (MPa). </w:t>
      </w:r>
      <w:r>
        <w:br/>
      </w:r>
      <w:r>
        <w:br/>
        <w:t xml:space="preserve">Le groupe de configuration suivant [NBN EN 1996-1-1+A1 ANB] est: </w:t>
      </w:r>
      <w:r>
        <w:rPr>
          <w:rStyle w:val="optioncarChar"/>
        </w:rPr>
        <w:t>1 / 2 / non spécifié</w:t>
      </w:r>
      <w:r>
        <w:br/>
      </w:r>
      <w:r>
        <w:br/>
        <w:t xml:space="preserve">La masse volumique sèche apparente des briques ρ (rho) est : </w:t>
      </w:r>
      <w:r>
        <w:rPr>
          <w:rStyle w:val="optioncarChar"/>
        </w:rPr>
        <w:t>non spécifiée / ***&lt; ρ &lt; ***</w:t>
      </w:r>
      <w:r>
        <w:t xml:space="preserve"> kg/m³ selon la [NBN EN 771-1+A1]. </w:t>
      </w:r>
      <w:r>
        <w:br/>
      </w:r>
      <w:r>
        <w:br/>
        <w:t xml:space="preserve">La conductibilité thermique λD est compatible avec la valeur U prescrite pour la paroi. </w:t>
      </w:r>
      <w:r>
        <w:br/>
      </w:r>
      <w:r>
        <w:br/>
        <w:t xml:space="preserve">Teinte : </w:t>
      </w:r>
      <w:r>
        <w:rPr>
          <w:rStyle w:val="optioncarChar"/>
        </w:rPr>
        <w:t>blanc / rouge </w:t>
      </w:r>
      <w:r>
        <w:t xml:space="preserve">(par défaut) </w:t>
      </w:r>
      <w:r>
        <w:rPr>
          <w:rStyle w:val="optioncarChar"/>
        </w:rPr>
        <w:t>/ gris / ***</w:t>
      </w:r>
      <w:r>
        <w:br/>
      </w:r>
      <w:r>
        <w:br/>
        <w:t xml:space="preserve">Format : (L x l x h) </w:t>
      </w:r>
      <w:r>
        <w:rPr>
          <w:rStyle w:val="optioncarChar"/>
        </w:rPr>
        <w:t>*** x *** x *** / format modulaire proposé par l'entrepreneur</w:t>
      </w:r>
      <w:r>
        <w:t> (par défaut) mm</w:t>
      </w:r>
      <w:r>
        <w:br/>
      </w:r>
      <w:r>
        <w:br/>
        <w:t xml:space="preserve">Tolérances dimensionnelles : </w:t>
      </w:r>
      <w:r>
        <w:br/>
        <w:t xml:space="preserve">Tolérances de la valeur moyenne : </w:t>
      </w:r>
      <w:r>
        <w:rPr>
          <w:rStyle w:val="optioncarChar"/>
        </w:rPr>
        <w:t>T1 / T2 / Tm / non spécifié / ***</w:t>
      </w:r>
      <w:r>
        <w:br/>
        <w:t xml:space="preserve">Plage : </w:t>
      </w:r>
      <w:r>
        <w:rPr>
          <w:rStyle w:val="optioncarChar"/>
        </w:rPr>
        <w:t>R1 / R2 / Rm / non spécifié / ***</w:t>
      </w:r>
    </w:p>
    <w:p w14:paraId="72593F43" w14:textId="77777777" w:rsidR="00DF410E" w:rsidRDefault="00CE7F43">
      <w:r>
        <w:rPr>
          <w:rStyle w:val="normalChar"/>
          <w:color w:val="000000"/>
        </w:rPr>
        <w:t xml:space="preserve">La classe d’exposition de la maçonnerie est : </w:t>
      </w:r>
      <w:r>
        <w:rPr>
          <w:rStyle w:val="optioncarChar"/>
        </w:rPr>
        <w:t>MX1 / MX2 ou MX3 (par défaut)/ MX4 / MX5</w:t>
      </w:r>
    </w:p>
    <w:p w14:paraId="64DCDD0E" w14:textId="77777777" w:rsidR="00DF410E" w:rsidRDefault="00CE7F43">
      <w:r>
        <w:t xml:space="preserve">Taux initial d’absorption d’eau : classe </w:t>
      </w:r>
      <w:r>
        <w:rPr>
          <w:rStyle w:val="optioncarChar"/>
        </w:rPr>
        <w:t>IW1 / IW2 / IW3 / IW4</w:t>
      </w:r>
    </w:p>
    <w:p w14:paraId="08195BB3" w14:textId="77777777" w:rsidR="00DF410E" w:rsidRDefault="00CE7F43">
      <w:r>
        <w:rPr>
          <w:rStyle w:val="normalChar"/>
          <w:color w:val="000000"/>
        </w:rPr>
        <w:t>Le niveau de résistance au gel est compatible avec la classe d’exposition.</w:t>
      </w:r>
      <w:r>
        <w:br/>
      </w:r>
      <w:r>
        <w:br/>
        <w:t xml:space="preserve">Réaction au feu : </w:t>
      </w:r>
      <w:r>
        <w:rPr>
          <w:rStyle w:val="optioncarChar"/>
        </w:rPr>
        <w:t>A1 </w:t>
      </w:r>
      <w:r>
        <w:t>(par défaut)</w:t>
      </w:r>
      <w:r>
        <w:rPr>
          <w:rStyle w:val="optioncarChar"/>
        </w:rPr>
        <w:t xml:space="preserve"> / ***</w:t>
      </w:r>
      <w:r>
        <w:br/>
      </w:r>
      <w:r>
        <w:br/>
      </w:r>
      <w:r>
        <w:rPr>
          <w:b/>
        </w:rPr>
        <w:t>Mortier</w:t>
      </w:r>
    </w:p>
    <w:p w14:paraId="4FDF8DEF" w14:textId="77777777" w:rsidR="00DF410E" w:rsidRDefault="00CE7F43">
      <w:r>
        <w:rPr>
          <w:rStyle w:val="normalChar"/>
          <w:color w:val="000000"/>
        </w:rPr>
        <w:t xml:space="preserve">Le mortier est du type G ou dosé in situ adapté à des joints d’épaisseur nominale de </w:t>
      </w:r>
      <w:r>
        <w:rPr>
          <w:rStyle w:val="optioncarChar"/>
        </w:rPr>
        <w:t xml:space="preserve">8 / 12 </w:t>
      </w:r>
      <w:r>
        <w:t>(par défaut) </w:t>
      </w:r>
      <w:r>
        <w:rPr>
          <w:rStyle w:val="optioncarChar"/>
        </w:rPr>
        <w:t>/ ***</w:t>
      </w:r>
      <w:r>
        <w:t xml:space="preserve"> mm.</w:t>
      </w:r>
      <w:r>
        <w:br/>
      </w:r>
      <w:r>
        <w:br/>
      </w:r>
      <w:r>
        <w:br/>
      </w:r>
      <w:r>
        <w:rPr>
          <w:b/>
        </w:rPr>
        <w:t>Critères de performances du parement</w:t>
      </w:r>
    </w:p>
    <w:p w14:paraId="4E54F499" w14:textId="77777777" w:rsidR="00DF410E" w:rsidRDefault="00CE7F43">
      <w:r>
        <w:br/>
        <w:t xml:space="preserve">• valeur λUi ou λUe maximum </w:t>
      </w:r>
      <w:r>
        <w:rPr>
          <w:rStyle w:val="optioncarChar"/>
        </w:rPr>
        <w:t>***</w:t>
      </w:r>
      <w:r>
        <w:t xml:space="preserve"> W/mK (suivant l’application).</w:t>
      </w:r>
    </w:p>
    <w:p w14:paraId="2C386534" w14:textId="77777777" w:rsidR="00DF410E" w:rsidRDefault="00DF410E"/>
    <w:p w14:paraId="0A8F4AA5" w14:textId="77777777" w:rsidR="00DF410E" w:rsidRDefault="00CE7F43">
      <w:pPr>
        <w:pStyle w:val="pheading"/>
      </w:pPr>
      <w:r>
        <w:t>- Finitions</w:t>
      </w:r>
    </w:p>
    <w:p w14:paraId="362F4BBF"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4F79B3E1"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AF6A23F"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32BB06C1"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BFEF8F9"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FA240A7" w14:textId="77777777" w:rsidR="00DF410E" w:rsidRDefault="00DF410E"/>
    <w:p w14:paraId="5E96F220" w14:textId="77777777" w:rsidR="00DF410E" w:rsidRDefault="00CE7F43">
      <w:pPr>
        <w:pStyle w:val="pheading"/>
      </w:pPr>
      <w:r>
        <w:t>EXÉCUTION / MISE EN ŒUVRE</w:t>
      </w:r>
    </w:p>
    <w:p w14:paraId="5FD39CF3" w14:textId="77777777" w:rsidR="00DF410E" w:rsidRDefault="00CE7F43">
      <w:pPr>
        <w:pStyle w:val="pheading"/>
      </w:pPr>
      <w:r>
        <w:t>- Prescriptions générales</w:t>
      </w:r>
    </w:p>
    <w:p w14:paraId="5439029F" w14:textId="77777777" w:rsidR="00DF410E" w:rsidRDefault="00CE7F43">
      <w:pPr>
        <w:spacing w:line="259" w:lineRule="auto"/>
      </w:pPr>
      <w:r>
        <w:t xml:space="preserve">La maçonnerie est exécutée en appareil </w:t>
      </w:r>
      <w:r>
        <w:rPr>
          <w:rStyle w:val="optioncarChar"/>
        </w:rPr>
        <w:t>d'une demi-brique </w:t>
      </w:r>
      <w:r>
        <w:t>(par défaut)</w:t>
      </w:r>
      <w:r>
        <w:rPr>
          <w:rStyle w:val="optioncarChar"/>
        </w:rPr>
        <w:t xml:space="preserve"> / ***</w:t>
      </w:r>
    </w:p>
    <w:p w14:paraId="2A2680A1"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2221656D" w14:textId="77777777" w:rsidR="00DF410E" w:rsidRDefault="00DF410E"/>
    <w:p w14:paraId="763CBE44" w14:textId="77777777" w:rsidR="00DF410E" w:rsidRDefault="00CE7F43">
      <w:pPr>
        <w:spacing w:line="259" w:lineRule="auto"/>
      </w:pPr>
      <w:r>
        <w:rPr>
          <w:rStyle w:val="normalChar"/>
          <w:b/>
          <w:color w:val="000000"/>
        </w:rPr>
        <w:t>LINTEAUX</w:t>
      </w:r>
    </w:p>
    <w:p w14:paraId="135C3556"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5376D6D1" w14:textId="77777777" w:rsidR="00DF410E" w:rsidRDefault="00CE7F43">
      <w:r>
        <w:rPr>
          <w:b/>
        </w:rPr>
        <w:t>(soit par défaut)</w:t>
      </w:r>
    </w:p>
    <w:p w14:paraId="111C0112" w14:textId="77777777" w:rsidR="00DF410E" w:rsidRDefault="00CE7F43">
      <w:r>
        <w:rPr>
          <w:rStyle w:val="soitChar"/>
          <w:u w:val="single"/>
        </w:rPr>
        <w:t>D'une armature et de crochets de mur</w:t>
      </w:r>
      <w:r>
        <w:rPr>
          <w:rStyle w:val="soitChar"/>
        </w:rPr>
        <w:t> :</w:t>
      </w:r>
    </w:p>
    <w:p w14:paraId="7A61CDA7"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 xml:space="preserve">(par défaut) </w:t>
      </w:r>
      <w:r>
        <w:rPr>
          <w:rStyle w:val="optioncarChar"/>
        </w:rPr>
        <w:t>/ selon l’appareillage général de la maçonnerie / ***</w:t>
      </w:r>
    </w:p>
    <w:p w14:paraId="151B6FC3" w14:textId="77777777" w:rsidR="00DF410E" w:rsidRDefault="00CE7F43">
      <w:r>
        <w:rPr>
          <w:b/>
        </w:rPr>
        <w:t>(soit)</w:t>
      </w:r>
    </w:p>
    <w:p w14:paraId="589B5B7D"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5B11A778" w14:textId="77777777" w:rsidR="00DF410E" w:rsidRDefault="00CE7F43">
      <w:r>
        <w:rPr>
          <w:b/>
        </w:rPr>
        <w:t>(soit)</w:t>
      </w:r>
    </w:p>
    <w:p w14:paraId="4F52975C"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2E858C6C" w14:textId="77777777" w:rsidR="00DF410E" w:rsidRDefault="00CE7F43">
      <w:r>
        <w:rPr>
          <w:b/>
        </w:rPr>
        <w:t>(soit)</w:t>
      </w:r>
    </w:p>
    <w:p w14:paraId="5468E991"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7D553D0" w14:textId="77777777" w:rsidR="00DF410E" w:rsidRDefault="00CE7F43">
      <w:r>
        <w:rPr>
          <w:b/>
        </w:rPr>
        <w:t>(soit)</w:t>
      </w:r>
    </w:p>
    <w:p w14:paraId="2DFD413C" w14:textId="77777777" w:rsidR="00DF410E" w:rsidRDefault="00CE7F43">
      <w:r>
        <w:rPr>
          <w:rStyle w:val="optioncarChar"/>
        </w:rPr>
        <w:t> ***</w:t>
      </w:r>
    </w:p>
    <w:p w14:paraId="67BC5923" w14:textId="77777777" w:rsidR="00DF410E" w:rsidRDefault="00DF410E"/>
    <w:p w14:paraId="3FB4725A" w14:textId="77777777" w:rsidR="00DF410E" w:rsidRDefault="00CE7F43">
      <w:r>
        <w:t> </w:t>
      </w:r>
    </w:p>
    <w:p w14:paraId="0893A9FC" w14:textId="77777777" w:rsidR="00DF410E" w:rsidRDefault="00CE7F43">
      <w:pPr>
        <w:pStyle w:val="pheading"/>
      </w:pPr>
      <w:r>
        <w:t>MESURAGE</w:t>
      </w:r>
    </w:p>
    <w:p w14:paraId="23ECE05F" w14:textId="77777777" w:rsidR="00DF410E" w:rsidRDefault="00CE7F43">
      <w:pPr>
        <w:pStyle w:val="pheading"/>
      </w:pPr>
      <w:r>
        <w:t>- unité de mesure:</w:t>
      </w:r>
    </w:p>
    <w:p w14:paraId="51685C5A" w14:textId="77777777" w:rsidR="00DF410E" w:rsidRDefault="00CE7F43">
      <w:r>
        <w:rPr>
          <w:rStyle w:val="optioncarChar"/>
        </w:rPr>
        <w:t>m² </w:t>
      </w:r>
      <w:r>
        <w:rPr>
          <w:rStyle w:val="optioncarChar"/>
          <w:color w:val="000000"/>
        </w:rPr>
        <w:t>(par défaut)</w:t>
      </w:r>
      <w:r>
        <w:rPr>
          <w:rStyle w:val="optioncarChar"/>
        </w:rPr>
        <w:t> / m³</w:t>
      </w:r>
    </w:p>
    <w:p w14:paraId="2BABB93F" w14:textId="77777777" w:rsidR="00DF410E" w:rsidRDefault="00CE7F43">
      <w:pPr>
        <w:spacing w:after="0" w:line="0" w:lineRule="atLeast"/>
      </w:pPr>
      <w:r>
        <w:rPr>
          <w:b/>
          <w:color w:val="000000"/>
        </w:rPr>
        <w:t>(soit par défaut)</w:t>
      </w:r>
    </w:p>
    <w:p w14:paraId="75EE637A" w14:textId="77777777" w:rsidR="00DF410E" w:rsidRDefault="00CE7F43">
      <w:pPr>
        <w:spacing w:after="0" w:line="0" w:lineRule="atLeast"/>
      </w:pPr>
      <w:r>
        <w:rPr>
          <w:rStyle w:val="soitChar"/>
        </w:rPr>
        <w:t>1. m²</w:t>
      </w:r>
    </w:p>
    <w:p w14:paraId="556B24FF" w14:textId="77777777" w:rsidR="00DF410E" w:rsidRDefault="00CE7F43">
      <w:pPr>
        <w:spacing w:after="0" w:line="0" w:lineRule="atLeast"/>
      </w:pPr>
      <w:r>
        <w:rPr>
          <w:b/>
          <w:color w:val="000000"/>
        </w:rPr>
        <w:t>(soit)</w:t>
      </w:r>
    </w:p>
    <w:p w14:paraId="0A773736" w14:textId="77777777" w:rsidR="00DF410E" w:rsidRDefault="00CE7F43">
      <w:pPr>
        <w:spacing w:after="0" w:line="0" w:lineRule="atLeast"/>
      </w:pPr>
      <w:r>
        <w:rPr>
          <w:rStyle w:val="soitChar"/>
        </w:rPr>
        <w:t>2. m³</w:t>
      </w:r>
    </w:p>
    <w:p w14:paraId="1A8DCDAA" w14:textId="77777777" w:rsidR="00DF410E" w:rsidRDefault="00CE7F43">
      <w:pPr>
        <w:pStyle w:val="pheading"/>
      </w:pPr>
      <w:r>
        <w:t>- code de mesurage:</w:t>
      </w:r>
    </w:p>
    <w:p w14:paraId="4D17AB54" w14:textId="77777777" w:rsidR="00DF410E" w:rsidRDefault="00CE7F43">
      <w:pPr>
        <w:spacing w:before="0" w:after="0"/>
      </w:pPr>
      <w:r>
        <w:t>Les maçonneries sont mesurées en fonction de leur forme géométrique.</w:t>
      </w:r>
    </w:p>
    <w:p w14:paraId="201494AD"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50987E8C" w14:textId="77777777" w:rsidR="00DF410E" w:rsidRDefault="00CE7F43">
      <w:pPr>
        <w:spacing w:before="0" w:after="0"/>
      </w:pPr>
      <w:r>
        <w:t>La coulisse n'est jamais prise en compte.</w:t>
      </w:r>
    </w:p>
    <w:p w14:paraId="053BA890" w14:textId="77777777" w:rsidR="00DF410E" w:rsidRDefault="00CE7F43">
      <w:pPr>
        <w:spacing w:after="0" w:line="259" w:lineRule="auto"/>
      </w:pPr>
      <w:r>
        <w:rPr>
          <w:rStyle w:val="normalChar"/>
        </w:rPr>
        <w:t>Les accessoires (linteaux non décrits et non comptés dans un autre poste, attaches,…) sont compris dans le prix.</w:t>
      </w:r>
    </w:p>
    <w:p w14:paraId="5CBE5EC6" w14:textId="77777777" w:rsidR="00DF410E" w:rsidRDefault="00CE7F43">
      <w:pPr>
        <w:spacing w:after="0" w:line="259" w:lineRule="auto"/>
      </w:pPr>
      <w:r>
        <w:rPr>
          <w:rStyle w:val="normalChar"/>
        </w:rPr>
        <w:t>Sont entre-autres décrits et comptés dans un autre poste :</w:t>
      </w:r>
    </w:p>
    <w:p w14:paraId="0E46B031" w14:textId="77777777" w:rsidR="00DF410E" w:rsidRDefault="00CE7F43">
      <w:pPr>
        <w:pStyle w:val="Author-eListParagraph"/>
        <w:numPr>
          <w:ilvl w:val="0"/>
          <w:numId w:val="235"/>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48E20E9C" w14:textId="77777777" w:rsidR="00DF410E" w:rsidRDefault="00CE7F43">
      <w:pPr>
        <w:pStyle w:val="Author-eListParagraph"/>
        <w:numPr>
          <w:ilvl w:val="0"/>
          <w:numId w:val="235"/>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2357431A" w14:textId="77777777" w:rsidR="00DF410E" w:rsidRDefault="00CE7F43">
      <w:pPr>
        <w:pStyle w:val="Author-eListParagraph"/>
        <w:numPr>
          <w:ilvl w:val="0"/>
          <w:numId w:val="235"/>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65B5FA69" w14:textId="77777777" w:rsidR="00DF410E" w:rsidRDefault="00CE7F43">
      <w:r>
        <w:rPr>
          <w:rStyle w:val="optioncarChar"/>
        </w:rPr>
        <w:t>Surface nette (par défaut) / volume net</w:t>
      </w:r>
    </w:p>
    <w:p w14:paraId="1154704E" w14:textId="77777777" w:rsidR="00DF410E" w:rsidRDefault="00CE7F43">
      <w:r>
        <w:rPr>
          <w:b/>
        </w:rPr>
        <w:t>(Soit par défaut)</w:t>
      </w:r>
    </w:p>
    <w:p w14:paraId="6F6511DC" w14:textId="77777777" w:rsidR="00DF410E" w:rsidRDefault="00CE7F43">
      <w:r>
        <w:rPr>
          <w:rStyle w:val="soitChar"/>
        </w:rPr>
        <w:t>1. Surface nette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136B279A" w14:textId="77777777" w:rsidR="00DF410E" w:rsidRDefault="00CE7F43">
      <w:r>
        <w:rPr>
          <w:rStyle w:val="soitChar"/>
        </w:rPr>
        <w:t>Distinction faite suivant l'épaisseur.</w:t>
      </w:r>
    </w:p>
    <w:p w14:paraId="10DAEA08" w14:textId="77777777" w:rsidR="00DF410E" w:rsidRDefault="00CE7F43">
      <w:r>
        <w:rPr>
          <w:b/>
        </w:rPr>
        <w:t>(Soit)</w:t>
      </w:r>
    </w:p>
    <w:p w14:paraId="3950F964" w14:textId="77777777" w:rsidR="00DF410E" w:rsidRDefault="00CE7F43">
      <w:r>
        <w:rPr>
          <w:rStyle w:val="soitChar"/>
        </w:rPr>
        <w:t>2. Volume net du parement ; la longueur des murs est mesurée dans l'axe de l'élément ; à l’intersection de deux murs, seul le mur le plus épais est considéré. Aucun volume n'est compté deux fois.</w:t>
      </w:r>
    </w:p>
    <w:p w14:paraId="727C4BEA" w14:textId="77777777" w:rsidR="00DF410E" w:rsidRDefault="00CE7F43">
      <w:r>
        <w:rPr>
          <w:rStyle w:val="soitChar"/>
        </w:rPr>
        <w:t>Les ouvertures ou les éléments de construction intégrés dont l'aire est supérieure à 0,5 m² multipliées par l’épaisseur à réaliser sont déduites.</w:t>
      </w:r>
    </w:p>
    <w:p w14:paraId="25794100" w14:textId="77777777" w:rsidR="00DF410E" w:rsidRDefault="00DF410E"/>
    <w:p w14:paraId="37BF738B" w14:textId="77777777" w:rsidR="00DF410E" w:rsidRDefault="00CE7F43">
      <w:pPr>
        <w:pStyle w:val="pheading"/>
      </w:pPr>
      <w:r>
        <w:t>- nature du marché:</w:t>
      </w:r>
    </w:p>
    <w:p w14:paraId="46C06D78" w14:textId="77777777" w:rsidR="00DF410E" w:rsidRDefault="00CE7F43">
      <w:r>
        <w:t>QF</w:t>
      </w:r>
    </w:p>
    <w:p w14:paraId="5F34637E" w14:textId="77777777" w:rsidR="00DF410E" w:rsidRDefault="00CE7F43">
      <w:pPr>
        <w:pStyle w:val="pheading"/>
      </w:pPr>
      <w:r>
        <w:t>AIDE</w:t>
      </w:r>
    </w:p>
    <w:p w14:paraId="77D9BCE0" w14:textId="77777777" w:rsidR="00DF410E" w:rsidRDefault="00CE7F43">
      <w:r>
        <w:t>L’épaisseur nominale minimale réalisable du joint de mortier et ses variations dépendent de la classe de dispersion de la brique et de la planéité de ses faces de pose (voir fiche technique) et du soin apporté à l’exécution. Au plus mince est le joint, au plus stricts doivent être ces écarts dimensionnels. Des joints minces de 3 mm d’épaisseur nominale nécessitent une mise en œuvre soignée caractérisée par une tolérance sur l’exécution plus stricte (2 mm pour la tolérance sévère au lieu de 4 mm pour la tolérance normale). Un appareil sauvage est à privilégier lorsque la brique est caractérisée par une classe de dispersion sur la longueur peu stricte afin d’éviter le manque d’alignement des joints verticaux.</w:t>
      </w:r>
      <w:r>
        <w:br/>
        <w:t>Source : [Buildwise Article Dossier (2017/3.02)].</w:t>
      </w:r>
    </w:p>
    <w:p w14:paraId="772FD0FC" w14:textId="77777777" w:rsidR="00DF410E" w:rsidRDefault="00DF410E"/>
    <w:p w14:paraId="00715E3E" w14:textId="77777777" w:rsidR="00DF410E" w:rsidRDefault="00CE7F43">
      <w:r>
        <w:t>L’appareillage en demi-brique est souvent problématique en joints minces si les tolérances en longueur des briques ne sont pas hyper strictes. L’appareillage sauvage est libre au point qu’il mène à des joints verticaux alignés ou presqu’alignés sur plusieurs tas d’affilée.</w:t>
      </w:r>
    </w:p>
    <w:p w14:paraId="18392C65" w14:textId="77777777" w:rsidR="00DF410E" w:rsidRDefault="00DF410E"/>
    <w:p w14:paraId="6468D730" w14:textId="77777777" w:rsidR="00DF410E" w:rsidRDefault="00CE7F43">
      <w:r>
        <w:t> </w:t>
      </w:r>
    </w:p>
    <w:p w14:paraId="25143022" w14:textId="77777777" w:rsidR="00DF410E" w:rsidRDefault="00CE7F43">
      <w:pPr>
        <w:pStyle w:val="Author-eSectionHeading5"/>
      </w:pPr>
      <w:bookmarkStart w:id="240" w:name="_Toc178837472"/>
      <w:r>
        <w:t>21.31.2 Maçonneries de parement en briques de béton CCTB 01.11</w:t>
      </w:r>
      <w:bookmarkEnd w:id="240"/>
    </w:p>
    <w:p w14:paraId="12874280" w14:textId="77777777" w:rsidR="00DF410E" w:rsidRDefault="00CE7F43">
      <w:pPr>
        <w:pStyle w:val="pheading"/>
      </w:pPr>
      <w:r>
        <w:t>MATÉRIAUX</w:t>
      </w:r>
    </w:p>
    <w:p w14:paraId="6A0EDA2D" w14:textId="77777777" w:rsidR="00DF410E" w:rsidRDefault="00CE7F43">
      <w:pPr>
        <w:spacing w:after="0" w:line="0" w:lineRule="atLeast"/>
      </w:pPr>
      <w:r>
        <w:rPr>
          <w:color w:val="000000"/>
        </w:rPr>
        <w:t>Il s'agit des briques de parement en béton, qui répondent à la norme [NBN EN 771-3+A1] et au [PTV 21-001]. L'entrepreneur soumet un échantillon, la fiche technique et la déclaration des performances (DoP) du matériau pour approbation à l'auteur de projet et au maître de l’ouvrage. Le mortier à coller</w:t>
      </w:r>
      <w:r>
        <w:rPr>
          <w:rStyle w:val="normalChar"/>
          <w:color w:val="000000"/>
        </w:rPr>
        <w:t xml:space="preserve"> ou </w:t>
      </w:r>
      <w:r>
        <w:rPr>
          <w:color w:val="000000"/>
        </w:rPr>
        <w:t xml:space="preserve">à maçonner (selon la norme [NBN EN 998-2] et le règlement d’application [TRA 651] répond à la catégorie : </w:t>
      </w:r>
      <w:r>
        <w:rPr>
          <w:color w:val="FF0000"/>
        </w:rPr>
        <w:t xml:space="preserve">M5 / M10 / M15 / M20 / *** </w:t>
      </w:r>
      <w:r>
        <w:rPr>
          <w:color w:val="000000"/>
        </w:rPr>
        <w:t xml:space="preserve">L'épaisseur des joints est d'au moins </w:t>
      </w:r>
      <w:r>
        <w:rPr>
          <w:color w:val="FF0000"/>
        </w:rPr>
        <w:t>10</w:t>
      </w:r>
      <w:r>
        <w:t xml:space="preserve"> (par défaut) </w:t>
      </w:r>
      <w:r>
        <w:rPr>
          <w:color w:val="FF0000"/>
        </w:rPr>
        <w:t xml:space="preserve">/ *** </w:t>
      </w:r>
      <w:r>
        <w:rPr>
          <w:color w:val="000000"/>
        </w:rPr>
        <w:t>mm (tolérances suivant [NIT 208]).</w:t>
      </w:r>
    </w:p>
    <w:p w14:paraId="56D4DA98" w14:textId="77777777" w:rsidR="00DF410E" w:rsidRDefault="00CE7F43">
      <w:pPr>
        <w:pStyle w:val="Author-eSectionHeading6"/>
      </w:pPr>
      <w:bookmarkStart w:id="241" w:name="_Toc178837473"/>
      <w:r>
        <w:t>21.31.2a Maçonneries de parement en briques de béton à maçonner CCTB 01.11</w:t>
      </w:r>
      <w:bookmarkEnd w:id="241"/>
    </w:p>
    <w:p w14:paraId="3ED2E8CA" w14:textId="77777777" w:rsidR="00DF410E" w:rsidRDefault="00CE7F43">
      <w:pPr>
        <w:pStyle w:val="pheading"/>
      </w:pPr>
      <w:r>
        <w:t>DESCRIPTION</w:t>
      </w:r>
    </w:p>
    <w:p w14:paraId="3C39529E" w14:textId="77777777" w:rsidR="00DF410E" w:rsidRDefault="00CE7F43">
      <w:pPr>
        <w:pStyle w:val="pheading"/>
      </w:pPr>
      <w:r>
        <w:t>- Définition / Comprend</w:t>
      </w:r>
    </w:p>
    <w:p w14:paraId="7E234AF1" w14:textId="77777777" w:rsidR="00DF410E" w:rsidRDefault="00CE7F43">
      <w:r>
        <w:t>Il s’agit de la fourniture et la pose de maçonneries de parement en briques de béton à maçonner.</w:t>
      </w:r>
    </w:p>
    <w:p w14:paraId="2AFEEDB2" w14:textId="77777777" w:rsidR="00DF410E" w:rsidRDefault="00CE7F43">
      <w:r>
        <w:t xml:space="preserve">La portée des travaux est décrite dans l’article </w:t>
      </w:r>
      <w:hyperlink w:anchor="379" w:history="1">
        <w:r>
          <w:t>21.3 Maçonneries de parement</w:t>
        </w:r>
      </w:hyperlink>
      <w:r>
        <w:t>.</w:t>
      </w:r>
    </w:p>
    <w:p w14:paraId="10F1A01B" w14:textId="77777777" w:rsidR="00DF410E" w:rsidRDefault="00CE7F43">
      <w:pPr>
        <w:pStyle w:val="pheading"/>
      </w:pPr>
      <w:r>
        <w:t>- Localisation</w:t>
      </w:r>
    </w:p>
    <w:p w14:paraId="2097E881" w14:textId="77777777" w:rsidR="00DF410E" w:rsidRDefault="00CE7F43">
      <w:r>
        <w:t xml:space="preserve">La pose est réalisée aux endroits suivants : </w:t>
      </w:r>
      <w:r>
        <w:rPr>
          <w:rStyle w:val="optioncarChar"/>
        </w:rPr>
        <w:t>***</w:t>
      </w:r>
      <w:r>
        <w:t>.</w:t>
      </w:r>
    </w:p>
    <w:p w14:paraId="7EBF5548" w14:textId="77777777" w:rsidR="00DF410E" w:rsidRDefault="00CE7F43">
      <w:r>
        <w:t>Voir plans et métrés détaillés.</w:t>
      </w:r>
    </w:p>
    <w:p w14:paraId="0D37A2BF" w14:textId="77777777" w:rsidR="00DF410E" w:rsidRDefault="00CE7F43">
      <w:pPr>
        <w:pStyle w:val="pheading"/>
      </w:pPr>
      <w:r>
        <w:t>MATÉRIAUX</w:t>
      </w:r>
    </w:p>
    <w:p w14:paraId="2A6B28F8" w14:textId="77777777" w:rsidR="00DF410E" w:rsidRDefault="00CE7F43">
      <w:pPr>
        <w:pStyle w:val="pheading"/>
      </w:pPr>
      <w:r>
        <w:t>- Caractéristiques générales</w:t>
      </w:r>
    </w:p>
    <w:p w14:paraId="6C0F72AE" w14:textId="77777777" w:rsidR="00DF410E" w:rsidRDefault="00CE7F43">
      <w:r>
        <w:rPr>
          <w:rStyle w:val="headingChar"/>
        </w:rPr>
        <w:t>Brique</w:t>
      </w:r>
    </w:p>
    <w:p w14:paraId="27AF6D15" w14:textId="77777777" w:rsidR="00DF410E" w:rsidRDefault="00CE7F43">
      <w:pPr>
        <w:spacing w:after="0" w:line="0" w:lineRule="atLeast"/>
      </w:pPr>
      <w:r>
        <w:rPr>
          <w:rStyle w:val="normalChar"/>
          <w:color w:val="000000"/>
        </w:rPr>
        <w:t>En ce qui concerne la déclaration de la résistance à la compression, les briques sont de catégorie I (la résistance à la compression est déclarée avec une fiabilité de 95%). </w:t>
      </w:r>
    </w:p>
    <w:p w14:paraId="0FF87973" w14:textId="77777777" w:rsidR="00DF410E" w:rsidRDefault="00CE7F43">
      <w:pPr>
        <w:spacing w:after="0" w:line="0" w:lineRule="atLeast"/>
      </w:pPr>
      <w:r>
        <w:rPr>
          <w:rStyle w:val="normalChar"/>
          <w:color w:val="000000"/>
        </w:rPr>
        <w:t>La classe de qualité suivant [PTV 21-001] est</w:t>
      </w:r>
      <w:r>
        <w:rPr>
          <w:rStyle w:val="optioncarChar"/>
        </w:rPr>
        <w:t xml:space="preserve"> 2/0,8 / 3/1,0 / 4/1,2 / 5/1,4 / 6/1,6 / 8/1,9 / 10/2,2 </w:t>
      </w:r>
      <w:r>
        <w:rPr>
          <w:rStyle w:val="optioncarChar"/>
          <w:color w:val="000000"/>
        </w:rPr>
        <w:t>(par défaut)</w:t>
      </w:r>
      <w:r>
        <w:rPr>
          <w:rStyle w:val="optioncarChar"/>
        </w:rPr>
        <w:t xml:space="preserve"> / 15/2,2 + / ***</w:t>
      </w:r>
    </w:p>
    <w:p w14:paraId="4A57FACE" w14:textId="77777777" w:rsidR="00DF410E" w:rsidRDefault="00CE7F43">
      <w:pPr>
        <w:spacing w:after="0" w:line="0" w:lineRule="atLeast"/>
      </w:pPr>
      <w:r>
        <w:rPr>
          <w:rStyle w:val="normalChar"/>
          <w:color w:val="000000"/>
        </w:rPr>
        <w:t xml:space="preserve">Le groupe de configuration suivant [PTV 21-001] est: </w:t>
      </w:r>
      <w:r>
        <w:rPr>
          <w:rStyle w:val="optioncarChar"/>
        </w:rPr>
        <w:t>1 / 2 / 3 / 4</w:t>
      </w:r>
    </w:p>
    <w:p w14:paraId="2C3D9C5C" w14:textId="77777777" w:rsidR="00DF410E" w:rsidRDefault="00CE7F43">
      <w:pPr>
        <w:spacing w:after="0" w:line="0" w:lineRule="atLeast"/>
      </w:pPr>
      <w:r>
        <w:rPr>
          <w:rStyle w:val="normalChar"/>
          <w:color w:val="000000"/>
        </w:rPr>
        <w:t xml:space="preserve">Le code d’identification du type de brique de maçonnerie suivant [PTV 21-001] est </w:t>
      </w:r>
      <w:r>
        <w:rPr>
          <w:rStyle w:val="optioncarChar"/>
        </w:rPr>
        <w:t>A1 / A2 / B1 / B2</w:t>
      </w:r>
    </w:p>
    <w:p w14:paraId="52A441FF" w14:textId="77777777" w:rsidR="00DF410E" w:rsidRDefault="00CE7F43">
      <w:pPr>
        <w:spacing w:after="0" w:line="0" w:lineRule="atLeast"/>
      </w:pPr>
      <w:r>
        <w:rPr>
          <w:rStyle w:val="normalChar"/>
          <w:color w:val="000000"/>
        </w:rPr>
        <w:t xml:space="preserve">La conductibilité thermique λD est compatible avec la valeur U prescrite pour la paroi. </w:t>
      </w:r>
    </w:p>
    <w:p w14:paraId="0284C5E8" w14:textId="77777777" w:rsidR="00DF410E" w:rsidRDefault="00CE7F43">
      <w:pPr>
        <w:spacing w:after="0" w:line="0" w:lineRule="atLeast"/>
      </w:pPr>
      <w:r>
        <w:rPr>
          <w:rStyle w:val="normalChar"/>
          <w:color w:val="000000"/>
        </w:rPr>
        <w:t xml:space="preserve">Boutisse : </w:t>
      </w:r>
      <w:r>
        <w:t>plate</w:t>
      </w:r>
    </w:p>
    <w:p w14:paraId="3AA908D5" w14:textId="77777777" w:rsidR="00DF410E" w:rsidRDefault="00CE7F43">
      <w:pPr>
        <w:spacing w:after="0" w:line="0" w:lineRule="atLeast"/>
      </w:pPr>
      <w:r>
        <w:rPr>
          <w:rStyle w:val="normalChar"/>
          <w:color w:val="000000"/>
        </w:rPr>
        <w:t xml:space="preserve">Face qui reste visible : </w:t>
      </w:r>
      <w:r>
        <w:rPr>
          <w:rStyle w:val="optioncarChar"/>
          <w:color w:val="000000"/>
        </w:rPr>
        <w:t>lisse </w:t>
      </w:r>
      <w:r>
        <w:t>(par défaut)</w:t>
      </w:r>
      <w:r>
        <w:rPr>
          <w:rStyle w:val="optioncarChar"/>
          <w:color w:val="000000"/>
        </w:rPr>
        <w:t xml:space="preserve"> / ***</w:t>
      </w:r>
    </w:p>
    <w:p w14:paraId="01C4AC07" w14:textId="77777777" w:rsidR="00DF410E" w:rsidRDefault="00CE7F43">
      <w:pPr>
        <w:spacing w:after="0" w:line="0" w:lineRule="atLeast"/>
      </w:pPr>
      <w:r>
        <w:rPr>
          <w:rStyle w:val="normalChar"/>
          <w:color w:val="000000"/>
        </w:rPr>
        <w:t xml:space="preserve">Teinte : </w:t>
      </w:r>
      <w:r>
        <w:rPr>
          <w:rStyle w:val="optioncarChar"/>
          <w:color w:val="000000"/>
        </w:rPr>
        <w:t>gris </w:t>
      </w:r>
      <w:r>
        <w:t>(par défaut)</w:t>
      </w:r>
      <w:r>
        <w:rPr>
          <w:rStyle w:val="optioncarChar"/>
          <w:color w:val="000000"/>
        </w:rPr>
        <w:t xml:space="preserve"> / blanc / noir / ***</w:t>
      </w:r>
    </w:p>
    <w:p w14:paraId="71082816" w14:textId="77777777" w:rsidR="00DF410E" w:rsidRDefault="00CE7F43">
      <w:pPr>
        <w:spacing w:after="0" w:line="0" w:lineRule="atLeast"/>
      </w:pPr>
      <w:r>
        <w:rPr>
          <w:rStyle w:val="normalChar"/>
          <w:color w:val="000000"/>
        </w:rPr>
        <w:t>Format (Lxlxh) mm :</w:t>
      </w:r>
      <w:r>
        <w:rPr>
          <w:rStyle w:val="optioncarChar"/>
          <w:color w:val="000000"/>
        </w:rPr>
        <w:t xml:space="preserve"> 190 x 90 x 65 / 190 x 90 x 90 / 290 X 90 x 90 /format modulaire proposé par l'entrepreneur</w:t>
      </w:r>
      <w:r>
        <w:t> (par défaut)</w:t>
      </w:r>
      <w:r>
        <w:rPr>
          <w:rStyle w:val="optioncarChar"/>
          <w:color w:val="000000"/>
        </w:rPr>
        <w:t xml:space="preserve"> / *** </w:t>
      </w:r>
      <w:r>
        <w:t>mm</w:t>
      </w:r>
    </w:p>
    <w:p w14:paraId="60F6BFE4" w14:textId="77777777" w:rsidR="00DF410E" w:rsidRDefault="00CE7F43">
      <w:pPr>
        <w:spacing w:after="0" w:line="0" w:lineRule="atLeast"/>
      </w:pPr>
      <w:r>
        <w:rPr>
          <w:rStyle w:val="normalChar"/>
          <w:color w:val="000000"/>
        </w:rPr>
        <w:t xml:space="preserve">Réaction au feu : </w:t>
      </w:r>
      <w:r>
        <w:rPr>
          <w:rStyle w:val="optioncarChar"/>
          <w:color w:val="000000"/>
        </w:rPr>
        <w:t>A1 </w:t>
      </w:r>
      <w:r>
        <w:t>(par défaut)</w:t>
      </w:r>
      <w:r>
        <w:rPr>
          <w:rStyle w:val="optioncarChar"/>
          <w:color w:val="000000"/>
        </w:rPr>
        <w:t xml:space="preserve"> / ***</w:t>
      </w:r>
    </w:p>
    <w:p w14:paraId="752C6DF5" w14:textId="77777777" w:rsidR="00DF410E" w:rsidRDefault="00CE7F43">
      <w:pPr>
        <w:spacing w:after="0" w:line="0" w:lineRule="atLeast"/>
      </w:pPr>
      <w:r>
        <w:rPr>
          <w:rStyle w:val="normalChar"/>
          <w:b/>
          <w:color w:val="000000"/>
        </w:rPr>
        <w:t>Mortier</w:t>
      </w:r>
    </w:p>
    <w:p w14:paraId="448351EE" w14:textId="77777777" w:rsidR="00DF410E" w:rsidRDefault="00CE7F43">
      <w:pPr>
        <w:spacing w:after="0" w:line="0" w:lineRule="atLeast"/>
      </w:pPr>
      <w:r>
        <w:rPr>
          <w:rStyle w:val="normalChar"/>
          <w:color w:val="000000"/>
        </w:rPr>
        <w:t xml:space="preserve">Le mortier est du type G ou dosé in situ adapté à des joints d’épaisseur nominale de </w:t>
      </w:r>
      <w:r>
        <w:rPr>
          <w:rStyle w:val="optioncarChar"/>
          <w:color w:val="000000"/>
        </w:rPr>
        <w:t>8</w:t>
      </w:r>
      <w:r>
        <w:t> (par défaut)</w:t>
      </w:r>
      <w:r>
        <w:rPr>
          <w:rStyle w:val="optioncarChar"/>
          <w:color w:val="000000"/>
        </w:rPr>
        <w:t xml:space="preserve"> / 12 / ***</w:t>
      </w:r>
      <w:r>
        <w:rPr>
          <w:rStyle w:val="normalChar"/>
          <w:color w:val="000000"/>
        </w:rPr>
        <w:t xml:space="preserve"> mm.</w:t>
      </w:r>
    </w:p>
    <w:p w14:paraId="7CEAF019" w14:textId="77777777" w:rsidR="00DF410E" w:rsidRDefault="00CE7F43">
      <w:pPr>
        <w:spacing w:after="0" w:line="0" w:lineRule="atLeast"/>
      </w:pPr>
      <w:r>
        <w:rPr>
          <w:rStyle w:val="normalCha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w:t>
      </w:r>
    </w:p>
    <w:p w14:paraId="5C09EAB6" w14:textId="77777777" w:rsidR="00DF410E" w:rsidRDefault="00CE7F43">
      <w:pPr>
        <w:spacing w:line="259" w:lineRule="auto"/>
      </w:pPr>
      <w:r>
        <w:rPr>
          <w:rStyle w:val="normalCha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w:t>
      </w:r>
    </w:p>
    <w:p w14:paraId="037E3D3C" w14:textId="77777777" w:rsidR="00DF410E" w:rsidRDefault="00CE7F43">
      <w:pPr>
        <w:spacing w:line="259" w:lineRule="auto"/>
      </w:pPr>
      <w:r>
        <w:rPr>
          <w:rStyle w:val="normalChar"/>
          <w:color w:val="000000"/>
        </w:rPr>
        <w:t xml:space="preserve">Résistance au gel : </w:t>
      </w:r>
      <w:r>
        <w:rPr>
          <w:rStyle w:val="optioncarChar"/>
          <w:color w:val="000000"/>
        </w:rPr>
        <w:t>oui</w:t>
      </w:r>
    </w:p>
    <w:p w14:paraId="1CFFD69B" w14:textId="77777777" w:rsidR="00DF410E" w:rsidRDefault="00DF410E"/>
    <w:p w14:paraId="1DD8A771" w14:textId="77777777" w:rsidR="00DF410E" w:rsidRDefault="00CE7F43">
      <w:pPr>
        <w:spacing w:line="259" w:lineRule="auto"/>
      </w:pPr>
      <w:r>
        <w:rPr>
          <w:rStyle w:val="normalChar"/>
          <w:b/>
          <w:color w:val="000000"/>
        </w:rPr>
        <w:t>Critères de performances du parement</w:t>
      </w:r>
    </w:p>
    <w:p w14:paraId="1B9C5732" w14:textId="77777777" w:rsidR="00DF410E" w:rsidRDefault="00CE7F43">
      <w:pPr>
        <w:spacing w:after="0" w:line="0" w:lineRule="atLeast"/>
      </w:pPr>
      <w:r>
        <w:rPr>
          <w:rStyle w:val="normalChar"/>
          <w:color w:val="000000"/>
        </w:rPr>
        <w:t xml:space="preserve">• valeur λUi ou λUe maximum </w:t>
      </w:r>
      <w:r>
        <w:rPr>
          <w:rStyle w:val="optioncarChar"/>
          <w:color w:val="000000"/>
        </w:rPr>
        <w:t>***</w:t>
      </w:r>
      <w:r>
        <w:rPr>
          <w:rStyle w:val="normalChar"/>
          <w:color w:val="000000"/>
        </w:rPr>
        <w:t>W/mK (suivant l’application).</w:t>
      </w:r>
    </w:p>
    <w:p w14:paraId="57C9D508" w14:textId="77777777" w:rsidR="00DF410E" w:rsidRDefault="00DF410E"/>
    <w:p w14:paraId="74FE72C3" w14:textId="77777777" w:rsidR="00DF410E" w:rsidRDefault="00CE7F43">
      <w:r>
        <w:t> </w:t>
      </w:r>
    </w:p>
    <w:p w14:paraId="6085A164" w14:textId="77777777" w:rsidR="00DF410E" w:rsidRDefault="00CE7F43">
      <w:pPr>
        <w:pStyle w:val="pheading"/>
      </w:pPr>
      <w:r>
        <w:t>- Finitions</w:t>
      </w:r>
    </w:p>
    <w:p w14:paraId="018D7198"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A4B75CA"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BF2883F"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1261B145"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8DA4DC4"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9E6220B" w14:textId="77777777" w:rsidR="00DF410E" w:rsidRDefault="00CE7F43">
      <w:pPr>
        <w:pStyle w:val="pheading"/>
      </w:pPr>
      <w:r>
        <w:t>EXÉCUTION / MISE EN ŒUVRE</w:t>
      </w:r>
    </w:p>
    <w:p w14:paraId="0CB4ED3F" w14:textId="77777777" w:rsidR="00DF410E" w:rsidRDefault="00CE7F43">
      <w:pPr>
        <w:pStyle w:val="pheading"/>
      </w:pPr>
      <w:r>
        <w:t>- Prescriptions générales</w:t>
      </w:r>
    </w:p>
    <w:p w14:paraId="13FE3712" w14:textId="77777777" w:rsidR="00DF410E" w:rsidRDefault="00CE7F43">
      <w:pPr>
        <w:spacing w:line="259" w:lineRule="auto"/>
      </w:pPr>
      <w:r>
        <w:t xml:space="preserve">La maçonnerie est exécutée en appareil </w:t>
      </w:r>
      <w:r>
        <w:rPr>
          <w:rStyle w:val="optioncarChar"/>
        </w:rPr>
        <w:t>d'une demi-brique </w:t>
      </w:r>
      <w:r>
        <w:t>(par défaut)</w:t>
      </w:r>
      <w:r>
        <w:rPr>
          <w:rStyle w:val="optioncarChar"/>
        </w:rPr>
        <w:t xml:space="preserve"> / ***</w:t>
      </w:r>
    </w:p>
    <w:p w14:paraId="1A937553"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2608A514" w14:textId="77777777" w:rsidR="00DF410E" w:rsidRDefault="00DF410E"/>
    <w:p w14:paraId="34B1C563" w14:textId="77777777" w:rsidR="00DF410E" w:rsidRDefault="00CE7F43">
      <w:pPr>
        <w:spacing w:line="259" w:lineRule="auto"/>
      </w:pPr>
      <w:r>
        <w:rPr>
          <w:rStyle w:val="normalChar"/>
          <w:b/>
          <w:color w:val="000000"/>
        </w:rPr>
        <w:t>LINTEAUX</w:t>
      </w:r>
    </w:p>
    <w:p w14:paraId="22EE27A1"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25731BF7" w14:textId="77777777" w:rsidR="00DF410E" w:rsidRDefault="00CE7F43">
      <w:r>
        <w:rPr>
          <w:b/>
        </w:rPr>
        <w:t>(soit par défaut)</w:t>
      </w:r>
    </w:p>
    <w:p w14:paraId="4C04895A" w14:textId="77777777" w:rsidR="00DF410E" w:rsidRDefault="00CE7F43">
      <w:r>
        <w:rPr>
          <w:rStyle w:val="soitChar"/>
          <w:u w:val="single"/>
        </w:rPr>
        <w:t>D'une armature et de crochets de mur</w:t>
      </w:r>
      <w:r>
        <w:rPr>
          <w:rStyle w:val="soitChar"/>
        </w:rPr>
        <w:t> :</w:t>
      </w:r>
    </w:p>
    <w:p w14:paraId="65162B7E"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E8F6CE6" w14:textId="77777777" w:rsidR="00DF410E" w:rsidRDefault="00CE7F43">
      <w:r>
        <w:rPr>
          <w:b/>
        </w:rPr>
        <w:t>(soit)</w:t>
      </w:r>
    </w:p>
    <w:p w14:paraId="7F516B26"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w:t>
      </w:r>
      <w:r>
        <w:rPr>
          <w:rStyle w:val="optioncarChar"/>
          <w:color w:val="000000"/>
        </w:rPr>
        <w:t>(par défaut)</w:t>
      </w:r>
      <w:r>
        <w:rPr>
          <w:rStyle w:val="optioncarChar"/>
        </w:rPr>
        <w:t xml:space="preserve"> / non</w:t>
      </w:r>
    </w:p>
    <w:p w14:paraId="71888876" w14:textId="77777777" w:rsidR="00DF410E" w:rsidRDefault="00CE7F43">
      <w:r>
        <w:rPr>
          <w:b/>
        </w:rPr>
        <w:t>(soit)</w:t>
      </w:r>
    </w:p>
    <w:p w14:paraId="1DE81A38"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w:t>
      </w:r>
      <w:r>
        <w:rPr>
          <w:rStyle w:val="optioncarChar"/>
          <w:color w:val="000000"/>
        </w:rPr>
        <w:t>(par défaut)</w:t>
      </w:r>
      <w:r>
        <w:rPr>
          <w:rStyle w:val="optioncarChar"/>
        </w:rPr>
        <w:t xml:space="preserve"> / non</w:t>
      </w:r>
    </w:p>
    <w:p w14:paraId="6C4299DA" w14:textId="77777777" w:rsidR="00DF410E" w:rsidRDefault="00CE7F43">
      <w:r>
        <w:rPr>
          <w:b/>
        </w:rPr>
        <w:t>(soit)</w:t>
      </w:r>
    </w:p>
    <w:p w14:paraId="52153349"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125D515D" w14:textId="77777777" w:rsidR="00DF410E" w:rsidRDefault="00CE7F43">
      <w:r>
        <w:rPr>
          <w:b/>
        </w:rPr>
        <w:t>(soit)</w:t>
      </w:r>
    </w:p>
    <w:p w14:paraId="21070819" w14:textId="77777777" w:rsidR="00DF410E" w:rsidRDefault="00CE7F43">
      <w:r>
        <w:rPr>
          <w:rStyle w:val="optioncarChar"/>
        </w:rPr>
        <w:t> ***</w:t>
      </w:r>
    </w:p>
    <w:p w14:paraId="25CE5A1C" w14:textId="77777777" w:rsidR="00DF410E" w:rsidRDefault="00DF410E"/>
    <w:p w14:paraId="7863B265" w14:textId="77777777" w:rsidR="00DF410E" w:rsidRDefault="00CE7F43">
      <w:r>
        <w:t> </w:t>
      </w:r>
    </w:p>
    <w:p w14:paraId="23BFBECF" w14:textId="77777777" w:rsidR="00DF410E" w:rsidRDefault="00CE7F43">
      <w:pPr>
        <w:pStyle w:val="pheading"/>
      </w:pPr>
      <w:r>
        <w:t>- Notes d’exécution complémentaires</w:t>
      </w:r>
    </w:p>
    <w:p w14:paraId="0E07D741" w14:textId="77777777" w:rsidR="00DF410E" w:rsidRDefault="00CE7F43">
      <w:r>
        <w:t> En vue du choix définitif des briques de parement, un ou plusieurs échantillons d'environ 1 m2 sont maçonnés à la demande de l'auteur de projet; les frais inhérents à la construction et à la démolition de ces murs sont à charge de l'entrepreneur.</w:t>
      </w:r>
    </w:p>
    <w:p w14:paraId="5DD99A19" w14:textId="77777777" w:rsidR="00DF410E" w:rsidRDefault="00CE7F43">
      <w:r>
        <w:t xml:space="preserve">• Armatures horizontales : selon l'article </w:t>
      </w:r>
      <w:hyperlink w:anchor="355" w:history="1">
        <w:r>
          <w:t>21.41.1 Armatures horizontales pour maçonneries</w:t>
        </w:r>
      </w:hyperlink>
      <w:r>
        <w:t>. </w:t>
      </w:r>
    </w:p>
    <w:p w14:paraId="7FF9A7D7" w14:textId="77777777" w:rsidR="00DF410E" w:rsidRDefault="00CE7F43">
      <w:r>
        <w:t xml:space="preserve">• Ancrages : selon l'article </w:t>
      </w:r>
      <w:hyperlink w:anchor="362" w:history="1">
        <w:r>
          <w:t>21.42 Ancrages et fixations de maçonneries</w:t>
        </w:r>
      </w:hyperlink>
    </w:p>
    <w:p w14:paraId="27A8DF7D" w14:textId="77777777" w:rsidR="00DF410E" w:rsidRDefault="00CE7F43">
      <w:r>
        <w:t xml:space="preserve">Briques spéciales : </w:t>
      </w:r>
      <w:r>
        <w:rPr>
          <w:rStyle w:val="optioncarChar"/>
        </w:rPr>
        <w:t>***</w:t>
      </w:r>
    </w:p>
    <w:p w14:paraId="149285F8" w14:textId="77777777" w:rsidR="00DF410E" w:rsidRDefault="00CE7F43">
      <w:r>
        <w:t xml:space="preserve">Étanchéité : </w:t>
      </w:r>
      <w:r>
        <w:rPr>
          <w:rStyle w:val="optioncarChar"/>
        </w:rPr>
        <w:t>***</w:t>
      </w:r>
    </w:p>
    <w:p w14:paraId="542A407A" w14:textId="77777777" w:rsidR="00DF410E" w:rsidRDefault="00CE7F43">
      <w:r>
        <w:t xml:space="preserve">Joints de dilatation : </w:t>
      </w:r>
      <w:r>
        <w:rPr>
          <w:rStyle w:val="optioncarChar"/>
        </w:rPr>
        <w:t>***</w:t>
      </w:r>
    </w:p>
    <w:p w14:paraId="73F869CD" w14:textId="77777777" w:rsidR="00DF410E" w:rsidRDefault="00CE7F43">
      <w:pPr>
        <w:pStyle w:val="pheading"/>
      </w:pPr>
      <w:r>
        <w:t>MESURAGE</w:t>
      </w:r>
    </w:p>
    <w:p w14:paraId="1BFFC361" w14:textId="77777777" w:rsidR="00DF410E" w:rsidRDefault="00CE7F43">
      <w:pPr>
        <w:pStyle w:val="pheading"/>
      </w:pPr>
      <w:r>
        <w:t>- unité de mesure:</w:t>
      </w:r>
    </w:p>
    <w:p w14:paraId="3DF714EA" w14:textId="77777777" w:rsidR="00DF410E" w:rsidRDefault="00CE7F43">
      <w:r>
        <w:rPr>
          <w:rStyle w:val="optioncarChar"/>
        </w:rPr>
        <w:t>m² </w:t>
      </w:r>
      <w:r>
        <w:rPr>
          <w:rStyle w:val="optioncarChar"/>
          <w:color w:val="000000"/>
        </w:rPr>
        <w:t>(par défaut)</w:t>
      </w:r>
      <w:r>
        <w:rPr>
          <w:rStyle w:val="optioncarChar"/>
        </w:rPr>
        <w:t> / m³</w:t>
      </w:r>
    </w:p>
    <w:p w14:paraId="4AEA2315" w14:textId="77777777" w:rsidR="00DF410E" w:rsidRDefault="00CE7F43">
      <w:pPr>
        <w:spacing w:after="0" w:line="0" w:lineRule="atLeast"/>
      </w:pPr>
      <w:r>
        <w:rPr>
          <w:b/>
          <w:color w:val="000000"/>
        </w:rPr>
        <w:t>(soit par défaut)</w:t>
      </w:r>
    </w:p>
    <w:p w14:paraId="1350C0D0" w14:textId="77777777" w:rsidR="00DF410E" w:rsidRDefault="00CE7F43">
      <w:pPr>
        <w:spacing w:after="0" w:line="0" w:lineRule="atLeast"/>
      </w:pPr>
      <w:r>
        <w:rPr>
          <w:rStyle w:val="soitChar"/>
        </w:rPr>
        <w:t>1. m²</w:t>
      </w:r>
    </w:p>
    <w:p w14:paraId="1C01996C" w14:textId="77777777" w:rsidR="00DF410E" w:rsidRDefault="00CE7F43">
      <w:pPr>
        <w:spacing w:after="0" w:line="0" w:lineRule="atLeast"/>
      </w:pPr>
      <w:r>
        <w:rPr>
          <w:b/>
          <w:color w:val="000000"/>
        </w:rPr>
        <w:t>(soit)</w:t>
      </w:r>
    </w:p>
    <w:p w14:paraId="04677E02" w14:textId="77777777" w:rsidR="00DF410E" w:rsidRDefault="00CE7F43">
      <w:pPr>
        <w:spacing w:after="0" w:line="0" w:lineRule="atLeast"/>
      </w:pPr>
      <w:r>
        <w:rPr>
          <w:rStyle w:val="soitChar"/>
        </w:rPr>
        <w:t>2. m³</w:t>
      </w:r>
    </w:p>
    <w:p w14:paraId="1159C7EE" w14:textId="77777777" w:rsidR="00DF410E" w:rsidRDefault="00CE7F43">
      <w:pPr>
        <w:pStyle w:val="pheading"/>
      </w:pPr>
      <w:r>
        <w:t>- code de mesurage:</w:t>
      </w:r>
    </w:p>
    <w:p w14:paraId="3C57A797" w14:textId="77777777" w:rsidR="00DF410E" w:rsidRDefault="00CE7F43">
      <w:pPr>
        <w:spacing w:before="0" w:after="0"/>
      </w:pPr>
      <w:r>
        <w:t>Les maçonneries sont mesurées en fonction de leur forme géométrique.</w:t>
      </w:r>
    </w:p>
    <w:p w14:paraId="09C51331"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687DEF47" w14:textId="77777777" w:rsidR="00DF410E" w:rsidRDefault="00CE7F43">
      <w:pPr>
        <w:spacing w:before="0" w:after="0"/>
      </w:pPr>
      <w:r>
        <w:t>La coulisse n'est jamais prise en compte.</w:t>
      </w:r>
    </w:p>
    <w:p w14:paraId="425164A3" w14:textId="77777777" w:rsidR="00DF410E" w:rsidRDefault="00CE7F43">
      <w:pPr>
        <w:spacing w:after="0" w:line="259" w:lineRule="auto"/>
      </w:pPr>
      <w:r>
        <w:rPr>
          <w:rStyle w:val="normalChar"/>
        </w:rPr>
        <w:t>Les accessoires (linteaux non décrits et non comptés dans un autre poste, attaches,…) sont compris dans le prix.</w:t>
      </w:r>
    </w:p>
    <w:p w14:paraId="478EA5FE" w14:textId="77777777" w:rsidR="00DF410E" w:rsidRDefault="00CE7F43">
      <w:r>
        <w:rPr>
          <w:rStyle w:val="normalChar"/>
        </w:rPr>
        <w:t>Sont entre-autres décrits et comptés dans un autre poste :</w:t>
      </w:r>
    </w:p>
    <w:p w14:paraId="4682E6E0" w14:textId="77777777" w:rsidR="00DF410E" w:rsidRDefault="00CE7F43">
      <w:pPr>
        <w:pStyle w:val="Author-eListParagraph"/>
        <w:numPr>
          <w:ilvl w:val="0"/>
          <w:numId w:val="236"/>
        </w:numPr>
      </w:pPr>
      <w:r>
        <w:t xml:space="preserve">Les linteaux apparents en béton, pierre reconstituée et en pierre sont décrits et comptés en </w:t>
      </w:r>
      <w:hyperlink w:anchor="400" w:history="1">
        <w:r>
          <w:t>21.36.3 Linteaux</w:t>
        </w:r>
      </w:hyperlink>
    </w:p>
    <w:p w14:paraId="26E004E8" w14:textId="77777777" w:rsidR="00DF410E" w:rsidRDefault="00CE7F43">
      <w:pPr>
        <w:pStyle w:val="Author-eListParagraph"/>
        <w:numPr>
          <w:ilvl w:val="0"/>
          <w:numId w:val="236"/>
        </w:numPr>
      </w:pPr>
      <w:r>
        <w:t xml:space="preserve">Les linteaux apparents en acier sont décrits et comptés en </w:t>
      </w:r>
      <w:hyperlink w:anchor="401" w:history="1">
        <w:r>
          <w:t>23.13 Linteaux métalliques</w:t>
        </w:r>
      </w:hyperlink>
      <w:r>
        <w:t>.</w:t>
      </w:r>
    </w:p>
    <w:p w14:paraId="7B28F079" w14:textId="77777777" w:rsidR="00DF410E" w:rsidRDefault="00CE7F43">
      <w:pPr>
        <w:pStyle w:val="Author-eListParagraph"/>
        <w:numPr>
          <w:ilvl w:val="0"/>
          <w:numId w:val="236"/>
        </w:numPr>
      </w:pPr>
      <w:r>
        <w:t xml:space="preserve">Les linteaux apparents en bois sont décrits et comptés en </w:t>
      </w:r>
      <w:hyperlink w:anchor="402" w:history="1">
        <w:r>
          <w:t>24.13 Poutres et barres en bois</w:t>
        </w:r>
      </w:hyperlink>
      <w:r>
        <w:t>.</w:t>
      </w:r>
    </w:p>
    <w:p w14:paraId="6C9E5B00"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1215F162" w14:textId="77777777" w:rsidR="00DF410E" w:rsidRDefault="00CE7F43">
      <w:pPr>
        <w:spacing w:after="0" w:line="252" w:lineRule="auto"/>
      </w:pPr>
      <w:r>
        <w:rPr>
          <w:b/>
          <w:color w:val="000000"/>
        </w:rPr>
        <w:t>(soit par défaut)</w:t>
      </w:r>
    </w:p>
    <w:p w14:paraId="6EDA031B"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CB62017" w14:textId="77777777" w:rsidR="00DF410E" w:rsidRDefault="00CE7F43">
      <w:pPr>
        <w:spacing w:after="0" w:line="252" w:lineRule="auto"/>
      </w:pPr>
      <w:r>
        <w:rPr>
          <w:rStyle w:val="soitChar"/>
        </w:rPr>
        <w:t>Distinction faite suivant l'épaisseur.</w:t>
      </w:r>
    </w:p>
    <w:p w14:paraId="31F9E0CE" w14:textId="77777777" w:rsidR="00DF410E" w:rsidRDefault="00CE7F43">
      <w:pPr>
        <w:spacing w:line="252" w:lineRule="auto"/>
      </w:pPr>
      <w:r>
        <w:rPr>
          <w:b/>
          <w:color w:val="000000"/>
        </w:rPr>
        <w:t>(soit)</w:t>
      </w:r>
    </w:p>
    <w:p w14:paraId="5A321F7E" w14:textId="77777777" w:rsidR="00DF410E" w:rsidRDefault="00CE7F43">
      <w:pPr>
        <w:spacing w:line="252" w:lineRule="auto"/>
      </w:pPr>
      <w:r>
        <w:rPr>
          <w:rStyle w:val="soitChar"/>
          <w:u w:val="single"/>
        </w:rPr>
        <w:t xml:space="preserve">Volume net du parement </w:t>
      </w:r>
      <w:r>
        <w:rPr>
          <w:rStyle w:val="soitChar"/>
        </w:rPr>
        <w:t>; la longueur des murs est mesurée dans l'axe de l'élément ; à l’intersection de deux murs, seul le mur le plus épais est considéré. Aucun volume n'est compté deux fois.</w:t>
      </w:r>
    </w:p>
    <w:p w14:paraId="4FEF0AC0"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207C49C2" w14:textId="77777777" w:rsidR="00DF410E" w:rsidRDefault="00CE7F43">
      <w:pPr>
        <w:pStyle w:val="pheading"/>
      </w:pPr>
      <w:r>
        <w:t>- nature du marché:</w:t>
      </w:r>
    </w:p>
    <w:p w14:paraId="5B26616E" w14:textId="77777777" w:rsidR="00DF410E" w:rsidRDefault="00CE7F43">
      <w:r>
        <w:t>QF</w:t>
      </w:r>
    </w:p>
    <w:p w14:paraId="6A749D83" w14:textId="77777777" w:rsidR="00DF410E" w:rsidRDefault="00CE7F43">
      <w:pPr>
        <w:pStyle w:val="Author-eSectionHeading6"/>
      </w:pPr>
      <w:bookmarkStart w:id="242" w:name="_Toc178837474"/>
      <w:r>
        <w:t>21.31.2b Maçonneries de parement en briques de béton à coller CCTB 01.11</w:t>
      </w:r>
      <w:bookmarkEnd w:id="242"/>
    </w:p>
    <w:p w14:paraId="16CBA1A7" w14:textId="77777777" w:rsidR="00DF410E" w:rsidRDefault="00CE7F43">
      <w:pPr>
        <w:pStyle w:val="pheading"/>
      </w:pPr>
      <w:r>
        <w:t>DESCRIPTION</w:t>
      </w:r>
    </w:p>
    <w:p w14:paraId="1D054F33" w14:textId="77777777" w:rsidR="00DF410E" w:rsidRDefault="00CE7F43">
      <w:pPr>
        <w:pStyle w:val="pheading"/>
      </w:pPr>
      <w:r>
        <w:t>- Définition / Comprend</w:t>
      </w:r>
    </w:p>
    <w:p w14:paraId="6FBC0E99" w14:textId="77777777" w:rsidR="00DF410E" w:rsidRDefault="00CE7F43">
      <w:r>
        <w:t xml:space="preserve">Il s’agit de la fourniture et la pose de maçonneries de parement en briques de béton à coller. </w:t>
      </w:r>
      <w:r>
        <w:br/>
        <w:t xml:space="preserve">La portée des travaux est décrite dans l’article </w:t>
      </w:r>
      <w:hyperlink w:anchor="379" w:history="1">
        <w:r>
          <w:t>21.3 Maçonneries de parement</w:t>
        </w:r>
      </w:hyperlink>
      <w:r>
        <w:t>.</w:t>
      </w:r>
    </w:p>
    <w:p w14:paraId="1C88F0D4" w14:textId="77777777" w:rsidR="00DF410E" w:rsidRDefault="00CE7F43">
      <w:pPr>
        <w:pStyle w:val="pheading"/>
      </w:pPr>
      <w:r>
        <w:t>- Localisation</w:t>
      </w:r>
    </w:p>
    <w:p w14:paraId="4C8BC88F" w14:textId="77777777" w:rsidR="00DF410E" w:rsidRDefault="00CE7F43">
      <w:r>
        <w:t xml:space="preserve">La pose est réalisée aux endroits suivants : </w:t>
      </w:r>
      <w:r>
        <w:rPr>
          <w:rStyle w:val="optioncarChar"/>
        </w:rPr>
        <w:t>***</w:t>
      </w:r>
      <w:r>
        <w:t>.</w:t>
      </w:r>
      <w:r>
        <w:br/>
        <w:t>Voir plans et métrés détaillés.</w:t>
      </w:r>
    </w:p>
    <w:p w14:paraId="299A0418" w14:textId="77777777" w:rsidR="00DF410E" w:rsidRDefault="00CE7F43">
      <w:pPr>
        <w:pStyle w:val="pheading"/>
      </w:pPr>
      <w:r>
        <w:t>MATÉRIAUX</w:t>
      </w:r>
    </w:p>
    <w:p w14:paraId="149BE703" w14:textId="77777777" w:rsidR="00DF410E" w:rsidRDefault="00CE7F43">
      <w:pPr>
        <w:pStyle w:val="pheading"/>
      </w:pPr>
      <w:r>
        <w:t>- Caractéristiques générales</w:t>
      </w:r>
    </w:p>
    <w:p w14:paraId="3BFA0CD8" w14:textId="77777777" w:rsidR="00DF410E" w:rsidRDefault="00CE7F43">
      <w:r>
        <w:rPr>
          <w:rStyle w:val="headingChar"/>
        </w:rPr>
        <w:t>Brique</w:t>
      </w:r>
    </w:p>
    <w:p w14:paraId="02CBA180" w14:textId="77777777" w:rsidR="00DF410E" w:rsidRDefault="00CE7F43">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58FF559C" w14:textId="77777777" w:rsidR="00DF410E" w:rsidRDefault="00CE7F43">
      <w:pPr>
        <w:spacing w:after="0" w:line="0" w:lineRule="atLeast"/>
      </w:pPr>
      <w:r>
        <w:rPr>
          <w:color w:val="000000"/>
        </w:rPr>
        <w:t xml:space="preserve">La classe de qualité suivant </w:t>
      </w:r>
      <w:r>
        <w:rPr>
          <w:color w:val="00B050"/>
        </w:rPr>
        <w:t>[PTV 21-001]  </w:t>
      </w:r>
      <w:r>
        <w:rPr>
          <w:color w:val="000000"/>
        </w:rPr>
        <w:t xml:space="preserve">est </w:t>
      </w:r>
      <w:r>
        <w:rPr>
          <w:rStyle w:val="optioncarChar"/>
        </w:rPr>
        <w:t>2/0,8 / 3/1,0 / 4/1,2 / 5/1,4 / 6/1,6 / 8/1,9 / 10/2,2</w:t>
      </w:r>
      <w:r>
        <w:rPr>
          <w:rStyle w:val="optioncarChar"/>
          <w:color w:val="000000"/>
        </w:rPr>
        <w:t>(par défaut)</w:t>
      </w:r>
      <w:r>
        <w:rPr>
          <w:rStyle w:val="optioncarChar"/>
        </w:rPr>
        <w:t xml:space="preserve"> / 15/2,2 + / ***</w:t>
      </w:r>
    </w:p>
    <w:p w14:paraId="56841EA9" w14:textId="77777777" w:rsidR="00DF410E" w:rsidRDefault="00CE7F43">
      <w:pPr>
        <w:spacing w:after="0" w:line="0" w:lineRule="atLeast"/>
      </w:pPr>
      <w:r>
        <w:rPr>
          <w:color w:val="000000"/>
        </w:rPr>
        <w:t xml:space="preserve">Le groupe de configuration suivant </w:t>
      </w:r>
      <w:r>
        <w:t>[PTV 21-001]</w:t>
      </w:r>
      <w:r>
        <w:rPr>
          <w:color w:val="000000"/>
        </w:rPr>
        <w:t xml:space="preserve"> est: </w:t>
      </w:r>
      <w:r>
        <w:rPr>
          <w:rStyle w:val="optioncarChar"/>
        </w:rPr>
        <w:t>1 / 2 / 3 / 4</w:t>
      </w:r>
    </w:p>
    <w:p w14:paraId="259913D6" w14:textId="77777777" w:rsidR="00DF410E" w:rsidRDefault="00CE7F43">
      <w:pPr>
        <w:spacing w:after="0" w:line="0" w:lineRule="atLeast"/>
      </w:pPr>
      <w:r>
        <w:rPr>
          <w:color w:val="000000"/>
        </w:rPr>
        <w:t xml:space="preserve">Le code d’identification du type de brique de maçonnerie suivant </w:t>
      </w:r>
      <w:r>
        <w:rPr>
          <w:color w:val="00B050"/>
        </w:rPr>
        <w:t xml:space="preserve">[PTV 21-001]  </w:t>
      </w:r>
      <w:r>
        <w:rPr>
          <w:color w:val="000000"/>
        </w:rPr>
        <w:t xml:space="preserve">est </w:t>
      </w:r>
      <w:r>
        <w:rPr>
          <w:rStyle w:val="optioncarChar"/>
        </w:rPr>
        <w:t>A1 / A2 / B1 / B2</w:t>
      </w:r>
    </w:p>
    <w:p w14:paraId="7C9AB56E" w14:textId="77777777" w:rsidR="00DF410E" w:rsidRDefault="00CE7F43">
      <w:pPr>
        <w:spacing w:after="0" w:line="0" w:lineRule="atLeast"/>
      </w:pPr>
      <w:r>
        <w:rPr>
          <w:color w:val="000000"/>
        </w:rPr>
        <w:t xml:space="preserve">La conductibilité thermique λD est compatible avec la valeur U prescrite pour la paroi. </w:t>
      </w:r>
    </w:p>
    <w:p w14:paraId="562F421C" w14:textId="77777777" w:rsidR="00DF410E" w:rsidRDefault="00CE7F43">
      <w:pPr>
        <w:spacing w:after="0" w:line="0" w:lineRule="atLeast"/>
      </w:pPr>
      <w:r>
        <w:rPr>
          <w:color w:val="000000"/>
        </w:rPr>
        <w:t>Boutisse :</w:t>
      </w:r>
      <w:r>
        <w:t xml:space="preserve"> plate</w:t>
      </w:r>
    </w:p>
    <w:p w14:paraId="6E07FD77" w14:textId="77777777" w:rsidR="00DF410E" w:rsidRDefault="00CE7F43">
      <w:pPr>
        <w:spacing w:after="0" w:line="0" w:lineRule="atLeast"/>
      </w:pPr>
      <w:r>
        <w:rPr>
          <w:color w:val="000000"/>
        </w:rPr>
        <w:t xml:space="preserve">Face qui reste visible : </w:t>
      </w:r>
      <w:r>
        <w:rPr>
          <w:rStyle w:val="optioncarChar"/>
        </w:rPr>
        <w:t xml:space="preserve">lisse </w:t>
      </w:r>
      <w:r>
        <w:t>(par défaut) </w:t>
      </w:r>
      <w:r>
        <w:rPr>
          <w:rStyle w:val="optioncarChar"/>
        </w:rPr>
        <w:t>/ clivée / ***</w:t>
      </w:r>
    </w:p>
    <w:p w14:paraId="4393C181" w14:textId="77777777" w:rsidR="00DF410E" w:rsidRDefault="00CE7F43">
      <w:pPr>
        <w:spacing w:after="0" w:line="0" w:lineRule="atLeast"/>
      </w:pPr>
      <w:r>
        <w:rPr>
          <w:color w:val="000000"/>
        </w:rPr>
        <w:t xml:space="preserve">Teinte : </w:t>
      </w:r>
      <w:r>
        <w:rPr>
          <w:rStyle w:val="optioncarChar"/>
        </w:rPr>
        <w:t>gris </w:t>
      </w:r>
      <w:r>
        <w:t>(par défaut)</w:t>
      </w:r>
      <w:r>
        <w:rPr>
          <w:rStyle w:val="optioncarChar"/>
        </w:rPr>
        <w:t xml:space="preserve"> / blanc / noir / ***</w:t>
      </w:r>
    </w:p>
    <w:p w14:paraId="167354B2" w14:textId="77777777" w:rsidR="00DF410E" w:rsidRDefault="00CE7F43">
      <w:pPr>
        <w:spacing w:after="0" w:line="0" w:lineRule="atLeast"/>
      </w:pPr>
      <w:r>
        <w:rPr>
          <w:color w:val="000000"/>
        </w:rPr>
        <w:t xml:space="preserve">Format (Lxlxh) mm : </w:t>
      </w:r>
      <w:r>
        <w:rPr>
          <w:rStyle w:val="optioncarChar"/>
        </w:rPr>
        <w:t>190 x 90 x 65 / 190 x 90 x 90 / 290 X 90 x 90 / format modulaire proposé par l'entrepreneur </w:t>
      </w:r>
      <w:r>
        <w:t>(par défaut)</w:t>
      </w:r>
      <w:r>
        <w:rPr>
          <w:rStyle w:val="optioncarChar"/>
        </w:rPr>
        <w:t xml:space="preserve"> / ***</w:t>
      </w:r>
      <w:r>
        <w:t xml:space="preserve"> mm</w:t>
      </w:r>
    </w:p>
    <w:p w14:paraId="6184FA8B" w14:textId="77777777" w:rsidR="00DF410E" w:rsidRDefault="00CE7F43">
      <w:pPr>
        <w:spacing w:after="0" w:line="0" w:lineRule="atLeast"/>
      </w:pPr>
      <w:r>
        <w:rPr>
          <w:color w:val="000000"/>
        </w:rPr>
        <w:t xml:space="preserve">Réaction au feu : </w:t>
      </w:r>
      <w:r>
        <w:rPr>
          <w:rStyle w:val="optioncarChar"/>
        </w:rPr>
        <w:t>A1</w:t>
      </w:r>
      <w:r>
        <w:t> (par défaut)</w:t>
      </w:r>
      <w:r>
        <w:rPr>
          <w:rStyle w:val="optioncarChar"/>
        </w:rPr>
        <w:t xml:space="preserve"> / ***</w:t>
      </w:r>
    </w:p>
    <w:p w14:paraId="458C8415" w14:textId="77777777" w:rsidR="00DF410E" w:rsidRDefault="00CE7F43">
      <w:pPr>
        <w:spacing w:after="0" w:line="0" w:lineRule="atLeast"/>
      </w:pPr>
      <w:r>
        <w:rPr>
          <w:rStyle w:val="headingChar"/>
          <w:color w:val="000000"/>
        </w:rPr>
        <w:t>Mortier</w:t>
      </w:r>
    </w:p>
    <w:p w14:paraId="3AB3EE73" w14:textId="77777777" w:rsidR="00DF410E" w:rsidRDefault="00CE7F43">
      <w:pPr>
        <w:spacing w:after="0" w:line="0" w:lineRule="atLeast"/>
      </w:pPr>
      <w:r>
        <w:t xml:space="preserve">Le mortier est du type T adapté à des joints d’épaisseur nominale de </w:t>
      </w:r>
      <w:r>
        <w:rPr>
          <w:rStyle w:val="optioncarChar"/>
        </w:rPr>
        <w:t xml:space="preserve">3 / *** </w:t>
      </w:r>
      <w:r>
        <w:t>mm.</w:t>
      </w:r>
    </w:p>
    <w:p w14:paraId="23CF7CEF" w14:textId="77777777" w:rsidR="00DF410E" w:rsidRDefault="00CE7F43">
      <w:pPr>
        <w:spacing w:after="0" w:line="0" w:lineRule="atLeast"/>
      </w:pPr>
      <w:r>
        <w:rPr>
          <w:rStyle w:val="normalChar"/>
          <w:color w:val="000000"/>
        </w:rPr>
        <w:t>Classe de résistance :</w:t>
      </w:r>
      <w:r>
        <w:rPr>
          <w:rStyle w:val="optioncarChar"/>
        </w:rPr>
        <w:t>M1 / M2,5 / M5/ M10</w:t>
      </w:r>
      <w:r>
        <w:t xml:space="preserve"> (par défaut)</w:t>
      </w:r>
      <w:r>
        <w:rPr>
          <w:rStyle w:val="optioncarChar"/>
        </w:rPr>
        <w:t xml:space="preserve"> / M15 / M20</w:t>
      </w:r>
    </w:p>
    <w:p w14:paraId="69F8976A" w14:textId="77777777" w:rsidR="00DF410E" w:rsidRDefault="00CE7F43">
      <w:pPr>
        <w:spacing w:after="0" w:line="0" w:lineRule="atLeast"/>
      </w:pPr>
      <w:r>
        <w:rPr>
          <w:color w:val="000000"/>
        </w:rPr>
        <w:t>Adhérence en cisaillement :</w:t>
      </w:r>
      <w:r>
        <w:rPr>
          <w:rStyle w:val="optioncarChar"/>
        </w:rPr>
        <w:t xml:space="preserve"> ≥ 0,10 N/mm² / ≥ 0,15 N/mm² </w:t>
      </w:r>
      <w:r>
        <w:t>(par défaut)</w:t>
      </w:r>
      <w:r>
        <w:rPr>
          <w:rStyle w:val="optioncarChar"/>
        </w:rPr>
        <w:t xml:space="preserve"> / non spécifié / *** </w:t>
      </w:r>
    </w:p>
    <w:p w14:paraId="00D5BF5D" w14:textId="77777777" w:rsidR="00DF410E" w:rsidRDefault="00CE7F43">
      <w:pPr>
        <w:spacing w:after="0" w:line="0" w:lineRule="atLeast"/>
      </w:pPr>
      <w:r>
        <w:rPr>
          <w:color w:val="000000"/>
        </w:rPr>
        <w:t xml:space="preserve">Résistance au gel : </w:t>
      </w:r>
      <w:r>
        <w:rPr>
          <w:rStyle w:val="optioncarChar"/>
          <w:color w:val="000000"/>
        </w:rPr>
        <w:t>oui</w:t>
      </w:r>
    </w:p>
    <w:p w14:paraId="231AFDF2" w14:textId="77777777" w:rsidR="00DF410E" w:rsidRDefault="00DF410E"/>
    <w:p w14:paraId="5D8CF85E" w14:textId="77777777" w:rsidR="00DF410E" w:rsidRDefault="00CE7F43">
      <w:pPr>
        <w:spacing w:line="259" w:lineRule="auto"/>
      </w:pPr>
      <w:r>
        <w:rPr>
          <w:rStyle w:val="headingChar"/>
        </w:rPr>
        <w:t xml:space="preserve"> Critères de performances</w:t>
      </w:r>
      <w:r>
        <w:rPr>
          <w:rStyle w:val="headingChar"/>
          <w:color w:val="000000"/>
        </w:rPr>
        <w:t xml:space="preserve"> du parement</w:t>
      </w:r>
    </w:p>
    <w:p w14:paraId="0421101F" w14:textId="77777777" w:rsidR="00DF410E" w:rsidRDefault="00CE7F43">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14:paraId="03742884" w14:textId="77777777" w:rsidR="00DF410E" w:rsidRDefault="00DF410E"/>
    <w:p w14:paraId="1A430CB9" w14:textId="77777777" w:rsidR="00DF410E" w:rsidRDefault="00CE7F43">
      <w:r>
        <w:t> </w:t>
      </w:r>
    </w:p>
    <w:p w14:paraId="194BD499" w14:textId="77777777" w:rsidR="00DF410E" w:rsidRDefault="00CE7F43">
      <w:pPr>
        <w:pStyle w:val="pheading"/>
      </w:pPr>
      <w:r>
        <w:t>- Finitions</w:t>
      </w:r>
    </w:p>
    <w:p w14:paraId="0D27BEB0"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48CB15E4" w14:textId="77777777" w:rsidR="00DF410E" w:rsidRDefault="00CE7F43">
      <w:pPr>
        <w:pStyle w:val="pheading"/>
      </w:pPr>
      <w:r>
        <w:t>EXÉCUTION / MISE EN ŒUVRE</w:t>
      </w:r>
    </w:p>
    <w:p w14:paraId="3213AF42" w14:textId="77777777" w:rsidR="00DF410E" w:rsidRDefault="00CE7F43">
      <w:pPr>
        <w:pStyle w:val="pheading"/>
      </w:pPr>
      <w:r>
        <w:t>- Prescriptions générales</w:t>
      </w:r>
    </w:p>
    <w:p w14:paraId="3837523D" w14:textId="77777777" w:rsidR="00DF410E" w:rsidRDefault="00CE7F43">
      <w:pPr>
        <w:spacing w:line="259" w:lineRule="auto"/>
      </w:pPr>
      <w:r>
        <w:t xml:space="preserve">La maçonnerie est exécutée en appareil </w:t>
      </w:r>
      <w:r>
        <w:rPr>
          <w:rStyle w:val="optioncarChar"/>
        </w:rPr>
        <w:t>d'une demi-brique </w:t>
      </w:r>
      <w:r>
        <w:t xml:space="preserve">(par défaut) </w:t>
      </w:r>
      <w:r>
        <w:rPr>
          <w:rStyle w:val="optioncarChar"/>
        </w:rPr>
        <w:t>/ ***</w:t>
      </w:r>
    </w:p>
    <w:p w14:paraId="3D5AD124"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601629E4" w14:textId="77777777" w:rsidR="00DF410E" w:rsidRDefault="00DF410E"/>
    <w:p w14:paraId="4D520B89" w14:textId="77777777" w:rsidR="00DF410E" w:rsidRDefault="00CE7F43">
      <w:pPr>
        <w:spacing w:line="259" w:lineRule="auto"/>
      </w:pPr>
      <w:r>
        <w:rPr>
          <w:rStyle w:val="normalChar"/>
          <w:b/>
          <w:color w:val="000000"/>
        </w:rPr>
        <w:t>LINTEAUX</w:t>
      </w:r>
    </w:p>
    <w:p w14:paraId="5F915C56"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669039B7" w14:textId="77777777" w:rsidR="00DF410E" w:rsidRDefault="00CE7F43">
      <w:r>
        <w:rPr>
          <w:b/>
        </w:rPr>
        <w:t>(soit par défaut)</w:t>
      </w:r>
    </w:p>
    <w:p w14:paraId="4602FF97" w14:textId="77777777" w:rsidR="00DF410E" w:rsidRDefault="00CE7F43">
      <w:r>
        <w:rPr>
          <w:rStyle w:val="soitChar"/>
          <w:u w:val="single"/>
        </w:rPr>
        <w:t>D'une armature et de crochets de mur</w:t>
      </w:r>
      <w:r>
        <w:rPr>
          <w:rStyle w:val="soitChar"/>
        </w:rPr>
        <w:t>  :</w:t>
      </w:r>
    </w:p>
    <w:p w14:paraId="7C142316" w14:textId="77777777" w:rsidR="00DF410E" w:rsidRDefault="00CE7F43">
      <w:r>
        <w:rPr>
          <w:rStyle w:val="soitChar"/>
        </w:rPr>
        <w:t>L’armature est conforme aux descriptions du 21.41.1</w:t>
      </w:r>
      <w:r>
        <w:br/>
      </w:r>
      <w:r>
        <w:rPr>
          <w:color w:val="33CCCC"/>
        </w:rPr>
        <w:t>Les crochets sont prévus tous les</w:t>
      </w:r>
      <w:r>
        <w:rPr>
          <w:rStyle w:val="optioncarChar"/>
        </w:rPr>
        <w:t>***</w:t>
      </w:r>
      <w: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t>(par défaut) </w:t>
      </w:r>
      <w:r>
        <w:rPr>
          <w:rStyle w:val="optioncarChar"/>
        </w:rPr>
        <w:t>/ selon l’appareillage général de la maçonnerie / ***</w:t>
      </w:r>
    </w:p>
    <w:p w14:paraId="2B92FE07" w14:textId="77777777" w:rsidR="00DF410E" w:rsidRDefault="00CE7F43">
      <w:r>
        <w:rPr>
          <w:b/>
        </w:rPr>
        <w:t>(soit)</w:t>
      </w:r>
    </w:p>
    <w:p w14:paraId="41280FE9"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38F72E6B" w14:textId="77777777" w:rsidR="00DF410E" w:rsidRDefault="00CE7F43">
      <w:r>
        <w:rPr>
          <w:b/>
        </w:rPr>
        <w:t>(soit)</w:t>
      </w:r>
    </w:p>
    <w:p w14:paraId="7DBC915D"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6219C77" w14:textId="77777777" w:rsidR="00DF410E" w:rsidRDefault="00CE7F43">
      <w:r>
        <w:rPr>
          <w:b/>
        </w:rPr>
        <w:t>(soit)</w:t>
      </w:r>
    </w:p>
    <w:p w14:paraId="127C487E"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4F5B349" w14:textId="77777777" w:rsidR="00DF410E" w:rsidRDefault="00CE7F43">
      <w:r>
        <w:rPr>
          <w:b/>
        </w:rPr>
        <w:t>(soit)</w:t>
      </w:r>
    </w:p>
    <w:p w14:paraId="20EBC320" w14:textId="77777777" w:rsidR="00DF410E" w:rsidRDefault="00CE7F43">
      <w:r>
        <w:rPr>
          <w:rStyle w:val="optioncarChar"/>
        </w:rPr>
        <w:t> ***</w:t>
      </w:r>
    </w:p>
    <w:p w14:paraId="0FA960AB" w14:textId="77777777" w:rsidR="00DF410E" w:rsidRDefault="00CE7F43">
      <w:pPr>
        <w:pStyle w:val="pheading"/>
      </w:pPr>
      <w:r>
        <w:t>- Notes d’exécution complémentaires</w:t>
      </w:r>
    </w:p>
    <w:p w14:paraId="6FEE42E1" w14:textId="77777777" w:rsidR="00DF410E" w:rsidRDefault="00CE7F43">
      <w:r>
        <w:t>En vue du choix définitif des briques de parement, un ou plusieurs échantillons d'environ 1 m2 sont maçonnés à la demande de l'auteur de projet; les frais inhérents à la construction et à la démolition de ces murs sont à charge de l'entrepreneur.</w:t>
      </w:r>
    </w:p>
    <w:p w14:paraId="2288ABE0" w14:textId="77777777" w:rsidR="00DF410E" w:rsidRDefault="00CE7F43">
      <w:r>
        <w:t xml:space="preserve">• Armatures horizontales : selon l'article </w:t>
      </w:r>
      <w:hyperlink w:anchor="355" w:history="1">
        <w:r>
          <w:t>21.41.1 Armatures horizontales pour maçonneries</w:t>
        </w:r>
      </w:hyperlink>
      <w:r>
        <w:t>.</w:t>
      </w:r>
    </w:p>
    <w:p w14:paraId="703666D8" w14:textId="77777777" w:rsidR="00DF410E" w:rsidRDefault="00CE7F43">
      <w:r>
        <w:t xml:space="preserve">• Ancrages : selon l'article </w:t>
      </w:r>
      <w:hyperlink w:anchor="362" w:history="1">
        <w:r>
          <w:t>21.42 Ancrages et fixations de maçonneries</w:t>
        </w:r>
      </w:hyperlink>
    </w:p>
    <w:p w14:paraId="72146EB1" w14:textId="77777777" w:rsidR="00DF410E" w:rsidRDefault="00CE7F43">
      <w:r>
        <w:t xml:space="preserve">Briques spéciales : </w:t>
      </w:r>
      <w:r>
        <w:rPr>
          <w:rStyle w:val="optioncarChar"/>
        </w:rPr>
        <w:t>***</w:t>
      </w:r>
    </w:p>
    <w:p w14:paraId="14E770D1" w14:textId="77777777" w:rsidR="00DF410E" w:rsidRDefault="00CE7F43">
      <w:r>
        <w:t xml:space="preserve">Étanchéité : </w:t>
      </w:r>
      <w:r>
        <w:rPr>
          <w:rStyle w:val="optioncarChar"/>
        </w:rPr>
        <w:t>***</w:t>
      </w:r>
    </w:p>
    <w:p w14:paraId="0DDFC6CA" w14:textId="77777777" w:rsidR="00DF410E" w:rsidRDefault="00CE7F43">
      <w:r>
        <w:t xml:space="preserve">Joints de dilatation : </w:t>
      </w:r>
      <w:r>
        <w:rPr>
          <w:rStyle w:val="optioncarChar"/>
        </w:rPr>
        <w:t>***</w:t>
      </w:r>
    </w:p>
    <w:p w14:paraId="5CD9E416" w14:textId="77777777" w:rsidR="00DF410E" w:rsidRDefault="00CE7F43">
      <w:pPr>
        <w:pStyle w:val="pheading"/>
      </w:pPr>
      <w:r>
        <w:t>MESURAGE</w:t>
      </w:r>
    </w:p>
    <w:p w14:paraId="2E0FFC61" w14:textId="77777777" w:rsidR="00DF410E" w:rsidRDefault="00CE7F43">
      <w:pPr>
        <w:pStyle w:val="pheading"/>
      </w:pPr>
      <w:r>
        <w:t>- unité de mesure:</w:t>
      </w:r>
    </w:p>
    <w:p w14:paraId="3651EDA8" w14:textId="77777777" w:rsidR="00DF410E" w:rsidRDefault="00CE7F43">
      <w:r>
        <w:rPr>
          <w:rStyle w:val="optioncarChar"/>
        </w:rPr>
        <w:t>m² </w:t>
      </w:r>
      <w:r>
        <w:rPr>
          <w:rStyle w:val="optioncarChar"/>
          <w:color w:val="000000"/>
        </w:rPr>
        <w:t>(par défaut)</w:t>
      </w:r>
      <w:r>
        <w:rPr>
          <w:rStyle w:val="optioncarChar"/>
        </w:rPr>
        <w:t> / m³</w:t>
      </w:r>
    </w:p>
    <w:p w14:paraId="00170666" w14:textId="77777777" w:rsidR="00DF410E" w:rsidRDefault="00CE7F43">
      <w:pPr>
        <w:spacing w:after="0" w:line="0" w:lineRule="atLeast"/>
      </w:pPr>
      <w:r>
        <w:rPr>
          <w:b/>
          <w:color w:val="000000"/>
        </w:rPr>
        <w:t>(soit par défaut)</w:t>
      </w:r>
    </w:p>
    <w:p w14:paraId="0E5D2BA8" w14:textId="77777777" w:rsidR="00DF410E" w:rsidRDefault="00CE7F43">
      <w:pPr>
        <w:spacing w:after="0" w:line="0" w:lineRule="atLeast"/>
      </w:pPr>
      <w:r>
        <w:rPr>
          <w:rStyle w:val="soitChar"/>
        </w:rPr>
        <w:t>1. m²</w:t>
      </w:r>
    </w:p>
    <w:p w14:paraId="27609324" w14:textId="77777777" w:rsidR="00DF410E" w:rsidRDefault="00CE7F43">
      <w:pPr>
        <w:spacing w:after="0" w:line="0" w:lineRule="atLeast"/>
      </w:pPr>
      <w:r>
        <w:rPr>
          <w:b/>
          <w:color w:val="000000"/>
        </w:rPr>
        <w:t>(soit)</w:t>
      </w:r>
    </w:p>
    <w:p w14:paraId="3EF99BAC" w14:textId="77777777" w:rsidR="00DF410E" w:rsidRDefault="00CE7F43">
      <w:pPr>
        <w:spacing w:after="0" w:line="0" w:lineRule="atLeast"/>
      </w:pPr>
      <w:r>
        <w:rPr>
          <w:rStyle w:val="soitChar"/>
        </w:rPr>
        <w:t>2. m³</w:t>
      </w:r>
    </w:p>
    <w:p w14:paraId="08D5E3B7" w14:textId="77777777" w:rsidR="00DF410E" w:rsidRDefault="00CE7F43">
      <w:pPr>
        <w:pStyle w:val="pheading"/>
      </w:pPr>
      <w:r>
        <w:t>- code de mesurage:</w:t>
      </w:r>
    </w:p>
    <w:p w14:paraId="108D88DF" w14:textId="77777777" w:rsidR="00DF410E" w:rsidRDefault="00CE7F43">
      <w:pPr>
        <w:spacing w:before="0" w:after="0"/>
      </w:pPr>
      <w:r>
        <w:t>Les maçonneries sont mesurées en fonction de leur forme géométrique.</w:t>
      </w:r>
    </w:p>
    <w:p w14:paraId="20C89EFE"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4B8830CB" w14:textId="77777777" w:rsidR="00DF410E" w:rsidRDefault="00CE7F43">
      <w:pPr>
        <w:spacing w:before="0" w:after="0"/>
      </w:pPr>
      <w:r>
        <w:t>La coulisse n'est jamais prise en compte.</w:t>
      </w:r>
    </w:p>
    <w:p w14:paraId="42C4B044" w14:textId="77777777" w:rsidR="00DF410E" w:rsidRDefault="00CE7F43">
      <w:pPr>
        <w:spacing w:after="0" w:line="259" w:lineRule="auto"/>
      </w:pPr>
      <w:r>
        <w:rPr>
          <w:rStyle w:val="normalChar"/>
        </w:rPr>
        <w:t>Les accessoires (linteaux non décrits et non comptés dans un autre poste, attaches,…) sont compris dans le prix.</w:t>
      </w:r>
    </w:p>
    <w:p w14:paraId="0EAAF659" w14:textId="77777777" w:rsidR="00DF410E" w:rsidRDefault="00DF410E"/>
    <w:p w14:paraId="4FB97F69" w14:textId="77777777" w:rsidR="00DF410E" w:rsidRDefault="00CE7F43">
      <w:r>
        <w:rPr>
          <w:rStyle w:val="normalChar"/>
        </w:rPr>
        <w:t>Sont entre-autres décrits et comptés dans un autre poste :</w:t>
      </w:r>
    </w:p>
    <w:p w14:paraId="1A59B923" w14:textId="77777777" w:rsidR="00DF410E" w:rsidRDefault="00CE7F43">
      <w:pPr>
        <w:pStyle w:val="Author-eListParagraph"/>
        <w:numPr>
          <w:ilvl w:val="0"/>
          <w:numId w:val="237"/>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7F202CF5" w14:textId="77777777" w:rsidR="00DF410E" w:rsidRDefault="00CE7F43">
      <w:pPr>
        <w:pStyle w:val="Author-eListParagraph"/>
        <w:numPr>
          <w:ilvl w:val="0"/>
          <w:numId w:val="237"/>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1069AA85" w14:textId="77777777" w:rsidR="00DF410E" w:rsidRDefault="00CE7F43">
      <w:pPr>
        <w:pStyle w:val="Author-eListParagraph"/>
        <w:numPr>
          <w:ilvl w:val="0"/>
          <w:numId w:val="237"/>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40BF5901"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07C6470B" w14:textId="77777777" w:rsidR="00DF410E" w:rsidRDefault="00CE7F43">
      <w:pPr>
        <w:spacing w:after="0" w:line="252" w:lineRule="auto"/>
      </w:pPr>
      <w:r>
        <w:rPr>
          <w:b/>
          <w:color w:val="000000"/>
        </w:rPr>
        <w:t>(soit par défaut)</w:t>
      </w:r>
    </w:p>
    <w:p w14:paraId="5CA03601"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944A95F" w14:textId="77777777" w:rsidR="00DF410E" w:rsidRDefault="00CE7F43">
      <w:pPr>
        <w:spacing w:after="0" w:line="252" w:lineRule="auto"/>
      </w:pPr>
      <w:r>
        <w:rPr>
          <w:rStyle w:val="soitChar"/>
        </w:rPr>
        <w:t>Distinction faite suivant l'épaisseur.</w:t>
      </w:r>
    </w:p>
    <w:p w14:paraId="2A224F4B" w14:textId="77777777" w:rsidR="00DF410E" w:rsidRDefault="00CE7F43">
      <w:pPr>
        <w:spacing w:line="252" w:lineRule="auto"/>
      </w:pPr>
      <w:r>
        <w:rPr>
          <w:b/>
          <w:color w:val="000000"/>
        </w:rPr>
        <w:t>(soit)</w:t>
      </w:r>
    </w:p>
    <w:p w14:paraId="0148C96A"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063A0D4"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691DBD21" w14:textId="77777777" w:rsidR="00DF410E" w:rsidRDefault="00CE7F43">
      <w:pPr>
        <w:pStyle w:val="pheading"/>
      </w:pPr>
      <w:r>
        <w:t>- nature du marché:</w:t>
      </w:r>
    </w:p>
    <w:p w14:paraId="34ED97AC" w14:textId="77777777" w:rsidR="00DF410E" w:rsidRDefault="00CE7F43">
      <w:r>
        <w:t>QF</w:t>
      </w:r>
    </w:p>
    <w:p w14:paraId="19E05E8E" w14:textId="77777777" w:rsidR="00DF410E" w:rsidRDefault="00CE7F43">
      <w:pPr>
        <w:pStyle w:val="Author-eSectionHeading6"/>
      </w:pPr>
      <w:bookmarkStart w:id="243" w:name="_Toc178837475"/>
      <w:r>
        <w:t>21.31.2c Maçonneries de parement en briques de béton à système de dosage pour liant hydraulique CCTB 01.11</w:t>
      </w:r>
      <w:bookmarkEnd w:id="243"/>
    </w:p>
    <w:p w14:paraId="4F98227C" w14:textId="77777777" w:rsidR="00DF410E" w:rsidRDefault="00CE7F43">
      <w:pPr>
        <w:pStyle w:val="pheading"/>
      </w:pPr>
      <w:r>
        <w:t>DESCRIPTION</w:t>
      </w:r>
    </w:p>
    <w:p w14:paraId="1A6FD208" w14:textId="77777777" w:rsidR="00DF410E" w:rsidRDefault="00CE7F43">
      <w:pPr>
        <w:pStyle w:val="pheading"/>
      </w:pPr>
      <w:r>
        <w:t>- Définition / Comprend</w:t>
      </w:r>
    </w:p>
    <w:p w14:paraId="4ED92E5C" w14:textId="77777777" w:rsidR="00DF410E" w:rsidRDefault="00CE7F43">
      <w:r>
        <w:t>Il s’agit de la fourniture et la pose de maçonneries de parement en briques de béton à système de dosage pour liant hydraulique.</w:t>
      </w:r>
    </w:p>
    <w:p w14:paraId="7CD454C3" w14:textId="77777777" w:rsidR="00DF410E" w:rsidRDefault="00CE7F43">
      <w:r>
        <w:t xml:space="preserve">La portée des travaux est décrite dans l’article </w:t>
      </w:r>
      <w:hyperlink w:anchor="379" w:history="1">
        <w:r>
          <w:t>21.3 Maçonneries de parement</w:t>
        </w:r>
      </w:hyperlink>
      <w:r>
        <w:t>.</w:t>
      </w:r>
    </w:p>
    <w:p w14:paraId="78C4B8C5" w14:textId="77777777" w:rsidR="00DF410E" w:rsidRDefault="00CE7F43">
      <w:pPr>
        <w:pStyle w:val="pheading"/>
      </w:pPr>
      <w:r>
        <w:t>- Localisation</w:t>
      </w:r>
    </w:p>
    <w:p w14:paraId="2DF14831" w14:textId="77777777" w:rsidR="00DF410E" w:rsidRDefault="00CE7F43">
      <w:r>
        <w:t xml:space="preserve">La pose est réalisée aux endroits suivants : </w:t>
      </w:r>
      <w:r>
        <w:rPr>
          <w:rStyle w:val="optioncarChar"/>
        </w:rPr>
        <w:t>***</w:t>
      </w:r>
      <w:r>
        <w:t>.</w:t>
      </w:r>
      <w:r>
        <w:br/>
        <w:t>Voir plans et métrés détaillés.</w:t>
      </w:r>
    </w:p>
    <w:p w14:paraId="1C6B4590" w14:textId="77777777" w:rsidR="00DF410E" w:rsidRDefault="00CE7F43">
      <w:pPr>
        <w:pStyle w:val="pheading"/>
      </w:pPr>
      <w:r>
        <w:t>MATÉRIAUX</w:t>
      </w:r>
    </w:p>
    <w:p w14:paraId="5A585CE8" w14:textId="77777777" w:rsidR="00DF410E" w:rsidRDefault="00CE7F43">
      <w:pPr>
        <w:pStyle w:val="pheading"/>
      </w:pPr>
      <w:r>
        <w:t>- Caractéristiques générales</w:t>
      </w:r>
    </w:p>
    <w:p w14:paraId="0AF127F2" w14:textId="77777777" w:rsidR="00DF410E" w:rsidRDefault="00CE7F43">
      <w:r>
        <w:rPr>
          <w:rStyle w:val="headingChar"/>
          <w:color w:val="000000"/>
        </w:rPr>
        <w:t>Brique</w:t>
      </w:r>
    </w:p>
    <w:p w14:paraId="60962576" w14:textId="77777777" w:rsidR="00DF410E" w:rsidRDefault="00CE7F43">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7B2802B2"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48FC56E8" w14:textId="77777777" w:rsidR="00DF410E" w:rsidRDefault="00CE7F43">
      <w:pPr>
        <w:spacing w:after="0" w:line="0" w:lineRule="atLeast"/>
      </w:pPr>
      <w:r>
        <w:rPr>
          <w:color w:val="000000"/>
        </w:rPr>
        <w:t xml:space="preserve">Le groupe de configuration suivant [PTV 21-001] est: </w:t>
      </w:r>
      <w:r>
        <w:rPr>
          <w:rStyle w:val="optioncarChar"/>
          <w:color w:val="000000"/>
        </w:rPr>
        <w:t>1 / 2 / 3 / 4</w:t>
      </w:r>
    </w:p>
    <w:p w14:paraId="139EE005" w14:textId="77777777" w:rsidR="00DF410E" w:rsidRDefault="00CE7F43">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5104DC35" w14:textId="77777777" w:rsidR="00DF410E" w:rsidRDefault="00CE7F43">
      <w:pPr>
        <w:spacing w:after="0" w:line="0" w:lineRule="atLeast"/>
      </w:pPr>
      <w:r>
        <w:rPr>
          <w:color w:val="000000"/>
        </w:rPr>
        <w:t xml:space="preserve">La conductibilité thermique λD est compatible avec la valeur U prescrite pour la paroi. </w:t>
      </w:r>
    </w:p>
    <w:p w14:paraId="4280C687" w14:textId="77777777" w:rsidR="00DF410E" w:rsidRDefault="00CE7F43">
      <w:pPr>
        <w:spacing w:after="0" w:line="0" w:lineRule="atLeast"/>
      </w:pPr>
      <w:r>
        <w:rPr>
          <w:color w:val="000000"/>
        </w:rPr>
        <w:t>Boutisse :</w:t>
      </w:r>
      <w:r>
        <w:t xml:space="preserve"> plate</w:t>
      </w:r>
    </w:p>
    <w:p w14:paraId="614D0ABF" w14:textId="77777777" w:rsidR="00DF410E" w:rsidRDefault="00CE7F43">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63A23C31" w14:textId="77777777" w:rsidR="00DF410E" w:rsidRDefault="00CE7F43">
      <w:pPr>
        <w:spacing w:after="0" w:line="0" w:lineRule="atLeast"/>
      </w:pPr>
      <w:r>
        <w:rPr>
          <w:color w:val="000000"/>
        </w:rPr>
        <w:t xml:space="preserve">Teinte : </w:t>
      </w:r>
      <w:r>
        <w:rPr>
          <w:rStyle w:val="optioncarChar"/>
          <w:color w:val="000000"/>
        </w:rPr>
        <w:t xml:space="preserve">gris </w:t>
      </w:r>
      <w:r>
        <w:t>(par défaut) </w:t>
      </w:r>
      <w:r>
        <w:rPr>
          <w:rStyle w:val="optioncarChar"/>
          <w:color w:val="000000"/>
        </w:rPr>
        <w:t>/ blanc / noir / ***</w:t>
      </w:r>
    </w:p>
    <w:p w14:paraId="61EC18D6" w14:textId="77777777" w:rsidR="00DF410E" w:rsidRDefault="00CE7F43">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t xml:space="preserve"> (par défaut) </w:t>
      </w:r>
      <w:r>
        <w:rPr>
          <w:rStyle w:val="optioncarChar"/>
          <w:color w:val="000000"/>
        </w:rPr>
        <w:t>/ ***</w:t>
      </w:r>
      <w:r>
        <w:t xml:space="preserve"> mm</w:t>
      </w:r>
    </w:p>
    <w:p w14:paraId="3981BF4E" w14:textId="77777777" w:rsidR="00DF410E" w:rsidRDefault="00CE7F43">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4194ECF3" w14:textId="77777777" w:rsidR="00DF410E" w:rsidRDefault="00DF410E"/>
    <w:p w14:paraId="09530969" w14:textId="77777777" w:rsidR="00DF410E" w:rsidRDefault="00CE7F43">
      <w:pPr>
        <w:spacing w:after="0" w:line="0" w:lineRule="atLeast"/>
      </w:pPr>
      <w:r>
        <w:rPr>
          <w:rStyle w:val="headingChar"/>
          <w:color w:val="000000"/>
        </w:rPr>
        <w:t>Mortier</w:t>
      </w:r>
    </w:p>
    <w:p w14:paraId="519CC088" w14:textId="77777777" w:rsidR="00DF410E" w:rsidRDefault="00CE7F43">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059314E0" w14:textId="77777777" w:rsidR="00DF410E" w:rsidRDefault="00DF410E"/>
    <w:p w14:paraId="76948553" w14:textId="77777777" w:rsidR="00DF410E" w:rsidRDefault="00CE7F43">
      <w:pPr>
        <w:spacing w:line="259" w:lineRule="auto"/>
      </w:pPr>
      <w:r>
        <w:rPr>
          <w:rStyle w:val="headingChar"/>
          <w:color w:val="000000"/>
        </w:rPr>
        <w:t>Critères de performances du parement</w:t>
      </w:r>
    </w:p>
    <w:p w14:paraId="3ACBCAF2" w14:textId="77777777" w:rsidR="00DF410E" w:rsidRDefault="00DF410E"/>
    <w:p w14:paraId="37358141" w14:textId="77777777" w:rsidR="00DF410E" w:rsidRDefault="00CE7F43">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14:paraId="1AAC5E34" w14:textId="77777777" w:rsidR="00DF410E" w:rsidRDefault="00DF410E"/>
    <w:p w14:paraId="61A69E38" w14:textId="77777777" w:rsidR="00DF410E" w:rsidRDefault="00CE7F43">
      <w:r>
        <w:t> </w:t>
      </w:r>
    </w:p>
    <w:p w14:paraId="5010C66D" w14:textId="77777777" w:rsidR="00DF410E" w:rsidRDefault="00CE7F43">
      <w:pPr>
        <w:pStyle w:val="pheading"/>
      </w:pPr>
      <w:r>
        <w:t>- Finitions</w:t>
      </w:r>
    </w:p>
    <w:p w14:paraId="2E9915A5"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41E030CF"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0BD552F"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0A79B9B4"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7AD5E8C2"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B4F476B" w14:textId="77777777" w:rsidR="00DF410E" w:rsidRDefault="00DF410E"/>
    <w:p w14:paraId="2B73D845" w14:textId="77777777" w:rsidR="00DF410E" w:rsidRDefault="00CE7F43">
      <w:pPr>
        <w:pStyle w:val="pheading"/>
      </w:pPr>
      <w:r>
        <w:t>EXÉCUTION / MISE EN ŒUVRE</w:t>
      </w:r>
    </w:p>
    <w:p w14:paraId="163CA769" w14:textId="77777777" w:rsidR="00DF410E" w:rsidRDefault="00CE7F43">
      <w:pPr>
        <w:pStyle w:val="pheading"/>
      </w:pPr>
      <w:r>
        <w:t>- Prescriptions générales</w:t>
      </w:r>
    </w:p>
    <w:p w14:paraId="2FEF208A" w14:textId="77777777" w:rsidR="00DF410E" w:rsidRDefault="00CE7F43">
      <w:pPr>
        <w:spacing w:line="259" w:lineRule="auto"/>
      </w:pPr>
      <w:r>
        <w:t xml:space="preserve">La maçonnerie est exécutée en appareil </w:t>
      </w:r>
      <w:r>
        <w:rPr>
          <w:rStyle w:val="optioncarChar"/>
        </w:rPr>
        <w:t>d'</w:t>
      </w:r>
      <w:r>
        <w:rPr>
          <w:rStyle w:val="normalChar"/>
          <w:color w:val="FF0000"/>
        </w:rPr>
        <w:t>une demi-brique</w:t>
      </w:r>
      <w:r>
        <w:t> (par défaut)</w:t>
      </w:r>
      <w:r>
        <w:rPr>
          <w:rStyle w:val="normalChar"/>
          <w:color w:val="FF0000"/>
        </w:rPr>
        <w:t xml:space="preserve"> / ***</w:t>
      </w:r>
    </w:p>
    <w:p w14:paraId="03C02D39" w14:textId="77777777" w:rsidR="00DF410E" w:rsidRDefault="00CE7F43">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14:paraId="7E938413" w14:textId="77777777" w:rsidR="00DF410E" w:rsidRDefault="00DF410E"/>
    <w:p w14:paraId="7C3EB8B9" w14:textId="77777777" w:rsidR="00DF410E" w:rsidRDefault="00CE7F43">
      <w:pPr>
        <w:spacing w:line="259" w:lineRule="auto"/>
      </w:pPr>
      <w:r>
        <w:rPr>
          <w:rStyle w:val="normalChar"/>
          <w:b/>
          <w:color w:val="000000"/>
        </w:rPr>
        <w:t>LINTEAUX</w:t>
      </w:r>
    </w:p>
    <w:p w14:paraId="0D4179BC"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23E7E3C3" w14:textId="77777777" w:rsidR="00DF410E" w:rsidRDefault="00CE7F43">
      <w:r>
        <w:rPr>
          <w:b/>
        </w:rPr>
        <w:t>(soit par défaut)</w:t>
      </w:r>
    </w:p>
    <w:p w14:paraId="121967BD" w14:textId="77777777" w:rsidR="00DF410E" w:rsidRDefault="00CE7F43">
      <w:r>
        <w:rPr>
          <w:rStyle w:val="soitChar"/>
          <w:u w:val="single"/>
        </w:rPr>
        <w:t>D'une armature et de crochets de mur</w:t>
      </w:r>
      <w:r>
        <w:rPr>
          <w:rStyle w:val="soitChar"/>
        </w:rPr>
        <w:t>  :</w:t>
      </w:r>
    </w:p>
    <w:p w14:paraId="73AD8477" w14:textId="77777777" w:rsidR="00DF410E" w:rsidRDefault="00CE7F43">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62BFBC05" w14:textId="77777777" w:rsidR="00DF410E" w:rsidRDefault="00CE7F43">
      <w:r>
        <w:rPr>
          <w:b/>
        </w:rPr>
        <w:t>(soit)</w:t>
      </w:r>
    </w:p>
    <w:p w14:paraId="709CF025"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FB59D99" w14:textId="77777777" w:rsidR="00DF410E" w:rsidRDefault="00CE7F43">
      <w:r>
        <w:rPr>
          <w:b/>
        </w:rPr>
        <w:t>(soit)</w:t>
      </w:r>
    </w:p>
    <w:p w14:paraId="056BCEA0"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13E29403" w14:textId="77777777" w:rsidR="00DF410E" w:rsidRDefault="00CE7F43">
      <w:r>
        <w:rPr>
          <w:b/>
        </w:rPr>
        <w:t>(soit)</w:t>
      </w:r>
    </w:p>
    <w:p w14:paraId="7655004B"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5F928D8" w14:textId="77777777" w:rsidR="00DF410E" w:rsidRDefault="00CE7F43">
      <w:r>
        <w:rPr>
          <w:b/>
        </w:rPr>
        <w:t>(soit)</w:t>
      </w:r>
    </w:p>
    <w:p w14:paraId="32A0BA04" w14:textId="77777777" w:rsidR="00DF410E" w:rsidRDefault="00CE7F43">
      <w:r>
        <w:rPr>
          <w:rStyle w:val="optioncarChar"/>
        </w:rPr>
        <w:t> ***</w:t>
      </w:r>
    </w:p>
    <w:p w14:paraId="5B0CF33C" w14:textId="77777777" w:rsidR="00DF410E" w:rsidRDefault="00CE7F43">
      <w:pPr>
        <w:pStyle w:val="pheading"/>
      </w:pPr>
      <w:r>
        <w:t>- Notes d’exécution complémentaires</w:t>
      </w:r>
    </w:p>
    <w:p w14:paraId="1ADC1F17" w14:textId="77777777" w:rsidR="00DF410E" w:rsidRDefault="00CE7F43">
      <w:r>
        <w:t> En vue du choix définitif des briques de parement, un ou plusieurs échantillons d'environ 1 m</w:t>
      </w:r>
      <w:r>
        <w:rPr>
          <w:vertAlign w:val="superscript"/>
        </w:rPr>
        <w:t>2</w:t>
      </w:r>
      <w:r>
        <w:t xml:space="preserve"> sont maçonnés à la demande de l'auteur de projet; les frais inhérents à la construction et à la démolition de ces murs sont à charge de l'entrepreneur.</w:t>
      </w:r>
    </w:p>
    <w:p w14:paraId="09A1641D" w14:textId="77777777" w:rsidR="00DF410E" w:rsidRDefault="00CE7F43">
      <w:r>
        <w:t xml:space="preserve">• Armatures horizontales : selon l'article </w:t>
      </w:r>
      <w:hyperlink w:anchor="355" w:history="1">
        <w:r>
          <w:t>21.41.1 Armatures horizontales pour maçonneries</w:t>
        </w:r>
      </w:hyperlink>
      <w:r>
        <w:t>. </w:t>
      </w:r>
    </w:p>
    <w:p w14:paraId="0F8A6D34" w14:textId="77777777" w:rsidR="00DF410E" w:rsidRDefault="00CE7F43">
      <w:r>
        <w:t xml:space="preserve">• Ancrages : selon l'article </w:t>
      </w:r>
      <w:hyperlink w:anchor="362" w:history="1">
        <w:r>
          <w:t>21.42 Ancrages et fixations de maçonneries</w:t>
        </w:r>
      </w:hyperlink>
    </w:p>
    <w:p w14:paraId="4C8C0E00" w14:textId="77777777" w:rsidR="00DF410E" w:rsidRDefault="00CE7F43">
      <w:r>
        <w:t xml:space="preserve">Briques spéciales : </w:t>
      </w:r>
      <w:r>
        <w:rPr>
          <w:rStyle w:val="optioncarChar"/>
        </w:rPr>
        <w:t>***</w:t>
      </w:r>
    </w:p>
    <w:p w14:paraId="3401F2FD" w14:textId="77777777" w:rsidR="00DF410E" w:rsidRDefault="00CE7F43">
      <w:r>
        <w:t xml:space="preserve">Étanchéité : </w:t>
      </w:r>
      <w:r>
        <w:rPr>
          <w:rStyle w:val="optioncarChar"/>
        </w:rPr>
        <w:t>***</w:t>
      </w:r>
    </w:p>
    <w:p w14:paraId="49D39758" w14:textId="77777777" w:rsidR="00DF410E" w:rsidRDefault="00CE7F43">
      <w:r>
        <w:t xml:space="preserve">Joints de dilatation : </w:t>
      </w:r>
      <w:r>
        <w:rPr>
          <w:rStyle w:val="optioncarChar"/>
        </w:rPr>
        <w:t>***</w:t>
      </w:r>
    </w:p>
    <w:p w14:paraId="5561F717" w14:textId="77777777" w:rsidR="00DF410E" w:rsidRDefault="00CE7F43">
      <w:r>
        <w:t>Ce système est prévu pour des constructions de maisons unifamiliales, pour des constructions d’immeubles à appartements (5 niveaux maximum de murs porteurs) et pour des murs de remplissage entre poutres et colonnes</w:t>
      </w:r>
    </w:p>
    <w:p w14:paraId="2A510B51" w14:textId="77777777" w:rsidR="00DF410E" w:rsidRDefault="00CE7F43">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022BF3BA" w14:textId="77777777" w:rsidR="00DF410E" w:rsidRDefault="00CE7F43">
      <w:r>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29" w:history="1" w:docLocation="68">
        <w:r>
          <w:t>02.42.1 Critères d'acceptabilité</w:t>
        </w:r>
      </w:hyperlink>
    </w:p>
    <w:p w14:paraId="6B31DD1E" w14:textId="77777777" w:rsidR="00DF410E" w:rsidRDefault="00CE7F43">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72FCAABA" w14:textId="77777777" w:rsidR="00DF410E" w:rsidRDefault="00CE7F43">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12</w:t>
      </w:r>
      <w:r>
        <w:t xml:space="preserve"> (par défaut)</w:t>
      </w:r>
      <w:r>
        <w:rPr>
          <w:rStyle w:val="optioncarChar"/>
        </w:rPr>
        <w:t xml:space="preserve"> / *** </w:t>
      </w:r>
      <w:r>
        <w:t>mm et de composition moyenne :</w:t>
      </w:r>
    </w:p>
    <w:p w14:paraId="622EA8D0" w14:textId="77777777" w:rsidR="00DF410E" w:rsidRDefault="00CE7F43">
      <w:pPr>
        <w:pStyle w:val="Author-eListParagraph"/>
        <w:numPr>
          <w:ilvl w:val="0"/>
          <w:numId w:val="238"/>
        </w:numPr>
      </w:pPr>
      <w:r>
        <w:t>350 kg de ciment de la classe de résistance 52,5 N/mm2,</w:t>
      </w:r>
    </w:p>
    <w:p w14:paraId="330F2E85" w14:textId="77777777" w:rsidR="00DF410E" w:rsidRDefault="00CE7F43">
      <w:pPr>
        <w:pStyle w:val="Author-eListParagraph"/>
        <w:numPr>
          <w:ilvl w:val="0"/>
          <w:numId w:val="238"/>
        </w:numPr>
      </w:pPr>
      <w:r>
        <w:t>720 l à 780 l de gravier roulé 4/28,</w:t>
      </w:r>
    </w:p>
    <w:p w14:paraId="687880ED" w14:textId="77777777" w:rsidR="00DF410E" w:rsidRDefault="00CE7F43">
      <w:pPr>
        <w:pStyle w:val="Author-eListParagraph"/>
        <w:numPr>
          <w:ilvl w:val="0"/>
          <w:numId w:val="238"/>
        </w:numPr>
      </w:pPr>
      <w:r>
        <w:t>380 l à 450 l de sable pour béton et armés de barres verticales ou horizontales, le cas échéant justifiées par une note de calcul,</w:t>
      </w:r>
    </w:p>
    <w:p w14:paraId="71F6F16A" w14:textId="77777777" w:rsidR="00DF410E" w:rsidRDefault="00CE7F43">
      <w:pPr>
        <w:pStyle w:val="Author-eListParagraph"/>
        <w:numPr>
          <w:ilvl w:val="0"/>
          <w:numId w:val="238"/>
        </w:numPr>
      </w:pPr>
      <w:r>
        <w:t>170 l à 180 l d’eau.</w:t>
      </w:r>
    </w:p>
    <w:p w14:paraId="2998703C" w14:textId="77777777" w:rsidR="00DF410E" w:rsidRDefault="00CE7F43">
      <w:r>
        <w:t>Pour les contraintes horizontales particulières (par ex : force du vent) une note de calcul spécifique doit être établie.</w:t>
      </w:r>
    </w:p>
    <w:p w14:paraId="58168A08" w14:textId="77777777" w:rsidR="00DF410E" w:rsidRDefault="00CE7F43">
      <w:r>
        <w:t>Sauf indication contraire dans le cahier spécial des charges ou dans l'étude de stabilité, la répartition des charges des planchers, linteaux, poutres, etc. se fait au choix de l'entrepreneur, selon la méthode suivante :</w:t>
      </w:r>
    </w:p>
    <w:p w14:paraId="73BA45BF" w14:textId="77777777" w:rsidR="00DF410E" w:rsidRDefault="00CE7F43">
      <w:pPr>
        <w:pStyle w:val="Author-eListParagraph"/>
        <w:numPr>
          <w:ilvl w:val="0"/>
          <w:numId w:val="239"/>
        </w:numPr>
      </w:pPr>
      <w:r>
        <w:t>en remplissant les éléments creux de béton ou de mortier</w:t>
      </w:r>
    </w:p>
    <w:p w14:paraId="4C129F5B" w14:textId="77777777" w:rsidR="00DF410E" w:rsidRDefault="00CE7F43">
      <w:pPr>
        <w:pStyle w:val="Author-eListParagraph"/>
        <w:numPr>
          <w:ilvl w:val="0"/>
          <w:numId w:val="239"/>
        </w:numPr>
      </w:pPr>
      <w:r>
        <w:t>en utilisant des blocs pleins</w:t>
      </w:r>
    </w:p>
    <w:p w14:paraId="0178405A" w14:textId="77777777" w:rsidR="00DF410E" w:rsidRDefault="00CE7F43">
      <w:pPr>
        <w:pStyle w:val="Author-eListParagraph"/>
        <w:numPr>
          <w:ilvl w:val="0"/>
          <w:numId w:val="239"/>
        </w:numPr>
      </w:pPr>
      <w:r>
        <w:t>en prévoyant une poutre de ceinture</w:t>
      </w:r>
    </w:p>
    <w:p w14:paraId="7D496B72" w14:textId="77777777" w:rsidR="00DF410E" w:rsidRDefault="00CE7F43">
      <w:pPr>
        <w:pStyle w:val="Author-eListParagraph"/>
        <w:numPr>
          <w:ilvl w:val="0"/>
          <w:numId w:val="239"/>
        </w:numPr>
      </w:pPr>
      <w:r>
        <w:t>en prévoyant une semelle de renforcement</w:t>
      </w:r>
    </w:p>
    <w:p w14:paraId="04AC01CF" w14:textId="77777777" w:rsidR="00DF410E" w:rsidRDefault="00CE7F43">
      <w:pPr>
        <w:pStyle w:val="Author-eListParagraph"/>
        <w:numPr>
          <w:ilvl w:val="0"/>
          <w:numId w:val="239"/>
        </w:numPr>
      </w:pPr>
      <w:r>
        <w:t>en prévoyant des armatures</w:t>
      </w:r>
    </w:p>
    <w:p w14:paraId="55CE17EC" w14:textId="77777777" w:rsidR="00DF410E" w:rsidRDefault="00CE7F43">
      <w:r>
        <w:t>Ces blocs ne peuvent pas contenir d'inclusions de fer, ferrugineuses ou de chaux qui risqueraient de provoquer des dégâts en surface.</w:t>
      </w:r>
    </w:p>
    <w:p w14:paraId="5E789BA3" w14:textId="77777777" w:rsidR="00DF410E" w:rsidRDefault="00CE7F43">
      <w:pPr>
        <w:pStyle w:val="pheading"/>
      </w:pPr>
      <w:r>
        <w:t>MESURAGE</w:t>
      </w:r>
    </w:p>
    <w:p w14:paraId="53F7B36D" w14:textId="77777777" w:rsidR="00DF410E" w:rsidRDefault="00CE7F43">
      <w:pPr>
        <w:pStyle w:val="pheading"/>
      </w:pPr>
      <w:r>
        <w:t>- unité de mesure:</w:t>
      </w:r>
    </w:p>
    <w:p w14:paraId="60AB360F" w14:textId="77777777" w:rsidR="00DF410E" w:rsidRDefault="00CE7F43">
      <w:r>
        <w:rPr>
          <w:rStyle w:val="optioncarChar"/>
        </w:rPr>
        <w:t>m² </w:t>
      </w:r>
      <w:r>
        <w:rPr>
          <w:rStyle w:val="optioncarChar"/>
          <w:color w:val="000000"/>
        </w:rPr>
        <w:t>(par défaut)</w:t>
      </w:r>
      <w:r>
        <w:rPr>
          <w:rStyle w:val="optioncarChar"/>
        </w:rPr>
        <w:t> / m³</w:t>
      </w:r>
    </w:p>
    <w:p w14:paraId="2345D902" w14:textId="77777777" w:rsidR="00DF410E" w:rsidRDefault="00CE7F43">
      <w:pPr>
        <w:spacing w:after="0" w:line="0" w:lineRule="atLeast"/>
      </w:pPr>
      <w:r>
        <w:rPr>
          <w:b/>
          <w:color w:val="000000"/>
        </w:rPr>
        <w:t>(soit par défaut)</w:t>
      </w:r>
    </w:p>
    <w:p w14:paraId="49A2E95C" w14:textId="77777777" w:rsidR="00DF410E" w:rsidRDefault="00CE7F43">
      <w:pPr>
        <w:spacing w:after="0" w:line="0" w:lineRule="atLeast"/>
      </w:pPr>
      <w:r>
        <w:rPr>
          <w:rStyle w:val="soitChar"/>
        </w:rPr>
        <w:t>1. m²</w:t>
      </w:r>
    </w:p>
    <w:p w14:paraId="09DF3AC7" w14:textId="77777777" w:rsidR="00DF410E" w:rsidRDefault="00CE7F43">
      <w:pPr>
        <w:spacing w:after="0" w:line="0" w:lineRule="atLeast"/>
      </w:pPr>
      <w:r>
        <w:rPr>
          <w:b/>
          <w:color w:val="000000"/>
        </w:rPr>
        <w:t>(soit)</w:t>
      </w:r>
    </w:p>
    <w:p w14:paraId="53DE9B4A" w14:textId="77777777" w:rsidR="00DF410E" w:rsidRDefault="00CE7F43">
      <w:pPr>
        <w:spacing w:after="0" w:line="0" w:lineRule="atLeast"/>
      </w:pPr>
      <w:r>
        <w:rPr>
          <w:rStyle w:val="soitChar"/>
        </w:rPr>
        <w:t>2. m³</w:t>
      </w:r>
    </w:p>
    <w:p w14:paraId="1DF84C2A" w14:textId="77777777" w:rsidR="00DF410E" w:rsidRDefault="00CE7F43">
      <w:pPr>
        <w:pStyle w:val="pheading"/>
      </w:pPr>
      <w:r>
        <w:t>- code de mesurage:</w:t>
      </w:r>
    </w:p>
    <w:p w14:paraId="598E9869" w14:textId="77777777" w:rsidR="00DF410E" w:rsidRDefault="00CE7F43">
      <w:pPr>
        <w:spacing w:before="0" w:after="0"/>
      </w:pPr>
      <w:r>
        <w:t>Les maçonneries sont mesurées en fonction de leur forme géométrique.</w:t>
      </w:r>
    </w:p>
    <w:p w14:paraId="4E79D3FA"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32C603E0" w14:textId="77777777" w:rsidR="00DF410E" w:rsidRDefault="00CE7F43">
      <w:pPr>
        <w:spacing w:before="0" w:after="0"/>
      </w:pPr>
      <w:r>
        <w:t>La coulisse n'est jamais prise en compte.</w:t>
      </w:r>
    </w:p>
    <w:p w14:paraId="718F6AFC" w14:textId="77777777" w:rsidR="00DF410E" w:rsidRDefault="00CE7F43">
      <w:pPr>
        <w:spacing w:after="0" w:line="259" w:lineRule="auto"/>
      </w:pPr>
      <w:r>
        <w:rPr>
          <w:rStyle w:val="normalChar"/>
        </w:rPr>
        <w:t>Les accessoires (linteaux non décrits et non comptés dans un autre poste, attaches,…) sont compris dans le prix.</w:t>
      </w:r>
    </w:p>
    <w:p w14:paraId="260831BF" w14:textId="77777777" w:rsidR="00DF410E" w:rsidRDefault="00CE7F43">
      <w:pPr>
        <w:spacing w:after="0" w:line="259" w:lineRule="auto"/>
      </w:pPr>
      <w:r>
        <w:rPr>
          <w:rStyle w:val="normalChar"/>
        </w:rPr>
        <w:t>Sont entre-autres décrits et comptés dans un autre poste :</w:t>
      </w:r>
    </w:p>
    <w:p w14:paraId="23692AF4" w14:textId="77777777" w:rsidR="00DF410E" w:rsidRDefault="00CE7F43">
      <w:pPr>
        <w:pStyle w:val="Author-eListParagraph"/>
        <w:numPr>
          <w:ilvl w:val="0"/>
          <w:numId w:val="240"/>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14A19FD2" w14:textId="77777777" w:rsidR="00DF410E" w:rsidRDefault="00CE7F43">
      <w:pPr>
        <w:pStyle w:val="Author-eListParagraph"/>
        <w:numPr>
          <w:ilvl w:val="0"/>
          <w:numId w:val="240"/>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177CF237" w14:textId="77777777" w:rsidR="00DF410E" w:rsidRDefault="00CE7F43">
      <w:pPr>
        <w:pStyle w:val="Author-eListParagraph"/>
        <w:numPr>
          <w:ilvl w:val="0"/>
          <w:numId w:val="240"/>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2F64E0ED" w14:textId="77777777" w:rsidR="00DF410E" w:rsidRDefault="00DF410E"/>
    <w:p w14:paraId="4C15BFBC"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79696EC1" w14:textId="77777777" w:rsidR="00DF410E" w:rsidRDefault="00CE7F43">
      <w:pPr>
        <w:spacing w:after="0" w:line="252" w:lineRule="auto"/>
      </w:pPr>
      <w:r>
        <w:rPr>
          <w:b/>
          <w:color w:val="000000"/>
        </w:rPr>
        <w:t>(soit par défaut)</w:t>
      </w:r>
    </w:p>
    <w:p w14:paraId="5CCACBB0" w14:textId="77777777" w:rsidR="00DF410E" w:rsidRDefault="00CE7F43">
      <w:pPr>
        <w:spacing w:after="0" w:line="252" w:lineRule="auto"/>
      </w:pPr>
      <w:r>
        <w:rPr>
          <w:rStyle w:val="soitChar"/>
          <w:u w:val="single"/>
        </w:rPr>
        <w:t>Surface nette </w:t>
      </w:r>
      <w:r>
        <w:rPr>
          <w:rStyle w:val="soitChar"/>
        </w:rPr>
        <w:t>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AF4F63A" w14:textId="77777777" w:rsidR="00DF410E" w:rsidRDefault="00CE7F43">
      <w:pPr>
        <w:spacing w:after="0" w:line="252" w:lineRule="auto"/>
      </w:pPr>
      <w:r>
        <w:rPr>
          <w:rStyle w:val="soitChar"/>
        </w:rPr>
        <w:t>Distinction faite suivant l'épaisseur.</w:t>
      </w:r>
    </w:p>
    <w:p w14:paraId="5297005C" w14:textId="77777777" w:rsidR="00DF410E" w:rsidRDefault="00CE7F43">
      <w:pPr>
        <w:spacing w:line="252" w:lineRule="auto"/>
      </w:pPr>
      <w:r>
        <w:rPr>
          <w:b/>
          <w:color w:val="000000"/>
        </w:rPr>
        <w:t>(soit)</w:t>
      </w:r>
    </w:p>
    <w:p w14:paraId="05F5BBD7"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F33E898"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456EDF9E" w14:textId="77777777" w:rsidR="00DF410E" w:rsidRDefault="00CE7F43">
      <w:pPr>
        <w:pStyle w:val="pheading"/>
      </w:pPr>
      <w:r>
        <w:t>- nature du marché:</w:t>
      </w:r>
    </w:p>
    <w:p w14:paraId="4985866A" w14:textId="77777777" w:rsidR="00DF410E" w:rsidRDefault="00CE7F43">
      <w:r>
        <w:t>QF</w:t>
      </w:r>
    </w:p>
    <w:p w14:paraId="22827E6E" w14:textId="77777777" w:rsidR="00DF410E" w:rsidRDefault="00CE7F43">
      <w:pPr>
        <w:pStyle w:val="Author-eSectionHeading6"/>
      </w:pPr>
      <w:bookmarkStart w:id="244" w:name="_Toc178837476"/>
      <w:r>
        <w:t>21.31.2d Maçonneries de parement en briques de béton clivé à maçonner CCTB 01.11</w:t>
      </w:r>
      <w:bookmarkEnd w:id="244"/>
    </w:p>
    <w:p w14:paraId="03390759" w14:textId="77777777" w:rsidR="00DF410E" w:rsidRDefault="00CE7F43">
      <w:pPr>
        <w:pStyle w:val="pheading"/>
      </w:pPr>
      <w:r>
        <w:t>DESCRIPTION</w:t>
      </w:r>
    </w:p>
    <w:p w14:paraId="3DDB9C73" w14:textId="77777777" w:rsidR="00DF410E" w:rsidRDefault="00CE7F43">
      <w:pPr>
        <w:pStyle w:val="pheading"/>
      </w:pPr>
      <w:r>
        <w:t>- Définition / Comprend</w:t>
      </w:r>
    </w:p>
    <w:p w14:paraId="2D0DCDAF" w14:textId="77777777" w:rsidR="00DF410E" w:rsidRDefault="00CE7F43">
      <w:r>
        <w:t>Il s’agit de la fourniture et la pose de maçonneries de parement en briques de béton clivé.</w:t>
      </w:r>
    </w:p>
    <w:p w14:paraId="05987E41" w14:textId="77777777" w:rsidR="00DF410E" w:rsidRDefault="00CE7F43">
      <w:r>
        <w:t xml:space="preserve">La portée des travaux est décrite dans l’article </w:t>
      </w:r>
      <w:hyperlink w:anchor="379" w:history="1">
        <w:r>
          <w:t>21.3 Maçonneries de parement</w:t>
        </w:r>
      </w:hyperlink>
      <w:r>
        <w:t>.</w:t>
      </w:r>
    </w:p>
    <w:p w14:paraId="4630489F" w14:textId="77777777" w:rsidR="00DF410E" w:rsidRDefault="00CE7F43">
      <w:pPr>
        <w:pStyle w:val="pheading"/>
      </w:pPr>
      <w:r>
        <w:t>- Localisation</w:t>
      </w:r>
    </w:p>
    <w:p w14:paraId="455EE0C4" w14:textId="77777777" w:rsidR="00DF410E" w:rsidRDefault="00CE7F43">
      <w:r>
        <w:t xml:space="preserve">La pose est réalisée aux endroits suivants : </w:t>
      </w:r>
      <w:r>
        <w:rPr>
          <w:rStyle w:val="optioncarChar"/>
        </w:rPr>
        <w:t>***</w:t>
      </w:r>
      <w:r>
        <w:t>.</w:t>
      </w:r>
      <w:r>
        <w:br/>
        <w:t>Voir plans et métrés détaillés.</w:t>
      </w:r>
    </w:p>
    <w:p w14:paraId="63E19359" w14:textId="77777777" w:rsidR="00DF410E" w:rsidRDefault="00CE7F43">
      <w:pPr>
        <w:pStyle w:val="pheading"/>
      </w:pPr>
      <w:r>
        <w:t>MATÉRIAUX</w:t>
      </w:r>
    </w:p>
    <w:p w14:paraId="5FDE967F" w14:textId="77777777" w:rsidR="00DF410E" w:rsidRDefault="00CE7F43">
      <w:pPr>
        <w:pStyle w:val="pheading"/>
      </w:pPr>
      <w:r>
        <w:t>- Caractéristiques générales</w:t>
      </w:r>
    </w:p>
    <w:p w14:paraId="794065D1" w14:textId="77777777" w:rsidR="00DF410E" w:rsidRDefault="00CE7F43">
      <w:r>
        <w:rPr>
          <w:rStyle w:val="headingChar"/>
        </w:rPr>
        <w:t>Brique</w:t>
      </w:r>
    </w:p>
    <w:p w14:paraId="368F0168" w14:textId="77777777" w:rsidR="00DF410E" w:rsidRDefault="00CE7F43">
      <w:r>
        <w:rPr>
          <w:color w:val="000000"/>
        </w:rPr>
        <w:t>En ce qui concerne la déclaration de la résistance à la compression, les briques sont de catégorie I (la résistance à la compression est déclarée avec une fiabilité de 95%).</w:t>
      </w:r>
    </w:p>
    <w:p w14:paraId="2735BDA3" w14:textId="77777777" w:rsidR="00DF410E" w:rsidRDefault="00CE7F43">
      <w:pPr>
        <w:spacing w:after="0" w:line="0" w:lineRule="atLeast"/>
      </w:pPr>
      <w:r>
        <w:rPr>
          <w:rStyle w:val="normalChar"/>
          <w:color w:val="000000"/>
        </w:rPr>
        <w:t xml:space="preserve">La classe de qualité suivant [PTV 21-001] est </w:t>
      </w:r>
      <w:r>
        <w:rPr>
          <w:rStyle w:val="optioncarChar"/>
          <w:color w:val="000000"/>
        </w:rPr>
        <w:t>2/0,8 / 3/1,0 / 4/1,2 / 5/1,4 / 6/1,6 / 8/1,9 / 10/2,2 (par défaut) / 15/2,2 + / ***</w:t>
      </w:r>
    </w:p>
    <w:p w14:paraId="53B8DB4C" w14:textId="77777777" w:rsidR="00DF410E" w:rsidRDefault="00CE7F43">
      <w:pPr>
        <w:spacing w:after="0" w:line="0" w:lineRule="atLeast"/>
      </w:pPr>
      <w:r>
        <w:rPr>
          <w:rStyle w:val="normalChar"/>
          <w:color w:val="000000"/>
        </w:rPr>
        <w:t xml:space="preserve">Le groupe de configuration suivant [PTV 21-001] est: </w:t>
      </w:r>
      <w:r>
        <w:rPr>
          <w:rStyle w:val="optioncarChar"/>
          <w:color w:val="000000"/>
        </w:rPr>
        <w:t xml:space="preserve">1 / 2 / 3 / 4 </w:t>
      </w:r>
    </w:p>
    <w:p w14:paraId="75C1DE94" w14:textId="77777777" w:rsidR="00DF410E" w:rsidRDefault="00CE7F43">
      <w:pPr>
        <w:spacing w:after="0" w:line="0" w:lineRule="atLeast"/>
      </w:pPr>
      <w:r>
        <w:rPr>
          <w:rStyle w:val="normalChar"/>
          <w:color w:val="000000"/>
        </w:rPr>
        <w:t xml:space="preserve">Le code d’identification du type de brique de maçonnerie suivant [PTV 21-001] est </w:t>
      </w:r>
      <w:r>
        <w:rPr>
          <w:rStyle w:val="optioncarChar"/>
          <w:color w:val="000000"/>
        </w:rPr>
        <w:t>A1 / A2 / B1 / B2</w:t>
      </w:r>
    </w:p>
    <w:p w14:paraId="2984CA27" w14:textId="77777777" w:rsidR="00DF410E" w:rsidRDefault="00CE7F43">
      <w:pPr>
        <w:spacing w:after="0" w:line="0" w:lineRule="atLeast"/>
      </w:pPr>
      <w:r>
        <w:rPr>
          <w:rStyle w:val="normalChar"/>
          <w:color w:val="000000"/>
        </w:rPr>
        <w:t xml:space="preserve">La conductibilité thermique λD est compatible avec la valeur U prescrite pour la paroi. </w:t>
      </w:r>
    </w:p>
    <w:p w14:paraId="664C13B5" w14:textId="77777777" w:rsidR="00DF410E" w:rsidRDefault="00CE7F43">
      <w:pPr>
        <w:spacing w:after="0" w:line="0" w:lineRule="atLeast"/>
      </w:pPr>
      <w:r>
        <w:rPr>
          <w:rStyle w:val="normalChar"/>
          <w:color w:val="000000"/>
        </w:rPr>
        <w:t xml:space="preserve">Boutisse : </w:t>
      </w:r>
      <w:r>
        <w:t>plate</w:t>
      </w:r>
    </w:p>
    <w:p w14:paraId="0F9CE2EB" w14:textId="77777777" w:rsidR="00DF410E" w:rsidRDefault="00CE7F43">
      <w:pPr>
        <w:spacing w:after="0" w:line="0" w:lineRule="atLeast"/>
      </w:pPr>
      <w:r>
        <w:rPr>
          <w:rStyle w:val="normalChar"/>
          <w:color w:val="000000"/>
        </w:rPr>
        <w:t xml:space="preserve">Face qui reste visible : </w:t>
      </w:r>
      <w:r>
        <w:t>clivé </w:t>
      </w:r>
    </w:p>
    <w:p w14:paraId="10BA14E2" w14:textId="77777777" w:rsidR="00DF410E" w:rsidRDefault="00CE7F43">
      <w:pPr>
        <w:spacing w:after="0" w:line="0" w:lineRule="atLeast"/>
      </w:pPr>
      <w:r>
        <w:rPr>
          <w:rStyle w:val="normalChar"/>
          <w:color w:val="000000"/>
        </w:rPr>
        <w:t xml:space="preserve">Teinte : </w:t>
      </w:r>
      <w:r>
        <w:rPr>
          <w:rStyle w:val="optioncarChar"/>
          <w:color w:val="000000"/>
        </w:rPr>
        <w:t xml:space="preserve">gris </w:t>
      </w:r>
      <w:r>
        <w:t>(par défaut) </w:t>
      </w:r>
      <w:r>
        <w:rPr>
          <w:rStyle w:val="optioncarChar"/>
          <w:color w:val="000000"/>
        </w:rPr>
        <w:t>/ blanc / noir / ***</w:t>
      </w:r>
    </w:p>
    <w:p w14:paraId="4DBFEED4" w14:textId="77777777" w:rsidR="00DF410E" w:rsidRDefault="00CE7F43">
      <w:pPr>
        <w:spacing w:after="0" w:line="0" w:lineRule="atLeast"/>
      </w:pPr>
      <w:r>
        <w:rPr>
          <w:rStyle w:val="normalChar"/>
          <w:color w:val="000000"/>
        </w:rPr>
        <w:t xml:space="preserve">Format (Lxlxh) mm : </w:t>
      </w:r>
      <w:r>
        <w:rPr>
          <w:rStyle w:val="optioncarChar"/>
          <w:color w:val="000000"/>
        </w:rPr>
        <w:t>190 x 90 x 65 / 190 x 90 x 90 / 290 X 90 x 90 / format modulaire proposé par l'entrepreneur</w:t>
      </w:r>
      <w:r>
        <w:rPr>
          <w:rStyle w:val="normalChar"/>
          <w:color w:val="000000"/>
        </w:rPr>
        <w:t> (par défaut)</w:t>
      </w:r>
      <w:r>
        <w:rPr>
          <w:rStyle w:val="optioncarChar"/>
          <w:color w:val="000000"/>
        </w:rPr>
        <w:t xml:space="preserve"> / ***</w:t>
      </w:r>
      <w:r>
        <w:rPr>
          <w:rStyle w:val="normalChar"/>
          <w:color w:val="000000"/>
        </w:rPr>
        <w:t xml:space="preserve"> mm</w:t>
      </w:r>
    </w:p>
    <w:p w14:paraId="573A14DB" w14:textId="77777777" w:rsidR="00DF410E" w:rsidRDefault="00CE7F43">
      <w:pPr>
        <w:spacing w:after="0" w:line="0" w:lineRule="atLeast"/>
      </w:pPr>
      <w:r>
        <w:rPr>
          <w:rStyle w:val="normalChar"/>
          <w:color w:val="000000"/>
        </w:rPr>
        <w:t xml:space="preserve">Réaction au feu : </w:t>
      </w:r>
      <w:r>
        <w:rPr>
          <w:rStyle w:val="optioncarChar"/>
          <w:color w:val="000000"/>
        </w:rPr>
        <w:t>A1 </w:t>
      </w:r>
      <w:r>
        <w:t>(par défaut)</w:t>
      </w:r>
      <w:r>
        <w:rPr>
          <w:rStyle w:val="optioncarChar"/>
          <w:color w:val="000000"/>
        </w:rPr>
        <w:t xml:space="preserve"> / ***</w:t>
      </w:r>
    </w:p>
    <w:p w14:paraId="6A3EE73A" w14:textId="77777777" w:rsidR="00DF410E" w:rsidRDefault="00CE7F43">
      <w:pPr>
        <w:spacing w:after="0" w:line="0" w:lineRule="atLeast"/>
      </w:pPr>
      <w:r>
        <w:rPr>
          <w:rStyle w:val="headingChar"/>
          <w:color w:val="000000"/>
        </w:rPr>
        <w:t>Mortier</w:t>
      </w:r>
    </w:p>
    <w:p w14:paraId="0A399BD4" w14:textId="77777777" w:rsidR="00DF410E" w:rsidRDefault="00CE7F43">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w:t>
      </w:r>
      <w:r>
        <w:t>(par défaut)</w:t>
      </w:r>
      <w:r>
        <w:rPr>
          <w:rStyle w:val="optioncarChar"/>
          <w:color w:val="000000"/>
        </w:rPr>
        <w:t xml:space="preserve"> / 12 / ***</w:t>
      </w:r>
      <w:r>
        <w:rPr>
          <w:rStyle w:val="normalChar"/>
          <w:color w:val="000000"/>
        </w:rPr>
        <w:t xml:space="preserve"> mm</w:t>
      </w:r>
      <w:r>
        <w:rPr>
          <w:rStyle w:val="normalChar"/>
          <w:strike/>
          <w:color w:val="000000"/>
        </w:rPr>
        <w:t>.</w:t>
      </w:r>
    </w:p>
    <w:p w14:paraId="5F1BBBE0" w14:textId="77777777" w:rsidR="00DF410E" w:rsidRDefault="00CE7F43">
      <w:pPr>
        <w:spacing w:line="259" w:lineRule="auto"/>
      </w:pPr>
      <w:r>
        <w:rPr>
          <w:rStyle w:val="normalCha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4603727E" w14:textId="77777777" w:rsidR="00DF410E" w:rsidRDefault="00CE7F43">
      <w:pPr>
        <w:spacing w:line="259" w:lineRule="auto"/>
      </w:pPr>
      <w:r>
        <w:rPr>
          <w:rStyle w:val="normalChar"/>
          <w:color w:val="000000"/>
        </w:rPr>
        <w:t xml:space="preserve">Adhérence en cisaillement : </w:t>
      </w:r>
      <w:r>
        <w:rPr>
          <w:rStyle w:val="optioncarChar"/>
          <w:color w:val="000000"/>
        </w:rPr>
        <w:t xml:space="preserve">≥ 0,10 N/mm² / ≥ 0,15 N/mm² (par défaut) / non spécifié / *** </w:t>
      </w:r>
    </w:p>
    <w:p w14:paraId="0D4C17C1" w14:textId="77777777" w:rsidR="00DF410E" w:rsidRDefault="00CE7F43">
      <w:pPr>
        <w:spacing w:line="259" w:lineRule="auto"/>
      </w:pPr>
      <w:r>
        <w:rPr>
          <w:rStyle w:val="normalChar"/>
          <w:color w:val="000000"/>
        </w:rPr>
        <w:t xml:space="preserve">Résistance au gel : </w:t>
      </w:r>
      <w:r>
        <w:rPr>
          <w:rStyle w:val="optioncarChar"/>
          <w:color w:val="000000"/>
        </w:rPr>
        <w:t>oui</w:t>
      </w:r>
    </w:p>
    <w:p w14:paraId="3B3801A2" w14:textId="77777777" w:rsidR="00DF410E" w:rsidRDefault="00DF410E"/>
    <w:p w14:paraId="6EA3785E" w14:textId="77777777" w:rsidR="00DF410E" w:rsidRDefault="00CE7F43">
      <w:pPr>
        <w:spacing w:line="259" w:lineRule="auto"/>
      </w:pPr>
      <w:r>
        <w:rPr>
          <w:rStyle w:val="headingChar"/>
          <w:color w:val="000000"/>
        </w:rPr>
        <w:t>Critères de performances du parement</w:t>
      </w:r>
    </w:p>
    <w:p w14:paraId="104DAA28" w14:textId="77777777" w:rsidR="00DF410E" w:rsidRDefault="00CE7F43">
      <w:pPr>
        <w:spacing w:line="259" w:lineRule="auto"/>
      </w:pPr>
      <w:r>
        <w:t>V</w:t>
      </w:r>
      <w:r>
        <w:rPr>
          <w:rStyle w:val="normalChar"/>
          <w:color w:val="000000"/>
        </w:rPr>
        <w:t xml:space="preserve">aleur λUi ou λUe maximum </w:t>
      </w:r>
      <w:r>
        <w:rPr>
          <w:rStyle w:val="optioncarChar"/>
          <w:color w:val="000000"/>
        </w:rPr>
        <w:t>***</w:t>
      </w:r>
      <w:r>
        <w:rPr>
          <w:rStyle w:val="normalChar"/>
          <w:color w:val="000000"/>
        </w:rPr>
        <w:t xml:space="preserve"> W/mK (suivant l’application).</w:t>
      </w:r>
    </w:p>
    <w:p w14:paraId="0E858BB0" w14:textId="77777777" w:rsidR="00DF410E" w:rsidRDefault="00CE7F43">
      <w:pPr>
        <w:pStyle w:val="pheading"/>
      </w:pPr>
      <w:r>
        <w:t>- Finitions</w:t>
      </w:r>
    </w:p>
    <w:p w14:paraId="344C9988"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9AAD1E4"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9430FB7"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0CBEAAF0"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09B0694C"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4FC42D40" w14:textId="77777777" w:rsidR="00DF410E" w:rsidRDefault="00DF410E"/>
    <w:p w14:paraId="3408C346" w14:textId="77777777" w:rsidR="00DF410E" w:rsidRDefault="00CE7F43">
      <w:pPr>
        <w:pStyle w:val="pheading"/>
      </w:pPr>
      <w:r>
        <w:t>EXÉCUTION / MISE EN ŒUVRE</w:t>
      </w:r>
    </w:p>
    <w:p w14:paraId="4F3811CC" w14:textId="77777777" w:rsidR="00DF410E" w:rsidRDefault="00CE7F43">
      <w:pPr>
        <w:pStyle w:val="pheading"/>
      </w:pPr>
      <w:r>
        <w:t>- Prescriptions générales</w:t>
      </w:r>
    </w:p>
    <w:p w14:paraId="350F8FE2" w14:textId="77777777" w:rsidR="00DF410E" w:rsidRDefault="00CE7F43">
      <w:pPr>
        <w:spacing w:line="259" w:lineRule="auto"/>
      </w:pPr>
      <w:r>
        <w:t>La maçonnerie est exécutée en appareil</w:t>
      </w:r>
      <w:r>
        <w:rPr>
          <w:rStyle w:val="optioncarChar"/>
        </w:rPr>
        <w:t xml:space="preserve"> d'</w:t>
      </w:r>
      <w:r>
        <w:rPr>
          <w:rStyle w:val="normalChar"/>
          <w:color w:val="FF0000"/>
        </w:rPr>
        <w:t xml:space="preserve">une demi-brique </w:t>
      </w:r>
      <w:r>
        <w:t>(par défaut) </w:t>
      </w:r>
      <w:r>
        <w:rPr>
          <w:rStyle w:val="normalChar"/>
          <w:color w:val="FF0000"/>
        </w:rPr>
        <w:t>/ ***</w:t>
      </w:r>
    </w:p>
    <w:p w14:paraId="310FA399"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4003FDE6" w14:textId="77777777" w:rsidR="00DF410E" w:rsidRDefault="00DF410E"/>
    <w:p w14:paraId="743027CF" w14:textId="77777777" w:rsidR="00DF410E" w:rsidRDefault="00CE7F43">
      <w:pPr>
        <w:spacing w:line="259" w:lineRule="auto"/>
      </w:pPr>
      <w:r>
        <w:rPr>
          <w:rStyle w:val="normalChar"/>
          <w:b/>
          <w:color w:val="000000"/>
        </w:rPr>
        <w:t>LINTEAUX</w:t>
      </w:r>
    </w:p>
    <w:p w14:paraId="7674266F" w14:textId="77777777" w:rsidR="00DF410E" w:rsidRDefault="00CE7F43">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60F36270" w14:textId="77777777" w:rsidR="00DF410E" w:rsidRDefault="00CE7F43">
      <w:r>
        <w:rPr>
          <w:b/>
        </w:rPr>
        <w:t>(soit par défaut)</w:t>
      </w:r>
    </w:p>
    <w:p w14:paraId="7414551A" w14:textId="77777777" w:rsidR="00DF410E" w:rsidRDefault="00CE7F43">
      <w:r>
        <w:rPr>
          <w:rStyle w:val="soitChar"/>
          <w:u w:val="single"/>
        </w:rPr>
        <w:t>D'une armature et de crochets de mur</w:t>
      </w:r>
      <w:r>
        <w:rPr>
          <w:rStyle w:val="soitChar"/>
        </w:rPr>
        <w:t>  :</w:t>
      </w:r>
    </w:p>
    <w:p w14:paraId="4B11AE4C"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00586A29" w14:textId="77777777" w:rsidR="00DF410E" w:rsidRDefault="00CE7F43">
      <w:r>
        <w:rPr>
          <w:b/>
        </w:rPr>
        <w:t>(soit)</w:t>
      </w:r>
    </w:p>
    <w:p w14:paraId="5AED647C"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6034CEB9" w14:textId="77777777" w:rsidR="00DF410E" w:rsidRDefault="00CE7F43">
      <w:r>
        <w:rPr>
          <w:b/>
        </w:rPr>
        <w:t>(soit)</w:t>
      </w:r>
    </w:p>
    <w:p w14:paraId="64EB8A16"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3B1D6A00" w14:textId="77777777" w:rsidR="00DF410E" w:rsidRDefault="00CE7F43">
      <w:r>
        <w:rPr>
          <w:b/>
        </w:rPr>
        <w:t>(soit)</w:t>
      </w:r>
    </w:p>
    <w:p w14:paraId="72784D13"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0C31D242" w14:textId="77777777" w:rsidR="00DF410E" w:rsidRDefault="00CE7F43">
      <w:r>
        <w:rPr>
          <w:b/>
        </w:rPr>
        <w:t>(soit)</w:t>
      </w:r>
    </w:p>
    <w:p w14:paraId="6E5BE74B" w14:textId="77777777" w:rsidR="00DF410E" w:rsidRDefault="00CE7F43">
      <w:r>
        <w:rPr>
          <w:rStyle w:val="optioncarChar"/>
        </w:rPr>
        <w:t> ***</w:t>
      </w:r>
    </w:p>
    <w:p w14:paraId="56C526B9" w14:textId="77777777" w:rsidR="00DF410E" w:rsidRDefault="00DF410E"/>
    <w:p w14:paraId="646B786C" w14:textId="77777777" w:rsidR="00DF410E" w:rsidRDefault="00CE7F43">
      <w:r>
        <w:t> </w:t>
      </w:r>
    </w:p>
    <w:p w14:paraId="09F7B2AF" w14:textId="77777777" w:rsidR="00DF410E" w:rsidRDefault="00CE7F43">
      <w:pPr>
        <w:pStyle w:val="pheading"/>
      </w:pPr>
      <w:r>
        <w:t>- Notes d’exécution complémentaires</w:t>
      </w:r>
    </w:p>
    <w:p w14:paraId="7E8EA92E" w14:textId="77777777" w:rsidR="00DF410E" w:rsidRDefault="00CE7F43">
      <w:r>
        <w:t>En vue du choix définitif des briques de parement, un ou plusieurs échantillons d'environ 1 m2 sont maçonnés à la demande de l'auteur de projet; les frais inhérents à la construction et à la démolition de ces murs sont à charge de l'entrepreneur.</w:t>
      </w:r>
    </w:p>
    <w:p w14:paraId="41FD4019" w14:textId="77777777" w:rsidR="00DF410E" w:rsidRDefault="00CE7F43">
      <w:r>
        <w:t xml:space="preserve">• Armatures horizontales : selon l'article </w:t>
      </w:r>
      <w:hyperlink w:anchor="355" w:history="1">
        <w:r>
          <w:t>21.41.1 Armatures horizontales pour maçonneries</w:t>
        </w:r>
      </w:hyperlink>
      <w:r>
        <w:t>. </w:t>
      </w:r>
    </w:p>
    <w:p w14:paraId="2B90D89F" w14:textId="77777777" w:rsidR="00DF410E" w:rsidRDefault="00CE7F43">
      <w:r>
        <w:t xml:space="preserve">• Ancrages : selon l'article </w:t>
      </w:r>
      <w:hyperlink w:anchor="362" w:history="1">
        <w:r>
          <w:t>21.42 Ancrages et fixations de maçonneries</w:t>
        </w:r>
      </w:hyperlink>
    </w:p>
    <w:p w14:paraId="6ED327EC" w14:textId="77777777" w:rsidR="00DF410E" w:rsidRDefault="00CE7F43">
      <w:r>
        <w:t xml:space="preserve">Briques spéciales : </w:t>
      </w:r>
      <w:r>
        <w:rPr>
          <w:rStyle w:val="optioncarChar"/>
        </w:rPr>
        <w:t>***</w:t>
      </w:r>
    </w:p>
    <w:p w14:paraId="35AF729C" w14:textId="77777777" w:rsidR="00DF410E" w:rsidRDefault="00CE7F43">
      <w:r>
        <w:t xml:space="preserve">Étanchéité : </w:t>
      </w:r>
      <w:r>
        <w:rPr>
          <w:rStyle w:val="optioncarChar"/>
        </w:rPr>
        <w:t>***</w:t>
      </w:r>
    </w:p>
    <w:p w14:paraId="26CC977A" w14:textId="77777777" w:rsidR="00DF410E" w:rsidRDefault="00CE7F43">
      <w:r>
        <w:t xml:space="preserve">Joints de dilatation : </w:t>
      </w:r>
      <w:r>
        <w:rPr>
          <w:rStyle w:val="optioncarChar"/>
        </w:rPr>
        <w:t>***</w:t>
      </w:r>
    </w:p>
    <w:p w14:paraId="11DBDDC4" w14:textId="77777777" w:rsidR="00DF410E" w:rsidRDefault="00CE7F43">
      <w:pPr>
        <w:pStyle w:val="pheading"/>
      </w:pPr>
      <w:r>
        <w:t>MESURAGE</w:t>
      </w:r>
    </w:p>
    <w:p w14:paraId="3AD775C1" w14:textId="77777777" w:rsidR="00DF410E" w:rsidRDefault="00CE7F43">
      <w:pPr>
        <w:pStyle w:val="pheading"/>
      </w:pPr>
      <w:r>
        <w:t>- unité de mesure:</w:t>
      </w:r>
    </w:p>
    <w:p w14:paraId="76CD46E0" w14:textId="77777777" w:rsidR="00DF410E" w:rsidRDefault="00CE7F43">
      <w:r>
        <w:rPr>
          <w:rStyle w:val="optioncarChar"/>
        </w:rPr>
        <w:t>m² </w:t>
      </w:r>
      <w:r>
        <w:rPr>
          <w:rStyle w:val="optioncarChar"/>
          <w:color w:val="000000"/>
        </w:rPr>
        <w:t>(par défaut)</w:t>
      </w:r>
      <w:r>
        <w:rPr>
          <w:rStyle w:val="optioncarChar"/>
        </w:rPr>
        <w:t> / m³</w:t>
      </w:r>
    </w:p>
    <w:p w14:paraId="3C24F071" w14:textId="77777777" w:rsidR="00DF410E" w:rsidRDefault="00CE7F43">
      <w:pPr>
        <w:spacing w:after="0" w:line="0" w:lineRule="atLeast"/>
      </w:pPr>
      <w:r>
        <w:rPr>
          <w:b/>
          <w:color w:val="000000"/>
        </w:rPr>
        <w:t>(soit par défaut)</w:t>
      </w:r>
    </w:p>
    <w:p w14:paraId="7028FCA2" w14:textId="77777777" w:rsidR="00DF410E" w:rsidRDefault="00CE7F43">
      <w:pPr>
        <w:spacing w:after="0" w:line="0" w:lineRule="atLeast"/>
      </w:pPr>
      <w:r>
        <w:rPr>
          <w:rStyle w:val="soitChar"/>
        </w:rPr>
        <w:t>1. m²</w:t>
      </w:r>
    </w:p>
    <w:p w14:paraId="6F70CE08" w14:textId="77777777" w:rsidR="00DF410E" w:rsidRDefault="00CE7F43">
      <w:pPr>
        <w:spacing w:after="0" w:line="0" w:lineRule="atLeast"/>
      </w:pPr>
      <w:r>
        <w:rPr>
          <w:b/>
          <w:color w:val="000000"/>
        </w:rPr>
        <w:t>(soit)</w:t>
      </w:r>
    </w:p>
    <w:p w14:paraId="559CFA6C" w14:textId="77777777" w:rsidR="00DF410E" w:rsidRDefault="00CE7F43">
      <w:pPr>
        <w:spacing w:after="0" w:line="0" w:lineRule="atLeast"/>
      </w:pPr>
      <w:r>
        <w:rPr>
          <w:rStyle w:val="soitChar"/>
        </w:rPr>
        <w:t>2. m³</w:t>
      </w:r>
    </w:p>
    <w:p w14:paraId="023FE245" w14:textId="77777777" w:rsidR="00DF410E" w:rsidRDefault="00CE7F43">
      <w:pPr>
        <w:pStyle w:val="pheading"/>
      </w:pPr>
      <w:r>
        <w:t>- code de mesurage:</w:t>
      </w:r>
    </w:p>
    <w:p w14:paraId="67D82D28" w14:textId="77777777" w:rsidR="00DF410E" w:rsidRDefault="00CE7F43">
      <w:pPr>
        <w:spacing w:before="0" w:after="0"/>
        <w:ind w:left="454"/>
      </w:pPr>
      <w:r>
        <w:t>Les maçonneries sont mesurées en fonction de leur forme géométrique.</w:t>
      </w:r>
    </w:p>
    <w:p w14:paraId="6B494B4C" w14:textId="77777777" w:rsidR="00DF410E" w:rsidRDefault="00CE7F43">
      <w:pPr>
        <w:spacing w:before="0" w:after="0"/>
        <w:ind w:left="454"/>
      </w:pPr>
      <w:r>
        <w:t>Les ébrasements des ouvertures et des baies de fenêtres ainsi que la face inférieure des linteaux ne sont comptés (en surface nette) que lorsque leur largeur est supérieure à celle des briques de façade.</w:t>
      </w:r>
    </w:p>
    <w:p w14:paraId="75DA8570" w14:textId="77777777" w:rsidR="00DF410E" w:rsidRDefault="00CE7F43">
      <w:pPr>
        <w:spacing w:before="0" w:after="0"/>
        <w:ind w:left="460"/>
      </w:pPr>
      <w:r>
        <w:t>La coulisse n'est jamais prise en compte.</w:t>
      </w:r>
    </w:p>
    <w:p w14:paraId="5B3E0A01" w14:textId="77777777" w:rsidR="00DF410E" w:rsidRDefault="00CE7F43">
      <w:pPr>
        <w:spacing w:after="0" w:line="259" w:lineRule="auto"/>
        <w:ind w:left="460"/>
      </w:pPr>
      <w:r>
        <w:rPr>
          <w:rStyle w:val="normalChar"/>
        </w:rPr>
        <w:t>Les accessoires (linteaux non décrits et non comptés dans un autre poste, attaches,…) sont compris dans le prix.</w:t>
      </w:r>
    </w:p>
    <w:p w14:paraId="7612ACFD" w14:textId="77777777" w:rsidR="00DF410E" w:rsidRDefault="00CE7F43">
      <w:pPr>
        <w:spacing w:after="0" w:line="259" w:lineRule="auto"/>
        <w:ind w:left="460"/>
      </w:pPr>
      <w:r>
        <w:rPr>
          <w:rStyle w:val="normalChar"/>
        </w:rPr>
        <w:t>Sont entre-autres décrits et comptés dans un autre poste :</w:t>
      </w:r>
    </w:p>
    <w:p w14:paraId="458363F1" w14:textId="77777777" w:rsidR="00DF410E" w:rsidRDefault="00CE7F43">
      <w:pPr>
        <w:pStyle w:val="Author-eListParagraph"/>
        <w:numPr>
          <w:ilvl w:val="0"/>
          <w:numId w:val="241"/>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5C9DDC1B" w14:textId="77777777" w:rsidR="00DF410E" w:rsidRDefault="00CE7F43">
      <w:pPr>
        <w:pStyle w:val="Author-eListParagraph"/>
        <w:numPr>
          <w:ilvl w:val="0"/>
          <w:numId w:val="241"/>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2F11E38F" w14:textId="77777777" w:rsidR="00DF410E" w:rsidRDefault="00CE7F43">
      <w:pPr>
        <w:pStyle w:val="Author-eListParagraph"/>
        <w:numPr>
          <w:ilvl w:val="0"/>
          <w:numId w:val="241"/>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5C53A011" w14:textId="77777777" w:rsidR="00DF410E" w:rsidRDefault="00DF410E"/>
    <w:p w14:paraId="0F309215"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5560E44D" w14:textId="77777777" w:rsidR="00DF410E" w:rsidRDefault="00CE7F43">
      <w:pPr>
        <w:spacing w:after="0" w:line="252" w:lineRule="auto"/>
      </w:pPr>
      <w:r>
        <w:rPr>
          <w:b/>
          <w:color w:val="000000"/>
        </w:rPr>
        <w:t>(soit par défaut)</w:t>
      </w:r>
    </w:p>
    <w:p w14:paraId="0123526A" w14:textId="77777777" w:rsidR="00DF410E" w:rsidRDefault="00CE7F43">
      <w:pPr>
        <w:spacing w:after="0" w:line="252" w:lineRule="auto"/>
      </w:pPr>
      <w:r>
        <w:rPr>
          <w:rStyle w:val="soitChar"/>
          <w:u w:val="single"/>
        </w:rPr>
        <w:t>Surface nette </w:t>
      </w:r>
      <w:r>
        <w:rPr>
          <w:rStyle w:val="soitChar"/>
        </w:rPr>
        <w:t>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431D6A53" w14:textId="77777777" w:rsidR="00DF410E" w:rsidRDefault="00CE7F43">
      <w:pPr>
        <w:spacing w:after="0" w:line="252" w:lineRule="auto"/>
      </w:pPr>
      <w:r>
        <w:rPr>
          <w:rStyle w:val="soitChar"/>
        </w:rPr>
        <w:t>Distinction faite suivant l'épaisseur.</w:t>
      </w:r>
    </w:p>
    <w:p w14:paraId="5A84C65F" w14:textId="77777777" w:rsidR="00DF410E" w:rsidRDefault="00CE7F43">
      <w:pPr>
        <w:spacing w:line="252" w:lineRule="auto"/>
      </w:pPr>
      <w:r>
        <w:rPr>
          <w:b/>
          <w:color w:val="000000"/>
        </w:rPr>
        <w:t>(soit)</w:t>
      </w:r>
    </w:p>
    <w:p w14:paraId="32BB161C"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4E4C03B7"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553771A0" w14:textId="77777777" w:rsidR="00DF410E" w:rsidRDefault="00CE7F43">
      <w:pPr>
        <w:pStyle w:val="pheading"/>
      </w:pPr>
      <w:r>
        <w:t>- nature du marché:</w:t>
      </w:r>
    </w:p>
    <w:p w14:paraId="4B0EE16A" w14:textId="77777777" w:rsidR="00DF410E" w:rsidRDefault="00CE7F43">
      <w:r>
        <w:rPr>
          <w:rStyle w:val="optioncarChar"/>
        </w:rPr>
        <w:t>QF</w:t>
      </w:r>
      <w:r>
        <w:t xml:space="preserve"> (par défaut)</w:t>
      </w:r>
      <w:r>
        <w:rPr>
          <w:rStyle w:val="optioncarChar"/>
        </w:rPr>
        <w:t xml:space="preserve"> / QP</w:t>
      </w:r>
    </w:p>
    <w:p w14:paraId="14EA74A1" w14:textId="77777777" w:rsidR="00DF410E" w:rsidRDefault="00CE7F43">
      <w:pPr>
        <w:pStyle w:val="Author-eSectionHeading6"/>
      </w:pPr>
      <w:bookmarkStart w:id="245" w:name="_Toc178837477"/>
      <w:r>
        <w:t>21.31.2e Maçonneries de parement en briques de béton clivé à coller CCTB 01.11</w:t>
      </w:r>
      <w:bookmarkEnd w:id="245"/>
    </w:p>
    <w:p w14:paraId="01890528" w14:textId="77777777" w:rsidR="00DF410E" w:rsidRDefault="00CE7F43">
      <w:pPr>
        <w:pStyle w:val="pheading"/>
      </w:pPr>
      <w:r>
        <w:t>DESCRIPTION</w:t>
      </w:r>
    </w:p>
    <w:p w14:paraId="009779A5" w14:textId="77777777" w:rsidR="00DF410E" w:rsidRDefault="00CE7F43">
      <w:pPr>
        <w:pStyle w:val="pheading"/>
      </w:pPr>
      <w:r>
        <w:t>- Définition / Comprend</w:t>
      </w:r>
    </w:p>
    <w:p w14:paraId="4E226591" w14:textId="77777777" w:rsidR="00DF410E" w:rsidRDefault="00CE7F43">
      <w:r>
        <w:t>Il s’agit de la fourniture et la pose de maçonneries de parement en briques de béton clivé.</w:t>
      </w:r>
    </w:p>
    <w:p w14:paraId="189F3A9D" w14:textId="77777777" w:rsidR="00DF410E" w:rsidRDefault="00CE7F43">
      <w:r>
        <w:t xml:space="preserve">La portée des travaux est décrite dans l’article </w:t>
      </w:r>
      <w:hyperlink w:anchor="379" w:history="1">
        <w:r>
          <w:t>21.3 Maçonneries de parement</w:t>
        </w:r>
      </w:hyperlink>
      <w:r>
        <w:t>.</w:t>
      </w:r>
    </w:p>
    <w:p w14:paraId="2F98567A" w14:textId="77777777" w:rsidR="00DF410E" w:rsidRDefault="00CE7F43">
      <w:pPr>
        <w:pStyle w:val="pheading"/>
      </w:pPr>
      <w:r>
        <w:t>- Localisation</w:t>
      </w:r>
    </w:p>
    <w:p w14:paraId="023A5E11" w14:textId="77777777" w:rsidR="00DF410E" w:rsidRDefault="00CE7F43">
      <w:r>
        <w:t xml:space="preserve">La pose est réalisée aux endroits suivants : </w:t>
      </w:r>
      <w:r>
        <w:rPr>
          <w:rStyle w:val="optioncarChar"/>
        </w:rPr>
        <w:t>***</w:t>
      </w:r>
      <w:r>
        <w:t>.</w:t>
      </w:r>
      <w:r>
        <w:br/>
        <w:t>Voir plans et métrés détaillés.</w:t>
      </w:r>
    </w:p>
    <w:p w14:paraId="14375A31" w14:textId="77777777" w:rsidR="00DF410E" w:rsidRDefault="00CE7F43">
      <w:pPr>
        <w:pStyle w:val="pheading"/>
      </w:pPr>
      <w:r>
        <w:t>MATÉRIAUX</w:t>
      </w:r>
    </w:p>
    <w:p w14:paraId="2A8BBD21" w14:textId="77777777" w:rsidR="00DF410E" w:rsidRDefault="00CE7F43">
      <w:pPr>
        <w:pStyle w:val="pheading"/>
      </w:pPr>
      <w:r>
        <w:t>- Caractéristiques générales</w:t>
      </w:r>
    </w:p>
    <w:p w14:paraId="4DE375BA" w14:textId="77777777" w:rsidR="00DF410E" w:rsidRDefault="00CE7F43">
      <w:r>
        <w:rPr>
          <w:rStyle w:val="headingChar"/>
          <w:color w:val="000000"/>
        </w:rPr>
        <w:t>Brique</w:t>
      </w:r>
    </w:p>
    <w:p w14:paraId="2A283923" w14:textId="77777777" w:rsidR="00DF410E" w:rsidRDefault="00CE7F43">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6424C203"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7133E62C" w14:textId="77777777" w:rsidR="00DF410E" w:rsidRDefault="00CE7F43">
      <w:pPr>
        <w:spacing w:after="0" w:line="0" w:lineRule="atLeast"/>
      </w:pPr>
      <w:r>
        <w:rPr>
          <w:color w:val="000000"/>
        </w:rPr>
        <w:t xml:space="preserve">Le groupe de configuration suivant [PTV 21-001] est: </w:t>
      </w:r>
      <w:r>
        <w:rPr>
          <w:rStyle w:val="optioncarChar"/>
          <w:color w:val="000000"/>
        </w:rPr>
        <w:t xml:space="preserve">1 / 2 / 3 / 4 </w:t>
      </w:r>
    </w:p>
    <w:p w14:paraId="6F121434" w14:textId="77777777" w:rsidR="00DF410E" w:rsidRDefault="00CE7F43">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239DF039" w14:textId="77777777" w:rsidR="00DF410E" w:rsidRDefault="00CE7F43">
      <w:pPr>
        <w:spacing w:after="0" w:line="0" w:lineRule="atLeast"/>
      </w:pPr>
      <w:r>
        <w:rPr>
          <w:color w:val="000000"/>
        </w:rPr>
        <w:t xml:space="preserve">La conductibilité thermique λD est compatible avec la valeur U prescrite pour la paroi. </w:t>
      </w:r>
    </w:p>
    <w:p w14:paraId="7D1592BF" w14:textId="77777777" w:rsidR="00DF410E" w:rsidRDefault="00CE7F43">
      <w:pPr>
        <w:spacing w:after="0" w:line="0" w:lineRule="atLeast"/>
      </w:pPr>
      <w:r>
        <w:rPr>
          <w:color w:val="000000"/>
        </w:rPr>
        <w:t xml:space="preserve">Boutisse </w:t>
      </w:r>
      <w:r>
        <w:t>: plate</w:t>
      </w:r>
    </w:p>
    <w:p w14:paraId="3FAB93A3" w14:textId="77777777" w:rsidR="00DF410E" w:rsidRDefault="00CE7F43">
      <w:pPr>
        <w:spacing w:after="0" w:line="0" w:lineRule="atLeast"/>
      </w:pPr>
      <w:r>
        <w:rPr>
          <w:color w:val="000000"/>
        </w:rPr>
        <w:t xml:space="preserve">Face qui reste visible : </w:t>
      </w:r>
      <w:r>
        <w:rPr>
          <w:color w:val="FF0000"/>
        </w:rPr>
        <w:t>clivée </w:t>
      </w:r>
      <w:r>
        <w:t>(par défaut)</w:t>
      </w:r>
      <w:r>
        <w:rPr>
          <w:color w:val="FF0000"/>
        </w:rPr>
        <w:t xml:space="preserve"> / tuyautée-clivée</w:t>
      </w:r>
    </w:p>
    <w:p w14:paraId="344B9D92" w14:textId="77777777" w:rsidR="00DF410E" w:rsidRDefault="00CE7F43">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53E8BD35" w14:textId="77777777" w:rsidR="00DF410E" w:rsidRDefault="00CE7F43">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rPr>
          <w:color w:val="000000"/>
        </w:rPr>
        <w:t xml:space="preserve"> (par défaut) </w:t>
      </w:r>
      <w:r>
        <w:rPr>
          <w:rStyle w:val="optioncarChar"/>
          <w:color w:val="000000"/>
        </w:rPr>
        <w:t>/ ***</w:t>
      </w:r>
      <w:r>
        <w:rPr>
          <w:color w:val="000000"/>
        </w:rPr>
        <w:t xml:space="preserve"> mm</w:t>
      </w:r>
    </w:p>
    <w:p w14:paraId="22AF8BEC" w14:textId="77777777" w:rsidR="00DF410E" w:rsidRDefault="00CE7F43">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4397A544" w14:textId="77777777" w:rsidR="00DF410E" w:rsidRDefault="00DF410E"/>
    <w:p w14:paraId="2BABF4F3" w14:textId="77777777" w:rsidR="00DF410E" w:rsidRDefault="00CE7F43">
      <w:pPr>
        <w:spacing w:line="259" w:lineRule="auto"/>
      </w:pPr>
      <w:r>
        <w:rPr>
          <w:rStyle w:val="headingChar"/>
          <w:color w:val="000000"/>
        </w:rPr>
        <w:t>Mortier</w:t>
      </w:r>
    </w:p>
    <w:p w14:paraId="7EE0E08C" w14:textId="77777777" w:rsidR="00DF410E" w:rsidRDefault="00CE7F43">
      <w:pPr>
        <w:spacing w:after="0" w:line="0" w:lineRule="atLeast"/>
      </w:pPr>
      <w:r>
        <w:rPr>
          <w:color w:val="000000"/>
        </w:rPr>
        <w:t>Le mortier est du type T adapté à des joints d’épaisseur nominale de</w:t>
      </w:r>
      <w:r>
        <w:rPr>
          <w:rStyle w:val="optioncarChar"/>
          <w:color w:val="005500"/>
        </w:rPr>
        <w:t xml:space="preserve"> 3</w:t>
      </w:r>
      <w:r>
        <w:t> (par défaut)</w:t>
      </w:r>
      <w:r>
        <w:rPr>
          <w:rStyle w:val="optioncarChar"/>
          <w:color w:val="005500"/>
        </w:rPr>
        <w:t xml:space="preserve">  / ***</w:t>
      </w:r>
      <w:r>
        <w:rPr>
          <w:color w:val="000000"/>
        </w:rPr>
        <w:t xml:space="preserve"> mm.</w:t>
      </w:r>
    </w:p>
    <w:p w14:paraId="141345A3" w14:textId="77777777" w:rsidR="00DF410E" w:rsidRDefault="00CE7F43">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42632B8C" w14:textId="77777777" w:rsidR="00DF410E" w:rsidRDefault="00CE7F43">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718A6F93" w14:textId="77777777" w:rsidR="00DF410E" w:rsidRDefault="00CE7F43">
      <w:pPr>
        <w:spacing w:line="259" w:lineRule="auto"/>
      </w:pPr>
      <w:r>
        <w:rPr>
          <w:color w:val="000000"/>
        </w:rPr>
        <w:t xml:space="preserve">Résistance au gel : </w:t>
      </w:r>
      <w:r>
        <w:rPr>
          <w:rStyle w:val="optioncarChar"/>
          <w:color w:val="000000"/>
        </w:rPr>
        <w:t>oui</w:t>
      </w:r>
    </w:p>
    <w:p w14:paraId="66E752CF" w14:textId="77777777" w:rsidR="00DF410E" w:rsidRDefault="00DF410E"/>
    <w:p w14:paraId="5360CB81" w14:textId="77777777" w:rsidR="00DF410E" w:rsidRDefault="00CE7F43">
      <w:pPr>
        <w:spacing w:line="259" w:lineRule="auto"/>
      </w:pPr>
      <w:r>
        <w:rPr>
          <w:rStyle w:val="headingChar"/>
          <w:color w:val="000000"/>
        </w:rPr>
        <w:t>Critères de performances du parement</w:t>
      </w:r>
    </w:p>
    <w:p w14:paraId="436BFAD1" w14:textId="77777777" w:rsidR="00DF410E" w:rsidRDefault="00CE7F43">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2081ED6F" w14:textId="77777777" w:rsidR="00DF410E" w:rsidRDefault="00CE7F43">
      <w:pPr>
        <w:pStyle w:val="pheading"/>
      </w:pPr>
      <w:r>
        <w:t>- Finitions</w:t>
      </w:r>
    </w:p>
    <w:p w14:paraId="337E7612"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584539A" w14:textId="77777777" w:rsidR="00DF410E" w:rsidRDefault="00CE7F43">
      <w:pPr>
        <w:pStyle w:val="pheading"/>
      </w:pPr>
      <w:r>
        <w:t>EXÉCUTION / MISE EN ŒUVRE</w:t>
      </w:r>
    </w:p>
    <w:p w14:paraId="1088043A" w14:textId="77777777" w:rsidR="00DF410E" w:rsidRDefault="00CE7F43">
      <w:pPr>
        <w:pStyle w:val="pheading"/>
      </w:pPr>
      <w:r>
        <w:t>- Prescriptions générales</w:t>
      </w:r>
    </w:p>
    <w:p w14:paraId="4D16F146" w14:textId="77777777" w:rsidR="00DF410E" w:rsidRDefault="00CE7F43">
      <w:pPr>
        <w:spacing w:line="259" w:lineRule="auto"/>
      </w:pPr>
      <w:r>
        <w:t xml:space="preserve">La maçonnerie est exécutée en appareil </w:t>
      </w:r>
      <w:r>
        <w:rPr>
          <w:rStyle w:val="optioncarChar"/>
        </w:rPr>
        <w:t>d'</w:t>
      </w:r>
      <w:r>
        <w:rPr>
          <w:rStyle w:val="normalChar"/>
          <w:color w:val="FF0000"/>
        </w:rPr>
        <w:t>une demi-brique</w:t>
      </w:r>
      <w:r>
        <w:t xml:space="preserve"> (par défaut)</w:t>
      </w:r>
      <w:r>
        <w:rPr>
          <w:rStyle w:val="normalChar"/>
          <w:color w:val="FF0000"/>
        </w:rPr>
        <w:t> / ***</w:t>
      </w:r>
    </w:p>
    <w:p w14:paraId="0432D9DC"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2DDC6EB7" w14:textId="77777777" w:rsidR="00DF410E" w:rsidRDefault="00DF410E"/>
    <w:p w14:paraId="7C90393E" w14:textId="77777777" w:rsidR="00DF410E" w:rsidRDefault="00CE7F43">
      <w:pPr>
        <w:spacing w:line="259" w:lineRule="auto"/>
      </w:pPr>
      <w:r>
        <w:rPr>
          <w:rStyle w:val="normalChar"/>
          <w:b/>
          <w:color w:val="000000"/>
        </w:rPr>
        <w:t>LINTEAUX</w:t>
      </w:r>
    </w:p>
    <w:p w14:paraId="43F10CC3"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11837DD1" w14:textId="77777777" w:rsidR="00DF410E" w:rsidRDefault="00CE7F43">
      <w:r>
        <w:rPr>
          <w:b/>
        </w:rPr>
        <w:t>(soit par défaut)</w:t>
      </w:r>
    </w:p>
    <w:p w14:paraId="7C7E80C1" w14:textId="77777777" w:rsidR="00DF410E" w:rsidRDefault="00CE7F43">
      <w:r>
        <w:rPr>
          <w:rStyle w:val="soitChar"/>
          <w:u w:val="single"/>
        </w:rPr>
        <w:t>D'une armature et de crochets de mur</w:t>
      </w:r>
      <w:r>
        <w:rPr>
          <w:rStyle w:val="soitChar"/>
        </w:rPr>
        <w:t>  :</w:t>
      </w:r>
    </w:p>
    <w:p w14:paraId="1C1E7768"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57D79E08" w14:textId="77777777" w:rsidR="00DF410E" w:rsidRDefault="00CE7F43">
      <w:r>
        <w:rPr>
          <w:b/>
        </w:rPr>
        <w:t>(soit)</w:t>
      </w:r>
    </w:p>
    <w:p w14:paraId="05D67D2A"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108C6916" w14:textId="77777777" w:rsidR="00DF410E" w:rsidRDefault="00CE7F43">
      <w:r>
        <w:rPr>
          <w:b/>
        </w:rPr>
        <w:t>(soit)</w:t>
      </w:r>
    </w:p>
    <w:p w14:paraId="75A826A3"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4EDF3D84" w14:textId="77777777" w:rsidR="00DF410E" w:rsidRDefault="00CE7F43">
      <w:r>
        <w:rPr>
          <w:b/>
        </w:rPr>
        <w:t>(soit)</w:t>
      </w:r>
    </w:p>
    <w:p w14:paraId="6547C5FF"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0D83A7B3" w14:textId="77777777" w:rsidR="00DF410E" w:rsidRDefault="00CE7F43">
      <w:r>
        <w:rPr>
          <w:b/>
        </w:rPr>
        <w:t>(soit)</w:t>
      </w:r>
    </w:p>
    <w:p w14:paraId="0EC52C43" w14:textId="77777777" w:rsidR="00DF410E" w:rsidRDefault="00CE7F43">
      <w:r>
        <w:rPr>
          <w:rStyle w:val="optioncarChar"/>
        </w:rPr>
        <w:t> ***</w:t>
      </w:r>
    </w:p>
    <w:p w14:paraId="3D3FBC97" w14:textId="77777777" w:rsidR="00DF410E" w:rsidRDefault="00CE7F43">
      <w:pPr>
        <w:pStyle w:val="pheading"/>
      </w:pPr>
      <w:r>
        <w:t>- Notes d’exécution complémentaires</w:t>
      </w:r>
    </w:p>
    <w:p w14:paraId="5132B3D0" w14:textId="77777777" w:rsidR="00DF410E" w:rsidRDefault="00CE7F43">
      <w:r>
        <w:t>En vue du choix définitif des briques en béton clivé de parement, un ou plusieurs échantillons d'environ 1 m2 sont maçonnés à la demande de l'auteur de projet; les frais inhérents à la construction et à la démolition de ces murs sont à charge de l'entrepreneur.</w:t>
      </w:r>
    </w:p>
    <w:p w14:paraId="21290CEE" w14:textId="77777777" w:rsidR="00DF410E" w:rsidRDefault="00CE7F43">
      <w:r>
        <w:t xml:space="preserve">• Armatures horizontales : selon l'article </w:t>
      </w:r>
      <w:hyperlink w:anchor="355" w:history="1">
        <w:r>
          <w:t>21.41.1 Armatures horizontales pour maçonneries</w:t>
        </w:r>
      </w:hyperlink>
      <w:r>
        <w:t>.</w:t>
      </w:r>
    </w:p>
    <w:p w14:paraId="3EE1BC2F" w14:textId="77777777" w:rsidR="00DF410E" w:rsidRDefault="00CE7F43">
      <w:r>
        <w:t xml:space="preserve">• Ancrages : selon l'article </w:t>
      </w:r>
      <w:hyperlink w:anchor="362" w:history="1">
        <w:r>
          <w:t>21.42 Ancrages et fixations de maçonneries</w:t>
        </w:r>
      </w:hyperlink>
    </w:p>
    <w:p w14:paraId="74FD39FA" w14:textId="77777777" w:rsidR="00DF410E" w:rsidRDefault="00CE7F43">
      <w:r>
        <w:t xml:space="preserve">Briques spéciales : </w:t>
      </w:r>
      <w:r>
        <w:rPr>
          <w:rStyle w:val="optioncarChar"/>
        </w:rPr>
        <w:t>***</w:t>
      </w:r>
    </w:p>
    <w:p w14:paraId="31A62308" w14:textId="77777777" w:rsidR="00DF410E" w:rsidRDefault="00CE7F43">
      <w:r>
        <w:t xml:space="preserve">Étanchéité : </w:t>
      </w:r>
      <w:r>
        <w:rPr>
          <w:rStyle w:val="optioncarChar"/>
        </w:rPr>
        <w:t>***</w:t>
      </w:r>
    </w:p>
    <w:p w14:paraId="4D9AC372" w14:textId="77777777" w:rsidR="00DF410E" w:rsidRDefault="00CE7F43">
      <w:r>
        <w:t xml:space="preserve">Joints de dilatation : </w:t>
      </w:r>
      <w:r>
        <w:rPr>
          <w:rStyle w:val="optioncarChar"/>
        </w:rPr>
        <w:t>***</w:t>
      </w:r>
    </w:p>
    <w:p w14:paraId="4548C893" w14:textId="77777777" w:rsidR="00DF410E" w:rsidRDefault="00CE7F43">
      <w:pPr>
        <w:pStyle w:val="pheading"/>
      </w:pPr>
      <w:r>
        <w:t>MESURAGE</w:t>
      </w:r>
    </w:p>
    <w:p w14:paraId="14439947" w14:textId="77777777" w:rsidR="00DF410E" w:rsidRDefault="00CE7F43">
      <w:pPr>
        <w:pStyle w:val="pheading"/>
      </w:pPr>
      <w:r>
        <w:t>- unité de mesure:</w:t>
      </w:r>
    </w:p>
    <w:p w14:paraId="005C0586" w14:textId="77777777" w:rsidR="00DF410E" w:rsidRDefault="00CE7F43">
      <w:r>
        <w:rPr>
          <w:rStyle w:val="optioncarChar"/>
        </w:rPr>
        <w:t>m² </w:t>
      </w:r>
      <w:r>
        <w:rPr>
          <w:rStyle w:val="optioncarChar"/>
          <w:color w:val="000000"/>
        </w:rPr>
        <w:t>(par défaut)</w:t>
      </w:r>
      <w:r>
        <w:rPr>
          <w:rStyle w:val="optioncarChar"/>
        </w:rPr>
        <w:t> / m³</w:t>
      </w:r>
    </w:p>
    <w:p w14:paraId="654C9927" w14:textId="77777777" w:rsidR="00DF410E" w:rsidRDefault="00CE7F43">
      <w:pPr>
        <w:spacing w:after="0" w:line="0" w:lineRule="atLeast"/>
      </w:pPr>
      <w:r>
        <w:rPr>
          <w:b/>
          <w:color w:val="000000"/>
        </w:rPr>
        <w:t>(soit par défaut)</w:t>
      </w:r>
    </w:p>
    <w:p w14:paraId="469C6534" w14:textId="77777777" w:rsidR="00DF410E" w:rsidRDefault="00CE7F43">
      <w:pPr>
        <w:spacing w:after="0" w:line="0" w:lineRule="atLeast"/>
      </w:pPr>
      <w:r>
        <w:rPr>
          <w:rStyle w:val="soitChar"/>
        </w:rPr>
        <w:t>1. m²</w:t>
      </w:r>
    </w:p>
    <w:p w14:paraId="78E363AA" w14:textId="77777777" w:rsidR="00DF410E" w:rsidRDefault="00CE7F43">
      <w:pPr>
        <w:spacing w:after="0" w:line="0" w:lineRule="atLeast"/>
      </w:pPr>
      <w:r>
        <w:rPr>
          <w:b/>
          <w:color w:val="000000"/>
        </w:rPr>
        <w:t>(soit)</w:t>
      </w:r>
    </w:p>
    <w:p w14:paraId="4673608D" w14:textId="77777777" w:rsidR="00DF410E" w:rsidRDefault="00CE7F43">
      <w:pPr>
        <w:spacing w:after="0" w:line="0" w:lineRule="atLeast"/>
      </w:pPr>
      <w:r>
        <w:rPr>
          <w:rStyle w:val="soitChar"/>
        </w:rPr>
        <w:t>2. m³</w:t>
      </w:r>
    </w:p>
    <w:p w14:paraId="534BDB5C" w14:textId="77777777" w:rsidR="00DF410E" w:rsidRDefault="00CE7F43">
      <w:pPr>
        <w:pStyle w:val="pheading"/>
      </w:pPr>
      <w:r>
        <w:t>- code de mesurage:</w:t>
      </w:r>
    </w:p>
    <w:p w14:paraId="202B45F8" w14:textId="77777777" w:rsidR="00DF410E" w:rsidRDefault="00CE7F43">
      <w:pPr>
        <w:spacing w:before="0" w:after="0"/>
      </w:pPr>
      <w:r>
        <w:t>Les maçonneries sont mesurées en fonction de leur forme géométrique.</w:t>
      </w:r>
    </w:p>
    <w:p w14:paraId="37280400"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152E43BA" w14:textId="77777777" w:rsidR="00DF410E" w:rsidRDefault="00CE7F43">
      <w:pPr>
        <w:spacing w:before="0" w:after="0"/>
      </w:pPr>
      <w:r>
        <w:t>La coulisse n'est jamais prise en compte.</w:t>
      </w:r>
    </w:p>
    <w:p w14:paraId="2AE8F43D" w14:textId="77777777" w:rsidR="00DF410E" w:rsidRDefault="00CE7F43">
      <w:pPr>
        <w:spacing w:after="0" w:line="259" w:lineRule="auto"/>
      </w:pPr>
      <w:r>
        <w:rPr>
          <w:rStyle w:val="normalChar"/>
        </w:rPr>
        <w:t>Les accessoires (linteaux non décrits et non comptés dans un autre poste, attaches,…) sont compris dans le prix.</w:t>
      </w:r>
    </w:p>
    <w:p w14:paraId="45EE8E71" w14:textId="77777777" w:rsidR="00DF410E" w:rsidRDefault="00CE7F43">
      <w:pPr>
        <w:spacing w:after="0" w:line="259" w:lineRule="auto"/>
      </w:pPr>
      <w:r>
        <w:rPr>
          <w:rStyle w:val="normalChar"/>
        </w:rPr>
        <w:t>Sont entre-autres décrits et comptés dans un autre poste :</w:t>
      </w:r>
    </w:p>
    <w:p w14:paraId="6BDB6D6C" w14:textId="77777777" w:rsidR="00DF410E" w:rsidRDefault="00CE7F43">
      <w:pPr>
        <w:pStyle w:val="Author-eListParagraph"/>
        <w:numPr>
          <w:ilvl w:val="0"/>
          <w:numId w:val="242"/>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5C01C969" w14:textId="77777777" w:rsidR="00DF410E" w:rsidRDefault="00CE7F43">
      <w:pPr>
        <w:pStyle w:val="Author-eListParagraph"/>
        <w:numPr>
          <w:ilvl w:val="0"/>
          <w:numId w:val="242"/>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4B98A0AD" w14:textId="77777777" w:rsidR="00DF410E" w:rsidRDefault="00CE7F43">
      <w:pPr>
        <w:pStyle w:val="Author-eListParagraph"/>
        <w:numPr>
          <w:ilvl w:val="0"/>
          <w:numId w:val="242"/>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3958FD64" w14:textId="77777777" w:rsidR="00DF410E" w:rsidRDefault="00DF410E"/>
    <w:p w14:paraId="25FDB86D"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1198F1EF" w14:textId="77777777" w:rsidR="00DF410E" w:rsidRDefault="00CE7F43">
      <w:pPr>
        <w:spacing w:after="0" w:line="252" w:lineRule="auto"/>
      </w:pPr>
      <w:r>
        <w:rPr>
          <w:b/>
          <w:color w:val="000000"/>
        </w:rPr>
        <w:t>(soit par défaut)</w:t>
      </w:r>
    </w:p>
    <w:p w14:paraId="33862A7A"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D185D31" w14:textId="77777777" w:rsidR="00DF410E" w:rsidRDefault="00CE7F43">
      <w:pPr>
        <w:spacing w:after="0" w:line="252" w:lineRule="auto"/>
      </w:pPr>
      <w:r>
        <w:rPr>
          <w:rStyle w:val="soitChar"/>
        </w:rPr>
        <w:t>Distinction faite suivant l'épaisseur.</w:t>
      </w:r>
    </w:p>
    <w:p w14:paraId="6ABBF697" w14:textId="77777777" w:rsidR="00DF410E" w:rsidRDefault="00CE7F43">
      <w:pPr>
        <w:spacing w:line="252" w:lineRule="auto"/>
      </w:pPr>
      <w:r>
        <w:rPr>
          <w:b/>
          <w:color w:val="000000"/>
        </w:rPr>
        <w:t>(soit)</w:t>
      </w:r>
    </w:p>
    <w:p w14:paraId="47EFFE3C"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5CF9158B"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5ABC55DA" w14:textId="77777777" w:rsidR="00DF410E" w:rsidRDefault="00CE7F43">
      <w:pPr>
        <w:pStyle w:val="pheading"/>
      </w:pPr>
      <w:r>
        <w:t>- nature du marché:</w:t>
      </w:r>
    </w:p>
    <w:p w14:paraId="06367CAB" w14:textId="77777777" w:rsidR="00DF410E" w:rsidRDefault="00CE7F43">
      <w:r>
        <w:rPr>
          <w:rStyle w:val="optioncarChar"/>
        </w:rPr>
        <w:t>QF</w:t>
      </w:r>
      <w:r>
        <w:t xml:space="preserve"> (par défaut)</w:t>
      </w:r>
      <w:r>
        <w:rPr>
          <w:rStyle w:val="optioncarChar"/>
        </w:rPr>
        <w:t xml:space="preserve"> / QP</w:t>
      </w:r>
    </w:p>
    <w:p w14:paraId="735951E2" w14:textId="77777777" w:rsidR="00DF410E" w:rsidRDefault="00CE7F43">
      <w:pPr>
        <w:pStyle w:val="Author-eSectionHeading6"/>
      </w:pPr>
      <w:bookmarkStart w:id="246" w:name="_Toc178837478"/>
      <w:r>
        <w:t>21.31.2f Maçonneries de parement en briques de béton clivé à système de dosage pour liant hydraulique CCTB 01.11</w:t>
      </w:r>
      <w:bookmarkEnd w:id="246"/>
    </w:p>
    <w:p w14:paraId="44A739EC" w14:textId="77777777" w:rsidR="00DF410E" w:rsidRDefault="00CE7F43">
      <w:pPr>
        <w:pStyle w:val="pheading"/>
      </w:pPr>
      <w:r>
        <w:t>DESCRIPTION</w:t>
      </w:r>
    </w:p>
    <w:p w14:paraId="5E65DF16" w14:textId="77777777" w:rsidR="00DF410E" w:rsidRDefault="00CE7F43">
      <w:pPr>
        <w:pStyle w:val="pheading"/>
      </w:pPr>
      <w:r>
        <w:t>- Définition / Comprend</w:t>
      </w:r>
    </w:p>
    <w:p w14:paraId="052C2C5B" w14:textId="77777777" w:rsidR="00DF410E" w:rsidRDefault="00CE7F43">
      <w:r>
        <w:t>Il s’agit de la fourniture et la pose de maçonneries de parement en briques de béton clivé à système de dosage pour liant hydraulique.</w:t>
      </w:r>
    </w:p>
    <w:p w14:paraId="0AAE5EFA" w14:textId="77777777" w:rsidR="00DF410E" w:rsidRDefault="00CE7F43">
      <w:r>
        <w:t xml:space="preserve">La portée des travaux est décrite dans l’article </w:t>
      </w:r>
      <w:hyperlink w:anchor="379" w:history="1">
        <w:r>
          <w:t>21.3 Maçonneries de parement</w:t>
        </w:r>
      </w:hyperlink>
      <w:r>
        <w:t>.</w:t>
      </w:r>
    </w:p>
    <w:p w14:paraId="5E7E4DF9" w14:textId="77777777" w:rsidR="00DF410E" w:rsidRDefault="00CE7F43">
      <w:pPr>
        <w:pStyle w:val="pheading"/>
      </w:pPr>
      <w:r>
        <w:t>- Localisation</w:t>
      </w:r>
    </w:p>
    <w:p w14:paraId="2E82294B" w14:textId="77777777" w:rsidR="00DF410E" w:rsidRDefault="00CE7F43">
      <w:r>
        <w:t xml:space="preserve">La pose est réalisée aux endroits suivants : </w:t>
      </w:r>
      <w:r>
        <w:rPr>
          <w:rStyle w:val="optioncarChar"/>
        </w:rPr>
        <w:t>***</w:t>
      </w:r>
      <w:r>
        <w:t>.</w:t>
      </w:r>
      <w:r>
        <w:br/>
        <w:t>Voir plans et métrés détaillés.</w:t>
      </w:r>
    </w:p>
    <w:p w14:paraId="5276E1EF" w14:textId="77777777" w:rsidR="00DF410E" w:rsidRDefault="00CE7F43">
      <w:pPr>
        <w:pStyle w:val="pheading"/>
      </w:pPr>
      <w:r>
        <w:t>MATÉRIAUX</w:t>
      </w:r>
    </w:p>
    <w:p w14:paraId="35C676CD" w14:textId="77777777" w:rsidR="00DF410E" w:rsidRDefault="00CE7F43">
      <w:pPr>
        <w:pStyle w:val="pheading"/>
      </w:pPr>
      <w:r>
        <w:t>- Caractéristiques générales</w:t>
      </w:r>
    </w:p>
    <w:p w14:paraId="19C85C4F" w14:textId="77777777" w:rsidR="00DF410E" w:rsidRDefault="00CE7F43">
      <w:r>
        <w:rPr>
          <w:rStyle w:val="headingChar"/>
          <w:color w:val="000000"/>
        </w:rPr>
        <w:t>Brique</w:t>
      </w:r>
    </w:p>
    <w:p w14:paraId="368A0144" w14:textId="77777777" w:rsidR="00DF410E" w:rsidRDefault="00CE7F43">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675F5AE1"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502E4706" w14:textId="77777777" w:rsidR="00DF410E" w:rsidRDefault="00CE7F43">
      <w:pPr>
        <w:spacing w:after="0" w:line="0" w:lineRule="atLeast"/>
      </w:pPr>
      <w:r>
        <w:rPr>
          <w:color w:val="000000"/>
        </w:rPr>
        <w:t xml:space="preserve">Le groupe de configuration suivant [PTV 21-001] est: </w:t>
      </w:r>
      <w:r>
        <w:rPr>
          <w:rStyle w:val="optioncarChar"/>
          <w:color w:val="000000"/>
        </w:rPr>
        <w:t xml:space="preserve">1 / 2 / 3 / 4 </w:t>
      </w:r>
    </w:p>
    <w:p w14:paraId="1A67907E" w14:textId="77777777" w:rsidR="00DF410E" w:rsidRDefault="00CE7F43">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121EE70D" w14:textId="77777777" w:rsidR="00DF410E" w:rsidRDefault="00CE7F43">
      <w:pPr>
        <w:spacing w:after="0" w:line="0" w:lineRule="atLeast"/>
      </w:pPr>
      <w:r>
        <w:rPr>
          <w:color w:val="000000"/>
        </w:rPr>
        <w:t xml:space="preserve">La conductibilité thermique λD est compatible avec la valeur U prescrite pour la paroi. </w:t>
      </w:r>
    </w:p>
    <w:p w14:paraId="469296D1" w14:textId="77777777" w:rsidR="00DF410E" w:rsidRDefault="00CE7F43">
      <w:pPr>
        <w:spacing w:after="0" w:line="0" w:lineRule="atLeast"/>
      </w:pPr>
      <w:r>
        <w:rPr>
          <w:color w:val="000000"/>
        </w:rPr>
        <w:t xml:space="preserve">Boutisse : </w:t>
      </w:r>
      <w:r>
        <w:t>plate</w:t>
      </w:r>
    </w:p>
    <w:p w14:paraId="00B0B981" w14:textId="77777777" w:rsidR="00DF410E" w:rsidRDefault="00CE7F43">
      <w:pPr>
        <w:spacing w:after="0" w:line="0" w:lineRule="atLeast"/>
      </w:pPr>
      <w:r>
        <w:rPr>
          <w:color w:val="000000"/>
        </w:rPr>
        <w:t xml:space="preserve">Face qui reste visible : </w:t>
      </w:r>
      <w:r>
        <w:rPr>
          <w:rStyle w:val="optioncarChar"/>
        </w:rPr>
        <w:t xml:space="preserve">clivée </w:t>
      </w:r>
      <w:r>
        <w:t>(par défaut) </w:t>
      </w:r>
      <w:r>
        <w:rPr>
          <w:rStyle w:val="optioncarChar"/>
        </w:rPr>
        <w:t>/ tuyautée-clivée</w:t>
      </w:r>
    </w:p>
    <w:p w14:paraId="16C93AB8" w14:textId="77777777" w:rsidR="00DF410E" w:rsidRDefault="00CE7F43">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40DE68CE" w14:textId="77777777" w:rsidR="00DF410E" w:rsidRDefault="00CE7F43">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t> (par défaut)</w:t>
      </w:r>
      <w:r>
        <w:rPr>
          <w:rStyle w:val="optioncarChar"/>
          <w:color w:val="000000"/>
        </w:rPr>
        <w:t xml:space="preserve"> / ***</w:t>
      </w:r>
      <w:r>
        <w:t xml:space="preserve"> mm</w:t>
      </w:r>
    </w:p>
    <w:p w14:paraId="2F678283" w14:textId="77777777" w:rsidR="00DF410E" w:rsidRDefault="00CE7F43">
      <w:pPr>
        <w:spacing w:after="0" w:line="0" w:lineRule="atLeast"/>
      </w:pPr>
      <w:r>
        <w:rPr>
          <w:color w:val="000000"/>
        </w:rPr>
        <w:t xml:space="preserve">Réaction au feu : </w:t>
      </w:r>
      <w:r>
        <w:rPr>
          <w:rStyle w:val="optioncarChar"/>
          <w:color w:val="000000"/>
        </w:rPr>
        <w:t>A1</w:t>
      </w:r>
      <w:r>
        <w:t xml:space="preserve"> (par défaut)</w:t>
      </w:r>
      <w:r>
        <w:rPr>
          <w:rStyle w:val="optioncarChar"/>
          <w:color w:val="000000"/>
        </w:rPr>
        <w:t> / ***</w:t>
      </w:r>
    </w:p>
    <w:p w14:paraId="3106AB51" w14:textId="77777777" w:rsidR="00DF410E" w:rsidRDefault="00DF410E"/>
    <w:p w14:paraId="67E70017" w14:textId="77777777" w:rsidR="00DF410E" w:rsidRDefault="00CE7F43">
      <w:pPr>
        <w:spacing w:after="0" w:line="0" w:lineRule="atLeast"/>
      </w:pPr>
      <w:r>
        <w:rPr>
          <w:rStyle w:val="headingChar"/>
          <w:color w:val="000000"/>
        </w:rPr>
        <w:t>Mortier</w:t>
      </w:r>
    </w:p>
    <w:p w14:paraId="23FB5F01"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7D786B5F" w14:textId="77777777" w:rsidR="00DF410E" w:rsidRDefault="00DF410E"/>
    <w:p w14:paraId="0FBC1CB1" w14:textId="77777777" w:rsidR="00DF410E" w:rsidRDefault="00CE7F43">
      <w:pPr>
        <w:spacing w:line="259" w:lineRule="auto"/>
      </w:pPr>
      <w:r>
        <w:rPr>
          <w:rStyle w:val="headingChar"/>
          <w:color w:val="000000"/>
        </w:rPr>
        <w:t>Critères de performances du parement</w:t>
      </w:r>
    </w:p>
    <w:p w14:paraId="3EA56B79" w14:textId="77777777" w:rsidR="00DF410E" w:rsidRDefault="00CE7F43">
      <w:pPr>
        <w:spacing w:line="259" w:lineRule="auto"/>
      </w:pPr>
      <w:r>
        <w:t>V</w:t>
      </w:r>
      <w:r>
        <w:rPr>
          <w:color w:val="000000"/>
        </w:rPr>
        <w:t xml:space="preserve">aleur λUi ou λUe maximum </w:t>
      </w:r>
      <w:r>
        <w:rPr>
          <w:rStyle w:val="optioncarChar"/>
          <w:color w:val="000000"/>
        </w:rPr>
        <w:t>***</w:t>
      </w:r>
      <w:r>
        <w:rPr>
          <w:color w:val="000000"/>
        </w:rPr>
        <w:t xml:space="preserve"> W/mK (suivant l’application). </w:t>
      </w:r>
    </w:p>
    <w:p w14:paraId="6B18CB22" w14:textId="77777777" w:rsidR="00DF410E" w:rsidRDefault="00DF410E"/>
    <w:p w14:paraId="3135D0D0" w14:textId="77777777" w:rsidR="00DF410E" w:rsidRDefault="00CE7F43">
      <w:r>
        <w:t> </w:t>
      </w:r>
    </w:p>
    <w:p w14:paraId="78987FF8" w14:textId="77777777" w:rsidR="00DF410E" w:rsidRDefault="00CE7F43">
      <w:pPr>
        <w:pStyle w:val="pheading"/>
      </w:pPr>
      <w:r>
        <w:t>- Finitions</w:t>
      </w:r>
    </w:p>
    <w:p w14:paraId="0D724715"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41D9903"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E84049F"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19B21D68"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11EE9DC"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9FE76E8" w14:textId="77777777" w:rsidR="00DF410E" w:rsidRDefault="00DF410E"/>
    <w:p w14:paraId="3224A841" w14:textId="77777777" w:rsidR="00DF410E" w:rsidRDefault="00CE7F43">
      <w:pPr>
        <w:pStyle w:val="pheading"/>
      </w:pPr>
      <w:r>
        <w:t>EXÉCUTION / MISE EN ŒUVRE</w:t>
      </w:r>
    </w:p>
    <w:p w14:paraId="435796C3" w14:textId="77777777" w:rsidR="00DF410E" w:rsidRDefault="00CE7F43">
      <w:pPr>
        <w:pStyle w:val="pheading"/>
      </w:pPr>
      <w:r>
        <w:t>- Prescriptions générales</w:t>
      </w:r>
    </w:p>
    <w:p w14:paraId="123F85D1" w14:textId="77777777" w:rsidR="00DF410E" w:rsidRDefault="00CE7F43">
      <w:pPr>
        <w:spacing w:line="259" w:lineRule="auto"/>
      </w:pPr>
      <w:r>
        <w:t xml:space="preserve">La maçonnerie est exécutée en appareil </w:t>
      </w:r>
      <w:r>
        <w:rPr>
          <w:rStyle w:val="optioncarChar"/>
        </w:rPr>
        <w:t>d'</w:t>
      </w:r>
      <w:r>
        <w:rPr>
          <w:rStyle w:val="normalChar"/>
          <w:color w:val="FF0000"/>
        </w:rPr>
        <w:t xml:space="preserve">une demi-brique </w:t>
      </w:r>
      <w:r>
        <w:t>(par défaut) </w:t>
      </w:r>
      <w:r>
        <w:rPr>
          <w:rStyle w:val="normalChar"/>
          <w:color w:val="FF0000"/>
        </w:rPr>
        <w:t>/ ***</w:t>
      </w:r>
    </w:p>
    <w:p w14:paraId="29FD67A3"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797DA157" w14:textId="77777777" w:rsidR="00DF410E" w:rsidRDefault="00DF410E"/>
    <w:p w14:paraId="63A39198" w14:textId="77777777" w:rsidR="00DF410E" w:rsidRDefault="00CE7F43">
      <w:pPr>
        <w:spacing w:line="259" w:lineRule="auto"/>
      </w:pPr>
      <w:r>
        <w:rPr>
          <w:rStyle w:val="normalChar"/>
          <w:b/>
          <w:color w:val="000000"/>
        </w:rPr>
        <w:t>LINTEAUX</w:t>
      </w:r>
    </w:p>
    <w:p w14:paraId="15157253" w14:textId="77777777" w:rsidR="00DF410E" w:rsidRDefault="00CE7F43">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72CFA886" w14:textId="77777777" w:rsidR="00DF410E" w:rsidRDefault="00CE7F43">
      <w:r>
        <w:rPr>
          <w:b/>
        </w:rPr>
        <w:t>(soit par défaut)</w:t>
      </w:r>
    </w:p>
    <w:p w14:paraId="23811CBC" w14:textId="77777777" w:rsidR="00DF410E" w:rsidRDefault="00CE7F43">
      <w:r>
        <w:rPr>
          <w:rStyle w:val="soitChar"/>
          <w:u w:val="single"/>
        </w:rPr>
        <w:t>D'une armature et de crochets de mur</w:t>
      </w:r>
      <w:r>
        <w:rPr>
          <w:rStyle w:val="soitChar"/>
        </w:rPr>
        <w:t>  :</w:t>
      </w:r>
    </w:p>
    <w:p w14:paraId="2B381C1C"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29B2069" w14:textId="77777777" w:rsidR="00DF410E" w:rsidRDefault="00CE7F43">
      <w:r>
        <w:rPr>
          <w:b/>
        </w:rPr>
        <w:t>(soit)</w:t>
      </w:r>
    </w:p>
    <w:p w14:paraId="34372580"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2A672AC" w14:textId="77777777" w:rsidR="00DF410E" w:rsidRDefault="00CE7F43">
      <w:r>
        <w:rPr>
          <w:b/>
        </w:rPr>
        <w:t>(soit)</w:t>
      </w:r>
    </w:p>
    <w:p w14:paraId="0689FBCB"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768D3CE9" w14:textId="77777777" w:rsidR="00DF410E" w:rsidRDefault="00CE7F43">
      <w:r>
        <w:rPr>
          <w:b/>
        </w:rPr>
        <w:t>(soit)</w:t>
      </w:r>
    </w:p>
    <w:p w14:paraId="2366B041"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5847FF6" w14:textId="77777777" w:rsidR="00DF410E" w:rsidRDefault="00CE7F43">
      <w:r>
        <w:rPr>
          <w:b/>
        </w:rPr>
        <w:t>(soit)</w:t>
      </w:r>
    </w:p>
    <w:p w14:paraId="372DCBBF" w14:textId="77777777" w:rsidR="00DF410E" w:rsidRDefault="00CE7F43">
      <w:r>
        <w:rPr>
          <w:rStyle w:val="optioncarChar"/>
        </w:rPr>
        <w:t> ***</w:t>
      </w:r>
    </w:p>
    <w:p w14:paraId="72EE2DE2" w14:textId="77777777" w:rsidR="00DF410E" w:rsidRDefault="00CE7F43">
      <w:pPr>
        <w:pStyle w:val="pheading"/>
      </w:pPr>
      <w:r>
        <w:t>- Notes d’exécution complémentaires</w:t>
      </w:r>
    </w:p>
    <w:p w14:paraId="36632C97" w14:textId="77777777" w:rsidR="00DF410E" w:rsidRDefault="00CE7F43">
      <w:r>
        <w:t> En vue du choix définitif des briques de parement, un ou plusieurs échantillons d'environ 1 m2 sont maçonnés à la demande de l'auteur de projet; les frais inhérents à la construction et à la démolition de ces murs sont à charge de l'entrepreneur.</w:t>
      </w:r>
    </w:p>
    <w:p w14:paraId="15B26F81" w14:textId="77777777" w:rsidR="00DF410E" w:rsidRDefault="00CE7F43">
      <w:r>
        <w:t xml:space="preserve">• Armatures horizontales : selon l'article </w:t>
      </w:r>
      <w:hyperlink w:anchor="355" w:history="1">
        <w:r>
          <w:t>21.41.1 Armatures horizontales pour maçonneries</w:t>
        </w:r>
      </w:hyperlink>
      <w:r>
        <w:t>. </w:t>
      </w:r>
    </w:p>
    <w:p w14:paraId="796C68BF" w14:textId="77777777" w:rsidR="00DF410E" w:rsidRDefault="00CE7F43">
      <w:r>
        <w:t xml:space="preserve">• Ancrages : selon l'article </w:t>
      </w:r>
      <w:hyperlink w:anchor="362" w:history="1">
        <w:r>
          <w:t>21.42 Ancrages et fixations de maçonneries</w:t>
        </w:r>
      </w:hyperlink>
    </w:p>
    <w:p w14:paraId="4EFB7321" w14:textId="77777777" w:rsidR="00DF410E" w:rsidRDefault="00CE7F43">
      <w:r>
        <w:t xml:space="preserve">Briques spéciales : </w:t>
      </w:r>
      <w:r>
        <w:rPr>
          <w:rStyle w:val="optioncarChar"/>
        </w:rPr>
        <w:t>***</w:t>
      </w:r>
    </w:p>
    <w:p w14:paraId="1F7C89B0" w14:textId="77777777" w:rsidR="00DF410E" w:rsidRDefault="00CE7F43">
      <w:r>
        <w:t xml:space="preserve">Étanchéité : </w:t>
      </w:r>
      <w:r>
        <w:rPr>
          <w:rStyle w:val="optioncarChar"/>
        </w:rPr>
        <w:t>***</w:t>
      </w:r>
    </w:p>
    <w:p w14:paraId="07BAF078" w14:textId="77777777" w:rsidR="00DF410E" w:rsidRDefault="00CE7F43">
      <w:r>
        <w:t xml:space="preserve">Joints de dilatation : </w:t>
      </w:r>
      <w:r>
        <w:rPr>
          <w:rStyle w:val="optioncarChar"/>
        </w:rPr>
        <w:t>***</w:t>
      </w:r>
    </w:p>
    <w:p w14:paraId="29A7E2AB" w14:textId="77777777" w:rsidR="00DF410E" w:rsidRDefault="00CE7F43">
      <w:r>
        <w:t>Ce système est prévu pour des constructions de maisons unifamiliales, pour des constructions d’immeubles à appartements (5 niveaux maximum de murs porteurs) et pour des murs de remplissage entre poutres et colonnes</w:t>
      </w:r>
    </w:p>
    <w:p w14:paraId="28AF8101" w14:textId="77777777" w:rsidR="00DF410E" w:rsidRDefault="00CE7F43">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6FF4D6C2" w14:textId="77777777" w:rsidR="00DF410E" w:rsidRDefault="00CE7F43">
      <w:r>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30" w:history="1" w:docLocation="68">
        <w:r>
          <w:t>02.42.1 Critères d'acceptabilité</w:t>
        </w:r>
      </w:hyperlink>
    </w:p>
    <w:p w14:paraId="1EDFB0B0" w14:textId="77777777" w:rsidR="00DF410E" w:rsidRDefault="00CE7F43">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068A0C1C" w14:textId="77777777" w:rsidR="00DF410E" w:rsidRDefault="00CE7F43">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w:t>
      </w:r>
      <w:r>
        <w:t>(par défaut) </w:t>
      </w:r>
      <w:r>
        <w:rPr>
          <w:rStyle w:val="optioncarChar"/>
        </w:rPr>
        <w:t xml:space="preserve">/*** </w:t>
      </w:r>
      <w:r>
        <w:t>mm et de composition moyenne :</w:t>
      </w:r>
    </w:p>
    <w:p w14:paraId="78FF3C2D" w14:textId="77777777" w:rsidR="00DF410E" w:rsidRDefault="00CE7F43">
      <w:pPr>
        <w:pStyle w:val="Author-eListParagraph"/>
        <w:numPr>
          <w:ilvl w:val="0"/>
          <w:numId w:val="243"/>
        </w:numPr>
      </w:pPr>
      <w:r>
        <w:t>350kg de ciment de la classe de résistance 52,5 N/mm2,</w:t>
      </w:r>
    </w:p>
    <w:p w14:paraId="72B4786A" w14:textId="77777777" w:rsidR="00DF410E" w:rsidRDefault="00CE7F43">
      <w:pPr>
        <w:pStyle w:val="Author-eListParagraph"/>
        <w:numPr>
          <w:ilvl w:val="0"/>
          <w:numId w:val="243"/>
        </w:numPr>
      </w:pPr>
      <w:r>
        <w:t>720l à 780l de gravier roulé 4/28,</w:t>
      </w:r>
    </w:p>
    <w:p w14:paraId="107C7445" w14:textId="77777777" w:rsidR="00DF410E" w:rsidRDefault="00CE7F43">
      <w:pPr>
        <w:pStyle w:val="Author-eListParagraph"/>
        <w:numPr>
          <w:ilvl w:val="0"/>
          <w:numId w:val="243"/>
        </w:numPr>
      </w:pPr>
      <w:r>
        <w:t>380l à 450l de sable pour béton et armés de barres verticales ou horizontales, le cas échéant justifiées par une note de calcul,</w:t>
      </w:r>
    </w:p>
    <w:p w14:paraId="118534FD" w14:textId="77777777" w:rsidR="00DF410E" w:rsidRDefault="00CE7F43">
      <w:pPr>
        <w:pStyle w:val="Author-eListParagraph"/>
        <w:numPr>
          <w:ilvl w:val="0"/>
          <w:numId w:val="243"/>
        </w:numPr>
      </w:pPr>
      <w:r>
        <w:t>170l à 180l d’eau.</w:t>
      </w:r>
    </w:p>
    <w:p w14:paraId="3E4E910C" w14:textId="77777777" w:rsidR="00DF410E" w:rsidRDefault="00CE7F43">
      <w:r>
        <w:t>Pour les contraintes horizontales particulières (par ex : force du vent) une note de calcul spécifique doit être établie.</w:t>
      </w:r>
    </w:p>
    <w:p w14:paraId="671F499B" w14:textId="77777777" w:rsidR="00DF410E" w:rsidRDefault="00CE7F43">
      <w:r>
        <w:t>Sauf indication contraire dans le cahier spécial des charges ou dans l'étude de stabilité, la répartition des charges des planchers, linteaux, poutres, etc. se fait au choix de l'entrepreneur, selon la méthode suivante :</w:t>
      </w:r>
    </w:p>
    <w:p w14:paraId="3657ADC1" w14:textId="77777777" w:rsidR="00DF410E" w:rsidRDefault="00CE7F43">
      <w:pPr>
        <w:pStyle w:val="Author-eListParagraph"/>
        <w:numPr>
          <w:ilvl w:val="0"/>
          <w:numId w:val="244"/>
        </w:numPr>
      </w:pPr>
      <w:r>
        <w:t>en remplissant les éléments creux de béton ou de mortier</w:t>
      </w:r>
    </w:p>
    <w:p w14:paraId="5CB194E9" w14:textId="77777777" w:rsidR="00DF410E" w:rsidRDefault="00CE7F43">
      <w:pPr>
        <w:pStyle w:val="Author-eListParagraph"/>
        <w:numPr>
          <w:ilvl w:val="0"/>
          <w:numId w:val="244"/>
        </w:numPr>
      </w:pPr>
      <w:r>
        <w:t>en utilisant des blocs pleins</w:t>
      </w:r>
    </w:p>
    <w:p w14:paraId="23AA99A5" w14:textId="77777777" w:rsidR="00DF410E" w:rsidRDefault="00CE7F43">
      <w:pPr>
        <w:pStyle w:val="Author-eListParagraph"/>
        <w:numPr>
          <w:ilvl w:val="0"/>
          <w:numId w:val="244"/>
        </w:numPr>
      </w:pPr>
      <w:r>
        <w:t>en prévoyant une poutre de ceinture</w:t>
      </w:r>
    </w:p>
    <w:p w14:paraId="62D5111A" w14:textId="77777777" w:rsidR="00DF410E" w:rsidRDefault="00CE7F43">
      <w:pPr>
        <w:pStyle w:val="Author-eListParagraph"/>
        <w:numPr>
          <w:ilvl w:val="0"/>
          <w:numId w:val="244"/>
        </w:numPr>
      </w:pPr>
      <w:r>
        <w:t>en prévoyant une semelle de renforcement</w:t>
      </w:r>
    </w:p>
    <w:p w14:paraId="22FDFB32" w14:textId="77777777" w:rsidR="00DF410E" w:rsidRDefault="00CE7F43">
      <w:pPr>
        <w:pStyle w:val="Author-eListParagraph"/>
        <w:numPr>
          <w:ilvl w:val="0"/>
          <w:numId w:val="244"/>
        </w:numPr>
      </w:pPr>
      <w:r>
        <w:t>en prévoyant des armatures</w:t>
      </w:r>
    </w:p>
    <w:p w14:paraId="049A8476" w14:textId="77777777" w:rsidR="00DF410E" w:rsidRDefault="00CE7F43">
      <w:r>
        <w:t>Ces blocs ne peuvent pas contenir d'inclusions de fer, ferrugineuses ou de chaux qui risqueraient de provoquer des dégâts en surface.</w:t>
      </w:r>
    </w:p>
    <w:p w14:paraId="36D8476F" w14:textId="77777777" w:rsidR="00DF410E" w:rsidRDefault="00CE7F43">
      <w:pPr>
        <w:pStyle w:val="pheading"/>
      </w:pPr>
      <w:r>
        <w:t>MESURAGE</w:t>
      </w:r>
    </w:p>
    <w:p w14:paraId="22393961" w14:textId="77777777" w:rsidR="00DF410E" w:rsidRDefault="00CE7F43">
      <w:pPr>
        <w:pStyle w:val="pheading"/>
      </w:pPr>
      <w:r>
        <w:t>- unité de mesure:</w:t>
      </w:r>
    </w:p>
    <w:p w14:paraId="085AFFBB" w14:textId="77777777" w:rsidR="00DF410E" w:rsidRDefault="00CE7F43">
      <w:r>
        <w:rPr>
          <w:rStyle w:val="optioncarChar"/>
        </w:rPr>
        <w:t>m² </w:t>
      </w:r>
      <w:r>
        <w:rPr>
          <w:rStyle w:val="optioncarChar"/>
          <w:color w:val="000000"/>
        </w:rPr>
        <w:t>(par défaut)</w:t>
      </w:r>
      <w:r>
        <w:rPr>
          <w:rStyle w:val="optioncarChar"/>
        </w:rPr>
        <w:t> / m³</w:t>
      </w:r>
    </w:p>
    <w:p w14:paraId="261152F8" w14:textId="77777777" w:rsidR="00DF410E" w:rsidRDefault="00CE7F43">
      <w:pPr>
        <w:spacing w:after="0" w:line="0" w:lineRule="atLeast"/>
      </w:pPr>
      <w:r>
        <w:rPr>
          <w:b/>
          <w:color w:val="000000"/>
        </w:rPr>
        <w:t>(soit par défaut)</w:t>
      </w:r>
    </w:p>
    <w:p w14:paraId="01A8CA1E" w14:textId="77777777" w:rsidR="00DF410E" w:rsidRDefault="00CE7F43">
      <w:pPr>
        <w:spacing w:after="0" w:line="0" w:lineRule="atLeast"/>
      </w:pPr>
      <w:r>
        <w:rPr>
          <w:rStyle w:val="soitChar"/>
        </w:rPr>
        <w:t>1. m²</w:t>
      </w:r>
    </w:p>
    <w:p w14:paraId="435E8218" w14:textId="77777777" w:rsidR="00DF410E" w:rsidRDefault="00CE7F43">
      <w:pPr>
        <w:spacing w:after="0" w:line="0" w:lineRule="atLeast"/>
      </w:pPr>
      <w:r>
        <w:rPr>
          <w:b/>
          <w:color w:val="000000"/>
        </w:rPr>
        <w:t>(soit)</w:t>
      </w:r>
    </w:p>
    <w:p w14:paraId="1BB1981B" w14:textId="77777777" w:rsidR="00DF410E" w:rsidRDefault="00CE7F43">
      <w:pPr>
        <w:spacing w:after="0" w:line="0" w:lineRule="atLeast"/>
      </w:pPr>
      <w:r>
        <w:rPr>
          <w:rStyle w:val="soitChar"/>
        </w:rPr>
        <w:t>2. m³</w:t>
      </w:r>
    </w:p>
    <w:p w14:paraId="07250A65" w14:textId="77777777" w:rsidR="00DF410E" w:rsidRDefault="00CE7F43">
      <w:pPr>
        <w:pStyle w:val="pheading"/>
      </w:pPr>
      <w:r>
        <w:t>- code de mesurage:</w:t>
      </w:r>
    </w:p>
    <w:p w14:paraId="330C7C37" w14:textId="77777777" w:rsidR="00DF410E" w:rsidRDefault="00CE7F43">
      <w:pPr>
        <w:spacing w:before="0" w:after="0"/>
      </w:pPr>
      <w:r>
        <w:t>Les maçonneries sont mesurées en fonction de leur forme géométrique.</w:t>
      </w:r>
    </w:p>
    <w:p w14:paraId="01061450"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6145FBBB" w14:textId="77777777" w:rsidR="00DF410E" w:rsidRDefault="00CE7F43">
      <w:pPr>
        <w:spacing w:before="0" w:after="0"/>
      </w:pPr>
      <w:r>
        <w:t>La coulisse n'est jamais prise en compte.</w:t>
      </w:r>
    </w:p>
    <w:p w14:paraId="54D71764" w14:textId="77777777" w:rsidR="00DF410E" w:rsidRDefault="00CE7F43">
      <w:pPr>
        <w:spacing w:after="0" w:line="259" w:lineRule="auto"/>
      </w:pPr>
      <w:r>
        <w:rPr>
          <w:rStyle w:val="normalChar"/>
        </w:rPr>
        <w:t>Les accessoires (linteaux non décrits et non comptés dans un autre poste, attaches,…) sont compris dans le prix.</w:t>
      </w:r>
    </w:p>
    <w:p w14:paraId="5AA93031" w14:textId="77777777" w:rsidR="00DF410E" w:rsidRDefault="00CE7F43">
      <w:pPr>
        <w:spacing w:after="0" w:line="259" w:lineRule="auto"/>
      </w:pPr>
      <w:r>
        <w:rPr>
          <w:rStyle w:val="normalChar"/>
        </w:rPr>
        <w:t>Sont entre-autres décrits et comptés dans un autre poste :</w:t>
      </w:r>
    </w:p>
    <w:p w14:paraId="27AAB1FA" w14:textId="77777777" w:rsidR="00DF410E" w:rsidRDefault="00CE7F43">
      <w:pPr>
        <w:pStyle w:val="Author-eListParagraph"/>
        <w:numPr>
          <w:ilvl w:val="0"/>
          <w:numId w:val="245"/>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5A7A860E" w14:textId="77777777" w:rsidR="00DF410E" w:rsidRDefault="00CE7F43">
      <w:pPr>
        <w:pStyle w:val="Author-eListParagraph"/>
        <w:numPr>
          <w:ilvl w:val="0"/>
          <w:numId w:val="245"/>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2975B6CE" w14:textId="77777777" w:rsidR="00DF410E" w:rsidRDefault="00CE7F43">
      <w:pPr>
        <w:pStyle w:val="Author-eListParagraph"/>
        <w:numPr>
          <w:ilvl w:val="0"/>
          <w:numId w:val="245"/>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23F2D002" w14:textId="77777777" w:rsidR="00DF410E" w:rsidRDefault="00DF410E"/>
    <w:p w14:paraId="3522A808"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0D950371" w14:textId="77777777" w:rsidR="00DF410E" w:rsidRDefault="00CE7F43">
      <w:pPr>
        <w:spacing w:after="0" w:line="252" w:lineRule="auto"/>
      </w:pPr>
      <w:r>
        <w:rPr>
          <w:b/>
          <w:color w:val="000000"/>
        </w:rPr>
        <w:t>(soit par défaut)</w:t>
      </w:r>
    </w:p>
    <w:p w14:paraId="28B1B2EF" w14:textId="77777777" w:rsidR="00DF410E" w:rsidRDefault="00CE7F43">
      <w:pPr>
        <w:spacing w:after="0" w:line="252" w:lineRule="auto"/>
      </w:pPr>
      <w:r>
        <w:rPr>
          <w:rStyle w:val="soitChar"/>
          <w:u w:val="single"/>
        </w:rPr>
        <w:t>Surface nette </w:t>
      </w:r>
      <w:r>
        <w:rPr>
          <w:rStyle w:val="soitChar"/>
        </w:rPr>
        <w:t>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442A4D18" w14:textId="77777777" w:rsidR="00DF410E" w:rsidRDefault="00CE7F43">
      <w:pPr>
        <w:spacing w:after="0" w:line="252" w:lineRule="auto"/>
      </w:pPr>
      <w:r>
        <w:rPr>
          <w:rStyle w:val="soitChar"/>
        </w:rPr>
        <w:t>Distinction faite suivant l'épaisseur.</w:t>
      </w:r>
    </w:p>
    <w:p w14:paraId="25DC7C7E" w14:textId="77777777" w:rsidR="00DF410E" w:rsidRDefault="00CE7F43">
      <w:pPr>
        <w:spacing w:line="252" w:lineRule="auto"/>
      </w:pPr>
      <w:r>
        <w:rPr>
          <w:b/>
          <w:color w:val="000000"/>
        </w:rPr>
        <w:t>(soit)</w:t>
      </w:r>
    </w:p>
    <w:p w14:paraId="16A0C165"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0280E71"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0BBEDB39" w14:textId="77777777" w:rsidR="00DF410E" w:rsidRDefault="00CE7F43">
      <w:pPr>
        <w:pStyle w:val="pheading"/>
      </w:pPr>
      <w:r>
        <w:t>- nature du marché:</w:t>
      </w:r>
    </w:p>
    <w:p w14:paraId="33ECC8D7" w14:textId="77777777" w:rsidR="00DF410E" w:rsidRDefault="00CE7F43">
      <w:r>
        <w:rPr>
          <w:rStyle w:val="optioncarChar"/>
        </w:rPr>
        <w:t>QF</w:t>
      </w:r>
      <w:r>
        <w:t xml:space="preserve"> (par défaut)</w:t>
      </w:r>
      <w:r>
        <w:rPr>
          <w:rStyle w:val="optioncarChar"/>
        </w:rPr>
        <w:t xml:space="preserve"> / QP</w:t>
      </w:r>
    </w:p>
    <w:p w14:paraId="1DE19D40" w14:textId="77777777" w:rsidR="00DF410E" w:rsidRDefault="00CE7F43">
      <w:pPr>
        <w:pStyle w:val="Author-eSectionHeading5"/>
      </w:pPr>
      <w:bookmarkStart w:id="247" w:name="_Toc178837479"/>
      <w:r>
        <w:t>21.31.3 Maçonneries de parement en briques de silico-calcaire CCTB 01.11</w:t>
      </w:r>
      <w:bookmarkEnd w:id="247"/>
    </w:p>
    <w:p w14:paraId="735A5C1D" w14:textId="77777777" w:rsidR="00DF410E" w:rsidRDefault="00CE7F43">
      <w:pPr>
        <w:pStyle w:val="pheading"/>
      </w:pPr>
      <w:bookmarkStart w:id="248" w:name="403"/>
      <w:bookmarkEnd w:id="248"/>
      <w:r>
        <w:t>MATÉRIAUX</w:t>
      </w:r>
    </w:p>
    <w:p w14:paraId="6C8CC9C1" w14:textId="77777777" w:rsidR="00DF410E" w:rsidRDefault="00CE7F43">
      <w:pPr>
        <w:spacing w:line="0" w:lineRule="atLeast"/>
      </w:pPr>
      <w:r>
        <w:t xml:space="preserve">Il s'agit des briques en silico-calcaire, qui répondent à la norme [NBN EN 771-2+A1] et au [PTV 21-003]. L'entrepreneur soumet un échantillon, la fiche technique et la déclaration des performances (DoP) du matériau pour approbation à l'auteur de projet et au maître de l’ouvrage. Le mortier à maçonner (selon la norme </w:t>
      </w:r>
      <w:r>
        <w:rPr>
          <w:rStyle w:val="normalChar"/>
          <w:color w:val="0000FF"/>
        </w:rPr>
        <w:t>[NBN EN 998-2]</w:t>
      </w:r>
      <w:r>
        <w:t xml:space="preserve"> et le règlement d’application </w:t>
      </w:r>
      <w:r>
        <w:rPr>
          <w:color w:val="0000FF"/>
        </w:rPr>
        <w:t>[TRA 651]</w:t>
      </w:r>
      <w:r>
        <w:t>) répond à la catégorie :</w:t>
      </w:r>
      <w:r>
        <w:rPr>
          <w:rStyle w:val="optioncarChar"/>
        </w:rPr>
        <w:t xml:space="preserve"> M5 / M10</w:t>
      </w:r>
      <w:r>
        <w:rPr>
          <w:rStyle w:val="optioncarChar"/>
          <w:color w:val="000000"/>
        </w:rPr>
        <w:t>(par défaut)</w:t>
      </w:r>
      <w:r>
        <w:rPr>
          <w:rStyle w:val="optioncarChar"/>
        </w:rPr>
        <w:t xml:space="preserve"> / M15 / M20 / ***. </w:t>
      </w:r>
      <w:r>
        <w:t xml:space="preserve">L'épaisseur des joints est d'au moins </w:t>
      </w:r>
      <w:r>
        <w:rPr>
          <w:rStyle w:val="optioncarChar"/>
        </w:rPr>
        <w:t>10 </w:t>
      </w:r>
      <w:r>
        <w:t>(par défaut)</w:t>
      </w:r>
      <w:r>
        <w:rPr>
          <w:rStyle w:val="optioncarChar"/>
        </w:rPr>
        <w:t xml:space="preserve"> / *** </w:t>
      </w:r>
      <w:r>
        <w:t>mm (tolérances suivant [NIT 208]).</w:t>
      </w:r>
    </w:p>
    <w:p w14:paraId="7024EFD0" w14:textId="77777777" w:rsidR="00DF410E" w:rsidRDefault="00DF410E"/>
    <w:p w14:paraId="541104C2" w14:textId="77777777" w:rsidR="00DF410E" w:rsidRDefault="00CE7F43">
      <w:r>
        <w:t> </w:t>
      </w:r>
    </w:p>
    <w:p w14:paraId="2BF06C9B" w14:textId="77777777" w:rsidR="00DF410E" w:rsidRDefault="00CE7F43">
      <w:pPr>
        <w:pStyle w:val="pheading"/>
      </w:pPr>
      <w:r>
        <w:t>AIDE</w:t>
      </w:r>
    </w:p>
    <w:p w14:paraId="41833FE3" w14:textId="77777777" w:rsidR="00DF410E" w:rsidRDefault="00CE7F43">
      <w:r>
        <w:t>Note à l'attention de l'auteur du projet : pour le choix adéquat du mortier, se référer à la [STS 22 série]</w:t>
      </w:r>
    </w:p>
    <w:p w14:paraId="6336CF8A" w14:textId="77777777" w:rsidR="00DF410E" w:rsidRDefault="00CE7F43">
      <w:pPr>
        <w:pStyle w:val="Author-eSectionHeading6"/>
      </w:pPr>
      <w:bookmarkStart w:id="249" w:name="_Toc178837480"/>
      <w:r>
        <w:t>21.31.3a Maçonneries de parement à briques de silico-calcaire à maçonner CCTB 01.12</w:t>
      </w:r>
      <w:bookmarkEnd w:id="249"/>
    </w:p>
    <w:p w14:paraId="48C4C670" w14:textId="77777777" w:rsidR="00DF410E" w:rsidRDefault="00CE7F43">
      <w:pPr>
        <w:pStyle w:val="pheading"/>
      </w:pPr>
      <w:r>
        <w:t>DESCRIPTION</w:t>
      </w:r>
    </w:p>
    <w:p w14:paraId="3FFD8058" w14:textId="77777777" w:rsidR="00DF410E" w:rsidRDefault="00CE7F43">
      <w:pPr>
        <w:pStyle w:val="pheading"/>
      </w:pPr>
      <w:r>
        <w:t>- Définition / Comprend</w:t>
      </w:r>
    </w:p>
    <w:p w14:paraId="7B3178A5" w14:textId="77777777" w:rsidR="00DF410E" w:rsidRDefault="00CE7F43">
      <w:r>
        <w:t xml:space="preserve">Il s’agit de la fourniture et la pose de maçonneries de parement en briques de silico-calcaire à maçonner. </w:t>
      </w:r>
      <w:r>
        <w:br/>
        <w:t>La portée des travaux est décrite dans l’article </w:t>
      </w:r>
      <w:hyperlink w:anchor="379" w:history="1">
        <w:r>
          <w:t>21.3 Maçonneries de parement</w:t>
        </w:r>
      </w:hyperlink>
      <w:r>
        <w:t>.</w:t>
      </w:r>
    </w:p>
    <w:p w14:paraId="33EE597D" w14:textId="77777777" w:rsidR="00DF410E" w:rsidRDefault="00CE7F43">
      <w:pPr>
        <w:pStyle w:val="pheading"/>
      </w:pPr>
      <w:r>
        <w:t>- Localisation</w:t>
      </w:r>
    </w:p>
    <w:p w14:paraId="59EBDA83" w14:textId="77777777" w:rsidR="00DF410E" w:rsidRDefault="00CE7F43">
      <w:r>
        <w:t xml:space="preserve">La pose est réalisée aux endroits suivants : </w:t>
      </w:r>
      <w:r>
        <w:rPr>
          <w:rStyle w:val="optioncarChar"/>
        </w:rPr>
        <w:t>***</w:t>
      </w:r>
      <w:r>
        <w:t>.</w:t>
      </w:r>
    </w:p>
    <w:p w14:paraId="482AC615" w14:textId="77777777" w:rsidR="00DF410E" w:rsidRDefault="00CE7F43">
      <w:r>
        <w:t>Voir plans et métrés détaillés.</w:t>
      </w:r>
    </w:p>
    <w:p w14:paraId="2BFDDC16" w14:textId="77777777" w:rsidR="00DF410E" w:rsidRDefault="00CE7F43">
      <w:pPr>
        <w:pStyle w:val="pheading"/>
      </w:pPr>
      <w:r>
        <w:t>MATÉRIAUX</w:t>
      </w:r>
    </w:p>
    <w:p w14:paraId="44F10445" w14:textId="77777777" w:rsidR="00DF410E" w:rsidRDefault="00CE7F43">
      <w:pPr>
        <w:pStyle w:val="pheading"/>
      </w:pPr>
      <w:r>
        <w:t>- Caractéristiques générales</w:t>
      </w:r>
    </w:p>
    <w:p w14:paraId="6D3DA175" w14:textId="77777777" w:rsidR="00DF410E" w:rsidRDefault="00CE7F43">
      <w:r>
        <w:rPr>
          <w:b/>
        </w:rPr>
        <w:t>Brique</w:t>
      </w:r>
    </w:p>
    <w:p w14:paraId="7067EFE6"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w:t>
      </w:r>
      <w:r>
        <w:br/>
      </w:r>
      <w:r>
        <w:br/>
        <w:t xml:space="preserve">La classe de qualité suivant </w:t>
      </w:r>
      <w:r>
        <w:rPr>
          <w:color w:val="0000FF"/>
        </w:rPr>
        <w:t>[PTV 21-003]</w:t>
      </w:r>
      <w:r>
        <w:t xml:space="preserve"> est : </w:t>
      </w:r>
      <w:r>
        <w:rPr>
          <w:rStyle w:val="optioncarChar"/>
        </w:rPr>
        <w:t>20/1,8 / ***</w:t>
      </w:r>
      <w:r>
        <w:br/>
      </w:r>
      <w:r>
        <w:br/>
        <w:t xml:space="preserve">La résistance en compression normalisée (fb) suivant </w:t>
      </w:r>
      <w:r>
        <w:rPr>
          <w:color w:val="0000FF"/>
        </w:rPr>
        <w:t>[NBN EN 1996 série]</w:t>
      </w:r>
      <w:r>
        <w:t xml:space="preserve"> + ANB est au minimum: </w:t>
      </w:r>
      <w:r>
        <w:rPr>
          <w:rStyle w:val="optioncarChar"/>
        </w:rPr>
        <w:t xml:space="preserve">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w:t>
      </w:r>
      <w:r>
        <w:rPr>
          <w:color w:val="0000FF"/>
        </w:rPr>
        <w:t>[NBN EN 771-2+A1]</w:t>
      </w:r>
      <w:r>
        <w:t xml:space="preserve">). </w:t>
      </w:r>
      <w:r>
        <w:br/>
      </w:r>
      <w:r>
        <w:br/>
        <w:t xml:space="preserve">Le groupe de configuration suivant </w:t>
      </w:r>
      <w:r>
        <w:rPr>
          <w:color w:val="0000FF"/>
        </w:rPr>
        <w:t>[NBN EN 1996-1-1+A1 ANB]</w:t>
      </w:r>
      <w:r>
        <w:t xml:space="preserve"> est: </w:t>
      </w:r>
      <w:r>
        <w:rPr>
          <w:rStyle w:val="optioncarChar"/>
        </w:rPr>
        <w:t>1 / 2 / ***</w:t>
      </w:r>
      <w:r>
        <w:br/>
      </w:r>
      <w:r>
        <w:br/>
        <w:t xml:space="preserve">La masse volumique sèche apparente des blocs ρ (rho) est : </w:t>
      </w:r>
      <w:r>
        <w:rPr>
          <w:rStyle w:val="optioncarChar"/>
        </w:rPr>
        <w:t>1800 / ***</w:t>
      </w:r>
      <w:r>
        <w:t xml:space="preserve"> kg/m³ (blocs pleins), selon la </w:t>
      </w:r>
      <w:r>
        <w:rPr>
          <w:color w:val="0000FF"/>
        </w:rPr>
        <w:t>[NBN EN 771-2+A1]</w:t>
      </w:r>
      <w:r>
        <w:t xml:space="preserve">.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w:t>
      </w:r>
      <w:r>
        <w:rPr>
          <w:rStyle w:val="optioncarChar"/>
        </w:rPr>
        <w:t>blanc </w:t>
      </w:r>
      <w:r>
        <w:t>(par défaut)</w:t>
      </w:r>
      <w:r>
        <w:rPr>
          <w:rStyle w:val="optioncarChar"/>
        </w:rPr>
        <w:t xml:space="preserve"> / ***</w:t>
      </w:r>
      <w:r>
        <w:br/>
      </w:r>
      <w:r>
        <w:br/>
        <w:t xml:space="preserve">Format : (L x l x h) </w:t>
      </w:r>
      <w:r>
        <w:rPr>
          <w:rStyle w:val="optioncarChar"/>
        </w:rPr>
        <w:t>*** x *** x *** mm / format modulaire proposé par l'entrepreneur </w:t>
      </w:r>
      <w:r>
        <w:t>(par défaut)</w:t>
      </w:r>
      <w:r>
        <w:br/>
      </w:r>
      <w:r>
        <w:br/>
      </w:r>
      <w:r>
        <w:br/>
        <w:t>Stabilité de forme : les éléments en silico-calcaire destinés à un usage extérieur ou en maçonnerie souterraine respectent le critère suivant en matière de comportement à l'humidité : retrait et gonflement hygrométriques ≤ 0.45 mm / m (cf. </w:t>
      </w:r>
      <w:r>
        <w:rPr>
          <w:color w:val="0000FF"/>
        </w:rPr>
        <w:t>[PTV 21-003]</w:t>
      </w:r>
      <w:r>
        <w:t xml:space="preserve"> annexe E).</w:t>
      </w:r>
      <w:r>
        <w:br/>
      </w:r>
      <w:r>
        <w:br/>
        <w:t xml:space="preserve">Absorption d’eau par immersion : </w:t>
      </w:r>
      <w:r>
        <w:rPr>
          <w:rStyle w:val="optioncarChar"/>
        </w:rPr>
        <w:t>code A1 (exposé décoratif) / A2 (exposé) </w:t>
      </w:r>
      <w:r>
        <w:t>(par défaut)</w:t>
      </w:r>
      <w:r>
        <w:br/>
      </w:r>
      <w:r>
        <w:br/>
        <w:t xml:space="preserve">Résistance au gel suivant les classes d’application selon </w:t>
      </w:r>
      <w:r>
        <w:rPr>
          <w:color w:val="0000FF"/>
        </w:rPr>
        <w:t>[NBN EN 1996-2 ANB]</w:t>
      </w:r>
      <w:r>
        <w:t xml:space="preserve"> : </w:t>
      </w:r>
      <w:r>
        <w:rPr>
          <w:rStyle w:val="optioncarChar"/>
        </w:rPr>
        <w:t>classe F1 (MX3.1) </w:t>
      </w:r>
      <w:r>
        <w:t>(par défaut)</w:t>
      </w:r>
      <w:r>
        <w:rPr>
          <w:rStyle w:val="optioncarChar"/>
        </w:rPr>
        <w:t xml:space="preserve"> / classe F2 (MX3.2)</w:t>
      </w:r>
    </w:p>
    <w:p w14:paraId="5E6B480F" w14:textId="77777777" w:rsidR="00DF410E" w:rsidRDefault="00CE7F43">
      <w:pPr>
        <w:spacing w:line="0" w:lineRule="atLeast"/>
      </w:pPr>
      <w:r>
        <w:rPr>
          <w:rStyle w:val="normalChar"/>
          <w:color w:val="000000"/>
        </w:rPr>
        <w:t>Le niveau de résistance au gel est compatible avec la classe d’exposition.</w:t>
      </w:r>
    </w:p>
    <w:p w14:paraId="54B84AE1" w14:textId="77777777" w:rsidR="00DF410E" w:rsidRDefault="00CE7F43">
      <w:r>
        <w:t xml:space="preserve">Réaction au feu : </w:t>
      </w:r>
      <w:r>
        <w:rPr>
          <w:rStyle w:val="optioncarChar"/>
        </w:rPr>
        <w:t>A1 </w:t>
      </w:r>
      <w:r>
        <w:t>(par défaut)</w:t>
      </w:r>
      <w:r>
        <w:rPr>
          <w:rStyle w:val="optioncarChar"/>
        </w:rPr>
        <w:t xml:space="preserve"> / ***</w:t>
      </w:r>
    </w:p>
    <w:p w14:paraId="3D1D7500" w14:textId="77777777" w:rsidR="00DF410E" w:rsidRDefault="00CE7F43">
      <w:pPr>
        <w:spacing w:line="259" w:lineRule="auto"/>
      </w:pPr>
      <w:r>
        <w:rPr>
          <w:b/>
        </w:rPr>
        <w:t>Mortier</w:t>
      </w:r>
    </w:p>
    <w:p w14:paraId="2E1E63FB" w14:textId="77777777" w:rsidR="00DF410E" w:rsidRDefault="00CE7F43">
      <w:pPr>
        <w:spacing w:line="0" w:lineRule="atLeast"/>
      </w:pPr>
      <w:r>
        <w:rPr>
          <w:rStyle w:val="normalChar"/>
          <w:color w:val="000000"/>
        </w:rPr>
        <w:t xml:space="preserve">Le mortier est du type G, mortier bâtard ou dosé in situ adapté à des joints d’épaisseur nominale de </w:t>
      </w:r>
      <w:r>
        <w:rPr>
          <w:color w:val="FF0000"/>
        </w:rPr>
        <w:t>8 </w:t>
      </w:r>
      <w:r>
        <w:t>(par défaut)</w:t>
      </w:r>
      <w:r>
        <w:rPr>
          <w:color w:val="FF0000"/>
        </w:rPr>
        <w:t xml:space="preserve"> / 12 / ***</w:t>
      </w:r>
      <w:r>
        <w:rPr>
          <w:rStyle w:val="normalChar"/>
          <w:color w:val="000000"/>
        </w:rPr>
        <w:t xml:space="preserve"> mm.</w:t>
      </w:r>
    </w:p>
    <w:p w14:paraId="5EEE6BFF" w14:textId="77777777" w:rsidR="00DF410E" w:rsidRDefault="00CE7F43">
      <w:pPr>
        <w:spacing w:line="0" w:lineRule="atLeast"/>
      </w:pPr>
      <w:r>
        <w:rPr>
          <w:rStyle w:val="normalChar"/>
          <w:color w:val="000000"/>
        </w:rPr>
        <w:t xml:space="preserve">Adhérence en cisaillement : </w:t>
      </w:r>
      <w:r>
        <w:rPr>
          <w:color w:val="FF0000"/>
        </w:rPr>
        <w:t xml:space="preserve">≥ 0,15 N/mm² </w:t>
      </w:r>
      <w:r>
        <w:t>(par défaut)</w:t>
      </w:r>
      <w:r>
        <w:rPr>
          <w:color w:val="FF0000"/>
        </w:rPr>
        <w:t xml:space="preserve"> / ***</w:t>
      </w:r>
    </w:p>
    <w:p w14:paraId="7BB21157" w14:textId="77777777" w:rsidR="00DF410E" w:rsidRDefault="00CE7F43">
      <w:r>
        <w:rPr>
          <w:rStyle w:val="normalChar"/>
          <w:color w:val="000000"/>
        </w:rPr>
        <w:t>Résistance au gel</w:t>
      </w:r>
      <w:r>
        <w:rPr>
          <w:color w:val="000000"/>
        </w:rPr>
        <w:t xml:space="preserve"> : oui</w:t>
      </w:r>
    </w:p>
    <w:p w14:paraId="79503289" w14:textId="77777777" w:rsidR="00DF410E" w:rsidRDefault="00CE7F43">
      <w:pPr>
        <w:pStyle w:val="pheading"/>
      </w:pPr>
      <w:r>
        <w:t>- Finitions</w:t>
      </w:r>
    </w:p>
    <w:p w14:paraId="14AF9C65"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00F9473"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0BEDDBC"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154D6CF6"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5659CFEA"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4E8A26D6" w14:textId="77777777" w:rsidR="00DF410E" w:rsidRDefault="00CE7F43">
      <w:pPr>
        <w:pStyle w:val="pheading"/>
      </w:pPr>
      <w:r>
        <w:t>- Prescriptions complémentaires</w:t>
      </w:r>
    </w:p>
    <w:p w14:paraId="2500CFFD" w14:textId="77777777" w:rsidR="00DF410E" w:rsidRDefault="00CE7F43">
      <w:r>
        <w:t xml:space="preserve">Les murs suivants sont exécutés avec deux faces restant apparentes : </w:t>
      </w:r>
      <w:r>
        <w:rPr>
          <w:rStyle w:val="optioncarChar"/>
        </w:rPr>
        <w:t>***</w:t>
      </w:r>
    </w:p>
    <w:p w14:paraId="2B37D422" w14:textId="77777777" w:rsidR="00DF410E" w:rsidRDefault="00CE7F43">
      <w:pPr>
        <w:pStyle w:val="pheading"/>
      </w:pPr>
      <w:r>
        <w:t>EXÉCUTION / MISE EN ŒUVRE</w:t>
      </w:r>
    </w:p>
    <w:p w14:paraId="17D1F12C" w14:textId="77777777" w:rsidR="00DF410E" w:rsidRDefault="00CE7F43">
      <w:pPr>
        <w:pStyle w:val="pheading"/>
      </w:pPr>
      <w:r>
        <w:t>- Prescriptions générales</w:t>
      </w:r>
    </w:p>
    <w:p w14:paraId="6C1DF023" w14:textId="77777777" w:rsidR="00DF410E" w:rsidRDefault="00CE7F43">
      <w:pPr>
        <w:spacing w:line="259" w:lineRule="auto"/>
      </w:pPr>
      <w:r>
        <w:rPr>
          <w:rStyle w:val="normalChar"/>
        </w:rPr>
        <w:t>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53924FAC" w14:textId="77777777" w:rsidR="00DF410E" w:rsidRDefault="00DF410E"/>
    <w:p w14:paraId="2F07551F" w14:textId="77777777" w:rsidR="00DF410E" w:rsidRDefault="00CE7F43">
      <w:pPr>
        <w:spacing w:line="259" w:lineRule="auto"/>
      </w:pPr>
      <w:r>
        <w:rPr>
          <w:rStyle w:val="normalChar"/>
          <w:b/>
        </w:rPr>
        <w:t>LINTEAUX</w:t>
      </w:r>
    </w:p>
    <w:p w14:paraId="475965B8" w14:textId="77777777" w:rsidR="00DF410E" w:rsidRDefault="00CE7F43">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4BA02D6B" w14:textId="77777777" w:rsidR="00DF410E" w:rsidRDefault="00CE7F43">
      <w:r>
        <w:rPr>
          <w:b/>
        </w:rPr>
        <w:t>(soit par défaut)</w:t>
      </w:r>
    </w:p>
    <w:p w14:paraId="5AFB3916" w14:textId="77777777" w:rsidR="00DF410E" w:rsidRDefault="00CE7F43">
      <w:r>
        <w:rPr>
          <w:rStyle w:val="soitChar"/>
          <w:u w:val="single"/>
        </w:rPr>
        <w:t>D'une armature et de crochets de mur</w:t>
      </w:r>
      <w:r>
        <w:rPr>
          <w:rStyle w:val="soitChar"/>
        </w:rPr>
        <w:t>  :</w:t>
      </w:r>
    </w:p>
    <w:p w14:paraId="72C9EB50" w14:textId="77777777" w:rsidR="00DF410E" w:rsidRDefault="00CE7F43">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47555299" w14:textId="77777777" w:rsidR="00DF410E" w:rsidRDefault="00CE7F43">
      <w:r>
        <w:rPr>
          <w:b/>
        </w:rPr>
        <w:t>(soit)</w:t>
      </w:r>
    </w:p>
    <w:p w14:paraId="2F4E9F36"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763E961B" w14:textId="77777777" w:rsidR="00DF410E" w:rsidRDefault="00CE7F43">
      <w:r>
        <w:rPr>
          <w:b/>
        </w:rPr>
        <w:t>(soit)</w:t>
      </w:r>
    </w:p>
    <w:p w14:paraId="5A11928D"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6F301817" w14:textId="77777777" w:rsidR="00DF410E" w:rsidRDefault="00CE7F43">
      <w:r>
        <w:rPr>
          <w:b/>
        </w:rPr>
        <w:t>(soit)</w:t>
      </w:r>
    </w:p>
    <w:p w14:paraId="231927A3"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171266AB" w14:textId="77777777" w:rsidR="00DF410E" w:rsidRDefault="00CE7F43">
      <w:r>
        <w:rPr>
          <w:b/>
        </w:rPr>
        <w:t>(soit)</w:t>
      </w:r>
    </w:p>
    <w:p w14:paraId="37F9686B" w14:textId="77777777" w:rsidR="00DF410E" w:rsidRDefault="00CE7F43">
      <w:r>
        <w:rPr>
          <w:rStyle w:val="optioncarChar"/>
        </w:rPr>
        <w:t> ***</w:t>
      </w:r>
    </w:p>
    <w:p w14:paraId="7627907B" w14:textId="77777777" w:rsidR="00DF410E" w:rsidRDefault="00DF410E"/>
    <w:p w14:paraId="66DEC70D" w14:textId="77777777" w:rsidR="00DF410E" w:rsidRDefault="00CE7F43">
      <w:r>
        <w:t> </w:t>
      </w:r>
    </w:p>
    <w:p w14:paraId="0B872E0B" w14:textId="77777777" w:rsidR="00DF410E" w:rsidRDefault="00CE7F43">
      <w:pPr>
        <w:pStyle w:val="pheading"/>
      </w:pPr>
      <w:r>
        <w:t>MESURAGE</w:t>
      </w:r>
    </w:p>
    <w:p w14:paraId="5BFE1A2F" w14:textId="77777777" w:rsidR="00DF410E" w:rsidRDefault="00CE7F43">
      <w:pPr>
        <w:pStyle w:val="pheading"/>
      </w:pPr>
      <w:r>
        <w:t>- unité de mesure:</w:t>
      </w:r>
    </w:p>
    <w:p w14:paraId="3E3F7423" w14:textId="77777777" w:rsidR="00DF410E" w:rsidRDefault="00CE7F43">
      <w:r>
        <w:rPr>
          <w:rStyle w:val="optioncarChar"/>
        </w:rPr>
        <w:t>m² </w:t>
      </w:r>
      <w:r>
        <w:t>(par défaut)</w:t>
      </w:r>
      <w:r>
        <w:rPr>
          <w:rStyle w:val="optioncarChar"/>
        </w:rPr>
        <w:t> / m³</w:t>
      </w:r>
    </w:p>
    <w:p w14:paraId="23572E3F" w14:textId="77777777" w:rsidR="00DF410E" w:rsidRDefault="00CE7F43">
      <w:r>
        <w:rPr>
          <w:b/>
        </w:rPr>
        <w:t>(soit par défaut)</w:t>
      </w:r>
    </w:p>
    <w:p w14:paraId="6295DDF5" w14:textId="77777777" w:rsidR="00DF410E" w:rsidRDefault="00CE7F43">
      <w:r>
        <w:rPr>
          <w:rStyle w:val="soitChar"/>
        </w:rPr>
        <w:t>1. m²</w:t>
      </w:r>
    </w:p>
    <w:p w14:paraId="2A70ED40" w14:textId="77777777" w:rsidR="00DF410E" w:rsidRDefault="00CE7F43">
      <w:r>
        <w:rPr>
          <w:b/>
        </w:rPr>
        <w:t>(soit)</w:t>
      </w:r>
    </w:p>
    <w:p w14:paraId="494A83A5" w14:textId="77777777" w:rsidR="00DF410E" w:rsidRDefault="00CE7F43">
      <w:r>
        <w:rPr>
          <w:rStyle w:val="soitChar"/>
        </w:rPr>
        <w:t>2. m³</w:t>
      </w:r>
    </w:p>
    <w:p w14:paraId="4AA93126" w14:textId="77777777" w:rsidR="00DF410E" w:rsidRDefault="00CE7F43">
      <w:pPr>
        <w:pStyle w:val="pheading"/>
      </w:pPr>
      <w:r>
        <w:t>- code de mesurage:</w:t>
      </w:r>
    </w:p>
    <w:p w14:paraId="57CF6156" w14:textId="77777777" w:rsidR="00DF410E" w:rsidRDefault="00CE7F43">
      <w:r>
        <w:t>Les maçonneries sont mesurées en fonction de leur forme géométrique.</w:t>
      </w:r>
    </w:p>
    <w:p w14:paraId="49D5F49C" w14:textId="77777777" w:rsidR="00DF410E" w:rsidRDefault="00CE7F43">
      <w:r>
        <w:t>Les ébrasements des ouvertures et des baies de fenêtres ainsi que la face inférieure des linteaux ne sont comptés (en surface nette) que lorsque leur largeur est supérieure à celle des briques de façade.</w:t>
      </w:r>
    </w:p>
    <w:p w14:paraId="3015F2BE" w14:textId="77777777" w:rsidR="00DF410E" w:rsidRDefault="00CE7F43">
      <w:r>
        <w:t>La coulisse n'est jamais prise en compte.</w:t>
      </w:r>
    </w:p>
    <w:p w14:paraId="550E3658" w14:textId="77777777" w:rsidR="00DF410E" w:rsidRDefault="00CE7F43">
      <w:pPr>
        <w:spacing w:after="0" w:line="259" w:lineRule="auto"/>
      </w:pPr>
      <w:r>
        <w:rPr>
          <w:rStyle w:val="normalChar"/>
        </w:rPr>
        <w:t>Les accessoires (linteaux non décrits et non comptés dans un autre poste, attaches,…) sont compris dans le prix.</w:t>
      </w:r>
    </w:p>
    <w:p w14:paraId="1D47A736" w14:textId="77777777" w:rsidR="00DF410E" w:rsidRDefault="00CE7F43">
      <w:pPr>
        <w:spacing w:after="0" w:line="259" w:lineRule="auto"/>
      </w:pPr>
      <w:r>
        <w:rPr>
          <w:rStyle w:val="normalChar"/>
        </w:rPr>
        <w:t>Sont entre-autres décrits et comptés dans un autre poste :</w:t>
      </w:r>
    </w:p>
    <w:p w14:paraId="60E682E7" w14:textId="77777777" w:rsidR="00DF410E" w:rsidRDefault="00CE7F43">
      <w:pPr>
        <w:pStyle w:val="Author-eListParagraph"/>
        <w:numPr>
          <w:ilvl w:val="0"/>
          <w:numId w:val="246"/>
        </w:numPr>
      </w:pPr>
      <w:r>
        <w:rPr>
          <w:rStyle w:val="normalChar"/>
        </w:rPr>
        <w:t xml:space="preserve">Les linteaux apparents en béton, pierre reconstituée et en pierre sont décrits et comptés en </w:t>
      </w:r>
      <w:hyperlink w:anchor="400" w:history="1">
        <w:r>
          <w:rPr>
            <w:rStyle w:val="normalChar"/>
          </w:rPr>
          <w:t>21.36.3</w:t>
        </w:r>
      </w:hyperlink>
    </w:p>
    <w:p w14:paraId="0638D248" w14:textId="77777777" w:rsidR="00DF410E" w:rsidRDefault="00CE7F43">
      <w:pPr>
        <w:pStyle w:val="Author-eListParagraph"/>
        <w:numPr>
          <w:ilvl w:val="0"/>
          <w:numId w:val="246"/>
        </w:numPr>
      </w:pPr>
      <w:r>
        <w:rPr>
          <w:rStyle w:val="normalChar"/>
        </w:rPr>
        <w:t xml:space="preserve">Les linteaux apparents en acier sont décrits et comptés en </w:t>
      </w:r>
      <w:hyperlink w:anchor="401" w:history="1">
        <w:r>
          <w:rPr>
            <w:rStyle w:val="normalChar"/>
          </w:rPr>
          <w:t>23.13</w:t>
        </w:r>
      </w:hyperlink>
      <w:r>
        <w:rPr>
          <w:rStyle w:val="normalChar"/>
        </w:rPr>
        <w:t xml:space="preserve">. </w:t>
      </w:r>
    </w:p>
    <w:p w14:paraId="4CE7B905" w14:textId="77777777" w:rsidR="00DF410E" w:rsidRDefault="00CE7F43">
      <w:pPr>
        <w:pStyle w:val="Author-eListParagraph"/>
        <w:numPr>
          <w:ilvl w:val="0"/>
          <w:numId w:val="246"/>
        </w:numPr>
      </w:pPr>
      <w:r>
        <w:rPr>
          <w:rStyle w:val="normalChar"/>
        </w:rPr>
        <w:t xml:space="preserve">Les linteaux apparents en bois sont décrits et comptés en </w:t>
      </w:r>
      <w:hyperlink w:anchor="402" w:history="1">
        <w:r>
          <w:rPr>
            <w:rStyle w:val="normalChar"/>
          </w:rPr>
          <w:t>24.13</w:t>
        </w:r>
      </w:hyperlink>
      <w:r>
        <w:rPr>
          <w:rStyle w:val="normalChar"/>
        </w:rPr>
        <w:t>.</w:t>
      </w:r>
    </w:p>
    <w:p w14:paraId="70B1DCBD" w14:textId="77777777" w:rsidR="00DF410E" w:rsidRDefault="00CE7F43">
      <w:pPr>
        <w:spacing w:line="252" w:lineRule="auto"/>
      </w:pPr>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726E3C63" w14:textId="77777777" w:rsidR="00DF410E" w:rsidRDefault="00DF410E"/>
    <w:p w14:paraId="0A0F9A61"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13A22AD2" w14:textId="77777777" w:rsidR="00DF410E" w:rsidRDefault="00CE7F43">
      <w:pPr>
        <w:spacing w:after="0" w:line="252" w:lineRule="auto"/>
      </w:pPr>
      <w:r>
        <w:rPr>
          <w:b/>
          <w:color w:val="000000"/>
        </w:rPr>
        <w:t>(soit par défaut)</w:t>
      </w:r>
    </w:p>
    <w:p w14:paraId="4F517AE0"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3E3D33F" w14:textId="77777777" w:rsidR="00DF410E" w:rsidRDefault="00CE7F43">
      <w:pPr>
        <w:spacing w:after="0" w:line="252" w:lineRule="auto"/>
      </w:pPr>
      <w:r>
        <w:rPr>
          <w:rStyle w:val="soitChar"/>
        </w:rPr>
        <w:t>Distinction faite suivant l'épaisseur.</w:t>
      </w:r>
    </w:p>
    <w:p w14:paraId="562BD2A1" w14:textId="77777777" w:rsidR="00DF410E" w:rsidRDefault="00CE7F43">
      <w:pPr>
        <w:spacing w:line="252" w:lineRule="auto"/>
      </w:pPr>
      <w:r>
        <w:rPr>
          <w:b/>
          <w:color w:val="000000"/>
        </w:rPr>
        <w:t>(soit)</w:t>
      </w:r>
    </w:p>
    <w:p w14:paraId="6A3C53E9"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276C014A"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757A4015" w14:textId="77777777" w:rsidR="00DF410E" w:rsidRDefault="00CE7F43">
      <w:pPr>
        <w:pStyle w:val="pheading"/>
      </w:pPr>
      <w:r>
        <w:t>- nature du marché:</w:t>
      </w:r>
    </w:p>
    <w:p w14:paraId="6DF95B6A" w14:textId="77777777" w:rsidR="00DF410E" w:rsidRDefault="00CE7F43">
      <w:r>
        <w:rPr>
          <w:rStyle w:val="optioncarChar"/>
        </w:rPr>
        <w:t>QF</w:t>
      </w:r>
      <w:r>
        <w:t xml:space="preserve"> (par défaut)</w:t>
      </w:r>
      <w:r>
        <w:rPr>
          <w:rStyle w:val="optioncarChar"/>
        </w:rPr>
        <w:t xml:space="preserve"> / QP</w:t>
      </w:r>
    </w:p>
    <w:p w14:paraId="1234E008" w14:textId="77777777" w:rsidR="00DF410E" w:rsidRDefault="00CE7F43">
      <w:pPr>
        <w:pStyle w:val="Author-eSectionHeading6"/>
      </w:pPr>
      <w:bookmarkStart w:id="250" w:name="_Toc178837481"/>
      <w:r>
        <w:t>21.31.3b Maçonneries de parement en briques de silico-calcaire à coller CCTB 01.12</w:t>
      </w:r>
      <w:bookmarkEnd w:id="250"/>
    </w:p>
    <w:p w14:paraId="11834363" w14:textId="77777777" w:rsidR="00DF410E" w:rsidRDefault="00CE7F43">
      <w:pPr>
        <w:pStyle w:val="pheading"/>
      </w:pPr>
      <w:r>
        <w:t>DESCRIPTION</w:t>
      </w:r>
    </w:p>
    <w:p w14:paraId="73BCF472" w14:textId="77777777" w:rsidR="00DF410E" w:rsidRDefault="00CE7F43">
      <w:pPr>
        <w:pStyle w:val="pheading"/>
      </w:pPr>
      <w:r>
        <w:t>- Définition / Comprend</w:t>
      </w:r>
    </w:p>
    <w:p w14:paraId="32FA9E32" w14:textId="77777777" w:rsidR="00DF410E" w:rsidRDefault="00CE7F43">
      <w:r>
        <w:t xml:space="preserve">Il s’agit de la fourniture et la pose de maçonneries de parement en briques de silico-calcaire à maçonner. </w:t>
      </w:r>
      <w:r>
        <w:br/>
        <w:t xml:space="preserve">La portée des travaux est décrite dans l’article </w:t>
      </w:r>
      <w:hyperlink w:anchor="403" w:history="1">
        <w:r>
          <w:t>21.31.3 Maçonneries de parement en briques de silico-calcaire</w:t>
        </w:r>
      </w:hyperlink>
      <w:r>
        <w:t>.</w:t>
      </w:r>
    </w:p>
    <w:p w14:paraId="5393A37A" w14:textId="77777777" w:rsidR="00DF410E" w:rsidRDefault="00CE7F43">
      <w:pPr>
        <w:pStyle w:val="pheading"/>
      </w:pPr>
      <w:r>
        <w:t>- Localisation</w:t>
      </w:r>
    </w:p>
    <w:p w14:paraId="61F36BD1" w14:textId="77777777" w:rsidR="00DF410E" w:rsidRDefault="00CE7F43">
      <w:r>
        <w:t xml:space="preserve">La pose est réalisée aux endroits suivants : </w:t>
      </w:r>
      <w:r>
        <w:rPr>
          <w:rStyle w:val="optioncarChar"/>
        </w:rPr>
        <w:t>***</w:t>
      </w:r>
      <w:r>
        <w:t>.</w:t>
      </w:r>
    </w:p>
    <w:p w14:paraId="527C0B5D" w14:textId="77777777" w:rsidR="00DF410E" w:rsidRDefault="00CE7F43">
      <w:r>
        <w:t>Voir plans et métrés détaillés.</w:t>
      </w:r>
    </w:p>
    <w:p w14:paraId="7BCCD1D6" w14:textId="77777777" w:rsidR="00DF410E" w:rsidRDefault="00CE7F43">
      <w:pPr>
        <w:pStyle w:val="pheading"/>
      </w:pPr>
      <w:r>
        <w:t>MATÉRIAUX</w:t>
      </w:r>
    </w:p>
    <w:p w14:paraId="7B9B03E3" w14:textId="77777777" w:rsidR="00DF410E" w:rsidRDefault="00CE7F43">
      <w:pPr>
        <w:pStyle w:val="pheading"/>
      </w:pPr>
      <w:r>
        <w:t>- Caractéristiques générales</w:t>
      </w:r>
    </w:p>
    <w:p w14:paraId="04F11321" w14:textId="77777777" w:rsidR="00DF410E" w:rsidRDefault="00CE7F43">
      <w:r>
        <w:rPr>
          <w:b/>
        </w:rPr>
        <w:t>Spécifications</w:t>
      </w:r>
    </w:p>
    <w:p w14:paraId="2F778F9D" w14:textId="77777777" w:rsidR="00DF410E" w:rsidRDefault="00CE7F43">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w:t>
      </w:r>
      <w:r>
        <w:br/>
      </w:r>
      <w:r>
        <w:br/>
        <w:t xml:space="preserve">La classe de qualité suivant [PTV 21-003] est : </w:t>
      </w:r>
      <w:r>
        <w:rPr>
          <w:rStyle w:val="optioncarChar"/>
        </w:rPr>
        <w:t>20/1,8 / ***</w:t>
      </w:r>
      <w:r>
        <w:br/>
      </w:r>
      <w:r>
        <w:br/>
        <w:t xml:space="preserve">La résistance en compression normalisée (fb) suivant [NBN EN 1996 série] + ANB est au minimum: </w:t>
      </w:r>
      <w:r>
        <w:rPr>
          <w:rStyle w:val="optioncarChar"/>
        </w:rPr>
        <w:t xml:space="preserve">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2 / ***</w:t>
      </w:r>
      <w:r>
        <w:br/>
      </w:r>
      <w:r>
        <w:br/>
        <w:t xml:space="preserve">La masse volumique sèche apparente des blocs ρ (rho) est : </w:t>
      </w:r>
      <w:r>
        <w:rPr>
          <w:rStyle w:val="optioncarChar"/>
        </w:rPr>
        <w:t>1800 </w:t>
      </w:r>
      <w:r>
        <w:t>(par défaut)</w:t>
      </w:r>
      <w:r>
        <w:rPr>
          <w:rStyle w:val="optioncarChar"/>
        </w:rPr>
        <w:t xml:space="preserve"> / ***</w:t>
      </w:r>
      <w:r>
        <w:t xml:space="preserve"> kg/m³ (blocs pleins), selon la [NBN EN 771-2+A1].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 </w:t>
      </w:r>
      <w:r>
        <w:t>(par défaut)</w:t>
      </w:r>
      <w:r>
        <w:br/>
      </w:r>
      <w:r>
        <w:br/>
      </w:r>
      <w:r>
        <w:br/>
        <w:t>Stabilité de forme : les éléments en silico-calcaire destinés à un usage extérieur ou en maçonnerie souterraine respectent le critère suivant en matière de comportement à l'humidité : retrait et gonflement hygrométriques ≤ 0.45 mm / m (cf. [PTV 21-003] annexe E).</w:t>
      </w:r>
      <w:r>
        <w:br/>
      </w:r>
      <w:r>
        <w:br/>
        <w:t xml:space="preserve">Absorption d’eau par immersion : </w:t>
      </w:r>
      <w:r>
        <w:rPr>
          <w:rStyle w:val="optioncarChar"/>
        </w:rPr>
        <w:t>code A1 (exposé décoratif) / A2 (exposé) </w:t>
      </w:r>
      <w:r>
        <w:t>(par défaut)</w:t>
      </w:r>
      <w:r>
        <w:br/>
      </w:r>
      <w:r>
        <w:br/>
        <w:t xml:space="preserve">Résistance au gel suivant les classes d’application selon [NBN EN 1996-2 ANB] : </w:t>
      </w:r>
      <w:r>
        <w:rPr>
          <w:rStyle w:val="optioncarChar"/>
        </w:rPr>
        <w:t xml:space="preserve">classe F1 (MX3.1) </w:t>
      </w:r>
      <w:r>
        <w:t>(par défaut) </w:t>
      </w:r>
      <w:r>
        <w:rPr>
          <w:rStyle w:val="optioncarChar"/>
        </w:rPr>
        <w:t>/ classe F2 (MX3.2)</w:t>
      </w:r>
      <w:r>
        <w:br/>
      </w:r>
      <w:r>
        <w:br/>
        <w:t xml:space="preserve">Réaction au feu : </w:t>
      </w:r>
      <w:r>
        <w:rPr>
          <w:rStyle w:val="optioncarChar"/>
        </w:rPr>
        <w:t>A1 </w:t>
      </w:r>
      <w:r>
        <w:t>(par défaut)</w:t>
      </w:r>
      <w:r>
        <w:rPr>
          <w:rStyle w:val="optioncarChar"/>
        </w:rPr>
        <w:t xml:space="preserve"> / ***</w:t>
      </w:r>
      <w:r>
        <w:br/>
      </w:r>
      <w:r>
        <w:br/>
      </w:r>
      <w:r>
        <w:rPr>
          <w:b/>
        </w:rPr>
        <w:t>Critères de performances de la paroi</w:t>
      </w:r>
    </w:p>
    <w:p w14:paraId="18CD3D79" w14:textId="77777777" w:rsidR="00DF410E" w:rsidRDefault="00CE7F43">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 </w:t>
      </w:r>
      <w:r>
        <w:br/>
        <w:t>• pour les éléments porteurs structuraux sans fonction séparante :</w:t>
      </w:r>
      <w:r>
        <w:rPr>
          <w:rStyle w:val="optioncarChar"/>
        </w:rPr>
        <w:t xml:space="preserve"> R 15 / R 30 </w:t>
      </w:r>
      <w:r>
        <w:t>(par défaut)</w:t>
      </w:r>
      <w:r>
        <w:rPr>
          <w:rStyle w:val="optioncarChar"/>
        </w:rPr>
        <w:t xml:space="preserve"> / R 60/ R 120 / R ***</w:t>
      </w:r>
      <w:r>
        <w:br/>
        <w:t xml:space="preserve">• pour les éléments porteurs structuraux avec fonction séparante : </w:t>
      </w:r>
      <w:r>
        <w:rPr>
          <w:rStyle w:val="optioncarChar"/>
        </w:rPr>
        <w:t>REI 30</w:t>
      </w:r>
      <w:r>
        <w:t> (par défaut)</w:t>
      </w:r>
      <w:r>
        <w:rPr>
          <w:rStyle w:val="optioncarChar"/>
        </w:rPr>
        <w:t xml:space="preserve"> / REI 60/ REI 120 / REI ***</w:t>
      </w:r>
      <w:r>
        <w:br/>
        <w:t xml:space="preserve">• pour les éléments non porteurs avec fonction séparante : </w:t>
      </w:r>
      <w:r>
        <w:rPr>
          <w:rStyle w:val="optioncarChar"/>
        </w:rPr>
        <w:t>EI 30 </w:t>
      </w:r>
      <w:r>
        <w:t>(par défaut)</w:t>
      </w:r>
      <w:r>
        <w:rPr>
          <w:rStyle w:val="optioncarChar"/>
        </w:rPr>
        <w:t xml:space="preserve"> / EI 60/ EI 120 / EI ***</w:t>
      </w:r>
      <w:r>
        <w:br/>
        <w:t>selon les tableaux dans [NBN EN 1996-1-2 ANB] </w:t>
      </w:r>
    </w:p>
    <w:p w14:paraId="14BC10B8" w14:textId="77777777" w:rsidR="00DF410E" w:rsidRDefault="00DF410E"/>
    <w:p w14:paraId="0DDA1A72" w14:textId="77777777" w:rsidR="00DF410E" w:rsidRDefault="00CE7F43">
      <w:r>
        <w:t> </w:t>
      </w:r>
    </w:p>
    <w:p w14:paraId="0335325A" w14:textId="77777777" w:rsidR="00DF410E" w:rsidRDefault="00CE7F43">
      <w:pPr>
        <w:pStyle w:val="pheading"/>
      </w:pPr>
      <w:r>
        <w:t>- Finitions</w:t>
      </w:r>
    </w:p>
    <w:p w14:paraId="2AD95D3F"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6FDAF65B" w14:textId="77777777" w:rsidR="00DF410E" w:rsidRDefault="00CE7F43">
      <w:pPr>
        <w:pStyle w:val="pheading"/>
      </w:pPr>
      <w:r>
        <w:t>MESURAGE</w:t>
      </w:r>
    </w:p>
    <w:p w14:paraId="3E29E1F1" w14:textId="77777777" w:rsidR="00DF410E" w:rsidRDefault="00CE7F43">
      <w:pPr>
        <w:pStyle w:val="pheading"/>
      </w:pPr>
      <w:r>
        <w:t>- unité de mesure:</w:t>
      </w:r>
    </w:p>
    <w:p w14:paraId="67CDAF25" w14:textId="77777777" w:rsidR="00DF410E" w:rsidRDefault="00CE7F43">
      <w:r>
        <w:rPr>
          <w:rStyle w:val="optioncarChar"/>
        </w:rPr>
        <w:t>m² </w:t>
      </w:r>
      <w:r>
        <w:t>(par défaut)</w:t>
      </w:r>
      <w:r>
        <w:rPr>
          <w:rStyle w:val="optioncarChar"/>
        </w:rPr>
        <w:t> / m³</w:t>
      </w:r>
    </w:p>
    <w:p w14:paraId="58C4FB0D" w14:textId="77777777" w:rsidR="00DF410E" w:rsidRDefault="00CE7F43">
      <w:r>
        <w:rPr>
          <w:b/>
        </w:rPr>
        <w:t>(soit par défaut)</w:t>
      </w:r>
    </w:p>
    <w:p w14:paraId="17E00F0C" w14:textId="77777777" w:rsidR="00DF410E" w:rsidRDefault="00CE7F43">
      <w:r>
        <w:rPr>
          <w:rStyle w:val="soitChar"/>
        </w:rPr>
        <w:t>1. m²</w:t>
      </w:r>
    </w:p>
    <w:p w14:paraId="09ADF35D" w14:textId="77777777" w:rsidR="00DF410E" w:rsidRDefault="00CE7F43">
      <w:r>
        <w:rPr>
          <w:b/>
        </w:rPr>
        <w:t>(soit)</w:t>
      </w:r>
    </w:p>
    <w:p w14:paraId="715DEC82" w14:textId="77777777" w:rsidR="00DF410E" w:rsidRDefault="00CE7F43">
      <w:r>
        <w:rPr>
          <w:rStyle w:val="soitChar"/>
        </w:rPr>
        <w:t>2. m³</w:t>
      </w:r>
    </w:p>
    <w:p w14:paraId="3B471A22" w14:textId="77777777" w:rsidR="00DF410E" w:rsidRDefault="00CE7F43">
      <w:pPr>
        <w:pStyle w:val="pheading"/>
      </w:pPr>
      <w:r>
        <w:t>- code de mesurage:</w:t>
      </w:r>
    </w:p>
    <w:p w14:paraId="31C25B33" w14:textId="77777777" w:rsidR="00DF410E" w:rsidRDefault="00CE7F43">
      <w:r>
        <w:t>Les maçonneries sont mesurées en fonction de leur forme géométrique.</w:t>
      </w:r>
    </w:p>
    <w:p w14:paraId="08318CFF" w14:textId="77777777" w:rsidR="00DF410E" w:rsidRDefault="00CE7F43">
      <w:r>
        <w:t>Si les maçonneries sont métrées en m², les quantités sont groupées selon leur épaisseur.</w:t>
      </w:r>
    </w:p>
    <w:p w14:paraId="6FFAC177"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01DCE03B" w14:textId="77777777" w:rsidR="00DF410E" w:rsidRDefault="00CE7F43">
      <w:r>
        <w:t>Les ébrasements des ouvertures et des baies de fenêtres ainsi que la face inférieure des linteaux ne sont comptés (en surface nette) que lorsque leur largeur est supérieure à celle des briques de façade.</w:t>
      </w:r>
    </w:p>
    <w:p w14:paraId="1192DD6D" w14:textId="77777777" w:rsidR="00DF410E" w:rsidRDefault="00CE7F43">
      <w:r>
        <w:t>La coulisse n'est jamais prise en compte.</w:t>
      </w:r>
    </w:p>
    <w:p w14:paraId="4A455599" w14:textId="77777777" w:rsidR="00DF410E" w:rsidRDefault="00CE7F43">
      <w:r>
        <w:t>Pour un mesurage en m³, la longueur des murs est mesurée dans l'axe de l'élément ; à l’intersection de deux murs, seul le mur le plus épais est considéré. Aucun volume n'est compté deux fois.</w:t>
      </w:r>
    </w:p>
    <w:p w14:paraId="60F1A57F"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166EDF3"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54C363EF" w14:textId="77777777" w:rsidR="00DF410E" w:rsidRDefault="00CE7F43">
      <w:pPr>
        <w:spacing w:after="0" w:line="252" w:lineRule="auto"/>
      </w:pPr>
      <w:r>
        <w:rPr>
          <w:b/>
          <w:color w:val="000000"/>
        </w:rPr>
        <w:t>(soit par défaut)</w:t>
      </w:r>
    </w:p>
    <w:p w14:paraId="66DDADCD"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161737A" w14:textId="77777777" w:rsidR="00DF410E" w:rsidRDefault="00CE7F43">
      <w:pPr>
        <w:spacing w:after="0" w:line="252" w:lineRule="auto"/>
      </w:pPr>
      <w:r>
        <w:rPr>
          <w:rStyle w:val="soitChar"/>
        </w:rPr>
        <w:t>Distinction faite suivant l'épaisseur.</w:t>
      </w:r>
    </w:p>
    <w:p w14:paraId="7297FFA3" w14:textId="77777777" w:rsidR="00DF410E" w:rsidRDefault="00CE7F43">
      <w:pPr>
        <w:spacing w:line="252" w:lineRule="auto"/>
      </w:pPr>
      <w:r>
        <w:rPr>
          <w:b/>
          <w:color w:val="000000"/>
        </w:rPr>
        <w:t>(soit)</w:t>
      </w:r>
    </w:p>
    <w:p w14:paraId="4C36F4C5"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358FA69"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378B8DF9" w14:textId="77777777" w:rsidR="00DF410E" w:rsidRDefault="00CE7F43">
      <w:pPr>
        <w:pStyle w:val="pheading"/>
      </w:pPr>
      <w:r>
        <w:t>- nature du marché:</w:t>
      </w:r>
    </w:p>
    <w:p w14:paraId="7FD25ECC" w14:textId="77777777" w:rsidR="00DF410E" w:rsidRDefault="00CE7F43">
      <w:r>
        <w:t>QF</w:t>
      </w:r>
    </w:p>
    <w:p w14:paraId="448BB40A" w14:textId="77777777" w:rsidR="00DF410E" w:rsidRDefault="00CE7F43">
      <w:pPr>
        <w:pStyle w:val="Author-eSectionHeading5"/>
      </w:pPr>
      <w:bookmarkStart w:id="251" w:name="_Toc178837482"/>
      <w:r>
        <w:t>21.31.4 Maçonneries de parement en briquettes CCTB 01.04</w:t>
      </w:r>
      <w:bookmarkEnd w:id="251"/>
    </w:p>
    <w:p w14:paraId="3E86CE42" w14:textId="77777777" w:rsidR="00DF410E" w:rsidRDefault="00CE7F43">
      <w:pPr>
        <w:pStyle w:val="pheading"/>
      </w:pPr>
      <w:r>
        <w:t>DESCRIPTION</w:t>
      </w:r>
    </w:p>
    <w:p w14:paraId="54A37FA9" w14:textId="77777777" w:rsidR="00DF410E" w:rsidRDefault="00CE7F43">
      <w:pPr>
        <w:pStyle w:val="pheading"/>
      </w:pPr>
      <w:r>
        <w:t>- Définition / Comprend</w:t>
      </w:r>
    </w:p>
    <w:p w14:paraId="1F654D63" w14:textId="77777777" w:rsidR="00DF410E" w:rsidRDefault="00CE7F43">
      <w:r>
        <w:t xml:space="preserve">Voir </w:t>
      </w:r>
      <w:hyperlink r:id="rId31" w:history="1" w:docLocation="404">
        <w:r>
          <w:t>43.33 Revêtements de façade rigides collés - plaquettes en terre cuite</w:t>
        </w:r>
      </w:hyperlink>
    </w:p>
    <w:p w14:paraId="0C56A463" w14:textId="77777777" w:rsidR="00DF410E" w:rsidRDefault="00CE7F43">
      <w:pPr>
        <w:pStyle w:val="Author-eSectionHeading4"/>
      </w:pPr>
      <w:bookmarkStart w:id="252" w:name="_Toc178837483"/>
      <w:r>
        <w:t>21.32 Maçonneries de parement en blocs CCTB 01.02</w:t>
      </w:r>
      <w:bookmarkEnd w:id="252"/>
    </w:p>
    <w:p w14:paraId="72ED2023" w14:textId="77777777" w:rsidR="00DF410E" w:rsidRDefault="00CE7F43">
      <w:pPr>
        <w:pStyle w:val="Author-eSectionHeading5"/>
      </w:pPr>
      <w:bookmarkStart w:id="253" w:name="461"/>
      <w:bookmarkStart w:id="254" w:name="_Toc178837484"/>
      <w:bookmarkEnd w:id="253"/>
      <w:r>
        <w:t>21.32.1 Maçonneries de parement en blocs treillis de terre cuite CCTB 01.02</w:t>
      </w:r>
      <w:bookmarkEnd w:id="254"/>
    </w:p>
    <w:p w14:paraId="0DF6C512" w14:textId="77777777" w:rsidR="00DF410E" w:rsidRDefault="00CE7F43">
      <w:pPr>
        <w:pStyle w:val="Author-eSectionHeading6"/>
      </w:pPr>
      <w:bookmarkStart w:id="255" w:name="_Toc178837485"/>
      <w:r>
        <w:t>21.32.1a Maçonneries de parement en blocs treillis de terre cuite à maçonner CCTB 01.11</w:t>
      </w:r>
      <w:bookmarkEnd w:id="255"/>
    </w:p>
    <w:p w14:paraId="4EF2FBCF" w14:textId="77777777" w:rsidR="00DF410E" w:rsidRDefault="00CE7F43">
      <w:pPr>
        <w:pStyle w:val="pheading"/>
      </w:pPr>
      <w:r>
        <w:t>DESCRIPTION</w:t>
      </w:r>
    </w:p>
    <w:p w14:paraId="5AB31DD9" w14:textId="77777777" w:rsidR="00DF410E" w:rsidRDefault="00CE7F43">
      <w:pPr>
        <w:pStyle w:val="pheading"/>
      </w:pPr>
      <w:r>
        <w:t>- Définition / Comprend</w:t>
      </w:r>
    </w:p>
    <w:p w14:paraId="248CEC05" w14:textId="77777777" w:rsidR="00DF410E" w:rsidRDefault="00CE7F43">
      <w:r>
        <w:t xml:space="preserve">Il s’agit de la fourniture et la pose de maçonneries de parement en blocs treillis de terre cuite à maçonner. </w:t>
      </w:r>
      <w:r>
        <w:br/>
        <w:t>La portée des travaux est décrite dans l’article </w:t>
      </w:r>
      <w:hyperlink w:anchor="379" w:history="1">
        <w:r>
          <w:t>21.3 Maçonneries de parement</w:t>
        </w:r>
      </w:hyperlink>
      <w:r>
        <w:t>.</w:t>
      </w:r>
    </w:p>
    <w:p w14:paraId="4D473BA8" w14:textId="77777777" w:rsidR="00DF410E" w:rsidRDefault="00CE7F43">
      <w:pPr>
        <w:pStyle w:val="pheading"/>
      </w:pPr>
      <w:r>
        <w:t>- Localisation</w:t>
      </w:r>
    </w:p>
    <w:p w14:paraId="40C86C94" w14:textId="77777777" w:rsidR="00DF410E" w:rsidRDefault="00CE7F43">
      <w:r>
        <w:t>La pose est réalisée aux endroits suivants :</w:t>
      </w:r>
      <w:r>
        <w:rPr>
          <w:rStyle w:val="optioncarChar"/>
        </w:rPr>
        <w:t xml:space="preserve"> ***</w:t>
      </w:r>
      <w:r>
        <w:t>.</w:t>
      </w:r>
    </w:p>
    <w:p w14:paraId="63FA4DB8" w14:textId="77777777" w:rsidR="00DF410E" w:rsidRDefault="00CE7F43">
      <w:r>
        <w:t>Voir plans et métrés détaillés.</w:t>
      </w:r>
    </w:p>
    <w:p w14:paraId="14847186" w14:textId="77777777" w:rsidR="00DF410E" w:rsidRDefault="00CE7F43">
      <w:pPr>
        <w:pStyle w:val="pheading"/>
      </w:pPr>
      <w:r>
        <w:t>MATÉRIAUX</w:t>
      </w:r>
    </w:p>
    <w:p w14:paraId="3803E7D0" w14:textId="77777777" w:rsidR="00DF410E" w:rsidRDefault="00CE7F43">
      <w:pPr>
        <w:pStyle w:val="pheading"/>
      </w:pPr>
      <w:r>
        <w:t>- Caractéristiques générales</w:t>
      </w:r>
    </w:p>
    <w:p w14:paraId="08E0F101" w14:textId="77777777" w:rsidR="00DF410E" w:rsidRDefault="00CE7F43">
      <w:r>
        <w:t>B</w:t>
      </w:r>
      <w:r>
        <w:rPr>
          <w:b/>
        </w:rPr>
        <w:t>loc</w:t>
      </w:r>
    </w:p>
    <w:p w14:paraId="388A700E" w14:textId="77777777" w:rsidR="00DF410E" w:rsidRDefault="00CE7F43">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w:t>
      </w:r>
      <w:r>
        <w:rPr>
          <w:rStyle w:val="optioncarChar"/>
          <w:color w:val="000000"/>
        </w:rPr>
        <w:t xml:space="preserve"> *** </w:t>
      </w:r>
      <w:r>
        <w:rPr>
          <w:rStyle w:val="normalChar"/>
          <w:color w:val="000000"/>
        </w:rPr>
        <w:t>N/mm² (MPa). </w:t>
      </w:r>
      <w:r>
        <w:br/>
      </w:r>
      <w:r>
        <w:br/>
        <w:t xml:space="preserve">Le groupe de configuration suivant </w:t>
      </w:r>
      <w:r>
        <w:rPr>
          <w:color w:val="0000FF"/>
        </w:rPr>
        <w:t>[NBN EN 1996-1-1+A1 ANB]</w:t>
      </w:r>
      <w:r>
        <w:t xml:space="preserve">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w:t>
      </w:r>
      <w:r>
        <w:br/>
      </w:r>
      <w:r>
        <w:br/>
        <w:t xml:space="preserve">Teinte : </w:t>
      </w:r>
      <w:r>
        <w:rPr>
          <w:rStyle w:val="optioncarChar"/>
        </w:rPr>
        <w:t>blanc / rouge </w:t>
      </w:r>
      <w:r>
        <w:t>(par défaut)</w:t>
      </w:r>
      <w:r>
        <w:rPr>
          <w:rStyle w:val="optioncarChar"/>
        </w:rPr>
        <w:t xml:space="preserve"> / gris / ***</w:t>
      </w:r>
    </w:p>
    <w:p w14:paraId="31F9A7DF" w14:textId="77777777" w:rsidR="00DF410E" w:rsidRDefault="00CE7F43">
      <w:r>
        <w:rPr>
          <w:rStyle w:val="normalChar"/>
          <w:color w:val="000000"/>
        </w:rPr>
        <w:t>Épaisseur nominale du mur : </w:t>
      </w:r>
      <w:r>
        <w:rPr>
          <w:rStyle w:val="optioncarChar"/>
          <w:color w:val="000000"/>
        </w:rPr>
        <w:t xml:space="preserve"> 9 / 14 / 19 / ***</w:t>
      </w:r>
      <w:r>
        <w:rPr>
          <w:rStyle w:val="normalChar"/>
          <w:color w:val="000000"/>
        </w:rPr>
        <w:t xml:space="preserve"> cm </w:t>
      </w:r>
      <w:r>
        <w:rPr>
          <w:rStyle w:val="optioncarChar"/>
          <w:color w:val="000000"/>
        </w:rPr>
        <w:t xml:space="preserve">/ selon les indications sur les plans </w:t>
      </w:r>
      <w:r>
        <w:t>(par défaut)</w:t>
      </w:r>
      <w:r>
        <w:rPr>
          <w:rStyle w:val="optioncarChar"/>
          <w:color w:val="000000"/>
        </w:rPr>
        <w:t>.</w:t>
      </w:r>
    </w:p>
    <w:p w14:paraId="51A9E73C" w14:textId="77777777" w:rsidR="00DF410E" w:rsidRDefault="00CE7F43">
      <w:r>
        <w:br/>
        <w:t xml:space="preserve">Format : (L x l x h) </w:t>
      </w:r>
      <w:r>
        <w:rPr>
          <w:rStyle w:val="optioncarChar"/>
        </w:rPr>
        <w:t>*** x *** x *** mm / format modulaire proposé par l'entrepreneur </w:t>
      </w:r>
      <w:r>
        <w:t>(par défaut)</w:t>
      </w:r>
    </w:p>
    <w:p w14:paraId="7E18BEBC" w14:textId="77777777" w:rsidR="00DF410E" w:rsidRDefault="00CE7F43">
      <w:r>
        <w:t>Tolérances dimensionnelles :</w:t>
      </w:r>
    </w:p>
    <w:p w14:paraId="165A3F9D" w14:textId="77777777" w:rsidR="00DF410E" w:rsidRDefault="00CE7F43">
      <w:r>
        <w:t xml:space="preserve">Tolérances de la valeur moyenne : </w:t>
      </w:r>
      <w:r>
        <w:rPr>
          <w:rStyle w:val="optioncarChar"/>
        </w:rPr>
        <w:t>T1 / T2 / Tm / ***</w:t>
      </w:r>
      <w:r>
        <w:br/>
        <w:t xml:space="preserve">Plage : </w:t>
      </w:r>
      <w:r>
        <w:rPr>
          <w:rStyle w:val="optioncarChar"/>
        </w:rPr>
        <w:t>R1 / R2 / Rm / ***</w:t>
      </w:r>
    </w:p>
    <w:p w14:paraId="1F4733B1" w14:textId="77777777" w:rsidR="00DF410E" w:rsidRDefault="00CE7F43">
      <w:r>
        <w:rPr>
          <w:rStyle w:val="normalChar"/>
          <w:color w:val="000000"/>
        </w:rPr>
        <w:t xml:space="preserve">La classe d’exposition de la maçonnerie est : </w:t>
      </w:r>
      <w:r>
        <w:rPr>
          <w:rStyle w:val="optioncarChar"/>
        </w:rPr>
        <w:t>MX1 / MX2 ou MX3 (par défaut)/ MX4 / MX5</w:t>
      </w:r>
    </w:p>
    <w:p w14:paraId="0996D5FC" w14:textId="77777777" w:rsidR="00DF410E" w:rsidRDefault="00CE7F43">
      <w:r>
        <w:t xml:space="preserve">Taux initial d’absorption d’eau : classe </w:t>
      </w:r>
      <w:r>
        <w:rPr>
          <w:rStyle w:val="optioncarChar"/>
        </w:rPr>
        <w:t>IW1 / IW2 / IW3 / IW4</w:t>
      </w:r>
    </w:p>
    <w:p w14:paraId="7A9BDF5D" w14:textId="77777777" w:rsidR="00DF410E" w:rsidRDefault="00CE7F43">
      <w:r>
        <w:rPr>
          <w:rStyle w:val="normalChar"/>
          <w:color w:val="000000"/>
        </w:rPr>
        <w:t>Le niveau de résistance au gel est compatible avec la classe d’exposition.</w:t>
      </w:r>
      <w:r>
        <w:br/>
      </w:r>
      <w:r>
        <w:br/>
        <w:t xml:space="preserve">Réaction au feu : </w:t>
      </w:r>
      <w:r>
        <w:rPr>
          <w:rStyle w:val="optioncarChar"/>
        </w:rPr>
        <w:t>A1</w:t>
      </w:r>
      <w:r>
        <w:t> (par défaut)</w:t>
      </w:r>
      <w:r>
        <w:rPr>
          <w:rStyle w:val="optioncarChar"/>
        </w:rPr>
        <w:t xml:space="preserve"> / ***</w:t>
      </w:r>
      <w:r>
        <w:br/>
      </w:r>
      <w:r>
        <w:br/>
      </w:r>
      <w:r>
        <w:rPr>
          <w:b/>
        </w:rPr>
        <w:t>Mortier</w:t>
      </w:r>
    </w:p>
    <w:p w14:paraId="48D4E32D" w14:textId="77777777" w:rsidR="00DF410E" w:rsidRDefault="00CE7F43">
      <w:r>
        <w:rPr>
          <w:rStyle w:val="normalChar"/>
          <w:color w:val="000000"/>
        </w:rPr>
        <w:t xml:space="preserve">Le mortier est du type G ou dosé in situ adapté à des joints d’épaisseur nominale de </w:t>
      </w:r>
      <w:r>
        <w:rPr>
          <w:rStyle w:val="optioncarChar"/>
        </w:rPr>
        <w:t>8 </w:t>
      </w:r>
      <w:r>
        <w:t xml:space="preserve">(par défaut) </w:t>
      </w:r>
      <w:r>
        <w:rPr>
          <w:rStyle w:val="optioncarChar"/>
        </w:rPr>
        <w:t>/ 12 / ***</w:t>
      </w:r>
      <w:r>
        <w:t xml:space="preserve"> mm.</w:t>
      </w:r>
      <w:r>
        <w:br/>
      </w:r>
      <w:r>
        <w:br/>
      </w:r>
      <w:r>
        <w:br/>
      </w:r>
      <w:r>
        <w:rPr>
          <w:b/>
        </w:rPr>
        <w:t>Critères de performances du parement</w:t>
      </w:r>
    </w:p>
    <w:p w14:paraId="2A1C20DF" w14:textId="77777777" w:rsidR="00DF410E" w:rsidRDefault="00CE7F43">
      <w:r>
        <w:br/>
        <w:t xml:space="preserve">• valeur λUi ou λUe maximum </w:t>
      </w:r>
      <w:r>
        <w:rPr>
          <w:rStyle w:val="optioncarChar"/>
        </w:rPr>
        <w:t>***</w:t>
      </w:r>
      <w:r>
        <w:t xml:space="preserve"> W/mK (suivant l’application).</w:t>
      </w:r>
    </w:p>
    <w:p w14:paraId="1425D797" w14:textId="77777777" w:rsidR="00DF410E" w:rsidRDefault="00CE7F43">
      <w:pPr>
        <w:pStyle w:val="pheading"/>
      </w:pPr>
      <w:r>
        <w:t>- Finitions</w:t>
      </w:r>
    </w:p>
    <w:p w14:paraId="0ACC87C3"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6380F763"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59F8FF7"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3562F25D"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2FF8A863"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160A631" w14:textId="77777777" w:rsidR="00DF410E" w:rsidRDefault="00DF410E"/>
    <w:p w14:paraId="23D4A9E7" w14:textId="77777777" w:rsidR="00DF410E" w:rsidRDefault="00CE7F43">
      <w:pPr>
        <w:pStyle w:val="pheading"/>
      </w:pPr>
      <w:r>
        <w:t>EXÉCUTION / MISE EN ŒUVRE</w:t>
      </w:r>
    </w:p>
    <w:p w14:paraId="3086BF63" w14:textId="77777777" w:rsidR="00DF410E" w:rsidRDefault="00CE7F43">
      <w:pPr>
        <w:pStyle w:val="pheading"/>
      </w:pPr>
      <w:r>
        <w:t>- Prescriptions générales</w:t>
      </w:r>
    </w:p>
    <w:p w14:paraId="3C6902D8" w14:textId="77777777" w:rsidR="00DF410E" w:rsidRDefault="00CE7F43">
      <w:pPr>
        <w:spacing w:line="259" w:lineRule="auto"/>
      </w:pPr>
      <w:r>
        <w:t xml:space="preserve">La maçonnerie est exécutée en appareil </w:t>
      </w:r>
      <w:r>
        <w:rPr>
          <w:rStyle w:val="optioncarChar"/>
        </w:rPr>
        <w:t>d'une demi-brique </w:t>
      </w:r>
      <w:r>
        <w:t>(par défaut)</w:t>
      </w:r>
      <w:r>
        <w:rPr>
          <w:rStyle w:val="optioncarChar"/>
        </w:rPr>
        <w:t xml:space="preserve"> / ***</w:t>
      </w:r>
    </w:p>
    <w:p w14:paraId="239EF60E" w14:textId="77777777" w:rsidR="00DF410E" w:rsidRDefault="00DF410E"/>
    <w:p w14:paraId="24524BE8"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0436CE70" w14:textId="77777777" w:rsidR="00DF410E" w:rsidRDefault="00DF410E"/>
    <w:p w14:paraId="459A5948" w14:textId="77777777" w:rsidR="00DF410E" w:rsidRDefault="00CE7F43">
      <w:pPr>
        <w:spacing w:line="259" w:lineRule="auto"/>
      </w:pPr>
      <w:r>
        <w:rPr>
          <w:rStyle w:val="normalChar"/>
          <w:b/>
          <w:color w:val="000000"/>
        </w:rPr>
        <w:t>LINTEAUX</w:t>
      </w:r>
    </w:p>
    <w:p w14:paraId="4D5FFAA5"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761F5D76" w14:textId="77777777" w:rsidR="00DF410E" w:rsidRDefault="00CE7F43">
      <w:r>
        <w:rPr>
          <w:b/>
        </w:rPr>
        <w:t>(soit par défaut)</w:t>
      </w:r>
    </w:p>
    <w:p w14:paraId="2C5169AF" w14:textId="77777777" w:rsidR="00DF410E" w:rsidRDefault="00CE7F43">
      <w:r>
        <w:rPr>
          <w:rStyle w:val="soitChar"/>
          <w:u w:val="single"/>
        </w:rPr>
        <w:t>D'une armature et de crochets de mur</w:t>
      </w:r>
      <w:r>
        <w:rPr>
          <w:rStyle w:val="soitChar"/>
        </w:rPr>
        <w:t>  :</w:t>
      </w:r>
    </w:p>
    <w:p w14:paraId="4A50351E"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021291E0" w14:textId="77777777" w:rsidR="00DF410E" w:rsidRDefault="00CE7F43">
      <w:r>
        <w:rPr>
          <w:b/>
        </w:rPr>
        <w:t>(soit)</w:t>
      </w:r>
    </w:p>
    <w:p w14:paraId="1D72E6EA"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5C115CC0" w14:textId="77777777" w:rsidR="00DF410E" w:rsidRDefault="00CE7F43">
      <w:r>
        <w:rPr>
          <w:b/>
        </w:rPr>
        <w:t>(soit)</w:t>
      </w:r>
    </w:p>
    <w:p w14:paraId="21201602"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66F8FF8D" w14:textId="77777777" w:rsidR="00DF410E" w:rsidRDefault="00CE7F43">
      <w:r>
        <w:rPr>
          <w:b/>
        </w:rPr>
        <w:t>(soit)</w:t>
      </w:r>
    </w:p>
    <w:p w14:paraId="7970A03B"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70BFF9BB" w14:textId="77777777" w:rsidR="00DF410E" w:rsidRDefault="00CE7F43">
      <w:r>
        <w:rPr>
          <w:b/>
        </w:rPr>
        <w:t>(soit)</w:t>
      </w:r>
    </w:p>
    <w:p w14:paraId="0FDC7658" w14:textId="77777777" w:rsidR="00DF410E" w:rsidRDefault="00CE7F43">
      <w:r>
        <w:rPr>
          <w:rStyle w:val="optioncarChar"/>
        </w:rPr>
        <w:t> ***</w:t>
      </w:r>
    </w:p>
    <w:p w14:paraId="17B4C7BE" w14:textId="77777777" w:rsidR="00DF410E" w:rsidRDefault="00DF410E"/>
    <w:p w14:paraId="0D5F793A" w14:textId="77777777" w:rsidR="00DF410E" w:rsidRDefault="00CE7F43">
      <w:pPr>
        <w:pStyle w:val="pheading"/>
      </w:pPr>
      <w:r>
        <w:t>MESURAGE</w:t>
      </w:r>
    </w:p>
    <w:p w14:paraId="22BA5833" w14:textId="77777777" w:rsidR="00DF410E" w:rsidRDefault="00CE7F43">
      <w:pPr>
        <w:pStyle w:val="pheading"/>
      </w:pPr>
      <w:r>
        <w:t>- unité de mesure:</w:t>
      </w:r>
    </w:p>
    <w:p w14:paraId="61D663DB" w14:textId="77777777" w:rsidR="00DF410E" w:rsidRDefault="00CE7F43">
      <w:r>
        <w:rPr>
          <w:rStyle w:val="optioncarChar"/>
        </w:rPr>
        <w:t>m² </w:t>
      </w:r>
      <w:r>
        <w:rPr>
          <w:rStyle w:val="optioncarChar"/>
          <w:color w:val="000000"/>
        </w:rPr>
        <w:t>(par défaut)</w:t>
      </w:r>
      <w:r>
        <w:rPr>
          <w:rStyle w:val="optioncarChar"/>
        </w:rPr>
        <w:t> / m³</w:t>
      </w:r>
    </w:p>
    <w:p w14:paraId="78C1C5C3" w14:textId="77777777" w:rsidR="00DF410E" w:rsidRDefault="00CE7F43">
      <w:pPr>
        <w:spacing w:after="0" w:line="0" w:lineRule="atLeast"/>
      </w:pPr>
      <w:r>
        <w:rPr>
          <w:b/>
          <w:color w:val="000000"/>
        </w:rPr>
        <w:t>(soit par défaut)</w:t>
      </w:r>
    </w:p>
    <w:p w14:paraId="3CCCB7AF" w14:textId="77777777" w:rsidR="00DF410E" w:rsidRDefault="00CE7F43">
      <w:pPr>
        <w:spacing w:after="0" w:line="0" w:lineRule="atLeast"/>
      </w:pPr>
      <w:r>
        <w:rPr>
          <w:rStyle w:val="soitChar"/>
        </w:rPr>
        <w:t>1. m²</w:t>
      </w:r>
    </w:p>
    <w:p w14:paraId="14AF9981" w14:textId="77777777" w:rsidR="00DF410E" w:rsidRDefault="00CE7F43">
      <w:pPr>
        <w:spacing w:after="0" w:line="0" w:lineRule="atLeast"/>
      </w:pPr>
      <w:r>
        <w:rPr>
          <w:b/>
          <w:color w:val="000000"/>
        </w:rPr>
        <w:t>(soit)</w:t>
      </w:r>
    </w:p>
    <w:p w14:paraId="2FA0B70A" w14:textId="77777777" w:rsidR="00DF410E" w:rsidRDefault="00CE7F43">
      <w:pPr>
        <w:spacing w:after="0" w:line="0" w:lineRule="atLeast"/>
      </w:pPr>
      <w:r>
        <w:rPr>
          <w:rStyle w:val="soitChar"/>
        </w:rPr>
        <w:t>2. m³</w:t>
      </w:r>
    </w:p>
    <w:p w14:paraId="439AD7EB" w14:textId="77777777" w:rsidR="00DF410E" w:rsidRDefault="00CE7F43">
      <w:pPr>
        <w:pStyle w:val="pheading"/>
      </w:pPr>
      <w:r>
        <w:t>- code de mesurage:</w:t>
      </w:r>
    </w:p>
    <w:p w14:paraId="265A31AF" w14:textId="77777777" w:rsidR="00DF410E" w:rsidRDefault="00CE7F43">
      <w:pPr>
        <w:spacing w:before="0" w:after="0"/>
      </w:pPr>
      <w:r>
        <w:t>Les maçonneries sont mesurées en fonction de leur forme géométrique.</w:t>
      </w:r>
    </w:p>
    <w:p w14:paraId="6D30BBD9"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01A3534B" w14:textId="77777777" w:rsidR="00DF410E" w:rsidRDefault="00CE7F43">
      <w:pPr>
        <w:spacing w:before="0" w:after="0"/>
      </w:pPr>
      <w:r>
        <w:t>La coulisse n'est jamais prise en compte.</w:t>
      </w:r>
    </w:p>
    <w:p w14:paraId="71BF279B" w14:textId="77777777" w:rsidR="00DF410E" w:rsidRDefault="00CE7F43">
      <w:pPr>
        <w:spacing w:after="0" w:line="259" w:lineRule="auto"/>
      </w:pPr>
      <w:r>
        <w:rPr>
          <w:rStyle w:val="normalChar"/>
        </w:rPr>
        <w:t>Les accessoires (linteaux non décrits et non comptés dans un autre poste, attaches,…) sont compris dans le prix.</w:t>
      </w:r>
    </w:p>
    <w:p w14:paraId="4D5F4A76" w14:textId="77777777" w:rsidR="00DF410E" w:rsidRDefault="00CE7F43">
      <w:pPr>
        <w:spacing w:after="0" w:line="259" w:lineRule="auto"/>
      </w:pPr>
      <w:r>
        <w:rPr>
          <w:rStyle w:val="normalChar"/>
        </w:rPr>
        <w:t>Sont entre-autres décrits et comptés dans un autre poste :</w:t>
      </w:r>
    </w:p>
    <w:p w14:paraId="5BB87E7C" w14:textId="77777777" w:rsidR="00DF410E" w:rsidRDefault="00CE7F43">
      <w:pPr>
        <w:pStyle w:val="Author-eListParagraph"/>
        <w:numPr>
          <w:ilvl w:val="0"/>
          <w:numId w:val="247"/>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4FD95148" w14:textId="77777777" w:rsidR="00DF410E" w:rsidRDefault="00CE7F43">
      <w:pPr>
        <w:pStyle w:val="Author-eListParagraph"/>
        <w:numPr>
          <w:ilvl w:val="0"/>
          <w:numId w:val="247"/>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5F10291F" w14:textId="77777777" w:rsidR="00DF410E" w:rsidRDefault="00CE7F43">
      <w:pPr>
        <w:pStyle w:val="Author-eListParagraph"/>
        <w:numPr>
          <w:ilvl w:val="0"/>
          <w:numId w:val="247"/>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0A066EAB" w14:textId="77777777" w:rsidR="00DF410E" w:rsidRDefault="00DF410E"/>
    <w:p w14:paraId="33D058E2"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5AEEA9DF" w14:textId="77777777" w:rsidR="00DF410E" w:rsidRDefault="00CE7F43">
      <w:pPr>
        <w:spacing w:after="0" w:line="252" w:lineRule="auto"/>
      </w:pPr>
      <w:r>
        <w:rPr>
          <w:b/>
          <w:color w:val="000000"/>
        </w:rPr>
        <w:t>(soit par défaut)</w:t>
      </w:r>
    </w:p>
    <w:p w14:paraId="10F7ACB4" w14:textId="77777777" w:rsidR="00DF410E" w:rsidRDefault="00CE7F43">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8A91CF5" w14:textId="77777777" w:rsidR="00DF410E" w:rsidRDefault="00CE7F43">
      <w:pPr>
        <w:spacing w:after="0" w:line="252" w:lineRule="auto"/>
      </w:pPr>
      <w:r>
        <w:rPr>
          <w:rStyle w:val="soitChar"/>
        </w:rPr>
        <w:t>Distinction faite suivant l'épaisseur.</w:t>
      </w:r>
    </w:p>
    <w:p w14:paraId="5AC892E2" w14:textId="77777777" w:rsidR="00DF410E" w:rsidRDefault="00CE7F43">
      <w:pPr>
        <w:spacing w:line="252" w:lineRule="auto"/>
      </w:pPr>
      <w:r>
        <w:rPr>
          <w:b/>
          <w:color w:val="000000"/>
        </w:rPr>
        <w:t>(soit)</w:t>
      </w:r>
    </w:p>
    <w:p w14:paraId="5BB7C490"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3FCA7B3"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7EBA3A44" w14:textId="77777777" w:rsidR="00DF410E" w:rsidRDefault="00CE7F43">
      <w:pPr>
        <w:pStyle w:val="pheading"/>
      </w:pPr>
      <w:r>
        <w:t>- nature du marché:</w:t>
      </w:r>
    </w:p>
    <w:p w14:paraId="495A4467" w14:textId="77777777" w:rsidR="00DF410E" w:rsidRDefault="00CE7F43">
      <w:r>
        <w:t>QF</w:t>
      </w:r>
    </w:p>
    <w:p w14:paraId="26FF0D71" w14:textId="77777777" w:rsidR="00DF410E" w:rsidRDefault="00CE7F43">
      <w:pPr>
        <w:pStyle w:val="Author-eSectionHeading6"/>
      </w:pPr>
      <w:bookmarkStart w:id="256" w:name="_Toc178837486"/>
      <w:r>
        <w:t>21.32.1b Maçonneries de parement en blocs treillis de terre cuite à coller CCTB 01.11</w:t>
      </w:r>
      <w:bookmarkEnd w:id="256"/>
    </w:p>
    <w:p w14:paraId="21B382B7" w14:textId="77777777" w:rsidR="00DF410E" w:rsidRDefault="00CE7F43">
      <w:pPr>
        <w:pStyle w:val="pheading"/>
      </w:pPr>
      <w:r>
        <w:t>DESCRIPTION</w:t>
      </w:r>
    </w:p>
    <w:p w14:paraId="7EAA7813" w14:textId="77777777" w:rsidR="00DF410E" w:rsidRDefault="00CE7F43">
      <w:pPr>
        <w:pStyle w:val="pheading"/>
      </w:pPr>
      <w:r>
        <w:t>- Définition / Comprend</w:t>
      </w:r>
    </w:p>
    <w:p w14:paraId="6CCD69AF" w14:textId="77777777" w:rsidR="00DF410E" w:rsidRDefault="00CE7F43">
      <w:r>
        <w:t xml:space="preserve">Il s’agit de la fourniture et la pose de maçonneries de parement en blocs treillis de terre cuite à coller. </w:t>
      </w:r>
      <w:r>
        <w:br/>
        <w:t>La portée des travaux est décrite dans l’article </w:t>
      </w:r>
      <w:hyperlink w:anchor="379" w:history="1">
        <w:r>
          <w:t>21.3 Maçonneries de parement</w:t>
        </w:r>
      </w:hyperlink>
      <w:r>
        <w:t>.</w:t>
      </w:r>
    </w:p>
    <w:p w14:paraId="1F5C5749" w14:textId="77777777" w:rsidR="00DF410E" w:rsidRDefault="00CE7F43">
      <w:r>
        <w:t>Les travaux comprennent également la fourniture et la pose des pièces d’angle, de terminaison et de rencontre.</w:t>
      </w:r>
    </w:p>
    <w:p w14:paraId="348D56F9" w14:textId="77777777" w:rsidR="00DF410E" w:rsidRDefault="00CE7F43">
      <w:pPr>
        <w:pStyle w:val="pheading"/>
      </w:pPr>
      <w:r>
        <w:t>- Localisation</w:t>
      </w:r>
    </w:p>
    <w:p w14:paraId="2D4E64ED" w14:textId="77777777" w:rsidR="00DF410E" w:rsidRDefault="00CE7F43">
      <w:r>
        <w:t xml:space="preserve">La pose est réalisée aux endroits suivants : </w:t>
      </w:r>
      <w:r>
        <w:rPr>
          <w:rStyle w:val="optioncarChar"/>
        </w:rPr>
        <w:t>***</w:t>
      </w:r>
      <w:r>
        <w:t>.</w:t>
      </w:r>
    </w:p>
    <w:p w14:paraId="3382A31A" w14:textId="77777777" w:rsidR="00DF410E" w:rsidRDefault="00CE7F43">
      <w:r>
        <w:t>Voir plans et métrés détaillés.</w:t>
      </w:r>
    </w:p>
    <w:p w14:paraId="35B7EF78" w14:textId="77777777" w:rsidR="00DF410E" w:rsidRDefault="00CE7F43">
      <w:pPr>
        <w:pStyle w:val="pheading"/>
      </w:pPr>
      <w:r>
        <w:t>MATÉRIAUX</w:t>
      </w:r>
    </w:p>
    <w:p w14:paraId="6C6A8BF5" w14:textId="77777777" w:rsidR="00DF410E" w:rsidRDefault="00CE7F43">
      <w:pPr>
        <w:pStyle w:val="pheading"/>
      </w:pPr>
      <w:r>
        <w:t>- Caractéristiques générales</w:t>
      </w:r>
    </w:p>
    <w:p w14:paraId="4E882D24" w14:textId="77777777" w:rsidR="00DF410E" w:rsidRDefault="00CE7F43">
      <w:r>
        <w:rPr>
          <w:b/>
        </w:rPr>
        <w:t>Bloc</w:t>
      </w:r>
    </w:p>
    <w:p w14:paraId="593890B9" w14:textId="77777777" w:rsidR="00DF410E" w:rsidRDefault="00CE7F43">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(par défaut) / normalisée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 </w:t>
      </w:r>
      <w:r>
        <w:rPr>
          <w:rStyle w:val="optioncarChar"/>
        </w:rPr>
        <w:t>***</w:t>
      </w:r>
      <w:r>
        <w:rPr>
          <w:rStyle w:val="normalChar"/>
          <w:color w:val="000000"/>
        </w:rPr>
        <w:t xml:space="preserve"> N/mm² (MPa).</w:t>
      </w:r>
      <w:r>
        <w:br/>
      </w:r>
      <w:r>
        <w:br/>
        <w:t xml:space="preserve">Le groupe de configuration suivant </w:t>
      </w:r>
      <w:r>
        <w:rPr>
          <w:color w:val="0000FF"/>
        </w:rPr>
        <w:t>[NBN EN 1996-1-1+A1 ANB]</w:t>
      </w:r>
      <w:r>
        <w:t xml:space="preserve">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w:t>
      </w:r>
      <w:r>
        <w:br/>
      </w:r>
      <w:r>
        <w:br/>
        <w:t xml:space="preserve">Teinte : </w:t>
      </w:r>
      <w:r>
        <w:rPr>
          <w:rStyle w:val="optioncarChar"/>
        </w:rPr>
        <w:t>blanc / rouge </w:t>
      </w:r>
      <w:r>
        <w:t>(par défaut)</w:t>
      </w:r>
      <w:r>
        <w:rPr>
          <w:rStyle w:val="optioncarChar"/>
        </w:rPr>
        <w:t xml:space="preserve"> / gris / ***</w:t>
      </w:r>
    </w:p>
    <w:p w14:paraId="6A14F075" w14:textId="77777777" w:rsidR="00DF410E" w:rsidRDefault="00CE7F43">
      <w:r>
        <w:rPr>
          <w:rStyle w:val="normalChar"/>
          <w:color w:val="000000"/>
        </w:rPr>
        <w:t>Épaisseur nominale du mur :</w:t>
      </w:r>
      <w:r>
        <w:rPr>
          <w:rStyle w:val="optioncarChar"/>
        </w:rPr>
        <w:t xml:space="preserve">  9 / 14 / 19 *** cm / selon les indications sur les plans </w:t>
      </w:r>
      <w:r>
        <w:t>(par défaut)</w:t>
      </w:r>
      <w:r>
        <w:rPr>
          <w:rStyle w:val="optioncarChar"/>
        </w:rPr>
        <w:t xml:space="preserve">. </w:t>
      </w:r>
    </w:p>
    <w:p w14:paraId="40599DE2" w14:textId="77777777" w:rsidR="00DF410E" w:rsidRDefault="00CE7F43">
      <w:r>
        <w:t xml:space="preserve">Format : (L x l x h) </w:t>
      </w:r>
      <w:r>
        <w:rPr>
          <w:rStyle w:val="optioncarChar"/>
        </w:rPr>
        <w:t>*** x *** x *** mm / format modulaire proposé par l'entrepreneur</w:t>
      </w:r>
      <w:r>
        <w:t> (par défaut)</w:t>
      </w:r>
    </w:p>
    <w:p w14:paraId="490AB7B9" w14:textId="77777777" w:rsidR="00DF410E" w:rsidRDefault="00CE7F43">
      <w:pPr>
        <w:spacing w:line="259" w:lineRule="auto"/>
      </w:pP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14:paraId="3B371F21" w14:textId="77777777" w:rsidR="00DF410E" w:rsidRDefault="00CE7F43">
      <w:r>
        <w:rPr>
          <w:rStyle w:val="normalChar"/>
          <w:color w:val="000000"/>
        </w:rPr>
        <w:t xml:space="preserve">La classe d’exposition de la maçonnerie est : </w:t>
      </w:r>
      <w:r>
        <w:rPr>
          <w:rStyle w:val="optioncarChar"/>
        </w:rPr>
        <w:t>MX1 / MX2 ou MX3 / MX4 / MX5</w:t>
      </w:r>
    </w:p>
    <w:p w14:paraId="4CB2168B" w14:textId="77777777" w:rsidR="00DF410E" w:rsidRDefault="00CE7F43">
      <w:r>
        <w:t xml:space="preserve">Taux initial d’absorption d’eau : classe </w:t>
      </w:r>
      <w:r>
        <w:rPr>
          <w:rStyle w:val="optioncarChar"/>
        </w:rPr>
        <w:t>IW1 / IW2 / IW3 / IW4</w:t>
      </w:r>
    </w:p>
    <w:p w14:paraId="6717BF5D" w14:textId="77777777" w:rsidR="00DF410E" w:rsidRDefault="00CE7F43">
      <w:r>
        <w:rPr>
          <w:rStyle w:val="normalChar"/>
          <w:color w:val="000000"/>
        </w:rPr>
        <w:t>Le niveau de résistance au gel est compatible avec la classe d’exposition.</w:t>
      </w:r>
      <w:r>
        <w:br/>
      </w:r>
      <w:r>
        <w:br/>
        <w:t xml:space="preserve">Réaction au feu : </w:t>
      </w:r>
      <w:r>
        <w:rPr>
          <w:rStyle w:val="optioncarChar"/>
        </w:rPr>
        <w:t>A1 </w:t>
      </w:r>
      <w:r>
        <w:t>(par défaut) </w:t>
      </w:r>
      <w:r>
        <w:rPr>
          <w:rStyle w:val="optioncarChar"/>
        </w:rPr>
        <w:t>/ ***</w:t>
      </w:r>
      <w:r>
        <w:br/>
      </w:r>
      <w:r>
        <w:br/>
      </w:r>
      <w:r>
        <w:rPr>
          <w:b/>
        </w:rPr>
        <w:t>Mortier</w:t>
      </w:r>
    </w:p>
    <w:p w14:paraId="15155011" w14:textId="77777777" w:rsidR="00DF410E" w:rsidRDefault="00CE7F43">
      <w:pPr>
        <w:spacing w:line="259" w:lineRule="auto"/>
      </w:pPr>
      <w:r>
        <w:t>Le mortier-colle est du type T adapté à des joints d’épaisseur nominale comprise entre 3 et 6 mm.</w:t>
      </w:r>
      <w:r>
        <w:br/>
      </w:r>
      <w:r>
        <w:br/>
      </w:r>
      <w:r>
        <w:br/>
      </w:r>
      <w:r>
        <w:rPr>
          <w:b/>
        </w:rPr>
        <w:t>Critères de performances du parement</w:t>
      </w:r>
    </w:p>
    <w:p w14:paraId="6DAD6AA0" w14:textId="77777777" w:rsidR="00DF410E" w:rsidRDefault="00CE7F43">
      <w:pPr>
        <w:spacing w:line="259" w:lineRule="auto"/>
      </w:pPr>
      <w:r>
        <w:br/>
        <w:t xml:space="preserve">• valeur λUi ou λUe maximum </w:t>
      </w:r>
      <w:r>
        <w:rPr>
          <w:rStyle w:val="optioncarChar"/>
        </w:rPr>
        <w:t>***</w:t>
      </w:r>
      <w:r>
        <w:t xml:space="preserve"> W/mK (suivant l’application).</w:t>
      </w:r>
    </w:p>
    <w:p w14:paraId="30E05CC9" w14:textId="77777777" w:rsidR="00DF410E" w:rsidRDefault="00DF410E"/>
    <w:p w14:paraId="2A544AC9" w14:textId="77777777" w:rsidR="00DF410E" w:rsidRDefault="00CE7F43">
      <w:r>
        <w:t> </w:t>
      </w:r>
    </w:p>
    <w:p w14:paraId="7EC5CA98" w14:textId="77777777" w:rsidR="00DF410E" w:rsidRDefault="00CE7F43">
      <w:pPr>
        <w:pStyle w:val="pheading"/>
      </w:pPr>
      <w:r>
        <w:t>- Finitions</w:t>
      </w:r>
    </w:p>
    <w:p w14:paraId="04FA37A9" w14:textId="77777777" w:rsidR="00DF410E" w:rsidRDefault="00CE7F43">
      <w:r>
        <w:rPr>
          <w:rStyle w:val="normalChar"/>
        </w:rPr>
        <w:t>Les murs sont exécutés avec une face restant apparente, à l’exception des murs suivants qui sont exécutés avec deux faces restant apparentes :</w:t>
      </w:r>
      <w:r>
        <w:rPr>
          <w:rStyle w:val="optioncarChar"/>
        </w:rPr>
        <w:t xml:space="preserve"> ***</w:t>
      </w:r>
    </w:p>
    <w:p w14:paraId="0E360D6A" w14:textId="77777777" w:rsidR="00DF410E" w:rsidRDefault="00CE7F43">
      <w:pPr>
        <w:pStyle w:val="pheading"/>
      </w:pPr>
      <w:r>
        <w:t>EXÉCUTION / MISE EN ŒUVRE</w:t>
      </w:r>
    </w:p>
    <w:p w14:paraId="4AAD45C4" w14:textId="77777777" w:rsidR="00DF410E" w:rsidRDefault="00CE7F43">
      <w:pPr>
        <w:pStyle w:val="pheading"/>
      </w:pPr>
      <w:r>
        <w:t>- Prescriptions générales</w:t>
      </w:r>
    </w:p>
    <w:p w14:paraId="745A5B1F" w14:textId="77777777" w:rsidR="00DF410E" w:rsidRDefault="00CE7F43">
      <w:pPr>
        <w:spacing w:line="259" w:lineRule="auto"/>
      </w:pPr>
      <w:r>
        <w:t xml:space="preserve">La maçonnerie est exécutée en appareil </w:t>
      </w:r>
      <w:r>
        <w:rPr>
          <w:rStyle w:val="optioncarChar"/>
        </w:rPr>
        <w:t xml:space="preserve">d'une demi-brique </w:t>
      </w:r>
      <w:r>
        <w:t>(par défaut) </w:t>
      </w:r>
      <w:r>
        <w:rPr>
          <w:rStyle w:val="optioncarChar"/>
        </w:rPr>
        <w:t>/ ***</w:t>
      </w:r>
    </w:p>
    <w:p w14:paraId="4966BC2E" w14:textId="77777777" w:rsidR="00DF410E" w:rsidRDefault="00CE7F43">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14:paraId="054E1DBC" w14:textId="77777777" w:rsidR="00DF410E" w:rsidRDefault="00DF410E"/>
    <w:p w14:paraId="20D773CA" w14:textId="77777777" w:rsidR="00DF410E" w:rsidRDefault="00CE7F43">
      <w:pPr>
        <w:spacing w:line="259" w:lineRule="auto"/>
      </w:pPr>
      <w:r>
        <w:rPr>
          <w:rStyle w:val="normalChar"/>
          <w:b/>
          <w:color w:val="000000"/>
        </w:rPr>
        <w:t>LINTEAUX</w:t>
      </w:r>
    </w:p>
    <w:p w14:paraId="0481D298"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0378CC44" w14:textId="77777777" w:rsidR="00DF410E" w:rsidRDefault="00CE7F43">
      <w:r>
        <w:rPr>
          <w:b/>
        </w:rPr>
        <w:t>(soit par défaut)</w:t>
      </w:r>
    </w:p>
    <w:p w14:paraId="4C410546" w14:textId="77777777" w:rsidR="00DF410E" w:rsidRDefault="00CE7F43">
      <w:r>
        <w:rPr>
          <w:rStyle w:val="soitChar"/>
          <w:u w:val="single"/>
        </w:rPr>
        <w:t>D'une armature et de crochets de mur</w:t>
      </w:r>
      <w:r>
        <w:rPr>
          <w:rStyle w:val="soitChar"/>
        </w:rPr>
        <w:t>  :</w:t>
      </w:r>
    </w:p>
    <w:p w14:paraId="75742D96" w14:textId="77777777" w:rsidR="00DF410E" w:rsidRDefault="00CE7F43">
      <w:r>
        <w:rPr>
          <w:rStyle w:val="soitChar"/>
        </w:rPr>
        <w:t>L’armature est conforme aux descriptions du 21.41.1</w:t>
      </w:r>
      <w:r>
        <w:br/>
      </w:r>
      <w:r>
        <w:rPr>
          <w:color w:val="33CCCC"/>
        </w:rPr>
        <w:t>Les crochets sont prévus tous les </w:t>
      </w:r>
      <w:r>
        <w:rPr>
          <w:rStyle w:val="optioncarChar"/>
        </w:rPr>
        <w:t>***</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0505C78F" w14:textId="77777777" w:rsidR="00DF410E" w:rsidRDefault="00CE7F43">
      <w:r>
        <w:rPr>
          <w:b/>
        </w:rPr>
        <w:t>(soit)</w:t>
      </w:r>
    </w:p>
    <w:p w14:paraId="49C57A5D"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37F40B37" w14:textId="77777777" w:rsidR="00DF410E" w:rsidRDefault="00CE7F43">
      <w:r>
        <w:rPr>
          <w:b/>
        </w:rPr>
        <w:t>(soit)</w:t>
      </w:r>
    </w:p>
    <w:p w14:paraId="285F171F"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6306C771" w14:textId="77777777" w:rsidR="00DF410E" w:rsidRDefault="00CE7F43">
      <w:r>
        <w:rPr>
          <w:b/>
        </w:rPr>
        <w:t>(soit)</w:t>
      </w:r>
    </w:p>
    <w:p w14:paraId="161E2952" w14:textId="77777777" w:rsidR="00DF410E" w:rsidRDefault="00CE7F43">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1E23FE84" w14:textId="77777777" w:rsidR="00DF410E" w:rsidRDefault="00CE7F43">
      <w:r>
        <w:rPr>
          <w:b/>
        </w:rPr>
        <w:t>(soit)</w:t>
      </w:r>
    </w:p>
    <w:p w14:paraId="65E7CB9E" w14:textId="77777777" w:rsidR="00DF410E" w:rsidRDefault="00CE7F43">
      <w:r>
        <w:rPr>
          <w:rStyle w:val="optioncarChar"/>
        </w:rPr>
        <w:t> ***</w:t>
      </w:r>
    </w:p>
    <w:p w14:paraId="087B590C" w14:textId="77777777" w:rsidR="00DF410E" w:rsidRDefault="00CE7F43">
      <w:pPr>
        <w:pStyle w:val="pheading"/>
      </w:pPr>
      <w:r>
        <w:t>- Notes d’exécution complémentaires</w:t>
      </w:r>
    </w:p>
    <w:p w14:paraId="7F13E35E" w14:textId="77777777" w:rsidR="00DF410E" w:rsidRDefault="00CE7F43">
      <w:pPr>
        <w:jc w:val="both"/>
      </w:pPr>
      <w:r>
        <w:rPr>
          <w:rStyle w:val="facultChar"/>
          <w:color w:val="000000"/>
        </w:rPr>
        <w:t xml:space="preserve">Afin de déterminer le choix définitif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14:paraId="39068E53" w14:textId="77777777" w:rsidR="00DF410E" w:rsidRDefault="00CE7F43">
      <w:pPr>
        <w:pStyle w:val="pheading"/>
      </w:pPr>
      <w:r>
        <w:t>MESURAGE</w:t>
      </w:r>
    </w:p>
    <w:p w14:paraId="4B8EE5AF" w14:textId="77777777" w:rsidR="00DF410E" w:rsidRDefault="00CE7F43">
      <w:pPr>
        <w:pStyle w:val="pheading"/>
      </w:pPr>
      <w:r>
        <w:t>- unité de mesure:</w:t>
      </w:r>
    </w:p>
    <w:p w14:paraId="440E5B1E" w14:textId="77777777" w:rsidR="00DF410E" w:rsidRDefault="00CE7F43">
      <w:r>
        <w:rPr>
          <w:rStyle w:val="optioncarChar"/>
        </w:rPr>
        <w:t>m² </w:t>
      </w:r>
      <w:r>
        <w:rPr>
          <w:rStyle w:val="optioncarChar"/>
          <w:color w:val="000000"/>
        </w:rPr>
        <w:t>(par défaut)</w:t>
      </w:r>
      <w:r>
        <w:rPr>
          <w:rStyle w:val="optioncarChar"/>
        </w:rPr>
        <w:t> / m³</w:t>
      </w:r>
    </w:p>
    <w:p w14:paraId="75CA60FE" w14:textId="77777777" w:rsidR="00DF410E" w:rsidRDefault="00CE7F43">
      <w:pPr>
        <w:spacing w:after="0" w:line="0" w:lineRule="atLeast"/>
      </w:pPr>
      <w:r>
        <w:rPr>
          <w:b/>
          <w:color w:val="000000"/>
        </w:rPr>
        <w:t>(soit par défaut)</w:t>
      </w:r>
    </w:p>
    <w:p w14:paraId="6FF7DAF8" w14:textId="77777777" w:rsidR="00DF410E" w:rsidRDefault="00CE7F43">
      <w:pPr>
        <w:spacing w:after="0" w:line="0" w:lineRule="atLeast"/>
      </w:pPr>
      <w:r>
        <w:rPr>
          <w:rStyle w:val="soitChar"/>
        </w:rPr>
        <w:t>1. m²</w:t>
      </w:r>
    </w:p>
    <w:p w14:paraId="12984F1D" w14:textId="77777777" w:rsidR="00DF410E" w:rsidRDefault="00CE7F43">
      <w:pPr>
        <w:spacing w:after="0" w:line="0" w:lineRule="atLeast"/>
      </w:pPr>
      <w:r>
        <w:rPr>
          <w:b/>
          <w:color w:val="000000"/>
        </w:rPr>
        <w:t>(soit)</w:t>
      </w:r>
    </w:p>
    <w:p w14:paraId="781FB81D" w14:textId="77777777" w:rsidR="00DF410E" w:rsidRDefault="00CE7F43">
      <w:pPr>
        <w:spacing w:after="0" w:line="0" w:lineRule="atLeast"/>
      </w:pPr>
      <w:r>
        <w:rPr>
          <w:rStyle w:val="soitChar"/>
        </w:rPr>
        <w:t>2. m³</w:t>
      </w:r>
    </w:p>
    <w:p w14:paraId="73E733A8" w14:textId="77777777" w:rsidR="00DF410E" w:rsidRDefault="00CE7F43">
      <w:pPr>
        <w:pStyle w:val="pheading"/>
      </w:pPr>
      <w:r>
        <w:t>- code de mesurage:</w:t>
      </w:r>
    </w:p>
    <w:p w14:paraId="07B5AF71" w14:textId="77777777" w:rsidR="00DF410E" w:rsidRDefault="00CE7F43">
      <w:pPr>
        <w:spacing w:before="0" w:after="0"/>
      </w:pPr>
      <w:r>
        <w:t>Les maçonneries sont mesurées en fonction de leur forme géométrique.</w:t>
      </w:r>
    </w:p>
    <w:p w14:paraId="60183BD2"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1CBBC2DB" w14:textId="77777777" w:rsidR="00DF410E" w:rsidRDefault="00CE7F43">
      <w:pPr>
        <w:spacing w:before="0" w:after="0"/>
      </w:pPr>
      <w:r>
        <w:t>La coulisse n'est jamais prise en compte.</w:t>
      </w:r>
    </w:p>
    <w:p w14:paraId="6A2EFDAF" w14:textId="77777777" w:rsidR="00DF410E" w:rsidRDefault="00CE7F43">
      <w:pPr>
        <w:spacing w:after="0" w:line="259" w:lineRule="auto"/>
      </w:pPr>
      <w:r>
        <w:rPr>
          <w:rStyle w:val="normalChar"/>
        </w:rPr>
        <w:t>Sont entre-autres décrits et comptés dans un autre poste :</w:t>
      </w:r>
    </w:p>
    <w:p w14:paraId="27C71045" w14:textId="77777777" w:rsidR="00DF410E" w:rsidRDefault="00CE7F43">
      <w:pPr>
        <w:pStyle w:val="Author-eListParagraph"/>
        <w:numPr>
          <w:ilvl w:val="0"/>
          <w:numId w:val="248"/>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1AC7FDE9" w14:textId="77777777" w:rsidR="00DF410E" w:rsidRDefault="00CE7F43">
      <w:pPr>
        <w:pStyle w:val="Author-eListParagraph"/>
        <w:numPr>
          <w:ilvl w:val="0"/>
          <w:numId w:val="248"/>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05649B21" w14:textId="77777777" w:rsidR="00DF410E" w:rsidRDefault="00CE7F43">
      <w:pPr>
        <w:pStyle w:val="Author-eListParagraph"/>
        <w:numPr>
          <w:ilvl w:val="0"/>
          <w:numId w:val="248"/>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7F9FFF66" w14:textId="77777777" w:rsidR="00DF410E" w:rsidRDefault="00DF410E"/>
    <w:p w14:paraId="3815F806"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3DD8BD58" w14:textId="77777777" w:rsidR="00DF410E" w:rsidRDefault="00CE7F43">
      <w:pPr>
        <w:spacing w:after="0" w:line="252" w:lineRule="auto"/>
      </w:pPr>
      <w:r>
        <w:rPr>
          <w:b/>
          <w:color w:val="000000"/>
        </w:rPr>
        <w:t>(soit par défaut)</w:t>
      </w:r>
    </w:p>
    <w:p w14:paraId="3EE4B787" w14:textId="77777777" w:rsidR="00DF410E" w:rsidRDefault="00CE7F43">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76198B9" w14:textId="77777777" w:rsidR="00DF410E" w:rsidRDefault="00CE7F43">
      <w:pPr>
        <w:spacing w:after="0" w:line="252" w:lineRule="auto"/>
      </w:pPr>
      <w:r>
        <w:rPr>
          <w:rStyle w:val="soitChar"/>
        </w:rPr>
        <w:t>Distinction faite suivant l'épaisseur.</w:t>
      </w:r>
    </w:p>
    <w:p w14:paraId="262CD384" w14:textId="77777777" w:rsidR="00DF410E" w:rsidRDefault="00CE7F43">
      <w:pPr>
        <w:spacing w:line="252" w:lineRule="auto"/>
      </w:pPr>
      <w:r>
        <w:rPr>
          <w:b/>
          <w:color w:val="000000"/>
        </w:rPr>
        <w:t>(soit)</w:t>
      </w:r>
    </w:p>
    <w:p w14:paraId="20BB2E6B"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47F092F1"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7341F9BF" w14:textId="77777777" w:rsidR="00DF410E" w:rsidRDefault="00CE7F43">
      <w:pPr>
        <w:pStyle w:val="pheading"/>
      </w:pPr>
      <w:r>
        <w:t>- nature du marché:</w:t>
      </w:r>
    </w:p>
    <w:p w14:paraId="4516F831" w14:textId="77777777" w:rsidR="00DF410E" w:rsidRDefault="00CE7F43">
      <w:r>
        <w:t>QF</w:t>
      </w:r>
    </w:p>
    <w:p w14:paraId="1D3C478B" w14:textId="77777777" w:rsidR="00DF410E" w:rsidRDefault="00CE7F43">
      <w:pPr>
        <w:pStyle w:val="Author-eSectionHeading5"/>
      </w:pPr>
      <w:bookmarkStart w:id="257" w:name="_Toc178837487"/>
      <w:r>
        <w:t>21.32.2 Maçonneries de parement en blocs de béton CCTB 01.02</w:t>
      </w:r>
      <w:bookmarkEnd w:id="257"/>
    </w:p>
    <w:p w14:paraId="2C916DDF" w14:textId="77777777" w:rsidR="00DF410E" w:rsidRDefault="00CE7F43">
      <w:pPr>
        <w:pStyle w:val="Author-eSectionHeading6"/>
      </w:pPr>
      <w:bookmarkStart w:id="258" w:name="_Toc178837488"/>
      <w:r>
        <w:t>21.32.2a Maçonneries de parement en blocs de béton pleins à maçonner CCTB 01.11</w:t>
      </w:r>
      <w:bookmarkEnd w:id="258"/>
    </w:p>
    <w:p w14:paraId="6230DDB3" w14:textId="77777777" w:rsidR="00DF410E" w:rsidRDefault="00CE7F43">
      <w:pPr>
        <w:pStyle w:val="pheading"/>
      </w:pPr>
      <w:r>
        <w:t>DESCRIPTION</w:t>
      </w:r>
    </w:p>
    <w:p w14:paraId="07B60621" w14:textId="77777777" w:rsidR="00DF410E" w:rsidRDefault="00CE7F43">
      <w:pPr>
        <w:pStyle w:val="pheading"/>
      </w:pPr>
      <w:r>
        <w:t>- Définition / Comprend</w:t>
      </w:r>
    </w:p>
    <w:p w14:paraId="6D15DB41" w14:textId="77777777" w:rsidR="00DF410E" w:rsidRDefault="00CE7F43">
      <w:r>
        <w:t>Il s’agit de la fourniture et la pose de maçonneries de parement en blocs de béton pleins à maçonner.</w:t>
      </w:r>
    </w:p>
    <w:p w14:paraId="7A894073" w14:textId="77777777" w:rsidR="00DF410E" w:rsidRDefault="00CE7F43">
      <w:r>
        <w:t xml:space="preserve">La portée des travaux est décrite dans l’article </w:t>
      </w:r>
      <w:hyperlink w:anchor="379" w:history="1">
        <w:r>
          <w:t>21.3 Maçonneries de parement</w:t>
        </w:r>
      </w:hyperlink>
      <w:r>
        <w:t>.</w:t>
      </w:r>
    </w:p>
    <w:p w14:paraId="7E7A7515" w14:textId="77777777" w:rsidR="00DF410E" w:rsidRDefault="00CE7F43">
      <w:pPr>
        <w:pStyle w:val="pheading"/>
      </w:pPr>
      <w:r>
        <w:t>- Localisation</w:t>
      </w:r>
    </w:p>
    <w:p w14:paraId="3AEAA9D4" w14:textId="77777777" w:rsidR="00DF410E" w:rsidRDefault="00CE7F43">
      <w:r>
        <w:t xml:space="preserve">La pose est réalisée aux endroits suivants : </w:t>
      </w:r>
      <w:r>
        <w:rPr>
          <w:rStyle w:val="optioncarChar"/>
        </w:rPr>
        <w:t>***</w:t>
      </w:r>
      <w:r>
        <w:t>.</w:t>
      </w:r>
      <w:r>
        <w:br/>
        <w:t>Voir plans et métrés détaillés.</w:t>
      </w:r>
    </w:p>
    <w:p w14:paraId="578205F4" w14:textId="77777777" w:rsidR="00DF410E" w:rsidRDefault="00CE7F43">
      <w:pPr>
        <w:pStyle w:val="pheading"/>
      </w:pPr>
      <w:r>
        <w:t>MATÉRIAUX</w:t>
      </w:r>
    </w:p>
    <w:p w14:paraId="322B369C" w14:textId="77777777" w:rsidR="00DF410E" w:rsidRDefault="00CE7F43">
      <w:pPr>
        <w:pStyle w:val="pheading"/>
      </w:pPr>
      <w:r>
        <w:t>- Caractéristiques générales</w:t>
      </w:r>
    </w:p>
    <w:p w14:paraId="3EDAD7C3" w14:textId="77777777" w:rsidR="00DF410E" w:rsidRDefault="00CE7F43">
      <w:r>
        <w:rPr>
          <w:rStyle w:val="headingChar"/>
          <w:color w:val="000000"/>
        </w:rPr>
        <w:t>Blocs</w:t>
      </w:r>
    </w:p>
    <w:p w14:paraId="6C942C8D" w14:textId="77777777" w:rsidR="00DF410E" w:rsidRDefault="00CE7F43">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0B7E1FD4"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0097AC36" w14:textId="77777777" w:rsidR="00DF410E" w:rsidRDefault="00CE7F43">
      <w:pPr>
        <w:spacing w:after="0" w:line="0" w:lineRule="atLeast"/>
      </w:pPr>
      <w:r>
        <w:rPr>
          <w:color w:val="000000"/>
        </w:rPr>
        <w:t xml:space="preserve">Le groupe de configuration suivant [PTV 21-001] est: </w:t>
      </w:r>
      <w:r>
        <w:rPr>
          <w:rStyle w:val="optioncarChar"/>
          <w:color w:val="000000"/>
        </w:rPr>
        <w:t xml:space="preserve">1 / 2 / 3 / 4 </w:t>
      </w:r>
    </w:p>
    <w:p w14:paraId="55B63CD4" w14:textId="77777777" w:rsidR="00DF410E" w:rsidRDefault="00CE7F43">
      <w:pPr>
        <w:spacing w:after="0" w:line="0" w:lineRule="atLeast"/>
      </w:pPr>
      <w:r>
        <w:rPr>
          <w:color w:val="000000"/>
        </w:rPr>
        <w:t xml:space="preserve">Le code d’identification du type de bloc de maçonnerie suivant [PTV 21-001] est </w:t>
      </w:r>
      <w:r>
        <w:rPr>
          <w:rStyle w:val="optioncarChar"/>
          <w:color w:val="000000"/>
        </w:rPr>
        <w:t>A1 / A2 / B1 / B2</w:t>
      </w:r>
    </w:p>
    <w:p w14:paraId="4B48671C" w14:textId="77777777" w:rsidR="00DF410E" w:rsidRDefault="00CE7F43">
      <w:pPr>
        <w:spacing w:after="0" w:line="0" w:lineRule="atLeast"/>
      </w:pPr>
      <w:r>
        <w:rPr>
          <w:color w:val="000000"/>
        </w:rPr>
        <w:t xml:space="preserve">La conductibilité thermique λD est compatible avec la valeur U prescrite pour la paroi. </w:t>
      </w:r>
    </w:p>
    <w:p w14:paraId="33A87729" w14:textId="77777777" w:rsidR="00DF410E" w:rsidRDefault="00CE7F43">
      <w:pPr>
        <w:spacing w:after="0" w:line="0" w:lineRule="atLeast"/>
      </w:pPr>
      <w:r>
        <w:rPr>
          <w:color w:val="000000"/>
        </w:rPr>
        <w:t xml:space="preserve">Boutisse : </w:t>
      </w:r>
      <w:r>
        <w:t>plate</w:t>
      </w:r>
    </w:p>
    <w:p w14:paraId="60F03F80" w14:textId="77777777" w:rsidR="00DF410E" w:rsidRDefault="00CE7F43">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7BC10902" w14:textId="77777777" w:rsidR="00DF410E" w:rsidRDefault="00CE7F43">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37838711" w14:textId="77777777" w:rsidR="00DF410E" w:rsidRDefault="00CE7F43">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4BE15C09" w14:textId="77777777" w:rsidR="00DF410E" w:rsidRDefault="00CE7F43">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1F949C57" w14:textId="77777777" w:rsidR="00DF410E" w:rsidRDefault="00DF410E"/>
    <w:p w14:paraId="233E6BA1" w14:textId="77777777" w:rsidR="00DF410E" w:rsidRDefault="00CE7F43">
      <w:pPr>
        <w:spacing w:after="0" w:line="0" w:lineRule="atLeast"/>
      </w:pPr>
      <w:r>
        <w:rPr>
          <w:rStyle w:val="headingChar"/>
          <w:color w:val="000000"/>
        </w:rPr>
        <w:t>Mortier</w:t>
      </w:r>
    </w:p>
    <w:p w14:paraId="2CB3D7E8" w14:textId="77777777" w:rsidR="00DF410E" w:rsidRDefault="00CE7F43">
      <w:pPr>
        <w:spacing w:after="0" w:line="0" w:lineRule="atLeast"/>
      </w:pPr>
      <w:r>
        <w:rPr>
          <w:rStyle w:val="normalChar"/>
          <w:color w:val="000000"/>
        </w:rPr>
        <w:t xml:space="preserve">Le mortier est du type G ou dosé in situ adapté à des joints d’épaisseur nominale de </w:t>
      </w:r>
      <w:r>
        <w:rPr>
          <w:rStyle w:val="optioncarChar"/>
          <w:color w:val="000000"/>
        </w:rPr>
        <w:t>8</w:t>
      </w:r>
      <w:r>
        <w:t> (par défaut)</w:t>
      </w:r>
      <w:r>
        <w:rPr>
          <w:rStyle w:val="optioncarChar"/>
          <w:color w:val="000000"/>
        </w:rPr>
        <w:t xml:space="preserve"> / 12 / ***</w:t>
      </w:r>
      <w:r>
        <w:rPr>
          <w:color w:val="000000"/>
        </w:rPr>
        <w:t xml:space="preserve"> mm.</w:t>
      </w:r>
    </w:p>
    <w:p w14:paraId="0A6E9FA6" w14:textId="77777777" w:rsidR="00DF410E" w:rsidRDefault="00CE7F43">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50EF57E7" w14:textId="77777777" w:rsidR="00DF410E" w:rsidRDefault="00CE7F43">
      <w:pPr>
        <w:spacing w:line="259" w:lineRule="auto"/>
      </w:pPr>
      <w:r>
        <w:rPr>
          <w:color w:val="000000"/>
        </w:rPr>
        <w:t xml:space="preserve">Adhérence en cisaillement : </w:t>
      </w:r>
      <w:r>
        <w:rPr>
          <w:rStyle w:val="optioncarChar"/>
          <w:color w:val="000000"/>
        </w:rPr>
        <w:t xml:space="preserve">≥ 0,10 N/mm² / ≥ 0,15 N/mm² </w:t>
      </w:r>
      <w:r>
        <w:t xml:space="preserve">(par défaut) </w:t>
      </w:r>
      <w:r>
        <w:rPr>
          <w:rStyle w:val="optioncarChar"/>
          <w:color w:val="000000"/>
        </w:rPr>
        <w:t xml:space="preserve">/ non spécifié / *** </w:t>
      </w:r>
    </w:p>
    <w:p w14:paraId="090C2664" w14:textId="77777777" w:rsidR="00DF410E" w:rsidRDefault="00CE7F43">
      <w:pPr>
        <w:spacing w:line="259" w:lineRule="auto"/>
      </w:pPr>
      <w:r>
        <w:rPr>
          <w:color w:val="000000"/>
        </w:rPr>
        <w:t xml:space="preserve">Résistance au gel : </w:t>
      </w:r>
      <w:r>
        <w:rPr>
          <w:rStyle w:val="optioncarChar"/>
          <w:color w:val="000000"/>
        </w:rPr>
        <w:t>oui</w:t>
      </w:r>
    </w:p>
    <w:p w14:paraId="32298C44" w14:textId="77777777" w:rsidR="00DF410E" w:rsidRDefault="00DF410E"/>
    <w:p w14:paraId="7EF6E08B" w14:textId="77777777" w:rsidR="00DF410E" w:rsidRDefault="00CE7F43">
      <w:pPr>
        <w:spacing w:line="259" w:lineRule="auto"/>
      </w:pPr>
      <w:r>
        <w:rPr>
          <w:rStyle w:val="headingChar"/>
          <w:color w:val="000000"/>
        </w:rPr>
        <w:t>Critères de performances du parement</w:t>
      </w:r>
    </w:p>
    <w:p w14:paraId="60113E83" w14:textId="77777777" w:rsidR="00DF410E" w:rsidRDefault="00CE7F43">
      <w:pPr>
        <w:spacing w:after="0" w:line="0" w:lineRule="atLeast"/>
      </w:pPr>
      <w:r>
        <w:t>V</w:t>
      </w:r>
      <w:r>
        <w:rPr>
          <w:color w:val="000000"/>
        </w:rPr>
        <w:t xml:space="preserve">aleur λUi ou λUe maximum </w:t>
      </w:r>
      <w:r>
        <w:rPr>
          <w:rStyle w:val="optioncarChar"/>
          <w:color w:val="000000"/>
        </w:rPr>
        <w:t>***</w:t>
      </w:r>
      <w:r>
        <w:rPr>
          <w:color w:val="000000"/>
        </w:rPr>
        <w:t xml:space="preserve"> W/mK (suivant l’application). </w:t>
      </w:r>
    </w:p>
    <w:p w14:paraId="109817E9" w14:textId="77777777" w:rsidR="00DF410E" w:rsidRDefault="00DF410E"/>
    <w:p w14:paraId="35DA03D6" w14:textId="77777777" w:rsidR="00DF410E" w:rsidRDefault="00CE7F43">
      <w:r>
        <w:t> </w:t>
      </w:r>
    </w:p>
    <w:p w14:paraId="07D1F972" w14:textId="77777777" w:rsidR="00DF410E" w:rsidRDefault="00DF410E"/>
    <w:p w14:paraId="1D5B2F95" w14:textId="77777777" w:rsidR="00DF410E" w:rsidRDefault="00CE7F43">
      <w:r>
        <w:t> </w:t>
      </w:r>
    </w:p>
    <w:p w14:paraId="4E3D1E33" w14:textId="77777777" w:rsidR="00DF410E" w:rsidRDefault="00CE7F43">
      <w:pPr>
        <w:pStyle w:val="pheading"/>
      </w:pPr>
      <w:r>
        <w:t>- Finitions</w:t>
      </w:r>
    </w:p>
    <w:p w14:paraId="19BC77C7"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6E4BBA53"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A37E25C"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7CF3C5F3"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2EFDF603"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FD398F2" w14:textId="77777777" w:rsidR="00DF410E" w:rsidRDefault="00DF410E"/>
    <w:p w14:paraId="539F5D2C" w14:textId="77777777" w:rsidR="00DF410E" w:rsidRDefault="00CE7F43">
      <w:r>
        <w:t> </w:t>
      </w:r>
    </w:p>
    <w:p w14:paraId="23C631FC" w14:textId="77777777" w:rsidR="00DF410E" w:rsidRDefault="00CE7F43">
      <w:pPr>
        <w:pStyle w:val="pheading"/>
      </w:pPr>
      <w:r>
        <w:t>EXÉCUTION / MISE EN ŒUVRE</w:t>
      </w:r>
    </w:p>
    <w:p w14:paraId="05785197" w14:textId="77777777" w:rsidR="00DF410E" w:rsidRDefault="00CE7F43">
      <w:pPr>
        <w:pStyle w:val="pheading"/>
      </w:pPr>
      <w:r>
        <w:t>- Prescriptions générales</w:t>
      </w:r>
    </w:p>
    <w:p w14:paraId="73DEB471" w14:textId="77777777" w:rsidR="00DF410E" w:rsidRDefault="00CE7F43">
      <w:pPr>
        <w:spacing w:line="259" w:lineRule="auto"/>
      </w:pPr>
      <w:r>
        <w:t xml:space="preserve">La maçonnerie est exécutée en appareil </w:t>
      </w:r>
      <w:r>
        <w:rPr>
          <w:rStyle w:val="normalChar"/>
        </w:rPr>
        <w:t>d'u</w:t>
      </w:r>
      <w:r>
        <w:rPr>
          <w:rStyle w:val="normalChar"/>
          <w:color w:val="FF0000"/>
        </w:rPr>
        <w:t xml:space="preserve">ne demi-bloc </w:t>
      </w:r>
      <w:r>
        <w:t>(par défaut) </w:t>
      </w:r>
      <w:r>
        <w:rPr>
          <w:rStyle w:val="normalChar"/>
          <w:color w:val="FF0000"/>
        </w:rPr>
        <w:t>/ ***</w:t>
      </w:r>
    </w:p>
    <w:p w14:paraId="41BD41CC"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1491F492" w14:textId="77777777" w:rsidR="00DF410E" w:rsidRDefault="00DF410E"/>
    <w:p w14:paraId="3E604720" w14:textId="77777777" w:rsidR="00DF410E" w:rsidRDefault="00CE7F43">
      <w:pPr>
        <w:spacing w:line="259" w:lineRule="auto"/>
      </w:pPr>
      <w:r>
        <w:rPr>
          <w:rStyle w:val="normalChar"/>
          <w:b/>
          <w:color w:val="000000"/>
        </w:rPr>
        <w:t>LINTEAUX</w:t>
      </w:r>
    </w:p>
    <w:p w14:paraId="0E957869"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17390932" w14:textId="77777777" w:rsidR="00DF410E" w:rsidRDefault="00CE7F43">
      <w:r>
        <w:rPr>
          <w:b/>
        </w:rPr>
        <w:t>(soit par défaut)</w:t>
      </w:r>
    </w:p>
    <w:p w14:paraId="02228DB9" w14:textId="77777777" w:rsidR="00DF410E" w:rsidRDefault="00CE7F43">
      <w:r>
        <w:rPr>
          <w:rStyle w:val="soitChar"/>
          <w:u w:val="single"/>
        </w:rPr>
        <w:t>D'une armature et de crochets de mur</w:t>
      </w:r>
      <w:r>
        <w:rPr>
          <w:rStyle w:val="soitChar"/>
        </w:rPr>
        <w:t>  :</w:t>
      </w:r>
    </w:p>
    <w:p w14:paraId="02A39B6C"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598E2DF7" w14:textId="77777777" w:rsidR="00DF410E" w:rsidRDefault="00CE7F43">
      <w:r>
        <w:rPr>
          <w:b/>
        </w:rPr>
        <w:t>(soit)</w:t>
      </w:r>
    </w:p>
    <w:p w14:paraId="3E864241"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3FA88E88" w14:textId="77777777" w:rsidR="00DF410E" w:rsidRDefault="00CE7F43">
      <w:r>
        <w:rPr>
          <w:b/>
        </w:rPr>
        <w:t>(soit)</w:t>
      </w:r>
    </w:p>
    <w:p w14:paraId="4070C5DB"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41634337" w14:textId="77777777" w:rsidR="00DF410E" w:rsidRDefault="00CE7F43">
      <w:r>
        <w:rPr>
          <w:b/>
        </w:rPr>
        <w:t>(soit)</w:t>
      </w:r>
    </w:p>
    <w:p w14:paraId="18167AF6" w14:textId="77777777" w:rsidR="00DF410E" w:rsidRDefault="00CE7F43">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177EB03" w14:textId="77777777" w:rsidR="00DF410E" w:rsidRDefault="00CE7F43">
      <w:r>
        <w:rPr>
          <w:b/>
        </w:rPr>
        <w:t>(soit)</w:t>
      </w:r>
    </w:p>
    <w:p w14:paraId="607F9C0B" w14:textId="77777777" w:rsidR="00DF410E" w:rsidRDefault="00CE7F43">
      <w:r>
        <w:rPr>
          <w:rStyle w:val="optioncarChar"/>
        </w:rPr>
        <w:t> ***</w:t>
      </w:r>
    </w:p>
    <w:p w14:paraId="1A92368D" w14:textId="77777777" w:rsidR="00DF410E" w:rsidRDefault="00CE7F43">
      <w:pPr>
        <w:pStyle w:val="pheading"/>
      </w:pPr>
      <w:r>
        <w:t>- Notes d’exécution complémentaires</w:t>
      </w:r>
    </w:p>
    <w:p w14:paraId="76438FEB" w14:textId="77777777" w:rsidR="00DF410E" w:rsidRDefault="00CE7F43">
      <w:r>
        <w:t>En vue du choix définitif des blocs de parement, un ou plusieurs échantillons d'environ 1 m2 sont maçonnés à la demande de l'auteur de projet; les frais inhérents à la construction et à la démolition de ces murs sont à charge de l'entrepreneur.</w:t>
      </w:r>
    </w:p>
    <w:p w14:paraId="18F51C44" w14:textId="77777777" w:rsidR="00DF410E" w:rsidRDefault="00CE7F43">
      <w:r>
        <w:t xml:space="preserve">• Armatures : selon l'article </w:t>
      </w:r>
      <w:hyperlink w:anchor="355" w:history="1">
        <w:r>
          <w:t>21.41.1 Armatures horizontales pour maçonneries</w:t>
        </w:r>
      </w:hyperlink>
      <w:r>
        <w:t> </w:t>
      </w:r>
    </w:p>
    <w:p w14:paraId="0E4A13C7" w14:textId="77777777" w:rsidR="00DF410E" w:rsidRDefault="00CE7F43">
      <w:r>
        <w:t xml:space="preserve">• Ancrages : selon l'article </w:t>
      </w:r>
      <w:hyperlink w:anchor="362" w:history="1">
        <w:r>
          <w:t>21.42 Ancrages et fixations de maçonneries</w:t>
        </w:r>
      </w:hyperlink>
    </w:p>
    <w:p w14:paraId="4AE5802D" w14:textId="77777777" w:rsidR="00DF410E" w:rsidRDefault="00CE7F43">
      <w:r>
        <w:t xml:space="preserve">Blocs spéciaux : </w:t>
      </w:r>
      <w:r>
        <w:rPr>
          <w:rStyle w:val="optioncarChar"/>
        </w:rPr>
        <w:t>***</w:t>
      </w:r>
    </w:p>
    <w:p w14:paraId="617311BE" w14:textId="77777777" w:rsidR="00DF410E" w:rsidRDefault="00CE7F43">
      <w:r>
        <w:t xml:space="preserve">Étanchéité : </w:t>
      </w:r>
      <w:r>
        <w:rPr>
          <w:rStyle w:val="optioncarChar"/>
        </w:rPr>
        <w:t>***</w:t>
      </w:r>
    </w:p>
    <w:p w14:paraId="167C863C" w14:textId="77777777" w:rsidR="00DF410E" w:rsidRDefault="00CE7F43">
      <w:r>
        <w:t xml:space="preserve">Joints de dilatation : </w:t>
      </w:r>
      <w:r>
        <w:rPr>
          <w:rStyle w:val="optioncarChar"/>
        </w:rPr>
        <w:t>***</w:t>
      </w:r>
    </w:p>
    <w:p w14:paraId="423667F7" w14:textId="77777777" w:rsidR="00DF410E" w:rsidRDefault="00CE7F43">
      <w:pPr>
        <w:pStyle w:val="pheading"/>
      </w:pPr>
      <w:r>
        <w:t>MESURAGE</w:t>
      </w:r>
    </w:p>
    <w:p w14:paraId="3C3F431A" w14:textId="77777777" w:rsidR="00DF410E" w:rsidRDefault="00CE7F43">
      <w:pPr>
        <w:pStyle w:val="pheading"/>
      </w:pPr>
      <w:r>
        <w:t>- unité de mesure:</w:t>
      </w:r>
    </w:p>
    <w:p w14:paraId="61FE0426" w14:textId="77777777" w:rsidR="00DF410E" w:rsidRDefault="00CE7F43">
      <w:r>
        <w:rPr>
          <w:rStyle w:val="optioncarChar"/>
        </w:rPr>
        <w:t>m² </w:t>
      </w:r>
      <w:r>
        <w:rPr>
          <w:rStyle w:val="optioncarChar"/>
          <w:color w:val="000000"/>
        </w:rPr>
        <w:t>(par défaut)</w:t>
      </w:r>
      <w:r>
        <w:rPr>
          <w:rStyle w:val="optioncarChar"/>
        </w:rPr>
        <w:t> / m³</w:t>
      </w:r>
    </w:p>
    <w:p w14:paraId="68F21F7C" w14:textId="77777777" w:rsidR="00DF410E" w:rsidRDefault="00CE7F43">
      <w:pPr>
        <w:spacing w:after="0" w:line="0" w:lineRule="atLeast"/>
      </w:pPr>
      <w:r>
        <w:rPr>
          <w:b/>
          <w:color w:val="000000"/>
        </w:rPr>
        <w:t>(soit par défaut)</w:t>
      </w:r>
    </w:p>
    <w:p w14:paraId="2BAED7A7" w14:textId="77777777" w:rsidR="00DF410E" w:rsidRDefault="00CE7F43">
      <w:pPr>
        <w:spacing w:after="0" w:line="0" w:lineRule="atLeast"/>
      </w:pPr>
      <w:r>
        <w:rPr>
          <w:rStyle w:val="soitChar"/>
        </w:rPr>
        <w:t>1. m²</w:t>
      </w:r>
    </w:p>
    <w:p w14:paraId="6D93E1F4" w14:textId="77777777" w:rsidR="00DF410E" w:rsidRDefault="00CE7F43">
      <w:pPr>
        <w:spacing w:after="0" w:line="0" w:lineRule="atLeast"/>
      </w:pPr>
      <w:r>
        <w:rPr>
          <w:b/>
          <w:color w:val="000000"/>
        </w:rPr>
        <w:t>(soit)</w:t>
      </w:r>
    </w:p>
    <w:p w14:paraId="5D5047FF" w14:textId="77777777" w:rsidR="00DF410E" w:rsidRDefault="00CE7F43">
      <w:pPr>
        <w:spacing w:after="0" w:line="0" w:lineRule="atLeast"/>
      </w:pPr>
      <w:r>
        <w:rPr>
          <w:rStyle w:val="soitChar"/>
        </w:rPr>
        <w:t>2. m³</w:t>
      </w:r>
    </w:p>
    <w:p w14:paraId="6BE6F34D" w14:textId="77777777" w:rsidR="00DF410E" w:rsidRDefault="00CE7F43">
      <w:pPr>
        <w:pStyle w:val="pheading"/>
      </w:pPr>
      <w:r>
        <w:t>- code de mesurage:</w:t>
      </w:r>
    </w:p>
    <w:p w14:paraId="1610BFDF" w14:textId="77777777" w:rsidR="00DF410E" w:rsidRDefault="00CE7F43">
      <w:pPr>
        <w:spacing w:before="0" w:after="0"/>
      </w:pPr>
      <w:r>
        <w:t>Les maçonneries sont mesurées en fonction de leur forme géométrique.</w:t>
      </w:r>
    </w:p>
    <w:p w14:paraId="1B9D7AE5"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briques de façade.</w:t>
      </w:r>
    </w:p>
    <w:p w14:paraId="03807577" w14:textId="77777777" w:rsidR="00DF410E" w:rsidRDefault="00CE7F43">
      <w:pPr>
        <w:spacing w:before="0" w:after="0"/>
      </w:pPr>
      <w:r>
        <w:t>La coulisse n'est jamais prise en compte.</w:t>
      </w:r>
    </w:p>
    <w:p w14:paraId="72271AA3" w14:textId="77777777" w:rsidR="00DF410E" w:rsidRDefault="00CE7F43">
      <w:pPr>
        <w:spacing w:after="0" w:line="259" w:lineRule="auto"/>
      </w:pPr>
      <w:r>
        <w:rPr>
          <w:rStyle w:val="normalChar"/>
        </w:rPr>
        <w:t>Les accessoires (linteaux non décrits et non comptés dans un autre poste, attaches,…) sont compris dans le prix.</w:t>
      </w:r>
    </w:p>
    <w:p w14:paraId="6135D932" w14:textId="77777777" w:rsidR="00DF410E" w:rsidRDefault="00CE7F43">
      <w:pPr>
        <w:spacing w:after="0" w:line="259" w:lineRule="auto"/>
      </w:pPr>
      <w:r>
        <w:rPr>
          <w:rStyle w:val="normalChar"/>
        </w:rPr>
        <w:t>Sont entre-autres décrits et comptés dans un autre poste :</w:t>
      </w:r>
    </w:p>
    <w:p w14:paraId="69DA4846" w14:textId="77777777" w:rsidR="00DF410E" w:rsidRDefault="00CE7F43">
      <w:pPr>
        <w:pStyle w:val="Author-eListParagraph"/>
        <w:numPr>
          <w:ilvl w:val="0"/>
          <w:numId w:val="249"/>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7613A1F5" w14:textId="77777777" w:rsidR="00DF410E" w:rsidRDefault="00CE7F43">
      <w:pPr>
        <w:pStyle w:val="Author-eListParagraph"/>
        <w:numPr>
          <w:ilvl w:val="0"/>
          <w:numId w:val="249"/>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6A392FDC" w14:textId="77777777" w:rsidR="00DF410E" w:rsidRDefault="00CE7F43">
      <w:pPr>
        <w:pStyle w:val="Author-eListParagraph"/>
        <w:numPr>
          <w:ilvl w:val="0"/>
          <w:numId w:val="249"/>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2EEDEE81" w14:textId="77777777" w:rsidR="00DF410E" w:rsidRDefault="00DF410E"/>
    <w:p w14:paraId="78E38DB2"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4CBFE6C4" w14:textId="77777777" w:rsidR="00DF410E" w:rsidRDefault="00CE7F43">
      <w:pPr>
        <w:spacing w:after="0" w:line="252" w:lineRule="auto"/>
      </w:pPr>
      <w:r>
        <w:rPr>
          <w:b/>
          <w:color w:val="000000"/>
        </w:rPr>
        <w:t>(soit par défaut)</w:t>
      </w:r>
    </w:p>
    <w:p w14:paraId="7904C5D7"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4726C4BD" w14:textId="77777777" w:rsidR="00DF410E" w:rsidRDefault="00CE7F43">
      <w:pPr>
        <w:spacing w:after="0" w:line="252" w:lineRule="auto"/>
      </w:pPr>
      <w:r>
        <w:rPr>
          <w:rStyle w:val="soitChar"/>
        </w:rPr>
        <w:t>Distinction faite suivant l'épaisseur.</w:t>
      </w:r>
    </w:p>
    <w:p w14:paraId="35565569" w14:textId="77777777" w:rsidR="00DF410E" w:rsidRDefault="00CE7F43">
      <w:pPr>
        <w:spacing w:line="252" w:lineRule="auto"/>
      </w:pPr>
      <w:r>
        <w:rPr>
          <w:b/>
          <w:color w:val="000000"/>
        </w:rPr>
        <w:t>(soit)</w:t>
      </w:r>
    </w:p>
    <w:p w14:paraId="4C177350"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AAF998E"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7DA2C016" w14:textId="77777777" w:rsidR="00DF410E" w:rsidRDefault="00CE7F43">
      <w:pPr>
        <w:pStyle w:val="pheading"/>
      </w:pPr>
      <w:r>
        <w:t>- nature du marché:</w:t>
      </w:r>
    </w:p>
    <w:p w14:paraId="67B01496" w14:textId="77777777" w:rsidR="00DF410E" w:rsidRDefault="00CE7F43">
      <w:r>
        <w:t>QF</w:t>
      </w:r>
    </w:p>
    <w:p w14:paraId="69129D6D" w14:textId="77777777" w:rsidR="00DF410E" w:rsidRDefault="00CE7F43">
      <w:pPr>
        <w:pStyle w:val="Author-eSectionHeading6"/>
      </w:pPr>
      <w:bookmarkStart w:id="259" w:name="_Toc178837489"/>
      <w:r>
        <w:t>21.32.2b Maçonneries de parement en blocs de béton pleins à coller CCTB 01.11</w:t>
      </w:r>
      <w:bookmarkEnd w:id="259"/>
    </w:p>
    <w:p w14:paraId="0A2E3DC3" w14:textId="77777777" w:rsidR="00DF410E" w:rsidRDefault="00CE7F43">
      <w:pPr>
        <w:pStyle w:val="pheading"/>
      </w:pPr>
      <w:r>
        <w:t>DESCRIPTION</w:t>
      </w:r>
    </w:p>
    <w:p w14:paraId="2B04092E" w14:textId="77777777" w:rsidR="00DF410E" w:rsidRDefault="00CE7F43">
      <w:pPr>
        <w:pStyle w:val="pheading"/>
      </w:pPr>
      <w:r>
        <w:t>- Définition / Comprend</w:t>
      </w:r>
    </w:p>
    <w:p w14:paraId="54E0EB0C" w14:textId="77777777" w:rsidR="00DF410E" w:rsidRDefault="00CE7F43">
      <w:r>
        <w:t>Il s’agit de la fourniture et la pose de maçonneries de parement en blocs de béton pleins à coller.</w:t>
      </w:r>
    </w:p>
    <w:p w14:paraId="53A6142F" w14:textId="77777777" w:rsidR="00DF410E" w:rsidRDefault="00CE7F43">
      <w:r>
        <w:t xml:space="preserve">La portée des travaux est décrite dans l’article </w:t>
      </w:r>
      <w:hyperlink w:anchor="379" w:history="1">
        <w:r>
          <w:t>21.3 Maçonneries de parement</w:t>
        </w:r>
      </w:hyperlink>
      <w:r>
        <w:t>.</w:t>
      </w:r>
    </w:p>
    <w:p w14:paraId="25612D56" w14:textId="77777777" w:rsidR="00DF410E" w:rsidRDefault="00CE7F43">
      <w:pPr>
        <w:pStyle w:val="pheading"/>
      </w:pPr>
      <w:r>
        <w:t>- Localisation</w:t>
      </w:r>
    </w:p>
    <w:p w14:paraId="1C15030D" w14:textId="77777777" w:rsidR="00DF410E" w:rsidRDefault="00CE7F43">
      <w:r>
        <w:t xml:space="preserve">La pose est réalisée aux endroits suivants : </w:t>
      </w:r>
      <w:r>
        <w:rPr>
          <w:rStyle w:val="optioncarChar"/>
        </w:rPr>
        <w:t>***</w:t>
      </w:r>
      <w:r>
        <w:t>.</w:t>
      </w:r>
      <w:r>
        <w:br/>
        <w:t>Voir plans et métrés détaillés.</w:t>
      </w:r>
    </w:p>
    <w:p w14:paraId="6D22D626" w14:textId="77777777" w:rsidR="00DF410E" w:rsidRDefault="00CE7F43">
      <w:pPr>
        <w:pStyle w:val="pheading"/>
      </w:pPr>
      <w:r>
        <w:t>MATÉRIAUX</w:t>
      </w:r>
    </w:p>
    <w:p w14:paraId="6C7E5422" w14:textId="77777777" w:rsidR="00DF410E" w:rsidRDefault="00CE7F43">
      <w:pPr>
        <w:pStyle w:val="pheading"/>
      </w:pPr>
      <w:r>
        <w:t>- Caractéristiques générales</w:t>
      </w:r>
    </w:p>
    <w:p w14:paraId="456E7E95" w14:textId="77777777" w:rsidR="00DF410E" w:rsidRDefault="00CE7F43">
      <w:r>
        <w:t>Les blocs de béton pleins (grand format) répondent au [PTV 21-001]. Ils sont fabriqués à base de gravier, de sable, de ciment et d'adjuvants. La coloration dans la masse est homogène. Ils ont au moins deux mois d'âge avant d'être mis en œuvre sur chantier. L'entrepreneur soumet un échantillon et la fiche des performances pour approbation à l'auteur de projet.</w:t>
      </w:r>
    </w:p>
    <w:p w14:paraId="3AFAF910" w14:textId="77777777" w:rsidR="00DF410E" w:rsidRDefault="00CE7F43">
      <w:pPr>
        <w:spacing w:line="259" w:lineRule="auto"/>
      </w:pPr>
      <w:r>
        <w:rPr>
          <w:b/>
          <w:color w:val="000000"/>
        </w:rPr>
        <w:t>Blocs</w:t>
      </w:r>
    </w:p>
    <w:p w14:paraId="4931B9F9" w14:textId="77777777" w:rsidR="00DF410E" w:rsidRDefault="00CE7F43">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13B85329"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215B0D3C" w14:textId="77777777" w:rsidR="00DF410E" w:rsidRDefault="00CE7F43">
      <w:pPr>
        <w:spacing w:after="0" w:line="0" w:lineRule="atLeast"/>
      </w:pPr>
      <w:r>
        <w:rPr>
          <w:color w:val="000000"/>
        </w:rPr>
        <w:t xml:space="preserve">Le groupe de configuration suivant [PTV 21-001] est: </w:t>
      </w:r>
      <w:r>
        <w:rPr>
          <w:rStyle w:val="optioncarChar"/>
          <w:color w:val="000000"/>
        </w:rPr>
        <w:t xml:space="preserve">1 / 2 / 3 / 4 </w:t>
      </w:r>
    </w:p>
    <w:p w14:paraId="3D177942" w14:textId="77777777" w:rsidR="00DF410E" w:rsidRDefault="00CE7F43">
      <w:pPr>
        <w:spacing w:after="0" w:line="0" w:lineRule="atLeast"/>
      </w:pPr>
      <w:r>
        <w:rPr>
          <w:color w:val="000000"/>
        </w:rPr>
        <w:t xml:space="preserve">Le code d’identification du type de bloc de maçonnerie suivant [PTV 21-001] est </w:t>
      </w:r>
      <w:r>
        <w:rPr>
          <w:rStyle w:val="optioncarChar"/>
          <w:color w:val="000000"/>
        </w:rPr>
        <w:t>A1 / A2 / B1 / B2</w:t>
      </w:r>
    </w:p>
    <w:p w14:paraId="4893B73C" w14:textId="77777777" w:rsidR="00DF410E" w:rsidRDefault="00CE7F43">
      <w:pPr>
        <w:spacing w:after="0" w:line="0" w:lineRule="atLeast"/>
      </w:pPr>
      <w:r>
        <w:rPr>
          <w:color w:val="000000"/>
        </w:rPr>
        <w:t xml:space="preserve">La conductibilité thermique λD est compatible avec la valeur U prescrite pour la paroi. </w:t>
      </w:r>
    </w:p>
    <w:p w14:paraId="65E965F7" w14:textId="77777777" w:rsidR="00DF410E" w:rsidRDefault="00CE7F43">
      <w:pPr>
        <w:spacing w:after="0" w:line="0" w:lineRule="atLeast"/>
      </w:pPr>
      <w:r>
        <w:rPr>
          <w:color w:val="000000"/>
        </w:rPr>
        <w:t>Boutisse :</w:t>
      </w:r>
      <w:r>
        <w:t xml:space="preserve"> plate</w:t>
      </w:r>
    </w:p>
    <w:p w14:paraId="45F9A785" w14:textId="77777777" w:rsidR="00DF410E" w:rsidRDefault="00CE7F43">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159C7DA6" w14:textId="77777777" w:rsidR="00DF410E" w:rsidRDefault="00CE7F43">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2F8D0519" w14:textId="77777777" w:rsidR="00DF410E" w:rsidRDefault="00CE7F43">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500967F9" w14:textId="77777777" w:rsidR="00DF410E" w:rsidRDefault="00CE7F43">
      <w:pPr>
        <w:spacing w:after="0" w:line="0" w:lineRule="atLeast"/>
      </w:pPr>
      <w:r>
        <w:rPr>
          <w:color w:val="000000"/>
        </w:rPr>
        <w:t xml:space="preserve">Réaction au feu : </w:t>
      </w:r>
      <w:r>
        <w:rPr>
          <w:rStyle w:val="optioncarChar"/>
          <w:color w:val="000000"/>
        </w:rPr>
        <w:t>A1 </w:t>
      </w:r>
      <w:r>
        <w:t xml:space="preserve">(par défaut) </w:t>
      </w:r>
      <w:r>
        <w:rPr>
          <w:rStyle w:val="optioncarChar"/>
          <w:color w:val="000000"/>
        </w:rPr>
        <w:t>/ ***</w:t>
      </w:r>
    </w:p>
    <w:p w14:paraId="13E697C6" w14:textId="77777777" w:rsidR="00DF410E" w:rsidRDefault="00DF410E"/>
    <w:p w14:paraId="10593204" w14:textId="77777777" w:rsidR="00DF410E" w:rsidRDefault="00CE7F43">
      <w:pPr>
        <w:spacing w:after="0" w:line="0" w:lineRule="atLeast"/>
      </w:pPr>
      <w:r>
        <w:rPr>
          <w:rStyle w:val="headingChar"/>
          <w:color w:val="000000"/>
        </w:rPr>
        <w:t>Mortier</w:t>
      </w:r>
    </w:p>
    <w:p w14:paraId="48E087F0" w14:textId="77777777" w:rsidR="00DF410E" w:rsidRDefault="00CE7F43">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14:paraId="68CBDCC6" w14:textId="77777777" w:rsidR="00DF410E" w:rsidRDefault="00CE7F43">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6FE188EB" w14:textId="77777777" w:rsidR="00DF410E" w:rsidRDefault="00CE7F43">
      <w:pPr>
        <w:spacing w:line="259" w:lineRule="auto"/>
      </w:pPr>
      <w:r>
        <w:rPr>
          <w:color w:val="000000"/>
        </w:rPr>
        <w:t>Adhérence en cisaillement :</w:t>
      </w:r>
      <w:r>
        <w:rPr>
          <w:rStyle w:val="optioncarChar"/>
          <w:color w:val="000000"/>
        </w:rPr>
        <w:t xml:space="preserve"> ≥ 0,10 N/mm² / ≥ 0,15 N/mm² </w:t>
      </w:r>
      <w:r>
        <w:t>(par défaut)</w:t>
      </w:r>
      <w:r>
        <w:rPr>
          <w:rStyle w:val="optioncarChar"/>
          <w:color w:val="000000"/>
        </w:rPr>
        <w:t xml:space="preserve"> / non spécifié / *** </w:t>
      </w:r>
    </w:p>
    <w:p w14:paraId="3A4E9C47" w14:textId="77777777" w:rsidR="00DF410E" w:rsidRDefault="00CE7F43">
      <w:pPr>
        <w:spacing w:line="259" w:lineRule="auto"/>
      </w:pPr>
      <w:r>
        <w:rPr>
          <w:color w:val="000000"/>
        </w:rPr>
        <w:t xml:space="preserve">Résistance au gel : </w:t>
      </w:r>
      <w:r>
        <w:rPr>
          <w:rStyle w:val="optioncarChar"/>
          <w:color w:val="000000"/>
        </w:rPr>
        <w:t>oui</w:t>
      </w:r>
    </w:p>
    <w:p w14:paraId="74CE21D6" w14:textId="77777777" w:rsidR="00DF410E" w:rsidRDefault="00DF410E"/>
    <w:p w14:paraId="22F50AFA" w14:textId="77777777" w:rsidR="00DF410E" w:rsidRDefault="00CE7F43">
      <w:pPr>
        <w:spacing w:line="259" w:lineRule="auto"/>
      </w:pPr>
      <w:r>
        <w:rPr>
          <w:rStyle w:val="headingChar"/>
          <w:color w:val="000000"/>
        </w:rPr>
        <w:t>Critères de performances du parement</w:t>
      </w:r>
    </w:p>
    <w:p w14:paraId="2DB2D297" w14:textId="77777777" w:rsidR="00DF410E" w:rsidRDefault="00CE7F43">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4045C66B" w14:textId="77777777" w:rsidR="00DF410E" w:rsidRDefault="00DF410E"/>
    <w:p w14:paraId="4FD9CF5C" w14:textId="77777777" w:rsidR="00DF410E" w:rsidRDefault="00CE7F43">
      <w:r>
        <w:t> </w:t>
      </w:r>
    </w:p>
    <w:p w14:paraId="71F4EA1D" w14:textId="77777777" w:rsidR="00DF410E" w:rsidRDefault="00DF410E"/>
    <w:p w14:paraId="5BC657BD" w14:textId="77777777" w:rsidR="00DF410E" w:rsidRDefault="00CE7F43">
      <w:r>
        <w:t> </w:t>
      </w:r>
    </w:p>
    <w:p w14:paraId="6320DB94" w14:textId="77777777" w:rsidR="00DF410E" w:rsidRDefault="00CE7F43">
      <w:pPr>
        <w:pStyle w:val="pheading"/>
      </w:pPr>
      <w:r>
        <w:t>- Finitions</w:t>
      </w:r>
    </w:p>
    <w:p w14:paraId="7E94A882"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8118B13" w14:textId="77777777" w:rsidR="00DF410E" w:rsidRDefault="00CE7F43">
      <w:pPr>
        <w:pStyle w:val="pheading"/>
      </w:pPr>
      <w:r>
        <w:t>EXÉCUTION / MISE EN ŒUVRE</w:t>
      </w:r>
    </w:p>
    <w:p w14:paraId="44111784" w14:textId="77777777" w:rsidR="00DF410E" w:rsidRDefault="00CE7F43">
      <w:pPr>
        <w:pStyle w:val="pheading"/>
      </w:pPr>
      <w:r>
        <w:t>- Prescriptions générales</w:t>
      </w:r>
    </w:p>
    <w:p w14:paraId="5EC004F5" w14:textId="77777777" w:rsidR="00DF410E" w:rsidRDefault="00CE7F43">
      <w:pPr>
        <w:spacing w:line="259" w:lineRule="auto"/>
      </w:pPr>
      <w:r>
        <w:t xml:space="preserve">La maçonnerie est exécutée en appareil </w:t>
      </w:r>
      <w:r>
        <w:rPr>
          <w:rStyle w:val="optioncarChar"/>
        </w:rPr>
        <w:t>d'une</w:t>
      </w:r>
      <w:r>
        <w:rPr>
          <w:rStyle w:val="normalChar"/>
          <w:color w:val="FF0000"/>
        </w:rPr>
        <w:t xml:space="preserve"> demi-bloc </w:t>
      </w:r>
      <w:r>
        <w:t>(par défaut) </w:t>
      </w:r>
      <w:r>
        <w:rPr>
          <w:rStyle w:val="normalChar"/>
          <w:color w:val="FF0000"/>
        </w:rPr>
        <w:t>/ ***</w:t>
      </w:r>
    </w:p>
    <w:p w14:paraId="078B1B53"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7EA3FD57" w14:textId="77777777" w:rsidR="00DF410E" w:rsidRDefault="00DF410E"/>
    <w:p w14:paraId="743AE9AA" w14:textId="77777777" w:rsidR="00DF410E" w:rsidRDefault="00CE7F43">
      <w:pPr>
        <w:spacing w:line="259" w:lineRule="auto"/>
      </w:pPr>
      <w:r>
        <w:rPr>
          <w:rStyle w:val="normalChar"/>
          <w:b/>
          <w:color w:val="000000"/>
        </w:rPr>
        <w:t>LINTEAUX</w:t>
      </w:r>
    </w:p>
    <w:p w14:paraId="132310BA" w14:textId="77777777" w:rsidR="00DF410E" w:rsidRDefault="00CE7F43">
      <w:pPr>
        <w:spacing w:line="259" w:lineRule="auto"/>
      </w:pPr>
      <w:r>
        <w:rPr>
          <w:rStyle w:val="normalChar"/>
          <w:color w:val="000000"/>
        </w:rPr>
        <w:t>Les linteaux des ouvertures du parement sont réalisés à l’aide</w:t>
      </w:r>
      <w:r>
        <w:t> </w:t>
      </w:r>
      <w:r>
        <w:rPr>
          <w:rStyle w:val="optioncarChar"/>
        </w:rPr>
        <w:t>d’une armature et de crochets de mur </w:t>
      </w:r>
      <w:r>
        <w:t>(par défaut)</w:t>
      </w:r>
      <w:r>
        <w:rPr>
          <w:rStyle w:val="optioncarChar"/>
        </w:rPr>
        <w:t> / d’une cornière continue / de consoles trapézoïdales / de blocs sur chants sans accessoires / ***</w:t>
      </w:r>
    </w:p>
    <w:p w14:paraId="43456DB0" w14:textId="77777777" w:rsidR="00DF410E" w:rsidRDefault="00CE7F43">
      <w:r>
        <w:rPr>
          <w:b/>
        </w:rPr>
        <w:t>(soit par défaut)</w:t>
      </w:r>
    </w:p>
    <w:p w14:paraId="598DC2AA" w14:textId="77777777" w:rsidR="00DF410E" w:rsidRDefault="00CE7F43">
      <w:r>
        <w:rPr>
          <w:rStyle w:val="soitChar"/>
          <w:u w:val="single"/>
        </w:rPr>
        <w:t>D'une armature et de crochets de mur</w:t>
      </w:r>
      <w:r>
        <w:rPr>
          <w:rStyle w:val="soitChar"/>
        </w:rPr>
        <w:t>  :</w:t>
      </w:r>
    </w:p>
    <w:p w14:paraId="2E71E9C5"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632207A0" w14:textId="77777777" w:rsidR="00DF410E" w:rsidRDefault="00CE7F43">
      <w:r>
        <w:rPr>
          <w:b/>
        </w:rPr>
        <w:t>(soit)</w:t>
      </w:r>
    </w:p>
    <w:p w14:paraId="2B8B75E5"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bloc est découpée pour masquer la cornière : </w:t>
      </w:r>
      <w:r>
        <w:rPr>
          <w:rStyle w:val="optioncarChar"/>
        </w:rPr>
        <w:t xml:space="preserve">oui / non </w:t>
      </w:r>
      <w:r>
        <w:rPr>
          <w:rStyle w:val="optioncarChar"/>
          <w:color w:val="000000"/>
        </w:rPr>
        <w:t>(par défaut)</w:t>
      </w:r>
    </w:p>
    <w:p w14:paraId="203693D5" w14:textId="77777777" w:rsidR="00DF410E" w:rsidRDefault="00CE7F43">
      <w:r>
        <w:rPr>
          <w:b/>
        </w:rPr>
        <w:t>(soit)</w:t>
      </w:r>
    </w:p>
    <w:p w14:paraId="68D20A59"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bloc est découpée pour masquer la cornière : </w:t>
      </w:r>
      <w:r>
        <w:rPr>
          <w:rStyle w:val="optioncarChar"/>
        </w:rPr>
        <w:t xml:space="preserve">oui / non </w:t>
      </w:r>
      <w:r>
        <w:rPr>
          <w:rStyle w:val="optioncarChar"/>
          <w:color w:val="000000"/>
        </w:rPr>
        <w:t>(par défaut)</w:t>
      </w:r>
    </w:p>
    <w:p w14:paraId="5CE3EC78" w14:textId="77777777" w:rsidR="00DF410E" w:rsidRDefault="00CE7F43">
      <w:r>
        <w:rPr>
          <w:b/>
        </w:rPr>
        <w:t>(soit)</w:t>
      </w:r>
    </w:p>
    <w:p w14:paraId="2EF3A644" w14:textId="77777777" w:rsidR="00DF410E" w:rsidRDefault="00CE7F43">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43E3D0B" w14:textId="77777777" w:rsidR="00DF410E" w:rsidRDefault="00CE7F43">
      <w:r>
        <w:rPr>
          <w:b/>
        </w:rPr>
        <w:t>(soit)</w:t>
      </w:r>
    </w:p>
    <w:p w14:paraId="72B8ADA1" w14:textId="77777777" w:rsidR="00DF410E" w:rsidRDefault="00CE7F43">
      <w:r>
        <w:rPr>
          <w:rStyle w:val="optioncarChar"/>
        </w:rPr>
        <w:t> ***</w:t>
      </w:r>
    </w:p>
    <w:p w14:paraId="31E9E323" w14:textId="77777777" w:rsidR="00DF410E" w:rsidRDefault="00CE7F43">
      <w:pPr>
        <w:pStyle w:val="pheading"/>
      </w:pPr>
      <w:r>
        <w:t>- Notes d’exécution complémentaires</w:t>
      </w:r>
    </w:p>
    <w:p w14:paraId="74BB940C" w14:textId="77777777" w:rsidR="00DF410E" w:rsidRDefault="00CE7F43">
      <w:r>
        <w:t>En vue du choix définitif des blocs de parement, un ou plusieurs échantillons d'environ 1 m2 sont maçonnés à la demande de l'auteur de projet; les frais inhérents à la construction et à la démolition de ces murs sont à charge de l'entrepreneur.</w:t>
      </w:r>
    </w:p>
    <w:p w14:paraId="5B2B847F" w14:textId="77777777" w:rsidR="00DF410E" w:rsidRDefault="00CE7F43">
      <w:r>
        <w:t xml:space="preserve">• Armatures : selon l'article </w:t>
      </w:r>
      <w:hyperlink w:anchor="355" w:history="1">
        <w:r>
          <w:t>21.41.1 Armatures horizontales pour maçonneries</w:t>
        </w:r>
      </w:hyperlink>
      <w:r>
        <w:t xml:space="preserve"> Le cas échéant, seul le mortier de la catégorie 12 sera autorisé.</w:t>
      </w:r>
    </w:p>
    <w:p w14:paraId="2F86EAF5" w14:textId="77777777" w:rsidR="00DF410E" w:rsidRDefault="00CE7F43">
      <w:r>
        <w:t xml:space="preserve">• Ancrages : selon l'article </w:t>
      </w:r>
      <w:hyperlink w:anchor="362" w:history="1">
        <w:r>
          <w:t>21.42 Ancrages et fixations de maçonneries</w:t>
        </w:r>
      </w:hyperlink>
    </w:p>
    <w:p w14:paraId="65F08547" w14:textId="77777777" w:rsidR="00DF410E" w:rsidRDefault="00CE7F43">
      <w:r>
        <w:t xml:space="preserve">Blocs spéciaux : </w:t>
      </w:r>
      <w:r>
        <w:rPr>
          <w:rStyle w:val="optioncarChar"/>
        </w:rPr>
        <w:t>***</w:t>
      </w:r>
    </w:p>
    <w:p w14:paraId="5735F18C" w14:textId="77777777" w:rsidR="00DF410E" w:rsidRDefault="00CE7F43">
      <w:r>
        <w:t xml:space="preserve">Étanchéité : </w:t>
      </w:r>
      <w:r>
        <w:rPr>
          <w:rStyle w:val="optioncarChar"/>
        </w:rPr>
        <w:t>***</w:t>
      </w:r>
    </w:p>
    <w:p w14:paraId="4B807242" w14:textId="77777777" w:rsidR="00DF410E" w:rsidRDefault="00CE7F43">
      <w:r>
        <w:t xml:space="preserve">Joints de dilatation : </w:t>
      </w:r>
      <w:r>
        <w:rPr>
          <w:rStyle w:val="optioncarChar"/>
        </w:rPr>
        <w:t>***</w:t>
      </w:r>
    </w:p>
    <w:p w14:paraId="19AC251F" w14:textId="77777777" w:rsidR="00DF410E" w:rsidRDefault="00CE7F43">
      <w:pPr>
        <w:pStyle w:val="pheading"/>
      </w:pPr>
      <w:r>
        <w:t>MESURAGE</w:t>
      </w:r>
    </w:p>
    <w:p w14:paraId="7C18D340" w14:textId="77777777" w:rsidR="00DF410E" w:rsidRDefault="00CE7F43">
      <w:pPr>
        <w:pStyle w:val="pheading"/>
      </w:pPr>
      <w:r>
        <w:t>- unité de mesure:</w:t>
      </w:r>
    </w:p>
    <w:p w14:paraId="5F6D38E8" w14:textId="77777777" w:rsidR="00DF410E" w:rsidRDefault="00CE7F43">
      <w:r>
        <w:rPr>
          <w:rStyle w:val="optioncarChar"/>
        </w:rPr>
        <w:t>m² </w:t>
      </w:r>
      <w:r>
        <w:rPr>
          <w:rStyle w:val="optioncarChar"/>
          <w:color w:val="000000"/>
        </w:rPr>
        <w:t>(par défaut)</w:t>
      </w:r>
      <w:r>
        <w:rPr>
          <w:rStyle w:val="optioncarChar"/>
        </w:rPr>
        <w:t> / m³</w:t>
      </w:r>
    </w:p>
    <w:p w14:paraId="7C2D0374" w14:textId="77777777" w:rsidR="00DF410E" w:rsidRDefault="00CE7F43">
      <w:pPr>
        <w:spacing w:after="0" w:line="0" w:lineRule="atLeast"/>
      </w:pPr>
      <w:r>
        <w:rPr>
          <w:b/>
          <w:color w:val="000000"/>
        </w:rPr>
        <w:t>(soit par défaut)</w:t>
      </w:r>
    </w:p>
    <w:p w14:paraId="65EA7DE9" w14:textId="77777777" w:rsidR="00DF410E" w:rsidRDefault="00CE7F43">
      <w:pPr>
        <w:spacing w:after="0" w:line="0" w:lineRule="atLeast"/>
      </w:pPr>
      <w:r>
        <w:rPr>
          <w:rStyle w:val="soitChar"/>
        </w:rPr>
        <w:t>1. m²</w:t>
      </w:r>
    </w:p>
    <w:p w14:paraId="6FED4EC0" w14:textId="77777777" w:rsidR="00DF410E" w:rsidRDefault="00CE7F43">
      <w:pPr>
        <w:spacing w:after="0" w:line="0" w:lineRule="atLeast"/>
      </w:pPr>
      <w:r>
        <w:rPr>
          <w:b/>
          <w:color w:val="000000"/>
        </w:rPr>
        <w:t>(soit)</w:t>
      </w:r>
    </w:p>
    <w:p w14:paraId="7DF3064B" w14:textId="77777777" w:rsidR="00DF410E" w:rsidRDefault="00CE7F43">
      <w:pPr>
        <w:spacing w:after="0" w:line="0" w:lineRule="atLeast"/>
      </w:pPr>
      <w:r>
        <w:rPr>
          <w:rStyle w:val="soitChar"/>
        </w:rPr>
        <w:t>2. m³</w:t>
      </w:r>
    </w:p>
    <w:p w14:paraId="6F4576D6" w14:textId="77777777" w:rsidR="00DF410E" w:rsidRDefault="00CE7F43">
      <w:pPr>
        <w:pStyle w:val="pheading"/>
      </w:pPr>
      <w:r>
        <w:t>- code de mesurage:</w:t>
      </w:r>
    </w:p>
    <w:p w14:paraId="56ECD8DE" w14:textId="77777777" w:rsidR="00DF410E" w:rsidRDefault="00CE7F43">
      <w:pPr>
        <w:spacing w:before="0" w:after="0"/>
      </w:pPr>
      <w:r>
        <w:t>Les maçonneries sont mesurées en fonction de leur forme géométrique.</w:t>
      </w:r>
    </w:p>
    <w:p w14:paraId="5748907E"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15DC156E" w14:textId="77777777" w:rsidR="00DF410E" w:rsidRDefault="00CE7F43">
      <w:pPr>
        <w:spacing w:before="0" w:after="0"/>
      </w:pPr>
      <w:r>
        <w:t>La coulisse n'est jamais prise en compte.</w:t>
      </w:r>
    </w:p>
    <w:p w14:paraId="372EE6C4" w14:textId="77777777" w:rsidR="00DF410E" w:rsidRDefault="00CE7F43">
      <w:pPr>
        <w:spacing w:after="0" w:line="259" w:lineRule="auto"/>
      </w:pPr>
      <w:r>
        <w:rPr>
          <w:rStyle w:val="normalChar"/>
        </w:rPr>
        <w:t>Les accessoires (linteaux non décrits et non comptés dans un autre poste, attaches,…) sont compris dans le prix.</w:t>
      </w:r>
    </w:p>
    <w:p w14:paraId="1D57C3D3" w14:textId="77777777" w:rsidR="00DF410E" w:rsidRDefault="00CE7F43">
      <w:pPr>
        <w:spacing w:after="0" w:line="259" w:lineRule="auto"/>
      </w:pPr>
      <w:r>
        <w:rPr>
          <w:rStyle w:val="normalChar"/>
        </w:rPr>
        <w:t>Sont entre-autres décrits et comptés dans un autre poste :</w:t>
      </w:r>
    </w:p>
    <w:p w14:paraId="4B00283B" w14:textId="77777777" w:rsidR="00DF410E" w:rsidRDefault="00CE7F43">
      <w:pPr>
        <w:pStyle w:val="Author-eListParagraph"/>
        <w:numPr>
          <w:ilvl w:val="0"/>
          <w:numId w:val="250"/>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60142A36" w14:textId="77777777" w:rsidR="00DF410E" w:rsidRDefault="00CE7F43">
      <w:pPr>
        <w:pStyle w:val="Author-eListParagraph"/>
        <w:numPr>
          <w:ilvl w:val="0"/>
          <w:numId w:val="250"/>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00A43E1A" w14:textId="77777777" w:rsidR="00DF410E" w:rsidRDefault="00CE7F43">
      <w:pPr>
        <w:pStyle w:val="Author-eListParagraph"/>
        <w:numPr>
          <w:ilvl w:val="0"/>
          <w:numId w:val="250"/>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37EF0ED0" w14:textId="77777777" w:rsidR="00DF410E" w:rsidRDefault="00DF410E"/>
    <w:p w14:paraId="69181136"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5B592D24" w14:textId="77777777" w:rsidR="00DF410E" w:rsidRDefault="00CE7F43">
      <w:pPr>
        <w:spacing w:after="0" w:line="252" w:lineRule="auto"/>
      </w:pPr>
      <w:r>
        <w:rPr>
          <w:b/>
          <w:color w:val="000000"/>
        </w:rPr>
        <w:t>(soit par défaut)</w:t>
      </w:r>
    </w:p>
    <w:p w14:paraId="0725A6D5"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4A7DEA4F" w14:textId="77777777" w:rsidR="00DF410E" w:rsidRDefault="00CE7F43">
      <w:pPr>
        <w:spacing w:after="0" w:line="252" w:lineRule="auto"/>
      </w:pPr>
      <w:r>
        <w:rPr>
          <w:rStyle w:val="soitChar"/>
        </w:rPr>
        <w:t>Distinction faite suivant l'épaisseur.</w:t>
      </w:r>
    </w:p>
    <w:p w14:paraId="5B92A3A0" w14:textId="77777777" w:rsidR="00DF410E" w:rsidRDefault="00CE7F43">
      <w:pPr>
        <w:spacing w:line="252" w:lineRule="auto"/>
      </w:pPr>
      <w:r>
        <w:rPr>
          <w:b/>
          <w:color w:val="000000"/>
        </w:rPr>
        <w:t>(soit)</w:t>
      </w:r>
    </w:p>
    <w:p w14:paraId="239C238B"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80C4CFC"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4AF22FF2" w14:textId="77777777" w:rsidR="00DF410E" w:rsidRDefault="00CE7F43">
      <w:pPr>
        <w:pStyle w:val="pheading"/>
      </w:pPr>
      <w:r>
        <w:t>- nature du marché:</w:t>
      </w:r>
    </w:p>
    <w:p w14:paraId="48262CEE" w14:textId="77777777" w:rsidR="00DF410E" w:rsidRDefault="00CE7F43">
      <w:r>
        <w:t>QF</w:t>
      </w:r>
    </w:p>
    <w:p w14:paraId="7B969461" w14:textId="77777777" w:rsidR="00DF410E" w:rsidRDefault="00CE7F43">
      <w:pPr>
        <w:pStyle w:val="Author-eSectionHeading6"/>
      </w:pPr>
      <w:bookmarkStart w:id="260" w:name="_Toc178837490"/>
      <w:r>
        <w:t>21.32.2c Maçonneries de parement en blocs de béton creux à maçonner CCTB 01.11</w:t>
      </w:r>
      <w:bookmarkEnd w:id="260"/>
    </w:p>
    <w:p w14:paraId="5AC738FC" w14:textId="77777777" w:rsidR="00DF410E" w:rsidRDefault="00CE7F43">
      <w:pPr>
        <w:pStyle w:val="pheading"/>
      </w:pPr>
      <w:r>
        <w:t>DESCRIPTION</w:t>
      </w:r>
    </w:p>
    <w:p w14:paraId="27E1FD2E" w14:textId="77777777" w:rsidR="00DF410E" w:rsidRDefault="00CE7F43">
      <w:pPr>
        <w:pStyle w:val="pheading"/>
      </w:pPr>
      <w:r>
        <w:t>- Définition / Comprend</w:t>
      </w:r>
    </w:p>
    <w:p w14:paraId="23BA9B30" w14:textId="77777777" w:rsidR="00DF410E" w:rsidRDefault="00CE7F43">
      <w:r>
        <w:t>Il s’agit de la fourniture et la pose de maçonneries de parement en blocs de béton creux à maçonner.</w:t>
      </w:r>
    </w:p>
    <w:p w14:paraId="48E0533C" w14:textId="77777777" w:rsidR="00DF410E" w:rsidRDefault="00CE7F43">
      <w:r>
        <w:t>La portée des travaux est décrite dans l’article </w:t>
      </w:r>
      <w:hyperlink w:anchor="379" w:history="1">
        <w:r>
          <w:t>21.3 Maçonneries de parement</w:t>
        </w:r>
      </w:hyperlink>
      <w:r>
        <w:t>.</w:t>
      </w:r>
    </w:p>
    <w:p w14:paraId="60E5F39F" w14:textId="77777777" w:rsidR="00DF410E" w:rsidRDefault="00CE7F43">
      <w:pPr>
        <w:pStyle w:val="pheading"/>
      </w:pPr>
      <w:r>
        <w:t>- Localisation</w:t>
      </w:r>
    </w:p>
    <w:p w14:paraId="70BFF7E5" w14:textId="77777777" w:rsidR="00DF410E" w:rsidRDefault="00CE7F43">
      <w:r>
        <w:t xml:space="preserve">La pose est réalisée aux endroits suivants : </w:t>
      </w:r>
      <w:r>
        <w:rPr>
          <w:rStyle w:val="optioncarChar"/>
        </w:rPr>
        <w:t>***</w:t>
      </w:r>
      <w:r>
        <w:t>.</w:t>
      </w:r>
      <w:r>
        <w:br/>
        <w:t>Voir plans et métrés détaillés.</w:t>
      </w:r>
    </w:p>
    <w:p w14:paraId="0F9603EE" w14:textId="77777777" w:rsidR="00DF410E" w:rsidRDefault="00CE7F43">
      <w:pPr>
        <w:pStyle w:val="pheading"/>
      </w:pPr>
      <w:r>
        <w:t>MATÉRIAUX</w:t>
      </w:r>
    </w:p>
    <w:p w14:paraId="09217F21" w14:textId="77777777" w:rsidR="00DF410E" w:rsidRDefault="00CE7F43">
      <w:pPr>
        <w:pStyle w:val="pheading"/>
      </w:pPr>
      <w:r>
        <w:t>- Caractéristiques générales</w:t>
      </w:r>
    </w:p>
    <w:p w14:paraId="6516DB45" w14:textId="77777777" w:rsidR="00DF410E" w:rsidRDefault="00CE7F43">
      <w:r>
        <w:rPr>
          <w:rStyle w:val="headingChar"/>
          <w:color w:val="000000"/>
        </w:rPr>
        <w:t>Blocs</w:t>
      </w:r>
    </w:p>
    <w:p w14:paraId="38E6CE71" w14:textId="77777777" w:rsidR="00DF410E" w:rsidRDefault="00CE7F43">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098A9FDE"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2623C0D2" w14:textId="77777777" w:rsidR="00DF410E" w:rsidRDefault="00CE7F43">
      <w:pPr>
        <w:spacing w:after="0" w:line="0" w:lineRule="atLeast"/>
      </w:pPr>
      <w:r>
        <w:rPr>
          <w:color w:val="000000"/>
        </w:rPr>
        <w:t xml:space="preserve">Le groupe de configuration suivant [PTV 21-001] est: </w:t>
      </w:r>
      <w:r>
        <w:rPr>
          <w:rStyle w:val="optioncarChar"/>
          <w:color w:val="000000"/>
        </w:rPr>
        <w:t>1 / 2 / 3 / 4</w:t>
      </w:r>
    </w:p>
    <w:p w14:paraId="44A90278" w14:textId="77777777" w:rsidR="00DF410E" w:rsidRDefault="00CE7F43">
      <w:pPr>
        <w:spacing w:after="0" w:line="0" w:lineRule="atLeast"/>
      </w:pPr>
      <w:r>
        <w:rPr>
          <w:color w:val="000000"/>
        </w:rPr>
        <w:t xml:space="preserve">Le code d’identification du type de bloc de maçonnerie suivant [PTV 21-001] est </w:t>
      </w:r>
      <w:r>
        <w:rPr>
          <w:rStyle w:val="optioncarChar"/>
          <w:color w:val="000000"/>
        </w:rPr>
        <w:t>A1 / A2 / B1 / B2</w:t>
      </w:r>
    </w:p>
    <w:p w14:paraId="22D088B1" w14:textId="77777777" w:rsidR="00DF410E" w:rsidRDefault="00CE7F43">
      <w:pPr>
        <w:spacing w:after="0" w:line="0" w:lineRule="atLeast"/>
      </w:pPr>
      <w:r>
        <w:rPr>
          <w:color w:val="000000"/>
        </w:rPr>
        <w:t xml:space="preserve">La conductibilité thermique λD est compatible avec la valeur U prescrite pour la paroi. </w:t>
      </w:r>
    </w:p>
    <w:p w14:paraId="3518B2A3" w14:textId="77777777" w:rsidR="00DF410E" w:rsidRDefault="00CE7F43">
      <w:pPr>
        <w:spacing w:after="0" w:line="0" w:lineRule="atLeast"/>
      </w:pPr>
      <w:r>
        <w:rPr>
          <w:color w:val="000000"/>
        </w:rPr>
        <w:t xml:space="preserve">Boutisse : </w:t>
      </w:r>
      <w:r>
        <w:t>plate</w:t>
      </w:r>
    </w:p>
    <w:p w14:paraId="0F89E3DF" w14:textId="77777777" w:rsidR="00DF410E" w:rsidRDefault="00CE7F43">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37F78E85" w14:textId="77777777" w:rsidR="00DF410E" w:rsidRDefault="00CE7F43">
      <w:pPr>
        <w:spacing w:after="0" w:line="0" w:lineRule="atLeast"/>
      </w:pPr>
      <w:r>
        <w:rPr>
          <w:color w:val="000000"/>
        </w:rPr>
        <w:t xml:space="preserve">Teinte : </w:t>
      </w:r>
      <w:r>
        <w:rPr>
          <w:rStyle w:val="optioncarChar"/>
          <w:color w:val="000000"/>
        </w:rPr>
        <w:t xml:space="preserve">gris </w:t>
      </w:r>
      <w:r>
        <w:t>(par défaut) </w:t>
      </w:r>
      <w:r>
        <w:rPr>
          <w:rStyle w:val="optioncarChar"/>
          <w:color w:val="000000"/>
        </w:rPr>
        <w:t>/ blanc / noir / ***</w:t>
      </w:r>
    </w:p>
    <w:p w14:paraId="2F235A1C" w14:textId="77777777" w:rsidR="00DF410E" w:rsidRDefault="00CE7F43">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7A44BD2F" w14:textId="77777777" w:rsidR="00DF410E" w:rsidRDefault="00CE7F43">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3A1AAC2F" w14:textId="77777777" w:rsidR="00DF410E" w:rsidRDefault="00DF410E"/>
    <w:p w14:paraId="2C4C6782" w14:textId="77777777" w:rsidR="00DF410E" w:rsidRDefault="00CE7F43">
      <w:pPr>
        <w:spacing w:after="0" w:line="0" w:lineRule="atLeast"/>
      </w:pPr>
      <w:r>
        <w:rPr>
          <w:rStyle w:val="headingChar"/>
          <w:color w:val="000000"/>
        </w:rPr>
        <w:t>Mortier</w:t>
      </w:r>
    </w:p>
    <w:p w14:paraId="0A2BB74D" w14:textId="77777777" w:rsidR="00DF410E" w:rsidRDefault="00CE7F43">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color w:val="000000"/>
        </w:rPr>
        <w:t xml:space="preserve"> mm.</w:t>
      </w:r>
    </w:p>
    <w:p w14:paraId="4A23CCFA" w14:textId="77777777" w:rsidR="00DF410E" w:rsidRDefault="00CE7F43">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5A7B8203" w14:textId="77777777" w:rsidR="00DF410E" w:rsidRDefault="00CE7F43">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4F379C35" w14:textId="77777777" w:rsidR="00DF410E" w:rsidRDefault="00CE7F43">
      <w:pPr>
        <w:spacing w:line="259" w:lineRule="auto"/>
      </w:pPr>
      <w:r>
        <w:rPr>
          <w:color w:val="000000"/>
        </w:rPr>
        <w:t xml:space="preserve">Résistance au gel : </w:t>
      </w:r>
      <w:r>
        <w:rPr>
          <w:rStyle w:val="optioncarChar"/>
          <w:color w:val="000000"/>
        </w:rPr>
        <w:t>oui</w:t>
      </w:r>
    </w:p>
    <w:p w14:paraId="23708568" w14:textId="77777777" w:rsidR="00DF410E" w:rsidRDefault="00DF410E"/>
    <w:p w14:paraId="2EBAACB1" w14:textId="77777777" w:rsidR="00DF410E" w:rsidRDefault="00CE7F43">
      <w:pPr>
        <w:spacing w:line="259" w:lineRule="auto"/>
      </w:pPr>
      <w:r>
        <w:rPr>
          <w:rStyle w:val="headingChar"/>
          <w:color w:val="000000"/>
        </w:rPr>
        <w:t>Critères de performances du parement</w:t>
      </w:r>
    </w:p>
    <w:p w14:paraId="4A7FC7D5" w14:textId="77777777" w:rsidR="00DF410E" w:rsidRDefault="00CE7F43">
      <w:pPr>
        <w:spacing w:line="259" w:lineRule="auto"/>
      </w:pPr>
      <w:r>
        <w:t>V</w:t>
      </w:r>
      <w:r>
        <w:rPr>
          <w:color w:val="000000"/>
        </w:rPr>
        <w:t xml:space="preserve">aleur λUi ou λUe maximum *** W/mK (suivant l’application). </w:t>
      </w:r>
    </w:p>
    <w:p w14:paraId="232225CD" w14:textId="77777777" w:rsidR="00DF410E" w:rsidRDefault="00CE7F43">
      <w:pPr>
        <w:pStyle w:val="pheading"/>
      </w:pPr>
      <w:r>
        <w:t>- Finitions</w:t>
      </w:r>
    </w:p>
    <w:p w14:paraId="7010E0C4"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528BC15A"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685872A"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5B9F3E8E"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072FC7CC"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4F109A66" w14:textId="77777777" w:rsidR="00DF410E" w:rsidRDefault="00DF410E"/>
    <w:p w14:paraId="4B002B39" w14:textId="77777777" w:rsidR="00DF410E" w:rsidRDefault="00CE7F43">
      <w:r>
        <w:t> </w:t>
      </w:r>
    </w:p>
    <w:p w14:paraId="60870053" w14:textId="77777777" w:rsidR="00DF410E" w:rsidRDefault="00CE7F43">
      <w:pPr>
        <w:pStyle w:val="pheading"/>
      </w:pPr>
      <w:r>
        <w:t>EXÉCUTION / MISE EN ŒUVRE</w:t>
      </w:r>
    </w:p>
    <w:p w14:paraId="36244918" w14:textId="77777777" w:rsidR="00DF410E" w:rsidRDefault="00CE7F43">
      <w:pPr>
        <w:pStyle w:val="pheading"/>
      </w:pPr>
      <w:r>
        <w:t>- Prescriptions générales</w:t>
      </w:r>
    </w:p>
    <w:p w14:paraId="2914E880" w14:textId="77777777" w:rsidR="00DF410E" w:rsidRDefault="00CE7F43">
      <w:pPr>
        <w:spacing w:line="259" w:lineRule="auto"/>
      </w:pPr>
      <w:r>
        <w:t xml:space="preserve">La maçonnerie est exécutée en appareil </w:t>
      </w:r>
      <w:r>
        <w:rPr>
          <w:rStyle w:val="optioncarChar"/>
        </w:rPr>
        <w:t>d'une demi-bloc / ***</w:t>
      </w:r>
    </w:p>
    <w:p w14:paraId="2228349E"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7B775B20" w14:textId="77777777" w:rsidR="00DF410E" w:rsidRDefault="00DF410E"/>
    <w:p w14:paraId="2CEFD0A3" w14:textId="77777777" w:rsidR="00DF410E" w:rsidRDefault="00CE7F43">
      <w:pPr>
        <w:spacing w:line="259" w:lineRule="auto"/>
      </w:pPr>
      <w:r>
        <w:rPr>
          <w:rStyle w:val="normalChar"/>
          <w:b/>
          <w:color w:val="000000"/>
        </w:rPr>
        <w:t>LINTEAUX</w:t>
      </w:r>
    </w:p>
    <w:p w14:paraId="0723DA5B"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057C8012" w14:textId="77777777" w:rsidR="00DF410E" w:rsidRDefault="00CE7F43">
      <w:r>
        <w:rPr>
          <w:b/>
        </w:rPr>
        <w:t>(soit par défaut)</w:t>
      </w:r>
    </w:p>
    <w:p w14:paraId="1449F00F" w14:textId="77777777" w:rsidR="00DF410E" w:rsidRDefault="00CE7F43">
      <w:r>
        <w:rPr>
          <w:rStyle w:val="soitChar"/>
          <w:u w:val="single"/>
        </w:rPr>
        <w:t>D'une armature et de crochets de mur</w:t>
      </w:r>
      <w:r>
        <w:rPr>
          <w:rStyle w:val="soitChar"/>
        </w:rPr>
        <w:t>  :</w:t>
      </w:r>
    </w:p>
    <w:p w14:paraId="738B27CB" w14:textId="77777777" w:rsidR="00DF410E" w:rsidRDefault="00CE7F43">
      <w:r>
        <w:rPr>
          <w:rStyle w:val="soitChar"/>
        </w:rPr>
        <w:t>L’armature est conforme aux descriptions du 21.41.1</w:t>
      </w:r>
      <w:r>
        <w:br/>
      </w:r>
      <w:r>
        <w:rPr>
          <w:color w:val="33CCCC"/>
        </w:rPr>
        <w:t>Les crochets sont prévus tous les</w:t>
      </w:r>
      <w:r>
        <w:rPr>
          <w:rStyle w:val="optioncarChar"/>
        </w:rPr>
        <w:t>***</w:t>
      </w:r>
      <w: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3C82875D" w14:textId="77777777" w:rsidR="00DF410E" w:rsidRDefault="00CE7F43">
      <w:r>
        <w:rPr>
          <w:b/>
        </w:rPr>
        <w:t>(soit)</w:t>
      </w:r>
    </w:p>
    <w:p w14:paraId="768FD4EC"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06E84F49" w14:textId="77777777" w:rsidR="00DF410E" w:rsidRDefault="00CE7F43">
      <w:r>
        <w:rPr>
          <w:b/>
        </w:rPr>
        <w:t>(soit)</w:t>
      </w:r>
    </w:p>
    <w:p w14:paraId="19364637"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52306347" w14:textId="77777777" w:rsidR="00DF410E" w:rsidRDefault="00CE7F43">
      <w:r>
        <w:rPr>
          <w:b/>
        </w:rPr>
        <w:t>(soit)</w:t>
      </w:r>
    </w:p>
    <w:p w14:paraId="255D7695" w14:textId="77777777" w:rsidR="00DF410E" w:rsidRDefault="00CE7F43">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0D9AF92A" w14:textId="77777777" w:rsidR="00DF410E" w:rsidRDefault="00CE7F43">
      <w:r>
        <w:rPr>
          <w:b/>
        </w:rPr>
        <w:t>(soit)</w:t>
      </w:r>
    </w:p>
    <w:p w14:paraId="0D557B3B" w14:textId="77777777" w:rsidR="00DF410E" w:rsidRDefault="00CE7F43">
      <w:r>
        <w:rPr>
          <w:rStyle w:val="optioncarChar"/>
        </w:rPr>
        <w:t> ***</w:t>
      </w:r>
    </w:p>
    <w:p w14:paraId="2365380A" w14:textId="77777777" w:rsidR="00DF410E" w:rsidRDefault="00CE7F43">
      <w:pPr>
        <w:pStyle w:val="pheading"/>
      </w:pPr>
      <w:r>
        <w:t>- Notes d’exécution complémentaires</w:t>
      </w:r>
    </w:p>
    <w:p w14:paraId="7D23948C" w14:textId="77777777" w:rsidR="00DF410E" w:rsidRDefault="00CE7F43">
      <w:r>
        <w:t>En vue du choix définitif des blocs de parement, un ou plusieurs échantillons d'environ 1 m2 sont maçonnés à la demande de l'auteur de projet; les frais inhérents à la construction et à la démolition de ces murs sont à charge de l'entrepreneur.</w:t>
      </w:r>
    </w:p>
    <w:p w14:paraId="5906B28C" w14:textId="77777777" w:rsidR="00DF410E" w:rsidRDefault="00CE7F43">
      <w:r>
        <w:t xml:space="preserve">• Armatures : selon l'article </w:t>
      </w:r>
      <w:hyperlink w:anchor="355" w:history="1">
        <w:r>
          <w:t>21.41.1 Armatures horizontales pour maçonneries</w:t>
        </w:r>
      </w:hyperlink>
    </w:p>
    <w:p w14:paraId="70FC9014" w14:textId="77777777" w:rsidR="00DF410E" w:rsidRDefault="00CE7F43">
      <w:r>
        <w:t xml:space="preserve">• Ancrages : selon l'article </w:t>
      </w:r>
      <w:hyperlink w:anchor="362" w:history="1">
        <w:r>
          <w:t>21.42 Ancrages et fixations de maçonneries</w:t>
        </w:r>
      </w:hyperlink>
    </w:p>
    <w:p w14:paraId="24304CB3" w14:textId="77777777" w:rsidR="00DF410E" w:rsidRDefault="00CE7F43">
      <w:r>
        <w:t xml:space="preserve">Blocs spéciaux : </w:t>
      </w:r>
      <w:r>
        <w:rPr>
          <w:rStyle w:val="optioncarChar"/>
        </w:rPr>
        <w:t>***</w:t>
      </w:r>
    </w:p>
    <w:p w14:paraId="6BFB2533" w14:textId="77777777" w:rsidR="00DF410E" w:rsidRDefault="00CE7F43">
      <w:r>
        <w:t xml:space="preserve">Étanchéité : </w:t>
      </w:r>
      <w:r>
        <w:rPr>
          <w:rStyle w:val="optioncarChar"/>
        </w:rPr>
        <w:t>***</w:t>
      </w:r>
    </w:p>
    <w:p w14:paraId="1CCEFBE2" w14:textId="77777777" w:rsidR="00DF410E" w:rsidRDefault="00CE7F43">
      <w:r>
        <w:t xml:space="preserve">Joints de dilatation : </w:t>
      </w:r>
      <w:r>
        <w:rPr>
          <w:rStyle w:val="optioncarChar"/>
        </w:rPr>
        <w:t>***</w:t>
      </w:r>
    </w:p>
    <w:p w14:paraId="4BA1C55F" w14:textId="77777777" w:rsidR="00DF410E" w:rsidRDefault="00CE7F43">
      <w:pPr>
        <w:pStyle w:val="pheading"/>
      </w:pPr>
      <w:r>
        <w:t>MESURAGE</w:t>
      </w:r>
    </w:p>
    <w:p w14:paraId="181DB72A" w14:textId="77777777" w:rsidR="00DF410E" w:rsidRDefault="00CE7F43">
      <w:pPr>
        <w:pStyle w:val="pheading"/>
      </w:pPr>
      <w:r>
        <w:t>- unité de mesure:</w:t>
      </w:r>
    </w:p>
    <w:p w14:paraId="47087E14" w14:textId="77777777" w:rsidR="00DF410E" w:rsidRDefault="00CE7F43">
      <w:r>
        <w:rPr>
          <w:rStyle w:val="optioncarChar"/>
        </w:rPr>
        <w:t>m² </w:t>
      </w:r>
      <w:r>
        <w:rPr>
          <w:rStyle w:val="optioncarChar"/>
          <w:color w:val="000000"/>
        </w:rPr>
        <w:t>(par défaut)</w:t>
      </w:r>
      <w:r>
        <w:rPr>
          <w:rStyle w:val="optioncarChar"/>
        </w:rPr>
        <w:t> / m³</w:t>
      </w:r>
    </w:p>
    <w:p w14:paraId="2BD9AB78" w14:textId="77777777" w:rsidR="00DF410E" w:rsidRDefault="00CE7F43">
      <w:pPr>
        <w:spacing w:after="0" w:line="0" w:lineRule="atLeast"/>
      </w:pPr>
      <w:r>
        <w:rPr>
          <w:b/>
          <w:color w:val="000000"/>
        </w:rPr>
        <w:t>(soit par défaut)</w:t>
      </w:r>
    </w:p>
    <w:p w14:paraId="5893EB24" w14:textId="77777777" w:rsidR="00DF410E" w:rsidRDefault="00CE7F43">
      <w:pPr>
        <w:spacing w:after="0" w:line="0" w:lineRule="atLeast"/>
      </w:pPr>
      <w:r>
        <w:rPr>
          <w:rStyle w:val="soitChar"/>
        </w:rPr>
        <w:t>1. m²</w:t>
      </w:r>
    </w:p>
    <w:p w14:paraId="3DB0A808" w14:textId="77777777" w:rsidR="00DF410E" w:rsidRDefault="00CE7F43">
      <w:pPr>
        <w:spacing w:after="0" w:line="0" w:lineRule="atLeast"/>
      </w:pPr>
      <w:r>
        <w:rPr>
          <w:b/>
          <w:color w:val="000000"/>
        </w:rPr>
        <w:t>(soit)</w:t>
      </w:r>
    </w:p>
    <w:p w14:paraId="3D2B2096" w14:textId="77777777" w:rsidR="00DF410E" w:rsidRDefault="00CE7F43">
      <w:pPr>
        <w:spacing w:after="0" w:line="0" w:lineRule="atLeast"/>
      </w:pPr>
      <w:r>
        <w:rPr>
          <w:rStyle w:val="soitChar"/>
        </w:rPr>
        <w:t>2. m³</w:t>
      </w:r>
    </w:p>
    <w:p w14:paraId="3A8DE0A0" w14:textId="77777777" w:rsidR="00DF410E" w:rsidRDefault="00CE7F43">
      <w:pPr>
        <w:pStyle w:val="pheading"/>
      </w:pPr>
      <w:r>
        <w:t>- code de mesurage:</w:t>
      </w:r>
    </w:p>
    <w:p w14:paraId="6FEF3490" w14:textId="77777777" w:rsidR="00DF410E" w:rsidRDefault="00CE7F43">
      <w:pPr>
        <w:spacing w:before="0" w:after="0"/>
      </w:pPr>
      <w:r>
        <w:t>Les maçonneries sont mesurées en fonction de leur forme géométrique.</w:t>
      </w:r>
    </w:p>
    <w:p w14:paraId="46C05B5E"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5C7E0415" w14:textId="77777777" w:rsidR="00DF410E" w:rsidRDefault="00CE7F43">
      <w:pPr>
        <w:spacing w:before="0" w:after="0"/>
      </w:pPr>
      <w:r>
        <w:t>La coulisse n'est jamais prise en compte.</w:t>
      </w:r>
    </w:p>
    <w:p w14:paraId="696F78C9" w14:textId="77777777" w:rsidR="00DF410E" w:rsidRDefault="00CE7F43">
      <w:pPr>
        <w:spacing w:after="0" w:line="259" w:lineRule="auto"/>
      </w:pPr>
      <w:r>
        <w:rPr>
          <w:rStyle w:val="normalChar"/>
        </w:rPr>
        <w:t>Les accessoires (linteaux non décrits et non comptés dans un autre poste, attaches, …) sont compris dans le prix.</w:t>
      </w:r>
    </w:p>
    <w:p w14:paraId="7479AB15" w14:textId="77777777" w:rsidR="00DF410E" w:rsidRDefault="00CE7F43">
      <w:pPr>
        <w:spacing w:after="0" w:line="259" w:lineRule="auto"/>
      </w:pPr>
      <w:r>
        <w:rPr>
          <w:rStyle w:val="normalChar"/>
        </w:rPr>
        <w:t>Sont entre-autres décrits et comptés dans un autre poste :</w:t>
      </w:r>
    </w:p>
    <w:p w14:paraId="7AA52C54" w14:textId="77777777" w:rsidR="00DF410E" w:rsidRDefault="00CE7F43">
      <w:pPr>
        <w:pStyle w:val="Author-eListParagraph"/>
        <w:numPr>
          <w:ilvl w:val="0"/>
          <w:numId w:val="251"/>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2DA27B57" w14:textId="77777777" w:rsidR="00DF410E" w:rsidRDefault="00CE7F43">
      <w:pPr>
        <w:pStyle w:val="Author-eListParagraph"/>
        <w:numPr>
          <w:ilvl w:val="0"/>
          <w:numId w:val="251"/>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4D6296F1" w14:textId="77777777" w:rsidR="00DF410E" w:rsidRDefault="00CE7F43">
      <w:pPr>
        <w:pStyle w:val="Author-eListParagraph"/>
        <w:numPr>
          <w:ilvl w:val="0"/>
          <w:numId w:val="251"/>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5A456953" w14:textId="77777777" w:rsidR="00DF410E" w:rsidRDefault="00CE7F43">
      <w:pPr>
        <w:spacing w:line="252" w:lineRule="auto"/>
      </w:pPr>
      <w:r>
        <w:rPr>
          <w:rStyle w:val="optioncarChar"/>
        </w:rPr>
        <w:t>Surface nette </w:t>
      </w:r>
      <w:r>
        <w:rPr>
          <w:rStyle w:val="optioncarChar"/>
          <w:color w:val="000000"/>
        </w:rPr>
        <w:t>(par défaut)</w:t>
      </w:r>
      <w:r>
        <w:rPr>
          <w:rStyle w:val="optioncarChar"/>
        </w:rPr>
        <w:t> / volume net</w:t>
      </w:r>
    </w:p>
    <w:p w14:paraId="33E683D3" w14:textId="77777777" w:rsidR="00DF410E" w:rsidRDefault="00CE7F43">
      <w:pPr>
        <w:spacing w:after="0" w:line="252" w:lineRule="auto"/>
      </w:pPr>
      <w:r>
        <w:rPr>
          <w:b/>
          <w:color w:val="000000"/>
        </w:rPr>
        <w:t>(soit par défaut)</w:t>
      </w:r>
    </w:p>
    <w:p w14:paraId="2D5BF3FF" w14:textId="77777777" w:rsidR="00DF410E" w:rsidRDefault="00CE7F43">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BAC35E9" w14:textId="77777777" w:rsidR="00DF410E" w:rsidRDefault="00CE7F43">
      <w:pPr>
        <w:spacing w:after="0" w:line="252" w:lineRule="auto"/>
      </w:pPr>
      <w:r>
        <w:rPr>
          <w:rStyle w:val="soitChar"/>
        </w:rPr>
        <w:t>Distinction faite suivant l'épaisseur.</w:t>
      </w:r>
    </w:p>
    <w:p w14:paraId="589CEEEE" w14:textId="77777777" w:rsidR="00DF410E" w:rsidRDefault="00CE7F43">
      <w:pPr>
        <w:spacing w:line="252" w:lineRule="auto"/>
      </w:pPr>
      <w:r>
        <w:rPr>
          <w:b/>
          <w:color w:val="000000"/>
        </w:rPr>
        <w:t>(soit)</w:t>
      </w:r>
    </w:p>
    <w:p w14:paraId="1786FEA6"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30E3E625"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3200E9FE" w14:textId="77777777" w:rsidR="00DF410E" w:rsidRDefault="00CE7F43">
      <w:pPr>
        <w:pStyle w:val="pheading"/>
      </w:pPr>
      <w:r>
        <w:t>- nature du marché:</w:t>
      </w:r>
    </w:p>
    <w:p w14:paraId="681D72DD" w14:textId="77777777" w:rsidR="00DF410E" w:rsidRDefault="00CE7F43">
      <w:r>
        <w:t>QF</w:t>
      </w:r>
    </w:p>
    <w:p w14:paraId="4CCC6DF6" w14:textId="77777777" w:rsidR="00DF410E" w:rsidRDefault="00CE7F43">
      <w:pPr>
        <w:pStyle w:val="Author-eSectionHeading6"/>
      </w:pPr>
      <w:bookmarkStart w:id="261" w:name="_Toc178837491"/>
      <w:r>
        <w:t>21.32.2d Maçonneries de parement en blocs de béton creux à coller CCTB 01.11</w:t>
      </w:r>
      <w:bookmarkEnd w:id="261"/>
    </w:p>
    <w:p w14:paraId="59A362DD" w14:textId="77777777" w:rsidR="00DF410E" w:rsidRDefault="00CE7F43">
      <w:pPr>
        <w:pStyle w:val="pheading"/>
      </w:pPr>
      <w:r>
        <w:t>DESCRIPTION</w:t>
      </w:r>
    </w:p>
    <w:p w14:paraId="6C1492B9" w14:textId="77777777" w:rsidR="00DF410E" w:rsidRDefault="00CE7F43">
      <w:pPr>
        <w:pStyle w:val="pheading"/>
      </w:pPr>
      <w:r>
        <w:t>- Définition / Comprend</w:t>
      </w:r>
    </w:p>
    <w:p w14:paraId="6C4DA643" w14:textId="77777777" w:rsidR="00DF410E" w:rsidRDefault="00CE7F43">
      <w:r>
        <w:t>Il s’agit de la fourniture et la pose de maçonneries de parement en blocs de béton creux à coller.</w:t>
      </w:r>
    </w:p>
    <w:p w14:paraId="79F03745" w14:textId="77777777" w:rsidR="00DF410E" w:rsidRDefault="00CE7F43">
      <w:r>
        <w:t>La portée des travaux est décrite dans l’article </w:t>
      </w:r>
      <w:hyperlink w:anchor="379" w:history="1">
        <w:r>
          <w:t>21.3 Maçonneries de parement</w:t>
        </w:r>
      </w:hyperlink>
      <w:r>
        <w:t>.</w:t>
      </w:r>
    </w:p>
    <w:p w14:paraId="0F8557AB" w14:textId="77777777" w:rsidR="00DF410E" w:rsidRDefault="00CE7F43">
      <w:pPr>
        <w:pStyle w:val="pheading"/>
      </w:pPr>
      <w:r>
        <w:t>- Localisation</w:t>
      </w:r>
    </w:p>
    <w:p w14:paraId="0980E981" w14:textId="77777777" w:rsidR="00DF410E" w:rsidRDefault="00CE7F43">
      <w:r>
        <w:t xml:space="preserve">La pose est réalisée aux endroits suivants : </w:t>
      </w:r>
      <w:r>
        <w:rPr>
          <w:rStyle w:val="optioncarChar"/>
        </w:rPr>
        <w:t>***</w:t>
      </w:r>
      <w:r>
        <w:t>.</w:t>
      </w:r>
      <w:r>
        <w:br/>
        <w:t>Voir plans et métrés détaillés.</w:t>
      </w:r>
    </w:p>
    <w:p w14:paraId="318ABE0D" w14:textId="77777777" w:rsidR="00DF410E" w:rsidRDefault="00CE7F43">
      <w:pPr>
        <w:pStyle w:val="pheading"/>
      </w:pPr>
      <w:r>
        <w:t>MATÉRIAUX</w:t>
      </w:r>
    </w:p>
    <w:p w14:paraId="32A9B770" w14:textId="77777777" w:rsidR="00DF410E" w:rsidRDefault="00CE7F43">
      <w:pPr>
        <w:pStyle w:val="pheading"/>
      </w:pPr>
      <w:r>
        <w:t>- Caractéristiques générales</w:t>
      </w:r>
    </w:p>
    <w:p w14:paraId="33EF1ECD" w14:textId="77777777" w:rsidR="00DF410E" w:rsidRDefault="00CE7F43">
      <w:r>
        <w:rPr>
          <w:rStyle w:val="headingChar"/>
          <w:color w:val="000000"/>
        </w:rPr>
        <w:t>Blocs</w:t>
      </w:r>
    </w:p>
    <w:p w14:paraId="777D7383" w14:textId="77777777" w:rsidR="00DF410E" w:rsidRDefault="00CE7F43">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22C56F03"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0B409AD6" w14:textId="77777777" w:rsidR="00DF410E" w:rsidRDefault="00CE7F43">
      <w:pPr>
        <w:spacing w:after="0" w:line="0" w:lineRule="atLeast"/>
      </w:pPr>
      <w:r>
        <w:rPr>
          <w:color w:val="000000"/>
        </w:rPr>
        <w:t xml:space="preserve">Le groupe de configuration suivant [PTV 21-001]  est: </w:t>
      </w:r>
      <w:r>
        <w:rPr>
          <w:rStyle w:val="optioncarChar"/>
          <w:color w:val="000000"/>
        </w:rPr>
        <w:t>1 / 2 / 3 / 4</w:t>
      </w:r>
    </w:p>
    <w:p w14:paraId="4880C7ED" w14:textId="77777777" w:rsidR="00DF410E" w:rsidRDefault="00CE7F43">
      <w:pPr>
        <w:spacing w:after="0" w:line="0" w:lineRule="atLeast"/>
      </w:pPr>
      <w:r>
        <w:rPr>
          <w:color w:val="000000"/>
        </w:rPr>
        <w:t xml:space="preserve">Le code d’identification du type de bloc de maçonnerie suivant [PTV 21-001] est </w:t>
      </w:r>
      <w:r>
        <w:rPr>
          <w:rStyle w:val="optioncarChar"/>
          <w:color w:val="000000"/>
        </w:rPr>
        <w:t>A1 / A2 / B1 / B2</w:t>
      </w:r>
    </w:p>
    <w:p w14:paraId="0F82B42E" w14:textId="77777777" w:rsidR="00DF410E" w:rsidRDefault="00CE7F43">
      <w:pPr>
        <w:spacing w:after="0" w:line="0" w:lineRule="atLeast"/>
      </w:pPr>
      <w:r>
        <w:rPr>
          <w:color w:val="000000"/>
        </w:rPr>
        <w:t xml:space="preserve">La conductibilité thermique λD est compatible avec la valeur U prescrite pour la paroi. </w:t>
      </w:r>
    </w:p>
    <w:p w14:paraId="2446FD76" w14:textId="77777777" w:rsidR="00DF410E" w:rsidRDefault="00CE7F43">
      <w:pPr>
        <w:spacing w:after="0" w:line="0" w:lineRule="atLeast"/>
      </w:pPr>
      <w:r>
        <w:rPr>
          <w:color w:val="000000"/>
        </w:rPr>
        <w:t xml:space="preserve">Boutisse : </w:t>
      </w:r>
      <w:r>
        <w:t>plate</w:t>
      </w:r>
    </w:p>
    <w:p w14:paraId="52766CE9" w14:textId="77777777" w:rsidR="00DF410E" w:rsidRDefault="00CE7F43">
      <w:pPr>
        <w:spacing w:after="0" w:line="0" w:lineRule="atLeast"/>
      </w:pPr>
      <w:r>
        <w:rPr>
          <w:color w:val="000000"/>
        </w:rPr>
        <w:t xml:space="preserve">Face qui reste visible : </w:t>
      </w:r>
      <w:r>
        <w:rPr>
          <w:rStyle w:val="optioncarChar"/>
          <w:color w:val="000000"/>
        </w:rPr>
        <w:t>lisse / ***</w:t>
      </w:r>
    </w:p>
    <w:p w14:paraId="243D06B4" w14:textId="77777777" w:rsidR="00DF410E" w:rsidRDefault="00CE7F43">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5436FBFC" w14:textId="77777777" w:rsidR="00DF410E" w:rsidRDefault="00CE7F43">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5C6DCF28" w14:textId="77777777" w:rsidR="00DF410E" w:rsidRDefault="00CE7F43">
      <w:pPr>
        <w:spacing w:after="0" w:line="0" w:lineRule="atLeast"/>
      </w:pPr>
      <w:r>
        <w:rPr>
          <w:color w:val="000000"/>
        </w:rPr>
        <w:t>Réaction au feu :</w:t>
      </w:r>
      <w:r>
        <w:rPr>
          <w:rStyle w:val="optioncarChar"/>
          <w:color w:val="000000"/>
        </w:rPr>
        <w:t xml:space="preserve"> A1 </w:t>
      </w:r>
      <w:r>
        <w:t>(par défaut)</w:t>
      </w:r>
      <w:r>
        <w:rPr>
          <w:rStyle w:val="optioncarChar"/>
          <w:color w:val="000000"/>
        </w:rPr>
        <w:t xml:space="preserve"> / ***</w:t>
      </w:r>
    </w:p>
    <w:p w14:paraId="7BB11ED9" w14:textId="77777777" w:rsidR="00DF410E" w:rsidRDefault="00DF410E"/>
    <w:p w14:paraId="54F96B8F" w14:textId="77777777" w:rsidR="00DF410E" w:rsidRDefault="00CE7F43">
      <w:pPr>
        <w:spacing w:after="0" w:line="0" w:lineRule="atLeast"/>
      </w:pPr>
      <w:r>
        <w:rPr>
          <w:rStyle w:val="headingChar"/>
          <w:color w:val="000000"/>
        </w:rPr>
        <w:t>Mortier</w:t>
      </w:r>
    </w:p>
    <w:p w14:paraId="7FA0292F" w14:textId="77777777" w:rsidR="00DF410E" w:rsidRDefault="00CE7F43">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14:paraId="3E58E0EB" w14:textId="77777777" w:rsidR="00DF410E" w:rsidRDefault="00CE7F43">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72B96020" w14:textId="77777777" w:rsidR="00DF410E" w:rsidRDefault="00CE7F43">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4CA993C6" w14:textId="77777777" w:rsidR="00DF410E" w:rsidRDefault="00CE7F43">
      <w:pPr>
        <w:spacing w:line="259" w:lineRule="auto"/>
      </w:pPr>
      <w:r>
        <w:rPr>
          <w:color w:val="000000"/>
        </w:rPr>
        <w:t xml:space="preserve">Résistance au gel : </w:t>
      </w:r>
      <w:r>
        <w:rPr>
          <w:rStyle w:val="optioncarChar"/>
          <w:color w:val="000000"/>
        </w:rPr>
        <w:t>oui</w:t>
      </w:r>
    </w:p>
    <w:p w14:paraId="2096FF5A" w14:textId="77777777" w:rsidR="00DF410E" w:rsidRDefault="00DF410E"/>
    <w:p w14:paraId="5BCEF32A" w14:textId="77777777" w:rsidR="00DF410E" w:rsidRDefault="00CE7F43">
      <w:pPr>
        <w:spacing w:line="259" w:lineRule="auto"/>
      </w:pPr>
      <w:r>
        <w:rPr>
          <w:rStyle w:val="headingChar"/>
          <w:color w:val="000000"/>
        </w:rPr>
        <w:t>Critères de performances du parement</w:t>
      </w:r>
    </w:p>
    <w:p w14:paraId="2D53796F" w14:textId="77777777" w:rsidR="00DF410E" w:rsidRDefault="00CE7F43">
      <w:pPr>
        <w:spacing w:line="259" w:lineRule="auto"/>
      </w:pPr>
      <w:r>
        <w:t>V</w:t>
      </w:r>
      <w:r>
        <w:rPr>
          <w:color w:val="000000"/>
        </w:rPr>
        <w:t>aleur λUi ou λUe maximum *** W/mK (suivant l’application).</w:t>
      </w:r>
    </w:p>
    <w:p w14:paraId="766675BB" w14:textId="77777777" w:rsidR="00DF410E" w:rsidRDefault="00CE7F43">
      <w:pPr>
        <w:pStyle w:val="pheading"/>
      </w:pPr>
      <w:r>
        <w:t>- Finitions</w:t>
      </w:r>
    </w:p>
    <w:p w14:paraId="53BF820A"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4ECA441"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35663DA9"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2E58538A"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0D899221"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1B7A9EB" w14:textId="77777777" w:rsidR="00DF410E" w:rsidRDefault="00DF410E"/>
    <w:p w14:paraId="2DFE8379" w14:textId="77777777" w:rsidR="00DF410E" w:rsidRDefault="00CE7F43">
      <w:r>
        <w:t> </w:t>
      </w:r>
    </w:p>
    <w:p w14:paraId="18069067" w14:textId="77777777" w:rsidR="00DF410E" w:rsidRDefault="00CE7F43">
      <w:pPr>
        <w:pStyle w:val="pheading"/>
      </w:pPr>
      <w:r>
        <w:t>EXÉCUTION / MISE EN ŒUVRE</w:t>
      </w:r>
    </w:p>
    <w:p w14:paraId="4EDE71EB" w14:textId="77777777" w:rsidR="00DF410E" w:rsidRDefault="00CE7F43">
      <w:pPr>
        <w:pStyle w:val="pheading"/>
      </w:pPr>
      <w:r>
        <w:t>- Prescriptions générales</w:t>
      </w:r>
    </w:p>
    <w:p w14:paraId="46C52E8B" w14:textId="77777777" w:rsidR="00DF410E" w:rsidRDefault="00CE7F43">
      <w:pPr>
        <w:spacing w:line="259" w:lineRule="auto"/>
      </w:pPr>
      <w:r>
        <w:t>La maçonnerie est exécutée en appareil</w:t>
      </w:r>
      <w:r>
        <w:rPr>
          <w:rStyle w:val="optioncarChar"/>
        </w:rPr>
        <w:t xml:space="preserve"> d'</w:t>
      </w:r>
      <w:r>
        <w:rPr>
          <w:rStyle w:val="normalChar"/>
          <w:color w:val="FF0000"/>
        </w:rPr>
        <w:t>une demi-bloc / ***</w:t>
      </w:r>
    </w:p>
    <w:p w14:paraId="15977319"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6E274F6F" w14:textId="77777777" w:rsidR="00DF410E" w:rsidRDefault="00DF410E"/>
    <w:p w14:paraId="751F4EDB" w14:textId="77777777" w:rsidR="00DF410E" w:rsidRDefault="00CE7F43">
      <w:pPr>
        <w:spacing w:line="259" w:lineRule="auto"/>
      </w:pPr>
      <w:r>
        <w:rPr>
          <w:rStyle w:val="normalChar"/>
          <w:b/>
          <w:color w:val="000000"/>
        </w:rPr>
        <w:t>LINTEAUX</w:t>
      </w:r>
    </w:p>
    <w:p w14:paraId="4D211960"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09D74E6C" w14:textId="77777777" w:rsidR="00DF410E" w:rsidRDefault="00CE7F43">
      <w:r>
        <w:rPr>
          <w:b/>
        </w:rPr>
        <w:t>(soit par défaut)</w:t>
      </w:r>
    </w:p>
    <w:p w14:paraId="23E830D8" w14:textId="77777777" w:rsidR="00DF410E" w:rsidRDefault="00CE7F43">
      <w:r>
        <w:rPr>
          <w:rStyle w:val="soitChar"/>
          <w:u w:val="single"/>
        </w:rPr>
        <w:t>D'une armature et de crochets de mur</w:t>
      </w:r>
      <w:r>
        <w:rPr>
          <w:rStyle w:val="soitChar"/>
        </w:rPr>
        <w:t>  :</w:t>
      </w:r>
    </w:p>
    <w:p w14:paraId="1DA69D5F" w14:textId="77777777" w:rsidR="00DF410E" w:rsidRDefault="00CE7F43">
      <w:r>
        <w:rPr>
          <w:rStyle w:val="soitChar"/>
        </w:rPr>
        <w:t>L’armature est conforme aux descriptions du 21.41.1</w:t>
      </w:r>
      <w:r>
        <w:br/>
      </w:r>
      <w:r>
        <w:rPr>
          <w:color w:val="33CCCC"/>
        </w:rPr>
        <w:t>Les crochets sont prévus tous les </w:t>
      </w:r>
      <w:r>
        <w:rPr>
          <w:rStyle w:val="optioncarChar"/>
        </w:rPr>
        <w:t>***</w:t>
      </w:r>
      <w:r>
        <w:rPr>
          <w:rStyle w:val="optioncarChar"/>
          <w:color w:val="000000"/>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BF00341" w14:textId="77777777" w:rsidR="00DF410E" w:rsidRDefault="00CE7F43">
      <w:r>
        <w:rPr>
          <w:b/>
        </w:rPr>
        <w:t>(soit)</w:t>
      </w:r>
    </w:p>
    <w:p w14:paraId="61B9A1DD"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29837F8A" w14:textId="77777777" w:rsidR="00DF410E" w:rsidRDefault="00CE7F43">
      <w:r>
        <w:rPr>
          <w:b/>
        </w:rPr>
        <w:t>(soit)</w:t>
      </w:r>
    </w:p>
    <w:p w14:paraId="34C0AC52"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5E9FA1CD" w14:textId="77777777" w:rsidR="00DF410E" w:rsidRDefault="00CE7F43">
      <w:r>
        <w:rPr>
          <w:b/>
        </w:rPr>
        <w:t>(soit)</w:t>
      </w:r>
    </w:p>
    <w:p w14:paraId="2D0F1169" w14:textId="77777777" w:rsidR="00DF410E" w:rsidRDefault="00CE7F43">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61BBE1D" w14:textId="77777777" w:rsidR="00DF410E" w:rsidRDefault="00CE7F43">
      <w:r>
        <w:rPr>
          <w:b/>
        </w:rPr>
        <w:t>(soit)</w:t>
      </w:r>
    </w:p>
    <w:p w14:paraId="615937A0" w14:textId="77777777" w:rsidR="00DF410E" w:rsidRDefault="00CE7F43">
      <w:r>
        <w:rPr>
          <w:rStyle w:val="optioncarChar"/>
        </w:rPr>
        <w:t> ***</w:t>
      </w:r>
    </w:p>
    <w:p w14:paraId="36B7CDD7" w14:textId="77777777" w:rsidR="00DF410E" w:rsidRDefault="00CE7F43">
      <w:pPr>
        <w:pStyle w:val="pheading"/>
      </w:pPr>
      <w:r>
        <w:t>- Notes d’exécution complémentaires</w:t>
      </w:r>
    </w:p>
    <w:p w14:paraId="44608D58" w14:textId="77777777" w:rsidR="00DF410E" w:rsidRDefault="00CE7F43">
      <w:r>
        <w:t>En vue du choix définitif des blocs de parement, un ou plusieurs échantillons d'environ 1 m2 sont maçonnés à la demande de l'auteur de projet; les frais inhérents à la construction et à la démolition de ces murs sont à charge de l'entrepreneur.</w:t>
      </w:r>
    </w:p>
    <w:p w14:paraId="471B3373" w14:textId="77777777" w:rsidR="00DF410E" w:rsidRDefault="00CE7F43">
      <w:r>
        <w:t xml:space="preserve">• Armatures : selon l'article </w:t>
      </w:r>
      <w:hyperlink w:anchor="355" w:history="1">
        <w:r>
          <w:t>21.41.1 Armatures horizontales pour maçonneries</w:t>
        </w:r>
      </w:hyperlink>
      <w:r>
        <w:t> </w:t>
      </w:r>
    </w:p>
    <w:p w14:paraId="79918B61" w14:textId="77777777" w:rsidR="00DF410E" w:rsidRDefault="00CE7F43">
      <w:r>
        <w:t xml:space="preserve">• Ancrages : selon l'article </w:t>
      </w:r>
      <w:hyperlink w:anchor="362" w:history="1">
        <w:r>
          <w:t>21.42 Ancrages et fixations de maçonneries</w:t>
        </w:r>
      </w:hyperlink>
    </w:p>
    <w:p w14:paraId="5F9D08D0" w14:textId="77777777" w:rsidR="00DF410E" w:rsidRDefault="00CE7F43">
      <w:r>
        <w:t xml:space="preserve">Blocs spéciaux : </w:t>
      </w:r>
      <w:r>
        <w:rPr>
          <w:rStyle w:val="optioncarChar"/>
        </w:rPr>
        <w:t>***</w:t>
      </w:r>
    </w:p>
    <w:p w14:paraId="26680814" w14:textId="77777777" w:rsidR="00DF410E" w:rsidRDefault="00CE7F43">
      <w:r>
        <w:t xml:space="preserve">Étanchéité : </w:t>
      </w:r>
      <w:r>
        <w:rPr>
          <w:rStyle w:val="optioncarChar"/>
        </w:rPr>
        <w:t>***</w:t>
      </w:r>
    </w:p>
    <w:p w14:paraId="000AAC0E" w14:textId="77777777" w:rsidR="00DF410E" w:rsidRDefault="00CE7F43">
      <w:r>
        <w:t xml:space="preserve">Joints de dilatation : </w:t>
      </w:r>
      <w:r>
        <w:rPr>
          <w:rStyle w:val="optioncarChar"/>
        </w:rPr>
        <w:t>***</w:t>
      </w:r>
    </w:p>
    <w:p w14:paraId="34773ED2" w14:textId="77777777" w:rsidR="00DF410E" w:rsidRDefault="00CE7F43">
      <w:pPr>
        <w:pStyle w:val="pheading"/>
      </w:pPr>
      <w:r>
        <w:t>MESURAGE</w:t>
      </w:r>
    </w:p>
    <w:p w14:paraId="5DB1DECC" w14:textId="77777777" w:rsidR="00DF410E" w:rsidRDefault="00CE7F43">
      <w:pPr>
        <w:pStyle w:val="pheading"/>
      </w:pPr>
      <w:r>
        <w:t>- unité de mesure:</w:t>
      </w:r>
    </w:p>
    <w:p w14:paraId="0BBD1DCA" w14:textId="77777777" w:rsidR="00DF410E" w:rsidRDefault="00CE7F43">
      <w:r>
        <w:rPr>
          <w:rStyle w:val="optioncarChar"/>
        </w:rPr>
        <w:t>m² </w:t>
      </w:r>
      <w:r>
        <w:rPr>
          <w:rStyle w:val="optioncarChar"/>
          <w:color w:val="000000"/>
        </w:rPr>
        <w:t>(par défaut)</w:t>
      </w:r>
      <w:r>
        <w:rPr>
          <w:rStyle w:val="optioncarChar"/>
        </w:rPr>
        <w:t> / m³</w:t>
      </w:r>
    </w:p>
    <w:p w14:paraId="712C9483" w14:textId="77777777" w:rsidR="00DF410E" w:rsidRDefault="00CE7F43">
      <w:pPr>
        <w:spacing w:after="0" w:line="0" w:lineRule="atLeast"/>
      </w:pPr>
      <w:r>
        <w:rPr>
          <w:b/>
          <w:color w:val="000000"/>
        </w:rPr>
        <w:t>(soit par défaut)</w:t>
      </w:r>
    </w:p>
    <w:p w14:paraId="564A6664" w14:textId="77777777" w:rsidR="00DF410E" w:rsidRDefault="00CE7F43">
      <w:pPr>
        <w:spacing w:after="0" w:line="0" w:lineRule="atLeast"/>
      </w:pPr>
      <w:r>
        <w:rPr>
          <w:rStyle w:val="soitChar"/>
        </w:rPr>
        <w:t>1. m²</w:t>
      </w:r>
    </w:p>
    <w:p w14:paraId="7F46ED74" w14:textId="77777777" w:rsidR="00DF410E" w:rsidRDefault="00CE7F43">
      <w:pPr>
        <w:spacing w:after="0" w:line="0" w:lineRule="atLeast"/>
      </w:pPr>
      <w:r>
        <w:rPr>
          <w:b/>
          <w:color w:val="000000"/>
        </w:rPr>
        <w:t>(soit)</w:t>
      </w:r>
    </w:p>
    <w:p w14:paraId="5F108741" w14:textId="77777777" w:rsidR="00DF410E" w:rsidRDefault="00CE7F43">
      <w:pPr>
        <w:spacing w:after="0" w:line="0" w:lineRule="atLeast"/>
      </w:pPr>
      <w:r>
        <w:rPr>
          <w:rStyle w:val="soitChar"/>
        </w:rPr>
        <w:t>2. m³</w:t>
      </w:r>
    </w:p>
    <w:p w14:paraId="1821BC3B" w14:textId="77777777" w:rsidR="00DF410E" w:rsidRDefault="00CE7F43">
      <w:pPr>
        <w:pStyle w:val="pheading"/>
      </w:pPr>
      <w:r>
        <w:t>- code de mesurage:</w:t>
      </w:r>
    </w:p>
    <w:p w14:paraId="613EE153" w14:textId="77777777" w:rsidR="00DF410E" w:rsidRDefault="00CE7F43">
      <w:pPr>
        <w:spacing w:before="0" w:after="0"/>
      </w:pPr>
      <w:r>
        <w:t>Les maçonneries sont mesurées en fonction de leur forme géométrique.</w:t>
      </w:r>
    </w:p>
    <w:p w14:paraId="44570857"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59E7CD9E" w14:textId="77777777" w:rsidR="00DF410E" w:rsidRDefault="00CE7F43">
      <w:pPr>
        <w:spacing w:before="0" w:after="0"/>
      </w:pPr>
      <w:r>
        <w:t>La coulisse n'est jamais prise en compte.</w:t>
      </w:r>
    </w:p>
    <w:p w14:paraId="2CC80256" w14:textId="77777777" w:rsidR="00DF410E" w:rsidRDefault="00CE7F43">
      <w:pPr>
        <w:spacing w:after="0" w:line="259" w:lineRule="auto"/>
      </w:pPr>
      <w:r>
        <w:rPr>
          <w:rStyle w:val="normalChar"/>
        </w:rPr>
        <w:t>Les accessoires (linteaux non décrits et non comptés dans un autre poste, attaches,…) sont compris dans le prix.</w:t>
      </w:r>
    </w:p>
    <w:p w14:paraId="100E7237" w14:textId="77777777" w:rsidR="00DF410E" w:rsidRDefault="00CE7F43">
      <w:pPr>
        <w:spacing w:after="0" w:line="259" w:lineRule="auto"/>
      </w:pPr>
      <w:r>
        <w:rPr>
          <w:rStyle w:val="normalChar"/>
        </w:rPr>
        <w:t>Sont entre-autres décrits et comptés dans un autre poste :</w:t>
      </w:r>
    </w:p>
    <w:p w14:paraId="15405AB6" w14:textId="77777777" w:rsidR="00DF410E" w:rsidRDefault="00CE7F43">
      <w:pPr>
        <w:pStyle w:val="Author-eListParagraph"/>
        <w:numPr>
          <w:ilvl w:val="0"/>
          <w:numId w:val="252"/>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60E4AA78" w14:textId="77777777" w:rsidR="00DF410E" w:rsidRDefault="00CE7F43">
      <w:pPr>
        <w:pStyle w:val="Author-eListParagraph"/>
        <w:numPr>
          <w:ilvl w:val="0"/>
          <w:numId w:val="252"/>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3F6C99D5" w14:textId="77777777" w:rsidR="00DF410E" w:rsidRDefault="00CE7F43">
      <w:pPr>
        <w:pStyle w:val="Author-eListParagraph"/>
        <w:numPr>
          <w:ilvl w:val="0"/>
          <w:numId w:val="252"/>
        </w:numPr>
      </w:pPr>
      <w:r>
        <w:rPr>
          <w:rStyle w:val="normalChar"/>
        </w:rPr>
        <w:t xml:space="preserve">Les linteaux apparents en bois sont décrits et comptés en </w:t>
      </w:r>
      <w:hyperlink w:anchor="402" w:history="1">
        <w:r>
          <w:rPr>
            <w:rStyle w:val="normalChar"/>
          </w:rPr>
          <w:t>24.13 Poutres et barres en bois</w:t>
        </w:r>
      </w:hyperlink>
    </w:p>
    <w:p w14:paraId="44564ADC" w14:textId="77777777" w:rsidR="00DF410E" w:rsidRDefault="00CE7F43">
      <w:r>
        <w:rPr>
          <w:rStyle w:val="optioncarChar"/>
        </w:rPr>
        <w:t>Surface nette </w:t>
      </w:r>
      <w:r>
        <w:rPr>
          <w:rStyle w:val="optioncarChar"/>
          <w:color w:val="000000"/>
        </w:rPr>
        <w:t>(par défaut)</w:t>
      </w:r>
      <w:r>
        <w:rPr>
          <w:rStyle w:val="optioncarChar"/>
        </w:rPr>
        <w:t> / volume net</w:t>
      </w:r>
    </w:p>
    <w:p w14:paraId="3D82A287" w14:textId="77777777" w:rsidR="00DF410E" w:rsidRDefault="00CE7F43">
      <w:pPr>
        <w:spacing w:after="0" w:line="252" w:lineRule="auto"/>
      </w:pPr>
      <w:r>
        <w:rPr>
          <w:b/>
          <w:color w:val="000000"/>
        </w:rPr>
        <w:t>(soit par défaut)</w:t>
      </w:r>
    </w:p>
    <w:p w14:paraId="57A1EF41" w14:textId="77777777" w:rsidR="00DF410E" w:rsidRDefault="00CE7F43">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A648520" w14:textId="77777777" w:rsidR="00DF410E" w:rsidRDefault="00CE7F43">
      <w:pPr>
        <w:spacing w:after="0" w:line="252" w:lineRule="auto"/>
      </w:pPr>
      <w:r>
        <w:rPr>
          <w:rStyle w:val="soitChar"/>
        </w:rPr>
        <w:t>Distinction faite suivant l'épaisseur.</w:t>
      </w:r>
    </w:p>
    <w:p w14:paraId="7D5407C5" w14:textId="77777777" w:rsidR="00DF410E" w:rsidRDefault="00CE7F43">
      <w:pPr>
        <w:spacing w:line="252" w:lineRule="auto"/>
      </w:pPr>
      <w:r>
        <w:rPr>
          <w:b/>
          <w:color w:val="000000"/>
        </w:rPr>
        <w:t>(soit)</w:t>
      </w:r>
    </w:p>
    <w:p w14:paraId="1BBB072E"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10F37DD"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6FDF166A" w14:textId="77777777" w:rsidR="00DF410E" w:rsidRDefault="00DF410E"/>
    <w:p w14:paraId="5C6BC788" w14:textId="77777777" w:rsidR="00DF410E" w:rsidRDefault="00CE7F43">
      <w:r>
        <w:t> </w:t>
      </w:r>
    </w:p>
    <w:p w14:paraId="2DD2A352" w14:textId="77777777" w:rsidR="00DF410E" w:rsidRDefault="00CE7F43">
      <w:pPr>
        <w:pStyle w:val="pheading"/>
      </w:pPr>
      <w:r>
        <w:t>- nature du marché:</w:t>
      </w:r>
    </w:p>
    <w:p w14:paraId="04D03E62" w14:textId="77777777" w:rsidR="00DF410E" w:rsidRDefault="00CE7F43">
      <w:r>
        <w:t>QF</w:t>
      </w:r>
    </w:p>
    <w:p w14:paraId="43F5F4EB" w14:textId="77777777" w:rsidR="00DF410E" w:rsidRDefault="00CE7F43">
      <w:pPr>
        <w:pStyle w:val="Author-eSectionHeading6"/>
      </w:pPr>
      <w:bookmarkStart w:id="262" w:name="_Toc178837492"/>
      <w:r>
        <w:t>21.32.2e Maçonneries de parement en blocs de béton à système de dosage pour liant hydraulique CCTB 01.11</w:t>
      </w:r>
      <w:bookmarkEnd w:id="262"/>
    </w:p>
    <w:p w14:paraId="4DC1A181" w14:textId="77777777" w:rsidR="00DF410E" w:rsidRDefault="00CE7F43">
      <w:pPr>
        <w:pStyle w:val="pheading"/>
      </w:pPr>
      <w:r>
        <w:t>DESCRIPTION</w:t>
      </w:r>
    </w:p>
    <w:p w14:paraId="185DAC4E" w14:textId="77777777" w:rsidR="00DF410E" w:rsidRDefault="00CE7F43">
      <w:pPr>
        <w:pStyle w:val="pheading"/>
      </w:pPr>
      <w:r>
        <w:t>- Définition / Comprend</w:t>
      </w:r>
    </w:p>
    <w:p w14:paraId="5CA7E907" w14:textId="77777777" w:rsidR="00DF410E" w:rsidRDefault="00CE7F43">
      <w:r>
        <w:t>Il s’agit de la fourniture et la pose de maçonneries de parement en blocs de béton.</w:t>
      </w:r>
    </w:p>
    <w:p w14:paraId="30A39054" w14:textId="77777777" w:rsidR="00DF410E" w:rsidRDefault="00CE7F43">
      <w:r>
        <w:t>La portée des travaux est décrite dans l’article </w:t>
      </w:r>
      <w:hyperlink w:anchor="379" w:history="1">
        <w:r>
          <w:t>21.3 Maçonneries de parement</w:t>
        </w:r>
      </w:hyperlink>
      <w:r>
        <w:t>.</w:t>
      </w:r>
    </w:p>
    <w:p w14:paraId="0DE4B7BE" w14:textId="77777777" w:rsidR="00DF410E" w:rsidRDefault="00CE7F43">
      <w:pPr>
        <w:pStyle w:val="pheading"/>
      </w:pPr>
      <w:r>
        <w:t>- Localisation</w:t>
      </w:r>
    </w:p>
    <w:p w14:paraId="1A69A39B" w14:textId="77777777" w:rsidR="00DF410E" w:rsidRDefault="00CE7F43">
      <w:r>
        <w:t xml:space="preserve">La pose est réalisée aux endroits suivants : </w:t>
      </w:r>
      <w:r>
        <w:rPr>
          <w:rStyle w:val="optioncarChar"/>
        </w:rPr>
        <w:t>***</w:t>
      </w:r>
      <w:r>
        <w:t>.</w:t>
      </w:r>
      <w:r>
        <w:br/>
        <w:t>Voir plans et métrés détaillés.</w:t>
      </w:r>
    </w:p>
    <w:p w14:paraId="61B631E5" w14:textId="77777777" w:rsidR="00DF410E" w:rsidRDefault="00CE7F43">
      <w:pPr>
        <w:pStyle w:val="pheading"/>
      </w:pPr>
      <w:r>
        <w:t>MATÉRIAUX</w:t>
      </w:r>
    </w:p>
    <w:p w14:paraId="25A50E10" w14:textId="77777777" w:rsidR="00DF410E" w:rsidRDefault="00CE7F43">
      <w:pPr>
        <w:pStyle w:val="pheading"/>
      </w:pPr>
      <w:r>
        <w:t>- Caractéristiques générales</w:t>
      </w:r>
    </w:p>
    <w:p w14:paraId="4819368E" w14:textId="77777777" w:rsidR="00DF410E" w:rsidRDefault="00CE7F43">
      <w:r>
        <w:rPr>
          <w:rStyle w:val="headingChar"/>
          <w:color w:val="000000"/>
        </w:rPr>
        <w:t>Blocs</w:t>
      </w:r>
    </w:p>
    <w:p w14:paraId="0A4ECF03" w14:textId="77777777" w:rsidR="00DF410E" w:rsidRDefault="00CE7F43">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0C686F60"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1D855BB7" w14:textId="77777777" w:rsidR="00DF410E" w:rsidRDefault="00CE7F43">
      <w:pPr>
        <w:spacing w:after="0" w:line="0" w:lineRule="atLeast"/>
      </w:pPr>
      <w:r>
        <w:rPr>
          <w:color w:val="000000"/>
        </w:rPr>
        <w:t xml:space="preserve">Le groupe de configuration suivant [PTV 21-001] est: </w:t>
      </w:r>
      <w:r>
        <w:rPr>
          <w:rStyle w:val="optioncarChar"/>
          <w:color w:val="000000"/>
        </w:rPr>
        <w:t>1 / 2 / 3 / 4</w:t>
      </w:r>
    </w:p>
    <w:p w14:paraId="201C4AE8" w14:textId="77777777" w:rsidR="00DF410E" w:rsidRDefault="00CE7F43">
      <w:pPr>
        <w:spacing w:after="0" w:line="0" w:lineRule="atLeast"/>
      </w:pPr>
      <w:r>
        <w:rPr>
          <w:color w:val="000000"/>
        </w:rPr>
        <w:t xml:space="preserve">Le code d’identification du type de bloc de maçonnerie suivant [PTV 21-001] est </w:t>
      </w:r>
      <w:r>
        <w:rPr>
          <w:rStyle w:val="optioncarChar"/>
          <w:color w:val="000000"/>
        </w:rPr>
        <w:t>A1 / A2 / B1 / B2</w:t>
      </w:r>
    </w:p>
    <w:p w14:paraId="78726E6F" w14:textId="77777777" w:rsidR="00DF410E" w:rsidRDefault="00CE7F43">
      <w:pPr>
        <w:spacing w:after="0" w:line="0" w:lineRule="atLeast"/>
      </w:pPr>
      <w:r>
        <w:rPr>
          <w:color w:val="000000"/>
        </w:rPr>
        <w:t xml:space="preserve">La conductibilité thermique λD est compatible avec la valeur U prescrite pour la paroi. </w:t>
      </w:r>
    </w:p>
    <w:p w14:paraId="59039574" w14:textId="77777777" w:rsidR="00DF410E" w:rsidRDefault="00CE7F43">
      <w:pPr>
        <w:spacing w:after="0" w:line="0" w:lineRule="atLeast"/>
      </w:pPr>
      <w:r>
        <w:rPr>
          <w:color w:val="000000"/>
        </w:rPr>
        <w:t xml:space="preserve">Boutisse : </w:t>
      </w:r>
      <w:r>
        <w:t>plate</w:t>
      </w:r>
    </w:p>
    <w:p w14:paraId="79896A2A" w14:textId="77777777" w:rsidR="00DF410E" w:rsidRDefault="00CE7F43">
      <w:pPr>
        <w:spacing w:after="0" w:line="0" w:lineRule="atLeast"/>
      </w:pPr>
      <w:r>
        <w:rPr>
          <w:color w:val="000000"/>
        </w:rPr>
        <w:t xml:space="preserve">Face qui reste visible : </w:t>
      </w:r>
      <w:r>
        <w:rPr>
          <w:rStyle w:val="optioncarChar"/>
          <w:color w:val="000000"/>
        </w:rPr>
        <w:t xml:space="preserve">lisse </w:t>
      </w:r>
      <w:r>
        <w:t>(par défaut) </w:t>
      </w:r>
      <w:r>
        <w:rPr>
          <w:rStyle w:val="optioncarChar"/>
          <w:color w:val="000000"/>
        </w:rPr>
        <w:t>/ ***</w:t>
      </w:r>
    </w:p>
    <w:p w14:paraId="27BAC419" w14:textId="77777777" w:rsidR="00DF410E" w:rsidRDefault="00CE7F43">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4301A9DB" w14:textId="77777777" w:rsidR="00DF410E" w:rsidRDefault="00CE7F43">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31DE07EF" w14:textId="77777777" w:rsidR="00DF410E" w:rsidRDefault="00CE7F43">
      <w:pPr>
        <w:spacing w:after="0" w:line="0" w:lineRule="atLeast"/>
      </w:pPr>
      <w:r>
        <w:rPr>
          <w:color w:val="000000"/>
        </w:rPr>
        <w:t xml:space="preserve">Réaction au feu : </w:t>
      </w:r>
      <w:r>
        <w:rPr>
          <w:rStyle w:val="optioncarChar"/>
          <w:color w:val="000000"/>
        </w:rPr>
        <w:t>A1 </w:t>
      </w:r>
      <w:r>
        <w:t xml:space="preserve">(par défaut) </w:t>
      </w:r>
      <w:r>
        <w:rPr>
          <w:rStyle w:val="optioncarChar"/>
          <w:color w:val="000000"/>
        </w:rPr>
        <w:t>/ ***</w:t>
      </w:r>
    </w:p>
    <w:p w14:paraId="2DE31957" w14:textId="77777777" w:rsidR="00DF410E" w:rsidRDefault="00DF410E"/>
    <w:p w14:paraId="7C4FFD50" w14:textId="77777777" w:rsidR="00DF410E" w:rsidRDefault="00CE7F43">
      <w:pPr>
        <w:spacing w:after="0" w:line="0" w:lineRule="atLeast"/>
      </w:pPr>
      <w:r>
        <w:rPr>
          <w:rStyle w:val="headingChar"/>
          <w:color w:val="000000"/>
        </w:rPr>
        <w:t>Mortier</w:t>
      </w:r>
    </w:p>
    <w:p w14:paraId="23B5D6AF"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11F9AB5A" w14:textId="77777777" w:rsidR="00DF410E" w:rsidRDefault="00DF410E"/>
    <w:p w14:paraId="322F62E1" w14:textId="77777777" w:rsidR="00DF410E" w:rsidRDefault="00CE7F43">
      <w:pPr>
        <w:spacing w:line="259" w:lineRule="auto"/>
      </w:pPr>
      <w:r>
        <w:rPr>
          <w:rStyle w:val="headingChar"/>
          <w:color w:val="000000"/>
        </w:rPr>
        <w:t>Critères de performances du parement</w:t>
      </w:r>
    </w:p>
    <w:p w14:paraId="5EF11AA4" w14:textId="77777777" w:rsidR="00DF410E" w:rsidRDefault="00CE7F43">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14:paraId="6297FBAA" w14:textId="77777777" w:rsidR="00DF410E" w:rsidRDefault="00CE7F43">
      <w:pPr>
        <w:pStyle w:val="pheading"/>
      </w:pPr>
      <w:r>
        <w:t>- Finitions</w:t>
      </w:r>
    </w:p>
    <w:p w14:paraId="7B9E8CC9"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0C8BE7AB"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E434D48"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26F8ABE8"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2CE7BAB9"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0F32412" w14:textId="77777777" w:rsidR="00DF410E" w:rsidRDefault="00DF410E"/>
    <w:p w14:paraId="1ABBB0B7" w14:textId="77777777" w:rsidR="00DF410E" w:rsidRDefault="00CE7F43">
      <w:r>
        <w:t> </w:t>
      </w:r>
    </w:p>
    <w:p w14:paraId="2D771EB8" w14:textId="77777777" w:rsidR="00DF410E" w:rsidRDefault="00CE7F43">
      <w:pPr>
        <w:pStyle w:val="pheading"/>
      </w:pPr>
      <w:r>
        <w:t>EXÉCUTION / MISE EN ŒUVRE</w:t>
      </w:r>
    </w:p>
    <w:p w14:paraId="4DE24233" w14:textId="77777777" w:rsidR="00DF410E" w:rsidRDefault="00CE7F43">
      <w:pPr>
        <w:pStyle w:val="pheading"/>
      </w:pPr>
      <w:r>
        <w:t>- Prescriptions générales</w:t>
      </w:r>
    </w:p>
    <w:p w14:paraId="7C1271B2" w14:textId="77777777" w:rsidR="00DF410E" w:rsidRDefault="00CE7F43">
      <w:pPr>
        <w:spacing w:line="259" w:lineRule="auto"/>
      </w:pPr>
      <w:r>
        <w:t xml:space="preserve">La maçonnerie est exécutée en appareil </w:t>
      </w:r>
      <w:r>
        <w:rPr>
          <w:rStyle w:val="optioncarChar"/>
        </w:rPr>
        <w:t>d'</w:t>
      </w:r>
      <w:r>
        <w:rPr>
          <w:rStyle w:val="normalChar"/>
          <w:color w:val="FF0000"/>
        </w:rPr>
        <w:t>une demi-bloc / ***</w:t>
      </w:r>
    </w:p>
    <w:p w14:paraId="6AA0AB54" w14:textId="77777777" w:rsidR="00DF410E" w:rsidRDefault="00CE7F43">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30D9A47C" w14:textId="77777777" w:rsidR="00DF410E" w:rsidRDefault="00DF410E"/>
    <w:p w14:paraId="28880343" w14:textId="77777777" w:rsidR="00DF410E" w:rsidRDefault="00CE7F43">
      <w:pPr>
        <w:spacing w:line="259" w:lineRule="auto"/>
      </w:pPr>
      <w:r>
        <w:rPr>
          <w:rStyle w:val="normalChar"/>
          <w:b/>
          <w:color w:val="000000"/>
        </w:rPr>
        <w:t>LINTEAUX</w:t>
      </w:r>
    </w:p>
    <w:p w14:paraId="04F1EF7E"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507D798F" w14:textId="77777777" w:rsidR="00DF410E" w:rsidRDefault="00CE7F43">
      <w:r>
        <w:rPr>
          <w:b/>
        </w:rPr>
        <w:t>(soit par défaut)</w:t>
      </w:r>
    </w:p>
    <w:p w14:paraId="78AD330B" w14:textId="77777777" w:rsidR="00DF410E" w:rsidRDefault="00CE7F43">
      <w:r>
        <w:rPr>
          <w:rStyle w:val="soitChar"/>
          <w:u w:val="single"/>
        </w:rPr>
        <w:t>D'une armature et de crochets de mur</w:t>
      </w:r>
      <w:r>
        <w:rPr>
          <w:rStyle w:val="soitChar"/>
        </w:rPr>
        <w:t>  :</w:t>
      </w:r>
    </w:p>
    <w:p w14:paraId="278C33DE"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48AEA3B0" w14:textId="77777777" w:rsidR="00DF410E" w:rsidRDefault="00CE7F43">
      <w:r>
        <w:rPr>
          <w:b/>
        </w:rPr>
        <w:t>(soit)</w:t>
      </w:r>
    </w:p>
    <w:p w14:paraId="6ECA812F"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69CAD7A4" w14:textId="77777777" w:rsidR="00DF410E" w:rsidRDefault="00CE7F43">
      <w:r>
        <w:rPr>
          <w:b/>
        </w:rPr>
        <w:t>(soit)</w:t>
      </w:r>
    </w:p>
    <w:p w14:paraId="25BF9A41"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428D63C3" w14:textId="77777777" w:rsidR="00DF410E" w:rsidRDefault="00CE7F43">
      <w:r>
        <w:rPr>
          <w:b/>
        </w:rPr>
        <w:t>(soit)</w:t>
      </w:r>
    </w:p>
    <w:p w14:paraId="453919DD" w14:textId="77777777" w:rsidR="00DF410E" w:rsidRDefault="00CE7F43">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AA20DF3" w14:textId="77777777" w:rsidR="00DF410E" w:rsidRDefault="00CE7F43">
      <w:r>
        <w:rPr>
          <w:b/>
        </w:rPr>
        <w:t>(soit)</w:t>
      </w:r>
    </w:p>
    <w:p w14:paraId="75FDF4DF" w14:textId="77777777" w:rsidR="00DF410E" w:rsidRDefault="00CE7F43">
      <w:r>
        <w:rPr>
          <w:rStyle w:val="optioncarChar"/>
        </w:rPr>
        <w:t> ***</w:t>
      </w:r>
    </w:p>
    <w:p w14:paraId="2AA807CC" w14:textId="77777777" w:rsidR="00DF410E" w:rsidRDefault="00CE7F43">
      <w:pPr>
        <w:pStyle w:val="pheading"/>
      </w:pPr>
      <w:r>
        <w:t>- Notes d’exécution complémentaires</w:t>
      </w:r>
    </w:p>
    <w:p w14:paraId="0B3FEF76" w14:textId="77777777" w:rsidR="00DF410E" w:rsidRDefault="00CE7F43">
      <w:r>
        <w:t>En vue du choix définitif des blocs de parement, un ou plusieurs échantillons d'environ 1 m2 sont maçonnés à la demande de l'auteur de projet; les frais inhérents à la construction et à la démolition de ces murs sont à charge de l'entrepreneur.</w:t>
      </w:r>
    </w:p>
    <w:p w14:paraId="2ED226E2" w14:textId="77777777" w:rsidR="00DF410E" w:rsidRDefault="00CE7F43">
      <w:r>
        <w:t xml:space="preserve">• Armatures : selon l'article </w:t>
      </w:r>
      <w:hyperlink w:anchor="355" w:history="1">
        <w:r>
          <w:t>21.41.1 Armatures horizontales pour maçonneries</w:t>
        </w:r>
      </w:hyperlink>
    </w:p>
    <w:p w14:paraId="4F2A7B9A" w14:textId="77777777" w:rsidR="00DF410E" w:rsidRDefault="00CE7F43">
      <w:r>
        <w:t xml:space="preserve">• Ancrages : selon l'article </w:t>
      </w:r>
      <w:hyperlink w:anchor="362" w:history="1">
        <w:r>
          <w:t>21.42 Ancrages et fixations de maçonneries</w:t>
        </w:r>
      </w:hyperlink>
    </w:p>
    <w:p w14:paraId="2BD49212" w14:textId="77777777" w:rsidR="00DF410E" w:rsidRDefault="00CE7F43">
      <w:r>
        <w:t xml:space="preserve">Blocs spéciaux : </w:t>
      </w:r>
      <w:r>
        <w:rPr>
          <w:rStyle w:val="optioncarChar"/>
        </w:rPr>
        <w:t>***</w:t>
      </w:r>
    </w:p>
    <w:p w14:paraId="14F48F30" w14:textId="77777777" w:rsidR="00DF410E" w:rsidRDefault="00CE7F43">
      <w:r>
        <w:t xml:space="preserve">Étanchéité : </w:t>
      </w:r>
      <w:r>
        <w:rPr>
          <w:rStyle w:val="optioncarChar"/>
        </w:rPr>
        <w:t>***</w:t>
      </w:r>
    </w:p>
    <w:p w14:paraId="0525E554" w14:textId="77777777" w:rsidR="00DF410E" w:rsidRDefault="00CE7F43">
      <w:r>
        <w:t xml:space="preserve">Joints de dilatation : </w:t>
      </w:r>
      <w:r>
        <w:rPr>
          <w:rStyle w:val="optioncarChar"/>
        </w:rPr>
        <w:t>***</w:t>
      </w:r>
    </w:p>
    <w:p w14:paraId="19DB8688" w14:textId="77777777" w:rsidR="00DF410E" w:rsidRDefault="00CE7F43">
      <w:r>
        <w:t>Ce système est prévu pour des constructions de maisons unifamiliales, pour des constructions d’immeubles à appartements (5 niveaux maximum de murs porteurs) et pour des murs de remplissage entre poutres et colonnes</w:t>
      </w:r>
    </w:p>
    <w:p w14:paraId="15C4E008" w14:textId="77777777" w:rsidR="00DF410E" w:rsidRDefault="00CE7F43">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3CD35777" w14:textId="77777777" w:rsidR="00DF410E" w:rsidRDefault="00CE7F43">
      <w:r>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32" w:history="1" w:docLocation="68">
        <w:r>
          <w:t>02.42.1 Critères d'acceptabilité</w:t>
        </w:r>
      </w:hyperlink>
    </w:p>
    <w:p w14:paraId="12CF51CA" w14:textId="77777777" w:rsidR="00DF410E" w:rsidRDefault="00CE7F43">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368178E4" w14:textId="77777777" w:rsidR="00DF410E" w:rsidRDefault="00CE7F43">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 *** </w:t>
      </w:r>
      <w:r>
        <w:t>mm et de composition moyenne :</w:t>
      </w:r>
    </w:p>
    <w:p w14:paraId="200799BF" w14:textId="77777777" w:rsidR="00DF410E" w:rsidRDefault="00CE7F43">
      <w:pPr>
        <w:pStyle w:val="Author-eListParagraph"/>
        <w:numPr>
          <w:ilvl w:val="0"/>
          <w:numId w:val="253"/>
        </w:numPr>
      </w:pPr>
      <w:r>
        <w:t>350kg de ciment de la classe de résistance 52,5 N/mm2,</w:t>
      </w:r>
    </w:p>
    <w:p w14:paraId="5EA202D6" w14:textId="77777777" w:rsidR="00DF410E" w:rsidRDefault="00CE7F43">
      <w:pPr>
        <w:pStyle w:val="Author-eListParagraph"/>
        <w:numPr>
          <w:ilvl w:val="0"/>
          <w:numId w:val="253"/>
        </w:numPr>
      </w:pPr>
      <w:r>
        <w:t>720l à 780l de gravier roulé 4/28,</w:t>
      </w:r>
    </w:p>
    <w:p w14:paraId="0853AC67" w14:textId="77777777" w:rsidR="00DF410E" w:rsidRDefault="00CE7F43">
      <w:pPr>
        <w:pStyle w:val="Author-eListParagraph"/>
        <w:numPr>
          <w:ilvl w:val="0"/>
          <w:numId w:val="253"/>
        </w:numPr>
      </w:pPr>
      <w:r>
        <w:t>380l à 450l de sable pour béton et armés de barres verticales ou horizontales, le cas échéant justifiées par une note de calcul,</w:t>
      </w:r>
    </w:p>
    <w:p w14:paraId="0D09AB09" w14:textId="77777777" w:rsidR="00DF410E" w:rsidRDefault="00CE7F43">
      <w:pPr>
        <w:pStyle w:val="Author-eListParagraph"/>
        <w:numPr>
          <w:ilvl w:val="0"/>
          <w:numId w:val="253"/>
        </w:numPr>
      </w:pPr>
      <w:r>
        <w:t>170l à 180l d’eau.</w:t>
      </w:r>
    </w:p>
    <w:p w14:paraId="46F333EA" w14:textId="77777777" w:rsidR="00DF410E" w:rsidRDefault="00CE7F43">
      <w:r>
        <w:t>Pour les contraintes horizontales particulières (par ex : force du vent) une note de calcul spécifique doit être établie.</w:t>
      </w:r>
    </w:p>
    <w:p w14:paraId="7B1B61F5" w14:textId="77777777" w:rsidR="00DF410E" w:rsidRDefault="00CE7F43">
      <w:r>
        <w:t>Sauf indication contraire dans le cahier spécial des charges ou dans l'étude de stabilité, la répartition des charges des planchers, linteaux, poutres, etc. se fait au choix de l'entrepreneur, selon la méthode suivante :</w:t>
      </w:r>
    </w:p>
    <w:p w14:paraId="6489FEEB" w14:textId="77777777" w:rsidR="00DF410E" w:rsidRDefault="00CE7F43">
      <w:pPr>
        <w:pStyle w:val="Author-eListParagraph"/>
        <w:numPr>
          <w:ilvl w:val="0"/>
          <w:numId w:val="254"/>
        </w:numPr>
      </w:pPr>
      <w:r>
        <w:t>en remplissant les éléments creux de béton ou de mortier</w:t>
      </w:r>
    </w:p>
    <w:p w14:paraId="1D057496" w14:textId="77777777" w:rsidR="00DF410E" w:rsidRDefault="00CE7F43">
      <w:pPr>
        <w:pStyle w:val="Author-eListParagraph"/>
        <w:numPr>
          <w:ilvl w:val="0"/>
          <w:numId w:val="254"/>
        </w:numPr>
      </w:pPr>
      <w:r>
        <w:t>en utilisant des blocs pleins</w:t>
      </w:r>
    </w:p>
    <w:p w14:paraId="75565197" w14:textId="77777777" w:rsidR="00DF410E" w:rsidRDefault="00CE7F43">
      <w:pPr>
        <w:pStyle w:val="Author-eListParagraph"/>
        <w:numPr>
          <w:ilvl w:val="0"/>
          <w:numId w:val="254"/>
        </w:numPr>
      </w:pPr>
      <w:r>
        <w:t>en prévoyant une poutre de ceinture</w:t>
      </w:r>
    </w:p>
    <w:p w14:paraId="0B85096A" w14:textId="77777777" w:rsidR="00DF410E" w:rsidRDefault="00CE7F43">
      <w:pPr>
        <w:pStyle w:val="Author-eListParagraph"/>
        <w:numPr>
          <w:ilvl w:val="0"/>
          <w:numId w:val="254"/>
        </w:numPr>
      </w:pPr>
      <w:r>
        <w:t>en prévoyant une semelle de renforcement</w:t>
      </w:r>
    </w:p>
    <w:p w14:paraId="09C6EF38" w14:textId="77777777" w:rsidR="00DF410E" w:rsidRDefault="00CE7F43">
      <w:pPr>
        <w:pStyle w:val="Author-eListParagraph"/>
        <w:numPr>
          <w:ilvl w:val="0"/>
          <w:numId w:val="254"/>
        </w:numPr>
      </w:pPr>
      <w:r>
        <w:t>en prévoyant des armatures</w:t>
      </w:r>
    </w:p>
    <w:p w14:paraId="2FD3E44D" w14:textId="77777777" w:rsidR="00DF410E" w:rsidRDefault="00CE7F43">
      <w:r>
        <w:t>Ces blocs ne peuvent pas contenir d'inclusions de fer, ferrugineuses ou de chaux qui risqueraient de provoquer des dégâts en surface.</w:t>
      </w:r>
    </w:p>
    <w:p w14:paraId="6EEA3736" w14:textId="77777777" w:rsidR="00DF410E" w:rsidRDefault="00DF410E"/>
    <w:p w14:paraId="2A54F945" w14:textId="77777777" w:rsidR="00DF410E" w:rsidRDefault="00CE7F43">
      <w:r>
        <w:t> </w:t>
      </w:r>
    </w:p>
    <w:p w14:paraId="18EBA037" w14:textId="77777777" w:rsidR="00DF410E" w:rsidRDefault="00CE7F43">
      <w:pPr>
        <w:pStyle w:val="pheading"/>
      </w:pPr>
      <w:r>
        <w:t>MESURAGE</w:t>
      </w:r>
    </w:p>
    <w:p w14:paraId="226E10C9" w14:textId="77777777" w:rsidR="00DF410E" w:rsidRDefault="00CE7F43">
      <w:pPr>
        <w:pStyle w:val="pheading"/>
      </w:pPr>
      <w:r>
        <w:t>- unité de mesure:</w:t>
      </w:r>
    </w:p>
    <w:p w14:paraId="7386A856" w14:textId="77777777" w:rsidR="00DF410E" w:rsidRDefault="00CE7F43">
      <w:r>
        <w:rPr>
          <w:rStyle w:val="optioncarChar"/>
        </w:rPr>
        <w:t>m² </w:t>
      </w:r>
      <w:r>
        <w:rPr>
          <w:rStyle w:val="optioncarChar"/>
          <w:color w:val="000000"/>
        </w:rPr>
        <w:t>(par défaut)</w:t>
      </w:r>
      <w:r>
        <w:rPr>
          <w:rStyle w:val="optioncarChar"/>
        </w:rPr>
        <w:t> / m³</w:t>
      </w:r>
    </w:p>
    <w:p w14:paraId="0FF4E9B9" w14:textId="77777777" w:rsidR="00DF410E" w:rsidRDefault="00CE7F43">
      <w:pPr>
        <w:spacing w:after="0" w:line="0" w:lineRule="atLeast"/>
      </w:pPr>
      <w:r>
        <w:rPr>
          <w:b/>
          <w:color w:val="000000"/>
        </w:rPr>
        <w:t>(soit par défaut)</w:t>
      </w:r>
    </w:p>
    <w:p w14:paraId="41B72910" w14:textId="77777777" w:rsidR="00DF410E" w:rsidRDefault="00CE7F43">
      <w:pPr>
        <w:spacing w:after="0" w:line="0" w:lineRule="atLeast"/>
      </w:pPr>
      <w:r>
        <w:rPr>
          <w:rStyle w:val="soitChar"/>
        </w:rPr>
        <w:t>1. m²</w:t>
      </w:r>
    </w:p>
    <w:p w14:paraId="2AAF0FE6" w14:textId="77777777" w:rsidR="00DF410E" w:rsidRDefault="00CE7F43">
      <w:pPr>
        <w:spacing w:after="0" w:line="0" w:lineRule="atLeast"/>
      </w:pPr>
      <w:r>
        <w:rPr>
          <w:b/>
          <w:color w:val="000000"/>
        </w:rPr>
        <w:t>(soit)</w:t>
      </w:r>
    </w:p>
    <w:p w14:paraId="1901B02A" w14:textId="77777777" w:rsidR="00DF410E" w:rsidRDefault="00CE7F43">
      <w:pPr>
        <w:spacing w:after="0" w:line="0" w:lineRule="atLeast"/>
      </w:pPr>
      <w:r>
        <w:rPr>
          <w:rStyle w:val="soitChar"/>
        </w:rPr>
        <w:t>2. m³</w:t>
      </w:r>
    </w:p>
    <w:p w14:paraId="70D00B47" w14:textId="77777777" w:rsidR="00DF410E" w:rsidRDefault="00CE7F43">
      <w:pPr>
        <w:pStyle w:val="pheading"/>
      </w:pPr>
      <w:r>
        <w:t>- code de mesurage:</w:t>
      </w:r>
    </w:p>
    <w:p w14:paraId="784DA2B1" w14:textId="77777777" w:rsidR="00DF410E" w:rsidRDefault="00CE7F43">
      <w:pPr>
        <w:spacing w:before="0" w:after="0"/>
        <w:ind w:left="454"/>
      </w:pPr>
      <w:r>
        <w:t>Les maçonneries sont mesurées en fonction de leur forme géométrique.</w:t>
      </w:r>
    </w:p>
    <w:p w14:paraId="556762E6" w14:textId="77777777" w:rsidR="00DF410E" w:rsidRDefault="00CE7F43">
      <w:pPr>
        <w:spacing w:before="0" w:after="0"/>
        <w:ind w:left="454"/>
      </w:pPr>
      <w:r>
        <w:t>Les ébrasements des ouvertures et des baies de fenêtres ainsi que la face inférieure des linteaux ne sont comptés (en surface nette) que lorsque leur largeur est supérieure à celle des blocs de façade.</w:t>
      </w:r>
    </w:p>
    <w:p w14:paraId="7A4A0278" w14:textId="77777777" w:rsidR="00DF410E" w:rsidRDefault="00CE7F43">
      <w:pPr>
        <w:spacing w:before="0" w:after="0"/>
        <w:ind w:left="460"/>
      </w:pPr>
      <w:r>
        <w:t>La coulisse n'est jamais prise en compte.</w:t>
      </w:r>
    </w:p>
    <w:p w14:paraId="044DAB89" w14:textId="77777777" w:rsidR="00DF410E" w:rsidRDefault="00CE7F43">
      <w:pPr>
        <w:spacing w:after="0" w:line="259" w:lineRule="auto"/>
        <w:ind w:left="460"/>
      </w:pPr>
      <w:r>
        <w:rPr>
          <w:rStyle w:val="normalChar"/>
        </w:rPr>
        <w:t>Les accessoires (linteaux non décrits et non comptés dans un autre poste, attaches,…) sont compris dans le prix.</w:t>
      </w:r>
    </w:p>
    <w:p w14:paraId="32BA56A6" w14:textId="77777777" w:rsidR="00DF410E" w:rsidRDefault="00CE7F43">
      <w:pPr>
        <w:spacing w:after="0" w:line="259" w:lineRule="auto"/>
        <w:ind w:left="460"/>
      </w:pPr>
      <w:r>
        <w:rPr>
          <w:rStyle w:val="normalChar"/>
        </w:rPr>
        <w:t>Sont entre-autres décrits et comptés dans un autre poste :</w:t>
      </w:r>
    </w:p>
    <w:p w14:paraId="319AFAC4" w14:textId="77777777" w:rsidR="00DF410E" w:rsidRDefault="00CE7F43">
      <w:pPr>
        <w:pStyle w:val="Author-eListParagraph"/>
        <w:numPr>
          <w:ilvl w:val="0"/>
          <w:numId w:val="255"/>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21931097" w14:textId="77777777" w:rsidR="00DF410E" w:rsidRDefault="00CE7F43">
      <w:pPr>
        <w:pStyle w:val="Author-eListParagraph"/>
        <w:numPr>
          <w:ilvl w:val="0"/>
          <w:numId w:val="255"/>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21F02D1A" w14:textId="77777777" w:rsidR="00DF410E" w:rsidRDefault="00CE7F43">
      <w:pPr>
        <w:pStyle w:val="Author-eListParagraph"/>
        <w:numPr>
          <w:ilvl w:val="0"/>
          <w:numId w:val="255"/>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15FEF36C" w14:textId="77777777" w:rsidR="00DF410E" w:rsidRDefault="00DF410E"/>
    <w:p w14:paraId="70CD39D1" w14:textId="77777777" w:rsidR="00DF410E" w:rsidRDefault="00CE7F43">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14:paraId="0C3000FD" w14:textId="77777777" w:rsidR="00DF410E" w:rsidRDefault="00CE7F43">
      <w:pPr>
        <w:spacing w:after="0" w:line="252" w:lineRule="auto"/>
      </w:pPr>
      <w:r>
        <w:rPr>
          <w:b/>
          <w:i/>
          <w:color w:val="000000"/>
        </w:rPr>
        <w:t>(Soit par défaut)</w:t>
      </w:r>
    </w:p>
    <w:p w14:paraId="28A29957" w14:textId="77777777" w:rsidR="00DF410E" w:rsidRDefault="00CE7F43">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14:paraId="00E177A0" w14:textId="77777777" w:rsidR="00DF410E" w:rsidRDefault="00CE7F43">
      <w:pPr>
        <w:spacing w:after="0" w:line="252" w:lineRule="auto"/>
        <w:ind w:left="567"/>
      </w:pPr>
      <w:r>
        <w:rPr>
          <w:rStyle w:val="soitChar"/>
        </w:rPr>
        <w:t>Distinction faite suivant l'épaisseur.</w:t>
      </w:r>
    </w:p>
    <w:p w14:paraId="64B6E082" w14:textId="77777777" w:rsidR="00DF410E" w:rsidRDefault="00CE7F43">
      <w:pPr>
        <w:spacing w:line="252" w:lineRule="auto"/>
      </w:pPr>
      <w:r>
        <w:rPr>
          <w:b/>
          <w:i/>
          <w:color w:val="000000"/>
        </w:rPr>
        <w:t>(Soit)</w:t>
      </w:r>
    </w:p>
    <w:p w14:paraId="56CFBB96" w14:textId="77777777" w:rsidR="00DF410E" w:rsidRDefault="00CE7F43">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14:paraId="7A5C3F0F" w14:textId="77777777" w:rsidR="00DF410E" w:rsidRDefault="00CE7F43">
      <w:pPr>
        <w:spacing w:line="252" w:lineRule="auto"/>
        <w:ind w:left="567"/>
      </w:pPr>
      <w:r>
        <w:rPr>
          <w:rStyle w:val="soitChar"/>
        </w:rPr>
        <w:t>Les ouvertures ou les éléments de construction intégrés dont l'aire est supérieure à 0,5 m² multipliées par l’épaisseur à réaliser sont déduites.</w:t>
      </w:r>
    </w:p>
    <w:p w14:paraId="3FEC0CEC" w14:textId="77777777" w:rsidR="00DF410E" w:rsidRDefault="00CE7F43">
      <w:pPr>
        <w:pStyle w:val="pheading"/>
      </w:pPr>
      <w:r>
        <w:t>- nature du marché:</w:t>
      </w:r>
    </w:p>
    <w:p w14:paraId="5DB897EB" w14:textId="77777777" w:rsidR="00DF410E" w:rsidRDefault="00CE7F43">
      <w:r>
        <w:rPr>
          <w:rStyle w:val="optioncarChar"/>
        </w:rPr>
        <w:t>QF</w:t>
      </w:r>
      <w:r>
        <w:t xml:space="preserve"> (par défaut)</w:t>
      </w:r>
      <w:r>
        <w:rPr>
          <w:rStyle w:val="optioncarChar"/>
        </w:rPr>
        <w:t xml:space="preserve"> / QP</w:t>
      </w:r>
    </w:p>
    <w:p w14:paraId="0DA8F894" w14:textId="77777777" w:rsidR="00DF410E" w:rsidRDefault="00CE7F43">
      <w:pPr>
        <w:pStyle w:val="Author-eSectionHeading6"/>
      </w:pPr>
      <w:bookmarkStart w:id="263" w:name="_Toc178837493"/>
      <w:r>
        <w:t>21.32.2f Maçonneries de parement en blocs de béton clivé à maçonner CCTB 01.11</w:t>
      </w:r>
      <w:bookmarkEnd w:id="263"/>
    </w:p>
    <w:p w14:paraId="2654EFF4" w14:textId="77777777" w:rsidR="00DF410E" w:rsidRDefault="00CE7F43">
      <w:pPr>
        <w:pStyle w:val="pheading"/>
      </w:pPr>
      <w:r>
        <w:t>DESCRIPTION</w:t>
      </w:r>
    </w:p>
    <w:p w14:paraId="2386213C" w14:textId="77777777" w:rsidR="00DF410E" w:rsidRDefault="00CE7F43">
      <w:pPr>
        <w:pStyle w:val="pheading"/>
      </w:pPr>
      <w:r>
        <w:t>- Définition / Comprend</w:t>
      </w:r>
    </w:p>
    <w:p w14:paraId="6BB5BA1C" w14:textId="77777777" w:rsidR="00DF410E" w:rsidRDefault="00CE7F43">
      <w:r>
        <w:t>Il s’agit de la fourniture et la pose de maçonneries de parement en blocs de béton clivé à maçonner.</w:t>
      </w:r>
    </w:p>
    <w:p w14:paraId="35B1B0AB" w14:textId="77777777" w:rsidR="00DF410E" w:rsidRDefault="00CE7F43">
      <w:r>
        <w:t>La portée des travaux est décrite dans l’article </w:t>
      </w:r>
      <w:hyperlink w:anchor="379" w:history="1">
        <w:r>
          <w:t>21.3 Maçonneries de parement</w:t>
        </w:r>
      </w:hyperlink>
    </w:p>
    <w:p w14:paraId="7CD36A8E" w14:textId="77777777" w:rsidR="00DF410E" w:rsidRDefault="00CE7F43">
      <w:pPr>
        <w:pStyle w:val="pheading"/>
      </w:pPr>
      <w:r>
        <w:t>- Localisation</w:t>
      </w:r>
    </w:p>
    <w:p w14:paraId="55ABD301" w14:textId="77777777" w:rsidR="00DF410E" w:rsidRDefault="00CE7F43">
      <w:r>
        <w:t xml:space="preserve">La pose est réalisée aux endroits suivants : </w:t>
      </w:r>
      <w:r>
        <w:rPr>
          <w:rStyle w:val="optioncarChar"/>
        </w:rPr>
        <w:t>***</w:t>
      </w:r>
      <w:r>
        <w:t>.</w:t>
      </w:r>
      <w:r>
        <w:br/>
        <w:t>Voir plans et métrés détaillés.</w:t>
      </w:r>
    </w:p>
    <w:p w14:paraId="3BCAAC4C" w14:textId="77777777" w:rsidR="00DF410E" w:rsidRDefault="00CE7F43">
      <w:pPr>
        <w:pStyle w:val="pheading"/>
      </w:pPr>
      <w:r>
        <w:t>MATÉRIAUX</w:t>
      </w:r>
    </w:p>
    <w:p w14:paraId="6940BEC4" w14:textId="77777777" w:rsidR="00DF410E" w:rsidRDefault="00CE7F43">
      <w:pPr>
        <w:pStyle w:val="pheading"/>
      </w:pPr>
      <w:r>
        <w:t>- Caractéristiques générales</w:t>
      </w:r>
    </w:p>
    <w:p w14:paraId="73E35944" w14:textId="77777777" w:rsidR="00DF410E" w:rsidRDefault="00CE7F43">
      <w:r>
        <w:rPr>
          <w:rStyle w:val="headingChar"/>
          <w:color w:val="000000"/>
        </w:rPr>
        <w:t>Blocs</w:t>
      </w:r>
    </w:p>
    <w:p w14:paraId="73E46D67" w14:textId="77777777" w:rsidR="00DF410E" w:rsidRDefault="00CE7F43">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1D45F13F"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1F44B5DC" w14:textId="77777777" w:rsidR="00DF410E" w:rsidRDefault="00CE7F43">
      <w:pPr>
        <w:spacing w:after="0" w:line="0" w:lineRule="atLeast"/>
      </w:pPr>
      <w:r>
        <w:rPr>
          <w:color w:val="000000"/>
        </w:rPr>
        <w:t xml:space="preserve">Le groupe de configuration suivant [PTV 21-001] est: </w:t>
      </w:r>
      <w:r>
        <w:rPr>
          <w:rStyle w:val="optioncarChar"/>
          <w:color w:val="000000"/>
        </w:rPr>
        <w:t>1 / 2 / 3 / 4</w:t>
      </w:r>
    </w:p>
    <w:p w14:paraId="2A0186B3" w14:textId="77777777" w:rsidR="00DF410E" w:rsidRDefault="00CE7F43">
      <w:pPr>
        <w:spacing w:after="0" w:line="0" w:lineRule="atLeast"/>
      </w:pPr>
      <w:r>
        <w:rPr>
          <w:color w:val="000000"/>
        </w:rPr>
        <w:t xml:space="preserve">Le code d’identification du type de bloc de maçonnerie suivant [PTV 21-001] est </w:t>
      </w:r>
      <w:r>
        <w:rPr>
          <w:rStyle w:val="optioncarChar"/>
          <w:color w:val="000000"/>
        </w:rPr>
        <w:t>A1 / A2 / B1 / B2</w:t>
      </w:r>
    </w:p>
    <w:p w14:paraId="17994956" w14:textId="77777777" w:rsidR="00DF410E" w:rsidRDefault="00CE7F43">
      <w:pPr>
        <w:spacing w:after="0" w:line="0" w:lineRule="atLeast"/>
      </w:pPr>
      <w:r>
        <w:rPr>
          <w:color w:val="000000"/>
        </w:rPr>
        <w:t xml:space="preserve">La conductibilité thermique λD est compatible avec la valeur U prescrite pour la paroi. </w:t>
      </w:r>
    </w:p>
    <w:p w14:paraId="6E9F2694" w14:textId="77777777" w:rsidR="00DF410E" w:rsidRDefault="00CE7F43">
      <w:pPr>
        <w:spacing w:after="0" w:line="0" w:lineRule="atLeast"/>
      </w:pPr>
      <w:r>
        <w:rPr>
          <w:color w:val="000000"/>
        </w:rPr>
        <w:t xml:space="preserve">Boutisse : </w:t>
      </w:r>
      <w:r>
        <w:t>plate</w:t>
      </w:r>
    </w:p>
    <w:p w14:paraId="6A9800C3" w14:textId="77777777" w:rsidR="00DF410E" w:rsidRDefault="00CE7F43">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64622290" w14:textId="77777777" w:rsidR="00DF410E" w:rsidRDefault="00CE7F43">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23D4D378" w14:textId="77777777" w:rsidR="00DF410E" w:rsidRDefault="00CE7F43">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36C15E50" w14:textId="77777777" w:rsidR="00DF410E" w:rsidRDefault="00CE7F43">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334BF3FC" w14:textId="77777777" w:rsidR="00DF410E" w:rsidRDefault="00CE7F43">
      <w:pPr>
        <w:spacing w:after="0" w:line="0" w:lineRule="atLeast"/>
      </w:pPr>
      <w:r>
        <w:rPr>
          <w:rStyle w:val="headingChar"/>
          <w:color w:val="000000"/>
        </w:rPr>
        <w:t>Mortier</w:t>
      </w:r>
    </w:p>
    <w:p w14:paraId="03DBEAFC" w14:textId="77777777" w:rsidR="00DF410E" w:rsidRDefault="00CE7F43">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w:t>
      </w:r>
      <w:r>
        <w:t>(par défaut)</w:t>
      </w:r>
      <w:r>
        <w:rPr>
          <w:rStyle w:val="optioncarChar"/>
          <w:color w:val="000000"/>
        </w:rPr>
        <w:t xml:space="preserve"> / 12 / ***</w:t>
      </w:r>
      <w:r>
        <w:rPr>
          <w:color w:val="000000"/>
        </w:rPr>
        <w:t xml:space="preserve"> mm.</w:t>
      </w:r>
    </w:p>
    <w:p w14:paraId="26D27042" w14:textId="77777777" w:rsidR="00DF410E" w:rsidRDefault="00CE7F43">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72295BFB" w14:textId="77777777" w:rsidR="00DF410E" w:rsidRDefault="00CE7F43">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37BA9B61" w14:textId="77777777" w:rsidR="00DF410E" w:rsidRDefault="00CE7F43">
      <w:pPr>
        <w:spacing w:line="259" w:lineRule="auto"/>
      </w:pPr>
      <w:r>
        <w:rPr>
          <w:color w:val="000000"/>
        </w:rPr>
        <w:t>Résistance au gel :</w:t>
      </w:r>
      <w:r>
        <w:rPr>
          <w:rStyle w:val="optioncarChar"/>
          <w:color w:val="000000"/>
        </w:rPr>
        <w:t xml:space="preserve"> oui</w:t>
      </w:r>
    </w:p>
    <w:p w14:paraId="0CE7A0FF" w14:textId="77777777" w:rsidR="00DF410E" w:rsidRDefault="00DF410E"/>
    <w:p w14:paraId="2D18186D" w14:textId="77777777" w:rsidR="00DF410E" w:rsidRDefault="00CE7F43">
      <w:pPr>
        <w:spacing w:line="259" w:lineRule="auto"/>
      </w:pPr>
      <w:r>
        <w:rPr>
          <w:rStyle w:val="headingChar"/>
          <w:color w:val="000000"/>
        </w:rPr>
        <w:t>Critères de performances du parement</w:t>
      </w:r>
    </w:p>
    <w:p w14:paraId="106DD382" w14:textId="77777777" w:rsidR="00DF410E" w:rsidRDefault="00CE7F43">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6057E7C2" w14:textId="77777777" w:rsidR="00DF410E" w:rsidRDefault="00CE7F43">
      <w:pPr>
        <w:pStyle w:val="pheading"/>
      </w:pPr>
      <w:r>
        <w:t>- Finitions</w:t>
      </w:r>
    </w:p>
    <w:p w14:paraId="2762ECE6"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926EADB"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50C88FD"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4CEFF294"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2C39F919"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47160C0C" w14:textId="77777777" w:rsidR="00DF410E" w:rsidRDefault="00DF410E"/>
    <w:p w14:paraId="33D90BA4" w14:textId="77777777" w:rsidR="00DF410E" w:rsidRDefault="00CE7F43">
      <w:r>
        <w:t> </w:t>
      </w:r>
    </w:p>
    <w:p w14:paraId="28A05FE8" w14:textId="77777777" w:rsidR="00DF410E" w:rsidRDefault="00CE7F43">
      <w:pPr>
        <w:pStyle w:val="pheading"/>
      </w:pPr>
      <w:r>
        <w:t>EXÉCUTION / MISE EN ŒUVRE</w:t>
      </w:r>
    </w:p>
    <w:p w14:paraId="2B8C0C24" w14:textId="77777777" w:rsidR="00DF410E" w:rsidRDefault="00CE7F43">
      <w:pPr>
        <w:pStyle w:val="pheading"/>
      </w:pPr>
      <w:r>
        <w:t>- Prescriptions générales</w:t>
      </w:r>
    </w:p>
    <w:p w14:paraId="36BA9825" w14:textId="77777777" w:rsidR="00DF410E" w:rsidRDefault="00CE7F43">
      <w:pPr>
        <w:spacing w:line="259" w:lineRule="auto"/>
      </w:pPr>
      <w:r>
        <w:t xml:space="preserve">La maçonnerie est exécutée en appareil </w:t>
      </w:r>
      <w:r>
        <w:rPr>
          <w:rStyle w:val="optioncarChar"/>
        </w:rPr>
        <w:t>d'</w:t>
      </w:r>
      <w:r>
        <w:rPr>
          <w:rStyle w:val="normalChar"/>
          <w:color w:val="FF0000"/>
        </w:rPr>
        <w:t>une demi-bloc / ***</w:t>
      </w:r>
    </w:p>
    <w:p w14:paraId="2F6B9FD4" w14:textId="77777777" w:rsidR="00DF410E" w:rsidRDefault="00CE7F43">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4EDF606E" w14:textId="77777777" w:rsidR="00DF410E" w:rsidRDefault="00DF410E"/>
    <w:p w14:paraId="6A8342AF" w14:textId="77777777" w:rsidR="00DF410E" w:rsidRDefault="00CE7F43">
      <w:pPr>
        <w:spacing w:line="259" w:lineRule="auto"/>
      </w:pPr>
      <w:r>
        <w:rPr>
          <w:rStyle w:val="normalChar"/>
          <w:b/>
          <w:color w:val="000000"/>
        </w:rPr>
        <w:t>LINTEAUX</w:t>
      </w:r>
    </w:p>
    <w:p w14:paraId="48A234E6" w14:textId="77777777" w:rsidR="00DF410E" w:rsidRDefault="00CE7F43">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11D44907" w14:textId="77777777" w:rsidR="00DF410E" w:rsidRDefault="00CE7F43">
      <w:r>
        <w:rPr>
          <w:b/>
        </w:rPr>
        <w:t>(soit par défaut)</w:t>
      </w:r>
    </w:p>
    <w:p w14:paraId="1802537C" w14:textId="77777777" w:rsidR="00DF410E" w:rsidRDefault="00CE7F43">
      <w:r>
        <w:rPr>
          <w:rStyle w:val="soitChar"/>
          <w:u w:val="single"/>
        </w:rPr>
        <w:t>D'une armature et de crochets de mur</w:t>
      </w:r>
      <w:r>
        <w:rPr>
          <w:rStyle w:val="soitChar"/>
        </w:rPr>
        <w:t>  :</w:t>
      </w:r>
    </w:p>
    <w:p w14:paraId="2C496988" w14:textId="77777777" w:rsidR="00DF410E" w:rsidRDefault="00CE7F43">
      <w:r>
        <w:rPr>
          <w:rStyle w:val="soitChar"/>
        </w:rPr>
        <w:t>L’armature est conforme aux descriptions du 21.41.1</w:t>
      </w:r>
      <w:r>
        <w:br/>
      </w:r>
      <w:r>
        <w:rPr>
          <w:color w:val="33CCCC"/>
        </w:rPr>
        <w:t>Les crochets sont prévus tous les</w:t>
      </w:r>
      <w:r>
        <w:t>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76243B3" w14:textId="77777777" w:rsidR="00DF410E" w:rsidRDefault="00CE7F43">
      <w:r>
        <w:rPr>
          <w:b/>
        </w:rPr>
        <w:t>(soit)</w:t>
      </w:r>
    </w:p>
    <w:p w14:paraId="2FCBF3D5"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3E5608FF" w14:textId="77777777" w:rsidR="00DF410E" w:rsidRDefault="00CE7F43">
      <w:r>
        <w:rPr>
          <w:b/>
        </w:rPr>
        <w:t>(soit)</w:t>
      </w:r>
    </w:p>
    <w:p w14:paraId="05A3F795"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7E5DB38A" w14:textId="77777777" w:rsidR="00DF410E" w:rsidRDefault="00CE7F43">
      <w:r>
        <w:rPr>
          <w:b/>
        </w:rPr>
        <w:t>(soit)</w:t>
      </w:r>
    </w:p>
    <w:p w14:paraId="6BBDBFF9" w14:textId="77777777" w:rsidR="00DF410E" w:rsidRDefault="00CE7F43">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697AA39F" w14:textId="77777777" w:rsidR="00DF410E" w:rsidRDefault="00CE7F43">
      <w:r>
        <w:rPr>
          <w:b/>
        </w:rPr>
        <w:t>(soit)</w:t>
      </w:r>
    </w:p>
    <w:p w14:paraId="20E407D2" w14:textId="77777777" w:rsidR="00DF410E" w:rsidRDefault="00CE7F43">
      <w:r>
        <w:rPr>
          <w:rStyle w:val="optioncarChar"/>
        </w:rPr>
        <w:t> ***</w:t>
      </w:r>
    </w:p>
    <w:p w14:paraId="670CBCD5" w14:textId="77777777" w:rsidR="00DF410E" w:rsidRDefault="00CE7F43">
      <w:pPr>
        <w:pStyle w:val="pheading"/>
      </w:pPr>
      <w:r>
        <w:t>- Notes d’exécution complémentaires</w:t>
      </w:r>
    </w:p>
    <w:p w14:paraId="6EB52466" w14:textId="77777777" w:rsidR="00DF410E" w:rsidRDefault="00CE7F43">
      <w:r>
        <w:t>En vue du choix définitif des blocs de parement, un ou plusieurs échantillons d'environ 1 m2 sont maçonnés à la demande de l'auteur de projet; les frais inhérents à la construction et à la démolition de ces murs sont à charge de l'entrepreneur.</w:t>
      </w:r>
    </w:p>
    <w:p w14:paraId="364241E9" w14:textId="77777777" w:rsidR="00DF410E" w:rsidRDefault="00CE7F43">
      <w:r>
        <w:t xml:space="preserve">• Armatures : selon l'article </w:t>
      </w:r>
      <w:hyperlink w:anchor="355" w:history="1">
        <w:r>
          <w:t>21.41.1 Armatures horizontales pour maçonneries</w:t>
        </w:r>
      </w:hyperlink>
    </w:p>
    <w:p w14:paraId="26E74E01" w14:textId="77777777" w:rsidR="00DF410E" w:rsidRDefault="00CE7F43">
      <w:r>
        <w:t xml:space="preserve">• Ancrages : selon l'article </w:t>
      </w:r>
      <w:hyperlink w:anchor="362" w:history="1">
        <w:r>
          <w:t>21.42 Ancrages et fixations de maçonneries</w:t>
        </w:r>
      </w:hyperlink>
    </w:p>
    <w:p w14:paraId="12A84559" w14:textId="77777777" w:rsidR="00DF410E" w:rsidRDefault="00CE7F43">
      <w:r>
        <w:t xml:space="preserve">Blocs spéciaux : </w:t>
      </w:r>
      <w:r>
        <w:rPr>
          <w:rStyle w:val="optioncarChar"/>
        </w:rPr>
        <w:t>***</w:t>
      </w:r>
    </w:p>
    <w:p w14:paraId="5C7917A9" w14:textId="77777777" w:rsidR="00DF410E" w:rsidRDefault="00CE7F43">
      <w:r>
        <w:t xml:space="preserve">Étanchéité : </w:t>
      </w:r>
      <w:r>
        <w:rPr>
          <w:rStyle w:val="optioncarChar"/>
        </w:rPr>
        <w:t>***</w:t>
      </w:r>
    </w:p>
    <w:p w14:paraId="2C8D8E4E" w14:textId="77777777" w:rsidR="00DF410E" w:rsidRDefault="00CE7F43">
      <w:r>
        <w:t xml:space="preserve">Joints de dilatation : </w:t>
      </w:r>
      <w:r>
        <w:rPr>
          <w:rStyle w:val="optioncarChar"/>
        </w:rPr>
        <w:t>***</w:t>
      </w:r>
    </w:p>
    <w:p w14:paraId="4D990CFE" w14:textId="77777777" w:rsidR="00DF410E" w:rsidRDefault="00CE7F43">
      <w:pPr>
        <w:pStyle w:val="pheading"/>
      </w:pPr>
      <w:r>
        <w:t>MESURAGE</w:t>
      </w:r>
    </w:p>
    <w:p w14:paraId="03945122" w14:textId="77777777" w:rsidR="00DF410E" w:rsidRDefault="00CE7F43">
      <w:pPr>
        <w:pStyle w:val="pheading"/>
      </w:pPr>
      <w:r>
        <w:t>- unité de mesure:</w:t>
      </w:r>
    </w:p>
    <w:p w14:paraId="6BF92532" w14:textId="77777777" w:rsidR="00DF410E" w:rsidRDefault="00CE7F43">
      <w:r>
        <w:rPr>
          <w:rStyle w:val="optioncarChar"/>
        </w:rPr>
        <w:t>m² </w:t>
      </w:r>
      <w:r>
        <w:rPr>
          <w:rStyle w:val="optioncarChar"/>
          <w:color w:val="000000"/>
        </w:rPr>
        <w:t>(par défaut)</w:t>
      </w:r>
      <w:r>
        <w:rPr>
          <w:rStyle w:val="optioncarChar"/>
        </w:rPr>
        <w:t> / m³</w:t>
      </w:r>
    </w:p>
    <w:p w14:paraId="5014D092" w14:textId="77777777" w:rsidR="00DF410E" w:rsidRDefault="00CE7F43">
      <w:pPr>
        <w:spacing w:after="0" w:line="0" w:lineRule="atLeast"/>
      </w:pPr>
      <w:r>
        <w:rPr>
          <w:b/>
          <w:color w:val="000000"/>
        </w:rPr>
        <w:t>(soit par défaut)</w:t>
      </w:r>
    </w:p>
    <w:p w14:paraId="49924FF9" w14:textId="77777777" w:rsidR="00DF410E" w:rsidRDefault="00CE7F43">
      <w:pPr>
        <w:spacing w:after="0" w:line="0" w:lineRule="atLeast"/>
      </w:pPr>
      <w:r>
        <w:rPr>
          <w:rStyle w:val="soitChar"/>
        </w:rPr>
        <w:t>1. m²</w:t>
      </w:r>
    </w:p>
    <w:p w14:paraId="0D12E29F" w14:textId="77777777" w:rsidR="00DF410E" w:rsidRDefault="00CE7F43">
      <w:pPr>
        <w:spacing w:after="0" w:line="0" w:lineRule="atLeast"/>
      </w:pPr>
      <w:r>
        <w:rPr>
          <w:b/>
          <w:color w:val="000000"/>
        </w:rPr>
        <w:t>(soit)</w:t>
      </w:r>
    </w:p>
    <w:p w14:paraId="288C951A" w14:textId="77777777" w:rsidR="00DF410E" w:rsidRDefault="00CE7F43">
      <w:pPr>
        <w:spacing w:after="0" w:line="0" w:lineRule="atLeast"/>
      </w:pPr>
      <w:r>
        <w:rPr>
          <w:rStyle w:val="soitChar"/>
        </w:rPr>
        <w:t>2. m³</w:t>
      </w:r>
    </w:p>
    <w:p w14:paraId="3440C7C9" w14:textId="77777777" w:rsidR="00DF410E" w:rsidRDefault="00CE7F43">
      <w:pPr>
        <w:pStyle w:val="pheading"/>
      </w:pPr>
      <w:r>
        <w:t>- code de mesurage:</w:t>
      </w:r>
    </w:p>
    <w:p w14:paraId="343D2C7B" w14:textId="77777777" w:rsidR="00DF410E" w:rsidRDefault="00CE7F43">
      <w:pPr>
        <w:spacing w:before="0" w:after="0"/>
      </w:pPr>
      <w:r>
        <w:t>Les maçonneries sont mesurées en fonction de leur forme géométrique.</w:t>
      </w:r>
    </w:p>
    <w:p w14:paraId="29E048F2"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1C5B32B9" w14:textId="77777777" w:rsidR="00DF410E" w:rsidRDefault="00CE7F43">
      <w:pPr>
        <w:spacing w:before="0" w:after="0"/>
      </w:pPr>
      <w:r>
        <w:t>La coulisse n'est jamais prise en compte.</w:t>
      </w:r>
    </w:p>
    <w:p w14:paraId="71B5AFA2" w14:textId="77777777" w:rsidR="00DF410E" w:rsidRDefault="00CE7F43">
      <w:pPr>
        <w:spacing w:after="0" w:line="259" w:lineRule="auto"/>
      </w:pPr>
      <w:r>
        <w:rPr>
          <w:rStyle w:val="normalChar"/>
        </w:rPr>
        <w:t>Les accessoires (linteaux non décrits et non comptés dans un autre poste, attaches,…) sont compris dans le prix.</w:t>
      </w:r>
    </w:p>
    <w:p w14:paraId="621FBE2E" w14:textId="77777777" w:rsidR="00DF410E" w:rsidRDefault="00CE7F43">
      <w:pPr>
        <w:spacing w:after="0" w:line="259" w:lineRule="auto"/>
      </w:pPr>
      <w:r>
        <w:rPr>
          <w:rStyle w:val="normalChar"/>
        </w:rPr>
        <w:t>Sont entre-autres décrits et comptés dans un autre poste :</w:t>
      </w:r>
    </w:p>
    <w:p w14:paraId="76CFCCF0" w14:textId="77777777" w:rsidR="00DF410E" w:rsidRDefault="00CE7F43">
      <w:pPr>
        <w:pStyle w:val="Author-eListParagraph"/>
        <w:numPr>
          <w:ilvl w:val="0"/>
          <w:numId w:val="256"/>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1CF6186A" w14:textId="77777777" w:rsidR="00DF410E" w:rsidRDefault="00CE7F43">
      <w:pPr>
        <w:pStyle w:val="Author-eListParagraph"/>
        <w:numPr>
          <w:ilvl w:val="0"/>
          <w:numId w:val="256"/>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28134C7D" w14:textId="77777777" w:rsidR="00DF410E" w:rsidRDefault="00CE7F43">
      <w:pPr>
        <w:pStyle w:val="Author-eListParagraph"/>
        <w:numPr>
          <w:ilvl w:val="0"/>
          <w:numId w:val="256"/>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076A10CF" w14:textId="77777777" w:rsidR="00DF410E" w:rsidRDefault="00DF410E"/>
    <w:p w14:paraId="0B138DEC"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08385D78" w14:textId="77777777" w:rsidR="00DF410E" w:rsidRDefault="00CE7F43">
      <w:pPr>
        <w:spacing w:after="0" w:line="252" w:lineRule="auto"/>
      </w:pPr>
      <w:r>
        <w:rPr>
          <w:b/>
          <w:color w:val="000000"/>
        </w:rPr>
        <w:t>(soit par défaut)</w:t>
      </w:r>
    </w:p>
    <w:p w14:paraId="75668A0D"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9CAFD2B" w14:textId="77777777" w:rsidR="00DF410E" w:rsidRDefault="00CE7F43">
      <w:pPr>
        <w:spacing w:after="0" w:line="252" w:lineRule="auto"/>
      </w:pPr>
      <w:r>
        <w:rPr>
          <w:rStyle w:val="soitChar"/>
        </w:rPr>
        <w:t>Distinction faite suivant l'épaisseur.</w:t>
      </w:r>
    </w:p>
    <w:p w14:paraId="7B5F62EA" w14:textId="77777777" w:rsidR="00DF410E" w:rsidRDefault="00CE7F43">
      <w:pPr>
        <w:spacing w:line="252" w:lineRule="auto"/>
      </w:pPr>
      <w:r>
        <w:rPr>
          <w:b/>
          <w:color w:val="000000"/>
        </w:rPr>
        <w:t>(soit)</w:t>
      </w:r>
    </w:p>
    <w:p w14:paraId="1562946F"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1E52FAF"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5062F961" w14:textId="77777777" w:rsidR="00DF410E" w:rsidRDefault="00CE7F43">
      <w:pPr>
        <w:pStyle w:val="pheading"/>
      </w:pPr>
      <w:r>
        <w:t>- nature du marché:</w:t>
      </w:r>
    </w:p>
    <w:p w14:paraId="0005EFE9" w14:textId="77777777" w:rsidR="00DF410E" w:rsidRDefault="00CE7F43">
      <w:r>
        <w:t>QF</w:t>
      </w:r>
    </w:p>
    <w:p w14:paraId="7ED176D0" w14:textId="77777777" w:rsidR="00DF410E" w:rsidRDefault="00CE7F43">
      <w:pPr>
        <w:pStyle w:val="Author-eSectionHeading6"/>
      </w:pPr>
      <w:bookmarkStart w:id="264" w:name="_Toc178837494"/>
      <w:r>
        <w:t>21.32.2g Maçonneries de parement en blocs de béton clivé à coller CCTB 01.11</w:t>
      </w:r>
      <w:bookmarkEnd w:id="264"/>
    </w:p>
    <w:p w14:paraId="44C7FA1B" w14:textId="77777777" w:rsidR="00DF410E" w:rsidRDefault="00CE7F43">
      <w:pPr>
        <w:pStyle w:val="pheading"/>
      </w:pPr>
      <w:r>
        <w:t>DESCRIPTION</w:t>
      </w:r>
    </w:p>
    <w:p w14:paraId="46D2BED7" w14:textId="77777777" w:rsidR="00DF410E" w:rsidRDefault="00CE7F43">
      <w:pPr>
        <w:pStyle w:val="pheading"/>
      </w:pPr>
      <w:r>
        <w:t>- Définition / Comprend</w:t>
      </w:r>
    </w:p>
    <w:p w14:paraId="1DF02090" w14:textId="77777777" w:rsidR="00DF410E" w:rsidRDefault="00CE7F43">
      <w:r>
        <w:t>Il s’agit de la fourniture et la pose de maçonneries de parement en blocs de béton clivé à coller.</w:t>
      </w:r>
    </w:p>
    <w:p w14:paraId="201E01B7" w14:textId="77777777" w:rsidR="00DF410E" w:rsidRDefault="00CE7F43">
      <w:r>
        <w:t>La portée des travaux est décrite dans l’article </w:t>
      </w:r>
      <w:hyperlink w:anchor="379" w:history="1">
        <w:r>
          <w:t>21.3 Maçonneries de parement</w:t>
        </w:r>
      </w:hyperlink>
      <w:r>
        <w:t>.</w:t>
      </w:r>
    </w:p>
    <w:p w14:paraId="3A34954F" w14:textId="77777777" w:rsidR="00DF410E" w:rsidRDefault="00CE7F43">
      <w:pPr>
        <w:pStyle w:val="pheading"/>
      </w:pPr>
      <w:r>
        <w:t>- Localisation</w:t>
      </w:r>
    </w:p>
    <w:p w14:paraId="0E50CAA6" w14:textId="77777777" w:rsidR="00DF410E" w:rsidRDefault="00CE7F43">
      <w:r>
        <w:t xml:space="preserve">La pose est réalisée aux endroits suivants : </w:t>
      </w:r>
      <w:r>
        <w:rPr>
          <w:rStyle w:val="optioncarChar"/>
        </w:rPr>
        <w:t>***</w:t>
      </w:r>
      <w:r>
        <w:t>.</w:t>
      </w:r>
      <w:r>
        <w:br/>
        <w:t>Voir plans et métrés détaillés.</w:t>
      </w:r>
    </w:p>
    <w:p w14:paraId="4C7AF8B4" w14:textId="77777777" w:rsidR="00DF410E" w:rsidRDefault="00CE7F43">
      <w:pPr>
        <w:pStyle w:val="pheading"/>
      </w:pPr>
      <w:r>
        <w:t>MATÉRIAUX</w:t>
      </w:r>
    </w:p>
    <w:p w14:paraId="24A3E649" w14:textId="77777777" w:rsidR="00DF410E" w:rsidRDefault="00CE7F43">
      <w:pPr>
        <w:pStyle w:val="pheading"/>
      </w:pPr>
      <w:r>
        <w:t>- Caractéristiques générales</w:t>
      </w:r>
    </w:p>
    <w:p w14:paraId="3EC650A4" w14:textId="77777777" w:rsidR="00DF410E" w:rsidRDefault="00CE7F43">
      <w:r>
        <w:rPr>
          <w:rStyle w:val="headingChar"/>
          <w:color w:val="000000"/>
        </w:rPr>
        <w:t>Blocs</w:t>
      </w:r>
    </w:p>
    <w:p w14:paraId="5910806A" w14:textId="77777777" w:rsidR="00DF410E" w:rsidRDefault="00CE7F43">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691B3E5E"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55349083" w14:textId="77777777" w:rsidR="00DF410E" w:rsidRDefault="00CE7F43">
      <w:pPr>
        <w:spacing w:after="0" w:line="0" w:lineRule="atLeast"/>
      </w:pPr>
      <w:r>
        <w:rPr>
          <w:color w:val="000000"/>
        </w:rPr>
        <w:t xml:space="preserve">Le groupe de configuration suivant [PTV 21-001] est: </w:t>
      </w:r>
      <w:r>
        <w:rPr>
          <w:rStyle w:val="optioncarChar"/>
          <w:color w:val="000000"/>
        </w:rPr>
        <w:t xml:space="preserve">1 / 2 / 3 / 4 </w:t>
      </w:r>
    </w:p>
    <w:p w14:paraId="5C98CECD" w14:textId="77777777" w:rsidR="00DF410E" w:rsidRDefault="00CE7F43">
      <w:pPr>
        <w:spacing w:after="0" w:line="0" w:lineRule="atLeast"/>
      </w:pPr>
      <w:r>
        <w:rPr>
          <w:color w:val="000000"/>
        </w:rPr>
        <w:t xml:space="preserve">Le code d’identification du type de bloc de maçonnerie suivant [PTV 21-001] est </w:t>
      </w:r>
      <w:r>
        <w:rPr>
          <w:rStyle w:val="optioncarChar"/>
          <w:color w:val="000000"/>
        </w:rPr>
        <w:t>A1 / A2 / B1 / B2</w:t>
      </w:r>
    </w:p>
    <w:p w14:paraId="6D4266D0" w14:textId="77777777" w:rsidR="00DF410E" w:rsidRDefault="00CE7F43">
      <w:pPr>
        <w:spacing w:after="0" w:line="0" w:lineRule="atLeast"/>
      </w:pPr>
      <w:r>
        <w:rPr>
          <w:color w:val="000000"/>
        </w:rPr>
        <w:t xml:space="preserve">La conductibilité thermique λD est compatible avec la valeur U prescrite pour la paroi. </w:t>
      </w:r>
    </w:p>
    <w:p w14:paraId="276F1953" w14:textId="77777777" w:rsidR="00DF410E" w:rsidRDefault="00CE7F43">
      <w:pPr>
        <w:spacing w:after="0" w:line="0" w:lineRule="atLeast"/>
      </w:pPr>
      <w:r>
        <w:rPr>
          <w:color w:val="000000"/>
        </w:rPr>
        <w:t xml:space="preserve">Boutisse : </w:t>
      </w:r>
      <w:r>
        <w:t>plate</w:t>
      </w:r>
    </w:p>
    <w:p w14:paraId="6C2B3E05" w14:textId="77777777" w:rsidR="00DF410E" w:rsidRDefault="00CE7F43">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51F740D9" w14:textId="77777777" w:rsidR="00DF410E" w:rsidRDefault="00CE7F43">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157FA891" w14:textId="77777777" w:rsidR="00DF410E" w:rsidRDefault="00CE7F43">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5D726D15" w14:textId="77777777" w:rsidR="00DF410E" w:rsidRDefault="00CE7F43">
      <w:pPr>
        <w:spacing w:after="0" w:line="0" w:lineRule="atLeast"/>
      </w:pPr>
      <w:r>
        <w:rPr>
          <w:color w:val="000000"/>
        </w:rPr>
        <w:t xml:space="preserve">Réaction au feu : </w:t>
      </w:r>
      <w:r>
        <w:rPr>
          <w:rStyle w:val="optioncarChar"/>
          <w:color w:val="000000"/>
        </w:rPr>
        <w:t>A1</w:t>
      </w:r>
      <w:r>
        <w:t xml:space="preserve"> (par défaut) </w:t>
      </w:r>
      <w:r>
        <w:rPr>
          <w:rStyle w:val="optioncarChar"/>
          <w:color w:val="000000"/>
        </w:rPr>
        <w:t>/ ***</w:t>
      </w:r>
    </w:p>
    <w:p w14:paraId="09CFB77E" w14:textId="77777777" w:rsidR="00DF410E" w:rsidRDefault="00DF410E"/>
    <w:p w14:paraId="00BF0FBB" w14:textId="77777777" w:rsidR="00DF410E" w:rsidRDefault="00CE7F43">
      <w:pPr>
        <w:spacing w:after="0" w:line="0" w:lineRule="atLeast"/>
      </w:pPr>
      <w:r>
        <w:rPr>
          <w:rStyle w:val="headingChar"/>
          <w:color w:val="000000"/>
        </w:rPr>
        <w:t>Mortier</w:t>
      </w:r>
    </w:p>
    <w:p w14:paraId="3CCB19D4" w14:textId="77777777" w:rsidR="00DF410E" w:rsidRDefault="00CE7F43">
      <w:pPr>
        <w:spacing w:after="0" w:line="0" w:lineRule="atLeast"/>
      </w:pPr>
      <w:r>
        <w:rPr>
          <w:color w:val="000000"/>
        </w:rPr>
        <w:t xml:space="preserve">Le mortier est du type T adapté à des joints d’épaisseur nominale de </w:t>
      </w:r>
      <w:r>
        <w:rPr>
          <w:rStyle w:val="optioncarChar"/>
          <w:color w:val="000000"/>
        </w:rPr>
        <w:t>3</w:t>
      </w:r>
      <w:r>
        <w:t xml:space="preserve"> (par défaut) </w:t>
      </w:r>
      <w:r>
        <w:rPr>
          <w:rStyle w:val="optioncarChar"/>
          <w:color w:val="000000"/>
        </w:rPr>
        <w:t>/ ***</w:t>
      </w:r>
      <w:r>
        <w:rPr>
          <w:color w:val="000000"/>
        </w:rPr>
        <w:t xml:space="preserve"> mm</w:t>
      </w:r>
    </w:p>
    <w:p w14:paraId="56AAA9E4" w14:textId="77777777" w:rsidR="00DF410E" w:rsidRDefault="00CE7F43">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6C4466E4" w14:textId="77777777" w:rsidR="00DF410E" w:rsidRDefault="00CE7F43">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172C3B95" w14:textId="77777777" w:rsidR="00DF410E" w:rsidRDefault="00CE7F43">
      <w:pPr>
        <w:spacing w:line="259" w:lineRule="auto"/>
      </w:pPr>
      <w:r>
        <w:rPr>
          <w:color w:val="000000"/>
        </w:rPr>
        <w:t xml:space="preserve">Résistance au gel : </w:t>
      </w:r>
      <w:r>
        <w:rPr>
          <w:rStyle w:val="optioncarChar"/>
          <w:color w:val="000000"/>
        </w:rPr>
        <w:t>oui</w:t>
      </w:r>
    </w:p>
    <w:p w14:paraId="16F67542" w14:textId="77777777" w:rsidR="00DF410E" w:rsidRDefault="00DF410E"/>
    <w:p w14:paraId="07FD2C50" w14:textId="77777777" w:rsidR="00DF410E" w:rsidRDefault="00CE7F43">
      <w:pPr>
        <w:spacing w:line="259" w:lineRule="auto"/>
      </w:pPr>
      <w:r>
        <w:rPr>
          <w:rStyle w:val="headingChar"/>
          <w:color w:val="000000"/>
        </w:rPr>
        <w:t>Critères de performances du parement</w:t>
      </w:r>
    </w:p>
    <w:p w14:paraId="1699A98B" w14:textId="77777777" w:rsidR="00DF410E" w:rsidRDefault="00CE7F43">
      <w:pPr>
        <w:spacing w:line="259" w:lineRule="auto"/>
      </w:pPr>
      <w:r>
        <w:t>V</w:t>
      </w:r>
      <w:r>
        <w:rPr>
          <w:color w:val="000000"/>
        </w:rPr>
        <w:t>aleur λUi ou λUe maximum *** W/mK (suivant l’application). </w:t>
      </w:r>
    </w:p>
    <w:p w14:paraId="200A00FB" w14:textId="77777777" w:rsidR="00DF410E" w:rsidRDefault="00CE7F43">
      <w:pPr>
        <w:pStyle w:val="pheading"/>
      </w:pPr>
      <w:r>
        <w:t>- Finitions</w:t>
      </w:r>
    </w:p>
    <w:p w14:paraId="3AD45B99"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FCAE22E"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5540A9B"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24279495"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1D7BDB6B"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39D4FB2" w14:textId="77777777" w:rsidR="00DF410E" w:rsidRDefault="00CE7F43">
      <w:pPr>
        <w:pStyle w:val="pheading"/>
      </w:pPr>
      <w:r>
        <w:t>EXÉCUTION / MISE EN ŒUVRE</w:t>
      </w:r>
    </w:p>
    <w:p w14:paraId="35071F81" w14:textId="77777777" w:rsidR="00DF410E" w:rsidRDefault="00CE7F43">
      <w:pPr>
        <w:pStyle w:val="pheading"/>
      </w:pPr>
      <w:r>
        <w:t>- Prescriptions générales</w:t>
      </w:r>
    </w:p>
    <w:p w14:paraId="6D506869" w14:textId="77777777" w:rsidR="00DF410E" w:rsidRDefault="00CE7F43">
      <w:pPr>
        <w:spacing w:line="259" w:lineRule="auto"/>
      </w:pPr>
      <w:r>
        <w:t xml:space="preserve">La maçonnerie est exécutée en appareil </w:t>
      </w:r>
      <w:r>
        <w:rPr>
          <w:rStyle w:val="optioncarChar"/>
        </w:rPr>
        <w:t>d'</w:t>
      </w:r>
      <w:r>
        <w:rPr>
          <w:rStyle w:val="normalChar"/>
          <w:color w:val="FF0000"/>
        </w:rPr>
        <w:t>une demi-bloc / ***</w:t>
      </w:r>
    </w:p>
    <w:p w14:paraId="40C26819" w14:textId="77777777" w:rsidR="00DF410E" w:rsidRDefault="00CE7F43">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7D206CE8" w14:textId="77777777" w:rsidR="00DF410E" w:rsidRDefault="00DF410E"/>
    <w:p w14:paraId="5FFEFAB6" w14:textId="77777777" w:rsidR="00DF410E" w:rsidRDefault="00CE7F43">
      <w:pPr>
        <w:spacing w:line="259" w:lineRule="auto"/>
      </w:pPr>
      <w:r>
        <w:rPr>
          <w:rStyle w:val="normalChar"/>
          <w:b/>
          <w:color w:val="000000"/>
        </w:rPr>
        <w:t>LINTEAUX</w:t>
      </w:r>
    </w:p>
    <w:p w14:paraId="53E510D3"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15C36065" w14:textId="77777777" w:rsidR="00DF410E" w:rsidRDefault="00CE7F43">
      <w:r>
        <w:rPr>
          <w:b/>
        </w:rPr>
        <w:t>(soit par défaut)</w:t>
      </w:r>
    </w:p>
    <w:p w14:paraId="0355D232" w14:textId="77777777" w:rsidR="00DF410E" w:rsidRDefault="00CE7F43">
      <w:r>
        <w:rPr>
          <w:rStyle w:val="soitChar"/>
          <w:u w:val="single"/>
        </w:rPr>
        <w:t>D'une armature et de crochets de mur</w:t>
      </w:r>
      <w:r>
        <w:rPr>
          <w:rStyle w:val="soitChar"/>
        </w:rPr>
        <w:t>  :</w:t>
      </w:r>
    </w:p>
    <w:p w14:paraId="0E6D70EE"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79206BF" w14:textId="77777777" w:rsidR="00DF410E" w:rsidRDefault="00CE7F43">
      <w:r>
        <w:rPr>
          <w:b/>
        </w:rPr>
        <w:t>(soit)</w:t>
      </w:r>
    </w:p>
    <w:p w14:paraId="58198E46"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6773F8CE" w14:textId="77777777" w:rsidR="00DF410E" w:rsidRDefault="00CE7F43">
      <w:r>
        <w:rPr>
          <w:b/>
        </w:rPr>
        <w:t>(soit)</w:t>
      </w:r>
    </w:p>
    <w:p w14:paraId="671CEDD2"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5BDC7C36" w14:textId="77777777" w:rsidR="00DF410E" w:rsidRDefault="00CE7F43">
      <w:r>
        <w:rPr>
          <w:b/>
        </w:rPr>
        <w:t>(soit)</w:t>
      </w:r>
    </w:p>
    <w:p w14:paraId="3496052D" w14:textId="77777777" w:rsidR="00DF410E" w:rsidRDefault="00CE7F43">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7A5155DA" w14:textId="77777777" w:rsidR="00DF410E" w:rsidRDefault="00CE7F43">
      <w:r>
        <w:rPr>
          <w:b/>
        </w:rPr>
        <w:t>(soit)</w:t>
      </w:r>
    </w:p>
    <w:p w14:paraId="1D57897A" w14:textId="77777777" w:rsidR="00DF410E" w:rsidRDefault="00CE7F43">
      <w:r>
        <w:rPr>
          <w:rStyle w:val="optioncarChar"/>
        </w:rPr>
        <w:t> ***</w:t>
      </w:r>
    </w:p>
    <w:p w14:paraId="4241DBC5" w14:textId="77777777" w:rsidR="00DF410E" w:rsidRDefault="00CE7F43">
      <w:pPr>
        <w:pStyle w:val="pheading"/>
      </w:pPr>
      <w:r>
        <w:t>- Notes d’exécution complémentaires</w:t>
      </w:r>
    </w:p>
    <w:p w14:paraId="7398F539" w14:textId="77777777" w:rsidR="00DF410E" w:rsidRDefault="00CE7F43">
      <w:r>
        <w:t>En vue du choix définitif des blocs de parement, un ou plusieurs échantillons d'environ 1 m2 sont maçonnés à la demande de l'auteur de projet; les frais inhérents à la construction et à la démolition de ces murs sont à charge de l'entrepreneur.</w:t>
      </w:r>
    </w:p>
    <w:p w14:paraId="4E0471AF" w14:textId="77777777" w:rsidR="00DF410E" w:rsidRDefault="00CE7F43">
      <w:r>
        <w:t xml:space="preserve">• Armatures : selon l'article </w:t>
      </w:r>
      <w:hyperlink w:anchor="355" w:history="1">
        <w:r>
          <w:t>21.41.1 Armatures horizontales pour maçonneries</w:t>
        </w:r>
      </w:hyperlink>
      <w:r>
        <w:t> </w:t>
      </w:r>
    </w:p>
    <w:p w14:paraId="1B8A28A8" w14:textId="77777777" w:rsidR="00DF410E" w:rsidRDefault="00CE7F43">
      <w:r>
        <w:t xml:space="preserve">• Ancrages : selon l'article </w:t>
      </w:r>
      <w:hyperlink w:anchor="362" w:history="1">
        <w:r>
          <w:t>21.42 Ancrages et fixations de maçonneries</w:t>
        </w:r>
      </w:hyperlink>
    </w:p>
    <w:p w14:paraId="1E4685F5" w14:textId="77777777" w:rsidR="00DF410E" w:rsidRDefault="00CE7F43">
      <w:r>
        <w:t xml:space="preserve">Blocs spéciaux : </w:t>
      </w:r>
      <w:r>
        <w:rPr>
          <w:rStyle w:val="optioncarChar"/>
        </w:rPr>
        <w:t>***</w:t>
      </w:r>
    </w:p>
    <w:p w14:paraId="128DC214" w14:textId="77777777" w:rsidR="00DF410E" w:rsidRDefault="00CE7F43">
      <w:r>
        <w:t xml:space="preserve">Étanchéité : </w:t>
      </w:r>
      <w:r>
        <w:rPr>
          <w:rStyle w:val="optioncarChar"/>
        </w:rPr>
        <w:t>***</w:t>
      </w:r>
    </w:p>
    <w:p w14:paraId="635B23F9" w14:textId="77777777" w:rsidR="00DF410E" w:rsidRDefault="00CE7F43">
      <w:r>
        <w:t xml:space="preserve">Joints de dilatation : </w:t>
      </w:r>
      <w:r>
        <w:rPr>
          <w:rStyle w:val="optioncarChar"/>
        </w:rPr>
        <w:t>***</w:t>
      </w:r>
    </w:p>
    <w:p w14:paraId="3A7FF5D4" w14:textId="77777777" w:rsidR="00DF410E" w:rsidRDefault="00CE7F43">
      <w:pPr>
        <w:pStyle w:val="pheading"/>
      </w:pPr>
      <w:r>
        <w:t>MESURAGE</w:t>
      </w:r>
    </w:p>
    <w:p w14:paraId="5A068ED8" w14:textId="77777777" w:rsidR="00DF410E" w:rsidRDefault="00CE7F43">
      <w:pPr>
        <w:pStyle w:val="pheading"/>
      </w:pPr>
      <w:r>
        <w:t>- unité de mesure:</w:t>
      </w:r>
    </w:p>
    <w:p w14:paraId="48A2E396" w14:textId="77777777" w:rsidR="00DF410E" w:rsidRDefault="00CE7F43">
      <w:r>
        <w:rPr>
          <w:rStyle w:val="optioncarChar"/>
        </w:rPr>
        <w:t>m² </w:t>
      </w:r>
      <w:r>
        <w:rPr>
          <w:rStyle w:val="optioncarChar"/>
          <w:color w:val="000000"/>
        </w:rPr>
        <w:t>(par défaut)</w:t>
      </w:r>
      <w:r>
        <w:rPr>
          <w:rStyle w:val="optioncarChar"/>
        </w:rPr>
        <w:t> / m³</w:t>
      </w:r>
    </w:p>
    <w:p w14:paraId="2C01D9A5" w14:textId="77777777" w:rsidR="00DF410E" w:rsidRDefault="00CE7F43">
      <w:pPr>
        <w:spacing w:after="0" w:line="0" w:lineRule="atLeast"/>
      </w:pPr>
      <w:r>
        <w:rPr>
          <w:b/>
          <w:color w:val="000000"/>
        </w:rPr>
        <w:t>(soit par défaut)</w:t>
      </w:r>
    </w:p>
    <w:p w14:paraId="5E0754D9" w14:textId="77777777" w:rsidR="00DF410E" w:rsidRDefault="00CE7F43">
      <w:pPr>
        <w:spacing w:after="0" w:line="0" w:lineRule="atLeast"/>
      </w:pPr>
      <w:r>
        <w:rPr>
          <w:rStyle w:val="soitChar"/>
        </w:rPr>
        <w:t>1. m²</w:t>
      </w:r>
    </w:p>
    <w:p w14:paraId="5A4EF4BA" w14:textId="77777777" w:rsidR="00DF410E" w:rsidRDefault="00CE7F43">
      <w:pPr>
        <w:spacing w:after="0" w:line="0" w:lineRule="atLeast"/>
      </w:pPr>
      <w:r>
        <w:rPr>
          <w:b/>
          <w:color w:val="000000"/>
        </w:rPr>
        <w:t>(soit)</w:t>
      </w:r>
    </w:p>
    <w:p w14:paraId="220F72FE" w14:textId="77777777" w:rsidR="00DF410E" w:rsidRDefault="00CE7F43">
      <w:pPr>
        <w:spacing w:after="0" w:line="0" w:lineRule="atLeast"/>
      </w:pPr>
      <w:r>
        <w:rPr>
          <w:rStyle w:val="soitChar"/>
        </w:rPr>
        <w:t>2. m³</w:t>
      </w:r>
    </w:p>
    <w:p w14:paraId="45BB3192" w14:textId="77777777" w:rsidR="00DF410E" w:rsidRDefault="00CE7F43">
      <w:pPr>
        <w:pStyle w:val="pheading"/>
      </w:pPr>
      <w:r>
        <w:t>- code de mesurage:</w:t>
      </w:r>
    </w:p>
    <w:p w14:paraId="396989D4" w14:textId="77777777" w:rsidR="00DF410E" w:rsidRDefault="00CE7F43">
      <w:pPr>
        <w:spacing w:before="0" w:after="0"/>
      </w:pPr>
      <w:r>
        <w:t>Les maçonneries sont mesurées en fonction de leur forme géométrique.</w:t>
      </w:r>
    </w:p>
    <w:p w14:paraId="20D9510D"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4C071AB1" w14:textId="77777777" w:rsidR="00DF410E" w:rsidRDefault="00CE7F43">
      <w:pPr>
        <w:spacing w:before="0" w:after="0"/>
      </w:pPr>
      <w:r>
        <w:t>La coulisse n'est jamais prise en compte.</w:t>
      </w:r>
    </w:p>
    <w:p w14:paraId="4797D044" w14:textId="77777777" w:rsidR="00DF410E" w:rsidRDefault="00CE7F43">
      <w:pPr>
        <w:spacing w:after="0" w:line="259" w:lineRule="auto"/>
      </w:pPr>
      <w:r>
        <w:rPr>
          <w:rStyle w:val="normalChar"/>
        </w:rPr>
        <w:t>Les accessoires (linteaux non décrits et non comptés dans un autre poste, attaches,…) sont compris dans le prix.</w:t>
      </w:r>
    </w:p>
    <w:p w14:paraId="261DA3FC" w14:textId="77777777" w:rsidR="00DF410E" w:rsidRDefault="00CE7F43">
      <w:pPr>
        <w:spacing w:after="0" w:line="259" w:lineRule="auto"/>
      </w:pPr>
      <w:r>
        <w:rPr>
          <w:rStyle w:val="normalChar"/>
        </w:rPr>
        <w:t>Sont entre-autres décrits et comptés dans un autre poste :</w:t>
      </w:r>
    </w:p>
    <w:p w14:paraId="5A28C7DF" w14:textId="77777777" w:rsidR="00DF410E" w:rsidRDefault="00CE7F43">
      <w:pPr>
        <w:pStyle w:val="Author-eListParagraph"/>
        <w:numPr>
          <w:ilvl w:val="0"/>
          <w:numId w:val="257"/>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6988A13B" w14:textId="77777777" w:rsidR="00DF410E" w:rsidRDefault="00CE7F43">
      <w:pPr>
        <w:pStyle w:val="Author-eListParagraph"/>
        <w:numPr>
          <w:ilvl w:val="0"/>
          <w:numId w:val="257"/>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399E51DD" w14:textId="77777777" w:rsidR="00DF410E" w:rsidRDefault="00CE7F43">
      <w:pPr>
        <w:pStyle w:val="Author-eListParagraph"/>
        <w:numPr>
          <w:ilvl w:val="0"/>
          <w:numId w:val="257"/>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09B767AD"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5C1109E6" w14:textId="77777777" w:rsidR="00DF410E" w:rsidRDefault="00CE7F43">
      <w:pPr>
        <w:spacing w:after="0" w:line="252" w:lineRule="auto"/>
      </w:pPr>
      <w:r>
        <w:rPr>
          <w:b/>
          <w:color w:val="000000"/>
        </w:rPr>
        <w:t>(soit par défaut)</w:t>
      </w:r>
    </w:p>
    <w:p w14:paraId="14B5A349"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1745DC1F" w14:textId="77777777" w:rsidR="00DF410E" w:rsidRDefault="00CE7F43">
      <w:pPr>
        <w:spacing w:after="0" w:line="252" w:lineRule="auto"/>
      </w:pPr>
      <w:r>
        <w:rPr>
          <w:rStyle w:val="soitChar"/>
        </w:rPr>
        <w:t>Distinction faite suivant l'épaisseur.</w:t>
      </w:r>
    </w:p>
    <w:p w14:paraId="6E1A585E" w14:textId="77777777" w:rsidR="00DF410E" w:rsidRDefault="00CE7F43">
      <w:pPr>
        <w:spacing w:line="252" w:lineRule="auto"/>
      </w:pPr>
      <w:r>
        <w:rPr>
          <w:b/>
          <w:color w:val="000000"/>
        </w:rPr>
        <w:t>(soit)</w:t>
      </w:r>
    </w:p>
    <w:p w14:paraId="03BCF674"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3476DA0"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6645506A" w14:textId="77777777" w:rsidR="00DF410E" w:rsidRDefault="00CE7F43">
      <w:pPr>
        <w:pStyle w:val="pheading"/>
      </w:pPr>
      <w:r>
        <w:t>- nature du marché:</w:t>
      </w:r>
    </w:p>
    <w:p w14:paraId="0C2AE2AE" w14:textId="77777777" w:rsidR="00DF410E" w:rsidRDefault="00CE7F43">
      <w:r>
        <w:t>QF</w:t>
      </w:r>
    </w:p>
    <w:p w14:paraId="6446F477" w14:textId="77777777" w:rsidR="00DF410E" w:rsidRDefault="00CE7F43">
      <w:pPr>
        <w:pStyle w:val="Author-eSectionHeading6"/>
      </w:pPr>
      <w:bookmarkStart w:id="265" w:name="_Toc178837495"/>
      <w:r>
        <w:t>21.32.2h Maçonneries de parement en blocs de béton clivé à système de dosage pour liant hydraulique CCTB 01.11</w:t>
      </w:r>
      <w:bookmarkEnd w:id="265"/>
    </w:p>
    <w:p w14:paraId="111D6F78" w14:textId="77777777" w:rsidR="00DF410E" w:rsidRDefault="00CE7F43">
      <w:pPr>
        <w:pStyle w:val="pheading"/>
      </w:pPr>
      <w:r>
        <w:t>DESCRIPTION</w:t>
      </w:r>
    </w:p>
    <w:p w14:paraId="314A1A33" w14:textId="77777777" w:rsidR="00DF410E" w:rsidRDefault="00CE7F43">
      <w:pPr>
        <w:pStyle w:val="pheading"/>
      </w:pPr>
      <w:r>
        <w:t>- Définition / Comprend</w:t>
      </w:r>
    </w:p>
    <w:p w14:paraId="02DBD492" w14:textId="77777777" w:rsidR="00DF410E" w:rsidRDefault="00CE7F43">
      <w:r>
        <w:t>Il s’agit de la fourniture et la pose de maçonneries de parement en blocs de béton pleins à coller.</w:t>
      </w:r>
    </w:p>
    <w:p w14:paraId="4676A7CD" w14:textId="77777777" w:rsidR="00DF410E" w:rsidRDefault="00CE7F43">
      <w:r>
        <w:t>La portée des travaux est décrite dans l’article </w:t>
      </w:r>
      <w:hyperlink w:anchor="379" w:history="1">
        <w:r>
          <w:t>21.3 Maçonneries de parement</w:t>
        </w:r>
      </w:hyperlink>
      <w:r>
        <w:t>.</w:t>
      </w:r>
    </w:p>
    <w:p w14:paraId="5110373E" w14:textId="77777777" w:rsidR="00DF410E" w:rsidRDefault="00CE7F43">
      <w:pPr>
        <w:pStyle w:val="pheading"/>
      </w:pPr>
      <w:r>
        <w:t>- Localisation</w:t>
      </w:r>
    </w:p>
    <w:p w14:paraId="76243936" w14:textId="77777777" w:rsidR="00DF410E" w:rsidRDefault="00CE7F43">
      <w:r>
        <w:t xml:space="preserve">La pose est réalisée aux endroits suivants : </w:t>
      </w:r>
      <w:r>
        <w:rPr>
          <w:rStyle w:val="optioncarChar"/>
        </w:rPr>
        <w:t>***</w:t>
      </w:r>
      <w:r>
        <w:t>.</w:t>
      </w:r>
      <w:r>
        <w:br/>
        <w:t>Voir plans et métrés détaillés.</w:t>
      </w:r>
    </w:p>
    <w:p w14:paraId="66B3B7D6" w14:textId="77777777" w:rsidR="00DF410E" w:rsidRDefault="00CE7F43">
      <w:pPr>
        <w:pStyle w:val="pheading"/>
      </w:pPr>
      <w:r>
        <w:t>MATÉRIAUX</w:t>
      </w:r>
    </w:p>
    <w:p w14:paraId="17A08A40" w14:textId="77777777" w:rsidR="00DF410E" w:rsidRDefault="00CE7F43">
      <w:pPr>
        <w:pStyle w:val="pheading"/>
      </w:pPr>
      <w:r>
        <w:t>- Caractéristiques générales</w:t>
      </w:r>
    </w:p>
    <w:p w14:paraId="04E4763F" w14:textId="77777777" w:rsidR="00DF410E" w:rsidRDefault="00CE7F43">
      <w:r>
        <w:rPr>
          <w:rStyle w:val="headingChar"/>
          <w:color w:val="000000"/>
        </w:rPr>
        <w:t>Blocs</w:t>
      </w:r>
    </w:p>
    <w:p w14:paraId="4B98FCD1" w14:textId="77777777" w:rsidR="00DF410E" w:rsidRDefault="00CE7F43">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4727C507" w14:textId="77777777" w:rsidR="00DF410E" w:rsidRDefault="00CE7F43">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5BBE74FC" w14:textId="77777777" w:rsidR="00DF410E" w:rsidRDefault="00CE7F43">
      <w:pPr>
        <w:spacing w:after="0" w:line="0" w:lineRule="atLeast"/>
      </w:pPr>
      <w:r>
        <w:rPr>
          <w:color w:val="000000"/>
        </w:rPr>
        <w:t xml:space="preserve">Le groupe de configuration suivant [PTV 21-001] est: </w:t>
      </w:r>
      <w:r>
        <w:rPr>
          <w:rStyle w:val="optioncarChar"/>
          <w:color w:val="000000"/>
        </w:rPr>
        <w:t xml:space="preserve">1 / 2 / 3 / 4 </w:t>
      </w:r>
    </w:p>
    <w:p w14:paraId="349AC06A" w14:textId="77777777" w:rsidR="00DF410E" w:rsidRDefault="00CE7F43">
      <w:pPr>
        <w:spacing w:after="0" w:line="0" w:lineRule="atLeast"/>
      </w:pPr>
      <w:r>
        <w:rPr>
          <w:color w:val="000000"/>
        </w:rPr>
        <w:t xml:space="preserve">Le code d’identification du type de bloc de maçonnerie suivant [PTV 21-001] est </w:t>
      </w:r>
      <w:r>
        <w:rPr>
          <w:rStyle w:val="optioncarChar"/>
          <w:color w:val="000000"/>
        </w:rPr>
        <w:t>A1 / A2 / B1 / B2</w:t>
      </w:r>
    </w:p>
    <w:p w14:paraId="2FD46652" w14:textId="77777777" w:rsidR="00DF410E" w:rsidRDefault="00CE7F43">
      <w:pPr>
        <w:spacing w:after="0" w:line="0" w:lineRule="atLeast"/>
      </w:pPr>
      <w:r>
        <w:rPr>
          <w:color w:val="000000"/>
        </w:rPr>
        <w:t xml:space="preserve">La conductibilité thermique λD est compatible avec la valeur U prescrite pour la paroi. </w:t>
      </w:r>
    </w:p>
    <w:p w14:paraId="02661A08" w14:textId="77777777" w:rsidR="00DF410E" w:rsidRDefault="00CE7F43">
      <w:pPr>
        <w:spacing w:after="0" w:line="0" w:lineRule="atLeast"/>
      </w:pPr>
      <w:r>
        <w:rPr>
          <w:color w:val="000000"/>
        </w:rPr>
        <w:t>Boutisse :</w:t>
      </w:r>
      <w:r>
        <w:t xml:space="preserve"> plate</w:t>
      </w:r>
    </w:p>
    <w:p w14:paraId="220147E6" w14:textId="77777777" w:rsidR="00DF410E" w:rsidRDefault="00CE7F43">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263015BB" w14:textId="77777777" w:rsidR="00DF410E" w:rsidRDefault="00CE7F43">
      <w:pPr>
        <w:spacing w:after="0" w:line="0" w:lineRule="atLeast"/>
      </w:pPr>
      <w:r>
        <w:rPr>
          <w:color w:val="000000"/>
        </w:rPr>
        <w:t xml:space="preserve">Teinte : </w:t>
      </w:r>
      <w:r>
        <w:rPr>
          <w:rStyle w:val="optioncarChar"/>
          <w:color w:val="000000"/>
        </w:rPr>
        <w:t>gris </w:t>
      </w:r>
      <w:r>
        <w:t xml:space="preserve">(par défaut) </w:t>
      </w:r>
      <w:r>
        <w:rPr>
          <w:rStyle w:val="optioncarChar"/>
          <w:color w:val="000000"/>
        </w:rPr>
        <w:t>/ blanc / noir / ***</w:t>
      </w:r>
    </w:p>
    <w:p w14:paraId="1DBE62E1" w14:textId="77777777" w:rsidR="00DF410E" w:rsidRDefault="00CE7F43">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2BE41134" w14:textId="77777777" w:rsidR="00DF410E" w:rsidRDefault="00CE7F43">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6774CBF5" w14:textId="77777777" w:rsidR="00DF410E" w:rsidRDefault="00DF410E"/>
    <w:p w14:paraId="06C16E91" w14:textId="77777777" w:rsidR="00DF410E" w:rsidRDefault="00CE7F43">
      <w:pPr>
        <w:spacing w:after="0" w:line="0" w:lineRule="atLeast"/>
      </w:pPr>
      <w:r>
        <w:rPr>
          <w:rStyle w:val="headingChar"/>
          <w:color w:val="000000"/>
        </w:rPr>
        <w:t>Mortier</w:t>
      </w:r>
    </w:p>
    <w:p w14:paraId="45BB6E1E" w14:textId="77777777" w:rsidR="00DF410E" w:rsidRDefault="00CE7F43">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427C4CA4" w14:textId="77777777" w:rsidR="00DF410E" w:rsidRDefault="00DF410E"/>
    <w:p w14:paraId="3594FDF4" w14:textId="77777777" w:rsidR="00DF410E" w:rsidRDefault="00CE7F43">
      <w:pPr>
        <w:spacing w:line="259" w:lineRule="auto"/>
      </w:pPr>
      <w:r>
        <w:rPr>
          <w:rStyle w:val="headingChar"/>
          <w:color w:val="000000"/>
        </w:rPr>
        <w:t>Critères de performances du parement</w:t>
      </w:r>
    </w:p>
    <w:p w14:paraId="2FDF5355" w14:textId="77777777" w:rsidR="00DF410E" w:rsidRDefault="00CE7F43">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14:paraId="258CA79E" w14:textId="77777777" w:rsidR="00DF410E" w:rsidRDefault="00CE7F43">
      <w:pPr>
        <w:pStyle w:val="pheading"/>
      </w:pPr>
      <w:r>
        <w:t>- Finitions</w:t>
      </w:r>
    </w:p>
    <w:p w14:paraId="200713AB" w14:textId="77777777" w:rsidR="00DF410E" w:rsidRDefault="00CE7F43">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4A8A5499"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37DC4461"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18380C11"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39339EF3"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C65A1A7" w14:textId="77777777" w:rsidR="00DF410E" w:rsidRDefault="00DF410E"/>
    <w:p w14:paraId="31F7412F" w14:textId="77777777" w:rsidR="00DF410E" w:rsidRDefault="00CE7F43">
      <w:r>
        <w:t> </w:t>
      </w:r>
    </w:p>
    <w:p w14:paraId="758C86C8" w14:textId="77777777" w:rsidR="00DF410E" w:rsidRDefault="00CE7F43">
      <w:pPr>
        <w:pStyle w:val="pheading"/>
      </w:pPr>
      <w:r>
        <w:t>EXÉCUTION / MISE EN ŒUVRE</w:t>
      </w:r>
    </w:p>
    <w:p w14:paraId="2B1B9746" w14:textId="77777777" w:rsidR="00DF410E" w:rsidRDefault="00CE7F43">
      <w:pPr>
        <w:pStyle w:val="pheading"/>
      </w:pPr>
      <w:r>
        <w:t>- Prescriptions générales</w:t>
      </w:r>
    </w:p>
    <w:p w14:paraId="5C873291" w14:textId="77777777" w:rsidR="00DF410E" w:rsidRDefault="00CE7F43">
      <w:pPr>
        <w:spacing w:line="259" w:lineRule="auto"/>
      </w:pPr>
      <w:r>
        <w:t xml:space="preserve">La maçonnerie est exécutée en appareil </w:t>
      </w:r>
      <w:r>
        <w:rPr>
          <w:rStyle w:val="optioncarChar"/>
        </w:rPr>
        <w:t>d'</w:t>
      </w:r>
      <w:r>
        <w:rPr>
          <w:rStyle w:val="normalChar"/>
          <w:color w:val="FF0000"/>
        </w:rPr>
        <w:t>une demi-bloc / ***</w:t>
      </w:r>
    </w:p>
    <w:p w14:paraId="49ABD238" w14:textId="77777777" w:rsidR="00DF410E" w:rsidRDefault="00CE7F43">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5FAC9D9C" w14:textId="77777777" w:rsidR="00DF410E" w:rsidRDefault="00CE7F43">
      <w:pPr>
        <w:spacing w:line="259" w:lineRule="auto"/>
      </w:pPr>
      <w:r>
        <w:rPr>
          <w:rStyle w:val="normalChar"/>
          <w:color w:val="000000"/>
        </w:rPr>
        <w:t>Les traces d'efflorescence qui apparaîtraient avant la réception provisoire sont</w:t>
      </w:r>
      <w:r>
        <w:rPr>
          <w:color w:val="000000"/>
        </w:rPr>
        <w:t> </w:t>
      </w:r>
      <w:r>
        <w:rPr>
          <w:rStyle w:val="optioncarChar"/>
        </w:rPr>
        <w:t>délavées naturellement par les pluies (par défaut) / nettoyées à l'aide d'un produit approprié</w:t>
      </w:r>
    </w:p>
    <w:p w14:paraId="7C275FC1" w14:textId="77777777" w:rsidR="00DF410E" w:rsidRDefault="00DF410E"/>
    <w:p w14:paraId="0D917982" w14:textId="77777777" w:rsidR="00DF410E" w:rsidRDefault="00CE7F43">
      <w:pPr>
        <w:spacing w:line="259" w:lineRule="auto"/>
      </w:pPr>
      <w:r>
        <w:rPr>
          <w:rStyle w:val="normalChar"/>
          <w:b/>
          <w:color w:val="000000"/>
        </w:rPr>
        <w:t>LINTEAUX</w:t>
      </w:r>
    </w:p>
    <w:p w14:paraId="20EF3696" w14:textId="77777777" w:rsidR="00DF410E" w:rsidRDefault="00DF410E"/>
    <w:p w14:paraId="140DE17A" w14:textId="77777777" w:rsidR="00DF410E" w:rsidRDefault="00CE7F43">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blocs sur chants sans accessoires / ***</w:t>
      </w:r>
    </w:p>
    <w:p w14:paraId="738FB5A5" w14:textId="77777777" w:rsidR="00DF410E" w:rsidRDefault="00CE7F43">
      <w:r>
        <w:rPr>
          <w:b/>
        </w:rPr>
        <w:t>(soit par défaut)</w:t>
      </w:r>
    </w:p>
    <w:p w14:paraId="6B388136" w14:textId="77777777" w:rsidR="00DF410E" w:rsidRDefault="00CE7F43">
      <w:r>
        <w:rPr>
          <w:rStyle w:val="soitChar"/>
          <w:u w:val="single"/>
        </w:rPr>
        <w:t>D'une armature et de crochets de mur</w:t>
      </w:r>
      <w:r>
        <w:rPr>
          <w:rStyle w:val="soitChar"/>
        </w:rPr>
        <w:t>  :</w:t>
      </w:r>
    </w:p>
    <w:p w14:paraId="71C1E1A3" w14:textId="77777777" w:rsidR="00DF410E" w:rsidRDefault="00CE7F43">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blocs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35FA0F25" w14:textId="77777777" w:rsidR="00DF410E" w:rsidRDefault="00CE7F43">
      <w:r>
        <w:rPr>
          <w:b/>
        </w:rPr>
        <w:t>(soit)</w:t>
      </w:r>
    </w:p>
    <w:p w14:paraId="5523CBB1" w14:textId="77777777" w:rsidR="00DF410E" w:rsidRDefault="00CE7F43">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594A298E" w14:textId="77777777" w:rsidR="00DF410E" w:rsidRDefault="00CE7F43">
      <w:r>
        <w:rPr>
          <w:b/>
        </w:rPr>
        <w:t>(soit)</w:t>
      </w:r>
    </w:p>
    <w:p w14:paraId="0D2907C7" w14:textId="77777777" w:rsidR="00DF410E" w:rsidRDefault="00CE7F43">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rPr>
          <w:rStyle w:val="optioncarChar"/>
        </w:rPr>
        <w:t xml:space="preserve">oui / non </w:t>
      </w:r>
      <w:r>
        <w:rPr>
          <w:rStyle w:val="optioncarChar"/>
          <w:color w:val="000000"/>
        </w:rPr>
        <w:t>(par défaut)</w:t>
      </w:r>
    </w:p>
    <w:p w14:paraId="7A1C12F0" w14:textId="77777777" w:rsidR="00DF410E" w:rsidRDefault="00CE7F43">
      <w:r>
        <w:rPr>
          <w:b/>
        </w:rPr>
        <w:t>(soit)</w:t>
      </w:r>
    </w:p>
    <w:p w14:paraId="220F837D" w14:textId="77777777" w:rsidR="00DF410E" w:rsidRDefault="00CE7F43">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8342774" w14:textId="77777777" w:rsidR="00DF410E" w:rsidRDefault="00CE7F43">
      <w:r>
        <w:rPr>
          <w:b/>
        </w:rPr>
        <w:t>(soit)</w:t>
      </w:r>
    </w:p>
    <w:p w14:paraId="13DA6D34" w14:textId="77777777" w:rsidR="00DF410E" w:rsidRDefault="00CE7F43">
      <w:r>
        <w:rPr>
          <w:rStyle w:val="optioncarChar"/>
        </w:rPr>
        <w:t> ***</w:t>
      </w:r>
    </w:p>
    <w:p w14:paraId="3D9C121F" w14:textId="77777777" w:rsidR="00DF410E" w:rsidRDefault="00CE7F43">
      <w:pPr>
        <w:pStyle w:val="pheading"/>
      </w:pPr>
      <w:r>
        <w:t>- Notes d’exécution complémentaires</w:t>
      </w:r>
    </w:p>
    <w:p w14:paraId="27700BE0" w14:textId="77777777" w:rsidR="00DF410E" w:rsidRDefault="00CE7F43">
      <w:r>
        <w:t>En vue du choix définitif des blocs de parement, un ou plusieurs échantillons d'environ 1 m2 sont maçonnés à la demande de l'auteur de projet; les frais inhérents à la construction et à la démolition de ces murs sont à charge de l'entrepreneur.</w:t>
      </w:r>
    </w:p>
    <w:p w14:paraId="10845756" w14:textId="77777777" w:rsidR="00DF410E" w:rsidRDefault="00CE7F43">
      <w:r>
        <w:t xml:space="preserve">• Armatures : selon l'article </w:t>
      </w:r>
      <w:hyperlink w:anchor="355" w:history="1">
        <w:r>
          <w:t>21.41.1 Armatures horizontales pour maçonneries</w:t>
        </w:r>
      </w:hyperlink>
      <w:r>
        <w:t> </w:t>
      </w:r>
    </w:p>
    <w:p w14:paraId="4017323E" w14:textId="77777777" w:rsidR="00DF410E" w:rsidRDefault="00CE7F43">
      <w:r>
        <w:t xml:space="preserve">• Ancrages : selon l'article </w:t>
      </w:r>
      <w:hyperlink w:anchor="362" w:history="1">
        <w:r>
          <w:t>21.42 Ancrages et fixations de maçonneries</w:t>
        </w:r>
      </w:hyperlink>
    </w:p>
    <w:p w14:paraId="54EF509C" w14:textId="77777777" w:rsidR="00DF410E" w:rsidRDefault="00CE7F43">
      <w:r>
        <w:t xml:space="preserve">Blocs spéciaux : </w:t>
      </w:r>
      <w:r>
        <w:rPr>
          <w:rStyle w:val="optioncarChar"/>
        </w:rPr>
        <w:t>***</w:t>
      </w:r>
    </w:p>
    <w:p w14:paraId="7BF45393" w14:textId="77777777" w:rsidR="00DF410E" w:rsidRDefault="00CE7F43">
      <w:r>
        <w:t xml:space="preserve">Étanchéité : </w:t>
      </w:r>
      <w:r>
        <w:rPr>
          <w:rStyle w:val="optioncarChar"/>
        </w:rPr>
        <w:t>***</w:t>
      </w:r>
    </w:p>
    <w:p w14:paraId="6737259C" w14:textId="77777777" w:rsidR="00DF410E" w:rsidRDefault="00CE7F43">
      <w:r>
        <w:t xml:space="preserve">Joints de dilatation : </w:t>
      </w:r>
      <w:r>
        <w:rPr>
          <w:rStyle w:val="optioncarChar"/>
        </w:rPr>
        <w:t>***</w:t>
      </w:r>
    </w:p>
    <w:p w14:paraId="49AAD193" w14:textId="77777777" w:rsidR="00DF410E" w:rsidRDefault="00CE7F43">
      <w:r>
        <w:t>Ce système est prévu pour des constructions de maisons unifamiliales, pour des constructions d’immeubles à appartements (5 niveaux maximum de murs porteurs) et pour des murs de remplissage entre poutres et colonnes</w:t>
      </w:r>
    </w:p>
    <w:p w14:paraId="3936D091" w14:textId="77777777" w:rsidR="00DF410E" w:rsidRDefault="00CE7F43">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06EC0E31" w14:textId="77777777" w:rsidR="00DF410E" w:rsidRDefault="00CE7F43">
      <w:r>
        <w:t xml:space="preserve">Les blocs de béton et de liant hydraulique avec système de dosage automatique de mortier incorporé pour maçonnerie à joint mince sont couverts par une déclaration d'aptitude à l'utilisation conformément à l'article </w:t>
      </w:r>
      <w:hyperlink r:id="rId33" w:history="1" w:docLocation="68">
        <w:r>
          <w:t>02.42.1 Critères d'acceptabilité</w:t>
        </w:r>
      </w:hyperlink>
    </w:p>
    <w:p w14:paraId="28E9142A" w14:textId="77777777" w:rsidR="00DF410E" w:rsidRDefault="00CE7F43">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10B7691A" w14:textId="77777777" w:rsidR="00DF410E" w:rsidRDefault="00CE7F43">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12</w:t>
      </w:r>
      <w:r>
        <w:t> (par défaut)</w:t>
      </w:r>
      <w:r>
        <w:rPr>
          <w:rStyle w:val="optioncarChar"/>
        </w:rPr>
        <w:t xml:space="preserve"> / *** </w:t>
      </w:r>
      <w:r>
        <w:t>mm et de composition moyenne :</w:t>
      </w:r>
    </w:p>
    <w:p w14:paraId="6747B5C0" w14:textId="77777777" w:rsidR="00DF410E" w:rsidRDefault="00CE7F43">
      <w:pPr>
        <w:pStyle w:val="Author-eListParagraph"/>
        <w:numPr>
          <w:ilvl w:val="0"/>
          <w:numId w:val="258"/>
        </w:numPr>
      </w:pPr>
      <w:r>
        <w:t>350kg de ciment de la classe de résistance 52,5 N/mm2,</w:t>
      </w:r>
    </w:p>
    <w:p w14:paraId="45148681" w14:textId="77777777" w:rsidR="00DF410E" w:rsidRDefault="00CE7F43">
      <w:pPr>
        <w:pStyle w:val="Author-eListParagraph"/>
        <w:numPr>
          <w:ilvl w:val="0"/>
          <w:numId w:val="258"/>
        </w:numPr>
      </w:pPr>
      <w:r>
        <w:t>720l à 780l de gravier roulé 4/28,</w:t>
      </w:r>
    </w:p>
    <w:p w14:paraId="3F78D117" w14:textId="77777777" w:rsidR="00DF410E" w:rsidRDefault="00CE7F43">
      <w:pPr>
        <w:pStyle w:val="Author-eListParagraph"/>
        <w:numPr>
          <w:ilvl w:val="0"/>
          <w:numId w:val="258"/>
        </w:numPr>
      </w:pPr>
      <w:r>
        <w:t>380l à 450l de sable pour béton et armés de barres verticales ou horizontales, le cas échéant justifiées par une note de calcul,</w:t>
      </w:r>
    </w:p>
    <w:p w14:paraId="18FA2B1C" w14:textId="77777777" w:rsidR="00DF410E" w:rsidRDefault="00CE7F43">
      <w:pPr>
        <w:pStyle w:val="Author-eListParagraph"/>
        <w:numPr>
          <w:ilvl w:val="0"/>
          <w:numId w:val="258"/>
        </w:numPr>
      </w:pPr>
      <w:r>
        <w:t>170l à 180l d’eau.</w:t>
      </w:r>
    </w:p>
    <w:p w14:paraId="50549D26" w14:textId="77777777" w:rsidR="00DF410E" w:rsidRDefault="00CE7F43">
      <w:r>
        <w:t>Pour les contraintes horizontales particulières (par ex : force du vent) une note de calcul spécifique doit être établie.</w:t>
      </w:r>
    </w:p>
    <w:p w14:paraId="591D9BB0" w14:textId="77777777" w:rsidR="00DF410E" w:rsidRDefault="00CE7F43">
      <w:r>
        <w:t>Sauf indication contraire dans le cahier spécial des charges ou dans l'étude de stabilité, la répartition des charges des planchers, linteaux, poutres, etc. se fait au choix de l'entrepreneur, selon la méthode suivante :</w:t>
      </w:r>
    </w:p>
    <w:p w14:paraId="5FEA8374" w14:textId="77777777" w:rsidR="00DF410E" w:rsidRDefault="00CE7F43">
      <w:pPr>
        <w:pStyle w:val="Author-eListParagraph"/>
        <w:numPr>
          <w:ilvl w:val="0"/>
          <w:numId w:val="259"/>
        </w:numPr>
      </w:pPr>
      <w:r>
        <w:t>en remplissant les éléments creux de béton ou de mortier</w:t>
      </w:r>
    </w:p>
    <w:p w14:paraId="42C1F526" w14:textId="77777777" w:rsidR="00DF410E" w:rsidRDefault="00CE7F43">
      <w:pPr>
        <w:pStyle w:val="Author-eListParagraph"/>
        <w:numPr>
          <w:ilvl w:val="0"/>
          <w:numId w:val="259"/>
        </w:numPr>
      </w:pPr>
      <w:r>
        <w:t>en utilisant des blocs pleins</w:t>
      </w:r>
    </w:p>
    <w:p w14:paraId="25E67DE2" w14:textId="77777777" w:rsidR="00DF410E" w:rsidRDefault="00CE7F43">
      <w:pPr>
        <w:pStyle w:val="Author-eListParagraph"/>
        <w:numPr>
          <w:ilvl w:val="0"/>
          <w:numId w:val="259"/>
        </w:numPr>
      </w:pPr>
      <w:r>
        <w:t>en prévoyant une poutre de ceinture</w:t>
      </w:r>
    </w:p>
    <w:p w14:paraId="16782118" w14:textId="77777777" w:rsidR="00DF410E" w:rsidRDefault="00CE7F43">
      <w:pPr>
        <w:pStyle w:val="Author-eListParagraph"/>
        <w:numPr>
          <w:ilvl w:val="0"/>
          <w:numId w:val="259"/>
        </w:numPr>
      </w:pPr>
      <w:r>
        <w:t>en prévoyant une semelle de renforcement</w:t>
      </w:r>
    </w:p>
    <w:p w14:paraId="199A4EF7" w14:textId="77777777" w:rsidR="00DF410E" w:rsidRDefault="00CE7F43">
      <w:pPr>
        <w:pStyle w:val="Author-eListParagraph"/>
        <w:numPr>
          <w:ilvl w:val="0"/>
          <w:numId w:val="259"/>
        </w:numPr>
      </w:pPr>
      <w:r>
        <w:t>en prévoyant des armatures</w:t>
      </w:r>
    </w:p>
    <w:p w14:paraId="4FD42AE1" w14:textId="77777777" w:rsidR="00DF410E" w:rsidRDefault="00CE7F43">
      <w:r>
        <w:t>Ces blocs ne peuvent pas contenir d'inclusions de fer, ferrugineuses ou de chaux qui risqueraient de provoquer des dégâts en surface.</w:t>
      </w:r>
    </w:p>
    <w:p w14:paraId="197DC8B7" w14:textId="77777777" w:rsidR="00DF410E" w:rsidRDefault="00CE7F43">
      <w:pPr>
        <w:pStyle w:val="pheading"/>
      </w:pPr>
      <w:r>
        <w:t>MESURAGE</w:t>
      </w:r>
    </w:p>
    <w:p w14:paraId="0989D932" w14:textId="77777777" w:rsidR="00DF410E" w:rsidRDefault="00CE7F43">
      <w:pPr>
        <w:pStyle w:val="pheading"/>
      </w:pPr>
      <w:r>
        <w:t>- unité de mesure:</w:t>
      </w:r>
    </w:p>
    <w:p w14:paraId="085DF5EF" w14:textId="77777777" w:rsidR="00DF410E" w:rsidRDefault="00CE7F43">
      <w:r>
        <w:rPr>
          <w:rStyle w:val="optioncarChar"/>
        </w:rPr>
        <w:t>m² </w:t>
      </w:r>
      <w:r>
        <w:rPr>
          <w:rStyle w:val="optioncarChar"/>
          <w:color w:val="000000"/>
        </w:rPr>
        <w:t>(par défaut)</w:t>
      </w:r>
      <w:r>
        <w:rPr>
          <w:rStyle w:val="optioncarChar"/>
        </w:rPr>
        <w:t> / m³</w:t>
      </w:r>
    </w:p>
    <w:p w14:paraId="17B09018" w14:textId="77777777" w:rsidR="00DF410E" w:rsidRDefault="00CE7F43">
      <w:pPr>
        <w:spacing w:after="0" w:line="0" w:lineRule="atLeast"/>
      </w:pPr>
      <w:r>
        <w:rPr>
          <w:b/>
          <w:color w:val="000000"/>
        </w:rPr>
        <w:t>(soit par défaut)</w:t>
      </w:r>
    </w:p>
    <w:p w14:paraId="6B949A05" w14:textId="77777777" w:rsidR="00DF410E" w:rsidRDefault="00CE7F43">
      <w:pPr>
        <w:spacing w:after="0" w:line="0" w:lineRule="atLeast"/>
      </w:pPr>
      <w:r>
        <w:rPr>
          <w:rStyle w:val="soitChar"/>
        </w:rPr>
        <w:t>1. m²</w:t>
      </w:r>
    </w:p>
    <w:p w14:paraId="3EE59F96" w14:textId="77777777" w:rsidR="00DF410E" w:rsidRDefault="00CE7F43">
      <w:pPr>
        <w:spacing w:after="0" w:line="0" w:lineRule="atLeast"/>
      </w:pPr>
      <w:r>
        <w:rPr>
          <w:b/>
          <w:color w:val="000000"/>
        </w:rPr>
        <w:t>(soit)</w:t>
      </w:r>
    </w:p>
    <w:p w14:paraId="0A281B62" w14:textId="77777777" w:rsidR="00DF410E" w:rsidRDefault="00CE7F43">
      <w:pPr>
        <w:spacing w:after="0" w:line="0" w:lineRule="atLeast"/>
      </w:pPr>
      <w:r>
        <w:rPr>
          <w:rStyle w:val="soitChar"/>
        </w:rPr>
        <w:t>2. m³</w:t>
      </w:r>
    </w:p>
    <w:p w14:paraId="3FAF2291" w14:textId="77777777" w:rsidR="00DF410E" w:rsidRDefault="00CE7F43">
      <w:pPr>
        <w:pStyle w:val="pheading"/>
      </w:pPr>
      <w:r>
        <w:t>- code de mesurage:</w:t>
      </w:r>
    </w:p>
    <w:p w14:paraId="3CCDF5B5" w14:textId="77777777" w:rsidR="00DF410E" w:rsidRDefault="00CE7F43">
      <w:pPr>
        <w:spacing w:before="0" w:after="0"/>
      </w:pPr>
      <w:r>
        <w:t>Les maçonneries sont mesurées en fonction de leur forme géométrique.</w:t>
      </w:r>
    </w:p>
    <w:p w14:paraId="44580336"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7F7FFC04" w14:textId="77777777" w:rsidR="00DF410E" w:rsidRDefault="00CE7F43">
      <w:pPr>
        <w:spacing w:before="0" w:after="0"/>
      </w:pPr>
      <w:r>
        <w:t>La coulisse n'est jamais prise en compte.</w:t>
      </w:r>
    </w:p>
    <w:p w14:paraId="6BF417A4" w14:textId="77777777" w:rsidR="00DF410E" w:rsidRDefault="00CE7F43">
      <w:pPr>
        <w:spacing w:after="0" w:line="259" w:lineRule="auto"/>
      </w:pPr>
      <w:r>
        <w:rPr>
          <w:rStyle w:val="normalChar"/>
        </w:rPr>
        <w:t>Les accessoires (linteaux non décrits et non comptés dans un autre poste, attaches,…) sont compris dans le prix.</w:t>
      </w:r>
    </w:p>
    <w:p w14:paraId="0E3BE7E4" w14:textId="77777777" w:rsidR="00DF410E" w:rsidRDefault="00CE7F43">
      <w:pPr>
        <w:spacing w:after="0" w:line="259" w:lineRule="auto"/>
      </w:pPr>
      <w:r>
        <w:rPr>
          <w:rStyle w:val="normalChar"/>
        </w:rPr>
        <w:t>Sont entre-autres décrits et comptés dans un autre poste :</w:t>
      </w:r>
    </w:p>
    <w:p w14:paraId="2B3BCC4D" w14:textId="77777777" w:rsidR="00DF410E" w:rsidRDefault="00CE7F43">
      <w:pPr>
        <w:pStyle w:val="Author-eListParagraph"/>
        <w:numPr>
          <w:ilvl w:val="0"/>
          <w:numId w:val="260"/>
        </w:numPr>
      </w:pPr>
      <w:r>
        <w:rPr>
          <w:rStyle w:val="normalChar"/>
        </w:rPr>
        <w:t xml:space="preserve">Les linteaux apparents en béton, pierre reconstituée et en pierre sont décrits et comptés en </w:t>
      </w:r>
      <w:hyperlink w:anchor="400" w:history="1">
        <w:r>
          <w:rPr>
            <w:rStyle w:val="normalChar"/>
          </w:rPr>
          <w:t>21.36.3 Linteaux</w:t>
        </w:r>
      </w:hyperlink>
    </w:p>
    <w:p w14:paraId="301981D6" w14:textId="77777777" w:rsidR="00DF410E" w:rsidRDefault="00CE7F43">
      <w:pPr>
        <w:pStyle w:val="Author-eListParagraph"/>
        <w:numPr>
          <w:ilvl w:val="0"/>
          <w:numId w:val="260"/>
        </w:numPr>
      </w:pPr>
      <w:r>
        <w:rPr>
          <w:rStyle w:val="normalChar"/>
        </w:rPr>
        <w:t xml:space="preserve">Les linteaux apparents en acier sont décrits et comptés en </w:t>
      </w:r>
      <w:hyperlink w:anchor="401" w:history="1">
        <w:r>
          <w:rPr>
            <w:rStyle w:val="normalChar"/>
          </w:rPr>
          <w:t>23.13 Linteaux métalliques</w:t>
        </w:r>
      </w:hyperlink>
      <w:r>
        <w:rPr>
          <w:rStyle w:val="normalChar"/>
        </w:rPr>
        <w:t xml:space="preserve">. </w:t>
      </w:r>
    </w:p>
    <w:p w14:paraId="5D96BCBE" w14:textId="77777777" w:rsidR="00DF410E" w:rsidRDefault="00CE7F43">
      <w:pPr>
        <w:pStyle w:val="Author-eListParagraph"/>
        <w:numPr>
          <w:ilvl w:val="0"/>
          <w:numId w:val="260"/>
        </w:numPr>
      </w:pPr>
      <w:r>
        <w:rPr>
          <w:rStyle w:val="normalChar"/>
        </w:rPr>
        <w:t xml:space="preserve">Les linteaux apparents en bois sont décrits et comptés en </w:t>
      </w:r>
      <w:hyperlink w:anchor="402" w:history="1">
        <w:r>
          <w:rPr>
            <w:rStyle w:val="normalChar"/>
          </w:rPr>
          <w:t>24.13 Poutres et barres en bois</w:t>
        </w:r>
      </w:hyperlink>
      <w:r>
        <w:rPr>
          <w:rStyle w:val="normalChar"/>
        </w:rPr>
        <w:t>.</w:t>
      </w:r>
    </w:p>
    <w:p w14:paraId="7AD3A23B"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2403B024" w14:textId="77777777" w:rsidR="00DF410E" w:rsidRDefault="00CE7F43">
      <w:pPr>
        <w:spacing w:after="0" w:line="252" w:lineRule="auto"/>
      </w:pPr>
      <w:r>
        <w:rPr>
          <w:b/>
          <w:color w:val="000000"/>
        </w:rPr>
        <w:t>(soit par défaut)</w:t>
      </w:r>
    </w:p>
    <w:p w14:paraId="3C890E8C" w14:textId="77777777" w:rsidR="00DF410E" w:rsidRDefault="00CE7F43">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0FFF6E9" w14:textId="77777777" w:rsidR="00DF410E" w:rsidRDefault="00CE7F43">
      <w:pPr>
        <w:spacing w:after="0" w:line="252" w:lineRule="auto"/>
      </w:pPr>
      <w:r>
        <w:rPr>
          <w:rStyle w:val="soitChar"/>
        </w:rPr>
        <w:t>Distinction faite suivant l'épaisseur.</w:t>
      </w:r>
    </w:p>
    <w:p w14:paraId="26B0319F" w14:textId="77777777" w:rsidR="00DF410E" w:rsidRDefault="00CE7F43">
      <w:pPr>
        <w:spacing w:line="252" w:lineRule="auto"/>
      </w:pPr>
      <w:r>
        <w:rPr>
          <w:b/>
          <w:color w:val="000000"/>
        </w:rPr>
        <w:t>(soit)</w:t>
      </w:r>
    </w:p>
    <w:p w14:paraId="506C66AB"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9AB9A04"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77407ADE" w14:textId="77777777" w:rsidR="00DF410E" w:rsidRDefault="00CE7F43">
      <w:pPr>
        <w:pStyle w:val="pheading"/>
      </w:pPr>
      <w:r>
        <w:t>- nature du marché:</w:t>
      </w:r>
    </w:p>
    <w:p w14:paraId="7FB69AAB" w14:textId="77777777" w:rsidR="00DF410E" w:rsidRDefault="00CE7F43">
      <w:r>
        <w:t>QF</w:t>
      </w:r>
    </w:p>
    <w:p w14:paraId="1B58946D" w14:textId="77777777" w:rsidR="00DF410E" w:rsidRDefault="00CE7F43">
      <w:pPr>
        <w:pStyle w:val="Author-eSectionHeading5"/>
      </w:pPr>
      <w:bookmarkStart w:id="266" w:name="_Toc178837496"/>
      <w:r>
        <w:t>21.32.3 Maçonneries de parement en blocs de silico-calcaire CCTB 01.04</w:t>
      </w:r>
      <w:bookmarkEnd w:id="266"/>
    </w:p>
    <w:p w14:paraId="3042C847" w14:textId="77777777" w:rsidR="00DF410E" w:rsidRDefault="00CE7F43">
      <w:pPr>
        <w:pStyle w:val="Author-eSectionHeading6"/>
      </w:pPr>
      <w:bookmarkStart w:id="267" w:name="_Toc178837497"/>
      <w:r>
        <w:t>21.32.3a Maçonneries de parement en blocs de silico-calcaire pleins à maçonner CCTB 01.04</w:t>
      </w:r>
      <w:bookmarkEnd w:id="267"/>
    </w:p>
    <w:p w14:paraId="0D0A2BDB" w14:textId="77777777" w:rsidR="00DF410E" w:rsidRDefault="00CE7F43">
      <w:pPr>
        <w:pStyle w:val="Author-eSectionHeading6"/>
      </w:pPr>
      <w:bookmarkStart w:id="268" w:name="_Toc178837498"/>
      <w:r>
        <w:t>21.32.3b Maçonneries de parement en blocs de silico-calcaire pleins à coller CCTB 01.11</w:t>
      </w:r>
      <w:bookmarkEnd w:id="268"/>
    </w:p>
    <w:p w14:paraId="5A411ECA" w14:textId="77777777" w:rsidR="00DF410E" w:rsidRDefault="00CE7F43">
      <w:pPr>
        <w:pStyle w:val="Author-eSectionHeading6"/>
      </w:pPr>
      <w:bookmarkStart w:id="269" w:name="_Toc178837499"/>
      <w:r>
        <w:t>21.32.3c Maçonneries de parement en blocs de silico-calcaire creux à coller CCTB 01.04</w:t>
      </w:r>
      <w:bookmarkEnd w:id="269"/>
    </w:p>
    <w:p w14:paraId="0F4707FF" w14:textId="77777777" w:rsidR="00DF410E" w:rsidRDefault="00CE7F43">
      <w:pPr>
        <w:pStyle w:val="Author-eSectionHeading6"/>
      </w:pPr>
      <w:bookmarkStart w:id="270" w:name="_Toc178837500"/>
      <w:r>
        <w:t>21.32.3d Maçonneries de parement en blocs de silico-calcaire apparents à coller avec chanfreins CCTB 01.04</w:t>
      </w:r>
      <w:bookmarkEnd w:id="270"/>
    </w:p>
    <w:p w14:paraId="330A8898" w14:textId="77777777" w:rsidR="00DF410E" w:rsidRDefault="00CE7F43">
      <w:pPr>
        <w:pStyle w:val="Author-eSectionHeading4"/>
      </w:pPr>
      <w:bookmarkStart w:id="271" w:name="_Toc178837501"/>
      <w:r>
        <w:t>21.33 Maçonneries de parement en pierre CCTB 01.02</w:t>
      </w:r>
      <w:bookmarkEnd w:id="271"/>
    </w:p>
    <w:p w14:paraId="36270995" w14:textId="77777777" w:rsidR="00DF410E" w:rsidRDefault="00CE7F43">
      <w:pPr>
        <w:pStyle w:val="Author-eSectionHeading5"/>
      </w:pPr>
      <w:bookmarkStart w:id="272" w:name="462"/>
      <w:bookmarkStart w:id="273" w:name="_Toc178837502"/>
      <w:bookmarkEnd w:id="272"/>
      <w:r>
        <w:t>21.33.1 Maçonneries de parement en pierre de taille CCTB 01.04</w:t>
      </w:r>
      <w:bookmarkEnd w:id="273"/>
    </w:p>
    <w:p w14:paraId="12A77538" w14:textId="77777777" w:rsidR="00DF410E" w:rsidRDefault="00CE7F43">
      <w:pPr>
        <w:pStyle w:val="Author-eSectionHeading6"/>
      </w:pPr>
      <w:bookmarkStart w:id="274" w:name="_Toc178837503"/>
      <w:r>
        <w:t>21.33.1a Maçonneries de parement en petit granit - pierre bleue CCTB 01.11</w:t>
      </w:r>
      <w:bookmarkEnd w:id="274"/>
    </w:p>
    <w:p w14:paraId="3D48A1E3" w14:textId="77777777" w:rsidR="00DF410E" w:rsidRDefault="00CE7F43">
      <w:pPr>
        <w:pStyle w:val="pheading"/>
      </w:pPr>
      <w:r>
        <w:t>DESCRIPTION</w:t>
      </w:r>
    </w:p>
    <w:p w14:paraId="26775250" w14:textId="77777777" w:rsidR="00DF410E" w:rsidRDefault="00CE7F43">
      <w:pPr>
        <w:pStyle w:val="pheading"/>
      </w:pPr>
      <w:r>
        <w:t>- Définition / Comprend</w:t>
      </w:r>
    </w:p>
    <w:p w14:paraId="4A9DA087" w14:textId="77777777" w:rsidR="00DF410E" w:rsidRDefault="00CE7F43">
      <w:r>
        <w:t>Il s'agit des prescriptions en ce qui concerne les qualités du matériau et le travail des pierres de taille, selon la stéréotomie des pierres, détaillée ou non, qui détermine respectivement la forme, les dimensions et la finition des pierres.</w:t>
      </w:r>
    </w:p>
    <w:p w14:paraId="1C24303D" w14:textId="77777777" w:rsidR="00DF410E" w:rsidRDefault="00CE7F43">
      <w:r>
        <w:t>Ce poste comprend les blocs en pierre bleue à intégrer dans la maçonnerie, les éléments d'angle, de terminaison et de rencontre, les colonnes, bordures, linteaux, seuils, pierres de couverture, encadrements, etc. dont le profil doit être décrit.</w:t>
      </w:r>
    </w:p>
    <w:p w14:paraId="335B5BCB" w14:textId="77777777" w:rsidR="00DF410E" w:rsidRDefault="00CE7F43">
      <w:r>
        <w:t>Des prescriptions particulières sont établies pour :</w:t>
      </w:r>
    </w:p>
    <w:p w14:paraId="52DD4719" w14:textId="77777777" w:rsidR="00DF410E" w:rsidRDefault="00CE7F43">
      <w:pPr>
        <w:pStyle w:val="Author-eListParagraph"/>
        <w:numPr>
          <w:ilvl w:val="0"/>
          <w:numId w:val="261"/>
        </w:numPr>
      </w:pPr>
      <w:r>
        <w:t>les parements en pierre de taille,</w:t>
      </w:r>
    </w:p>
    <w:p w14:paraId="0DFD6772" w14:textId="77777777" w:rsidR="00DF410E" w:rsidRDefault="00CE7F43">
      <w:pPr>
        <w:pStyle w:val="Author-eListParagraph"/>
        <w:numPr>
          <w:ilvl w:val="0"/>
          <w:numId w:val="261"/>
        </w:numPr>
      </w:pPr>
      <w:r>
        <w:t>l'exécution des plinthes,</w:t>
      </w:r>
    </w:p>
    <w:p w14:paraId="4D764054" w14:textId="77777777" w:rsidR="00DF410E" w:rsidRDefault="00CE7F43">
      <w:pPr>
        <w:pStyle w:val="Author-eListParagraph"/>
        <w:numPr>
          <w:ilvl w:val="0"/>
          <w:numId w:val="261"/>
        </w:numPr>
      </w:pPr>
      <w:r>
        <w:t>l'exécution des revêtements verticaux extérieurs en minces plaques de pierre naturelle</w:t>
      </w:r>
    </w:p>
    <w:p w14:paraId="4C8EAE08" w14:textId="77777777" w:rsidR="00DF410E" w:rsidRDefault="00CE7F43">
      <w:pPr>
        <w:pStyle w:val="Author-eListParagraph"/>
        <w:numPr>
          <w:ilvl w:val="0"/>
          <w:numId w:val="261"/>
        </w:numPr>
      </w:pPr>
      <w:r>
        <w:t xml:space="preserve">les pièces spécifiques de section ou de forme fixe ou les profils non décrits tels que les seuils </w:t>
      </w:r>
    </w:p>
    <w:p w14:paraId="18B748BE" w14:textId="77777777" w:rsidR="00DF410E" w:rsidRDefault="00CE7F43">
      <w:r>
        <w:t>On distingue plusieurs catégories de qualité (voir [NIT 220] ) : </w:t>
      </w:r>
    </w:p>
    <w:p w14:paraId="4A6E60B6" w14:textId="77777777" w:rsidR="00DF410E" w:rsidRDefault="00CE7F43">
      <w:pPr>
        <w:pStyle w:val="Author-eListParagraph"/>
        <w:numPr>
          <w:ilvl w:val="0"/>
          <w:numId w:val="262"/>
        </w:numPr>
      </w:pPr>
      <w:r>
        <w:t xml:space="preserve">Catégorie bâtiment exceptionnel </w:t>
      </w:r>
    </w:p>
    <w:p w14:paraId="07810F18" w14:textId="77777777" w:rsidR="00DF410E" w:rsidRDefault="00CE7F43">
      <w:pPr>
        <w:pStyle w:val="Author-eListParagraph"/>
        <w:numPr>
          <w:ilvl w:val="0"/>
          <w:numId w:val="262"/>
        </w:numPr>
      </w:pPr>
      <w:r>
        <w:t xml:space="preserve">Catégorie bâtiment courant </w:t>
      </w:r>
    </w:p>
    <w:p w14:paraId="7D2CD18C" w14:textId="77777777" w:rsidR="00DF410E" w:rsidRDefault="00CE7F43">
      <w:pPr>
        <w:pStyle w:val="Author-eListParagraph"/>
        <w:numPr>
          <w:ilvl w:val="0"/>
          <w:numId w:val="262"/>
        </w:numPr>
      </w:pPr>
      <w:r>
        <w:t>Catégorie technique</w:t>
      </w:r>
    </w:p>
    <w:p w14:paraId="3B6FF327" w14:textId="77777777" w:rsidR="00DF410E" w:rsidRDefault="00CE7F43">
      <w:pPr>
        <w:pStyle w:val="pheading"/>
      </w:pPr>
      <w:r>
        <w:t>MATÉRIAUX</w:t>
      </w:r>
    </w:p>
    <w:p w14:paraId="50CFEC6B" w14:textId="77777777" w:rsidR="00DF410E" w:rsidRDefault="00CE7F43">
      <w:pPr>
        <w:pStyle w:val="pheading"/>
      </w:pPr>
      <w:r>
        <w:t>- Caractéristiques générales</w:t>
      </w:r>
    </w:p>
    <w:p w14:paraId="53ADA920" w14:textId="77777777" w:rsidR="00DF410E" w:rsidRDefault="00CE7F43">
      <w:pPr>
        <w:pStyle w:val="heading"/>
      </w:pPr>
      <w:r>
        <w:t>qualité de la pierre</w:t>
      </w:r>
    </w:p>
    <w:p w14:paraId="483E0BD0" w14:textId="77777777" w:rsidR="00DF410E" w:rsidRDefault="00CE7F43">
      <w:r>
        <w:t>La pierre bleue, pierre calcaire crinoïdique aussi appelée "Petit Granit", répond aux prescriptions de la [NIT 220]. Les pierres ont un poids spécifique de 2700 kg/m³ et une dureté minéralogique de 3 sur l'échelle de Mohs. Le lieu d'origine (la carrière) est préalablement soumis à l'approbation de l'auteur de projet.</w:t>
      </w:r>
    </w:p>
    <w:p w14:paraId="0F580694" w14:textId="77777777" w:rsidR="00DF410E" w:rsidRDefault="00CE7F43">
      <w:r>
        <w:t>Toutes les pierres sont exemptes de défauts de nature à compromettre leur bonne tenue dans le temps et à entraver leur utilisation. Les pierres sont saines, sonnent clair sous le coup d'un marteau de fer et sont ingélives. Elles sont débarrassées de toute gangue ou terre, ébousinées à vif et parfaitement nettoyées. Elles sont exemptes de toutes souillures comme les taches de graisse, d'huile, rouille, etc. Les pierres mises en œuvre dans une même partie d'un bâtiment ne différent pas de teinte entre elles.</w:t>
      </w:r>
    </w:p>
    <w:p w14:paraId="3F011157" w14:textId="77777777" w:rsidR="00DF410E" w:rsidRDefault="00CE7F43">
      <w:r>
        <w:t>Les pierres dont l'aspect présente les caractéristiques suivantes sont refusées :</w:t>
      </w:r>
    </w:p>
    <w:p w14:paraId="27030B93" w14:textId="77777777" w:rsidR="00DF410E" w:rsidRDefault="00CE7F43">
      <w:pPr>
        <w:pStyle w:val="Author-eListParagraph"/>
        <w:numPr>
          <w:ilvl w:val="0"/>
          <w:numId w:val="263"/>
        </w:numPr>
      </w:pPr>
      <w:r>
        <w:t>des zones de structure schisteuse ou hétérogène;</w:t>
      </w:r>
    </w:p>
    <w:p w14:paraId="3ADFDF7E" w14:textId="77777777" w:rsidR="00DF410E" w:rsidRDefault="00CE7F43">
      <w:pPr>
        <w:pStyle w:val="Author-eListParagraph"/>
        <w:numPr>
          <w:ilvl w:val="0"/>
          <w:numId w:val="263"/>
        </w:numPr>
      </w:pPr>
      <w:r>
        <w:t>des cavités;</w:t>
      </w:r>
    </w:p>
    <w:p w14:paraId="398DBD7D" w14:textId="77777777" w:rsidR="00DF410E" w:rsidRDefault="00CE7F43">
      <w:pPr>
        <w:pStyle w:val="Author-eListParagraph"/>
        <w:numPr>
          <w:ilvl w:val="0"/>
          <w:numId w:val="263"/>
        </w:numPr>
      </w:pPr>
      <w:r>
        <w:t>des fissures, des fils ou limés blancs qui retiennent ou ne retiennent pas l'eau et sont situés dans un parement;</w:t>
      </w:r>
    </w:p>
    <w:p w14:paraId="0DAB40A6" w14:textId="77777777" w:rsidR="00DF410E" w:rsidRDefault="00CE7F43">
      <w:pPr>
        <w:pStyle w:val="Author-eListParagraph"/>
        <w:numPr>
          <w:ilvl w:val="0"/>
          <w:numId w:val="263"/>
        </w:numPr>
      </w:pPr>
      <w:r>
        <w:t>des stylolites retenant ou ne retenant pas l'eau, mais qui sont situés à moins de 2 cm d'une face saillante rejointoyée, à moins de 4 cm d'une arête saillante non rejointoyée ou dans les faces de parement visibles ou non des plaques minces (moins de 5 cm d'épaisseur);</w:t>
      </w:r>
    </w:p>
    <w:p w14:paraId="7DDBEAC8" w14:textId="77777777" w:rsidR="00DF410E" w:rsidRDefault="00CE7F43">
      <w:pPr>
        <w:pStyle w:val="Author-eListParagraph"/>
        <w:numPr>
          <w:ilvl w:val="0"/>
          <w:numId w:val="263"/>
        </w:numPr>
      </w:pPr>
      <w:r>
        <w:t>des limés noirs lorsqu'ils retiennent l'eau;</w:t>
      </w:r>
    </w:p>
    <w:p w14:paraId="78CAE99F" w14:textId="77777777" w:rsidR="00DF410E" w:rsidRDefault="00CE7F43">
      <w:pPr>
        <w:pStyle w:val="Author-eListParagraph"/>
        <w:numPr>
          <w:ilvl w:val="0"/>
          <w:numId w:val="263"/>
        </w:numPr>
      </w:pPr>
      <w:r>
        <w:t>de taches blanches d'une superficie supérieure à 1 dm</w:t>
      </w:r>
      <w:r>
        <w:rPr>
          <w:vertAlign w:val="superscript"/>
        </w:rPr>
        <w:t>2</w:t>
      </w:r>
      <w:r>
        <w:t xml:space="preserve"> ou d'une superficie supérieure à 20 % de la face de parement visible de la pierre;</w:t>
      </w:r>
    </w:p>
    <w:p w14:paraId="1B71796B" w14:textId="77777777" w:rsidR="00DF410E" w:rsidRDefault="00CE7F43">
      <w:pPr>
        <w:pStyle w:val="Author-eListParagraph"/>
        <w:numPr>
          <w:ilvl w:val="0"/>
          <w:numId w:val="263"/>
        </w:numPr>
      </w:pPr>
      <w:r>
        <w:t>des parties tendres et des fossiles non adhérents.</w:t>
      </w:r>
    </w:p>
    <w:p w14:paraId="6B4BACB3" w14:textId="77777777" w:rsidR="00DF410E" w:rsidRDefault="00CE7F43">
      <w:r>
        <w:t>Il est interdit d'utiliser un mastic ou toute autre pâte de jointoiement pour cacher les défauts.</w:t>
      </w:r>
    </w:p>
    <w:p w14:paraId="512D3D05" w14:textId="77777777" w:rsidR="00DF410E" w:rsidRDefault="00CE7F43">
      <w:pPr>
        <w:pStyle w:val="pheading"/>
      </w:pPr>
      <w:r>
        <w:t>- Finitions</w:t>
      </w:r>
    </w:p>
    <w:p w14:paraId="4F8ADB88" w14:textId="77777777" w:rsidR="00DF410E" w:rsidRDefault="00CE7F43">
      <w:r>
        <w:t xml:space="preserve">Les tailles et finitions suivantes, même combinées entre elles, peuvent être appliquées : </w:t>
      </w:r>
      <w:r>
        <w:rPr>
          <w:rStyle w:val="optioncarChar"/>
        </w:rPr>
        <w:t>ciselé - gradiné - sbattu - sbattu gros - bouchardé fin - bouchardé gros - sclypé - taille ancienne mécanique - taille ancienne manuelle - brut ou clivé - meulé gris (poncé) - adouci bleu - adouci foncé ou poli mat - poli brillant - flammé.</w:t>
      </w:r>
    </w:p>
    <w:p w14:paraId="1D14CDC5" w14:textId="77777777" w:rsidR="00DF410E" w:rsidRDefault="00CE7F43">
      <w:r>
        <w:t>D’autres finitions et combinaisons précisées par l’auteur de projet peuvent être mises en œuvre.</w:t>
      </w:r>
    </w:p>
    <w:p w14:paraId="4226BE7B" w14:textId="77777777" w:rsidR="00DF410E" w:rsidRDefault="00CE7F43">
      <w:pPr>
        <w:pStyle w:val="pheading"/>
      </w:pPr>
      <w:r>
        <w:t>- Prescriptions complémentaires</w:t>
      </w:r>
    </w:p>
    <w:p w14:paraId="63664C33" w14:textId="77777777" w:rsidR="00DF410E" w:rsidRDefault="00CE7F43">
      <w:r>
        <w:rPr>
          <w:u w:val="single"/>
        </w:rPr>
        <w:t xml:space="preserve">COMPOSITION - retouche des imperfections </w:t>
      </w:r>
    </w:p>
    <w:p w14:paraId="6686205C" w14:textId="77777777" w:rsidR="00DF410E" w:rsidRDefault="00CE7F43">
      <w:r>
        <w:t>Dans certains cas exceptionnels et conformément aux dispositions du cahier spécial des charges (par ex. pour les seuils de fenêtres) l'assemblage des pierres par collage est autorisé. Le cas échéant, l'entrepreneur doit, à la demande de l'auteur de projet, fournir toutes les références et les croquis. L'assemblage des pierres par collage est régi par les prescriptions de la [NIT 148] .</w:t>
      </w:r>
    </w:p>
    <w:p w14:paraId="42944F79" w14:textId="77777777" w:rsidR="00DF410E" w:rsidRDefault="00CE7F43">
      <w:r>
        <w:rPr>
          <w:rStyle w:val="optioncarChar"/>
        </w:rPr>
        <w:t> </w:t>
      </w:r>
    </w:p>
    <w:p w14:paraId="4EB9BDEE" w14:textId="77777777" w:rsidR="00DF410E" w:rsidRDefault="00CE7F43">
      <w:r>
        <w:t>Les singularités dans la face de parement peuvent être retouchées dans la mesure où il n'y a aucun risque que la zone restaurée ne subisse des dégradations et à condition que le produit de ragréage soit presque aussi dur que la pierre, que la couleur du mastic soit choisie sur présentation de trois échantillons de référence, qu'elle ne subisse pas d'altérations qui soient visibles à plus de 1,5 m de distance à l'intérieur lorsque le mastic est appliqué pour les murs et les sols et à plus de 3 m pour les applications à l'extérieur, sur les façades ou les sols. Les altérations de couleur suite à une forme de pollution externe à la pierre ne sont pas prises en considération, ni pour la pierre, ni pour le masticage.</w:t>
      </w:r>
    </w:p>
    <w:p w14:paraId="46B83FA8" w14:textId="77777777" w:rsidR="00DF410E" w:rsidRDefault="00CE7F43">
      <w:pPr>
        <w:pStyle w:val="pheading"/>
      </w:pPr>
      <w:r>
        <w:t>EXÉCUTION / MISE EN ŒUVRE</w:t>
      </w:r>
    </w:p>
    <w:p w14:paraId="256EF4F6" w14:textId="77777777" w:rsidR="00DF410E" w:rsidRDefault="00CE7F43">
      <w:pPr>
        <w:pStyle w:val="pheading"/>
      </w:pPr>
      <w:r>
        <w:t>- Prescriptions générales</w:t>
      </w:r>
    </w:p>
    <w:p w14:paraId="2CB84E8B" w14:textId="77777777" w:rsidR="00DF410E" w:rsidRDefault="00CE7F43">
      <w:r>
        <w:rPr>
          <w:u w:val="single"/>
        </w:rPr>
        <w:t>Travail de la pierre</w:t>
      </w:r>
    </w:p>
    <w:p w14:paraId="35AA07C8" w14:textId="77777777" w:rsidR="00DF410E" w:rsidRDefault="00CE7F43">
      <w:r>
        <w:t>Les pierres de taille doivent être exécutées d'aplomb, d'équerre et de la façon la plus plane possible. Les faces de parement présentent des arêtes droites sans épaufrures ou écornures. Les pierres ciselées sont toutes posées avec le ciselage dans le même sens. Le mode de ciselage est indiqué à l'article spécifique.</w:t>
      </w:r>
    </w:p>
    <w:p w14:paraId="56F962F7" w14:textId="77777777" w:rsidR="00DF410E" w:rsidRDefault="00CE7F43">
      <w:r>
        <w:rPr>
          <w:u w:val="single"/>
        </w:rPr>
        <w:t>Pose</w:t>
      </w:r>
    </w:p>
    <w:p w14:paraId="3856795E" w14:textId="77777777" w:rsidR="00DF410E" w:rsidRDefault="00CE7F43">
      <w:r>
        <w:t>Les faces de pose et des joints sont bien lissées dans le plan du parement.</w:t>
      </w:r>
    </w:p>
    <w:p w14:paraId="687AEA9B" w14:textId="77777777" w:rsidR="00DF410E" w:rsidRDefault="00CE7F43">
      <w:r>
        <w:t>Les dimensions des faces de dos doivent correspondre pour au moins 90% aux dimensions correspondantes de la face de parement opposée.</w:t>
      </w:r>
    </w:p>
    <w:p w14:paraId="4E8725E2" w14:textId="77777777" w:rsidR="00DF410E" w:rsidRDefault="00CE7F43">
      <w:r>
        <w:t>Les moulures sont égalisées sur toutes les faces de pose sans aucun rétrécissement.</w:t>
      </w:r>
    </w:p>
    <w:p w14:paraId="31C52652" w14:textId="77777777" w:rsidR="00DF410E" w:rsidRDefault="00CE7F43">
      <w:r>
        <w:t>Toutes les précautions sont prises pour que les pierres de taille aient et conservent un aspect soigné et propre.</w:t>
      </w:r>
    </w:p>
    <w:p w14:paraId="735BDBBF" w14:textId="77777777" w:rsidR="00DF410E" w:rsidRDefault="00CE7F43">
      <w:pPr>
        <w:pStyle w:val="pheading"/>
      </w:pPr>
      <w:r>
        <w:t>- Notes d’exécution complémentaires</w:t>
      </w:r>
    </w:p>
    <w:p w14:paraId="260A24ED" w14:textId="77777777" w:rsidR="00DF410E" w:rsidRDefault="00CE7F43">
      <w:r>
        <w:t>Les ouvrages en pierre de taille sont érigés selon les dessins de détail réalisés par l'auteur de projet.</w:t>
      </w:r>
    </w:p>
    <w:p w14:paraId="6E37595C" w14:textId="77777777" w:rsidR="00DF410E" w:rsidRDefault="00CE7F43">
      <w:pPr>
        <w:pStyle w:val="pheading"/>
      </w:pPr>
      <w:r>
        <w:t>CONTRÔLES PARTICULIERS</w:t>
      </w:r>
    </w:p>
    <w:p w14:paraId="5C6C0047" w14:textId="77777777" w:rsidR="00DF410E" w:rsidRDefault="00CE7F43">
      <w:r>
        <w:t>Toute pierre qui est fêlée, écornée ou dont les arêtes sont épaufrées est refusée et remplacée par et aux frais de l'entrepreneur. Les pierres écornées ou dont les arêtes ont été épaufrées au cours des transports, manutentions et travaux, ne sont pas posées en parement et sont remplacées aux frais de l'entrepreneur.</w:t>
      </w:r>
    </w:p>
    <w:p w14:paraId="36538653" w14:textId="77777777" w:rsidR="00DF410E" w:rsidRDefault="00CE7F43">
      <w:pPr>
        <w:pStyle w:val="pheading"/>
      </w:pPr>
      <w:r>
        <w:t>MESURAGE</w:t>
      </w:r>
    </w:p>
    <w:p w14:paraId="3D54F286" w14:textId="77777777" w:rsidR="00DF410E" w:rsidRDefault="00CE7F43">
      <w:pPr>
        <w:pStyle w:val="pheading"/>
      </w:pPr>
      <w:r>
        <w:t>- unité de mesure:</w:t>
      </w:r>
    </w:p>
    <w:p w14:paraId="7EE8C662" w14:textId="77777777" w:rsidR="00DF410E" w:rsidRDefault="00CE7F43">
      <w:r>
        <w:rPr>
          <w:rStyle w:val="optioncarChar"/>
        </w:rPr>
        <w:t>m² </w:t>
      </w:r>
      <w:r>
        <w:t>(par défaut)</w:t>
      </w:r>
      <w:r>
        <w:rPr>
          <w:rStyle w:val="optioncarChar"/>
        </w:rPr>
        <w:t> / m³</w:t>
      </w:r>
    </w:p>
    <w:p w14:paraId="430F9749" w14:textId="77777777" w:rsidR="00DF410E" w:rsidRDefault="00CE7F43">
      <w:r>
        <w:rPr>
          <w:b/>
        </w:rPr>
        <w:t>(soit par défaut)</w:t>
      </w:r>
    </w:p>
    <w:p w14:paraId="482BA4C2" w14:textId="77777777" w:rsidR="00DF410E" w:rsidRDefault="00CE7F43">
      <w:r>
        <w:rPr>
          <w:rStyle w:val="soitChar"/>
        </w:rPr>
        <w:t>1. m²</w:t>
      </w:r>
    </w:p>
    <w:p w14:paraId="4D5C8D21" w14:textId="77777777" w:rsidR="00DF410E" w:rsidRDefault="00CE7F43">
      <w:r>
        <w:rPr>
          <w:b/>
        </w:rPr>
        <w:t>(soit)</w:t>
      </w:r>
    </w:p>
    <w:p w14:paraId="729EFEFB" w14:textId="77777777" w:rsidR="00DF410E" w:rsidRDefault="00CE7F43">
      <w:r>
        <w:rPr>
          <w:rStyle w:val="soitChar"/>
        </w:rPr>
        <w:t>2. m³</w:t>
      </w:r>
    </w:p>
    <w:p w14:paraId="58A8D4C6" w14:textId="77777777" w:rsidR="00DF410E" w:rsidRDefault="00CE7F43">
      <w:pPr>
        <w:pStyle w:val="pheading"/>
      </w:pPr>
      <w:r>
        <w:t>- code de mesurage:</w:t>
      </w:r>
    </w:p>
    <w:p w14:paraId="5FF797DB" w14:textId="77777777" w:rsidR="00DF410E" w:rsidRDefault="00CE7F43">
      <w:r>
        <w:t>Les maçonneries sont mesurées en fonction de leur forme géométrique.</w:t>
      </w:r>
    </w:p>
    <w:p w14:paraId="388983ED" w14:textId="77777777" w:rsidR="00DF410E" w:rsidRDefault="00CE7F43">
      <w:r>
        <w:t>Si les maçonneries sont métrées en m², les quantités sont groupées selon leur épaisseur.</w:t>
      </w:r>
    </w:p>
    <w:p w14:paraId="0E96ECFF"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4F0EBA91" w14:textId="77777777" w:rsidR="00DF410E" w:rsidRDefault="00CE7F43">
      <w:r>
        <w:t>Les ébrasements des ouvertures et des baies de fenêtres ainsi que la face inférieure des linteaux ne sont comptés (en surface nette) que lorsque leur largeur est supérieure à celle des pierres de façade.</w:t>
      </w:r>
    </w:p>
    <w:p w14:paraId="031834E8" w14:textId="77777777" w:rsidR="00DF410E" w:rsidRDefault="00CE7F43">
      <w:r>
        <w:t>La coulisse n'est jamais prise en compte.</w:t>
      </w:r>
    </w:p>
    <w:p w14:paraId="52B24ECB" w14:textId="77777777" w:rsidR="00DF410E" w:rsidRDefault="00CE7F43">
      <w:r>
        <w:t>Pour un mesurage en m³, la longueur des murs est mesurée dans l'axe de l'élément ; à l’intersection de deux murs, seul le mur le plus épais est considéré. Aucun volume n'est compté deux fois.</w:t>
      </w:r>
    </w:p>
    <w:p w14:paraId="1D85A987"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BC55A1D" w14:textId="77777777" w:rsidR="00DF410E" w:rsidRDefault="00CE7F43">
      <w:r>
        <w:br/>
      </w:r>
      <w:r>
        <w:rPr>
          <w:rStyle w:val="optioncarChar"/>
        </w:rPr>
        <w:t>Surface nette  </w:t>
      </w:r>
      <w:r>
        <w:t>(par défaut)</w:t>
      </w:r>
      <w:r>
        <w:rPr>
          <w:rStyle w:val="optioncarChar"/>
        </w:rPr>
        <w:t> / Volume net</w:t>
      </w:r>
    </w:p>
    <w:p w14:paraId="4D1EDB9B" w14:textId="77777777" w:rsidR="00DF410E" w:rsidRDefault="00CE7F43">
      <w:r>
        <w:rPr>
          <w:b/>
        </w:rPr>
        <w:t>(soit par défaut)</w:t>
      </w:r>
    </w:p>
    <w:p w14:paraId="33DBB7AE"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0F22570B" w14:textId="77777777" w:rsidR="00DF410E" w:rsidRDefault="00CE7F43">
      <w:r>
        <w:rPr>
          <w:b/>
        </w:rPr>
        <w:t>(soit)</w:t>
      </w:r>
    </w:p>
    <w:p w14:paraId="337209C1" w14:textId="77777777" w:rsidR="00DF410E" w:rsidRDefault="00CE7F43">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38ECF2E7" w14:textId="77777777" w:rsidR="00DF410E" w:rsidRDefault="00CE7F43">
      <w:pPr>
        <w:pStyle w:val="pheading"/>
      </w:pPr>
      <w:r>
        <w:t>- nature du marché:</w:t>
      </w:r>
    </w:p>
    <w:p w14:paraId="752F4DD3" w14:textId="77777777" w:rsidR="00DF410E" w:rsidRDefault="00CE7F43">
      <w:r>
        <w:t>QF</w:t>
      </w:r>
    </w:p>
    <w:p w14:paraId="32C9838D" w14:textId="77777777" w:rsidR="00DF410E" w:rsidRDefault="00CE7F43">
      <w:pPr>
        <w:pStyle w:val="Author-eSectionHeading6"/>
      </w:pPr>
      <w:bookmarkStart w:id="275" w:name="_Toc178837504"/>
      <w:r>
        <w:t>21.33.1b Maçonneries de parement en pierre calcaire CCTB 01.11</w:t>
      </w:r>
      <w:bookmarkEnd w:id="275"/>
    </w:p>
    <w:p w14:paraId="77C88146" w14:textId="77777777" w:rsidR="00DF410E" w:rsidRDefault="00CE7F43">
      <w:pPr>
        <w:pStyle w:val="pheading"/>
      </w:pPr>
      <w:r>
        <w:t>MESURAGE</w:t>
      </w:r>
    </w:p>
    <w:p w14:paraId="62145E74" w14:textId="77777777" w:rsidR="00DF410E" w:rsidRDefault="00CE7F43">
      <w:pPr>
        <w:pStyle w:val="pheading"/>
      </w:pPr>
      <w:r>
        <w:t>- unité de mesure:</w:t>
      </w:r>
    </w:p>
    <w:p w14:paraId="42786414" w14:textId="77777777" w:rsidR="00DF410E" w:rsidRDefault="00CE7F43">
      <w:r>
        <w:rPr>
          <w:rStyle w:val="optioncarChar"/>
        </w:rPr>
        <w:t>m² </w:t>
      </w:r>
      <w:r>
        <w:t>(par défaut)</w:t>
      </w:r>
      <w:r>
        <w:rPr>
          <w:rStyle w:val="optioncarChar"/>
        </w:rPr>
        <w:t> / m³</w:t>
      </w:r>
    </w:p>
    <w:p w14:paraId="1FA4283D" w14:textId="77777777" w:rsidR="00DF410E" w:rsidRDefault="00CE7F43">
      <w:r>
        <w:rPr>
          <w:b/>
        </w:rPr>
        <w:t>(soit par défaut)</w:t>
      </w:r>
    </w:p>
    <w:p w14:paraId="77A85EE2" w14:textId="77777777" w:rsidR="00DF410E" w:rsidRDefault="00CE7F43">
      <w:r>
        <w:rPr>
          <w:rStyle w:val="soitChar"/>
        </w:rPr>
        <w:t>1. m²</w:t>
      </w:r>
    </w:p>
    <w:p w14:paraId="114D032F" w14:textId="77777777" w:rsidR="00DF410E" w:rsidRDefault="00CE7F43">
      <w:r>
        <w:rPr>
          <w:b/>
        </w:rPr>
        <w:t>(soit)</w:t>
      </w:r>
    </w:p>
    <w:p w14:paraId="527FD7F2" w14:textId="77777777" w:rsidR="00DF410E" w:rsidRDefault="00CE7F43">
      <w:r>
        <w:rPr>
          <w:rStyle w:val="soitChar"/>
        </w:rPr>
        <w:t>2. m³</w:t>
      </w:r>
    </w:p>
    <w:p w14:paraId="0D8C4FC2" w14:textId="77777777" w:rsidR="00DF410E" w:rsidRDefault="00CE7F43">
      <w:pPr>
        <w:pStyle w:val="pheading"/>
      </w:pPr>
      <w:r>
        <w:t>- code de mesurage:</w:t>
      </w:r>
    </w:p>
    <w:p w14:paraId="5ADC8E15" w14:textId="77777777" w:rsidR="00DF410E" w:rsidRDefault="00CE7F43">
      <w:r>
        <w:t>Les maçonneries sont mesurées en fonction de leur forme géométrique.</w:t>
      </w:r>
    </w:p>
    <w:p w14:paraId="5A4395D7" w14:textId="77777777" w:rsidR="00DF410E" w:rsidRDefault="00CE7F43">
      <w:r>
        <w:t>Si les maçonneries sont métrées en m², les quantités sont groupées selon leur épaisseur.</w:t>
      </w:r>
    </w:p>
    <w:p w14:paraId="6DD84D9E"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1E26918C" w14:textId="77777777" w:rsidR="00DF410E" w:rsidRDefault="00CE7F43">
      <w:r>
        <w:t>Les ébrasements des ouvertures et des baies de fenêtres ainsi que la face inférieure des linteaux ne sont comptés (en surface nette) que lorsque leur largeur est supérieure à celle des pierres de façade.</w:t>
      </w:r>
    </w:p>
    <w:p w14:paraId="48AA781B" w14:textId="77777777" w:rsidR="00DF410E" w:rsidRDefault="00CE7F43">
      <w:r>
        <w:t>La coulisse n'est jamais prise en compte.</w:t>
      </w:r>
    </w:p>
    <w:p w14:paraId="4ECE9241" w14:textId="77777777" w:rsidR="00DF410E" w:rsidRDefault="00CE7F43">
      <w:r>
        <w:t>Pour un mesurage en m³, la longueur des murs est mesurée dans l'axe de l'élément ; à l’intersection de deux murs, seul le mur le plus épais est considéré. Aucun volume n'est compté deux fois.</w:t>
      </w:r>
    </w:p>
    <w:p w14:paraId="65CD9769"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1B368225" w14:textId="77777777" w:rsidR="00DF410E" w:rsidRDefault="00CE7F43">
      <w:r>
        <w:br/>
      </w:r>
      <w:r>
        <w:rPr>
          <w:rStyle w:val="optioncarChar"/>
        </w:rPr>
        <w:t>Surface nette  </w:t>
      </w:r>
      <w:r>
        <w:t>(par défaut)</w:t>
      </w:r>
      <w:r>
        <w:rPr>
          <w:rStyle w:val="optioncarChar"/>
        </w:rPr>
        <w:t> / Volume net</w:t>
      </w:r>
    </w:p>
    <w:p w14:paraId="152B879B" w14:textId="77777777" w:rsidR="00DF410E" w:rsidRDefault="00CE7F43">
      <w:r>
        <w:rPr>
          <w:b/>
        </w:rPr>
        <w:t>(soit par défaut)</w:t>
      </w:r>
    </w:p>
    <w:p w14:paraId="41FE07B2"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497A0EF5" w14:textId="77777777" w:rsidR="00DF410E" w:rsidRDefault="00CE7F43">
      <w:r>
        <w:rPr>
          <w:b/>
        </w:rPr>
        <w:t>(soit)</w:t>
      </w:r>
    </w:p>
    <w:p w14:paraId="6A9C97EE" w14:textId="77777777" w:rsidR="00DF410E" w:rsidRDefault="00CE7F43">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147D77E1" w14:textId="77777777" w:rsidR="00DF410E" w:rsidRDefault="00DF410E"/>
    <w:p w14:paraId="2C6CB43A" w14:textId="77777777" w:rsidR="00DF410E" w:rsidRDefault="00CE7F43">
      <w:r>
        <w:t> </w:t>
      </w:r>
    </w:p>
    <w:p w14:paraId="614AE577" w14:textId="77777777" w:rsidR="00DF410E" w:rsidRDefault="00DF410E"/>
    <w:p w14:paraId="1152029D" w14:textId="77777777" w:rsidR="00DF410E" w:rsidRDefault="00CE7F43">
      <w:r>
        <w:t> </w:t>
      </w:r>
    </w:p>
    <w:p w14:paraId="123B0898" w14:textId="77777777" w:rsidR="00DF410E" w:rsidRDefault="00CE7F43">
      <w:pPr>
        <w:pStyle w:val="pheading"/>
      </w:pPr>
      <w:r>
        <w:t>- nature du marché:</w:t>
      </w:r>
    </w:p>
    <w:p w14:paraId="7DC57499" w14:textId="77777777" w:rsidR="00DF410E" w:rsidRDefault="00CE7F43">
      <w:r>
        <w:t>QF</w:t>
      </w:r>
    </w:p>
    <w:p w14:paraId="1B17196E" w14:textId="77777777" w:rsidR="00DF410E" w:rsidRDefault="00CE7F43">
      <w:pPr>
        <w:pStyle w:val="Author-eSectionHeading5"/>
      </w:pPr>
      <w:bookmarkStart w:id="276" w:name="_Toc178837505"/>
      <w:r>
        <w:t>21.33.2 Maçonneries de parement en moellons de pierre calcaire CCTB 01.02</w:t>
      </w:r>
      <w:bookmarkEnd w:id="276"/>
    </w:p>
    <w:p w14:paraId="60375093" w14:textId="77777777" w:rsidR="00DF410E" w:rsidRDefault="00CE7F43">
      <w:pPr>
        <w:pStyle w:val="Author-eSectionHeading6"/>
      </w:pPr>
      <w:bookmarkStart w:id="277" w:name="_Toc178837506"/>
      <w:r>
        <w:t>21.33.2a Maçonneries de parement en moellons de pierre bleue CCTB 01.11</w:t>
      </w:r>
      <w:bookmarkEnd w:id="277"/>
    </w:p>
    <w:p w14:paraId="451AF969" w14:textId="77777777" w:rsidR="00DF410E" w:rsidRDefault="00CE7F43">
      <w:pPr>
        <w:pStyle w:val="pheading"/>
      </w:pPr>
      <w:r>
        <w:t>MESURAGE</w:t>
      </w:r>
    </w:p>
    <w:p w14:paraId="36DEFB1A" w14:textId="77777777" w:rsidR="00DF410E" w:rsidRDefault="00CE7F43">
      <w:pPr>
        <w:pStyle w:val="pheading"/>
      </w:pPr>
      <w:r>
        <w:t>- unité de mesure:</w:t>
      </w:r>
    </w:p>
    <w:p w14:paraId="2353D2A3" w14:textId="77777777" w:rsidR="00DF410E" w:rsidRDefault="00CE7F43">
      <w:r>
        <w:rPr>
          <w:rStyle w:val="optioncarChar"/>
        </w:rPr>
        <w:t>m² </w:t>
      </w:r>
      <w:r>
        <w:t>(par défaut)</w:t>
      </w:r>
      <w:r>
        <w:rPr>
          <w:rStyle w:val="optioncarChar"/>
        </w:rPr>
        <w:t> / m³</w:t>
      </w:r>
    </w:p>
    <w:p w14:paraId="61C487E9" w14:textId="77777777" w:rsidR="00DF410E" w:rsidRDefault="00CE7F43">
      <w:r>
        <w:rPr>
          <w:b/>
        </w:rPr>
        <w:t>(soit par défaut)</w:t>
      </w:r>
    </w:p>
    <w:p w14:paraId="4B9EE789" w14:textId="77777777" w:rsidR="00DF410E" w:rsidRDefault="00CE7F43">
      <w:r>
        <w:rPr>
          <w:rStyle w:val="soitChar"/>
        </w:rPr>
        <w:t>1. m²</w:t>
      </w:r>
    </w:p>
    <w:p w14:paraId="2A255035" w14:textId="77777777" w:rsidR="00DF410E" w:rsidRDefault="00CE7F43">
      <w:r>
        <w:rPr>
          <w:b/>
        </w:rPr>
        <w:t>(soit)</w:t>
      </w:r>
    </w:p>
    <w:p w14:paraId="7482C822" w14:textId="77777777" w:rsidR="00DF410E" w:rsidRDefault="00CE7F43">
      <w:r>
        <w:rPr>
          <w:rStyle w:val="soitChar"/>
        </w:rPr>
        <w:t>2. m³</w:t>
      </w:r>
    </w:p>
    <w:p w14:paraId="5844BA1C" w14:textId="77777777" w:rsidR="00DF410E" w:rsidRDefault="00CE7F43">
      <w:pPr>
        <w:pStyle w:val="pheading"/>
      </w:pPr>
      <w:r>
        <w:t>- code de mesurage:</w:t>
      </w:r>
    </w:p>
    <w:p w14:paraId="5FA4A474" w14:textId="77777777" w:rsidR="00DF410E" w:rsidRDefault="00CE7F43">
      <w:r>
        <w:t>Les maçonneries sont mesurées en fonction de leur forme géométrique.</w:t>
      </w:r>
    </w:p>
    <w:p w14:paraId="4A45DFA4" w14:textId="77777777" w:rsidR="00DF410E" w:rsidRDefault="00CE7F43">
      <w:r>
        <w:t>Si les maçonneries sont métrées en m², les quantités sont groupées selon leur épaisseur.</w:t>
      </w:r>
    </w:p>
    <w:p w14:paraId="75A166D3"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4BF29B19" w14:textId="77777777" w:rsidR="00DF410E" w:rsidRDefault="00CE7F43">
      <w:r>
        <w:t>Les ébrasements des ouvertures et des baies de fenêtres ainsi que la face inférieure des linteaux ne sont comptés (en surface nette) que lorsque leur largeur est supérieure à celle des pierres de façade.</w:t>
      </w:r>
    </w:p>
    <w:p w14:paraId="3534DE08" w14:textId="77777777" w:rsidR="00DF410E" w:rsidRDefault="00CE7F43">
      <w:r>
        <w:t>La coulisse n'est jamais prise en compte.</w:t>
      </w:r>
    </w:p>
    <w:p w14:paraId="4836AB7A" w14:textId="77777777" w:rsidR="00DF410E" w:rsidRDefault="00CE7F43">
      <w:r>
        <w:t>Pour un mesurage en m³, la longueur des murs est mesurée dans l'axe de l'élément ; à l’intersection de deux murs, seul le mur le plus épais est considéré. Aucun volume n'est compté deux fois.</w:t>
      </w:r>
    </w:p>
    <w:p w14:paraId="745D479A"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3990C872" w14:textId="77777777" w:rsidR="00DF410E" w:rsidRDefault="00CE7F43">
      <w:r>
        <w:br/>
      </w:r>
      <w:r>
        <w:rPr>
          <w:rStyle w:val="optioncarChar"/>
        </w:rPr>
        <w:t>Surface nette  </w:t>
      </w:r>
      <w:r>
        <w:t>(par défaut)</w:t>
      </w:r>
      <w:r>
        <w:rPr>
          <w:rStyle w:val="optioncarChar"/>
        </w:rPr>
        <w:t> / Volume net</w:t>
      </w:r>
    </w:p>
    <w:p w14:paraId="02668DAB" w14:textId="77777777" w:rsidR="00DF410E" w:rsidRDefault="00CE7F43">
      <w:r>
        <w:rPr>
          <w:b/>
        </w:rPr>
        <w:t>(soit par défaut)</w:t>
      </w:r>
    </w:p>
    <w:p w14:paraId="33557AD7"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et nature de pierre (neuve et/ou de réemploi). S’il s’agit de réemploi, distinguer : avec ou sans fourniture et l’épaisseur</w:t>
      </w:r>
    </w:p>
    <w:p w14:paraId="715659E7" w14:textId="77777777" w:rsidR="00DF410E" w:rsidRDefault="00CE7F43">
      <w:r>
        <w:rPr>
          <w:b/>
        </w:rPr>
        <w:t>(soit)</w:t>
      </w:r>
    </w:p>
    <w:p w14:paraId="18C3F4EC" w14:textId="77777777" w:rsidR="00DF410E" w:rsidRDefault="00CE7F43">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et nature de pierre (neuve et/ou de réemploi). S’il s’agit de réemploi, distinguer : avec ou sans fourniture et l’épaisseur.</w:t>
      </w:r>
    </w:p>
    <w:p w14:paraId="3097BAE8" w14:textId="77777777" w:rsidR="00DF410E" w:rsidRDefault="00DF410E"/>
    <w:p w14:paraId="47EA2076" w14:textId="77777777" w:rsidR="00DF410E" w:rsidRDefault="00CE7F43">
      <w:r>
        <w:t> </w:t>
      </w:r>
    </w:p>
    <w:p w14:paraId="7BEC21F6" w14:textId="77777777" w:rsidR="00DF410E" w:rsidRDefault="00CE7F43">
      <w:pPr>
        <w:pStyle w:val="pheading"/>
      </w:pPr>
      <w:r>
        <w:t>- nature du marché:</w:t>
      </w:r>
    </w:p>
    <w:p w14:paraId="2CDFC511" w14:textId="77777777" w:rsidR="00DF410E" w:rsidRDefault="00CE7F43">
      <w:r>
        <w:t>QF</w:t>
      </w:r>
    </w:p>
    <w:p w14:paraId="1F97E9D4" w14:textId="77777777" w:rsidR="00DF410E" w:rsidRDefault="00CE7F43">
      <w:pPr>
        <w:pStyle w:val="Author-eSectionHeading6"/>
      </w:pPr>
      <w:bookmarkStart w:id="278" w:name="_Toc178837507"/>
      <w:r>
        <w:t>21.33.2b Maçonneries de parement en moellons de pierre blanche CCTB 01.11</w:t>
      </w:r>
      <w:bookmarkEnd w:id="278"/>
    </w:p>
    <w:p w14:paraId="21F23CE3" w14:textId="77777777" w:rsidR="00DF410E" w:rsidRDefault="00CE7F43">
      <w:pPr>
        <w:pStyle w:val="pheading"/>
      </w:pPr>
      <w:r>
        <w:t>MESURAGE</w:t>
      </w:r>
    </w:p>
    <w:p w14:paraId="6516A641" w14:textId="77777777" w:rsidR="00DF410E" w:rsidRDefault="00CE7F43">
      <w:pPr>
        <w:pStyle w:val="pheading"/>
      </w:pPr>
      <w:r>
        <w:t>- unité de mesure:</w:t>
      </w:r>
    </w:p>
    <w:p w14:paraId="30F50AFE" w14:textId="77777777" w:rsidR="00DF410E" w:rsidRDefault="00CE7F43">
      <w:r>
        <w:rPr>
          <w:rStyle w:val="optioncarChar"/>
        </w:rPr>
        <w:t>m² </w:t>
      </w:r>
      <w:r>
        <w:t>(par défaut)</w:t>
      </w:r>
      <w:r>
        <w:rPr>
          <w:rStyle w:val="optioncarChar"/>
        </w:rPr>
        <w:t> / m³</w:t>
      </w:r>
    </w:p>
    <w:p w14:paraId="43B38405" w14:textId="77777777" w:rsidR="00DF410E" w:rsidRDefault="00CE7F43">
      <w:r>
        <w:rPr>
          <w:b/>
        </w:rPr>
        <w:t>(soit par défaut)</w:t>
      </w:r>
    </w:p>
    <w:p w14:paraId="58DC942C" w14:textId="77777777" w:rsidR="00DF410E" w:rsidRDefault="00CE7F43">
      <w:r>
        <w:rPr>
          <w:rStyle w:val="soitChar"/>
        </w:rPr>
        <w:t>1. m²</w:t>
      </w:r>
    </w:p>
    <w:p w14:paraId="212D4C74" w14:textId="77777777" w:rsidR="00DF410E" w:rsidRDefault="00CE7F43">
      <w:r>
        <w:rPr>
          <w:b/>
        </w:rPr>
        <w:t>(soit)</w:t>
      </w:r>
    </w:p>
    <w:p w14:paraId="61DACA44" w14:textId="77777777" w:rsidR="00DF410E" w:rsidRDefault="00CE7F43">
      <w:r>
        <w:rPr>
          <w:rStyle w:val="soitChar"/>
        </w:rPr>
        <w:t>2. m³</w:t>
      </w:r>
    </w:p>
    <w:p w14:paraId="218E8186" w14:textId="77777777" w:rsidR="00DF410E" w:rsidRDefault="00CE7F43">
      <w:pPr>
        <w:pStyle w:val="pheading"/>
      </w:pPr>
      <w:r>
        <w:t>- code de mesurage:</w:t>
      </w:r>
    </w:p>
    <w:p w14:paraId="730BBDF4" w14:textId="77777777" w:rsidR="00DF410E" w:rsidRDefault="00CE7F43">
      <w:r>
        <w:t>Les maçonneries sont mesurées en fonction de leur forme géométrique.</w:t>
      </w:r>
    </w:p>
    <w:p w14:paraId="24833666" w14:textId="77777777" w:rsidR="00DF410E" w:rsidRDefault="00CE7F43">
      <w:r>
        <w:t>Si les maçonneries sont métrées en m², les quantités sont groupées selon leur épaisseur.</w:t>
      </w:r>
    </w:p>
    <w:p w14:paraId="58CAAB2A"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7215485D" w14:textId="77777777" w:rsidR="00DF410E" w:rsidRDefault="00CE7F43">
      <w:r>
        <w:t>Les ébrasements des ouvertures et des baies de fenêtres ainsi que la face inférieure des linteaux ne sont comptés (en surface nette) que lorsque leur largeur est supérieure à celle des pierres de façade.</w:t>
      </w:r>
    </w:p>
    <w:p w14:paraId="35861D62" w14:textId="77777777" w:rsidR="00DF410E" w:rsidRDefault="00CE7F43">
      <w:r>
        <w:t>La coulisse n'est jamais prise en compte.</w:t>
      </w:r>
    </w:p>
    <w:p w14:paraId="75220D58" w14:textId="77777777" w:rsidR="00DF410E" w:rsidRDefault="00CE7F43">
      <w:r>
        <w:t>Pour un mesurage en m³, la longueur des murs est mesurée dans l'axe de l'élément ; à l’intersection de deux murs, seul le mur le plus épais est considéré. Aucun volume n'est compté deux fois.</w:t>
      </w:r>
    </w:p>
    <w:p w14:paraId="3666D385"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1CD542F" w14:textId="77777777" w:rsidR="00DF410E" w:rsidRDefault="00CE7F43">
      <w:r>
        <w:br/>
      </w:r>
      <w:r>
        <w:rPr>
          <w:rStyle w:val="optioncarChar"/>
        </w:rPr>
        <w:t>Surface nette  </w:t>
      </w:r>
      <w:r>
        <w:t>(par défaut)</w:t>
      </w:r>
      <w:r>
        <w:rPr>
          <w:rStyle w:val="optioncarChar"/>
        </w:rPr>
        <w:t> / Volume net</w:t>
      </w:r>
    </w:p>
    <w:p w14:paraId="5D2351C2" w14:textId="77777777" w:rsidR="00DF410E" w:rsidRDefault="00CE7F43">
      <w:r>
        <w:rPr>
          <w:b/>
        </w:rPr>
        <w:t>(soit par défaut)</w:t>
      </w:r>
    </w:p>
    <w:p w14:paraId="2F0472A5"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58AEDE62" w14:textId="77777777" w:rsidR="00DF410E" w:rsidRDefault="00CE7F43">
      <w:r>
        <w:rPr>
          <w:b/>
        </w:rPr>
        <w:t>(soit)</w:t>
      </w:r>
    </w:p>
    <w:p w14:paraId="47964984" w14:textId="77777777" w:rsidR="00DF410E" w:rsidRDefault="00CE7F43">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 pierre (neuve et/ou de réemploi) et l’épaisseur. S’il s’agit de réemploi, distinguer : avec ou sans fourniture.</w:t>
      </w:r>
    </w:p>
    <w:p w14:paraId="6B8F26B7" w14:textId="77777777" w:rsidR="00DF410E" w:rsidRDefault="00CE7F43">
      <w:pPr>
        <w:pStyle w:val="pheading"/>
      </w:pPr>
      <w:r>
        <w:t>- nature du marché:</w:t>
      </w:r>
    </w:p>
    <w:p w14:paraId="6DCD2B8B" w14:textId="77777777" w:rsidR="00DF410E" w:rsidRDefault="00CE7F43">
      <w:r>
        <w:t>QF</w:t>
      </w:r>
    </w:p>
    <w:p w14:paraId="730C7771" w14:textId="77777777" w:rsidR="00DF410E" w:rsidRDefault="00CE7F43">
      <w:pPr>
        <w:pStyle w:val="Author-eSectionHeading6"/>
      </w:pPr>
      <w:bookmarkStart w:id="279" w:name="_Toc178837508"/>
      <w:r>
        <w:t>21.33.2c Maçonneries de parement en moellons de marbre CCTB 01.11</w:t>
      </w:r>
      <w:bookmarkEnd w:id="279"/>
    </w:p>
    <w:p w14:paraId="404F254F" w14:textId="77777777" w:rsidR="00DF410E" w:rsidRDefault="00CE7F43">
      <w:pPr>
        <w:pStyle w:val="pheading"/>
      </w:pPr>
      <w:r>
        <w:t>MESURAGE</w:t>
      </w:r>
    </w:p>
    <w:p w14:paraId="375719E5" w14:textId="77777777" w:rsidR="00DF410E" w:rsidRDefault="00CE7F43">
      <w:pPr>
        <w:pStyle w:val="pheading"/>
      </w:pPr>
      <w:r>
        <w:t>- unité de mesure:</w:t>
      </w:r>
    </w:p>
    <w:p w14:paraId="238949FF" w14:textId="77777777" w:rsidR="00DF410E" w:rsidRDefault="00CE7F43">
      <w:r>
        <w:rPr>
          <w:rStyle w:val="optioncarChar"/>
        </w:rPr>
        <w:t>m² </w:t>
      </w:r>
      <w:r>
        <w:t>(par défaut)</w:t>
      </w:r>
      <w:r>
        <w:rPr>
          <w:rStyle w:val="optioncarChar"/>
        </w:rPr>
        <w:t> / m³</w:t>
      </w:r>
    </w:p>
    <w:p w14:paraId="64E89360" w14:textId="77777777" w:rsidR="00DF410E" w:rsidRDefault="00CE7F43">
      <w:r>
        <w:rPr>
          <w:b/>
        </w:rPr>
        <w:t>(soit par défaut)</w:t>
      </w:r>
    </w:p>
    <w:p w14:paraId="496ABE9D" w14:textId="77777777" w:rsidR="00DF410E" w:rsidRDefault="00CE7F43">
      <w:r>
        <w:rPr>
          <w:rStyle w:val="soitChar"/>
        </w:rPr>
        <w:t>1. m²</w:t>
      </w:r>
    </w:p>
    <w:p w14:paraId="1F1F66BA" w14:textId="77777777" w:rsidR="00DF410E" w:rsidRDefault="00CE7F43">
      <w:r>
        <w:rPr>
          <w:b/>
        </w:rPr>
        <w:t>(soit)</w:t>
      </w:r>
    </w:p>
    <w:p w14:paraId="12B4B14F" w14:textId="77777777" w:rsidR="00DF410E" w:rsidRDefault="00CE7F43">
      <w:r>
        <w:rPr>
          <w:rStyle w:val="soitChar"/>
        </w:rPr>
        <w:t>2. m³</w:t>
      </w:r>
    </w:p>
    <w:p w14:paraId="3902DEF8" w14:textId="77777777" w:rsidR="00DF410E" w:rsidRDefault="00CE7F43">
      <w:pPr>
        <w:pStyle w:val="pheading"/>
      </w:pPr>
      <w:r>
        <w:t>- code de mesurage:</w:t>
      </w:r>
    </w:p>
    <w:p w14:paraId="3E309D92" w14:textId="77777777" w:rsidR="00DF410E" w:rsidRDefault="00CE7F43">
      <w:r>
        <w:t>Les maçonneries sont mesurées en fonction de leur forme géométrique.</w:t>
      </w:r>
    </w:p>
    <w:p w14:paraId="6A19BCD5" w14:textId="77777777" w:rsidR="00DF410E" w:rsidRDefault="00CE7F43">
      <w:r>
        <w:t>Si les maçonneries sont métrées en m², les quantités sont groupées selon leur épaisseur.</w:t>
      </w:r>
    </w:p>
    <w:p w14:paraId="786E2C90"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35B093D0" w14:textId="77777777" w:rsidR="00DF410E" w:rsidRDefault="00CE7F43">
      <w:r>
        <w:t>Les ébrasements des ouvertures et des baies de fenêtres ainsi que la face inférieure des linteaux ne sont comptés (en surface nette) que lorsque leur largeur est supérieure à celle des pierres de façade.</w:t>
      </w:r>
    </w:p>
    <w:p w14:paraId="52236402" w14:textId="77777777" w:rsidR="00DF410E" w:rsidRDefault="00CE7F43">
      <w:r>
        <w:t>La coulisse n'est jamais prise en compte.</w:t>
      </w:r>
    </w:p>
    <w:p w14:paraId="32C08B93" w14:textId="77777777" w:rsidR="00DF410E" w:rsidRDefault="00CE7F43">
      <w:r>
        <w:t>Pour un mesurage en m³, la longueur des murs est mesurée dans l'axe de l'élément ; à l’intersection de deux murs, seul le mur le plus épais est considéré. Aucun volume n'est compté deux fois.</w:t>
      </w:r>
    </w:p>
    <w:p w14:paraId="1FB760FE"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910BAE7" w14:textId="77777777" w:rsidR="00DF410E" w:rsidRDefault="00CE7F43">
      <w:r>
        <w:br/>
      </w:r>
      <w:r>
        <w:rPr>
          <w:rStyle w:val="optioncarChar"/>
        </w:rPr>
        <w:t>Surface nette  </w:t>
      </w:r>
      <w:r>
        <w:t>(par défaut)</w:t>
      </w:r>
      <w:r>
        <w:rPr>
          <w:rStyle w:val="optioncarChar"/>
        </w:rPr>
        <w:t> / Volume net</w:t>
      </w:r>
    </w:p>
    <w:p w14:paraId="71DF0675" w14:textId="77777777" w:rsidR="00DF410E" w:rsidRDefault="00CE7F43">
      <w:r>
        <w:rPr>
          <w:b/>
        </w:rPr>
        <w:t>(soit par défaut)</w:t>
      </w:r>
    </w:p>
    <w:p w14:paraId="1407AED7"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05CB3D29" w14:textId="77777777" w:rsidR="00DF410E" w:rsidRDefault="00CE7F43">
      <w:r>
        <w:rPr>
          <w:b/>
        </w:rPr>
        <w:t>(soit)</w:t>
      </w:r>
    </w:p>
    <w:p w14:paraId="60F5F335" w14:textId="77777777" w:rsidR="00DF410E" w:rsidRDefault="00CE7F43">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568023A0" w14:textId="77777777" w:rsidR="00DF410E" w:rsidRDefault="00CE7F43">
      <w:pPr>
        <w:pStyle w:val="pheading"/>
      </w:pPr>
      <w:r>
        <w:t>- nature du marché:</w:t>
      </w:r>
    </w:p>
    <w:p w14:paraId="0CE39622" w14:textId="77777777" w:rsidR="00DF410E" w:rsidRDefault="00CE7F43">
      <w:r>
        <w:t>QF</w:t>
      </w:r>
    </w:p>
    <w:p w14:paraId="12034423" w14:textId="77777777" w:rsidR="00DF410E" w:rsidRDefault="00CE7F43">
      <w:pPr>
        <w:pStyle w:val="Author-eSectionHeading5"/>
      </w:pPr>
      <w:bookmarkStart w:id="280" w:name="_Toc178837509"/>
      <w:r>
        <w:t>21.33.3 Maçonneries de parement en moellons de pierres siliceuses CCTB 01.02</w:t>
      </w:r>
      <w:bookmarkEnd w:id="280"/>
    </w:p>
    <w:p w14:paraId="2259A585" w14:textId="77777777" w:rsidR="00DF410E" w:rsidRDefault="00CE7F43">
      <w:pPr>
        <w:pStyle w:val="Author-eSectionHeading6"/>
      </w:pPr>
      <w:bookmarkStart w:id="281" w:name="_Toc178837510"/>
      <w:r>
        <w:t>21.33.3a Maçonneries de parement en moellons d'arkose CCTB 01.11</w:t>
      </w:r>
      <w:bookmarkEnd w:id="281"/>
    </w:p>
    <w:p w14:paraId="642F98A2" w14:textId="77777777" w:rsidR="00DF410E" w:rsidRDefault="00CE7F43">
      <w:pPr>
        <w:pStyle w:val="pheading"/>
      </w:pPr>
      <w:r>
        <w:t>MESURAGE</w:t>
      </w:r>
    </w:p>
    <w:p w14:paraId="10FF7D55" w14:textId="77777777" w:rsidR="00DF410E" w:rsidRDefault="00CE7F43">
      <w:pPr>
        <w:pStyle w:val="pheading"/>
      </w:pPr>
      <w:r>
        <w:t>- unité de mesure:</w:t>
      </w:r>
    </w:p>
    <w:p w14:paraId="3477F0BC" w14:textId="77777777" w:rsidR="00DF410E" w:rsidRDefault="00CE7F43">
      <w:r>
        <w:rPr>
          <w:rStyle w:val="optioncarChar"/>
        </w:rPr>
        <w:t>m² </w:t>
      </w:r>
      <w:r>
        <w:t>(par défaut)</w:t>
      </w:r>
      <w:r>
        <w:rPr>
          <w:rStyle w:val="optioncarChar"/>
        </w:rPr>
        <w:t> / m³</w:t>
      </w:r>
    </w:p>
    <w:p w14:paraId="785B2161" w14:textId="77777777" w:rsidR="00DF410E" w:rsidRDefault="00CE7F43">
      <w:r>
        <w:rPr>
          <w:b/>
        </w:rPr>
        <w:t>(soit par défaut)</w:t>
      </w:r>
    </w:p>
    <w:p w14:paraId="5B1C7235" w14:textId="77777777" w:rsidR="00DF410E" w:rsidRDefault="00CE7F43">
      <w:r>
        <w:rPr>
          <w:rStyle w:val="soitChar"/>
        </w:rPr>
        <w:t>1. m²</w:t>
      </w:r>
    </w:p>
    <w:p w14:paraId="6D5651B7" w14:textId="77777777" w:rsidR="00DF410E" w:rsidRDefault="00CE7F43">
      <w:r>
        <w:rPr>
          <w:b/>
        </w:rPr>
        <w:t>(soit)</w:t>
      </w:r>
    </w:p>
    <w:p w14:paraId="2389B9FD" w14:textId="77777777" w:rsidR="00DF410E" w:rsidRDefault="00CE7F43">
      <w:r>
        <w:rPr>
          <w:rStyle w:val="soitChar"/>
        </w:rPr>
        <w:t>2. m³</w:t>
      </w:r>
    </w:p>
    <w:p w14:paraId="75B0F6F3" w14:textId="77777777" w:rsidR="00DF410E" w:rsidRDefault="00CE7F43">
      <w:pPr>
        <w:pStyle w:val="pheading"/>
      </w:pPr>
      <w:r>
        <w:t>- code de mesurage:</w:t>
      </w:r>
    </w:p>
    <w:p w14:paraId="20FEB287" w14:textId="77777777" w:rsidR="00DF410E" w:rsidRDefault="00CE7F43">
      <w:r>
        <w:t>Les maçonneries sont mesurées en fonction de leur forme géométrique.</w:t>
      </w:r>
    </w:p>
    <w:p w14:paraId="6613AE65" w14:textId="77777777" w:rsidR="00DF410E" w:rsidRDefault="00CE7F43">
      <w:r>
        <w:t>Si les maçonneries sont métrées en m², les quantités sont groupées selon leur épaisseur.</w:t>
      </w:r>
    </w:p>
    <w:p w14:paraId="1C16523A"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1F5D4660" w14:textId="77777777" w:rsidR="00DF410E" w:rsidRDefault="00CE7F43">
      <w:r>
        <w:t>Les ébrasements des ouvertures et des baies de fenêtres ainsi que la face inférieure des linteaux ne sont comptés (en surface nette) que lorsque leur largeur est supérieure à celle des moellons de façade.</w:t>
      </w:r>
    </w:p>
    <w:p w14:paraId="58619968" w14:textId="77777777" w:rsidR="00DF410E" w:rsidRDefault="00CE7F43">
      <w:r>
        <w:t>La coulisse n'est jamais prise en compte.</w:t>
      </w:r>
    </w:p>
    <w:p w14:paraId="3346FE07" w14:textId="77777777" w:rsidR="00DF410E" w:rsidRDefault="00CE7F43">
      <w:r>
        <w:t>Pour un mesurage en m³, la longueur des murs est mesurée dans l'axe de l'élément ; à l’intersection de deux murs, seul le mur le plus épais est considéré. Aucun volume n'est compté deux fois.</w:t>
      </w:r>
    </w:p>
    <w:p w14:paraId="458C24D0"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2C6D2A56" w14:textId="77777777" w:rsidR="00DF410E" w:rsidRDefault="00CE7F43">
      <w:r>
        <w:br/>
      </w:r>
      <w:r>
        <w:rPr>
          <w:rStyle w:val="optioncarChar"/>
        </w:rPr>
        <w:t>Surface nette  </w:t>
      </w:r>
      <w:r>
        <w:t>(par défaut)</w:t>
      </w:r>
      <w:r>
        <w:rPr>
          <w:rStyle w:val="optioncarChar"/>
        </w:rPr>
        <w:t> / Volume net</w:t>
      </w:r>
    </w:p>
    <w:p w14:paraId="72FDF8DC" w14:textId="77777777" w:rsidR="00DF410E" w:rsidRDefault="00CE7F43">
      <w:r>
        <w:rPr>
          <w:b/>
        </w:rPr>
        <w:t>(soit par défaut)</w:t>
      </w:r>
    </w:p>
    <w:p w14:paraId="1441050A"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1D6B0084" w14:textId="77777777" w:rsidR="00DF410E" w:rsidRDefault="00CE7F43">
      <w:r>
        <w:rPr>
          <w:b/>
        </w:rPr>
        <w:t>(soit)</w:t>
      </w:r>
    </w:p>
    <w:p w14:paraId="2CFF7E0E" w14:textId="77777777" w:rsidR="00DF410E" w:rsidRDefault="00CE7F43">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6093981B" w14:textId="77777777" w:rsidR="00DF410E" w:rsidRDefault="00CE7F43">
      <w:pPr>
        <w:pStyle w:val="pheading"/>
      </w:pPr>
      <w:r>
        <w:t>- nature du marché:</w:t>
      </w:r>
    </w:p>
    <w:p w14:paraId="193F266B" w14:textId="77777777" w:rsidR="00DF410E" w:rsidRDefault="00CE7F43">
      <w:r>
        <w:t>QF</w:t>
      </w:r>
    </w:p>
    <w:p w14:paraId="26B18BD9" w14:textId="77777777" w:rsidR="00DF410E" w:rsidRDefault="00CE7F43">
      <w:pPr>
        <w:pStyle w:val="Author-eSectionHeading6"/>
      </w:pPr>
      <w:bookmarkStart w:id="282" w:name="_Toc178837511"/>
      <w:r>
        <w:t>21.33.3b Maçonneries de parement en moellons de schiste CCTB 01.11</w:t>
      </w:r>
      <w:bookmarkEnd w:id="282"/>
    </w:p>
    <w:p w14:paraId="044EC76C" w14:textId="77777777" w:rsidR="00DF410E" w:rsidRDefault="00CE7F43">
      <w:pPr>
        <w:pStyle w:val="pheading"/>
      </w:pPr>
      <w:r>
        <w:t>MESURAGE</w:t>
      </w:r>
    </w:p>
    <w:p w14:paraId="5D452791" w14:textId="77777777" w:rsidR="00DF410E" w:rsidRDefault="00CE7F43">
      <w:pPr>
        <w:pStyle w:val="pheading"/>
      </w:pPr>
      <w:r>
        <w:t>- unité de mesure:</w:t>
      </w:r>
    </w:p>
    <w:p w14:paraId="410BBB65" w14:textId="77777777" w:rsidR="00DF410E" w:rsidRDefault="00CE7F43">
      <w:r>
        <w:rPr>
          <w:rStyle w:val="optioncarChar"/>
        </w:rPr>
        <w:t>m² </w:t>
      </w:r>
      <w:r>
        <w:t>(par défaut)</w:t>
      </w:r>
      <w:r>
        <w:rPr>
          <w:rStyle w:val="optioncarChar"/>
        </w:rPr>
        <w:t> / m³</w:t>
      </w:r>
    </w:p>
    <w:p w14:paraId="7A20E3BC" w14:textId="77777777" w:rsidR="00DF410E" w:rsidRDefault="00CE7F43">
      <w:r>
        <w:rPr>
          <w:b/>
        </w:rPr>
        <w:t>(soit par défaut)</w:t>
      </w:r>
    </w:p>
    <w:p w14:paraId="5ACD9F87" w14:textId="77777777" w:rsidR="00DF410E" w:rsidRDefault="00CE7F43">
      <w:r>
        <w:rPr>
          <w:rStyle w:val="soitChar"/>
        </w:rPr>
        <w:t>1. m²</w:t>
      </w:r>
    </w:p>
    <w:p w14:paraId="1D6DDE2E" w14:textId="77777777" w:rsidR="00DF410E" w:rsidRDefault="00CE7F43">
      <w:r>
        <w:rPr>
          <w:b/>
        </w:rPr>
        <w:t>(soit)</w:t>
      </w:r>
    </w:p>
    <w:p w14:paraId="1AF13FEA" w14:textId="77777777" w:rsidR="00DF410E" w:rsidRDefault="00CE7F43">
      <w:r>
        <w:rPr>
          <w:rStyle w:val="soitChar"/>
        </w:rPr>
        <w:t>2. m³</w:t>
      </w:r>
    </w:p>
    <w:p w14:paraId="342DA623" w14:textId="77777777" w:rsidR="00DF410E" w:rsidRDefault="00CE7F43">
      <w:pPr>
        <w:pStyle w:val="pheading"/>
      </w:pPr>
      <w:r>
        <w:t>- code de mesurage:</w:t>
      </w:r>
    </w:p>
    <w:p w14:paraId="564B540C" w14:textId="77777777" w:rsidR="00DF410E" w:rsidRDefault="00CE7F43">
      <w:r>
        <w:t>Les maçonneries sont mesurées en fonction de leur forme géométrique.</w:t>
      </w:r>
    </w:p>
    <w:p w14:paraId="22E42734" w14:textId="77777777" w:rsidR="00DF410E" w:rsidRDefault="00CE7F43">
      <w:r>
        <w:t>Si les maçonneries sont métrées en m², les quantités sont groupées selon leur épaisseur.</w:t>
      </w:r>
    </w:p>
    <w:p w14:paraId="25C0BD60"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6E2DCA4A" w14:textId="77777777" w:rsidR="00DF410E" w:rsidRDefault="00CE7F43">
      <w:r>
        <w:t>Les ébrasements des ouvertures et des baies de fenêtres ainsi que la face inférieure des linteaux ne sont comptés (en surface nette) que lorsque leur largeur est supérieure à celle des moellons de façade.</w:t>
      </w:r>
    </w:p>
    <w:p w14:paraId="6DB65E7C" w14:textId="77777777" w:rsidR="00DF410E" w:rsidRDefault="00CE7F43">
      <w:r>
        <w:t>La coulisse n'est jamais prise en compte.</w:t>
      </w:r>
    </w:p>
    <w:p w14:paraId="0853A094" w14:textId="77777777" w:rsidR="00DF410E" w:rsidRDefault="00CE7F43">
      <w:r>
        <w:t>Pour un mesurage en m³, la longueur des murs est mesurée dans l'axe de l'élément ; à l’intersection de deux murs, seul le mur le plus épais est considéré. Aucun volume n'est compté deux fois.</w:t>
      </w:r>
    </w:p>
    <w:p w14:paraId="0B44060A"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BA870EB" w14:textId="77777777" w:rsidR="00DF410E" w:rsidRDefault="00CE7F43">
      <w:r>
        <w:br/>
      </w:r>
      <w:r>
        <w:rPr>
          <w:rStyle w:val="optioncarChar"/>
        </w:rPr>
        <w:t>Surface nette  </w:t>
      </w:r>
      <w:r>
        <w:t>(par défaut)</w:t>
      </w:r>
      <w:r>
        <w:rPr>
          <w:rStyle w:val="optioncarChar"/>
        </w:rPr>
        <w:t> / Volume net</w:t>
      </w:r>
    </w:p>
    <w:p w14:paraId="1800C58F" w14:textId="77777777" w:rsidR="00DF410E" w:rsidRDefault="00CE7F43">
      <w:r>
        <w:rPr>
          <w:b/>
        </w:rPr>
        <w:t>(soit par défaut)</w:t>
      </w:r>
    </w:p>
    <w:p w14:paraId="70A7BEC9"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6E4F1BEE" w14:textId="77777777" w:rsidR="00DF410E" w:rsidRDefault="00CE7F43">
      <w:r>
        <w:rPr>
          <w:b/>
        </w:rPr>
        <w:t>(soit)</w:t>
      </w:r>
    </w:p>
    <w:p w14:paraId="6BEF5D7D" w14:textId="77777777" w:rsidR="00DF410E" w:rsidRDefault="00CE7F43">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58E27121" w14:textId="77777777" w:rsidR="00DF410E" w:rsidRDefault="00CE7F43">
      <w:pPr>
        <w:pStyle w:val="pheading"/>
      </w:pPr>
      <w:r>
        <w:t>- nature du marché:</w:t>
      </w:r>
    </w:p>
    <w:p w14:paraId="021AEE69" w14:textId="77777777" w:rsidR="00DF410E" w:rsidRDefault="00CE7F43">
      <w:r>
        <w:t>QF</w:t>
      </w:r>
    </w:p>
    <w:p w14:paraId="5E38E971" w14:textId="77777777" w:rsidR="00DF410E" w:rsidRDefault="00CE7F43">
      <w:pPr>
        <w:pStyle w:val="Author-eSectionHeading6"/>
      </w:pPr>
      <w:bookmarkStart w:id="283" w:name="_Toc178837512"/>
      <w:r>
        <w:t>21.33.3c Maçonneries de parement en moellons de grès CCTB 01.11</w:t>
      </w:r>
      <w:bookmarkEnd w:id="283"/>
    </w:p>
    <w:p w14:paraId="48606FD7" w14:textId="77777777" w:rsidR="00DF410E" w:rsidRDefault="00CE7F43">
      <w:pPr>
        <w:pStyle w:val="pheading"/>
      </w:pPr>
      <w:r>
        <w:t>MESURAGE</w:t>
      </w:r>
    </w:p>
    <w:p w14:paraId="36AF6924" w14:textId="77777777" w:rsidR="00DF410E" w:rsidRDefault="00CE7F43">
      <w:pPr>
        <w:pStyle w:val="pheading"/>
      </w:pPr>
      <w:r>
        <w:t>- unité de mesure:</w:t>
      </w:r>
    </w:p>
    <w:p w14:paraId="02616259" w14:textId="77777777" w:rsidR="00DF410E" w:rsidRDefault="00CE7F43">
      <w:r>
        <w:rPr>
          <w:rStyle w:val="optioncarChar"/>
        </w:rPr>
        <w:t>m² </w:t>
      </w:r>
      <w:r>
        <w:t>(par défaut)</w:t>
      </w:r>
      <w:r>
        <w:rPr>
          <w:rStyle w:val="optioncarChar"/>
        </w:rPr>
        <w:t> / m³</w:t>
      </w:r>
    </w:p>
    <w:p w14:paraId="6D06A2C2" w14:textId="77777777" w:rsidR="00DF410E" w:rsidRDefault="00CE7F43">
      <w:r>
        <w:rPr>
          <w:b/>
        </w:rPr>
        <w:t>(soit par défaut)</w:t>
      </w:r>
    </w:p>
    <w:p w14:paraId="329ECFAF" w14:textId="77777777" w:rsidR="00DF410E" w:rsidRDefault="00CE7F43">
      <w:r>
        <w:rPr>
          <w:rStyle w:val="soitChar"/>
        </w:rPr>
        <w:t>1. m²</w:t>
      </w:r>
    </w:p>
    <w:p w14:paraId="11924A03" w14:textId="77777777" w:rsidR="00DF410E" w:rsidRDefault="00CE7F43">
      <w:r>
        <w:rPr>
          <w:b/>
        </w:rPr>
        <w:t>(soit)</w:t>
      </w:r>
    </w:p>
    <w:p w14:paraId="342E1BF9" w14:textId="77777777" w:rsidR="00DF410E" w:rsidRDefault="00CE7F43">
      <w:r>
        <w:rPr>
          <w:rStyle w:val="soitChar"/>
        </w:rPr>
        <w:t>2. m³</w:t>
      </w:r>
    </w:p>
    <w:p w14:paraId="67F3F2DA" w14:textId="77777777" w:rsidR="00DF410E" w:rsidRDefault="00CE7F43">
      <w:pPr>
        <w:pStyle w:val="pheading"/>
      </w:pPr>
      <w:r>
        <w:t>- code de mesurage:</w:t>
      </w:r>
    </w:p>
    <w:p w14:paraId="14B87568" w14:textId="77777777" w:rsidR="00DF410E" w:rsidRDefault="00CE7F43">
      <w:r>
        <w:t>Les maçonneries sont mesurées en fonction de leur forme géométrique.</w:t>
      </w:r>
    </w:p>
    <w:p w14:paraId="037CD2F4" w14:textId="77777777" w:rsidR="00DF410E" w:rsidRDefault="00CE7F43">
      <w:r>
        <w:t>Si les maçonneries sont métrées en m², les quantités sont groupées selon leur épaisseur.</w:t>
      </w:r>
    </w:p>
    <w:p w14:paraId="66B588A5"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5D481002" w14:textId="77777777" w:rsidR="00DF410E" w:rsidRDefault="00CE7F43">
      <w:r>
        <w:t>Les ébrasements des ouvertures et des baies de fenêtres ainsi que la face inférieure des linteaux ne sont comptés (en surface nette) que lorsque leur largeur est supérieure à celle des moellons de façade.</w:t>
      </w:r>
    </w:p>
    <w:p w14:paraId="309B1669" w14:textId="77777777" w:rsidR="00DF410E" w:rsidRDefault="00CE7F43">
      <w:r>
        <w:t>La coulisse n'est jamais prise en compte.</w:t>
      </w:r>
    </w:p>
    <w:p w14:paraId="48B79362" w14:textId="77777777" w:rsidR="00DF410E" w:rsidRDefault="00CE7F43">
      <w:r>
        <w:t>Pour un mesurage en m³, la longueur des murs est mesurée dans l'axe de l'élément ; à l’intersection de deux murs, seul le mur le plus épais est considéré. Aucun volume n'est compté deux fois.</w:t>
      </w:r>
    </w:p>
    <w:p w14:paraId="459DFD41"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9097A9B" w14:textId="77777777" w:rsidR="00DF410E" w:rsidRDefault="00CE7F43">
      <w:r>
        <w:br/>
      </w:r>
      <w:r>
        <w:rPr>
          <w:rStyle w:val="optioncarChar"/>
        </w:rPr>
        <w:t>Surface nette  </w:t>
      </w:r>
      <w:r>
        <w:t>(par défaut)</w:t>
      </w:r>
      <w:r>
        <w:rPr>
          <w:rStyle w:val="optioncarChar"/>
        </w:rPr>
        <w:t> / Volume net</w:t>
      </w:r>
    </w:p>
    <w:p w14:paraId="5BB17DE6" w14:textId="77777777" w:rsidR="00DF410E" w:rsidRDefault="00CE7F43">
      <w:r>
        <w:rPr>
          <w:b/>
        </w:rPr>
        <w:t>(soit par défaut)</w:t>
      </w:r>
    </w:p>
    <w:p w14:paraId="4337C87B"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4E12EE0D" w14:textId="77777777" w:rsidR="00DF410E" w:rsidRDefault="00CE7F43">
      <w:r>
        <w:rPr>
          <w:b/>
        </w:rPr>
        <w:t>(soit)</w:t>
      </w:r>
    </w:p>
    <w:p w14:paraId="47433A9F" w14:textId="77777777" w:rsidR="00DF410E" w:rsidRDefault="00CE7F43">
      <w:r>
        <w:rPr>
          <w:rStyle w:val="soitChar"/>
        </w:rPr>
        <w:t>2. </w:t>
      </w:r>
      <w:r>
        <w:t> </w:t>
      </w:r>
      <w:r>
        <w:rPr>
          <w:rStyle w:val="soitChar"/>
          <w:u w:val="single"/>
        </w:rPr>
        <w:t>Volume net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792CADB1" w14:textId="77777777" w:rsidR="00DF410E" w:rsidRDefault="00CE7F43">
      <w:pPr>
        <w:pStyle w:val="pheading"/>
      </w:pPr>
      <w:r>
        <w:t>- nature du marché:</w:t>
      </w:r>
    </w:p>
    <w:p w14:paraId="42104787" w14:textId="77777777" w:rsidR="00DF410E" w:rsidRDefault="00CE7F43">
      <w:r>
        <w:t>QF</w:t>
      </w:r>
    </w:p>
    <w:p w14:paraId="0594D300" w14:textId="77777777" w:rsidR="00DF410E" w:rsidRDefault="00CE7F43">
      <w:pPr>
        <w:pStyle w:val="Author-eSectionHeading6"/>
      </w:pPr>
      <w:bookmarkStart w:id="284" w:name="_Toc178837513"/>
      <w:r>
        <w:t>21.33.3d Maçonneries de parement en moellons de quartzite CCTB 01.11</w:t>
      </w:r>
      <w:bookmarkEnd w:id="284"/>
    </w:p>
    <w:p w14:paraId="396F4905" w14:textId="77777777" w:rsidR="00DF410E" w:rsidRDefault="00CE7F43">
      <w:pPr>
        <w:pStyle w:val="pheading"/>
      </w:pPr>
      <w:r>
        <w:t>MESURAGE</w:t>
      </w:r>
    </w:p>
    <w:p w14:paraId="7D510A1F" w14:textId="77777777" w:rsidR="00DF410E" w:rsidRDefault="00CE7F43">
      <w:pPr>
        <w:pStyle w:val="pheading"/>
      </w:pPr>
      <w:r>
        <w:t>- unité de mesure:</w:t>
      </w:r>
    </w:p>
    <w:p w14:paraId="28FE4824" w14:textId="77777777" w:rsidR="00DF410E" w:rsidRDefault="00CE7F43">
      <w:r>
        <w:rPr>
          <w:rStyle w:val="optioncarChar"/>
        </w:rPr>
        <w:t>m² </w:t>
      </w:r>
      <w:r>
        <w:t>(par défaut)</w:t>
      </w:r>
      <w:r>
        <w:rPr>
          <w:rStyle w:val="optioncarChar"/>
        </w:rPr>
        <w:t> / m³</w:t>
      </w:r>
    </w:p>
    <w:p w14:paraId="3E2250BD" w14:textId="77777777" w:rsidR="00DF410E" w:rsidRDefault="00CE7F43">
      <w:r>
        <w:rPr>
          <w:b/>
        </w:rPr>
        <w:t>(soit par défaut)</w:t>
      </w:r>
    </w:p>
    <w:p w14:paraId="45803D53" w14:textId="77777777" w:rsidR="00DF410E" w:rsidRDefault="00CE7F43">
      <w:r>
        <w:rPr>
          <w:rStyle w:val="soitChar"/>
        </w:rPr>
        <w:t>1. m²</w:t>
      </w:r>
    </w:p>
    <w:p w14:paraId="63BD6ABF" w14:textId="77777777" w:rsidR="00DF410E" w:rsidRDefault="00CE7F43">
      <w:r>
        <w:rPr>
          <w:b/>
        </w:rPr>
        <w:t>(soit)</w:t>
      </w:r>
    </w:p>
    <w:p w14:paraId="74B51A2B" w14:textId="77777777" w:rsidR="00DF410E" w:rsidRDefault="00CE7F43">
      <w:r>
        <w:rPr>
          <w:rStyle w:val="soitChar"/>
        </w:rPr>
        <w:t>2. m³</w:t>
      </w:r>
    </w:p>
    <w:p w14:paraId="62B9DC54" w14:textId="77777777" w:rsidR="00DF410E" w:rsidRDefault="00CE7F43">
      <w:pPr>
        <w:pStyle w:val="pheading"/>
      </w:pPr>
      <w:r>
        <w:t>- code de mesurage:</w:t>
      </w:r>
    </w:p>
    <w:p w14:paraId="0F467456" w14:textId="77777777" w:rsidR="00DF410E" w:rsidRDefault="00CE7F43">
      <w:r>
        <w:t>Les maçonneries sont mesurées en fonction de leur forme géométrique.</w:t>
      </w:r>
    </w:p>
    <w:p w14:paraId="1CE9B759" w14:textId="77777777" w:rsidR="00DF410E" w:rsidRDefault="00CE7F43">
      <w:r>
        <w:t>Si les maçonneries sont métrées en m², les quantités sont groupées selon leur épaisseur.</w:t>
      </w:r>
    </w:p>
    <w:p w14:paraId="4D2B9C56"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1D196244" w14:textId="77777777" w:rsidR="00DF410E" w:rsidRDefault="00CE7F43">
      <w:r>
        <w:t>Les ébrasements des ouvertures et des baies de fenêtres ainsi que la face inférieure des linteaux ne sont comptés (en surface nette) que lorsque leur largeur est supérieure à celle des moellons de façade.</w:t>
      </w:r>
    </w:p>
    <w:p w14:paraId="71DB8811" w14:textId="77777777" w:rsidR="00DF410E" w:rsidRDefault="00CE7F43">
      <w:r>
        <w:t>La coulisse n'est jamais prise en compte.</w:t>
      </w:r>
    </w:p>
    <w:p w14:paraId="0DFFEB51" w14:textId="77777777" w:rsidR="00DF410E" w:rsidRDefault="00CE7F43">
      <w:r>
        <w:t>Pour un mesurage en m³, la longueur des murs est mesurée dans l'axe de l'élément ; à l’intersection de deux murs, seul le mur le plus épais est considéré. Aucun volume n'est compté deux fois.</w:t>
      </w:r>
    </w:p>
    <w:p w14:paraId="2DF32EB6"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6553BD01" w14:textId="77777777" w:rsidR="00DF410E" w:rsidRDefault="00CE7F43">
      <w:r>
        <w:br/>
      </w:r>
      <w:r>
        <w:rPr>
          <w:rStyle w:val="optioncarChar"/>
        </w:rPr>
        <w:t>Surface nette  </w:t>
      </w:r>
      <w:r>
        <w:t>(par défaut)</w:t>
      </w:r>
      <w:r>
        <w:rPr>
          <w:rStyle w:val="optioncarChar"/>
        </w:rPr>
        <w:t> / Volume net</w:t>
      </w:r>
    </w:p>
    <w:p w14:paraId="5886B4BD" w14:textId="77777777" w:rsidR="00DF410E" w:rsidRDefault="00CE7F43">
      <w:r>
        <w:rPr>
          <w:b/>
        </w:rPr>
        <w:t>(soit par défaut)</w:t>
      </w:r>
    </w:p>
    <w:p w14:paraId="42D0ADA5" w14:textId="77777777" w:rsidR="00DF410E" w:rsidRDefault="00CE7F43">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5AA27DDD" w14:textId="77777777" w:rsidR="00DF410E" w:rsidRDefault="00CE7F43">
      <w:r>
        <w:rPr>
          <w:b/>
        </w:rPr>
        <w:t>(soit)</w:t>
      </w:r>
    </w:p>
    <w:p w14:paraId="26C368D8" w14:textId="77777777" w:rsidR="00DF410E" w:rsidRDefault="00CE7F43">
      <w:r>
        <w:rPr>
          <w:rStyle w:val="soitChar"/>
        </w:rPr>
        <w:t>2. </w:t>
      </w:r>
      <w:r>
        <w:t> </w:t>
      </w:r>
      <w:r>
        <w:rPr>
          <w:rStyle w:val="soitChar"/>
          <w:u w:val="single"/>
        </w:rPr>
        <w:t>Volume net</w:t>
      </w:r>
      <w:r>
        <w:rPr>
          <w:rStyle w:val="soitChar"/>
        </w:rPr>
        <w:t xml:space="preserve"> de maçonnerie à mettre en œuvre</w:t>
      </w:r>
      <w:r>
        <w:br/>
      </w:r>
      <w:r>
        <w:rPr>
          <w:rStyle w:val="soitChar"/>
        </w:rPr>
        <w:t>Distinction faite suivant le type, nature des moellons (neuve et/ou de réemploi) et l’épaisseur. S’il s’agit de réemploi, distinguer : avec ou sans fourniture.</w:t>
      </w:r>
    </w:p>
    <w:p w14:paraId="3199ECFA" w14:textId="77777777" w:rsidR="00DF410E" w:rsidRDefault="00CE7F43">
      <w:pPr>
        <w:pStyle w:val="pheading"/>
      </w:pPr>
      <w:r>
        <w:t>- nature du marché:</w:t>
      </w:r>
    </w:p>
    <w:p w14:paraId="792509BC" w14:textId="77777777" w:rsidR="00DF410E" w:rsidRDefault="00CE7F43">
      <w:r>
        <w:t>QF</w:t>
      </w:r>
    </w:p>
    <w:p w14:paraId="1CF3661D" w14:textId="77777777" w:rsidR="00DF410E" w:rsidRDefault="00CE7F43">
      <w:pPr>
        <w:pStyle w:val="Author-eSectionHeading6"/>
      </w:pPr>
      <w:bookmarkStart w:id="285" w:name="_Toc178837514"/>
      <w:r>
        <w:t>21.33.3e Maçonneries de parement en moellons de silex CCTB 01.11</w:t>
      </w:r>
      <w:bookmarkEnd w:id="285"/>
    </w:p>
    <w:p w14:paraId="40A120E8" w14:textId="77777777" w:rsidR="00DF410E" w:rsidRDefault="00CE7F43">
      <w:pPr>
        <w:pStyle w:val="pheading"/>
      </w:pPr>
      <w:r>
        <w:t>MESURAGE</w:t>
      </w:r>
    </w:p>
    <w:p w14:paraId="00782ADE" w14:textId="77777777" w:rsidR="00DF410E" w:rsidRDefault="00CE7F43">
      <w:pPr>
        <w:pStyle w:val="pheading"/>
      </w:pPr>
      <w:r>
        <w:t>- unité de mesure:</w:t>
      </w:r>
    </w:p>
    <w:p w14:paraId="1D113E2C" w14:textId="77777777" w:rsidR="00DF410E" w:rsidRDefault="00CE7F43">
      <w:r>
        <w:rPr>
          <w:rStyle w:val="optioncarChar"/>
        </w:rPr>
        <w:t>m² </w:t>
      </w:r>
      <w:r>
        <w:t>(par défaut)</w:t>
      </w:r>
      <w:r>
        <w:rPr>
          <w:rStyle w:val="optioncarChar"/>
        </w:rPr>
        <w:t> / m³</w:t>
      </w:r>
    </w:p>
    <w:p w14:paraId="398AE851" w14:textId="77777777" w:rsidR="00DF410E" w:rsidRDefault="00CE7F43">
      <w:r>
        <w:rPr>
          <w:b/>
        </w:rPr>
        <w:t>(soit par défaut)</w:t>
      </w:r>
    </w:p>
    <w:p w14:paraId="20FF3199" w14:textId="77777777" w:rsidR="00DF410E" w:rsidRDefault="00CE7F43">
      <w:r>
        <w:rPr>
          <w:rStyle w:val="soitChar"/>
        </w:rPr>
        <w:t>1. m²</w:t>
      </w:r>
    </w:p>
    <w:p w14:paraId="791E855B" w14:textId="77777777" w:rsidR="00DF410E" w:rsidRDefault="00CE7F43">
      <w:r>
        <w:rPr>
          <w:b/>
        </w:rPr>
        <w:t>(soit)</w:t>
      </w:r>
    </w:p>
    <w:p w14:paraId="22EEFEE7" w14:textId="77777777" w:rsidR="00DF410E" w:rsidRDefault="00CE7F43">
      <w:r>
        <w:rPr>
          <w:rStyle w:val="soitChar"/>
        </w:rPr>
        <w:t>2. m³</w:t>
      </w:r>
    </w:p>
    <w:p w14:paraId="45B5ADB9" w14:textId="77777777" w:rsidR="00DF410E" w:rsidRDefault="00CE7F43">
      <w:pPr>
        <w:pStyle w:val="pheading"/>
      </w:pPr>
      <w:r>
        <w:t>- code de mesurage:</w:t>
      </w:r>
    </w:p>
    <w:p w14:paraId="65D668D2" w14:textId="77777777" w:rsidR="00DF410E" w:rsidRDefault="00CE7F43">
      <w:r>
        <w:t>Les maçonneries sont mesurées en fonction de leur forme géométrique.</w:t>
      </w:r>
    </w:p>
    <w:p w14:paraId="6D803F97" w14:textId="77777777" w:rsidR="00DF410E" w:rsidRDefault="00CE7F43">
      <w:r>
        <w:t>Si les maçonneries sont métrées en m², les quantités sont groupées selon leur épaisseur.</w:t>
      </w:r>
    </w:p>
    <w:p w14:paraId="6C1474FF" w14:textId="77777777" w:rsidR="00DF410E" w:rsidRDefault="00CE7F43">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67D93F43" w14:textId="77777777" w:rsidR="00DF410E" w:rsidRDefault="00CE7F43">
      <w:r>
        <w:t>Les ébrasements des ouvertures et des baies de fenêtres ainsi que la face inférieure des linteaux ne sont comptés (en surface nette) que lorsque leur largeur est supérieure à celle des moellons de façade.</w:t>
      </w:r>
    </w:p>
    <w:p w14:paraId="145CEB72" w14:textId="77777777" w:rsidR="00DF410E" w:rsidRDefault="00CE7F43">
      <w:r>
        <w:t>La coulisse n'est jamais prise en compte.</w:t>
      </w:r>
    </w:p>
    <w:p w14:paraId="4BC142CA" w14:textId="77777777" w:rsidR="00DF410E" w:rsidRDefault="00CE7F43">
      <w:r>
        <w:t>Pour un mesurage en m³, la longueur des murs est mesurée dans l'axe de l'élément ; à l’intersection de deux murs, seul le mur le plus épais est considéré. Aucun volume n'est compté deux fois.</w:t>
      </w:r>
    </w:p>
    <w:p w14:paraId="502C1912"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46CAB1A3" w14:textId="77777777" w:rsidR="00DF410E" w:rsidRDefault="00CE7F43">
      <w:r>
        <w:br/>
      </w:r>
      <w:r>
        <w:rPr>
          <w:rStyle w:val="optioncarChar"/>
        </w:rPr>
        <w:t>Surface nette  </w:t>
      </w:r>
      <w:r>
        <w:t>(par défaut)</w:t>
      </w:r>
      <w:r>
        <w:rPr>
          <w:rStyle w:val="optioncarChar"/>
        </w:rPr>
        <w:t> / Volume net</w:t>
      </w:r>
    </w:p>
    <w:p w14:paraId="690D9BD8" w14:textId="77777777" w:rsidR="00DF410E" w:rsidRDefault="00CE7F43">
      <w:r>
        <w:rPr>
          <w:b/>
        </w:rPr>
        <w:t>(soit par défaut)</w:t>
      </w:r>
    </w:p>
    <w:p w14:paraId="4A20A14F" w14:textId="77777777" w:rsidR="00DF410E" w:rsidRDefault="00CE7F43">
      <w:r>
        <w:rPr>
          <w:rStyle w:val="soitChar"/>
        </w:rPr>
        <w:t>1. </w:t>
      </w:r>
      <w:r>
        <w:rPr>
          <w:rStyle w:val="soitChar"/>
          <w:u w:val="single"/>
        </w:rPr>
        <w:t>Surface nette </w:t>
      </w:r>
      <w:r>
        <w:rPr>
          <w:rStyle w:val="soitChar"/>
        </w:rPr>
        <w:t>de maçonnerie à mettre en œuvre</w:t>
      </w:r>
      <w:r>
        <w:br/>
      </w:r>
      <w:r>
        <w:rPr>
          <w:rStyle w:val="soitChar"/>
        </w:rPr>
        <w:t>Distinction faite suivant le type, nature des moellons (neuve et/ou de réemploi) et l’épaisseur. S’il s’agit de réemploi, distinguer : avec ou sans fourniture.</w:t>
      </w:r>
    </w:p>
    <w:p w14:paraId="60D9267E" w14:textId="77777777" w:rsidR="00DF410E" w:rsidRDefault="00CE7F43">
      <w:r>
        <w:rPr>
          <w:b/>
        </w:rPr>
        <w:t>(soit)</w:t>
      </w:r>
    </w:p>
    <w:p w14:paraId="05A6A4F7" w14:textId="77777777" w:rsidR="00DF410E" w:rsidRDefault="00CE7F43">
      <w:r>
        <w:rPr>
          <w:rStyle w:val="soitChar"/>
        </w:rPr>
        <w:t>2. </w:t>
      </w:r>
      <w:r>
        <w:t> </w:t>
      </w:r>
      <w:r>
        <w:rPr>
          <w:rStyle w:val="soitChar"/>
          <w:u w:val="single"/>
        </w:rPr>
        <w:t>Volume net</w:t>
      </w:r>
      <w:r>
        <w:rPr>
          <w:rStyle w:val="soitChar"/>
        </w:rPr>
        <w:t xml:space="preserve"> de maçonnerie à mettre en œuvre</w:t>
      </w:r>
      <w:r>
        <w:br/>
      </w:r>
      <w:r>
        <w:rPr>
          <w:rStyle w:val="soitChar"/>
        </w:rPr>
        <w:t>Distinction faite suivant le type, nature des moellons (neuve et/ou de réemploi) et l’épaisseur. S’il s’agit de réemploi, distinguer : avec ou sans fourniture.</w:t>
      </w:r>
    </w:p>
    <w:p w14:paraId="65134E80" w14:textId="77777777" w:rsidR="00DF410E" w:rsidRDefault="00CE7F43">
      <w:pPr>
        <w:pStyle w:val="pheading"/>
      </w:pPr>
      <w:r>
        <w:t>- nature du marché:</w:t>
      </w:r>
    </w:p>
    <w:p w14:paraId="30B77C3D" w14:textId="77777777" w:rsidR="00DF410E" w:rsidRDefault="00CE7F43">
      <w:r>
        <w:t>QF</w:t>
      </w:r>
    </w:p>
    <w:p w14:paraId="0A25EDAE" w14:textId="77777777" w:rsidR="00DF410E" w:rsidRDefault="00CE7F43">
      <w:pPr>
        <w:pStyle w:val="Author-eSectionHeading4"/>
      </w:pPr>
      <w:bookmarkStart w:id="286" w:name="_Toc178837515"/>
      <w:r>
        <w:t>21.34 Maçonneries de parement en grands éléments CCTB 01.04</w:t>
      </w:r>
      <w:bookmarkEnd w:id="286"/>
    </w:p>
    <w:p w14:paraId="6C1BE48E" w14:textId="77777777" w:rsidR="00DF410E" w:rsidRDefault="00CE7F43">
      <w:pPr>
        <w:pStyle w:val="Author-eSectionHeading5"/>
      </w:pPr>
      <w:bookmarkStart w:id="287" w:name="463"/>
      <w:bookmarkStart w:id="288" w:name="_Toc178837516"/>
      <w:bookmarkEnd w:id="287"/>
      <w:r>
        <w:t>21.34.1 Maçonneries de parement préfabriquées CCTB 01.04</w:t>
      </w:r>
      <w:bookmarkEnd w:id="288"/>
    </w:p>
    <w:p w14:paraId="051C0C35" w14:textId="77777777" w:rsidR="00DF410E" w:rsidRDefault="00CE7F43">
      <w:pPr>
        <w:pStyle w:val="Author-eSectionHeading6"/>
      </w:pPr>
      <w:bookmarkStart w:id="289" w:name="_Toc178837517"/>
      <w:r>
        <w:t>21.34.1a Maçonneries de parement préfabriquées en blocs de terre cuite CCTB 01.11</w:t>
      </w:r>
      <w:bookmarkEnd w:id="289"/>
    </w:p>
    <w:p w14:paraId="200D0108" w14:textId="77777777" w:rsidR="00DF410E" w:rsidRDefault="00CE7F43">
      <w:pPr>
        <w:pStyle w:val="pheading"/>
      </w:pPr>
      <w:r>
        <w:t>DESCRIPTION</w:t>
      </w:r>
    </w:p>
    <w:p w14:paraId="2DED5717" w14:textId="77777777" w:rsidR="00DF410E" w:rsidRDefault="00CE7F43">
      <w:pPr>
        <w:pStyle w:val="pheading"/>
      </w:pPr>
      <w:r>
        <w:t>- Définition / Comprend</w:t>
      </w:r>
    </w:p>
    <w:p w14:paraId="0532D644" w14:textId="77777777" w:rsidR="00DF410E" w:rsidRDefault="00CE7F43">
      <w:r>
        <w:t>Il s’agit de la fourniture et la pose de maçonneries de parement préfabriquées en blocs de terre cuite.</w:t>
      </w:r>
    </w:p>
    <w:p w14:paraId="0A529811" w14:textId="77777777" w:rsidR="00DF410E" w:rsidRDefault="00CE7F43">
      <w:r>
        <w:t xml:space="preserve">La portée des travaux est décrite dans l’article </w:t>
      </w:r>
      <w:hyperlink w:anchor="379" w:history="1">
        <w:r>
          <w:t>21.3 Maçonneries de parement</w:t>
        </w:r>
      </w:hyperlink>
      <w:r>
        <w:rPr>
          <w:color w:val="000000"/>
        </w:rPr>
        <w:t>.</w:t>
      </w:r>
    </w:p>
    <w:p w14:paraId="1DA081D8" w14:textId="77777777" w:rsidR="00DF410E" w:rsidRDefault="00CE7F43">
      <w:pPr>
        <w:pStyle w:val="pheading"/>
      </w:pPr>
      <w:r>
        <w:t>- Localisation</w:t>
      </w:r>
    </w:p>
    <w:p w14:paraId="31A201C1" w14:textId="77777777" w:rsidR="00DF410E" w:rsidRDefault="00CE7F43">
      <w:r>
        <w:t xml:space="preserve">La pose est réalisée aux endroits suivants : </w:t>
      </w:r>
      <w:r>
        <w:rPr>
          <w:rStyle w:val="optioncarChar"/>
        </w:rPr>
        <w:t>***</w:t>
      </w:r>
      <w:r>
        <w:t>.</w:t>
      </w:r>
    </w:p>
    <w:p w14:paraId="2F2A0B20" w14:textId="77777777" w:rsidR="00DF410E" w:rsidRDefault="00CE7F43">
      <w:r>
        <w:t>Voir plans et métrés détaillés.</w:t>
      </w:r>
    </w:p>
    <w:p w14:paraId="7AF9A56F" w14:textId="77777777" w:rsidR="00DF410E" w:rsidRDefault="00CE7F43">
      <w:pPr>
        <w:pStyle w:val="pheading"/>
      </w:pPr>
      <w:r>
        <w:t>MATÉRIAUX</w:t>
      </w:r>
    </w:p>
    <w:p w14:paraId="564C9938" w14:textId="77777777" w:rsidR="00DF410E" w:rsidRDefault="00CE7F43">
      <w:pPr>
        <w:pStyle w:val="pheading"/>
      </w:pPr>
      <w:r>
        <w:t>- Finitions</w:t>
      </w:r>
    </w:p>
    <w:p w14:paraId="539EE9F6" w14:textId="77777777" w:rsidR="00DF410E" w:rsidRDefault="00CE7F43">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344" w:history="1">
        <w:r>
          <w:rPr>
            <w:color w:val="000000"/>
          </w:rPr>
          <w:t>21.61.1b Joints de maçonnerie apparente</w:t>
        </w:r>
      </w:hyperlink>
      <w:r>
        <w:rPr>
          <w:color w:val="000000"/>
        </w:rPr>
        <w:t xml:space="preserve"> :</w:t>
      </w:r>
      <w:r>
        <w:rPr>
          <w:rStyle w:val="optioncarChar"/>
        </w:rPr>
        <w:t xml:space="preserve">*** </w:t>
      </w:r>
    </w:p>
    <w:p w14:paraId="12825C6F" w14:textId="77777777" w:rsidR="00DF410E" w:rsidRDefault="00CE7F43">
      <w:pPr>
        <w:spacing w:before="0" w:after="0" w:line="0" w:lineRule="atLeast"/>
      </w:pPr>
      <w:r>
        <w:rPr>
          <w:color w:val="000000"/>
        </w:rPr>
        <w:t xml:space="preserve">Les murs suivants sont exécutés avec deux faces restant apparentes : </w:t>
      </w:r>
      <w:r>
        <w:rPr>
          <w:rStyle w:val="optioncarChar"/>
        </w:rPr>
        <w:t>***</w:t>
      </w:r>
    </w:p>
    <w:p w14:paraId="2E20CE8A"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3BA05129"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1056613F"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5CDD6F13"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5FB06CB" w14:textId="77777777" w:rsidR="00DF410E" w:rsidRDefault="00DF410E"/>
    <w:p w14:paraId="7A4059E2" w14:textId="77777777" w:rsidR="00DF410E" w:rsidRDefault="00CE7F43">
      <w:r>
        <w:t> </w:t>
      </w:r>
    </w:p>
    <w:p w14:paraId="11C51F87" w14:textId="77777777" w:rsidR="00DF410E" w:rsidRDefault="00CE7F43">
      <w:pPr>
        <w:pStyle w:val="pheading"/>
      </w:pPr>
      <w:r>
        <w:t>MESURAGE</w:t>
      </w:r>
    </w:p>
    <w:p w14:paraId="52572B39" w14:textId="77777777" w:rsidR="00DF410E" w:rsidRDefault="00CE7F43">
      <w:pPr>
        <w:pStyle w:val="pheading"/>
      </w:pPr>
      <w:r>
        <w:t>- unité de mesure:</w:t>
      </w:r>
    </w:p>
    <w:p w14:paraId="752217D9" w14:textId="77777777" w:rsidR="00DF410E" w:rsidRDefault="00CE7F43">
      <w:r>
        <w:rPr>
          <w:rStyle w:val="optioncarChar"/>
        </w:rPr>
        <w:t>m² </w:t>
      </w:r>
      <w:r>
        <w:rPr>
          <w:rStyle w:val="optioncarChar"/>
          <w:color w:val="000000"/>
        </w:rPr>
        <w:t>(par défaut)</w:t>
      </w:r>
      <w:r>
        <w:rPr>
          <w:rStyle w:val="optioncarChar"/>
        </w:rPr>
        <w:t> / m³</w:t>
      </w:r>
    </w:p>
    <w:p w14:paraId="37F9E07C" w14:textId="77777777" w:rsidR="00DF410E" w:rsidRDefault="00CE7F43">
      <w:pPr>
        <w:spacing w:after="0" w:line="0" w:lineRule="atLeast"/>
      </w:pPr>
      <w:r>
        <w:rPr>
          <w:b/>
          <w:color w:val="000000"/>
        </w:rPr>
        <w:t>(soit par défaut)</w:t>
      </w:r>
    </w:p>
    <w:p w14:paraId="0825CA3E" w14:textId="77777777" w:rsidR="00DF410E" w:rsidRDefault="00CE7F43">
      <w:pPr>
        <w:spacing w:after="0" w:line="0" w:lineRule="atLeast"/>
      </w:pPr>
      <w:r>
        <w:rPr>
          <w:rStyle w:val="soitChar"/>
        </w:rPr>
        <w:t>1. m²</w:t>
      </w:r>
    </w:p>
    <w:p w14:paraId="2CCC7428" w14:textId="77777777" w:rsidR="00DF410E" w:rsidRDefault="00CE7F43">
      <w:pPr>
        <w:spacing w:after="0" w:line="0" w:lineRule="atLeast"/>
      </w:pPr>
      <w:r>
        <w:rPr>
          <w:b/>
          <w:color w:val="000000"/>
        </w:rPr>
        <w:t>(soit)</w:t>
      </w:r>
    </w:p>
    <w:p w14:paraId="3A90EEE2" w14:textId="77777777" w:rsidR="00DF410E" w:rsidRDefault="00CE7F43">
      <w:pPr>
        <w:spacing w:after="0" w:line="0" w:lineRule="atLeast"/>
      </w:pPr>
      <w:r>
        <w:rPr>
          <w:rStyle w:val="soitChar"/>
        </w:rPr>
        <w:t>2. m³</w:t>
      </w:r>
    </w:p>
    <w:p w14:paraId="65293176" w14:textId="77777777" w:rsidR="00DF410E" w:rsidRDefault="00CE7F43">
      <w:pPr>
        <w:pStyle w:val="pheading"/>
      </w:pPr>
      <w:r>
        <w:t>- code de mesurage:</w:t>
      </w:r>
    </w:p>
    <w:p w14:paraId="785B6224" w14:textId="77777777" w:rsidR="00DF410E" w:rsidRDefault="00CE7F43">
      <w:pPr>
        <w:spacing w:before="0" w:after="0"/>
      </w:pPr>
      <w:r>
        <w:t>Les maçonneries sont mesurées en fonction de leur forme géométrique.</w:t>
      </w:r>
    </w:p>
    <w:p w14:paraId="64D0FCF5"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408522D6" w14:textId="77777777" w:rsidR="00DF410E" w:rsidRDefault="00CE7F43">
      <w:pPr>
        <w:spacing w:before="0" w:after="0"/>
      </w:pPr>
      <w:r>
        <w:t>La coulisse n'est jamais prise en compte.</w:t>
      </w:r>
    </w:p>
    <w:p w14:paraId="4E9651CB" w14:textId="77777777" w:rsidR="00DF410E" w:rsidRDefault="00DF410E"/>
    <w:p w14:paraId="77CCC1B8"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05309C0B" w14:textId="77777777" w:rsidR="00DF410E" w:rsidRDefault="00CE7F43">
      <w:pPr>
        <w:spacing w:after="0" w:line="252" w:lineRule="auto"/>
      </w:pPr>
      <w:r>
        <w:rPr>
          <w:b/>
          <w:color w:val="000000"/>
        </w:rPr>
        <w:t>(soit par défaut)</w:t>
      </w:r>
    </w:p>
    <w:p w14:paraId="34DF1090"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C8B317C" w14:textId="77777777" w:rsidR="00DF410E" w:rsidRDefault="00CE7F43">
      <w:pPr>
        <w:spacing w:after="0" w:line="252" w:lineRule="auto"/>
      </w:pPr>
      <w:r>
        <w:rPr>
          <w:rStyle w:val="soitChar"/>
        </w:rPr>
        <w:t>Distinction faite suivant l'épaisseur.</w:t>
      </w:r>
    </w:p>
    <w:p w14:paraId="32F665B2" w14:textId="77777777" w:rsidR="00DF410E" w:rsidRDefault="00CE7F43">
      <w:pPr>
        <w:spacing w:line="252" w:lineRule="auto"/>
      </w:pPr>
      <w:r>
        <w:rPr>
          <w:b/>
          <w:color w:val="000000"/>
        </w:rPr>
        <w:t>(soit)</w:t>
      </w:r>
    </w:p>
    <w:p w14:paraId="31A83D0D"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1E3AD7F8"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527BFA11" w14:textId="77777777" w:rsidR="00DF410E" w:rsidRDefault="00DF410E"/>
    <w:p w14:paraId="7935481F" w14:textId="77777777" w:rsidR="00DF410E" w:rsidRDefault="00CE7F43">
      <w:r>
        <w:t> </w:t>
      </w:r>
    </w:p>
    <w:p w14:paraId="0C1CC753" w14:textId="77777777" w:rsidR="00DF410E" w:rsidRDefault="00CE7F43">
      <w:pPr>
        <w:pStyle w:val="pheading"/>
      </w:pPr>
      <w:r>
        <w:t>- nature du marché:</w:t>
      </w:r>
    </w:p>
    <w:p w14:paraId="47176A95" w14:textId="77777777" w:rsidR="00DF410E" w:rsidRDefault="00CE7F43">
      <w:r>
        <w:t>QF</w:t>
      </w:r>
    </w:p>
    <w:p w14:paraId="6860AF24" w14:textId="77777777" w:rsidR="00DF410E" w:rsidRDefault="00CE7F43">
      <w:pPr>
        <w:pStyle w:val="Author-eSectionHeading6"/>
      </w:pPr>
      <w:bookmarkStart w:id="290" w:name="_Toc178837518"/>
      <w:r>
        <w:t>21.34.1b Maçonneries de parement préfabriquées en blocs de béton CCTB 01.11</w:t>
      </w:r>
      <w:bookmarkEnd w:id="290"/>
    </w:p>
    <w:p w14:paraId="602BF030" w14:textId="77777777" w:rsidR="00DF410E" w:rsidRDefault="00CE7F43">
      <w:pPr>
        <w:pStyle w:val="pheading"/>
      </w:pPr>
      <w:r>
        <w:t>DESCRIPTION</w:t>
      </w:r>
    </w:p>
    <w:p w14:paraId="10AA41CC" w14:textId="77777777" w:rsidR="00DF410E" w:rsidRDefault="00CE7F43">
      <w:pPr>
        <w:pStyle w:val="pheading"/>
      </w:pPr>
      <w:r>
        <w:t>- Définition / Comprend</w:t>
      </w:r>
    </w:p>
    <w:p w14:paraId="6EAAF936" w14:textId="77777777" w:rsidR="00DF410E" w:rsidRDefault="00CE7F43">
      <w:r>
        <w:t>Il s’agit de la fourniture et la pose de maçonneries de parement préfabriquées en blocs de terre cuite.</w:t>
      </w:r>
    </w:p>
    <w:p w14:paraId="30277F1C" w14:textId="77777777" w:rsidR="00DF410E" w:rsidRDefault="00CE7F43">
      <w:r>
        <w:t xml:space="preserve">La portée des travaux est décrite dans l’article </w:t>
      </w:r>
      <w:hyperlink w:anchor="379" w:history="1">
        <w:r>
          <w:t>21.3 Maçonneries de parement</w:t>
        </w:r>
      </w:hyperlink>
      <w:r>
        <w:rPr>
          <w:color w:val="000000"/>
        </w:rPr>
        <w:t>.</w:t>
      </w:r>
    </w:p>
    <w:p w14:paraId="76441DA0" w14:textId="77777777" w:rsidR="00DF410E" w:rsidRDefault="00CE7F43">
      <w:pPr>
        <w:pStyle w:val="pheading"/>
      </w:pPr>
      <w:r>
        <w:t>- Localisation</w:t>
      </w:r>
    </w:p>
    <w:p w14:paraId="2E3175C4" w14:textId="77777777" w:rsidR="00DF410E" w:rsidRDefault="00CE7F43">
      <w:r>
        <w:t xml:space="preserve">La pose est réalisée aux endroits suivants : </w:t>
      </w:r>
      <w:r>
        <w:rPr>
          <w:rStyle w:val="optioncarChar"/>
        </w:rPr>
        <w:t>***</w:t>
      </w:r>
      <w:r>
        <w:t>.</w:t>
      </w:r>
    </w:p>
    <w:p w14:paraId="3A7FB6BF" w14:textId="77777777" w:rsidR="00DF410E" w:rsidRDefault="00CE7F43">
      <w:r>
        <w:t>Voir plans et métrés détaillés.</w:t>
      </w:r>
    </w:p>
    <w:p w14:paraId="50928F5C" w14:textId="77777777" w:rsidR="00DF410E" w:rsidRDefault="00CE7F43">
      <w:pPr>
        <w:pStyle w:val="pheading"/>
      </w:pPr>
      <w:r>
        <w:t>MATÉRIAUX</w:t>
      </w:r>
    </w:p>
    <w:p w14:paraId="21928B53" w14:textId="77777777" w:rsidR="00DF410E" w:rsidRDefault="00CE7F43">
      <w:pPr>
        <w:pStyle w:val="pheading"/>
      </w:pPr>
      <w:r>
        <w:t>- Finitions</w:t>
      </w:r>
    </w:p>
    <w:p w14:paraId="0DF7ACE6" w14:textId="77777777" w:rsidR="00DF410E" w:rsidRDefault="00CE7F43">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344" w:history="1">
        <w:r>
          <w:rPr>
            <w:color w:val="000000"/>
          </w:rPr>
          <w:t>21.61.1b Joints de maçonnerie apparente</w:t>
        </w:r>
      </w:hyperlink>
      <w:r>
        <w:rPr>
          <w:color w:val="000000"/>
        </w:rPr>
        <w:t xml:space="preserve"> :</w:t>
      </w:r>
      <w:r>
        <w:rPr>
          <w:rStyle w:val="optioncarChar"/>
        </w:rPr>
        <w:t xml:space="preserve">*** </w:t>
      </w:r>
    </w:p>
    <w:p w14:paraId="71B09A71" w14:textId="77777777" w:rsidR="00DF410E" w:rsidRDefault="00CE7F43">
      <w:pPr>
        <w:spacing w:before="0" w:after="0" w:line="0" w:lineRule="atLeast"/>
      </w:pPr>
      <w:r>
        <w:rPr>
          <w:color w:val="000000"/>
        </w:rPr>
        <w:t xml:space="preserve">Les murs suivants sont exécutés avec deux faces restant apparentes : </w:t>
      </w:r>
      <w:r>
        <w:rPr>
          <w:rStyle w:val="optioncarChar"/>
        </w:rPr>
        <w:t>***</w:t>
      </w:r>
    </w:p>
    <w:p w14:paraId="1F21C54F"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D9B1CAC"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72A7DC6E"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2CC0622C"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6B82EF59" w14:textId="77777777" w:rsidR="00DF410E" w:rsidRDefault="00CE7F43">
      <w:pPr>
        <w:pStyle w:val="pheading"/>
      </w:pPr>
      <w:r>
        <w:t>MESURAGE</w:t>
      </w:r>
    </w:p>
    <w:p w14:paraId="19252079" w14:textId="77777777" w:rsidR="00DF410E" w:rsidRDefault="00CE7F43">
      <w:pPr>
        <w:pStyle w:val="pheading"/>
      </w:pPr>
      <w:r>
        <w:t>- unité de mesure:</w:t>
      </w:r>
    </w:p>
    <w:p w14:paraId="405B6E3D" w14:textId="77777777" w:rsidR="00DF410E" w:rsidRDefault="00CE7F43">
      <w:r>
        <w:rPr>
          <w:rStyle w:val="optioncarChar"/>
        </w:rPr>
        <w:t>m² </w:t>
      </w:r>
      <w:r>
        <w:rPr>
          <w:rStyle w:val="optioncarChar"/>
          <w:color w:val="000000"/>
        </w:rPr>
        <w:t>(par défaut)</w:t>
      </w:r>
      <w:r>
        <w:rPr>
          <w:rStyle w:val="optioncarChar"/>
        </w:rPr>
        <w:t> / m³</w:t>
      </w:r>
    </w:p>
    <w:p w14:paraId="0EA1016A" w14:textId="77777777" w:rsidR="00DF410E" w:rsidRDefault="00CE7F43">
      <w:pPr>
        <w:spacing w:after="0" w:line="0" w:lineRule="atLeast"/>
      </w:pPr>
      <w:r>
        <w:rPr>
          <w:b/>
          <w:color w:val="000000"/>
        </w:rPr>
        <w:t>(soit par défaut)</w:t>
      </w:r>
    </w:p>
    <w:p w14:paraId="51BFFE86" w14:textId="77777777" w:rsidR="00DF410E" w:rsidRDefault="00CE7F43">
      <w:pPr>
        <w:spacing w:after="0" w:line="0" w:lineRule="atLeast"/>
      </w:pPr>
      <w:r>
        <w:rPr>
          <w:rStyle w:val="soitChar"/>
        </w:rPr>
        <w:t>1. m²</w:t>
      </w:r>
    </w:p>
    <w:p w14:paraId="4D942B4D" w14:textId="77777777" w:rsidR="00DF410E" w:rsidRDefault="00CE7F43">
      <w:pPr>
        <w:spacing w:after="0" w:line="0" w:lineRule="atLeast"/>
      </w:pPr>
      <w:r>
        <w:rPr>
          <w:b/>
          <w:color w:val="000000"/>
        </w:rPr>
        <w:t>(soit)</w:t>
      </w:r>
    </w:p>
    <w:p w14:paraId="484E13E5" w14:textId="77777777" w:rsidR="00DF410E" w:rsidRDefault="00CE7F43">
      <w:pPr>
        <w:spacing w:after="0" w:line="0" w:lineRule="atLeast"/>
      </w:pPr>
      <w:r>
        <w:rPr>
          <w:rStyle w:val="soitChar"/>
        </w:rPr>
        <w:t>2. m³</w:t>
      </w:r>
    </w:p>
    <w:p w14:paraId="765E19BF" w14:textId="77777777" w:rsidR="00DF410E" w:rsidRDefault="00CE7F43">
      <w:pPr>
        <w:pStyle w:val="pheading"/>
      </w:pPr>
      <w:r>
        <w:t>- code de mesurage:</w:t>
      </w:r>
    </w:p>
    <w:p w14:paraId="130EA143" w14:textId="77777777" w:rsidR="00DF410E" w:rsidRDefault="00CE7F43">
      <w:pPr>
        <w:spacing w:before="0" w:after="0"/>
      </w:pPr>
      <w:r>
        <w:t>Les maçonneries sont mesurées en fonction de leur forme géométrique.</w:t>
      </w:r>
    </w:p>
    <w:p w14:paraId="334D37F8"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3468FA83" w14:textId="77777777" w:rsidR="00DF410E" w:rsidRDefault="00CE7F43">
      <w:pPr>
        <w:spacing w:before="0" w:after="0"/>
      </w:pPr>
      <w:r>
        <w:t>La coulisse n'est jamais prise en compte.</w:t>
      </w:r>
    </w:p>
    <w:p w14:paraId="3A5F5021" w14:textId="77777777" w:rsidR="00DF410E" w:rsidRDefault="00DF410E"/>
    <w:p w14:paraId="7591C1F9"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73CB724D" w14:textId="77777777" w:rsidR="00DF410E" w:rsidRDefault="00CE7F43">
      <w:pPr>
        <w:spacing w:after="0" w:line="252" w:lineRule="auto"/>
      </w:pPr>
      <w:r>
        <w:rPr>
          <w:b/>
          <w:color w:val="000000"/>
        </w:rPr>
        <w:t>(soit par défaut)</w:t>
      </w:r>
    </w:p>
    <w:p w14:paraId="5EECF61F"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43AAF0BB" w14:textId="77777777" w:rsidR="00DF410E" w:rsidRDefault="00CE7F43">
      <w:pPr>
        <w:spacing w:after="0" w:line="252" w:lineRule="auto"/>
      </w:pPr>
      <w:r>
        <w:rPr>
          <w:rStyle w:val="soitChar"/>
        </w:rPr>
        <w:t>Distinction faite suivant l'épaisseur.</w:t>
      </w:r>
    </w:p>
    <w:p w14:paraId="0FE21E3D" w14:textId="77777777" w:rsidR="00DF410E" w:rsidRDefault="00CE7F43">
      <w:pPr>
        <w:spacing w:line="252" w:lineRule="auto"/>
      </w:pPr>
      <w:r>
        <w:rPr>
          <w:b/>
          <w:color w:val="000000"/>
        </w:rPr>
        <w:t>(soit)</w:t>
      </w:r>
    </w:p>
    <w:p w14:paraId="70AEB7A4"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9C7F23B"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06A4B1C1" w14:textId="77777777" w:rsidR="00DF410E" w:rsidRDefault="00DF410E"/>
    <w:p w14:paraId="7743F760" w14:textId="77777777" w:rsidR="00DF410E" w:rsidRDefault="00CE7F43">
      <w:r>
        <w:t> </w:t>
      </w:r>
    </w:p>
    <w:p w14:paraId="05761BE9" w14:textId="77777777" w:rsidR="00DF410E" w:rsidRDefault="00CE7F43">
      <w:pPr>
        <w:pStyle w:val="pheading"/>
      </w:pPr>
      <w:r>
        <w:t>- nature du marché:</w:t>
      </w:r>
    </w:p>
    <w:p w14:paraId="1F195AD7" w14:textId="77777777" w:rsidR="00DF410E" w:rsidRDefault="00CE7F43">
      <w:r>
        <w:t>QF</w:t>
      </w:r>
    </w:p>
    <w:p w14:paraId="2ABEAF7E" w14:textId="77777777" w:rsidR="00DF410E" w:rsidRDefault="00CE7F43">
      <w:pPr>
        <w:pStyle w:val="Author-eSectionHeading6"/>
      </w:pPr>
      <w:bookmarkStart w:id="291" w:name="_Toc178837519"/>
      <w:r>
        <w:t>21.34.1c Maçonneries de parement préfabriquées en blocs de béton d'argile expansée CCTB 01.11</w:t>
      </w:r>
      <w:bookmarkEnd w:id="291"/>
    </w:p>
    <w:p w14:paraId="705F2FE4" w14:textId="77777777" w:rsidR="00DF410E" w:rsidRDefault="00CE7F43">
      <w:pPr>
        <w:pStyle w:val="pheading"/>
      </w:pPr>
      <w:r>
        <w:t>DESCRIPTION</w:t>
      </w:r>
    </w:p>
    <w:p w14:paraId="0EBD23BC" w14:textId="77777777" w:rsidR="00DF410E" w:rsidRDefault="00CE7F43">
      <w:pPr>
        <w:pStyle w:val="pheading"/>
      </w:pPr>
      <w:r>
        <w:t>- Définition / Comprend</w:t>
      </w:r>
    </w:p>
    <w:p w14:paraId="091097FA" w14:textId="77777777" w:rsidR="00DF410E" w:rsidRDefault="00CE7F43">
      <w:r>
        <w:t>Il s’agit de la fourniture et la pose de maçonneries de parement préfabriquées en blocs de terre cuite.</w:t>
      </w:r>
    </w:p>
    <w:p w14:paraId="5CA2F988" w14:textId="77777777" w:rsidR="00DF410E" w:rsidRDefault="00CE7F43">
      <w:r>
        <w:t>La portée des travaux est décrite dans l’article </w:t>
      </w:r>
      <w:hyperlink w:anchor="379" w:history="1">
        <w:r>
          <w:t>21.3 Maçonneries de parement</w:t>
        </w:r>
      </w:hyperlink>
      <w:r>
        <w:rPr>
          <w:color w:val="000000"/>
        </w:rPr>
        <w:t>.</w:t>
      </w:r>
    </w:p>
    <w:p w14:paraId="734BBA95" w14:textId="77777777" w:rsidR="00DF410E" w:rsidRDefault="00CE7F43">
      <w:pPr>
        <w:pStyle w:val="pheading"/>
      </w:pPr>
      <w:r>
        <w:t>- Localisation</w:t>
      </w:r>
    </w:p>
    <w:p w14:paraId="3B41E0B6" w14:textId="77777777" w:rsidR="00DF410E" w:rsidRDefault="00CE7F43">
      <w:r>
        <w:t xml:space="preserve">La pose est réalisée aux endroits suivants : </w:t>
      </w:r>
      <w:r>
        <w:rPr>
          <w:rStyle w:val="optioncarChar"/>
        </w:rPr>
        <w:t>***</w:t>
      </w:r>
      <w:r>
        <w:t>.</w:t>
      </w:r>
    </w:p>
    <w:p w14:paraId="6956863F" w14:textId="77777777" w:rsidR="00DF410E" w:rsidRDefault="00CE7F43">
      <w:r>
        <w:t>Voir plans et métrés détaillés.</w:t>
      </w:r>
    </w:p>
    <w:p w14:paraId="376920D0" w14:textId="77777777" w:rsidR="00DF410E" w:rsidRDefault="00CE7F43">
      <w:pPr>
        <w:pStyle w:val="pheading"/>
      </w:pPr>
      <w:r>
        <w:t>MATÉRIAUX</w:t>
      </w:r>
    </w:p>
    <w:p w14:paraId="571CA40D" w14:textId="77777777" w:rsidR="00DF410E" w:rsidRDefault="00CE7F43">
      <w:pPr>
        <w:pStyle w:val="pheading"/>
      </w:pPr>
      <w:r>
        <w:t>- Finitions</w:t>
      </w:r>
    </w:p>
    <w:p w14:paraId="00CE746C" w14:textId="77777777" w:rsidR="00DF410E" w:rsidRDefault="00CE7F43">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344" w:history="1">
        <w:r>
          <w:rPr>
            <w:color w:val="000000"/>
          </w:rPr>
          <w:t>21.61.1b Joints de maçonnerie apparente</w:t>
        </w:r>
      </w:hyperlink>
      <w:r>
        <w:rPr>
          <w:color w:val="000000"/>
        </w:rPr>
        <w:t xml:space="preserve"> :</w:t>
      </w:r>
      <w:r>
        <w:rPr>
          <w:rStyle w:val="optioncarChar"/>
        </w:rPr>
        <w:t xml:space="preserve">*** </w:t>
      </w:r>
    </w:p>
    <w:p w14:paraId="0B5503B7" w14:textId="77777777" w:rsidR="00DF410E" w:rsidRDefault="00CE7F43">
      <w:pPr>
        <w:spacing w:before="0" w:after="0" w:line="0" w:lineRule="atLeast"/>
      </w:pPr>
      <w:r>
        <w:rPr>
          <w:color w:val="000000"/>
        </w:rPr>
        <w:t xml:space="preserve">Les murs suivants sont exécutés avec deux faces restant apparentes : </w:t>
      </w:r>
      <w:r>
        <w:rPr>
          <w:rStyle w:val="optioncarChar"/>
        </w:rPr>
        <w:t>***</w:t>
      </w:r>
    </w:p>
    <w:p w14:paraId="577C4AF6" w14:textId="77777777" w:rsidR="00DF410E" w:rsidRDefault="00CE7F43">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654AFA5" w14:textId="77777777" w:rsidR="00DF410E" w:rsidRDefault="00CE7F43">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09E3413C" w14:textId="77777777" w:rsidR="00DF410E" w:rsidRDefault="00CE7F43">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E4A4AAC" w14:textId="77777777" w:rsidR="00DF410E" w:rsidRDefault="00CE7F43">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331FAB4F" w14:textId="77777777" w:rsidR="00DF410E" w:rsidRDefault="00DF410E"/>
    <w:p w14:paraId="60FBD53B" w14:textId="77777777" w:rsidR="00DF410E" w:rsidRDefault="00CE7F43">
      <w:r>
        <w:t> </w:t>
      </w:r>
    </w:p>
    <w:p w14:paraId="383028FA" w14:textId="77777777" w:rsidR="00DF410E" w:rsidRDefault="00CE7F43">
      <w:pPr>
        <w:pStyle w:val="pheading"/>
      </w:pPr>
      <w:r>
        <w:t>MESURAGE</w:t>
      </w:r>
    </w:p>
    <w:p w14:paraId="2AA0D1EB" w14:textId="77777777" w:rsidR="00DF410E" w:rsidRDefault="00CE7F43">
      <w:pPr>
        <w:pStyle w:val="pheading"/>
      </w:pPr>
      <w:r>
        <w:t>- unité de mesure:</w:t>
      </w:r>
    </w:p>
    <w:p w14:paraId="76A1E8B4" w14:textId="77777777" w:rsidR="00DF410E" w:rsidRDefault="00CE7F43">
      <w:r>
        <w:rPr>
          <w:rStyle w:val="optioncarChar"/>
        </w:rPr>
        <w:t>m² </w:t>
      </w:r>
      <w:r>
        <w:rPr>
          <w:rStyle w:val="optioncarChar"/>
          <w:color w:val="000000"/>
        </w:rPr>
        <w:t>(par défaut)</w:t>
      </w:r>
      <w:r>
        <w:rPr>
          <w:rStyle w:val="optioncarChar"/>
        </w:rPr>
        <w:t> / m³</w:t>
      </w:r>
    </w:p>
    <w:p w14:paraId="3C693468" w14:textId="77777777" w:rsidR="00DF410E" w:rsidRDefault="00CE7F43">
      <w:pPr>
        <w:spacing w:after="0" w:line="0" w:lineRule="atLeast"/>
      </w:pPr>
      <w:r>
        <w:rPr>
          <w:b/>
          <w:color w:val="000000"/>
        </w:rPr>
        <w:t>(soit par défaut)</w:t>
      </w:r>
    </w:p>
    <w:p w14:paraId="2B0C4CBA" w14:textId="77777777" w:rsidR="00DF410E" w:rsidRDefault="00CE7F43">
      <w:pPr>
        <w:spacing w:after="0" w:line="0" w:lineRule="atLeast"/>
      </w:pPr>
      <w:r>
        <w:rPr>
          <w:rStyle w:val="soitChar"/>
        </w:rPr>
        <w:t>1. m²</w:t>
      </w:r>
    </w:p>
    <w:p w14:paraId="11E85856" w14:textId="77777777" w:rsidR="00DF410E" w:rsidRDefault="00CE7F43">
      <w:pPr>
        <w:spacing w:after="0" w:line="0" w:lineRule="atLeast"/>
      </w:pPr>
      <w:r>
        <w:rPr>
          <w:b/>
          <w:color w:val="000000"/>
        </w:rPr>
        <w:t>(soit)</w:t>
      </w:r>
    </w:p>
    <w:p w14:paraId="199189C6" w14:textId="77777777" w:rsidR="00DF410E" w:rsidRDefault="00CE7F43">
      <w:pPr>
        <w:spacing w:after="0" w:line="0" w:lineRule="atLeast"/>
      </w:pPr>
      <w:r>
        <w:rPr>
          <w:rStyle w:val="soitChar"/>
        </w:rPr>
        <w:t>2. m³</w:t>
      </w:r>
    </w:p>
    <w:p w14:paraId="7F5F430C" w14:textId="77777777" w:rsidR="00DF410E" w:rsidRDefault="00CE7F43">
      <w:pPr>
        <w:pStyle w:val="pheading"/>
      </w:pPr>
      <w:r>
        <w:t>- code de mesurage:</w:t>
      </w:r>
    </w:p>
    <w:p w14:paraId="049C2690" w14:textId="77777777" w:rsidR="00DF410E" w:rsidRDefault="00CE7F43">
      <w:pPr>
        <w:spacing w:before="0" w:after="0"/>
      </w:pPr>
      <w:r>
        <w:t>Les maçonneries sont mesurées en fonction de leur forme géométrique.</w:t>
      </w:r>
    </w:p>
    <w:p w14:paraId="758017E2"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4E21346F" w14:textId="77777777" w:rsidR="00DF410E" w:rsidRDefault="00CE7F43">
      <w:pPr>
        <w:spacing w:before="0" w:after="0"/>
      </w:pPr>
      <w:r>
        <w:t>La coulisse n'est jamais prise en compte.</w:t>
      </w:r>
    </w:p>
    <w:p w14:paraId="6AE55F90" w14:textId="77777777" w:rsidR="00DF410E" w:rsidRDefault="00DF410E"/>
    <w:p w14:paraId="7C8FFDF6"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3B0EC0E0" w14:textId="77777777" w:rsidR="00DF410E" w:rsidRDefault="00CE7F43">
      <w:pPr>
        <w:spacing w:after="0" w:line="252" w:lineRule="auto"/>
      </w:pPr>
      <w:r>
        <w:rPr>
          <w:b/>
          <w:color w:val="000000"/>
        </w:rPr>
        <w:t>(soit par défaut)</w:t>
      </w:r>
    </w:p>
    <w:p w14:paraId="400A2A9D"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111AFAF" w14:textId="77777777" w:rsidR="00DF410E" w:rsidRDefault="00CE7F43">
      <w:pPr>
        <w:spacing w:after="0" w:line="252" w:lineRule="auto"/>
      </w:pPr>
      <w:r>
        <w:rPr>
          <w:rStyle w:val="soitChar"/>
        </w:rPr>
        <w:t>Distinction faite suivant l'épaisseur.</w:t>
      </w:r>
    </w:p>
    <w:p w14:paraId="7E8DC6EE" w14:textId="77777777" w:rsidR="00DF410E" w:rsidRDefault="00CE7F43">
      <w:pPr>
        <w:spacing w:line="252" w:lineRule="auto"/>
      </w:pPr>
      <w:r>
        <w:rPr>
          <w:b/>
          <w:color w:val="000000"/>
        </w:rPr>
        <w:t>(soit)</w:t>
      </w:r>
    </w:p>
    <w:p w14:paraId="20158A0E"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55DFCA5"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31B243AC" w14:textId="77777777" w:rsidR="00DF410E" w:rsidRDefault="00DF410E"/>
    <w:p w14:paraId="1EDAEF89" w14:textId="77777777" w:rsidR="00DF410E" w:rsidRDefault="00CE7F43">
      <w:r>
        <w:t> </w:t>
      </w:r>
    </w:p>
    <w:p w14:paraId="50240A46" w14:textId="77777777" w:rsidR="00DF410E" w:rsidRDefault="00CE7F43">
      <w:pPr>
        <w:pStyle w:val="pheading"/>
      </w:pPr>
      <w:r>
        <w:t>- nature du marché:</w:t>
      </w:r>
    </w:p>
    <w:p w14:paraId="11AAFF6A" w14:textId="77777777" w:rsidR="00DF410E" w:rsidRDefault="00CE7F43">
      <w:r>
        <w:t>QF</w:t>
      </w:r>
    </w:p>
    <w:p w14:paraId="68155322" w14:textId="77777777" w:rsidR="00DF410E" w:rsidRDefault="00CE7F43">
      <w:pPr>
        <w:pStyle w:val="Author-eSectionHeading6"/>
      </w:pPr>
      <w:bookmarkStart w:id="292" w:name="_Toc178837520"/>
      <w:r>
        <w:t>21.34.1d Maçonneries de parement préfabriquées en blocs de silico-calcaire CCTB 01.11</w:t>
      </w:r>
      <w:bookmarkEnd w:id="292"/>
    </w:p>
    <w:p w14:paraId="15232016" w14:textId="77777777" w:rsidR="00DF410E" w:rsidRDefault="00CE7F43">
      <w:pPr>
        <w:pStyle w:val="pheading"/>
      </w:pPr>
      <w:r>
        <w:t>DESCRIPTION</w:t>
      </w:r>
    </w:p>
    <w:p w14:paraId="7F92B292" w14:textId="77777777" w:rsidR="00DF410E" w:rsidRDefault="00CE7F43">
      <w:pPr>
        <w:pStyle w:val="pheading"/>
      </w:pPr>
      <w:r>
        <w:t>- Définition / Comprend</w:t>
      </w:r>
    </w:p>
    <w:p w14:paraId="39D98F4A" w14:textId="77777777" w:rsidR="00DF410E" w:rsidRDefault="00CE7F43">
      <w:r>
        <w:t>Il s’agit de la fourniture et la pose de maçonneries de parement préfabriquées en blocs de terre cuite.</w:t>
      </w:r>
    </w:p>
    <w:p w14:paraId="6A5AD449" w14:textId="77777777" w:rsidR="00DF410E" w:rsidRDefault="00CE7F43">
      <w:r>
        <w:t xml:space="preserve">La portée des travaux est décrite dans l’article </w:t>
      </w:r>
      <w:hyperlink w:anchor="379" w:history="1">
        <w:r>
          <w:t>21.3 Maçonneries de parement</w:t>
        </w:r>
      </w:hyperlink>
      <w:r>
        <w:rPr>
          <w:color w:val="000000"/>
        </w:rPr>
        <w:t>.</w:t>
      </w:r>
    </w:p>
    <w:p w14:paraId="398EDC85" w14:textId="77777777" w:rsidR="00DF410E" w:rsidRDefault="00CE7F43">
      <w:pPr>
        <w:pStyle w:val="pheading"/>
      </w:pPr>
      <w:r>
        <w:t>- Localisation</w:t>
      </w:r>
    </w:p>
    <w:p w14:paraId="38AEB8A7" w14:textId="77777777" w:rsidR="00DF410E" w:rsidRDefault="00CE7F43">
      <w:r>
        <w:t xml:space="preserve">La pose est réalisée aux endroits suivants : </w:t>
      </w:r>
      <w:r>
        <w:rPr>
          <w:rStyle w:val="optioncarChar"/>
        </w:rPr>
        <w:t>***</w:t>
      </w:r>
      <w:r>
        <w:t>.</w:t>
      </w:r>
    </w:p>
    <w:p w14:paraId="21EEAC72" w14:textId="77777777" w:rsidR="00DF410E" w:rsidRDefault="00CE7F43">
      <w:r>
        <w:t>Voir plans et métrés détaillés.</w:t>
      </w:r>
    </w:p>
    <w:p w14:paraId="5C5A59B8" w14:textId="77777777" w:rsidR="00DF410E" w:rsidRDefault="00CE7F43">
      <w:pPr>
        <w:pStyle w:val="pheading"/>
      </w:pPr>
      <w:r>
        <w:t>MESURAGE</w:t>
      </w:r>
    </w:p>
    <w:p w14:paraId="1130CC8D" w14:textId="77777777" w:rsidR="00DF410E" w:rsidRDefault="00CE7F43">
      <w:pPr>
        <w:pStyle w:val="pheading"/>
      </w:pPr>
      <w:r>
        <w:t>- unité de mesure:</w:t>
      </w:r>
    </w:p>
    <w:p w14:paraId="1823F57F" w14:textId="77777777" w:rsidR="00DF410E" w:rsidRDefault="00CE7F43">
      <w:r>
        <w:rPr>
          <w:rStyle w:val="optioncarChar"/>
        </w:rPr>
        <w:t>m² </w:t>
      </w:r>
      <w:r>
        <w:rPr>
          <w:rStyle w:val="optioncarChar"/>
          <w:color w:val="000000"/>
        </w:rPr>
        <w:t>(par défaut)</w:t>
      </w:r>
      <w:r>
        <w:rPr>
          <w:rStyle w:val="optioncarChar"/>
        </w:rPr>
        <w:t> / m³</w:t>
      </w:r>
    </w:p>
    <w:p w14:paraId="368DCC6C" w14:textId="77777777" w:rsidR="00DF410E" w:rsidRDefault="00CE7F43">
      <w:pPr>
        <w:spacing w:after="0" w:line="0" w:lineRule="atLeast"/>
      </w:pPr>
      <w:r>
        <w:rPr>
          <w:b/>
          <w:color w:val="000000"/>
        </w:rPr>
        <w:t>(soit par défaut)</w:t>
      </w:r>
    </w:p>
    <w:p w14:paraId="78E8296B" w14:textId="77777777" w:rsidR="00DF410E" w:rsidRDefault="00CE7F43">
      <w:pPr>
        <w:spacing w:after="0" w:line="0" w:lineRule="atLeast"/>
      </w:pPr>
      <w:r>
        <w:rPr>
          <w:rStyle w:val="soitChar"/>
        </w:rPr>
        <w:t>1. m²</w:t>
      </w:r>
    </w:p>
    <w:p w14:paraId="7D89D412" w14:textId="77777777" w:rsidR="00DF410E" w:rsidRDefault="00CE7F43">
      <w:pPr>
        <w:spacing w:after="0" w:line="0" w:lineRule="atLeast"/>
      </w:pPr>
      <w:r>
        <w:rPr>
          <w:b/>
          <w:color w:val="000000"/>
        </w:rPr>
        <w:t>(soit)</w:t>
      </w:r>
    </w:p>
    <w:p w14:paraId="2B99AD74" w14:textId="77777777" w:rsidR="00DF410E" w:rsidRDefault="00CE7F43">
      <w:pPr>
        <w:spacing w:after="0" w:line="0" w:lineRule="atLeast"/>
      </w:pPr>
      <w:r>
        <w:rPr>
          <w:rStyle w:val="soitChar"/>
        </w:rPr>
        <w:t>2. m³</w:t>
      </w:r>
    </w:p>
    <w:p w14:paraId="419FF8CF" w14:textId="77777777" w:rsidR="00DF410E" w:rsidRDefault="00CE7F43">
      <w:pPr>
        <w:pStyle w:val="pheading"/>
      </w:pPr>
      <w:r>
        <w:t>- code de mesurage:</w:t>
      </w:r>
    </w:p>
    <w:p w14:paraId="3118E37C" w14:textId="77777777" w:rsidR="00DF410E" w:rsidRDefault="00CE7F43">
      <w:pPr>
        <w:spacing w:before="0" w:after="0"/>
      </w:pPr>
      <w:r>
        <w:t>Les maçonneries sont mesurées en fonction de leur forme géométrique.</w:t>
      </w:r>
    </w:p>
    <w:p w14:paraId="22DBCE10" w14:textId="77777777" w:rsidR="00DF410E" w:rsidRDefault="00CE7F43">
      <w:pPr>
        <w:spacing w:before="0" w:after="0"/>
      </w:pPr>
      <w:r>
        <w:t>Les ébrasements des ouvertures et des baies de fenêtres ainsi que la face inférieure des linteaux ne sont comptés (en surface nette) que lorsque leur largeur est supérieure à celle des blocs de façade.</w:t>
      </w:r>
    </w:p>
    <w:p w14:paraId="657CF043" w14:textId="77777777" w:rsidR="00DF410E" w:rsidRDefault="00CE7F43">
      <w:pPr>
        <w:spacing w:before="0" w:after="0"/>
      </w:pPr>
      <w:r>
        <w:t>La coulisse n'est jamais prise en compte.</w:t>
      </w:r>
    </w:p>
    <w:p w14:paraId="051A19E1" w14:textId="77777777" w:rsidR="00DF410E" w:rsidRDefault="00DF410E"/>
    <w:p w14:paraId="555F708E"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496DCAAE" w14:textId="77777777" w:rsidR="00DF410E" w:rsidRDefault="00CE7F43">
      <w:pPr>
        <w:spacing w:after="0" w:line="252" w:lineRule="auto"/>
      </w:pPr>
      <w:r>
        <w:rPr>
          <w:b/>
          <w:color w:val="000000"/>
        </w:rPr>
        <w:t>(soit par défaut)</w:t>
      </w:r>
    </w:p>
    <w:p w14:paraId="14055FE9"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2D3D3A4C" w14:textId="77777777" w:rsidR="00DF410E" w:rsidRDefault="00CE7F43">
      <w:pPr>
        <w:spacing w:after="0" w:line="252" w:lineRule="auto"/>
      </w:pPr>
      <w:r>
        <w:rPr>
          <w:rStyle w:val="soitChar"/>
        </w:rPr>
        <w:t>Distinction faite suivant l'épaisseur.</w:t>
      </w:r>
    </w:p>
    <w:p w14:paraId="20F2487B" w14:textId="77777777" w:rsidR="00DF410E" w:rsidRDefault="00CE7F43">
      <w:pPr>
        <w:spacing w:line="252" w:lineRule="auto"/>
      </w:pPr>
      <w:r>
        <w:rPr>
          <w:b/>
          <w:color w:val="000000"/>
        </w:rPr>
        <w:t>(soit)</w:t>
      </w:r>
    </w:p>
    <w:p w14:paraId="09D36C7B"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EF55D57"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760A7DFC" w14:textId="77777777" w:rsidR="00DF410E" w:rsidRDefault="00DF410E"/>
    <w:p w14:paraId="0B903345" w14:textId="77777777" w:rsidR="00DF410E" w:rsidRDefault="00CE7F43">
      <w:r>
        <w:t> </w:t>
      </w:r>
    </w:p>
    <w:p w14:paraId="360BA852" w14:textId="77777777" w:rsidR="00DF410E" w:rsidRDefault="00CE7F43">
      <w:pPr>
        <w:pStyle w:val="pheading"/>
      </w:pPr>
      <w:r>
        <w:t>- nature du marché:</w:t>
      </w:r>
    </w:p>
    <w:p w14:paraId="78452BDA" w14:textId="77777777" w:rsidR="00DF410E" w:rsidRDefault="00CE7F43">
      <w:r>
        <w:t>QF</w:t>
      </w:r>
    </w:p>
    <w:p w14:paraId="10B030C6" w14:textId="77777777" w:rsidR="00DF410E" w:rsidRDefault="00CE7F43">
      <w:pPr>
        <w:pStyle w:val="Author-eSectionHeading4"/>
      </w:pPr>
      <w:bookmarkStart w:id="293" w:name="_Toc178837521"/>
      <w:r>
        <w:t>21.35 Maçonneries de parement en blocs de verre CCTB 01.04</w:t>
      </w:r>
      <w:bookmarkEnd w:id="293"/>
    </w:p>
    <w:p w14:paraId="524BE908" w14:textId="77777777" w:rsidR="00DF410E" w:rsidRDefault="00CE7F43">
      <w:pPr>
        <w:pStyle w:val="pheading"/>
      </w:pPr>
      <w:bookmarkStart w:id="294" w:name="464"/>
      <w:bookmarkEnd w:id="294"/>
      <w:r>
        <w:t>DESCRIPTION</w:t>
      </w:r>
    </w:p>
    <w:p w14:paraId="4537AE39" w14:textId="77777777" w:rsidR="00DF410E" w:rsidRDefault="00CE7F43">
      <w:pPr>
        <w:pStyle w:val="pheading"/>
      </w:pPr>
      <w:r>
        <w:t>- Définition / Comprend</w:t>
      </w:r>
    </w:p>
    <w:p w14:paraId="0423A424" w14:textId="77777777" w:rsidR="00DF410E" w:rsidRDefault="00CE7F43">
      <w:r>
        <w:t>Renvoi au §</w:t>
      </w:r>
      <w:hyperlink w:anchor="399" w:history="1">
        <w:r>
          <w:t>21.45 Blocs de verre individuels</w:t>
        </w:r>
      </w:hyperlink>
    </w:p>
    <w:p w14:paraId="665CADFA" w14:textId="77777777" w:rsidR="00DF410E" w:rsidRDefault="00CE7F43">
      <w:pPr>
        <w:pStyle w:val="Author-eSectionHeading5"/>
      </w:pPr>
      <w:bookmarkStart w:id="295" w:name="_Toc178837522"/>
      <w:r>
        <w:t>21.35.1 Maçonneries de parement en blocs de verre CCTB 01.05</w:t>
      </w:r>
      <w:bookmarkEnd w:id="295"/>
    </w:p>
    <w:p w14:paraId="0C8B32CE" w14:textId="77777777" w:rsidR="00DF410E" w:rsidRDefault="00CE7F43">
      <w:pPr>
        <w:pStyle w:val="pheading"/>
      </w:pPr>
      <w:bookmarkStart w:id="296" w:name="405"/>
      <w:bookmarkEnd w:id="296"/>
      <w:r>
        <w:t>DESCRIPTION</w:t>
      </w:r>
    </w:p>
    <w:p w14:paraId="5328BA4A" w14:textId="77777777" w:rsidR="00DF410E" w:rsidRDefault="00CE7F43">
      <w:pPr>
        <w:pStyle w:val="pheading"/>
      </w:pPr>
      <w:r>
        <w:t>- Définition / Comprend</w:t>
      </w:r>
    </w:p>
    <w:p w14:paraId="5C7F7E3A" w14:textId="77777777" w:rsidR="00DF410E" w:rsidRDefault="00CE7F43">
      <w:r>
        <w:t>Ce poste comprend toutes les fournitures et les travaux nécessaires en vue de la réalisation de murs translucides préfabriqués et/ou d'éléments de façades en blocs de verre. Conformément aux dispositions générales et/ou spécifiques du cahier spécial des charges, les prix unitaires compris dans ce poste doivent toujours comprendre, soit selon la ventilation au métré récapitulatif, soit dans leur totalité :</w:t>
      </w:r>
    </w:p>
    <w:p w14:paraId="221A4CA4" w14:textId="77777777" w:rsidR="00DF410E" w:rsidRDefault="00CE7F43">
      <w:pPr>
        <w:pStyle w:val="Author-eListParagraph"/>
        <w:numPr>
          <w:ilvl w:val="0"/>
          <w:numId w:val="264"/>
        </w:numPr>
      </w:pPr>
      <w:r>
        <w:t>la fourniture et la préparation de tous les matériaux c'est-à-dire des blocs ou panneaux, des mortiers, de tous les ancrages et les dispositifs de liaison nécessaires avec les murs, les raccordements aux rives de toiture (solins), l'étanchéité au droit des baies de façade et des rives de toiture, les étanchéités et les bandes d'isolation thermique dans les ébrasements des baies de façade;</w:t>
      </w:r>
    </w:p>
    <w:p w14:paraId="65FAF3B0" w14:textId="77777777" w:rsidR="00DF410E" w:rsidRDefault="00CE7F43">
      <w:pPr>
        <w:pStyle w:val="Author-eListParagraph"/>
        <w:numPr>
          <w:ilvl w:val="0"/>
          <w:numId w:val="264"/>
        </w:numPr>
      </w:pPr>
      <w:r>
        <w:t>la pose proprement dite des blocs de verre ou des panneaux et les éventuelles mesures de protection,</w:t>
      </w:r>
    </w:p>
    <w:p w14:paraId="6763850C" w14:textId="77777777" w:rsidR="00DF410E" w:rsidRDefault="00CE7F43">
      <w:pPr>
        <w:pStyle w:val="Author-eListParagraph"/>
        <w:numPr>
          <w:ilvl w:val="0"/>
          <w:numId w:val="264"/>
        </w:numPr>
      </w:pPr>
      <w:r>
        <w:t>l'évidement des joints ou le jointoiement et le parachèvement;</w:t>
      </w:r>
    </w:p>
    <w:p w14:paraId="6FF3FC97" w14:textId="77777777" w:rsidR="00DF410E" w:rsidRDefault="00CE7F43">
      <w:pPr>
        <w:pStyle w:val="Author-eListParagraph"/>
        <w:numPr>
          <w:ilvl w:val="0"/>
          <w:numId w:val="264"/>
        </w:numPr>
      </w:pPr>
      <w:r>
        <w:t>le nettoyage des blocs de verre et/ou des parties souillées de la façade;</w:t>
      </w:r>
    </w:p>
    <w:p w14:paraId="7E2E27E2" w14:textId="77777777" w:rsidR="00DF410E" w:rsidRDefault="00CE7F43">
      <w:pPr>
        <w:pStyle w:val="Author-eListParagraph"/>
        <w:numPr>
          <w:ilvl w:val="0"/>
          <w:numId w:val="264"/>
        </w:numPr>
      </w:pPr>
      <w:r>
        <w:t>l'enlèvement des protections;</w:t>
      </w:r>
    </w:p>
    <w:p w14:paraId="4BBD1332" w14:textId="77777777" w:rsidR="00DF410E" w:rsidRDefault="00CE7F43">
      <w:pPr>
        <w:pStyle w:val="Author-eListParagraph"/>
        <w:numPr>
          <w:ilvl w:val="0"/>
          <w:numId w:val="264"/>
        </w:numPr>
      </w:pPr>
      <w:r>
        <w:t>le déblaiement et le nettoyage du chantier.</w:t>
      </w:r>
    </w:p>
    <w:p w14:paraId="2F963603" w14:textId="77777777" w:rsidR="00DF410E" w:rsidRDefault="00CE7F43">
      <w:pPr>
        <w:pStyle w:val="pheading"/>
      </w:pPr>
      <w:r>
        <w:t>MATÉRIAUX</w:t>
      </w:r>
    </w:p>
    <w:p w14:paraId="30A2EA8E" w14:textId="77777777" w:rsidR="00DF410E" w:rsidRDefault="00CE7F43">
      <w:r>
        <w:t>Les blocs de verre répondent à la [NBN S 23-002] et sont mises en œuvre sous la forme de panneaux préfabriqués ou en tant qu'éléments indépendants, conformément au cahier spécial des charges. Les blocs de verre à double paroi consistent en deux demi-éléments soudés l'un à l'autre, la coulisse contenant uniquement de l'air. Les bords sont revêtus d'une membrane blanche synthétique ou d'une couche de revêtement afin d'améliorer le passage de la lumière. Les blocs de verre sont insensibles aux chocs et aux influences atmosphériques. Les éléments répondent aux exigences de la paroi dans laquelle ils sont (verre A1). Les mortiers hydrofuges et/ou les mortiers de colle satisfont aux prescriptions du fabricant.</w:t>
      </w:r>
    </w:p>
    <w:p w14:paraId="750D1EC7" w14:textId="77777777" w:rsidR="00DF410E" w:rsidRDefault="00CE7F43">
      <w:pPr>
        <w:pStyle w:val="pheading"/>
      </w:pPr>
      <w:r>
        <w:t>EXÉCUTION / MISE EN ŒUVRE</w:t>
      </w:r>
    </w:p>
    <w:p w14:paraId="1362A64A" w14:textId="77777777" w:rsidR="00DF410E" w:rsidRDefault="00CE7F43">
      <w:r>
        <w:t>Les maçonneries en blocs de verre sont exécutées conformément à la [NBN S 23-002]. Le montage des panneaux préfabriqués se fait uniquement par des ouvriers spécialisés. Pour les panneaux en blocs de verre, l'entrepreneur soumet les notes de calcul et les dessins d'exécution à l'approbation de l'auteur de projet. Ils tiennent compte des directives de la [NBN S 23-002] et de la [NBN EN 1991-1-4] en ce qui concerne l'étanchéité au vent.</w:t>
      </w:r>
    </w:p>
    <w:p w14:paraId="4A92313C" w14:textId="77777777" w:rsidR="00DF410E" w:rsidRDefault="00CE7F43">
      <w:pPr>
        <w:pStyle w:val="pheading"/>
      </w:pPr>
      <w:r>
        <w:t>AIDE</w:t>
      </w:r>
    </w:p>
    <w:p w14:paraId="6577A828" w14:textId="77777777" w:rsidR="00DF410E" w:rsidRDefault="00CE7F43">
      <w:r>
        <w:rPr>
          <w:u w:val="single"/>
        </w:rPr>
        <w:t>À l'attention de l'auteur de projet</w:t>
      </w:r>
    </w:p>
    <w:p w14:paraId="3A7AECCF" w14:textId="77777777" w:rsidR="00DF410E" w:rsidRDefault="00CE7F43">
      <w:r>
        <w:t>Pour plus d'information, consultez aussi Parois extérieures en blocs de verre [Buildwise Article Revue (1996-04-31)]</w:t>
      </w:r>
    </w:p>
    <w:p w14:paraId="18DB98B8" w14:textId="77777777" w:rsidR="00DF410E" w:rsidRDefault="00CE7F43">
      <w:pPr>
        <w:pStyle w:val="Author-eSectionHeading6"/>
      </w:pPr>
      <w:bookmarkStart w:id="297" w:name="_Toc178837523"/>
      <w:r>
        <w:t>21.35.1a Maçonneries de parement en blocs de verre CCTB 01.11</w:t>
      </w:r>
      <w:bookmarkEnd w:id="297"/>
    </w:p>
    <w:p w14:paraId="3B7E8450" w14:textId="77777777" w:rsidR="00DF410E" w:rsidRDefault="00CE7F43">
      <w:pPr>
        <w:pStyle w:val="pheading"/>
      </w:pPr>
      <w:r>
        <w:t>DESCRIPTION</w:t>
      </w:r>
    </w:p>
    <w:p w14:paraId="7FA6D71C" w14:textId="77777777" w:rsidR="00DF410E" w:rsidRDefault="00CE7F43">
      <w:pPr>
        <w:pStyle w:val="pheading"/>
      </w:pPr>
      <w:r>
        <w:t>- Définition / Comprend</w:t>
      </w:r>
    </w:p>
    <w:p w14:paraId="3E975C83" w14:textId="77777777" w:rsidR="00DF410E" w:rsidRDefault="00CE7F43">
      <w:r>
        <w:t>Il s’agit de la fourniture et la pose de maçonneries de parement en blocs de verre.</w:t>
      </w:r>
    </w:p>
    <w:p w14:paraId="4FC4D37F" w14:textId="77777777" w:rsidR="00DF410E" w:rsidRDefault="00CE7F43">
      <w:r>
        <w:t xml:space="preserve">La portée des travaux est décrite dans l’article </w:t>
      </w:r>
      <w:hyperlink w:anchor="405" w:history="1">
        <w:r>
          <w:t>21.35.1 Maçonneries de parement en blocs de verre</w:t>
        </w:r>
      </w:hyperlink>
      <w:r>
        <w:t>.</w:t>
      </w:r>
    </w:p>
    <w:p w14:paraId="4CF29B08" w14:textId="77777777" w:rsidR="00DF410E" w:rsidRDefault="00CE7F43">
      <w:r>
        <w:t>Les travaux comprennent également la fourniture et la pose des panneaux, des isolations périphériques, les couches d'étanchéité et les bavettes de plomb, jusqu'au rejointoiement complet et le ragréage à l'aide d'un mastic élastique, des pièces d’angle, de terminaison et de rencontre.</w:t>
      </w:r>
    </w:p>
    <w:p w14:paraId="12327154" w14:textId="77777777" w:rsidR="00DF410E" w:rsidRDefault="00CE7F43">
      <w:r>
        <w:t>Les blocs de verre avec ventilation peuvent, le cas échéant, être comptés séparément comme supplément pour la surface des panneaux.</w:t>
      </w:r>
    </w:p>
    <w:p w14:paraId="34325AD0" w14:textId="77777777" w:rsidR="00DF410E" w:rsidRDefault="00CE7F43">
      <w:pPr>
        <w:pStyle w:val="pheading"/>
      </w:pPr>
      <w:r>
        <w:t>- Localisation</w:t>
      </w:r>
    </w:p>
    <w:p w14:paraId="0AD2B95A" w14:textId="77777777" w:rsidR="00DF410E" w:rsidRDefault="00CE7F43">
      <w:r>
        <w:t xml:space="preserve">La pose est réalisée aux endroits suivants : </w:t>
      </w:r>
      <w:r>
        <w:rPr>
          <w:rStyle w:val="optioncarChar"/>
        </w:rPr>
        <w:t>***</w:t>
      </w:r>
      <w:r>
        <w:t>.</w:t>
      </w:r>
    </w:p>
    <w:p w14:paraId="511D78BA" w14:textId="77777777" w:rsidR="00DF410E" w:rsidRDefault="00CE7F43">
      <w:r>
        <w:t>Voir plans et métrés détaillés.</w:t>
      </w:r>
    </w:p>
    <w:p w14:paraId="72AD58E6" w14:textId="77777777" w:rsidR="00DF410E" w:rsidRDefault="00CE7F43">
      <w:pPr>
        <w:pStyle w:val="pheading"/>
      </w:pPr>
      <w:r>
        <w:t>MATÉRIAUX</w:t>
      </w:r>
    </w:p>
    <w:p w14:paraId="7F386DE1" w14:textId="77777777" w:rsidR="00DF410E" w:rsidRDefault="00CE7F43">
      <w:pPr>
        <w:pStyle w:val="pheading"/>
      </w:pPr>
      <w:r>
        <w:t>- Caractéristiques générales</w:t>
      </w:r>
    </w:p>
    <w:p w14:paraId="32DC5A88" w14:textId="77777777" w:rsidR="00DF410E" w:rsidRDefault="00CE7F43">
      <w:pPr>
        <w:pStyle w:val="heading"/>
      </w:pPr>
      <w:r>
        <w:t>Spécifications</w:t>
      </w:r>
    </w:p>
    <w:p w14:paraId="4A89EEBE" w14:textId="77777777" w:rsidR="00DF410E" w:rsidRDefault="00CE7F43">
      <w:r>
        <w:t xml:space="preserve">Format des blocs de verre (mm) : </w:t>
      </w:r>
      <w:r>
        <w:rPr>
          <w:rStyle w:val="optioncarChar"/>
        </w:rPr>
        <w:t>145 x 145 x 55 / 190 x 190 x 80</w:t>
      </w:r>
      <w:r>
        <w:t> (par défaut) </w:t>
      </w:r>
      <w:r>
        <w:rPr>
          <w:rStyle w:val="optioncarChar"/>
        </w:rPr>
        <w:t>/ 240 x 240 x 80 / 240 x 115 x 80 / 300 x 300 x 100 / *** x *** x ***</w:t>
      </w:r>
      <w:r>
        <w:t xml:space="preserve"> mm</w:t>
      </w:r>
    </w:p>
    <w:p w14:paraId="2898D8F9" w14:textId="77777777" w:rsidR="00DF410E" w:rsidRDefault="00CE7F43">
      <w:r>
        <w:t xml:space="preserve">Aspect des blocs de verre : </w:t>
      </w:r>
      <w:r>
        <w:rPr>
          <w:rStyle w:val="optioncarChar"/>
        </w:rPr>
        <w:t xml:space="preserve">lisse uni </w:t>
      </w:r>
      <w:r>
        <w:t>(par défaut) </w:t>
      </w:r>
      <w:r>
        <w:rPr>
          <w:rStyle w:val="optioncarChar"/>
        </w:rPr>
        <w:t>/ lisse strié / lisse ondé / ***</w:t>
      </w:r>
    </w:p>
    <w:p w14:paraId="0AC89C28" w14:textId="77777777" w:rsidR="00DF410E" w:rsidRDefault="00CE7F43">
      <w:r>
        <w:t>Valeur d'isolation acoustique : environ 36dB</w:t>
      </w:r>
    </w:p>
    <w:p w14:paraId="4D1B59E3" w14:textId="77777777" w:rsidR="00DF410E" w:rsidRDefault="00CE7F43">
      <w:r>
        <w:t xml:space="preserve">Valeur d'isolation thermique : k </w:t>
      </w:r>
      <w:r>
        <w:rPr>
          <w:u w:val="single"/>
        </w:rPr>
        <w:t>&lt;</w:t>
      </w:r>
      <w:r>
        <w:t xml:space="preserve"> 2,6 kcal/m</w:t>
      </w:r>
      <w:r>
        <w:rPr>
          <w:vertAlign w:val="superscript"/>
        </w:rPr>
        <w:t>2</w:t>
      </w:r>
      <w:r>
        <w:t xml:space="preserve"> (ne s'applique pas aux éléments de ventilation).</w:t>
      </w:r>
    </w:p>
    <w:p w14:paraId="2D542B83" w14:textId="77777777" w:rsidR="00DF410E" w:rsidRDefault="00CE7F43">
      <w:pPr>
        <w:pStyle w:val="pheading"/>
      </w:pPr>
      <w:r>
        <w:t>- Finitions</w:t>
      </w:r>
    </w:p>
    <w:p w14:paraId="11161676" w14:textId="77777777" w:rsidR="00DF410E" w:rsidRDefault="00CE7F43">
      <w:r>
        <w:t xml:space="preserve">Couleur des blocs de verre : </w:t>
      </w:r>
      <w:r>
        <w:rPr>
          <w:rStyle w:val="optioncarChar"/>
        </w:rPr>
        <w:t>transparentes claires / ***</w:t>
      </w:r>
    </w:p>
    <w:p w14:paraId="1768667D" w14:textId="77777777" w:rsidR="00DF410E" w:rsidRDefault="00CE7F43">
      <w:pPr>
        <w:pStyle w:val="pheading"/>
      </w:pPr>
      <w:r>
        <w:t>- Prescriptions complémentaires</w:t>
      </w:r>
    </w:p>
    <w:p w14:paraId="1B30970A" w14:textId="77777777" w:rsidR="00DF410E" w:rsidRDefault="00CE7F43">
      <w:r>
        <w:t xml:space="preserve">Eléments de ventilation : les blocs de verre avec ventilation répondent à la [NBN S 23-002] et ont une </w:t>
      </w:r>
      <w:r>
        <w:rPr>
          <w:rStyle w:val="optioncarChar"/>
        </w:rPr>
        <w:t>ouverture fixe / un clapet réglable / un clapet réglable avec moustiquaire</w:t>
      </w:r>
      <w:r>
        <w:t xml:space="preserve">, passage libre de l'air de </w:t>
      </w:r>
      <w:r>
        <w:rPr>
          <w:rStyle w:val="optioncarChar"/>
        </w:rPr>
        <w:t>25 / ***</w:t>
      </w:r>
      <w:r>
        <w:t xml:space="preserve"> %. L'application est conforme aux indications sur les plans et/ou aux dessins d'exécution. Les revêtements des façades des bâtiments faisant partie du domaine d’application de l’arrêté royal normes de prévention de base [AR 1994-07-07] sont soumis à des exigences de réaction au feu : D-s3, d1 pour les bâtiments bas et B-s3, d1 pour les bâtiments moyens et élevés. Pour les bâtiments moyens (BM) et élevés (BE) soumis aux exigences de l’arrêté royal normes de prévention de base [AR 1994-07-07], si les façades vitrées du bâtiment dominent des constructions faisant ou non partie de ce bâtiment :</w:t>
      </w:r>
    </w:p>
    <w:p w14:paraId="321F1501" w14:textId="77777777" w:rsidR="00DF410E" w:rsidRDefault="00CE7F43">
      <w:pPr>
        <w:pStyle w:val="Author-eListParagraph"/>
        <w:numPr>
          <w:ilvl w:val="0"/>
          <w:numId w:val="265"/>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DF410E" w14:paraId="344F34E1" w14:textId="77777777">
        <w:tc>
          <w:tcPr>
            <w:tcW w:w="4515" w:type="dxa"/>
            <w:noWrap/>
          </w:tcPr>
          <w:p w14:paraId="6D758DF1" w14:textId="77777777" w:rsidR="00DF410E" w:rsidRDefault="00CE7F43">
            <w:r>
              <w:t>Distance horizontale à partir des façades, a</w:t>
            </w:r>
          </w:p>
        </w:tc>
        <w:tc>
          <w:tcPr>
            <w:tcW w:w="4515" w:type="dxa"/>
            <w:noWrap/>
          </w:tcPr>
          <w:p w14:paraId="51D35ACC" w14:textId="77777777" w:rsidR="00DF410E" w:rsidRDefault="00CE7F43">
            <w:r>
              <w:t>Exigences en matière de résistance au feu</w:t>
            </w:r>
          </w:p>
        </w:tc>
      </w:tr>
      <w:tr w:rsidR="00DF410E" w14:paraId="2F9F8765" w14:textId="77777777">
        <w:tc>
          <w:tcPr>
            <w:tcW w:w="4515" w:type="dxa"/>
            <w:noWrap/>
          </w:tcPr>
          <w:p w14:paraId="5DAC5D60" w14:textId="77777777" w:rsidR="00DF410E" w:rsidRDefault="00CE7F43">
            <w:r>
              <w:t>a &lt; 1 m</w:t>
            </w:r>
          </w:p>
        </w:tc>
        <w:tc>
          <w:tcPr>
            <w:tcW w:w="4515" w:type="dxa"/>
            <w:noWrap/>
          </w:tcPr>
          <w:p w14:paraId="38870A36" w14:textId="77777777" w:rsidR="00DF410E" w:rsidRDefault="00CE7F43">
            <w:r>
              <w:t>EI 60 (BM) EI 120 (BE)</w:t>
            </w:r>
          </w:p>
        </w:tc>
      </w:tr>
      <w:tr w:rsidR="00DF410E" w14:paraId="61EF143D" w14:textId="77777777">
        <w:tc>
          <w:tcPr>
            <w:tcW w:w="4515" w:type="dxa"/>
            <w:noWrap/>
          </w:tcPr>
          <w:p w14:paraId="1619F600" w14:textId="77777777" w:rsidR="00DF410E" w:rsidRDefault="00CE7F43">
            <w:r>
              <w:t>1 m &lt; a &lt; 5 m</w:t>
            </w:r>
          </w:p>
        </w:tc>
        <w:tc>
          <w:tcPr>
            <w:tcW w:w="4515" w:type="dxa"/>
            <w:noWrap/>
          </w:tcPr>
          <w:p w14:paraId="7CFF1C56" w14:textId="77777777" w:rsidR="00DF410E" w:rsidRDefault="00CE7F43">
            <w:r>
              <w:t>E 60 (BM) E 120 (BE)</w:t>
            </w:r>
          </w:p>
        </w:tc>
      </w:tr>
    </w:tbl>
    <w:p w14:paraId="2BE851E3" w14:textId="77777777" w:rsidR="00DF410E" w:rsidRDefault="00CE7F43">
      <w:pPr>
        <w:pStyle w:val="Author-eListParagraph"/>
        <w:numPr>
          <w:ilvl w:val="0"/>
          <w:numId w:val="266"/>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DF410E" w14:paraId="4678F096" w14:textId="77777777">
        <w:tc>
          <w:tcPr>
            <w:tcW w:w="4515" w:type="dxa"/>
            <w:noWrap/>
          </w:tcPr>
          <w:p w14:paraId="0A9A3042" w14:textId="77777777" w:rsidR="00DF410E" w:rsidRDefault="00CE7F43">
            <w:r>
              <w:t>Hauteur mesurée à partir de la toiture, b</w:t>
            </w:r>
          </w:p>
        </w:tc>
        <w:tc>
          <w:tcPr>
            <w:tcW w:w="4515" w:type="dxa"/>
            <w:noWrap/>
          </w:tcPr>
          <w:p w14:paraId="583A0FB1" w14:textId="77777777" w:rsidR="00DF410E" w:rsidRDefault="00CE7F43">
            <w:r>
              <w:t>Exigences en matière de résistance au feu</w:t>
            </w:r>
          </w:p>
        </w:tc>
      </w:tr>
      <w:tr w:rsidR="00DF410E" w14:paraId="62509AFD" w14:textId="77777777">
        <w:tc>
          <w:tcPr>
            <w:tcW w:w="4515" w:type="dxa"/>
            <w:noWrap/>
          </w:tcPr>
          <w:p w14:paraId="28B28AED" w14:textId="77777777" w:rsidR="00DF410E" w:rsidRDefault="00CE7F43">
            <w:r>
              <w:t>b &lt; 3 m</w:t>
            </w:r>
          </w:p>
        </w:tc>
        <w:tc>
          <w:tcPr>
            <w:tcW w:w="4515" w:type="dxa"/>
            <w:noWrap/>
          </w:tcPr>
          <w:p w14:paraId="6488772B" w14:textId="77777777" w:rsidR="00DF410E" w:rsidRDefault="00CE7F43">
            <w:r>
              <w:t xml:space="preserve">(BM) EI 60 </w:t>
            </w:r>
            <w:r>
              <w:rPr>
                <w:vertAlign w:val="subscript"/>
              </w:rPr>
              <w:t>( i ← o )</w:t>
            </w:r>
            <w:r>
              <w:t xml:space="preserve">(BE) EI 120 </w:t>
            </w:r>
            <w:r>
              <w:rPr>
                <w:vertAlign w:val="subscript"/>
              </w:rPr>
              <w:t>( i ← o )</w:t>
            </w:r>
          </w:p>
        </w:tc>
      </w:tr>
      <w:tr w:rsidR="00DF410E" w14:paraId="0DBBE377" w14:textId="77777777">
        <w:tc>
          <w:tcPr>
            <w:tcW w:w="4515" w:type="dxa"/>
            <w:noWrap/>
          </w:tcPr>
          <w:p w14:paraId="4956CB1A" w14:textId="77777777" w:rsidR="00DF410E" w:rsidRDefault="00CE7F43">
            <w:r>
              <w:t>3 m &lt; b &lt; 8 m</w:t>
            </w:r>
          </w:p>
        </w:tc>
        <w:tc>
          <w:tcPr>
            <w:tcW w:w="4515" w:type="dxa"/>
            <w:noWrap/>
          </w:tcPr>
          <w:p w14:paraId="21BA9391" w14:textId="77777777" w:rsidR="00DF410E" w:rsidRDefault="00CE7F43">
            <w:r>
              <w:t xml:space="preserve">(BM) E 60 </w:t>
            </w:r>
            <w:r>
              <w:rPr>
                <w:vertAlign w:val="subscript"/>
              </w:rPr>
              <w:t>( i ← o )</w:t>
            </w:r>
            <w:r>
              <w:t xml:space="preserve">(BE) E 120 </w:t>
            </w:r>
            <w:r>
              <w:rPr>
                <w:vertAlign w:val="subscript"/>
              </w:rPr>
              <w:t>( i ← o )</w:t>
            </w:r>
          </w:p>
        </w:tc>
      </w:tr>
    </w:tbl>
    <w:p w14:paraId="7C121223" w14:textId="77777777" w:rsidR="00DF410E" w:rsidRDefault="00CE7F43">
      <w:pPr>
        <w:pStyle w:val="pheading"/>
      </w:pPr>
      <w:r>
        <w:t>EXÉCUTION / MISE EN ŒUVRE</w:t>
      </w:r>
    </w:p>
    <w:p w14:paraId="5C4EB49C" w14:textId="77777777" w:rsidR="00DF410E" w:rsidRDefault="00CE7F43">
      <w:pPr>
        <w:pStyle w:val="pheading"/>
      </w:pPr>
      <w:r>
        <w:t>- Prescriptions générales</w:t>
      </w:r>
    </w:p>
    <w:p w14:paraId="5273B417" w14:textId="77777777" w:rsidR="00DF410E" w:rsidRDefault="00CE7F43">
      <w:r>
        <w:t xml:space="preserve">Les blocs de verre isolés sont insérés dans la maçonnerie à l'aide de mortier de maçonnerie, les joints entre les blocs de verre présentent une épaisseur constante de </w:t>
      </w:r>
      <w:r>
        <w:rPr>
          <w:rStyle w:val="optioncarChar"/>
        </w:rPr>
        <w:t xml:space="preserve">10 </w:t>
      </w:r>
      <w:r>
        <w:t>(par défaut) </w:t>
      </w:r>
      <w:r>
        <w:rPr>
          <w:rStyle w:val="optioncarChar"/>
        </w:rPr>
        <w:t>/ ***</w:t>
      </w:r>
      <w:r>
        <w:t xml:space="preserve"> mm. Pendant la mise en œuvre, les blocs sont nettoyés et lissés, il est conseillé de les enduire préalablement d'une couche protectrice. Tous les joints sont lissés et doivent être étanches.</w:t>
      </w:r>
    </w:p>
    <w:p w14:paraId="3BD0B404" w14:textId="77777777" w:rsidR="00DF410E" w:rsidRDefault="00CE7F43">
      <w:r>
        <w:t>Dans tous les joints verticaux et horizontaux, on prévoit des armatures, en fonction des sollicitations dues au vent. Tous les joints, tant verticaux qu'horizontaux, sont armés d'au moins deux barres BE 500 diamètre 5 mm; ces barres se situent à au moins 20 mm des faces extérieures.</w:t>
      </w:r>
    </w:p>
    <w:p w14:paraId="5096D93D" w14:textId="77777777" w:rsidR="00DF410E" w:rsidRDefault="00CE7F43">
      <w:r>
        <w:t xml:space="preserve">La face inférieure et tous les autres bords incorporés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4618E68E" w14:textId="77777777" w:rsidR="00DF410E" w:rsidRDefault="00CE7F43">
      <w:pPr>
        <w:pStyle w:val="pheading"/>
      </w:pPr>
      <w:r>
        <w:t>- Notes d’exécution complémentaires</w:t>
      </w:r>
    </w:p>
    <w:p w14:paraId="4451B6EB" w14:textId="77777777" w:rsidR="00DF410E" w:rsidRDefault="00CE7F43">
      <w:r>
        <w:t>Les blocs de verre individuels ventilés sont intégrés dans la maçonnerie à l'aide de mortier de maçonnerie.</w:t>
      </w:r>
    </w:p>
    <w:p w14:paraId="0DE32D57" w14:textId="77777777" w:rsidR="00DF410E" w:rsidRDefault="00CE7F43">
      <w:r>
        <w:t xml:space="preserve">A l'intérieur, les niches sont parachevées à l'aide </w:t>
      </w:r>
      <w:r>
        <w:rPr>
          <w:rStyle w:val="optioncarChar"/>
        </w:rPr>
        <w:t xml:space="preserve">d'un cimentage / d'un plafonnage </w:t>
      </w:r>
      <w:r>
        <w:rPr>
          <w:rStyle w:val="optioncarChar"/>
          <w:color w:val="000000"/>
        </w:rPr>
        <w:t>(par défaut)</w:t>
      </w:r>
      <w:r>
        <w:t>.</w:t>
      </w:r>
    </w:p>
    <w:p w14:paraId="5F4F1F85" w14:textId="77777777" w:rsidR="00DF410E" w:rsidRDefault="00DF410E"/>
    <w:p w14:paraId="79792501" w14:textId="77777777" w:rsidR="00DF410E" w:rsidRDefault="00CE7F43">
      <w:r>
        <w:t> </w:t>
      </w:r>
    </w:p>
    <w:p w14:paraId="378D8296" w14:textId="77777777" w:rsidR="00DF410E" w:rsidRDefault="00CE7F43">
      <w:pPr>
        <w:pStyle w:val="pheading"/>
      </w:pPr>
      <w:r>
        <w:t>MESURAGE</w:t>
      </w:r>
    </w:p>
    <w:p w14:paraId="4AD78BA2" w14:textId="77777777" w:rsidR="00DF410E" w:rsidRDefault="00CE7F43">
      <w:pPr>
        <w:pStyle w:val="pheading"/>
      </w:pPr>
      <w:r>
        <w:t>- unité de mesure:</w:t>
      </w:r>
    </w:p>
    <w:p w14:paraId="4A14A935" w14:textId="77777777" w:rsidR="00DF410E" w:rsidRDefault="00CE7F43">
      <w:r>
        <w:rPr>
          <w:rStyle w:val="optioncarChar"/>
        </w:rPr>
        <w:t>m² </w:t>
      </w:r>
      <w:r>
        <w:rPr>
          <w:rStyle w:val="optioncarChar"/>
          <w:color w:val="000000"/>
        </w:rPr>
        <w:t>(par défaut)</w:t>
      </w:r>
      <w:r>
        <w:rPr>
          <w:rStyle w:val="optioncarChar"/>
        </w:rPr>
        <w:t> / m³ / pc</w:t>
      </w:r>
    </w:p>
    <w:p w14:paraId="15AC2A8D" w14:textId="77777777" w:rsidR="00DF410E" w:rsidRDefault="00CE7F43">
      <w:pPr>
        <w:spacing w:after="0" w:line="0" w:lineRule="atLeast"/>
      </w:pPr>
      <w:r>
        <w:rPr>
          <w:b/>
          <w:color w:val="000000"/>
        </w:rPr>
        <w:t>(soit par défaut)</w:t>
      </w:r>
    </w:p>
    <w:p w14:paraId="08E923F7" w14:textId="77777777" w:rsidR="00DF410E" w:rsidRDefault="00CE7F43">
      <w:pPr>
        <w:spacing w:after="0" w:line="0" w:lineRule="atLeast"/>
      </w:pPr>
      <w:r>
        <w:rPr>
          <w:rStyle w:val="soitChar"/>
        </w:rPr>
        <w:t>1. m²</w:t>
      </w:r>
    </w:p>
    <w:p w14:paraId="73156BCE" w14:textId="77777777" w:rsidR="00DF410E" w:rsidRDefault="00CE7F43">
      <w:pPr>
        <w:spacing w:after="0" w:line="0" w:lineRule="atLeast"/>
      </w:pPr>
      <w:r>
        <w:rPr>
          <w:b/>
          <w:color w:val="000000"/>
        </w:rPr>
        <w:t>(soit)</w:t>
      </w:r>
    </w:p>
    <w:p w14:paraId="17D5BD11" w14:textId="77777777" w:rsidR="00DF410E" w:rsidRDefault="00CE7F43">
      <w:pPr>
        <w:spacing w:after="0" w:line="0" w:lineRule="atLeast"/>
      </w:pPr>
      <w:r>
        <w:rPr>
          <w:rStyle w:val="soitChar"/>
        </w:rPr>
        <w:t>2. m³</w:t>
      </w:r>
    </w:p>
    <w:p w14:paraId="7DC2F922" w14:textId="77777777" w:rsidR="00DF410E" w:rsidRDefault="00CE7F43">
      <w:pPr>
        <w:spacing w:after="0" w:line="0" w:lineRule="atLeast"/>
      </w:pPr>
      <w:r>
        <w:rPr>
          <w:b/>
          <w:color w:val="000000"/>
        </w:rPr>
        <w:t>(soit)</w:t>
      </w:r>
    </w:p>
    <w:p w14:paraId="3BDC83E4" w14:textId="77777777" w:rsidR="00DF410E" w:rsidRDefault="00CE7F43">
      <w:pPr>
        <w:spacing w:after="0" w:line="0" w:lineRule="atLeast"/>
      </w:pPr>
      <w:r>
        <w:rPr>
          <w:rStyle w:val="soitChar"/>
        </w:rPr>
        <w:t>3. pc</w:t>
      </w:r>
    </w:p>
    <w:p w14:paraId="15BC8318" w14:textId="77777777" w:rsidR="00DF410E" w:rsidRDefault="00CE7F43">
      <w:pPr>
        <w:pStyle w:val="pheading"/>
      </w:pPr>
      <w:r>
        <w:t>- code de mesurage:</w:t>
      </w:r>
    </w:p>
    <w:p w14:paraId="7BFDEB35" w14:textId="77777777" w:rsidR="00DF410E" w:rsidRDefault="00CE7F43">
      <w:r>
        <w:rPr>
          <w:rStyle w:val="optioncarChar"/>
        </w:rPr>
        <w:t>Surface nette </w:t>
      </w:r>
      <w:r>
        <w:rPr>
          <w:rStyle w:val="optioncarChar"/>
          <w:color w:val="000000"/>
        </w:rPr>
        <w:t>(par défaut)</w:t>
      </w:r>
      <w:r>
        <w:rPr>
          <w:rStyle w:val="optioncarChar"/>
        </w:rPr>
        <w:t> / volume net / à la pièce</w:t>
      </w:r>
    </w:p>
    <w:p w14:paraId="573558FF" w14:textId="77777777" w:rsidR="00DF410E" w:rsidRDefault="00CE7F43">
      <w:pPr>
        <w:spacing w:after="0" w:line="252" w:lineRule="auto"/>
      </w:pPr>
      <w:r>
        <w:rPr>
          <w:b/>
          <w:color w:val="000000"/>
        </w:rPr>
        <w:t>(soit par défaut)</w:t>
      </w:r>
    </w:p>
    <w:p w14:paraId="34A41B82" w14:textId="77777777" w:rsidR="00DF410E" w:rsidRDefault="00CE7F43">
      <w:pPr>
        <w:spacing w:after="0" w:line="252" w:lineRule="auto"/>
      </w:pPr>
      <w:r>
        <w:rPr>
          <w:rStyle w:val="soitChar"/>
          <w:u w:val="single"/>
        </w:rPr>
        <w:t>Surface nette</w:t>
      </w:r>
      <w:r>
        <w:rPr>
          <w:rStyle w:val="soitChar"/>
        </w:rPr>
        <w:t>  du parement ; la surface apparente nette visible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16C02125" w14:textId="77777777" w:rsidR="00DF410E" w:rsidRDefault="00CE7F43">
      <w:pPr>
        <w:spacing w:after="0" w:line="252" w:lineRule="auto"/>
      </w:pPr>
      <w:r>
        <w:rPr>
          <w:rStyle w:val="soitChar"/>
        </w:rPr>
        <w:t>Distinction faite suivant l'épaisseur.</w:t>
      </w:r>
    </w:p>
    <w:p w14:paraId="63C456E4" w14:textId="77777777" w:rsidR="00DF410E" w:rsidRDefault="00CE7F43">
      <w:pPr>
        <w:spacing w:line="252" w:lineRule="auto"/>
      </w:pPr>
      <w:r>
        <w:rPr>
          <w:b/>
          <w:color w:val="000000"/>
        </w:rPr>
        <w:t>(soit)</w:t>
      </w:r>
    </w:p>
    <w:p w14:paraId="7E46497B"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97E0006"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21D3C843" w14:textId="77777777" w:rsidR="00DF410E" w:rsidRDefault="00CE7F43">
      <w:pPr>
        <w:spacing w:line="252" w:lineRule="auto"/>
      </w:pPr>
      <w:r>
        <w:rPr>
          <w:b/>
          <w:color w:val="000000"/>
        </w:rPr>
        <w:t>(soit)</w:t>
      </w:r>
    </w:p>
    <w:p w14:paraId="54B68343" w14:textId="77777777" w:rsidR="00DF410E" w:rsidRDefault="00CE7F43">
      <w:pPr>
        <w:spacing w:line="252" w:lineRule="auto"/>
      </w:pPr>
      <w:r>
        <w:rPr>
          <w:rStyle w:val="soitChar"/>
          <w:u w:val="single"/>
        </w:rPr>
        <w:t xml:space="preserve">A la pièce </w:t>
      </w:r>
      <w:r>
        <w:rPr>
          <w:rStyle w:val="soitChar"/>
        </w:rPr>
        <w:t>; quantité nette à poser. Aucun volume n'est compté deux fois.</w:t>
      </w:r>
    </w:p>
    <w:p w14:paraId="78D681C5" w14:textId="77777777" w:rsidR="00DF410E" w:rsidRDefault="00CE7F43">
      <w:pPr>
        <w:pStyle w:val="pheading"/>
      </w:pPr>
      <w:r>
        <w:t>- nature du marché:</w:t>
      </w:r>
    </w:p>
    <w:p w14:paraId="583D5A00" w14:textId="77777777" w:rsidR="00DF410E" w:rsidRDefault="00CE7F43">
      <w:r>
        <w:t>QF</w:t>
      </w:r>
    </w:p>
    <w:p w14:paraId="44B2A085" w14:textId="77777777" w:rsidR="00DF410E" w:rsidRDefault="00CE7F43">
      <w:pPr>
        <w:pStyle w:val="Author-eSectionHeading6"/>
      </w:pPr>
      <w:bookmarkStart w:id="298" w:name="_Toc178837524"/>
      <w:r>
        <w:t>21.35.1b Maçonneries de parement en panneaux préfabriqués en blocs de verre CCTB 01.11</w:t>
      </w:r>
      <w:bookmarkEnd w:id="298"/>
    </w:p>
    <w:p w14:paraId="13C4E516" w14:textId="77777777" w:rsidR="00DF410E" w:rsidRDefault="00CE7F43">
      <w:pPr>
        <w:pStyle w:val="pheading"/>
      </w:pPr>
      <w:r>
        <w:t>DESCRIPTION</w:t>
      </w:r>
    </w:p>
    <w:p w14:paraId="03953D82" w14:textId="77777777" w:rsidR="00DF410E" w:rsidRDefault="00CE7F43">
      <w:pPr>
        <w:pStyle w:val="pheading"/>
      </w:pPr>
      <w:r>
        <w:t>- Définition / Comprend</w:t>
      </w:r>
    </w:p>
    <w:p w14:paraId="0F6566C4" w14:textId="77777777" w:rsidR="00DF410E" w:rsidRDefault="00CE7F43">
      <w:r>
        <w:t>Il s’agit de la fourniture et la pose de maçonneries de parement en blocs de verre.</w:t>
      </w:r>
    </w:p>
    <w:p w14:paraId="40242C11" w14:textId="77777777" w:rsidR="00DF410E" w:rsidRDefault="00CE7F43">
      <w:r>
        <w:t xml:space="preserve">La portée des travaux est décrite dans l’article </w:t>
      </w:r>
      <w:hyperlink w:anchor="405" w:history="1">
        <w:r>
          <w:t>21.35.1 Maçonneries de parement en blocs de verre</w:t>
        </w:r>
      </w:hyperlink>
      <w:r>
        <w:t>.</w:t>
      </w:r>
    </w:p>
    <w:p w14:paraId="46BB713A" w14:textId="77777777" w:rsidR="00DF410E" w:rsidRDefault="00CE7F43">
      <w:r>
        <w:t>Les travaux comprennent également la fourniture et la pose des panneaux, des isolations périphériques, les couches d'étanchéité et les bavettes de plomb, jusqu'au rejointoiement complet et le ragréage à l'aide d'un mastic élastique, des pièces d’angle, de terminaison et de rencontre.</w:t>
      </w:r>
    </w:p>
    <w:p w14:paraId="1FF38AE0" w14:textId="77777777" w:rsidR="00DF410E" w:rsidRDefault="00CE7F43">
      <w:r>
        <w:t>Les blocs de verre avec ventilation peuvent, le cas échéant, être comptés séparément comme supplément pour la surface des panneaux.</w:t>
      </w:r>
    </w:p>
    <w:p w14:paraId="5D236DD1" w14:textId="77777777" w:rsidR="00DF410E" w:rsidRDefault="00CE7F43">
      <w:pPr>
        <w:pStyle w:val="pheading"/>
      </w:pPr>
      <w:r>
        <w:t>- Localisation</w:t>
      </w:r>
    </w:p>
    <w:p w14:paraId="3338DED7" w14:textId="77777777" w:rsidR="00DF410E" w:rsidRDefault="00CE7F43">
      <w:r>
        <w:t xml:space="preserve">La pose est réalisée aux endroits suivants : </w:t>
      </w:r>
      <w:r>
        <w:rPr>
          <w:rStyle w:val="optioncarChar"/>
        </w:rPr>
        <w:t>***</w:t>
      </w:r>
      <w:r>
        <w:t>.</w:t>
      </w:r>
    </w:p>
    <w:p w14:paraId="27C9B7DF" w14:textId="77777777" w:rsidR="00DF410E" w:rsidRDefault="00CE7F43">
      <w:r>
        <w:t>Voir plans et métrés détaillés.</w:t>
      </w:r>
    </w:p>
    <w:p w14:paraId="009FB0B8" w14:textId="77777777" w:rsidR="00DF410E" w:rsidRDefault="00CE7F43">
      <w:pPr>
        <w:pStyle w:val="pheading"/>
      </w:pPr>
      <w:r>
        <w:t>MATÉRIAUX</w:t>
      </w:r>
    </w:p>
    <w:p w14:paraId="094B39FF" w14:textId="77777777" w:rsidR="00DF410E" w:rsidRDefault="00CE7F43">
      <w:pPr>
        <w:pStyle w:val="pheading"/>
      </w:pPr>
      <w:r>
        <w:t>- Caractéristiques générales</w:t>
      </w:r>
    </w:p>
    <w:p w14:paraId="25FC9321" w14:textId="77777777" w:rsidR="00DF410E" w:rsidRDefault="00CE7F43">
      <w:r>
        <w:t>Il s'agit de blocs de verre préassemblés dans des cadres préfabriqués sur mesure, en vue de constituer des panneaux. Le montage est effectué par une firme spécialisée. Latéralement, les panneaux sont ancrés dans la maçonnerie à l'aide d'armatures dépassants, d'un diamètre d'environ 1 cm; ces armatures permettent la fixation des panneaux et sont maçonnées dans la maçonnerie attenante. L'entrepreneur soumet les notes de calcul et les détails d'exécution des panneaux préfabriqués en blocs de verre pour approbation à l'auteur de projet. Ils respectent la [NBN S 23-002] et la [NBN EN 1991-1-4] en ce qui concerne l'étanchéité des murs extérieurs.</w:t>
      </w:r>
    </w:p>
    <w:p w14:paraId="65A50D66" w14:textId="77777777" w:rsidR="00DF410E" w:rsidRDefault="00CE7F43">
      <w:pPr>
        <w:pStyle w:val="heading"/>
      </w:pPr>
      <w:r>
        <w:t>Spécifications</w:t>
      </w:r>
    </w:p>
    <w:p w14:paraId="07FFF14A" w14:textId="77777777" w:rsidR="00DF410E" w:rsidRDefault="00CE7F43">
      <w:r>
        <w:t xml:space="preserve">Cadre: </w:t>
      </w:r>
      <w:r>
        <w:rPr>
          <w:rStyle w:val="optioncarChar"/>
        </w:rPr>
        <w:t>cadre en béton (d'au moins 5 </w:t>
      </w:r>
      <w:r>
        <w:t>(par défaut)</w:t>
      </w:r>
      <w:r>
        <w:rPr>
          <w:rStyle w:val="optioncarChar"/>
        </w:rPr>
        <w:t xml:space="preserve"> / *** ) cm de largeur / ***</w:t>
      </w:r>
    </w:p>
    <w:p w14:paraId="00D85CFB" w14:textId="77777777" w:rsidR="00DF410E" w:rsidRDefault="00CE7F43">
      <w:r>
        <w:t xml:space="preserve">Dimensions du cadre (mm) : </w:t>
      </w:r>
      <w:r>
        <w:rPr>
          <w:rStyle w:val="optioncarChar"/>
        </w:rPr>
        <w:t xml:space="preserve">selon les indications sur les plans </w:t>
      </w:r>
      <w:r>
        <w:t>(par défaut) </w:t>
      </w:r>
      <w:r>
        <w:rPr>
          <w:rStyle w:val="optioncarChar"/>
        </w:rPr>
        <w:t>/ *** x ***</w:t>
      </w:r>
      <w:r>
        <w:t> </w:t>
      </w:r>
    </w:p>
    <w:p w14:paraId="0773CC66" w14:textId="77777777" w:rsidR="00DF410E" w:rsidRDefault="00CE7F43">
      <w:r>
        <w:t xml:space="preserve">Format des blocs de verre (mm) : </w:t>
      </w:r>
      <w:r>
        <w:rPr>
          <w:rStyle w:val="optioncarChar"/>
        </w:rPr>
        <w:t>145 x 145 x 55 / 190 x 190 x 80</w:t>
      </w:r>
      <w:r>
        <w:t> (par défaut)</w:t>
      </w:r>
      <w:r>
        <w:rPr>
          <w:rStyle w:val="optioncarChar"/>
        </w:rPr>
        <w:t xml:space="preserve"> / 240 x 240 x 80 / 240 x 115 x 80 / 300 x 300 x 100 / *** x *** x ***</w:t>
      </w:r>
      <w:r>
        <w:t xml:space="preserve"> mm.</w:t>
      </w:r>
    </w:p>
    <w:p w14:paraId="007515EA" w14:textId="77777777" w:rsidR="00DF410E" w:rsidRDefault="00CE7F43">
      <w:r>
        <w:t xml:space="preserve">Aspect des blocs de verre : </w:t>
      </w:r>
      <w:r>
        <w:rPr>
          <w:rStyle w:val="optioncarChar"/>
        </w:rPr>
        <w:t>lisse uni </w:t>
      </w:r>
      <w:r>
        <w:t>(par défaut)</w:t>
      </w:r>
      <w:r>
        <w:rPr>
          <w:rStyle w:val="optioncarChar"/>
        </w:rPr>
        <w:t xml:space="preserve"> / lisse strié / lisse ondé / ***</w:t>
      </w:r>
    </w:p>
    <w:p w14:paraId="26D65B1C" w14:textId="77777777" w:rsidR="00DF410E" w:rsidRDefault="00CE7F43">
      <w:pPr>
        <w:pStyle w:val="pheading"/>
      </w:pPr>
      <w:r>
        <w:t>- Finitions</w:t>
      </w:r>
    </w:p>
    <w:p w14:paraId="0871F9A3" w14:textId="77777777" w:rsidR="00DF410E" w:rsidRDefault="00CE7F43">
      <w:r>
        <w:t xml:space="preserve">Couleur des blocs de verre : </w:t>
      </w:r>
      <w:r>
        <w:rPr>
          <w:rStyle w:val="optioncarChar"/>
        </w:rPr>
        <w:t>transparentes claires</w:t>
      </w:r>
      <w:r>
        <w:t> (par défaut)</w:t>
      </w:r>
      <w:r>
        <w:rPr>
          <w:rStyle w:val="optioncarChar"/>
        </w:rPr>
        <w:t xml:space="preserve"> / ***</w:t>
      </w:r>
    </w:p>
    <w:p w14:paraId="178288E1" w14:textId="77777777" w:rsidR="00DF410E" w:rsidRDefault="00CE7F43">
      <w:pPr>
        <w:pStyle w:val="pheading"/>
      </w:pPr>
      <w:r>
        <w:t>- Prescriptions complémentaires</w:t>
      </w:r>
    </w:p>
    <w:p w14:paraId="05C9EF17" w14:textId="77777777" w:rsidR="00DF410E" w:rsidRDefault="00CE7F43">
      <w:r>
        <w:t xml:space="preserve">Eléments de ventilation : les blocs de verre ventilés répondent à la [NBN S 23-002] et présentent une </w:t>
      </w:r>
      <w:r>
        <w:rPr>
          <w:rStyle w:val="optioncarChar"/>
        </w:rPr>
        <w:t>ouverture fixe / un clapet réglable / un clapet réglable avec moustiquaire</w:t>
      </w:r>
      <w:r>
        <w:t xml:space="preserve">, passage libre de l'air de </w:t>
      </w:r>
      <w:r>
        <w:rPr>
          <w:rStyle w:val="optioncarChar"/>
        </w:rPr>
        <w:t>25 </w:t>
      </w:r>
      <w:r>
        <w:t>(par défaut)</w:t>
      </w:r>
      <w:r>
        <w:rPr>
          <w:rStyle w:val="optioncarChar"/>
        </w:rPr>
        <w:t xml:space="preserve"> / ***</w:t>
      </w:r>
      <w:r>
        <w:t xml:space="preserve"> %. L'application est conforme aux indications sur les plans et/ou aux dessins de d'exécution. On pose une bande de polystyrène extrudé d'une épaisseur de 15 mm sur les côtés et de 25 mm au-dessus des panneaux préfabriqués. Les revêtements des façades des bâtiments faisant partie du domaine d’application de l’arrêté royal normes de prévention de base [AR 1994-07-07] et ses modifications] sont soumis à des exigences de réaction au feu : D-s3, d1 pour les bâtiments bas et B-s3, d1 pour les bâtiments moyens et élevés. Pour les bâtiments moyens (BM) et élevés (BE) soumis aux exigences de l’arrêté royal normes de prévention de base [AR 1994-07-07], si les façades vitrées du bâtiment dominent des constructions faisant ou non partie de ce bâtiment :</w:t>
      </w:r>
    </w:p>
    <w:p w14:paraId="2EE6068B" w14:textId="77777777" w:rsidR="00DF410E" w:rsidRDefault="00CE7F43">
      <w:pPr>
        <w:pStyle w:val="Author-eListParagraph"/>
        <w:numPr>
          <w:ilvl w:val="0"/>
          <w:numId w:val="267"/>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DF410E" w14:paraId="5A2DD4DE" w14:textId="77777777">
        <w:tc>
          <w:tcPr>
            <w:tcW w:w="4515" w:type="dxa"/>
            <w:noWrap/>
          </w:tcPr>
          <w:p w14:paraId="4995DD62" w14:textId="77777777" w:rsidR="00DF410E" w:rsidRDefault="00CE7F43">
            <w:r>
              <w:t>Distance horizontale à partir des façades, a</w:t>
            </w:r>
          </w:p>
        </w:tc>
        <w:tc>
          <w:tcPr>
            <w:tcW w:w="4515" w:type="dxa"/>
            <w:noWrap/>
          </w:tcPr>
          <w:p w14:paraId="155ADF1B" w14:textId="77777777" w:rsidR="00DF410E" w:rsidRDefault="00CE7F43">
            <w:r>
              <w:t>Exigences en matière de résistance au feu</w:t>
            </w:r>
          </w:p>
        </w:tc>
      </w:tr>
      <w:tr w:rsidR="00DF410E" w14:paraId="18F3C151" w14:textId="77777777">
        <w:tc>
          <w:tcPr>
            <w:tcW w:w="4515" w:type="dxa"/>
            <w:noWrap/>
          </w:tcPr>
          <w:p w14:paraId="2B4C1C1F" w14:textId="77777777" w:rsidR="00DF410E" w:rsidRDefault="00CE7F43">
            <w:r>
              <w:t>a &lt; 1 m</w:t>
            </w:r>
          </w:p>
        </w:tc>
        <w:tc>
          <w:tcPr>
            <w:tcW w:w="4515" w:type="dxa"/>
            <w:noWrap/>
          </w:tcPr>
          <w:p w14:paraId="21DF9214" w14:textId="77777777" w:rsidR="00DF410E" w:rsidRDefault="00CE7F43">
            <w:r>
              <w:t>EI 60 (BM) EI 120 (BE)</w:t>
            </w:r>
          </w:p>
        </w:tc>
      </w:tr>
      <w:tr w:rsidR="00DF410E" w14:paraId="002D77AF" w14:textId="77777777">
        <w:tc>
          <w:tcPr>
            <w:tcW w:w="4515" w:type="dxa"/>
            <w:noWrap/>
          </w:tcPr>
          <w:p w14:paraId="5A4BEECE" w14:textId="77777777" w:rsidR="00DF410E" w:rsidRDefault="00CE7F43">
            <w:r>
              <w:t>1 m &lt; a &lt; 5 m</w:t>
            </w:r>
          </w:p>
        </w:tc>
        <w:tc>
          <w:tcPr>
            <w:tcW w:w="4515" w:type="dxa"/>
            <w:noWrap/>
          </w:tcPr>
          <w:p w14:paraId="2E153F63" w14:textId="77777777" w:rsidR="00DF410E" w:rsidRDefault="00CE7F43">
            <w:r>
              <w:t>E 60 (BM) E 120 (BE)</w:t>
            </w:r>
          </w:p>
        </w:tc>
      </w:tr>
    </w:tbl>
    <w:p w14:paraId="6B552952" w14:textId="77777777" w:rsidR="00DF410E" w:rsidRDefault="00CE7F43">
      <w:pPr>
        <w:pStyle w:val="Author-eListParagraph"/>
        <w:numPr>
          <w:ilvl w:val="0"/>
          <w:numId w:val="268"/>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DF410E" w14:paraId="4F144657" w14:textId="77777777">
        <w:tc>
          <w:tcPr>
            <w:tcW w:w="4515" w:type="dxa"/>
            <w:noWrap/>
          </w:tcPr>
          <w:p w14:paraId="3D1F2A33" w14:textId="77777777" w:rsidR="00DF410E" w:rsidRDefault="00CE7F43">
            <w:r>
              <w:t>Hauteur mesurée à partir de la toiture, b</w:t>
            </w:r>
          </w:p>
        </w:tc>
        <w:tc>
          <w:tcPr>
            <w:tcW w:w="4515" w:type="dxa"/>
            <w:noWrap/>
          </w:tcPr>
          <w:p w14:paraId="6FA2AEAE" w14:textId="77777777" w:rsidR="00DF410E" w:rsidRDefault="00CE7F43">
            <w:r>
              <w:t>Exigences en matière de résistance au feu</w:t>
            </w:r>
          </w:p>
        </w:tc>
      </w:tr>
      <w:tr w:rsidR="00DF410E" w14:paraId="0A9F7624" w14:textId="77777777">
        <w:tc>
          <w:tcPr>
            <w:tcW w:w="4515" w:type="dxa"/>
            <w:noWrap/>
          </w:tcPr>
          <w:p w14:paraId="57DB5EA1" w14:textId="77777777" w:rsidR="00DF410E" w:rsidRDefault="00CE7F43">
            <w:r>
              <w:t>b &lt; 3 m</w:t>
            </w:r>
          </w:p>
        </w:tc>
        <w:tc>
          <w:tcPr>
            <w:tcW w:w="4515" w:type="dxa"/>
            <w:noWrap/>
          </w:tcPr>
          <w:p w14:paraId="15CA3D54" w14:textId="77777777" w:rsidR="00DF410E" w:rsidRDefault="00CE7F43">
            <w:r>
              <w:t xml:space="preserve">(BM) EI 60 </w:t>
            </w:r>
            <w:r>
              <w:rPr>
                <w:vertAlign w:val="subscript"/>
              </w:rPr>
              <w:t>( i ← o )</w:t>
            </w:r>
            <w:r>
              <w:t xml:space="preserve">(BE) EI 120 </w:t>
            </w:r>
            <w:r>
              <w:rPr>
                <w:vertAlign w:val="subscript"/>
              </w:rPr>
              <w:t>( i ← o )</w:t>
            </w:r>
          </w:p>
        </w:tc>
      </w:tr>
      <w:tr w:rsidR="00DF410E" w14:paraId="57001314" w14:textId="77777777">
        <w:tc>
          <w:tcPr>
            <w:tcW w:w="4515" w:type="dxa"/>
            <w:noWrap/>
          </w:tcPr>
          <w:p w14:paraId="22840684" w14:textId="77777777" w:rsidR="00DF410E" w:rsidRDefault="00CE7F43">
            <w:r>
              <w:t>3 m &lt; b &lt; 8 m</w:t>
            </w:r>
          </w:p>
        </w:tc>
        <w:tc>
          <w:tcPr>
            <w:tcW w:w="4515" w:type="dxa"/>
            <w:noWrap/>
          </w:tcPr>
          <w:p w14:paraId="3DFABBB6" w14:textId="77777777" w:rsidR="00DF410E" w:rsidRDefault="00CE7F43">
            <w:r>
              <w:t xml:space="preserve">(BM) E 60 </w:t>
            </w:r>
            <w:r>
              <w:rPr>
                <w:vertAlign w:val="subscript"/>
              </w:rPr>
              <w:t>( i ← o )</w:t>
            </w:r>
            <w:r>
              <w:t xml:space="preserve">(BE) E 120 </w:t>
            </w:r>
            <w:r>
              <w:rPr>
                <w:vertAlign w:val="subscript"/>
              </w:rPr>
              <w:t>( i ← o )</w:t>
            </w:r>
          </w:p>
        </w:tc>
      </w:tr>
    </w:tbl>
    <w:p w14:paraId="38E8B790" w14:textId="77777777" w:rsidR="00DF410E" w:rsidRDefault="00CE7F43">
      <w:pPr>
        <w:pStyle w:val="pheading"/>
      </w:pPr>
      <w:r>
        <w:t>EXÉCUTION / MISE EN ŒUVRE</w:t>
      </w:r>
    </w:p>
    <w:p w14:paraId="52D6EC39" w14:textId="77777777" w:rsidR="00DF410E" w:rsidRDefault="00CE7F43">
      <w:pPr>
        <w:pStyle w:val="pheading"/>
      </w:pPr>
      <w:r>
        <w:t>- Prescriptions générales</w:t>
      </w:r>
    </w:p>
    <w:p w14:paraId="1A31298A" w14:textId="77777777" w:rsidR="00DF410E" w:rsidRDefault="00CE7F43">
      <w:r>
        <w:t>L'ancrage et la pose des panneaux en blocs de verre s'effectuent conformément aux directives du fabricant des blocs de verre et de l'entreprise spécialisée. La construction est totalement indépendante de l'ouvrage de gros-œuvre et ne peut en aucun cas subir les sollicitations et les tassements du gros-œuvre. A cet effet, on insère au-dessus et sur les côtés un joint de dilatation en matériau extrêmement compressible (par exemple, un mastic de polysulfide à deux composantes), d'une épaisseur d'environ 10 mm (au-dessus 15 mm). Les joints sont lissés et doivent à la fois rester étanches à l'eau et conserver leur élasticité. La couleur est déterminée par l'auteur de projet.</w:t>
      </w:r>
    </w:p>
    <w:p w14:paraId="6B135D03" w14:textId="77777777" w:rsidR="00DF410E" w:rsidRDefault="00CE7F43">
      <w:pPr>
        <w:pStyle w:val="pheading"/>
      </w:pPr>
      <w:r>
        <w:t>- Notes d’exécution complémentaires</w:t>
      </w:r>
    </w:p>
    <w:p w14:paraId="60E419AC" w14:textId="77777777" w:rsidR="00DF410E" w:rsidRDefault="00CE7F43">
      <w:r>
        <w:t>Les joints périphériques sont rembourrés à l'aide d'un matériau isolant approprié.</w:t>
      </w:r>
    </w:p>
    <w:p w14:paraId="29B9D6BE" w14:textId="77777777" w:rsidR="00DF410E" w:rsidRDefault="00CE7F43">
      <w:r>
        <w:t xml:space="preserve">Les bords inférieurs sont pourvus d'une couche hydrofuge, c'est-à-dire d’une bande de bitume et d’une bavette de plomb </w:t>
      </w:r>
      <w:r>
        <w:rPr>
          <w:color w:val="FF0000"/>
        </w:rPr>
        <w:t>.</w:t>
      </w:r>
    </w:p>
    <w:p w14:paraId="59700925" w14:textId="77777777" w:rsidR="00DF410E" w:rsidRDefault="00CE7F43">
      <w:r>
        <w:t>Les blocs de verre ventilés sont intégrés dans les panneaux préfabriqués selon les indications sur les plans et/ou les dessins de détail.</w:t>
      </w:r>
    </w:p>
    <w:p w14:paraId="3A1BAD47" w14:textId="77777777" w:rsidR="00DF410E" w:rsidRDefault="00CE7F43">
      <w:pPr>
        <w:pStyle w:val="pheading"/>
      </w:pPr>
      <w:r>
        <w:t>MESURAGE</w:t>
      </w:r>
    </w:p>
    <w:p w14:paraId="52D358A7" w14:textId="77777777" w:rsidR="00DF410E" w:rsidRDefault="00CE7F43">
      <w:pPr>
        <w:pStyle w:val="pheading"/>
      </w:pPr>
      <w:r>
        <w:t>- unité de mesure:</w:t>
      </w:r>
    </w:p>
    <w:p w14:paraId="10FCF309" w14:textId="77777777" w:rsidR="00DF410E" w:rsidRDefault="00DF410E"/>
    <w:p w14:paraId="5304571E" w14:textId="77777777" w:rsidR="00DF410E" w:rsidRDefault="00CE7F43">
      <w:r>
        <w:rPr>
          <w:rStyle w:val="optioncarChar"/>
        </w:rPr>
        <w:t>m² </w:t>
      </w:r>
      <w:r>
        <w:rPr>
          <w:rStyle w:val="optioncarChar"/>
          <w:color w:val="000000"/>
        </w:rPr>
        <w:t>(par défaut)</w:t>
      </w:r>
      <w:r>
        <w:rPr>
          <w:rStyle w:val="optioncarChar"/>
        </w:rPr>
        <w:t> / m³</w:t>
      </w:r>
    </w:p>
    <w:p w14:paraId="688EF23D" w14:textId="77777777" w:rsidR="00DF410E" w:rsidRDefault="00CE7F43">
      <w:pPr>
        <w:spacing w:after="0" w:line="0" w:lineRule="atLeast"/>
      </w:pPr>
      <w:r>
        <w:rPr>
          <w:b/>
          <w:color w:val="000000"/>
        </w:rPr>
        <w:t>(soit par défaut)</w:t>
      </w:r>
    </w:p>
    <w:p w14:paraId="4EEFEDEB" w14:textId="77777777" w:rsidR="00DF410E" w:rsidRDefault="00CE7F43">
      <w:pPr>
        <w:spacing w:after="0" w:line="0" w:lineRule="atLeast"/>
      </w:pPr>
      <w:r>
        <w:rPr>
          <w:rStyle w:val="soitChar"/>
        </w:rPr>
        <w:t>1. m²</w:t>
      </w:r>
    </w:p>
    <w:p w14:paraId="65872F74" w14:textId="77777777" w:rsidR="00DF410E" w:rsidRDefault="00CE7F43">
      <w:pPr>
        <w:spacing w:after="0" w:line="0" w:lineRule="atLeast"/>
      </w:pPr>
      <w:r>
        <w:rPr>
          <w:b/>
          <w:color w:val="000000"/>
        </w:rPr>
        <w:t>(soit)</w:t>
      </w:r>
    </w:p>
    <w:p w14:paraId="0E34623D" w14:textId="77777777" w:rsidR="00DF410E" w:rsidRDefault="00CE7F43">
      <w:pPr>
        <w:spacing w:after="0" w:line="0" w:lineRule="atLeast"/>
      </w:pPr>
      <w:r>
        <w:rPr>
          <w:rStyle w:val="soitChar"/>
        </w:rPr>
        <w:t>2. m³</w:t>
      </w:r>
    </w:p>
    <w:p w14:paraId="0AA9839F" w14:textId="77777777" w:rsidR="00DF410E" w:rsidRDefault="00CE7F43">
      <w:pPr>
        <w:pStyle w:val="pheading"/>
      </w:pPr>
      <w:r>
        <w:t>- code de mesurage:</w:t>
      </w:r>
    </w:p>
    <w:p w14:paraId="242B2CDA" w14:textId="77777777" w:rsidR="00DF410E" w:rsidRDefault="00CE7F43">
      <w:pPr>
        <w:spacing w:after="0" w:line="259" w:lineRule="auto"/>
      </w:pPr>
      <w:r>
        <w:rPr>
          <w:rStyle w:val="optioncarChar"/>
        </w:rPr>
        <w:t>Surface nette </w:t>
      </w:r>
      <w:r>
        <w:rPr>
          <w:rStyle w:val="optioncarChar"/>
          <w:color w:val="000000"/>
        </w:rPr>
        <w:t>(par défaut)</w:t>
      </w:r>
      <w:r>
        <w:rPr>
          <w:rStyle w:val="optioncarChar"/>
        </w:rPr>
        <w:t> / volume net</w:t>
      </w:r>
    </w:p>
    <w:p w14:paraId="2764629E" w14:textId="77777777" w:rsidR="00DF410E" w:rsidRDefault="00CE7F43">
      <w:pPr>
        <w:spacing w:after="0" w:line="252" w:lineRule="auto"/>
      </w:pPr>
      <w:r>
        <w:rPr>
          <w:b/>
          <w:color w:val="000000"/>
        </w:rPr>
        <w:t>(soit par défaut)</w:t>
      </w:r>
    </w:p>
    <w:p w14:paraId="5127FC72" w14:textId="77777777" w:rsidR="00DF410E" w:rsidRDefault="00CE7F43">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60C9256" w14:textId="77777777" w:rsidR="00DF410E" w:rsidRDefault="00CE7F43">
      <w:pPr>
        <w:spacing w:after="0" w:line="252" w:lineRule="auto"/>
      </w:pPr>
      <w:r>
        <w:rPr>
          <w:rStyle w:val="soitChar"/>
        </w:rPr>
        <w:t>Distinction faite suivant l'épaisseur.</w:t>
      </w:r>
    </w:p>
    <w:p w14:paraId="2B569674" w14:textId="77777777" w:rsidR="00DF410E" w:rsidRDefault="00CE7F43">
      <w:pPr>
        <w:spacing w:line="252" w:lineRule="auto"/>
      </w:pPr>
      <w:r>
        <w:rPr>
          <w:b/>
          <w:color w:val="000000"/>
        </w:rPr>
        <w:t>(soit)</w:t>
      </w:r>
    </w:p>
    <w:p w14:paraId="33D6B63C" w14:textId="77777777" w:rsidR="00DF410E" w:rsidRDefault="00CE7F43">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4F19EA52" w14:textId="77777777" w:rsidR="00DF410E" w:rsidRDefault="00CE7F43">
      <w:pPr>
        <w:spacing w:line="252" w:lineRule="auto"/>
      </w:pPr>
      <w:r>
        <w:rPr>
          <w:rStyle w:val="soitChar"/>
        </w:rPr>
        <w:t>Les ouvertures ou les éléments de construction intégrés dont l'aire est supérieure à 0,5 m² multipliées par l’épaisseur à réaliser sont déduites.</w:t>
      </w:r>
    </w:p>
    <w:p w14:paraId="303F336B" w14:textId="77777777" w:rsidR="00DF410E" w:rsidRDefault="00CE7F43">
      <w:pPr>
        <w:pStyle w:val="pheading"/>
      </w:pPr>
      <w:r>
        <w:t>- nature du marché:</w:t>
      </w:r>
    </w:p>
    <w:p w14:paraId="03A44B5E" w14:textId="77777777" w:rsidR="00DF410E" w:rsidRDefault="00CE7F43">
      <w:r>
        <w:t>QF</w:t>
      </w:r>
    </w:p>
    <w:p w14:paraId="50EC112A" w14:textId="77777777" w:rsidR="00DF410E" w:rsidRDefault="00CE7F43">
      <w:pPr>
        <w:pStyle w:val="Author-eSectionHeading4"/>
      </w:pPr>
      <w:bookmarkStart w:id="299" w:name="_Toc178837525"/>
      <w:r>
        <w:t>21.36 Eléments particuliers de façades CCTB 01.11</w:t>
      </w:r>
      <w:bookmarkEnd w:id="299"/>
    </w:p>
    <w:p w14:paraId="0B5B650F" w14:textId="77777777" w:rsidR="00DF410E" w:rsidRDefault="00CE7F43">
      <w:pPr>
        <w:pStyle w:val="pheading"/>
      </w:pPr>
      <w:bookmarkStart w:id="300" w:name="411"/>
      <w:bookmarkEnd w:id="300"/>
      <w:r>
        <w:t>DESCRIPTION</w:t>
      </w:r>
    </w:p>
    <w:p w14:paraId="4C409A09" w14:textId="77777777" w:rsidR="00DF410E" w:rsidRDefault="00CE7F43">
      <w:pPr>
        <w:pStyle w:val="pheading"/>
      </w:pPr>
      <w:r>
        <w:t>- Définition / Comprend</w:t>
      </w:r>
    </w:p>
    <w:p w14:paraId="65621DD7" w14:textId="77777777" w:rsidR="00DF410E" w:rsidRDefault="00CE7F43">
      <w:r>
        <w:t>Ce poste comprend toutes les fournitures et les travaux pour la pose des éléments de façade en matériaux pierreux (seuils / plinthes / pierres de couverture / encadrements / …) destinés à être intégrés dans les murs extérieurs et à constituer avec ces derniers un tout soigneusement achevé. Conformément aux dispositions générales et/ou spécifiques du cahier spécial des charges, les prix unitaires compris dans ce poste doivent toujours comprendre, soit selon la ventilation dans le métré récapitulatif, soit dans leur totalité:</w:t>
      </w:r>
    </w:p>
    <w:p w14:paraId="001FA164" w14:textId="77777777" w:rsidR="00DF410E" w:rsidRDefault="00CE7F43">
      <w:pPr>
        <w:pStyle w:val="Author-eListParagraph"/>
        <w:numPr>
          <w:ilvl w:val="0"/>
          <w:numId w:val="269"/>
        </w:numPr>
      </w:pPr>
      <w:r>
        <w:t>la mise en place et l'enlèvement des échafaudages, des bâches et des ouvrages de protection nécessaires aux travaux;</w:t>
      </w:r>
    </w:p>
    <w:p w14:paraId="587F3C76" w14:textId="77777777" w:rsidR="00DF410E" w:rsidRDefault="00CE7F43">
      <w:pPr>
        <w:pStyle w:val="Author-eListParagraph"/>
        <w:numPr>
          <w:ilvl w:val="0"/>
          <w:numId w:val="269"/>
        </w:numPr>
      </w:pPr>
      <w:r>
        <w:t>l'inspection et la préparation du support ou de la construction portante;</w:t>
      </w:r>
    </w:p>
    <w:p w14:paraId="243F717B" w14:textId="77777777" w:rsidR="00DF410E" w:rsidRDefault="00CE7F43">
      <w:pPr>
        <w:pStyle w:val="Author-eListParagraph"/>
        <w:numPr>
          <w:ilvl w:val="0"/>
          <w:numId w:val="269"/>
        </w:numPr>
      </w:pPr>
      <w:r>
        <w:t>la vérification et le relevé des dimensions exactes pendant ou après l'exécution du gros-œuvre, afin de comparer les dessins de détail et/ou les coupes de profil avec les travaux déjà effectués;</w:t>
      </w:r>
    </w:p>
    <w:p w14:paraId="30F15227" w14:textId="77777777" w:rsidR="00DF410E" w:rsidRDefault="00CE7F43">
      <w:pPr>
        <w:pStyle w:val="Author-eListParagraph"/>
        <w:numPr>
          <w:ilvl w:val="0"/>
          <w:numId w:val="269"/>
        </w:numPr>
      </w:pPr>
      <w:r>
        <w:t>la préparation, les dessins d'atelier et la préfabrication de tous les éléments de façade prévus (éléments en pierre de taille selon les profils décrits : bordures, linteaux, seuils, pierres de couverture, encadrements, terminaisons et rencontres, colonnes, …</w:t>
      </w:r>
    </w:p>
    <w:p w14:paraId="34E96D2C" w14:textId="77777777" w:rsidR="00DF410E" w:rsidRDefault="00CE7F43">
      <w:pPr>
        <w:pStyle w:val="Author-eListParagraph"/>
        <w:numPr>
          <w:ilvl w:val="0"/>
          <w:numId w:val="269"/>
        </w:numPr>
      </w:pPr>
      <w:r>
        <w:t>les éléments de fixation aux autres éléments de construction (pattes et rails d'ancrage, goujons, …);</w:t>
      </w:r>
    </w:p>
    <w:p w14:paraId="7A0E0400" w14:textId="77777777" w:rsidR="00DF410E" w:rsidRDefault="00CE7F43">
      <w:pPr>
        <w:pStyle w:val="Author-eListParagraph"/>
        <w:numPr>
          <w:ilvl w:val="0"/>
          <w:numId w:val="269"/>
        </w:numPr>
      </w:pPr>
      <w:r>
        <w:t>la fixation et le scellement des éléments de façade, y compris les mortiers de pose, les éléments d'ancrage, l'isolation contre l'humidité, les joints de dilatation, le rejointoiement, les mastics, …;</w:t>
      </w:r>
    </w:p>
    <w:p w14:paraId="06BC7E19" w14:textId="77777777" w:rsidR="00DF410E" w:rsidRDefault="00CE7F43">
      <w:pPr>
        <w:pStyle w:val="Author-eListParagraph"/>
        <w:numPr>
          <w:ilvl w:val="0"/>
          <w:numId w:val="269"/>
        </w:numPr>
      </w:pPr>
      <w:r>
        <w:t>le parachèvement des pierres de taille mal finies : la finition de la taille; l'exécution des moulures, le parachèvement sur place des petites irrégularités telles que les saillies, les ébarbures, …;</w:t>
      </w:r>
    </w:p>
    <w:p w14:paraId="083E2F92" w14:textId="77777777" w:rsidR="00DF410E" w:rsidRDefault="00CE7F43">
      <w:pPr>
        <w:pStyle w:val="Author-eListParagraph"/>
        <w:numPr>
          <w:ilvl w:val="0"/>
          <w:numId w:val="269"/>
        </w:numPr>
      </w:pPr>
      <w:r>
        <w:t>les mesures de protection, les traitements a posteriori;</w:t>
      </w:r>
    </w:p>
    <w:p w14:paraId="54B3A724" w14:textId="77777777" w:rsidR="00DF410E" w:rsidRDefault="00CE7F43">
      <w:pPr>
        <w:pStyle w:val="Author-eListParagraph"/>
        <w:numPr>
          <w:ilvl w:val="0"/>
          <w:numId w:val="269"/>
        </w:numPr>
      </w:pPr>
      <w:r>
        <w:t>le déblaiement et le nettoyage du chantier.</w:t>
      </w:r>
    </w:p>
    <w:p w14:paraId="0B1FE546" w14:textId="77777777" w:rsidR="00DF410E" w:rsidRDefault="00CE7F43">
      <w:r>
        <w:t>Pour l'exécution des pierres de taille, pour la pose des revêtements extérieurs verticaux en minces plaques de pierre naturelle, pour les pièces spécifiques de section ou de forme déterminée ou de sections non prescrites telles que les seuils, des prescriptions particulières sont d'application.</w:t>
      </w:r>
    </w:p>
    <w:p w14:paraId="61AB760F" w14:textId="77777777" w:rsidR="00DF410E" w:rsidRDefault="00CE7F43">
      <w:pPr>
        <w:pStyle w:val="pheading"/>
      </w:pPr>
      <w:r>
        <w:t>MATÉRIAUX</w:t>
      </w:r>
    </w:p>
    <w:p w14:paraId="09DD102B" w14:textId="77777777" w:rsidR="00DF410E" w:rsidRDefault="00CE7F43">
      <w:r>
        <w:rPr>
          <w:u w:val="single"/>
        </w:rPr>
        <w:t>GÉNÉRALITÉS - fourniture - échantillonnage</w:t>
      </w:r>
    </w:p>
    <w:p w14:paraId="00C1F89F" w14:textId="77777777" w:rsidR="00DF410E" w:rsidRDefault="00CE7F43">
      <w:r>
        <w:t>Dans le cas d'éléments profilés, l'entrepreneur soumet préalablement les dessins détaillés et les bordereaux des pièces des éléments de façade pour approbation à l'auteur de projet; l'échelle des dessins doit être adaptée à la nature de l'ouvrage. En ce qui concerne l'aspect, les coloris et la structure de la surface, il y a lieu de présenter trois échantillons (échantillonnage contractuel) qui doivent présenter respectivement l'aspect moyen et les deux aspects voisins de la fourniture. Ces échantillons contiennent en outre toutes les particularités (veines, trous, fils, …) qui ne sont pas considérées comme défauts mais dont la présence ne peut entraîner le rebut.</w:t>
      </w:r>
    </w:p>
    <w:p w14:paraId="2C6BABAD" w14:textId="77777777" w:rsidR="00DF410E" w:rsidRDefault="00CE7F43">
      <w:r>
        <w:rPr>
          <w:u w:val="single"/>
        </w:rPr>
        <w:t>MORTIERS DE MAÇONNERIE</w:t>
      </w:r>
    </w:p>
    <w:p w14:paraId="39A5E35E" w14:textId="77777777" w:rsidR="00DF410E" w:rsidRDefault="00CE7F43">
      <w:r>
        <w:t>Le mortier de pose est adapté en fonction des éléments qu'il assemble et ne les influence pas négativement, ni sur le plan de la résistance, ni sur le plan des qualités esthétiques. Le mortier de maçonnerie pour la fixation des plinthes, seuils, encadrements, pierres de couverture, etc. , appartient à la catégorie 12 (f</w:t>
      </w:r>
      <w:r>
        <w:rPr>
          <w:vertAlign w:val="subscript"/>
        </w:rPr>
        <w:t>m</w:t>
      </w:r>
      <w:r>
        <w:t xml:space="preserve"> ≥ 12 N/mm²) selon la [NBN EN 998-2]. Le mortier est fabriqué à l'aide de sable rugueux (les sables gras et argileux sont interdits). Le sable est entreposé de manière à ne pas pouvoir être pollué par des substances étrangères. Dans les mortiers de pose, les adjuvants sont seulement autorisés moyennant l'accord de l'auteur de projet; ils doivent en outre satisfaire au mode d'emploi du fournisseur et aux prescriptions des normes de la série [NBN EN 934-1]. L'utilisation de retardateurs de prise est interdite. Les mortiers peuvent être composés sur chantier et préparés mécaniquement. L'eau de gâchage ne peut pas être polluée par des matières organiques, des acides, sels, alcalis, sucres, déchets industriels ou autres matières qui risquent de nuire à la durabilité ou à la résistance du mortier. Les mortiers préparés sont mis en œuvre avant la prise; les mortiers dont la prise est déjà entamée ne peuvent pas être remélangés ou mis en œuvre. Le mortier doit toujours être protégé contre les influences atmosphériques. Les mortiers sont subdivisés en classes de normalisation, selon la [NBN EN 998-2] .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4515"/>
        <w:gridCol w:w="4515"/>
      </w:tblGrid>
      <w:tr w:rsidR="00DF410E" w14:paraId="5AE86FE7" w14:textId="77777777">
        <w:tc>
          <w:tcPr>
            <w:tcW w:w="4515" w:type="dxa"/>
            <w:tcBorders>
              <w:top w:val="none" w:sz="1" w:space="0" w:color="000000"/>
              <w:left w:val="none" w:sz="1" w:space="0" w:color="000000"/>
              <w:bottom w:val="none" w:sz="1" w:space="0" w:color="000000"/>
              <w:right w:val="none" w:sz="1" w:space="0" w:color="000000"/>
            </w:tcBorders>
            <w:noWrap/>
          </w:tcPr>
          <w:p w14:paraId="2C10521F" w14:textId="77777777" w:rsidR="00DF410E" w:rsidRDefault="00CE7F43">
            <w:pPr>
              <w:jc w:val="center"/>
            </w:pPr>
            <w:r>
              <w:rPr>
                <w:rFonts w:ascii="Courier New"/>
                <w:b/>
                <w:color w:val="969696"/>
              </w:rPr>
              <w:t>CAT</w:t>
            </w:r>
            <w:r>
              <w:rPr>
                <w:rFonts w:ascii="Courier New"/>
                <w:b/>
                <w:color w:val="969696"/>
              </w:rPr>
              <w:t>É</w:t>
            </w:r>
            <w:r>
              <w:rPr>
                <w:rFonts w:ascii="Courier New"/>
                <w:b/>
                <w:color w:val="969696"/>
              </w:rPr>
              <w:t>GORIE</w:t>
            </w:r>
          </w:p>
        </w:tc>
        <w:tc>
          <w:tcPr>
            <w:tcW w:w="4515" w:type="dxa"/>
            <w:tcBorders>
              <w:top w:val="none" w:sz="1" w:space="0" w:color="000000"/>
              <w:left w:val="none" w:sz="1" w:space="0" w:color="000000"/>
              <w:bottom w:val="none" w:sz="1" w:space="0" w:color="000000"/>
              <w:right w:val="none" w:sz="1" w:space="0" w:color="000000"/>
            </w:tcBorders>
            <w:noWrap/>
          </w:tcPr>
          <w:p w14:paraId="092B3DA4" w14:textId="77777777" w:rsidR="00DF410E" w:rsidRDefault="00CE7F43">
            <w:pPr>
              <w:jc w:val="center"/>
            </w:pPr>
            <w:r>
              <w:rPr>
                <w:rFonts w:ascii="Courier New"/>
                <w:b/>
                <w:color w:val="969696"/>
              </w:rPr>
              <w:t xml:space="preserve">COMPOSITION </w:t>
            </w:r>
          </w:p>
        </w:tc>
      </w:tr>
      <w:tr w:rsidR="00DF410E" w14:paraId="3133BB78" w14:textId="77777777">
        <w:tc>
          <w:tcPr>
            <w:tcW w:w="4515" w:type="dxa"/>
            <w:tcBorders>
              <w:top w:val="none" w:sz="1" w:space="0" w:color="000000"/>
              <w:left w:val="none" w:sz="1" w:space="0" w:color="000000"/>
              <w:bottom w:val="none" w:sz="1" w:space="0" w:color="000000"/>
              <w:right w:val="none" w:sz="1" w:space="0" w:color="000000"/>
            </w:tcBorders>
            <w:noWrap/>
          </w:tcPr>
          <w:p w14:paraId="2219DB05" w14:textId="77777777" w:rsidR="00DF410E" w:rsidRDefault="00CE7F43">
            <w:r>
              <w:rPr>
                <w:rFonts w:ascii="Courier New"/>
                <w:b/>
                <w:color w:val="969696"/>
              </w:rPr>
              <w:t xml:space="preserve">M20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sup</w:t>
            </w:r>
            <w:r>
              <w:rPr>
                <w:rFonts w:ascii="Courier New"/>
                <w:color w:val="969696"/>
              </w:rPr>
              <w:t>é</w:t>
            </w:r>
            <w:r>
              <w:rPr>
                <w:rFonts w:ascii="Courier New"/>
                <w:color w:val="969696"/>
              </w:rPr>
              <w:t xml:space="preserve">rieure </w:t>
            </w:r>
            <w:r>
              <w:rPr>
                <w:rFonts w:ascii="Courier New"/>
                <w:color w:val="969696"/>
              </w:rPr>
              <w:t>à</w:t>
            </w:r>
            <w:r>
              <w:rPr>
                <w:rFonts w:ascii="Courier New"/>
                <w:color w:val="969696"/>
              </w:rPr>
              <w:t xml:space="preserve"> 20 N/mm2.</w:t>
            </w:r>
          </w:p>
        </w:tc>
        <w:tc>
          <w:tcPr>
            <w:tcW w:w="4515" w:type="dxa"/>
            <w:tcBorders>
              <w:top w:val="none" w:sz="1" w:space="0" w:color="000000"/>
              <w:left w:val="none" w:sz="1" w:space="0" w:color="000000"/>
              <w:bottom w:val="none" w:sz="1" w:space="0" w:color="000000"/>
              <w:right w:val="none" w:sz="1" w:space="0" w:color="000000"/>
            </w:tcBorders>
            <w:noWrap/>
          </w:tcPr>
          <w:p w14:paraId="54F40A15" w14:textId="77777777" w:rsidR="00DF410E" w:rsidRDefault="00CE7F43">
            <w:r>
              <w:rPr>
                <w:rFonts w:ascii="Courier New"/>
                <w:color w:val="969696"/>
              </w:rPr>
              <w:t>Minimum 400 kg de ciment (classe de r</w:t>
            </w:r>
            <w:r>
              <w:rPr>
                <w:rFonts w:ascii="Courier New"/>
                <w:color w:val="969696"/>
              </w:rPr>
              <w:t>é</w:t>
            </w:r>
            <w:r>
              <w:rPr>
                <w:rFonts w:ascii="Courier New"/>
                <w:color w:val="969696"/>
              </w:rPr>
              <w:t>sistance 32,5) au m3 de sable sec (= 1 part de ciment pour 3 parts de sable )</w:t>
            </w:r>
          </w:p>
        </w:tc>
      </w:tr>
      <w:tr w:rsidR="00DF410E" w14:paraId="50ADD94E" w14:textId="77777777">
        <w:tc>
          <w:tcPr>
            <w:tcW w:w="4515" w:type="dxa"/>
            <w:tcBorders>
              <w:top w:val="none" w:sz="1" w:space="0" w:color="000000"/>
              <w:left w:val="none" w:sz="1" w:space="0" w:color="000000"/>
              <w:bottom w:val="none" w:sz="1" w:space="0" w:color="000000"/>
              <w:right w:val="none" w:sz="1" w:space="0" w:color="000000"/>
            </w:tcBorders>
            <w:noWrap/>
          </w:tcPr>
          <w:p w14:paraId="28ABBD64" w14:textId="77777777" w:rsidR="00DF410E" w:rsidRDefault="00CE7F43">
            <w:r>
              <w:rPr>
                <w:rFonts w:ascii="Courier New"/>
                <w:b/>
                <w:color w:val="969696"/>
              </w:rPr>
              <w:t xml:space="preserve">12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12 et 48 N/mm2.</w:t>
            </w:r>
          </w:p>
        </w:tc>
        <w:tc>
          <w:tcPr>
            <w:tcW w:w="4515" w:type="dxa"/>
            <w:tcBorders>
              <w:top w:val="none" w:sz="1" w:space="0" w:color="000000"/>
              <w:left w:val="none" w:sz="1" w:space="0" w:color="000000"/>
              <w:bottom w:val="none" w:sz="1" w:space="0" w:color="000000"/>
              <w:right w:val="none" w:sz="1" w:space="0" w:color="000000"/>
            </w:tcBorders>
            <w:noWrap/>
          </w:tcPr>
          <w:p w14:paraId="5F8D7427" w14:textId="77777777" w:rsidR="00DF410E" w:rsidRDefault="00CE7F43">
            <w:r>
              <w:rPr>
                <w:rFonts w:ascii="Courier New"/>
                <w:color w:val="969696"/>
              </w:rPr>
              <w:t>Minimum 300 kg de ciment (classe de r</w:t>
            </w:r>
            <w:r>
              <w:rPr>
                <w:rFonts w:ascii="Courier New"/>
                <w:color w:val="969696"/>
              </w:rPr>
              <w:t>é</w:t>
            </w:r>
            <w:r>
              <w:rPr>
                <w:rFonts w:ascii="Courier New"/>
                <w:color w:val="969696"/>
              </w:rPr>
              <w:t>sistance 32,5) au m3 de sable sec (= 1 part de ciment pour 4 parts de sable )</w:t>
            </w:r>
          </w:p>
        </w:tc>
      </w:tr>
      <w:tr w:rsidR="00DF410E" w14:paraId="4587C290" w14:textId="77777777">
        <w:tc>
          <w:tcPr>
            <w:tcW w:w="4515" w:type="dxa"/>
            <w:tcBorders>
              <w:top w:val="none" w:sz="1" w:space="0" w:color="000000"/>
              <w:left w:val="none" w:sz="1" w:space="0" w:color="000000"/>
              <w:bottom w:val="none" w:sz="1" w:space="0" w:color="000000"/>
              <w:right w:val="none" w:sz="1" w:space="0" w:color="000000"/>
            </w:tcBorders>
            <w:noWrap/>
          </w:tcPr>
          <w:p w14:paraId="387656B5" w14:textId="77777777" w:rsidR="00DF410E" w:rsidRDefault="00CE7F43">
            <w:r>
              <w:rPr>
                <w:rFonts w:ascii="Courier New"/>
                <w:b/>
                <w:color w:val="969696"/>
              </w:rPr>
              <w:t xml:space="preserve">8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8 et 32 N/mm2.</w:t>
            </w:r>
          </w:p>
        </w:tc>
        <w:tc>
          <w:tcPr>
            <w:tcW w:w="4515" w:type="dxa"/>
            <w:tcBorders>
              <w:top w:val="none" w:sz="1" w:space="0" w:color="000000"/>
              <w:left w:val="none" w:sz="1" w:space="0" w:color="000000"/>
              <w:bottom w:val="none" w:sz="1" w:space="0" w:color="000000"/>
              <w:right w:val="none" w:sz="1" w:space="0" w:color="000000"/>
            </w:tcBorders>
            <w:noWrap/>
          </w:tcPr>
          <w:p w14:paraId="2EE941A2" w14:textId="77777777" w:rsidR="00DF410E" w:rsidRDefault="00CE7F43">
            <w:r>
              <w:rPr>
                <w:rFonts w:ascii="Courier New"/>
                <w:color w:val="969696"/>
              </w:rPr>
              <w:t>250 kg de ciment (classe de r</w:t>
            </w:r>
            <w:r>
              <w:rPr>
                <w:rFonts w:ascii="Courier New"/>
                <w:color w:val="969696"/>
              </w:rPr>
              <w:t>é</w:t>
            </w:r>
            <w:r>
              <w:rPr>
                <w:rFonts w:ascii="Courier New"/>
                <w:color w:val="969696"/>
              </w:rPr>
              <w:t>sistance 32,5) et 50 kg de poudre de chaux grasse au m3 de sable sec (= 2 parts de ciment et 1 part de poudre de chaux pour 9 parts de sable ).</w:t>
            </w:r>
          </w:p>
        </w:tc>
      </w:tr>
      <w:tr w:rsidR="00DF410E" w14:paraId="3949953D" w14:textId="77777777">
        <w:tc>
          <w:tcPr>
            <w:tcW w:w="4515" w:type="dxa"/>
            <w:tcBorders>
              <w:top w:val="none" w:sz="1" w:space="0" w:color="000000"/>
              <w:left w:val="none" w:sz="1" w:space="0" w:color="000000"/>
              <w:bottom w:val="none" w:sz="1" w:space="0" w:color="000000"/>
              <w:right w:val="none" w:sz="1" w:space="0" w:color="000000"/>
            </w:tcBorders>
            <w:noWrap/>
          </w:tcPr>
          <w:p w14:paraId="043FD892" w14:textId="77777777" w:rsidR="00DF410E" w:rsidRDefault="00CE7F43">
            <w:r>
              <w:rPr>
                <w:rFonts w:ascii="Courier New"/>
                <w:b/>
                <w:color w:val="969696"/>
              </w:rPr>
              <w:t xml:space="preserve">M5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5 et 20 N/mm2.</w:t>
            </w:r>
          </w:p>
        </w:tc>
        <w:tc>
          <w:tcPr>
            <w:tcW w:w="4515" w:type="dxa"/>
            <w:tcBorders>
              <w:top w:val="none" w:sz="1" w:space="0" w:color="000000"/>
              <w:left w:val="none" w:sz="1" w:space="0" w:color="000000"/>
              <w:bottom w:val="none" w:sz="1" w:space="0" w:color="000000"/>
              <w:right w:val="none" w:sz="1" w:space="0" w:color="000000"/>
            </w:tcBorders>
            <w:noWrap/>
          </w:tcPr>
          <w:p w14:paraId="20640CBE" w14:textId="77777777" w:rsidR="00DF410E" w:rsidRDefault="00CE7F43">
            <w:r>
              <w:rPr>
                <w:rFonts w:ascii="Courier New"/>
                <w:color w:val="969696"/>
              </w:rPr>
              <w:t>200 kg de ciment (classe de r</w:t>
            </w:r>
            <w:r>
              <w:rPr>
                <w:rFonts w:ascii="Courier New"/>
                <w:color w:val="969696"/>
              </w:rPr>
              <w:t>é</w:t>
            </w:r>
            <w:r>
              <w:rPr>
                <w:rFonts w:ascii="Courier New"/>
                <w:color w:val="969696"/>
              </w:rPr>
              <w:t>sistance 32,5) et 100kg de poudre de chaux grasse au m3 de sable sec (= 1 part de ciment et 1 part de poudre de chaux pour 6 parts de sable )</w:t>
            </w:r>
          </w:p>
        </w:tc>
      </w:tr>
      <w:tr w:rsidR="00DF410E" w14:paraId="196E2893" w14:textId="77777777">
        <w:tc>
          <w:tcPr>
            <w:tcW w:w="4515" w:type="dxa"/>
            <w:tcBorders>
              <w:top w:val="none" w:sz="1" w:space="0" w:color="000000"/>
              <w:left w:val="none" w:sz="1" w:space="0" w:color="000000"/>
              <w:bottom w:val="none" w:sz="1" w:space="0" w:color="000000"/>
              <w:right w:val="none" w:sz="1" w:space="0" w:color="000000"/>
            </w:tcBorders>
            <w:noWrap/>
          </w:tcPr>
          <w:p w14:paraId="56EF122F" w14:textId="77777777" w:rsidR="00DF410E" w:rsidRDefault="00CE7F43">
            <w:r>
              <w:rPr>
                <w:rFonts w:ascii="Courier New"/>
                <w:b/>
                <w:color w:val="969696"/>
              </w:rPr>
              <w:t xml:space="preserve">M2.5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2,5 et 10 N/mm2.</w:t>
            </w:r>
          </w:p>
        </w:tc>
        <w:tc>
          <w:tcPr>
            <w:tcW w:w="4515" w:type="dxa"/>
            <w:tcBorders>
              <w:top w:val="none" w:sz="1" w:space="0" w:color="000000"/>
              <w:left w:val="none" w:sz="1" w:space="0" w:color="000000"/>
              <w:bottom w:val="none" w:sz="1" w:space="0" w:color="000000"/>
              <w:right w:val="none" w:sz="1" w:space="0" w:color="000000"/>
            </w:tcBorders>
            <w:noWrap/>
          </w:tcPr>
          <w:p w14:paraId="2C998ACA" w14:textId="77777777" w:rsidR="00DF410E" w:rsidRDefault="00CE7F43">
            <w:r>
              <w:rPr>
                <w:rFonts w:ascii="Courier New"/>
                <w:color w:val="969696"/>
              </w:rPr>
              <w:t>150 kg de ciment et 150 kg de poudre de chaux grasse au m3 de sable sec (= 1 part de ciment et 2 parts de poudre de chaux pour 8 parts de sable )</w:t>
            </w:r>
          </w:p>
        </w:tc>
      </w:tr>
    </w:tbl>
    <w:p w14:paraId="321743EE" w14:textId="77777777" w:rsidR="00DF410E" w:rsidRDefault="00CE7F43">
      <w:r>
        <w:rPr>
          <w:u w:val="single"/>
        </w:rPr>
        <w:t>MORTIER DE JOINTOIEMENT</w:t>
      </w:r>
    </w:p>
    <w:p w14:paraId="4195C19A" w14:textId="77777777" w:rsidR="00DF410E" w:rsidRDefault="00CE7F43">
      <w:r>
        <w:t>Sous sa seule responsabilité, l'entrepreneur étudie à l'avance la compatibilité des mortiers de maçonnage et de rejointoiement.</w:t>
      </w:r>
    </w:p>
    <w:p w14:paraId="2930F701" w14:textId="77777777" w:rsidR="00DF410E" w:rsidRDefault="00CE7F43">
      <w:r>
        <w:t xml:space="preserve">Le mortier de pose pour les </w:t>
      </w:r>
      <w:r>
        <w:rPr>
          <w:rStyle w:val="optioncarChar"/>
        </w:rPr>
        <w:t>plinthes / seuils / encadrements / pierres de couverture / ***</w:t>
      </w:r>
      <w:r>
        <w:t xml:space="preserve"> est : </w:t>
      </w:r>
      <w:r>
        <w:rPr>
          <w:rStyle w:val="optioncarChar"/>
        </w:rPr>
        <w:t xml:space="preserve">un mortier de catégorie M5 </w:t>
      </w:r>
      <w:r>
        <w:t>(par défaut)</w:t>
      </w:r>
      <w:r>
        <w:rPr>
          <w:rStyle w:val="optioncarChar"/>
        </w:rPr>
        <w:t xml:space="preserve"> / ***</w:t>
      </w:r>
      <w:r>
        <w:t xml:space="preserve"> :</w:t>
      </w:r>
    </w:p>
    <w:p w14:paraId="5680B4D5" w14:textId="77777777" w:rsidR="00DF410E" w:rsidRDefault="00CE7F43">
      <w:r>
        <w:rPr>
          <w:b/>
        </w:rPr>
        <w:t>(soit par défaut)</w:t>
      </w:r>
    </w:p>
    <w:p w14:paraId="22A6368F" w14:textId="77777777" w:rsidR="00DF410E" w:rsidRDefault="00CE7F43">
      <w:r>
        <w:rPr>
          <w:rStyle w:val="soitChar"/>
          <w:u w:val="single"/>
        </w:rPr>
        <w:t>Un mortier de la catégorie M5</w:t>
      </w:r>
      <w:r>
        <w:rPr>
          <w:rStyle w:val="soitChar"/>
        </w:rPr>
        <w:t xml:space="preserve"> selon [NBN EN 998-2] : composition 200kg de ciment de la classe la résistance 32,5 et 100 kg chaux grasse en poudre au m3 de sable sec (soit 1 part de ciment et 1 part de chaux grasse en poudre pour 6 parts de sable.</w:t>
      </w:r>
    </w:p>
    <w:p w14:paraId="5D87C3FE" w14:textId="77777777" w:rsidR="00DF410E" w:rsidRDefault="00CE7F43">
      <w:r>
        <w:rPr>
          <w:b/>
        </w:rPr>
        <w:t>(soit)</w:t>
      </w:r>
    </w:p>
    <w:p w14:paraId="3C76E262" w14:textId="77777777" w:rsidR="00DF410E" w:rsidRDefault="00CE7F43">
      <w:r>
        <w:rPr>
          <w:rStyle w:val="optioncarChar"/>
        </w:rPr>
        <w:t>***</w:t>
      </w:r>
    </w:p>
    <w:p w14:paraId="37D78DCA" w14:textId="77777777" w:rsidR="00DF410E" w:rsidRDefault="00CE7F43">
      <w:r>
        <w:t xml:space="preserve">Pour le jointoiement des éléments en pierre bleue, on ajoute au mortier de la poudre de pierre bleue afin d'obtenir un coloris gris-bleu. Le mortier est : </w:t>
      </w:r>
      <w:r>
        <w:rPr>
          <w:rStyle w:val="optioncarChar"/>
        </w:rPr>
        <w:t xml:space="preserve">un mortier préparé en usine </w:t>
      </w:r>
      <w:r>
        <w:rPr>
          <w:rStyle w:val="optioncarChar"/>
          <w:color w:val="000000"/>
        </w:rPr>
        <w:t>(par défaut)</w:t>
      </w:r>
      <w:r>
        <w:rPr>
          <w:rStyle w:val="optioncarChar"/>
        </w:rPr>
        <w:t xml:space="preserve"> / un mastic élastique / ***</w:t>
      </w:r>
    </w:p>
    <w:p w14:paraId="63673D19" w14:textId="77777777" w:rsidR="00DF410E" w:rsidRDefault="00CE7F43">
      <w:r>
        <w:rPr>
          <w:b/>
        </w:rPr>
        <w:t>(soit par défaut)</w:t>
      </w:r>
    </w:p>
    <w:p w14:paraId="0A9FC333" w14:textId="77777777" w:rsidR="00DF410E" w:rsidRDefault="00CE7F43">
      <w:r>
        <w:rPr>
          <w:rStyle w:val="soitChar"/>
          <w:u w:val="single"/>
        </w:rPr>
        <w:t>Un mortier préparé en usine</w:t>
      </w:r>
      <w:r>
        <w:rPr>
          <w:rStyle w:val="soitChar"/>
        </w:rPr>
        <w:t>: la couleur est appropriée à la pierre, et soumis à la validation de l'auteur de projet.</w:t>
      </w:r>
    </w:p>
    <w:p w14:paraId="2E102A36" w14:textId="77777777" w:rsidR="00DF410E" w:rsidRDefault="00CE7F43">
      <w:r>
        <w:rPr>
          <w:b/>
        </w:rPr>
        <w:t>(soit)</w:t>
      </w:r>
    </w:p>
    <w:p w14:paraId="3D301350" w14:textId="77777777" w:rsidR="00DF410E" w:rsidRDefault="00CE7F43">
      <w:r>
        <w:t>Un mastic élastique</w:t>
      </w:r>
      <w:r>
        <w:rPr>
          <w:rStyle w:val="soitChar"/>
        </w:rPr>
        <w:t xml:space="preserve"> : à base de polysulfide sur un fond de joint en mousse de polyuréthane.</w:t>
      </w:r>
    </w:p>
    <w:p w14:paraId="7861B8A7" w14:textId="77777777" w:rsidR="00DF410E" w:rsidRDefault="00CE7F43">
      <w:r>
        <w:rPr>
          <w:b/>
        </w:rPr>
        <w:t>(soit)</w:t>
      </w:r>
    </w:p>
    <w:p w14:paraId="57F5E1A4" w14:textId="77777777" w:rsidR="00DF410E" w:rsidRDefault="00CE7F43">
      <w:r>
        <w:rPr>
          <w:rStyle w:val="optioncarChar"/>
        </w:rPr>
        <w:t>***</w:t>
      </w:r>
    </w:p>
    <w:p w14:paraId="0EDE3DE7" w14:textId="77777777" w:rsidR="00DF410E" w:rsidRDefault="00CE7F43">
      <w:r>
        <w:t>Teinte :</w:t>
      </w:r>
      <w:r>
        <w:rPr>
          <w:rStyle w:val="optioncarChar"/>
        </w:rPr>
        <w:t xml:space="preserve"> gris foncé </w:t>
      </w:r>
      <w:r>
        <w:t>(par défaut)</w:t>
      </w:r>
      <w:r>
        <w:rPr>
          <w:rStyle w:val="optioncarChar"/>
        </w:rPr>
        <w:t xml:space="preserve"> / gris-bleu / adapté à la couleur de l'élément de façade / ***</w:t>
      </w:r>
    </w:p>
    <w:p w14:paraId="7EF97AEA" w14:textId="77777777" w:rsidR="00DF410E" w:rsidRDefault="00DF410E"/>
    <w:p w14:paraId="43ED6575" w14:textId="77777777" w:rsidR="00DF410E" w:rsidRDefault="00CE7F43">
      <w:r>
        <w:t> </w:t>
      </w:r>
    </w:p>
    <w:p w14:paraId="055A1C7D" w14:textId="77777777" w:rsidR="00DF410E" w:rsidRDefault="00CE7F43">
      <w:pPr>
        <w:pStyle w:val="pheading"/>
      </w:pPr>
      <w:r>
        <w:t>EXÉCUTION / MISE EN ŒUVRE</w:t>
      </w:r>
    </w:p>
    <w:p w14:paraId="6D0398DC" w14:textId="77777777" w:rsidR="00DF410E" w:rsidRDefault="00CE7F43">
      <w:r>
        <w:rPr>
          <w:u w:val="single"/>
        </w:rPr>
        <w:t>Transport - livraison</w:t>
      </w:r>
    </w:p>
    <w:p w14:paraId="3E0C2BA1" w14:textId="77777777" w:rsidR="00DF410E" w:rsidRDefault="00CE7F43">
      <w:r>
        <w:t>Les éléments de façade sont livrés sur palettes. Pendant le transport, les éléments sont rangés horizontalement et recouverts d'une bâche. Pendant leur séjour sur chantier, ils sont entreposés à plat, à l'abri des influences atmosphériques, dans un endroit bien ventilé ou sous une bâche de protection.</w:t>
      </w:r>
    </w:p>
    <w:p w14:paraId="73F29521" w14:textId="77777777" w:rsidR="00DF410E" w:rsidRDefault="00CE7F43">
      <w:r>
        <w:rPr>
          <w:u w:val="single"/>
        </w:rPr>
        <w:t>Face de parement</w:t>
      </w:r>
    </w:p>
    <w:p w14:paraId="3C50046E" w14:textId="77777777" w:rsidR="00DF410E" w:rsidRDefault="00CE7F43">
      <w:r>
        <w:t>Pour la pose des éléments de façade, il faut tenir compte de la coulisse et de la modulation selon le descriptif du titre </w:t>
      </w:r>
      <w:hyperlink w:anchor="379" w:history="1">
        <w:r>
          <w:t>21.3 Maçonneries de parement</w:t>
        </w:r>
      </w:hyperlink>
      <w:r>
        <w:t>. L'entreprise veille plus particulièrement à éviter tous les ponts thermiques et d'humidité qui peuvent être créés suite à la pose des éléments de façade dans l'ouvrage en maçonnerie. Les liaisons entre les pierres de taille similaires doivent être obtenues par la continuité de l'appareillage. Tous les murs formant un ensemble sont érigés en même temps. Il est interdit de couper les pierres entières. Les morceaux de pierres ne sont pas mis en œuvre.</w:t>
      </w:r>
    </w:p>
    <w:p w14:paraId="64C6CA19" w14:textId="77777777" w:rsidR="00DF410E" w:rsidRDefault="00CE7F43">
      <w:r>
        <w:rPr>
          <w:u w:val="single"/>
        </w:rPr>
        <w:t>Mise en place - appareillage</w:t>
      </w:r>
    </w:p>
    <w:p w14:paraId="39440EA1" w14:textId="77777777" w:rsidR="00DF410E" w:rsidRDefault="00CE7F43">
      <w:r>
        <w:t>Les éléments de façade sont soigneusement positionnés. A cet effet, ils sont posés et ajustés sur des cales, dont l'épaisseur est adaptée à l'épaisseur des joints, compte tenu des tolérances, de manière telle que la face supérieure de chaque assise soit bien plane et égale. Les cales sont posées dans les angles et à au moins 5 cm des bords pour éviter les épaufrures. En général, la face de pose est parallèle au lit de carrière. Lorsqu'il est impossible de respecter cette règle, la mise en œuvre s'effectue dans le sens contraire.</w:t>
      </w:r>
    </w:p>
    <w:p w14:paraId="02F1FF66" w14:textId="77777777" w:rsidR="00DF410E" w:rsidRDefault="00CE7F43">
      <w:r>
        <w:rPr>
          <w:u w:val="single"/>
        </w:rPr>
        <w:t xml:space="preserve">Mise en œuvre </w:t>
      </w:r>
    </w:p>
    <w:p w14:paraId="18DF956B" w14:textId="77777777" w:rsidR="00DF410E" w:rsidRDefault="00CE7F43">
      <w:r>
        <w:t>Les éléments de façade sont posés à bain refluant de mortier, en veillant à ce que la couche de mortier soit appliquée sur une épaisseur dépassant celle des cales. Les joints présentent partout la même épaisseur et sont rectilignes. La largeur des joints montants et d'assise concorde avec celle de la maçonnerie de parement dans laquelle les éléments en pierre naturelle sont intégrés. Par temps sec, les éléments de petites dimensions sont préalablement humidifiés. Les faces de pose et de chant des éléments de grandes dimensions sont également humidifiées avant la mise en œuvre de façon telle que, par capillarité, toute l'eau du mortier ne soit pas absorbée. Les jonctions (joints montants et d'assise) avec le mur de parement extérieur sont bien remplies de mortier ; sur la face extérieure, les joints restent évidés sur une profondeur de 2 cm, lorsque le parement est rejointoyé par après. L'entreprise prend les précautions nécessaires pour donner et conserver aux éléments de façade intégrés dans les ouvrages en maçonnerie un aspect soigné et impeccable. Après la pose, les joints montants sont remplis de mortier. Tout contact direct entre le mur intérieur et le mur extérieur du mur à coulisse doit être évité. Les matériaux mis en place doivent être compatibles avec le remplissage des joints de la menuiserie extérieure.</w:t>
      </w:r>
    </w:p>
    <w:p w14:paraId="5473E78A" w14:textId="77777777" w:rsidR="00DF410E" w:rsidRDefault="00CE7F43">
      <w:r>
        <w:rPr>
          <w:u w:val="single"/>
        </w:rPr>
        <w:t>Ancrages </w:t>
      </w:r>
    </w:p>
    <w:p w14:paraId="7D86766A" w14:textId="77777777" w:rsidR="00DF410E" w:rsidRDefault="00CE7F43">
      <w:r>
        <w:t>La construction portante est suffisamment résistante et épaisse pour pouvoir fixer les éléments d'ancrage des pierres en tenant compte des sollicitations auxquelles elles sont soumises (arrachement, fléchissement, force de cisaillement). En ce qui concerne les essais de contrôle et les caractéristiques techniques, il est fait référence aux méthodes décrites dans la [NIT 220].</w:t>
      </w:r>
    </w:p>
    <w:p w14:paraId="2A79C62E" w14:textId="77777777" w:rsidR="00DF410E" w:rsidRDefault="00CE7F43">
      <w:r>
        <w:rPr>
          <w:u w:val="single"/>
        </w:rPr>
        <w:t>Sécurité</w:t>
      </w:r>
    </w:p>
    <w:p w14:paraId="1CB4AE5A" w14:textId="77777777" w:rsidR="00DF410E" w:rsidRDefault="00CE7F43">
      <w:r>
        <w:t>Conformément au titre </w:t>
      </w:r>
      <w:hyperlink r:id="rId34" w:history="1" w:docLocation="109">
        <w:r>
          <w:t>04.4 Mesures de protection</w:t>
        </w:r>
      </w:hyperlink>
      <w:r>
        <w:t> , établie par le coordinateur-projet et annexée au cahier spécial des charges. Toutes les directives en cette matière et les indications concrètes du coordinateur-réalisation sont scrupuleusement respectées.</w:t>
      </w:r>
    </w:p>
    <w:p w14:paraId="5A916BCA" w14:textId="77777777" w:rsidR="00DF410E" w:rsidRDefault="00CE7F43">
      <w:pPr>
        <w:pStyle w:val="pheading"/>
      </w:pPr>
      <w:r>
        <w:t>CONTRÔLES</w:t>
      </w:r>
    </w:p>
    <w:p w14:paraId="17E10DF6" w14:textId="77777777" w:rsidR="00DF410E" w:rsidRDefault="00CE7F43">
      <w:r>
        <w:t>Après la pose et jusqu'à la réception provisoire, les éléments sont protégés contre les dégradations et les souillures. A la réception provisoire, toute dégradation est refusée et l'élément endommagé doit être remplacé aux frais de l'entrepreneur.</w:t>
      </w:r>
    </w:p>
    <w:p w14:paraId="2FE14739" w14:textId="77777777" w:rsidR="00DF410E" w:rsidRDefault="00CE7F43">
      <w:pPr>
        <w:pStyle w:val="pheading"/>
      </w:pPr>
      <w:r>
        <w:t>DOCUMENTS DE RÉFÉRENCE</w:t>
      </w:r>
    </w:p>
    <w:p w14:paraId="707619AA" w14:textId="77777777" w:rsidR="00DF410E" w:rsidRDefault="00CE7F43">
      <w:pPr>
        <w:pStyle w:val="pheading"/>
      </w:pPr>
      <w:r>
        <w:t>- Exécution</w:t>
      </w:r>
    </w:p>
    <w:p w14:paraId="7DC3854A" w14:textId="77777777" w:rsidR="00DF410E" w:rsidRDefault="00CE7F43">
      <w:r>
        <w:t>NORMES DE RÉFÉRENCE ou normes équivalentes des états membres de l’union européenne :</w:t>
      </w:r>
    </w:p>
    <w:p w14:paraId="50DD75DF" w14:textId="77777777" w:rsidR="00DF410E" w:rsidRDefault="00CE7F43">
      <w:r>
        <w:t>La mise en œuvre et la pose des éléments de façade en matériaux pierreux durs répondent aux prescriptions européennes en vigueur et à la [NIT 220, La pierre bleue de Belgique dite petit granit d'âge géologique tournaisien (remplace la NIT 156).] . </w:t>
      </w:r>
    </w:p>
    <w:p w14:paraId="5AFFCDF1" w14:textId="77777777" w:rsidR="00DF410E" w:rsidRDefault="00CE7F43">
      <w:pPr>
        <w:pStyle w:val="Author-eSectionHeading5"/>
      </w:pPr>
      <w:bookmarkStart w:id="301" w:name="_Toc178837526"/>
      <w:r>
        <w:t>21.36.1 Seuils CCTB 01.11</w:t>
      </w:r>
      <w:bookmarkEnd w:id="301"/>
    </w:p>
    <w:p w14:paraId="228C7FE7" w14:textId="77777777" w:rsidR="00DF410E" w:rsidRDefault="00CE7F43">
      <w:pPr>
        <w:pStyle w:val="pheading"/>
      </w:pPr>
      <w:bookmarkStart w:id="302" w:name="406"/>
      <w:bookmarkEnd w:id="302"/>
      <w:r>
        <w:t>DESCRIPTION</w:t>
      </w:r>
    </w:p>
    <w:p w14:paraId="0313833C" w14:textId="77777777" w:rsidR="00DF410E" w:rsidRDefault="00CE7F43">
      <w:pPr>
        <w:pStyle w:val="pheading"/>
      </w:pPr>
      <w:r>
        <w:t>- Définition / Comprend</w:t>
      </w:r>
    </w:p>
    <w:p w14:paraId="1E9E3EC2" w14:textId="77777777" w:rsidR="00DF410E" w:rsidRDefault="00CE7F43">
      <w:pPr>
        <w:jc w:val="both"/>
      </w:pPr>
      <w:r>
        <w:t>Il s'agit de la fourniture (hors matériaux récupérés du même site)  et de la pose des seuils de portes et fenêtres complètement parachevés. Le prix unitaire comprend :</w:t>
      </w:r>
    </w:p>
    <w:p w14:paraId="37DA6787" w14:textId="77777777" w:rsidR="00DF410E" w:rsidRDefault="00CE7F43">
      <w:pPr>
        <w:pStyle w:val="Author-eListParagraph"/>
        <w:numPr>
          <w:ilvl w:val="0"/>
          <w:numId w:val="270"/>
        </w:numPr>
        <w:jc w:val="both"/>
      </w:pPr>
      <w:r>
        <w:t>la vérification par mesurage des dimensions exactes pendant ou après l'exécution des travaux de gros-œuvre afin de contrôler la concordance entre les dessins de détail ou les détails des pierres avec les travaux exécutés ;</w:t>
      </w:r>
    </w:p>
    <w:p w14:paraId="50C288B9" w14:textId="77777777" w:rsidR="00DF410E" w:rsidRDefault="00CE7F43">
      <w:pPr>
        <w:pStyle w:val="Author-eListParagraph"/>
        <w:numPr>
          <w:ilvl w:val="0"/>
          <w:numId w:val="270"/>
        </w:numPr>
        <w:jc w:val="both"/>
      </w:pPr>
      <w:r>
        <w:t>La fourniture (hors matériaux récupérés du même site) des seuils ;</w:t>
      </w:r>
    </w:p>
    <w:p w14:paraId="52040383" w14:textId="77777777" w:rsidR="00DF410E" w:rsidRDefault="00CE7F43">
      <w:pPr>
        <w:pStyle w:val="Author-eListParagraph"/>
        <w:numPr>
          <w:ilvl w:val="0"/>
          <w:numId w:val="270"/>
        </w:numPr>
        <w:jc w:val="both"/>
      </w:pPr>
      <w:r>
        <w:t>la réalisation de tous les biseautages ;</w:t>
      </w:r>
    </w:p>
    <w:p w14:paraId="7F079E6A" w14:textId="77777777" w:rsidR="00DF410E" w:rsidRDefault="00CE7F43">
      <w:pPr>
        <w:pStyle w:val="Author-eListParagraph"/>
        <w:numPr>
          <w:ilvl w:val="0"/>
          <w:numId w:val="270"/>
        </w:numPr>
        <w:jc w:val="both"/>
      </w:pPr>
      <w:r>
        <w:t>l'aménagement des inclinaisons et des rejets d'eau ;</w:t>
      </w:r>
    </w:p>
    <w:p w14:paraId="625542F0" w14:textId="77777777" w:rsidR="00DF410E" w:rsidRDefault="00CE7F43">
      <w:pPr>
        <w:pStyle w:val="Author-eListParagraph"/>
        <w:numPr>
          <w:ilvl w:val="0"/>
          <w:numId w:val="270"/>
        </w:numPr>
        <w:jc w:val="both"/>
      </w:pPr>
      <w:r>
        <w:t>le réglage et la pose des seuils ;</w:t>
      </w:r>
    </w:p>
    <w:p w14:paraId="7BF5E9E5" w14:textId="77777777" w:rsidR="00DF410E" w:rsidRDefault="00CE7F43">
      <w:pPr>
        <w:pStyle w:val="Author-eListParagraph"/>
        <w:numPr>
          <w:ilvl w:val="0"/>
          <w:numId w:val="270"/>
        </w:numPr>
        <w:jc w:val="both"/>
      </w:pPr>
      <w:r>
        <w:t>le rejointoiement et, au besoin, le masticage ;</w:t>
      </w:r>
    </w:p>
    <w:p w14:paraId="241AE7EF" w14:textId="77777777" w:rsidR="00DF410E" w:rsidRDefault="00CE7F43">
      <w:pPr>
        <w:pStyle w:val="Author-eListParagraph"/>
        <w:numPr>
          <w:ilvl w:val="0"/>
          <w:numId w:val="270"/>
        </w:numPr>
        <w:jc w:val="both"/>
      </w:pPr>
      <w:r>
        <w:t>le nettoyage en vue de la réception provisoire.</w:t>
      </w:r>
    </w:p>
    <w:p w14:paraId="37408B79" w14:textId="77777777" w:rsidR="00DF410E" w:rsidRDefault="00CE7F43">
      <w:pPr>
        <w:pStyle w:val="pheading"/>
      </w:pPr>
      <w:r>
        <w:t>- Remarques importantes</w:t>
      </w:r>
    </w:p>
    <w:p w14:paraId="42337E05" w14:textId="77777777" w:rsidR="00DF410E" w:rsidRDefault="00CE7F43">
      <w:r>
        <w:t>Les seuils en matière synthétique ou en métal sont décrits au sous-titre </w:t>
      </w:r>
      <w:hyperlink r:id="rId35" w:history="1" w:docLocation="408">
        <w:r>
          <w:t>41.71 Seuils</w:t>
        </w:r>
      </w:hyperlink>
      <w:r>
        <w:t>.</w:t>
      </w:r>
    </w:p>
    <w:p w14:paraId="4C765038" w14:textId="77777777" w:rsidR="00DF410E" w:rsidRDefault="00CE7F43">
      <w:pPr>
        <w:pStyle w:val="pheading"/>
      </w:pPr>
      <w:r>
        <w:t>MATÉRIAUX</w:t>
      </w:r>
    </w:p>
    <w:p w14:paraId="71F05C57" w14:textId="77777777" w:rsidR="00DF410E" w:rsidRDefault="00CE7F43">
      <w:pPr>
        <w:jc w:val="both"/>
      </w:pPr>
      <w:r>
        <w:t>Les seuils neufs sont profilés conformément aux prescriptions du cahier spécial des charges et/ou des dessins de détail annexés. </w:t>
      </w:r>
    </w:p>
    <w:p w14:paraId="2D137A4E" w14:textId="77777777" w:rsidR="00DF410E" w:rsidRDefault="00CE7F43">
      <w:pPr>
        <w:jc w:val="both"/>
      </w:pPr>
      <w:r>
        <w:t>L'entrepreneur prend sur place les dimensions exactes des seuils afin de compléter les stéréotomies.</w:t>
      </w:r>
    </w:p>
    <w:p w14:paraId="5F47D02F" w14:textId="77777777" w:rsidR="00DF410E" w:rsidRDefault="00CE7F43">
      <w:pPr>
        <w:jc w:val="both"/>
      </w:pPr>
      <w:r>
        <w:t>L'entrepreneur est tenu de vérifier si les seuils peuvent être livrés dans la forme, les dimensions et le modèle prescrits dans les documents d'adjudication.</w:t>
      </w:r>
    </w:p>
    <w:p w14:paraId="610A90B6" w14:textId="77777777" w:rsidR="00DF410E" w:rsidRDefault="00CE7F43">
      <w:pPr>
        <w:jc w:val="both"/>
      </w:pPr>
      <w:r>
        <w:t>Lorsqu'ils sont requis, l'entrepreneur soumet à l'approbation de l'auteur de projet, les éléments suivants :</w:t>
      </w:r>
    </w:p>
    <w:p w14:paraId="6D5E76B3" w14:textId="77777777" w:rsidR="00DF410E" w:rsidRDefault="00CE7F43">
      <w:pPr>
        <w:pStyle w:val="Author-eListParagraph"/>
        <w:numPr>
          <w:ilvl w:val="0"/>
          <w:numId w:val="271"/>
        </w:numPr>
      </w:pPr>
      <w:r>
        <w:t>une carte des couleurs et des échantillons des seuils préfabriqués ;</w:t>
      </w:r>
    </w:p>
    <w:p w14:paraId="5BFC9009" w14:textId="77777777" w:rsidR="00DF410E" w:rsidRDefault="00CE7F43">
      <w:pPr>
        <w:pStyle w:val="Author-eListParagraph"/>
        <w:numPr>
          <w:ilvl w:val="0"/>
          <w:numId w:val="271"/>
        </w:numPr>
      </w:pPr>
      <w:r>
        <w:t>le ou les échantillon(s) contractuel(s) par type de seuil utilisé, représentatif de l'aspect moyen, du coloris et de la structure de surface de la fourniture ;</w:t>
      </w:r>
    </w:p>
    <w:p w14:paraId="032E8F67" w14:textId="77777777" w:rsidR="00DF410E" w:rsidRDefault="00CE7F43">
      <w:pPr>
        <w:pStyle w:val="Author-eListParagraph"/>
        <w:numPr>
          <w:ilvl w:val="0"/>
          <w:numId w:val="271"/>
        </w:numPr>
      </w:pPr>
      <w:r>
        <w:t>la fourniture de maquettes ou prototypes ;</w:t>
      </w:r>
    </w:p>
    <w:p w14:paraId="2C4005A3" w14:textId="77777777" w:rsidR="00DF410E" w:rsidRDefault="00CE7F43">
      <w:pPr>
        <w:pStyle w:val="Author-eListParagraph"/>
        <w:numPr>
          <w:ilvl w:val="0"/>
          <w:numId w:val="271"/>
        </w:numPr>
      </w:pPr>
      <w:r>
        <w:t>les détails de finition et les plans de pose (écartement entre les colonnes, …) ;</w:t>
      </w:r>
    </w:p>
    <w:p w14:paraId="2F24FFEE" w14:textId="77777777" w:rsidR="00DF410E" w:rsidRDefault="00CE7F43">
      <w:pPr>
        <w:pStyle w:val="Author-eListParagraph"/>
        <w:numPr>
          <w:ilvl w:val="0"/>
          <w:numId w:val="271"/>
        </w:numPr>
      </w:pPr>
      <w:r>
        <w:t>les certificats de garantie, attestations, …</w:t>
      </w:r>
    </w:p>
    <w:p w14:paraId="397B2368" w14:textId="77777777" w:rsidR="00DF410E" w:rsidRDefault="00CE7F43">
      <w:pPr>
        <w:jc w:val="both"/>
      </w:pPr>
      <w:r>
        <w:t>Pour les seuils neufs et de réemploi, le débordement par rapport à la face du parement est d'environ 50 mm. Tous les seuils en saillie sont pourvus d'un rejet d'eau dans le bas. Les larmiers présentent une profondeur d'au moins 5 mm et se situent à environ 10 mm du bord. En façade, les larmiers sont posés à une distance d'au moins 30 mm du plan de la façade.</w:t>
      </w:r>
    </w:p>
    <w:p w14:paraId="440A0D5F" w14:textId="77777777" w:rsidR="00DF410E" w:rsidRDefault="00CE7F43">
      <w:pPr>
        <w:jc w:val="both"/>
      </w:pPr>
      <w:r>
        <w:t>Pour la face arrière du seuil, à l'intérieur, il faut tenir compte de l'épaisseur de la menuiserie et des éventuels équipements prévus pour les volets et/ou pare-soleil.</w:t>
      </w:r>
    </w:p>
    <w:p w14:paraId="50AFBF04" w14:textId="77777777" w:rsidR="00DF410E" w:rsidRDefault="00CE7F43">
      <w:pPr>
        <w:jc w:val="both"/>
      </w:pPr>
      <w:r>
        <w:t>Sous les portes extérieures, on prévoit toujours un relevé d'une hauteur de 10 mm et d'une largeur de 20 mm, qui doit coïncider avec le niveau du sol fini.</w:t>
      </w:r>
    </w:p>
    <w:p w14:paraId="013FDD90" w14:textId="77777777" w:rsidR="00DF410E" w:rsidRDefault="00CE7F43">
      <w:pPr>
        <w:jc w:val="both"/>
      </w:pPr>
      <w:r>
        <w:t>Les seuils de réemploi sont présentés à l’auteur de projet pour acceptation. Ils sont ajustés en largeur pour l’encastrement de baie et en profondeur pour présenter un débordement homogène.</w:t>
      </w:r>
    </w:p>
    <w:p w14:paraId="0A23A060" w14:textId="77777777" w:rsidR="00DF410E" w:rsidRDefault="00CE7F43">
      <w:pPr>
        <w:pStyle w:val="pheading"/>
      </w:pPr>
      <w:r>
        <w:t>EXÉCUTION / MISE EN ŒUVRE</w:t>
      </w:r>
    </w:p>
    <w:p w14:paraId="13CC4C29" w14:textId="77777777" w:rsidR="00DF410E" w:rsidRDefault="00CE7F43">
      <w:pPr>
        <w:jc w:val="both"/>
      </w:pPr>
      <w:r>
        <w:t>Les seuils sont placés avant la mise en œuvre des sols et de la menuiserie extérieure.</w:t>
      </w:r>
    </w:p>
    <w:p w14:paraId="1F92723D" w14:textId="77777777" w:rsidR="00DF410E" w:rsidRDefault="00CE7F43">
      <w:pPr>
        <w:jc w:val="both"/>
      </w:pPr>
      <w:r>
        <w:t>Une rupture thermique adéquate (isolation) est prévue entre les seuils extérieurs et le mur de contre-façade. Où cela s'avère nécessaire, une isolation supplémentaire est prévue dans la coulisse afin de prévenir les ponts thermiques. </w:t>
      </w:r>
    </w:p>
    <w:p w14:paraId="503545DE" w14:textId="77777777" w:rsidR="00DF410E" w:rsidRDefault="00CE7F43">
      <w:pPr>
        <w:jc w:val="both"/>
      </w:pPr>
      <w:r>
        <w:t>Sur toute leur longueur, les seuils sont posés sur une couche d'étanchéité souple, posée à l'arrière et relevée sur les côtés afin que l'eau de ruissellement puisse s'écouler vers l'extérieur.</w:t>
      </w:r>
    </w:p>
    <w:p w14:paraId="26C64495" w14:textId="77777777" w:rsidR="00DF410E" w:rsidRDefault="00CE7F43">
      <w:pPr>
        <w:jc w:val="both"/>
      </w:pPr>
      <w:r>
        <w:t>Les seuils sont placés de niveau à plein bain de mortier de la catégorie 12, selon la [NBN EN 998-2], auquel une émulsion synthétique hydrofuge est ajoutée. Les éléments de seuil plats sont posés avec une légère inclinaison d'environ 1 cm vers l'extérieur.</w:t>
      </w:r>
    </w:p>
    <w:p w14:paraId="1F41CBB7" w14:textId="77777777" w:rsidR="00DF410E" w:rsidRDefault="00CE7F43">
      <w:pPr>
        <w:jc w:val="both"/>
      </w:pPr>
      <w:r>
        <w:t>Le raccord de l'étanchéité avec un seuil est réalisé tel que :</w:t>
      </w:r>
    </w:p>
    <w:p w14:paraId="3A30FF2D" w14:textId="77777777" w:rsidR="00DF410E" w:rsidRDefault="00CE7F43">
      <w:pPr>
        <w:pStyle w:val="Author-eListParagraph"/>
        <w:numPr>
          <w:ilvl w:val="0"/>
          <w:numId w:val="272"/>
        </w:numPr>
      </w:pPr>
      <w:r>
        <w:t>la hauteur du relevé d'un seuil est de minimum 150mm avec le niveau d’évacuation des eaux. La position du seuil pour l’accès PMR est en conformité par rapport aux « Guide d’aide à la conception bâtiment accessible ([CAWAB Guide]) ».</w:t>
      </w:r>
    </w:p>
    <w:p w14:paraId="04BA3712" w14:textId="77777777" w:rsidR="00DF410E" w:rsidRDefault="00CE7F43">
      <w:pPr>
        <w:pStyle w:val="Author-eListParagraph"/>
        <w:numPr>
          <w:ilvl w:val="0"/>
          <w:numId w:val="273"/>
        </w:numPr>
      </w:pPr>
      <w:r>
        <w:t>si les dalles sont posées sur plots, la hauteur du relevé (inclus l'épaisseur du seuil), mesurée cette fois à partir du niveau de l'étanchéité, est également de 150 mm au moins, à condition de laisser un joint de 20 mm minimum entre la première dalle et le relevé, et de prolonger ce dernier d'au moins 50 mm au-dessus du niveau des dalles. Sur une toiture-terrasse, étant donné que seules de faibles contraintes horizontales sont à craindre, il n'est pas obligatoire de procéder au scellement latéral des dalles.</w:t>
      </w:r>
    </w:p>
    <w:p w14:paraId="76DF5938" w14:textId="77777777" w:rsidR="00DF410E" w:rsidRDefault="00CE7F43">
      <w:pPr>
        <w:pStyle w:val="Author-eListParagraph"/>
        <w:numPr>
          <w:ilvl w:val="0"/>
          <w:numId w:val="274"/>
        </w:numPr>
      </w:pPr>
      <w:r>
        <w:t>l'écoulement des eaux sur l'étanchéité est étudié de façon à ce que celles-ci sont déviées du seuil.</w:t>
      </w:r>
    </w:p>
    <w:p w14:paraId="716EB592" w14:textId="77777777" w:rsidR="00DF410E" w:rsidRDefault="00CE7F43">
      <w:pPr>
        <w:pStyle w:val="Author-eListParagraph"/>
        <w:numPr>
          <w:ilvl w:val="0"/>
          <w:numId w:val="275"/>
        </w:numPr>
      </w:pPr>
      <w:r>
        <w:t>Les seuils en matériaux pierreux sont prolongés latéralement dans la maçonnerie sur une profondeur d'au moins 50 mm. Pour garantir leur bonne intégration, ils sont pourvus de deux assises latérales (voir à ce propos la [NIT 283]).</w:t>
      </w:r>
    </w:p>
    <w:p w14:paraId="3F38A889" w14:textId="77777777" w:rsidR="00DF410E" w:rsidRDefault="00CE7F43">
      <w:pPr>
        <w:pStyle w:val="Author-eListParagraph"/>
        <w:numPr>
          <w:ilvl w:val="0"/>
          <w:numId w:val="276"/>
        </w:numPr>
      </w:pPr>
      <w:r>
        <w:t>Les seuils pour les enduits sur isolants sont posés conformément à la [NIT 257].</w:t>
      </w:r>
    </w:p>
    <w:p w14:paraId="7BA66B67" w14:textId="77777777" w:rsidR="00DF410E" w:rsidRDefault="00DF410E"/>
    <w:p w14:paraId="3A73543E" w14:textId="77777777" w:rsidR="00DF410E" w:rsidRDefault="00CE7F43">
      <w:r>
        <w:t> </w:t>
      </w:r>
    </w:p>
    <w:p w14:paraId="757391E2" w14:textId="77777777" w:rsidR="00DF410E" w:rsidRDefault="00CE7F43">
      <w:pPr>
        <w:pStyle w:val="pheading"/>
      </w:pPr>
      <w:r>
        <w:t>DOCUMENTS DE RÉFÉRENCE</w:t>
      </w:r>
    </w:p>
    <w:p w14:paraId="6DB07041" w14:textId="77777777" w:rsidR="00DF410E" w:rsidRDefault="00CE7F43">
      <w:pPr>
        <w:pStyle w:val="pheading"/>
      </w:pPr>
      <w:r>
        <w:t>- Matériau</w:t>
      </w:r>
    </w:p>
    <w:p w14:paraId="24CF4FD9" w14:textId="77777777" w:rsidR="00DF410E" w:rsidRDefault="00CE7F43">
      <w:r>
        <w:t>[NBN EN 998-2, Définitions et spécifications des mortiers pour maçonnerie - Partie 2: Mortiers de montage des éléments de maçonnerie]</w:t>
      </w:r>
    </w:p>
    <w:p w14:paraId="4036F067" w14:textId="77777777" w:rsidR="00DF410E" w:rsidRDefault="00CE7F43">
      <w:pPr>
        <w:pStyle w:val="pheading"/>
      </w:pPr>
      <w:r>
        <w:t>- Exécution</w:t>
      </w:r>
    </w:p>
    <w:p w14:paraId="16B17E94" w14:textId="77777777" w:rsidR="00DF410E" w:rsidRDefault="00CE7F43">
      <w:r>
        <w:t>[NIT 283, La pose des menuiseries extérieures. Partie 1 : aspects généraux.]</w:t>
      </w:r>
    </w:p>
    <w:p w14:paraId="3251C178" w14:textId="77777777" w:rsidR="00DF410E" w:rsidRDefault="00CE7F43">
      <w:r>
        <w:t>[NIT 257, Enduits sur isolation extérieure (ETICS) (remplace partiellement la NIT 209)]</w:t>
      </w:r>
    </w:p>
    <w:p w14:paraId="0577D9EF" w14:textId="77777777" w:rsidR="00DF410E" w:rsidRDefault="00DF410E"/>
    <w:p w14:paraId="61F06849" w14:textId="77777777" w:rsidR="00DF410E" w:rsidRDefault="00CE7F43">
      <w:r>
        <w:t> </w:t>
      </w:r>
    </w:p>
    <w:p w14:paraId="5EDD96C7" w14:textId="77777777" w:rsidR="00DF410E" w:rsidRDefault="00CE7F43">
      <w:pPr>
        <w:pStyle w:val="pheading"/>
      </w:pPr>
      <w:r>
        <w:t>AIDE</w:t>
      </w:r>
    </w:p>
    <w:p w14:paraId="75EE3D76" w14:textId="77777777" w:rsidR="00DF410E" w:rsidRDefault="00CE7F43">
      <w:pPr>
        <w:spacing w:before="240" w:after="240"/>
        <w:jc w:val="both"/>
      </w:pPr>
      <w:r>
        <w:rPr>
          <w:color w:val="2A233E"/>
        </w:rPr>
        <w:t>Lorsqu'il est prévu de revêtir les façades d'un crépi, il est conseillé de munir les seuils de fenêtre de relevés latéraux et arrières afin de prévenir le salissement de la façade et les risques d’infiltration.</w:t>
      </w:r>
    </w:p>
    <w:p w14:paraId="4FB8CAA8" w14:textId="77777777" w:rsidR="00DF410E" w:rsidRDefault="00CE7F43">
      <w:pPr>
        <w:pStyle w:val="Author-eSectionHeading6"/>
      </w:pPr>
      <w:bookmarkStart w:id="303" w:name="_Toc178837527"/>
      <w:r>
        <w:t>21.36.1a Seuils en pierre CCTB 01.11</w:t>
      </w:r>
      <w:bookmarkEnd w:id="303"/>
    </w:p>
    <w:p w14:paraId="7F43735B" w14:textId="77777777" w:rsidR="00DF410E" w:rsidRDefault="00CE7F43">
      <w:pPr>
        <w:pStyle w:val="pheading"/>
      </w:pPr>
      <w:r>
        <w:t>DESCRIPTION</w:t>
      </w:r>
    </w:p>
    <w:p w14:paraId="59AD7294" w14:textId="77777777" w:rsidR="00DF410E" w:rsidRDefault="00CE7F43">
      <w:pPr>
        <w:pStyle w:val="pheading"/>
      </w:pPr>
      <w:r>
        <w:t>- Définition / Comprend</w:t>
      </w:r>
    </w:p>
    <w:p w14:paraId="6E116FCE" w14:textId="77777777" w:rsidR="00DF410E" w:rsidRDefault="00CE7F43">
      <w:pPr>
        <w:jc w:val="both"/>
      </w:pPr>
      <w:r>
        <w:t>Il s'agit de la fourniture (hors matériaux récupérés du même site)  et de la pose des seuils en pierre de portes et fenêtres et autres baies complètement parachevés.</w:t>
      </w:r>
    </w:p>
    <w:p w14:paraId="2DFB1C16" w14:textId="77777777" w:rsidR="00DF410E" w:rsidRDefault="00CE7F43">
      <w:pPr>
        <w:pStyle w:val="pheading"/>
      </w:pPr>
      <w:r>
        <w:t>MATÉRIAUX</w:t>
      </w:r>
    </w:p>
    <w:p w14:paraId="1571415A" w14:textId="77777777" w:rsidR="00DF410E" w:rsidRDefault="00CE7F43">
      <w:pPr>
        <w:pStyle w:val="pheading"/>
      </w:pPr>
      <w:r>
        <w:t>- Caractéristiques générales</w:t>
      </w:r>
    </w:p>
    <w:p w14:paraId="34E4C681" w14:textId="77777777" w:rsidR="00DF410E" w:rsidRDefault="00CE7F43">
      <w:pPr>
        <w:jc w:val="both"/>
      </w:pPr>
      <w:r>
        <w:t>La pierre naturelle pour les seuils satisfait aux dispositions des [STS 45 série]. La pierre est exempte de toutes impuretés telles que taches (graisse, huile, rouille, etc.) et est débarrassée de toute gangue ou terre, est écorcée jusqu'au cœur et complètement nettoyée. Les pièces sont parfaitement finies.</w:t>
      </w:r>
    </w:p>
    <w:p w14:paraId="47A00E2B" w14:textId="77777777" w:rsidR="00DF410E" w:rsidRDefault="00CE7F43">
      <w:pPr>
        <w:jc w:val="both"/>
      </w:pPr>
      <w:r>
        <w:t>La pierre appartient à la catégorie </w:t>
      </w:r>
      <w:r>
        <w:rPr>
          <w:rStyle w:val="optioncarChar"/>
        </w:rPr>
        <w:t>'bâtiment exceptionnel' / 'bâtiment courant' </w:t>
      </w:r>
      <w:r>
        <w:t>(par défaut)</w:t>
      </w:r>
      <w:r>
        <w:rPr>
          <w:rStyle w:val="optioncarChar"/>
        </w:rPr>
        <w:t xml:space="preserve"> / 'technique' / ***</w:t>
      </w:r>
      <w:r>
        <w:t>, selon la [NIT 220].</w:t>
      </w:r>
    </w:p>
    <w:p w14:paraId="624C5026" w14:textId="77777777" w:rsidR="00DF410E" w:rsidRDefault="00CE7F43">
      <w:pPr>
        <w:jc w:val="both"/>
      </w:pPr>
      <w:r>
        <w:t>Profil / Sections :  épaisseur minimum </w:t>
      </w:r>
      <w:r>
        <w:rPr>
          <w:rStyle w:val="optioncarChar"/>
        </w:rPr>
        <w:t xml:space="preserve">4 cm / 5 cm </w:t>
      </w:r>
      <w:r>
        <w:t>(par défaut)</w:t>
      </w:r>
      <w:r>
        <w:rPr>
          <w:rStyle w:val="optioncarChar"/>
        </w:rPr>
        <w:t xml:space="preserve"> / selon le dessin de détail / *** cm</w:t>
      </w:r>
      <w:r>
        <w:t xml:space="preserve">  + relevé </w:t>
      </w:r>
      <w:r>
        <w:rPr>
          <w:rStyle w:val="optioncarChar"/>
        </w:rPr>
        <w:t xml:space="preserve">d'1 cm </w:t>
      </w:r>
      <w:r>
        <w:t>(par défaut)</w:t>
      </w:r>
      <w:r>
        <w:rPr>
          <w:rStyle w:val="optioncarChar"/>
        </w:rPr>
        <w:t xml:space="preserve"> / selon le dessin de détail / d' *** cm. </w:t>
      </w:r>
    </w:p>
    <w:p w14:paraId="24ABBB6A" w14:textId="77777777" w:rsidR="00DF410E" w:rsidRDefault="00CE7F43">
      <w:pPr>
        <w:jc w:val="both"/>
      </w:pPr>
      <w:r>
        <w:t>Angles : </w:t>
      </w:r>
      <w:r>
        <w:rPr>
          <w:rStyle w:val="optioncarChar"/>
        </w:rPr>
        <w:t>cassés</w:t>
      </w:r>
      <w:r>
        <w:t xml:space="preserve"> (par défaut) </w:t>
      </w:r>
      <w:r>
        <w:rPr>
          <w:rStyle w:val="optioncarChar"/>
        </w:rPr>
        <w:t>/ arrondis</w:t>
      </w:r>
    </w:p>
    <w:p w14:paraId="6B41A3C7" w14:textId="77777777" w:rsidR="00DF410E" w:rsidRDefault="00CE7F43">
      <w:pPr>
        <w:jc w:val="both"/>
      </w:pPr>
      <w:r>
        <w:t>Les seuils présentent un débordement de </w:t>
      </w:r>
      <w:r>
        <w:rPr>
          <w:rStyle w:val="optioncarChar"/>
        </w:rPr>
        <w:t xml:space="preserve">5 </w:t>
      </w:r>
      <w:r>
        <w:t xml:space="preserve">(par défaut) </w:t>
      </w:r>
      <w:r>
        <w:rPr>
          <w:rStyle w:val="optioncarChar"/>
        </w:rPr>
        <w:t>/ *** </w:t>
      </w:r>
      <w:r>
        <w:t>cm par rapport au plan de façade</w:t>
      </w:r>
    </w:p>
    <w:p w14:paraId="5034F411" w14:textId="77777777" w:rsidR="00DF410E" w:rsidRDefault="00CE7F43">
      <w:pPr>
        <w:jc w:val="both"/>
      </w:pPr>
      <w:r>
        <w:t>Les extrémités des seuils sont intégrées dans le parement sur </w:t>
      </w:r>
      <w:r>
        <w:rPr>
          <w:rStyle w:val="optioncarChar"/>
        </w:rPr>
        <w:t>50</w:t>
      </w:r>
      <w:r>
        <w:t xml:space="preserve"> (par défaut)</w:t>
      </w:r>
      <w:r>
        <w:rPr>
          <w:rStyle w:val="optioncarChar"/>
        </w:rPr>
        <w:t xml:space="preserve"> / ***</w:t>
      </w:r>
      <w:r>
        <w:t> mm.</w:t>
      </w:r>
    </w:p>
    <w:p w14:paraId="1A8403E0" w14:textId="77777777" w:rsidR="00DF410E" w:rsidRDefault="00CE7F43">
      <w:pPr>
        <w:jc w:val="both"/>
      </w:pPr>
      <w:r>
        <w:t>Longueur maximale des éléments de seuil : d'un seul tenant jusqu'à </w:t>
      </w:r>
      <w:r>
        <w:rPr>
          <w:rStyle w:val="optioncarChar"/>
        </w:rPr>
        <w:t xml:space="preserve">150 </w:t>
      </w:r>
      <w:r>
        <w:t>(par défaut)</w:t>
      </w:r>
      <w:r>
        <w:rPr>
          <w:rStyle w:val="optioncarChar"/>
        </w:rPr>
        <w:t xml:space="preserve"> / ***</w:t>
      </w:r>
      <w:r>
        <w:t> cm.</w:t>
      </w:r>
    </w:p>
    <w:p w14:paraId="559557BB" w14:textId="77777777" w:rsidR="00DF410E" w:rsidRDefault="00CE7F43">
      <w:pPr>
        <w:jc w:val="both"/>
      </w:pPr>
      <w:r>
        <w:t>A leurs extrémités, les seuils sont intégrés sur une largeur de </w:t>
      </w:r>
      <w:r>
        <w:rPr>
          <w:rStyle w:val="optioncarChar"/>
        </w:rPr>
        <w:t xml:space="preserve">50 </w:t>
      </w:r>
      <w:r>
        <w:t>(par défaut)</w:t>
      </w:r>
      <w:r>
        <w:rPr>
          <w:rStyle w:val="optioncarChar"/>
        </w:rPr>
        <w:t xml:space="preserve"> / ***</w:t>
      </w:r>
      <w:r>
        <w:t> mm dans le parement.</w:t>
      </w:r>
    </w:p>
    <w:p w14:paraId="5D5372FB" w14:textId="77777777" w:rsidR="00DF410E" w:rsidRDefault="00CE7F43">
      <w:pPr>
        <w:jc w:val="both"/>
      </w:pPr>
      <w:r>
        <w:t>Larmier :  </w:t>
      </w:r>
      <w:r>
        <w:rPr>
          <w:rStyle w:val="optioncarChar"/>
        </w:rPr>
        <w:t xml:space="preserve">10 mm de large et environ 5 à 6 mm de profondeur </w:t>
      </w:r>
      <w:r>
        <w:t>(par défaut)</w:t>
      </w:r>
      <w:r>
        <w:rPr>
          <w:rStyle w:val="optioncarChar"/>
        </w:rPr>
        <w:t xml:space="preserve"> / ***</w:t>
      </w:r>
    </w:p>
    <w:p w14:paraId="656EDD0D" w14:textId="77777777" w:rsidR="00DF410E" w:rsidRDefault="00CE7F43">
      <w:pPr>
        <w:jc w:val="both"/>
      </w:pPr>
      <w:r>
        <w:t xml:space="preserve">Les seuils en pierre sont  </w:t>
      </w:r>
      <w:r>
        <w:rPr>
          <w:rStyle w:val="optioncarChar"/>
        </w:rPr>
        <w:t xml:space="preserve">neufs </w:t>
      </w:r>
      <w:r>
        <w:t>(par défaut)</w:t>
      </w:r>
      <w:r>
        <w:rPr>
          <w:rStyle w:val="optioncarChar"/>
        </w:rPr>
        <w:t xml:space="preserve"> / de réemploi.</w:t>
      </w:r>
    </w:p>
    <w:p w14:paraId="69231BB4" w14:textId="77777777" w:rsidR="00DF410E" w:rsidRDefault="00CE7F43">
      <w:pPr>
        <w:jc w:val="both"/>
      </w:pPr>
      <w:r>
        <w:rPr>
          <w:b/>
        </w:rPr>
        <w:t>(soit par défaut)</w:t>
      </w:r>
    </w:p>
    <w:p w14:paraId="02EABC62" w14:textId="77777777" w:rsidR="00DF410E" w:rsidRDefault="00CE7F43">
      <w:pPr>
        <w:jc w:val="both"/>
      </w:pPr>
      <w:r>
        <w:rPr>
          <w:rStyle w:val="soitChar"/>
          <w:u w:val="single"/>
        </w:rPr>
        <w:t>Neufs :</w:t>
      </w:r>
    </w:p>
    <w:p w14:paraId="0249B5FA" w14:textId="77777777" w:rsidR="00DF410E" w:rsidRDefault="00CE7F43">
      <w:pPr>
        <w:jc w:val="both"/>
      </w:pPr>
      <w:r>
        <w:rPr>
          <w:rStyle w:val="soitChar"/>
        </w:rPr>
        <w:t>A l'arrière, un relevé est collé de </w:t>
      </w:r>
      <w:r>
        <w:rPr>
          <w:rStyle w:val="optioncarChar"/>
        </w:rPr>
        <w:t xml:space="preserve">10 </w:t>
      </w:r>
      <w:r>
        <w:t>(par défaut)</w:t>
      </w:r>
      <w:r>
        <w:rPr>
          <w:rStyle w:val="optioncarChar"/>
        </w:rPr>
        <w:t xml:space="preserve"> / 20 / ***</w:t>
      </w:r>
      <w:r>
        <w:rPr>
          <w:rStyle w:val="soitChar"/>
        </w:rPr>
        <w:t> mm de hauteur.</w:t>
      </w:r>
    </w:p>
    <w:p w14:paraId="60D6D80A" w14:textId="77777777" w:rsidR="00DF410E" w:rsidRDefault="00CE7F43">
      <w:pPr>
        <w:jc w:val="both"/>
      </w:pPr>
      <w:r>
        <w:rPr>
          <w:rStyle w:val="soitChar"/>
        </w:rPr>
        <w:t>Aux extrémités, des rehaussements (coussinets - oreilles) de </w:t>
      </w:r>
      <w:r>
        <w:rPr>
          <w:rStyle w:val="optioncarChar"/>
        </w:rPr>
        <w:t xml:space="preserve">20 </w:t>
      </w:r>
      <w:r>
        <w:t>(par défaut)</w:t>
      </w:r>
      <w:r>
        <w:rPr>
          <w:rStyle w:val="optioncarChar"/>
        </w:rPr>
        <w:t xml:space="preserve"> / ***</w:t>
      </w:r>
      <w:r>
        <w:rPr>
          <w:rStyle w:val="soitChar"/>
        </w:rPr>
        <w:t> mm de hauteur, selon le dessin de détail ou selon le module de la pierre sont collés.</w:t>
      </w:r>
    </w:p>
    <w:p w14:paraId="2D2AEC85" w14:textId="77777777" w:rsidR="00DF410E" w:rsidRDefault="00CE7F43">
      <w:pPr>
        <w:jc w:val="both"/>
      </w:pPr>
      <w:r>
        <w:rPr>
          <w:rStyle w:val="soitChar"/>
        </w:rPr>
        <w:t xml:space="preserve">Matériau : </w:t>
      </w:r>
      <w:r>
        <w:rPr>
          <w:rStyle w:val="optioncarChar"/>
        </w:rPr>
        <w:t xml:space="preserve">pierre (sédimentaire) calcaire marbrière bleue </w:t>
      </w:r>
      <w:r>
        <w:t>(par défaut)</w:t>
      </w:r>
      <w:r>
        <w:rPr>
          <w:rStyle w:val="optioncarChar"/>
        </w:rPr>
        <w:t xml:space="preserve"> / pierre (sédimentaire) calcaire marbrière  noire / pierre (sédimentaire) calcaire non-marbrière blanche / pierre (sédimentaire) calcaire gréseux / pierre (sédimentaire) siliceuse - grès /  pierre (sédimentaire) siliceuse - schiste / pierre (magmatique) granit / pierre (métamorphique) marbre/ pierre (métamorphique) gneiss / ***</w:t>
      </w:r>
      <w:r>
        <w:rPr>
          <w:rStyle w:val="soitChar"/>
        </w:rPr>
        <w:t>.</w:t>
      </w:r>
    </w:p>
    <w:p w14:paraId="62C063EF" w14:textId="77777777" w:rsidR="00DF410E" w:rsidRDefault="00CE7F43">
      <w:pPr>
        <w:jc w:val="both"/>
      </w:pPr>
      <w:r>
        <w:rPr>
          <w:rStyle w:val="soitChar"/>
        </w:rPr>
        <w:t>Défauts admissibles :</w:t>
      </w:r>
      <w:r>
        <w:rPr>
          <w:rStyle w:val="optioncarChar"/>
        </w:rPr>
        <w:t xml:space="preserve">l'utilisation d'un mastic ou d'une pâte quelconque pour cacher les défauts dans les faces vues est interdite </w:t>
      </w:r>
      <w:r>
        <w:t>(par défaut) </w:t>
      </w:r>
      <w:r>
        <w:rPr>
          <w:rStyle w:val="optioncarChar"/>
        </w:rPr>
        <w:t>/ les petits défauts dans les faces vues peuvent être réparés / ***.</w:t>
      </w:r>
    </w:p>
    <w:p w14:paraId="09C6BBD1" w14:textId="77777777" w:rsidR="00DF410E" w:rsidRDefault="00CE7F43">
      <w:pPr>
        <w:jc w:val="both"/>
      </w:pPr>
      <w:r>
        <w:rPr>
          <w:b/>
        </w:rPr>
        <w:t>(soit)</w:t>
      </w:r>
    </w:p>
    <w:p w14:paraId="281FFB4C" w14:textId="77777777" w:rsidR="00DF410E" w:rsidRDefault="00CE7F43">
      <w:pPr>
        <w:jc w:val="both"/>
      </w:pPr>
      <w:r>
        <w:rPr>
          <w:rStyle w:val="soitChar"/>
          <w:u w:val="single"/>
        </w:rPr>
        <w:t>Réemploi :</w:t>
      </w:r>
    </w:p>
    <w:p w14:paraId="6DF85930" w14:textId="77777777" w:rsidR="00DF410E" w:rsidRDefault="00CE7F43">
      <w:pPr>
        <w:jc w:val="both"/>
      </w:pPr>
      <w:r>
        <w:rPr>
          <w:rStyle w:val="soitChar"/>
        </w:rPr>
        <w:t>Il s’agit de seuils de réemploi comme alternative aux tablettes neuves. Modèle à proposer par l’entrepreneur et soumis à l’approbation au maître d’ouvrage. Les défauts sont décrits de manière exhaustive, et présentés pour acceptation au maître d’ouvrage.</w:t>
      </w:r>
    </w:p>
    <w:p w14:paraId="6B828AAF" w14:textId="77777777" w:rsidR="00DF410E" w:rsidRDefault="00CE7F43">
      <w:pPr>
        <w:jc w:val="both"/>
      </w:pPr>
      <w:r>
        <w:rPr>
          <w:rStyle w:val="soitChar"/>
        </w:rPr>
        <w:t xml:space="preserve">Les pierres de réemploi sont utilisées </w:t>
      </w:r>
      <w:r>
        <w:rPr>
          <w:rStyle w:val="optioncarChar"/>
        </w:rPr>
        <w:t xml:space="preserve">sans transformation </w:t>
      </w:r>
      <w:r>
        <w:t>(par défaut)</w:t>
      </w:r>
      <w:r>
        <w:rPr>
          <w:rStyle w:val="optioncarChar"/>
        </w:rPr>
        <w:t xml:space="preserve"> / reconditionnées</w:t>
      </w:r>
      <w:r>
        <w:rPr>
          <w:rStyle w:val="soitChar"/>
        </w:rPr>
        <w:t>.</w:t>
      </w:r>
    </w:p>
    <w:p w14:paraId="0A0F4C58" w14:textId="77777777" w:rsidR="00DF410E" w:rsidRDefault="00CE7F43">
      <w:pPr>
        <w:pStyle w:val="pheading"/>
      </w:pPr>
      <w:r>
        <w:t>- Finitions</w:t>
      </w:r>
    </w:p>
    <w:p w14:paraId="07F08DAF" w14:textId="77777777" w:rsidR="00DF410E" w:rsidRDefault="00CE7F43">
      <w:pPr>
        <w:jc w:val="both"/>
      </w:pPr>
      <w:r>
        <w:t>Faces supérieures : </w:t>
      </w:r>
      <w:r>
        <w:rPr>
          <w:rStyle w:val="optioncarChar"/>
        </w:rPr>
        <w:t>adouci bleu</w:t>
      </w:r>
      <w:r>
        <w:t xml:space="preserve"> (par défaut) </w:t>
      </w:r>
      <w:r>
        <w:rPr>
          <w:rStyle w:val="optioncarChar"/>
        </w:rPr>
        <w:t>/ meulé gris / ***</w:t>
      </w:r>
      <w:r>
        <w:t>.</w:t>
      </w:r>
    </w:p>
    <w:p w14:paraId="32783184" w14:textId="77777777" w:rsidR="00DF410E" w:rsidRDefault="00CE7F43">
      <w:pPr>
        <w:jc w:val="both"/>
      </w:pPr>
      <w:r>
        <w:t xml:space="preserve">Faces vues :  </w:t>
      </w:r>
      <w:r>
        <w:rPr>
          <w:rStyle w:val="optioncarChar"/>
        </w:rPr>
        <w:t>adouci bleu</w:t>
      </w:r>
      <w:r>
        <w:t xml:space="preserve"> (par défaut)  </w:t>
      </w:r>
      <w:r>
        <w:rPr>
          <w:rStyle w:val="optioncarChar"/>
        </w:rPr>
        <w:t xml:space="preserve"> /   poncé  /  ciselé à raison de 10 / 12 / 15 / *** coups par dm.</w:t>
      </w:r>
    </w:p>
    <w:p w14:paraId="48105E9C" w14:textId="77777777" w:rsidR="00DF410E" w:rsidRDefault="00CE7F43">
      <w:pPr>
        <w:pStyle w:val="pheading"/>
      </w:pPr>
      <w:r>
        <w:t>EXÉCUTION / MISE EN ŒUVRE</w:t>
      </w:r>
    </w:p>
    <w:p w14:paraId="370A4F5A" w14:textId="77777777" w:rsidR="00DF410E" w:rsidRDefault="00CE7F43">
      <w:pPr>
        <w:pStyle w:val="pheading"/>
      </w:pPr>
      <w:r>
        <w:t>- Prescriptions générales</w:t>
      </w:r>
    </w:p>
    <w:p w14:paraId="219310E1" w14:textId="77777777" w:rsidR="00DF410E" w:rsidRDefault="00CE7F43">
      <w:pPr>
        <w:jc w:val="both"/>
      </w:pPr>
      <w:r>
        <w:t>L'entrepreneur prend les mesures exactes sur chantier, dès que le gros-œuvre est terminé. Il est tenu compte des dessins de détail établis par l'auteur de projet.</w:t>
      </w:r>
    </w:p>
    <w:p w14:paraId="21FB51C5" w14:textId="77777777" w:rsidR="00DF410E" w:rsidRDefault="00CE7F43">
      <w:pPr>
        <w:jc w:val="both"/>
      </w:pPr>
      <w:r>
        <w:t>Sous les seuils, l'entreprise applique d'abord une couche d'étanchéité : </w:t>
      </w:r>
      <w:r>
        <w:rPr>
          <w:rStyle w:val="optioncarChar"/>
        </w:rPr>
        <w:t xml:space="preserve">feuille de PE 0,45 mm, noire surface rainurée </w:t>
      </w:r>
      <w:r>
        <w:t>(par défaut)</w:t>
      </w:r>
      <w:r>
        <w:rPr>
          <w:rStyle w:val="optioncarChar"/>
        </w:rPr>
        <w:t xml:space="preserve"> / EPDM / ***</w:t>
      </w:r>
      <w:r>
        <w:t>.</w:t>
      </w:r>
    </w:p>
    <w:p w14:paraId="417CB7BA" w14:textId="77777777" w:rsidR="00DF410E" w:rsidRDefault="00CE7F43">
      <w:pPr>
        <w:jc w:val="both"/>
      </w:pPr>
      <w:r>
        <w:t>Lorsque la pierre n'est pas taillée en profil, le seuil est posé avec une inclinaison de 5 % afin que l'eau s'évacue à l'extérieur de la face de parement.</w:t>
      </w:r>
    </w:p>
    <w:p w14:paraId="68A12725" w14:textId="77777777" w:rsidR="00DF410E" w:rsidRDefault="00CE7F43">
      <w:pPr>
        <w:jc w:val="both"/>
      </w:pPr>
      <w:r>
        <w:t>Les seuils dont la longueur dépasse 150 cm peuvent être posés en une ou plusieurs parties, avec un joint de dilatation de </w:t>
      </w:r>
      <w:r>
        <w:rPr>
          <w:rStyle w:val="optioncarChar"/>
        </w:rPr>
        <w:t xml:space="preserve">8 </w:t>
      </w:r>
      <w:r>
        <w:t>(par défaut)</w:t>
      </w:r>
      <w:r>
        <w:rPr>
          <w:rStyle w:val="optioncarChar"/>
        </w:rPr>
        <w:t xml:space="preserve"> / ***</w:t>
      </w:r>
      <w:r>
        <w:t> mm réalisé sur toute la profondeur du seuil.</w:t>
      </w:r>
    </w:p>
    <w:p w14:paraId="0967A8B6" w14:textId="77777777" w:rsidR="00DF410E" w:rsidRDefault="00CE7F43">
      <w:pPr>
        <w:jc w:val="both"/>
      </w:pPr>
      <w:r>
        <w:t xml:space="preserve">Sous les joints verticaux, l'entreprise prévoit une bavette d’étanchéité d'au moins 10 cm de largeur, repliée aux bords parallèlement au joint et relevée à l'arrière. Dans le joint entre les éléments, on insère une bande </w:t>
      </w:r>
      <w:r>
        <w:rPr>
          <w:rStyle w:val="optioncarChar"/>
        </w:rPr>
        <w:t xml:space="preserve">de préformé de mousse comprimable </w:t>
      </w:r>
      <w:r>
        <w:t xml:space="preserve">(par défaut) </w:t>
      </w:r>
      <w:r>
        <w:rPr>
          <w:rStyle w:val="optioncarChar"/>
        </w:rPr>
        <w:t>/ ***</w:t>
      </w:r>
      <w:r>
        <w:t>. </w:t>
      </w:r>
    </w:p>
    <w:p w14:paraId="68C001AA" w14:textId="77777777" w:rsidR="00DF410E" w:rsidRDefault="00CE7F43">
      <w:pPr>
        <w:jc w:val="both"/>
      </w:pPr>
      <w:r>
        <w:t xml:space="preserve">Les joints sont rejointoyés à l'aide d'un produit de jointoiement : </w:t>
      </w:r>
      <w:r>
        <w:rPr>
          <w:rStyle w:val="optioncarChar"/>
        </w:rPr>
        <w:t xml:space="preserve">mortier de rejointoiement de façade </w:t>
      </w:r>
      <w:r>
        <w:t>(par défaut)</w:t>
      </w:r>
      <w:r>
        <w:rPr>
          <w:rStyle w:val="optioncarChar"/>
        </w:rPr>
        <w:t xml:space="preserve"> / poudre de métal mélangée avec un liquide spécial / *** </w:t>
      </w:r>
      <w:r>
        <w:t>:</w:t>
      </w:r>
    </w:p>
    <w:p w14:paraId="290CD5C3" w14:textId="77777777" w:rsidR="00DF410E" w:rsidRDefault="00CE7F43">
      <w:pPr>
        <w:jc w:val="both"/>
      </w:pPr>
      <w:r>
        <w:rPr>
          <w:b/>
        </w:rPr>
        <w:t>(soit par défaut)</w:t>
      </w:r>
    </w:p>
    <w:p w14:paraId="6C716F1B" w14:textId="77777777" w:rsidR="00DF410E" w:rsidRDefault="00CE7F43">
      <w:pPr>
        <w:jc w:val="both"/>
      </w:pPr>
      <w:r>
        <w:rPr>
          <w:rStyle w:val="soitChar"/>
          <w:u w:val="single"/>
        </w:rPr>
        <w:t>Mortier de rejointoiement de façade</w:t>
      </w:r>
      <w:r>
        <w:rPr>
          <w:rStyle w:val="soitChar"/>
        </w:rPr>
        <w:t> : les travaux de jointoiement a posteriori sont exécutés conformément à la [NIT 208].</w:t>
      </w:r>
    </w:p>
    <w:p w14:paraId="56C053C5" w14:textId="77777777" w:rsidR="00DF410E" w:rsidRDefault="00CE7F43">
      <w:pPr>
        <w:jc w:val="both"/>
      </w:pPr>
      <w:r>
        <w:rPr>
          <w:b/>
        </w:rPr>
        <w:t>(soit)</w:t>
      </w:r>
    </w:p>
    <w:p w14:paraId="2B5A9B3D" w14:textId="77777777" w:rsidR="00DF410E" w:rsidRDefault="00CE7F43">
      <w:pPr>
        <w:jc w:val="both"/>
      </w:pPr>
      <w:r>
        <w:rPr>
          <w:rStyle w:val="soitChar"/>
          <w:u w:val="single"/>
        </w:rPr>
        <w:t>Poudre de métal mélangée avec un liquide spécial </w:t>
      </w:r>
      <w:r>
        <w:rPr>
          <w:rStyle w:val="soitChar"/>
        </w:rPr>
        <w:t>:cette poudre se compose de deux parts d'oxyde de zinc, de deux parts de pierre calcaire très dure broyée en poudre et d’une part de grès broyé en poudre (toutes les particules sont inférieures à 1,5 mm). Le liquide de gâchage se compose pour 1/3 d'une solution d'acide chlorhydrique et pour 2/3 d'eau claire. La proportion est de 0,3 l de liquide par kg de poudre, à mélanger intimement.</w:t>
      </w:r>
    </w:p>
    <w:p w14:paraId="4E023180" w14:textId="77777777" w:rsidR="00DF410E" w:rsidRDefault="00CE7F43">
      <w:pPr>
        <w:jc w:val="both"/>
      </w:pPr>
      <w:r>
        <w:rPr>
          <w:b/>
        </w:rPr>
        <w:t>(soit)</w:t>
      </w:r>
    </w:p>
    <w:p w14:paraId="4531DA22" w14:textId="77777777" w:rsidR="00DF410E" w:rsidRDefault="00CE7F43">
      <w:pPr>
        <w:jc w:val="both"/>
      </w:pPr>
      <w:r>
        <w:rPr>
          <w:rStyle w:val="optioncarChar"/>
        </w:rPr>
        <w:t>***</w:t>
      </w:r>
    </w:p>
    <w:p w14:paraId="248A3401" w14:textId="77777777" w:rsidR="00DF410E" w:rsidRDefault="00CE7F43">
      <w:pPr>
        <w:jc w:val="both"/>
      </w:pPr>
      <w:r>
        <w:t>Il est interdit d'effectuer les travaux de jointoiement par temps de pluie. Par temps sec, le jointoiement est dûment protégé contre la dessiccation précoce. Le seuil et le mur à rejointoyer est d'abord nettoyé à l'eau claire, l'humidité favorisant en outre l'adhérence du mortier de jointoiement. Les souillures de mortier sont nettoyées à l'aide d'une solution adaptée.</w:t>
      </w:r>
    </w:p>
    <w:p w14:paraId="64F9C22F" w14:textId="77777777" w:rsidR="00DF410E" w:rsidRDefault="00CE7F43">
      <w:pPr>
        <w:jc w:val="both"/>
      </w:pPr>
      <w:r>
        <w:t xml:space="preserve">Pour le resserrage, les joints sont rembourrés avec un mastic durablement élastique à base de polysulfide selon la [STS 56.1], soit avec un mélange de rejointoiement recommandé dans la documentation technique accompagnant le produit. La couleur est </w:t>
      </w:r>
      <w:r>
        <w:rPr>
          <w:rStyle w:val="optioncarChar"/>
        </w:rPr>
        <w:t xml:space="preserve">transparente </w:t>
      </w:r>
      <w:r>
        <w:t>(par défaut)</w:t>
      </w:r>
      <w:r>
        <w:rPr>
          <w:rStyle w:val="optioncarChar"/>
        </w:rPr>
        <w:t xml:space="preserve"> / *** / RAL ***</w:t>
      </w:r>
      <w:r>
        <w:t xml:space="preserve"> (éviter les silicones acides en présence de calcaire).</w:t>
      </w:r>
    </w:p>
    <w:p w14:paraId="5C9B6B46" w14:textId="77777777" w:rsidR="00DF410E" w:rsidRDefault="00CE7F43">
      <w:pPr>
        <w:pStyle w:val="pheading"/>
      </w:pPr>
      <w:r>
        <w:t>DOCUMENTS DE RÉFÉRENCE COMPLÉMENTAIRES</w:t>
      </w:r>
    </w:p>
    <w:p w14:paraId="516F5357" w14:textId="77777777" w:rsidR="00DF410E" w:rsidRDefault="00CE7F43">
      <w:pPr>
        <w:pStyle w:val="pheading"/>
      </w:pPr>
      <w:r>
        <w:t>- Exécution</w:t>
      </w:r>
    </w:p>
    <w:p w14:paraId="36DD1490" w14:textId="77777777" w:rsidR="00DF410E" w:rsidRDefault="00CE7F43">
      <w:r>
        <w:t>[STS 56.1, Mastics d’étanchéité des façades]</w:t>
      </w:r>
    </w:p>
    <w:p w14:paraId="5A6A97A0" w14:textId="77777777" w:rsidR="00DF410E" w:rsidRDefault="00CE7F43">
      <w:r>
        <w:t>[NBN EN 599-2, Durabilité du bois et des matériaux dérivés du bois - Efficacité des produits préventifs de préservation du bois établie par des essais biologiques - Partie 2 : Étiquetage]</w:t>
      </w:r>
    </w:p>
    <w:p w14:paraId="4647C19F" w14:textId="77777777" w:rsidR="00DF410E" w:rsidRDefault="00CE7F43">
      <w:r>
        <w:t>[STS 04 série, Bois et panneaux à base de bois]</w:t>
      </w:r>
    </w:p>
    <w:p w14:paraId="49DBCB33" w14:textId="77777777" w:rsidR="00DF410E" w:rsidRDefault="00CE7F43">
      <w:r>
        <w:t>[NIT 208, Jointoiement des maçonneries.]</w:t>
      </w:r>
    </w:p>
    <w:p w14:paraId="100F4696" w14:textId="77777777" w:rsidR="00DF410E" w:rsidRDefault="00DF410E"/>
    <w:p w14:paraId="3513A0EA" w14:textId="77777777" w:rsidR="00DF410E" w:rsidRDefault="00CE7F43">
      <w:r>
        <w:t> </w:t>
      </w:r>
    </w:p>
    <w:p w14:paraId="4D11023B" w14:textId="77777777" w:rsidR="00DF410E" w:rsidRDefault="00CE7F43">
      <w:pPr>
        <w:pStyle w:val="pheading"/>
      </w:pPr>
      <w:r>
        <w:t>MESURAGE</w:t>
      </w:r>
    </w:p>
    <w:p w14:paraId="208F6761" w14:textId="77777777" w:rsidR="00DF410E" w:rsidRDefault="00CE7F43">
      <w:pPr>
        <w:pStyle w:val="pheading"/>
      </w:pPr>
      <w:r>
        <w:t>- unité de mesure:</w:t>
      </w:r>
    </w:p>
    <w:p w14:paraId="387DB4D4" w14:textId="77777777" w:rsidR="00DF410E" w:rsidRDefault="00CE7F43">
      <w:r>
        <w:rPr>
          <w:rStyle w:val="optioncarChar"/>
        </w:rPr>
        <w:t>m </w:t>
      </w:r>
      <w:r>
        <w:t>(par défaut) </w:t>
      </w:r>
      <w:r>
        <w:rPr>
          <w:rStyle w:val="optioncarChar"/>
        </w:rPr>
        <w:t>/ pc / m³ </w:t>
      </w:r>
    </w:p>
    <w:p w14:paraId="498EF285" w14:textId="77777777" w:rsidR="00DF410E" w:rsidRDefault="00CE7F43">
      <w:r>
        <w:rPr>
          <w:b/>
        </w:rPr>
        <w:t>(soit par défaut)</w:t>
      </w:r>
    </w:p>
    <w:p w14:paraId="0BFAB96D" w14:textId="77777777" w:rsidR="00DF410E" w:rsidRDefault="00CE7F43">
      <w:r>
        <w:rPr>
          <w:rStyle w:val="soitChar"/>
        </w:rPr>
        <w:t>1. m</w:t>
      </w:r>
    </w:p>
    <w:p w14:paraId="2CA84DA9" w14:textId="77777777" w:rsidR="00DF410E" w:rsidRDefault="00CE7F43">
      <w:r>
        <w:rPr>
          <w:b/>
        </w:rPr>
        <w:t>(soit)</w:t>
      </w:r>
    </w:p>
    <w:p w14:paraId="4FB815AC" w14:textId="77777777" w:rsidR="00DF410E" w:rsidRDefault="00CE7F43">
      <w:r>
        <w:rPr>
          <w:rStyle w:val="soitChar"/>
        </w:rPr>
        <w:t>2. pc</w:t>
      </w:r>
    </w:p>
    <w:p w14:paraId="64245A0C" w14:textId="77777777" w:rsidR="00DF410E" w:rsidRDefault="00CE7F43">
      <w:r>
        <w:rPr>
          <w:b/>
        </w:rPr>
        <w:t>(soit)</w:t>
      </w:r>
    </w:p>
    <w:p w14:paraId="619F7425" w14:textId="77777777" w:rsidR="00DF410E" w:rsidRDefault="00CE7F43">
      <w:r>
        <w:rPr>
          <w:rStyle w:val="soitChar"/>
        </w:rPr>
        <w:t>3. m³</w:t>
      </w:r>
    </w:p>
    <w:p w14:paraId="3D379DF6" w14:textId="77777777" w:rsidR="00DF410E" w:rsidRDefault="00CE7F43">
      <w:pPr>
        <w:pStyle w:val="pheading"/>
      </w:pPr>
      <w:r>
        <w:t>- code de mesurage:</w:t>
      </w:r>
    </w:p>
    <w:p w14:paraId="19B3BD23" w14:textId="77777777" w:rsidR="00DF410E" w:rsidRDefault="00CE7F43">
      <w:r>
        <w:t>Distinction faite suivant le type et nature du seuil (neuf et/ou de réemploi). S’il s’agit de réemploi, distinguer : avec ou sans fourniture.</w:t>
      </w:r>
    </w:p>
    <w:p w14:paraId="1F6BA83B" w14:textId="77777777" w:rsidR="00DF410E" w:rsidRDefault="00CE7F43">
      <w:pPr>
        <w:jc w:val="both"/>
      </w:pPr>
      <w:r>
        <w:rPr>
          <w:rStyle w:val="optioncarChar"/>
        </w:rPr>
        <w:t>Longueur nette</w:t>
      </w:r>
      <w:r>
        <w:t>    (par défaut)</w:t>
      </w:r>
      <w:r>
        <w:rPr>
          <w:rStyle w:val="optioncarChar"/>
        </w:rPr>
        <w:t> /  à la pièce / au volume</w:t>
      </w:r>
    </w:p>
    <w:p w14:paraId="0021A1F9" w14:textId="77777777" w:rsidR="00DF410E" w:rsidRDefault="00CE7F43">
      <w:pPr>
        <w:jc w:val="both"/>
      </w:pPr>
      <w:r>
        <w:rPr>
          <w:b/>
        </w:rPr>
        <w:t>(soit par défaut)</w:t>
      </w:r>
    </w:p>
    <w:p w14:paraId="254F8C53" w14:textId="77777777" w:rsidR="00DF410E" w:rsidRDefault="00CE7F43">
      <w:pPr>
        <w:jc w:val="both"/>
      </w:pPr>
      <w:r>
        <w:rPr>
          <w:rStyle w:val="soitChar"/>
          <w:u w:val="single"/>
        </w:rPr>
        <w:t>1. Longueur nette</w:t>
      </w:r>
      <w:r>
        <w:rPr>
          <w:rStyle w:val="soitChar"/>
        </w:rPr>
        <w:t>  : longueur du seuil entre les jours de la baie, de largeur et d'épaisseur identiques</w:t>
      </w:r>
    </w:p>
    <w:p w14:paraId="77C70ED6" w14:textId="77777777" w:rsidR="00DF410E" w:rsidRDefault="00CE7F43">
      <w:pPr>
        <w:jc w:val="both"/>
      </w:pPr>
      <w:r>
        <w:rPr>
          <w:b/>
        </w:rPr>
        <w:t>(soit)</w:t>
      </w:r>
    </w:p>
    <w:p w14:paraId="2A91294B" w14:textId="77777777" w:rsidR="00DF410E" w:rsidRDefault="00CE7F43">
      <w:pPr>
        <w:jc w:val="both"/>
      </w:pPr>
      <w:r>
        <w:rPr>
          <w:rStyle w:val="soitChar"/>
        </w:rPr>
        <w:t>2. </w:t>
      </w:r>
      <w:r>
        <w:rPr>
          <w:rStyle w:val="soitChar"/>
          <w:u w:val="single"/>
        </w:rPr>
        <w:t>A la pièce</w:t>
      </w:r>
      <w:r>
        <w:rPr>
          <w:rStyle w:val="soitChar"/>
        </w:rPr>
        <w:t> : de dimensions identiques</w:t>
      </w:r>
    </w:p>
    <w:p w14:paraId="1DE9FE56" w14:textId="77777777" w:rsidR="00DF410E" w:rsidRDefault="00CE7F43">
      <w:pPr>
        <w:jc w:val="both"/>
      </w:pPr>
      <w:r>
        <w:rPr>
          <w:b/>
        </w:rPr>
        <w:t>(soit)</w:t>
      </w:r>
    </w:p>
    <w:p w14:paraId="34CEE5C9" w14:textId="77777777" w:rsidR="00DF410E" w:rsidRDefault="00CE7F43">
      <w:pPr>
        <w:jc w:val="both"/>
      </w:pPr>
      <w:r>
        <w:rPr>
          <w:rStyle w:val="soitChar"/>
        </w:rPr>
        <w:t>3. </w:t>
      </w:r>
      <w:r>
        <w:rPr>
          <w:rStyle w:val="soitChar"/>
          <w:u w:val="single"/>
        </w:rPr>
        <w:t>Au volume</w:t>
      </w:r>
      <w:r>
        <w:rPr>
          <w:rStyle w:val="soitChar"/>
        </w:rPr>
        <w:t> : prendre le volume du plus petit parallélépipède rectangle qui circonscrit la pierre; le volume réel, quelle qu'en soit la dimension; les pierres de dimensions inférieures à 10 dm3 sont comptées à la pièce.</w:t>
      </w:r>
    </w:p>
    <w:p w14:paraId="005220DF" w14:textId="77777777" w:rsidR="00DF410E" w:rsidRDefault="00CE7F43">
      <w:pPr>
        <w:pStyle w:val="pheading"/>
      </w:pPr>
      <w:r>
        <w:t>- nature du marché:</w:t>
      </w:r>
    </w:p>
    <w:p w14:paraId="69C3BE1C" w14:textId="77777777" w:rsidR="00DF410E" w:rsidRDefault="00CE7F43">
      <w:r>
        <w:t>QF</w:t>
      </w:r>
    </w:p>
    <w:p w14:paraId="156133BC" w14:textId="77777777" w:rsidR="00DF410E" w:rsidRDefault="00CE7F43">
      <w:pPr>
        <w:pStyle w:val="Author-eSectionHeading6"/>
      </w:pPr>
      <w:bookmarkStart w:id="304" w:name="_Toc178837528"/>
      <w:r>
        <w:t>21.36.1b Seuils en éléments préfabriqués en béton CCTB 01.11</w:t>
      </w:r>
      <w:bookmarkEnd w:id="304"/>
    </w:p>
    <w:p w14:paraId="4D0A62F3" w14:textId="77777777" w:rsidR="00DF410E" w:rsidRDefault="00CE7F43">
      <w:pPr>
        <w:pStyle w:val="pheading"/>
      </w:pPr>
      <w:r>
        <w:t>MATÉRIAUX</w:t>
      </w:r>
    </w:p>
    <w:p w14:paraId="2282F233" w14:textId="77777777" w:rsidR="00DF410E" w:rsidRDefault="00CE7F43">
      <w:pPr>
        <w:pStyle w:val="pheading"/>
      </w:pPr>
      <w:r>
        <w:t>- Caractéristiques générales</w:t>
      </w:r>
    </w:p>
    <w:p w14:paraId="149253EA" w14:textId="77777777" w:rsidR="00DF410E" w:rsidRDefault="00CE7F43">
      <w:r>
        <w:t xml:space="preserve">Il s'agit des seuils préfabriqués en béton, selon le chapitre </w:t>
      </w:r>
      <w:hyperlink w:anchor="87" w:history="1">
        <w:r>
          <w:t>22 Superstructures en béton</w:t>
        </w:r>
      </w:hyperlink>
      <w:r>
        <w:t>.</w:t>
      </w:r>
    </w:p>
    <w:p w14:paraId="4CA9F320" w14:textId="77777777" w:rsidR="00DF410E" w:rsidRDefault="00CE7F43">
      <w:r>
        <w:rPr>
          <w:u w:val="single"/>
        </w:rPr>
        <w:t>Spécifications</w:t>
      </w:r>
    </w:p>
    <w:p w14:paraId="2EE0F887" w14:textId="77777777" w:rsidR="00DF410E" w:rsidRDefault="00CE7F43">
      <w:r>
        <w:t>Qualité du béton selon la [NBN B 15-001]:</w:t>
      </w:r>
    </w:p>
    <w:p w14:paraId="07AB2E16" w14:textId="77777777" w:rsidR="00DF410E" w:rsidRDefault="00CE7F43">
      <w:r>
        <w:t xml:space="preserve">Classe de résistance minimale : </w:t>
      </w:r>
      <w:r>
        <w:rPr>
          <w:rStyle w:val="optioncarChar"/>
        </w:rPr>
        <w:t>C25/30 / C30/37</w:t>
      </w:r>
      <w:r>
        <w:t xml:space="preserve"> (par défaut)</w:t>
      </w:r>
    </w:p>
    <w:p w14:paraId="4D13A9B4" w14:textId="77777777" w:rsidR="00DF410E" w:rsidRDefault="00CE7F43">
      <w:r>
        <w:t xml:space="preserve">Classe d'environnement minimale : </w:t>
      </w:r>
      <w:r>
        <w:rPr>
          <w:rStyle w:val="optioncarChar"/>
        </w:rPr>
        <w:t>EE1 / EE3</w:t>
      </w:r>
      <w:r>
        <w:t xml:space="preserve"> (par défaut)</w:t>
      </w:r>
    </w:p>
    <w:p w14:paraId="06624293" w14:textId="77777777" w:rsidR="00DF410E" w:rsidRDefault="00CE7F43">
      <w:r>
        <w:t xml:space="preserve">Armatures : </w:t>
      </w:r>
      <w:r>
        <w:rPr>
          <w:rStyle w:val="optioncarChar"/>
        </w:rPr>
        <w:t>***</w:t>
      </w:r>
    </w:p>
    <w:p w14:paraId="02A0AF43" w14:textId="77777777" w:rsidR="00DF410E" w:rsidRDefault="00CE7F43">
      <w:r>
        <w:t>Angles :</w:t>
      </w:r>
      <w:r>
        <w:rPr>
          <w:rStyle w:val="optioncarChar"/>
        </w:rPr>
        <w:t xml:space="preserve"> cassés </w:t>
      </w:r>
      <w:r>
        <w:t>(par défaut)</w:t>
      </w:r>
      <w:r>
        <w:rPr>
          <w:rStyle w:val="optioncarChar"/>
        </w:rPr>
        <w:t xml:space="preserve"> / arrondis</w:t>
      </w:r>
      <w:r>
        <w:t>.</w:t>
      </w:r>
    </w:p>
    <w:p w14:paraId="6970571B" w14:textId="77777777" w:rsidR="00DF410E" w:rsidRDefault="00CE7F43">
      <w:pPr>
        <w:pStyle w:val="pheading"/>
      </w:pPr>
      <w:r>
        <w:t>- Finitions</w:t>
      </w:r>
    </w:p>
    <w:p w14:paraId="15CAA8BD" w14:textId="77777777" w:rsidR="00DF410E" w:rsidRDefault="00CE7F43">
      <w:r>
        <w:t xml:space="preserve">Surface : </w:t>
      </w:r>
      <w:r>
        <w:rPr>
          <w:rStyle w:val="optioncarChar"/>
        </w:rPr>
        <w:t xml:space="preserve">coffrage brute et lisse </w:t>
      </w:r>
      <w:r>
        <w:t>(par défaut) </w:t>
      </w:r>
      <w:r>
        <w:rPr>
          <w:rStyle w:val="optioncarChar"/>
        </w:rPr>
        <w:t>/ brute et finement texturée / brute et grossièrement texturée / brute à relief (ou structurée).</w:t>
      </w:r>
    </w:p>
    <w:p w14:paraId="1AB823CB" w14:textId="77777777" w:rsidR="00DF410E" w:rsidRDefault="00CE7F43">
      <w:pPr>
        <w:pStyle w:val="pheading"/>
      </w:pPr>
      <w:r>
        <w:t>EXÉCUTION / MISE EN ŒUVRE</w:t>
      </w:r>
    </w:p>
    <w:p w14:paraId="2541E103" w14:textId="77777777" w:rsidR="00DF410E" w:rsidRDefault="00CE7F43">
      <w:pPr>
        <w:pStyle w:val="pheading"/>
      </w:pPr>
      <w:r>
        <w:t>- Prescriptions générales</w:t>
      </w:r>
    </w:p>
    <w:p w14:paraId="6B6207C1" w14:textId="77777777" w:rsidR="00DF410E" w:rsidRDefault="00CE7F43">
      <w:r>
        <w:t xml:space="preserve">La face supérieure du seuil est en légère pente. La face avant : </w:t>
      </w:r>
      <w:r>
        <w:rPr>
          <w:rStyle w:val="optioncarChar"/>
        </w:rPr>
        <w:t>coïncide avec les briques de parement / déborde de 20 /  déborde de 30 </w:t>
      </w:r>
      <w:r>
        <w:t xml:space="preserve">(par défaut) </w:t>
      </w:r>
      <w:r>
        <w:rPr>
          <w:rStyle w:val="optioncarChar"/>
        </w:rPr>
        <w:t xml:space="preserve">/ déborde de *** </w:t>
      </w:r>
      <w:r>
        <w:t>mm. L'axe de la feuille de porte coïncide avec le joint entre le seuil et le revêtement de sol prévu.</w:t>
      </w:r>
    </w:p>
    <w:p w14:paraId="2AD064E3" w14:textId="77777777" w:rsidR="00DF410E" w:rsidRDefault="00CE7F43">
      <w:pPr>
        <w:pStyle w:val="pheading"/>
      </w:pPr>
      <w:r>
        <w:t>- Notes d’exécution complémentaires</w:t>
      </w:r>
    </w:p>
    <w:p w14:paraId="17BB0FFD" w14:textId="77777777" w:rsidR="00DF410E" w:rsidRDefault="00CE7F43">
      <w:r>
        <w:t>La battée métallique sous la porte est solidement scellée dans le béton.</w:t>
      </w:r>
    </w:p>
    <w:p w14:paraId="7E61273C" w14:textId="77777777" w:rsidR="00DF410E" w:rsidRDefault="00CE7F43">
      <w:pPr>
        <w:pStyle w:val="pheading"/>
      </w:pPr>
      <w:r>
        <w:t>MESURAGE</w:t>
      </w:r>
    </w:p>
    <w:p w14:paraId="702B3031" w14:textId="77777777" w:rsidR="00DF410E" w:rsidRDefault="00CE7F43">
      <w:pPr>
        <w:pStyle w:val="pheading"/>
      </w:pPr>
      <w:r>
        <w:t>- unité de mesure:</w:t>
      </w:r>
    </w:p>
    <w:p w14:paraId="43E4AA55" w14:textId="77777777" w:rsidR="00DF410E" w:rsidRDefault="00CE7F43">
      <w:r>
        <w:rPr>
          <w:rStyle w:val="optioncarChar"/>
        </w:rPr>
        <w:t>m </w:t>
      </w:r>
      <w:r>
        <w:rPr>
          <w:rStyle w:val="optioncarChar"/>
          <w:color w:val="000000"/>
        </w:rPr>
        <w:t>(par défaut)</w:t>
      </w:r>
      <w:r>
        <w:rPr>
          <w:rStyle w:val="optioncarChar"/>
        </w:rPr>
        <w:t> / pc /m³</w:t>
      </w:r>
    </w:p>
    <w:p w14:paraId="36675353" w14:textId="77777777" w:rsidR="00DF410E" w:rsidRDefault="00CE7F43">
      <w:pPr>
        <w:spacing w:after="0" w:line="0" w:lineRule="atLeast"/>
      </w:pPr>
      <w:r>
        <w:rPr>
          <w:b/>
          <w:color w:val="000000"/>
        </w:rPr>
        <w:t>(soit par défaut)</w:t>
      </w:r>
    </w:p>
    <w:p w14:paraId="34F465D4" w14:textId="77777777" w:rsidR="00DF410E" w:rsidRDefault="00CE7F43">
      <w:pPr>
        <w:spacing w:after="0" w:line="0" w:lineRule="atLeast"/>
      </w:pPr>
      <w:r>
        <w:rPr>
          <w:rStyle w:val="soitChar"/>
        </w:rPr>
        <w:t>1. m</w:t>
      </w:r>
    </w:p>
    <w:p w14:paraId="1EF34538" w14:textId="77777777" w:rsidR="00DF410E" w:rsidRDefault="00CE7F43">
      <w:pPr>
        <w:spacing w:after="0" w:line="0" w:lineRule="atLeast"/>
      </w:pPr>
      <w:r>
        <w:rPr>
          <w:b/>
          <w:color w:val="000000"/>
        </w:rPr>
        <w:t>(soit)</w:t>
      </w:r>
    </w:p>
    <w:p w14:paraId="75B32897" w14:textId="77777777" w:rsidR="00DF410E" w:rsidRDefault="00CE7F43">
      <w:pPr>
        <w:spacing w:after="0" w:line="0" w:lineRule="atLeast"/>
      </w:pPr>
      <w:r>
        <w:rPr>
          <w:rStyle w:val="soitChar"/>
        </w:rPr>
        <w:t>2. pc</w:t>
      </w:r>
    </w:p>
    <w:p w14:paraId="75293259" w14:textId="77777777" w:rsidR="00DF410E" w:rsidRDefault="00CE7F43">
      <w:pPr>
        <w:spacing w:after="0" w:line="0" w:lineRule="atLeast"/>
      </w:pPr>
      <w:r>
        <w:rPr>
          <w:b/>
          <w:color w:val="000000"/>
        </w:rPr>
        <w:t>(soit)</w:t>
      </w:r>
    </w:p>
    <w:p w14:paraId="487D6629" w14:textId="77777777" w:rsidR="00DF410E" w:rsidRDefault="00CE7F43">
      <w:pPr>
        <w:spacing w:after="0" w:line="0" w:lineRule="atLeast"/>
      </w:pPr>
      <w:r>
        <w:rPr>
          <w:rStyle w:val="soitChar"/>
        </w:rPr>
        <w:t>2. m³</w:t>
      </w:r>
    </w:p>
    <w:p w14:paraId="0DC5070B" w14:textId="77777777" w:rsidR="00DF410E" w:rsidRDefault="00CE7F43">
      <w:pPr>
        <w:pStyle w:val="pheading"/>
      </w:pPr>
      <w:r>
        <w:t>- code de mesurage:</w:t>
      </w:r>
    </w:p>
    <w:p w14:paraId="5AABE3CC" w14:textId="77777777" w:rsidR="00DF410E" w:rsidRDefault="00CE7F43">
      <w:r>
        <w:t>Distinction faite suivant le type et nature du seuil (neuf et/ou de réemploi). S’il s’agit de réemploi, distinguer : avec ou sans fourniture.</w:t>
      </w:r>
    </w:p>
    <w:p w14:paraId="0F4EE8CC" w14:textId="77777777" w:rsidR="00DF410E" w:rsidRDefault="00CE7F43">
      <w:pPr>
        <w:jc w:val="both"/>
      </w:pPr>
      <w:r>
        <w:rPr>
          <w:rStyle w:val="optioncarChar"/>
        </w:rPr>
        <w:t>Longueur nette</w:t>
      </w:r>
      <w:r>
        <w:t> (par défaut)</w:t>
      </w:r>
      <w:r>
        <w:rPr>
          <w:rStyle w:val="optioncarChar"/>
        </w:rPr>
        <w:t> /  à la pièce / au volume</w:t>
      </w:r>
    </w:p>
    <w:p w14:paraId="61458BDC" w14:textId="77777777" w:rsidR="00DF410E" w:rsidRDefault="00CE7F43">
      <w:pPr>
        <w:jc w:val="both"/>
      </w:pPr>
      <w:r>
        <w:rPr>
          <w:b/>
        </w:rPr>
        <w:t>(soit par défaut)</w:t>
      </w:r>
    </w:p>
    <w:p w14:paraId="44136823" w14:textId="77777777" w:rsidR="00DF410E" w:rsidRDefault="00CE7F43">
      <w:pPr>
        <w:jc w:val="both"/>
      </w:pPr>
      <w:r>
        <w:rPr>
          <w:rStyle w:val="soitChar"/>
          <w:u w:val="single"/>
        </w:rPr>
        <w:t>1. Longueur nette</w:t>
      </w:r>
      <w:r>
        <w:rPr>
          <w:rStyle w:val="soitChar"/>
        </w:rPr>
        <w:t xml:space="preserve"> : longueur du seuil entre les jours de la baie, de dimensions et d'épaisseur identiques</w:t>
      </w:r>
    </w:p>
    <w:p w14:paraId="378EF22A" w14:textId="77777777" w:rsidR="00DF410E" w:rsidRDefault="00CE7F43">
      <w:pPr>
        <w:jc w:val="both"/>
      </w:pPr>
      <w:r>
        <w:rPr>
          <w:b/>
        </w:rPr>
        <w:t>(soit)</w:t>
      </w:r>
    </w:p>
    <w:p w14:paraId="01ECFADF" w14:textId="77777777" w:rsidR="00DF410E" w:rsidRDefault="00CE7F43">
      <w:pPr>
        <w:jc w:val="both"/>
      </w:pPr>
      <w:r>
        <w:rPr>
          <w:rStyle w:val="soitChar"/>
        </w:rPr>
        <w:t>2. </w:t>
      </w:r>
      <w:r>
        <w:rPr>
          <w:rStyle w:val="soitChar"/>
          <w:u w:val="single"/>
        </w:rPr>
        <w:t xml:space="preserve">A la pièce : </w:t>
      </w:r>
      <w:r>
        <w:rPr>
          <w:rStyle w:val="soitChar"/>
        </w:rPr>
        <w:t>de dimensions identiques</w:t>
      </w:r>
    </w:p>
    <w:p w14:paraId="7B60E6AB" w14:textId="77777777" w:rsidR="00DF410E" w:rsidRDefault="00CE7F43">
      <w:pPr>
        <w:jc w:val="both"/>
      </w:pPr>
      <w:r>
        <w:rPr>
          <w:b/>
        </w:rPr>
        <w:t>(soit)</w:t>
      </w:r>
    </w:p>
    <w:p w14:paraId="4F7E2E07" w14:textId="77777777" w:rsidR="00DF410E" w:rsidRDefault="00CE7F43">
      <w:pPr>
        <w:jc w:val="both"/>
      </w:pPr>
      <w:r>
        <w:rPr>
          <w:rStyle w:val="soitChar"/>
        </w:rPr>
        <w:t>3. </w:t>
      </w:r>
      <w:r>
        <w:rPr>
          <w:rStyle w:val="soitChar"/>
          <w:u w:val="single"/>
        </w:rPr>
        <w:t>Au volume</w:t>
      </w:r>
      <w:r>
        <w:rPr>
          <w:rStyle w:val="soitChar"/>
        </w:rPr>
        <w:t> : prendre le volume du plus petit parallélépipède rectangle qui circonscrit le seuil; le volume réel, quelle qu'en soit la dimension; les pierres de dimensions inférieures à 10 dm3 sont comptées à la pièce.</w:t>
      </w:r>
    </w:p>
    <w:p w14:paraId="36B88F58" w14:textId="77777777" w:rsidR="00DF410E" w:rsidRDefault="00CE7F43">
      <w:pPr>
        <w:pStyle w:val="pheading"/>
      </w:pPr>
      <w:r>
        <w:t>- nature du marché:</w:t>
      </w:r>
    </w:p>
    <w:p w14:paraId="616003C6" w14:textId="77777777" w:rsidR="00DF410E" w:rsidRDefault="00CE7F43">
      <w:r>
        <w:t>QF</w:t>
      </w:r>
    </w:p>
    <w:p w14:paraId="3B7DB6D8" w14:textId="77777777" w:rsidR="00DF410E" w:rsidRDefault="00CE7F43">
      <w:pPr>
        <w:pStyle w:val="Author-eSectionHeading6"/>
      </w:pPr>
      <w:bookmarkStart w:id="305" w:name="_Toc178837529"/>
      <w:r>
        <w:t>21.36.1c Seuils en fibres-ciment CCTB 01.11</w:t>
      </w:r>
      <w:bookmarkEnd w:id="305"/>
    </w:p>
    <w:p w14:paraId="60DC563B" w14:textId="77777777" w:rsidR="00DF410E" w:rsidRDefault="00CE7F43">
      <w:pPr>
        <w:pStyle w:val="pheading"/>
      </w:pPr>
      <w:r>
        <w:t>MATÉRIAUX</w:t>
      </w:r>
    </w:p>
    <w:p w14:paraId="7FE5067F" w14:textId="77777777" w:rsidR="00DF410E" w:rsidRDefault="00CE7F43">
      <w:pPr>
        <w:pStyle w:val="pheading"/>
      </w:pPr>
      <w:r>
        <w:t>- Caractéristiques générales</w:t>
      </w:r>
    </w:p>
    <w:p w14:paraId="10373A04" w14:textId="77777777" w:rsidR="00DF410E" w:rsidRDefault="00CE7F43">
      <w:r>
        <w:t>Les éléments préfabriqués creux sont fabriqués à l'aide d'un mélange homogène, coloré dans la masse, de fibres exemptes d'amiante, de ciment, de silicates et d'adjuvants minéraux. Ils sont extrudés sous haute pression et autoclavés. La partie inférieure des éléments est pourvue d'encoches pour améliorer l'adhérence du mortier et d'un rejet d'eau, qui se situe à au moins 30 mm de la face de parement. Du côté du châssis, le bord supérieur est terminé par un relevé adéquat qui permet le raccord soigné avec la menuiserie extérieure. Le modèle est soumis pour approbation à l'auteur de projet.</w:t>
      </w:r>
    </w:p>
    <w:p w14:paraId="31B952F1" w14:textId="77777777" w:rsidR="00DF410E" w:rsidRDefault="00CE7F43">
      <w:r>
        <w:rPr>
          <w:b/>
          <w:u w:val="single"/>
        </w:rPr>
        <w:t>Spécifications</w:t>
      </w:r>
    </w:p>
    <w:p w14:paraId="2DAFB6D4" w14:textId="77777777" w:rsidR="00DF410E" w:rsidRDefault="00CE7F43">
      <w:r>
        <w:t xml:space="preserve">Couleur en aspect : </w:t>
      </w:r>
      <w:r>
        <w:rPr>
          <w:rStyle w:val="optioncarChar"/>
        </w:rPr>
        <w:t xml:space="preserve">gris clair </w:t>
      </w:r>
      <w:r>
        <w:t>(par défaut) </w:t>
      </w:r>
      <w:r>
        <w:rPr>
          <w:rStyle w:val="optioncarChar"/>
        </w:rPr>
        <w:t>/ gris foncé / ***</w:t>
      </w:r>
      <w:r>
        <w:t xml:space="preserve"> (coloré dans la masse )</w:t>
      </w:r>
    </w:p>
    <w:p w14:paraId="49059D3C" w14:textId="77777777" w:rsidR="00DF410E" w:rsidRDefault="00CE7F43">
      <w:r>
        <w:t xml:space="preserve">Propriétés physiques : voir l'article </w:t>
      </w:r>
      <w:hyperlink w:anchor="406" w:history="1">
        <w:r>
          <w:t>21.36.1 Seuils</w:t>
        </w:r>
      </w:hyperlink>
    </w:p>
    <w:p w14:paraId="776DE5CE" w14:textId="77777777" w:rsidR="00DF410E" w:rsidRDefault="00CE7F43">
      <w:r>
        <w:t xml:space="preserve">Largeur : </w:t>
      </w:r>
      <w:r>
        <w:rPr>
          <w:rStyle w:val="optioncarChar"/>
        </w:rPr>
        <w:t>165</w:t>
      </w:r>
      <w:r>
        <w:t> (par défaut)</w:t>
      </w:r>
      <w:r>
        <w:rPr>
          <w:rStyle w:val="optioncarChar"/>
        </w:rPr>
        <w:t xml:space="preserve"> / 220 / 250 / 280 / ***</w:t>
      </w:r>
      <w:r>
        <w:t xml:space="preserve"> mm. Pour la détermination de la largeur, on tient compte d'un débordement de </w:t>
      </w:r>
      <w:r>
        <w:rPr>
          <w:rStyle w:val="optioncarChar"/>
        </w:rPr>
        <w:t>4 / ***</w:t>
      </w:r>
      <w:r>
        <w:t xml:space="preserve"> cm.</w:t>
      </w:r>
    </w:p>
    <w:p w14:paraId="4E15F5F6" w14:textId="77777777" w:rsidR="00DF410E" w:rsidRDefault="00CE7F43">
      <w:r>
        <w:t xml:space="preserve">Longueur : d'un seul tenant jusqu'à maximum </w:t>
      </w:r>
      <w:r>
        <w:rPr>
          <w:rStyle w:val="optioncarChar"/>
        </w:rPr>
        <w:t>150 </w:t>
      </w:r>
      <w:r>
        <w:t>(par défaut)</w:t>
      </w:r>
      <w:r>
        <w:rPr>
          <w:rStyle w:val="optioncarChar"/>
        </w:rPr>
        <w:t xml:space="preserve"> / *** cm </w:t>
      </w:r>
      <w:r>
        <w:t>(lorsque les extrémités sont libres),</w:t>
      </w:r>
      <w:r>
        <w:rPr>
          <w:rStyle w:val="optioncarChar"/>
        </w:rPr>
        <w:t xml:space="preserve"> 300 </w:t>
      </w:r>
      <w:r>
        <w:t>(par défaut) </w:t>
      </w:r>
      <w:r>
        <w:rPr>
          <w:rStyle w:val="optioncarChar"/>
        </w:rPr>
        <w:t xml:space="preserve">/ *** cm </w:t>
      </w:r>
      <w:r>
        <w:t>(lorsque les extrémités sont insérées dans le parement)</w:t>
      </w:r>
      <w:r>
        <w:rPr>
          <w:rStyle w:val="optioncarChar"/>
        </w:rPr>
        <w:t>.</w:t>
      </w:r>
      <w:r>
        <w:t xml:space="preserve"> Le nombre de joints est limité, la division du seuil est soumise à l'approbation de l'auteur de projet.</w:t>
      </w:r>
    </w:p>
    <w:p w14:paraId="3B89CE63" w14:textId="77777777" w:rsidR="00DF410E" w:rsidRDefault="00CE7F43">
      <w:r>
        <w:t xml:space="preserve">La largeur de l'insertion de part et d'autre dans la maçonnerie est de </w:t>
      </w:r>
      <w:r>
        <w:rPr>
          <w:rStyle w:val="optioncarChar"/>
        </w:rPr>
        <w:t>une demi-brique </w:t>
      </w:r>
      <w:r>
        <w:t>(par défaut)</w:t>
      </w:r>
      <w:r>
        <w:rPr>
          <w:rStyle w:val="optioncarChar"/>
        </w:rPr>
        <w:t xml:space="preserve"> / ***</w:t>
      </w:r>
    </w:p>
    <w:p w14:paraId="30BF74A6" w14:textId="77777777" w:rsidR="00DF410E" w:rsidRDefault="00CE7F43">
      <w:pPr>
        <w:pStyle w:val="pheading"/>
      </w:pPr>
      <w:r>
        <w:t>- Finitions</w:t>
      </w:r>
    </w:p>
    <w:p w14:paraId="3BEABF20" w14:textId="77777777" w:rsidR="00DF410E" w:rsidRDefault="00CE7F43">
      <w:r>
        <w:t xml:space="preserve">Finition : face supérieure </w:t>
      </w:r>
      <w:r>
        <w:rPr>
          <w:rStyle w:val="optioncarChar"/>
        </w:rPr>
        <w:t>unie </w:t>
      </w:r>
      <w:r>
        <w:t>(par défaut)</w:t>
      </w:r>
      <w:r>
        <w:rPr>
          <w:rStyle w:val="optioncarChar"/>
        </w:rPr>
        <w:t xml:space="preserve"> / brute</w:t>
      </w:r>
    </w:p>
    <w:p w14:paraId="37B2F8A8" w14:textId="77777777" w:rsidR="00DF410E" w:rsidRDefault="00CE7F43">
      <w:pPr>
        <w:pStyle w:val="pheading"/>
      </w:pPr>
      <w:r>
        <w:t>- Prescriptions complémentaires</w:t>
      </w:r>
    </w:p>
    <w:p w14:paraId="67FA0A30" w14:textId="77777777" w:rsidR="00DF410E" w:rsidRDefault="00CE7F43">
      <w:r>
        <w:t>Les faces vues sont parachevées à l'aide d'un coating acrylique pigmenté.</w:t>
      </w:r>
    </w:p>
    <w:p w14:paraId="7E65C660" w14:textId="77777777" w:rsidR="00DF410E" w:rsidRDefault="00CE7F43">
      <w:pPr>
        <w:pStyle w:val="pheading"/>
      </w:pPr>
      <w:r>
        <w:t>EXÉCUTION / MISE EN ŒUVRE</w:t>
      </w:r>
    </w:p>
    <w:p w14:paraId="21784325" w14:textId="77777777" w:rsidR="00DF410E" w:rsidRDefault="00CE7F43">
      <w:pPr>
        <w:pStyle w:val="pheading"/>
      </w:pPr>
      <w:r>
        <w:t>- Prescriptions générales</w:t>
      </w:r>
    </w:p>
    <w:p w14:paraId="1DB49612" w14:textId="77777777" w:rsidR="00DF410E" w:rsidRDefault="00CE7F43">
      <w:r>
        <w:t>Les éléments sont posés à bain plein de mortier, d'une épaisseur d'environ 15 mm; le mortier plastique est composé à base d'une émulsion synthétique. Les angles des éléments sont sciés en onglet ou constitués de pièces spéciales.</w:t>
      </w:r>
    </w:p>
    <w:p w14:paraId="33EDE9C9" w14:textId="77777777" w:rsidR="00DF410E" w:rsidRDefault="00CE7F43">
      <w:r>
        <w:t xml:space="preserve">A hauteur des joints intermédiaires, on intercale une étanchéité en </w:t>
      </w:r>
      <w:r>
        <w:rPr>
          <w:rStyle w:val="optioncarChar"/>
        </w:rPr>
        <w:t>membrane de PVC armée </w:t>
      </w:r>
      <w:r>
        <w:t>(par défaut)</w:t>
      </w:r>
      <w:r>
        <w:rPr>
          <w:rStyle w:val="optioncarChar"/>
        </w:rPr>
        <w:t xml:space="preserve"> / voile de verre bitumé / ***</w:t>
      </w:r>
      <w:r>
        <w:t> d'au moins 10 cm de largeur, qui déborde de 1 cm de part et d'autre du mur. La largeur des joints est de 5 à 10 mm.</w:t>
      </w:r>
    </w:p>
    <w:p w14:paraId="492E952B" w14:textId="77777777" w:rsidR="00DF410E" w:rsidRDefault="00CE7F43">
      <w:r>
        <w:t>Les joints sont rembourrés avec un mastic durablement élastique à base de polysulfide selon la [NBN S 23-002], soit avec un mélange de rejointoiement recommandé par le fabricant, la couleur est à déterminer par l'auteur de projet.</w:t>
      </w:r>
    </w:p>
    <w:p w14:paraId="1B1D6199" w14:textId="77777777" w:rsidR="00DF410E" w:rsidRDefault="00CE7F43">
      <w:pPr>
        <w:pStyle w:val="pheading"/>
      </w:pPr>
      <w:r>
        <w:t>- Notes d’exécution complémentaires</w:t>
      </w:r>
    </w:p>
    <w:p w14:paraId="5135EF4A" w14:textId="77777777" w:rsidR="00DF410E" w:rsidRDefault="00CE7F43">
      <w:r>
        <w:t>Dans les joints entre les éléments, on insère une bande de polystyrène.</w:t>
      </w:r>
    </w:p>
    <w:p w14:paraId="1D29D961" w14:textId="77777777" w:rsidR="00DF410E" w:rsidRDefault="00CE7F43">
      <w:r>
        <w:t>Les extrémités creuses apparentes sont rembourrées à l'aide d'un mortier de ciment sans retrait, à adhérence améliorée et coloré à l'aide d'un coating acrylique.</w:t>
      </w:r>
    </w:p>
    <w:p w14:paraId="69851C80" w14:textId="77777777" w:rsidR="00DF410E" w:rsidRDefault="00CE7F43">
      <w:pPr>
        <w:pStyle w:val="pheading"/>
      </w:pPr>
      <w:r>
        <w:t>MESURAGE</w:t>
      </w:r>
    </w:p>
    <w:p w14:paraId="32A35888" w14:textId="77777777" w:rsidR="00DF410E" w:rsidRDefault="00CE7F43">
      <w:pPr>
        <w:pStyle w:val="pheading"/>
      </w:pPr>
      <w:r>
        <w:t>- unité de mesure:</w:t>
      </w:r>
    </w:p>
    <w:p w14:paraId="3F8820D0" w14:textId="77777777" w:rsidR="00DF410E" w:rsidRDefault="00CE7F43">
      <w:r>
        <w:rPr>
          <w:rStyle w:val="optioncarChar"/>
        </w:rPr>
        <w:t>m </w:t>
      </w:r>
      <w:r>
        <w:t>(par défaut) </w:t>
      </w:r>
      <w:r>
        <w:rPr>
          <w:rStyle w:val="optioncarChar"/>
        </w:rPr>
        <w:t>/ pc / m³ </w:t>
      </w:r>
    </w:p>
    <w:p w14:paraId="645FA95F" w14:textId="77777777" w:rsidR="00DF410E" w:rsidRDefault="00CE7F43">
      <w:r>
        <w:rPr>
          <w:b/>
        </w:rPr>
        <w:t>(soit par défaut)</w:t>
      </w:r>
    </w:p>
    <w:p w14:paraId="44F18B3C" w14:textId="77777777" w:rsidR="00DF410E" w:rsidRDefault="00CE7F43">
      <w:r>
        <w:rPr>
          <w:rStyle w:val="soitChar"/>
        </w:rPr>
        <w:t>1. m</w:t>
      </w:r>
    </w:p>
    <w:p w14:paraId="017761F4" w14:textId="77777777" w:rsidR="00DF410E" w:rsidRDefault="00CE7F43">
      <w:r>
        <w:rPr>
          <w:b/>
        </w:rPr>
        <w:t>(soit)</w:t>
      </w:r>
    </w:p>
    <w:p w14:paraId="5BF5895B" w14:textId="77777777" w:rsidR="00DF410E" w:rsidRDefault="00CE7F43">
      <w:r>
        <w:rPr>
          <w:rStyle w:val="soitChar"/>
        </w:rPr>
        <w:t>2. pc</w:t>
      </w:r>
    </w:p>
    <w:p w14:paraId="75A35F58" w14:textId="77777777" w:rsidR="00DF410E" w:rsidRDefault="00CE7F43">
      <w:r>
        <w:rPr>
          <w:b/>
        </w:rPr>
        <w:t>(soit)</w:t>
      </w:r>
    </w:p>
    <w:p w14:paraId="178D9EDE" w14:textId="77777777" w:rsidR="00DF410E" w:rsidRDefault="00CE7F43">
      <w:r>
        <w:rPr>
          <w:rStyle w:val="soitChar"/>
        </w:rPr>
        <w:t>3. m³</w:t>
      </w:r>
    </w:p>
    <w:p w14:paraId="2F1473B4" w14:textId="77777777" w:rsidR="00DF410E" w:rsidRDefault="00CE7F43">
      <w:pPr>
        <w:pStyle w:val="pheading"/>
      </w:pPr>
      <w:r>
        <w:t>- code de mesurage:</w:t>
      </w:r>
    </w:p>
    <w:p w14:paraId="3EA79E0D" w14:textId="77777777" w:rsidR="00DF410E" w:rsidRDefault="00CE7F43">
      <w:r>
        <w:t>Distinction faite suivant le type et nature du seuil (neuf et/ou de réemploi). S’il s’agit de réemploi, distinguer : avec ou sans fourniture.</w:t>
      </w:r>
    </w:p>
    <w:p w14:paraId="3F673483" w14:textId="77777777" w:rsidR="00DF410E" w:rsidRDefault="00CE7F43">
      <w:pPr>
        <w:jc w:val="both"/>
      </w:pPr>
      <w:r>
        <w:rPr>
          <w:rStyle w:val="optioncarChar"/>
        </w:rPr>
        <w:t>Longueur nette</w:t>
      </w:r>
      <w:r>
        <w:t>    (par défaut)</w:t>
      </w:r>
      <w:r>
        <w:rPr>
          <w:rStyle w:val="optioncarChar"/>
        </w:rPr>
        <w:t> /  à la pièce / au volume</w:t>
      </w:r>
    </w:p>
    <w:p w14:paraId="75564C9E" w14:textId="77777777" w:rsidR="00DF410E" w:rsidRDefault="00CE7F43">
      <w:pPr>
        <w:jc w:val="both"/>
      </w:pPr>
      <w:r>
        <w:rPr>
          <w:b/>
        </w:rPr>
        <w:t>(soit par défaut)</w:t>
      </w:r>
    </w:p>
    <w:p w14:paraId="0AC65119" w14:textId="77777777" w:rsidR="00DF410E" w:rsidRDefault="00CE7F43">
      <w:pPr>
        <w:jc w:val="both"/>
      </w:pPr>
      <w:r>
        <w:rPr>
          <w:rStyle w:val="soitChar"/>
          <w:u w:val="single"/>
        </w:rPr>
        <w:t>1. Longueur nette</w:t>
      </w:r>
      <w:r>
        <w:rPr>
          <w:rStyle w:val="soitChar"/>
        </w:rPr>
        <w:t>  : longueur du seuil entre les jours de la baie, de largeur et d'épaisseur identiques</w:t>
      </w:r>
    </w:p>
    <w:p w14:paraId="7521DDC2" w14:textId="77777777" w:rsidR="00DF410E" w:rsidRDefault="00CE7F43">
      <w:pPr>
        <w:jc w:val="both"/>
      </w:pPr>
      <w:r>
        <w:rPr>
          <w:b/>
        </w:rPr>
        <w:t>(soit)</w:t>
      </w:r>
    </w:p>
    <w:p w14:paraId="2F4545BA" w14:textId="77777777" w:rsidR="00DF410E" w:rsidRDefault="00CE7F43">
      <w:pPr>
        <w:jc w:val="both"/>
      </w:pPr>
      <w:r>
        <w:rPr>
          <w:rStyle w:val="soitChar"/>
        </w:rPr>
        <w:t>2. </w:t>
      </w:r>
      <w:r>
        <w:rPr>
          <w:rStyle w:val="soitChar"/>
          <w:u w:val="single"/>
        </w:rPr>
        <w:t>A la pièce</w:t>
      </w:r>
      <w:r>
        <w:rPr>
          <w:rStyle w:val="soitChar"/>
        </w:rPr>
        <w:t xml:space="preserve"> : de dimensions identiques</w:t>
      </w:r>
    </w:p>
    <w:p w14:paraId="0F90B9EE" w14:textId="77777777" w:rsidR="00DF410E" w:rsidRDefault="00CE7F43">
      <w:pPr>
        <w:jc w:val="both"/>
      </w:pPr>
      <w:r>
        <w:rPr>
          <w:b/>
        </w:rPr>
        <w:t>(soit)</w:t>
      </w:r>
    </w:p>
    <w:p w14:paraId="3E398C45" w14:textId="77777777" w:rsidR="00DF410E" w:rsidRDefault="00CE7F43">
      <w:pPr>
        <w:jc w:val="both"/>
      </w:pPr>
      <w:r>
        <w:rPr>
          <w:rStyle w:val="soitChar"/>
        </w:rPr>
        <w:t>3. </w:t>
      </w:r>
      <w:r>
        <w:rPr>
          <w:rStyle w:val="soitChar"/>
          <w:u w:val="single"/>
        </w:rPr>
        <w:t>Au volume</w:t>
      </w:r>
      <w:r>
        <w:rPr>
          <w:rStyle w:val="soitChar"/>
        </w:rPr>
        <w:t> : prendre le volume du plus petit parallélépipède rectangle qui circonscrit la pierre; le volume réel, quelle qu'en soit la dimension; les pierres de dimensions inférieures à 10 dm3 sont comptées à la pièce.</w:t>
      </w:r>
    </w:p>
    <w:p w14:paraId="40C6FE5F" w14:textId="77777777" w:rsidR="00DF410E" w:rsidRDefault="00CE7F43">
      <w:pPr>
        <w:pStyle w:val="pheading"/>
      </w:pPr>
      <w:r>
        <w:t>- nature du marché:</w:t>
      </w:r>
    </w:p>
    <w:p w14:paraId="2D194B0B" w14:textId="77777777" w:rsidR="00DF410E" w:rsidRDefault="00CE7F43">
      <w:r>
        <w:t>QF</w:t>
      </w:r>
    </w:p>
    <w:p w14:paraId="3E60B83E" w14:textId="77777777" w:rsidR="00DF410E" w:rsidRDefault="00CE7F43">
      <w:pPr>
        <w:pStyle w:val="Author-eSectionHeading6"/>
      </w:pPr>
      <w:bookmarkStart w:id="306" w:name="_Toc178837530"/>
      <w:r>
        <w:t>21.36.1d Seuils en briques de parement CCTB 01.11</w:t>
      </w:r>
      <w:bookmarkEnd w:id="306"/>
    </w:p>
    <w:p w14:paraId="1F88F4CC" w14:textId="77777777" w:rsidR="00DF410E" w:rsidRDefault="00CE7F43">
      <w:pPr>
        <w:pStyle w:val="pheading"/>
      </w:pPr>
      <w:r>
        <w:t>MATÉRIAUX</w:t>
      </w:r>
    </w:p>
    <w:p w14:paraId="6423FA84" w14:textId="77777777" w:rsidR="00DF410E" w:rsidRDefault="00CE7F43">
      <w:pPr>
        <w:pStyle w:val="pheading"/>
      </w:pPr>
      <w:r>
        <w:t>- Caractéristiques générales</w:t>
      </w:r>
    </w:p>
    <w:p w14:paraId="534E93EF" w14:textId="77777777" w:rsidR="00DF410E" w:rsidRDefault="00CE7F43">
      <w:r>
        <w:t>Les briques de seuils présentent les mêmes caractéristiques que celles utilisées : </w:t>
      </w:r>
      <w:r>
        <w:rPr>
          <w:rStyle w:val="optioncarChar"/>
        </w:rPr>
        <w:t>pour le parement </w:t>
      </w:r>
      <w:r>
        <w:t>(par défaut)</w:t>
      </w:r>
      <w:r>
        <w:rPr>
          <w:rStyle w:val="optioncarChar"/>
        </w:rPr>
        <w:t> </w:t>
      </w:r>
      <w:r>
        <w:t xml:space="preserve">(voir article </w:t>
      </w:r>
      <w:hyperlink w:anchor="407" w:history="1">
        <w:r>
          <w:t>21.31 Maçonneries de parement en briques</w:t>
        </w:r>
      </w:hyperlink>
      <w:r>
        <w:t xml:space="preserve">) </w:t>
      </w:r>
      <w:r>
        <w:rPr>
          <w:rStyle w:val="optioncarChar"/>
        </w:rPr>
        <w:t>/ ***</w:t>
      </w:r>
    </w:p>
    <w:p w14:paraId="088E2CF1" w14:textId="77777777" w:rsidR="00DF410E" w:rsidRDefault="00CE7F43">
      <w:r>
        <w:t>La pose est effectuée avec le même mortier de maçonnerie que celui utilisé : </w:t>
      </w:r>
      <w:r>
        <w:rPr>
          <w:rStyle w:val="optioncarChar"/>
        </w:rPr>
        <w:t>pour le parement </w:t>
      </w:r>
      <w:r>
        <w:t>(par défaut)</w:t>
      </w:r>
      <w:r>
        <w:rPr>
          <w:rStyle w:val="optioncarChar"/>
        </w:rPr>
        <w:t xml:space="preserve"> / ***</w:t>
      </w:r>
    </w:p>
    <w:p w14:paraId="515EC95B" w14:textId="77777777" w:rsidR="00DF410E" w:rsidRDefault="00CE7F43">
      <w:r>
        <w:t>Le mortier de jointoiement est le même que celui utilisé pour : </w:t>
      </w:r>
      <w:r>
        <w:rPr>
          <w:rStyle w:val="optioncarChar"/>
        </w:rPr>
        <w:t>le jointoiement du parement </w:t>
      </w:r>
      <w:r>
        <w:t>(par défaut)</w:t>
      </w:r>
      <w:r>
        <w:rPr>
          <w:rStyle w:val="optioncarChar"/>
        </w:rPr>
        <w:t xml:space="preserve"> / ***</w:t>
      </w:r>
    </w:p>
    <w:p w14:paraId="3C5F7D8D" w14:textId="77777777" w:rsidR="00DF410E" w:rsidRDefault="00CE7F43">
      <w:pPr>
        <w:pStyle w:val="pheading"/>
      </w:pPr>
      <w:r>
        <w:t>EXÉCUTION / MISE EN ŒUVRE</w:t>
      </w:r>
    </w:p>
    <w:p w14:paraId="36606DBA" w14:textId="77777777" w:rsidR="00DF410E" w:rsidRDefault="00CE7F43">
      <w:pPr>
        <w:pStyle w:val="pheading"/>
      </w:pPr>
      <w:r>
        <w:t>- Prescriptions générales</w:t>
      </w:r>
    </w:p>
    <w:p w14:paraId="2C5E5ACE" w14:textId="77777777" w:rsidR="00DF410E" w:rsidRDefault="00CE7F43">
      <w:r>
        <w:t xml:space="preserve">Les seuils sont placés horizontalement et débordent d'au moins </w:t>
      </w:r>
      <w:r>
        <w:rPr>
          <w:rStyle w:val="optioncarChar"/>
        </w:rPr>
        <w:t>5 </w:t>
      </w:r>
      <w:r>
        <w:t>(par défaut)</w:t>
      </w:r>
      <w:r>
        <w:rPr>
          <w:rStyle w:val="optioncarChar"/>
        </w:rPr>
        <w:t xml:space="preserve"> / ***</w:t>
      </w:r>
      <w:r>
        <w:t xml:space="preserve"> cm par rapport au plan de la façade.</w:t>
      </w:r>
    </w:p>
    <w:p w14:paraId="3ACE4955" w14:textId="77777777" w:rsidR="00DF410E" w:rsidRDefault="00CE7F43">
      <w:r>
        <w:t xml:space="preserve">Ils sont posés avec une inclinaison de </w:t>
      </w:r>
      <w:r>
        <w:rPr>
          <w:rStyle w:val="optioncarChar"/>
        </w:rPr>
        <w:t>5 </w:t>
      </w:r>
      <w:r>
        <w:t>(par défaut)</w:t>
      </w:r>
      <w:r>
        <w:rPr>
          <w:rStyle w:val="optioncarChar"/>
        </w:rPr>
        <w:t xml:space="preserve"> / ***</w:t>
      </w:r>
      <w:r>
        <w:t xml:space="preserve"> % afin que l'eau de ruissellement s'éloigne de la façade. </w:t>
      </w:r>
    </w:p>
    <w:p w14:paraId="16E01A13" w14:textId="77777777" w:rsidR="00DF410E" w:rsidRDefault="00CE7F43">
      <w:pPr>
        <w:pStyle w:val="pheading"/>
      </w:pPr>
      <w:r>
        <w:t>- Notes d’exécution complémentaires</w:t>
      </w:r>
    </w:p>
    <w:p w14:paraId="2E54F65D" w14:textId="77777777" w:rsidR="00DF410E" w:rsidRDefault="00CE7F43">
      <w:r>
        <w:t xml:space="preserve">Sous le seuil en briques, on prévoira sur toute la longueur un bourrelet en plomb scellé. </w:t>
      </w:r>
    </w:p>
    <w:p w14:paraId="0C7C0EC0" w14:textId="77777777" w:rsidR="00DF410E" w:rsidRDefault="00CE7F43">
      <w:r>
        <w:t>Les seuils en briques de parement seront ensuite traités avec un produit hydrofuge approprié.</w:t>
      </w:r>
    </w:p>
    <w:p w14:paraId="0E4EA1BD" w14:textId="77777777" w:rsidR="00DF410E" w:rsidRDefault="00CE7F43">
      <w:pPr>
        <w:pStyle w:val="pheading"/>
      </w:pPr>
      <w:r>
        <w:t>MESURAGE</w:t>
      </w:r>
    </w:p>
    <w:p w14:paraId="799F75CC" w14:textId="77777777" w:rsidR="00DF410E" w:rsidRDefault="00CE7F43">
      <w:pPr>
        <w:pStyle w:val="pheading"/>
      </w:pPr>
      <w:r>
        <w:t>- unité de mesure:</w:t>
      </w:r>
    </w:p>
    <w:p w14:paraId="7576FE67" w14:textId="77777777" w:rsidR="00DF410E" w:rsidRDefault="00CE7F43">
      <w:r>
        <w:rPr>
          <w:rStyle w:val="optioncarChar"/>
        </w:rPr>
        <w:t xml:space="preserve">m </w:t>
      </w:r>
      <w:r>
        <w:t>(par défaut)</w:t>
      </w:r>
      <w:r>
        <w:rPr>
          <w:rStyle w:val="optioncarChar"/>
        </w:rPr>
        <w:t xml:space="preserve"> / Pce / m³</w:t>
      </w:r>
    </w:p>
    <w:p w14:paraId="710AB9D0" w14:textId="77777777" w:rsidR="00DF410E" w:rsidRDefault="00CE7F43">
      <w:pPr>
        <w:pStyle w:val="pheading"/>
      </w:pPr>
      <w:r>
        <w:t>- code de mesurage:</w:t>
      </w:r>
    </w:p>
    <w:p w14:paraId="43875F44" w14:textId="77777777" w:rsidR="00DF410E" w:rsidRDefault="00CE7F43">
      <w:r>
        <w:t>Distinction faite suivant le type et nature du seuil (neuf et/ou de réemploi). S’il s’agit de réemploi, distinguer : avec ou sans fourniture.</w:t>
      </w:r>
    </w:p>
    <w:p w14:paraId="3B5E9389" w14:textId="77777777" w:rsidR="00DF410E" w:rsidRDefault="00CE7F43">
      <w:pPr>
        <w:jc w:val="both"/>
      </w:pPr>
      <w:r>
        <w:rPr>
          <w:rStyle w:val="optioncarChar"/>
        </w:rPr>
        <w:t>Longueur nette</w:t>
      </w:r>
      <w:r>
        <w:t>    (par défaut)</w:t>
      </w:r>
      <w:r>
        <w:rPr>
          <w:rStyle w:val="optioncarChar"/>
        </w:rPr>
        <w:t> /  à la pièce / au volume</w:t>
      </w:r>
    </w:p>
    <w:p w14:paraId="364ED4D3" w14:textId="77777777" w:rsidR="00DF410E" w:rsidRDefault="00CE7F43">
      <w:pPr>
        <w:jc w:val="both"/>
      </w:pPr>
      <w:r>
        <w:rPr>
          <w:b/>
        </w:rPr>
        <w:t>(soit par défaut)</w:t>
      </w:r>
    </w:p>
    <w:p w14:paraId="09476544" w14:textId="77777777" w:rsidR="00DF410E" w:rsidRDefault="00CE7F43">
      <w:pPr>
        <w:jc w:val="both"/>
      </w:pPr>
      <w:r>
        <w:rPr>
          <w:rStyle w:val="soitChar"/>
          <w:u w:val="single"/>
        </w:rPr>
        <w:t>1. Longueur nette</w:t>
      </w:r>
      <w:r>
        <w:rPr>
          <w:rStyle w:val="soitChar"/>
        </w:rPr>
        <w:t>  : longueur du seuil entre les jours de la baie, de largeur et d'épaisseur identiques</w:t>
      </w:r>
    </w:p>
    <w:p w14:paraId="1304A78A" w14:textId="77777777" w:rsidR="00DF410E" w:rsidRDefault="00CE7F43">
      <w:pPr>
        <w:jc w:val="both"/>
      </w:pPr>
      <w:r>
        <w:rPr>
          <w:b/>
        </w:rPr>
        <w:t>(soit)</w:t>
      </w:r>
    </w:p>
    <w:p w14:paraId="349C17B3" w14:textId="77777777" w:rsidR="00DF410E" w:rsidRDefault="00CE7F43">
      <w:pPr>
        <w:jc w:val="both"/>
      </w:pPr>
      <w:r>
        <w:rPr>
          <w:rStyle w:val="soitChar"/>
        </w:rPr>
        <w:t>2. </w:t>
      </w:r>
      <w:r>
        <w:rPr>
          <w:rStyle w:val="soitChar"/>
          <w:u w:val="single"/>
        </w:rPr>
        <w:t>A la pièce</w:t>
      </w:r>
      <w:r>
        <w:rPr>
          <w:rStyle w:val="soitChar"/>
        </w:rPr>
        <w:t> : de dimensions identiques</w:t>
      </w:r>
    </w:p>
    <w:p w14:paraId="6345FB34" w14:textId="77777777" w:rsidR="00DF410E" w:rsidRDefault="00CE7F43">
      <w:pPr>
        <w:jc w:val="both"/>
      </w:pPr>
      <w:r>
        <w:rPr>
          <w:b/>
        </w:rPr>
        <w:t>(soit)</w:t>
      </w:r>
    </w:p>
    <w:p w14:paraId="0EC2D72E" w14:textId="77777777" w:rsidR="00DF410E" w:rsidRDefault="00CE7F43">
      <w:pPr>
        <w:jc w:val="both"/>
      </w:pPr>
      <w:r>
        <w:rPr>
          <w:rStyle w:val="soitChar"/>
        </w:rPr>
        <w:t>3. </w:t>
      </w:r>
      <w:r>
        <w:rPr>
          <w:rStyle w:val="soitChar"/>
          <w:u w:val="single"/>
        </w:rPr>
        <w:t>Au volume</w:t>
      </w:r>
      <w:r>
        <w:rPr>
          <w:rStyle w:val="soitChar"/>
        </w:rPr>
        <w:t> : prendre le volume du plus petit parallélépipède rectangle qui circonscrit le seuil; le volume réel, quelle qu'en soit la dimension</w:t>
      </w:r>
    </w:p>
    <w:p w14:paraId="63C5B8A8" w14:textId="77777777" w:rsidR="00DF410E" w:rsidRDefault="00CE7F43">
      <w:pPr>
        <w:pStyle w:val="pheading"/>
      </w:pPr>
      <w:r>
        <w:t>- nature du marché:</w:t>
      </w:r>
    </w:p>
    <w:p w14:paraId="3349E0AB" w14:textId="77777777" w:rsidR="00DF410E" w:rsidRDefault="00CE7F43">
      <w:r>
        <w:t>QF</w:t>
      </w:r>
    </w:p>
    <w:p w14:paraId="343CDF95" w14:textId="77777777" w:rsidR="00DF410E" w:rsidRDefault="00CE7F43">
      <w:pPr>
        <w:pStyle w:val="Author-eSectionHeading5"/>
      </w:pPr>
      <w:bookmarkStart w:id="307" w:name="_Toc178837531"/>
      <w:r>
        <w:t>21.36.2 Plinthes CCTB 01.11</w:t>
      </w:r>
      <w:bookmarkEnd w:id="307"/>
    </w:p>
    <w:p w14:paraId="1E5A1A58" w14:textId="77777777" w:rsidR="00DF410E" w:rsidRDefault="00CE7F43">
      <w:pPr>
        <w:pStyle w:val="pheading"/>
      </w:pPr>
      <w:r>
        <w:t>DESCRIPTION</w:t>
      </w:r>
    </w:p>
    <w:p w14:paraId="01B152D3" w14:textId="77777777" w:rsidR="00DF410E" w:rsidRDefault="00CE7F43">
      <w:pPr>
        <w:pStyle w:val="pheading"/>
      </w:pPr>
      <w:r>
        <w:t>- Définition / Comprend</w:t>
      </w:r>
    </w:p>
    <w:p w14:paraId="0AC32C9E" w14:textId="77777777" w:rsidR="00DF410E" w:rsidRDefault="00CE7F43">
      <w:r>
        <w:t xml:space="preserve">Il s'agit de toutes les fournitures et travaux pour la réalisation des plinthes, y compris les angles, terminaisons et rencontres, les bordures intégrées, </w:t>
      </w:r>
      <w:r>
        <w:rPr>
          <w:rStyle w:val="optioncarChar"/>
        </w:rPr>
        <w:t>***</w:t>
      </w:r>
      <w:r>
        <w:t xml:space="preserve"> (en conformité avec les profils prescrits), ainsi que tous les éléments de liaison, les jonctions périphériques avec les autres éléments de construction (rails, goujons, ferrures, …).</w:t>
      </w:r>
    </w:p>
    <w:p w14:paraId="7C935335" w14:textId="77777777" w:rsidR="00DF410E" w:rsidRDefault="00CE7F43">
      <w:pPr>
        <w:pStyle w:val="pheading"/>
      </w:pPr>
      <w:r>
        <w:t>MATÉRIAUX</w:t>
      </w:r>
    </w:p>
    <w:p w14:paraId="3AEC16B9" w14:textId="77777777" w:rsidR="00DF410E" w:rsidRDefault="00CE7F43">
      <w:r>
        <w:t>Avant de passer la commande pour les plinthes et les éléments d'ancrage, l'entrepreneur est tenu de vérifier si celles-ci peuvent être livrées dans les dimensions, selon le type, la couleur et le traitement de surface tels que prescrits dans les documents d'adjudication. Ainsi, il vérifie préalablement si les dimensions correspondent à la structure portante, au choix et à l'emplacement des moyens de fixation. En ce qui concerne l'aspect, la(les) couleur(s) et la structure de surface, il est fait référence aux trois échantillons (contractuels) qui doivent représenter l'aspect moyen et les deux aspects approchants de la fourniture. Ces échantillons présentent en outre toutes les particularités (veines, trous, fils, …) qui ne sont pas considérées comme des défauts et dont la présence ne risque pas d'entraîner le rebut.</w:t>
      </w:r>
    </w:p>
    <w:p w14:paraId="0E30994B" w14:textId="77777777" w:rsidR="00DF410E" w:rsidRDefault="00CE7F43">
      <w:pPr>
        <w:pStyle w:val="pheading"/>
      </w:pPr>
      <w:r>
        <w:t>EXÉCUTION / MISE EN ŒUVRE</w:t>
      </w:r>
    </w:p>
    <w:p w14:paraId="79757CCD" w14:textId="77777777" w:rsidR="00DF410E" w:rsidRDefault="00CE7F43">
      <w:r>
        <w:t xml:space="preserve">Les plinthes sont placées à environ </w:t>
      </w:r>
      <w:r>
        <w:rPr>
          <w:rStyle w:val="optioncarChar"/>
        </w:rPr>
        <w:t>10</w:t>
      </w:r>
      <w:r>
        <w:t xml:space="preserve"> (par défaut)</w:t>
      </w:r>
      <w:r>
        <w:rPr>
          <w:rStyle w:val="optioncarChar"/>
        </w:rPr>
        <w:t xml:space="preserve"> / *** </w:t>
      </w:r>
      <w:r>
        <w:t xml:space="preserve">mm en retrait par rapport au </w:t>
      </w:r>
      <w:r>
        <w:rPr>
          <w:rStyle w:val="optioncarChar"/>
        </w:rPr>
        <w:t xml:space="preserve">parement de façade / revêtement de façade / crépi de façade </w:t>
      </w:r>
      <w:r>
        <w:t>prévus et sont posées conformément au détail de coupe.</w:t>
      </w:r>
    </w:p>
    <w:p w14:paraId="2B41CB45" w14:textId="77777777" w:rsidR="00DF410E" w:rsidRDefault="00CE7F43">
      <w:r>
        <w:t xml:space="preserve">La pose est faite  </w:t>
      </w:r>
      <w:r>
        <w:rPr>
          <w:rStyle w:val="optioncarChar"/>
        </w:rPr>
        <w:t>avec coulisse / sans coulisse :</w:t>
      </w:r>
    </w:p>
    <w:p w14:paraId="161FE737" w14:textId="77777777" w:rsidR="00DF410E" w:rsidRDefault="00CE7F43">
      <w:r>
        <w:rPr>
          <w:b/>
        </w:rPr>
        <w:t>(soit)</w:t>
      </w:r>
    </w:p>
    <w:p w14:paraId="60F5F7F4" w14:textId="77777777" w:rsidR="00DF410E" w:rsidRDefault="00CE7F43">
      <w:r>
        <w:rPr>
          <w:rStyle w:val="soitChar"/>
          <w:u w:val="single"/>
        </w:rPr>
        <w:t>Avec une coulisse</w:t>
      </w:r>
      <w:r>
        <w:rPr>
          <w:rStyle w:val="soitChar"/>
        </w:rPr>
        <w:t xml:space="preserve"> ventilée d'une largeur d'au moins 3 cm.</w:t>
      </w:r>
    </w:p>
    <w:p w14:paraId="573636B6" w14:textId="77777777" w:rsidR="00DF410E" w:rsidRDefault="00CE7F43">
      <w:r>
        <w:rPr>
          <w:b/>
        </w:rPr>
        <w:t>(soit)</w:t>
      </w:r>
    </w:p>
    <w:p w14:paraId="55DDD39C" w14:textId="77777777" w:rsidR="00DF410E" w:rsidRDefault="00CE7F43">
      <w:r>
        <w:rPr>
          <w:rStyle w:val="soitChar"/>
          <w:u w:val="single"/>
        </w:rPr>
        <w:t>Sans coulisse</w:t>
      </w:r>
      <w:r>
        <w:rPr>
          <w:rStyle w:val="soitChar"/>
        </w:rPr>
        <w:t>, appliquées directement contre l'isolation du vide</w:t>
      </w:r>
    </w:p>
    <w:p w14:paraId="3A0BEC4D" w14:textId="77777777" w:rsidR="00DF410E" w:rsidRDefault="00CE7F43">
      <w:r>
        <w:t>Les pierres des plinthes sont posées d'aplomb, d'équerre et bien planes selon l'appareillage dessiné sur les plans et/ou en concertation avec l'auteur de projet.</w:t>
      </w:r>
    </w:p>
    <w:p w14:paraId="76751DA3" w14:textId="77777777" w:rsidR="00DF410E" w:rsidRDefault="00CE7F43">
      <w:pPr>
        <w:pStyle w:val="Author-eSectionHeading6"/>
      </w:pPr>
      <w:bookmarkStart w:id="308" w:name="_Toc178837532"/>
      <w:r>
        <w:t>21.36.2a Plinthes en pierre CCTB 01.11</w:t>
      </w:r>
      <w:bookmarkEnd w:id="308"/>
    </w:p>
    <w:p w14:paraId="05FEE3FD" w14:textId="77777777" w:rsidR="00DF410E" w:rsidRDefault="00CE7F43">
      <w:pPr>
        <w:pStyle w:val="pheading"/>
      </w:pPr>
      <w:r>
        <w:t>MATÉRIAUX</w:t>
      </w:r>
    </w:p>
    <w:p w14:paraId="1E7D186F" w14:textId="77777777" w:rsidR="00DF410E" w:rsidRDefault="00CE7F43">
      <w:pPr>
        <w:pStyle w:val="pheading"/>
      </w:pPr>
      <w:r>
        <w:t>- Caractéristiques générales</w:t>
      </w:r>
    </w:p>
    <w:p w14:paraId="401F24A7" w14:textId="77777777" w:rsidR="00DF410E" w:rsidRDefault="00CE7F43">
      <w:r>
        <w:rPr>
          <w:b/>
          <w:u w:val="single"/>
        </w:rPr>
        <w:t>Spécifications</w:t>
      </w:r>
    </w:p>
    <w:p w14:paraId="05CDFBB4" w14:textId="77777777" w:rsidR="00DF410E" w:rsidRDefault="00CE7F43">
      <w:r>
        <w:t>La pierre appartient à la catégorie </w:t>
      </w:r>
      <w:r>
        <w:rPr>
          <w:rStyle w:val="optioncarChar"/>
        </w:rPr>
        <w:t>'bâtiment exceptionnel' / 'bâtiment courant'</w:t>
      </w:r>
      <w:r>
        <w:t> (par défaut)</w:t>
      </w:r>
      <w:r>
        <w:rPr>
          <w:rStyle w:val="optioncarChar"/>
        </w:rPr>
        <w:t xml:space="preserve"> / 'technique' / ***</w:t>
      </w:r>
      <w:r>
        <w:t xml:space="preserve"> (suivant le tableau [NIT 220])</w:t>
      </w:r>
    </w:p>
    <w:p w14:paraId="4A3DE47C" w14:textId="77777777" w:rsidR="00DF410E" w:rsidRDefault="00CE7F43">
      <w:r>
        <w:t>Dimensions : bandes modulaires</w:t>
      </w:r>
    </w:p>
    <w:p w14:paraId="43733673" w14:textId="77777777" w:rsidR="00DF410E" w:rsidRDefault="00CE7F43">
      <w:r>
        <w:t xml:space="preserve">Epaisseur des plaques : environ </w:t>
      </w:r>
      <w:r>
        <w:rPr>
          <w:rStyle w:val="optioncarChar"/>
        </w:rPr>
        <w:t>30</w:t>
      </w:r>
      <w:r>
        <w:t> </w:t>
      </w:r>
      <w:r>
        <w:rPr>
          <w:rStyle w:val="optioncarChar"/>
        </w:rPr>
        <w:t xml:space="preserve">/ 40 / 50 </w:t>
      </w:r>
      <w:r>
        <w:t>(par défaut) </w:t>
      </w:r>
      <w:r>
        <w:rPr>
          <w:rStyle w:val="optioncarChar"/>
        </w:rPr>
        <w:t xml:space="preserve">/ 60 / 70 / 80 / *** </w:t>
      </w:r>
      <w:r>
        <w:t xml:space="preserve">mm (tolérances </w:t>
      </w:r>
      <w:r>
        <w:rPr>
          <w:u w:val="single"/>
        </w:rPr>
        <w:t>+</w:t>
      </w:r>
      <w:r>
        <w:t>2 mm)</w:t>
      </w:r>
    </w:p>
    <w:p w14:paraId="35FCA59B" w14:textId="77777777" w:rsidR="00DF410E" w:rsidRDefault="00CE7F43">
      <w:r>
        <w:t xml:space="preserve">Longueur des plinthes : maximum </w:t>
      </w:r>
      <w:r>
        <w:rPr>
          <w:rStyle w:val="optioncarChar"/>
        </w:rPr>
        <w:t xml:space="preserve">80 </w:t>
      </w:r>
      <w:r>
        <w:t>(par défaut) </w:t>
      </w:r>
      <w:r>
        <w:rPr>
          <w:rStyle w:val="optioncarChar"/>
        </w:rPr>
        <w:t>/ 100 / ***</w:t>
      </w:r>
      <w:r>
        <w:t xml:space="preserve"> cm (en fonction de l'épaisseur)</w:t>
      </w:r>
    </w:p>
    <w:p w14:paraId="3869FE41" w14:textId="77777777" w:rsidR="00DF410E" w:rsidRDefault="00CE7F43">
      <w:r>
        <w:t xml:space="preserve">Hauteur des plinthes : </w:t>
      </w:r>
      <w:r>
        <w:rPr>
          <w:rStyle w:val="optioncarChar"/>
        </w:rPr>
        <w:t> 60 / 80</w:t>
      </w:r>
      <w:r>
        <w:t> (par défaut)</w:t>
      </w:r>
      <w:r>
        <w:rPr>
          <w:rStyle w:val="optioncarChar"/>
        </w:rPr>
        <w:t xml:space="preserve"> / 100 / *** cm / en gradins, selon le dessin de détail</w:t>
      </w:r>
    </w:p>
    <w:p w14:paraId="554BE060" w14:textId="77777777" w:rsidR="00DF410E" w:rsidRDefault="00CE7F43">
      <w:r>
        <w:t xml:space="preserve">Profil des plinthes : </w:t>
      </w:r>
      <w:r>
        <w:rPr>
          <w:rStyle w:val="optioncarChar"/>
        </w:rPr>
        <w:t>plat </w:t>
      </w:r>
      <w:r>
        <w:t>(par défaut)</w:t>
      </w:r>
      <w:r>
        <w:rPr>
          <w:rStyle w:val="optioncarChar"/>
        </w:rPr>
        <w:t xml:space="preserve"> / selon le dessin de détail / ***</w:t>
      </w:r>
    </w:p>
    <w:p w14:paraId="5AEB97C4" w14:textId="77777777" w:rsidR="00DF410E" w:rsidRDefault="00CE7F43">
      <w:r>
        <w:t xml:space="preserve">Eléments à intégrer : grilles de ventilation murales selon l'article </w:t>
      </w:r>
      <w:hyperlink w:anchor="409" w:history="1">
        <w:r>
          <w:t>21.44 Eléments de ventilation</w:t>
        </w:r>
      </w:hyperlink>
      <w:r>
        <w:t>.</w:t>
      </w:r>
    </w:p>
    <w:p w14:paraId="1B2A32B1" w14:textId="77777777" w:rsidR="00DF410E" w:rsidRDefault="00CE7F43">
      <w:pPr>
        <w:pStyle w:val="pheading"/>
      </w:pPr>
      <w:r>
        <w:t>- Finitions</w:t>
      </w:r>
    </w:p>
    <w:p w14:paraId="3CE766C6" w14:textId="77777777" w:rsidR="00DF410E" w:rsidRDefault="00CE7F43">
      <w:r>
        <w:t xml:space="preserve">Faces vues : </w:t>
      </w:r>
      <w:r>
        <w:rPr>
          <w:rStyle w:val="optioncarChar"/>
        </w:rPr>
        <w:t xml:space="preserve">meulé gris </w:t>
      </w:r>
      <w:r>
        <w:t>(par défaut) </w:t>
      </w:r>
      <w:r>
        <w:rPr>
          <w:rStyle w:val="optioncarChar"/>
        </w:rPr>
        <w:t>/ adouci bleu / ciselé (à raison de 10 / 12  / 15 </w:t>
      </w:r>
      <w:r>
        <w:t>(par défaut)</w:t>
      </w:r>
      <w:r>
        <w:rPr>
          <w:rStyle w:val="optioncarChar"/>
        </w:rPr>
        <w:t xml:space="preserve"> / *** coups par dm ) / ***</w:t>
      </w:r>
    </w:p>
    <w:p w14:paraId="145E95CB" w14:textId="77777777" w:rsidR="00DF410E" w:rsidRDefault="00CE7F43">
      <w:pPr>
        <w:pStyle w:val="pheading"/>
      </w:pPr>
      <w:r>
        <w:t>EXÉCUTION / MISE EN ŒUVRE</w:t>
      </w:r>
    </w:p>
    <w:p w14:paraId="0BA55AC0" w14:textId="77777777" w:rsidR="00DF410E" w:rsidRDefault="00CE7F43">
      <w:pPr>
        <w:pStyle w:val="pheading"/>
      </w:pPr>
      <w:r>
        <w:t>- Prescriptions générales</w:t>
      </w:r>
    </w:p>
    <w:p w14:paraId="61972E99" w14:textId="77777777" w:rsidR="00DF410E" w:rsidRDefault="00CE7F43">
      <w:r>
        <w:t xml:space="preserve">Les plinthes sont placées à environ </w:t>
      </w:r>
      <w:r>
        <w:rPr>
          <w:rStyle w:val="optioncarChar"/>
        </w:rPr>
        <w:t xml:space="preserve">10 </w:t>
      </w:r>
      <w:r>
        <w:t>(par défaut) </w:t>
      </w:r>
      <w:r>
        <w:rPr>
          <w:rStyle w:val="optioncarChar"/>
        </w:rPr>
        <w:t xml:space="preserve">/ *** </w:t>
      </w:r>
      <w:r>
        <w:t xml:space="preserve">mm en retrait par rapport au </w:t>
      </w:r>
      <w:r>
        <w:rPr>
          <w:rStyle w:val="optioncarChar"/>
        </w:rPr>
        <w:t xml:space="preserve">parement de façade / revêtement de façade / crépi de façade </w:t>
      </w:r>
      <w:r>
        <w:t>prévus et sont posées conformément au détail de coupe.</w:t>
      </w:r>
    </w:p>
    <w:p w14:paraId="7FE37BEB" w14:textId="77777777" w:rsidR="00DF410E" w:rsidRDefault="00CE7F43">
      <w:r>
        <w:t xml:space="preserve">La pose est faite </w:t>
      </w:r>
      <w:r>
        <w:rPr>
          <w:rStyle w:val="optioncarChar"/>
        </w:rPr>
        <w:t>avec coulisse / sans coulisse</w:t>
      </w:r>
    </w:p>
    <w:p w14:paraId="5515EC7E" w14:textId="77777777" w:rsidR="00DF410E" w:rsidRDefault="00CE7F43">
      <w:r>
        <w:rPr>
          <w:b/>
        </w:rPr>
        <w:t>(soit)</w:t>
      </w:r>
    </w:p>
    <w:p w14:paraId="451E7D02" w14:textId="77777777" w:rsidR="00DF410E" w:rsidRDefault="00CE7F43">
      <w:r>
        <w:rPr>
          <w:rStyle w:val="soitChar"/>
          <w:u w:val="single"/>
        </w:rPr>
        <w:t>Avec une coulisse</w:t>
      </w:r>
      <w:r>
        <w:rPr>
          <w:rStyle w:val="soitChar"/>
        </w:rPr>
        <w:t xml:space="preserve"> ventilée d'une largeur d'au moins 3 cm.</w:t>
      </w:r>
    </w:p>
    <w:p w14:paraId="3DAE8A65" w14:textId="77777777" w:rsidR="00DF410E" w:rsidRDefault="00CE7F43">
      <w:r>
        <w:rPr>
          <w:b/>
        </w:rPr>
        <w:t>(soit)</w:t>
      </w:r>
    </w:p>
    <w:p w14:paraId="6C002845" w14:textId="77777777" w:rsidR="00DF410E" w:rsidRDefault="00CE7F43">
      <w:r>
        <w:rPr>
          <w:rStyle w:val="soitChar"/>
          <w:u w:val="single"/>
        </w:rPr>
        <w:t>Sans coulisse,</w:t>
      </w:r>
      <w:r>
        <w:rPr>
          <w:rStyle w:val="soitChar"/>
        </w:rPr>
        <w:t xml:space="preserve"> appliquées directement contre l'isolation du vide</w:t>
      </w:r>
    </w:p>
    <w:p w14:paraId="5D15C844" w14:textId="77777777" w:rsidR="00DF410E" w:rsidRDefault="00CE7F43">
      <w:r>
        <w:t>Les pierres des plinthes sont posées d'aplomb, d'équerre et bien planes selon l'appareillage dessiné sur les plans et/ou en concertation avec l'auteur de projet.</w:t>
      </w:r>
    </w:p>
    <w:p w14:paraId="27B0B371" w14:textId="77777777" w:rsidR="00DF410E" w:rsidRDefault="00CE7F43">
      <w:r>
        <w:t xml:space="preserve">Toutes les pierres ciselées sont posées avec le ciselage dans la même direction.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 xml:space="preserve">8 </w:t>
      </w:r>
      <w:r>
        <w:t>(par défaut) </w:t>
      </w:r>
      <w:r>
        <w:rPr>
          <w:rStyle w:val="optioncarChar"/>
        </w:rPr>
        <w:t xml:space="preserve">/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(par défaut)</w:t>
      </w:r>
      <w:r>
        <w:rPr>
          <w:rStyle w:val="optioncarChar"/>
        </w:rPr>
        <w:t xml:space="preserve"> / *** </w:t>
      </w:r>
      <w:r>
        <w:t xml:space="preserve">mm) sont posées. Au-dessus des plinthes, on laisse un joint montant ouvert tous les </w:t>
      </w:r>
      <w:r>
        <w:rPr>
          <w:rStyle w:val="optioncarChar"/>
        </w:rPr>
        <w:t>120 </w:t>
      </w:r>
      <w:r>
        <w:t>(par défaut)</w:t>
      </w:r>
      <w:r>
        <w:rPr>
          <w:rStyle w:val="optioncarChar"/>
        </w:rPr>
        <w:t xml:space="preserve"> / ***</w:t>
      </w:r>
      <w:r>
        <w:t xml:space="preserve"> cm. Les joints montants ouverts sont marqués jusqu'après l'exécution du rejointoiement.</w:t>
      </w:r>
    </w:p>
    <w:p w14:paraId="40E0CE9E" w14:textId="77777777" w:rsidR="00DF410E" w:rsidRDefault="00CE7F43">
      <w:pPr>
        <w:pStyle w:val="pheading"/>
      </w:pPr>
      <w:r>
        <w:t>- Notes d’exécution complémentaires</w:t>
      </w:r>
    </w:p>
    <w:p w14:paraId="0B6351B4" w14:textId="77777777" w:rsidR="00DF410E" w:rsidRDefault="00CE7F43">
      <w:r>
        <w:t xml:space="preserve">Ancrage : Les plinthes sont reliées à la structure attenante au moyen d’agrafes </w:t>
      </w:r>
      <w:r>
        <w:rPr>
          <w:rStyle w:val="optioncarChar"/>
        </w:rPr>
        <w:t>en acier inoxydable </w:t>
      </w:r>
      <w:r>
        <w:t>(par défaut)</w:t>
      </w:r>
      <w:r>
        <w:rPr>
          <w:rStyle w:val="optioncarChar"/>
        </w:rPr>
        <w:t xml:space="preserve"> /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w:t>
      </w:r>
    </w:p>
    <w:p w14:paraId="7C4212BF" w14:textId="77777777" w:rsidR="00DF410E" w:rsidRDefault="00CE7F43">
      <w:r>
        <w:t>Étanchéité : </w:t>
      </w:r>
    </w:p>
    <w:p w14:paraId="0DD6179C" w14:textId="77777777" w:rsidR="00DF410E" w:rsidRDefault="00CE7F43">
      <w:r>
        <w:t>Isolation des murs creux :</w:t>
      </w:r>
    </w:p>
    <w:p w14:paraId="695476A3" w14:textId="77777777" w:rsidR="00DF410E" w:rsidRDefault="00CE7F43">
      <w:r>
        <w:t>Joints de façade :</w:t>
      </w:r>
    </w:p>
    <w:p w14:paraId="6858498B" w14:textId="77777777" w:rsidR="00DF410E" w:rsidRDefault="00CE7F43">
      <w:r>
        <w:t xml:space="preserve">Eléments à intégrer : grilles de ventilation murales sont repris à l'article </w:t>
      </w:r>
      <w:hyperlink w:anchor="409" w:history="1">
        <w:r>
          <w:t>21.44 Eléments de ventilation</w:t>
        </w:r>
      </w:hyperlink>
    </w:p>
    <w:p w14:paraId="1E0A3CC7" w14:textId="77777777" w:rsidR="00DF410E" w:rsidRDefault="00CE7F43">
      <w:pPr>
        <w:pStyle w:val="pheading"/>
      </w:pPr>
      <w:r>
        <w:t>MESURAGE</w:t>
      </w:r>
    </w:p>
    <w:p w14:paraId="09CA6B9F" w14:textId="77777777" w:rsidR="00DF410E" w:rsidRDefault="00CE7F43">
      <w:pPr>
        <w:pStyle w:val="pheading"/>
      </w:pPr>
      <w:r>
        <w:t>- unité de mesure:</w:t>
      </w:r>
    </w:p>
    <w:p w14:paraId="358F779F" w14:textId="77777777" w:rsidR="00DF410E" w:rsidRDefault="00CE7F43">
      <w:r>
        <w:rPr>
          <w:rStyle w:val="optioncarChar"/>
        </w:rPr>
        <w:t>m³ </w:t>
      </w:r>
      <w:r>
        <w:rPr>
          <w:rStyle w:val="optioncarChar"/>
          <w:color w:val="000000"/>
        </w:rPr>
        <w:t>(par défaut)</w:t>
      </w:r>
      <w:r>
        <w:rPr>
          <w:rStyle w:val="optioncarChar"/>
        </w:rPr>
        <w:t> / pc / m²</w:t>
      </w:r>
    </w:p>
    <w:p w14:paraId="5BECE5D4" w14:textId="77777777" w:rsidR="00DF410E" w:rsidRDefault="00CE7F43">
      <w:pPr>
        <w:spacing w:after="0" w:line="0" w:lineRule="atLeast"/>
      </w:pPr>
      <w:r>
        <w:rPr>
          <w:b/>
          <w:color w:val="000000"/>
        </w:rPr>
        <w:t>(soit par défaut)</w:t>
      </w:r>
    </w:p>
    <w:p w14:paraId="2A39D267" w14:textId="77777777" w:rsidR="00DF410E" w:rsidRDefault="00CE7F43">
      <w:pPr>
        <w:spacing w:after="0" w:line="0" w:lineRule="atLeast"/>
      </w:pPr>
      <w:r>
        <w:rPr>
          <w:rStyle w:val="soitChar"/>
        </w:rPr>
        <w:t>1. m³</w:t>
      </w:r>
    </w:p>
    <w:p w14:paraId="074991D6" w14:textId="77777777" w:rsidR="00DF410E" w:rsidRDefault="00CE7F43">
      <w:pPr>
        <w:spacing w:after="0" w:line="0" w:lineRule="atLeast"/>
      </w:pPr>
      <w:r>
        <w:rPr>
          <w:b/>
          <w:color w:val="000000"/>
        </w:rPr>
        <w:t>(soit)</w:t>
      </w:r>
    </w:p>
    <w:p w14:paraId="2C6C7F1B" w14:textId="77777777" w:rsidR="00DF410E" w:rsidRDefault="00CE7F43">
      <w:pPr>
        <w:spacing w:after="0" w:line="0" w:lineRule="atLeast"/>
      </w:pPr>
      <w:r>
        <w:rPr>
          <w:rStyle w:val="soitChar"/>
        </w:rPr>
        <w:t>2. pc</w:t>
      </w:r>
    </w:p>
    <w:p w14:paraId="595509C5" w14:textId="77777777" w:rsidR="00DF410E" w:rsidRDefault="00CE7F43">
      <w:pPr>
        <w:spacing w:after="0" w:line="0" w:lineRule="atLeast"/>
      </w:pPr>
      <w:r>
        <w:rPr>
          <w:b/>
          <w:color w:val="000000"/>
        </w:rPr>
        <w:t>(soit)</w:t>
      </w:r>
    </w:p>
    <w:p w14:paraId="2E64B80A" w14:textId="77777777" w:rsidR="00DF410E" w:rsidRDefault="00CE7F43">
      <w:pPr>
        <w:spacing w:after="0" w:line="0" w:lineRule="atLeast"/>
      </w:pPr>
      <w:r>
        <w:rPr>
          <w:rStyle w:val="soitChar"/>
        </w:rPr>
        <w:t>3. m²</w:t>
      </w:r>
    </w:p>
    <w:p w14:paraId="68F51991" w14:textId="77777777" w:rsidR="00DF410E" w:rsidRDefault="00CE7F43">
      <w:pPr>
        <w:pStyle w:val="pheading"/>
      </w:pPr>
      <w:r>
        <w:t>- code de mesurage:</w:t>
      </w:r>
    </w:p>
    <w:p w14:paraId="1DE2C9E3" w14:textId="77777777" w:rsidR="00DF410E" w:rsidRDefault="00CE7F43">
      <w:r>
        <w:rPr>
          <w:rStyle w:val="optioncarChar"/>
        </w:rPr>
        <w:t>Au volume net du parement / à la pièce / à la surface du parement</w:t>
      </w:r>
    </w:p>
    <w:p w14:paraId="2067C6C2" w14:textId="77777777" w:rsidR="00DF410E" w:rsidRDefault="00CE7F43">
      <w:pPr>
        <w:spacing w:after="0" w:line="252" w:lineRule="auto"/>
      </w:pPr>
      <w:r>
        <w:rPr>
          <w:b/>
          <w:color w:val="000000"/>
        </w:rPr>
        <w:t>(soit par défaut)</w:t>
      </w:r>
    </w:p>
    <w:p w14:paraId="4840CA48" w14:textId="77777777" w:rsidR="00DF410E" w:rsidRDefault="00CE7F43">
      <w:pPr>
        <w:spacing w:after="0" w:line="252" w:lineRule="auto"/>
      </w:pPr>
      <w:r>
        <w:rPr>
          <w:rStyle w:val="soitChar"/>
          <w:u w:val="single"/>
        </w:rPr>
        <w:t>1. Volume net du parement </w:t>
      </w:r>
      <w:r>
        <w:rPr>
          <w:rStyle w:val="soitChar"/>
        </w:rPr>
        <w:t>; prendre le volume du plus petit parallélépipède rectangle qui circonscrit la pierre; le volume réel, quelle qu'en soit la dimension; les pierres de dimensions inférieures à 10 dm3 sont comptées à la pièce.</w:t>
      </w:r>
    </w:p>
    <w:p w14:paraId="789D02C5" w14:textId="77777777" w:rsidR="00DF410E" w:rsidRDefault="00CE7F43">
      <w:pPr>
        <w:spacing w:line="252" w:lineRule="auto"/>
      </w:pPr>
      <w:r>
        <w:rPr>
          <w:b/>
        </w:rPr>
        <w:t>(soit)</w:t>
      </w:r>
    </w:p>
    <w:p w14:paraId="3A803EDF" w14:textId="77777777" w:rsidR="00DF410E" w:rsidRDefault="00CE7F43">
      <w:pPr>
        <w:spacing w:line="252" w:lineRule="auto"/>
      </w:pPr>
      <w:r>
        <w:rPr>
          <w:rStyle w:val="soitChar"/>
        </w:rPr>
        <w:t>2. </w:t>
      </w:r>
      <w:r>
        <w:rPr>
          <w:rStyle w:val="soitChar"/>
          <w:u w:val="single"/>
        </w:rPr>
        <w:t>A la pièce</w:t>
      </w:r>
      <w:r>
        <w:rPr>
          <w:rStyle w:val="soitChar"/>
        </w:rPr>
        <w:t> : de dimensions identiques</w:t>
      </w:r>
    </w:p>
    <w:p w14:paraId="64F8BBDD" w14:textId="77777777" w:rsidR="00DF410E" w:rsidRDefault="00CE7F43">
      <w:pPr>
        <w:spacing w:line="252" w:lineRule="auto"/>
      </w:pPr>
      <w:r>
        <w:rPr>
          <w:b/>
        </w:rPr>
        <w:t>(soit)</w:t>
      </w:r>
    </w:p>
    <w:p w14:paraId="354BF8BC" w14:textId="77777777" w:rsidR="00DF410E" w:rsidRDefault="00CE7F43">
      <w:pPr>
        <w:spacing w:line="252" w:lineRule="auto"/>
      </w:pPr>
      <w:r>
        <w:rPr>
          <w:rStyle w:val="soitChar"/>
        </w:rPr>
        <w:t xml:space="preserve">3. </w:t>
      </w:r>
      <w:r>
        <w:rPr>
          <w:rStyle w:val="soitChar"/>
          <w:u w:val="single"/>
        </w:rPr>
        <w:t>Surface nette   du parement</w:t>
      </w:r>
      <w:r>
        <w:rPr>
          <w:rStyle w:val="soitChar"/>
        </w:rPr>
        <w:t xml:space="preserve"> ; la surface apparente nette à exécuter. Distinction faite suivant l'épaisseur.</w:t>
      </w:r>
    </w:p>
    <w:p w14:paraId="3E9209E8" w14:textId="77777777" w:rsidR="00DF410E" w:rsidRDefault="00CE7F43">
      <w:pPr>
        <w:pStyle w:val="pheading"/>
      </w:pPr>
      <w:r>
        <w:t>- nature du marché:</w:t>
      </w:r>
    </w:p>
    <w:p w14:paraId="0392D94F" w14:textId="77777777" w:rsidR="00DF410E" w:rsidRDefault="00CE7F43">
      <w:r>
        <w:t>QF</w:t>
      </w:r>
    </w:p>
    <w:p w14:paraId="33A75EE0" w14:textId="77777777" w:rsidR="00DF410E" w:rsidRDefault="00CE7F43">
      <w:pPr>
        <w:pStyle w:val="Author-eSectionHeading6"/>
      </w:pPr>
      <w:bookmarkStart w:id="309" w:name="_Toc178837533"/>
      <w:r>
        <w:t>21.36.2b Plinthes en pierre calcaire CCTB 01.11</w:t>
      </w:r>
      <w:bookmarkEnd w:id="309"/>
    </w:p>
    <w:p w14:paraId="36EF938A" w14:textId="77777777" w:rsidR="00DF410E" w:rsidRDefault="00CE7F43">
      <w:pPr>
        <w:pStyle w:val="pheading"/>
      </w:pPr>
      <w:r>
        <w:t>MESURAGE</w:t>
      </w:r>
    </w:p>
    <w:p w14:paraId="1FFBD8A5" w14:textId="77777777" w:rsidR="00DF410E" w:rsidRDefault="00CE7F43">
      <w:pPr>
        <w:pStyle w:val="pheading"/>
      </w:pPr>
      <w:r>
        <w:t>- unité de mesure:</w:t>
      </w:r>
    </w:p>
    <w:p w14:paraId="1BB2FEAC" w14:textId="77777777" w:rsidR="00DF410E" w:rsidRDefault="00CE7F43">
      <w:r>
        <w:rPr>
          <w:rStyle w:val="optioncarChar"/>
        </w:rPr>
        <w:t>m³ </w:t>
      </w:r>
      <w:r>
        <w:rPr>
          <w:rStyle w:val="optioncarChar"/>
          <w:color w:val="000000"/>
        </w:rPr>
        <w:t>(par défaut)</w:t>
      </w:r>
      <w:r>
        <w:rPr>
          <w:rStyle w:val="optioncarChar"/>
        </w:rPr>
        <w:t> / pc / m²</w:t>
      </w:r>
    </w:p>
    <w:p w14:paraId="3CE0BFF6" w14:textId="77777777" w:rsidR="00DF410E" w:rsidRDefault="00CE7F43">
      <w:pPr>
        <w:spacing w:after="0" w:line="0" w:lineRule="atLeast"/>
      </w:pPr>
      <w:r>
        <w:rPr>
          <w:b/>
          <w:color w:val="000000"/>
        </w:rPr>
        <w:t>(soit par défaut)</w:t>
      </w:r>
    </w:p>
    <w:p w14:paraId="1531120B" w14:textId="77777777" w:rsidR="00DF410E" w:rsidRDefault="00CE7F43">
      <w:pPr>
        <w:spacing w:after="0" w:line="0" w:lineRule="atLeast"/>
      </w:pPr>
      <w:r>
        <w:rPr>
          <w:rStyle w:val="soitChar"/>
        </w:rPr>
        <w:t>1. m³</w:t>
      </w:r>
    </w:p>
    <w:p w14:paraId="168DE306" w14:textId="77777777" w:rsidR="00DF410E" w:rsidRDefault="00CE7F43">
      <w:pPr>
        <w:spacing w:after="0" w:line="0" w:lineRule="atLeast"/>
      </w:pPr>
      <w:r>
        <w:rPr>
          <w:b/>
          <w:color w:val="000000"/>
        </w:rPr>
        <w:t>(soit)</w:t>
      </w:r>
    </w:p>
    <w:p w14:paraId="5C4B2B67" w14:textId="77777777" w:rsidR="00DF410E" w:rsidRDefault="00CE7F43">
      <w:pPr>
        <w:spacing w:after="0" w:line="0" w:lineRule="atLeast"/>
      </w:pPr>
      <w:r>
        <w:rPr>
          <w:rStyle w:val="soitChar"/>
        </w:rPr>
        <w:t>2. pc</w:t>
      </w:r>
    </w:p>
    <w:p w14:paraId="4ACD0089" w14:textId="77777777" w:rsidR="00DF410E" w:rsidRDefault="00CE7F43">
      <w:pPr>
        <w:spacing w:after="0" w:line="0" w:lineRule="atLeast"/>
      </w:pPr>
      <w:r>
        <w:rPr>
          <w:b/>
          <w:color w:val="000000"/>
        </w:rPr>
        <w:t>(soit)</w:t>
      </w:r>
    </w:p>
    <w:p w14:paraId="359A53BF" w14:textId="77777777" w:rsidR="00DF410E" w:rsidRDefault="00CE7F43">
      <w:pPr>
        <w:spacing w:after="0" w:line="0" w:lineRule="atLeast"/>
      </w:pPr>
      <w:r>
        <w:rPr>
          <w:rStyle w:val="soitChar"/>
        </w:rPr>
        <w:t>3. m²</w:t>
      </w:r>
    </w:p>
    <w:p w14:paraId="7C8BA744" w14:textId="77777777" w:rsidR="00DF410E" w:rsidRDefault="00CE7F43">
      <w:pPr>
        <w:pStyle w:val="pheading"/>
      </w:pPr>
      <w:r>
        <w:t>- code de mesurage:</w:t>
      </w:r>
    </w:p>
    <w:p w14:paraId="149CD697" w14:textId="77777777" w:rsidR="00DF410E" w:rsidRDefault="00CE7F43">
      <w:r>
        <w:rPr>
          <w:rStyle w:val="optioncarChar"/>
        </w:rPr>
        <w:t>Au volume net du parement / à la pièce / à la surface du parement</w:t>
      </w:r>
    </w:p>
    <w:p w14:paraId="5FE10E22" w14:textId="77777777" w:rsidR="00DF410E" w:rsidRDefault="00CE7F43">
      <w:pPr>
        <w:spacing w:after="0" w:line="252" w:lineRule="auto"/>
      </w:pPr>
      <w:r>
        <w:rPr>
          <w:b/>
          <w:color w:val="000000"/>
        </w:rPr>
        <w:t>(soit par défaut)</w:t>
      </w:r>
    </w:p>
    <w:p w14:paraId="57E81FCB" w14:textId="77777777" w:rsidR="00DF410E" w:rsidRDefault="00CE7F43">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7F1888BB" w14:textId="77777777" w:rsidR="00DF410E" w:rsidRDefault="00CE7F43">
      <w:pPr>
        <w:spacing w:line="252" w:lineRule="auto"/>
      </w:pPr>
      <w:r>
        <w:rPr>
          <w:b/>
        </w:rPr>
        <w:t>(soit)</w:t>
      </w:r>
    </w:p>
    <w:p w14:paraId="6B4273E7" w14:textId="77777777" w:rsidR="00DF410E" w:rsidRDefault="00CE7F43">
      <w:pPr>
        <w:spacing w:line="252" w:lineRule="auto"/>
      </w:pPr>
      <w:r>
        <w:rPr>
          <w:rStyle w:val="soitChar"/>
        </w:rPr>
        <w:t>2. </w:t>
      </w:r>
      <w:r>
        <w:rPr>
          <w:rStyle w:val="soitChar"/>
          <w:u w:val="single"/>
        </w:rPr>
        <w:t>A la pièce</w:t>
      </w:r>
      <w:r>
        <w:rPr>
          <w:rStyle w:val="soitChar"/>
        </w:rPr>
        <w:t> : de dimensions identiques</w:t>
      </w:r>
    </w:p>
    <w:p w14:paraId="6F655C6D" w14:textId="77777777" w:rsidR="00DF410E" w:rsidRDefault="00CE7F43">
      <w:pPr>
        <w:spacing w:line="252" w:lineRule="auto"/>
      </w:pPr>
      <w:r>
        <w:rPr>
          <w:b/>
        </w:rPr>
        <w:t>(soit)</w:t>
      </w:r>
    </w:p>
    <w:p w14:paraId="1E97B703" w14:textId="77777777" w:rsidR="00DF410E" w:rsidRDefault="00CE7F43">
      <w:pPr>
        <w:spacing w:line="252" w:lineRule="auto"/>
      </w:pPr>
      <w:r>
        <w:rPr>
          <w:rStyle w:val="soitChar"/>
        </w:rPr>
        <w:t>3. </w:t>
      </w:r>
      <w:r>
        <w:rPr>
          <w:rStyle w:val="soitChar"/>
          <w:u w:val="single"/>
        </w:rPr>
        <w:t>Surface nette     du parement</w:t>
      </w:r>
      <w:r>
        <w:rPr>
          <w:rStyle w:val="soitChar"/>
        </w:rPr>
        <w:t> ; la surface apparente nette à exécuter. </w:t>
      </w:r>
      <w:r>
        <w:t> </w:t>
      </w:r>
      <w:r>
        <w:rPr>
          <w:rStyle w:val="soitChar"/>
        </w:rPr>
        <w:t>Distinction faite suivant l'épaisseur.</w:t>
      </w:r>
    </w:p>
    <w:p w14:paraId="3D54B9D8" w14:textId="77777777" w:rsidR="00DF410E" w:rsidRDefault="00CE7F43">
      <w:pPr>
        <w:pStyle w:val="pheading"/>
      </w:pPr>
      <w:r>
        <w:t>- nature du marché:</w:t>
      </w:r>
    </w:p>
    <w:p w14:paraId="766A5F71" w14:textId="77777777" w:rsidR="00DF410E" w:rsidRDefault="00CE7F43">
      <w:r>
        <w:t>QF</w:t>
      </w:r>
    </w:p>
    <w:p w14:paraId="69DC794B" w14:textId="77777777" w:rsidR="00DF410E" w:rsidRDefault="00CE7F43">
      <w:pPr>
        <w:pStyle w:val="Author-eSectionHeading6"/>
      </w:pPr>
      <w:bookmarkStart w:id="310" w:name="_Toc178837534"/>
      <w:r>
        <w:t>21.36.2c Plinthes en marbre CCTB 01.11</w:t>
      </w:r>
      <w:bookmarkEnd w:id="310"/>
    </w:p>
    <w:p w14:paraId="4A262D34" w14:textId="77777777" w:rsidR="00DF410E" w:rsidRDefault="00CE7F43">
      <w:pPr>
        <w:pStyle w:val="pheading"/>
      </w:pPr>
      <w:r>
        <w:t>MESURAGE</w:t>
      </w:r>
    </w:p>
    <w:p w14:paraId="35A10081" w14:textId="77777777" w:rsidR="00DF410E" w:rsidRDefault="00CE7F43">
      <w:pPr>
        <w:pStyle w:val="pheading"/>
      </w:pPr>
      <w:r>
        <w:t>- unité de mesure:</w:t>
      </w:r>
    </w:p>
    <w:p w14:paraId="7C9D1BD1" w14:textId="77777777" w:rsidR="00DF410E" w:rsidRDefault="00CE7F43">
      <w:r>
        <w:rPr>
          <w:rStyle w:val="optioncarChar"/>
        </w:rPr>
        <w:t>m³ </w:t>
      </w:r>
      <w:r>
        <w:rPr>
          <w:rStyle w:val="optioncarChar"/>
          <w:color w:val="000000"/>
        </w:rPr>
        <w:t>(par défaut)</w:t>
      </w:r>
      <w:r>
        <w:rPr>
          <w:rStyle w:val="optioncarChar"/>
        </w:rPr>
        <w:t> / pc / m²</w:t>
      </w:r>
    </w:p>
    <w:p w14:paraId="324121A7" w14:textId="77777777" w:rsidR="00DF410E" w:rsidRDefault="00CE7F43">
      <w:pPr>
        <w:spacing w:after="0" w:line="0" w:lineRule="atLeast"/>
      </w:pPr>
      <w:r>
        <w:rPr>
          <w:b/>
          <w:color w:val="000000"/>
        </w:rPr>
        <w:t>(soit par défaut)</w:t>
      </w:r>
    </w:p>
    <w:p w14:paraId="07B4DFE9" w14:textId="77777777" w:rsidR="00DF410E" w:rsidRDefault="00CE7F43">
      <w:pPr>
        <w:spacing w:after="0" w:line="0" w:lineRule="atLeast"/>
      </w:pPr>
      <w:r>
        <w:rPr>
          <w:rStyle w:val="soitChar"/>
        </w:rPr>
        <w:t>1. m³</w:t>
      </w:r>
    </w:p>
    <w:p w14:paraId="40FE91C3" w14:textId="77777777" w:rsidR="00DF410E" w:rsidRDefault="00CE7F43">
      <w:pPr>
        <w:spacing w:after="0" w:line="0" w:lineRule="atLeast"/>
      </w:pPr>
      <w:r>
        <w:rPr>
          <w:b/>
          <w:color w:val="000000"/>
        </w:rPr>
        <w:t>(soit)</w:t>
      </w:r>
    </w:p>
    <w:p w14:paraId="012AAE73" w14:textId="77777777" w:rsidR="00DF410E" w:rsidRDefault="00CE7F43">
      <w:pPr>
        <w:spacing w:after="0" w:line="0" w:lineRule="atLeast"/>
      </w:pPr>
      <w:r>
        <w:rPr>
          <w:rStyle w:val="soitChar"/>
        </w:rPr>
        <w:t>2. pc</w:t>
      </w:r>
    </w:p>
    <w:p w14:paraId="5D7325A0" w14:textId="77777777" w:rsidR="00DF410E" w:rsidRDefault="00CE7F43">
      <w:pPr>
        <w:spacing w:after="0" w:line="0" w:lineRule="atLeast"/>
      </w:pPr>
      <w:r>
        <w:rPr>
          <w:b/>
          <w:color w:val="000000"/>
        </w:rPr>
        <w:t>(soit)</w:t>
      </w:r>
    </w:p>
    <w:p w14:paraId="25775FA4" w14:textId="77777777" w:rsidR="00DF410E" w:rsidRDefault="00CE7F43">
      <w:pPr>
        <w:spacing w:after="0" w:line="0" w:lineRule="atLeast"/>
      </w:pPr>
      <w:r>
        <w:rPr>
          <w:rStyle w:val="soitChar"/>
        </w:rPr>
        <w:t>3. m²</w:t>
      </w:r>
    </w:p>
    <w:p w14:paraId="6F9CE6D3" w14:textId="77777777" w:rsidR="00DF410E" w:rsidRDefault="00CE7F43">
      <w:pPr>
        <w:pStyle w:val="pheading"/>
      </w:pPr>
      <w:r>
        <w:t>- code de mesurage:</w:t>
      </w:r>
    </w:p>
    <w:p w14:paraId="71501B18" w14:textId="77777777" w:rsidR="00DF410E" w:rsidRDefault="00CE7F43">
      <w:r>
        <w:rPr>
          <w:rStyle w:val="optioncarChar"/>
        </w:rPr>
        <w:t>Au volume net du parement / à la pièce / à la surface du parement</w:t>
      </w:r>
    </w:p>
    <w:p w14:paraId="292C5E08" w14:textId="77777777" w:rsidR="00DF410E" w:rsidRDefault="00CE7F43">
      <w:pPr>
        <w:spacing w:after="0" w:line="252" w:lineRule="auto"/>
      </w:pPr>
      <w:r>
        <w:rPr>
          <w:b/>
          <w:color w:val="000000"/>
        </w:rPr>
        <w:t>(soit par défaut)</w:t>
      </w:r>
    </w:p>
    <w:p w14:paraId="26202B8E" w14:textId="77777777" w:rsidR="00DF410E" w:rsidRDefault="00CE7F43">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3B33A779" w14:textId="77777777" w:rsidR="00DF410E" w:rsidRDefault="00CE7F43">
      <w:pPr>
        <w:spacing w:line="252" w:lineRule="auto"/>
      </w:pPr>
      <w:r>
        <w:rPr>
          <w:b/>
        </w:rPr>
        <w:t>(soit)</w:t>
      </w:r>
    </w:p>
    <w:p w14:paraId="47ACB256" w14:textId="77777777" w:rsidR="00DF410E" w:rsidRDefault="00CE7F43">
      <w:pPr>
        <w:spacing w:line="252" w:lineRule="auto"/>
      </w:pPr>
      <w:r>
        <w:rPr>
          <w:rStyle w:val="soitChar"/>
        </w:rPr>
        <w:t>2. </w:t>
      </w:r>
      <w:r>
        <w:rPr>
          <w:rStyle w:val="soitChar"/>
          <w:u w:val="single"/>
        </w:rPr>
        <w:t>A la pièce</w:t>
      </w:r>
      <w:r>
        <w:rPr>
          <w:rStyle w:val="soitChar"/>
        </w:rPr>
        <w:t> : de dimensions identiques</w:t>
      </w:r>
    </w:p>
    <w:p w14:paraId="47425DDD" w14:textId="77777777" w:rsidR="00DF410E" w:rsidRDefault="00CE7F43">
      <w:pPr>
        <w:spacing w:line="252" w:lineRule="auto"/>
      </w:pPr>
      <w:r>
        <w:rPr>
          <w:b/>
        </w:rPr>
        <w:t>(soit)</w:t>
      </w:r>
    </w:p>
    <w:p w14:paraId="5817D235" w14:textId="77777777" w:rsidR="00DF410E" w:rsidRDefault="00CE7F43">
      <w:pPr>
        <w:spacing w:line="252" w:lineRule="auto"/>
      </w:pPr>
      <w:r>
        <w:rPr>
          <w:rStyle w:val="soitChar"/>
        </w:rPr>
        <w:t>3. </w:t>
      </w:r>
      <w:r>
        <w:rPr>
          <w:rStyle w:val="soitChar"/>
          <w:u w:val="single"/>
        </w:rPr>
        <w:t>Surface nette</w:t>
      </w:r>
      <w:r>
        <w:rPr>
          <w:rStyle w:val="soitChar"/>
        </w:rPr>
        <w:t> </w:t>
      </w:r>
      <w:r>
        <w:rPr>
          <w:rStyle w:val="soitChar"/>
          <w:u w:val="single"/>
        </w:rPr>
        <w:t>  du parement</w:t>
      </w:r>
      <w:r>
        <w:rPr>
          <w:rStyle w:val="soitChar"/>
        </w:rPr>
        <w:t> ; la surface apparente nette à exécuter. </w:t>
      </w:r>
      <w:r>
        <w:t> </w:t>
      </w:r>
      <w:r>
        <w:rPr>
          <w:rStyle w:val="soitChar"/>
        </w:rPr>
        <w:t>Distinction faite suivant l'épaisseur.</w:t>
      </w:r>
    </w:p>
    <w:p w14:paraId="24E81CD0" w14:textId="77777777" w:rsidR="00DF410E" w:rsidRDefault="00CE7F43">
      <w:pPr>
        <w:pStyle w:val="pheading"/>
      </w:pPr>
      <w:r>
        <w:t>- nature du marché:</w:t>
      </w:r>
    </w:p>
    <w:p w14:paraId="77A61E11" w14:textId="77777777" w:rsidR="00DF410E" w:rsidRDefault="00CE7F43">
      <w:r>
        <w:t>QF</w:t>
      </w:r>
    </w:p>
    <w:p w14:paraId="3ADC6F75" w14:textId="77777777" w:rsidR="00DF410E" w:rsidRDefault="00CE7F43">
      <w:pPr>
        <w:pStyle w:val="Author-eSectionHeading6"/>
      </w:pPr>
      <w:bookmarkStart w:id="311" w:name="_Toc178837535"/>
      <w:r>
        <w:t>21.36.2d Plinthes en granite CCTB 01.11</w:t>
      </w:r>
      <w:bookmarkEnd w:id="311"/>
    </w:p>
    <w:p w14:paraId="35ACA9F4" w14:textId="77777777" w:rsidR="00DF410E" w:rsidRDefault="00CE7F43">
      <w:pPr>
        <w:pStyle w:val="pheading"/>
      </w:pPr>
      <w:r>
        <w:t>MESURAGE</w:t>
      </w:r>
    </w:p>
    <w:p w14:paraId="3C00D64C" w14:textId="77777777" w:rsidR="00DF410E" w:rsidRDefault="00CE7F43">
      <w:pPr>
        <w:pStyle w:val="pheading"/>
      </w:pPr>
      <w:r>
        <w:t>- unité de mesure:</w:t>
      </w:r>
    </w:p>
    <w:p w14:paraId="072A0797" w14:textId="77777777" w:rsidR="00DF410E" w:rsidRDefault="00CE7F43">
      <w:r>
        <w:rPr>
          <w:rStyle w:val="optioncarChar"/>
        </w:rPr>
        <w:t>m³ </w:t>
      </w:r>
      <w:r>
        <w:rPr>
          <w:rStyle w:val="optioncarChar"/>
          <w:color w:val="000000"/>
        </w:rPr>
        <w:t>(par défaut)</w:t>
      </w:r>
      <w:r>
        <w:rPr>
          <w:rStyle w:val="optioncarChar"/>
        </w:rPr>
        <w:t> / pc / m²</w:t>
      </w:r>
    </w:p>
    <w:p w14:paraId="7271E77F" w14:textId="77777777" w:rsidR="00DF410E" w:rsidRDefault="00CE7F43">
      <w:pPr>
        <w:spacing w:after="0" w:line="0" w:lineRule="atLeast"/>
      </w:pPr>
      <w:r>
        <w:rPr>
          <w:b/>
          <w:color w:val="000000"/>
        </w:rPr>
        <w:t>(soit par défaut)</w:t>
      </w:r>
    </w:p>
    <w:p w14:paraId="16CAE375" w14:textId="77777777" w:rsidR="00DF410E" w:rsidRDefault="00CE7F43">
      <w:pPr>
        <w:spacing w:after="0" w:line="0" w:lineRule="atLeast"/>
      </w:pPr>
      <w:r>
        <w:rPr>
          <w:rStyle w:val="soitChar"/>
        </w:rPr>
        <w:t>1. m³</w:t>
      </w:r>
    </w:p>
    <w:p w14:paraId="0084BDC6" w14:textId="77777777" w:rsidR="00DF410E" w:rsidRDefault="00CE7F43">
      <w:pPr>
        <w:spacing w:after="0" w:line="0" w:lineRule="atLeast"/>
      </w:pPr>
      <w:r>
        <w:rPr>
          <w:b/>
          <w:color w:val="000000"/>
        </w:rPr>
        <w:t>(soit)</w:t>
      </w:r>
    </w:p>
    <w:p w14:paraId="7F71063B" w14:textId="77777777" w:rsidR="00DF410E" w:rsidRDefault="00CE7F43">
      <w:pPr>
        <w:spacing w:after="0" w:line="0" w:lineRule="atLeast"/>
      </w:pPr>
      <w:r>
        <w:rPr>
          <w:rStyle w:val="soitChar"/>
        </w:rPr>
        <w:t>2. pc</w:t>
      </w:r>
    </w:p>
    <w:p w14:paraId="2E08F335" w14:textId="77777777" w:rsidR="00DF410E" w:rsidRDefault="00CE7F43">
      <w:pPr>
        <w:spacing w:after="0" w:line="0" w:lineRule="atLeast"/>
      </w:pPr>
      <w:r>
        <w:rPr>
          <w:b/>
          <w:color w:val="000000"/>
        </w:rPr>
        <w:t>(soit)</w:t>
      </w:r>
    </w:p>
    <w:p w14:paraId="2866FB51" w14:textId="77777777" w:rsidR="00DF410E" w:rsidRDefault="00CE7F43">
      <w:pPr>
        <w:spacing w:after="0" w:line="0" w:lineRule="atLeast"/>
      </w:pPr>
      <w:r>
        <w:rPr>
          <w:rStyle w:val="soitChar"/>
        </w:rPr>
        <w:t>3. m²</w:t>
      </w:r>
    </w:p>
    <w:p w14:paraId="11C41BB5" w14:textId="77777777" w:rsidR="00DF410E" w:rsidRDefault="00CE7F43">
      <w:pPr>
        <w:pStyle w:val="pheading"/>
      </w:pPr>
      <w:r>
        <w:t>- code de mesurage:</w:t>
      </w:r>
    </w:p>
    <w:p w14:paraId="2B67BAF5" w14:textId="77777777" w:rsidR="00DF410E" w:rsidRDefault="00CE7F43">
      <w:r>
        <w:rPr>
          <w:rStyle w:val="optioncarChar"/>
        </w:rPr>
        <w:t>Au volume net du parement / à la pièce / à la surface du parement</w:t>
      </w:r>
    </w:p>
    <w:p w14:paraId="457C186E" w14:textId="77777777" w:rsidR="00DF410E" w:rsidRDefault="00CE7F43">
      <w:pPr>
        <w:spacing w:after="0" w:line="252" w:lineRule="auto"/>
      </w:pPr>
      <w:r>
        <w:rPr>
          <w:b/>
          <w:color w:val="000000"/>
        </w:rPr>
        <w:t>(soit par défaut)</w:t>
      </w:r>
    </w:p>
    <w:p w14:paraId="44C1FC1E" w14:textId="77777777" w:rsidR="00DF410E" w:rsidRDefault="00CE7F43">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60F1E1AA" w14:textId="77777777" w:rsidR="00DF410E" w:rsidRDefault="00CE7F43">
      <w:pPr>
        <w:spacing w:line="252" w:lineRule="auto"/>
      </w:pPr>
      <w:r>
        <w:rPr>
          <w:b/>
        </w:rPr>
        <w:t>(soit)</w:t>
      </w:r>
    </w:p>
    <w:p w14:paraId="3A6B1DA3" w14:textId="77777777" w:rsidR="00DF410E" w:rsidRDefault="00CE7F43">
      <w:pPr>
        <w:spacing w:line="252" w:lineRule="auto"/>
      </w:pPr>
      <w:r>
        <w:rPr>
          <w:rStyle w:val="soitChar"/>
        </w:rPr>
        <w:t>2. </w:t>
      </w:r>
      <w:r>
        <w:rPr>
          <w:rStyle w:val="soitChar"/>
          <w:u w:val="single"/>
        </w:rPr>
        <w:t>A la pièce</w:t>
      </w:r>
      <w:r>
        <w:rPr>
          <w:rStyle w:val="soitChar"/>
        </w:rPr>
        <w:t> : de dimensions identiques</w:t>
      </w:r>
    </w:p>
    <w:p w14:paraId="3A5CB8C0" w14:textId="77777777" w:rsidR="00DF410E" w:rsidRDefault="00CE7F43">
      <w:pPr>
        <w:spacing w:line="252" w:lineRule="auto"/>
      </w:pPr>
      <w:r>
        <w:rPr>
          <w:b/>
        </w:rPr>
        <w:t>(soit)</w:t>
      </w:r>
    </w:p>
    <w:p w14:paraId="122882FB" w14:textId="77777777" w:rsidR="00DF410E" w:rsidRDefault="00CE7F43">
      <w:pPr>
        <w:spacing w:line="252" w:lineRule="auto"/>
      </w:pPr>
      <w:r>
        <w:rPr>
          <w:rStyle w:val="soitChar"/>
        </w:rPr>
        <w:t>3. </w:t>
      </w:r>
      <w:r>
        <w:rPr>
          <w:rStyle w:val="soitChar"/>
          <w:u w:val="single"/>
        </w:rPr>
        <w:t>Surface nette</w:t>
      </w:r>
      <w:r>
        <w:rPr>
          <w:rStyle w:val="soitChar"/>
        </w:rPr>
        <w:t> </w:t>
      </w:r>
      <w:r>
        <w:rPr>
          <w:rStyle w:val="soitChar"/>
          <w:u w:val="single"/>
        </w:rPr>
        <w:t>  du parement</w:t>
      </w:r>
      <w:r>
        <w:rPr>
          <w:rStyle w:val="soitChar"/>
        </w:rPr>
        <w:t> ; la surface apparente nette à exécuter. </w:t>
      </w:r>
      <w:r>
        <w:t> </w:t>
      </w:r>
      <w:r>
        <w:rPr>
          <w:rStyle w:val="soitChar"/>
        </w:rPr>
        <w:t>Distinction faite suivant l'épaisseur.</w:t>
      </w:r>
    </w:p>
    <w:p w14:paraId="373599DF" w14:textId="77777777" w:rsidR="00DF410E" w:rsidRDefault="00CE7F43">
      <w:pPr>
        <w:pStyle w:val="pheading"/>
      </w:pPr>
      <w:r>
        <w:t>- nature du marché:</w:t>
      </w:r>
    </w:p>
    <w:p w14:paraId="1E5CCCD1" w14:textId="77777777" w:rsidR="00DF410E" w:rsidRDefault="00CE7F43">
      <w:r>
        <w:t>QF</w:t>
      </w:r>
    </w:p>
    <w:p w14:paraId="692A285E" w14:textId="77777777" w:rsidR="00DF410E" w:rsidRDefault="00CE7F43">
      <w:pPr>
        <w:pStyle w:val="Author-eSectionHeading6"/>
      </w:pPr>
      <w:bookmarkStart w:id="312" w:name="_Toc178837536"/>
      <w:r>
        <w:t>21.36.2e Plinthes préfabriquées en béton CCTB 01.11</w:t>
      </w:r>
      <w:bookmarkEnd w:id="312"/>
    </w:p>
    <w:p w14:paraId="115B9211" w14:textId="77777777" w:rsidR="00DF410E" w:rsidRDefault="00CE7F43">
      <w:pPr>
        <w:pStyle w:val="pheading"/>
      </w:pPr>
      <w:r>
        <w:t>MATÉRIAUX</w:t>
      </w:r>
    </w:p>
    <w:p w14:paraId="00FF4995" w14:textId="77777777" w:rsidR="00DF410E" w:rsidRDefault="00CE7F43">
      <w:pPr>
        <w:pStyle w:val="pheading"/>
      </w:pPr>
      <w:r>
        <w:t>- Caractéristiques générales</w:t>
      </w:r>
    </w:p>
    <w:p w14:paraId="5CB67D78" w14:textId="77777777" w:rsidR="00DF410E" w:rsidRDefault="00CE7F43">
      <w:r>
        <w:t xml:space="preserve">Il s'agit des plinthes préfabriquées en béton armé étanche selon les prescriptions du chapitre </w:t>
      </w:r>
      <w:hyperlink w:anchor="87" w:history="1">
        <w:r>
          <w:t>22</w:t>
        </w:r>
      </w:hyperlink>
      <w:hyperlink w:anchor="87" w:history="1">
        <w:r>
          <w:t>Superstructures en béton</w:t>
        </w:r>
      </w:hyperlink>
    </w:p>
    <w:p w14:paraId="5FF8421B" w14:textId="77777777" w:rsidR="00DF410E" w:rsidRDefault="00CE7F43">
      <w:r>
        <w:rPr>
          <w:b/>
          <w:u w:val="single"/>
        </w:rPr>
        <w:t>Spécifications</w:t>
      </w:r>
    </w:p>
    <w:p w14:paraId="520CDF1F" w14:textId="77777777" w:rsidR="00DF410E" w:rsidRDefault="00CE7F43">
      <w:r>
        <w:t>Qualité du béton selon la [NBN B 15-001],</w:t>
      </w:r>
    </w:p>
    <w:p w14:paraId="52D895E2" w14:textId="77777777" w:rsidR="00DF410E" w:rsidRDefault="00CE7F43">
      <w:r>
        <w:t xml:space="preserve">Classe d'environnement </w:t>
      </w:r>
      <w:r>
        <w:rPr>
          <w:rStyle w:val="optioncarChar"/>
        </w:rPr>
        <w:t>EE2 / EE3 </w:t>
      </w:r>
      <w:r>
        <w:t>(par défaut)</w:t>
      </w:r>
      <w:r>
        <w:rPr>
          <w:rStyle w:val="optioncarChar"/>
        </w:rPr>
        <w:t xml:space="preserve"> / EE4 / ES1 / ES2 / ES3 / ES4 / EA1+*** / EA2+*** / EA3+***</w:t>
      </w:r>
    </w:p>
    <w:p w14:paraId="59FACEF9" w14:textId="77777777" w:rsidR="00DF410E" w:rsidRDefault="00CE7F43">
      <w:r>
        <w:t>Classe de résistance à la compression</w:t>
      </w:r>
      <w:r>
        <w:br/>
      </w:r>
      <w:r>
        <w:rPr>
          <w:rStyle w:val="optioncarChar"/>
        </w:rPr>
        <w:t xml:space="preserve">C25/30 // C30/37 </w:t>
      </w:r>
      <w:r>
        <w:t>(par défaut)</w:t>
      </w:r>
      <w:r>
        <w:rPr>
          <w:rStyle w:val="optioncarChar"/>
        </w:rPr>
        <w:t xml:space="preserve"> // C35/45 // C45/55 // C50/60 // C55/67 // C60/75 // C70/85 // C80/95 // C90/105 /// ***</w:t>
      </w:r>
    </w:p>
    <w:p w14:paraId="05E3186D" w14:textId="77777777" w:rsidR="00DF410E" w:rsidRDefault="00CE7F43">
      <w:r>
        <w:t xml:space="preserve">Armatures : </w:t>
      </w:r>
      <w:r>
        <w:rPr>
          <w:rStyle w:val="optioncarChar"/>
        </w:rPr>
        <w:t>***</w:t>
      </w:r>
    </w:p>
    <w:p w14:paraId="742CCBA3" w14:textId="77777777" w:rsidR="00DF410E" w:rsidRDefault="00CE7F43">
      <w:r>
        <w:t>Dimensions : bandes modulaires</w:t>
      </w:r>
    </w:p>
    <w:p w14:paraId="758D1556" w14:textId="77777777" w:rsidR="00DF410E" w:rsidRDefault="00CE7F43">
      <w:r>
        <w:t xml:space="preserve">Epaisseur des plaques : </w:t>
      </w:r>
      <w:r>
        <w:rPr>
          <w:rStyle w:val="optioncarChar"/>
        </w:rPr>
        <w:t>80</w:t>
      </w:r>
      <w:r>
        <w:t xml:space="preserve"> (par défaut) </w:t>
      </w:r>
      <w:r>
        <w:rPr>
          <w:rStyle w:val="optioncarChar"/>
        </w:rPr>
        <w:t xml:space="preserve">/ 90 / *** </w:t>
      </w:r>
      <w:r>
        <w:t>mm</w:t>
      </w:r>
    </w:p>
    <w:p w14:paraId="40787E73" w14:textId="77777777" w:rsidR="00DF410E" w:rsidRDefault="00CE7F43">
      <w:r>
        <w:t xml:space="preserve">Longueur des plinthes : maximum </w:t>
      </w:r>
      <w:r>
        <w:rPr>
          <w:rStyle w:val="optioncarChar"/>
        </w:rPr>
        <w:t>80 </w:t>
      </w:r>
      <w:r>
        <w:t>(par défaut)</w:t>
      </w:r>
      <w:r>
        <w:rPr>
          <w:rStyle w:val="optioncarChar"/>
        </w:rPr>
        <w:t xml:space="preserve"> / 100 / ***</w:t>
      </w:r>
      <w:r>
        <w:t xml:space="preserve"> cm (en fonction de l'épaisseur)</w:t>
      </w:r>
    </w:p>
    <w:p w14:paraId="6997E581" w14:textId="77777777" w:rsidR="00DF410E" w:rsidRDefault="00CE7F43">
      <w:r>
        <w:t xml:space="preserve">Hauteur des plinthes : </w:t>
      </w:r>
      <w:r>
        <w:rPr>
          <w:rStyle w:val="optioncarChar"/>
        </w:rPr>
        <w:t>20 </w:t>
      </w:r>
      <w:r>
        <w:t>(par défaut)</w:t>
      </w:r>
      <w:r>
        <w:rPr>
          <w:rStyle w:val="optioncarChar"/>
        </w:rPr>
        <w:t xml:space="preserve"> / 25 / 30 / *** cm / en gradins selon le dessin de détail </w:t>
      </w:r>
    </w:p>
    <w:p w14:paraId="034C7D01" w14:textId="77777777" w:rsidR="00DF410E" w:rsidRDefault="00CE7F43">
      <w:r>
        <w:t xml:space="preserve">Profil des plinthes : </w:t>
      </w:r>
      <w:r>
        <w:rPr>
          <w:rStyle w:val="optioncarChar"/>
        </w:rPr>
        <w:t>plat </w:t>
      </w:r>
      <w:r>
        <w:t>(par défaut)</w:t>
      </w:r>
      <w:r>
        <w:rPr>
          <w:rStyle w:val="optioncarChar"/>
        </w:rPr>
        <w:t xml:space="preserve"> / selon le dessin de détail / ***</w:t>
      </w:r>
    </w:p>
    <w:p w14:paraId="28643B7F" w14:textId="77777777" w:rsidR="00DF410E" w:rsidRDefault="00CE7F43">
      <w:pPr>
        <w:pStyle w:val="pheading"/>
      </w:pPr>
      <w:r>
        <w:t>- Finitions</w:t>
      </w:r>
    </w:p>
    <w:p w14:paraId="284B5075" w14:textId="77777777" w:rsidR="00DF410E" w:rsidRDefault="00CE7F43">
      <w:r>
        <w:t xml:space="preserve">Surface : </w:t>
      </w:r>
      <w:r>
        <w:rPr>
          <w:rStyle w:val="optioncarChar"/>
        </w:rPr>
        <w:t>brute et lisse </w:t>
      </w:r>
      <w:r>
        <w:t>(par défaut)</w:t>
      </w:r>
      <w:r>
        <w:rPr>
          <w:rStyle w:val="optioncarChar"/>
        </w:rPr>
        <w:t xml:space="preserve"> / brute et finement texturée (par défaut) / brute et grossièrement texturée / brute à relief (ou structurée)</w:t>
      </w:r>
    </w:p>
    <w:p w14:paraId="6C5A5066" w14:textId="77777777" w:rsidR="00DF410E" w:rsidRDefault="00CE7F43">
      <w:r>
        <w:t xml:space="preserve">Couleur : </w:t>
      </w:r>
      <w:r>
        <w:rPr>
          <w:rStyle w:val="optioncarChar"/>
        </w:rPr>
        <w:t>gris clair </w:t>
      </w:r>
      <w:r>
        <w:t>(par défaut)</w:t>
      </w:r>
      <w:r>
        <w:rPr>
          <w:rStyle w:val="optioncarChar"/>
        </w:rPr>
        <w:t xml:space="preserve"> / ***</w:t>
      </w:r>
    </w:p>
    <w:p w14:paraId="5FCB4639" w14:textId="77777777" w:rsidR="00DF410E" w:rsidRDefault="00CE7F43">
      <w:pPr>
        <w:pStyle w:val="pheading"/>
      </w:pPr>
      <w:r>
        <w:t>EXÉCUTION / MISE EN ŒUVRE</w:t>
      </w:r>
    </w:p>
    <w:p w14:paraId="1451EB93" w14:textId="77777777" w:rsidR="00DF410E" w:rsidRDefault="00CE7F43">
      <w:pPr>
        <w:pStyle w:val="pheading"/>
      </w:pPr>
      <w:r>
        <w:t>- Prescriptions générales</w:t>
      </w:r>
    </w:p>
    <w:p w14:paraId="25C72B57" w14:textId="77777777" w:rsidR="00DF410E" w:rsidRDefault="00CE7F43">
      <w:r>
        <w:t xml:space="preserve">Les plinthes sont posées avec un retrait d'environ </w:t>
      </w:r>
      <w:r>
        <w:rPr>
          <w:rStyle w:val="optioncarChar"/>
        </w:rPr>
        <w:t>10 </w:t>
      </w:r>
      <w:r>
        <w:t>(par défaut)</w:t>
      </w:r>
      <w:r>
        <w:rPr>
          <w:rStyle w:val="optioncarChar"/>
        </w:rPr>
        <w:t xml:space="preserve"> / *** </w:t>
      </w:r>
      <w:r>
        <w:t xml:space="preserve">mm par rapport au </w:t>
      </w:r>
      <w:r>
        <w:rPr>
          <w:rStyle w:val="optioncarChar"/>
        </w:rPr>
        <w:t>parement de façade </w:t>
      </w:r>
      <w:r>
        <w:t>(par défaut)</w:t>
      </w:r>
      <w:r>
        <w:rPr>
          <w:rStyle w:val="optioncarChar"/>
        </w:rPr>
        <w:t xml:space="preserve"> / revêtement de façade / crépi de façade / *** </w:t>
      </w:r>
      <w:r>
        <w:t>prévu et sont placées, conformément aux indications sur les coupes détaillées :</w:t>
      </w:r>
    </w:p>
    <w:p w14:paraId="64D66046" w14:textId="77777777" w:rsidR="00DF410E" w:rsidRDefault="00CE7F43">
      <w:r>
        <w:t>La pose est faite </w:t>
      </w:r>
      <w:r>
        <w:rPr>
          <w:rStyle w:val="optioncarChar"/>
        </w:rPr>
        <w:t>avec coulisse / sans coulisse</w:t>
      </w:r>
    </w:p>
    <w:p w14:paraId="0F385C10" w14:textId="77777777" w:rsidR="00DF410E" w:rsidRDefault="00CE7F43">
      <w:r>
        <w:rPr>
          <w:b/>
        </w:rPr>
        <w:t>(soit)</w:t>
      </w:r>
    </w:p>
    <w:p w14:paraId="0030843E" w14:textId="77777777" w:rsidR="00DF410E" w:rsidRDefault="00CE7F43">
      <w:r>
        <w:rPr>
          <w:rStyle w:val="soitChar"/>
          <w:u w:val="single"/>
        </w:rPr>
        <w:t>Avec une coulisse</w:t>
      </w:r>
      <w:r>
        <w:rPr>
          <w:rStyle w:val="soitChar"/>
        </w:rPr>
        <w:t> ventilée d'une largeur d'au moins 3 cm.</w:t>
      </w:r>
    </w:p>
    <w:p w14:paraId="604DFB5D" w14:textId="77777777" w:rsidR="00DF410E" w:rsidRDefault="00CE7F43">
      <w:r>
        <w:rPr>
          <w:b/>
        </w:rPr>
        <w:t>(soit)</w:t>
      </w:r>
    </w:p>
    <w:p w14:paraId="2AB10B82" w14:textId="77777777" w:rsidR="00DF410E" w:rsidRDefault="00CE7F43">
      <w:r>
        <w:rPr>
          <w:rStyle w:val="soitChar"/>
          <w:u w:val="single"/>
        </w:rPr>
        <w:t>Sans coulisse,</w:t>
      </w:r>
      <w:r>
        <w:rPr>
          <w:rStyle w:val="soitChar"/>
        </w:rPr>
        <w:t> appliquées directement contre l'isolation du vide</w:t>
      </w:r>
    </w:p>
    <w:p w14:paraId="65135197" w14:textId="77777777" w:rsidR="00DF410E" w:rsidRDefault="00CE7F43">
      <w:r>
        <w:t xml:space="preserve">Les plinthes sont posées d'aplomb, d'équerre et bien planes selon l'appareillage dessiné sur les plans et/ou en concertation avec l'auteur de projet.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 xml:space="preserve">8 </w:t>
      </w:r>
      <w:r>
        <w:t>(par défaut) </w:t>
      </w:r>
      <w:r>
        <w:rPr>
          <w:rStyle w:val="optioncarChar"/>
        </w:rPr>
        <w:t xml:space="preserve">/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 xml:space="preserve">(par défaut) </w:t>
      </w:r>
      <w:r>
        <w:rPr>
          <w:rStyle w:val="optioncarChar"/>
        </w:rPr>
        <w:t xml:space="preserve">/ *** </w:t>
      </w:r>
      <w:r>
        <w:t xml:space="preserve">mm) sont posées. Au-dessus des plinthes, l'entreprise laisse un joint montant ouvert tous les </w:t>
      </w:r>
      <w:r>
        <w:rPr>
          <w:rStyle w:val="optioncarChar"/>
        </w:rPr>
        <w:t>120 </w:t>
      </w:r>
      <w:r>
        <w:t xml:space="preserve">(par défaut) </w:t>
      </w:r>
      <w:r>
        <w:rPr>
          <w:rStyle w:val="optioncarChar"/>
        </w:rPr>
        <w:t>/ ***</w:t>
      </w:r>
      <w:r>
        <w:t xml:space="preserve"> cm. Les joints montants ouverts sont marqués jusqu'après l'exécution du rejointoiement.</w:t>
      </w:r>
    </w:p>
    <w:p w14:paraId="312E061E" w14:textId="77777777" w:rsidR="00DF410E" w:rsidRDefault="00CE7F43">
      <w:pPr>
        <w:pStyle w:val="pheading"/>
      </w:pPr>
      <w:r>
        <w:t>- Notes d’exécution complémentaires</w:t>
      </w:r>
    </w:p>
    <w:p w14:paraId="4DAD74D4" w14:textId="77777777" w:rsidR="00DF410E" w:rsidRDefault="00CE7F43">
      <w:r>
        <w:t>Ancrage : Les plinthes sont reliées à la structure attenante au moyen d’agrafes</w:t>
      </w:r>
      <w:r>
        <w:rPr>
          <w:rStyle w:val="optioncarChar"/>
        </w:rPr>
        <w:t xml:space="preserve"> en inoxydable </w:t>
      </w:r>
      <w:r>
        <w:t>(par défaut)</w:t>
      </w:r>
      <w:r>
        <w:rPr>
          <w:rStyle w:val="optioncarChar"/>
        </w:rPr>
        <w:t xml:space="preserve"> /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 ; le système est agréé par l’auteur de projet / le bureau de stabilité et le maître de l’ouvrage.</w:t>
      </w:r>
    </w:p>
    <w:p w14:paraId="1267D13E" w14:textId="77777777" w:rsidR="00DF410E" w:rsidRDefault="00CE7F43">
      <w:r>
        <w:t>Étanchéité : </w:t>
      </w:r>
    </w:p>
    <w:p w14:paraId="33D30467" w14:textId="77777777" w:rsidR="00DF410E" w:rsidRDefault="00CE7F43">
      <w:r>
        <w:t>Isolation des murs creux :</w:t>
      </w:r>
    </w:p>
    <w:p w14:paraId="415CA4D5" w14:textId="77777777" w:rsidR="00DF410E" w:rsidRDefault="00CE7F43">
      <w:r>
        <w:t>Joints de façade :</w:t>
      </w:r>
    </w:p>
    <w:p w14:paraId="1A2C48D0" w14:textId="77777777" w:rsidR="00DF410E" w:rsidRDefault="00CE7F43">
      <w:r>
        <w:t xml:space="preserve">Eléments à intégrer : </w:t>
      </w:r>
      <w:r>
        <w:rPr>
          <w:rStyle w:val="optioncarChar"/>
        </w:rPr>
        <w:t xml:space="preserve">grilles de ventilation murales selon l'article </w:t>
      </w:r>
      <w:hyperlink w:anchor="409" w:history="1">
        <w:r>
          <w:rPr>
            <w:rStyle w:val="optioncarChar"/>
          </w:rPr>
          <w:t>21.44 Eléments de ventilation</w:t>
        </w:r>
      </w:hyperlink>
      <w:r>
        <w:rPr>
          <w:rStyle w:val="optioncarChar"/>
        </w:rPr>
        <w:t xml:space="preserve">  </w:t>
      </w:r>
      <w:r>
        <w:t>(par défaut) </w:t>
      </w:r>
      <w:r>
        <w:rPr>
          <w:rStyle w:val="optioncarChar"/>
        </w:rPr>
        <w:t>/***</w:t>
      </w:r>
    </w:p>
    <w:p w14:paraId="2FF20757" w14:textId="77777777" w:rsidR="00DF410E" w:rsidRDefault="00CE7F43">
      <w:r>
        <w:rPr>
          <w:rStyle w:val="optioncarChar"/>
        </w:rPr>
        <w:t> </w:t>
      </w:r>
    </w:p>
    <w:p w14:paraId="73105BC9" w14:textId="77777777" w:rsidR="00DF410E" w:rsidRDefault="00CE7F43">
      <w:r>
        <w:t> </w:t>
      </w:r>
    </w:p>
    <w:p w14:paraId="559E1D49" w14:textId="77777777" w:rsidR="00DF410E" w:rsidRDefault="00CE7F43">
      <w:pPr>
        <w:pStyle w:val="pheading"/>
      </w:pPr>
      <w:r>
        <w:t>MESURAGE</w:t>
      </w:r>
    </w:p>
    <w:p w14:paraId="2DD66FAF" w14:textId="77777777" w:rsidR="00DF410E" w:rsidRDefault="00CE7F43">
      <w:pPr>
        <w:pStyle w:val="pheading"/>
      </w:pPr>
      <w:r>
        <w:t>- unité de mesure:</w:t>
      </w:r>
    </w:p>
    <w:p w14:paraId="16875136" w14:textId="77777777" w:rsidR="00DF410E" w:rsidRDefault="00CE7F43">
      <w:r>
        <w:rPr>
          <w:rStyle w:val="optioncarChar"/>
        </w:rPr>
        <w:t>m </w:t>
      </w:r>
      <w:r>
        <w:rPr>
          <w:rStyle w:val="optioncarChar"/>
          <w:color w:val="000000"/>
        </w:rPr>
        <w:t>(par défaut)</w:t>
      </w:r>
      <w:r>
        <w:rPr>
          <w:rStyle w:val="optioncarChar"/>
        </w:rPr>
        <w:t> / pc / m²</w:t>
      </w:r>
    </w:p>
    <w:p w14:paraId="604346C7" w14:textId="77777777" w:rsidR="00DF410E" w:rsidRDefault="00CE7F43">
      <w:pPr>
        <w:spacing w:after="0" w:line="0" w:lineRule="atLeast"/>
      </w:pPr>
      <w:r>
        <w:rPr>
          <w:b/>
          <w:color w:val="000000"/>
        </w:rPr>
        <w:t>(soit par défaut)</w:t>
      </w:r>
    </w:p>
    <w:p w14:paraId="0FFF290C" w14:textId="77777777" w:rsidR="00DF410E" w:rsidRDefault="00CE7F43">
      <w:pPr>
        <w:spacing w:after="0" w:line="0" w:lineRule="atLeast"/>
      </w:pPr>
      <w:r>
        <w:rPr>
          <w:rStyle w:val="soitChar"/>
        </w:rPr>
        <w:t>1. m</w:t>
      </w:r>
    </w:p>
    <w:p w14:paraId="4AD6624A" w14:textId="77777777" w:rsidR="00DF410E" w:rsidRDefault="00CE7F43">
      <w:pPr>
        <w:spacing w:after="0" w:line="0" w:lineRule="atLeast"/>
      </w:pPr>
      <w:r>
        <w:rPr>
          <w:b/>
          <w:color w:val="000000"/>
        </w:rPr>
        <w:t>(soit)</w:t>
      </w:r>
    </w:p>
    <w:p w14:paraId="1D857BD0" w14:textId="77777777" w:rsidR="00DF410E" w:rsidRDefault="00CE7F43">
      <w:pPr>
        <w:spacing w:after="0" w:line="0" w:lineRule="atLeast"/>
      </w:pPr>
      <w:r>
        <w:rPr>
          <w:rStyle w:val="soitChar"/>
        </w:rPr>
        <w:t>2. pc</w:t>
      </w:r>
    </w:p>
    <w:p w14:paraId="24EBA69E" w14:textId="77777777" w:rsidR="00DF410E" w:rsidRDefault="00CE7F43">
      <w:pPr>
        <w:spacing w:after="0" w:line="0" w:lineRule="atLeast"/>
      </w:pPr>
      <w:r>
        <w:rPr>
          <w:b/>
          <w:color w:val="000000"/>
        </w:rPr>
        <w:t>(soit)</w:t>
      </w:r>
    </w:p>
    <w:p w14:paraId="7F63BCE2" w14:textId="77777777" w:rsidR="00DF410E" w:rsidRDefault="00CE7F43">
      <w:pPr>
        <w:spacing w:after="0" w:line="0" w:lineRule="atLeast"/>
      </w:pPr>
      <w:r>
        <w:rPr>
          <w:rStyle w:val="soitChar"/>
        </w:rPr>
        <w:t>3. m²</w:t>
      </w:r>
    </w:p>
    <w:p w14:paraId="305220DD" w14:textId="77777777" w:rsidR="00DF410E" w:rsidRDefault="00CE7F43">
      <w:pPr>
        <w:pStyle w:val="pheading"/>
      </w:pPr>
      <w:r>
        <w:t>- code de mesurage:</w:t>
      </w:r>
    </w:p>
    <w:p w14:paraId="59C39460" w14:textId="77777777" w:rsidR="00DF410E" w:rsidRDefault="00CE7F43">
      <w:r>
        <w:rPr>
          <w:rStyle w:val="optioncarChar"/>
        </w:rPr>
        <w:t xml:space="preserve">Longueur nette </w:t>
      </w:r>
      <w:r>
        <w:t>(par défaut)</w:t>
      </w:r>
      <w:r>
        <w:rPr>
          <w:rStyle w:val="optioncarChar"/>
        </w:rPr>
        <w:t> / à la pièce / au volume</w:t>
      </w:r>
    </w:p>
    <w:p w14:paraId="3F201BC3" w14:textId="77777777" w:rsidR="00DF410E" w:rsidRDefault="00CE7F43">
      <w:pPr>
        <w:jc w:val="both"/>
      </w:pPr>
      <w:r>
        <w:rPr>
          <w:b/>
        </w:rPr>
        <w:t>(soit par défaut)</w:t>
      </w:r>
    </w:p>
    <w:p w14:paraId="4DD5EF77" w14:textId="77777777" w:rsidR="00DF410E" w:rsidRDefault="00CE7F43">
      <w:pPr>
        <w:jc w:val="both"/>
      </w:pPr>
      <w:r>
        <w:rPr>
          <w:rStyle w:val="soitChar"/>
          <w:u w:val="single"/>
        </w:rPr>
        <w:t>1. Longueur nette</w:t>
      </w:r>
      <w:r>
        <w:rPr>
          <w:rStyle w:val="soitChar"/>
        </w:rPr>
        <w:t> : longueur du seuil entre les jours de la baie, de dimensions et d'épaisseur identiques</w:t>
      </w:r>
    </w:p>
    <w:p w14:paraId="23508A17" w14:textId="77777777" w:rsidR="00DF410E" w:rsidRDefault="00CE7F43">
      <w:pPr>
        <w:jc w:val="both"/>
      </w:pPr>
      <w:r>
        <w:rPr>
          <w:b/>
        </w:rPr>
        <w:t>(soit)</w:t>
      </w:r>
    </w:p>
    <w:p w14:paraId="63CE505F" w14:textId="77777777" w:rsidR="00DF410E" w:rsidRDefault="00CE7F43">
      <w:pPr>
        <w:jc w:val="both"/>
      </w:pPr>
      <w:r>
        <w:rPr>
          <w:rStyle w:val="soitChar"/>
        </w:rPr>
        <w:t>2. </w:t>
      </w:r>
      <w:r>
        <w:rPr>
          <w:rStyle w:val="soitChar"/>
          <w:u w:val="single"/>
        </w:rPr>
        <w:t>A la pièce : </w:t>
      </w:r>
      <w:r>
        <w:rPr>
          <w:rStyle w:val="soitChar"/>
        </w:rPr>
        <w:t>de dimension et d'épaisseur identiques</w:t>
      </w:r>
    </w:p>
    <w:p w14:paraId="7CEE394E" w14:textId="77777777" w:rsidR="00DF410E" w:rsidRDefault="00CE7F43">
      <w:pPr>
        <w:jc w:val="both"/>
      </w:pPr>
      <w:r>
        <w:rPr>
          <w:b/>
        </w:rPr>
        <w:t>(soit)</w:t>
      </w:r>
    </w:p>
    <w:p w14:paraId="5A195BA5" w14:textId="77777777" w:rsidR="00DF410E" w:rsidRDefault="00CE7F43">
      <w:pPr>
        <w:jc w:val="both"/>
      </w:pPr>
      <w:r>
        <w:rPr>
          <w:rStyle w:val="soitChar"/>
        </w:rPr>
        <w:t>3. </w:t>
      </w:r>
      <w:r>
        <w:rPr>
          <w:rStyle w:val="soitChar"/>
          <w:u w:val="single"/>
        </w:rPr>
        <w:t>A la surface</w:t>
      </w:r>
      <w:r>
        <w:rPr>
          <w:rStyle w:val="soitChar"/>
        </w:rPr>
        <w:t>  : surface nette de parement.</w:t>
      </w:r>
    </w:p>
    <w:p w14:paraId="19DDC1F4" w14:textId="77777777" w:rsidR="00DF410E" w:rsidRDefault="00CE7F43">
      <w:pPr>
        <w:pStyle w:val="pheading"/>
      </w:pPr>
      <w:r>
        <w:t>- nature du marché:</w:t>
      </w:r>
    </w:p>
    <w:p w14:paraId="6B666E87" w14:textId="77777777" w:rsidR="00DF410E" w:rsidRDefault="00CE7F43">
      <w:r>
        <w:t>QF</w:t>
      </w:r>
    </w:p>
    <w:p w14:paraId="53AB166C" w14:textId="77777777" w:rsidR="00DF410E" w:rsidRDefault="00CE7F43">
      <w:pPr>
        <w:pStyle w:val="Author-eSectionHeading6"/>
      </w:pPr>
      <w:bookmarkStart w:id="313" w:name="_Toc178837537"/>
      <w:r>
        <w:t>21.36.2f Plinthes préfabriquées en béton décoratif / architectonique CCTB 01.11</w:t>
      </w:r>
      <w:bookmarkEnd w:id="313"/>
    </w:p>
    <w:p w14:paraId="6587FDEE" w14:textId="77777777" w:rsidR="00DF410E" w:rsidRDefault="00CE7F43">
      <w:pPr>
        <w:pStyle w:val="pheading"/>
      </w:pPr>
      <w:r>
        <w:t>MATÉRIAUX</w:t>
      </w:r>
    </w:p>
    <w:p w14:paraId="2D25855A" w14:textId="77777777" w:rsidR="00DF410E" w:rsidRDefault="00CE7F43">
      <w:pPr>
        <w:pStyle w:val="pheading"/>
      </w:pPr>
      <w:r>
        <w:t>- Caractéristiques générales</w:t>
      </w:r>
    </w:p>
    <w:p w14:paraId="1379AB22" w14:textId="77777777" w:rsidR="00DF410E" w:rsidRDefault="00CE7F43">
      <w:r>
        <w:t>Il s'agit des plinthes préfabriquées en béton armé étanche selon les prescriptions du chapitre </w:t>
      </w:r>
      <w:r>
        <w:rPr>
          <w:color w:val="0000FF"/>
        </w:rPr>
        <w:t> </w:t>
      </w:r>
      <w:hyperlink w:anchor="87" w:history="1">
        <w:r>
          <w:rPr>
            <w:rStyle w:val="normalChar"/>
            <w:color w:val="0000FF"/>
          </w:rPr>
          <w:t>22 Superstructures en béton</w:t>
        </w:r>
      </w:hyperlink>
      <w:r>
        <w:t>.</w:t>
      </w:r>
    </w:p>
    <w:p w14:paraId="3DA6FE3C" w14:textId="77777777" w:rsidR="00DF410E" w:rsidRDefault="00CE7F43">
      <w:r>
        <w:t xml:space="preserve">Finition : </w:t>
      </w:r>
      <w:r>
        <w:rPr>
          <w:rStyle w:val="optioncarChar"/>
        </w:rPr>
        <w:t>Béton décorative / béton architectonique</w:t>
      </w:r>
    </w:p>
    <w:p w14:paraId="4A741731" w14:textId="77777777" w:rsidR="00DF410E" w:rsidRDefault="00CE7F43">
      <w:r>
        <w:rPr>
          <w:b/>
          <w:u w:val="single"/>
        </w:rPr>
        <w:t>Spécifications</w:t>
      </w:r>
    </w:p>
    <w:p w14:paraId="62AA9302" w14:textId="77777777" w:rsidR="00DF410E" w:rsidRDefault="00CE7F43">
      <w:r>
        <w:t xml:space="preserve">Qualité du béton selon la [NBN B 15-001] sera avec un classe d'environnement </w:t>
      </w:r>
      <w:r>
        <w:rPr>
          <w:rStyle w:val="optioncarChar"/>
        </w:rPr>
        <w:t>EE3</w:t>
      </w:r>
      <w:r>
        <w:t> (par défaut)</w:t>
      </w:r>
      <w:r>
        <w:rPr>
          <w:rStyle w:val="optioncarChar"/>
        </w:rPr>
        <w:t xml:space="preserve"> / EE4 / ES1 / ES2 / ES3 / ES4 / EA1+*** / EA2+*** / EA3+***</w:t>
      </w:r>
    </w:p>
    <w:p w14:paraId="44D69642" w14:textId="77777777" w:rsidR="00DF410E" w:rsidRDefault="00CE7F43">
      <w:r>
        <w:t xml:space="preserve">Armatures : </w:t>
      </w:r>
      <w:r>
        <w:rPr>
          <w:rStyle w:val="optioncarChar"/>
        </w:rPr>
        <w:t>***</w:t>
      </w:r>
    </w:p>
    <w:p w14:paraId="774F3658" w14:textId="77777777" w:rsidR="00DF410E" w:rsidRDefault="00CE7F43">
      <w:r>
        <w:t>Dimensions : bandes modulaires</w:t>
      </w:r>
    </w:p>
    <w:p w14:paraId="34E4BC0A" w14:textId="77777777" w:rsidR="00DF410E" w:rsidRDefault="00CE7F43">
      <w:r>
        <w:t xml:space="preserve">Epaisseur des plaques : </w:t>
      </w:r>
      <w:r>
        <w:rPr>
          <w:rStyle w:val="optioncarChar"/>
        </w:rPr>
        <w:t>80 </w:t>
      </w:r>
      <w:r>
        <w:t xml:space="preserve">(par défaut) </w:t>
      </w:r>
      <w:r>
        <w:rPr>
          <w:rStyle w:val="optioncarChar"/>
        </w:rPr>
        <w:t xml:space="preserve">/ 90 / *** </w:t>
      </w:r>
      <w:r>
        <w:t>mm</w:t>
      </w:r>
    </w:p>
    <w:p w14:paraId="460E9F07" w14:textId="77777777" w:rsidR="00DF410E" w:rsidRDefault="00CE7F43">
      <w:r>
        <w:t xml:space="preserve">Longueur des plinthes : maximum </w:t>
      </w:r>
      <w:r>
        <w:rPr>
          <w:rStyle w:val="optioncarChar"/>
        </w:rPr>
        <w:t>80 </w:t>
      </w:r>
      <w:r>
        <w:t xml:space="preserve">(par défaut) </w:t>
      </w:r>
      <w:r>
        <w:rPr>
          <w:rStyle w:val="optioncarChar"/>
        </w:rPr>
        <w:t>/ 100 / ***</w:t>
      </w:r>
      <w:r>
        <w:t xml:space="preserve"> cm (en fonction de l'épaisseur)</w:t>
      </w:r>
    </w:p>
    <w:p w14:paraId="39F7AFC0" w14:textId="77777777" w:rsidR="00DF410E" w:rsidRDefault="00CE7F43">
      <w:r>
        <w:t xml:space="preserve">Hauteur des plinthes : </w:t>
      </w:r>
      <w:r>
        <w:rPr>
          <w:rStyle w:val="optioncarChar"/>
        </w:rPr>
        <w:t>20</w:t>
      </w:r>
      <w:r>
        <w:t xml:space="preserve"> (par défaut) </w:t>
      </w:r>
      <w:r>
        <w:rPr>
          <w:rStyle w:val="optioncarChar"/>
        </w:rPr>
        <w:t xml:space="preserve">/ 25 / 30 / *** cm / en gradins selon le dessin de détail </w:t>
      </w:r>
    </w:p>
    <w:p w14:paraId="6E1E3B47" w14:textId="77777777" w:rsidR="00DF410E" w:rsidRDefault="00CE7F43">
      <w:r>
        <w:t xml:space="preserve">Profil des plinthes : </w:t>
      </w:r>
      <w:r>
        <w:rPr>
          <w:rStyle w:val="optioncarChar"/>
        </w:rPr>
        <w:t xml:space="preserve">plat </w:t>
      </w:r>
      <w:r>
        <w:t>(par défaut) </w:t>
      </w:r>
      <w:r>
        <w:rPr>
          <w:rStyle w:val="optioncarChar"/>
        </w:rPr>
        <w:t>/ selon le dessin de détail / ***</w:t>
      </w:r>
    </w:p>
    <w:p w14:paraId="18D50D87" w14:textId="77777777" w:rsidR="00DF410E" w:rsidRDefault="00CE7F43">
      <w:pPr>
        <w:pStyle w:val="pheading"/>
      </w:pPr>
      <w:r>
        <w:t>- Finitions</w:t>
      </w:r>
    </w:p>
    <w:p w14:paraId="4074BBE6" w14:textId="77777777" w:rsidR="00DF410E" w:rsidRDefault="00CE7F43">
      <w:r>
        <w:t xml:space="preserve">Surface : </w:t>
      </w:r>
      <w:r>
        <w:rPr>
          <w:rStyle w:val="optioncarChar"/>
        </w:rPr>
        <w:t xml:space="preserve">brute et lisse / brute et finement texturée </w:t>
      </w:r>
      <w:r>
        <w:t>(par défaut)</w:t>
      </w:r>
      <w:r>
        <w:rPr>
          <w:rStyle w:val="optioncarChar"/>
        </w:rPr>
        <w:t xml:space="preserve"> / brute et grossièrement texturée / brute à relief (ou structurée)</w:t>
      </w:r>
    </w:p>
    <w:p w14:paraId="595947CF" w14:textId="77777777" w:rsidR="00DF410E" w:rsidRDefault="00CE7F43">
      <w:r>
        <w:t xml:space="preserve">Couleur : </w:t>
      </w:r>
      <w:r>
        <w:rPr>
          <w:rStyle w:val="optioncarChar"/>
        </w:rPr>
        <w:t>gris clair </w:t>
      </w:r>
      <w:r>
        <w:t>(par défaut)</w:t>
      </w:r>
      <w:r>
        <w:rPr>
          <w:rStyle w:val="optioncarChar"/>
        </w:rPr>
        <w:t xml:space="preserve"> / ***</w:t>
      </w:r>
    </w:p>
    <w:p w14:paraId="5124C78F" w14:textId="77777777" w:rsidR="00DF410E" w:rsidRDefault="00CE7F43">
      <w:pPr>
        <w:pStyle w:val="pheading"/>
      </w:pPr>
      <w:r>
        <w:t>EXÉCUTION / MISE EN ŒUVRE</w:t>
      </w:r>
    </w:p>
    <w:p w14:paraId="0B08A05B" w14:textId="77777777" w:rsidR="00DF410E" w:rsidRDefault="00CE7F43">
      <w:pPr>
        <w:pStyle w:val="pheading"/>
      </w:pPr>
      <w:r>
        <w:t>- Prescriptions générales</w:t>
      </w:r>
    </w:p>
    <w:p w14:paraId="64FC69A5" w14:textId="77777777" w:rsidR="00DF410E" w:rsidRDefault="00CE7F43">
      <w:r>
        <w:t>Les plinthes sont posées avec un retrait d'environ </w:t>
      </w:r>
      <w:r>
        <w:rPr>
          <w:rStyle w:val="optioncarChar"/>
        </w:rPr>
        <w:t>10 </w:t>
      </w:r>
      <w:r>
        <w:t>(par défaut)</w:t>
      </w:r>
      <w:r>
        <w:rPr>
          <w:rStyle w:val="optioncarChar"/>
        </w:rPr>
        <w:t> / *** </w:t>
      </w:r>
      <w:r>
        <w:t>mm par rapport au </w:t>
      </w:r>
      <w:r>
        <w:rPr>
          <w:rStyle w:val="optioncarChar"/>
        </w:rPr>
        <w:t>parement de façade </w:t>
      </w:r>
      <w:r>
        <w:t>(par défaut)</w:t>
      </w:r>
      <w:r>
        <w:rPr>
          <w:rStyle w:val="optioncarChar"/>
        </w:rPr>
        <w:t> / revêtement de façade / crépi de façade / *** </w:t>
      </w:r>
      <w:r>
        <w:t>prévu et sont placées, conformément aux indications sur les coupes détaillées :</w:t>
      </w:r>
    </w:p>
    <w:p w14:paraId="426DCDB0" w14:textId="77777777" w:rsidR="00DF410E" w:rsidRDefault="00CE7F43">
      <w:r>
        <w:t>La pose est faite </w:t>
      </w:r>
      <w:r>
        <w:rPr>
          <w:rStyle w:val="optioncarChar"/>
        </w:rPr>
        <w:t>avec coulisse / sans coulisse</w:t>
      </w:r>
    </w:p>
    <w:p w14:paraId="09789E40" w14:textId="77777777" w:rsidR="00DF410E" w:rsidRDefault="00CE7F43">
      <w:r>
        <w:rPr>
          <w:b/>
        </w:rPr>
        <w:t>(soit)</w:t>
      </w:r>
    </w:p>
    <w:p w14:paraId="735BB166" w14:textId="77777777" w:rsidR="00DF410E" w:rsidRDefault="00CE7F43">
      <w:r>
        <w:rPr>
          <w:rStyle w:val="soitChar"/>
          <w:u w:val="single"/>
        </w:rPr>
        <w:t>Avec une coulisse</w:t>
      </w:r>
      <w:r>
        <w:rPr>
          <w:rStyle w:val="soitChar"/>
        </w:rPr>
        <w:t>  ventilée d'une largeur d'au moins 3 cm.</w:t>
      </w:r>
    </w:p>
    <w:p w14:paraId="1FB18015" w14:textId="77777777" w:rsidR="00DF410E" w:rsidRDefault="00CE7F43">
      <w:r>
        <w:rPr>
          <w:b/>
        </w:rPr>
        <w:t>(soit)</w:t>
      </w:r>
    </w:p>
    <w:p w14:paraId="778B5A00" w14:textId="77777777" w:rsidR="00DF410E" w:rsidRDefault="00CE7F43">
      <w:r>
        <w:rPr>
          <w:rStyle w:val="soitChar"/>
          <w:u w:val="single"/>
        </w:rPr>
        <w:t>Sans coulisse,</w:t>
      </w:r>
      <w:r>
        <w:rPr>
          <w:rStyle w:val="soitChar"/>
        </w:rPr>
        <w:t>  appliquées directement contre l'isolation du vide</w:t>
      </w:r>
    </w:p>
    <w:p w14:paraId="3808B0EE" w14:textId="77777777" w:rsidR="00DF410E" w:rsidRDefault="00CE7F43">
      <w:r>
        <w:t>Les plinthes sont posées d'aplomb, d'équerre et bien planes selon l'appareillage dessiné sur les plans et/ou en concertation avec l'auteur de projet.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8 </w:t>
      </w:r>
      <w:r>
        <w:t>(par défaut) </w:t>
      </w:r>
      <w:r>
        <w:rPr>
          <w:rStyle w:val="optioncarChar"/>
        </w:rPr>
        <w:t>/ 10 / *** </w:t>
      </w:r>
      <w:r>
        <w:t>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(par défaut) </w:t>
      </w:r>
      <w:r>
        <w:rPr>
          <w:rStyle w:val="optioncarChar"/>
        </w:rPr>
        <w:t>/ *** </w:t>
      </w:r>
      <w:r>
        <w:t>mm) sont posées. Au-dessus des plinthes, l'entreprise laisse un joint montant ouvert tous les </w:t>
      </w:r>
      <w:r>
        <w:rPr>
          <w:rStyle w:val="optioncarChar"/>
        </w:rPr>
        <w:t>120 </w:t>
      </w:r>
      <w:r>
        <w:t>(par défaut) </w:t>
      </w:r>
      <w:r>
        <w:rPr>
          <w:rStyle w:val="optioncarChar"/>
        </w:rPr>
        <w:t>/ ***</w:t>
      </w:r>
      <w:r>
        <w:t> cm. Les joints montants ouverts sont marqués jusqu'après l'exécution du rejointoiement.</w:t>
      </w:r>
    </w:p>
    <w:p w14:paraId="407868E9" w14:textId="77777777" w:rsidR="00DF410E" w:rsidRDefault="00CE7F43">
      <w:pPr>
        <w:pStyle w:val="pheading"/>
      </w:pPr>
      <w:r>
        <w:t>- Notes d’exécution complémentaires</w:t>
      </w:r>
    </w:p>
    <w:p w14:paraId="665D934D" w14:textId="77777777" w:rsidR="00DF410E" w:rsidRDefault="00CE7F43">
      <w:r>
        <w:t>Ancrage : Les plinthes sont reliées à la structure attenante au moyen d’agrafes</w:t>
      </w:r>
      <w:r>
        <w:rPr>
          <w:rStyle w:val="optioncarChar"/>
        </w:rPr>
        <w:t xml:space="preserve"> en inoxydable </w:t>
      </w:r>
      <w:r>
        <w:t>(par défaut) </w:t>
      </w:r>
      <w:r>
        <w:rPr>
          <w:rStyle w:val="optioncarChar"/>
        </w:rPr>
        <w:t>/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 ; le système est agréé par l’auteur de projet / le bureau de stabilité et le maître de l’ouvrage.</w:t>
      </w:r>
    </w:p>
    <w:p w14:paraId="2EE8D6F4" w14:textId="77777777" w:rsidR="00DF410E" w:rsidRDefault="00CE7F43">
      <w:r>
        <w:t>Étanchéité : </w:t>
      </w:r>
    </w:p>
    <w:p w14:paraId="358B0A49" w14:textId="77777777" w:rsidR="00DF410E" w:rsidRDefault="00CE7F43">
      <w:r>
        <w:t>Isolation des murs creux :</w:t>
      </w:r>
    </w:p>
    <w:p w14:paraId="32165C7A" w14:textId="77777777" w:rsidR="00DF410E" w:rsidRDefault="00CE7F43">
      <w:r>
        <w:t>Joints de façade :</w:t>
      </w:r>
    </w:p>
    <w:p w14:paraId="1EE67283" w14:textId="77777777" w:rsidR="00DF410E" w:rsidRDefault="00CE7F43">
      <w:r>
        <w:t xml:space="preserve">Eléments à intégrer : </w:t>
      </w:r>
      <w:r>
        <w:rPr>
          <w:rStyle w:val="optioncarChar"/>
        </w:rPr>
        <w:t xml:space="preserve">grilles de ventilation murales selon l'article </w:t>
      </w:r>
      <w:hyperlink w:anchor="409" w:history="1">
        <w:r>
          <w:rPr>
            <w:rStyle w:val="optioncarChar"/>
          </w:rPr>
          <w:t>21.44 Eléments de ventilation</w:t>
        </w:r>
      </w:hyperlink>
      <w:r>
        <w:rPr>
          <w:rStyle w:val="optioncarChar"/>
        </w:rPr>
        <w:t> </w:t>
      </w:r>
      <w:r>
        <w:t>(par défaut) </w:t>
      </w:r>
      <w:r>
        <w:rPr>
          <w:rStyle w:val="optioncarChar"/>
        </w:rPr>
        <w:t>/ ***</w:t>
      </w:r>
    </w:p>
    <w:p w14:paraId="09C3DC4B" w14:textId="77777777" w:rsidR="00DF410E" w:rsidRDefault="00CE7F43">
      <w:pPr>
        <w:pStyle w:val="pheading"/>
      </w:pPr>
      <w:r>
        <w:t>MESURAGE</w:t>
      </w:r>
    </w:p>
    <w:p w14:paraId="39E6CE69" w14:textId="77777777" w:rsidR="00DF410E" w:rsidRDefault="00CE7F43">
      <w:pPr>
        <w:pStyle w:val="pheading"/>
      </w:pPr>
      <w:r>
        <w:t>- unité de mesure:</w:t>
      </w:r>
    </w:p>
    <w:p w14:paraId="66896F94" w14:textId="77777777" w:rsidR="00DF410E" w:rsidRDefault="00CE7F43">
      <w:r>
        <w:rPr>
          <w:rStyle w:val="optioncarChar"/>
        </w:rPr>
        <w:t>m </w:t>
      </w:r>
      <w:r>
        <w:rPr>
          <w:rStyle w:val="optioncarChar"/>
          <w:color w:val="000000"/>
        </w:rPr>
        <w:t>(par défaut)</w:t>
      </w:r>
      <w:r>
        <w:rPr>
          <w:rStyle w:val="optioncarChar"/>
        </w:rPr>
        <w:t> / pc / m²</w:t>
      </w:r>
    </w:p>
    <w:p w14:paraId="418A6E03" w14:textId="77777777" w:rsidR="00DF410E" w:rsidRDefault="00CE7F43">
      <w:pPr>
        <w:spacing w:after="0" w:line="0" w:lineRule="atLeast"/>
      </w:pPr>
      <w:r>
        <w:rPr>
          <w:b/>
          <w:color w:val="000000"/>
        </w:rPr>
        <w:t>(soit par défaut)</w:t>
      </w:r>
    </w:p>
    <w:p w14:paraId="76AB3C7B" w14:textId="77777777" w:rsidR="00DF410E" w:rsidRDefault="00CE7F43">
      <w:pPr>
        <w:spacing w:after="0" w:line="0" w:lineRule="atLeast"/>
      </w:pPr>
      <w:r>
        <w:rPr>
          <w:rStyle w:val="soitChar"/>
        </w:rPr>
        <w:t>1. m</w:t>
      </w:r>
    </w:p>
    <w:p w14:paraId="223C4142" w14:textId="77777777" w:rsidR="00DF410E" w:rsidRDefault="00CE7F43">
      <w:pPr>
        <w:spacing w:after="0" w:line="0" w:lineRule="atLeast"/>
      </w:pPr>
      <w:r>
        <w:rPr>
          <w:b/>
          <w:color w:val="000000"/>
        </w:rPr>
        <w:t>(soit)</w:t>
      </w:r>
    </w:p>
    <w:p w14:paraId="7CA03D24" w14:textId="77777777" w:rsidR="00DF410E" w:rsidRDefault="00CE7F43">
      <w:pPr>
        <w:spacing w:after="0" w:line="0" w:lineRule="atLeast"/>
      </w:pPr>
      <w:r>
        <w:rPr>
          <w:rStyle w:val="soitChar"/>
        </w:rPr>
        <w:t>2. pc</w:t>
      </w:r>
    </w:p>
    <w:p w14:paraId="2A5688D0" w14:textId="77777777" w:rsidR="00DF410E" w:rsidRDefault="00CE7F43">
      <w:pPr>
        <w:spacing w:after="0" w:line="0" w:lineRule="atLeast"/>
      </w:pPr>
      <w:r>
        <w:rPr>
          <w:b/>
          <w:color w:val="000000"/>
        </w:rPr>
        <w:t>(soit)</w:t>
      </w:r>
    </w:p>
    <w:p w14:paraId="54CB5B6B" w14:textId="77777777" w:rsidR="00DF410E" w:rsidRDefault="00CE7F43">
      <w:pPr>
        <w:spacing w:after="0" w:line="0" w:lineRule="atLeast"/>
      </w:pPr>
      <w:r>
        <w:rPr>
          <w:rStyle w:val="soitChar"/>
        </w:rPr>
        <w:t>3. m²</w:t>
      </w:r>
    </w:p>
    <w:p w14:paraId="187EF921" w14:textId="77777777" w:rsidR="00DF410E" w:rsidRDefault="00CE7F43">
      <w:pPr>
        <w:pStyle w:val="pheading"/>
      </w:pPr>
      <w:r>
        <w:t>- code de mesurage:</w:t>
      </w:r>
    </w:p>
    <w:p w14:paraId="5A2837FC" w14:textId="77777777" w:rsidR="00DF410E" w:rsidRDefault="00CE7F43">
      <w:pPr>
        <w:pStyle w:val="optioncar"/>
      </w:pPr>
      <w:r>
        <w:rPr>
          <w:rStyle w:val="optioncarChar"/>
        </w:rPr>
        <w:t>Longueur nette </w:t>
      </w:r>
      <w:r>
        <w:t>(par défaut) / </w:t>
      </w:r>
      <w:r>
        <w:rPr>
          <w:rStyle w:val="optioncarChar"/>
        </w:rPr>
        <w:t>à la pièce / au volume</w:t>
      </w:r>
    </w:p>
    <w:p w14:paraId="53F8A5F2" w14:textId="77777777" w:rsidR="00DF410E" w:rsidRDefault="00CE7F43">
      <w:pPr>
        <w:jc w:val="both"/>
      </w:pPr>
      <w:r>
        <w:rPr>
          <w:b/>
        </w:rPr>
        <w:t>(soit par défaut)</w:t>
      </w:r>
    </w:p>
    <w:p w14:paraId="0503283C" w14:textId="77777777" w:rsidR="00DF410E" w:rsidRDefault="00CE7F43">
      <w:pPr>
        <w:jc w:val="both"/>
      </w:pPr>
      <w:r>
        <w:rPr>
          <w:rStyle w:val="soitChar"/>
          <w:u w:val="single"/>
        </w:rPr>
        <w:t>1. Longueur nette</w:t>
      </w:r>
      <w:r>
        <w:rPr>
          <w:rStyle w:val="soitChar"/>
        </w:rPr>
        <w:t>  : longueur du seuil entre les jours de la baie, de dimensions et d'épaisseur identiques</w:t>
      </w:r>
    </w:p>
    <w:p w14:paraId="652B27D0" w14:textId="77777777" w:rsidR="00DF410E" w:rsidRDefault="00CE7F43">
      <w:pPr>
        <w:jc w:val="both"/>
      </w:pPr>
      <w:r>
        <w:rPr>
          <w:b/>
        </w:rPr>
        <w:t>(soit)</w:t>
      </w:r>
    </w:p>
    <w:p w14:paraId="43A3423C" w14:textId="77777777" w:rsidR="00DF410E" w:rsidRDefault="00CE7F43">
      <w:pPr>
        <w:jc w:val="both"/>
      </w:pPr>
      <w:r>
        <w:rPr>
          <w:rStyle w:val="soitChar"/>
        </w:rPr>
        <w:t>2. </w:t>
      </w:r>
      <w:r>
        <w:rPr>
          <w:rStyle w:val="soitChar"/>
          <w:u w:val="single"/>
        </w:rPr>
        <w:t>A la pièce : </w:t>
      </w:r>
      <w:r>
        <w:rPr>
          <w:rStyle w:val="soitChar"/>
        </w:rPr>
        <w:t>de dimension identiques</w:t>
      </w:r>
    </w:p>
    <w:p w14:paraId="6930D24F" w14:textId="77777777" w:rsidR="00DF410E" w:rsidRDefault="00CE7F43">
      <w:pPr>
        <w:jc w:val="both"/>
      </w:pPr>
      <w:r>
        <w:rPr>
          <w:b/>
        </w:rPr>
        <w:t>(soit)</w:t>
      </w:r>
    </w:p>
    <w:p w14:paraId="11010ABA" w14:textId="77777777" w:rsidR="00DF410E" w:rsidRDefault="00CE7F43">
      <w:pPr>
        <w:jc w:val="both"/>
      </w:pPr>
      <w:r>
        <w:rPr>
          <w:rStyle w:val="soitChar"/>
        </w:rPr>
        <w:t>3. </w:t>
      </w:r>
      <w:r>
        <w:rPr>
          <w:rStyle w:val="soitChar"/>
          <w:u w:val="single"/>
        </w:rPr>
        <w:t>A la surface</w:t>
      </w:r>
      <w:r>
        <w:rPr>
          <w:rStyle w:val="soitChar"/>
        </w:rPr>
        <w:t>  : surface nette de parement.</w:t>
      </w:r>
    </w:p>
    <w:p w14:paraId="700535DE" w14:textId="77777777" w:rsidR="00DF410E" w:rsidRDefault="00CE7F43">
      <w:pPr>
        <w:pStyle w:val="pheading"/>
      </w:pPr>
      <w:r>
        <w:t>- nature du marché:</w:t>
      </w:r>
    </w:p>
    <w:p w14:paraId="12F07D9D" w14:textId="77777777" w:rsidR="00DF410E" w:rsidRDefault="00CE7F43">
      <w:r>
        <w:t>QF</w:t>
      </w:r>
    </w:p>
    <w:p w14:paraId="2F0F9C2B" w14:textId="77777777" w:rsidR="00DF410E" w:rsidRDefault="00CE7F43">
      <w:pPr>
        <w:pStyle w:val="Author-eSectionHeading6"/>
      </w:pPr>
      <w:bookmarkStart w:id="314" w:name="_Toc178837538"/>
      <w:r>
        <w:t>21.36.2g Plinthes en fibres-ciment CCTB 01.11</w:t>
      </w:r>
      <w:bookmarkEnd w:id="314"/>
    </w:p>
    <w:p w14:paraId="04E6F6F1" w14:textId="77777777" w:rsidR="00DF410E" w:rsidRDefault="00CE7F43">
      <w:pPr>
        <w:pStyle w:val="pheading"/>
      </w:pPr>
      <w:r>
        <w:t>MESURAGE</w:t>
      </w:r>
    </w:p>
    <w:p w14:paraId="2B9C1C72" w14:textId="77777777" w:rsidR="00DF410E" w:rsidRDefault="00CE7F43">
      <w:pPr>
        <w:pStyle w:val="pheading"/>
      </w:pPr>
      <w:r>
        <w:t>- unité de mesure:</w:t>
      </w:r>
    </w:p>
    <w:p w14:paraId="1EFC114A" w14:textId="77777777" w:rsidR="00DF410E" w:rsidRDefault="00CE7F43">
      <w:r>
        <w:rPr>
          <w:rStyle w:val="optioncarChar"/>
        </w:rPr>
        <w:t>m </w:t>
      </w:r>
      <w:r>
        <w:rPr>
          <w:rStyle w:val="optioncarChar"/>
          <w:color w:val="000000"/>
        </w:rPr>
        <w:t>(par défaut)</w:t>
      </w:r>
      <w:r>
        <w:rPr>
          <w:rStyle w:val="optioncarChar"/>
        </w:rPr>
        <w:t> / pc / m²</w:t>
      </w:r>
    </w:p>
    <w:p w14:paraId="47300F7C" w14:textId="77777777" w:rsidR="00DF410E" w:rsidRDefault="00CE7F43">
      <w:pPr>
        <w:spacing w:after="0" w:line="0" w:lineRule="atLeast"/>
      </w:pPr>
      <w:r>
        <w:rPr>
          <w:b/>
          <w:color w:val="000000"/>
        </w:rPr>
        <w:t>(soit)</w:t>
      </w:r>
    </w:p>
    <w:p w14:paraId="19CEEC74" w14:textId="77777777" w:rsidR="00DF410E" w:rsidRDefault="00CE7F43">
      <w:pPr>
        <w:spacing w:after="0" w:line="0" w:lineRule="atLeast"/>
      </w:pPr>
      <w:r>
        <w:rPr>
          <w:rStyle w:val="soitChar"/>
        </w:rPr>
        <w:t>1. m</w:t>
      </w:r>
    </w:p>
    <w:p w14:paraId="3251E0E7" w14:textId="77777777" w:rsidR="00DF410E" w:rsidRDefault="00CE7F43">
      <w:pPr>
        <w:spacing w:after="0" w:line="0" w:lineRule="atLeast"/>
      </w:pPr>
      <w:r>
        <w:rPr>
          <w:b/>
          <w:color w:val="000000"/>
        </w:rPr>
        <w:t>(soit Par défaut)</w:t>
      </w:r>
    </w:p>
    <w:p w14:paraId="0A2DD1B1" w14:textId="77777777" w:rsidR="00DF410E" w:rsidRDefault="00CE7F43">
      <w:pPr>
        <w:spacing w:after="0" w:line="0" w:lineRule="atLeast"/>
      </w:pPr>
      <w:r>
        <w:rPr>
          <w:rStyle w:val="soitChar"/>
        </w:rPr>
        <w:t>2. pc</w:t>
      </w:r>
    </w:p>
    <w:p w14:paraId="1AD229A0" w14:textId="77777777" w:rsidR="00DF410E" w:rsidRDefault="00CE7F43">
      <w:pPr>
        <w:spacing w:after="0" w:line="0" w:lineRule="atLeast"/>
      </w:pPr>
      <w:r>
        <w:rPr>
          <w:b/>
          <w:color w:val="000000"/>
        </w:rPr>
        <w:t>(soit)</w:t>
      </w:r>
    </w:p>
    <w:p w14:paraId="0B93AD0E" w14:textId="77777777" w:rsidR="00DF410E" w:rsidRDefault="00CE7F43">
      <w:pPr>
        <w:spacing w:after="0" w:line="0" w:lineRule="atLeast"/>
      </w:pPr>
      <w:r>
        <w:rPr>
          <w:rStyle w:val="soitChar"/>
        </w:rPr>
        <w:t>3. m²</w:t>
      </w:r>
    </w:p>
    <w:p w14:paraId="3B62A1F7" w14:textId="77777777" w:rsidR="00DF410E" w:rsidRDefault="00CE7F43">
      <w:pPr>
        <w:pStyle w:val="pheading"/>
      </w:pPr>
      <w:r>
        <w:t>- code de mesurage:</w:t>
      </w:r>
    </w:p>
    <w:p w14:paraId="51EC5D31" w14:textId="77777777" w:rsidR="00DF410E" w:rsidRDefault="00CE7F43">
      <w:r>
        <w:rPr>
          <w:rStyle w:val="normalChar"/>
          <w:color w:val="000000"/>
        </w:rPr>
        <w:t xml:space="preserve">(m) </w:t>
      </w:r>
      <w:r>
        <w:rPr>
          <w:rStyle w:val="optioncarChar"/>
        </w:rPr>
        <w:t>mesurage de la longueur du seuil entre les jours de la baie</w:t>
      </w:r>
      <w:r>
        <w:t xml:space="preserve"> / </w:t>
      </w:r>
      <w:r>
        <w:rPr>
          <w:rStyle w:val="normalChar"/>
          <w:color w:val="000000"/>
        </w:rPr>
        <w:t>(pce)</w:t>
      </w:r>
      <w:r>
        <w:t> </w:t>
      </w:r>
      <w:r>
        <w:rPr>
          <w:rStyle w:val="optioncarChar"/>
        </w:rPr>
        <w:t>de dimensions et d'épaisseur identiques</w:t>
      </w:r>
      <w:r>
        <w:t xml:space="preserve"> / </w:t>
      </w:r>
      <w:r>
        <w:rPr>
          <w:rStyle w:val="normalChar"/>
          <w:color w:val="000000"/>
        </w:rPr>
        <w:t>(m²)</w:t>
      </w:r>
    </w:p>
    <w:p w14:paraId="73C0002F" w14:textId="77777777" w:rsidR="00DF410E" w:rsidRDefault="00CE7F43">
      <w:r>
        <w:rPr>
          <w:rStyle w:val="optioncarChar"/>
        </w:rPr>
        <w:t>Longueur nette / à la pièce </w:t>
      </w:r>
      <w:r>
        <w:t>(par défaut)</w:t>
      </w:r>
      <w:r>
        <w:rPr>
          <w:rStyle w:val="optioncarChar"/>
        </w:rPr>
        <w:t xml:space="preserve"> / au volume</w:t>
      </w:r>
    </w:p>
    <w:p w14:paraId="27D3EDAF" w14:textId="77777777" w:rsidR="00DF410E" w:rsidRDefault="00CE7F43">
      <w:pPr>
        <w:jc w:val="both"/>
      </w:pPr>
      <w:r>
        <w:rPr>
          <w:b/>
        </w:rPr>
        <w:t>(soit)</w:t>
      </w:r>
    </w:p>
    <w:p w14:paraId="0852078D" w14:textId="77777777" w:rsidR="00DF410E" w:rsidRDefault="00CE7F43">
      <w:pPr>
        <w:jc w:val="both"/>
      </w:pPr>
      <w:r>
        <w:rPr>
          <w:rStyle w:val="soitChar"/>
          <w:u w:val="single"/>
        </w:rPr>
        <w:t>1. Longueur nette</w:t>
      </w:r>
      <w:r>
        <w:rPr>
          <w:rStyle w:val="soitChar"/>
        </w:rPr>
        <w:t>  : longueur du seuil entre les jours de la baie, de dimensions et d'épaisseur identiques</w:t>
      </w:r>
    </w:p>
    <w:p w14:paraId="4DF86FCF" w14:textId="77777777" w:rsidR="00DF410E" w:rsidRDefault="00CE7F43">
      <w:pPr>
        <w:jc w:val="both"/>
      </w:pPr>
      <w:r>
        <w:rPr>
          <w:b/>
        </w:rPr>
        <w:t>(soit par défaut)</w:t>
      </w:r>
    </w:p>
    <w:p w14:paraId="4EE62BE5" w14:textId="77777777" w:rsidR="00DF410E" w:rsidRDefault="00CE7F43">
      <w:pPr>
        <w:jc w:val="both"/>
      </w:pPr>
      <w:r>
        <w:rPr>
          <w:rStyle w:val="soitChar"/>
        </w:rPr>
        <w:t>2. </w:t>
      </w:r>
      <w:r>
        <w:rPr>
          <w:rStyle w:val="soitChar"/>
          <w:u w:val="single"/>
        </w:rPr>
        <w:t>A la pièce : </w:t>
      </w:r>
      <w:r>
        <w:rPr>
          <w:rStyle w:val="soitChar"/>
        </w:rPr>
        <w:t>de dimension et d'épaisseur identiques</w:t>
      </w:r>
    </w:p>
    <w:p w14:paraId="6F2EC5E8" w14:textId="77777777" w:rsidR="00DF410E" w:rsidRDefault="00CE7F43">
      <w:pPr>
        <w:jc w:val="both"/>
      </w:pPr>
      <w:r>
        <w:rPr>
          <w:b/>
        </w:rPr>
        <w:t>(soit)</w:t>
      </w:r>
    </w:p>
    <w:p w14:paraId="706B4DB0" w14:textId="77777777" w:rsidR="00DF410E" w:rsidRDefault="00CE7F43">
      <w:pPr>
        <w:jc w:val="both"/>
      </w:pPr>
      <w:r>
        <w:rPr>
          <w:rStyle w:val="soitChar"/>
        </w:rPr>
        <w:t>3. </w:t>
      </w:r>
      <w:r>
        <w:rPr>
          <w:rStyle w:val="soitChar"/>
          <w:u w:val="single"/>
        </w:rPr>
        <w:t>A la surface</w:t>
      </w:r>
      <w:r>
        <w:rPr>
          <w:rStyle w:val="soitChar"/>
        </w:rPr>
        <w:t>  : surface nette de parement.</w:t>
      </w:r>
    </w:p>
    <w:p w14:paraId="5F90553E" w14:textId="77777777" w:rsidR="00DF410E" w:rsidRDefault="00CE7F43">
      <w:pPr>
        <w:pStyle w:val="pheading"/>
      </w:pPr>
      <w:r>
        <w:t>- nature du marché:</w:t>
      </w:r>
    </w:p>
    <w:p w14:paraId="3F23128D" w14:textId="77777777" w:rsidR="00DF410E" w:rsidRDefault="00CE7F43">
      <w:r>
        <w:rPr>
          <w:rStyle w:val="optioncarChar"/>
        </w:rPr>
        <w:t>QF</w:t>
      </w:r>
      <w:r>
        <w:t xml:space="preserve"> (par défaut)</w:t>
      </w:r>
      <w:r>
        <w:rPr>
          <w:rStyle w:val="optioncarChar"/>
        </w:rPr>
        <w:t xml:space="preserve"> / QP</w:t>
      </w:r>
    </w:p>
    <w:p w14:paraId="3F8B7BB2" w14:textId="77777777" w:rsidR="00DF410E" w:rsidRDefault="00CE7F43">
      <w:pPr>
        <w:pStyle w:val="Author-eSectionHeading5"/>
      </w:pPr>
      <w:bookmarkStart w:id="315" w:name="_Toc178837539"/>
      <w:r>
        <w:t>21.36.3 Linteaux CCTB 01.10</w:t>
      </w:r>
      <w:bookmarkEnd w:id="315"/>
    </w:p>
    <w:p w14:paraId="651538A6" w14:textId="77777777" w:rsidR="00DF410E" w:rsidRDefault="00CE7F43">
      <w:pPr>
        <w:pStyle w:val="Author-eSectionHeading6"/>
      </w:pPr>
      <w:bookmarkStart w:id="316" w:name="400"/>
      <w:bookmarkStart w:id="317" w:name="_Toc178837540"/>
      <w:bookmarkEnd w:id="316"/>
      <w:r>
        <w:t>21.36.3a Linteaux en pierre CCTB 01.10</w:t>
      </w:r>
      <w:bookmarkEnd w:id="317"/>
    </w:p>
    <w:p w14:paraId="7A2B221A" w14:textId="77777777" w:rsidR="00DF410E" w:rsidRDefault="00CE7F43">
      <w:pPr>
        <w:pStyle w:val="Author-eSectionHeading6"/>
      </w:pPr>
      <w:bookmarkStart w:id="318" w:name="_Toc178837541"/>
      <w:r>
        <w:t>21.36.3b Linteaux en pierre reconstituée CCTB 01.10</w:t>
      </w:r>
      <w:bookmarkEnd w:id="318"/>
    </w:p>
    <w:p w14:paraId="63C82B91" w14:textId="77777777" w:rsidR="00DF410E" w:rsidRDefault="00CE7F43">
      <w:pPr>
        <w:pStyle w:val="Author-eSectionHeading6"/>
      </w:pPr>
      <w:bookmarkStart w:id="319" w:name="_Toc178837542"/>
      <w:r>
        <w:t>21.36.3c Linteaux préfabriqués en béton décoratif / architectonique CCTB 01.10</w:t>
      </w:r>
      <w:bookmarkEnd w:id="319"/>
    </w:p>
    <w:p w14:paraId="113C37B7" w14:textId="77777777" w:rsidR="00DF410E" w:rsidRDefault="00CE7F43">
      <w:pPr>
        <w:pStyle w:val="Author-eSectionHeading5"/>
      </w:pPr>
      <w:bookmarkStart w:id="320" w:name="_Toc178837543"/>
      <w:r>
        <w:t>21.36.4 Eléments d'encadrement CCTB 01.02</w:t>
      </w:r>
      <w:bookmarkEnd w:id="320"/>
    </w:p>
    <w:p w14:paraId="4E321962" w14:textId="77777777" w:rsidR="00DF410E" w:rsidRDefault="00CE7F43">
      <w:pPr>
        <w:pStyle w:val="Author-eSectionHeading6"/>
      </w:pPr>
      <w:bookmarkStart w:id="321" w:name="_Toc178837544"/>
      <w:r>
        <w:t>21.36.4a Eléments d'encadrement en pierre CCTB 01.11</w:t>
      </w:r>
      <w:bookmarkEnd w:id="321"/>
    </w:p>
    <w:p w14:paraId="73049D64" w14:textId="77777777" w:rsidR="00DF410E" w:rsidRDefault="00CE7F43">
      <w:pPr>
        <w:pStyle w:val="pheading"/>
      </w:pPr>
      <w:r>
        <w:t>MATÉRIAUX</w:t>
      </w:r>
    </w:p>
    <w:p w14:paraId="1316E889" w14:textId="77777777" w:rsidR="00DF410E" w:rsidRDefault="00CE7F43">
      <w:pPr>
        <w:pStyle w:val="pheading"/>
      </w:pPr>
      <w:r>
        <w:t>- Caractéristiques générales</w:t>
      </w:r>
    </w:p>
    <w:p w14:paraId="70E39620" w14:textId="77777777" w:rsidR="00DF410E" w:rsidRDefault="00CE7F43">
      <w:r>
        <w:rPr>
          <w:b/>
          <w:u w:val="single"/>
        </w:rPr>
        <w:t>Spécifications</w:t>
      </w:r>
    </w:p>
    <w:p w14:paraId="660338F7" w14:textId="77777777" w:rsidR="00DF410E" w:rsidRDefault="00CE7F43">
      <w:r>
        <w:t>La pierre appartient à la catégorie </w:t>
      </w:r>
      <w:r>
        <w:rPr>
          <w:rStyle w:val="optioncarChar"/>
        </w:rPr>
        <w:t>'bâtiment exceptionnel' / 'bâtiment courant' </w:t>
      </w:r>
      <w:r>
        <w:t>(par défaut)</w:t>
      </w:r>
      <w:r>
        <w:rPr>
          <w:rStyle w:val="optioncarChar"/>
        </w:rPr>
        <w:t xml:space="preserve">  / 'technique' / ***</w:t>
      </w:r>
      <w:r>
        <w:t xml:space="preserve"> (selon le tableau [NIT 220])</w:t>
      </w:r>
    </w:p>
    <w:p w14:paraId="24AD58F0" w14:textId="77777777" w:rsidR="00DF410E" w:rsidRDefault="00CE7F43">
      <w:r>
        <w:t xml:space="preserve">Faces vues : </w:t>
      </w:r>
      <w:r>
        <w:rPr>
          <w:rStyle w:val="optioncarChar"/>
        </w:rPr>
        <w:t xml:space="preserve">meulé gris </w:t>
      </w:r>
      <w:r>
        <w:t>(par défaut) </w:t>
      </w:r>
      <w:r>
        <w:rPr>
          <w:rStyle w:val="optioncarChar"/>
        </w:rPr>
        <w:t>/ adouci bleu / ciselé (à raison de 10 / 12 / 15 </w:t>
      </w:r>
      <w:r>
        <w:t>(par défaut)</w:t>
      </w:r>
      <w:r>
        <w:rPr>
          <w:rStyle w:val="optioncarChar"/>
        </w:rPr>
        <w:t xml:space="preserve"> / *** coups par dm) / ***</w:t>
      </w:r>
    </w:p>
    <w:p w14:paraId="2939B6AC" w14:textId="77777777" w:rsidR="00DF410E" w:rsidRDefault="00CE7F43">
      <w:r>
        <w:t xml:space="preserve">Dimensions : les éléments </w:t>
      </w:r>
      <w:r>
        <w:rPr>
          <w:rStyle w:val="optioncarChar"/>
        </w:rPr>
        <w:t xml:space="preserve">présentent une section rectangulaire de *** </w:t>
      </w:r>
      <w:r>
        <w:t>(par défaut) </w:t>
      </w:r>
      <w:r>
        <w:rPr>
          <w:rStyle w:val="optioncarChar"/>
        </w:rPr>
        <w:t>/ sont en deux pièces de *** cm d'épaisseur placées perpendiculairement / sont profilés selon les dessins détaillés annexés / ***</w:t>
      </w:r>
    </w:p>
    <w:p w14:paraId="2621A2E7" w14:textId="77777777" w:rsidR="00DF410E" w:rsidRDefault="00CE7F43">
      <w:pPr>
        <w:pStyle w:val="pheading"/>
      </w:pPr>
      <w:r>
        <w:t>EXÉCUTION / MISE EN ŒUVRE</w:t>
      </w:r>
    </w:p>
    <w:p w14:paraId="73733728" w14:textId="77777777" w:rsidR="00DF410E" w:rsidRDefault="00CE7F43">
      <w:pPr>
        <w:pStyle w:val="pheading"/>
      </w:pPr>
      <w:r>
        <w:t>- Prescriptions générales</w:t>
      </w:r>
    </w:p>
    <w:p w14:paraId="2617DF10" w14:textId="77777777" w:rsidR="00DF410E" w:rsidRDefault="00CE7F43">
      <w:r>
        <w:t xml:space="preserve">Les éléments d'encadrement sont posés d'aplomb, d'équerre et bien plans selon le plan d'appareillage et/ou en concertation avec l'auteur de projet. Ils sont soigneusement intégrés dans la maçonnerie de parement prévue et placés </w:t>
      </w:r>
      <w:r>
        <w:rPr>
          <w:rStyle w:val="optioncarChar"/>
        </w:rPr>
        <w:t xml:space="preserve">à plein bain de mortier </w:t>
      </w:r>
      <w:r>
        <w:t>(par défaut) </w:t>
      </w:r>
      <w:r>
        <w:rPr>
          <w:rStyle w:val="optioncarChar"/>
        </w:rPr>
        <w:t>/ ***</w:t>
      </w:r>
    </w:p>
    <w:p w14:paraId="7CD52115" w14:textId="77777777" w:rsidR="00DF410E" w:rsidRDefault="00CE7F43">
      <w:pPr>
        <w:pStyle w:val="pheading"/>
      </w:pPr>
      <w:r>
        <w:t>- Notes d’exécution complémentaires</w:t>
      </w:r>
    </w:p>
    <w:p w14:paraId="17630C48" w14:textId="77777777" w:rsidR="00DF410E" w:rsidRDefault="00CE7F43">
      <w:r>
        <w:t xml:space="preserve">Les éléments d'encadrement sont reliés à la structure attenante au moyen d’agrafes </w:t>
      </w:r>
      <w:r>
        <w:rPr>
          <w:rStyle w:val="optioncarChar"/>
        </w:rPr>
        <w:t>en acier inoxydable </w:t>
      </w:r>
      <w:r>
        <w:t>(par défaut)</w:t>
      </w:r>
      <w:r>
        <w:rPr>
          <w:rStyle w:val="optioncarChar"/>
        </w:rPr>
        <w:t xml:space="preserve"> / bronze / ***</w:t>
      </w:r>
      <w:r>
        <w:t>, pourvues d’un ergot fixé dans une rainure qui est sciée au disque dans le chant. La queue d’ancrage porte jusqu’au milieu de la structure attenante. Une fixation est prévue dans le chant de chaque élément massif.</w:t>
      </w:r>
    </w:p>
    <w:p w14:paraId="4DDADE21" w14:textId="77777777" w:rsidR="00DF410E" w:rsidRDefault="00CE7F43">
      <w:pPr>
        <w:pStyle w:val="pheading"/>
      </w:pPr>
      <w:r>
        <w:t>MESURAGE</w:t>
      </w:r>
    </w:p>
    <w:p w14:paraId="608865C3" w14:textId="77777777" w:rsidR="00DF410E" w:rsidRDefault="00CE7F43">
      <w:pPr>
        <w:pStyle w:val="pheading"/>
      </w:pPr>
      <w:r>
        <w:t>- unité de mesure:</w:t>
      </w:r>
    </w:p>
    <w:p w14:paraId="6BB4D882" w14:textId="77777777" w:rsidR="00DF410E" w:rsidRDefault="00CE7F43">
      <w:r>
        <w:rPr>
          <w:rStyle w:val="optioncarChar"/>
        </w:rPr>
        <w:t>m³</w:t>
      </w:r>
      <w:r>
        <w:t xml:space="preserve"> (par défaut) </w:t>
      </w:r>
      <w:r>
        <w:rPr>
          <w:rStyle w:val="optioncarChar"/>
        </w:rPr>
        <w:t>/ m²</w:t>
      </w:r>
    </w:p>
    <w:p w14:paraId="13E2D7EF" w14:textId="77777777" w:rsidR="00DF410E" w:rsidRDefault="00CE7F43">
      <w:r>
        <w:rPr>
          <w:b/>
        </w:rPr>
        <w:t>(soit par défaut)</w:t>
      </w:r>
    </w:p>
    <w:p w14:paraId="0082A419" w14:textId="77777777" w:rsidR="00DF410E" w:rsidRDefault="00CE7F43">
      <w:pPr>
        <w:spacing w:after="0" w:line="0" w:lineRule="atLeast"/>
      </w:pPr>
      <w:r>
        <w:rPr>
          <w:rStyle w:val="soitChar"/>
        </w:rPr>
        <w:t>1. m³</w:t>
      </w:r>
    </w:p>
    <w:p w14:paraId="2EDE165E" w14:textId="77777777" w:rsidR="00DF410E" w:rsidRDefault="00CE7F43">
      <w:pPr>
        <w:spacing w:after="0" w:line="0" w:lineRule="atLeast"/>
      </w:pPr>
      <w:r>
        <w:rPr>
          <w:b/>
          <w:color w:val="000000"/>
        </w:rPr>
        <w:t>(soit)</w:t>
      </w:r>
    </w:p>
    <w:p w14:paraId="190CF256" w14:textId="77777777" w:rsidR="00DF410E" w:rsidRDefault="00CE7F43">
      <w:pPr>
        <w:spacing w:after="0" w:line="0" w:lineRule="atLeast"/>
      </w:pPr>
      <w:r>
        <w:rPr>
          <w:rStyle w:val="soitChar"/>
        </w:rPr>
        <w:t>2. m²</w:t>
      </w:r>
    </w:p>
    <w:p w14:paraId="20B99896" w14:textId="77777777" w:rsidR="00DF410E" w:rsidRDefault="00CE7F43">
      <w:pPr>
        <w:pStyle w:val="pheading"/>
      </w:pPr>
      <w:r>
        <w:t>- code de mesurage:</w:t>
      </w:r>
    </w:p>
    <w:p w14:paraId="0B1F6B54" w14:textId="77777777" w:rsidR="00DF410E" w:rsidRDefault="00CE7F43">
      <w:r>
        <w:rPr>
          <w:rStyle w:val="optioncarChar"/>
        </w:rPr>
        <w:t xml:space="preserve">Volume net </w:t>
      </w:r>
      <w:r>
        <w:t>(par défaut)</w:t>
      </w:r>
      <w:r>
        <w:rPr>
          <w:rStyle w:val="optioncarChar"/>
        </w:rPr>
        <w:t xml:space="preserve"> / surface nette</w:t>
      </w:r>
    </w:p>
    <w:p w14:paraId="4F653385" w14:textId="77777777" w:rsidR="00DF410E" w:rsidRDefault="00CE7F43">
      <w:pPr>
        <w:spacing w:after="0" w:line="252" w:lineRule="auto"/>
      </w:pPr>
      <w:r>
        <w:rPr>
          <w:b/>
          <w:color w:val="000000"/>
        </w:rPr>
        <w:t>(soit par défaut)</w:t>
      </w:r>
    </w:p>
    <w:p w14:paraId="787647C6" w14:textId="77777777" w:rsidR="00DF410E" w:rsidRDefault="00CE7F43">
      <w:pPr>
        <w:spacing w:line="252" w:lineRule="auto"/>
      </w:pPr>
      <w:r>
        <w:rPr>
          <w:rStyle w:val="soitChar"/>
          <w:u w:val="single"/>
        </w:rPr>
        <w:t>Volume net </w:t>
      </w:r>
      <w:r>
        <w:rPr>
          <w:rStyle w:val="soitChar"/>
        </w:rPr>
        <w:t>de l'élément ; prendre le volume du plus petit parallélépipède rectangle qui circonscrit la pierre; le volume réel, quelle qu'en soit la dimension; les pierres de dimensions inférieures à 10 dm3 seront comptées à la pièce. Aucun volume n'est compté deux fois.</w:t>
      </w:r>
    </w:p>
    <w:p w14:paraId="6CAC5FFA" w14:textId="77777777" w:rsidR="00DF410E" w:rsidRDefault="00CE7F43">
      <w:r>
        <w:rPr>
          <w:b/>
        </w:rPr>
        <w:t>(soit)</w:t>
      </w:r>
    </w:p>
    <w:p w14:paraId="2BEAED23" w14:textId="77777777" w:rsidR="00DF410E" w:rsidRDefault="00CE7F43">
      <w:r>
        <w:rPr>
          <w:rStyle w:val="soitChar"/>
          <w:u w:val="single"/>
        </w:rPr>
        <w:t>Surface nette </w:t>
      </w:r>
      <w:r>
        <w:rPr>
          <w:rStyle w:val="soitChar"/>
        </w:rPr>
        <w:t> du parement ; la surface apparente nette à exécuter. Distinction faite suivant l'épaisseur.</w:t>
      </w:r>
    </w:p>
    <w:p w14:paraId="6E98202B" w14:textId="77777777" w:rsidR="00DF410E" w:rsidRDefault="00CE7F43">
      <w:pPr>
        <w:pStyle w:val="pheading"/>
      </w:pPr>
      <w:r>
        <w:t>- nature du marché:</w:t>
      </w:r>
    </w:p>
    <w:p w14:paraId="5D170443" w14:textId="77777777" w:rsidR="00DF410E" w:rsidRDefault="00CE7F43">
      <w:r>
        <w:t>QF</w:t>
      </w:r>
    </w:p>
    <w:p w14:paraId="570B54E2" w14:textId="77777777" w:rsidR="00DF410E" w:rsidRDefault="00CE7F43">
      <w:pPr>
        <w:pStyle w:val="Author-eSectionHeading6"/>
      </w:pPr>
      <w:bookmarkStart w:id="322" w:name="_Toc178837545"/>
      <w:r>
        <w:t>21.36.4b Eléments d'encadrement préfabriqués en béton CCTB 01.11</w:t>
      </w:r>
      <w:bookmarkEnd w:id="322"/>
    </w:p>
    <w:p w14:paraId="68C43412" w14:textId="77777777" w:rsidR="00DF410E" w:rsidRDefault="00CE7F43">
      <w:pPr>
        <w:pStyle w:val="pheading"/>
      </w:pPr>
      <w:r>
        <w:t>MESURAGE</w:t>
      </w:r>
    </w:p>
    <w:p w14:paraId="4A0E8BCD" w14:textId="77777777" w:rsidR="00DF410E" w:rsidRDefault="00CE7F43">
      <w:pPr>
        <w:pStyle w:val="pheading"/>
      </w:pPr>
      <w:r>
        <w:t>- unité de mesure:</w:t>
      </w:r>
    </w:p>
    <w:p w14:paraId="2B161B94" w14:textId="77777777" w:rsidR="00DF410E" w:rsidRDefault="00CE7F43">
      <w:r>
        <w:rPr>
          <w:rStyle w:val="optioncarChar"/>
        </w:rPr>
        <w:t>m</w:t>
      </w:r>
      <w:r>
        <w:t>  (par défaut) </w:t>
      </w:r>
      <w:r>
        <w:rPr>
          <w:rStyle w:val="optioncarChar"/>
        </w:rPr>
        <w:t>/ m² / pc</w:t>
      </w:r>
    </w:p>
    <w:p w14:paraId="0A2CCA05" w14:textId="77777777" w:rsidR="00DF410E" w:rsidRDefault="00CE7F43">
      <w:r>
        <w:rPr>
          <w:b/>
        </w:rPr>
        <w:t>(soit par défaut)</w:t>
      </w:r>
    </w:p>
    <w:p w14:paraId="734EDFB4" w14:textId="77777777" w:rsidR="00DF410E" w:rsidRDefault="00CE7F43">
      <w:pPr>
        <w:spacing w:after="0" w:line="0" w:lineRule="atLeast"/>
      </w:pPr>
      <w:r>
        <w:rPr>
          <w:rStyle w:val="soitChar"/>
        </w:rPr>
        <w:t>1. m</w:t>
      </w:r>
    </w:p>
    <w:p w14:paraId="33E8FDF1" w14:textId="77777777" w:rsidR="00DF410E" w:rsidRDefault="00CE7F43">
      <w:pPr>
        <w:spacing w:after="0" w:line="0" w:lineRule="atLeast"/>
      </w:pPr>
      <w:r>
        <w:rPr>
          <w:b/>
          <w:color w:val="000000"/>
        </w:rPr>
        <w:t>(soit)</w:t>
      </w:r>
    </w:p>
    <w:p w14:paraId="0C62E2A4" w14:textId="77777777" w:rsidR="00DF410E" w:rsidRDefault="00CE7F43">
      <w:pPr>
        <w:spacing w:after="0" w:line="0" w:lineRule="atLeast"/>
      </w:pPr>
      <w:r>
        <w:rPr>
          <w:rStyle w:val="soitChar"/>
        </w:rPr>
        <w:t>2. m²</w:t>
      </w:r>
    </w:p>
    <w:p w14:paraId="489D6A1F" w14:textId="77777777" w:rsidR="00DF410E" w:rsidRDefault="00CE7F43">
      <w:pPr>
        <w:spacing w:after="0" w:line="0" w:lineRule="atLeast"/>
      </w:pPr>
      <w:r>
        <w:rPr>
          <w:b/>
          <w:color w:val="000000"/>
        </w:rPr>
        <w:t>(soit)</w:t>
      </w:r>
    </w:p>
    <w:p w14:paraId="59FCF81C" w14:textId="77777777" w:rsidR="00DF410E" w:rsidRDefault="00CE7F43">
      <w:pPr>
        <w:spacing w:after="0" w:line="0" w:lineRule="atLeast"/>
      </w:pPr>
      <w:r>
        <w:rPr>
          <w:rStyle w:val="soitChar"/>
        </w:rPr>
        <w:t>3. pc</w:t>
      </w:r>
    </w:p>
    <w:p w14:paraId="58C723A3" w14:textId="77777777" w:rsidR="00DF410E" w:rsidRDefault="00CE7F43">
      <w:pPr>
        <w:pStyle w:val="pheading"/>
      </w:pPr>
      <w:r>
        <w:t>- code de mesurage:</w:t>
      </w:r>
    </w:p>
    <w:p w14:paraId="6AAEF968" w14:textId="77777777" w:rsidR="00DF410E" w:rsidRDefault="00CE7F43">
      <w:pPr>
        <w:pStyle w:val="optioncar"/>
      </w:pPr>
      <w:r>
        <w:rPr>
          <w:rStyle w:val="optioncarChar"/>
        </w:rPr>
        <w:t>Au mètre </w:t>
      </w:r>
      <w:r>
        <w:t>(par défaut)</w:t>
      </w:r>
      <w:r>
        <w:rPr>
          <w:rStyle w:val="optioncarChar"/>
        </w:rPr>
        <w:t> / surface nette . à la pièce</w:t>
      </w:r>
    </w:p>
    <w:p w14:paraId="55A2F8C6" w14:textId="77777777" w:rsidR="00DF410E" w:rsidRDefault="00CE7F43">
      <w:pPr>
        <w:spacing w:after="0" w:line="252" w:lineRule="auto"/>
      </w:pPr>
      <w:r>
        <w:rPr>
          <w:b/>
          <w:color w:val="000000"/>
        </w:rPr>
        <w:t>(soit par défaut)</w:t>
      </w:r>
    </w:p>
    <w:p w14:paraId="682EB6A5" w14:textId="77777777" w:rsidR="00DF410E" w:rsidRDefault="00CE7F43">
      <w:pPr>
        <w:spacing w:line="252" w:lineRule="auto"/>
      </w:pPr>
      <w:r>
        <w:rPr>
          <w:rStyle w:val="soitChar"/>
          <w:u w:val="single"/>
        </w:rPr>
        <w:t>Au mètre</w:t>
      </w:r>
      <w:r>
        <w:rPr>
          <w:rStyle w:val="soitChar"/>
        </w:rPr>
        <w:t xml:space="preserve"> : longueur de l'élément entre les jours de la baie, suivant dimensions et épaisseur.</w:t>
      </w:r>
    </w:p>
    <w:p w14:paraId="6321B54D" w14:textId="77777777" w:rsidR="00DF410E" w:rsidRDefault="00CE7F43">
      <w:pPr>
        <w:spacing w:line="252" w:lineRule="auto"/>
      </w:pPr>
      <w:r>
        <w:rPr>
          <w:b/>
        </w:rPr>
        <w:t>(soit)</w:t>
      </w:r>
    </w:p>
    <w:p w14:paraId="1F353141" w14:textId="77777777" w:rsidR="00DF410E" w:rsidRDefault="00CE7F43">
      <w:r>
        <w:rPr>
          <w:rStyle w:val="soitChar"/>
          <w:u w:val="single"/>
        </w:rPr>
        <w:t>Surface nette </w:t>
      </w:r>
      <w:r>
        <w:rPr>
          <w:rStyle w:val="soitChar"/>
        </w:rPr>
        <w:t>  du parement ; la surface apparente nette à exécuter . </w:t>
      </w:r>
      <w:r>
        <w:t> </w:t>
      </w:r>
      <w:r>
        <w:rPr>
          <w:rStyle w:val="soitChar"/>
        </w:rPr>
        <w:t>Distinction faite suivant l'épaisseur.</w:t>
      </w:r>
    </w:p>
    <w:p w14:paraId="56AF3BC4" w14:textId="77777777" w:rsidR="00DF410E" w:rsidRDefault="00CE7F43">
      <w:pPr>
        <w:spacing w:line="252" w:lineRule="auto"/>
      </w:pPr>
      <w:r>
        <w:rPr>
          <w:b/>
        </w:rPr>
        <w:t>(soit)</w:t>
      </w:r>
    </w:p>
    <w:p w14:paraId="1B94AE0A" w14:textId="77777777" w:rsidR="00DF410E" w:rsidRDefault="00CE7F43">
      <w:r>
        <w:rPr>
          <w:rStyle w:val="soitChar"/>
          <w:u w:val="single"/>
        </w:rPr>
        <w:t>A la pièce </w:t>
      </w:r>
      <w:r>
        <w:rPr>
          <w:rStyle w:val="soitChar"/>
        </w:rPr>
        <w:t> , suivant dimensions et épaisseur identique.</w:t>
      </w:r>
    </w:p>
    <w:p w14:paraId="31E57553" w14:textId="77777777" w:rsidR="00DF410E" w:rsidRDefault="00CE7F43">
      <w:pPr>
        <w:pStyle w:val="pheading"/>
      </w:pPr>
      <w:r>
        <w:t>- nature du marché:</w:t>
      </w:r>
    </w:p>
    <w:p w14:paraId="4AD2B3C3" w14:textId="77777777" w:rsidR="00DF410E" w:rsidRDefault="00CE7F43">
      <w:r>
        <w:t>QF</w:t>
      </w:r>
    </w:p>
    <w:p w14:paraId="10472C0A" w14:textId="77777777" w:rsidR="00DF410E" w:rsidRDefault="00CE7F43">
      <w:pPr>
        <w:pStyle w:val="Author-eSectionHeading6"/>
      </w:pPr>
      <w:bookmarkStart w:id="323" w:name="_Toc178837546"/>
      <w:r>
        <w:t>21.36.4c Eléments d'encadrement préfabriqués en béton décoratif / architectonique CCTB 01.11</w:t>
      </w:r>
      <w:bookmarkEnd w:id="323"/>
    </w:p>
    <w:p w14:paraId="15713A33" w14:textId="77777777" w:rsidR="00DF410E" w:rsidRDefault="00CE7F43">
      <w:pPr>
        <w:pStyle w:val="pheading"/>
      </w:pPr>
      <w:r>
        <w:t>MESURAGE</w:t>
      </w:r>
    </w:p>
    <w:p w14:paraId="33D283B4" w14:textId="77777777" w:rsidR="00DF410E" w:rsidRDefault="00CE7F43">
      <w:pPr>
        <w:pStyle w:val="pheading"/>
      </w:pPr>
      <w:r>
        <w:t>- unité de mesure:</w:t>
      </w:r>
    </w:p>
    <w:p w14:paraId="2E136DAE" w14:textId="77777777" w:rsidR="00DF410E" w:rsidRDefault="00CE7F43">
      <w:r>
        <w:rPr>
          <w:rStyle w:val="optioncarChar"/>
        </w:rPr>
        <w:t>m</w:t>
      </w:r>
      <w:r>
        <w:t>  (par défaut) </w:t>
      </w:r>
      <w:r>
        <w:rPr>
          <w:rStyle w:val="optioncarChar"/>
        </w:rPr>
        <w:t>/ m² / pc</w:t>
      </w:r>
    </w:p>
    <w:p w14:paraId="3A636528" w14:textId="77777777" w:rsidR="00DF410E" w:rsidRDefault="00CE7F43">
      <w:r>
        <w:rPr>
          <w:b/>
        </w:rPr>
        <w:t>(soit par défaut)</w:t>
      </w:r>
    </w:p>
    <w:p w14:paraId="122C8B2C" w14:textId="77777777" w:rsidR="00DF410E" w:rsidRDefault="00CE7F43">
      <w:pPr>
        <w:spacing w:after="0" w:line="0" w:lineRule="atLeast"/>
      </w:pPr>
      <w:r>
        <w:rPr>
          <w:rStyle w:val="soitChar"/>
        </w:rPr>
        <w:t>1. m</w:t>
      </w:r>
    </w:p>
    <w:p w14:paraId="51E3D014" w14:textId="77777777" w:rsidR="00DF410E" w:rsidRDefault="00CE7F43">
      <w:pPr>
        <w:spacing w:after="0" w:line="0" w:lineRule="atLeast"/>
      </w:pPr>
      <w:r>
        <w:rPr>
          <w:b/>
          <w:color w:val="000000"/>
        </w:rPr>
        <w:t>(soit)</w:t>
      </w:r>
    </w:p>
    <w:p w14:paraId="2BB278D7" w14:textId="77777777" w:rsidR="00DF410E" w:rsidRDefault="00CE7F43">
      <w:pPr>
        <w:spacing w:after="0" w:line="0" w:lineRule="atLeast"/>
      </w:pPr>
      <w:r>
        <w:rPr>
          <w:rStyle w:val="soitChar"/>
        </w:rPr>
        <w:t>2. m²</w:t>
      </w:r>
    </w:p>
    <w:p w14:paraId="78D2A752" w14:textId="77777777" w:rsidR="00DF410E" w:rsidRDefault="00CE7F43">
      <w:pPr>
        <w:spacing w:after="0" w:line="0" w:lineRule="atLeast"/>
      </w:pPr>
      <w:r>
        <w:rPr>
          <w:b/>
          <w:color w:val="000000"/>
        </w:rPr>
        <w:t>(soit)</w:t>
      </w:r>
    </w:p>
    <w:p w14:paraId="4469DF1D" w14:textId="77777777" w:rsidR="00DF410E" w:rsidRDefault="00CE7F43">
      <w:pPr>
        <w:spacing w:after="0" w:line="0" w:lineRule="atLeast"/>
      </w:pPr>
      <w:r>
        <w:rPr>
          <w:rStyle w:val="soitChar"/>
        </w:rPr>
        <w:t>3. pc</w:t>
      </w:r>
    </w:p>
    <w:p w14:paraId="2CA12BC9" w14:textId="77777777" w:rsidR="00DF410E" w:rsidRDefault="00CE7F43">
      <w:pPr>
        <w:pStyle w:val="pheading"/>
      </w:pPr>
      <w:r>
        <w:t>- code de mesurage:</w:t>
      </w:r>
    </w:p>
    <w:p w14:paraId="3E19861A" w14:textId="77777777" w:rsidR="00DF410E" w:rsidRDefault="00CE7F43">
      <w:r>
        <w:rPr>
          <w:rStyle w:val="optioncarChar"/>
        </w:rPr>
        <w:t>Au mètre </w:t>
      </w:r>
      <w:r>
        <w:t>(par défaut)</w:t>
      </w:r>
      <w:r>
        <w:rPr>
          <w:rStyle w:val="optioncarChar"/>
        </w:rPr>
        <w:t> / surface nette . à la pièce</w:t>
      </w:r>
    </w:p>
    <w:p w14:paraId="743A633E" w14:textId="77777777" w:rsidR="00DF410E" w:rsidRDefault="00CE7F43">
      <w:pPr>
        <w:spacing w:after="0" w:line="252" w:lineRule="auto"/>
      </w:pPr>
      <w:r>
        <w:rPr>
          <w:b/>
          <w:color w:val="000000"/>
        </w:rPr>
        <w:t>(soit par défaut)</w:t>
      </w:r>
    </w:p>
    <w:p w14:paraId="7EFE2C84" w14:textId="77777777" w:rsidR="00DF410E" w:rsidRDefault="00CE7F43">
      <w:pPr>
        <w:spacing w:line="252" w:lineRule="auto"/>
      </w:pPr>
      <w:r>
        <w:rPr>
          <w:rStyle w:val="soitChar"/>
          <w:u w:val="single"/>
        </w:rPr>
        <w:t>Au mètre</w:t>
      </w:r>
      <w:r>
        <w:rPr>
          <w:rStyle w:val="soitChar"/>
        </w:rPr>
        <w:t> : longueur de l'élément entre les jours de la baie, suivant dimensions et épaisseur.</w:t>
      </w:r>
    </w:p>
    <w:p w14:paraId="77FED2D7" w14:textId="77777777" w:rsidR="00DF410E" w:rsidRDefault="00CE7F43">
      <w:pPr>
        <w:spacing w:line="252" w:lineRule="auto"/>
      </w:pPr>
      <w:r>
        <w:rPr>
          <w:b/>
        </w:rPr>
        <w:t>(soit)</w:t>
      </w:r>
    </w:p>
    <w:p w14:paraId="05EB6AEF" w14:textId="77777777" w:rsidR="00DF410E" w:rsidRDefault="00CE7F43">
      <w:r>
        <w:rPr>
          <w:rStyle w:val="soitChar"/>
          <w:u w:val="single"/>
        </w:rPr>
        <w:t>Surface nette </w:t>
      </w:r>
      <w:r>
        <w:rPr>
          <w:rStyle w:val="soitChar"/>
        </w:rPr>
        <w:t>    du parement ; la surface apparente nette à exécuter . </w:t>
      </w:r>
      <w:r>
        <w:t>   </w:t>
      </w:r>
      <w:r>
        <w:rPr>
          <w:rStyle w:val="soitChar"/>
        </w:rPr>
        <w:t>Distinction faite suivant l'épaisseur.</w:t>
      </w:r>
    </w:p>
    <w:p w14:paraId="33720ACC" w14:textId="77777777" w:rsidR="00DF410E" w:rsidRDefault="00CE7F43">
      <w:pPr>
        <w:spacing w:line="252" w:lineRule="auto"/>
      </w:pPr>
      <w:r>
        <w:rPr>
          <w:b/>
        </w:rPr>
        <w:t>(soit)</w:t>
      </w:r>
    </w:p>
    <w:p w14:paraId="391501E3" w14:textId="77777777" w:rsidR="00DF410E" w:rsidRDefault="00CE7F43">
      <w:r>
        <w:rPr>
          <w:rStyle w:val="soitChar"/>
          <w:u w:val="single"/>
        </w:rPr>
        <w:t>A la pièce </w:t>
      </w:r>
      <w:r>
        <w:rPr>
          <w:rStyle w:val="soitChar"/>
        </w:rPr>
        <w:t>  , suivant dimensions et épaisseur identique.</w:t>
      </w:r>
    </w:p>
    <w:p w14:paraId="75F629C5" w14:textId="77777777" w:rsidR="00DF410E" w:rsidRDefault="00CE7F43">
      <w:pPr>
        <w:pStyle w:val="pheading"/>
      </w:pPr>
      <w:r>
        <w:t>- nature du marché:</w:t>
      </w:r>
    </w:p>
    <w:p w14:paraId="7FAD4F44" w14:textId="77777777" w:rsidR="00DF410E" w:rsidRDefault="00CE7F43">
      <w:r>
        <w:t>QF</w:t>
      </w:r>
    </w:p>
    <w:p w14:paraId="36C6E8B4" w14:textId="77777777" w:rsidR="00DF410E" w:rsidRDefault="00CE7F43">
      <w:pPr>
        <w:pStyle w:val="Author-eSectionHeading6"/>
      </w:pPr>
      <w:bookmarkStart w:id="324" w:name="_Toc178837547"/>
      <w:r>
        <w:t>21.36.4d Eléments d'encadrement en fibres-ciment CCTB 01.11</w:t>
      </w:r>
      <w:bookmarkEnd w:id="324"/>
    </w:p>
    <w:p w14:paraId="07DA04C1" w14:textId="77777777" w:rsidR="00DF410E" w:rsidRDefault="00CE7F43">
      <w:pPr>
        <w:pStyle w:val="pheading"/>
      </w:pPr>
      <w:r>
        <w:t>MESURAGE</w:t>
      </w:r>
    </w:p>
    <w:p w14:paraId="51F51EE7" w14:textId="77777777" w:rsidR="00DF410E" w:rsidRDefault="00CE7F43">
      <w:pPr>
        <w:pStyle w:val="pheading"/>
      </w:pPr>
      <w:r>
        <w:t>- unité de mesure:</w:t>
      </w:r>
    </w:p>
    <w:p w14:paraId="43AF6600" w14:textId="77777777" w:rsidR="00DF410E" w:rsidRDefault="00CE7F43">
      <w:r>
        <w:rPr>
          <w:rStyle w:val="optioncarChar"/>
        </w:rPr>
        <w:t>m</w:t>
      </w:r>
      <w:r>
        <w:t>  (par défaut) </w:t>
      </w:r>
      <w:r>
        <w:rPr>
          <w:rStyle w:val="optioncarChar"/>
        </w:rPr>
        <w:t>/ m² / pc</w:t>
      </w:r>
    </w:p>
    <w:p w14:paraId="3AE8DEEC" w14:textId="77777777" w:rsidR="00DF410E" w:rsidRDefault="00CE7F43">
      <w:r>
        <w:rPr>
          <w:b/>
        </w:rPr>
        <w:t>(soit par défaut)</w:t>
      </w:r>
    </w:p>
    <w:p w14:paraId="12BCE42C" w14:textId="77777777" w:rsidR="00DF410E" w:rsidRDefault="00CE7F43">
      <w:pPr>
        <w:spacing w:after="0" w:line="0" w:lineRule="atLeast"/>
      </w:pPr>
      <w:r>
        <w:rPr>
          <w:rStyle w:val="soitChar"/>
        </w:rPr>
        <w:t>1. m</w:t>
      </w:r>
    </w:p>
    <w:p w14:paraId="738A16B1" w14:textId="77777777" w:rsidR="00DF410E" w:rsidRDefault="00CE7F43">
      <w:pPr>
        <w:spacing w:after="0" w:line="0" w:lineRule="atLeast"/>
      </w:pPr>
      <w:r>
        <w:rPr>
          <w:b/>
          <w:color w:val="000000"/>
        </w:rPr>
        <w:t>(soit)</w:t>
      </w:r>
    </w:p>
    <w:p w14:paraId="139572AC" w14:textId="77777777" w:rsidR="00DF410E" w:rsidRDefault="00CE7F43">
      <w:pPr>
        <w:spacing w:after="0" w:line="0" w:lineRule="atLeast"/>
      </w:pPr>
      <w:r>
        <w:rPr>
          <w:rStyle w:val="soitChar"/>
        </w:rPr>
        <w:t>2. m²</w:t>
      </w:r>
    </w:p>
    <w:p w14:paraId="675CF963" w14:textId="77777777" w:rsidR="00DF410E" w:rsidRDefault="00CE7F43">
      <w:pPr>
        <w:spacing w:after="0" w:line="0" w:lineRule="atLeast"/>
      </w:pPr>
      <w:r>
        <w:rPr>
          <w:b/>
          <w:color w:val="000000"/>
        </w:rPr>
        <w:t>(soit)</w:t>
      </w:r>
    </w:p>
    <w:p w14:paraId="74D8410D" w14:textId="77777777" w:rsidR="00DF410E" w:rsidRDefault="00CE7F43">
      <w:pPr>
        <w:spacing w:after="0" w:line="0" w:lineRule="atLeast"/>
      </w:pPr>
      <w:r>
        <w:rPr>
          <w:rStyle w:val="soitChar"/>
        </w:rPr>
        <w:t>3. pc</w:t>
      </w:r>
    </w:p>
    <w:p w14:paraId="274473C1" w14:textId="77777777" w:rsidR="00DF410E" w:rsidRDefault="00CE7F43">
      <w:pPr>
        <w:pStyle w:val="pheading"/>
      </w:pPr>
      <w:r>
        <w:t>- code de mesurage:</w:t>
      </w:r>
    </w:p>
    <w:p w14:paraId="0819797A" w14:textId="77777777" w:rsidR="00DF410E" w:rsidRDefault="00CE7F43">
      <w:pPr>
        <w:pStyle w:val="optioncar"/>
      </w:pPr>
      <w:r>
        <w:rPr>
          <w:rStyle w:val="optioncarChar"/>
        </w:rPr>
        <w:t>Au mètre </w:t>
      </w:r>
      <w:r>
        <w:t>(par défaut)</w:t>
      </w:r>
      <w:r>
        <w:rPr>
          <w:rStyle w:val="optioncarChar"/>
        </w:rPr>
        <w:t> / surface nette . à la pièce</w:t>
      </w:r>
    </w:p>
    <w:p w14:paraId="5455DFF0" w14:textId="77777777" w:rsidR="00DF410E" w:rsidRDefault="00CE7F43">
      <w:pPr>
        <w:spacing w:after="0" w:line="252" w:lineRule="auto"/>
      </w:pPr>
      <w:r>
        <w:rPr>
          <w:b/>
          <w:color w:val="000000"/>
        </w:rPr>
        <w:t>(soit par défaut)</w:t>
      </w:r>
    </w:p>
    <w:p w14:paraId="7D7CD0E0" w14:textId="77777777" w:rsidR="00DF410E" w:rsidRDefault="00CE7F43">
      <w:pPr>
        <w:spacing w:line="252" w:lineRule="auto"/>
      </w:pPr>
      <w:r>
        <w:rPr>
          <w:rStyle w:val="soitChar"/>
          <w:u w:val="single"/>
        </w:rPr>
        <w:t>Au mètre</w:t>
      </w:r>
      <w:r>
        <w:rPr>
          <w:rStyle w:val="soitChar"/>
        </w:rPr>
        <w:t> : longueur de l'élément entre les jours de la baie, suivant dimensions et épaisseur.</w:t>
      </w:r>
    </w:p>
    <w:p w14:paraId="386627A6" w14:textId="77777777" w:rsidR="00DF410E" w:rsidRDefault="00CE7F43">
      <w:pPr>
        <w:spacing w:line="252" w:lineRule="auto"/>
      </w:pPr>
      <w:r>
        <w:rPr>
          <w:b/>
        </w:rPr>
        <w:t>(soit)</w:t>
      </w:r>
    </w:p>
    <w:p w14:paraId="420BD1F6" w14:textId="77777777" w:rsidR="00DF410E" w:rsidRDefault="00CE7F43">
      <w:r>
        <w:rPr>
          <w:rStyle w:val="soitChar"/>
          <w:u w:val="single"/>
        </w:rPr>
        <w:t>Surface nette </w:t>
      </w:r>
      <w:r>
        <w:rPr>
          <w:rStyle w:val="soitChar"/>
        </w:rPr>
        <w:t>    du parement ; la surface apparente nette à exécuter . </w:t>
      </w:r>
      <w:r>
        <w:t>   </w:t>
      </w:r>
      <w:r>
        <w:rPr>
          <w:rStyle w:val="soitChar"/>
        </w:rPr>
        <w:t>Distinction faite suivant l'épaisseur.</w:t>
      </w:r>
    </w:p>
    <w:p w14:paraId="5A82AF38" w14:textId="77777777" w:rsidR="00DF410E" w:rsidRDefault="00CE7F43">
      <w:pPr>
        <w:spacing w:line="252" w:lineRule="auto"/>
      </w:pPr>
      <w:r>
        <w:rPr>
          <w:b/>
        </w:rPr>
        <w:t>(soit)</w:t>
      </w:r>
    </w:p>
    <w:p w14:paraId="6288E3EA" w14:textId="77777777" w:rsidR="00DF410E" w:rsidRDefault="00CE7F43">
      <w:r>
        <w:rPr>
          <w:rStyle w:val="soitChar"/>
          <w:u w:val="single"/>
        </w:rPr>
        <w:t>A la pièce </w:t>
      </w:r>
      <w:r>
        <w:rPr>
          <w:rStyle w:val="soitChar"/>
        </w:rPr>
        <w:t>  , suivant dimensions et épaisseur identique.</w:t>
      </w:r>
    </w:p>
    <w:p w14:paraId="389C696A" w14:textId="77777777" w:rsidR="00DF410E" w:rsidRDefault="00CE7F43">
      <w:pPr>
        <w:pStyle w:val="pheading"/>
      </w:pPr>
      <w:r>
        <w:t>- nature du marché:</w:t>
      </w:r>
    </w:p>
    <w:p w14:paraId="6384E671" w14:textId="77777777" w:rsidR="00DF410E" w:rsidRDefault="00CE7F43">
      <w:r>
        <w:t>QF</w:t>
      </w:r>
    </w:p>
    <w:p w14:paraId="7C895C35" w14:textId="77777777" w:rsidR="00DF410E" w:rsidRDefault="00CE7F43">
      <w:pPr>
        <w:pStyle w:val="Author-eSectionHeading5"/>
      </w:pPr>
      <w:bookmarkStart w:id="325" w:name="_Toc178837548"/>
      <w:r>
        <w:t>21.36.5 Couvre-murs CCTB 01.09</w:t>
      </w:r>
      <w:bookmarkEnd w:id="325"/>
    </w:p>
    <w:p w14:paraId="3CA35152" w14:textId="77777777" w:rsidR="00DF410E" w:rsidRDefault="00CE7F43">
      <w:pPr>
        <w:pStyle w:val="pheading"/>
      </w:pPr>
      <w:bookmarkStart w:id="326" w:name="410"/>
      <w:bookmarkEnd w:id="326"/>
      <w:r>
        <w:t>DESCRIPTION</w:t>
      </w:r>
    </w:p>
    <w:p w14:paraId="60737833" w14:textId="77777777" w:rsidR="00DF410E" w:rsidRDefault="00CE7F43">
      <w:pPr>
        <w:pStyle w:val="pheading"/>
      </w:pPr>
      <w:r>
        <w:t>- Définition / Comprend</w:t>
      </w:r>
    </w:p>
    <w:p w14:paraId="48D72C52" w14:textId="77777777" w:rsidR="00DF410E" w:rsidRDefault="00CE7F43">
      <w:r>
        <w:t>Il s'agit de la fourniture et de la pose des pierres de couverture, destinées à recouvrir le sommet des murs isolés à l'extérieur, à hauteur des toitures plates et/ou des murs extérieurs massifs. Conformément aux dispositions du cahier spécial des charges, les prix unitaires compris dans ce poste, doivent toujours comprendre, soit selon la ventilation explicite du métré récapitulatif, soit dans leur totalité :</w:t>
      </w:r>
    </w:p>
    <w:p w14:paraId="01CC1FEF" w14:textId="77777777" w:rsidR="00DF410E" w:rsidRDefault="00CE7F43">
      <w:pPr>
        <w:pStyle w:val="Author-eListParagraph"/>
        <w:numPr>
          <w:ilvl w:val="0"/>
          <w:numId w:val="277"/>
        </w:numPr>
      </w:pPr>
      <w:r>
        <w:t>la préparation du support;</w:t>
      </w:r>
    </w:p>
    <w:p w14:paraId="0EF1B4A5" w14:textId="77777777" w:rsidR="00DF410E" w:rsidRDefault="00CE7F43">
      <w:pPr>
        <w:pStyle w:val="Author-eListParagraph"/>
        <w:numPr>
          <w:ilvl w:val="0"/>
          <w:numId w:val="277"/>
        </w:numPr>
      </w:pPr>
      <w:r>
        <w:t>la fourniture et la préparation des matériaux, et plus particulièrement : les éléments de couverture des murs (y compris les pièces d'angles, les terminaisons et les rencontres), éventuellement les éléments d'assemblage aux autres éléments de construction (par ex. les ancrages, les goujons, etc.), les matériaux d'étanchéité;</w:t>
      </w:r>
    </w:p>
    <w:p w14:paraId="69ABE6D9" w14:textId="77777777" w:rsidR="00DF410E" w:rsidRDefault="00CE7F43">
      <w:pPr>
        <w:pStyle w:val="Author-eListParagraph"/>
        <w:numPr>
          <w:ilvl w:val="0"/>
          <w:numId w:val="277"/>
        </w:numPr>
      </w:pPr>
      <w:r>
        <w:t>la pose proprement dite des éléments de couverture, y compris tous les moyens de fixation et d'ancrage;</w:t>
      </w:r>
    </w:p>
    <w:p w14:paraId="02C3F990" w14:textId="77777777" w:rsidR="00DF410E" w:rsidRDefault="00CE7F43">
      <w:pPr>
        <w:pStyle w:val="Author-eListParagraph"/>
        <w:numPr>
          <w:ilvl w:val="0"/>
          <w:numId w:val="277"/>
        </w:numPr>
      </w:pPr>
      <w:r>
        <w:t>le raccordement et la finition des joints au droit des murs et rives de toiture.</w:t>
      </w:r>
    </w:p>
    <w:p w14:paraId="3349BDEA" w14:textId="77777777" w:rsidR="00DF410E" w:rsidRDefault="00CE7F43">
      <w:pPr>
        <w:pStyle w:val="pheading"/>
      </w:pPr>
      <w:r>
        <w:t>- Remarques importantes</w:t>
      </w:r>
    </w:p>
    <w:p w14:paraId="2F07811E" w14:textId="77777777" w:rsidR="00DF410E" w:rsidRDefault="00CE7F43">
      <w:r>
        <w:t xml:space="preserve">Les couvre-murs non pierreux ou les profils de rive de toiture en aluminium, acier laqué, PVC, etc. sont traités séparément au chapitre </w:t>
      </w:r>
      <w:r>
        <w:rPr>
          <w:color w:val="3333FF"/>
          <w:u w:val="single"/>
        </w:rPr>
        <w:t>35.15 Solins/Bandes de raccord</w:t>
      </w:r>
      <w:r>
        <w:rPr>
          <w:color w:val="3333FF"/>
        </w:rPr>
        <w:t>.</w:t>
      </w:r>
    </w:p>
    <w:p w14:paraId="4DF134D6" w14:textId="77777777" w:rsidR="00DF410E" w:rsidRDefault="00CE7F43">
      <w:pPr>
        <w:pStyle w:val="pheading"/>
      </w:pPr>
      <w:r>
        <w:t>MATÉRIAUX</w:t>
      </w:r>
    </w:p>
    <w:p w14:paraId="3984E6E2" w14:textId="77777777" w:rsidR="00DF410E" w:rsidRDefault="00CE7F43">
      <w:r>
        <w:t>Les pierres de couverture livrées satisfont au moins aux spécifications suivantes :</w:t>
      </w:r>
    </w:p>
    <w:p w14:paraId="3A9A5095" w14:textId="77777777" w:rsidR="00DF410E" w:rsidRDefault="00CE7F43">
      <w:pPr>
        <w:pStyle w:val="Author-eListParagraph"/>
        <w:numPr>
          <w:ilvl w:val="0"/>
          <w:numId w:val="278"/>
        </w:numPr>
      </w:pPr>
      <w:r>
        <w:t>Elles sont ingélives et exemptes de défauts qui sont de nature à compromettre leur bonne tenue dans le temps.</w:t>
      </w:r>
    </w:p>
    <w:p w14:paraId="4D122DDC" w14:textId="77777777" w:rsidR="00DF410E" w:rsidRDefault="00CE7F43">
      <w:pPr>
        <w:pStyle w:val="Author-eListParagraph"/>
        <w:numPr>
          <w:ilvl w:val="0"/>
          <w:numId w:val="278"/>
        </w:numPr>
      </w:pPr>
      <w:r>
        <w:t>Elles sont débarrassées de toute gangue ou terre et exemptes de toutes souillures comme les taches de graisse, d'huile, de rouille, …</w:t>
      </w:r>
    </w:p>
    <w:p w14:paraId="4D762092" w14:textId="77777777" w:rsidR="00DF410E" w:rsidRDefault="00CE7F43">
      <w:pPr>
        <w:pStyle w:val="Author-eListParagraph"/>
        <w:numPr>
          <w:ilvl w:val="0"/>
          <w:numId w:val="278"/>
        </w:numPr>
      </w:pPr>
      <w:r>
        <w:t>Elles sont pourvues d'un rejet d'eau dans le sens de l'écoulement.</w:t>
      </w:r>
    </w:p>
    <w:p w14:paraId="47CC5E1A" w14:textId="77777777" w:rsidR="00DF410E" w:rsidRDefault="00CE7F43">
      <w:pPr>
        <w:pStyle w:val="Author-eListParagraph"/>
        <w:numPr>
          <w:ilvl w:val="0"/>
          <w:numId w:val="278"/>
        </w:numPr>
      </w:pPr>
      <w:r>
        <w:t>Les faces de parement sont intactes et exemptes d'épaufrures et d'écornures.</w:t>
      </w:r>
    </w:p>
    <w:p w14:paraId="0642D5DA" w14:textId="77777777" w:rsidR="00DF410E" w:rsidRDefault="00CE7F43">
      <w:pPr>
        <w:pStyle w:val="pheading"/>
      </w:pPr>
      <w:r>
        <w:t>EXÉCUTION / MISE EN ŒUVRE</w:t>
      </w:r>
    </w:p>
    <w:p w14:paraId="4D12CDD5" w14:textId="77777777" w:rsidR="00DF410E" w:rsidRDefault="00CE7F43">
      <w:r>
        <w:rPr>
          <w:b/>
          <w:u w:val="single"/>
        </w:rPr>
        <w:t>GÉNÉRALITÉS</w:t>
      </w:r>
    </w:p>
    <w:p w14:paraId="656F42B6" w14:textId="77777777" w:rsidR="00DF410E" w:rsidRDefault="00CE7F43">
      <w:r>
        <w:t>Tous les éléments de couverture qui sont destinés à former un ensemble sont placés en même temps. L'entrepreneur veille à ce que la ligne visuelle des éléments, des joints et des fixations soit respectée. Les éléments de couverture doivent être posés en ligne droite (ou courbe), plans et horizontalement. Ils sont posés à plein bain de mortier. L'épaisseur des joints est partout pareille et les joints sont rectilignes.</w:t>
      </w:r>
    </w:p>
    <w:p w14:paraId="785F3441" w14:textId="77777777" w:rsidR="00DF410E" w:rsidRDefault="00CE7F43">
      <w:r>
        <w:t>La construction du mur est suffisamment résistante et épaisse pour pouvoir fixer les éléments d'ancrage des pierres en tenant compte des sollicitations auxquelles elles sont soumises (arrachement, fléchissement, cisaillement). En ce qui concerne les essais de contrôle et les caractéristiques techniques, il est fait référence aux méthodes décrites dans la [NIT 220].</w:t>
      </w:r>
    </w:p>
    <w:p w14:paraId="77649048" w14:textId="77777777" w:rsidR="00DF410E" w:rsidRDefault="00CE7F43">
      <w:pPr>
        <w:pStyle w:val="pheading"/>
      </w:pPr>
      <w:r>
        <w:t>DOCUMENTS DE RÉFÉRENCE</w:t>
      </w:r>
    </w:p>
    <w:p w14:paraId="67FFFEEF" w14:textId="77777777" w:rsidR="00DF410E" w:rsidRDefault="00CE7F43">
      <w:pPr>
        <w:pStyle w:val="pheading"/>
      </w:pPr>
      <w:r>
        <w:t>- Exécution</w:t>
      </w:r>
    </w:p>
    <w:p w14:paraId="62E3FC80" w14:textId="77777777" w:rsidR="00DF410E" w:rsidRDefault="00CE7F43">
      <w:r>
        <w:rPr>
          <w:rStyle w:val="normalChar"/>
          <w:rFonts w:ascii="Arial Unicode MS"/>
          <w:color w:val="000000"/>
        </w:rPr>
        <w:t>[NBN EN 1996 s</w:t>
      </w:r>
      <w:r>
        <w:rPr>
          <w:rStyle w:val="normalChar"/>
          <w:rFonts w:ascii="Arial Unicode MS"/>
          <w:color w:val="000000"/>
        </w:rPr>
        <w:t>é</w:t>
      </w:r>
      <w:r>
        <w:rPr>
          <w:rStyle w:val="normalChar"/>
          <w:rFonts w:ascii="Arial Unicode MS"/>
          <w:color w:val="000000"/>
        </w:rPr>
        <w:t>rie, Eurocode</w:t>
      </w:r>
      <w:r>
        <w:rPr>
          <w:rStyle w:val="normalChar"/>
          <w:rFonts w:ascii="Arial Unicode MS"/>
          <w:color w:val="000000"/>
        </w:rPr>
        <w:t> </w:t>
      </w:r>
      <w:r>
        <w:rPr>
          <w:rStyle w:val="normalChar"/>
          <w:rFonts w:ascii="Arial Unicode MS"/>
          <w:color w:val="000000"/>
        </w:rPr>
        <w:t>6</w:t>
      </w:r>
      <w:r>
        <w:rPr>
          <w:rStyle w:val="normalChar"/>
          <w:rFonts w:ascii="Arial Unicode MS"/>
          <w:color w:val="000000"/>
        </w:rPr>
        <w:t> </w:t>
      </w:r>
      <w:r>
        <w:rPr>
          <w:rStyle w:val="normalChar"/>
          <w:rFonts w:ascii="Arial Unicode MS"/>
          <w:color w:val="000000"/>
        </w:rPr>
        <w:t>: Calcul des ouvrages en ma</w:t>
      </w:r>
      <w:r>
        <w:rPr>
          <w:rStyle w:val="normalChar"/>
          <w:rFonts w:ascii="Arial Unicode MS"/>
          <w:color w:val="000000"/>
        </w:rPr>
        <w:t>ç</w:t>
      </w:r>
      <w:r>
        <w:rPr>
          <w:rStyle w:val="normalChar"/>
          <w:rFonts w:ascii="Arial Unicode MS"/>
          <w:color w:val="000000"/>
        </w:rPr>
        <w:t>onnerie]</w:t>
      </w:r>
    </w:p>
    <w:p w14:paraId="5F5AA6FF" w14:textId="77777777" w:rsidR="00DF410E" w:rsidRDefault="00CE7F43">
      <w:r>
        <w:rPr>
          <w:rStyle w:val="normalChar"/>
          <w:rFonts w:ascii="Arial Unicode MS"/>
          <w:color w:val="000000"/>
        </w:rPr>
        <w:t>[STS 22 s</w:t>
      </w:r>
      <w:r>
        <w:rPr>
          <w:rStyle w:val="normalChar"/>
          <w:rFonts w:ascii="Arial Unicode MS"/>
          <w:color w:val="000000"/>
        </w:rPr>
        <w:t>é</w:t>
      </w:r>
      <w:r>
        <w:rPr>
          <w:rStyle w:val="normalChar"/>
          <w:rFonts w:ascii="Arial Unicode MS"/>
          <w:color w:val="000000"/>
        </w:rPr>
        <w:t>rie, Ma</w:t>
      </w:r>
      <w:r>
        <w:rPr>
          <w:rStyle w:val="normalChar"/>
          <w:rFonts w:ascii="Arial Unicode MS"/>
          <w:color w:val="000000"/>
        </w:rPr>
        <w:t>ç</w:t>
      </w:r>
      <w:r>
        <w:rPr>
          <w:rStyle w:val="normalChar"/>
          <w:rFonts w:ascii="Arial Unicode MS"/>
          <w:color w:val="000000"/>
        </w:rPr>
        <w:t>onnerie pour constructions basses]</w:t>
      </w:r>
      <w:r>
        <w:br/>
      </w:r>
    </w:p>
    <w:p w14:paraId="33C55F14" w14:textId="77777777" w:rsidR="00DF410E" w:rsidRDefault="00CE7F43">
      <w:r>
        <w:rPr>
          <w:rStyle w:val="normalChar"/>
          <w:rFonts w:ascii="Arial Unicode MS"/>
          <w:color w:val="000000"/>
        </w:rPr>
        <w:t>[NIT 244, Les ouvrages de raccord des toitures plates : principes g</w:t>
      </w:r>
      <w:r>
        <w:rPr>
          <w:rStyle w:val="normalChar"/>
          <w:rFonts w:ascii="Arial Unicode MS"/>
          <w:color w:val="000000"/>
        </w:rPr>
        <w:t>é</w:t>
      </w:r>
      <w:r>
        <w:rPr>
          <w:rStyle w:val="normalChar"/>
          <w:rFonts w:ascii="Arial Unicode MS"/>
          <w:color w:val="000000"/>
        </w:rPr>
        <w:t>n</w:t>
      </w:r>
      <w:r>
        <w:rPr>
          <w:rStyle w:val="normalChar"/>
          <w:rFonts w:ascii="Arial Unicode MS"/>
          <w:color w:val="000000"/>
        </w:rPr>
        <w:t>é</w:t>
      </w:r>
      <w:r>
        <w:rPr>
          <w:rStyle w:val="normalChar"/>
          <w:rFonts w:ascii="Arial Unicode MS"/>
          <w:color w:val="000000"/>
        </w:rPr>
        <w:t>raux (remplace la NIT 191) (+ correctifs de f</w:t>
      </w:r>
      <w:r>
        <w:rPr>
          <w:rStyle w:val="normalChar"/>
          <w:rFonts w:ascii="Arial Unicode MS"/>
          <w:color w:val="000000"/>
        </w:rPr>
        <w:t>é</w:t>
      </w:r>
      <w:r>
        <w:rPr>
          <w:rStyle w:val="normalChar"/>
          <w:rFonts w:ascii="Arial Unicode MS"/>
          <w:color w:val="000000"/>
        </w:rPr>
        <w:t>vrier 2015).]</w:t>
      </w:r>
      <w:r>
        <w:br/>
      </w:r>
    </w:p>
    <w:p w14:paraId="35DD3EF5" w14:textId="77777777" w:rsidR="00DF410E" w:rsidRDefault="00CE7F43">
      <w:pPr>
        <w:pStyle w:val="Author-eSectionHeading6"/>
      </w:pPr>
      <w:bookmarkStart w:id="327" w:name="_Toc178837549"/>
      <w:r>
        <w:t>21.36.5a Couvre-murs en pierre CCTB 01.11</w:t>
      </w:r>
      <w:bookmarkEnd w:id="327"/>
    </w:p>
    <w:p w14:paraId="03C51BCB" w14:textId="77777777" w:rsidR="00DF410E" w:rsidRDefault="00CE7F43">
      <w:pPr>
        <w:pStyle w:val="pheading"/>
      </w:pPr>
      <w:r>
        <w:t>MATÉRIAUX</w:t>
      </w:r>
    </w:p>
    <w:p w14:paraId="3BC7E59B" w14:textId="77777777" w:rsidR="00DF410E" w:rsidRDefault="00CE7F43">
      <w:pPr>
        <w:pStyle w:val="pheading"/>
      </w:pPr>
      <w:r>
        <w:t>- Caractéristiques générales</w:t>
      </w:r>
    </w:p>
    <w:p w14:paraId="7EC0413F" w14:textId="77777777" w:rsidR="00DF410E" w:rsidRDefault="00CE7F43">
      <w:r>
        <w:t xml:space="preserve">Les pierres de couverture en pierre bleue sont profilées selon </w:t>
      </w:r>
      <w:r>
        <w:rPr>
          <w:rStyle w:val="optioncarChar"/>
        </w:rPr>
        <w:t>le plan </w:t>
      </w:r>
      <w:r>
        <w:t xml:space="preserve">(par défaut) </w:t>
      </w:r>
      <w:r>
        <w:rPr>
          <w:rStyle w:val="optioncarChar"/>
        </w:rPr>
        <w:t>/ la stéréotomie détaillée / ***</w:t>
      </w:r>
      <w:r>
        <w:t xml:space="preserve"> et pourvues d'un rejet d'eau de </w:t>
      </w:r>
      <w:r>
        <w:rPr>
          <w:rStyle w:val="optioncarChar"/>
        </w:rPr>
        <w:t>10 mm de largeur et de 6 à 7 mm de profondeur</w:t>
      </w:r>
      <w:r>
        <w:t> (par défaut)</w:t>
      </w:r>
      <w:r>
        <w:rPr>
          <w:rStyle w:val="optioncarChar"/>
        </w:rPr>
        <w:t xml:space="preserve"> / *** </w:t>
      </w:r>
      <w:r>
        <w:t xml:space="preserve">(voir également l'article </w:t>
      </w:r>
      <w:hyperlink w:anchor="406" w:history="1">
        <w:r>
          <w:t>21.36.1 Seuils</w:t>
        </w:r>
      </w:hyperlink>
      <w:r>
        <w:t>)</w:t>
      </w:r>
      <w:r>
        <w:rPr>
          <w:color w:val="0000FF"/>
        </w:rPr>
        <w:t>.</w:t>
      </w:r>
    </w:p>
    <w:p w14:paraId="30941B34" w14:textId="77777777" w:rsidR="00DF410E" w:rsidRDefault="00CE7F43">
      <w:r>
        <w:rPr>
          <w:b/>
          <w:u w:val="single"/>
        </w:rPr>
        <w:t>Spécifications</w:t>
      </w:r>
    </w:p>
    <w:p w14:paraId="3CE4638C" w14:textId="77777777" w:rsidR="00DF410E" w:rsidRDefault="00CE7F43">
      <w:r>
        <w:t>La pierre appartient à la catégorie</w:t>
      </w:r>
      <w:r>
        <w:rPr>
          <w:rStyle w:val="optioncarChar"/>
        </w:rPr>
        <w:t xml:space="preserve"> 'bâtiment exceptionnel' / 'bâtiment courant' </w:t>
      </w:r>
      <w:r>
        <w:t>(par défaut)</w:t>
      </w:r>
      <w:r>
        <w:rPr>
          <w:rStyle w:val="optioncarChar"/>
        </w:rPr>
        <w:t xml:space="preserve"> / 'technique' / ***</w:t>
      </w:r>
      <w:r>
        <w:t xml:space="preserve"> (selon le tableau [NIT 220])</w:t>
      </w:r>
    </w:p>
    <w:p w14:paraId="20CBBA8B" w14:textId="77777777" w:rsidR="00DF410E" w:rsidRDefault="00CE7F43">
      <w:r>
        <w:t xml:space="preserve">Épaisseur : minimum </w:t>
      </w:r>
      <w:r>
        <w:rPr>
          <w:rStyle w:val="optioncarChar"/>
        </w:rPr>
        <w:t xml:space="preserve">4 </w:t>
      </w:r>
      <w:r>
        <w:t>(par défaut) </w:t>
      </w:r>
      <w:r>
        <w:rPr>
          <w:rStyle w:val="optioncarChar"/>
        </w:rPr>
        <w:t>/ ***</w:t>
      </w:r>
      <w:r>
        <w:t xml:space="preserve"> cm.</w:t>
      </w:r>
    </w:p>
    <w:p w14:paraId="42C02151" w14:textId="77777777" w:rsidR="00DF410E" w:rsidRDefault="00CE7F43">
      <w:r>
        <w:t xml:space="preserve">Largeur : </w:t>
      </w:r>
      <w:r>
        <w:rPr>
          <w:rStyle w:val="optioncarChar"/>
        </w:rPr>
        <w:t>19 </w:t>
      </w:r>
      <w:r>
        <w:t>(par défaut)</w:t>
      </w:r>
      <w:r>
        <w:rPr>
          <w:rStyle w:val="optioncarChar"/>
        </w:rPr>
        <w:t xml:space="preserve"> / 24 / 29 / 34 / ***</w:t>
      </w:r>
      <w:r>
        <w:t xml:space="preserve"> cm. Les pierres de couverture débordent d'au moins </w:t>
      </w:r>
      <w:r>
        <w:rPr>
          <w:rStyle w:val="optioncarChar"/>
        </w:rPr>
        <w:t xml:space="preserve">4 </w:t>
      </w:r>
      <w:r>
        <w:t>(par défaut) </w:t>
      </w:r>
      <w:r>
        <w:rPr>
          <w:rStyle w:val="optioncarChar"/>
        </w:rPr>
        <w:t>/ ***</w:t>
      </w:r>
      <w:r>
        <w:t xml:space="preserve"> cm sur la maçonnerie et sont pourvues d'un rejet d'eau en dessous.</w:t>
      </w:r>
    </w:p>
    <w:p w14:paraId="5FCAEA74" w14:textId="77777777" w:rsidR="00DF410E" w:rsidRDefault="00CE7F43">
      <w:r>
        <w:t>Attention : Entre le rejet d'eau et le crépi de façade, il faut respecter une distance d'au moins 3 cm.</w:t>
      </w:r>
    </w:p>
    <w:p w14:paraId="06914FAB" w14:textId="77777777" w:rsidR="00DF410E" w:rsidRDefault="00CE7F43">
      <w:r>
        <w:t xml:space="preserve">Profil : </w:t>
      </w:r>
      <w:r>
        <w:rPr>
          <w:rStyle w:val="optioncarChar"/>
        </w:rPr>
        <w:t>oblique / droit / selon le dessin de détail</w:t>
      </w:r>
      <w:r>
        <w:t> (par défaut)</w:t>
      </w:r>
      <w:r>
        <w:rPr>
          <w:rStyle w:val="optioncarChar"/>
        </w:rPr>
        <w:t xml:space="preserve"> / ***</w:t>
      </w:r>
    </w:p>
    <w:p w14:paraId="0FA9F956" w14:textId="77777777" w:rsidR="00DF410E" w:rsidRDefault="00CE7F43">
      <w:pPr>
        <w:pStyle w:val="pheading"/>
      </w:pPr>
      <w:r>
        <w:t>- Finitions</w:t>
      </w:r>
    </w:p>
    <w:p w14:paraId="06CF2426" w14:textId="77777777" w:rsidR="00DF410E" w:rsidRDefault="00CE7F43">
      <w:r>
        <w:t xml:space="preserve">Faces supérieures : </w:t>
      </w:r>
      <w:r>
        <w:rPr>
          <w:rStyle w:val="optioncarChar"/>
        </w:rPr>
        <w:t>meulé gris </w:t>
      </w:r>
      <w:r>
        <w:t xml:space="preserve">(par défaut) </w:t>
      </w:r>
      <w:r>
        <w:rPr>
          <w:rStyle w:val="optioncarChar"/>
        </w:rPr>
        <w:t>/ adouci bleu / ***</w:t>
      </w:r>
    </w:p>
    <w:p w14:paraId="53AA795B" w14:textId="77777777" w:rsidR="00DF410E" w:rsidRDefault="00CE7F43">
      <w:r>
        <w:t xml:space="preserve">Faces vues : </w:t>
      </w:r>
      <w:r>
        <w:rPr>
          <w:rStyle w:val="optioncarChar"/>
        </w:rPr>
        <w:t>meulé gris </w:t>
      </w:r>
      <w:r>
        <w:t>(par défaut)</w:t>
      </w:r>
      <w:r>
        <w:rPr>
          <w:rStyle w:val="optioncarChar"/>
        </w:rPr>
        <w:t xml:space="preserve"> / adouci bleu / ciselé à raison de 10 / 12 / 15 /*** coups par dm</w:t>
      </w:r>
    </w:p>
    <w:p w14:paraId="4DFE70B3" w14:textId="77777777" w:rsidR="00DF410E" w:rsidRDefault="00CE7F43">
      <w:r>
        <w:t xml:space="preserve">Dimensions : </w:t>
      </w:r>
      <w:r>
        <w:rPr>
          <w:rStyle w:val="optioncarChar"/>
        </w:rPr>
        <w:t>selon le dessin de détail </w:t>
      </w:r>
      <w:r>
        <w:t>(par défaut)</w:t>
      </w:r>
      <w:r>
        <w:rPr>
          <w:rStyle w:val="optioncarChar"/>
        </w:rPr>
        <w:t xml:space="preserve"> / ***</w:t>
      </w:r>
    </w:p>
    <w:p w14:paraId="3536584C" w14:textId="77777777" w:rsidR="00DF410E" w:rsidRDefault="00CE7F43">
      <w:pPr>
        <w:pStyle w:val="pheading"/>
      </w:pPr>
      <w:r>
        <w:t>EXÉCUTION / MISE EN ŒUVRE</w:t>
      </w:r>
    </w:p>
    <w:p w14:paraId="00E62A37" w14:textId="77777777" w:rsidR="00DF410E" w:rsidRDefault="00CE7F43">
      <w:pPr>
        <w:pStyle w:val="pheading"/>
      </w:pPr>
      <w:r>
        <w:t>- Prescriptions générales</w:t>
      </w:r>
    </w:p>
    <w:p w14:paraId="18EE21DA" w14:textId="77777777" w:rsidR="00DF410E" w:rsidRDefault="00CE7F43">
      <w:r>
        <w:t>L'entrepreneur veille à ce que la fixation et l'ancrage des pierres de couverture sur la maçonnerie soient solides et durables; en particulier les couvre-murs situés dans le bas, doivent être ancrés afin de ne pas glisser (goujons, face inférieure rugueuse).</w:t>
      </w:r>
    </w:p>
    <w:p w14:paraId="02955F93" w14:textId="77777777" w:rsidR="00DF410E" w:rsidRDefault="00CE7F43">
      <w:r>
        <w:rPr>
          <w:b/>
          <w:u w:val="single"/>
        </w:rPr>
        <w:t>Notes d'exécution complémentaires</w:t>
      </w:r>
    </w:p>
    <w:p w14:paraId="37802BEF" w14:textId="77777777" w:rsidR="00DF410E" w:rsidRDefault="00CE7F43">
      <w:r>
        <w:t xml:space="preserve">Les éléments de couverture sont placés conformément aux </w:t>
      </w:r>
      <w:r>
        <w:rPr>
          <w:rStyle w:val="optioncarChar"/>
        </w:rPr>
        <w:t>dessins de principe établis par l'auteur de projet / directives données avant l'exécution, les dessins d'atelier (détaillés) devant être préalablement soumis pour approbation à l'auteur de projet.</w:t>
      </w:r>
    </w:p>
    <w:p w14:paraId="4B224163" w14:textId="77777777" w:rsidR="00DF410E" w:rsidRDefault="00CE7F43">
      <w:r>
        <w:t xml:space="preserve">Les couvre-murs sont reliés à la maçonnerie sous-jacente à l'aide de pattes d'ancrage en </w:t>
      </w:r>
      <w:r>
        <w:rPr>
          <w:rStyle w:val="optioncarChar"/>
        </w:rPr>
        <w:t>acier inoxydable </w:t>
      </w:r>
      <w:r>
        <w:t>(par défaut)</w:t>
      </w:r>
      <w:r>
        <w:rPr>
          <w:rStyle w:val="optioncarChar"/>
        </w:rPr>
        <w:t xml:space="preserve"> / bronze / ***</w:t>
      </w:r>
      <w:r>
        <w:t>, pourvues d’un ergot fixé dans une rainure qui est sciée dans le chant. La queue d’ancrage porte jusqu’au moins 10 cm dans le mur sous-jacent. Une fixation est prévue dans chaque chant.</w:t>
      </w:r>
    </w:p>
    <w:p w14:paraId="7C3345AF" w14:textId="77777777" w:rsidR="00DF410E" w:rsidRDefault="00CE7F43">
      <w:r>
        <w:t>Lorsque les couvre-murs sont posés sur des murs à coulisse, une étanchéité à l'eau est appliquée sous les pierres de couverture.</w:t>
      </w:r>
    </w:p>
    <w:p w14:paraId="560538CB" w14:textId="77777777" w:rsidR="00DF410E" w:rsidRDefault="00CE7F43">
      <w:r>
        <w:t>Entre les pierres de couverture et le parement, l'entrepreneur insère un bourrelet en zinc prépatiné.</w:t>
      </w:r>
    </w:p>
    <w:p w14:paraId="2160A515" w14:textId="77777777" w:rsidR="00DF410E" w:rsidRDefault="00CE7F43">
      <w:r>
        <w:t xml:space="preserve">Sous les joints d'assemblage, l'entrepreneur prévoit une </w:t>
      </w:r>
      <w:r>
        <w:rPr>
          <w:rStyle w:val="optioncarChar"/>
        </w:rPr>
        <w:t xml:space="preserve">bande de plomb laminé (épaisseur 1,5 mm) </w:t>
      </w:r>
      <w:r>
        <w:t>(par défaut) </w:t>
      </w:r>
      <w:r>
        <w:rPr>
          <w:rStyle w:val="optioncarChar"/>
        </w:rPr>
        <w:t xml:space="preserve">/ *** </w:t>
      </w:r>
      <w:r>
        <w:t xml:space="preserve">d'environ 10 cm de largeur, qui déborde de 1 cm de part et d'autre du mur. La largeur des joints est d'environ </w:t>
      </w:r>
      <w:r>
        <w:rPr>
          <w:rStyle w:val="optioncarChar"/>
        </w:rPr>
        <w:t xml:space="preserve">10 </w:t>
      </w:r>
      <w:r>
        <w:t>(par défaut) </w:t>
      </w:r>
      <w:r>
        <w:rPr>
          <w:rStyle w:val="optioncarChar"/>
        </w:rPr>
        <w:t xml:space="preserve">/ *** </w:t>
      </w:r>
      <w:r>
        <w:t>mm. Dans le joint, entre les éléments, on pose une bande de polystyrène. Les joints sont rembourrés à l'aide d'</w:t>
      </w:r>
      <w:r>
        <w:rPr>
          <w:rStyle w:val="optioncarChar"/>
        </w:rPr>
        <w:t>un mastic à élasticité permanente à base de polysulfide selon la [NBN S 23-002]</w:t>
      </w:r>
      <w:r>
        <w:t>(par défaut) </w:t>
      </w:r>
      <w:r>
        <w:rPr>
          <w:rStyle w:val="optioncarChar"/>
        </w:rPr>
        <w:t>/ d'un mortier spécial selon l'article ***</w:t>
      </w:r>
    </w:p>
    <w:p w14:paraId="13A9C83C" w14:textId="77777777" w:rsidR="00DF410E" w:rsidRDefault="00CE7F43">
      <w:r>
        <w:t>Les angles des éléments sont sciés en onglet ou formés à l'aide de pièces spéciales.</w:t>
      </w:r>
    </w:p>
    <w:p w14:paraId="737362B6" w14:textId="77777777" w:rsidR="00DF410E" w:rsidRDefault="00CE7F43">
      <w:pPr>
        <w:pStyle w:val="pheading"/>
      </w:pPr>
      <w:r>
        <w:t>MESURAGE</w:t>
      </w:r>
    </w:p>
    <w:p w14:paraId="2C9ED3CF" w14:textId="77777777" w:rsidR="00DF410E" w:rsidRDefault="00CE7F43">
      <w:pPr>
        <w:pStyle w:val="pheading"/>
      </w:pPr>
      <w:r>
        <w:t>- unité de mesure:</w:t>
      </w:r>
    </w:p>
    <w:p w14:paraId="6430710E" w14:textId="77777777" w:rsidR="00DF410E" w:rsidRDefault="00CE7F43">
      <w:r>
        <w:rPr>
          <w:rStyle w:val="optioncarChar"/>
        </w:rPr>
        <w:t>m³ / m² / m</w:t>
      </w:r>
      <w:r>
        <w:t xml:space="preserve"> (par défaut)</w:t>
      </w:r>
    </w:p>
    <w:p w14:paraId="316E2384" w14:textId="77777777" w:rsidR="00DF410E" w:rsidRDefault="00CE7F43">
      <w:pPr>
        <w:pStyle w:val="pheading"/>
      </w:pPr>
      <w:r>
        <w:t>- code de mesurage:</w:t>
      </w:r>
    </w:p>
    <w:p w14:paraId="69555B56" w14:textId="77777777" w:rsidR="00DF410E" w:rsidRDefault="00CE7F43">
      <w:r>
        <w:t>longueur nette à exécuter, y compris les pièces spéciales.</w:t>
      </w:r>
    </w:p>
    <w:p w14:paraId="0A9DF106" w14:textId="77777777" w:rsidR="00DF410E" w:rsidRDefault="00CE7F43">
      <w:pPr>
        <w:pStyle w:val="pheading"/>
      </w:pPr>
      <w:r>
        <w:t>- nature du marché:</w:t>
      </w:r>
    </w:p>
    <w:p w14:paraId="6834338A" w14:textId="77777777" w:rsidR="00DF410E" w:rsidRDefault="00CE7F43">
      <w:r>
        <w:rPr>
          <w:rStyle w:val="optioncarChar"/>
        </w:rPr>
        <w:t>QF</w:t>
      </w:r>
      <w:r>
        <w:t xml:space="preserve"> (par défaut)</w:t>
      </w:r>
      <w:r>
        <w:rPr>
          <w:rStyle w:val="optioncarChar"/>
        </w:rPr>
        <w:t xml:space="preserve"> / QP</w:t>
      </w:r>
    </w:p>
    <w:p w14:paraId="35AA3676" w14:textId="77777777" w:rsidR="00DF410E" w:rsidRDefault="00DF410E"/>
    <w:p w14:paraId="5DF813F9" w14:textId="77777777" w:rsidR="00DF410E" w:rsidRDefault="00CE7F43">
      <w:pPr>
        <w:pStyle w:val="Author-eSectionHeading6"/>
      </w:pPr>
      <w:bookmarkStart w:id="328" w:name="_Toc178837550"/>
      <w:r>
        <w:t>21.36.5b Couvre-murs en éléments préfabriqués en béton CCTB 01.11</w:t>
      </w:r>
      <w:bookmarkEnd w:id="328"/>
    </w:p>
    <w:p w14:paraId="11231FC3" w14:textId="77777777" w:rsidR="00DF410E" w:rsidRDefault="00CE7F43">
      <w:pPr>
        <w:pStyle w:val="pheading"/>
      </w:pPr>
      <w:r>
        <w:t>DESCRIPTION</w:t>
      </w:r>
    </w:p>
    <w:p w14:paraId="0B862953" w14:textId="77777777" w:rsidR="00DF410E" w:rsidRDefault="00CE7F43">
      <w:pPr>
        <w:pStyle w:val="pheading"/>
      </w:pPr>
      <w:r>
        <w:t>- Définition / Comprend</w:t>
      </w:r>
    </w:p>
    <w:p w14:paraId="34EC1272" w14:textId="77777777" w:rsidR="00DF410E" w:rsidRDefault="00CE7F43">
      <w:pPr>
        <w:jc w:val="both"/>
      </w:pPr>
      <w:r>
        <w:t>Cet article vise la fourniture et la pose de couvre-murs en éléments préfabriqués en béton.</w:t>
      </w:r>
    </w:p>
    <w:p w14:paraId="5F8C6938" w14:textId="77777777" w:rsidR="00DF410E" w:rsidRDefault="00CE7F43">
      <w:pPr>
        <w:jc w:val="both"/>
      </w:pPr>
      <w:r>
        <w:t>La portée des travaux est décrite dans le chapitre </w:t>
      </w:r>
      <w:hyperlink w:anchor="410" w:history="1">
        <w:r>
          <w:t>21.36.5 Couvre-murs</w:t>
        </w:r>
      </w:hyperlink>
      <w:r>
        <w:t>.</w:t>
      </w:r>
    </w:p>
    <w:p w14:paraId="28AD5FF6" w14:textId="77777777" w:rsidR="00DF410E" w:rsidRDefault="00CE7F43">
      <w:pPr>
        <w:jc w:val="both"/>
      </w:pPr>
      <w:r>
        <w:t>Les travaux comprennent également la fourniture et la pose des pièces d’angle, de terminaison et de rencontre.</w:t>
      </w:r>
    </w:p>
    <w:p w14:paraId="1E47394F" w14:textId="77777777" w:rsidR="00DF410E" w:rsidRDefault="00CE7F43">
      <w:pPr>
        <w:pStyle w:val="pheading"/>
      </w:pPr>
      <w:r>
        <w:t>- Localisation</w:t>
      </w:r>
    </w:p>
    <w:p w14:paraId="2D6E567B" w14:textId="77777777" w:rsidR="00DF410E" w:rsidRDefault="00CE7F43">
      <w:r>
        <w:t xml:space="preserve">La pose est réalisée aux endroits suivants : </w:t>
      </w:r>
      <w:r>
        <w:rPr>
          <w:rStyle w:val="optioncarChar"/>
        </w:rPr>
        <w:t>***</w:t>
      </w:r>
      <w:r>
        <w:t>.</w:t>
      </w:r>
    </w:p>
    <w:p w14:paraId="7CF86ACC" w14:textId="77777777" w:rsidR="00DF410E" w:rsidRDefault="00CE7F43">
      <w:r>
        <w:t>Voir plans et métrés détaillés.</w:t>
      </w:r>
    </w:p>
    <w:p w14:paraId="61260433" w14:textId="77777777" w:rsidR="00DF410E" w:rsidRDefault="00CE7F43">
      <w:pPr>
        <w:pStyle w:val="pheading"/>
      </w:pPr>
      <w:r>
        <w:t>MATÉRIAUX</w:t>
      </w:r>
    </w:p>
    <w:p w14:paraId="0A7C0E8B" w14:textId="77777777" w:rsidR="00DF410E" w:rsidRDefault="00CE7F43">
      <w:pPr>
        <w:pStyle w:val="pheading"/>
      </w:pPr>
      <w:r>
        <w:t>- Caractéristiques générales</w:t>
      </w:r>
    </w:p>
    <w:p w14:paraId="5446A131" w14:textId="77777777" w:rsidR="00DF410E" w:rsidRDefault="00CE7F43">
      <w:pPr>
        <w:jc w:val="both"/>
      </w:pPr>
      <w:r>
        <w:t xml:space="preserve">Il s’agit de couvre-murs préfabriqués en béton réalisé conformément aux normes [NBN EN 13369:2023] et  [NBN B 21-600], selon la section </w:t>
      </w:r>
      <w:hyperlink w:anchor="87" w:history="1">
        <w:r>
          <w:t>22 Superstructures en béton</w:t>
        </w:r>
      </w:hyperlink>
      <w:r>
        <w:t>.</w:t>
      </w:r>
    </w:p>
    <w:p w14:paraId="34A2C592" w14:textId="77777777" w:rsidR="00DF410E" w:rsidRDefault="00CE7F43">
      <w:pPr>
        <w:jc w:val="both"/>
      </w:pPr>
      <w:r>
        <w:t>Classe de résistance à la compression :</w:t>
      </w:r>
      <w:r>
        <w:rPr>
          <w:rStyle w:val="optioncarChar"/>
        </w:rPr>
        <w:t> C30/37 // C35/45 // C45/55 // C50/60 // C55/67 // C60/75 // C70/85 // C80/95 // C90/105 /// ***</w:t>
      </w:r>
    </w:p>
    <w:p w14:paraId="638233AD" w14:textId="77777777" w:rsidR="00DF410E" w:rsidRDefault="00CE7F43">
      <w:pPr>
        <w:jc w:val="both"/>
      </w:pPr>
      <w:r>
        <w:t>Classe d’environnement :</w:t>
      </w:r>
      <w:r>
        <w:rPr>
          <w:rStyle w:val="optioncarChar"/>
        </w:rPr>
        <w:t> EE3 / EE4 / ES1 / ES2 / ES3 / ES4 / EA1+*** / EA2+***/ EA3+*** / ***</w:t>
      </w:r>
    </w:p>
    <w:p w14:paraId="1505522F" w14:textId="77777777" w:rsidR="00DF410E" w:rsidRDefault="00CE7F43">
      <w:pPr>
        <w:jc w:val="both"/>
      </w:pPr>
      <w:r>
        <w:t xml:space="preserve">Armatures : béton </w:t>
      </w:r>
      <w:r>
        <w:rPr>
          <w:rStyle w:val="optioncarChar"/>
        </w:rPr>
        <w:t>non armé / armé</w:t>
      </w:r>
      <w:r>
        <w:t xml:space="preserve"> (par défaut) (détermination des armatures à faire par l’entrepreneur)</w:t>
      </w:r>
    </w:p>
    <w:p w14:paraId="082EA2DB" w14:textId="77777777" w:rsidR="00DF410E" w:rsidRDefault="00CE7F43">
      <w:pPr>
        <w:jc w:val="both"/>
      </w:pPr>
      <w:r>
        <w:t xml:space="preserve">La face supérieure est </w:t>
      </w:r>
      <w:r>
        <w:rPr>
          <w:rStyle w:val="optioncarChar"/>
        </w:rPr>
        <w:t xml:space="preserve">plane / à simple inclinaison / à double inclinaison / selon le dessin de détail </w:t>
      </w:r>
      <w:r>
        <w:t>(par défaut) </w:t>
      </w:r>
      <w:r>
        <w:rPr>
          <w:rStyle w:val="optioncarChar"/>
        </w:rPr>
        <w:t>/ ***</w:t>
      </w:r>
      <w:r>
        <w:t>.</w:t>
      </w:r>
    </w:p>
    <w:p w14:paraId="002A4D81" w14:textId="77777777" w:rsidR="00DF410E" w:rsidRDefault="00CE7F43">
      <w:pPr>
        <w:jc w:val="both"/>
      </w:pPr>
      <w:r>
        <w:t xml:space="preserve">La face inférieure est dotée de rejets d’eau d’environ 8 à 10 mm de large et 5 à 6 mm de profondeur situés à au moins </w:t>
      </w:r>
      <w:r>
        <w:rPr>
          <w:rStyle w:val="optioncarChar"/>
        </w:rPr>
        <w:t>2 cm </w:t>
      </w:r>
      <w:r>
        <w:t xml:space="preserve">(par défaut) </w:t>
      </w:r>
      <w:r>
        <w:rPr>
          <w:rStyle w:val="optioncarChar"/>
        </w:rPr>
        <w:t>/ ***</w:t>
      </w:r>
      <w:r>
        <w:t xml:space="preserve"> de la face de parement du mur.</w:t>
      </w:r>
    </w:p>
    <w:p w14:paraId="71EC0C33" w14:textId="77777777" w:rsidR="00DF410E" w:rsidRDefault="00CE7F43">
      <w:pPr>
        <w:jc w:val="both"/>
      </w:pPr>
      <w:r>
        <w:t xml:space="preserve">L’épaisseur est de </w:t>
      </w:r>
      <w:r>
        <w:rPr>
          <w:rStyle w:val="optioncarChar"/>
        </w:rPr>
        <w:t xml:space="preserve">50 </w:t>
      </w:r>
      <w:r>
        <w:t>(par défaut) </w:t>
      </w:r>
      <w:r>
        <w:rPr>
          <w:rStyle w:val="optioncarChar"/>
        </w:rPr>
        <w:t>/ 60 / 80 / ***</w:t>
      </w:r>
      <w:r>
        <w:t xml:space="preserve"> mm (min. 80 mm en cas de béton armé). La longueur des éléments est :</w:t>
      </w:r>
      <w:r>
        <w:rPr>
          <w:rStyle w:val="optioncarChar"/>
        </w:rPr>
        <w:t xml:space="preserve"> 80 </w:t>
      </w:r>
      <w:r>
        <w:t>(par défaut) </w:t>
      </w:r>
      <w:r>
        <w:rPr>
          <w:rStyle w:val="optioncarChar"/>
        </w:rPr>
        <w:t>/ 100 / ***</w:t>
      </w:r>
      <w:r>
        <w:t xml:space="preserve"> cm.</w:t>
      </w:r>
    </w:p>
    <w:p w14:paraId="079D0588" w14:textId="77777777" w:rsidR="00DF410E" w:rsidRDefault="00CE7F43">
      <w:pPr>
        <w:jc w:val="both"/>
      </w:pPr>
      <w:r>
        <w:t xml:space="preserve">Les boutisses des éléments sont </w:t>
      </w:r>
      <w:r>
        <w:rPr>
          <w:rStyle w:val="optioncarChar"/>
        </w:rPr>
        <w:t>planes </w:t>
      </w:r>
      <w:r>
        <w:t>(par défaut)</w:t>
      </w:r>
      <w:r>
        <w:rPr>
          <w:rStyle w:val="optioncarChar"/>
        </w:rPr>
        <w:t xml:space="preserve"> / à emboîtement (couvre-joint) / ***</w:t>
      </w:r>
      <w:r>
        <w:t>.</w:t>
      </w:r>
    </w:p>
    <w:p w14:paraId="2DE9DDCB" w14:textId="77777777" w:rsidR="00DF410E" w:rsidRDefault="00CE7F43">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14:paraId="7FEE6EBD" w14:textId="77777777" w:rsidR="00DF410E" w:rsidRDefault="00CE7F43">
      <w:pPr>
        <w:jc w:val="both"/>
      </w:pPr>
      <w:r>
        <w:t>Le modèle, y compris les pièces d’angle et de terminaison, est soumis pour approbation à l’auteur de projet.</w:t>
      </w:r>
    </w:p>
    <w:p w14:paraId="791B3920" w14:textId="77777777" w:rsidR="00DF410E" w:rsidRDefault="00CE7F43">
      <w:pPr>
        <w:jc w:val="both"/>
      </w:pPr>
      <w:r>
        <w:t>Le mortier de pose répond aux spécifications de la [NBN EN 998-2]. Il est adapté aux éléments qu’il lie et n’a pas d’influence négative ni sur la résistance ni sur les qualités esthétiques. Il est de classe M10. Pour de petites quantité, le mortier peut être dosé in situ et préparé mécaniquement.</w:t>
      </w:r>
    </w:p>
    <w:p w14:paraId="246B7331" w14:textId="77777777" w:rsidR="00DF410E" w:rsidRDefault="00CE7F43">
      <w:pPr>
        <w:jc w:val="both"/>
      </w:pPr>
      <w:r>
        <w:t xml:space="preserve">Les joints souples sont constitués de </w:t>
      </w:r>
      <w:r>
        <w:rPr>
          <w:rStyle w:val="optioncarChar"/>
        </w:rPr>
        <w:t>mastic</w:t>
      </w:r>
      <w:r>
        <w:t xml:space="preserve"> (par défaut) </w:t>
      </w:r>
      <w:r>
        <w:rPr>
          <w:rStyle w:val="optioncarChar"/>
        </w:rPr>
        <w:t>/ joint préformé</w:t>
      </w:r>
    </w:p>
    <w:p w14:paraId="492EEE4D" w14:textId="77777777" w:rsidR="00DF410E" w:rsidRDefault="00CE7F43">
      <w:pPr>
        <w:jc w:val="both"/>
      </w:pPr>
      <w:r>
        <w:rPr>
          <w:b/>
        </w:rPr>
        <w:t>(soit par défaut)</w:t>
      </w:r>
    </w:p>
    <w:p w14:paraId="2878CF19" w14:textId="77777777" w:rsidR="00DF410E" w:rsidRDefault="00CE7F43">
      <w:pPr>
        <w:jc w:val="both"/>
      </w:pPr>
      <w:r>
        <w:rPr>
          <w:rStyle w:val="soitChar"/>
        </w:rPr>
        <w:t>1.</w:t>
      </w:r>
      <w:r>
        <w:rPr>
          <w:rStyle w:val="soitChar"/>
          <w:u w:val="single"/>
        </w:rPr>
        <w:t> Mastic</w:t>
      </w:r>
    </w:p>
    <w:p w14:paraId="3DADC4BA" w14:textId="77777777" w:rsidR="00DF410E" w:rsidRDefault="00CE7F43">
      <w:pPr>
        <w:jc w:val="both"/>
      </w:pPr>
      <w:r>
        <w:rPr>
          <w:rStyle w:val="soitChar"/>
        </w:rPr>
        <w:t xml:space="preserve"> Les joints de mastic sont conformes aux [NBN EN 15651-4] ou [NBN EN ISO 11600].  L’épaisseur du joint est</w:t>
      </w:r>
      <w:r>
        <w:rPr>
          <w:rStyle w:val="optioncarChar"/>
        </w:rPr>
        <w:t>8 mm</w:t>
      </w:r>
      <w:r>
        <w:t xml:space="preserve"> (par défaut)</w:t>
      </w:r>
      <w:r>
        <w:rPr>
          <w:rStyle w:val="optioncarChar"/>
        </w:rPr>
        <w:t xml:space="preserve"> / *** mm</w:t>
      </w:r>
      <w:r>
        <w:t xml:space="preserve">. </w:t>
      </w:r>
      <w:r>
        <w:rPr>
          <w:rStyle w:val="soitChar"/>
        </w:rPr>
        <w:t>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14:paraId="4E60FAD2" w14:textId="77777777" w:rsidR="00DF410E" w:rsidRDefault="00CE7F43">
      <w:pPr>
        <w:jc w:val="both"/>
      </w:pPr>
      <w:r>
        <w:rPr>
          <w:b/>
        </w:rPr>
        <w:t>(soit)</w:t>
      </w:r>
    </w:p>
    <w:p w14:paraId="79832FAA" w14:textId="77777777" w:rsidR="00DF410E" w:rsidRDefault="00CE7F43">
      <w:pPr>
        <w:jc w:val="both"/>
      </w:pPr>
      <w:r>
        <w:rPr>
          <w:rStyle w:val="soitChar"/>
        </w:rPr>
        <w:t xml:space="preserve">2. </w:t>
      </w:r>
      <w:r>
        <w:rPr>
          <w:rStyle w:val="soitChar"/>
          <w:u w:val="single"/>
        </w:rPr>
        <w:t>Préformé d’étanchéité</w:t>
      </w:r>
    </w:p>
    <w:p w14:paraId="38C883BF" w14:textId="77777777" w:rsidR="00DF410E" w:rsidRDefault="00CE7F43">
      <w:pPr>
        <w:jc w:val="both"/>
      </w:pPr>
      <w:r>
        <w:rPr>
          <w:rStyle w:val="soitChar"/>
        </w:rPr>
        <w:t xml:space="preserve"> Les préformés sont constitué de joint plein/creux en EPDM ou autre élastomère équivalent. Le préformé résiste aux UV et intempéries</w:t>
      </w:r>
      <w:r>
        <w:t>.</w:t>
      </w:r>
    </w:p>
    <w:p w14:paraId="7F72FAF1" w14:textId="77777777" w:rsidR="00DF410E" w:rsidRDefault="00CE7F43">
      <w:pPr>
        <w:pStyle w:val="pheading"/>
      </w:pPr>
      <w:r>
        <w:t>- Finitions</w:t>
      </w:r>
    </w:p>
    <w:p w14:paraId="7911F778" w14:textId="77777777" w:rsidR="00DF410E" w:rsidRDefault="00CE7F43">
      <w:pPr>
        <w:jc w:val="both"/>
      </w:pPr>
      <w:r>
        <w:t xml:space="preserve">La surface du béton est </w:t>
      </w:r>
      <w:r>
        <w:rPr>
          <w:rStyle w:val="optioncarChar"/>
        </w:rPr>
        <w:t xml:space="preserve">brute et lisse / brute et finement texturée </w:t>
      </w:r>
      <w:r>
        <w:t>(par défaut)</w:t>
      </w:r>
      <w:r>
        <w:rPr>
          <w:rStyle w:val="optioncarChar"/>
        </w:rPr>
        <w:t xml:space="preserve"> / brute et grossièrement texturée / brute à relief (ou structurée)</w:t>
      </w:r>
    </w:p>
    <w:p w14:paraId="414FA39D" w14:textId="77777777" w:rsidR="00DF410E" w:rsidRDefault="00CE7F43">
      <w:pPr>
        <w:jc w:val="both"/>
      </w:pPr>
      <w:r>
        <w:t xml:space="preserve">La couleur du couvre-mur est </w:t>
      </w:r>
      <w:r>
        <w:rPr>
          <w:rStyle w:val="optioncarChar"/>
        </w:rPr>
        <w:t>blanc-gris </w:t>
      </w:r>
      <w:r>
        <w:t>(par défaut)</w:t>
      </w:r>
      <w:r>
        <w:rPr>
          <w:rStyle w:val="optioncarChar"/>
        </w:rPr>
        <w:t xml:space="preserve"> / gris / ***</w:t>
      </w:r>
      <w:r>
        <w:t>.</w:t>
      </w:r>
    </w:p>
    <w:p w14:paraId="2744A2F7" w14:textId="77777777" w:rsidR="00DF410E" w:rsidRDefault="00CE7F43">
      <w:pPr>
        <w:jc w:val="both"/>
      </w:pPr>
      <w:r>
        <w:rPr>
          <w:u w:val="single"/>
        </w:rPr>
        <w:t>Terminaison des arêtes</w:t>
      </w:r>
    </w:p>
    <w:p w14:paraId="0F2CAAE9" w14:textId="77777777" w:rsidR="00DF410E" w:rsidRDefault="00CE7F43">
      <w:pPr>
        <w:jc w:val="both"/>
      </w:pPr>
      <w:r>
        <w:t xml:space="preserve"> Les arêtes des éléments sont </w:t>
      </w:r>
      <w:r>
        <w:rPr>
          <w:rStyle w:val="optioncarChar"/>
        </w:rPr>
        <w:t>chanfreinées en triangle / chanfreinées en arrondi / vives</w:t>
      </w:r>
    </w:p>
    <w:p w14:paraId="3FA56391" w14:textId="77777777" w:rsidR="00DF410E" w:rsidRDefault="00DF410E"/>
    <w:p w14:paraId="46E990FC" w14:textId="77777777" w:rsidR="00DF410E" w:rsidRDefault="00CE7F43">
      <w:pPr>
        <w:jc w:val="both"/>
      </w:pPr>
      <w:r>
        <w:rPr>
          <w:b/>
        </w:rPr>
        <w:t xml:space="preserve"> (soit par défaut)</w:t>
      </w:r>
    </w:p>
    <w:p w14:paraId="096BEF30" w14:textId="77777777" w:rsidR="00DF410E" w:rsidRDefault="00CE7F43">
      <w:pPr>
        <w:jc w:val="both"/>
      </w:pPr>
      <w:r>
        <w:rPr>
          <w:rStyle w:val="soitChar"/>
        </w:rPr>
        <w:t>1. C</w:t>
      </w:r>
      <w:r>
        <w:rPr>
          <w:rStyle w:val="soitChar"/>
          <w:u w:val="single"/>
        </w:rPr>
        <w:t>hanfreinées en triangle</w:t>
      </w:r>
    </w:p>
    <w:p w14:paraId="0CC3BD89" w14:textId="77777777" w:rsidR="00DF410E" w:rsidRDefault="00CE7F43">
      <w:pPr>
        <w:jc w:val="both"/>
      </w:pPr>
      <w:r>
        <w:rPr>
          <w:rStyle w:val="soitChar"/>
        </w:rPr>
        <w:t xml:space="preserve"> Les arêtes sont cassées au moyen d'un chanfrein de</w:t>
      </w:r>
      <w:r>
        <w:rPr>
          <w:rStyle w:val="soitChar"/>
          <w:color w:val="000000"/>
        </w:rPr>
        <w:t> </w:t>
      </w:r>
      <w:r>
        <w:rPr>
          <w:rStyle w:val="optioncarChar"/>
        </w:rPr>
        <w:t>2 x 2 </w:t>
      </w:r>
      <w:r>
        <w:t>(par défaut)</w:t>
      </w:r>
      <w:r>
        <w:rPr>
          <w:rStyle w:val="optioncarChar"/>
        </w:rPr>
        <w:t xml:space="preserve"> / *** mm x *** mm.</w:t>
      </w:r>
    </w:p>
    <w:p w14:paraId="4C4AF3FB" w14:textId="77777777" w:rsidR="00DF410E" w:rsidRDefault="00DF410E">
      <w:pPr>
        <w:jc w:val="both"/>
      </w:pPr>
    </w:p>
    <w:p w14:paraId="727EBB66" w14:textId="77777777" w:rsidR="00DF410E" w:rsidRDefault="00CE7F43">
      <w:pPr>
        <w:jc w:val="both"/>
      </w:pPr>
      <w:r>
        <w:rPr>
          <w:b/>
        </w:rPr>
        <w:t>(soit)</w:t>
      </w:r>
    </w:p>
    <w:p w14:paraId="02E82262" w14:textId="77777777" w:rsidR="00DF410E" w:rsidRDefault="00CE7F43">
      <w:pPr>
        <w:jc w:val="both"/>
      </w:pPr>
      <w:r>
        <w:rPr>
          <w:rStyle w:val="soitChar"/>
        </w:rPr>
        <w:t>2. C</w:t>
      </w:r>
      <w:r>
        <w:rPr>
          <w:rStyle w:val="soitChar"/>
          <w:u w:val="single"/>
        </w:rPr>
        <w:t>hanfreinées en arrondi</w:t>
      </w:r>
    </w:p>
    <w:p w14:paraId="1E7BB37D" w14:textId="77777777" w:rsidR="00DF410E" w:rsidRDefault="00CE7F43">
      <w:pPr>
        <w:jc w:val="both"/>
      </w:pPr>
      <w:r>
        <w:rPr>
          <w:rStyle w:val="soitChar"/>
        </w:rPr>
        <w:t xml:space="preserve"> Les arêtes sont cassées au moyen d'un chanfrein de rayon</w:t>
      </w:r>
      <w:r>
        <w:rPr>
          <w:rStyle w:val="soitChar"/>
          <w:color w:val="000000"/>
        </w:rPr>
        <w:t> </w:t>
      </w:r>
      <w:r>
        <w:rPr>
          <w:rStyle w:val="optioncarChar"/>
        </w:rPr>
        <w:t>5 </w:t>
      </w:r>
      <w:r>
        <w:t>(par défaut) </w:t>
      </w:r>
      <w:r>
        <w:rPr>
          <w:rStyle w:val="optioncarChar"/>
        </w:rPr>
        <w:t>/ ***</w:t>
      </w:r>
      <w:r>
        <w:rPr>
          <w:rStyle w:val="soitChar"/>
        </w:rPr>
        <w:t>mm .</w:t>
      </w:r>
    </w:p>
    <w:p w14:paraId="0AA18A7F" w14:textId="77777777" w:rsidR="00DF410E" w:rsidRDefault="00DF410E">
      <w:pPr>
        <w:jc w:val="both"/>
      </w:pPr>
    </w:p>
    <w:p w14:paraId="724AEA93" w14:textId="77777777" w:rsidR="00DF410E" w:rsidRDefault="00CE7F43">
      <w:pPr>
        <w:jc w:val="both"/>
      </w:pPr>
      <w:r>
        <w:rPr>
          <w:b/>
        </w:rPr>
        <w:t>(soit)</w:t>
      </w:r>
    </w:p>
    <w:p w14:paraId="3F15EB56" w14:textId="77777777" w:rsidR="00DF410E" w:rsidRDefault="00CE7F43">
      <w:pPr>
        <w:jc w:val="both"/>
      </w:pPr>
      <w:r>
        <w:rPr>
          <w:rStyle w:val="soitChar"/>
        </w:rPr>
        <w:t>3. V</w:t>
      </w:r>
      <w:r>
        <w:rPr>
          <w:rStyle w:val="soitChar"/>
          <w:u w:val="single"/>
        </w:rPr>
        <w:t>ives</w:t>
      </w:r>
    </w:p>
    <w:p w14:paraId="46F2054E" w14:textId="77777777" w:rsidR="00DF410E" w:rsidRDefault="00CE7F43">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p>
    <w:p w14:paraId="4DC24A9E" w14:textId="77777777" w:rsidR="00DF410E" w:rsidRDefault="00CE7F43">
      <w:pPr>
        <w:jc w:val="both"/>
      </w:pPr>
      <w:r>
        <w:t xml:space="preserve">La teinte des joints souples est : </w:t>
      </w:r>
      <w:r>
        <w:rPr>
          <w:rStyle w:val="optioncarChar"/>
        </w:rPr>
        <w:t>au choix de l’auteur de projet</w:t>
      </w:r>
      <w:r>
        <w:t xml:space="preserve"> (par défaut) </w:t>
      </w:r>
      <w:r>
        <w:rPr>
          <w:rStyle w:val="optioncarChar"/>
        </w:rPr>
        <w:t>/ teinte proche de celle des couvre-murs / gris / gris-blanc / ***</w:t>
      </w:r>
      <w:r>
        <w:t>. Leur répartition est soumise à l’approbation de l’auteur de projet.</w:t>
      </w:r>
    </w:p>
    <w:p w14:paraId="31B55B9A" w14:textId="77777777" w:rsidR="00DF410E" w:rsidRDefault="00CE7F43">
      <w:pPr>
        <w:pStyle w:val="pheading"/>
      </w:pPr>
      <w:r>
        <w:t>EXÉCUTION / MISE EN ŒUVRE</w:t>
      </w:r>
    </w:p>
    <w:p w14:paraId="1587F25F" w14:textId="77777777" w:rsidR="00DF410E" w:rsidRDefault="00CE7F43">
      <w:pPr>
        <w:pStyle w:val="pheading"/>
      </w:pPr>
      <w:r>
        <w:t>- Prescriptions générales</w:t>
      </w:r>
    </w:p>
    <w:p w14:paraId="1B69EEAC" w14:textId="77777777" w:rsidR="00DF410E" w:rsidRDefault="00CE7F43">
      <w:pPr>
        <w:jc w:val="both"/>
      </w:pPr>
      <w:r>
        <w:t xml:space="preserve">L’exécution est réalisée selon le §6.4.3 de la [NIT 244]. Les éléments sont placés </w:t>
      </w:r>
      <w:r>
        <w:rPr>
          <w:rStyle w:val="optioncarChar"/>
        </w:rPr>
        <w:t>selon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plans</w:t>
      </w:r>
      <w:r>
        <w:t xml:space="preserve"> (par défaut)</w:t>
      </w:r>
      <w:r>
        <w:rPr>
          <w:rStyle w:val="optioncarChar"/>
        </w:rPr>
        <w:t xml:space="preserve"> / 19 / 24 / 29 / ***</w:t>
      </w:r>
      <w:r>
        <w:t xml:space="preserve"> cm. En cas de recouvrement d’une rive de toiture, la pente est dirigée vers la toiture. Les faces avant du couvre-murs débordent de</w:t>
      </w:r>
      <w:r>
        <w:rPr>
          <w:rStyle w:val="optioncarChar"/>
        </w:rPr>
        <w:t xml:space="preserve"> 50</w:t>
      </w:r>
      <w:r>
        <w:t xml:space="preserve"> (par défaut) </w:t>
      </w:r>
      <w:r>
        <w:rPr>
          <w:rStyle w:val="optioncarChar"/>
        </w:rPr>
        <w:t>/ ***</w:t>
      </w:r>
      <w:r>
        <w:t xml:space="preserve"> mm de la face de parement du mur. Les joints de dilatation de la structure doivent être répercutés.</w:t>
      </w:r>
    </w:p>
    <w:p w14:paraId="49F5ECE3" w14:textId="77777777" w:rsidR="00DF410E" w:rsidRDefault="00CE7F43">
      <w:pPr>
        <w:jc w:val="both"/>
      </w:pPr>
      <w:r>
        <w:t>En cas d’éléments à boutisses planes :</w:t>
      </w:r>
    </w:p>
    <w:p w14:paraId="7A8DA757" w14:textId="77777777" w:rsidR="00DF410E" w:rsidRDefault="00CE7F43">
      <w:pPr>
        <w:pStyle w:val="Author-eListParagraph"/>
        <w:numPr>
          <w:ilvl w:val="0"/>
          <w:numId w:val="279"/>
        </w:numPr>
      </w:pPr>
      <w:r>
        <w:t>on place préalablement sous les éléments au droit de chaque joint intermédiaire une isolation à l’humidité sous la forme d’une bande de métal repliée ou un autre matériau rigide adéquat qui déborde de 10 mm du parement du mur ;</w:t>
      </w:r>
    </w:p>
    <w:p w14:paraId="27599D82" w14:textId="77777777" w:rsidR="00DF410E" w:rsidRDefault="00CE7F43">
      <w:pPr>
        <w:pStyle w:val="Author-eListParagraph"/>
        <w:numPr>
          <w:ilvl w:val="0"/>
          <w:numId w:val="279"/>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14:paraId="33FC4318" w14:textId="77777777" w:rsidR="00DF410E" w:rsidRDefault="00CE7F43">
      <w:pPr>
        <w:jc w:val="both"/>
      </w:pPr>
      <w:r>
        <w:t>En cas d’éléments avec emboîtement :</w:t>
      </w:r>
    </w:p>
    <w:p w14:paraId="6FA6B267" w14:textId="77777777" w:rsidR="00DF410E" w:rsidRDefault="00CE7F43">
      <w:pPr>
        <w:pStyle w:val="Author-eListParagraph"/>
        <w:numPr>
          <w:ilvl w:val="0"/>
          <w:numId w:val="280"/>
        </w:numPr>
      </w:pPr>
      <w:r>
        <w:t>l’emboîtement est placé de telle manière que les infiltrations d’eau sont contrariées. L’emboîtement est rempli à l’aide d’un mortier étanche. L’étanchéité finale du joint est obtenue à l’aide d’un joint souple posé sur un fond de joint.</w:t>
      </w:r>
    </w:p>
    <w:p w14:paraId="69170C95" w14:textId="77777777" w:rsidR="00DF410E" w:rsidRDefault="00CE7F43">
      <w:pPr>
        <w:pStyle w:val="pheading"/>
      </w:pPr>
      <w:r>
        <w:t>- Notes d’exécution complémentaires</w:t>
      </w:r>
    </w:p>
    <w:p w14:paraId="344A9103" w14:textId="77777777" w:rsidR="00DF410E" w:rsidRDefault="00CE7F43">
      <w:r>
        <w:t xml:space="preserve">Un </w:t>
      </w:r>
      <w:r>
        <w:rPr>
          <w:u w:val="single"/>
        </w:rPr>
        <w:t>ancrage inoxydable</w:t>
      </w:r>
      <w:r>
        <w:t xml:space="preserve"> dans la maçonnerie sous-jacente est prévu.</w:t>
      </w:r>
      <w:r>
        <w:br/>
        <w:t xml:space="preserve">Le </w:t>
      </w:r>
      <w:r>
        <w:rPr>
          <w:u w:val="single"/>
        </w:rPr>
        <w:t>lit de mortier</w:t>
      </w:r>
      <w:r>
        <w:t xml:space="preserve"> est composé d’un mélange </w:t>
      </w:r>
      <w:r>
        <w:rPr>
          <w:rStyle w:val="optioncarChar"/>
        </w:rPr>
        <w:t>présentant une plasticité importante</w:t>
      </w:r>
      <w:r>
        <w:t xml:space="preserve"> (par défaut)</w:t>
      </w:r>
      <w:r>
        <w:rPr>
          <w:rStyle w:val="optioncarChar"/>
        </w:rPr>
        <w:t xml:space="preserve"> / ***</w:t>
      </w:r>
      <w:r>
        <w:t xml:space="preserve"> avec ajout d’une émulsion synthétique répulsive à l’eau.</w:t>
      </w:r>
    </w:p>
    <w:p w14:paraId="2BA9F49C" w14:textId="77777777" w:rsidR="00DF410E" w:rsidRDefault="00CE7F43">
      <w:pPr>
        <w:pStyle w:val="pheading"/>
      </w:pPr>
      <w:r>
        <w:t>DOCUMENTS DE RÉFÉRENCE COMPLÉMENTAIRES</w:t>
      </w:r>
    </w:p>
    <w:p w14:paraId="3219DA51" w14:textId="77777777" w:rsidR="00DF410E" w:rsidRDefault="00CE7F43">
      <w:pPr>
        <w:pStyle w:val="pheading"/>
      </w:pPr>
      <w:r>
        <w:t>- Matériau</w:t>
      </w:r>
    </w:p>
    <w:p w14:paraId="24D92082" w14:textId="77777777" w:rsidR="00DF410E" w:rsidRDefault="00CE7F43">
      <w:r>
        <w:t>[NBN EN 206:2013+A2, Béton - Spécification, performances, production et conformité]</w:t>
      </w:r>
    </w:p>
    <w:p w14:paraId="38C0CEDA" w14:textId="77777777" w:rsidR="00DF410E" w:rsidRDefault="00CE7F43">
      <w:r>
        <w:t>[NBN B 15-001, Béton - Spécification, performances, production et conformité - Complément national à la NBN EN 206:2013+A2:2021]</w:t>
      </w:r>
    </w:p>
    <w:p w14:paraId="57CC60CD" w14:textId="77777777" w:rsidR="00DF410E" w:rsidRDefault="00CE7F43">
      <w:r>
        <w:t>[NBN EN 998-2, Définitions et spécifications des mortiers pour maçonnerie - Partie 2: Mortiers de montage des éléments de maçonnerie]</w:t>
      </w:r>
    </w:p>
    <w:p w14:paraId="56AA8FFB" w14:textId="77777777" w:rsidR="00DF410E" w:rsidRDefault="00CE7F43">
      <w:r>
        <w:t>[NBN EN 13369:2023, Règles communes pour les produits préfabriqués en béton]</w:t>
      </w:r>
    </w:p>
    <w:p w14:paraId="68628585" w14:textId="77777777" w:rsidR="00DF410E" w:rsidRDefault="00CE7F43">
      <w:r>
        <w:t>[NBN B 21-600, Règles communes pour les produits préfabriqués en béton - Complément national à la NBN EN 13369:2004+A1:2006+AC:2006]</w:t>
      </w:r>
    </w:p>
    <w:p w14:paraId="26A92A64" w14:textId="77777777" w:rsidR="00DF410E" w:rsidRDefault="00CE7F43">
      <w:r>
        <w:t>[NBN EN 15651-4, Mastics pour joints pour des usages non structuraux dans les constructions immobilières et pour chemins piétonniers - Partie 4 : Mastics pour chemins piétonniers]</w:t>
      </w:r>
    </w:p>
    <w:p w14:paraId="42CC0775" w14:textId="77777777" w:rsidR="00DF410E" w:rsidRDefault="00CE7F43">
      <w:r>
        <w:t>[NBN EN ISO 11600, Construction immobilière - Produits pour joints - Classification et exigences pour les mastics (ISO 11600:2002)]</w:t>
      </w:r>
    </w:p>
    <w:p w14:paraId="2846F822" w14:textId="77777777" w:rsidR="00DF410E" w:rsidRDefault="00DF410E"/>
    <w:p w14:paraId="45AA0805" w14:textId="77777777" w:rsidR="00DF410E" w:rsidRDefault="00CE7F43">
      <w:pPr>
        <w:pStyle w:val="pheading"/>
      </w:pPr>
      <w:r>
        <w:t>- Exécution</w:t>
      </w:r>
    </w:p>
    <w:p w14:paraId="27026F3A" w14:textId="77777777" w:rsidR="00DF410E" w:rsidRDefault="00CE7F43">
      <w:r>
        <w:t>[NIT 244, Les ouvrages de raccord des toitures plates : principes généraux (remplace la NIT 191) (+ correctifs de février 2015).]</w:t>
      </w:r>
    </w:p>
    <w:p w14:paraId="2371BB85" w14:textId="77777777" w:rsidR="00DF410E" w:rsidRDefault="00CE7F43">
      <w:pPr>
        <w:pStyle w:val="pheading"/>
      </w:pPr>
      <w:r>
        <w:t>MESURAGE</w:t>
      </w:r>
    </w:p>
    <w:p w14:paraId="5D33A0AD" w14:textId="77777777" w:rsidR="00DF410E" w:rsidRDefault="00CE7F43">
      <w:pPr>
        <w:pStyle w:val="pheading"/>
      </w:pPr>
      <w:r>
        <w:t>- unité de mesure:</w:t>
      </w:r>
    </w:p>
    <w:p w14:paraId="20A7F201" w14:textId="77777777" w:rsidR="00DF410E" w:rsidRDefault="00CE7F43">
      <w:r>
        <w:rPr>
          <w:rStyle w:val="optioncarChar"/>
        </w:rPr>
        <w:t>m³ / m² / m</w:t>
      </w:r>
      <w:r>
        <w:t xml:space="preserve"> (par défaut)</w:t>
      </w:r>
      <w:r>
        <w:rPr>
          <w:rStyle w:val="optioncarChar"/>
        </w:rPr>
        <w:t xml:space="preserve"> / Pce</w:t>
      </w:r>
    </w:p>
    <w:p w14:paraId="65FBCC14" w14:textId="77777777" w:rsidR="00DF410E" w:rsidRDefault="00CE7F43">
      <w:pPr>
        <w:pStyle w:val="pheading"/>
      </w:pPr>
      <w:r>
        <w:t>- nature du marché:</w:t>
      </w:r>
    </w:p>
    <w:p w14:paraId="07D1128E" w14:textId="77777777" w:rsidR="00DF410E" w:rsidRDefault="00CE7F43">
      <w:r>
        <w:rPr>
          <w:rStyle w:val="optioncarChar"/>
        </w:rPr>
        <w:t>QF</w:t>
      </w:r>
      <w:r>
        <w:t xml:space="preserve"> (par défaut)</w:t>
      </w:r>
      <w:r>
        <w:rPr>
          <w:rStyle w:val="optioncarChar"/>
        </w:rPr>
        <w:t xml:space="preserve"> / QP</w:t>
      </w:r>
    </w:p>
    <w:p w14:paraId="7AC18BA7" w14:textId="77777777" w:rsidR="00DF410E" w:rsidRDefault="00CE7F43">
      <w:pPr>
        <w:pStyle w:val="Author-eSectionHeading6"/>
      </w:pPr>
      <w:bookmarkStart w:id="329" w:name="_Toc178837551"/>
      <w:r>
        <w:t>21.36.5c Couvre-murs en éléments préfabriqués en béton décoratif / architectonique CCTB 01.12</w:t>
      </w:r>
      <w:bookmarkEnd w:id="329"/>
    </w:p>
    <w:p w14:paraId="6E177D1A" w14:textId="77777777" w:rsidR="00DF410E" w:rsidRDefault="00CE7F43">
      <w:pPr>
        <w:pStyle w:val="pheading"/>
      </w:pPr>
      <w:r>
        <w:t>DESCRIPTION</w:t>
      </w:r>
    </w:p>
    <w:p w14:paraId="16273CF8" w14:textId="77777777" w:rsidR="00DF410E" w:rsidRDefault="00CE7F43">
      <w:pPr>
        <w:pStyle w:val="pheading"/>
      </w:pPr>
      <w:r>
        <w:t>- Définition / Comprend</w:t>
      </w:r>
    </w:p>
    <w:p w14:paraId="7A5AA692" w14:textId="77777777" w:rsidR="00DF410E" w:rsidRDefault="00CE7F43">
      <w:pPr>
        <w:jc w:val="both"/>
      </w:pPr>
      <w:r>
        <w:t xml:space="preserve">Cet article vise la fourniture et la pose de couvre-murs en éléments préfabriqués en béton décoratif / architectonique. La portée des travaux est décrite dans l’article </w:t>
      </w:r>
      <w:hyperlink w:anchor="410" w:history="1">
        <w:r>
          <w:t>21.36.5 Couvre-murs</w:t>
        </w:r>
      </w:hyperlink>
      <w:r>
        <w:t>.</w:t>
      </w:r>
    </w:p>
    <w:p w14:paraId="02B51CE3" w14:textId="77777777" w:rsidR="00DF410E" w:rsidRDefault="00CE7F43">
      <w:pPr>
        <w:jc w:val="both"/>
      </w:pPr>
      <w:r>
        <w:t>Les travaux comprennent notamment la fourniture et la pose des pièces d’angle, de terminaison et de rencontre.</w:t>
      </w:r>
    </w:p>
    <w:p w14:paraId="7921EF07" w14:textId="77777777" w:rsidR="00DF410E" w:rsidRDefault="00CE7F43">
      <w:pPr>
        <w:pStyle w:val="pheading"/>
      </w:pPr>
      <w:r>
        <w:t>- Localisation</w:t>
      </w:r>
    </w:p>
    <w:p w14:paraId="25DBD316" w14:textId="77777777" w:rsidR="00DF410E" w:rsidRDefault="00CE7F43">
      <w:pPr>
        <w:jc w:val="both"/>
      </w:pPr>
      <w:r>
        <w:t xml:space="preserve">La pose est réalisée aux endroits suivants : </w:t>
      </w:r>
      <w:r>
        <w:rPr>
          <w:rStyle w:val="optioncarChar"/>
        </w:rPr>
        <w:t>***</w:t>
      </w:r>
      <w:r>
        <w:t>.</w:t>
      </w:r>
    </w:p>
    <w:p w14:paraId="7D3DC0FD" w14:textId="77777777" w:rsidR="00DF410E" w:rsidRDefault="00CE7F43">
      <w:pPr>
        <w:jc w:val="both"/>
      </w:pPr>
      <w:r>
        <w:t>Voir plans et métrés détaillés.</w:t>
      </w:r>
    </w:p>
    <w:p w14:paraId="4521AD7C" w14:textId="77777777" w:rsidR="00DF410E" w:rsidRDefault="00CE7F43">
      <w:pPr>
        <w:pStyle w:val="pheading"/>
      </w:pPr>
      <w:r>
        <w:t>MATÉRIAUX</w:t>
      </w:r>
    </w:p>
    <w:p w14:paraId="38094663" w14:textId="77777777" w:rsidR="00DF410E" w:rsidRDefault="00CE7F43">
      <w:pPr>
        <w:pStyle w:val="pheading"/>
      </w:pPr>
      <w:r>
        <w:t>- Caractéristiques générales</w:t>
      </w:r>
    </w:p>
    <w:p w14:paraId="56DE23B9" w14:textId="77777777" w:rsidR="00DF410E" w:rsidRDefault="00CE7F43">
      <w:pPr>
        <w:jc w:val="both"/>
      </w:pPr>
      <w:r>
        <w:t xml:space="preserve">Il s’agit de couvre-murs en béton préfabriqué réalisé conformément aux normes [NBN EN 13369:2023] et [NBN B 21-600] et au [PTV 21-601], selon le chapitre </w:t>
      </w:r>
      <w:hyperlink w:anchor="87" w:history="1">
        <w:r>
          <w:t>22 Superstructures en béton</w:t>
        </w:r>
      </w:hyperlink>
      <w:r>
        <w:t>.</w:t>
      </w:r>
    </w:p>
    <w:p w14:paraId="230D4F4B" w14:textId="77777777" w:rsidR="00DF410E" w:rsidRDefault="00CE7F43">
      <w:pPr>
        <w:jc w:val="both"/>
      </w:pPr>
      <w:r>
        <w:t>La qualité du béton selon la [NBN EN 206:2013+A2] et la [NBN B 15-001] est :</w:t>
      </w:r>
    </w:p>
    <w:p w14:paraId="50A7B6FA" w14:textId="77777777" w:rsidR="00DF410E" w:rsidRDefault="00CE7F43">
      <w:pPr>
        <w:jc w:val="both"/>
      </w:pPr>
      <w:r>
        <w:t>Classe minimale de résistance : C35/45 (cf. [PTV 21-601]).</w:t>
      </w:r>
    </w:p>
    <w:p w14:paraId="4D2380A4" w14:textId="77777777" w:rsidR="00DF410E" w:rsidRDefault="00CE7F43">
      <w:pPr>
        <w:jc w:val="both"/>
      </w:pPr>
      <w:r>
        <w:t xml:space="preserve">Classe de résistance à la compression : </w:t>
      </w:r>
      <w:r>
        <w:rPr>
          <w:rStyle w:val="optioncarChar"/>
        </w:rPr>
        <w:t>C35/45 // C45/55 // C50/60 // C55/67 // C60/75 // C70/85 // C80/95 // C90/105 /// ***</w:t>
      </w:r>
    </w:p>
    <w:p w14:paraId="660AFC07" w14:textId="77777777" w:rsidR="00DF410E" w:rsidRDefault="00CE7F43">
      <w:pPr>
        <w:jc w:val="both"/>
      </w:pPr>
      <w:r>
        <w:t>Classe d’environnement : </w:t>
      </w:r>
      <w:r>
        <w:rPr>
          <w:rStyle w:val="optioncarChar"/>
        </w:rPr>
        <w:t>EE3 / EE4 / ES1 / ES2 / ES3 / ES4 / EA1+*** / EA2+***/ EA3+*** / ***</w:t>
      </w:r>
    </w:p>
    <w:p w14:paraId="4E737A53" w14:textId="77777777" w:rsidR="00DF410E" w:rsidRDefault="00CE7F43">
      <w:pPr>
        <w:jc w:val="both"/>
      </w:pPr>
      <w:r>
        <w:t xml:space="preserve">Armatures : </w:t>
      </w:r>
      <w:r>
        <w:rPr>
          <w:rStyle w:val="optioncarChar"/>
        </w:rPr>
        <w:t>béton non armé / armé</w:t>
      </w:r>
      <w:r>
        <w:t xml:space="preserve"> (par défaut) (détermination des armatures à faire par l’entrepreneur)</w:t>
      </w:r>
    </w:p>
    <w:p w14:paraId="3F289D91" w14:textId="77777777" w:rsidR="00DF410E" w:rsidRDefault="00CE7F43">
      <w:pPr>
        <w:jc w:val="both"/>
      </w:pPr>
      <w:r>
        <w:t xml:space="preserve">La face supérieure est </w:t>
      </w:r>
      <w:r>
        <w:rPr>
          <w:rStyle w:val="optioncarChar"/>
        </w:rPr>
        <w:t>plane / à simple inclinaison / à double inclinaison / selon le dessin de détail </w:t>
      </w:r>
      <w:r>
        <w:t>(par défaut)</w:t>
      </w:r>
      <w:r>
        <w:rPr>
          <w:rStyle w:val="optioncarChar"/>
        </w:rPr>
        <w:t xml:space="preserve"> / ***.</w:t>
      </w:r>
    </w:p>
    <w:p w14:paraId="14318E3C" w14:textId="77777777" w:rsidR="00DF410E" w:rsidRDefault="00CE7F43">
      <w:pPr>
        <w:jc w:val="both"/>
      </w:pPr>
      <w:r>
        <w:t>La face inférieure est dotée de rejets d’eau d’environ 8 à 10 mm de large et 5 à 6 mm de profondeur situés à au moins</w:t>
      </w:r>
      <w:r>
        <w:rPr>
          <w:rStyle w:val="optioncarChar"/>
        </w:rPr>
        <w:t xml:space="preserve"> 2 </w:t>
      </w:r>
      <w:r>
        <w:t>(par défaut) </w:t>
      </w:r>
      <w:r>
        <w:rPr>
          <w:rStyle w:val="optioncarChar"/>
        </w:rPr>
        <w:t xml:space="preserve">/ *** </w:t>
      </w:r>
      <w:r>
        <w:t>cm de la face de parement du mur.</w:t>
      </w:r>
    </w:p>
    <w:p w14:paraId="4C2A3D02" w14:textId="77777777" w:rsidR="00DF410E" w:rsidRDefault="00CE7F43">
      <w:pPr>
        <w:jc w:val="both"/>
      </w:pPr>
      <w:r>
        <w:t xml:space="preserve">L’épaisseur est de </w:t>
      </w:r>
      <w:r>
        <w:rPr>
          <w:rStyle w:val="optioncarChar"/>
        </w:rPr>
        <w:t xml:space="preserve">50 </w:t>
      </w:r>
      <w:r>
        <w:t>(par défaut) </w:t>
      </w:r>
      <w:r>
        <w:rPr>
          <w:rStyle w:val="optioncarChar"/>
        </w:rPr>
        <w:t>/ 60 / 80 / ***</w:t>
      </w:r>
      <w:r>
        <w:t xml:space="preserve"> mm (min. 80 mm en cas de béton armé). La longueur des éléments est : </w:t>
      </w:r>
      <w:r>
        <w:rPr>
          <w:rStyle w:val="optioncarChar"/>
        </w:rPr>
        <w:t>80 </w:t>
      </w:r>
      <w:r>
        <w:t>(par défaut)</w:t>
      </w:r>
      <w:r>
        <w:rPr>
          <w:rStyle w:val="optioncarChar"/>
        </w:rPr>
        <w:t xml:space="preserve"> / 100 / ***</w:t>
      </w:r>
      <w:r>
        <w:t xml:space="preserve"> cm.</w:t>
      </w:r>
    </w:p>
    <w:p w14:paraId="0B734BD3" w14:textId="77777777" w:rsidR="00DF410E" w:rsidRDefault="00CE7F43">
      <w:pPr>
        <w:jc w:val="both"/>
      </w:pPr>
      <w:r>
        <w:t xml:space="preserve">Les boutisses des éléments sont </w:t>
      </w:r>
      <w:r>
        <w:rPr>
          <w:rStyle w:val="optioncarChar"/>
        </w:rPr>
        <w:t>planes</w:t>
      </w:r>
      <w:r>
        <w:t> (par défaut)</w:t>
      </w:r>
      <w:r>
        <w:rPr>
          <w:rStyle w:val="optioncarChar"/>
        </w:rPr>
        <w:t xml:space="preserve"> / à emboîtement (couvre-joint) / ***</w:t>
      </w:r>
      <w:r>
        <w:t>.</w:t>
      </w:r>
    </w:p>
    <w:p w14:paraId="613085D0" w14:textId="77777777" w:rsidR="00DF410E" w:rsidRDefault="00CE7F43">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14:paraId="1D8A6431" w14:textId="77777777" w:rsidR="00DF410E" w:rsidRDefault="00CE7F43">
      <w:pPr>
        <w:jc w:val="both"/>
      </w:pPr>
      <w:r>
        <w:t>Le modèle, y compris les pièces d’angle et de terminaison, est soumis pour approbation à l’auteur de projet.</w:t>
      </w:r>
    </w:p>
    <w:p w14:paraId="6132674B" w14:textId="77777777" w:rsidR="00DF410E" w:rsidRDefault="00CE7F43">
      <w:pPr>
        <w:jc w:val="both"/>
      </w:pPr>
      <w:r>
        <w:t>Le mortier de pose répond aux spécifications de la [NBN EN 998-2], est adapté aux éléments qu’il lie et n’a pas d’influence négative ni sur la résistance ni sur les qualités esthétiques. Il est de classe M10. Pour de petites quantité, le mortier peut être dosé in situ et préparé mécaniquement.</w:t>
      </w:r>
    </w:p>
    <w:p w14:paraId="65B18AA0" w14:textId="77777777" w:rsidR="00DF410E" w:rsidRDefault="00CE7F43">
      <w:pPr>
        <w:jc w:val="both"/>
      </w:pPr>
      <w:r>
        <w:t>Les joints souples sont constitués de</w:t>
      </w:r>
      <w:r>
        <w:rPr>
          <w:rStyle w:val="optioncarChar"/>
        </w:rPr>
        <w:t xml:space="preserve"> mastic</w:t>
      </w:r>
      <w:r>
        <w:t xml:space="preserve"> (par défaut) </w:t>
      </w:r>
      <w:r>
        <w:rPr>
          <w:rStyle w:val="optioncarChar"/>
        </w:rPr>
        <w:t>/ de joint préformé</w:t>
      </w:r>
    </w:p>
    <w:p w14:paraId="672008EB" w14:textId="77777777" w:rsidR="00DF410E" w:rsidRDefault="00DF410E">
      <w:pPr>
        <w:jc w:val="both"/>
      </w:pPr>
    </w:p>
    <w:p w14:paraId="530315AF" w14:textId="77777777" w:rsidR="00DF410E" w:rsidRDefault="00CE7F43">
      <w:pPr>
        <w:jc w:val="both"/>
      </w:pPr>
      <w:r>
        <w:rPr>
          <w:b/>
        </w:rPr>
        <w:t>(soit par défaut)</w:t>
      </w:r>
    </w:p>
    <w:p w14:paraId="3863AD25" w14:textId="77777777" w:rsidR="00DF410E" w:rsidRDefault="00CE7F43">
      <w:pPr>
        <w:jc w:val="both"/>
      </w:pPr>
      <w:r>
        <w:rPr>
          <w:rStyle w:val="soitChar"/>
        </w:rPr>
        <w:t>1.</w:t>
      </w:r>
      <w:r>
        <w:rPr>
          <w:rStyle w:val="soitChar"/>
          <w:u w:val="single"/>
        </w:rPr>
        <w:t> Mastic</w:t>
      </w:r>
    </w:p>
    <w:p w14:paraId="62F644B9" w14:textId="77777777" w:rsidR="00DF410E" w:rsidRDefault="00CE7F43">
      <w:pPr>
        <w:jc w:val="both"/>
      </w:pPr>
      <w:r>
        <w:rPr>
          <w:rStyle w:val="soitChar"/>
        </w:rPr>
        <w:t xml:space="preserve"> Les joints de mastic sont conformes aux [NBN EN 15651-4] ou [NBN EN ISO 11600].  L’épaisseur du joint est</w:t>
      </w:r>
      <w:r>
        <w:rPr>
          <w:rStyle w:val="optioncarChar"/>
        </w:rPr>
        <w:t xml:space="preserve"> 8 mm</w:t>
      </w:r>
      <w:r>
        <w:t xml:space="preserve"> (par défaut) </w:t>
      </w:r>
      <w:r>
        <w:rPr>
          <w:rStyle w:val="optioncarChar"/>
        </w:rPr>
        <w:t>/ *** mm</w:t>
      </w:r>
      <w:r>
        <w:rPr>
          <w:rStyle w:val="soitChar"/>
        </w:rPr>
        <w:t>. 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14:paraId="1CB756B5" w14:textId="77777777" w:rsidR="00DF410E" w:rsidRDefault="00DF410E">
      <w:pPr>
        <w:jc w:val="both"/>
      </w:pPr>
    </w:p>
    <w:p w14:paraId="40862E01" w14:textId="77777777" w:rsidR="00DF410E" w:rsidRDefault="00CE7F43">
      <w:pPr>
        <w:jc w:val="both"/>
      </w:pPr>
      <w:r>
        <w:rPr>
          <w:b/>
        </w:rPr>
        <w:t>(soit)</w:t>
      </w:r>
    </w:p>
    <w:p w14:paraId="769FA471" w14:textId="77777777" w:rsidR="00DF410E" w:rsidRDefault="00CE7F43">
      <w:pPr>
        <w:jc w:val="both"/>
      </w:pPr>
      <w:r>
        <w:rPr>
          <w:rStyle w:val="soitChar"/>
        </w:rPr>
        <w:t xml:space="preserve"> 2. </w:t>
      </w:r>
      <w:r>
        <w:rPr>
          <w:rStyle w:val="soitChar"/>
          <w:u w:val="single"/>
        </w:rPr>
        <w:t>Préformé d’étanchéité</w:t>
      </w:r>
    </w:p>
    <w:p w14:paraId="65747936" w14:textId="77777777" w:rsidR="00DF410E" w:rsidRDefault="00CE7F43">
      <w:pPr>
        <w:jc w:val="both"/>
      </w:pPr>
      <w:r>
        <w:rPr>
          <w:rStyle w:val="soitChar"/>
        </w:rPr>
        <w:t xml:space="preserve"> Les préformés sont constitué de joint plein/creux en EPDM ou autre élastomère équivalent. Le préformé résiste aux UV et intempéries.</w:t>
      </w:r>
    </w:p>
    <w:p w14:paraId="405AF7B1" w14:textId="77777777" w:rsidR="00DF410E" w:rsidRDefault="00CE7F43">
      <w:pPr>
        <w:pStyle w:val="pheading"/>
      </w:pPr>
      <w:r>
        <w:t>- Finitions</w:t>
      </w:r>
    </w:p>
    <w:p w14:paraId="7CDD0A6D" w14:textId="77777777" w:rsidR="00DF410E" w:rsidRDefault="00CE7F43">
      <w:pPr>
        <w:jc w:val="both"/>
      </w:pPr>
      <w:r>
        <w:t>Les éléments sont conformes au [PTV 21-601].</w:t>
      </w:r>
    </w:p>
    <w:p w14:paraId="46E60297" w14:textId="77777777" w:rsidR="00DF410E" w:rsidRDefault="00CE7F43">
      <w:pPr>
        <w:jc w:val="both"/>
      </w:pPr>
      <w:r>
        <w:t> Description détaillée des éléments :</w:t>
      </w:r>
    </w:p>
    <w:p w14:paraId="00FE329A" w14:textId="77777777" w:rsidR="00DF410E" w:rsidRDefault="00CE7F43">
      <w:pPr>
        <w:jc w:val="both"/>
      </w:pPr>
      <w:r>
        <w:t>1.     Couleur :</w:t>
      </w:r>
    </w:p>
    <w:p w14:paraId="32E7E5F5" w14:textId="77777777" w:rsidR="00DF410E" w:rsidRDefault="00CE7F43">
      <w:pPr>
        <w:jc w:val="both"/>
      </w:pPr>
      <w:r>
        <w:t xml:space="preserve">Les éléments en béton architectonique seront de couleur </w:t>
      </w:r>
      <w:r>
        <w:rPr>
          <w:rStyle w:val="optioncarChar"/>
        </w:rPr>
        <w:t>***</w:t>
      </w:r>
      <w:r>
        <w:t xml:space="preserve">, afin d’approcher au mieux le coloris RAL </w:t>
      </w:r>
      <w:r>
        <w:rPr>
          <w:rStyle w:val="optioncarChar"/>
        </w:rPr>
        <w:t>***</w:t>
      </w:r>
      <w:r>
        <w:t>.</w:t>
      </w:r>
    </w:p>
    <w:p w14:paraId="056DC1B3" w14:textId="77777777" w:rsidR="00DF410E" w:rsidRDefault="00CE7F43">
      <w:pPr>
        <w:jc w:val="both"/>
      </w:pPr>
      <w:r>
        <w:t>2.     Finition de la surface apparente :</w:t>
      </w:r>
    </w:p>
    <w:p w14:paraId="5EAC98E6" w14:textId="77777777" w:rsidR="00DF410E" w:rsidRDefault="00CE7F43">
      <w:pPr>
        <w:jc w:val="both"/>
      </w:pPr>
      <w:r>
        <w:rPr>
          <w:rStyle w:val="optioncarChar"/>
        </w:rPr>
        <w:t>Lisse de décoffrage / Lavée / Brossée / Lavée à l’acide / Bouchardée / Grenaillée et flammée / Grésée / Polie satinée / Polie brillante / Structurée</w:t>
      </w:r>
      <w:r>
        <w:t>.</w:t>
      </w:r>
    </w:p>
    <w:p w14:paraId="1E729FD6" w14:textId="77777777" w:rsidR="00DF410E" w:rsidRDefault="00CE7F43">
      <w:pPr>
        <w:jc w:val="both"/>
      </w:pPr>
      <w:r>
        <w:rPr>
          <w:u w:val="single"/>
        </w:rPr>
        <w:t>Terminaison des arêtes</w:t>
      </w:r>
    </w:p>
    <w:p w14:paraId="2E6AA2AB" w14:textId="77777777" w:rsidR="00DF410E" w:rsidRDefault="00CE7F43">
      <w:pPr>
        <w:jc w:val="both"/>
      </w:pPr>
      <w:r>
        <w:t xml:space="preserve"> Les arêtes des éléments sont </w:t>
      </w:r>
      <w:r>
        <w:rPr>
          <w:rStyle w:val="optioncarChar"/>
        </w:rPr>
        <w:t>chanfreinées en triangle </w:t>
      </w:r>
      <w:r>
        <w:t>(par défaut)</w:t>
      </w:r>
      <w:r>
        <w:rPr>
          <w:rStyle w:val="optioncarChar"/>
        </w:rPr>
        <w:t xml:space="preserve"> / chanfreinées en arrondi / vives</w:t>
      </w:r>
    </w:p>
    <w:p w14:paraId="4BEF505D" w14:textId="77777777" w:rsidR="00DF410E" w:rsidRDefault="00DF410E">
      <w:pPr>
        <w:jc w:val="both"/>
      </w:pPr>
    </w:p>
    <w:p w14:paraId="36EADC3F" w14:textId="77777777" w:rsidR="00DF410E" w:rsidRDefault="00CE7F43">
      <w:pPr>
        <w:jc w:val="both"/>
      </w:pPr>
      <w:r>
        <w:rPr>
          <w:b/>
        </w:rPr>
        <w:t xml:space="preserve"> (soit par défaut)</w:t>
      </w:r>
    </w:p>
    <w:p w14:paraId="6B103C45" w14:textId="77777777" w:rsidR="00DF410E" w:rsidRDefault="00CE7F43">
      <w:pPr>
        <w:jc w:val="both"/>
      </w:pPr>
      <w:r>
        <w:rPr>
          <w:rStyle w:val="soitChar"/>
        </w:rPr>
        <w:t xml:space="preserve">1. </w:t>
      </w:r>
      <w:r>
        <w:rPr>
          <w:rStyle w:val="soitChar"/>
          <w:u w:val="single"/>
        </w:rPr>
        <w:t>Chanfreinées en triangle</w:t>
      </w:r>
    </w:p>
    <w:p w14:paraId="68E505AB" w14:textId="77777777" w:rsidR="00DF410E" w:rsidRDefault="00CE7F43">
      <w:pPr>
        <w:jc w:val="both"/>
      </w:pPr>
      <w:r>
        <w:rPr>
          <w:rStyle w:val="soitChar"/>
        </w:rPr>
        <w:t xml:space="preserve"> Les arêtes sont cassées au moyen d'un chanfrein de </w:t>
      </w:r>
      <w:r>
        <w:rPr>
          <w:rStyle w:val="optioncarChar"/>
        </w:rPr>
        <w:t>2 x 2 </w:t>
      </w:r>
      <w:r>
        <w:t>(par défaut)</w:t>
      </w:r>
      <w:r>
        <w:rPr>
          <w:rStyle w:val="optioncarChar"/>
        </w:rPr>
        <w:t xml:space="preserve"> / *** mm x *** mm</w:t>
      </w:r>
      <w:r>
        <w:t>.</w:t>
      </w:r>
    </w:p>
    <w:p w14:paraId="351772D3" w14:textId="77777777" w:rsidR="00DF410E" w:rsidRDefault="00CE7F43">
      <w:pPr>
        <w:jc w:val="both"/>
      </w:pPr>
      <w:r>
        <w:rPr>
          <w:b/>
        </w:rPr>
        <w:t>(soit)</w:t>
      </w:r>
    </w:p>
    <w:p w14:paraId="5F9CCC3C" w14:textId="77777777" w:rsidR="00DF410E" w:rsidRDefault="00CE7F43">
      <w:pPr>
        <w:jc w:val="both"/>
      </w:pPr>
      <w:r>
        <w:rPr>
          <w:rStyle w:val="soitChar"/>
        </w:rPr>
        <w:t xml:space="preserve">2. </w:t>
      </w:r>
      <w:r>
        <w:rPr>
          <w:rStyle w:val="soitChar"/>
          <w:u w:val="single"/>
        </w:rPr>
        <w:t>Chanfreinées en arrondi</w:t>
      </w:r>
    </w:p>
    <w:p w14:paraId="1D5413DC" w14:textId="77777777" w:rsidR="00DF410E" w:rsidRDefault="00CE7F43">
      <w:pPr>
        <w:jc w:val="both"/>
      </w:pPr>
      <w:r>
        <w:rPr>
          <w:rStyle w:val="soitChar"/>
        </w:rPr>
        <w:t xml:space="preserve"> Les arêtes sont cassées au moyen d'un chanfrein de rayon </w:t>
      </w:r>
      <w:r>
        <w:rPr>
          <w:rStyle w:val="optioncarChar"/>
        </w:rPr>
        <w:t>5 </w:t>
      </w:r>
      <w:r>
        <w:t xml:space="preserve">(par défaut) </w:t>
      </w:r>
      <w:r>
        <w:rPr>
          <w:rStyle w:val="optioncarChar"/>
        </w:rPr>
        <w:t>/ ***</w:t>
      </w:r>
      <w:r>
        <w:rPr>
          <w:rStyle w:val="soitChar"/>
        </w:rPr>
        <w:t>mm</w:t>
      </w:r>
      <w:r>
        <w:t xml:space="preserve"> .</w:t>
      </w:r>
    </w:p>
    <w:p w14:paraId="3D8A8E47" w14:textId="77777777" w:rsidR="00DF410E" w:rsidRDefault="00CE7F43">
      <w:pPr>
        <w:jc w:val="both"/>
      </w:pPr>
      <w:r>
        <w:rPr>
          <w:b/>
        </w:rPr>
        <w:t>(soit)</w:t>
      </w:r>
    </w:p>
    <w:p w14:paraId="07810BD8" w14:textId="77777777" w:rsidR="00DF410E" w:rsidRDefault="00CE7F43">
      <w:pPr>
        <w:jc w:val="both"/>
      </w:pPr>
      <w:r>
        <w:rPr>
          <w:rStyle w:val="soitChar"/>
        </w:rPr>
        <w:t xml:space="preserve">3. </w:t>
      </w:r>
      <w:r>
        <w:rPr>
          <w:rStyle w:val="soitChar"/>
          <w:u w:val="single"/>
        </w:rPr>
        <w:t>Vives</w:t>
      </w:r>
    </w:p>
    <w:p w14:paraId="7CB00CF8" w14:textId="77777777" w:rsidR="00DF410E" w:rsidRDefault="00CE7F43">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r>
        <w:t>.</w:t>
      </w:r>
    </w:p>
    <w:p w14:paraId="08EE8C72" w14:textId="77777777" w:rsidR="00DF410E" w:rsidRDefault="00CE7F43">
      <w:pPr>
        <w:jc w:val="both"/>
      </w:pPr>
      <w:r>
        <w:t xml:space="preserve">La teinte des joints souples est : </w:t>
      </w:r>
      <w:r>
        <w:rPr>
          <w:rStyle w:val="optioncarChar"/>
        </w:rPr>
        <w:t>au choix de l’auteur de projet</w:t>
      </w:r>
      <w:r>
        <w:t xml:space="preserve"> (par défaut)</w:t>
      </w:r>
      <w:r>
        <w:rPr>
          <w:rStyle w:val="optioncarChar"/>
        </w:rPr>
        <w:t xml:space="preserve"> / teinte proche de celle des couvre-murs / gris / gris-blanc / ***</w:t>
      </w:r>
      <w:r>
        <w:t>. Leur répartition est soumise à l’approbation de l’auteur de projet.</w:t>
      </w:r>
    </w:p>
    <w:p w14:paraId="428E98C0" w14:textId="77777777" w:rsidR="00DF410E" w:rsidRDefault="00CE7F43">
      <w:pPr>
        <w:pStyle w:val="pheading"/>
      </w:pPr>
      <w:r>
        <w:t>EXÉCUTION / MISE EN ŒUVRE</w:t>
      </w:r>
    </w:p>
    <w:p w14:paraId="7386E573" w14:textId="77777777" w:rsidR="00DF410E" w:rsidRDefault="00CE7F43">
      <w:pPr>
        <w:pStyle w:val="pheading"/>
      </w:pPr>
      <w:r>
        <w:t>- Prescriptions générales</w:t>
      </w:r>
    </w:p>
    <w:p w14:paraId="191D559B" w14:textId="77777777" w:rsidR="00DF410E" w:rsidRDefault="00CE7F43">
      <w:pPr>
        <w:jc w:val="both"/>
      </w:pPr>
      <w:r>
        <w:t xml:space="preserve">L’exécution est réalisée selon le §6.4.3 de la [NIT 244]. Les éléments sont placés </w:t>
      </w:r>
      <w:r>
        <w:rPr>
          <w:rStyle w:val="optioncarChar"/>
        </w:rPr>
        <w:t>selon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indications en plans</w:t>
      </w:r>
      <w:r>
        <w:t xml:space="preserve"> (par défaut)</w:t>
      </w:r>
      <w:r>
        <w:rPr>
          <w:rStyle w:val="optioncarChar"/>
        </w:rPr>
        <w:t xml:space="preserve"> / 19 / 24 / 29 / ***</w:t>
      </w:r>
      <w:r>
        <w:t xml:space="preserve"> cm. En cas de recouvrement d’une rive de toiture, la pente est dirigée vers la toiture. Les faces avant du couvre-murs débordent de</w:t>
      </w:r>
      <w:r>
        <w:rPr>
          <w:rStyle w:val="optioncarChar"/>
        </w:rPr>
        <w:t xml:space="preserve"> 50 </w:t>
      </w:r>
      <w:r>
        <w:t>(par défaut) </w:t>
      </w:r>
      <w:r>
        <w:rPr>
          <w:rStyle w:val="optioncarChar"/>
        </w:rPr>
        <w:t>/ ***</w:t>
      </w:r>
      <w:r>
        <w:t xml:space="preserve"> mm de la face de parement du mur. Les joints de dilatation de la structure doivent être répercutés.</w:t>
      </w:r>
    </w:p>
    <w:p w14:paraId="1569D348" w14:textId="77777777" w:rsidR="00DF410E" w:rsidRDefault="00CE7F43">
      <w:pPr>
        <w:jc w:val="both"/>
      </w:pPr>
      <w:r>
        <w:t>En cas d’éléments à boutisses planes :</w:t>
      </w:r>
    </w:p>
    <w:p w14:paraId="17DB3EEF" w14:textId="77777777" w:rsidR="00DF410E" w:rsidRDefault="00CE7F43">
      <w:pPr>
        <w:pStyle w:val="Author-eListParagraph"/>
        <w:numPr>
          <w:ilvl w:val="0"/>
          <w:numId w:val="281"/>
        </w:numPr>
      </w:pPr>
      <w:r>
        <w:t>on place préalablement sous les éléments au droit de chaque joint intermédiaire une isolation à l’humidité sous la forme d’une bande de métal repliée ou un autre matériau rigide adéquat qui déborde de 10 mm du parement du mur ;</w:t>
      </w:r>
    </w:p>
    <w:p w14:paraId="510A1F21" w14:textId="77777777" w:rsidR="00DF410E" w:rsidRDefault="00CE7F43">
      <w:pPr>
        <w:pStyle w:val="Author-eListParagraph"/>
        <w:numPr>
          <w:ilvl w:val="0"/>
          <w:numId w:val="281"/>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14:paraId="0C5919B2" w14:textId="77777777" w:rsidR="00DF410E" w:rsidRDefault="00CE7F43">
      <w:pPr>
        <w:jc w:val="both"/>
      </w:pPr>
      <w:r>
        <w:t>En cas d’éléments avec emboîtement :</w:t>
      </w:r>
    </w:p>
    <w:p w14:paraId="513B79EF" w14:textId="77777777" w:rsidR="00DF410E" w:rsidRDefault="00CE7F43">
      <w:pPr>
        <w:pStyle w:val="Author-eListParagraph"/>
        <w:numPr>
          <w:ilvl w:val="0"/>
          <w:numId w:val="282"/>
        </w:numPr>
      </w:pPr>
      <w:r>
        <w:t>l’emboîtement est placé de telle manière que les infiltrations d’eau sont contrariées. L’emboîtement est rempli à l’aide d’un mortier étanche. L’étanchéité finale du joint est obtenue à l’aide d’un joint souple posé sur un fond de joint.</w:t>
      </w:r>
    </w:p>
    <w:p w14:paraId="71C1AF78" w14:textId="77777777" w:rsidR="00DF410E" w:rsidRDefault="00CE7F43">
      <w:pPr>
        <w:pStyle w:val="pheading"/>
      </w:pPr>
      <w:r>
        <w:t>- Notes d’exécution complémentaires</w:t>
      </w:r>
    </w:p>
    <w:p w14:paraId="2E759325" w14:textId="77777777" w:rsidR="00DF410E" w:rsidRDefault="00CE7F43">
      <w:pPr>
        <w:jc w:val="both"/>
      </w:pPr>
      <w:r>
        <w:t xml:space="preserve">Un </w:t>
      </w:r>
      <w:r>
        <w:rPr>
          <w:u w:val="single"/>
        </w:rPr>
        <w:t>ancrage inoxydable</w:t>
      </w:r>
      <w:r>
        <w:t xml:space="preserve"> dans la maçonnerie sous-jacente est prévu.</w:t>
      </w:r>
    </w:p>
    <w:p w14:paraId="6F9AB25A" w14:textId="77777777" w:rsidR="00DF410E" w:rsidRDefault="00CE7F43">
      <w:pPr>
        <w:jc w:val="both"/>
      </w:pPr>
      <w:r>
        <w:t xml:space="preserve">Le </w:t>
      </w:r>
      <w:r>
        <w:rPr>
          <w:u w:val="single"/>
        </w:rPr>
        <w:t>lit de mortier</w:t>
      </w:r>
      <w:r>
        <w:t xml:space="preserve"> est composé d’un mélange </w:t>
      </w:r>
      <w:r>
        <w:rPr>
          <w:rStyle w:val="optioncarChar"/>
        </w:rPr>
        <w:t>présentant une plasticité importante</w:t>
      </w:r>
      <w:r>
        <w:t xml:space="preserve"> (par défaut) </w:t>
      </w:r>
      <w:r>
        <w:rPr>
          <w:rStyle w:val="optioncarChar"/>
        </w:rPr>
        <w:t>/ ***</w:t>
      </w:r>
      <w:r>
        <w:t xml:space="preserve"> avec ajout d’une émulsion synthétique répulsive à l’eau.</w:t>
      </w:r>
    </w:p>
    <w:p w14:paraId="1CB92494" w14:textId="77777777" w:rsidR="00DF410E" w:rsidRDefault="00CE7F43">
      <w:pPr>
        <w:pStyle w:val="pheading"/>
      </w:pPr>
      <w:r>
        <w:t>DOCUMENTS DE RÉFÉRENCE COMPLÉMENTAIRES</w:t>
      </w:r>
    </w:p>
    <w:p w14:paraId="05BCFB3D" w14:textId="77777777" w:rsidR="00DF410E" w:rsidRDefault="00CE7F43">
      <w:pPr>
        <w:pStyle w:val="pheading"/>
      </w:pPr>
      <w:r>
        <w:t>- Matériau</w:t>
      </w:r>
    </w:p>
    <w:p w14:paraId="3DFF12DA" w14:textId="77777777" w:rsidR="00DF410E" w:rsidRDefault="00CE7F43">
      <w:r>
        <w:t>[NBN EN 206:2013+A2, Béton - Spécification, performances, production et conformité]</w:t>
      </w:r>
    </w:p>
    <w:p w14:paraId="7D82F7CE" w14:textId="77777777" w:rsidR="00DF410E" w:rsidRDefault="00CE7F43">
      <w:r>
        <w:t>[NBN B 15-001, Béton - Spécification, performances, production et conformité - Complément national à la NBN EN 206:2013+A2:2021]</w:t>
      </w:r>
    </w:p>
    <w:p w14:paraId="24698609" w14:textId="77777777" w:rsidR="00DF410E" w:rsidRDefault="00CE7F43">
      <w:r>
        <w:t>[PTV 21-601, Eléments préfabriqués en béton architectonique.]</w:t>
      </w:r>
    </w:p>
    <w:p w14:paraId="7F47C5D5" w14:textId="77777777" w:rsidR="00DF410E" w:rsidRDefault="00CE7F43">
      <w:r>
        <w:t>[NBN EN 998-2, Définitions et spécifications des mortiers pour maçonnerie - Partie 2: Mortiers de montage des éléments de maçonnerie]</w:t>
      </w:r>
    </w:p>
    <w:p w14:paraId="7F7D6FEA" w14:textId="77777777" w:rsidR="00DF410E" w:rsidRDefault="00CE7F43">
      <w:r>
        <w:t>[NBN EN 13369:2023, Règles communes pour les produits préfabriqués en béton]</w:t>
      </w:r>
    </w:p>
    <w:p w14:paraId="0A3B67CF" w14:textId="77777777" w:rsidR="00DF410E" w:rsidRDefault="00CE7F43">
      <w:r>
        <w:t>[NBN B 21-600, Règles communes pour les produits préfabriqués en béton - Complément national à la NBN EN 13369:2004+A1:2006+AC:2006]</w:t>
      </w:r>
    </w:p>
    <w:p w14:paraId="240A3729" w14:textId="77777777" w:rsidR="00DF410E" w:rsidRDefault="00CE7F43">
      <w:r>
        <w:t>[NBN EN 15651-4, Mastics pour joints pour des usages non structuraux dans les constructions immobilières et pour chemins piétonniers - Partie 4 : Mastics pour chemins piétonniers]</w:t>
      </w:r>
    </w:p>
    <w:p w14:paraId="36F2D3E5" w14:textId="77777777" w:rsidR="00DF410E" w:rsidRDefault="00CE7F43">
      <w:r>
        <w:t>[NBN EN ISO 11600, Construction immobilière - Produits pour joints - Classification et exigences pour les mastics (ISO 11600:2002)]</w:t>
      </w:r>
    </w:p>
    <w:p w14:paraId="1CB7D448" w14:textId="77777777" w:rsidR="00DF410E" w:rsidRDefault="00DF410E"/>
    <w:p w14:paraId="53578AB3" w14:textId="77777777" w:rsidR="00DF410E" w:rsidRDefault="00CE7F43">
      <w:pPr>
        <w:pStyle w:val="pheading"/>
      </w:pPr>
      <w:r>
        <w:t>- Exécution</w:t>
      </w:r>
    </w:p>
    <w:p w14:paraId="6070C5E0" w14:textId="77777777" w:rsidR="00DF410E" w:rsidRDefault="00CE7F43">
      <w:r>
        <w:t>[NIT 244, Les ouvrages de raccord des toitures plates : principes généraux (remplace la NIT 191) (+ correctifs de février 2015).]</w:t>
      </w:r>
    </w:p>
    <w:p w14:paraId="6163FBD6" w14:textId="77777777" w:rsidR="00DF410E" w:rsidRDefault="00CE7F43">
      <w:pPr>
        <w:pStyle w:val="pheading"/>
      </w:pPr>
      <w:r>
        <w:t>MESURAGE</w:t>
      </w:r>
    </w:p>
    <w:p w14:paraId="53C13C4C" w14:textId="77777777" w:rsidR="00DF410E" w:rsidRDefault="00CE7F43">
      <w:pPr>
        <w:pStyle w:val="pheading"/>
      </w:pPr>
      <w:r>
        <w:t>- unité de mesure:</w:t>
      </w:r>
    </w:p>
    <w:p w14:paraId="37331D9B" w14:textId="77777777" w:rsidR="00DF410E" w:rsidRDefault="00CE7F43">
      <w:r>
        <w:rPr>
          <w:rStyle w:val="optioncarChar"/>
        </w:rPr>
        <w:t>m³ / m² / m</w:t>
      </w:r>
      <w:r>
        <w:t xml:space="preserve"> (par défaut)</w:t>
      </w:r>
      <w:r>
        <w:rPr>
          <w:rStyle w:val="optioncarChar"/>
        </w:rPr>
        <w:t xml:space="preserve"> / Pce</w:t>
      </w:r>
    </w:p>
    <w:p w14:paraId="3F038FA9" w14:textId="77777777" w:rsidR="00DF410E" w:rsidRDefault="00DF410E"/>
    <w:p w14:paraId="06AB23C2" w14:textId="77777777" w:rsidR="00DF410E" w:rsidRDefault="00CE7F43">
      <w:pPr>
        <w:pStyle w:val="pheading"/>
      </w:pPr>
      <w:r>
        <w:t>- nature du marché:</w:t>
      </w:r>
    </w:p>
    <w:p w14:paraId="6E878963" w14:textId="77777777" w:rsidR="00DF410E" w:rsidRDefault="00CE7F43">
      <w:r>
        <w:rPr>
          <w:rStyle w:val="optioncarChar"/>
        </w:rPr>
        <w:t>QF</w:t>
      </w:r>
      <w:r>
        <w:t xml:space="preserve"> (par défaut)</w:t>
      </w:r>
      <w:r>
        <w:rPr>
          <w:rStyle w:val="optioncarChar"/>
        </w:rPr>
        <w:t xml:space="preserve"> / QP</w:t>
      </w:r>
    </w:p>
    <w:p w14:paraId="60AE98D8" w14:textId="77777777" w:rsidR="00DF410E" w:rsidRDefault="00CE7F43">
      <w:pPr>
        <w:pStyle w:val="Author-eSectionHeading6"/>
      </w:pPr>
      <w:bookmarkStart w:id="330" w:name="_Toc178837552"/>
      <w:r>
        <w:t>21.36.5d Couvre-murs en fibres-ciment CCTB 01.11</w:t>
      </w:r>
      <w:bookmarkEnd w:id="330"/>
    </w:p>
    <w:p w14:paraId="252A764E" w14:textId="77777777" w:rsidR="00DF410E" w:rsidRDefault="00CE7F43">
      <w:pPr>
        <w:pStyle w:val="pheading"/>
      </w:pPr>
      <w:r>
        <w:t>MATÉRIAUX</w:t>
      </w:r>
    </w:p>
    <w:p w14:paraId="69094E06" w14:textId="77777777" w:rsidR="00DF410E" w:rsidRDefault="00CE7F43">
      <w:pPr>
        <w:pStyle w:val="pheading"/>
      </w:pPr>
      <w:r>
        <w:t>- Caractéristiques générales</w:t>
      </w:r>
    </w:p>
    <w:p w14:paraId="25032528" w14:textId="77777777" w:rsidR="00DF410E" w:rsidRDefault="00CE7F43">
      <w:r>
        <w:t>Les éléments creux préfabriqués sont fabriqués à l'aide d'un mélange, coloré dans la masse, de fibres exemptes d'amiante, de ciment, de silicates et d'adjuvants minéraux. Ils sont extrudés sous haute pression et autoclavés. En dessous, les pierres de couverture sont pourvues d'entailles pour une meilleure adhérence au mortier et de rejets d'eau, situés à au moins 2 cm de la face de parement du mur. Le modèle est soumis pour approbation à l'auteur de projet.</w:t>
      </w:r>
    </w:p>
    <w:p w14:paraId="04B5355E" w14:textId="77777777" w:rsidR="00DF410E" w:rsidRDefault="00CE7F43">
      <w:r>
        <w:rPr>
          <w:b/>
          <w:u w:val="single"/>
        </w:rPr>
        <w:t>Spécifications</w:t>
      </w:r>
    </w:p>
    <w:p w14:paraId="36CD15B7" w14:textId="77777777" w:rsidR="00DF410E" w:rsidRDefault="00CE7F43">
      <w:r>
        <w:t xml:space="preserve">Ils présentent les propriétés physiques suivantes (voir également l'élément </w:t>
      </w:r>
      <w:hyperlink w:anchor="411" w:history="1">
        <w:r>
          <w:t>21.36 Eléments particuliers de façades</w:t>
        </w:r>
      </w:hyperlink>
      <w:r>
        <w:t>)</w:t>
      </w:r>
    </w:p>
    <w:p w14:paraId="74C6DAA7" w14:textId="77777777" w:rsidR="00DF410E" w:rsidRDefault="00CE7F43">
      <w:r>
        <w:t xml:space="preserve">Couleur et aspect : </w:t>
      </w:r>
      <w:r>
        <w:rPr>
          <w:rStyle w:val="optioncarChar"/>
        </w:rPr>
        <w:t xml:space="preserve">gris clair </w:t>
      </w:r>
      <w:r>
        <w:t>(par défaut) </w:t>
      </w:r>
      <w:r>
        <w:rPr>
          <w:rStyle w:val="optioncarChar"/>
        </w:rPr>
        <w:t>/ gris foncé / ***</w:t>
      </w:r>
    </w:p>
    <w:p w14:paraId="0BBF3C52" w14:textId="77777777" w:rsidR="00DF410E" w:rsidRDefault="00CE7F43">
      <w:r>
        <w:t xml:space="preserve">Forme : à </w:t>
      </w:r>
      <w:r>
        <w:rPr>
          <w:rStyle w:val="optioncarChar"/>
        </w:rPr>
        <w:t xml:space="preserve">simple inclinaison / double inclinaison </w:t>
      </w:r>
    </w:p>
    <w:p w14:paraId="4279CECF" w14:textId="77777777" w:rsidR="00DF410E" w:rsidRDefault="00CE7F43">
      <w:r>
        <w:t xml:space="preserve">Dimensions : </w:t>
      </w:r>
      <w:r>
        <w:rPr>
          <w:rStyle w:val="optioncarChar"/>
        </w:rPr>
        <w:t>***</w:t>
      </w:r>
    </w:p>
    <w:p w14:paraId="55FFBDCE" w14:textId="77777777" w:rsidR="00DF410E" w:rsidRDefault="00CE7F43">
      <w:r>
        <w:t xml:space="preserve">Longueur : les pierres de couverture sont mises en œuvre à l'aide d'éléments d'une longueur de </w:t>
      </w:r>
      <w:r>
        <w:rPr>
          <w:rStyle w:val="optioncarChar"/>
        </w:rPr>
        <w:t>1,50 </w:t>
      </w:r>
      <w:r>
        <w:t>(par défaut)</w:t>
      </w:r>
      <w:r>
        <w:rPr>
          <w:rStyle w:val="optioncarChar"/>
        </w:rPr>
        <w:t xml:space="preserve"> / ***</w:t>
      </w:r>
      <w:r>
        <w:t xml:space="preserve"> m. Le nombre de joints est limité, la répartition des joints est soumise à l'approbation de l'auteur de projet.</w:t>
      </w:r>
    </w:p>
    <w:p w14:paraId="4F21632C" w14:textId="77777777" w:rsidR="00DF410E" w:rsidRDefault="00CE7F43">
      <w:r>
        <w:t xml:space="preserve">Largeur : le débordement est d'au moins </w:t>
      </w:r>
      <w:r>
        <w:rPr>
          <w:rStyle w:val="optioncarChar"/>
        </w:rPr>
        <w:t xml:space="preserve">3 </w:t>
      </w:r>
      <w:r>
        <w:t>(par défaut) </w:t>
      </w:r>
      <w:r>
        <w:rPr>
          <w:rStyle w:val="optioncarChar"/>
        </w:rPr>
        <w:t>/ 4 / ***</w:t>
      </w:r>
      <w:r>
        <w:t xml:space="preserve"> cm, le mur à recouvrir présente une largeur de </w:t>
      </w:r>
      <w:r>
        <w:rPr>
          <w:rStyle w:val="optioncarChar"/>
        </w:rPr>
        <w:t>19</w:t>
      </w:r>
      <w:r>
        <w:t xml:space="preserve"> (par défaut)</w:t>
      </w:r>
      <w:r>
        <w:rPr>
          <w:rStyle w:val="optioncarChar"/>
        </w:rPr>
        <w:t> / 24 / 29 / ***</w:t>
      </w:r>
      <w:r>
        <w:t xml:space="preserve"> cm</w:t>
      </w:r>
    </w:p>
    <w:p w14:paraId="4EE678EF" w14:textId="77777777" w:rsidR="00DF410E" w:rsidRDefault="00CE7F43">
      <w:pPr>
        <w:pStyle w:val="pheading"/>
      </w:pPr>
      <w:r>
        <w:t>- Finitions</w:t>
      </w:r>
    </w:p>
    <w:p w14:paraId="7ABA3C84" w14:textId="77777777" w:rsidR="00DF410E" w:rsidRDefault="00CE7F43">
      <w:r>
        <w:t xml:space="preserve">Finition de la face supérieure : </w:t>
      </w:r>
      <w:r>
        <w:rPr>
          <w:rStyle w:val="optioncarChar"/>
        </w:rPr>
        <w:t xml:space="preserve">lisse </w:t>
      </w:r>
      <w:r>
        <w:rPr>
          <w:rStyle w:val="optioncarChar"/>
          <w:color w:val="000000"/>
        </w:rPr>
        <w:t>(par défaut)</w:t>
      </w:r>
      <w:r>
        <w:rPr>
          <w:rStyle w:val="optioncarChar"/>
        </w:rPr>
        <w:t xml:space="preserve"> / rugueuse</w:t>
      </w:r>
    </w:p>
    <w:p w14:paraId="55B09009" w14:textId="77777777" w:rsidR="00DF410E" w:rsidRDefault="00CE7F43">
      <w:pPr>
        <w:pStyle w:val="pheading"/>
      </w:pPr>
      <w:r>
        <w:t>- Prescriptions complémentaires</w:t>
      </w:r>
    </w:p>
    <w:p w14:paraId="71927B50" w14:textId="77777777" w:rsidR="00DF410E" w:rsidRDefault="00CE7F43">
      <w:r>
        <w:t>Les faces vues sont parachevées à l'aide d'un coating acrylique pigmenté.</w:t>
      </w:r>
    </w:p>
    <w:p w14:paraId="1B91A84C" w14:textId="77777777" w:rsidR="00DF410E" w:rsidRDefault="00CE7F43">
      <w:pPr>
        <w:pStyle w:val="pheading"/>
      </w:pPr>
      <w:r>
        <w:t>EXÉCUTION / MISE EN ŒUVRE</w:t>
      </w:r>
    </w:p>
    <w:p w14:paraId="3DF22561" w14:textId="77777777" w:rsidR="00DF410E" w:rsidRDefault="00CE7F43">
      <w:pPr>
        <w:pStyle w:val="pheading"/>
      </w:pPr>
      <w:r>
        <w:t>- Prescriptions générales</w:t>
      </w:r>
    </w:p>
    <w:p w14:paraId="0D90D5CE" w14:textId="77777777" w:rsidR="00DF410E" w:rsidRDefault="00CE7F43">
      <w:r>
        <w:t xml:space="preserve">Pour la pose des couvre-murs sur un mur à coulisse, celui-ci est d'abord recouvert d'une bande d'étanchéité. Aux endroits nécessaires, une isolation supplémentaire est disposée dans la coulisse afin d'éviter les ponts thermiques. Les éléments sont posés à plein bain de mortier d'une épaisseur d'environ 15 . Ce mortier a une consistance souple, obtenue par l'adjonction d'une émulsion synthétique hydrofuge. Les angles des éléments sont coupés en onglet ou sont réalisés à l'aide de pièces spéciales. Au droit des joints entre deux éléments, on intercale une feuille d'étanchéité </w:t>
      </w:r>
      <w:r>
        <w:rPr>
          <w:rStyle w:val="optioncarChar"/>
        </w:rPr>
        <w:t>(feuille de PE armée / voile de verre bitumé</w:t>
      </w:r>
      <w:r>
        <w:t>) d'au moins 10 cm de largeur, qui déborde d'environ 1 cm de part et d'autre. La largeur des joints est de 5 à 10 . Les joints sont colmatés avec un mastic qui conserve son élasticité, fabriqué à base de polysulfide selon la [NBN S 23-002], soit avec un produit de jointoiement recommandé par le fabricant, couleur à déterminer par l'auteur de projet.</w:t>
      </w:r>
    </w:p>
    <w:p w14:paraId="0866F1F7" w14:textId="77777777" w:rsidR="00DF410E" w:rsidRDefault="00CE7F43">
      <w:pPr>
        <w:pStyle w:val="pheading"/>
      </w:pPr>
      <w:r>
        <w:t>- Notes d’exécution complémentaires</w:t>
      </w:r>
    </w:p>
    <w:p w14:paraId="705D580F" w14:textId="77777777" w:rsidR="00DF410E" w:rsidRDefault="00CE7F43">
      <w:r>
        <w:t>A hauteur de chaque chant, on prévoit des agrafes inoxydables scellées dans la maçonnerie.</w:t>
      </w:r>
    </w:p>
    <w:p w14:paraId="480834A7" w14:textId="77777777" w:rsidR="00DF410E" w:rsidRDefault="00CE7F43">
      <w:r>
        <w:t>Dans les joints entre les éléments, l'entrepreneur pose une bande de polystyrène</w:t>
      </w:r>
    </w:p>
    <w:p w14:paraId="7DD8D896" w14:textId="77777777" w:rsidR="00DF410E" w:rsidRDefault="00CE7F43">
      <w:r>
        <w:t xml:space="preserve">Les creux des extrémités visibles sont obturés </w:t>
      </w:r>
      <w:r>
        <w:rPr>
          <w:rStyle w:val="optioncarChar"/>
        </w:rPr>
        <w:t>avec un mortier sans retrait, à adhérence améliorée et coloré avec un coating acrylique / avec des pièces d'about spéciales.</w:t>
      </w:r>
    </w:p>
    <w:p w14:paraId="02F9DE3E" w14:textId="77777777" w:rsidR="00DF410E" w:rsidRDefault="00CE7F43">
      <w:pPr>
        <w:pStyle w:val="pheading"/>
      </w:pPr>
      <w:r>
        <w:t>MESURAGE</w:t>
      </w:r>
    </w:p>
    <w:p w14:paraId="46CFABCB" w14:textId="77777777" w:rsidR="00DF410E" w:rsidRDefault="00CE7F43">
      <w:pPr>
        <w:pStyle w:val="pheading"/>
      </w:pPr>
      <w:r>
        <w:t>- unité de mesure:</w:t>
      </w:r>
    </w:p>
    <w:p w14:paraId="27FE583A" w14:textId="77777777" w:rsidR="00DF410E" w:rsidRDefault="00CE7F43">
      <w:r>
        <w:rPr>
          <w:rStyle w:val="optioncarChar"/>
        </w:rPr>
        <w:t>m³ / m² / m</w:t>
      </w:r>
      <w:r>
        <w:t xml:space="preserve"> (par défaut)</w:t>
      </w:r>
      <w:r>
        <w:rPr>
          <w:rStyle w:val="optioncarChar"/>
        </w:rPr>
        <w:t xml:space="preserve"> / Pce</w:t>
      </w:r>
    </w:p>
    <w:p w14:paraId="638B6C81" w14:textId="77777777" w:rsidR="00DF410E" w:rsidRDefault="00CE7F43">
      <w:pPr>
        <w:pStyle w:val="pheading"/>
      </w:pPr>
      <w:r>
        <w:t>- code de mesurage:</w:t>
      </w:r>
    </w:p>
    <w:p w14:paraId="76CE7CFB" w14:textId="77777777" w:rsidR="00DF410E" w:rsidRDefault="00CE7F43">
      <w:r>
        <w:t>longueur nette à exécuter, y compris les pièces spéciales.</w:t>
      </w:r>
    </w:p>
    <w:p w14:paraId="6A9DAD81" w14:textId="77777777" w:rsidR="00DF410E" w:rsidRDefault="00CE7F43">
      <w:pPr>
        <w:pStyle w:val="pheading"/>
      </w:pPr>
      <w:r>
        <w:t>- nature du marché:</w:t>
      </w:r>
    </w:p>
    <w:p w14:paraId="3E1625AD" w14:textId="77777777" w:rsidR="00DF410E" w:rsidRDefault="00CE7F43">
      <w:r>
        <w:rPr>
          <w:rStyle w:val="optioncarChar"/>
        </w:rPr>
        <w:t>QF</w:t>
      </w:r>
      <w:r>
        <w:t xml:space="preserve"> (par défaut)</w:t>
      </w:r>
      <w:r>
        <w:rPr>
          <w:rStyle w:val="optioncarChar"/>
        </w:rPr>
        <w:t xml:space="preserve"> / QP</w:t>
      </w:r>
    </w:p>
    <w:p w14:paraId="72B02254" w14:textId="77777777" w:rsidR="00DF410E" w:rsidRDefault="00DF410E"/>
    <w:p w14:paraId="6A21F177" w14:textId="77777777" w:rsidR="00DF410E" w:rsidRDefault="00CE7F43">
      <w:pPr>
        <w:pStyle w:val="Author-eSectionHeading6"/>
      </w:pPr>
      <w:bookmarkStart w:id="331" w:name="_Toc178837553"/>
      <w:r>
        <w:t>21.36.5e Couvre-murs en terre cuite CCTB 01.11</w:t>
      </w:r>
      <w:bookmarkEnd w:id="331"/>
    </w:p>
    <w:p w14:paraId="3339534C" w14:textId="77777777" w:rsidR="00DF410E" w:rsidRDefault="00CE7F43">
      <w:pPr>
        <w:pStyle w:val="Author-eSectionHeading6"/>
      </w:pPr>
      <w:bookmarkStart w:id="332" w:name="_Toc178837554"/>
      <w:r>
        <w:t>21.36.5f Couvre-murs métalliques CCTB 01.11</w:t>
      </w:r>
      <w:bookmarkEnd w:id="332"/>
    </w:p>
    <w:p w14:paraId="393D681F" w14:textId="77777777" w:rsidR="00DF410E" w:rsidRDefault="00CE7F43">
      <w:pPr>
        <w:pStyle w:val="pheading"/>
      </w:pPr>
      <w:r>
        <w:t>DESCRIPTION</w:t>
      </w:r>
    </w:p>
    <w:p w14:paraId="03D03B1E" w14:textId="77777777" w:rsidR="00DF410E" w:rsidRDefault="00CE7F43">
      <w:pPr>
        <w:pStyle w:val="pheading"/>
      </w:pPr>
      <w:r>
        <w:t>- Définition / Comprend</w:t>
      </w:r>
    </w:p>
    <w:p w14:paraId="667896CF" w14:textId="77777777" w:rsidR="00DF410E" w:rsidRDefault="00CE7F43">
      <w:r>
        <w:t xml:space="preserve">Renvoi au § </w:t>
      </w:r>
      <w:hyperlink r:id="rId36" w:history="1" w:docLocation="412">
        <w:r>
          <w:t>35.21.5 Couvre-murs métalliques</w:t>
        </w:r>
      </w:hyperlink>
    </w:p>
    <w:p w14:paraId="3B3E63C8" w14:textId="77777777" w:rsidR="00DF410E" w:rsidRDefault="00CE7F43">
      <w:pPr>
        <w:pStyle w:val="Author-eSectionHeading6"/>
      </w:pPr>
      <w:bookmarkStart w:id="333" w:name="_Toc178837555"/>
      <w:r>
        <w:t>21.36.5g Couvre-murs synthétiques CCTB 01.11</w:t>
      </w:r>
      <w:bookmarkEnd w:id="333"/>
    </w:p>
    <w:p w14:paraId="6386CEAA" w14:textId="77777777" w:rsidR="00DF410E" w:rsidRDefault="00CE7F43">
      <w:pPr>
        <w:pStyle w:val="pheading"/>
      </w:pPr>
      <w:r>
        <w:t>MESURAGE</w:t>
      </w:r>
    </w:p>
    <w:p w14:paraId="45B335E3" w14:textId="77777777" w:rsidR="00DF410E" w:rsidRDefault="00CE7F43">
      <w:pPr>
        <w:pStyle w:val="pheading"/>
      </w:pPr>
      <w:r>
        <w:t>- unité de mesure:</w:t>
      </w:r>
    </w:p>
    <w:p w14:paraId="07270F0C" w14:textId="77777777" w:rsidR="00DF410E" w:rsidRDefault="00CE7F43">
      <w:r>
        <w:rPr>
          <w:rStyle w:val="optioncarChar"/>
        </w:rPr>
        <w:t>m³ / m² / m</w:t>
      </w:r>
      <w:r>
        <w:t xml:space="preserve"> (par défaut)</w:t>
      </w:r>
      <w:r>
        <w:rPr>
          <w:rStyle w:val="optioncarChar"/>
        </w:rPr>
        <w:t xml:space="preserve"> / Pce</w:t>
      </w:r>
    </w:p>
    <w:p w14:paraId="00790113" w14:textId="77777777" w:rsidR="00DF410E" w:rsidRDefault="00CE7F43">
      <w:pPr>
        <w:pStyle w:val="pheading"/>
      </w:pPr>
      <w:r>
        <w:t>- code de mesurage:</w:t>
      </w:r>
    </w:p>
    <w:p w14:paraId="3D2AF4D8" w14:textId="77777777" w:rsidR="00DF410E" w:rsidRDefault="00CE7F43">
      <w:r>
        <w:t>longueur nette à exécuter, y compris les pièces spéciales</w:t>
      </w:r>
    </w:p>
    <w:p w14:paraId="33FFCC20" w14:textId="77777777" w:rsidR="00DF410E" w:rsidRDefault="00CE7F43">
      <w:pPr>
        <w:pStyle w:val="pheading"/>
      </w:pPr>
      <w:r>
        <w:t>- nature du marché:</w:t>
      </w:r>
    </w:p>
    <w:p w14:paraId="7746BBC4" w14:textId="77777777" w:rsidR="00DF410E" w:rsidRDefault="00CE7F43">
      <w:r>
        <w:rPr>
          <w:rStyle w:val="optioncarChar"/>
        </w:rPr>
        <w:t>QF</w:t>
      </w:r>
      <w:r>
        <w:t xml:space="preserve"> (par défaut)</w:t>
      </w:r>
      <w:r>
        <w:rPr>
          <w:rStyle w:val="optioncarChar"/>
        </w:rPr>
        <w:t xml:space="preserve"> / QP</w:t>
      </w:r>
    </w:p>
    <w:p w14:paraId="6F9E4DBA" w14:textId="77777777" w:rsidR="00DF410E" w:rsidRDefault="00CE7F43">
      <w:pPr>
        <w:pStyle w:val="Author-eSectionHeading5"/>
      </w:pPr>
      <w:bookmarkStart w:id="334" w:name="_Toc178837556"/>
      <w:r>
        <w:t>21.36.6 Couvertures de cheminées CCTB 01.04</w:t>
      </w:r>
      <w:bookmarkEnd w:id="334"/>
    </w:p>
    <w:p w14:paraId="2718DEC5" w14:textId="77777777" w:rsidR="00DF410E" w:rsidRDefault="00CE7F43">
      <w:pPr>
        <w:pStyle w:val="pheading"/>
      </w:pPr>
      <w:bookmarkStart w:id="335" w:name="688"/>
      <w:bookmarkEnd w:id="335"/>
      <w:r>
        <w:t>DESCRIPTION</w:t>
      </w:r>
    </w:p>
    <w:p w14:paraId="0026EB56" w14:textId="77777777" w:rsidR="00DF410E" w:rsidRDefault="00CE7F43">
      <w:pPr>
        <w:pStyle w:val="pheading"/>
      </w:pPr>
      <w:r>
        <w:t>- Définition / Comprend</w:t>
      </w:r>
    </w:p>
    <w:p w14:paraId="701EE575" w14:textId="77777777" w:rsidR="00DF410E" w:rsidRDefault="00CE7F43">
      <w:r>
        <w:t xml:space="preserve">Il s'agit de la fourniture et de la pose des pierres de couverture appropriées en vue d'une finition soignée et résistante aux influences atmosphériques pour les couronnements de cheminée. A défaut de dispositions spécifiques dans le métré récapitulatif, les éléments décoratifs correspondants et/ou les extracteurs, prévus sous l'article </w:t>
      </w:r>
      <w:hyperlink w:anchor="414" w:history="1">
        <w:r>
          <w:t>27.32.1 Régulateurs de tirage</w:t>
        </w:r>
      </w:hyperlink>
      <w:r>
        <w:t>, sont compris dans le prix unitaire.</w:t>
      </w:r>
    </w:p>
    <w:p w14:paraId="6C55A194" w14:textId="77777777" w:rsidR="00DF410E" w:rsidRDefault="00CE7F43">
      <w:pPr>
        <w:pStyle w:val="Author-eSectionHeading6"/>
      </w:pPr>
      <w:bookmarkStart w:id="336" w:name="_Toc178837557"/>
      <w:r>
        <w:t>21.36.6a Couvertures de cheminées en pierre CCTB 01.04</w:t>
      </w:r>
      <w:bookmarkEnd w:id="336"/>
    </w:p>
    <w:p w14:paraId="2C249E88" w14:textId="77777777" w:rsidR="00DF410E" w:rsidRDefault="00CE7F43">
      <w:pPr>
        <w:pStyle w:val="Author-eSectionHeading6"/>
      </w:pPr>
      <w:bookmarkStart w:id="337" w:name="834"/>
      <w:bookmarkStart w:id="338" w:name="_Toc178837558"/>
      <w:bookmarkEnd w:id="337"/>
      <w:r>
        <w:t>21.36.6b Couvertures de cheminées en béton CCTB 01.11</w:t>
      </w:r>
      <w:bookmarkEnd w:id="338"/>
    </w:p>
    <w:p w14:paraId="13E29350" w14:textId="77777777" w:rsidR="00DF410E" w:rsidRDefault="00CE7F43">
      <w:pPr>
        <w:pStyle w:val="pheading"/>
      </w:pPr>
      <w:bookmarkStart w:id="339" w:name="835"/>
      <w:bookmarkEnd w:id="339"/>
      <w:r>
        <w:t>MATÉRIAUX</w:t>
      </w:r>
    </w:p>
    <w:p w14:paraId="763A179C" w14:textId="77777777" w:rsidR="00DF410E" w:rsidRDefault="00CE7F43">
      <w:pPr>
        <w:pStyle w:val="pheading"/>
      </w:pPr>
      <w:r>
        <w:t>- Caractéristiques générales</w:t>
      </w:r>
    </w:p>
    <w:p w14:paraId="2DA8BAAD" w14:textId="77777777" w:rsidR="00DF410E" w:rsidRDefault="00CE7F43">
      <w:r>
        <w:t xml:space="preserve">Il s'agit des couvertures de cheminée en béton armé </w:t>
      </w:r>
      <w:r>
        <w:rPr>
          <w:rStyle w:val="optioncarChar"/>
        </w:rPr>
        <w:t>coulé en place / préfabriqué</w:t>
      </w:r>
      <w:r>
        <w:t xml:space="preserve"> (par défaut) </w:t>
      </w:r>
      <w:r>
        <w:rPr>
          <w:rStyle w:val="optioncarChar"/>
        </w:rPr>
        <w:t>/ ***</w:t>
      </w:r>
      <w:r>
        <w:t xml:space="preserve"> selon les prescriptions du chapitre  </w:t>
      </w:r>
      <w:hyperlink w:anchor="87" w:history="1">
        <w:r>
          <w:t>22 Superstructures en béton</w:t>
        </w:r>
      </w:hyperlink>
    </w:p>
    <w:p w14:paraId="3D0E5431" w14:textId="77777777" w:rsidR="00DF410E" w:rsidRDefault="00CE7F43">
      <w:r>
        <w:rPr>
          <w:b/>
          <w:u w:val="single"/>
        </w:rPr>
        <w:t>Spécifications</w:t>
      </w:r>
    </w:p>
    <w:p w14:paraId="69C0B15E" w14:textId="77777777" w:rsidR="00DF410E" w:rsidRDefault="00CE7F43">
      <w:r>
        <w:t>Qualité du béton selon la [NBN B 15-001] :</w:t>
      </w:r>
    </w:p>
    <w:p w14:paraId="20614DA0" w14:textId="77777777" w:rsidR="00DF410E" w:rsidRDefault="00CE7F43">
      <w:r>
        <w:t>Classe de résistance à la compression : </w:t>
      </w:r>
      <w:r>
        <w:rPr>
          <w:rStyle w:val="optioncarChar"/>
        </w:rPr>
        <w:t>C30/37 // C35/45 // C45/55 // C50/60 // C55/67 // C60/75 // C70/85 // C80/95 // C90/105 /// ***</w:t>
      </w:r>
    </w:p>
    <w:p w14:paraId="4FEBAADF" w14:textId="77777777" w:rsidR="00DF410E" w:rsidRDefault="00CE7F43">
      <w:r>
        <w:t>Classe d’environnement : </w:t>
      </w:r>
      <w:r>
        <w:rPr>
          <w:rStyle w:val="optioncarChar"/>
        </w:rPr>
        <w:t>EE3 / ES1 / ES2</w:t>
      </w:r>
    </w:p>
    <w:p w14:paraId="1F070C3F" w14:textId="77777777" w:rsidR="00DF410E" w:rsidRDefault="00CE7F43">
      <w:r>
        <w:t xml:space="preserve">Armatures : </w:t>
      </w:r>
      <w:r>
        <w:rPr>
          <w:rStyle w:val="optioncarChar"/>
        </w:rPr>
        <w:t>barres / treillis d'armatures BE 500 S ou DE 500 BS, 150 x 150 x 5 x 5 mm</w:t>
      </w:r>
    </w:p>
    <w:p w14:paraId="6C6DA18E" w14:textId="77777777" w:rsidR="00DF410E" w:rsidRDefault="00CE7F43">
      <w:r>
        <w:t xml:space="preserve">Forme : </w:t>
      </w:r>
      <w:r>
        <w:rPr>
          <w:rStyle w:val="optioncarChar"/>
        </w:rPr>
        <w:t xml:space="preserve">profilée conformément aux dessins de détail </w:t>
      </w:r>
      <w:r>
        <w:t>(par défaut) </w:t>
      </w:r>
      <w:r>
        <w:rPr>
          <w:rStyle w:val="optioncarChar"/>
        </w:rPr>
        <w:t>/ ***</w:t>
      </w:r>
    </w:p>
    <w:p w14:paraId="44DBA82A" w14:textId="77777777" w:rsidR="00DF410E" w:rsidRDefault="00CE7F43">
      <w:r>
        <w:t>Épaisseur : avec un léger ravalement en pente d'au moins 5%.</w:t>
      </w:r>
    </w:p>
    <w:p w14:paraId="39CF3C88" w14:textId="77777777" w:rsidR="00DF410E" w:rsidRDefault="00CE7F43">
      <w:r>
        <w:t xml:space="preserve">du côté le plus haut : minimum </w:t>
      </w:r>
      <w:r>
        <w:rPr>
          <w:rStyle w:val="optioncarChar"/>
        </w:rPr>
        <w:t>10 </w:t>
      </w:r>
      <w:r>
        <w:t>(par défaut)</w:t>
      </w:r>
      <w:r>
        <w:rPr>
          <w:rStyle w:val="optioncarChar"/>
        </w:rPr>
        <w:t xml:space="preserve"> / ***</w:t>
      </w:r>
      <w:r>
        <w:t xml:space="preserve"> cm</w:t>
      </w:r>
    </w:p>
    <w:p w14:paraId="5E520F1C" w14:textId="77777777" w:rsidR="00DF410E" w:rsidRDefault="00CE7F43">
      <w:r>
        <w:t xml:space="preserve">à l'extérieur : </w:t>
      </w:r>
      <w:r>
        <w:rPr>
          <w:rStyle w:val="optioncarChar"/>
        </w:rPr>
        <w:t xml:space="preserve">8 </w:t>
      </w:r>
      <w:r>
        <w:t>(par défaut) </w:t>
      </w:r>
      <w:r>
        <w:rPr>
          <w:rStyle w:val="optioncarChar"/>
        </w:rPr>
        <w:t>/ ***</w:t>
      </w:r>
      <w:r>
        <w:t xml:space="preserve"> cm</w:t>
      </w:r>
    </w:p>
    <w:p w14:paraId="0D1A9FFC" w14:textId="77777777" w:rsidR="00DF410E" w:rsidRDefault="00CE7F43">
      <w:r>
        <w:t xml:space="preserve">Dimensions (Lxl) : </w:t>
      </w:r>
      <w:r>
        <w:rPr>
          <w:rStyle w:val="optioncarChar"/>
        </w:rPr>
        <w:t>adaptées aux dimensions du couronnement de cheminée / conformément aux dessins détaillés</w:t>
      </w:r>
      <w:r>
        <w:t> </w:t>
      </w:r>
    </w:p>
    <w:p w14:paraId="51782EDC" w14:textId="77777777" w:rsidR="00DF410E" w:rsidRDefault="00CE7F43">
      <w:pPr>
        <w:pStyle w:val="pheading"/>
      </w:pPr>
      <w:r>
        <w:t>- Finitions</w:t>
      </w:r>
    </w:p>
    <w:p w14:paraId="0AAA7D20" w14:textId="77777777" w:rsidR="00DF410E" w:rsidRDefault="00CE7F43">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w:t>
      </w:r>
    </w:p>
    <w:p w14:paraId="498EE7E0" w14:textId="77777777" w:rsidR="00DF410E" w:rsidRDefault="00CE7F43">
      <w:r>
        <w:t xml:space="preserve">Couleur : </w:t>
      </w:r>
      <w:r>
        <w:rPr>
          <w:rStyle w:val="optioncarChar"/>
        </w:rPr>
        <w:t>gris-blanc </w:t>
      </w:r>
      <w:r>
        <w:t>(par défaut)</w:t>
      </w:r>
      <w:r>
        <w:rPr>
          <w:rStyle w:val="optioncarChar"/>
        </w:rPr>
        <w:t xml:space="preserve"> / gris / ***</w:t>
      </w:r>
    </w:p>
    <w:p w14:paraId="0A625F82" w14:textId="77777777" w:rsidR="00DF410E" w:rsidRDefault="00CE7F43">
      <w:pPr>
        <w:pStyle w:val="pheading"/>
      </w:pPr>
      <w:r>
        <w:t>EXÉCUTION / MISE EN ŒUVRE</w:t>
      </w:r>
    </w:p>
    <w:p w14:paraId="7AF6BD9D" w14:textId="77777777" w:rsidR="00DF410E" w:rsidRDefault="00CE7F43">
      <w:pPr>
        <w:pStyle w:val="pheading"/>
      </w:pPr>
      <w:r>
        <w:t>- Prescriptions générales</w:t>
      </w:r>
    </w:p>
    <w:p w14:paraId="66D5237F" w14:textId="77777777" w:rsidR="00DF410E" w:rsidRDefault="00CE7F43">
      <w:r>
        <w:t>La plaque de couverture est coulée dans un coffrage métallique ou constituée de panneaux de coffrage spéciaux en multiplex. </w:t>
      </w:r>
    </w:p>
    <w:p w14:paraId="19BFBBE5" w14:textId="77777777" w:rsidR="00DF410E" w:rsidRDefault="00CE7F43">
      <w:r>
        <w:t xml:space="preserve">Le couronnement de cheminée est conçu: </w:t>
      </w:r>
      <w:r>
        <w:rPr>
          <w:rStyle w:val="optioncarChar"/>
          <w:color w:val="auto"/>
        </w:rPr>
        <w:t>OPTION1 / OPTION 2</w:t>
      </w:r>
    </w:p>
    <w:p w14:paraId="6B980439" w14:textId="77777777" w:rsidR="00DF410E" w:rsidRDefault="00CE7F43">
      <w:r>
        <w:rPr>
          <w:b/>
        </w:rPr>
        <w:t>*** OPTION 1 :</w:t>
      </w:r>
      <w:r>
        <w:t xml:space="preserve"> avec des ouvertures latérales dans la maçonnerie et avec une plaque de couverture complète.</w:t>
      </w:r>
    </w:p>
    <w:p w14:paraId="41E6FC36" w14:textId="77777777" w:rsidR="00DF410E" w:rsidRDefault="00CE7F43">
      <w:r>
        <w:rPr>
          <w:b/>
        </w:rPr>
        <w:t>*** OPTION 2:</w:t>
      </w:r>
      <w:r>
        <w:t xml:space="preserve"> avec une plaque de couverture dans laquelle des ouvertures appropriées sont ménagées, du diamètre des conduits, pour la fixation des éléments du régulateur de tirage selon le sous-titre </w:t>
      </w:r>
      <w:hyperlink w:anchor="413" w:history="1">
        <w:r>
          <w:t>27.32 Régulateurs de tirage</w:t>
        </w:r>
      </w:hyperlink>
      <w:r>
        <w:t>. Autour de chaque réservation, le béton présente un léger rebord d'environ 1 cm.</w:t>
      </w:r>
    </w:p>
    <w:p w14:paraId="5566870C" w14:textId="77777777" w:rsidR="00DF410E" w:rsidRDefault="00CE7F43">
      <w:r>
        <w:t xml:space="preserve">Le bord de la dalle de couverture: </w:t>
      </w:r>
      <w:r>
        <w:rPr>
          <w:rStyle w:val="optioncarChar"/>
        </w:rPr>
        <w:t>OPTION 1 / OPTION 2</w:t>
      </w:r>
    </w:p>
    <w:p w14:paraId="5957B29F" w14:textId="77777777" w:rsidR="00DF410E" w:rsidRDefault="00CE7F43">
      <w:r>
        <w:rPr>
          <w:b/>
        </w:rPr>
        <w:t>*** OPTION 1:</w:t>
      </w:r>
      <w:r>
        <w:t xml:space="preserve"> déborde de 5 cm par apport à la face de parement et est pourvu d'un rejet d'eau à sa partie inférieure.</w:t>
      </w:r>
    </w:p>
    <w:p w14:paraId="146C60BF" w14:textId="77777777" w:rsidR="00DF410E" w:rsidRDefault="00CE7F43">
      <w:r>
        <w:rPr>
          <w:b/>
        </w:rPr>
        <w:t>*** OPTION 2:</w:t>
      </w:r>
      <w:r>
        <w:t xml:space="preserve"> vient au niveau de la face de parement et est pourvu </w:t>
      </w:r>
      <w:r>
        <w:rPr>
          <w:rStyle w:val="optioncarChar"/>
        </w:rPr>
        <w:t>d'un bourrelet en zinc / bourrelet en cuivre (épaisseur 0,8 mm)</w:t>
      </w:r>
      <w:r>
        <w:t xml:space="preserve"> avec un rebord qui est placé entre le parement et le béton.</w:t>
      </w:r>
    </w:p>
    <w:p w14:paraId="1CC830D8" w14:textId="77777777" w:rsidR="00DF410E" w:rsidRDefault="00CE7F43">
      <w:r>
        <w:t>Les dalles de couverture sont posées à plein bain de mortier (épaisseur environ 15 mm) de consistance souple obtenue par adjonction d'une émulsion synthétique hydrofuge.</w:t>
      </w:r>
    </w:p>
    <w:p w14:paraId="47067D73" w14:textId="77777777" w:rsidR="00DF410E" w:rsidRDefault="00CE7F43">
      <w:pPr>
        <w:pStyle w:val="pheading"/>
      </w:pPr>
      <w:r>
        <w:t>- Notes d’exécution complémentaires</w:t>
      </w:r>
    </w:p>
    <w:p w14:paraId="5F077A58" w14:textId="77777777" w:rsidR="00DF410E" w:rsidRDefault="00CE7F43">
      <w:r>
        <w:t xml:space="preserve">Les dalles de couverture sont traitées préalablement avec un produit non filmogène, incolore et hydrofuge, </w:t>
      </w:r>
      <w:r>
        <w:rPr>
          <w:rStyle w:val="optioncarChar"/>
        </w:rPr>
        <w:t xml:space="preserve">à base de silane ou de siloxane </w:t>
      </w:r>
      <w:r>
        <w:t>(par défaut) </w:t>
      </w:r>
      <w:r>
        <w:rPr>
          <w:rStyle w:val="optioncarChar"/>
        </w:rPr>
        <w:t xml:space="preserve">/ *** </w:t>
      </w:r>
      <w:r>
        <w:t>conformément à la [NBN B 15-219] .</w:t>
      </w:r>
    </w:p>
    <w:p w14:paraId="3CED6C71" w14:textId="77777777" w:rsidR="00DF410E" w:rsidRDefault="00CE7F43">
      <w:r>
        <w:t>Il y a lieu de prévoir un joint de dilatation entre le conduit de fumée et la dalle de couverture en béton afin de prévenir les fissurations dans le conduit.</w:t>
      </w:r>
    </w:p>
    <w:p w14:paraId="7B660928" w14:textId="77777777" w:rsidR="00DF410E" w:rsidRDefault="00CE7F43">
      <w:r>
        <w:t xml:space="preserve">Les dalles de couverture sont ancrées dans la maçonnerie de cheminée à l'aide de </w:t>
      </w:r>
      <w:r>
        <w:rPr>
          <w:rStyle w:val="optioncarChar"/>
        </w:rPr>
        <w:t>pattes d'ancrage inoxydables</w:t>
      </w:r>
      <w:r>
        <w:t xml:space="preserve"> (par défaut)</w:t>
      </w:r>
      <w:r>
        <w:rPr>
          <w:rStyle w:val="optioncarChar"/>
        </w:rPr>
        <w:t> / ***</w:t>
      </w:r>
    </w:p>
    <w:p w14:paraId="147A4922" w14:textId="77777777" w:rsidR="00DF410E" w:rsidRDefault="00CE7F43">
      <w:pPr>
        <w:pStyle w:val="pheading"/>
      </w:pPr>
      <w:r>
        <w:t>MESURAGE</w:t>
      </w:r>
    </w:p>
    <w:p w14:paraId="32544BBC" w14:textId="77777777" w:rsidR="00DF410E" w:rsidRDefault="00CE7F43">
      <w:pPr>
        <w:pStyle w:val="pheading"/>
      </w:pPr>
      <w:r>
        <w:t>- unité de mesure:</w:t>
      </w:r>
    </w:p>
    <w:p w14:paraId="66EA2F7B" w14:textId="77777777" w:rsidR="00DF410E" w:rsidRDefault="00CE7F43">
      <w:r>
        <w:t>Pc</w:t>
      </w:r>
      <w:r>
        <w:br/>
      </w:r>
    </w:p>
    <w:p w14:paraId="412C66C3" w14:textId="77777777" w:rsidR="00DF410E" w:rsidRDefault="00CE7F43">
      <w:pPr>
        <w:pStyle w:val="pheading"/>
      </w:pPr>
      <w:r>
        <w:t>- code de mesurage:</w:t>
      </w:r>
    </w:p>
    <w:p w14:paraId="5F6F21F3" w14:textId="77777777" w:rsidR="00DF410E" w:rsidRDefault="00CE7F43">
      <w:r>
        <w:t>quantité nette à exécuter, y compris les pièces spéciales</w:t>
      </w:r>
    </w:p>
    <w:p w14:paraId="457662AF" w14:textId="77777777" w:rsidR="00DF410E" w:rsidRDefault="00CE7F43">
      <w:pPr>
        <w:pStyle w:val="pheading"/>
      </w:pPr>
      <w:r>
        <w:t>- nature du marché:</w:t>
      </w:r>
    </w:p>
    <w:p w14:paraId="69B4B3A1" w14:textId="77777777" w:rsidR="00DF410E" w:rsidRDefault="00CE7F43">
      <w:r>
        <w:rPr>
          <w:rStyle w:val="optioncarChar"/>
        </w:rPr>
        <w:t>QF</w:t>
      </w:r>
      <w:r>
        <w:t xml:space="preserve"> (par défaut)</w:t>
      </w:r>
      <w:r>
        <w:rPr>
          <w:rStyle w:val="optioncarChar"/>
        </w:rPr>
        <w:t xml:space="preserve"> / QP</w:t>
      </w:r>
    </w:p>
    <w:p w14:paraId="545C2272" w14:textId="77777777" w:rsidR="00DF410E" w:rsidRDefault="00CE7F43">
      <w:pPr>
        <w:pStyle w:val="Author-eSectionHeading6"/>
      </w:pPr>
      <w:bookmarkStart w:id="340" w:name="_Toc178837559"/>
      <w:r>
        <w:t>21.36.6c Couvertures de cheminées en béton décoratif / architectonique CCTB 01.11</w:t>
      </w:r>
      <w:bookmarkEnd w:id="340"/>
    </w:p>
    <w:p w14:paraId="6DA24C06" w14:textId="77777777" w:rsidR="00DF410E" w:rsidRDefault="00CE7F43">
      <w:pPr>
        <w:pStyle w:val="pheading"/>
      </w:pPr>
      <w:r>
        <w:t>MATÉRIAUX</w:t>
      </w:r>
    </w:p>
    <w:p w14:paraId="064B6F81" w14:textId="77777777" w:rsidR="00DF410E" w:rsidRDefault="00CE7F43">
      <w:pPr>
        <w:pStyle w:val="pheading"/>
      </w:pPr>
      <w:r>
        <w:t>- Caractéristiques générales</w:t>
      </w:r>
    </w:p>
    <w:p w14:paraId="17015BF1" w14:textId="77777777" w:rsidR="00DF410E" w:rsidRDefault="00CE7F43">
      <w:r>
        <w:t>Il s'agit des couvertures de cheminée préfabriquées en béton armé </w:t>
      </w:r>
      <w:r>
        <w:rPr>
          <w:rStyle w:val="optioncarChar"/>
        </w:rPr>
        <w:t>coulé en place / préfabriqué</w:t>
      </w:r>
      <w:r>
        <w:t xml:space="preserve"> (par défaut) </w:t>
      </w:r>
      <w:r>
        <w:rPr>
          <w:rStyle w:val="optioncarChar"/>
        </w:rPr>
        <w:t>/ ***</w:t>
      </w:r>
      <w:r>
        <w:t xml:space="preserve"> selon les prescriptions du chapitre  </w:t>
      </w:r>
      <w:hyperlink w:anchor="87" w:history="1">
        <w:r>
          <w:t>22 Superstructures en béton</w:t>
        </w:r>
      </w:hyperlink>
      <w:r>
        <w:t>.</w:t>
      </w:r>
    </w:p>
    <w:p w14:paraId="2A30E93F" w14:textId="77777777" w:rsidR="00DF410E" w:rsidRDefault="00CE7F43">
      <w:r>
        <w:rPr>
          <w:b/>
          <w:u w:val="single"/>
        </w:rPr>
        <w:t>Spécifications</w:t>
      </w:r>
    </w:p>
    <w:p w14:paraId="3170CE4F" w14:textId="77777777" w:rsidR="00DF410E" w:rsidRDefault="00CE7F43">
      <w:r>
        <w:t>Qualité du béton selon la [NBN B 15-001] :</w:t>
      </w:r>
    </w:p>
    <w:p w14:paraId="4FA77DEC" w14:textId="77777777" w:rsidR="00DF410E" w:rsidRDefault="00CE7F43">
      <w:r>
        <w:t xml:space="preserve">Classe de résistance à la compression : </w:t>
      </w:r>
      <w:r>
        <w:rPr>
          <w:rStyle w:val="optioncarChar"/>
        </w:rPr>
        <w:t>C30/37 // C35/45 // C45/55 // C50/60 // C55/67 // C60/75 // C70/85 // C80/95 // C90/105 /// ***</w:t>
      </w:r>
      <w:r>
        <w:br/>
        <w:t xml:space="preserve">Classe d’environnement : </w:t>
      </w:r>
      <w:r>
        <w:rPr>
          <w:rStyle w:val="optioncarChar"/>
        </w:rPr>
        <w:t>EE3 / ES1 / ES2</w:t>
      </w:r>
    </w:p>
    <w:p w14:paraId="67969CAD" w14:textId="77777777" w:rsidR="00DF410E" w:rsidRDefault="00CE7F43">
      <w:r>
        <w:t xml:space="preserve">Armatures : </w:t>
      </w:r>
      <w:r>
        <w:rPr>
          <w:rStyle w:val="optioncarChar"/>
        </w:rPr>
        <w:t>barres / treillis d'armatures BE 500 S ou DE 500 BS, 150 x 150 x 5 x 5 mm</w:t>
      </w:r>
    </w:p>
    <w:p w14:paraId="18057FCD" w14:textId="77777777" w:rsidR="00DF410E" w:rsidRDefault="00CE7F43">
      <w:r>
        <w:t xml:space="preserve">Forme : </w:t>
      </w:r>
      <w:r>
        <w:rPr>
          <w:rStyle w:val="optioncarChar"/>
        </w:rPr>
        <w:t>profilée conformément aux dessins de détail</w:t>
      </w:r>
      <w:r>
        <w:t xml:space="preserve"> (par défaut)</w:t>
      </w:r>
      <w:r>
        <w:rPr>
          <w:rStyle w:val="optioncarChar"/>
        </w:rPr>
        <w:t> / ***</w:t>
      </w:r>
    </w:p>
    <w:p w14:paraId="2604A4FB" w14:textId="77777777" w:rsidR="00DF410E" w:rsidRDefault="00CE7F43">
      <w:r>
        <w:t>Épaisseur : avec un léger ravalement en pente d'au moins 5%.</w:t>
      </w:r>
    </w:p>
    <w:p w14:paraId="1B39EBEE" w14:textId="77777777" w:rsidR="00DF410E" w:rsidRDefault="00CE7F43">
      <w:r>
        <w:t xml:space="preserve">du côté le plus haut : minimum </w:t>
      </w:r>
      <w:r>
        <w:rPr>
          <w:rStyle w:val="optioncarChar"/>
        </w:rPr>
        <w:t xml:space="preserve">10 </w:t>
      </w:r>
      <w:r>
        <w:t>(par défaut) </w:t>
      </w:r>
      <w:r>
        <w:rPr>
          <w:rStyle w:val="optioncarChar"/>
        </w:rPr>
        <w:t>/ ***</w:t>
      </w:r>
      <w:r>
        <w:t xml:space="preserve"> cm</w:t>
      </w:r>
    </w:p>
    <w:p w14:paraId="181CCC86" w14:textId="77777777" w:rsidR="00DF410E" w:rsidRDefault="00CE7F43">
      <w:r>
        <w:t xml:space="preserve">à l'extérieur : </w:t>
      </w:r>
      <w:r>
        <w:rPr>
          <w:rStyle w:val="optioncarChar"/>
        </w:rPr>
        <w:t>8 </w:t>
      </w:r>
      <w:r>
        <w:t>(par défaut)</w:t>
      </w:r>
      <w:r>
        <w:rPr>
          <w:rStyle w:val="optioncarChar"/>
        </w:rPr>
        <w:t xml:space="preserve"> / ***</w:t>
      </w:r>
      <w:r>
        <w:t xml:space="preserve"> cm</w:t>
      </w:r>
    </w:p>
    <w:p w14:paraId="23DEF9F6" w14:textId="77777777" w:rsidR="00DF410E" w:rsidRDefault="00CE7F43">
      <w:r>
        <w:t xml:space="preserve">Dimensions (Lxl) : </w:t>
      </w:r>
      <w:r>
        <w:rPr>
          <w:rStyle w:val="optioncarChar"/>
        </w:rPr>
        <w:t>adaptées aux dimensions du couronnement de cheminée / conformément aux dessins détaillés</w:t>
      </w:r>
      <w:r>
        <w:t> </w:t>
      </w:r>
    </w:p>
    <w:p w14:paraId="3C281E92" w14:textId="77777777" w:rsidR="00DF410E" w:rsidRDefault="00CE7F43">
      <w:pPr>
        <w:pStyle w:val="pheading"/>
      </w:pPr>
      <w:r>
        <w:t>- Finitions</w:t>
      </w:r>
    </w:p>
    <w:p w14:paraId="6A299676" w14:textId="77777777" w:rsidR="00DF410E" w:rsidRDefault="00CE7F43">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w:t>
      </w:r>
    </w:p>
    <w:p w14:paraId="587E1B63" w14:textId="77777777" w:rsidR="00DF410E" w:rsidRDefault="00CE7F43">
      <w:r>
        <w:t xml:space="preserve">Couleur : </w:t>
      </w:r>
      <w:r>
        <w:rPr>
          <w:rStyle w:val="optioncarChar"/>
        </w:rPr>
        <w:t xml:space="preserve">gris-blanc </w:t>
      </w:r>
      <w:r>
        <w:t>(par défaut) </w:t>
      </w:r>
      <w:r>
        <w:rPr>
          <w:rStyle w:val="optioncarChar"/>
        </w:rPr>
        <w:t>/ gris / ***</w:t>
      </w:r>
    </w:p>
    <w:p w14:paraId="78ED7BBB" w14:textId="77777777" w:rsidR="00DF410E" w:rsidRDefault="00CE7F43">
      <w:pPr>
        <w:pStyle w:val="pheading"/>
      </w:pPr>
      <w:r>
        <w:t>EXÉCUTION / MISE EN ŒUVRE</w:t>
      </w:r>
    </w:p>
    <w:p w14:paraId="49B09BCF" w14:textId="77777777" w:rsidR="00DF410E" w:rsidRDefault="00CE7F43">
      <w:pPr>
        <w:pStyle w:val="pheading"/>
      </w:pPr>
      <w:r>
        <w:t>- Prescriptions générales</w:t>
      </w:r>
    </w:p>
    <w:p w14:paraId="17563D2D" w14:textId="77777777" w:rsidR="00DF410E" w:rsidRDefault="00CE7F43">
      <w:r>
        <w:t>La plaque de couverture est coulée dans un coffrage métallique ou constituée de panneaux de coffrage spéciaux en multiplex. </w:t>
      </w:r>
    </w:p>
    <w:p w14:paraId="6275AD2E" w14:textId="77777777" w:rsidR="00DF410E" w:rsidRDefault="00CE7F43">
      <w:r>
        <w:t xml:space="preserve">Le couronnement de cheminée est conçu: </w:t>
      </w:r>
      <w:r>
        <w:rPr>
          <w:rStyle w:val="optioncarChar"/>
          <w:color w:val="auto"/>
        </w:rPr>
        <w:t>OPTION1 / OPTION 2</w:t>
      </w:r>
    </w:p>
    <w:p w14:paraId="5781A2A3" w14:textId="77777777" w:rsidR="00DF410E" w:rsidRDefault="00CE7F43">
      <w:r>
        <w:rPr>
          <w:b/>
        </w:rPr>
        <w:t>*** OPTION 1 :</w:t>
      </w:r>
      <w:r>
        <w:t xml:space="preserve"> avec des ouvertures latérales dans la maçonnerie et avec une plaque de couverture complète.</w:t>
      </w:r>
    </w:p>
    <w:p w14:paraId="23493AC2" w14:textId="77777777" w:rsidR="00DF410E" w:rsidRDefault="00CE7F43">
      <w:r>
        <w:rPr>
          <w:b/>
        </w:rPr>
        <w:t>*** OPTION 2:</w:t>
      </w:r>
      <w:r>
        <w:t xml:space="preserve"> avec une plaque de couverture dans laquelle des ouvertures appropriées sont ménagées, du diamètre des conduits, pour la fixation des éléments du régulateur de tirage selon le sous-titre </w:t>
      </w:r>
      <w:hyperlink w:anchor="413" w:history="1">
        <w:r>
          <w:t>27.32 Régulateurs de tirage</w:t>
        </w:r>
      </w:hyperlink>
      <w:r>
        <w:t>. Autour de chaque réservation, le béton présente un léger rebord d'environ 1 cm.</w:t>
      </w:r>
    </w:p>
    <w:p w14:paraId="4B5FDB66" w14:textId="77777777" w:rsidR="00DF410E" w:rsidRDefault="00CE7F43">
      <w:r>
        <w:t xml:space="preserve">Le bord de la dalle de couverture: </w:t>
      </w:r>
      <w:r>
        <w:rPr>
          <w:rStyle w:val="optioncarChar"/>
        </w:rPr>
        <w:t>OPTION 1 / OPTION 2</w:t>
      </w:r>
    </w:p>
    <w:p w14:paraId="3770B75D" w14:textId="77777777" w:rsidR="00DF410E" w:rsidRDefault="00CE7F43">
      <w:r>
        <w:rPr>
          <w:b/>
        </w:rPr>
        <w:t>*** OPTION 1:</w:t>
      </w:r>
      <w:r>
        <w:t xml:space="preserve"> déborde de 5 cm par apport à la face de parement et est pourvu d'un rejet d'eau à sa partie inférieure.</w:t>
      </w:r>
    </w:p>
    <w:p w14:paraId="7A37466B" w14:textId="77777777" w:rsidR="00DF410E" w:rsidRDefault="00CE7F43">
      <w:r>
        <w:rPr>
          <w:b/>
        </w:rPr>
        <w:t>*** OPTION 2:</w:t>
      </w:r>
      <w:r>
        <w:t xml:space="preserve"> vient au niveau de la face de parement et est pourvu </w:t>
      </w:r>
      <w:r>
        <w:rPr>
          <w:rStyle w:val="optioncarChar"/>
        </w:rPr>
        <w:t>d'un bourrelet en zinc / bourrelet en cuivre (épaisseur 0,8 mm)</w:t>
      </w:r>
      <w:r>
        <w:t xml:space="preserve"> avec un rebord qui sera placé entre le parement et le béton.</w:t>
      </w:r>
    </w:p>
    <w:p w14:paraId="35957CB2" w14:textId="77777777" w:rsidR="00DF410E" w:rsidRDefault="00CE7F43">
      <w:r>
        <w:t>Les dalles de couverture sont posées à plein bain de mortier (épaisseur environ 15 mm) de consistance souple obtenue par adjonction d'une émulsion synthétique hydrofuge.</w:t>
      </w:r>
    </w:p>
    <w:p w14:paraId="42DD7C06" w14:textId="77777777" w:rsidR="00DF410E" w:rsidRDefault="00CE7F43">
      <w:pPr>
        <w:pStyle w:val="pheading"/>
      </w:pPr>
      <w:r>
        <w:t>- Notes d’exécution complémentaires</w:t>
      </w:r>
    </w:p>
    <w:p w14:paraId="45EBD755" w14:textId="77777777" w:rsidR="00DF410E" w:rsidRDefault="00CE7F43">
      <w:r>
        <w:t xml:space="preserve">Les dalles de couverture sont traitées préalablement avec un produit non filmogène, incolore et hydrofuge, </w:t>
      </w:r>
      <w:r>
        <w:rPr>
          <w:rStyle w:val="optioncarChar"/>
        </w:rPr>
        <w:t>à base de silane ou de siloxane </w:t>
      </w:r>
      <w:r>
        <w:t>(par défaut)</w:t>
      </w:r>
      <w:r>
        <w:rPr>
          <w:rStyle w:val="optioncarChar"/>
        </w:rPr>
        <w:t xml:space="preserve"> / *** </w:t>
      </w:r>
      <w:r>
        <w:t>conformément à la [NBN B 15-219] .</w:t>
      </w:r>
    </w:p>
    <w:p w14:paraId="03B0B9F7" w14:textId="77777777" w:rsidR="00DF410E" w:rsidRDefault="00CE7F43">
      <w:r>
        <w:t>Il y a lieu de prévoir un joint de dilatation entre le conduit de fumée et la dalle de couverture en béton afin de prévenir les fissurations dans le conduit.</w:t>
      </w:r>
    </w:p>
    <w:p w14:paraId="2DDAE34B" w14:textId="77777777" w:rsidR="00DF410E" w:rsidRDefault="00CE7F43">
      <w:r>
        <w:t xml:space="preserve">Les dalles de couverture sont ancrées dans la maçonnerie de cheminée à l'aide de </w:t>
      </w:r>
      <w:r>
        <w:rPr>
          <w:rStyle w:val="optioncarChar"/>
        </w:rPr>
        <w:t>pattes d'ancrage inoxydables </w:t>
      </w:r>
      <w:r>
        <w:t xml:space="preserve">(par défaut) </w:t>
      </w:r>
      <w:r>
        <w:rPr>
          <w:rStyle w:val="optioncarChar"/>
        </w:rPr>
        <w:t>/ ***</w:t>
      </w:r>
    </w:p>
    <w:p w14:paraId="414E6E51" w14:textId="77777777" w:rsidR="00DF410E" w:rsidRDefault="00CE7F43">
      <w:pPr>
        <w:pStyle w:val="pheading"/>
      </w:pPr>
      <w:r>
        <w:t>MESURAGE</w:t>
      </w:r>
    </w:p>
    <w:p w14:paraId="78EAEA7F" w14:textId="77777777" w:rsidR="00DF410E" w:rsidRDefault="00CE7F43">
      <w:pPr>
        <w:pStyle w:val="pheading"/>
      </w:pPr>
      <w:r>
        <w:t>- unité de mesure:</w:t>
      </w:r>
    </w:p>
    <w:p w14:paraId="6732F881" w14:textId="77777777" w:rsidR="00DF410E" w:rsidRDefault="00CE7F43">
      <w:r>
        <w:t>Pc</w:t>
      </w:r>
      <w:r>
        <w:br/>
      </w:r>
    </w:p>
    <w:p w14:paraId="29745C22" w14:textId="77777777" w:rsidR="00DF410E" w:rsidRDefault="00CE7F43">
      <w:pPr>
        <w:pStyle w:val="pheading"/>
      </w:pPr>
      <w:r>
        <w:t>- code de mesurage:</w:t>
      </w:r>
    </w:p>
    <w:p w14:paraId="6FFF5413" w14:textId="77777777" w:rsidR="00DF410E" w:rsidRDefault="00CE7F43">
      <w:r>
        <w:t>quantité nette à exécuter, y compris les pièces spéciales</w:t>
      </w:r>
    </w:p>
    <w:p w14:paraId="314940EF" w14:textId="77777777" w:rsidR="00DF410E" w:rsidRDefault="00CE7F43">
      <w:pPr>
        <w:pStyle w:val="pheading"/>
      </w:pPr>
      <w:r>
        <w:t>- nature du marché:</w:t>
      </w:r>
    </w:p>
    <w:p w14:paraId="624CD72E" w14:textId="77777777" w:rsidR="00DF410E" w:rsidRDefault="00CE7F43">
      <w:r>
        <w:rPr>
          <w:rStyle w:val="optioncarChar"/>
        </w:rPr>
        <w:t>QF</w:t>
      </w:r>
      <w:r>
        <w:t xml:space="preserve"> (par défaut)</w:t>
      </w:r>
      <w:r>
        <w:rPr>
          <w:rStyle w:val="optioncarChar"/>
        </w:rPr>
        <w:t xml:space="preserve"> / QP</w:t>
      </w:r>
    </w:p>
    <w:p w14:paraId="38E7EF0E" w14:textId="77777777" w:rsidR="00DF410E" w:rsidRDefault="00CE7F43">
      <w:pPr>
        <w:pStyle w:val="Author-eSectionHeading6"/>
      </w:pPr>
      <w:bookmarkStart w:id="341" w:name="_Toc178837560"/>
      <w:r>
        <w:t>21.36.6d Couvertures de cheminées en fibres-ciment CCTB 01.04</w:t>
      </w:r>
      <w:bookmarkEnd w:id="341"/>
    </w:p>
    <w:p w14:paraId="34CAC2C7" w14:textId="77777777" w:rsidR="00DF410E" w:rsidRDefault="00CE7F43">
      <w:pPr>
        <w:pStyle w:val="Author-eSectionHeading5"/>
      </w:pPr>
      <w:bookmarkStart w:id="342" w:name="836"/>
      <w:bookmarkStart w:id="343" w:name="_Toc178837561"/>
      <w:bookmarkEnd w:id="342"/>
      <w:r>
        <w:t>21.36.7 Bandeaux CCTB 01.04</w:t>
      </w:r>
      <w:bookmarkEnd w:id="343"/>
    </w:p>
    <w:p w14:paraId="619F2C33" w14:textId="77777777" w:rsidR="00DF410E" w:rsidRDefault="00CE7F43">
      <w:pPr>
        <w:pStyle w:val="Author-eSectionHeading6"/>
      </w:pPr>
      <w:bookmarkStart w:id="344" w:name="_Toc178837562"/>
      <w:r>
        <w:t>21.36.7a Bandeaux en pierre CCTB 01.04</w:t>
      </w:r>
      <w:bookmarkEnd w:id="344"/>
    </w:p>
    <w:p w14:paraId="326F8D8D" w14:textId="77777777" w:rsidR="00DF410E" w:rsidRDefault="00CE7F43">
      <w:pPr>
        <w:pStyle w:val="Author-eSectionHeading6"/>
      </w:pPr>
      <w:bookmarkStart w:id="345" w:name="_Toc178837563"/>
      <w:r>
        <w:t>21.36.7b Bandeaux en éléments préfabriqués en béton décoratif / architectonique CCTB 01.04</w:t>
      </w:r>
      <w:bookmarkEnd w:id="345"/>
    </w:p>
    <w:p w14:paraId="7C9618B6" w14:textId="77777777" w:rsidR="00DF410E" w:rsidRDefault="00CE7F43">
      <w:pPr>
        <w:pStyle w:val="Author-eSectionHeading3"/>
      </w:pPr>
      <w:bookmarkStart w:id="346" w:name="_Toc178837564"/>
      <w:r>
        <w:t>21.4 Eléments particuliers pour maçonneries CCTB 01.02</w:t>
      </w:r>
      <w:bookmarkEnd w:id="346"/>
    </w:p>
    <w:p w14:paraId="253EEAB1" w14:textId="77777777" w:rsidR="00DF410E" w:rsidRDefault="00CE7F43">
      <w:pPr>
        <w:pStyle w:val="Author-eSectionHeading4"/>
      </w:pPr>
      <w:bookmarkStart w:id="347" w:name="364"/>
      <w:bookmarkStart w:id="348" w:name="_Toc178837565"/>
      <w:bookmarkEnd w:id="347"/>
      <w:r>
        <w:t>21.41 Armatures pour maçonneries CCTB 01.02</w:t>
      </w:r>
      <w:bookmarkEnd w:id="348"/>
    </w:p>
    <w:p w14:paraId="79BE436A" w14:textId="77777777" w:rsidR="00DF410E" w:rsidRDefault="00CE7F43">
      <w:pPr>
        <w:pStyle w:val="pheading"/>
      </w:pPr>
      <w:bookmarkStart w:id="349" w:name="417"/>
      <w:bookmarkEnd w:id="349"/>
      <w:r>
        <w:t>DESCRIPTION</w:t>
      </w:r>
    </w:p>
    <w:p w14:paraId="132D45C7" w14:textId="77777777" w:rsidR="00DF410E" w:rsidRDefault="00CE7F43">
      <w:pPr>
        <w:pStyle w:val="pheading"/>
      </w:pPr>
      <w:r>
        <w:t>- Définition / Comprend</w:t>
      </w:r>
    </w:p>
    <w:p w14:paraId="4ADA97F8" w14:textId="77777777" w:rsidR="00DF410E" w:rsidRDefault="00CE7F43">
      <w:r>
        <w:t>Cet article concerne les suppléments de prix lorsqu'un degré de complexité supérieur et/ou des accessoires supplémentaires s'avèrent nécessaires pour l'exécution des ouvrages en maçonnerie d'élévation portante. Ils peuvent être comptés séparément comme suppléments lorsqu'un poste séparé est prévu à cet effet dans le métré récapitulatif.</w:t>
      </w:r>
    </w:p>
    <w:p w14:paraId="3F04D32B" w14:textId="77777777" w:rsidR="00DF410E" w:rsidRDefault="00CE7F43">
      <w:pPr>
        <w:pStyle w:val="Author-eSectionHeading5"/>
      </w:pPr>
      <w:bookmarkStart w:id="350" w:name="_Toc178837566"/>
      <w:r>
        <w:t>21.41.1 Armatures horizontales pour maçonneries CCTB 01.11</w:t>
      </w:r>
      <w:bookmarkEnd w:id="350"/>
    </w:p>
    <w:p w14:paraId="3725FCCD" w14:textId="77777777" w:rsidR="00DF410E" w:rsidRDefault="00CE7F43">
      <w:pPr>
        <w:pStyle w:val="pheading"/>
      </w:pPr>
      <w:bookmarkStart w:id="351" w:name="355"/>
      <w:bookmarkEnd w:id="351"/>
      <w:r>
        <w:t>DESCRIPTION</w:t>
      </w:r>
    </w:p>
    <w:p w14:paraId="476018B1" w14:textId="77777777" w:rsidR="00DF410E" w:rsidRDefault="00CE7F43">
      <w:pPr>
        <w:pStyle w:val="pheading"/>
      </w:pPr>
      <w:r>
        <w:t>- Définition / Comprend</w:t>
      </w:r>
    </w:p>
    <w:p w14:paraId="4CA01E6F" w14:textId="77777777" w:rsidR="00DF410E" w:rsidRDefault="00CE7F43">
      <w:r>
        <w:t xml:space="preserve">Ce poste concerne les armatures horizontales pour les maçonneries, posées dans les joints d'assise, et utilisées pour augmenter la résistance à la traction et absorber les éventuelles tensions de cisaillement. </w:t>
      </w:r>
    </w:p>
    <w:p w14:paraId="35BC63E3" w14:textId="77777777" w:rsidR="00DF410E" w:rsidRDefault="00CE7F43">
      <w:r>
        <w:t>À l'attention de l'auteur de projet</w:t>
      </w:r>
    </w:p>
    <w:p w14:paraId="1750D3F5" w14:textId="77777777" w:rsidR="00DF410E" w:rsidRDefault="00CE7F43">
      <w:r>
        <w:t xml:space="preserve">- Les essais ont démontré que les armatures horizontales contribuaient à l'augmentation de la résistance à la compression et ce, jusqu'à 20%. En ce qui concerne les sollicitations latérales, la maçonnerie armée présente également un moment de rupture plus grand. A cet égard, les armatures horizontales peuvent également constituer une alternative pour les linteaux, les poutres de ceinture et les poutres de répartition pour les charges ponctuelles. Pour plus d'informations, consultez aussi : </w:t>
      </w:r>
    </w:p>
    <w:p w14:paraId="12E02557" w14:textId="77777777" w:rsidR="00DF410E" w:rsidRDefault="00CE7F43">
      <w:r>
        <w:t>- Maçonnerie armée. 1</w:t>
      </w:r>
      <w:r>
        <w:rPr>
          <w:vertAlign w:val="superscript"/>
        </w:rPr>
        <w:t>ère</w:t>
      </w:r>
      <w:r>
        <w:t xml:space="preserve"> Partie : matériaux et exécution [Buildwise Article Revue (2001-01-21)]</w:t>
      </w:r>
    </w:p>
    <w:p w14:paraId="3C052B16" w14:textId="77777777" w:rsidR="00DF410E" w:rsidRDefault="00CE7F43">
      <w:r>
        <w:t>- Maçonnerie armée. 2</w:t>
      </w:r>
      <w:r>
        <w:rPr>
          <w:vertAlign w:val="superscript"/>
        </w:rPr>
        <w:t>ème</w:t>
      </w:r>
      <w:r>
        <w:t xml:space="preserve"> Partie : application et calculs [Buildwise Article Revue (2001-02-19)]</w:t>
      </w:r>
    </w:p>
    <w:p w14:paraId="2D52B27A" w14:textId="77777777" w:rsidR="00DF410E" w:rsidRDefault="00CE7F43">
      <w:pPr>
        <w:pStyle w:val="pheading"/>
      </w:pPr>
      <w:r>
        <w:t>MATÉRIAUX</w:t>
      </w:r>
    </w:p>
    <w:p w14:paraId="5895B0BC" w14:textId="77777777" w:rsidR="00DF410E" w:rsidRDefault="00CE7F43">
      <w:r>
        <w:t>Les armatures en acier pour joints horizontaux doivent répondre aux spécifications de la norme [NBN EN 845-3:2013+A1] . Leur usage suit les règles de conception et de mise en œuvre de l'Eurocode 6.</w:t>
      </w:r>
    </w:p>
    <w:p w14:paraId="01AA01E7" w14:textId="77777777" w:rsidR="00DF410E" w:rsidRDefault="00CE7F43">
      <w:r>
        <w:t>Les armatures horizontales sont constituées d'un treillis composé de 2 barres profilées longitudinales reliées entre elles à l'aide d'une barre continue transversale en forme de diagonale. La structure diagonale est soudée aux fils longitudinaux. Les soudures sont réalisées de manière telle que la barre diagonale se trouve entièrement dans le plan des barres longitudinales. Ces derniers sont crénelés de manière à augmenter l'adhérence du mortier.</w:t>
      </w:r>
    </w:p>
    <w:p w14:paraId="7217BA14" w14:textId="77777777" w:rsidR="00DF410E" w:rsidRDefault="00CE7F43">
      <w:r>
        <w:t xml:space="preserve">Les armatures se composent de: </w:t>
      </w:r>
      <w:r>
        <w:rPr>
          <w:rStyle w:val="optioncarChar"/>
        </w:rPr>
        <w:t>barres d'armatures / un treillis</w:t>
      </w:r>
    </w:p>
    <w:p w14:paraId="134A9631" w14:textId="77777777" w:rsidR="00DF410E" w:rsidRDefault="00CE7F43">
      <w:pPr>
        <w:pStyle w:val="Author-eListParagraph"/>
        <w:numPr>
          <w:ilvl w:val="0"/>
          <w:numId w:val="283"/>
        </w:numPr>
      </w:pPr>
      <w:r>
        <w:t xml:space="preserve">2 </w:t>
      </w:r>
      <w:r>
        <w:rPr>
          <w:u w:val="single"/>
        </w:rPr>
        <w:t>barres d'armature</w:t>
      </w:r>
      <w:r>
        <w:t xml:space="preserve"> de diamètre </w:t>
      </w:r>
      <w:r>
        <w:rPr>
          <w:rStyle w:val="optioncarChar"/>
        </w:rPr>
        <w:t>6 </w:t>
      </w:r>
      <w:r>
        <w:t>(par défaut)</w:t>
      </w:r>
      <w:r>
        <w:rPr>
          <w:rStyle w:val="optioncarChar"/>
        </w:rPr>
        <w:t xml:space="preserve"> / 8 / ***</w:t>
      </w:r>
      <w:r>
        <w:t xml:space="preserve"> mm, qualité BE 500 S.</w:t>
      </w:r>
    </w:p>
    <w:p w14:paraId="2F709DA9" w14:textId="77777777" w:rsidR="00DF410E" w:rsidRDefault="00CE7F43">
      <w:pPr>
        <w:pStyle w:val="Author-eListParagraph"/>
        <w:numPr>
          <w:ilvl w:val="0"/>
          <w:numId w:val="283"/>
        </w:numPr>
      </w:pPr>
      <w:r>
        <w:rPr>
          <w:u w:val="single"/>
        </w:rPr>
        <w:t>un treillis</w:t>
      </w:r>
      <w:r>
        <w:t xml:space="preserve"> composé de 2 barres profilées longitudinales reliées entre elles à l'aide d'une barre continue transversale en forme de diagonale. La structure diagonale est soudée aux fils longitudinaux. L'acier est de qualité BE 500 S selon la série [NBN A 24-3xx série] .</w:t>
      </w:r>
    </w:p>
    <w:p w14:paraId="0E5D174B" w14:textId="77777777" w:rsidR="00DF410E" w:rsidRDefault="00CE7F43">
      <w:r>
        <w:t> </w:t>
      </w:r>
    </w:p>
    <w:p w14:paraId="245342E2" w14:textId="77777777" w:rsidR="00DF410E" w:rsidRDefault="00CE7F43">
      <w:r>
        <w:rPr>
          <w:b/>
          <w:u w:val="single"/>
        </w:rPr>
        <w:t>Spécifications</w:t>
      </w:r>
    </w:p>
    <w:p w14:paraId="29399924" w14:textId="77777777" w:rsidR="00DF410E" w:rsidRDefault="00CE7F43">
      <w:r>
        <w:t>Les armatures sont galvanisées à chaud à raison d'au moins 50 g/m</w:t>
      </w:r>
      <w:r>
        <w:rPr>
          <w:vertAlign w:val="superscript"/>
        </w:rPr>
        <w:t>2</w:t>
      </w:r>
      <w:r>
        <w:t xml:space="preserve"> ;</w:t>
      </w:r>
    </w:p>
    <w:p w14:paraId="21B4C708" w14:textId="77777777" w:rsidR="00DF410E" w:rsidRDefault="00CE7F43">
      <w:r>
        <w:t xml:space="preserve">Dimensions : </w:t>
      </w:r>
      <w:r>
        <w:rPr>
          <w:rStyle w:val="optioncarChar"/>
        </w:rPr>
        <w:t>adaptées à l'épaisseur des briques et du joint (toujours plus minces que l'épaisseur du joint / une distinction doit être faite entre la maçonnerie exécutée à joints de mortier ou à joints de colle)</w:t>
      </w:r>
    </w:p>
    <w:p w14:paraId="2F44464A" w14:textId="77777777" w:rsidR="00DF410E" w:rsidRDefault="00CE7F43">
      <w:r>
        <w:t xml:space="preserve">Section des barres : une distinction doit être établie entre les maçonneries réalisées au mortier et au mortier-colle: </w:t>
      </w:r>
      <w:r>
        <w:rPr>
          <w:rStyle w:val="optioncarChar"/>
        </w:rPr>
        <w:t>OPTION 1 (mortier) / OPTION 2 (mortier-colle)</w:t>
      </w:r>
    </w:p>
    <w:p w14:paraId="69494A30" w14:textId="77777777" w:rsidR="00DF410E" w:rsidRDefault="00CE7F43">
      <w:r>
        <w:rPr>
          <w:b/>
        </w:rPr>
        <w:t>*** OPTION 1:</w:t>
      </w:r>
      <w:r>
        <w:t xml:space="preserve"> Pour les ouvrages en maçonnerie au </w:t>
      </w:r>
      <w:r>
        <w:rPr>
          <w:u w:val="single"/>
        </w:rPr>
        <w:t>mortier</w:t>
      </w:r>
      <w:r>
        <w:t>, les diamètres suivants sont d'application pour les barres :</w:t>
      </w:r>
    </w:p>
    <w:p w14:paraId="3BB01451" w14:textId="77777777" w:rsidR="00DF410E" w:rsidRDefault="00CE7F43">
      <w:r>
        <w:t>- pour les épaisseurs de mur jusqu'à 24 cm, le diamètre des barres longitudinales est de 4 mm</w:t>
      </w:r>
    </w:p>
    <w:p w14:paraId="6D082B15" w14:textId="77777777" w:rsidR="00DF410E" w:rsidRDefault="00CE7F43">
      <w:r>
        <w:t>- pour les épaisseurs de mur supérieures à 24 cm et pour les murs à coulisse, le diamètre des barres longitudinales est de 4,75 mm . Le diamètre des armatures transversales est dans les deux cas de 3 / 3,75 mm </w:t>
      </w:r>
    </w:p>
    <w:p w14:paraId="6D69C5A7" w14:textId="77777777" w:rsidR="00DF410E" w:rsidRDefault="00CE7F43">
      <w:r>
        <w:rPr>
          <w:b/>
        </w:rPr>
        <w:t>*** OPTION 2:</w:t>
      </w:r>
      <w:r>
        <w:t xml:space="preserve"> Pour les ouvrages en maçonnerie </w:t>
      </w:r>
      <w:r>
        <w:rPr>
          <w:u w:val="single"/>
        </w:rPr>
        <w:t>au mortier-colle</w:t>
      </w:r>
      <w:r>
        <w:t>, les sections suivantes sont respectées pour les barres :</w:t>
      </w:r>
    </w:p>
    <w:p w14:paraId="0DD08FC8" w14:textId="77777777" w:rsidR="00DF410E" w:rsidRDefault="00CE7F43">
      <w:pPr>
        <w:pStyle w:val="Author-eListParagraph"/>
        <w:numPr>
          <w:ilvl w:val="0"/>
          <w:numId w:val="284"/>
        </w:numPr>
      </w:pPr>
      <w:r>
        <w:t>pour les barres longitudinales 2 x 6 mm</w:t>
      </w:r>
      <w:r>
        <w:br/>
        <w:t>pour les barres transversales 2 x 5,5 mm </w:t>
      </w:r>
    </w:p>
    <w:p w14:paraId="1528A5BB" w14:textId="77777777" w:rsidR="00DF410E" w:rsidRDefault="00CE7F43">
      <w:r>
        <w:t xml:space="preserve">Les armatures sont galvanisées à chaud a raison d'au moins </w:t>
      </w:r>
      <w:r>
        <w:rPr>
          <w:rStyle w:val="optioncarChar"/>
        </w:rPr>
        <w:t>60 g par m</w:t>
      </w:r>
      <w:r>
        <w:rPr>
          <w:rStyle w:val="optioncarChar"/>
          <w:vertAlign w:val="superscript"/>
        </w:rPr>
        <w:t>2 </w:t>
      </w:r>
      <w:r>
        <w:t>(par défaut) </w:t>
      </w:r>
      <w:r>
        <w:rPr>
          <w:rStyle w:val="optioncarChar"/>
        </w:rPr>
        <w:t>/ 60 g par m</w:t>
      </w:r>
      <w:r>
        <w:rPr>
          <w:rStyle w:val="optioncarChar"/>
          <w:vertAlign w:val="superscript"/>
        </w:rPr>
        <w:t>2</w:t>
      </w:r>
      <w:r>
        <w:rPr>
          <w:rStyle w:val="optioncarChar"/>
        </w:rPr>
        <w:t xml:space="preserve"> et munies d'une protection en polyester / ***</w:t>
      </w:r>
      <w:r>
        <w:rPr>
          <w:color w:val="0000FF"/>
        </w:rPr>
        <w:t>.</w:t>
      </w:r>
    </w:p>
    <w:p w14:paraId="536AA1A4" w14:textId="77777777" w:rsidR="00DF410E" w:rsidRDefault="00CE7F43">
      <w:r>
        <w:t>Les diamètres suivants sont d'application pour les barres :</w:t>
      </w:r>
    </w:p>
    <w:p w14:paraId="3CC7FEF3" w14:textId="77777777" w:rsidR="00DF410E" w:rsidRDefault="00CE7F43">
      <w:pPr>
        <w:pStyle w:val="Author-eListParagraph"/>
        <w:numPr>
          <w:ilvl w:val="0"/>
          <w:numId w:val="285"/>
        </w:numPr>
      </w:pPr>
      <w:r>
        <w:t>pour les murs d'une épaisseur de 9 à 24 cm, le diamètre des barres longitudinales sera de 4 mm,</w:t>
      </w:r>
    </w:p>
    <w:p w14:paraId="5F8C791B" w14:textId="77777777" w:rsidR="00DF410E" w:rsidRDefault="00CE7F43">
      <w:pPr>
        <w:pStyle w:val="Author-eListParagraph"/>
        <w:numPr>
          <w:ilvl w:val="0"/>
          <w:numId w:val="285"/>
        </w:numPr>
      </w:pPr>
      <w:r>
        <w:t>pour les murs dont l'épaisseur est supérieure à 24 cm, le diamètre des barres longitudinales sera de 4,75 mm. Le diamètre des barres transversales est d'au moins 3,75 mm.</w:t>
      </w:r>
    </w:p>
    <w:p w14:paraId="2B0EEFEE" w14:textId="77777777" w:rsidR="00DF410E" w:rsidRDefault="00CE7F43">
      <w:pPr>
        <w:pStyle w:val="pheading"/>
      </w:pPr>
      <w:r>
        <w:t>EXÉCUTION / MISE EN ŒUVRE</w:t>
      </w:r>
    </w:p>
    <w:p w14:paraId="77173F3F" w14:textId="77777777" w:rsidR="00DF410E" w:rsidRDefault="00CE7F43">
      <w:r>
        <w:t xml:space="preserve">La maçonnerie armée pour les murs de fondations est exécutée en appareil. Voir également l'article </w:t>
      </w:r>
      <w:hyperlink w:anchor="355" w:history="1">
        <w:r>
          <w:t>21.41.1 Armatures horizontales pour maçonneries</w:t>
        </w:r>
      </w:hyperlink>
      <w:r>
        <w:t xml:space="preserve">. </w:t>
      </w:r>
      <w:r>
        <w:rPr>
          <w:rStyle w:val="optioncarChar"/>
        </w:rPr>
        <w:t>OPTION 1 (deux barres) / OPTION 2 (treillis)</w:t>
      </w:r>
    </w:p>
    <w:p w14:paraId="51E24028" w14:textId="77777777" w:rsidR="00DF410E" w:rsidRDefault="00CE7F43">
      <w:pPr>
        <w:pStyle w:val="Author-eListParagraph"/>
        <w:numPr>
          <w:ilvl w:val="0"/>
          <w:numId w:val="286"/>
        </w:numPr>
      </w:pPr>
      <w:r>
        <w:rPr>
          <w:u w:val="single"/>
        </w:rPr>
        <w:t>Les deux barres d'armature :</w:t>
      </w:r>
      <w:r>
        <w:t> sont posées de façon telle que la distance entre la barre et le bord de la maçonnerie ne soit pas inférieure à 2 cm.</w:t>
      </w:r>
    </w:p>
    <w:p w14:paraId="6FC42A80" w14:textId="77777777" w:rsidR="00DF410E" w:rsidRDefault="00CE7F43">
      <w:pPr>
        <w:pStyle w:val="Author-eListParagraph"/>
        <w:numPr>
          <w:ilvl w:val="0"/>
          <w:numId w:val="286"/>
        </w:numPr>
      </w:pPr>
      <w:r>
        <w:rPr>
          <w:u w:val="single"/>
        </w:rPr>
        <w:t xml:space="preserve">Le treillis </w:t>
      </w:r>
      <w:r>
        <w:t xml:space="preserve">dont la largeur est adaptée en fonction de l'épaisseur du mur est posé au centre, les recouvrements sont de </w:t>
      </w:r>
      <w:r>
        <w:rPr>
          <w:rStyle w:val="optioncarChar"/>
        </w:rPr>
        <w:t>15 </w:t>
      </w:r>
      <w:r>
        <w:t>(par défaut)</w:t>
      </w:r>
      <w:r>
        <w:rPr>
          <w:rStyle w:val="optioncarChar"/>
        </w:rPr>
        <w:t xml:space="preserve"> / 20 / 25 / ***</w:t>
      </w:r>
      <w:r>
        <w:t>cm. Pour les recouvrements à partir de 25 cm, les barres transversales sont coupées. </w:t>
      </w:r>
    </w:p>
    <w:p w14:paraId="539F66E3" w14:textId="77777777" w:rsidR="00DF410E" w:rsidRDefault="00CE7F43">
      <w:r>
        <w:t xml:space="preserve">Les armatures sont placées </w:t>
      </w:r>
      <w:r>
        <w:rPr>
          <w:rStyle w:val="optioncarChar"/>
        </w:rPr>
        <w:t>entre chaque tas / tous les deux tas </w:t>
      </w:r>
      <w:r>
        <w:t>(par défaut)</w:t>
      </w:r>
      <w:r>
        <w:rPr>
          <w:rStyle w:val="optioncarChar"/>
        </w:rPr>
        <w:t xml:space="preserve"> / ***.</w:t>
      </w:r>
    </w:p>
    <w:p w14:paraId="253AEC02" w14:textId="77777777" w:rsidR="00DF410E" w:rsidRDefault="00CE7F43">
      <w:r>
        <w:t xml:space="preserve">Les armatures de joint d'assise sont appliquées aux emplacements suivants : </w:t>
      </w:r>
      <w:r>
        <w:rPr>
          <w:rStyle w:val="optioncarChar"/>
        </w:rPr>
        <w:t xml:space="preserve">selon les indications sur les plans </w:t>
      </w:r>
      <w:r>
        <w:t>(par défaut) </w:t>
      </w:r>
      <w:r>
        <w:rPr>
          <w:rStyle w:val="optioncarChar"/>
        </w:rPr>
        <w:t>/ selon l'étude du fabricant des briques.</w:t>
      </w:r>
    </w:p>
    <w:p w14:paraId="607CBE86" w14:textId="77777777" w:rsidR="00DF410E" w:rsidRDefault="00CE7F43">
      <w:r>
        <w:t xml:space="preserve">L'étude des armatures d'assise doit répondre aux dispositions de la [STS 22 série] et est soumise à la demande de l'auteur de projet. Les armatures sont posées en appareil avec un chevauchement de </w:t>
      </w:r>
      <w:r>
        <w:rPr>
          <w:rStyle w:val="optioncarChar"/>
        </w:rPr>
        <w:t xml:space="preserve">15 </w:t>
      </w:r>
      <w:r>
        <w:t>(par défaut) </w:t>
      </w:r>
      <w:r>
        <w:rPr>
          <w:rStyle w:val="optioncarChar"/>
        </w:rPr>
        <w:t>/ 20 / 25 / ***</w:t>
      </w:r>
      <w:r>
        <w:t xml:space="preserve"> cm. Lorsque le chevauchement est de 25 cm ou plus, les armatures transversales sont coupées. Dans les angles, les armatures sont pliées de manière à former un ensemble continu, selon les indications du fabricant. Les armatures de lit d'assise sont enfoncées dans le mortier de ciment et/ou le mortier-colle.</w:t>
      </w:r>
    </w:p>
    <w:p w14:paraId="2CA6048E" w14:textId="77777777" w:rsidR="00DF410E" w:rsidRDefault="00CE7F43">
      <w:r>
        <w:t>Pour la maçonnerie armée hors béton cellulaire, on utilise exclusivement des mortiers de la catégorie M1 ou M2 (mortier de ciments) selon la [NBN EN 998-2]</w:t>
      </w:r>
    </w:p>
    <w:p w14:paraId="7809884F" w14:textId="77777777" w:rsidR="00DF410E" w:rsidRDefault="00CE7F43">
      <w:pPr>
        <w:pStyle w:val="Author-eSectionHeading6"/>
      </w:pPr>
      <w:bookmarkStart w:id="352" w:name="_Toc178837567"/>
      <w:r>
        <w:t>21.41.1a Armatures horizontales préfabriquées à treillis pour maçonneries (barres rondes) CCTB 01.11</w:t>
      </w:r>
      <w:bookmarkEnd w:id="352"/>
    </w:p>
    <w:p w14:paraId="20BF3EE7" w14:textId="77777777" w:rsidR="00DF410E" w:rsidRDefault="00CE7F43">
      <w:pPr>
        <w:pStyle w:val="pheading"/>
      </w:pPr>
      <w:r>
        <w:t>MATÉRIAUX</w:t>
      </w:r>
    </w:p>
    <w:p w14:paraId="63DCF5AA" w14:textId="77777777" w:rsidR="00DF410E" w:rsidRDefault="00CE7F43">
      <w:pPr>
        <w:pStyle w:val="pheading"/>
      </w:pPr>
      <w:r>
        <w:t>- Prescriptions complémentaires</w:t>
      </w:r>
    </w:p>
    <w:p w14:paraId="2EC95B1E" w14:textId="77777777" w:rsidR="00DF410E" w:rsidRDefault="00CE7F43">
      <w:r>
        <w:t>Les armatures sont revêtues d'une protection en polyester en vue de l'application dans un milieu corrosif et très agressif (Industrie - air marin).</w:t>
      </w:r>
    </w:p>
    <w:p w14:paraId="7DB95800" w14:textId="77777777" w:rsidR="00DF410E" w:rsidRDefault="00CE7F43">
      <w:r>
        <w:t>Pour les murs à coulisse, les armatures sont pourvues d'un larmier.</w:t>
      </w:r>
    </w:p>
    <w:p w14:paraId="4A71EA7D" w14:textId="77777777" w:rsidR="00DF410E" w:rsidRDefault="00CE7F43">
      <w:pPr>
        <w:pStyle w:val="pheading"/>
      </w:pPr>
      <w:r>
        <w:t>EXÉCUTION / MISE EN ŒUVRE</w:t>
      </w:r>
    </w:p>
    <w:p w14:paraId="0F3DAC3B" w14:textId="77777777" w:rsidR="00DF410E" w:rsidRDefault="00CE7F43">
      <w:pPr>
        <w:pStyle w:val="pheading"/>
      </w:pPr>
      <w:r>
        <w:t>- Notes d’exécution complémentaires</w:t>
      </w:r>
    </w:p>
    <w:p w14:paraId="4C051FB6" w14:textId="77777777" w:rsidR="00DF410E" w:rsidRDefault="00CE7F43">
      <w:r>
        <w:t xml:space="preserve">Les armatures de lit d'assise sont posées aux endroits qui correspondent </w:t>
      </w:r>
      <w:r>
        <w:rPr>
          <w:rStyle w:val="optioncarChar"/>
        </w:rPr>
        <w:t>aux indications sur les plans / à l'étude réalisée par le fabricant des briques.</w:t>
      </w:r>
    </w:p>
    <w:p w14:paraId="7B9E5F82" w14:textId="77777777" w:rsidR="00DF410E" w:rsidRDefault="00CE7F43">
      <w:r>
        <w:t xml:space="preserve">Les armatures sont prévues dans les assises tous les </w:t>
      </w:r>
      <w:r>
        <w:rPr>
          <w:rStyle w:val="optioncarChar"/>
        </w:rPr>
        <w:t>2 </w:t>
      </w:r>
      <w:r>
        <w:t>(par défaut)</w:t>
      </w:r>
      <w:r>
        <w:rPr>
          <w:rStyle w:val="optioncarChar"/>
        </w:rPr>
        <w:t xml:space="preserve"> / 3 / *** tas / entre chaque assise de maçonnerie.</w:t>
      </w:r>
    </w:p>
    <w:p w14:paraId="05C2E8A1" w14:textId="77777777" w:rsidR="00DF410E" w:rsidRDefault="00CE7F43">
      <w:r>
        <w:t xml:space="preserve">Les armatures sont prévues dans les assises des </w:t>
      </w:r>
      <w:r>
        <w:rPr>
          <w:rStyle w:val="optioncarChar"/>
        </w:rPr>
        <w:t xml:space="preserve">3  </w:t>
      </w:r>
      <w:r>
        <w:t>(par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 xml:space="preserve">1 </w:t>
      </w:r>
      <w:r>
        <w:t>(par défaut) </w:t>
      </w:r>
      <w:r>
        <w:rPr>
          <w:rStyle w:val="optioncarChar"/>
        </w:rPr>
        <w:t>/***</w:t>
      </w:r>
      <w:r>
        <w:t xml:space="preserve"> m de part et d'autre de la baie).</w:t>
      </w:r>
    </w:p>
    <w:p w14:paraId="21631945" w14:textId="77777777" w:rsidR="00DF410E" w:rsidRDefault="00CE7F43">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71CD290E" w14:textId="77777777" w:rsidR="00DF410E" w:rsidRDefault="00CE7F43">
      <w:r>
        <w:t xml:space="preserve">Les armatures sont prévues tous les </w:t>
      </w:r>
      <w:r>
        <w:rPr>
          <w:rStyle w:val="optioncarChar"/>
        </w:rPr>
        <w:t>2 </w:t>
      </w:r>
      <w:r>
        <w:t>(par défaut)</w:t>
      </w:r>
      <w:r>
        <w:rPr>
          <w:rStyle w:val="optioncarChar"/>
        </w:rPr>
        <w:t xml:space="preserve"> / 3 / *** tas, pour les murs de séparation à mi-hauteur / pour les murs de forme irrégulière.</w:t>
      </w:r>
    </w:p>
    <w:p w14:paraId="66ACF8BE" w14:textId="77777777" w:rsidR="00DF410E" w:rsidRDefault="00CE7F43">
      <w:pPr>
        <w:pStyle w:val="pheading"/>
      </w:pPr>
      <w:r>
        <w:t>MESURAGE</w:t>
      </w:r>
    </w:p>
    <w:p w14:paraId="14CF7834" w14:textId="77777777" w:rsidR="00DF410E" w:rsidRDefault="00CE7F43">
      <w:pPr>
        <w:pStyle w:val="pheading"/>
      </w:pPr>
      <w:r>
        <w:t>- unité de mesure:</w:t>
      </w:r>
    </w:p>
    <w:p w14:paraId="76431AEF" w14:textId="77777777" w:rsidR="00DF410E" w:rsidRDefault="00CE7F43">
      <w:r>
        <w:rPr>
          <w:rStyle w:val="optioncarChar"/>
        </w:rPr>
        <w:t>m</w:t>
      </w:r>
      <w:r>
        <w:t xml:space="preserve"> (par défaut)</w:t>
      </w:r>
    </w:p>
    <w:p w14:paraId="076D3DEF" w14:textId="77777777" w:rsidR="00DF410E" w:rsidRDefault="00CE7F43">
      <w:pPr>
        <w:pStyle w:val="pheading"/>
      </w:pPr>
      <w:r>
        <w:t>- code de mesurage:</w:t>
      </w:r>
    </w:p>
    <w:p w14:paraId="04EDBE16" w14:textId="77777777" w:rsidR="00DF410E" w:rsidRDefault="00CE7F43">
      <w:r>
        <w:t>longueur nette du mur. Les chevauchements ne sont pas comptés.</w:t>
      </w:r>
    </w:p>
    <w:p w14:paraId="2FA217AD" w14:textId="77777777" w:rsidR="00DF410E" w:rsidRDefault="00CE7F43">
      <w:pPr>
        <w:pStyle w:val="pheading"/>
      </w:pPr>
      <w:r>
        <w:t>- nature du marché:</w:t>
      </w:r>
    </w:p>
    <w:p w14:paraId="78731ED6" w14:textId="77777777" w:rsidR="00DF410E" w:rsidRDefault="00CE7F43">
      <w:r>
        <w:rPr>
          <w:rStyle w:val="optioncarChar"/>
        </w:rPr>
        <w:t>QF</w:t>
      </w:r>
      <w:r>
        <w:t xml:space="preserve"> (par défaut)</w:t>
      </w:r>
      <w:r>
        <w:rPr>
          <w:rStyle w:val="optioncarChar"/>
        </w:rPr>
        <w:t xml:space="preserve"> / QP</w:t>
      </w:r>
    </w:p>
    <w:p w14:paraId="7372F385" w14:textId="77777777" w:rsidR="00DF410E" w:rsidRDefault="00CE7F43">
      <w:pPr>
        <w:pStyle w:val="Author-eSectionHeading6"/>
      </w:pPr>
      <w:bookmarkStart w:id="353" w:name="_Toc178837568"/>
      <w:r>
        <w:t>21.41.1b Armatures horizontales préfabriquées à treillis pour maçonneries (barres plates) CCTB 01.11</w:t>
      </w:r>
      <w:bookmarkEnd w:id="353"/>
    </w:p>
    <w:p w14:paraId="1BF53838" w14:textId="77777777" w:rsidR="00DF410E" w:rsidRDefault="00CE7F43">
      <w:pPr>
        <w:pStyle w:val="pheading"/>
      </w:pPr>
      <w:r>
        <w:t>MATÉRIAUX</w:t>
      </w:r>
    </w:p>
    <w:p w14:paraId="297A7C69" w14:textId="77777777" w:rsidR="00DF410E" w:rsidRDefault="00CE7F43">
      <w:pPr>
        <w:pStyle w:val="pheading"/>
      </w:pPr>
      <w:r>
        <w:t>- Prescriptions complémentaires</w:t>
      </w:r>
    </w:p>
    <w:p w14:paraId="5B03873C" w14:textId="77777777" w:rsidR="00DF410E" w:rsidRDefault="00CE7F43">
      <w:r>
        <w:t>Les armatures sont revêtues d'une protection en polyester en vue de l'application dans un milieu corrosif et très agressif (Industrie - air marin).</w:t>
      </w:r>
    </w:p>
    <w:p w14:paraId="3167E064" w14:textId="77777777" w:rsidR="00DF410E" w:rsidRDefault="00CE7F43">
      <w:r>
        <w:t>Pour les murs à coulisse, les armatures sont pourvues d'un larmier.</w:t>
      </w:r>
    </w:p>
    <w:p w14:paraId="79181CC3" w14:textId="77777777" w:rsidR="00DF410E" w:rsidRDefault="00CE7F43">
      <w:pPr>
        <w:pStyle w:val="pheading"/>
      </w:pPr>
      <w:r>
        <w:t>EXÉCUTION / MISE EN ŒUVRE</w:t>
      </w:r>
    </w:p>
    <w:p w14:paraId="2D146D23" w14:textId="77777777" w:rsidR="00DF410E" w:rsidRDefault="00CE7F43">
      <w:pPr>
        <w:pStyle w:val="pheading"/>
      </w:pPr>
      <w:r>
        <w:t>- Notes d’exécution complémentaires</w:t>
      </w:r>
    </w:p>
    <w:p w14:paraId="03AB9AC8" w14:textId="77777777" w:rsidR="00DF410E" w:rsidRDefault="00CE7F43">
      <w:r>
        <w:t xml:space="preserve">Les armatures de lit d'assise sont posées aux endroits qui correspondent </w:t>
      </w:r>
      <w:r>
        <w:rPr>
          <w:rStyle w:val="optioncarChar"/>
        </w:rPr>
        <w:t>aux indications sur les plans / à l'étude réalisée par le fabricant des briques.</w:t>
      </w:r>
    </w:p>
    <w:p w14:paraId="695D8D92" w14:textId="77777777" w:rsidR="00DF410E" w:rsidRDefault="00CE7F43">
      <w:r>
        <w:t xml:space="preserve">Les armatures sont prévues dans les assises tous les </w:t>
      </w:r>
      <w:r>
        <w:rPr>
          <w:rStyle w:val="optioncarChar"/>
        </w:rPr>
        <w:t>2 </w:t>
      </w:r>
      <w:r>
        <w:t>(par défaut)</w:t>
      </w:r>
      <w:r>
        <w:rPr>
          <w:rStyle w:val="optioncarChar"/>
        </w:rPr>
        <w:t xml:space="preserve"> / 3 / *** tas / entre chaque assise de maçonnerie.</w:t>
      </w:r>
    </w:p>
    <w:p w14:paraId="450D0C9B" w14:textId="77777777" w:rsidR="00DF410E" w:rsidRDefault="00CE7F43">
      <w:r>
        <w:t xml:space="preserve">Les armatures sont prévues dans les assises des </w:t>
      </w:r>
      <w:r>
        <w:rPr>
          <w:rStyle w:val="optioncarChar"/>
        </w:rPr>
        <w:t>3 </w:t>
      </w:r>
      <w:r>
        <w:t>(par défaut)</w:t>
      </w:r>
      <w:r>
        <w:rPr>
          <w:rStyle w:val="optioncarChar"/>
        </w:rPr>
        <w:t xml:space="preserve"> /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 ***</w:t>
      </w:r>
      <w:r>
        <w:t xml:space="preserve"> m de part et d'autre de la baie).</w:t>
      </w:r>
    </w:p>
    <w:p w14:paraId="20A965BC" w14:textId="77777777" w:rsidR="00DF410E" w:rsidRDefault="00CE7F43">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1DB0A575" w14:textId="77777777" w:rsidR="00DF410E" w:rsidRDefault="00CE7F43">
      <w:r>
        <w:t xml:space="preserve">Les armatures sont prévues tous les </w:t>
      </w:r>
      <w:r>
        <w:rPr>
          <w:rStyle w:val="optioncarChar"/>
        </w:rPr>
        <w:t>2 </w:t>
      </w:r>
      <w:r>
        <w:t>(par défaut)</w:t>
      </w:r>
      <w:r>
        <w:rPr>
          <w:rStyle w:val="optioncarChar"/>
        </w:rPr>
        <w:t xml:space="preserve"> / 3 / *** tas, pour les murs de séparation à mi-hauteur / pour les murs de forme irrégulière.</w:t>
      </w:r>
    </w:p>
    <w:p w14:paraId="1CC829E9" w14:textId="77777777" w:rsidR="00DF410E" w:rsidRDefault="00CE7F43">
      <w:pPr>
        <w:pStyle w:val="pheading"/>
      </w:pPr>
      <w:r>
        <w:t>MESURAGE</w:t>
      </w:r>
    </w:p>
    <w:p w14:paraId="45FC9028" w14:textId="77777777" w:rsidR="00DF410E" w:rsidRDefault="00CE7F43">
      <w:pPr>
        <w:pStyle w:val="pheading"/>
      </w:pPr>
      <w:r>
        <w:t>- unité de mesure:</w:t>
      </w:r>
    </w:p>
    <w:p w14:paraId="0533376F" w14:textId="77777777" w:rsidR="00DF410E" w:rsidRDefault="00CE7F43">
      <w:r>
        <w:rPr>
          <w:rStyle w:val="optioncarChar"/>
        </w:rPr>
        <w:t>m</w:t>
      </w:r>
      <w:r>
        <w:t xml:space="preserve"> (par défaut)</w:t>
      </w:r>
    </w:p>
    <w:p w14:paraId="18E25C31" w14:textId="77777777" w:rsidR="00DF410E" w:rsidRDefault="00CE7F43">
      <w:pPr>
        <w:pStyle w:val="pheading"/>
      </w:pPr>
      <w:r>
        <w:t>- code de mesurage:</w:t>
      </w:r>
    </w:p>
    <w:p w14:paraId="3EF7867D" w14:textId="77777777" w:rsidR="00DF410E" w:rsidRDefault="00CE7F43">
      <w:r>
        <w:t>longueur nette du mur. Les chevauchements ne sont pas comptés.</w:t>
      </w:r>
    </w:p>
    <w:p w14:paraId="38EF3636" w14:textId="77777777" w:rsidR="00DF410E" w:rsidRDefault="00CE7F43">
      <w:pPr>
        <w:pStyle w:val="pheading"/>
      </w:pPr>
      <w:r>
        <w:t>- nature du marché:</w:t>
      </w:r>
    </w:p>
    <w:p w14:paraId="4BFF966D" w14:textId="77777777" w:rsidR="00DF410E" w:rsidRDefault="00CE7F43">
      <w:r>
        <w:rPr>
          <w:rStyle w:val="optioncarChar"/>
        </w:rPr>
        <w:t>QF</w:t>
      </w:r>
      <w:r>
        <w:t xml:space="preserve"> (par défaut)</w:t>
      </w:r>
      <w:r>
        <w:rPr>
          <w:rStyle w:val="optioncarChar"/>
        </w:rPr>
        <w:t xml:space="preserve"> / QP</w:t>
      </w:r>
    </w:p>
    <w:p w14:paraId="273AA126" w14:textId="77777777" w:rsidR="00DF410E" w:rsidRDefault="00CE7F43">
      <w:pPr>
        <w:pStyle w:val="Author-eSectionHeading6"/>
      </w:pPr>
      <w:bookmarkStart w:id="354" w:name="_Toc178837569"/>
      <w:r>
        <w:t>21.41.1c Armatures horizontales préfabriquées à échelons pour maçonneries (barres rondes) CCTB 01.11</w:t>
      </w:r>
      <w:bookmarkEnd w:id="354"/>
    </w:p>
    <w:p w14:paraId="0F450892" w14:textId="77777777" w:rsidR="00DF410E" w:rsidRDefault="00CE7F43">
      <w:pPr>
        <w:pStyle w:val="pheading"/>
      </w:pPr>
      <w:r>
        <w:t>MATÉRIAUX</w:t>
      </w:r>
    </w:p>
    <w:p w14:paraId="666693BE" w14:textId="77777777" w:rsidR="00DF410E" w:rsidRDefault="00CE7F43">
      <w:pPr>
        <w:pStyle w:val="pheading"/>
      </w:pPr>
      <w:r>
        <w:t>- Prescriptions complémentaires</w:t>
      </w:r>
    </w:p>
    <w:p w14:paraId="083EBD8A" w14:textId="77777777" w:rsidR="00DF410E" w:rsidRDefault="00CE7F43">
      <w:r>
        <w:t>Les armatures sont revêtues d'une protection en polyester en vue de l'application dans un milieu corrosif et très agressif (Industrie - air marin).</w:t>
      </w:r>
    </w:p>
    <w:p w14:paraId="69F9FE9E" w14:textId="77777777" w:rsidR="00DF410E" w:rsidRDefault="00CE7F43">
      <w:r>
        <w:t>Pour les murs à coulisse, les armatures sont pourvues d'un larmier.</w:t>
      </w:r>
    </w:p>
    <w:p w14:paraId="36A9E909" w14:textId="77777777" w:rsidR="00DF410E" w:rsidRDefault="00CE7F43">
      <w:pPr>
        <w:pStyle w:val="pheading"/>
      </w:pPr>
      <w:r>
        <w:t>EXÉCUTION / MISE EN ŒUVRE</w:t>
      </w:r>
    </w:p>
    <w:p w14:paraId="2F5DDEDA" w14:textId="77777777" w:rsidR="00DF410E" w:rsidRDefault="00CE7F43">
      <w:pPr>
        <w:pStyle w:val="pheading"/>
      </w:pPr>
      <w:r>
        <w:t>- Notes d’exécution complémentaires</w:t>
      </w:r>
    </w:p>
    <w:p w14:paraId="3F3B3034" w14:textId="77777777" w:rsidR="00DF410E" w:rsidRDefault="00CE7F43">
      <w:r>
        <w:t xml:space="preserve">Les armatures de lit d'assise sont posées aux endroits qui correspondent </w:t>
      </w:r>
      <w:r>
        <w:rPr>
          <w:rStyle w:val="optioncarChar"/>
        </w:rPr>
        <w:t>aux indications sur les plans / à l'étude réalisée par le fabricant des briques.</w:t>
      </w:r>
    </w:p>
    <w:p w14:paraId="5CB52104" w14:textId="77777777" w:rsidR="00DF410E" w:rsidRDefault="00CE7F43">
      <w:r>
        <w:t xml:space="preserve">Les armatures sont prévues dans les assises tous les </w:t>
      </w:r>
      <w:r>
        <w:rPr>
          <w:rStyle w:val="optioncarChar"/>
        </w:rPr>
        <w:t xml:space="preserve">2 </w:t>
      </w:r>
      <w:r>
        <w:t>(par défaut) </w:t>
      </w:r>
      <w:r>
        <w:rPr>
          <w:rStyle w:val="optioncarChar"/>
        </w:rPr>
        <w:t>/ 3 / *** tas / entre chaque assise de maçonnerie.</w:t>
      </w:r>
    </w:p>
    <w:p w14:paraId="2BC08666" w14:textId="77777777" w:rsidR="00DF410E" w:rsidRDefault="00CE7F43">
      <w:r>
        <w:t xml:space="preserve">Les armatures sont prévues dans les assises des </w:t>
      </w:r>
      <w:r>
        <w:rPr>
          <w:rStyle w:val="optioncarChar"/>
        </w:rPr>
        <w:t xml:space="preserve">3 </w:t>
      </w:r>
      <w:r>
        <w:t>(par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xml:space="preserve"> /***</w:t>
      </w:r>
      <w:r>
        <w:t xml:space="preserve"> m de part et d'autre de la baie).</w:t>
      </w:r>
    </w:p>
    <w:p w14:paraId="13F0B8C5" w14:textId="77777777" w:rsidR="00DF410E" w:rsidRDefault="00CE7F43">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14ED1C82" w14:textId="77777777" w:rsidR="00DF410E" w:rsidRDefault="00CE7F43">
      <w:r>
        <w:t xml:space="preserve">Les armatures sont prévues tous les </w:t>
      </w:r>
      <w:r>
        <w:rPr>
          <w:rStyle w:val="optioncarChar"/>
        </w:rPr>
        <w:t>2 </w:t>
      </w:r>
      <w:r>
        <w:t>(par défaut)</w:t>
      </w:r>
      <w:r>
        <w:rPr>
          <w:rStyle w:val="optioncarChar"/>
        </w:rPr>
        <w:t xml:space="preserve"> / 3 / *** tas</w:t>
      </w:r>
      <w:r>
        <w:t>,</w:t>
      </w:r>
      <w:r>
        <w:rPr>
          <w:rStyle w:val="optioncarChar"/>
        </w:rPr>
        <w:t xml:space="preserve"> pour les murs de séparation à mi-hauteur / pour les murs de forme irrégulière.</w:t>
      </w:r>
    </w:p>
    <w:p w14:paraId="676B70E1" w14:textId="77777777" w:rsidR="00DF410E" w:rsidRDefault="00CE7F43">
      <w:pPr>
        <w:pStyle w:val="pheading"/>
      </w:pPr>
      <w:r>
        <w:t>MESURAGE</w:t>
      </w:r>
    </w:p>
    <w:p w14:paraId="1FD656C9" w14:textId="77777777" w:rsidR="00DF410E" w:rsidRDefault="00CE7F43">
      <w:pPr>
        <w:pStyle w:val="pheading"/>
      </w:pPr>
      <w:r>
        <w:t>- unité de mesure:</w:t>
      </w:r>
    </w:p>
    <w:p w14:paraId="7CCC17D6" w14:textId="77777777" w:rsidR="00DF410E" w:rsidRDefault="00CE7F43">
      <w:r>
        <w:rPr>
          <w:rStyle w:val="optioncarChar"/>
        </w:rPr>
        <w:t>m</w:t>
      </w:r>
      <w:r>
        <w:t xml:space="preserve"> (par défaut)</w:t>
      </w:r>
    </w:p>
    <w:p w14:paraId="3CBB5D23" w14:textId="77777777" w:rsidR="00DF410E" w:rsidRDefault="00CE7F43">
      <w:pPr>
        <w:pStyle w:val="pheading"/>
      </w:pPr>
      <w:r>
        <w:t>- code de mesurage:</w:t>
      </w:r>
    </w:p>
    <w:p w14:paraId="7AF0CCDF" w14:textId="77777777" w:rsidR="00DF410E" w:rsidRDefault="00CE7F43">
      <w:r>
        <w:t>longueur nette du mur. Les chevauchements ne sont pas comptés.</w:t>
      </w:r>
    </w:p>
    <w:p w14:paraId="02F079F5" w14:textId="77777777" w:rsidR="00DF410E" w:rsidRDefault="00CE7F43">
      <w:pPr>
        <w:pStyle w:val="pheading"/>
      </w:pPr>
      <w:r>
        <w:t>- nature du marché:</w:t>
      </w:r>
    </w:p>
    <w:p w14:paraId="5E8351B1" w14:textId="77777777" w:rsidR="00DF410E" w:rsidRDefault="00CE7F43">
      <w:r>
        <w:rPr>
          <w:rStyle w:val="optioncarChar"/>
        </w:rPr>
        <w:t>QF</w:t>
      </w:r>
      <w:r>
        <w:t xml:space="preserve"> (par défaut)</w:t>
      </w:r>
      <w:r>
        <w:rPr>
          <w:rStyle w:val="optioncarChar"/>
        </w:rPr>
        <w:t xml:space="preserve"> / QP</w:t>
      </w:r>
    </w:p>
    <w:p w14:paraId="6EE1DB27" w14:textId="77777777" w:rsidR="00DF410E" w:rsidRDefault="00CE7F43">
      <w:pPr>
        <w:pStyle w:val="Author-eSectionHeading6"/>
      </w:pPr>
      <w:bookmarkStart w:id="355" w:name="_Toc178837570"/>
      <w:r>
        <w:t>21.41.1d Armatures horizontales préfabriquées à échelons pour maçonneries (barres plates) CCTB 01.11</w:t>
      </w:r>
      <w:bookmarkEnd w:id="355"/>
    </w:p>
    <w:p w14:paraId="69A14E91" w14:textId="77777777" w:rsidR="00DF410E" w:rsidRDefault="00CE7F43">
      <w:pPr>
        <w:pStyle w:val="pheading"/>
      </w:pPr>
      <w:r>
        <w:t>MATÉRIAUX</w:t>
      </w:r>
    </w:p>
    <w:p w14:paraId="6C5003FD" w14:textId="77777777" w:rsidR="00DF410E" w:rsidRDefault="00CE7F43">
      <w:pPr>
        <w:pStyle w:val="pheading"/>
      </w:pPr>
      <w:r>
        <w:t>- Prescriptions complémentaires</w:t>
      </w:r>
    </w:p>
    <w:p w14:paraId="54B5EFA7" w14:textId="77777777" w:rsidR="00DF410E" w:rsidRDefault="00CE7F43">
      <w:r>
        <w:t>Les armatures sont revêtues d'une protection en polyester en vue de l'application dans un milieu corrosif et très agressif (Industrie - air marin).</w:t>
      </w:r>
    </w:p>
    <w:p w14:paraId="62B7C57D" w14:textId="77777777" w:rsidR="00DF410E" w:rsidRDefault="00CE7F43">
      <w:r>
        <w:t>Pour les murs à coulisse, les armatures sont pourvues d'un larmier.</w:t>
      </w:r>
    </w:p>
    <w:p w14:paraId="3F2034DC" w14:textId="77777777" w:rsidR="00DF410E" w:rsidRDefault="00CE7F43">
      <w:pPr>
        <w:pStyle w:val="pheading"/>
      </w:pPr>
      <w:r>
        <w:t>EXÉCUTION / MISE EN ŒUVRE</w:t>
      </w:r>
    </w:p>
    <w:p w14:paraId="5198BDB4" w14:textId="77777777" w:rsidR="00DF410E" w:rsidRDefault="00CE7F43">
      <w:pPr>
        <w:pStyle w:val="pheading"/>
      </w:pPr>
      <w:r>
        <w:t>- Notes d’exécution complémentaires</w:t>
      </w:r>
    </w:p>
    <w:p w14:paraId="6BB27DCD" w14:textId="77777777" w:rsidR="00DF410E" w:rsidRDefault="00CE7F43">
      <w:r>
        <w:t xml:space="preserve">Les armatures de lit d'assise sont posées aux endroits qui correspondent </w:t>
      </w:r>
      <w:r>
        <w:rPr>
          <w:rStyle w:val="optioncarChar"/>
        </w:rPr>
        <w:t>aux indications sur les plans / à l'étude réalisée par le fabricant des briques.</w:t>
      </w:r>
    </w:p>
    <w:p w14:paraId="39911264" w14:textId="77777777" w:rsidR="00DF410E" w:rsidRDefault="00CE7F43">
      <w:r>
        <w:t xml:space="preserve">Les armatures sont prévues dans les assises tous les </w:t>
      </w:r>
      <w:r>
        <w:rPr>
          <w:rStyle w:val="optioncarChar"/>
        </w:rPr>
        <w:t>2 tas </w:t>
      </w:r>
      <w:r>
        <w:t>(par défaut) </w:t>
      </w:r>
      <w:r>
        <w:rPr>
          <w:rStyle w:val="optioncarChar"/>
        </w:rPr>
        <w:t>/ 3 tas / *** tas / entre chaque assise de maçonnerie.</w:t>
      </w:r>
    </w:p>
    <w:p w14:paraId="0D7B55FB" w14:textId="77777777" w:rsidR="00DF410E" w:rsidRDefault="00CE7F43">
      <w:r>
        <w:t xml:space="preserve">Les armatures sont prévues dans les assises des </w:t>
      </w:r>
      <w:r>
        <w:rPr>
          <w:rStyle w:val="optioncarChar"/>
        </w:rPr>
        <w:t>3 </w:t>
      </w:r>
      <w:r>
        <w:t xml:space="preserve">(par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 xml:space="preserve">1 </w:t>
      </w:r>
      <w:r>
        <w:t>(par défaut) </w:t>
      </w:r>
      <w:r>
        <w:rPr>
          <w:rStyle w:val="optioncarChar"/>
        </w:rPr>
        <w:t>/ ***</w:t>
      </w:r>
      <w:r>
        <w:t xml:space="preserve"> m de part et d'autre de la baie).</w:t>
      </w:r>
    </w:p>
    <w:p w14:paraId="4F9E34E1" w14:textId="77777777" w:rsidR="00DF410E" w:rsidRDefault="00CE7F43">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035F8C82" w14:textId="77777777" w:rsidR="00DF410E" w:rsidRDefault="00CE7F43">
      <w:r>
        <w:t xml:space="preserve">Les armatures sont prévues tous les </w:t>
      </w:r>
      <w:r>
        <w:rPr>
          <w:rStyle w:val="optioncarChar"/>
        </w:rPr>
        <w:t>2 tas </w:t>
      </w:r>
      <w:r>
        <w:t>(par défaut)</w:t>
      </w:r>
      <w:r>
        <w:rPr>
          <w:rStyle w:val="optioncarChar"/>
        </w:rPr>
        <w:t xml:space="preserve"> / 3 tas / *** tas</w:t>
      </w:r>
      <w:r>
        <w:t xml:space="preserve">, </w:t>
      </w:r>
      <w:r>
        <w:rPr>
          <w:rStyle w:val="optioncarChar"/>
        </w:rPr>
        <w:t>pour les murs de séparation à mi-hauteur / pour les murs de forme irrégulière.</w:t>
      </w:r>
    </w:p>
    <w:p w14:paraId="039E18DE" w14:textId="77777777" w:rsidR="00DF410E" w:rsidRDefault="00CE7F43">
      <w:pPr>
        <w:pStyle w:val="pheading"/>
      </w:pPr>
      <w:r>
        <w:t>MESURAGE</w:t>
      </w:r>
    </w:p>
    <w:p w14:paraId="632CB49E" w14:textId="77777777" w:rsidR="00DF410E" w:rsidRDefault="00CE7F43">
      <w:pPr>
        <w:pStyle w:val="pheading"/>
      </w:pPr>
      <w:r>
        <w:t>- unité de mesure:</w:t>
      </w:r>
    </w:p>
    <w:p w14:paraId="451A058A" w14:textId="77777777" w:rsidR="00DF410E" w:rsidRDefault="00CE7F43">
      <w:r>
        <w:rPr>
          <w:rStyle w:val="optioncarChar"/>
        </w:rPr>
        <w:t>m</w:t>
      </w:r>
      <w:r>
        <w:t xml:space="preserve"> (par défaut)</w:t>
      </w:r>
    </w:p>
    <w:p w14:paraId="12534771" w14:textId="77777777" w:rsidR="00DF410E" w:rsidRDefault="00CE7F43">
      <w:pPr>
        <w:pStyle w:val="pheading"/>
      </w:pPr>
      <w:r>
        <w:t>- code de mesurage:</w:t>
      </w:r>
    </w:p>
    <w:p w14:paraId="1FE87865" w14:textId="77777777" w:rsidR="00DF410E" w:rsidRDefault="00CE7F43">
      <w:r>
        <w:t>longueur nette du mur. Les chevauchements ne sont pas comptés.</w:t>
      </w:r>
    </w:p>
    <w:p w14:paraId="345F72F7" w14:textId="77777777" w:rsidR="00DF410E" w:rsidRDefault="00CE7F43">
      <w:pPr>
        <w:pStyle w:val="pheading"/>
      </w:pPr>
      <w:r>
        <w:t>- nature du marché:</w:t>
      </w:r>
    </w:p>
    <w:p w14:paraId="4CCA3104" w14:textId="77777777" w:rsidR="00DF410E" w:rsidRDefault="00CE7F43">
      <w:r>
        <w:rPr>
          <w:rStyle w:val="optioncarChar"/>
        </w:rPr>
        <w:t>QF</w:t>
      </w:r>
      <w:r>
        <w:t xml:space="preserve"> (par défaut)</w:t>
      </w:r>
      <w:r>
        <w:rPr>
          <w:rStyle w:val="optioncarChar"/>
        </w:rPr>
        <w:t xml:space="preserve"> / QP</w:t>
      </w:r>
    </w:p>
    <w:p w14:paraId="03C744A4" w14:textId="77777777" w:rsidR="00DF410E" w:rsidRDefault="00CE7F43">
      <w:pPr>
        <w:pStyle w:val="Author-eSectionHeading6"/>
      </w:pPr>
      <w:bookmarkStart w:id="356" w:name="_Toc178837571"/>
      <w:r>
        <w:t>21.41.1e Armatures horizontales pour maçonneries en blocs de coffrage CCTB 01.11</w:t>
      </w:r>
      <w:bookmarkEnd w:id="356"/>
    </w:p>
    <w:p w14:paraId="0EA1076C" w14:textId="77777777" w:rsidR="00DF410E" w:rsidRDefault="00CE7F43">
      <w:pPr>
        <w:pStyle w:val="pheading"/>
      </w:pPr>
      <w:r>
        <w:t>MATÉRIAUX</w:t>
      </w:r>
    </w:p>
    <w:p w14:paraId="52A6646B" w14:textId="77777777" w:rsidR="00DF410E" w:rsidRDefault="00CE7F43">
      <w:pPr>
        <w:pStyle w:val="pheading"/>
      </w:pPr>
      <w:r>
        <w:t>- Prescriptions complémentaires</w:t>
      </w:r>
    </w:p>
    <w:p w14:paraId="546740D3" w14:textId="77777777" w:rsidR="00DF410E" w:rsidRDefault="00CE7F43">
      <w:r>
        <w:t>Les armatures sont revêtues d'une protection en polyester en vue de l'application dans un milieu corrosif et très agressif (Industrie - air marin).</w:t>
      </w:r>
    </w:p>
    <w:p w14:paraId="182EC455" w14:textId="77777777" w:rsidR="00DF410E" w:rsidRDefault="00CE7F43">
      <w:r>
        <w:t>Pour les murs à coulisse, les armatures sont pourvues d'un larmier.</w:t>
      </w:r>
    </w:p>
    <w:p w14:paraId="552EB703" w14:textId="77777777" w:rsidR="00DF410E" w:rsidRDefault="00CE7F43">
      <w:pPr>
        <w:pStyle w:val="pheading"/>
      </w:pPr>
      <w:r>
        <w:t>EXÉCUTION / MISE EN ŒUVRE</w:t>
      </w:r>
    </w:p>
    <w:p w14:paraId="7C2FC886" w14:textId="77777777" w:rsidR="00DF410E" w:rsidRDefault="00CE7F43">
      <w:pPr>
        <w:pStyle w:val="pheading"/>
      </w:pPr>
      <w:r>
        <w:t>- Notes d’exécution complémentaires</w:t>
      </w:r>
    </w:p>
    <w:p w14:paraId="502CC619" w14:textId="77777777" w:rsidR="00DF410E" w:rsidRDefault="00CE7F43">
      <w:r>
        <w:t xml:space="preserve">Les armatures de lit d'assise sont posées aux endroits qui correspondent </w:t>
      </w:r>
      <w:r>
        <w:rPr>
          <w:rStyle w:val="optioncarChar"/>
        </w:rPr>
        <w:t>aux indications sur les plans / à l'étude réalisée par le fabricant des briques.</w:t>
      </w:r>
    </w:p>
    <w:p w14:paraId="60B88C04" w14:textId="77777777" w:rsidR="00DF410E" w:rsidRDefault="00CE7F43">
      <w:r>
        <w:t xml:space="preserve">Les armatures sont prévues dans les assises tous les </w:t>
      </w:r>
      <w:r>
        <w:rPr>
          <w:rStyle w:val="optioncarChar"/>
        </w:rPr>
        <w:t>2 tas </w:t>
      </w:r>
      <w:r>
        <w:t>(par défaut) </w:t>
      </w:r>
      <w:r>
        <w:rPr>
          <w:rStyle w:val="optioncarChar"/>
        </w:rPr>
        <w:t>/ 3 tas / *** tas / entre chaque assise de maçonnerie.</w:t>
      </w:r>
    </w:p>
    <w:p w14:paraId="22E0549D" w14:textId="77777777" w:rsidR="00DF410E" w:rsidRDefault="00CE7F43">
      <w:r>
        <w:t xml:space="preserve">Les armatures sont prévues dans les assises des </w:t>
      </w:r>
      <w:r>
        <w:rPr>
          <w:rStyle w:val="optioncarChar"/>
        </w:rPr>
        <w:t>3</w:t>
      </w:r>
      <w:r>
        <w:t xml:space="preserve"> (par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xml:space="preserve"> /***</w:t>
      </w:r>
      <w:r>
        <w:t xml:space="preserve"> m de part et d'autre de la baie).</w:t>
      </w:r>
    </w:p>
    <w:p w14:paraId="131AD8BD" w14:textId="77777777" w:rsidR="00DF410E" w:rsidRDefault="00CE7F43">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 xml:space="preserve">(par défaut) </w:t>
      </w:r>
      <w:r>
        <w:rPr>
          <w:rStyle w:val="optioncarChar"/>
        </w:rPr>
        <w:t>/ ***</w:t>
      </w:r>
      <w:r>
        <w:t xml:space="preserve"> m dans chaque mur).</w:t>
      </w:r>
    </w:p>
    <w:p w14:paraId="07F98C00" w14:textId="77777777" w:rsidR="00DF410E" w:rsidRDefault="00CE7F43">
      <w:r>
        <w:t xml:space="preserve">Les armatures sont prévues tous les </w:t>
      </w:r>
      <w:r>
        <w:rPr>
          <w:rStyle w:val="optioncarChar"/>
        </w:rPr>
        <w:t>2 tas </w:t>
      </w:r>
      <w:r>
        <w:t xml:space="preserve">(par défaut) </w:t>
      </w:r>
      <w:r>
        <w:rPr>
          <w:rStyle w:val="optioncarChar"/>
        </w:rPr>
        <w:t>/ 3 tas / *** tas</w:t>
      </w:r>
      <w:r>
        <w:t xml:space="preserve">, </w:t>
      </w:r>
      <w:r>
        <w:rPr>
          <w:rStyle w:val="optioncarChar"/>
        </w:rPr>
        <w:t>pour les murs de séparation à mi-hauteur / pour les murs de forme irrégulière.</w:t>
      </w:r>
    </w:p>
    <w:p w14:paraId="0B7C9E77" w14:textId="77777777" w:rsidR="00DF410E" w:rsidRDefault="00CE7F43">
      <w:pPr>
        <w:pStyle w:val="pheading"/>
      </w:pPr>
      <w:r>
        <w:t>MESURAGE</w:t>
      </w:r>
    </w:p>
    <w:p w14:paraId="46D7F320" w14:textId="77777777" w:rsidR="00DF410E" w:rsidRDefault="00CE7F43">
      <w:pPr>
        <w:pStyle w:val="pheading"/>
      </w:pPr>
      <w:r>
        <w:t>- unité de mesure:</w:t>
      </w:r>
    </w:p>
    <w:p w14:paraId="6596FFCB" w14:textId="77777777" w:rsidR="00DF410E" w:rsidRDefault="00CE7F43">
      <w:r>
        <w:rPr>
          <w:rStyle w:val="optioncarChar"/>
        </w:rPr>
        <w:t>m</w:t>
      </w:r>
      <w:r>
        <w:t xml:space="preserve"> (par défaut)</w:t>
      </w:r>
    </w:p>
    <w:p w14:paraId="6CE00189" w14:textId="77777777" w:rsidR="00DF410E" w:rsidRDefault="00CE7F43">
      <w:pPr>
        <w:pStyle w:val="pheading"/>
      </w:pPr>
      <w:r>
        <w:t>- code de mesurage:</w:t>
      </w:r>
    </w:p>
    <w:p w14:paraId="68A7C919" w14:textId="77777777" w:rsidR="00DF410E" w:rsidRDefault="00CE7F43">
      <w:r>
        <w:t>longueur nette du mur. Les chevauchements ne sont pas comptés.</w:t>
      </w:r>
    </w:p>
    <w:p w14:paraId="07DAA651" w14:textId="77777777" w:rsidR="00DF410E" w:rsidRDefault="00CE7F43">
      <w:pPr>
        <w:pStyle w:val="pheading"/>
      </w:pPr>
      <w:r>
        <w:t>- nature du marché:</w:t>
      </w:r>
    </w:p>
    <w:p w14:paraId="6A2B29EB" w14:textId="77777777" w:rsidR="00DF410E" w:rsidRDefault="00CE7F43">
      <w:r>
        <w:rPr>
          <w:rStyle w:val="optioncarChar"/>
        </w:rPr>
        <w:t>QF</w:t>
      </w:r>
      <w:r>
        <w:t xml:space="preserve"> (par défaut)</w:t>
      </w:r>
      <w:r>
        <w:rPr>
          <w:rStyle w:val="optioncarChar"/>
        </w:rPr>
        <w:t xml:space="preserve"> / QP</w:t>
      </w:r>
    </w:p>
    <w:p w14:paraId="14F41AEE" w14:textId="77777777" w:rsidR="00DF410E" w:rsidRDefault="00CE7F43">
      <w:pPr>
        <w:pStyle w:val="Author-eSectionHeading6"/>
      </w:pPr>
      <w:bookmarkStart w:id="357" w:name="_Toc178837572"/>
      <w:r>
        <w:t>21.41.1f Armatures horizontales pour maçonneries CCTB 01.11</w:t>
      </w:r>
      <w:bookmarkEnd w:id="357"/>
    </w:p>
    <w:p w14:paraId="73B9C7EB" w14:textId="77777777" w:rsidR="00DF410E" w:rsidRDefault="00CE7F43">
      <w:pPr>
        <w:pStyle w:val="pheading"/>
      </w:pPr>
      <w:r>
        <w:t>MATÉRIAUX</w:t>
      </w:r>
    </w:p>
    <w:p w14:paraId="393769B3" w14:textId="77777777" w:rsidR="00DF410E" w:rsidRDefault="00CE7F43">
      <w:pPr>
        <w:pStyle w:val="pheading"/>
      </w:pPr>
      <w:r>
        <w:t>- Prescriptions complémentaires</w:t>
      </w:r>
    </w:p>
    <w:p w14:paraId="1DDEBE16" w14:textId="77777777" w:rsidR="00DF410E" w:rsidRDefault="00CE7F43">
      <w:r>
        <w:t>Les armatures sont revêtues d'une protection en polyester en vue de l'application dans un milieu corrosif et très agressif (Industrie - air marin).</w:t>
      </w:r>
    </w:p>
    <w:p w14:paraId="052F2577" w14:textId="77777777" w:rsidR="00DF410E" w:rsidRDefault="00CE7F43">
      <w:r>
        <w:t>Pour les murs à coulisse, les armatures sont pourvues d'un larmier.</w:t>
      </w:r>
    </w:p>
    <w:p w14:paraId="7CBD070A" w14:textId="77777777" w:rsidR="00DF410E" w:rsidRDefault="00CE7F43">
      <w:pPr>
        <w:pStyle w:val="pheading"/>
      </w:pPr>
      <w:r>
        <w:t>EXÉCUTION / MISE EN ŒUVRE</w:t>
      </w:r>
    </w:p>
    <w:p w14:paraId="7AC40F67" w14:textId="77777777" w:rsidR="00DF410E" w:rsidRDefault="00CE7F43">
      <w:pPr>
        <w:pStyle w:val="pheading"/>
      </w:pPr>
      <w:r>
        <w:t>- Notes d’exécution complémentaires</w:t>
      </w:r>
    </w:p>
    <w:p w14:paraId="4E8FDD86" w14:textId="77777777" w:rsidR="00DF410E" w:rsidRDefault="00CE7F43">
      <w:r>
        <w:t xml:space="preserve">Les armatures de lit d'assise sont posées aux endroits qui correspondent </w:t>
      </w:r>
      <w:r>
        <w:rPr>
          <w:rStyle w:val="optioncarChar"/>
        </w:rPr>
        <w:t>aux indications sur les plans / à l'étude réalisée par le fabricant des briques.</w:t>
      </w:r>
    </w:p>
    <w:p w14:paraId="0032484F" w14:textId="77777777" w:rsidR="00DF410E" w:rsidRDefault="00CE7F43">
      <w:r>
        <w:t xml:space="preserve">Les armatures sont prévues dans les assises tous les </w:t>
      </w:r>
      <w:r>
        <w:rPr>
          <w:rStyle w:val="optioncarChar"/>
        </w:rPr>
        <w:t>2 tas </w:t>
      </w:r>
      <w:r>
        <w:t>(par défaut)</w:t>
      </w:r>
      <w:r>
        <w:rPr>
          <w:rStyle w:val="optioncarChar"/>
        </w:rPr>
        <w:t xml:space="preserve"> / 3 tas / *** tas / entre chaque assise de maçonnerie.</w:t>
      </w:r>
    </w:p>
    <w:p w14:paraId="240C9E05" w14:textId="77777777" w:rsidR="00DF410E" w:rsidRDefault="00CE7F43">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posera une armature (les armatures débordent de </w:t>
      </w:r>
      <w:r>
        <w:rPr>
          <w:rStyle w:val="optioncarChar"/>
        </w:rPr>
        <w:t>1 </w:t>
      </w:r>
      <w:r>
        <w:t>(par défaut) </w:t>
      </w:r>
      <w:r>
        <w:rPr>
          <w:rStyle w:val="optioncarChar"/>
        </w:rPr>
        <w:t xml:space="preserve"> /***</w:t>
      </w:r>
      <w:r>
        <w:t xml:space="preserve"> m de part et d'autre de la baie).</w:t>
      </w:r>
    </w:p>
    <w:p w14:paraId="1316FCD0" w14:textId="77777777" w:rsidR="00DF410E" w:rsidRDefault="00CE7F43">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73ED7500" w14:textId="77777777" w:rsidR="00DF410E" w:rsidRDefault="00CE7F43">
      <w:r>
        <w:t xml:space="preserve">Les armatures sont prévues tous les </w:t>
      </w:r>
      <w:r>
        <w:rPr>
          <w:rStyle w:val="optioncarChar"/>
        </w:rPr>
        <w:t>2 tas</w:t>
      </w:r>
      <w:r>
        <w:t xml:space="preserve"> (par défaut) </w:t>
      </w:r>
      <w:r>
        <w:rPr>
          <w:rStyle w:val="optioncarChar"/>
        </w:rPr>
        <w:t>/ 3 tas / *** tas</w:t>
      </w:r>
      <w:r>
        <w:t xml:space="preserve">, </w:t>
      </w:r>
      <w:r>
        <w:rPr>
          <w:rStyle w:val="optioncarChar"/>
        </w:rPr>
        <w:t>pour les murs de séparation à mi-hauteur / pour les murs de forme irrégulière.</w:t>
      </w:r>
    </w:p>
    <w:p w14:paraId="77AE7F1A" w14:textId="77777777" w:rsidR="00DF410E" w:rsidRDefault="00CE7F43">
      <w:pPr>
        <w:pStyle w:val="pheading"/>
      </w:pPr>
      <w:r>
        <w:t>MESURAGE</w:t>
      </w:r>
    </w:p>
    <w:p w14:paraId="7C4EFD41" w14:textId="77777777" w:rsidR="00DF410E" w:rsidRDefault="00CE7F43">
      <w:pPr>
        <w:pStyle w:val="pheading"/>
      </w:pPr>
      <w:r>
        <w:t>- unité de mesure:</w:t>
      </w:r>
    </w:p>
    <w:p w14:paraId="7D56ADB5" w14:textId="77777777" w:rsidR="00DF410E" w:rsidRDefault="00CE7F43">
      <w:r>
        <w:rPr>
          <w:rStyle w:val="optioncarChar"/>
        </w:rPr>
        <w:t>m</w:t>
      </w:r>
      <w:r>
        <w:t xml:space="preserve"> (par défaut)</w:t>
      </w:r>
    </w:p>
    <w:p w14:paraId="0152E5C7" w14:textId="77777777" w:rsidR="00DF410E" w:rsidRDefault="00CE7F43">
      <w:pPr>
        <w:pStyle w:val="pheading"/>
      </w:pPr>
      <w:r>
        <w:t>- code de mesurage:</w:t>
      </w:r>
    </w:p>
    <w:p w14:paraId="6445C1DB" w14:textId="77777777" w:rsidR="00DF410E" w:rsidRDefault="00CE7F43">
      <w:r>
        <w:t>longueur nette du mur. Les chevauchements ne sont pas comptés.</w:t>
      </w:r>
    </w:p>
    <w:p w14:paraId="632AE219" w14:textId="77777777" w:rsidR="00DF410E" w:rsidRDefault="00CE7F43">
      <w:pPr>
        <w:pStyle w:val="pheading"/>
      </w:pPr>
      <w:r>
        <w:t>- nature du marché:</w:t>
      </w:r>
    </w:p>
    <w:p w14:paraId="7F30C1D4" w14:textId="77777777" w:rsidR="00DF410E" w:rsidRDefault="00CE7F43">
      <w:r>
        <w:rPr>
          <w:rStyle w:val="optioncarChar"/>
        </w:rPr>
        <w:t>QF</w:t>
      </w:r>
      <w:r>
        <w:t xml:space="preserve"> (par défaut)</w:t>
      </w:r>
      <w:r>
        <w:rPr>
          <w:rStyle w:val="optioncarChar"/>
        </w:rPr>
        <w:t xml:space="preserve"> / QP</w:t>
      </w:r>
    </w:p>
    <w:p w14:paraId="0C88DFAD" w14:textId="77777777" w:rsidR="00DF410E" w:rsidRDefault="00CE7F43">
      <w:pPr>
        <w:pStyle w:val="Author-eSectionHeading5"/>
      </w:pPr>
      <w:bookmarkStart w:id="358" w:name="_Toc178837573"/>
      <w:r>
        <w:t>21.41.2 Armatures verticales pour maçonneries CCTB 01.11</w:t>
      </w:r>
      <w:bookmarkEnd w:id="358"/>
    </w:p>
    <w:p w14:paraId="79F9947C" w14:textId="77777777" w:rsidR="00DF410E" w:rsidRDefault="00CE7F43">
      <w:pPr>
        <w:pStyle w:val="pheading"/>
      </w:pPr>
      <w:bookmarkStart w:id="359" w:name="356"/>
      <w:bookmarkEnd w:id="359"/>
      <w:r>
        <w:t>DESCRIPTION</w:t>
      </w:r>
    </w:p>
    <w:p w14:paraId="76C2526D" w14:textId="77777777" w:rsidR="00DF410E" w:rsidRDefault="00CE7F43">
      <w:pPr>
        <w:pStyle w:val="pheading"/>
      </w:pPr>
      <w:r>
        <w:t>- Définition / Comprend</w:t>
      </w:r>
    </w:p>
    <w:p w14:paraId="17E129B1" w14:textId="77777777" w:rsidR="00DF410E" w:rsidRDefault="00CE7F43">
      <w:pPr>
        <w:jc w:val="both"/>
      </w:pPr>
      <w:r>
        <w:t>Ce poste concerne la fourniture et la mise en œuvre des armatures verticales (barres, profils, treillis, …) des murs posées dans les perforations, dans des gaines spécialement maçonnées à cet effet ou entre deux murs, y compris les écarteurs et les accessoires nécessaires pour fixer les armatures et les tenir en place, en vue d'augmenter la force portante et la résistance à la flexion des ouvrages en maçonnerie.</w:t>
      </w:r>
    </w:p>
    <w:p w14:paraId="34093C26" w14:textId="77777777" w:rsidR="00DF410E" w:rsidRDefault="00CE7F43">
      <w:pPr>
        <w:pStyle w:val="pheading"/>
      </w:pPr>
      <w:r>
        <w:t>- Remarques importantes</w:t>
      </w:r>
    </w:p>
    <w:p w14:paraId="61555744" w14:textId="77777777" w:rsidR="00DF410E" w:rsidRDefault="00CE7F43">
      <w:r>
        <w:t>Conformément aux plans de ferraillage approuvés.</w:t>
      </w:r>
    </w:p>
    <w:p w14:paraId="2201C743" w14:textId="77777777" w:rsidR="00DF410E" w:rsidRDefault="00CE7F43">
      <w:pPr>
        <w:pStyle w:val="pheading"/>
      </w:pPr>
      <w:r>
        <w:t>MATÉRIAUX</w:t>
      </w:r>
    </w:p>
    <w:p w14:paraId="39461CF9" w14:textId="77777777" w:rsidR="00DF410E" w:rsidRDefault="00CE7F43">
      <w:pPr>
        <w:jc w:val="both"/>
      </w:pPr>
      <w:r>
        <w:t>Les barres d'armature doivent respectivement satisfaire aux prescriptions de la [NBN EN 10080, Aciers pour l'armature du béton - Aciers soudables pour béton armé - Généralités], [NBN A 24-301], [NBN A 24-302], [NBN A 24-303], [PTV 302] et [PTV 303] ainsi que du §3.4 de la [NBN EN 1996-1-1+A1].</w:t>
      </w:r>
    </w:p>
    <w:p w14:paraId="51D248CF" w14:textId="77777777" w:rsidR="00DF410E" w:rsidRDefault="00CE7F43">
      <w:pPr>
        <w:jc w:val="both"/>
      </w:pPr>
      <w:r>
        <w:t>A l’instar des aciers pour béton armé :</w:t>
      </w:r>
    </w:p>
    <w:p w14:paraId="0B400A90" w14:textId="77777777" w:rsidR="00DF410E" w:rsidRDefault="00CE7F43">
      <w:pPr>
        <w:pStyle w:val="Author-eListParagraph"/>
        <w:numPr>
          <w:ilvl w:val="0"/>
          <w:numId w:val="287"/>
        </w:numPr>
      </w:pPr>
      <w:r>
        <w:t>Les aciers de la nuance BE 500 S, BE 500 TS, BE 500 ES et BE 500 RS ont les mêmes propriétés spécifiées et correspondent à la qualité B 500 B selon l'annexe C de l'Eurocode [NBN EN 1992-1-1]. Ils peuvent donc être utilisés indifféremment.</w:t>
      </w:r>
    </w:p>
    <w:p w14:paraId="32E1F63A" w14:textId="77777777" w:rsidR="00DF410E" w:rsidRDefault="00CE7F43">
      <w:pPr>
        <w:pStyle w:val="Author-eListParagraph"/>
        <w:numPr>
          <w:ilvl w:val="0"/>
          <w:numId w:val="287"/>
        </w:numPr>
      </w:pPr>
      <w:r>
        <w:t>Les aciers de la nuance DE 500 BS ont des propriétés de ductilité inférieures aux nuances décrites ci-avant (rapport Rm/Re et Agt) et correspondent à la qualité B 500 A selon l'annexe C de la [NBN EN 1992-1-1]. Ils ne peuvent donc être employés en lieu et place de la qualité B 500 B.</w:t>
      </w:r>
    </w:p>
    <w:p w14:paraId="21AFE697" w14:textId="77777777" w:rsidR="00DF410E" w:rsidRDefault="00CE7F43">
      <w:pPr>
        <w:pStyle w:val="Author-eListParagraph"/>
        <w:numPr>
          <w:ilvl w:val="0"/>
          <w:numId w:val="287"/>
        </w:numPr>
      </w:pPr>
      <w:r>
        <w:t>Les aciers de la nuance DE 500 AS ne peuvent être mis en œuvre dans les ouvrages en béton armé vu l'absence de spécification des propriétés de ductilité (rapport Rm/Re et Agt non précisées et donc non conformes aux prescriptions de l’annexe C de la [NBN EN 1992-1-1]).</w:t>
      </w:r>
    </w:p>
    <w:p w14:paraId="742DE853" w14:textId="77777777" w:rsidR="00DF410E" w:rsidRDefault="00CE7F43">
      <w:pPr>
        <w:pStyle w:val="Author-eListParagraph"/>
        <w:numPr>
          <w:ilvl w:val="0"/>
          <w:numId w:val="287"/>
        </w:numPr>
      </w:pPr>
      <w:r>
        <w:t>La qualité de l'acier porte un certificat de conformité</w:t>
      </w:r>
    </w:p>
    <w:p w14:paraId="20369E35" w14:textId="77777777" w:rsidR="00DF410E" w:rsidRDefault="00CE7F43">
      <w:pPr>
        <w:pStyle w:val="Author-eListParagraph"/>
        <w:numPr>
          <w:ilvl w:val="0"/>
          <w:numId w:val="287"/>
        </w:numPr>
      </w:pPr>
      <w:r>
        <w:t>Les treillis soudés doivent satisfaire aux prescriptions de [NBN A 24-304], [PTV 304] et [PTV 307].</w:t>
      </w:r>
    </w:p>
    <w:p w14:paraId="6A601A03" w14:textId="77777777" w:rsidR="00DF410E" w:rsidRDefault="00CE7F43">
      <w:pPr>
        <w:pStyle w:val="Author-eListParagraph"/>
        <w:numPr>
          <w:ilvl w:val="0"/>
          <w:numId w:val="287"/>
        </w:numPr>
      </w:pPr>
      <w:r>
        <w:t>Les profils d'acier noyés dans le béton satisfont aux Eurocodes [NBN EN 1993 série]</w:t>
      </w:r>
    </w:p>
    <w:p w14:paraId="03D2DF3A" w14:textId="77777777" w:rsidR="00DF410E" w:rsidRDefault="00CE7F43">
      <w:pPr>
        <w:pStyle w:val="Author-eListParagraph"/>
        <w:numPr>
          <w:ilvl w:val="0"/>
          <w:numId w:val="287"/>
        </w:numPr>
      </w:pPr>
      <w:r>
        <w:t>Les profils sont pourvus des réservations nécessaires selon les indications sur les plans.</w:t>
      </w:r>
    </w:p>
    <w:p w14:paraId="4BCA6A65" w14:textId="77777777" w:rsidR="00DF410E" w:rsidRDefault="00CE7F43">
      <w:pPr>
        <w:pStyle w:val="Author-eListParagraph"/>
        <w:numPr>
          <w:ilvl w:val="0"/>
          <w:numId w:val="287"/>
        </w:numPr>
      </w:pPr>
      <w:r>
        <w:t xml:space="preserve">Les caractéristiques des profils utilisés sont décrites dans l’élément </w:t>
      </w:r>
      <w:hyperlink w:anchor="420" w:history="1">
        <w:r>
          <w:t>23.1 Eléments de structures métalliques</w:t>
        </w:r>
      </w:hyperlink>
    </w:p>
    <w:p w14:paraId="2F60729E" w14:textId="77777777" w:rsidR="00DF410E" w:rsidRDefault="00CE7F43">
      <w:pPr>
        <w:pStyle w:val="pheading"/>
      </w:pPr>
      <w:r>
        <w:t>EXÉCUTION / MISE EN ŒUVRE</w:t>
      </w:r>
    </w:p>
    <w:p w14:paraId="2219EDA5" w14:textId="77777777" w:rsidR="00DF410E" w:rsidRDefault="00CE7F43">
      <w:pPr>
        <w:jc w:val="both"/>
      </w:pPr>
      <w:r>
        <w:rPr>
          <w:b/>
          <w:u w:val="single"/>
        </w:rPr>
        <w:t>Entreposage - Protection</w:t>
      </w:r>
    </w:p>
    <w:p w14:paraId="57BE890A" w14:textId="77777777" w:rsidR="00DF410E" w:rsidRDefault="00CE7F43">
      <w:pPr>
        <w:pStyle w:val="Author-eListParagraph"/>
        <w:numPr>
          <w:ilvl w:val="0"/>
          <w:numId w:val="288"/>
        </w:numPr>
      </w:pPr>
      <w:r>
        <w:t>A leur arrivée sur chantier, les armatures sont exemptes de salissures, d'huile, de peinture, de terre, etc.; elles sont entreposées à un endroit couvert et protégées contre la pluie et toute autre souillure.</w:t>
      </w:r>
    </w:p>
    <w:p w14:paraId="439C2404" w14:textId="77777777" w:rsidR="00DF410E" w:rsidRDefault="00CE7F43">
      <w:pPr>
        <w:pStyle w:val="Author-eListParagraph"/>
        <w:numPr>
          <w:ilvl w:val="0"/>
          <w:numId w:val="288"/>
        </w:numPr>
      </w:pPr>
      <w:r>
        <w:t>Au moment de leur mise en œuvre, les armatures sont complètement débarrassées de toutes souillures et de la rouille non adhérente qui peuvent nuire à la bonne adhérence des barres au béton.</w:t>
      </w:r>
    </w:p>
    <w:p w14:paraId="581E900F" w14:textId="77777777" w:rsidR="00DF410E" w:rsidRDefault="00CE7F43">
      <w:pPr>
        <w:pStyle w:val="Author-eListParagraph"/>
        <w:numPr>
          <w:ilvl w:val="0"/>
          <w:numId w:val="288"/>
        </w:numPr>
      </w:pPr>
      <w:r>
        <w:t>Les barres d'attente sont protégées contre les intempéries. Toutes les armatures qui sont exposées pendant un certain temps aux influences atmosphériques et pourraient, de ce fait, occasionner des taches de rouille sur le béton, sont enduites de lait de ciment.</w:t>
      </w:r>
    </w:p>
    <w:p w14:paraId="27896ACA" w14:textId="77777777" w:rsidR="00DF410E" w:rsidRDefault="00CE7F43">
      <w:pPr>
        <w:jc w:val="both"/>
      </w:pPr>
      <w:r>
        <w:t> </w:t>
      </w:r>
    </w:p>
    <w:p w14:paraId="5DD28AF7" w14:textId="77777777" w:rsidR="00DF410E" w:rsidRDefault="00CE7F43">
      <w:pPr>
        <w:jc w:val="both"/>
      </w:pPr>
      <w:r>
        <w:rPr>
          <w:b/>
          <w:u w:val="single"/>
        </w:rPr>
        <w:t>Pliage des Armatures - Ferraillage</w:t>
      </w:r>
    </w:p>
    <w:p w14:paraId="712A1FC9" w14:textId="77777777" w:rsidR="00DF410E" w:rsidRDefault="00CE7F43">
      <w:pPr>
        <w:jc w:val="both"/>
      </w:pPr>
      <w:r>
        <w:t>Avant leur mise en œuvre, les armatures doivent être pliées dans les formes et aux dimensions indiquées sur les plans et dans les bordereaux. Elles sont pliées conformément aux indications des normes [NBN EN 1992-1-1], [NBN EN 13670] et [NBN B 15-400]. Pendant le pliage, on prend les précautions nécessaires pour éviter les ruptures fragiles ou autres détériorations. Leur disposition suit les prescriptions du §8.2 de la [NBN EN 1996-1-1+A1].</w:t>
      </w:r>
    </w:p>
    <w:p w14:paraId="78125E19" w14:textId="77777777" w:rsidR="00DF410E" w:rsidRDefault="00CE7F43">
      <w:pPr>
        <w:pStyle w:val="Author-eListParagraph"/>
        <w:numPr>
          <w:ilvl w:val="0"/>
          <w:numId w:val="289"/>
        </w:numPr>
      </w:pPr>
      <w:r>
        <w:t>Le pliage des barres s'effectue, en principe, par une température ambiante d'au moins 5°C. Dès que la température baisse sous 5°C, il est toutefois conseillé de prendre les mesures qui s'imposent afin de prévenir la rupture fragile des barres (par ex. en utilisant une plieuse mécanique à vitesse modérée et/ou en choisissant une nuance d'acier moins sensible aux variations de température).</w:t>
      </w:r>
    </w:p>
    <w:p w14:paraId="73B0DD7D" w14:textId="77777777" w:rsidR="00DF410E" w:rsidRDefault="00CE7F43">
      <w:pPr>
        <w:pStyle w:val="Author-eListParagraph"/>
        <w:numPr>
          <w:ilvl w:val="0"/>
          <w:numId w:val="289"/>
        </w:numPr>
      </w:pPr>
      <w:r>
        <w:t>Le pliage à froid ou le dressage sur gabarit se fait progressivement et lentement, à l'aide d'une machine capable d'effectuer ces pliages, sans endommager le métal dans les angles.</w:t>
      </w:r>
    </w:p>
    <w:p w14:paraId="632E00B7" w14:textId="77777777" w:rsidR="00DF410E" w:rsidRDefault="00CE7F43">
      <w:pPr>
        <w:pStyle w:val="Author-eListParagraph"/>
        <w:numPr>
          <w:ilvl w:val="0"/>
          <w:numId w:val="289"/>
        </w:numPr>
      </w:pPr>
      <w:r>
        <w:t>Tout pliage provisoire suivi d'un pliage à contresens est évité autant que possible. Lorsque cette opération est nécessaire, elle se fait sans à-coups. Le rayon de courbure de la courbe est alors le double de celui prescrit dans la [NBN EN 1992-1-1].</w:t>
      </w:r>
    </w:p>
    <w:p w14:paraId="76DE5381" w14:textId="77777777" w:rsidR="00DF410E" w:rsidRDefault="00CE7F43">
      <w:pPr>
        <w:pStyle w:val="Author-eListParagraph"/>
        <w:numPr>
          <w:ilvl w:val="0"/>
          <w:numId w:val="289"/>
        </w:numPr>
      </w:pPr>
      <w:r>
        <w:t>Le rayon de courbure de la courbe, mesuré sur la fibre médiane de la barre courbée, ne peut être inférieur aux valeurs mentionnées dans la [NBN EN 1992-1-1], qui indique également le diamètre du noyau de courbure qui correspond à cette valeur.</w:t>
      </w:r>
    </w:p>
    <w:p w14:paraId="4A3672B3" w14:textId="77777777" w:rsidR="00DF410E" w:rsidRDefault="00CE7F43">
      <w:pPr>
        <w:pStyle w:val="Author-eListParagraph"/>
        <w:numPr>
          <w:ilvl w:val="0"/>
          <w:numId w:val="289"/>
        </w:numPr>
      </w:pPr>
      <w:r>
        <w:t>Dans la mesure du possible, on réserve, entre le début d'une courbure et un nœud soudé, une distance d'au moins 4 fois le diamètre des armatures courbées</w:t>
      </w:r>
    </w:p>
    <w:p w14:paraId="25DB1A2A" w14:textId="77777777" w:rsidR="00DF410E" w:rsidRDefault="00CE7F43">
      <w:pPr>
        <w:jc w:val="both"/>
      </w:pPr>
      <w:r>
        <w:t> </w:t>
      </w:r>
    </w:p>
    <w:p w14:paraId="61878EA1" w14:textId="77777777" w:rsidR="00DF410E" w:rsidRDefault="00CE7F43">
      <w:pPr>
        <w:jc w:val="both"/>
      </w:pPr>
      <w:r>
        <w:rPr>
          <w:b/>
          <w:u w:val="single"/>
        </w:rPr>
        <w:t>Croisements - Chevauchements - Assemblages par soudure</w:t>
      </w:r>
    </w:p>
    <w:p w14:paraId="28779A5F" w14:textId="77777777" w:rsidR="00DF410E" w:rsidRDefault="00CE7F43">
      <w:pPr>
        <w:jc w:val="both"/>
      </w:pPr>
      <w:r>
        <w:t>La longueur de chevauchement des armatures principales et des treillis préfabriqués est déterminée selon les indications sur les plans basées notamment sur le §8.2 de la [NBN EN 1996-1-1+A1].</w:t>
      </w:r>
    </w:p>
    <w:p w14:paraId="0F69E6DC" w14:textId="77777777" w:rsidR="00DF410E" w:rsidRDefault="00CE7F43">
      <w:pPr>
        <w:pStyle w:val="Author-eListParagraph"/>
        <w:numPr>
          <w:ilvl w:val="0"/>
          <w:numId w:val="290"/>
        </w:numPr>
      </w:pPr>
      <w:r>
        <w:t>Les treillis d’armatures préfabriqués sont posés avec un chevauchement conforme au plan et à la [NBN EN 1992-1-1] et ils sont reliés aux angles des mailles superposées. Les assemblages peuvent être réalisés, soit par soudure, soit à l’aide de ligatures chauffées à blanc. Les écarteurs nécessaires sont prévus pour réaliser l’enrobage de béton exigé. Des écarteurs en acier sont utilisés pour les doubles treillis.</w:t>
      </w:r>
    </w:p>
    <w:p w14:paraId="6CCA502C" w14:textId="77777777" w:rsidR="00DF410E" w:rsidRDefault="00CE7F43">
      <w:pPr>
        <w:pStyle w:val="Author-eListParagraph"/>
        <w:numPr>
          <w:ilvl w:val="0"/>
          <w:numId w:val="290"/>
        </w:numPr>
      </w:pPr>
      <w:r>
        <w:t>Les barres qui se croisent doivent être solidement attachées afin qu’elles ne se déplacent pas pendant le coulage du béton. A cet effet, les assemblages peuvent être réalisés, soit par soudure, soit à l’aide de ligatures chauffées à blanc et/ou les barres peuvent être supportées par des écarteurs appropriés.</w:t>
      </w:r>
    </w:p>
    <w:p w14:paraId="2872A86A" w14:textId="77777777" w:rsidR="00DF410E" w:rsidRDefault="00CE7F43">
      <w:pPr>
        <w:pStyle w:val="Author-eListParagraph"/>
        <w:numPr>
          <w:ilvl w:val="0"/>
          <w:numId w:val="290"/>
        </w:numPr>
      </w:pPr>
      <w:r>
        <w:t>Les profils noyés sont liaisonnés entre eux et/ou aux barres d’armature ou aux treillis d’armature par soudure. Lorsque les armatures doivent être soudées, l’entrepreneur vérifie d’abord si cela peut se faire selon le procédé qu’il souhaitait appliquer. La méthode à appliquer est déterminée par l’ingénieur qui réalise l’étude du béton.</w:t>
      </w:r>
    </w:p>
    <w:p w14:paraId="51B3AADF" w14:textId="77777777" w:rsidR="00DF410E" w:rsidRDefault="00CE7F43">
      <w:pPr>
        <w:pStyle w:val="Author-eListParagraph"/>
        <w:numPr>
          <w:ilvl w:val="0"/>
          <w:numId w:val="290"/>
        </w:numPr>
      </w:pPr>
      <w:r>
        <w:t>Les procédés de soudure suivants sont autorisés :</w:t>
      </w:r>
    </w:p>
    <w:p w14:paraId="74AF07F9" w14:textId="77777777" w:rsidR="00DF410E" w:rsidRDefault="00CE7F43">
      <w:pPr>
        <w:pStyle w:val="Author-eListParagraph"/>
        <w:numPr>
          <w:ilvl w:val="1"/>
          <w:numId w:val="291"/>
        </w:numPr>
      </w:pPr>
      <w:r>
        <w:t>soudage par résistance; (soudure électrique par résistance)</w:t>
      </w:r>
    </w:p>
    <w:p w14:paraId="79D1C8ED" w14:textId="77777777" w:rsidR="00DF410E" w:rsidRDefault="00CE7F43">
      <w:pPr>
        <w:pStyle w:val="Author-eListParagraph"/>
        <w:numPr>
          <w:ilvl w:val="1"/>
          <w:numId w:val="291"/>
        </w:numPr>
      </w:pPr>
      <w:r>
        <w:t>soudage à l’arc manuel; (soudage électrique à l’arc)</w:t>
      </w:r>
    </w:p>
    <w:p w14:paraId="0016147A" w14:textId="77777777" w:rsidR="00DF410E" w:rsidRDefault="00CE7F43">
      <w:pPr>
        <w:pStyle w:val="Author-eListParagraph"/>
        <w:numPr>
          <w:ilvl w:val="1"/>
          <w:numId w:val="291"/>
        </w:numPr>
      </w:pPr>
      <w:r>
        <w:t>soudage semi-automatique en atmosphère gazeuse; (soudure par fusion)</w:t>
      </w:r>
    </w:p>
    <w:p w14:paraId="6A1C40D8" w14:textId="77777777" w:rsidR="00DF410E" w:rsidRDefault="00CE7F43">
      <w:pPr>
        <w:pStyle w:val="Author-eListParagraph"/>
        <w:numPr>
          <w:ilvl w:val="1"/>
          <w:numId w:val="291"/>
        </w:numPr>
      </w:pPr>
      <w:r>
        <w:t>soudage par étincelage.</w:t>
      </w:r>
    </w:p>
    <w:p w14:paraId="58F084F9" w14:textId="77777777" w:rsidR="00DF410E" w:rsidRDefault="00CE7F43">
      <w:pPr>
        <w:pStyle w:val="Author-eListParagraph"/>
        <w:numPr>
          <w:ilvl w:val="0"/>
          <w:numId w:val="290"/>
        </w:numPr>
      </w:pPr>
      <w:r>
        <w:t>Il est interdit d’effectuer des soudures au chalumeau ou à la forge.</w:t>
      </w:r>
    </w:p>
    <w:p w14:paraId="1E2A1828" w14:textId="77777777" w:rsidR="00DF410E" w:rsidRDefault="00CE7F43">
      <w:pPr>
        <w:pStyle w:val="Author-eListParagraph"/>
        <w:numPr>
          <w:ilvl w:val="0"/>
          <w:numId w:val="290"/>
        </w:numPr>
      </w:pPr>
      <w:r>
        <w:t>Les soudures sont effectuées conformément aux normes [NBN A 24-301] et [NBN A 24-302]</w:t>
      </w:r>
    </w:p>
    <w:p w14:paraId="4FED65E3" w14:textId="77777777" w:rsidR="00DF410E" w:rsidRDefault="00CE7F43">
      <w:pPr>
        <w:pStyle w:val="Author-eListParagraph"/>
        <w:numPr>
          <w:ilvl w:val="0"/>
          <w:numId w:val="290"/>
        </w:numPr>
      </w:pPr>
      <w:r>
        <w:t>Les soudures dans les barres sont évitées à moins de disposer de l’accord de l’ingénieur en stabilité. Il est interdit de souder bout-à-bout les barres d’un diamètre inférieur à 18 mm. Les soudures sont toujours réalisées aux endroits où les barres sont les moins sollicitées. Il s'agit de soudures structurales. On évite de réaliser plusieurs soudures dans un même plan. Lorsque les armatures sont composées de plusieurs barres parallèles qui présentent des soudures, celles-ci sont écartées d’au moins 50 cm. Lorsque la soudure se situe à proximité d’un coffrage, la barre la plus proche du coffrage est déplacée à une distance supérieure ou égale au diamètre de la barre la plus grosse.</w:t>
      </w:r>
    </w:p>
    <w:p w14:paraId="616A8782" w14:textId="77777777" w:rsidR="00DF410E" w:rsidRDefault="00CE7F43">
      <w:pPr>
        <w:jc w:val="both"/>
      </w:pPr>
      <w:r>
        <w:t> </w:t>
      </w:r>
    </w:p>
    <w:p w14:paraId="4EDD8275" w14:textId="77777777" w:rsidR="00DF410E" w:rsidRDefault="00CE7F43">
      <w:pPr>
        <w:jc w:val="both"/>
      </w:pPr>
      <w:r>
        <w:rPr>
          <w:b/>
          <w:u w:val="single"/>
        </w:rPr>
        <w:t>Ecartements - Enrobage - Ecarteurs</w:t>
      </w:r>
    </w:p>
    <w:p w14:paraId="22E2A27D" w14:textId="77777777" w:rsidR="00DF410E" w:rsidRDefault="00CE7F43">
      <w:pPr>
        <w:jc w:val="both"/>
      </w:pPr>
      <w:r>
        <w:t>Les enrobages sont conformes aux règles éditées dans la [NBN EN 1996-1-1+A1]. Des exigences plus sévères peuvent être requises pour la résistance au feu des structures (voir par exemple la [NBN EN 1992-1-2]).</w:t>
      </w:r>
    </w:p>
    <w:p w14:paraId="6B806309" w14:textId="77777777" w:rsidR="00DF410E" w:rsidRDefault="00DF410E">
      <w:pPr>
        <w:jc w:val="both"/>
      </w:pPr>
    </w:p>
    <w:p w14:paraId="37643101" w14:textId="77777777" w:rsidR="00DF410E" w:rsidRDefault="00CE7F43">
      <w:pPr>
        <w:jc w:val="both"/>
      </w:pPr>
      <w:r>
        <w:t>Les cales et écarteurs sont conformes aux normes [NBN EN 13670] et [NBN B 15-400].</w:t>
      </w:r>
    </w:p>
    <w:p w14:paraId="19B8BA06" w14:textId="77777777" w:rsidR="00DF410E" w:rsidRDefault="00DF410E"/>
    <w:p w14:paraId="5EC536AB" w14:textId="77777777" w:rsidR="00DF410E" w:rsidRDefault="00CE7F43">
      <w:pPr>
        <w:jc w:val="both"/>
      </w:pPr>
      <w:r>
        <w:rPr>
          <w:b/>
          <w:u w:val="single"/>
        </w:rPr>
        <w:t>Choix de l’acier d’armature vis-à-vis de la durabilité</w:t>
      </w:r>
    </w:p>
    <w:p w14:paraId="4ECF2AB1" w14:textId="77777777" w:rsidR="00DF410E" w:rsidRDefault="00CE7F43">
      <w:pPr>
        <w:jc w:val="both"/>
      </w:pPr>
      <w:r>
        <w:t>Il convient de choisir le type d’acier d’armature et le niveau de protection associé eu égard à la classe d’exposition appropriée au lieu d’utilisation. On se réfère aux tableaux ci-dessous (voir aussi le §4.3.3 de la [NBN EN 1996-1-1+A1]).</w:t>
      </w:r>
    </w:p>
    <w:tbl>
      <w:tblPr>
        <w:tblStyle w:val="Author-eTableGrid"/>
        <w:tblW w:w="9030" w:type="dxa"/>
        <w:tblLayout w:type="fixed"/>
        <w:tblLook w:val="04A0" w:firstRow="1" w:lastRow="0" w:firstColumn="1" w:lastColumn="0" w:noHBand="0" w:noVBand="1"/>
      </w:tblPr>
      <w:tblGrid>
        <w:gridCol w:w="4515"/>
        <w:gridCol w:w="4515"/>
      </w:tblGrid>
      <w:tr w:rsidR="00DF410E" w14:paraId="2B39362C" w14:textId="77777777">
        <w:tc>
          <w:tcPr>
            <w:tcW w:w="4515" w:type="dxa"/>
            <w:noWrap/>
          </w:tcPr>
          <w:p w14:paraId="7CA5A9B4" w14:textId="77777777" w:rsidR="00DF410E" w:rsidRDefault="00CE7F43">
            <w:r>
              <w:rPr>
                <w:b/>
              </w:rPr>
              <w:t>Classe d’exposition</w:t>
            </w:r>
          </w:p>
        </w:tc>
        <w:tc>
          <w:tcPr>
            <w:tcW w:w="4515" w:type="dxa"/>
            <w:noWrap/>
          </w:tcPr>
          <w:p w14:paraId="7A6C63AF" w14:textId="77777777" w:rsidR="00DF410E" w:rsidRDefault="00CE7F43">
            <w:r>
              <w:rPr>
                <w:b/>
              </w:rPr>
              <w:t>Niveau minimum de protection de l’acier d’armature</w:t>
            </w:r>
          </w:p>
        </w:tc>
      </w:tr>
      <w:tr w:rsidR="00DF410E" w14:paraId="40289FFA" w14:textId="77777777">
        <w:tc>
          <w:tcPr>
            <w:tcW w:w="4515" w:type="dxa"/>
            <w:noWrap/>
          </w:tcPr>
          <w:p w14:paraId="4CE00ABA" w14:textId="77777777" w:rsidR="00DF410E" w:rsidRDefault="00CE7F43">
            <w:r>
              <w:rPr>
                <w:b/>
              </w:rPr>
              <w:t>(voir [NBN EN 1996-2])</w:t>
            </w:r>
          </w:p>
        </w:tc>
        <w:tc>
          <w:tcPr>
            <w:tcW w:w="4515" w:type="dxa"/>
            <w:noWrap/>
          </w:tcPr>
          <w:p w14:paraId="4A086C1E" w14:textId="77777777" w:rsidR="00DF410E" w:rsidRDefault="00CE7F43">
            <w:r>
              <w:rPr>
                <w:b/>
              </w:rPr>
              <w:t>Située dans du béton avec un enrobage inférieur à c</w:t>
            </w:r>
            <w:r>
              <w:rPr>
                <w:b/>
                <w:vertAlign w:val="subscript"/>
              </w:rPr>
              <w:t>nom</w:t>
            </w:r>
            <w:r>
              <w:rPr>
                <w:b/>
              </w:rPr>
              <w:t xml:space="preserve"> (voir ci-après)</w:t>
            </w:r>
          </w:p>
        </w:tc>
      </w:tr>
      <w:tr w:rsidR="00DF410E" w14:paraId="2DA9C9C8" w14:textId="77777777">
        <w:tc>
          <w:tcPr>
            <w:tcW w:w="4515" w:type="dxa"/>
            <w:noWrap/>
          </w:tcPr>
          <w:p w14:paraId="718E14EE" w14:textId="77777777" w:rsidR="00DF410E" w:rsidRDefault="00CE7F43">
            <w:r>
              <w:t>MX1 – milieu sec</w:t>
            </w:r>
          </w:p>
        </w:tc>
        <w:tc>
          <w:tcPr>
            <w:tcW w:w="4515" w:type="dxa"/>
            <w:noWrap/>
          </w:tcPr>
          <w:p w14:paraId="72C5E9DD" w14:textId="77777777" w:rsidR="00DF410E" w:rsidRDefault="00CE7F43">
            <w:r>
              <w:t>Acier au carbone non protégé</w:t>
            </w:r>
          </w:p>
        </w:tc>
      </w:tr>
      <w:tr w:rsidR="00DF410E" w14:paraId="5A8F6FF7" w14:textId="77777777">
        <w:tc>
          <w:tcPr>
            <w:tcW w:w="4515" w:type="dxa"/>
            <w:noWrap/>
          </w:tcPr>
          <w:p w14:paraId="65AED94B" w14:textId="77777777" w:rsidR="00DF410E" w:rsidRDefault="00CE7F43">
            <w:r>
              <w:t>MX2 – milieu humide</w:t>
            </w:r>
          </w:p>
        </w:tc>
        <w:tc>
          <w:tcPr>
            <w:tcW w:w="4515" w:type="dxa"/>
            <w:noWrap/>
          </w:tcPr>
          <w:p w14:paraId="7FD2F1B3" w14:textId="77777777" w:rsidR="00DF410E" w:rsidRDefault="00CE7F43">
            <w:r>
              <w:t>Acier au carbone non protégé, ou si du mortier est utilisé pour remplir les évidements, acier au carbone à galvanisation forte ou avec protection équivalente</w:t>
            </w:r>
          </w:p>
        </w:tc>
      </w:tr>
      <w:tr w:rsidR="00DF410E" w14:paraId="55A96939" w14:textId="77777777">
        <w:tc>
          <w:tcPr>
            <w:tcW w:w="4515" w:type="dxa"/>
            <w:noWrap/>
          </w:tcPr>
          <w:p w14:paraId="4BC72E06" w14:textId="77777777" w:rsidR="00DF410E" w:rsidRDefault="00CE7F43">
            <w:r>
              <w:t>MX3 – Milieu humide et gel</w:t>
            </w:r>
          </w:p>
        </w:tc>
        <w:tc>
          <w:tcPr>
            <w:tcW w:w="4515" w:type="dxa"/>
            <w:noWrap/>
          </w:tcPr>
          <w:p w14:paraId="333D671C" w14:textId="77777777" w:rsidR="00DF410E" w:rsidRDefault="00CE7F43">
            <w:r>
              <w:t>Acier au carbone, à galvanisation forte ou avec protection équivalente</w:t>
            </w:r>
          </w:p>
        </w:tc>
      </w:tr>
      <w:tr w:rsidR="00DF410E" w14:paraId="4416415A" w14:textId="77777777">
        <w:tc>
          <w:tcPr>
            <w:tcW w:w="4515" w:type="dxa"/>
            <w:noWrap/>
          </w:tcPr>
          <w:p w14:paraId="5F36978E" w14:textId="77777777" w:rsidR="00DF410E" w:rsidRDefault="00CE7F43">
            <w:r>
              <w:t>MX4 – milieu salin</w:t>
            </w:r>
          </w:p>
        </w:tc>
        <w:tc>
          <w:tcPr>
            <w:tcW w:w="4515" w:type="dxa"/>
            <w:noWrap/>
          </w:tcPr>
          <w:p w14:paraId="4C611959" w14:textId="77777777" w:rsidR="00DF410E" w:rsidRDefault="00CE7F43">
            <w:r>
              <w:t>Acier inoxydable austénitique AISI 316</w:t>
            </w:r>
          </w:p>
        </w:tc>
      </w:tr>
      <w:tr w:rsidR="00DF410E" w14:paraId="7BB6FB1D" w14:textId="77777777">
        <w:tc>
          <w:tcPr>
            <w:tcW w:w="4515" w:type="dxa"/>
            <w:noWrap/>
          </w:tcPr>
          <w:p w14:paraId="24D5E141" w14:textId="77777777" w:rsidR="00DF410E" w:rsidRDefault="00CE7F43">
            <w:r>
              <w:t>MX5 – milieu chimique agressif</w:t>
            </w:r>
          </w:p>
        </w:tc>
        <w:tc>
          <w:tcPr>
            <w:tcW w:w="4515" w:type="dxa"/>
            <w:noWrap/>
          </w:tcPr>
          <w:p w14:paraId="3C2F3FFF" w14:textId="77777777" w:rsidR="00DF410E" w:rsidRDefault="00CE7F43">
            <w:r>
              <w:t>Acier inoxydable austénitique AISI 316 ou 304</w:t>
            </w:r>
          </w:p>
        </w:tc>
      </w:tr>
    </w:tbl>
    <w:p w14:paraId="35CC93CD" w14:textId="77777777" w:rsidR="00DF410E" w:rsidRDefault="00DF410E"/>
    <w:p w14:paraId="044EFA84" w14:textId="77777777" w:rsidR="00DF410E" w:rsidRDefault="00CE7F43">
      <w:pPr>
        <w:jc w:val="both"/>
      </w:pPr>
      <w:r>
        <w:t> </w:t>
      </w:r>
    </w:p>
    <w:p w14:paraId="64ED41AA" w14:textId="77777777" w:rsidR="00DF410E" w:rsidRDefault="00CE7F43">
      <w:pPr>
        <w:jc w:val="both"/>
      </w:pPr>
      <w:r>
        <w:t>Lorsque de l’acier au carbone non protégé est utilisé, il convient de le protéger par un enrobage de béton d’épaisseur c</w:t>
      </w:r>
      <w:r>
        <w:rPr>
          <w:vertAlign w:val="subscript"/>
        </w:rPr>
        <w:t>nom</w:t>
      </w:r>
      <w:r>
        <w:t xml:space="preserve"> tel que spécifié dans le tableau suivant.</w:t>
      </w:r>
    </w:p>
    <w:tbl>
      <w:tblPr>
        <w:tblStyle w:val="Author-eTableGrid"/>
        <w:tblW w:w="9030" w:type="dxa"/>
        <w:tblLayout w:type="fixed"/>
        <w:tblLook w:val="04A0" w:firstRow="1" w:lastRow="0" w:firstColumn="1" w:lastColumn="0" w:noHBand="0" w:noVBand="1"/>
      </w:tblPr>
      <w:tblGrid>
        <w:gridCol w:w="2840"/>
        <w:gridCol w:w="1238"/>
        <w:gridCol w:w="1238"/>
        <w:gridCol w:w="1238"/>
        <w:gridCol w:w="1238"/>
        <w:gridCol w:w="1238"/>
      </w:tblGrid>
      <w:tr w:rsidR="00DF410E" w14:paraId="39F66388" w14:textId="77777777">
        <w:tc>
          <w:tcPr>
            <w:tcW w:w="2820" w:type="dxa"/>
            <w:vMerge w:val="restart"/>
            <w:noWrap/>
          </w:tcPr>
          <w:p w14:paraId="7CFCFAEF" w14:textId="77777777" w:rsidR="00DF410E" w:rsidRDefault="00DF410E"/>
          <w:p w14:paraId="10339D69" w14:textId="77777777" w:rsidR="00DF410E" w:rsidRDefault="00CE7F43">
            <w:pPr>
              <w:jc w:val="both"/>
            </w:pPr>
            <w:r>
              <w:rPr>
                <w:b/>
              </w:rPr>
              <w:t>Classe</w:t>
            </w:r>
          </w:p>
          <w:p w14:paraId="272A7EEB" w14:textId="77777777" w:rsidR="00DF410E" w:rsidRDefault="00CE7F43">
            <w:pPr>
              <w:jc w:val="both"/>
            </w:pPr>
            <w:r>
              <w:rPr>
                <w:b/>
              </w:rPr>
              <w:t>D’exposition</w:t>
            </w:r>
          </w:p>
        </w:tc>
        <w:tc>
          <w:tcPr>
            <w:tcW w:w="6150" w:type="dxa"/>
            <w:gridSpan w:val="5"/>
            <w:noWrap/>
          </w:tcPr>
          <w:p w14:paraId="2453B292" w14:textId="77777777" w:rsidR="00DF410E" w:rsidRDefault="00CE7F43">
            <w:pPr>
              <w:jc w:val="center"/>
            </w:pPr>
            <w:r>
              <w:rPr>
                <w:b/>
              </w:rPr>
              <w:t>Teneur minimale en ciment kg/m³</w:t>
            </w:r>
          </w:p>
        </w:tc>
      </w:tr>
      <w:tr w:rsidR="00DF410E" w14:paraId="44F42423" w14:textId="77777777">
        <w:tc>
          <w:tcPr>
            <w:tcW w:w="2820" w:type="dxa"/>
            <w:vMerge/>
            <w:noWrap/>
          </w:tcPr>
          <w:p w14:paraId="3C551FBD" w14:textId="77777777" w:rsidR="00DF410E" w:rsidRDefault="00DF410E"/>
        </w:tc>
        <w:tc>
          <w:tcPr>
            <w:tcW w:w="1230" w:type="dxa"/>
            <w:noWrap/>
          </w:tcPr>
          <w:p w14:paraId="28AF6C81" w14:textId="77777777" w:rsidR="00DF410E" w:rsidRDefault="00CE7F43">
            <w:pPr>
              <w:jc w:val="center"/>
            </w:pPr>
            <w:r>
              <w:rPr>
                <w:b/>
              </w:rPr>
              <w:t>275</w:t>
            </w:r>
          </w:p>
        </w:tc>
        <w:tc>
          <w:tcPr>
            <w:tcW w:w="1230" w:type="dxa"/>
            <w:noWrap/>
          </w:tcPr>
          <w:p w14:paraId="6CE25858" w14:textId="77777777" w:rsidR="00DF410E" w:rsidRDefault="00CE7F43">
            <w:pPr>
              <w:jc w:val="center"/>
            </w:pPr>
            <w:r>
              <w:rPr>
                <w:b/>
              </w:rPr>
              <w:t>300</w:t>
            </w:r>
          </w:p>
        </w:tc>
        <w:tc>
          <w:tcPr>
            <w:tcW w:w="1230" w:type="dxa"/>
            <w:noWrap/>
          </w:tcPr>
          <w:p w14:paraId="42640CBF" w14:textId="77777777" w:rsidR="00DF410E" w:rsidRDefault="00CE7F43">
            <w:pPr>
              <w:jc w:val="center"/>
            </w:pPr>
            <w:r>
              <w:rPr>
                <w:b/>
              </w:rPr>
              <w:t>325</w:t>
            </w:r>
          </w:p>
        </w:tc>
        <w:tc>
          <w:tcPr>
            <w:tcW w:w="1230" w:type="dxa"/>
            <w:noWrap/>
          </w:tcPr>
          <w:p w14:paraId="1349E111" w14:textId="77777777" w:rsidR="00DF410E" w:rsidRDefault="00CE7F43">
            <w:pPr>
              <w:jc w:val="center"/>
            </w:pPr>
            <w:r>
              <w:rPr>
                <w:b/>
              </w:rPr>
              <w:t>350</w:t>
            </w:r>
          </w:p>
        </w:tc>
        <w:tc>
          <w:tcPr>
            <w:tcW w:w="1230" w:type="dxa"/>
            <w:noWrap/>
          </w:tcPr>
          <w:p w14:paraId="144C0F50" w14:textId="77777777" w:rsidR="00DF410E" w:rsidRDefault="00CE7F43">
            <w:pPr>
              <w:jc w:val="center"/>
            </w:pPr>
            <w:r>
              <w:rPr>
                <w:b/>
              </w:rPr>
              <w:t>400</w:t>
            </w:r>
          </w:p>
        </w:tc>
      </w:tr>
      <w:tr w:rsidR="00DF410E" w14:paraId="47D63EEB" w14:textId="77777777">
        <w:tc>
          <w:tcPr>
            <w:tcW w:w="2820" w:type="dxa"/>
            <w:vMerge/>
            <w:noWrap/>
          </w:tcPr>
          <w:p w14:paraId="651B35C5" w14:textId="77777777" w:rsidR="00DF410E" w:rsidRDefault="00DF410E"/>
        </w:tc>
        <w:tc>
          <w:tcPr>
            <w:tcW w:w="6150" w:type="dxa"/>
            <w:gridSpan w:val="5"/>
            <w:noWrap/>
          </w:tcPr>
          <w:p w14:paraId="5FEAA559" w14:textId="77777777" w:rsidR="00DF410E" w:rsidRDefault="00CE7F43">
            <w:pPr>
              <w:jc w:val="center"/>
            </w:pPr>
            <w:r>
              <w:rPr>
                <w:b/>
              </w:rPr>
              <w:t>Rapport maximal eau/ciment</w:t>
            </w:r>
          </w:p>
        </w:tc>
      </w:tr>
      <w:tr w:rsidR="00DF410E" w14:paraId="5B4133EA" w14:textId="77777777">
        <w:tc>
          <w:tcPr>
            <w:tcW w:w="2820" w:type="dxa"/>
            <w:vMerge/>
            <w:noWrap/>
          </w:tcPr>
          <w:p w14:paraId="01389351" w14:textId="77777777" w:rsidR="00DF410E" w:rsidRDefault="00DF410E"/>
        </w:tc>
        <w:tc>
          <w:tcPr>
            <w:tcW w:w="1230" w:type="dxa"/>
            <w:noWrap/>
          </w:tcPr>
          <w:p w14:paraId="72784B03" w14:textId="77777777" w:rsidR="00DF410E" w:rsidRDefault="00CE7F43">
            <w:pPr>
              <w:jc w:val="center"/>
            </w:pPr>
            <w:r>
              <w:rPr>
                <w:b/>
              </w:rPr>
              <w:t>0,65</w:t>
            </w:r>
          </w:p>
        </w:tc>
        <w:tc>
          <w:tcPr>
            <w:tcW w:w="1230" w:type="dxa"/>
            <w:noWrap/>
          </w:tcPr>
          <w:p w14:paraId="0BE2A1F6" w14:textId="77777777" w:rsidR="00DF410E" w:rsidRDefault="00CE7F43">
            <w:pPr>
              <w:jc w:val="center"/>
            </w:pPr>
            <w:r>
              <w:rPr>
                <w:b/>
              </w:rPr>
              <w:t>0,60</w:t>
            </w:r>
          </w:p>
        </w:tc>
        <w:tc>
          <w:tcPr>
            <w:tcW w:w="1230" w:type="dxa"/>
            <w:noWrap/>
          </w:tcPr>
          <w:p w14:paraId="106C20BA" w14:textId="77777777" w:rsidR="00DF410E" w:rsidRDefault="00CE7F43">
            <w:pPr>
              <w:jc w:val="center"/>
            </w:pPr>
            <w:r>
              <w:rPr>
                <w:b/>
              </w:rPr>
              <w:t>0,55</w:t>
            </w:r>
          </w:p>
        </w:tc>
        <w:tc>
          <w:tcPr>
            <w:tcW w:w="1230" w:type="dxa"/>
            <w:noWrap/>
          </w:tcPr>
          <w:p w14:paraId="1F30488E" w14:textId="77777777" w:rsidR="00DF410E" w:rsidRDefault="00CE7F43">
            <w:pPr>
              <w:jc w:val="center"/>
            </w:pPr>
            <w:r>
              <w:rPr>
                <w:b/>
              </w:rPr>
              <w:t>0,50</w:t>
            </w:r>
          </w:p>
        </w:tc>
        <w:tc>
          <w:tcPr>
            <w:tcW w:w="1230" w:type="dxa"/>
            <w:noWrap/>
          </w:tcPr>
          <w:p w14:paraId="1A5C1FEB" w14:textId="77777777" w:rsidR="00DF410E" w:rsidRDefault="00CE7F43">
            <w:pPr>
              <w:jc w:val="center"/>
            </w:pPr>
            <w:r>
              <w:rPr>
                <w:b/>
              </w:rPr>
              <w:t>0,45</w:t>
            </w:r>
          </w:p>
        </w:tc>
      </w:tr>
      <w:tr w:rsidR="00DF410E" w14:paraId="0B45096A" w14:textId="77777777">
        <w:tc>
          <w:tcPr>
            <w:tcW w:w="2820" w:type="dxa"/>
            <w:vMerge/>
            <w:noWrap/>
          </w:tcPr>
          <w:p w14:paraId="6F718507" w14:textId="77777777" w:rsidR="00DF410E" w:rsidRDefault="00DF410E"/>
        </w:tc>
        <w:tc>
          <w:tcPr>
            <w:tcW w:w="6150" w:type="dxa"/>
            <w:gridSpan w:val="5"/>
            <w:noWrap/>
          </w:tcPr>
          <w:p w14:paraId="71094265" w14:textId="77777777" w:rsidR="00DF410E" w:rsidRDefault="00CE7F43">
            <w:pPr>
              <w:jc w:val="center"/>
            </w:pPr>
            <w:r>
              <w:rPr>
                <w:b/>
              </w:rPr>
              <w:t>Epaisseur de l’enrobage de béton minimal c</w:t>
            </w:r>
            <w:r>
              <w:rPr>
                <w:b/>
                <w:vertAlign w:val="subscript"/>
              </w:rPr>
              <w:t>nom</w:t>
            </w:r>
            <w:r>
              <w:rPr>
                <w:b/>
              </w:rPr>
              <w:t xml:space="preserve"> mm</w:t>
            </w:r>
          </w:p>
        </w:tc>
      </w:tr>
      <w:tr w:rsidR="00DF410E" w14:paraId="0673E5F3" w14:textId="77777777">
        <w:tc>
          <w:tcPr>
            <w:tcW w:w="2820" w:type="dxa"/>
            <w:noWrap/>
          </w:tcPr>
          <w:p w14:paraId="7286F08F" w14:textId="77777777" w:rsidR="00DF410E" w:rsidRDefault="00CE7F43">
            <w:r>
              <w:t>MX1 – milieu sec</w:t>
            </w:r>
          </w:p>
        </w:tc>
        <w:tc>
          <w:tcPr>
            <w:tcW w:w="1230" w:type="dxa"/>
            <w:noWrap/>
          </w:tcPr>
          <w:p w14:paraId="3DC7A1F9" w14:textId="77777777" w:rsidR="00DF410E" w:rsidRDefault="00CE7F43">
            <w:pPr>
              <w:jc w:val="center"/>
            </w:pPr>
            <w:r>
              <w:t>20</w:t>
            </w:r>
          </w:p>
        </w:tc>
        <w:tc>
          <w:tcPr>
            <w:tcW w:w="1230" w:type="dxa"/>
            <w:noWrap/>
          </w:tcPr>
          <w:p w14:paraId="2E9DA965" w14:textId="77777777" w:rsidR="00DF410E" w:rsidRDefault="00CE7F43">
            <w:pPr>
              <w:jc w:val="center"/>
            </w:pPr>
            <w:r>
              <w:t>20</w:t>
            </w:r>
          </w:p>
        </w:tc>
        <w:tc>
          <w:tcPr>
            <w:tcW w:w="1230" w:type="dxa"/>
            <w:noWrap/>
          </w:tcPr>
          <w:p w14:paraId="71785CA8" w14:textId="77777777" w:rsidR="00DF410E" w:rsidRDefault="00CE7F43">
            <w:pPr>
              <w:jc w:val="center"/>
            </w:pPr>
            <w:r>
              <w:t>20</w:t>
            </w:r>
          </w:p>
        </w:tc>
        <w:tc>
          <w:tcPr>
            <w:tcW w:w="1230" w:type="dxa"/>
            <w:noWrap/>
          </w:tcPr>
          <w:p w14:paraId="3187987C" w14:textId="77777777" w:rsidR="00DF410E" w:rsidRDefault="00CE7F43">
            <w:pPr>
              <w:jc w:val="center"/>
            </w:pPr>
            <w:r>
              <w:t>20</w:t>
            </w:r>
          </w:p>
        </w:tc>
        <w:tc>
          <w:tcPr>
            <w:tcW w:w="1230" w:type="dxa"/>
            <w:noWrap/>
          </w:tcPr>
          <w:p w14:paraId="39F1A5D6" w14:textId="77777777" w:rsidR="00DF410E" w:rsidRDefault="00CE7F43">
            <w:pPr>
              <w:jc w:val="center"/>
            </w:pPr>
            <w:r>
              <w:t>20</w:t>
            </w:r>
          </w:p>
        </w:tc>
      </w:tr>
      <w:tr w:rsidR="00DF410E" w14:paraId="70AAB004" w14:textId="77777777">
        <w:tc>
          <w:tcPr>
            <w:tcW w:w="2820" w:type="dxa"/>
            <w:noWrap/>
          </w:tcPr>
          <w:p w14:paraId="274961A3" w14:textId="77777777" w:rsidR="00DF410E" w:rsidRDefault="00CE7F43">
            <w:r>
              <w:t>MX2 – milieu humide</w:t>
            </w:r>
          </w:p>
        </w:tc>
        <w:tc>
          <w:tcPr>
            <w:tcW w:w="1230" w:type="dxa"/>
            <w:noWrap/>
          </w:tcPr>
          <w:p w14:paraId="45337332" w14:textId="77777777" w:rsidR="00DF410E" w:rsidRDefault="00CE7F43">
            <w:pPr>
              <w:jc w:val="center"/>
            </w:pPr>
            <w:r>
              <w:t>-</w:t>
            </w:r>
          </w:p>
        </w:tc>
        <w:tc>
          <w:tcPr>
            <w:tcW w:w="1230" w:type="dxa"/>
            <w:noWrap/>
          </w:tcPr>
          <w:p w14:paraId="61D71BDB" w14:textId="77777777" w:rsidR="00DF410E" w:rsidRDefault="00CE7F43">
            <w:pPr>
              <w:jc w:val="center"/>
            </w:pPr>
            <w:r>
              <w:t>35</w:t>
            </w:r>
          </w:p>
        </w:tc>
        <w:tc>
          <w:tcPr>
            <w:tcW w:w="1230" w:type="dxa"/>
            <w:noWrap/>
          </w:tcPr>
          <w:p w14:paraId="14548078" w14:textId="77777777" w:rsidR="00DF410E" w:rsidRDefault="00CE7F43">
            <w:pPr>
              <w:jc w:val="center"/>
            </w:pPr>
            <w:r>
              <w:t>30</w:t>
            </w:r>
          </w:p>
        </w:tc>
        <w:tc>
          <w:tcPr>
            <w:tcW w:w="1230" w:type="dxa"/>
            <w:noWrap/>
          </w:tcPr>
          <w:p w14:paraId="08D14241" w14:textId="77777777" w:rsidR="00DF410E" w:rsidRDefault="00CE7F43">
            <w:pPr>
              <w:jc w:val="center"/>
            </w:pPr>
            <w:r>
              <w:t>25</w:t>
            </w:r>
          </w:p>
        </w:tc>
        <w:tc>
          <w:tcPr>
            <w:tcW w:w="1230" w:type="dxa"/>
            <w:noWrap/>
          </w:tcPr>
          <w:p w14:paraId="5EE7761A" w14:textId="77777777" w:rsidR="00DF410E" w:rsidRDefault="00CE7F43">
            <w:pPr>
              <w:jc w:val="center"/>
            </w:pPr>
            <w:r>
              <w:t>20</w:t>
            </w:r>
          </w:p>
        </w:tc>
      </w:tr>
      <w:tr w:rsidR="00DF410E" w14:paraId="61477A2B" w14:textId="77777777">
        <w:tc>
          <w:tcPr>
            <w:tcW w:w="2820" w:type="dxa"/>
            <w:noWrap/>
          </w:tcPr>
          <w:p w14:paraId="5F2F6ADC" w14:textId="77777777" w:rsidR="00DF410E" w:rsidRDefault="00CE7F43">
            <w:r>
              <w:t>MX3 – milieu humide et gel</w:t>
            </w:r>
          </w:p>
        </w:tc>
        <w:tc>
          <w:tcPr>
            <w:tcW w:w="1230" w:type="dxa"/>
            <w:noWrap/>
          </w:tcPr>
          <w:p w14:paraId="392358DB" w14:textId="77777777" w:rsidR="00DF410E" w:rsidRDefault="00CE7F43">
            <w:pPr>
              <w:jc w:val="center"/>
            </w:pPr>
            <w:r>
              <w:t>-</w:t>
            </w:r>
          </w:p>
        </w:tc>
        <w:tc>
          <w:tcPr>
            <w:tcW w:w="1230" w:type="dxa"/>
            <w:noWrap/>
          </w:tcPr>
          <w:p w14:paraId="1C14A8B8" w14:textId="77777777" w:rsidR="00DF410E" w:rsidRDefault="00CE7F43">
            <w:pPr>
              <w:jc w:val="center"/>
            </w:pPr>
            <w:r>
              <w:t>-</w:t>
            </w:r>
          </w:p>
        </w:tc>
        <w:tc>
          <w:tcPr>
            <w:tcW w:w="1230" w:type="dxa"/>
            <w:noWrap/>
          </w:tcPr>
          <w:p w14:paraId="5F99688B" w14:textId="77777777" w:rsidR="00DF410E" w:rsidRDefault="00CE7F43">
            <w:pPr>
              <w:jc w:val="center"/>
            </w:pPr>
            <w:r>
              <w:t>40</w:t>
            </w:r>
          </w:p>
        </w:tc>
        <w:tc>
          <w:tcPr>
            <w:tcW w:w="1230" w:type="dxa"/>
            <w:noWrap/>
          </w:tcPr>
          <w:p w14:paraId="1B4C8433" w14:textId="77777777" w:rsidR="00DF410E" w:rsidRDefault="00CE7F43">
            <w:pPr>
              <w:jc w:val="center"/>
            </w:pPr>
            <w:r>
              <w:t>30</w:t>
            </w:r>
          </w:p>
        </w:tc>
        <w:tc>
          <w:tcPr>
            <w:tcW w:w="1230" w:type="dxa"/>
            <w:noWrap/>
          </w:tcPr>
          <w:p w14:paraId="61785AFD" w14:textId="77777777" w:rsidR="00DF410E" w:rsidRDefault="00CE7F43">
            <w:pPr>
              <w:jc w:val="center"/>
            </w:pPr>
            <w:r>
              <w:t>25</w:t>
            </w:r>
          </w:p>
        </w:tc>
      </w:tr>
      <w:tr w:rsidR="00DF410E" w14:paraId="52120090" w14:textId="77777777">
        <w:tc>
          <w:tcPr>
            <w:tcW w:w="2820" w:type="dxa"/>
            <w:noWrap/>
          </w:tcPr>
          <w:p w14:paraId="0E26B0CC" w14:textId="77777777" w:rsidR="00DF410E" w:rsidRDefault="00CE7F43">
            <w:r>
              <w:t>MX4 – milieu salin et MX5 – milieu chimique agressif</w:t>
            </w:r>
          </w:p>
        </w:tc>
        <w:tc>
          <w:tcPr>
            <w:tcW w:w="1230" w:type="dxa"/>
            <w:noWrap/>
          </w:tcPr>
          <w:p w14:paraId="7D59282B" w14:textId="77777777" w:rsidR="00DF410E" w:rsidRDefault="00CE7F43">
            <w:pPr>
              <w:jc w:val="center"/>
            </w:pPr>
            <w:r>
              <w:t>-</w:t>
            </w:r>
          </w:p>
        </w:tc>
        <w:tc>
          <w:tcPr>
            <w:tcW w:w="1230" w:type="dxa"/>
            <w:noWrap/>
          </w:tcPr>
          <w:p w14:paraId="60670450" w14:textId="77777777" w:rsidR="00DF410E" w:rsidRDefault="00CE7F43">
            <w:pPr>
              <w:jc w:val="center"/>
            </w:pPr>
            <w:r>
              <w:t>-</w:t>
            </w:r>
          </w:p>
        </w:tc>
        <w:tc>
          <w:tcPr>
            <w:tcW w:w="1230" w:type="dxa"/>
            <w:noWrap/>
          </w:tcPr>
          <w:p w14:paraId="6B1D534B" w14:textId="77777777" w:rsidR="00DF410E" w:rsidRDefault="00CE7F43">
            <w:pPr>
              <w:jc w:val="center"/>
            </w:pPr>
            <w:r>
              <w:t>-</w:t>
            </w:r>
          </w:p>
        </w:tc>
        <w:tc>
          <w:tcPr>
            <w:tcW w:w="1230" w:type="dxa"/>
            <w:noWrap/>
          </w:tcPr>
          <w:p w14:paraId="5F11431B" w14:textId="77777777" w:rsidR="00DF410E" w:rsidRDefault="00CE7F43">
            <w:pPr>
              <w:jc w:val="center"/>
            </w:pPr>
            <w:r>
              <w:t>60</w:t>
            </w:r>
          </w:p>
        </w:tc>
        <w:tc>
          <w:tcPr>
            <w:tcW w:w="1230" w:type="dxa"/>
            <w:noWrap/>
          </w:tcPr>
          <w:p w14:paraId="34483B26" w14:textId="77777777" w:rsidR="00DF410E" w:rsidRDefault="00CE7F43">
            <w:pPr>
              <w:jc w:val="center"/>
            </w:pPr>
            <w:r>
              <w:t>50</w:t>
            </w:r>
          </w:p>
        </w:tc>
      </w:tr>
    </w:tbl>
    <w:p w14:paraId="17AC7366" w14:textId="77777777" w:rsidR="00DF410E" w:rsidRDefault="00DF410E"/>
    <w:p w14:paraId="4DD3D6C9" w14:textId="77777777" w:rsidR="00DF410E" w:rsidRDefault="00CE7F43">
      <w:pPr>
        <w:jc w:val="both"/>
      </w:pPr>
      <w:r>
        <w:t> </w:t>
      </w:r>
    </w:p>
    <w:p w14:paraId="52E3C8D7" w14:textId="77777777" w:rsidR="00DF410E" w:rsidRDefault="00CE7F43">
      <w:pPr>
        <w:pStyle w:val="pheading"/>
      </w:pPr>
      <w:r>
        <w:t>DOCUMENTS DE RÉFÉRENCE</w:t>
      </w:r>
    </w:p>
    <w:p w14:paraId="079CC88F" w14:textId="77777777" w:rsidR="00DF410E" w:rsidRDefault="00CE7F43">
      <w:pPr>
        <w:pStyle w:val="pheading"/>
      </w:pPr>
      <w:r>
        <w:t>- Matériau</w:t>
      </w:r>
    </w:p>
    <w:p w14:paraId="24C6D15F" w14:textId="77777777" w:rsidR="00DF410E" w:rsidRDefault="00CE7F43">
      <w:r>
        <w:t>[NBN A 24-301, Produits sidérurgiques - Aciers pour béton armé - Barres, fils et treillis soudés - Généralités et prescriptions communes]</w:t>
      </w:r>
    </w:p>
    <w:p w14:paraId="7A5ADE8F" w14:textId="77777777" w:rsidR="00DF410E" w:rsidRDefault="00CE7F43">
      <w:r>
        <w:t>[NBN A 24-302, Produits sidérurgiques - Aciers pour béton armé - Barres lisses et barres à nervures - Fils machine lisses et fils machine à nervures]</w:t>
      </w:r>
    </w:p>
    <w:p w14:paraId="0B1904DF" w14:textId="77777777" w:rsidR="00DF410E" w:rsidRDefault="00CE7F43">
      <w:r>
        <w:t>[NBN A 24-303, Produits sidérurgiques - Aciers pour béton armé - Fils écrouis à froid lisses et fils écrouis à froid à nervures]</w:t>
      </w:r>
    </w:p>
    <w:p w14:paraId="59DC884C" w14:textId="77777777" w:rsidR="00DF410E" w:rsidRDefault="00CE7F43">
      <w:r>
        <w:t>[NBN A 24-304, Produits sidérurgiques - Aciers pour béton armé - Treillis soudés]</w:t>
      </w:r>
    </w:p>
    <w:p w14:paraId="7C65A8AB" w14:textId="77777777" w:rsidR="00DF410E" w:rsidRDefault="00CE7F43">
      <w:r>
        <w:t>[NBN EN 10080, Aciers pour l'armature du béton - Aciers soudables pour béton armé - Généralités]</w:t>
      </w:r>
    </w:p>
    <w:p w14:paraId="630498E3" w14:textId="77777777" w:rsidR="00DF410E" w:rsidRDefault="00CE7F43">
      <w:r>
        <w:t>[PTV 302, Aciers pour béton armé - Barres à nervures ou à empreintes - Fils à nervures ou à empreintes à haute ductilité]</w:t>
      </w:r>
    </w:p>
    <w:p w14:paraId="426A248A" w14:textId="77777777" w:rsidR="00DF410E" w:rsidRDefault="00CE7F43">
      <w:r>
        <w:t>[PTV 303, Aciers pour béton armé - Fils écrouis à froid à nervures à basse ductilité]</w:t>
      </w:r>
    </w:p>
    <w:p w14:paraId="7D08A76F" w14:textId="77777777" w:rsidR="00DF410E" w:rsidRDefault="00CE7F43">
      <w:r>
        <w:t>[PTV 304, Aciers pour béton armé - Treillis soudés]</w:t>
      </w:r>
    </w:p>
    <w:p w14:paraId="500C3D57" w14:textId="77777777" w:rsidR="00DF410E" w:rsidRDefault="00CE7F43">
      <w:r>
        <w:t>[PTV 307, Aciers pour béton armé - Barres à nervures - Profil alternatif (Révision 2).]</w:t>
      </w:r>
    </w:p>
    <w:p w14:paraId="009A21BA" w14:textId="77777777" w:rsidR="00DF410E" w:rsidRDefault="00CE7F43">
      <w:r>
        <w:t>[PTV 308, Aciers pour béton armé - Armatures assemblées sous forme de panneaux plans]</w:t>
      </w:r>
    </w:p>
    <w:p w14:paraId="340C9E5C" w14:textId="77777777" w:rsidR="00DF410E" w:rsidRDefault="00CE7F43">
      <w:r>
        <w:t>[NBN EN 1993 série, Eurocode 3 – Calcul des structures en acier]</w:t>
      </w:r>
    </w:p>
    <w:p w14:paraId="6323F554" w14:textId="77777777" w:rsidR="00DF410E" w:rsidRDefault="00CE7F43">
      <w:r>
        <w:t>[NBN EN 1996-1-1+A1, Eurocode 6 : Calcul des ouvrages en maçonnerie - Partie 1-1: Règles générales pour ouvrages en maçonnerie armée et non armée]</w:t>
      </w:r>
    </w:p>
    <w:p w14:paraId="75878EE9" w14:textId="77777777" w:rsidR="00DF410E" w:rsidRDefault="00CE7F43">
      <w:pPr>
        <w:pStyle w:val="pheading"/>
      </w:pPr>
      <w:r>
        <w:t>- Exécution</w:t>
      </w:r>
    </w:p>
    <w:p w14:paraId="6C827EAC" w14:textId="77777777" w:rsidR="00DF410E" w:rsidRDefault="00CE7F43">
      <w:r>
        <w:t>[NBN EN 1992 série, Eurocode 2 : Calcul des structures en béton]</w:t>
      </w:r>
    </w:p>
    <w:p w14:paraId="65427A67" w14:textId="77777777" w:rsidR="00DF410E" w:rsidRDefault="00CE7F43">
      <w:r>
        <w:t>[NBN EN ISO 3766, Dessins de construction - Représentation simplifiée des armatures de béton (ISO 3766:2003) (+AC:2004)]</w:t>
      </w:r>
    </w:p>
    <w:p w14:paraId="425EAD3D" w14:textId="77777777" w:rsidR="00DF410E" w:rsidRDefault="00CE7F43">
      <w:r>
        <w:t>[NBN EN 13670, Exécution des structures en béton]</w:t>
      </w:r>
    </w:p>
    <w:p w14:paraId="4528E59C" w14:textId="77777777" w:rsidR="00DF410E" w:rsidRDefault="00CE7F43">
      <w:r>
        <w:t>[NBN B 15-400, Exécution des structures en béton - Supplément national à la NBN EN 13670:2010]</w:t>
      </w:r>
    </w:p>
    <w:p w14:paraId="4CFD7374" w14:textId="77777777" w:rsidR="00DF410E" w:rsidRDefault="00CE7F43">
      <w:r>
        <w:t>[NBN EN 1996-1-1+A1, Eurocode 6 : Calcul des ouvrages en maçonnerie - Partie 1-1: Règles générales pour ouvrages en maçonnerie armée et non armée]</w:t>
      </w:r>
    </w:p>
    <w:p w14:paraId="3243048E" w14:textId="77777777" w:rsidR="00DF410E" w:rsidRDefault="00CE7F43">
      <w:pPr>
        <w:pStyle w:val="pheading"/>
      </w:pPr>
      <w:r>
        <w:t>AIDE</w:t>
      </w:r>
    </w:p>
    <w:p w14:paraId="50128624" w14:textId="77777777" w:rsidR="00DF410E" w:rsidRDefault="00CE7F43">
      <w:pPr>
        <w:jc w:val="both"/>
      </w:pPr>
      <w:r>
        <w:rPr>
          <w:u w:val="single"/>
        </w:rPr>
        <w:t>À l'attention de l'auteur de projet</w:t>
      </w:r>
    </w:p>
    <w:p w14:paraId="71B0E2A6" w14:textId="77777777" w:rsidR="00DF410E" w:rsidRDefault="00CE7F43">
      <w:pPr>
        <w:jc w:val="both"/>
      </w:pPr>
      <w:r>
        <w:t>Les essais ont démontré que la surcharge verticale admissible pour la maçonnerie armée est égale à la somme de la surcharge maximale admissible de la maçonnerie non armée et de celle de l'acier. Toutefois, il y a lieu de tenir compte des conditions suivantes :</w:t>
      </w:r>
    </w:p>
    <w:p w14:paraId="29F3F6C3" w14:textId="77777777" w:rsidR="00DF410E" w:rsidRDefault="00CE7F43">
      <w:pPr>
        <w:pStyle w:val="Author-eListParagraph"/>
        <w:numPr>
          <w:ilvl w:val="0"/>
          <w:numId w:val="292"/>
        </w:numPr>
      </w:pPr>
      <w:r>
        <w:t>le mortier de maçonnerie présente une résistance moyenne à la compression d'au moins 8 N/mm</w:t>
      </w:r>
      <w:r>
        <w:rPr>
          <w:vertAlign w:val="superscript"/>
        </w:rPr>
        <w:t>2</w:t>
      </w:r>
      <w:r>
        <w:t>.</w:t>
      </w:r>
    </w:p>
    <w:p w14:paraId="0F4E6571" w14:textId="77777777" w:rsidR="00DF410E" w:rsidRDefault="00CE7F43">
      <w:pPr>
        <w:pStyle w:val="Author-eListParagraph"/>
        <w:numPr>
          <w:ilvl w:val="0"/>
          <w:numId w:val="292"/>
        </w:numPr>
      </w:pPr>
      <w:r>
        <w:t>la section du béton de remplissage est inférieure à 60 % de la section de la maçonnerie.</w:t>
      </w:r>
    </w:p>
    <w:p w14:paraId="4D966848" w14:textId="77777777" w:rsidR="00DF410E" w:rsidRDefault="00CE7F43">
      <w:pPr>
        <w:jc w:val="both"/>
      </w:pPr>
      <w:r>
        <w:t>Pour plus d 'informations, consultez aussi :</w:t>
      </w:r>
    </w:p>
    <w:p w14:paraId="1E2B6FE5" w14:textId="77777777" w:rsidR="00DF410E" w:rsidRDefault="00CE7F43">
      <w:pPr>
        <w:jc w:val="both"/>
      </w:pPr>
      <w:r>
        <w:t>[Buildwise Article Revue (2001-01-21), Maçonnerie armée.1ère partie : matériaux et mise en œuvre. (Pratique).]</w:t>
      </w:r>
    </w:p>
    <w:p w14:paraId="03706096" w14:textId="77777777" w:rsidR="00DF410E" w:rsidRDefault="00CE7F43">
      <w:pPr>
        <w:jc w:val="both"/>
      </w:pPr>
      <w:r>
        <w:t>[Buildwise Article Revue (2001-02-19), La maçonnerie armée. 2ème partie : applications et calcul. (Pratique).]</w:t>
      </w:r>
    </w:p>
    <w:p w14:paraId="09361D68" w14:textId="77777777" w:rsidR="00DF410E" w:rsidRDefault="00CE7F43">
      <w:pPr>
        <w:pStyle w:val="Author-eSectionHeading6"/>
      </w:pPr>
      <w:bookmarkStart w:id="360" w:name="_Toc178837574"/>
      <w:r>
        <w:t>21.41.2a Armatures verticales pour maçonneries en blocs de coffrage CCTB 01.07</w:t>
      </w:r>
      <w:bookmarkEnd w:id="360"/>
    </w:p>
    <w:p w14:paraId="7C12DA1F" w14:textId="77777777" w:rsidR="00DF410E" w:rsidRDefault="00CE7F43">
      <w:pPr>
        <w:pStyle w:val="pheading"/>
      </w:pPr>
      <w:r>
        <w:t>DESCRIPTION</w:t>
      </w:r>
    </w:p>
    <w:p w14:paraId="7A46D211" w14:textId="77777777" w:rsidR="00DF410E" w:rsidRDefault="00CE7F43">
      <w:pPr>
        <w:pStyle w:val="pheading"/>
      </w:pPr>
      <w:r>
        <w:t>- Définition / Comprend</w:t>
      </w:r>
    </w:p>
    <w:p w14:paraId="09F5CB4B" w14:textId="77777777" w:rsidR="00DF410E" w:rsidRDefault="00CE7F43">
      <w:pPr>
        <w:jc w:val="both"/>
      </w:pPr>
      <w:r>
        <w:t xml:space="preserve">La portée des travaux est décrite dans l’élément </w:t>
      </w:r>
      <w:hyperlink w:anchor="356" w:history="1">
        <w:r>
          <w:t>21.41.2 Armatures verticales pour maçonneries</w:t>
        </w:r>
      </w:hyperlink>
      <w:r>
        <w:t>.</w:t>
      </w:r>
    </w:p>
    <w:p w14:paraId="3584AC20" w14:textId="77777777" w:rsidR="00DF410E" w:rsidRDefault="00CE7F43">
      <w:pPr>
        <w:jc w:val="both"/>
      </w:pPr>
      <w:r>
        <w:t>Elle comprend notamment toutes les fournitures et prestations nécessaires à l'exécution des ferraillages, y compris le dressage, pliage, découpage, mise en place, calage, les crochets et les joints avec recouvrement et les ligatures en fil de fer recuit. Les chutes d'armatures, les ligatures, chaises et écarteurs ne sont pas portés en compte.</w:t>
      </w:r>
    </w:p>
    <w:p w14:paraId="3DCC2416" w14:textId="77777777" w:rsidR="00DF410E" w:rsidRDefault="00CE7F43">
      <w:pPr>
        <w:pStyle w:val="pheading"/>
      </w:pPr>
      <w:r>
        <w:t>- Localisation</w:t>
      </w:r>
    </w:p>
    <w:p w14:paraId="5B913F60" w14:textId="77777777" w:rsidR="00DF410E" w:rsidRDefault="00CE7F43">
      <w:r>
        <w:t xml:space="preserve">Localisation des travaux : </w:t>
      </w:r>
      <w:r>
        <w:rPr>
          <w:rStyle w:val="optioncarChar"/>
        </w:rPr>
        <w:t>***</w:t>
      </w:r>
      <w:r>
        <w:t>.</w:t>
      </w:r>
    </w:p>
    <w:p w14:paraId="6E39287A" w14:textId="77777777" w:rsidR="00DF410E" w:rsidRDefault="00CE7F43">
      <w:r>
        <w:t>Voir plans et métrés détaillés.</w:t>
      </w:r>
    </w:p>
    <w:p w14:paraId="21D2D206" w14:textId="77777777" w:rsidR="00DF410E" w:rsidRDefault="00CE7F43">
      <w:pPr>
        <w:pStyle w:val="pheading"/>
      </w:pPr>
      <w:r>
        <w:t>MATÉRIAUX</w:t>
      </w:r>
    </w:p>
    <w:p w14:paraId="2FCFF3D7" w14:textId="77777777" w:rsidR="00DF410E" w:rsidRDefault="00CE7F43">
      <w:pPr>
        <w:pStyle w:val="pheading"/>
      </w:pPr>
      <w:r>
        <w:t>- Caractéristiques générales</w:t>
      </w:r>
    </w:p>
    <w:p w14:paraId="57CA59C4" w14:textId="77777777" w:rsidR="00DF410E" w:rsidRDefault="00CE7F43">
      <w:pPr>
        <w:jc w:val="both"/>
      </w:pPr>
      <w:r>
        <w:t>Les armatures sont dimensionnées suivant l’application, la hauteur du mur, le type de charges en jeu et les autres contraintes éventuelles.</w:t>
      </w:r>
    </w:p>
    <w:p w14:paraId="08E2AC2B" w14:textId="77777777" w:rsidR="00DF410E" w:rsidRDefault="00CE7F43">
      <w:pPr>
        <w:jc w:val="both"/>
      </w:pPr>
      <w:r>
        <w:t xml:space="preserve">Le béton est décrit et comptabilisé séparément dans l’élément </w:t>
      </w:r>
      <w:hyperlink w:anchor="418" w:history="1">
        <w:r>
          <w:t>22.16.1a Parois en béton armé coulé en place</w:t>
        </w:r>
      </w:hyperlink>
      <w:r>
        <w:t>. </w:t>
      </w:r>
    </w:p>
    <w:p w14:paraId="7AF399AD" w14:textId="77777777" w:rsidR="00DF410E" w:rsidRDefault="00CE7F43">
      <w:pPr>
        <w:pStyle w:val="pheading"/>
      </w:pPr>
      <w:r>
        <w:t>EXÉCUTION / MISE EN ŒUVRE</w:t>
      </w:r>
    </w:p>
    <w:p w14:paraId="6E5B7A8E" w14:textId="77777777" w:rsidR="00DF410E" w:rsidRDefault="00CE7F43">
      <w:pPr>
        <w:pStyle w:val="pheading"/>
      </w:pPr>
      <w:r>
        <w:t>- Prescriptions générales</w:t>
      </w:r>
    </w:p>
    <w:p w14:paraId="46798B67" w14:textId="77777777" w:rsidR="00DF410E" w:rsidRDefault="00CE7F43">
      <w:pPr>
        <w:jc w:val="both"/>
      </w:pPr>
      <w:r>
        <w:t xml:space="preserve">L’étude et les plans d’exécution </w:t>
      </w:r>
      <w:r>
        <w:rPr>
          <w:rStyle w:val="optioncarChar"/>
        </w:rPr>
        <w:t>sont / ne sont pas</w:t>
      </w:r>
      <w:r>
        <w:t xml:space="preserve"> à charge de l’entreprise.</w:t>
      </w:r>
    </w:p>
    <w:p w14:paraId="3FE5C4F6" w14:textId="77777777" w:rsidR="00DF410E" w:rsidRDefault="00CE7F43">
      <w:pPr>
        <w:jc w:val="both"/>
      </w:pPr>
      <w:r>
        <w:t xml:space="preserve">La mise en œuvre des armatures suit les règles de la [NBN EN 1996-1-1+A1] et [NBN EN 1996-2] (Eurocode 6). La pose est réalisée conformément </w:t>
      </w:r>
      <w:r>
        <w:rPr>
          <w:rStyle w:val="optioncarChar"/>
        </w:rPr>
        <w:t>au plan de pose / aux instructions du fabricant de blocs</w:t>
      </w:r>
      <w:r>
        <w:t>.</w:t>
      </w:r>
    </w:p>
    <w:p w14:paraId="6CC1E356" w14:textId="77777777" w:rsidR="00DF410E" w:rsidRDefault="00CE7F43">
      <w:pPr>
        <w:jc w:val="both"/>
      </w:pPr>
      <w:r>
        <w:t xml:space="preserve">La hauteur de remplissage est limitée à </w:t>
      </w:r>
      <w:r>
        <w:rPr>
          <w:rStyle w:val="optioncarChar"/>
        </w:rPr>
        <w:t xml:space="preserve">1,6 m </w:t>
      </w:r>
      <w:r>
        <w:t>(par défaut)</w:t>
      </w:r>
      <w:r>
        <w:rPr>
          <w:rStyle w:val="optioncarChar"/>
        </w:rPr>
        <w:t xml:space="preserve"> / 2,4 m / ***</w:t>
      </w:r>
      <w:r>
        <w:t>.</w:t>
      </w:r>
    </w:p>
    <w:p w14:paraId="653B4F81" w14:textId="77777777" w:rsidR="00DF410E" w:rsidRDefault="00CE7F43">
      <w:pPr>
        <w:jc w:val="both"/>
      </w:pPr>
      <w:r>
        <w:t xml:space="preserve"> Une fois la hauteur de bétonnage voulue atteinte, les barres verticales sont glissées jusqu’au pied du mur, entre les barres horizontales en quinconce.</w:t>
      </w:r>
    </w:p>
    <w:p w14:paraId="2F65EC0B" w14:textId="77777777" w:rsidR="00DF410E" w:rsidRDefault="00CE7F43">
      <w:pPr>
        <w:jc w:val="both"/>
      </w:pPr>
      <w:r>
        <w:t>Le béton est ensuite pompé via une réduction flexible (80 mm par exemple) en préservant les assises inférieures et en évitant les éclaboussures : il est préférable de viser les parois transversales de l’avant-dernier lit.</w:t>
      </w:r>
    </w:p>
    <w:p w14:paraId="741D3636" w14:textId="77777777" w:rsidR="00DF410E" w:rsidRDefault="00CE7F43">
      <w:pPr>
        <w:jc w:val="both"/>
      </w:pPr>
      <w:r>
        <w:t xml:space="preserve"> S’agissant d’un mur armé, la vibration du béton (au moyen d’une aiguille de 40 mm) est absolument nécessaire, en descendant bien jusqu’à la base du mur, en temporisant 1 ou 2 secondes en bas du mur sans trop insister (perte d’homogénéité du béton) avant de remonter l’aiguille à son aise.</w:t>
      </w:r>
    </w:p>
    <w:p w14:paraId="1FB5BC1E" w14:textId="77777777" w:rsidR="00DF410E" w:rsidRDefault="00CE7F43">
      <w:pPr>
        <w:jc w:val="both"/>
      </w:pPr>
      <w:r>
        <w:t xml:space="preserve">La mise en œuvre du béton est décrite et comptabilisée séparément dans l’élément </w:t>
      </w:r>
      <w:hyperlink w:anchor="418" w:history="1">
        <w:r>
          <w:t>22.16.1a Parois en béton armé coulé en place</w:t>
        </w:r>
      </w:hyperlink>
      <w:r>
        <w:t>.</w:t>
      </w:r>
    </w:p>
    <w:p w14:paraId="19FE802D" w14:textId="77777777" w:rsidR="00DF410E" w:rsidRDefault="00CE7F43">
      <w:pPr>
        <w:pStyle w:val="pheading"/>
      </w:pPr>
      <w:r>
        <w:t>DOCUMENTS DE RÉFÉRENCE COMPLÉMENTAIRES</w:t>
      </w:r>
    </w:p>
    <w:p w14:paraId="5387F771" w14:textId="77777777" w:rsidR="00DF410E" w:rsidRDefault="00CE7F43">
      <w:pPr>
        <w:pStyle w:val="pheading"/>
      </w:pPr>
      <w:r>
        <w:t>- Exécution</w:t>
      </w:r>
    </w:p>
    <w:p w14:paraId="222C93A0" w14:textId="77777777" w:rsidR="00DF410E" w:rsidRDefault="00CE7F43">
      <w:r>
        <w:t>[NBN EN 1996-1-1+A1, Eurocode 6 : Calcul des ouvrages en maçonnerie - Partie 1-1: Règles générales pour ouvrages en maçonnerie armée et non armée]</w:t>
      </w:r>
    </w:p>
    <w:p w14:paraId="23283858" w14:textId="77777777" w:rsidR="00DF410E" w:rsidRDefault="00CE7F43">
      <w:r>
        <w:t>[NBN EN 1996-2, Eurocode 6 - Calcul des ouvrages en maçonnerie - Partie 2: Conception, choix des matériaux et mise en oeuvre des maçonneries (+ AC:2009)]</w:t>
      </w:r>
    </w:p>
    <w:p w14:paraId="59064BED" w14:textId="77777777" w:rsidR="00DF410E" w:rsidRDefault="00CE7F43">
      <w:pPr>
        <w:pStyle w:val="pheading"/>
      </w:pPr>
      <w:r>
        <w:t>MESURAGE</w:t>
      </w:r>
    </w:p>
    <w:p w14:paraId="619BB9A2" w14:textId="77777777" w:rsidR="00DF410E" w:rsidRDefault="00CE7F43">
      <w:pPr>
        <w:pStyle w:val="pheading"/>
      </w:pPr>
      <w:r>
        <w:t>- unité de mesure:</w:t>
      </w:r>
    </w:p>
    <w:p w14:paraId="2E2D6354" w14:textId="77777777" w:rsidR="00DF410E" w:rsidRDefault="00CE7F43">
      <w:r>
        <w:rPr>
          <w:rStyle w:val="optioncarChar"/>
        </w:rPr>
        <w:t>kg</w:t>
      </w:r>
      <w:r>
        <w:t xml:space="preserve"> (par défaut)</w:t>
      </w:r>
    </w:p>
    <w:p w14:paraId="1E486170" w14:textId="77777777" w:rsidR="00DF410E" w:rsidRDefault="00CE7F43">
      <w:pPr>
        <w:pStyle w:val="pheading"/>
      </w:pPr>
      <w:r>
        <w:t>- code de mesurage:</w:t>
      </w:r>
    </w:p>
    <w:p w14:paraId="59CEC9F2" w14:textId="77777777" w:rsidR="00DF410E" w:rsidRDefault="00CE7F43">
      <w:pPr>
        <w:jc w:val="both"/>
      </w:pPr>
      <w:r>
        <w:rPr>
          <w:u w:val="single"/>
        </w:rPr>
        <w:t>Masse:</w:t>
      </w:r>
      <w:r>
        <w:t xml:space="preserve"> Les aciers sont mesurés et payés au kg en fonction de la nuance d'acier. La masse volumique est fixée à 7 850 kg/m³.</w:t>
      </w:r>
    </w:p>
    <w:p w14:paraId="6D2634F5" w14:textId="77777777" w:rsidR="00DF410E" w:rsidRDefault="00CE7F43">
      <w:pPr>
        <w:jc w:val="both"/>
      </w:pPr>
      <w:r>
        <w:t xml:space="preserve"> 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p>
    <w:p w14:paraId="6DCA985B" w14:textId="77777777" w:rsidR="00DF410E" w:rsidRDefault="00CE7F43">
      <w:pPr>
        <w:pStyle w:val="pheading"/>
      </w:pPr>
      <w:r>
        <w:t>- nature du marché:</w:t>
      </w:r>
    </w:p>
    <w:p w14:paraId="1043D6EB" w14:textId="77777777" w:rsidR="00DF410E" w:rsidRDefault="00CE7F43">
      <w:r>
        <w:rPr>
          <w:rStyle w:val="optioncarChar"/>
        </w:rPr>
        <w:t>QF</w:t>
      </w:r>
      <w:r>
        <w:t xml:space="preserve"> (par défaut)</w:t>
      </w:r>
      <w:r>
        <w:rPr>
          <w:rStyle w:val="optioncarChar"/>
        </w:rPr>
        <w:t xml:space="preserve"> / QP</w:t>
      </w:r>
    </w:p>
    <w:p w14:paraId="1598B297" w14:textId="77777777" w:rsidR="00DF410E" w:rsidRDefault="00CE7F43">
      <w:pPr>
        <w:pStyle w:val="Author-eSectionHeading6"/>
      </w:pPr>
      <w:bookmarkStart w:id="361" w:name="_Toc178837575"/>
      <w:r>
        <w:t>21.41.2b Armatures verticales pour maçonneries en blocs creux CCTB 01.07</w:t>
      </w:r>
      <w:bookmarkEnd w:id="361"/>
    </w:p>
    <w:p w14:paraId="1E080DB2" w14:textId="77777777" w:rsidR="00DF410E" w:rsidRDefault="00CE7F43">
      <w:pPr>
        <w:pStyle w:val="pheading"/>
      </w:pPr>
      <w:r>
        <w:t>DESCRIPTION</w:t>
      </w:r>
    </w:p>
    <w:p w14:paraId="36021A0A" w14:textId="77777777" w:rsidR="00DF410E" w:rsidRDefault="00CE7F43">
      <w:pPr>
        <w:pStyle w:val="pheading"/>
      </w:pPr>
      <w:r>
        <w:t>- Définition / Comprend</w:t>
      </w:r>
    </w:p>
    <w:p w14:paraId="09ADCA34" w14:textId="77777777" w:rsidR="00DF410E" w:rsidRDefault="00CE7F43">
      <w:pPr>
        <w:jc w:val="both"/>
      </w:pPr>
      <w:r>
        <w:t xml:space="preserve">Il s’agit de la fourniture et la pose d’armatures verticales pour maçonneries en blocs creux. La portée des travaux est décrite dans l’élément </w:t>
      </w:r>
      <w:hyperlink w:anchor="356" w:history="1">
        <w:r>
          <w:t>21.41.2 Armatures verticales pour maçonneries</w:t>
        </w:r>
      </w:hyperlink>
      <w:r>
        <w:t>.</w:t>
      </w:r>
    </w:p>
    <w:p w14:paraId="6B32D4D3" w14:textId="77777777" w:rsidR="00DF410E" w:rsidRDefault="00CE7F43">
      <w:pPr>
        <w:jc w:val="both"/>
      </w:pPr>
      <w:r>
        <w:t>Elle comprend notamment toutes les fournitures et prestations nécessaires à l'exécution des ferraillages, y compris le dressage, pliage, découpage, mise en place, calage, les crochets et les joints avec recouvrement et les ligatures en fil de fer recuit.</w:t>
      </w:r>
    </w:p>
    <w:p w14:paraId="181B9BBD" w14:textId="77777777" w:rsidR="00DF410E" w:rsidRDefault="00CE7F43">
      <w:pPr>
        <w:pStyle w:val="pheading"/>
      </w:pPr>
      <w:r>
        <w:t>- Localisation</w:t>
      </w:r>
    </w:p>
    <w:p w14:paraId="76326983" w14:textId="77777777" w:rsidR="00DF410E" w:rsidRDefault="00CE7F43">
      <w:r>
        <w:t xml:space="preserve">Localisation des travaux : </w:t>
      </w:r>
      <w:r>
        <w:rPr>
          <w:rStyle w:val="optioncarChar"/>
        </w:rPr>
        <w:t>***</w:t>
      </w:r>
      <w:r>
        <w:t>.</w:t>
      </w:r>
    </w:p>
    <w:p w14:paraId="0706CE37" w14:textId="77777777" w:rsidR="00DF410E" w:rsidRDefault="00CE7F43">
      <w:r>
        <w:t>Voir plans et métrés détaillés.</w:t>
      </w:r>
    </w:p>
    <w:p w14:paraId="2B21BEC4" w14:textId="77777777" w:rsidR="00DF410E" w:rsidRDefault="00CE7F43">
      <w:pPr>
        <w:pStyle w:val="pheading"/>
      </w:pPr>
      <w:r>
        <w:t>MATÉRIAUX</w:t>
      </w:r>
    </w:p>
    <w:p w14:paraId="48A0342D" w14:textId="77777777" w:rsidR="00DF410E" w:rsidRDefault="00CE7F43">
      <w:pPr>
        <w:pStyle w:val="pheading"/>
      </w:pPr>
      <w:r>
        <w:t>- Caractéristiques générales</w:t>
      </w:r>
    </w:p>
    <w:p w14:paraId="44FE8D6C" w14:textId="77777777" w:rsidR="00DF410E" w:rsidRDefault="00CE7F43">
      <w:r>
        <w:t xml:space="preserve">Le béton est décrit et comptabilisé séparément dans l’élément </w:t>
      </w:r>
      <w:hyperlink w:anchor="176" w:history="1">
        <w:r>
          <w:t>22.14.1a Colonnes en béton armé coulé en place</w:t>
        </w:r>
      </w:hyperlink>
      <w:r>
        <w:t>.</w:t>
      </w:r>
    </w:p>
    <w:p w14:paraId="7484315D" w14:textId="77777777" w:rsidR="00DF410E" w:rsidRDefault="00CE7F43">
      <w:pPr>
        <w:pStyle w:val="pheading"/>
      </w:pPr>
      <w:r>
        <w:t>EXÉCUTION / MISE EN ŒUVRE</w:t>
      </w:r>
    </w:p>
    <w:p w14:paraId="0E66A16B" w14:textId="77777777" w:rsidR="00DF410E" w:rsidRDefault="00CE7F43">
      <w:pPr>
        <w:pStyle w:val="pheading"/>
      </w:pPr>
      <w:r>
        <w:t>- Prescriptions générales</w:t>
      </w:r>
    </w:p>
    <w:p w14:paraId="124B3741" w14:textId="77777777" w:rsidR="00DF410E" w:rsidRDefault="00CE7F43">
      <w:pPr>
        <w:jc w:val="both"/>
      </w:pPr>
      <w:r>
        <w:t>L’étude et les plans d’exécution</w:t>
      </w:r>
      <w:r>
        <w:rPr>
          <w:rStyle w:val="optioncarChar"/>
        </w:rPr>
        <w:t xml:space="preserve"> sont / ne sont pas</w:t>
      </w:r>
      <w:r>
        <w:t xml:space="preserve"> à charge de l’entreprise.</w:t>
      </w:r>
    </w:p>
    <w:p w14:paraId="6A93609F" w14:textId="77777777" w:rsidR="00DF410E" w:rsidRDefault="00CE7F43">
      <w:pPr>
        <w:jc w:val="both"/>
      </w:pPr>
      <w:r>
        <w:t xml:space="preserve">La mise en œuvre des armatures suit les règles des [NBN EN 1996-1-1+A1] et [NBN EN 1996-2] (Eurocode 6). La pose est réalisée </w:t>
      </w:r>
      <w:r>
        <w:rPr>
          <w:rStyle w:val="optioncarChar"/>
        </w:rPr>
        <w:t xml:space="preserve">de manière à respecter l'alignement des alvéoles à armer entre les lignes de blocs </w:t>
      </w:r>
      <w:r>
        <w:t xml:space="preserve">(par défaut) </w:t>
      </w:r>
      <w:r>
        <w:rPr>
          <w:rStyle w:val="optioncarChar"/>
        </w:rPr>
        <w:t>/ conformément au plan de pose,</w:t>
      </w:r>
      <w:r>
        <w:t xml:space="preserve"> en outre les instructions du fabricant de blocs sont à respecter. Les armatures des chainages verticaux sont mises en place en suivant la progression des travaux de maçonnerie.</w:t>
      </w:r>
    </w:p>
    <w:p w14:paraId="32EEB3D1" w14:textId="77777777" w:rsidR="00DF410E" w:rsidRDefault="00CE7F43">
      <w:pPr>
        <w:jc w:val="both"/>
      </w:pPr>
      <w:r>
        <w:t xml:space="preserve">La maçonnerie est réalisée d’une manière générale conformément à l’élément </w:t>
      </w:r>
      <w:hyperlink w:anchor="292" w:history="1">
        <w:r>
          <w:t>21.1 Maçonneries portantes</w:t>
        </w:r>
      </w:hyperlink>
      <w:r>
        <w:t xml:space="preserve"> et sa mise en œuvre est décrite et comptabilisée dans les éléments parents correspondant.</w:t>
      </w:r>
    </w:p>
    <w:p w14:paraId="0A751CAA" w14:textId="77777777" w:rsidR="00DF410E" w:rsidRDefault="00CE7F43">
      <w:pPr>
        <w:jc w:val="both"/>
      </w:pPr>
      <w:r>
        <w:t>Les blocs disposent ou ne disposent pas d’alvéoles traversantes destinés à créer le coffrage perdu.</w:t>
      </w:r>
    </w:p>
    <w:p w14:paraId="49D96107" w14:textId="77777777" w:rsidR="00DF410E" w:rsidRDefault="00CE7F43">
      <w:pPr>
        <w:jc w:val="both"/>
      </w:pPr>
      <w:r>
        <w:t>Lorsque les alvéoles ne sont pas traversantes, elles sont rendues traversantes en perçant la tête du bloc sur une surface minimale déterminée. Surface minimale de la percée afin d’assurer l’écartement des armatures :</w:t>
      </w:r>
      <w:r>
        <w:rPr>
          <w:rStyle w:val="optioncarChar"/>
        </w:rPr>
        <w:t xml:space="preserve"> 5 cm </w:t>
      </w:r>
      <w:r>
        <w:t xml:space="preserve">(par défaut) </w:t>
      </w:r>
      <w:r>
        <w:rPr>
          <w:rStyle w:val="optioncarChar"/>
        </w:rPr>
        <w:t>/ ***</w:t>
      </w:r>
      <w:r>
        <w:t xml:space="preserve"> de diamètre.</w:t>
      </w:r>
    </w:p>
    <w:p w14:paraId="336C1705" w14:textId="77777777" w:rsidR="00DF410E" w:rsidRDefault="00CE7F43">
      <w:pPr>
        <w:jc w:val="both"/>
      </w:pPr>
      <w:r>
        <w:t>Les blocs sont enfilés, à l’envers dans le cas de blocs percés décrits ci-avant, le long des armatures en attente afin de permettre un remplissage optimal par le béton.</w:t>
      </w:r>
    </w:p>
    <w:p w14:paraId="54BBED9C" w14:textId="77777777" w:rsidR="00DF410E" w:rsidRDefault="00CE7F43">
      <w:pPr>
        <w:jc w:val="both"/>
      </w:pPr>
      <w:r>
        <w:t xml:space="preserve">L’entrepreneur assure la continuité de la réservation (alignement des alvéoles entre elles). Le plan d’appareillage est </w:t>
      </w:r>
      <w:r>
        <w:rPr>
          <w:rStyle w:val="optioncarChar"/>
        </w:rPr>
        <w:t>à soumettre par l’entrepreneur à l’approbation de la direction de chantier</w:t>
      </w:r>
      <w:r>
        <w:t xml:space="preserve"> (par défaut)</w:t>
      </w:r>
      <w:r>
        <w:rPr>
          <w:rStyle w:val="optioncarChar"/>
        </w:rPr>
        <w:t xml:space="preserve"> / à fournir par la direction de chantier</w:t>
      </w:r>
      <w:r>
        <w:t>.</w:t>
      </w:r>
    </w:p>
    <w:p w14:paraId="48976EDC" w14:textId="77777777" w:rsidR="00DF410E" w:rsidRDefault="00CE7F43">
      <w:pPr>
        <w:jc w:val="both"/>
      </w:pPr>
      <w:r>
        <w:t>Le bétonnage est réalisé par lit de pose. S’agissant d’un mur armé, la vibration du béton est absolument nécessaire, lit de pose par lit de pose.</w:t>
      </w:r>
    </w:p>
    <w:p w14:paraId="7484CB0E" w14:textId="77777777" w:rsidR="00DF410E" w:rsidRDefault="00CE7F43">
      <w:pPr>
        <w:jc w:val="both"/>
      </w:pPr>
      <w:r>
        <w:t xml:space="preserve">La mise en œuvre du béton est décrite et comptabilisée séparément dans l’élément </w:t>
      </w:r>
      <w:hyperlink w:anchor="176" w:history="1">
        <w:r>
          <w:t>22.14.1a Colonnes en béton armé coulé en place</w:t>
        </w:r>
      </w:hyperlink>
      <w:r>
        <w:t>.</w:t>
      </w:r>
    </w:p>
    <w:p w14:paraId="256ECFD3" w14:textId="77777777" w:rsidR="00DF410E" w:rsidRDefault="00CE7F43">
      <w:pPr>
        <w:pStyle w:val="pheading"/>
      </w:pPr>
      <w:r>
        <w:t>DOCUMENTS DE RÉFÉRENCE COMPLÉMENTAIRES</w:t>
      </w:r>
    </w:p>
    <w:p w14:paraId="27278F52" w14:textId="77777777" w:rsidR="00DF410E" w:rsidRDefault="00CE7F43">
      <w:pPr>
        <w:pStyle w:val="pheading"/>
      </w:pPr>
      <w:r>
        <w:t>- Exécution</w:t>
      </w:r>
    </w:p>
    <w:p w14:paraId="33B20313" w14:textId="77777777" w:rsidR="00DF410E" w:rsidRDefault="00CE7F43">
      <w:r>
        <w:t>[NBN EN 1996-1-1+A1, Eurocode 6 : Calcul des ouvrages en maçonnerie - Partie 1-1: Règles générales pour ouvrages en maçonnerie armée et non armée]</w:t>
      </w:r>
    </w:p>
    <w:p w14:paraId="4F2CB1EA" w14:textId="77777777" w:rsidR="00DF410E" w:rsidRDefault="00CE7F43">
      <w:r>
        <w:t>[NBN EN 1996-2, Eurocode 6 - Calcul des ouvrages en maçonnerie - Partie 2: Conception, choix des matériaux et mise en oeuvre des maçonneries (+ AC:2009)]</w:t>
      </w:r>
    </w:p>
    <w:p w14:paraId="00B238D3" w14:textId="77777777" w:rsidR="00DF410E" w:rsidRDefault="00CE7F43">
      <w:pPr>
        <w:pStyle w:val="pheading"/>
      </w:pPr>
      <w:r>
        <w:t>MESURAGE</w:t>
      </w:r>
    </w:p>
    <w:p w14:paraId="503AAFD2" w14:textId="77777777" w:rsidR="00DF410E" w:rsidRDefault="00CE7F43">
      <w:pPr>
        <w:pStyle w:val="pheading"/>
      </w:pPr>
      <w:r>
        <w:t>- unité de mesure:</w:t>
      </w:r>
    </w:p>
    <w:p w14:paraId="7677FBD4" w14:textId="77777777" w:rsidR="00DF410E" w:rsidRDefault="00CE7F43">
      <w:r>
        <w:t>kg</w:t>
      </w:r>
    </w:p>
    <w:p w14:paraId="7404F8F0" w14:textId="77777777" w:rsidR="00DF410E" w:rsidRDefault="00CE7F43">
      <w:pPr>
        <w:pStyle w:val="pheading"/>
      </w:pPr>
      <w:r>
        <w:t>- code de mesurage:</w:t>
      </w:r>
    </w:p>
    <w:p w14:paraId="7DCEF204" w14:textId="77777777" w:rsidR="00DF410E" w:rsidRDefault="00CE7F43">
      <w:pPr>
        <w:jc w:val="both"/>
      </w:pPr>
      <w:r>
        <w:t>Masse nette de l’acier ; les aciers sont mesurés et payés au kg en fonction de la nuance d'acier. La masse volumique est fixée à 7 850 kg/m³.</w:t>
      </w:r>
    </w:p>
    <w:p w14:paraId="072773C6" w14:textId="77777777" w:rsidR="00DF410E" w:rsidRDefault="00CE7F43">
      <w:pPr>
        <w:jc w:val="both"/>
      </w:pPr>
      <w:r>
        <w:t xml:space="preserve"> 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p>
    <w:p w14:paraId="0F913133" w14:textId="77777777" w:rsidR="00DF410E" w:rsidRDefault="00CE7F43">
      <w:pPr>
        <w:pStyle w:val="pheading"/>
      </w:pPr>
      <w:r>
        <w:t>- nature du marché:</w:t>
      </w:r>
    </w:p>
    <w:p w14:paraId="501922D4" w14:textId="77777777" w:rsidR="00DF410E" w:rsidRDefault="00CE7F43">
      <w:r>
        <w:rPr>
          <w:rStyle w:val="optioncarChar"/>
        </w:rPr>
        <w:t>QF</w:t>
      </w:r>
      <w:r>
        <w:t xml:space="preserve"> (par défaut) </w:t>
      </w:r>
      <w:r>
        <w:rPr>
          <w:rStyle w:val="optioncarChar"/>
        </w:rPr>
        <w:t>/ QP</w:t>
      </w:r>
    </w:p>
    <w:p w14:paraId="6F5A0CC8" w14:textId="77777777" w:rsidR="00DF410E" w:rsidRDefault="00CE7F43">
      <w:r>
        <w:rPr>
          <w:b/>
          <w:i/>
        </w:rPr>
        <w:t>(Soit par défaut)</w:t>
      </w:r>
    </w:p>
    <w:p w14:paraId="6CA958D4" w14:textId="77777777" w:rsidR="00DF410E" w:rsidRDefault="00CE7F43">
      <w:r>
        <w:rPr>
          <w:rStyle w:val="soitChar"/>
        </w:rPr>
        <w:t>1. QF</w:t>
      </w:r>
    </w:p>
    <w:p w14:paraId="37C1A6BE" w14:textId="77777777" w:rsidR="00DF410E" w:rsidRDefault="00CE7F43">
      <w:r>
        <w:rPr>
          <w:b/>
          <w:i/>
        </w:rPr>
        <w:t>(Soit)</w:t>
      </w:r>
    </w:p>
    <w:p w14:paraId="1B2685E4" w14:textId="77777777" w:rsidR="00DF410E" w:rsidRDefault="00CE7F43">
      <w:r>
        <w:rPr>
          <w:rStyle w:val="soitChar"/>
        </w:rPr>
        <w:t>2. QP</w:t>
      </w:r>
    </w:p>
    <w:p w14:paraId="2FEB3E84" w14:textId="77777777" w:rsidR="00DF410E" w:rsidRDefault="00CE7F43">
      <w:pPr>
        <w:pStyle w:val="Author-eSectionHeading6"/>
      </w:pPr>
      <w:bookmarkStart w:id="362" w:name="_Toc178837576"/>
      <w:r>
        <w:t>21.41.2c Armatures verticales pour maçonneries en briques creuses CCTB 01.02</w:t>
      </w:r>
      <w:bookmarkEnd w:id="362"/>
    </w:p>
    <w:p w14:paraId="6ECA1AC1" w14:textId="77777777" w:rsidR="00DF410E" w:rsidRDefault="00CE7F43">
      <w:pPr>
        <w:pStyle w:val="Author-eSectionHeading5"/>
      </w:pPr>
      <w:bookmarkStart w:id="363" w:name="_Toc178837577"/>
      <w:r>
        <w:t>21.41.3 Etriers supports de poutres et poutrelles CCTB 01.02</w:t>
      </w:r>
      <w:bookmarkEnd w:id="363"/>
    </w:p>
    <w:p w14:paraId="5A713EEB" w14:textId="77777777" w:rsidR="00DF410E" w:rsidRDefault="00CE7F43">
      <w:pPr>
        <w:pStyle w:val="Author-eSectionHeading6"/>
      </w:pPr>
      <w:bookmarkStart w:id="364" w:name="_Toc178837578"/>
      <w:r>
        <w:t>21.41.3a Etriers supports de poutres et poutrelles CCTB 01.02</w:t>
      </w:r>
      <w:bookmarkEnd w:id="364"/>
    </w:p>
    <w:p w14:paraId="4587B149" w14:textId="77777777" w:rsidR="00DF410E" w:rsidRDefault="00CE7F43">
      <w:pPr>
        <w:pStyle w:val="Author-eSectionHeading4"/>
      </w:pPr>
      <w:bookmarkStart w:id="365" w:name="_Toc178837579"/>
      <w:r>
        <w:t>21.42 Ancrages et fixations de maçonneries CCTB 01.02</w:t>
      </w:r>
      <w:bookmarkEnd w:id="365"/>
    </w:p>
    <w:p w14:paraId="01A9174A" w14:textId="77777777" w:rsidR="00DF410E" w:rsidRDefault="00CE7F43">
      <w:pPr>
        <w:pStyle w:val="Author-eSectionHeading5"/>
      </w:pPr>
      <w:bookmarkStart w:id="366" w:name="362"/>
      <w:bookmarkStart w:id="367" w:name="_Toc178837580"/>
      <w:bookmarkEnd w:id="366"/>
      <w:r>
        <w:t>21.42.1 Crochets, tirants et pattes d'ancrages de maçonneries CCTB 01.12</w:t>
      </w:r>
      <w:bookmarkEnd w:id="367"/>
    </w:p>
    <w:p w14:paraId="4EEF1639" w14:textId="77777777" w:rsidR="00DF410E" w:rsidRDefault="00CE7F43">
      <w:pPr>
        <w:pStyle w:val="pheading"/>
      </w:pPr>
      <w:bookmarkStart w:id="368" w:name="363"/>
      <w:bookmarkEnd w:id="368"/>
      <w:r>
        <w:t>DESCRIPTION</w:t>
      </w:r>
    </w:p>
    <w:p w14:paraId="45346638" w14:textId="77777777" w:rsidR="00DF410E" w:rsidRDefault="00CE7F43">
      <w:pPr>
        <w:pStyle w:val="pheading"/>
      </w:pPr>
      <w:r>
        <w:t>- Définition / Comprend</w:t>
      </w:r>
    </w:p>
    <w:p w14:paraId="06424BAA" w14:textId="77777777" w:rsidR="00DF410E" w:rsidRDefault="00CE7F43">
      <w:pPr>
        <w:jc w:val="both"/>
      </w:pPr>
      <w:r>
        <w:t>Il s’agit de la fourniture et la pose des crochets, tirants et pattes d’ancrage de maçonnerie, aussi appelés attaches murales. Une attache murale est un dispositif capable de transférer des charges entre des parois en maçonnerie ou entre la maçonnerie et d’autres structures, pour limiter leur mouvement relatif dans un seul plan ou dans plusieurs plans, selon le cas. Les attaches murales doivent être désignées comme étant symétriques ou asymétriques, et horizontales, inclinables ou mobiles.</w:t>
      </w:r>
    </w:p>
    <w:p w14:paraId="385D59A7" w14:textId="77777777" w:rsidR="00DF410E" w:rsidRDefault="00CE7F43">
      <w:pPr>
        <w:pStyle w:val="pheading"/>
      </w:pPr>
      <w:r>
        <w:t>MATÉRIAUX</w:t>
      </w:r>
    </w:p>
    <w:p w14:paraId="70452B8A" w14:textId="77777777" w:rsidR="00DF410E" w:rsidRDefault="00CE7F43">
      <w:pPr>
        <w:jc w:val="both"/>
      </w:pPr>
      <w:r>
        <w:t>Les crochets, tirants et pattes d’ancrage de maçonnerie – aussi appelés attaches murales - répondent aux spécifications de la norme [NBN EN 845-1:2013+A1]. Le matériau constitutif (système de protection anticorrosion) est référencé normativement (voir tableau ci-dessous). En fonction de la référence normative du matériau, les attaches peuvent être couvertes d’une couche de galvanisation (différentes épaisseurs) et/ou d’un revêtement organique pour offrir une résistance à la corrosion.</w:t>
      </w:r>
    </w:p>
    <w:p w14:paraId="28A43F1A" w14:textId="77777777" w:rsidR="00DF410E" w:rsidRDefault="00CE7F43">
      <w:pPr>
        <w:jc w:val="both"/>
      </w:pPr>
      <w:r>
        <w:t>Le choix de la référence normative du matériau doit être réalisé conformément à la [NBN EN 1996-2] en fonction de la classe d’exposition de la maçonnerie.</w:t>
      </w:r>
    </w:p>
    <w:p w14:paraId="40158690" w14:textId="77777777" w:rsidR="00DF410E" w:rsidRDefault="00CE7F43">
      <w:pPr>
        <w:jc w:val="both"/>
      </w:pPr>
      <w:r>
        <w:t>Tableau : Recommandation (1) quant au système de protection anticorrosion pour les attaches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DF410E" w14:paraId="67418400" w14:textId="77777777">
        <w:tc>
          <w:tcPr>
            <w:tcW w:w="6720" w:type="dxa"/>
            <w:gridSpan w:val="2"/>
            <w:noWrap/>
          </w:tcPr>
          <w:p w14:paraId="14D80C0B" w14:textId="77777777" w:rsidR="00DF410E" w:rsidRDefault="00CE7F43">
            <w:pPr>
              <w:jc w:val="center"/>
            </w:pPr>
            <w:r>
              <w:rPr>
                <w:b/>
              </w:rPr>
              <w:t>Matériau</w:t>
            </w:r>
          </w:p>
        </w:tc>
        <w:tc>
          <w:tcPr>
            <w:tcW w:w="2280" w:type="dxa"/>
            <w:gridSpan w:val="4"/>
            <w:noWrap/>
          </w:tcPr>
          <w:p w14:paraId="3F52D1A5" w14:textId="77777777" w:rsidR="00DF410E" w:rsidRDefault="00CE7F43">
            <w:pPr>
              <w:jc w:val="center"/>
            </w:pPr>
            <w:r>
              <w:rPr>
                <w:b/>
              </w:rPr>
              <w:t>Classe d’exposition (</w:t>
            </w:r>
            <w:r>
              <w:rPr>
                <w:b/>
                <w:vertAlign w:val="superscript"/>
              </w:rPr>
              <w:t>3</w:t>
            </w:r>
            <w:r>
              <w:rPr>
                <w:b/>
              </w:rPr>
              <w:t>)</w:t>
            </w:r>
          </w:p>
        </w:tc>
      </w:tr>
      <w:tr w:rsidR="00DF410E" w14:paraId="38081B97" w14:textId="77777777">
        <w:tc>
          <w:tcPr>
            <w:tcW w:w="5655" w:type="dxa"/>
            <w:noWrap/>
          </w:tcPr>
          <w:p w14:paraId="5771E4C4" w14:textId="77777777" w:rsidR="00DF410E" w:rsidRDefault="00CE7F43">
            <w:pPr>
              <w:jc w:val="center"/>
            </w:pPr>
            <w:r>
              <w:t>Spécification (</w:t>
            </w:r>
            <w:r>
              <w:rPr>
                <w:vertAlign w:val="superscript"/>
              </w:rPr>
              <w:t>2</w:t>
            </w:r>
            <w:r>
              <w:t>) du matériau et du revêtement correspondant au numéro de référence</w:t>
            </w:r>
          </w:p>
        </w:tc>
        <w:tc>
          <w:tcPr>
            <w:tcW w:w="1065" w:type="dxa"/>
            <w:noWrap/>
          </w:tcPr>
          <w:p w14:paraId="47621B34" w14:textId="77777777" w:rsidR="00DF410E" w:rsidRDefault="00CE7F43">
            <w:pPr>
              <w:jc w:val="center"/>
            </w:pPr>
            <w:r>
              <w:rPr>
                <w:b/>
              </w:rPr>
              <w:t>N° de référence</w:t>
            </w:r>
          </w:p>
        </w:tc>
        <w:tc>
          <w:tcPr>
            <w:tcW w:w="570" w:type="dxa"/>
            <w:noWrap/>
          </w:tcPr>
          <w:p w14:paraId="19BA783A" w14:textId="77777777" w:rsidR="00DF410E" w:rsidRDefault="00CE7F43">
            <w:pPr>
              <w:jc w:val="center"/>
            </w:pPr>
            <w:r>
              <w:t>MX1</w:t>
            </w:r>
          </w:p>
        </w:tc>
        <w:tc>
          <w:tcPr>
            <w:tcW w:w="570" w:type="dxa"/>
            <w:noWrap/>
          </w:tcPr>
          <w:p w14:paraId="21A316D9" w14:textId="77777777" w:rsidR="00DF410E" w:rsidRDefault="00CE7F43">
            <w:pPr>
              <w:jc w:val="center"/>
            </w:pPr>
            <w:r>
              <w:t>MX2</w:t>
            </w:r>
          </w:p>
          <w:p w14:paraId="08B04B24" w14:textId="77777777" w:rsidR="00DF410E" w:rsidRDefault="00CE7F43">
            <w:pPr>
              <w:jc w:val="center"/>
            </w:pPr>
            <w:r>
              <w:t>MX3</w:t>
            </w:r>
          </w:p>
        </w:tc>
        <w:tc>
          <w:tcPr>
            <w:tcW w:w="570" w:type="dxa"/>
            <w:noWrap/>
          </w:tcPr>
          <w:p w14:paraId="6E3F626A" w14:textId="77777777" w:rsidR="00DF410E" w:rsidRDefault="00CE7F43">
            <w:pPr>
              <w:jc w:val="center"/>
            </w:pPr>
            <w:r>
              <w:t>MX4</w:t>
            </w:r>
          </w:p>
        </w:tc>
        <w:tc>
          <w:tcPr>
            <w:tcW w:w="570" w:type="dxa"/>
            <w:noWrap/>
          </w:tcPr>
          <w:p w14:paraId="10AF8182" w14:textId="77777777" w:rsidR="00DF410E" w:rsidRDefault="00CE7F43">
            <w:pPr>
              <w:jc w:val="center"/>
            </w:pPr>
            <w:r>
              <w:t>MX5</w:t>
            </w:r>
          </w:p>
        </w:tc>
      </w:tr>
      <w:tr w:rsidR="00DF410E" w14:paraId="4530E2DF" w14:textId="77777777">
        <w:tc>
          <w:tcPr>
            <w:tcW w:w="5655" w:type="dxa"/>
            <w:noWrap/>
          </w:tcPr>
          <w:p w14:paraId="2A172EA6" w14:textId="77777777" w:rsidR="00DF410E" w:rsidRDefault="00CE7F43">
            <w:r>
              <w:t>Acier inoxydable austénitique  (alliages molybdène chrome nickel – ‘inox 316’)</w:t>
            </w:r>
          </w:p>
        </w:tc>
        <w:tc>
          <w:tcPr>
            <w:tcW w:w="1065" w:type="dxa"/>
            <w:noWrap/>
          </w:tcPr>
          <w:p w14:paraId="56655206" w14:textId="77777777" w:rsidR="00DF410E" w:rsidRDefault="00CE7F43">
            <w:pPr>
              <w:jc w:val="center"/>
            </w:pPr>
            <w:r>
              <w:rPr>
                <w:b/>
              </w:rPr>
              <w:t>1</w:t>
            </w:r>
          </w:p>
        </w:tc>
        <w:tc>
          <w:tcPr>
            <w:tcW w:w="570" w:type="dxa"/>
            <w:noWrap/>
          </w:tcPr>
          <w:p w14:paraId="0808811B" w14:textId="77777777" w:rsidR="00DF410E" w:rsidRDefault="00CE7F43">
            <w:pPr>
              <w:jc w:val="center"/>
            </w:pPr>
            <w:r>
              <w:t>U</w:t>
            </w:r>
          </w:p>
        </w:tc>
        <w:tc>
          <w:tcPr>
            <w:tcW w:w="570" w:type="dxa"/>
            <w:noWrap/>
          </w:tcPr>
          <w:p w14:paraId="494DA2E1" w14:textId="77777777" w:rsidR="00DF410E" w:rsidRDefault="00CE7F43">
            <w:pPr>
              <w:jc w:val="center"/>
            </w:pPr>
            <w:r>
              <w:t>U</w:t>
            </w:r>
          </w:p>
        </w:tc>
        <w:tc>
          <w:tcPr>
            <w:tcW w:w="570" w:type="dxa"/>
            <w:noWrap/>
          </w:tcPr>
          <w:p w14:paraId="426E62D0" w14:textId="77777777" w:rsidR="00DF410E" w:rsidRDefault="00CE7F43">
            <w:pPr>
              <w:jc w:val="center"/>
            </w:pPr>
            <w:r>
              <w:t>U</w:t>
            </w:r>
          </w:p>
        </w:tc>
        <w:tc>
          <w:tcPr>
            <w:tcW w:w="570" w:type="dxa"/>
            <w:noWrap/>
          </w:tcPr>
          <w:p w14:paraId="1FD18D92" w14:textId="77777777" w:rsidR="00DF410E" w:rsidRDefault="00CE7F43">
            <w:pPr>
              <w:jc w:val="center"/>
            </w:pPr>
            <w:r>
              <w:t>R</w:t>
            </w:r>
          </w:p>
        </w:tc>
      </w:tr>
      <w:tr w:rsidR="00DF410E" w14:paraId="1A14D701" w14:textId="77777777">
        <w:tc>
          <w:tcPr>
            <w:tcW w:w="5655" w:type="dxa"/>
            <w:noWrap/>
          </w:tcPr>
          <w:p w14:paraId="7F7C4DC3" w14:textId="77777777" w:rsidR="00DF410E" w:rsidRDefault="00CE7F43">
            <w:r>
              <w:t>Plastique utilisé pour le corps des attaches murales</w:t>
            </w:r>
          </w:p>
        </w:tc>
        <w:tc>
          <w:tcPr>
            <w:tcW w:w="1065" w:type="dxa"/>
            <w:noWrap/>
          </w:tcPr>
          <w:p w14:paraId="5EC0405A" w14:textId="77777777" w:rsidR="00DF410E" w:rsidRDefault="00CE7F43">
            <w:pPr>
              <w:jc w:val="center"/>
            </w:pPr>
            <w:r>
              <w:rPr>
                <w:b/>
              </w:rPr>
              <w:t>2</w:t>
            </w:r>
          </w:p>
        </w:tc>
        <w:tc>
          <w:tcPr>
            <w:tcW w:w="570" w:type="dxa"/>
            <w:noWrap/>
          </w:tcPr>
          <w:p w14:paraId="1071A91F" w14:textId="77777777" w:rsidR="00DF410E" w:rsidRDefault="00CE7F43">
            <w:pPr>
              <w:jc w:val="center"/>
            </w:pPr>
            <w:r>
              <w:t>U</w:t>
            </w:r>
          </w:p>
        </w:tc>
        <w:tc>
          <w:tcPr>
            <w:tcW w:w="570" w:type="dxa"/>
            <w:noWrap/>
          </w:tcPr>
          <w:p w14:paraId="7371B75E" w14:textId="77777777" w:rsidR="00DF410E" w:rsidRDefault="00CE7F43">
            <w:pPr>
              <w:jc w:val="center"/>
            </w:pPr>
            <w:r>
              <w:t>U</w:t>
            </w:r>
          </w:p>
        </w:tc>
        <w:tc>
          <w:tcPr>
            <w:tcW w:w="570" w:type="dxa"/>
            <w:noWrap/>
          </w:tcPr>
          <w:p w14:paraId="6C947853" w14:textId="77777777" w:rsidR="00DF410E" w:rsidRDefault="00CE7F43">
            <w:pPr>
              <w:jc w:val="center"/>
            </w:pPr>
            <w:r>
              <w:t>U</w:t>
            </w:r>
          </w:p>
        </w:tc>
        <w:tc>
          <w:tcPr>
            <w:tcW w:w="570" w:type="dxa"/>
            <w:noWrap/>
          </w:tcPr>
          <w:p w14:paraId="16D8E6A4" w14:textId="77777777" w:rsidR="00DF410E" w:rsidRDefault="00CE7F43">
            <w:pPr>
              <w:jc w:val="center"/>
            </w:pPr>
            <w:r>
              <w:t>R</w:t>
            </w:r>
          </w:p>
        </w:tc>
      </w:tr>
      <w:tr w:rsidR="00DF410E" w14:paraId="4FFC898E" w14:textId="77777777">
        <w:tc>
          <w:tcPr>
            <w:tcW w:w="5655" w:type="dxa"/>
            <w:noWrap/>
          </w:tcPr>
          <w:p w14:paraId="2C890866" w14:textId="77777777" w:rsidR="00DF410E" w:rsidRDefault="00CE7F43">
            <w:r>
              <w:t>Acier inoxydable austénitique (alliages chrome nickel – ‘inox 304’)</w:t>
            </w:r>
          </w:p>
        </w:tc>
        <w:tc>
          <w:tcPr>
            <w:tcW w:w="1065" w:type="dxa"/>
            <w:noWrap/>
          </w:tcPr>
          <w:p w14:paraId="2013EC07" w14:textId="77777777" w:rsidR="00DF410E" w:rsidRDefault="00CE7F43">
            <w:pPr>
              <w:jc w:val="center"/>
            </w:pPr>
            <w:r>
              <w:rPr>
                <w:b/>
              </w:rPr>
              <w:t>3</w:t>
            </w:r>
          </w:p>
        </w:tc>
        <w:tc>
          <w:tcPr>
            <w:tcW w:w="570" w:type="dxa"/>
            <w:noWrap/>
          </w:tcPr>
          <w:p w14:paraId="37527A25" w14:textId="77777777" w:rsidR="00DF410E" w:rsidRDefault="00CE7F43">
            <w:pPr>
              <w:jc w:val="center"/>
            </w:pPr>
            <w:r>
              <w:t>U</w:t>
            </w:r>
          </w:p>
        </w:tc>
        <w:tc>
          <w:tcPr>
            <w:tcW w:w="570" w:type="dxa"/>
            <w:noWrap/>
          </w:tcPr>
          <w:p w14:paraId="7224C0B8" w14:textId="77777777" w:rsidR="00DF410E" w:rsidRDefault="00CE7F43">
            <w:pPr>
              <w:jc w:val="center"/>
            </w:pPr>
            <w:r>
              <w:t>U</w:t>
            </w:r>
          </w:p>
        </w:tc>
        <w:tc>
          <w:tcPr>
            <w:tcW w:w="570" w:type="dxa"/>
            <w:noWrap/>
          </w:tcPr>
          <w:p w14:paraId="07024689" w14:textId="77777777" w:rsidR="00DF410E" w:rsidRDefault="00CE7F43">
            <w:pPr>
              <w:jc w:val="center"/>
            </w:pPr>
            <w:r>
              <w:t>R</w:t>
            </w:r>
          </w:p>
        </w:tc>
        <w:tc>
          <w:tcPr>
            <w:tcW w:w="570" w:type="dxa"/>
            <w:noWrap/>
          </w:tcPr>
          <w:p w14:paraId="7D58BAA0" w14:textId="77777777" w:rsidR="00DF410E" w:rsidRDefault="00CE7F43">
            <w:pPr>
              <w:jc w:val="center"/>
            </w:pPr>
            <w:r>
              <w:t>R</w:t>
            </w:r>
          </w:p>
        </w:tc>
      </w:tr>
      <w:tr w:rsidR="00DF410E" w14:paraId="17276EA8" w14:textId="77777777">
        <w:tc>
          <w:tcPr>
            <w:tcW w:w="5655" w:type="dxa"/>
            <w:noWrap/>
          </w:tcPr>
          <w:p w14:paraId="2635E920" w14:textId="77777777" w:rsidR="00DF410E" w:rsidRDefault="00CE7F43">
            <w:r>
              <w:t>Acier inoxydable ferritique</w:t>
            </w:r>
          </w:p>
        </w:tc>
        <w:tc>
          <w:tcPr>
            <w:tcW w:w="1065" w:type="dxa"/>
            <w:noWrap/>
          </w:tcPr>
          <w:p w14:paraId="7D3D309C" w14:textId="77777777" w:rsidR="00DF410E" w:rsidRDefault="00CE7F43">
            <w:pPr>
              <w:jc w:val="center"/>
            </w:pPr>
            <w:r>
              <w:rPr>
                <w:b/>
              </w:rPr>
              <w:t>4</w:t>
            </w:r>
          </w:p>
        </w:tc>
        <w:tc>
          <w:tcPr>
            <w:tcW w:w="570" w:type="dxa"/>
            <w:noWrap/>
          </w:tcPr>
          <w:p w14:paraId="2F7ED585" w14:textId="77777777" w:rsidR="00DF410E" w:rsidRDefault="00CE7F43">
            <w:pPr>
              <w:jc w:val="center"/>
            </w:pPr>
            <w:r>
              <w:t>U</w:t>
            </w:r>
          </w:p>
        </w:tc>
        <w:tc>
          <w:tcPr>
            <w:tcW w:w="570" w:type="dxa"/>
            <w:noWrap/>
          </w:tcPr>
          <w:p w14:paraId="2FD22B1B" w14:textId="77777777" w:rsidR="00DF410E" w:rsidRDefault="00CE7F43">
            <w:pPr>
              <w:jc w:val="center"/>
            </w:pPr>
            <w:r>
              <w:t>X</w:t>
            </w:r>
          </w:p>
        </w:tc>
        <w:tc>
          <w:tcPr>
            <w:tcW w:w="570" w:type="dxa"/>
            <w:noWrap/>
          </w:tcPr>
          <w:p w14:paraId="2CCC71D8" w14:textId="77777777" w:rsidR="00DF410E" w:rsidRDefault="00CE7F43">
            <w:pPr>
              <w:jc w:val="center"/>
            </w:pPr>
            <w:r>
              <w:t>X</w:t>
            </w:r>
          </w:p>
        </w:tc>
        <w:tc>
          <w:tcPr>
            <w:tcW w:w="570" w:type="dxa"/>
            <w:noWrap/>
          </w:tcPr>
          <w:p w14:paraId="3A382670" w14:textId="77777777" w:rsidR="00DF410E" w:rsidRDefault="00CE7F43">
            <w:pPr>
              <w:jc w:val="center"/>
            </w:pPr>
            <w:r>
              <w:t>X</w:t>
            </w:r>
          </w:p>
        </w:tc>
      </w:tr>
      <w:tr w:rsidR="00DF410E" w14:paraId="7D2A7EAD" w14:textId="77777777">
        <w:tc>
          <w:tcPr>
            <w:tcW w:w="5655" w:type="dxa"/>
            <w:noWrap/>
          </w:tcPr>
          <w:p w14:paraId="5ECCDFF2" w14:textId="77777777" w:rsidR="00DF410E" w:rsidRDefault="00CE7F43">
            <w:r>
              <w:t>Bronze phosphorique</w:t>
            </w:r>
          </w:p>
        </w:tc>
        <w:tc>
          <w:tcPr>
            <w:tcW w:w="1065" w:type="dxa"/>
            <w:noWrap/>
          </w:tcPr>
          <w:p w14:paraId="74B83A9A" w14:textId="77777777" w:rsidR="00DF410E" w:rsidRDefault="00CE7F43">
            <w:pPr>
              <w:jc w:val="center"/>
            </w:pPr>
            <w:r>
              <w:rPr>
                <w:b/>
              </w:rPr>
              <w:t>5</w:t>
            </w:r>
          </w:p>
        </w:tc>
        <w:tc>
          <w:tcPr>
            <w:tcW w:w="570" w:type="dxa"/>
            <w:noWrap/>
          </w:tcPr>
          <w:p w14:paraId="5AAD112B" w14:textId="77777777" w:rsidR="00DF410E" w:rsidRDefault="00CE7F43">
            <w:pPr>
              <w:jc w:val="center"/>
            </w:pPr>
            <w:r>
              <w:t>U</w:t>
            </w:r>
          </w:p>
        </w:tc>
        <w:tc>
          <w:tcPr>
            <w:tcW w:w="570" w:type="dxa"/>
            <w:noWrap/>
          </w:tcPr>
          <w:p w14:paraId="3C7875C3" w14:textId="77777777" w:rsidR="00DF410E" w:rsidRDefault="00CE7F43">
            <w:pPr>
              <w:jc w:val="center"/>
            </w:pPr>
            <w:r>
              <w:t>U</w:t>
            </w:r>
          </w:p>
        </w:tc>
        <w:tc>
          <w:tcPr>
            <w:tcW w:w="570" w:type="dxa"/>
            <w:noWrap/>
          </w:tcPr>
          <w:p w14:paraId="744A9D31" w14:textId="77777777" w:rsidR="00DF410E" w:rsidRDefault="00CE7F43">
            <w:pPr>
              <w:jc w:val="center"/>
            </w:pPr>
            <w:r>
              <w:t>X</w:t>
            </w:r>
          </w:p>
        </w:tc>
        <w:tc>
          <w:tcPr>
            <w:tcW w:w="570" w:type="dxa"/>
            <w:noWrap/>
          </w:tcPr>
          <w:p w14:paraId="6D7D5B75" w14:textId="77777777" w:rsidR="00DF410E" w:rsidRDefault="00CE7F43">
            <w:pPr>
              <w:jc w:val="center"/>
            </w:pPr>
            <w:r>
              <w:t>X</w:t>
            </w:r>
          </w:p>
        </w:tc>
      </w:tr>
      <w:tr w:rsidR="00DF410E" w14:paraId="6FC6E0FF" w14:textId="77777777">
        <w:tc>
          <w:tcPr>
            <w:tcW w:w="5655" w:type="dxa"/>
            <w:noWrap/>
          </w:tcPr>
          <w:p w14:paraId="624AB7B2" w14:textId="77777777" w:rsidR="00DF410E" w:rsidRDefault="00CE7F43">
            <w:r>
              <w:t>Bronze d‘aluminium</w:t>
            </w:r>
          </w:p>
        </w:tc>
        <w:tc>
          <w:tcPr>
            <w:tcW w:w="1065" w:type="dxa"/>
            <w:noWrap/>
          </w:tcPr>
          <w:p w14:paraId="67760373" w14:textId="77777777" w:rsidR="00DF410E" w:rsidRDefault="00CE7F43">
            <w:pPr>
              <w:jc w:val="center"/>
            </w:pPr>
            <w:r>
              <w:rPr>
                <w:b/>
              </w:rPr>
              <w:t>6</w:t>
            </w:r>
          </w:p>
        </w:tc>
        <w:tc>
          <w:tcPr>
            <w:tcW w:w="570" w:type="dxa"/>
            <w:noWrap/>
          </w:tcPr>
          <w:p w14:paraId="356F402C" w14:textId="77777777" w:rsidR="00DF410E" w:rsidRDefault="00CE7F43">
            <w:pPr>
              <w:jc w:val="center"/>
            </w:pPr>
            <w:r>
              <w:t>U</w:t>
            </w:r>
          </w:p>
        </w:tc>
        <w:tc>
          <w:tcPr>
            <w:tcW w:w="570" w:type="dxa"/>
            <w:noWrap/>
          </w:tcPr>
          <w:p w14:paraId="07FDB952" w14:textId="77777777" w:rsidR="00DF410E" w:rsidRDefault="00CE7F43">
            <w:pPr>
              <w:jc w:val="center"/>
            </w:pPr>
            <w:r>
              <w:t>U</w:t>
            </w:r>
          </w:p>
        </w:tc>
        <w:tc>
          <w:tcPr>
            <w:tcW w:w="570" w:type="dxa"/>
            <w:noWrap/>
          </w:tcPr>
          <w:p w14:paraId="2BBB3065" w14:textId="77777777" w:rsidR="00DF410E" w:rsidRDefault="00CE7F43">
            <w:pPr>
              <w:jc w:val="center"/>
            </w:pPr>
            <w:r>
              <w:t>X</w:t>
            </w:r>
          </w:p>
        </w:tc>
        <w:tc>
          <w:tcPr>
            <w:tcW w:w="570" w:type="dxa"/>
            <w:noWrap/>
          </w:tcPr>
          <w:p w14:paraId="473C4F9C" w14:textId="77777777" w:rsidR="00DF410E" w:rsidRDefault="00CE7F43">
            <w:pPr>
              <w:jc w:val="center"/>
            </w:pPr>
            <w:r>
              <w:t>X</w:t>
            </w:r>
          </w:p>
        </w:tc>
      </w:tr>
      <w:tr w:rsidR="00DF410E" w14:paraId="76398AE6" w14:textId="77777777">
        <w:tc>
          <w:tcPr>
            <w:tcW w:w="5655" w:type="dxa"/>
            <w:noWrap/>
          </w:tcPr>
          <w:p w14:paraId="3BB281DC" w14:textId="77777777" w:rsidR="00DF410E" w:rsidRDefault="00CE7F43">
            <w:r>
              <w:t>Cuivre</w:t>
            </w:r>
          </w:p>
        </w:tc>
        <w:tc>
          <w:tcPr>
            <w:tcW w:w="1065" w:type="dxa"/>
            <w:noWrap/>
          </w:tcPr>
          <w:p w14:paraId="4A2CAC10" w14:textId="77777777" w:rsidR="00DF410E" w:rsidRDefault="00CE7F43">
            <w:pPr>
              <w:jc w:val="center"/>
            </w:pPr>
            <w:r>
              <w:rPr>
                <w:b/>
              </w:rPr>
              <w:t>7</w:t>
            </w:r>
          </w:p>
        </w:tc>
        <w:tc>
          <w:tcPr>
            <w:tcW w:w="570" w:type="dxa"/>
            <w:noWrap/>
          </w:tcPr>
          <w:p w14:paraId="2ED1C52B" w14:textId="77777777" w:rsidR="00DF410E" w:rsidRDefault="00CE7F43">
            <w:pPr>
              <w:jc w:val="center"/>
            </w:pPr>
            <w:r>
              <w:t>U</w:t>
            </w:r>
          </w:p>
        </w:tc>
        <w:tc>
          <w:tcPr>
            <w:tcW w:w="570" w:type="dxa"/>
            <w:noWrap/>
          </w:tcPr>
          <w:p w14:paraId="4085D6EA" w14:textId="77777777" w:rsidR="00DF410E" w:rsidRDefault="00CE7F43">
            <w:pPr>
              <w:jc w:val="center"/>
            </w:pPr>
            <w:r>
              <w:t>U</w:t>
            </w:r>
          </w:p>
        </w:tc>
        <w:tc>
          <w:tcPr>
            <w:tcW w:w="570" w:type="dxa"/>
            <w:noWrap/>
          </w:tcPr>
          <w:p w14:paraId="6992B61B" w14:textId="77777777" w:rsidR="00DF410E" w:rsidRDefault="00CE7F43">
            <w:pPr>
              <w:jc w:val="center"/>
            </w:pPr>
            <w:r>
              <w:t>X</w:t>
            </w:r>
          </w:p>
        </w:tc>
        <w:tc>
          <w:tcPr>
            <w:tcW w:w="570" w:type="dxa"/>
            <w:noWrap/>
          </w:tcPr>
          <w:p w14:paraId="3C61279D" w14:textId="77777777" w:rsidR="00DF410E" w:rsidRDefault="00CE7F43">
            <w:pPr>
              <w:jc w:val="center"/>
            </w:pPr>
            <w:r>
              <w:t>X</w:t>
            </w:r>
          </w:p>
        </w:tc>
      </w:tr>
      <w:tr w:rsidR="00DF410E" w14:paraId="176D41B1" w14:textId="77777777">
        <w:tc>
          <w:tcPr>
            <w:tcW w:w="5655" w:type="dxa"/>
            <w:noWrap/>
          </w:tcPr>
          <w:p w14:paraId="189283BB" w14:textId="77777777" w:rsidR="00DF410E" w:rsidRDefault="00CE7F43">
            <w:r>
              <w:t>Fil en acier galvanisé (940 g/m² - galvanisation de 132 µm d’épaisseur)</w:t>
            </w:r>
          </w:p>
        </w:tc>
        <w:tc>
          <w:tcPr>
            <w:tcW w:w="1065" w:type="dxa"/>
            <w:noWrap/>
          </w:tcPr>
          <w:p w14:paraId="47D45F3F" w14:textId="77777777" w:rsidR="00DF410E" w:rsidRDefault="00CE7F43">
            <w:pPr>
              <w:jc w:val="center"/>
            </w:pPr>
            <w:r>
              <w:rPr>
                <w:b/>
              </w:rPr>
              <w:t>8</w:t>
            </w:r>
          </w:p>
        </w:tc>
        <w:tc>
          <w:tcPr>
            <w:tcW w:w="570" w:type="dxa"/>
            <w:noWrap/>
          </w:tcPr>
          <w:p w14:paraId="3956C436" w14:textId="77777777" w:rsidR="00DF410E" w:rsidRDefault="00CE7F43">
            <w:pPr>
              <w:jc w:val="center"/>
            </w:pPr>
            <w:r>
              <w:t>U</w:t>
            </w:r>
          </w:p>
        </w:tc>
        <w:tc>
          <w:tcPr>
            <w:tcW w:w="570" w:type="dxa"/>
            <w:noWrap/>
          </w:tcPr>
          <w:p w14:paraId="50B21AAA" w14:textId="77777777" w:rsidR="00DF410E" w:rsidRDefault="00CE7F43">
            <w:pPr>
              <w:jc w:val="center"/>
            </w:pPr>
            <w:r>
              <w:t>U</w:t>
            </w:r>
          </w:p>
        </w:tc>
        <w:tc>
          <w:tcPr>
            <w:tcW w:w="570" w:type="dxa"/>
            <w:noWrap/>
          </w:tcPr>
          <w:p w14:paraId="5BB5DDCC" w14:textId="77777777" w:rsidR="00DF410E" w:rsidRDefault="00CE7F43">
            <w:pPr>
              <w:jc w:val="center"/>
            </w:pPr>
            <w:r>
              <w:t>R</w:t>
            </w:r>
          </w:p>
        </w:tc>
        <w:tc>
          <w:tcPr>
            <w:tcW w:w="570" w:type="dxa"/>
            <w:noWrap/>
          </w:tcPr>
          <w:p w14:paraId="6B0AC67B" w14:textId="77777777" w:rsidR="00DF410E" w:rsidRDefault="00CE7F43">
            <w:pPr>
              <w:jc w:val="center"/>
            </w:pPr>
            <w:r>
              <w:t>X</w:t>
            </w:r>
          </w:p>
        </w:tc>
      </w:tr>
      <w:tr w:rsidR="00DF410E" w14:paraId="62D8A617" w14:textId="77777777">
        <w:tc>
          <w:tcPr>
            <w:tcW w:w="5655" w:type="dxa"/>
            <w:noWrap/>
          </w:tcPr>
          <w:p w14:paraId="557DD115" w14:textId="77777777" w:rsidR="00DF410E" w:rsidRDefault="00CE7F43">
            <w:r>
              <w:t>Composant en acier galvanisé (940 g/m² - galvanisation de 132 µm d’épaisseur)</w:t>
            </w:r>
          </w:p>
        </w:tc>
        <w:tc>
          <w:tcPr>
            <w:tcW w:w="1065" w:type="dxa"/>
            <w:noWrap/>
          </w:tcPr>
          <w:p w14:paraId="56CAEBCB" w14:textId="77777777" w:rsidR="00DF410E" w:rsidRDefault="00CE7F43">
            <w:pPr>
              <w:jc w:val="center"/>
            </w:pPr>
            <w:r>
              <w:rPr>
                <w:b/>
              </w:rPr>
              <w:t>9</w:t>
            </w:r>
          </w:p>
        </w:tc>
        <w:tc>
          <w:tcPr>
            <w:tcW w:w="570" w:type="dxa"/>
            <w:noWrap/>
          </w:tcPr>
          <w:p w14:paraId="41C4AA6E" w14:textId="77777777" w:rsidR="00DF410E" w:rsidRDefault="00CE7F43">
            <w:pPr>
              <w:jc w:val="center"/>
            </w:pPr>
            <w:r>
              <w:t>U</w:t>
            </w:r>
          </w:p>
        </w:tc>
        <w:tc>
          <w:tcPr>
            <w:tcW w:w="570" w:type="dxa"/>
            <w:noWrap/>
          </w:tcPr>
          <w:p w14:paraId="30CB1614" w14:textId="77777777" w:rsidR="00DF410E" w:rsidRDefault="00CE7F43">
            <w:pPr>
              <w:jc w:val="center"/>
            </w:pPr>
            <w:r>
              <w:t>U</w:t>
            </w:r>
          </w:p>
        </w:tc>
        <w:tc>
          <w:tcPr>
            <w:tcW w:w="570" w:type="dxa"/>
            <w:noWrap/>
          </w:tcPr>
          <w:p w14:paraId="7A1AC81E" w14:textId="77777777" w:rsidR="00DF410E" w:rsidRDefault="00CE7F43">
            <w:pPr>
              <w:jc w:val="center"/>
            </w:pPr>
            <w:r>
              <w:t>R</w:t>
            </w:r>
          </w:p>
        </w:tc>
        <w:tc>
          <w:tcPr>
            <w:tcW w:w="570" w:type="dxa"/>
            <w:noWrap/>
          </w:tcPr>
          <w:p w14:paraId="707C1258" w14:textId="77777777" w:rsidR="00DF410E" w:rsidRDefault="00CE7F43">
            <w:pPr>
              <w:jc w:val="center"/>
            </w:pPr>
            <w:r>
              <w:t>X</w:t>
            </w:r>
          </w:p>
        </w:tc>
      </w:tr>
      <w:tr w:rsidR="00DF410E" w14:paraId="5FD6BFED" w14:textId="77777777">
        <w:tc>
          <w:tcPr>
            <w:tcW w:w="5655" w:type="dxa"/>
            <w:noWrap/>
          </w:tcPr>
          <w:p w14:paraId="2C689E64" w14:textId="77777777" w:rsidR="00DF410E" w:rsidRDefault="00CE7F43">
            <w:r>
              <w:t>Composant en acier galvanisé (710 g/m² - galvanisation de 100 µm d’épaisseur)</w:t>
            </w:r>
          </w:p>
        </w:tc>
        <w:tc>
          <w:tcPr>
            <w:tcW w:w="1065" w:type="dxa"/>
            <w:noWrap/>
          </w:tcPr>
          <w:p w14:paraId="44913A98" w14:textId="77777777" w:rsidR="00DF410E" w:rsidRDefault="00CE7F43">
            <w:pPr>
              <w:jc w:val="center"/>
            </w:pPr>
            <w:r>
              <w:rPr>
                <w:b/>
              </w:rPr>
              <w:t>10</w:t>
            </w:r>
          </w:p>
        </w:tc>
        <w:tc>
          <w:tcPr>
            <w:tcW w:w="570" w:type="dxa"/>
            <w:noWrap/>
          </w:tcPr>
          <w:p w14:paraId="1281B203" w14:textId="77777777" w:rsidR="00DF410E" w:rsidRDefault="00CE7F43">
            <w:pPr>
              <w:jc w:val="center"/>
            </w:pPr>
            <w:r>
              <w:t>U</w:t>
            </w:r>
          </w:p>
        </w:tc>
        <w:tc>
          <w:tcPr>
            <w:tcW w:w="570" w:type="dxa"/>
            <w:noWrap/>
          </w:tcPr>
          <w:p w14:paraId="1496D9EF" w14:textId="77777777" w:rsidR="00DF410E" w:rsidRDefault="00CE7F43">
            <w:pPr>
              <w:jc w:val="center"/>
            </w:pPr>
            <w:r>
              <w:t>U</w:t>
            </w:r>
          </w:p>
        </w:tc>
        <w:tc>
          <w:tcPr>
            <w:tcW w:w="570" w:type="dxa"/>
            <w:noWrap/>
          </w:tcPr>
          <w:p w14:paraId="7A336C2E" w14:textId="77777777" w:rsidR="00DF410E" w:rsidRDefault="00CE7F43">
            <w:pPr>
              <w:jc w:val="center"/>
            </w:pPr>
            <w:r>
              <w:t>R</w:t>
            </w:r>
          </w:p>
        </w:tc>
        <w:tc>
          <w:tcPr>
            <w:tcW w:w="570" w:type="dxa"/>
            <w:noWrap/>
          </w:tcPr>
          <w:p w14:paraId="21CA100E" w14:textId="77777777" w:rsidR="00DF410E" w:rsidRDefault="00CE7F43">
            <w:pPr>
              <w:jc w:val="center"/>
            </w:pPr>
            <w:r>
              <w:t>X</w:t>
            </w:r>
          </w:p>
        </w:tc>
      </w:tr>
      <w:tr w:rsidR="00DF410E" w14:paraId="2DC248ED" w14:textId="77777777">
        <w:tc>
          <w:tcPr>
            <w:tcW w:w="5655" w:type="dxa"/>
            <w:noWrap/>
          </w:tcPr>
          <w:p w14:paraId="4C8DD4F1" w14:textId="77777777" w:rsidR="00DF410E" w:rsidRDefault="00CE7F43">
            <w:r>
              <w:t>Composant en acier galvanisé (460 g/m² - galvanisation de 65 µm d’épaisseur)     </w:t>
            </w:r>
          </w:p>
        </w:tc>
        <w:tc>
          <w:tcPr>
            <w:tcW w:w="1065" w:type="dxa"/>
            <w:noWrap/>
          </w:tcPr>
          <w:p w14:paraId="782F0654" w14:textId="77777777" w:rsidR="00DF410E" w:rsidRDefault="00CE7F43">
            <w:pPr>
              <w:jc w:val="center"/>
            </w:pPr>
            <w:r>
              <w:rPr>
                <w:b/>
              </w:rPr>
              <w:t>11</w:t>
            </w:r>
          </w:p>
        </w:tc>
        <w:tc>
          <w:tcPr>
            <w:tcW w:w="570" w:type="dxa"/>
            <w:noWrap/>
          </w:tcPr>
          <w:p w14:paraId="3F12AA1E" w14:textId="77777777" w:rsidR="00DF410E" w:rsidRDefault="00CE7F43">
            <w:pPr>
              <w:jc w:val="center"/>
            </w:pPr>
            <w:r>
              <w:t>U</w:t>
            </w:r>
          </w:p>
        </w:tc>
        <w:tc>
          <w:tcPr>
            <w:tcW w:w="570" w:type="dxa"/>
            <w:noWrap/>
          </w:tcPr>
          <w:p w14:paraId="4A15266D" w14:textId="77777777" w:rsidR="00DF410E" w:rsidRDefault="00CE7F43">
            <w:pPr>
              <w:jc w:val="center"/>
            </w:pPr>
            <w:r>
              <w:t>R</w:t>
            </w:r>
          </w:p>
        </w:tc>
        <w:tc>
          <w:tcPr>
            <w:tcW w:w="570" w:type="dxa"/>
            <w:noWrap/>
          </w:tcPr>
          <w:p w14:paraId="28700229" w14:textId="77777777" w:rsidR="00DF410E" w:rsidRDefault="00CE7F43">
            <w:pPr>
              <w:jc w:val="center"/>
            </w:pPr>
            <w:r>
              <w:t>R</w:t>
            </w:r>
          </w:p>
        </w:tc>
        <w:tc>
          <w:tcPr>
            <w:tcW w:w="570" w:type="dxa"/>
            <w:noWrap/>
          </w:tcPr>
          <w:p w14:paraId="6C0F9B36" w14:textId="77777777" w:rsidR="00DF410E" w:rsidRDefault="00CE7F43">
            <w:pPr>
              <w:jc w:val="center"/>
            </w:pPr>
            <w:r>
              <w:t>X</w:t>
            </w:r>
          </w:p>
        </w:tc>
      </w:tr>
      <w:tr w:rsidR="00DF410E" w14:paraId="262EE651" w14:textId="77777777">
        <w:tc>
          <w:tcPr>
            <w:tcW w:w="5655" w:type="dxa"/>
            <w:noWrap/>
          </w:tcPr>
          <w:p w14:paraId="11746B91" w14:textId="77777777" w:rsidR="00DF410E" w:rsidRDefault="00CE7F43">
            <w:r>
              <w:t>Composant en acier galvanisé (395 g/m² - galvanisation de 55 µm d’épaisseur)</w:t>
            </w:r>
          </w:p>
        </w:tc>
        <w:tc>
          <w:tcPr>
            <w:tcW w:w="1065" w:type="dxa"/>
            <w:noWrap/>
          </w:tcPr>
          <w:p w14:paraId="3A4F4762" w14:textId="77777777" w:rsidR="00DF410E" w:rsidRDefault="00CE7F43">
            <w:pPr>
              <w:jc w:val="center"/>
            </w:pPr>
            <w:r>
              <w:rPr>
                <w:b/>
              </w:rPr>
              <w:t>11A</w:t>
            </w:r>
          </w:p>
        </w:tc>
        <w:tc>
          <w:tcPr>
            <w:tcW w:w="570" w:type="dxa"/>
            <w:noWrap/>
          </w:tcPr>
          <w:p w14:paraId="0E724CCD" w14:textId="77777777" w:rsidR="00DF410E" w:rsidRDefault="00CE7F43">
            <w:pPr>
              <w:jc w:val="center"/>
            </w:pPr>
            <w:r>
              <w:t>U</w:t>
            </w:r>
          </w:p>
        </w:tc>
        <w:tc>
          <w:tcPr>
            <w:tcW w:w="570" w:type="dxa"/>
            <w:noWrap/>
          </w:tcPr>
          <w:p w14:paraId="51F911EA" w14:textId="77777777" w:rsidR="00DF410E" w:rsidRDefault="00CE7F43">
            <w:pPr>
              <w:jc w:val="center"/>
            </w:pPr>
            <w:r>
              <w:t>R</w:t>
            </w:r>
          </w:p>
        </w:tc>
        <w:tc>
          <w:tcPr>
            <w:tcW w:w="570" w:type="dxa"/>
            <w:noWrap/>
          </w:tcPr>
          <w:p w14:paraId="5B3115BF" w14:textId="77777777" w:rsidR="00DF410E" w:rsidRDefault="00CE7F43">
            <w:pPr>
              <w:jc w:val="center"/>
            </w:pPr>
            <w:r>
              <w:t>R</w:t>
            </w:r>
          </w:p>
        </w:tc>
        <w:tc>
          <w:tcPr>
            <w:tcW w:w="570" w:type="dxa"/>
            <w:noWrap/>
          </w:tcPr>
          <w:p w14:paraId="051C3521" w14:textId="77777777" w:rsidR="00DF410E" w:rsidRDefault="00CE7F43">
            <w:pPr>
              <w:jc w:val="center"/>
            </w:pPr>
            <w:r>
              <w:t>X</w:t>
            </w:r>
          </w:p>
        </w:tc>
      </w:tr>
      <w:tr w:rsidR="00DF410E" w14:paraId="24099494" w14:textId="77777777">
        <w:tc>
          <w:tcPr>
            <w:tcW w:w="5655" w:type="dxa"/>
            <w:noWrap/>
          </w:tcPr>
          <w:p w14:paraId="70467529" w14:textId="77777777" w:rsidR="00DF410E" w:rsidRDefault="00CE7F43">
            <w:r>
              <w:t>Tôle ou feuillard en acier galvanisé (300 g/m² - galvanisation de 42 µm d’épaisseur) avec un revêtement organique (2 types) sur toutes les surfaces extérieures du composant fini</w:t>
            </w:r>
          </w:p>
        </w:tc>
        <w:tc>
          <w:tcPr>
            <w:tcW w:w="1065" w:type="dxa"/>
            <w:noWrap/>
          </w:tcPr>
          <w:p w14:paraId="5A098786" w14:textId="77777777" w:rsidR="00DF410E" w:rsidRDefault="00CE7F43">
            <w:pPr>
              <w:jc w:val="center"/>
            </w:pPr>
            <w:r>
              <w:rPr>
                <w:b/>
              </w:rPr>
              <w:t>12.1</w:t>
            </w:r>
          </w:p>
          <w:p w14:paraId="3AA11398" w14:textId="77777777" w:rsidR="00DF410E" w:rsidRDefault="00CE7F43">
            <w:pPr>
              <w:jc w:val="center"/>
            </w:pPr>
            <w:r>
              <w:rPr>
                <w:b/>
              </w:rPr>
              <w:t>12.2</w:t>
            </w:r>
          </w:p>
        </w:tc>
        <w:tc>
          <w:tcPr>
            <w:tcW w:w="570" w:type="dxa"/>
            <w:noWrap/>
          </w:tcPr>
          <w:p w14:paraId="507987FB" w14:textId="77777777" w:rsidR="00DF410E" w:rsidRDefault="00CE7F43">
            <w:pPr>
              <w:jc w:val="center"/>
            </w:pPr>
            <w:r>
              <w:t>U</w:t>
            </w:r>
          </w:p>
        </w:tc>
        <w:tc>
          <w:tcPr>
            <w:tcW w:w="570" w:type="dxa"/>
            <w:noWrap/>
          </w:tcPr>
          <w:p w14:paraId="61629940" w14:textId="77777777" w:rsidR="00DF410E" w:rsidRDefault="00CE7F43">
            <w:pPr>
              <w:jc w:val="center"/>
            </w:pPr>
            <w:r>
              <w:t>U</w:t>
            </w:r>
          </w:p>
        </w:tc>
        <w:tc>
          <w:tcPr>
            <w:tcW w:w="570" w:type="dxa"/>
            <w:noWrap/>
          </w:tcPr>
          <w:p w14:paraId="1E9E09C3" w14:textId="77777777" w:rsidR="00DF410E" w:rsidRDefault="00CE7F43">
            <w:pPr>
              <w:jc w:val="center"/>
            </w:pPr>
            <w:r>
              <w:t>R</w:t>
            </w:r>
          </w:p>
        </w:tc>
        <w:tc>
          <w:tcPr>
            <w:tcW w:w="570" w:type="dxa"/>
            <w:noWrap/>
          </w:tcPr>
          <w:p w14:paraId="2FE94BB1" w14:textId="77777777" w:rsidR="00DF410E" w:rsidRDefault="00CE7F43">
            <w:pPr>
              <w:jc w:val="center"/>
            </w:pPr>
            <w:r>
              <w:t>X</w:t>
            </w:r>
          </w:p>
        </w:tc>
      </w:tr>
      <w:tr w:rsidR="00DF410E" w14:paraId="48806967" w14:textId="77777777">
        <w:tc>
          <w:tcPr>
            <w:tcW w:w="5655" w:type="dxa"/>
            <w:noWrap/>
          </w:tcPr>
          <w:p w14:paraId="1E95ABFD" w14:textId="77777777" w:rsidR="00DF410E" w:rsidRDefault="00CE7F43">
            <w:r>
              <w:t>Fil d’acier galvanisé (265 g/m² - galvanisation de 37 µm d’épaisseur)</w:t>
            </w:r>
          </w:p>
        </w:tc>
        <w:tc>
          <w:tcPr>
            <w:tcW w:w="1065" w:type="dxa"/>
            <w:noWrap/>
          </w:tcPr>
          <w:p w14:paraId="6EF3C18E" w14:textId="77777777" w:rsidR="00DF410E" w:rsidRDefault="00CE7F43">
            <w:pPr>
              <w:jc w:val="center"/>
            </w:pPr>
            <w:r>
              <w:rPr>
                <w:b/>
              </w:rPr>
              <w:t>13</w:t>
            </w:r>
          </w:p>
        </w:tc>
        <w:tc>
          <w:tcPr>
            <w:tcW w:w="570" w:type="dxa"/>
            <w:noWrap/>
          </w:tcPr>
          <w:p w14:paraId="18554AB7" w14:textId="77777777" w:rsidR="00DF410E" w:rsidRDefault="00CE7F43">
            <w:pPr>
              <w:jc w:val="center"/>
            </w:pPr>
            <w:r>
              <w:t>U</w:t>
            </w:r>
          </w:p>
        </w:tc>
        <w:tc>
          <w:tcPr>
            <w:tcW w:w="570" w:type="dxa"/>
            <w:noWrap/>
          </w:tcPr>
          <w:p w14:paraId="1B201823" w14:textId="77777777" w:rsidR="00DF410E" w:rsidRDefault="00CE7F43">
            <w:pPr>
              <w:jc w:val="center"/>
            </w:pPr>
            <w:r>
              <w:t>R</w:t>
            </w:r>
          </w:p>
        </w:tc>
        <w:tc>
          <w:tcPr>
            <w:tcW w:w="570" w:type="dxa"/>
            <w:noWrap/>
          </w:tcPr>
          <w:p w14:paraId="394ABF65" w14:textId="77777777" w:rsidR="00DF410E" w:rsidRDefault="00CE7F43">
            <w:pPr>
              <w:jc w:val="center"/>
            </w:pPr>
            <w:r>
              <w:t>X</w:t>
            </w:r>
          </w:p>
        </w:tc>
        <w:tc>
          <w:tcPr>
            <w:tcW w:w="570" w:type="dxa"/>
            <w:noWrap/>
          </w:tcPr>
          <w:p w14:paraId="039D66E1" w14:textId="77777777" w:rsidR="00DF410E" w:rsidRDefault="00CE7F43">
            <w:pPr>
              <w:jc w:val="center"/>
            </w:pPr>
            <w:r>
              <w:t>X</w:t>
            </w:r>
          </w:p>
        </w:tc>
      </w:tr>
      <w:tr w:rsidR="00DF410E" w14:paraId="7712802A" w14:textId="77777777">
        <w:tc>
          <w:tcPr>
            <w:tcW w:w="5655" w:type="dxa"/>
            <w:noWrap/>
          </w:tcPr>
          <w:p w14:paraId="01587FF2" w14:textId="77777777" w:rsidR="00DF410E" w:rsidRDefault="00CE7F43">
            <w:r>
              <w:t>Tôle ou feuillard d’acier galvanisé (300 g/m² - galvanisation de 42 µm d’épaisseur) avec un revêtement organique sur tous les bords de coupe</w:t>
            </w:r>
          </w:p>
        </w:tc>
        <w:tc>
          <w:tcPr>
            <w:tcW w:w="1065" w:type="dxa"/>
            <w:noWrap/>
          </w:tcPr>
          <w:p w14:paraId="3B310D21" w14:textId="77777777" w:rsidR="00DF410E" w:rsidRDefault="00CE7F43">
            <w:pPr>
              <w:jc w:val="center"/>
            </w:pPr>
            <w:r>
              <w:rPr>
                <w:b/>
              </w:rPr>
              <w:t>14</w:t>
            </w:r>
          </w:p>
        </w:tc>
        <w:tc>
          <w:tcPr>
            <w:tcW w:w="570" w:type="dxa"/>
            <w:noWrap/>
          </w:tcPr>
          <w:p w14:paraId="63D176E4" w14:textId="77777777" w:rsidR="00DF410E" w:rsidRDefault="00CE7F43">
            <w:pPr>
              <w:jc w:val="center"/>
            </w:pPr>
            <w:r>
              <w:t>U</w:t>
            </w:r>
          </w:p>
        </w:tc>
        <w:tc>
          <w:tcPr>
            <w:tcW w:w="570" w:type="dxa"/>
            <w:noWrap/>
          </w:tcPr>
          <w:p w14:paraId="75CAEE34" w14:textId="77777777" w:rsidR="00DF410E" w:rsidRDefault="00CE7F43">
            <w:pPr>
              <w:jc w:val="center"/>
            </w:pPr>
            <w:r>
              <w:t>R</w:t>
            </w:r>
          </w:p>
        </w:tc>
        <w:tc>
          <w:tcPr>
            <w:tcW w:w="570" w:type="dxa"/>
            <w:noWrap/>
          </w:tcPr>
          <w:p w14:paraId="052137E1" w14:textId="77777777" w:rsidR="00DF410E" w:rsidRDefault="00CE7F43">
            <w:pPr>
              <w:jc w:val="center"/>
            </w:pPr>
            <w:r>
              <w:t>X</w:t>
            </w:r>
          </w:p>
        </w:tc>
        <w:tc>
          <w:tcPr>
            <w:tcW w:w="570" w:type="dxa"/>
            <w:noWrap/>
          </w:tcPr>
          <w:p w14:paraId="6669774C" w14:textId="77777777" w:rsidR="00DF410E" w:rsidRDefault="00CE7F43">
            <w:pPr>
              <w:jc w:val="center"/>
            </w:pPr>
            <w:r>
              <w:t>X</w:t>
            </w:r>
          </w:p>
        </w:tc>
      </w:tr>
      <w:tr w:rsidR="00DF410E" w14:paraId="71DA2190" w14:textId="77777777">
        <w:tc>
          <w:tcPr>
            <w:tcW w:w="5655" w:type="dxa"/>
            <w:noWrap/>
          </w:tcPr>
          <w:p w14:paraId="1BCBB822" w14:textId="77777777" w:rsidR="00DF410E" w:rsidRDefault="00CE7F43">
            <w:r>
              <w:t>Tôle ou feuillard d’acier galvanisé  (300 g/m² - galvanisation de 42 µm d’épaisseur)</w:t>
            </w:r>
          </w:p>
        </w:tc>
        <w:tc>
          <w:tcPr>
            <w:tcW w:w="1065" w:type="dxa"/>
            <w:noWrap/>
          </w:tcPr>
          <w:p w14:paraId="7163A0FA" w14:textId="77777777" w:rsidR="00DF410E" w:rsidRDefault="00CE7F43">
            <w:pPr>
              <w:jc w:val="center"/>
            </w:pPr>
            <w:r>
              <w:rPr>
                <w:b/>
              </w:rPr>
              <w:t>15</w:t>
            </w:r>
          </w:p>
        </w:tc>
        <w:tc>
          <w:tcPr>
            <w:tcW w:w="570" w:type="dxa"/>
            <w:noWrap/>
          </w:tcPr>
          <w:p w14:paraId="1623929B" w14:textId="77777777" w:rsidR="00DF410E" w:rsidRDefault="00CE7F43">
            <w:pPr>
              <w:jc w:val="center"/>
            </w:pPr>
            <w:r>
              <w:t>U</w:t>
            </w:r>
          </w:p>
        </w:tc>
        <w:tc>
          <w:tcPr>
            <w:tcW w:w="570" w:type="dxa"/>
            <w:noWrap/>
          </w:tcPr>
          <w:p w14:paraId="6DBBFA7B" w14:textId="77777777" w:rsidR="00DF410E" w:rsidRDefault="00CE7F43">
            <w:pPr>
              <w:jc w:val="center"/>
            </w:pPr>
            <w:r>
              <w:t>R</w:t>
            </w:r>
          </w:p>
        </w:tc>
        <w:tc>
          <w:tcPr>
            <w:tcW w:w="570" w:type="dxa"/>
            <w:noWrap/>
          </w:tcPr>
          <w:p w14:paraId="5F852709" w14:textId="77777777" w:rsidR="00DF410E" w:rsidRDefault="00CE7F43">
            <w:pPr>
              <w:jc w:val="center"/>
            </w:pPr>
            <w:r>
              <w:t>X</w:t>
            </w:r>
          </w:p>
        </w:tc>
        <w:tc>
          <w:tcPr>
            <w:tcW w:w="570" w:type="dxa"/>
            <w:noWrap/>
          </w:tcPr>
          <w:p w14:paraId="123762E8" w14:textId="77777777" w:rsidR="00DF410E" w:rsidRDefault="00CE7F43">
            <w:pPr>
              <w:jc w:val="center"/>
            </w:pPr>
            <w:r>
              <w:t>X</w:t>
            </w:r>
          </w:p>
        </w:tc>
      </w:tr>
      <w:tr w:rsidR="00DF410E" w14:paraId="1DD37A95" w14:textId="77777777">
        <w:tc>
          <w:tcPr>
            <w:tcW w:w="5655" w:type="dxa"/>
            <w:noWrap/>
          </w:tcPr>
          <w:p w14:paraId="584695DC" w14:textId="77777777" w:rsidR="00DF410E" w:rsidRDefault="00CE7F43">
            <w:r>
              <w:t>Tôle ou feuillard d’acier galvanisé (137 g/m² - galvanisation de 19 µm d’épaisseur) avec un revêtement organique (2 types) sur toutes les surfaces extérieures du composant fini</w:t>
            </w:r>
          </w:p>
        </w:tc>
        <w:tc>
          <w:tcPr>
            <w:tcW w:w="1065" w:type="dxa"/>
            <w:noWrap/>
          </w:tcPr>
          <w:p w14:paraId="26EFFF33" w14:textId="77777777" w:rsidR="00DF410E" w:rsidRDefault="00CE7F43">
            <w:pPr>
              <w:jc w:val="center"/>
            </w:pPr>
            <w:r>
              <w:rPr>
                <w:b/>
              </w:rPr>
              <w:t>16.1</w:t>
            </w:r>
          </w:p>
          <w:p w14:paraId="601E1F0B" w14:textId="77777777" w:rsidR="00DF410E" w:rsidRDefault="00CE7F43">
            <w:pPr>
              <w:jc w:val="center"/>
            </w:pPr>
            <w:r>
              <w:rPr>
                <w:b/>
              </w:rPr>
              <w:t>16.2</w:t>
            </w:r>
          </w:p>
        </w:tc>
        <w:tc>
          <w:tcPr>
            <w:tcW w:w="570" w:type="dxa"/>
            <w:noWrap/>
          </w:tcPr>
          <w:p w14:paraId="7E99C8D3" w14:textId="77777777" w:rsidR="00DF410E" w:rsidRDefault="00CE7F43">
            <w:pPr>
              <w:jc w:val="center"/>
            </w:pPr>
            <w:r>
              <w:t>U</w:t>
            </w:r>
          </w:p>
        </w:tc>
        <w:tc>
          <w:tcPr>
            <w:tcW w:w="570" w:type="dxa"/>
            <w:noWrap/>
          </w:tcPr>
          <w:p w14:paraId="6CBA5311" w14:textId="77777777" w:rsidR="00DF410E" w:rsidRDefault="00CE7F43">
            <w:pPr>
              <w:jc w:val="center"/>
            </w:pPr>
            <w:r>
              <w:t>U</w:t>
            </w:r>
          </w:p>
        </w:tc>
        <w:tc>
          <w:tcPr>
            <w:tcW w:w="570" w:type="dxa"/>
            <w:noWrap/>
          </w:tcPr>
          <w:p w14:paraId="43119C4D" w14:textId="77777777" w:rsidR="00DF410E" w:rsidRDefault="00CE7F43">
            <w:pPr>
              <w:jc w:val="center"/>
            </w:pPr>
            <w:r>
              <w:t>R</w:t>
            </w:r>
          </w:p>
        </w:tc>
        <w:tc>
          <w:tcPr>
            <w:tcW w:w="570" w:type="dxa"/>
            <w:noWrap/>
          </w:tcPr>
          <w:p w14:paraId="15A609D2" w14:textId="77777777" w:rsidR="00DF410E" w:rsidRDefault="00CE7F43">
            <w:pPr>
              <w:jc w:val="center"/>
            </w:pPr>
            <w:r>
              <w:t>X</w:t>
            </w:r>
          </w:p>
        </w:tc>
      </w:tr>
      <w:tr w:rsidR="00DF410E" w14:paraId="17A73A32" w14:textId="77777777">
        <w:tc>
          <w:tcPr>
            <w:tcW w:w="5655" w:type="dxa"/>
            <w:noWrap/>
          </w:tcPr>
          <w:p w14:paraId="55126FEF" w14:textId="77777777" w:rsidR="00DF410E" w:rsidRDefault="00CE7F43">
            <w:r>
              <w:t>Feuillard d’acier prégalvanisé (137 g/m² - galvanisation de 19 µm d’épaisseur) avec des bords galvanisés</w:t>
            </w:r>
          </w:p>
        </w:tc>
        <w:tc>
          <w:tcPr>
            <w:tcW w:w="1065" w:type="dxa"/>
            <w:noWrap/>
          </w:tcPr>
          <w:p w14:paraId="3F5CFA71" w14:textId="77777777" w:rsidR="00DF410E" w:rsidRDefault="00CE7F43">
            <w:pPr>
              <w:jc w:val="center"/>
            </w:pPr>
            <w:r>
              <w:rPr>
                <w:b/>
              </w:rPr>
              <w:t>17</w:t>
            </w:r>
          </w:p>
        </w:tc>
        <w:tc>
          <w:tcPr>
            <w:tcW w:w="570" w:type="dxa"/>
            <w:noWrap/>
          </w:tcPr>
          <w:p w14:paraId="6D0099FD" w14:textId="77777777" w:rsidR="00DF410E" w:rsidRDefault="00CE7F43">
            <w:pPr>
              <w:jc w:val="center"/>
            </w:pPr>
            <w:r>
              <w:t>U</w:t>
            </w:r>
          </w:p>
        </w:tc>
        <w:tc>
          <w:tcPr>
            <w:tcW w:w="570" w:type="dxa"/>
            <w:noWrap/>
          </w:tcPr>
          <w:p w14:paraId="4B20700D" w14:textId="77777777" w:rsidR="00DF410E" w:rsidRDefault="00CE7F43">
            <w:pPr>
              <w:jc w:val="center"/>
            </w:pPr>
            <w:r>
              <w:t>R</w:t>
            </w:r>
          </w:p>
        </w:tc>
        <w:tc>
          <w:tcPr>
            <w:tcW w:w="570" w:type="dxa"/>
            <w:noWrap/>
          </w:tcPr>
          <w:p w14:paraId="3677875A" w14:textId="77777777" w:rsidR="00DF410E" w:rsidRDefault="00CE7F43">
            <w:pPr>
              <w:jc w:val="center"/>
            </w:pPr>
            <w:r>
              <w:t>X</w:t>
            </w:r>
          </w:p>
        </w:tc>
        <w:tc>
          <w:tcPr>
            <w:tcW w:w="570" w:type="dxa"/>
            <w:noWrap/>
          </w:tcPr>
          <w:p w14:paraId="22905F5D" w14:textId="77777777" w:rsidR="00DF410E" w:rsidRDefault="00CE7F43">
            <w:pPr>
              <w:jc w:val="center"/>
            </w:pPr>
            <w:r>
              <w:t>X</w:t>
            </w:r>
          </w:p>
        </w:tc>
      </w:tr>
      <w:tr w:rsidR="00DF410E" w14:paraId="28851557" w14:textId="77777777">
        <w:tc>
          <w:tcPr>
            <w:tcW w:w="5655" w:type="dxa"/>
            <w:noWrap/>
          </w:tcPr>
          <w:p w14:paraId="0570479D" w14:textId="77777777" w:rsidR="00DF410E" w:rsidRDefault="00CE7F43">
            <w:r>
              <w:t>Fil d’acier galvanisé (60 g/m² - galvanisation de 8,5 µm d’épaisseur) avec un revêtement organique sur toutes les surfaces extérieures du composant fini</w:t>
            </w:r>
          </w:p>
        </w:tc>
        <w:tc>
          <w:tcPr>
            <w:tcW w:w="1065" w:type="dxa"/>
            <w:noWrap/>
          </w:tcPr>
          <w:p w14:paraId="3F781565" w14:textId="77777777" w:rsidR="00DF410E" w:rsidRDefault="00CE7F43">
            <w:pPr>
              <w:jc w:val="center"/>
            </w:pPr>
            <w:r>
              <w:rPr>
                <w:b/>
              </w:rPr>
              <w:t>18</w:t>
            </w:r>
          </w:p>
        </w:tc>
        <w:tc>
          <w:tcPr>
            <w:tcW w:w="570" w:type="dxa"/>
            <w:noWrap/>
          </w:tcPr>
          <w:p w14:paraId="7CD9A8D7" w14:textId="77777777" w:rsidR="00DF410E" w:rsidRDefault="00CE7F43">
            <w:pPr>
              <w:jc w:val="center"/>
            </w:pPr>
            <w:r>
              <w:t>U</w:t>
            </w:r>
          </w:p>
        </w:tc>
        <w:tc>
          <w:tcPr>
            <w:tcW w:w="570" w:type="dxa"/>
            <w:noWrap/>
          </w:tcPr>
          <w:p w14:paraId="452F488D" w14:textId="77777777" w:rsidR="00DF410E" w:rsidRDefault="00CE7F43">
            <w:pPr>
              <w:jc w:val="center"/>
            </w:pPr>
            <w:r>
              <w:t>R</w:t>
            </w:r>
          </w:p>
        </w:tc>
        <w:tc>
          <w:tcPr>
            <w:tcW w:w="570" w:type="dxa"/>
            <w:noWrap/>
          </w:tcPr>
          <w:p w14:paraId="41FF1A38" w14:textId="77777777" w:rsidR="00DF410E" w:rsidRDefault="00CE7F43">
            <w:pPr>
              <w:jc w:val="center"/>
            </w:pPr>
            <w:r>
              <w:t>R</w:t>
            </w:r>
          </w:p>
        </w:tc>
        <w:tc>
          <w:tcPr>
            <w:tcW w:w="570" w:type="dxa"/>
            <w:noWrap/>
          </w:tcPr>
          <w:p w14:paraId="729DBDBE" w14:textId="77777777" w:rsidR="00DF410E" w:rsidRDefault="00CE7F43">
            <w:pPr>
              <w:jc w:val="center"/>
            </w:pPr>
            <w:r>
              <w:t>X</w:t>
            </w:r>
          </w:p>
        </w:tc>
      </w:tr>
      <w:tr w:rsidR="00DF410E" w14:paraId="35F8738C" w14:textId="77777777">
        <w:tc>
          <w:tcPr>
            <w:tcW w:w="5655" w:type="dxa"/>
            <w:noWrap/>
          </w:tcPr>
          <w:p w14:paraId="14907310" w14:textId="77777777" w:rsidR="00DF410E" w:rsidRDefault="00CE7F43">
            <w:r>
              <w:t>Fil d’acier galvanisé (105 g/m² - galvanisation de 15 µm d’épaisseur)</w:t>
            </w:r>
          </w:p>
        </w:tc>
        <w:tc>
          <w:tcPr>
            <w:tcW w:w="1065" w:type="dxa"/>
            <w:noWrap/>
          </w:tcPr>
          <w:p w14:paraId="049AF918" w14:textId="77777777" w:rsidR="00DF410E" w:rsidRDefault="00CE7F43">
            <w:pPr>
              <w:jc w:val="center"/>
            </w:pPr>
            <w:r>
              <w:rPr>
                <w:b/>
              </w:rPr>
              <w:t>19</w:t>
            </w:r>
          </w:p>
        </w:tc>
        <w:tc>
          <w:tcPr>
            <w:tcW w:w="570" w:type="dxa"/>
            <w:noWrap/>
          </w:tcPr>
          <w:p w14:paraId="4852BDBF" w14:textId="77777777" w:rsidR="00DF410E" w:rsidRDefault="00CE7F43">
            <w:pPr>
              <w:jc w:val="center"/>
            </w:pPr>
            <w:r>
              <w:t>U</w:t>
            </w:r>
          </w:p>
        </w:tc>
        <w:tc>
          <w:tcPr>
            <w:tcW w:w="570" w:type="dxa"/>
            <w:noWrap/>
          </w:tcPr>
          <w:p w14:paraId="294632C9" w14:textId="77777777" w:rsidR="00DF410E" w:rsidRDefault="00CE7F43">
            <w:pPr>
              <w:jc w:val="center"/>
            </w:pPr>
            <w:r>
              <w:t>R</w:t>
            </w:r>
          </w:p>
        </w:tc>
        <w:tc>
          <w:tcPr>
            <w:tcW w:w="570" w:type="dxa"/>
            <w:noWrap/>
          </w:tcPr>
          <w:p w14:paraId="0517202A" w14:textId="77777777" w:rsidR="00DF410E" w:rsidRDefault="00CE7F43">
            <w:pPr>
              <w:jc w:val="center"/>
            </w:pPr>
            <w:r>
              <w:t>X</w:t>
            </w:r>
          </w:p>
        </w:tc>
        <w:tc>
          <w:tcPr>
            <w:tcW w:w="570" w:type="dxa"/>
            <w:noWrap/>
          </w:tcPr>
          <w:p w14:paraId="6339A83F" w14:textId="77777777" w:rsidR="00DF410E" w:rsidRDefault="00CE7F43">
            <w:pPr>
              <w:jc w:val="center"/>
            </w:pPr>
            <w:r>
              <w:t>X</w:t>
            </w:r>
          </w:p>
        </w:tc>
      </w:tr>
      <w:tr w:rsidR="00DF410E" w14:paraId="6AEEA2DF" w14:textId="77777777">
        <w:tc>
          <w:tcPr>
            <w:tcW w:w="5655" w:type="dxa"/>
            <w:noWrap/>
          </w:tcPr>
          <w:p w14:paraId="1775829A" w14:textId="77777777" w:rsidR="00DF410E" w:rsidRDefault="00CE7F43">
            <w:r>
              <w:t>Fil d’acier galvanisé (60 g/m² - galvanisation de 8,5 µm d’épaisseur)</w:t>
            </w:r>
          </w:p>
        </w:tc>
        <w:tc>
          <w:tcPr>
            <w:tcW w:w="1065" w:type="dxa"/>
            <w:noWrap/>
          </w:tcPr>
          <w:p w14:paraId="121FFF07" w14:textId="77777777" w:rsidR="00DF410E" w:rsidRDefault="00CE7F43">
            <w:pPr>
              <w:jc w:val="center"/>
            </w:pPr>
            <w:r>
              <w:rPr>
                <w:b/>
              </w:rPr>
              <w:t>20</w:t>
            </w:r>
          </w:p>
        </w:tc>
        <w:tc>
          <w:tcPr>
            <w:tcW w:w="570" w:type="dxa"/>
            <w:noWrap/>
          </w:tcPr>
          <w:p w14:paraId="7087620B" w14:textId="77777777" w:rsidR="00DF410E" w:rsidRDefault="00CE7F43">
            <w:pPr>
              <w:jc w:val="center"/>
            </w:pPr>
            <w:r>
              <w:t>U</w:t>
            </w:r>
          </w:p>
        </w:tc>
        <w:tc>
          <w:tcPr>
            <w:tcW w:w="570" w:type="dxa"/>
            <w:noWrap/>
          </w:tcPr>
          <w:p w14:paraId="14C92A2C" w14:textId="77777777" w:rsidR="00DF410E" w:rsidRDefault="00CE7F43">
            <w:pPr>
              <w:jc w:val="center"/>
            </w:pPr>
            <w:r>
              <w:t>X</w:t>
            </w:r>
          </w:p>
        </w:tc>
        <w:tc>
          <w:tcPr>
            <w:tcW w:w="570" w:type="dxa"/>
            <w:noWrap/>
          </w:tcPr>
          <w:p w14:paraId="04639C4D" w14:textId="77777777" w:rsidR="00DF410E" w:rsidRDefault="00CE7F43">
            <w:pPr>
              <w:jc w:val="center"/>
            </w:pPr>
            <w:r>
              <w:t>X</w:t>
            </w:r>
          </w:p>
        </w:tc>
        <w:tc>
          <w:tcPr>
            <w:tcW w:w="570" w:type="dxa"/>
            <w:noWrap/>
          </w:tcPr>
          <w:p w14:paraId="7C6FDFEE" w14:textId="77777777" w:rsidR="00DF410E" w:rsidRDefault="00CE7F43">
            <w:pPr>
              <w:jc w:val="center"/>
            </w:pPr>
            <w:r>
              <w:t>X</w:t>
            </w:r>
          </w:p>
        </w:tc>
      </w:tr>
      <w:tr w:rsidR="00DF410E" w14:paraId="60C5A07C" w14:textId="77777777">
        <w:tc>
          <w:tcPr>
            <w:tcW w:w="5655" w:type="dxa"/>
            <w:noWrap/>
          </w:tcPr>
          <w:p w14:paraId="5FEB3720" w14:textId="77777777" w:rsidR="00DF410E" w:rsidRDefault="00CE7F43">
            <w:r>
              <w:t>Tôle d’acier pré-galvanisé (137 g/m² - galvanisation de 19 µm d’épaisseur)</w:t>
            </w:r>
          </w:p>
        </w:tc>
        <w:tc>
          <w:tcPr>
            <w:tcW w:w="1065" w:type="dxa"/>
            <w:noWrap/>
          </w:tcPr>
          <w:p w14:paraId="5DAEB90A" w14:textId="77777777" w:rsidR="00DF410E" w:rsidRDefault="00CE7F43">
            <w:pPr>
              <w:jc w:val="center"/>
            </w:pPr>
            <w:r>
              <w:rPr>
                <w:b/>
              </w:rPr>
              <w:t>21</w:t>
            </w:r>
          </w:p>
        </w:tc>
        <w:tc>
          <w:tcPr>
            <w:tcW w:w="570" w:type="dxa"/>
            <w:noWrap/>
          </w:tcPr>
          <w:p w14:paraId="12FD9C7D" w14:textId="77777777" w:rsidR="00DF410E" w:rsidRDefault="00CE7F43">
            <w:pPr>
              <w:jc w:val="center"/>
            </w:pPr>
            <w:r>
              <w:t>U</w:t>
            </w:r>
          </w:p>
        </w:tc>
        <w:tc>
          <w:tcPr>
            <w:tcW w:w="570" w:type="dxa"/>
            <w:noWrap/>
          </w:tcPr>
          <w:p w14:paraId="26691172" w14:textId="77777777" w:rsidR="00DF410E" w:rsidRDefault="00CE7F43">
            <w:pPr>
              <w:jc w:val="center"/>
            </w:pPr>
            <w:r>
              <w:t>X</w:t>
            </w:r>
          </w:p>
        </w:tc>
        <w:tc>
          <w:tcPr>
            <w:tcW w:w="570" w:type="dxa"/>
            <w:noWrap/>
          </w:tcPr>
          <w:p w14:paraId="27CF186F" w14:textId="77777777" w:rsidR="00DF410E" w:rsidRDefault="00CE7F43">
            <w:pPr>
              <w:jc w:val="center"/>
            </w:pPr>
            <w:r>
              <w:t>X</w:t>
            </w:r>
          </w:p>
        </w:tc>
        <w:tc>
          <w:tcPr>
            <w:tcW w:w="570" w:type="dxa"/>
            <w:noWrap/>
          </w:tcPr>
          <w:p w14:paraId="4EE921E1" w14:textId="77777777" w:rsidR="00DF410E" w:rsidRDefault="00CE7F43">
            <w:pPr>
              <w:jc w:val="center"/>
            </w:pPr>
            <w:r>
              <w:t>X</w:t>
            </w:r>
          </w:p>
        </w:tc>
      </w:tr>
      <w:tr w:rsidR="00DF410E" w14:paraId="52C6FC2B" w14:textId="77777777">
        <w:tc>
          <w:tcPr>
            <w:tcW w:w="5655" w:type="dxa"/>
            <w:noWrap/>
          </w:tcPr>
          <w:p w14:paraId="18AA9688" w14:textId="77777777" w:rsidR="00DF410E" w:rsidRDefault="00CE7F43">
            <w:r>
              <w:t>Fil d’acier galvanisé (60 g/m² - galvanisation de 8,5 µm d’épaisseur) avec un revêtement époxy sur toutes les surfaces du composant fini</w:t>
            </w:r>
          </w:p>
        </w:tc>
        <w:tc>
          <w:tcPr>
            <w:tcW w:w="1065" w:type="dxa"/>
            <w:noWrap/>
          </w:tcPr>
          <w:p w14:paraId="635D9EF2" w14:textId="77777777" w:rsidR="00DF410E" w:rsidRDefault="00CE7F43">
            <w:pPr>
              <w:jc w:val="center"/>
            </w:pPr>
            <w:r>
              <w:rPr>
                <w:b/>
              </w:rPr>
              <w:t>22</w:t>
            </w:r>
          </w:p>
        </w:tc>
        <w:tc>
          <w:tcPr>
            <w:tcW w:w="570" w:type="dxa"/>
            <w:noWrap/>
          </w:tcPr>
          <w:p w14:paraId="19A784F4" w14:textId="77777777" w:rsidR="00DF410E" w:rsidRDefault="00CE7F43">
            <w:pPr>
              <w:jc w:val="center"/>
            </w:pPr>
            <w:r>
              <w:t>U</w:t>
            </w:r>
          </w:p>
        </w:tc>
        <w:tc>
          <w:tcPr>
            <w:tcW w:w="570" w:type="dxa"/>
            <w:noWrap/>
          </w:tcPr>
          <w:p w14:paraId="4AA452B7" w14:textId="77777777" w:rsidR="00DF410E" w:rsidRDefault="00CE7F43">
            <w:pPr>
              <w:jc w:val="center"/>
            </w:pPr>
            <w:r>
              <w:t>U</w:t>
            </w:r>
          </w:p>
        </w:tc>
        <w:tc>
          <w:tcPr>
            <w:tcW w:w="570" w:type="dxa"/>
            <w:noWrap/>
          </w:tcPr>
          <w:p w14:paraId="1D061AA9" w14:textId="77777777" w:rsidR="00DF410E" w:rsidRDefault="00CE7F43">
            <w:pPr>
              <w:jc w:val="center"/>
            </w:pPr>
            <w:r>
              <w:t>R</w:t>
            </w:r>
          </w:p>
        </w:tc>
        <w:tc>
          <w:tcPr>
            <w:tcW w:w="570" w:type="dxa"/>
            <w:noWrap/>
          </w:tcPr>
          <w:p w14:paraId="0E39999E" w14:textId="77777777" w:rsidR="00DF410E" w:rsidRDefault="00CE7F43">
            <w:pPr>
              <w:jc w:val="center"/>
            </w:pPr>
            <w:r>
              <w:t>X</w:t>
            </w:r>
          </w:p>
        </w:tc>
      </w:tr>
      <w:tr w:rsidR="00DF410E" w14:paraId="7B473651" w14:textId="77777777">
        <w:tc>
          <w:tcPr>
            <w:tcW w:w="5655" w:type="dxa"/>
            <w:noWrap/>
          </w:tcPr>
          <w:p w14:paraId="36C4D92F" w14:textId="77777777" w:rsidR="00DF410E" w:rsidRDefault="00CE7F43">
            <w:r>
              <w:t>Acier inoxydable austéno-ferritique</w:t>
            </w:r>
          </w:p>
        </w:tc>
        <w:tc>
          <w:tcPr>
            <w:tcW w:w="1065" w:type="dxa"/>
            <w:noWrap/>
          </w:tcPr>
          <w:p w14:paraId="38CCB891" w14:textId="77777777" w:rsidR="00DF410E" w:rsidRDefault="00CE7F43">
            <w:pPr>
              <w:jc w:val="center"/>
            </w:pPr>
            <w:r>
              <w:rPr>
                <w:b/>
              </w:rPr>
              <w:t>23</w:t>
            </w:r>
          </w:p>
        </w:tc>
        <w:tc>
          <w:tcPr>
            <w:tcW w:w="570" w:type="dxa"/>
            <w:noWrap/>
          </w:tcPr>
          <w:p w14:paraId="20D15A02" w14:textId="77777777" w:rsidR="00DF410E" w:rsidRDefault="00CE7F43">
            <w:pPr>
              <w:jc w:val="center"/>
            </w:pPr>
            <w:r>
              <w:t>U</w:t>
            </w:r>
          </w:p>
        </w:tc>
        <w:tc>
          <w:tcPr>
            <w:tcW w:w="570" w:type="dxa"/>
            <w:noWrap/>
          </w:tcPr>
          <w:p w14:paraId="1A76D592" w14:textId="77777777" w:rsidR="00DF410E" w:rsidRDefault="00CE7F43">
            <w:pPr>
              <w:jc w:val="center"/>
            </w:pPr>
            <w:r>
              <w:t>X</w:t>
            </w:r>
          </w:p>
        </w:tc>
        <w:tc>
          <w:tcPr>
            <w:tcW w:w="570" w:type="dxa"/>
            <w:noWrap/>
          </w:tcPr>
          <w:p w14:paraId="5BEC0985" w14:textId="77777777" w:rsidR="00DF410E" w:rsidRDefault="00CE7F43">
            <w:pPr>
              <w:jc w:val="center"/>
            </w:pPr>
            <w:r>
              <w:t>X</w:t>
            </w:r>
          </w:p>
        </w:tc>
        <w:tc>
          <w:tcPr>
            <w:tcW w:w="570" w:type="dxa"/>
            <w:noWrap/>
          </w:tcPr>
          <w:p w14:paraId="09361819" w14:textId="77777777" w:rsidR="00DF410E" w:rsidRDefault="00CE7F43">
            <w:pPr>
              <w:jc w:val="center"/>
            </w:pPr>
            <w:r>
              <w:t>X</w:t>
            </w:r>
          </w:p>
        </w:tc>
      </w:tr>
      <w:tr w:rsidR="00DF410E" w14:paraId="67DAF523" w14:textId="77777777">
        <w:tc>
          <w:tcPr>
            <w:tcW w:w="9000" w:type="dxa"/>
            <w:gridSpan w:val="6"/>
            <w:noWrap/>
          </w:tcPr>
          <w:p w14:paraId="75FBCD50" w14:textId="77777777" w:rsidR="00DF410E" w:rsidRDefault="00CE7F43">
            <w:r>
              <w:t>(</w:t>
            </w:r>
            <w:r>
              <w:rPr>
                <w:vertAlign w:val="superscript"/>
              </w:rPr>
              <w:t>1</w:t>
            </w:r>
            <w:r>
              <w:t>)              U - utilisation sans limite du matériau dans la classe d’exposition indiquée.</w:t>
            </w:r>
          </w:p>
          <w:p w14:paraId="58007B0F" w14:textId="77777777" w:rsidR="00DF410E" w:rsidRDefault="00CE7F43">
            <w:r>
              <w:t>      R - utilisation limitée; consulter le fabricant ou un spécialiste pour des conseils sur les conditions de calcul spécifiques.</w:t>
            </w:r>
          </w:p>
          <w:p w14:paraId="257DD82D" w14:textId="77777777" w:rsidR="00DF410E" w:rsidRDefault="00CE7F43">
            <w:r>
              <w:t>                      X - matériau non recommandé pour une utilisation dans cette classe d’exposition.</w:t>
            </w:r>
          </w:p>
        </w:tc>
      </w:tr>
      <w:tr w:rsidR="00DF410E" w14:paraId="1E4C6009" w14:textId="77777777">
        <w:tc>
          <w:tcPr>
            <w:tcW w:w="9000" w:type="dxa"/>
            <w:gridSpan w:val="6"/>
            <w:noWrap/>
          </w:tcPr>
          <w:p w14:paraId="55FB21CC" w14:textId="77777777" w:rsidR="00DF410E" w:rsidRDefault="00CE7F43">
            <w:r>
              <w:t>(</w:t>
            </w:r>
            <w:r>
              <w:rPr>
                <w:vertAlign w:val="superscript"/>
              </w:rPr>
              <w:t>2</w:t>
            </w:r>
            <w:r>
              <w:t>) Les masses de revêtement appliqué indiquées sont des valeurs approchées pour une face.</w:t>
            </w:r>
          </w:p>
        </w:tc>
      </w:tr>
      <w:tr w:rsidR="00DF410E" w14:paraId="52E021AD" w14:textId="77777777">
        <w:tc>
          <w:tcPr>
            <w:tcW w:w="9000" w:type="dxa"/>
            <w:gridSpan w:val="6"/>
            <w:noWrap/>
          </w:tcPr>
          <w:p w14:paraId="730CF356" w14:textId="77777777" w:rsidR="00DF410E" w:rsidRDefault="00CE7F43">
            <w:r>
              <w:t>(</w:t>
            </w:r>
            <w:r>
              <w:rPr>
                <w:vertAlign w:val="superscript"/>
              </w:rPr>
              <w:t>3</w:t>
            </w:r>
            <w:r>
              <w:t>) MX1 : environnement sec. MX2 : environnement humide. MX3 : environnement humide et cycles de gel-dégel. MX4 : environnement salin. MX5 : environnement chimique agressif.</w:t>
            </w:r>
          </w:p>
        </w:tc>
      </w:tr>
    </w:tbl>
    <w:p w14:paraId="7B78D85D" w14:textId="77777777" w:rsidR="00DF410E" w:rsidRDefault="00DF410E"/>
    <w:p w14:paraId="661164EA" w14:textId="77777777" w:rsidR="00DF410E" w:rsidRDefault="00CE7F43">
      <w:pPr>
        <w:jc w:val="both"/>
      </w:pPr>
      <w:r>
        <w:t> </w:t>
      </w:r>
    </w:p>
    <w:p w14:paraId="44594C09" w14:textId="77777777" w:rsidR="00DF410E" w:rsidRDefault="00CE7F43">
      <w:pPr>
        <w:jc w:val="both"/>
      </w:pPr>
      <w:r>
        <w:t>Conformément à la norme et en fonction des performances attendues, la fiche technique du produit émise par le fabricant mentionne les informations suivantes : la longueur totale des attaches murales ainsi que l’épaisseur minimale du joint de mortier pour laquelle le composant est approprié (lorsque l’attache est destinée à être incorporée dans le mortier). La longueur d’ancrage minimale de chaque extrémité des attaches murales (au moins 30 mm) doit également être communiquée (cf. charge admissible). Elle doit tenir compte des tolérances de positionnement sur chantier. En outre, il convient que les attaches soient conçues de façon à ce qu’il y ait au moins 20 mm de mortier au-delà de l’attache dans son plan, lorsque l’attache est destinée à être incorporée dans le mortier, pour empêcher les efforts de compression de pousser l’attache à travers le mur.</w:t>
      </w:r>
    </w:p>
    <w:p w14:paraId="30C6C5BE" w14:textId="77777777" w:rsidR="00DF410E" w:rsidRDefault="00CE7F43">
      <w:pPr>
        <w:jc w:val="both"/>
      </w:pPr>
      <w:r>
        <w:t>Les informations techniques doivent également mentionner si les attaches assurent le rejet d’eau au moyen d’une section centrale profilée (avec larmier) de l’attache, d’un collier d’étanchéité, de l’inclinaison descendante de l’attache de la paroi intérieure vers la paroi extérieure.</w:t>
      </w:r>
    </w:p>
    <w:p w14:paraId="549CE702" w14:textId="77777777" w:rsidR="00DF410E" w:rsidRDefault="00CE7F43">
      <w:pPr>
        <w:jc w:val="both"/>
      </w:pPr>
      <w:r>
        <w:t> </w:t>
      </w:r>
    </w:p>
    <w:p w14:paraId="22572187" w14:textId="77777777" w:rsidR="00DF410E" w:rsidRDefault="00CE7F43">
      <w:pPr>
        <w:jc w:val="both"/>
      </w:pPr>
      <w:r>
        <w:t>- Attaches pour mur double</w:t>
      </w:r>
    </w:p>
    <w:p w14:paraId="03ADFDCE" w14:textId="77777777" w:rsidR="00DF410E" w:rsidRDefault="00CE7F43">
      <w:pPr>
        <w:jc w:val="both"/>
      </w:pPr>
      <w:r>
        <w:t>La fiche technique du produit émise par le fabricant mentionne également les informations suivantes : dimensions et performances mécaniques (c.-à-d. la charge admissible en traction et en compression et le déplacement sous charge), les largeurs du creux (cavité, soit la distance entre les deux parois) pour lesquelles les valeurs des performances communiquées sont valables, la plage de mouvement maximale admissible et les inclinaisons maximale et minimale admissibles (dans le cas des attaches mobiles et des attaches inclinables pour mur double).</w:t>
      </w:r>
    </w:p>
    <w:p w14:paraId="44EE7F6F" w14:textId="77777777" w:rsidR="00DF410E" w:rsidRDefault="00CE7F43">
      <w:pPr>
        <w:jc w:val="both"/>
      </w:pPr>
      <w:r>
        <w:t> </w:t>
      </w:r>
    </w:p>
    <w:p w14:paraId="0C9B96A0" w14:textId="77777777" w:rsidR="00DF410E" w:rsidRDefault="00CE7F43">
      <w:pPr>
        <w:jc w:val="both"/>
      </w:pPr>
      <w:r>
        <w:t>- Attaches de cisaillement et attaches de maintien</w:t>
      </w:r>
    </w:p>
    <w:p w14:paraId="47EE2EAC" w14:textId="77777777" w:rsidR="00DF410E" w:rsidRDefault="00CE7F43">
      <w:pPr>
        <w:jc w:val="both"/>
      </w:pPr>
      <w:r>
        <w:t>Dans le cas des attaches de cisaillement et des attaches de maintien, outre les exigences précitées sur les dimensions, la fiche technique émise par le fabricant mentionne les performances mécaniques (c.-à-d. pour les attaches de cisaillement, la charge admissible en traction, en compression et en cisaillement et uniquement cette dernière pour les attaches de maintien, ainsi que le déplacement sous charge d’essai).</w:t>
      </w:r>
    </w:p>
    <w:p w14:paraId="17815F51" w14:textId="77777777" w:rsidR="00DF410E" w:rsidRDefault="00CE7F43">
      <w:pPr>
        <w:pStyle w:val="pheading"/>
      </w:pPr>
      <w:r>
        <w:t>DOCUMENTS DE RÉFÉRENCE</w:t>
      </w:r>
    </w:p>
    <w:p w14:paraId="5932704E" w14:textId="77777777" w:rsidR="00DF410E" w:rsidRDefault="00CE7F43">
      <w:pPr>
        <w:pStyle w:val="pheading"/>
      </w:pPr>
      <w:r>
        <w:t>- Matériau</w:t>
      </w:r>
    </w:p>
    <w:p w14:paraId="7F0B3DEB" w14:textId="77777777" w:rsidR="00DF410E" w:rsidRDefault="00CE7F43">
      <w:r>
        <w:t>[NBN EN 845-1:2013+A1, Spécification pour composants accessoires de maçonnerie - Partie 1: Attaches, brides de fixation, étriers de support et consoles]</w:t>
      </w:r>
    </w:p>
    <w:p w14:paraId="6D535B8D" w14:textId="77777777" w:rsidR="00DF410E" w:rsidRDefault="00CE7F43">
      <w:pPr>
        <w:pStyle w:val="pheading"/>
      </w:pPr>
      <w:r>
        <w:t>- Exécution</w:t>
      </w:r>
    </w:p>
    <w:p w14:paraId="31EC21BD" w14:textId="77777777" w:rsidR="00DF410E" w:rsidRDefault="00CE7F43">
      <w:r>
        <w:t>[NBN EN 1996-2, Eurocode 6 - Calcul des ouvrages en maçonnerie - Partie 2: Conception, choix des matériaux et mise en oeuvre des maçonneries (+ AC:2009)]</w:t>
      </w:r>
    </w:p>
    <w:p w14:paraId="4AD730B1" w14:textId="77777777" w:rsidR="00DF410E" w:rsidRDefault="00CE7F43">
      <w:pPr>
        <w:pStyle w:val="pheading"/>
      </w:pPr>
      <w:r>
        <w:t>AIDE</w:t>
      </w:r>
    </w:p>
    <w:p w14:paraId="3C73D8C2" w14:textId="77777777" w:rsidR="00DF410E" w:rsidRDefault="00CE7F43">
      <w:r>
        <w:t>Les crochets, tirants et pattes d’ancrage de maçonnerie sont dénommés ‘attaches murales’ dans la [NBN EN 845-1:2013+A1]  et se répartissent conformément au tableau ci-dessous.</w:t>
      </w:r>
    </w:p>
    <w:p w14:paraId="434F57E1" w14:textId="77777777" w:rsidR="00DF410E" w:rsidRDefault="00CE7F43">
      <w:r>
        <w:t>Tableau. Types d’attaches murales [1] (cf. [NBN EN 845-1:2013+A1])</w:t>
      </w:r>
    </w:p>
    <w:tbl>
      <w:tblPr>
        <w:tblStyle w:val="Author-eTableGrid"/>
        <w:tblW w:w="9030" w:type="dxa"/>
        <w:tblLayout w:type="fixed"/>
        <w:tblLook w:val="04A0" w:firstRow="1" w:lastRow="0" w:firstColumn="1" w:lastColumn="0" w:noHBand="0" w:noVBand="1"/>
      </w:tblPr>
      <w:tblGrid>
        <w:gridCol w:w="961"/>
        <w:gridCol w:w="1592"/>
        <w:gridCol w:w="1593"/>
        <w:gridCol w:w="1698"/>
        <w:gridCol w:w="1593"/>
        <w:gridCol w:w="1593"/>
      </w:tblGrid>
      <w:tr w:rsidR="00DF410E" w14:paraId="228930EE" w14:textId="77777777">
        <w:tc>
          <w:tcPr>
            <w:tcW w:w="960" w:type="dxa"/>
            <w:vMerge w:val="restart"/>
            <w:noWrap/>
          </w:tcPr>
          <w:p w14:paraId="55EB1E91" w14:textId="77777777" w:rsidR="00DF410E" w:rsidRDefault="00DF410E"/>
          <w:p w14:paraId="3800739F" w14:textId="77777777" w:rsidR="00DF410E" w:rsidRDefault="00CE7F43">
            <w:pPr>
              <w:jc w:val="center"/>
            </w:pPr>
            <w:r>
              <w:rPr>
                <w:b/>
              </w:rPr>
              <w:t>Types </w:t>
            </w:r>
          </w:p>
        </w:tc>
        <w:tc>
          <w:tcPr>
            <w:tcW w:w="4875" w:type="dxa"/>
            <w:gridSpan w:val="3"/>
            <w:noWrap/>
          </w:tcPr>
          <w:p w14:paraId="04607787" w14:textId="77777777" w:rsidR="00DF410E" w:rsidRDefault="00CE7F43">
            <w:pPr>
              <w:jc w:val="center"/>
            </w:pPr>
            <w:r>
              <w:rPr>
                <w:b/>
              </w:rPr>
              <w:t>Attaches pour mur double [2] [3]</w:t>
            </w:r>
          </w:p>
        </w:tc>
        <w:tc>
          <w:tcPr>
            <w:tcW w:w="1590" w:type="dxa"/>
            <w:vMerge w:val="restart"/>
            <w:noWrap/>
          </w:tcPr>
          <w:p w14:paraId="03D62494" w14:textId="77777777" w:rsidR="00DF410E" w:rsidRDefault="00CE7F43">
            <w:pPr>
              <w:jc w:val="center"/>
            </w:pPr>
            <w:r>
              <w:rPr>
                <w:b/>
              </w:rPr>
              <w:t>Attaches</w:t>
            </w:r>
          </w:p>
          <w:p w14:paraId="4945ED86" w14:textId="77777777" w:rsidR="00DF410E" w:rsidRDefault="00CE7F43">
            <w:pPr>
              <w:jc w:val="center"/>
            </w:pPr>
            <w:r>
              <w:rPr>
                <w:b/>
              </w:rPr>
              <w:t>de cisaillement</w:t>
            </w:r>
          </w:p>
        </w:tc>
        <w:tc>
          <w:tcPr>
            <w:tcW w:w="1590" w:type="dxa"/>
            <w:vMerge w:val="restart"/>
            <w:noWrap/>
          </w:tcPr>
          <w:p w14:paraId="1AB60A85" w14:textId="77777777" w:rsidR="00DF410E" w:rsidRDefault="00CE7F43">
            <w:pPr>
              <w:jc w:val="center"/>
            </w:pPr>
            <w:r>
              <w:rPr>
                <w:b/>
              </w:rPr>
              <w:t>Attaches</w:t>
            </w:r>
          </w:p>
          <w:p w14:paraId="54BE45D0" w14:textId="77777777" w:rsidR="00DF410E" w:rsidRDefault="00CE7F43">
            <w:pPr>
              <w:jc w:val="center"/>
            </w:pPr>
            <w:r>
              <w:rPr>
                <w:b/>
              </w:rPr>
              <w:t>de maintien</w:t>
            </w:r>
          </w:p>
        </w:tc>
      </w:tr>
      <w:tr w:rsidR="00DF410E" w14:paraId="698C5586" w14:textId="77777777">
        <w:tc>
          <w:tcPr>
            <w:tcW w:w="960" w:type="dxa"/>
            <w:vMerge/>
            <w:noWrap/>
          </w:tcPr>
          <w:p w14:paraId="0426D150" w14:textId="77777777" w:rsidR="00DF410E" w:rsidRDefault="00DF410E"/>
        </w:tc>
        <w:tc>
          <w:tcPr>
            <w:tcW w:w="1590" w:type="dxa"/>
            <w:noWrap/>
          </w:tcPr>
          <w:p w14:paraId="60389C0A" w14:textId="77777777" w:rsidR="00DF410E" w:rsidRDefault="00CE7F43">
            <w:pPr>
              <w:jc w:val="center"/>
            </w:pPr>
            <w:r>
              <w:rPr>
                <w:b/>
              </w:rPr>
              <w:t>D’usage courant</w:t>
            </w:r>
          </w:p>
        </w:tc>
        <w:tc>
          <w:tcPr>
            <w:tcW w:w="1590" w:type="dxa"/>
            <w:noWrap/>
          </w:tcPr>
          <w:p w14:paraId="76C70B63" w14:textId="77777777" w:rsidR="00DF410E" w:rsidRDefault="00CE7F43">
            <w:pPr>
              <w:jc w:val="center"/>
            </w:pPr>
            <w:r>
              <w:rPr>
                <w:b/>
              </w:rPr>
              <w:t>‘Mobiles’ [4]</w:t>
            </w:r>
          </w:p>
        </w:tc>
        <w:tc>
          <w:tcPr>
            <w:tcW w:w="1695" w:type="dxa"/>
            <w:noWrap/>
          </w:tcPr>
          <w:p w14:paraId="4D0CDA69" w14:textId="77777777" w:rsidR="00DF410E" w:rsidRDefault="00CE7F43">
            <w:pPr>
              <w:jc w:val="center"/>
            </w:pPr>
            <w:r>
              <w:rPr>
                <w:b/>
              </w:rPr>
              <w:t>‘A clavette/rainure’ [5]</w:t>
            </w:r>
          </w:p>
        </w:tc>
        <w:tc>
          <w:tcPr>
            <w:tcW w:w="1590" w:type="dxa"/>
            <w:vMerge/>
            <w:noWrap/>
          </w:tcPr>
          <w:p w14:paraId="0123DB52" w14:textId="77777777" w:rsidR="00DF410E" w:rsidRDefault="00DF410E"/>
        </w:tc>
        <w:tc>
          <w:tcPr>
            <w:tcW w:w="1590" w:type="dxa"/>
            <w:vMerge/>
            <w:noWrap/>
          </w:tcPr>
          <w:p w14:paraId="57A17EDA" w14:textId="77777777" w:rsidR="00DF410E" w:rsidRDefault="00DF410E"/>
        </w:tc>
      </w:tr>
      <w:tr w:rsidR="00DF410E" w14:paraId="33A1BE6F" w14:textId="77777777">
        <w:tc>
          <w:tcPr>
            <w:tcW w:w="960" w:type="dxa"/>
            <w:vMerge w:val="restart"/>
            <w:noWrap/>
          </w:tcPr>
          <w:p w14:paraId="47B9E34D" w14:textId="77777777" w:rsidR="00DF410E" w:rsidRDefault="00CE7F43">
            <w:pPr>
              <w:jc w:val="center"/>
            </w:pPr>
            <w:r>
              <w:rPr>
                <w:b/>
              </w:rPr>
              <w:t>Efforts transmis</w:t>
            </w:r>
          </w:p>
        </w:tc>
        <w:tc>
          <w:tcPr>
            <w:tcW w:w="4875" w:type="dxa"/>
            <w:gridSpan w:val="3"/>
            <w:noWrap/>
          </w:tcPr>
          <w:p w14:paraId="4151D0D9" w14:textId="77777777" w:rsidR="00DF410E" w:rsidRDefault="00CE7F43">
            <w:pPr>
              <w:jc w:val="center"/>
            </w:pPr>
            <w:r>
              <w:t>Principalement transmission des efforts axiaux (tension/compression)</w:t>
            </w:r>
          </w:p>
        </w:tc>
        <w:tc>
          <w:tcPr>
            <w:tcW w:w="1590" w:type="dxa"/>
            <w:vMerge w:val="restart"/>
            <w:noWrap/>
          </w:tcPr>
          <w:p w14:paraId="7AC5E06E" w14:textId="77777777" w:rsidR="00DF410E" w:rsidRDefault="00CE7F43">
            <w:r>
              <w:t>Transmission des efforts axiaux (tension/</w:t>
            </w:r>
          </w:p>
          <w:p w14:paraId="143FE6BB" w14:textId="77777777" w:rsidR="00DF410E" w:rsidRDefault="00CE7F43">
            <w:r>
              <w:t>compression) et de cisaillement</w:t>
            </w:r>
          </w:p>
        </w:tc>
        <w:tc>
          <w:tcPr>
            <w:tcW w:w="1590" w:type="dxa"/>
            <w:vMerge w:val="restart"/>
            <w:noWrap/>
          </w:tcPr>
          <w:p w14:paraId="728356B1" w14:textId="77777777" w:rsidR="00DF410E" w:rsidRDefault="00CE7F43">
            <w:r>
              <w:t>Transmission des efforts de cisaillement</w:t>
            </w:r>
          </w:p>
        </w:tc>
      </w:tr>
      <w:tr w:rsidR="00DF410E" w14:paraId="218CE4AD" w14:textId="77777777">
        <w:tc>
          <w:tcPr>
            <w:tcW w:w="960" w:type="dxa"/>
            <w:vMerge/>
            <w:noWrap/>
          </w:tcPr>
          <w:p w14:paraId="5F138529" w14:textId="77777777" w:rsidR="00DF410E" w:rsidRDefault="00DF410E"/>
        </w:tc>
        <w:tc>
          <w:tcPr>
            <w:tcW w:w="1590" w:type="dxa"/>
            <w:noWrap/>
          </w:tcPr>
          <w:p w14:paraId="0AE851C3" w14:textId="77777777" w:rsidR="00DF410E" w:rsidRDefault="00CE7F43">
            <w:r>
              <w:t>Permettent un mouvement différentiel limité dans le plan du mur</w:t>
            </w:r>
          </w:p>
        </w:tc>
        <w:tc>
          <w:tcPr>
            <w:tcW w:w="1590" w:type="dxa"/>
            <w:noWrap/>
          </w:tcPr>
          <w:p w14:paraId="0D954D7B" w14:textId="77777777" w:rsidR="00DF410E" w:rsidRDefault="00CE7F43">
            <w:r>
              <w:t>Permettent de grands mouvements différentiels des murs dans leur plan sans créer de fortes contraintes de cisaillement</w:t>
            </w:r>
          </w:p>
        </w:tc>
        <w:tc>
          <w:tcPr>
            <w:tcW w:w="1695" w:type="dxa"/>
            <w:noWrap/>
          </w:tcPr>
          <w:p w14:paraId="33CA1E88" w14:textId="77777777" w:rsidR="00DF410E" w:rsidRDefault="00CE7F43">
            <w:r>
              <w:t>Permettent à la clavette de coulisser librement dans la rainure (ajustement lors de l’installation et/ou mouvement différentiel en service)</w:t>
            </w:r>
          </w:p>
        </w:tc>
        <w:tc>
          <w:tcPr>
            <w:tcW w:w="1590" w:type="dxa"/>
            <w:vMerge/>
            <w:noWrap/>
          </w:tcPr>
          <w:p w14:paraId="6C021FBF" w14:textId="77777777" w:rsidR="00DF410E" w:rsidRDefault="00DF410E"/>
        </w:tc>
        <w:tc>
          <w:tcPr>
            <w:tcW w:w="1590" w:type="dxa"/>
            <w:vMerge/>
            <w:noWrap/>
          </w:tcPr>
          <w:p w14:paraId="2888C226" w14:textId="77777777" w:rsidR="00DF410E" w:rsidRDefault="00DF410E"/>
        </w:tc>
      </w:tr>
      <w:tr w:rsidR="00DF410E" w14:paraId="16309227" w14:textId="77777777">
        <w:tc>
          <w:tcPr>
            <w:tcW w:w="960" w:type="dxa"/>
            <w:noWrap/>
          </w:tcPr>
          <w:p w14:paraId="352D9585" w14:textId="77777777" w:rsidR="00DF410E" w:rsidRDefault="00DF410E"/>
          <w:p w14:paraId="30CDCC89" w14:textId="77777777" w:rsidR="00DF410E" w:rsidRDefault="00CE7F43">
            <w:pPr>
              <w:jc w:val="center"/>
            </w:pPr>
            <w:r>
              <w:rPr>
                <w:b/>
              </w:rPr>
              <w:t>Exemple</w:t>
            </w:r>
          </w:p>
          <w:p w14:paraId="622C669B" w14:textId="77777777" w:rsidR="00DF410E" w:rsidRDefault="00CE7F43">
            <w:pPr>
              <w:jc w:val="center"/>
            </w:pPr>
            <w:r>
              <w:rPr>
                <w:b/>
              </w:rPr>
              <w:t>d’usage</w:t>
            </w:r>
          </w:p>
        </w:tc>
        <w:tc>
          <w:tcPr>
            <w:tcW w:w="4875" w:type="dxa"/>
            <w:gridSpan w:val="3"/>
            <w:noWrap/>
          </w:tcPr>
          <w:p w14:paraId="5C69230C" w14:textId="77777777" w:rsidR="00DF410E" w:rsidRDefault="00DF410E"/>
          <w:p w14:paraId="48725BED" w14:textId="77777777" w:rsidR="00DF410E" w:rsidRDefault="00CE7F43">
            <w:pPr>
              <w:jc w:val="center"/>
            </w:pPr>
            <w:r>
              <w:t>Liaison d’un mur de parement extérieur à une paroi portante</w:t>
            </w:r>
          </w:p>
        </w:tc>
        <w:tc>
          <w:tcPr>
            <w:tcW w:w="1590" w:type="dxa"/>
            <w:noWrap/>
          </w:tcPr>
          <w:p w14:paraId="663D6165" w14:textId="77777777" w:rsidR="00DF410E" w:rsidRDefault="00CE7F43">
            <w:r>
              <w:t>Liaison de deux murs porteurs non harpés</w:t>
            </w:r>
          </w:p>
        </w:tc>
        <w:tc>
          <w:tcPr>
            <w:tcW w:w="1590" w:type="dxa"/>
            <w:noWrap/>
          </w:tcPr>
          <w:p w14:paraId="5BCE58C6" w14:textId="77777777" w:rsidR="00DF410E" w:rsidRDefault="00CE7F43">
            <w:r>
              <w:t>Liaison d’un mur de cloison à un mur porteur</w:t>
            </w:r>
          </w:p>
        </w:tc>
      </w:tr>
      <w:tr w:rsidR="00DF410E" w14:paraId="56248A7F" w14:textId="77777777">
        <w:tc>
          <w:tcPr>
            <w:tcW w:w="9015" w:type="dxa"/>
            <w:gridSpan w:val="6"/>
            <w:noWrap/>
          </w:tcPr>
          <w:p w14:paraId="60639D0F" w14:textId="77777777" w:rsidR="00DF410E" w:rsidRDefault="00CE7F43">
            <w:r>
              <w:t>[1] Asymétrique ou symétrique (conception physique et fixation identiques à chaque extrémité).</w:t>
            </w:r>
          </w:p>
          <w:p w14:paraId="688D3FCF" w14:textId="77777777" w:rsidR="00DF410E" w:rsidRDefault="00CE7F43">
            <w:r>
              <w:t>[2] horizontale : conçue pour être installée approximativement à l’horizontale et dans le plan du joint de mortier.</w:t>
            </w:r>
          </w:p>
          <w:p w14:paraId="0DD5CF9B" w14:textId="77777777" w:rsidR="00DF410E" w:rsidRDefault="00CE7F43">
            <w:r>
              <w:t>[3] inclinable ; conçue pour pouvoir fonctionner de manière satisfaisante avec une inclinaison importante par rapport à l’horizontale.</w:t>
            </w:r>
          </w:p>
          <w:p w14:paraId="5E8A13E5" w14:textId="77777777" w:rsidR="00DF410E" w:rsidRDefault="00CE7F43">
            <w:r>
              <w:t>[4] grâce à l’utilisation de matériaux flexibles, de systèmes à rainure libre, de joints articulés ou d’autres moyens</w:t>
            </w:r>
          </w:p>
          <w:p w14:paraId="722A26EF" w14:textId="77777777" w:rsidR="00DF410E" w:rsidRDefault="00CE7F43">
            <w:r>
              <w:t>[5] La fixation à une extrémité est réalisée en engageant une clavette dans la rainure d’un élément.</w:t>
            </w:r>
          </w:p>
        </w:tc>
      </w:tr>
    </w:tbl>
    <w:p w14:paraId="52E204B9" w14:textId="77777777" w:rsidR="00DF410E" w:rsidRDefault="00CE7F43">
      <w:pPr>
        <w:pStyle w:val="Author-eSectionHeading6"/>
      </w:pPr>
      <w:bookmarkStart w:id="369" w:name="_Toc178837581"/>
      <w:r>
        <w:t>21.42.1a Crochets, tirants et pattes d'ancrages de maçonneries fixés mécaniquement CCTB 01.11</w:t>
      </w:r>
      <w:bookmarkEnd w:id="369"/>
    </w:p>
    <w:p w14:paraId="43DC1E33" w14:textId="77777777" w:rsidR="00DF410E" w:rsidRDefault="00CE7F43">
      <w:pPr>
        <w:pStyle w:val="pheading"/>
      </w:pPr>
      <w:r>
        <w:t>DESCRIPTION</w:t>
      </w:r>
    </w:p>
    <w:p w14:paraId="6E7F6111" w14:textId="77777777" w:rsidR="00DF410E" w:rsidRDefault="00CE7F43">
      <w:pPr>
        <w:pStyle w:val="pheading"/>
      </w:pPr>
      <w:r>
        <w:t>- Définition / Comprend</w:t>
      </w:r>
    </w:p>
    <w:p w14:paraId="27BBC183" w14:textId="77777777" w:rsidR="00DF410E" w:rsidRDefault="00CE7F43">
      <w:pPr>
        <w:jc w:val="both"/>
      </w:pPr>
      <w:r>
        <w:t xml:space="preserve">Il s’agit des travaux (fourniture et pose) de crochets, tirants et pattes d’ancrage de maçonneries fixés mécaniquement. La portée des travaux est décrite dans les éléments </w:t>
      </w:r>
      <w:hyperlink w:anchor="363" w:history="1">
        <w:r>
          <w:t>21.42.1 Crochets, tirants et pattes d'ancrages de maçonneries</w:t>
        </w:r>
      </w:hyperlink>
      <w:r>
        <w:t xml:space="preserve">, </w:t>
      </w:r>
      <w:hyperlink w:anchor="293" w:history="1">
        <w:r>
          <w:t>21 Superstructures en maçonnerie</w:t>
        </w:r>
      </w:hyperlink>
      <w:r>
        <w:t xml:space="preserve">, </w:t>
      </w:r>
      <w:hyperlink w:anchor="379" w:history="1">
        <w:r>
          <w:t>21.3 Maçonneries de parement</w:t>
        </w:r>
      </w:hyperlink>
      <w:r>
        <w:t>, …</w:t>
      </w:r>
    </w:p>
    <w:p w14:paraId="68FB8DA3" w14:textId="77777777" w:rsidR="00DF410E" w:rsidRDefault="00CE7F43">
      <w:pPr>
        <w:jc w:val="both"/>
      </w:pPr>
      <w:r>
        <w:t>Sont décrites dans cet élément les attaches fixées mécaniquement à une extrémité, l’autre extrémité étant fixée par scellement dans le mortier de maçonnerie.</w:t>
      </w:r>
    </w:p>
    <w:p w14:paraId="15759842" w14:textId="77777777" w:rsidR="00DF410E" w:rsidRDefault="00CE7F43">
      <w:pPr>
        <w:pStyle w:val="pheading"/>
      </w:pPr>
      <w:r>
        <w:t>- Localisation</w:t>
      </w:r>
    </w:p>
    <w:p w14:paraId="5B5EE0FC" w14:textId="77777777" w:rsidR="00DF410E" w:rsidRDefault="00CE7F43">
      <w:r>
        <w:t xml:space="preserve">Localisation des travaux : </w:t>
      </w:r>
      <w:r>
        <w:rPr>
          <w:rStyle w:val="optioncarChar"/>
        </w:rPr>
        <w:t>***</w:t>
      </w:r>
      <w:r>
        <w:t>.</w:t>
      </w:r>
    </w:p>
    <w:p w14:paraId="61EA088C" w14:textId="77777777" w:rsidR="00DF410E" w:rsidRDefault="00CE7F43">
      <w:r>
        <w:t>Voir plans et métrés détaillés.</w:t>
      </w:r>
    </w:p>
    <w:p w14:paraId="6A56DD5D" w14:textId="77777777" w:rsidR="00DF410E" w:rsidRDefault="00CE7F43">
      <w:pPr>
        <w:pStyle w:val="pheading"/>
      </w:pPr>
      <w:r>
        <w:t>MATÉRIAUX</w:t>
      </w:r>
    </w:p>
    <w:p w14:paraId="21773851" w14:textId="77777777" w:rsidR="00DF410E" w:rsidRDefault="00CE7F43">
      <w:pPr>
        <w:pStyle w:val="pheading"/>
      </w:pPr>
      <w:r>
        <w:t>- Caractéristiques générales</w:t>
      </w:r>
    </w:p>
    <w:p w14:paraId="75B834BE" w14:textId="77777777" w:rsidR="00DF410E" w:rsidRDefault="00CE7F43">
      <w:pPr>
        <w:jc w:val="both"/>
      </w:pPr>
      <w:r>
        <w:rPr>
          <w:b/>
        </w:rPr>
        <w:t>1. Maçonneries à liaisonner</w:t>
      </w:r>
    </w:p>
    <w:p w14:paraId="36CC5B81" w14:textId="77777777" w:rsidR="00DF410E" w:rsidRDefault="00CE7F43">
      <w:pPr>
        <w:jc w:val="both"/>
      </w:pPr>
      <w:r>
        <w:t xml:space="preserve">La maçonnerie dans laquelle l’attache est fixée mécaniquement est constituée de : </w:t>
      </w:r>
    </w:p>
    <w:p w14:paraId="58DF2EB7" w14:textId="77777777" w:rsidR="00DF410E" w:rsidRDefault="00CE7F43">
      <w:pPr>
        <w:jc w:val="both"/>
      </w:pPr>
      <w:r>
        <w:t xml:space="preserve"> éléments de maçonnerie :</w:t>
      </w:r>
      <w:r>
        <w:rPr>
          <w:rStyle w:val="optioncarChar"/>
        </w:rPr>
        <w:t xml:space="preserve"> terre cuite / silico-calcaire / béton de granulat / béton cellulaire / pierre naturelle</w:t>
      </w:r>
      <w:r>
        <w:t xml:space="preserve"> appartenant au groupe </w:t>
      </w:r>
      <w:r>
        <w:rPr>
          <w:rStyle w:val="optioncarChar"/>
        </w:rPr>
        <w:t>1 / 2 / 3 / 4</w:t>
      </w:r>
      <w:r>
        <w:t>.</w:t>
      </w:r>
    </w:p>
    <w:p w14:paraId="05100DEE" w14:textId="77777777" w:rsidR="00DF410E" w:rsidRDefault="00CE7F43">
      <w:pPr>
        <w:jc w:val="both"/>
      </w:pPr>
      <w:r>
        <w:t xml:space="preserve"> Mortier : classe </w:t>
      </w:r>
      <w:r>
        <w:rPr>
          <w:rStyle w:val="optioncarChar"/>
        </w:rPr>
        <w:t>M5 / M10 / M15 / M20 / ***</w:t>
      </w:r>
      <w:r>
        <w:t>.</w:t>
      </w:r>
    </w:p>
    <w:p w14:paraId="53F32912" w14:textId="77777777" w:rsidR="00DF410E" w:rsidRDefault="00CE7F43">
      <w:pPr>
        <w:jc w:val="both"/>
      </w:pPr>
      <w:r>
        <w:t xml:space="preserve">La maçonnerie à liaisonner </w:t>
      </w:r>
      <w:r>
        <w:rPr>
          <w:rStyle w:val="optioncarChar"/>
        </w:rPr>
        <w:t>est / n’est pas</w:t>
      </w:r>
      <w:r>
        <w:t xml:space="preserve"> de même constitution.</w:t>
      </w:r>
    </w:p>
    <w:p w14:paraId="327B6790" w14:textId="77777777" w:rsidR="00DF410E" w:rsidRDefault="00CE7F43">
      <w:pPr>
        <w:jc w:val="both"/>
      </w:pPr>
      <w:r>
        <w:t>En cas de constitution différente, le mur est constitué de :</w:t>
      </w:r>
    </w:p>
    <w:p w14:paraId="4340D8DA" w14:textId="77777777" w:rsidR="00DF410E" w:rsidRDefault="00CE7F43">
      <w:pPr>
        <w:jc w:val="both"/>
      </w:pPr>
      <w:r>
        <w:t xml:space="preserve"> Eléments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p>
    <w:p w14:paraId="29CBFF5C" w14:textId="77777777" w:rsidR="00DF410E" w:rsidRDefault="00CE7F43">
      <w:pPr>
        <w:jc w:val="both"/>
      </w:pPr>
      <w:r>
        <w:t xml:space="preserve"> Mortier : </w:t>
      </w:r>
      <w:r>
        <w:rPr>
          <w:rStyle w:val="optioncarChar"/>
        </w:rPr>
        <w:t>classe M5 / M10 / M15 / M20 / ***</w:t>
      </w:r>
      <w:r>
        <w:t>.</w:t>
      </w:r>
    </w:p>
    <w:p w14:paraId="12102FEF" w14:textId="77777777" w:rsidR="00DF410E" w:rsidRDefault="00CE7F43">
      <w:pPr>
        <w:jc w:val="both"/>
      </w:pPr>
      <w:r>
        <w:t> </w:t>
      </w:r>
    </w:p>
    <w:p w14:paraId="120BB08E" w14:textId="77777777" w:rsidR="00DF410E" w:rsidRDefault="00CE7F43">
      <w:pPr>
        <w:jc w:val="both"/>
      </w:pPr>
      <w:r>
        <w:rPr>
          <w:b/>
        </w:rPr>
        <w:t>2. Attaches murales</w:t>
      </w:r>
    </w:p>
    <w:p w14:paraId="6580EB0F" w14:textId="77777777" w:rsidR="00DF410E" w:rsidRDefault="00CE7F43">
      <w:pPr>
        <w:jc w:val="both"/>
      </w:pPr>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14:paraId="1DC6967D" w14:textId="77777777" w:rsidR="00DF410E" w:rsidRDefault="00CE7F43">
      <w:pPr>
        <w:jc w:val="both"/>
      </w:pPr>
      <w:r>
        <w:t xml:space="preserve">Le n° de référence du matériau est (voir chapitre </w:t>
      </w:r>
      <w:hyperlink w:anchor="363" w:history="1">
        <w:r>
          <w:t>21.42.1 Crochets, tirants et pattes d'ancrages de maçonneries</w:t>
        </w:r>
      </w:hyperlink>
      <w:r>
        <w:t xml:space="preserve">) :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6687EC6F" w14:textId="77777777" w:rsidR="00DF410E" w:rsidRDefault="00CE7F43">
      <w:pPr>
        <w:jc w:val="both"/>
      </w:pPr>
      <w:r>
        <w:t xml:space="preserve">Les attaches murales sont : </w:t>
      </w:r>
      <w:r>
        <w:rPr>
          <w:rStyle w:val="optioncarChar"/>
        </w:rPr>
        <w:t xml:space="preserve">asymétriques </w:t>
      </w:r>
      <w:r>
        <w:t>(par défaut)</w:t>
      </w:r>
      <w:r>
        <w:rPr>
          <w:rStyle w:val="optioncarChar"/>
        </w:rPr>
        <w:t xml:space="preserve"> / symétriques</w:t>
      </w:r>
      <w:r>
        <w:t xml:space="preserve">, et </w:t>
      </w:r>
      <w:r>
        <w:rPr>
          <w:rStyle w:val="optioncarChar"/>
        </w:rPr>
        <w:t xml:space="preserve">horizontales </w:t>
      </w:r>
      <w:r>
        <w:t>(par défaut)</w:t>
      </w:r>
      <w:r>
        <w:rPr>
          <w:rStyle w:val="optioncarChar"/>
        </w:rPr>
        <w:t xml:space="preserve"> / inclinables / mobiles</w:t>
      </w:r>
      <w:r>
        <w:t>.</w:t>
      </w:r>
    </w:p>
    <w:p w14:paraId="078652EB" w14:textId="77777777" w:rsidR="00DF410E" w:rsidRDefault="00DF410E"/>
    <w:p w14:paraId="4727A6C3" w14:textId="77777777" w:rsidR="00DF410E" w:rsidRDefault="00CE7F43">
      <w:pPr>
        <w:jc w:val="both"/>
      </w:pPr>
      <w:r>
        <w:rPr>
          <w:b/>
        </w:rPr>
        <w:t>2.1. Attaches pour murs doubles (aussi appelées crochets ou tirants)</w:t>
      </w:r>
    </w:p>
    <w:p w14:paraId="573552D1" w14:textId="77777777" w:rsidR="00DF410E" w:rsidRDefault="00CE7F43">
      <w:pPr>
        <w:jc w:val="both"/>
      </w:pPr>
      <w:r>
        <w:t xml:space="preserve">Largeur du creux (cavité = distance entre les deux maçonneries) : </w:t>
      </w:r>
      <w:r>
        <w:rPr>
          <w:rStyle w:val="optioncarChar"/>
        </w:rPr>
        <w:t>***</w:t>
      </w:r>
      <w:r>
        <w:t>.</w:t>
      </w:r>
    </w:p>
    <w:p w14:paraId="33B6FCCF" w14:textId="77777777" w:rsidR="00DF410E" w:rsidRDefault="00CE7F43">
      <w:pPr>
        <w:jc w:val="both"/>
      </w:pPr>
      <w:r>
        <w:t>Epaisseur des deux parois ; paroi 1 :</w:t>
      </w:r>
      <w:r>
        <w:rPr>
          <w:rStyle w:val="optioncarChar"/>
        </w:rPr>
        <w:t xml:space="preserve"> ***</w:t>
      </w:r>
      <w:r>
        <w:t>, paroi 2 :</w:t>
      </w:r>
      <w:r>
        <w:rPr>
          <w:rStyle w:val="optioncarChar"/>
        </w:rPr>
        <w:t xml:space="preserve"> ***</w:t>
      </w:r>
      <w:r>
        <w:t>.</w:t>
      </w:r>
    </w:p>
    <w:p w14:paraId="0E0D65B9" w14:textId="77777777" w:rsidR="00DF410E" w:rsidRDefault="00CE7F43">
      <w:pPr>
        <w:jc w:val="both"/>
      </w:pPr>
      <w:r>
        <w:t xml:space="preserve">Longueur totale de l’attache : </w:t>
      </w:r>
      <w:r>
        <w:rPr>
          <w:rStyle w:val="optioncarChar"/>
        </w:rPr>
        <w:t>***</w:t>
      </w:r>
      <w:r>
        <w:t>.</w:t>
      </w:r>
    </w:p>
    <w:p w14:paraId="3304197D" w14:textId="77777777" w:rsidR="00DF410E" w:rsidRDefault="00CE7F43">
      <w:pPr>
        <w:jc w:val="both"/>
      </w:pPr>
      <w:r>
        <w:t xml:space="preserve">L’attache est pourvue d’un rejet d’eau sous la forme : </w:t>
      </w:r>
      <w:r>
        <w:rPr>
          <w:rStyle w:val="optioncarChar"/>
        </w:rPr>
        <w:t xml:space="preserve">d’une section centrale profilée (avec larmier) de l’attache / d’un collier d’étanchéité </w:t>
      </w:r>
      <w:r>
        <w:t>(par défaut)</w:t>
      </w:r>
      <w:r>
        <w:rPr>
          <w:rStyle w:val="optioncarChar"/>
        </w:rPr>
        <w:t xml:space="preserve"> / de l’inclinaison descendante de l’attache de la paroi intérieure vers la paroi extérieure</w:t>
      </w:r>
      <w:r>
        <w:t>.</w:t>
      </w:r>
    </w:p>
    <w:p w14:paraId="3F529B7D" w14:textId="77777777" w:rsidR="00DF410E" w:rsidRDefault="00CE7F43">
      <w:pPr>
        <w:jc w:val="both"/>
      </w:pPr>
      <w:r>
        <w:t xml:space="preserve">Modèle d’attache </w:t>
      </w:r>
      <w:r>
        <w:rPr>
          <w:rStyle w:val="optioncarChar"/>
        </w:rPr>
        <w:t>avec / sans</w:t>
      </w:r>
      <w:r>
        <w:t xml:space="preserve"> coupure acoustique.</w:t>
      </w:r>
    </w:p>
    <w:p w14:paraId="5F23E466" w14:textId="77777777" w:rsidR="00DF410E" w:rsidRDefault="00CE7F43">
      <w:pPr>
        <w:jc w:val="both"/>
      </w:pPr>
      <w:r>
        <w:t>Modèle d’attache</w:t>
      </w:r>
      <w:r>
        <w:rPr>
          <w:rStyle w:val="optioncarChar"/>
        </w:rPr>
        <w:t xml:space="preserve"> avec / sans</w:t>
      </w:r>
      <w:r>
        <w:t xml:space="preserve"> coupure thermique.</w:t>
      </w:r>
    </w:p>
    <w:p w14:paraId="7EFDFCA9" w14:textId="77777777" w:rsidR="00DF410E" w:rsidRDefault="00CE7F43">
      <w:pPr>
        <w:jc w:val="both"/>
      </w:pPr>
      <w:r>
        <w:t>Plage de mouvement maximale admissible des attaches mobiles :</w:t>
      </w:r>
      <w:r>
        <w:rPr>
          <w:rStyle w:val="optioncarChar"/>
        </w:rPr>
        <w:t xml:space="preserve"> ***</w:t>
      </w:r>
      <w:r>
        <w:t>.</w:t>
      </w:r>
    </w:p>
    <w:p w14:paraId="70D2D6E7" w14:textId="77777777" w:rsidR="00DF410E" w:rsidRDefault="00CE7F43">
      <w:pPr>
        <w:jc w:val="both"/>
      </w:pPr>
      <w:r>
        <w:t>Inclinaisons maximale et minimale admissibles des attaches inclinables :</w:t>
      </w:r>
      <w:r>
        <w:rPr>
          <w:rStyle w:val="optioncarChar"/>
        </w:rPr>
        <w:t xml:space="preserve"> ***</w:t>
      </w:r>
      <w:r>
        <w:t>.</w:t>
      </w:r>
    </w:p>
    <w:p w14:paraId="638B5154" w14:textId="77777777" w:rsidR="00DF410E" w:rsidRDefault="00CE7F43">
      <w:pPr>
        <w:jc w:val="both"/>
      </w:pPr>
      <w:r>
        <w:t xml:space="preserve">Côté paroi intérieure (mur porteur) ; fixation mécanique adaptée à la maçonnerie : </w:t>
      </w:r>
      <w:r>
        <w:rPr>
          <w:rStyle w:val="optioncarChar"/>
        </w:rPr>
        <w:t xml:space="preserve">cheville à expansion munie d’une rosace </w:t>
      </w:r>
      <w:r>
        <w:t xml:space="preserve">(par défaut) </w:t>
      </w:r>
      <w:r>
        <w:rPr>
          <w:rStyle w:val="optioncarChar"/>
        </w:rPr>
        <w:t>/ système rainure et clavette / ***</w:t>
      </w:r>
      <w:r>
        <w:t>.</w:t>
      </w:r>
    </w:p>
    <w:p w14:paraId="72BBF5A1" w14:textId="77777777" w:rsidR="00DF410E" w:rsidRDefault="00CE7F43">
      <w:pPr>
        <w:jc w:val="both"/>
      </w:pPr>
      <w:r>
        <w:t xml:space="preserve">Côté paroi extérieure ; l’attache est scellée dans le mortier sur une longueur d’ancrage minimale de </w:t>
      </w:r>
      <w:r>
        <w:rPr>
          <w:rStyle w:val="optioncarChar"/>
        </w:rPr>
        <w:t xml:space="preserve">30 / 40 </w:t>
      </w:r>
      <w:r>
        <w:t>(par défaut)</w:t>
      </w:r>
      <w:r>
        <w:rPr>
          <w:rStyle w:val="optioncarChar"/>
        </w:rPr>
        <w:t xml:space="preserve"> / 50 / ***</w:t>
      </w:r>
      <w:r>
        <w:t xml:space="preserve"> mm. En cas de maçonnerie à joints minces (épaisseur de 3 à 6 mm), l’extrémité est aplatie.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p>
    <w:p w14:paraId="2FCB13D5" w14:textId="77777777" w:rsidR="00DF410E" w:rsidRDefault="00CE7F43">
      <w:pPr>
        <w:jc w:val="both"/>
      </w:pPr>
      <w:r>
        <w:t xml:space="preserve">Charge admissible en traction et déplacement sous charge ([NBN EN 846-5] ou [NBN EN 846-6]) : </w:t>
      </w:r>
      <w:r>
        <w:rPr>
          <w:rStyle w:val="optioncarChar"/>
        </w:rPr>
        <w:t>***</w:t>
      </w:r>
      <w:r>
        <w:t>.</w:t>
      </w:r>
    </w:p>
    <w:p w14:paraId="1CC48D0D" w14:textId="77777777" w:rsidR="00DF410E" w:rsidRDefault="00CE7F43">
      <w:pPr>
        <w:jc w:val="both"/>
      </w:pPr>
      <w:r>
        <w:t xml:space="preserve">Charge admissible en compression et déplacement sous charge ([NBN EN 846-5] ou [NBN EN 846-6]): </w:t>
      </w:r>
      <w:r>
        <w:rPr>
          <w:rStyle w:val="optioncarChar"/>
        </w:rPr>
        <w:t>***</w:t>
      </w:r>
      <w:r>
        <w:t>.</w:t>
      </w:r>
    </w:p>
    <w:p w14:paraId="3B63E7D1" w14:textId="77777777" w:rsidR="00DF410E" w:rsidRDefault="00CE7F43">
      <w:pPr>
        <w:jc w:val="both"/>
      </w:pPr>
      <w:r>
        <w:t>Le nombre de fixation est minimum :</w:t>
      </w:r>
      <w:r>
        <w:rPr>
          <w:rStyle w:val="optioncarChar"/>
        </w:rPr>
        <w:t xml:space="preserve"> 5 </w:t>
      </w:r>
      <w:r>
        <w:t>(par défaut)</w:t>
      </w:r>
      <w:r>
        <w:rPr>
          <w:rStyle w:val="optioncarChar"/>
        </w:rPr>
        <w:t xml:space="preserve"> / 6 / 7 / ***</w:t>
      </w:r>
      <w:r>
        <w:t xml:space="preserve"> par m².</w:t>
      </w:r>
    </w:p>
    <w:p w14:paraId="02C10A55" w14:textId="77777777" w:rsidR="00DF410E" w:rsidRDefault="00CE7F43">
      <w:pPr>
        <w:jc w:val="both"/>
      </w:pPr>
      <w:r>
        <w:t> </w:t>
      </w:r>
    </w:p>
    <w:p w14:paraId="42B60458" w14:textId="77777777" w:rsidR="00DF410E" w:rsidRDefault="00CE7F43">
      <w:pPr>
        <w:jc w:val="both"/>
      </w:pPr>
      <w:r>
        <w:rPr>
          <w:b/>
        </w:rPr>
        <w:t>2.2. Attaches de cisaillement (aussi appelées pattes de fixation)</w:t>
      </w:r>
    </w:p>
    <w:p w14:paraId="5BD176EA" w14:textId="77777777" w:rsidR="00DF410E" w:rsidRDefault="00CE7F43">
      <w:pPr>
        <w:jc w:val="both"/>
      </w:pPr>
      <w:r>
        <w:t xml:space="preserve">Longueur totale de l’attache : </w:t>
      </w:r>
      <w:r>
        <w:rPr>
          <w:rStyle w:val="optioncarChar"/>
        </w:rPr>
        <w:t>***</w:t>
      </w:r>
      <w:r>
        <w:t>.</w:t>
      </w:r>
    </w:p>
    <w:p w14:paraId="0DCBE2C7" w14:textId="77777777" w:rsidR="00DF410E" w:rsidRDefault="00CE7F43">
      <w:pPr>
        <w:jc w:val="both"/>
      </w:pPr>
      <w:r>
        <w:t>Extrémité côté paroi 1 : fixation mécanique au moyen d’une cheville à expansion adaptée.</w:t>
      </w:r>
    </w:p>
    <w:p w14:paraId="61C791C1" w14:textId="77777777" w:rsidR="00DF410E" w:rsidRDefault="00CE7F43">
      <w:pPr>
        <w:jc w:val="both"/>
      </w:pPr>
      <w:r>
        <w:t xml:space="preserve">Extrémité côté paroi 2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402F926C" w14:textId="77777777" w:rsidR="00DF410E" w:rsidRDefault="00CE7F43">
      <w:pPr>
        <w:jc w:val="both"/>
      </w:pPr>
      <w:r>
        <w:t xml:space="preserve">Charge admissible en traction et déplacement sous charge ([NBN EN 846-5]) : </w:t>
      </w:r>
      <w:r>
        <w:rPr>
          <w:rStyle w:val="optioncarChar"/>
        </w:rPr>
        <w:t>***</w:t>
      </w:r>
      <w:r>
        <w:t>.</w:t>
      </w:r>
    </w:p>
    <w:p w14:paraId="7C1115FE" w14:textId="77777777" w:rsidR="00DF410E" w:rsidRDefault="00CE7F43">
      <w:pPr>
        <w:jc w:val="both"/>
      </w:pPr>
      <w:r>
        <w:t xml:space="preserve">Charge admissible en compression et déplacement sous charge ([NBN EN 846-5]): </w:t>
      </w:r>
      <w:r>
        <w:rPr>
          <w:rStyle w:val="optioncarChar"/>
        </w:rPr>
        <w:t>***</w:t>
      </w:r>
      <w:r>
        <w:t>.</w:t>
      </w:r>
    </w:p>
    <w:p w14:paraId="3685AC88" w14:textId="77777777" w:rsidR="00DF410E" w:rsidRDefault="00CE7F43">
      <w:pPr>
        <w:jc w:val="both"/>
      </w:pPr>
      <w:r>
        <w:t>Charge admissible en cisaillement et déplacement sous charge ([NBN EN 846-7]) :</w:t>
      </w:r>
      <w:r>
        <w:rPr>
          <w:rStyle w:val="optioncarChar"/>
        </w:rPr>
        <w:t xml:space="preserve"> ***</w:t>
      </w:r>
      <w:r>
        <w:t>.</w:t>
      </w:r>
    </w:p>
    <w:p w14:paraId="4138AF9A" w14:textId="77777777" w:rsidR="00DF410E" w:rsidRDefault="00CE7F43">
      <w:pPr>
        <w:jc w:val="both"/>
      </w:pPr>
      <w:r>
        <w:t xml:space="preserve">Nombre d’attaches : une toutes les </w:t>
      </w:r>
      <w:r>
        <w:rPr>
          <w:rStyle w:val="optioncarChar"/>
        </w:rPr>
        <w:t>1 / 2 </w:t>
      </w:r>
      <w:r>
        <w:t>(par défaut)</w:t>
      </w:r>
      <w:r>
        <w:rPr>
          <w:rStyle w:val="optioncarChar"/>
        </w:rPr>
        <w:t xml:space="preserve"> / 3 / ***</w:t>
      </w:r>
      <w:r>
        <w:t xml:space="preserve"> assises.</w:t>
      </w:r>
    </w:p>
    <w:p w14:paraId="36B58AC0" w14:textId="77777777" w:rsidR="00DF410E" w:rsidRDefault="00CE7F43">
      <w:pPr>
        <w:jc w:val="both"/>
      </w:pPr>
      <w:r>
        <w:t> </w:t>
      </w:r>
    </w:p>
    <w:p w14:paraId="6D98BF7D" w14:textId="77777777" w:rsidR="00DF410E" w:rsidRDefault="00CE7F43">
      <w:pPr>
        <w:jc w:val="both"/>
      </w:pPr>
      <w:r>
        <w:rPr>
          <w:b/>
        </w:rPr>
        <w:t>2.3. Attaches de maintien (aussi appelées pattes de fixation)</w:t>
      </w:r>
    </w:p>
    <w:p w14:paraId="17F71327" w14:textId="77777777" w:rsidR="00DF410E" w:rsidRDefault="00CE7F43">
      <w:pPr>
        <w:jc w:val="both"/>
      </w:pPr>
      <w:r>
        <w:t>Longueur totale de l’attache :</w:t>
      </w:r>
      <w:r>
        <w:rPr>
          <w:rStyle w:val="optioncarChar"/>
        </w:rPr>
        <w:t xml:space="preserve"> ***</w:t>
      </w:r>
      <w:r>
        <w:t>.</w:t>
      </w:r>
    </w:p>
    <w:p w14:paraId="7CA672A4" w14:textId="77777777" w:rsidR="00DF410E" w:rsidRDefault="00CE7F43">
      <w:pPr>
        <w:jc w:val="both"/>
      </w:pPr>
      <w:r>
        <w:t>Extrémité côté paroi 1 : fixation mécanique au moyen d’une cheville à expansion adaptée.</w:t>
      </w:r>
    </w:p>
    <w:p w14:paraId="1888F59E" w14:textId="77777777" w:rsidR="00DF410E" w:rsidRDefault="00CE7F43">
      <w:pPr>
        <w:jc w:val="both"/>
      </w:pPr>
      <w:r>
        <w:t xml:space="preserve">Extrémité côté paroi 2 : 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59436193" w14:textId="77777777" w:rsidR="00DF410E" w:rsidRDefault="00CE7F43">
      <w:pPr>
        <w:jc w:val="both"/>
      </w:pPr>
      <w:r>
        <w:t xml:space="preserve">Charge admissible en cisaillement et déplacement sous charge ([NBN EN 846-7]) : </w:t>
      </w:r>
      <w:r>
        <w:rPr>
          <w:rStyle w:val="optioncarChar"/>
        </w:rPr>
        <w:t>***</w:t>
      </w:r>
      <w:r>
        <w:t>.</w:t>
      </w:r>
    </w:p>
    <w:p w14:paraId="09032091" w14:textId="77777777" w:rsidR="00DF410E" w:rsidRDefault="00CE7F43">
      <w:pPr>
        <w:jc w:val="both"/>
      </w:pPr>
      <w:r>
        <w:t>Nombre d’attaches : une toutes les</w:t>
      </w:r>
      <w:r>
        <w:rPr>
          <w:rStyle w:val="optioncarChar"/>
        </w:rPr>
        <w:t xml:space="preserve"> 1 / 2 </w:t>
      </w:r>
      <w:r>
        <w:t>(par défaut)</w:t>
      </w:r>
      <w:r>
        <w:rPr>
          <w:rStyle w:val="optioncarChar"/>
        </w:rPr>
        <w:t> / 3 / ***</w:t>
      </w:r>
      <w:r>
        <w:t xml:space="preserve"> assises.</w:t>
      </w:r>
    </w:p>
    <w:p w14:paraId="58051E2F" w14:textId="77777777" w:rsidR="00DF410E" w:rsidRDefault="00CE7F43">
      <w:pPr>
        <w:pStyle w:val="pheading"/>
      </w:pPr>
      <w:r>
        <w:t>EXÉCUTION / MISE EN ŒUVRE</w:t>
      </w:r>
    </w:p>
    <w:p w14:paraId="5763E42A" w14:textId="77777777" w:rsidR="00DF410E" w:rsidRDefault="00CE7F43">
      <w:pPr>
        <w:pStyle w:val="pheading"/>
      </w:pPr>
      <w:r>
        <w:t>- Prescriptions générales</w:t>
      </w:r>
    </w:p>
    <w:p w14:paraId="2E34F919" w14:textId="77777777" w:rsidR="00DF410E" w:rsidRDefault="00CE7F43">
      <w:pPr>
        <w:jc w:val="both"/>
      </w:pPr>
      <w:r>
        <w:t xml:space="preserve">Le dimensionnement </w:t>
      </w:r>
      <w:r>
        <w:rPr>
          <w:rStyle w:val="optioncarChar"/>
        </w:rPr>
        <w:t>est / n’est pas</w:t>
      </w:r>
      <w:r>
        <w:t xml:space="preserve"> à charge de l’entrepreneur.</w:t>
      </w:r>
    </w:p>
    <w:p w14:paraId="414505C1" w14:textId="77777777" w:rsidR="00DF410E" w:rsidRDefault="00CE7F43">
      <w:pPr>
        <w:jc w:val="both"/>
      </w:pPr>
      <w:r>
        <w:t>L’entrepreneur soumet le modèle d’attache à la direction de chantier pour approbation. La pose doit respecter les instructions du fabricant.</w:t>
      </w:r>
    </w:p>
    <w:p w14:paraId="0FFA9682" w14:textId="77777777" w:rsidR="00DF410E" w:rsidRDefault="00CE7F43">
      <w:pPr>
        <w:pStyle w:val="pheading"/>
      </w:pPr>
      <w:r>
        <w:t>DOCUMENTS DE RÉFÉRENCE COMPLÉMENTAIRES</w:t>
      </w:r>
    </w:p>
    <w:p w14:paraId="1B6CA117" w14:textId="77777777" w:rsidR="00DF410E" w:rsidRDefault="00CE7F43">
      <w:pPr>
        <w:pStyle w:val="pheading"/>
      </w:pPr>
      <w:r>
        <w:t>- Matériau</w:t>
      </w:r>
    </w:p>
    <w:p w14:paraId="316CBB1C" w14:textId="77777777" w:rsidR="00DF410E" w:rsidRDefault="00CE7F43">
      <w:r>
        <w:t>[NBN EN 846-5, Méthodes d'essai des composants accessoires de maçonnerie - Partie 5: Détermination de la charge admissible à la traction et à la compression, et des caractéristiques effort-déformation des attaches murales]</w:t>
      </w:r>
    </w:p>
    <w:p w14:paraId="3352ED26" w14:textId="77777777" w:rsidR="00DF410E" w:rsidRDefault="00CE7F43">
      <w:r>
        <w:t>[NBN EN 846-6, Méthodes d'essai pour composants accessoires de maçonnerie - Partie 6: Détermination de la résistance de traction et en compression et de la rigidité d'attaches murales (essai d'extrémité simple)]</w:t>
      </w:r>
    </w:p>
    <w:p w14:paraId="0F60ABB1" w14:textId="77777777" w:rsidR="00DF410E" w:rsidRDefault="00CE7F43">
      <w:pPr>
        <w:pStyle w:val="pheading"/>
      </w:pPr>
      <w:r>
        <w:t>- Exécution</w:t>
      </w:r>
    </w:p>
    <w:p w14:paraId="0AA75376" w14:textId="77777777" w:rsidR="00DF410E" w:rsidRDefault="00CE7F43">
      <w:r>
        <w:t>[NBN EN 1996-2, Eurocode 6 - Calcul des ouvrages en maçonnerie - Partie 2: Conception, choix des matériaux et mise en oeuvre des maçonneries (+ AC:2009)]</w:t>
      </w:r>
    </w:p>
    <w:p w14:paraId="50398525" w14:textId="77777777" w:rsidR="00DF410E" w:rsidRDefault="00CE7F43">
      <w:pPr>
        <w:pStyle w:val="pheading"/>
      </w:pPr>
      <w:r>
        <w:t>MESURAGE</w:t>
      </w:r>
    </w:p>
    <w:p w14:paraId="49B5CDE2" w14:textId="77777777" w:rsidR="00DF410E" w:rsidRDefault="00CE7F43">
      <w:pPr>
        <w:pStyle w:val="pheading"/>
      </w:pPr>
      <w:r>
        <w:t>- unité de mesure:</w:t>
      </w:r>
    </w:p>
    <w:p w14:paraId="5EA83117" w14:textId="77777777" w:rsidR="00DF410E" w:rsidRDefault="00CE7F43">
      <w:r>
        <w:t>-</w:t>
      </w:r>
    </w:p>
    <w:p w14:paraId="75701EF6" w14:textId="77777777" w:rsidR="00DF410E" w:rsidRDefault="00CE7F43">
      <w:pPr>
        <w:pStyle w:val="pheading"/>
      </w:pPr>
      <w:r>
        <w:t>- code de mesurage:</w:t>
      </w:r>
    </w:p>
    <w:p w14:paraId="6960BAE0" w14:textId="77777777" w:rsidR="00DF410E" w:rsidRDefault="00CE7F43">
      <w:r>
        <w:t xml:space="preserve">Compris dans le prix de la maçonnerie correspondante dans l’élément </w:t>
      </w:r>
      <w:r>
        <w:rPr>
          <w:rStyle w:val="optioncarChar"/>
        </w:rPr>
        <w:t>***</w:t>
      </w:r>
      <w:r>
        <w:t>.</w:t>
      </w:r>
    </w:p>
    <w:p w14:paraId="3EEE18CA" w14:textId="77777777" w:rsidR="00DF410E" w:rsidRDefault="00CE7F43">
      <w:pPr>
        <w:pStyle w:val="pheading"/>
      </w:pPr>
      <w:r>
        <w:t>- nature du marché:</w:t>
      </w:r>
    </w:p>
    <w:p w14:paraId="4F39C90F" w14:textId="77777777" w:rsidR="00DF410E" w:rsidRDefault="00CE7F43">
      <w:r>
        <w:t>PM</w:t>
      </w:r>
    </w:p>
    <w:p w14:paraId="76E32FD2" w14:textId="77777777" w:rsidR="00DF410E" w:rsidRDefault="00CE7F43">
      <w:pPr>
        <w:pStyle w:val="Author-eSectionHeading6"/>
      </w:pPr>
      <w:bookmarkStart w:id="370" w:name="_Toc178837582"/>
      <w:r>
        <w:t>21.42.1b Crochets, tirants et pattes d'ancrages de maçonneries scellés dans la masse CCTB 01.11</w:t>
      </w:r>
      <w:bookmarkEnd w:id="370"/>
    </w:p>
    <w:p w14:paraId="04AE704C" w14:textId="77777777" w:rsidR="00DF410E" w:rsidRDefault="00CE7F43">
      <w:pPr>
        <w:pStyle w:val="pheading"/>
      </w:pPr>
      <w:bookmarkStart w:id="371" w:name="449"/>
      <w:bookmarkEnd w:id="371"/>
      <w:r>
        <w:t>DESCRIPTION</w:t>
      </w:r>
    </w:p>
    <w:p w14:paraId="3316C164" w14:textId="77777777" w:rsidR="00DF410E" w:rsidRDefault="00CE7F43">
      <w:pPr>
        <w:pStyle w:val="pheading"/>
      </w:pPr>
      <w:r>
        <w:t>- Définition / Comprend</w:t>
      </w:r>
    </w:p>
    <w:p w14:paraId="0B05F27F" w14:textId="77777777" w:rsidR="00DF410E" w:rsidRDefault="00CE7F43">
      <w:pPr>
        <w:jc w:val="both"/>
      </w:pPr>
      <w:r>
        <w:t xml:space="preserve">Il s’agit des travaux (fourniture et pose) de crochets, tirants et pattes d’ancrage de maçonneries scellés dans la masse. La portée des travaux est décrite dans les éléments </w:t>
      </w:r>
      <w:hyperlink w:anchor="363" w:history="1">
        <w:r>
          <w:t>21.42.1 Crochets, tirants et pattes d'ancrages de maçonneries</w:t>
        </w:r>
      </w:hyperlink>
      <w:r>
        <w:t xml:space="preserve">, </w:t>
      </w:r>
      <w:hyperlink w:anchor="293" w:history="1">
        <w:r>
          <w:t>21 Superstructures en maçonnerie</w:t>
        </w:r>
      </w:hyperlink>
      <w:r>
        <w:t xml:space="preserve">, </w:t>
      </w:r>
      <w:hyperlink w:anchor="379" w:history="1">
        <w:r>
          <w:t>21.3 Maçonneries de parement</w:t>
        </w:r>
      </w:hyperlink>
      <w:r>
        <w:t>, …</w:t>
      </w:r>
    </w:p>
    <w:p w14:paraId="7E34AB74" w14:textId="77777777" w:rsidR="00DF410E" w:rsidRDefault="00CE7F43">
      <w:pPr>
        <w:jc w:val="both"/>
      </w:pPr>
      <w:r>
        <w:t>Sont décrites dans cet élément les attaches scellées dans le mortier de maçonnerie à leurs deux extrémités.</w:t>
      </w:r>
    </w:p>
    <w:p w14:paraId="45A27F9F" w14:textId="77777777" w:rsidR="00DF410E" w:rsidRDefault="00CE7F43">
      <w:pPr>
        <w:pStyle w:val="pheading"/>
      </w:pPr>
      <w:r>
        <w:t>- Localisation</w:t>
      </w:r>
    </w:p>
    <w:p w14:paraId="0606C19E" w14:textId="77777777" w:rsidR="00DF410E" w:rsidRDefault="00CE7F43">
      <w:r>
        <w:t xml:space="preserve">Localisation des travaux : </w:t>
      </w:r>
      <w:r>
        <w:rPr>
          <w:rStyle w:val="optioncarChar"/>
        </w:rPr>
        <w:t>***</w:t>
      </w:r>
      <w:r>
        <w:t>.</w:t>
      </w:r>
    </w:p>
    <w:p w14:paraId="4C3E8F7B" w14:textId="77777777" w:rsidR="00DF410E" w:rsidRDefault="00CE7F43">
      <w:r>
        <w:t>Voir plans et métrés détaillés.</w:t>
      </w:r>
    </w:p>
    <w:p w14:paraId="17134DA8" w14:textId="77777777" w:rsidR="00DF410E" w:rsidRDefault="00CE7F43">
      <w:pPr>
        <w:pStyle w:val="pheading"/>
      </w:pPr>
      <w:r>
        <w:t>MATÉRIAUX</w:t>
      </w:r>
    </w:p>
    <w:p w14:paraId="5A96F60E" w14:textId="77777777" w:rsidR="00DF410E" w:rsidRDefault="00CE7F43">
      <w:pPr>
        <w:pStyle w:val="pheading"/>
      </w:pPr>
      <w:r>
        <w:t>- Caractéristiques générales</w:t>
      </w:r>
    </w:p>
    <w:p w14:paraId="6C6A509F" w14:textId="77777777" w:rsidR="00DF410E" w:rsidRDefault="00CE7F43">
      <w:r>
        <w:rPr>
          <w:b/>
        </w:rPr>
        <w:t>1. Maçonneries à liaisonner</w:t>
      </w:r>
    </w:p>
    <w:p w14:paraId="45A3E649" w14:textId="77777777" w:rsidR="00DF410E" w:rsidRDefault="00CE7F43">
      <w:r>
        <w:t xml:space="preserve">La maçonnerie dans laquelle l’attache est scellée est constituée de : </w:t>
      </w:r>
      <w:r>
        <w:br/>
        <w:t xml:space="preserve"> éléments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r>
        <w:br/>
        <w:t xml:space="preserve"> Mortier : classe</w:t>
      </w:r>
      <w:r>
        <w:rPr>
          <w:rStyle w:val="optioncarChar"/>
        </w:rPr>
        <w:t xml:space="preserve"> M5 / M10 / M15 / M20 / ***</w:t>
      </w:r>
      <w:r>
        <w:t>.</w:t>
      </w:r>
    </w:p>
    <w:p w14:paraId="3BC6688B" w14:textId="77777777" w:rsidR="00DF410E" w:rsidRDefault="00CE7F43">
      <w:r>
        <w:t>La maçonnerie à liaisonner est / n’est pas de même constitution.</w:t>
      </w:r>
    </w:p>
    <w:p w14:paraId="45A57729" w14:textId="77777777" w:rsidR="00DF410E" w:rsidRDefault="00CE7F43">
      <w:r>
        <w:t>En cas de constitution différente, le mur est constitué de :</w:t>
      </w:r>
      <w:r>
        <w:b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r>
        <w:br/>
        <w:t xml:space="preserve"> Mortier : classe</w:t>
      </w:r>
      <w:r>
        <w:rPr>
          <w:rStyle w:val="optioncarChar"/>
        </w:rPr>
        <w:t xml:space="preserve"> M5 / M10 / M15 / M20 / ***</w:t>
      </w:r>
      <w:r>
        <w:t>.</w:t>
      </w:r>
    </w:p>
    <w:p w14:paraId="77D9317D" w14:textId="77777777" w:rsidR="00DF410E" w:rsidRDefault="00CE7F43">
      <w:r>
        <w:t> </w:t>
      </w:r>
    </w:p>
    <w:p w14:paraId="624C8131" w14:textId="77777777" w:rsidR="00DF410E" w:rsidRDefault="00CE7F43">
      <w:r>
        <w:rPr>
          <w:b/>
        </w:rPr>
        <w:t>2. Attaches murales</w:t>
      </w:r>
    </w:p>
    <w:p w14:paraId="2C052D83" w14:textId="77777777" w:rsidR="00DF410E" w:rsidRDefault="00CE7F43">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14:paraId="5DAFC5F7" w14:textId="77777777" w:rsidR="00DF410E" w:rsidRDefault="00CE7F43">
      <w:r>
        <w:t xml:space="preserve">Le n° de référence du matériau est (voir chapitre </w:t>
      </w:r>
      <w:hyperlink w:anchor="363" w:history="1">
        <w:r>
          <w:t>21.42.1 Crochets, tirants et pattes d'ancrages de maçonneries</w:t>
        </w:r>
      </w:hyperlink>
      <w:r>
        <w:t xml:space="preserve">):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3B4A8A98" w14:textId="77777777" w:rsidR="00DF410E" w:rsidRDefault="00CE7F43">
      <w:r>
        <w:t xml:space="preserve">Les attaches murales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14:paraId="35B3B858" w14:textId="77777777" w:rsidR="00DF410E" w:rsidRDefault="00CE7F43">
      <w:r>
        <w:t>En cas de maçonnerie à joints minces, les extrémités ancrées sont aplaties.</w:t>
      </w:r>
    </w:p>
    <w:p w14:paraId="4AB3DA9D" w14:textId="77777777" w:rsidR="00DF410E" w:rsidRDefault="00DF410E"/>
    <w:p w14:paraId="70D6A049" w14:textId="77777777" w:rsidR="00DF410E" w:rsidRDefault="00CE7F43">
      <w:r>
        <w:rPr>
          <w:b/>
        </w:rPr>
        <w:t>2.1. Attaches pour murs doubles (aussi appelées crochets ou tirants)</w:t>
      </w:r>
    </w:p>
    <w:p w14:paraId="74CFF5E5" w14:textId="77777777" w:rsidR="00DF410E" w:rsidRDefault="00CE7F43">
      <w:r>
        <w:t xml:space="preserve">Largeur du creux (cavité = distance entre les deux maçonneries) : </w:t>
      </w:r>
      <w:r>
        <w:rPr>
          <w:rStyle w:val="optioncarChar"/>
        </w:rPr>
        <w:t>***</w:t>
      </w:r>
      <w:r>
        <w:t>.</w:t>
      </w:r>
      <w:r>
        <w:br/>
        <w:t>Epaisseur des deux parois ; paroi 1 :</w:t>
      </w:r>
      <w:r>
        <w:rPr>
          <w:rStyle w:val="optioncarChar"/>
        </w:rPr>
        <w:t xml:space="preserve"> ***</w:t>
      </w:r>
      <w:r>
        <w:t xml:space="preserve">, paroi 2 : </w:t>
      </w:r>
      <w:r>
        <w:rPr>
          <w:rStyle w:val="optioncarChar"/>
        </w:rPr>
        <w:t>***.</w:t>
      </w:r>
      <w:r>
        <w:br/>
        <w:t xml:space="preserve">Longueur totale de l’attache : </w:t>
      </w:r>
      <w:r>
        <w:rPr>
          <w:rStyle w:val="optioncarChar"/>
        </w:rPr>
        <w:t>***</w:t>
      </w:r>
      <w:r>
        <w:t>.</w:t>
      </w:r>
      <w:r>
        <w:br/>
        <w:t xml:space="preserve">L’attache est pourvue d’un rejet d’eau sous la forme : </w:t>
      </w:r>
      <w:r>
        <w:rPr>
          <w:rStyle w:val="optioncarChar"/>
        </w:rPr>
        <w:t xml:space="preserve">d’une section centrale profilée (avec larmier) de l’attache / d’un collier d’étanchéité </w:t>
      </w:r>
      <w:r>
        <w:t xml:space="preserve">(par défaut) </w:t>
      </w:r>
      <w:r>
        <w:rPr>
          <w:rStyle w:val="optioncarChar"/>
        </w:rPr>
        <w:t>/ de l’inclinaison descendante de l’attache de la paroi intérieure vers la paroi extérieure</w:t>
      </w:r>
      <w:r>
        <w:t>.</w:t>
      </w:r>
      <w:r>
        <w:br/>
        <w:t xml:space="preserve">Modèle d’attache </w:t>
      </w:r>
      <w:r>
        <w:rPr>
          <w:rStyle w:val="optioncarChar"/>
        </w:rPr>
        <w:t>avec / sans</w:t>
      </w:r>
      <w:r>
        <w:t xml:space="preserve"> coupure acoustique.</w:t>
      </w:r>
      <w:r>
        <w:br/>
        <w:t xml:space="preserve">Modèle d’attache </w:t>
      </w:r>
      <w:r>
        <w:rPr>
          <w:rStyle w:val="optioncarChar"/>
        </w:rPr>
        <w:t>avec / sans</w:t>
      </w:r>
      <w:r>
        <w:t xml:space="preserve"> coupure thermique.</w:t>
      </w:r>
      <w:r>
        <w:br/>
        <w:t xml:space="preserve">Plage de mouvement maximale admissible des attaches mobiles : </w:t>
      </w:r>
      <w:r>
        <w:rPr>
          <w:rStyle w:val="optioncarChar"/>
        </w:rPr>
        <w:t>***</w:t>
      </w:r>
      <w:r>
        <w:t>.</w:t>
      </w:r>
      <w:r>
        <w:br/>
        <w:t xml:space="preserve">Inclinaisons maximale et minimale admissibles des attaches inclinables : </w:t>
      </w:r>
      <w:r>
        <w:rPr>
          <w:rStyle w:val="optioncarChar"/>
        </w:rPr>
        <w:t>***</w:t>
      </w:r>
      <w:r>
        <w:t>.</w:t>
      </w:r>
      <w:r>
        <w:br/>
        <w:t xml:space="preserve">Côté paroi intérieure (mur porteur)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Côté paroi extérieure ; 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r>
        <w:br/>
        <w:t xml:space="preserve">Charge admissible en traction et déplacement sous charge ([NBN EN 846-5]) : </w:t>
      </w:r>
      <w:r>
        <w:rPr>
          <w:rStyle w:val="optioncarChar"/>
        </w:rPr>
        <w:t>***</w:t>
      </w:r>
      <w:r>
        <w:t>.</w:t>
      </w:r>
      <w:r>
        <w:br/>
        <w:t xml:space="preserve">Charge admissible en compression et déplacement sous charge ([NBN EN 846-5]): </w:t>
      </w:r>
      <w:r>
        <w:rPr>
          <w:rStyle w:val="optioncarChar"/>
        </w:rPr>
        <w:t>***</w:t>
      </w:r>
      <w:r>
        <w:t>.</w:t>
      </w:r>
      <w:r>
        <w:br/>
        <w:t>Le nombre de fixation est minimum :</w:t>
      </w:r>
      <w:r>
        <w:rPr>
          <w:rStyle w:val="optioncarChar"/>
        </w:rPr>
        <w:t xml:space="preserve"> 5 </w:t>
      </w:r>
      <w:r>
        <w:t xml:space="preserve">(par défaut) </w:t>
      </w:r>
      <w:r>
        <w:rPr>
          <w:rStyle w:val="optioncarChar"/>
        </w:rPr>
        <w:t>/ 6 / 7 / ***</w:t>
      </w:r>
      <w:r>
        <w:t xml:space="preserve"> par m².</w:t>
      </w:r>
    </w:p>
    <w:p w14:paraId="69194940" w14:textId="77777777" w:rsidR="00DF410E" w:rsidRDefault="00CE7F43">
      <w:r>
        <w:t> </w:t>
      </w:r>
    </w:p>
    <w:p w14:paraId="0A1C0E38" w14:textId="77777777" w:rsidR="00DF410E" w:rsidRDefault="00CE7F43">
      <w:r>
        <w:rPr>
          <w:b/>
        </w:rPr>
        <w:t>2.2. Attaches de cisaillement (aussi appelées pattes de fixation)</w:t>
      </w:r>
    </w:p>
    <w:p w14:paraId="715A3862" w14:textId="77777777" w:rsidR="00DF410E" w:rsidRDefault="00CE7F43">
      <w:r>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r>
        <w:br/>
        <w:t xml:space="preserve">Charge admissible en traction et déplacement sous charge ([NBN EN 846-5]) : </w:t>
      </w:r>
      <w:r>
        <w:rPr>
          <w:rStyle w:val="optioncarChar"/>
        </w:rPr>
        <w:t>***</w:t>
      </w:r>
      <w:r>
        <w:t>.</w:t>
      </w:r>
      <w:r>
        <w:br/>
        <w:t>Charge admissible en compression et déplacement sous charge ([NBN EN 846-5]):</w:t>
      </w:r>
      <w:r>
        <w:rPr>
          <w:rStyle w:val="optioncarChar"/>
        </w:rPr>
        <w:t xml:space="preserve"> ***</w:t>
      </w:r>
      <w:r>
        <w:t>.</w:t>
      </w:r>
      <w:r>
        <w:br/>
        <w:t xml:space="preserve">Charge admissible en cisaillement et déplacement sous charge ([NBN EN 846-7]) : </w:t>
      </w:r>
      <w:r>
        <w:rPr>
          <w:rStyle w:val="optioncarChar"/>
        </w:rPr>
        <w:t>***</w:t>
      </w:r>
      <w:r>
        <w:t>.</w:t>
      </w:r>
      <w:r>
        <w:br/>
        <w:t xml:space="preserve">Nombre d’attaches : une toutes les </w:t>
      </w:r>
      <w:r>
        <w:rPr>
          <w:rStyle w:val="optioncarChar"/>
        </w:rPr>
        <w:t>1 / 2 </w:t>
      </w:r>
      <w:r>
        <w:t>(par défaut)</w:t>
      </w:r>
      <w:r>
        <w:rPr>
          <w:rStyle w:val="optioncarChar"/>
        </w:rPr>
        <w:t xml:space="preserve"> / 3 / ***</w:t>
      </w:r>
      <w:r>
        <w:t xml:space="preserve"> assises.</w:t>
      </w:r>
    </w:p>
    <w:p w14:paraId="2D31F0BA" w14:textId="77777777" w:rsidR="00DF410E" w:rsidRDefault="00CE7F43">
      <w:r>
        <w:t> </w:t>
      </w:r>
    </w:p>
    <w:p w14:paraId="6FECE36A" w14:textId="77777777" w:rsidR="00DF410E" w:rsidRDefault="00CE7F43">
      <w:r>
        <w:rPr>
          <w:b/>
        </w:rPr>
        <w:t>2.3. Attaches de maintien (aussi appelées pattes de fixation)</w:t>
      </w:r>
    </w:p>
    <w:p w14:paraId="6DDD3D29" w14:textId="77777777" w:rsidR="00DF410E" w:rsidRDefault="00CE7F43">
      <w:r>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Charge admissible en cisaillement et déplacement sous charge ([NBN EN 846-7]) : </w:t>
      </w:r>
      <w:r>
        <w:rPr>
          <w:rStyle w:val="optioncarChar"/>
        </w:rPr>
        <w:t>***</w:t>
      </w:r>
      <w:r>
        <w:t>.</w:t>
      </w:r>
      <w:r>
        <w:br/>
        <w:t>Nombre d’attaches : une toutes les</w:t>
      </w:r>
      <w:r>
        <w:rPr>
          <w:rStyle w:val="optioncarChar"/>
        </w:rPr>
        <w:t xml:space="preserve"> 1 / 2</w:t>
      </w:r>
      <w:r>
        <w:t xml:space="preserve"> (par défaut)</w:t>
      </w:r>
      <w:r>
        <w:rPr>
          <w:rStyle w:val="optioncarChar"/>
        </w:rPr>
        <w:t> / 3 / ***</w:t>
      </w:r>
      <w:r>
        <w:t xml:space="preserve"> assises.</w:t>
      </w:r>
    </w:p>
    <w:p w14:paraId="5B803E36" w14:textId="77777777" w:rsidR="00DF410E" w:rsidRDefault="00CE7F43">
      <w:pPr>
        <w:pStyle w:val="pheading"/>
      </w:pPr>
      <w:r>
        <w:t>EXÉCUTION / MISE EN ŒUVRE</w:t>
      </w:r>
    </w:p>
    <w:p w14:paraId="61DF823F" w14:textId="77777777" w:rsidR="00DF410E" w:rsidRDefault="00CE7F43">
      <w:pPr>
        <w:pStyle w:val="pheading"/>
      </w:pPr>
      <w:r>
        <w:t>- Prescriptions générales</w:t>
      </w:r>
    </w:p>
    <w:p w14:paraId="5694828D" w14:textId="77777777" w:rsidR="00DF410E" w:rsidRDefault="00CE7F43">
      <w:pPr>
        <w:jc w:val="both"/>
      </w:pPr>
      <w:r>
        <w:t>Le dimensionnement</w:t>
      </w:r>
      <w:r>
        <w:rPr>
          <w:rStyle w:val="optioncarChar"/>
        </w:rPr>
        <w:t xml:space="preserve"> est / n’est</w:t>
      </w:r>
      <w:r>
        <w:t xml:space="preserve"> pas à charge de l’entrepreneur.</w:t>
      </w:r>
    </w:p>
    <w:p w14:paraId="1A6148FF" w14:textId="77777777" w:rsidR="00DF410E" w:rsidRDefault="00CE7F43">
      <w:pPr>
        <w:jc w:val="both"/>
      </w:pPr>
      <w:r>
        <w:t>L’entrepreneur soumet le modèle d’attache à la direction de chantier pour approbation. La pose doit respecter les instructions du fabricant.</w:t>
      </w:r>
    </w:p>
    <w:p w14:paraId="213A1616" w14:textId="77777777" w:rsidR="00DF410E" w:rsidRDefault="00CE7F43">
      <w:r>
        <w:t> </w:t>
      </w:r>
    </w:p>
    <w:p w14:paraId="4C6E0D5A" w14:textId="77777777" w:rsidR="00DF410E" w:rsidRDefault="00CE7F43">
      <w:pPr>
        <w:pStyle w:val="pheading"/>
      </w:pPr>
      <w:r>
        <w:t>DOCUMENTS DE RÉFÉRENCE COMPLÉMENTAIRES</w:t>
      </w:r>
    </w:p>
    <w:p w14:paraId="35031AD9" w14:textId="77777777" w:rsidR="00DF410E" w:rsidRDefault="00CE7F43">
      <w:pPr>
        <w:pStyle w:val="pheading"/>
      </w:pPr>
      <w:r>
        <w:t>- Matériau</w:t>
      </w:r>
    </w:p>
    <w:p w14:paraId="5329D8EA" w14:textId="77777777" w:rsidR="00DF410E" w:rsidRDefault="00CE7F43">
      <w:r>
        <w:t>[NBN EN 846-5, Méthodes d'essai des composants accessoires de maçonnerie - Partie 5: Détermination de la charge admissible à la traction et à la compression, et des caractéristiques effort-déformation des attaches murales]</w:t>
      </w:r>
    </w:p>
    <w:p w14:paraId="077359EF" w14:textId="77777777" w:rsidR="00DF410E" w:rsidRDefault="00CE7F43">
      <w:r>
        <w:t>[NBN EN 846-7, Méthodes d'essai des composants accessoires de maçonnerie - Partie 7: Détermination de la charge admissible au cisaillement et des caractéristiques effort-déformation des attaches résistant au cisaillement et des attaches de glissement (essai dans un joint de mortier entre deux éléments)]</w:t>
      </w:r>
    </w:p>
    <w:p w14:paraId="6F4DDFE4" w14:textId="77777777" w:rsidR="00DF410E" w:rsidRDefault="00CE7F43">
      <w:pPr>
        <w:pStyle w:val="pheading"/>
      </w:pPr>
      <w:r>
        <w:t>- Exécution</w:t>
      </w:r>
    </w:p>
    <w:p w14:paraId="19932544" w14:textId="77777777" w:rsidR="00DF410E" w:rsidRDefault="00CE7F43">
      <w:r>
        <w:t>[NBN EN 1996-2, Eurocode 6 - Calcul des ouvrages en maçonnerie - Partie 2: Conception, choix des matériaux et mise en oeuvre des maçonneries (+ AC:2009)]</w:t>
      </w:r>
    </w:p>
    <w:p w14:paraId="3D0969DC" w14:textId="77777777" w:rsidR="00DF410E" w:rsidRDefault="00CE7F43">
      <w:pPr>
        <w:pStyle w:val="pheading"/>
      </w:pPr>
      <w:r>
        <w:t>MESURAGE</w:t>
      </w:r>
    </w:p>
    <w:p w14:paraId="2D2EF3B1" w14:textId="77777777" w:rsidR="00DF410E" w:rsidRDefault="00CE7F43">
      <w:pPr>
        <w:pStyle w:val="pheading"/>
      </w:pPr>
      <w:r>
        <w:t>- unité de mesure:</w:t>
      </w:r>
    </w:p>
    <w:p w14:paraId="7D478DD0" w14:textId="77777777" w:rsidR="00DF410E" w:rsidRDefault="00CE7F43">
      <w:r>
        <w:t>-</w:t>
      </w:r>
    </w:p>
    <w:p w14:paraId="3D184D76" w14:textId="77777777" w:rsidR="00DF410E" w:rsidRDefault="00CE7F43">
      <w:pPr>
        <w:pStyle w:val="pheading"/>
      </w:pPr>
      <w:r>
        <w:t>- code de mesurage:</w:t>
      </w:r>
    </w:p>
    <w:p w14:paraId="68608D18" w14:textId="77777777" w:rsidR="00DF410E" w:rsidRDefault="00CE7F43">
      <w:r>
        <w:t xml:space="preserve">Compris dans le prix de la maçonnerie correspondante dans l’élément </w:t>
      </w:r>
      <w:r>
        <w:rPr>
          <w:rStyle w:val="optioncarChar"/>
        </w:rPr>
        <w:t>***</w:t>
      </w:r>
      <w:r>
        <w:t>.</w:t>
      </w:r>
    </w:p>
    <w:p w14:paraId="5B11BAC4" w14:textId="77777777" w:rsidR="00DF410E" w:rsidRDefault="00CE7F43">
      <w:pPr>
        <w:pStyle w:val="pheading"/>
      </w:pPr>
      <w:r>
        <w:t>- nature du marché:</w:t>
      </w:r>
    </w:p>
    <w:p w14:paraId="5236E45E" w14:textId="77777777" w:rsidR="00DF410E" w:rsidRDefault="00CE7F43">
      <w:r>
        <w:t>PM</w:t>
      </w:r>
    </w:p>
    <w:p w14:paraId="1EE3CAF5" w14:textId="77777777" w:rsidR="00DF410E" w:rsidRDefault="00CE7F43">
      <w:pPr>
        <w:pStyle w:val="Author-eSectionHeading6"/>
      </w:pPr>
      <w:bookmarkStart w:id="372" w:name="_Toc178837583"/>
      <w:r>
        <w:t>21.42.1c Crochets, tirants et pattes d'ancrages de maçonneries scellés chimiquement CCTB 01.11</w:t>
      </w:r>
      <w:bookmarkEnd w:id="372"/>
    </w:p>
    <w:p w14:paraId="23EDE68F" w14:textId="77777777" w:rsidR="00DF410E" w:rsidRDefault="00CE7F43">
      <w:pPr>
        <w:pStyle w:val="pheading"/>
      </w:pPr>
      <w:bookmarkStart w:id="373" w:name="450"/>
      <w:bookmarkEnd w:id="373"/>
      <w:r>
        <w:t>DESCRIPTION</w:t>
      </w:r>
    </w:p>
    <w:p w14:paraId="78B2AF59" w14:textId="77777777" w:rsidR="00DF410E" w:rsidRDefault="00CE7F43">
      <w:pPr>
        <w:pStyle w:val="pheading"/>
      </w:pPr>
      <w:r>
        <w:t>- Définition / Comprend</w:t>
      </w:r>
    </w:p>
    <w:p w14:paraId="79FDDA65" w14:textId="77777777" w:rsidR="00DF410E" w:rsidRDefault="00CE7F43">
      <w:pPr>
        <w:jc w:val="both"/>
      </w:pPr>
      <w:r>
        <w:t xml:space="preserve">Il s’agit des travaux (fourniture et pose) de crochets, tirants et pattes d’ancrage de maçonneries scellés chimiquement. La portée des travaux est décrite dans les éléments </w:t>
      </w:r>
      <w:hyperlink w:anchor="363" w:history="1">
        <w:r>
          <w:t>21.42.1 Crochets, tirants et pattes d'ancrages de maçonneries</w:t>
        </w:r>
      </w:hyperlink>
      <w:r>
        <w:t xml:space="preserve">, </w:t>
      </w:r>
      <w:hyperlink w:anchor="293" w:history="1">
        <w:r>
          <w:t>21 Superstructures en maçonnerie</w:t>
        </w:r>
      </w:hyperlink>
      <w:r>
        <w:t xml:space="preserve">, </w:t>
      </w:r>
      <w:hyperlink w:anchor="379" w:history="1">
        <w:r>
          <w:t>21.3 Maçonneries de parement</w:t>
        </w:r>
      </w:hyperlink>
      <w:r>
        <w:t>, …</w:t>
      </w:r>
    </w:p>
    <w:p w14:paraId="1AB058A5" w14:textId="77777777" w:rsidR="00DF410E" w:rsidRDefault="00CE7F43">
      <w:pPr>
        <w:jc w:val="both"/>
      </w:pPr>
      <w:r>
        <w:t>Sont décrites dans cet élément les attaches fixées à une extrémité par scellement chimique, l’autre extrémité étant fixée soit par scellement dans le mortier de maçonnerie soit mécaniquement.</w:t>
      </w:r>
    </w:p>
    <w:p w14:paraId="7A456078" w14:textId="77777777" w:rsidR="00DF410E" w:rsidRDefault="00CE7F43">
      <w:pPr>
        <w:pStyle w:val="pheading"/>
      </w:pPr>
      <w:r>
        <w:t>- Localisation</w:t>
      </w:r>
    </w:p>
    <w:p w14:paraId="5292D414" w14:textId="77777777" w:rsidR="00DF410E" w:rsidRDefault="00CE7F43">
      <w:r>
        <w:t xml:space="preserve">Localisation des travaux : </w:t>
      </w:r>
      <w:r>
        <w:rPr>
          <w:rStyle w:val="optioncarChar"/>
        </w:rPr>
        <w:t>***</w:t>
      </w:r>
      <w:r>
        <w:t>.</w:t>
      </w:r>
    </w:p>
    <w:p w14:paraId="65DEE01A" w14:textId="77777777" w:rsidR="00DF410E" w:rsidRDefault="00CE7F43">
      <w:r>
        <w:t>Voir plans et métrés détaillés.</w:t>
      </w:r>
    </w:p>
    <w:p w14:paraId="3248214F" w14:textId="77777777" w:rsidR="00DF410E" w:rsidRDefault="00CE7F43">
      <w:pPr>
        <w:pStyle w:val="pheading"/>
      </w:pPr>
      <w:r>
        <w:t>MATÉRIAUX</w:t>
      </w:r>
    </w:p>
    <w:p w14:paraId="1432A1B4" w14:textId="77777777" w:rsidR="00DF410E" w:rsidRDefault="00CE7F43">
      <w:pPr>
        <w:pStyle w:val="pheading"/>
      </w:pPr>
      <w:r>
        <w:t>- Caractéristiques générales</w:t>
      </w:r>
    </w:p>
    <w:p w14:paraId="75722D3C" w14:textId="77777777" w:rsidR="00DF410E" w:rsidRDefault="00CE7F43">
      <w:pPr>
        <w:jc w:val="both"/>
      </w:pPr>
      <w:r>
        <w:rPr>
          <w:b/>
        </w:rPr>
        <w:t>1. Maçonneries existantes et/ou projetées – à liaisonner.</w:t>
      </w:r>
    </w:p>
    <w:p w14:paraId="383E5580" w14:textId="77777777" w:rsidR="00DF410E" w:rsidRDefault="00CE7F43">
      <w:pPr>
        <w:jc w:val="both"/>
      </w:pPr>
      <w:r>
        <w:t xml:space="preserve">La maçonnerie dans laquelle l’injection doit être réalisée est constituée de : </w:t>
      </w:r>
    </w:p>
    <w:p w14:paraId="4A62EF55" w14:textId="77777777" w:rsidR="00DF410E" w:rsidRDefault="00CE7F43">
      <w:pPr>
        <w:jc w:val="both"/>
      </w:pPr>
      <w:r>
        <w:t xml:space="preserve"> Eléments de maçonnerie : </w:t>
      </w:r>
      <w:r>
        <w:rPr>
          <w:rStyle w:val="optioncarChar"/>
        </w:rPr>
        <w:t>terre cuite / silico-calcaire / béton de granulat / béton cellulaire / pierre naturelle</w:t>
      </w:r>
      <w:r>
        <w:t xml:space="preserve"> appartenant au groupe</w:t>
      </w:r>
      <w:r>
        <w:rPr>
          <w:rStyle w:val="optioncarChar"/>
        </w:rPr>
        <w:t xml:space="preserve"> 1 / 2 / 3 / 4</w:t>
      </w:r>
      <w:r>
        <w:t>.</w:t>
      </w:r>
    </w:p>
    <w:p w14:paraId="508475EE" w14:textId="77777777" w:rsidR="00DF410E" w:rsidRDefault="00CE7F43">
      <w:pPr>
        <w:jc w:val="both"/>
      </w:pPr>
      <w:r>
        <w:t xml:space="preserve"> Mortier : classe </w:t>
      </w:r>
      <w:r>
        <w:rPr>
          <w:rStyle w:val="optioncarChar"/>
        </w:rPr>
        <w:t>M5 / M10 / M15 / M20 / ***</w:t>
      </w:r>
      <w:r>
        <w:t>.</w:t>
      </w:r>
    </w:p>
    <w:p w14:paraId="04AD1470" w14:textId="77777777" w:rsidR="00DF410E" w:rsidRDefault="00CE7F43">
      <w:pPr>
        <w:jc w:val="both"/>
      </w:pPr>
      <w:r>
        <w:t xml:space="preserve">La maçonnerie à liaisonner </w:t>
      </w:r>
      <w:r>
        <w:rPr>
          <w:rStyle w:val="optioncarChar"/>
        </w:rPr>
        <w:t>est / n’est pas</w:t>
      </w:r>
      <w:r>
        <w:t xml:space="preserve"> de même constitution.</w:t>
      </w:r>
    </w:p>
    <w:p w14:paraId="7EF5D284" w14:textId="77777777" w:rsidR="00DF410E" w:rsidRDefault="00CE7F43">
      <w:pPr>
        <w:jc w:val="both"/>
      </w:pPr>
      <w:r>
        <w:t>En cas de constitution différente, le mur est constitué de :</w:t>
      </w:r>
    </w:p>
    <w:p w14:paraId="379A1D3F" w14:textId="77777777" w:rsidR="00DF410E" w:rsidRDefault="00CE7F43">
      <w:pPr>
        <w:jc w:val="both"/>
      </w:pPr>
      <w: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p>
    <w:p w14:paraId="2E60C724" w14:textId="77777777" w:rsidR="00DF410E" w:rsidRDefault="00CE7F43">
      <w:pPr>
        <w:jc w:val="both"/>
      </w:pPr>
      <w:r>
        <w:t xml:space="preserve"> Mortier : classe </w:t>
      </w:r>
      <w:r>
        <w:rPr>
          <w:rStyle w:val="optioncarChar"/>
        </w:rPr>
        <w:t>M5 / M10 / M15 / M20 / ***</w:t>
      </w:r>
      <w:r>
        <w:t>.</w:t>
      </w:r>
    </w:p>
    <w:p w14:paraId="51C46DF8" w14:textId="77777777" w:rsidR="00DF410E" w:rsidRDefault="00CE7F43">
      <w:pPr>
        <w:jc w:val="both"/>
      </w:pPr>
      <w:r>
        <w:t> </w:t>
      </w:r>
    </w:p>
    <w:p w14:paraId="77BB9E47" w14:textId="77777777" w:rsidR="00DF410E" w:rsidRDefault="00CE7F43">
      <w:pPr>
        <w:jc w:val="both"/>
      </w:pPr>
      <w:r>
        <w:rPr>
          <w:b/>
        </w:rPr>
        <w:t>2. Ancrage et scellement chimique</w:t>
      </w:r>
    </w:p>
    <w:p w14:paraId="73B40C2A" w14:textId="77777777" w:rsidR="00DF410E" w:rsidRDefault="00CE7F43">
      <w:pPr>
        <w:jc w:val="both"/>
      </w:pPr>
      <w:r>
        <w:t>L’ancrage et le scellement chimique répondent aux spécifications de l’[ETAG 029] ou de l’[EAD 330076-00-0604]. L’ancrage métallique est constitué de :</w:t>
      </w:r>
      <w:r>
        <w:rPr>
          <w:rStyle w:val="optioncarChar"/>
        </w:rPr>
        <w:t xml:space="preserve"> acier au carbone / acier inoxydable / fonte malléable.</w:t>
      </w:r>
      <w:r>
        <w:t xml:space="preserve"> Le scellement chimique est un mortier à base de : </w:t>
      </w:r>
      <w:r>
        <w:rPr>
          <w:rStyle w:val="optioncarChar"/>
        </w:rPr>
        <w:t>ciment </w:t>
      </w:r>
      <w:r>
        <w:t>(par défaut)</w:t>
      </w:r>
      <w:r>
        <w:rPr>
          <w:rStyle w:val="optioncarChar"/>
        </w:rPr>
        <w:t xml:space="preserve"> / époxy pur / époxy-acrylate / polyester / uréthane méthacrylate / ***</w:t>
      </w:r>
      <w:r>
        <w:t>. Le kit est complété d’une cheville tamis en métal ou en plastique en cas de maçonnerie creuse (avec trous ou vides).</w:t>
      </w:r>
    </w:p>
    <w:p w14:paraId="5D43A98F" w14:textId="77777777" w:rsidR="00DF410E" w:rsidRDefault="00CE7F43">
      <w:pPr>
        <w:jc w:val="both"/>
      </w:pPr>
      <w:r>
        <w:t xml:space="preserve"> La catégorie d’usage du kit relative au substrat est : </w:t>
      </w:r>
      <w:r>
        <w:rPr>
          <w:rStyle w:val="optioncarChar"/>
        </w:rPr>
        <w:t>b (maçonnerie pleine) / c (maçonnerie creuse) / d (maçonnerie en béton cellulaire autoclavé)</w:t>
      </w:r>
      <w:r>
        <w:t>.</w:t>
      </w:r>
    </w:p>
    <w:p w14:paraId="07CCA7FF" w14:textId="77777777" w:rsidR="00DF410E" w:rsidRDefault="00CE7F43">
      <w:pPr>
        <w:jc w:val="both"/>
      </w:pPr>
      <w:r>
        <w:t xml:space="preserve"> La catégorie d’usage du kit relative à l’installation et à l’usage est : </w:t>
      </w:r>
      <w:r>
        <w:rPr>
          <w:rStyle w:val="optioncarChar"/>
        </w:rPr>
        <w:t>d/d (installation et usage dans des structures soumises à des conditions intérieures sèches) / w/d (installation dans des substrats secs ou humides et usage dans des structures soumises à des conditions intérieures sèches) / w/w (installation et usage dans des structures soumises à des conditions sèches ou humides)</w:t>
      </w:r>
      <w:r>
        <w:t>.</w:t>
      </w:r>
    </w:p>
    <w:p w14:paraId="51559B55" w14:textId="77777777" w:rsidR="00DF410E" w:rsidRDefault="00CE7F43">
      <w:pPr>
        <w:jc w:val="both"/>
      </w:pPr>
      <w:r>
        <w:t xml:space="preserve"> La catégorie d’usage du kit relative à la plage de température de service est :</w:t>
      </w:r>
      <w:r>
        <w:rPr>
          <w:rStyle w:val="optioncarChar"/>
        </w:rPr>
        <w:t xml:space="preserve"> (Ta) (de -40°C à 40°C) / (Tb) (de -40°C à +80°C) / (Tc) (de -40°C à T1 &gt; 40°C)</w:t>
      </w:r>
      <w:r>
        <w:t>.</w:t>
      </w:r>
    </w:p>
    <w:p w14:paraId="5C34E079" w14:textId="77777777" w:rsidR="00DF410E" w:rsidRDefault="00CE7F43">
      <w:pPr>
        <w:jc w:val="both"/>
      </w:pPr>
      <w:r>
        <w:t xml:space="preserve"> Performances selon l’[ETAG 029] ou l’[EAD 330076-00-0604] : </w:t>
      </w:r>
      <w:r>
        <w:rPr>
          <w:rStyle w:val="optioncarChar"/>
        </w:rPr>
        <w:t>***</w:t>
      </w:r>
      <w:r>
        <w:t>.</w:t>
      </w:r>
    </w:p>
    <w:p w14:paraId="73945E91" w14:textId="77777777" w:rsidR="00DF410E" w:rsidRDefault="00CE7F43">
      <w:pPr>
        <w:jc w:val="both"/>
      </w:pPr>
      <w:r>
        <w:t> </w:t>
      </w:r>
    </w:p>
    <w:p w14:paraId="1DFCCE00" w14:textId="77777777" w:rsidR="00DF410E" w:rsidRDefault="00CE7F43">
      <w:pPr>
        <w:jc w:val="both"/>
      </w:pPr>
      <w:r>
        <w:rPr>
          <w:b/>
        </w:rPr>
        <w:t>3. Attaches de maçonnerie</w:t>
      </w:r>
    </w:p>
    <w:p w14:paraId="06778A14" w14:textId="77777777" w:rsidR="00DF410E" w:rsidRDefault="00CE7F43">
      <w:pPr>
        <w:jc w:val="both"/>
      </w:pPr>
      <w:r>
        <w:t xml:space="preserve">La classe d’exposition selon la [NBN EN 1996-2] est : </w:t>
      </w:r>
      <w:r>
        <w:rPr>
          <w:rStyle w:val="optioncarChar"/>
        </w:rPr>
        <w:t>MX1 (environnement sec) / MX2 (environnement humide) ou MX3 (environnement humide et cycles de gel</w:t>
      </w:r>
      <w:r>
        <w:t xml:space="preserve"> (par défaut) </w:t>
      </w:r>
      <w:r>
        <w:rPr>
          <w:rStyle w:val="optioncarChar"/>
        </w:rPr>
        <w:t>/ MX4 (environnement salin) / MX5 (environnement chimique agressif)</w:t>
      </w:r>
      <w:r>
        <w:t>.</w:t>
      </w:r>
    </w:p>
    <w:p w14:paraId="32F8DDF5" w14:textId="77777777" w:rsidR="00DF410E" w:rsidRDefault="00CE7F43">
      <w:pPr>
        <w:jc w:val="both"/>
      </w:pPr>
      <w:r>
        <w:t xml:space="preserve">Le n° de référence du matériau selon la [NBN EN 845-1:2013+A1] est (voir chapitre </w:t>
      </w:r>
      <w:hyperlink w:anchor="363" w:history="1">
        <w:r>
          <w:t>21.42.1 Crochets, tirants et pattes d'ancrages de maçonneries</w:t>
        </w:r>
      </w:hyperlink>
      <w:r>
        <w:t xml:space="preserve">) : </w:t>
      </w:r>
      <w:r>
        <w:rPr>
          <w:rStyle w:val="optioncarChar"/>
        </w:rPr>
        <w:t>1 / 2 / 3</w:t>
      </w:r>
      <w:r>
        <w:t xml:space="preserve"> (par défaut) </w:t>
      </w:r>
      <w:r>
        <w:rPr>
          <w:rStyle w:val="optioncarChar"/>
        </w:rPr>
        <w:t>/ 4 / 5 / 6 / 7 / 8 / 9 / 10 / 11 / 11A / 12.1 / 12.2 / 13 / 14 / 15 / 16.1 / 16.2 / 17 / 18 / 19 / 20 / 21 / 22 / 23</w:t>
      </w:r>
      <w:r>
        <w:t>.</w:t>
      </w:r>
    </w:p>
    <w:p w14:paraId="1067DECB" w14:textId="77777777" w:rsidR="00DF410E" w:rsidRDefault="00CE7F43">
      <w:pPr>
        <w:jc w:val="both"/>
      </w:pPr>
      <w:r>
        <w:t xml:space="preserve">Les attaches murales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14:paraId="7BDABC9A" w14:textId="77777777" w:rsidR="00DF410E" w:rsidRDefault="00DF410E"/>
    <w:p w14:paraId="11825C41" w14:textId="77777777" w:rsidR="00DF410E" w:rsidRDefault="00CE7F43">
      <w:pPr>
        <w:jc w:val="both"/>
      </w:pPr>
      <w:r>
        <w:rPr>
          <w:b/>
        </w:rPr>
        <w:t>3.1. Attaches pour murs doubles (aussi appelées crochets ou tirants)</w:t>
      </w:r>
    </w:p>
    <w:p w14:paraId="5119EA47" w14:textId="77777777" w:rsidR="00DF410E" w:rsidRDefault="00CE7F43">
      <w:pPr>
        <w:jc w:val="both"/>
      </w:pPr>
      <w:r>
        <w:t xml:space="preserve">Largeur du creux (cavité = distance entre les deux maçonneries) : </w:t>
      </w:r>
      <w:r>
        <w:rPr>
          <w:rStyle w:val="optioncarChar"/>
        </w:rPr>
        <w:t>***</w:t>
      </w:r>
      <w:r>
        <w:t>.</w:t>
      </w:r>
    </w:p>
    <w:p w14:paraId="6A3D7644" w14:textId="77777777" w:rsidR="00DF410E" w:rsidRDefault="00CE7F43">
      <w:pPr>
        <w:jc w:val="both"/>
      </w:pPr>
      <w:r>
        <w:t>Epaisseur des deux parois ; paroi 1 :</w:t>
      </w:r>
      <w:r>
        <w:rPr>
          <w:rStyle w:val="optioncarChar"/>
        </w:rPr>
        <w:t xml:space="preserve"> ***</w:t>
      </w:r>
      <w:r>
        <w:t xml:space="preserve">, paroi 2 : </w:t>
      </w:r>
      <w:r>
        <w:rPr>
          <w:rStyle w:val="optioncarChar"/>
        </w:rPr>
        <w:t>***</w:t>
      </w:r>
      <w:r>
        <w:t>.</w:t>
      </w:r>
    </w:p>
    <w:p w14:paraId="52EEEBB0" w14:textId="77777777" w:rsidR="00DF410E" w:rsidRDefault="00CE7F43">
      <w:pPr>
        <w:jc w:val="both"/>
      </w:pPr>
      <w:r>
        <w:t xml:space="preserve">Longueur totale de l’attache : </w:t>
      </w:r>
      <w:r>
        <w:rPr>
          <w:rStyle w:val="optioncarChar"/>
        </w:rPr>
        <w:t>***</w:t>
      </w:r>
      <w:r>
        <w:t>.</w:t>
      </w:r>
    </w:p>
    <w:p w14:paraId="32D4A8BD" w14:textId="77777777" w:rsidR="00DF410E" w:rsidRDefault="00CE7F43">
      <w:pPr>
        <w:jc w:val="both"/>
      </w:pPr>
      <w:r>
        <w:t>L’attache est pourvue d’un rejet d’eau sous la forme :</w:t>
      </w:r>
      <w:r>
        <w:rPr>
          <w:rStyle w:val="optioncarChar"/>
        </w:rPr>
        <w:t xml:space="preserve"> d’une section centrale profilée (avec larmier) de l’attache / d’un collier d’étanchéité </w:t>
      </w:r>
      <w:r>
        <w:t>(par défaut)</w:t>
      </w:r>
      <w:r>
        <w:rPr>
          <w:rStyle w:val="optioncarChar"/>
        </w:rPr>
        <w:t xml:space="preserve"> / de l’inclinaison descendante de l’attache de la paroi intérieure vers la paroi extérieure</w:t>
      </w:r>
      <w:r>
        <w:t>.</w:t>
      </w:r>
    </w:p>
    <w:p w14:paraId="235A206C" w14:textId="77777777" w:rsidR="00DF410E" w:rsidRDefault="00CE7F43">
      <w:pPr>
        <w:jc w:val="both"/>
      </w:pPr>
      <w:r>
        <w:t>Modèle d’attache</w:t>
      </w:r>
      <w:r>
        <w:rPr>
          <w:rStyle w:val="optioncarChar"/>
        </w:rPr>
        <w:t xml:space="preserve"> avec / sans</w:t>
      </w:r>
      <w:r>
        <w:t xml:space="preserve"> coupure acoustique.</w:t>
      </w:r>
    </w:p>
    <w:p w14:paraId="539A86D5" w14:textId="77777777" w:rsidR="00DF410E" w:rsidRDefault="00CE7F43">
      <w:pPr>
        <w:jc w:val="both"/>
      </w:pPr>
      <w:r>
        <w:t xml:space="preserve">Modèle d’attache </w:t>
      </w:r>
      <w:r>
        <w:rPr>
          <w:rStyle w:val="optioncarChar"/>
        </w:rPr>
        <w:t>avec / sans</w:t>
      </w:r>
      <w:r>
        <w:t xml:space="preserve"> coupure thermique.</w:t>
      </w:r>
    </w:p>
    <w:p w14:paraId="6A336AAD" w14:textId="77777777" w:rsidR="00DF410E" w:rsidRDefault="00CE7F43">
      <w:pPr>
        <w:jc w:val="both"/>
      </w:pPr>
      <w:r>
        <w:t xml:space="preserve">Plage de mouvement maximale admissible des attaches mobiles : </w:t>
      </w:r>
      <w:r>
        <w:rPr>
          <w:rStyle w:val="optioncarChar"/>
        </w:rPr>
        <w:t>***</w:t>
      </w:r>
      <w:r>
        <w:t>.</w:t>
      </w:r>
    </w:p>
    <w:p w14:paraId="51904BC2" w14:textId="77777777" w:rsidR="00DF410E" w:rsidRDefault="00CE7F43">
      <w:pPr>
        <w:jc w:val="both"/>
      </w:pPr>
      <w:r>
        <w:t xml:space="preserve">Inclinaisons maximale et minimale admissibles des attaches inclinables : </w:t>
      </w:r>
      <w:r>
        <w:rPr>
          <w:rStyle w:val="optioncarChar"/>
        </w:rPr>
        <w:t>***</w:t>
      </w:r>
      <w:r>
        <w:t>.</w:t>
      </w:r>
    </w:p>
    <w:p w14:paraId="27B7344F" w14:textId="77777777" w:rsidR="00DF410E" w:rsidRDefault="00CE7F43">
      <w:pPr>
        <w:jc w:val="both"/>
      </w:pPr>
      <w:r>
        <w:t>Extrémité côté paroi 1 : scellement chimique (voir ci-dessus).</w:t>
      </w:r>
    </w:p>
    <w:p w14:paraId="3A5E8494" w14:textId="77777777" w:rsidR="00DF410E" w:rsidRDefault="00CE7F43">
      <w:pPr>
        <w:jc w:val="both"/>
      </w:pPr>
      <w:r>
        <w:t xml:space="preserve">Extrémité côté paroi 2 : l’attache est </w:t>
      </w:r>
      <w:r>
        <w:rPr>
          <w:rStyle w:val="optioncarChar"/>
        </w:rPr>
        <w:t>scellée dans le mortier de maçonnerie / fixée mécaniquement.</w:t>
      </w:r>
    </w:p>
    <w:p w14:paraId="5710FF5A" w14:textId="77777777" w:rsidR="00DF410E" w:rsidRDefault="00CE7F43">
      <w:pPr>
        <w:jc w:val="both"/>
      </w:pPr>
      <w:r>
        <w:rPr>
          <w:b/>
        </w:rPr>
        <w:t>(soit)</w:t>
      </w:r>
    </w:p>
    <w:p w14:paraId="4220F484" w14:textId="77777777" w:rsidR="00DF410E" w:rsidRDefault="00CE7F43">
      <w:pPr>
        <w:jc w:val="both"/>
      </w:pPr>
      <w:r>
        <w:rPr>
          <w:rStyle w:val="soitChar"/>
        </w:rPr>
        <w:t xml:space="preserve">L’attache est </w:t>
      </w:r>
      <w:r>
        <w:rPr>
          <w:rStyle w:val="soitChar"/>
          <w:u w:val="single"/>
        </w:rPr>
        <w:t>scellée dans le mortier de maçonnerie</w:t>
      </w:r>
      <w:r>
        <w:rPr>
          <w:rStyle w:val="soitChar"/>
        </w:rPr>
        <w:t xml:space="preserve"> sur une longueur d’ancrage minimale de </w:t>
      </w:r>
      <w:r>
        <w:rPr>
          <w:rStyle w:val="optioncarChar"/>
        </w:rPr>
        <w:t xml:space="preserve">30 / 40 </w:t>
      </w:r>
      <w:r>
        <w:t>(par défaut)</w:t>
      </w:r>
      <w:r>
        <w:rPr>
          <w:rStyle w:val="optioncarChar"/>
        </w:rPr>
        <w:t xml:space="preserve"> / 50 / ***</w:t>
      </w:r>
      <w:r>
        <w:rPr>
          <w:rStyle w:val="soitChar"/>
        </w:rPr>
        <w:t xml:space="preserve"> mm. En cas de maçonnerie à joints minces, l’extrémité est aplatie. Epaisseur minimale du joint de mortier pour laquelle l’attache est appropriée : </w:t>
      </w:r>
      <w:r>
        <w:rPr>
          <w:rStyle w:val="optioncarChar"/>
        </w:rPr>
        <w:t>3 / 6 / 10</w:t>
      </w:r>
      <w:r>
        <w:t xml:space="preserve"> (par défaut)</w:t>
      </w:r>
      <w:r>
        <w:rPr>
          <w:rStyle w:val="optioncarChar"/>
        </w:rPr>
        <w:t xml:space="preserve"> / 15</w:t>
      </w:r>
      <w:r>
        <w:rPr>
          <w:rStyle w:val="soitChar"/>
        </w:rPr>
        <w:t xml:space="preserve"> mm.</w:t>
      </w:r>
    </w:p>
    <w:p w14:paraId="0551371C" w14:textId="77777777" w:rsidR="00DF410E" w:rsidRDefault="00CE7F43">
      <w:pPr>
        <w:jc w:val="both"/>
      </w:pPr>
      <w:r>
        <w:rPr>
          <w:rStyle w:val="soitChar"/>
        </w:rPr>
        <w:t xml:space="preserve">Charge admissible en traction et déplacement sous charge ([NBN EN 846-5]) : </w:t>
      </w:r>
      <w:r>
        <w:rPr>
          <w:rStyle w:val="optioncarChar"/>
        </w:rPr>
        <w:t>***</w:t>
      </w:r>
      <w:r>
        <w:rPr>
          <w:rStyle w:val="soitChar"/>
        </w:rPr>
        <w:t>.</w:t>
      </w:r>
    </w:p>
    <w:p w14:paraId="17BBE7C5" w14:textId="77777777" w:rsidR="00DF410E" w:rsidRDefault="00CE7F43">
      <w:pPr>
        <w:jc w:val="both"/>
      </w:pPr>
      <w:r>
        <w:rPr>
          <w:rStyle w:val="soitChar"/>
        </w:rPr>
        <w:t xml:space="preserve">Charge admissible en compression et déplacement sous charge ([NBN EN 846-5]): </w:t>
      </w:r>
      <w:r>
        <w:rPr>
          <w:rStyle w:val="optioncarChar"/>
        </w:rPr>
        <w:t>***</w:t>
      </w:r>
      <w:r>
        <w:rPr>
          <w:rStyle w:val="soitChar"/>
        </w:rPr>
        <w:t>.</w:t>
      </w:r>
    </w:p>
    <w:p w14:paraId="1EB725B1" w14:textId="77777777" w:rsidR="00DF410E" w:rsidRDefault="00CE7F43">
      <w:pPr>
        <w:jc w:val="both"/>
      </w:pPr>
      <w:r>
        <w:rPr>
          <w:rStyle w:val="soitChar"/>
        </w:rPr>
        <w:t xml:space="preserve">Le nombre de fixation est minimum : </w:t>
      </w:r>
      <w:r>
        <w:rPr>
          <w:rStyle w:val="optioncarChar"/>
        </w:rPr>
        <w:t xml:space="preserve">5 </w:t>
      </w:r>
      <w:r>
        <w:t xml:space="preserve">(par défaut) </w:t>
      </w:r>
      <w:r>
        <w:rPr>
          <w:rStyle w:val="optioncarChar"/>
        </w:rPr>
        <w:t>/ 6 / 7 / ***</w:t>
      </w:r>
      <w:r>
        <w:rPr>
          <w:rStyle w:val="soitChar"/>
        </w:rPr>
        <w:t xml:space="preserve"> par m².</w:t>
      </w:r>
    </w:p>
    <w:p w14:paraId="732DC8D2" w14:textId="77777777" w:rsidR="00DF410E" w:rsidRDefault="00CE7F43">
      <w:pPr>
        <w:jc w:val="both"/>
      </w:pPr>
      <w:r>
        <w:rPr>
          <w:b/>
        </w:rPr>
        <w:t>(soit)</w:t>
      </w:r>
    </w:p>
    <w:p w14:paraId="3E7E121B" w14:textId="77777777" w:rsidR="00DF410E" w:rsidRDefault="00CE7F43">
      <w:pPr>
        <w:jc w:val="both"/>
      </w:pPr>
      <w:r>
        <w:rPr>
          <w:rStyle w:val="soitChar"/>
        </w:rPr>
        <w:t xml:space="preserve">L’attache est </w:t>
      </w:r>
      <w:r>
        <w:rPr>
          <w:rStyle w:val="soitChar"/>
          <w:u w:val="single"/>
        </w:rPr>
        <w:t>fixée mécaniquement</w:t>
      </w:r>
      <w:r>
        <w:rPr>
          <w:rStyle w:val="soitChar"/>
        </w:rPr>
        <w:t xml:space="preserve"> dans la maçonnerie au moyen d’une cheville à expansion adaptée.</w:t>
      </w:r>
    </w:p>
    <w:p w14:paraId="05896C5B" w14:textId="77777777" w:rsidR="00DF410E" w:rsidRDefault="00CE7F43">
      <w:pPr>
        <w:jc w:val="both"/>
      </w:pPr>
      <w:r>
        <w:rPr>
          <w:rStyle w:val="soitChar"/>
        </w:rPr>
        <w:t>Charge admissible en traction et déplacement sous charge ([NBN EN 846-6]) :</w:t>
      </w:r>
      <w:r>
        <w:rPr>
          <w:rStyle w:val="optioncarChar"/>
        </w:rPr>
        <w:t xml:space="preserve"> ***</w:t>
      </w:r>
      <w:r>
        <w:rPr>
          <w:rStyle w:val="soitChar"/>
        </w:rPr>
        <w:t>.</w:t>
      </w:r>
    </w:p>
    <w:p w14:paraId="040E8AAC" w14:textId="77777777" w:rsidR="00DF410E" w:rsidRDefault="00CE7F43">
      <w:pPr>
        <w:jc w:val="both"/>
      </w:pPr>
      <w:r>
        <w:rPr>
          <w:rStyle w:val="soitChar"/>
        </w:rPr>
        <w:t xml:space="preserve">Charge admissible en compression et déplacement sous charge ([NBN EN 846-6]): </w:t>
      </w:r>
      <w:r>
        <w:rPr>
          <w:rStyle w:val="optioncarChar"/>
        </w:rPr>
        <w:t>***</w:t>
      </w:r>
      <w:r>
        <w:rPr>
          <w:rStyle w:val="soitChar"/>
        </w:rPr>
        <w:t>.</w:t>
      </w:r>
    </w:p>
    <w:p w14:paraId="3CEA9105" w14:textId="77777777" w:rsidR="00DF410E" w:rsidRDefault="00CE7F43">
      <w:pPr>
        <w:jc w:val="both"/>
      </w:pPr>
      <w:r>
        <w:t> </w:t>
      </w:r>
    </w:p>
    <w:p w14:paraId="0DCA50ED" w14:textId="77777777" w:rsidR="00DF410E" w:rsidRDefault="00CE7F43">
      <w:pPr>
        <w:jc w:val="both"/>
      </w:pPr>
      <w:r>
        <w:rPr>
          <w:b/>
        </w:rPr>
        <w:t>3.2. Attaches de cisaillement (aussi appelées pattes de fixation)</w:t>
      </w:r>
    </w:p>
    <w:p w14:paraId="258F3AFD" w14:textId="77777777" w:rsidR="00DF410E" w:rsidRDefault="00CE7F43">
      <w:pPr>
        <w:jc w:val="both"/>
      </w:pPr>
      <w:r>
        <w:t xml:space="preserve">Longueur totale de l’attache : </w:t>
      </w:r>
      <w:r>
        <w:rPr>
          <w:rStyle w:val="optioncarChar"/>
        </w:rPr>
        <w:t>***</w:t>
      </w:r>
      <w:r>
        <w:t>.</w:t>
      </w:r>
    </w:p>
    <w:p w14:paraId="02D6B9CE" w14:textId="77777777" w:rsidR="00DF410E" w:rsidRDefault="00CE7F43">
      <w:pPr>
        <w:jc w:val="both"/>
      </w:pPr>
      <w:r>
        <w:t>Extrémité côté paroi 1 : scellement chimique (voir ci-dessus).</w:t>
      </w:r>
    </w:p>
    <w:p w14:paraId="02A2C8AA" w14:textId="77777777" w:rsidR="00DF410E" w:rsidRDefault="00CE7F43">
      <w:pPr>
        <w:jc w:val="both"/>
      </w:pPr>
      <w:r>
        <w:t xml:space="preserve">Extrémité côté paroi 2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39F8D769" w14:textId="77777777" w:rsidR="00DF410E" w:rsidRDefault="00CE7F43">
      <w:pPr>
        <w:jc w:val="both"/>
      </w:pPr>
      <w:r>
        <w:t xml:space="preserve">Charge admissible en traction et déplacement sous charge ([NBN EN 846-5]) : </w:t>
      </w:r>
      <w:r>
        <w:rPr>
          <w:rStyle w:val="optioncarChar"/>
        </w:rPr>
        <w:t>***</w:t>
      </w:r>
      <w:r>
        <w:t>.</w:t>
      </w:r>
    </w:p>
    <w:p w14:paraId="1A6CA3B8" w14:textId="77777777" w:rsidR="00DF410E" w:rsidRDefault="00CE7F43">
      <w:pPr>
        <w:jc w:val="both"/>
      </w:pPr>
      <w:r>
        <w:t xml:space="preserve">Charge admissible en compression et déplacement sous charge ([NBN EN 846-5]): </w:t>
      </w:r>
      <w:r>
        <w:rPr>
          <w:rStyle w:val="optioncarChar"/>
        </w:rPr>
        <w:t>***</w:t>
      </w:r>
      <w:r>
        <w:t>.</w:t>
      </w:r>
    </w:p>
    <w:p w14:paraId="54D18E1A" w14:textId="77777777" w:rsidR="00DF410E" w:rsidRDefault="00CE7F43">
      <w:pPr>
        <w:jc w:val="both"/>
      </w:pPr>
      <w:r>
        <w:t>Charge admissible en cisaillement et déplacement sous charge ([NBN EN 846-7]) :</w:t>
      </w:r>
      <w:r>
        <w:rPr>
          <w:rStyle w:val="optioncarChar"/>
        </w:rPr>
        <w:t xml:space="preserve"> ***</w:t>
      </w:r>
      <w:r>
        <w:t>.</w:t>
      </w:r>
    </w:p>
    <w:p w14:paraId="0645677F" w14:textId="77777777" w:rsidR="00DF410E" w:rsidRDefault="00CE7F43">
      <w:pPr>
        <w:jc w:val="both"/>
      </w:pPr>
      <w:r>
        <w:t xml:space="preserve">Nombre d’attaches : une toutes les </w:t>
      </w:r>
      <w:r>
        <w:rPr>
          <w:rStyle w:val="optioncarChar"/>
        </w:rPr>
        <w:t>1 / 2 </w:t>
      </w:r>
      <w:r>
        <w:t xml:space="preserve">(par défaut) </w:t>
      </w:r>
      <w:r>
        <w:rPr>
          <w:rStyle w:val="optioncarChar"/>
        </w:rPr>
        <w:t>/ 3 / ***</w:t>
      </w:r>
      <w:r>
        <w:t xml:space="preserve"> assises.</w:t>
      </w:r>
    </w:p>
    <w:p w14:paraId="2FA023C4" w14:textId="77777777" w:rsidR="00DF410E" w:rsidRDefault="00CE7F43">
      <w:pPr>
        <w:jc w:val="both"/>
      </w:pPr>
      <w:r>
        <w:t> </w:t>
      </w:r>
    </w:p>
    <w:p w14:paraId="2D88EB9F" w14:textId="77777777" w:rsidR="00DF410E" w:rsidRDefault="00CE7F43">
      <w:pPr>
        <w:jc w:val="both"/>
      </w:pPr>
      <w:r>
        <w:rPr>
          <w:b/>
        </w:rPr>
        <w:t>3.3. Attaches de maintien (aussi appelées pattes de fixation)</w:t>
      </w:r>
    </w:p>
    <w:p w14:paraId="78C40F4C" w14:textId="77777777" w:rsidR="00DF410E" w:rsidRDefault="00CE7F43">
      <w:pPr>
        <w:jc w:val="both"/>
      </w:pPr>
      <w:r>
        <w:t xml:space="preserve">Longueur totale de l’attache : </w:t>
      </w:r>
      <w:r>
        <w:rPr>
          <w:rStyle w:val="optioncarChar"/>
        </w:rPr>
        <w:t>***</w:t>
      </w:r>
      <w:r>
        <w:t>.</w:t>
      </w:r>
    </w:p>
    <w:p w14:paraId="148BBCF7" w14:textId="77777777" w:rsidR="00DF410E" w:rsidRDefault="00CE7F43">
      <w:pPr>
        <w:jc w:val="both"/>
      </w:pPr>
      <w:r>
        <w:t>Extrémité côté paroi 1 : scellement chimique (voir ci-dessus).</w:t>
      </w:r>
    </w:p>
    <w:p w14:paraId="4FDD0800" w14:textId="77777777" w:rsidR="00DF410E" w:rsidRDefault="00CE7F43">
      <w:pPr>
        <w:jc w:val="both"/>
      </w:pPr>
      <w:r>
        <w:t xml:space="preserve">Extrémité côté paroi 2 : l’attache est scellée dans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(par défaut)</w:t>
      </w:r>
      <w:r>
        <w:rPr>
          <w:rStyle w:val="optioncarChar"/>
        </w:rPr>
        <w:t xml:space="preserve"> / 15</w:t>
      </w:r>
      <w:r>
        <w:t xml:space="preserve"> mm.</w:t>
      </w:r>
    </w:p>
    <w:p w14:paraId="6D88D1A5" w14:textId="77777777" w:rsidR="00DF410E" w:rsidRDefault="00CE7F43">
      <w:pPr>
        <w:jc w:val="both"/>
      </w:pPr>
      <w:r>
        <w:t xml:space="preserve">Charge admissible en cisaillement et déplacement sous charge ([NBN EN 846-7]) : </w:t>
      </w:r>
      <w:r>
        <w:rPr>
          <w:rStyle w:val="optioncarChar"/>
        </w:rPr>
        <w:t>***</w:t>
      </w:r>
      <w:r>
        <w:t>.</w:t>
      </w:r>
    </w:p>
    <w:p w14:paraId="34DFAB7E" w14:textId="77777777" w:rsidR="00DF410E" w:rsidRDefault="00CE7F43">
      <w:pPr>
        <w:jc w:val="both"/>
      </w:pPr>
      <w:r>
        <w:t xml:space="preserve">Nombre d’attaches : une toutes les </w:t>
      </w:r>
      <w:r>
        <w:rPr>
          <w:rStyle w:val="optioncarChar"/>
        </w:rPr>
        <w:t>1 / 2 </w:t>
      </w:r>
      <w:r>
        <w:t>(par défaut)</w:t>
      </w:r>
      <w:r>
        <w:rPr>
          <w:rStyle w:val="optioncarChar"/>
        </w:rPr>
        <w:t xml:space="preserve"> / 3 / ***</w:t>
      </w:r>
      <w:r>
        <w:t xml:space="preserve"> assises.</w:t>
      </w:r>
    </w:p>
    <w:p w14:paraId="03C2C0B1" w14:textId="77777777" w:rsidR="00DF410E" w:rsidRDefault="00CE7F43">
      <w:pPr>
        <w:pStyle w:val="pheading"/>
      </w:pPr>
      <w:r>
        <w:t>EXÉCUTION / MISE EN ŒUVRE</w:t>
      </w:r>
    </w:p>
    <w:p w14:paraId="6166F774" w14:textId="77777777" w:rsidR="00DF410E" w:rsidRDefault="00CE7F43">
      <w:pPr>
        <w:pStyle w:val="pheading"/>
      </w:pPr>
      <w:r>
        <w:t>- Prescriptions générales</w:t>
      </w:r>
    </w:p>
    <w:p w14:paraId="462FFCF9" w14:textId="77777777" w:rsidR="00DF410E" w:rsidRDefault="00CE7F43">
      <w:pPr>
        <w:jc w:val="both"/>
      </w:pPr>
      <w:r>
        <w:t xml:space="preserve">Le dimensionnement </w:t>
      </w:r>
      <w:r>
        <w:rPr>
          <w:rStyle w:val="optioncarChar"/>
        </w:rPr>
        <w:t>est / n’est pas</w:t>
      </w:r>
      <w:r>
        <w:t xml:space="preserve"> à charge de l’entrepreneur.</w:t>
      </w:r>
    </w:p>
    <w:p w14:paraId="3A08C283" w14:textId="77777777" w:rsidR="00DF410E" w:rsidRDefault="00CE7F43">
      <w:pPr>
        <w:jc w:val="both"/>
      </w:pPr>
      <w:r>
        <w:t>L’entrepreneur soumet le modèle d’attache et le produit de scellement chimique à la direction de chantier pour approbation. La pose doit respecter les instructions du fabricant.</w:t>
      </w:r>
    </w:p>
    <w:p w14:paraId="7D1ADE33" w14:textId="77777777" w:rsidR="00DF410E" w:rsidRDefault="00CE7F43">
      <w:pPr>
        <w:jc w:val="both"/>
      </w:pPr>
      <w:r>
        <w:t>La maçonnerie dans laquelle l’injection est réalisée a une épaisseur minimale de 80 mm. La profondeur minimale d’injection est 50 mm. La profondeur maximale d’injection est 30 mm de moins que l’épaisseur du mur. Le perçage par percussion n’est pas autorisé dans les maçonneries creuses. Une attention particulière est portée au nettoyage du trou manuellement et par jet d’air comprimé avant l’injection.</w:t>
      </w:r>
    </w:p>
    <w:p w14:paraId="0ACB36BA" w14:textId="77777777" w:rsidR="00DF410E" w:rsidRDefault="00CE7F43">
      <w:pPr>
        <w:pStyle w:val="pheading"/>
      </w:pPr>
      <w:r>
        <w:t>DOCUMENTS DE RÉFÉRENCE COMPLÉMENTAIRES</w:t>
      </w:r>
    </w:p>
    <w:p w14:paraId="30FF3C23" w14:textId="77777777" w:rsidR="00DF410E" w:rsidRDefault="00CE7F43">
      <w:pPr>
        <w:pStyle w:val="pheading"/>
      </w:pPr>
      <w:r>
        <w:t>- Matériau</w:t>
      </w:r>
    </w:p>
    <w:p w14:paraId="4AB2D7E4" w14:textId="77777777" w:rsidR="00DF410E" w:rsidRDefault="00CE7F43">
      <w:r>
        <w:t>[NBN EN 845-1:2013+A1, Spécification pour composants accessoires de maçonnerie - Partie 1: Attaches, brides de fixation, étriers de support et consoles]</w:t>
      </w:r>
    </w:p>
    <w:p w14:paraId="4A11231D" w14:textId="77777777" w:rsidR="00DF410E" w:rsidRDefault="00CE7F43">
      <w:r>
        <w:t>[NBN EN 846-5, Méthodes d'essai des composants accessoires de maçonnerie - Partie 5: Détermination de la charge admissible à la traction et à la compression, et des caractéristiques effort-déformation des attaches murales]</w:t>
      </w:r>
    </w:p>
    <w:p w14:paraId="0E7CEED9" w14:textId="77777777" w:rsidR="00DF410E" w:rsidRDefault="00CE7F43">
      <w:r>
        <w:t>[NBN EN 846-6, Méthodes d'essai pour composants accessoires de maçonnerie - Partie 6: Détermination de la résistance de traction et en compression et de la rigidité d'attaches murales (essai d'extrémité simple)]</w:t>
      </w:r>
    </w:p>
    <w:p w14:paraId="69E3B01B" w14:textId="77777777" w:rsidR="00DF410E" w:rsidRDefault="00CE7F43">
      <w:r>
        <w:t>[NBN EN 846-7, Méthodes d'essai des composants accessoires de maçonnerie - Partie 7: Détermination de la charge admissible au cisaillement et des caractéristiques effort-déformation des attaches résistant au cisaillement et des attaches de glissement (essai dans un joint de mortier entre deux éléments)]</w:t>
      </w:r>
    </w:p>
    <w:p w14:paraId="5EE7DB44" w14:textId="77777777" w:rsidR="00DF410E" w:rsidRDefault="00CE7F43">
      <w:r>
        <w:t>[ETAG 029, Metal Injection Anchors for use in Masonry]</w:t>
      </w:r>
    </w:p>
    <w:p w14:paraId="7FD3A946" w14:textId="77777777" w:rsidR="00DF410E" w:rsidRDefault="00CE7F43">
      <w:r>
        <w:t>[EAD 330076-00-0604, Metal injection anchors for use in masonry]</w:t>
      </w:r>
    </w:p>
    <w:p w14:paraId="7611E002" w14:textId="77777777" w:rsidR="00DF410E" w:rsidRDefault="00CE7F43">
      <w:pPr>
        <w:pStyle w:val="pheading"/>
      </w:pPr>
      <w:r>
        <w:t>- Exécution</w:t>
      </w:r>
    </w:p>
    <w:p w14:paraId="26CB970D" w14:textId="77777777" w:rsidR="00DF410E" w:rsidRDefault="00CE7F43">
      <w:r>
        <w:t>[NBN EN 1996-2, Eurocode 6 - Calcul des ouvrages en maçonnerie - Partie 2: Conception, choix des matériaux et mise en oeuvre des maçonneries (+ AC:2009)]</w:t>
      </w:r>
    </w:p>
    <w:p w14:paraId="6B6E9DF8" w14:textId="77777777" w:rsidR="00DF410E" w:rsidRDefault="00CE7F43">
      <w:pPr>
        <w:pStyle w:val="pheading"/>
      </w:pPr>
      <w:r>
        <w:t>MESURAGE</w:t>
      </w:r>
    </w:p>
    <w:p w14:paraId="0DAF218B" w14:textId="77777777" w:rsidR="00DF410E" w:rsidRDefault="00CE7F43">
      <w:pPr>
        <w:pStyle w:val="pheading"/>
      </w:pPr>
      <w:r>
        <w:t>- unité de mesure:</w:t>
      </w:r>
    </w:p>
    <w:p w14:paraId="12A67B16" w14:textId="77777777" w:rsidR="00DF410E" w:rsidRDefault="00CE7F43">
      <w:r>
        <w:t>-</w:t>
      </w:r>
    </w:p>
    <w:p w14:paraId="17CCA734" w14:textId="77777777" w:rsidR="00DF410E" w:rsidRDefault="00CE7F43">
      <w:pPr>
        <w:pStyle w:val="pheading"/>
      </w:pPr>
      <w:r>
        <w:t>- code de mesurage:</w:t>
      </w:r>
    </w:p>
    <w:p w14:paraId="21372FD0" w14:textId="77777777" w:rsidR="00DF410E" w:rsidRDefault="00CE7F43">
      <w:r>
        <w:t xml:space="preserve">Compris dans le prix de la maçonnerie correspondante dans l’élément </w:t>
      </w:r>
      <w:r>
        <w:rPr>
          <w:rStyle w:val="optioncarChar"/>
        </w:rPr>
        <w:t>***</w:t>
      </w:r>
      <w:r>
        <w:t>.</w:t>
      </w:r>
    </w:p>
    <w:p w14:paraId="5D3201B2" w14:textId="77777777" w:rsidR="00DF410E" w:rsidRDefault="00CE7F43">
      <w:pPr>
        <w:pStyle w:val="pheading"/>
      </w:pPr>
      <w:r>
        <w:t>- nature du marché:</w:t>
      </w:r>
    </w:p>
    <w:p w14:paraId="62780046" w14:textId="77777777" w:rsidR="00DF410E" w:rsidRDefault="00CE7F43">
      <w:r>
        <w:t>PM</w:t>
      </w:r>
    </w:p>
    <w:p w14:paraId="30AF6BE0" w14:textId="77777777" w:rsidR="00DF410E" w:rsidRDefault="00CE7F43">
      <w:pPr>
        <w:pStyle w:val="Author-eSectionHeading5"/>
      </w:pPr>
      <w:bookmarkStart w:id="374" w:name="_Toc178837584"/>
      <w:r>
        <w:t>21.42.2 Profils à crochets d'ancrages de maçonneries CCTB 01.02</w:t>
      </w:r>
      <w:bookmarkEnd w:id="374"/>
    </w:p>
    <w:p w14:paraId="54CA402C" w14:textId="77777777" w:rsidR="00DF410E" w:rsidRDefault="00CE7F43">
      <w:pPr>
        <w:pStyle w:val="Author-eSectionHeading6"/>
      </w:pPr>
      <w:bookmarkStart w:id="375" w:name="_Toc178837585"/>
      <w:r>
        <w:t>21.42.2a Profils à crochets d'ancrages de maçonneries fixés mécaniquement CCTB 01.11</w:t>
      </w:r>
      <w:bookmarkEnd w:id="375"/>
    </w:p>
    <w:p w14:paraId="6E0CC2FB" w14:textId="77777777" w:rsidR="00DF410E" w:rsidRDefault="00CE7F43">
      <w:pPr>
        <w:pStyle w:val="pheading"/>
      </w:pPr>
      <w:r>
        <w:t>MESURAGE</w:t>
      </w:r>
    </w:p>
    <w:p w14:paraId="7AA0FFB5" w14:textId="77777777" w:rsidR="00DF410E" w:rsidRDefault="00CE7F43">
      <w:pPr>
        <w:pStyle w:val="pheading"/>
      </w:pPr>
      <w:r>
        <w:t>- unité de mesure:</w:t>
      </w:r>
    </w:p>
    <w:p w14:paraId="0D7EAB95" w14:textId="77777777" w:rsidR="00DF410E" w:rsidRDefault="00CE7F43">
      <w:r>
        <w:t>-</w:t>
      </w:r>
    </w:p>
    <w:p w14:paraId="4F892B1A" w14:textId="77777777" w:rsidR="00DF410E" w:rsidRDefault="00CE7F43">
      <w:pPr>
        <w:pStyle w:val="Author-eSectionHeading6"/>
      </w:pPr>
      <w:bookmarkStart w:id="376" w:name="_Toc178837586"/>
      <w:r>
        <w:t>21.42.2b Profils à crochets d'ancrages de maçonneries scellés dans la masse CCTB 01.11</w:t>
      </w:r>
      <w:bookmarkEnd w:id="376"/>
    </w:p>
    <w:p w14:paraId="5C475238" w14:textId="77777777" w:rsidR="00DF410E" w:rsidRDefault="00CE7F43">
      <w:pPr>
        <w:pStyle w:val="pheading"/>
      </w:pPr>
      <w:r>
        <w:t>MESURAGE</w:t>
      </w:r>
    </w:p>
    <w:p w14:paraId="372A1D04" w14:textId="77777777" w:rsidR="00DF410E" w:rsidRDefault="00CE7F43">
      <w:pPr>
        <w:pStyle w:val="pheading"/>
      </w:pPr>
      <w:r>
        <w:t>- unité de mesure:</w:t>
      </w:r>
    </w:p>
    <w:p w14:paraId="65A7E0CB" w14:textId="77777777" w:rsidR="00DF410E" w:rsidRDefault="00CE7F43">
      <w:r>
        <w:t>-</w:t>
      </w:r>
    </w:p>
    <w:p w14:paraId="7467AA61" w14:textId="77777777" w:rsidR="00DF410E" w:rsidRDefault="00CE7F43">
      <w:pPr>
        <w:pStyle w:val="Author-eSectionHeading5"/>
      </w:pPr>
      <w:bookmarkStart w:id="377" w:name="_Toc178837587"/>
      <w:r>
        <w:t>21.42.3 Feuillards métalliques de fixation de maçonneries CCTB 01.02</w:t>
      </w:r>
      <w:bookmarkEnd w:id="377"/>
    </w:p>
    <w:p w14:paraId="480034E3" w14:textId="77777777" w:rsidR="00DF410E" w:rsidRDefault="00CE7F43">
      <w:pPr>
        <w:pStyle w:val="Author-eSectionHeading6"/>
      </w:pPr>
      <w:bookmarkStart w:id="378" w:name="_Toc178837588"/>
      <w:r>
        <w:t>21.42.3a Feuillards métalliques de fixation de maçonneries CCTB 01.12</w:t>
      </w:r>
      <w:bookmarkEnd w:id="378"/>
    </w:p>
    <w:p w14:paraId="4AF9C6CD" w14:textId="77777777" w:rsidR="00DF410E" w:rsidRDefault="00CE7F43">
      <w:pPr>
        <w:pStyle w:val="pheading"/>
      </w:pPr>
      <w:r>
        <w:t>DESCRIPTION</w:t>
      </w:r>
    </w:p>
    <w:p w14:paraId="6B4C743F" w14:textId="77777777" w:rsidR="00DF410E" w:rsidRDefault="00CE7F43">
      <w:pPr>
        <w:pStyle w:val="pheading"/>
      </w:pPr>
      <w:r>
        <w:t>- Définition / Comprend</w:t>
      </w:r>
    </w:p>
    <w:p w14:paraId="6F14838E" w14:textId="77777777" w:rsidR="00DF410E" w:rsidRDefault="00CE7F43">
      <w:pPr>
        <w:jc w:val="both"/>
      </w:pPr>
      <w:r>
        <w:t>Un feuillard, aussi appelé bride de fixation, est un dispositif utilisé pour relier des murs en maçonnerie à d’autres composants adjacents (planchers et toitures, par ex.) et qui est prévu pour résister aux efforts de traction.</w:t>
      </w:r>
    </w:p>
    <w:p w14:paraId="0107C35E" w14:textId="77777777" w:rsidR="00DF410E" w:rsidRDefault="00CE7F43">
      <w:pPr>
        <w:jc w:val="both"/>
      </w:pPr>
      <w:r>
        <w:t>Cet élément décrit la fourniture et la pose de ces feuillards métalliques de fixation de maçonneries.</w:t>
      </w:r>
    </w:p>
    <w:p w14:paraId="21DEAC77" w14:textId="77777777" w:rsidR="00DF410E" w:rsidRDefault="00CE7F43">
      <w:pPr>
        <w:pStyle w:val="pheading"/>
      </w:pPr>
      <w:r>
        <w:t>- Localisation</w:t>
      </w:r>
    </w:p>
    <w:p w14:paraId="768B175D" w14:textId="77777777" w:rsidR="00DF410E" w:rsidRDefault="00CE7F43">
      <w:r>
        <w:t>Localisation des travaux :</w:t>
      </w:r>
      <w:r>
        <w:rPr>
          <w:rStyle w:val="optioncarChar"/>
        </w:rPr>
        <w:t xml:space="preserve"> ***</w:t>
      </w:r>
      <w:r>
        <w:t>.</w:t>
      </w:r>
    </w:p>
    <w:p w14:paraId="510C30B9" w14:textId="77777777" w:rsidR="00DF410E" w:rsidRDefault="00CE7F43">
      <w:r>
        <w:t>Voir plans et métrés détaillés.</w:t>
      </w:r>
    </w:p>
    <w:p w14:paraId="5BB61B06" w14:textId="77777777" w:rsidR="00DF410E" w:rsidRDefault="00CE7F43">
      <w:pPr>
        <w:pStyle w:val="pheading"/>
      </w:pPr>
      <w:r>
        <w:t>MATÉRIAUX</w:t>
      </w:r>
    </w:p>
    <w:p w14:paraId="74378BA5" w14:textId="77777777" w:rsidR="00DF410E" w:rsidRDefault="00CE7F43">
      <w:pPr>
        <w:pStyle w:val="pheading"/>
      </w:pPr>
      <w:r>
        <w:t>- Caractéristiques générales</w:t>
      </w:r>
    </w:p>
    <w:p w14:paraId="11F52A50" w14:textId="77777777" w:rsidR="00DF410E" w:rsidRDefault="00CE7F43">
      <w:pPr>
        <w:jc w:val="both"/>
      </w:pPr>
      <w:r>
        <w:t>Les feuillards métalliques répondent aux spécifications de la [NBN EN 845-1:2013+A1]. Le matériau constitutif (système de protection anticorrosion) est référencé normativement (voir tableau) . En fonction de la référence normative du matériau, les feuillards peuvent être couverts d’une couche de galvanisation (différentes épaisseurs) et/ou d’un revêtement organique pour offrir une résistance à la corrosion.</w:t>
      </w:r>
    </w:p>
    <w:p w14:paraId="0564EBCC" w14:textId="77777777" w:rsidR="00DF410E" w:rsidRDefault="00CE7F43">
      <w:pPr>
        <w:jc w:val="both"/>
      </w:pPr>
      <w:r>
        <w:t xml:space="preserve">Le choix de la référence normative du matériau doit être réalisé conformément à la [NBN EN 1996-2] en fonction de la classe d’exposition de la maçonnerie. La classe d’exposition est : </w:t>
      </w:r>
      <w:r>
        <w:rPr>
          <w:rStyle w:val="optioncarChar"/>
        </w:rPr>
        <w:t>MX1 (environnement sec) / MX2 (environnement humide) ou MX3 (environnement humide et cycles de gel (par défaut) / MX4 (environnement salin) / MX5 (environnement chimique agressif)</w:t>
      </w:r>
      <w:r>
        <w:t>.</w:t>
      </w:r>
    </w:p>
    <w:p w14:paraId="0BB6B573" w14:textId="77777777" w:rsidR="00DF410E" w:rsidRDefault="00CE7F43">
      <w:pPr>
        <w:jc w:val="both"/>
      </w:pPr>
      <w:r>
        <w:t xml:space="preserve">Le n° de référence du matériau est :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7B5BA310" w14:textId="77777777" w:rsidR="00DF410E" w:rsidRDefault="00CE7F43">
      <w:pPr>
        <w:jc w:val="both"/>
      </w:pPr>
      <w:r>
        <w:t>Tableau : Recommandation (1) quant au système de protection anticorrosion pour les brides de fixation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DF410E" w14:paraId="6DCC10EC" w14:textId="77777777">
        <w:tc>
          <w:tcPr>
            <w:tcW w:w="6720" w:type="dxa"/>
            <w:gridSpan w:val="2"/>
            <w:shd w:val="clear" w:color="auto" w:fill="FFFFFF"/>
            <w:noWrap/>
          </w:tcPr>
          <w:p w14:paraId="058B960D" w14:textId="77777777" w:rsidR="00DF410E" w:rsidRDefault="00CE7F43">
            <w:pPr>
              <w:jc w:val="center"/>
            </w:pPr>
            <w:r>
              <w:rPr>
                <w:b/>
              </w:rPr>
              <w:t>Matériau</w:t>
            </w:r>
          </w:p>
        </w:tc>
        <w:tc>
          <w:tcPr>
            <w:tcW w:w="2280" w:type="dxa"/>
            <w:gridSpan w:val="4"/>
            <w:shd w:val="clear" w:color="auto" w:fill="FFFFFF"/>
            <w:noWrap/>
          </w:tcPr>
          <w:p w14:paraId="5708204D" w14:textId="77777777" w:rsidR="00DF410E" w:rsidRDefault="00CE7F43">
            <w:pPr>
              <w:jc w:val="center"/>
            </w:pPr>
            <w:r>
              <w:rPr>
                <w:b/>
              </w:rPr>
              <w:t>Classe d'exposition (</w:t>
            </w:r>
            <w:r>
              <w:rPr>
                <w:b/>
                <w:vertAlign w:val="superscript"/>
              </w:rPr>
              <w:t>3</w:t>
            </w:r>
            <w:r>
              <w:rPr>
                <w:b/>
              </w:rPr>
              <w:t>)</w:t>
            </w:r>
          </w:p>
        </w:tc>
      </w:tr>
      <w:tr w:rsidR="00DF410E" w14:paraId="44768103" w14:textId="77777777">
        <w:tc>
          <w:tcPr>
            <w:tcW w:w="5655" w:type="dxa"/>
            <w:shd w:val="clear" w:color="auto" w:fill="FFFFFF"/>
            <w:noWrap/>
          </w:tcPr>
          <w:p w14:paraId="48B21D9A" w14:textId="77777777" w:rsidR="00DF410E" w:rsidRDefault="00CE7F43">
            <w:pPr>
              <w:jc w:val="center"/>
            </w:pPr>
            <w:r>
              <w:t>Spécification (</w:t>
            </w:r>
            <w:r>
              <w:rPr>
                <w:vertAlign w:val="superscript"/>
              </w:rPr>
              <w:t>2</w:t>
            </w:r>
            <w:r>
              <w:t>) du matériau et du revêtement correspondant au numéro de référence</w:t>
            </w:r>
          </w:p>
        </w:tc>
        <w:tc>
          <w:tcPr>
            <w:tcW w:w="1065" w:type="dxa"/>
            <w:shd w:val="clear" w:color="auto" w:fill="FFFFFF"/>
            <w:noWrap/>
          </w:tcPr>
          <w:p w14:paraId="74267E20" w14:textId="77777777" w:rsidR="00DF410E" w:rsidRDefault="00CE7F43">
            <w:pPr>
              <w:jc w:val="center"/>
            </w:pPr>
            <w:r>
              <w:rPr>
                <w:b/>
              </w:rPr>
              <w:t>N° de référence</w:t>
            </w:r>
          </w:p>
        </w:tc>
        <w:tc>
          <w:tcPr>
            <w:tcW w:w="570" w:type="dxa"/>
            <w:shd w:val="clear" w:color="auto" w:fill="FFFFFF"/>
            <w:noWrap/>
          </w:tcPr>
          <w:p w14:paraId="03C18205" w14:textId="77777777" w:rsidR="00DF410E" w:rsidRDefault="00CE7F43">
            <w:r>
              <w:t>MX1</w:t>
            </w:r>
          </w:p>
        </w:tc>
        <w:tc>
          <w:tcPr>
            <w:tcW w:w="570" w:type="dxa"/>
            <w:shd w:val="clear" w:color="auto" w:fill="FFFFFF"/>
            <w:noWrap/>
          </w:tcPr>
          <w:p w14:paraId="31A5BEFA" w14:textId="77777777" w:rsidR="00DF410E" w:rsidRDefault="00CE7F43">
            <w:r>
              <w:t>MX2</w:t>
            </w:r>
          </w:p>
          <w:p w14:paraId="3E9C4966" w14:textId="77777777" w:rsidR="00DF410E" w:rsidRDefault="00CE7F43">
            <w:r>
              <w:t>MX3</w:t>
            </w:r>
          </w:p>
        </w:tc>
        <w:tc>
          <w:tcPr>
            <w:tcW w:w="570" w:type="dxa"/>
            <w:shd w:val="clear" w:color="auto" w:fill="FFFFFF"/>
            <w:noWrap/>
          </w:tcPr>
          <w:p w14:paraId="0CB899F6" w14:textId="77777777" w:rsidR="00DF410E" w:rsidRDefault="00CE7F43">
            <w:r>
              <w:t>MX4</w:t>
            </w:r>
          </w:p>
        </w:tc>
        <w:tc>
          <w:tcPr>
            <w:tcW w:w="570" w:type="dxa"/>
            <w:shd w:val="clear" w:color="auto" w:fill="FFFFFF"/>
            <w:noWrap/>
          </w:tcPr>
          <w:p w14:paraId="20F725EC" w14:textId="77777777" w:rsidR="00DF410E" w:rsidRDefault="00CE7F43">
            <w:r>
              <w:t>MX5</w:t>
            </w:r>
          </w:p>
        </w:tc>
      </w:tr>
      <w:tr w:rsidR="00DF410E" w14:paraId="19DCB725" w14:textId="77777777">
        <w:tc>
          <w:tcPr>
            <w:tcW w:w="5655" w:type="dxa"/>
            <w:shd w:val="clear" w:color="auto" w:fill="FFFFFF"/>
            <w:noWrap/>
          </w:tcPr>
          <w:p w14:paraId="1140255D" w14:textId="77777777" w:rsidR="00DF410E" w:rsidRDefault="00CE7F43">
            <w:r>
              <w:t>Acier inoxydable austénitique  (alliages molybdène chrome nickel – ‘inox 316’)</w:t>
            </w:r>
          </w:p>
        </w:tc>
        <w:tc>
          <w:tcPr>
            <w:tcW w:w="1065" w:type="dxa"/>
            <w:shd w:val="clear" w:color="auto" w:fill="FFFFFF"/>
            <w:noWrap/>
          </w:tcPr>
          <w:p w14:paraId="64E60905" w14:textId="77777777" w:rsidR="00DF410E" w:rsidRDefault="00CE7F43">
            <w:pPr>
              <w:jc w:val="center"/>
            </w:pPr>
            <w:r>
              <w:rPr>
                <w:b/>
              </w:rPr>
              <w:t>1</w:t>
            </w:r>
          </w:p>
        </w:tc>
        <w:tc>
          <w:tcPr>
            <w:tcW w:w="570" w:type="dxa"/>
            <w:shd w:val="clear" w:color="auto" w:fill="FFFFFF"/>
            <w:noWrap/>
          </w:tcPr>
          <w:p w14:paraId="67F4F369" w14:textId="77777777" w:rsidR="00DF410E" w:rsidRDefault="00CE7F43">
            <w:pPr>
              <w:jc w:val="center"/>
            </w:pPr>
            <w:r>
              <w:t>U</w:t>
            </w:r>
          </w:p>
        </w:tc>
        <w:tc>
          <w:tcPr>
            <w:tcW w:w="570" w:type="dxa"/>
            <w:shd w:val="clear" w:color="auto" w:fill="FFFFFF"/>
            <w:noWrap/>
          </w:tcPr>
          <w:p w14:paraId="3B2AE0E1" w14:textId="77777777" w:rsidR="00DF410E" w:rsidRDefault="00CE7F43">
            <w:pPr>
              <w:jc w:val="center"/>
            </w:pPr>
            <w:r>
              <w:t>U</w:t>
            </w:r>
          </w:p>
        </w:tc>
        <w:tc>
          <w:tcPr>
            <w:tcW w:w="570" w:type="dxa"/>
            <w:shd w:val="clear" w:color="auto" w:fill="FFFFFF"/>
            <w:noWrap/>
          </w:tcPr>
          <w:p w14:paraId="7701FA7E" w14:textId="77777777" w:rsidR="00DF410E" w:rsidRDefault="00CE7F43">
            <w:pPr>
              <w:jc w:val="center"/>
            </w:pPr>
            <w:r>
              <w:t>U</w:t>
            </w:r>
          </w:p>
        </w:tc>
        <w:tc>
          <w:tcPr>
            <w:tcW w:w="570" w:type="dxa"/>
            <w:shd w:val="clear" w:color="auto" w:fill="FFFFFF"/>
            <w:noWrap/>
          </w:tcPr>
          <w:p w14:paraId="21F39D0D" w14:textId="77777777" w:rsidR="00DF410E" w:rsidRDefault="00CE7F43">
            <w:pPr>
              <w:jc w:val="center"/>
            </w:pPr>
            <w:r>
              <w:t>R</w:t>
            </w:r>
          </w:p>
        </w:tc>
      </w:tr>
      <w:tr w:rsidR="00DF410E" w14:paraId="72B183D7" w14:textId="77777777">
        <w:tc>
          <w:tcPr>
            <w:tcW w:w="5655" w:type="dxa"/>
            <w:shd w:val="clear" w:color="auto" w:fill="FFFFFF"/>
            <w:noWrap/>
          </w:tcPr>
          <w:p w14:paraId="436ABB7E" w14:textId="77777777" w:rsidR="00DF410E" w:rsidRDefault="00CE7F43">
            <w:r>
              <w:t>Plastique utilisé pour le corps des attaches murales</w:t>
            </w:r>
          </w:p>
        </w:tc>
        <w:tc>
          <w:tcPr>
            <w:tcW w:w="1065" w:type="dxa"/>
            <w:shd w:val="clear" w:color="auto" w:fill="FFFFFF"/>
            <w:noWrap/>
          </w:tcPr>
          <w:p w14:paraId="70A79B53" w14:textId="77777777" w:rsidR="00DF410E" w:rsidRDefault="00CE7F43">
            <w:pPr>
              <w:jc w:val="center"/>
            </w:pPr>
            <w:r>
              <w:rPr>
                <w:b/>
              </w:rPr>
              <w:t>2</w:t>
            </w:r>
          </w:p>
        </w:tc>
        <w:tc>
          <w:tcPr>
            <w:tcW w:w="570" w:type="dxa"/>
            <w:shd w:val="clear" w:color="auto" w:fill="FFFFFF"/>
            <w:noWrap/>
          </w:tcPr>
          <w:p w14:paraId="68FEB516" w14:textId="77777777" w:rsidR="00DF410E" w:rsidRDefault="00CE7F43">
            <w:pPr>
              <w:jc w:val="center"/>
            </w:pPr>
            <w:r>
              <w:t>U</w:t>
            </w:r>
          </w:p>
        </w:tc>
        <w:tc>
          <w:tcPr>
            <w:tcW w:w="570" w:type="dxa"/>
            <w:shd w:val="clear" w:color="auto" w:fill="FFFFFF"/>
            <w:noWrap/>
          </w:tcPr>
          <w:p w14:paraId="0E76099A" w14:textId="77777777" w:rsidR="00DF410E" w:rsidRDefault="00CE7F43">
            <w:pPr>
              <w:jc w:val="center"/>
            </w:pPr>
            <w:r>
              <w:t>U</w:t>
            </w:r>
          </w:p>
        </w:tc>
        <w:tc>
          <w:tcPr>
            <w:tcW w:w="570" w:type="dxa"/>
            <w:shd w:val="clear" w:color="auto" w:fill="FFFFFF"/>
            <w:noWrap/>
          </w:tcPr>
          <w:p w14:paraId="615B0F0B" w14:textId="77777777" w:rsidR="00DF410E" w:rsidRDefault="00CE7F43">
            <w:pPr>
              <w:jc w:val="center"/>
            </w:pPr>
            <w:r>
              <w:t>U</w:t>
            </w:r>
          </w:p>
        </w:tc>
        <w:tc>
          <w:tcPr>
            <w:tcW w:w="570" w:type="dxa"/>
            <w:shd w:val="clear" w:color="auto" w:fill="FFFFFF"/>
            <w:noWrap/>
          </w:tcPr>
          <w:p w14:paraId="7D5CF860" w14:textId="77777777" w:rsidR="00DF410E" w:rsidRDefault="00CE7F43">
            <w:pPr>
              <w:jc w:val="center"/>
            </w:pPr>
            <w:r>
              <w:t>R</w:t>
            </w:r>
          </w:p>
        </w:tc>
      </w:tr>
      <w:tr w:rsidR="00DF410E" w14:paraId="5C0ABCF4" w14:textId="77777777">
        <w:tc>
          <w:tcPr>
            <w:tcW w:w="5655" w:type="dxa"/>
            <w:shd w:val="clear" w:color="auto" w:fill="FFFFFF"/>
            <w:noWrap/>
          </w:tcPr>
          <w:p w14:paraId="1F1BD0CF" w14:textId="77777777" w:rsidR="00DF410E" w:rsidRDefault="00CE7F43">
            <w:r>
              <w:t>Acier inoxydable austénitique (alliages chrome nickel – ‘inox 304’)</w:t>
            </w:r>
          </w:p>
        </w:tc>
        <w:tc>
          <w:tcPr>
            <w:tcW w:w="1065" w:type="dxa"/>
            <w:shd w:val="clear" w:color="auto" w:fill="FFFFFF"/>
            <w:noWrap/>
          </w:tcPr>
          <w:p w14:paraId="092658DD" w14:textId="77777777" w:rsidR="00DF410E" w:rsidRDefault="00CE7F43">
            <w:pPr>
              <w:jc w:val="center"/>
            </w:pPr>
            <w:r>
              <w:rPr>
                <w:b/>
              </w:rPr>
              <w:t>3</w:t>
            </w:r>
          </w:p>
        </w:tc>
        <w:tc>
          <w:tcPr>
            <w:tcW w:w="570" w:type="dxa"/>
            <w:shd w:val="clear" w:color="auto" w:fill="FFFFFF"/>
            <w:noWrap/>
          </w:tcPr>
          <w:p w14:paraId="1F2BCA96" w14:textId="77777777" w:rsidR="00DF410E" w:rsidRDefault="00CE7F43">
            <w:pPr>
              <w:jc w:val="center"/>
            </w:pPr>
            <w:r>
              <w:t>U</w:t>
            </w:r>
          </w:p>
        </w:tc>
        <w:tc>
          <w:tcPr>
            <w:tcW w:w="570" w:type="dxa"/>
            <w:shd w:val="clear" w:color="auto" w:fill="FFFFFF"/>
            <w:noWrap/>
          </w:tcPr>
          <w:p w14:paraId="6E07AE16" w14:textId="77777777" w:rsidR="00DF410E" w:rsidRDefault="00CE7F43">
            <w:pPr>
              <w:jc w:val="center"/>
            </w:pPr>
            <w:r>
              <w:t>U</w:t>
            </w:r>
          </w:p>
        </w:tc>
        <w:tc>
          <w:tcPr>
            <w:tcW w:w="570" w:type="dxa"/>
            <w:shd w:val="clear" w:color="auto" w:fill="FFFFFF"/>
            <w:noWrap/>
          </w:tcPr>
          <w:p w14:paraId="37AE7AC7" w14:textId="77777777" w:rsidR="00DF410E" w:rsidRDefault="00CE7F43">
            <w:pPr>
              <w:jc w:val="center"/>
            </w:pPr>
            <w:r>
              <w:t>R</w:t>
            </w:r>
          </w:p>
        </w:tc>
        <w:tc>
          <w:tcPr>
            <w:tcW w:w="570" w:type="dxa"/>
            <w:shd w:val="clear" w:color="auto" w:fill="FFFFFF"/>
            <w:noWrap/>
          </w:tcPr>
          <w:p w14:paraId="3BA8F6A4" w14:textId="77777777" w:rsidR="00DF410E" w:rsidRDefault="00CE7F43">
            <w:pPr>
              <w:jc w:val="center"/>
            </w:pPr>
            <w:r>
              <w:t>R</w:t>
            </w:r>
          </w:p>
        </w:tc>
      </w:tr>
      <w:tr w:rsidR="00DF410E" w14:paraId="7D478405" w14:textId="77777777">
        <w:tc>
          <w:tcPr>
            <w:tcW w:w="5655" w:type="dxa"/>
            <w:shd w:val="clear" w:color="auto" w:fill="FFFFFF"/>
            <w:noWrap/>
          </w:tcPr>
          <w:p w14:paraId="22FFD281" w14:textId="77777777" w:rsidR="00DF410E" w:rsidRDefault="00CE7F43">
            <w:r>
              <w:t>Acier inoxydable ferritique</w:t>
            </w:r>
          </w:p>
        </w:tc>
        <w:tc>
          <w:tcPr>
            <w:tcW w:w="1065" w:type="dxa"/>
            <w:shd w:val="clear" w:color="auto" w:fill="FFFFFF"/>
            <w:noWrap/>
          </w:tcPr>
          <w:p w14:paraId="4B3B6DFD" w14:textId="77777777" w:rsidR="00DF410E" w:rsidRDefault="00CE7F43">
            <w:pPr>
              <w:jc w:val="center"/>
            </w:pPr>
            <w:r>
              <w:rPr>
                <w:b/>
              </w:rPr>
              <w:t>4</w:t>
            </w:r>
          </w:p>
        </w:tc>
        <w:tc>
          <w:tcPr>
            <w:tcW w:w="570" w:type="dxa"/>
            <w:shd w:val="clear" w:color="auto" w:fill="FFFFFF"/>
            <w:noWrap/>
          </w:tcPr>
          <w:p w14:paraId="41F7558E" w14:textId="77777777" w:rsidR="00DF410E" w:rsidRDefault="00CE7F43">
            <w:pPr>
              <w:jc w:val="center"/>
            </w:pPr>
            <w:r>
              <w:t>U</w:t>
            </w:r>
          </w:p>
        </w:tc>
        <w:tc>
          <w:tcPr>
            <w:tcW w:w="570" w:type="dxa"/>
            <w:shd w:val="clear" w:color="auto" w:fill="FFFFFF"/>
            <w:noWrap/>
          </w:tcPr>
          <w:p w14:paraId="489A0FD6" w14:textId="77777777" w:rsidR="00DF410E" w:rsidRDefault="00CE7F43">
            <w:pPr>
              <w:jc w:val="center"/>
            </w:pPr>
            <w:r>
              <w:t>X</w:t>
            </w:r>
          </w:p>
        </w:tc>
        <w:tc>
          <w:tcPr>
            <w:tcW w:w="570" w:type="dxa"/>
            <w:shd w:val="clear" w:color="auto" w:fill="FFFFFF"/>
            <w:noWrap/>
          </w:tcPr>
          <w:p w14:paraId="595E6A1E" w14:textId="77777777" w:rsidR="00DF410E" w:rsidRDefault="00CE7F43">
            <w:pPr>
              <w:jc w:val="center"/>
            </w:pPr>
            <w:r>
              <w:t>X</w:t>
            </w:r>
          </w:p>
        </w:tc>
        <w:tc>
          <w:tcPr>
            <w:tcW w:w="570" w:type="dxa"/>
            <w:shd w:val="clear" w:color="auto" w:fill="FFFFFF"/>
            <w:noWrap/>
          </w:tcPr>
          <w:p w14:paraId="1619F7E3" w14:textId="77777777" w:rsidR="00DF410E" w:rsidRDefault="00CE7F43">
            <w:pPr>
              <w:jc w:val="center"/>
            </w:pPr>
            <w:r>
              <w:t>X</w:t>
            </w:r>
          </w:p>
        </w:tc>
      </w:tr>
      <w:tr w:rsidR="00DF410E" w14:paraId="29878275" w14:textId="77777777">
        <w:tc>
          <w:tcPr>
            <w:tcW w:w="5655" w:type="dxa"/>
            <w:shd w:val="clear" w:color="auto" w:fill="FFFFFF"/>
            <w:noWrap/>
          </w:tcPr>
          <w:p w14:paraId="3BA0BBBD" w14:textId="77777777" w:rsidR="00DF410E" w:rsidRDefault="00CE7F43">
            <w:r>
              <w:t>Bronze phosphorique</w:t>
            </w:r>
          </w:p>
        </w:tc>
        <w:tc>
          <w:tcPr>
            <w:tcW w:w="1065" w:type="dxa"/>
            <w:shd w:val="clear" w:color="auto" w:fill="FFFFFF"/>
            <w:noWrap/>
          </w:tcPr>
          <w:p w14:paraId="204F0852" w14:textId="77777777" w:rsidR="00DF410E" w:rsidRDefault="00CE7F43">
            <w:pPr>
              <w:jc w:val="center"/>
            </w:pPr>
            <w:r>
              <w:rPr>
                <w:b/>
              </w:rPr>
              <w:t>5</w:t>
            </w:r>
          </w:p>
        </w:tc>
        <w:tc>
          <w:tcPr>
            <w:tcW w:w="570" w:type="dxa"/>
            <w:shd w:val="clear" w:color="auto" w:fill="FFFFFF"/>
            <w:noWrap/>
          </w:tcPr>
          <w:p w14:paraId="12FEF048" w14:textId="77777777" w:rsidR="00DF410E" w:rsidRDefault="00CE7F43">
            <w:pPr>
              <w:jc w:val="center"/>
            </w:pPr>
            <w:r>
              <w:t>U</w:t>
            </w:r>
          </w:p>
        </w:tc>
        <w:tc>
          <w:tcPr>
            <w:tcW w:w="570" w:type="dxa"/>
            <w:shd w:val="clear" w:color="auto" w:fill="FFFFFF"/>
            <w:noWrap/>
          </w:tcPr>
          <w:p w14:paraId="5954C05D" w14:textId="77777777" w:rsidR="00DF410E" w:rsidRDefault="00CE7F43">
            <w:pPr>
              <w:jc w:val="center"/>
            </w:pPr>
            <w:r>
              <w:t>U</w:t>
            </w:r>
          </w:p>
        </w:tc>
        <w:tc>
          <w:tcPr>
            <w:tcW w:w="570" w:type="dxa"/>
            <w:shd w:val="clear" w:color="auto" w:fill="FFFFFF"/>
            <w:noWrap/>
          </w:tcPr>
          <w:p w14:paraId="23649132" w14:textId="77777777" w:rsidR="00DF410E" w:rsidRDefault="00CE7F43">
            <w:pPr>
              <w:jc w:val="center"/>
            </w:pPr>
            <w:r>
              <w:t>X</w:t>
            </w:r>
          </w:p>
        </w:tc>
        <w:tc>
          <w:tcPr>
            <w:tcW w:w="570" w:type="dxa"/>
            <w:shd w:val="clear" w:color="auto" w:fill="FFFFFF"/>
            <w:noWrap/>
          </w:tcPr>
          <w:p w14:paraId="6422E3BC" w14:textId="77777777" w:rsidR="00DF410E" w:rsidRDefault="00CE7F43">
            <w:pPr>
              <w:jc w:val="center"/>
            </w:pPr>
            <w:r>
              <w:t>X</w:t>
            </w:r>
          </w:p>
        </w:tc>
      </w:tr>
      <w:tr w:rsidR="00DF410E" w14:paraId="0F8433D2" w14:textId="77777777">
        <w:tc>
          <w:tcPr>
            <w:tcW w:w="5655" w:type="dxa"/>
            <w:shd w:val="clear" w:color="auto" w:fill="FFFFFF"/>
            <w:noWrap/>
          </w:tcPr>
          <w:p w14:paraId="4EA49034" w14:textId="77777777" w:rsidR="00DF410E" w:rsidRDefault="00CE7F43">
            <w:r>
              <w:t>Bronze d‘aluminium</w:t>
            </w:r>
          </w:p>
        </w:tc>
        <w:tc>
          <w:tcPr>
            <w:tcW w:w="1065" w:type="dxa"/>
            <w:shd w:val="clear" w:color="auto" w:fill="FFFFFF"/>
            <w:noWrap/>
          </w:tcPr>
          <w:p w14:paraId="1A3D0298" w14:textId="77777777" w:rsidR="00DF410E" w:rsidRDefault="00CE7F43">
            <w:pPr>
              <w:jc w:val="center"/>
            </w:pPr>
            <w:r>
              <w:rPr>
                <w:b/>
              </w:rPr>
              <w:t>6</w:t>
            </w:r>
          </w:p>
        </w:tc>
        <w:tc>
          <w:tcPr>
            <w:tcW w:w="570" w:type="dxa"/>
            <w:shd w:val="clear" w:color="auto" w:fill="FFFFFF"/>
            <w:noWrap/>
          </w:tcPr>
          <w:p w14:paraId="319943AE" w14:textId="77777777" w:rsidR="00DF410E" w:rsidRDefault="00CE7F43">
            <w:pPr>
              <w:jc w:val="center"/>
            </w:pPr>
            <w:r>
              <w:t>U</w:t>
            </w:r>
          </w:p>
        </w:tc>
        <w:tc>
          <w:tcPr>
            <w:tcW w:w="570" w:type="dxa"/>
            <w:shd w:val="clear" w:color="auto" w:fill="FFFFFF"/>
            <w:noWrap/>
          </w:tcPr>
          <w:p w14:paraId="5FC64878" w14:textId="77777777" w:rsidR="00DF410E" w:rsidRDefault="00CE7F43">
            <w:pPr>
              <w:jc w:val="center"/>
            </w:pPr>
            <w:r>
              <w:t>U</w:t>
            </w:r>
          </w:p>
        </w:tc>
        <w:tc>
          <w:tcPr>
            <w:tcW w:w="570" w:type="dxa"/>
            <w:shd w:val="clear" w:color="auto" w:fill="FFFFFF"/>
            <w:noWrap/>
          </w:tcPr>
          <w:p w14:paraId="54D710C3" w14:textId="77777777" w:rsidR="00DF410E" w:rsidRDefault="00CE7F43">
            <w:pPr>
              <w:jc w:val="center"/>
            </w:pPr>
            <w:r>
              <w:t>X</w:t>
            </w:r>
          </w:p>
        </w:tc>
        <w:tc>
          <w:tcPr>
            <w:tcW w:w="570" w:type="dxa"/>
            <w:shd w:val="clear" w:color="auto" w:fill="FFFFFF"/>
            <w:noWrap/>
          </w:tcPr>
          <w:p w14:paraId="59AAFBA1" w14:textId="77777777" w:rsidR="00DF410E" w:rsidRDefault="00CE7F43">
            <w:pPr>
              <w:jc w:val="center"/>
            </w:pPr>
            <w:r>
              <w:t>X</w:t>
            </w:r>
          </w:p>
        </w:tc>
      </w:tr>
      <w:tr w:rsidR="00DF410E" w14:paraId="131B0E89" w14:textId="77777777">
        <w:tc>
          <w:tcPr>
            <w:tcW w:w="5655" w:type="dxa"/>
            <w:shd w:val="clear" w:color="auto" w:fill="FFFFFF"/>
            <w:noWrap/>
          </w:tcPr>
          <w:p w14:paraId="5DC4BB15" w14:textId="77777777" w:rsidR="00DF410E" w:rsidRDefault="00CE7F43">
            <w:r>
              <w:t>Cuivre</w:t>
            </w:r>
          </w:p>
        </w:tc>
        <w:tc>
          <w:tcPr>
            <w:tcW w:w="1065" w:type="dxa"/>
            <w:shd w:val="clear" w:color="auto" w:fill="FFFFFF"/>
            <w:noWrap/>
          </w:tcPr>
          <w:p w14:paraId="5F49EC85" w14:textId="77777777" w:rsidR="00DF410E" w:rsidRDefault="00CE7F43">
            <w:pPr>
              <w:jc w:val="center"/>
            </w:pPr>
            <w:r>
              <w:rPr>
                <w:b/>
              </w:rPr>
              <w:t>7</w:t>
            </w:r>
          </w:p>
        </w:tc>
        <w:tc>
          <w:tcPr>
            <w:tcW w:w="570" w:type="dxa"/>
            <w:shd w:val="clear" w:color="auto" w:fill="FFFFFF"/>
            <w:noWrap/>
          </w:tcPr>
          <w:p w14:paraId="320386A1" w14:textId="77777777" w:rsidR="00DF410E" w:rsidRDefault="00CE7F43">
            <w:pPr>
              <w:jc w:val="center"/>
            </w:pPr>
            <w:r>
              <w:t>U</w:t>
            </w:r>
          </w:p>
        </w:tc>
        <w:tc>
          <w:tcPr>
            <w:tcW w:w="570" w:type="dxa"/>
            <w:shd w:val="clear" w:color="auto" w:fill="FFFFFF"/>
            <w:noWrap/>
          </w:tcPr>
          <w:p w14:paraId="4C509FEF" w14:textId="77777777" w:rsidR="00DF410E" w:rsidRDefault="00CE7F43">
            <w:pPr>
              <w:jc w:val="center"/>
            </w:pPr>
            <w:r>
              <w:t>U</w:t>
            </w:r>
          </w:p>
        </w:tc>
        <w:tc>
          <w:tcPr>
            <w:tcW w:w="570" w:type="dxa"/>
            <w:shd w:val="clear" w:color="auto" w:fill="FFFFFF"/>
            <w:noWrap/>
          </w:tcPr>
          <w:p w14:paraId="4C147EAC" w14:textId="77777777" w:rsidR="00DF410E" w:rsidRDefault="00CE7F43">
            <w:pPr>
              <w:jc w:val="center"/>
            </w:pPr>
            <w:r>
              <w:t>X</w:t>
            </w:r>
          </w:p>
        </w:tc>
        <w:tc>
          <w:tcPr>
            <w:tcW w:w="570" w:type="dxa"/>
            <w:shd w:val="clear" w:color="auto" w:fill="FFFFFF"/>
            <w:noWrap/>
          </w:tcPr>
          <w:p w14:paraId="494C6713" w14:textId="77777777" w:rsidR="00DF410E" w:rsidRDefault="00CE7F43">
            <w:pPr>
              <w:jc w:val="center"/>
            </w:pPr>
            <w:r>
              <w:t>X</w:t>
            </w:r>
          </w:p>
        </w:tc>
      </w:tr>
      <w:tr w:rsidR="00DF410E" w14:paraId="10E9209B" w14:textId="77777777">
        <w:tc>
          <w:tcPr>
            <w:tcW w:w="5655" w:type="dxa"/>
            <w:shd w:val="clear" w:color="auto" w:fill="FFFFFF"/>
            <w:noWrap/>
          </w:tcPr>
          <w:p w14:paraId="10094DF4" w14:textId="77777777" w:rsidR="00DF410E" w:rsidRDefault="00CE7F43">
            <w:r>
              <w:t>Fil en acier galvanisé (940 g/m² - galvanisation de 132 µm d’épaisseur)</w:t>
            </w:r>
          </w:p>
        </w:tc>
        <w:tc>
          <w:tcPr>
            <w:tcW w:w="1065" w:type="dxa"/>
            <w:shd w:val="clear" w:color="auto" w:fill="FFFFFF"/>
            <w:noWrap/>
          </w:tcPr>
          <w:p w14:paraId="50003540" w14:textId="77777777" w:rsidR="00DF410E" w:rsidRDefault="00CE7F43">
            <w:pPr>
              <w:jc w:val="center"/>
            </w:pPr>
            <w:r>
              <w:rPr>
                <w:b/>
              </w:rPr>
              <w:t>8</w:t>
            </w:r>
          </w:p>
        </w:tc>
        <w:tc>
          <w:tcPr>
            <w:tcW w:w="570" w:type="dxa"/>
            <w:shd w:val="clear" w:color="auto" w:fill="FFFFFF"/>
            <w:noWrap/>
          </w:tcPr>
          <w:p w14:paraId="3307A727" w14:textId="77777777" w:rsidR="00DF410E" w:rsidRDefault="00CE7F43">
            <w:pPr>
              <w:jc w:val="center"/>
            </w:pPr>
            <w:r>
              <w:t>U</w:t>
            </w:r>
          </w:p>
        </w:tc>
        <w:tc>
          <w:tcPr>
            <w:tcW w:w="570" w:type="dxa"/>
            <w:shd w:val="clear" w:color="auto" w:fill="FFFFFF"/>
            <w:noWrap/>
          </w:tcPr>
          <w:p w14:paraId="47A440E9" w14:textId="77777777" w:rsidR="00DF410E" w:rsidRDefault="00CE7F43">
            <w:pPr>
              <w:jc w:val="center"/>
            </w:pPr>
            <w:r>
              <w:t>U</w:t>
            </w:r>
          </w:p>
        </w:tc>
        <w:tc>
          <w:tcPr>
            <w:tcW w:w="570" w:type="dxa"/>
            <w:shd w:val="clear" w:color="auto" w:fill="FFFFFF"/>
            <w:noWrap/>
          </w:tcPr>
          <w:p w14:paraId="035AF7E6" w14:textId="77777777" w:rsidR="00DF410E" w:rsidRDefault="00CE7F43">
            <w:pPr>
              <w:jc w:val="center"/>
            </w:pPr>
            <w:r>
              <w:t>R</w:t>
            </w:r>
          </w:p>
        </w:tc>
        <w:tc>
          <w:tcPr>
            <w:tcW w:w="570" w:type="dxa"/>
            <w:shd w:val="clear" w:color="auto" w:fill="FFFFFF"/>
            <w:noWrap/>
          </w:tcPr>
          <w:p w14:paraId="53E4F072" w14:textId="77777777" w:rsidR="00DF410E" w:rsidRDefault="00CE7F43">
            <w:pPr>
              <w:jc w:val="center"/>
            </w:pPr>
            <w:r>
              <w:t>X</w:t>
            </w:r>
          </w:p>
        </w:tc>
      </w:tr>
      <w:tr w:rsidR="00DF410E" w14:paraId="7E4EF55A" w14:textId="77777777">
        <w:tc>
          <w:tcPr>
            <w:tcW w:w="5655" w:type="dxa"/>
            <w:shd w:val="clear" w:color="auto" w:fill="FFFFFF"/>
            <w:noWrap/>
          </w:tcPr>
          <w:p w14:paraId="5A948FF5" w14:textId="77777777" w:rsidR="00DF410E" w:rsidRDefault="00CE7F43">
            <w:r>
              <w:t>Composant en acier galvanisé (940 g/m² - galvanisation de 132 µm d’épaisseur)</w:t>
            </w:r>
          </w:p>
        </w:tc>
        <w:tc>
          <w:tcPr>
            <w:tcW w:w="1065" w:type="dxa"/>
            <w:shd w:val="clear" w:color="auto" w:fill="FFFFFF"/>
            <w:noWrap/>
          </w:tcPr>
          <w:p w14:paraId="106385F2" w14:textId="77777777" w:rsidR="00DF410E" w:rsidRDefault="00CE7F43">
            <w:pPr>
              <w:jc w:val="center"/>
            </w:pPr>
            <w:r>
              <w:rPr>
                <w:b/>
              </w:rPr>
              <w:t>9</w:t>
            </w:r>
          </w:p>
        </w:tc>
        <w:tc>
          <w:tcPr>
            <w:tcW w:w="570" w:type="dxa"/>
            <w:shd w:val="clear" w:color="auto" w:fill="FFFFFF"/>
            <w:noWrap/>
          </w:tcPr>
          <w:p w14:paraId="55164385" w14:textId="77777777" w:rsidR="00DF410E" w:rsidRDefault="00CE7F43">
            <w:pPr>
              <w:jc w:val="center"/>
            </w:pPr>
            <w:r>
              <w:t>U</w:t>
            </w:r>
          </w:p>
        </w:tc>
        <w:tc>
          <w:tcPr>
            <w:tcW w:w="570" w:type="dxa"/>
            <w:shd w:val="clear" w:color="auto" w:fill="FFFFFF"/>
            <w:noWrap/>
          </w:tcPr>
          <w:p w14:paraId="52291E68" w14:textId="77777777" w:rsidR="00DF410E" w:rsidRDefault="00CE7F43">
            <w:pPr>
              <w:jc w:val="center"/>
            </w:pPr>
            <w:r>
              <w:t>U</w:t>
            </w:r>
          </w:p>
        </w:tc>
        <w:tc>
          <w:tcPr>
            <w:tcW w:w="570" w:type="dxa"/>
            <w:shd w:val="clear" w:color="auto" w:fill="FFFFFF"/>
            <w:noWrap/>
          </w:tcPr>
          <w:p w14:paraId="0E805480" w14:textId="77777777" w:rsidR="00DF410E" w:rsidRDefault="00CE7F43">
            <w:pPr>
              <w:jc w:val="center"/>
            </w:pPr>
            <w:r>
              <w:t>R</w:t>
            </w:r>
          </w:p>
        </w:tc>
        <w:tc>
          <w:tcPr>
            <w:tcW w:w="570" w:type="dxa"/>
            <w:shd w:val="clear" w:color="auto" w:fill="FFFFFF"/>
            <w:noWrap/>
          </w:tcPr>
          <w:p w14:paraId="6C36685F" w14:textId="77777777" w:rsidR="00DF410E" w:rsidRDefault="00CE7F43">
            <w:pPr>
              <w:jc w:val="center"/>
            </w:pPr>
            <w:r>
              <w:t>X</w:t>
            </w:r>
          </w:p>
        </w:tc>
      </w:tr>
      <w:tr w:rsidR="00DF410E" w14:paraId="66625365" w14:textId="77777777">
        <w:tc>
          <w:tcPr>
            <w:tcW w:w="5655" w:type="dxa"/>
            <w:shd w:val="clear" w:color="auto" w:fill="FFFFFF"/>
            <w:noWrap/>
          </w:tcPr>
          <w:p w14:paraId="36276CD1" w14:textId="77777777" w:rsidR="00DF410E" w:rsidRDefault="00CE7F43">
            <w:r>
              <w:t>Composant en acier galvanisé (710 g/m² - galvanisation de 100 µm d’épaisseur)</w:t>
            </w:r>
          </w:p>
        </w:tc>
        <w:tc>
          <w:tcPr>
            <w:tcW w:w="1065" w:type="dxa"/>
            <w:shd w:val="clear" w:color="auto" w:fill="FFFFFF"/>
            <w:noWrap/>
          </w:tcPr>
          <w:p w14:paraId="21864FCA" w14:textId="77777777" w:rsidR="00DF410E" w:rsidRDefault="00CE7F43">
            <w:pPr>
              <w:jc w:val="center"/>
            </w:pPr>
            <w:r>
              <w:rPr>
                <w:b/>
              </w:rPr>
              <w:t>10</w:t>
            </w:r>
          </w:p>
        </w:tc>
        <w:tc>
          <w:tcPr>
            <w:tcW w:w="570" w:type="dxa"/>
            <w:shd w:val="clear" w:color="auto" w:fill="FFFFFF"/>
            <w:noWrap/>
          </w:tcPr>
          <w:p w14:paraId="38AFC543" w14:textId="77777777" w:rsidR="00DF410E" w:rsidRDefault="00CE7F43">
            <w:pPr>
              <w:jc w:val="center"/>
            </w:pPr>
            <w:r>
              <w:t>U</w:t>
            </w:r>
          </w:p>
        </w:tc>
        <w:tc>
          <w:tcPr>
            <w:tcW w:w="570" w:type="dxa"/>
            <w:shd w:val="clear" w:color="auto" w:fill="FFFFFF"/>
            <w:noWrap/>
          </w:tcPr>
          <w:p w14:paraId="4A2F5CC0" w14:textId="77777777" w:rsidR="00DF410E" w:rsidRDefault="00CE7F43">
            <w:pPr>
              <w:jc w:val="center"/>
            </w:pPr>
            <w:r>
              <w:t>U</w:t>
            </w:r>
          </w:p>
        </w:tc>
        <w:tc>
          <w:tcPr>
            <w:tcW w:w="570" w:type="dxa"/>
            <w:shd w:val="clear" w:color="auto" w:fill="FFFFFF"/>
            <w:noWrap/>
          </w:tcPr>
          <w:p w14:paraId="1606218C" w14:textId="77777777" w:rsidR="00DF410E" w:rsidRDefault="00CE7F43">
            <w:pPr>
              <w:jc w:val="center"/>
            </w:pPr>
            <w:r>
              <w:t>R</w:t>
            </w:r>
          </w:p>
        </w:tc>
        <w:tc>
          <w:tcPr>
            <w:tcW w:w="570" w:type="dxa"/>
            <w:shd w:val="clear" w:color="auto" w:fill="FFFFFF"/>
            <w:noWrap/>
          </w:tcPr>
          <w:p w14:paraId="0441ABA4" w14:textId="77777777" w:rsidR="00DF410E" w:rsidRDefault="00CE7F43">
            <w:pPr>
              <w:jc w:val="center"/>
            </w:pPr>
            <w:r>
              <w:t>X</w:t>
            </w:r>
          </w:p>
        </w:tc>
      </w:tr>
      <w:tr w:rsidR="00DF410E" w14:paraId="60448C92" w14:textId="77777777">
        <w:tc>
          <w:tcPr>
            <w:tcW w:w="5655" w:type="dxa"/>
            <w:shd w:val="clear" w:color="auto" w:fill="FFFFFF"/>
            <w:noWrap/>
          </w:tcPr>
          <w:p w14:paraId="652638F5" w14:textId="77777777" w:rsidR="00DF410E" w:rsidRDefault="00CE7F43">
            <w:r>
              <w:t>Composant en acier galvanisé (460 g/m² - galvanisation de 65 µm d’épaisseur)   </w:t>
            </w:r>
          </w:p>
        </w:tc>
        <w:tc>
          <w:tcPr>
            <w:tcW w:w="1065" w:type="dxa"/>
            <w:shd w:val="clear" w:color="auto" w:fill="FFFFFF"/>
            <w:noWrap/>
          </w:tcPr>
          <w:p w14:paraId="06640518" w14:textId="77777777" w:rsidR="00DF410E" w:rsidRDefault="00CE7F43">
            <w:pPr>
              <w:jc w:val="center"/>
            </w:pPr>
            <w:r>
              <w:rPr>
                <w:b/>
              </w:rPr>
              <w:t>11</w:t>
            </w:r>
          </w:p>
        </w:tc>
        <w:tc>
          <w:tcPr>
            <w:tcW w:w="570" w:type="dxa"/>
            <w:shd w:val="clear" w:color="auto" w:fill="FFFFFF"/>
            <w:noWrap/>
          </w:tcPr>
          <w:p w14:paraId="46242762" w14:textId="77777777" w:rsidR="00DF410E" w:rsidRDefault="00CE7F43">
            <w:pPr>
              <w:jc w:val="center"/>
            </w:pPr>
            <w:r>
              <w:t>U</w:t>
            </w:r>
          </w:p>
        </w:tc>
        <w:tc>
          <w:tcPr>
            <w:tcW w:w="570" w:type="dxa"/>
            <w:shd w:val="clear" w:color="auto" w:fill="FFFFFF"/>
            <w:noWrap/>
          </w:tcPr>
          <w:p w14:paraId="7407C73F" w14:textId="77777777" w:rsidR="00DF410E" w:rsidRDefault="00CE7F43">
            <w:pPr>
              <w:jc w:val="center"/>
            </w:pPr>
            <w:r>
              <w:t>R</w:t>
            </w:r>
          </w:p>
        </w:tc>
        <w:tc>
          <w:tcPr>
            <w:tcW w:w="570" w:type="dxa"/>
            <w:shd w:val="clear" w:color="auto" w:fill="FFFFFF"/>
            <w:noWrap/>
          </w:tcPr>
          <w:p w14:paraId="6973A442" w14:textId="77777777" w:rsidR="00DF410E" w:rsidRDefault="00CE7F43">
            <w:pPr>
              <w:jc w:val="center"/>
            </w:pPr>
            <w:r>
              <w:t>R</w:t>
            </w:r>
          </w:p>
        </w:tc>
        <w:tc>
          <w:tcPr>
            <w:tcW w:w="570" w:type="dxa"/>
            <w:shd w:val="clear" w:color="auto" w:fill="FFFFFF"/>
            <w:noWrap/>
          </w:tcPr>
          <w:p w14:paraId="1471793B" w14:textId="77777777" w:rsidR="00DF410E" w:rsidRDefault="00CE7F43">
            <w:pPr>
              <w:jc w:val="center"/>
            </w:pPr>
            <w:r>
              <w:t>X</w:t>
            </w:r>
          </w:p>
        </w:tc>
      </w:tr>
      <w:tr w:rsidR="00DF410E" w14:paraId="35E39A65" w14:textId="77777777">
        <w:tc>
          <w:tcPr>
            <w:tcW w:w="5655" w:type="dxa"/>
            <w:shd w:val="clear" w:color="auto" w:fill="FFFFFF"/>
            <w:noWrap/>
          </w:tcPr>
          <w:p w14:paraId="40D1A976" w14:textId="77777777" w:rsidR="00DF410E" w:rsidRDefault="00CE7F43">
            <w:r>
              <w:t>Composant en acier galvanisé (395 g/m² - galvanisation de 55 µm d’épaisseur)</w:t>
            </w:r>
          </w:p>
        </w:tc>
        <w:tc>
          <w:tcPr>
            <w:tcW w:w="1065" w:type="dxa"/>
            <w:shd w:val="clear" w:color="auto" w:fill="FFFFFF"/>
            <w:noWrap/>
          </w:tcPr>
          <w:p w14:paraId="465EE756" w14:textId="77777777" w:rsidR="00DF410E" w:rsidRDefault="00CE7F43">
            <w:pPr>
              <w:jc w:val="center"/>
            </w:pPr>
            <w:r>
              <w:rPr>
                <w:b/>
              </w:rPr>
              <w:t>11A</w:t>
            </w:r>
          </w:p>
        </w:tc>
        <w:tc>
          <w:tcPr>
            <w:tcW w:w="570" w:type="dxa"/>
            <w:shd w:val="clear" w:color="auto" w:fill="FFFFFF"/>
            <w:noWrap/>
          </w:tcPr>
          <w:p w14:paraId="41DDB56B" w14:textId="77777777" w:rsidR="00DF410E" w:rsidRDefault="00CE7F43">
            <w:pPr>
              <w:jc w:val="center"/>
            </w:pPr>
            <w:r>
              <w:t>U</w:t>
            </w:r>
          </w:p>
        </w:tc>
        <w:tc>
          <w:tcPr>
            <w:tcW w:w="570" w:type="dxa"/>
            <w:shd w:val="clear" w:color="auto" w:fill="FFFFFF"/>
            <w:noWrap/>
          </w:tcPr>
          <w:p w14:paraId="7185A847" w14:textId="77777777" w:rsidR="00DF410E" w:rsidRDefault="00CE7F43">
            <w:pPr>
              <w:jc w:val="center"/>
            </w:pPr>
            <w:r>
              <w:t>R</w:t>
            </w:r>
          </w:p>
        </w:tc>
        <w:tc>
          <w:tcPr>
            <w:tcW w:w="570" w:type="dxa"/>
            <w:shd w:val="clear" w:color="auto" w:fill="FFFFFF"/>
            <w:noWrap/>
          </w:tcPr>
          <w:p w14:paraId="2F95A6E7" w14:textId="77777777" w:rsidR="00DF410E" w:rsidRDefault="00CE7F43">
            <w:pPr>
              <w:jc w:val="center"/>
            </w:pPr>
            <w:r>
              <w:t>R</w:t>
            </w:r>
          </w:p>
        </w:tc>
        <w:tc>
          <w:tcPr>
            <w:tcW w:w="570" w:type="dxa"/>
            <w:shd w:val="clear" w:color="auto" w:fill="FFFFFF"/>
            <w:noWrap/>
          </w:tcPr>
          <w:p w14:paraId="1B30B02E" w14:textId="77777777" w:rsidR="00DF410E" w:rsidRDefault="00CE7F43">
            <w:pPr>
              <w:jc w:val="center"/>
            </w:pPr>
            <w:r>
              <w:t>X</w:t>
            </w:r>
          </w:p>
        </w:tc>
      </w:tr>
      <w:tr w:rsidR="00DF410E" w14:paraId="15EA0B7D" w14:textId="77777777">
        <w:tc>
          <w:tcPr>
            <w:tcW w:w="5655" w:type="dxa"/>
            <w:shd w:val="clear" w:color="auto" w:fill="FFFFFF"/>
            <w:noWrap/>
          </w:tcPr>
          <w:p w14:paraId="77A6EBAE" w14:textId="77777777" w:rsidR="00DF410E" w:rsidRDefault="00CE7F43">
            <w:r>
              <w:t>Tôle ou feuillard en acier galvanisé (300 g/m² - galvanisation de 42 µm d’épaisseur) avec un revêtement organique (2 types) sur toutes les surfaces extérieures du composant fini</w:t>
            </w:r>
          </w:p>
        </w:tc>
        <w:tc>
          <w:tcPr>
            <w:tcW w:w="1065" w:type="dxa"/>
            <w:shd w:val="clear" w:color="auto" w:fill="FFFFFF"/>
            <w:noWrap/>
          </w:tcPr>
          <w:p w14:paraId="59AC6DFE" w14:textId="77777777" w:rsidR="00DF410E" w:rsidRDefault="00CE7F43">
            <w:pPr>
              <w:jc w:val="center"/>
            </w:pPr>
            <w:r>
              <w:rPr>
                <w:b/>
              </w:rPr>
              <w:t>12.1</w:t>
            </w:r>
          </w:p>
          <w:p w14:paraId="470485CF" w14:textId="77777777" w:rsidR="00DF410E" w:rsidRDefault="00CE7F43">
            <w:pPr>
              <w:jc w:val="center"/>
            </w:pPr>
            <w:r>
              <w:rPr>
                <w:b/>
              </w:rPr>
              <w:t>12.2</w:t>
            </w:r>
          </w:p>
        </w:tc>
        <w:tc>
          <w:tcPr>
            <w:tcW w:w="570" w:type="dxa"/>
            <w:shd w:val="clear" w:color="auto" w:fill="FFFFFF"/>
            <w:noWrap/>
          </w:tcPr>
          <w:p w14:paraId="138E3C8E" w14:textId="77777777" w:rsidR="00DF410E" w:rsidRDefault="00CE7F43">
            <w:pPr>
              <w:jc w:val="center"/>
            </w:pPr>
            <w:r>
              <w:t>U</w:t>
            </w:r>
          </w:p>
        </w:tc>
        <w:tc>
          <w:tcPr>
            <w:tcW w:w="570" w:type="dxa"/>
            <w:shd w:val="clear" w:color="auto" w:fill="FFFFFF"/>
            <w:noWrap/>
          </w:tcPr>
          <w:p w14:paraId="52B5CBB5" w14:textId="77777777" w:rsidR="00DF410E" w:rsidRDefault="00CE7F43">
            <w:pPr>
              <w:jc w:val="center"/>
            </w:pPr>
            <w:r>
              <w:t>U</w:t>
            </w:r>
          </w:p>
        </w:tc>
        <w:tc>
          <w:tcPr>
            <w:tcW w:w="570" w:type="dxa"/>
            <w:shd w:val="clear" w:color="auto" w:fill="FFFFFF"/>
            <w:noWrap/>
          </w:tcPr>
          <w:p w14:paraId="2354BA78" w14:textId="77777777" w:rsidR="00DF410E" w:rsidRDefault="00CE7F43">
            <w:pPr>
              <w:jc w:val="center"/>
            </w:pPr>
            <w:r>
              <w:t>R</w:t>
            </w:r>
          </w:p>
        </w:tc>
        <w:tc>
          <w:tcPr>
            <w:tcW w:w="570" w:type="dxa"/>
            <w:shd w:val="clear" w:color="auto" w:fill="FFFFFF"/>
            <w:noWrap/>
          </w:tcPr>
          <w:p w14:paraId="04824DA9" w14:textId="77777777" w:rsidR="00DF410E" w:rsidRDefault="00CE7F43">
            <w:pPr>
              <w:jc w:val="center"/>
            </w:pPr>
            <w:r>
              <w:t>X</w:t>
            </w:r>
          </w:p>
        </w:tc>
      </w:tr>
      <w:tr w:rsidR="00DF410E" w14:paraId="51A28E06" w14:textId="77777777">
        <w:tc>
          <w:tcPr>
            <w:tcW w:w="5655" w:type="dxa"/>
            <w:shd w:val="clear" w:color="auto" w:fill="FFFFFF"/>
            <w:noWrap/>
          </w:tcPr>
          <w:p w14:paraId="4EC76BA3" w14:textId="77777777" w:rsidR="00DF410E" w:rsidRDefault="00CE7F43">
            <w:r>
              <w:t>Fil d’acier galvanisé (265 g/m² - galvanisation de 37 µm d’épaisseur)</w:t>
            </w:r>
          </w:p>
        </w:tc>
        <w:tc>
          <w:tcPr>
            <w:tcW w:w="1065" w:type="dxa"/>
            <w:shd w:val="clear" w:color="auto" w:fill="FFFFFF"/>
            <w:noWrap/>
          </w:tcPr>
          <w:p w14:paraId="53793304" w14:textId="77777777" w:rsidR="00DF410E" w:rsidRDefault="00CE7F43">
            <w:pPr>
              <w:jc w:val="center"/>
            </w:pPr>
            <w:r>
              <w:rPr>
                <w:b/>
              </w:rPr>
              <w:t>13</w:t>
            </w:r>
          </w:p>
        </w:tc>
        <w:tc>
          <w:tcPr>
            <w:tcW w:w="570" w:type="dxa"/>
            <w:shd w:val="clear" w:color="auto" w:fill="FFFFFF"/>
            <w:noWrap/>
          </w:tcPr>
          <w:p w14:paraId="6BA70262" w14:textId="77777777" w:rsidR="00DF410E" w:rsidRDefault="00CE7F43">
            <w:pPr>
              <w:jc w:val="center"/>
            </w:pPr>
            <w:r>
              <w:t>U</w:t>
            </w:r>
          </w:p>
        </w:tc>
        <w:tc>
          <w:tcPr>
            <w:tcW w:w="570" w:type="dxa"/>
            <w:shd w:val="clear" w:color="auto" w:fill="FFFFFF"/>
            <w:noWrap/>
          </w:tcPr>
          <w:p w14:paraId="011352F4" w14:textId="77777777" w:rsidR="00DF410E" w:rsidRDefault="00CE7F43">
            <w:pPr>
              <w:jc w:val="center"/>
            </w:pPr>
            <w:r>
              <w:t>R</w:t>
            </w:r>
          </w:p>
        </w:tc>
        <w:tc>
          <w:tcPr>
            <w:tcW w:w="570" w:type="dxa"/>
            <w:shd w:val="clear" w:color="auto" w:fill="FFFFFF"/>
            <w:noWrap/>
          </w:tcPr>
          <w:p w14:paraId="5D621D1A" w14:textId="77777777" w:rsidR="00DF410E" w:rsidRDefault="00CE7F43">
            <w:pPr>
              <w:jc w:val="center"/>
            </w:pPr>
            <w:r>
              <w:t>X</w:t>
            </w:r>
          </w:p>
        </w:tc>
        <w:tc>
          <w:tcPr>
            <w:tcW w:w="570" w:type="dxa"/>
            <w:shd w:val="clear" w:color="auto" w:fill="FFFFFF"/>
            <w:noWrap/>
          </w:tcPr>
          <w:p w14:paraId="18034CB6" w14:textId="77777777" w:rsidR="00DF410E" w:rsidRDefault="00CE7F43">
            <w:pPr>
              <w:jc w:val="center"/>
            </w:pPr>
            <w:r>
              <w:t>X</w:t>
            </w:r>
          </w:p>
        </w:tc>
      </w:tr>
      <w:tr w:rsidR="00DF410E" w14:paraId="3F4121A4" w14:textId="77777777">
        <w:tc>
          <w:tcPr>
            <w:tcW w:w="5655" w:type="dxa"/>
            <w:shd w:val="clear" w:color="auto" w:fill="FFFFFF"/>
            <w:noWrap/>
          </w:tcPr>
          <w:p w14:paraId="642F66F3" w14:textId="77777777" w:rsidR="00DF410E" w:rsidRDefault="00CE7F43">
            <w:r>
              <w:t>Tôle ou feuillard d’acier galvanisé (300 g/m² - galvanisation de 42 µm d’épaisseur) avec un revêtement organique sur tous les bords de coupe</w:t>
            </w:r>
          </w:p>
        </w:tc>
        <w:tc>
          <w:tcPr>
            <w:tcW w:w="1065" w:type="dxa"/>
            <w:shd w:val="clear" w:color="auto" w:fill="FFFFFF"/>
            <w:noWrap/>
          </w:tcPr>
          <w:p w14:paraId="098D7244" w14:textId="77777777" w:rsidR="00DF410E" w:rsidRDefault="00CE7F43">
            <w:pPr>
              <w:jc w:val="center"/>
            </w:pPr>
            <w:r>
              <w:rPr>
                <w:b/>
              </w:rPr>
              <w:t>14</w:t>
            </w:r>
          </w:p>
        </w:tc>
        <w:tc>
          <w:tcPr>
            <w:tcW w:w="570" w:type="dxa"/>
            <w:shd w:val="clear" w:color="auto" w:fill="FFFFFF"/>
            <w:noWrap/>
          </w:tcPr>
          <w:p w14:paraId="12654318" w14:textId="77777777" w:rsidR="00DF410E" w:rsidRDefault="00CE7F43">
            <w:pPr>
              <w:jc w:val="center"/>
            </w:pPr>
            <w:r>
              <w:t>U</w:t>
            </w:r>
          </w:p>
        </w:tc>
        <w:tc>
          <w:tcPr>
            <w:tcW w:w="570" w:type="dxa"/>
            <w:shd w:val="clear" w:color="auto" w:fill="FFFFFF"/>
            <w:noWrap/>
          </w:tcPr>
          <w:p w14:paraId="51CB9F86" w14:textId="77777777" w:rsidR="00DF410E" w:rsidRDefault="00CE7F43">
            <w:pPr>
              <w:jc w:val="center"/>
            </w:pPr>
            <w:r>
              <w:t>R</w:t>
            </w:r>
          </w:p>
        </w:tc>
        <w:tc>
          <w:tcPr>
            <w:tcW w:w="570" w:type="dxa"/>
            <w:shd w:val="clear" w:color="auto" w:fill="FFFFFF"/>
            <w:noWrap/>
          </w:tcPr>
          <w:p w14:paraId="0BB3AD2D" w14:textId="77777777" w:rsidR="00DF410E" w:rsidRDefault="00CE7F43">
            <w:pPr>
              <w:jc w:val="center"/>
            </w:pPr>
            <w:r>
              <w:t>X</w:t>
            </w:r>
          </w:p>
        </w:tc>
        <w:tc>
          <w:tcPr>
            <w:tcW w:w="570" w:type="dxa"/>
            <w:shd w:val="clear" w:color="auto" w:fill="FFFFFF"/>
            <w:noWrap/>
          </w:tcPr>
          <w:p w14:paraId="0707547E" w14:textId="77777777" w:rsidR="00DF410E" w:rsidRDefault="00CE7F43">
            <w:pPr>
              <w:jc w:val="center"/>
            </w:pPr>
            <w:r>
              <w:t>X</w:t>
            </w:r>
          </w:p>
        </w:tc>
      </w:tr>
      <w:tr w:rsidR="00DF410E" w14:paraId="57EDA70B" w14:textId="77777777">
        <w:tc>
          <w:tcPr>
            <w:tcW w:w="5655" w:type="dxa"/>
            <w:shd w:val="clear" w:color="auto" w:fill="FFFFFF"/>
            <w:noWrap/>
          </w:tcPr>
          <w:p w14:paraId="40B46F70" w14:textId="77777777" w:rsidR="00DF410E" w:rsidRDefault="00CE7F43">
            <w:r>
              <w:t>Tôle ou feuillard d’acier galvanisé  (300 g/m² - galvanisation de 42 µm d’épaisseur)</w:t>
            </w:r>
          </w:p>
        </w:tc>
        <w:tc>
          <w:tcPr>
            <w:tcW w:w="1065" w:type="dxa"/>
            <w:shd w:val="clear" w:color="auto" w:fill="FFFFFF"/>
            <w:noWrap/>
          </w:tcPr>
          <w:p w14:paraId="6523F3E0" w14:textId="77777777" w:rsidR="00DF410E" w:rsidRDefault="00CE7F43">
            <w:pPr>
              <w:jc w:val="center"/>
            </w:pPr>
            <w:r>
              <w:rPr>
                <w:b/>
              </w:rPr>
              <w:t>15</w:t>
            </w:r>
          </w:p>
        </w:tc>
        <w:tc>
          <w:tcPr>
            <w:tcW w:w="570" w:type="dxa"/>
            <w:shd w:val="clear" w:color="auto" w:fill="FFFFFF"/>
            <w:noWrap/>
          </w:tcPr>
          <w:p w14:paraId="2F4FD090" w14:textId="77777777" w:rsidR="00DF410E" w:rsidRDefault="00CE7F43">
            <w:pPr>
              <w:jc w:val="center"/>
            </w:pPr>
            <w:r>
              <w:t>U</w:t>
            </w:r>
          </w:p>
        </w:tc>
        <w:tc>
          <w:tcPr>
            <w:tcW w:w="570" w:type="dxa"/>
            <w:shd w:val="clear" w:color="auto" w:fill="FFFFFF"/>
            <w:noWrap/>
          </w:tcPr>
          <w:p w14:paraId="2400E547" w14:textId="77777777" w:rsidR="00DF410E" w:rsidRDefault="00CE7F43">
            <w:pPr>
              <w:jc w:val="center"/>
            </w:pPr>
            <w:r>
              <w:t>R</w:t>
            </w:r>
          </w:p>
        </w:tc>
        <w:tc>
          <w:tcPr>
            <w:tcW w:w="570" w:type="dxa"/>
            <w:shd w:val="clear" w:color="auto" w:fill="FFFFFF"/>
            <w:noWrap/>
          </w:tcPr>
          <w:p w14:paraId="51689AC6" w14:textId="77777777" w:rsidR="00DF410E" w:rsidRDefault="00CE7F43">
            <w:pPr>
              <w:jc w:val="center"/>
            </w:pPr>
            <w:r>
              <w:t>X</w:t>
            </w:r>
          </w:p>
        </w:tc>
        <w:tc>
          <w:tcPr>
            <w:tcW w:w="570" w:type="dxa"/>
            <w:shd w:val="clear" w:color="auto" w:fill="FFFFFF"/>
            <w:noWrap/>
          </w:tcPr>
          <w:p w14:paraId="350690CC" w14:textId="77777777" w:rsidR="00DF410E" w:rsidRDefault="00CE7F43">
            <w:pPr>
              <w:jc w:val="center"/>
            </w:pPr>
            <w:r>
              <w:t>X</w:t>
            </w:r>
          </w:p>
        </w:tc>
      </w:tr>
      <w:tr w:rsidR="00DF410E" w14:paraId="085F8EA8" w14:textId="77777777">
        <w:tc>
          <w:tcPr>
            <w:tcW w:w="5655" w:type="dxa"/>
            <w:shd w:val="clear" w:color="auto" w:fill="FFFFFF"/>
            <w:noWrap/>
          </w:tcPr>
          <w:p w14:paraId="532E2F08" w14:textId="77777777" w:rsidR="00DF410E" w:rsidRDefault="00CE7F43">
            <w:r>
              <w:t>Tôle ou feuillard d’acier galvanisé (137 g/m² - galvanisation de 19 µm d’épaisseur) avec un revêtement organique (2 types) sur toutes les surfaces extérieures du composant fini</w:t>
            </w:r>
          </w:p>
        </w:tc>
        <w:tc>
          <w:tcPr>
            <w:tcW w:w="1065" w:type="dxa"/>
            <w:shd w:val="clear" w:color="auto" w:fill="FFFFFF"/>
            <w:noWrap/>
          </w:tcPr>
          <w:p w14:paraId="2DCF1E2C" w14:textId="77777777" w:rsidR="00DF410E" w:rsidRDefault="00CE7F43">
            <w:pPr>
              <w:jc w:val="center"/>
            </w:pPr>
            <w:r>
              <w:rPr>
                <w:b/>
              </w:rPr>
              <w:t>16.1</w:t>
            </w:r>
          </w:p>
          <w:p w14:paraId="7DC556C5" w14:textId="77777777" w:rsidR="00DF410E" w:rsidRDefault="00CE7F43">
            <w:pPr>
              <w:jc w:val="center"/>
            </w:pPr>
            <w:r>
              <w:rPr>
                <w:b/>
              </w:rPr>
              <w:t>16.2</w:t>
            </w:r>
          </w:p>
        </w:tc>
        <w:tc>
          <w:tcPr>
            <w:tcW w:w="570" w:type="dxa"/>
            <w:shd w:val="clear" w:color="auto" w:fill="FFFFFF"/>
            <w:noWrap/>
          </w:tcPr>
          <w:p w14:paraId="169ECD23" w14:textId="77777777" w:rsidR="00DF410E" w:rsidRDefault="00CE7F43">
            <w:pPr>
              <w:jc w:val="center"/>
            </w:pPr>
            <w:r>
              <w:t>U</w:t>
            </w:r>
          </w:p>
        </w:tc>
        <w:tc>
          <w:tcPr>
            <w:tcW w:w="570" w:type="dxa"/>
            <w:shd w:val="clear" w:color="auto" w:fill="FFFFFF"/>
            <w:noWrap/>
          </w:tcPr>
          <w:p w14:paraId="65307E12" w14:textId="77777777" w:rsidR="00DF410E" w:rsidRDefault="00CE7F43">
            <w:pPr>
              <w:jc w:val="center"/>
            </w:pPr>
            <w:r>
              <w:t>U</w:t>
            </w:r>
          </w:p>
        </w:tc>
        <w:tc>
          <w:tcPr>
            <w:tcW w:w="570" w:type="dxa"/>
            <w:shd w:val="clear" w:color="auto" w:fill="FFFFFF"/>
            <w:noWrap/>
          </w:tcPr>
          <w:p w14:paraId="106167E3" w14:textId="77777777" w:rsidR="00DF410E" w:rsidRDefault="00CE7F43">
            <w:pPr>
              <w:jc w:val="center"/>
            </w:pPr>
            <w:r>
              <w:t>R</w:t>
            </w:r>
          </w:p>
        </w:tc>
        <w:tc>
          <w:tcPr>
            <w:tcW w:w="570" w:type="dxa"/>
            <w:shd w:val="clear" w:color="auto" w:fill="FFFFFF"/>
            <w:noWrap/>
          </w:tcPr>
          <w:p w14:paraId="03DB1FCC" w14:textId="77777777" w:rsidR="00DF410E" w:rsidRDefault="00CE7F43">
            <w:pPr>
              <w:jc w:val="center"/>
            </w:pPr>
            <w:r>
              <w:t>X</w:t>
            </w:r>
          </w:p>
        </w:tc>
      </w:tr>
      <w:tr w:rsidR="00DF410E" w14:paraId="15E5425B" w14:textId="77777777">
        <w:tc>
          <w:tcPr>
            <w:tcW w:w="5655" w:type="dxa"/>
            <w:shd w:val="clear" w:color="auto" w:fill="FFFFFF"/>
            <w:noWrap/>
          </w:tcPr>
          <w:p w14:paraId="54F089B0" w14:textId="77777777" w:rsidR="00DF410E" w:rsidRDefault="00CE7F43">
            <w:r>
              <w:t>Feuillard d’acier prégalvanisé (137 g/m² - galvanisation de 19 µm d’épaisseur) avec des bords galvanisés</w:t>
            </w:r>
          </w:p>
        </w:tc>
        <w:tc>
          <w:tcPr>
            <w:tcW w:w="1065" w:type="dxa"/>
            <w:shd w:val="clear" w:color="auto" w:fill="FFFFFF"/>
            <w:noWrap/>
          </w:tcPr>
          <w:p w14:paraId="2ADF09CB" w14:textId="77777777" w:rsidR="00DF410E" w:rsidRDefault="00CE7F43">
            <w:pPr>
              <w:jc w:val="center"/>
            </w:pPr>
            <w:r>
              <w:rPr>
                <w:b/>
              </w:rPr>
              <w:t>17</w:t>
            </w:r>
          </w:p>
        </w:tc>
        <w:tc>
          <w:tcPr>
            <w:tcW w:w="570" w:type="dxa"/>
            <w:shd w:val="clear" w:color="auto" w:fill="FFFFFF"/>
            <w:noWrap/>
          </w:tcPr>
          <w:p w14:paraId="498776F4" w14:textId="77777777" w:rsidR="00DF410E" w:rsidRDefault="00CE7F43">
            <w:pPr>
              <w:jc w:val="center"/>
            </w:pPr>
            <w:r>
              <w:t>U</w:t>
            </w:r>
          </w:p>
        </w:tc>
        <w:tc>
          <w:tcPr>
            <w:tcW w:w="570" w:type="dxa"/>
            <w:shd w:val="clear" w:color="auto" w:fill="FFFFFF"/>
            <w:noWrap/>
          </w:tcPr>
          <w:p w14:paraId="6CEB500C" w14:textId="77777777" w:rsidR="00DF410E" w:rsidRDefault="00CE7F43">
            <w:pPr>
              <w:jc w:val="center"/>
            </w:pPr>
            <w:r>
              <w:t>R</w:t>
            </w:r>
          </w:p>
        </w:tc>
        <w:tc>
          <w:tcPr>
            <w:tcW w:w="570" w:type="dxa"/>
            <w:shd w:val="clear" w:color="auto" w:fill="FFFFFF"/>
            <w:noWrap/>
          </w:tcPr>
          <w:p w14:paraId="1A6ABB4C" w14:textId="77777777" w:rsidR="00DF410E" w:rsidRDefault="00CE7F43">
            <w:pPr>
              <w:jc w:val="center"/>
            </w:pPr>
            <w:r>
              <w:t>X</w:t>
            </w:r>
          </w:p>
        </w:tc>
        <w:tc>
          <w:tcPr>
            <w:tcW w:w="570" w:type="dxa"/>
            <w:shd w:val="clear" w:color="auto" w:fill="FFFFFF"/>
            <w:noWrap/>
          </w:tcPr>
          <w:p w14:paraId="0BA00B7C" w14:textId="77777777" w:rsidR="00DF410E" w:rsidRDefault="00CE7F43">
            <w:pPr>
              <w:jc w:val="center"/>
            </w:pPr>
            <w:r>
              <w:t>X</w:t>
            </w:r>
          </w:p>
        </w:tc>
      </w:tr>
      <w:tr w:rsidR="00DF410E" w14:paraId="6497C9B4" w14:textId="77777777">
        <w:tc>
          <w:tcPr>
            <w:tcW w:w="5655" w:type="dxa"/>
            <w:shd w:val="clear" w:color="auto" w:fill="FFFFFF"/>
            <w:noWrap/>
          </w:tcPr>
          <w:p w14:paraId="172F5A47" w14:textId="77777777" w:rsidR="00DF410E" w:rsidRDefault="00CE7F43">
            <w:r>
              <w:t>Fil d’acier galvanisé (60 g/m² - galvanisation de 8,5 µm d’épaisseur) avec un revêtement organique sur toutes les surfaces extérieures du composant fini</w:t>
            </w:r>
          </w:p>
        </w:tc>
        <w:tc>
          <w:tcPr>
            <w:tcW w:w="1065" w:type="dxa"/>
            <w:shd w:val="clear" w:color="auto" w:fill="FFFFFF"/>
            <w:noWrap/>
          </w:tcPr>
          <w:p w14:paraId="0EA718A2" w14:textId="77777777" w:rsidR="00DF410E" w:rsidRDefault="00CE7F43">
            <w:pPr>
              <w:jc w:val="center"/>
            </w:pPr>
            <w:r>
              <w:rPr>
                <w:b/>
              </w:rPr>
              <w:t>18</w:t>
            </w:r>
          </w:p>
        </w:tc>
        <w:tc>
          <w:tcPr>
            <w:tcW w:w="570" w:type="dxa"/>
            <w:shd w:val="clear" w:color="auto" w:fill="FFFFFF"/>
            <w:noWrap/>
          </w:tcPr>
          <w:p w14:paraId="3B68B33A" w14:textId="77777777" w:rsidR="00DF410E" w:rsidRDefault="00CE7F43">
            <w:pPr>
              <w:jc w:val="center"/>
            </w:pPr>
            <w:r>
              <w:t>U</w:t>
            </w:r>
          </w:p>
        </w:tc>
        <w:tc>
          <w:tcPr>
            <w:tcW w:w="570" w:type="dxa"/>
            <w:shd w:val="clear" w:color="auto" w:fill="FFFFFF"/>
            <w:noWrap/>
          </w:tcPr>
          <w:p w14:paraId="3AB090A3" w14:textId="77777777" w:rsidR="00DF410E" w:rsidRDefault="00CE7F43">
            <w:pPr>
              <w:jc w:val="center"/>
            </w:pPr>
            <w:r>
              <w:t>R</w:t>
            </w:r>
          </w:p>
        </w:tc>
        <w:tc>
          <w:tcPr>
            <w:tcW w:w="570" w:type="dxa"/>
            <w:shd w:val="clear" w:color="auto" w:fill="FFFFFF"/>
            <w:noWrap/>
          </w:tcPr>
          <w:p w14:paraId="22A98B84" w14:textId="77777777" w:rsidR="00DF410E" w:rsidRDefault="00CE7F43">
            <w:pPr>
              <w:jc w:val="center"/>
            </w:pPr>
            <w:r>
              <w:t>R</w:t>
            </w:r>
          </w:p>
        </w:tc>
        <w:tc>
          <w:tcPr>
            <w:tcW w:w="570" w:type="dxa"/>
            <w:shd w:val="clear" w:color="auto" w:fill="FFFFFF"/>
            <w:noWrap/>
          </w:tcPr>
          <w:p w14:paraId="5D5A19AC" w14:textId="77777777" w:rsidR="00DF410E" w:rsidRDefault="00CE7F43">
            <w:pPr>
              <w:jc w:val="center"/>
            </w:pPr>
            <w:r>
              <w:t>X</w:t>
            </w:r>
          </w:p>
        </w:tc>
      </w:tr>
      <w:tr w:rsidR="00DF410E" w14:paraId="2084250B" w14:textId="77777777">
        <w:tc>
          <w:tcPr>
            <w:tcW w:w="5655" w:type="dxa"/>
            <w:shd w:val="clear" w:color="auto" w:fill="FFFFFF"/>
            <w:noWrap/>
          </w:tcPr>
          <w:p w14:paraId="2E21DFA6" w14:textId="77777777" w:rsidR="00DF410E" w:rsidRDefault="00CE7F43">
            <w:r>
              <w:t>Fil d’acier galvanisé (105 g/m² - galvanisation de 15 µm d’épaisseur)</w:t>
            </w:r>
          </w:p>
        </w:tc>
        <w:tc>
          <w:tcPr>
            <w:tcW w:w="1065" w:type="dxa"/>
            <w:shd w:val="clear" w:color="auto" w:fill="FFFFFF"/>
            <w:noWrap/>
          </w:tcPr>
          <w:p w14:paraId="648DB44D" w14:textId="77777777" w:rsidR="00DF410E" w:rsidRDefault="00CE7F43">
            <w:pPr>
              <w:jc w:val="center"/>
            </w:pPr>
            <w:r>
              <w:rPr>
                <w:b/>
              </w:rPr>
              <w:t>19</w:t>
            </w:r>
          </w:p>
        </w:tc>
        <w:tc>
          <w:tcPr>
            <w:tcW w:w="570" w:type="dxa"/>
            <w:shd w:val="clear" w:color="auto" w:fill="FFFFFF"/>
            <w:noWrap/>
          </w:tcPr>
          <w:p w14:paraId="2B4AD560" w14:textId="77777777" w:rsidR="00DF410E" w:rsidRDefault="00CE7F43">
            <w:pPr>
              <w:jc w:val="center"/>
            </w:pPr>
            <w:r>
              <w:t>U</w:t>
            </w:r>
          </w:p>
        </w:tc>
        <w:tc>
          <w:tcPr>
            <w:tcW w:w="570" w:type="dxa"/>
            <w:shd w:val="clear" w:color="auto" w:fill="FFFFFF"/>
            <w:noWrap/>
          </w:tcPr>
          <w:p w14:paraId="70E890D3" w14:textId="77777777" w:rsidR="00DF410E" w:rsidRDefault="00CE7F43">
            <w:pPr>
              <w:jc w:val="center"/>
            </w:pPr>
            <w:r>
              <w:t>R</w:t>
            </w:r>
          </w:p>
        </w:tc>
        <w:tc>
          <w:tcPr>
            <w:tcW w:w="570" w:type="dxa"/>
            <w:shd w:val="clear" w:color="auto" w:fill="FFFFFF"/>
            <w:noWrap/>
          </w:tcPr>
          <w:p w14:paraId="2508DD66" w14:textId="77777777" w:rsidR="00DF410E" w:rsidRDefault="00CE7F43">
            <w:pPr>
              <w:jc w:val="center"/>
            </w:pPr>
            <w:r>
              <w:t>X</w:t>
            </w:r>
          </w:p>
        </w:tc>
        <w:tc>
          <w:tcPr>
            <w:tcW w:w="570" w:type="dxa"/>
            <w:shd w:val="clear" w:color="auto" w:fill="FFFFFF"/>
            <w:noWrap/>
          </w:tcPr>
          <w:p w14:paraId="60225783" w14:textId="77777777" w:rsidR="00DF410E" w:rsidRDefault="00CE7F43">
            <w:pPr>
              <w:jc w:val="center"/>
            </w:pPr>
            <w:r>
              <w:t>X</w:t>
            </w:r>
          </w:p>
        </w:tc>
      </w:tr>
      <w:tr w:rsidR="00DF410E" w14:paraId="49A2AE6F" w14:textId="77777777">
        <w:tc>
          <w:tcPr>
            <w:tcW w:w="5655" w:type="dxa"/>
            <w:shd w:val="clear" w:color="auto" w:fill="FFFFFF"/>
            <w:noWrap/>
          </w:tcPr>
          <w:p w14:paraId="088DD26B" w14:textId="77777777" w:rsidR="00DF410E" w:rsidRDefault="00CE7F43">
            <w:r>
              <w:t>Fil d’acier galvanisé (60 g/m² - galvanisation de 8,5 µm d’épaisseur)</w:t>
            </w:r>
          </w:p>
        </w:tc>
        <w:tc>
          <w:tcPr>
            <w:tcW w:w="1065" w:type="dxa"/>
            <w:shd w:val="clear" w:color="auto" w:fill="FFFFFF"/>
            <w:noWrap/>
          </w:tcPr>
          <w:p w14:paraId="43CE07EC" w14:textId="77777777" w:rsidR="00DF410E" w:rsidRDefault="00CE7F43">
            <w:pPr>
              <w:jc w:val="center"/>
            </w:pPr>
            <w:r>
              <w:rPr>
                <w:b/>
              </w:rPr>
              <w:t>20</w:t>
            </w:r>
          </w:p>
        </w:tc>
        <w:tc>
          <w:tcPr>
            <w:tcW w:w="570" w:type="dxa"/>
            <w:shd w:val="clear" w:color="auto" w:fill="FFFFFF"/>
            <w:noWrap/>
          </w:tcPr>
          <w:p w14:paraId="5212B34A" w14:textId="77777777" w:rsidR="00DF410E" w:rsidRDefault="00CE7F43">
            <w:pPr>
              <w:jc w:val="center"/>
            </w:pPr>
            <w:r>
              <w:t>U</w:t>
            </w:r>
          </w:p>
        </w:tc>
        <w:tc>
          <w:tcPr>
            <w:tcW w:w="570" w:type="dxa"/>
            <w:shd w:val="clear" w:color="auto" w:fill="FFFFFF"/>
            <w:noWrap/>
          </w:tcPr>
          <w:p w14:paraId="3274ED75" w14:textId="77777777" w:rsidR="00DF410E" w:rsidRDefault="00CE7F43">
            <w:pPr>
              <w:jc w:val="center"/>
            </w:pPr>
            <w:r>
              <w:t>X</w:t>
            </w:r>
          </w:p>
        </w:tc>
        <w:tc>
          <w:tcPr>
            <w:tcW w:w="570" w:type="dxa"/>
            <w:shd w:val="clear" w:color="auto" w:fill="FFFFFF"/>
            <w:noWrap/>
          </w:tcPr>
          <w:p w14:paraId="4AC67799" w14:textId="77777777" w:rsidR="00DF410E" w:rsidRDefault="00CE7F43">
            <w:pPr>
              <w:jc w:val="center"/>
            </w:pPr>
            <w:r>
              <w:t>X</w:t>
            </w:r>
          </w:p>
        </w:tc>
        <w:tc>
          <w:tcPr>
            <w:tcW w:w="570" w:type="dxa"/>
            <w:shd w:val="clear" w:color="auto" w:fill="FFFFFF"/>
            <w:noWrap/>
          </w:tcPr>
          <w:p w14:paraId="3AE6F71C" w14:textId="77777777" w:rsidR="00DF410E" w:rsidRDefault="00CE7F43">
            <w:pPr>
              <w:jc w:val="center"/>
            </w:pPr>
            <w:r>
              <w:t>X</w:t>
            </w:r>
          </w:p>
        </w:tc>
      </w:tr>
      <w:tr w:rsidR="00DF410E" w14:paraId="61842AF1" w14:textId="77777777">
        <w:tc>
          <w:tcPr>
            <w:tcW w:w="5655" w:type="dxa"/>
            <w:shd w:val="clear" w:color="auto" w:fill="FFFFFF"/>
            <w:noWrap/>
          </w:tcPr>
          <w:p w14:paraId="010ABA2F" w14:textId="77777777" w:rsidR="00DF410E" w:rsidRDefault="00CE7F43">
            <w:r>
              <w:t>Tôle d’acier pré-galvanisé (137 g/m² - galvanisation de 19 µm d’épaisseur)</w:t>
            </w:r>
          </w:p>
        </w:tc>
        <w:tc>
          <w:tcPr>
            <w:tcW w:w="1065" w:type="dxa"/>
            <w:shd w:val="clear" w:color="auto" w:fill="FFFFFF"/>
            <w:noWrap/>
          </w:tcPr>
          <w:p w14:paraId="13955918" w14:textId="77777777" w:rsidR="00DF410E" w:rsidRDefault="00CE7F43">
            <w:pPr>
              <w:jc w:val="center"/>
            </w:pPr>
            <w:r>
              <w:rPr>
                <w:b/>
              </w:rPr>
              <w:t>21</w:t>
            </w:r>
          </w:p>
        </w:tc>
        <w:tc>
          <w:tcPr>
            <w:tcW w:w="570" w:type="dxa"/>
            <w:shd w:val="clear" w:color="auto" w:fill="FFFFFF"/>
            <w:noWrap/>
          </w:tcPr>
          <w:p w14:paraId="6387B427" w14:textId="77777777" w:rsidR="00DF410E" w:rsidRDefault="00CE7F43">
            <w:pPr>
              <w:jc w:val="center"/>
            </w:pPr>
            <w:r>
              <w:t>U</w:t>
            </w:r>
          </w:p>
        </w:tc>
        <w:tc>
          <w:tcPr>
            <w:tcW w:w="570" w:type="dxa"/>
            <w:shd w:val="clear" w:color="auto" w:fill="FFFFFF"/>
            <w:noWrap/>
          </w:tcPr>
          <w:p w14:paraId="6817179E" w14:textId="77777777" w:rsidR="00DF410E" w:rsidRDefault="00CE7F43">
            <w:pPr>
              <w:jc w:val="center"/>
            </w:pPr>
            <w:r>
              <w:t>X</w:t>
            </w:r>
          </w:p>
        </w:tc>
        <w:tc>
          <w:tcPr>
            <w:tcW w:w="570" w:type="dxa"/>
            <w:shd w:val="clear" w:color="auto" w:fill="FFFFFF"/>
            <w:noWrap/>
          </w:tcPr>
          <w:p w14:paraId="58F1E9A7" w14:textId="77777777" w:rsidR="00DF410E" w:rsidRDefault="00CE7F43">
            <w:pPr>
              <w:jc w:val="center"/>
            </w:pPr>
            <w:r>
              <w:t>X</w:t>
            </w:r>
          </w:p>
        </w:tc>
        <w:tc>
          <w:tcPr>
            <w:tcW w:w="570" w:type="dxa"/>
            <w:shd w:val="clear" w:color="auto" w:fill="FFFFFF"/>
            <w:noWrap/>
          </w:tcPr>
          <w:p w14:paraId="539DA307" w14:textId="77777777" w:rsidR="00DF410E" w:rsidRDefault="00CE7F43">
            <w:pPr>
              <w:jc w:val="center"/>
            </w:pPr>
            <w:r>
              <w:t>X</w:t>
            </w:r>
          </w:p>
        </w:tc>
      </w:tr>
      <w:tr w:rsidR="00DF410E" w14:paraId="13ED1788" w14:textId="77777777">
        <w:tc>
          <w:tcPr>
            <w:tcW w:w="5655" w:type="dxa"/>
            <w:shd w:val="clear" w:color="auto" w:fill="FFFFFF"/>
            <w:noWrap/>
          </w:tcPr>
          <w:p w14:paraId="267052DE" w14:textId="77777777" w:rsidR="00DF410E" w:rsidRDefault="00CE7F43">
            <w:r>
              <w:t>Fil d’acier galvanisé (60 g/m² - galvanisation de 8,5 µm d’épaisseur) avec un revêtement époxy sur toutes les surfaces du composant fini</w:t>
            </w:r>
          </w:p>
        </w:tc>
        <w:tc>
          <w:tcPr>
            <w:tcW w:w="1065" w:type="dxa"/>
            <w:shd w:val="clear" w:color="auto" w:fill="FFFFFF"/>
            <w:noWrap/>
          </w:tcPr>
          <w:p w14:paraId="3E27D708" w14:textId="77777777" w:rsidR="00DF410E" w:rsidRDefault="00CE7F43">
            <w:pPr>
              <w:jc w:val="center"/>
            </w:pPr>
            <w:r>
              <w:rPr>
                <w:b/>
              </w:rPr>
              <w:t>22</w:t>
            </w:r>
          </w:p>
        </w:tc>
        <w:tc>
          <w:tcPr>
            <w:tcW w:w="570" w:type="dxa"/>
            <w:shd w:val="clear" w:color="auto" w:fill="FFFFFF"/>
            <w:noWrap/>
          </w:tcPr>
          <w:p w14:paraId="19711338" w14:textId="77777777" w:rsidR="00DF410E" w:rsidRDefault="00CE7F43">
            <w:pPr>
              <w:jc w:val="center"/>
            </w:pPr>
            <w:r>
              <w:t>U</w:t>
            </w:r>
          </w:p>
        </w:tc>
        <w:tc>
          <w:tcPr>
            <w:tcW w:w="570" w:type="dxa"/>
            <w:shd w:val="clear" w:color="auto" w:fill="FFFFFF"/>
            <w:noWrap/>
          </w:tcPr>
          <w:p w14:paraId="21FAFF7F" w14:textId="77777777" w:rsidR="00DF410E" w:rsidRDefault="00CE7F43">
            <w:pPr>
              <w:jc w:val="center"/>
            </w:pPr>
            <w:r>
              <w:t>U</w:t>
            </w:r>
          </w:p>
        </w:tc>
        <w:tc>
          <w:tcPr>
            <w:tcW w:w="570" w:type="dxa"/>
            <w:shd w:val="clear" w:color="auto" w:fill="FFFFFF"/>
            <w:noWrap/>
          </w:tcPr>
          <w:p w14:paraId="35286ECC" w14:textId="77777777" w:rsidR="00DF410E" w:rsidRDefault="00CE7F43">
            <w:pPr>
              <w:jc w:val="center"/>
            </w:pPr>
            <w:r>
              <w:t>R</w:t>
            </w:r>
          </w:p>
        </w:tc>
        <w:tc>
          <w:tcPr>
            <w:tcW w:w="570" w:type="dxa"/>
            <w:shd w:val="clear" w:color="auto" w:fill="FFFFFF"/>
            <w:noWrap/>
          </w:tcPr>
          <w:p w14:paraId="6B2F62C5" w14:textId="77777777" w:rsidR="00DF410E" w:rsidRDefault="00CE7F43">
            <w:pPr>
              <w:jc w:val="center"/>
            </w:pPr>
            <w:r>
              <w:t>X</w:t>
            </w:r>
          </w:p>
        </w:tc>
      </w:tr>
      <w:tr w:rsidR="00DF410E" w14:paraId="530A062E" w14:textId="77777777">
        <w:tc>
          <w:tcPr>
            <w:tcW w:w="5655" w:type="dxa"/>
            <w:shd w:val="clear" w:color="auto" w:fill="FFFFFF"/>
            <w:noWrap/>
          </w:tcPr>
          <w:p w14:paraId="09AC688B" w14:textId="77777777" w:rsidR="00DF410E" w:rsidRDefault="00CE7F43">
            <w:r>
              <w:t>Acier inoxydable austéno-ferritique</w:t>
            </w:r>
          </w:p>
        </w:tc>
        <w:tc>
          <w:tcPr>
            <w:tcW w:w="1065" w:type="dxa"/>
            <w:shd w:val="clear" w:color="auto" w:fill="FFFFFF"/>
            <w:noWrap/>
          </w:tcPr>
          <w:p w14:paraId="36334F73" w14:textId="77777777" w:rsidR="00DF410E" w:rsidRDefault="00CE7F43">
            <w:pPr>
              <w:jc w:val="center"/>
            </w:pPr>
            <w:r>
              <w:rPr>
                <w:b/>
              </w:rPr>
              <w:t>23</w:t>
            </w:r>
          </w:p>
        </w:tc>
        <w:tc>
          <w:tcPr>
            <w:tcW w:w="570" w:type="dxa"/>
            <w:shd w:val="clear" w:color="auto" w:fill="FFFFFF"/>
            <w:noWrap/>
          </w:tcPr>
          <w:p w14:paraId="697BB608" w14:textId="77777777" w:rsidR="00DF410E" w:rsidRDefault="00CE7F43">
            <w:pPr>
              <w:jc w:val="center"/>
            </w:pPr>
            <w:r>
              <w:t>U</w:t>
            </w:r>
          </w:p>
        </w:tc>
        <w:tc>
          <w:tcPr>
            <w:tcW w:w="570" w:type="dxa"/>
            <w:shd w:val="clear" w:color="auto" w:fill="FFFFFF"/>
            <w:noWrap/>
          </w:tcPr>
          <w:p w14:paraId="4A034725" w14:textId="77777777" w:rsidR="00DF410E" w:rsidRDefault="00CE7F43">
            <w:pPr>
              <w:jc w:val="center"/>
            </w:pPr>
            <w:r>
              <w:t>X</w:t>
            </w:r>
          </w:p>
        </w:tc>
        <w:tc>
          <w:tcPr>
            <w:tcW w:w="570" w:type="dxa"/>
            <w:shd w:val="clear" w:color="auto" w:fill="FFFFFF"/>
            <w:noWrap/>
          </w:tcPr>
          <w:p w14:paraId="7ACD220A" w14:textId="77777777" w:rsidR="00DF410E" w:rsidRDefault="00CE7F43">
            <w:pPr>
              <w:jc w:val="center"/>
            </w:pPr>
            <w:r>
              <w:t>X</w:t>
            </w:r>
          </w:p>
        </w:tc>
        <w:tc>
          <w:tcPr>
            <w:tcW w:w="570" w:type="dxa"/>
            <w:shd w:val="clear" w:color="auto" w:fill="FFFFFF"/>
            <w:noWrap/>
          </w:tcPr>
          <w:p w14:paraId="2A9FE467" w14:textId="77777777" w:rsidR="00DF410E" w:rsidRDefault="00CE7F43">
            <w:pPr>
              <w:jc w:val="center"/>
            </w:pPr>
            <w:r>
              <w:t>X</w:t>
            </w:r>
          </w:p>
        </w:tc>
      </w:tr>
      <w:tr w:rsidR="00DF410E" w14:paraId="19D0DF71" w14:textId="77777777">
        <w:tc>
          <w:tcPr>
            <w:tcW w:w="9000" w:type="dxa"/>
            <w:gridSpan w:val="6"/>
            <w:noWrap/>
          </w:tcPr>
          <w:p w14:paraId="429BE67B" w14:textId="77777777" w:rsidR="00DF410E" w:rsidRDefault="00CE7F43">
            <w:r>
              <w:t>(</w:t>
            </w:r>
            <w:r>
              <w:rPr>
                <w:vertAlign w:val="superscript"/>
              </w:rPr>
              <w:t>1</w:t>
            </w:r>
            <w:r>
              <w:t>)       U - utilisation sans limite du matériau dans la classe d’exposition indiquée                                               R - utilisation limitée; consulter le fabricant ou un spécialiste pour des conseils sur les                      conditions de calcul spécifiques.</w:t>
            </w:r>
          </w:p>
          <w:p w14:paraId="71E5D95E" w14:textId="77777777" w:rsidR="00DF410E" w:rsidRDefault="00CE7F43">
            <w:r>
              <w:t>                      X - matériau non recommandé pour une utilisation dans cette classe d’exposition.</w:t>
            </w:r>
          </w:p>
        </w:tc>
      </w:tr>
      <w:tr w:rsidR="00DF410E" w14:paraId="350903EC" w14:textId="77777777">
        <w:tc>
          <w:tcPr>
            <w:tcW w:w="9000" w:type="dxa"/>
            <w:gridSpan w:val="6"/>
            <w:noWrap/>
          </w:tcPr>
          <w:p w14:paraId="7D18A1ED" w14:textId="77777777" w:rsidR="00DF410E" w:rsidRDefault="00CE7F43">
            <w:r>
              <w:t>(</w:t>
            </w:r>
            <w:r>
              <w:rPr>
                <w:vertAlign w:val="superscript"/>
              </w:rPr>
              <w:t>2</w:t>
            </w:r>
            <w:r>
              <w:t>) Les masses de revêtement appliqué indiquées sont des valeurs approchées pour une face.</w:t>
            </w:r>
          </w:p>
        </w:tc>
      </w:tr>
      <w:tr w:rsidR="00DF410E" w14:paraId="2CF5A53F" w14:textId="77777777">
        <w:tc>
          <w:tcPr>
            <w:tcW w:w="9000" w:type="dxa"/>
            <w:gridSpan w:val="6"/>
            <w:noWrap/>
          </w:tcPr>
          <w:p w14:paraId="35E85445" w14:textId="77777777" w:rsidR="00DF410E" w:rsidRDefault="00CE7F43">
            <w:r>
              <w:t>(</w:t>
            </w:r>
            <w:r>
              <w:rPr>
                <w:vertAlign w:val="superscript"/>
              </w:rPr>
              <w:t>3</w:t>
            </w:r>
            <w:r>
              <w:t>) MX1 : environnement sec. MX2 : environnement humide. MX3 : environnement humide et cycles de gel-dégel. MX4 : environnement salin. MX5 : environnement chimique agressif.</w:t>
            </w:r>
          </w:p>
        </w:tc>
      </w:tr>
    </w:tbl>
    <w:p w14:paraId="66D134FB" w14:textId="77777777" w:rsidR="00DF410E" w:rsidRDefault="00DF410E"/>
    <w:p w14:paraId="02EA6BE3" w14:textId="77777777" w:rsidR="00DF410E" w:rsidRDefault="00CE7F43">
      <w:pPr>
        <w:jc w:val="both"/>
      </w:pPr>
      <w:r>
        <w:t>La fiche technique du produit émise par le fabricant mentionne les informations suivantes : dimensions et performances mécaniques (c.-à-d. la charge admissible en traction et le déplacement sous charge).</w:t>
      </w:r>
    </w:p>
    <w:p w14:paraId="763989C0" w14:textId="77777777" w:rsidR="00DF410E" w:rsidRDefault="00CE7F43">
      <w:pPr>
        <w:pStyle w:val="pheading"/>
      </w:pPr>
      <w:r>
        <w:t>EXÉCUTION / MISE EN ŒUVRE</w:t>
      </w:r>
    </w:p>
    <w:p w14:paraId="186683FD" w14:textId="77777777" w:rsidR="00DF410E" w:rsidRDefault="00CE7F43">
      <w:pPr>
        <w:pStyle w:val="pheading"/>
      </w:pPr>
      <w:r>
        <w:t>- Prescriptions générales</w:t>
      </w:r>
    </w:p>
    <w:p w14:paraId="2FE2476B" w14:textId="77777777" w:rsidR="00DF410E" w:rsidRDefault="00CE7F43">
      <w:pPr>
        <w:jc w:val="both"/>
      </w:pPr>
      <w:r>
        <w:t>La pose doit respecter les instructions du fabricant notamment en ce qui concerne le nombre, la taille et l’emplacement des fixations. A défaut, l’entrepreneur fait une proposition à la direction du chantier qui approuve le choix.</w:t>
      </w:r>
    </w:p>
    <w:p w14:paraId="16DAAACA" w14:textId="77777777" w:rsidR="00DF410E" w:rsidRDefault="00CE7F43">
      <w:pPr>
        <w:jc w:val="both"/>
      </w:pPr>
      <w:r>
        <w:t>Charge admissible en traction et déplacement sous charge (cf. charge à reprendre) :</w:t>
      </w:r>
      <w:r>
        <w:rPr>
          <w:rStyle w:val="optioncarChar"/>
        </w:rPr>
        <w:t xml:space="preserve"> ***</w:t>
      </w:r>
      <w:r>
        <w:t>.</w:t>
      </w:r>
    </w:p>
    <w:p w14:paraId="5DD6D5D5" w14:textId="77777777" w:rsidR="00DF410E" w:rsidRDefault="00CE7F43">
      <w:pPr>
        <w:jc w:val="both"/>
      </w:pPr>
      <w:r>
        <w:t>Nombre de fixation :</w:t>
      </w:r>
      <w:r>
        <w:rPr>
          <w:rStyle w:val="optioncarChar"/>
        </w:rPr>
        <w:t xml:space="preserve"> ***</w:t>
      </w:r>
      <w:r>
        <w:t>.</w:t>
      </w:r>
    </w:p>
    <w:p w14:paraId="15D62D0A" w14:textId="77777777" w:rsidR="00DF410E" w:rsidRDefault="00CE7F43">
      <w:pPr>
        <w:jc w:val="both"/>
      </w:pPr>
      <w:r>
        <w:t xml:space="preserve">Taille des fixations : </w:t>
      </w:r>
      <w:r>
        <w:rPr>
          <w:rStyle w:val="optioncarChar"/>
        </w:rPr>
        <w:t>***</w:t>
      </w:r>
      <w:r>
        <w:t>.</w:t>
      </w:r>
    </w:p>
    <w:p w14:paraId="548A983F" w14:textId="77777777" w:rsidR="00DF410E" w:rsidRDefault="00CE7F43">
      <w:pPr>
        <w:jc w:val="both"/>
      </w:pPr>
      <w:r>
        <w:t xml:space="preserve">Emplacement des fixations : </w:t>
      </w:r>
      <w:r>
        <w:rPr>
          <w:rStyle w:val="optioncarChar"/>
        </w:rPr>
        <w:t>***</w:t>
      </w:r>
      <w:r>
        <w:t>.</w:t>
      </w:r>
    </w:p>
    <w:p w14:paraId="63FF8AE4" w14:textId="77777777" w:rsidR="00DF410E" w:rsidRDefault="00CE7F43">
      <w:pPr>
        <w:pStyle w:val="pheading"/>
      </w:pPr>
      <w:r>
        <w:t>DOCUMENTS DE RÉFÉRENCE COMPLÉMENTAIRES</w:t>
      </w:r>
    </w:p>
    <w:p w14:paraId="5D803D25" w14:textId="77777777" w:rsidR="00DF410E" w:rsidRDefault="00CE7F43">
      <w:pPr>
        <w:pStyle w:val="pheading"/>
      </w:pPr>
      <w:r>
        <w:t>- Matériau</w:t>
      </w:r>
    </w:p>
    <w:p w14:paraId="1BB698FF" w14:textId="77777777" w:rsidR="00DF410E" w:rsidRDefault="00CE7F43">
      <w:r>
        <w:t>[NBN EN 845-1:2013+A1, Spécification pour composants accessoires de maçonnerie - Partie 1: Attaches, brides de fixation, étriers de support et consoles]</w:t>
      </w:r>
    </w:p>
    <w:p w14:paraId="47183F56" w14:textId="77777777" w:rsidR="00DF410E" w:rsidRDefault="00CE7F43">
      <w:pPr>
        <w:pStyle w:val="pheading"/>
      </w:pPr>
      <w:r>
        <w:t>- Exécution</w:t>
      </w:r>
    </w:p>
    <w:p w14:paraId="084291C6" w14:textId="77777777" w:rsidR="00DF410E" w:rsidRDefault="00CE7F43">
      <w:r>
        <w:t>[NBN EN 1996-2, Eurocode 6 - Calcul des ouvrages en maçonnerie - Partie 2: Conception, choix des matériaux et mise en oeuvre des maçonneries (+ AC:2009)]</w:t>
      </w:r>
    </w:p>
    <w:p w14:paraId="7CDF1000" w14:textId="77777777" w:rsidR="00DF410E" w:rsidRDefault="00CE7F43">
      <w:pPr>
        <w:pStyle w:val="pheading"/>
      </w:pPr>
      <w:r>
        <w:t>MESURAGE</w:t>
      </w:r>
    </w:p>
    <w:p w14:paraId="1475BD40" w14:textId="77777777" w:rsidR="00DF410E" w:rsidRDefault="00CE7F43">
      <w:pPr>
        <w:pStyle w:val="pheading"/>
      </w:pPr>
      <w:r>
        <w:t>- unité de mesure:</w:t>
      </w:r>
    </w:p>
    <w:p w14:paraId="03E9ED70" w14:textId="77777777" w:rsidR="00DF410E" w:rsidRDefault="00CE7F43">
      <w:r>
        <w:t>- </w:t>
      </w:r>
    </w:p>
    <w:p w14:paraId="4046831B" w14:textId="77777777" w:rsidR="00DF410E" w:rsidRDefault="00CE7F43">
      <w:pPr>
        <w:pStyle w:val="pheading"/>
      </w:pPr>
      <w:r>
        <w:t>- code de mesurage:</w:t>
      </w:r>
    </w:p>
    <w:p w14:paraId="6C207D18" w14:textId="77777777" w:rsidR="00DF410E" w:rsidRDefault="00CE7F43">
      <w:r>
        <w:t>Compris dans le prix de la maçonnerie correspondante.</w:t>
      </w:r>
    </w:p>
    <w:p w14:paraId="356BFD34" w14:textId="77777777" w:rsidR="00DF410E" w:rsidRDefault="00CE7F43">
      <w:pPr>
        <w:pStyle w:val="pheading"/>
      </w:pPr>
      <w:r>
        <w:t>- nature du marché:</w:t>
      </w:r>
    </w:p>
    <w:p w14:paraId="0ADD748F" w14:textId="77777777" w:rsidR="00DF410E" w:rsidRDefault="00CE7F43">
      <w:r>
        <w:t>PM</w:t>
      </w:r>
    </w:p>
    <w:p w14:paraId="6CCD3C0E" w14:textId="77777777" w:rsidR="00DF410E" w:rsidRDefault="00CE7F43">
      <w:pPr>
        <w:pStyle w:val="Author-eSectionHeading5"/>
      </w:pPr>
      <w:bookmarkStart w:id="379" w:name="_Toc178837589"/>
      <w:r>
        <w:t>21.42.4 Consoles de support pour maçonneries CCTB 01.04</w:t>
      </w:r>
      <w:bookmarkEnd w:id="379"/>
    </w:p>
    <w:p w14:paraId="1885E870" w14:textId="77777777" w:rsidR="00DF410E" w:rsidRDefault="00CE7F43">
      <w:pPr>
        <w:pStyle w:val="pheading"/>
      </w:pPr>
      <w:r>
        <w:t>DESCRIPTION</w:t>
      </w:r>
    </w:p>
    <w:p w14:paraId="6432D432" w14:textId="77777777" w:rsidR="00DF410E" w:rsidRDefault="00CE7F43">
      <w:pPr>
        <w:pStyle w:val="pheading"/>
      </w:pPr>
      <w:r>
        <w:t>- Définition / Comprend</w:t>
      </w:r>
    </w:p>
    <w:p w14:paraId="0D037542" w14:textId="77777777" w:rsidR="00DF410E" w:rsidRDefault="00CE7F43">
      <w:r>
        <w:t xml:space="preserve">voir aussi </w:t>
      </w:r>
      <w:hyperlink w:anchor="423" w:history="1">
        <w:r>
          <w:t>21.43.4 Cornières et consoles de support de maçonneries</w:t>
        </w:r>
      </w:hyperlink>
      <w:r>
        <w:t xml:space="preserve"> et </w:t>
      </w:r>
      <w:hyperlink w:anchor="424" w:history="1">
        <w:r>
          <w:t>21.43.5 Cornières et consoles de support de maçonneries avec suspensions de briques</w:t>
        </w:r>
      </w:hyperlink>
    </w:p>
    <w:p w14:paraId="58B61873" w14:textId="77777777" w:rsidR="00DF410E" w:rsidRDefault="00CE7F43">
      <w:pPr>
        <w:pStyle w:val="Author-eSectionHeading6"/>
      </w:pPr>
      <w:bookmarkStart w:id="380" w:name="_Toc178837590"/>
      <w:r>
        <w:t>21.42.4a Consoles de support simples pour maçonneries CCTB 01.04</w:t>
      </w:r>
      <w:bookmarkEnd w:id="380"/>
    </w:p>
    <w:p w14:paraId="5CD4EBD0" w14:textId="77777777" w:rsidR="00DF410E" w:rsidRDefault="00CE7F43">
      <w:pPr>
        <w:pStyle w:val="pheading"/>
      </w:pPr>
      <w:r>
        <w:t>DESCRIPTION</w:t>
      </w:r>
    </w:p>
    <w:p w14:paraId="6F6763F3" w14:textId="77777777" w:rsidR="00DF410E" w:rsidRDefault="00CE7F43">
      <w:pPr>
        <w:pStyle w:val="pheading"/>
      </w:pPr>
      <w:r>
        <w:t>- Définition / Comprend</w:t>
      </w:r>
    </w:p>
    <w:p w14:paraId="6C7255DD" w14:textId="77777777" w:rsidR="00DF410E" w:rsidRDefault="00CE7F43">
      <w:r>
        <w:t xml:space="preserve">voir aussi </w:t>
      </w:r>
      <w:hyperlink w:anchor="421" w:history="1">
        <w:r>
          <w:t>21.43.4b Consoles</w:t>
        </w:r>
      </w:hyperlink>
      <w:r>
        <w:t xml:space="preserve"> et </w:t>
      </w:r>
      <w:hyperlink w:anchor="422" w:history="1">
        <w:r>
          <w:t>21.43.5b Consoles avec suspensions de briques</w:t>
        </w:r>
      </w:hyperlink>
    </w:p>
    <w:p w14:paraId="7954F166" w14:textId="77777777" w:rsidR="00DF410E" w:rsidRDefault="00CE7F43">
      <w:pPr>
        <w:pStyle w:val="Author-eSectionHeading6"/>
      </w:pPr>
      <w:bookmarkStart w:id="381" w:name="_Toc178837591"/>
      <w:r>
        <w:t>21.42.4b Consoles de support doubles pour maçonneries CCTB 01.02</w:t>
      </w:r>
      <w:bookmarkEnd w:id="381"/>
    </w:p>
    <w:p w14:paraId="4ABDC878" w14:textId="77777777" w:rsidR="00DF410E" w:rsidRDefault="00CE7F43">
      <w:pPr>
        <w:pStyle w:val="Author-eSectionHeading4"/>
      </w:pPr>
      <w:bookmarkStart w:id="382" w:name="_Toc178837592"/>
      <w:r>
        <w:t>21.43 Assises de maçonneries (linteaux, cornières, consoles et autres) CCTB 01.07</w:t>
      </w:r>
      <w:bookmarkEnd w:id="382"/>
    </w:p>
    <w:p w14:paraId="6DC08B84" w14:textId="77777777" w:rsidR="00DF410E" w:rsidRDefault="00CE7F43">
      <w:pPr>
        <w:pStyle w:val="pheading"/>
      </w:pPr>
      <w:r>
        <w:t>DESCRIPTION</w:t>
      </w:r>
    </w:p>
    <w:p w14:paraId="0EB544B0" w14:textId="77777777" w:rsidR="00DF410E" w:rsidRDefault="00CE7F43">
      <w:pPr>
        <w:pStyle w:val="pheading"/>
      </w:pPr>
      <w:r>
        <w:t>- Définition / Comprend</w:t>
      </w:r>
    </w:p>
    <w:p w14:paraId="5B18BF9F" w14:textId="77777777" w:rsidR="00DF410E" w:rsidRDefault="00CE7F43">
      <w:r>
        <w:rPr>
          <w:b/>
        </w:rPr>
        <w:t>LINTEAUX</w:t>
      </w:r>
    </w:p>
    <w:p w14:paraId="5F7C0CA1" w14:textId="77777777" w:rsidR="00DF410E" w:rsidRDefault="00CE7F43">
      <w:r>
        <w:t>Il s'agit des linteaux, qui répondent à la norme [NBN EN 845-2:2013+A1]. L'entrepreneur soumet un échantillon, la fiche technique et la déclaration des performances (DoP) du produit pour approbation à l'auteur de projet et au maître de l’ouvrage.</w:t>
      </w:r>
    </w:p>
    <w:p w14:paraId="34FD5C79" w14:textId="77777777" w:rsidR="00DF410E" w:rsidRDefault="00CE7F43">
      <w:r>
        <w:t>Un linteau, élément structural, est défini comme un support horizontal fermant la partie supérieure d'une baie et soutenant la superstructure.</w:t>
      </w:r>
    </w:p>
    <w:p w14:paraId="76D15B94" w14:textId="77777777" w:rsidR="00DF410E" w:rsidRDefault="00CE7F43">
      <w:r>
        <w:t>Les linteaux préfabriqués d’une portée maximale de 4,5 m sont réalisés dans les matériaux suivants: acier, béton cellulaire autoclavé, pierre artificielle, béton (à l’exclusion des linteaux entièrement réalisés sur le chantier ou dont les parties tendues sont réalisées sur le chantier), éléments en terre cuite, éléments en silico-calcaire, éléments en pierre naturelle, ou en combinant ces matériaux.</w:t>
      </w:r>
    </w:p>
    <w:p w14:paraId="58B343DC" w14:textId="77777777" w:rsidR="00DF410E" w:rsidRDefault="00CE7F43">
      <w:r>
        <w:t>Ces linteaux peuvent être complets (linteau simple (c.-à-d. agissant seul) et linteau combiné (c.-à-d. constitué de deux éléments de construction ou plus ; chaque élément agissant avec des zones de tension et de compression) ou constituer la partie préfabriquée d’un linteau composite (linteau comprenant une partie préfabriquée (prélinteau) et un élément complémentaire réalisé en maçonnerie ou en béton sur le chantier, les deux agissant ensemble).</w:t>
      </w:r>
    </w:p>
    <w:p w14:paraId="703F3BF1" w14:textId="77777777" w:rsidR="00DF410E" w:rsidRDefault="00CE7F43">
      <w:r>
        <w:t>Le tableau ci-dessous dresse la liste des matériaux et de leur référence normalisée ainsi que les recommandations d’usage selon la [NBN EN 1996-2 ANB], en fonction de la classe d’exposition.</w:t>
      </w:r>
    </w:p>
    <w:tbl>
      <w:tblPr>
        <w:tblStyle w:val="Author-eTableGrid"/>
        <w:tblW w:w="9045" w:type="dxa"/>
        <w:tblBorders>
          <w:top w:val="nil"/>
          <w:left w:val="nil"/>
          <w:bottom w:val="nil"/>
          <w:right w:val="nil"/>
          <w:insideH w:val="nil"/>
          <w:insideV w:val="nil"/>
        </w:tblBorders>
        <w:tblLayout w:type="fixed"/>
        <w:tblLook w:val="04A0" w:firstRow="1" w:lastRow="0" w:firstColumn="1" w:lastColumn="0" w:noHBand="0" w:noVBand="1"/>
      </w:tblPr>
      <w:tblGrid>
        <w:gridCol w:w="5006"/>
        <w:gridCol w:w="1089"/>
        <w:gridCol w:w="590"/>
        <w:gridCol w:w="590"/>
        <w:gridCol w:w="590"/>
        <w:gridCol w:w="590"/>
        <w:gridCol w:w="590"/>
      </w:tblGrid>
      <w:tr w:rsidR="00DF410E" w14:paraId="6850530E" w14:textId="77777777">
        <w:trPr>
          <w:trHeight w:val="30"/>
        </w:trPr>
        <w:tc>
          <w:tcPr>
            <w:tcW w:w="6045" w:type="dxa"/>
            <w:gridSpan w:val="2"/>
            <w:noWrap/>
          </w:tcPr>
          <w:p w14:paraId="44EB7168" w14:textId="77777777" w:rsidR="00DF410E" w:rsidRDefault="00CE7F43">
            <w:pPr>
              <w:jc w:val="center"/>
            </w:pPr>
            <w:r>
              <w:rPr>
                <w:b/>
              </w:rPr>
              <w:t>Matériau</w:t>
            </w:r>
          </w:p>
        </w:tc>
        <w:tc>
          <w:tcPr>
            <w:tcW w:w="2925" w:type="dxa"/>
            <w:gridSpan w:val="5"/>
            <w:noWrap/>
          </w:tcPr>
          <w:p w14:paraId="176A6924" w14:textId="77777777" w:rsidR="00DF410E" w:rsidRDefault="00CE7F43">
            <w:pPr>
              <w:jc w:val="center"/>
            </w:pPr>
            <w:r>
              <w:rPr>
                <w:b/>
              </w:rPr>
              <w:t>Classe d’exposition</w:t>
            </w:r>
          </w:p>
        </w:tc>
      </w:tr>
      <w:tr w:rsidR="00DF410E" w14:paraId="24F4EAB5" w14:textId="77777777">
        <w:trPr>
          <w:trHeight w:val="30"/>
        </w:trPr>
        <w:tc>
          <w:tcPr>
            <w:tcW w:w="4965" w:type="dxa"/>
            <w:noWrap/>
          </w:tcPr>
          <w:p w14:paraId="6C8F3D24" w14:textId="77777777" w:rsidR="00DF410E" w:rsidRDefault="00CE7F43">
            <w:pPr>
              <w:jc w:val="center"/>
            </w:pPr>
            <w:r>
              <w:rPr>
                <w:b/>
              </w:rPr>
              <w:t>Spécification (</w:t>
            </w:r>
            <w:r>
              <w:rPr>
                <w:b/>
                <w:vertAlign w:val="superscript"/>
              </w:rPr>
              <w:t>2</w:t>
            </w:r>
            <w:r>
              <w:rPr>
                <w:b/>
              </w:rPr>
              <w:t>) du matériau et du revêtement ou de l’enrobage par le béton correspondant au numéro ou à la lettre de référence</w:t>
            </w:r>
          </w:p>
        </w:tc>
        <w:tc>
          <w:tcPr>
            <w:tcW w:w="1080" w:type="dxa"/>
            <w:noWrap/>
          </w:tcPr>
          <w:p w14:paraId="4E296DFC" w14:textId="77777777" w:rsidR="00DF410E" w:rsidRDefault="00CE7F43">
            <w:pPr>
              <w:jc w:val="center"/>
            </w:pPr>
            <w:r>
              <w:rPr>
                <w:b/>
              </w:rPr>
              <w:t>N° de référence</w:t>
            </w:r>
          </w:p>
        </w:tc>
        <w:tc>
          <w:tcPr>
            <w:tcW w:w="585" w:type="dxa"/>
            <w:noWrap/>
          </w:tcPr>
          <w:p w14:paraId="266D4992" w14:textId="77777777" w:rsidR="00DF410E" w:rsidRDefault="00CE7F43">
            <w:pPr>
              <w:jc w:val="center"/>
            </w:pPr>
            <w:r>
              <w:rPr>
                <w:b/>
              </w:rPr>
              <w:t>MX1</w:t>
            </w:r>
          </w:p>
        </w:tc>
        <w:tc>
          <w:tcPr>
            <w:tcW w:w="585" w:type="dxa"/>
            <w:noWrap/>
          </w:tcPr>
          <w:p w14:paraId="49AC2487" w14:textId="77777777" w:rsidR="00DF410E" w:rsidRDefault="00CE7F43">
            <w:pPr>
              <w:jc w:val="center"/>
            </w:pPr>
            <w:r>
              <w:rPr>
                <w:b/>
              </w:rPr>
              <w:t>MX2</w:t>
            </w:r>
          </w:p>
        </w:tc>
        <w:tc>
          <w:tcPr>
            <w:tcW w:w="585" w:type="dxa"/>
            <w:noWrap/>
          </w:tcPr>
          <w:p w14:paraId="6C023B9D" w14:textId="77777777" w:rsidR="00DF410E" w:rsidRDefault="00CE7F43">
            <w:pPr>
              <w:jc w:val="center"/>
            </w:pPr>
            <w:r>
              <w:rPr>
                <w:b/>
              </w:rPr>
              <w:t>MX3</w:t>
            </w:r>
          </w:p>
        </w:tc>
        <w:tc>
          <w:tcPr>
            <w:tcW w:w="585" w:type="dxa"/>
            <w:noWrap/>
          </w:tcPr>
          <w:p w14:paraId="2CB5D772" w14:textId="77777777" w:rsidR="00DF410E" w:rsidRDefault="00CE7F43">
            <w:pPr>
              <w:jc w:val="center"/>
            </w:pPr>
            <w:r>
              <w:rPr>
                <w:b/>
              </w:rPr>
              <w:t>MX4</w:t>
            </w:r>
          </w:p>
        </w:tc>
        <w:tc>
          <w:tcPr>
            <w:tcW w:w="585" w:type="dxa"/>
            <w:noWrap/>
          </w:tcPr>
          <w:p w14:paraId="5716E8FC" w14:textId="77777777" w:rsidR="00DF410E" w:rsidRDefault="00CE7F43">
            <w:pPr>
              <w:jc w:val="center"/>
            </w:pPr>
            <w:r>
              <w:rPr>
                <w:b/>
              </w:rPr>
              <w:t>MX5</w:t>
            </w:r>
          </w:p>
        </w:tc>
      </w:tr>
      <w:tr w:rsidR="00DF410E" w14:paraId="33DE949B" w14:textId="77777777">
        <w:trPr>
          <w:trHeight w:val="30"/>
        </w:trPr>
        <w:tc>
          <w:tcPr>
            <w:tcW w:w="4965" w:type="dxa"/>
            <w:noWrap/>
          </w:tcPr>
          <w:p w14:paraId="62DCEF74" w14:textId="77777777" w:rsidR="00DF410E" w:rsidRDefault="00CE7F43">
            <w:r>
              <w:t>Acier inoxydable austénitique (alliages molybdène chrome nickel – ‘inox 316’</w:t>
            </w:r>
          </w:p>
        </w:tc>
        <w:tc>
          <w:tcPr>
            <w:tcW w:w="1080" w:type="dxa"/>
            <w:noWrap/>
          </w:tcPr>
          <w:p w14:paraId="50DB1CD7" w14:textId="77777777" w:rsidR="00DF410E" w:rsidRDefault="00CE7F43">
            <w:pPr>
              <w:jc w:val="center"/>
            </w:pPr>
            <w:r>
              <w:t>L1</w:t>
            </w:r>
          </w:p>
        </w:tc>
        <w:tc>
          <w:tcPr>
            <w:tcW w:w="585" w:type="dxa"/>
            <w:noWrap/>
          </w:tcPr>
          <w:p w14:paraId="00EE4CEF" w14:textId="77777777" w:rsidR="00DF410E" w:rsidRDefault="00CE7F43">
            <w:pPr>
              <w:jc w:val="center"/>
            </w:pPr>
            <w:r>
              <w:t>U</w:t>
            </w:r>
          </w:p>
        </w:tc>
        <w:tc>
          <w:tcPr>
            <w:tcW w:w="585" w:type="dxa"/>
            <w:noWrap/>
          </w:tcPr>
          <w:p w14:paraId="510A24B8" w14:textId="77777777" w:rsidR="00DF410E" w:rsidRDefault="00CE7F43">
            <w:pPr>
              <w:jc w:val="center"/>
            </w:pPr>
            <w:r>
              <w:t>U</w:t>
            </w:r>
          </w:p>
        </w:tc>
        <w:tc>
          <w:tcPr>
            <w:tcW w:w="585" w:type="dxa"/>
            <w:noWrap/>
          </w:tcPr>
          <w:p w14:paraId="0D2F9405" w14:textId="77777777" w:rsidR="00DF410E" w:rsidRDefault="00CE7F43">
            <w:pPr>
              <w:jc w:val="center"/>
            </w:pPr>
            <w:r>
              <w:t>U</w:t>
            </w:r>
          </w:p>
        </w:tc>
        <w:tc>
          <w:tcPr>
            <w:tcW w:w="585" w:type="dxa"/>
            <w:noWrap/>
          </w:tcPr>
          <w:p w14:paraId="754E3557" w14:textId="77777777" w:rsidR="00DF410E" w:rsidRDefault="00CE7F43">
            <w:pPr>
              <w:jc w:val="center"/>
            </w:pPr>
            <w:r>
              <w:t>U</w:t>
            </w:r>
          </w:p>
        </w:tc>
        <w:tc>
          <w:tcPr>
            <w:tcW w:w="585" w:type="dxa"/>
            <w:noWrap/>
          </w:tcPr>
          <w:p w14:paraId="54614D48" w14:textId="77777777" w:rsidR="00DF410E" w:rsidRDefault="00CE7F43">
            <w:pPr>
              <w:jc w:val="center"/>
            </w:pPr>
            <w:r>
              <w:t>R</w:t>
            </w:r>
          </w:p>
        </w:tc>
      </w:tr>
      <w:tr w:rsidR="00DF410E" w14:paraId="76EB6258" w14:textId="77777777">
        <w:trPr>
          <w:trHeight w:val="30"/>
        </w:trPr>
        <w:tc>
          <w:tcPr>
            <w:tcW w:w="4965" w:type="dxa"/>
            <w:noWrap/>
          </w:tcPr>
          <w:p w14:paraId="7CF7C2CA" w14:textId="77777777" w:rsidR="00DF410E" w:rsidRDefault="00CE7F43">
            <w:r>
              <w:t>Acier inoxydable austénitique (alliages chrome nickel – ‘inox 304’)</w:t>
            </w:r>
          </w:p>
        </w:tc>
        <w:tc>
          <w:tcPr>
            <w:tcW w:w="1080" w:type="dxa"/>
            <w:noWrap/>
          </w:tcPr>
          <w:p w14:paraId="47F8C056" w14:textId="77777777" w:rsidR="00DF410E" w:rsidRDefault="00CE7F43">
            <w:pPr>
              <w:jc w:val="center"/>
            </w:pPr>
            <w:r>
              <w:t>L3</w:t>
            </w:r>
          </w:p>
        </w:tc>
        <w:tc>
          <w:tcPr>
            <w:tcW w:w="585" w:type="dxa"/>
            <w:noWrap/>
          </w:tcPr>
          <w:p w14:paraId="2CF76DF2" w14:textId="77777777" w:rsidR="00DF410E" w:rsidRDefault="00CE7F43">
            <w:pPr>
              <w:jc w:val="center"/>
            </w:pPr>
            <w:r>
              <w:t>U</w:t>
            </w:r>
          </w:p>
        </w:tc>
        <w:tc>
          <w:tcPr>
            <w:tcW w:w="585" w:type="dxa"/>
            <w:noWrap/>
          </w:tcPr>
          <w:p w14:paraId="2B41BA6D" w14:textId="77777777" w:rsidR="00DF410E" w:rsidRDefault="00CE7F43">
            <w:pPr>
              <w:jc w:val="center"/>
            </w:pPr>
            <w:r>
              <w:t>U</w:t>
            </w:r>
          </w:p>
        </w:tc>
        <w:tc>
          <w:tcPr>
            <w:tcW w:w="585" w:type="dxa"/>
            <w:noWrap/>
          </w:tcPr>
          <w:p w14:paraId="1399B574" w14:textId="77777777" w:rsidR="00DF410E" w:rsidRDefault="00CE7F43">
            <w:pPr>
              <w:jc w:val="center"/>
            </w:pPr>
            <w:r>
              <w:t>U</w:t>
            </w:r>
          </w:p>
        </w:tc>
        <w:tc>
          <w:tcPr>
            <w:tcW w:w="585" w:type="dxa"/>
            <w:noWrap/>
          </w:tcPr>
          <w:p w14:paraId="0AD2CC0E" w14:textId="77777777" w:rsidR="00DF410E" w:rsidRDefault="00CE7F43">
            <w:pPr>
              <w:jc w:val="center"/>
            </w:pPr>
            <w:r>
              <w:t>R</w:t>
            </w:r>
          </w:p>
        </w:tc>
        <w:tc>
          <w:tcPr>
            <w:tcW w:w="585" w:type="dxa"/>
            <w:noWrap/>
          </w:tcPr>
          <w:p w14:paraId="53EAEF4E" w14:textId="77777777" w:rsidR="00DF410E" w:rsidRDefault="00CE7F43">
            <w:pPr>
              <w:jc w:val="center"/>
            </w:pPr>
            <w:r>
              <w:t>R</w:t>
            </w:r>
          </w:p>
        </w:tc>
      </w:tr>
      <w:tr w:rsidR="00DF410E" w14:paraId="32720615" w14:textId="77777777">
        <w:trPr>
          <w:trHeight w:val="30"/>
        </w:trPr>
        <w:tc>
          <w:tcPr>
            <w:tcW w:w="4965" w:type="dxa"/>
            <w:noWrap/>
          </w:tcPr>
          <w:p w14:paraId="3F28B019" w14:textId="77777777" w:rsidR="00DF410E" w:rsidRDefault="00CE7F43">
            <w:r>
              <w:t>Acier inoxydable austéno-ferritique</w:t>
            </w:r>
          </w:p>
        </w:tc>
        <w:tc>
          <w:tcPr>
            <w:tcW w:w="1080" w:type="dxa"/>
            <w:noWrap/>
          </w:tcPr>
          <w:p w14:paraId="16F878BD" w14:textId="77777777" w:rsidR="00DF410E" w:rsidRDefault="00CE7F43">
            <w:pPr>
              <w:jc w:val="center"/>
            </w:pPr>
            <w:r>
              <w:t>L4</w:t>
            </w:r>
          </w:p>
        </w:tc>
        <w:tc>
          <w:tcPr>
            <w:tcW w:w="585" w:type="dxa"/>
            <w:noWrap/>
          </w:tcPr>
          <w:p w14:paraId="553CB357" w14:textId="77777777" w:rsidR="00DF410E" w:rsidRDefault="00CE7F43">
            <w:pPr>
              <w:jc w:val="center"/>
            </w:pPr>
            <w:r>
              <w:t>U</w:t>
            </w:r>
          </w:p>
        </w:tc>
        <w:tc>
          <w:tcPr>
            <w:tcW w:w="585" w:type="dxa"/>
            <w:noWrap/>
          </w:tcPr>
          <w:p w14:paraId="14B8F1CA" w14:textId="77777777" w:rsidR="00DF410E" w:rsidRDefault="00CE7F43">
            <w:pPr>
              <w:jc w:val="center"/>
            </w:pPr>
            <w:r>
              <w:t>X</w:t>
            </w:r>
          </w:p>
        </w:tc>
        <w:tc>
          <w:tcPr>
            <w:tcW w:w="585" w:type="dxa"/>
            <w:noWrap/>
          </w:tcPr>
          <w:p w14:paraId="16209C6A" w14:textId="77777777" w:rsidR="00DF410E" w:rsidRDefault="00CE7F43">
            <w:pPr>
              <w:jc w:val="center"/>
            </w:pPr>
            <w:r>
              <w:t>X</w:t>
            </w:r>
          </w:p>
        </w:tc>
        <w:tc>
          <w:tcPr>
            <w:tcW w:w="585" w:type="dxa"/>
            <w:noWrap/>
          </w:tcPr>
          <w:p w14:paraId="7C1D53AA" w14:textId="77777777" w:rsidR="00DF410E" w:rsidRDefault="00CE7F43">
            <w:pPr>
              <w:jc w:val="center"/>
            </w:pPr>
            <w:r>
              <w:t>X</w:t>
            </w:r>
          </w:p>
        </w:tc>
        <w:tc>
          <w:tcPr>
            <w:tcW w:w="585" w:type="dxa"/>
            <w:noWrap/>
          </w:tcPr>
          <w:p w14:paraId="0C1F93B4" w14:textId="77777777" w:rsidR="00DF410E" w:rsidRDefault="00CE7F43">
            <w:pPr>
              <w:jc w:val="center"/>
            </w:pPr>
            <w:r>
              <w:t>X</w:t>
            </w:r>
          </w:p>
        </w:tc>
      </w:tr>
      <w:tr w:rsidR="00DF410E" w14:paraId="2FF5683E" w14:textId="77777777">
        <w:trPr>
          <w:trHeight w:val="30"/>
        </w:trPr>
        <w:tc>
          <w:tcPr>
            <w:tcW w:w="4965" w:type="dxa"/>
            <w:noWrap/>
          </w:tcPr>
          <w:p w14:paraId="5B60151D" w14:textId="77777777" w:rsidR="00DF410E" w:rsidRDefault="00CE7F43">
            <w:r>
              <w:t>Composant en acier galvanisé (710 g/m² - galvanisation de 100 µm d’épaisseur)</w:t>
            </w:r>
          </w:p>
        </w:tc>
        <w:tc>
          <w:tcPr>
            <w:tcW w:w="1080" w:type="dxa"/>
            <w:noWrap/>
          </w:tcPr>
          <w:p w14:paraId="1016F04D" w14:textId="77777777" w:rsidR="00DF410E" w:rsidRDefault="00CE7F43">
            <w:pPr>
              <w:jc w:val="center"/>
            </w:pPr>
            <w:r>
              <w:t>L10</w:t>
            </w:r>
          </w:p>
        </w:tc>
        <w:tc>
          <w:tcPr>
            <w:tcW w:w="585" w:type="dxa"/>
            <w:noWrap/>
          </w:tcPr>
          <w:p w14:paraId="5B0D69A0" w14:textId="77777777" w:rsidR="00DF410E" w:rsidRDefault="00CE7F43">
            <w:pPr>
              <w:jc w:val="center"/>
            </w:pPr>
            <w:r>
              <w:t>U</w:t>
            </w:r>
          </w:p>
        </w:tc>
        <w:tc>
          <w:tcPr>
            <w:tcW w:w="585" w:type="dxa"/>
            <w:noWrap/>
          </w:tcPr>
          <w:p w14:paraId="2C9A0D0C" w14:textId="77777777" w:rsidR="00DF410E" w:rsidRDefault="00CE7F43">
            <w:pPr>
              <w:jc w:val="center"/>
            </w:pPr>
            <w:r>
              <w:t>U</w:t>
            </w:r>
          </w:p>
        </w:tc>
        <w:tc>
          <w:tcPr>
            <w:tcW w:w="585" w:type="dxa"/>
            <w:noWrap/>
          </w:tcPr>
          <w:p w14:paraId="2CF34ABF" w14:textId="77777777" w:rsidR="00DF410E" w:rsidRDefault="00CE7F43">
            <w:pPr>
              <w:jc w:val="center"/>
            </w:pPr>
            <w:r>
              <w:t>U</w:t>
            </w:r>
          </w:p>
        </w:tc>
        <w:tc>
          <w:tcPr>
            <w:tcW w:w="585" w:type="dxa"/>
            <w:noWrap/>
          </w:tcPr>
          <w:p w14:paraId="0C873C82" w14:textId="77777777" w:rsidR="00DF410E" w:rsidRDefault="00CE7F43">
            <w:pPr>
              <w:jc w:val="center"/>
            </w:pPr>
            <w:r>
              <w:t>R</w:t>
            </w:r>
          </w:p>
        </w:tc>
        <w:tc>
          <w:tcPr>
            <w:tcW w:w="585" w:type="dxa"/>
            <w:noWrap/>
          </w:tcPr>
          <w:p w14:paraId="3B2906C4" w14:textId="77777777" w:rsidR="00DF410E" w:rsidRDefault="00CE7F43">
            <w:pPr>
              <w:jc w:val="center"/>
            </w:pPr>
            <w:r>
              <w:t>X</w:t>
            </w:r>
          </w:p>
        </w:tc>
      </w:tr>
      <w:tr w:rsidR="00DF410E" w14:paraId="1C597A04" w14:textId="77777777">
        <w:trPr>
          <w:trHeight w:val="30"/>
        </w:trPr>
        <w:tc>
          <w:tcPr>
            <w:tcW w:w="4965" w:type="dxa"/>
            <w:noWrap/>
          </w:tcPr>
          <w:p w14:paraId="74ACE099" w14:textId="77777777" w:rsidR="00DF410E" w:rsidRDefault="00CE7F43">
            <w:r>
              <w:t>Composant en acier galvanisé (460 g/m² - galvanisation de 65 µm d’épaisseur)</w:t>
            </w:r>
          </w:p>
        </w:tc>
        <w:tc>
          <w:tcPr>
            <w:tcW w:w="1080" w:type="dxa"/>
            <w:noWrap/>
          </w:tcPr>
          <w:p w14:paraId="273131C3" w14:textId="77777777" w:rsidR="00DF410E" w:rsidRDefault="00CE7F43">
            <w:pPr>
              <w:jc w:val="center"/>
            </w:pPr>
            <w:r>
              <w:t>L11</w:t>
            </w:r>
          </w:p>
        </w:tc>
        <w:tc>
          <w:tcPr>
            <w:tcW w:w="585" w:type="dxa"/>
            <w:noWrap/>
          </w:tcPr>
          <w:p w14:paraId="254EDA23" w14:textId="77777777" w:rsidR="00DF410E" w:rsidRDefault="00CE7F43">
            <w:pPr>
              <w:jc w:val="center"/>
            </w:pPr>
            <w:r>
              <w:t>U</w:t>
            </w:r>
          </w:p>
        </w:tc>
        <w:tc>
          <w:tcPr>
            <w:tcW w:w="585" w:type="dxa"/>
            <w:noWrap/>
          </w:tcPr>
          <w:p w14:paraId="5D133174" w14:textId="77777777" w:rsidR="00DF410E" w:rsidRDefault="00CE7F43">
            <w:pPr>
              <w:jc w:val="center"/>
            </w:pPr>
            <w:r>
              <w:t>D</w:t>
            </w:r>
          </w:p>
        </w:tc>
        <w:tc>
          <w:tcPr>
            <w:tcW w:w="585" w:type="dxa"/>
            <w:noWrap/>
          </w:tcPr>
          <w:p w14:paraId="445D0695" w14:textId="77777777" w:rsidR="00DF410E" w:rsidRDefault="00CE7F43">
            <w:pPr>
              <w:jc w:val="center"/>
            </w:pPr>
            <w:r>
              <w:t>D</w:t>
            </w:r>
          </w:p>
        </w:tc>
        <w:tc>
          <w:tcPr>
            <w:tcW w:w="585" w:type="dxa"/>
            <w:noWrap/>
          </w:tcPr>
          <w:p w14:paraId="3FD25AFF" w14:textId="77777777" w:rsidR="00DF410E" w:rsidRDefault="00CE7F43">
            <w:pPr>
              <w:jc w:val="center"/>
            </w:pPr>
            <w:r>
              <w:t>R</w:t>
            </w:r>
          </w:p>
        </w:tc>
        <w:tc>
          <w:tcPr>
            <w:tcW w:w="585" w:type="dxa"/>
            <w:noWrap/>
          </w:tcPr>
          <w:p w14:paraId="03F9AC73" w14:textId="77777777" w:rsidR="00DF410E" w:rsidRDefault="00CE7F43">
            <w:pPr>
              <w:jc w:val="center"/>
            </w:pPr>
            <w:r>
              <w:t>X</w:t>
            </w:r>
          </w:p>
        </w:tc>
      </w:tr>
      <w:tr w:rsidR="00DF410E" w14:paraId="0B22505F" w14:textId="77777777">
        <w:trPr>
          <w:trHeight w:val="30"/>
        </w:trPr>
        <w:tc>
          <w:tcPr>
            <w:tcW w:w="4965" w:type="dxa"/>
            <w:noWrap/>
          </w:tcPr>
          <w:p w14:paraId="2FAAB4CF" w14:textId="77777777" w:rsidR="00DF410E" w:rsidRDefault="00CE7F43">
            <w:r>
              <w:t>Composant en acier galvanisé (460 g/m² - galvanisation de 65 µm d’épaisseur) avec un revêtement organique (2 types) sur certaines surfaces</w:t>
            </w:r>
          </w:p>
        </w:tc>
        <w:tc>
          <w:tcPr>
            <w:tcW w:w="1080" w:type="dxa"/>
            <w:noWrap/>
          </w:tcPr>
          <w:p w14:paraId="42E73C5F" w14:textId="77777777" w:rsidR="00DF410E" w:rsidRDefault="00CE7F43">
            <w:pPr>
              <w:jc w:val="center"/>
            </w:pPr>
            <w:r>
              <w:t>L11.1 L11.2</w:t>
            </w:r>
          </w:p>
        </w:tc>
        <w:tc>
          <w:tcPr>
            <w:tcW w:w="585" w:type="dxa"/>
            <w:noWrap/>
          </w:tcPr>
          <w:p w14:paraId="3C03D3D1" w14:textId="77777777" w:rsidR="00DF410E" w:rsidRDefault="00CE7F43">
            <w:pPr>
              <w:jc w:val="center"/>
            </w:pPr>
            <w:r>
              <w:t>U</w:t>
            </w:r>
          </w:p>
        </w:tc>
        <w:tc>
          <w:tcPr>
            <w:tcW w:w="585" w:type="dxa"/>
            <w:noWrap/>
          </w:tcPr>
          <w:p w14:paraId="79E1C174" w14:textId="77777777" w:rsidR="00DF410E" w:rsidRDefault="00CE7F43">
            <w:pPr>
              <w:jc w:val="center"/>
            </w:pPr>
            <w:r>
              <w:t>U</w:t>
            </w:r>
          </w:p>
        </w:tc>
        <w:tc>
          <w:tcPr>
            <w:tcW w:w="585" w:type="dxa"/>
            <w:noWrap/>
          </w:tcPr>
          <w:p w14:paraId="64C778BF" w14:textId="77777777" w:rsidR="00DF410E" w:rsidRDefault="00CE7F43">
            <w:pPr>
              <w:jc w:val="center"/>
            </w:pPr>
            <w:r>
              <w:t>U</w:t>
            </w:r>
          </w:p>
        </w:tc>
        <w:tc>
          <w:tcPr>
            <w:tcW w:w="585" w:type="dxa"/>
            <w:noWrap/>
          </w:tcPr>
          <w:p w14:paraId="53703018" w14:textId="77777777" w:rsidR="00DF410E" w:rsidRDefault="00CE7F43">
            <w:pPr>
              <w:jc w:val="center"/>
            </w:pPr>
            <w:r>
              <w:t>R</w:t>
            </w:r>
          </w:p>
        </w:tc>
        <w:tc>
          <w:tcPr>
            <w:tcW w:w="585" w:type="dxa"/>
            <w:noWrap/>
          </w:tcPr>
          <w:p w14:paraId="11F1FA77" w14:textId="77777777" w:rsidR="00DF410E" w:rsidRDefault="00CE7F43">
            <w:pPr>
              <w:jc w:val="center"/>
            </w:pPr>
            <w:r>
              <w:t>X</w:t>
            </w:r>
          </w:p>
        </w:tc>
      </w:tr>
      <w:tr w:rsidR="00DF410E" w14:paraId="3D0A8807" w14:textId="77777777">
        <w:trPr>
          <w:trHeight w:val="30"/>
        </w:trPr>
        <w:tc>
          <w:tcPr>
            <w:tcW w:w="4965" w:type="dxa"/>
            <w:noWrap/>
          </w:tcPr>
          <w:p w14:paraId="3E71F546" w14:textId="77777777" w:rsidR="00DF410E" w:rsidRDefault="00CE7F43">
            <w:r>
              <w:t>Composant en acier galvanisé (395 g/m² - galvanisation de 55 µm d’épaisseur)</w:t>
            </w:r>
          </w:p>
        </w:tc>
        <w:tc>
          <w:tcPr>
            <w:tcW w:w="1080" w:type="dxa"/>
            <w:noWrap/>
          </w:tcPr>
          <w:p w14:paraId="34DB5114" w14:textId="77777777" w:rsidR="00DF410E" w:rsidRDefault="00CE7F43">
            <w:pPr>
              <w:jc w:val="center"/>
            </w:pPr>
            <w:r>
              <w:t>L11A</w:t>
            </w:r>
          </w:p>
        </w:tc>
        <w:tc>
          <w:tcPr>
            <w:tcW w:w="585" w:type="dxa"/>
            <w:noWrap/>
          </w:tcPr>
          <w:p w14:paraId="5CC22D27" w14:textId="77777777" w:rsidR="00DF410E" w:rsidRDefault="00CE7F43">
            <w:pPr>
              <w:jc w:val="center"/>
            </w:pPr>
            <w:r>
              <w:t>U</w:t>
            </w:r>
          </w:p>
        </w:tc>
        <w:tc>
          <w:tcPr>
            <w:tcW w:w="585" w:type="dxa"/>
            <w:noWrap/>
          </w:tcPr>
          <w:p w14:paraId="204B168C" w14:textId="77777777" w:rsidR="00DF410E" w:rsidRDefault="00CE7F43">
            <w:pPr>
              <w:jc w:val="center"/>
            </w:pPr>
            <w:r>
              <w:t>R</w:t>
            </w:r>
          </w:p>
        </w:tc>
        <w:tc>
          <w:tcPr>
            <w:tcW w:w="585" w:type="dxa"/>
            <w:noWrap/>
          </w:tcPr>
          <w:p w14:paraId="7BACC97B" w14:textId="77777777" w:rsidR="00DF410E" w:rsidRDefault="00CE7F43">
            <w:pPr>
              <w:jc w:val="center"/>
            </w:pPr>
            <w:r>
              <w:t>R</w:t>
            </w:r>
          </w:p>
        </w:tc>
        <w:tc>
          <w:tcPr>
            <w:tcW w:w="585" w:type="dxa"/>
            <w:noWrap/>
          </w:tcPr>
          <w:p w14:paraId="2EBA5E9C" w14:textId="77777777" w:rsidR="00DF410E" w:rsidRDefault="00CE7F43">
            <w:pPr>
              <w:jc w:val="center"/>
            </w:pPr>
            <w:r>
              <w:t>R</w:t>
            </w:r>
          </w:p>
        </w:tc>
        <w:tc>
          <w:tcPr>
            <w:tcW w:w="585" w:type="dxa"/>
            <w:noWrap/>
          </w:tcPr>
          <w:p w14:paraId="3ECC41F1" w14:textId="77777777" w:rsidR="00DF410E" w:rsidRDefault="00CE7F43">
            <w:pPr>
              <w:jc w:val="center"/>
            </w:pPr>
            <w:r>
              <w:t>X</w:t>
            </w:r>
          </w:p>
        </w:tc>
      </w:tr>
      <w:tr w:rsidR="00DF410E" w14:paraId="3DCA5AAC" w14:textId="77777777">
        <w:trPr>
          <w:trHeight w:val="30"/>
        </w:trPr>
        <w:tc>
          <w:tcPr>
            <w:tcW w:w="4965" w:type="dxa"/>
            <w:noWrap/>
          </w:tcPr>
          <w:p w14:paraId="58114756" w14:textId="77777777" w:rsidR="00DF410E" w:rsidRDefault="00CE7F43">
            <w:r>
              <w:t>Composant en acier galvanisé (395 g/m² - galvanisation de 55 µm) avec un revêtement organique (2 types) sur toutes les surfaces extérieures du composant fini</w:t>
            </w:r>
          </w:p>
        </w:tc>
        <w:tc>
          <w:tcPr>
            <w:tcW w:w="1080" w:type="dxa"/>
            <w:noWrap/>
          </w:tcPr>
          <w:p w14:paraId="29EAA36F" w14:textId="77777777" w:rsidR="00DF410E" w:rsidRDefault="00CE7F43">
            <w:pPr>
              <w:jc w:val="center"/>
            </w:pPr>
            <w:r>
              <w:t>L11.1A L11.2A</w:t>
            </w:r>
          </w:p>
        </w:tc>
        <w:tc>
          <w:tcPr>
            <w:tcW w:w="585" w:type="dxa"/>
            <w:noWrap/>
          </w:tcPr>
          <w:p w14:paraId="298C9019" w14:textId="77777777" w:rsidR="00DF410E" w:rsidRDefault="00CE7F43">
            <w:pPr>
              <w:jc w:val="center"/>
            </w:pPr>
            <w:r>
              <w:t>U</w:t>
            </w:r>
          </w:p>
        </w:tc>
        <w:tc>
          <w:tcPr>
            <w:tcW w:w="585" w:type="dxa"/>
            <w:noWrap/>
          </w:tcPr>
          <w:p w14:paraId="1080E075" w14:textId="77777777" w:rsidR="00DF410E" w:rsidRDefault="00CE7F43">
            <w:pPr>
              <w:jc w:val="center"/>
            </w:pPr>
            <w:r>
              <w:t>U</w:t>
            </w:r>
          </w:p>
        </w:tc>
        <w:tc>
          <w:tcPr>
            <w:tcW w:w="585" w:type="dxa"/>
            <w:noWrap/>
          </w:tcPr>
          <w:p w14:paraId="3B2FA605" w14:textId="77777777" w:rsidR="00DF410E" w:rsidRDefault="00CE7F43">
            <w:pPr>
              <w:jc w:val="center"/>
            </w:pPr>
            <w:r>
              <w:t>U</w:t>
            </w:r>
          </w:p>
        </w:tc>
        <w:tc>
          <w:tcPr>
            <w:tcW w:w="585" w:type="dxa"/>
            <w:noWrap/>
          </w:tcPr>
          <w:p w14:paraId="2E00EC87" w14:textId="77777777" w:rsidR="00DF410E" w:rsidRDefault="00CE7F43">
            <w:pPr>
              <w:jc w:val="center"/>
            </w:pPr>
            <w:r>
              <w:t>R</w:t>
            </w:r>
          </w:p>
        </w:tc>
        <w:tc>
          <w:tcPr>
            <w:tcW w:w="585" w:type="dxa"/>
            <w:noWrap/>
          </w:tcPr>
          <w:p w14:paraId="747EC14B" w14:textId="77777777" w:rsidR="00DF410E" w:rsidRDefault="00CE7F43">
            <w:pPr>
              <w:jc w:val="center"/>
            </w:pPr>
            <w:r>
              <w:t>X</w:t>
            </w:r>
          </w:p>
        </w:tc>
      </w:tr>
      <w:tr w:rsidR="00DF410E" w14:paraId="44CFB9FD" w14:textId="77777777">
        <w:trPr>
          <w:trHeight w:val="30"/>
        </w:trPr>
        <w:tc>
          <w:tcPr>
            <w:tcW w:w="4965" w:type="dxa"/>
            <w:noWrap/>
          </w:tcPr>
          <w:p w14:paraId="17055F37" w14:textId="77777777" w:rsidR="00DF410E" w:rsidRDefault="00CE7F43">
            <w:r>
              <w:t>Tôle ou feuillard d’acier galvanisé (300 g/m² - galvanisation de 42 µm d’épaisseur) avec un revêtement organique (2 types) sur toutes les surfaces extérieures du composant fini</w:t>
            </w:r>
          </w:p>
        </w:tc>
        <w:tc>
          <w:tcPr>
            <w:tcW w:w="1080" w:type="dxa"/>
            <w:noWrap/>
          </w:tcPr>
          <w:p w14:paraId="44227595" w14:textId="77777777" w:rsidR="00DF410E" w:rsidRDefault="00CE7F43">
            <w:pPr>
              <w:jc w:val="center"/>
            </w:pPr>
            <w:r>
              <w:t>L12.1 L12.2</w:t>
            </w:r>
          </w:p>
        </w:tc>
        <w:tc>
          <w:tcPr>
            <w:tcW w:w="585" w:type="dxa"/>
            <w:noWrap/>
          </w:tcPr>
          <w:p w14:paraId="79059C3C" w14:textId="77777777" w:rsidR="00DF410E" w:rsidRDefault="00CE7F43">
            <w:pPr>
              <w:jc w:val="center"/>
            </w:pPr>
            <w:r>
              <w:t>U</w:t>
            </w:r>
          </w:p>
        </w:tc>
        <w:tc>
          <w:tcPr>
            <w:tcW w:w="585" w:type="dxa"/>
            <w:noWrap/>
          </w:tcPr>
          <w:p w14:paraId="67479218" w14:textId="77777777" w:rsidR="00DF410E" w:rsidRDefault="00CE7F43">
            <w:pPr>
              <w:jc w:val="center"/>
            </w:pPr>
            <w:r>
              <w:t>U</w:t>
            </w:r>
          </w:p>
        </w:tc>
        <w:tc>
          <w:tcPr>
            <w:tcW w:w="585" w:type="dxa"/>
            <w:noWrap/>
          </w:tcPr>
          <w:p w14:paraId="3FBC9CED" w14:textId="77777777" w:rsidR="00DF410E" w:rsidRDefault="00CE7F43">
            <w:pPr>
              <w:jc w:val="center"/>
            </w:pPr>
            <w:r>
              <w:t>U</w:t>
            </w:r>
          </w:p>
        </w:tc>
        <w:tc>
          <w:tcPr>
            <w:tcW w:w="585" w:type="dxa"/>
            <w:noWrap/>
          </w:tcPr>
          <w:p w14:paraId="41DD13C1" w14:textId="77777777" w:rsidR="00DF410E" w:rsidRDefault="00CE7F43">
            <w:pPr>
              <w:jc w:val="center"/>
            </w:pPr>
            <w:r>
              <w:t>R</w:t>
            </w:r>
          </w:p>
        </w:tc>
        <w:tc>
          <w:tcPr>
            <w:tcW w:w="585" w:type="dxa"/>
            <w:noWrap/>
          </w:tcPr>
          <w:p w14:paraId="594B9CEB" w14:textId="77777777" w:rsidR="00DF410E" w:rsidRDefault="00CE7F43">
            <w:pPr>
              <w:jc w:val="center"/>
            </w:pPr>
            <w:r>
              <w:t>X</w:t>
            </w:r>
          </w:p>
        </w:tc>
      </w:tr>
      <w:tr w:rsidR="00DF410E" w14:paraId="4DEF1743" w14:textId="77777777">
        <w:trPr>
          <w:trHeight w:val="30"/>
        </w:trPr>
        <w:tc>
          <w:tcPr>
            <w:tcW w:w="4965" w:type="dxa"/>
            <w:noWrap/>
          </w:tcPr>
          <w:p w14:paraId="701EF7D9" w14:textId="77777777" w:rsidR="00DF410E" w:rsidRDefault="00CE7F43">
            <w:r>
              <w:t>Tôle ou feuillard d’acier galvanisé (300 g/m² - galvanisation de 42 µm d’épaisseur) avec un revêtement organique sur tous les bords de coupe</w:t>
            </w:r>
          </w:p>
        </w:tc>
        <w:tc>
          <w:tcPr>
            <w:tcW w:w="1080" w:type="dxa"/>
            <w:noWrap/>
          </w:tcPr>
          <w:p w14:paraId="6F1730F9" w14:textId="77777777" w:rsidR="00DF410E" w:rsidRDefault="00CE7F43">
            <w:pPr>
              <w:jc w:val="center"/>
            </w:pPr>
            <w:r>
              <w:t>L14</w:t>
            </w:r>
          </w:p>
        </w:tc>
        <w:tc>
          <w:tcPr>
            <w:tcW w:w="585" w:type="dxa"/>
            <w:noWrap/>
          </w:tcPr>
          <w:p w14:paraId="67BEA515" w14:textId="77777777" w:rsidR="00DF410E" w:rsidRDefault="00CE7F43">
            <w:pPr>
              <w:jc w:val="center"/>
            </w:pPr>
            <w:r>
              <w:t>U</w:t>
            </w:r>
          </w:p>
        </w:tc>
        <w:tc>
          <w:tcPr>
            <w:tcW w:w="585" w:type="dxa"/>
            <w:noWrap/>
          </w:tcPr>
          <w:p w14:paraId="17D014BC" w14:textId="77777777" w:rsidR="00DF410E" w:rsidRDefault="00CE7F43">
            <w:pPr>
              <w:jc w:val="center"/>
            </w:pPr>
            <w:r>
              <w:t>D</w:t>
            </w:r>
          </w:p>
        </w:tc>
        <w:tc>
          <w:tcPr>
            <w:tcW w:w="585" w:type="dxa"/>
            <w:noWrap/>
          </w:tcPr>
          <w:p w14:paraId="24B83EAD" w14:textId="77777777" w:rsidR="00DF410E" w:rsidRDefault="00CE7F43">
            <w:pPr>
              <w:jc w:val="center"/>
            </w:pPr>
            <w:r>
              <w:t>D</w:t>
            </w:r>
          </w:p>
        </w:tc>
        <w:tc>
          <w:tcPr>
            <w:tcW w:w="585" w:type="dxa"/>
            <w:noWrap/>
          </w:tcPr>
          <w:p w14:paraId="4B49262C" w14:textId="77777777" w:rsidR="00DF410E" w:rsidRDefault="00CE7F43">
            <w:pPr>
              <w:jc w:val="center"/>
            </w:pPr>
            <w:r>
              <w:t>R</w:t>
            </w:r>
          </w:p>
        </w:tc>
        <w:tc>
          <w:tcPr>
            <w:tcW w:w="585" w:type="dxa"/>
            <w:noWrap/>
          </w:tcPr>
          <w:p w14:paraId="504A5015" w14:textId="77777777" w:rsidR="00DF410E" w:rsidRDefault="00CE7F43">
            <w:pPr>
              <w:jc w:val="center"/>
            </w:pPr>
            <w:r>
              <w:t>X</w:t>
            </w:r>
          </w:p>
        </w:tc>
      </w:tr>
      <w:tr w:rsidR="00DF410E" w14:paraId="74E8F9BC" w14:textId="77777777">
        <w:trPr>
          <w:trHeight w:val="30"/>
        </w:trPr>
        <w:tc>
          <w:tcPr>
            <w:tcW w:w="4965" w:type="dxa"/>
            <w:noWrap/>
          </w:tcPr>
          <w:p w14:paraId="685C32D0" w14:textId="77777777" w:rsidR="00DF410E" w:rsidRDefault="00CE7F43">
            <w:r>
              <w:t>Tôle ou feuillard d’acier galvanisé (137 g/m² - galvanisation de 19 µm d’épaisseur) avec un revêtement organique (type 1) sur toutes les surfaces extérieures du composant fini</w:t>
            </w:r>
          </w:p>
        </w:tc>
        <w:tc>
          <w:tcPr>
            <w:tcW w:w="1080" w:type="dxa"/>
            <w:noWrap/>
          </w:tcPr>
          <w:p w14:paraId="34164EB9" w14:textId="77777777" w:rsidR="00DF410E" w:rsidRDefault="00CE7F43">
            <w:pPr>
              <w:jc w:val="center"/>
            </w:pPr>
            <w:r>
              <w:t>L16.1</w:t>
            </w:r>
          </w:p>
        </w:tc>
        <w:tc>
          <w:tcPr>
            <w:tcW w:w="585" w:type="dxa"/>
            <w:noWrap/>
          </w:tcPr>
          <w:p w14:paraId="56D6DE08" w14:textId="77777777" w:rsidR="00DF410E" w:rsidRDefault="00CE7F43">
            <w:pPr>
              <w:jc w:val="center"/>
            </w:pPr>
            <w:r>
              <w:t>U</w:t>
            </w:r>
          </w:p>
        </w:tc>
        <w:tc>
          <w:tcPr>
            <w:tcW w:w="585" w:type="dxa"/>
            <w:noWrap/>
          </w:tcPr>
          <w:p w14:paraId="0C10B60C" w14:textId="77777777" w:rsidR="00DF410E" w:rsidRDefault="00CE7F43">
            <w:pPr>
              <w:jc w:val="center"/>
            </w:pPr>
            <w:r>
              <w:t>D</w:t>
            </w:r>
          </w:p>
        </w:tc>
        <w:tc>
          <w:tcPr>
            <w:tcW w:w="585" w:type="dxa"/>
            <w:noWrap/>
          </w:tcPr>
          <w:p w14:paraId="7824955D" w14:textId="77777777" w:rsidR="00DF410E" w:rsidRDefault="00CE7F43">
            <w:pPr>
              <w:jc w:val="center"/>
            </w:pPr>
            <w:r>
              <w:t>D</w:t>
            </w:r>
          </w:p>
        </w:tc>
        <w:tc>
          <w:tcPr>
            <w:tcW w:w="585" w:type="dxa"/>
            <w:noWrap/>
          </w:tcPr>
          <w:p w14:paraId="2E831B07" w14:textId="77777777" w:rsidR="00DF410E" w:rsidRDefault="00CE7F43">
            <w:pPr>
              <w:jc w:val="center"/>
            </w:pPr>
            <w:r>
              <w:t>R</w:t>
            </w:r>
          </w:p>
        </w:tc>
        <w:tc>
          <w:tcPr>
            <w:tcW w:w="585" w:type="dxa"/>
            <w:noWrap/>
          </w:tcPr>
          <w:p w14:paraId="76B0BA53" w14:textId="77777777" w:rsidR="00DF410E" w:rsidRDefault="00CE7F43">
            <w:pPr>
              <w:jc w:val="center"/>
            </w:pPr>
            <w:r>
              <w:t>X</w:t>
            </w:r>
          </w:p>
        </w:tc>
      </w:tr>
      <w:tr w:rsidR="00DF410E" w14:paraId="6E8E8D0E" w14:textId="77777777">
        <w:trPr>
          <w:trHeight w:val="30"/>
        </w:trPr>
        <w:tc>
          <w:tcPr>
            <w:tcW w:w="4965" w:type="dxa"/>
            <w:noWrap/>
          </w:tcPr>
          <w:p w14:paraId="28C19D9B" w14:textId="77777777" w:rsidR="00DF410E" w:rsidRDefault="00CE7F43">
            <w:r>
              <w:t>Tôle ou feuillard d’acier galvanisé (137 g/m² - galvanisation de 19 µm d’épaisseur) avec un revêtement organique (type 2) sur toutes les surfaces extérieures du composant fini</w:t>
            </w:r>
          </w:p>
        </w:tc>
        <w:tc>
          <w:tcPr>
            <w:tcW w:w="1080" w:type="dxa"/>
            <w:noWrap/>
          </w:tcPr>
          <w:p w14:paraId="26C803F9" w14:textId="77777777" w:rsidR="00DF410E" w:rsidRDefault="00CE7F43">
            <w:pPr>
              <w:jc w:val="center"/>
            </w:pPr>
            <w:r>
              <w:t>L16.2</w:t>
            </w:r>
          </w:p>
        </w:tc>
        <w:tc>
          <w:tcPr>
            <w:tcW w:w="585" w:type="dxa"/>
            <w:noWrap/>
          </w:tcPr>
          <w:p w14:paraId="624D37EE" w14:textId="77777777" w:rsidR="00DF410E" w:rsidRDefault="00CE7F43">
            <w:pPr>
              <w:jc w:val="center"/>
            </w:pPr>
            <w:r>
              <w:t>U</w:t>
            </w:r>
          </w:p>
        </w:tc>
        <w:tc>
          <w:tcPr>
            <w:tcW w:w="585" w:type="dxa"/>
            <w:noWrap/>
          </w:tcPr>
          <w:p w14:paraId="47678272" w14:textId="77777777" w:rsidR="00DF410E" w:rsidRDefault="00CE7F43">
            <w:pPr>
              <w:jc w:val="center"/>
            </w:pPr>
            <w:r>
              <w:t>U</w:t>
            </w:r>
          </w:p>
        </w:tc>
        <w:tc>
          <w:tcPr>
            <w:tcW w:w="585" w:type="dxa"/>
            <w:noWrap/>
          </w:tcPr>
          <w:p w14:paraId="69043936" w14:textId="77777777" w:rsidR="00DF410E" w:rsidRDefault="00CE7F43">
            <w:pPr>
              <w:jc w:val="center"/>
            </w:pPr>
            <w:r>
              <w:t>U</w:t>
            </w:r>
          </w:p>
        </w:tc>
        <w:tc>
          <w:tcPr>
            <w:tcW w:w="585" w:type="dxa"/>
            <w:noWrap/>
          </w:tcPr>
          <w:p w14:paraId="6213B8BD" w14:textId="77777777" w:rsidR="00DF410E" w:rsidRDefault="00CE7F43">
            <w:pPr>
              <w:jc w:val="center"/>
            </w:pPr>
            <w:r>
              <w:t>R</w:t>
            </w:r>
          </w:p>
        </w:tc>
        <w:tc>
          <w:tcPr>
            <w:tcW w:w="585" w:type="dxa"/>
            <w:noWrap/>
          </w:tcPr>
          <w:p w14:paraId="29A3089F" w14:textId="77777777" w:rsidR="00DF410E" w:rsidRDefault="00CE7F43">
            <w:pPr>
              <w:jc w:val="center"/>
            </w:pPr>
            <w:r>
              <w:t>X</w:t>
            </w:r>
          </w:p>
        </w:tc>
      </w:tr>
      <w:tr w:rsidR="00DF410E" w14:paraId="656FDFCD" w14:textId="77777777">
        <w:trPr>
          <w:trHeight w:val="30"/>
        </w:trPr>
        <w:tc>
          <w:tcPr>
            <w:tcW w:w="4965" w:type="dxa"/>
            <w:noWrap/>
          </w:tcPr>
          <w:p w14:paraId="6DC6555C" w14:textId="77777777" w:rsidR="00DF410E" w:rsidRDefault="00CE7F43">
            <w:r>
              <w:t>Acier inoxydable austéno-ferritique</w:t>
            </w:r>
          </w:p>
        </w:tc>
        <w:tc>
          <w:tcPr>
            <w:tcW w:w="1080" w:type="dxa"/>
            <w:noWrap/>
          </w:tcPr>
          <w:p w14:paraId="6CC58D40" w14:textId="77777777" w:rsidR="00DF410E" w:rsidRDefault="00CE7F43">
            <w:pPr>
              <w:jc w:val="center"/>
            </w:pPr>
            <w:r>
              <w:t>L23</w:t>
            </w:r>
          </w:p>
        </w:tc>
        <w:tc>
          <w:tcPr>
            <w:tcW w:w="585" w:type="dxa"/>
            <w:noWrap/>
          </w:tcPr>
          <w:p w14:paraId="71C8C091" w14:textId="77777777" w:rsidR="00DF410E" w:rsidRDefault="00CE7F43">
            <w:pPr>
              <w:jc w:val="center"/>
            </w:pPr>
            <w:r>
              <w:t>U</w:t>
            </w:r>
          </w:p>
        </w:tc>
        <w:tc>
          <w:tcPr>
            <w:tcW w:w="585" w:type="dxa"/>
            <w:noWrap/>
          </w:tcPr>
          <w:p w14:paraId="3D905F4E" w14:textId="77777777" w:rsidR="00DF410E" w:rsidRDefault="00CE7F43">
            <w:pPr>
              <w:jc w:val="center"/>
            </w:pPr>
            <w:r>
              <w:t>X</w:t>
            </w:r>
          </w:p>
        </w:tc>
        <w:tc>
          <w:tcPr>
            <w:tcW w:w="585" w:type="dxa"/>
            <w:noWrap/>
          </w:tcPr>
          <w:p w14:paraId="66A50B13" w14:textId="77777777" w:rsidR="00DF410E" w:rsidRDefault="00CE7F43">
            <w:pPr>
              <w:jc w:val="center"/>
            </w:pPr>
            <w:r>
              <w:t>X</w:t>
            </w:r>
          </w:p>
        </w:tc>
        <w:tc>
          <w:tcPr>
            <w:tcW w:w="585" w:type="dxa"/>
            <w:noWrap/>
          </w:tcPr>
          <w:p w14:paraId="64A6CCA4" w14:textId="77777777" w:rsidR="00DF410E" w:rsidRDefault="00CE7F43">
            <w:pPr>
              <w:jc w:val="center"/>
            </w:pPr>
            <w:r>
              <w:t>X</w:t>
            </w:r>
          </w:p>
        </w:tc>
        <w:tc>
          <w:tcPr>
            <w:tcW w:w="585" w:type="dxa"/>
            <w:noWrap/>
          </w:tcPr>
          <w:p w14:paraId="6E058944" w14:textId="77777777" w:rsidR="00DF410E" w:rsidRDefault="00CE7F43">
            <w:pPr>
              <w:jc w:val="center"/>
            </w:pPr>
            <w:r>
              <w:t>X</w:t>
            </w:r>
          </w:p>
        </w:tc>
      </w:tr>
      <w:tr w:rsidR="00DF410E" w14:paraId="338B5CF9" w14:textId="77777777">
        <w:trPr>
          <w:trHeight w:val="30"/>
        </w:trPr>
        <w:tc>
          <w:tcPr>
            <w:tcW w:w="4965" w:type="dxa"/>
            <w:noWrap/>
          </w:tcPr>
          <w:p w14:paraId="0FE99D1C" w14:textId="77777777" w:rsidR="00DF410E" w:rsidRDefault="00CE7F43">
            <w:r>
              <w:t>Béton (</w:t>
            </w:r>
            <w:r>
              <w:rPr>
                <w:vertAlign w:val="superscript"/>
              </w:rPr>
              <w:t>3</w:t>
            </w:r>
            <w:r>
              <w:t>) ou béton et maçonnerie</w:t>
            </w:r>
          </w:p>
        </w:tc>
        <w:tc>
          <w:tcPr>
            <w:tcW w:w="1080" w:type="dxa"/>
            <w:noWrap/>
          </w:tcPr>
          <w:p w14:paraId="103CE24A" w14:textId="77777777" w:rsidR="00DF410E" w:rsidRDefault="00CE7F43">
            <w:pPr>
              <w:jc w:val="center"/>
            </w:pPr>
            <w:r>
              <w:t>A</w:t>
            </w:r>
          </w:p>
        </w:tc>
        <w:tc>
          <w:tcPr>
            <w:tcW w:w="585" w:type="dxa"/>
            <w:noWrap/>
          </w:tcPr>
          <w:p w14:paraId="0AC1DD52" w14:textId="77777777" w:rsidR="00DF410E" w:rsidRDefault="00CE7F43">
            <w:pPr>
              <w:jc w:val="center"/>
            </w:pPr>
            <w:r>
              <w:t>U</w:t>
            </w:r>
          </w:p>
        </w:tc>
        <w:tc>
          <w:tcPr>
            <w:tcW w:w="585" w:type="dxa"/>
            <w:noWrap/>
          </w:tcPr>
          <w:p w14:paraId="4A543B40" w14:textId="77777777" w:rsidR="00DF410E" w:rsidRDefault="00CE7F43">
            <w:pPr>
              <w:jc w:val="center"/>
            </w:pPr>
            <w:r>
              <w:t>U</w:t>
            </w:r>
          </w:p>
        </w:tc>
        <w:tc>
          <w:tcPr>
            <w:tcW w:w="585" w:type="dxa"/>
            <w:noWrap/>
          </w:tcPr>
          <w:p w14:paraId="1C71E363" w14:textId="77777777" w:rsidR="00DF410E" w:rsidRDefault="00CE7F43">
            <w:pPr>
              <w:jc w:val="center"/>
            </w:pPr>
            <w:r>
              <w:t>R</w:t>
            </w:r>
          </w:p>
        </w:tc>
        <w:tc>
          <w:tcPr>
            <w:tcW w:w="585" w:type="dxa"/>
            <w:noWrap/>
          </w:tcPr>
          <w:p w14:paraId="582D1E56" w14:textId="77777777" w:rsidR="00DF410E" w:rsidRDefault="00CE7F43">
            <w:pPr>
              <w:jc w:val="center"/>
            </w:pPr>
            <w:r>
              <w:t>R</w:t>
            </w:r>
          </w:p>
        </w:tc>
        <w:tc>
          <w:tcPr>
            <w:tcW w:w="585" w:type="dxa"/>
            <w:noWrap/>
          </w:tcPr>
          <w:p w14:paraId="55F1AD1F" w14:textId="77777777" w:rsidR="00DF410E" w:rsidRDefault="00CE7F43">
            <w:pPr>
              <w:jc w:val="center"/>
            </w:pPr>
            <w:r>
              <w:t>R</w:t>
            </w:r>
          </w:p>
        </w:tc>
      </w:tr>
      <w:tr w:rsidR="00DF410E" w14:paraId="68444D00" w14:textId="77777777">
        <w:trPr>
          <w:trHeight w:val="30"/>
        </w:trPr>
        <w:tc>
          <w:tcPr>
            <w:tcW w:w="4965" w:type="dxa"/>
            <w:noWrap/>
          </w:tcPr>
          <w:p w14:paraId="047A86B7" w14:textId="77777777" w:rsidR="00DF410E" w:rsidRDefault="00CE7F43">
            <w:r>
              <w:t>Béton (</w:t>
            </w:r>
            <w:r>
              <w:rPr>
                <w:vertAlign w:val="superscript"/>
              </w:rPr>
              <w:t>3</w:t>
            </w:r>
            <w:r>
              <w:t>) ou béton et maçonnerie</w:t>
            </w:r>
          </w:p>
        </w:tc>
        <w:tc>
          <w:tcPr>
            <w:tcW w:w="1080" w:type="dxa"/>
            <w:noWrap/>
          </w:tcPr>
          <w:p w14:paraId="6B8ECE2E" w14:textId="77777777" w:rsidR="00DF410E" w:rsidRDefault="00CE7F43">
            <w:pPr>
              <w:jc w:val="center"/>
            </w:pPr>
            <w:r>
              <w:t>B</w:t>
            </w:r>
          </w:p>
        </w:tc>
        <w:tc>
          <w:tcPr>
            <w:tcW w:w="585" w:type="dxa"/>
            <w:noWrap/>
          </w:tcPr>
          <w:p w14:paraId="6088A149" w14:textId="77777777" w:rsidR="00DF410E" w:rsidRDefault="00CE7F43">
            <w:pPr>
              <w:jc w:val="center"/>
            </w:pPr>
            <w:r>
              <w:t>U</w:t>
            </w:r>
          </w:p>
        </w:tc>
        <w:tc>
          <w:tcPr>
            <w:tcW w:w="585" w:type="dxa"/>
            <w:noWrap/>
          </w:tcPr>
          <w:p w14:paraId="74A060FB" w14:textId="77777777" w:rsidR="00DF410E" w:rsidRDefault="00CE7F43">
            <w:pPr>
              <w:jc w:val="center"/>
            </w:pPr>
            <w:r>
              <w:t>U</w:t>
            </w:r>
          </w:p>
        </w:tc>
        <w:tc>
          <w:tcPr>
            <w:tcW w:w="585" w:type="dxa"/>
            <w:noWrap/>
          </w:tcPr>
          <w:p w14:paraId="47B579DD" w14:textId="77777777" w:rsidR="00DF410E" w:rsidRDefault="00CE7F43">
            <w:pPr>
              <w:jc w:val="center"/>
            </w:pPr>
            <w:r>
              <w:t>R</w:t>
            </w:r>
          </w:p>
        </w:tc>
        <w:tc>
          <w:tcPr>
            <w:tcW w:w="585" w:type="dxa"/>
            <w:noWrap/>
          </w:tcPr>
          <w:p w14:paraId="1810F6B8" w14:textId="77777777" w:rsidR="00DF410E" w:rsidRDefault="00CE7F43">
            <w:pPr>
              <w:jc w:val="center"/>
            </w:pPr>
            <w:r>
              <w:t>R</w:t>
            </w:r>
          </w:p>
        </w:tc>
        <w:tc>
          <w:tcPr>
            <w:tcW w:w="585" w:type="dxa"/>
            <w:noWrap/>
          </w:tcPr>
          <w:p w14:paraId="5DD5A5BE" w14:textId="77777777" w:rsidR="00DF410E" w:rsidRDefault="00CE7F43">
            <w:pPr>
              <w:jc w:val="center"/>
            </w:pPr>
            <w:r>
              <w:t>X</w:t>
            </w:r>
          </w:p>
        </w:tc>
      </w:tr>
      <w:tr w:rsidR="00DF410E" w14:paraId="14C8E60C" w14:textId="77777777">
        <w:trPr>
          <w:trHeight w:val="30"/>
        </w:trPr>
        <w:tc>
          <w:tcPr>
            <w:tcW w:w="4965" w:type="dxa"/>
            <w:noWrap/>
          </w:tcPr>
          <w:p w14:paraId="1F4AF72E" w14:textId="77777777" w:rsidR="00DF410E" w:rsidRDefault="00CE7F43">
            <w:r>
              <w:t>Béton (</w:t>
            </w:r>
            <w:r>
              <w:rPr>
                <w:vertAlign w:val="superscript"/>
              </w:rPr>
              <w:t>3</w:t>
            </w:r>
            <w:r>
              <w:t>) ou béton et maçonnerie</w:t>
            </w:r>
          </w:p>
        </w:tc>
        <w:tc>
          <w:tcPr>
            <w:tcW w:w="1080" w:type="dxa"/>
            <w:noWrap/>
          </w:tcPr>
          <w:p w14:paraId="19F9750F" w14:textId="77777777" w:rsidR="00DF410E" w:rsidRDefault="00CE7F43">
            <w:pPr>
              <w:jc w:val="center"/>
            </w:pPr>
            <w:r>
              <w:t>C</w:t>
            </w:r>
          </w:p>
        </w:tc>
        <w:tc>
          <w:tcPr>
            <w:tcW w:w="585" w:type="dxa"/>
            <w:noWrap/>
          </w:tcPr>
          <w:p w14:paraId="120C6FA8" w14:textId="77777777" w:rsidR="00DF410E" w:rsidRDefault="00CE7F43">
            <w:pPr>
              <w:jc w:val="center"/>
            </w:pPr>
            <w:r>
              <w:t>U</w:t>
            </w:r>
          </w:p>
        </w:tc>
        <w:tc>
          <w:tcPr>
            <w:tcW w:w="585" w:type="dxa"/>
            <w:noWrap/>
          </w:tcPr>
          <w:p w14:paraId="02244425" w14:textId="77777777" w:rsidR="00DF410E" w:rsidRDefault="00CE7F43">
            <w:pPr>
              <w:jc w:val="center"/>
            </w:pPr>
            <w:r>
              <w:t>U</w:t>
            </w:r>
          </w:p>
        </w:tc>
        <w:tc>
          <w:tcPr>
            <w:tcW w:w="585" w:type="dxa"/>
            <w:noWrap/>
          </w:tcPr>
          <w:p w14:paraId="4456F730" w14:textId="77777777" w:rsidR="00DF410E" w:rsidRDefault="00CE7F43">
            <w:pPr>
              <w:jc w:val="center"/>
            </w:pPr>
            <w:r>
              <w:t>R</w:t>
            </w:r>
          </w:p>
        </w:tc>
        <w:tc>
          <w:tcPr>
            <w:tcW w:w="585" w:type="dxa"/>
            <w:noWrap/>
          </w:tcPr>
          <w:p w14:paraId="5755CBAC" w14:textId="77777777" w:rsidR="00DF410E" w:rsidRDefault="00CE7F43">
            <w:pPr>
              <w:jc w:val="center"/>
            </w:pPr>
            <w:r>
              <w:t>X</w:t>
            </w:r>
          </w:p>
        </w:tc>
        <w:tc>
          <w:tcPr>
            <w:tcW w:w="585" w:type="dxa"/>
            <w:noWrap/>
          </w:tcPr>
          <w:p w14:paraId="11737129" w14:textId="77777777" w:rsidR="00DF410E" w:rsidRDefault="00CE7F43">
            <w:pPr>
              <w:jc w:val="center"/>
            </w:pPr>
            <w:r>
              <w:t>X</w:t>
            </w:r>
          </w:p>
        </w:tc>
      </w:tr>
      <w:tr w:rsidR="00DF410E" w14:paraId="1B49310F" w14:textId="77777777">
        <w:trPr>
          <w:trHeight w:val="30"/>
        </w:trPr>
        <w:tc>
          <w:tcPr>
            <w:tcW w:w="4965" w:type="dxa"/>
            <w:noWrap/>
          </w:tcPr>
          <w:p w14:paraId="7A2E1E04" w14:textId="77777777" w:rsidR="00DF410E" w:rsidRDefault="00CE7F43">
            <w:r>
              <w:t>Béton (</w:t>
            </w:r>
            <w:r>
              <w:rPr>
                <w:vertAlign w:val="superscript"/>
              </w:rPr>
              <w:t>3</w:t>
            </w:r>
            <w:r>
              <w:t>) ou béton et maçonnerie</w:t>
            </w:r>
          </w:p>
        </w:tc>
        <w:tc>
          <w:tcPr>
            <w:tcW w:w="1080" w:type="dxa"/>
            <w:noWrap/>
          </w:tcPr>
          <w:p w14:paraId="5642807B" w14:textId="77777777" w:rsidR="00DF410E" w:rsidRDefault="00CE7F43">
            <w:pPr>
              <w:jc w:val="center"/>
            </w:pPr>
            <w:r>
              <w:t>D</w:t>
            </w:r>
          </w:p>
        </w:tc>
        <w:tc>
          <w:tcPr>
            <w:tcW w:w="585" w:type="dxa"/>
            <w:noWrap/>
          </w:tcPr>
          <w:p w14:paraId="5047C06E" w14:textId="77777777" w:rsidR="00DF410E" w:rsidRDefault="00CE7F43">
            <w:pPr>
              <w:jc w:val="center"/>
            </w:pPr>
            <w:r>
              <w:t>U</w:t>
            </w:r>
          </w:p>
        </w:tc>
        <w:tc>
          <w:tcPr>
            <w:tcW w:w="585" w:type="dxa"/>
            <w:noWrap/>
          </w:tcPr>
          <w:p w14:paraId="6BAE1C51" w14:textId="77777777" w:rsidR="00DF410E" w:rsidRDefault="00CE7F43">
            <w:pPr>
              <w:jc w:val="center"/>
            </w:pPr>
            <w:r>
              <w:t>U</w:t>
            </w:r>
          </w:p>
        </w:tc>
        <w:tc>
          <w:tcPr>
            <w:tcW w:w="585" w:type="dxa"/>
            <w:noWrap/>
          </w:tcPr>
          <w:p w14:paraId="11813FE5" w14:textId="77777777" w:rsidR="00DF410E" w:rsidRDefault="00CE7F43">
            <w:pPr>
              <w:jc w:val="center"/>
            </w:pPr>
            <w:r>
              <w:t>X</w:t>
            </w:r>
          </w:p>
        </w:tc>
        <w:tc>
          <w:tcPr>
            <w:tcW w:w="585" w:type="dxa"/>
            <w:noWrap/>
          </w:tcPr>
          <w:p w14:paraId="267D0065" w14:textId="77777777" w:rsidR="00DF410E" w:rsidRDefault="00CE7F43">
            <w:pPr>
              <w:jc w:val="center"/>
            </w:pPr>
            <w:r>
              <w:t>X</w:t>
            </w:r>
          </w:p>
        </w:tc>
        <w:tc>
          <w:tcPr>
            <w:tcW w:w="585" w:type="dxa"/>
            <w:noWrap/>
          </w:tcPr>
          <w:p w14:paraId="2484F21E" w14:textId="77777777" w:rsidR="00DF410E" w:rsidRDefault="00CE7F43">
            <w:pPr>
              <w:jc w:val="center"/>
            </w:pPr>
            <w:r>
              <w:t>X</w:t>
            </w:r>
          </w:p>
        </w:tc>
      </w:tr>
      <w:tr w:rsidR="00DF410E" w14:paraId="0BCAAD35" w14:textId="77777777">
        <w:trPr>
          <w:trHeight w:val="30"/>
        </w:trPr>
        <w:tc>
          <w:tcPr>
            <w:tcW w:w="4965" w:type="dxa"/>
            <w:noWrap/>
          </w:tcPr>
          <w:p w14:paraId="61EBBCDA" w14:textId="77777777" w:rsidR="00DF410E" w:rsidRDefault="00CE7F43">
            <w:r>
              <w:t>Béton (</w:t>
            </w:r>
            <w:r>
              <w:rPr>
                <w:vertAlign w:val="superscript"/>
              </w:rPr>
              <w:t>3</w:t>
            </w:r>
            <w:r>
              <w:t>) ou béton et maçonnerie</w:t>
            </w:r>
          </w:p>
        </w:tc>
        <w:tc>
          <w:tcPr>
            <w:tcW w:w="1080" w:type="dxa"/>
            <w:noWrap/>
          </w:tcPr>
          <w:p w14:paraId="2BB8DE13" w14:textId="77777777" w:rsidR="00DF410E" w:rsidRDefault="00CE7F43">
            <w:pPr>
              <w:jc w:val="center"/>
            </w:pPr>
            <w:r>
              <w:t>E</w:t>
            </w:r>
          </w:p>
        </w:tc>
        <w:tc>
          <w:tcPr>
            <w:tcW w:w="585" w:type="dxa"/>
            <w:noWrap/>
          </w:tcPr>
          <w:p w14:paraId="6E2C4170" w14:textId="77777777" w:rsidR="00DF410E" w:rsidRDefault="00CE7F43">
            <w:pPr>
              <w:jc w:val="center"/>
            </w:pPr>
            <w:r>
              <w:t>U</w:t>
            </w:r>
          </w:p>
        </w:tc>
        <w:tc>
          <w:tcPr>
            <w:tcW w:w="585" w:type="dxa"/>
            <w:noWrap/>
          </w:tcPr>
          <w:p w14:paraId="32D74AEB" w14:textId="77777777" w:rsidR="00DF410E" w:rsidRDefault="00CE7F43">
            <w:pPr>
              <w:jc w:val="center"/>
            </w:pPr>
            <w:r>
              <w:t>X</w:t>
            </w:r>
          </w:p>
        </w:tc>
        <w:tc>
          <w:tcPr>
            <w:tcW w:w="585" w:type="dxa"/>
            <w:noWrap/>
          </w:tcPr>
          <w:p w14:paraId="0861DC23" w14:textId="77777777" w:rsidR="00DF410E" w:rsidRDefault="00CE7F43">
            <w:pPr>
              <w:jc w:val="center"/>
            </w:pPr>
            <w:r>
              <w:t>X</w:t>
            </w:r>
          </w:p>
        </w:tc>
        <w:tc>
          <w:tcPr>
            <w:tcW w:w="585" w:type="dxa"/>
            <w:noWrap/>
          </w:tcPr>
          <w:p w14:paraId="2D46D81F" w14:textId="77777777" w:rsidR="00DF410E" w:rsidRDefault="00CE7F43">
            <w:pPr>
              <w:jc w:val="center"/>
            </w:pPr>
            <w:r>
              <w:t>X</w:t>
            </w:r>
          </w:p>
        </w:tc>
        <w:tc>
          <w:tcPr>
            <w:tcW w:w="585" w:type="dxa"/>
            <w:noWrap/>
          </w:tcPr>
          <w:p w14:paraId="11DDF9F3" w14:textId="77777777" w:rsidR="00DF410E" w:rsidRDefault="00CE7F43">
            <w:pPr>
              <w:jc w:val="center"/>
            </w:pPr>
            <w:r>
              <w:t>X</w:t>
            </w:r>
          </w:p>
        </w:tc>
      </w:tr>
      <w:tr w:rsidR="00DF410E" w14:paraId="57E6037D" w14:textId="77777777">
        <w:trPr>
          <w:trHeight w:val="30"/>
        </w:trPr>
        <w:tc>
          <w:tcPr>
            <w:tcW w:w="4965" w:type="dxa"/>
            <w:noWrap/>
          </w:tcPr>
          <w:p w14:paraId="79637A21" w14:textId="77777777" w:rsidR="00DF410E" w:rsidRDefault="00CE7F43">
            <w:r>
              <w:t>Béton (</w:t>
            </w:r>
            <w:r>
              <w:rPr>
                <w:vertAlign w:val="superscript"/>
              </w:rPr>
              <w:t>3</w:t>
            </w:r>
            <w:r>
              <w:t>) ou maçonnerie avec armature en acier inoxydable</w:t>
            </w:r>
          </w:p>
        </w:tc>
        <w:tc>
          <w:tcPr>
            <w:tcW w:w="1080" w:type="dxa"/>
            <w:noWrap/>
          </w:tcPr>
          <w:p w14:paraId="785146CF" w14:textId="77777777" w:rsidR="00DF410E" w:rsidRDefault="00CE7F43">
            <w:pPr>
              <w:jc w:val="center"/>
            </w:pPr>
            <w:r>
              <w:t>F</w:t>
            </w:r>
          </w:p>
        </w:tc>
        <w:tc>
          <w:tcPr>
            <w:tcW w:w="585" w:type="dxa"/>
            <w:noWrap/>
          </w:tcPr>
          <w:p w14:paraId="61167918" w14:textId="77777777" w:rsidR="00DF410E" w:rsidRDefault="00CE7F43">
            <w:pPr>
              <w:jc w:val="center"/>
            </w:pPr>
            <w:r>
              <w:t>U</w:t>
            </w:r>
          </w:p>
        </w:tc>
        <w:tc>
          <w:tcPr>
            <w:tcW w:w="585" w:type="dxa"/>
            <w:noWrap/>
          </w:tcPr>
          <w:p w14:paraId="36307E56" w14:textId="77777777" w:rsidR="00DF410E" w:rsidRDefault="00CE7F43">
            <w:pPr>
              <w:jc w:val="center"/>
            </w:pPr>
            <w:r>
              <w:t>U</w:t>
            </w:r>
          </w:p>
        </w:tc>
        <w:tc>
          <w:tcPr>
            <w:tcW w:w="585" w:type="dxa"/>
            <w:noWrap/>
          </w:tcPr>
          <w:p w14:paraId="7D6B834D" w14:textId="77777777" w:rsidR="00DF410E" w:rsidRDefault="00CE7F43">
            <w:pPr>
              <w:jc w:val="center"/>
            </w:pPr>
            <w:r>
              <w:t>R</w:t>
            </w:r>
          </w:p>
        </w:tc>
        <w:tc>
          <w:tcPr>
            <w:tcW w:w="585" w:type="dxa"/>
            <w:noWrap/>
          </w:tcPr>
          <w:p w14:paraId="20992DEA" w14:textId="77777777" w:rsidR="00DF410E" w:rsidRDefault="00CE7F43">
            <w:pPr>
              <w:jc w:val="center"/>
            </w:pPr>
            <w:r>
              <w:t>R</w:t>
            </w:r>
          </w:p>
        </w:tc>
        <w:tc>
          <w:tcPr>
            <w:tcW w:w="585" w:type="dxa"/>
            <w:noWrap/>
          </w:tcPr>
          <w:p w14:paraId="2F83371C" w14:textId="77777777" w:rsidR="00DF410E" w:rsidRDefault="00CE7F43">
            <w:pPr>
              <w:jc w:val="center"/>
            </w:pPr>
            <w:r>
              <w:t>R</w:t>
            </w:r>
          </w:p>
        </w:tc>
      </w:tr>
      <w:tr w:rsidR="00DF410E" w14:paraId="1F9C84D1" w14:textId="77777777">
        <w:trPr>
          <w:trHeight w:val="30"/>
        </w:trPr>
        <w:tc>
          <w:tcPr>
            <w:tcW w:w="4965" w:type="dxa"/>
            <w:noWrap/>
          </w:tcPr>
          <w:p w14:paraId="2E20B5D7" w14:textId="77777777" w:rsidR="00DF410E" w:rsidRDefault="00CE7F43">
            <w:r>
              <w:t>Béton cellulaire autoclavé avec armature protégée par un système d’enrobage</w:t>
            </w:r>
          </w:p>
        </w:tc>
        <w:tc>
          <w:tcPr>
            <w:tcW w:w="1080" w:type="dxa"/>
            <w:noWrap/>
          </w:tcPr>
          <w:p w14:paraId="37ECD45E" w14:textId="77777777" w:rsidR="00DF410E" w:rsidRDefault="00CE7F43">
            <w:pPr>
              <w:jc w:val="center"/>
            </w:pPr>
            <w:r>
              <w:t>G</w:t>
            </w:r>
          </w:p>
        </w:tc>
        <w:tc>
          <w:tcPr>
            <w:tcW w:w="585" w:type="dxa"/>
            <w:noWrap/>
          </w:tcPr>
          <w:p w14:paraId="139BFD22" w14:textId="77777777" w:rsidR="00DF410E" w:rsidRDefault="00CE7F43">
            <w:pPr>
              <w:jc w:val="center"/>
            </w:pPr>
            <w:r>
              <w:t>U</w:t>
            </w:r>
          </w:p>
        </w:tc>
        <w:tc>
          <w:tcPr>
            <w:tcW w:w="585" w:type="dxa"/>
            <w:noWrap/>
          </w:tcPr>
          <w:p w14:paraId="624AB2CD" w14:textId="77777777" w:rsidR="00DF410E" w:rsidRDefault="00CE7F43">
            <w:pPr>
              <w:jc w:val="center"/>
            </w:pPr>
            <w:r>
              <w:t>R</w:t>
            </w:r>
          </w:p>
        </w:tc>
        <w:tc>
          <w:tcPr>
            <w:tcW w:w="585" w:type="dxa"/>
            <w:noWrap/>
          </w:tcPr>
          <w:p w14:paraId="66BA5E2D" w14:textId="77777777" w:rsidR="00DF410E" w:rsidRDefault="00CE7F43">
            <w:pPr>
              <w:jc w:val="center"/>
            </w:pPr>
            <w:r>
              <w:t>R</w:t>
            </w:r>
          </w:p>
        </w:tc>
        <w:tc>
          <w:tcPr>
            <w:tcW w:w="585" w:type="dxa"/>
            <w:noWrap/>
          </w:tcPr>
          <w:p w14:paraId="16BBE048" w14:textId="77777777" w:rsidR="00DF410E" w:rsidRDefault="00CE7F43">
            <w:pPr>
              <w:jc w:val="center"/>
            </w:pPr>
            <w:r>
              <w:t>R</w:t>
            </w:r>
          </w:p>
        </w:tc>
        <w:tc>
          <w:tcPr>
            <w:tcW w:w="585" w:type="dxa"/>
            <w:noWrap/>
          </w:tcPr>
          <w:p w14:paraId="4097EE44" w14:textId="77777777" w:rsidR="00DF410E" w:rsidRDefault="00CE7F43">
            <w:pPr>
              <w:jc w:val="center"/>
            </w:pPr>
            <w:r>
              <w:t>R</w:t>
            </w:r>
          </w:p>
        </w:tc>
      </w:tr>
      <w:tr w:rsidR="00DF410E" w14:paraId="4BCEC633" w14:textId="77777777">
        <w:trPr>
          <w:trHeight w:val="30"/>
        </w:trPr>
        <w:tc>
          <w:tcPr>
            <w:tcW w:w="8970" w:type="dxa"/>
            <w:gridSpan w:val="7"/>
            <w:noWrap/>
          </w:tcPr>
          <w:p w14:paraId="529FFECC" w14:textId="77777777" w:rsidR="00DF410E" w:rsidRDefault="00CE7F43">
            <w:r>
              <w:t>(</w:t>
            </w:r>
            <w:r>
              <w:rPr>
                <w:vertAlign w:val="superscript"/>
              </w:rPr>
              <w:t>1</w:t>
            </w:r>
            <w:r>
              <w:t>)  U - utilisation sans limite du matériau dans la classe d’exposition indiquée.  </w:t>
            </w:r>
          </w:p>
          <w:p w14:paraId="5EFEACC7" w14:textId="77777777" w:rsidR="00DF410E" w:rsidRDefault="00CE7F43">
            <w:r>
              <w:t>     R - utilisation limitée; consulter le fabricant ou un spécialiste pour des conseils sur les</w:t>
            </w:r>
          </w:p>
          <w:p w14:paraId="6B3731DF" w14:textId="77777777" w:rsidR="00DF410E" w:rsidRDefault="00CE7F43">
            <w:r>
              <w:t>          conditions de calcul spécifiques.</w:t>
            </w:r>
          </w:p>
          <w:p w14:paraId="3F812136" w14:textId="77777777" w:rsidR="00DF410E" w:rsidRDefault="00CE7F43">
            <w:r>
              <w:t>     D - avec une barrière d’étanchéité au-dessus du linteau, l’utilisation n’est pas limitée (U). Sans</w:t>
            </w:r>
          </w:p>
          <w:p w14:paraId="57E3EF5B" w14:textId="77777777" w:rsidR="00DF410E" w:rsidRDefault="00CE7F43">
            <w:r>
              <w:t>          barrière d’étanchéité au- dessus du linteau, l’utilisation est limitée (R)    </w:t>
            </w:r>
          </w:p>
          <w:p w14:paraId="5E624E9F" w14:textId="77777777" w:rsidR="00DF410E" w:rsidRDefault="00CE7F43">
            <w:r>
              <w:t>     X - matériau non recommandé pour une utilisation dans cette classe d’exposition.</w:t>
            </w:r>
          </w:p>
          <w:p w14:paraId="7C6F1E6C" w14:textId="77777777" w:rsidR="00DF410E" w:rsidRDefault="00CE7F43">
            <w:r>
              <w:t>(</w:t>
            </w:r>
            <w:r>
              <w:rPr>
                <w:vertAlign w:val="superscript"/>
              </w:rPr>
              <w:t>2</w:t>
            </w:r>
            <w:r>
              <w:t>) Les masses de revêtement appliqué indiquées sont des valeurs approchées pour une face.</w:t>
            </w:r>
          </w:p>
          <w:p w14:paraId="4DEF0E51" w14:textId="77777777" w:rsidR="00DF410E" w:rsidRDefault="00CE7F43">
            <w:r>
              <w:t>(</w:t>
            </w:r>
            <w:r>
              <w:rPr>
                <w:vertAlign w:val="superscript"/>
              </w:rPr>
              <w:t>3)</w:t>
            </w:r>
            <w:r>
              <w:t xml:space="preserve"> Eventuellement, un fabricant ou un spécialiste peut autoriser un usage moins restrictif compte</w:t>
            </w:r>
          </w:p>
          <w:p w14:paraId="670527A5" w14:textId="77777777" w:rsidR="00DF410E" w:rsidRDefault="00CE7F43">
            <w:r>
              <w:t>     tenu de l’expérience locale.</w:t>
            </w:r>
          </w:p>
        </w:tc>
      </w:tr>
    </w:tbl>
    <w:p w14:paraId="56966386" w14:textId="77777777" w:rsidR="00DF410E" w:rsidRDefault="00DF410E"/>
    <w:p w14:paraId="6274F314" w14:textId="77777777" w:rsidR="00DF410E" w:rsidRDefault="00CE7F43">
      <w:r>
        <w:t>En fonction des performances attendues, la fiche technique émise par le fabricant décrit les dimensions (longueur, largeur, hauteur et dans le cas de sections non rectangulaires, schéma de la configuration avec les dimensions), la masse et la masse par unité de surface ainsi que la longueur d’encastrement (ne pouvant être inférieure à 100 mm), les performances mécaniques (la charge admissible, la résistance à la flexion et la flèche à court terme), les propriétés thermiques et la résistance au feu. Lorsque ces propriétés sont pertinentes, la fiche technique fait état de la résistance au gel, de l’absorption d’eau et de la perméabilité à la vapeur d’eau (pas pour les linteaux en acier).</w:t>
      </w:r>
    </w:p>
    <w:p w14:paraId="3B9E3995" w14:textId="77777777" w:rsidR="00DF410E" w:rsidRDefault="00CE7F43">
      <w:pPr>
        <w:pStyle w:val="Author-eSectionHeading5"/>
      </w:pPr>
      <w:bookmarkStart w:id="383" w:name="_Toc178837593"/>
      <w:r>
        <w:t>21.43.1 Linteaux CCTB 01.04</w:t>
      </w:r>
      <w:bookmarkEnd w:id="383"/>
    </w:p>
    <w:p w14:paraId="4013D183" w14:textId="77777777" w:rsidR="00DF410E" w:rsidRDefault="00CE7F43">
      <w:pPr>
        <w:pStyle w:val="pheading"/>
      </w:pPr>
      <w:bookmarkStart w:id="384" w:name="368"/>
      <w:bookmarkEnd w:id="384"/>
      <w:r>
        <w:t>DESCRIPTION</w:t>
      </w:r>
    </w:p>
    <w:p w14:paraId="535953E6" w14:textId="77777777" w:rsidR="00DF410E" w:rsidRDefault="00CE7F43">
      <w:pPr>
        <w:pStyle w:val="pheading"/>
      </w:pPr>
      <w:r>
        <w:t>- Définition / Comprend</w:t>
      </w:r>
    </w:p>
    <w:p w14:paraId="24F47912" w14:textId="77777777" w:rsidR="00DF410E" w:rsidRDefault="00CE7F43">
      <w:r>
        <w:t xml:space="preserve">Voir </w:t>
      </w:r>
      <w:hyperlink w:anchor="400" w:history="1">
        <w:r>
          <w:t>21.36.3 Linteaux</w:t>
        </w:r>
      </w:hyperlink>
      <w:r>
        <w:t xml:space="preserve">, </w:t>
      </w:r>
      <w:hyperlink w:anchor="425" w:history="1">
        <w:r>
          <w:t>22.13.1 Linteaux en béton</w:t>
        </w:r>
      </w:hyperlink>
      <w:r>
        <w:t xml:space="preserve">, </w:t>
      </w:r>
      <w:hyperlink w:anchor="401" w:history="1">
        <w:r>
          <w:t>23.13 Linteaux métalliques</w:t>
        </w:r>
      </w:hyperlink>
      <w:r>
        <w:t xml:space="preserve"> et 24.13 Linteaux en bois.</w:t>
      </w:r>
    </w:p>
    <w:p w14:paraId="51D56B33" w14:textId="77777777" w:rsidR="00DF410E" w:rsidRDefault="00CE7F43">
      <w:pPr>
        <w:pStyle w:val="Author-eSectionHeading5"/>
      </w:pPr>
      <w:bookmarkStart w:id="385" w:name="_Toc178837594"/>
      <w:r>
        <w:t>21.43.2 Linteaux composites (prélinteaux plats + rehausses collaborantes) CCTB 01.04</w:t>
      </w:r>
      <w:bookmarkEnd w:id="385"/>
    </w:p>
    <w:p w14:paraId="037E5E32" w14:textId="77777777" w:rsidR="00DF410E" w:rsidRDefault="00CE7F43">
      <w:pPr>
        <w:pStyle w:val="pheading"/>
      </w:pPr>
      <w:r>
        <w:t>DESCRIPTION</w:t>
      </w:r>
    </w:p>
    <w:p w14:paraId="21F04F66" w14:textId="77777777" w:rsidR="00DF410E" w:rsidRDefault="00CE7F43">
      <w:pPr>
        <w:pStyle w:val="pheading"/>
      </w:pPr>
      <w:r>
        <w:t>- Définition / Comprend</w:t>
      </w:r>
    </w:p>
    <w:p w14:paraId="1B22CE7A" w14:textId="77777777" w:rsidR="00DF410E" w:rsidRDefault="00CE7F43">
      <w:r>
        <w:t xml:space="preserve">voir </w:t>
      </w:r>
      <w:hyperlink w:anchor="427" w:history="1">
        <w:r>
          <w:t>22.13.2 Linteaux composites (prélinteaux plats + rehausses collaborantes)</w:t>
        </w:r>
      </w:hyperlink>
    </w:p>
    <w:p w14:paraId="2157F0AB" w14:textId="77777777" w:rsidR="00DF410E" w:rsidRDefault="00CE7F43">
      <w:pPr>
        <w:pStyle w:val="Author-eSectionHeading5"/>
      </w:pPr>
      <w:bookmarkStart w:id="386" w:name="_Toc178837595"/>
      <w:r>
        <w:t>21.43.3 Linteaux composites (prélinteaux en U + âmes en béton) CCTB 01.04</w:t>
      </w:r>
      <w:bookmarkEnd w:id="386"/>
    </w:p>
    <w:p w14:paraId="45B89B80" w14:textId="77777777" w:rsidR="00DF410E" w:rsidRDefault="00CE7F43">
      <w:pPr>
        <w:pStyle w:val="pheading"/>
      </w:pPr>
      <w:r>
        <w:t>DESCRIPTION</w:t>
      </w:r>
    </w:p>
    <w:p w14:paraId="56324CFF" w14:textId="77777777" w:rsidR="00DF410E" w:rsidRDefault="00CE7F43">
      <w:pPr>
        <w:pStyle w:val="pheading"/>
      </w:pPr>
      <w:r>
        <w:t>- Définition / Comprend</w:t>
      </w:r>
    </w:p>
    <w:p w14:paraId="62C0C81F" w14:textId="77777777" w:rsidR="00DF410E" w:rsidRDefault="00CE7F43">
      <w:r>
        <w:t xml:space="preserve">voir </w:t>
      </w:r>
      <w:hyperlink w:anchor="428" w:history="1">
        <w:r>
          <w:t>22.13.3 Linteaux composites (prélinteaux en U + âmes en béton)</w:t>
        </w:r>
      </w:hyperlink>
    </w:p>
    <w:p w14:paraId="18CA4646" w14:textId="77777777" w:rsidR="00DF410E" w:rsidRDefault="00CE7F43">
      <w:pPr>
        <w:pStyle w:val="Author-eSectionHeading5"/>
      </w:pPr>
      <w:bookmarkStart w:id="387" w:name="_Toc178837596"/>
      <w:r>
        <w:t>21.43.4 Cornières et consoles de support de maçonneries CCTB 01.10</w:t>
      </w:r>
      <w:bookmarkEnd w:id="387"/>
    </w:p>
    <w:p w14:paraId="22F6AC52" w14:textId="77777777" w:rsidR="00DF410E" w:rsidRDefault="00CE7F43">
      <w:pPr>
        <w:pStyle w:val="Author-eSectionHeading6"/>
      </w:pPr>
      <w:bookmarkStart w:id="388" w:name="423"/>
      <w:bookmarkStart w:id="389" w:name="_Toc178837597"/>
      <w:bookmarkEnd w:id="388"/>
      <w:r>
        <w:t>21.43.4a Cornières sans consoles (posées sur appuis latéraux) CCTB 01.04</w:t>
      </w:r>
      <w:bookmarkEnd w:id="389"/>
    </w:p>
    <w:p w14:paraId="6C3D84CD" w14:textId="77777777" w:rsidR="00DF410E" w:rsidRDefault="00CE7F43">
      <w:pPr>
        <w:pStyle w:val="pheading"/>
      </w:pPr>
      <w:r>
        <w:t>DESCRIPTION</w:t>
      </w:r>
    </w:p>
    <w:p w14:paraId="0F1CA376" w14:textId="77777777" w:rsidR="00DF410E" w:rsidRDefault="00CE7F43">
      <w:pPr>
        <w:pStyle w:val="pheading"/>
      </w:pPr>
      <w:r>
        <w:t>- Définition / Comprend</w:t>
      </w:r>
    </w:p>
    <w:p w14:paraId="58B7AA6D" w14:textId="77777777" w:rsidR="00DF410E" w:rsidRDefault="00CE7F43">
      <w:r>
        <w:t xml:space="preserve">voir aussi </w:t>
      </w:r>
      <w:hyperlink w:anchor="401" w:history="1">
        <w:r>
          <w:t>23.13 Linteaux métalliques</w:t>
        </w:r>
      </w:hyperlink>
    </w:p>
    <w:p w14:paraId="1911F928" w14:textId="77777777" w:rsidR="00DF410E" w:rsidRDefault="00CE7F43">
      <w:pPr>
        <w:pStyle w:val="Author-eSectionHeading6"/>
      </w:pPr>
      <w:bookmarkStart w:id="390" w:name="_Toc178837598"/>
      <w:r>
        <w:t>21.43.4b Consoles CCTB 01.10</w:t>
      </w:r>
      <w:bookmarkEnd w:id="390"/>
    </w:p>
    <w:p w14:paraId="61903A09" w14:textId="77777777" w:rsidR="00DF410E" w:rsidRDefault="00CE7F43">
      <w:pPr>
        <w:pStyle w:val="Author-eSectionHeading6"/>
      </w:pPr>
      <w:bookmarkStart w:id="391" w:name="421"/>
      <w:bookmarkStart w:id="392" w:name="_Toc178837599"/>
      <w:bookmarkEnd w:id="391"/>
      <w:r>
        <w:t>21.43.4c Consoles doubles (avec cornière) CCTB 01.10</w:t>
      </w:r>
      <w:bookmarkEnd w:id="392"/>
    </w:p>
    <w:p w14:paraId="750F688C" w14:textId="77777777" w:rsidR="00DF410E" w:rsidRDefault="00CE7F43">
      <w:pPr>
        <w:pStyle w:val="Author-eSectionHeading5"/>
      </w:pPr>
      <w:bookmarkStart w:id="393" w:name="_Toc178837600"/>
      <w:r>
        <w:t>21.43.5 Cornières et consoles de support de maçonneries avec suspensions de briques CCTB 01.10</w:t>
      </w:r>
      <w:bookmarkEnd w:id="393"/>
    </w:p>
    <w:p w14:paraId="6B2AB7AC" w14:textId="77777777" w:rsidR="00DF410E" w:rsidRDefault="00CE7F43">
      <w:pPr>
        <w:pStyle w:val="Author-eSectionHeading6"/>
      </w:pPr>
      <w:bookmarkStart w:id="394" w:name="424"/>
      <w:bookmarkStart w:id="395" w:name="_Toc178837601"/>
      <w:bookmarkEnd w:id="394"/>
      <w:r>
        <w:t>21.43.5a Cornières sans consoles (posées sur appuis latéraux) avec suspensions de briques CCTB 01.10</w:t>
      </w:r>
      <w:bookmarkEnd w:id="395"/>
    </w:p>
    <w:p w14:paraId="60D52237" w14:textId="77777777" w:rsidR="00DF410E" w:rsidRDefault="00CE7F43">
      <w:pPr>
        <w:pStyle w:val="Author-eSectionHeading6"/>
      </w:pPr>
      <w:bookmarkStart w:id="396" w:name="_Toc178837602"/>
      <w:r>
        <w:t>21.43.5b Consoles avec suspensions de briques CCTB 01.10</w:t>
      </w:r>
      <w:bookmarkEnd w:id="396"/>
    </w:p>
    <w:p w14:paraId="6B8E8500" w14:textId="77777777" w:rsidR="00DF410E" w:rsidRDefault="00CE7F43">
      <w:pPr>
        <w:pStyle w:val="Author-eSectionHeading6"/>
      </w:pPr>
      <w:bookmarkStart w:id="397" w:name="422"/>
      <w:bookmarkStart w:id="398" w:name="_Toc178837603"/>
      <w:bookmarkEnd w:id="397"/>
      <w:r>
        <w:t>21.43.5c Consoles doubles (avec cornière) avec suspensions de briques CCTB 01.10</w:t>
      </w:r>
      <w:bookmarkEnd w:id="398"/>
    </w:p>
    <w:p w14:paraId="559135DA" w14:textId="77777777" w:rsidR="00DF410E" w:rsidRDefault="00CE7F43">
      <w:pPr>
        <w:pStyle w:val="Author-eSectionHeading5"/>
      </w:pPr>
      <w:bookmarkStart w:id="399" w:name="_Toc178837604"/>
      <w:r>
        <w:t>21.43.6 Assises d’éléments de maçonnerie de parement CCTB 01.10</w:t>
      </w:r>
      <w:bookmarkEnd w:id="399"/>
    </w:p>
    <w:p w14:paraId="3ECBD8EB" w14:textId="77777777" w:rsidR="00DF410E" w:rsidRDefault="00CE7F43">
      <w:pPr>
        <w:pStyle w:val="Author-eSectionHeading6"/>
      </w:pPr>
      <w:bookmarkStart w:id="400" w:name="_Toc178837605"/>
      <w:r>
        <w:t>21.43.6a Assises d’éléments de maçonnerie sur chant CCTB 01.10</w:t>
      </w:r>
      <w:bookmarkEnd w:id="400"/>
    </w:p>
    <w:p w14:paraId="2D4D785A" w14:textId="77777777" w:rsidR="00DF410E" w:rsidRDefault="00CE7F43">
      <w:pPr>
        <w:pStyle w:val="Author-eSectionHeading6"/>
      </w:pPr>
      <w:bookmarkStart w:id="401" w:name="_Toc178837606"/>
      <w:r>
        <w:t>21.43.6b Assises d’éléments de maçonnerie en panneresses CCTB 01.10</w:t>
      </w:r>
      <w:bookmarkEnd w:id="401"/>
    </w:p>
    <w:p w14:paraId="100EEB64" w14:textId="77777777" w:rsidR="00DF410E" w:rsidRDefault="00CE7F43">
      <w:pPr>
        <w:pStyle w:val="Author-eSectionHeading6"/>
      </w:pPr>
      <w:bookmarkStart w:id="402" w:name="_Toc178837607"/>
      <w:r>
        <w:t>21.43.6c Assises d'éléments de maçonnerie en arcs CCTB 01.10</w:t>
      </w:r>
      <w:bookmarkEnd w:id="402"/>
    </w:p>
    <w:p w14:paraId="276914E0" w14:textId="77777777" w:rsidR="00DF410E" w:rsidRDefault="00CE7F43">
      <w:pPr>
        <w:pStyle w:val="Author-eSectionHeading4"/>
      </w:pPr>
      <w:bookmarkStart w:id="403" w:name="_Toc178837608"/>
      <w:r>
        <w:t>21.44 Eléments de ventilation CCTB 01.02</w:t>
      </w:r>
      <w:bookmarkEnd w:id="403"/>
    </w:p>
    <w:p w14:paraId="05529C09" w14:textId="77777777" w:rsidR="00DF410E" w:rsidRDefault="00CE7F43">
      <w:pPr>
        <w:pStyle w:val="Author-eSectionHeading5"/>
      </w:pPr>
      <w:bookmarkStart w:id="404" w:name="409"/>
      <w:bookmarkStart w:id="405" w:name="_Toc178837609"/>
      <w:bookmarkEnd w:id="404"/>
      <w:r>
        <w:t>21.44.1 Eléments de ventilation CCTB 01.02</w:t>
      </w:r>
      <w:bookmarkEnd w:id="405"/>
    </w:p>
    <w:p w14:paraId="4D38C3C2" w14:textId="77777777" w:rsidR="00DF410E" w:rsidRDefault="00CE7F43">
      <w:pPr>
        <w:pStyle w:val="Author-eSectionHeading6"/>
      </w:pPr>
      <w:bookmarkStart w:id="406" w:name="239"/>
      <w:bookmarkStart w:id="407" w:name="_Toc178837610"/>
      <w:bookmarkEnd w:id="406"/>
      <w:r>
        <w:t>21.44.1a Gaines télescopiques de ventilation CCTB 01.11</w:t>
      </w:r>
      <w:bookmarkEnd w:id="407"/>
    </w:p>
    <w:p w14:paraId="15BAD60D" w14:textId="77777777" w:rsidR="00DF410E" w:rsidRDefault="00CE7F43">
      <w:pPr>
        <w:pStyle w:val="pheading"/>
      </w:pPr>
      <w:r>
        <w:t>DESCRIPTION</w:t>
      </w:r>
    </w:p>
    <w:p w14:paraId="3BB26BC4" w14:textId="77777777" w:rsidR="00DF410E" w:rsidRDefault="00CE7F43">
      <w:pPr>
        <w:pStyle w:val="pheading"/>
      </w:pPr>
      <w:r>
        <w:t>- Localisation</w:t>
      </w:r>
    </w:p>
    <w:p w14:paraId="46DD1D23" w14:textId="77777777" w:rsidR="00DF410E" w:rsidRDefault="00CE7F43">
      <w:r>
        <w:t>Pour la ventilation des vides sanitaires / ...</w:t>
      </w:r>
    </w:p>
    <w:p w14:paraId="2BB3A6E0" w14:textId="77777777" w:rsidR="00DF410E" w:rsidRDefault="00CE7F43">
      <w:pPr>
        <w:pStyle w:val="pheading"/>
      </w:pPr>
      <w:r>
        <w:t>MATÉRIAUX</w:t>
      </w:r>
    </w:p>
    <w:p w14:paraId="2615AD14" w14:textId="77777777" w:rsidR="00DF410E" w:rsidRDefault="00CE7F43">
      <w:pPr>
        <w:pStyle w:val="pheading"/>
      </w:pPr>
      <w:r>
        <w:t>- Caractéristiques générales</w:t>
      </w:r>
    </w:p>
    <w:p w14:paraId="289D999B" w14:textId="77777777" w:rsidR="00DF410E" w:rsidRDefault="00CE7F43">
      <w:r>
        <w:t>Ce poste concerne la fourniture et la pose de gaines de ventilation télescopiques synthétiques en forme de T, convenant spécialement pour les murs creux. Elles sont livrées avec une grille encastrable munie d'une moustiquaire du côté de la cave.</w:t>
      </w:r>
    </w:p>
    <w:p w14:paraId="411A91C5" w14:textId="77777777" w:rsidR="00DF410E" w:rsidRDefault="00CE7F43">
      <w:pPr>
        <w:pStyle w:val="heading"/>
      </w:pPr>
      <w:r>
        <w:t>Spécifications</w:t>
      </w:r>
    </w:p>
    <w:p w14:paraId="335710D4" w14:textId="77777777" w:rsidR="00DF410E" w:rsidRDefault="00CE7F43">
      <w:r>
        <w:t xml:space="preserve">Gaine : </w:t>
      </w:r>
      <w:r>
        <w:rPr>
          <w:rStyle w:val="optioncarChar"/>
        </w:rPr>
        <w:t>PE </w:t>
      </w:r>
      <w:r>
        <w:t>(par défaut)</w:t>
      </w:r>
      <w:r>
        <w:rPr>
          <w:rStyle w:val="optioncarChar"/>
        </w:rPr>
        <w:t xml:space="preserve"> / PVC</w:t>
      </w:r>
    </w:p>
    <w:p w14:paraId="2E2D5BD3" w14:textId="77777777" w:rsidR="00DF410E" w:rsidRDefault="00CE7F43">
      <w:r>
        <w:t xml:space="preserve">Diamètre : </w:t>
      </w:r>
      <w:r>
        <w:rPr>
          <w:rStyle w:val="optioncarChar"/>
        </w:rPr>
        <w:t>90 </w:t>
      </w:r>
      <w:r>
        <w:t>(par défaut)</w:t>
      </w:r>
      <w:r>
        <w:rPr>
          <w:rStyle w:val="optioncarChar"/>
        </w:rPr>
        <w:t xml:space="preserve"> / ***</w:t>
      </w:r>
      <w:r>
        <w:t xml:space="preserve"> mm</w:t>
      </w:r>
    </w:p>
    <w:p w14:paraId="1D287A15" w14:textId="77777777" w:rsidR="00DF410E" w:rsidRDefault="00CE7F43">
      <w:r>
        <w:t xml:space="preserve">Grille : aluminium / acier inoxydable (environ </w:t>
      </w:r>
      <w:r>
        <w:rPr>
          <w:rStyle w:val="optioncarChar"/>
        </w:rPr>
        <w:t>100 x 50 </w:t>
      </w:r>
      <w:r>
        <w:t xml:space="preserve">(par défaut) </w:t>
      </w:r>
      <w:r>
        <w:rPr>
          <w:rStyle w:val="optioncarChar"/>
        </w:rPr>
        <w:t>/ 200 x 200 / 300 x 300 / *** x ***</w:t>
      </w:r>
      <w:r>
        <w:t xml:space="preserve"> mm)</w:t>
      </w:r>
    </w:p>
    <w:p w14:paraId="34E03598" w14:textId="77777777" w:rsidR="00DF410E" w:rsidRDefault="00CE7F43">
      <w:r>
        <w:t xml:space="preserve">Passage libre de l’air : minimum </w:t>
      </w:r>
      <w:r>
        <w:rPr>
          <w:rStyle w:val="optioncarChar"/>
        </w:rPr>
        <w:t xml:space="preserve">140 </w:t>
      </w:r>
      <w:r>
        <w:t>(par défaut) </w:t>
      </w:r>
      <w:r>
        <w:rPr>
          <w:rStyle w:val="optioncarChar"/>
        </w:rPr>
        <w:t>/ ***</w:t>
      </w:r>
      <w:r>
        <w:t>cm2, conformément à [NBN D 50-001].</w:t>
      </w:r>
    </w:p>
    <w:p w14:paraId="1874EA61" w14:textId="77777777" w:rsidR="00DF410E" w:rsidRDefault="00CE7F43">
      <w:pPr>
        <w:pStyle w:val="pheading"/>
      </w:pPr>
      <w:r>
        <w:t>EXÉCUTION / MISE EN ŒUVRE</w:t>
      </w:r>
    </w:p>
    <w:p w14:paraId="58503CC4" w14:textId="77777777" w:rsidR="00DF410E" w:rsidRDefault="00CE7F43">
      <w:pPr>
        <w:pStyle w:val="pheading"/>
      </w:pPr>
      <w:r>
        <w:t>- Prescriptions générales</w:t>
      </w:r>
    </w:p>
    <w:p w14:paraId="19380784" w14:textId="77777777" w:rsidR="00DF410E" w:rsidRDefault="00CE7F43">
      <w:r>
        <w:t>Les gaines de ventilation sont encastrées de manière étanche et hermétique dans les maçonneries de fondation.</w:t>
      </w:r>
    </w:p>
    <w:p w14:paraId="15852467" w14:textId="77777777" w:rsidR="00DF410E" w:rsidRDefault="00CE7F43">
      <w:r>
        <w:t xml:space="preserve">Les pièces d'ajustage nécessaires sont prévues afin que le niveau de la grille se situe à </w:t>
      </w:r>
      <w:r>
        <w:rPr>
          <w:rStyle w:val="optioncarChar"/>
        </w:rPr>
        <w:t>+10 </w:t>
      </w:r>
      <w:r>
        <w:t>(par défaut)</w:t>
      </w:r>
      <w:r>
        <w:rPr>
          <w:rStyle w:val="optioncarChar"/>
        </w:rPr>
        <w:t xml:space="preserve"> / ***</w:t>
      </w:r>
      <w:r>
        <w:t xml:space="preserve"> cm au-dessus du niveau du terrain.</w:t>
      </w:r>
    </w:p>
    <w:p w14:paraId="2FD247E7" w14:textId="77777777" w:rsidR="00DF410E" w:rsidRDefault="00CE7F43">
      <w:pPr>
        <w:pStyle w:val="Author-eSectionHeading6"/>
      </w:pPr>
      <w:bookmarkStart w:id="408" w:name="_Toc178837611"/>
      <w:r>
        <w:t>21.44.1b Soupiraux préfabriqués CCTB 01.11</w:t>
      </w:r>
      <w:bookmarkEnd w:id="408"/>
    </w:p>
    <w:p w14:paraId="311D4382" w14:textId="77777777" w:rsidR="00DF410E" w:rsidRDefault="00CE7F43">
      <w:pPr>
        <w:pStyle w:val="pheading"/>
      </w:pPr>
      <w:r>
        <w:t>DESCRIPTION</w:t>
      </w:r>
    </w:p>
    <w:p w14:paraId="4AB39CDB" w14:textId="77777777" w:rsidR="00DF410E" w:rsidRDefault="00CE7F43">
      <w:pPr>
        <w:pStyle w:val="pheading"/>
      </w:pPr>
      <w:r>
        <w:t>- Définition / Comprend</w:t>
      </w:r>
    </w:p>
    <w:p w14:paraId="67955419" w14:textId="77777777" w:rsidR="00DF410E" w:rsidRDefault="00CE7F43">
      <w:pPr>
        <w:jc w:val="both"/>
      </w:pPr>
      <w:r>
        <w:t>Cet article prescrit la fourniture et la pose de soupiraux préfabriqués appelés également cours anglaises.</w:t>
      </w:r>
    </w:p>
    <w:p w14:paraId="66C83B6A" w14:textId="77777777" w:rsidR="00DF410E" w:rsidRDefault="00CE7F43">
      <w:pPr>
        <w:jc w:val="both"/>
      </w:pPr>
      <w:r>
        <w:t>Les travaux comprennent :</w:t>
      </w:r>
    </w:p>
    <w:p w14:paraId="2A9C46C6" w14:textId="77777777" w:rsidR="00DF410E" w:rsidRDefault="00CE7F43">
      <w:pPr>
        <w:pStyle w:val="Author-eListParagraph"/>
        <w:numPr>
          <w:ilvl w:val="0"/>
          <w:numId w:val="293"/>
        </w:numPr>
        <w:jc w:val="both"/>
      </w:pPr>
      <w:r>
        <w:t>La fourniture du soupirail et de ses accessoires (siphon, crépine, tuyau d’évacuation, grille, chaîne antieffraction)</w:t>
      </w:r>
    </w:p>
    <w:p w14:paraId="4853D7AC" w14:textId="77777777" w:rsidR="00DF410E" w:rsidRDefault="00CE7F43">
      <w:pPr>
        <w:pStyle w:val="Author-eListParagraph"/>
        <w:numPr>
          <w:ilvl w:val="0"/>
          <w:numId w:val="293"/>
        </w:numPr>
        <w:jc w:val="both"/>
      </w:pPr>
      <w:r>
        <w:t>Le raccordement aux égouts d’eaux pluviales le cas échéant</w:t>
      </w:r>
    </w:p>
    <w:p w14:paraId="5385AEBC" w14:textId="77777777" w:rsidR="00DF410E" w:rsidRDefault="00CE7F43">
      <w:pPr>
        <w:pStyle w:val="Author-eListParagraph"/>
        <w:numPr>
          <w:ilvl w:val="0"/>
          <w:numId w:val="293"/>
        </w:numPr>
        <w:jc w:val="both"/>
      </w:pPr>
      <w:r>
        <w:t>La fixation mécanique du soupirail au mur</w:t>
      </w:r>
    </w:p>
    <w:p w14:paraId="4A8D468D" w14:textId="77777777" w:rsidR="00DF410E" w:rsidRDefault="00CE7F43">
      <w:pPr>
        <w:pStyle w:val="Author-eListParagraph"/>
        <w:numPr>
          <w:ilvl w:val="0"/>
          <w:numId w:val="293"/>
        </w:numPr>
        <w:jc w:val="both"/>
      </w:pPr>
      <w:r>
        <w:t>Le scellement étanche à la jonction avec le mur.</w:t>
      </w:r>
    </w:p>
    <w:p w14:paraId="28D86A6A" w14:textId="77777777" w:rsidR="00DF410E" w:rsidRDefault="00CE7F43">
      <w:pPr>
        <w:pStyle w:val="pheading"/>
      </w:pPr>
      <w:r>
        <w:t>- Localisation</w:t>
      </w:r>
    </w:p>
    <w:p w14:paraId="11771A29" w14:textId="77777777" w:rsidR="00DF410E" w:rsidRDefault="00CE7F43">
      <w:r>
        <w:t xml:space="preserve">La pose est réalisée aux endroits suivants : </w:t>
      </w:r>
      <w:r>
        <w:rPr>
          <w:rStyle w:val="optioncarChar"/>
        </w:rPr>
        <w:t>***</w:t>
      </w:r>
      <w:r>
        <w:t>.</w:t>
      </w:r>
    </w:p>
    <w:p w14:paraId="21334C78" w14:textId="77777777" w:rsidR="00DF410E" w:rsidRDefault="00CE7F43">
      <w:r>
        <w:t>Voir plans et métrés détaillés.</w:t>
      </w:r>
    </w:p>
    <w:p w14:paraId="48096C90" w14:textId="77777777" w:rsidR="00DF410E" w:rsidRDefault="00CE7F43">
      <w:pPr>
        <w:pStyle w:val="pheading"/>
      </w:pPr>
      <w:r>
        <w:t>MATÉRIAUX</w:t>
      </w:r>
    </w:p>
    <w:p w14:paraId="2C96A967" w14:textId="77777777" w:rsidR="00DF410E" w:rsidRDefault="00CE7F43">
      <w:pPr>
        <w:pStyle w:val="pheading"/>
      </w:pPr>
      <w:r>
        <w:t>- Caractéristiques générales</w:t>
      </w:r>
    </w:p>
    <w:p w14:paraId="2AEDAD22" w14:textId="77777777" w:rsidR="00DF410E" w:rsidRDefault="00CE7F43">
      <w:pPr>
        <w:jc w:val="both"/>
      </w:pPr>
      <w:r>
        <w:t xml:space="preserve"> Le soupirail est préfabriqué </w:t>
      </w:r>
      <w:r>
        <w:rPr>
          <w:rStyle w:val="optioncarChar"/>
        </w:rPr>
        <w:t>en matière plastique / en béton.</w:t>
      </w:r>
    </w:p>
    <w:p w14:paraId="7B17CD96" w14:textId="77777777" w:rsidR="00DF410E" w:rsidRDefault="00CE7F43">
      <w:pPr>
        <w:jc w:val="both"/>
      </w:pPr>
      <w:r>
        <w:t xml:space="preserve">Les dimensions profondeur x hauteur x largeur (jour) sont : </w:t>
      </w:r>
      <w:r>
        <w:rPr>
          <w:rStyle w:val="optioncarChar"/>
        </w:rPr>
        <w:t>***</w:t>
      </w:r>
      <w:r>
        <w:t xml:space="preserve"> x</w:t>
      </w:r>
      <w:r>
        <w:rPr>
          <w:rStyle w:val="optioncarChar"/>
        </w:rPr>
        <w:t xml:space="preserve"> ***</w:t>
      </w:r>
      <w:r>
        <w:t xml:space="preserve"> x </w:t>
      </w:r>
      <w:r>
        <w:rPr>
          <w:rStyle w:val="optioncarChar"/>
        </w:rPr>
        <w:t>***</w:t>
      </w:r>
      <w:r>
        <w:t>.</w:t>
      </w:r>
    </w:p>
    <w:p w14:paraId="5B36E455" w14:textId="77777777" w:rsidR="00DF410E" w:rsidRDefault="00CE7F43">
      <w:pPr>
        <w:jc w:val="both"/>
      </w:pPr>
      <w:r>
        <w:t>Lorsqu’il est en matière plastique (par ex. polypropylène, polyester), cette dernière est renforcée de fibres de verre et résiste aux UV.</w:t>
      </w:r>
    </w:p>
    <w:p w14:paraId="63E27FFF" w14:textId="77777777" w:rsidR="00DF410E" w:rsidRDefault="00CE7F43">
      <w:pPr>
        <w:jc w:val="both"/>
      </w:pPr>
      <w:r>
        <w:t xml:space="preserve">Lorsqu’il est en béton (voir la section </w:t>
      </w:r>
      <w:hyperlink w:anchor="87" w:history="1">
        <w:r>
          <w:t>22 Superstructures en béton</w:t>
        </w:r>
      </w:hyperlink>
      <w:r>
        <w:t>), la qualité de ce dernier selon la [NBN EN 206:2013+A2] et la [NBN B 15-001] sera : classe minimale de résistance : C30/37 et classe minimale d’environnement : EE3 (EE4 en cas d’exposition aux sels de déverglaçage).</w:t>
      </w:r>
    </w:p>
    <w:p w14:paraId="035541CB" w14:textId="77777777" w:rsidR="00DF410E" w:rsidRDefault="00CE7F43">
      <w:pPr>
        <w:jc w:val="both"/>
      </w:pPr>
      <w:r>
        <w:t xml:space="preserve"> Armatures : détermination des armatures à faire par l’entrepreneur.</w:t>
      </w:r>
    </w:p>
    <w:p w14:paraId="78C9A84A" w14:textId="77777777" w:rsidR="00DF410E" w:rsidRDefault="00CE7F43">
      <w:pPr>
        <w:jc w:val="both"/>
      </w:pPr>
      <w:r>
        <w:t xml:space="preserve">Le soupirail en béton est pourvu d’une semelle filante : </w:t>
      </w:r>
      <w:r>
        <w:rPr>
          <w:rStyle w:val="optioncarChar"/>
        </w:rPr>
        <w:t>oui / non</w:t>
      </w:r>
      <w:r>
        <w:t>.</w:t>
      </w:r>
    </w:p>
    <w:p w14:paraId="6B4A0AC8" w14:textId="77777777" w:rsidR="00DF410E" w:rsidRDefault="00CE7F43">
      <w:pPr>
        <w:jc w:val="both"/>
      </w:pPr>
      <w:r>
        <w:t xml:space="preserve">Le soupirail est muni d’un fond : </w:t>
      </w:r>
      <w:r>
        <w:rPr>
          <w:rStyle w:val="optioncarChar"/>
        </w:rPr>
        <w:t>oui</w:t>
      </w:r>
      <w:r>
        <w:t xml:space="preserve"> (par défaut) </w:t>
      </w:r>
      <w:r>
        <w:rPr>
          <w:rStyle w:val="optioncarChar"/>
        </w:rPr>
        <w:t>/ non</w:t>
      </w:r>
      <w:r>
        <w:t>.</w:t>
      </w:r>
    </w:p>
    <w:p w14:paraId="128C7ACB" w14:textId="77777777" w:rsidR="00DF410E" w:rsidRDefault="00CE7F43">
      <w:pPr>
        <w:jc w:val="both"/>
      </w:pPr>
      <w:r>
        <w:t>Le fond est muni d’une ouverture pour le raccordement d’un siphon/crépine et d’un tuyau d’évacuation qui se raccorde à l’égouttage des eaux pluviales.</w:t>
      </w:r>
    </w:p>
    <w:p w14:paraId="324F7305" w14:textId="77777777" w:rsidR="00DF410E" w:rsidRDefault="00CE7F43">
      <w:pPr>
        <w:jc w:val="both"/>
      </w:pPr>
      <w:r>
        <w:t>Le soupirail est muni d’ouvertures pour la pose contre le mur ainsi qu’un évidement pour appliquer une masse de jointoyage étanche. Un élément prémoulé est prévu pour l’ancrage de la grille (antieffraction).</w:t>
      </w:r>
    </w:p>
    <w:p w14:paraId="2CFC6647" w14:textId="77777777" w:rsidR="00DF410E" w:rsidRDefault="00CE7F43">
      <w:pPr>
        <w:jc w:val="both"/>
      </w:pPr>
      <w:r>
        <w:t xml:space="preserve">La grille consiste en </w:t>
      </w:r>
      <w:r>
        <w:rPr>
          <w:rStyle w:val="optioncarChar"/>
        </w:rPr>
        <w:t>un caillebotis galvanisé à chaud</w:t>
      </w:r>
      <w:r>
        <w:t xml:space="preserve"> (par défaut)</w:t>
      </w:r>
      <w:r>
        <w:rPr>
          <w:rStyle w:val="optioncarChar"/>
        </w:rPr>
        <w:t xml:space="preserve"> / ***</w:t>
      </w:r>
      <w:r>
        <w:t xml:space="preserve"> dont les mailles ont les dimensions suivantes : </w:t>
      </w:r>
      <w:r>
        <w:rPr>
          <w:rStyle w:val="optioncarChar"/>
        </w:rPr>
        <w:t>30 mm x 30 mm</w:t>
      </w:r>
      <w:r>
        <w:t xml:space="preserve"> (par défaut)</w:t>
      </w:r>
      <w:r>
        <w:rPr>
          <w:rStyle w:val="optioncarChar"/>
        </w:rPr>
        <w:t xml:space="preserve"> / 30 mm x 10 mm / **</w:t>
      </w:r>
      <w:r>
        <w:t xml:space="preserve">*. La grille est munie d’ergots de positionnement et d’une chaîne qui est attachée au soupirail (antieffraction, métallique anticorrosion). La grille convient pour : </w:t>
      </w:r>
      <w:r>
        <w:rPr>
          <w:rStyle w:val="optioncarChar"/>
        </w:rPr>
        <w:t>surcharge piétonne (1,5 kN)</w:t>
      </w:r>
      <w:r>
        <w:t xml:space="preserve"> (par défaut) </w:t>
      </w:r>
      <w:r>
        <w:rPr>
          <w:rStyle w:val="optioncarChar"/>
        </w:rPr>
        <w:t>/ surface carrossable (6,0 kN) / ***</w:t>
      </w:r>
      <w:r>
        <w:t>.</w:t>
      </w:r>
    </w:p>
    <w:p w14:paraId="69EC7500" w14:textId="77777777" w:rsidR="00DF410E" w:rsidRDefault="00CE7F43">
      <w:pPr>
        <w:pStyle w:val="pheading"/>
      </w:pPr>
      <w:r>
        <w:t>EXÉCUTION / MISE EN ŒUVRE</w:t>
      </w:r>
    </w:p>
    <w:p w14:paraId="2F517E95" w14:textId="77777777" w:rsidR="00DF410E" w:rsidRDefault="00CE7F43">
      <w:pPr>
        <w:pStyle w:val="pheading"/>
      </w:pPr>
      <w:r>
        <w:t>- Prescriptions générales</w:t>
      </w:r>
    </w:p>
    <w:p w14:paraId="6471DE16" w14:textId="77777777" w:rsidR="00DF410E" w:rsidRDefault="00CE7F43">
      <w:pPr>
        <w:jc w:val="both"/>
      </w:pPr>
      <w:r>
        <w:t xml:space="preserve">Le niveau supérieur du soupirail correspond au niveau </w:t>
      </w:r>
      <w:r>
        <w:rPr>
          <w:rStyle w:val="optioncarChar"/>
        </w:rPr>
        <w:t>du sol fini extérieur</w:t>
      </w:r>
      <w:r>
        <w:t xml:space="preserve"> (par défaut) </w:t>
      </w:r>
      <w:r>
        <w:rPr>
          <w:rStyle w:val="optioncarChar"/>
        </w:rPr>
        <w:t>/ soit à la cote  ***</w:t>
      </w:r>
      <w:r>
        <w:t xml:space="preserve"> .</w:t>
      </w:r>
    </w:p>
    <w:p w14:paraId="7F61E886" w14:textId="77777777" w:rsidR="00DF410E" w:rsidRDefault="00CE7F43">
      <w:pPr>
        <w:jc w:val="both"/>
      </w:pPr>
      <w:r>
        <w:t xml:space="preserve"> Le soupirail est posé sur un mur imperméabilisé. La technique de pose assure l’intégrité technique du mur et de son étanchéité notamment en tenant compte de la compatibilité entre les matériaux.</w:t>
      </w:r>
    </w:p>
    <w:p w14:paraId="6A226A84" w14:textId="77777777" w:rsidR="00DF410E" w:rsidRDefault="00CE7F43">
      <w:pPr>
        <w:pStyle w:val="pheading"/>
      </w:pPr>
      <w:r>
        <w:t>- Notes d’exécution complémentaires</w:t>
      </w:r>
    </w:p>
    <w:p w14:paraId="455D4450" w14:textId="77777777" w:rsidR="00DF410E" w:rsidRDefault="00CE7F43">
      <w:r>
        <w:rPr>
          <w:rStyle w:val="facultChar"/>
        </w:rPr>
        <w:t>En cas de très faible sollicitation aux pluies et d’un sol de nature drainante, la pose sous-jacente d’un lit de granulat drainant peut se substituer au raccordement vers le réseau d’égouttage.</w:t>
      </w:r>
    </w:p>
    <w:p w14:paraId="26127C4B" w14:textId="77777777" w:rsidR="00DF410E" w:rsidRDefault="00CE7F43">
      <w:r>
        <w:rPr>
          <w:rStyle w:val="facultChar"/>
        </w:rPr>
        <w:t>L’usage de machines de terrassement à proximité immédiate du soupirail est proscrit et on procède à l’enfouissement manuellement.</w:t>
      </w:r>
    </w:p>
    <w:p w14:paraId="2E370ACF" w14:textId="77777777" w:rsidR="00DF410E" w:rsidRDefault="00CE7F43">
      <w:pPr>
        <w:pStyle w:val="pheading"/>
      </w:pPr>
      <w:r>
        <w:t>DOCUMENTS DE RÉFÉRENCE COMPLÉMENTAIRES</w:t>
      </w:r>
    </w:p>
    <w:p w14:paraId="10A67E92" w14:textId="77777777" w:rsidR="00DF410E" w:rsidRDefault="00CE7F43">
      <w:pPr>
        <w:pStyle w:val="pheading"/>
      </w:pPr>
      <w:r>
        <w:t>- Matériau</w:t>
      </w:r>
    </w:p>
    <w:p w14:paraId="5E525292" w14:textId="77777777" w:rsidR="00DF410E" w:rsidRDefault="00CE7F43">
      <w:r>
        <w:t>[NBN EN 206:2013+A2, Béton - Spécification, performances, production et conformité]</w:t>
      </w:r>
    </w:p>
    <w:p w14:paraId="17369956" w14:textId="77777777" w:rsidR="00DF410E" w:rsidRDefault="00CE7F43">
      <w:r>
        <w:t>[NBN B 15-001, Béton - Spécification, performances, production et conformité - Complément national à la NBN EN 206:2013+A2:2021]</w:t>
      </w:r>
    </w:p>
    <w:p w14:paraId="24A53A1B" w14:textId="77777777" w:rsidR="00DF410E" w:rsidRDefault="00CE7F43">
      <w:pPr>
        <w:pStyle w:val="pheading"/>
      </w:pPr>
      <w:r>
        <w:t>MESURAGE</w:t>
      </w:r>
    </w:p>
    <w:p w14:paraId="71B2EAAF" w14:textId="77777777" w:rsidR="00DF410E" w:rsidRDefault="00CE7F43">
      <w:pPr>
        <w:pStyle w:val="pheading"/>
      </w:pPr>
      <w:r>
        <w:t>- unité de mesure:</w:t>
      </w:r>
    </w:p>
    <w:p w14:paraId="77E22359" w14:textId="77777777" w:rsidR="00DF410E" w:rsidRDefault="00CE7F43">
      <w:r>
        <w:rPr>
          <w:rStyle w:val="optioncarChar"/>
        </w:rPr>
        <w:t>Pce</w:t>
      </w:r>
      <w:r>
        <w:t xml:space="preserve"> (par défaut)</w:t>
      </w:r>
    </w:p>
    <w:p w14:paraId="3972FD33" w14:textId="77777777" w:rsidR="00DF410E" w:rsidRDefault="00CE7F43">
      <w:pPr>
        <w:pStyle w:val="pheading"/>
      </w:pPr>
      <w:r>
        <w:t>- code de mesurage:</w:t>
      </w:r>
    </w:p>
    <w:p w14:paraId="0B686EB6" w14:textId="77777777" w:rsidR="00DF410E" w:rsidRDefault="00CE7F43">
      <w:r>
        <w:t>Quantité nette mise en œuvre, distinction faite suivant le type.</w:t>
      </w:r>
    </w:p>
    <w:p w14:paraId="406C0626" w14:textId="77777777" w:rsidR="00DF410E" w:rsidRDefault="00CE7F43">
      <w:pPr>
        <w:pStyle w:val="pheading"/>
      </w:pPr>
      <w:r>
        <w:t>- nature du marché:</w:t>
      </w:r>
    </w:p>
    <w:p w14:paraId="0B34A4F8" w14:textId="77777777" w:rsidR="00DF410E" w:rsidRDefault="00CE7F43">
      <w:r>
        <w:rPr>
          <w:rStyle w:val="optioncarChar"/>
        </w:rPr>
        <w:t>QF</w:t>
      </w:r>
      <w:r>
        <w:t xml:space="preserve"> (par défaut)</w:t>
      </w:r>
      <w:r>
        <w:rPr>
          <w:rStyle w:val="optioncarChar"/>
        </w:rPr>
        <w:t xml:space="preserve"> / QP</w:t>
      </w:r>
    </w:p>
    <w:p w14:paraId="7DA9644E" w14:textId="77777777" w:rsidR="00DF410E" w:rsidRDefault="00CE7F43">
      <w:pPr>
        <w:pStyle w:val="pheading"/>
      </w:pPr>
      <w:r>
        <w:t>AIDE</w:t>
      </w:r>
    </w:p>
    <w:p w14:paraId="6679F699" w14:textId="77777777" w:rsidR="00DF410E" w:rsidRDefault="00CE7F43">
      <w:r>
        <w:t xml:space="preserve">La grille peut être couverte par l’article </w:t>
      </w:r>
      <w:hyperlink w:anchor="429" w:history="1">
        <w:r>
          <w:t>21.44.1c Grilles de soupiraux</w:t>
        </w:r>
      </w:hyperlink>
      <w:r>
        <w:t>.</w:t>
      </w:r>
    </w:p>
    <w:p w14:paraId="6FF64BEE" w14:textId="77777777" w:rsidR="00DF410E" w:rsidRDefault="00CE7F43">
      <w:pPr>
        <w:pStyle w:val="Author-eSectionHeading6"/>
      </w:pPr>
      <w:bookmarkStart w:id="409" w:name="_Toc178837612"/>
      <w:r>
        <w:t>21.44.1c Grilles de soupiraux CCTB 01.02</w:t>
      </w:r>
      <w:bookmarkEnd w:id="409"/>
    </w:p>
    <w:p w14:paraId="56CBEF6F" w14:textId="77777777" w:rsidR="00DF410E" w:rsidRDefault="00CE7F43">
      <w:pPr>
        <w:pStyle w:val="Author-eSectionHeading6"/>
      </w:pPr>
      <w:bookmarkStart w:id="410" w:name="429"/>
      <w:bookmarkStart w:id="411" w:name="_Toc178837613"/>
      <w:bookmarkEnd w:id="410"/>
      <w:r>
        <w:t>21.44.1d Tuyaux droits de ventilation CCTB 01.04</w:t>
      </w:r>
      <w:bookmarkEnd w:id="411"/>
    </w:p>
    <w:p w14:paraId="68AD4678" w14:textId="77777777" w:rsidR="00DF410E" w:rsidRDefault="00CE7F43">
      <w:pPr>
        <w:pStyle w:val="Author-eSectionHeading4"/>
      </w:pPr>
      <w:bookmarkStart w:id="412" w:name="_Toc178837614"/>
      <w:r>
        <w:t>21.45 Blocs de verre individuels CCTB 01.02</w:t>
      </w:r>
      <w:bookmarkEnd w:id="412"/>
    </w:p>
    <w:p w14:paraId="5A755EEE" w14:textId="77777777" w:rsidR="00DF410E" w:rsidRDefault="00CE7F43">
      <w:pPr>
        <w:pStyle w:val="Author-eSectionHeading5"/>
      </w:pPr>
      <w:bookmarkStart w:id="413" w:name="399"/>
      <w:bookmarkStart w:id="414" w:name="_Toc178837615"/>
      <w:bookmarkEnd w:id="413"/>
      <w:r>
        <w:t>21.45.1 Blocs de verre individuels CCTB 01.02</w:t>
      </w:r>
      <w:bookmarkEnd w:id="414"/>
    </w:p>
    <w:p w14:paraId="63C7BB88" w14:textId="77777777" w:rsidR="00DF410E" w:rsidRDefault="00CE7F43">
      <w:pPr>
        <w:pStyle w:val="Author-eSectionHeading6"/>
      </w:pPr>
      <w:bookmarkStart w:id="415" w:name="_Toc178837616"/>
      <w:r>
        <w:t>21.45.1a Blocs de verre individuels CCTB 01.11</w:t>
      </w:r>
      <w:bookmarkEnd w:id="415"/>
    </w:p>
    <w:p w14:paraId="00723FE7" w14:textId="77777777" w:rsidR="00DF410E" w:rsidRDefault="00CE7F43">
      <w:pPr>
        <w:pStyle w:val="pheading"/>
      </w:pPr>
      <w:r>
        <w:t>MATÉRIAUX</w:t>
      </w:r>
    </w:p>
    <w:p w14:paraId="3A0A3F2F" w14:textId="77777777" w:rsidR="00DF410E" w:rsidRDefault="00CE7F43">
      <w:pPr>
        <w:pStyle w:val="pheading"/>
      </w:pPr>
      <w:r>
        <w:t>- Caractéristiques générales</w:t>
      </w:r>
    </w:p>
    <w:p w14:paraId="3626C5BE" w14:textId="77777777" w:rsidR="00DF410E" w:rsidRDefault="00CE7F43">
      <w:pPr>
        <w:pStyle w:val="heading"/>
      </w:pPr>
      <w:r>
        <w:t>Spécifications</w:t>
      </w:r>
    </w:p>
    <w:p w14:paraId="087CDCE6" w14:textId="77777777" w:rsidR="00DF410E" w:rsidRDefault="00CE7F43">
      <w:r>
        <w:t xml:space="preserve">Format des blocs de verre : </w:t>
      </w:r>
      <w:r>
        <w:rPr>
          <w:rStyle w:val="optioncarChar"/>
        </w:rPr>
        <w:t>145 x 145 x 55 / 190 x 190 x 80 </w:t>
      </w:r>
      <w:r>
        <w:t>(par défaut)</w:t>
      </w:r>
      <w:r>
        <w:rPr>
          <w:rStyle w:val="optioncarChar"/>
        </w:rPr>
        <w:t> / 240 x 240 x 80 / 240 x 115 x 80 / 300 x 300 x 100 / *** x *** x ***</w:t>
      </w:r>
      <w:r>
        <w:t xml:space="preserve"> mm</w:t>
      </w:r>
    </w:p>
    <w:p w14:paraId="393312FC" w14:textId="77777777" w:rsidR="00DF410E" w:rsidRDefault="00CE7F43">
      <w:r>
        <w:t>Valeur d'isolation acoustique : environ 36dB</w:t>
      </w:r>
    </w:p>
    <w:p w14:paraId="776C268F" w14:textId="77777777" w:rsidR="00DF410E" w:rsidRDefault="00CE7F43">
      <w:r>
        <w:t xml:space="preserve">Valeur d'isolation thermique : k </w:t>
      </w:r>
      <w:r>
        <w:rPr>
          <w:u w:val="single"/>
        </w:rPr>
        <w:t>&lt;</w:t>
      </w:r>
      <w:r>
        <w:t xml:space="preserve"> 2.6 kcal/m2 (ne s'applique pas aux éléments de ventilation).</w:t>
      </w:r>
    </w:p>
    <w:p w14:paraId="0B103410" w14:textId="77777777" w:rsidR="00DF410E" w:rsidRDefault="00CE7F43">
      <w:pPr>
        <w:pStyle w:val="pheading"/>
      </w:pPr>
      <w:r>
        <w:t>- Finitions</w:t>
      </w:r>
    </w:p>
    <w:p w14:paraId="07AA03E3" w14:textId="77777777" w:rsidR="00DF410E" w:rsidRDefault="00CE7F43">
      <w:r>
        <w:t xml:space="preserve">Aspect des blocs de verre : </w:t>
      </w:r>
      <w:r>
        <w:rPr>
          <w:rStyle w:val="optioncarChar"/>
        </w:rPr>
        <w:t>lisse uni </w:t>
      </w:r>
      <w:r>
        <w:t xml:space="preserve">(par défaut) </w:t>
      </w:r>
      <w:r>
        <w:rPr>
          <w:rStyle w:val="optioncarChar"/>
        </w:rPr>
        <w:t>/ lisse strié / lisse ondé / ***</w:t>
      </w:r>
    </w:p>
    <w:p w14:paraId="2063C62D" w14:textId="77777777" w:rsidR="00DF410E" w:rsidRDefault="00CE7F43">
      <w:r>
        <w:t xml:space="preserve">Couleur des blocs de verre : </w:t>
      </w:r>
      <w:r>
        <w:rPr>
          <w:rStyle w:val="optioncarChar"/>
        </w:rPr>
        <w:t xml:space="preserve">transparentes claires </w:t>
      </w:r>
      <w:r>
        <w:t>(par défaut) </w:t>
      </w:r>
      <w:r>
        <w:rPr>
          <w:rStyle w:val="optioncarChar"/>
        </w:rPr>
        <w:t>/ ***</w:t>
      </w:r>
    </w:p>
    <w:p w14:paraId="2EB6745B" w14:textId="77777777" w:rsidR="00DF410E" w:rsidRDefault="00CE7F43">
      <w:pPr>
        <w:pStyle w:val="pheading"/>
      </w:pPr>
      <w:r>
        <w:t>- Prescriptions complémentaires</w:t>
      </w:r>
    </w:p>
    <w:p w14:paraId="289A8FE4" w14:textId="77777777" w:rsidR="00DF410E" w:rsidRDefault="00CE7F43">
      <w:r>
        <w:t xml:space="preserve">Eléments de ventilation : les blocs de verre avec ventilation répondent à la [NBN S 23-002] et ont une </w:t>
      </w:r>
      <w:r>
        <w:rPr>
          <w:rStyle w:val="optioncarChar"/>
        </w:rPr>
        <w:t>ouverture fixe / un clapet réglable / un clapet réglable avec moustiquaire</w:t>
      </w:r>
      <w:r>
        <w:t xml:space="preserve">, passage libre de l'air de </w:t>
      </w:r>
      <w:r>
        <w:rPr>
          <w:rStyle w:val="optioncarChar"/>
        </w:rPr>
        <w:t>25 </w:t>
      </w:r>
      <w:r>
        <w:t>(par défaut)</w:t>
      </w:r>
      <w:r>
        <w:rPr>
          <w:rStyle w:val="optioncarChar"/>
        </w:rPr>
        <w:t xml:space="preserve"> / ***</w:t>
      </w:r>
      <w:r>
        <w:t xml:space="preserve"> %. L'application est conforme aux indications sur les plans et/ou aux dessins de d'exécution.</w:t>
      </w:r>
    </w:p>
    <w:p w14:paraId="4C8EE695" w14:textId="77777777" w:rsidR="00DF410E" w:rsidRDefault="00CE7F43">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14:paraId="2130CA48" w14:textId="77777777" w:rsidR="00DF410E" w:rsidRDefault="00CE7F43">
      <w:r>
        <w:t>Support aux prescripteurs : [AR 1994-07-07] et [SWL GSI/T1/C] de la prévention passive.</w:t>
      </w:r>
    </w:p>
    <w:p w14:paraId="67CCF210" w14:textId="77777777" w:rsidR="00DF410E" w:rsidRDefault="00CE7F43">
      <w:pPr>
        <w:pStyle w:val="pheading"/>
      </w:pPr>
      <w:r>
        <w:t>EXÉCUTION / MISE EN ŒUVRE</w:t>
      </w:r>
    </w:p>
    <w:p w14:paraId="3C6F3BB6" w14:textId="77777777" w:rsidR="00DF410E" w:rsidRDefault="00CE7F43">
      <w:pPr>
        <w:pStyle w:val="pheading"/>
      </w:pPr>
      <w:r>
        <w:t>- Prescriptions générales</w:t>
      </w:r>
    </w:p>
    <w:p w14:paraId="12527E2D" w14:textId="77777777" w:rsidR="00DF410E" w:rsidRDefault="00CE7F43">
      <w:r>
        <w:t xml:space="preserve">Les blocs de verre isolés sont insérées dans la maçonnerie à l'aide de mortier de maçonnerie, les joints entre les blocs de verre présentent une épaisseur constante de </w:t>
      </w:r>
      <w:r>
        <w:rPr>
          <w:rStyle w:val="optioncarChar"/>
        </w:rPr>
        <w:t>10 </w:t>
      </w:r>
      <w:r>
        <w:t>(par défaut)</w:t>
      </w:r>
      <w:r>
        <w:rPr>
          <w:rStyle w:val="optioncarChar"/>
        </w:rPr>
        <w:t xml:space="preserve"> / ***</w:t>
      </w:r>
      <w:r>
        <w:t xml:space="preserve"> mm. Pendant la mise en œuvre, les blocs sont nettoyés et lissés, il est conseillé de les enduire préalablement d'une couche protectrice. Tous les joints sont lissés et doivent être étanches.</w:t>
      </w:r>
    </w:p>
    <w:p w14:paraId="01BF3BA6" w14:textId="77777777" w:rsidR="00DF410E" w:rsidRDefault="00CE7F43">
      <w:r>
        <w:t>Dans tous les joints verticaux et horizontaux, on prévoit des armatures, en fonction des sollicitations dues au vent. Tous les joints, tant verticaux qu'horizontaux, sont armés d'au moins deux barres BE 400 diamètre 5 mm; ces barres se situent à au moins 20 mm des faces extérieures.</w:t>
      </w:r>
    </w:p>
    <w:p w14:paraId="206004BB" w14:textId="77777777" w:rsidR="00DF410E" w:rsidRDefault="00CE7F43">
      <w:r>
        <w:t xml:space="preserve">La face inférieure et tous les autres bords incorporés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1EA240F8" w14:textId="77777777" w:rsidR="00DF410E" w:rsidRDefault="00CE7F43">
      <w:pPr>
        <w:pStyle w:val="pheading"/>
      </w:pPr>
      <w:r>
        <w:t>- Notes d’exécution complémentaires</w:t>
      </w:r>
    </w:p>
    <w:p w14:paraId="51A33C11" w14:textId="77777777" w:rsidR="00DF410E" w:rsidRDefault="00CE7F43">
      <w:r>
        <w:t>Les blocs de verre individuels ventilés sont intégrés dans la maçonnerie à l'aide de mortier de maçonnerie.</w:t>
      </w:r>
    </w:p>
    <w:p w14:paraId="7E442712" w14:textId="77777777" w:rsidR="00DF410E" w:rsidRDefault="00CE7F43">
      <w:r>
        <w:t xml:space="preserve">A l'intérieur, les niches sont parachevées à l'aide </w:t>
      </w:r>
      <w:r>
        <w:rPr>
          <w:rStyle w:val="optioncarChar"/>
        </w:rPr>
        <w:t>d'un cimentage / d'un plafonnage</w:t>
      </w:r>
      <w:r>
        <w:t>.</w:t>
      </w:r>
    </w:p>
    <w:p w14:paraId="179BE802" w14:textId="77777777" w:rsidR="00DF410E" w:rsidRDefault="00CE7F43">
      <w:pPr>
        <w:pStyle w:val="Author-eSectionHeading6"/>
      </w:pPr>
      <w:bookmarkStart w:id="416" w:name="_Toc178837617"/>
      <w:r>
        <w:t>21.45.1b Blocs de verre individuels de ventilation CCTB 01.11</w:t>
      </w:r>
      <w:bookmarkEnd w:id="416"/>
    </w:p>
    <w:p w14:paraId="532061FA" w14:textId="77777777" w:rsidR="00DF410E" w:rsidRDefault="00CE7F43">
      <w:pPr>
        <w:pStyle w:val="pheading"/>
      </w:pPr>
      <w:r>
        <w:t>MATÉRIAUX</w:t>
      </w:r>
    </w:p>
    <w:p w14:paraId="1C5B9814" w14:textId="77777777" w:rsidR="00DF410E" w:rsidRDefault="00CE7F43">
      <w:pPr>
        <w:pStyle w:val="pheading"/>
      </w:pPr>
      <w:r>
        <w:t>- Caractéristiques générales</w:t>
      </w:r>
    </w:p>
    <w:p w14:paraId="00E5EC18" w14:textId="77777777" w:rsidR="00DF410E" w:rsidRDefault="00CE7F43">
      <w:pPr>
        <w:pStyle w:val="heading"/>
      </w:pPr>
      <w:r>
        <w:t>Spécifications</w:t>
      </w:r>
    </w:p>
    <w:p w14:paraId="0F9F0A5F" w14:textId="77777777" w:rsidR="00DF410E" w:rsidRDefault="00CE7F43">
      <w:r>
        <w:t xml:space="preserve">Format des blocs de verre : </w:t>
      </w:r>
      <w:r>
        <w:rPr>
          <w:rStyle w:val="optioncarChar"/>
        </w:rPr>
        <w:t>145 x 145 x 55 / 190 x 190 x 80 </w:t>
      </w:r>
      <w:r>
        <w:t>(par défaut)</w:t>
      </w:r>
      <w:r>
        <w:rPr>
          <w:rStyle w:val="optioncarChar"/>
        </w:rPr>
        <w:t xml:space="preserve"> / 240 x 240 x 80 / 240 x 115 x 80 / 300 x 300 x 100 / *** x *** x ***</w:t>
      </w:r>
      <w:r>
        <w:t xml:space="preserve"> mm.</w:t>
      </w:r>
    </w:p>
    <w:p w14:paraId="635D9416" w14:textId="77777777" w:rsidR="00DF410E" w:rsidRDefault="00DF410E"/>
    <w:p w14:paraId="1806F077" w14:textId="77777777" w:rsidR="00DF410E" w:rsidRDefault="00CE7F43">
      <w:r>
        <w:t> </w:t>
      </w:r>
    </w:p>
    <w:p w14:paraId="5D43C691" w14:textId="77777777" w:rsidR="00DF410E" w:rsidRDefault="00CE7F43">
      <w:pPr>
        <w:pStyle w:val="pheading"/>
      </w:pPr>
      <w:r>
        <w:t>- Finitions</w:t>
      </w:r>
    </w:p>
    <w:p w14:paraId="0C259181" w14:textId="77777777" w:rsidR="00DF410E" w:rsidRDefault="00CE7F43">
      <w:r>
        <w:t xml:space="preserve">Aspect des blocs de verre : </w:t>
      </w:r>
      <w:r>
        <w:rPr>
          <w:rStyle w:val="optioncarChar"/>
        </w:rPr>
        <w:t xml:space="preserve">lisse uni </w:t>
      </w:r>
      <w:r>
        <w:t>(par défaut) </w:t>
      </w:r>
      <w:r>
        <w:rPr>
          <w:rStyle w:val="optioncarChar"/>
        </w:rPr>
        <w:t>/ lisse strié / lisse ondé / ***</w:t>
      </w:r>
    </w:p>
    <w:p w14:paraId="184BB9C3" w14:textId="77777777" w:rsidR="00DF410E" w:rsidRDefault="00CE7F43">
      <w:r>
        <w:t xml:space="preserve">Couleur des blocs de verre : </w:t>
      </w:r>
      <w:r>
        <w:rPr>
          <w:rStyle w:val="optioncarChar"/>
        </w:rPr>
        <w:t>transparentes claires </w:t>
      </w:r>
      <w:r>
        <w:t>(par défaut)</w:t>
      </w:r>
      <w:r>
        <w:rPr>
          <w:rStyle w:val="optioncarChar"/>
        </w:rPr>
        <w:t xml:space="preserve"> / ***</w:t>
      </w:r>
    </w:p>
    <w:p w14:paraId="2C2234A6" w14:textId="77777777" w:rsidR="00DF410E" w:rsidRDefault="00DF410E"/>
    <w:p w14:paraId="374A90BB" w14:textId="77777777" w:rsidR="00DF410E" w:rsidRDefault="00CE7F43">
      <w:r>
        <w:t> </w:t>
      </w:r>
    </w:p>
    <w:p w14:paraId="429F3A43" w14:textId="77777777" w:rsidR="00DF410E" w:rsidRDefault="00CE7F43">
      <w:pPr>
        <w:pStyle w:val="pheading"/>
      </w:pPr>
      <w:r>
        <w:t>- Prescriptions complémentaires</w:t>
      </w:r>
    </w:p>
    <w:p w14:paraId="718AFE7E" w14:textId="77777777" w:rsidR="00DF410E" w:rsidRDefault="00CE7F43">
      <w:r>
        <w:t xml:space="preserve">Eléments de ventilation : les blocs de verre ventilés répondent à la [NBN S 23-002] et présentent une </w:t>
      </w:r>
      <w:r>
        <w:rPr>
          <w:rStyle w:val="optioncarChar"/>
        </w:rPr>
        <w:t>ouverture fixe / un clapet réglable / un clapet réglable avec moustiquaire</w:t>
      </w:r>
      <w:r>
        <w:t xml:space="preserve">, passage libre de l'air de </w:t>
      </w:r>
      <w:r>
        <w:rPr>
          <w:rStyle w:val="optioncarChar"/>
        </w:rPr>
        <w:t xml:space="preserve">25 </w:t>
      </w:r>
      <w:r>
        <w:t>(par défaut) </w:t>
      </w:r>
      <w:r>
        <w:rPr>
          <w:rStyle w:val="optioncarChar"/>
        </w:rPr>
        <w:t>/ ***</w:t>
      </w:r>
      <w:r>
        <w:t xml:space="preserve"> %. L'application est conforme aux indications sur les plans et/ou aux dessins de d'exécution.</w:t>
      </w:r>
    </w:p>
    <w:p w14:paraId="7C522606" w14:textId="77777777" w:rsidR="00DF410E" w:rsidRDefault="00CE7F43">
      <w:r>
        <w:t>On pose une bande de polystyrène extrudé d'une épaisseur de 15 mm sur les côtés et de 25 mm au-dessus des panneaux préfabriqués</w:t>
      </w:r>
    </w:p>
    <w:p w14:paraId="7689B6ED" w14:textId="77777777" w:rsidR="00DF410E" w:rsidRDefault="00CE7F43">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14:paraId="1C3BA0F4" w14:textId="77777777" w:rsidR="00DF410E" w:rsidRDefault="00CE7F43">
      <w:r>
        <w:t>Support aux prescripteurs : [AR 1994-07-07] et [SWL GSI/T1/C] de la prévention passive.</w:t>
      </w:r>
    </w:p>
    <w:p w14:paraId="369A780C" w14:textId="77777777" w:rsidR="00DF410E" w:rsidRDefault="00DF410E"/>
    <w:p w14:paraId="5EFC422B" w14:textId="77777777" w:rsidR="00DF410E" w:rsidRDefault="00CE7F43">
      <w:r>
        <w:t> </w:t>
      </w:r>
    </w:p>
    <w:p w14:paraId="0E835559" w14:textId="77777777" w:rsidR="00DF410E" w:rsidRDefault="00CE7F43">
      <w:pPr>
        <w:pStyle w:val="pheading"/>
      </w:pPr>
      <w:r>
        <w:t>EXÉCUTION / MISE EN ŒUVRE</w:t>
      </w:r>
    </w:p>
    <w:p w14:paraId="5F6DF61F" w14:textId="77777777" w:rsidR="00DF410E" w:rsidRDefault="00CE7F43">
      <w:pPr>
        <w:pStyle w:val="pheading"/>
      </w:pPr>
      <w:r>
        <w:t>- Notes d’exécution complémentaires</w:t>
      </w:r>
    </w:p>
    <w:p w14:paraId="1887E558" w14:textId="77777777" w:rsidR="00DF410E" w:rsidRDefault="00CE7F43">
      <w:r>
        <w:t>Les joints périphériques sont rembourrés à l'aide d'un matériau isolant approprié.</w:t>
      </w:r>
    </w:p>
    <w:p w14:paraId="307631E5" w14:textId="77777777" w:rsidR="00DF410E" w:rsidRDefault="00CE7F43">
      <w:r>
        <w:t xml:space="preserve">Les bords inférieurs sont pourvus d'une couche hydrofuge, c'est-à-dire d’une bande de bitume et d’une bavette de plomb continue, selon l'article </w:t>
      </w:r>
      <w:r>
        <w:rPr>
          <w:rStyle w:val="optioncarChar"/>
        </w:rPr>
        <w:t>***</w:t>
      </w:r>
    </w:p>
    <w:p w14:paraId="4164D843" w14:textId="77777777" w:rsidR="00DF410E" w:rsidRDefault="00CE7F43">
      <w:pPr>
        <w:pStyle w:val="Author-eSectionHeading6"/>
      </w:pPr>
      <w:bookmarkStart w:id="417" w:name="_Toc178837618"/>
      <w:r>
        <w:t>21.45.1c Blocs de verre individuels sur châssis CCTB 01.02</w:t>
      </w:r>
      <w:bookmarkEnd w:id="417"/>
    </w:p>
    <w:p w14:paraId="54C95369" w14:textId="77777777" w:rsidR="00DF410E" w:rsidRDefault="00CE7F43">
      <w:pPr>
        <w:pStyle w:val="Author-eSectionHeading4"/>
      </w:pPr>
      <w:bookmarkStart w:id="418" w:name="_Toc178837619"/>
      <w:r>
        <w:t>21.46 Eléments d'assise pour nœuds constructifs CCTB 01.04</w:t>
      </w:r>
      <w:bookmarkEnd w:id="418"/>
    </w:p>
    <w:p w14:paraId="4A91D183" w14:textId="77777777" w:rsidR="00DF410E" w:rsidRDefault="00CE7F43">
      <w:pPr>
        <w:pStyle w:val="Author-eSectionHeading5"/>
      </w:pPr>
      <w:bookmarkStart w:id="419" w:name="_Toc178837620"/>
      <w:r>
        <w:t>21.46.1 Blocs d'assise pour nœuds constructifs CCTB 01.04</w:t>
      </w:r>
      <w:bookmarkEnd w:id="419"/>
    </w:p>
    <w:p w14:paraId="571F7DC8" w14:textId="77777777" w:rsidR="00DF410E" w:rsidRDefault="00CE7F43">
      <w:pPr>
        <w:pStyle w:val="Author-eSectionHeading6"/>
      </w:pPr>
      <w:bookmarkStart w:id="420" w:name="_Toc178837621"/>
      <w:r>
        <w:t>21.46.1a Blocs d'assise en blocs de béton cellulaire pour nœuds constructifs CCTB 01.11</w:t>
      </w:r>
      <w:bookmarkEnd w:id="420"/>
    </w:p>
    <w:p w14:paraId="6E2950C6" w14:textId="77777777" w:rsidR="00DF410E" w:rsidRDefault="00CE7F43">
      <w:pPr>
        <w:pStyle w:val="pheading"/>
      </w:pPr>
      <w:r>
        <w:t>DESCRIPTION</w:t>
      </w:r>
    </w:p>
    <w:p w14:paraId="420CA415" w14:textId="77777777" w:rsidR="00DF410E" w:rsidRDefault="00CE7F43">
      <w:pPr>
        <w:pStyle w:val="pheading"/>
      </w:pPr>
      <w:r>
        <w:t>- Définition / Comprend</w:t>
      </w:r>
    </w:p>
    <w:p w14:paraId="79FF7FAF" w14:textId="77777777" w:rsidR="00DF410E" w:rsidRDefault="00CE7F43">
      <w:pPr>
        <w:jc w:val="both"/>
      </w:pPr>
      <w:r>
        <w:t>Il s’agit de la fourniture et de la pose de blocs d’assise en béton cellulaire à placer au bas de certains murs et ce, conformément aux directives de l’auteur de projet, de manière à mettre en œuvre les éléments nécessaires au respect de la règle de base n°2 de la PEB relative aux nœuds constructifs.</w:t>
      </w:r>
    </w:p>
    <w:p w14:paraId="59D25668" w14:textId="77777777" w:rsidR="00DF410E" w:rsidRDefault="00CE7F43">
      <w:pPr>
        <w:pStyle w:val="pheading"/>
      </w:pPr>
      <w:r>
        <w:t>MATÉRIAUX</w:t>
      </w:r>
    </w:p>
    <w:p w14:paraId="7549BB1B" w14:textId="77777777" w:rsidR="00DF410E" w:rsidRDefault="00CE7F43">
      <w:pPr>
        <w:pStyle w:val="pheading"/>
      </w:pPr>
      <w:r>
        <w:t>- Caractéristiques générales</w:t>
      </w:r>
    </w:p>
    <w:p w14:paraId="289BE728" w14:textId="77777777" w:rsidR="00DF410E" w:rsidRDefault="00CE7F43">
      <w:pPr>
        <w:jc w:val="both"/>
      </w:pPr>
      <w:r>
        <w:t>Blocs en béton cellulaire répondant à la norme [NBN EN 771-4+A1] et au [PTV 21-002].</w:t>
      </w:r>
    </w:p>
    <w:p w14:paraId="7FFFB62E" w14:textId="77777777" w:rsidR="00DF410E" w:rsidRDefault="00CE7F43">
      <w:pPr>
        <w:jc w:val="both"/>
      </w:pPr>
      <w:r>
        <w:t>Résistance à la compression : catégorie I (la résistance à la compression est déclarée avec une fiabilité de 95%).</w:t>
      </w:r>
    </w:p>
    <w:p w14:paraId="0FFCFBF3" w14:textId="77777777" w:rsidR="00DF410E" w:rsidRDefault="00CE7F43">
      <w:pPr>
        <w:jc w:val="both"/>
      </w:pPr>
      <w:r>
        <w:t xml:space="preserve">Classe de qualité suivant [PTV 21-002] : </w:t>
      </w:r>
      <w:r>
        <w:rPr>
          <w:rStyle w:val="optioncarChar"/>
        </w:rPr>
        <w:t>C4/500</w:t>
      </w:r>
      <w:r>
        <w:t xml:space="preserve"> (par défaut) </w:t>
      </w:r>
      <w:r>
        <w:rPr>
          <w:rStyle w:val="optioncarChar"/>
        </w:rPr>
        <w:t>/ ***</w:t>
      </w:r>
    </w:p>
    <w:p w14:paraId="775A48DB" w14:textId="77777777" w:rsidR="00DF410E" w:rsidRDefault="00CE7F43">
      <w:pPr>
        <w:jc w:val="both"/>
      </w:pPr>
      <w:r>
        <w:t>Résistance en compression normalisée (f</w:t>
      </w:r>
      <w:r>
        <w:rPr>
          <w:vertAlign w:val="subscript"/>
        </w:rPr>
        <w:t>b</w:t>
      </w:r>
      <w:r>
        <w:t>) / moyenne (f</w:t>
      </w:r>
      <w:r>
        <w:rPr>
          <w:vertAlign w:val="subscript"/>
        </w:rPr>
        <w:t>mean</w:t>
      </w:r>
      <w:r>
        <w:t>) suivant [NBN EN 1996 série] : ≥ à</w:t>
      </w:r>
      <w:r>
        <w:rPr>
          <w:rStyle w:val="optioncarChar"/>
        </w:rPr>
        <w:t xml:space="preserve"> 4,5 </w:t>
      </w:r>
      <w:r>
        <w:t>(par défaut)</w:t>
      </w:r>
      <w:r>
        <w:rPr>
          <w:rStyle w:val="optioncarChar"/>
        </w:rPr>
        <w:t xml:space="preserve"> / ***</w:t>
      </w:r>
      <w:r>
        <w:t xml:space="preserve"> N/mm² (MPa) (classe f </w:t>
      </w:r>
      <w:r>
        <w:rPr>
          <w:rStyle w:val="optioncarChar"/>
        </w:rPr>
        <w:t>***</w:t>
      </w:r>
      <w:r>
        <w:t>) (selon [NBN EN 771-4+A1]).</w:t>
      </w:r>
    </w:p>
    <w:p w14:paraId="5DA9E082" w14:textId="77777777" w:rsidR="00DF410E" w:rsidRDefault="00CE7F43">
      <w:pPr>
        <w:jc w:val="both"/>
      </w:pPr>
      <w:r>
        <w:t xml:space="preserve">La masse volumique sèche apparente des blocs ρ (rho) : </w:t>
      </w:r>
      <w:r>
        <w:rPr>
          <w:rStyle w:val="optioncarChar"/>
        </w:rPr>
        <w:t xml:space="preserve">≥ 450 </w:t>
      </w:r>
      <w:r>
        <w:t>(par défaut)</w:t>
      </w:r>
      <w:r>
        <w:rPr>
          <w:rStyle w:val="optioncarChar"/>
        </w:rPr>
        <w:t xml:space="preserve"> / ***</w:t>
      </w:r>
      <w:r>
        <w:t xml:space="preserve"> kg/m³ (blocs pleins), selon la [NBN EN 771-4+A1].</w:t>
      </w:r>
    </w:p>
    <w:p w14:paraId="5916CB3E" w14:textId="77777777" w:rsidR="00DF410E" w:rsidRDefault="00CE7F43">
      <w:pPr>
        <w:jc w:val="both"/>
      </w:pPr>
      <w:r>
        <w:t>La conductibilité thermique λ</w:t>
      </w:r>
      <w:r>
        <w:rPr>
          <w:vertAlign w:val="subscript"/>
        </w:rPr>
        <w:t>D</w:t>
      </w:r>
      <w:r>
        <w:t xml:space="preserve"> est soumise à l’approbation du responsable PEB ou de l’auteur de projet pour s’assurer de la conformité PEB du nœud constructif.</w:t>
      </w:r>
    </w:p>
    <w:p w14:paraId="5A7FF891" w14:textId="77777777" w:rsidR="00DF410E" w:rsidRDefault="00CE7F43">
      <w:pPr>
        <w:jc w:val="both"/>
      </w:pPr>
      <w:r>
        <w:t>Les blocs sont hydrophobes dans la masse.</w:t>
      </w:r>
    </w:p>
    <w:p w14:paraId="7A6FB3DB" w14:textId="77777777" w:rsidR="00DF410E" w:rsidRDefault="00CE7F43">
      <w:pPr>
        <w:jc w:val="both"/>
      </w:pPr>
      <w:r>
        <w:t>Format :</w:t>
      </w:r>
    </w:p>
    <w:p w14:paraId="2A53C8F4" w14:textId="77777777" w:rsidR="00DF410E" w:rsidRDefault="00CE7F43">
      <w:pPr>
        <w:pStyle w:val="Author-eListParagraph"/>
        <w:numPr>
          <w:ilvl w:val="0"/>
          <w:numId w:val="294"/>
        </w:numPr>
        <w:jc w:val="both"/>
      </w:pPr>
      <w:r>
        <w:t xml:space="preserve">longueur : </w:t>
      </w:r>
      <w:r>
        <w:rPr>
          <w:rStyle w:val="optioncarChar"/>
        </w:rPr>
        <w:t xml:space="preserve">au choix de l'entrepreneur </w:t>
      </w:r>
      <w:r>
        <w:t>(par défaut)</w:t>
      </w:r>
      <w:r>
        <w:rPr>
          <w:rStyle w:val="optioncarChar"/>
        </w:rPr>
        <w:t xml:space="preserve"> / 600 / *** </w:t>
      </w:r>
      <w:r>
        <w:t>mm</w:t>
      </w:r>
    </w:p>
    <w:p w14:paraId="6B50FDCC" w14:textId="77777777" w:rsidR="00DF410E" w:rsidRDefault="00CE7F43">
      <w:pPr>
        <w:pStyle w:val="Author-eListParagraph"/>
        <w:numPr>
          <w:ilvl w:val="0"/>
          <w:numId w:val="294"/>
        </w:numPr>
        <w:jc w:val="both"/>
      </w:pPr>
      <w:r>
        <w:t xml:space="preserve">hauteur : </w:t>
      </w:r>
      <w:r>
        <w:rPr>
          <w:rStyle w:val="optioncarChar"/>
        </w:rPr>
        <w:t xml:space="preserve">150 / 200 </w:t>
      </w:r>
      <w:r>
        <w:t>(par défaut)</w:t>
      </w:r>
      <w:r>
        <w:rPr>
          <w:rStyle w:val="optioncarChar"/>
        </w:rPr>
        <w:t xml:space="preserve"> / 250 / 300 / ***</w:t>
      </w:r>
      <w:r>
        <w:t xml:space="preserve"> mm</w:t>
      </w:r>
    </w:p>
    <w:p w14:paraId="1D256E0D" w14:textId="77777777" w:rsidR="00DF410E" w:rsidRDefault="00CE7F43">
      <w:pPr>
        <w:pStyle w:val="Author-eListParagraph"/>
        <w:numPr>
          <w:ilvl w:val="0"/>
          <w:numId w:val="294"/>
        </w:numPr>
        <w:jc w:val="both"/>
      </w:pPr>
      <w:r>
        <w:t xml:space="preserve">largeur : </w:t>
      </w:r>
      <w:r>
        <w:rPr>
          <w:rStyle w:val="optioncarChar"/>
        </w:rPr>
        <w:t xml:space="preserve">voir métré et plan </w:t>
      </w:r>
      <w:r>
        <w:t>(par défaut)</w:t>
      </w:r>
      <w:r>
        <w:rPr>
          <w:rStyle w:val="optioncarChar"/>
        </w:rPr>
        <w:t xml:space="preserve"> / 90 / 100 / 140 / 150 / 190 / 200 / *** </w:t>
      </w:r>
      <w:r>
        <w:t>mm</w:t>
      </w:r>
    </w:p>
    <w:p w14:paraId="3FFBB4C6" w14:textId="77777777" w:rsidR="00DF410E" w:rsidRDefault="00CE7F43">
      <w:r>
        <w:t>Résistance au feu démontrée par test au feu selon les tableaux dans la [NBN EN 1996-1-2 ANB] :</w:t>
      </w:r>
    </w:p>
    <w:p w14:paraId="3652F7C8" w14:textId="77777777" w:rsidR="00DF410E" w:rsidRDefault="00CE7F43">
      <w:pPr>
        <w:pStyle w:val="Author-eListParagraph"/>
        <w:numPr>
          <w:ilvl w:val="0"/>
          <w:numId w:val="295"/>
        </w:numPr>
        <w:jc w:val="both"/>
      </w:pPr>
      <w:r>
        <w:t xml:space="preserve">pour les éléments porteurs structuraux sans fonction séparante : </w:t>
      </w:r>
      <w:r>
        <w:rPr>
          <w:rStyle w:val="optioncarChar"/>
        </w:rPr>
        <w:t>R15 / R30 </w:t>
      </w:r>
      <w:r>
        <w:t>(par défaut)</w:t>
      </w:r>
      <w:r>
        <w:rPr>
          <w:rStyle w:val="optioncarChar"/>
        </w:rPr>
        <w:t xml:space="preserve"> / R60 / R120 / R240</w:t>
      </w:r>
    </w:p>
    <w:p w14:paraId="27F8840E" w14:textId="77777777" w:rsidR="00DF410E" w:rsidRDefault="00CE7F43">
      <w:pPr>
        <w:pStyle w:val="Author-eListParagraph"/>
        <w:numPr>
          <w:ilvl w:val="0"/>
          <w:numId w:val="295"/>
        </w:numPr>
        <w:jc w:val="both"/>
      </w:pPr>
      <w:r>
        <w:t xml:space="preserve">pour les éléments porteurs structuraux avec fonction séparante : </w:t>
      </w:r>
      <w:r>
        <w:rPr>
          <w:rStyle w:val="optioncarChar"/>
        </w:rPr>
        <w:t>REI 30 </w:t>
      </w:r>
      <w:r>
        <w:t>(par défaut)</w:t>
      </w:r>
      <w:r>
        <w:rPr>
          <w:rStyle w:val="optioncarChar"/>
        </w:rPr>
        <w:t xml:space="preserve"> / REI 60 / REI 120 / REI 240</w:t>
      </w:r>
    </w:p>
    <w:p w14:paraId="03EEE31C" w14:textId="77777777" w:rsidR="00DF410E" w:rsidRDefault="00CE7F43">
      <w:pPr>
        <w:pStyle w:val="Author-eListParagraph"/>
        <w:numPr>
          <w:ilvl w:val="0"/>
          <w:numId w:val="295"/>
        </w:numPr>
        <w:jc w:val="both"/>
      </w:pPr>
      <w:r>
        <w:t xml:space="preserve">pour les éléments non porteurs avec fonction séparante : </w:t>
      </w:r>
      <w:r>
        <w:rPr>
          <w:rStyle w:val="optioncarChar"/>
        </w:rPr>
        <w:t>EI 30</w:t>
      </w:r>
      <w:r>
        <w:t> (par défaut)</w:t>
      </w:r>
      <w:r>
        <w:rPr>
          <w:rStyle w:val="optioncarChar"/>
        </w:rPr>
        <w:t xml:space="preserve"> / EI 60 / EI 120</w:t>
      </w:r>
    </w:p>
    <w:p w14:paraId="7E8B4A5D" w14:textId="77777777" w:rsidR="00DF410E" w:rsidRDefault="00CE7F43">
      <w:pPr>
        <w:pStyle w:val="pheading"/>
      </w:pPr>
      <w:r>
        <w:t>- Finitions</w:t>
      </w:r>
    </w:p>
    <w:p w14:paraId="40B0BD88" w14:textId="77777777" w:rsidR="00DF410E" w:rsidRDefault="00CE7F43">
      <w:r>
        <w:t xml:space="preserve">Surface : </w:t>
      </w:r>
      <w:r>
        <w:rPr>
          <w:rStyle w:val="optioncarChar"/>
        </w:rPr>
        <w:t xml:space="preserve">légèrement striée </w:t>
      </w:r>
      <w:r>
        <w:t>(par défaut)</w:t>
      </w:r>
      <w:r>
        <w:rPr>
          <w:rStyle w:val="optioncarChar"/>
        </w:rPr>
        <w:t xml:space="preserve"> / ***</w:t>
      </w:r>
      <w:r>
        <w:br/>
        <w:t xml:space="preserve">Boutisse : </w:t>
      </w:r>
      <w:r>
        <w:rPr>
          <w:rStyle w:val="optioncarChar"/>
        </w:rPr>
        <w:t xml:space="preserve">lisse (sans tenon et mortaise) </w:t>
      </w:r>
      <w:r>
        <w:t>(par défaut)</w:t>
      </w:r>
      <w:r>
        <w:rPr>
          <w:rStyle w:val="optioncarChar"/>
        </w:rPr>
        <w:t xml:space="preserve"> / ***</w:t>
      </w:r>
    </w:p>
    <w:p w14:paraId="5763EC09" w14:textId="77777777" w:rsidR="00DF410E" w:rsidRDefault="00CE7F43">
      <w:pPr>
        <w:pStyle w:val="pheading"/>
      </w:pPr>
      <w:r>
        <w:t>EXÉCUTION / MISE EN ŒUVRE</w:t>
      </w:r>
    </w:p>
    <w:p w14:paraId="2F63091C" w14:textId="77777777" w:rsidR="00DF410E" w:rsidRDefault="00CE7F43">
      <w:pPr>
        <w:pStyle w:val="pheading"/>
      </w:pPr>
      <w:r>
        <w:t>- Prescriptions générales</w:t>
      </w:r>
    </w:p>
    <w:p w14:paraId="056149F9" w14:textId="77777777" w:rsidR="00DF410E" w:rsidRDefault="00CE7F43">
      <w:pPr>
        <w:jc w:val="both"/>
      </w:pPr>
      <w:r>
        <w:t>Pour la mise en œuvre des blocs, l’entreprise suit strictement les prescriptions de la documentation technique accompagnant le produit.</w:t>
      </w:r>
    </w:p>
    <w:p w14:paraId="005F7DEC" w14:textId="77777777" w:rsidR="00DF410E" w:rsidRDefault="00CE7F43">
      <w:pPr>
        <w:pStyle w:val="pheading"/>
      </w:pPr>
      <w:r>
        <w:t>DOCUMENTS DE RÉFÉRENCE COMPLÉMENTAIRES</w:t>
      </w:r>
    </w:p>
    <w:p w14:paraId="6A6E7D81" w14:textId="77777777" w:rsidR="00DF410E" w:rsidRDefault="00CE7F43">
      <w:pPr>
        <w:pStyle w:val="pheading"/>
      </w:pPr>
      <w:r>
        <w:t>- Matériau</w:t>
      </w:r>
    </w:p>
    <w:p w14:paraId="2BD1B59A" w14:textId="77777777" w:rsidR="00DF410E" w:rsidRDefault="00CE7F43">
      <w:r>
        <w:t>[NBN EN 771-4+A1, Spécifications pour éléments de maçonnerie - Partie 4: Éléments de maçonnerie en béton cellulaire autoclavé]</w:t>
      </w:r>
    </w:p>
    <w:p w14:paraId="2730A0D9" w14:textId="77777777" w:rsidR="00DF410E" w:rsidRDefault="00CE7F43">
      <w:r>
        <w:t>[PTV 21-002, Eléments de maçonnerie en béton cellulaire autoclavé - Classification et spécifications d'application.]</w:t>
      </w:r>
    </w:p>
    <w:p w14:paraId="0F977EC0" w14:textId="77777777" w:rsidR="00DF410E" w:rsidRDefault="00CE7F43">
      <w:pPr>
        <w:pStyle w:val="pheading"/>
      </w:pPr>
      <w:r>
        <w:t>MESURAGE</w:t>
      </w:r>
    </w:p>
    <w:p w14:paraId="41E63E07" w14:textId="77777777" w:rsidR="00DF410E" w:rsidRDefault="00CE7F43">
      <w:pPr>
        <w:pStyle w:val="pheading"/>
      </w:pPr>
      <w:r>
        <w:t>- unité de mesure:</w:t>
      </w:r>
    </w:p>
    <w:p w14:paraId="38E667D0" w14:textId="77777777" w:rsidR="00DF410E" w:rsidRDefault="00CE7F43">
      <w:r>
        <w:rPr>
          <w:rStyle w:val="optioncarChar"/>
        </w:rPr>
        <w:t>m³</w:t>
      </w:r>
      <w:r>
        <w:t> (par défaut)</w:t>
      </w:r>
      <w:r>
        <w:rPr>
          <w:rStyle w:val="optioncarChar"/>
        </w:rPr>
        <w:t> / m² </w:t>
      </w:r>
    </w:p>
    <w:p w14:paraId="7A296529" w14:textId="77777777" w:rsidR="00DF410E" w:rsidRDefault="00CE7F43">
      <w:r>
        <w:rPr>
          <w:b/>
        </w:rPr>
        <w:t>(soit par défaut)  </w:t>
      </w:r>
      <w:r>
        <w:br/>
      </w:r>
      <w:r>
        <w:rPr>
          <w:rStyle w:val="soitChar"/>
        </w:rPr>
        <w:t>1. m³</w:t>
      </w:r>
      <w:r>
        <w:br/>
      </w:r>
      <w:r>
        <w:rPr>
          <w:b/>
        </w:rPr>
        <w:t xml:space="preserve">(soit) </w:t>
      </w:r>
      <w:r>
        <w:br/>
      </w:r>
      <w:r>
        <w:rPr>
          <w:rStyle w:val="soitChar"/>
        </w:rPr>
        <w:t>2. m² (pour cloison en 9 cm d’épaisseur)   </w:t>
      </w:r>
    </w:p>
    <w:p w14:paraId="211AC47E" w14:textId="77777777" w:rsidR="00DF410E" w:rsidRDefault="00CE7F43">
      <w:pPr>
        <w:pStyle w:val="pheading"/>
      </w:pPr>
      <w:r>
        <w:t>- code de mesurage:</w:t>
      </w:r>
    </w:p>
    <w:p w14:paraId="1AF0CD26" w14:textId="77777777" w:rsidR="00DF410E" w:rsidRDefault="00CE7F43">
      <w:r>
        <w:rPr>
          <w:rStyle w:val="optioncarChar"/>
        </w:rPr>
        <w:t>Volume net</w:t>
      </w:r>
      <w:r>
        <w:t> (par défaut)</w:t>
      </w:r>
      <w:r>
        <w:rPr>
          <w:rStyle w:val="optioncarChar"/>
        </w:rPr>
        <w:t> / Surface nette </w:t>
      </w:r>
    </w:p>
    <w:p w14:paraId="22FAE733" w14:textId="77777777" w:rsidR="00DF410E" w:rsidRDefault="00CE7F43">
      <w:r>
        <w:rPr>
          <w:b/>
        </w:rPr>
        <w:t>(soit par défaut)  </w:t>
      </w:r>
      <w:r>
        <w:br/>
      </w:r>
      <w:r>
        <w:rPr>
          <w:rStyle w:val="soitChar"/>
        </w:rPr>
        <w:t xml:space="preserve">1. </w:t>
      </w:r>
      <w:r>
        <w:rPr>
          <w:rStyle w:val="soitChar"/>
          <w:u w:val="single"/>
        </w:rPr>
        <w:t>Volume net</w:t>
      </w:r>
      <w:r>
        <w:br/>
      </w:r>
      <w:r>
        <w:rPr>
          <w:b/>
        </w:rPr>
        <w:t xml:space="preserve">(soit) </w:t>
      </w:r>
      <w:r>
        <w:br/>
      </w:r>
      <w:r>
        <w:rPr>
          <w:rStyle w:val="soitChar"/>
        </w:rPr>
        <w:t xml:space="preserve">2. </w:t>
      </w:r>
      <w:r>
        <w:rPr>
          <w:rStyle w:val="soitChar"/>
          <w:u w:val="single"/>
        </w:rPr>
        <w:t>Surface nette</w:t>
      </w:r>
      <w:r>
        <w:rPr>
          <w:rStyle w:val="soitChar"/>
        </w:rPr>
        <w:t xml:space="preserve"> (pour cloison en 9 cm d’épaisseur)   </w:t>
      </w:r>
    </w:p>
    <w:p w14:paraId="0E845271" w14:textId="77777777" w:rsidR="00DF410E" w:rsidRDefault="00CE7F43">
      <w:pPr>
        <w:pStyle w:val="pheading"/>
      </w:pPr>
      <w:r>
        <w:t>- nature du marché:</w:t>
      </w:r>
    </w:p>
    <w:p w14:paraId="055B7466" w14:textId="77777777" w:rsidR="00DF410E" w:rsidRDefault="00CE7F43">
      <w:r>
        <w:t>1.2. QF </w:t>
      </w:r>
    </w:p>
    <w:p w14:paraId="208D1B23" w14:textId="77777777" w:rsidR="00DF410E" w:rsidRDefault="00CE7F43">
      <w:pPr>
        <w:pStyle w:val="pheading"/>
      </w:pPr>
      <w:r>
        <w:t>AIDE</w:t>
      </w:r>
    </w:p>
    <w:p w14:paraId="6056DC63" w14:textId="77777777" w:rsidR="00DF410E" w:rsidRDefault="00CE7F43">
      <w:pPr>
        <w:jc w:val="both"/>
      </w:pPr>
      <w:r>
        <w:t xml:space="preserve">Bien que les blocs soient hydrophobes, l’application d’une couche étanche à l’humidité ascensionnelle est nécessaire conformément au chapitre </w:t>
      </w:r>
      <w:hyperlink w:anchor="354" w:history="1">
        <w:r>
          <w:t>26.11 Feuilles et membranes d'étanchéité à l'eau</w:t>
        </w:r>
      </w:hyperlink>
      <w:r>
        <w:t>.</w:t>
      </w:r>
    </w:p>
    <w:p w14:paraId="7F51B786" w14:textId="77777777" w:rsidR="00DF410E" w:rsidRDefault="00CE7F43">
      <w:pPr>
        <w:pStyle w:val="Author-eSectionHeading6"/>
      </w:pPr>
      <w:bookmarkStart w:id="421" w:name="_Toc178837622"/>
      <w:r>
        <w:t>21.46.1b Blocs d'assise en blocs de béton pour nœuds constructifs CCTB 01.04</w:t>
      </w:r>
      <w:bookmarkEnd w:id="421"/>
    </w:p>
    <w:p w14:paraId="7CFA8FA7" w14:textId="77777777" w:rsidR="00DF410E" w:rsidRDefault="00CE7F43">
      <w:pPr>
        <w:pStyle w:val="Author-eSectionHeading6"/>
      </w:pPr>
      <w:bookmarkStart w:id="422" w:name="_Toc178837623"/>
      <w:r>
        <w:t>21.46.1c Blocs d'assise en blocs de terre cuite pour nœuds constructifs CCTB 01.04</w:t>
      </w:r>
      <w:bookmarkEnd w:id="422"/>
    </w:p>
    <w:p w14:paraId="3366032A" w14:textId="77777777" w:rsidR="00DF410E" w:rsidRDefault="00CE7F43">
      <w:pPr>
        <w:pStyle w:val="Author-eSectionHeading6"/>
      </w:pPr>
      <w:bookmarkStart w:id="423" w:name="_Toc178837624"/>
      <w:r>
        <w:t>21.46.1d Blocs d'assise en blocs de silico-calcaire pour nœuds constructifs CCTB 01.12</w:t>
      </w:r>
      <w:bookmarkEnd w:id="423"/>
    </w:p>
    <w:p w14:paraId="6B9421B8" w14:textId="77777777" w:rsidR="00DF410E" w:rsidRDefault="00CE7F43">
      <w:pPr>
        <w:pStyle w:val="pheading"/>
      </w:pPr>
      <w:r>
        <w:t>MATÉRIAUX</w:t>
      </w:r>
    </w:p>
    <w:p w14:paraId="2CDE8A47" w14:textId="77777777" w:rsidR="00DF410E" w:rsidRDefault="00CE7F43">
      <w:pPr>
        <w:pStyle w:val="pheading"/>
      </w:pPr>
      <w:r>
        <w:t>- Caractéristiques générales</w:t>
      </w:r>
    </w:p>
    <w:p w14:paraId="706B9823" w14:textId="77777777" w:rsidR="00DF410E" w:rsidRDefault="00CE7F43">
      <w:r>
        <w:rPr>
          <w:b/>
        </w:rPr>
        <w:t>Spécifications</w:t>
      </w:r>
    </w:p>
    <w:p w14:paraId="6AB86874" w14:textId="77777777" w:rsidR="00DF410E" w:rsidRDefault="00CE7F43">
      <w:r>
        <w:t>En ce qui concerne la déclaration de la résistance à la compression, les blocs sont de catégorie I (la résistance à la compression est déclarée avec une fiabilité de 95%).</w:t>
      </w:r>
    </w:p>
    <w:p w14:paraId="3F8C2027" w14:textId="77777777" w:rsidR="00DF410E" w:rsidRDefault="00CE7F43">
      <w:r>
        <w:t xml:space="preserve">Les blocs en silico-calcaire sont de classe d’usage :  </w:t>
      </w:r>
      <w:r>
        <w:rPr>
          <w:rStyle w:val="optioncarChar"/>
        </w:rPr>
        <w:t>D</w:t>
      </w:r>
    </w:p>
    <w:p w14:paraId="7DBA553A" w14:textId="77777777" w:rsidR="00DF410E" w:rsidRDefault="00CE7F43">
      <w:r>
        <w:t xml:space="preserve">La classe de qualité suivant [PTV 21-003] est :  </w:t>
      </w:r>
      <w:r>
        <w:rPr>
          <w:rStyle w:val="optioncarChar"/>
        </w:rPr>
        <w:t xml:space="preserve">20/1,2 </w:t>
      </w:r>
      <w:r>
        <w:t>(par défaut) </w:t>
      </w:r>
      <w:r>
        <w:rPr>
          <w:rStyle w:val="optioncarChar"/>
        </w:rPr>
        <w:t xml:space="preserve">/ *** </w:t>
      </w:r>
    </w:p>
    <w:p w14:paraId="706482D6" w14:textId="77777777" w:rsidR="00DF410E" w:rsidRDefault="00CE7F43">
      <w:r>
        <w:t xml:space="preserve">La résistance en compression normalisée (fb) suivant [NBN EN 1996 série] . ANB est au minimum: </w:t>
      </w:r>
      <w:r>
        <w:rPr>
          <w:rStyle w:val="optioncarChar"/>
        </w:rPr>
        <w:t xml:space="preserve">10 </w:t>
      </w:r>
      <w:r>
        <w:t>(par défaut) </w:t>
      </w:r>
      <w:r>
        <w:rPr>
          <w:rStyle w:val="optioncarChar"/>
        </w:rPr>
        <w:t>/ 15 / 20 / ***</w:t>
      </w:r>
      <w:r>
        <w:t xml:space="preserve"> N/mm² (MPa) (classe f </w:t>
      </w:r>
      <w:r>
        <w:rPr>
          <w:rStyle w:val="optioncarChar"/>
        </w:rPr>
        <w:t>***</w:t>
      </w:r>
      <w:r>
        <w:t>) (selon [NBN EN 771-2+A1]).</w:t>
      </w:r>
    </w:p>
    <w:p w14:paraId="5AFC33D1" w14:textId="77777777" w:rsidR="00DF410E" w:rsidRDefault="00CE7F43">
      <w:r>
        <w:t>Le groupe de configuration suivant [NBN EN 1996-1-1+A1 ANB] est:  </w:t>
      </w:r>
      <w:r>
        <w:rPr>
          <w:rStyle w:val="optioncarChar"/>
        </w:rPr>
        <w:t xml:space="preserve">1 </w:t>
      </w:r>
      <w:r>
        <w:t>(par défaut) </w:t>
      </w:r>
      <w:r>
        <w:rPr>
          <w:rStyle w:val="optioncarChar"/>
        </w:rPr>
        <w:t xml:space="preserve">/ *** </w:t>
      </w:r>
    </w:p>
    <w:p w14:paraId="185CBE4E" w14:textId="77777777" w:rsidR="00DF410E" w:rsidRDefault="00CE7F43">
      <w:r>
        <w:t xml:space="preserve">La masse volumique sèche apparente des blocs ρ (rho) est :   </w:t>
      </w:r>
      <w:r>
        <w:rPr>
          <w:rStyle w:val="optioncarChar"/>
        </w:rPr>
        <w:t>***</w:t>
      </w:r>
      <w:r>
        <w:t xml:space="preserve"> kg/m³ (blocs pleins), selon la [NBN EN 771-2+A1].</w:t>
      </w:r>
    </w:p>
    <w:p w14:paraId="38FD86F6" w14:textId="77777777" w:rsidR="00DF410E" w:rsidRDefault="00CE7F43">
      <w:r>
        <w:t>La conductibilité thermique λD  est compatible avec la valeur U prescrite pour la paroi.</w:t>
      </w:r>
    </w:p>
    <w:p w14:paraId="712F4FED" w14:textId="77777777" w:rsidR="00DF410E" w:rsidRDefault="00CE7F43">
      <w:r>
        <w:t>Boutisse : plate</w:t>
      </w:r>
    </w:p>
    <w:p w14:paraId="3F1A18A8" w14:textId="77777777" w:rsidR="00DF410E" w:rsidRDefault="00CE7F43">
      <w:r>
        <w:t>Face qui reste visible : lisse</w:t>
      </w:r>
    </w:p>
    <w:p w14:paraId="6730ABB0" w14:textId="77777777" w:rsidR="00DF410E" w:rsidRDefault="00CE7F43">
      <w:r>
        <w:t>Face à cimenter ou plafonner : lisse</w:t>
      </w:r>
    </w:p>
    <w:p w14:paraId="513763CA" w14:textId="77777777" w:rsidR="00DF410E" w:rsidRDefault="00CE7F43">
      <w:r>
        <w:t>Teinte : blanc</w:t>
      </w:r>
    </w:p>
    <w:p w14:paraId="54FC28F4" w14:textId="77777777" w:rsidR="00DF410E" w:rsidRDefault="00CE7F43">
      <w:r>
        <w:t>Format :          </w:t>
      </w:r>
    </w:p>
    <w:p w14:paraId="68BBFA0C" w14:textId="77777777" w:rsidR="00DF410E" w:rsidRDefault="00CE7F43">
      <w:r>
        <w:t xml:space="preserve">longueur : </w:t>
      </w:r>
      <w:r>
        <w:rPr>
          <w:rStyle w:val="optioncarChar"/>
        </w:rPr>
        <w:t>500 </w:t>
      </w:r>
      <w:r>
        <w:t>(par défaut)</w:t>
      </w:r>
      <w:r>
        <w:rPr>
          <w:rStyle w:val="optioncarChar"/>
        </w:rPr>
        <w:t xml:space="preserve"> / 300 / ***  mm / au choix de l'entrepreneur</w:t>
      </w:r>
    </w:p>
    <w:p w14:paraId="0E747D4C" w14:textId="77777777" w:rsidR="00DF410E" w:rsidRDefault="00CE7F43">
      <w:r>
        <w:t xml:space="preserve">hauteur : </w:t>
      </w:r>
      <w:r>
        <w:rPr>
          <w:rStyle w:val="optioncarChar"/>
        </w:rPr>
        <w:t>113 / 150 </w:t>
      </w:r>
      <w:r>
        <w:t xml:space="preserve">(par défaut) </w:t>
      </w:r>
      <w:r>
        <w:rPr>
          <w:rStyle w:val="optioncarChar"/>
        </w:rPr>
        <w:t>/ *** mm / au choix de l'entrepreneur</w:t>
      </w:r>
    </w:p>
    <w:p w14:paraId="25F78568" w14:textId="77777777" w:rsidR="00DF410E" w:rsidRDefault="00CE7F43">
      <w:r>
        <w:t xml:space="preserve">largeur : </w:t>
      </w:r>
      <w:r>
        <w:rPr>
          <w:rStyle w:val="optioncarChar"/>
        </w:rPr>
        <w:t>100 </w:t>
      </w:r>
      <w:r>
        <w:t>(par défaut)</w:t>
      </w:r>
      <w:r>
        <w:rPr>
          <w:rStyle w:val="optioncarChar"/>
        </w:rPr>
        <w:t xml:space="preserve"> / 150 / 175 / 214 / ***</w:t>
      </w:r>
      <w:r>
        <w:t xml:space="preserve"> mm</w:t>
      </w:r>
    </w:p>
    <w:p w14:paraId="23C5B47C" w14:textId="77777777" w:rsidR="00DF410E" w:rsidRDefault="00CE7F43">
      <w:r>
        <w:t>Stabilité de forme : les éléments en silico-calcaire destinés à un usage extérieur ou en maçonnerie souterraine  respectent le critère suivant en matière de comportement à l'humidité : retrait et gonflement hygrométriques ≤ 0.45 mm / m  (cf. [PTV 21-003] annexe E).</w:t>
      </w:r>
    </w:p>
    <w:p w14:paraId="72A9BA62" w14:textId="77777777" w:rsidR="00DF410E" w:rsidRDefault="00CE7F43">
      <w:r>
        <w:t xml:space="preserve">Réaction au feu : </w:t>
      </w:r>
      <w:r>
        <w:rPr>
          <w:rStyle w:val="optioncarChar"/>
        </w:rPr>
        <w:t>A1 </w:t>
      </w:r>
      <w:r>
        <w:t>(par défaut)</w:t>
      </w:r>
      <w:r>
        <w:rPr>
          <w:rStyle w:val="optioncarChar"/>
        </w:rPr>
        <w:t xml:space="preserve">  / ***</w:t>
      </w:r>
    </w:p>
    <w:p w14:paraId="74602A6C" w14:textId="77777777" w:rsidR="00DF410E" w:rsidRDefault="00CE7F43">
      <w:r>
        <w:rPr>
          <w:b/>
        </w:rPr>
        <w:t>Critères de performances de la paroi</w:t>
      </w:r>
    </w:p>
    <w:p w14:paraId="284875EF" w14:textId="77777777" w:rsidR="00DF410E" w:rsidRDefault="00CE7F43">
      <w:r>
        <w:t>Coefficient de transmission :</w:t>
      </w:r>
    </w:p>
    <w:p w14:paraId="7EE11FAC" w14:textId="77777777" w:rsidR="00DF410E" w:rsidRDefault="00CE7F43">
      <w:pPr>
        <w:pStyle w:val="Author-eListParagraph"/>
        <w:numPr>
          <w:ilvl w:val="0"/>
          <w:numId w:val="296"/>
        </w:numPr>
      </w:pPr>
      <w:r>
        <w:t xml:space="preserve">valeur U minimale de  </w:t>
      </w:r>
      <w:r>
        <w:rPr>
          <w:rStyle w:val="optioncarChar"/>
        </w:rPr>
        <w:t>***</w:t>
      </w:r>
      <w:r>
        <w:t xml:space="preserve"> W/m²K </w:t>
      </w:r>
    </w:p>
    <w:p w14:paraId="1D88FF20" w14:textId="77777777" w:rsidR="00DF410E" w:rsidRDefault="00CE7F43">
      <w:pPr>
        <w:pStyle w:val="Author-eListParagraph"/>
        <w:numPr>
          <w:ilvl w:val="0"/>
          <w:numId w:val="296"/>
        </w:numPr>
      </w:pPr>
      <w:r>
        <w:t xml:space="preserve">valeur λUi maximum </w:t>
      </w:r>
      <w:r>
        <w:rPr>
          <w:rStyle w:val="optioncarChar"/>
        </w:rPr>
        <w:t>0,33 </w:t>
      </w:r>
      <w:r>
        <w:t xml:space="preserve">(par défaut) </w:t>
      </w:r>
      <w:r>
        <w:rPr>
          <w:rStyle w:val="optioncarChar"/>
        </w:rPr>
        <w:t>/ 0,20 / ***</w:t>
      </w:r>
      <w:r>
        <w:t xml:space="preserve"> W/mK</w:t>
      </w:r>
    </w:p>
    <w:p w14:paraId="2BB028FF" w14:textId="77777777" w:rsidR="00DF410E" w:rsidRDefault="00CE7F43">
      <w:r>
        <w:t>Résistance au feu :</w:t>
      </w:r>
    </w:p>
    <w:p w14:paraId="20218539" w14:textId="77777777" w:rsidR="00DF410E" w:rsidRDefault="00CE7F43">
      <w:pPr>
        <w:pStyle w:val="Author-eListParagraph"/>
        <w:numPr>
          <w:ilvl w:val="0"/>
          <w:numId w:val="297"/>
        </w:numPr>
      </w:pPr>
      <w:r>
        <w:t xml:space="preserve">pour les éléments porteurs structuraux sans fonction séparante : </w:t>
      </w:r>
      <w:r>
        <w:rPr>
          <w:rStyle w:val="optioncarChar"/>
        </w:rPr>
        <w:t>R 15 / R 30 </w:t>
      </w:r>
      <w:r>
        <w:t>(par défaut)</w:t>
      </w:r>
      <w:r>
        <w:rPr>
          <w:rStyle w:val="optioncarChar"/>
        </w:rPr>
        <w:t xml:space="preserve"> / R 60/ R 120 / R ***</w:t>
      </w:r>
    </w:p>
    <w:p w14:paraId="4100933B" w14:textId="77777777" w:rsidR="00DF410E" w:rsidRDefault="00CE7F43">
      <w:pPr>
        <w:pStyle w:val="Author-eListParagraph"/>
        <w:numPr>
          <w:ilvl w:val="0"/>
          <w:numId w:val="297"/>
        </w:numPr>
      </w:pPr>
      <w:r>
        <w:t xml:space="preserve">pour les éléments porteurs structuraux avec fonction séparante : </w:t>
      </w:r>
      <w:r>
        <w:rPr>
          <w:rStyle w:val="optioncarChar"/>
        </w:rPr>
        <w:t>REI 30 </w:t>
      </w:r>
      <w:r>
        <w:t xml:space="preserve">(par défaut) </w:t>
      </w:r>
      <w:r>
        <w:rPr>
          <w:rStyle w:val="optioncarChar"/>
        </w:rPr>
        <w:t xml:space="preserve">/ REI 60/ REI 120 / REI *** </w:t>
      </w:r>
    </w:p>
    <w:p w14:paraId="4E1D08C3" w14:textId="77777777" w:rsidR="00DF410E" w:rsidRDefault="00CE7F43">
      <w:pPr>
        <w:pStyle w:val="Author-eListParagraph"/>
        <w:numPr>
          <w:ilvl w:val="0"/>
          <w:numId w:val="297"/>
        </w:numPr>
      </w:pPr>
      <w:r>
        <w:t xml:space="preserve">pour les éléments non porteurs avec fonction séparante : </w:t>
      </w:r>
      <w:r>
        <w:rPr>
          <w:rStyle w:val="optioncarChar"/>
        </w:rPr>
        <w:t>EI 30 </w:t>
      </w:r>
      <w:r>
        <w:t>(par défaut)</w:t>
      </w:r>
      <w:r>
        <w:rPr>
          <w:rStyle w:val="optioncarChar"/>
        </w:rPr>
        <w:t xml:space="preserve"> / EI 60/ EI 120 / EI *** </w:t>
      </w:r>
    </w:p>
    <w:p w14:paraId="4AE601DF" w14:textId="77777777" w:rsidR="00DF410E" w:rsidRDefault="00CE7F43">
      <w:r>
        <w:t>selon les tableaux dans [NBN EN 1996-1-2 ANB].</w:t>
      </w:r>
    </w:p>
    <w:p w14:paraId="74E2AA77" w14:textId="77777777" w:rsidR="00DF410E" w:rsidRDefault="00CE7F43">
      <w:pPr>
        <w:pStyle w:val="pheading"/>
      </w:pPr>
      <w:r>
        <w:t>- Prescriptions complémentaires</w:t>
      </w:r>
    </w:p>
    <w:p w14:paraId="36B28AFF" w14:textId="77777777" w:rsidR="00DF410E" w:rsidRDefault="00CE7F43">
      <w:r>
        <w:t>La mise en œuvre s'effectue selon les prescriptions du fabricant. Les murs qui se recoupent ne doivent pas être maçonnés en appareil, on peut faire usage de bandes de liaisons encollées qui donnent un résultat identique.</w:t>
      </w:r>
    </w:p>
    <w:p w14:paraId="7A8B2489" w14:textId="77777777" w:rsidR="00DF410E" w:rsidRDefault="00CE7F43">
      <w:pPr>
        <w:pStyle w:val="pheading"/>
      </w:pPr>
      <w:r>
        <w:t>MESURAGE</w:t>
      </w:r>
    </w:p>
    <w:p w14:paraId="47059C0C" w14:textId="77777777" w:rsidR="00DF410E" w:rsidRDefault="00CE7F43">
      <w:pPr>
        <w:pStyle w:val="pheading"/>
      </w:pPr>
      <w:r>
        <w:t>- unité de mesure:</w:t>
      </w:r>
    </w:p>
    <w:p w14:paraId="3D405100" w14:textId="77777777" w:rsidR="00DF410E" w:rsidRDefault="00CE7F43">
      <w:r>
        <w:rPr>
          <w:rStyle w:val="optioncarChar"/>
        </w:rPr>
        <w:t>m³ </w:t>
      </w:r>
      <w:r>
        <w:t>(par défaut)</w:t>
      </w:r>
      <w:r>
        <w:rPr>
          <w:rStyle w:val="optioncarChar"/>
        </w:rPr>
        <w:t> / m</w:t>
      </w:r>
    </w:p>
    <w:p w14:paraId="67704244" w14:textId="77777777" w:rsidR="00DF410E" w:rsidRDefault="00CE7F43">
      <w:r>
        <w:rPr>
          <w:b/>
        </w:rPr>
        <w:t>(soit par défaut)</w:t>
      </w:r>
    </w:p>
    <w:p w14:paraId="58AB1FAA" w14:textId="77777777" w:rsidR="00DF410E" w:rsidRDefault="00CE7F43">
      <w:r>
        <w:rPr>
          <w:rStyle w:val="soitChar"/>
        </w:rPr>
        <w:t>1. m³</w:t>
      </w:r>
    </w:p>
    <w:p w14:paraId="37EAAB5A" w14:textId="77777777" w:rsidR="00DF410E" w:rsidRDefault="00CE7F43">
      <w:r>
        <w:rPr>
          <w:b/>
        </w:rPr>
        <w:t>(soit)</w:t>
      </w:r>
    </w:p>
    <w:p w14:paraId="40BC796E" w14:textId="77777777" w:rsidR="00DF410E" w:rsidRDefault="00CE7F43">
      <w:r>
        <w:rPr>
          <w:rStyle w:val="soitChar"/>
        </w:rPr>
        <w:t>2. m</w:t>
      </w:r>
    </w:p>
    <w:p w14:paraId="198B53B8" w14:textId="77777777" w:rsidR="00DF410E" w:rsidRDefault="00CE7F43">
      <w:pPr>
        <w:pStyle w:val="pheading"/>
      </w:pPr>
      <w:r>
        <w:t>- code de mesurage:</w:t>
      </w:r>
    </w:p>
    <w:p w14:paraId="11177CC2" w14:textId="77777777" w:rsidR="00DF410E" w:rsidRDefault="00CE7F43">
      <w:r>
        <w:t>Les maçonneries sont mesurées en fonction de leur forme géométrique.</w:t>
      </w:r>
    </w:p>
    <w:p w14:paraId="4D19D9D2" w14:textId="77777777" w:rsidR="00DF410E" w:rsidRDefault="00CE7F43">
      <w:r>
        <w:t>La longueur des murs est mesurée dans l'axe de l'élément; lorsque deux murs se croisent ou se rencontrent, le mur le plus épais est compté. Aucun volume n'est porté deux fois en compte.</w:t>
      </w:r>
    </w:p>
    <w:p w14:paraId="73C621BB" w14:textId="77777777" w:rsidR="00DF410E" w:rsidRDefault="00CE7F43">
      <w:r>
        <w:t>Le creux du mur n'est jamais compté.</w:t>
      </w:r>
    </w:p>
    <w:p w14:paraId="1308F7FA" w14:textId="77777777" w:rsidR="00DF410E" w:rsidRDefault="00CE7F43">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87" w:history="1">
        <w:r>
          <w:t>22 Superstructures en béton</w:t>
        </w:r>
      </w:hyperlink>
      <w:r>
        <w:t> ou le </w:t>
      </w:r>
      <w:hyperlink w:anchor="347" w:history="1">
        <w:r>
          <w:t>23 Superstructures métalliques</w:t>
        </w:r>
      </w:hyperlink>
      <w:r>
        <w:t>).</w:t>
      </w:r>
    </w:p>
    <w:p w14:paraId="5A1DDACE" w14:textId="77777777" w:rsidR="00DF410E" w:rsidRDefault="00CE7F43">
      <w:r>
        <w:t xml:space="preserve">L'appui des dalles de sol sur le mur porteur de contre-façade n'est pas déduit mais est compté comme ouvrage de maçonnerie; par contre, les murs intérieurs porteurs sont mesurés entre les planchers (voir chapitre </w:t>
      </w:r>
      <w:hyperlink w:anchor="88" w:history="1">
        <w:r>
          <w:t>22.15 Planchers en béton</w:t>
        </w:r>
      </w:hyperlink>
      <w:r>
        <w:t>)</w:t>
      </w:r>
    </w:p>
    <w:p w14:paraId="465FF863" w14:textId="77777777" w:rsidR="00DF410E" w:rsidRDefault="00CE7F43">
      <w:r>
        <w:t>La maçonnerie autour des conduits de fumée et de ventilation est mesurée comme un mur plein pour les fourreaux jusqu'à une section de 0,12 m2 .</w:t>
      </w:r>
    </w:p>
    <w:p w14:paraId="6AC8C8DA" w14:textId="77777777" w:rsidR="00DF410E" w:rsidRDefault="00CE7F43">
      <w:pPr>
        <w:pStyle w:val="pheading"/>
      </w:pPr>
      <w:r>
        <w:t>- nature du marché:</w:t>
      </w:r>
    </w:p>
    <w:p w14:paraId="33CE39B3" w14:textId="77777777" w:rsidR="00DF410E" w:rsidRDefault="00CE7F43">
      <w:r>
        <w:rPr>
          <w:rStyle w:val="optioncarChar"/>
        </w:rPr>
        <w:t>QF</w:t>
      </w:r>
      <w:r>
        <w:t xml:space="preserve"> (par défaut)</w:t>
      </w:r>
      <w:r>
        <w:rPr>
          <w:rStyle w:val="optioncarChar"/>
        </w:rPr>
        <w:t xml:space="preserve"> / QP</w:t>
      </w:r>
    </w:p>
    <w:p w14:paraId="09884E17" w14:textId="77777777" w:rsidR="00DF410E" w:rsidRDefault="00CE7F43">
      <w:pPr>
        <w:pStyle w:val="Author-eSectionHeading5"/>
      </w:pPr>
      <w:bookmarkStart w:id="424" w:name="_Toc178837625"/>
      <w:r>
        <w:t>21.46.2 Eléments d'assise particuliers pour nœuds constructifs CCTB 01.10</w:t>
      </w:r>
      <w:bookmarkEnd w:id="424"/>
    </w:p>
    <w:p w14:paraId="4D287576" w14:textId="77777777" w:rsidR="00DF410E" w:rsidRDefault="00CE7F43">
      <w:pPr>
        <w:pStyle w:val="Author-eSectionHeading6"/>
      </w:pPr>
      <w:bookmarkStart w:id="425" w:name="_Toc178837626"/>
      <w:r>
        <w:t>21.46.2a Eléments d'assise en verre cellulaire pour nœuds constructifs CCTB 01.04</w:t>
      </w:r>
      <w:bookmarkEnd w:id="425"/>
    </w:p>
    <w:p w14:paraId="242F170C" w14:textId="77777777" w:rsidR="00DF410E" w:rsidRDefault="00CE7F43">
      <w:pPr>
        <w:pStyle w:val="Author-eSectionHeading6"/>
      </w:pPr>
      <w:bookmarkStart w:id="426" w:name="_Toc178837627"/>
      <w:r>
        <w:t>21.46.2b Eléments d'assise composés pour nœuds constructifs CCTB 01.04</w:t>
      </w:r>
      <w:bookmarkEnd w:id="426"/>
    </w:p>
    <w:p w14:paraId="3D93DF68" w14:textId="77777777" w:rsidR="00DF410E" w:rsidRDefault="00CE7F43">
      <w:pPr>
        <w:pStyle w:val="Author-eSectionHeading3"/>
      </w:pPr>
      <w:bookmarkStart w:id="427" w:name="_Toc178837628"/>
      <w:r>
        <w:t>21.5 Murs poids CCTB 01.02</w:t>
      </w:r>
      <w:bookmarkEnd w:id="427"/>
    </w:p>
    <w:p w14:paraId="6CEE6D86" w14:textId="77777777" w:rsidR="00DF410E" w:rsidRDefault="00CE7F43">
      <w:pPr>
        <w:pStyle w:val="Author-eSectionHeading4"/>
      </w:pPr>
      <w:bookmarkStart w:id="428" w:name="471"/>
      <w:bookmarkStart w:id="429" w:name="_Toc178837629"/>
      <w:bookmarkEnd w:id="428"/>
      <w:r>
        <w:t>21.51 Murs poids en maçonneries portantes en blocs CCTB 01.02</w:t>
      </w:r>
      <w:bookmarkEnd w:id="429"/>
    </w:p>
    <w:p w14:paraId="11EC983B" w14:textId="77777777" w:rsidR="00DF410E" w:rsidRDefault="00CE7F43">
      <w:pPr>
        <w:pStyle w:val="Author-eSectionHeading5"/>
      </w:pPr>
      <w:bookmarkStart w:id="430" w:name="1361"/>
      <w:bookmarkStart w:id="431" w:name="_Toc178837630"/>
      <w:bookmarkEnd w:id="430"/>
      <w:r>
        <w:t>21.51.1 Murs poids en maçonneries portantes en blocs de béton CCTB 01.04</w:t>
      </w:r>
      <w:bookmarkEnd w:id="431"/>
    </w:p>
    <w:p w14:paraId="3C98CE4D" w14:textId="77777777" w:rsidR="00DF410E" w:rsidRDefault="00CE7F43">
      <w:pPr>
        <w:pStyle w:val="Author-eSectionHeading6"/>
      </w:pPr>
      <w:bookmarkStart w:id="432" w:name="_Toc178837631"/>
      <w:r>
        <w:t>21.51.1a Murs poids en maçonneries portantes en blocs de béton pleins CCTB 01.04</w:t>
      </w:r>
      <w:bookmarkEnd w:id="432"/>
    </w:p>
    <w:p w14:paraId="4D2F22A9" w14:textId="77777777" w:rsidR="00DF410E" w:rsidRDefault="00CE7F43">
      <w:pPr>
        <w:pStyle w:val="Author-eSectionHeading5"/>
      </w:pPr>
      <w:bookmarkStart w:id="433" w:name="_Toc178837632"/>
      <w:r>
        <w:t>21.51.2 Murs poids en maçonneries portantes en blocs de coffrage CCTB 01.04</w:t>
      </w:r>
      <w:bookmarkEnd w:id="433"/>
    </w:p>
    <w:p w14:paraId="24517A33" w14:textId="77777777" w:rsidR="00DF410E" w:rsidRDefault="00CE7F43">
      <w:pPr>
        <w:pStyle w:val="Author-eSectionHeading6"/>
      </w:pPr>
      <w:bookmarkStart w:id="434" w:name="_Toc178837633"/>
      <w:r>
        <w:t>21.51.2a Murs poids en maçonneries portantes en blocs de coffrage CCTB 01.04</w:t>
      </w:r>
      <w:bookmarkEnd w:id="434"/>
    </w:p>
    <w:p w14:paraId="64C9B0F8" w14:textId="77777777" w:rsidR="00DF410E" w:rsidRDefault="00CE7F43">
      <w:pPr>
        <w:pStyle w:val="Author-eSectionHeading4"/>
      </w:pPr>
      <w:bookmarkStart w:id="435" w:name="_Toc178837634"/>
      <w:r>
        <w:t>21.52 Murs poids en maçonneries portantes en enrochement CCTB 01.02</w:t>
      </w:r>
      <w:bookmarkEnd w:id="435"/>
    </w:p>
    <w:p w14:paraId="28970E02" w14:textId="77777777" w:rsidR="00DF410E" w:rsidRDefault="00CE7F43">
      <w:pPr>
        <w:pStyle w:val="Author-eSectionHeading5"/>
      </w:pPr>
      <w:bookmarkStart w:id="436" w:name="1373"/>
      <w:bookmarkStart w:id="437" w:name="_Toc178837635"/>
      <w:bookmarkEnd w:id="436"/>
      <w:r>
        <w:t>21.52.1 Murs poids en maçonneries portantes en gabions CCTB 01.04</w:t>
      </w:r>
      <w:bookmarkEnd w:id="437"/>
    </w:p>
    <w:p w14:paraId="46013C7E" w14:textId="77777777" w:rsidR="00DF410E" w:rsidRDefault="00CE7F43">
      <w:pPr>
        <w:pStyle w:val="Author-eSectionHeading6"/>
      </w:pPr>
      <w:bookmarkStart w:id="438" w:name="_Toc178837636"/>
      <w:r>
        <w:t>21.52.1a Murs poids en maçonneries portantes en gabions CCTB 01.04</w:t>
      </w:r>
      <w:bookmarkEnd w:id="438"/>
    </w:p>
    <w:p w14:paraId="387A787A" w14:textId="77777777" w:rsidR="00DF410E" w:rsidRDefault="00CE7F43">
      <w:pPr>
        <w:pStyle w:val="Author-eSectionHeading5"/>
      </w:pPr>
      <w:bookmarkStart w:id="439" w:name="_Toc178837637"/>
      <w:r>
        <w:t>21.52.2 Murs poids en maçonneries portantes en moellons de pierre bleue CCTB 01.04</w:t>
      </w:r>
      <w:bookmarkEnd w:id="439"/>
    </w:p>
    <w:p w14:paraId="4D6CBDD5" w14:textId="77777777" w:rsidR="00DF410E" w:rsidRDefault="00CE7F43">
      <w:pPr>
        <w:pStyle w:val="Author-eSectionHeading6"/>
      </w:pPr>
      <w:bookmarkStart w:id="440" w:name="_Toc178837638"/>
      <w:r>
        <w:t>21.52.2a Murs poids en maçonneries portantes en petit granit - pierre bleue CCTB 01.04</w:t>
      </w:r>
      <w:bookmarkEnd w:id="440"/>
    </w:p>
    <w:p w14:paraId="5FBB623A" w14:textId="77777777" w:rsidR="00DF410E" w:rsidRDefault="00CE7F43">
      <w:pPr>
        <w:pStyle w:val="Author-eSectionHeading6"/>
      </w:pPr>
      <w:bookmarkStart w:id="441" w:name="_Toc178837639"/>
      <w:r>
        <w:t>21.52.2b Murs poids en maçonneries portantes en pierre calcaire CCTB 01.04</w:t>
      </w:r>
      <w:bookmarkEnd w:id="441"/>
    </w:p>
    <w:p w14:paraId="32B440B5" w14:textId="77777777" w:rsidR="00DF410E" w:rsidRDefault="00CE7F43">
      <w:pPr>
        <w:pStyle w:val="Author-eSectionHeading5"/>
      </w:pPr>
      <w:bookmarkStart w:id="442" w:name="_Toc178837640"/>
      <w:r>
        <w:t>21.52.3 Murs poids en maçonneries portantes en moellons de pierre calcaire CCTB 01.04</w:t>
      </w:r>
      <w:bookmarkEnd w:id="442"/>
    </w:p>
    <w:p w14:paraId="48234056" w14:textId="77777777" w:rsidR="00DF410E" w:rsidRDefault="00CE7F43">
      <w:pPr>
        <w:pStyle w:val="Author-eSectionHeading6"/>
      </w:pPr>
      <w:bookmarkStart w:id="443" w:name="_Toc178837641"/>
      <w:r>
        <w:t>21.52.3a Murs poids en maçonneries portantes en moellons de pierre bleue CCTB 01.04</w:t>
      </w:r>
      <w:bookmarkEnd w:id="443"/>
    </w:p>
    <w:p w14:paraId="0B680241" w14:textId="77777777" w:rsidR="00DF410E" w:rsidRDefault="00CE7F43">
      <w:pPr>
        <w:pStyle w:val="Author-eSectionHeading6"/>
      </w:pPr>
      <w:bookmarkStart w:id="444" w:name="_Toc178837642"/>
      <w:r>
        <w:t>21.52.3b Murs poids en maçonneries portantes en moellons de pierre blanche CCTB 01.04</w:t>
      </w:r>
      <w:bookmarkEnd w:id="444"/>
    </w:p>
    <w:p w14:paraId="302B3761" w14:textId="77777777" w:rsidR="00DF410E" w:rsidRDefault="00CE7F43">
      <w:pPr>
        <w:pStyle w:val="Author-eSectionHeading6"/>
      </w:pPr>
      <w:bookmarkStart w:id="445" w:name="_Toc178837643"/>
      <w:r>
        <w:t>21.52.3c Murs poids en maçonneries portantes en moellons de marbre CCTB 01.04</w:t>
      </w:r>
      <w:bookmarkEnd w:id="445"/>
    </w:p>
    <w:p w14:paraId="04F84DD2" w14:textId="77777777" w:rsidR="00DF410E" w:rsidRDefault="00CE7F43">
      <w:pPr>
        <w:pStyle w:val="Author-eSectionHeading5"/>
      </w:pPr>
      <w:bookmarkStart w:id="446" w:name="_Toc178837644"/>
      <w:r>
        <w:t>21.52.4 Murs poids en maçonneries portantes en moellons de pierres siliceuses CCTB 01.04</w:t>
      </w:r>
      <w:bookmarkEnd w:id="446"/>
    </w:p>
    <w:p w14:paraId="44CE3300" w14:textId="77777777" w:rsidR="00DF410E" w:rsidRDefault="00CE7F43">
      <w:pPr>
        <w:pStyle w:val="Author-eSectionHeading6"/>
      </w:pPr>
      <w:bookmarkStart w:id="447" w:name="_Toc178837645"/>
      <w:r>
        <w:t>21.52.4a Murs poids en maçonneries portantes en moellons d'arkose CCTB 01.04</w:t>
      </w:r>
      <w:bookmarkEnd w:id="447"/>
    </w:p>
    <w:p w14:paraId="35876C4E" w14:textId="77777777" w:rsidR="00DF410E" w:rsidRDefault="00CE7F43">
      <w:pPr>
        <w:pStyle w:val="Author-eSectionHeading6"/>
      </w:pPr>
      <w:bookmarkStart w:id="448" w:name="_Toc178837646"/>
      <w:r>
        <w:t>21.52.4b Murs poids en maçonneries portantes en moellons de schiste CCTB 01.04</w:t>
      </w:r>
      <w:bookmarkEnd w:id="448"/>
    </w:p>
    <w:p w14:paraId="2752B5FE" w14:textId="77777777" w:rsidR="00DF410E" w:rsidRDefault="00CE7F43">
      <w:pPr>
        <w:pStyle w:val="Author-eSectionHeading6"/>
      </w:pPr>
      <w:bookmarkStart w:id="449" w:name="_Toc178837647"/>
      <w:r>
        <w:t>21.52.4c Murs poids en maçonneries portantes en moellons de grès CCTB 01.04</w:t>
      </w:r>
      <w:bookmarkEnd w:id="449"/>
    </w:p>
    <w:p w14:paraId="2B1C99F5" w14:textId="77777777" w:rsidR="00DF410E" w:rsidRDefault="00CE7F43">
      <w:pPr>
        <w:pStyle w:val="Author-eSectionHeading6"/>
      </w:pPr>
      <w:bookmarkStart w:id="450" w:name="_Toc178837648"/>
      <w:r>
        <w:t>21.52.4d Murs poids en maçonneries portantes en moellons de quartzite CCTB 01.04</w:t>
      </w:r>
      <w:bookmarkEnd w:id="450"/>
    </w:p>
    <w:p w14:paraId="034B06D4" w14:textId="77777777" w:rsidR="00DF410E" w:rsidRDefault="00CE7F43">
      <w:pPr>
        <w:pStyle w:val="Author-eSectionHeading6"/>
      </w:pPr>
      <w:bookmarkStart w:id="451" w:name="_Toc178837649"/>
      <w:r>
        <w:t>21.52.4e Murs poids en maçonneries portantes en moellons de silex CCTB 01.04</w:t>
      </w:r>
      <w:bookmarkEnd w:id="451"/>
    </w:p>
    <w:p w14:paraId="705196AE" w14:textId="77777777" w:rsidR="00DF410E" w:rsidRDefault="00CE7F43">
      <w:pPr>
        <w:pStyle w:val="Author-eSectionHeading5"/>
      </w:pPr>
      <w:bookmarkStart w:id="452" w:name="_Toc178837650"/>
      <w:r>
        <w:t>21.52.5 Murs poids en maçonneries portantes en pierres de grandes dimensions CCTB 01.04</w:t>
      </w:r>
      <w:bookmarkEnd w:id="452"/>
    </w:p>
    <w:p w14:paraId="050E7CBD" w14:textId="77777777" w:rsidR="00DF410E" w:rsidRDefault="00CE7F43">
      <w:pPr>
        <w:pStyle w:val="Author-eSectionHeading6"/>
      </w:pPr>
      <w:bookmarkStart w:id="453" w:name="_Toc178837651"/>
      <w:r>
        <w:t>21.52.5a Murs poids en maçonneries portantes en pierres de grandes dimensions CCTB 01.04</w:t>
      </w:r>
      <w:bookmarkEnd w:id="453"/>
    </w:p>
    <w:p w14:paraId="17D41BE1" w14:textId="77777777" w:rsidR="00DF410E" w:rsidRDefault="00CE7F43">
      <w:pPr>
        <w:pStyle w:val="Author-eSectionHeading3"/>
      </w:pPr>
      <w:bookmarkStart w:id="454" w:name="_Toc178837652"/>
      <w:r>
        <w:t>21.6 Réalisation de joints CCTB 01.04</w:t>
      </w:r>
      <w:bookmarkEnd w:id="454"/>
    </w:p>
    <w:p w14:paraId="3F3E4993" w14:textId="77777777" w:rsidR="00DF410E" w:rsidRDefault="00CE7F43">
      <w:pPr>
        <w:pStyle w:val="Author-eSectionHeading4"/>
      </w:pPr>
      <w:bookmarkStart w:id="455" w:name="393"/>
      <w:bookmarkStart w:id="456" w:name="_Toc178837653"/>
      <w:bookmarkEnd w:id="455"/>
      <w:r>
        <w:t>21.61 Rejointoyage CCTB 01.02</w:t>
      </w:r>
      <w:bookmarkEnd w:id="456"/>
    </w:p>
    <w:p w14:paraId="53996724" w14:textId="77777777" w:rsidR="00DF410E" w:rsidRDefault="00CE7F43">
      <w:pPr>
        <w:pStyle w:val="Author-eSectionHeading5"/>
      </w:pPr>
      <w:bookmarkStart w:id="457" w:name="345"/>
      <w:bookmarkStart w:id="458" w:name="_Toc178837654"/>
      <w:bookmarkEnd w:id="457"/>
      <w:r>
        <w:t>21.61.1 Rejointoyage CCTB 01.02</w:t>
      </w:r>
      <w:bookmarkEnd w:id="458"/>
    </w:p>
    <w:p w14:paraId="3F16A8A5" w14:textId="77777777" w:rsidR="00DF410E" w:rsidRDefault="00CE7F43">
      <w:pPr>
        <w:pStyle w:val="Author-eSectionHeading6"/>
      </w:pPr>
      <w:bookmarkStart w:id="459" w:name="378"/>
      <w:bookmarkStart w:id="460" w:name="_Toc178837655"/>
      <w:bookmarkEnd w:id="459"/>
      <w:r>
        <w:t>21.61.1a Rejointoyage CCTB 01.02</w:t>
      </w:r>
      <w:bookmarkEnd w:id="460"/>
    </w:p>
    <w:p w14:paraId="6350903D" w14:textId="77777777" w:rsidR="00DF410E" w:rsidRDefault="00CE7F43">
      <w:pPr>
        <w:pStyle w:val="Author-eSectionHeading6"/>
      </w:pPr>
      <w:bookmarkStart w:id="461" w:name="704"/>
      <w:bookmarkStart w:id="462" w:name="_Toc178837656"/>
      <w:bookmarkEnd w:id="461"/>
      <w:r>
        <w:t>21.61.1b Joints de maçonnerie apparente CCTB 01.11</w:t>
      </w:r>
      <w:bookmarkEnd w:id="462"/>
    </w:p>
    <w:p w14:paraId="24BA6D3F" w14:textId="77777777" w:rsidR="00DF410E" w:rsidRDefault="00CE7F43">
      <w:pPr>
        <w:pStyle w:val="pheading"/>
      </w:pPr>
      <w:bookmarkStart w:id="463" w:name="344"/>
      <w:bookmarkEnd w:id="463"/>
      <w:r>
        <w:t>EXÉCUTION / MISE EN ŒUVRE</w:t>
      </w:r>
    </w:p>
    <w:p w14:paraId="1EFDD1BF" w14:textId="77777777" w:rsidR="00DF410E" w:rsidRDefault="00CE7F43">
      <w:pPr>
        <w:pStyle w:val="pheading"/>
      </w:pPr>
      <w:r>
        <w:t>- Prescriptions générales</w:t>
      </w:r>
    </w:p>
    <w:p w14:paraId="0A644749" w14:textId="77777777" w:rsidR="00DF410E" w:rsidRDefault="00CE7F43">
      <w:pPr>
        <w:spacing w:line="259" w:lineRule="auto"/>
      </w:pPr>
      <w:r>
        <w:rPr>
          <w:rStyle w:val="normalChar"/>
        </w:rPr>
        <w:t>Les travaux de jointoiement a posteriori sont exécutés conformément à la [NIT 208].</w:t>
      </w:r>
    </w:p>
    <w:p w14:paraId="440F6627" w14:textId="77777777" w:rsidR="00DF410E" w:rsidRDefault="00CE7F43">
      <w:pPr>
        <w:spacing w:line="259" w:lineRule="auto"/>
      </w:pPr>
      <w:r>
        <w:rPr>
          <w:rStyle w:val="normalChar"/>
        </w:rPr>
        <w:t>Il est interdit d'effectuer les travaux de jointoiement par temps de pluie. Par temps sec, le jointoiement doit être dûment protégé contre la dessiccation précoce.</w:t>
      </w:r>
    </w:p>
    <w:p w14:paraId="1DCECD92" w14:textId="77777777" w:rsidR="00DF410E" w:rsidRDefault="00CE7F43">
      <w:pPr>
        <w:spacing w:line="259" w:lineRule="auto"/>
      </w:pPr>
      <w:r>
        <w:rPr>
          <w:rStyle w:val="normalChar"/>
        </w:rPr>
        <w:t xml:space="preserve">L'entrepreneur soumet à l’approbation du maître de l’ouvrage 3 à 5 échantillons de 0,25 m². </w:t>
      </w:r>
    </w:p>
    <w:p w14:paraId="21B126FE" w14:textId="77777777" w:rsidR="00DF410E" w:rsidRDefault="00CE7F43">
      <w:pPr>
        <w:spacing w:line="259" w:lineRule="auto"/>
      </w:pPr>
      <w:r>
        <w:rPr>
          <w:rStyle w:val="normalChar"/>
        </w:rPr>
        <w:t>Les joints sont d'abord évidés sur une profondeur d'environ 10 à 15 mm en fonction de la largeur du joint et de l’épaisseur de l’élément de maçonnerie. La maçonnerie est brossée afin d'enlever tous les restes de mortier non adhérents.</w:t>
      </w:r>
    </w:p>
    <w:p w14:paraId="2431A6A8" w14:textId="77777777" w:rsidR="00DF410E" w:rsidRDefault="00CE7F43">
      <w:pPr>
        <w:spacing w:line="259" w:lineRule="auto"/>
      </w:pPr>
      <w:r>
        <w:rPr>
          <w:rStyle w:val="normalChar"/>
        </w:rPr>
        <w:t>Le mur à rejointoyer est d'abord nettoyé à l'eau claire, l'humidité favorisant en outre l'adhérence du mortier de jointoiement. Les souillures de mortier sont nettoyées à l'aide d'une solution adaptée.</w:t>
      </w:r>
    </w:p>
    <w:p w14:paraId="1FD34058" w14:textId="77777777" w:rsidR="00DF410E" w:rsidRDefault="00CE7F43">
      <w:pPr>
        <w:pStyle w:val="pheading"/>
      </w:pPr>
      <w:r>
        <w:t>MESURAGE</w:t>
      </w:r>
    </w:p>
    <w:p w14:paraId="0658241F" w14:textId="77777777" w:rsidR="00DF410E" w:rsidRDefault="00CE7F43">
      <w:pPr>
        <w:pStyle w:val="pheading"/>
      </w:pPr>
      <w:r>
        <w:t>- unité de mesure:</w:t>
      </w:r>
    </w:p>
    <w:p w14:paraId="7E6E7CEB" w14:textId="77777777" w:rsidR="00DF410E" w:rsidRDefault="00CE7F43">
      <w:r>
        <w:t>m²</w:t>
      </w:r>
    </w:p>
    <w:p w14:paraId="6FBB4465" w14:textId="77777777" w:rsidR="00DF410E" w:rsidRDefault="00CE7F43">
      <w:pPr>
        <w:pStyle w:val="pheading"/>
      </w:pPr>
      <w:r>
        <w:t>- code de mesurage:</w:t>
      </w:r>
    </w:p>
    <w:p w14:paraId="7E3BCECC" w14:textId="77777777" w:rsidR="00DF410E" w:rsidRDefault="00CE7F43">
      <w:pPr>
        <w:spacing w:before="0" w:after="0"/>
        <w:ind w:left="454"/>
      </w:pPr>
      <w:r>
        <w:rPr>
          <w:rStyle w:val="normalChar"/>
        </w:rPr>
        <w:t>Les travaux de jointoiement sont mesurés en</w:t>
      </w:r>
      <w:r>
        <w:rPr>
          <w:rStyle w:val="optioncarChar"/>
          <w:color w:val="000000"/>
        </w:rPr>
        <w:t> surface nette</w:t>
      </w:r>
      <w:r>
        <w:rPr>
          <w:rStyle w:val="normalChar"/>
        </w:rPr>
        <w:t>.</w:t>
      </w:r>
    </w:p>
    <w:p w14:paraId="57796EE7" w14:textId="77777777" w:rsidR="00DF410E" w:rsidRDefault="00CE7F43">
      <w:pPr>
        <w:spacing w:before="0" w:after="0"/>
        <w:ind w:left="454"/>
      </w:pPr>
      <w:r>
        <w:t>Les ébrasements des ouvertures et des baies de fenêtres ainsi que la face inférieure des linteaux ne sont comptés (en surface nette) que lorsque leur largeur est supérieure à celle des briques de façade.</w:t>
      </w:r>
    </w:p>
    <w:p w14:paraId="68A08B6D" w14:textId="77777777" w:rsidR="00DF410E" w:rsidRDefault="00CE7F43">
      <w:pPr>
        <w:pStyle w:val="pheading"/>
      </w:pPr>
      <w:r>
        <w:t>- nature du marché:</w:t>
      </w:r>
    </w:p>
    <w:p w14:paraId="7211C9EF" w14:textId="77777777" w:rsidR="00DF410E" w:rsidRDefault="00CE7F43">
      <w:r>
        <w:rPr>
          <w:rStyle w:val="optioncarChar"/>
        </w:rPr>
        <w:t>QF</w:t>
      </w:r>
      <w:r>
        <w:t xml:space="preserve"> (par défaut)</w:t>
      </w:r>
      <w:r>
        <w:rPr>
          <w:rStyle w:val="optioncarChar"/>
        </w:rPr>
        <w:t xml:space="preserve"> / QP</w:t>
      </w:r>
    </w:p>
    <w:p w14:paraId="2F7CC0E6" w14:textId="77777777" w:rsidR="00DF410E" w:rsidRDefault="00CE7F43">
      <w:pPr>
        <w:pStyle w:val="Author-eSectionHeading4"/>
      </w:pPr>
      <w:bookmarkStart w:id="464" w:name="_Toc178837657"/>
      <w:r>
        <w:t>21.62 Joints structuraux CCTB 01.04</w:t>
      </w:r>
      <w:bookmarkEnd w:id="464"/>
    </w:p>
    <w:p w14:paraId="600100C2" w14:textId="77777777" w:rsidR="00DF410E" w:rsidRDefault="00CE7F43">
      <w:pPr>
        <w:pStyle w:val="Author-eSectionHeading5"/>
      </w:pPr>
      <w:bookmarkStart w:id="465" w:name="_Toc178837658"/>
      <w:r>
        <w:t>21.62.1 Joints de dilatation CCTB 01.04</w:t>
      </w:r>
      <w:bookmarkEnd w:id="465"/>
    </w:p>
    <w:p w14:paraId="2186FE13" w14:textId="77777777" w:rsidR="00DF410E" w:rsidRDefault="00CE7F43">
      <w:pPr>
        <w:pStyle w:val="Author-eSectionHeading6"/>
      </w:pPr>
      <w:bookmarkStart w:id="466" w:name="_Toc178837659"/>
      <w:r>
        <w:t>21.62.1a Joints de dilatation CCTB 01.02</w:t>
      </w:r>
      <w:bookmarkEnd w:id="466"/>
    </w:p>
    <w:p w14:paraId="52CDF272" w14:textId="77777777" w:rsidR="00DF410E" w:rsidRDefault="00CE7F43">
      <w:pPr>
        <w:pStyle w:val="Author-eSectionHeading4"/>
      </w:pPr>
      <w:bookmarkStart w:id="467" w:name="_Toc178837660"/>
      <w:r>
        <w:t>21.63 Joints de retrait CCTB 01.04</w:t>
      </w:r>
      <w:bookmarkEnd w:id="467"/>
    </w:p>
    <w:p w14:paraId="41DAED8F" w14:textId="77777777" w:rsidR="00DF410E" w:rsidRDefault="00CE7F43">
      <w:pPr>
        <w:pStyle w:val="Author-eSectionHeading5"/>
      </w:pPr>
      <w:bookmarkStart w:id="468" w:name="_Toc178837661"/>
      <w:r>
        <w:t>21.63.1 Joints de retrait CCTB 01.04</w:t>
      </w:r>
      <w:bookmarkEnd w:id="468"/>
    </w:p>
    <w:p w14:paraId="06D8613E" w14:textId="77777777" w:rsidR="00DF410E" w:rsidRDefault="00CE7F43">
      <w:pPr>
        <w:pStyle w:val="Author-eSectionHeading6"/>
      </w:pPr>
      <w:bookmarkStart w:id="469" w:name="_Toc178837662"/>
      <w:r>
        <w:t>21.63.1a Joints de retrait CCTB 01.04</w:t>
      </w:r>
      <w:bookmarkEnd w:id="469"/>
    </w:p>
    <w:p w14:paraId="36173648" w14:textId="77777777" w:rsidR="00DF410E" w:rsidRDefault="00CE7F43">
      <w:pPr>
        <w:pStyle w:val="Author-eSectionHeading4"/>
      </w:pPr>
      <w:bookmarkStart w:id="470" w:name="_Toc178837663"/>
      <w:r>
        <w:t>21.64 Joints de remplissage CCTB 01.04</w:t>
      </w:r>
      <w:bookmarkEnd w:id="470"/>
    </w:p>
    <w:p w14:paraId="338A28D2" w14:textId="77777777" w:rsidR="00DF410E" w:rsidRDefault="00CE7F43">
      <w:pPr>
        <w:pStyle w:val="Author-eSectionHeading5"/>
      </w:pPr>
      <w:bookmarkStart w:id="471" w:name="_Toc178837664"/>
      <w:r>
        <w:t>21.64.1 Joints de remplissage CCTB 01.04</w:t>
      </w:r>
      <w:bookmarkEnd w:id="471"/>
    </w:p>
    <w:p w14:paraId="564CD0C3" w14:textId="77777777" w:rsidR="00DF410E" w:rsidRDefault="00CE7F43">
      <w:pPr>
        <w:pStyle w:val="Author-eSectionHeading6"/>
      </w:pPr>
      <w:bookmarkStart w:id="472" w:name="_Toc178837665"/>
      <w:r>
        <w:t>21.64.1a Joints de resserrage en mortier CCTB 01.04</w:t>
      </w:r>
      <w:bookmarkEnd w:id="472"/>
    </w:p>
    <w:p w14:paraId="5BF1A5D3" w14:textId="77777777" w:rsidR="00DF410E" w:rsidRDefault="00CE7F43">
      <w:pPr>
        <w:pStyle w:val="Author-eSectionHeading6"/>
      </w:pPr>
      <w:bookmarkStart w:id="473" w:name="_Toc178837666"/>
      <w:r>
        <w:t>21.64.1b Joints de resserrage autres qu'en mortier CCTB 01.04</w:t>
      </w:r>
      <w:bookmarkEnd w:id="473"/>
    </w:p>
    <w:p w14:paraId="60737973" w14:textId="77777777" w:rsidR="00DF410E" w:rsidRDefault="00CE7F43">
      <w:pPr>
        <w:pStyle w:val="pheading"/>
      </w:pPr>
      <w:r>
        <w:t>DESCRIPTION</w:t>
      </w:r>
    </w:p>
    <w:p w14:paraId="49071CE6" w14:textId="77777777" w:rsidR="00DF410E" w:rsidRDefault="00CE7F43">
      <w:pPr>
        <w:pStyle w:val="pheading"/>
      </w:pPr>
      <w:r>
        <w:t>- Définition / Comprend</w:t>
      </w:r>
    </w:p>
    <w:p w14:paraId="30EC8184" w14:textId="77777777" w:rsidR="00DF410E" w:rsidRDefault="00CE7F43">
      <w:r>
        <w:t>Renvoi vers </w:t>
      </w:r>
      <w:hyperlink w:anchor="430" w:history="1">
        <w:r>
          <w:t>26.17.1 Joints de resserrage</w:t>
        </w:r>
      </w:hyperlink>
    </w:p>
    <w:p w14:paraId="7C31763F" w14:textId="77777777" w:rsidR="00DF410E" w:rsidRDefault="00CE7F43">
      <w:pPr>
        <w:pStyle w:val="Author-eSectionHeading4"/>
      </w:pPr>
      <w:bookmarkStart w:id="474" w:name="_Toc178837667"/>
      <w:r>
        <w:t>21.65 Etanchéisation de joints CCTB 01.04</w:t>
      </w:r>
      <w:bookmarkEnd w:id="474"/>
    </w:p>
    <w:p w14:paraId="1092522A" w14:textId="77777777" w:rsidR="00DF410E" w:rsidRDefault="00CE7F43">
      <w:pPr>
        <w:pStyle w:val="pheading"/>
      </w:pPr>
      <w:r>
        <w:t>DESCRIPTION</w:t>
      </w:r>
    </w:p>
    <w:p w14:paraId="5866D1B9" w14:textId="77777777" w:rsidR="00DF410E" w:rsidRDefault="00CE7F43">
      <w:pPr>
        <w:pStyle w:val="pheading"/>
      </w:pPr>
      <w:r>
        <w:t>- Définition / Comprend</w:t>
      </w:r>
    </w:p>
    <w:p w14:paraId="7B889672" w14:textId="77777777" w:rsidR="00DF410E" w:rsidRDefault="00CE7F43">
      <w:r>
        <w:t xml:space="preserve">Renvoi au § </w:t>
      </w:r>
      <w:hyperlink w:anchor="430" w:history="1">
        <w:r>
          <w:t>26.17.1 Joints de resserrage</w:t>
        </w:r>
      </w:hyperlink>
    </w:p>
    <w:p w14:paraId="4200975D" w14:textId="77777777" w:rsidR="00DF410E" w:rsidRDefault="00CE7F43">
      <w:pPr>
        <w:pStyle w:val="Author-eSectionHeading5"/>
      </w:pPr>
      <w:bookmarkStart w:id="475" w:name="_Toc178837668"/>
      <w:r>
        <w:t>21.65.1 Etanchéisation de joints CCTB 01.10</w:t>
      </w:r>
      <w:bookmarkEnd w:id="475"/>
    </w:p>
    <w:p w14:paraId="2BBB9FAE" w14:textId="77777777" w:rsidR="00DF410E" w:rsidRDefault="00CE7F43">
      <w:pPr>
        <w:pStyle w:val="Author-eSectionHeading6"/>
      </w:pPr>
      <w:bookmarkStart w:id="476" w:name="_Toc178837669"/>
      <w:r>
        <w:t>21.65.1a Joints de calfeutrement CCTB 01.04</w:t>
      </w:r>
      <w:bookmarkEnd w:id="476"/>
    </w:p>
    <w:p w14:paraId="57E9A855" w14:textId="77777777" w:rsidR="00DF410E" w:rsidRDefault="00CE7F43">
      <w:pPr>
        <w:pStyle w:val="pheading"/>
      </w:pPr>
      <w:r>
        <w:t>DESCRIPTION</w:t>
      </w:r>
    </w:p>
    <w:p w14:paraId="39EBA1B7" w14:textId="77777777" w:rsidR="00DF410E" w:rsidRDefault="00CE7F43">
      <w:pPr>
        <w:pStyle w:val="pheading"/>
      </w:pPr>
      <w:r>
        <w:t>- Définition / Comprend</w:t>
      </w:r>
    </w:p>
    <w:p w14:paraId="1FA7C558" w14:textId="77777777" w:rsidR="00DF410E" w:rsidRDefault="00CE7F43">
      <w:r>
        <w:t xml:space="preserve">Renvoi vers </w:t>
      </w:r>
      <w:hyperlink w:anchor="430" w:history="1">
        <w:r>
          <w:t>26.17.1 Joints de resserrage</w:t>
        </w:r>
      </w:hyperlink>
    </w:p>
    <w:p w14:paraId="024A8EF9" w14:textId="77777777" w:rsidR="00DF410E" w:rsidRDefault="00CE7F43">
      <w:pPr>
        <w:pStyle w:val="Author-eSectionHeading3"/>
      </w:pPr>
      <w:bookmarkStart w:id="477" w:name="_Toc178837670"/>
      <w:r>
        <w:t>21.7 Traitements, protection et finition des maçonneries CCTB 01.04</w:t>
      </w:r>
      <w:bookmarkEnd w:id="477"/>
    </w:p>
    <w:p w14:paraId="015B9D4F" w14:textId="77777777" w:rsidR="00DF410E" w:rsidRDefault="00CE7F43">
      <w:pPr>
        <w:pStyle w:val="Author-eSectionHeading4"/>
      </w:pPr>
      <w:bookmarkStart w:id="478" w:name="472"/>
      <w:bookmarkStart w:id="479" w:name="_Toc178837671"/>
      <w:bookmarkEnd w:id="478"/>
      <w:r>
        <w:t>21.71 Traitements esthétiques ou de surface CCTB 01.07</w:t>
      </w:r>
      <w:bookmarkEnd w:id="479"/>
    </w:p>
    <w:p w14:paraId="32AE91AE" w14:textId="77777777" w:rsidR="00DF410E" w:rsidRDefault="00CE7F43">
      <w:pPr>
        <w:pStyle w:val="pheading"/>
      </w:pPr>
      <w:r>
        <w:t>DESCRIPTION</w:t>
      </w:r>
    </w:p>
    <w:p w14:paraId="6E17909A" w14:textId="77777777" w:rsidR="00DF410E" w:rsidRDefault="00CE7F43">
      <w:pPr>
        <w:pStyle w:val="pheading"/>
      </w:pPr>
      <w:r>
        <w:t>- Définition / Comprend</w:t>
      </w:r>
    </w:p>
    <w:p w14:paraId="19134D2F" w14:textId="77777777" w:rsidR="00DF410E" w:rsidRDefault="00CE7F43">
      <w:r>
        <w:t xml:space="preserve">Pour l'hydrofugation de la maçonnerie, renvoi vers § </w:t>
      </w:r>
      <w:hyperlink r:id="rId37" w:history="1" w:docLocation="431">
        <w:r>
          <w:t>83.14.2a Hydrofugations de surface</w:t>
        </w:r>
      </w:hyperlink>
    </w:p>
    <w:p w14:paraId="1484CF3B" w14:textId="77777777" w:rsidR="00DF410E" w:rsidRDefault="00CE7F43">
      <w:pPr>
        <w:pStyle w:val="Author-eSectionHeading4"/>
      </w:pPr>
      <w:bookmarkStart w:id="480" w:name="_Toc178837672"/>
      <w:r>
        <w:t>21.72 Revêtements de finition CCTB 01.10</w:t>
      </w:r>
      <w:bookmarkEnd w:id="480"/>
    </w:p>
    <w:p w14:paraId="460EC507" w14:textId="77777777" w:rsidR="00DF410E" w:rsidRDefault="00CE7F43">
      <w:pPr>
        <w:pStyle w:val="Author-eSectionHeading4"/>
      </w:pPr>
      <w:bookmarkStart w:id="481" w:name="_Toc178837673"/>
      <w:r>
        <w:t>21.73 Revêtements de protection CCTB 01.10</w:t>
      </w:r>
      <w:bookmarkEnd w:id="481"/>
    </w:p>
    <w:p w14:paraId="3FA97908" w14:textId="77777777" w:rsidR="00DF410E" w:rsidRDefault="00CE7F43">
      <w:pPr>
        <w:pStyle w:val="Author-eSectionHeading3"/>
      </w:pPr>
      <w:bookmarkStart w:id="482" w:name="_Toc178837674"/>
      <w:r>
        <w:t>21.8 Superstructures en maçonnerie - Rénovation CCTB 01.11</w:t>
      </w:r>
      <w:bookmarkEnd w:id="482"/>
    </w:p>
    <w:p w14:paraId="6394F96D" w14:textId="77777777" w:rsidR="00DF410E" w:rsidRDefault="00CE7F43">
      <w:pPr>
        <w:pStyle w:val="pheading"/>
      </w:pPr>
      <w:bookmarkStart w:id="483" w:name="223"/>
      <w:bookmarkEnd w:id="483"/>
      <w:r>
        <w:t>DESCRIPTION</w:t>
      </w:r>
    </w:p>
    <w:p w14:paraId="6531BC69" w14:textId="77777777" w:rsidR="00DF410E" w:rsidRDefault="00CE7F43">
      <w:pPr>
        <w:pStyle w:val="pheading"/>
      </w:pPr>
      <w:r>
        <w:t>- Remarques importantes</w:t>
      </w:r>
    </w:p>
    <w:p w14:paraId="401604FA" w14:textId="77777777" w:rsidR="00DF410E" w:rsidRDefault="00CE7F43">
      <w:pPr>
        <w:jc w:val="both"/>
      </w:pPr>
      <w:r>
        <w:rPr>
          <w:b/>
        </w:rPr>
        <w:t>Prescriptions en matière de précautions et de sécurité</w:t>
      </w:r>
    </w:p>
    <w:p w14:paraId="27C9B5D3" w14:textId="77777777" w:rsidR="00DF410E" w:rsidRDefault="00CE7F43">
      <w:pPr>
        <w:pStyle w:val="Author-eListParagraph"/>
        <w:numPr>
          <w:ilvl w:val="0"/>
          <w:numId w:val="298"/>
        </w:numPr>
        <w:jc w:val="both"/>
      </w:pPr>
      <w:r>
        <w:t>Conformément à l'élément </w:t>
      </w:r>
      <w:hyperlink r:id="rId38" w:history="1" w:docLocation="109">
        <w:r>
          <w:t>04.4 Mesures de protection</w:t>
        </w:r>
      </w:hyperlink>
      <w:r>
        <w:t>, établi par le coordinateur-projet et annexée au cahier spécial des charges, toutes les directives en la matière et les indications concrètes données par le coordinateur-réalisation sont scrupuleusement respectées.</w:t>
      </w:r>
    </w:p>
    <w:p w14:paraId="005132AD" w14:textId="77777777" w:rsidR="00DF410E" w:rsidRDefault="00CE7F43">
      <w:pPr>
        <w:pStyle w:val="Author-eListParagraph"/>
        <w:numPr>
          <w:ilvl w:val="0"/>
          <w:numId w:val="298"/>
        </w:numPr>
        <w:jc w:val="both"/>
      </w:pPr>
      <w:r>
        <w:t>À défaut d'un plan de sécurité et de santé joint au dossier d'adjudication, l'entrepreneur suit les instructions qui lui sont données par le maître de l’ouvrage et/ou le coordinateur-réalisation.</w:t>
      </w:r>
    </w:p>
    <w:p w14:paraId="4611D437" w14:textId="77777777" w:rsidR="00DF410E" w:rsidRDefault="00CE7F43">
      <w:pPr>
        <w:pStyle w:val="Author-eListParagraph"/>
        <w:numPr>
          <w:ilvl w:val="0"/>
          <w:numId w:val="298"/>
        </w:numPr>
        <w:jc w:val="both"/>
      </w:pPr>
      <w:r>
        <w:t>L'exécution de tous les travaux d’adaptation et de soutènement  des maçonneries existantes se fait sous l'entière responsabilité de l'entrepreneur. L'entrepreneur exécute les travaux avec toutes les précautions qui s'imposent, à ses frais, risques et périls. Tous les dégâts occasionnés aux constructions ou aux voiries attenantes ou voisines suite à l'exécution des travaux d’adaptation, sont réparés par lui-même et à ses frais ou dédommagés avant de procéder à la réception provisoire.</w:t>
      </w:r>
    </w:p>
    <w:p w14:paraId="350712C1" w14:textId="77777777" w:rsidR="00DF410E" w:rsidRDefault="00CE7F43">
      <w:pPr>
        <w:pStyle w:val="Author-eListParagraph"/>
        <w:numPr>
          <w:ilvl w:val="0"/>
          <w:numId w:val="298"/>
        </w:numPr>
        <w:jc w:val="both"/>
      </w:pPr>
      <w:r>
        <w:t>Au cours des travaux d’adaptations de maçonneries, l'entrepreneur effectue tous les travaux d'étançonnement et de soutènement nécessaires afin de garantir l'intégrité des constructions attenantes et d'assurer ses propres travaux. L'entrepreneur est tenu d'apporter, sans frais supplémentaires, tous les renforcements et/ou améliorations qui lui sont imposés par la direction de chantier ou les organismes de contrôle. Les moyens d'étançonnement et de soutènement sont conçus de manière réfléchie et soumis pour approbation à la direction de chantier, avant de commencer les travaux d’adaptations de maçonneries.</w:t>
      </w:r>
    </w:p>
    <w:p w14:paraId="6B6756FE" w14:textId="77777777" w:rsidR="00DF410E" w:rsidRDefault="00CE7F43">
      <w:pPr>
        <w:pStyle w:val="Author-eSectionHeading4"/>
      </w:pPr>
      <w:bookmarkStart w:id="484" w:name="_Toc178837675"/>
      <w:r>
        <w:t>21.81 Etudes et essais préliminaires CCTB 01.04</w:t>
      </w:r>
      <w:bookmarkEnd w:id="484"/>
    </w:p>
    <w:p w14:paraId="76814927" w14:textId="77777777" w:rsidR="00DF410E" w:rsidRDefault="00CE7F43">
      <w:pPr>
        <w:pStyle w:val="pheading"/>
      </w:pPr>
      <w:r>
        <w:t>DESCRIPTION</w:t>
      </w:r>
    </w:p>
    <w:p w14:paraId="58E0592C" w14:textId="77777777" w:rsidR="00DF410E" w:rsidRDefault="00CE7F43">
      <w:pPr>
        <w:pStyle w:val="pheading"/>
      </w:pPr>
      <w:r>
        <w:t>- Définition / Comprend</w:t>
      </w:r>
    </w:p>
    <w:p w14:paraId="31C9DE80" w14:textId="77777777" w:rsidR="00DF410E" w:rsidRDefault="00CE7F43">
      <w:r>
        <w:t xml:space="preserve">Renvoi au § </w:t>
      </w:r>
      <w:hyperlink r:id="rId39" w:history="1" w:docLocation="85">
        <w:r>
          <w:t>03 Études, essais et contrôles en cours de chantier</w:t>
        </w:r>
      </w:hyperlink>
    </w:p>
    <w:p w14:paraId="2869B575" w14:textId="77777777" w:rsidR="00DF410E" w:rsidRDefault="00CE7F43">
      <w:pPr>
        <w:pStyle w:val="Author-eSectionHeading4"/>
      </w:pPr>
      <w:bookmarkStart w:id="485" w:name="_Toc178837676"/>
      <w:r>
        <w:t>21.82 Déposes / démontages / percements / déconstructions-démolitions CCTB 01.04</w:t>
      </w:r>
      <w:bookmarkEnd w:id="485"/>
    </w:p>
    <w:p w14:paraId="7A6324FD" w14:textId="77777777" w:rsidR="00DF410E" w:rsidRDefault="00CE7F43">
      <w:pPr>
        <w:pStyle w:val="Author-eSectionHeading5"/>
      </w:pPr>
      <w:bookmarkStart w:id="486" w:name="_Toc178837677"/>
      <w:r>
        <w:t>21.82.1 Travaux de stabilisation CCTB 01.04</w:t>
      </w:r>
      <w:bookmarkEnd w:id="486"/>
    </w:p>
    <w:p w14:paraId="488EF5CC" w14:textId="77777777" w:rsidR="00DF410E" w:rsidRDefault="00CE7F43">
      <w:pPr>
        <w:pStyle w:val="pheading"/>
      </w:pPr>
      <w:r>
        <w:t>DESCRIPTION</w:t>
      </w:r>
    </w:p>
    <w:p w14:paraId="2F785E90" w14:textId="77777777" w:rsidR="00DF410E" w:rsidRDefault="00CE7F43">
      <w:pPr>
        <w:pStyle w:val="pheading"/>
      </w:pPr>
      <w:r>
        <w:t>- Définition / Comprend</w:t>
      </w:r>
    </w:p>
    <w:p w14:paraId="37D090C8" w14:textId="77777777" w:rsidR="00DF410E" w:rsidRDefault="00CE7F43">
      <w:r>
        <w:t>Renvoi à l'élément </w:t>
      </w:r>
      <w:hyperlink r:id="rId40" w:history="1" w:docLocation="113">
        <w:r>
          <w:t>06.11 Stabilisations de la structure</w:t>
        </w:r>
      </w:hyperlink>
    </w:p>
    <w:p w14:paraId="574F13A9" w14:textId="77777777" w:rsidR="00DF410E" w:rsidRDefault="00CE7F43">
      <w:pPr>
        <w:pStyle w:val="Author-eSectionHeading5"/>
      </w:pPr>
      <w:bookmarkStart w:id="487" w:name="_Toc178837678"/>
      <w:r>
        <w:t>21.82.2 Déposes d'éléments (pour repose ultérieure) CCTB 01.04</w:t>
      </w:r>
      <w:bookmarkEnd w:id="487"/>
    </w:p>
    <w:p w14:paraId="0FB20D6B" w14:textId="77777777" w:rsidR="00DF410E" w:rsidRDefault="00CE7F43">
      <w:pPr>
        <w:pStyle w:val="pheading"/>
      </w:pPr>
      <w:r>
        <w:t>DESCRIPTION</w:t>
      </w:r>
    </w:p>
    <w:p w14:paraId="3CB97F3D" w14:textId="77777777" w:rsidR="00DF410E" w:rsidRDefault="00CE7F43">
      <w:pPr>
        <w:pStyle w:val="pheading"/>
      </w:pPr>
      <w:r>
        <w:t>- Définition / Comprend</w:t>
      </w:r>
    </w:p>
    <w:p w14:paraId="335317EF" w14:textId="77777777" w:rsidR="00DF410E" w:rsidRDefault="00CE7F43">
      <w:r>
        <w:t xml:space="preserve">Renvoi au § </w:t>
      </w:r>
      <w:hyperlink r:id="rId41" w:history="1" w:docLocation="434">
        <w:r>
          <w:t>06.55 Démontages d'éléments de fermeture et de finitions extérieures</w:t>
        </w:r>
      </w:hyperlink>
    </w:p>
    <w:p w14:paraId="15C9FE53" w14:textId="77777777" w:rsidR="00DF410E" w:rsidRDefault="00CE7F43">
      <w:pPr>
        <w:pStyle w:val="Author-eSectionHeading5"/>
      </w:pPr>
      <w:bookmarkStart w:id="488" w:name="_Toc178837679"/>
      <w:r>
        <w:t>21.82.3 Démontages d'éléments (pour récupération) CCTB 01.04</w:t>
      </w:r>
      <w:bookmarkEnd w:id="488"/>
    </w:p>
    <w:p w14:paraId="012E691C" w14:textId="77777777" w:rsidR="00DF410E" w:rsidRDefault="00CE7F43">
      <w:pPr>
        <w:pStyle w:val="pheading"/>
      </w:pPr>
      <w:r>
        <w:t>DESCRIPTION</w:t>
      </w:r>
    </w:p>
    <w:p w14:paraId="6C82F810" w14:textId="77777777" w:rsidR="00DF410E" w:rsidRDefault="00CE7F43">
      <w:pPr>
        <w:pStyle w:val="pheading"/>
      </w:pPr>
      <w:r>
        <w:t>- Définition / Comprend</w:t>
      </w:r>
    </w:p>
    <w:p w14:paraId="7773740C" w14:textId="77777777" w:rsidR="00DF410E" w:rsidRDefault="00CE7F43">
      <w:r>
        <w:t xml:space="preserve">Renvoi au § </w:t>
      </w:r>
      <w:hyperlink r:id="rId42" w:history="1" w:docLocation="435">
        <w:r>
          <w:t>06.45 Démontages d'éléments de fermeture et de finitions extérieures</w:t>
        </w:r>
      </w:hyperlink>
    </w:p>
    <w:p w14:paraId="2337EDDE" w14:textId="77777777" w:rsidR="00DF410E" w:rsidRDefault="00CE7F43">
      <w:pPr>
        <w:pStyle w:val="Author-eSectionHeading5"/>
      </w:pPr>
      <w:bookmarkStart w:id="489" w:name="_Toc178837680"/>
      <w:r>
        <w:t>21.82.4 Décapages / déjointoiements / enlèvements (pour évacuation) CCTB 01.04</w:t>
      </w:r>
      <w:bookmarkEnd w:id="489"/>
    </w:p>
    <w:p w14:paraId="33AD1AB7" w14:textId="77777777" w:rsidR="00DF410E" w:rsidRDefault="00CE7F43">
      <w:pPr>
        <w:pStyle w:val="pheading"/>
      </w:pPr>
      <w:r>
        <w:t>DESCRIPTION</w:t>
      </w:r>
    </w:p>
    <w:p w14:paraId="12E6B9BF" w14:textId="77777777" w:rsidR="00DF410E" w:rsidRDefault="00CE7F43">
      <w:pPr>
        <w:pStyle w:val="pheading"/>
      </w:pPr>
      <w:r>
        <w:t>- Définition / Comprend</w:t>
      </w:r>
    </w:p>
    <w:p w14:paraId="38709101" w14:textId="77777777" w:rsidR="00DF410E" w:rsidRDefault="00CE7F43">
      <w:r>
        <w:t>Renvoi à l'élément </w:t>
      </w:r>
      <w:hyperlink r:id="rId43" w:history="1" w:docLocation="436">
        <w:r>
          <w:t>06.71 Déjointoiement</w:t>
        </w:r>
      </w:hyperlink>
    </w:p>
    <w:p w14:paraId="5177AB2E"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44" w:history="1" w:docLocation="116">
        <w:r>
          <w:t>07 Déchets, matériaux et éléments réemployables</w:t>
        </w:r>
      </w:hyperlink>
      <w:r>
        <w:t>.</w:t>
      </w:r>
    </w:p>
    <w:p w14:paraId="76EED90D" w14:textId="77777777" w:rsidR="00DF410E" w:rsidRDefault="00CE7F43">
      <w:pPr>
        <w:pStyle w:val="Author-eSectionHeading5"/>
      </w:pPr>
      <w:bookmarkStart w:id="490" w:name="_Toc178837681"/>
      <w:r>
        <w:t>21.82.5 Percements / carottages CCTB 01.04</w:t>
      </w:r>
      <w:bookmarkEnd w:id="490"/>
    </w:p>
    <w:p w14:paraId="4409C3A7" w14:textId="77777777" w:rsidR="00DF410E" w:rsidRDefault="00CE7F43">
      <w:pPr>
        <w:pStyle w:val="pheading"/>
      </w:pPr>
      <w:r>
        <w:t>DESCRIPTION</w:t>
      </w:r>
    </w:p>
    <w:p w14:paraId="45A3C84A" w14:textId="77777777" w:rsidR="00DF410E" w:rsidRDefault="00CE7F43">
      <w:pPr>
        <w:pStyle w:val="pheading"/>
      </w:pPr>
      <w:r>
        <w:t>- Définition / Comprend</w:t>
      </w:r>
    </w:p>
    <w:p w14:paraId="3747AAEE" w14:textId="77777777" w:rsidR="00DF410E" w:rsidRDefault="00CE7F43">
      <w:r>
        <w:t>Renvoi à l'élément </w:t>
      </w:r>
      <w:hyperlink r:id="rId45" w:history="1" w:docLocation="438">
        <w:r>
          <w:t>06.8 Percements / carottages</w:t>
        </w:r>
      </w:hyperlink>
    </w:p>
    <w:p w14:paraId="53754374" w14:textId="77777777" w:rsidR="00DF410E" w:rsidRDefault="00CE7F43">
      <w:pPr>
        <w:pStyle w:val="Author-eSectionHeading5"/>
      </w:pPr>
      <w:bookmarkStart w:id="491" w:name="_Toc178837682"/>
      <w:r>
        <w:t>21.82.6 Déconstructions / démolitions (pour évacuation) CCTB 01.04</w:t>
      </w:r>
      <w:bookmarkEnd w:id="491"/>
    </w:p>
    <w:p w14:paraId="54A98E8F" w14:textId="77777777" w:rsidR="00DF410E" w:rsidRDefault="00CE7F43">
      <w:pPr>
        <w:pStyle w:val="pheading"/>
      </w:pPr>
      <w:r>
        <w:t>DESCRIPTION</w:t>
      </w:r>
    </w:p>
    <w:p w14:paraId="07CEE07D" w14:textId="77777777" w:rsidR="00DF410E" w:rsidRDefault="00CE7F43">
      <w:pPr>
        <w:pStyle w:val="pheading"/>
      </w:pPr>
      <w:r>
        <w:t>- Définition / Comprend</w:t>
      </w:r>
    </w:p>
    <w:p w14:paraId="2686DB67" w14:textId="77777777" w:rsidR="00DF410E" w:rsidRDefault="00CE7F43">
      <w:r>
        <w:t xml:space="preserve">Renvoi au § </w:t>
      </w:r>
      <w:hyperlink r:id="rId46" w:history="1" w:docLocation="439">
        <w:r>
          <w:t>06.27.1 Démolitions d'éléments de structures de maçonnerie</w:t>
        </w:r>
      </w:hyperlink>
    </w:p>
    <w:p w14:paraId="1E9BB68B"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47" w:history="1" w:docLocation="116">
        <w:r>
          <w:t>07 Déchets, matériaux et éléments réemployables</w:t>
        </w:r>
      </w:hyperlink>
      <w:r>
        <w:t>.</w:t>
      </w:r>
    </w:p>
    <w:p w14:paraId="56B6A7D8" w14:textId="77777777" w:rsidR="00DF410E" w:rsidRDefault="00CE7F43">
      <w:pPr>
        <w:pStyle w:val="Author-eSectionHeading5"/>
      </w:pPr>
      <w:bookmarkStart w:id="492" w:name="_Toc178837683"/>
      <w:r>
        <w:t>21.82.7 Peignages préliminaires des parements CCTB 01.04</w:t>
      </w:r>
      <w:bookmarkEnd w:id="492"/>
    </w:p>
    <w:p w14:paraId="3851EFE6" w14:textId="77777777" w:rsidR="00DF410E" w:rsidRDefault="00CE7F43">
      <w:pPr>
        <w:pStyle w:val="Author-eSectionHeading6"/>
      </w:pPr>
      <w:bookmarkStart w:id="493" w:name="_Toc178837684"/>
      <w:r>
        <w:t>21.82.7a Peignages préliminaires des parements CCTB 01.04</w:t>
      </w:r>
      <w:bookmarkEnd w:id="493"/>
    </w:p>
    <w:p w14:paraId="3A6D09A5" w14:textId="77777777" w:rsidR="00DF410E" w:rsidRDefault="00CE7F43">
      <w:pPr>
        <w:pStyle w:val="Author-eSectionHeading5"/>
      </w:pPr>
      <w:bookmarkStart w:id="494" w:name="_Toc178837685"/>
      <w:r>
        <w:t>21.82.8 Entailles, tranchées, trous, calfeutrements et raccords CCTB 01.04</w:t>
      </w:r>
      <w:bookmarkEnd w:id="494"/>
    </w:p>
    <w:p w14:paraId="0417D689" w14:textId="77777777" w:rsidR="00DF410E" w:rsidRDefault="00CE7F43">
      <w:pPr>
        <w:pStyle w:val="Author-eSectionHeading6"/>
      </w:pPr>
      <w:bookmarkStart w:id="495" w:name="_Toc178837686"/>
      <w:r>
        <w:t>21.82.8a Travaux préparatoires pour éléments structuraux CCTB 01.04</w:t>
      </w:r>
      <w:bookmarkEnd w:id="495"/>
    </w:p>
    <w:p w14:paraId="218E0636" w14:textId="77777777" w:rsidR="00DF410E" w:rsidRDefault="00CE7F43">
      <w:pPr>
        <w:pStyle w:val="Author-eSectionHeading6"/>
      </w:pPr>
      <w:bookmarkStart w:id="496" w:name="_Toc178837687"/>
      <w:r>
        <w:t>21.82.8b Travaux préparatoires pour menuiseries extérieures CCTB 01.04</w:t>
      </w:r>
      <w:bookmarkEnd w:id="496"/>
    </w:p>
    <w:p w14:paraId="6091012F" w14:textId="77777777" w:rsidR="00DF410E" w:rsidRDefault="00CE7F43">
      <w:pPr>
        <w:pStyle w:val="Author-eSectionHeading6"/>
      </w:pPr>
      <w:bookmarkStart w:id="497" w:name="_Toc178837688"/>
      <w:r>
        <w:t>21.82.8c Travaux préparatoires pour électricité / fluides CCTB 01.04</w:t>
      </w:r>
      <w:bookmarkEnd w:id="497"/>
    </w:p>
    <w:p w14:paraId="35E7516D" w14:textId="77777777" w:rsidR="00DF410E" w:rsidRDefault="00CE7F43">
      <w:pPr>
        <w:pStyle w:val="Author-eSectionHeading4"/>
      </w:pPr>
      <w:bookmarkStart w:id="498" w:name="_Toc178837689"/>
      <w:r>
        <w:t>21.83 Réparations / ragréages / rénovations CCTB 01.12</w:t>
      </w:r>
      <w:bookmarkEnd w:id="498"/>
    </w:p>
    <w:p w14:paraId="062B84EA" w14:textId="77777777" w:rsidR="00DF410E" w:rsidRDefault="00CE7F43">
      <w:pPr>
        <w:pStyle w:val="pheading"/>
      </w:pPr>
      <w:bookmarkStart w:id="499" w:name="692"/>
      <w:bookmarkEnd w:id="499"/>
      <w:r>
        <w:t>DESCRIPTION</w:t>
      </w:r>
    </w:p>
    <w:p w14:paraId="4E96AEF8" w14:textId="77777777" w:rsidR="00DF410E" w:rsidRDefault="00CE7F43">
      <w:pPr>
        <w:pStyle w:val="pheading"/>
      </w:pPr>
      <w:r>
        <w:t>- Définition / Comprend</w:t>
      </w:r>
    </w:p>
    <w:p w14:paraId="05C32F26" w14:textId="77777777" w:rsidR="00DF410E" w:rsidRDefault="00CE7F43">
      <w:r>
        <w:rPr>
          <w:b/>
          <w:sz w:val="24"/>
        </w:rPr>
        <w:t>Sécurité</w:t>
      </w:r>
    </w:p>
    <w:p w14:paraId="2BF46A1F" w14:textId="77777777" w:rsidR="00DF410E" w:rsidRDefault="00CE7F43">
      <w:r>
        <w:t xml:space="preserve">Conformément à la rubrique </w:t>
      </w:r>
      <w:hyperlink r:id="rId48" w:history="1" w:docLocation="109">
        <w:r>
          <w:t>04.4 Mesures de protection</w:t>
        </w:r>
      </w:hyperlink>
      <w:r>
        <w:t xml:space="preserve"> "Mesures de protection", établie par le coordinateur-projet et annexée au cahier spécial des charges. Toutes les directives en la matière et les indications concrètes données par le coordinateur-réalisation sont scrupuleusement respectées.</w:t>
      </w:r>
    </w:p>
    <w:p w14:paraId="5A97EC45" w14:textId="77777777" w:rsidR="00DF410E" w:rsidRDefault="00CE7F43">
      <w:pPr>
        <w:pStyle w:val="Author-eSectionHeading5"/>
      </w:pPr>
      <w:bookmarkStart w:id="500" w:name="_Toc178837690"/>
      <w:r>
        <w:t>21.83.1 Ragréages de zones de maçonneries délabrées sans remplacement de matériaux (démontage + remontage) CCTB 01.04</w:t>
      </w:r>
      <w:bookmarkEnd w:id="500"/>
    </w:p>
    <w:p w14:paraId="114FF813" w14:textId="77777777" w:rsidR="00DF410E" w:rsidRDefault="00CE7F43">
      <w:pPr>
        <w:pStyle w:val="Author-eSectionHeading6"/>
      </w:pPr>
      <w:bookmarkStart w:id="501" w:name="_Toc178837691"/>
      <w:r>
        <w:t>21.83.1a Ragréages de zones de maçonneries en briques de terre cuite délabrées sans remplacement de matériaux CCTB 01.04</w:t>
      </w:r>
      <w:bookmarkEnd w:id="501"/>
    </w:p>
    <w:p w14:paraId="43EC9EAF" w14:textId="77777777" w:rsidR="00DF410E" w:rsidRDefault="00CE7F43">
      <w:pPr>
        <w:pStyle w:val="Author-eSectionHeading6"/>
      </w:pPr>
      <w:bookmarkStart w:id="502" w:name="_Toc178837692"/>
      <w:r>
        <w:t>21.83.1b Ragréages de zones de maçonneries en blocs / briques de béton délabrées sans remplacement de matériaux CCTB 01.04</w:t>
      </w:r>
      <w:bookmarkEnd w:id="502"/>
    </w:p>
    <w:p w14:paraId="679078BD" w14:textId="77777777" w:rsidR="00DF410E" w:rsidRDefault="00CE7F43">
      <w:pPr>
        <w:pStyle w:val="Author-eSectionHeading6"/>
      </w:pPr>
      <w:bookmarkStart w:id="503" w:name="_Toc178837693"/>
      <w:r>
        <w:t>21.83.1c Ragréages de zones de maçonneries en pierres naturelles délabrées sans remplacement de matériaux CCTB 01.04</w:t>
      </w:r>
      <w:bookmarkEnd w:id="503"/>
    </w:p>
    <w:p w14:paraId="2C74CA58" w14:textId="77777777" w:rsidR="00DF410E" w:rsidRDefault="00CE7F43">
      <w:pPr>
        <w:pStyle w:val="Author-eSectionHeading5"/>
      </w:pPr>
      <w:bookmarkStart w:id="504" w:name="_Toc178837694"/>
      <w:r>
        <w:t>21.83.2 Ragréages de zones de maçonneries délabrées avec remplacement partiel de matériaux (démontage + remontage + remplacement partiel) CCTB 01.04</w:t>
      </w:r>
      <w:bookmarkEnd w:id="504"/>
    </w:p>
    <w:p w14:paraId="17836A16" w14:textId="77777777" w:rsidR="00DF410E" w:rsidRDefault="00CE7F43">
      <w:pPr>
        <w:pStyle w:val="Author-eSectionHeading6"/>
      </w:pPr>
      <w:bookmarkStart w:id="505" w:name="_Toc178837695"/>
      <w:r>
        <w:t>21.83.2a Ragréages de zones de maçonneries en briques de terre cuite délabrées avec remplacement de matériaux CCTB 01.04</w:t>
      </w:r>
      <w:bookmarkEnd w:id="505"/>
    </w:p>
    <w:p w14:paraId="278998D9" w14:textId="77777777" w:rsidR="00DF410E" w:rsidRDefault="00CE7F43">
      <w:pPr>
        <w:pStyle w:val="Author-eSectionHeading6"/>
      </w:pPr>
      <w:bookmarkStart w:id="506" w:name="_Toc178837696"/>
      <w:r>
        <w:t>21.83.2b Ragréages de zones de maçonneries en blocs / briques de béton délabrées avec remplacement de matériaux CCTB 01.04</w:t>
      </w:r>
      <w:bookmarkEnd w:id="506"/>
    </w:p>
    <w:p w14:paraId="64B981EA" w14:textId="77777777" w:rsidR="00DF410E" w:rsidRDefault="00CE7F43">
      <w:pPr>
        <w:pStyle w:val="Author-eSectionHeading6"/>
      </w:pPr>
      <w:bookmarkStart w:id="507" w:name="_Toc178837697"/>
      <w:r>
        <w:t>21.83.2c Ragréages de zones de maçonneries en pierres naturelles délabrées avec remplacement de matériaux CCTB 01.04</w:t>
      </w:r>
      <w:bookmarkEnd w:id="507"/>
    </w:p>
    <w:p w14:paraId="3BB9D9FB" w14:textId="77777777" w:rsidR="00DF410E" w:rsidRDefault="00CE7F43">
      <w:pPr>
        <w:pStyle w:val="Author-eSectionHeading5"/>
      </w:pPr>
      <w:bookmarkStart w:id="508" w:name="_Toc178837698"/>
      <w:r>
        <w:t>21.83.3 Ragréages locaux d'éléments par mortier de réparation minéral CCTB 01.04</w:t>
      </w:r>
      <w:bookmarkEnd w:id="508"/>
    </w:p>
    <w:p w14:paraId="63EC4235" w14:textId="77777777" w:rsidR="00DF410E" w:rsidRDefault="00CE7F43">
      <w:pPr>
        <w:pStyle w:val="Author-eSectionHeading6"/>
      </w:pPr>
      <w:bookmarkStart w:id="509" w:name="_Toc178837699"/>
      <w:r>
        <w:t>21.83.3a Ragréages locaux d'éléments en briques de terre cuite par mortier de réparation minéral CCTB 01.04</w:t>
      </w:r>
      <w:bookmarkEnd w:id="509"/>
    </w:p>
    <w:p w14:paraId="79B4C4CA" w14:textId="77777777" w:rsidR="00DF410E" w:rsidRDefault="00CE7F43">
      <w:pPr>
        <w:pStyle w:val="Author-eSectionHeading6"/>
      </w:pPr>
      <w:bookmarkStart w:id="510" w:name="_Toc178837700"/>
      <w:r>
        <w:t>21.83.3b Ragréages locaux d'éléments en blocs / briques de béton par mortier de réparation minéral CCTB 01.04</w:t>
      </w:r>
      <w:bookmarkEnd w:id="510"/>
    </w:p>
    <w:p w14:paraId="26EE7BE9" w14:textId="77777777" w:rsidR="00DF410E" w:rsidRDefault="00CE7F43">
      <w:pPr>
        <w:pStyle w:val="Author-eSectionHeading6"/>
      </w:pPr>
      <w:bookmarkStart w:id="511" w:name="_Toc178837701"/>
      <w:r>
        <w:t>21.83.3c Ragréages locaux d'éléments en pierres naturelles par mortier de réparation minéral CCTB 01.04</w:t>
      </w:r>
      <w:bookmarkEnd w:id="511"/>
    </w:p>
    <w:p w14:paraId="26145D4F" w14:textId="77777777" w:rsidR="00DF410E" w:rsidRDefault="00CE7F43">
      <w:pPr>
        <w:pStyle w:val="Author-eSectionHeading5"/>
      </w:pPr>
      <w:bookmarkStart w:id="512" w:name="_Toc178837702"/>
      <w:r>
        <w:t>21.83.4 Ragréages locaux d'éléments par mortier de réparation à base de résines CCTB 01.04</w:t>
      </w:r>
      <w:bookmarkEnd w:id="512"/>
    </w:p>
    <w:p w14:paraId="764C53FF" w14:textId="77777777" w:rsidR="00DF410E" w:rsidRDefault="00CE7F43">
      <w:pPr>
        <w:pStyle w:val="Author-eSectionHeading6"/>
      </w:pPr>
      <w:bookmarkStart w:id="513" w:name="_Toc178837703"/>
      <w:r>
        <w:t>21.83.4a Ragréages locaux d'éléments en briques de terre cuite par mortier de réparation à base de résines CCTB 01.04</w:t>
      </w:r>
      <w:bookmarkEnd w:id="513"/>
    </w:p>
    <w:p w14:paraId="693F5598" w14:textId="77777777" w:rsidR="00DF410E" w:rsidRDefault="00CE7F43">
      <w:pPr>
        <w:pStyle w:val="Author-eSectionHeading6"/>
      </w:pPr>
      <w:bookmarkStart w:id="514" w:name="_Toc178837704"/>
      <w:r>
        <w:t>21.83.4b Ragréages locaux d'éléments en blocs / briques de béton par mortier de réparation à base de résines CCTB 01.04</w:t>
      </w:r>
      <w:bookmarkEnd w:id="514"/>
    </w:p>
    <w:p w14:paraId="3DC3A114" w14:textId="77777777" w:rsidR="00DF410E" w:rsidRDefault="00CE7F43">
      <w:pPr>
        <w:pStyle w:val="Author-eSectionHeading6"/>
      </w:pPr>
      <w:bookmarkStart w:id="515" w:name="_Toc178837705"/>
      <w:r>
        <w:t>21.83.4c Ragréages locaux d'éléments en pierres naturelles par mortier de réparation à base de résines CCTB 01.04</w:t>
      </w:r>
      <w:bookmarkEnd w:id="515"/>
    </w:p>
    <w:p w14:paraId="15075595" w14:textId="77777777" w:rsidR="00DF410E" w:rsidRDefault="00CE7F43">
      <w:pPr>
        <w:pStyle w:val="Author-eSectionHeading5"/>
      </w:pPr>
      <w:bookmarkStart w:id="516" w:name="_Toc178837706"/>
      <w:r>
        <w:t>21.83.5 Réparations locales d'éléments par remplacement partiel de matière (bouchons / greffons / inclusions) CCTB 01.04</w:t>
      </w:r>
      <w:bookmarkEnd w:id="516"/>
    </w:p>
    <w:p w14:paraId="556AFC62" w14:textId="77777777" w:rsidR="00DF410E" w:rsidRDefault="00CE7F43">
      <w:pPr>
        <w:pStyle w:val="Author-eSectionHeading6"/>
      </w:pPr>
      <w:bookmarkStart w:id="517" w:name="_Toc178837707"/>
      <w:r>
        <w:t>21.83.5a Réparations locales d'éléments en briques par remplacement partiel de matière CCTB 01.04</w:t>
      </w:r>
      <w:bookmarkEnd w:id="517"/>
    </w:p>
    <w:p w14:paraId="046131D8" w14:textId="77777777" w:rsidR="00DF410E" w:rsidRDefault="00CE7F43">
      <w:pPr>
        <w:pStyle w:val="Author-eSectionHeading6"/>
      </w:pPr>
      <w:bookmarkStart w:id="518" w:name="_Toc178837708"/>
      <w:r>
        <w:t>21.83.5b Réparations locales d'éléments en blocs / briques de béton par remplacement partiel de matière CCTB 01.04</w:t>
      </w:r>
      <w:bookmarkEnd w:id="518"/>
    </w:p>
    <w:p w14:paraId="1FC1D0B6" w14:textId="77777777" w:rsidR="00DF410E" w:rsidRDefault="00CE7F43">
      <w:pPr>
        <w:pStyle w:val="Author-eSectionHeading6"/>
      </w:pPr>
      <w:bookmarkStart w:id="519" w:name="_Toc178837709"/>
      <w:r>
        <w:t>21.83.5c Réparations locales d'éléments en pierres naturelles par remplacement partiel de matière CCTB 01.04</w:t>
      </w:r>
      <w:bookmarkEnd w:id="519"/>
    </w:p>
    <w:p w14:paraId="69709428" w14:textId="77777777" w:rsidR="00DF410E" w:rsidRDefault="00CE7F43">
      <w:pPr>
        <w:pStyle w:val="Author-eSectionHeading5"/>
      </w:pPr>
      <w:bookmarkStart w:id="520" w:name="_Toc178837710"/>
      <w:r>
        <w:t>21.83.6 Réparations / ragréages / rénovations d'éléments particuliers CCTB 01.04</w:t>
      </w:r>
      <w:bookmarkEnd w:id="520"/>
    </w:p>
    <w:p w14:paraId="1EF0ABA8" w14:textId="77777777" w:rsidR="00DF410E" w:rsidRDefault="00CE7F43">
      <w:pPr>
        <w:pStyle w:val="Author-eSectionHeading6"/>
      </w:pPr>
      <w:bookmarkStart w:id="521" w:name="_Toc178837711"/>
      <w:r>
        <w:t>21.83.6a Réparations / ragréages / rénovations d'anglées CCTB 01.04</w:t>
      </w:r>
      <w:bookmarkEnd w:id="521"/>
    </w:p>
    <w:p w14:paraId="11F61FCE" w14:textId="77777777" w:rsidR="00DF410E" w:rsidRDefault="00CE7F43">
      <w:pPr>
        <w:pStyle w:val="Author-eSectionHeading6"/>
      </w:pPr>
      <w:bookmarkStart w:id="522" w:name="_Toc178837712"/>
      <w:r>
        <w:t>21.83.6b Réparations / ragréages / rénovations de contreforts CCTB 01.04</w:t>
      </w:r>
      <w:bookmarkEnd w:id="522"/>
    </w:p>
    <w:p w14:paraId="2A2ED829" w14:textId="77777777" w:rsidR="00DF410E" w:rsidRDefault="00CE7F43">
      <w:pPr>
        <w:pStyle w:val="Author-eSectionHeading6"/>
      </w:pPr>
      <w:bookmarkStart w:id="523" w:name="_Toc178837713"/>
      <w:r>
        <w:t>21.83.6c Réparations / ragréages / rénovations de cordons CCTB 01.04</w:t>
      </w:r>
      <w:bookmarkEnd w:id="523"/>
    </w:p>
    <w:p w14:paraId="62276AD1" w14:textId="77777777" w:rsidR="00DF410E" w:rsidRDefault="00CE7F43">
      <w:pPr>
        <w:pStyle w:val="Author-eSectionHeading6"/>
      </w:pPr>
      <w:bookmarkStart w:id="524" w:name="_Toc178837714"/>
      <w:r>
        <w:t>21.83.6d Réparations / ragréages / rénovations de jambages CCTB 01.04</w:t>
      </w:r>
      <w:bookmarkEnd w:id="524"/>
    </w:p>
    <w:p w14:paraId="1D39D089" w14:textId="77777777" w:rsidR="00DF410E" w:rsidRDefault="00CE7F43">
      <w:pPr>
        <w:pStyle w:val="Author-eSectionHeading6"/>
      </w:pPr>
      <w:bookmarkStart w:id="525" w:name="_Toc178837715"/>
      <w:r>
        <w:t>21.83.6e Réparations / ragréages / rénovations d'arcades de baies CCTB 01.04</w:t>
      </w:r>
      <w:bookmarkEnd w:id="525"/>
    </w:p>
    <w:p w14:paraId="4E01CDDE" w14:textId="77777777" w:rsidR="00DF410E" w:rsidRDefault="00CE7F43">
      <w:pPr>
        <w:pStyle w:val="Author-eSectionHeading6"/>
      </w:pPr>
      <w:bookmarkStart w:id="526" w:name="_Toc178837716"/>
      <w:r>
        <w:t>21.83.6f Soubassements - repiquages CCTB 01.04</w:t>
      </w:r>
      <w:bookmarkEnd w:id="526"/>
    </w:p>
    <w:p w14:paraId="36439D08" w14:textId="77777777" w:rsidR="00DF410E" w:rsidRDefault="00CE7F43">
      <w:pPr>
        <w:pStyle w:val="Author-eSectionHeading6"/>
      </w:pPr>
      <w:bookmarkStart w:id="527" w:name="_Toc178837717"/>
      <w:r>
        <w:t>21.83.6g Soubassements - compléments en sous-œuvre CCTB 01.04</w:t>
      </w:r>
      <w:bookmarkEnd w:id="527"/>
    </w:p>
    <w:p w14:paraId="5AEC1E83" w14:textId="77777777" w:rsidR="00DF410E" w:rsidRDefault="00CE7F43">
      <w:pPr>
        <w:pStyle w:val="Author-eSectionHeading5"/>
      </w:pPr>
      <w:bookmarkStart w:id="528" w:name="_Toc178837718"/>
      <w:r>
        <w:t>21.83.7 Traitements des fissures et disjonctions CCTB 01.04</w:t>
      </w:r>
      <w:bookmarkEnd w:id="528"/>
    </w:p>
    <w:p w14:paraId="2F5B62EE" w14:textId="77777777" w:rsidR="00DF410E" w:rsidRDefault="00CE7F43">
      <w:pPr>
        <w:pStyle w:val="Author-eSectionHeading6"/>
      </w:pPr>
      <w:bookmarkStart w:id="529" w:name="_Toc178837719"/>
      <w:r>
        <w:t>21.83.7a Traitements des fissures de 1 à 3 mm CCTB 01.04</w:t>
      </w:r>
      <w:bookmarkEnd w:id="529"/>
    </w:p>
    <w:p w14:paraId="5FEF080B" w14:textId="77777777" w:rsidR="00DF410E" w:rsidRDefault="00CE7F43">
      <w:pPr>
        <w:pStyle w:val="Author-eSectionHeading6"/>
      </w:pPr>
      <w:bookmarkStart w:id="530" w:name="_Toc178837720"/>
      <w:r>
        <w:t>21.83.7b Traitements des fissures de 4 à 8 mm CCTB 01.04</w:t>
      </w:r>
      <w:bookmarkEnd w:id="530"/>
    </w:p>
    <w:p w14:paraId="7014880D" w14:textId="77777777" w:rsidR="00DF410E" w:rsidRDefault="00CE7F43">
      <w:pPr>
        <w:pStyle w:val="Author-eSectionHeading6"/>
      </w:pPr>
      <w:bookmarkStart w:id="531" w:name="_Toc178837721"/>
      <w:r>
        <w:t>21.83.7c Traitements des ouvertures supérieures à 8 mm CCTB 01.04</w:t>
      </w:r>
      <w:bookmarkEnd w:id="531"/>
    </w:p>
    <w:p w14:paraId="5EB456CD" w14:textId="77777777" w:rsidR="00DF410E" w:rsidRDefault="00CE7F43">
      <w:pPr>
        <w:pStyle w:val="Author-eSectionHeading6"/>
      </w:pPr>
      <w:bookmarkStart w:id="532" w:name="_Toc178837722"/>
      <w:r>
        <w:t>21.83.7d Traitements des disjonctions (réparations par épingles en inox crantées) CCTB 01.04</w:t>
      </w:r>
      <w:bookmarkEnd w:id="532"/>
    </w:p>
    <w:p w14:paraId="4772EEE2" w14:textId="77777777" w:rsidR="00DF410E" w:rsidRDefault="00CE7F43">
      <w:pPr>
        <w:pStyle w:val="Author-eSectionHeading5"/>
      </w:pPr>
      <w:bookmarkStart w:id="533" w:name="_Toc178837723"/>
      <w:r>
        <w:t>21.83.8 Rejointoyages CCTB 01.04</w:t>
      </w:r>
      <w:bookmarkEnd w:id="533"/>
    </w:p>
    <w:p w14:paraId="1F4329F9" w14:textId="77777777" w:rsidR="00DF410E" w:rsidRDefault="00CE7F43">
      <w:pPr>
        <w:pStyle w:val="pheading"/>
      </w:pPr>
      <w:r>
        <w:t>DESCRIPTION</w:t>
      </w:r>
    </w:p>
    <w:p w14:paraId="6EADEF13" w14:textId="77777777" w:rsidR="00DF410E" w:rsidRDefault="00CE7F43">
      <w:pPr>
        <w:pStyle w:val="pheading"/>
      </w:pPr>
      <w:r>
        <w:t>- Définition / Comprend</w:t>
      </w:r>
    </w:p>
    <w:p w14:paraId="21B99FE5" w14:textId="77777777" w:rsidR="00DF410E" w:rsidRDefault="00CE7F43">
      <w:r>
        <w:t>Renvoi au §</w:t>
      </w:r>
      <w:hyperlink w:anchor="440" w:history="1">
        <w:r>
          <w:t>21.86.4 Rejointoyages</w:t>
        </w:r>
      </w:hyperlink>
    </w:p>
    <w:p w14:paraId="6937CE8F" w14:textId="77777777" w:rsidR="00DF410E" w:rsidRDefault="00CE7F43">
      <w:pPr>
        <w:pStyle w:val="Author-eSectionHeading4"/>
      </w:pPr>
      <w:bookmarkStart w:id="534" w:name="_Toc178837724"/>
      <w:r>
        <w:t>21.84 Renforcements CCTB 01.04</w:t>
      </w:r>
      <w:bookmarkEnd w:id="534"/>
    </w:p>
    <w:p w14:paraId="1CFC30E6" w14:textId="77777777" w:rsidR="00DF410E" w:rsidRDefault="00CE7F43">
      <w:pPr>
        <w:pStyle w:val="Author-eSectionHeading5"/>
      </w:pPr>
      <w:bookmarkStart w:id="535" w:name="703"/>
      <w:bookmarkStart w:id="536" w:name="_Toc178837725"/>
      <w:bookmarkEnd w:id="535"/>
      <w:r>
        <w:t>21.84.1 Renforcements par injections de coulis CCTB 01.04</w:t>
      </w:r>
      <w:bookmarkEnd w:id="536"/>
    </w:p>
    <w:p w14:paraId="11EC9F14" w14:textId="77777777" w:rsidR="00DF410E" w:rsidRDefault="00CE7F43">
      <w:pPr>
        <w:pStyle w:val="Author-eSectionHeading6"/>
      </w:pPr>
      <w:bookmarkStart w:id="537" w:name="_Toc178837726"/>
      <w:r>
        <w:t>21.84.1a Injections de fissures par mortier minéral à retrait compensé CCTB 01.04</w:t>
      </w:r>
      <w:bookmarkEnd w:id="537"/>
    </w:p>
    <w:p w14:paraId="3D9F8C98" w14:textId="77777777" w:rsidR="00DF410E" w:rsidRDefault="00CE7F43">
      <w:pPr>
        <w:pStyle w:val="Author-eSectionHeading6"/>
      </w:pPr>
      <w:bookmarkStart w:id="538" w:name="_Toc178837727"/>
      <w:r>
        <w:t>21.84.1b Injections de fissures à base de résines à 2 composants CCTB 01.04</w:t>
      </w:r>
      <w:bookmarkEnd w:id="538"/>
    </w:p>
    <w:p w14:paraId="2CE18441" w14:textId="77777777" w:rsidR="00DF410E" w:rsidRDefault="00CE7F43">
      <w:pPr>
        <w:pStyle w:val="Author-eSectionHeading6"/>
      </w:pPr>
      <w:bookmarkStart w:id="539" w:name="_Toc178837728"/>
      <w:r>
        <w:t>21.84.1c Injections de masse par coulis minéral CCTB 01.04</w:t>
      </w:r>
      <w:bookmarkEnd w:id="539"/>
    </w:p>
    <w:p w14:paraId="629B6DB4" w14:textId="77777777" w:rsidR="00DF410E" w:rsidRDefault="00CE7F43">
      <w:pPr>
        <w:pStyle w:val="Author-eSectionHeading6"/>
      </w:pPr>
      <w:bookmarkStart w:id="540" w:name="_Toc178837729"/>
      <w:r>
        <w:t>21.84.1d Injections de masse par coulis organique CCTB 01.04</w:t>
      </w:r>
      <w:bookmarkEnd w:id="540"/>
    </w:p>
    <w:p w14:paraId="7FCC8627" w14:textId="77777777" w:rsidR="00DF410E" w:rsidRDefault="00CE7F43">
      <w:pPr>
        <w:pStyle w:val="Author-eSectionHeading5"/>
      </w:pPr>
      <w:bookmarkStart w:id="541" w:name="_Toc178837730"/>
      <w:r>
        <w:t>21.84.2 Renforcements par insertions et scellements de barres (ancrages / brochages / agrafages / épinglages) CCTB 01.04</w:t>
      </w:r>
      <w:bookmarkEnd w:id="541"/>
    </w:p>
    <w:p w14:paraId="6443785B" w14:textId="77777777" w:rsidR="00DF410E" w:rsidRDefault="00CE7F43">
      <w:pPr>
        <w:pStyle w:val="Author-eSectionHeading6"/>
      </w:pPr>
      <w:bookmarkStart w:id="542" w:name="_Toc178837731"/>
      <w:r>
        <w:t>21.84.2a Scellements de barres dans une maçonnerie CCTB 01.04</w:t>
      </w:r>
      <w:bookmarkEnd w:id="542"/>
    </w:p>
    <w:p w14:paraId="0B6D345F" w14:textId="77777777" w:rsidR="00DF410E" w:rsidRDefault="00CE7F43">
      <w:pPr>
        <w:pStyle w:val="Author-eSectionHeading6"/>
      </w:pPr>
      <w:bookmarkStart w:id="543" w:name="_Toc178837732"/>
      <w:r>
        <w:t>21.84.2b Ancrages d'éléments ponctuels CCTB 01.04</w:t>
      </w:r>
      <w:bookmarkEnd w:id="543"/>
    </w:p>
    <w:p w14:paraId="777ED6E8" w14:textId="77777777" w:rsidR="00DF410E" w:rsidRDefault="00CE7F43">
      <w:pPr>
        <w:pStyle w:val="Author-eSectionHeading6"/>
      </w:pPr>
      <w:bookmarkStart w:id="544" w:name="_Toc178837733"/>
      <w:r>
        <w:t>21.84.2c Solidarisation du parement avec la structure CCTB 01.02</w:t>
      </w:r>
      <w:bookmarkEnd w:id="544"/>
    </w:p>
    <w:p w14:paraId="58077D8A" w14:textId="77777777" w:rsidR="00DF410E" w:rsidRDefault="00CE7F43">
      <w:pPr>
        <w:pStyle w:val="Author-eSectionHeading6"/>
      </w:pPr>
      <w:bookmarkStart w:id="545" w:name="_Toc178837734"/>
      <w:r>
        <w:t>21.84.2d Coutures de fissures CCTB 01.04</w:t>
      </w:r>
      <w:bookmarkEnd w:id="545"/>
    </w:p>
    <w:p w14:paraId="3267E955" w14:textId="77777777" w:rsidR="00DF410E" w:rsidRDefault="00CE7F43">
      <w:pPr>
        <w:pStyle w:val="Author-eSectionHeading5"/>
      </w:pPr>
      <w:bookmarkStart w:id="546" w:name="_Toc178837735"/>
      <w:r>
        <w:t>21.84.3 Renforcements par collages d'armatures CCTB 01.04</w:t>
      </w:r>
      <w:bookmarkEnd w:id="546"/>
    </w:p>
    <w:p w14:paraId="576F1F52" w14:textId="77777777" w:rsidR="00DF410E" w:rsidRDefault="00CE7F43">
      <w:pPr>
        <w:pStyle w:val="Author-eSectionHeading6"/>
      </w:pPr>
      <w:bookmarkStart w:id="547" w:name="_Toc178837736"/>
      <w:r>
        <w:t>21.84.3a Ajouts d'armatures collées en acier CCTB 01.04</w:t>
      </w:r>
      <w:bookmarkEnd w:id="547"/>
    </w:p>
    <w:p w14:paraId="5D116487" w14:textId="77777777" w:rsidR="00DF410E" w:rsidRDefault="00CE7F43">
      <w:pPr>
        <w:pStyle w:val="Author-eSectionHeading6"/>
      </w:pPr>
      <w:bookmarkStart w:id="548" w:name="_Toc178837737"/>
      <w:r>
        <w:t>21.84.3b Ajouts d'armatures collées en fibres de carbone CCTB 01.04</w:t>
      </w:r>
      <w:bookmarkEnd w:id="548"/>
    </w:p>
    <w:p w14:paraId="7F4A83C7" w14:textId="77777777" w:rsidR="00DF410E" w:rsidRDefault="00CE7F43">
      <w:pPr>
        <w:pStyle w:val="Author-eSectionHeading5"/>
      </w:pPr>
      <w:bookmarkStart w:id="549" w:name="_Toc178837738"/>
      <w:r>
        <w:t>21.84.4 Renforcements par projections de béton CCTB 01.04</w:t>
      </w:r>
      <w:bookmarkEnd w:id="549"/>
    </w:p>
    <w:p w14:paraId="68AE6958" w14:textId="77777777" w:rsidR="00DF410E" w:rsidRDefault="00CE7F43">
      <w:pPr>
        <w:pStyle w:val="Author-eSectionHeading6"/>
      </w:pPr>
      <w:bookmarkStart w:id="550" w:name="_Toc178837739"/>
      <w:r>
        <w:t>21.84.4a Renforcements par projections de béton CCTB 01.04</w:t>
      </w:r>
      <w:bookmarkEnd w:id="550"/>
    </w:p>
    <w:p w14:paraId="060C3F25" w14:textId="77777777" w:rsidR="00DF410E" w:rsidRDefault="00CE7F43">
      <w:pPr>
        <w:pStyle w:val="Author-eSectionHeading5"/>
      </w:pPr>
      <w:bookmarkStart w:id="551" w:name="_Toc178837740"/>
      <w:r>
        <w:t>21.84.5 Renforcements par ajout de structures internes CCTB 01.04</w:t>
      </w:r>
      <w:bookmarkEnd w:id="551"/>
    </w:p>
    <w:p w14:paraId="1EDF30AE" w14:textId="77777777" w:rsidR="00DF410E" w:rsidRDefault="00CE7F43">
      <w:pPr>
        <w:pStyle w:val="Author-eSectionHeading6"/>
      </w:pPr>
      <w:bookmarkStart w:id="552" w:name="_Toc178837741"/>
      <w:r>
        <w:t>21.84.5a Renforcements localisés par poutre en béton armé dans une maçonnerie (angles, etc.) CCTB 01.04</w:t>
      </w:r>
      <w:bookmarkEnd w:id="552"/>
    </w:p>
    <w:p w14:paraId="735B4C90" w14:textId="77777777" w:rsidR="00DF410E" w:rsidRDefault="00CE7F43">
      <w:pPr>
        <w:pStyle w:val="Author-eSectionHeading6"/>
      </w:pPr>
      <w:bookmarkStart w:id="553" w:name="_Toc178837742"/>
      <w:r>
        <w:t>21.84.5b Ajouts de barres métalliques internes (démontage + pose + remontage) CCTB 01.04</w:t>
      </w:r>
      <w:bookmarkEnd w:id="553"/>
    </w:p>
    <w:p w14:paraId="109529D9" w14:textId="77777777" w:rsidR="00DF410E" w:rsidRDefault="00CE7F43">
      <w:pPr>
        <w:pStyle w:val="Author-eSectionHeading5"/>
      </w:pPr>
      <w:bookmarkStart w:id="554" w:name="_Toc178837743"/>
      <w:r>
        <w:t>21.84.6 Renforcements par ajout de structures externes CCTB 01.04</w:t>
      </w:r>
      <w:bookmarkEnd w:id="554"/>
    </w:p>
    <w:p w14:paraId="45733549" w14:textId="77777777" w:rsidR="00DF410E" w:rsidRDefault="00CE7F43">
      <w:pPr>
        <w:pStyle w:val="Author-eSectionHeading6"/>
      </w:pPr>
      <w:bookmarkStart w:id="555" w:name="_Toc178837744"/>
      <w:r>
        <w:t>21.84.6a Ajouts de tirants métalliques externes CCTB 01.04</w:t>
      </w:r>
      <w:bookmarkEnd w:id="555"/>
    </w:p>
    <w:p w14:paraId="6FD007FC" w14:textId="77777777" w:rsidR="00DF410E" w:rsidRDefault="00CE7F43">
      <w:pPr>
        <w:pStyle w:val="Author-eSectionHeading6"/>
      </w:pPr>
      <w:bookmarkStart w:id="556" w:name="_Toc178837745"/>
      <w:r>
        <w:t>21.84.6b Renforcements par ajout de poutres de ceinture en béton armé CCTB 01.04</w:t>
      </w:r>
      <w:bookmarkEnd w:id="556"/>
    </w:p>
    <w:p w14:paraId="1ACF3FEA" w14:textId="77777777" w:rsidR="00DF410E" w:rsidRDefault="00CE7F43">
      <w:pPr>
        <w:pStyle w:val="Author-eSectionHeading6"/>
      </w:pPr>
      <w:bookmarkStart w:id="557" w:name="_Toc178837746"/>
      <w:r>
        <w:t>21.84.6c Couches de compression sur voûtes CCTB 01.02</w:t>
      </w:r>
      <w:bookmarkEnd w:id="557"/>
    </w:p>
    <w:p w14:paraId="1BD3C71B" w14:textId="77777777" w:rsidR="00DF410E" w:rsidRDefault="00CE7F43">
      <w:pPr>
        <w:pStyle w:val="Author-eSectionHeading6"/>
      </w:pPr>
      <w:bookmarkStart w:id="558" w:name="_Toc178837747"/>
      <w:r>
        <w:t>21.84.6d Structures de délestage autour d'une structure existante CCTB 01.04</w:t>
      </w:r>
      <w:bookmarkEnd w:id="558"/>
    </w:p>
    <w:p w14:paraId="268A1B25" w14:textId="77777777" w:rsidR="00DF410E" w:rsidRDefault="00CE7F43">
      <w:pPr>
        <w:pStyle w:val="Author-eSectionHeading6"/>
      </w:pPr>
      <w:bookmarkStart w:id="559" w:name="_Toc178837748"/>
      <w:r>
        <w:t>21.84.6e Carcanages en tête de construction CCTB 01.04</w:t>
      </w:r>
      <w:bookmarkEnd w:id="559"/>
    </w:p>
    <w:p w14:paraId="1B402718" w14:textId="77777777" w:rsidR="00DF410E" w:rsidRDefault="00CE7F43">
      <w:pPr>
        <w:pStyle w:val="Author-eSectionHeading4"/>
      </w:pPr>
      <w:bookmarkStart w:id="560" w:name="_Toc178837749"/>
      <w:r>
        <w:t>21.85 Adaptations CCTB 01.07</w:t>
      </w:r>
      <w:bookmarkEnd w:id="560"/>
    </w:p>
    <w:p w14:paraId="07289698" w14:textId="77777777" w:rsidR="00DF410E" w:rsidRDefault="00CE7F43">
      <w:pPr>
        <w:pStyle w:val="pheading"/>
      </w:pPr>
      <w:r>
        <w:t>DESCRIPTION</w:t>
      </w:r>
    </w:p>
    <w:p w14:paraId="3B25F4A6" w14:textId="77777777" w:rsidR="00DF410E" w:rsidRDefault="00CE7F43">
      <w:pPr>
        <w:pStyle w:val="pheading"/>
      </w:pPr>
      <w:r>
        <w:t>- Définition / Comprend</w:t>
      </w:r>
    </w:p>
    <w:p w14:paraId="3A275D52" w14:textId="77777777" w:rsidR="00DF410E" w:rsidRDefault="00CE7F43">
      <w:pPr>
        <w:jc w:val="both"/>
      </w:pPr>
      <w:r>
        <w:t>Ce poste comprend :</w:t>
      </w:r>
    </w:p>
    <w:p w14:paraId="1333E48A" w14:textId="77777777" w:rsidR="00DF410E" w:rsidRDefault="00CE7F43">
      <w:pPr>
        <w:pStyle w:val="Author-eListParagraph"/>
        <w:numPr>
          <w:ilvl w:val="0"/>
          <w:numId w:val="299"/>
        </w:numPr>
      </w:pPr>
      <w:r>
        <w:t>la préparation des travaux, l'installation des échafaudages, des protections, des bâches ;</w:t>
      </w:r>
    </w:p>
    <w:p w14:paraId="48D33C21" w14:textId="77777777" w:rsidR="00DF410E" w:rsidRDefault="00CE7F43">
      <w:pPr>
        <w:pStyle w:val="Author-eListParagraph"/>
        <w:numPr>
          <w:ilvl w:val="0"/>
          <w:numId w:val="299"/>
        </w:numPr>
      </w:pPr>
      <w:r>
        <w:t>le cas échéant, le nettoyage et/ou le grattage des finitions de maçonnerie ;</w:t>
      </w:r>
    </w:p>
    <w:p w14:paraId="6AB68817" w14:textId="77777777" w:rsidR="00DF410E" w:rsidRDefault="00CE7F43">
      <w:pPr>
        <w:pStyle w:val="Author-eListParagraph"/>
        <w:numPr>
          <w:ilvl w:val="0"/>
          <w:numId w:val="299"/>
        </w:numPr>
      </w:pPr>
      <w:r>
        <w:t>les travaux d’étançonnement, de soutènement et de protection des ouvrages attenants ;</w:t>
      </w:r>
    </w:p>
    <w:p w14:paraId="778FCCD8" w14:textId="77777777" w:rsidR="00DF410E" w:rsidRDefault="00CE7F43">
      <w:pPr>
        <w:pStyle w:val="Author-eListParagraph"/>
        <w:numPr>
          <w:ilvl w:val="0"/>
          <w:numId w:val="299"/>
        </w:numPr>
      </w:pPr>
      <w:r>
        <w:t>les démolitions ciblées de maçonneries ;</w:t>
      </w:r>
    </w:p>
    <w:p w14:paraId="62B26949" w14:textId="77777777" w:rsidR="00DF410E" w:rsidRDefault="00CE7F43">
      <w:pPr>
        <w:pStyle w:val="Author-eListParagraph"/>
        <w:numPr>
          <w:ilvl w:val="0"/>
          <w:numId w:val="299"/>
        </w:numPr>
      </w:pPr>
      <w:r>
        <w:t>la fourniture et la préparation de tous les matériaux nécessaires à l’adaptation des maçonneries ;</w:t>
      </w:r>
    </w:p>
    <w:p w14:paraId="717E083B" w14:textId="77777777" w:rsidR="00DF410E" w:rsidRDefault="00CE7F43">
      <w:pPr>
        <w:pStyle w:val="Author-eListParagraph"/>
        <w:numPr>
          <w:ilvl w:val="0"/>
          <w:numId w:val="299"/>
        </w:numPr>
      </w:pPr>
      <w:r>
        <w:t>l’exécution proprement dite des adaptations des maçonneries et les éventuelles mesures de protection ;</w:t>
      </w:r>
    </w:p>
    <w:p w14:paraId="0B0EC329" w14:textId="77777777" w:rsidR="00DF410E" w:rsidRDefault="00CE7F43">
      <w:pPr>
        <w:pStyle w:val="Author-eListParagraph"/>
        <w:numPr>
          <w:ilvl w:val="0"/>
          <w:numId w:val="299"/>
        </w:numPr>
      </w:pPr>
      <w:r>
        <w:t>l’enlèvement des protections et des échafaudages ;</w:t>
      </w:r>
    </w:p>
    <w:p w14:paraId="5061BBF5" w14:textId="77777777" w:rsidR="00DF410E" w:rsidRDefault="00CE7F43">
      <w:pPr>
        <w:pStyle w:val="Author-eListParagraph"/>
        <w:numPr>
          <w:ilvl w:val="0"/>
          <w:numId w:val="299"/>
        </w:numPr>
      </w:pPr>
      <w:r>
        <w:t>les réparations et ragréages des maçonneries attenantes ;</w:t>
      </w:r>
    </w:p>
    <w:p w14:paraId="50748B75" w14:textId="77777777" w:rsidR="00DF410E" w:rsidRDefault="00CE7F43">
      <w:pPr>
        <w:pStyle w:val="Author-eListParagraph"/>
        <w:numPr>
          <w:ilvl w:val="0"/>
          <w:numId w:val="299"/>
        </w:numPr>
      </w:pPr>
      <w:r>
        <w:t>l’évacuation des déchets et le nettoyage du chantier.</w:t>
      </w:r>
    </w:p>
    <w:p w14:paraId="2216DF19" w14:textId="77777777" w:rsidR="00DF410E" w:rsidRDefault="00CE7F43">
      <w:pPr>
        <w:jc w:val="both"/>
      </w:pPr>
      <w:r>
        <w:t xml:space="preserve">L’évacuation et la gestion des déchets issus de travaux de démolition, d’adaptations ou de construction font l’objet d’un ou plusieurs postes spécifiques, détaillés dans le Tome 0, section </w:t>
      </w:r>
      <w:hyperlink r:id="rId49" w:history="1" w:docLocation="116">
        <w:r>
          <w:t>07 Déchets, matériaux et éléments réemployables</w:t>
        </w:r>
      </w:hyperlink>
      <w:r>
        <w:t>.</w:t>
      </w:r>
    </w:p>
    <w:p w14:paraId="62798285" w14:textId="77777777" w:rsidR="00DF410E" w:rsidRDefault="00CE7F43">
      <w:pPr>
        <w:pStyle w:val="pheading"/>
      </w:pPr>
      <w:r>
        <w:t>DOCUMENTS DE RÉFÉRENCE</w:t>
      </w:r>
    </w:p>
    <w:p w14:paraId="6A910A3F" w14:textId="77777777" w:rsidR="00DF410E" w:rsidRDefault="00CE7F43">
      <w:pPr>
        <w:pStyle w:val="pheading"/>
      </w:pPr>
      <w:r>
        <w:t>- Matériau</w:t>
      </w:r>
    </w:p>
    <w:p w14:paraId="5942FC3C" w14:textId="77777777" w:rsidR="00DF410E" w:rsidRDefault="00CE7F43">
      <w:r>
        <w:t xml:space="preserve">Renvoi à la section </w:t>
      </w:r>
      <w:hyperlink w:anchor="293" w:history="1">
        <w:r>
          <w:t>21 Superstructures en maçonnerie</w:t>
        </w:r>
      </w:hyperlink>
      <w:r>
        <w:t>.</w:t>
      </w:r>
    </w:p>
    <w:p w14:paraId="79D37278" w14:textId="77777777" w:rsidR="00DF410E" w:rsidRDefault="00CE7F43">
      <w:pPr>
        <w:pStyle w:val="pheading"/>
      </w:pPr>
      <w:r>
        <w:t>- Exécution</w:t>
      </w:r>
    </w:p>
    <w:p w14:paraId="3FDB5C48" w14:textId="77777777" w:rsidR="00DF410E" w:rsidRDefault="00CE7F43">
      <w:r>
        <w:t xml:space="preserve">Renvoi à la section </w:t>
      </w:r>
      <w:hyperlink w:anchor="293" w:history="1">
        <w:r>
          <w:t>21 Superstructures en maçonnerie</w:t>
        </w:r>
      </w:hyperlink>
      <w:r>
        <w:br/>
        <w:t xml:space="preserve">Renvoi également au tome 0, section </w:t>
      </w:r>
      <w:hyperlink r:id="rId50" w:history="1" w:docLocation="85">
        <w:r>
          <w:t>03 Études, essais et contrôles en cours de chantier</w:t>
        </w:r>
      </w:hyperlink>
      <w:r>
        <w:t>. </w:t>
      </w:r>
    </w:p>
    <w:p w14:paraId="5D700534" w14:textId="77777777" w:rsidR="00DF410E" w:rsidRDefault="00CE7F43">
      <w:pPr>
        <w:pStyle w:val="Author-eSectionHeading5"/>
      </w:pPr>
      <w:bookmarkStart w:id="561" w:name="_Toc178837750"/>
      <w:r>
        <w:t>21.85.1 Réalisations de liaisonnement entre maçonneries existante et nouvelle (construction en arrachement) CCTB 01.02</w:t>
      </w:r>
      <w:bookmarkEnd w:id="561"/>
    </w:p>
    <w:p w14:paraId="2D848DEF" w14:textId="77777777" w:rsidR="00DF410E" w:rsidRDefault="00CE7F43">
      <w:pPr>
        <w:pStyle w:val="Author-eSectionHeading6"/>
      </w:pPr>
      <w:bookmarkStart w:id="562" w:name="_Toc178837751"/>
      <w:r>
        <w:t>21.85.1a Réalisations de liaisonnement entre maçonneries existante et nouvelle CCTB 01.02</w:t>
      </w:r>
      <w:bookmarkEnd w:id="562"/>
    </w:p>
    <w:p w14:paraId="5145CED5" w14:textId="77777777" w:rsidR="00DF410E" w:rsidRDefault="00CE7F43">
      <w:pPr>
        <w:pStyle w:val="Author-eSectionHeading5"/>
      </w:pPr>
      <w:bookmarkStart w:id="563" w:name="_Toc178837752"/>
      <w:r>
        <w:t>21.85.2 Adaptations de maçonneries pour baies / passages CCTB 01.11</w:t>
      </w:r>
      <w:bookmarkEnd w:id="563"/>
    </w:p>
    <w:p w14:paraId="7E1CA661" w14:textId="77777777" w:rsidR="00DF410E" w:rsidRDefault="00CE7F43">
      <w:pPr>
        <w:pStyle w:val="pheading"/>
      </w:pPr>
      <w:r>
        <w:t>EXÉCUTION / MISE EN ŒUVRE</w:t>
      </w:r>
    </w:p>
    <w:p w14:paraId="2C27D1BF" w14:textId="77777777" w:rsidR="00DF410E" w:rsidRDefault="00CE7F43">
      <w:r>
        <w:t xml:space="preserve">Etude et plans d'exécution à charge </w:t>
      </w:r>
      <w:r>
        <w:rPr>
          <w:rStyle w:val="optioncarChar"/>
        </w:rPr>
        <w:t>de l'entrepreneur</w:t>
      </w:r>
      <w:r>
        <w:t xml:space="preserve"> (par défaut) </w:t>
      </w:r>
      <w:r>
        <w:rPr>
          <w:rStyle w:val="optioncarChar"/>
        </w:rPr>
        <w:t>/ du maître de l'ouvrage</w:t>
      </w:r>
      <w:r>
        <w:t>.</w:t>
      </w:r>
    </w:p>
    <w:p w14:paraId="0EA665A1" w14:textId="77777777" w:rsidR="00DF410E" w:rsidRDefault="00CE7F43">
      <w:r>
        <w:rPr>
          <w:b/>
        </w:rPr>
        <w:t>(soit par défaut)</w:t>
      </w:r>
      <w:r>
        <w:br/>
      </w:r>
      <w:r>
        <w:rPr>
          <w:rStyle w:val="soitChar"/>
          <w:u w:val="single"/>
        </w:rPr>
        <w:t>De l'entrepreneur</w:t>
      </w:r>
      <w:r>
        <w:rPr>
          <w:rStyle w:val="soitChar"/>
        </w:rPr>
        <w:t xml:space="preserve"> : </w:t>
      </w:r>
      <w:r>
        <w:br/>
      </w:r>
      <w:r>
        <w:rPr>
          <w:rStyle w:val="soitChar"/>
        </w:rPr>
        <w:t xml:space="preserve"> Les frais pour la réalisation des études et des plans d’exécution sont compris dans le prix de l'entreprise. Les dessins d'exécution établis par l'ingénieur, que l'entrepreneur a chargé de l'étude de stabilité, sont soumis à l'approbation de la direction des travaux avant le début des travaux. Ils sont établis conformément aux indications données dans les documents d'adjudication (plans, cahiers des charges, bordereaux).</w:t>
      </w:r>
    </w:p>
    <w:p w14:paraId="209591C7" w14:textId="77777777" w:rsidR="00DF410E" w:rsidRDefault="00CE7F43">
      <w:r>
        <w:rPr>
          <w:b/>
        </w:rPr>
        <w:t>(soit)</w:t>
      </w:r>
      <w:r>
        <w:br/>
      </w:r>
      <w:r>
        <w:rPr>
          <w:rStyle w:val="soitChar"/>
          <w:u w:val="single"/>
        </w:rPr>
        <w:t>Du maître de l'ouvrage</w:t>
      </w:r>
      <w:r>
        <w:rPr>
          <w:rStyle w:val="soitChar"/>
        </w:rPr>
        <w:t xml:space="preserve"> : </w:t>
      </w:r>
      <w:r>
        <w:br/>
      </w:r>
      <w:r>
        <w:rPr>
          <w:rStyle w:val="soitChar"/>
        </w:rPr>
        <w:t xml:space="preserve"> Les travaux sont exécutés conformément aux documents de travail annexés au dossier d'adjudication (plans, cahiers des charges, bordereaux, dessins de détail). L'entrepreneur est toutefois tenu de vérifier s'il est possible d'exécuter les ouvrages conformément aux documents d'exécution et/ou s'il n'y a pas d'incompatibilités entre les différents documents. Avant de commencer les travaux, il met l'auteur de projet au courant de ses éventuelles remarques à ce sujet.</w:t>
      </w:r>
    </w:p>
    <w:p w14:paraId="2506534A" w14:textId="77777777" w:rsidR="00DF410E" w:rsidRDefault="00CE7F43">
      <w:pPr>
        <w:pStyle w:val="pheading"/>
      </w:pPr>
      <w:r>
        <w:t>DOCUMENTS DE RÉFÉRENCE</w:t>
      </w:r>
    </w:p>
    <w:p w14:paraId="7EB6091B" w14:textId="77777777" w:rsidR="00DF410E" w:rsidRDefault="00CE7F43">
      <w:pPr>
        <w:pStyle w:val="pheading"/>
      </w:pPr>
      <w:r>
        <w:t>- Matériau</w:t>
      </w:r>
    </w:p>
    <w:p w14:paraId="28885F19" w14:textId="77777777" w:rsidR="00DF410E" w:rsidRDefault="00CE7F43">
      <w:r>
        <w:rPr>
          <w:b/>
        </w:rPr>
        <w:t>Maçonneries</w:t>
      </w:r>
      <w:r>
        <w:br/>
        <w:t>Renvoi aux éléments suivants, et à l'ensemble des éléments qui en découlent :</w:t>
      </w:r>
    </w:p>
    <w:p w14:paraId="12B51987" w14:textId="77777777" w:rsidR="00DF410E" w:rsidRDefault="004016E8">
      <w:pPr>
        <w:pStyle w:val="Author-eListParagraph"/>
        <w:numPr>
          <w:ilvl w:val="0"/>
          <w:numId w:val="300"/>
        </w:numPr>
      </w:pPr>
      <w:hyperlink w:anchor="451" w:history="1">
        <w:r w:rsidR="00CE7F43">
          <w:t>21.11 Maçonneries portantes en briques</w:t>
        </w:r>
      </w:hyperlink>
      <w:r w:rsidR="00CE7F43">
        <w:t xml:space="preserve">, </w:t>
      </w:r>
      <w:hyperlink w:anchor="452" w:history="1">
        <w:r w:rsidR="00CE7F43">
          <w:t>21.12 Maçonneries portantes en blocs</w:t>
        </w:r>
      </w:hyperlink>
      <w:r w:rsidR="00CE7F43">
        <w:t xml:space="preserve">, </w:t>
      </w:r>
      <w:hyperlink w:anchor="453" w:history="1">
        <w:r w:rsidR="00CE7F43">
          <w:t>21.13 Maçonneries portantes en pierre</w:t>
        </w:r>
      </w:hyperlink>
      <w:r w:rsidR="00CE7F43">
        <w:t xml:space="preserve">, </w:t>
      </w:r>
      <w:hyperlink w:anchor="454" w:history="1">
        <w:r w:rsidR="00CE7F43">
          <w:t>21.14 Maçonneries portantes en grands éléments</w:t>
        </w:r>
      </w:hyperlink>
      <w:r w:rsidR="00CE7F43">
        <w:t xml:space="preserve"> et </w:t>
      </w:r>
      <w:hyperlink w:anchor="455" w:history="1">
        <w:r w:rsidR="00CE7F43">
          <w:t>21.15 Maçonneries portantes particulières</w:t>
        </w:r>
      </w:hyperlink>
    </w:p>
    <w:p w14:paraId="48A1028B" w14:textId="77777777" w:rsidR="00DF410E" w:rsidRDefault="004016E8">
      <w:pPr>
        <w:pStyle w:val="Author-eListParagraph"/>
        <w:numPr>
          <w:ilvl w:val="0"/>
          <w:numId w:val="301"/>
        </w:numPr>
      </w:pPr>
      <w:hyperlink w:anchor="456" w:history="1">
        <w:r w:rsidR="00CE7F43">
          <w:t>21.21 Maçonneries non portantes en briques</w:t>
        </w:r>
      </w:hyperlink>
      <w:r w:rsidR="00CE7F43">
        <w:t xml:space="preserve">, </w:t>
      </w:r>
      <w:hyperlink w:anchor="457" w:history="1">
        <w:r w:rsidR="00CE7F43">
          <w:t>21.22 Maçonneries non portantes en blocs</w:t>
        </w:r>
      </w:hyperlink>
      <w:r w:rsidR="00CE7F43">
        <w:t xml:space="preserve">, </w:t>
      </w:r>
      <w:hyperlink w:anchor="458" w:history="1">
        <w:r w:rsidR="00CE7F43">
          <w:t>21.23 Maçonneries non portantes en pierre</w:t>
        </w:r>
      </w:hyperlink>
      <w:r w:rsidR="00CE7F43">
        <w:t xml:space="preserve">, </w:t>
      </w:r>
      <w:hyperlink w:anchor="459" w:history="1">
        <w:r w:rsidR="00CE7F43">
          <w:t>21.24 Maçonneries non portantes en grands éléments</w:t>
        </w:r>
      </w:hyperlink>
      <w:r w:rsidR="00CE7F43">
        <w:t xml:space="preserve"> et </w:t>
      </w:r>
      <w:hyperlink w:anchor="460" w:history="1">
        <w:r w:rsidR="00CE7F43">
          <w:t>21.25 Maçonneries non portantes en ensembles de blocs de verre</w:t>
        </w:r>
      </w:hyperlink>
    </w:p>
    <w:p w14:paraId="63EB78AB" w14:textId="77777777" w:rsidR="00DF410E" w:rsidRDefault="004016E8">
      <w:pPr>
        <w:pStyle w:val="Author-eListParagraph"/>
        <w:numPr>
          <w:ilvl w:val="0"/>
          <w:numId w:val="302"/>
        </w:numPr>
      </w:pPr>
      <w:hyperlink w:anchor="407" w:history="1">
        <w:r w:rsidR="00CE7F43">
          <w:t>21.31 Maçonneries de parement en briques</w:t>
        </w:r>
      </w:hyperlink>
      <w:r w:rsidR="00CE7F43">
        <w:t xml:space="preserve">, </w:t>
      </w:r>
      <w:hyperlink w:anchor="461" w:history="1">
        <w:r w:rsidR="00CE7F43">
          <w:t>21.32 Maçonneries de parement en blocs</w:t>
        </w:r>
      </w:hyperlink>
      <w:r w:rsidR="00CE7F43">
        <w:t xml:space="preserve">, </w:t>
      </w:r>
      <w:hyperlink w:anchor="462" w:history="1">
        <w:r w:rsidR="00CE7F43">
          <w:t>21.33 Maçonneries de parement en pierre</w:t>
        </w:r>
      </w:hyperlink>
      <w:r w:rsidR="00CE7F43">
        <w:t xml:space="preserve">, </w:t>
      </w:r>
      <w:hyperlink w:anchor="463" w:history="1">
        <w:r w:rsidR="00CE7F43">
          <w:t>21.34 Maçonneries de parement en grands éléments</w:t>
        </w:r>
      </w:hyperlink>
      <w:r w:rsidR="00CE7F43">
        <w:t xml:space="preserve">, </w:t>
      </w:r>
      <w:hyperlink w:anchor="464" w:history="1">
        <w:r w:rsidR="00CE7F43">
          <w:t>21.35 Maçonneries de parement en blocs de verre</w:t>
        </w:r>
      </w:hyperlink>
      <w:r w:rsidR="00CE7F43">
        <w:t xml:space="preserve"> et </w:t>
      </w:r>
      <w:hyperlink w:anchor="411" w:history="1">
        <w:r w:rsidR="00CE7F43">
          <w:t>21.36 Eléments particuliers de façades</w:t>
        </w:r>
      </w:hyperlink>
    </w:p>
    <w:p w14:paraId="5B8120B8" w14:textId="77777777" w:rsidR="00DF410E" w:rsidRDefault="00CE7F43">
      <w:r>
        <w:rPr>
          <w:b/>
        </w:rPr>
        <w:t>Linteaux</w:t>
      </w:r>
      <w:r>
        <w:br/>
        <w:t>Renvoi aux éléments suivants, et à l'ensemble des éléments qui en découlent :</w:t>
      </w:r>
    </w:p>
    <w:p w14:paraId="03D12291" w14:textId="77777777" w:rsidR="00DF410E" w:rsidRDefault="004016E8">
      <w:pPr>
        <w:pStyle w:val="Author-eListParagraph"/>
        <w:numPr>
          <w:ilvl w:val="0"/>
          <w:numId w:val="303"/>
        </w:numPr>
      </w:pPr>
      <w:hyperlink w:anchor="400" w:history="1">
        <w:r w:rsidR="00CE7F43">
          <w:t>21.36.3 Linteaux</w:t>
        </w:r>
      </w:hyperlink>
      <w:r w:rsidR="00CE7F43">
        <w:t>,</w:t>
      </w:r>
    </w:p>
    <w:p w14:paraId="0927C17D" w14:textId="77777777" w:rsidR="00DF410E" w:rsidRDefault="004016E8">
      <w:pPr>
        <w:pStyle w:val="Author-eListParagraph"/>
        <w:numPr>
          <w:ilvl w:val="0"/>
          <w:numId w:val="303"/>
        </w:numPr>
      </w:pPr>
      <w:hyperlink w:anchor="358" w:history="1">
        <w:r w:rsidR="00CE7F43">
          <w:t>22.13 Linteaux en béton</w:t>
        </w:r>
      </w:hyperlink>
      <w:r w:rsidR="00CE7F43">
        <w:t>,</w:t>
      </w:r>
    </w:p>
    <w:p w14:paraId="55367D59" w14:textId="77777777" w:rsidR="00DF410E" w:rsidRDefault="004016E8">
      <w:pPr>
        <w:pStyle w:val="Author-eListParagraph"/>
        <w:numPr>
          <w:ilvl w:val="0"/>
          <w:numId w:val="303"/>
        </w:numPr>
      </w:pPr>
      <w:hyperlink w:anchor="401" w:history="1">
        <w:r w:rsidR="00CE7F43">
          <w:t>23.13 Linteaux métalliques</w:t>
        </w:r>
      </w:hyperlink>
    </w:p>
    <w:p w14:paraId="2673AE3A" w14:textId="77777777" w:rsidR="00DF410E" w:rsidRDefault="00CE7F43">
      <w:pPr>
        <w:pStyle w:val="Author-eListParagraph"/>
        <w:numPr>
          <w:ilvl w:val="0"/>
          <w:numId w:val="303"/>
        </w:numPr>
      </w:pPr>
      <w:r>
        <w:t>24.13 Linteaux en bois</w:t>
      </w:r>
    </w:p>
    <w:p w14:paraId="3EEFBA51" w14:textId="77777777" w:rsidR="00DF410E" w:rsidRDefault="00CE7F43">
      <w:pPr>
        <w:pStyle w:val="pheading"/>
      </w:pPr>
      <w:r>
        <w:t>- Exécution</w:t>
      </w:r>
    </w:p>
    <w:p w14:paraId="0DCB87B3" w14:textId="77777777" w:rsidR="00DF410E" w:rsidRDefault="00CE7F43">
      <w:r>
        <w:t xml:space="preserve">Renvoi à la section </w:t>
      </w:r>
      <w:hyperlink w:anchor="293" w:history="1">
        <w:r>
          <w:t>21 Superstructures en maçonnerie</w:t>
        </w:r>
      </w:hyperlink>
      <w:r>
        <w:t xml:space="preserve"> et aux articles qui en découlent.</w:t>
      </w:r>
    </w:p>
    <w:p w14:paraId="5421A270" w14:textId="77777777" w:rsidR="00DF410E" w:rsidRDefault="00CE7F43">
      <w:pPr>
        <w:pStyle w:val="Author-eSectionHeading6"/>
      </w:pPr>
      <w:bookmarkStart w:id="564" w:name="_Toc178837753"/>
      <w:r>
        <w:t>21.85.2a Créations de baies dans maçonneries CCTB 01.04</w:t>
      </w:r>
      <w:bookmarkEnd w:id="564"/>
    </w:p>
    <w:p w14:paraId="2961764F" w14:textId="77777777" w:rsidR="00DF410E" w:rsidRDefault="00CE7F43">
      <w:pPr>
        <w:pStyle w:val="pheading"/>
      </w:pPr>
      <w:r>
        <w:t>DESCRIPTION</w:t>
      </w:r>
    </w:p>
    <w:p w14:paraId="1B048374" w14:textId="77777777" w:rsidR="00DF410E" w:rsidRDefault="00CE7F43">
      <w:pPr>
        <w:pStyle w:val="pheading"/>
      </w:pPr>
      <w:r>
        <w:t>- Définition / Comprend</w:t>
      </w:r>
    </w:p>
    <w:p w14:paraId="1733A8F3" w14:textId="77777777" w:rsidR="00DF410E" w:rsidRDefault="00CE7F43">
      <w:r>
        <w:t xml:space="preserve">Renvoi aux éléments </w:t>
      </w:r>
      <w:hyperlink r:id="rId51" w:history="1" w:docLocation="441">
        <w:r>
          <w:t>06.82.2a Créations de baies dans maçonneries portantes</w:t>
        </w:r>
      </w:hyperlink>
      <w:r>
        <w:t xml:space="preserve"> et </w:t>
      </w:r>
      <w:hyperlink r:id="rId52" w:history="1" w:docLocation="442">
        <w:r>
          <w:t>06.82.2b Créations de baies dans maçonneries non portantes et de parement</w:t>
        </w:r>
      </w:hyperlink>
    </w:p>
    <w:p w14:paraId="33E52169" w14:textId="77777777" w:rsidR="00DF410E" w:rsidRDefault="00CE7F43">
      <w:pPr>
        <w:pStyle w:val="Author-eSectionHeading6"/>
      </w:pPr>
      <w:bookmarkStart w:id="565" w:name="_Toc178837754"/>
      <w:r>
        <w:t>21.85.2b Adaptations dimensionnelles de baies existantes dans maçonneries CCTB 01.04</w:t>
      </w:r>
      <w:bookmarkEnd w:id="565"/>
    </w:p>
    <w:p w14:paraId="783F7648" w14:textId="77777777" w:rsidR="00DF410E" w:rsidRDefault="00CE7F43">
      <w:pPr>
        <w:pStyle w:val="pheading"/>
      </w:pPr>
      <w:r>
        <w:t>DESCRIPTION</w:t>
      </w:r>
    </w:p>
    <w:p w14:paraId="35A9B0C0" w14:textId="77777777" w:rsidR="00DF410E" w:rsidRDefault="00CE7F43">
      <w:pPr>
        <w:pStyle w:val="pheading"/>
      </w:pPr>
      <w:r>
        <w:t>- Définition / Comprend</w:t>
      </w:r>
    </w:p>
    <w:p w14:paraId="49EE94AF" w14:textId="77777777" w:rsidR="00DF410E" w:rsidRDefault="00CE7F43">
      <w:r>
        <w:t xml:space="preserve">Renvoi aux éléments </w:t>
      </w:r>
      <w:hyperlink r:id="rId53" w:history="1" w:docLocation="443">
        <w:r>
          <w:t>06.82.3a Adaptations dimensionnelles de baies, avec reprise de charges, dans maçonneries portantes</w:t>
        </w:r>
      </w:hyperlink>
      <w:r>
        <w:t xml:space="preserve">, </w:t>
      </w:r>
      <w:hyperlink r:id="rId54" w:history="1" w:docLocation="444">
        <w:r>
          <w:t>06.82.3b Adaptations dimensionnelles de baies, avec reprise de charges, dans maçonneries non portantes et de parement</w:t>
        </w:r>
      </w:hyperlink>
      <w:r>
        <w:t xml:space="preserve">, </w:t>
      </w:r>
      <w:hyperlink r:id="rId55" w:history="1" w:docLocation="445">
        <w:r>
          <w:t>06.82.4a Adaptations dimensionnelles de baies, sans reprise de charges, dans maçonneries portantes</w:t>
        </w:r>
      </w:hyperlink>
      <w:r>
        <w:t> et </w:t>
      </w:r>
      <w:hyperlink r:id="rId56" w:history="1" w:docLocation="446">
        <w:r>
          <w:t>06.82.4b Adaptations dimensionnelles de baies, sans reprise de charges, dans maçonneries non portantes et de parement</w:t>
        </w:r>
      </w:hyperlink>
    </w:p>
    <w:p w14:paraId="60CADCBB" w14:textId="77777777" w:rsidR="00DF410E" w:rsidRDefault="00CE7F43">
      <w:pPr>
        <w:pStyle w:val="Author-eSectionHeading6"/>
      </w:pPr>
      <w:bookmarkStart w:id="566" w:name="_Toc178837755"/>
      <w:r>
        <w:t>21.85.2c Obturations de baies existantes dans maçonneries CCTB 01.11</w:t>
      </w:r>
      <w:bookmarkEnd w:id="566"/>
    </w:p>
    <w:p w14:paraId="6182E5FF" w14:textId="77777777" w:rsidR="00DF410E" w:rsidRDefault="00CE7F43">
      <w:pPr>
        <w:pStyle w:val="pheading"/>
      </w:pPr>
      <w:r>
        <w:t>DESCRIPTION</w:t>
      </w:r>
    </w:p>
    <w:p w14:paraId="75BE4F56" w14:textId="77777777" w:rsidR="00DF410E" w:rsidRDefault="00CE7F43">
      <w:pPr>
        <w:pStyle w:val="pheading"/>
      </w:pPr>
      <w:r>
        <w:t>- Localisation</w:t>
      </w:r>
    </w:p>
    <w:p w14:paraId="20F67F12" w14:textId="77777777" w:rsidR="00DF410E" w:rsidRDefault="00CE7F43">
      <w:r>
        <w:t xml:space="preserve">Les baies sont localisées aux endroits suivants:  </w:t>
      </w:r>
      <w:r>
        <w:rPr>
          <w:rStyle w:val="optioncarChar"/>
        </w:rPr>
        <w:t>***</w:t>
      </w:r>
      <w:r>
        <w:t xml:space="preserve"> .</w:t>
      </w:r>
    </w:p>
    <w:p w14:paraId="2B758D83" w14:textId="77777777" w:rsidR="00DF410E" w:rsidRDefault="00CE7F43">
      <w:r>
        <w:t>Voir plans et métrés détaillés.</w:t>
      </w:r>
    </w:p>
    <w:p w14:paraId="57C2A85D" w14:textId="77777777" w:rsidR="00DF410E" w:rsidRDefault="00CE7F43">
      <w:pPr>
        <w:pStyle w:val="pheading"/>
      </w:pPr>
      <w:r>
        <w:t>MATÉRIAUX</w:t>
      </w:r>
    </w:p>
    <w:p w14:paraId="61C1E674" w14:textId="77777777" w:rsidR="00DF410E" w:rsidRDefault="00CE7F43">
      <w:pPr>
        <w:pStyle w:val="pheading"/>
      </w:pPr>
      <w:r>
        <w:t>- Caractéristiques générales</w:t>
      </w:r>
    </w:p>
    <w:p w14:paraId="66B2D4D8" w14:textId="77777777" w:rsidR="00DF410E" w:rsidRDefault="00CE7F43">
      <w:pPr>
        <w:jc w:val="both"/>
      </w:pPr>
      <w:r>
        <w:t>L’obturation de baies existantes est réalisée avec des matériaux similaires à la maçonnerie existante attenante (blocs/briques et joints).</w:t>
      </w:r>
    </w:p>
    <w:p w14:paraId="759C411A" w14:textId="77777777" w:rsidR="00DF410E" w:rsidRDefault="00CE7F43">
      <w:pPr>
        <w:jc w:val="both"/>
      </w:pPr>
      <w:r>
        <w:t xml:space="preserve">Similitude de matériau : </w:t>
      </w:r>
      <w:r>
        <w:rPr>
          <w:rStyle w:val="optioncarChar"/>
        </w:rPr>
        <w:t>plafonné</w:t>
      </w:r>
      <w:r>
        <w:t xml:space="preserve"> (par défaut) </w:t>
      </w:r>
      <w:r>
        <w:rPr>
          <w:rStyle w:val="optioncarChar"/>
        </w:rPr>
        <w:t xml:space="preserve"> / apparent</w:t>
      </w:r>
      <w:r>
        <w:t>.</w:t>
      </w:r>
    </w:p>
    <w:p w14:paraId="067A6C19" w14:textId="77777777" w:rsidR="00DF410E" w:rsidRDefault="00CE7F43">
      <w:pPr>
        <w:jc w:val="both"/>
      </w:pPr>
      <w:r>
        <w:rPr>
          <w:b/>
        </w:rPr>
        <w:t>(soit par défaut)</w:t>
      </w:r>
    </w:p>
    <w:p w14:paraId="2191B30E" w14:textId="77777777" w:rsidR="00DF410E" w:rsidRDefault="00CE7F43">
      <w:pPr>
        <w:jc w:val="both"/>
      </w:pPr>
      <w:r>
        <w:rPr>
          <w:rStyle w:val="soitChar"/>
          <w:u w:val="single"/>
        </w:rPr>
        <w:t>Plafonné</w:t>
      </w:r>
    </w:p>
    <w:p w14:paraId="6D8EEDDC" w14:textId="77777777" w:rsidR="00DF410E" w:rsidRDefault="00CE7F43">
      <w:pPr>
        <w:jc w:val="both"/>
      </w:pPr>
      <w:r>
        <w:rPr>
          <w:rStyle w:val="soitChar"/>
        </w:rPr>
        <w:t>Les matériaux destinés à être plafonnés sont de même nature que la maçonnerie existante. (exemple: terre cuite pour un mur en terre cuite)</w:t>
      </w:r>
    </w:p>
    <w:p w14:paraId="1F47FF98" w14:textId="77777777" w:rsidR="00DF410E" w:rsidRDefault="00CE7F43">
      <w:pPr>
        <w:jc w:val="both"/>
      </w:pPr>
      <w:r>
        <w:rPr>
          <w:b/>
        </w:rPr>
        <w:t>(soit)</w:t>
      </w:r>
    </w:p>
    <w:p w14:paraId="282528A3" w14:textId="77777777" w:rsidR="00DF410E" w:rsidRDefault="00CE7F43">
      <w:pPr>
        <w:jc w:val="both"/>
      </w:pPr>
      <w:r>
        <w:rPr>
          <w:rStyle w:val="soitChar"/>
          <w:u w:val="single"/>
        </w:rPr>
        <w:t>Apparent</w:t>
      </w:r>
    </w:p>
    <w:p w14:paraId="3494B475" w14:textId="77777777" w:rsidR="00DF410E" w:rsidRDefault="00CE7F43">
      <w:pPr>
        <w:jc w:val="both"/>
      </w:pPr>
      <w:r>
        <w:rPr>
          <w:rStyle w:val="soitChar"/>
        </w:rPr>
        <w:t>Les matériaux destinés à rester apparents sont de même nature, teinte, forme et texture que la maçonnerie existante.</w:t>
      </w:r>
    </w:p>
    <w:p w14:paraId="47DBABAB" w14:textId="77777777" w:rsidR="00DF410E" w:rsidRDefault="00CE7F43">
      <w:pPr>
        <w:pStyle w:val="pheading"/>
      </w:pPr>
      <w:r>
        <w:t>EXÉCUTION / MISE EN ŒUVRE</w:t>
      </w:r>
    </w:p>
    <w:p w14:paraId="51559DAE" w14:textId="77777777" w:rsidR="00DF410E" w:rsidRDefault="00CE7F43">
      <w:pPr>
        <w:pStyle w:val="pheading"/>
      </w:pPr>
      <w:r>
        <w:t>- Prescriptions générales</w:t>
      </w:r>
    </w:p>
    <w:p w14:paraId="5C8EFEE4" w14:textId="77777777" w:rsidR="00DF410E" w:rsidRDefault="00CE7F43">
      <w:r>
        <w:t xml:space="preserve">Les baies sont obturées : </w:t>
      </w:r>
      <w:r>
        <w:rPr>
          <w:rStyle w:val="optioncarChar"/>
        </w:rPr>
        <w:t>dans toute l'épaisseur du mur existant</w:t>
      </w:r>
      <w:r>
        <w:t xml:space="preserve"> (par défaut) </w:t>
      </w:r>
      <w:r>
        <w:rPr>
          <w:rStyle w:val="optioncarChar"/>
        </w:rPr>
        <w:t>/ dans une partie de la profondeur du mur existant</w:t>
      </w:r>
      <w:r>
        <w:t>. </w:t>
      </w:r>
    </w:p>
    <w:p w14:paraId="74D55322" w14:textId="77777777" w:rsidR="00DF410E" w:rsidRDefault="00CE7F43">
      <w:r>
        <w:rPr>
          <w:b/>
        </w:rPr>
        <w:t>(Soit par défaut)</w:t>
      </w:r>
      <w:r>
        <w:br/>
      </w:r>
      <w:r>
        <w:rPr>
          <w:rStyle w:val="soitChar"/>
          <w:u w:val="single"/>
        </w:rPr>
        <w:t>Dans toute l'épaisseur du mur existant</w:t>
      </w:r>
      <w:r>
        <w:br/>
      </w:r>
      <w:r>
        <w:rPr>
          <w:rStyle w:val="soitChar"/>
        </w:rPr>
        <w:t>Les maçonneries réalisées dans toute l’épaisseur de la baie sont appareillées.</w:t>
      </w:r>
      <w:r>
        <w:br/>
      </w:r>
      <w:r>
        <w:rPr>
          <w:b/>
        </w:rPr>
        <w:t>(Soit)</w:t>
      </w:r>
      <w:r>
        <w:br/>
      </w:r>
      <w:r>
        <w:rPr>
          <w:color w:val="33CCCC"/>
        </w:rPr>
        <w:t>Dans une partie de la profondeur du mur existant :</w:t>
      </w:r>
    </w:p>
    <w:p w14:paraId="36E3252E" w14:textId="77777777" w:rsidR="00DF410E" w:rsidRDefault="00DF410E"/>
    <w:p w14:paraId="431629DB" w14:textId="77777777" w:rsidR="00DF410E" w:rsidRDefault="00CE7F43">
      <w:pPr>
        <w:pStyle w:val="Author-eListParagraph"/>
        <w:numPr>
          <w:ilvl w:val="0"/>
          <w:numId w:val="304"/>
        </w:numPr>
      </w:pPr>
      <w:r>
        <w:rPr>
          <w:rStyle w:val="soitChar"/>
        </w:rPr>
        <w:t>Sur une profondeur d’un module de blocs/briques de</w:t>
      </w:r>
      <w:r>
        <w:rPr>
          <w:rStyle w:val="optioncarChar"/>
        </w:rPr>
        <w:t xml:space="preserve"> 9 </w:t>
      </w:r>
      <w:r>
        <w:t>(par défaut)</w:t>
      </w:r>
      <w:r>
        <w:rPr>
          <w:rStyle w:val="optioncarChar"/>
        </w:rPr>
        <w:t xml:space="preserve"> / 10 / 14 / 15 /19 / 20 / 21/***</w:t>
      </w:r>
      <w:r>
        <w:rPr>
          <w:rStyle w:val="soitChar"/>
        </w:rPr>
        <w:t xml:space="preserve"> cm d’épaisseur,</w:t>
      </w:r>
    </w:p>
    <w:p w14:paraId="44508FB9" w14:textId="77777777" w:rsidR="00DF410E" w:rsidRDefault="00CE7F43">
      <w:pPr>
        <w:pStyle w:val="Author-eListParagraph"/>
        <w:numPr>
          <w:ilvl w:val="0"/>
          <w:numId w:val="304"/>
        </w:numPr>
      </w:pPr>
      <w:r>
        <w:rPr>
          <w:rStyle w:val="soitChar"/>
        </w:rPr>
        <w:t>et maçonné :</w:t>
      </w:r>
      <w:r>
        <w:rPr>
          <w:rStyle w:val="optioncarChar"/>
        </w:rPr>
        <w:t xml:space="preserve"> d’un côté de la baie, dans l’alignement de la face du mur existant  / à l’axe du mur / de chaque côté de la baie et dans l’alignement des faces du mur existant, l’espace résiduel intérieur étant laissé vide</w:t>
      </w:r>
      <w:r>
        <w:t xml:space="preserve"> (par défaut) </w:t>
      </w:r>
      <w:r>
        <w:rPr>
          <w:rStyle w:val="optioncarChar"/>
        </w:rPr>
        <w:t>/ ***</w:t>
      </w:r>
      <w:r>
        <w:t xml:space="preserve"> .</w:t>
      </w:r>
    </w:p>
    <w:p w14:paraId="61A68BE4" w14:textId="77777777" w:rsidR="00DF410E" w:rsidRDefault="00CE7F43">
      <w:r>
        <w:t>Dans le cas où les murs périphériques des baies sont encore plafonnés et que les maçonneries d’obturation sont également destinées à être plafonnées, ces dernières sont positionnées en retrait de l’alignement en fonction de l’épaisseur de la couche de finition à y appliquer.</w:t>
      </w:r>
    </w:p>
    <w:p w14:paraId="4D5181F1" w14:textId="77777777" w:rsidR="00DF410E" w:rsidRDefault="00CE7F43">
      <w:r>
        <w:t>Pour les maçonneries destinées à rester apparentes, seuls des modules non endommagés sont utilisés.</w:t>
      </w:r>
    </w:p>
    <w:p w14:paraId="4AF2EBC4" w14:textId="77777777" w:rsidR="00DF410E" w:rsidRDefault="00CE7F43">
      <w:pPr>
        <w:pStyle w:val="pheading"/>
      </w:pPr>
      <w:r>
        <w:t>- Notes d’exécution complémentaires</w:t>
      </w:r>
    </w:p>
    <w:p w14:paraId="644BA9A6" w14:textId="77777777" w:rsidR="00DF410E" w:rsidRDefault="00CE7F43">
      <w:pPr>
        <w:jc w:val="both"/>
      </w:pPr>
      <w:r>
        <w:rPr>
          <w:rStyle w:val="facultChar"/>
        </w:rPr>
        <w:t>Le présent article comprend le démontage des linteaux existants des baies à obturer.</w:t>
      </w:r>
    </w:p>
    <w:p w14:paraId="45B83147" w14:textId="77777777" w:rsidR="00DF410E" w:rsidRDefault="00CE7F43">
      <w:pPr>
        <w:jc w:val="both"/>
      </w:pPr>
      <w:r>
        <w:rPr>
          <w:rStyle w:val="facultChar"/>
        </w:rPr>
        <w:t>Ce travail est exécuté conformément aux chapitres "</w:t>
      </w:r>
      <w:hyperlink r:id="rId57" w:history="1" w:docLocation="447">
        <w:r>
          <w:rPr>
            <w:rStyle w:val="facultChar"/>
          </w:rPr>
          <w:t>06.82.3 Adaptations dimensionnelles de baies avec reprise de charges</w:t>
        </w:r>
      </w:hyperlink>
      <w:r>
        <w:rPr>
          <w:rStyle w:val="facultChar"/>
        </w:rPr>
        <w:t>" et "</w:t>
      </w:r>
      <w:hyperlink r:id="rId58" w:history="1" w:docLocation="448">
        <w:r>
          <w:rPr>
            <w:rStyle w:val="facultChar"/>
          </w:rPr>
          <w:t>06.82.4 Adaptations dimensionnelles de baies sans reprise de charges</w:t>
        </w:r>
      </w:hyperlink>
      <w:r>
        <w:rPr>
          <w:rStyle w:val="facultChar"/>
        </w:rPr>
        <w:t> et articles qui en découlent.</w:t>
      </w:r>
    </w:p>
    <w:p w14:paraId="464740D1" w14:textId="77777777" w:rsidR="00DF410E" w:rsidRDefault="00CE7F43">
      <w:pPr>
        <w:jc w:val="both"/>
      </w:pPr>
      <w:r>
        <w:rPr>
          <w:rStyle w:val="facultChar"/>
        </w:rPr>
        <w:t>Le présent article comprend également :</w:t>
      </w:r>
      <w:r>
        <w:rPr>
          <w:rStyle w:val="optioncarChar"/>
        </w:rPr>
        <w:t xml:space="preserve"> le rejointoiement mur apparent / le liaisonnement des maçonneries / des ancrages latéraux / des armatures horizontales.</w:t>
      </w:r>
    </w:p>
    <w:p w14:paraId="368E6B77" w14:textId="77777777" w:rsidR="00DF410E" w:rsidRDefault="00CE7F43">
      <w:pPr>
        <w:pStyle w:val="Author-eListParagraph"/>
        <w:numPr>
          <w:ilvl w:val="0"/>
          <w:numId w:val="305"/>
        </w:numPr>
        <w:jc w:val="both"/>
      </w:pPr>
      <w:r>
        <w:rPr>
          <w:rStyle w:val="facultChar"/>
          <w:u w:val="single"/>
        </w:rPr>
        <w:t>Rejointoiement mur apparent</w:t>
      </w:r>
    </w:p>
    <w:p w14:paraId="10BD9065" w14:textId="77777777" w:rsidR="00DF410E" w:rsidRDefault="00CE7F43">
      <w:pPr>
        <w:pStyle w:val="Author-eListParagraph"/>
        <w:numPr>
          <w:ilvl w:val="0"/>
          <w:numId w:val="305"/>
        </w:numPr>
        <w:jc w:val="both"/>
      </w:pPr>
      <w:r>
        <w:rPr>
          <w:rStyle w:val="facultChar"/>
        </w:rPr>
        <w:t>Les faces de murs sont exécutées comme maçonneries apparentes et sont rejointoyées selon l'article "</w:t>
      </w:r>
      <w:hyperlink w:anchor="344" w:history="1">
        <w:r>
          <w:rPr>
            <w:rStyle w:val="facultChar"/>
          </w:rPr>
          <w:t>21.61.1b Joints de maçonnerie apparente</w:t>
        </w:r>
      </w:hyperlink>
      <w:r>
        <w:rPr>
          <w:rStyle w:val="facultChar"/>
        </w:rPr>
        <w:t xml:space="preserve"> : </w:t>
      </w:r>
      <w:r>
        <w:rPr>
          <w:rStyle w:val="optioncarChar"/>
        </w:rPr>
        <w:t>en cours d'élévation</w:t>
      </w:r>
      <w:r>
        <w:t xml:space="preserve"> (par défaut)</w:t>
      </w:r>
      <w:r>
        <w:rPr>
          <w:rStyle w:val="optioncarChar"/>
        </w:rPr>
        <w:t xml:space="preserve"> / rejointoyées a posteriori.</w:t>
      </w:r>
    </w:p>
    <w:p w14:paraId="53593633" w14:textId="77777777" w:rsidR="00DF410E" w:rsidRDefault="00DF410E">
      <w:pPr>
        <w:pStyle w:val="Author-eListParagraph"/>
        <w:numPr>
          <w:ilvl w:val="0"/>
          <w:numId w:val="305"/>
        </w:numPr>
        <w:jc w:val="both"/>
      </w:pPr>
    </w:p>
    <w:p w14:paraId="2081359F" w14:textId="77777777" w:rsidR="00DF410E" w:rsidRDefault="00CE7F43">
      <w:pPr>
        <w:pStyle w:val="Author-eListParagraph"/>
        <w:numPr>
          <w:ilvl w:val="0"/>
          <w:numId w:val="305"/>
        </w:numPr>
        <w:jc w:val="both"/>
      </w:pPr>
      <w:r>
        <w:rPr>
          <w:rStyle w:val="facultChar"/>
          <w:u w:val="single"/>
        </w:rPr>
        <w:t>Liaisonnement des maçonneries</w:t>
      </w:r>
    </w:p>
    <w:p w14:paraId="17F2C83D" w14:textId="77777777" w:rsidR="00DF410E" w:rsidRDefault="00CE7F43">
      <w:pPr>
        <w:pStyle w:val="Author-eListParagraph"/>
        <w:numPr>
          <w:ilvl w:val="0"/>
          <w:numId w:val="305"/>
        </w:numPr>
        <w:jc w:val="both"/>
      </w:pPr>
      <w:r>
        <w:rPr>
          <w:rStyle w:val="facultChar"/>
        </w:rPr>
        <w:t>Les maçonneries à profondeur partielles réalisées de chaque côté des baies sont liaisonnées entre elles à l’aide de crochets d’ancrages selon l'article "</w:t>
      </w:r>
      <w:hyperlink w:anchor="449" w:history="1">
        <w:r>
          <w:rPr>
            <w:rStyle w:val="facultChar"/>
          </w:rPr>
          <w:t>21.42.1b Crochets, tirants et pattes d'ancrages de maçonneries scellés dans la masse</w:t>
        </w:r>
      </w:hyperlink>
      <w:r>
        <w:rPr>
          <w:rStyle w:val="facultChar"/>
        </w:rPr>
        <w:t xml:space="preserve"> :</w:t>
      </w:r>
    </w:p>
    <w:p w14:paraId="57F89DD5" w14:textId="77777777" w:rsidR="00DF410E" w:rsidRDefault="00CE7F43">
      <w:pPr>
        <w:pStyle w:val="Author-eListParagraph"/>
        <w:numPr>
          <w:ilvl w:val="1"/>
          <w:numId w:val="306"/>
        </w:numPr>
      </w:pPr>
      <w:r>
        <w:rPr>
          <w:rStyle w:val="facultChar"/>
        </w:rPr>
        <w:t xml:space="preserve">Acier : </w:t>
      </w:r>
      <w:r>
        <w:rPr>
          <w:rStyle w:val="optioncarChar"/>
        </w:rPr>
        <w:t>galvanisé</w:t>
      </w:r>
      <w:r>
        <w:t xml:space="preserve"> (par défaut) </w:t>
      </w:r>
      <w:r>
        <w:rPr>
          <w:rStyle w:val="optioncarChar"/>
        </w:rPr>
        <w:t>/ inoxydable</w:t>
      </w:r>
      <w:r>
        <w:rPr>
          <w:rStyle w:val="facultChar"/>
        </w:rPr>
        <w:t> ;</w:t>
      </w:r>
    </w:p>
    <w:p w14:paraId="77CBCDC4" w14:textId="77777777" w:rsidR="00DF410E" w:rsidRDefault="00CE7F43">
      <w:pPr>
        <w:pStyle w:val="Author-eListParagraph"/>
        <w:numPr>
          <w:ilvl w:val="1"/>
          <w:numId w:val="306"/>
        </w:numPr>
      </w:pPr>
      <w:r>
        <w:rPr>
          <w:rStyle w:val="facultChar"/>
        </w:rPr>
        <w:t xml:space="preserve">Diamètre minimum : </w:t>
      </w:r>
      <w:r>
        <w:rPr>
          <w:rStyle w:val="optioncarChar"/>
        </w:rPr>
        <w:t>4</w:t>
      </w:r>
      <w:r>
        <w:t xml:space="preserve"> (par défaut)</w:t>
      </w:r>
      <w:r>
        <w:rPr>
          <w:rStyle w:val="optioncarChar"/>
        </w:rPr>
        <w:t xml:space="preserve"> / *** </w:t>
      </w:r>
      <w:r>
        <w:t>mm ;</w:t>
      </w:r>
    </w:p>
    <w:p w14:paraId="60A1CCCA" w14:textId="77777777" w:rsidR="00DF410E" w:rsidRDefault="00CE7F43">
      <w:pPr>
        <w:pStyle w:val="Author-eListParagraph"/>
        <w:numPr>
          <w:ilvl w:val="1"/>
          <w:numId w:val="306"/>
        </w:numPr>
      </w:pPr>
      <w:r>
        <w:rPr>
          <w:rStyle w:val="facultChar"/>
        </w:rPr>
        <w:t xml:space="preserve">Dispositions : minimum </w:t>
      </w:r>
      <w:r>
        <w:rPr>
          <w:rStyle w:val="optioncarChar"/>
        </w:rPr>
        <w:t>5</w:t>
      </w:r>
      <w:r>
        <w:t xml:space="preserve"> (par défaut) </w:t>
      </w:r>
      <w:r>
        <w:rPr>
          <w:rStyle w:val="optioncarChar"/>
        </w:rPr>
        <w:t xml:space="preserve">/*** </w:t>
      </w:r>
      <w:r>
        <w:t>crochets par mètre carré.</w:t>
      </w:r>
      <w:r>
        <w:br/>
      </w:r>
    </w:p>
    <w:p w14:paraId="3A3A5380" w14:textId="77777777" w:rsidR="00DF410E" w:rsidRDefault="00CE7F43">
      <w:pPr>
        <w:pStyle w:val="Author-eListParagraph"/>
        <w:numPr>
          <w:ilvl w:val="0"/>
          <w:numId w:val="305"/>
        </w:numPr>
        <w:jc w:val="both"/>
      </w:pPr>
      <w:r>
        <w:rPr>
          <w:rStyle w:val="facultChar"/>
          <w:u w:val="single"/>
        </w:rPr>
        <w:t>Ancrages latéraux</w:t>
      </w:r>
    </w:p>
    <w:p w14:paraId="6AA2217A" w14:textId="77777777" w:rsidR="00DF410E" w:rsidRDefault="00CE7F43">
      <w:pPr>
        <w:pStyle w:val="Author-eListParagraph"/>
        <w:numPr>
          <w:ilvl w:val="0"/>
          <w:numId w:val="305"/>
        </w:numPr>
        <w:jc w:val="both"/>
      </w:pPr>
      <w:r>
        <w:rPr>
          <w:rStyle w:val="facultChar"/>
        </w:rPr>
        <w:t>Ancrages : selon le sous-titre "</w:t>
      </w:r>
      <w:hyperlink w:anchor="362" w:history="1">
        <w:r>
          <w:rPr>
            <w:rStyle w:val="facultChar"/>
          </w:rPr>
          <w:t>21.42 Ancrages et fixations de maçonneries</w:t>
        </w:r>
      </w:hyperlink>
      <w:r>
        <w:rPr>
          <w:rStyle w:val="facultChar"/>
        </w:rPr>
        <w:t> :</w:t>
      </w:r>
    </w:p>
    <w:p w14:paraId="68EB2633" w14:textId="77777777" w:rsidR="00DF410E" w:rsidRDefault="00CE7F43">
      <w:pPr>
        <w:pStyle w:val="Author-eListParagraph"/>
        <w:numPr>
          <w:ilvl w:val="1"/>
          <w:numId w:val="307"/>
        </w:numPr>
      </w:pPr>
      <w:r>
        <w:rPr>
          <w:rStyle w:val="facultChar"/>
        </w:rPr>
        <w:t xml:space="preserve">tous les </w:t>
      </w:r>
      <w:r>
        <w:rPr>
          <w:rStyle w:val="optioncarChar"/>
        </w:rPr>
        <w:t>3</w:t>
      </w:r>
      <w:r>
        <w:t xml:space="preserve"> (par défaut) </w:t>
      </w:r>
      <w:r>
        <w:rPr>
          <w:rStyle w:val="optioncarChar"/>
        </w:rPr>
        <w:t xml:space="preserve">/*** </w:t>
      </w:r>
      <w:r>
        <w:t>tas </w:t>
      </w:r>
      <w:r>
        <w:rPr>
          <w:rStyle w:val="facultChar"/>
        </w:rPr>
        <w:t>;</w:t>
      </w:r>
    </w:p>
    <w:p w14:paraId="20256D69" w14:textId="77777777" w:rsidR="00DF410E" w:rsidRDefault="00CE7F43">
      <w:pPr>
        <w:pStyle w:val="Author-eListParagraph"/>
        <w:numPr>
          <w:ilvl w:val="1"/>
          <w:numId w:val="307"/>
        </w:numPr>
      </w:pPr>
      <w:r>
        <w:rPr>
          <w:rStyle w:val="facultChar"/>
        </w:rPr>
        <w:t xml:space="preserve">à l’aide de barres d’armatures en acier BE500 de diamètre </w:t>
      </w:r>
      <w:r>
        <w:rPr>
          <w:rStyle w:val="optioncarChar"/>
        </w:rPr>
        <w:t>6</w:t>
      </w:r>
      <w:r>
        <w:t xml:space="preserve"> (par défaut)</w:t>
      </w:r>
      <w:r>
        <w:rPr>
          <w:rStyle w:val="optioncarChar"/>
        </w:rPr>
        <w:t xml:space="preserve"> / 8 / ***</w:t>
      </w:r>
      <w:r>
        <w:t xml:space="preserve"> mm</w:t>
      </w:r>
      <w:r>
        <w:rPr>
          <w:rStyle w:val="facultChar"/>
        </w:rPr>
        <w:t> ;</w:t>
      </w:r>
    </w:p>
    <w:p w14:paraId="56E32AC9" w14:textId="77777777" w:rsidR="00DF410E" w:rsidRDefault="00CE7F43">
      <w:pPr>
        <w:pStyle w:val="Author-eListParagraph"/>
        <w:numPr>
          <w:ilvl w:val="1"/>
          <w:numId w:val="307"/>
        </w:numPr>
      </w:pPr>
      <w:r>
        <w:rPr>
          <w:rStyle w:val="facultChar"/>
        </w:rPr>
        <w:t>ancrées chimiquement dans les maçonneries existantes (selon l’article "</w:t>
      </w:r>
      <w:hyperlink w:anchor="450" w:history="1">
        <w:r>
          <w:rPr>
            <w:rStyle w:val="facultChar"/>
          </w:rPr>
          <w:t>21.42.1c Crochets, tirants et pattes d'ancrages de maçonneries scellés chimiquement</w:t>
        </w:r>
      </w:hyperlink>
      <w:r>
        <w:rPr>
          <w:rStyle w:val="facultChar"/>
        </w:rPr>
        <w:t>)</w:t>
      </w:r>
      <w:r>
        <w:br/>
      </w:r>
    </w:p>
    <w:p w14:paraId="63ED5276" w14:textId="77777777" w:rsidR="00DF410E" w:rsidRDefault="00CE7F43">
      <w:pPr>
        <w:pStyle w:val="Author-eListParagraph"/>
        <w:numPr>
          <w:ilvl w:val="0"/>
          <w:numId w:val="305"/>
        </w:numPr>
        <w:jc w:val="both"/>
      </w:pPr>
      <w:r>
        <w:rPr>
          <w:rStyle w:val="facultChar"/>
          <w:u w:val="single"/>
        </w:rPr>
        <w:t>Armatures horizontales</w:t>
      </w:r>
    </w:p>
    <w:p w14:paraId="228152DC" w14:textId="77777777" w:rsidR="00DF410E" w:rsidRDefault="00CE7F43">
      <w:pPr>
        <w:pStyle w:val="Author-eListParagraph"/>
        <w:numPr>
          <w:ilvl w:val="0"/>
          <w:numId w:val="305"/>
        </w:numPr>
        <w:jc w:val="both"/>
      </w:pPr>
      <w:r>
        <w:rPr>
          <w:rStyle w:val="facultChar"/>
        </w:rPr>
        <w:t>Les maçonneries d’obturation sont pourvues d'armatures horizontales selon le chapitre "</w:t>
      </w:r>
      <w:hyperlink w:anchor="355" w:history="1">
        <w:r>
          <w:rPr>
            <w:rStyle w:val="facultChar"/>
          </w:rPr>
          <w:t>21.41.1 Armatures horizontales pour maçonneries</w:t>
        </w:r>
      </w:hyperlink>
    </w:p>
    <w:p w14:paraId="56547B2B" w14:textId="77777777" w:rsidR="00DF410E" w:rsidRDefault="00CE7F43">
      <w:pPr>
        <w:pStyle w:val="pheading"/>
      </w:pPr>
      <w:r>
        <w:t>MESURAGE</w:t>
      </w:r>
    </w:p>
    <w:p w14:paraId="0205F1C6" w14:textId="77777777" w:rsidR="00DF410E" w:rsidRDefault="00CE7F43">
      <w:pPr>
        <w:pStyle w:val="pheading"/>
      </w:pPr>
      <w:r>
        <w:t>- unité de mesure:</w:t>
      </w:r>
    </w:p>
    <w:p w14:paraId="3918E18B" w14:textId="77777777" w:rsidR="00DF410E" w:rsidRDefault="00CE7F43">
      <w:r>
        <w:rPr>
          <w:rStyle w:val="optioncarChar"/>
        </w:rPr>
        <w:t>m³</w:t>
      </w:r>
      <w:r>
        <w:t xml:space="preserve"> (par défaut) </w:t>
      </w:r>
      <w:r>
        <w:rPr>
          <w:rStyle w:val="optioncarChar"/>
        </w:rPr>
        <w:t>/ m²</w:t>
      </w:r>
    </w:p>
    <w:p w14:paraId="0A915636" w14:textId="77777777" w:rsidR="00DF410E" w:rsidRDefault="00CE7F43">
      <w:pPr>
        <w:pStyle w:val="pheading"/>
      </w:pPr>
      <w:r>
        <w:t>- code de mesurage:</w:t>
      </w:r>
    </w:p>
    <w:p w14:paraId="04A50F64" w14:textId="77777777" w:rsidR="00DF410E" w:rsidRDefault="00CE7F43">
      <w:r>
        <w:t>Les obturations sont ventilées en fonction de la nature des matériaux, de l’épaisseur de l’obturation et de leur forme géométrique.</w:t>
      </w:r>
      <w:r>
        <w:br/>
        <w:t>Le creux du mur n'est jamais compté.</w:t>
      </w:r>
    </w:p>
    <w:p w14:paraId="4B4C2487" w14:textId="77777777" w:rsidR="00DF410E" w:rsidRDefault="00CE7F43">
      <w:r>
        <w:t>Le volume net à reboucher équivalent au volume des linteaux démontés est également comptabilisé dans le poste. Les ouvertures supérieures à 0,5m² multipliées par l’épaisseur sont déduites.</w:t>
      </w:r>
    </w:p>
    <w:p w14:paraId="43222789" w14:textId="77777777" w:rsidR="00DF410E" w:rsidRDefault="00CE7F43">
      <w:r>
        <w:t>Les surfaces nettes à reboucher sont mesurées dans l'axe de l'élément. Les surfaces nettes à reboucher équivalentes aux surfaces des linteaux démontés sont également comptabilisées dans le poste. Les ouvertures supérieures à 0,5 m² sont déduites.  L’épaisseur est mesurée à mi-hauteur de la baie.</w:t>
      </w:r>
    </w:p>
    <w:p w14:paraId="10537A1B" w14:textId="77777777" w:rsidR="00DF410E" w:rsidRDefault="00CE7F43">
      <w:pPr>
        <w:pStyle w:val="pheading"/>
      </w:pPr>
      <w:r>
        <w:t>- nature du marché:</w:t>
      </w:r>
    </w:p>
    <w:p w14:paraId="6D800E49" w14:textId="77777777" w:rsidR="00DF410E" w:rsidRDefault="00CE7F43">
      <w:r>
        <w:rPr>
          <w:rStyle w:val="optioncarChar"/>
        </w:rPr>
        <w:t>QF</w:t>
      </w:r>
      <w:r>
        <w:t xml:space="preserve"> (par défaut)</w:t>
      </w:r>
      <w:r>
        <w:rPr>
          <w:rStyle w:val="optioncarChar"/>
        </w:rPr>
        <w:t xml:space="preserve"> / QP</w:t>
      </w:r>
    </w:p>
    <w:p w14:paraId="64B0F45D" w14:textId="77777777" w:rsidR="00DF410E" w:rsidRDefault="00CE7F43">
      <w:pPr>
        <w:pStyle w:val="Author-eSectionHeading5"/>
      </w:pPr>
      <w:bookmarkStart w:id="567" w:name="_Toc178837756"/>
      <w:r>
        <w:t>21.85.3 Réalisations d'asselets en béton armé dans une maçonnerie existante CCTB 01.02</w:t>
      </w:r>
      <w:bookmarkEnd w:id="567"/>
    </w:p>
    <w:p w14:paraId="739B78B6" w14:textId="77777777" w:rsidR="00DF410E" w:rsidRDefault="00CE7F43">
      <w:pPr>
        <w:pStyle w:val="Author-eSectionHeading6"/>
      </w:pPr>
      <w:bookmarkStart w:id="568" w:name="_Toc178837757"/>
      <w:r>
        <w:t>21.85.3a Réalisations d'asselets en béton armé dans une maçonnerie existante CCTB 01.11</w:t>
      </w:r>
      <w:bookmarkEnd w:id="568"/>
    </w:p>
    <w:p w14:paraId="2E72D1A8" w14:textId="77777777" w:rsidR="00DF410E" w:rsidRDefault="00CE7F43">
      <w:pPr>
        <w:pStyle w:val="pheading"/>
      </w:pPr>
      <w:bookmarkStart w:id="569" w:name="165"/>
      <w:bookmarkEnd w:id="569"/>
      <w:r>
        <w:t>DESCRIPTION</w:t>
      </w:r>
    </w:p>
    <w:p w14:paraId="05E1F778" w14:textId="77777777" w:rsidR="00DF410E" w:rsidRDefault="00CE7F43">
      <w:pPr>
        <w:pStyle w:val="pheading"/>
      </w:pPr>
      <w:r>
        <w:t>- Définition / Comprend</w:t>
      </w:r>
    </w:p>
    <w:p w14:paraId="48DF7D7A" w14:textId="77777777" w:rsidR="00DF410E" w:rsidRDefault="00CE7F43">
      <w:pPr>
        <w:jc w:val="both"/>
      </w:pPr>
      <w:r>
        <w:t>Ce poste comprend notamment, en complément aux articles parents :</w:t>
      </w:r>
    </w:p>
    <w:p w14:paraId="40DD84B7" w14:textId="77777777" w:rsidR="00DF410E" w:rsidRDefault="00CE7F43">
      <w:pPr>
        <w:pStyle w:val="Author-eListParagraph"/>
        <w:numPr>
          <w:ilvl w:val="0"/>
          <w:numId w:val="308"/>
        </w:numPr>
      </w:pPr>
      <w:r>
        <w:t>les démolitions ciblées de maçonneries ;</w:t>
      </w:r>
    </w:p>
    <w:p w14:paraId="0D3940B1" w14:textId="77777777" w:rsidR="00DF410E" w:rsidRDefault="00CE7F43">
      <w:pPr>
        <w:pStyle w:val="Author-eListParagraph"/>
        <w:numPr>
          <w:ilvl w:val="0"/>
          <w:numId w:val="308"/>
        </w:numPr>
      </w:pPr>
      <w:r>
        <w:t>la fourniture et la préparation de tous les matériaux nécessaires à la réalisation des asselets ;</w:t>
      </w:r>
    </w:p>
    <w:p w14:paraId="68738277" w14:textId="77777777" w:rsidR="00DF410E" w:rsidRDefault="00CE7F43">
      <w:pPr>
        <w:pStyle w:val="Author-eListParagraph"/>
        <w:numPr>
          <w:ilvl w:val="0"/>
          <w:numId w:val="308"/>
        </w:numPr>
      </w:pPr>
      <w:r>
        <w:t>l’exécution proprement dite des asselets et les éventuelles mesures de protection ;</w:t>
      </w:r>
    </w:p>
    <w:p w14:paraId="326109F7" w14:textId="77777777" w:rsidR="00DF410E" w:rsidRDefault="00CE7F43">
      <w:pPr>
        <w:pStyle w:val="Author-eListParagraph"/>
        <w:numPr>
          <w:ilvl w:val="0"/>
          <w:numId w:val="308"/>
        </w:numPr>
      </w:pPr>
      <w:r>
        <w:t>les réparations et ragréages des maçonneries attenantes ;</w:t>
      </w:r>
    </w:p>
    <w:p w14:paraId="4FC81070" w14:textId="77777777" w:rsidR="00DF410E" w:rsidRDefault="00CE7F43">
      <w:r>
        <w:t xml:space="preserve">L’entrepreneur inclut dans les prix unitaires des bétons, outre le béton, le coût des éléments décrits en section </w:t>
      </w:r>
      <w:hyperlink w:anchor="87" w:history="1">
        <w:r>
          <w:t>22 Superstructures en béton</w:t>
        </w:r>
      </w:hyperlink>
      <w:r>
        <w:t>, dont notamment :</w:t>
      </w:r>
    </w:p>
    <w:p w14:paraId="492B6C02" w14:textId="77777777" w:rsidR="00DF410E" w:rsidRDefault="00CE7F43">
      <w:pPr>
        <w:pStyle w:val="Author-eListParagraph"/>
        <w:numPr>
          <w:ilvl w:val="0"/>
          <w:numId w:val="309"/>
        </w:numPr>
      </w:pPr>
      <w:r>
        <w:t>les coffrages,</w:t>
      </w:r>
    </w:p>
    <w:p w14:paraId="21DB61F8" w14:textId="77777777" w:rsidR="00DF410E" w:rsidRDefault="00CE7F43">
      <w:pPr>
        <w:pStyle w:val="Author-eListParagraph"/>
        <w:numPr>
          <w:ilvl w:val="0"/>
          <w:numId w:val="309"/>
        </w:numPr>
      </w:pPr>
      <w:r>
        <w:t>la cure,</w:t>
      </w:r>
    </w:p>
    <w:p w14:paraId="784A2761" w14:textId="77777777" w:rsidR="00DF410E" w:rsidRDefault="00CE7F43">
      <w:pPr>
        <w:pStyle w:val="Author-eListParagraph"/>
        <w:numPr>
          <w:ilvl w:val="0"/>
          <w:numId w:val="309"/>
        </w:numPr>
      </w:pPr>
      <w:r>
        <w:t>si spécifiés, les études et les plans d’exécution.</w:t>
      </w:r>
    </w:p>
    <w:p w14:paraId="4FD5AE98" w14:textId="77777777" w:rsidR="00DF410E" w:rsidRDefault="00CE7F43">
      <w:pPr>
        <w:jc w:val="both"/>
      </w:pPr>
      <w:r>
        <w:t>Les armatures sont également incluses dans le prix unitaire du béton.</w:t>
      </w:r>
    </w:p>
    <w:p w14:paraId="5397EEE2" w14:textId="77777777" w:rsidR="00DF410E" w:rsidRDefault="00CE7F43">
      <w:pPr>
        <w:jc w:val="both"/>
      </w:pPr>
      <w:r>
        <w:t>Un supplément peut être accordé pour les coffrages de conception architecturale particulière, uniquement s’ils sont mentionnés explicitement dans le cahier spécial des charges et/ou le métré récapitulatif.</w:t>
      </w:r>
    </w:p>
    <w:p w14:paraId="06B44300" w14:textId="77777777" w:rsidR="00DF410E" w:rsidRDefault="00CE7F43">
      <w:pPr>
        <w:pStyle w:val="pheading"/>
      </w:pPr>
      <w:r>
        <w:t>- Localisation</w:t>
      </w:r>
    </w:p>
    <w:p w14:paraId="4C7B03E2" w14:textId="77777777" w:rsidR="00DF410E" w:rsidRDefault="00CE7F43">
      <w:r>
        <w:t xml:space="preserve">Les travaux sont localisés : </w:t>
      </w:r>
      <w:r>
        <w:rPr>
          <w:rStyle w:val="optioncarChar"/>
        </w:rPr>
        <w:t>***</w:t>
      </w:r>
      <w:r>
        <w:t>.</w:t>
      </w:r>
    </w:p>
    <w:p w14:paraId="2650C760" w14:textId="77777777" w:rsidR="00DF410E" w:rsidRDefault="00CE7F43">
      <w:r>
        <w:t>Voir plans et métrés détaillés.</w:t>
      </w:r>
    </w:p>
    <w:p w14:paraId="03FD724A" w14:textId="77777777" w:rsidR="00DF410E" w:rsidRDefault="00CE7F43">
      <w:pPr>
        <w:pStyle w:val="pheading"/>
      </w:pPr>
      <w:r>
        <w:t>MATÉRIAUX</w:t>
      </w:r>
    </w:p>
    <w:p w14:paraId="2D162E24" w14:textId="77777777" w:rsidR="00DF410E" w:rsidRDefault="00CE7F43">
      <w:pPr>
        <w:pStyle w:val="pheading"/>
      </w:pPr>
      <w:r>
        <w:t>- Caractéristiques générales</w:t>
      </w:r>
    </w:p>
    <w:p w14:paraId="46F4E9D4" w14:textId="77777777" w:rsidR="00DF410E" w:rsidRDefault="00CE7F43">
      <w:pPr>
        <w:jc w:val="both"/>
      </w:pPr>
      <w:r>
        <w:t xml:space="preserve">Renvoi au tome 2, section </w:t>
      </w:r>
      <w:hyperlink w:anchor="87" w:history="1">
        <w:r>
          <w:t>22 Superstructures en béton</w:t>
        </w:r>
      </w:hyperlink>
      <w:r>
        <w:t xml:space="preserve"> pour les descriptions des matériaux.</w:t>
      </w:r>
    </w:p>
    <w:p w14:paraId="3CBB402F" w14:textId="77777777" w:rsidR="00DF410E" w:rsidRDefault="00CE7F43">
      <w:pPr>
        <w:jc w:val="both"/>
      </w:pPr>
      <w:r>
        <w:t>Pour des éléments de petit volume uniquement (&lt;0,25 m³),  l’entrepreneur peut ponctuellement utiliser du béton fabriqué sur place, moyennant l’approbation explicite de l'auteur de projet ou de l’ingénieur en indiquant la composition exacte du béton.</w:t>
      </w:r>
    </w:p>
    <w:p w14:paraId="769A2090" w14:textId="77777777" w:rsidR="00DF410E" w:rsidRDefault="00CE7F43">
      <w:pPr>
        <w:jc w:val="both"/>
      </w:pPr>
      <w:r>
        <w:t>Le béton est défini par une composition à performances spécifiées conformément aux normes [NBN EN 206:2013+A2] et [NBN B 15-001].</w:t>
      </w:r>
    </w:p>
    <w:p w14:paraId="11E03E2F" w14:textId="77777777" w:rsidR="00DF410E" w:rsidRDefault="00CE7F43">
      <w:pPr>
        <w:pStyle w:val="pheading"/>
      </w:pPr>
      <w:r>
        <w:t>- Finitions</w:t>
      </w:r>
    </w:p>
    <w:p w14:paraId="62BE4CF1" w14:textId="77777777" w:rsidR="00DF410E" w:rsidRDefault="00CE7F43">
      <w:pPr>
        <w:jc w:val="both"/>
      </w:pPr>
      <w:r>
        <w:t xml:space="preserve">Asselets non apparents : Renvoi à l’article </w:t>
      </w:r>
      <w:hyperlink w:anchor="465" w:history="1">
        <w:r>
          <w:t>22.11.1a Poutres en béton armé coulé en place</w:t>
        </w:r>
      </w:hyperlink>
      <w:r>
        <w:t>.</w:t>
      </w:r>
    </w:p>
    <w:p w14:paraId="399A9869" w14:textId="77777777" w:rsidR="00DF410E" w:rsidRDefault="00CE7F43">
      <w:pPr>
        <w:jc w:val="both"/>
      </w:pPr>
      <w:r>
        <w:t xml:space="preserve">Asselets apparents (esthétiques) :  Renvoi à l’article </w:t>
      </w:r>
      <w:hyperlink w:anchor="466" w:history="1">
        <w:r>
          <w:t>22.11.2a Poutres en béton apparent (esthétique) coulé en place</w:t>
        </w:r>
      </w:hyperlink>
      <w:r>
        <w:t>.</w:t>
      </w:r>
    </w:p>
    <w:p w14:paraId="7AD5CC55" w14:textId="77777777" w:rsidR="00DF410E" w:rsidRDefault="00CE7F43">
      <w:pPr>
        <w:pStyle w:val="pheading"/>
      </w:pPr>
      <w:r>
        <w:t>EXÉCUTION / MISE EN ŒUVRE</w:t>
      </w:r>
    </w:p>
    <w:p w14:paraId="770CD110" w14:textId="77777777" w:rsidR="00DF410E" w:rsidRDefault="00CE7F43">
      <w:pPr>
        <w:pStyle w:val="pheading"/>
      </w:pPr>
      <w:r>
        <w:t>- Prescriptions générales</w:t>
      </w:r>
    </w:p>
    <w:p w14:paraId="41BD3A24" w14:textId="77777777" w:rsidR="00DF410E" w:rsidRDefault="00CE7F43">
      <w:pPr>
        <w:jc w:val="both"/>
      </w:pPr>
      <w:r>
        <w:t>Les asselets sont exécutés dans les dimensions indiquées sur les plans et/ou  directives du bureau d’études.</w:t>
      </w:r>
    </w:p>
    <w:p w14:paraId="136C3D24" w14:textId="77777777" w:rsidR="00DF410E" w:rsidRDefault="00CE7F43">
      <w:pPr>
        <w:jc w:val="both"/>
      </w:pPr>
      <w:r>
        <w:t>L’entrepreneur est tenu de vérifier si les asselets peuvent effectivement être réalisés conformément aux plans soumis. Il y a lieu de tenir compte de la hauteur libre requise pour couler le béton.</w:t>
      </w:r>
    </w:p>
    <w:p w14:paraId="3A723B30" w14:textId="77777777" w:rsidR="00DF410E" w:rsidRDefault="00CE7F43">
      <w:pPr>
        <w:jc w:val="both"/>
      </w:pPr>
      <w:r>
        <w:rPr>
          <w:b/>
        </w:rPr>
        <w:t>Démolitions ponctuelles des maçonneries :</w:t>
      </w:r>
    </w:p>
    <w:p w14:paraId="4B556140" w14:textId="77777777" w:rsidR="00DF410E" w:rsidRDefault="00CE7F43">
      <w:pPr>
        <w:jc w:val="both"/>
      </w:pPr>
      <w:r>
        <w:t>L’entrepreneur veille à démolir ponctuellement, dans les limites strictement nécessaires, les maçonneries à l’aide de tout matériel adapté qu’il juge nécessaire pour réaliser un travail précautionneux afin de ne pas endommager les éventuels câbles électriques, tuyaux de chauffage, tirants, etc. , qu’il peut rencontrer lors de l’exécution de ce travail. Dans ce cas, il prévient l'auteur de projet et/ou le bureau d'études de la présence de ces éléments, qui avise(nt) de ce qu'il y a lieu de faire.</w:t>
      </w:r>
    </w:p>
    <w:p w14:paraId="2580B2A9" w14:textId="77777777" w:rsidR="00DF410E" w:rsidRDefault="00CE7F43">
      <w:pPr>
        <w:jc w:val="both"/>
      </w:pPr>
      <w:r>
        <w:rPr>
          <w:b/>
        </w:rPr>
        <w:t>Exécution de l’asselet en béton coulé en place:</w:t>
      </w:r>
    </w:p>
    <w:p w14:paraId="5552D223" w14:textId="77777777" w:rsidR="00DF410E" w:rsidRDefault="00CE7F43">
      <w:pPr>
        <w:jc w:val="both"/>
      </w:pPr>
      <w:r>
        <w:t xml:space="preserve">Renvoi à l’élément  </w:t>
      </w:r>
      <w:hyperlink w:anchor="465" w:history="1">
        <w:r>
          <w:t>22.11.1a Poutres en béton armé coulé en place</w:t>
        </w:r>
      </w:hyperlink>
      <w:r>
        <w:t>.</w:t>
      </w:r>
    </w:p>
    <w:p w14:paraId="65547343" w14:textId="77777777" w:rsidR="00DF410E" w:rsidRDefault="00CE7F43">
      <w:pPr>
        <w:jc w:val="both"/>
      </w:pPr>
      <w:r>
        <w:t>Les ragréages de maçonneries nécessaires suite la réalisation d’éventuelles « cheminées » pour couler le béton sont compris dans le poste.</w:t>
      </w:r>
    </w:p>
    <w:p w14:paraId="73D6B66A" w14:textId="77777777" w:rsidR="00DF410E" w:rsidRDefault="00CE7F43">
      <w:pPr>
        <w:pStyle w:val="pheading"/>
      </w:pPr>
      <w:r>
        <w:t>- Notes d’exécution complémentaires</w:t>
      </w:r>
    </w:p>
    <w:p w14:paraId="0F2101FD" w14:textId="77777777" w:rsidR="00DF410E" w:rsidRDefault="00CE7F43">
      <w:r>
        <w:rPr>
          <w:rStyle w:val="facultChar"/>
        </w:rPr>
        <w:t>Des armatures sont prévues conformément aux plans et directives du bureau d’études.</w:t>
      </w:r>
    </w:p>
    <w:p w14:paraId="0055F598" w14:textId="77777777" w:rsidR="00DF410E" w:rsidRDefault="00CE7F43">
      <w:pPr>
        <w:pStyle w:val="pheading"/>
      </w:pPr>
      <w:r>
        <w:t>DOCUMENTS DE RÉFÉRENCE COMPLÉMENTAIRES</w:t>
      </w:r>
    </w:p>
    <w:p w14:paraId="7CBB81E9" w14:textId="77777777" w:rsidR="00DF410E" w:rsidRDefault="00CE7F43">
      <w:pPr>
        <w:pStyle w:val="pheading"/>
      </w:pPr>
      <w:r>
        <w:t>- Matériau</w:t>
      </w:r>
    </w:p>
    <w:p w14:paraId="4073C29B" w14:textId="77777777" w:rsidR="00DF410E" w:rsidRDefault="00CE7F43">
      <w:r>
        <w:t>[NBN EN 206:2013+A2, Béton - Spécification, performances, production et conformité]</w:t>
      </w:r>
    </w:p>
    <w:p w14:paraId="33FD7905" w14:textId="77777777" w:rsidR="00DF410E" w:rsidRDefault="00CE7F43">
      <w:r>
        <w:t>[NBN B 15-001, Béton - Spécification, performances, production et conformité - Complément national à la NBN EN 206:2013+A2:2021]</w:t>
      </w:r>
    </w:p>
    <w:p w14:paraId="1E187DF3" w14:textId="77777777" w:rsidR="00DF410E" w:rsidRDefault="00CE7F43">
      <w:r>
        <w:t>[NBN B 06-001, Mesurage dans le bâtiment - Méthodes de mesurage de quantités]</w:t>
      </w:r>
    </w:p>
    <w:p w14:paraId="2CA4918B" w14:textId="77777777" w:rsidR="00DF410E" w:rsidRDefault="00CE7F43">
      <w:pPr>
        <w:pStyle w:val="pheading"/>
      </w:pPr>
      <w:r>
        <w:t>MESURAGE</w:t>
      </w:r>
    </w:p>
    <w:p w14:paraId="4070592A" w14:textId="77777777" w:rsidR="00DF410E" w:rsidRDefault="00CE7F43">
      <w:pPr>
        <w:pStyle w:val="pheading"/>
      </w:pPr>
      <w:r>
        <w:t>- unité de mesure:</w:t>
      </w:r>
    </w:p>
    <w:p w14:paraId="311967AA" w14:textId="77777777" w:rsidR="00DF410E" w:rsidRDefault="00CE7F43">
      <w:r>
        <w:rPr>
          <w:rStyle w:val="optioncarChar"/>
        </w:rPr>
        <w:t>-</w:t>
      </w:r>
      <w:r>
        <w:t xml:space="preserve"> (par défaut)</w:t>
      </w:r>
      <w:r>
        <w:rPr>
          <w:rStyle w:val="optioncarChar"/>
        </w:rPr>
        <w:t xml:space="preserve"> / pc / m³</w:t>
      </w:r>
    </w:p>
    <w:p w14:paraId="36AAC292" w14:textId="77777777" w:rsidR="00DF410E" w:rsidRDefault="00CE7F43">
      <w:pPr>
        <w:pStyle w:val="pheading"/>
      </w:pPr>
      <w:r>
        <w:t>- nature du marché:</w:t>
      </w:r>
    </w:p>
    <w:p w14:paraId="4FF71E66" w14:textId="77777777" w:rsidR="00DF410E" w:rsidRDefault="00CE7F43">
      <w:r>
        <w:rPr>
          <w:rStyle w:val="optioncarChar"/>
        </w:rPr>
        <w:t>QF / QP / PM</w:t>
      </w:r>
      <w:r>
        <w:t xml:space="preserve"> (par défaut) </w:t>
      </w:r>
    </w:p>
    <w:p w14:paraId="56561435" w14:textId="77777777" w:rsidR="00DF410E" w:rsidRDefault="00CE7F43">
      <w:pPr>
        <w:pStyle w:val="pheading"/>
      </w:pPr>
      <w:r>
        <w:t>AIDE</w:t>
      </w:r>
    </w:p>
    <w:p w14:paraId="3F521756" w14:textId="77777777" w:rsidR="00DF410E" w:rsidRDefault="00CE7F43">
      <w:pPr>
        <w:jc w:val="both"/>
      </w:pPr>
      <w:r>
        <w:t>Le dimensionnement d’un asselet dépend de la charge ponctuelle qui s’y applique.</w:t>
      </w:r>
    </w:p>
    <w:p w14:paraId="4B560F2A" w14:textId="77777777" w:rsidR="00DF410E" w:rsidRDefault="00CE7F43">
      <w:pPr>
        <w:jc w:val="both"/>
      </w:pPr>
      <w:r>
        <w:t>Pour les cas courants, il est conseillé de réaliser un asselet d’une longueur minimale de 60 cm, afin de répartir les charges sur au moins 2 blocs ou 3 briques, d’une hauteur de 20 cm (pour qu’il soit rigide) et d’une profondeur de 20 cm.</w:t>
      </w:r>
    </w:p>
    <w:p w14:paraId="3F909EB1" w14:textId="77777777" w:rsidR="00DF410E" w:rsidRDefault="00CE7F43">
      <w:pPr>
        <w:jc w:val="both"/>
      </w:pPr>
      <w:r>
        <w:t>Tenant compte du fait que la charge ponctuelle se répartit dans l’asselet suivant un angle de 45° à partir des bords verticaux de la poutre, les empattements de l’asselet doivent être égaux à la hauteur de l’asselet.</w:t>
      </w:r>
    </w:p>
    <w:p w14:paraId="2A24BD60" w14:textId="77777777" w:rsidR="00DF410E" w:rsidRDefault="00CE7F43">
      <w:pPr>
        <w:jc w:val="both"/>
      </w:pPr>
      <w:r>
        <w:t>Si les empattements dépassent la hauteur de l’asselet, il est nécessaire de prévoir des armatures longitudinales.</w:t>
      </w:r>
    </w:p>
    <w:p w14:paraId="5E81D3E1" w14:textId="77777777" w:rsidR="00DF410E" w:rsidRDefault="00CE7F43">
      <w:pPr>
        <w:pStyle w:val="Author-eSectionHeading5"/>
      </w:pPr>
      <w:bookmarkStart w:id="570" w:name="_Toc178837758"/>
      <w:r>
        <w:t>21.85.4 Créations d'assise CCTB 01.04</w:t>
      </w:r>
      <w:bookmarkEnd w:id="570"/>
    </w:p>
    <w:p w14:paraId="35AA4DEF" w14:textId="77777777" w:rsidR="00DF410E" w:rsidRDefault="00CE7F43">
      <w:pPr>
        <w:pStyle w:val="Author-eSectionHeading6"/>
      </w:pPr>
      <w:bookmarkStart w:id="571" w:name="_Toc178837759"/>
      <w:r>
        <w:t>21.85.4a Créations d'assise par évidement de maçonnerie existante CCTB 01.02</w:t>
      </w:r>
      <w:bookmarkEnd w:id="571"/>
    </w:p>
    <w:p w14:paraId="617C9294" w14:textId="77777777" w:rsidR="00DF410E" w:rsidRDefault="00CE7F43">
      <w:pPr>
        <w:pStyle w:val="Author-eSectionHeading6"/>
      </w:pPr>
      <w:bookmarkStart w:id="572" w:name="_Toc178837760"/>
      <w:r>
        <w:t>21.85.4b Reprises d'arase des maçonneries CCTB 01.04</w:t>
      </w:r>
      <w:bookmarkEnd w:id="572"/>
    </w:p>
    <w:p w14:paraId="03101FEC" w14:textId="77777777" w:rsidR="00DF410E" w:rsidRDefault="00CE7F43">
      <w:pPr>
        <w:pStyle w:val="Author-eSectionHeading6"/>
      </w:pPr>
      <w:bookmarkStart w:id="573" w:name="_Toc178837761"/>
      <w:r>
        <w:t>21.85.4c Chapes sous-sablière CCTB 01.04</w:t>
      </w:r>
      <w:bookmarkEnd w:id="573"/>
    </w:p>
    <w:p w14:paraId="1CA54048" w14:textId="77777777" w:rsidR="00DF410E" w:rsidRDefault="00CE7F43">
      <w:pPr>
        <w:pStyle w:val="Author-eSectionHeading5"/>
      </w:pPr>
      <w:bookmarkStart w:id="574" w:name="_Toc178837762"/>
      <w:r>
        <w:t>21.85.5 Petits ouvrages dans les maçonneries CCTB 01.04</w:t>
      </w:r>
      <w:bookmarkEnd w:id="574"/>
    </w:p>
    <w:p w14:paraId="0A9FCFB2" w14:textId="77777777" w:rsidR="00DF410E" w:rsidRDefault="00CE7F43">
      <w:pPr>
        <w:pStyle w:val="Author-eSectionHeading6"/>
      </w:pPr>
      <w:bookmarkStart w:id="575" w:name="_Toc178837763"/>
      <w:r>
        <w:t>21.85.5a Petits ouvrages dans les maçonneries CCTB 01.04</w:t>
      </w:r>
      <w:bookmarkEnd w:id="575"/>
    </w:p>
    <w:p w14:paraId="2FEF995C" w14:textId="77777777" w:rsidR="00DF410E" w:rsidRDefault="00CE7F43">
      <w:pPr>
        <w:pStyle w:val="Author-eSectionHeading6"/>
      </w:pPr>
      <w:bookmarkStart w:id="576" w:name="_Toc178837764"/>
      <w:r>
        <w:t>21.85.5b Réparation des maçonneries de parement en briques de terre cuite de réemploi CCTB 01.11</w:t>
      </w:r>
      <w:bookmarkEnd w:id="576"/>
    </w:p>
    <w:p w14:paraId="15DB3305" w14:textId="77777777" w:rsidR="00DF410E" w:rsidRDefault="00CE7F43">
      <w:pPr>
        <w:pStyle w:val="pheading"/>
      </w:pPr>
      <w:r>
        <w:t>MATÉRIAUX</w:t>
      </w:r>
    </w:p>
    <w:p w14:paraId="1540FD11" w14:textId="77777777" w:rsidR="00DF410E" w:rsidRDefault="00CE7F43">
      <w:pPr>
        <w:pStyle w:val="pheading"/>
      </w:pPr>
      <w:r>
        <w:t>- Caractéristiques générales</w:t>
      </w:r>
    </w:p>
    <w:p w14:paraId="79393C21" w14:textId="77777777" w:rsidR="00DF410E" w:rsidRDefault="00CE7F43">
      <w:r>
        <w:t>Les travaux de réparation et/ou d'adaptation au parement existant sont exécutés en briques de récupération: </w:t>
      </w:r>
      <w:r>
        <w:rPr>
          <w:rStyle w:val="optioncarChar"/>
        </w:rPr>
        <w:t>provenant de la démolition / livrées par l'entrepreneur</w:t>
      </w:r>
      <w:r>
        <w:br/>
      </w:r>
      <w:r>
        <w:rPr>
          <w:b/>
        </w:rPr>
        <w:t>(soit)</w:t>
      </w:r>
      <w:r>
        <w:br/>
      </w:r>
      <w:r>
        <w:rPr>
          <w:rStyle w:val="soitChar"/>
          <w:u w:val="single"/>
        </w:rPr>
        <w:t>Provenant de la démolition</w:t>
      </w:r>
      <w:r>
        <w:rPr>
          <w:rStyle w:val="soitChar"/>
        </w:rPr>
        <w:t xml:space="preserve"> :  en briques de récupération provenant de la démolition de </w:t>
      </w:r>
      <w:r>
        <w:rPr>
          <w:rStyle w:val="optioncarChar"/>
        </w:rPr>
        <w:t>***</w:t>
      </w:r>
      <w:r>
        <w:rPr>
          <w:rStyle w:val="soitChar"/>
        </w:rPr>
        <w:t>, telle que prévue dans le Tome 1 à l'article</w:t>
      </w:r>
      <w:r>
        <w:rPr>
          <w:rStyle w:val="optioncarChar"/>
        </w:rPr>
        <w:t xml:space="preserve"> ***</w:t>
      </w:r>
    </w:p>
    <w:p w14:paraId="23C4BEB8" w14:textId="77777777" w:rsidR="00DF410E" w:rsidRDefault="00CE7F43">
      <w:r>
        <w:rPr>
          <w:b/>
        </w:rPr>
        <w:t>(soit)</w:t>
      </w:r>
      <w:r>
        <w:br/>
      </w:r>
      <w:r>
        <w:rPr>
          <w:rStyle w:val="soitChar"/>
          <w:u w:val="single"/>
        </w:rPr>
        <w:t>Livrées par l'entrepreneur</w:t>
      </w:r>
      <w:r>
        <w:rPr>
          <w:rStyle w:val="soitChar"/>
        </w:rPr>
        <w:t xml:space="preserve"> : en briques de récupération </w:t>
      </w:r>
      <w:r>
        <w:rPr>
          <w:rStyle w:val="optioncarChar"/>
        </w:rPr>
        <w:t>***</w:t>
      </w:r>
      <w:r>
        <w:rPr>
          <w:rStyle w:val="soitChar"/>
        </w:rPr>
        <w:t xml:space="preserve"> à livrer par l'entrepreneur et à soumettre préalablement pour approbation. Les briques sont bien cuites et résistantes au gel.</w:t>
      </w:r>
    </w:p>
    <w:p w14:paraId="4DD54EB7" w14:textId="77777777" w:rsidR="00DF410E" w:rsidRDefault="00CE7F43">
      <w:r>
        <w:t>Le format, la texture et la couleur se rapprochent autant que possible des briques du parement existant. Les briques de récupération sont des mêmes espèces et origine et sont triées selon les mêmes dimensions. Toutes les faces de parement sont préalablement nettoyées. Les briques sont débarrassées de toutes bavures de mortier et de particules de chaux, les bords sont libérés. Aucune trace de mortier, de salissures ou de rouille ne peut subsister.</w:t>
      </w:r>
    </w:p>
    <w:p w14:paraId="0B39B353" w14:textId="77777777" w:rsidR="00DF410E" w:rsidRDefault="00CE7F43">
      <w:pPr>
        <w:pStyle w:val="pheading"/>
      </w:pPr>
      <w:r>
        <w:t>EXÉCUTION / MISE EN ŒUVRE</w:t>
      </w:r>
    </w:p>
    <w:p w14:paraId="3FA13FC2" w14:textId="77777777" w:rsidR="00DF410E" w:rsidRDefault="00CE7F43">
      <w:pPr>
        <w:pStyle w:val="pheading"/>
      </w:pPr>
      <w:r>
        <w:t>- Prescriptions générales</w:t>
      </w:r>
    </w:p>
    <w:p w14:paraId="2817CFB1" w14:textId="77777777" w:rsidR="00DF410E" w:rsidRDefault="00CE7F43">
      <w:r>
        <w:t xml:space="preserve">Le mortier de maçonnerie est de la catégorie </w:t>
      </w:r>
      <w:r>
        <w:rPr>
          <w:rStyle w:val="optioncarChar"/>
        </w:rPr>
        <w:t>12 / 8</w:t>
      </w:r>
      <w:r>
        <w:t xml:space="preserve"> selon la [NBN EN 998-2]</w:t>
      </w:r>
      <w:r>
        <w:br/>
      </w:r>
      <w:r>
        <w:br/>
        <w:t xml:space="preserve">La maçonnerie est exécutée </w:t>
      </w:r>
      <w:r>
        <w:rPr>
          <w:rStyle w:val="optioncarChar"/>
        </w:rPr>
        <w:t>conformément au parement existant </w:t>
      </w:r>
      <w:r>
        <w:t>(par défaut)</w:t>
      </w:r>
      <w:r>
        <w:rPr>
          <w:rStyle w:val="optioncarChar"/>
        </w:rPr>
        <w:t xml:space="preserve"> / ***</w:t>
      </w:r>
      <w:r>
        <w:br/>
      </w:r>
      <w:r>
        <w:br/>
        <w:t xml:space="preserve">Coulisse : </w:t>
      </w:r>
      <w:r>
        <w:rPr>
          <w:rStyle w:val="optioncarChar"/>
        </w:rPr>
        <w:t>non ventilée / moyennement ventilée </w:t>
      </w:r>
      <w:r>
        <w:t>(par défaut)</w:t>
      </w:r>
      <w:r>
        <w:rPr>
          <w:rStyle w:val="optioncarChar"/>
        </w:rPr>
        <w:t xml:space="preserve"> / ***</w:t>
      </w:r>
      <w:r>
        <w:t>, largeur du vide</w:t>
      </w:r>
      <w:r>
        <w:rPr>
          <w:rStyle w:val="optioncarChar"/>
        </w:rPr>
        <w:t xml:space="preserve"> ***</w:t>
      </w:r>
      <w:r>
        <w:t xml:space="preserve"> cm</w:t>
      </w:r>
      <w:r>
        <w:br/>
      </w:r>
      <w:r>
        <w:br/>
        <w:t xml:space="preserve">Joints montants ouverts : voir conception de la coulisse dans la section </w:t>
      </w:r>
      <w:hyperlink w:anchor="379" w:history="1">
        <w:r>
          <w:t>21.3 Maçonneries de parement</w:t>
        </w:r>
      </w:hyperlink>
      <w:r>
        <w:br/>
      </w:r>
      <w:r>
        <w:br/>
        <w:t xml:space="preserve">Crochets de mur : </w:t>
      </w:r>
      <w:r>
        <w:rPr>
          <w:rStyle w:val="optioncarChar"/>
        </w:rPr>
        <w:t xml:space="preserve">acier galvanisé </w:t>
      </w:r>
      <w:r>
        <w:t>(par défaut) </w:t>
      </w:r>
      <w:r>
        <w:rPr>
          <w:rStyle w:val="optioncarChar"/>
        </w:rPr>
        <w:t>/ *** , diam. min. 3,5 </w:t>
      </w:r>
      <w:r>
        <w:t>(par défaut)</w:t>
      </w:r>
      <w:r>
        <w:rPr>
          <w:rStyle w:val="optioncarChar"/>
        </w:rPr>
        <w:t xml:space="preserve"> / 4 / ***</w:t>
      </w:r>
      <w:r>
        <w:t xml:space="preserve"> mm</w:t>
      </w:r>
      <w:r>
        <w:br/>
      </w:r>
      <w:r>
        <w:br/>
        <w:t>Linteaux : assise de chant avec</w:t>
      </w:r>
      <w:r>
        <w:rPr>
          <w:rStyle w:val="optioncarChar"/>
        </w:rPr>
        <w:t xml:space="preserve"> crochets / cornière continue en acier galvanisé</w:t>
      </w:r>
      <w:r>
        <w:t xml:space="preserve"> (par défaut)</w:t>
      </w:r>
      <w:r>
        <w:rPr>
          <w:rStyle w:val="optioncarChar"/>
        </w:rPr>
        <w:t> / consoles trapézoïdales réglables / ***</w:t>
      </w:r>
      <w:r>
        <w:br/>
      </w:r>
      <w:r>
        <w:br/>
        <w:t xml:space="preserve">Largeur des joints : </w:t>
      </w:r>
      <w:r>
        <w:rPr>
          <w:rStyle w:val="optioncarChar"/>
        </w:rPr>
        <w:t>conformément au parement existant </w:t>
      </w:r>
      <w:r>
        <w:t xml:space="preserve">(par défaut) </w:t>
      </w:r>
      <w:r>
        <w:rPr>
          <w:rStyle w:val="optioncarChar"/>
        </w:rPr>
        <w:t>/ nominale 10 / 12 / ***</w:t>
      </w:r>
      <w:r>
        <w:t xml:space="preserve"> mm.</w:t>
      </w:r>
      <w:r>
        <w:br/>
      </w:r>
      <w:r>
        <w:br/>
        <w:t xml:space="preserve">Type de joints : </w:t>
      </w:r>
      <w:r>
        <w:rPr>
          <w:rStyle w:val="optioncarChar"/>
        </w:rPr>
        <w:t>conformément au parement existant </w:t>
      </w:r>
      <w:r>
        <w:t>(par défaut)</w:t>
      </w:r>
      <w:r>
        <w:rPr>
          <w:rStyle w:val="optioncarChar"/>
        </w:rPr>
        <w:t xml:space="preserve"> / joint creux / joint creux en retrait / joint plat / joint plat en retrait / joint biais en retrait / ***</w:t>
      </w:r>
      <w:r>
        <w:br/>
      </w:r>
      <w:r>
        <w:br/>
        <w:t>Finition des joints :</w:t>
      </w:r>
      <w:r>
        <w:rPr>
          <w:rStyle w:val="optioncarChar"/>
        </w:rPr>
        <w:t xml:space="preserve"> joint brossé </w:t>
      </w:r>
      <w:r>
        <w:t>( par défaut)</w:t>
      </w:r>
      <w:r>
        <w:rPr>
          <w:rStyle w:val="optioncarChar"/>
        </w:rPr>
        <w:t xml:space="preserve"> / finition lisse / joint frappé à la brosse dure / ***</w:t>
      </w:r>
    </w:p>
    <w:p w14:paraId="34878774" w14:textId="77777777" w:rsidR="00DF410E" w:rsidRDefault="00CE7F43">
      <w:pPr>
        <w:pStyle w:val="pheading"/>
      </w:pPr>
      <w:r>
        <w:t>- Notes d’exécution complémentaires</w:t>
      </w:r>
    </w:p>
    <w:p w14:paraId="4E6431ED" w14:textId="77777777" w:rsidR="00DF410E" w:rsidRDefault="00CE7F43">
      <w:r>
        <w:t xml:space="preserve">• Armatures horizontales : selon l'article </w:t>
      </w:r>
      <w:hyperlink w:anchor="355" w:history="1">
        <w:r>
          <w:t>21.41.1 Armatures horizontales pour maçonneries</w:t>
        </w:r>
      </w:hyperlink>
      <w:r>
        <w:t>. Le cas échéant, seul le mortier de la catégorie 12 est autorisé.</w:t>
      </w:r>
      <w:r>
        <w:br/>
      </w:r>
      <w:r>
        <w:br/>
        <w:t xml:space="preserve">• Ancrages : selon l'article </w:t>
      </w:r>
      <w:hyperlink w:anchor="362" w:history="1">
        <w:r>
          <w:t>21.42 Ancrages et fixations de maçonneries</w:t>
        </w:r>
      </w:hyperlink>
      <w:r>
        <w:br/>
      </w:r>
      <w:r>
        <w:br/>
        <w:t xml:space="preserve">Briques spéciales : </w:t>
      </w:r>
      <w:r>
        <w:rPr>
          <w:rStyle w:val="optioncarChar"/>
        </w:rPr>
        <w:t>***</w:t>
      </w:r>
      <w:r>
        <w:br/>
      </w:r>
      <w:r>
        <w:br/>
        <w:t xml:space="preserve">Joints de dilatation : </w:t>
      </w:r>
      <w:r>
        <w:rPr>
          <w:rStyle w:val="optioncarChar"/>
        </w:rPr>
        <w:t>***</w:t>
      </w:r>
      <w:r>
        <w:br/>
      </w:r>
      <w:r>
        <w:br/>
        <w:t xml:space="preserve">Les faces de murs exposées aux influences atmosphériques sont ensuite traitées à l'aide d'un produit d'imprégnation </w:t>
      </w:r>
      <w:r>
        <w:rPr>
          <w:rStyle w:val="optioncarChar"/>
        </w:rPr>
        <w:t>préconisé par le fabricant / à base de siloxane</w:t>
      </w:r>
      <w:r>
        <w:t xml:space="preserve">, selon l'article </w:t>
      </w:r>
      <w:hyperlink r:id="rId59" w:history="1" w:docLocation="467">
        <w:r>
          <w:t>83.14 Traitements et protections préventifs / curatifs contre l'eau liquide et l'humidité capillaire (humidité ascensionnelle) et les sels</w:t>
        </w:r>
      </w:hyperlink>
      <w:r>
        <w:br/>
      </w:r>
      <w:r>
        <w:br/>
        <w:t>Après les réparations, les faces de murs suivantes</w:t>
      </w:r>
      <w:r>
        <w:rPr>
          <w:rStyle w:val="optioncarChar"/>
        </w:rPr>
        <w:t xml:space="preserve"> ***</w:t>
      </w:r>
      <w:r>
        <w:t xml:space="preserve"> reçoivent un enduit extérieur, décrit dans </w:t>
      </w:r>
      <w:hyperlink r:id="rId60" w:history="1" w:docLocation="380">
        <w:r>
          <w:t>43 Revêtements de façade</w:t>
        </w:r>
      </w:hyperlink>
      <w:r>
        <w:br/>
      </w:r>
      <w:r>
        <w:br/>
      </w:r>
    </w:p>
    <w:p w14:paraId="74DC2131" w14:textId="77777777" w:rsidR="00DF410E" w:rsidRDefault="00CE7F43">
      <w:pPr>
        <w:pStyle w:val="Author-eSectionHeading4"/>
      </w:pPr>
      <w:bookmarkStart w:id="577" w:name="_Toc178837765"/>
      <w:r>
        <w:t>21.86 Reposes / remplacements CCTB 01.02</w:t>
      </w:r>
      <w:bookmarkEnd w:id="577"/>
    </w:p>
    <w:p w14:paraId="3BF25BAC" w14:textId="77777777" w:rsidR="00DF410E" w:rsidRDefault="00CE7F43">
      <w:pPr>
        <w:pStyle w:val="Author-eSectionHeading5"/>
      </w:pPr>
      <w:bookmarkStart w:id="578" w:name="_Toc178837766"/>
      <w:r>
        <w:t>21.86.1 Reposes d'éléments récupérés CCTB 01.02</w:t>
      </w:r>
      <w:bookmarkEnd w:id="578"/>
    </w:p>
    <w:p w14:paraId="5BB3AD86" w14:textId="77777777" w:rsidR="00DF410E" w:rsidRDefault="00CE7F43">
      <w:pPr>
        <w:pStyle w:val="Author-eSectionHeading6"/>
      </w:pPr>
      <w:bookmarkStart w:id="579" w:name="157"/>
      <w:bookmarkStart w:id="580" w:name="_Toc178837767"/>
      <w:bookmarkEnd w:id="579"/>
      <w:r>
        <w:t>21.86.1a Reposes d'éléments de structures en maçonnerie récupérés CCTB 01.02</w:t>
      </w:r>
      <w:bookmarkEnd w:id="580"/>
    </w:p>
    <w:p w14:paraId="1714D7EE" w14:textId="77777777" w:rsidR="00DF410E" w:rsidRDefault="00CE7F43">
      <w:pPr>
        <w:pStyle w:val="Author-eSectionHeading5"/>
      </w:pPr>
      <w:bookmarkStart w:id="581" w:name="_Toc178837768"/>
      <w:r>
        <w:t>21.86.2 Remplacements à l'identique de maçonneries CCTB 01.04</w:t>
      </w:r>
      <w:bookmarkEnd w:id="581"/>
    </w:p>
    <w:p w14:paraId="15AC8EAB" w14:textId="77777777" w:rsidR="00DF410E" w:rsidRDefault="00CE7F43">
      <w:pPr>
        <w:pStyle w:val="Author-eSectionHeading6"/>
      </w:pPr>
      <w:bookmarkStart w:id="582" w:name="_Toc178837769"/>
      <w:r>
        <w:t>21.86.2a Remplacements complets à l'identique de maçonneries CCTB 01.04</w:t>
      </w:r>
      <w:bookmarkEnd w:id="582"/>
    </w:p>
    <w:p w14:paraId="17E9FB5C" w14:textId="77777777" w:rsidR="00DF410E" w:rsidRDefault="00CE7F43">
      <w:pPr>
        <w:pStyle w:val="pheading"/>
      </w:pPr>
      <w:r>
        <w:t>DESCRIPTION</w:t>
      </w:r>
    </w:p>
    <w:p w14:paraId="065CA59C" w14:textId="77777777" w:rsidR="00DF410E" w:rsidRDefault="00CE7F43">
      <w:pPr>
        <w:pStyle w:val="pheading"/>
      </w:pPr>
      <w:r>
        <w:t>- Définition / Comprend</w:t>
      </w:r>
    </w:p>
    <w:p w14:paraId="2B49F317" w14:textId="77777777" w:rsidR="00DF410E" w:rsidRDefault="00CE7F43">
      <w:r>
        <w:t xml:space="preserve">Renvoi au </w:t>
      </w:r>
      <w:hyperlink w:anchor="293" w:history="1">
        <w:r>
          <w:t>21 Superstructures en maçonnerie</w:t>
        </w:r>
      </w:hyperlink>
    </w:p>
    <w:p w14:paraId="4EFF93A5" w14:textId="77777777" w:rsidR="00DF410E" w:rsidRDefault="00CE7F43">
      <w:pPr>
        <w:pStyle w:val="Author-eSectionHeading6"/>
      </w:pPr>
      <w:bookmarkStart w:id="583" w:name="_Toc178837770"/>
      <w:r>
        <w:t>21.86.2b Remplacements de tranches à l'identique de maçonneries CCTB 01.04</w:t>
      </w:r>
      <w:bookmarkEnd w:id="583"/>
    </w:p>
    <w:p w14:paraId="3DCFF60F" w14:textId="77777777" w:rsidR="00DF410E" w:rsidRDefault="00CE7F43">
      <w:pPr>
        <w:pStyle w:val="Author-eSectionHeading5"/>
      </w:pPr>
      <w:bookmarkStart w:id="584" w:name="_Toc178837771"/>
      <w:r>
        <w:t>21.86.3 Remplacements d'éléments entiers à l'identique CCTB 01.02</w:t>
      </w:r>
      <w:bookmarkEnd w:id="584"/>
    </w:p>
    <w:p w14:paraId="6E1F8479" w14:textId="77777777" w:rsidR="00DF410E" w:rsidRDefault="00CE7F43">
      <w:pPr>
        <w:pStyle w:val="Author-eSectionHeading6"/>
      </w:pPr>
      <w:bookmarkStart w:id="585" w:name="_Toc178837772"/>
      <w:r>
        <w:t>21.86.3a Remplacements de briques CCTB 01.02</w:t>
      </w:r>
      <w:bookmarkEnd w:id="585"/>
    </w:p>
    <w:p w14:paraId="4A2A0CCB" w14:textId="77777777" w:rsidR="00DF410E" w:rsidRDefault="00CE7F43">
      <w:pPr>
        <w:pStyle w:val="Author-eSectionHeading6"/>
      </w:pPr>
      <w:bookmarkStart w:id="586" w:name="_Toc178837773"/>
      <w:r>
        <w:t>21.86.3b Remplacements de blocs / briques de béton CCTB 01.02</w:t>
      </w:r>
      <w:bookmarkEnd w:id="586"/>
    </w:p>
    <w:p w14:paraId="4A39A4E2" w14:textId="77777777" w:rsidR="00DF410E" w:rsidRDefault="00CE7F43">
      <w:pPr>
        <w:pStyle w:val="Author-eSectionHeading6"/>
      </w:pPr>
      <w:bookmarkStart w:id="587" w:name="_Toc178837774"/>
      <w:r>
        <w:t>21.86.3c Remplacements d'éléments en pierre naturelle CCTB 01.02</w:t>
      </w:r>
      <w:bookmarkEnd w:id="587"/>
    </w:p>
    <w:p w14:paraId="2077437A" w14:textId="77777777" w:rsidR="00DF410E" w:rsidRDefault="00CE7F43">
      <w:pPr>
        <w:pStyle w:val="Author-eSectionHeading5"/>
      </w:pPr>
      <w:bookmarkStart w:id="588" w:name="_Toc178837775"/>
      <w:r>
        <w:t>21.86.4 Rejointoyages CCTB 01.11</w:t>
      </w:r>
      <w:bookmarkEnd w:id="588"/>
    </w:p>
    <w:p w14:paraId="1A645CD7" w14:textId="77777777" w:rsidR="00DF410E" w:rsidRDefault="00CE7F43">
      <w:pPr>
        <w:pStyle w:val="pheading"/>
      </w:pPr>
      <w:bookmarkStart w:id="589" w:name="440"/>
      <w:bookmarkEnd w:id="589"/>
      <w:r>
        <w:t>DESCRIPTION</w:t>
      </w:r>
    </w:p>
    <w:p w14:paraId="174A5C74" w14:textId="77777777" w:rsidR="00DF410E" w:rsidRDefault="00CE7F43">
      <w:pPr>
        <w:pStyle w:val="pheading"/>
      </w:pPr>
      <w:r>
        <w:t>- Définition / Comprend</w:t>
      </w:r>
    </w:p>
    <w:p w14:paraId="1AC99866" w14:textId="77777777" w:rsidR="00DF410E" w:rsidRDefault="00CE7F43">
      <w:r>
        <w:t>Les travaux comprennent :</w:t>
      </w:r>
    </w:p>
    <w:p w14:paraId="42E834C1" w14:textId="77777777" w:rsidR="00DF410E" w:rsidRDefault="00CE7F43">
      <w:pPr>
        <w:pStyle w:val="Author-eListParagraph"/>
        <w:numPr>
          <w:ilvl w:val="0"/>
          <w:numId w:val="310"/>
        </w:numPr>
      </w:pPr>
      <w:r>
        <w:t>le contrôle minutieux de tous les joints de la façade;</w:t>
      </w:r>
    </w:p>
    <w:p w14:paraId="613CB6B0" w14:textId="77777777" w:rsidR="00DF410E" w:rsidRDefault="00CE7F43">
      <w:pPr>
        <w:pStyle w:val="Author-eListParagraph"/>
        <w:numPr>
          <w:ilvl w:val="0"/>
          <w:numId w:val="310"/>
        </w:numPr>
      </w:pPr>
      <w:r>
        <w:t>le décapage des joints non adhérents et/ou érodés;</w:t>
      </w:r>
    </w:p>
    <w:p w14:paraId="71397153" w14:textId="77777777" w:rsidR="00DF410E" w:rsidRDefault="00CE7F43">
      <w:pPr>
        <w:pStyle w:val="Author-eListParagraph"/>
        <w:numPr>
          <w:ilvl w:val="0"/>
          <w:numId w:val="310"/>
        </w:numPr>
      </w:pPr>
      <w:r>
        <w:t>le rejointoiement comme prévu ci-dessous.</w:t>
      </w:r>
    </w:p>
    <w:p w14:paraId="43BD72DD" w14:textId="77777777" w:rsidR="00DF410E" w:rsidRDefault="00CE7F43">
      <w:pPr>
        <w:pStyle w:val="pheading"/>
      </w:pPr>
      <w:r>
        <w:t>- Remarques importantes</w:t>
      </w:r>
    </w:p>
    <w:p w14:paraId="55EC6FE9" w14:textId="77777777" w:rsidR="00DF410E" w:rsidRDefault="00CE7F43">
      <w:r>
        <w:rPr>
          <w:b/>
          <w:u w:val="single"/>
        </w:rPr>
        <w:t>Attention</w:t>
      </w:r>
    </w:p>
    <w:p w14:paraId="6A8E1F80" w14:textId="77777777" w:rsidR="00DF410E" w:rsidRDefault="00CE7F43">
      <w:r>
        <w:t>Il importe de bien coordonner et de minuter les travaux avec l'éventuel ravalement de façade.</w:t>
      </w:r>
    </w:p>
    <w:p w14:paraId="695B53E1" w14:textId="77777777" w:rsidR="00DF410E" w:rsidRDefault="00CE7F43">
      <w:pPr>
        <w:pStyle w:val="pheading"/>
      </w:pPr>
      <w:r>
        <w:t>MATÉRIAUX</w:t>
      </w:r>
    </w:p>
    <w:p w14:paraId="6FADCB88" w14:textId="77777777" w:rsidR="00DF410E" w:rsidRDefault="00CE7F43">
      <w:r>
        <w:t>Sous son entière responsabilité, l'entrepreneur vérifie à l'avance la compatibilité du mortier de jointoiement avec les pierres, afin d'éviter les efflorescences. La résistance à la compression du mortier est inférieure ou égale à celle du mortier de pose. Le coloris est adapté à celui du jointoiement existant.</w:t>
      </w:r>
    </w:p>
    <w:p w14:paraId="796616B7" w14:textId="77777777" w:rsidR="00DF410E" w:rsidRDefault="00CE7F43">
      <w:pPr>
        <w:pStyle w:val="pheading"/>
      </w:pPr>
      <w:r>
        <w:t>EXÉCUTION / MISE EN ŒUVRE</w:t>
      </w:r>
    </w:p>
    <w:p w14:paraId="5C82637D" w14:textId="77777777" w:rsidR="00DF410E" w:rsidRDefault="00CE7F43">
      <w:r>
        <w:t xml:space="preserve">Contrôle du jointoiement au mortier de ciment : tous les joints non adhérents ou érodés sont décapés jusqu'à une profondeur d'environ </w:t>
      </w:r>
      <w:r>
        <w:rPr>
          <w:rStyle w:val="optioncarChar"/>
        </w:rPr>
        <w:t>2 </w:t>
      </w:r>
      <w:r>
        <w:t>(par défaut)</w:t>
      </w:r>
      <w:r>
        <w:rPr>
          <w:rStyle w:val="optioncarChar"/>
        </w:rPr>
        <w:t xml:space="preserve"> / *** </w:t>
      </w:r>
      <w:r>
        <w:t>cm et rejointoyés à l'aide d'un mortier amélioré.</w:t>
      </w:r>
    </w:p>
    <w:p w14:paraId="112F99BD" w14:textId="77777777" w:rsidR="00DF410E" w:rsidRDefault="00CE7F43">
      <w:r>
        <w:t xml:space="preserve">Les joints de dilatations ne sont pas remplis mais colmatés par la suite avec un mastic élastique, selon l'article </w:t>
      </w:r>
      <w:r>
        <w:rPr>
          <w:rStyle w:val="optioncarChar"/>
        </w:rPr>
        <w:t>***</w:t>
      </w:r>
      <w:r>
        <w:t xml:space="preserve"> .</w:t>
      </w:r>
    </w:p>
    <w:p w14:paraId="6A29ADA4" w14:textId="77777777" w:rsidR="00DF410E" w:rsidRDefault="00CE7F43">
      <w:pPr>
        <w:pStyle w:val="pheading"/>
      </w:pPr>
      <w:r>
        <w:t>CONTRÔLES</w:t>
      </w:r>
    </w:p>
    <w:p w14:paraId="5BF75F71" w14:textId="77777777" w:rsidR="00DF410E" w:rsidRDefault="00CE7F43">
      <w:r>
        <w:t>On ne peut remarquer de différence de couleur dans le jointoiement. L'aspect, la forme et la couleur des joints sont identiques au jointoiement existant.</w:t>
      </w:r>
    </w:p>
    <w:p w14:paraId="3C155D59" w14:textId="77777777" w:rsidR="00DF410E" w:rsidRDefault="00CE7F43">
      <w:pPr>
        <w:pStyle w:val="Author-eSectionHeading6"/>
      </w:pPr>
      <w:bookmarkStart w:id="590" w:name="_Toc178837776"/>
      <w:r>
        <w:t>21.86.4a Rejointoyages ordinaires au mortier CCTB 01.11</w:t>
      </w:r>
      <w:bookmarkEnd w:id="590"/>
    </w:p>
    <w:p w14:paraId="1AAAFD5F" w14:textId="77777777" w:rsidR="00DF410E" w:rsidRDefault="00CE7F43">
      <w:pPr>
        <w:pStyle w:val="pheading"/>
      </w:pPr>
      <w:r>
        <w:t>DESCRIPTION</w:t>
      </w:r>
    </w:p>
    <w:p w14:paraId="2CC6D76A" w14:textId="77777777" w:rsidR="00DF410E" w:rsidRDefault="00CE7F43">
      <w:pPr>
        <w:pStyle w:val="pheading"/>
      </w:pPr>
      <w:r>
        <w:t>- Définition / Comprend</w:t>
      </w:r>
    </w:p>
    <w:p w14:paraId="6342D64C" w14:textId="77777777" w:rsidR="00DF410E" w:rsidRDefault="00CE7F43">
      <w:r>
        <w:t xml:space="preserve">Renvoi au § </w:t>
      </w:r>
      <w:hyperlink w:anchor="393" w:history="1">
        <w:r>
          <w:t>21.6 Réalisation de joints</w:t>
        </w:r>
      </w:hyperlink>
    </w:p>
    <w:p w14:paraId="162404D1" w14:textId="77777777" w:rsidR="00DF410E" w:rsidRDefault="00CE7F43">
      <w:pPr>
        <w:pStyle w:val="pheading"/>
      </w:pPr>
      <w:r>
        <w:t>EXÉCUTION / MISE EN ŒUVRE</w:t>
      </w:r>
    </w:p>
    <w:p w14:paraId="7ED98C48" w14:textId="77777777" w:rsidR="00DF410E" w:rsidRDefault="00CE7F43">
      <w:pPr>
        <w:pStyle w:val="pheading"/>
      </w:pPr>
      <w:r>
        <w:t>- Notes d’exécution complémentaires</w:t>
      </w:r>
    </w:p>
    <w:p w14:paraId="7AE7957F" w14:textId="77777777" w:rsidR="00DF410E" w:rsidRDefault="00CE7F43">
      <w:r>
        <w:t xml:space="preserve">Les joints de dilatations ne sont pas remplis mais colmatés par la suite avec un mastic élastique, selon l'article </w:t>
      </w:r>
      <w:r>
        <w:rPr>
          <w:rStyle w:val="optioncarChar"/>
        </w:rPr>
        <w:t>***</w:t>
      </w:r>
      <w:r>
        <w:t xml:space="preserve"> .</w:t>
      </w:r>
    </w:p>
    <w:p w14:paraId="215F2658" w14:textId="77777777" w:rsidR="00DF410E" w:rsidRDefault="00CE7F43">
      <w:pPr>
        <w:pStyle w:val="Author-eSectionHeading6"/>
      </w:pPr>
      <w:bookmarkStart w:id="591" w:name="_Toc178837777"/>
      <w:r>
        <w:t>21.86.4b Rejointoyages au mortier de chaux CCTB 01.04</w:t>
      </w:r>
      <w:bookmarkEnd w:id="591"/>
    </w:p>
    <w:p w14:paraId="5A4EC586" w14:textId="77777777" w:rsidR="00DF410E" w:rsidRDefault="00CE7F43">
      <w:pPr>
        <w:pStyle w:val="pheading"/>
      </w:pPr>
      <w:r>
        <w:t>EXÉCUTION / MISE EN ŒUVRE</w:t>
      </w:r>
    </w:p>
    <w:p w14:paraId="1AFC916E" w14:textId="77777777" w:rsidR="00DF410E" w:rsidRDefault="00CE7F43">
      <w:pPr>
        <w:pStyle w:val="pheading"/>
      </w:pPr>
      <w:r>
        <w:t>- Notes d’exécution complémentaires</w:t>
      </w:r>
    </w:p>
    <w:p w14:paraId="6663E414" w14:textId="77777777" w:rsidR="00DF410E" w:rsidRDefault="00CE7F43">
      <w:r>
        <w:t xml:space="preserve">Les joints de dilatations ne sont pas remplis mais colmatés par la suite avec un mastic élastique, selon l'article </w:t>
      </w:r>
      <w:r>
        <w:rPr>
          <w:rStyle w:val="optioncarChar"/>
        </w:rPr>
        <w:t>***</w:t>
      </w:r>
    </w:p>
    <w:p w14:paraId="2131B92C" w14:textId="77777777" w:rsidR="00DF410E" w:rsidRDefault="00CE7F43">
      <w:pPr>
        <w:pStyle w:val="Author-eSectionHeading6"/>
      </w:pPr>
      <w:bookmarkStart w:id="592" w:name="_Toc178837778"/>
      <w:r>
        <w:t>21.86.4c Rejointoyages au mortier bâtard CCTB 01.04</w:t>
      </w:r>
      <w:bookmarkEnd w:id="592"/>
    </w:p>
    <w:p w14:paraId="0B9981AA" w14:textId="77777777" w:rsidR="00DF410E" w:rsidRDefault="00CE7F43">
      <w:pPr>
        <w:pStyle w:val="pheading"/>
      </w:pPr>
      <w:r>
        <w:t>EXÉCUTION / MISE EN ŒUVRE</w:t>
      </w:r>
    </w:p>
    <w:p w14:paraId="1B0FFE79" w14:textId="77777777" w:rsidR="00DF410E" w:rsidRDefault="00CE7F43">
      <w:pPr>
        <w:pStyle w:val="pheading"/>
      </w:pPr>
      <w:r>
        <w:t>- Notes d’exécution complémentaires</w:t>
      </w:r>
    </w:p>
    <w:p w14:paraId="4FA225C6" w14:textId="77777777" w:rsidR="00DF410E" w:rsidRDefault="00CE7F43">
      <w:r>
        <w:t xml:space="preserve">Les joints de dilatations ne sont pas remplis mais colmatés par la suite avec un mastic élastique, selon l'article </w:t>
      </w:r>
      <w:r>
        <w:rPr>
          <w:rStyle w:val="optioncarChar"/>
        </w:rPr>
        <w:t>***</w:t>
      </w:r>
    </w:p>
    <w:p w14:paraId="1A8FF127" w14:textId="77777777" w:rsidR="00DF410E" w:rsidRDefault="00CE7F43">
      <w:pPr>
        <w:pStyle w:val="Author-eSectionHeading6"/>
      </w:pPr>
      <w:bookmarkStart w:id="593" w:name="_Toc178837779"/>
      <w:r>
        <w:t>21.86.4d Rejointoyages - Joints souples CCTB 01.04</w:t>
      </w:r>
      <w:bookmarkEnd w:id="593"/>
    </w:p>
    <w:p w14:paraId="1F231EF1" w14:textId="77777777" w:rsidR="00DF410E" w:rsidRDefault="00CE7F43">
      <w:pPr>
        <w:pStyle w:val="pheading"/>
      </w:pPr>
      <w:r>
        <w:t>DESCRIPTION</w:t>
      </w:r>
    </w:p>
    <w:p w14:paraId="2166B8C1" w14:textId="77777777" w:rsidR="00DF410E" w:rsidRDefault="00CE7F43">
      <w:pPr>
        <w:pStyle w:val="pheading"/>
      </w:pPr>
      <w:r>
        <w:t>- Définition / Comprend</w:t>
      </w:r>
    </w:p>
    <w:p w14:paraId="7CCA763D" w14:textId="77777777" w:rsidR="00DF410E" w:rsidRDefault="00CE7F43">
      <w:r>
        <w:t>Renvoi à l'élément </w:t>
      </w:r>
      <w:hyperlink r:id="rId61" w:history="1" w:docLocation="468">
        <w:r>
          <w:t>43.65 Etanchéisation de joints</w:t>
        </w:r>
      </w:hyperlink>
    </w:p>
    <w:p w14:paraId="7E26EFDA" w14:textId="77777777" w:rsidR="00DF410E" w:rsidRDefault="00CE7F43">
      <w:pPr>
        <w:pStyle w:val="Author-eSectionHeading6"/>
      </w:pPr>
      <w:bookmarkStart w:id="594" w:name="_Toc178837780"/>
      <w:r>
        <w:t>21.86.4e Rejointoyages - Joints au plomb CCTB 01.02</w:t>
      </w:r>
      <w:bookmarkEnd w:id="594"/>
    </w:p>
    <w:p w14:paraId="36CC7B67" w14:textId="77777777" w:rsidR="00DF410E" w:rsidRDefault="00CE7F43">
      <w:pPr>
        <w:pStyle w:val="Author-eSectionHeading4"/>
      </w:pPr>
      <w:bookmarkStart w:id="595" w:name="_Toc178837781"/>
      <w:r>
        <w:t>21.87 Nettoyages / préparations de surface CCTB 01.04</w:t>
      </w:r>
      <w:bookmarkEnd w:id="595"/>
    </w:p>
    <w:p w14:paraId="5DA6E5F9" w14:textId="77777777" w:rsidR="00DF410E" w:rsidRDefault="00CE7F43">
      <w:pPr>
        <w:pStyle w:val="pheading"/>
      </w:pPr>
      <w:r>
        <w:t>DESCRIPTION</w:t>
      </w:r>
    </w:p>
    <w:p w14:paraId="66D16D34" w14:textId="77777777" w:rsidR="00DF410E" w:rsidRDefault="00CE7F43">
      <w:pPr>
        <w:pStyle w:val="pheading"/>
      </w:pPr>
      <w:r>
        <w:t>- Définition / Comprend</w:t>
      </w:r>
    </w:p>
    <w:p w14:paraId="0B574560" w14:textId="77777777" w:rsidR="00DF410E" w:rsidRDefault="00CE7F43">
      <w:r>
        <w:t xml:space="preserve">Renvoi au § </w:t>
      </w:r>
      <w:hyperlink r:id="rId62" w:history="1" w:docLocation="469">
        <w:r>
          <w:t>83.11 Nettoyage / préparation de surface</w:t>
        </w:r>
      </w:hyperlink>
    </w:p>
    <w:p w14:paraId="2E0D336A" w14:textId="77777777" w:rsidR="00DF410E" w:rsidRDefault="00CE7F43">
      <w:pPr>
        <w:pStyle w:val="Author-eSectionHeading4"/>
      </w:pPr>
      <w:bookmarkStart w:id="596" w:name="_Toc178837782"/>
      <w:r>
        <w:t>21.88 Traitements et protections CCTB 01.04</w:t>
      </w:r>
      <w:bookmarkEnd w:id="596"/>
    </w:p>
    <w:p w14:paraId="4B7A448C" w14:textId="77777777" w:rsidR="00DF410E" w:rsidRDefault="00CE7F43">
      <w:pPr>
        <w:pStyle w:val="pheading"/>
      </w:pPr>
      <w:r>
        <w:t>DESCRIPTION</w:t>
      </w:r>
    </w:p>
    <w:p w14:paraId="2CA47CF0" w14:textId="77777777" w:rsidR="00DF410E" w:rsidRDefault="00CE7F43">
      <w:pPr>
        <w:pStyle w:val="pheading"/>
      </w:pPr>
      <w:r>
        <w:t>- Définition / Comprend</w:t>
      </w:r>
    </w:p>
    <w:p w14:paraId="3D59C101" w14:textId="77777777" w:rsidR="00DF410E" w:rsidRDefault="00CE7F43">
      <w:r>
        <w:t xml:space="preserve">Renvoi au § </w:t>
      </w:r>
      <w:hyperlink r:id="rId63" w:history="1" w:docLocation="164">
        <w:r>
          <w:t>83 Traitements / protections</w:t>
        </w:r>
      </w:hyperlink>
    </w:p>
    <w:p w14:paraId="374E1795" w14:textId="77777777" w:rsidR="00DF410E" w:rsidRDefault="00CE7F43">
      <w:pPr>
        <w:pStyle w:val="Author-eSectionHeading2"/>
      </w:pPr>
      <w:bookmarkStart w:id="597" w:name="_Toc178837783"/>
      <w:r>
        <w:t>22 Superstructures en béton CCTB 01.12</w:t>
      </w:r>
      <w:bookmarkEnd w:id="597"/>
    </w:p>
    <w:p w14:paraId="49EB8F43" w14:textId="77777777" w:rsidR="00DF410E" w:rsidRDefault="00CE7F43">
      <w:pPr>
        <w:pStyle w:val="pheading"/>
      </w:pPr>
      <w:bookmarkStart w:id="598" w:name="87"/>
      <w:bookmarkEnd w:id="598"/>
      <w:r>
        <w:t>DESCRIPTION</w:t>
      </w:r>
    </w:p>
    <w:p w14:paraId="6CE3D8E6" w14:textId="77777777" w:rsidR="00DF410E" w:rsidRDefault="00CE7F43">
      <w:pPr>
        <w:pStyle w:val="pheading"/>
      </w:pPr>
      <w:r>
        <w:t>- Définition / Comprend</w:t>
      </w:r>
    </w:p>
    <w:p w14:paraId="7C04EE68" w14:textId="77777777" w:rsidR="00DF410E" w:rsidRDefault="00CE7F43">
      <w:r>
        <w:t>Le présent chapitre comprend tous les éléments de gros-œuvre autres que les éléments de fondation ou de sol, exécutés en béton coulé en place ou préfabriqués en béton.</w:t>
      </w:r>
    </w:p>
    <w:p w14:paraId="643AF98D" w14:textId="77777777" w:rsidR="00DF410E" w:rsidRDefault="00CE7F43">
      <w:r>
        <w:rPr>
          <w:rStyle w:val="headingChar"/>
        </w:rPr>
        <w:t>Béton Prêt À L'emploi</w:t>
      </w:r>
    </w:p>
    <w:p w14:paraId="4584741C" w14:textId="77777777" w:rsidR="00DF410E" w:rsidRDefault="00CE7F43">
      <w:r>
        <w:t>Le poste ‘béton prêt à l'emploi’ comprend la réalisation de tous les éléments de gros-œuvre, exécutés en béton coulé en place, c’est-à-dire y compris tous les coffrages, les armatures, les éléments technologiques et la fourniture du béton. Les armatures sont soit métrées séparément, soit incluses dans le prix unitaire du béton. Un supplément peut être accordé pour les coffrages particuliers et complexes, uniquement s’ils sont mentionnés explicitement dans le cahier spécial des charges et/ou le métré récapitulatif. Le mesurage s’effectue selon la [NBN B 06-001]. Toutes les prescriptions en ce qui concerne le mesurage sont d’application autant pour les quantités forfaitaires que présumées.</w:t>
      </w:r>
    </w:p>
    <w:p w14:paraId="05672081" w14:textId="77777777" w:rsidR="00DF410E" w:rsidRDefault="00CE7F43">
      <w:r>
        <w:t>Conformément aux dispositions du cahier spécial des charges, les prix unitaires doivent toujours comprendre, soit selon la ventilation explicite du métré récapitulatif, soit dans leur totalité :</w:t>
      </w:r>
    </w:p>
    <w:p w14:paraId="6056AF88" w14:textId="77777777" w:rsidR="00DF410E" w:rsidRDefault="00CE7F43">
      <w:pPr>
        <w:pStyle w:val="Author-eListParagraph"/>
        <w:numPr>
          <w:ilvl w:val="0"/>
          <w:numId w:val="311"/>
        </w:numPr>
      </w:pPr>
      <w:r>
        <w:t>les éventuels notes de calcul et études et plans d’exécution des éléments structuraux en bétons qui sont à charge de l'entrepreneur;</w:t>
      </w:r>
    </w:p>
    <w:p w14:paraId="7898D6DC" w14:textId="77777777" w:rsidR="00DF410E" w:rsidRDefault="00CE7F43">
      <w:pPr>
        <w:pStyle w:val="Author-eListParagraph"/>
        <w:numPr>
          <w:ilvl w:val="0"/>
          <w:numId w:val="311"/>
        </w:numPr>
      </w:pPr>
      <w:r>
        <w:t>la préparation du support et/ou des éléments d'appui;</w:t>
      </w:r>
    </w:p>
    <w:p w14:paraId="1A77A9B0" w14:textId="77777777" w:rsidR="00DF410E" w:rsidRDefault="00CE7F43">
      <w:pPr>
        <w:pStyle w:val="Author-eListParagraph"/>
        <w:numPr>
          <w:ilvl w:val="0"/>
          <w:numId w:val="311"/>
        </w:numPr>
      </w:pPr>
      <w:r>
        <w:t>l'étude, la construction et le support du coffrage;</w:t>
      </w:r>
    </w:p>
    <w:p w14:paraId="7BB590D6" w14:textId="77777777" w:rsidR="00DF410E" w:rsidRDefault="00CE7F43">
      <w:pPr>
        <w:pStyle w:val="Author-eListParagraph"/>
        <w:numPr>
          <w:ilvl w:val="0"/>
          <w:numId w:val="311"/>
        </w:numPr>
      </w:pPr>
      <w:r>
        <w:t>la fourniture et la pose des éventuels éléments de coffrage perdus, selon le descriptif ;</w:t>
      </w:r>
    </w:p>
    <w:p w14:paraId="7F826204" w14:textId="77777777" w:rsidR="00DF410E" w:rsidRDefault="00CE7F43">
      <w:pPr>
        <w:pStyle w:val="Author-eListParagraph"/>
        <w:numPr>
          <w:ilvl w:val="0"/>
          <w:numId w:val="311"/>
        </w:numPr>
      </w:pPr>
      <w:r>
        <w:t>la fourniture et la mise en œuvre d’un pare-vapeur en dessous de la dalle et barrières prévues pour éviter les ponts thermiques;</w:t>
      </w:r>
    </w:p>
    <w:p w14:paraId="47F73275" w14:textId="77777777" w:rsidR="00DF410E" w:rsidRDefault="00CE7F43">
      <w:pPr>
        <w:pStyle w:val="Author-eListParagraph"/>
        <w:numPr>
          <w:ilvl w:val="0"/>
          <w:numId w:val="311"/>
        </w:numPr>
      </w:pPr>
      <w:r>
        <w:t>la fourniture et la mise en œuvre des armatures et de tout accessoire nécessaire (maintien en place, éléments de fixation de la précontrainte,…);</w:t>
      </w:r>
    </w:p>
    <w:p w14:paraId="715787D8" w14:textId="77777777" w:rsidR="00DF410E" w:rsidRDefault="00CE7F43">
      <w:pPr>
        <w:pStyle w:val="Author-eListParagraph"/>
        <w:numPr>
          <w:ilvl w:val="0"/>
          <w:numId w:val="311"/>
        </w:numPr>
      </w:pPr>
      <w:r>
        <w:t>le cas échéant, la fourniture et la pose des éléments à noyer dans le béton, tels que profilés, boîtes d’attente avec armature, systèmes d’accouplement, pièces détachées, les éventuelles plaques d’acier pour les joints de reprises, bandeaux et autres éléments linéaires prévus;</w:t>
      </w:r>
    </w:p>
    <w:p w14:paraId="46036566" w14:textId="77777777" w:rsidR="00DF410E" w:rsidRDefault="00CE7F43">
      <w:pPr>
        <w:pStyle w:val="Author-eListParagraph"/>
        <w:numPr>
          <w:ilvl w:val="0"/>
          <w:numId w:val="311"/>
        </w:numPr>
      </w:pPr>
      <w:r>
        <w:t>les dispositifs nécessaires aux réservations et aux évasements ; l’insertion de gaines pour l’électricité, les conduits d’évacuation des eaux sanitaires, …</w:t>
      </w:r>
    </w:p>
    <w:p w14:paraId="0B55E4AE" w14:textId="77777777" w:rsidR="00DF410E" w:rsidRDefault="00CE7F43">
      <w:pPr>
        <w:pStyle w:val="Author-eListParagraph"/>
        <w:numPr>
          <w:ilvl w:val="0"/>
          <w:numId w:val="311"/>
        </w:numPr>
      </w:pPr>
      <w:r>
        <w:t>les percements pour techniques (gaines, tuyauteries, etc…) figurant sur les plans d’adjudication</w:t>
      </w:r>
    </w:p>
    <w:p w14:paraId="7932ACE4" w14:textId="77777777" w:rsidR="00DF410E" w:rsidRDefault="00CE7F43">
      <w:pPr>
        <w:pStyle w:val="Author-eListParagraph"/>
        <w:numPr>
          <w:ilvl w:val="0"/>
          <w:numId w:val="311"/>
        </w:numPr>
      </w:pPr>
      <w:r>
        <w:t>le nettoyage des coffrages avant mise en œuvre du béton;</w:t>
      </w:r>
    </w:p>
    <w:p w14:paraId="281FA42F" w14:textId="77777777" w:rsidR="00DF410E" w:rsidRDefault="00CE7F43">
      <w:pPr>
        <w:pStyle w:val="Author-eListParagraph"/>
        <w:numPr>
          <w:ilvl w:val="0"/>
          <w:numId w:val="311"/>
        </w:numPr>
      </w:pPr>
      <w:r>
        <w:t>l’application des produits de décoffrage;</w:t>
      </w:r>
    </w:p>
    <w:p w14:paraId="60EA7491" w14:textId="77777777" w:rsidR="00DF410E" w:rsidRDefault="00CE7F43">
      <w:pPr>
        <w:pStyle w:val="Author-eListParagraph"/>
        <w:numPr>
          <w:ilvl w:val="0"/>
          <w:numId w:val="311"/>
        </w:numPr>
      </w:pPr>
      <w:r>
        <w:t>la fourniture, le coulage et la vibration (serrage) du béton;</w:t>
      </w:r>
    </w:p>
    <w:p w14:paraId="1D86C22F" w14:textId="77777777" w:rsidR="00DF410E" w:rsidRDefault="00CE7F43">
      <w:pPr>
        <w:pStyle w:val="Author-eListParagraph"/>
        <w:numPr>
          <w:ilvl w:val="0"/>
          <w:numId w:val="311"/>
        </w:numPr>
      </w:pPr>
      <w:r>
        <w:t>la fourniture et mise en œuvre des moyens de protection du béton (cure et si nécessaire protection contre la pluie et isolation thermique,..);</w:t>
      </w:r>
    </w:p>
    <w:p w14:paraId="55D440F1" w14:textId="77777777" w:rsidR="00DF410E" w:rsidRDefault="00CE7F43">
      <w:pPr>
        <w:pStyle w:val="Author-eListParagraph"/>
        <w:numPr>
          <w:ilvl w:val="0"/>
          <w:numId w:val="311"/>
        </w:numPr>
      </w:pPr>
      <w:r>
        <w:t>le nettoyage éventuel des faces vues et le parachèvement des bords;</w:t>
      </w:r>
    </w:p>
    <w:p w14:paraId="4ACC3C69" w14:textId="77777777" w:rsidR="00DF410E" w:rsidRDefault="00CE7F43">
      <w:pPr>
        <w:pStyle w:val="Author-eListParagraph"/>
        <w:numPr>
          <w:ilvl w:val="0"/>
          <w:numId w:val="311"/>
        </w:numPr>
      </w:pPr>
      <w:r>
        <w:t>l’enlèvement des accessoires et des éléments de coffrage;</w:t>
      </w:r>
    </w:p>
    <w:p w14:paraId="18366056" w14:textId="77777777" w:rsidR="00DF410E" w:rsidRDefault="00CE7F43">
      <w:pPr>
        <w:pStyle w:val="Author-eListParagraph"/>
        <w:numPr>
          <w:ilvl w:val="0"/>
          <w:numId w:val="311"/>
        </w:numPr>
      </w:pPr>
      <w:r>
        <w:t>les éventuels traitements ultérieurs et/ou la finition de la surface en béton;</w:t>
      </w:r>
    </w:p>
    <w:p w14:paraId="791A9510" w14:textId="77777777" w:rsidR="00DF410E" w:rsidRDefault="00CE7F43">
      <w:pPr>
        <w:pStyle w:val="Author-eListParagraph"/>
        <w:numPr>
          <w:ilvl w:val="0"/>
          <w:numId w:val="311"/>
        </w:numPr>
      </w:pPr>
      <w:r>
        <w:t>l’enduit des bétons en contact avec les terres,</w:t>
      </w:r>
    </w:p>
    <w:p w14:paraId="0BD56E24" w14:textId="77777777" w:rsidR="00DF410E" w:rsidRDefault="00CE7F43">
      <w:r>
        <w:rPr>
          <w:rStyle w:val="headingChar"/>
        </w:rPr>
        <w:t>Prescriptions Complémentaires Pour Le Béton Apparent Coulé En Place Avec Des Exigences Esthétiques</w:t>
      </w:r>
    </w:p>
    <w:p w14:paraId="15EF2124" w14:textId="77777777" w:rsidR="00DF410E" w:rsidRDefault="00CE7F43">
      <w:r>
        <w:t>Il s'agit des éléments à prendre en compte en raison du degré de complexité accru pour l’exécution de béton apparent, en fonction de la qualité d’aspect exigée. Pour ces éléments en béton apparent avec exigences esthétiques, sont au moins détaillés les postes suivants:</w:t>
      </w:r>
    </w:p>
    <w:p w14:paraId="11D70F30" w14:textId="77777777" w:rsidR="00DF410E" w:rsidRDefault="00CE7F43">
      <w:pPr>
        <w:pStyle w:val="Author-eListParagraph"/>
        <w:numPr>
          <w:ilvl w:val="0"/>
          <w:numId w:val="312"/>
        </w:numPr>
      </w:pPr>
      <w:r>
        <w:t>Etudes préalables</w:t>
      </w:r>
    </w:p>
    <w:p w14:paraId="026E6541" w14:textId="77777777" w:rsidR="00DF410E" w:rsidRDefault="00CE7F43">
      <w:pPr>
        <w:pStyle w:val="Author-eListParagraph"/>
        <w:numPr>
          <w:ilvl w:val="0"/>
          <w:numId w:val="312"/>
        </w:numPr>
      </w:pPr>
      <w:r>
        <w:t>Un béton adapté</w:t>
      </w:r>
    </w:p>
    <w:p w14:paraId="602F26A8" w14:textId="77777777" w:rsidR="00DF410E" w:rsidRDefault="00CE7F43">
      <w:pPr>
        <w:pStyle w:val="Author-eListParagraph"/>
        <w:numPr>
          <w:ilvl w:val="0"/>
          <w:numId w:val="312"/>
        </w:numPr>
      </w:pPr>
      <w:r>
        <w:t>Adaptations pour les coffrages (type de panneaux...)</w:t>
      </w:r>
    </w:p>
    <w:p w14:paraId="0BEAF625" w14:textId="77777777" w:rsidR="00DF410E" w:rsidRDefault="00CE7F43">
      <w:pPr>
        <w:pStyle w:val="Author-eListParagraph"/>
        <w:numPr>
          <w:ilvl w:val="0"/>
          <w:numId w:val="312"/>
        </w:numPr>
      </w:pPr>
      <w:r>
        <w:t>Exigences spécifiques</w:t>
      </w:r>
    </w:p>
    <w:p w14:paraId="4FF19E44" w14:textId="77777777" w:rsidR="00DF410E" w:rsidRDefault="00CE7F43">
      <w:r>
        <w:t>Les particularités liées au béton apparent avec des exigences esthétiques sont décrites dans la [NBN B 15-007].</w:t>
      </w:r>
    </w:p>
    <w:p w14:paraId="035172B8" w14:textId="77777777" w:rsidR="00DF410E" w:rsidRDefault="00CE7F43">
      <w:r>
        <w:t>Le béton apparent avec des exigences esthétiques satisfait à la classe de tolérance 2 des normes [NBN EN 13670] et [NBN B 15-400].</w:t>
      </w:r>
    </w:p>
    <w:p w14:paraId="66AAB26A" w14:textId="77777777" w:rsidR="00DF410E" w:rsidRDefault="00CE7F43">
      <w:r>
        <w:t>L’aspect, la teinte et la texture du béton sont le résultat des choix faits en matière de constituants du béton, de leurs dosages respectifs, de la nature du coffrage (lisse ou revêtu d’une garniture qui crée un relief en surface) et de l’éventuel traitement (lavage, bouchardage…) après le décoffrage.</w:t>
      </w:r>
    </w:p>
    <w:p w14:paraId="3D8B87D8" w14:textId="77777777" w:rsidR="00DF410E" w:rsidRDefault="00CE7F43">
      <w:r>
        <w:t>Les choix faits par l’auteur de projet sont importants à la fois pour le producteur du béton à couler et pour l’entrepreneur qui prépare le coffrage, se charge de le mettre en place et de l’enlever, ainsi que de l’éventuel post-traitement.</w:t>
      </w:r>
    </w:p>
    <w:p w14:paraId="2CE73333" w14:textId="77777777" w:rsidR="00DF410E" w:rsidRDefault="00CE7F43">
      <w:r>
        <w:rPr>
          <w:rStyle w:val="headingChar"/>
        </w:rPr>
        <w:t>Eléments Préfabriqués En Béton</w:t>
      </w:r>
    </w:p>
    <w:p w14:paraId="3CA3FB2D" w14:textId="77777777" w:rsidR="00DF410E" w:rsidRDefault="00CE7F43">
      <w:r>
        <w:t>Il s’agit des éléments en béton armé ou en béton précontraint (éléments linéaires (colonnes, poutres, portiques) / éléments de murs / linteaux / dalles nervurés / dalles alvéolés / prédalles / poutrelles et entrevous pour planchers combinés / escaliers / corniches / balcons / éléments spéciaux /...), dont la préfabrication en usine est obligatoire et qui sont ensuite assemblés à d’autres éléments de construction sur chantier.</w:t>
      </w:r>
    </w:p>
    <w:p w14:paraId="79E7CA68" w14:textId="77777777" w:rsidR="00DF410E" w:rsidRDefault="00CE7F43">
      <w:r>
        <w:t>Par usine de préfabrication, il faut entendre une unité technique permanente, protégée de la pluie, du soleil et du vent, dans laquelle le béton mis en œuvre, ainsi que le coffrage utilisé, ont une température d’au moins 5°C et où les éléments bétonnées sont protégés du gel.</w:t>
      </w:r>
    </w:p>
    <w:p w14:paraId="4C4CE88C" w14:textId="77777777" w:rsidR="00DF410E" w:rsidRDefault="00CE7F43">
      <w:r>
        <w:t>Pareille unité technique dispose des éléments suivants:</w:t>
      </w:r>
    </w:p>
    <w:p w14:paraId="3D822AEF" w14:textId="77777777" w:rsidR="00DF410E" w:rsidRDefault="00CE7F43">
      <w:pPr>
        <w:pStyle w:val="Author-eListParagraph"/>
        <w:numPr>
          <w:ilvl w:val="0"/>
          <w:numId w:val="313"/>
        </w:numPr>
      </w:pPr>
      <w:r>
        <w:t>une zone de stockage à sec des armatures passives et des armatures de précontrainte ;</w:t>
      </w:r>
    </w:p>
    <w:p w14:paraId="45B5F821" w14:textId="77777777" w:rsidR="00DF410E" w:rsidRDefault="00CE7F43">
      <w:pPr>
        <w:pStyle w:val="Author-eListParagraph"/>
        <w:numPr>
          <w:ilvl w:val="0"/>
          <w:numId w:val="313"/>
        </w:numPr>
      </w:pPr>
      <w:r>
        <w:t>un équipement de laboratoire convenant au contrôle de la consistance et de la qualité du béton.</w:t>
      </w:r>
    </w:p>
    <w:p w14:paraId="70FCD3A4" w14:textId="77777777" w:rsidR="00DF410E" w:rsidRDefault="00CE7F43">
      <w:r>
        <w:t>En ce qui concerne le béton utilisé par l’usine de préfabrication :</w:t>
      </w:r>
    </w:p>
    <w:p w14:paraId="2E5029A0" w14:textId="77777777" w:rsidR="00DF410E" w:rsidRDefault="00CE7F43">
      <w:pPr>
        <w:pStyle w:val="Author-eListParagraph"/>
        <w:numPr>
          <w:ilvl w:val="0"/>
          <w:numId w:val="314"/>
        </w:numPr>
      </w:pPr>
      <w:r>
        <w:t>soit celle-ci dispose d’une centrale à béton pourvue de dispositifs de dosage étalonnés et de l’équipement nécessaire à la vérification des matières premières. Elle s’assure de la caractéristique des produits finis et de la bonne confection des cubes ;</w:t>
      </w:r>
    </w:p>
    <w:p w14:paraId="54599A18" w14:textId="77777777" w:rsidR="00DF410E" w:rsidRDefault="00CE7F43">
      <w:pPr>
        <w:pStyle w:val="Author-eListParagraph"/>
        <w:numPr>
          <w:ilvl w:val="0"/>
          <w:numId w:val="315"/>
        </w:numPr>
      </w:pPr>
      <w:r>
        <w:t>soit elle se fait livrer du béton prêt à l’emploi permettant de répondre sous sa responsabilité aux spécifications prescrites pour le béton.</w:t>
      </w:r>
    </w:p>
    <w:p w14:paraId="0C7962B0" w14:textId="77777777" w:rsidR="00DF410E" w:rsidRDefault="00CE7F43">
      <w:r>
        <w:t>En ce qui concerne les cages d’armatures :</w:t>
      </w:r>
    </w:p>
    <w:p w14:paraId="27CBB6DB" w14:textId="77777777" w:rsidR="00DF410E" w:rsidRDefault="00CE7F43">
      <w:pPr>
        <w:pStyle w:val="Author-eListParagraph"/>
        <w:numPr>
          <w:ilvl w:val="0"/>
          <w:numId w:val="316"/>
        </w:numPr>
      </w:pPr>
      <w:r>
        <w:t>soit il existe une zone de préparation</w:t>
      </w:r>
    </w:p>
    <w:p w14:paraId="4D32BCE2" w14:textId="77777777" w:rsidR="00DF410E" w:rsidRDefault="00CE7F43">
      <w:pPr>
        <w:pStyle w:val="Author-eListParagraph"/>
        <w:numPr>
          <w:ilvl w:val="0"/>
          <w:numId w:val="316"/>
        </w:numPr>
      </w:pPr>
      <w:r>
        <w:t>soit il existe une zone de réception et de contrôle de fournitures extérieures</w:t>
      </w:r>
    </w:p>
    <w:p w14:paraId="2E851553" w14:textId="77777777" w:rsidR="00DF410E" w:rsidRDefault="00CE7F43">
      <w:r>
        <w:t>Conformément aux dispositions du cahier spécial des charges, les prix unitaires compris dans ce poste doivent toujours comprendre, soit selon la ventilation explicite du métré récapitulatif, soit dans leur totalité :</w:t>
      </w:r>
    </w:p>
    <w:p w14:paraId="428FE838" w14:textId="77777777" w:rsidR="00DF410E" w:rsidRDefault="00CE7F43">
      <w:pPr>
        <w:pStyle w:val="Author-eListParagraph"/>
        <w:numPr>
          <w:ilvl w:val="0"/>
          <w:numId w:val="317"/>
        </w:numPr>
      </w:pPr>
      <w:r>
        <w:t>la préfabrication des éléments conformément aux spécifications prescrites (propriétés, forme, dimensions, finition, …);</w:t>
      </w:r>
    </w:p>
    <w:p w14:paraId="25CC88BB" w14:textId="77777777" w:rsidR="00DF410E" w:rsidRDefault="00CE7F43">
      <w:pPr>
        <w:pStyle w:val="Author-eListParagraph"/>
        <w:numPr>
          <w:ilvl w:val="0"/>
          <w:numId w:val="317"/>
        </w:numPr>
      </w:pPr>
      <w:r>
        <w:t>l’insertion éventuelle dans le béton d'accessoires;</w:t>
      </w:r>
    </w:p>
    <w:p w14:paraId="32A6465A" w14:textId="77777777" w:rsidR="00DF410E" w:rsidRDefault="00CE7F43">
      <w:pPr>
        <w:pStyle w:val="Author-eListParagraph"/>
        <w:numPr>
          <w:ilvl w:val="0"/>
          <w:numId w:val="317"/>
        </w:numPr>
      </w:pPr>
      <w:r>
        <w:t>la préparation du support et/ou des appuis ;</w:t>
      </w:r>
    </w:p>
    <w:p w14:paraId="2FE5AB0F" w14:textId="77777777" w:rsidR="00DF410E" w:rsidRDefault="00CE7F43">
      <w:pPr>
        <w:pStyle w:val="Author-eListParagraph"/>
        <w:numPr>
          <w:ilvl w:val="0"/>
          <w:numId w:val="317"/>
        </w:numPr>
      </w:pPr>
      <w:r>
        <w:t>les éventuelles mesures de protection du parement pendant l’exécution des travaux ;</w:t>
      </w:r>
    </w:p>
    <w:p w14:paraId="18E0396A" w14:textId="77777777" w:rsidR="00DF410E" w:rsidRDefault="00CE7F43">
      <w:pPr>
        <w:pStyle w:val="Author-eListParagraph"/>
        <w:numPr>
          <w:ilvl w:val="0"/>
          <w:numId w:val="317"/>
        </w:numPr>
      </w:pPr>
      <w:r>
        <w:t>le transport, et la mise à niveau des éléments préfabriqués avec les constructions attenantes ;</w:t>
      </w:r>
    </w:p>
    <w:p w14:paraId="6D075E9D" w14:textId="77777777" w:rsidR="00DF410E" w:rsidRDefault="00CE7F43">
      <w:pPr>
        <w:pStyle w:val="Author-eListParagraph"/>
        <w:numPr>
          <w:ilvl w:val="0"/>
          <w:numId w:val="317"/>
        </w:numPr>
      </w:pPr>
      <w:r>
        <w:t>la disposition, le réglage et l’ancrage des différents éléments à la construction de base ; y compris tous les moyens de fixation et d’appui, tous les dispositifs de rupture thermique et les joints de dilatation;</w:t>
      </w:r>
    </w:p>
    <w:p w14:paraId="4EC59556" w14:textId="77777777" w:rsidR="00DF410E" w:rsidRDefault="00CE7F43">
      <w:pPr>
        <w:pStyle w:val="Author-eListParagraph"/>
        <w:numPr>
          <w:ilvl w:val="0"/>
          <w:numId w:val="317"/>
        </w:numPr>
      </w:pPr>
      <w:r>
        <w:t>le remplissage au béton, le rejointoiement et/ou le colmatage des joints avec tous les moyens appropriés.</w:t>
      </w:r>
    </w:p>
    <w:p w14:paraId="0CFED817" w14:textId="77777777" w:rsidR="00DF410E" w:rsidRDefault="00CE7F43">
      <w:r>
        <w:t>La ventilation de ces tâches entre l’entrepreneur général et le fabricant des éléments préfabriqués fait l’objet d’une convention claire entre ces deux intervenants.</w:t>
      </w:r>
    </w:p>
    <w:p w14:paraId="27B4A7A6" w14:textId="77777777" w:rsidR="00DF410E" w:rsidRDefault="00CE7F43">
      <w:r>
        <w:rPr>
          <w:rStyle w:val="headingChar"/>
        </w:rPr>
        <w:t>Prescriptions Complémentaires Pour Les Éléments En Béton Architectonique / Industriel Décoratif Préfabriqués</w:t>
      </w:r>
    </w:p>
    <w:p w14:paraId="5890551C" w14:textId="77777777" w:rsidR="00DF410E" w:rsidRDefault="00CE7F43">
      <w:r>
        <w:t>Les éléments préfabriqués en béton architectonique répondent aux exigences élevées de qualité pour les éléments architectoniques préfabriqués telles que spécifiées dans le document normatif [PTV 21-601].</w:t>
      </w:r>
    </w:p>
    <w:p w14:paraId="341DE9CA" w14:textId="77777777" w:rsidR="00DF410E" w:rsidRDefault="00CE7F43">
      <w:r>
        <w:t>Les éléments en béton industriel décoratif doivent répondre aux exigences de qualité suivantes:</w:t>
      </w:r>
    </w:p>
    <w:p w14:paraId="7A9EC352" w14:textId="77777777" w:rsidR="00DF410E" w:rsidRDefault="00CE7F43">
      <w:pPr>
        <w:pStyle w:val="Author-eListParagraph"/>
        <w:numPr>
          <w:ilvl w:val="0"/>
          <w:numId w:val="318"/>
        </w:numPr>
      </w:pPr>
      <w:r>
        <w:t>Résistance à la compression : La classe de résistance minimale du béton à la compression est C30/37.</w:t>
      </w:r>
    </w:p>
    <w:p w14:paraId="37B811EE" w14:textId="77777777" w:rsidR="00DF410E" w:rsidRDefault="00CE7F43">
      <w:pPr>
        <w:pStyle w:val="Author-eListParagraph"/>
        <w:numPr>
          <w:ilvl w:val="0"/>
          <w:numId w:val="318"/>
        </w:numPr>
      </w:pPr>
      <w:r>
        <w:t>Caractéristiques géométriques : Les tolérances sur les caractéristiques géométriques sont déterminées suivant la [NBN EN 14992+A1] et la [NBN B 21-612].</w:t>
      </w:r>
    </w:p>
    <w:p w14:paraId="2B94BC17" w14:textId="77777777" w:rsidR="00DF410E" w:rsidRDefault="00CE7F43">
      <w:pPr>
        <w:pStyle w:val="Author-eListParagraph"/>
        <w:numPr>
          <w:ilvl w:val="0"/>
          <w:numId w:val="318"/>
        </w:numPr>
      </w:pPr>
      <w:r>
        <w:t xml:space="preserve">Caractéristiques d’aspect </w:t>
      </w:r>
    </w:p>
    <w:p w14:paraId="04009607" w14:textId="77777777" w:rsidR="00DF410E" w:rsidRDefault="00CE7F43">
      <w:pPr>
        <w:pStyle w:val="Author-eListParagraph"/>
        <w:numPr>
          <w:ilvl w:val="1"/>
          <w:numId w:val="319"/>
        </w:numPr>
      </w:pPr>
      <w:r>
        <w:t>Bulles d’air : les bulles d’air admises sont vérifiées à l’aide de l’échelle des bulles CIB (voir [CIB Report n° 24, Tolerances on blemishes of concrete]. L’échelle 2 s’applique aux surfaces non traitées des éléments industriels en béton décoratif et l’échelle 3 s’applique aux surfaces traitées des éléments industriels en béton décoratif.</w:t>
      </w:r>
    </w:p>
    <w:p w14:paraId="25882B97" w14:textId="77777777" w:rsidR="00DF410E" w:rsidRDefault="00CE7F43">
      <w:pPr>
        <w:pStyle w:val="Author-eListParagraph"/>
        <w:numPr>
          <w:ilvl w:val="1"/>
          <w:numId w:val="319"/>
        </w:numPr>
      </w:pPr>
      <w:r>
        <w:t>Variations de teintes : Les variations de teintes sont évaluées à l’aide de l’échelle des gris BE. Un écart de 6 échelles (= ΔE 15) est autorisé.</w:t>
      </w:r>
    </w:p>
    <w:p w14:paraId="73FCF74D" w14:textId="77777777" w:rsidR="00DF410E" w:rsidRDefault="00CE7F43">
      <w:r>
        <w:t>Pour les autres exigences, il y a lieu de se référer aux exigences du béton architectonique du [PTV 21-601].</w:t>
      </w:r>
    </w:p>
    <w:p w14:paraId="4AA82EB2" w14:textId="77777777" w:rsidR="00DF410E" w:rsidRDefault="00CE7F43">
      <w:r>
        <w:t>Les éléments sont réalisés sur mesure, sont conçus pour exercer une fonction esthétique et sont fabriqués et finis en usine pour ensuite être livrés et/ou montés sur chantier, éventuellement pourvus des accessoires de manutention et de fixation requis.</w:t>
      </w:r>
    </w:p>
    <w:p w14:paraId="311447E5" w14:textId="77777777" w:rsidR="00DF410E" w:rsidRDefault="00CE7F43">
      <w:r>
        <w:t>L’élément en béton architectonique / industriel décoratif peut aussi exercer une fonction portante. Dans ce cas, il doit en outre être conforme aux normes concernées.</w:t>
      </w:r>
    </w:p>
    <w:p w14:paraId="7216DEE0" w14:textId="77777777" w:rsidR="00DF410E" w:rsidRDefault="00CE7F43">
      <w:r>
        <w:t>Les éléments en béton architectoniques/industriels décoratifs sont fabriqués suivant les prescriptions techniques [PTV 21-601] et en tenant compte des dispositions ci-dessus pour le béton industriel décoratif. Si l’élément tombe dans le domaine d’application d’une norme produit, celle-ci est également d’application. Et en cas de prescriptions contradictoires entre le [PTV 21-601] et la norme produit individuelle, les prescriptions les plus sévères s’appliquent.</w:t>
      </w:r>
    </w:p>
    <w:p w14:paraId="72712A89" w14:textId="77777777" w:rsidR="00DF410E" w:rsidRDefault="00CE7F43">
      <w:r>
        <w:rPr>
          <w:u w:val="single"/>
        </w:rPr>
        <w:t>Documents préparatoires</w:t>
      </w:r>
    </w:p>
    <w:p w14:paraId="7A79D103" w14:textId="77777777" w:rsidR="00DF410E" w:rsidRDefault="00CE7F43">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w:t>
      </w:r>
    </w:p>
    <w:p w14:paraId="2E545B0C" w14:textId="77777777" w:rsidR="00DF410E" w:rsidRDefault="00CE7F43">
      <w:pPr>
        <w:pStyle w:val="pheading"/>
      </w:pPr>
      <w:r>
        <w:t>MATÉRIAUX</w:t>
      </w:r>
    </w:p>
    <w:p w14:paraId="7535B80B" w14:textId="77777777" w:rsidR="00DF410E" w:rsidRDefault="00CE7F43">
      <w:r>
        <w:rPr>
          <w:rStyle w:val="headingChar"/>
        </w:rPr>
        <w:t>Qualité Du Béton Prêt À L’Emploi Coulé En Place</w:t>
      </w:r>
    </w:p>
    <w:p w14:paraId="28E27249" w14:textId="77777777" w:rsidR="00DF410E" w:rsidRDefault="00CE7F43">
      <w:r>
        <w:t>L’entrepreneur est tenu de livrer un mélange qui satisfait aux exigences imposées.</w:t>
      </w:r>
    </w:p>
    <w:p w14:paraId="124730C4" w14:textId="77777777" w:rsidR="00DF410E" w:rsidRDefault="00CE7F43">
      <w:r>
        <w:t>Le béton prêt à l'emploi est livré par une centrale à béton et est en conformité avec les Critères d'acceptabilité.</w:t>
      </w:r>
    </w:p>
    <w:p w14:paraId="5026854D" w14:textId="77777777" w:rsidR="00DF410E" w:rsidRDefault="00CE7F43">
      <w:r>
        <w:t xml:space="preserve">Dans le cas contraire, le maître de l’ouvrage se réserve le droit de faire procéder aux frais de l’entrepreneur à tous les contrôles nécessaires dans le cadre de la réception technique préalable suivant l’article </w:t>
      </w:r>
      <w:hyperlink r:id="rId64" w:history="1" w:docLocation="25">
        <w:r>
          <w:t>A4.62.1 Réception technique préalable</w:t>
        </w:r>
      </w:hyperlink>
      <w:r>
        <w:t>.</w:t>
      </w:r>
    </w:p>
    <w:p w14:paraId="70D4BA5B" w14:textId="77777777" w:rsidR="00DF410E" w:rsidRDefault="00CE7F43">
      <w:r>
        <w:t>Uniquement pour des éléments de petit volume (&lt; 0,25 m³) et moyennant l’approbation explicite de l'auteur de projet ou de l’ingénieur et en indiquant la composition exacte du béton, l’entrepreneur peut ponctuellement utiliser du béton fabriqué sur place.</w:t>
      </w:r>
    </w:p>
    <w:p w14:paraId="2BFE17AA" w14:textId="77777777" w:rsidR="00DF410E" w:rsidRDefault="00CE7F43">
      <w:r>
        <w:t>Le béton est défini par une composition à performances spécifiées conformément aux normes [NBN EN 206:2013+A2] et [NBN B 15-001].</w:t>
      </w:r>
    </w:p>
    <w:p w14:paraId="4DDEB018" w14:textId="77777777" w:rsidR="00DF410E" w:rsidRDefault="00CE7F43">
      <w:r>
        <w:t>Cinq critères de base (A, B1, B2, C et D) sont précisés dans cette spécification des bétons en plus d’exigences complémentaires éventuelles (E1, E2) :</w:t>
      </w:r>
    </w:p>
    <w:p w14:paraId="731672AA" w14:textId="77777777" w:rsidR="00DF410E" w:rsidRDefault="00CE7F43">
      <w:pPr>
        <w:pStyle w:val="Author-eListParagraph"/>
        <w:numPr>
          <w:ilvl w:val="0"/>
          <w:numId w:val="320"/>
        </w:numPr>
      </w:pPr>
      <w:r>
        <w:t>A La classe de résistance à la compression</w:t>
      </w:r>
    </w:p>
    <w:p w14:paraId="3F39DDD1" w14:textId="77777777" w:rsidR="00DF410E" w:rsidRDefault="00CE7F43">
      <w:pPr>
        <w:pStyle w:val="Author-eListParagraph"/>
        <w:numPr>
          <w:ilvl w:val="0"/>
          <w:numId w:val="320"/>
        </w:numPr>
      </w:pPr>
      <w:r>
        <w:t>B1 Le domaine d’application</w:t>
      </w:r>
    </w:p>
    <w:p w14:paraId="29FF70B8" w14:textId="77777777" w:rsidR="00DF410E" w:rsidRDefault="00CE7F43">
      <w:pPr>
        <w:pStyle w:val="Author-eListParagraph"/>
        <w:numPr>
          <w:ilvl w:val="0"/>
          <w:numId w:val="320"/>
        </w:numPr>
      </w:pPr>
      <w:r>
        <w:t>B2 La ou les classes d'environnement</w:t>
      </w:r>
    </w:p>
    <w:p w14:paraId="47941BDC" w14:textId="77777777" w:rsidR="00DF410E" w:rsidRDefault="00CE7F43">
      <w:pPr>
        <w:pStyle w:val="Author-eListParagraph"/>
        <w:numPr>
          <w:ilvl w:val="0"/>
          <w:numId w:val="320"/>
        </w:numPr>
      </w:pPr>
      <w:r>
        <w:t>C La classe de consistance ou d’étalement</w:t>
      </w:r>
    </w:p>
    <w:p w14:paraId="17FD98AC" w14:textId="77777777" w:rsidR="00DF410E" w:rsidRDefault="00CE7F43">
      <w:pPr>
        <w:pStyle w:val="Author-eListParagraph"/>
        <w:numPr>
          <w:ilvl w:val="0"/>
          <w:numId w:val="320"/>
        </w:numPr>
      </w:pPr>
      <w:r>
        <w:t>D Le Dmax</w:t>
      </w:r>
    </w:p>
    <w:p w14:paraId="76D6B87A" w14:textId="77777777" w:rsidR="00DF410E" w:rsidRDefault="00CE7F43">
      <w:pPr>
        <w:pStyle w:val="Author-eListParagraph"/>
        <w:numPr>
          <w:ilvl w:val="0"/>
          <w:numId w:val="320"/>
        </w:numPr>
      </w:pPr>
      <w:r>
        <w:t>E1 Des exigences complémentaires propres au béton autoplaçant (classe d’écoulement, classe de résistance à la ségrégation, ...)</w:t>
      </w:r>
    </w:p>
    <w:p w14:paraId="267010CA" w14:textId="77777777" w:rsidR="00DF410E" w:rsidRDefault="00CE7F43">
      <w:pPr>
        <w:pStyle w:val="Author-eListParagraph"/>
        <w:numPr>
          <w:ilvl w:val="0"/>
          <w:numId w:val="320"/>
        </w:numPr>
      </w:pPr>
      <w:r>
        <w:t>E2 Des exigences complémentaires relatives à la composition, au béton frais, à la mise en œuvre, au béton durci : type de ciment, classe d’absorption d’eau par immersion (WAI), pompabilité, teneur en chlorure, masse volumique…</w:t>
      </w:r>
    </w:p>
    <w:p w14:paraId="3440E196" w14:textId="77777777" w:rsidR="00DF410E" w:rsidRDefault="00CE7F43">
      <w:r>
        <w:rPr>
          <w:b/>
        </w:rPr>
        <w:t xml:space="preserve"> A. CLASSE DE RÉSISTANCE A LA COMPRESSION</w:t>
      </w:r>
    </w:p>
    <w:p w14:paraId="381B06EB" w14:textId="77777777" w:rsidR="00DF410E" w:rsidRDefault="00CE7F43">
      <w:r>
        <w:t>Le choix de la classe de résistance dépend de la stabilité mais également du choix de la classe d’environnement. Une classe de résistance plus élevée que celle nécessaire à la stabilité peut être requise pour satisfaire les exigences liées à la classe d’environnement (voir tableaux F.1-ANB et F.3-ANB de la [NBN B 15-001] ou à la classe d’absorption d’eau par immersion.</w:t>
      </w:r>
    </w:p>
    <w:p w14:paraId="7FE52D86" w14:textId="77777777" w:rsidR="00DF410E" w:rsidRDefault="00CE7F43">
      <w:r>
        <w:rPr>
          <w:b/>
        </w:rPr>
        <w:t>B1. DOMAINE D’APPLICATION.</w:t>
      </w:r>
    </w:p>
    <w:p w14:paraId="16106AD0" w14:textId="77777777" w:rsidR="00DF410E" w:rsidRDefault="00CE7F43">
      <w:r>
        <w:t>Béton non armé, béton armé, béton fibré ou béton précontraint.</w:t>
      </w:r>
    </w:p>
    <w:p w14:paraId="0EDE6E3B" w14:textId="77777777" w:rsidR="00DF410E" w:rsidRDefault="00CE7F43">
      <w:r>
        <w:rPr>
          <w:b/>
        </w:rPr>
        <w:t>B2. CLASSE D'ENVIRONNEMENT.</w:t>
      </w:r>
    </w:p>
    <w:p w14:paraId="0637778C" w14:textId="77777777" w:rsidR="00DF410E" w:rsidRDefault="00CE7F43">
      <w:r>
        <w:t>La ou les classes d’environnement sont à sélectionner parmi celles reprises dans le tableau 1-ANB de la [NBN B 15-001].</w:t>
      </w:r>
    </w:p>
    <w:p w14:paraId="18F1EC7C" w14:textId="77777777" w:rsidR="00DF410E" w:rsidRDefault="00CE7F43">
      <w:r>
        <w:rPr>
          <w:b/>
        </w:rPr>
        <w:t>C. CLASSE DE CONSISTANCE.</w:t>
      </w:r>
    </w:p>
    <w:p w14:paraId="140A147C" w14:textId="77777777" w:rsidR="00DF410E" w:rsidRDefault="00CE7F43">
      <w:r>
        <w:t>Sauf indications contraires dans les documents du marché, l'entrepreneur choisit une classe de consistance en fonction du type d’élément réalisé, d'une mise en œuvre idéale et d'un bon compactage du béton. Toutes les dispositions sont prises pour empêcher la ségrégation du béton. La consistance est déterminée en mesurant l'affaissement (S) ou l'étalement (F).</w:t>
      </w:r>
    </w:p>
    <w:tbl>
      <w:tblPr>
        <w:tblStyle w:val="Author-eTableGrid"/>
        <w:tblW w:w="0" w:type="auto"/>
        <w:tblLayout w:type="fixed"/>
        <w:tblLook w:val="04A0" w:firstRow="1" w:lastRow="0" w:firstColumn="1" w:lastColumn="0" w:noHBand="0" w:noVBand="1"/>
      </w:tblPr>
      <w:tblGrid>
        <w:gridCol w:w="3000"/>
        <w:gridCol w:w="3000"/>
        <w:gridCol w:w="3000"/>
      </w:tblGrid>
      <w:tr w:rsidR="00DF410E" w14:paraId="6BE71BB1" w14:textId="77777777">
        <w:tc>
          <w:tcPr>
            <w:tcW w:w="3000" w:type="dxa"/>
            <w:noWrap/>
          </w:tcPr>
          <w:p w14:paraId="61C09ECE" w14:textId="77777777" w:rsidR="00DF410E" w:rsidRDefault="00CE7F43">
            <w:r>
              <w:rPr>
                <w:b/>
              </w:rPr>
              <w:t>Béton</w:t>
            </w:r>
          </w:p>
        </w:tc>
        <w:tc>
          <w:tcPr>
            <w:tcW w:w="3000" w:type="dxa"/>
            <w:noWrap/>
          </w:tcPr>
          <w:p w14:paraId="359922CC" w14:textId="77777777" w:rsidR="00DF410E" w:rsidRDefault="00CE7F43">
            <w:r>
              <w:rPr>
                <w:b/>
              </w:rPr>
              <w:t>Mesure d'affaissement en mm</w:t>
            </w:r>
          </w:p>
        </w:tc>
        <w:tc>
          <w:tcPr>
            <w:tcW w:w="3000" w:type="dxa"/>
            <w:noWrap/>
          </w:tcPr>
          <w:p w14:paraId="4ED8BD68" w14:textId="77777777" w:rsidR="00DF410E" w:rsidRDefault="00CE7F43">
            <w:r>
              <w:rPr>
                <w:b/>
              </w:rPr>
              <w:t>Etalement</w:t>
            </w:r>
          </w:p>
        </w:tc>
      </w:tr>
      <w:tr w:rsidR="00DF410E" w14:paraId="7C504986" w14:textId="77777777">
        <w:tc>
          <w:tcPr>
            <w:tcW w:w="3000" w:type="dxa"/>
            <w:noWrap/>
          </w:tcPr>
          <w:p w14:paraId="1C1E3822" w14:textId="77777777" w:rsidR="00DF410E" w:rsidRDefault="00DF410E"/>
        </w:tc>
        <w:tc>
          <w:tcPr>
            <w:tcW w:w="3000" w:type="dxa"/>
            <w:noWrap/>
          </w:tcPr>
          <w:p w14:paraId="4E5C3A4E" w14:textId="77777777" w:rsidR="00DF410E" w:rsidRDefault="00CE7F43">
            <w:r>
              <w:rPr>
                <w:b/>
              </w:rPr>
              <w:t>cône d'Abrams</w:t>
            </w:r>
          </w:p>
        </w:tc>
        <w:tc>
          <w:tcPr>
            <w:tcW w:w="3000" w:type="dxa"/>
            <w:noWrap/>
          </w:tcPr>
          <w:p w14:paraId="4335A6E4" w14:textId="77777777" w:rsidR="00DF410E" w:rsidRDefault="00CE7F43">
            <w:r>
              <w:rPr>
                <w:b/>
              </w:rPr>
              <w:t>table à secousses (Flow)</w:t>
            </w:r>
          </w:p>
        </w:tc>
      </w:tr>
      <w:tr w:rsidR="00DF410E" w14:paraId="7963F648" w14:textId="77777777">
        <w:tc>
          <w:tcPr>
            <w:tcW w:w="3000" w:type="dxa"/>
            <w:noWrap/>
          </w:tcPr>
          <w:p w14:paraId="2F218B92" w14:textId="77777777" w:rsidR="00DF410E" w:rsidRDefault="00CE7F43">
            <w:r>
              <w:t>Naturellement humide</w:t>
            </w:r>
          </w:p>
        </w:tc>
        <w:tc>
          <w:tcPr>
            <w:tcW w:w="3000" w:type="dxa"/>
            <w:noWrap/>
          </w:tcPr>
          <w:p w14:paraId="34F43D7A" w14:textId="77777777" w:rsidR="00DF410E" w:rsidRDefault="00CE7F43">
            <w:r>
              <w:t>S1 (10 à 40 mm)</w:t>
            </w:r>
          </w:p>
        </w:tc>
        <w:tc>
          <w:tcPr>
            <w:tcW w:w="3000" w:type="dxa"/>
            <w:noWrap/>
          </w:tcPr>
          <w:p w14:paraId="18E73835" w14:textId="77777777" w:rsidR="00DF410E" w:rsidRDefault="00CE7F43">
            <w:r>
              <w:t>F1 (&lt; 340 mm)</w:t>
            </w:r>
          </w:p>
        </w:tc>
      </w:tr>
      <w:tr w:rsidR="00DF410E" w14:paraId="387C86A2" w14:textId="77777777">
        <w:tc>
          <w:tcPr>
            <w:tcW w:w="3000" w:type="dxa"/>
            <w:noWrap/>
          </w:tcPr>
          <w:p w14:paraId="0AEC2EBB" w14:textId="77777777" w:rsidR="00DF410E" w:rsidRDefault="00CE7F43">
            <w:r>
              <w:t>Semi-plastique</w:t>
            </w:r>
          </w:p>
        </w:tc>
        <w:tc>
          <w:tcPr>
            <w:tcW w:w="3000" w:type="dxa"/>
            <w:noWrap/>
          </w:tcPr>
          <w:p w14:paraId="21C9781A" w14:textId="77777777" w:rsidR="00DF410E" w:rsidRDefault="00CE7F43">
            <w:r>
              <w:t>S2 (50 à 90 mm)</w:t>
            </w:r>
          </w:p>
        </w:tc>
        <w:tc>
          <w:tcPr>
            <w:tcW w:w="3000" w:type="dxa"/>
            <w:noWrap/>
          </w:tcPr>
          <w:p w14:paraId="491151D0" w14:textId="77777777" w:rsidR="00DF410E" w:rsidRDefault="00CE7F43">
            <w:r>
              <w:t>F2 (350 à 410 mm)</w:t>
            </w:r>
          </w:p>
        </w:tc>
      </w:tr>
      <w:tr w:rsidR="00DF410E" w14:paraId="75F84B6A" w14:textId="77777777">
        <w:tc>
          <w:tcPr>
            <w:tcW w:w="3000" w:type="dxa"/>
            <w:noWrap/>
          </w:tcPr>
          <w:p w14:paraId="1C45C82D" w14:textId="77777777" w:rsidR="00DF410E" w:rsidRDefault="00CE7F43">
            <w:r>
              <w:t>Plastique</w:t>
            </w:r>
          </w:p>
        </w:tc>
        <w:tc>
          <w:tcPr>
            <w:tcW w:w="3000" w:type="dxa"/>
            <w:noWrap/>
          </w:tcPr>
          <w:p w14:paraId="3C1D1939" w14:textId="77777777" w:rsidR="00DF410E" w:rsidRDefault="00CE7F43">
            <w:r>
              <w:t>S3 (100 à 150 mm)</w:t>
            </w:r>
          </w:p>
        </w:tc>
        <w:tc>
          <w:tcPr>
            <w:tcW w:w="3000" w:type="dxa"/>
            <w:noWrap/>
          </w:tcPr>
          <w:p w14:paraId="435D865C" w14:textId="77777777" w:rsidR="00DF410E" w:rsidRDefault="00CE7F43">
            <w:r>
              <w:t>F3 (420 à 480 mm)</w:t>
            </w:r>
          </w:p>
        </w:tc>
      </w:tr>
      <w:tr w:rsidR="00DF410E" w14:paraId="659EFC9D" w14:textId="77777777">
        <w:tc>
          <w:tcPr>
            <w:tcW w:w="3000" w:type="dxa"/>
            <w:noWrap/>
          </w:tcPr>
          <w:p w14:paraId="51721319" w14:textId="77777777" w:rsidR="00DF410E" w:rsidRDefault="00CE7F43">
            <w:r>
              <w:t>Liquide</w:t>
            </w:r>
          </w:p>
        </w:tc>
        <w:tc>
          <w:tcPr>
            <w:tcW w:w="3000" w:type="dxa"/>
            <w:noWrap/>
          </w:tcPr>
          <w:p w14:paraId="20538E03" w14:textId="77777777" w:rsidR="00DF410E" w:rsidRDefault="00CE7F43">
            <w:r>
              <w:t>S4 (160 à 210 mm)</w:t>
            </w:r>
          </w:p>
        </w:tc>
        <w:tc>
          <w:tcPr>
            <w:tcW w:w="3000" w:type="dxa"/>
            <w:noWrap/>
          </w:tcPr>
          <w:p w14:paraId="407BBA18" w14:textId="77777777" w:rsidR="00DF410E" w:rsidRDefault="00CE7F43">
            <w:r>
              <w:t>F4 (490 à 550 mm)</w:t>
            </w:r>
          </w:p>
        </w:tc>
      </w:tr>
      <w:tr w:rsidR="00DF410E" w14:paraId="14C36355" w14:textId="77777777">
        <w:tc>
          <w:tcPr>
            <w:tcW w:w="3000" w:type="dxa"/>
            <w:noWrap/>
          </w:tcPr>
          <w:p w14:paraId="1F4E0155" w14:textId="77777777" w:rsidR="00DF410E" w:rsidRDefault="00CE7F43">
            <w:r>
              <w:t>Très liquide</w:t>
            </w:r>
          </w:p>
        </w:tc>
        <w:tc>
          <w:tcPr>
            <w:tcW w:w="3000" w:type="dxa"/>
            <w:noWrap/>
          </w:tcPr>
          <w:p w14:paraId="0E95DBBF" w14:textId="77777777" w:rsidR="00DF410E" w:rsidRDefault="00CE7F43">
            <w:r>
              <w:t>S5 (≥ 220 mm)</w:t>
            </w:r>
          </w:p>
        </w:tc>
        <w:tc>
          <w:tcPr>
            <w:tcW w:w="3000" w:type="dxa"/>
            <w:noWrap/>
          </w:tcPr>
          <w:p w14:paraId="261BD4E7" w14:textId="77777777" w:rsidR="00DF410E" w:rsidRDefault="00CE7F43">
            <w:r>
              <w:t>F5 (560 à 620 mm)</w:t>
            </w:r>
          </w:p>
        </w:tc>
      </w:tr>
      <w:tr w:rsidR="00DF410E" w14:paraId="532523CA" w14:textId="77777777">
        <w:tc>
          <w:tcPr>
            <w:tcW w:w="3000" w:type="dxa"/>
            <w:noWrap/>
          </w:tcPr>
          <w:p w14:paraId="26C67D4F" w14:textId="77777777" w:rsidR="00DF410E" w:rsidRDefault="00DF410E"/>
        </w:tc>
        <w:tc>
          <w:tcPr>
            <w:tcW w:w="3000" w:type="dxa"/>
            <w:noWrap/>
          </w:tcPr>
          <w:p w14:paraId="27C219D7" w14:textId="77777777" w:rsidR="00DF410E" w:rsidRDefault="00DF410E"/>
        </w:tc>
        <w:tc>
          <w:tcPr>
            <w:tcW w:w="3000" w:type="dxa"/>
            <w:noWrap/>
          </w:tcPr>
          <w:p w14:paraId="5C661449" w14:textId="77777777" w:rsidR="00DF410E" w:rsidRDefault="00CE7F43">
            <w:r>
              <w:t>F6 (≥ 630 mm)</w:t>
            </w:r>
          </w:p>
        </w:tc>
      </w:tr>
    </w:tbl>
    <w:p w14:paraId="52DACC1B" w14:textId="77777777" w:rsidR="00DF410E" w:rsidRDefault="00DF410E"/>
    <w:p w14:paraId="2ED50BD7" w14:textId="77777777" w:rsidR="00DF410E" w:rsidRDefault="00CE7F43">
      <w:r>
        <w:rPr>
          <w:b/>
        </w:rPr>
        <w:t>D. GRANULOMETRIE MAXIMALE</w:t>
      </w:r>
    </w:p>
    <w:p w14:paraId="3E33FD63" w14:textId="77777777" w:rsidR="00DF410E" w:rsidRDefault="00CE7F43">
      <w:r>
        <w:t>Les gravillons (gros granulats) ont une granulométrie de 4 à 32 mm ; le sable contient un pourcentage suffisant de petites particules et donne une courbe granulométrique continue avec les gros granulats. Les courbes granulométriques sont transmises au maître de l’ouvrage à la demande de celui-ci.</w:t>
      </w:r>
    </w:p>
    <w:p w14:paraId="6B8CA756" w14:textId="77777777" w:rsidR="00DF410E" w:rsidRDefault="00CE7F43">
      <w:r>
        <w:t>La granulométrie maximale, "D</w:t>
      </w:r>
      <w:r>
        <w:rPr>
          <w:vertAlign w:val="subscript"/>
        </w:rPr>
        <w:t>max</w:t>
      </w:r>
      <w:r>
        <w:t>" (mm), est choisie conformément à l’annexe P de la [NBN B 15-001] pour permettre une mise en place et un compactage corrects, et dans la série ci-dessous :</w:t>
      </w:r>
    </w:p>
    <w:tbl>
      <w:tblPr>
        <w:tblStyle w:val="Author-eTableGrid"/>
        <w:tblW w:w="0" w:type="auto"/>
        <w:tblLayout w:type="fixed"/>
        <w:tblLook w:val="04A0" w:firstRow="1" w:lastRow="0" w:firstColumn="1" w:lastColumn="0" w:noHBand="0" w:noVBand="1"/>
      </w:tblPr>
      <w:tblGrid>
        <w:gridCol w:w="900"/>
        <w:gridCol w:w="900"/>
        <w:gridCol w:w="900"/>
        <w:gridCol w:w="900"/>
        <w:gridCol w:w="900"/>
        <w:gridCol w:w="900"/>
        <w:gridCol w:w="900"/>
        <w:gridCol w:w="900"/>
        <w:gridCol w:w="900"/>
        <w:gridCol w:w="900"/>
      </w:tblGrid>
      <w:tr w:rsidR="00DF410E" w14:paraId="63BB72AC" w14:textId="77777777">
        <w:tc>
          <w:tcPr>
            <w:tcW w:w="900" w:type="dxa"/>
            <w:noWrap/>
          </w:tcPr>
          <w:p w14:paraId="0DFC8F6C" w14:textId="77777777" w:rsidR="00DF410E" w:rsidRDefault="00CE7F43">
            <w:r>
              <w:t>6 mm</w:t>
            </w:r>
          </w:p>
        </w:tc>
        <w:tc>
          <w:tcPr>
            <w:tcW w:w="900" w:type="dxa"/>
            <w:noWrap/>
          </w:tcPr>
          <w:p w14:paraId="2D16DB68" w14:textId="77777777" w:rsidR="00DF410E" w:rsidRDefault="00CE7F43">
            <w:r>
              <w:t>8 mm</w:t>
            </w:r>
          </w:p>
        </w:tc>
        <w:tc>
          <w:tcPr>
            <w:tcW w:w="900" w:type="dxa"/>
            <w:noWrap/>
          </w:tcPr>
          <w:p w14:paraId="60EBEEF5" w14:textId="77777777" w:rsidR="00DF410E" w:rsidRDefault="00CE7F43">
            <w:r>
              <w:t>10 mm</w:t>
            </w:r>
          </w:p>
        </w:tc>
        <w:tc>
          <w:tcPr>
            <w:tcW w:w="900" w:type="dxa"/>
            <w:noWrap/>
          </w:tcPr>
          <w:p w14:paraId="563B2676" w14:textId="77777777" w:rsidR="00DF410E" w:rsidRDefault="00CE7F43">
            <w:r>
              <w:t>11 mm</w:t>
            </w:r>
          </w:p>
        </w:tc>
        <w:tc>
          <w:tcPr>
            <w:tcW w:w="900" w:type="dxa"/>
            <w:noWrap/>
          </w:tcPr>
          <w:p w14:paraId="363F6791" w14:textId="77777777" w:rsidR="00DF410E" w:rsidRDefault="00CE7F43">
            <w:r>
              <w:t>12 mm</w:t>
            </w:r>
          </w:p>
        </w:tc>
        <w:tc>
          <w:tcPr>
            <w:tcW w:w="900" w:type="dxa"/>
            <w:noWrap/>
          </w:tcPr>
          <w:p w14:paraId="3974F254" w14:textId="77777777" w:rsidR="00DF410E" w:rsidRDefault="00CE7F43">
            <w:r>
              <w:t>14 mm</w:t>
            </w:r>
          </w:p>
        </w:tc>
        <w:tc>
          <w:tcPr>
            <w:tcW w:w="900" w:type="dxa"/>
            <w:noWrap/>
          </w:tcPr>
          <w:p w14:paraId="56815363" w14:textId="77777777" w:rsidR="00DF410E" w:rsidRDefault="00CE7F43">
            <w:r>
              <w:t>16 mm</w:t>
            </w:r>
          </w:p>
        </w:tc>
        <w:tc>
          <w:tcPr>
            <w:tcW w:w="900" w:type="dxa"/>
            <w:noWrap/>
          </w:tcPr>
          <w:p w14:paraId="3A68D2C2" w14:textId="77777777" w:rsidR="00DF410E" w:rsidRDefault="00CE7F43">
            <w:r>
              <w:t>20 mm</w:t>
            </w:r>
          </w:p>
        </w:tc>
        <w:tc>
          <w:tcPr>
            <w:tcW w:w="900" w:type="dxa"/>
            <w:noWrap/>
          </w:tcPr>
          <w:p w14:paraId="626A357D" w14:textId="77777777" w:rsidR="00DF410E" w:rsidRDefault="00CE7F43">
            <w:r>
              <w:t>22 mm</w:t>
            </w:r>
          </w:p>
        </w:tc>
        <w:tc>
          <w:tcPr>
            <w:tcW w:w="900" w:type="dxa"/>
            <w:noWrap/>
          </w:tcPr>
          <w:p w14:paraId="1F92F486" w14:textId="77777777" w:rsidR="00DF410E" w:rsidRDefault="00CE7F43">
            <w:r>
              <w:t>32 mm</w:t>
            </w:r>
          </w:p>
        </w:tc>
      </w:tr>
    </w:tbl>
    <w:p w14:paraId="292B20F4" w14:textId="77777777" w:rsidR="00DF410E" w:rsidRDefault="00CE7F43">
      <w:r>
        <w:t>Attention</w:t>
      </w:r>
      <w:r>
        <w:br/>
        <w:t>• La norme [NBN EN 12620+A1] autorise un excès jusqu'à 15 % de pierres supérieures à "D" nominal.</w:t>
      </w:r>
    </w:p>
    <w:p w14:paraId="769BFCC4" w14:textId="77777777" w:rsidR="00DF410E" w:rsidRDefault="00CE7F43">
      <w:r>
        <w:rPr>
          <w:b/>
        </w:rPr>
        <w:t>E1. EXIGENCES PROPRES AU BETON AUTO-PLACANT</w:t>
      </w:r>
    </w:p>
    <w:p w14:paraId="593CDA05" w14:textId="77777777" w:rsidR="00DF410E" w:rsidRDefault="00CE7F43">
      <w:r>
        <w:t>Le béton autoplaçant est classé en fonction de son aptitude à l’étalement au cône d’Abrams, de sa viscosité apparente, et de sa résistance à la ségrégation (essai de stabilité au tamis).</w:t>
      </w:r>
    </w:p>
    <w:tbl>
      <w:tblPr>
        <w:tblStyle w:val="Author-eTableGrid"/>
        <w:tblW w:w="0" w:type="auto"/>
        <w:tblLayout w:type="fixed"/>
        <w:tblLook w:val="04A0" w:firstRow="1" w:lastRow="0" w:firstColumn="1" w:lastColumn="0" w:noHBand="0" w:noVBand="1"/>
      </w:tblPr>
      <w:tblGrid>
        <w:gridCol w:w="4515"/>
        <w:gridCol w:w="4515"/>
      </w:tblGrid>
      <w:tr w:rsidR="00DF410E" w14:paraId="041CCF7C" w14:textId="77777777">
        <w:tc>
          <w:tcPr>
            <w:tcW w:w="4515" w:type="dxa"/>
            <w:noWrap/>
          </w:tcPr>
          <w:p w14:paraId="0E84E489" w14:textId="77777777" w:rsidR="00DF410E" w:rsidRDefault="00CE7F43">
            <w:pPr>
              <w:jc w:val="center"/>
            </w:pPr>
            <w:r>
              <w:rPr>
                <w:b/>
              </w:rPr>
              <w:t xml:space="preserve">Classe </w:t>
            </w:r>
          </w:p>
        </w:tc>
        <w:tc>
          <w:tcPr>
            <w:tcW w:w="4515" w:type="dxa"/>
            <w:noWrap/>
          </w:tcPr>
          <w:p w14:paraId="1B4012C5" w14:textId="77777777" w:rsidR="00DF410E" w:rsidRDefault="00CE7F43">
            <w:pPr>
              <w:jc w:val="center"/>
            </w:pPr>
            <w:r>
              <w:rPr>
                <w:b/>
              </w:rPr>
              <w:t>Etalement au cône d’Abrams</w:t>
            </w:r>
          </w:p>
        </w:tc>
      </w:tr>
      <w:tr w:rsidR="00DF410E" w14:paraId="4CAAA479" w14:textId="77777777">
        <w:tc>
          <w:tcPr>
            <w:tcW w:w="4515" w:type="dxa"/>
            <w:noWrap/>
          </w:tcPr>
          <w:p w14:paraId="60507933" w14:textId="77777777" w:rsidR="00DF410E" w:rsidRDefault="00CE7F43">
            <w:pPr>
              <w:jc w:val="center"/>
            </w:pPr>
            <w:r>
              <w:t>SF1</w:t>
            </w:r>
          </w:p>
        </w:tc>
        <w:tc>
          <w:tcPr>
            <w:tcW w:w="4515" w:type="dxa"/>
            <w:noWrap/>
          </w:tcPr>
          <w:p w14:paraId="0A46795D" w14:textId="77777777" w:rsidR="00DF410E" w:rsidRDefault="00CE7F43">
            <w:pPr>
              <w:jc w:val="center"/>
            </w:pPr>
            <w:r>
              <w:t>550 à 650 mm</w:t>
            </w:r>
          </w:p>
        </w:tc>
      </w:tr>
      <w:tr w:rsidR="00DF410E" w14:paraId="59469DF5" w14:textId="77777777">
        <w:tc>
          <w:tcPr>
            <w:tcW w:w="4515" w:type="dxa"/>
            <w:noWrap/>
          </w:tcPr>
          <w:p w14:paraId="49749EEE" w14:textId="77777777" w:rsidR="00DF410E" w:rsidRDefault="00CE7F43">
            <w:pPr>
              <w:jc w:val="center"/>
            </w:pPr>
            <w:r>
              <w:t>SF2</w:t>
            </w:r>
          </w:p>
        </w:tc>
        <w:tc>
          <w:tcPr>
            <w:tcW w:w="4515" w:type="dxa"/>
            <w:noWrap/>
          </w:tcPr>
          <w:p w14:paraId="1A01FCA9" w14:textId="77777777" w:rsidR="00DF410E" w:rsidRDefault="00CE7F43">
            <w:pPr>
              <w:jc w:val="center"/>
            </w:pPr>
            <w:r>
              <w:t>660 à 770 mm</w:t>
            </w:r>
          </w:p>
        </w:tc>
      </w:tr>
      <w:tr w:rsidR="00DF410E" w14:paraId="2137AFF8" w14:textId="77777777">
        <w:tc>
          <w:tcPr>
            <w:tcW w:w="4515" w:type="dxa"/>
            <w:noWrap/>
          </w:tcPr>
          <w:p w14:paraId="0526B38C" w14:textId="77777777" w:rsidR="00DF410E" w:rsidRDefault="00CE7F43">
            <w:pPr>
              <w:jc w:val="center"/>
            </w:pPr>
            <w:r>
              <w:t>SF3</w:t>
            </w:r>
          </w:p>
        </w:tc>
        <w:tc>
          <w:tcPr>
            <w:tcW w:w="4515" w:type="dxa"/>
            <w:noWrap/>
          </w:tcPr>
          <w:p w14:paraId="38C2B8C8" w14:textId="77777777" w:rsidR="00DF410E" w:rsidRDefault="00CE7F43">
            <w:pPr>
              <w:jc w:val="center"/>
            </w:pPr>
            <w:r>
              <w:t>760 à 850 mm</w:t>
            </w:r>
          </w:p>
        </w:tc>
      </w:tr>
      <w:tr w:rsidR="00DF410E" w14:paraId="253E5F9C" w14:textId="77777777">
        <w:tc>
          <w:tcPr>
            <w:tcW w:w="9030" w:type="dxa"/>
            <w:gridSpan w:val="2"/>
            <w:noWrap/>
          </w:tcPr>
          <w:p w14:paraId="7066725D" w14:textId="77777777" w:rsidR="00DF410E" w:rsidRDefault="00CE7F43">
            <w:pPr>
              <w:jc w:val="center"/>
            </w:pPr>
            <w:r>
              <w:t>NB : La classification n’est pas applicable aux bétons dont D</w:t>
            </w:r>
            <w:r>
              <w:rPr>
                <w:vertAlign w:val="subscript"/>
              </w:rPr>
              <w:t>max</w:t>
            </w:r>
            <w:r>
              <w:t xml:space="preserve"> excède 40 mm.</w:t>
            </w:r>
          </w:p>
        </w:tc>
      </w:tr>
      <w:tr w:rsidR="00DF410E" w14:paraId="2221F888" w14:textId="77777777">
        <w:tc>
          <w:tcPr>
            <w:tcW w:w="4515" w:type="dxa"/>
            <w:noWrap/>
          </w:tcPr>
          <w:p w14:paraId="64E6A708" w14:textId="77777777" w:rsidR="00DF410E" w:rsidRDefault="00CE7F43">
            <w:pPr>
              <w:jc w:val="center"/>
            </w:pPr>
            <w:r>
              <w:rPr>
                <w:b/>
              </w:rPr>
              <w:t xml:space="preserve">Classe </w:t>
            </w:r>
          </w:p>
        </w:tc>
        <w:tc>
          <w:tcPr>
            <w:tcW w:w="4515" w:type="dxa"/>
            <w:noWrap/>
          </w:tcPr>
          <w:p w14:paraId="7FA2C30E" w14:textId="77777777" w:rsidR="00DF410E" w:rsidRDefault="00CE7F43">
            <w:pPr>
              <w:jc w:val="center"/>
            </w:pPr>
            <w:r>
              <w:rPr>
                <w:b/>
              </w:rPr>
              <w:t>Classes de viscosité apparente</w:t>
            </w:r>
          </w:p>
        </w:tc>
      </w:tr>
      <w:tr w:rsidR="00DF410E" w14:paraId="629F9D3D" w14:textId="77777777">
        <w:tc>
          <w:tcPr>
            <w:tcW w:w="4515" w:type="dxa"/>
            <w:noWrap/>
          </w:tcPr>
          <w:p w14:paraId="0C484A68" w14:textId="77777777" w:rsidR="00DF410E" w:rsidRDefault="00CE7F43">
            <w:pPr>
              <w:jc w:val="center"/>
            </w:pPr>
            <w:r>
              <w:t>VF1</w:t>
            </w:r>
          </w:p>
        </w:tc>
        <w:tc>
          <w:tcPr>
            <w:tcW w:w="4515" w:type="dxa"/>
            <w:noWrap/>
          </w:tcPr>
          <w:p w14:paraId="4C5B38D2" w14:textId="77777777" w:rsidR="00DF410E" w:rsidRDefault="00CE7F43">
            <w:pPr>
              <w:jc w:val="center"/>
            </w:pPr>
            <w:r>
              <w:t>t</w:t>
            </w:r>
            <w:r>
              <w:rPr>
                <w:vertAlign w:val="subscript"/>
              </w:rPr>
              <w:t>v</w:t>
            </w:r>
            <w:r>
              <w:t xml:space="preserve"> &lt; 9 s</w:t>
            </w:r>
          </w:p>
        </w:tc>
      </w:tr>
      <w:tr w:rsidR="00DF410E" w14:paraId="0E22735F" w14:textId="77777777">
        <w:tc>
          <w:tcPr>
            <w:tcW w:w="4515" w:type="dxa"/>
            <w:noWrap/>
          </w:tcPr>
          <w:p w14:paraId="20601BE8" w14:textId="77777777" w:rsidR="00DF410E" w:rsidRDefault="00CE7F43">
            <w:pPr>
              <w:jc w:val="center"/>
            </w:pPr>
            <w:r>
              <w:t>VF2</w:t>
            </w:r>
          </w:p>
        </w:tc>
        <w:tc>
          <w:tcPr>
            <w:tcW w:w="4515" w:type="dxa"/>
            <w:noWrap/>
          </w:tcPr>
          <w:p w14:paraId="221B5898" w14:textId="77777777" w:rsidR="00DF410E" w:rsidRDefault="00CE7F43">
            <w:pPr>
              <w:jc w:val="center"/>
            </w:pPr>
            <w:r>
              <w:t>9 &lt; t</w:t>
            </w:r>
            <w:r>
              <w:rPr>
                <w:vertAlign w:val="subscript"/>
              </w:rPr>
              <w:t>v</w:t>
            </w:r>
            <w:r>
              <w:t xml:space="preserve"> &lt; 25 s</w:t>
            </w:r>
          </w:p>
        </w:tc>
      </w:tr>
      <w:tr w:rsidR="00DF410E" w14:paraId="4AD5BDA6" w14:textId="77777777">
        <w:tc>
          <w:tcPr>
            <w:tcW w:w="9030" w:type="dxa"/>
            <w:gridSpan w:val="2"/>
            <w:noWrap/>
          </w:tcPr>
          <w:p w14:paraId="5AB0C72C" w14:textId="77777777" w:rsidR="00DF410E" w:rsidRDefault="00CE7F43">
            <w:pPr>
              <w:jc w:val="center"/>
            </w:pPr>
            <w:r>
              <w:t>NB : La classification n’est pas applicable aux bétons dont D</w:t>
            </w:r>
            <w:r>
              <w:rPr>
                <w:vertAlign w:val="subscript"/>
              </w:rPr>
              <w:t>max</w:t>
            </w:r>
            <w:r>
              <w:t xml:space="preserve"> excède 22,4 mm.</w:t>
            </w:r>
          </w:p>
        </w:tc>
      </w:tr>
      <w:tr w:rsidR="00DF410E" w14:paraId="720F35F3" w14:textId="77777777">
        <w:tc>
          <w:tcPr>
            <w:tcW w:w="4515" w:type="dxa"/>
            <w:noWrap/>
          </w:tcPr>
          <w:p w14:paraId="04D95AE8" w14:textId="77777777" w:rsidR="00DF410E" w:rsidRDefault="00CE7F43">
            <w:pPr>
              <w:jc w:val="center"/>
            </w:pPr>
            <w:r>
              <w:rPr>
                <w:b/>
              </w:rPr>
              <w:t xml:space="preserve">Classe </w:t>
            </w:r>
          </w:p>
        </w:tc>
        <w:tc>
          <w:tcPr>
            <w:tcW w:w="4515" w:type="dxa"/>
            <w:noWrap/>
          </w:tcPr>
          <w:p w14:paraId="21812257" w14:textId="77777777" w:rsidR="00DF410E" w:rsidRDefault="00CE7F43">
            <w:pPr>
              <w:jc w:val="center"/>
            </w:pPr>
            <w:r>
              <w:rPr>
                <w:b/>
              </w:rPr>
              <w:t>Classes de résistance à la ségrégation</w:t>
            </w:r>
          </w:p>
        </w:tc>
      </w:tr>
      <w:tr w:rsidR="00DF410E" w14:paraId="2BA6EA4B" w14:textId="77777777">
        <w:tc>
          <w:tcPr>
            <w:tcW w:w="4515" w:type="dxa"/>
            <w:noWrap/>
          </w:tcPr>
          <w:p w14:paraId="4C959D05" w14:textId="77777777" w:rsidR="00DF410E" w:rsidRDefault="00CE7F43">
            <w:pPr>
              <w:jc w:val="center"/>
            </w:pPr>
            <w:r>
              <w:t>SR1</w:t>
            </w:r>
          </w:p>
        </w:tc>
        <w:tc>
          <w:tcPr>
            <w:tcW w:w="4515" w:type="dxa"/>
            <w:noWrap/>
          </w:tcPr>
          <w:p w14:paraId="22B59878" w14:textId="77777777" w:rsidR="00DF410E" w:rsidRDefault="00CE7F43">
            <w:pPr>
              <w:jc w:val="center"/>
            </w:pPr>
            <w:r>
              <w:t>≤ 20 %</w:t>
            </w:r>
          </w:p>
        </w:tc>
      </w:tr>
      <w:tr w:rsidR="00DF410E" w14:paraId="6E9D47AB" w14:textId="77777777">
        <w:tc>
          <w:tcPr>
            <w:tcW w:w="4515" w:type="dxa"/>
            <w:noWrap/>
          </w:tcPr>
          <w:p w14:paraId="3D7709A6" w14:textId="77777777" w:rsidR="00DF410E" w:rsidRDefault="00CE7F43">
            <w:pPr>
              <w:jc w:val="center"/>
            </w:pPr>
            <w:r>
              <w:t>SR2</w:t>
            </w:r>
          </w:p>
        </w:tc>
        <w:tc>
          <w:tcPr>
            <w:tcW w:w="4515" w:type="dxa"/>
            <w:noWrap/>
          </w:tcPr>
          <w:p w14:paraId="1ABA0D4F" w14:textId="77777777" w:rsidR="00DF410E" w:rsidRDefault="00CE7F43">
            <w:pPr>
              <w:jc w:val="center"/>
            </w:pPr>
            <w:r>
              <w:t>≤ 15 %</w:t>
            </w:r>
          </w:p>
        </w:tc>
      </w:tr>
      <w:tr w:rsidR="00DF410E" w14:paraId="21FA55CC" w14:textId="77777777">
        <w:tc>
          <w:tcPr>
            <w:tcW w:w="9030" w:type="dxa"/>
            <w:gridSpan w:val="2"/>
            <w:noWrap/>
          </w:tcPr>
          <w:p w14:paraId="22D35F43" w14:textId="77777777" w:rsidR="00DF410E" w:rsidRDefault="00CE7F43">
            <w:pPr>
              <w:jc w:val="center"/>
            </w:pPr>
            <w:r>
              <w:t>NB : La classification n’est pas applicable aux bétons dont D</w:t>
            </w:r>
            <w:r>
              <w:rPr>
                <w:vertAlign w:val="subscript"/>
              </w:rPr>
              <w:t>max</w:t>
            </w:r>
            <w:r>
              <w:t xml:space="preserve"> excède 40 mm.</w:t>
            </w:r>
          </w:p>
        </w:tc>
      </w:tr>
    </w:tbl>
    <w:p w14:paraId="1BBA3F64" w14:textId="77777777" w:rsidR="00DF410E" w:rsidRDefault="00DF410E"/>
    <w:p w14:paraId="531E8F5B" w14:textId="77777777" w:rsidR="00DF410E" w:rsidRDefault="00CE7F43">
      <w:r>
        <w:rPr>
          <w:b/>
        </w:rPr>
        <w:t>E2. EXIGENCES COMPLEMENTAIRES.</w:t>
      </w:r>
    </w:p>
    <w:p w14:paraId="566E8075" w14:textId="77777777" w:rsidR="00DF410E" w:rsidRDefault="00CE7F43">
      <w:pPr>
        <w:pStyle w:val="Author-eListParagraph"/>
        <w:numPr>
          <w:ilvl w:val="0"/>
          <w:numId w:val="321"/>
        </w:numPr>
      </w:pPr>
      <w:r>
        <w:t>le type de ciment SR, HSR, Low Heat et/ou LA,</w:t>
      </w:r>
    </w:p>
    <w:p w14:paraId="6842DFA5" w14:textId="77777777" w:rsidR="00DF410E" w:rsidRDefault="00CE7F43">
      <w:pPr>
        <w:pStyle w:val="Author-eListParagraph"/>
        <w:numPr>
          <w:ilvl w:val="0"/>
          <w:numId w:val="321"/>
        </w:numPr>
      </w:pPr>
      <w:r>
        <w:t>des exigences pour la granulométrie (entre autres conseillée pour les sols industriels, voir [NIT 267]),</w:t>
      </w:r>
    </w:p>
    <w:p w14:paraId="688AA04B" w14:textId="77777777" w:rsidR="00DF410E" w:rsidRDefault="00CE7F43">
      <w:pPr>
        <w:pStyle w:val="Author-eListParagraph"/>
        <w:numPr>
          <w:ilvl w:val="0"/>
          <w:numId w:val="321"/>
        </w:numPr>
      </w:pPr>
      <w:r>
        <w:t>la classe d’absorption d’eau par immersion WAI,</w:t>
      </w:r>
    </w:p>
    <w:p w14:paraId="293457E8" w14:textId="77777777" w:rsidR="00DF410E" w:rsidRDefault="00CE7F43">
      <w:pPr>
        <w:pStyle w:val="Author-eListParagraph"/>
        <w:numPr>
          <w:ilvl w:val="0"/>
          <w:numId w:val="321"/>
        </w:numPr>
      </w:pPr>
      <w:r>
        <w:t>la teneur en chlorure</w:t>
      </w:r>
    </w:p>
    <w:p w14:paraId="581D2005" w14:textId="77777777" w:rsidR="00DF410E" w:rsidRDefault="00CE7F43">
      <w:pPr>
        <w:pStyle w:val="Author-eListParagraph"/>
        <w:numPr>
          <w:ilvl w:val="0"/>
          <w:numId w:val="321"/>
        </w:numPr>
      </w:pPr>
      <w:r>
        <w:t>la masse volumique</w:t>
      </w:r>
    </w:p>
    <w:p w14:paraId="70623741" w14:textId="77777777" w:rsidR="00DF410E" w:rsidRDefault="00CE7F43">
      <w:pPr>
        <w:pStyle w:val="Author-eListParagraph"/>
        <w:numPr>
          <w:ilvl w:val="0"/>
          <w:numId w:val="321"/>
        </w:numPr>
      </w:pPr>
      <w:r>
        <w:t>la teinte</w:t>
      </w:r>
    </w:p>
    <w:p w14:paraId="02EEB7D8" w14:textId="77777777" w:rsidR="00DF410E" w:rsidRDefault="00CE7F43">
      <w:pPr>
        <w:pStyle w:val="Author-eListParagraph"/>
        <w:numPr>
          <w:ilvl w:val="0"/>
          <w:numId w:val="321"/>
        </w:numPr>
      </w:pPr>
      <w:r>
        <w:t>...</w:t>
      </w:r>
    </w:p>
    <w:p w14:paraId="1B0F9D6E" w14:textId="77777777" w:rsidR="00DF410E" w:rsidRDefault="00CE7F43">
      <w:r>
        <w:t>Parmi les exigences complémentaires à spécifier lors de la commande, si un ouvrage étanche est prescrit, il y a lieu de spécifier un béton T(0.50) ou T(0.45) et éventuellement une classe d’absorption d’eau limitée respectivement WAI (0,50) ou WAI (0,45). Voir [NIT 247].</w:t>
      </w:r>
    </w:p>
    <w:p w14:paraId="41175523" w14:textId="77777777" w:rsidR="00DF410E" w:rsidRDefault="00CE7F43">
      <w:r>
        <w:rPr>
          <w:rStyle w:val="headingChar"/>
        </w:rPr>
        <w:t>Prescriptions Complémentaires Pour La Qualité Du Béton Apparent Avec Des Exigences Esthétiques Coulé En Place</w:t>
      </w:r>
    </w:p>
    <w:p w14:paraId="3729F7D5" w14:textId="77777777" w:rsidR="00DF410E" w:rsidRDefault="00CE7F43">
      <w:r>
        <w:t>En plus des critères et exigences propres au béton coulé en place, les éléments suivants sont d’application pour le béton apparent avec des exigences esthétiques :</w:t>
      </w:r>
    </w:p>
    <w:p w14:paraId="6015713B" w14:textId="77777777" w:rsidR="00DF410E" w:rsidRDefault="00CE7F43">
      <w:pPr>
        <w:pStyle w:val="Author-eListParagraph"/>
        <w:numPr>
          <w:ilvl w:val="0"/>
          <w:numId w:val="322"/>
        </w:numPr>
      </w:pPr>
      <w:r>
        <w:t>le facteur eau-ciment est le plus bas possible;</w:t>
      </w:r>
    </w:p>
    <w:p w14:paraId="31A5CFE2" w14:textId="77777777" w:rsidR="00DF410E" w:rsidRDefault="00CE7F43">
      <w:pPr>
        <w:pStyle w:val="Author-eListParagraph"/>
        <w:numPr>
          <w:ilvl w:val="0"/>
          <w:numId w:val="322"/>
        </w:numPr>
      </w:pPr>
      <w:r>
        <w:t>le type de ciment à utiliser est compatible avec l’aspect esthétique recherché ;</w:t>
      </w:r>
    </w:p>
    <w:p w14:paraId="4124D6B6" w14:textId="77777777" w:rsidR="00DF410E" w:rsidRDefault="00CE7F43">
      <w:pPr>
        <w:pStyle w:val="Author-eListParagraph"/>
        <w:numPr>
          <w:ilvl w:val="0"/>
          <w:numId w:val="322"/>
        </w:numPr>
      </w:pPr>
      <w:r>
        <w:t>le choix des granulats est adapté à l’aspect esthétique recherché.</w:t>
      </w:r>
    </w:p>
    <w:p w14:paraId="3D4DD424" w14:textId="77777777" w:rsidR="00DF410E" w:rsidRDefault="00CE7F43">
      <w:r>
        <w:rPr>
          <w:rStyle w:val="headingChar"/>
        </w:rPr>
        <w:t>Qualité Du Béton Pour Éléments Préfabriqués</w:t>
      </w:r>
    </w:p>
    <w:p w14:paraId="6DD0429D" w14:textId="77777777" w:rsidR="00DF410E" w:rsidRDefault="00CE7F43">
      <w:r>
        <w:t>Le mélange utilisé pour la fabrication des éléments préfabriqués satisfait aux exigences des normes produits, éventuellement complétées par des prescriptions particulières.</w:t>
      </w:r>
    </w:p>
    <w:p w14:paraId="6998838F" w14:textId="77777777" w:rsidR="00DF410E" w:rsidRDefault="00CE7F43">
      <w:r>
        <w:t>Le béton est défini par une composition à performances spécifiées conformément aux normes produits ou aux normes [NBN EN 13369:2023] et [NBN B 21-600].</w:t>
      </w:r>
    </w:p>
    <w:p w14:paraId="1AFBEEFA" w14:textId="77777777" w:rsidR="00DF410E" w:rsidRDefault="00CE7F43">
      <w:r>
        <w:t>Trois critères de base (A, B1, B2) sont à spécifier pour ce type d’ouvrage en plus d’exigences complémentaires éventuelles (C, D, E1 et E2):</w:t>
      </w:r>
    </w:p>
    <w:p w14:paraId="4E0BA11F" w14:textId="77777777" w:rsidR="00DF410E" w:rsidRDefault="00CE7F43">
      <w:pPr>
        <w:pStyle w:val="Author-eListParagraph"/>
        <w:numPr>
          <w:ilvl w:val="0"/>
          <w:numId w:val="323"/>
        </w:numPr>
      </w:pPr>
      <w:r>
        <w:t>A La classe de résistance à la compression</w:t>
      </w:r>
    </w:p>
    <w:p w14:paraId="2F30F3DC" w14:textId="77777777" w:rsidR="00DF410E" w:rsidRDefault="00CE7F43">
      <w:pPr>
        <w:pStyle w:val="Author-eListParagraph"/>
        <w:numPr>
          <w:ilvl w:val="0"/>
          <w:numId w:val="323"/>
        </w:numPr>
      </w:pPr>
      <w:r>
        <w:t>B1 Le domaine d’application</w:t>
      </w:r>
    </w:p>
    <w:p w14:paraId="04081159" w14:textId="77777777" w:rsidR="00DF410E" w:rsidRDefault="00CE7F43">
      <w:pPr>
        <w:pStyle w:val="Author-eListParagraph"/>
        <w:numPr>
          <w:ilvl w:val="0"/>
          <w:numId w:val="323"/>
        </w:numPr>
      </w:pPr>
      <w:r>
        <w:t>B2 La ou les classes d'environnement</w:t>
      </w:r>
    </w:p>
    <w:p w14:paraId="448E2F51" w14:textId="77777777" w:rsidR="00DF410E" w:rsidRDefault="00CE7F43">
      <w:r>
        <w:t>Exigences complémentaires :</w:t>
      </w:r>
    </w:p>
    <w:p w14:paraId="1DBA01CE" w14:textId="77777777" w:rsidR="00DF410E" w:rsidRDefault="00CE7F43">
      <w:r>
        <w:t>D Le Dmax</w:t>
      </w:r>
    </w:p>
    <w:p w14:paraId="03E40B57" w14:textId="77777777" w:rsidR="00DF410E" w:rsidRDefault="00CE7F43">
      <w:r>
        <w:t>E1 Des exigences complémentaires propres au béton autoplaçant (classe d’écoulement, classe de résistance à la ségrégation, ..)</w:t>
      </w:r>
    </w:p>
    <w:p w14:paraId="5E93B15D" w14:textId="77777777" w:rsidR="00DF410E" w:rsidRDefault="00CE7F43">
      <w:r>
        <w:t>E2 Des exigences complémentaires relatives à la composition, au béton frais, à la mise en œuvre, au béton durci : type de ciment, classe d’absorption d’eau par immersion (WAI), masse volumique, teinte, finition de surface, granulométrie, …</w:t>
      </w:r>
    </w:p>
    <w:p w14:paraId="630835CB" w14:textId="77777777" w:rsidR="00DF410E" w:rsidRDefault="00CE7F43">
      <w:r>
        <w:rPr>
          <w:b/>
        </w:rPr>
        <w:t>A. CLASSE DE RÉSISTANCE</w:t>
      </w:r>
    </w:p>
    <w:p w14:paraId="4D0493FF" w14:textId="77777777" w:rsidR="00DF410E" w:rsidRDefault="00CE7F43">
      <w:r>
        <w:t>Le choix de la classe de résistance dépend de la stabilité mais également du choix de la classe d’environnement. Une classe de résistance plus élevée que celle nécessaire à la stabilité peut être requise pour satisfaire les exigences liées à la classe d’environnement (voir tableaux P2 et P3 de la [NBN B 21-600]) ou à la classe d’absorption d’eau par immersion (WAI).</w:t>
      </w:r>
    </w:p>
    <w:p w14:paraId="43AE8304" w14:textId="77777777" w:rsidR="00DF410E" w:rsidRDefault="00CE7F43">
      <w:r>
        <w:rPr>
          <w:b/>
        </w:rPr>
        <w:t>B1. DOMAINE D’APPLICATION.</w:t>
      </w:r>
    </w:p>
    <w:p w14:paraId="18E50114" w14:textId="77777777" w:rsidR="00DF410E" w:rsidRDefault="00CE7F43">
      <w:r>
        <w:t>Béton non armé, béton armé, béton fibré ou béton précontraint.</w:t>
      </w:r>
    </w:p>
    <w:p w14:paraId="246720D4" w14:textId="77777777" w:rsidR="00DF410E" w:rsidRDefault="00CE7F43">
      <w:r>
        <w:rPr>
          <w:b/>
        </w:rPr>
        <w:t>B2. CLASSE D'ENVIRONNEMENT.</w:t>
      </w:r>
    </w:p>
    <w:p w14:paraId="23632036" w14:textId="77777777" w:rsidR="00DF410E" w:rsidRDefault="00CE7F43">
      <w:r>
        <w:t>La ou les classes d’environnement sont à sélectionner parmi celles reprises dans le tableau 1-ANB de la [NBN B 15-001].</w:t>
      </w:r>
    </w:p>
    <w:p w14:paraId="2CD77E20" w14:textId="77777777" w:rsidR="00DF410E" w:rsidRDefault="00CE7F43">
      <w:r>
        <w:rPr>
          <w:b/>
        </w:rPr>
        <w:t>C. CLASSE DE CONSISTANCE.</w:t>
      </w:r>
    </w:p>
    <w:p w14:paraId="620E688A" w14:textId="77777777" w:rsidR="00DF410E" w:rsidRDefault="00CE7F43">
      <w:r>
        <w:t>Sauf indications contraires dans les documents du marché, le fabricant choisit une classe de consistance en fonction du type d’élément réalisé.</w:t>
      </w:r>
    </w:p>
    <w:p w14:paraId="5DCD6AF2" w14:textId="77777777" w:rsidR="00DF410E" w:rsidRDefault="00CE7F43">
      <w:r>
        <w:rPr>
          <w:b/>
        </w:rPr>
        <w:t>D. GRANULOMETRIE MAXIMALE</w:t>
      </w:r>
    </w:p>
    <w:p w14:paraId="2C8CA693" w14:textId="77777777" w:rsidR="00DF410E" w:rsidRDefault="00CE7F43">
      <w:r>
        <w:t>La granulométrie maximale, "D" maximum (mm), est choisie conformément aux normes produits ou à la norme [NBN EN 13369:2023] et [NBN B 21-600] ou à l’annexe P de la [NBN B 15-001].</w:t>
      </w:r>
    </w:p>
    <w:p w14:paraId="2ADF1505" w14:textId="77777777" w:rsidR="00DF410E" w:rsidRDefault="00CE7F43">
      <w:r>
        <w:rPr>
          <w:b/>
        </w:rPr>
        <w:t>E1. BETON AUTO-PLACANT</w:t>
      </w:r>
    </w:p>
    <w:p w14:paraId="4B361C75" w14:textId="77777777" w:rsidR="00DF410E" w:rsidRDefault="00CE7F43">
      <w:r>
        <w:t>Le béton auto-plaçant est classé en fonction de sa viscosité apparente, de son aptitude à l’écoulement et de sa résistance à la ségrégation (essai de stabilité au tamis).</w:t>
      </w:r>
    </w:p>
    <w:p w14:paraId="75EEA4D2" w14:textId="77777777" w:rsidR="00DF410E" w:rsidRDefault="00CE7F43">
      <w:r>
        <w:rPr>
          <w:b/>
        </w:rPr>
        <w:t>E2. EXIGENCES COMPLEMENTAIRES.</w:t>
      </w:r>
    </w:p>
    <w:p w14:paraId="5F35F0D7" w14:textId="77777777" w:rsidR="00DF410E" w:rsidRDefault="00CE7F43">
      <w:pPr>
        <w:pStyle w:val="Author-eListParagraph"/>
        <w:numPr>
          <w:ilvl w:val="0"/>
          <w:numId w:val="324"/>
        </w:numPr>
      </w:pPr>
      <w:r>
        <w:t>le type de ciment SR, Low Heat et/ou LA,</w:t>
      </w:r>
    </w:p>
    <w:p w14:paraId="33655F51" w14:textId="77777777" w:rsidR="00DF410E" w:rsidRDefault="00CE7F43">
      <w:pPr>
        <w:pStyle w:val="Author-eListParagraph"/>
        <w:numPr>
          <w:ilvl w:val="0"/>
          <w:numId w:val="324"/>
        </w:numPr>
      </w:pPr>
      <w:r>
        <w:t>des exigences pour la granulométrie</w:t>
      </w:r>
    </w:p>
    <w:p w14:paraId="53067FE4" w14:textId="77777777" w:rsidR="00DF410E" w:rsidRDefault="00CE7F43">
      <w:pPr>
        <w:pStyle w:val="Author-eListParagraph"/>
        <w:numPr>
          <w:ilvl w:val="0"/>
          <w:numId w:val="324"/>
        </w:numPr>
      </w:pPr>
      <w:r>
        <w:t>la classe d’absorption d’eau par immersion WAI,</w:t>
      </w:r>
    </w:p>
    <w:p w14:paraId="3B652306" w14:textId="77777777" w:rsidR="00DF410E" w:rsidRDefault="00CE7F43">
      <w:pPr>
        <w:pStyle w:val="Author-eListParagraph"/>
        <w:numPr>
          <w:ilvl w:val="0"/>
          <w:numId w:val="324"/>
        </w:numPr>
      </w:pPr>
      <w:r>
        <w:t>la masse volumique</w:t>
      </w:r>
    </w:p>
    <w:p w14:paraId="31FD64D0" w14:textId="77777777" w:rsidR="00DF410E" w:rsidRDefault="00CE7F43">
      <w:pPr>
        <w:pStyle w:val="Author-eListParagraph"/>
        <w:numPr>
          <w:ilvl w:val="0"/>
          <w:numId w:val="324"/>
        </w:numPr>
      </w:pPr>
      <w:r>
        <w:t>la teinte</w:t>
      </w:r>
    </w:p>
    <w:p w14:paraId="61114BEA" w14:textId="77777777" w:rsidR="00DF410E" w:rsidRDefault="00CE7F43">
      <w:pPr>
        <w:pStyle w:val="Author-eListParagraph"/>
        <w:numPr>
          <w:ilvl w:val="0"/>
          <w:numId w:val="324"/>
        </w:numPr>
      </w:pPr>
      <w:r>
        <w:t>l’aspect de surface</w:t>
      </w:r>
    </w:p>
    <w:p w14:paraId="6F9A2D5E" w14:textId="77777777" w:rsidR="00DF410E" w:rsidRDefault="00CE7F43">
      <w:pPr>
        <w:pStyle w:val="Author-eListParagraph"/>
        <w:numPr>
          <w:ilvl w:val="0"/>
          <w:numId w:val="324"/>
        </w:numPr>
      </w:pPr>
      <w:r>
        <w:t>...</w:t>
      </w:r>
    </w:p>
    <w:p w14:paraId="08CB556E" w14:textId="77777777" w:rsidR="00DF410E" w:rsidRDefault="00CE7F43">
      <w:r>
        <w:t>Parmi les exigences complémentaires à spécifier lors de la commande, si un ouvrage étanche est prescrit, il y a lieu de spécifier un béton T(0.50) ou T(0.45) et éventuellement une classe d’absorption d’eau limitée respectivement WAI (0,50) ou WAI (0,45). Voir [NIT 247].</w:t>
      </w:r>
    </w:p>
    <w:p w14:paraId="7B990E2F" w14:textId="77777777" w:rsidR="00DF410E" w:rsidRDefault="00CE7F43">
      <w:r>
        <w:rPr>
          <w:rStyle w:val="headingChar"/>
        </w:rPr>
        <w:t>Qualité De L'acier</w:t>
      </w:r>
    </w:p>
    <w:p w14:paraId="39C22E3D" w14:textId="77777777" w:rsidR="00DF410E" w:rsidRDefault="00CE7F43">
      <w:r>
        <w:t xml:space="preserve">Voir article </w:t>
      </w:r>
      <w:hyperlink w:anchor="231" w:history="1">
        <w:r>
          <w:t>22.51 Armatures pour béton</w:t>
        </w:r>
      </w:hyperlink>
      <w:r>
        <w:t>.</w:t>
      </w:r>
    </w:p>
    <w:p w14:paraId="6974BC17" w14:textId="77777777" w:rsidR="00DF410E" w:rsidRDefault="00CE7F43">
      <w:r>
        <w:rPr>
          <w:rStyle w:val="headingChar"/>
        </w:rPr>
        <w:t>Eléments Préfabriqués En Béton</w:t>
      </w:r>
    </w:p>
    <w:p w14:paraId="3E60A7B4" w14:textId="77777777" w:rsidR="00DF410E" w:rsidRDefault="00CE7F43">
      <w:r>
        <w:rPr>
          <w:b/>
        </w:rPr>
        <w:t>GÉNÉRALITÉS</w:t>
      </w:r>
    </w:p>
    <w:p w14:paraId="1D0E8D11" w14:textId="77777777" w:rsidR="00DF410E" w:rsidRDefault="00CE7F43">
      <w:r>
        <w:t>• Les éléments préfabriqués en béton sont conformes aux normes de produit si pertinent (dalles alvéolées, poutres, ...), et à leur complément national s’il existe; sinon, il est fait référence aux normes [NBN EN 13369:2023] et [NBN B 21-600]. Pour des applications particulières, les documents du marché peuvent prescrire des spécifications complémentaires.</w:t>
      </w:r>
    </w:p>
    <w:p w14:paraId="52469580" w14:textId="77777777" w:rsidR="00DF410E" w:rsidRDefault="00CE7F43">
      <w:r>
        <w:t>• Les éléments sont fabriqués en usine ou dans une installation provisoire sur chantier, à l'abri des intempéries et des conditions environnementales néfastes, par des ouvriers qualifiés, avec des équipements adaptés, dans des circonstances appropriées et sous contrôle permanent. L’usine ou l’installation dispose d’un système de gestion de la qualité y compris les moyens nécessaires pour contrôler les spécifications minimales imposées.</w:t>
      </w:r>
    </w:p>
    <w:p w14:paraId="78E21E8C" w14:textId="77777777" w:rsidR="00DF410E" w:rsidRDefault="00CE7F43">
      <w:r>
        <w:t>• L’entrepreneur veille à ce que les éléments soient parfaitement compatibles et ajustables aux autres éléments constitutifs, structuraux, techniques et de finition de l’ouvrage de construction.</w:t>
      </w:r>
    </w:p>
    <w:p w14:paraId="15BAD2E7" w14:textId="77777777" w:rsidR="00DF410E" w:rsidRDefault="00CE7F43">
      <w:r>
        <w:t>• L’entrepreneur coordonne l’ensemble de l’ouvrage de construction de manière que, de tout temps, et pendant toute la durée des manipulations nécessaires et possibles des divers éléments, la stabilité de l’ensemble et de chaque élément en particulier soit garantie en permanence.</w:t>
      </w:r>
    </w:p>
    <w:p w14:paraId="3B39AD14" w14:textId="77777777" w:rsidR="00DF410E" w:rsidRDefault="00CE7F43">
      <w:r>
        <w:t>• Selon les dispositions du cahier spécial des charges, l’entrepreneur fait réaliser et éventuellement livrer par le fabricant les éléments de construction conformément aux documents d’exécution. Il remet au fabricant les documents et informations suivants :</w:t>
      </w:r>
    </w:p>
    <w:p w14:paraId="2EB1A4D8" w14:textId="77777777" w:rsidR="00DF410E" w:rsidRDefault="00CE7F43">
      <w:pPr>
        <w:pStyle w:val="Author-eListParagraph"/>
        <w:numPr>
          <w:ilvl w:val="0"/>
          <w:numId w:val="325"/>
        </w:numPr>
      </w:pPr>
      <w:r>
        <w:t>Plans,</w:t>
      </w:r>
    </w:p>
    <w:p w14:paraId="700DBE5E" w14:textId="77777777" w:rsidR="00DF410E" w:rsidRDefault="00CE7F43">
      <w:pPr>
        <w:pStyle w:val="Author-eListParagraph"/>
        <w:numPr>
          <w:ilvl w:val="0"/>
          <w:numId w:val="325"/>
        </w:numPr>
      </w:pPr>
      <w:r>
        <w:t>Cahier des charges et métré,</w:t>
      </w:r>
    </w:p>
    <w:p w14:paraId="5A4D1C6D" w14:textId="77777777" w:rsidR="00DF410E" w:rsidRDefault="00CE7F43">
      <w:pPr>
        <w:pStyle w:val="Author-eListParagraph"/>
        <w:numPr>
          <w:ilvl w:val="0"/>
          <w:numId w:val="325"/>
        </w:numPr>
      </w:pPr>
      <w:r>
        <w:t>les principes généraux de la stabilité du bâtiment,</w:t>
      </w:r>
    </w:p>
    <w:p w14:paraId="5B485A3D" w14:textId="77777777" w:rsidR="00DF410E" w:rsidRDefault="00CE7F43">
      <w:pPr>
        <w:pStyle w:val="Author-eListParagraph"/>
        <w:numPr>
          <w:ilvl w:val="0"/>
          <w:numId w:val="325"/>
        </w:numPr>
      </w:pPr>
      <w:r>
        <w:t>la classe structurale,</w:t>
      </w:r>
    </w:p>
    <w:p w14:paraId="01BAAB6F" w14:textId="77777777" w:rsidR="00DF410E" w:rsidRDefault="00CE7F43">
      <w:pPr>
        <w:pStyle w:val="Author-eListParagraph"/>
        <w:numPr>
          <w:ilvl w:val="0"/>
          <w:numId w:val="325"/>
        </w:numPr>
      </w:pPr>
      <w:r>
        <w:t>un cahier synthétisant toutes les surcharges,</w:t>
      </w:r>
    </w:p>
    <w:p w14:paraId="714F698F" w14:textId="77777777" w:rsidR="00DF410E" w:rsidRDefault="00CE7F43">
      <w:pPr>
        <w:pStyle w:val="Author-eListParagraph"/>
        <w:numPr>
          <w:ilvl w:val="0"/>
          <w:numId w:val="325"/>
        </w:numPr>
      </w:pPr>
      <w:r>
        <w:t>les classes d’environnement,</w:t>
      </w:r>
    </w:p>
    <w:p w14:paraId="0E91818D" w14:textId="77777777" w:rsidR="00DF410E" w:rsidRDefault="00CE7F43">
      <w:pPr>
        <w:pStyle w:val="Author-eListParagraph"/>
        <w:numPr>
          <w:ilvl w:val="0"/>
          <w:numId w:val="325"/>
        </w:numPr>
      </w:pPr>
      <w:r>
        <w:t>les exigences de résistance au feu,</w:t>
      </w:r>
    </w:p>
    <w:p w14:paraId="7F23A64E" w14:textId="77777777" w:rsidR="00DF410E" w:rsidRDefault="00CE7F43">
      <w:pPr>
        <w:pStyle w:val="Author-eListParagraph"/>
        <w:numPr>
          <w:ilvl w:val="0"/>
          <w:numId w:val="325"/>
        </w:numPr>
      </w:pPr>
      <w:r>
        <w:t>les joints de dilatation, contreventements,…</w:t>
      </w:r>
    </w:p>
    <w:p w14:paraId="15B0055C" w14:textId="77777777" w:rsidR="00DF410E" w:rsidRDefault="00CE7F43">
      <w:pPr>
        <w:pStyle w:val="Author-eListParagraph"/>
        <w:numPr>
          <w:ilvl w:val="0"/>
          <w:numId w:val="325"/>
        </w:numPr>
      </w:pPr>
      <w:r>
        <w:t>les exigences sismiques.</w:t>
      </w:r>
    </w:p>
    <w:p w14:paraId="1CCA5A30" w14:textId="77777777" w:rsidR="00DF410E" w:rsidRDefault="00CE7F43">
      <w:r>
        <w:rPr>
          <w:b/>
        </w:rPr>
        <w:t>CALCULS</w:t>
      </w:r>
    </w:p>
    <w:p w14:paraId="19F2AD05" w14:textId="77777777" w:rsidR="00DF410E" w:rsidRDefault="00CE7F43">
      <w:r>
        <w:t>Les calculs sont effectués selon les directives des Eurocodes (essentiellement [NBN EN 1990], [NBN EN 1992-1-1], [NBN EN 1992-1-2] et ANB, le cas échéant complétées par les impositions des normes produits applicables</w:t>
      </w:r>
    </w:p>
    <w:p w14:paraId="0DE45A88" w14:textId="77777777" w:rsidR="00DF410E" w:rsidRDefault="00CE7F43">
      <w:r>
        <w:t>Les flèches des éléments en béton sous l'action des charges sont limitées conformément à la [NBN B 03-003].</w:t>
      </w:r>
    </w:p>
    <w:p w14:paraId="0C71D259" w14:textId="77777777" w:rsidR="00DF410E" w:rsidRDefault="00CE7F43">
      <w:r>
        <w:t>Les dispositions en vigueur sur le lieu d’utilisation du béton doivent inclure des exigences</w:t>
      </w:r>
      <w:r>
        <w:br/>
        <w:t>sur la base d’une durée d’utilisation prévue au projet présumée d’au moins 50 ans.</w:t>
      </w:r>
    </w:p>
    <w:p w14:paraId="059F69FE" w14:textId="77777777" w:rsidR="00DF410E" w:rsidRDefault="00CE7F43">
      <w:r>
        <w:t>Pour des durées d’utilisation prévues au projet inférieures (par exemple 20 ans) ou supérieures (par exemple 100 ans), des exigences moins strictes ou plus strictes peuvent être nécessaires.</w:t>
      </w:r>
    </w:p>
    <w:p w14:paraId="4FB1D797" w14:textId="77777777" w:rsidR="00DF410E" w:rsidRDefault="00CE7F43">
      <w:r>
        <w:t xml:space="preserve">Durée d’utilisation prévue au projet : </w:t>
      </w:r>
      <w:r>
        <w:rPr>
          <w:rStyle w:val="optioncarChar"/>
        </w:rPr>
        <w:t>20 / 50</w:t>
      </w:r>
      <w:r>
        <w:t xml:space="preserve"> (par défaut) </w:t>
      </w:r>
      <w:r>
        <w:rPr>
          <w:rStyle w:val="optioncarChar"/>
        </w:rPr>
        <w:t>/ 100 / ***</w:t>
      </w:r>
      <w:r>
        <w:t xml:space="preserve"> ans</w:t>
      </w:r>
    </w:p>
    <w:p w14:paraId="74A89D09" w14:textId="77777777" w:rsidR="00DF410E" w:rsidRDefault="00CE7F43">
      <w:r>
        <w:rPr>
          <w:b/>
        </w:rPr>
        <w:t>TOLÉRANCES DIMENSIONNELLES</w:t>
      </w:r>
    </w:p>
    <w:p w14:paraId="039D52AA" w14:textId="77777777" w:rsidR="00DF410E" w:rsidRDefault="00CE7F43">
      <w:r>
        <w:t>Les dimensions standardisées et les tolérances pour les éléments préfabriqués sont établies dans les normes produits spécifiques si pertinent, ou dans la [NBN EN 13369:2023] et la [NBN B 21-600] le cas échéant.</w:t>
      </w:r>
    </w:p>
    <w:p w14:paraId="457908EB" w14:textId="77777777" w:rsidR="00DF410E" w:rsidRDefault="00CE7F43">
      <w:r>
        <w:t>L'enrobage des armatures est détaillé par le bureau d’étude, mais n'est jamais inférieur aux valeurs imposées par [NBN EN 13369:2023] et la [NBN B 21-600]. </w:t>
      </w:r>
    </w:p>
    <w:p w14:paraId="4F57EBF2" w14:textId="77777777" w:rsidR="00DF410E" w:rsidRDefault="00CE7F43">
      <w:r>
        <w:rPr>
          <w:rStyle w:val="headingChar"/>
        </w:rPr>
        <w:t>Prescriptions Complémentaires Des Éléments En Béton Architectonique Préfabriqués</w:t>
      </w:r>
    </w:p>
    <w:p w14:paraId="7B03952D" w14:textId="77777777" w:rsidR="00DF410E" w:rsidRDefault="00CE7F43">
      <w:r>
        <w:t>Les éléments sont fabriqués suivant les prescriptions techniques [PTV 21-601]. Si l’élément est aussi un élément de structure, il doit, pour l’aspect « élément de structure », également être conforme aux normes correspondantes.</w:t>
      </w:r>
    </w:p>
    <w:p w14:paraId="537EDFA0" w14:textId="77777777" w:rsidR="00DF410E" w:rsidRDefault="00CE7F43">
      <w:r>
        <w:rPr>
          <w:b/>
        </w:rPr>
        <w:t>DOCUMENTS PRÉPARATOIRES</w:t>
      </w:r>
    </w:p>
    <w:p w14:paraId="4555D5C4" w14:textId="77777777" w:rsidR="00DF410E" w:rsidRDefault="00CE7F43">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w:t>
      </w:r>
    </w:p>
    <w:p w14:paraId="08F6957A" w14:textId="77777777" w:rsidR="00DF410E" w:rsidRDefault="00CE7F43">
      <w:r>
        <w:rPr>
          <w:b/>
        </w:rPr>
        <w:t>FINITION DE SURFACE</w:t>
      </w:r>
    </w:p>
    <w:p w14:paraId="76D1118E" w14:textId="77777777" w:rsidR="00DF410E" w:rsidRDefault="00CE7F43">
      <w:r>
        <w:t xml:space="preserve">La surface des éléments en béton est </w:t>
      </w:r>
      <w:r>
        <w:rPr>
          <w:rStyle w:val="optioncarChar"/>
        </w:rPr>
        <w:t>brute et lisse </w:t>
      </w:r>
      <w:r>
        <w:t>(par défaut)</w:t>
      </w:r>
      <w:r>
        <w:rPr>
          <w:rStyle w:val="optioncarChar"/>
        </w:rPr>
        <w:t> / brute et finement texturée / brute et grossièrement texturée / brute à relief (ou structurée) / lavée à l’eau / brossée / lavée à l’acide / bouchardée / grenaillée / grésée / polie mat / polie brillant / structurée / incrustée d’autres matériaux / ***</w:t>
      </w:r>
    </w:p>
    <w:p w14:paraId="4D9B632E" w14:textId="77777777" w:rsidR="00DF410E" w:rsidRDefault="00CE7F43">
      <w:r>
        <w:t>Brute de décoffrage : La surface coffrée n’est pas traitée, ce qui fait apparaître uniquement la peau de ciment et pas les granulats indépendamment de la texture produite par le coffrage. Elle peut être lisse ou structurée dans le cas où le béton est coulé dans un coffrage présentant un relief.</w:t>
      </w:r>
    </w:p>
    <w:p w14:paraId="5D38B972" w14:textId="77777777" w:rsidR="00DF410E" w:rsidRDefault="00CE7F43">
      <w:r>
        <w:t>Incrustation d’autres matériaux : Incrustation de céramique, de brique, de pierre naturelle, etc.</w:t>
      </w:r>
    </w:p>
    <w:p w14:paraId="642F2D2B" w14:textId="77777777" w:rsidR="00DF410E" w:rsidRDefault="00CE7F43">
      <w:r>
        <w:rPr>
          <w:b/>
        </w:rPr>
        <w:t>FINITION DE SURFACE POUR LE BÉTON INDUSTRIEL DÉCORATIF</w:t>
      </w:r>
    </w:p>
    <w:p w14:paraId="00E4B3E6" w14:textId="77777777" w:rsidR="00DF410E" w:rsidRDefault="00CE7F43">
      <w:r>
        <w:t>Le type de finition de surface est brut de décoffrage / lavée à l’eau</w:t>
      </w:r>
    </w:p>
    <w:p w14:paraId="60D639E5" w14:textId="77777777" w:rsidR="00DF410E" w:rsidRDefault="00CE7F43">
      <w:r>
        <w:t xml:space="preserve">Lavage à l’eau : voir </w:t>
      </w:r>
      <w:hyperlink w:anchor="484" w:history="1">
        <w:r>
          <w:t>22.71 Traitements esthétiques ou de surface</w:t>
        </w:r>
      </w:hyperlink>
    </w:p>
    <w:p w14:paraId="15780101" w14:textId="77777777" w:rsidR="00DF410E" w:rsidRDefault="00CE7F43">
      <w:r>
        <w:t> </w:t>
      </w:r>
    </w:p>
    <w:p w14:paraId="37CB3724" w14:textId="77777777" w:rsidR="00DF410E" w:rsidRDefault="00CE7F43">
      <w:pPr>
        <w:pStyle w:val="pheading"/>
      </w:pPr>
      <w:r>
        <w:t>EXÉCUTION / MISE EN ŒUVRE</w:t>
      </w:r>
    </w:p>
    <w:p w14:paraId="0A0F2743" w14:textId="77777777" w:rsidR="00DF410E" w:rsidRDefault="00CE7F43">
      <w:r>
        <w:t>L’entrepreneur est responsable de l’ensemble de la coordination en vue de réaliser une exécution parfaite. L’exécution des structures en béton est conforme à la norme [NBN EN 13670] et à son supplément national [NBN B 15-400].</w:t>
      </w:r>
    </w:p>
    <w:p w14:paraId="0261FE40" w14:textId="77777777" w:rsidR="00DF410E" w:rsidRDefault="00CE7F43">
      <w:r>
        <w:rPr>
          <w:rStyle w:val="headingChar"/>
        </w:rPr>
        <w:t>Classes D'exécution</w:t>
      </w:r>
    </w:p>
    <w:p w14:paraId="0463869D" w14:textId="77777777" w:rsidR="00DF410E" w:rsidRDefault="00CE7F43">
      <w:r>
        <w:t>La classe d'exécution est un ensemble d'exigences spécifiant les niveaux de qualité relatifs à l'exécution de l'ouvrage dans son ensemble ou à un élément individuel ou à certains matériaux ou technologies mis en œuvre pour l'exécution. Le choix de la classe d’exécution se base sur la capacité portante, sur la durabilité et/ou le niveau d’exigences esthétiques de la structure.</w:t>
      </w:r>
    </w:p>
    <w:p w14:paraId="792FF2B3" w14:textId="77777777" w:rsidR="00DF410E" w:rsidRDefault="00CE7F43">
      <w:r>
        <w:t>Conformément à la [NBN EN 13670] et la [NBN B 15-400], la classe d'exécution détermine :</w:t>
      </w:r>
    </w:p>
    <w:p w14:paraId="3F7EC0AB" w14:textId="77777777" w:rsidR="00DF410E" w:rsidRDefault="00CE7F43">
      <w:pPr>
        <w:pStyle w:val="Author-eListParagraph"/>
        <w:numPr>
          <w:ilvl w:val="0"/>
          <w:numId w:val="326"/>
        </w:numPr>
      </w:pPr>
      <w:r>
        <w:t>les contrôles des matériaux et des produits,</w:t>
      </w:r>
    </w:p>
    <w:p w14:paraId="7CB23037" w14:textId="77777777" w:rsidR="00DF410E" w:rsidRDefault="00CE7F43">
      <w:pPr>
        <w:pStyle w:val="Author-eListParagraph"/>
        <w:numPr>
          <w:ilvl w:val="0"/>
          <w:numId w:val="326"/>
        </w:numPr>
      </w:pPr>
      <w:r>
        <w:t>les objets de l’inspection de l'exécution et,</w:t>
      </w:r>
    </w:p>
    <w:p w14:paraId="5AF0B4DA" w14:textId="77777777" w:rsidR="00DF410E" w:rsidRDefault="00CE7F43">
      <w:pPr>
        <w:pStyle w:val="Author-eListParagraph"/>
        <w:numPr>
          <w:ilvl w:val="0"/>
          <w:numId w:val="326"/>
        </w:numPr>
      </w:pPr>
      <w:r>
        <w:t>le type et documentation du contrôle</w:t>
      </w:r>
    </w:p>
    <w:p w14:paraId="5F56E73C" w14:textId="77777777" w:rsidR="00DF410E" w:rsidRDefault="00CE7F43">
      <w:r>
        <w:t xml:space="preserve">La </w:t>
      </w:r>
      <w:r>
        <w:rPr>
          <w:rStyle w:val="optioncarChar"/>
        </w:rPr>
        <w:t>classe d'exécution 1</w:t>
      </w:r>
      <w:r>
        <w:t xml:space="preserve"> (par défaut)</w:t>
      </w:r>
      <w:r>
        <w:rPr>
          <w:rStyle w:val="optioncarChar"/>
        </w:rPr>
        <w:t xml:space="preserve"> / classe d'exécution 2 / classe d'exécution 3</w:t>
      </w:r>
      <w:r>
        <w:t xml:space="preserve"> est d'application.</w:t>
      </w:r>
      <w:r>
        <w:br/>
      </w:r>
      <w:r>
        <w:rPr>
          <w:b/>
        </w:rPr>
        <w:t>(soit par défaut)</w:t>
      </w:r>
      <w:r>
        <w:br/>
      </w:r>
      <w:r>
        <w:rPr>
          <w:rStyle w:val="soitChar"/>
          <w:u w:val="single"/>
        </w:rPr>
        <w:t>Classe d'exécution 1</w:t>
      </w:r>
      <w:r>
        <w:rPr>
          <w:rStyle w:val="soitChar"/>
        </w:rPr>
        <w:t xml:space="preserve"> : par défaut pour les maisons unifamiliales et petits bâtiments</w:t>
      </w:r>
      <w:r>
        <w:br/>
      </w:r>
      <w:r>
        <w:rPr>
          <w:b/>
        </w:rPr>
        <w:t>(soit)</w:t>
      </w:r>
      <w:r>
        <w:br/>
      </w:r>
      <w:r>
        <w:rPr>
          <w:rStyle w:val="soitChar"/>
          <w:u w:val="single"/>
        </w:rPr>
        <w:t>Classe d'exécution 2</w:t>
      </w:r>
      <w:r>
        <w:br/>
      </w:r>
      <w:r>
        <w:rPr>
          <w:b/>
        </w:rPr>
        <w:t>(soit)</w:t>
      </w:r>
      <w:r>
        <w:br/>
      </w:r>
      <w:r>
        <w:rPr>
          <w:rStyle w:val="soitChar"/>
          <w:u w:val="single"/>
        </w:rPr>
        <w:t>Classe d'exécution 3</w:t>
      </w:r>
      <w:r>
        <w:br/>
      </w:r>
      <w:r>
        <w:br/>
        <w:t xml:space="preserve"> Pour les éléments en béton précontraint par post-contrainte, la classe d’exécution 2 est d'application conformément à la [NBN B 15-400].</w:t>
      </w:r>
    </w:p>
    <w:p w14:paraId="23F1D30C" w14:textId="77777777" w:rsidR="00DF410E" w:rsidRDefault="00CE7F43">
      <w:r>
        <w:rPr>
          <w:rStyle w:val="headingChar"/>
        </w:rPr>
        <w:t>Tolérances Dimensionnelles</w:t>
      </w:r>
    </w:p>
    <w:p w14:paraId="0F3A3C91" w14:textId="77777777" w:rsidR="00DF410E" w:rsidRDefault="00CE7F43">
      <w:r>
        <w:t xml:space="preserve">Les tolérances dimensionnelles après exécution sont conformes aux normes [NBN EN 13670] et [NBN B 15-400]. Elles correspondent par défaut à la </w:t>
      </w:r>
      <w:r>
        <w:rPr>
          <w:color w:val="FF0000"/>
        </w:rPr>
        <w:t>classe de tolérance 1</w:t>
      </w:r>
      <w:r>
        <w:t xml:space="preserve">. Toute autre classe exigée est spécifiée dans les documents d’adjudication. La </w:t>
      </w:r>
      <w:r>
        <w:rPr>
          <w:color w:val="FF0000"/>
        </w:rPr>
        <w:t>classe de tolérance 2</w:t>
      </w:r>
      <w:r>
        <w:t xml:space="preserve"> peut être requise pour certaines applications (par exemple, béton apparent avec des exigences esthétiques, sol industriel) ou pour permettre la mise en œuvre de certains éléments du parachèvement (mise en œuvre d'enduits, menuiserie).</w:t>
      </w:r>
    </w:p>
    <w:p w14:paraId="48324BE9" w14:textId="77777777" w:rsidR="00DF410E" w:rsidRDefault="00CE7F43">
      <w:r>
        <w:rPr>
          <w:rStyle w:val="headingChar"/>
        </w:rPr>
        <w:t>Béton Prêt À L'emploi Coulé En Place</w:t>
      </w:r>
    </w:p>
    <w:p w14:paraId="4C96FD30" w14:textId="77777777" w:rsidR="00DF410E" w:rsidRDefault="00CE7F43">
      <w:r>
        <w:rPr>
          <w:b/>
        </w:rPr>
        <w:t>COFFRAGES</w:t>
      </w:r>
    </w:p>
    <w:p w14:paraId="577C0895" w14:textId="77777777" w:rsidR="00DF410E" w:rsidRDefault="00CE7F43">
      <w:r>
        <w:t xml:space="preserve">Les coffrages nécessaires sont exécutés conformément aux notes de calcul et aux plans d’exécution, conformément aux prescriptions générales sous l'article </w:t>
      </w:r>
      <w:hyperlink w:anchor="234" w:history="1">
        <w:r>
          <w:t>22.53 Coffrages</w:t>
        </w:r>
      </w:hyperlink>
      <w:r>
        <w:t>, du présent cahier des charges technique et des éventuelles notes d'exécution complémentaires qui figurent dans le cahier spécial des charges.</w:t>
      </w:r>
    </w:p>
    <w:p w14:paraId="4C62166B" w14:textId="77777777" w:rsidR="00DF410E" w:rsidRDefault="00CE7F43">
      <w:r>
        <w:t>• L’entrepreneur respecte strictement les recommandations du cahier des charges en ce qui concerne la pose des membranes d’étanchéité et/ou de l’isolation destinées à prévenir les ponts d’humidité ou thermiques. Lorsque ces recommandations ne sont pas explicitement indiquées dans les documents d’adjudication (voir également notes d'exécution complémentaires), il incombe à l’entrepreneur de s’informer à ce sujet. Avant de commencer les travaux, il informe l’auteur de projet de toutes ses remarques et réflexions.</w:t>
      </w:r>
    </w:p>
    <w:p w14:paraId="6A02DBFD" w14:textId="77777777" w:rsidR="00DF410E" w:rsidRDefault="00CE7F43">
      <w:r>
        <w:t>• Une attention particulière est accordée aux dimensions des éléments, à leurs niveaux et à la flèche, ainsi qu’aux pénétrations pour les conduites, fourreaux, … Avant de couler le béton, tous les dispositifs pour ces réservations ou pénétrations sont mis en place conformément aux indications sur les plans. En aucun cas, on ne peut décaper ou forer des passages dans le béton sans l’approbation préalable de l’auteur de projet ou de l’ingénieur.</w:t>
      </w:r>
    </w:p>
    <w:p w14:paraId="0ABE5FF1" w14:textId="77777777" w:rsidR="00DF410E" w:rsidRDefault="00CE7F43">
      <w:r>
        <w:t>Le dispositif de support auquel la peau de coffrage est fixée, est suffisamment résistant, rigide et stable pour éviter tout mouvement pendant le coulage et le compactage du béton.</w:t>
      </w:r>
    </w:p>
    <w:p w14:paraId="44734AA9" w14:textId="77777777" w:rsidR="00DF410E" w:rsidRDefault="00CE7F43">
      <w:r>
        <w:t>L’entrepreneur réalise ses coffrages en fonction des joints de reprise définis par l’auteur de projet.</w:t>
      </w:r>
    </w:p>
    <w:p w14:paraId="16041262" w14:textId="77777777" w:rsidR="00DF410E" w:rsidRDefault="00CE7F43">
      <w:r>
        <w:t>Toutefois, il peut demander une dérogation en proposant un plan sur lequel les joints de reprise concordent avec les changements de direction ou de ligne dans l'architecture ou en accentuant de faux joints. Au droit de ces joints de reprise, il faut prendre toutes les précautions nécessaires pour que la laitance de béton ne s'écoule pas entre la peau de coffrage et le béton déjà durci.</w:t>
      </w:r>
    </w:p>
    <w:p w14:paraId="3541FD0A" w14:textId="77777777" w:rsidR="00DF410E" w:rsidRDefault="00CE7F43">
      <w:r>
        <w:t>L'enrobage des armatures n'est jamais inférieur aux valeurs imposées par [NBN EN 1992-1-1] et [NBN EN 1992-1-1 ANB]. Par conséquent, la hauteur nominale des écarteurs des armatures correspond à l’enrobage nominal indiqué sur les plans d’armature. Si la réglementation incendie l’impose, les distances à l’axe selon la [NBN EN 1992-1-2] et [NBN EN 1992-1-2 ANB] peuvent conduire à des enrobages supérieurs, .</w:t>
      </w:r>
    </w:p>
    <w:p w14:paraId="3F952E64" w14:textId="77777777" w:rsidR="00DF410E" w:rsidRDefault="00CE7F43">
      <w:r>
        <w:t>La hauteur nominale des écarteurs des armatures correspond à l’enrobage nominal indiqué sur les plans d’armature. L’enrobage nominal est l’enrobage minimal majoré d’une tolérance de 10 mm.</w:t>
      </w:r>
    </w:p>
    <w:p w14:paraId="59219049" w14:textId="77777777" w:rsidR="00DF410E" w:rsidRDefault="00CE7F43">
      <w:r>
        <w:t>Les dispositions en vigueur sur le lieu d’utilisation du béton doivent inclure des exigences sur la base d’une durée d’utilisation prévue au projet présumée d’au moins 50 ans.</w:t>
      </w:r>
    </w:p>
    <w:p w14:paraId="77A9382D" w14:textId="77777777" w:rsidR="00DF410E" w:rsidRDefault="00CE7F43">
      <w:r>
        <w:t>Pour des durées d’utilisation prévues au projet inférieures (par exemple 20 ans) ou supérieures (par exemple 100 ans), des exigences moins strictes ou plus strictes peuvent être nécessaires.</w:t>
      </w:r>
    </w:p>
    <w:p w14:paraId="31DD19A0" w14:textId="77777777" w:rsidR="00DF410E" w:rsidRDefault="00CE7F43">
      <w:r>
        <w:t xml:space="preserve">Durée d’utilisation prévue au projet : </w:t>
      </w:r>
      <w:r>
        <w:rPr>
          <w:rStyle w:val="optioncarChar"/>
        </w:rPr>
        <w:t>20 / 50</w:t>
      </w:r>
      <w:r>
        <w:t xml:space="preserve"> (par défaut) </w:t>
      </w:r>
      <w:r>
        <w:rPr>
          <w:rStyle w:val="optioncarChar"/>
        </w:rPr>
        <w:t>/ 100 / ***</w:t>
      </w:r>
      <w:r>
        <w:t xml:space="preserve"> ans</w:t>
      </w:r>
    </w:p>
    <w:p w14:paraId="0A2CCB99" w14:textId="77777777" w:rsidR="00DF410E" w:rsidRDefault="00CE7F43">
      <w:r>
        <w:rPr>
          <w:b/>
        </w:rPr>
        <w:t>COULAGE ET HOMOGÉNÉITÉ DU BÉTON</w:t>
      </w:r>
    </w:p>
    <w:p w14:paraId="738B5018" w14:textId="77777777" w:rsidR="00DF410E" w:rsidRDefault="00CE7F43">
      <w:r>
        <w:t>• L’ingénieur et l’auteur de projet sont préalablement avertis du coulage du béton avec un préavis suffisant afin de pouvoir contrôler le coffrage, les armatures, l’isolation thermique, l’étanchéité.</w:t>
      </w:r>
    </w:p>
    <w:p w14:paraId="428CACAB" w14:textId="77777777" w:rsidR="00DF410E" w:rsidRDefault="00CE7F43">
      <w:r>
        <w:t>• Un bordereau de livraison est remis au contrôleur de chantier à chaque fourniture de béton sur chantier. Il s'agit d'un document unique qui a suivi le béton depuis le dosage de ses composants jusqu'à et y compris les ajouts et le pompage éventuel sur le chantier.</w:t>
      </w:r>
    </w:p>
    <w:p w14:paraId="29C8F104" w14:textId="77777777" w:rsidR="00DF410E" w:rsidRDefault="00CE7F43">
      <w:r>
        <w:t>Sont toujours mentionnés sur le bordereau :</w:t>
      </w:r>
    </w:p>
    <w:p w14:paraId="1CD2F894" w14:textId="77777777" w:rsidR="00DF410E" w:rsidRDefault="00CE7F43">
      <w:pPr>
        <w:pStyle w:val="Author-eListParagraph"/>
        <w:numPr>
          <w:ilvl w:val="0"/>
          <w:numId w:val="327"/>
        </w:numPr>
      </w:pPr>
      <w:r>
        <w:t>le nom de l’unité de fabrication ;</w:t>
      </w:r>
    </w:p>
    <w:p w14:paraId="6496FC3D" w14:textId="77777777" w:rsidR="00DF410E" w:rsidRDefault="00CE7F43">
      <w:pPr>
        <w:pStyle w:val="Author-eListParagraph"/>
        <w:numPr>
          <w:ilvl w:val="0"/>
          <w:numId w:val="327"/>
        </w:numPr>
      </w:pPr>
      <w:r>
        <w:t>le numéro de série du bon ;</w:t>
      </w:r>
    </w:p>
    <w:p w14:paraId="0F578C07" w14:textId="77777777" w:rsidR="00DF410E" w:rsidRDefault="00CE7F43">
      <w:pPr>
        <w:pStyle w:val="Author-eListParagraph"/>
        <w:numPr>
          <w:ilvl w:val="0"/>
          <w:numId w:val="327"/>
        </w:numPr>
      </w:pPr>
      <w:r>
        <w:t>la date et l’heure de chargement, c’est-à-dire le moment où a eu lieu le premier contact entre le ciment et l’eau (pas écrit à la main) ;</w:t>
      </w:r>
    </w:p>
    <w:p w14:paraId="2CA3902E" w14:textId="77777777" w:rsidR="00DF410E" w:rsidRDefault="00CE7F43">
      <w:pPr>
        <w:pStyle w:val="Author-eListParagraph"/>
        <w:numPr>
          <w:ilvl w:val="0"/>
          <w:numId w:val="327"/>
        </w:numPr>
      </w:pPr>
      <w:r>
        <w:t>le numéro du camion ;</w:t>
      </w:r>
    </w:p>
    <w:p w14:paraId="19DF11ED" w14:textId="77777777" w:rsidR="00DF410E" w:rsidRDefault="00CE7F43">
      <w:pPr>
        <w:pStyle w:val="Author-eListParagraph"/>
        <w:numPr>
          <w:ilvl w:val="0"/>
          <w:numId w:val="327"/>
        </w:numPr>
      </w:pPr>
      <w:r>
        <w:t>le nom de l’acheteur, le nom et la localisation du chantier ;</w:t>
      </w:r>
    </w:p>
    <w:p w14:paraId="1DBF6314" w14:textId="77777777" w:rsidR="00DF410E" w:rsidRDefault="00CE7F43">
      <w:pPr>
        <w:pStyle w:val="Author-eListParagraph"/>
        <w:numPr>
          <w:ilvl w:val="0"/>
          <w:numId w:val="327"/>
        </w:numPr>
      </w:pPr>
      <w:r>
        <w:t>les références ou les détails relatifs aux spécifications, par exemple numéro de code, numéro de commande ;</w:t>
      </w:r>
    </w:p>
    <w:p w14:paraId="5248AFA9" w14:textId="77777777" w:rsidR="00DF410E" w:rsidRDefault="00CE7F43">
      <w:pPr>
        <w:pStyle w:val="Author-eListParagraph"/>
        <w:numPr>
          <w:ilvl w:val="0"/>
          <w:numId w:val="327"/>
        </w:numPr>
      </w:pPr>
      <w:r>
        <w:t>la quantité de béton, en m³ ;</w:t>
      </w:r>
    </w:p>
    <w:p w14:paraId="4987C57A" w14:textId="77777777" w:rsidR="00DF410E" w:rsidRDefault="00CE7F43">
      <w:pPr>
        <w:pStyle w:val="Author-eListParagraph"/>
        <w:numPr>
          <w:ilvl w:val="0"/>
          <w:numId w:val="327"/>
        </w:numPr>
      </w:pPr>
      <w:r>
        <w:t>la déclaration de conformité avec référence aux spécifications de la Norme [NBN EN 206:2013+A2] et [NBN B 15-001];</w:t>
      </w:r>
    </w:p>
    <w:p w14:paraId="78AFC66A" w14:textId="77777777" w:rsidR="00DF410E" w:rsidRDefault="00CE7F43">
      <w:pPr>
        <w:pStyle w:val="Author-eListParagraph"/>
        <w:numPr>
          <w:ilvl w:val="0"/>
          <w:numId w:val="327"/>
        </w:numPr>
      </w:pPr>
      <w:r>
        <w:t>le nom ou logo de l’organisme de certification, le cas échéant ;</w:t>
      </w:r>
    </w:p>
    <w:p w14:paraId="0A5BBC55" w14:textId="77777777" w:rsidR="00DF410E" w:rsidRDefault="00CE7F43">
      <w:pPr>
        <w:pStyle w:val="Author-eListParagraph"/>
        <w:numPr>
          <w:ilvl w:val="0"/>
          <w:numId w:val="327"/>
        </w:numPr>
      </w:pPr>
      <w:r>
        <w:t>l’heure d’arrivée du béton sur le chantier ;</w:t>
      </w:r>
    </w:p>
    <w:p w14:paraId="7C54CB0A" w14:textId="77777777" w:rsidR="00DF410E" w:rsidRDefault="00CE7F43">
      <w:pPr>
        <w:pStyle w:val="Author-eListParagraph"/>
        <w:numPr>
          <w:ilvl w:val="0"/>
          <w:numId w:val="327"/>
        </w:numPr>
      </w:pPr>
      <w:r>
        <w:t>l’heure de début et de fin du déchargement ;</w:t>
      </w:r>
    </w:p>
    <w:p w14:paraId="5BFE2762" w14:textId="77777777" w:rsidR="00DF410E" w:rsidRDefault="00CE7F43">
      <w:r>
        <w:br/>
        <w:t>Sont mentionnés dans le cas d’un béton à performances spécifiées :</w:t>
      </w:r>
    </w:p>
    <w:p w14:paraId="4039B20B" w14:textId="77777777" w:rsidR="00DF410E" w:rsidRDefault="00CE7F43">
      <w:pPr>
        <w:pStyle w:val="Author-eListParagraph"/>
        <w:numPr>
          <w:ilvl w:val="0"/>
          <w:numId w:val="328"/>
        </w:numPr>
      </w:pPr>
      <w:r>
        <w:t>la classe de résistance ;</w:t>
      </w:r>
    </w:p>
    <w:p w14:paraId="007028DE" w14:textId="77777777" w:rsidR="00DF410E" w:rsidRDefault="00CE7F43">
      <w:pPr>
        <w:pStyle w:val="Author-eListParagraph"/>
        <w:numPr>
          <w:ilvl w:val="0"/>
          <w:numId w:val="328"/>
        </w:numPr>
      </w:pPr>
      <w:r>
        <w:t>la classe d’environnement;</w:t>
      </w:r>
    </w:p>
    <w:p w14:paraId="69DC6A18" w14:textId="77777777" w:rsidR="00DF410E" w:rsidRDefault="00CE7F43">
      <w:pPr>
        <w:pStyle w:val="Author-eListParagraph"/>
        <w:numPr>
          <w:ilvl w:val="0"/>
          <w:numId w:val="328"/>
        </w:numPr>
      </w:pPr>
      <w:r>
        <w:t>la classe de teneur en chlorures ;</w:t>
      </w:r>
    </w:p>
    <w:p w14:paraId="47DF0352" w14:textId="77777777" w:rsidR="00DF410E" w:rsidRDefault="00CE7F43">
      <w:pPr>
        <w:pStyle w:val="Author-eListParagraph"/>
        <w:numPr>
          <w:ilvl w:val="0"/>
          <w:numId w:val="328"/>
        </w:numPr>
      </w:pPr>
      <w:r>
        <w:t>la classe de consistance ou d’étalement;</w:t>
      </w:r>
    </w:p>
    <w:p w14:paraId="518F359B" w14:textId="77777777" w:rsidR="00DF410E" w:rsidRDefault="00CE7F43">
      <w:pPr>
        <w:pStyle w:val="Author-eListParagraph"/>
        <w:numPr>
          <w:ilvl w:val="0"/>
          <w:numId w:val="328"/>
        </w:numPr>
      </w:pPr>
      <w:r>
        <w:t>Dmax ;</w:t>
      </w:r>
    </w:p>
    <w:p w14:paraId="7E086CD2" w14:textId="77777777" w:rsidR="00DF410E" w:rsidRDefault="00CE7F43">
      <w:pPr>
        <w:pStyle w:val="Author-eListParagraph"/>
        <w:numPr>
          <w:ilvl w:val="0"/>
          <w:numId w:val="328"/>
        </w:numPr>
      </w:pPr>
      <w:r>
        <w:t>le type, la classe et les propriétés particulières (LA, HSR,…) du ciment utilisé;</w:t>
      </w:r>
    </w:p>
    <w:p w14:paraId="2443BB9D" w14:textId="77777777" w:rsidR="00DF410E" w:rsidRDefault="00CE7F43">
      <w:pPr>
        <w:pStyle w:val="Author-eListParagraph"/>
        <w:numPr>
          <w:ilvl w:val="0"/>
          <w:numId w:val="328"/>
        </w:numPr>
      </w:pPr>
      <w:r>
        <w:t>le type d'adjuvants et d'additions utilisés;</w:t>
      </w:r>
    </w:p>
    <w:p w14:paraId="55812B4F" w14:textId="77777777" w:rsidR="00DF410E" w:rsidRDefault="00CE7F43">
      <w:pPr>
        <w:pStyle w:val="Author-eListParagraph"/>
        <w:numPr>
          <w:ilvl w:val="0"/>
          <w:numId w:val="328"/>
        </w:numPr>
      </w:pPr>
      <w:r>
        <w:t>la classe d’absorption d’eau lorsque celle-ci est exigée ;</w:t>
      </w:r>
    </w:p>
    <w:p w14:paraId="57675528" w14:textId="77777777" w:rsidR="00DF410E" w:rsidRDefault="00CE7F43">
      <w:pPr>
        <w:pStyle w:val="Author-eListParagraph"/>
        <w:numPr>
          <w:ilvl w:val="0"/>
          <w:numId w:val="328"/>
        </w:numPr>
      </w:pPr>
      <w:r>
        <w:t>le délai d'ouvrabilité garanti (délai de mise en œuvre).</w:t>
      </w:r>
    </w:p>
    <w:p w14:paraId="323AC91B" w14:textId="77777777" w:rsidR="00DF410E" w:rsidRDefault="00CE7F43">
      <w:r>
        <w:br/>
        <w:t>Autres mentions le cas échéant :</w:t>
      </w:r>
    </w:p>
    <w:p w14:paraId="1441E807" w14:textId="77777777" w:rsidR="00DF410E" w:rsidRDefault="00CE7F43">
      <w:pPr>
        <w:pStyle w:val="Author-eListParagraph"/>
        <w:numPr>
          <w:ilvl w:val="0"/>
          <w:numId w:val="329"/>
        </w:numPr>
      </w:pPr>
      <w:r>
        <w:t>le rapport E/C si celui-ci est imposé inférieur à la valeur prescrite par la classe d'environnement ;</w:t>
      </w:r>
    </w:p>
    <w:p w14:paraId="3F6F1881" w14:textId="77777777" w:rsidR="00DF410E" w:rsidRDefault="00CE7F43">
      <w:pPr>
        <w:pStyle w:val="Author-eListParagraph"/>
        <w:numPr>
          <w:ilvl w:val="0"/>
          <w:numId w:val="329"/>
        </w:numPr>
      </w:pPr>
      <w:r>
        <w:t>la viscosité apparente et la résistance à la ségrégation en cas de béton autoplaçant ;</w:t>
      </w:r>
    </w:p>
    <w:p w14:paraId="240BDD0A" w14:textId="77777777" w:rsidR="00DF410E" w:rsidRDefault="00CE7F43">
      <w:pPr>
        <w:pStyle w:val="Author-eListParagraph"/>
        <w:numPr>
          <w:ilvl w:val="0"/>
          <w:numId w:val="329"/>
        </w:numPr>
      </w:pPr>
      <w:r>
        <w:t>le type et la teneur en fibres ou la classe de performance du béton renforcé par des fibres en cas de béton fibré ;</w:t>
      </w:r>
    </w:p>
    <w:p w14:paraId="762B89BE" w14:textId="77777777" w:rsidR="00DF410E" w:rsidRDefault="00CE7F43">
      <w:pPr>
        <w:pStyle w:val="Author-eListParagraph"/>
        <w:numPr>
          <w:ilvl w:val="0"/>
          <w:numId w:val="329"/>
        </w:numPr>
      </w:pPr>
      <w:r>
        <w:t>la classe de masse volumique dans le cas de bétons légers ou lourds ;</w:t>
      </w:r>
    </w:p>
    <w:p w14:paraId="7F50384E" w14:textId="77777777" w:rsidR="00DF410E" w:rsidRDefault="00CE7F43">
      <w:pPr>
        <w:pStyle w:val="Author-eListParagraph"/>
        <w:numPr>
          <w:ilvl w:val="0"/>
          <w:numId w:val="329"/>
        </w:numPr>
      </w:pPr>
      <w:r>
        <w:t>d’autres propriétés particulières, si elles sont prescrites ;</w:t>
      </w:r>
    </w:p>
    <w:p w14:paraId="438CF2F6" w14:textId="77777777" w:rsidR="00DF410E" w:rsidRDefault="00CE7F43">
      <w:r>
        <w:br/>
        <w:t>• Dans le cas où la livraison de béton est couverte par une certification volontaire, le bordereau de livraison est barré dans les cas suivants :</w:t>
      </w:r>
    </w:p>
    <w:p w14:paraId="11518D21" w14:textId="77777777" w:rsidR="00DF410E" w:rsidRDefault="00CE7F43">
      <w:pPr>
        <w:pStyle w:val="Author-eListParagraph"/>
        <w:numPr>
          <w:ilvl w:val="0"/>
          <w:numId w:val="330"/>
        </w:numPr>
      </w:pPr>
      <w:r>
        <w:t>Délai de mise en œuvre dépassé</w:t>
      </w:r>
    </w:p>
    <w:p w14:paraId="009FE297" w14:textId="77777777" w:rsidR="00DF410E" w:rsidRDefault="00CE7F43">
      <w:pPr>
        <w:pStyle w:val="Author-eListParagraph"/>
        <w:numPr>
          <w:ilvl w:val="0"/>
          <w:numId w:val="330"/>
        </w:numPr>
      </w:pPr>
      <w:r>
        <w:t>Ajout d’eau ou d’adjuvants dans le mixer non prévu</w:t>
      </w:r>
    </w:p>
    <w:p w14:paraId="10C465CB" w14:textId="77777777" w:rsidR="00DF410E" w:rsidRDefault="00CE7F43">
      <w:r>
        <w:t>• Le béton est déversé endéans le délai garanti mentionné sur les bordereaux de livraison ; le délai court à partir du premier contact entre l’eau et le ciment. Le béton qui n’est pas déversé endéans le délai garanti ne peut plus être utilisé.</w:t>
      </w:r>
    </w:p>
    <w:p w14:paraId="5981D34B" w14:textId="77777777" w:rsidR="00DF410E" w:rsidRDefault="00CE7F43">
      <w:r>
        <w:t>• Lorsque la hauteur de chute est supérieure à 1 mètre, l’entrepreneur utilise des accessoires tels que goulottes, manchon en caoutchouc (cufas, pompes à béton, …)</w:t>
      </w:r>
    </w:p>
    <w:p w14:paraId="6493D293" w14:textId="77777777" w:rsidR="00DF410E" w:rsidRDefault="00CE7F43">
      <w:r>
        <w:t>• Le coulage du béton à l’aide d’une pompe à béton pneumatique fait l’objet d’une autorisation préalable. Si, du fait de l’utilisation d’une pompe, l’entrepreneur adapte la composition de béton, il le fait dans le respect du Cahier des Charges et sans frais supplémentaire.</w:t>
      </w:r>
    </w:p>
    <w:p w14:paraId="16025055" w14:textId="77777777" w:rsidR="00DF410E" w:rsidRDefault="00CE7F43">
      <w:r>
        <w:rPr>
          <w:b/>
        </w:rPr>
        <w:t>COMPACTAGE - SERRAGE</w:t>
      </w:r>
    </w:p>
    <w:p w14:paraId="71D09B2D" w14:textId="77777777" w:rsidR="00DF410E" w:rsidRDefault="00CE7F43">
      <w:r>
        <w:t>• Les mesures nécessaires doivent être prises pour que le béton reste homogène pendant le compactage et que l'air occlus en soit évacué.</w:t>
      </w:r>
    </w:p>
    <w:p w14:paraId="6ADE066E" w14:textId="77777777" w:rsidR="00DF410E" w:rsidRDefault="00CE7F43">
      <w:r>
        <w:t>• Lorsqu’il n’est pas utilisé de béton autoplaçant, le compactage est effectué par vibration à l’aide d’aiguilles vibrantes, de vibrateur de coffrage, (tables à secousses) ou de vibrateurs de surface. L’attention de l’entrepreneur est attirée sur le fait qu’un temps de vibration trop long risque de provoquer la ségrégation du béton, qui se manifeste par une remontée exagérée de lait de ciment et d’eau à la surface. L’aiguille vibrante peut être introduite rapidement dans le béton mais doit en être retirée progressivement. Les vibrations ne peuvent pas s’effectuer contre le coffrage ou les armatures et d’autant moins contre les pièces longues où les vibrations risquent d’être transmises au béton dont la phase de prise est déjà commencée.</w:t>
      </w:r>
    </w:p>
    <w:p w14:paraId="62A9982E" w14:textId="77777777" w:rsidR="00DF410E" w:rsidRDefault="00CE7F43">
      <w:r>
        <w:t>• L’entrepreneur veille à toujours avoir une aiguille vibrante en réserve sur chantier. En effet, car une panne ne peut en aucun cas être invoquée pour ne pas compacter le béton.</w:t>
      </w:r>
    </w:p>
    <w:p w14:paraId="1F3FFE0C" w14:textId="77777777" w:rsidR="00DF410E" w:rsidRDefault="00CE7F43">
      <w:r>
        <w:t>• Le coulage du béton est interdit par temps de pluie, de neige abondante ou de gel.</w:t>
      </w:r>
    </w:p>
    <w:p w14:paraId="7501C3F6" w14:textId="77777777" w:rsidR="00DF410E" w:rsidRDefault="00CE7F43">
      <w:r>
        <w:rPr>
          <w:b/>
        </w:rPr>
        <w:t>JOINTS DE REPRISE</w:t>
      </w:r>
    </w:p>
    <w:p w14:paraId="5FC797A5" w14:textId="77777777" w:rsidR="00DF410E" w:rsidRDefault="00CE7F43">
      <w:r>
        <w:t>Pour les coulages consécutifs d’éléments en béton, il y a lieu de prendre les précautions suivantes :</w:t>
      </w:r>
    </w:p>
    <w:p w14:paraId="071188B6" w14:textId="77777777" w:rsidR="00DF410E" w:rsidRDefault="00CE7F43">
      <w:r>
        <w:t>• Les joints de reprise sont limités au minimum et doivent être prévus aux endroits les moins nuisibles au niveau de la résistance et de l’aspect final de l’ouvrage de construction ; dans la mesure du possible, ils sont prévus dans les zones comprimées.</w:t>
      </w:r>
    </w:p>
    <w:p w14:paraId="46B65395" w14:textId="77777777" w:rsidR="00DF410E" w:rsidRDefault="00CE7F43">
      <w:r>
        <w:t>• Les règles de la [NBN EN 13670] et la [NBN B 15-400] sont respectées.</w:t>
      </w:r>
    </w:p>
    <w:p w14:paraId="5BB14E13" w14:textId="77777777" w:rsidR="00DF410E" w:rsidRDefault="00CE7F43">
      <w:r>
        <w:rPr>
          <w:b/>
        </w:rPr>
        <w:t>PROTECTION – HUMIDIFICATION</w:t>
      </w:r>
    </w:p>
    <w:p w14:paraId="3C0D0BAA" w14:textId="77777777" w:rsidR="00DF410E" w:rsidRDefault="00CE7F43">
      <w:r>
        <w:t xml:space="preserve">• L’entrepreneur prend toutes les précautions nécessaires pour que le béton fraîchement coulé puisse durcir dans les meilleures conditions. Le béton fraîchement coulé est protégé contre la dessiccation par un moyen de cure (maintien du coffrage, pulvérisation d’eau, film plastique, produit de cure, ..) afin de prévenir la formation de fissures de retrait. Les produits de cure correspondent aux prescriptions de l’article </w:t>
      </w:r>
      <w:hyperlink w:anchor="544" w:history="1">
        <w:r>
          <w:t>22.72 Produits de cure et adjuvants</w:t>
        </w:r>
      </w:hyperlink>
      <w:r>
        <w:t>. La norme [NBN B 15-400] précise entre autres les délais de cure du béton.</w:t>
      </w:r>
    </w:p>
    <w:p w14:paraId="5B854DA6" w14:textId="77777777" w:rsidR="00DF410E" w:rsidRDefault="00CE7F43">
      <w:r>
        <w:t>• Le béton fraîchement mis en œuvre est dûment protégé contre l’affouillement suite à de grosses averses, contre les dégâts que peut provoquer la grêle et, s’il y a lieu, contre la poussière nuisible provenant des usines. Les ouvrages fraîchement bétonnés, et surtout les éléments de faible épaisseur, doivent être protégés (froid, vent, pluie, …) à l’aide de moyens appropriés.</w:t>
      </w:r>
    </w:p>
    <w:p w14:paraId="2400D1CB" w14:textId="77777777" w:rsidR="00DF410E" w:rsidRDefault="00CE7F43">
      <w:r>
        <w:t>• Les normes [NBN EN 13670] et [NBN B 15-400] donnent les précautions minimales à prendre en cas de gel ou temps froid. La protection contre le gel peut être prise en compte au moyen des critères de maturité du béton. La température à la surface du béton ne peut descendre au-dessous de 0 °C tant que le béton superficiel n'a pas atteint une résistance lui permettant de résister au gel (on considère pour cela que la résistance à la compression est supérieure à 5 N/mm²). En pratique, la température de la surface la plus exposée du béton est d'au moins + 5 °C pendant les 72 heures qui suivent la mise en place. On peut déroger à ce principe et adopter des délais plus courts mais seulement après des essais préalables. Voir norme [NBN B 15-400].</w:t>
      </w:r>
    </w:p>
    <w:p w14:paraId="4E7D0F38" w14:textId="77777777" w:rsidR="00DF410E" w:rsidRDefault="00CE7F43">
      <w:r>
        <w:t>• L’entrepreneur empêche que le béton fraîchement mis en œuvre soit foulé et/ou que des matériaux y soient entreposés.</w:t>
      </w:r>
    </w:p>
    <w:p w14:paraId="2EBDB335" w14:textId="77777777" w:rsidR="00DF410E" w:rsidRDefault="00CE7F43">
      <w:r>
        <w:rPr>
          <w:b/>
        </w:rPr>
        <w:t>DÉCOFFRAGE</w:t>
      </w:r>
    </w:p>
    <w:p w14:paraId="3E90C641" w14:textId="77777777" w:rsidR="00DF410E" w:rsidRDefault="00CE7F43">
      <w:r>
        <w:t>• Le décoffrage s’effectue sans à-coups et uniquement sous l’effet des forces statiques exercées lentement et progressivement. Il ne peut provoquer de tensions défavorables ou nuisibles dans les ouvrages déjà effectués.</w:t>
      </w:r>
    </w:p>
    <w:p w14:paraId="531288D3" w14:textId="77777777" w:rsidR="00DF410E" w:rsidRDefault="00CE7F43">
      <w:r>
        <w:t>• Le décoffrage ne s’effectue pas avant que le béton n’ait atteint une résistance suffisante et ne soit suffisamment durci. Les délais de décoffrage doivent être calculés en fonction du niveau de charge appliqué au cours des travaux, des déformations induites et de la résistance effective du béton (estimée notamment par des essais sur cubes). En l’absence de données détaillées, les valeurs minimales de délais de décoffrage sont reprises dans la [NBN B 15-400], tenant compte de l’évolution de la résistance du béton.</w:t>
      </w:r>
    </w:p>
    <w:p w14:paraId="0917DEFF" w14:textId="77777777" w:rsidR="00DF410E" w:rsidRDefault="00CE7F43">
      <w:r>
        <w:t>• Pour effectuer un décoffrage précoce, l’entrepreneur peut, à ses frais, risques et périls, utiliser une composition de béton adaptée (ciment à durcissement rapide, accélérateur de prise non chloré, …). Cette modification est préalablement soumise à l’approbation de la Direction de Chantier.</w:t>
      </w:r>
    </w:p>
    <w:p w14:paraId="73D29607" w14:textId="77777777" w:rsidR="00DF410E" w:rsidRDefault="00CE7F43">
      <w:r>
        <w:t>• Toutes les bavures et les restes de béton sont enlevés et les bords sont libérés. Plus aucune trace de lait de ciment, de restes ou de salissures ne peut être visible.</w:t>
      </w:r>
    </w:p>
    <w:p w14:paraId="70D28FFD" w14:textId="77777777" w:rsidR="00DF410E" w:rsidRDefault="00CE7F43">
      <w:r>
        <w:t>Remarque :</w:t>
      </w:r>
      <w:r>
        <w:br/>
        <w:t>Lorsqu’un programme de décoffrage particulier est imposé, l’auteur de projet en avertit l’entrepreneur en temps utile.</w:t>
      </w:r>
    </w:p>
    <w:p w14:paraId="58EACA14" w14:textId="77777777" w:rsidR="00DF410E" w:rsidRDefault="00CE7F43">
      <w:r>
        <w:t>Interventions ultérieures</w:t>
      </w:r>
      <w:r>
        <w:br/>
        <w:t>Aucun percement ne peut être réalisé dans les éléments en béton, ni par forage ni par décapage, sans l’approbation préalable de l’auteur de projet ou de l’ingénieur.</w:t>
      </w:r>
    </w:p>
    <w:p w14:paraId="42575422" w14:textId="77777777" w:rsidR="00DF410E" w:rsidRDefault="00CE7F43">
      <w:r>
        <w:rPr>
          <w:rStyle w:val="headingChar"/>
        </w:rPr>
        <w:t>Prescriptions Complémentaires Pour L’Exécution Et La Mise En Œuvre Du Béton Apparent Avec Des Exigences Esthétiques Coulé En Place</w:t>
      </w:r>
    </w:p>
    <w:p w14:paraId="2B43614A" w14:textId="77777777" w:rsidR="00DF410E" w:rsidRDefault="00CE7F43">
      <w:r>
        <w:t>• L’entrepreneur respecte les choix de l’auteur de projet en ce qui concerne les coffrages, entre autres pour les matériaux, la texture, la disposition des plaques, le dimensionnement des lattes périphériques, les joints de reprise, les écarteurs, les produits autorisés, …</w:t>
      </w:r>
    </w:p>
    <w:p w14:paraId="52F80B8E" w14:textId="77777777" w:rsidR="00DF410E" w:rsidRDefault="00CE7F43">
      <w:r>
        <w:t>• Au début du projet de construction, après concertation approfondie sur les objectifs esthétiques recherchés, un maximum de 5 échantillons d’une surface représentative supérieure à 1 m² sont réalisés successivement sans frais supplémentaires et sont soumis pour approbation. L’échantillon approuvé est protégé et sert de référence pendant toute la durée de la construction.</w:t>
      </w:r>
    </w:p>
    <w:p w14:paraId="10E01EDB" w14:textId="77777777" w:rsidR="00DF410E" w:rsidRDefault="00CE7F43">
      <w:r>
        <w:t>• Pour que l’entrepreneur puisse tester sa méthode d’exécution, une coulée d’essai est exécutée en vraie grandeur selon les spécifications prescrites et les points d’attention convenus ; un protocole est rédigé à l’issue de celle-ci.</w:t>
      </w:r>
    </w:p>
    <w:p w14:paraId="010C69FD" w14:textId="77777777" w:rsidR="00DF410E" w:rsidRDefault="00CE7F43">
      <w:r>
        <w:t>• Pour les bétons apparents avec des exigences esthétiques, les écarteurs des armatures contre le coffrage sont du type quasi invisible à la surface du béton. L'entrepreneur apporte un soin particulier au nettoyage de la peau de coffrage et du fond de coffrage; avant le coulage du béton, les restes de ligatures, clous et autres impuretés sont soigneusement éliminés par rinçage, aspirateur et/ou au compresseur à air. Les produits de décoffrage ne doivent pas compromettre l’aspect esthétique du béton.</w:t>
      </w:r>
    </w:p>
    <w:p w14:paraId="544ACBC0" w14:textId="77777777" w:rsidR="00DF410E" w:rsidRDefault="00CE7F43">
      <w:r>
        <w:t>• Dans le cas où les façades subissent une protection de surface à long terme, les produits de protection ne nuisent pas à l’aspect esthétique des éléments. Ils sont résistants aux UV et adaptés à la composition et à la finition du béton. Leurs instructions d’utilisation et d’entretien doivent être remises au maître d’ouvrage. Les produits de protection de surface sont appliqués systématiquement sur toutes les surfaces apparentes avec des exigences esthétiques qui doivent être nettoyées au préalable. L’application se fait conformément à la fiche technique du produit.</w:t>
      </w:r>
    </w:p>
    <w:p w14:paraId="54777179" w14:textId="77777777" w:rsidR="00DF410E" w:rsidRDefault="00CE7F43">
      <w:r>
        <w:rPr>
          <w:b/>
        </w:rPr>
        <w:t>FINITION DE SURFACE</w:t>
      </w:r>
    </w:p>
    <w:p w14:paraId="05490368" w14:textId="77777777" w:rsidR="00DF410E" w:rsidRDefault="00CE7F43">
      <w:r>
        <w:t>Le béton apparent est de type ZBA/1 // ZBA/2 // ZBA/3 // ZBA/4 // ZBA/5 // ZBA/6</w:t>
      </w:r>
    </w:p>
    <w:p w14:paraId="5D145517" w14:textId="77777777" w:rsidR="00DF410E" w:rsidRDefault="00CE7F43">
      <w:pPr>
        <w:pStyle w:val="Author-eListParagraph"/>
        <w:numPr>
          <w:ilvl w:val="0"/>
          <w:numId w:val="331"/>
        </w:numPr>
      </w:pPr>
      <w:r>
        <w:t>Le béton apparent de type ZBA/1 a une surface coffrée, brute et lisse. La texture se limite à la variation géométrique causée par les joints, l'empreinte du cadre, etc. ;</w:t>
      </w:r>
    </w:p>
    <w:p w14:paraId="701148EA" w14:textId="77777777" w:rsidR="00DF410E" w:rsidRDefault="00CE7F43">
      <w:pPr>
        <w:pStyle w:val="Author-eListParagraph"/>
        <w:numPr>
          <w:ilvl w:val="0"/>
          <w:numId w:val="331"/>
        </w:numPr>
      </w:pPr>
      <w:r>
        <w:t>Le béton apparent de type ZBA/2 a une surface coffrée, brute et finement texturée, générée par exemple par l'empreinte du grain fin de la peau de coffrage ou l’empreinte d’une nappe de coffrage à perméabilité contrôlée (CPF-liner) ;</w:t>
      </w:r>
    </w:p>
    <w:p w14:paraId="622738FC" w14:textId="77777777" w:rsidR="00DF410E" w:rsidRDefault="00CE7F43">
      <w:pPr>
        <w:pStyle w:val="Author-eListParagraph"/>
        <w:numPr>
          <w:ilvl w:val="0"/>
          <w:numId w:val="331"/>
        </w:numPr>
      </w:pPr>
      <w:r>
        <w:t>Le béton apparent de type ZBA/3 a une surface coffrée, brute et grossièrement texturée (générée par exemple par l'empreinte du grain grossier de la peau de coffrage) ou à relief (générée par exemple par une matrice structurée ou les nervures des planches de coffrage) ;</w:t>
      </w:r>
    </w:p>
    <w:p w14:paraId="15C1FEAE" w14:textId="77777777" w:rsidR="00DF410E" w:rsidRDefault="00CE7F43">
      <w:pPr>
        <w:pStyle w:val="Author-eListParagraph"/>
        <w:numPr>
          <w:ilvl w:val="0"/>
          <w:numId w:val="331"/>
        </w:numPr>
      </w:pPr>
      <w:r>
        <w:t>Le béton apparent de type ZBA/4 a une surface coffrée, traitée et lisse ou finement structurée ;</w:t>
      </w:r>
    </w:p>
    <w:p w14:paraId="4E54189A" w14:textId="77777777" w:rsidR="00DF410E" w:rsidRDefault="00CE7F43">
      <w:pPr>
        <w:pStyle w:val="Author-eListParagraph"/>
        <w:numPr>
          <w:ilvl w:val="0"/>
          <w:numId w:val="331"/>
        </w:numPr>
      </w:pPr>
      <w:r>
        <w:t>Le béton apparent de type ZBA/5 a une surface coffrée, traitée et grossièrement texturée ou à relief ;</w:t>
      </w:r>
    </w:p>
    <w:p w14:paraId="0B40990D" w14:textId="77777777" w:rsidR="00DF410E" w:rsidRDefault="00CE7F43">
      <w:pPr>
        <w:pStyle w:val="Author-eListParagraph"/>
        <w:numPr>
          <w:ilvl w:val="0"/>
          <w:numId w:val="331"/>
        </w:numPr>
      </w:pPr>
      <w:r>
        <w:t>Le béton apparent de type ZBA/6 a une surface non coffrée et traitée.</w:t>
      </w:r>
    </w:p>
    <w:p w14:paraId="483C37AD" w14:textId="77777777" w:rsidR="00DF410E" w:rsidRDefault="00CE7F43">
      <w:r>
        <w:t xml:space="preserve">Les bétons apparents des trois derniers types reçoivent un des traitements suivants : lavage à l’eau, brossage, bouchardage, grenaillage, grésage, polissage mat ou polissage brillant, comme décrit en </w:t>
      </w:r>
      <w:hyperlink w:anchor="484" w:history="1">
        <w:r>
          <w:t>22.71 Traitements esthétiques ou de surface</w:t>
        </w:r>
      </w:hyperlink>
      <w:r>
        <w:t>.</w:t>
      </w:r>
    </w:p>
    <w:p w14:paraId="4930CB47" w14:textId="77777777" w:rsidR="00DF410E" w:rsidRDefault="00CE7F43">
      <w:r>
        <w:t>La classe de finition définie suivant la [NBN B 15-007] est la combinaison des caractéristiques suivantes :</w:t>
      </w:r>
    </w:p>
    <w:p w14:paraId="6FF33E0E" w14:textId="77777777" w:rsidR="00DF410E" w:rsidRDefault="00CE7F43">
      <w:pPr>
        <w:pStyle w:val="Author-eListParagraph"/>
        <w:numPr>
          <w:ilvl w:val="0"/>
          <w:numId w:val="332"/>
        </w:numPr>
      </w:pPr>
      <w:r>
        <w:t>La texture : T1 / T2 / T3</w:t>
      </w:r>
    </w:p>
    <w:p w14:paraId="61A08211" w14:textId="77777777" w:rsidR="00DF410E" w:rsidRDefault="00CE7F43">
      <w:pPr>
        <w:pStyle w:val="Author-eListParagraph"/>
        <w:numPr>
          <w:ilvl w:val="0"/>
          <w:numId w:val="332"/>
        </w:numPr>
      </w:pPr>
      <w:r>
        <w:t>Le bullage : LBA1 / LBA2 / LBA3</w:t>
      </w:r>
    </w:p>
    <w:p w14:paraId="65AA9E11" w14:textId="77777777" w:rsidR="00DF410E" w:rsidRDefault="00CE7F43">
      <w:pPr>
        <w:pStyle w:val="Author-eListParagraph"/>
        <w:numPr>
          <w:ilvl w:val="0"/>
          <w:numId w:val="332"/>
        </w:numPr>
      </w:pPr>
      <w:r>
        <w:t>L’homogénéité de teinte : HT1 / HT2 / HT3</w:t>
      </w:r>
    </w:p>
    <w:p w14:paraId="5D7ECE7C" w14:textId="77777777" w:rsidR="00DF410E" w:rsidRDefault="00CE7F43">
      <w:pPr>
        <w:pStyle w:val="Author-eListParagraph"/>
        <w:numPr>
          <w:ilvl w:val="0"/>
          <w:numId w:val="332"/>
        </w:numPr>
      </w:pPr>
      <w:r>
        <w:t>La tolérance de forme : VF1 / VF2 / VF3</w:t>
      </w:r>
    </w:p>
    <w:p w14:paraId="64C462DB" w14:textId="77777777" w:rsidR="00DF410E" w:rsidRDefault="00CE7F43">
      <w:r>
        <w:t>Plus le numéro de la classe pour une caractéristique est élevé, plus les exigences sont sévères pour cette classe.</w:t>
      </w:r>
    </w:p>
    <w:p w14:paraId="5D115668" w14:textId="77777777" w:rsidR="00DF410E" w:rsidRDefault="00CE7F43">
      <w:r>
        <w:t>Lorsque le numéro de la classe est le même pour chaque caractéristique, une distinction est faite entre les classes de béton apparent C, B et A.</w:t>
      </w:r>
    </w:p>
    <w:p w14:paraId="7D2CAE5E" w14:textId="77777777" w:rsidR="00DF410E" w:rsidRDefault="00CE7F43">
      <w:pPr>
        <w:pStyle w:val="Author-eListParagraph"/>
        <w:numPr>
          <w:ilvl w:val="0"/>
          <w:numId w:val="333"/>
        </w:numPr>
      </w:pPr>
      <w:r>
        <w:t>La combinaison de classes T1, LBA1, HT1, VTF1 correspond à la classe de béton apparent C</w:t>
      </w:r>
    </w:p>
    <w:p w14:paraId="362A3D24" w14:textId="77777777" w:rsidR="00DF410E" w:rsidRDefault="00CE7F43">
      <w:pPr>
        <w:pStyle w:val="Author-eListParagraph"/>
        <w:numPr>
          <w:ilvl w:val="0"/>
          <w:numId w:val="333"/>
        </w:numPr>
      </w:pPr>
      <w:r>
        <w:t>La combinaison de classes T2, LBA2, HT2, VTF2 correspond à la classe de béton apparent B</w:t>
      </w:r>
    </w:p>
    <w:p w14:paraId="0D7864A0" w14:textId="77777777" w:rsidR="00DF410E" w:rsidRDefault="00CE7F43">
      <w:pPr>
        <w:pStyle w:val="Author-eListParagraph"/>
        <w:numPr>
          <w:ilvl w:val="0"/>
          <w:numId w:val="333"/>
        </w:numPr>
      </w:pPr>
      <w:r>
        <w:t>La combinaison de classes T3, LBA3, HT3, VTF3 correspond à la classe de béton apparent A</w:t>
      </w:r>
    </w:p>
    <w:p w14:paraId="5EB8F9BB" w14:textId="77777777" w:rsidR="00DF410E" w:rsidRDefault="00CE7F43">
      <w:r>
        <w:t>La classe de béton apparent A correspond aux exigences les plus élevées.</w:t>
      </w:r>
    </w:p>
    <w:p w14:paraId="79517031" w14:textId="77777777" w:rsidR="00DF410E" w:rsidRDefault="00CE7F43">
      <w:r>
        <w:rPr>
          <w:rStyle w:val="headingChar"/>
        </w:rPr>
        <w:t>Eléments Préfabriqués En Béton</w:t>
      </w:r>
    </w:p>
    <w:p w14:paraId="444A1245" w14:textId="77777777" w:rsidR="00DF410E" w:rsidRDefault="00CE7F43">
      <w:r>
        <w:rPr>
          <w:b/>
        </w:rPr>
        <w:t>MONTAGE</w:t>
      </w:r>
    </w:p>
    <w:p w14:paraId="68ABAE51" w14:textId="77777777" w:rsidR="00DF410E" w:rsidRDefault="00CE7F43">
      <w:r>
        <w:t>Tous les éléments sont montés dans le respect des tolérances imposées par les normes [NBN EN 13670] et [NBN B 15-400]. La face supérieure des éléments préfabriqués correspond au niveau et à l’épaisseur des planchers, conformément aux indications sur les plans d’architecture. Tant verticalement qu’horizontalement, ils sont fixés de manière à pouvoir résister aux mouvements sous l’influence des changements de température et ce, sans que ne se produisent des tensions parasitaires dans la structure qui n’est pas soumise à ces variations de température. Les recommandations données en la matière par l’ingénieur conseil sont scrupuleusement suivies.</w:t>
      </w:r>
    </w:p>
    <w:p w14:paraId="1D4B3DAF" w14:textId="77777777" w:rsidR="00DF410E" w:rsidRDefault="00CE7F43">
      <w:r>
        <w:t>Les opérations de montage, et en particulier le désélingage, doivent s’effectuer suivant les règles de l’art décrites dans les NIT.</w:t>
      </w:r>
    </w:p>
    <w:p w14:paraId="6A8A1765" w14:textId="77777777" w:rsidR="00DF410E" w:rsidRDefault="00CE7F43">
      <w:pPr>
        <w:pStyle w:val="pheading"/>
      </w:pPr>
      <w:r>
        <w:t>CONTRÔLES</w:t>
      </w:r>
    </w:p>
    <w:p w14:paraId="4EB08011" w14:textId="77777777" w:rsidR="00DF410E" w:rsidRDefault="00CE7F43">
      <w:r>
        <w:rPr>
          <w:rStyle w:val="headingChar"/>
        </w:rPr>
        <w:t>Béton Prêt À L'emploi</w:t>
      </w:r>
    </w:p>
    <w:p w14:paraId="642DE81C" w14:textId="77777777" w:rsidR="00DF410E" w:rsidRDefault="00CE7F43">
      <w:r>
        <w:t xml:space="preserve">Le matériau et/ou sa mise en œuvre est couvert par une déclaration de conformité décrite à l’article </w:t>
      </w:r>
      <w:hyperlink r:id="rId65" w:history="1" w:docLocation="68">
        <w:r>
          <w:t>02.42.1 Critères d'acceptabilité</w:t>
        </w:r>
      </w:hyperlink>
      <w:r>
        <w:t>. En cas d’usage de béton ne disposant pas d’une telle déclaration, un contrôle du béton prêt à l'emploi est effectué à l'aide d'un nombre limité d'échantillons (cubes d'essai) aux frais de l'entrepreneur, selon les normes :</w:t>
      </w:r>
    </w:p>
    <w:p w14:paraId="502E7581" w14:textId="77777777" w:rsidR="00DF410E" w:rsidRDefault="00CE7F43">
      <w:r>
        <w:t>[NBN EN 12350 série]</w:t>
      </w:r>
    </w:p>
    <w:p w14:paraId="215EAEF5" w14:textId="77777777" w:rsidR="00DF410E" w:rsidRDefault="00CE7F43">
      <w:r>
        <w:t>[NBN EN 12390 série]</w:t>
      </w:r>
    </w:p>
    <w:p w14:paraId="486A9F5B" w14:textId="77777777" w:rsidR="00DF410E" w:rsidRDefault="00CE7F43">
      <w:r>
        <w:t>[NBN EN 12504-1]</w:t>
      </w:r>
    </w:p>
    <w:p w14:paraId="3D70424C" w14:textId="77777777" w:rsidR="00DF410E" w:rsidRDefault="00CE7F43">
      <w:r>
        <w:rPr>
          <w:b/>
        </w:rPr>
        <w:t>EXIGENCES POUR LA DURABILITÉ</w:t>
      </w:r>
    </w:p>
    <w:p w14:paraId="16AC2817" w14:textId="77777777" w:rsidR="00DF410E" w:rsidRDefault="00CE7F43">
      <w:r>
        <w:t>• Après le décoffrage, les surfaces du béton ne présentent pas de défauts qui risquent de nuire à la résistance et/ou à la durabilité de l’ouvrage de construction.</w:t>
      </w:r>
    </w:p>
    <w:p w14:paraId="658AC2F6" w14:textId="77777777" w:rsidR="00DF410E" w:rsidRDefault="00CE7F43">
      <w:r>
        <w:t>• Si l’enrobage mesuré n’est pas conforme aux plans ou aux spécifications, l’ouvrage ou partie d’ouvrage est démolie et reconstruite aux frais de l’adjudicataire. Sur base d’un dossier technique spécifique remis par l’adjudicataire, lorsqu’une réparation est possible et mène à un résultat conforme au point de vue de la stabilité de l’ouvrage, de son aspect et de sa durabilité, celle-ci peut être autorisée par le maître de l’ouvrage.</w:t>
      </w:r>
    </w:p>
    <w:p w14:paraId="17663195" w14:textId="77777777" w:rsidR="00DF410E" w:rsidRDefault="00CE7F43">
      <w:r>
        <w:t>• Sont réparés par l’entrepreneur : les nids de gravier, les bulles d’air de grandes dimensions ou en grand nombre, les épaufrures des bords ou les écornures des angles, les fissures avec une ouverture supérieure à celles admissibles selon la norme [NBN EN 1992-1-1 ANB] (pour des raisons de durabilité) ou supérieures à celles admises par la [NBN B 15-007] (pour des raisons esthétiques).</w:t>
      </w:r>
    </w:p>
    <w:p w14:paraId="4688EF47" w14:textId="77777777" w:rsidR="00DF410E" w:rsidRDefault="00CE7F43">
      <w:r>
        <w:t>• Seules sont admises les réparations qui mènent à un résultat conforme à toutes les prescriptions (cahier des charges, normes, exigences esthétiques éventuelles…). Dans le cas contraire, l’ouvrage ou la partie d’ouvrage est démolie et reconstruite aux frais de l’adjudicataire.</w:t>
      </w:r>
    </w:p>
    <w:p w14:paraId="0E5061F2" w14:textId="77777777" w:rsidR="00DF410E" w:rsidRDefault="00CE7F43">
      <w:r>
        <w:rPr>
          <w:b/>
        </w:rPr>
        <w:t>EXIGENCES D’ASPECT</w:t>
      </w:r>
    </w:p>
    <w:p w14:paraId="3CCA2AA6" w14:textId="77777777" w:rsidR="00DF410E" w:rsidRDefault="00CE7F43">
      <w:r>
        <w:t>S’il n’y a pas d’exigence esthétique et pour autant que les tolérances soient respectées, les défauts suivants sont acceptables :</w:t>
      </w:r>
    </w:p>
    <w:p w14:paraId="32D302D0" w14:textId="77777777" w:rsidR="00DF410E" w:rsidRDefault="00CE7F43">
      <w:pPr>
        <w:pStyle w:val="Author-eListParagraph"/>
        <w:numPr>
          <w:ilvl w:val="0"/>
          <w:numId w:val="334"/>
        </w:numPr>
      </w:pPr>
      <w:r>
        <w:t>des joints de reprise visibles et non désirés ou une délimitation entre les phases du bétonnage,</w:t>
      </w:r>
    </w:p>
    <w:p w14:paraId="641FBD9A" w14:textId="77777777" w:rsidR="00DF410E" w:rsidRDefault="00CE7F43">
      <w:pPr>
        <w:pStyle w:val="Author-eListParagraph"/>
        <w:numPr>
          <w:ilvl w:val="0"/>
          <w:numId w:val="334"/>
        </w:numPr>
      </w:pPr>
      <w:r>
        <w:t>une courbure visible par rapport à la verticale ou à l’horizontale,</w:t>
      </w:r>
    </w:p>
    <w:p w14:paraId="30B9A732" w14:textId="77777777" w:rsidR="00DF410E" w:rsidRDefault="00CE7F43">
      <w:pPr>
        <w:pStyle w:val="Author-eListParagraph"/>
        <w:numPr>
          <w:ilvl w:val="0"/>
          <w:numId w:val="334"/>
        </w:numPr>
      </w:pPr>
      <w:r>
        <w:t>des bords saillants en raison de la déviation d’un ou de plusieurs panneaux de coffrage,</w:t>
      </w:r>
    </w:p>
    <w:p w14:paraId="5D4FF25E" w14:textId="77777777" w:rsidR="00DF410E" w:rsidRDefault="00CE7F43">
      <w:pPr>
        <w:pStyle w:val="Author-eListParagraph"/>
        <w:numPr>
          <w:ilvl w:val="0"/>
          <w:numId w:val="334"/>
        </w:numPr>
      </w:pPr>
      <w:r>
        <w:t>les bavures de lait de ciment.</w:t>
      </w:r>
    </w:p>
    <w:p w14:paraId="5F11EBBE" w14:textId="77777777" w:rsidR="00DF410E" w:rsidRDefault="00CE7F43">
      <w:r>
        <w:rPr>
          <w:rStyle w:val="headingChar"/>
        </w:rPr>
        <w:t>Prescriptions Complémentaires Pour Le Contrôle Du Béton Apparent Coulé En Place Avec Des Exigences Esthétiques</w:t>
      </w:r>
    </w:p>
    <w:p w14:paraId="4D8DD1EE" w14:textId="77777777" w:rsidR="00DF410E" w:rsidRDefault="00CE7F43">
      <w:r>
        <w:rPr>
          <w:b/>
        </w:rPr>
        <w:t>CONTRÔLE DES TOLÉRANCES DE FORME</w:t>
      </w:r>
    </w:p>
    <w:p w14:paraId="54BB859B" w14:textId="77777777" w:rsidR="00DF410E" w:rsidRDefault="00CE7F43">
      <w:r>
        <w:t>L’évaluation du caractère acceptable ou non se fait sur base de la norme [NBN B 15-007].</w:t>
      </w:r>
    </w:p>
    <w:p w14:paraId="39016599" w14:textId="77777777" w:rsidR="00DF410E" w:rsidRDefault="00CE7F43">
      <w:r>
        <w:rPr>
          <w:b/>
        </w:rPr>
        <w:t>CONTRÔLE DE LA TEXTURE</w:t>
      </w:r>
    </w:p>
    <w:p w14:paraId="05A373B4" w14:textId="77777777" w:rsidR="00DF410E" w:rsidRDefault="00CE7F43">
      <w:r>
        <w:t>Les valeurs limites sont vérifiées au niveau</w:t>
      </w:r>
    </w:p>
    <w:p w14:paraId="6A9A810D" w14:textId="77777777" w:rsidR="00DF410E" w:rsidRDefault="00CE7F43">
      <w:pPr>
        <w:pStyle w:val="Author-eListParagraph"/>
        <w:numPr>
          <w:ilvl w:val="0"/>
          <w:numId w:val="335"/>
        </w:numPr>
      </w:pPr>
      <w:r>
        <w:t>des traînées de sable</w:t>
      </w:r>
    </w:p>
    <w:p w14:paraId="4455C68F" w14:textId="77777777" w:rsidR="00DF410E" w:rsidRDefault="00CE7F43">
      <w:pPr>
        <w:pStyle w:val="Author-eListParagraph"/>
        <w:numPr>
          <w:ilvl w:val="0"/>
          <w:numId w:val="335"/>
        </w:numPr>
      </w:pPr>
      <w:r>
        <w:t>de la perte de laitance ou de mortier fin le long d'un joint</w:t>
      </w:r>
    </w:p>
    <w:p w14:paraId="29AF38F0" w14:textId="77777777" w:rsidR="00DF410E" w:rsidRDefault="00CE7F43">
      <w:pPr>
        <w:pStyle w:val="Author-eListParagraph"/>
        <w:numPr>
          <w:ilvl w:val="0"/>
          <w:numId w:val="335"/>
        </w:numPr>
      </w:pPr>
      <w:r>
        <w:t>de la perte de laitance ou de mortier fin le long des arêtes</w:t>
      </w:r>
    </w:p>
    <w:p w14:paraId="422812A0" w14:textId="77777777" w:rsidR="00DF410E" w:rsidRDefault="00CE7F43">
      <w:r>
        <w:t>L’évaluation du caractère acceptable ou non se fait sur base de la norme [NBN B 15-007].</w:t>
      </w:r>
    </w:p>
    <w:p w14:paraId="165F49E3" w14:textId="77777777" w:rsidR="00DF410E" w:rsidRDefault="00CE7F43">
      <w:r>
        <w:rPr>
          <w:b/>
        </w:rPr>
        <w:t>CONTRÔLE DU BULLAGE</w:t>
      </w:r>
    </w:p>
    <w:p w14:paraId="60A2410F" w14:textId="77777777" w:rsidR="00DF410E" w:rsidRDefault="00CE7F43">
      <w:r>
        <w:t>Lors du décoffrage, des bulles d’air (gênantes ou non) peuvent être constatées à la surface. L’évaluation du caractère acceptable ou non se fait sur base de la norme [NBN B 15-007].</w:t>
      </w:r>
    </w:p>
    <w:p w14:paraId="4BA6D41C" w14:textId="77777777" w:rsidR="00DF410E" w:rsidRDefault="00CE7F43">
      <w:r>
        <w:rPr>
          <w:b/>
        </w:rPr>
        <w:t>CONTRÔLE DE LA TEINTE</w:t>
      </w:r>
    </w:p>
    <w:p w14:paraId="5A241315" w14:textId="77777777" w:rsidR="00DF410E" w:rsidRDefault="00CE7F43">
      <w:r>
        <w:t>Les variations de teinte dans un même élément, entre les éléments d’un même champ d’observation et, le cas échéant, entre les éléments et l’échantillon, l’échantillon-témoin ou l’élément de référence sur lesquels se base l’accord entre les contractants, sont évaluées suivant la norme [NBN B 15-007].</w:t>
      </w:r>
    </w:p>
    <w:p w14:paraId="34FCEF76" w14:textId="77777777" w:rsidR="00DF410E" w:rsidRDefault="00CE7F43">
      <w:r>
        <w:rPr>
          <w:rStyle w:val="headingChar"/>
        </w:rPr>
        <w:t>Eléments Préfabriqués En Béton</w:t>
      </w:r>
    </w:p>
    <w:p w14:paraId="667B4BBF" w14:textId="77777777" w:rsidR="00DF410E" w:rsidRDefault="00CE7F43">
      <w:r>
        <w:rPr>
          <w:b/>
        </w:rPr>
        <w:t>RÉCEPTION TECHNIQUE PRÉALABLE</w:t>
      </w:r>
    </w:p>
    <w:p w14:paraId="2315BBF9" w14:textId="77777777" w:rsidR="00DF410E" w:rsidRDefault="00CE7F43">
      <w:r>
        <w:t xml:space="preserve">Les éléments préfabriqués font l’objet d’une réception préalable suivant l’article </w:t>
      </w:r>
      <w:hyperlink r:id="rId66" w:history="1" w:docLocation="25">
        <w:r>
          <w:t>A4.62.1 Réception technique préalable</w:t>
        </w:r>
      </w:hyperlink>
      <w:r>
        <w:t xml:space="preserve">. La déclaration d’aptitude est explicitée en </w:t>
      </w:r>
      <w:hyperlink r:id="rId67" w:history="1" w:docLocation="68">
        <w:r>
          <w:t>02.42.1 Critères d'acceptabilité</w:t>
        </w:r>
      </w:hyperlink>
      <w:r>
        <w:t>.</w:t>
      </w:r>
    </w:p>
    <w:p w14:paraId="13D91447" w14:textId="77777777" w:rsidR="00DF410E" w:rsidRDefault="00CE7F43">
      <w:r>
        <w:t>En ce qui concerne le contrôle à la production, le planning de la production est communiqué au maître de l’ouvrage s’il en fait la demande avec un préavis suffisant en vue d’un contrôle en usine. L’entrepreneur prend les dispositions nécessaires pour que ces contrôles soient organisés dans le respect du planning de la production.</w:t>
      </w:r>
    </w:p>
    <w:p w14:paraId="09EBB2F3" w14:textId="77777777" w:rsidR="00DF410E" w:rsidRDefault="00CE7F43">
      <w:r>
        <w:rPr>
          <w:b/>
        </w:rPr>
        <w:t>CONTRÔLE SUR CHANTIER</w:t>
      </w:r>
    </w:p>
    <w:p w14:paraId="323CCEDF" w14:textId="77777777" w:rsidR="00DF410E" w:rsidRDefault="00CE7F43">
      <w:r>
        <w:t>Les éléments préfabriqués sont réceptionnés à leur livraison sur chantier et inspectés après la pose. Les dégâts éventuels sont signalés à chaque étape à la direction de chantier.</w:t>
      </w:r>
    </w:p>
    <w:p w14:paraId="61D91C7F" w14:textId="77777777" w:rsidR="00DF410E" w:rsidRDefault="00CE7F43">
      <w:r>
        <w:t>Les pièces qui ont subi des dégradations pendant leur manutention, leur transport ou leur mise en œuvre sont réparées ou remplacées si la réparation ne remet pas le produit au niveau exigé par les prescriptions du cahier des charges.</w:t>
      </w:r>
    </w:p>
    <w:p w14:paraId="61272C05" w14:textId="77777777" w:rsidR="00DF410E" w:rsidRDefault="00CE7F43">
      <w:r>
        <w:t>Le maître de l'ouvrage se réserve le droit de refuser des éléments préfabriqués pour tout défaut de qualité du béton risquant de nuire à la résistance et ou à la durabilité de l’élément.</w:t>
      </w:r>
    </w:p>
    <w:p w14:paraId="36D0ADA2" w14:textId="77777777" w:rsidR="00DF410E" w:rsidRDefault="00CE7F43">
      <w:r>
        <w:t>Moyennant justification à charge de l’entrepreneur, le maître de l’ouvrage peut décider de réceptionner des éléments déclassés pour raison de résistance à la compression et/ou durabilité insuffisante à destination d’autres parties de l’ouvrage où les exigences en termes de résistance et/ou durabilité sont quand même satisfaits.</w:t>
      </w:r>
    </w:p>
    <w:p w14:paraId="7EA1F651" w14:textId="77777777" w:rsidR="00DF410E" w:rsidRDefault="00CE7F43">
      <w:r>
        <w:rPr>
          <w:b/>
        </w:rPr>
        <w:t>EXIGENCES D’ASPECT</w:t>
      </w:r>
    </w:p>
    <w:p w14:paraId="267372CB" w14:textId="77777777" w:rsidR="00DF410E" w:rsidRDefault="00CE7F43">
      <w:r>
        <w:t>Les défauts en dehors des règles de tolérance reprises dans la [NBN EN 13369:2023] et la [NBN B 21-600] et les normes produits, et les fissures en dehors des limites de la [NBN EN 1992-1-1 ANB] en fonction de la classe d'environnement exigée doivent faire l’objet d’une réparation par l’entrepreneur.</w:t>
      </w:r>
    </w:p>
    <w:p w14:paraId="3607A8D8" w14:textId="77777777" w:rsidR="00DF410E" w:rsidRDefault="00DF410E"/>
    <w:p w14:paraId="5EE52ACD" w14:textId="77777777" w:rsidR="00DF410E" w:rsidRDefault="00CE7F43">
      <w:r>
        <w:t> </w:t>
      </w:r>
    </w:p>
    <w:p w14:paraId="18A7ED7E" w14:textId="77777777" w:rsidR="00DF410E" w:rsidRDefault="00CE7F43">
      <w:pPr>
        <w:pStyle w:val="pheading"/>
      </w:pPr>
      <w:r>
        <w:t>DOCUMENTS DE RÉFÉRENCE</w:t>
      </w:r>
    </w:p>
    <w:p w14:paraId="7D4EA747" w14:textId="77777777" w:rsidR="00DF410E" w:rsidRDefault="00CE7F43">
      <w:pPr>
        <w:pStyle w:val="pheading"/>
      </w:pPr>
      <w:r>
        <w:t>- Matériau</w:t>
      </w:r>
    </w:p>
    <w:p w14:paraId="4D744AF3" w14:textId="77777777" w:rsidR="00DF410E" w:rsidRDefault="00CE7F43">
      <w:r>
        <w:rPr>
          <w:rStyle w:val="headingChar"/>
        </w:rPr>
        <w:t>Domaine D'application : Mesurage</w:t>
      </w:r>
    </w:p>
    <w:p w14:paraId="016C255F" w14:textId="77777777" w:rsidR="00DF410E" w:rsidRDefault="00CE7F43">
      <w:r>
        <w:t>[NBN B 06-001, Mesurage dans le bâtiment - Méthodes de mesurage de quantités]</w:t>
      </w:r>
    </w:p>
    <w:p w14:paraId="2CE25FDD" w14:textId="77777777" w:rsidR="00DF410E" w:rsidRDefault="00CE7F43">
      <w:r>
        <w:rPr>
          <w:rStyle w:val="headingChar"/>
        </w:rPr>
        <w:t>Domaine D'application : Granulats</w:t>
      </w:r>
    </w:p>
    <w:p w14:paraId="03847D87" w14:textId="77777777" w:rsidR="00DF410E" w:rsidRDefault="00CE7F43">
      <w:r>
        <w:t>[NBN EN 12620+A1, Granulats pour béton]</w:t>
      </w:r>
    </w:p>
    <w:p w14:paraId="0CD053AA" w14:textId="77777777" w:rsidR="00DF410E" w:rsidRDefault="00CE7F43">
      <w:r>
        <w:rPr>
          <w:rStyle w:val="headingChar"/>
        </w:rPr>
        <w:t>Domaine D'application : Ciment</w:t>
      </w:r>
    </w:p>
    <w:p w14:paraId="2F2651A6" w14:textId="77777777" w:rsidR="00DF410E" w:rsidRDefault="00CE7F43">
      <w:r>
        <w:t>[NBN EN 197-1, Ciment - Partie 1 : Composition, spécifications et critères de conformité des ciments courants]</w:t>
      </w:r>
    </w:p>
    <w:p w14:paraId="6C1727EE" w14:textId="77777777" w:rsidR="00DF410E" w:rsidRDefault="00CE7F43">
      <w:r>
        <w:t>[NBN EN 197-2, Ciment - Partie 2: Evaluation et vérification de la constance de la performance]</w:t>
      </w:r>
    </w:p>
    <w:p w14:paraId="4F63B6C1" w14:textId="77777777" w:rsidR="00DF410E" w:rsidRDefault="00CE7F43">
      <w:r>
        <w:rPr>
          <w:rStyle w:val="headingChar"/>
        </w:rPr>
        <w:t>Domaine D'application : Adjuvants</w:t>
      </w:r>
    </w:p>
    <w:p w14:paraId="3F66F1E4" w14:textId="77777777" w:rsidR="00DF410E" w:rsidRDefault="00CE7F43">
      <w:r>
        <w:t>[NBN T 61 série, Adjuvants pour mortiers, bétons et coulis]</w:t>
      </w:r>
    </w:p>
    <w:p w14:paraId="6B5A8141" w14:textId="77777777" w:rsidR="00DF410E" w:rsidRDefault="00CE7F43">
      <w:r>
        <w:t>[NBN EN 934 série, Adjuvants pour béton, mortier et coulis]</w:t>
      </w:r>
    </w:p>
    <w:p w14:paraId="0A1D9B1E" w14:textId="77777777" w:rsidR="00DF410E" w:rsidRDefault="00CE7F43">
      <w:r>
        <w:rPr>
          <w:rStyle w:val="headingChar"/>
        </w:rPr>
        <w:t>Domaine D'application : Béton</w:t>
      </w:r>
    </w:p>
    <w:p w14:paraId="2CD49528" w14:textId="77777777" w:rsidR="00DF410E" w:rsidRDefault="00CE7F43">
      <w:r>
        <w:t>[NBN B 15-2xx série, Essais des bétons]</w:t>
      </w:r>
    </w:p>
    <w:p w14:paraId="726AEF67" w14:textId="77777777" w:rsidR="00DF410E" w:rsidRDefault="00CE7F43">
      <w:r>
        <w:t>[NBN EN 12390 série, Essai pour béton durci]</w:t>
      </w:r>
    </w:p>
    <w:p w14:paraId="0B6F3463" w14:textId="77777777" w:rsidR="00DF410E" w:rsidRDefault="00CE7F43">
      <w:r>
        <w:t>[NBN EN 12350 série, Essais pour béton frais]</w:t>
      </w:r>
    </w:p>
    <w:p w14:paraId="44397815" w14:textId="77777777" w:rsidR="00DF410E" w:rsidRDefault="00CE7F43">
      <w:r>
        <w:t>[NBN EN 206:2013+A2, Béton - Spécification, performances, production et conformité]</w:t>
      </w:r>
    </w:p>
    <w:p w14:paraId="6BC0875B" w14:textId="77777777" w:rsidR="00DF410E" w:rsidRDefault="00CE7F43">
      <w:r>
        <w:t>[NBN B 15-001, Béton - Spécification, performances, production et conformité - Complément national à la NBN EN 206:2013+A2:2021]</w:t>
      </w:r>
    </w:p>
    <w:p w14:paraId="5415A412" w14:textId="77777777" w:rsidR="00DF410E" w:rsidRDefault="00CE7F43">
      <w:r>
        <w:rPr>
          <w:rStyle w:val="headingChar"/>
        </w:rPr>
        <w:t>Domaine D'application : Armatures - Aciers Pour Béton Armé</w:t>
      </w:r>
      <w:r>
        <w:t>﻿</w:t>
      </w:r>
    </w:p>
    <w:p w14:paraId="5D4423AC" w14:textId="77777777" w:rsidR="00DF410E" w:rsidRDefault="00CE7F43">
      <w:r>
        <w:t>[NBN A 24-3xx série, Produits sidérurgiques - Aciers pour béton armé]</w:t>
      </w:r>
    </w:p>
    <w:p w14:paraId="1A197539" w14:textId="77777777" w:rsidR="00DF410E" w:rsidRDefault="00CE7F43">
      <w:r>
        <w:t>[NBN EN 10080, Aciers pour l'armature du béton - Aciers soudables pour béton armé - Généralités]</w:t>
      </w:r>
    </w:p>
    <w:p w14:paraId="5DB2C939" w14:textId="77777777" w:rsidR="00DF410E" w:rsidRDefault="00CE7F43">
      <w:r>
        <w:t>[NBN EN 14889-1, Fibres pour béton - Partie 1 : Fibres d'acier - Définitions, spécifications et conformité]</w:t>
      </w:r>
    </w:p>
    <w:p w14:paraId="2EDE6E6B" w14:textId="77777777" w:rsidR="00DF410E" w:rsidRDefault="00CE7F43">
      <w:r>
        <w:t>[PTV 302, Aciers pour béton armé - Barres à nervures ou à empreintes - Fils à nervures ou à empreintes à haute ductilité]</w:t>
      </w:r>
    </w:p>
    <w:p w14:paraId="263EC920" w14:textId="77777777" w:rsidR="00DF410E" w:rsidRDefault="00CE7F43">
      <w:r>
        <w:t>[PTV 303, Aciers pour béton armé - Fils écrouis à froid à nervures à basse ductilité]</w:t>
      </w:r>
    </w:p>
    <w:p w14:paraId="51B6AAB0" w14:textId="77777777" w:rsidR="00DF410E" w:rsidRDefault="00CE7F43">
      <w:r>
        <w:t>[PTV 304, Aciers pour béton armé - Treillis soudés]</w:t>
      </w:r>
    </w:p>
    <w:p w14:paraId="67BF0883" w14:textId="77777777" w:rsidR="00DF410E" w:rsidRDefault="00CE7F43">
      <w:r>
        <w:t>[PTV 305, Aciers pour béton armé - Poutres treillis]</w:t>
      </w:r>
    </w:p>
    <w:p w14:paraId="26B67CFB" w14:textId="77777777" w:rsidR="00DF410E" w:rsidRDefault="00CE7F43">
      <w:r>
        <w:t>[PTV 306, Aciers pour béton - Façonnage (dresser, couper, plier, positionner et souder)]</w:t>
      </w:r>
    </w:p>
    <w:p w14:paraId="41E57888" w14:textId="77777777" w:rsidR="00DF410E" w:rsidRDefault="00CE7F43">
      <w:r>
        <w:t>[PTV 307, Aciers pour béton armé - Barres à nervures - Profil alternatif (Révision 2).]</w:t>
      </w:r>
    </w:p>
    <w:p w14:paraId="1B4DE0F6" w14:textId="77777777" w:rsidR="00DF410E" w:rsidRDefault="00CE7F43">
      <w:r>
        <w:t>[PTV 308, Aciers pour béton armé - Armatures assemblées sous forme de panneaux plans]</w:t>
      </w:r>
    </w:p>
    <w:p w14:paraId="15BBF1E5" w14:textId="77777777" w:rsidR="00DF410E" w:rsidRDefault="00CE7F43">
      <w:r>
        <w:rPr>
          <w:rStyle w:val="headingChar"/>
        </w:rPr>
        <w:t>Domaine D'application : Dimensionnement</w:t>
      </w:r>
    </w:p>
    <w:p w14:paraId="663B9E54" w14:textId="77777777" w:rsidR="00DF410E" w:rsidRDefault="00CE7F43">
      <w:r>
        <w:t>[NBN EN 1990, Eurocodes structuraux - Eurocodes: Bases de calcul des structures]</w:t>
      </w:r>
    </w:p>
    <w:p w14:paraId="1835E8F1" w14:textId="77777777" w:rsidR="00DF410E" w:rsidRDefault="00CE7F43">
      <w:r>
        <w:t>[NBN EN 1990 ANB, Eurocode 0 - Bases de calcul des structures - Annexe nationale]</w:t>
      </w:r>
    </w:p>
    <w:p w14:paraId="673612A8" w14:textId="77777777" w:rsidR="00DF410E" w:rsidRDefault="00CE7F43">
      <w:r>
        <w:t>[NBN EN 1991 série, Eurocode 1 : Actions sur les structures]</w:t>
      </w:r>
    </w:p>
    <w:p w14:paraId="20769E36" w14:textId="77777777" w:rsidR="00DF410E" w:rsidRDefault="00CE7F43">
      <w:r>
        <w:t>[NBN EN 1994 série, Eurocode 4 - Conception et dimensionnement des structures mixtes acier-béton]</w:t>
      </w:r>
    </w:p>
    <w:p w14:paraId="01A035AB" w14:textId="77777777" w:rsidR="00DF410E" w:rsidRDefault="00CE7F43">
      <w:r>
        <w:t>[NBN EN 1992-1-1, Eurocode 2: Calcul des structures en béton - Partie 1-1: Règles générales et règles pour les bâtiments (+AC:2010)]</w:t>
      </w:r>
    </w:p>
    <w:p w14:paraId="7A378F80" w14:textId="77777777" w:rsidR="00DF410E" w:rsidRDefault="00CE7F43">
      <w:r>
        <w:t>[NBN EN 1992-1-1 ANB, Eurocode 2 : Calcul des structures en béton - Partie 1-1 : Règles générales et règles pour les bâtiments]</w:t>
      </w:r>
    </w:p>
    <w:p w14:paraId="40890C0D" w14:textId="77777777" w:rsidR="00DF410E" w:rsidRDefault="00CE7F43">
      <w:r>
        <w:t>[NBN B 03-003, Déformation des structures - Valeurs limites de déformation - Bâtiments]</w:t>
      </w:r>
    </w:p>
    <w:p w14:paraId="64A018FA" w14:textId="77777777" w:rsidR="00DF410E" w:rsidRDefault="00CE7F43">
      <w:r>
        <w:rPr>
          <w:rStyle w:val="headingChar"/>
        </w:rPr>
        <w:t>Domaine D'application : Comportement Au Feu</w:t>
      </w:r>
    </w:p>
    <w:p w14:paraId="6CEB08E2" w14:textId="77777777" w:rsidR="00DF410E" w:rsidRDefault="00CE7F43">
      <w:r>
        <w:t>[NBN EN 1992-1-2, Eurocode 2: Calcul des structures en béton - Partie 1-2: Règles générales - Calcul du comportement au feu (+AC:2008) ]</w:t>
      </w:r>
    </w:p>
    <w:p w14:paraId="0FC0ACAF" w14:textId="77777777" w:rsidR="00DF410E" w:rsidRDefault="00CE7F43">
      <w:r>
        <w:t>[NBN EN 1992-1-2 ANB, Eurocode 2 : Calcul des structures en béton - Partie 1-2 : Règles générales - Calcul du comportement au feu - Annexe nationale]</w:t>
      </w:r>
    </w:p>
    <w:p w14:paraId="6DAD5C4F" w14:textId="77777777" w:rsidR="00DF410E" w:rsidRDefault="00CE7F43">
      <w:r>
        <w:t>[NBN EN 1994-1-2, Eurocode 4 - Calcul des structures mixtes acier-béton - Partie 1-2: Règles générales - Calcul du comportement au feu (+ AC:2008)]</w:t>
      </w:r>
    </w:p>
    <w:p w14:paraId="2EBB3F62" w14:textId="77777777" w:rsidR="00DF410E" w:rsidRDefault="00CE7F43">
      <w:r>
        <w:t>[NBN EN 1994-1-2 ANB, Eurocode 4 - Calcul des structures mixtes acier-béton - Partie 1-2 : Règles générales - Calcul du comportement au feu - Annexe nationale]</w:t>
      </w:r>
    </w:p>
    <w:p w14:paraId="607B4FAB"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5AC2E61" w14:textId="77777777" w:rsidR="00DF410E" w:rsidRDefault="00CE7F43">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697C4894" w14:textId="77777777" w:rsidR="00DF410E" w:rsidRDefault="00CE7F43">
      <w:r>
        <w:rPr>
          <w:rStyle w:val="headingChar"/>
        </w:rPr>
        <w:t>Domaine D'application : Béton Apparent</w:t>
      </w:r>
    </w:p>
    <w:p w14:paraId="5FF95405" w14:textId="77777777" w:rsidR="00DF410E" w:rsidRDefault="00CE7F43">
      <w:r>
        <w:t>[NBN B 15-007, Béton apparent - Classifications et spécifications]</w:t>
      </w:r>
    </w:p>
    <w:p w14:paraId="7B192020" w14:textId="77777777" w:rsidR="00DF410E" w:rsidRDefault="00CE7F43">
      <w:r>
        <w:rPr>
          <w:rStyle w:val="headingChar"/>
        </w:rPr>
        <w:t>Domaine D'application : Eléments Préfabriqués En Béton</w:t>
      </w:r>
    </w:p>
    <w:p w14:paraId="0DF26370" w14:textId="77777777" w:rsidR="00DF410E" w:rsidRDefault="00CE7F43">
      <w:r>
        <w:t>[NBN EN 13369:2023, Règles communes pour les produits préfabriqués en béton]</w:t>
      </w:r>
    </w:p>
    <w:p w14:paraId="26DD8440" w14:textId="77777777" w:rsidR="00DF410E" w:rsidRDefault="00CE7F43">
      <w:r>
        <w:t>[NBN B 21-600, Règles communes pour les produits préfabriqués en béton - Complément national à la NBN EN 13369:2004+A1:2006+AC:2006]</w:t>
      </w:r>
    </w:p>
    <w:p w14:paraId="1B274672" w14:textId="77777777" w:rsidR="00DF410E" w:rsidRDefault="00CE7F43">
      <w:r>
        <w:t>[NBN EN 845-2:2013+A1, Spécifications pour composants accessoires de maçonnerie - Partie 2: Linteaux]</w:t>
      </w:r>
    </w:p>
    <w:p w14:paraId="4CC649EC" w14:textId="77777777" w:rsidR="00DF410E" w:rsidRDefault="00CE7F43">
      <w:r>
        <w:t>[NBN EN 1168+A3, Produits préfabriqués en béton - Dalles alvéolées]</w:t>
      </w:r>
    </w:p>
    <w:p w14:paraId="6E0EB9A6" w14:textId="77777777" w:rsidR="00DF410E" w:rsidRDefault="00CE7F43">
      <w:r>
        <w:t>[NBN B 21-605+A1, Produits préfabriqués en béton - Dalles alvéolées - Norme d'application nationale à la NBN EN 1168+A3:2011]</w:t>
      </w:r>
    </w:p>
    <w:p w14:paraId="45F50A1E" w14:textId="77777777" w:rsidR="00DF410E" w:rsidRDefault="00CE7F43">
      <w:r>
        <w:t>[NBN EN 12794+A1, Produits préfabriqués en béton - Pieux de fondation (+ AC:2008)]</w:t>
      </w:r>
    </w:p>
    <w:p w14:paraId="649201A1" w14:textId="77777777" w:rsidR="00DF410E" w:rsidRDefault="00CE7F43">
      <w:r>
        <w:t>[NBN B 21-613, Produits préfabriqués en béton - Pieux de fondation - Complément national à la NBN EN 12794+A1:2007]</w:t>
      </w:r>
    </w:p>
    <w:p w14:paraId="50556A6F" w14:textId="77777777" w:rsidR="00DF410E" w:rsidRDefault="00CE7F43">
      <w:r>
        <w:t>[NBN EN 13224, Produits préfabriqués en béton - Eléments de plancher nervurés]</w:t>
      </w:r>
    </w:p>
    <w:p w14:paraId="77E10235" w14:textId="77777777" w:rsidR="00DF410E" w:rsidRDefault="00CE7F43">
      <w:r>
        <w:t>[NBN B 21-603, Produits préfabriqués en béton - Eléments de plancher nervurés - Complément national à la NBN EN 13224:2011]</w:t>
      </w:r>
    </w:p>
    <w:p w14:paraId="0E1E9BF3" w14:textId="77777777" w:rsidR="00DF410E" w:rsidRDefault="00CE7F43">
      <w:r>
        <w:t>[NBN EN 13225, Produits préfabriqués en béton - Éléments de structure linéaires]</w:t>
      </w:r>
    </w:p>
    <w:p w14:paraId="475173F2" w14:textId="77777777" w:rsidR="00DF410E" w:rsidRDefault="00CE7F43">
      <w:r>
        <w:t>[NBN B 21-604, Produits préfabriqués en béton - Eléments de structure linéaires - Complément national à la NBN EN 13225:2004]</w:t>
      </w:r>
    </w:p>
    <w:p w14:paraId="1AD9ED5F" w14:textId="77777777" w:rsidR="00DF410E" w:rsidRDefault="00CE7F43">
      <w:r>
        <w:t>[NBN EN 14843, Produits préfabriqués en béton - Escaliers]</w:t>
      </w:r>
    </w:p>
    <w:p w14:paraId="357422EA" w14:textId="77777777" w:rsidR="00DF410E" w:rsidRDefault="00CE7F43">
      <w:r>
        <w:t>[NBN B 21-611, Produits préfabriqués en béton - Escaliers - Complément national à la NBN EN 14843:2007]</w:t>
      </w:r>
    </w:p>
    <w:p w14:paraId="436C36D6" w14:textId="77777777" w:rsidR="00DF410E" w:rsidRDefault="00CE7F43">
      <w:r>
        <w:t>[NBN EN 14991, Produits préfabriqués en béton - Éléments de fondation]</w:t>
      </w:r>
    </w:p>
    <w:p w14:paraId="298082B1" w14:textId="77777777" w:rsidR="00DF410E" w:rsidRDefault="00CE7F43">
      <w:r>
        <w:t>[NBN B 21-609, Produits préfabriqués en béton - Eléments de fondation - Complément national à la NBN EN 14991:2007]</w:t>
      </w:r>
    </w:p>
    <w:p w14:paraId="422276B3" w14:textId="77777777" w:rsidR="00DF410E" w:rsidRDefault="00CE7F43">
      <w:r>
        <w:t>[NBN EN 14992+A1, Produits préfabriqués en béton - Eléments de mur]</w:t>
      </w:r>
    </w:p>
    <w:p w14:paraId="3F3085EC" w14:textId="77777777" w:rsidR="00DF410E" w:rsidRDefault="00CE7F43">
      <w:r>
        <w:t>[NBN B 21-612, Produits préfabriqués en béton - Eléments de mur - Norme d'application nationale à la NBN EN 14992+A1:2012]</w:t>
      </w:r>
    </w:p>
    <w:p w14:paraId="438E80DB" w14:textId="77777777" w:rsidR="00DF410E" w:rsidRDefault="00CE7F43">
      <w:r>
        <w:t>[NBN EN 13747+A2, Produits préfabriqués en béton - Prédalles pour systèmes de planchers]</w:t>
      </w:r>
    </w:p>
    <w:p w14:paraId="4CF22E65" w14:textId="77777777" w:rsidR="00DF410E" w:rsidRDefault="00CE7F43">
      <w:r>
        <w:t>[NBN B 21-606:2019+A1, Produits préfabriqués en béton - Prédalles - Norme d'application nationale à la NBN EN 13747+A2:2010 et à la NBN EN 15050+A1:2012]</w:t>
      </w:r>
    </w:p>
    <w:p w14:paraId="01EAB48F" w14:textId="77777777" w:rsidR="00DF410E" w:rsidRDefault="00CE7F43">
      <w:r>
        <w:t>[NBN EN 15037-1, Produits préfabriqués en béton - Systèmes de planchers à poutrelles et entrevous - Partie 1: Poutrelles]</w:t>
      </w:r>
    </w:p>
    <w:p w14:paraId="241D7997" w14:textId="77777777" w:rsidR="00DF410E" w:rsidRDefault="00CE7F43">
      <w:r>
        <w:t>[NBN B 21-616, Produits préfabriqués en béton - Systèmes de planchers à poutrelles et entrevous - Partie 1 : Poutrelles - Complément national à la NBN EN 15037-1:2008]</w:t>
      </w:r>
    </w:p>
    <w:p w14:paraId="19CE4CB5" w14:textId="77777777" w:rsidR="00DF410E" w:rsidRDefault="00CE7F43">
      <w:r>
        <w:t>[NBN EN 15037-2+A1, Produits préfabriqués en béton - Systèmes de planchers à poutrelles et entrevous - Partie 2: Entrevous en béton]</w:t>
      </w:r>
    </w:p>
    <w:p w14:paraId="1A6184BD" w14:textId="77777777" w:rsidR="00DF410E" w:rsidRDefault="00CE7F43">
      <w:r>
        <w:t>[NBN B 21-006, Produits préfabriqués en béton - Systèmes de planchers à poutrelles et entrevous - Partie 2: Entrevous en béton - Complément national à la NBN EN 15037-2+A1:2011]</w:t>
      </w:r>
    </w:p>
    <w:p w14:paraId="2A2DF6FE" w14:textId="77777777" w:rsidR="00DF410E" w:rsidRDefault="00CE7F43">
      <w:r>
        <w:t>[NBN EN 15037-3+A1, Produits préfabriqués en béton - Systèmes de planchers à poutrelles et entrevous - Partie 3: Entrevous en terre cuite]</w:t>
      </w:r>
    </w:p>
    <w:p w14:paraId="406927D2" w14:textId="77777777" w:rsidR="00DF410E" w:rsidRDefault="00CE7F43">
      <w:r>
        <w:t>[NBN EN 15037-4+A1, Produits préfabriqués en béton - Systèmes de planchers à poutrelles et entrevous - Partie 4: Entrevous en polystyrène expansé]</w:t>
      </w:r>
    </w:p>
    <w:p w14:paraId="1D2969F3" w14:textId="77777777" w:rsidR="00DF410E" w:rsidRDefault="00CE7F43">
      <w:r>
        <w:t>[NBN EN 15037-5, Produits préfabriqués en béton - Systèmes de planchers à poutrelles et entrevous - Partie 5: Entrevous légers de coffrage simple]</w:t>
      </w:r>
    </w:p>
    <w:p w14:paraId="58D24DC4" w14:textId="77777777" w:rsidR="00DF410E" w:rsidRDefault="00CE7F43">
      <w:r>
        <w:t>[NBN EN 15258, Produits préfabriqués en béton - Éléments de murs de soutènement]</w:t>
      </w:r>
    </w:p>
    <w:p w14:paraId="16FE44C7" w14:textId="77777777" w:rsidR="00DF410E" w:rsidRDefault="00CE7F43">
      <w:r>
        <w:t>[NBN B 21-132, Produits préfabriqués en béton - Eléments de murs de soutènement - Complément national à la NBN EN 15258:2009]</w:t>
      </w:r>
    </w:p>
    <w:p w14:paraId="33A14156" w14:textId="77777777" w:rsidR="00DF410E" w:rsidRDefault="00CE7F43">
      <w:r>
        <w:t>[NBN EN 12602, Eléments préfabriqués armés en béton cellulaire autoclavé]</w:t>
      </w:r>
    </w:p>
    <w:p w14:paraId="4C545F2D" w14:textId="77777777" w:rsidR="00DF410E" w:rsidRDefault="00CE7F43">
      <w:r>
        <w:t>[NBN B 21-004, Eléments préfabriqués armés en béton cellulaire autoclavé - Norme d’application nationale à la NBN EN 12602:2016]</w:t>
      </w:r>
    </w:p>
    <w:p w14:paraId="5BD42081" w14:textId="77777777" w:rsidR="00DF410E" w:rsidRDefault="00CE7F43">
      <w:r>
        <w:t>[PTV 21-601, Eléments préfabriqués en béton architectonique.]</w:t>
      </w:r>
    </w:p>
    <w:p w14:paraId="73EFE8ED" w14:textId="77777777" w:rsidR="00DF410E" w:rsidRDefault="00CE7F43">
      <w:r>
        <w:t>[NBN EN 13216-1, Conduits de fumée - Méthodes d'essai pour les systèmes de conduits de fumée - Partie 1 : Méthodes d'essai générales]</w:t>
      </w:r>
    </w:p>
    <w:p w14:paraId="55C7B3CC" w14:textId="77777777" w:rsidR="00DF410E" w:rsidRDefault="00CE7F43">
      <w:r>
        <w:rPr>
          <w:rStyle w:val="headingChar"/>
        </w:rPr>
        <w:t>Domaine D'application : Eléments Préfabriqués En Béton Architectonique</w:t>
      </w:r>
    </w:p>
    <w:p w14:paraId="694981EF" w14:textId="77777777" w:rsidR="00DF410E" w:rsidRDefault="00CE7F43">
      <w:r>
        <w:t>[PTV 21-601, Eléments préfabriqués en béton architectonique.]</w:t>
      </w:r>
    </w:p>
    <w:p w14:paraId="440A8C16" w14:textId="77777777" w:rsidR="00DF410E" w:rsidRDefault="00CE7F43">
      <w:r>
        <w:rPr>
          <w:rStyle w:val="headingChar"/>
        </w:rPr>
        <w:t>Domaine D'application : Béton Précontraint</w:t>
      </w:r>
    </w:p>
    <w:p w14:paraId="63ACEECC" w14:textId="77777777" w:rsidR="00DF410E" w:rsidRDefault="00CE7F43">
      <w:r>
        <w:t>[NBN I 10 série, Aciers de précontrainte]</w:t>
      </w:r>
    </w:p>
    <w:p w14:paraId="7C51FAE5" w14:textId="77777777" w:rsidR="00DF410E" w:rsidRDefault="00CE7F43">
      <w:r>
        <w:t>[PTV 311, Aciers de précontrainte - Torons]</w:t>
      </w:r>
    </w:p>
    <w:p w14:paraId="70132DE2" w14:textId="77777777" w:rsidR="00DF410E" w:rsidRDefault="00CE7F43">
      <w:r>
        <w:t>[PTV 312, Aciers de précontrainte - Aciers galvanisés]</w:t>
      </w:r>
    </w:p>
    <w:p w14:paraId="2AD41956" w14:textId="77777777" w:rsidR="00DF410E" w:rsidRDefault="00CE7F43">
      <w:r>
        <w:t>[PTV 314, Aciers de précontrainte - Fils tréfilés]</w:t>
      </w:r>
    </w:p>
    <w:p w14:paraId="25DCB0D1" w14:textId="77777777" w:rsidR="00DF410E" w:rsidRDefault="00CE7F43">
      <w:pPr>
        <w:pStyle w:val="pheading"/>
      </w:pPr>
      <w:r>
        <w:t>- Exécution</w:t>
      </w:r>
    </w:p>
    <w:p w14:paraId="1E77FAB9" w14:textId="77777777" w:rsidR="00DF410E" w:rsidRDefault="00DF410E"/>
    <w:p w14:paraId="7BDA58E8" w14:textId="77777777" w:rsidR="00DF410E" w:rsidRDefault="00CE7F43">
      <w:r>
        <w:t>[NBN EN 13670, Exécution des structures en béton]</w:t>
      </w:r>
    </w:p>
    <w:p w14:paraId="0291A3FC" w14:textId="77777777" w:rsidR="00DF410E" w:rsidRDefault="00CE7F43">
      <w:r>
        <w:t>[NBN B 15-400, Exécution des structures en béton - Supplément national à la NBN EN 13670:2010]</w:t>
      </w:r>
    </w:p>
    <w:p w14:paraId="284CBD03" w14:textId="77777777" w:rsidR="00DF410E" w:rsidRDefault="00CE7F43">
      <w:pPr>
        <w:pStyle w:val="pheading"/>
      </w:pPr>
      <w:r>
        <w:t>AIDE</w:t>
      </w:r>
    </w:p>
    <w:p w14:paraId="22FBD3FE" w14:textId="77777777" w:rsidR="00DF410E" w:rsidRDefault="00CE7F43">
      <w:r>
        <w:rPr>
          <w:i/>
          <w:u w:val="single"/>
        </w:rPr>
        <w:t>À l'attention de l'auteur de projet</w:t>
      </w:r>
    </w:p>
    <w:p w14:paraId="32006EB9" w14:textId="77777777" w:rsidR="00DF410E" w:rsidRDefault="00CE7F43">
      <w:r>
        <w:t>Prescriptions des bétons : consulter [Buildwise Innovation paper 42].</w:t>
      </w:r>
      <w:r>
        <w:br/>
        <w:t>Exceptionnellement, le cahier spécial des charges peut prescrire une composition de béton particulière pour le béton prêt à l'emploi. Dans ce cas, l’auteur de projet effectue cette prescription de sa propre initiative et sous son entière responsabilité.</w:t>
      </w:r>
    </w:p>
    <w:p w14:paraId="55A47291" w14:textId="77777777" w:rsidR="00DF410E" w:rsidRDefault="00CE7F43">
      <w:r>
        <w:t>La classe de consistance et la granulométrie maximale sont en principe déterminées par l’entrepreneur en fonction des éléments à réaliser et sur la base de la facilité de mise en œuvre qu’il souhaite. Voir [Buildwise Innovation paper 42].</w:t>
      </w:r>
    </w:p>
    <w:p w14:paraId="20CC09D5" w14:textId="77777777" w:rsidR="00DF410E" w:rsidRDefault="00CE7F43">
      <w:r>
        <w:t xml:space="preserve">Le sablage n’est plus autorisé, conformément à l’[AR 2002-03-11]. Voir </w:t>
      </w:r>
      <w:hyperlink w:anchor="545" w:history="1">
        <w:r>
          <w:t>22.71.2b Grenaillages de structures en béton</w:t>
        </w:r>
      </w:hyperlink>
      <w:r>
        <w:t>.</w:t>
      </w:r>
    </w:p>
    <w:p w14:paraId="4EA1EC19" w14:textId="77777777" w:rsidR="00DF410E" w:rsidRDefault="00CE7F43">
      <w:r>
        <w:rPr>
          <w:b/>
          <w:color w:val="FF0000"/>
        </w:rPr>
        <w:t>CLASSES DE TOLÉRANCES (DIMENSIONNELLES) et CLASSES D'EXECUTION</w:t>
      </w:r>
      <w:r>
        <w:rPr>
          <w:color w:val="FF0000"/>
        </w:rPr>
        <w:t xml:space="preserve"> pour l'ensemble ou pour certaines de parties de l'ouvrage sont à fixer par l'Auteur de projet.</w:t>
      </w:r>
      <w:r>
        <w:br/>
        <w:t>Ces éléments sont détaillés en tête de la rubrique "EXECUTION / MISE EN OEUVRE" de la section 22.</w:t>
      </w:r>
      <w:r>
        <w:br/>
        <w:t>Guide : il convient d'utiliser la classe d'exécution 1 uniquement pour les éléments structuraux pour lesquels les conséquences en cas de rupture sont faibles ou négligeables. Voir [Buildwise Innovation paper 42].</w:t>
      </w:r>
    </w:p>
    <w:p w14:paraId="34EB4C01" w14:textId="77777777" w:rsidR="00DF410E" w:rsidRDefault="00DF410E"/>
    <w:p w14:paraId="41CFA2CC" w14:textId="77777777" w:rsidR="00DF410E" w:rsidRDefault="00CE7F43">
      <w:r>
        <w:t> </w:t>
      </w:r>
    </w:p>
    <w:p w14:paraId="55A53D2E" w14:textId="77777777" w:rsidR="00DF410E" w:rsidRDefault="00CE7F43">
      <w:pPr>
        <w:pStyle w:val="Author-eSectionHeading3"/>
      </w:pPr>
      <w:bookmarkStart w:id="599" w:name="_Toc178837784"/>
      <w:r>
        <w:t>22.1 Eléments de structures en béton CCTB 01.04</w:t>
      </w:r>
      <w:bookmarkEnd w:id="599"/>
    </w:p>
    <w:p w14:paraId="3F28FC15" w14:textId="77777777" w:rsidR="00DF410E" w:rsidRDefault="00CE7F43">
      <w:pPr>
        <w:pStyle w:val="Author-eSectionHeading4"/>
      </w:pPr>
      <w:bookmarkStart w:id="600" w:name="530"/>
      <w:bookmarkStart w:id="601" w:name="_Toc178837785"/>
      <w:bookmarkEnd w:id="600"/>
      <w:r>
        <w:t>22.11 Poutres en béton CCTB 01.02</w:t>
      </w:r>
      <w:bookmarkEnd w:id="601"/>
    </w:p>
    <w:p w14:paraId="225B7A76" w14:textId="77777777" w:rsidR="00DF410E" w:rsidRDefault="00CE7F43">
      <w:pPr>
        <w:pStyle w:val="Author-eSectionHeading5"/>
      </w:pPr>
      <w:bookmarkStart w:id="602" w:name="_Toc178837786"/>
      <w:r>
        <w:t>22.11.1 Poutres en béton coulé en place CCTB 01.04</w:t>
      </w:r>
      <w:bookmarkEnd w:id="602"/>
    </w:p>
    <w:p w14:paraId="2A75C9A0" w14:textId="77777777" w:rsidR="00DF410E" w:rsidRDefault="00CE7F43">
      <w:pPr>
        <w:pStyle w:val="Author-eSectionHeading6"/>
      </w:pPr>
      <w:bookmarkStart w:id="603" w:name="_Toc178837787"/>
      <w:r>
        <w:t>22.11.1a Poutres en béton armé coulé en place CCTB 01.12</w:t>
      </w:r>
      <w:bookmarkEnd w:id="603"/>
    </w:p>
    <w:p w14:paraId="03C4C0EB" w14:textId="77777777" w:rsidR="00DF410E" w:rsidRDefault="00CE7F43">
      <w:pPr>
        <w:pStyle w:val="pheading"/>
      </w:pPr>
      <w:bookmarkStart w:id="604" w:name="465"/>
      <w:bookmarkEnd w:id="604"/>
      <w:r>
        <w:t>DESCRIPTION</w:t>
      </w:r>
    </w:p>
    <w:p w14:paraId="2E2996EB" w14:textId="77777777" w:rsidR="00DF410E" w:rsidRDefault="00CE7F43">
      <w:pPr>
        <w:pStyle w:val="pheading"/>
      </w:pPr>
      <w:r>
        <w:t>- Définition / Comprend</w:t>
      </w:r>
    </w:p>
    <w:p w14:paraId="0C8F7AE8" w14:textId="77777777" w:rsidR="00DF410E" w:rsidRDefault="00CE7F43">
      <w:r>
        <w:t xml:space="preserve">Il s'agit de l’ensemble des poutres, poutres en L, poutres en T exécutées en béton armé coulé en place. Les travaux comprennent les éléments décrits en </w:t>
      </w:r>
      <w:hyperlink w:anchor="87"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776ADF55" w14:textId="77777777" w:rsidR="00DF410E" w:rsidRDefault="00CE7F43">
      <w:r>
        <w:t xml:space="preserve">L'étude et les plans d'exécution </w:t>
      </w:r>
      <w:r>
        <w:rPr>
          <w:rStyle w:val="optioncarChar"/>
        </w:rPr>
        <w:t>sont / ne sont pas</w:t>
      </w:r>
      <w:r>
        <w:t xml:space="preserve"> à charge de l'entreprise.</w:t>
      </w:r>
    </w:p>
    <w:p w14:paraId="5A06C3E7" w14:textId="77777777" w:rsidR="00DF410E" w:rsidRDefault="00CE7F43">
      <w:pPr>
        <w:pStyle w:val="pheading"/>
      </w:pPr>
      <w:r>
        <w:t>MATÉRIAUX</w:t>
      </w:r>
    </w:p>
    <w:p w14:paraId="509650DB" w14:textId="77777777" w:rsidR="00DF410E" w:rsidRDefault="00CE7F43">
      <w:pPr>
        <w:pStyle w:val="pheading"/>
      </w:pPr>
      <w:r>
        <w:t>- Caractéristiques générales</w:t>
      </w:r>
    </w:p>
    <w:p w14:paraId="31A8B687" w14:textId="77777777" w:rsidR="00DF410E" w:rsidRDefault="00CE7F43">
      <w:r>
        <w:rPr>
          <w:u w:val="single"/>
        </w:rPr>
        <w:t>Béton</w:t>
      </w:r>
    </w:p>
    <w:p w14:paraId="306F3222" w14:textId="77777777" w:rsidR="00DF410E" w:rsidRDefault="00CE7F43">
      <w:pPr>
        <w:pStyle w:val="Author-eListParagraph"/>
        <w:numPr>
          <w:ilvl w:val="0"/>
          <w:numId w:val="336"/>
        </w:numPr>
      </w:pPr>
      <w:r>
        <w:t xml:space="preserve">Qualité du béton selon la [NBN EN 206:2013+A2] et la [NBN B 15-001] :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582656B7" w14:textId="77777777">
        <w:tc>
          <w:tcPr>
            <w:tcW w:w="1500" w:type="dxa"/>
            <w:noWrap/>
          </w:tcPr>
          <w:p w14:paraId="34E31B11" w14:textId="77777777" w:rsidR="00DF410E" w:rsidRDefault="00CE7F43">
            <w:pPr>
              <w:jc w:val="center"/>
            </w:pPr>
            <w:r>
              <w:rPr>
                <w:b/>
              </w:rPr>
              <w:t>A</w:t>
            </w:r>
          </w:p>
        </w:tc>
        <w:tc>
          <w:tcPr>
            <w:tcW w:w="1500" w:type="dxa"/>
            <w:noWrap/>
          </w:tcPr>
          <w:p w14:paraId="0792376B" w14:textId="77777777" w:rsidR="00DF410E" w:rsidRDefault="00CE7F43">
            <w:pPr>
              <w:jc w:val="center"/>
            </w:pPr>
            <w:r>
              <w:rPr>
                <w:b/>
              </w:rPr>
              <w:t>B1</w:t>
            </w:r>
          </w:p>
        </w:tc>
        <w:tc>
          <w:tcPr>
            <w:tcW w:w="1500" w:type="dxa"/>
            <w:noWrap/>
          </w:tcPr>
          <w:p w14:paraId="0F64A7FD" w14:textId="77777777" w:rsidR="00DF410E" w:rsidRDefault="00CE7F43">
            <w:pPr>
              <w:jc w:val="center"/>
            </w:pPr>
            <w:r>
              <w:rPr>
                <w:b/>
              </w:rPr>
              <w:t>B2</w:t>
            </w:r>
          </w:p>
        </w:tc>
        <w:tc>
          <w:tcPr>
            <w:tcW w:w="1500" w:type="dxa"/>
            <w:noWrap/>
          </w:tcPr>
          <w:p w14:paraId="238D5D85" w14:textId="77777777" w:rsidR="00DF410E" w:rsidRDefault="00CE7F43">
            <w:pPr>
              <w:jc w:val="center"/>
            </w:pPr>
            <w:r>
              <w:rPr>
                <w:b/>
              </w:rPr>
              <w:t>C</w:t>
            </w:r>
          </w:p>
        </w:tc>
        <w:tc>
          <w:tcPr>
            <w:tcW w:w="1500" w:type="dxa"/>
            <w:noWrap/>
          </w:tcPr>
          <w:p w14:paraId="01496B2C" w14:textId="77777777" w:rsidR="00DF410E" w:rsidRDefault="00CE7F43">
            <w:pPr>
              <w:jc w:val="center"/>
            </w:pPr>
            <w:r>
              <w:rPr>
                <w:b/>
              </w:rPr>
              <w:t>D</w:t>
            </w:r>
          </w:p>
        </w:tc>
        <w:tc>
          <w:tcPr>
            <w:tcW w:w="1500" w:type="dxa"/>
            <w:noWrap/>
          </w:tcPr>
          <w:p w14:paraId="78A11EC5" w14:textId="77777777" w:rsidR="00DF410E" w:rsidRDefault="00CE7F43">
            <w:pPr>
              <w:jc w:val="center"/>
            </w:pPr>
            <w:r>
              <w:rPr>
                <w:b/>
              </w:rPr>
              <w:t>E</w:t>
            </w:r>
          </w:p>
        </w:tc>
      </w:tr>
      <w:tr w:rsidR="00DF410E" w14:paraId="061F981D" w14:textId="77777777">
        <w:tc>
          <w:tcPr>
            <w:tcW w:w="1500" w:type="dxa"/>
            <w:noWrap/>
          </w:tcPr>
          <w:p w14:paraId="51D9861E" w14:textId="77777777" w:rsidR="00DF410E" w:rsidRDefault="00CE7F43">
            <w:pPr>
              <w:jc w:val="center"/>
            </w:pPr>
            <w:r>
              <w:rPr>
                <w:b/>
              </w:rPr>
              <w:t>Classe de résistance</w:t>
            </w:r>
          </w:p>
        </w:tc>
        <w:tc>
          <w:tcPr>
            <w:tcW w:w="1500" w:type="dxa"/>
            <w:noWrap/>
          </w:tcPr>
          <w:p w14:paraId="20FB0C5C" w14:textId="77777777" w:rsidR="00DF410E" w:rsidRDefault="00CE7F43">
            <w:pPr>
              <w:jc w:val="center"/>
            </w:pPr>
            <w:r>
              <w:rPr>
                <w:b/>
              </w:rPr>
              <w:t>Domaine d’application</w:t>
            </w:r>
          </w:p>
        </w:tc>
        <w:tc>
          <w:tcPr>
            <w:tcW w:w="1500" w:type="dxa"/>
            <w:noWrap/>
          </w:tcPr>
          <w:p w14:paraId="5A15E8A2" w14:textId="77777777" w:rsidR="00DF410E" w:rsidRDefault="00CE7F43">
            <w:pPr>
              <w:jc w:val="center"/>
            </w:pPr>
            <w:r>
              <w:rPr>
                <w:b/>
              </w:rPr>
              <w:t>Classe d'environnement</w:t>
            </w:r>
          </w:p>
        </w:tc>
        <w:tc>
          <w:tcPr>
            <w:tcW w:w="1500" w:type="dxa"/>
            <w:noWrap/>
          </w:tcPr>
          <w:p w14:paraId="158A6612" w14:textId="77777777" w:rsidR="00DF410E" w:rsidRDefault="00CE7F43">
            <w:pPr>
              <w:jc w:val="center"/>
            </w:pPr>
            <w:r>
              <w:rPr>
                <w:b/>
              </w:rPr>
              <w:t>Classe de consistance</w:t>
            </w:r>
          </w:p>
        </w:tc>
        <w:tc>
          <w:tcPr>
            <w:tcW w:w="1500" w:type="dxa"/>
            <w:noWrap/>
          </w:tcPr>
          <w:p w14:paraId="797A847F" w14:textId="77777777" w:rsidR="00DF410E" w:rsidRDefault="00CE7F43">
            <w:pPr>
              <w:jc w:val="center"/>
            </w:pPr>
            <w:r>
              <w:rPr>
                <w:b/>
              </w:rPr>
              <w:t>Granulométrie maximale</w:t>
            </w:r>
          </w:p>
        </w:tc>
        <w:tc>
          <w:tcPr>
            <w:tcW w:w="1500" w:type="dxa"/>
            <w:noWrap/>
          </w:tcPr>
          <w:p w14:paraId="6C39F2AC" w14:textId="77777777" w:rsidR="00DF410E" w:rsidRDefault="00CE7F43">
            <w:r>
              <w:rPr>
                <w:b/>
              </w:rPr>
              <w:t>Données complémentaires</w:t>
            </w:r>
          </w:p>
        </w:tc>
      </w:tr>
      <w:tr w:rsidR="00DF410E" w14:paraId="00B50527" w14:textId="77777777">
        <w:tc>
          <w:tcPr>
            <w:tcW w:w="1500" w:type="dxa"/>
            <w:noWrap/>
          </w:tcPr>
          <w:p w14:paraId="051B4C1B" w14:textId="77777777" w:rsidR="00DF410E" w:rsidRDefault="00CE7F43">
            <w:pPr>
              <w:jc w:val="center"/>
            </w:pPr>
            <w:r>
              <w:rPr>
                <w:rStyle w:val="optioncarChar"/>
              </w:rPr>
              <w:t>C25/30 / C30/37 / C35/45 / C45/55 / C50/60 / C55/67 / C60/75 / C70/85 / C80/95 / C90/105</w:t>
            </w:r>
          </w:p>
        </w:tc>
        <w:tc>
          <w:tcPr>
            <w:tcW w:w="1500" w:type="dxa"/>
            <w:noWrap/>
          </w:tcPr>
          <w:p w14:paraId="03436ACC" w14:textId="77777777" w:rsidR="00DF410E" w:rsidRDefault="00CE7F43">
            <w:pPr>
              <w:jc w:val="center"/>
            </w:pPr>
            <w:r>
              <w:t>Béton armé</w:t>
            </w:r>
          </w:p>
          <w:p w14:paraId="4C64D66C" w14:textId="77777777" w:rsidR="00DF410E" w:rsidRDefault="00CE7F43">
            <w:pPr>
              <w:jc w:val="center"/>
            </w:pPr>
            <w:r>
              <w:t> </w:t>
            </w:r>
          </w:p>
        </w:tc>
        <w:tc>
          <w:tcPr>
            <w:tcW w:w="1500" w:type="dxa"/>
            <w:noWrap/>
          </w:tcPr>
          <w:p w14:paraId="5382BD8F" w14:textId="77777777" w:rsidR="00DF410E" w:rsidRDefault="00CE7F43">
            <w:pPr>
              <w:jc w:val="center"/>
            </w:pPr>
            <w:r>
              <w:rPr>
                <w:rStyle w:val="optioncarChar"/>
              </w:rPr>
              <w:t>E0 / EI / EE1 / EE2 / EE3 / EE4 / ES1 / ES2 / ES3 / ES4 / EA1+*** / EA2+*** / EA3+***</w:t>
            </w:r>
          </w:p>
        </w:tc>
        <w:tc>
          <w:tcPr>
            <w:tcW w:w="1500" w:type="dxa"/>
            <w:noWrap/>
          </w:tcPr>
          <w:p w14:paraId="59AEFD00" w14:textId="77777777" w:rsidR="00DF410E" w:rsidRDefault="00CE7F43">
            <w:pPr>
              <w:jc w:val="center"/>
            </w:pPr>
            <w:r>
              <w:t>au choix de l'entrepreneur :</w:t>
            </w:r>
          </w:p>
          <w:p w14:paraId="292CD1FA" w14:textId="77777777" w:rsidR="00DF410E" w:rsidRDefault="00CE7F43">
            <w:pPr>
              <w:jc w:val="center"/>
            </w:pPr>
            <w:r>
              <w:rPr>
                <w:rStyle w:val="optioncarChar"/>
              </w:rPr>
              <w:t>S3 / S4 / S5 /</w:t>
            </w:r>
            <w:r>
              <w:br/>
            </w:r>
          </w:p>
          <w:p w14:paraId="378029A8" w14:textId="77777777" w:rsidR="00DF410E" w:rsidRDefault="00CE7F43">
            <w:pPr>
              <w:jc w:val="center"/>
            </w:pPr>
            <w:r>
              <w:rPr>
                <w:rStyle w:val="optioncarChar"/>
              </w:rPr>
              <w:t>F3 / F4 / F5 / F6</w:t>
            </w:r>
            <w:r>
              <w:br/>
            </w:r>
          </w:p>
        </w:tc>
        <w:tc>
          <w:tcPr>
            <w:tcW w:w="1500" w:type="dxa"/>
            <w:noWrap/>
          </w:tcPr>
          <w:p w14:paraId="4ACAD099" w14:textId="77777777" w:rsidR="00DF410E" w:rsidRDefault="00CE7F43">
            <w:pPr>
              <w:jc w:val="center"/>
            </w:pPr>
            <w:r>
              <w:t>au choix de l'entrepreneur :</w:t>
            </w:r>
          </w:p>
          <w:p w14:paraId="61B14AC2" w14:textId="77777777" w:rsidR="00DF410E" w:rsidRDefault="00CE7F43">
            <w:pPr>
              <w:jc w:val="center"/>
            </w:pPr>
            <w:r>
              <w:rPr>
                <w:rStyle w:val="optioncarChar"/>
              </w:rPr>
              <w:t>6 / 8 / 10 / 11 / 12 / 14 / 16 / 20 / 22 / 32 </w:t>
            </w:r>
            <w:r>
              <w:t>mm</w:t>
            </w:r>
          </w:p>
        </w:tc>
        <w:tc>
          <w:tcPr>
            <w:tcW w:w="1500" w:type="dxa"/>
            <w:noWrap/>
          </w:tcPr>
          <w:p w14:paraId="698DD1C3" w14:textId="77777777" w:rsidR="00DF410E" w:rsidRDefault="00CE7F43">
            <w:pPr>
              <w:jc w:val="center"/>
            </w:pPr>
            <w:r>
              <w:rPr>
                <w:rStyle w:val="optioncarChar"/>
              </w:rPr>
              <w:t>***</w:t>
            </w:r>
          </w:p>
        </w:tc>
      </w:tr>
    </w:tbl>
    <w:p w14:paraId="3B935E71" w14:textId="77777777" w:rsidR="00DF410E" w:rsidRDefault="00CE7F43">
      <w:r>
        <w:t> </w:t>
      </w:r>
    </w:p>
    <w:p w14:paraId="1F9AF483"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16A31444" w14:textId="77777777" w:rsidR="00DF410E" w:rsidRDefault="00CE7F43">
      <w:pPr>
        <w:pStyle w:val="Author-eListParagraph"/>
        <w:numPr>
          <w:ilvl w:val="0"/>
          <w:numId w:val="337"/>
        </w:numPr>
      </w:pPr>
      <w:r>
        <w:t xml:space="preserve">Classe de viscosité apparente : </w:t>
      </w:r>
      <w:r>
        <w:rPr>
          <w:rStyle w:val="optioncarChar"/>
        </w:rPr>
        <w:t>VS1 / VS2</w:t>
      </w:r>
      <w:r>
        <w:t xml:space="preserve"> (selon la [NBN EN 12350-8])</w:t>
      </w:r>
    </w:p>
    <w:p w14:paraId="094D43E8" w14:textId="77777777" w:rsidR="00DF410E" w:rsidRDefault="00CE7F43">
      <w:pPr>
        <w:pStyle w:val="Author-eListParagraph"/>
        <w:numPr>
          <w:ilvl w:val="0"/>
          <w:numId w:val="337"/>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432CE88" w14:textId="77777777" w:rsidR="00DF410E" w:rsidRDefault="00CE7F43">
      <w:pPr>
        <w:pStyle w:val="Author-eListParagraph"/>
        <w:numPr>
          <w:ilvl w:val="0"/>
          <w:numId w:val="33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C2A1A89" w14:textId="77777777" w:rsidR="00DF410E" w:rsidRDefault="00CE7F43">
      <w:r>
        <w:rPr>
          <w:u w:val="single"/>
        </w:rPr>
        <w:t>Armatures</w:t>
      </w:r>
    </w:p>
    <w:p w14:paraId="5648DF99" w14:textId="77777777" w:rsidR="00DF410E" w:rsidRDefault="00CE7F43">
      <w:pPr>
        <w:pStyle w:val="Author-eListParagraph"/>
        <w:numPr>
          <w:ilvl w:val="0"/>
          <w:numId w:val="338"/>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4B6C4A7" w14:textId="77777777" w:rsidR="00DF410E" w:rsidRDefault="00CE7F43">
      <w:pPr>
        <w:pStyle w:val="Author-eListParagraph"/>
        <w:numPr>
          <w:ilvl w:val="0"/>
          <w:numId w:val="338"/>
        </w:numPr>
      </w:pPr>
      <w:r>
        <w:t xml:space="preserve">Acier pour les étriers : acier </w:t>
      </w:r>
      <w:r>
        <w:rPr>
          <w:rStyle w:val="optioncarChar"/>
        </w:rPr>
        <w:t xml:space="preserve">DE 500 BS </w:t>
      </w:r>
      <w:r>
        <w:t xml:space="preserve">(par défaut) </w:t>
      </w:r>
      <w:r>
        <w:rPr>
          <w:rStyle w:val="optioncarChar"/>
        </w:rPr>
        <w:t>/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2A30CDE" w14:textId="77777777" w:rsidR="00DF410E" w:rsidRDefault="00CE7F43">
      <w:pPr>
        <w:pStyle w:val="pheading"/>
      </w:pPr>
      <w:r>
        <w:t>- Finitions</w:t>
      </w:r>
    </w:p>
    <w:p w14:paraId="34315E17" w14:textId="77777777" w:rsidR="00DF410E" w:rsidRDefault="00CE7F43">
      <w:r>
        <w:t xml:space="preserve">Les surfaces de béton </w:t>
      </w:r>
      <w:r>
        <w:rPr>
          <w:rStyle w:val="optioncarChar"/>
        </w:rPr>
        <w:t xml:space="preserve">sont destinées à rester visibles </w:t>
      </w:r>
      <w:r>
        <w:t>(par défaut)</w:t>
      </w:r>
      <w:r>
        <w:rPr>
          <w:rStyle w:val="optioncarChar"/>
        </w:rPr>
        <w:t xml:space="preserve"> / sont rugueuses / comportent un coffrage perdu</w:t>
      </w:r>
      <w:r>
        <w:br/>
      </w:r>
      <w:r>
        <w:rPr>
          <w:b/>
        </w:rPr>
        <w:t>(soit par défaut)</w:t>
      </w:r>
      <w:r>
        <w:br/>
      </w:r>
      <w:r>
        <w:rPr>
          <w:rStyle w:val="soitChar"/>
          <w:u w:val="single"/>
        </w:rPr>
        <w:t>Sont destinées à rester visibles</w:t>
      </w:r>
      <w:r>
        <w:rPr>
          <w:rStyle w:val="soitChar"/>
        </w:rPr>
        <w:t xml:space="preserve"> : La surface du béton brute de décoffrage est </w:t>
      </w:r>
      <w:r>
        <w:rPr>
          <w:rStyle w:val="optioncarChar"/>
        </w:rPr>
        <w:t xml:space="preserve">lisse </w:t>
      </w:r>
      <w:r>
        <w:t>(par défaut)</w:t>
      </w:r>
      <w:r>
        <w:rPr>
          <w:rStyle w:val="optioncarChar"/>
        </w:rPr>
        <w:t xml:space="preserve"> / texturée / à relief (ou structurée) / ***</w:t>
      </w:r>
      <w:r>
        <w:br/>
      </w:r>
      <w:r>
        <w:rPr>
          <w:b/>
        </w:rPr>
        <w:t>(soit)</w:t>
      </w:r>
      <w:r>
        <w:br/>
      </w:r>
      <w:r>
        <w:rPr>
          <w:rStyle w:val="soitChar"/>
          <w:u w:val="single"/>
        </w:rPr>
        <w:t>Sont rugueuses</w:t>
      </w:r>
      <w:r>
        <w:rPr>
          <w:rStyle w:val="soitChar"/>
        </w:rPr>
        <w:t xml:space="preserve"> : (p.ex. pour recevoir un plafonnage,…)</w:t>
      </w:r>
      <w:r>
        <w:br/>
      </w:r>
      <w:r>
        <w:rPr>
          <w:b/>
        </w:rPr>
        <w:t>(soit)</w:t>
      </w:r>
      <w:r>
        <w:br/>
      </w:r>
      <w:r>
        <w:rPr>
          <w:rStyle w:val="soitChar"/>
          <w:u w:val="single"/>
        </w:rPr>
        <w:t>Comportent un coffrage perdu</w:t>
      </w:r>
      <w:r>
        <w:rPr>
          <w:rStyle w:val="soitChar"/>
        </w:rPr>
        <w:t xml:space="preserve"> : (p.ex. un isolant pour éviter de la condensation,…)</w:t>
      </w:r>
      <w:r>
        <w:br/>
      </w:r>
    </w:p>
    <w:p w14:paraId="64F37018" w14:textId="77777777" w:rsidR="00DF410E" w:rsidRDefault="00CE7F43">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u w:val="single"/>
        </w:rPr>
        <w:t>Vives</w:t>
      </w:r>
      <w:r>
        <w:br/>
      </w:r>
      <w:r>
        <w:rPr>
          <w:rStyle w:val="optioncarChar"/>
          <w:b/>
          <w:color w:val="000000"/>
        </w:rPr>
        <w:t>(soit)</w:t>
      </w:r>
      <w:r>
        <w:br/>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p>
    <w:p w14:paraId="6A203D74" w14:textId="77777777" w:rsidR="00DF410E" w:rsidRDefault="00CE7F43">
      <w:pPr>
        <w:pStyle w:val="pheading"/>
      </w:pPr>
      <w:r>
        <w:t>- Prescriptions complémentaires</w:t>
      </w:r>
    </w:p>
    <w:p w14:paraId="71E28B31" w14:textId="77777777" w:rsidR="00DF410E" w:rsidRDefault="00CE7F43">
      <w:r>
        <w:t>Résistance au feu :</w:t>
      </w:r>
      <w:r>
        <w:rPr>
          <w:rStyle w:val="optioncarChar"/>
        </w:rPr>
        <w:t> R30 </w:t>
      </w:r>
      <w:r>
        <w:t>(par défaut)</w:t>
      </w:r>
      <w:r>
        <w:rPr>
          <w:rStyle w:val="optioncarChar"/>
        </w:rPr>
        <w:t xml:space="preserve"> / R60 / R120 / R240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1B02C0E7" w14:textId="77777777" w:rsidR="00DF410E" w:rsidRDefault="00CE7F43">
      <w:pPr>
        <w:pStyle w:val="pheading"/>
      </w:pPr>
      <w:r>
        <w:t>EXÉCUTION / MISE EN ŒUVRE</w:t>
      </w:r>
    </w:p>
    <w:p w14:paraId="53AF192F" w14:textId="77777777" w:rsidR="00DF410E" w:rsidRDefault="00CE7F43">
      <w:pPr>
        <w:pStyle w:val="pheading"/>
      </w:pPr>
      <w:r>
        <w:t>- Prescriptions générales</w:t>
      </w:r>
    </w:p>
    <w:p w14:paraId="7F6613E9" w14:textId="77777777" w:rsidR="00DF410E" w:rsidRDefault="00CE7F43">
      <w:r>
        <w:t xml:space="preserve">Les </w:t>
      </w:r>
      <w:r>
        <w:rPr>
          <w:rStyle w:val="optioncarChar"/>
          <w:color w:val="000000"/>
        </w:rPr>
        <w:t xml:space="preserve">poutres </w:t>
      </w:r>
      <w:r>
        <w:t>sont exécutées dans les dimensions indiquées sur les plans.</w:t>
      </w:r>
    </w:p>
    <w:p w14:paraId="0A16CACF" w14:textId="77777777" w:rsidR="00DF410E" w:rsidRDefault="00CE7F43">
      <w:r>
        <w:t>L’entrepreneur est tenu de vérifier si elles peuvent effectivement être réalisées conformément aux plans soumis. Il y a lieu de tenir compte de la hauteur libre requise par rapport au niveau du sol. .</w:t>
      </w:r>
    </w:p>
    <w:p w14:paraId="276F0FBD" w14:textId="77777777" w:rsidR="00DF410E" w:rsidRDefault="00CE7F43">
      <w:r>
        <w:t xml:space="preserve">La longueur d’appui est d’au moins </w:t>
      </w:r>
      <w:r>
        <w:rPr>
          <w:rStyle w:val="optioncarChar"/>
        </w:rPr>
        <w:t>*** cm suivant calcul </w:t>
      </w:r>
      <w:r>
        <w:t>(par défaut)</w:t>
      </w:r>
      <w:r>
        <w:rPr>
          <w:rStyle w:val="optioncarChar"/>
        </w:rPr>
        <w:t xml:space="preserve"> / 20 / 30</w:t>
      </w:r>
      <w:r>
        <w:t xml:space="preserve"> cm à chaque extrémité des </w:t>
      </w:r>
      <w:r>
        <w:rPr>
          <w:rStyle w:val="optioncarChar"/>
          <w:color w:val="000000"/>
        </w:rPr>
        <w:t>poutres.</w:t>
      </w:r>
    </w:p>
    <w:p w14:paraId="6ABB8366" w14:textId="77777777" w:rsidR="00DF410E" w:rsidRDefault="00CE7F43">
      <w:r>
        <w:t xml:space="preserve">Le décoffrage ne peut avoir lieu </w:t>
      </w:r>
      <w:r>
        <w:rPr>
          <w:rStyle w:val="optioncarChar"/>
        </w:rPr>
        <w:t>avant *** jours après le coulage du béton / avant le nombre de jours fixé par les directives du bureau d’étude </w:t>
      </w:r>
      <w:r>
        <w:t xml:space="preserve">(par défaut) (voir également en </w:t>
      </w:r>
      <w:hyperlink w:anchor="87" w:history="1">
        <w:r>
          <w:t>22 Superstructures en béton</w:t>
        </w:r>
      </w:hyperlink>
      <w:r>
        <w:t xml:space="preserve"> sous-titre </w:t>
      </w:r>
      <w:r>
        <w:rPr>
          <w:u w:val="single"/>
        </w:rPr>
        <w:t>Décoffrage</w:t>
      </w:r>
      <w:r>
        <w:t xml:space="preserve"> et [NBN B 15-400])</w:t>
      </w:r>
    </w:p>
    <w:p w14:paraId="36ACD3AC" w14:textId="77777777" w:rsidR="00DF410E" w:rsidRDefault="00CE7F43">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1F412B61" w14:textId="77777777" w:rsidR="00DF410E" w:rsidRDefault="00CE7F43">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M</w:t>
      </w:r>
      <w:r>
        <w:rPr>
          <w:rStyle w:val="soitChar"/>
          <w:u w:val="single"/>
        </w:rPr>
        <w:t>ortier</w:t>
      </w:r>
      <w:r>
        <w:br/>
      </w:r>
      <w:r>
        <w:rPr>
          <w:rStyle w:val="soitChar"/>
        </w:rPr>
        <w:t>remplis de mortier de la même couleur que le béton immédiatement après le décoffrage</w:t>
      </w:r>
      <w:r>
        <w:br/>
      </w:r>
      <w:r>
        <w:rPr>
          <w:b/>
        </w:rPr>
        <w:t>(soit)</w:t>
      </w:r>
      <w:r>
        <w:br/>
      </w:r>
      <w:r>
        <w:rPr>
          <w:rStyle w:val="soitChar"/>
        </w:rPr>
        <w:t>B</w:t>
      </w:r>
      <w:r>
        <w:rPr>
          <w:rStyle w:val="soitChar"/>
          <w:u w:val="single"/>
        </w:rPr>
        <w:t>ouchon synthétique</w:t>
      </w:r>
      <w:r>
        <w:br/>
      </w:r>
      <w:r>
        <w:rPr>
          <w:rStyle w:val="soitChar"/>
        </w:rPr>
        <w:t>bouchés à l'aide d'un bouchon en matière synthétique</w:t>
      </w:r>
      <w:r>
        <w:br/>
      </w:r>
      <w:r>
        <w:rPr>
          <w:b/>
        </w:rPr>
        <w:t>(soit)</w:t>
      </w:r>
      <w:r>
        <w:br/>
      </w:r>
      <w:r>
        <w:rPr>
          <w:rStyle w:val="soitChar"/>
        </w:rPr>
        <w:t>T</w:t>
      </w:r>
      <w:r>
        <w:rPr>
          <w:rStyle w:val="soitChar"/>
          <w:u w:val="single"/>
        </w:rPr>
        <w:t>ampon synthétique</w:t>
      </w:r>
      <w:r>
        <w:br/>
      </w:r>
      <w:r>
        <w:rPr>
          <w:rStyle w:val="soitChar"/>
        </w:rPr>
        <w:t>bouchés à l'aide d'un tampon en matière synthétique collé dans le trou</w:t>
      </w:r>
      <w:r>
        <w:br/>
        <w:t>(</w:t>
      </w:r>
      <w:r>
        <w:rPr>
          <w:b/>
        </w:rPr>
        <w:t>soit)</w:t>
      </w:r>
      <w:r>
        <w:br/>
      </w:r>
      <w:r>
        <w:rPr>
          <w:rStyle w:val="soitChar"/>
        </w:rPr>
        <w:t>F</w:t>
      </w:r>
      <w:r>
        <w:rPr>
          <w:rStyle w:val="soitChar"/>
          <w:u w:val="single"/>
        </w:rPr>
        <w:t>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 xml:space="preserve">traités avec du bitume </w:t>
      </w:r>
      <w:r>
        <w:t>(par défaut) </w:t>
      </w:r>
      <w:r>
        <w:rPr>
          <w:rStyle w:val="optioncarChar"/>
        </w:rPr>
        <w:t>/ réalisés en béton étanche / ***</w:t>
      </w:r>
      <w:r>
        <w:br/>
      </w:r>
      <w:r>
        <w:rPr>
          <w:b/>
        </w:rPr>
        <w:t>(soit par défaut)</w:t>
      </w:r>
      <w:r>
        <w:br/>
      </w:r>
      <w:r>
        <w:rPr>
          <w:rStyle w:val="soitChar"/>
        </w:rPr>
        <w:t>T</w:t>
      </w:r>
      <w:r>
        <w:rPr>
          <w:rStyle w:val="soitChar"/>
          <w:u w:val="single"/>
        </w:rPr>
        <w: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R</w:t>
      </w:r>
      <w:r>
        <w:rPr>
          <w:rStyle w:val="soitChar"/>
          <w:u w:val="single"/>
        </w:rPr>
        <w:t>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2229DD11" w14:textId="77777777" w:rsidR="00DF410E" w:rsidRDefault="00CE7F43">
      <w:pPr>
        <w:pStyle w:val="pheading"/>
      </w:pPr>
      <w:r>
        <w:t>- Notes d’exécution complémentaires</w:t>
      </w:r>
    </w:p>
    <w:p w14:paraId="3B128AD3" w14:textId="77777777" w:rsidR="00DF410E" w:rsidRDefault="00CE7F43">
      <w:r>
        <w:t xml:space="preserve">Raccords visibles entre éléments de coffrage : </w:t>
      </w:r>
      <w:r>
        <w:rPr>
          <w:rStyle w:val="optioncarChar"/>
        </w:rPr>
        <w:t>joint en forme de V </w:t>
      </w:r>
      <w:r>
        <w:t>(par défaut) </w:t>
      </w:r>
      <w:r>
        <w:rPr>
          <w:rStyle w:val="optioncarChar"/>
        </w:rPr>
        <w:t>/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51649C97" w14:textId="77777777" w:rsidR="00DF410E" w:rsidRDefault="00CE7F43">
      <w:pPr>
        <w:pStyle w:val="pheading"/>
      </w:pPr>
      <w:r>
        <w:t>MESURAGE</w:t>
      </w:r>
    </w:p>
    <w:p w14:paraId="1BD821D4" w14:textId="77777777" w:rsidR="00DF410E" w:rsidRDefault="00CE7F43">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4D9674BE" w14:textId="77777777" w:rsidR="00DF410E" w:rsidRDefault="00CE7F43">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1" w:history="1">
        <w:r>
          <w:rPr>
            <w:rStyle w:val="soitChar"/>
          </w:rPr>
          <w:t>22.51 Armatures pour béton</w:t>
        </w:r>
      </w:hyperlink>
    </w:p>
    <w:p w14:paraId="200975BE" w14:textId="77777777" w:rsidR="00DF410E" w:rsidRDefault="00CE7F43">
      <w:pPr>
        <w:pStyle w:val="pheading"/>
      </w:pPr>
      <w:r>
        <w:t>- unité de mesure:</w:t>
      </w:r>
    </w:p>
    <w:p w14:paraId="25F6AFE6" w14:textId="77777777" w:rsidR="00DF410E" w:rsidRDefault="00CE7F43">
      <w:r>
        <w:rPr>
          <w:rStyle w:val="headingChar"/>
        </w:rPr>
        <w:t>EN BASE</w:t>
      </w:r>
      <w:r>
        <w:br/>
        <w:t>m³</w:t>
      </w:r>
    </w:p>
    <w:p w14:paraId="03C6D50A" w14:textId="77777777" w:rsidR="00DF410E" w:rsidRDefault="00CE7F43">
      <w:r>
        <w:rPr>
          <w:rStyle w:val="headingChar"/>
        </w:rPr>
        <w:t>EN SUPPLEMENT POUR COFFRAGE PARTICULIER ET COMPLEXE</w:t>
      </w:r>
      <w:r>
        <w:br/>
      </w:r>
      <w:r>
        <w:rPr>
          <w:rStyle w:val="optioncarChar"/>
        </w:rPr>
        <w:t xml:space="preserve">m² </w:t>
      </w:r>
      <w:r>
        <w:t>(par défaut)</w:t>
      </w:r>
      <w:r>
        <w:rPr>
          <w:rStyle w:val="optioncarChar"/>
        </w:rPr>
        <w:t xml:space="preserve"> / m³</w:t>
      </w:r>
    </w:p>
    <w:p w14:paraId="7DE782DF" w14:textId="77777777" w:rsidR="00DF410E" w:rsidRDefault="00CE7F43">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 .</w:t>
      </w:r>
    </w:p>
    <w:p w14:paraId="3594A597" w14:textId="77777777" w:rsidR="00DF410E" w:rsidRDefault="00CE7F43">
      <w:pPr>
        <w:pStyle w:val="pheading"/>
      </w:pPr>
      <w:r>
        <w:t>- code de mesurage:</w:t>
      </w:r>
    </w:p>
    <w:p w14:paraId="22A16002" w14:textId="77777777" w:rsidR="00DF410E" w:rsidRDefault="00CE7F43">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23ECF183" w14:textId="77777777" w:rsidR="00DF410E" w:rsidRDefault="00CE7F43">
      <w:r>
        <w:rPr>
          <w:i/>
          <w:u w:val="single"/>
        </w:rPr>
        <w:t>&gt; Remarque </w:t>
      </w:r>
    </w:p>
    <w:p w14:paraId="53F9FEB0" w14:textId="77777777" w:rsidR="00DF410E" w:rsidRDefault="00CE7F43">
      <w:pPr>
        <w:pStyle w:val="Author-eListParagraph"/>
        <w:numPr>
          <w:ilvl w:val="0"/>
          <w:numId w:val="339"/>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38AC8672" w14:textId="77777777" w:rsidR="00DF410E" w:rsidRDefault="00CE7F43">
      <w:pPr>
        <w:pStyle w:val="Author-eListParagraph"/>
        <w:numPr>
          <w:ilvl w:val="0"/>
          <w:numId w:val="339"/>
        </w:numPr>
      </w:pPr>
      <w:r>
        <w:rPr>
          <w:i/>
        </w:rPr>
        <w:t xml:space="preserve">Les quantités de béton ne sont jamais mesurées sur la base des bons de livraison soumis par l’entrepreneur. </w:t>
      </w:r>
    </w:p>
    <w:p w14:paraId="4DAE9B74" w14:textId="77777777" w:rsidR="00DF410E" w:rsidRDefault="00CE7F43">
      <w:r>
        <w:rPr>
          <w:rStyle w:val="headingChar"/>
        </w:rPr>
        <w:t>EN BASE</w:t>
      </w:r>
      <w:r>
        <w:br/>
        <w:t>Volume net, mesuré selon les dimensions nominales indiquées sur les plans.</w:t>
      </w:r>
    </w:p>
    <w:p w14:paraId="3E8E9B64" w14:textId="77777777" w:rsidR="00DF410E" w:rsidRDefault="00CE7F43">
      <w:pPr>
        <w:pStyle w:val="Author-eListParagraph"/>
        <w:numPr>
          <w:ilvl w:val="0"/>
          <w:numId w:val="340"/>
        </w:numPr>
      </w:pPr>
      <w:r>
        <w:t>Les éléments en béton non rectangulaires sont calculés en multipliant la longueur par la surface de la section.</w:t>
      </w:r>
    </w:p>
    <w:p w14:paraId="7FEC1488" w14:textId="77777777" w:rsidR="00DF410E" w:rsidRDefault="00CE7F43">
      <w:pPr>
        <w:pStyle w:val="Author-eListParagraph"/>
        <w:numPr>
          <w:ilvl w:val="0"/>
          <w:numId w:val="340"/>
        </w:numPr>
      </w:pPr>
      <w:r>
        <w:t>Le contenu des volumes résiduels au droit des angles, rencontres et terminaisons est négligé.</w:t>
      </w:r>
    </w:p>
    <w:p w14:paraId="1EDC9101" w14:textId="77777777" w:rsidR="00DF410E" w:rsidRDefault="00CE7F43">
      <w:pPr>
        <w:pStyle w:val="Author-eListParagraph"/>
        <w:numPr>
          <w:ilvl w:val="0"/>
          <w:numId w:val="340"/>
        </w:numPr>
      </w:pPr>
      <w:r>
        <w:t xml:space="preserve">Aucune déduction n'est faite pour: </w:t>
      </w:r>
    </w:p>
    <w:p w14:paraId="0EB3A6E9" w14:textId="77777777" w:rsidR="00DF410E" w:rsidRDefault="00CE7F43">
      <w:pPr>
        <w:pStyle w:val="Author-eListParagraph"/>
        <w:numPr>
          <w:ilvl w:val="1"/>
          <w:numId w:val="341"/>
        </w:numPr>
      </w:pPr>
      <w:r>
        <w:t>le volume des armatures;</w:t>
      </w:r>
    </w:p>
    <w:p w14:paraId="1D17006E" w14:textId="77777777" w:rsidR="00DF410E" w:rsidRDefault="00CE7F43">
      <w:pPr>
        <w:pStyle w:val="Author-eListParagraph"/>
        <w:numPr>
          <w:ilvl w:val="1"/>
          <w:numId w:val="341"/>
        </w:numPr>
      </w:pPr>
      <w:r>
        <w:t>les blocs et écarteurs, les fourreaux pour les armatures de précontrainte;</w:t>
      </w:r>
    </w:p>
    <w:p w14:paraId="16782FE4" w14:textId="77777777" w:rsidR="00DF410E" w:rsidRDefault="00CE7F43">
      <w:pPr>
        <w:pStyle w:val="Author-eListParagraph"/>
        <w:numPr>
          <w:ilvl w:val="1"/>
          <w:numId w:val="341"/>
        </w:numPr>
      </w:pPr>
      <w:r>
        <w:t>les pénétrations pour les pattes d’ancrage, les creux, les conduites noyées et les réservations dont le volume est inférieur à 0,05 m</w:t>
      </w:r>
      <w:r>
        <w:rPr>
          <w:vertAlign w:val="superscript"/>
        </w:rPr>
        <w:t>3</w:t>
      </w:r>
      <w:r>
        <w:t>;</w:t>
      </w:r>
    </w:p>
    <w:p w14:paraId="1BD1EC96" w14:textId="77777777" w:rsidR="00DF410E" w:rsidRDefault="00CE7F43">
      <w:pPr>
        <w:pStyle w:val="Author-eListParagraph"/>
        <w:numPr>
          <w:ilvl w:val="1"/>
          <w:numId w:val="341"/>
        </w:numPr>
      </w:pPr>
      <w:r>
        <w:t>les chanfreins et tous les profils dont la section a une superficie inférieure à 20 cm</w:t>
      </w:r>
      <w:r>
        <w:rPr>
          <w:vertAlign w:val="superscript"/>
        </w:rPr>
        <w:t>2</w:t>
      </w:r>
      <w:r>
        <w:t>;</w:t>
      </w:r>
    </w:p>
    <w:p w14:paraId="5F6DF727" w14:textId="77777777" w:rsidR="00DF410E" w:rsidRDefault="00CE7F43">
      <w:pPr>
        <w:pStyle w:val="Author-eListParagraph"/>
        <w:numPr>
          <w:ilvl w:val="1"/>
          <w:numId w:val="341"/>
        </w:numPr>
      </w:pPr>
      <w:r>
        <w:t>les rainures, encoches et languettes.</w:t>
      </w:r>
    </w:p>
    <w:p w14:paraId="18AF8A02" w14:textId="77777777" w:rsidR="00DF410E" w:rsidRDefault="00CE7F43">
      <w:r>
        <w:rPr>
          <w:rStyle w:val="headingChar"/>
        </w:rPr>
        <w:t>EN SUPPLEMENT POUR COFFRAGE PARTICULIER ET COMPLEXE</w:t>
      </w:r>
      <w:r>
        <w:br/>
      </w:r>
      <w:r>
        <w:rPr>
          <w:rStyle w:val="optioncarChar"/>
        </w:rPr>
        <w:t xml:space="preserve">Surface </w:t>
      </w:r>
      <w:r>
        <w:t>(par défaut)</w:t>
      </w:r>
      <w:r>
        <w:rPr>
          <w:rStyle w:val="optioncarChar"/>
        </w:rPr>
        <w:t xml:space="preserve"> / Volume net </w:t>
      </w:r>
      <w:r>
        <w:t>mesurés selon les dimensions nominales indiquées sur les plans.</w:t>
      </w:r>
    </w:p>
    <w:p w14:paraId="214E255A" w14:textId="77777777" w:rsidR="00DF410E" w:rsidRDefault="00CE7F43">
      <w:r>
        <w:rPr>
          <w:b/>
        </w:rPr>
        <w:t>(Soit par défaut)</w:t>
      </w:r>
      <w:r>
        <w:br/>
      </w:r>
      <w:r>
        <w:rPr>
          <w:rStyle w:val="soitChar"/>
        </w:rPr>
        <w:t xml:space="preserve">1. </w:t>
      </w:r>
      <w:r>
        <w:rPr>
          <w:rStyle w:val="soitChar"/>
          <w:u w:val="single"/>
        </w:rPr>
        <w:t>Surface :</w:t>
      </w:r>
    </w:p>
    <w:p w14:paraId="4DFBB121" w14:textId="77777777" w:rsidR="00DF410E" w:rsidRDefault="00CE7F43">
      <w:pPr>
        <w:pStyle w:val="Author-eListParagraph"/>
        <w:numPr>
          <w:ilvl w:val="0"/>
          <w:numId w:val="342"/>
        </w:numPr>
      </w:pPr>
      <w:r>
        <w:t>Les surfaces supérieures qui ont une inclinaison plus forte que 6/4 sont considérées comme surfaces à coffrer.</w:t>
      </w:r>
    </w:p>
    <w:p w14:paraId="4BC72B1C" w14:textId="77777777" w:rsidR="00DF410E" w:rsidRDefault="00CE7F43">
      <w:pPr>
        <w:pStyle w:val="Author-eListParagraph"/>
        <w:numPr>
          <w:ilvl w:val="0"/>
          <w:numId w:val="342"/>
        </w:numPr>
      </w:pPr>
      <w:r>
        <w:t xml:space="preserve">On ne déduit pas les surfaces </w:t>
      </w:r>
    </w:p>
    <w:p w14:paraId="32CDAF22" w14:textId="77777777" w:rsidR="00DF410E" w:rsidRDefault="00CE7F43">
      <w:pPr>
        <w:pStyle w:val="Author-eListParagraph"/>
        <w:numPr>
          <w:ilvl w:val="1"/>
          <w:numId w:val="343"/>
        </w:numPr>
      </w:pPr>
      <w:r>
        <w:t>des évidements égaux ou inférieurs à 1 m</w:t>
      </w:r>
      <w:r>
        <w:rPr>
          <w:vertAlign w:val="superscript"/>
        </w:rPr>
        <w:t>2</w:t>
      </w:r>
    </w:p>
    <w:p w14:paraId="17C47CA7" w14:textId="77777777" w:rsidR="00DF410E" w:rsidRDefault="00CE7F43">
      <w:pPr>
        <w:pStyle w:val="Author-eListParagraph"/>
        <w:numPr>
          <w:ilvl w:val="1"/>
          <w:numId w:val="343"/>
        </w:numPr>
      </w:pPr>
      <w:r>
        <w:t>des raccordements de poutres entre elles ou avec les parois ou les colonnes.</w:t>
      </w:r>
    </w:p>
    <w:p w14:paraId="67EEC937" w14:textId="77777777" w:rsidR="00DF410E" w:rsidRDefault="00CE7F43">
      <w:pPr>
        <w:pStyle w:val="Author-eListParagraph"/>
        <w:numPr>
          <w:ilvl w:val="0"/>
          <w:numId w:val="342"/>
        </w:numPr>
      </w:pPr>
      <w:r>
        <w:t>Le coffrage des évidements, des gaines, etc. égaux ou inférieurs à 1 m</w:t>
      </w:r>
      <w:r>
        <w:rPr>
          <w:vertAlign w:val="superscript"/>
        </w:rPr>
        <w:t>2</w:t>
      </w:r>
      <w:r>
        <w:t xml:space="preserve"> est mesuré à la pièce.</w:t>
      </w:r>
    </w:p>
    <w:p w14:paraId="4EAA25CF" w14:textId="77777777" w:rsidR="00DF410E" w:rsidRDefault="00CE7F43">
      <w:pPr>
        <w:pStyle w:val="Author-eListParagraph"/>
        <w:numPr>
          <w:ilvl w:val="0"/>
          <w:numId w:val="342"/>
        </w:numPr>
      </w:pPr>
      <w:r>
        <w:t>Le coffrage des évidements supérieurs à 1 m</w:t>
      </w:r>
      <w:r>
        <w:rPr>
          <w:vertAlign w:val="superscript"/>
        </w:rPr>
        <w:t>2</w:t>
      </w:r>
      <w:r>
        <w:t xml:space="preserve"> est compté avec l'élément correspondant.</w:t>
      </w:r>
    </w:p>
    <w:p w14:paraId="70796670" w14:textId="77777777" w:rsidR="00DF410E" w:rsidRDefault="00CE7F43">
      <w:pPr>
        <w:pStyle w:val="Author-eListParagraph"/>
        <w:numPr>
          <w:ilvl w:val="0"/>
          <w:numId w:val="342"/>
        </w:numPr>
      </w:pPr>
      <w:r>
        <w:t>Pour la mesure de la surface des coffrages, il n'est pas tenu compte des lattes de coin et des autres lattes incorporées en vue de donner les profilés voulus et qui sont fixées dans le coffrage.</w:t>
      </w:r>
    </w:p>
    <w:p w14:paraId="7C5BDAA2" w14:textId="77777777" w:rsidR="00DF410E" w:rsidRDefault="00CE7F43">
      <w:pPr>
        <w:pStyle w:val="Author-eListParagraph"/>
        <w:numPr>
          <w:ilvl w:val="0"/>
          <w:numId w:val="342"/>
        </w:numPr>
      </w:pPr>
      <w:r>
        <w:t>Les coffrages latéraux et les coffrages des têtes sont comptés avec l'élément correspondant.</w:t>
      </w:r>
    </w:p>
    <w:p w14:paraId="6ADF741B" w14:textId="77777777" w:rsidR="00DF410E" w:rsidRDefault="00CE7F43">
      <w:pPr>
        <w:pStyle w:val="Author-eListParagraph"/>
        <w:numPr>
          <w:ilvl w:val="0"/>
          <w:numId w:val="342"/>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1976285F" w14:textId="77777777" w:rsidR="00DF410E" w:rsidRDefault="00CE7F43">
      <w:pPr>
        <w:pStyle w:val="Author-eListParagraph"/>
        <w:numPr>
          <w:ilvl w:val="0"/>
          <w:numId w:val="342"/>
        </w:numPr>
      </w:pPr>
      <w:r>
        <w:t>A l'intersection de poutres, le coffrage de la plus épaisse est mesuré en continu. Le coffrage des autres est mesuré entre celui des plus épaisses.</w:t>
      </w:r>
    </w:p>
    <w:p w14:paraId="64F78207" w14:textId="77777777" w:rsidR="00DF410E" w:rsidRDefault="00CE7F43">
      <w:pPr>
        <w:pStyle w:val="Author-eListParagraph"/>
        <w:numPr>
          <w:ilvl w:val="0"/>
          <w:numId w:val="342"/>
        </w:numPr>
      </w:pPr>
      <w:r>
        <w:t>Le coffrage des poutres est mesuré sans tenir compte d'interruptions telles que des colonnes, même si les poutres sont plus étroites que les colonnes.</w:t>
      </w:r>
    </w:p>
    <w:p w14:paraId="06442542" w14:textId="77777777" w:rsidR="00DF410E" w:rsidRDefault="00CE7F43">
      <w:r>
        <w:rPr>
          <w:b/>
        </w:rPr>
        <w:t>(soit)</w:t>
      </w:r>
      <w:r>
        <w:br/>
      </w:r>
      <w:r>
        <w:rPr>
          <w:rStyle w:val="soitChar"/>
        </w:rPr>
        <w:t xml:space="preserve">2. </w:t>
      </w:r>
      <w:r>
        <w:rPr>
          <w:rStyle w:val="soitChar"/>
          <w:u w:val="single"/>
        </w:rPr>
        <w:t>Volume net:</w:t>
      </w:r>
      <w:r>
        <w:rPr>
          <w:rStyle w:val="soitChar"/>
        </w:rPr>
        <w:t xml:space="preserve"> voir description en base ci-dessus</w:t>
      </w:r>
    </w:p>
    <w:p w14:paraId="7F55F8DD" w14:textId="77777777" w:rsidR="00DF410E" w:rsidRDefault="00CE7F43">
      <w:pPr>
        <w:pStyle w:val="pheading"/>
      </w:pPr>
      <w:r>
        <w:t>- nature du marché:</w:t>
      </w:r>
    </w:p>
    <w:p w14:paraId="203936B7" w14:textId="77777777" w:rsidR="00DF410E" w:rsidRDefault="00CE7F43">
      <w:r>
        <w:rPr>
          <w:rStyle w:val="headingChar"/>
        </w:rPr>
        <w:t>EN BASE</w:t>
      </w:r>
    </w:p>
    <w:p w14:paraId="4DF4CAD8" w14:textId="77777777" w:rsidR="00DF410E" w:rsidRDefault="00CE7F43">
      <w:r>
        <w:rPr>
          <w:rStyle w:val="optioncarChar"/>
        </w:rPr>
        <w:t xml:space="preserve">QF </w:t>
      </w:r>
      <w:r>
        <w:t>(par défaut)</w:t>
      </w:r>
      <w:r>
        <w:rPr>
          <w:rStyle w:val="optioncarChar"/>
        </w:rPr>
        <w:t xml:space="preserve"> / QP / PM</w:t>
      </w:r>
    </w:p>
    <w:p w14:paraId="43169B6F" w14:textId="77777777" w:rsidR="00DF410E" w:rsidRDefault="00CE7F43">
      <w:r>
        <w:rPr>
          <w:rStyle w:val="headingChar"/>
        </w:rPr>
        <w:t>SUPPLEMENT POUR COFFRAGE PARTICULIER ET COMPLEXE</w:t>
      </w:r>
      <w:r>
        <w:br/>
      </w:r>
    </w:p>
    <w:p w14:paraId="5555B86E" w14:textId="77777777" w:rsidR="00DF410E" w:rsidRDefault="00CE7F43">
      <w:r>
        <w:rPr>
          <w:rStyle w:val="optioncarChar"/>
        </w:rPr>
        <w:t xml:space="preserve">QF </w:t>
      </w:r>
      <w:r>
        <w:t xml:space="preserve">(par défaut) </w:t>
      </w:r>
      <w:r>
        <w:rPr>
          <w:rStyle w:val="optioncarChar"/>
        </w:rPr>
        <w:t>/ QP</w:t>
      </w:r>
    </w:p>
    <w:p w14:paraId="54913C43" w14:textId="77777777" w:rsidR="00DF410E" w:rsidRDefault="00CE7F43">
      <w:r>
        <w:rPr>
          <w:u w:val="single"/>
        </w:rPr>
        <w:t>Attention</w:t>
      </w:r>
      <w:r>
        <w:t xml:space="preserve"> : dans le cas où les armatures ne sont pas comprises dans le prix unitaire du béton, se référer aux § </w:t>
      </w:r>
      <w:hyperlink w:anchor="232" w:history="1">
        <w:r>
          <w:t>22.51.1 Barres d'armatures pour béton</w:t>
        </w:r>
      </w:hyperlink>
      <w:r>
        <w:t xml:space="preserve"> et § </w:t>
      </w:r>
      <w:hyperlink w:anchor="233" w:history="1">
        <w:r>
          <w:t>22.51.2 Treillis et panneaux d'armatures préfabriqués</w:t>
        </w:r>
      </w:hyperlink>
      <w:r>
        <w:t xml:space="preserve">. Pour les armatures de précontrainte, se référer au § </w:t>
      </w:r>
      <w:hyperlink w:anchor="481" w:history="1">
        <w:r>
          <w:t>22.52.1 Armatures de précontrainte par post-tension</w:t>
        </w:r>
      </w:hyperlink>
      <w:r>
        <w:t>.</w:t>
      </w:r>
      <w:r>
        <w:br/>
        <w:t> </w:t>
      </w:r>
    </w:p>
    <w:p w14:paraId="62C1AA2F" w14:textId="77777777" w:rsidR="00DF410E" w:rsidRDefault="00CE7F43">
      <w:pPr>
        <w:pStyle w:val="pheading"/>
      </w:pPr>
      <w:r>
        <w:t>AIDE</w:t>
      </w:r>
    </w:p>
    <w:p w14:paraId="3AAAB0BB" w14:textId="77777777" w:rsidR="00DF410E" w:rsidRDefault="00CE7F43">
      <w:r>
        <w:rPr>
          <w:u w:val="single"/>
        </w:rPr>
        <w:t>A l'attention de l'auteur de projet</w:t>
      </w:r>
    </w:p>
    <w:p w14:paraId="414ABFBD" w14:textId="77777777" w:rsidR="00DF410E" w:rsidRDefault="00CE7F43">
      <w:pPr>
        <w:pStyle w:val="Author-eListParagraph"/>
        <w:numPr>
          <w:ilvl w:val="0"/>
          <w:numId w:val="344"/>
        </w:numPr>
      </w:pPr>
      <w:r>
        <w:t xml:space="preserve">Pour les linteaux des portes et fenêtres de portée limitée, les linteaux préfabriqués sont en principe prévus à l'article </w:t>
      </w:r>
      <w:hyperlink w:anchor="170" w:history="1">
        <w:r>
          <w:t>22.13.1d Linteaux préfabriqués en béton précontraint</w:t>
        </w:r>
      </w:hyperlink>
      <w:r>
        <w:t xml:space="preserve"> (compris dans le prix des ouvrages en maçonnerie).</w:t>
      </w:r>
    </w:p>
    <w:p w14:paraId="6BAA8C46" w14:textId="77777777" w:rsidR="00DF410E" w:rsidRDefault="00CE7F43">
      <w:pPr>
        <w:pStyle w:val="Author-eListParagraph"/>
        <w:numPr>
          <w:ilvl w:val="0"/>
          <w:numId w:val="344"/>
        </w:numPr>
      </w:pPr>
      <w:r>
        <w:t>Les poutres non autoportantes et les poutres de répartition sont prévues séparément à l'article </w:t>
      </w:r>
      <w:hyperlink w:anchor="483" w:history="1">
        <w:r>
          <w:t>22.11.1b Poutres de ceinture en béton armé coulé en place</w:t>
        </w:r>
      </w:hyperlink>
    </w:p>
    <w:p w14:paraId="08D458BD" w14:textId="77777777" w:rsidR="00DF410E" w:rsidRDefault="00CE7F43">
      <w:pPr>
        <w:pStyle w:val="Author-eSectionHeading6"/>
      </w:pPr>
      <w:bookmarkStart w:id="605" w:name="_Toc178837788"/>
      <w:r>
        <w:t>22.11.1b Poutres de ceinture en béton armé coulé en place CCTB 01.11</w:t>
      </w:r>
      <w:bookmarkEnd w:id="605"/>
    </w:p>
    <w:p w14:paraId="555CEF26" w14:textId="77777777" w:rsidR="00DF410E" w:rsidRDefault="00CE7F43">
      <w:pPr>
        <w:pStyle w:val="pheading"/>
      </w:pPr>
      <w:bookmarkStart w:id="606" w:name="483"/>
      <w:bookmarkEnd w:id="606"/>
      <w:r>
        <w:t>DESCRIPTION</w:t>
      </w:r>
    </w:p>
    <w:p w14:paraId="694F7040" w14:textId="77777777" w:rsidR="00DF410E" w:rsidRDefault="00CE7F43">
      <w:pPr>
        <w:pStyle w:val="pheading"/>
      </w:pPr>
      <w:r>
        <w:t>- Définition / Comprend</w:t>
      </w:r>
    </w:p>
    <w:p w14:paraId="27923339" w14:textId="77777777" w:rsidR="00DF410E" w:rsidRDefault="00CE7F43">
      <w:r>
        <w:t xml:space="preserve">Il s'agit de toutes les poutres de chaînage périphérique non autoportantes exécutées en béton coulé en place. Les travaux comprennent les éléments décrits en </w:t>
      </w:r>
      <w:hyperlink w:anchor="87"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2EC3E1BB" w14:textId="77777777" w:rsidR="00DF410E" w:rsidRDefault="00CE7F43">
      <w:r>
        <w:t xml:space="preserve">L'étude et les plans d'exécution </w:t>
      </w:r>
      <w:r>
        <w:rPr>
          <w:rStyle w:val="optioncarChar"/>
        </w:rPr>
        <w:t>sont / ne sont pas</w:t>
      </w:r>
      <w:r>
        <w:t xml:space="preserve"> à charge de l'entreprise.</w:t>
      </w:r>
    </w:p>
    <w:p w14:paraId="2BB79C79" w14:textId="77777777" w:rsidR="00DF410E" w:rsidRDefault="00CE7F43">
      <w:pPr>
        <w:pStyle w:val="pheading"/>
      </w:pPr>
      <w:r>
        <w:t>MATÉRIAUX</w:t>
      </w:r>
    </w:p>
    <w:p w14:paraId="3DFAAA1F" w14:textId="77777777" w:rsidR="00DF410E" w:rsidRDefault="00CE7F43">
      <w:pPr>
        <w:pStyle w:val="pheading"/>
      </w:pPr>
      <w:r>
        <w:t>- Caractéristiques générales</w:t>
      </w:r>
    </w:p>
    <w:p w14:paraId="545D2AC5" w14:textId="77777777" w:rsidR="00DF410E" w:rsidRDefault="00CE7F43">
      <w:r>
        <w:rPr>
          <w:u w:val="single"/>
        </w:rPr>
        <w:t>Béton</w:t>
      </w:r>
    </w:p>
    <w:p w14:paraId="153EBAA9" w14:textId="77777777" w:rsidR="00DF410E" w:rsidRDefault="00CE7F43">
      <w:pPr>
        <w:pStyle w:val="Author-eListParagraph"/>
        <w:numPr>
          <w:ilvl w:val="0"/>
          <w:numId w:val="345"/>
        </w:numPr>
      </w:pPr>
      <w:r>
        <w:t xml:space="preserve">Qualité du béton selon la [NBN EN 206:2013+A2] et la [NBN B 15-001]: (voir également </w:t>
      </w:r>
      <w:hyperlink w:anchor="87"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F410E" w14:paraId="1785262D" w14:textId="77777777">
        <w:tc>
          <w:tcPr>
            <w:tcW w:w="1500" w:type="dxa"/>
            <w:noWrap/>
          </w:tcPr>
          <w:p w14:paraId="228B98DF" w14:textId="77777777" w:rsidR="00DF410E" w:rsidRDefault="00CE7F43">
            <w:pPr>
              <w:jc w:val="center"/>
            </w:pPr>
            <w:r>
              <w:rPr>
                <w:b/>
              </w:rPr>
              <w:t>A</w:t>
            </w:r>
          </w:p>
        </w:tc>
        <w:tc>
          <w:tcPr>
            <w:tcW w:w="1500" w:type="dxa"/>
            <w:noWrap/>
          </w:tcPr>
          <w:p w14:paraId="607474AF" w14:textId="77777777" w:rsidR="00DF410E" w:rsidRDefault="00CE7F43">
            <w:pPr>
              <w:jc w:val="center"/>
            </w:pPr>
            <w:r>
              <w:rPr>
                <w:b/>
              </w:rPr>
              <w:t>B1</w:t>
            </w:r>
          </w:p>
        </w:tc>
        <w:tc>
          <w:tcPr>
            <w:tcW w:w="1500" w:type="dxa"/>
            <w:noWrap/>
          </w:tcPr>
          <w:p w14:paraId="6EAD36F6" w14:textId="77777777" w:rsidR="00DF410E" w:rsidRDefault="00CE7F43">
            <w:pPr>
              <w:jc w:val="center"/>
            </w:pPr>
            <w:r>
              <w:rPr>
                <w:b/>
              </w:rPr>
              <w:t>B2</w:t>
            </w:r>
          </w:p>
        </w:tc>
        <w:tc>
          <w:tcPr>
            <w:tcW w:w="1500" w:type="dxa"/>
            <w:noWrap/>
          </w:tcPr>
          <w:p w14:paraId="06226FF6" w14:textId="77777777" w:rsidR="00DF410E" w:rsidRDefault="00CE7F43">
            <w:pPr>
              <w:jc w:val="center"/>
            </w:pPr>
            <w:r>
              <w:rPr>
                <w:b/>
              </w:rPr>
              <w:t>C</w:t>
            </w:r>
          </w:p>
        </w:tc>
        <w:tc>
          <w:tcPr>
            <w:tcW w:w="1500" w:type="dxa"/>
            <w:noWrap/>
          </w:tcPr>
          <w:p w14:paraId="722DD5C1" w14:textId="77777777" w:rsidR="00DF410E" w:rsidRDefault="00CE7F43">
            <w:pPr>
              <w:jc w:val="center"/>
            </w:pPr>
            <w:r>
              <w:rPr>
                <w:b/>
              </w:rPr>
              <w:t>D</w:t>
            </w:r>
          </w:p>
        </w:tc>
        <w:tc>
          <w:tcPr>
            <w:tcW w:w="1500" w:type="dxa"/>
            <w:noWrap/>
          </w:tcPr>
          <w:p w14:paraId="636E3F74" w14:textId="77777777" w:rsidR="00DF410E" w:rsidRDefault="00CE7F43">
            <w:pPr>
              <w:jc w:val="center"/>
            </w:pPr>
            <w:r>
              <w:rPr>
                <w:b/>
              </w:rPr>
              <w:t>E</w:t>
            </w:r>
          </w:p>
        </w:tc>
      </w:tr>
      <w:tr w:rsidR="00DF410E" w14:paraId="32CC059D" w14:textId="77777777">
        <w:tc>
          <w:tcPr>
            <w:tcW w:w="1500" w:type="dxa"/>
            <w:noWrap/>
          </w:tcPr>
          <w:p w14:paraId="6A164870" w14:textId="77777777" w:rsidR="00DF410E" w:rsidRDefault="00CE7F43">
            <w:pPr>
              <w:jc w:val="center"/>
            </w:pPr>
            <w:r>
              <w:rPr>
                <w:b/>
              </w:rPr>
              <w:t>Classe de résistance</w:t>
            </w:r>
          </w:p>
        </w:tc>
        <w:tc>
          <w:tcPr>
            <w:tcW w:w="1500" w:type="dxa"/>
            <w:noWrap/>
          </w:tcPr>
          <w:p w14:paraId="73E5E473" w14:textId="77777777" w:rsidR="00DF410E" w:rsidRDefault="00CE7F43">
            <w:pPr>
              <w:jc w:val="center"/>
            </w:pPr>
            <w:r>
              <w:rPr>
                <w:b/>
              </w:rPr>
              <w:t>Domaine d’application</w:t>
            </w:r>
          </w:p>
        </w:tc>
        <w:tc>
          <w:tcPr>
            <w:tcW w:w="1500" w:type="dxa"/>
            <w:noWrap/>
          </w:tcPr>
          <w:p w14:paraId="557A01F8" w14:textId="77777777" w:rsidR="00DF410E" w:rsidRDefault="00CE7F43">
            <w:pPr>
              <w:jc w:val="center"/>
            </w:pPr>
            <w:r>
              <w:rPr>
                <w:b/>
              </w:rPr>
              <w:t>Classe d'environnement</w:t>
            </w:r>
          </w:p>
        </w:tc>
        <w:tc>
          <w:tcPr>
            <w:tcW w:w="1500" w:type="dxa"/>
            <w:noWrap/>
          </w:tcPr>
          <w:p w14:paraId="44AA5A0A" w14:textId="77777777" w:rsidR="00DF410E" w:rsidRDefault="00CE7F43">
            <w:pPr>
              <w:jc w:val="center"/>
            </w:pPr>
            <w:r>
              <w:rPr>
                <w:b/>
              </w:rPr>
              <w:t>Classe de consistance</w:t>
            </w:r>
          </w:p>
        </w:tc>
        <w:tc>
          <w:tcPr>
            <w:tcW w:w="1500" w:type="dxa"/>
            <w:noWrap/>
          </w:tcPr>
          <w:p w14:paraId="564D0E65" w14:textId="77777777" w:rsidR="00DF410E" w:rsidRDefault="00CE7F43">
            <w:pPr>
              <w:jc w:val="center"/>
            </w:pPr>
            <w:r>
              <w:rPr>
                <w:b/>
              </w:rPr>
              <w:t>Granulométrie maximale</w:t>
            </w:r>
          </w:p>
        </w:tc>
        <w:tc>
          <w:tcPr>
            <w:tcW w:w="1500" w:type="dxa"/>
            <w:noWrap/>
          </w:tcPr>
          <w:p w14:paraId="652E0D95" w14:textId="77777777" w:rsidR="00DF410E" w:rsidRDefault="00CE7F43">
            <w:r>
              <w:rPr>
                <w:b/>
              </w:rPr>
              <w:t>Données complémentaires</w:t>
            </w:r>
          </w:p>
        </w:tc>
      </w:tr>
      <w:tr w:rsidR="00DF410E" w14:paraId="10FBED4D" w14:textId="77777777">
        <w:tc>
          <w:tcPr>
            <w:tcW w:w="1500" w:type="dxa"/>
            <w:noWrap/>
          </w:tcPr>
          <w:p w14:paraId="580034DF" w14:textId="77777777" w:rsidR="00DF410E" w:rsidRDefault="00CE7F43">
            <w:pPr>
              <w:jc w:val="center"/>
            </w:pPr>
            <w:r>
              <w:rPr>
                <w:rStyle w:val="optioncarChar"/>
              </w:rPr>
              <w:t>C25/30 / C30/37 / C35/45 / C45/55 / C50/60 / C55/67 / C60/75 / C70/85 / C80/95 / C90/105</w:t>
            </w:r>
          </w:p>
        </w:tc>
        <w:tc>
          <w:tcPr>
            <w:tcW w:w="1500" w:type="dxa"/>
            <w:noWrap/>
          </w:tcPr>
          <w:p w14:paraId="1AF92AE0" w14:textId="77777777" w:rsidR="00DF410E" w:rsidRDefault="00CE7F43">
            <w:pPr>
              <w:jc w:val="center"/>
            </w:pPr>
            <w:r>
              <w:t>Béton armé</w:t>
            </w:r>
            <w:r>
              <w:br/>
            </w:r>
            <w:r>
              <w:br/>
            </w:r>
          </w:p>
        </w:tc>
        <w:tc>
          <w:tcPr>
            <w:tcW w:w="1500" w:type="dxa"/>
            <w:noWrap/>
          </w:tcPr>
          <w:p w14:paraId="63EEA160" w14:textId="77777777" w:rsidR="00DF410E" w:rsidRDefault="00CE7F43">
            <w:pPr>
              <w:jc w:val="center"/>
            </w:pPr>
            <w:r>
              <w:rPr>
                <w:rStyle w:val="optioncarChar"/>
              </w:rPr>
              <w:t>E0 / EI / EE1 / EE2 / EE3 / EE4 / ES1 / ES2 / ES3 / ES4 / EA1+*** / EA2+***/ EA3+***</w:t>
            </w:r>
          </w:p>
        </w:tc>
        <w:tc>
          <w:tcPr>
            <w:tcW w:w="1500" w:type="dxa"/>
            <w:noWrap/>
          </w:tcPr>
          <w:p w14:paraId="54B1BD16" w14:textId="77777777" w:rsidR="00DF410E" w:rsidRDefault="00CE7F43">
            <w:pPr>
              <w:jc w:val="center"/>
            </w:pPr>
            <w:r>
              <w:t>au choix de l'entrepreneur :</w:t>
            </w:r>
            <w:r>
              <w:br/>
            </w:r>
            <w:r>
              <w:rPr>
                <w:rStyle w:val="optioncarChar"/>
              </w:rPr>
              <w:t>S3 / S4 / S5</w:t>
            </w:r>
            <w:r>
              <w:br/>
            </w:r>
            <w:r>
              <w:br/>
            </w:r>
            <w:r>
              <w:rPr>
                <w:rStyle w:val="optioncarChar"/>
              </w:rPr>
              <w:t>F3 / F4 / F5 / F6</w:t>
            </w:r>
            <w:r>
              <w:br/>
            </w:r>
          </w:p>
        </w:tc>
        <w:tc>
          <w:tcPr>
            <w:tcW w:w="1500" w:type="dxa"/>
            <w:noWrap/>
          </w:tcPr>
          <w:p w14:paraId="41AFCD55" w14:textId="77777777" w:rsidR="00DF410E" w:rsidRDefault="00CE7F43">
            <w:pPr>
              <w:jc w:val="center"/>
            </w:pPr>
            <w:r>
              <w:t>au choix de l'entrepreneur :</w:t>
            </w:r>
            <w:r>
              <w:br/>
            </w:r>
            <w:r>
              <w:rPr>
                <w:rStyle w:val="optioncarChar"/>
              </w:rPr>
              <w:t>6 / 8 / 10 / 11 / 12 / 14 / 16 / 20 / 22 / 32</w:t>
            </w:r>
            <w:r>
              <w:t xml:space="preserve"> mm</w:t>
            </w:r>
          </w:p>
        </w:tc>
        <w:tc>
          <w:tcPr>
            <w:tcW w:w="1500" w:type="dxa"/>
            <w:noWrap/>
          </w:tcPr>
          <w:p w14:paraId="106515A4" w14:textId="77777777" w:rsidR="00DF410E" w:rsidRDefault="00CE7F43">
            <w:pPr>
              <w:jc w:val="center"/>
            </w:pPr>
            <w:r>
              <w:rPr>
                <w:rStyle w:val="optioncarChar"/>
              </w:rPr>
              <w:t>***</w:t>
            </w:r>
          </w:p>
        </w:tc>
      </w:tr>
    </w:tbl>
    <w:p w14:paraId="2BCB69B5" w14:textId="77777777" w:rsidR="00DF410E" w:rsidRDefault="00CE7F43">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35A30A37" w14:textId="77777777" w:rsidR="00DF410E" w:rsidRDefault="00DF410E"/>
    <w:p w14:paraId="4ACBA211" w14:textId="77777777" w:rsidR="00DF410E" w:rsidRDefault="00CE7F43">
      <w:pPr>
        <w:ind w:left="567"/>
      </w:pPr>
      <w:r>
        <w:t>Données complémentaires propres au béton autoplaçant (E) :</w:t>
      </w:r>
    </w:p>
    <w:p w14:paraId="011547F6" w14:textId="77777777" w:rsidR="00DF410E" w:rsidRDefault="00CE7F43">
      <w:pPr>
        <w:pStyle w:val="Author-eListParagraph"/>
        <w:numPr>
          <w:ilvl w:val="0"/>
          <w:numId w:val="346"/>
        </w:numPr>
      </w:pPr>
      <w:r>
        <w:t xml:space="preserve">Classe de viscosité apparente : </w:t>
      </w:r>
      <w:r>
        <w:rPr>
          <w:rStyle w:val="optioncarChar"/>
        </w:rPr>
        <w:t>VS1 / VS2</w:t>
      </w:r>
      <w:r>
        <w:t xml:space="preserve"> (selon la [NBN EN 12350-8] )</w:t>
      </w:r>
    </w:p>
    <w:p w14:paraId="28765D6B" w14:textId="77777777" w:rsidR="00DF410E" w:rsidRDefault="00CE7F43">
      <w:pPr>
        <w:pStyle w:val="Author-eListParagraph"/>
        <w:numPr>
          <w:ilvl w:val="0"/>
          <w:numId w:val="346"/>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FEA9C6D" w14:textId="77777777" w:rsidR="00DF410E" w:rsidRDefault="00CE7F43">
      <w:pPr>
        <w:pStyle w:val="Author-eListParagraph"/>
        <w:numPr>
          <w:ilvl w:val="0"/>
          <w:numId w:val="34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67FDCAC" w14:textId="77777777" w:rsidR="00DF410E" w:rsidRDefault="00CE7F43">
      <w:r>
        <w:rPr>
          <w:u w:val="single"/>
        </w:rPr>
        <w:t>Armatures</w:t>
      </w:r>
    </w:p>
    <w:p w14:paraId="32419730" w14:textId="77777777" w:rsidR="00DF410E" w:rsidRDefault="00CE7F43">
      <w:pPr>
        <w:pStyle w:val="Author-eListParagraph"/>
        <w:numPr>
          <w:ilvl w:val="0"/>
          <w:numId w:val="347"/>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951EB13" w14:textId="77777777" w:rsidR="00DF410E" w:rsidRDefault="00CE7F43">
      <w:pPr>
        <w:pStyle w:val="Author-eListParagraph"/>
        <w:numPr>
          <w:ilvl w:val="0"/>
          <w:numId w:val="347"/>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u w:val="single"/>
        </w:rPr>
        <w:t>DE 500 BS</w:t>
      </w:r>
      <w:r>
        <w:rPr>
          <w:rStyle w:val="soitChar"/>
        </w:rPr>
        <w:t xml:space="preserve"> selon [NBN A 24-303] + [PTV 303]</w:t>
      </w:r>
      <w:r>
        <w:br/>
      </w:r>
      <w:r>
        <w:rPr>
          <w:b/>
        </w:rPr>
        <w:t>(soit)</w:t>
      </w:r>
      <w:r>
        <w:br/>
      </w:r>
      <w:r>
        <w:rPr>
          <w:rStyle w:val="soitChar"/>
          <w:u w:val="single"/>
        </w:rPr>
        <w:t>BE 500 S</w:t>
      </w:r>
      <w:r>
        <w:rPr>
          <w:rStyle w:val="soitChar"/>
        </w:rPr>
        <w:t xml:space="preserve"> selon [NBN A 24-302] + [PTV 302].</w:t>
      </w:r>
    </w:p>
    <w:p w14:paraId="76B3FB2F" w14:textId="77777777" w:rsidR="00DF410E" w:rsidRDefault="00CE7F43">
      <w:pPr>
        <w:pStyle w:val="pheading"/>
      </w:pPr>
      <w:r>
        <w:t>- Finitions</w:t>
      </w:r>
    </w:p>
    <w:p w14:paraId="71B83E9F" w14:textId="77777777" w:rsidR="00DF410E" w:rsidRDefault="00CE7F43">
      <w:r>
        <w:t>La surface du béton brute de décoffrage est</w:t>
      </w:r>
      <w:r>
        <w:rPr>
          <w:rStyle w:val="optioncarChar"/>
        </w:rPr>
        <w:t xml:space="preserve"> lisse </w:t>
      </w:r>
      <w:r>
        <w:t xml:space="preserve">(par défaut) </w:t>
      </w:r>
      <w:r>
        <w:rPr>
          <w:rStyle w:val="optioncarChar"/>
        </w:rPr>
        <w:t>/ texturée</w:t>
      </w:r>
      <w:r>
        <w:t> </w:t>
      </w:r>
      <w:r>
        <w:rPr>
          <w:rStyle w:val="optioncarChar"/>
        </w:rPr>
        <w:t>/ à relief (ou structurée) / équipée d'un coffrage perdu / ***</w:t>
      </w:r>
    </w:p>
    <w:p w14:paraId="4447400A" w14:textId="77777777" w:rsidR="00DF410E" w:rsidRDefault="00CE7F43">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V</w:t>
      </w:r>
      <w:r>
        <w:rPr>
          <w:rStyle w:val="soitChar"/>
          <w:u w:val="single"/>
        </w:rPr>
        <w:t>ives</w:t>
      </w:r>
      <w:r>
        <w:br/>
      </w:r>
      <w:r>
        <w:rPr>
          <w:rStyle w:val="optioncarChar"/>
          <w:b/>
          <w:color w:val="000000"/>
        </w:rPr>
        <w:t>(soit)</w:t>
      </w:r>
      <w:r>
        <w:br/>
      </w:r>
      <w:r>
        <w:rPr>
          <w:rStyle w:val="soitChar"/>
        </w:rPr>
        <w:t>C</w:t>
      </w:r>
      <w:r>
        <w:rPr>
          <w:rStyle w:val="soitChar"/>
          <w:u w:val="single"/>
        </w:rPr>
        <w:t>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7C709738" w14:textId="77777777" w:rsidR="00DF410E" w:rsidRDefault="00CE7F43">
      <w:r>
        <w:rPr>
          <w:rStyle w:val="optioncarChar"/>
        </w:rPr>
        <w:t> </w:t>
      </w:r>
    </w:p>
    <w:p w14:paraId="06664C83" w14:textId="77777777" w:rsidR="00DF410E" w:rsidRDefault="00CE7F43">
      <w:pPr>
        <w:pStyle w:val="pheading"/>
      </w:pPr>
      <w:r>
        <w:t>- Prescriptions complémentaires</w:t>
      </w:r>
    </w:p>
    <w:p w14:paraId="1D91F929" w14:textId="77777777" w:rsidR="00DF410E" w:rsidRDefault="00CE7F43">
      <w:r>
        <w:t>Résistance au feu :</w:t>
      </w:r>
      <w:r>
        <w:rPr>
          <w:rStyle w:val="optioncarChar"/>
        </w:rPr>
        <w:t> R30 </w:t>
      </w:r>
      <w:r>
        <w:t>(par défaut)</w:t>
      </w:r>
      <w:r>
        <w:rPr>
          <w:rStyle w:val="optioncarChar"/>
        </w:rPr>
        <w:t xml:space="preserve"> / R60 / R120 / R240 / *** </w:t>
      </w:r>
      <w:r>
        <w:t>selon la [NBN EN 13501-2] ou par calcul selon les Eurocodes conformément à l’[AM 2013-05-17, Arrêté ministériel relatif à l’utilisation des Eurocodes comme méthodes de calcul pour l’évaluation de la résistance au feu d’éléments de construction].</w:t>
      </w:r>
    </w:p>
    <w:p w14:paraId="04105CE2" w14:textId="77777777" w:rsidR="00DF410E" w:rsidRDefault="00CE7F43">
      <w:pPr>
        <w:pStyle w:val="pheading"/>
      </w:pPr>
      <w:r>
        <w:t>EXÉCUTION / MISE EN ŒUVRE</w:t>
      </w:r>
    </w:p>
    <w:p w14:paraId="02C80C6B" w14:textId="77777777" w:rsidR="00DF410E" w:rsidRDefault="00CE7F43">
      <w:pPr>
        <w:pStyle w:val="pheading"/>
      </w:pPr>
      <w:r>
        <w:t>- Prescriptions générales</w:t>
      </w:r>
    </w:p>
    <w:p w14:paraId="4F910ED5" w14:textId="77777777" w:rsidR="00DF410E" w:rsidRDefault="00CE7F43">
      <w:r>
        <w:t>Les poutres de ceinture sont coulées sur place en</w:t>
      </w:r>
      <w:r>
        <w:rPr>
          <w:rStyle w:val="optioncarChar"/>
        </w:rPr>
        <w:t> une seule</w:t>
      </w:r>
      <w:r>
        <w:t xml:space="preserve"> (par défaut)</w:t>
      </w:r>
      <w:r>
        <w:rPr>
          <w:rStyle w:val="optioncarChar"/>
        </w:rPr>
        <w:t xml:space="preserve"> / *** </w:t>
      </w:r>
      <w:r>
        <w:t>fois.</w:t>
      </w:r>
    </w:p>
    <w:p w14:paraId="0AF2D06F" w14:textId="77777777" w:rsidR="00DF410E" w:rsidRDefault="00CE7F43">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t>22 Superstructures en béton</w:t>
        </w:r>
      </w:hyperlink>
      <w:r>
        <w:t xml:space="preserve"> sous-titre </w:t>
      </w:r>
      <w:r>
        <w:rPr>
          <w:u w:val="single"/>
        </w:rPr>
        <w:t>Décoffrage</w:t>
      </w:r>
      <w:r>
        <w:t xml:space="preserve"> et [NBN B 15-400] )</w:t>
      </w:r>
    </w:p>
    <w:p w14:paraId="2032EEA5" w14:textId="77777777" w:rsidR="00DF410E" w:rsidRDefault="00CE7F43">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5CF9EBE2" w14:textId="77777777" w:rsidR="00DF410E" w:rsidRDefault="00CE7F43">
      <w:r>
        <w:t xml:space="preserve">• Les trous laissés par les entretoises reliant les parois des coffrages sont bouchés à l’aide de </w:t>
      </w:r>
      <w:r>
        <w:rPr>
          <w:rStyle w:val="optioncarChar"/>
        </w:rPr>
        <w:t>mortier</w:t>
      </w:r>
      <w:r>
        <w:t xml:space="preserve"> (par défaut) </w:t>
      </w:r>
      <w:r>
        <w:rPr>
          <w:rStyle w:val="optioncarChar"/>
        </w:rPr>
        <w:t>/ bouchon synthétique / tampon synthétique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7ADB22ED" w14:textId="77777777" w:rsidR="00DF410E" w:rsidRDefault="00CE7F43">
      <w:pPr>
        <w:pStyle w:val="pheading"/>
      </w:pPr>
      <w:r>
        <w:t>- Notes d’exécution complémentaires</w:t>
      </w:r>
    </w:p>
    <w:p w14:paraId="43D7D888" w14:textId="77777777" w:rsidR="00DF410E" w:rsidRDefault="00CE7F43">
      <w:r>
        <w:t xml:space="preserve">Raccords visibles entre éléments de coffrage : </w:t>
      </w:r>
      <w:r>
        <w:rPr>
          <w:rStyle w:val="optioncarChar"/>
        </w:rPr>
        <w:t xml:space="preserve">joint en forme de V  </w:t>
      </w:r>
      <w:r>
        <w:t>(par défaut) </w:t>
      </w:r>
      <w:r>
        <w:rPr>
          <w:rStyle w:val="optioncarChar"/>
        </w:rPr>
        <w:t>/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4A9AABC1" w14:textId="77777777" w:rsidR="00DF410E" w:rsidRDefault="00CE7F43">
      <w:pPr>
        <w:pStyle w:val="pheading"/>
      </w:pPr>
      <w:r>
        <w:t>MESURAGE</w:t>
      </w:r>
    </w:p>
    <w:p w14:paraId="2ABBD67E" w14:textId="77777777" w:rsidR="00DF410E" w:rsidRDefault="00CE7F43">
      <w:r>
        <w:t>Le coffrage n'est jamais mesuré séparément et doit toujours être compris dans le prix unitaire du béton de centrale.</w:t>
      </w:r>
    </w:p>
    <w:p w14:paraId="03206F47" w14:textId="77777777" w:rsidR="00DF410E" w:rsidRDefault="00CE7F43">
      <w:r>
        <w:t xml:space="preserve">Quantités d'armatures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1" w:history="1">
        <w:r>
          <w:rPr>
            <w:rStyle w:val="soitChar"/>
          </w:rPr>
          <w:t>22.51 Armatures pour béton</w:t>
        </w:r>
      </w:hyperlink>
    </w:p>
    <w:p w14:paraId="0E599F8F" w14:textId="77777777" w:rsidR="00DF410E" w:rsidRDefault="00CE7F43">
      <w:pPr>
        <w:pStyle w:val="pheading"/>
      </w:pPr>
      <w:r>
        <w:t>- unité de mesure:</w:t>
      </w:r>
    </w:p>
    <w:p w14:paraId="1F4ADD3D" w14:textId="77777777" w:rsidR="00DF410E" w:rsidRDefault="00CE7F43">
      <w:pPr>
        <w:ind w:left="435"/>
      </w:pPr>
      <w:r>
        <w:t>m³</w:t>
      </w:r>
    </w:p>
    <w:p w14:paraId="16161EB1" w14:textId="77777777" w:rsidR="00DF410E" w:rsidRDefault="00CE7F43">
      <w:pPr>
        <w:pStyle w:val="pheading"/>
      </w:pPr>
      <w:r>
        <w:t>- code de mesurage:</w:t>
      </w:r>
    </w:p>
    <w:p w14:paraId="69A4223F" w14:textId="77777777" w:rsidR="00DF410E" w:rsidRDefault="00CE7F43">
      <w:r>
        <w:t>volume net, mesuré selon les dimensions nominales indiquées sur les plans, exprimées en </w:t>
      </w:r>
      <w:r>
        <w:rPr>
          <w:rStyle w:val="optioncarChar"/>
        </w:rPr>
        <w:t>cm </w:t>
      </w:r>
      <w:r>
        <w:t>(par défaut)</w:t>
      </w:r>
      <w:r>
        <w:rPr>
          <w:rStyle w:val="optioncarChar"/>
        </w:rPr>
        <w:t xml:space="preserve"> / dm / ***.</w:t>
      </w:r>
    </w:p>
    <w:p w14:paraId="58C2C2B2" w14:textId="77777777" w:rsidR="00DF410E" w:rsidRDefault="00CE7F43">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42B41183" w14:textId="77777777" w:rsidR="00DF410E" w:rsidRDefault="00CE7F43">
      <w:pPr>
        <w:pStyle w:val="Author-eListParagraph"/>
        <w:numPr>
          <w:ilvl w:val="0"/>
          <w:numId w:val="348"/>
        </w:numPr>
      </w:pPr>
      <w:r>
        <w:t>le volume des armatures,</w:t>
      </w:r>
    </w:p>
    <w:p w14:paraId="1110A92E" w14:textId="77777777" w:rsidR="00DF410E" w:rsidRDefault="00CE7F43">
      <w:pPr>
        <w:pStyle w:val="Author-eListParagraph"/>
        <w:numPr>
          <w:ilvl w:val="0"/>
          <w:numId w:val="348"/>
        </w:numPr>
      </w:pPr>
      <w:r>
        <w:t>les blocs et écarteurs, les fourreaux pour les armatures de précontrainte ;</w:t>
      </w:r>
    </w:p>
    <w:p w14:paraId="47371457" w14:textId="77777777" w:rsidR="00DF410E" w:rsidRDefault="00CE7F43">
      <w:pPr>
        <w:pStyle w:val="Author-eListParagraph"/>
        <w:numPr>
          <w:ilvl w:val="0"/>
          <w:numId w:val="348"/>
        </w:numPr>
      </w:pPr>
      <w:r>
        <w:t>les pénétrations pour les pattes d’ancrage, les creux, les conduites noyées et les réservations dont le volume est inférieur à 0,05 m3.</w:t>
      </w:r>
    </w:p>
    <w:p w14:paraId="27142426" w14:textId="77777777" w:rsidR="00DF410E" w:rsidRDefault="00CE7F43">
      <w:pPr>
        <w:pStyle w:val="Author-eListParagraph"/>
        <w:numPr>
          <w:ilvl w:val="0"/>
          <w:numId w:val="348"/>
        </w:numPr>
      </w:pPr>
      <w:r>
        <w:t>les chanfreins et tous les profils dont la section a une superficie inférieure à 0,002 m2.</w:t>
      </w:r>
    </w:p>
    <w:p w14:paraId="4ABB97C7" w14:textId="77777777" w:rsidR="00DF410E" w:rsidRDefault="00CE7F43">
      <w:pPr>
        <w:pStyle w:val="Author-eListParagraph"/>
        <w:numPr>
          <w:ilvl w:val="0"/>
          <w:numId w:val="348"/>
        </w:numPr>
      </w:pPr>
      <w:r>
        <w:t>les rainures, encoches et languettes.</w:t>
      </w:r>
    </w:p>
    <w:p w14:paraId="19BA7C32" w14:textId="77777777" w:rsidR="00DF410E" w:rsidRDefault="00CE7F43">
      <w:pPr>
        <w:pStyle w:val="pheading"/>
      </w:pPr>
      <w:r>
        <w:t>- nature du marché:</w:t>
      </w:r>
    </w:p>
    <w:p w14:paraId="223B47E8" w14:textId="77777777" w:rsidR="00DF410E" w:rsidRDefault="00CE7F43">
      <w:r>
        <w:rPr>
          <w:rStyle w:val="optioncarChar"/>
        </w:rPr>
        <w:t xml:space="preserve">QF </w:t>
      </w:r>
      <w:r>
        <w:t>(par défaut)</w:t>
      </w:r>
      <w:r>
        <w:rPr>
          <w:rStyle w:val="optioncarChar"/>
        </w:rPr>
        <w:t xml:space="preserve"> / QP / PM</w:t>
      </w:r>
    </w:p>
    <w:p w14:paraId="57425C88" w14:textId="77777777" w:rsidR="00DF410E" w:rsidRDefault="00CE7F43">
      <w:r>
        <w:rPr>
          <w:i/>
          <w:u w:val="single"/>
        </w:rPr>
        <w:t>&gt;Remarque </w:t>
      </w:r>
    </w:p>
    <w:p w14:paraId="27E4B1A9" w14:textId="77777777" w:rsidR="00DF410E" w:rsidRDefault="00CE7F43">
      <w:pPr>
        <w:pStyle w:val="Author-eListParagraph"/>
        <w:numPr>
          <w:ilvl w:val="0"/>
          <w:numId w:val="349"/>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0B807B96" w14:textId="77777777" w:rsidR="00DF410E" w:rsidRDefault="00CE7F43">
      <w:pPr>
        <w:pStyle w:val="Author-eListParagraph"/>
        <w:numPr>
          <w:ilvl w:val="0"/>
          <w:numId w:val="349"/>
        </w:numPr>
      </w:pPr>
      <w:r>
        <w:rPr>
          <w:i/>
        </w:rPr>
        <w:t xml:space="preserve">Les quantités de béton ne sont jamais mesurées sur la base des bons de livraison soumis par l’entrepreneur. </w:t>
      </w:r>
    </w:p>
    <w:p w14:paraId="5B11DF24" w14:textId="77777777" w:rsidR="00DF410E" w:rsidRDefault="00CE7F43">
      <w:r>
        <w:rPr>
          <w:u w:val="single"/>
        </w:rPr>
        <w:t xml:space="preserve">Attention </w:t>
      </w:r>
      <w:r>
        <w:t xml:space="preserve">: dans le cas où les armatures ne sont pas comprises dans le prix unitaire du béton, se référer aux § </w:t>
      </w:r>
      <w:hyperlink w:anchor="232" w:history="1">
        <w:r>
          <w:t>22.51.1 Barres d'armatures pour béton</w:t>
        </w:r>
      </w:hyperlink>
      <w:r>
        <w:t xml:space="preserve"> et § </w:t>
      </w:r>
      <w:hyperlink w:anchor="233" w:history="1">
        <w:r>
          <w:t>22.51.2 Treillis et panneaux d'armatures préfabriqués</w:t>
        </w:r>
      </w:hyperlink>
      <w:r>
        <w:t>.</w:t>
      </w:r>
    </w:p>
    <w:p w14:paraId="57AA4404" w14:textId="77777777" w:rsidR="00DF410E" w:rsidRDefault="00CE7F43">
      <w:pPr>
        <w:pStyle w:val="Author-eSectionHeading6"/>
      </w:pPr>
      <w:bookmarkStart w:id="607" w:name="_Toc178837789"/>
      <w:r>
        <w:t>22.11.1c Poutres de répartition en béton armé coulé en place CCTB 01.12</w:t>
      </w:r>
      <w:bookmarkEnd w:id="607"/>
    </w:p>
    <w:p w14:paraId="3A00226C" w14:textId="77777777" w:rsidR="00DF410E" w:rsidRDefault="00CE7F43">
      <w:pPr>
        <w:pStyle w:val="pheading"/>
      </w:pPr>
      <w:r>
        <w:t>DESCRIPTION</w:t>
      </w:r>
    </w:p>
    <w:p w14:paraId="32356253" w14:textId="77777777" w:rsidR="00DF410E" w:rsidRDefault="00CE7F43">
      <w:pPr>
        <w:pStyle w:val="pheading"/>
      </w:pPr>
      <w:r>
        <w:t>- Définition / Comprend</w:t>
      </w:r>
    </w:p>
    <w:p w14:paraId="4509E2DE" w14:textId="77777777" w:rsidR="00DF410E" w:rsidRDefault="00CE7F43">
      <w:r>
        <w:t xml:space="preserve">Il s'agit de toutes les poutres de répartition non-autoportantes exécutées en béton armé coulé en place. Les travaux comprennent les éléments décrits en </w:t>
      </w:r>
      <w:hyperlink w:anchor="87"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27513AE3" w14:textId="77777777" w:rsidR="00DF410E" w:rsidRDefault="00CE7F43">
      <w:r>
        <w:t xml:space="preserve">L'étude et les plans d'exécution </w:t>
      </w:r>
      <w:r>
        <w:rPr>
          <w:rStyle w:val="optioncarChar"/>
        </w:rPr>
        <w:t>sont / ne sont pas</w:t>
      </w:r>
      <w:r>
        <w:t xml:space="preserve"> à charge de l'entreprise.</w:t>
      </w:r>
    </w:p>
    <w:p w14:paraId="724CE0F1" w14:textId="77777777" w:rsidR="00DF410E" w:rsidRDefault="00CE7F43">
      <w:pPr>
        <w:pStyle w:val="pheading"/>
      </w:pPr>
      <w:r>
        <w:t>MATÉRIAUX</w:t>
      </w:r>
    </w:p>
    <w:p w14:paraId="0A5E6C86" w14:textId="77777777" w:rsidR="00DF410E" w:rsidRDefault="00CE7F43">
      <w:pPr>
        <w:pStyle w:val="pheading"/>
      </w:pPr>
      <w:r>
        <w:t>- Caractéristiques générales</w:t>
      </w:r>
    </w:p>
    <w:p w14:paraId="6376049A" w14:textId="77777777" w:rsidR="00DF410E" w:rsidRDefault="00CE7F43">
      <w:r>
        <w:rPr>
          <w:u w:val="single"/>
        </w:rPr>
        <w:t>Béton</w:t>
      </w:r>
    </w:p>
    <w:p w14:paraId="419B836D" w14:textId="77777777" w:rsidR="00DF410E" w:rsidRDefault="00CE7F43">
      <w:pPr>
        <w:pStyle w:val="Author-eListParagraph"/>
        <w:numPr>
          <w:ilvl w:val="0"/>
          <w:numId w:val="350"/>
        </w:numPr>
      </w:pPr>
      <w:r>
        <w:t xml:space="preserve">Qualité du béton selon la [NBN EN 206:2013+A2] et la [NBN B 15-001] : (voir également </w:t>
      </w:r>
      <w:hyperlink w:anchor="87"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6ADA845D" w14:textId="77777777">
        <w:tc>
          <w:tcPr>
            <w:tcW w:w="1500" w:type="dxa"/>
            <w:noWrap/>
          </w:tcPr>
          <w:p w14:paraId="060DD3A1" w14:textId="77777777" w:rsidR="00DF410E" w:rsidRDefault="00CE7F43">
            <w:pPr>
              <w:jc w:val="center"/>
            </w:pPr>
            <w:r>
              <w:rPr>
                <w:b/>
              </w:rPr>
              <w:t>A</w:t>
            </w:r>
          </w:p>
        </w:tc>
        <w:tc>
          <w:tcPr>
            <w:tcW w:w="1500" w:type="dxa"/>
            <w:noWrap/>
          </w:tcPr>
          <w:p w14:paraId="5B7C7199" w14:textId="77777777" w:rsidR="00DF410E" w:rsidRDefault="00CE7F43">
            <w:pPr>
              <w:jc w:val="center"/>
            </w:pPr>
            <w:r>
              <w:rPr>
                <w:b/>
              </w:rPr>
              <w:t>B1</w:t>
            </w:r>
          </w:p>
        </w:tc>
        <w:tc>
          <w:tcPr>
            <w:tcW w:w="1500" w:type="dxa"/>
            <w:noWrap/>
          </w:tcPr>
          <w:p w14:paraId="501ED791" w14:textId="77777777" w:rsidR="00DF410E" w:rsidRDefault="00CE7F43">
            <w:pPr>
              <w:jc w:val="center"/>
            </w:pPr>
            <w:r>
              <w:rPr>
                <w:b/>
              </w:rPr>
              <w:t>B2</w:t>
            </w:r>
          </w:p>
        </w:tc>
        <w:tc>
          <w:tcPr>
            <w:tcW w:w="1500" w:type="dxa"/>
            <w:noWrap/>
          </w:tcPr>
          <w:p w14:paraId="4A40BF79" w14:textId="77777777" w:rsidR="00DF410E" w:rsidRDefault="00CE7F43">
            <w:pPr>
              <w:jc w:val="center"/>
            </w:pPr>
            <w:r>
              <w:rPr>
                <w:b/>
              </w:rPr>
              <w:t>C</w:t>
            </w:r>
          </w:p>
        </w:tc>
        <w:tc>
          <w:tcPr>
            <w:tcW w:w="1500" w:type="dxa"/>
            <w:noWrap/>
          </w:tcPr>
          <w:p w14:paraId="30FE7114" w14:textId="77777777" w:rsidR="00DF410E" w:rsidRDefault="00CE7F43">
            <w:pPr>
              <w:jc w:val="center"/>
            </w:pPr>
            <w:r>
              <w:rPr>
                <w:b/>
              </w:rPr>
              <w:t>D</w:t>
            </w:r>
          </w:p>
        </w:tc>
        <w:tc>
          <w:tcPr>
            <w:tcW w:w="1500" w:type="dxa"/>
            <w:noWrap/>
          </w:tcPr>
          <w:p w14:paraId="2C44EA3A" w14:textId="77777777" w:rsidR="00DF410E" w:rsidRDefault="00CE7F43">
            <w:pPr>
              <w:jc w:val="center"/>
            </w:pPr>
            <w:r>
              <w:rPr>
                <w:b/>
              </w:rPr>
              <w:t>E</w:t>
            </w:r>
          </w:p>
        </w:tc>
      </w:tr>
      <w:tr w:rsidR="00DF410E" w14:paraId="67DEA25C" w14:textId="77777777">
        <w:tc>
          <w:tcPr>
            <w:tcW w:w="1500" w:type="dxa"/>
            <w:noWrap/>
          </w:tcPr>
          <w:p w14:paraId="5C14E70F" w14:textId="77777777" w:rsidR="00DF410E" w:rsidRDefault="00CE7F43">
            <w:pPr>
              <w:jc w:val="center"/>
            </w:pPr>
            <w:r>
              <w:rPr>
                <w:b/>
              </w:rPr>
              <w:t>Classe de résistance</w:t>
            </w:r>
          </w:p>
        </w:tc>
        <w:tc>
          <w:tcPr>
            <w:tcW w:w="1500" w:type="dxa"/>
            <w:noWrap/>
          </w:tcPr>
          <w:p w14:paraId="28F10D48" w14:textId="77777777" w:rsidR="00DF410E" w:rsidRDefault="00CE7F43">
            <w:pPr>
              <w:jc w:val="center"/>
            </w:pPr>
            <w:r>
              <w:rPr>
                <w:b/>
              </w:rPr>
              <w:t>Domaine d’application</w:t>
            </w:r>
          </w:p>
        </w:tc>
        <w:tc>
          <w:tcPr>
            <w:tcW w:w="1500" w:type="dxa"/>
            <w:noWrap/>
          </w:tcPr>
          <w:p w14:paraId="42974D09" w14:textId="77777777" w:rsidR="00DF410E" w:rsidRDefault="00CE7F43">
            <w:pPr>
              <w:jc w:val="center"/>
            </w:pPr>
            <w:r>
              <w:rPr>
                <w:b/>
              </w:rPr>
              <w:t>Classe d'environnement</w:t>
            </w:r>
          </w:p>
        </w:tc>
        <w:tc>
          <w:tcPr>
            <w:tcW w:w="1500" w:type="dxa"/>
            <w:noWrap/>
          </w:tcPr>
          <w:p w14:paraId="41732FDB" w14:textId="77777777" w:rsidR="00DF410E" w:rsidRDefault="00CE7F43">
            <w:pPr>
              <w:jc w:val="center"/>
            </w:pPr>
            <w:r>
              <w:rPr>
                <w:b/>
              </w:rPr>
              <w:t>Classe de consistance</w:t>
            </w:r>
          </w:p>
        </w:tc>
        <w:tc>
          <w:tcPr>
            <w:tcW w:w="1500" w:type="dxa"/>
            <w:noWrap/>
          </w:tcPr>
          <w:p w14:paraId="7AFFB960" w14:textId="77777777" w:rsidR="00DF410E" w:rsidRDefault="00CE7F43">
            <w:pPr>
              <w:jc w:val="center"/>
            </w:pPr>
            <w:r>
              <w:rPr>
                <w:b/>
              </w:rPr>
              <w:t>Granulométrie maximale</w:t>
            </w:r>
          </w:p>
        </w:tc>
        <w:tc>
          <w:tcPr>
            <w:tcW w:w="1500" w:type="dxa"/>
            <w:noWrap/>
          </w:tcPr>
          <w:p w14:paraId="3F778964" w14:textId="77777777" w:rsidR="00DF410E" w:rsidRDefault="00CE7F43">
            <w:r>
              <w:rPr>
                <w:b/>
              </w:rPr>
              <w:t>Données complémentaires</w:t>
            </w:r>
          </w:p>
        </w:tc>
      </w:tr>
      <w:tr w:rsidR="00DF410E" w14:paraId="3AF04316" w14:textId="77777777">
        <w:tc>
          <w:tcPr>
            <w:tcW w:w="1500" w:type="dxa"/>
            <w:noWrap/>
          </w:tcPr>
          <w:p w14:paraId="630785E0" w14:textId="77777777" w:rsidR="00DF410E" w:rsidRDefault="00CE7F43">
            <w:pPr>
              <w:jc w:val="center"/>
            </w:pPr>
            <w:r>
              <w:rPr>
                <w:rStyle w:val="optioncarChar"/>
              </w:rPr>
              <w:t>C25/30 / C30/37 / C35/45 / C45/55 / C50/60 / C55/67 / C60/75 / C70/85 / C80/95 / C90/105</w:t>
            </w:r>
          </w:p>
        </w:tc>
        <w:tc>
          <w:tcPr>
            <w:tcW w:w="1500" w:type="dxa"/>
            <w:noWrap/>
          </w:tcPr>
          <w:p w14:paraId="32A7D624" w14:textId="77777777" w:rsidR="00DF410E" w:rsidRDefault="00CE7F43">
            <w:pPr>
              <w:jc w:val="center"/>
            </w:pPr>
            <w:r>
              <w:t>Béton armé</w:t>
            </w:r>
          </w:p>
          <w:p w14:paraId="6BCEEEE7" w14:textId="77777777" w:rsidR="00DF410E" w:rsidRDefault="00DF410E"/>
        </w:tc>
        <w:tc>
          <w:tcPr>
            <w:tcW w:w="1500" w:type="dxa"/>
            <w:noWrap/>
          </w:tcPr>
          <w:p w14:paraId="7CB00D39" w14:textId="77777777" w:rsidR="00DF410E" w:rsidRDefault="00CE7F43">
            <w:pPr>
              <w:jc w:val="center"/>
            </w:pPr>
            <w:r>
              <w:rPr>
                <w:rStyle w:val="optioncarChar"/>
              </w:rPr>
              <w:t>E0 / EI / EE1 / EE2 / EE3 / EE4 / ES1 / ES2 / ES3 / ES4 / EA1+*** / EA2+***/ EA3+***</w:t>
            </w:r>
          </w:p>
        </w:tc>
        <w:tc>
          <w:tcPr>
            <w:tcW w:w="1500" w:type="dxa"/>
            <w:noWrap/>
          </w:tcPr>
          <w:p w14:paraId="08F846E9" w14:textId="77777777" w:rsidR="00DF410E" w:rsidRDefault="00CE7F43">
            <w:pPr>
              <w:jc w:val="center"/>
            </w:pPr>
            <w:r>
              <w:t>au choix de l'entrepreneur :</w:t>
            </w:r>
          </w:p>
          <w:p w14:paraId="37C50E38" w14:textId="77777777" w:rsidR="00DF410E" w:rsidRDefault="00CE7F43">
            <w:pPr>
              <w:jc w:val="center"/>
            </w:pPr>
            <w:r>
              <w:rPr>
                <w:rStyle w:val="optioncarChar"/>
              </w:rPr>
              <w:t xml:space="preserve">S3 / S4 / S5 </w:t>
            </w:r>
          </w:p>
          <w:p w14:paraId="1DBF4F51" w14:textId="77777777" w:rsidR="00DF410E" w:rsidRDefault="00CE7F43">
            <w:pPr>
              <w:jc w:val="center"/>
            </w:pPr>
            <w:r>
              <w:rPr>
                <w:rStyle w:val="optioncarChar"/>
              </w:rPr>
              <w:t>F3 / F4 / F5 / F6</w:t>
            </w:r>
            <w:r>
              <w:br/>
            </w:r>
          </w:p>
        </w:tc>
        <w:tc>
          <w:tcPr>
            <w:tcW w:w="1500" w:type="dxa"/>
            <w:noWrap/>
          </w:tcPr>
          <w:p w14:paraId="4F528927" w14:textId="77777777" w:rsidR="00DF410E" w:rsidRDefault="00CE7F43">
            <w:pPr>
              <w:jc w:val="center"/>
            </w:pPr>
            <w:r>
              <w:t>au choix de l'entrepreneur :</w:t>
            </w:r>
          </w:p>
          <w:p w14:paraId="2C6475E2" w14:textId="77777777" w:rsidR="00DF410E" w:rsidRDefault="00CE7F43">
            <w:pPr>
              <w:jc w:val="center"/>
            </w:pPr>
            <w:r>
              <w:rPr>
                <w:rStyle w:val="optioncarChar"/>
              </w:rPr>
              <w:t>6 / 8 / 10 / 11 / 12 / 14 / 16 / 20 / 22 / 32 </w:t>
            </w:r>
            <w:r>
              <w:t>mm</w:t>
            </w:r>
          </w:p>
        </w:tc>
        <w:tc>
          <w:tcPr>
            <w:tcW w:w="1500" w:type="dxa"/>
            <w:noWrap/>
          </w:tcPr>
          <w:p w14:paraId="250B3B57" w14:textId="77777777" w:rsidR="00DF410E" w:rsidRDefault="00CE7F43">
            <w:pPr>
              <w:jc w:val="center"/>
            </w:pPr>
            <w:r>
              <w:rPr>
                <w:rStyle w:val="optioncarChar"/>
              </w:rPr>
              <w:t>***</w:t>
            </w:r>
          </w:p>
        </w:tc>
      </w:tr>
    </w:tbl>
    <w:p w14:paraId="2E4A6B99" w14:textId="77777777" w:rsidR="00DF410E" w:rsidRDefault="00DF410E"/>
    <w:p w14:paraId="780EA6CB"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6521AE42" w14:textId="77777777" w:rsidR="00DF410E" w:rsidRDefault="00CE7F43">
      <w:pPr>
        <w:pStyle w:val="Author-eListParagraph"/>
        <w:numPr>
          <w:ilvl w:val="0"/>
          <w:numId w:val="351"/>
        </w:numPr>
      </w:pPr>
      <w:r>
        <w:t xml:space="preserve">Classe de viscosité apparente : </w:t>
      </w:r>
      <w:r>
        <w:rPr>
          <w:rStyle w:val="optioncarChar"/>
        </w:rPr>
        <w:t>VS1 / VS2</w:t>
      </w:r>
      <w:r>
        <w:t xml:space="preserve"> (selon la [NBN EN 12350-8] )</w:t>
      </w:r>
    </w:p>
    <w:p w14:paraId="58270533" w14:textId="77777777" w:rsidR="00DF410E" w:rsidRDefault="00CE7F43">
      <w:pPr>
        <w:pStyle w:val="Author-eListParagraph"/>
        <w:numPr>
          <w:ilvl w:val="0"/>
          <w:numId w:val="351"/>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BFF4C97" w14:textId="77777777" w:rsidR="00DF410E" w:rsidRDefault="00CE7F43">
      <w:pPr>
        <w:pStyle w:val="Author-eListParagraph"/>
        <w:numPr>
          <w:ilvl w:val="0"/>
          <w:numId w:val="35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C2A3F9B" w14:textId="77777777" w:rsidR="00DF410E" w:rsidRDefault="00CE7F43">
      <w:r>
        <w:rPr>
          <w:u w:val="single"/>
        </w:rPr>
        <w:t>Armatures</w:t>
      </w:r>
    </w:p>
    <w:p w14:paraId="3BD6F5CD" w14:textId="77777777" w:rsidR="00DF410E" w:rsidRDefault="00CE7F43">
      <w:pPr>
        <w:pStyle w:val="Author-eListParagraph"/>
        <w:numPr>
          <w:ilvl w:val="0"/>
          <w:numId w:val="352"/>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0A080CE" w14:textId="77777777" w:rsidR="00DF410E" w:rsidRDefault="00CE7F43">
      <w:pPr>
        <w:pStyle w:val="Author-eListParagraph"/>
        <w:numPr>
          <w:ilvl w:val="0"/>
          <w:numId w:val="35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87A35AD" w14:textId="77777777" w:rsidR="00DF410E" w:rsidRDefault="00CE7F43">
      <w:pPr>
        <w:pStyle w:val="pheading"/>
      </w:pPr>
      <w:r>
        <w:t>- Finitions</w:t>
      </w:r>
    </w:p>
    <w:p w14:paraId="336A1BB2" w14:textId="77777777" w:rsidR="00DF410E" w:rsidRDefault="00CE7F43">
      <w:r>
        <w:t>La surface du béton est</w:t>
      </w:r>
      <w:r>
        <w:rPr>
          <w:rStyle w:val="optioncarChar"/>
        </w:rPr>
        <w:t xml:space="preserve"> brute et lisse </w:t>
      </w:r>
      <w:r>
        <w:t xml:space="preserve">(par défaut) </w:t>
      </w:r>
      <w:r>
        <w:rPr>
          <w:rStyle w:val="optioncarChar"/>
        </w:rPr>
        <w:t>/ structurée / ***</w:t>
      </w:r>
    </w:p>
    <w:p w14:paraId="08B53A15" w14:textId="77777777" w:rsidR="00DF410E" w:rsidRDefault="00CE7F43">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2B81F6DF" w14:textId="77777777" w:rsidR="00DF410E" w:rsidRDefault="00CE7F43">
      <w:pPr>
        <w:pStyle w:val="pheading"/>
      </w:pPr>
      <w:r>
        <w:t>- Prescriptions complémentaires</w:t>
      </w:r>
    </w:p>
    <w:p w14:paraId="33E8882D" w14:textId="77777777" w:rsidR="00DF410E" w:rsidRDefault="00CE7F43">
      <w:r>
        <w:t>Résistance au feu :</w:t>
      </w:r>
      <w:r>
        <w:rPr>
          <w:rStyle w:val="optioncarChar"/>
        </w:rPr>
        <w:t> R30 </w:t>
      </w:r>
      <w:r>
        <w:t xml:space="preserve">(par défaut) </w:t>
      </w:r>
      <w:r>
        <w:rPr>
          <w:rStyle w:val="optioncarChar"/>
        </w:rPr>
        <w:t>/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7ABD04E7" w14:textId="77777777" w:rsidR="00DF410E" w:rsidRDefault="00CE7F43">
      <w:pPr>
        <w:pStyle w:val="pheading"/>
      </w:pPr>
      <w:r>
        <w:t>EXÉCUTION / MISE EN ŒUVRE</w:t>
      </w:r>
    </w:p>
    <w:p w14:paraId="40721AF6" w14:textId="77777777" w:rsidR="00DF410E" w:rsidRDefault="00CE7F43">
      <w:pPr>
        <w:pStyle w:val="pheading"/>
      </w:pPr>
      <w:r>
        <w:t>- Prescriptions générales</w:t>
      </w:r>
    </w:p>
    <w:p w14:paraId="748131BF" w14:textId="77777777" w:rsidR="00DF410E" w:rsidRDefault="00CE7F43">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t>22 Superstructures en béton</w:t>
        </w:r>
      </w:hyperlink>
      <w:r>
        <w:t xml:space="preserve"> sous-titre </w:t>
      </w:r>
      <w:r>
        <w:rPr>
          <w:u w:val="single"/>
        </w:rPr>
        <w:t>Décoffrage</w:t>
      </w:r>
      <w:r>
        <w:t xml:space="preserve"> et [NBN B 15-400] )</w:t>
      </w:r>
    </w:p>
    <w:p w14:paraId="1B5E592F" w14:textId="77777777" w:rsidR="00DF410E" w:rsidRDefault="00CE7F43">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0D903007" w14:textId="77777777" w:rsidR="00DF410E" w:rsidRDefault="00CE7F43">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 xml:space="preserve">traités avec du bitume </w:t>
      </w:r>
      <w:r>
        <w:t>(par défaut) </w:t>
      </w:r>
      <w:r>
        <w:rPr>
          <w:rStyle w:val="optioncarChar"/>
        </w:rPr>
        <w:t>/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0</w:t>
      </w:r>
      <w:r>
        <w:t xml:space="preserve"> (par défaut)</w:t>
      </w:r>
      <w:r>
        <w:rPr>
          <w:rStyle w:val="optioncarChar"/>
        </w:rPr>
        <w:t xml:space="preserve"> /1/2/3</w:t>
      </w:r>
    </w:p>
    <w:p w14:paraId="6F8F28C0" w14:textId="77777777" w:rsidR="00DF410E" w:rsidRDefault="00CE7F43">
      <w:pPr>
        <w:pStyle w:val="pheading"/>
      </w:pPr>
      <w:r>
        <w:t>- Notes d’exécution complémentaires</w:t>
      </w:r>
    </w:p>
    <w:p w14:paraId="621B2E08" w14:textId="77777777" w:rsidR="00DF410E" w:rsidRDefault="00CE7F43">
      <w:r>
        <w:t xml:space="preserve">Raccords visibles entre éléments de coffrage : </w:t>
      </w:r>
      <w:r>
        <w:rPr>
          <w:rStyle w:val="optioncarChar"/>
        </w:rPr>
        <w:t>joint en forme de V</w:t>
      </w:r>
      <w:r>
        <w:t> (par défaut)</w:t>
      </w:r>
      <w:r>
        <w:rPr>
          <w:rStyle w:val="optioncarChar"/>
        </w:rPr>
        <w:t xml:space="preserve"> / ***</w:t>
      </w:r>
      <w:r>
        <w:br/>
        <w:t xml:space="preserve">Raccords visibles entre différents éléments dans le même plan : </w:t>
      </w:r>
      <w:r>
        <w:rPr>
          <w:rStyle w:val="optioncarChar"/>
        </w:rPr>
        <w:t>joint en forme de V </w:t>
      </w:r>
      <w:r>
        <w:t xml:space="preserve">(par défaut) </w:t>
      </w:r>
      <w:r>
        <w:rPr>
          <w:rStyle w:val="optioncarChar"/>
        </w:rPr>
        <w:t>/ ***</w:t>
      </w:r>
      <w:r>
        <w:br/>
        <w:t>Ponts thermiques / isolation thermique : des dispositifs adéquats sont utilisés pour éviter tout pont thermique.</w:t>
      </w:r>
    </w:p>
    <w:p w14:paraId="47C1D27B" w14:textId="77777777" w:rsidR="00DF410E" w:rsidRDefault="00CE7F43">
      <w:pPr>
        <w:pStyle w:val="pheading"/>
      </w:pPr>
      <w:r>
        <w:t>MESURAGE</w:t>
      </w:r>
    </w:p>
    <w:p w14:paraId="71B48FE6" w14:textId="77777777" w:rsidR="00DF410E" w:rsidRDefault="00CE7F43">
      <w:r>
        <w:t xml:space="preserve">Les armatures sont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1" w:history="1">
        <w:r>
          <w:rPr>
            <w:rStyle w:val="soitChar"/>
          </w:rPr>
          <w:t>22.51 Armatures pour béton</w:t>
        </w:r>
      </w:hyperlink>
    </w:p>
    <w:p w14:paraId="370154E1" w14:textId="77777777" w:rsidR="00DF410E" w:rsidRDefault="00CE7F43">
      <w:pPr>
        <w:pStyle w:val="pheading"/>
      </w:pPr>
      <w:r>
        <w:t>- unité de mesure:</w:t>
      </w:r>
    </w:p>
    <w:p w14:paraId="49220BFC" w14:textId="77777777" w:rsidR="00DF410E" w:rsidRDefault="00CE7F43">
      <w:r>
        <w:t>m</w:t>
      </w:r>
      <w:r>
        <w:rPr>
          <w:vertAlign w:val="superscript"/>
        </w:rPr>
        <w:t>3</w:t>
      </w:r>
    </w:p>
    <w:p w14:paraId="3A32B0FE" w14:textId="77777777" w:rsidR="00DF410E" w:rsidRDefault="00DF410E"/>
    <w:p w14:paraId="45BCD012" w14:textId="77777777" w:rsidR="00DF410E" w:rsidRDefault="00CE7F43">
      <w:pPr>
        <w:pStyle w:val="pheading"/>
      </w:pPr>
      <w:r>
        <w:t>- code de mesurage:</w:t>
      </w:r>
    </w:p>
    <w:p w14:paraId="77872D89" w14:textId="77777777" w:rsidR="00DF410E" w:rsidRDefault="00CE7F43">
      <w:r>
        <w:t>Le coffrage n'est jamais mesuré séparément et doit toujours être compris dans le prix unitaire du béton de centrale.</w:t>
      </w:r>
      <w:r>
        <w:br/>
      </w:r>
    </w:p>
    <w:p w14:paraId="17EAC94C" w14:textId="77777777" w:rsidR="00DF410E" w:rsidRDefault="00CE7F43">
      <w:r>
        <w:rPr>
          <w:i/>
          <w:u w:val="single"/>
        </w:rPr>
        <w:t>&gt; Remarque </w:t>
      </w:r>
    </w:p>
    <w:p w14:paraId="25392B13" w14:textId="77777777" w:rsidR="00DF410E" w:rsidRDefault="00CE7F43">
      <w:pPr>
        <w:pStyle w:val="Author-eListParagraph"/>
        <w:numPr>
          <w:ilvl w:val="0"/>
          <w:numId w:val="353"/>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1D362FCD" w14:textId="77777777" w:rsidR="00DF410E" w:rsidRDefault="00CE7F43">
      <w:pPr>
        <w:pStyle w:val="Author-eListParagraph"/>
        <w:numPr>
          <w:ilvl w:val="0"/>
          <w:numId w:val="353"/>
        </w:numPr>
      </w:pPr>
      <w:r>
        <w:rPr>
          <w:i/>
        </w:rPr>
        <w:t xml:space="preserve">Les quantités de béton ne sont jamais mesurées sur la base des bons de livraison soumis par l’entrepreneur. </w:t>
      </w:r>
    </w:p>
    <w:p w14:paraId="42D49248" w14:textId="77777777" w:rsidR="00DF410E" w:rsidRDefault="00CE7F43">
      <w:r>
        <w:t xml:space="preserve">Volume net, mesuré selon les dimensions nominales indiquées sur les plans, exprimées en </w:t>
      </w:r>
      <w:r>
        <w:rPr>
          <w:rStyle w:val="optioncarChar"/>
        </w:rPr>
        <w:t xml:space="preserve">cm </w:t>
      </w:r>
      <w:r>
        <w:t xml:space="preserve">(par défaut) </w:t>
      </w:r>
      <w:r>
        <w:rPr>
          <w:rStyle w:val="optioncarChar"/>
        </w:rPr>
        <w:t>/ dm</w:t>
      </w:r>
      <w:r>
        <w:t> </w:t>
      </w:r>
      <w:r>
        <w:rPr>
          <w:rStyle w:val="optioncarChar"/>
        </w:rPr>
        <w:t>/ ***</w:t>
      </w:r>
      <w:r>
        <w:t>.</w:t>
      </w:r>
    </w:p>
    <w:p w14:paraId="6FFCA095" w14:textId="77777777" w:rsidR="00DF410E" w:rsidRDefault="00CE7F43">
      <w:pPr>
        <w:pStyle w:val="Author-eListParagraph"/>
        <w:numPr>
          <w:ilvl w:val="0"/>
          <w:numId w:val="354"/>
        </w:numPr>
      </w:pPr>
      <w:r>
        <w:t>Les éléments en béton non rectangulaires sont calculés en multipliant la longueur par la surface de la section.</w:t>
      </w:r>
    </w:p>
    <w:p w14:paraId="49A95875" w14:textId="77777777" w:rsidR="00DF410E" w:rsidRDefault="00CE7F43">
      <w:pPr>
        <w:pStyle w:val="Author-eListParagraph"/>
        <w:numPr>
          <w:ilvl w:val="0"/>
          <w:numId w:val="354"/>
        </w:numPr>
      </w:pPr>
      <w:r>
        <w:t>Le contenu des volumes résiduels au droit des angles, rencontres et terminaisons est négligé.</w:t>
      </w:r>
    </w:p>
    <w:p w14:paraId="00B362BD" w14:textId="77777777" w:rsidR="00DF410E" w:rsidRDefault="00CE7F43">
      <w:pPr>
        <w:pStyle w:val="Author-eListParagraph"/>
        <w:numPr>
          <w:ilvl w:val="0"/>
          <w:numId w:val="354"/>
        </w:numPr>
      </w:pPr>
      <w:r>
        <w:t xml:space="preserve">Aucune déduction n'est faite pour: </w:t>
      </w:r>
    </w:p>
    <w:p w14:paraId="7CDFA527" w14:textId="77777777" w:rsidR="00DF410E" w:rsidRDefault="00CE7F43">
      <w:pPr>
        <w:pStyle w:val="Author-eListParagraph"/>
        <w:numPr>
          <w:ilvl w:val="1"/>
          <w:numId w:val="355"/>
        </w:numPr>
      </w:pPr>
      <w:r>
        <w:t>le volume des armatures,</w:t>
      </w:r>
    </w:p>
    <w:p w14:paraId="2ACFC7BA" w14:textId="77777777" w:rsidR="00DF410E" w:rsidRDefault="00CE7F43">
      <w:pPr>
        <w:pStyle w:val="Author-eListParagraph"/>
        <w:numPr>
          <w:ilvl w:val="1"/>
          <w:numId w:val="355"/>
        </w:numPr>
      </w:pPr>
      <w:r>
        <w:t>les blocs et écarteurs, les fourreaux pour les armatures de précontrainte ;</w:t>
      </w:r>
    </w:p>
    <w:p w14:paraId="002DE1A6" w14:textId="77777777" w:rsidR="00DF410E" w:rsidRDefault="00CE7F43">
      <w:pPr>
        <w:pStyle w:val="Author-eListParagraph"/>
        <w:numPr>
          <w:ilvl w:val="1"/>
          <w:numId w:val="355"/>
        </w:numPr>
      </w:pPr>
      <w:r>
        <w:t>les pénétrations pour les pattes d’ancrage, les creux, les conduites noyées et les réservations dont le volume est inférieur à 0,05 m3.</w:t>
      </w:r>
    </w:p>
    <w:p w14:paraId="7B363DD2" w14:textId="77777777" w:rsidR="00DF410E" w:rsidRDefault="00CE7F43">
      <w:pPr>
        <w:pStyle w:val="Author-eListParagraph"/>
        <w:numPr>
          <w:ilvl w:val="1"/>
          <w:numId w:val="355"/>
        </w:numPr>
      </w:pPr>
      <w:r>
        <w:t>les chanfreins et tous les profils dont la section a une superficie inférieure à 0,002 m2.</w:t>
      </w:r>
    </w:p>
    <w:p w14:paraId="6AEE9B0C" w14:textId="77777777" w:rsidR="00DF410E" w:rsidRDefault="00CE7F43">
      <w:pPr>
        <w:pStyle w:val="Author-eListParagraph"/>
        <w:numPr>
          <w:ilvl w:val="1"/>
          <w:numId w:val="355"/>
        </w:numPr>
      </w:pPr>
      <w:r>
        <w:t>les rainures, encoches et languettes.</w:t>
      </w:r>
    </w:p>
    <w:p w14:paraId="5EBF0A07" w14:textId="77777777" w:rsidR="00DF410E" w:rsidRDefault="00CE7F43">
      <w:pPr>
        <w:pStyle w:val="pheading"/>
      </w:pPr>
      <w:r>
        <w:t>- nature du marché:</w:t>
      </w:r>
    </w:p>
    <w:p w14:paraId="61F09352" w14:textId="77777777" w:rsidR="00DF410E" w:rsidRDefault="00CE7F43">
      <w:r>
        <w:rPr>
          <w:rStyle w:val="optioncarChar"/>
        </w:rPr>
        <w:t xml:space="preserve">QF </w:t>
      </w:r>
      <w:r>
        <w:t>(par défaut)</w:t>
      </w:r>
      <w:r>
        <w:rPr>
          <w:rStyle w:val="optioncarChar"/>
        </w:rPr>
        <w:t xml:space="preserve"> / QP / PM</w:t>
      </w:r>
      <w:r>
        <w:br/>
      </w:r>
    </w:p>
    <w:p w14:paraId="65509664" w14:textId="77777777" w:rsidR="00DF410E" w:rsidRDefault="00CE7F43">
      <w:r>
        <w:rPr>
          <w:u w:val="single"/>
        </w:rPr>
        <w:t xml:space="preserve">Attention </w:t>
      </w:r>
      <w:r>
        <w:t xml:space="preserve">: dans le cas où les armatures ne sont pas comprises dans le prix unitaire du béton), se référer aux § </w:t>
      </w:r>
      <w:hyperlink w:anchor="232" w:history="1">
        <w:r>
          <w:t>22.51.1 Barres d'armatures pour béton</w:t>
        </w:r>
      </w:hyperlink>
      <w:r>
        <w:t xml:space="preserve"> et </w:t>
      </w:r>
      <w:hyperlink w:anchor="233" w:history="1">
        <w:r>
          <w:t>22.51.2 Treillis et panneaux d'armatures préfabriqués</w:t>
        </w:r>
      </w:hyperlink>
      <w:r>
        <w:t>.</w:t>
      </w:r>
    </w:p>
    <w:p w14:paraId="5FA65FDB" w14:textId="77777777" w:rsidR="00DF410E" w:rsidRDefault="00CE7F43">
      <w:pPr>
        <w:pStyle w:val="Author-eSectionHeading5"/>
      </w:pPr>
      <w:bookmarkStart w:id="608" w:name="_Toc178837790"/>
      <w:r>
        <w:t>22.11.2 Poutres en béton apparent (esthétique) coulé en place CCTB 01.04</w:t>
      </w:r>
      <w:bookmarkEnd w:id="608"/>
    </w:p>
    <w:p w14:paraId="0CB8331F" w14:textId="77777777" w:rsidR="00DF410E" w:rsidRDefault="00CE7F43">
      <w:pPr>
        <w:pStyle w:val="Author-eSectionHeading6"/>
      </w:pPr>
      <w:bookmarkStart w:id="609" w:name="_Toc178837791"/>
      <w:r>
        <w:t>22.11.2a Poutres en béton apparent (esthétique) coulé en place CCTB 01.11</w:t>
      </w:r>
      <w:bookmarkEnd w:id="609"/>
    </w:p>
    <w:p w14:paraId="118DE895" w14:textId="77777777" w:rsidR="00DF410E" w:rsidRDefault="00CE7F43">
      <w:pPr>
        <w:pStyle w:val="pheading"/>
      </w:pPr>
      <w:bookmarkStart w:id="610" w:name="466"/>
      <w:bookmarkEnd w:id="610"/>
      <w:r>
        <w:t>DESCRIPTION</w:t>
      </w:r>
    </w:p>
    <w:p w14:paraId="0C205813" w14:textId="77777777" w:rsidR="00DF410E" w:rsidRDefault="00CE7F43">
      <w:pPr>
        <w:pStyle w:val="pheading"/>
      </w:pPr>
      <w:r>
        <w:t>- Définition / Comprend</w:t>
      </w:r>
    </w:p>
    <w:p w14:paraId="4FDF905E" w14:textId="77777777" w:rsidR="00DF410E" w:rsidRDefault="00CE7F43">
      <w:r>
        <w:t xml:space="preserve">Il s'agit de l’ensemble des poutres, poutres en L, poutres en T exécutées en béton apparent. Les travaux comprennent les éléments décrits en </w:t>
      </w:r>
      <w:hyperlink w:anchor="87"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4EB23A38" w14:textId="77777777" w:rsidR="00DF410E" w:rsidRDefault="00CE7F43">
      <w:r>
        <w:t xml:space="preserve">L'étude et les plans d'exécution </w:t>
      </w:r>
      <w:r>
        <w:rPr>
          <w:rStyle w:val="optioncarChar"/>
        </w:rPr>
        <w:t>sont / ne sont pas</w:t>
      </w:r>
      <w:r>
        <w:t xml:space="preserve"> à charge de l'entreprise.</w:t>
      </w:r>
    </w:p>
    <w:p w14:paraId="2670488B" w14:textId="77777777" w:rsidR="00DF410E" w:rsidRDefault="00CE7F43">
      <w:pPr>
        <w:pStyle w:val="pheading"/>
      </w:pPr>
      <w:r>
        <w:t>MATÉRIAUX</w:t>
      </w:r>
    </w:p>
    <w:p w14:paraId="3C9BB9F0" w14:textId="77777777" w:rsidR="00DF410E" w:rsidRDefault="00CE7F43">
      <w:pPr>
        <w:pStyle w:val="pheading"/>
      </w:pPr>
      <w:r>
        <w:t>- Caractéristiques générales</w:t>
      </w:r>
    </w:p>
    <w:p w14:paraId="3D3903EE" w14:textId="77777777" w:rsidR="00DF410E" w:rsidRDefault="00CE7F43">
      <w:r>
        <w:rPr>
          <w:u w:val="single"/>
        </w:rPr>
        <w:t>Béton</w:t>
      </w:r>
    </w:p>
    <w:p w14:paraId="4F588FD6" w14:textId="77777777" w:rsidR="00DF410E" w:rsidRDefault="00CE7F43">
      <w:pPr>
        <w:pStyle w:val="Author-eListParagraph"/>
        <w:numPr>
          <w:ilvl w:val="0"/>
          <w:numId w:val="356"/>
        </w:numPr>
      </w:pPr>
      <w:r>
        <w:t xml:space="preserve">Qualité du béton selon la [NBN EN 206:2013+A2] et la [NBN B 15-001] : (voir également </w:t>
      </w:r>
      <w:hyperlink w:anchor="87"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F410E" w14:paraId="5343547D" w14:textId="77777777">
        <w:tc>
          <w:tcPr>
            <w:tcW w:w="1500" w:type="dxa"/>
            <w:noWrap/>
          </w:tcPr>
          <w:p w14:paraId="1392DE6F" w14:textId="77777777" w:rsidR="00DF410E" w:rsidRDefault="00CE7F43">
            <w:pPr>
              <w:jc w:val="center"/>
            </w:pPr>
            <w:r>
              <w:rPr>
                <w:b/>
              </w:rPr>
              <w:t>A</w:t>
            </w:r>
          </w:p>
        </w:tc>
        <w:tc>
          <w:tcPr>
            <w:tcW w:w="1500" w:type="dxa"/>
            <w:noWrap/>
          </w:tcPr>
          <w:p w14:paraId="046C0C10" w14:textId="77777777" w:rsidR="00DF410E" w:rsidRDefault="00CE7F43">
            <w:pPr>
              <w:jc w:val="center"/>
            </w:pPr>
            <w:r>
              <w:rPr>
                <w:b/>
              </w:rPr>
              <w:t>B1</w:t>
            </w:r>
          </w:p>
        </w:tc>
        <w:tc>
          <w:tcPr>
            <w:tcW w:w="1500" w:type="dxa"/>
            <w:noWrap/>
          </w:tcPr>
          <w:p w14:paraId="40177D15" w14:textId="77777777" w:rsidR="00DF410E" w:rsidRDefault="00CE7F43">
            <w:pPr>
              <w:jc w:val="center"/>
            </w:pPr>
            <w:r>
              <w:rPr>
                <w:b/>
              </w:rPr>
              <w:t>B2</w:t>
            </w:r>
          </w:p>
        </w:tc>
        <w:tc>
          <w:tcPr>
            <w:tcW w:w="1500" w:type="dxa"/>
            <w:noWrap/>
          </w:tcPr>
          <w:p w14:paraId="60265C1A" w14:textId="77777777" w:rsidR="00DF410E" w:rsidRDefault="00CE7F43">
            <w:pPr>
              <w:jc w:val="center"/>
            </w:pPr>
            <w:r>
              <w:rPr>
                <w:b/>
              </w:rPr>
              <w:t>C</w:t>
            </w:r>
          </w:p>
        </w:tc>
        <w:tc>
          <w:tcPr>
            <w:tcW w:w="1500" w:type="dxa"/>
            <w:noWrap/>
          </w:tcPr>
          <w:p w14:paraId="3AA84A9B" w14:textId="77777777" w:rsidR="00DF410E" w:rsidRDefault="00CE7F43">
            <w:pPr>
              <w:jc w:val="center"/>
            </w:pPr>
            <w:r>
              <w:rPr>
                <w:b/>
              </w:rPr>
              <w:t>D</w:t>
            </w:r>
          </w:p>
        </w:tc>
        <w:tc>
          <w:tcPr>
            <w:tcW w:w="1500" w:type="dxa"/>
            <w:noWrap/>
          </w:tcPr>
          <w:p w14:paraId="6542EB22" w14:textId="77777777" w:rsidR="00DF410E" w:rsidRDefault="00CE7F43">
            <w:pPr>
              <w:jc w:val="center"/>
            </w:pPr>
            <w:r>
              <w:rPr>
                <w:b/>
              </w:rPr>
              <w:t>E</w:t>
            </w:r>
          </w:p>
        </w:tc>
      </w:tr>
      <w:tr w:rsidR="00DF410E" w14:paraId="4CB5AE1E" w14:textId="77777777">
        <w:tc>
          <w:tcPr>
            <w:tcW w:w="1500" w:type="dxa"/>
            <w:noWrap/>
          </w:tcPr>
          <w:p w14:paraId="590D10C8" w14:textId="77777777" w:rsidR="00DF410E" w:rsidRDefault="00CE7F43">
            <w:pPr>
              <w:jc w:val="center"/>
            </w:pPr>
            <w:r>
              <w:rPr>
                <w:b/>
              </w:rPr>
              <w:t>Classe de résistance</w:t>
            </w:r>
          </w:p>
        </w:tc>
        <w:tc>
          <w:tcPr>
            <w:tcW w:w="1500" w:type="dxa"/>
            <w:noWrap/>
          </w:tcPr>
          <w:p w14:paraId="6549AC89" w14:textId="77777777" w:rsidR="00DF410E" w:rsidRDefault="00CE7F43">
            <w:pPr>
              <w:jc w:val="center"/>
            </w:pPr>
            <w:r>
              <w:rPr>
                <w:b/>
              </w:rPr>
              <w:t>Domaine d’application</w:t>
            </w:r>
          </w:p>
        </w:tc>
        <w:tc>
          <w:tcPr>
            <w:tcW w:w="1500" w:type="dxa"/>
            <w:noWrap/>
          </w:tcPr>
          <w:p w14:paraId="566CE27A" w14:textId="77777777" w:rsidR="00DF410E" w:rsidRDefault="00CE7F43">
            <w:pPr>
              <w:jc w:val="center"/>
            </w:pPr>
            <w:r>
              <w:rPr>
                <w:b/>
              </w:rPr>
              <w:t>Classe d'environnement</w:t>
            </w:r>
          </w:p>
        </w:tc>
        <w:tc>
          <w:tcPr>
            <w:tcW w:w="1500" w:type="dxa"/>
            <w:noWrap/>
          </w:tcPr>
          <w:p w14:paraId="2A3952F0" w14:textId="77777777" w:rsidR="00DF410E" w:rsidRDefault="00CE7F43">
            <w:pPr>
              <w:jc w:val="center"/>
            </w:pPr>
            <w:r>
              <w:rPr>
                <w:b/>
              </w:rPr>
              <w:t>Classe de consistance</w:t>
            </w:r>
          </w:p>
        </w:tc>
        <w:tc>
          <w:tcPr>
            <w:tcW w:w="1500" w:type="dxa"/>
            <w:noWrap/>
          </w:tcPr>
          <w:p w14:paraId="742F9B40" w14:textId="77777777" w:rsidR="00DF410E" w:rsidRDefault="00CE7F43">
            <w:pPr>
              <w:jc w:val="center"/>
            </w:pPr>
            <w:r>
              <w:rPr>
                <w:b/>
              </w:rPr>
              <w:t>Granulométrie maximale</w:t>
            </w:r>
          </w:p>
        </w:tc>
        <w:tc>
          <w:tcPr>
            <w:tcW w:w="1500" w:type="dxa"/>
            <w:noWrap/>
          </w:tcPr>
          <w:p w14:paraId="6163CCD3" w14:textId="77777777" w:rsidR="00DF410E" w:rsidRDefault="00CE7F43">
            <w:r>
              <w:rPr>
                <w:b/>
              </w:rPr>
              <w:t>Données complémentaires</w:t>
            </w:r>
          </w:p>
        </w:tc>
      </w:tr>
      <w:tr w:rsidR="00DF410E" w14:paraId="526FCBDD" w14:textId="77777777">
        <w:tc>
          <w:tcPr>
            <w:tcW w:w="1500" w:type="dxa"/>
            <w:noWrap/>
          </w:tcPr>
          <w:p w14:paraId="70E58B37" w14:textId="77777777" w:rsidR="00DF410E" w:rsidRDefault="00CE7F43">
            <w:pPr>
              <w:jc w:val="center"/>
            </w:pPr>
            <w:r>
              <w:rPr>
                <w:rStyle w:val="optioncarChar"/>
              </w:rPr>
              <w:t>C25/30 / C30/37 / C35/45 / C45/55 / C50/60 / C55/67 / C60/75 / C70/85 / C80/95 / C90/105</w:t>
            </w:r>
          </w:p>
        </w:tc>
        <w:tc>
          <w:tcPr>
            <w:tcW w:w="1500" w:type="dxa"/>
            <w:noWrap/>
          </w:tcPr>
          <w:p w14:paraId="311AA069" w14:textId="77777777" w:rsidR="00DF410E" w:rsidRDefault="00CE7F43">
            <w:pPr>
              <w:jc w:val="center"/>
            </w:pPr>
            <w:r>
              <w:t>Béton armé</w:t>
            </w:r>
          </w:p>
          <w:p w14:paraId="6588B77B" w14:textId="77777777" w:rsidR="00DF410E" w:rsidRDefault="00DF410E"/>
        </w:tc>
        <w:tc>
          <w:tcPr>
            <w:tcW w:w="1500" w:type="dxa"/>
            <w:noWrap/>
          </w:tcPr>
          <w:p w14:paraId="48F3D3A2" w14:textId="77777777" w:rsidR="00DF410E" w:rsidRDefault="00CE7F43">
            <w:pPr>
              <w:jc w:val="center"/>
            </w:pPr>
            <w:r>
              <w:rPr>
                <w:rStyle w:val="optioncarChar"/>
              </w:rPr>
              <w:t>E0 / EI / EE1 / EE2 / EE3 / EE4 / ES1 / ES2 / ES3 / ES4 / EA1+*** / EA2+***/ EA3+***</w:t>
            </w:r>
          </w:p>
        </w:tc>
        <w:tc>
          <w:tcPr>
            <w:tcW w:w="1500" w:type="dxa"/>
            <w:noWrap/>
          </w:tcPr>
          <w:p w14:paraId="4D0AC18C" w14:textId="77777777" w:rsidR="00DF410E" w:rsidRDefault="00CE7F43">
            <w:pPr>
              <w:jc w:val="center"/>
            </w:pPr>
            <w:r>
              <w:t>au choix de l'entrepreneur :</w:t>
            </w:r>
          </w:p>
          <w:p w14:paraId="30AFED94" w14:textId="77777777" w:rsidR="00DF410E" w:rsidRDefault="00CE7F43">
            <w:pPr>
              <w:jc w:val="center"/>
            </w:pPr>
            <w:r>
              <w:rPr>
                <w:rStyle w:val="optioncarChar"/>
              </w:rPr>
              <w:t xml:space="preserve">S3 / S4 / S5 </w:t>
            </w:r>
          </w:p>
          <w:p w14:paraId="683A18CF" w14:textId="77777777" w:rsidR="00DF410E" w:rsidRDefault="00CE7F43">
            <w:pPr>
              <w:jc w:val="center"/>
            </w:pPr>
            <w:r>
              <w:rPr>
                <w:rStyle w:val="optioncarChar"/>
              </w:rPr>
              <w:t>F3 / F4 / F5 / F6</w:t>
            </w:r>
            <w:r>
              <w:br/>
            </w:r>
          </w:p>
        </w:tc>
        <w:tc>
          <w:tcPr>
            <w:tcW w:w="1500" w:type="dxa"/>
            <w:noWrap/>
          </w:tcPr>
          <w:p w14:paraId="17D6B96F" w14:textId="77777777" w:rsidR="00DF410E" w:rsidRDefault="00CE7F43">
            <w:pPr>
              <w:jc w:val="center"/>
            </w:pPr>
            <w:r>
              <w:t>au choix de l'entrepreneur :</w:t>
            </w:r>
          </w:p>
          <w:p w14:paraId="239490F2" w14:textId="77777777" w:rsidR="00DF410E" w:rsidRDefault="00CE7F43">
            <w:pPr>
              <w:jc w:val="center"/>
            </w:pPr>
            <w:r>
              <w:rPr>
                <w:rStyle w:val="optioncarChar"/>
              </w:rPr>
              <w:t>6 / 8 / 10 / 11 / 12 / 14 / 16 / 20 / 22 / 32 </w:t>
            </w:r>
            <w:r>
              <w:t>mm</w:t>
            </w:r>
          </w:p>
        </w:tc>
        <w:tc>
          <w:tcPr>
            <w:tcW w:w="1500" w:type="dxa"/>
            <w:noWrap/>
          </w:tcPr>
          <w:p w14:paraId="1589618B" w14:textId="77777777" w:rsidR="00DF410E" w:rsidRDefault="00CE7F43">
            <w:pPr>
              <w:jc w:val="center"/>
            </w:pPr>
            <w:r>
              <w:rPr>
                <w:rStyle w:val="optioncarChar"/>
              </w:rPr>
              <w:t>***</w:t>
            </w:r>
          </w:p>
        </w:tc>
      </w:tr>
    </w:tbl>
    <w:p w14:paraId="25ECCA3C" w14:textId="77777777" w:rsidR="00DF410E" w:rsidRDefault="00DF410E"/>
    <w:p w14:paraId="08171753"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78E66F1D" w14:textId="77777777" w:rsidR="00DF410E" w:rsidRDefault="00CE7F43">
      <w:pPr>
        <w:pStyle w:val="Author-eListParagraph"/>
        <w:numPr>
          <w:ilvl w:val="0"/>
          <w:numId w:val="357"/>
        </w:numPr>
      </w:pPr>
      <w:r>
        <w:t xml:space="preserve">Classe de viscosité apparente : </w:t>
      </w:r>
      <w:r>
        <w:rPr>
          <w:rStyle w:val="optioncarChar"/>
        </w:rPr>
        <w:t>VS1 / VS2</w:t>
      </w:r>
      <w:r>
        <w:t xml:space="preserve"> (selon la [NBN EN 12350-8] )</w:t>
      </w:r>
    </w:p>
    <w:p w14:paraId="3B41B2EE" w14:textId="77777777" w:rsidR="00DF410E" w:rsidRDefault="00CE7F43">
      <w:pPr>
        <w:pStyle w:val="Author-eListParagraph"/>
        <w:numPr>
          <w:ilvl w:val="0"/>
          <w:numId w:val="357"/>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27A36FD" w14:textId="77777777" w:rsidR="00DF410E" w:rsidRDefault="00CE7F43">
      <w:pPr>
        <w:pStyle w:val="Author-eListParagraph"/>
        <w:numPr>
          <w:ilvl w:val="0"/>
          <w:numId w:val="35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59C82A6" w14:textId="77777777" w:rsidR="00DF410E" w:rsidRDefault="00CE7F43">
      <w:r>
        <w:rPr>
          <w:u w:val="single"/>
        </w:rPr>
        <w:t>Armatures</w:t>
      </w:r>
    </w:p>
    <w:p w14:paraId="604CBBA5" w14:textId="77777777" w:rsidR="00DF410E" w:rsidRDefault="00CE7F43">
      <w:pPr>
        <w:pStyle w:val="Author-eListParagraph"/>
        <w:numPr>
          <w:ilvl w:val="0"/>
          <w:numId w:val="358"/>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7AC7A29F" w14:textId="77777777" w:rsidR="00DF410E" w:rsidRDefault="00CE7F43">
      <w:pPr>
        <w:pStyle w:val="Author-eListParagraph"/>
        <w:numPr>
          <w:ilvl w:val="0"/>
          <w:numId w:val="358"/>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7B6AD5D" w14:textId="77777777" w:rsidR="00DF410E" w:rsidRDefault="00CE7F43">
      <w:pPr>
        <w:pStyle w:val="pheading"/>
      </w:pPr>
      <w:r>
        <w:t>- Finitions</w:t>
      </w:r>
    </w:p>
    <w:p w14:paraId="1625AF84"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3ECB0F8E" w14:textId="77777777" w:rsidR="00DF410E" w:rsidRDefault="00CE7F43">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0F2081B2" w14:textId="77777777" w:rsidR="00DF410E" w:rsidRDefault="00CE7F43">
      <w:r>
        <w:t xml:space="preserve">La face supérieure non coffrée des éléments est </w:t>
      </w:r>
      <w:r>
        <w:rPr>
          <w:rStyle w:val="optioncarChar"/>
        </w:rPr>
        <w:t>laissée rugueuse / lissée à la taloche / lavée à l’eau / brossée / bouchardée / grenaillée / grésée / polie mat / polie brillant.</w:t>
      </w:r>
    </w:p>
    <w:p w14:paraId="6D1C4B99"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 ZBA/6 seules les caractéristiques pertinentes sont retenues)</w:t>
      </w:r>
      <w:r>
        <w:br/>
      </w:r>
    </w:p>
    <w:p w14:paraId="718D26CA" w14:textId="77777777" w:rsidR="00DF410E" w:rsidRDefault="00CE7F43">
      <w:pPr>
        <w:pStyle w:val="Author-eListParagraph"/>
        <w:numPr>
          <w:ilvl w:val="0"/>
          <w:numId w:val="359"/>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4F15F71D" w14:textId="77777777" w:rsidR="00DF410E" w:rsidRDefault="00CE7F43">
      <w:pPr>
        <w:pStyle w:val="Author-eListParagraph"/>
        <w:numPr>
          <w:ilvl w:val="0"/>
          <w:numId w:val="359"/>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18B5E463" w14:textId="77777777" w:rsidR="00DF410E" w:rsidRDefault="00CE7F43">
      <w:pPr>
        <w:pStyle w:val="Author-eListParagraph"/>
        <w:numPr>
          <w:ilvl w:val="0"/>
          <w:numId w:val="359"/>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5075D12" w14:textId="77777777" w:rsidR="00DF410E" w:rsidRDefault="00CE7F43">
      <w:pPr>
        <w:pStyle w:val="Author-eListParagraph"/>
        <w:numPr>
          <w:ilvl w:val="0"/>
          <w:numId w:val="359"/>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568A2A5E" w14:textId="77777777" w:rsidR="00DF410E" w:rsidRDefault="00CE7F43">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1,5x1,5</w:t>
      </w:r>
      <w:r>
        <w:t xml:space="preserve"> (par défaut) </w:t>
      </w:r>
      <w:r>
        <w:rPr>
          <w:rStyle w:val="optioncarChar"/>
        </w:rPr>
        <w:t xml:space="preserve">/ 2,5x2,5 / ***x*** </w:t>
      </w:r>
      <w:r>
        <w:rPr>
          <w:rStyle w:val="soitChar"/>
        </w:rPr>
        <w:t>cm²</w:t>
      </w:r>
      <w:r>
        <w:rPr>
          <w:rStyle w:val="optioncarChar"/>
        </w:rPr>
        <w:t>.</w:t>
      </w:r>
    </w:p>
    <w:p w14:paraId="0D884626" w14:textId="77777777" w:rsidR="00DF410E" w:rsidRDefault="00CE7F43">
      <w:pPr>
        <w:pStyle w:val="pheading"/>
      </w:pPr>
      <w:r>
        <w:t>EXÉCUTION / MISE EN ŒUVRE</w:t>
      </w:r>
    </w:p>
    <w:p w14:paraId="3FF7C5CB" w14:textId="77777777" w:rsidR="00DF410E" w:rsidRDefault="00CE7F43">
      <w:pPr>
        <w:pStyle w:val="pheading"/>
      </w:pPr>
      <w:r>
        <w:t>- Prescriptions générales</w:t>
      </w:r>
    </w:p>
    <w:p w14:paraId="1F6BDA1C" w14:textId="77777777" w:rsidR="00DF410E" w:rsidRDefault="00CE7F43">
      <w:r>
        <w:t xml:space="preserve">Les </w:t>
      </w:r>
      <w:r>
        <w:rPr>
          <w:rStyle w:val="optioncarChar"/>
          <w:color w:val="000000"/>
        </w:rPr>
        <w:t xml:space="preserve">poutres </w:t>
      </w:r>
      <w:r>
        <w:t>sont exécutées dans les dimensions indiquées sur les plans.</w:t>
      </w:r>
    </w:p>
    <w:p w14:paraId="079B2417" w14:textId="77777777" w:rsidR="00DF410E" w:rsidRDefault="00CE7F43">
      <w:r>
        <w:t>L’entrepreneur est tenu de vérifier si elles peuvent effectivement être réalisées conformément aux plans soumis. Il y a lieu de tenir compte de la hauteur libre requise par rapport au niveau du sol. .</w:t>
      </w:r>
    </w:p>
    <w:p w14:paraId="65C43782" w14:textId="77777777" w:rsidR="00DF410E" w:rsidRDefault="00CE7F43">
      <w:r>
        <w:t xml:space="preserve">La longueur d’appui est au moins </w:t>
      </w:r>
      <w:r>
        <w:rPr>
          <w:rStyle w:val="optioncarChar"/>
        </w:rPr>
        <w:t>celle obtenue par calcul </w:t>
      </w:r>
      <w:r>
        <w:t>(par défaut)</w:t>
      </w:r>
      <w:r>
        <w:rPr>
          <w:rStyle w:val="optioncarChar"/>
        </w:rPr>
        <w:t xml:space="preserve"> / 20 / 30 / ***</w:t>
      </w:r>
      <w:r>
        <w:t xml:space="preserve"> cm à chaque extrémité des </w:t>
      </w:r>
      <w:r>
        <w:rPr>
          <w:rStyle w:val="optioncarChar"/>
          <w:color w:val="000000"/>
        </w:rPr>
        <w:t>poutres</w:t>
      </w:r>
    </w:p>
    <w:p w14:paraId="33925610" w14:textId="77777777" w:rsidR="00DF410E" w:rsidRDefault="00CE7F43">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t>22 Superstructures en béton</w:t>
        </w:r>
      </w:hyperlink>
      <w:r>
        <w:t xml:space="preserve"> sous-titre </w:t>
      </w:r>
      <w:r>
        <w:rPr>
          <w:u w:val="single"/>
        </w:rPr>
        <w:t>Décoffrage</w:t>
      </w:r>
      <w:r>
        <w:t xml:space="preserve"> et [NBN B 15-400] )</w:t>
      </w:r>
    </w:p>
    <w:p w14:paraId="0FFC6381" w14:textId="77777777" w:rsidR="00DF410E" w:rsidRDefault="00CE7F43">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60820E79" w14:textId="77777777" w:rsidR="00DF410E" w:rsidRDefault="00CE7F43">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p>
    <w:p w14:paraId="78722426" w14:textId="77777777" w:rsidR="00DF410E" w:rsidRDefault="00CE7F43">
      <w:pPr>
        <w:pStyle w:val="pheading"/>
      </w:pPr>
      <w:r>
        <w:t>- Notes d’exécution complémentaires</w:t>
      </w:r>
    </w:p>
    <w:p w14:paraId="4DE1D119" w14:textId="77777777" w:rsidR="00DF410E" w:rsidRDefault="00CE7F43">
      <w:r>
        <w:t xml:space="preserve">Raccords visibles entre éléments de coffrage : </w:t>
      </w:r>
      <w:r>
        <w:rPr>
          <w:rStyle w:val="optioncarChar"/>
        </w:rPr>
        <w:t xml:space="preserve">joint en forme de V </w:t>
      </w:r>
      <w:r>
        <w:t>(par défaut) </w:t>
      </w:r>
      <w:r>
        <w:rPr>
          <w:rStyle w:val="optioncarChar"/>
        </w:rPr>
        <w:t>/ ***</w:t>
      </w:r>
      <w:r>
        <w:br/>
        <w:t xml:space="preserve">Raccords visibles entre différents éléments dans le même plan : </w:t>
      </w:r>
      <w:r>
        <w:rPr>
          <w:rStyle w:val="optioncarChar"/>
        </w:rPr>
        <w:t xml:space="preserve">joint en forme de V </w:t>
      </w:r>
      <w:r>
        <w:t>(par défaut) </w:t>
      </w:r>
      <w:r>
        <w:rPr>
          <w:rStyle w:val="optioncarChar"/>
        </w:rPr>
        <w:t>/ ***</w:t>
      </w:r>
      <w:r>
        <w:br/>
        <w:t>Ponts thermiques / isolation thermique : des dispositifs adéquats sont utilisés pour éviter tout pont thermique.</w:t>
      </w:r>
    </w:p>
    <w:p w14:paraId="6B1F7955" w14:textId="77777777" w:rsidR="00DF410E" w:rsidRDefault="00CE7F43">
      <w:pPr>
        <w:pStyle w:val="pheading"/>
      </w:pPr>
      <w:r>
        <w:t>MESURAGE</w:t>
      </w:r>
    </w:p>
    <w:p w14:paraId="317E9622" w14:textId="77777777" w:rsidR="00DF410E" w:rsidRDefault="00CE7F43">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605271B0" w14:textId="77777777" w:rsidR="00DF410E" w:rsidRDefault="00CE7F43">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1" w:history="1">
        <w:r>
          <w:rPr>
            <w:rStyle w:val="soitChar"/>
          </w:rPr>
          <w:t>22.51 Armatures pour béton</w:t>
        </w:r>
      </w:hyperlink>
    </w:p>
    <w:p w14:paraId="55E056E3" w14:textId="77777777" w:rsidR="00DF410E" w:rsidRDefault="00CE7F43">
      <w:pPr>
        <w:pStyle w:val="pheading"/>
      </w:pPr>
      <w:r>
        <w:t>- unité de mesure:</w:t>
      </w:r>
    </w:p>
    <w:p w14:paraId="1A72162A" w14:textId="77777777" w:rsidR="00DF410E" w:rsidRDefault="00CE7F43">
      <w:r>
        <w:t>m</w:t>
      </w:r>
      <w:r>
        <w:rPr>
          <w:vertAlign w:val="superscript"/>
        </w:rPr>
        <w:t>3</w:t>
      </w:r>
    </w:p>
    <w:p w14:paraId="25C8F89D" w14:textId="77777777" w:rsidR="00DF410E" w:rsidRDefault="00CE7F43">
      <w:pPr>
        <w:pStyle w:val="pheading"/>
      </w:pPr>
      <w:r>
        <w:t>- code de mesurage:</w:t>
      </w:r>
    </w:p>
    <w:p w14:paraId="29F67115" w14:textId="77777777" w:rsidR="00DF410E" w:rsidRDefault="00CE7F43">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6E5D087F" w14:textId="77777777" w:rsidR="00DF410E" w:rsidRDefault="00CE7F43">
      <w:r>
        <w:rPr>
          <w:i/>
          <w:u w:val="single"/>
        </w:rPr>
        <w:t>&gt; Remarque </w:t>
      </w:r>
    </w:p>
    <w:p w14:paraId="021BD020" w14:textId="77777777" w:rsidR="00DF410E" w:rsidRDefault="00CE7F43">
      <w:pPr>
        <w:pStyle w:val="Author-eListParagraph"/>
        <w:numPr>
          <w:ilvl w:val="0"/>
          <w:numId w:val="360"/>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000C02F7" w14:textId="77777777" w:rsidR="00DF410E" w:rsidRDefault="00CE7F43">
      <w:pPr>
        <w:pStyle w:val="Author-eListParagraph"/>
        <w:numPr>
          <w:ilvl w:val="0"/>
          <w:numId w:val="360"/>
        </w:numPr>
      </w:pPr>
      <w:r>
        <w:rPr>
          <w:i/>
        </w:rPr>
        <w:t xml:space="preserve">Les quantités de béton ne sont jamais mesurées sur la base des bons de livraison soumis par l’entrepreneur. </w:t>
      </w:r>
    </w:p>
    <w:p w14:paraId="67DA7F11" w14:textId="77777777" w:rsidR="00DF410E" w:rsidRDefault="00CE7F43">
      <w:r>
        <w:rPr>
          <w:rStyle w:val="headingChar"/>
        </w:rPr>
        <w:t>EN BASE</w:t>
      </w:r>
    </w:p>
    <w:p w14:paraId="4449AEFF" w14:textId="77777777" w:rsidR="00DF410E" w:rsidRDefault="00CE7F43">
      <w:r>
        <w:t xml:space="preserve">Volume net, mesuré selon les dimensions nominales indiquées sur les plans, exprimées en </w:t>
      </w:r>
      <w:r>
        <w:rPr>
          <w:rStyle w:val="optioncarChar"/>
        </w:rPr>
        <w:t>cm </w:t>
      </w:r>
      <w:r>
        <w:t>(par défaut)</w:t>
      </w:r>
      <w:r>
        <w:rPr>
          <w:rStyle w:val="optioncarChar"/>
        </w:rPr>
        <w:t xml:space="preserve"> / dm / ***</w:t>
      </w:r>
      <w:r>
        <w:t>.</w:t>
      </w:r>
    </w:p>
    <w:p w14:paraId="59CB5742" w14:textId="77777777" w:rsidR="00DF410E" w:rsidRDefault="00CE7F43">
      <w:pPr>
        <w:pStyle w:val="Author-eListParagraph"/>
        <w:numPr>
          <w:ilvl w:val="0"/>
          <w:numId w:val="361"/>
        </w:numPr>
      </w:pPr>
      <w:r>
        <w:t>Les éléments en béton non rectangulaires sont calculés en multipliant la longueur par la surface de la section.</w:t>
      </w:r>
    </w:p>
    <w:p w14:paraId="68DF6B05" w14:textId="77777777" w:rsidR="00DF410E" w:rsidRDefault="00CE7F43">
      <w:pPr>
        <w:pStyle w:val="Author-eListParagraph"/>
        <w:numPr>
          <w:ilvl w:val="0"/>
          <w:numId w:val="361"/>
        </w:numPr>
      </w:pPr>
      <w:r>
        <w:t>Le contenu des volumes résiduels au droit des angles, rencontres et terminaisons est négligé.</w:t>
      </w:r>
    </w:p>
    <w:p w14:paraId="5E199C2C" w14:textId="77777777" w:rsidR="00DF410E" w:rsidRDefault="00CE7F43">
      <w:pPr>
        <w:pStyle w:val="Author-eListParagraph"/>
        <w:numPr>
          <w:ilvl w:val="0"/>
          <w:numId w:val="361"/>
        </w:numPr>
      </w:pPr>
      <w:r>
        <w:t xml:space="preserve">Aucune déduction n'est faite pour: </w:t>
      </w:r>
    </w:p>
    <w:p w14:paraId="17891968" w14:textId="77777777" w:rsidR="00DF410E" w:rsidRDefault="00CE7F43">
      <w:pPr>
        <w:pStyle w:val="Author-eListParagraph"/>
        <w:numPr>
          <w:ilvl w:val="1"/>
          <w:numId w:val="362"/>
        </w:numPr>
      </w:pPr>
      <w:r>
        <w:t>le volume des armatures,</w:t>
      </w:r>
    </w:p>
    <w:p w14:paraId="01A060F5" w14:textId="77777777" w:rsidR="00DF410E" w:rsidRDefault="00CE7F43">
      <w:pPr>
        <w:pStyle w:val="Author-eListParagraph"/>
        <w:numPr>
          <w:ilvl w:val="1"/>
          <w:numId w:val="362"/>
        </w:numPr>
      </w:pPr>
      <w:r>
        <w:t>les blocs et écarteurs, les fourreaux pour les armatures de précontrainte ;</w:t>
      </w:r>
    </w:p>
    <w:p w14:paraId="00B456FF" w14:textId="77777777" w:rsidR="00DF410E" w:rsidRDefault="00CE7F43">
      <w:pPr>
        <w:pStyle w:val="Author-eListParagraph"/>
        <w:numPr>
          <w:ilvl w:val="1"/>
          <w:numId w:val="362"/>
        </w:numPr>
      </w:pPr>
      <w:r>
        <w:t>les pénétrations pour les pattes d’ancrage, les creux, les conduites noyées et les réservations dont le volume est inférieur à 0,05 m</w:t>
      </w:r>
      <w:r>
        <w:rPr>
          <w:vertAlign w:val="superscript"/>
        </w:rPr>
        <w:t>3</w:t>
      </w:r>
      <w:r>
        <w:t>.</w:t>
      </w:r>
    </w:p>
    <w:p w14:paraId="217A2CC3" w14:textId="77777777" w:rsidR="00DF410E" w:rsidRDefault="00CE7F43">
      <w:pPr>
        <w:pStyle w:val="Author-eListParagraph"/>
        <w:numPr>
          <w:ilvl w:val="1"/>
          <w:numId w:val="362"/>
        </w:numPr>
      </w:pPr>
      <w:r>
        <w:t>les chanfreins et tous les profils dont la section a une superficie inférieure à 0,002 m</w:t>
      </w:r>
      <w:r>
        <w:rPr>
          <w:vertAlign w:val="superscript"/>
        </w:rPr>
        <w:t>2</w:t>
      </w:r>
      <w:r>
        <w:t>.</w:t>
      </w:r>
    </w:p>
    <w:p w14:paraId="6713F5B0" w14:textId="77777777" w:rsidR="00DF410E" w:rsidRDefault="00CE7F43">
      <w:pPr>
        <w:pStyle w:val="Author-eListParagraph"/>
        <w:numPr>
          <w:ilvl w:val="1"/>
          <w:numId w:val="362"/>
        </w:numPr>
      </w:pPr>
      <w:r>
        <w:t>les rainures, encoches et languettes.</w:t>
      </w:r>
    </w:p>
    <w:p w14:paraId="03C53F04" w14:textId="77777777" w:rsidR="00DF410E" w:rsidRDefault="00CE7F43">
      <w:r>
        <w:rPr>
          <w:rStyle w:val="headingChar"/>
        </w:rPr>
        <w:t>EN SUPPLEMENT POUR COFFRAGE PARTICULIER ET COMPLEXE</w:t>
      </w:r>
      <w:r>
        <w:br/>
      </w:r>
    </w:p>
    <w:p w14:paraId="410F1E9F" w14:textId="77777777" w:rsidR="00DF410E" w:rsidRDefault="00CE7F43">
      <w:r>
        <w:rPr>
          <w:rStyle w:val="optioncarChar"/>
        </w:rPr>
        <w:t xml:space="preserve">Surface </w:t>
      </w:r>
      <w:r>
        <w:t>(par défaut)</w:t>
      </w:r>
      <w:r>
        <w:rPr>
          <w:rStyle w:val="optioncarChar"/>
        </w:rPr>
        <w:t xml:space="preserve"> / Volume net </w:t>
      </w:r>
      <w:r>
        <w:t>mesurés selon les dimensions nominales indiquées sur les plans.</w:t>
      </w:r>
    </w:p>
    <w:p w14:paraId="7C168D01" w14:textId="77777777" w:rsidR="00DF410E" w:rsidRDefault="00CE7F43">
      <w:r>
        <w:rPr>
          <w:b/>
        </w:rPr>
        <w:t>(Soit par défaut)</w:t>
      </w:r>
      <w:r>
        <w:br/>
      </w:r>
      <w:r>
        <w:rPr>
          <w:rStyle w:val="soitChar"/>
        </w:rPr>
        <w:t xml:space="preserve">1. </w:t>
      </w:r>
      <w:r>
        <w:rPr>
          <w:rStyle w:val="soitChar"/>
          <w:u w:val="single"/>
        </w:rPr>
        <w:t>Surface :</w:t>
      </w:r>
    </w:p>
    <w:p w14:paraId="082C5800" w14:textId="77777777" w:rsidR="00DF410E" w:rsidRDefault="00CE7F43">
      <w:r>
        <w:rPr>
          <w:color w:val="33CCCC"/>
        </w:rPr>
        <w:t>Les surfaces supérieures qui ont une inclinaison plus forte que 6/4 sont considérées comme surfaces à coffrer.</w:t>
      </w:r>
      <w:r>
        <w:br/>
      </w:r>
      <w:r>
        <w:rPr>
          <w:rStyle w:val="soitChar"/>
        </w:rPr>
        <w:t>On ne déduit pas les surfaces</w:t>
      </w:r>
      <w:r>
        <w:rPr>
          <w:rStyle w:val="soitChar"/>
          <w:color w:val="000000"/>
        </w:rPr>
        <w:t> </w:t>
      </w:r>
      <w:r>
        <w:rPr>
          <w:color w:val="33CCCC"/>
        </w:rPr>
        <w:t>des évidements égaux ou inférieurs à 1</w:t>
      </w:r>
      <w:r>
        <w:rPr>
          <w:rStyle w:val="soitChar"/>
        </w:rPr>
        <w:t xml:space="preserve"> m</w:t>
      </w:r>
      <w:r>
        <w:rPr>
          <w:rStyle w:val="soitChar"/>
          <w:vertAlign w:val="superscript"/>
        </w:rPr>
        <w:t>2</w:t>
      </w:r>
      <w:r>
        <w:br/>
      </w:r>
      <w:r>
        <w:rPr>
          <w:color w:val="33CCCC"/>
        </w:rPr>
        <w:t>des raccordements de poutres entre elles ou avec les parois ou les colonnes.</w:t>
      </w:r>
      <w:r>
        <w:br/>
      </w:r>
      <w:r>
        <w:rPr>
          <w:color w:val="33CCCC"/>
        </w:rPr>
        <w:t>Le coffrage des évidements, des gaines, etc. égaux ou inférieurs à 1 m</w:t>
      </w:r>
      <w:r>
        <w:rPr>
          <w:color w:val="33CCCC"/>
          <w:vertAlign w:val="superscript"/>
        </w:rPr>
        <w:t>2</w:t>
      </w:r>
      <w:r>
        <w:rPr>
          <w:color w:val="33CCCC"/>
        </w:rPr>
        <w:t xml:space="preserve"> est mesuré à la pièce.</w:t>
      </w:r>
      <w:r>
        <w:br/>
      </w:r>
      <w:r>
        <w:rPr>
          <w:color w:val="33CCCC"/>
        </w:rPr>
        <w:t>Le coffrage des évidements supérieurs à</w:t>
      </w:r>
      <w:r>
        <w:rPr>
          <w:rStyle w:val="soitChar"/>
        </w:rPr>
        <w:t xml:space="preserve"> 1 m</w:t>
      </w:r>
      <w:r>
        <w:rPr>
          <w:rStyle w:val="soitChar"/>
          <w:vertAlign w:val="superscript"/>
        </w:rPr>
        <w:t>2</w:t>
      </w:r>
      <w:r>
        <w:rPr>
          <w:color w:val="33CCCC"/>
        </w:rPr>
        <w:t xml:space="preserve"> est compté avec l'élément correspondant.</w:t>
      </w:r>
      <w:r>
        <w:br/>
      </w:r>
      <w:r>
        <w:rPr>
          <w:color w:val="33CCCC"/>
        </w:rPr>
        <w:t>Pour la mesure de la surface des coffrages, il n'est pas tenu compte des lattes de coin et des autres lattes incorporées en vue de donner les profilés voulus et qui sont fixées dans le coffrage.</w:t>
      </w:r>
      <w:r>
        <w:br/>
      </w:r>
      <w:r>
        <w:rPr>
          <w:color w:val="33CCCC"/>
        </w:rPr>
        <w:t>Les coffrages latéraux et les coffrages des têtes sont comptés avec l'élément correspondant.</w:t>
      </w:r>
      <w:r>
        <w:br/>
      </w:r>
      <w:r>
        <w:rPr>
          <w:color w:val="33CCCC"/>
        </w:rPr>
        <w:t>Le coffrage des poutres est mesuré jusqu'à la face inférieure du plancher, sauf lorsqu’il s'agit de la face extérieure des poutres de bordure qui est mesurée jusqu'à la face supérieure du plancher ou du béton de remplissage des planchers à système.</w:t>
      </w:r>
      <w:r>
        <w:br/>
      </w:r>
      <w:r>
        <w:rPr>
          <w:color w:val="33CCCC"/>
        </w:rPr>
        <w:t>A l'intersection de poutres, le coffrage de la plus épaisse est mesuré en continu. Le coffrage des autres est mesuré entre celui des plus épaisses.</w:t>
      </w:r>
      <w:r>
        <w:br/>
      </w:r>
      <w:r>
        <w:rPr>
          <w:color w:val="33CCCC"/>
        </w:rPr>
        <w:t>Le coffrage des poutres est mesuré sans tenir compte d'interruptions telles que des colonnes, même si les poutres sont plus étroites que les colonnes.</w:t>
      </w:r>
    </w:p>
    <w:p w14:paraId="2838BC90" w14:textId="77777777" w:rsidR="00DF410E" w:rsidRDefault="00CE7F43">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23A69B82" w14:textId="77777777" w:rsidR="00DF410E" w:rsidRDefault="00CE7F43">
      <w:pPr>
        <w:pStyle w:val="pheading"/>
      </w:pPr>
      <w:r>
        <w:t>- nature du marché:</w:t>
      </w:r>
    </w:p>
    <w:p w14:paraId="49A890BC" w14:textId="77777777" w:rsidR="00DF410E" w:rsidRDefault="00CE7F43">
      <w:r>
        <w:rPr>
          <w:rStyle w:val="headingChar"/>
        </w:rPr>
        <w:t>EN BASE</w:t>
      </w:r>
    </w:p>
    <w:p w14:paraId="62C55336" w14:textId="77777777" w:rsidR="00DF410E" w:rsidRDefault="00CE7F43">
      <w:r>
        <w:rPr>
          <w:rStyle w:val="optioncarChar"/>
        </w:rPr>
        <w:t xml:space="preserve">QF </w:t>
      </w:r>
      <w:r>
        <w:t>(par défaut)</w:t>
      </w:r>
      <w:r>
        <w:rPr>
          <w:rStyle w:val="optioncarChar"/>
        </w:rPr>
        <w:t xml:space="preserve"> / QP / PM</w:t>
      </w:r>
    </w:p>
    <w:p w14:paraId="4716336E" w14:textId="77777777" w:rsidR="00DF410E" w:rsidRDefault="00CE7F43">
      <w:r>
        <w:rPr>
          <w:rStyle w:val="headingChar"/>
        </w:rPr>
        <w:t>SUPPLEMENT POUR COFFRAGE PARTICULIER ET COMPLEXE</w:t>
      </w:r>
    </w:p>
    <w:p w14:paraId="39BFE39F" w14:textId="77777777" w:rsidR="00DF410E" w:rsidRDefault="00CE7F43">
      <w:r>
        <w:rPr>
          <w:rStyle w:val="optioncarChar"/>
        </w:rPr>
        <w:t xml:space="preserve">QF </w:t>
      </w:r>
      <w:r>
        <w:t xml:space="preserve">(par défaut) </w:t>
      </w:r>
      <w:r>
        <w:rPr>
          <w:rStyle w:val="optioncarChar"/>
        </w:rPr>
        <w:t>/ QP</w:t>
      </w:r>
    </w:p>
    <w:p w14:paraId="118C0A61" w14:textId="77777777" w:rsidR="00DF410E" w:rsidRDefault="00CE7F43">
      <w:r>
        <w:rPr>
          <w:u w:val="single"/>
        </w:rPr>
        <w:t>Attention</w:t>
      </w:r>
      <w:r>
        <w:t xml:space="preserve"> : dans le cas où les armatures ne sont pas comprises dans le prix unitaire du béton, se référer aux § </w:t>
      </w:r>
      <w:hyperlink w:anchor="232" w:history="1">
        <w:r>
          <w:t>22.51.1 Barres d'armatures pour béton</w:t>
        </w:r>
      </w:hyperlink>
      <w:r>
        <w:t xml:space="preserve"> et § </w:t>
      </w:r>
      <w:hyperlink w:anchor="233" w:history="1">
        <w:r>
          <w:t>22.51.2 Treillis et panneaux d'armatures préfabriqués</w:t>
        </w:r>
      </w:hyperlink>
      <w:r>
        <w:t xml:space="preserve">. Pour les armatures de précontrainte, se référer au § </w:t>
      </w:r>
      <w:hyperlink w:anchor="481" w:history="1">
        <w:r>
          <w:t>22.52.1 Armatures de précontrainte par post-tension</w:t>
        </w:r>
      </w:hyperlink>
      <w:r>
        <w:t>.</w:t>
      </w:r>
    </w:p>
    <w:p w14:paraId="4476E6E2" w14:textId="77777777" w:rsidR="00DF410E" w:rsidRDefault="00CE7F43">
      <w:pPr>
        <w:pStyle w:val="Author-eSectionHeading5"/>
      </w:pPr>
      <w:bookmarkStart w:id="611" w:name="_Toc178837792"/>
      <w:r>
        <w:t>22.11.3 Poutres préfabriquées en béton CCTB 01.04</w:t>
      </w:r>
      <w:bookmarkEnd w:id="611"/>
    </w:p>
    <w:p w14:paraId="2084360F" w14:textId="77777777" w:rsidR="00DF410E" w:rsidRDefault="00CE7F43">
      <w:pPr>
        <w:pStyle w:val="Author-eSectionHeading6"/>
      </w:pPr>
      <w:bookmarkStart w:id="612" w:name="_Toc178837793"/>
      <w:r>
        <w:t>22.11.3a Poutres préfabriquées en béton armé CCTB 01.11</w:t>
      </w:r>
      <w:bookmarkEnd w:id="612"/>
    </w:p>
    <w:p w14:paraId="0B1A9BA5" w14:textId="77777777" w:rsidR="00DF410E" w:rsidRDefault="00CE7F43">
      <w:pPr>
        <w:pStyle w:val="pheading"/>
      </w:pPr>
      <w:r>
        <w:t>DESCRIPTION</w:t>
      </w:r>
    </w:p>
    <w:p w14:paraId="16D1B347" w14:textId="77777777" w:rsidR="00DF410E" w:rsidRDefault="00CE7F43">
      <w:pPr>
        <w:pStyle w:val="pheading"/>
      </w:pPr>
      <w:r>
        <w:t>- Définition / Comprend</w:t>
      </w:r>
    </w:p>
    <w:p w14:paraId="05D77653" w14:textId="77777777" w:rsidR="00DF410E" w:rsidRDefault="00CE7F43">
      <w:r>
        <w:t xml:space="preserve">Il s'agit de toutes les poutres en béton armé qui sont obligatoirement préfabriquées dans une usine suivant la définition reprise dans les généralités, et sont assemblées sur chantier aux ouvrages de construction déjà exécutés ( voir également </w:t>
      </w:r>
      <w:hyperlink w:anchor="87" w:history="1">
        <w:r>
          <w:t>22 Superstructures en béton</w:t>
        </w:r>
      </w:hyperlink>
      <w:r>
        <w:t xml:space="preserve"> ).</w:t>
      </w:r>
    </w:p>
    <w:p w14:paraId="35E3053A" w14:textId="77777777" w:rsidR="00DF410E" w:rsidRDefault="00CE7F43">
      <w:r>
        <w:t>Les éléments sont fabriqués suivant les spécifications de la norme [NBN EN 13225] et son complément national [NBN B 21-604].</w:t>
      </w:r>
    </w:p>
    <w:p w14:paraId="614C48F3" w14:textId="77777777" w:rsidR="00DF410E" w:rsidRDefault="00CE7F43">
      <w:pPr>
        <w:pStyle w:val="pheading"/>
      </w:pPr>
      <w:r>
        <w:t>MATÉRIAUX</w:t>
      </w:r>
    </w:p>
    <w:p w14:paraId="46978C09" w14:textId="77777777" w:rsidR="00DF410E" w:rsidRDefault="00CE7F43">
      <w:pPr>
        <w:pStyle w:val="pheading"/>
      </w:pPr>
      <w:r>
        <w:t>- Caractéristiques générales</w:t>
      </w:r>
    </w:p>
    <w:p w14:paraId="3EE4157A" w14:textId="77777777" w:rsidR="00DF410E" w:rsidRDefault="00CE7F43">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défaut)</w:t>
      </w:r>
      <w:r>
        <w:rPr>
          <w:color w:val="FF0000"/>
        </w:rPr>
        <w:t xml:space="preserve"> / EI / EE1 / EE2 / EE3 / EE4 / ES1 / ES2 / ES3 / ES4 / EA1+*** / EA2+***/ EA3+*** / ***</w:t>
      </w:r>
    </w:p>
    <w:p w14:paraId="4F18CBDA" w14:textId="77777777" w:rsidR="00DF410E" w:rsidRDefault="00CE7F43">
      <w:pPr>
        <w:pStyle w:val="pheading"/>
      </w:pPr>
      <w:r>
        <w:t>- Finitions</w:t>
      </w:r>
    </w:p>
    <w:p w14:paraId="05513E92" w14:textId="77777777" w:rsidR="00DF410E" w:rsidRDefault="00CE7F43">
      <w:r>
        <w:t>La surface du béton est</w:t>
      </w:r>
      <w:r>
        <w:rPr>
          <w:rStyle w:val="optioncarChar"/>
        </w:rPr>
        <w:t xml:space="preserve"> brute et lisse / brute et finement texturée / brute et grossièrement texturée / brute à relief (ou structurée)</w:t>
      </w:r>
      <w:r>
        <w:br/>
      </w:r>
      <w:r>
        <w:br/>
      </w:r>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r>
        <w:br/>
      </w:r>
      <w:r>
        <w:rPr>
          <w:b/>
        </w:rPr>
        <w:t>(soit)</w:t>
      </w:r>
      <w:r>
        <w:br/>
      </w:r>
      <w:r>
        <w:rPr>
          <w:rStyle w:val="soitChar"/>
        </w:rPr>
        <w:t xml:space="preserve">3. </w:t>
      </w:r>
      <w:r>
        <w:rPr>
          <w:rStyle w:val="soitChar"/>
          <w:u w:val="single"/>
        </w:rPr>
        <w:t>vives</w:t>
      </w:r>
    </w:p>
    <w:p w14:paraId="18DA0863" w14:textId="77777777" w:rsidR="00DF410E" w:rsidRDefault="00CE7F43">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w:t>
      </w:r>
    </w:p>
    <w:p w14:paraId="7F806AEB" w14:textId="77777777" w:rsidR="00DF410E" w:rsidRDefault="00CE7F43">
      <w:r>
        <w:br/>
      </w:r>
      <w:r>
        <w:rPr>
          <w:u w:val="single"/>
        </w:rPr>
        <w:t>Etanchéité</w:t>
      </w:r>
      <w:r>
        <w:br/>
        <w:t>Tous les éléments en béton en contact avec les terres sont</w:t>
      </w:r>
      <w:r>
        <w:rPr>
          <w:rStyle w:val="optioncarChar"/>
        </w:rPr>
        <w:t xml:space="preserve"> traités avec du bitume</w:t>
      </w:r>
      <w:r>
        <w:t xml:space="preserve"> (par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t>une (par défaut)</w:t>
      </w:r>
      <w:r>
        <w:rPr>
          <w:rStyle w:val="optioncarChar"/>
        </w:rPr>
        <w:t>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0</w:t>
      </w:r>
      <w:r>
        <w:t xml:space="preserve"> (par défaut)</w:t>
      </w:r>
      <w:r>
        <w:rPr>
          <w:rStyle w:val="optioncarChar"/>
        </w:rPr>
        <w:t xml:space="preserve"> / 1 / 2 / 3</w:t>
      </w:r>
    </w:p>
    <w:p w14:paraId="7C92B8F8" w14:textId="77777777" w:rsidR="00DF410E" w:rsidRDefault="00CE7F43">
      <w:pPr>
        <w:pStyle w:val="pheading"/>
      </w:pPr>
      <w:r>
        <w:t>- Prescriptions complémentaires</w:t>
      </w:r>
    </w:p>
    <w:p w14:paraId="23CF0F30" w14:textId="77777777" w:rsidR="00DF410E" w:rsidRDefault="00CE7F43">
      <w:r>
        <w:t xml:space="preserve">Résistance au feu : </w:t>
      </w:r>
      <w:r>
        <w:rPr>
          <w:rStyle w:val="optioncarChar"/>
        </w:rPr>
        <w:t>R30 </w:t>
      </w:r>
      <w:r>
        <w:t>(par défaut)</w:t>
      </w:r>
      <w:r>
        <w:rPr>
          <w:rStyle w:val="optioncarChar"/>
        </w:rPr>
        <w:t xml:space="preserve"> / R60 / R120 / R240 / ***</w:t>
      </w:r>
      <w:r>
        <w:t xml:space="preserve"> suivant la déclaration de performance (DoP) selon la norme produit [NBN EN 13225] et [NBN B 21-604].</w:t>
      </w:r>
    </w:p>
    <w:p w14:paraId="5986591C" w14:textId="77777777" w:rsidR="00DF410E" w:rsidRDefault="00CE7F43">
      <w:r>
        <w:t>Si la résistance au feu n’est pas déclarée sous marquage CE, elle est démontrée par test au feu selon la [NBN EN 13501-2] ou par calcul selon les Eurocodes conformément à l’[AM 2013-05-17]</w:t>
      </w:r>
    </w:p>
    <w:p w14:paraId="12157B9D" w14:textId="77777777" w:rsidR="00DF410E" w:rsidRDefault="00CE7F43">
      <w:pPr>
        <w:pStyle w:val="pheading"/>
      </w:pPr>
      <w:r>
        <w:t>EXÉCUTION / MISE EN ŒUVRE</w:t>
      </w:r>
    </w:p>
    <w:p w14:paraId="5D33F3D9" w14:textId="77777777" w:rsidR="00DF410E" w:rsidRDefault="00CE7F43">
      <w:pPr>
        <w:pStyle w:val="pheading"/>
      </w:pPr>
      <w:r>
        <w:t>- Prescriptions générales</w:t>
      </w:r>
    </w:p>
    <w:p w14:paraId="2D1EC66B" w14:textId="77777777" w:rsidR="00DF410E" w:rsidRDefault="00CE7F43">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10AEB0A5" w14:textId="77777777" w:rsidR="00DF410E" w:rsidRDefault="00CE7F43">
      <w:pPr>
        <w:pStyle w:val="pheading"/>
      </w:pPr>
      <w:r>
        <w:t>- Notes d’exécution complémentaires</w:t>
      </w:r>
    </w:p>
    <w:p w14:paraId="18BB5F25" w14:textId="77777777" w:rsidR="00DF410E" w:rsidRDefault="00CE7F43">
      <w:r>
        <w:t xml:space="preserve">Ponts thermiques / isolation thermique : des dispositifs adéquats sont utilisés pour éviter tout pont thermique. </w:t>
      </w:r>
    </w:p>
    <w:p w14:paraId="673DC091" w14:textId="77777777" w:rsidR="00DF410E" w:rsidRDefault="00CE7F43">
      <w:pPr>
        <w:pStyle w:val="pheading"/>
      </w:pPr>
      <w:r>
        <w:t>MESURAGE</w:t>
      </w:r>
    </w:p>
    <w:p w14:paraId="4711685F" w14:textId="77777777" w:rsidR="00DF410E" w:rsidRDefault="00CE7F43">
      <w:r>
        <w:t>Conformément aux indications spécifiques dans le cahier spécial des charges et/ou le métré récapitulatif, le mesurage est conçu comme suit :</w:t>
      </w:r>
    </w:p>
    <w:p w14:paraId="01DDDB5C" w14:textId="77777777" w:rsidR="00DF410E" w:rsidRDefault="00CE7F43">
      <w:pPr>
        <w:pStyle w:val="pheading"/>
      </w:pPr>
      <w:r>
        <w:t>- unité de mesure:</w:t>
      </w:r>
    </w:p>
    <w:p w14:paraId="3734F98B" w14:textId="77777777" w:rsidR="00DF410E" w:rsidRDefault="00CE7F43">
      <w:r>
        <w:rPr>
          <w:rStyle w:val="optioncarChar"/>
        </w:rPr>
        <w:t xml:space="preserve">m³ </w:t>
      </w:r>
      <w:r>
        <w:t>(par défaut)</w:t>
      </w:r>
      <w:r>
        <w:rPr>
          <w:rStyle w:val="optioncarChar"/>
        </w:rPr>
        <w:t xml:space="preserve"> / pce / m / -</w:t>
      </w:r>
      <w:r>
        <w:br/>
      </w:r>
    </w:p>
    <w:p w14:paraId="065607EB" w14:textId="77777777" w:rsidR="00DF410E" w:rsidRDefault="00CE7F43">
      <w:pPr>
        <w:pStyle w:val="pheading"/>
      </w:pPr>
      <w:r>
        <w:t>- code de mesurage:</w:t>
      </w:r>
    </w:p>
    <w:p w14:paraId="2D7A7240" w14:textId="77777777" w:rsidR="00DF410E" w:rsidRDefault="00CE7F43">
      <w:r>
        <w:t>volume net, mesuré selon les dimensions nominales indiquées sur les plans.</w:t>
      </w:r>
    </w:p>
    <w:p w14:paraId="4D7DDDB6" w14:textId="77777777" w:rsidR="00DF410E" w:rsidRDefault="00CE7F43">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70AF6E80" w14:textId="77777777" w:rsidR="00DF410E" w:rsidRDefault="00CE7F43">
      <w:pPr>
        <w:pStyle w:val="Author-eListParagraph"/>
        <w:numPr>
          <w:ilvl w:val="0"/>
          <w:numId w:val="363"/>
        </w:numPr>
      </w:pPr>
      <w:r>
        <w:t>le volume des armatures,</w:t>
      </w:r>
    </w:p>
    <w:p w14:paraId="152F071C" w14:textId="77777777" w:rsidR="00DF410E" w:rsidRDefault="00CE7F43">
      <w:pPr>
        <w:pStyle w:val="Author-eListParagraph"/>
        <w:numPr>
          <w:ilvl w:val="0"/>
          <w:numId w:val="363"/>
        </w:numPr>
      </w:pPr>
      <w:r>
        <w:t>les blocs et écarteurs, les fourreaux pour les armatures de précontrainte ;</w:t>
      </w:r>
    </w:p>
    <w:p w14:paraId="48307225" w14:textId="77777777" w:rsidR="00DF410E" w:rsidRDefault="00CE7F43">
      <w:pPr>
        <w:pStyle w:val="Author-eListParagraph"/>
        <w:numPr>
          <w:ilvl w:val="0"/>
          <w:numId w:val="363"/>
        </w:numPr>
      </w:pPr>
      <w:r>
        <w:t>les pénétrations pour les pattes d’ancrage, les creux, les conduites noyées et les réservations dont le volume est inférieur à 0,05 m</w:t>
      </w:r>
      <w:r>
        <w:rPr>
          <w:vertAlign w:val="superscript"/>
        </w:rPr>
        <w:t>3</w:t>
      </w:r>
      <w:r>
        <w:t>.</w:t>
      </w:r>
    </w:p>
    <w:p w14:paraId="0597DF65" w14:textId="77777777" w:rsidR="00DF410E" w:rsidRDefault="00CE7F43">
      <w:pPr>
        <w:pStyle w:val="Author-eListParagraph"/>
        <w:numPr>
          <w:ilvl w:val="0"/>
          <w:numId w:val="363"/>
        </w:numPr>
      </w:pPr>
      <w:r>
        <w:t>les chanfreins et tous les profils dont la section a une superficie inférieure à 20 cm</w:t>
      </w:r>
      <w:r>
        <w:rPr>
          <w:vertAlign w:val="superscript"/>
        </w:rPr>
        <w:t>2</w:t>
      </w:r>
      <w:r>
        <w:t>.</w:t>
      </w:r>
    </w:p>
    <w:p w14:paraId="2E61D306" w14:textId="77777777" w:rsidR="00DF410E" w:rsidRDefault="00CE7F43">
      <w:pPr>
        <w:pStyle w:val="Author-eListParagraph"/>
        <w:numPr>
          <w:ilvl w:val="0"/>
          <w:numId w:val="363"/>
        </w:numPr>
      </w:pPr>
      <w:r>
        <w:t>les rainures, encoches et languettes.</w:t>
      </w:r>
    </w:p>
    <w:p w14:paraId="79E962E5" w14:textId="77777777" w:rsidR="00DF410E" w:rsidRDefault="00CE7F43">
      <w:r>
        <w:t>Sont toujours compris dans le prix unitaire outre les éléments préfabriqués, les armatures qui y sont incorporées, les moyens de support, de fixation et d’appui, le béton, ainsi que les armatures posées sur place pour des raisons de stabilité</w:t>
      </w:r>
    </w:p>
    <w:p w14:paraId="0983E39B" w14:textId="77777777" w:rsidR="00DF410E" w:rsidRDefault="00CE7F43">
      <w:pPr>
        <w:pStyle w:val="pheading"/>
      </w:pPr>
      <w:r>
        <w:t>- nature du marché:</w:t>
      </w:r>
    </w:p>
    <w:p w14:paraId="23BF60E4" w14:textId="77777777" w:rsidR="00DF410E" w:rsidRDefault="00CE7F43">
      <w:r>
        <w:rPr>
          <w:rStyle w:val="optioncarChar"/>
        </w:rPr>
        <w:t xml:space="preserve">QF </w:t>
      </w:r>
      <w:r>
        <w:t xml:space="preserve">(par défaut) </w:t>
      </w:r>
      <w:r>
        <w:rPr>
          <w:rStyle w:val="optioncarChar"/>
        </w:rPr>
        <w:t>/ QP / PM</w:t>
      </w:r>
    </w:p>
    <w:p w14:paraId="7FF4CB6A" w14:textId="77777777" w:rsidR="00DF410E" w:rsidRDefault="00CE7F43">
      <w:pPr>
        <w:pStyle w:val="Author-eSectionHeading6"/>
      </w:pPr>
      <w:bookmarkStart w:id="613" w:name="_Toc178837794"/>
      <w:r>
        <w:t>22.11.3b Poutres préfabriquées en treillis en béton armé CCTB 01.02</w:t>
      </w:r>
      <w:bookmarkEnd w:id="613"/>
    </w:p>
    <w:p w14:paraId="6D2C9160" w14:textId="77777777" w:rsidR="00DF410E" w:rsidRDefault="00CE7F43">
      <w:pPr>
        <w:pStyle w:val="Author-eSectionHeading6"/>
      </w:pPr>
      <w:bookmarkStart w:id="614" w:name="_Toc178837795"/>
      <w:r>
        <w:t>22.11.3c Poutres préfabriquées en béton précontraint CCTB 01.11</w:t>
      </w:r>
      <w:bookmarkEnd w:id="614"/>
    </w:p>
    <w:p w14:paraId="61D1F10E" w14:textId="77777777" w:rsidR="00DF410E" w:rsidRDefault="00CE7F43">
      <w:pPr>
        <w:pStyle w:val="pheading"/>
      </w:pPr>
      <w:r>
        <w:t>DESCRIPTION</w:t>
      </w:r>
    </w:p>
    <w:p w14:paraId="4E19968E" w14:textId="77777777" w:rsidR="00DF410E" w:rsidRDefault="00CE7F43">
      <w:pPr>
        <w:pStyle w:val="pheading"/>
      </w:pPr>
      <w:r>
        <w:t>- Définition / Comprend</w:t>
      </w:r>
    </w:p>
    <w:p w14:paraId="46B191B7" w14:textId="77777777" w:rsidR="00DF410E" w:rsidRDefault="00CE7F43">
      <w:r>
        <w:t xml:space="preserve">Il s'agit de toutes les poutres en béton précontraint qui sont obligatoirement préfabriquées dans une usine suivant la définition reprise dans les généralités, et sont assemblées sur chantier aux ouvrages de construction déjà exécutés ( voir également </w:t>
      </w:r>
      <w:hyperlink w:anchor="87" w:history="1">
        <w:r>
          <w:t>22 Superstructures en béton</w:t>
        </w:r>
      </w:hyperlink>
      <w:r>
        <w:t>).</w:t>
      </w:r>
    </w:p>
    <w:p w14:paraId="252FE1F0" w14:textId="77777777" w:rsidR="00DF410E" w:rsidRDefault="00CE7F43">
      <w:r>
        <w:t>Les éléments sont fabriqués suivant les spécifications de la norme [NBN EN 13225] et son complément national [NBN B 21-604].</w:t>
      </w:r>
    </w:p>
    <w:p w14:paraId="38FB8077" w14:textId="77777777" w:rsidR="00DF410E" w:rsidRDefault="00CE7F43">
      <w:pPr>
        <w:pStyle w:val="pheading"/>
      </w:pPr>
      <w:r>
        <w:t>MATÉRIAUX</w:t>
      </w:r>
    </w:p>
    <w:p w14:paraId="237C2BA0" w14:textId="77777777" w:rsidR="00DF410E" w:rsidRDefault="00CE7F43">
      <w:pPr>
        <w:pStyle w:val="pheading"/>
      </w:pPr>
      <w:r>
        <w:t>- Caractéristiques générales</w:t>
      </w:r>
    </w:p>
    <w:p w14:paraId="6DA25D28" w14:textId="77777777" w:rsidR="00DF410E" w:rsidRDefault="00CE7F43">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défaut)</w:t>
      </w:r>
      <w:r>
        <w:rPr>
          <w:color w:val="FF0000"/>
        </w:rPr>
        <w:t xml:space="preserve"> / EI / EE1 / EE2 / EE3 / EE4 / ES1 / ES2 / ES3 / ES4 / EA1+*** / EA2+***/ EA3+*** / ***</w:t>
      </w:r>
    </w:p>
    <w:p w14:paraId="08DCC50A" w14:textId="77777777" w:rsidR="00DF410E" w:rsidRDefault="00DF410E"/>
    <w:p w14:paraId="187FCDB4" w14:textId="77777777" w:rsidR="00DF410E" w:rsidRDefault="00CE7F43">
      <w:pPr>
        <w:pStyle w:val="pheading"/>
      </w:pPr>
      <w:r>
        <w:t>- Finitions</w:t>
      </w:r>
    </w:p>
    <w:p w14:paraId="7A032749" w14:textId="77777777" w:rsidR="00DF410E" w:rsidRDefault="00CE7F43">
      <w:r>
        <w:t xml:space="preserve">La surface de béton est </w:t>
      </w:r>
      <w:r>
        <w:rPr>
          <w:rStyle w:val="optioncarChar"/>
        </w:rPr>
        <w:t>brute et lisse </w:t>
      </w:r>
      <w:r>
        <w:t>(par défaut)</w:t>
      </w:r>
      <w:r>
        <w:rPr>
          <w:rStyle w:val="optioncarChar"/>
        </w:rPr>
        <w:t xml:space="preserve"> / structurée / ***</w:t>
      </w:r>
      <w:r>
        <w:br/>
      </w:r>
      <w:r>
        <w:br/>
      </w:r>
      <w:r>
        <w:rPr>
          <w:u w:val="single"/>
        </w:rPr>
        <w:t>Terminaison des arêtes</w:t>
      </w:r>
      <w:r>
        <w:br/>
        <w:t xml:space="preserve">Les arêtes saillantes des poutres sont </w:t>
      </w:r>
      <w:r>
        <w:rPr>
          <w:rStyle w:val="optioncarChar"/>
        </w:rPr>
        <w:t>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660724DC" w14:textId="77777777" w:rsidR="00DF410E" w:rsidRDefault="00CE7F43">
      <w:r>
        <w:t xml:space="preserve">Les arêtes rentrantes des poutres sont </w:t>
      </w:r>
      <w:r>
        <w:rPr>
          <w:rStyle w:val="optioncarChar"/>
        </w:rPr>
        <w:t>vives </w:t>
      </w:r>
      <w:r>
        <w:t>(par défaut)</w:t>
      </w:r>
      <w:r>
        <w:rPr>
          <w:rStyle w:val="optioncarChar"/>
        </w:rPr>
        <w:t xml:space="preserve"> /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 suivant la norme [NBN B 46-002]</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 xml:space="preserve">(par défaut) </w:t>
      </w:r>
      <w:r>
        <w:rPr>
          <w:rStyle w:val="optioncarChar"/>
        </w:rPr>
        <w:t>/ 1 / 2 / 3</w:t>
      </w:r>
    </w:p>
    <w:p w14:paraId="3B1E0A2D" w14:textId="77777777" w:rsidR="00DF410E" w:rsidRDefault="00CE7F43">
      <w:pPr>
        <w:ind w:left="435"/>
      </w:pPr>
      <w:r>
        <w:t> </w:t>
      </w:r>
    </w:p>
    <w:p w14:paraId="0A793CAA" w14:textId="77777777" w:rsidR="00DF410E" w:rsidRDefault="00CE7F43">
      <w:pPr>
        <w:pStyle w:val="pheading"/>
      </w:pPr>
      <w:r>
        <w:t>- Prescriptions complémentaires</w:t>
      </w:r>
    </w:p>
    <w:p w14:paraId="6818F0D7" w14:textId="77777777" w:rsidR="00DF410E" w:rsidRDefault="00CE7F43">
      <w:r>
        <w:t xml:space="preserve">Résistance au feu : </w:t>
      </w:r>
      <w:r>
        <w:rPr>
          <w:rStyle w:val="optioncarChar"/>
        </w:rPr>
        <w:t>R30 </w:t>
      </w:r>
      <w:r>
        <w:t>(par défaut)</w:t>
      </w:r>
      <w:r>
        <w:rPr>
          <w:rStyle w:val="optioncarChar"/>
        </w:rPr>
        <w:t xml:space="preserve"> / R60 / R120 / R240 / ***</w:t>
      </w:r>
      <w:r>
        <w:t> suivant la déclaration de performance (DoP) selon la norme produit [NBN EN 13225] et [NBN B 21-604].</w:t>
      </w:r>
    </w:p>
    <w:p w14:paraId="1FDC52F5" w14:textId="77777777" w:rsidR="00DF410E" w:rsidRDefault="00CE7F43">
      <w:r>
        <w:t>Si la résistance au feu n’est pas déclarée sous marquage CE, elle est démontrée par test au feu selon la [NBN EN 13501-2] ou par calcul selon les Eurocodes conformément à l’[AM 2013-05-17]</w:t>
      </w:r>
    </w:p>
    <w:p w14:paraId="6267353A" w14:textId="77777777" w:rsidR="00DF410E" w:rsidRDefault="00CE7F43">
      <w:pPr>
        <w:pStyle w:val="pheading"/>
      </w:pPr>
      <w:r>
        <w:t>EXÉCUTION / MISE EN ŒUVRE</w:t>
      </w:r>
    </w:p>
    <w:p w14:paraId="2C71E310" w14:textId="77777777" w:rsidR="00DF410E" w:rsidRDefault="00CE7F43">
      <w:pPr>
        <w:pStyle w:val="pheading"/>
      </w:pPr>
      <w:r>
        <w:t>- Prescriptions générales</w:t>
      </w:r>
    </w:p>
    <w:p w14:paraId="2820B35B" w14:textId="77777777" w:rsidR="00DF410E" w:rsidRDefault="00CE7F43">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098D7C09" w14:textId="77777777" w:rsidR="00DF410E" w:rsidRDefault="00CE7F43">
      <w:pPr>
        <w:pStyle w:val="pheading"/>
      </w:pPr>
      <w:r>
        <w:t>- Notes d’exécution complémentaires</w:t>
      </w:r>
    </w:p>
    <w:p w14:paraId="13DC0DCF" w14:textId="77777777" w:rsidR="00DF410E" w:rsidRDefault="00CE7F43">
      <w:r>
        <w:t>Ponts thermiques / isolation thermique : des dispositifs adéquats sont utilisés pour éviter tout pont thermique.</w:t>
      </w:r>
    </w:p>
    <w:p w14:paraId="7C0A7BF0" w14:textId="77777777" w:rsidR="00DF410E" w:rsidRDefault="00CE7F43">
      <w:pPr>
        <w:pStyle w:val="pheading"/>
      </w:pPr>
      <w:r>
        <w:t>MESURAGE</w:t>
      </w:r>
    </w:p>
    <w:p w14:paraId="394199CD" w14:textId="77777777" w:rsidR="00DF410E" w:rsidRDefault="00CE7F43">
      <w:r>
        <w:t>Conformément aux indications spécifiques dans le cahier spécial des charges et/ou le métré récapitulatif, le mesurage est conçu comme suit :</w:t>
      </w:r>
    </w:p>
    <w:p w14:paraId="24B631CE" w14:textId="77777777" w:rsidR="00DF410E" w:rsidRDefault="00CE7F43">
      <w:pPr>
        <w:pStyle w:val="pheading"/>
      </w:pPr>
      <w:r>
        <w:t>- unité de mesure:</w:t>
      </w:r>
    </w:p>
    <w:p w14:paraId="7CA167A0" w14:textId="77777777" w:rsidR="00DF410E" w:rsidRDefault="00CE7F43">
      <w:r>
        <w:t> </w:t>
      </w:r>
      <w:r>
        <w:rPr>
          <w:rStyle w:val="optioncarChar"/>
        </w:rPr>
        <w:t xml:space="preserve">m³ </w:t>
      </w:r>
      <w:r>
        <w:t>(par défaut)</w:t>
      </w:r>
      <w:r>
        <w:rPr>
          <w:rStyle w:val="optioncarChar"/>
        </w:rPr>
        <w:t xml:space="preserve"> / pce / m / -</w:t>
      </w:r>
    </w:p>
    <w:p w14:paraId="57116361" w14:textId="77777777" w:rsidR="00DF410E" w:rsidRDefault="00CE7F43">
      <w:pPr>
        <w:pStyle w:val="pheading"/>
      </w:pPr>
      <w:r>
        <w:t>- code de mesurage:</w:t>
      </w:r>
    </w:p>
    <w:p w14:paraId="511E5CA0" w14:textId="77777777" w:rsidR="00DF410E" w:rsidRDefault="00CE7F43">
      <w:r>
        <w:t>volume net, mesuré selon les dimensions nominales indiquées sur les plans.</w:t>
      </w:r>
    </w:p>
    <w:p w14:paraId="14D43E8B" w14:textId="77777777" w:rsidR="00DF410E" w:rsidRDefault="00CE7F43">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2D701ADC" w14:textId="77777777" w:rsidR="00DF410E" w:rsidRDefault="00CE7F43">
      <w:pPr>
        <w:pStyle w:val="Author-eListParagraph"/>
        <w:numPr>
          <w:ilvl w:val="0"/>
          <w:numId w:val="364"/>
        </w:numPr>
      </w:pPr>
      <w:r>
        <w:t>le volume des armatures,</w:t>
      </w:r>
    </w:p>
    <w:p w14:paraId="40C344E3" w14:textId="77777777" w:rsidR="00DF410E" w:rsidRDefault="00CE7F43">
      <w:pPr>
        <w:pStyle w:val="Author-eListParagraph"/>
        <w:numPr>
          <w:ilvl w:val="0"/>
          <w:numId w:val="364"/>
        </w:numPr>
      </w:pPr>
      <w:r>
        <w:t>les blocs et écarteurs, les fourreaux pour les armatures de précontrainte ;</w:t>
      </w:r>
    </w:p>
    <w:p w14:paraId="1E367F93" w14:textId="77777777" w:rsidR="00DF410E" w:rsidRDefault="00CE7F43">
      <w:pPr>
        <w:pStyle w:val="Author-eListParagraph"/>
        <w:numPr>
          <w:ilvl w:val="0"/>
          <w:numId w:val="364"/>
        </w:numPr>
      </w:pPr>
      <w:r>
        <w:t>les pénétrations pour les pattes d’ancrage, les creux, les conduites noyées et les réservations dont le volume est inférieur à 0,05 m</w:t>
      </w:r>
      <w:r>
        <w:rPr>
          <w:vertAlign w:val="superscript"/>
        </w:rPr>
        <w:t>3</w:t>
      </w:r>
      <w:r>
        <w:t>.</w:t>
      </w:r>
    </w:p>
    <w:p w14:paraId="2BC8EC57" w14:textId="77777777" w:rsidR="00DF410E" w:rsidRDefault="00CE7F43">
      <w:pPr>
        <w:pStyle w:val="Author-eListParagraph"/>
        <w:numPr>
          <w:ilvl w:val="0"/>
          <w:numId w:val="364"/>
        </w:numPr>
      </w:pPr>
      <w:r>
        <w:t>les chanfreins et tous les profils dont la section a une superficie inférieure à 20 cm</w:t>
      </w:r>
      <w:r>
        <w:rPr>
          <w:vertAlign w:val="superscript"/>
        </w:rPr>
        <w:t>2</w:t>
      </w:r>
      <w:r>
        <w:t>.</w:t>
      </w:r>
    </w:p>
    <w:p w14:paraId="561F9973" w14:textId="77777777" w:rsidR="00DF410E" w:rsidRDefault="00CE7F43">
      <w:pPr>
        <w:pStyle w:val="Author-eListParagraph"/>
        <w:numPr>
          <w:ilvl w:val="0"/>
          <w:numId w:val="364"/>
        </w:numPr>
      </w:pPr>
      <w:r>
        <w:t>les rainures, encoches et languettes.</w:t>
      </w:r>
    </w:p>
    <w:p w14:paraId="154EB46F" w14:textId="77777777" w:rsidR="00DF410E" w:rsidRDefault="00CE7F43">
      <w:r>
        <w:t>Sont toujours compris dans le prix unitaire outre les éléments préfabriqués, les armatures qui y sont incorporées, les moyens de support, de fixation et d’appui, le béton, ainsi que les armatures posées sur place pour des raisons de stabilité</w:t>
      </w:r>
    </w:p>
    <w:p w14:paraId="076CD022" w14:textId="77777777" w:rsidR="00DF410E" w:rsidRDefault="00CE7F43">
      <w:pPr>
        <w:pStyle w:val="pheading"/>
      </w:pPr>
      <w:r>
        <w:t>- nature du marché:</w:t>
      </w:r>
    </w:p>
    <w:p w14:paraId="7479589A" w14:textId="77777777" w:rsidR="00DF410E" w:rsidRDefault="00CE7F43">
      <w:r>
        <w:rPr>
          <w:rStyle w:val="optioncarChar"/>
        </w:rPr>
        <w:t xml:space="preserve">QF </w:t>
      </w:r>
      <w:r>
        <w:t xml:space="preserve">(par défaut) </w:t>
      </w:r>
      <w:r>
        <w:rPr>
          <w:rStyle w:val="optioncarChar"/>
        </w:rPr>
        <w:t>/ QP/ PM</w:t>
      </w:r>
    </w:p>
    <w:p w14:paraId="6E490B3F" w14:textId="77777777" w:rsidR="00DF410E" w:rsidRDefault="00CE7F43">
      <w:pPr>
        <w:pStyle w:val="Author-eSectionHeading6"/>
      </w:pPr>
      <w:bookmarkStart w:id="615" w:name="_Toc178837796"/>
      <w:r>
        <w:t>22.11.3d Poutres préfabriquées en béton cellulaire CCTB 01.11</w:t>
      </w:r>
      <w:bookmarkEnd w:id="615"/>
    </w:p>
    <w:p w14:paraId="0341611B" w14:textId="77777777" w:rsidR="00DF410E" w:rsidRDefault="00CE7F43">
      <w:pPr>
        <w:pStyle w:val="pheading"/>
      </w:pPr>
      <w:r>
        <w:t>DESCRIPTION</w:t>
      </w:r>
    </w:p>
    <w:p w14:paraId="7E370DF7" w14:textId="77777777" w:rsidR="00DF410E" w:rsidRDefault="00CE7F43">
      <w:pPr>
        <w:pStyle w:val="pheading"/>
      </w:pPr>
      <w:r>
        <w:t>- Définition / Comprend</w:t>
      </w:r>
    </w:p>
    <w:p w14:paraId="211FAFAD" w14:textId="77777777" w:rsidR="00DF410E" w:rsidRDefault="00CE7F43">
      <w:r>
        <w:t xml:space="preserve">Il s'agit de toutes les poutres en béton cellulaire qui sont obligatoirement préfabriquées dans une usine suivant la définition reprise dans les généralités, et sont assemblées sur chantier aux ouvrages de construction déjà exécutés ( voir également </w:t>
      </w:r>
      <w:hyperlink w:anchor="87" w:history="1">
        <w:r>
          <w:t>22 Superstructures en béton</w:t>
        </w:r>
      </w:hyperlink>
      <w:r>
        <w:t>).</w:t>
      </w:r>
    </w:p>
    <w:p w14:paraId="57A33C77" w14:textId="77777777" w:rsidR="00DF410E" w:rsidRDefault="00CE7F43">
      <w:r>
        <w:t>Les éléments sont fabriqués suivant les spécifications de la norme [NBN EN 13225] et son complément national [NBN B 21-604] et suivant les spécifications de la norme [NBN EN 12602] et son complément national [NBN B 21-004].</w:t>
      </w:r>
    </w:p>
    <w:p w14:paraId="2C53790C" w14:textId="77777777" w:rsidR="00DF410E" w:rsidRDefault="00CE7F43">
      <w:pPr>
        <w:pStyle w:val="pheading"/>
      </w:pPr>
      <w:r>
        <w:t>MATÉRIAUX</w:t>
      </w:r>
    </w:p>
    <w:p w14:paraId="195796B5" w14:textId="77777777" w:rsidR="00DF410E" w:rsidRDefault="00CE7F43">
      <w:pPr>
        <w:pStyle w:val="pheading"/>
      </w:pPr>
      <w:r>
        <w:t>- Finitions</w:t>
      </w:r>
    </w:p>
    <w:p w14:paraId="503D4CF5" w14:textId="77777777" w:rsidR="00DF410E" w:rsidRDefault="00CE7F43">
      <w:r>
        <w:t>Le type de finition de surface est lisse</w:t>
      </w:r>
    </w:p>
    <w:p w14:paraId="5ABE3D7A" w14:textId="77777777" w:rsidR="00DF410E" w:rsidRDefault="00CE7F43">
      <w:pPr>
        <w:pStyle w:val="pheading"/>
      </w:pPr>
      <w:r>
        <w:t>- Prescriptions complémentaires</w:t>
      </w:r>
    </w:p>
    <w:p w14:paraId="4F494F6E" w14:textId="77777777" w:rsidR="00DF410E" w:rsidRDefault="00CE7F43">
      <w:r>
        <w:t xml:space="preserve">Résistance au feu : </w:t>
      </w:r>
      <w:r>
        <w:rPr>
          <w:rStyle w:val="optioncarChar"/>
        </w:rPr>
        <w:t>R30 </w:t>
      </w:r>
      <w:r>
        <w:t xml:space="preserve">(par défaut) </w:t>
      </w:r>
      <w:r>
        <w:rPr>
          <w:rStyle w:val="optioncarChar"/>
        </w:rPr>
        <w:t>/ R60 / R120 / R240 / ***</w:t>
      </w:r>
      <w:r>
        <w:t xml:space="preserve"> suivant la déclaration de performance (DoP) selon la norme produit [NBN EN 12602] et [NBN B 21-004]</w:t>
      </w:r>
    </w:p>
    <w:p w14:paraId="4A790E32" w14:textId="77777777" w:rsidR="00DF410E" w:rsidRDefault="00CE7F43">
      <w:r>
        <w:t xml:space="preserve">Conductibilité thermique : maximum </w:t>
      </w:r>
      <w:r>
        <w:rPr>
          <w:rStyle w:val="optioncarChar"/>
        </w:rPr>
        <w:t>***</w:t>
      </w:r>
      <w:r>
        <w:t xml:space="preserve"> W/mK</w:t>
      </w:r>
    </w:p>
    <w:p w14:paraId="212268D6" w14:textId="77777777" w:rsidR="00DF410E" w:rsidRDefault="00CE7F43">
      <w:pPr>
        <w:pStyle w:val="pheading"/>
      </w:pPr>
      <w:r>
        <w:t>EXÉCUTION / MISE EN ŒUVRE</w:t>
      </w:r>
    </w:p>
    <w:p w14:paraId="401C96F5" w14:textId="77777777" w:rsidR="00DF410E" w:rsidRDefault="00CE7F43">
      <w:pPr>
        <w:pStyle w:val="pheading"/>
      </w:pPr>
      <w:r>
        <w:t>- Prescriptions générales</w:t>
      </w:r>
    </w:p>
    <w:p w14:paraId="23D81E35" w14:textId="77777777" w:rsidR="00DF410E" w:rsidRDefault="00CE7F43">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350B8BA1" w14:textId="77777777" w:rsidR="00DF410E" w:rsidRDefault="00CE7F43">
      <w:pPr>
        <w:pStyle w:val="pheading"/>
      </w:pPr>
      <w:r>
        <w:t>- Notes d’exécution complémentaires</w:t>
      </w:r>
    </w:p>
    <w:p w14:paraId="16F8780E" w14:textId="77777777" w:rsidR="00DF410E" w:rsidRDefault="00CE7F43">
      <w:r>
        <w:t>Ponts thermiques / isolation thermique : des dispositifs adéquats sont utilisés pour éviter tout pont thermique.</w:t>
      </w:r>
    </w:p>
    <w:p w14:paraId="55227F63" w14:textId="77777777" w:rsidR="00DF410E" w:rsidRDefault="00CE7F43">
      <w:pPr>
        <w:pStyle w:val="pheading"/>
      </w:pPr>
      <w:r>
        <w:t>MESURAGE</w:t>
      </w:r>
    </w:p>
    <w:p w14:paraId="277DCBB0" w14:textId="77777777" w:rsidR="00DF410E" w:rsidRDefault="00CE7F43">
      <w:r>
        <w:t>Conformément aux indications spécifiques dans le cahier spécial des charges et/ou le métré récapitulatif, le mesurage est conçu comme suit :</w:t>
      </w:r>
    </w:p>
    <w:p w14:paraId="1FFBE6CC" w14:textId="77777777" w:rsidR="00DF410E" w:rsidRDefault="00CE7F43">
      <w:pPr>
        <w:pStyle w:val="pheading"/>
      </w:pPr>
      <w:r>
        <w:t>- unité de mesure:</w:t>
      </w:r>
    </w:p>
    <w:p w14:paraId="1DD1DB01" w14:textId="77777777" w:rsidR="00DF410E" w:rsidRDefault="00CE7F43">
      <w:r>
        <w:rPr>
          <w:rStyle w:val="optioncarChar"/>
        </w:rPr>
        <w:t>m³ (par défaut) / pce / m / -</w:t>
      </w:r>
    </w:p>
    <w:p w14:paraId="16CB865D" w14:textId="77777777" w:rsidR="00DF410E" w:rsidRDefault="00CE7F43">
      <w:pPr>
        <w:pStyle w:val="pheading"/>
      </w:pPr>
      <w:r>
        <w:t>- code de mesurage:</w:t>
      </w:r>
    </w:p>
    <w:p w14:paraId="18EE5ED3" w14:textId="77777777" w:rsidR="00DF410E" w:rsidRDefault="00CE7F43">
      <w:r>
        <w:t>volume net, mesuré selon les dimensions nominales indiquées sur les plans.</w:t>
      </w:r>
    </w:p>
    <w:p w14:paraId="0BB8919B" w14:textId="77777777" w:rsidR="00DF410E" w:rsidRDefault="00CE7F43">
      <w:pPr>
        <w:pStyle w:val="pheading"/>
      </w:pPr>
      <w:r>
        <w:t>- nature du marché:</w:t>
      </w:r>
    </w:p>
    <w:p w14:paraId="42B6AFB1" w14:textId="77777777" w:rsidR="00DF410E" w:rsidRDefault="00CE7F43">
      <w:r>
        <w:rPr>
          <w:rStyle w:val="optioncarChar"/>
        </w:rPr>
        <w:t>QF</w:t>
      </w:r>
      <w:r>
        <w:t xml:space="preserve"> (par défaut) </w:t>
      </w:r>
      <w:r>
        <w:rPr>
          <w:rStyle w:val="optioncarChar"/>
        </w:rPr>
        <w:t>/ QP / PM</w:t>
      </w:r>
      <w:r>
        <w:br/>
      </w:r>
    </w:p>
    <w:p w14:paraId="757EDE9B" w14:textId="77777777" w:rsidR="00DF410E" w:rsidRDefault="00CE7F43">
      <w:pPr>
        <w:pStyle w:val="Author-eSectionHeading5"/>
      </w:pPr>
      <w:bookmarkStart w:id="616" w:name="_Toc178837797"/>
      <w:r>
        <w:t>22.11.4 Poutres préfabriquées en béton décoratif / architectonique CCTB 01.04</w:t>
      </w:r>
      <w:bookmarkEnd w:id="616"/>
    </w:p>
    <w:p w14:paraId="1F2EE130" w14:textId="77777777" w:rsidR="00DF410E" w:rsidRDefault="00CE7F43">
      <w:pPr>
        <w:pStyle w:val="Author-eSectionHeading6"/>
      </w:pPr>
      <w:bookmarkStart w:id="617" w:name="_Toc178837798"/>
      <w:r>
        <w:t>22.11.4a Poutres préfabriquées en béton décoratif / architectonique CCTB 01.11</w:t>
      </w:r>
      <w:bookmarkEnd w:id="617"/>
    </w:p>
    <w:p w14:paraId="6481B219" w14:textId="77777777" w:rsidR="00DF410E" w:rsidRDefault="00CE7F43">
      <w:pPr>
        <w:pStyle w:val="pheading"/>
      </w:pPr>
      <w:r>
        <w:t>DESCRIPTION</w:t>
      </w:r>
    </w:p>
    <w:p w14:paraId="5E9A43BE" w14:textId="77777777" w:rsidR="00DF410E" w:rsidRDefault="00CE7F43">
      <w:pPr>
        <w:pStyle w:val="pheading"/>
      </w:pPr>
      <w:r>
        <w:t>- Définition / Comprend</w:t>
      </w:r>
    </w:p>
    <w:p w14:paraId="5F25C7FB" w14:textId="77777777" w:rsidR="00DF410E" w:rsidRDefault="00CE7F43">
      <w:r>
        <w:t xml:space="preserve">Il s'agit de toutes les poutres en béton armé qui sont obligatoirement préfabriquées dans une usine suivant la définition reprise dans les généralités, et sont assemblées sur chantier aux ouvrages de construction déjà exécutés ( voir également </w:t>
      </w:r>
      <w:hyperlink w:anchor="87" w:history="1">
        <w:r>
          <w:t>22 Superstructures en béton</w:t>
        </w:r>
      </w:hyperlink>
      <w:r>
        <w:t xml:space="preserve"> ).</w:t>
      </w:r>
    </w:p>
    <w:p w14:paraId="4775E0F8" w14:textId="77777777" w:rsidR="00DF410E" w:rsidRDefault="00CE7F43">
      <w:r>
        <w:t>Les éléments sont fabriqués suivant les spécifications de la norme [NBN EN 13225] et son complément national [NBN B 21-604].</w:t>
      </w:r>
    </w:p>
    <w:p w14:paraId="10445C71" w14:textId="77777777" w:rsidR="00DF410E" w:rsidRDefault="00CE7F43">
      <w:pPr>
        <w:pStyle w:val="pheading"/>
      </w:pPr>
      <w:r>
        <w:t>MATÉRIAUX</w:t>
      </w:r>
    </w:p>
    <w:p w14:paraId="299B266E" w14:textId="77777777" w:rsidR="00DF410E" w:rsidRDefault="00CE7F43">
      <w:pPr>
        <w:pStyle w:val="pheading"/>
      </w:pPr>
      <w:r>
        <w:t>- Caractéristiques générales</w:t>
      </w:r>
    </w:p>
    <w:p w14:paraId="401E1976" w14:textId="77777777" w:rsidR="00DF410E" w:rsidRDefault="00CE7F43">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défaut)</w:t>
      </w:r>
      <w:r>
        <w:rPr>
          <w:color w:val="FF0000"/>
        </w:rPr>
        <w:t xml:space="preserve"> / EI / EE1 / EE2 / EE3 / EE4 / ES1 / ES2 / ES3 / ES4 / EA1+*** / EA2+***/ EA3+*** / ***</w:t>
      </w:r>
    </w:p>
    <w:p w14:paraId="5DC392FD" w14:textId="77777777" w:rsidR="00DF410E" w:rsidRDefault="00CE7F43">
      <w:pPr>
        <w:pStyle w:val="pheading"/>
      </w:pPr>
      <w:r>
        <w:t>- Finitions</w:t>
      </w:r>
    </w:p>
    <w:p w14:paraId="32EAECEC" w14:textId="77777777" w:rsidR="00DF410E" w:rsidRDefault="00CE7F43">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798FDA9E" w14:textId="77777777" w:rsidR="00DF410E" w:rsidRDefault="00CE7F43">
      <w:r>
        <w:t>Les éléments en béton architectoniques doivent répondre au [PTV 21-601].</w:t>
      </w:r>
    </w:p>
    <w:p w14:paraId="1EC2EB24" w14:textId="77777777" w:rsidR="00DF410E" w:rsidRDefault="00CE7F43">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36C394C7" w14:textId="77777777" w:rsidR="00DF410E" w:rsidRDefault="00CE7F43">
      <w:r>
        <w:t>Description détaillée des éléments :</w:t>
      </w:r>
    </w:p>
    <w:p w14:paraId="082F61D3" w14:textId="77777777" w:rsidR="00DF410E" w:rsidRDefault="00CE7F43">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1CC892BA" w14:textId="77777777" w:rsidR="00DF410E" w:rsidRDefault="00CE7F43">
      <w:r>
        <w:rPr>
          <w:b/>
          <w:i/>
        </w:rPr>
        <w:t> (soit par défaut)</w:t>
      </w:r>
    </w:p>
    <w:p w14:paraId="55B1B074" w14:textId="77777777" w:rsidR="00DF410E" w:rsidRDefault="00CE7F43">
      <w:r>
        <w:rPr>
          <w:rStyle w:val="soitChar"/>
          <w:u w:val="single"/>
        </w:rPr>
        <w:t>Suivant échantillon disponible</w:t>
      </w:r>
      <w:r>
        <w:rPr>
          <w:rStyle w:val="soitChar"/>
          <w:color w:val="000000"/>
        </w:rPr>
        <w:t> </w:t>
      </w:r>
      <w:r>
        <w:rPr>
          <w:rStyle w:val="optioncarChar"/>
        </w:rPr>
        <w:t>auprès du bureau d’architecte / sur chantier / auprès du fabricant</w:t>
      </w:r>
    </w:p>
    <w:p w14:paraId="1CCB258A" w14:textId="77777777" w:rsidR="00DF410E" w:rsidRDefault="00CE7F43">
      <w:r>
        <w:rPr>
          <w:b/>
          <w:i/>
        </w:rPr>
        <w:t> (soit)</w:t>
      </w:r>
    </w:p>
    <w:p w14:paraId="386BD8FA" w14:textId="77777777" w:rsidR="00DF410E" w:rsidRDefault="00CE7F43">
      <w:r>
        <w:rPr>
          <w:rStyle w:val="soitChar"/>
          <w:u w:val="single"/>
        </w:rPr>
        <w:t>Suivant échantillons à remettre pour approbation par l’architecte: </w:t>
      </w:r>
      <w:r>
        <w:rPr>
          <w:rStyle w:val="optioncarChar"/>
        </w:rPr>
        <w:t xml:space="preserve">gris </w:t>
      </w:r>
      <w:r>
        <w:t>(par défaut) </w:t>
      </w:r>
      <w:r>
        <w:rPr>
          <w:rStyle w:val="optioncarChar"/>
        </w:rPr>
        <w:t>/ blanc / vert / anthracite / rouge / ***</w:t>
      </w:r>
    </w:p>
    <w:p w14:paraId="1C6FD15A" w14:textId="77777777" w:rsidR="00DF410E" w:rsidRDefault="00CE7F43">
      <w:r>
        <w:rPr>
          <w:b/>
          <w:i/>
        </w:rPr>
        <w:t>(soit)</w:t>
      </w:r>
    </w:p>
    <w:p w14:paraId="08BF3E11" w14:textId="77777777" w:rsidR="00DF410E" w:rsidRDefault="00CE7F43">
      <w:r>
        <w:rPr>
          <w:rStyle w:val="soitChar"/>
          <w:u w:val="single"/>
        </w:rPr>
        <w:t>Suivant la couleur RAL</w:t>
      </w:r>
      <w:r>
        <w:rPr>
          <w:rStyle w:val="soitChar"/>
        </w:rPr>
        <w:t xml:space="preserve"> se rapprochant le mieux que possible du RAL </w:t>
      </w:r>
      <w:r>
        <w:rPr>
          <w:rStyle w:val="optioncarChar"/>
        </w:rPr>
        <w:t>***</w:t>
      </w:r>
    </w:p>
    <w:p w14:paraId="2BBCD9E2" w14:textId="77777777" w:rsidR="00DF410E" w:rsidRDefault="00CE7F43">
      <w:r>
        <w:t> 2.     Texture : </w:t>
      </w:r>
      <w:r>
        <w:rPr>
          <w:rStyle w:val="optioncarChar"/>
        </w:rPr>
        <w:t>suivant échantillon disponible</w:t>
      </w:r>
      <w:r>
        <w:t> (par défaut)</w:t>
      </w:r>
      <w:r>
        <w:rPr>
          <w:rStyle w:val="optioncarChar"/>
        </w:rPr>
        <w:t> / suivant échantillons à remettre pour approbation par l'architecte</w:t>
      </w:r>
    </w:p>
    <w:p w14:paraId="06FF866D" w14:textId="77777777" w:rsidR="00DF410E" w:rsidRDefault="00CE7F43">
      <w:r>
        <w:rPr>
          <w:b/>
          <w:i/>
        </w:rPr>
        <w:t>(soit par défaut)</w:t>
      </w:r>
    </w:p>
    <w:p w14:paraId="13D4B67A" w14:textId="77777777" w:rsidR="00DF410E" w:rsidRDefault="00CE7F43">
      <w:r>
        <w:rPr>
          <w:rStyle w:val="soitChar"/>
          <w:u w:val="single"/>
        </w:rPr>
        <w:t>Suivant échantillon disponible</w:t>
      </w:r>
      <w:r>
        <w:rPr>
          <w:color w:val="000000"/>
        </w:rPr>
        <w:t> </w:t>
      </w:r>
      <w:r>
        <w:rPr>
          <w:rStyle w:val="optioncarChar"/>
        </w:rPr>
        <w:t xml:space="preserve">auprès du bureau d’architecte </w:t>
      </w:r>
      <w:r>
        <w:t>(par défaut) </w:t>
      </w:r>
      <w:r>
        <w:rPr>
          <w:rStyle w:val="optioncarChar"/>
        </w:rPr>
        <w:t>/ sur chantier / auprès du fabricant</w:t>
      </w:r>
    </w:p>
    <w:p w14:paraId="6269269B" w14:textId="77777777" w:rsidR="00DF410E" w:rsidRDefault="00CE7F43">
      <w:r>
        <w:rPr>
          <w:b/>
          <w:i/>
        </w:rPr>
        <w:t>(soit)</w:t>
      </w:r>
    </w:p>
    <w:p w14:paraId="76FB02AA" w14:textId="77777777" w:rsidR="00DF410E" w:rsidRDefault="00CE7F43">
      <w:r>
        <w:rPr>
          <w:rStyle w:val="soitChar"/>
          <w:u w:val="single"/>
        </w:rPr>
        <w:t>Echantillons à remettre pour approbation par l’architecte: </w:t>
      </w:r>
    </w:p>
    <w:p w14:paraId="16A2255A" w14:textId="77777777" w:rsidR="00DF410E" w:rsidRDefault="00CE7F43">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657FAF41" w14:textId="77777777" w:rsidR="00DF410E" w:rsidRDefault="00CE7F43">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6E734E57" w14:textId="77777777" w:rsidR="00DF410E" w:rsidRDefault="00CE7F43">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r>
        <w:br/>
      </w:r>
      <w:r>
        <w:br/>
      </w:r>
      <w:r>
        <w:rPr>
          <w:u w:val="single"/>
        </w:rPr>
        <w:t>Etanchéité</w:t>
      </w:r>
      <w:r>
        <w:br/>
        <w:t>Tous les éléments en béton en contact avec les terres sont</w:t>
      </w:r>
      <w:r>
        <w:rPr>
          <w:rStyle w:val="optioncarChar"/>
        </w:rPr>
        <w:t xml:space="preserve"> 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 suivant la norme [NBN B 46-002]</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589157DD" w14:textId="77777777" w:rsidR="00DF410E" w:rsidRDefault="00CE7F43">
      <w:pPr>
        <w:pStyle w:val="pheading"/>
      </w:pPr>
      <w:r>
        <w:t>- Prescriptions complémentaires</w:t>
      </w:r>
    </w:p>
    <w:p w14:paraId="5AE4A7A7" w14:textId="77777777" w:rsidR="00DF410E" w:rsidRDefault="00CE7F43">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1100A0DD" w14:textId="77777777" w:rsidR="00DF410E" w:rsidRDefault="00CE7F43">
      <w:r>
        <w:t>Si la résistance au feu n’est pas déclarée sous marquage CE, elle est démontrée par test au feu selon la [NBN EN 13501-2] ou par calcul selon les Eurocodes conformément à l’[AM 2013-05-17]</w:t>
      </w:r>
    </w:p>
    <w:p w14:paraId="6028070A" w14:textId="77777777" w:rsidR="00DF410E" w:rsidRDefault="00CE7F43">
      <w:pPr>
        <w:pStyle w:val="pheading"/>
      </w:pPr>
      <w:r>
        <w:t>EXÉCUTION / MISE EN ŒUVRE</w:t>
      </w:r>
    </w:p>
    <w:p w14:paraId="7AA2F2C8" w14:textId="77777777" w:rsidR="00DF410E" w:rsidRDefault="00CE7F43">
      <w:pPr>
        <w:pStyle w:val="pheading"/>
      </w:pPr>
      <w:r>
        <w:t>- Prescriptions générales</w:t>
      </w:r>
    </w:p>
    <w:p w14:paraId="5848CEED" w14:textId="77777777" w:rsidR="00DF410E" w:rsidRDefault="00CE7F43">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7C374611" w14:textId="77777777" w:rsidR="00DF410E" w:rsidRDefault="00DF410E"/>
    <w:p w14:paraId="6F87F08F" w14:textId="77777777" w:rsidR="00DF410E" w:rsidRDefault="00CE7F43">
      <w:pPr>
        <w:pStyle w:val="pheading"/>
      </w:pPr>
      <w:r>
        <w:t>- Notes d’exécution complémentaires</w:t>
      </w:r>
    </w:p>
    <w:p w14:paraId="4D249DDA" w14:textId="77777777" w:rsidR="00DF410E" w:rsidRDefault="00CE7F43">
      <w:r>
        <w:t>Ponts thermiques / isolation thermique : des dispositifs adéquats sont utilisés pour éviter tout pont thermique.</w:t>
      </w:r>
    </w:p>
    <w:p w14:paraId="10C8906F" w14:textId="77777777" w:rsidR="00DF410E" w:rsidRDefault="00CE7F43">
      <w:pPr>
        <w:pStyle w:val="pheading"/>
      </w:pPr>
      <w:r>
        <w:t>MESURAGE</w:t>
      </w:r>
    </w:p>
    <w:p w14:paraId="7959BCCD" w14:textId="77777777" w:rsidR="00DF410E" w:rsidRDefault="00CE7F43">
      <w:r>
        <w:t>Conformément aux indications spécifiques dans le cahier spécial des charges et/ou le métré récapitulatif, le mesurage est conçu comme suit :</w:t>
      </w:r>
    </w:p>
    <w:p w14:paraId="02ACF372" w14:textId="77777777" w:rsidR="00DF410E" w:rsidRDefault="00CE7F43">
      <w:pPr>
        <w:pStyle w:val="pheading"/>
      </w:pPr>
      <w:r>
        <w:t>- unité de mesure:</w:t>
      </w:r>
    </w:p>
    <w:p w14:paraId="40041057" w14:textId="77777777" w:rsidR="00DF410E" w:rsidRDefault="00CE7F43">
      <w:r>
        <w:t> </w:t>
      </w:r>
      <w:r>
        <w:rPr>
          <w:rStyle w:val="optioncarChar"/>
        </w:rPr>
        <w:t>m³ (par défaut) / pce / m / -</w:t>
      </w:r>
    </w:p>
    <w:p w14:paraId="76F3AEB9" w14:textId="77777777" w:rsidR="00DF410E" w:rsidRDefault="00CE7F43">
      <w:pPr>
        <w:pStyle w:val="pheading"/>
      </w:pPr>
      <w:r>
        <w:t>- code de mesurage:</w:t>
      </w:r>
    </w:p>
    <w:p w14:paraId="7D82ED3C" w14:textId="77777777" w:rsidR="00DF410E" w:rsidRDefault="00CE7F43">
      <w:r>
        <w:t>volume net, mesuré selon les dimensions nominales indiquées sur les plans.</w:t>
      </w:r>
    </w:p>
    <w:p w14:paraId="22D404B8" w14:textId="77777777" w:rsidR="00DF410E" w:rsidRDefault="00CE7F43">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3AC5CC4E" w14:textId="77777777" w:rsidR="00DF410E" w:rsidRDefault="00CE7F43">
      <w:pPr>
        <w:pStyle w:val="Author-eListParagraph"/>
        <w:numPr>
          <w:ilvl w:val="0"/>
          <w:numId w:val="365"/>
        </w:numPr>
      </w:pPr>
      <w:r>
        <w:t>le volume des armatures,</w:t>
      </w:r>
    </w:p>
    <w:p w14:paraId="513B8E6C" w14:textId="77777777" w:rsidR="00DF410E" w:rsidRDefault="00CE7F43">
      <w:pPr>
        <w:pStyle w:val="Author-eListParagraph"/>
        <w:numPr>
          <w:ilvl w:val="0"/>
          <w:numId w:val="365"/>
        </w:numPr>
      </w:pPr>
      <w:r>
        <w:t>les blocs et écarteurs, les fourreaux pour les armatures de précontrainte ;</w:t>
      </w:r>
    </w:p>
    <w:p w14:paraId="74D3A703" w14:textId="77777777" w:rsidR="00DF410E" w:rsidRDefault="00CE7F43">
      <w:pPr>
        <w:pStyle w:val="Author-eListParagraph"/>
        <w:numPr>
          <w:ilvl w:val="0"/>
          <w:numId w:val="365"/>
        </w:numPr>
      </w:pPr>
      <w:r>
        <w:t>les pénétrations pour les pattes d’ancrage, les creux, les conduites noyées et les réservations dont le volume est inférieur à 0,05 m</w:t>
      </w:r>
      <w:r>
        <w:rPr>
          <w:vertAlign w:val="superscript"/>
        </w:rPr>
        <w:t>3</w:t>
      </w:r>
      <w:r>
        <w:t>.</w:t>
      </w:r>
    </w:p>
    <w:p w14:paraId="76BB1FDD" w14:textId="77777777" w:rsidR="00DF410E" w:rsidRDefault="00CE7F43">
      <w:pPr>
        <w:pStyle w:val="Author-eListParagraph"/>
        <w:numPr>
          <w:ilvl w:val="0"/>
          <w:numId w:val="365"/>
        </w:numPr>
      </w:pPr>
      <w:r>
        <w:t>les chanfreins et tous les profils dont la section a une superficie inférieure à 20 cm</w:t>
      </w:r>
      <w:r>
        <w:rPr>
          <w:vertAlign w:val="superscript"/>
        </w:rPr>
        <w:t>2</w:t>
      </w:r>
      <w:r>
        <w:t>.</w:t>
      </w:r>
    </w:p>
    <w:p w14:paraId="03C25235" w14:textId="77777777" w:rsidR="00DF410E" w:rsidRDefault="00CE7F43">
      <w:pPr>
        <w:pStyle w:val="Author-eListParagraph"/>
        <w:numPr>
          <w:ilvl w:val="0"/>
          <w:numId w:val="365"/>
        </w:numPr>
      </w:pPr>
      <w:r>
        <w:t>les rainures, encoches et languettes.</w:t>
      </w:r>
    </w:p>
    <w:p w14:paraId="50D8648A" w14:textId="77777777" w:rsidR="00DF410E" w:rsidRDefault="00CE7F43">
      <w:r>
        <w:t>Sont toujours compris dans le prix unitaire outre les éléments préfabriqués, les armatures qui y sont incorporées, les moyens de support, de fixation et d’appui, le béton, ainsi que les armatures posées sur place pour des raisons de stabilité.</w:t>
      </w:r>
    </w:p>
    <w:p w14:paraId="1895DF32" w14:textId="77777777" w:rsidR="00DF410E" w:rsidRDefault="00CE7F43">
      <w:pPr>
        <w:pStyle w:val="pheading"/>
      </w:pPr>
      <w:r>
        <w:t>- nature du marché:</w:t>
      </w:r>
    </w:p>
    <w:p w14:paraId="48A04B91" w14:textId="77777777" w:rsidR="00DF410E" w:rsidRDefault="00CE7F43">
      <w:r>
        <w:rPr>
          <w:rStyle w:val="optioncarChar"/>
        </w:rPr>
        <w:t xml:space="preserve">QF </w:t>
      </w:r>
      <w:r>
        <w:t>(par défaut)</w:t>
      </w:r>
      <w:r>
        <w:rPr>
          <w:rStyle w:val="optioncarChar"/>
        </w:rPr>
        <w:t>  / QP / PM</w:t>
      </w:r>
    </w:p>
    <w:p w14:paraId="487FE1AD" w14:textId="77777777" w:rsidR="00DF410E" w:rsidRDefault="00CE7F43">
      <w:pPr>
        <w:pStyle w:val="Author-eSectionHeading5"/>
      </w:pPr>
      <w:bookmarkStart w:id="618" w:name="_Toc178837799"/>
      <w:r>
        <w:t>22.11.5 Poutres mixtes acier-béton CCTB 01.12</w:t>
      </w:r>
      <w:bookmarkEnd w:id="618"/>
    </w:p>
    <w:p w14:paraId="6D01882E" w14:textId="77777777" w:rsidR="00DF410E" w:rsidRDefault="00CE7F43">
      <w:pPr>
        <w:pStyle w:val="pheading"/>
      </w:pPr>
      <w:bookmarkStart w:id="619" w:name="485"/>
      <w:bookmarkEnd w:id="619"/>
      <w:r>
        <w:t>DESCRIPTION</w:t>
      </w:r>
    </w:p>
    <w:p w14:paraId="6ED240D9" w14:textId="77777777" w:rsidR="00DF410E" w:rsidRDefault="00CE7F43">
      <w:pPr>
        <w:pStyle w:val="pheading"/>
      </w:pPr>
      <w:r>
        <w:t>- Définition / Comprend</w:t>
      </w:r>
    </w:p>
    <w:p w14:paraId="130EB3A7" w14:textId="77777777" w:rsidR="00DF410E" w:rsidRDefault="00CE7F43">
      <w:pPr>
        <w:jc w:val="both"/>
      </w:pPr>
      <w:r>
        <w:t>Les poutres mixtes partiellement ou totalement enrobées sont celles où l'âme de la section en acier au moins est enrobée de béton armé et possédant une connexion entre le béton et les éléments en acier.</w:t>
      </w:r>
    </w:p>
    <w:p w14:paraId="360EDA05" w14:textId="77777777" w:rsidR="00DF410E" w:rsidRDefault="00DF410E"/>
    <w:p w14:paraId="72CECF2D" w14:textId="77777777" w:rsidR="00DF410E" w:rsidRDefault="00CE7F43">
      <w:pPr>
        <w:pStyle w:val="pheading"/>
      </w:pPr>
      <w:r>
        <w:t>MATÉRIAUX</w:t>
      </w:r>
    </w:p>
    <w:p w14:paraId="02EED7A1" w14:textId="77777777" w:rsidR="00DF410E" w:rsidRDefault="00CE7F43">
      <w:pPr>
        <w:jc w:val="both"/>
      </w:pPr>
      <w:r>
        <w:rPr>
          <w:b/>
        </w:rPr>
        <w:t>Profilé en acier</w:t>
      </w:r>
    </w:p>
    <w:p w14:paraId="1FD2ECB8" w14:textId="77777777" w:rsidR="00DF410E" w:rsidRDefault="00CE7F43">
      <w:pPr>
        <w:jc w:val="both"/>
      </w:pPr>
      <w:r>
        <w:t>Le profilé en acier peut être :</w:t>
      </w:r>
    </w:p>
    <w:p w14:paraId="79D00F48" w14:textId="77777777" w:rsidR="00DF410E" w:rsidRDefault="00CE7F43">
      <w:pPr>
        <w:pStyle w:val="Author-eListParagraph"/>
        <w:numPr>
          <w:ilvl w:val="0"/>
          <w:numId w:val="366"/>
        </w:numPr>
      </w:pPr>
      <w:r>
        <w:t>une section en I ou H laminée à chaud conforme aux prescriptions  </w:t>
      </w:r>
      <w:hyperlink w:anchor="173" w:history="1">
        <w:r>
          <w:t>23.11.1a Poutres en profilés en acier laminés à chaud</w:t>
        </w:r>
      </w:hyperlink>
    </w:p>
    <w:p w14:paraId="3DE73617" w14:textId="77777777" w:rsidR="00DF410E" w:rsidRDefault="00CE7F43">
      <w:pPr>
        <w:pStyle w:val="Author-eListParagraph"/>
        <w:numPr>
          <w:ilvl w:val="0"/>
          <w:numId w:val="366"/>
        </w:numPr>
      </w:pPr>
      <w:r>
        <w:t xml:space="preserve">une section en I reconstitué par soudage conforme aux prescriptions </w:t>
      </w:r>
      <w:hyperlink w:anchor="488" w:history="1">
        <w:r>
          <w:t>23.11.1b Poutres reconstituées soudées en acier</w:t>
        </w:r>
      </w:hyperlink>
    </w:p>
    <w:p w14:paraId="6A12F0C9" w14:textId="77777777" w:rsidR="00DF410E" w:rsidRDefault="00CE7F43">
      <w:pPr>
        <w:jc w:val="both"/>
      </w:pPr>
      <w:r>
        <w:t>Les profilés laminés sont conformes à la norme [NBN EN 10365], [NBN EN 10025 série] et [NBN EN 1090-1+A1].</w:t>
      </w:r>
    </w:p>
    <w:p w14:paraId="73AC4674" w14:textId="77777777" w:rsidR="00DF410E" w:rsidRDefault="00CE7F43">
      <w:pPr>
        <w:jc w:val="both"/>
      </w:pPr>
      <w:r>
        <w:rPr>
          <w:b/>
        </w:rPr>
        <w:t>Béton armé de remplissage</w:t>
      </w:r>
    </w:p>
    <w:p w14:paraId="3317BE83" w14:textId="77777777" w:rsidR="00DF410E" w:rsidRDefault="00CE7F43">
      <w:pPr>
        <w:jc w:val="both"/>
      </w:pPr>
      <w:r>
        <w:t xml:space="preserve">Le béton armé coulé en place doit être conforme aux prescriptions </w:t>
      </w:r>
      <w:hyperlink w:anchor="87" w:history="1">
        <w:r>
          <w:t>22 Superstructures en béton</w:t>
        </w:r>
      </w:hyperlink>
      <w:r>
        <w:t xml:space="preserve"> et </w:t>
      </w:r>
      <w:hyperlink w:anchor="465" w:history="1">
        <w:r>
          <w:t>22.11.1a Poutres en béton armé coulé en place</w:t>
        </w:r>
      </w:hyperlink>
    </w:p>
    <w:p w14:paraId="30F4707F" w14:textId="77777777" w:rsidR="00DF410E" w:rsidRDefault="00CE7F43">
      <w:pPr>
        <w:jc w:val="both"/>
      </w:pPr>
      <w:r>
        <w:t xml:space="preserve">Dans le cas d’un béton autoplaçant, il convient de se reporter à </w:t>
      </w:r>
      <w:hyperlink w:anchor="489" w:history="1">
        <w:r>
          <w:t>22.15.1a Planchers en dalles pleines de béton armé coulé en place</w:t>
        </w:r>
      </w:hyperlink>
      <w:r>
        <w:t>.</w:t>
      </w:r>
    </w:p>
    <w:p w14:paraId="2C8C87DD" w14:textId="77777777" w:rsidR="00DF410E" w:rsidRDefault="00CE7F43">
      <w:pPr>
        <w:jc w:val="both"/>
      </w:pPr>
      <w:r>
        <w:t xml:space="preserve">Les treillis et barres d’armatures en acier doivent être prescrits conformément aux prescriptions données en </w:t>
      </w:r>
      <w:hyperlink w:anchor="231" w:history="1">
        <w:r>
          <w:t>22.51 Armatures pour béton</w:t>
        </w:r>
      </w:hyperlink>
      <w:r>
        <w:t>. Il convient d’en déterminer les propriétés par référence à la norme [NBN EN 1992-1-1].</w:t>
      </w:r>
    </w:p>
    <w:p w14:paraId="2644E6F4" w14:textId="77777777" w:rsidR="00DF410E" w:rsidRDefault="00CE7F43">
      <w:pPr>
        <w:jc w:val="both"/>
      </w:pPr>
      <w:r>
        <w:rPr>
          <w:b/>
        </w:rPr>
        <w:t>Connexion</w:t>
      </w:r>
    </w:p>
    <w:p w14:paraId="3C5CE4ED" w14:textId="77777777" w:rsidR="00DF410E" w:rsidRDefault="00CE7F43">
      <w:pPr>
        <w:jc w:val="both"/>
      </w:pPr>
      <w:r>
        <w:t>Les goujons soudés sont conformes à la norme [NBN EN ISO 13918].</w:t>
      </w:r>
    </w:p>
    <w:p w14:paraId="52C71A1C" w14:textId="77777777" w:rsidR="00DF410E" w:rsidRDefault="00CE7F43">
      <w:pPr>
        <w:jc w:val="both"/>
      </w:pPr>
      <w:r>
        <w:t>Le plan de pose des connecteurs (nombre, dimensions, entre-distance,…) est à définir lors de l’étude de stabilité.</w:t>
      </w:r>
    </w:p>
    <w:p w14:paraId="3B417EFC" w14:textId="77777777" w:rsidR="00DF410E" w:rsidRDefault="00DF410E"/>
    <w:p w14:paraId="5AB16914" w14:textId="77777777" w:rsidR="00DF410E" w:rsidRDefault="00CE7F43">
      <w:pPr>
        <w:pStyle w:val="pheading"/>
      </w:pPr>
      <w:r>
        <w:t>EXÉCUTION / MISE EN ŒUVRE</w:t>
      </w:r>
    </w:p>
    <w:p w14:paraId="631914CE" w14:textId="77777777" w:rsidR="00DF410E" w:rsidRDefault="00CE7F43">
      <w:r>
        <w:t xml:space="preserve">La pose des profilés en acier est conforme aux prescriptions données en </w:t>
      </w:r>
      <w:hyperlink w:anchor="490" w:history="1">
        <w:r>
          <w:t>23.11.1 Poutres en acier laminées à chaud</w:t>
        </w:r>
      </w:hyperlink>
      <w:r>
        <w:t>.</w:t>
      </w:r>
      <w:r>
        <w:br/>
        <w:t xml:space="preserve">En ce qui concerne la pose des armatures, le coulage du béton, et le béton de remplissage doivent satisfaire aux prescriptions générales données en </w:t>
      </w:r>
      <w:hyperlink w:anchor="87" w:history="1">
        <w:r>
          <w:t>22 Superstructures en béton</w:t>
        </w:r>
      </w:hyperlink>
      <w:r>
        <w:t>.</w:t>
      </w:r>
      <w:r>
        <w:br/>
        <w:t>Le dimensionnement d’une poutre mixte doit être conforme à la [NBN EN 1994-1-1].</w:t>
      </w:r>
    </w:p>
    <w:p w14:paraId="54401C4B" w14:textId="77777777" w:rsidR="00DF410E" w:rsidRDefault="00DF410E"/>
    <w:p w14:paraId="3A8A53F2" w14:textId="77777777" w:rsidR="00DF410E" w:rsidRDefault="00CE7F43">
      <w:pPr>
        <w:pStyle w:val="pheading"/>
      </w:pPr>
      <w:r>
        <w:t>DOCUMENTS DE RÉFÉRENCE</w:t>
      </w:r>
    </w:p>
    <w:p w14:paraId="67C33790" w14:textId="77777777" w:rsidR="00DF410E" w:rsidRDefault="00CE7F43">
      <w:pPr>
        <w:pStyle w:val="pheading"/>
      </w:pPr>
      <w:r>
        <w:t>- Matériau</w:t>
      </w:r>
    </w:p>
    <w:p w14:paraId="4737888C" w14:textId="77777777" w:rsidR="00DF410E" w:rsidRDefault="00CE7F43">
      <w:r>
        <w:t>[NBN EN 10365, Profilés en U en aciers laminés à chaud, poutrelles I et H - Dimensions et masses]</w:t>
      </w:r>
    </w:p>
    <w:p w14:paraId="387E38A7" w14:textId="77777777" w:rsidR="00DF410E" w:rsidRDefault="00CE7F43">
      <w:r>
        <w:t>[NBN EN 10025-2, Produits laminés à chaud en aciers de construction - Partie 2 : Conditions techniques de livraison pour les aciers de construction non alliés]</w:t>
      </w:r>
    </w:p>
    <w:p w14:paraId="5D5037AE" w14:textId="77777777" w:rsidR="00DF410E" w:rsidRDefault="00CE7F43">
      <w:r>
        <w:t>[NBN EN 1090-1+A1, Exécution des structures en acier et des structures en aluminium - Partie 1: Exigences pour l'évaluation de la conformité des éléments structuraux]</w:t>
      </w:r>
    </w:p>
    <w:p w14:paraId="69750652" w14:textId="77777777" w:rsidR="00DF410E" w:rsidRDefault="00CE7F43">
      <w:r>
        <w:t>[NBN EN ISO 13918, Soudage - Goujons et bagues céramiques pour le soudage à l'arc des goujons (ISO 13918:2017, Version corrigée 2018-05)]</w:t>
      </w:r>
    </w:p>
    <w:p w14:paraId="49805826" w14:textId="77777777" w:rsidR="00DF410E" w:rsidRDefault="00CE7F43">
      <w:r>
        <w:t>[NBN EN 1992-1-1, Eurocode 2: Calcul des structures en béton - Partie 1-1: Règles générales et règles pour les bâtiments (+AC:2010)]</w:t>
      </w:r>
    </w:p>
    <w:p w14:paraId="5BC273E8" w14:textId="77777777" w:rsidR="00DF410E" w:rsidRDefault="00CE7F43">
      <w:pPr>
        <w:pStyle w:val="pheading"/>
      </w:pPr>
      <w:r>
        <w:t>- Exécution</w:t>
      </w:r>
    </w:p>
    <w:p w14:paraId="4DE57DC5" w14:textId="77777777" w:rsidR="00DF410E" w:rsidRDefault="00CE7F43">
      <w:r>
        <w:t>[NBN EN 1994-1-1, Eurocode 4: Calcul des structures mixtes acier-béton - Partie 1-1: Règles générales et règles pour les bâtiments (+ AC:2009)] </w:t>
      </w:r>
    </w:p>
    <w:p w14:paraId="7816DD62" w14:textId="77777777" w:rsidR="00DF410E" w:rsidRDefault="00CE7F43">
      <w:pPr>
        <w:pStyle w:val="Author-eSectionHeading6"/>
      </w:pPr>
      <w:bookmarkStart w:id="620" w:name="_Toc178837800"/>
      <w:r>
        <w:t>22.11.5a Poutres mixtes acier-béton coulées en place CCTB 01.11</w:t>
      </w:r>
      <w:bookmarkEnd w:id="620"/>
    </w:p>
    <w:p w14:paraId="2037EB3E" w14:textId="77777777" w:rsidR="00DF410E" w:rsidRDefault="00CE7F43">
      <w:pPr>
        <w:pStyle w:val="pheading"/>
      </w:pPr>
      <w:r>
        <w:t>DESCRIPTION</w:t>
      </w:r>
    </w:p>
    <w:p w14:paraId="1C488011" w14:textId="77777777" w:rsidR="00DF410E" w:rsidRDefault="00CE7F43">
      <w:pPr>
        <w:pStyle w:val="pheading"/>
      </w:pPr>
      <w:r>
        <w:t>- Définition / Comprend</w:t>
      </w:r>
    </w:p>
    <w:p w14:paraId="2465DE26" w14:textId="77777777" w:rsidR="00DF410E" w:rsidRDefault="00CE7F43">
      <w:pPr>
        <w:jc w:val="both"/>
      </w:pPr>
      <w:r>
        <w:t>Il s'agit de toutes les poutres mixtes dont les phases de ferraillage et de bétonnage sont obligatoirement réalisées sur chantier suivant les exigences reprises dans les généralités (voir également </w:t>
      </w:r>
      <w:hyperlink w:anchor="87" w:history="1">
        <w:r>
          <w:t>22 Superstructures en béton</w:t>
        </w:r>
      </w:hyperlink>
      <w:r>
        <w:t>).</w:t>
      </w:r>
    </w:p>
    <w:p w14:paraId="730826B4" w14:textId="77777777" w:rsidR="00DF410E" w:rsidRDefault="00CE7F43">
      <w:pPr>
        <w:jc w:val="both"/>
      </w:pPr>
      <w:r>
        <w:t>Les travaux concernent :</w:t>
      </w:r>
    </w:p>
    <w:p w14:paraId="1AC1AB7F" w14:textId="77777777" w:rsidR="00DF410E" w:rsidRDefault="00CE7F43">
      <w:pPr>
        <w:pStyle w:val="Author-eListParagraph"/>
        <w:numPr>
          <w:ilvl w:val="0"/>
          <w:numId w:val="367"/>
        </w:numPr>
        <w:jc w:val="both"/>
      </w:pPr>
      <w:r>
        <w:t>l'étude de stabilité (lorsqu'elle est à la charge de l'entrepreneur), y compris les notes de calcul, l'établissement des plans de ferraillage, des plans de pose, …;</w:t>
      </w:r>
    </w:p>
    <w:p w14:paraId="12DCF464" w14:textId="77777777" w:rsidR="00DF410E" w:rsidRDefault="00CE7F43">
      <w:pPr>
        <w:pStyle w:val="Author-eListParagraph"/>
        <w:numPr>
          <w:ilvl w:val="0"/>
          <w:numId w:val="367"/>
        </w:numPr>
        <w:jc w:val="both"/>
      </w:pPr>
      <w:r>
        <w:t>la commande des profilés métalliques selon les normes prescrites, les dimensions et les finitions stipulées ;</w:t>
      </w:r>
    </w:p>
    <w:p w14:paraId="41985E38" w14:textId="77777777" w:rsidR="00DF410E" w:rsidRDefault="00CE7F43">
      <w:pPr>
        <w:pStyle w:val="Author-eListParagraph"/>
        <w:numPr>
          <w:ilvl w:val="0"/>
          <w:numId w:val="367"/>
        </w:numPr>
        <w:jc w:val="both"/>
      </w:pPr>
      <w:r>
        <w:t>la pose des coffrages, des cages d’armatures et des goujons connecteurs (par soudure) ainsi que le bétonnage des profilés métalliques ;</w:t>
      </w:r>
    </w:p>
    <w:p w14:paraId="0D636589" w14:textId="77777777" w:rsidR="00DF410E" w:rsidRDefault="00CE7F43">
      <w:pPr>
        <w:pStyle w:val="Author-eListParagraph"/>
        <w:numPr>
          <w:ilvl w:val="0"/>
          <w:numId w:val="367"/>
        </w:numPr>
        <w:jc w:val="both"/>
      </w:pPr>
      <w:r>
        <w:t>la livraison des poutres mixtes sur le chantier.</w:t>
      </w:r>
    </w:p>
    <w:p w14:paraId="393AEE6B" w14:textId="77777777" w:rsidR="00DF410E" w:rsidRDefault="00CE7F43">
      <w:pPr>
        <w:pStyle w:val="pheading"/>
      </w:pPr>
      <w:r>
        <w:t>- Localisation</w:t>
      </w:r>
    </w:p>
    <w:p w14:paraId="24D95ACF" w14:textId="77777777" w:rsidR="00DF410E" w:rsidRDefault="00CE7F43">
      <w:r>
        <w:t xml:space="preserve">Les travaux sont localisés : </w:t>
      </w:r>
      <w:r>
        <w:rPr>
          <w:rStyle w:val="optioncarChar"/>
        </w:rPr>
        <w:t>***</w:t>
      </w:r>
      <w:r>
        <w:t>.</w:t>
      </w:r>
    </w:p>
    <w:p w14:paraId="417D8C2B" w14:textId="77777777" w:rsidR="00DF410E" w:rsidRDefault="00CE7F43">
      <w:r>
        <w:t>Voir plans et métrés détaillés</w:t>
      </w:r>
    </w:p>
    <w:p w14:paraId="087726B7" w14:textId="77777777" w:rsidR="00DF410E" w:rsidRDefault="00CE7F43">
      <w:pPr>
        <w:pStyle w:val="pheading"/>
      </w:pPr>
      <w:r>
        <w:t>MATÉRIAUX</w:t>
      </w:r>
    </w:p>
    <w:p w14:paraId="5E14ECD5" w14:textId="77777777" w:rsidR="00DF410E" w:rsidRDefault="00CE7F43">
      <w:pPr>
        <w:pStyle w:val="pheading"/>
      </w:pPr>
      <w:r>
        <w:t>- Caractéristiques générales</w:t>
      </w:r>
    </w:p>
    <w:p w14:paraId="63CE839D" w14:textId="77777777" w:rsidR="00DF410E" w:rsidRDefault="00CE7F43">
      <w:r>
        <w:t xml:space="preserve">Les prescriptions mentionnées en </w:t>
      </w:r>
      <w:hyperlink w:anchor="485" w:history="1">
        <w:r>
          <w:t>22.11.5 Poutres mixtes acier-béton</w:t>
        </w:r>
      </w:hyperlink>
      <w:r>
        <w:t> sont d'application.</w:t>
      </w:r>
    </w:p>
    <w:p w14:paraId="049C0EE2" w14:textId="77777777" w:rsidR="00DF410E" w:rsidRDefault="00CE7F43">
      <w:r>
        <w:t xml:space="preserve">Dans le cas de poutres totalement enrobées, les éléments du coffrage sont composés de panneaux de coffrage (selon les dimensions et le type indiqués sur le plan). Il convient de se reporter aux prescriptions données en </w:t>
      </w:r>
      <w:hyperlink w:anchor="234" w:history="1">
        <w:r>
          <w:t>22.53 Coffrages</w:t>
        </w:r>
      </w:hyperlink>
      <w:r>
        <w:t>.</w:t>
      </w:r>
    </w:p>
    <w:p w14:paraId="71F39657" w14:textId="77777777" w:rsidR="00DF410E" w:rsidRDefault="00CE7F43">
      <w:r>
        <w:t>La qualité du béton coulé en place selon la norme [NBN EN 206:2013+A2] et la norme [NBN B 15-001] est :</w:t>
      </w:r>
    </w:p>
    <w:p w14:paraId="28DB882F" w14:textId="77777777" w:rsidR="00DF410E" w:rsidRDefault="00CE7F43">
      <w:pPr>
        <w:pStyle w:val="Author-eListParagraph"/>
        <w:numPr>
          <w:ilvl w:val="0"/>
          <w:numId w:val="368"/>
        </w:numPr>
      </w:pPr>
      <w:r>
        <w:t xml:space="preserve">Classe de résistance minimale du béton normal : </w:t>
      </w:r>
      <w:r>
        <w:rPr>
          <w:rStyle w:val="optioncarChar"/>
        </w:rPr>
        <w:t xml:space="preserve">C20/25 </w:t>
      </w:r>
      <w:r>
        <w:t xml:space="preserve">(par défaut) </w:t>
      </w:r>
      <w:r>
        <w:rPr>
          <w:rStyle w:val="optioncarChar"/>
        </w:rPr>
        <w:t>/ *** / C60/75</w:t>
      </w:r>
    </w:p>
    <w:p w14:paraId="0904413A" w14:textId="77777777" w:rsidR="00DF410E" w:rsidRDefault="00CE7F43">
      <w:pPr>
        <w:pStyle w:val="Author-eListParagraph"/>
        <w:numPr>
          <w:ilvl w:val="0"/>
          <w:numId w:val="368"/>
        </w:numPr>
      </w:pPr>
      <w:r>
        <w:t xml:space="preserve">Classe minimale d’environnement : </w:t>
      </w:r>
      <w:r>
        <w:rPr>
          <w:rStyle w:val="optioncarChar"/>
        </w:rPr>
        <w:t xml:space="preserve">EE1 </w:t>
      </w:r>
      <w:r>
        <w:t>(par défaut)</w:t>
      </w:r>
      <w:r>
        <w:rPr>
          <w:rStyle w:val="optioncarChar"/>
        </w:rPr>
        <w:t xml:space="preserve"> / EE2 / EE3</w:t>
      </w:r>
    </w:p>
    <w:p w14:paraId="034712DC" w14:textId="77777777" w:rsidR="00DF410E" w:rsidRDefault="00CE7F43">
      <w:r>
        <w:t xml:space="preserve">Pourcentage d'armatures : </w:t>
      </w:r>
      <w:r>
        <w:rPr>
          <w:rStyle w:val="optioncarChar"/>
        </w:rPr>
        <w:t>***</w:t>
      </w:r>
      <w:r>
        <w:t xml:space="preserve"> kg d'acier par m3 de béton (voir </w:t>
      </w:r>
      <w:hyperlink w:anchor="231" w:history="1">
        <w:r>
          <w:t>22.51 Armatures pour béton</w:t>
        </w:r>
      </w:hyperlink>
      <w:r>
        <w:t>).</w:t>
      </w:r>
    </w:p>
    <w:p w14:paraId="58AB2BA8" w14:textId="77777777" w:rsidR="00DF410E" w:rsidRDefault="00CE7F43">
      <w:pPr>
        <w:pStyle w:val="Author-eListParagraph"/>
        <w:numPr>
          <w:ilvl w:val="0"/>
          <w:numId w:val="369"/>
        </w:numPr>
      </w:pPr>
      <w:r>
        <w:t xml:space="preserve">Barres d’acier pour les armatures principales : </w:t>
      </w:r>
      <w:r>
        <w:rPr>
          <w:rStyle w:val="optioncarChar"/>
        </w:rPr>
        <w:t xml:space="preserve">acier BE 500 S </w:t>
      </w:r>
      <w:r>
        <w:t>(par défaut)</w:t>
      </w:r>
      <w:r>
        <w:rPr>
          <w:rStyle w:val="optioncarChar"/>
        </w:rPr>
        <w:t xml:space="preserve"> / *** selon [NBN A 24-302] et [PTV 302].</w:t>
      </w:r>
    </w:p>
    <w:p w14:paraId="39B6AC8B" w14:textId="77777777" w:rsidR="00DF410E" w:rsidRDefault="00CE7F43">
      <w:pPr>
        <w:pStyle w:val="Author-eListParagraph"/>
        <w:numPr>
          <w:ilvl w:val="0"/>
          <w:numId w:val="369"/>
        </w:numPr>
      </w:pPr>
      <w:r>
        <w:t xml:space="preserve">Acier pour les étriers : acier </w:t>
      </w:r>
      <w:r>
        <w:rPr>
          <w:rStyle w:val="optioncarChar"/>
        </w:rPr>
        <w:t>DE 500 BS / BE 500 S</w:t>
      </w:r>
    </w:p>
    <w:p w14:paraId="3006192E" w14:textId="77777777" w:rsidR="00DF410E" w:rsidRDefault="00CE7F43">
      <w:pPr>
        <w:ind w:left="567"/>
      </w:pPr>
      <w:r>
        <w:rPr>
          <w:b/>
          <w:i/>
        </w:rPr>
        <w:t>(Soit par défaut)</w:t>
      </w:r>
      <w:r>
        <w:br/>
      </w:r>
      <w:r>
        <w:rPr>
          <w:rStyle w:val="soitChar"/>
          <w:u w:val="single"/>
        </w:rPr>
        <w:t>1. DE 500 BS</w:t>
      </w:r>
      <w:r>
        <w:rPr>
          <w:rStyle w:val="soitChar"/>
        </w:rPr>
        <w:t xml:space="preserve"> selon [NBN A 24-303] + [PTV 303]</w:t>
      </w:r>
      <w:r>
        <w:br/>
      </w:r>
      <w:r>
        <w:br/>
      </w:r>
      <w:r>
        <w:rPr>
          <w:b/>
          <w:i/>
        </w:rPr>
        <w:t>(Soit)</w:t>
      </w:r>
      <w:r>
        <w:br/>
      </w:r>
      <w:r>
        <w:rPr>
          <w:rStyle w:val="soitChar"/>
          <w:u w:val="single"/>
        </w:rPr>
        <w:t>2. BE 500 S</w:t>
      </w:r>
      <w:r>
        <w:rPr>
          <w:rStyle w:val="soitChar"/>
        </w:rPr>
        <w:t xml:space="preserve"> selon [NBN A 24-302] + [PTV 302].</w:t>
      </w:r>
    </w:p>
    <w:p w14:paraId="7500B487" w14:textId="77777777" w:rsidR="00DF410E" w:rsidRDefault="00CE7F43">
      <w:r>
        <w:br/>
      </w:r>
      <w:r>
        <w:rPr>
          <w:b/>
        </w:rPr>
        <w:t>Connexion</w:t>
      </w:r>
    </w:p>
    <w:p w14:paraId="371A8F70" w14:textId="77777777" w:rsidR="00DF410E" w:rsidRDefault="00CE7F43">
      <w:r>
        <w:t>La connexion entre le profilé et le béton est assurée par des</w:t>
      </w:r>
      <w:r>
        <w:rPr>
          <w:rStyle w:val="optioncarChar"/>
        </w:rPr>
        <w:t xml:space="preserve"> goujons à tête </w:t>
      </w:r>
      <w:r>
        <w:t>(par défaut)</w:t>
      </w:r>
      <w:r>
        <w:rPr>
          <w:rStyle w:val="optioncarChar"/>
        </w:rPr>
        <w:t>  / étriers soudés sur l’âme / cornières / ***.</w:t>
      </w:r>
    </w:p>
    <w:p w14:paraId="10FD80D9" w14:textId="77777777" w:rsidR="00DF410E" w:rsidRDefault="00CE7F43">
      <w:pPr>
        <w:pStyle w:val="pheading"/>
      </w:pPr>
      <w:r>
        <w:t>- Finitions</w:t>
      </w:r>
    </w:p>
    <w:p w14:paraId="6844D168" w14:textId="77777777" w:rsidR="00DF410E" w:rsidRDefault="00CE7F43">
      <w:r>
        <w:t>La surface de béton est</w:t>
      </w:r>
      <w:r>
        <w:rPr>
          <w:rStyle w:val="optioncarChar"/>
        </w:rPr>
        <w:t xml:space="preserve"> brute et lisse </w:t>
      </w:r>
      <w:r>
        <w:t>(par défaut)</w:t>
      </w:r>
      <w:r>
        <w:rPr>
          <w:rStyle w:val="optioncarChar"/>
        </w:rPr>
        <w:t xml:space="preserve"> / structurée / ***</w:t>
      </w:r>
    </w:p>
    <w:p w14:paraId="3322750C" w14:textId="77777777" w:rsidR="00DF410E" w:rsidRDefault="00CE7F43">
      <w:pPr>
        <w:pStyle w:val="pheading"/>
      </w:pPr>
      <w:r>
        <w:t>- Prescriptions complémentaires</w:t>
      </w:r>
    </w:p>
    <w:p w14:paraId="4BF12746" w14:textId="77777777" w:rsidR="00DF410E" w:rsidRDefault="00CE7F43">
      <w:pPr>
        <w:jc w:val="both"/>
      </w:pPr>
      <w:r>
        <w:rPr>
          <w:rStyle w:val="facultChar"/>
        </w:rPr>
        <w:t xml:space="preserve">Résistance au feu : </w:t>
      </w:r>
      <w:r>
        <w:rPr>
          <w:rStyle w:val="optioncarChar"/>
        </w:rPr>
        <w:t>R30 </w:t>
      </w:r>
      <w:r>
        <w:t>(par défaut)</w:t>
      </w:r>
      <w:r>
        <w:rPr>
          <w:rStyle w:val="optioncarChar"/>
        </w:rPr>
        <w:t xml:space="preserve"> / R60 / R120 / R240 / ***</w:t>
      </w:r>
      <w:r>
        <w:t> </w:t>
      </w:r>
      <w:r>
        <w:rPr>
          <w:rStyle w:val="facultChar"/>
        </w:rPr>
        <w:t>démontrée par test au feu selon la [NBN EN 13501-2] ou par calcul selon les Eurocodes conformément à l’ [AM 2013-05-17], Arrêté ministériel du 17 mai 2013 relatif à l’utilisation des Eurocodes comme méthodes de calcul pour l’évaluation de la résistance au feu d’éléments de construction.</w:t>
      </w:r>
    </w:p>
    <w:p w14:paraId="7D7C8111" w14:textId="77777777" w:rsidR="00DF410E" w:rsidRDefault="00CE7F43">
      <w:pPr>
        <w:pStyle w:val="pheading"/>
      </w:pPr>
      <w:r>
        <w:t>EXÉCUTION / MISE EN ŒUVRE</w:t>
      </w:r>
    </w:p>
    <w:p w14:paraId="2C7064CF" w14:textId="77777777" w:rsidR="00DF410E" w:rsidRDefault="00CE7F43">
      <w:pPr>
        <w:pStyle w:val="pheading"/>
      </w:pPr>
      <w:r>
        <w:t>- Prescriptions générales</w:t>
      </w:r>
    </w:p>
    <w:p w14:paraId="6ED827F2" w14:textId="77777777" w:rsidR="00DF410E" w:rsidRDefault="00CE7F43">
      <w:r>
        <w:t xml:space="preserve">Les prescriptions mentionnées en </w:t>
      </w:r>
      <w:hyperlink w:anchor="485" w:history="1">
        <w:r>
          <w:t>22.11.5 Poutres mixtes acier-béton</w:t>
        </w:r>
      </w:hyperlink>
      <w:r>
        <w:t xml:space="preserve"> sont d’application.</w:t>
      </w:r>
      <w:r>
        <w:br/>
        <w:t>L’étude et les plans d’exécution </w:t>
      </w:r>
      <w:r>
        <w:rPr>
          <w:rStyle w:val="optioncarChar"/>
        </w:rPr>
        <w:t xml:space="preserve">sont </w:t>
      </w:r>
      <w:r>
        <w:t xml:space="preserve">(par défaut) </w:t>
      </w:r>
      <w:r>
        <w:rPr>
          <w:rStyle w:val="optioncarChar"/>
        </w:rPr>
        <w:t>/ ne sont pas</w:t>
      </w:r>
      <w:r>
        <w:t> à charge de l’entreprise.</w:t>
      </w:r>
      <w:r>
        <w:br/>
        <w:t>Les poutres sont fabriquées dans les dimensions indiquées sur les plans d’exécution approuvés.</w:t>
      </w:r>
      <w:r>
        <w:br/>
        <w:t>L’entrepreneur veille à ce que la répartition des charges à l’appui de la poutre soit uniforme et compatible avec le support. </w:t>
      </w:r>
      <w:r>
        <w:br/>
        <w:t xml:space="preserve">La longueur d’appui des poutres en acier est au moins </w:t>
      </w:r>
      <w:r>
        <w:rPr>
          <w:rStyle w:val="optioncarChar"/>
        </w:rPr>
        <w:t>celle obtenue par calcul</w:t>
      </w:r>
      <w:r>
        <w:t xml:space="preserve"> (par défaut) /</w:t>
      </w:r>
      <w:r>
        <w:rPr>
          <w:rStyle w:val="optioncarChar"/>
        </w:rPr>
        <w:t> 20 cm / 30 cm / *** cm</w:t>
      </w:r>
      <w:r>
        <w:t xml:space="preserve"> à chaque extrémité des poutres.</w:t>
      </w:r>
    </w:p>
    <w:p w14:paraId="75816B71" w14:textId="77777777" w:rsidR="00DF410E" w:rsidRDefault="00CE7F43">
      <w:pPr>
        <w:pStyle w:val="pheading"/>
      </w:pPr>
      <w:r>
        <w:t>DOCUMENTS DE RÉFÉRENCE COMPLÉMENTAIRES</w:t>
      </w:r>
    </w:p>
    <w:p w14:paraId="0103CA10" w14:textId="77777777" w:rsidR="00DF410E" w:rsidRDefault="00CE7F43">
      <w:pPr>
        <w:pStyle w:val="pheading"/>
      </w:pPr>
      <w:r>
        <w:t>- Matériau</w:t>
      </w:r>
    </w:p>
    <w:p w14:paraId="096B6C9B" w14:textId="77777777" w:rsidR="00DF410E" w:rsidRDefault="00CE7F43">
      <w:r>
        <w:t>[NBN EN 206:2013+A2, Béton - Spécification, performances, production et conformité]</w:t>
      </w:r>
    </w:p>
    <w:p w14:paraId="793230E7" w14:textId="77777777" w:rsidR="00DF410E" w:rsidRDefault="00CE7F43">
      <w:r>
        <w:t>[NBN B 15-001, Béton - Spécification, performances, production et conformité - Complément national à la NBN EN 206:2013+A2:2021]</w:t>
      </w:r>
    </w:p>
    <w:p w14:paraId="158AF4E9" w14:textId="77777777" w:rsidR="00DF410E" w:rsidRDefault="00CE7F43">
      <w:r>
        <w:t>[NBN A 24-302, Produits sidérurgiques - Aciers pour béton armé - Barres lisses et barres à nervures - Fils machine lisses et fils machine à nervures]</w:t>
      </w:r>
    </w:p>
    <w:p w14:paraId="0EE24891" w14:textId="77777777" w:rsidR="00DF410E" w:rsidRDefault="00CE7F43">
      <w:r>
        <w:t>[NBN A 24-303, Produits sidérurgiques - Aciers pour béton armé - Fils écrouis à froid lisses et fils écrouis à froid à nervures]</w:t>
      </w:r>
    </w:p>
    <w:p w14:paraId="1A06A5D0" w14:textId="77777777" w:rsidR="00DF410E" w:rsidRDefault="00CE7F43">
      <w:r>
        <w:t>[PTV 302, Aciers pour béton armé - Barres à nervures ou à empreintes - Fils à nervures ou à empreintes à haute ductilité]</w:t>
      </w:r>
    </w:p>
    <w:p w14:paraId="0C13ECD0" w14:textId="77777777" w:rsidR="00DF410E" w:rsidRDefault="00CE7F43">
      <w:r>
        <w:t>[PTV 303, Aciers pour béton armé - Fils écrouis à froid à nervures à basse ductilité]</w:t>
      </w:r>
    </w:p>
    <w:p w14:paraId="7370AFA4"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450F1CBD" w14:textId="77777777" w:rsidR="00DF410E" w:rsidRDefault="00CE7F43">
      <w:pPr>
        <w:pStyle w:val="pheading"/>
      </w:pPr>
      <w:r>
        <w:t>MESURAGE</w:t>
      </w:r>
    </w:p>
    <w:p w14:paraId="6FCE69BB" w14:textId="77777777" w:rsidR="00DF410E" w:rsidRDefault="00CE7F43">
      <w:pPr>
        <w:pStyle w:val="pheading"/>
      </w:pPr>
      <w:r>
        <w:t>- unité de mesure:</w:t>
      </w:r>
    </w:p>
    <w:p w14:paraId="5CBB1A6D" w14:textId="77777777" w:rsidR="00DF410E" w:rsidRDefault="00CE7F43">
      <w:r>
        <w:t>m³ ; kg ; m² :</w:t>
      </w:r>
    </w:p>
    <w:p w14:paraId="10F1AC3B" w14:textId="77777777" w:rsidR="00DF410E" w:rsidRDefault="00CE7F43">
      <w:r>
        <w:t>m³ pour le béton</w:t>
      </w:r>
      <w:r>
        <w:br/>
        <w:t>kg pour les armatures et les profilés métalliques</w:t>
      </w:r>
      <w:r>
        <w:br/>
        <w:t>m² pour le coffrage</w:t>
      </w:r>
    </w:p>
    <w:p w14:paraId="226904BD" w14:textId="77777777" w:rsidR="00DF410E" w:rsidRDefault="00CE7F43">
      <w:pPr>
        <w:pStyle w:val="pheading"/>
      </w:pPr>
      <w:r>
        <w:t>- code de mesurage:</w:t>
      </w:r>
    </w:p>
    <w:p w14:paraId="31E78E11" w14:textId="77777777" w:rsidR="00DF410E" w:rsidRDefault="00CE7F43">
      <w:pPr>
        <w:jc w:val="both"/>
      </w:pPr>
      <w:r>
        <w:rPr>
          <w:u w:val="single"/>
        </w:rPr>
        <w:t>Quantités nettes</w:t>
      </w:r>
      <w:r>
        <w:t>, mesurées selon les dimensions nominales indiquées sur les plans.</w:t>
      </w:r>
    </w:p>
    <w:p w14:paraId="1B41FFFD" w14:textId="77777777" w:rsidR="00DF410E" w:rsidRDefault="00CE7F43">
      <w:pPr>
        <w:jc w:val="both"/>
      </w:pPr>
      <w:r>
        <w:t>Tous les autres éléments, travaux et fournitures doivent être compris dans les prix unitaires respectifs pour les mesurages précités.</w:t>
      </w:r>
    </w:p>
    <w:p w14:paraId="4E065045" w14:textId="77777777" w:rsidR="00DF410E" w:rsidRDefault="00CE7F43">
      <w:pPr>
        <w:pStyle w:val="pheading"/>
      </w:pPr>
      <w:r>
        <w:t>- nature du marché:</w:t>
      </w:r>
    </w:p>
    <w:p w14:paraId="63424C38" w14:textId="77777777" w:rsidR="00DF410E" w:rsidRDefault="00CE7F43">
      <w:r>
        <w:t>QF</w:t>
      </w:r>
    </w:p>
    <w:p w14:paraId="0172E26E" w14:textId="77777777" w:rsidR="00DF410E" w:rsidRDefault="00CE7F43">
      <w:pPr>
        <w:pStyle w:val="Author-eSectionHeading6"/>
      </w:pPr>
      <w:bookmarkStart w:id="621" w:name="_Toc178837801"/>
      <w:r>
        <w:t>22.11.5b Poutres mixtes acier-béton apparent (esthétique) coulées en place CCTB 01.10</w:t>
      </w:r>
      <w:bookmarkEnd w:id="621"/>
    </w:p>
    <w:p w14:paraId="2F654086" w14:textId="77777777" w:rsidR="00DF410E" w:rsidRDefault="00CE7F43">
      <w:pPr>
        <w:pStyle w:val="Author-eSectionHeading6"/>
      </w:pPr>
      <w:bookmarkStart w:id="622" w:name="_Toc178837802"/>
      <w:r>
        <w:t>22.11.5c Poutres préfabriquées mixtes acier-béton armé CCTB 01.12</w:t>
      </w:r>
      <w:bookmarkEnd w:id="622"/>
    </w:p>
    <w:p w14:paraId="5A690EC0" w14:textId="77777777" w:rsidR="00DF410E" w:rsidRDefault="00CE7F43">
      <w:pPr>
        <w:pStyle w:val="pheading"/>
      </w:pPr>
      <w:r>
        <w:t>DESCRIPTION</w:t>
      </w:r>
    </w:p>
    <w:p w14:paraId="0B67B854" w14:textId="77777777" w:rsidR="00DF410E" w:rsidRDefault="00CE7F43">
      <w:pPr>
        <w:pStyle w:val="pheading"/>
      </w:pPr>
      <w:r>
        <w:t>- Définition / Comprend</w:t>
      </w:r>
    </w:p>
    <w:p w14:paraId="25171EC5" w14:textId="77777777" w:rsidR="00DF410E" w:rsidRDefault="00CE7F43">
      <w:pPr>
        <w:jc w:val="both"/>
      </w:pPr>
      <w:r>
        <w:t>Il s'agit de toutes les poutres mixtes qui sont obligatoirement préfabriquées dans une usine suivant la définition reprise dans les généralités, et sont assemblées sur chantier aux ouvrages de construction déjà exécutés (voir également </w:t>
      </w:r>
      <w:hyperlink w:anchor="87" w:history="1">
        <w:r>
          <w:t>22 Superstructures en béton</w:t>
        </w:r>
      </w:hyperlink>
      <w:r>
        <w:t>).</w:t>
      </w:r>
    </w:p>
    <w:p w14:paraId="03044483" w14:textId="77777777" w:rsidR="00DF410E" w:rsidRDefault="00CE7F43">
      <w:pPr>
        <w:jc w:val="both"/>
      </w:pPr>
      <w:r>
        <w:t>Les travaux concernent :</w:t>
      </w:r>
    </w:p>
    <w:p w14:paraId="55C4FA01" w14:textId="77777777" w:rsidR="00DF410E" w:rsidRDefault="00CE7F43">
      <w:pPr>
        <w:pStyle w:val="Author-eListParagraph"/>
        <w:numPr>
          <w:ilvl w:val="0"/>
          <w:numId w:val="370"/>
        </w:numPr>
        <w:jc w:val="both"/>
      </w:pPr>
      <w:r>
        <w:t>l'étude de stabilité (lorsqu'elle est à la charge de l'entrepreneur), y compris les notes de calcul, l'établissement des plans de ferraillage, des plans de pose, …;</w:t>
      </w:r>
    </w:p>
    <w:p w14:paraId="00B7DCD9" w14:textId="77777777" w:rsidR="00DF410E" w:rsidRDefault="00CE7F43">
      <w:pPr>
        <w:pStyle w:val="Author-eListParagraph"/>
        <w:numPr>
          <w:ilvl w:val="0"/>
          <w:numId w:val="370"/>
        </w:numPr>
        <w:jc w:val="both"/>
      </w:pPr>
      <w:r>
        <w:t>la commande des poutres préfabriquées selon les normes prescrites, les dimensions et les finitions stipulées ;</w:t>
      </w:r>
    </w:p>
    <w:p w14:paraId="28A02B34" w14:textId="77777777" w:rsidR="00DF410E" w:rsidRDefault="00CE7F43">
      <w:pPr>
        <w:pStyle w:val="Author-eListParagraph"/>
        <w:numPr>
          <w:ilvl w:val="0"/>
          <w:numId w:val="370"/>
        </w:numPr>
        <w:jc w:val="both"/>
      </w:pPr>
      <w:r>
        <w:t>la livraison des poutres mixtes sur le chantier.</w:t>
      </w:r>
    </w:p>
    <w:p w14:paraId="23A6307A" w14:textId="77777777" w:rsidR="00DF410E" w:rsidRDefault="00CE7F43">
      <w:pPr>
        <w:pStyle w:val="pheading"/>
      </w:pPr>
      <w:r>
        <w:t>- Localisation</w:t>
      </w:r>
    </w:p>
    <w:p w14:paraId="399E7B58" w14:textId="77777777" w:rsidR="00DF410E" w:rsidRDefault="00CE7F43">
      <w:r>
        <w:t xml:space="preserve">Les travaux sont localisés : </w:t>
      </w:r>
      <w:r>
        <w:rPr>
          <w:rStyle w:val="optioncarChar"/>
        </w:rPr>
        <w:t>***</w:t>
      </w:r>
      <w:r>
        <w:t>.</w:t>
      </w:r>
    </w:p>
    <w:p w14:paraId="0FEEB7F3" w14:textId="77777777" w:rsidR="00DF410E" w:rsidRDefault="00CE7F43">
      <w:r>
        <w:t>Voir plans et métrés détaillés</w:t>
      </w:r>
    </w:p>
    <w:p w14:paraId="5413A052" w14:textId="77777777" w:rsidR="00DF410E" w:rsidRDefault="00CE7F43">
      <w:pPr>
        <w:pStyle w:val="pheading"/>
      </w:pPr>
      <w:r>
        <w:t>MATÉRIAUX</w:t>
      </w:r>
    </w:p>
    <w:p w14:paraId="0FFA48BA" w14:textId="77777777" w:rsidR="00DF410E" w:rsidRDefault="00CE7F43">
      <w:pPr>
        <w:pStyle w:val="pheading"/>
      </w:pPr>
      <w:r>
        <w:t>- Caractéristiques générales</w:t>
      </w:r>
    </w:p>
    <w:p w14:paraId="0FC4C05F" w14:textId="77777777" w:rsidR="00DF410E" w:rsidRDefault="00CE7F43">
      <w:r>
        <w:t>Les prescriptions mentionnées en </w:t>
      </w:r>
      <w:hyperlink w:anchor="485" w:history="1">
        <w:r>
          <w:t>22.11.5 Poutres mixtes acier-béton</w:t>
        </w:r>
      </w:hyperlink>
      <w:r>
        <w:t> sont d'application.</w:t>
      </w:r>
    </w:p>
    <w:p w14:paraId="0A14A3DA" w14:textId="77777777" w:rsidR="00DF410E" w:rsidRDefault="00CE7F43">
      <w:r>
        <w:t>La qualité du béton coulé en place selon la norme [NBN EN 206:2013+A2] et la norme [NBN B 15-001] est :</w:t>
      </w:r>
    </w:p>
    <w:p w14:paraId="54DEA388" w14:textId="77777777" w:rsidR="00DF410E" w:rsidRDefault="00CE7F43">
      <w:pPr>
        <w:pStyle w:val="Author-eListParagraph"/>
        <w:numPr>
          <w:ilvl w:val="0"/>
          <w:numId w:val="371"/>
        </w:numPr>
      </w:pPr>
      <w:r>
        <w:t>Classe de résistance minimale du béton normal : </w:t>
      </w:r>
      <w:r>
        <w:rPr>
          <w:rStyle w:val="optioncarChar"/>
        </w:rPr>
        <w:t>C30/37 </w:t>
      </w:r>
      <w:r>
        <w:t>(par défaut)</w:t>
      </w:r>
      <w:r>
        <w:rPr>
          <w:rStyle w:val="optioncarChar"/>
        </w:rPr>
        <w:t> / C60/75 / ***</w:t>
      </w:r>
    </w:p>
    <w:p w14:paraId="7C34813A" w14:textId="77777777" w:rsidR="00DF410E" w:rsidRDefault="00CE7F43">
      <w:pPr>
        <w:pStyle w:val="Author-eListParagraph"/>
        <w:numPr>
          <w:ilvl w:val="0"/>
          <w:numId w:val="371"/>
        </w:numPr>
      </w:pPr>
      <w:r>
        <w:t>Classe minimale d’environnement : </w:t>
      </w:r>
      <w:r>
        <w:rPr>
          <w:rStyle w:val="optioncarChar"/>
        </w:rPr>
        <w:t>EE1 </w:t>
      </w:r>
      <w:r>
        <w:t>(par défaut)</w:t>
      </w:r>
      <w:r>
        <w:rPr>
          <w:rStyle w:val="optioncarChar"/>
        </w:rPr>
        <w:t> / EE2 / EE3</w:t>
      </w:r>
    </w:p>
    <w:p w14:paraId="054E92B3" w14:textId="77777777" w:rsidR="00DF410E" w:rsidRDefault="00CE7F43">
      <w:r>
        <w:t>Pourcentage d'armatures : </w:t>
      </w:r>
      <w:r>
        <w:rPr>
          <w:rStyle w:val="optioncarChar"/>
        </w:rPr>
        <w:t>***</w:t>
      </w:r>
      <w:r>
        <w:t> kg d'acier par m3 de béton (voir </w:t>
      </w:r>
      <w:hyperlink w:anchor="231" w:history="1">
        <w:r>
          <w:t>22.51 Armatures pour béton</w:t>
        </w:r>
      </w:hyperlink>
      <w:r>
        <w:t>).</w:t>
      </w:r>
    </w:p>
    <w:p w14:paraId="325E7D9F" w14:textId="77777777" w:rsidR="00DF410E" w:rsidRDefault="00CE7F43">
      <w:pPr>
        <w:pStyle w:val="Author-eListParagraph"/>
        <w:numPr>
          <w:ilvl w:val="0"/>
          <w:numId w:val="372"/>
        </w:numPr>
      </w:pPr>
      <w:r>
        <w:t>Barres d’acier pour les armatures principales : </w:t>
      </w:r>
      <w:r>
        <w:rPr>
          <w:rStyle w:val="optioncarChar"/>
        </w:rPr>
        <w:t>acier BE 500 S </w:t>
      </w:r>
      <w:r>
        <w:t>(par défaut)</w:t>
      </w:r>
      <w:r>
        <w:rPr>
          <w:rStyle w:val="optioncarChar"/>
        </w:rPr>
        <w:t xml:space="preserve"> / *** </w:t>
      </w:r>
      <w:r>
        <w:t>selon</w:t>
      </w:r>
      <w:r>
        <w:rPr>
          <w:rStyle w:val="optioncarChar"/>
        </w:rPr>
        <w:t> [NBN A 24-302] </w:t>
      </w:r>
      <w:r>
        <w:t>et</w:t>
      </w:r>
      <w:r>
        <w:rPr>
          <w:rStyle w:val="optioncarChar"/>
        </w:rPr>
        <w:t> [PTV 302].</w:t>
      </w:r>
    </w:p>
    <w:p w14:paraId="6E06171F" w14:textId="77777777" w:rsidR="00DF410E" w:rsidRDefault="00CE7F43">
      <w:pPr>
        <w:pStyle w:val="Author-eListParagraph"/>
        <w:numPr>
          <w:ilvl w:val="0"/>
          <w:numId w:val="372"/>
        </w:numPr>
      </w:pPr>
      <w:r>
        <w:t>Acier pour les étriers : acier </w:t>
      </w:r>
      <w:r>
        <w:rPr>
          <w:rStyle w:val="optioncarChar"/>
        </w:rPr>
        <w:t>DE 500 BS / BE 500 S</w:t>
      </w:r>
    </w:p>
    <w:p w14:paraId="7AB202B5" w14:textId="77777777" w:rsidR="00DF410E" w:rsidRDefault="00CE7F43">
      <w:pPr>
        <w:ind w:left="567"/>
      </w:pPr>
      <w:r>
        <w:rPr>
          <w:b/>
          <w:i/>
        </w:rPr>
        <w:t>(Soit par défaut)</w:t>
      </w:r>
      <w:r>
        <w:rPr>
          <w:i/>
        </w:rPr>
        <w:t> </w:t>
      </w:r>
      <w:r>
        <w:br/>
      </w:r>
      <w:r>
        <w:rPr>
          <w:rStyle w:val="soitChar"/>
          <w:u w:val="single"/>
        </w:rPr>
        <w:t>1. DE 500 BS</w:t>
      </w:r>
      <w:r>
        <w:rPr>
          <w:rStyle w:val="soitChar"/>
        </w:rPr>
        <w:t> selon [NBN A 24-303] + [PTV 303]</w:t>
      </w:r>
      <w:r>
        <w:br/>
      </w:r>
      <w:r>
        <w:br/>
      </w:r>
      <w:r>
        <w:rPr>
          <w:b/>
          <w:i/>
        </w:rPr>
        <w:t>(Soit)</w:t>
      </w:r>
      <w:r>
        <w:rPr>
          <w:i/>
        </w:rPr>
        <w:t> </w:t>
      </w:r>
      <w:r>
        <w:br/>
      </w:r>
      <w:r>
        <w:rPr>
          <w:rStyle w:val="soitChar"/>
          <w:u w:val="single"/>
        </w:rPr>
        <w:t>2. BE 500 S</w:t>
      </w:r>
      <w:r>
        <w:rPr>
          <w:rStyle w:val="soitChar"/>
        </w:rPr>
        <w:t> selon [NBN A 24-302] + [PTV 302].</w:t>
      </w:r>
    </w:p>
    <w:p w14:paraId="1A1EE31A" w14:textId="77777777" w:rsidR="00DF410E" w:rsidRDefault="00CE7F43">
      <w:r>
        <w:br/>
      </w:r>
      <w:r>
        <w:rPr>
          <w:b/>
        </w:rPr>
        <w:t>Connexion</w:t>
      </w:r>
    </w:p>
    <w:p w14:paraId="2DFB0DF9" w14:textId="77777777" w:rsidR="00DF410E" w:rsidRDefault="00CE7F43">
      <w:r>
        <w:t>La connexion entre le profilé et le béton est assurée par des</w:t>
      </w:r>
      <w:r>
        <w:rPr>
          <w:rStyle w:val="optioncarChar"/>
        </w:rPr>
        <w:t> goujons à tête </w:t>
      </w:r>
      <w:r>
        <w:t>(par défaut)</w:t>
      </w:r>
      <w:r>
        <w:rPr>
          <w:rStyle w:val="optioncarChar"/>
        </w:rPr>
        <w:t>  / étriers soudés sur l’âme / cornières / ***.</w:t>
      </w:r>
    </w:p>
    <w:p w14:paraId="1353E5C6" w14:textId="77777777" w:rsidR="00DF410E" w:rsidRDefault="00CE7F43">
      <w:pPr>
        <w:pStyle w:val="pheading"/>
      </w:pPr>
      <w:r>
        <w:t>- Finitions</w:t>
      </w:r>
    </w:p>
    <w:p w14:paraId="14A28804" w14:textId="77777777" w:rsidR="00DF410E" w:rsidRDefault="00CE7F43">
      <w:r>
        <w:t>La surface de béton est </w:t>
      </w:r>
      <w:r>
        <w:rPr>
          <w:rStyle w:val="optioncarChar"/>
        </w:rPr>
        <w:t>﻿brute et lisse</w:t>
      </w:r>
      <w:r>
        <w:t xml:space="preserve"> (par défaut)</w:t>
      </w:r>
      <w:r>
        <w:rPr>
          <w:rStyle w:val="optioncarChar"/>
        </w:rPr>
        <w:t xml:space="preserve"> / structurée / ***</w:t>
      </w:r>
    </w:p>
    <w:p w14:paraId="3A48C5F0" w14:textId="77777777" w:rsidR="00DF410E" w:rsidRDefault="00CE7F43">
      <w:pPr>
        <w:pStyle w:val="pheading"/>
      </w:pPr>
      <w:r>
        <w:t>- Prescriptions complémentaires</w:t>
      </w:r>
    </w:p>
    <w:p w14:paraId="14DE62C7" w14:textId="77777777" w:rsidR="00DF410E" w:rsidRDefault="00CE7F43">
      <w:pPr>
        <w:jc w:val="both"/>
      </w:pPr>
      <w:r>
        <w:rPr>
          <w:rStyle w:val="facultChar"/>
        </w:rPr>
        <w:t>Résistance au feu :</w:t>
      </w:r>
      <w:r>
        <w:rPr>
          <w:rStyle w:val="optioncarChar"/>
        </w:rPr>
        <w:t>R30 </w:t>
      </w:r>
      <w:r>
        <w:t xml:space="preserve">(par défaut) </w:t>
      </w:r>
      <w:r>
        <w:rPr>
          <w:rStyle w:val="optioncarChar"/>
        </w:rPr>
        <w:t>/ R60 / R120 / R240 / ***</w:t>
      </w:r>
      <w:r>
        <w:rPr>
          <w:rStyle w:val="facultChar"/>
        </w:rPr>
        <w:t>démontrée par test au feu selon la [NBN EN 13501-2] ou par calcul selon les Eurocodes conformément à l’ [AM 2013-05-17], Arrêté ministériel du 17 mai 2013 relatif à l’utilisation des Eurocodes comme méthodes de calcul pour l’évaluation de la résistance au feu d’éléments de construction.</w:t>
      </w:r>
    </w:p>
    <w:p w14:paraId="328036EC" w14:textId="77777777" w:rsidR="00DF410E" w:rsidRDefault="00CE7F43">
      <w:pPr>
        <w:pStyle w:val="pheading"/>
      </w:pPr>
      <w:r>
        <w:t>EXÉCUTION / MISE EN ŒUVRE</w:t>
      </w:r>
    </w:p>
    <w:p w14:paraId="7BC7D246" w14:textId="77777777" w:rsidR="00DF410E" w:rsidRDefault="00CE7F43">
      <w:pPr>
        <w:pStyle w:val="pheading"/>
      </w:pPr>
      <w:r>
        <w:t>- Prescriptions générales</w:t>
      </w:r>
    </w:p>
    <w:p w14:paraId="3BDABFC4" w14:textId="77777777" w:rsidR="00DF410E" w:rsidRDefault="00DF410E"/>
    <w:p w14:paraId="51FB9140" w14:textId="77777777" w:rsidR="00DF410E" w:rsidRDefault="00CE7F43">
      <w:pPr>
        <w:pStyle w:val="Author-eListParagraph"/>
        <w:numPr>
          <w:ilvl w:val="0"/>
          <w:numId w:val="373"/>
        </w:numPr>
      </w:pPr>
      <w:r>
        <w:t xml:space="preserve">Les prescriptions mentionnées en </w:t>
      </w:r>
      <w:hyperlink w:anchor="485" w:history="1">
        <w:r>
          <w:t>22.11.5 Poutres mixtes acier-béton</w:t>
        </w:r>
      </w:hyperlink>
      <w:r>
        <w:t> sont d’application.</w:t>
      </w:r>
    </w:p>
    <w:p w14:paraId="3B00364B" w14:textId="77777777" w:rsidR="00DF410E" w:rsidRDefault="00CE7F43">
      <w:pPr>
        <w:pStyle w:val="Author-eListParagraph"/>
        <w:numPr>
          <w:ilvl w:val="0"/>
          <w:numId w:val="373"/>
        </w:numPr>
      </w:pPr>
      <w:r>
        <w:t>L’étude et les plans d’exécution </w:t>
      </w:r>
      <w:r>
        <w:rPr>
          <w:rStyle w:val="optioncarChar"/>
        </w:rPr>
        <w:t>sont</w:t>
      </w:r>
      <w:r>
        <w:t xml:space="preserve"> (par défaut)</w:t>
      </w:r>
      <w:r>
        <w:rPr>
          <w:rStyle w:val="optioncarChar"/>
        </w:rPr>
        <w:t xml:space="preserve"> / ne sont pas</w:t>
      </w:r>
      <w:r>
        <w:t> à charge de l’entreprise.</w:t>
      </w:r>
    </w:p>
    <w:p w14:paraId="122FA042" w14:textId="77777777" w:rsidR="00DF410E" w:rsidRDefault="00CE7F43">
      <w:pPr>
        <w:pStyle w:val="Author-eListParagraph"/>
        <w:numPr>
          <w:ilvl w:val="0"/>
          <w:numId w:val="373"/>
        </w:numPr>
      </w:pPr>
      <w:r>
        <w:t>Les poutres sont fabriquées dans les dimensions indiquées sur les plans d’exécution approuvés.</w:t>
      </w:r>
    </w:p>
    <w:p w14:paraId="4823C29E" w14:textId="77777777" w:rsidR="00DF410E" w:rsidRDefault="00CE7F43">
      <w:pPr>
        <w:pStyle w:val="Author-eListParagraph"/>
        <w:numPr>
          <w:ilvl w:val="0"/>
          <w:numId w:val="373"/>
        </w:numPr>
      </w:pPr>
      <w:r>
        <w:t>L’entrepreneur veille à ce que la répartition des charges à l’appui de la poutre soit uniforme et compatible avec le support. </w:t>
      </w:r>
    </w:p>
    <w:p w14:paraId="1EEDFB8C" w14:textId="77777777" w:rsidR="00DF410E" w:rsidRDefault="00CE7F43">
      <w:pPr>
        <w:pStyle w:val="Author-eListParagraph"/>
        <w:numPr>
          <w:ilvl w:val="0"/>
          <w:numId w:val="373"/>
        </w:numPr>
      </w:pPr>
      <w:r>
        <w:t xml:space="preserve">La longueur d’appui des poutres en acier est au moins </w:t>
      </w:r>
      <w:r>
        <w:rPr>
          <w:rStyle w:val="optioncarChar"/>
        </w:rPr>
        <w:t>celle obtenue par calcul</w:t>
      </w:r>
      <w:r>
        <w:t xml:space="preserve"> (par défaut) </w:t>
      </w:r>
      <w:r>
        <w:rPr>
          <w:rStyle w:val="optioncarChar"/>
        </w:rPr>
        <w:t>/ 20 cm / 30 cm / *** cm</w:t>
      </w:r>
      <w:r>
        <w:t xml:space="preserve"> à chaque extrémité des poutres.</w:t>
      </w:r>
    </w:p>
    <w:p w14:paraId="2AD7DCAA" w14:textId="77777777" w:rsidR="00DF410E" w:rsidRDefault="00CE7F43">
      <w:pPr>
        <w:pStyle w:val="pheading"/>
      </w:pPr>
      <w:r>
        <w:t>DOCUMENTS DE RÉFÉRENCE COMPLÉMENTAIRES</w:t>
      </w:r>
    </w:p>
    <w:p w14:paraId="36391F14" w14:textId="77777777" w:rsidR="00DF410E" w:rsidRDefault="00CE7F43">
      <w:pPr>
        <w:pStyle w:val="pheading"/>
      </w:pPr>
      <w:r>
        <w:t>- Matériau</w:t>
      </w:r>
    </w:p>
    <w:p w14:paraId="486A1A62" w14:textId="77777777" w:rsidR="00DF410E" w:rsidRDefault="00CE7F43">
      <w:r>
        <w:t>[NBN EN 206:2013+A2, Béton - Spécification, performances, production et conformité]</w:t>
      </w:r>
    </w:p>
    <w:p w14:paraId="2982EC75" w14:textId="77777777" w:rsidR="00DF410E" w:rsidRDefault="00CE7F43">
      <w:r>
        <w:t>[NBN B 15-001, Béton - Spécification, performances, production et conformité - Complément national à la NBN EN 206:2013+A2:2021]</w:t>
      </w:r>
    </w:p>
    <w:p w14:paraId="1EB60997" w14:textId="77777777" w:rsidR="00DF410E" w:rsidRDefault="00CE7F43">
      <w:r>
        <w:t>[NBN A 24-302, Produits sidérurgiques - Aciers pour béton armé - Barres lisses et barres à nervures - Fils machine lisses et fils machine à nervures]</w:t>
      </w:r>
    </w:p>
    <w:p w14:paraId="489AAB77" w14:textId="77777777" w:rsidR="00DF410E" w:rsidRDefault="00CE7F43">
      <w:r>
        <w:t>[NBN A 24-303, Produits sidérurgiques - Aciers pour béton armé - Fils écrouis à froid lisses et fils écrouis à froid à nervures]</w:t>
      </w:r>
    </w:p>
    <w:p w14:paraId="70B0C440" w14:textId="77777777" w:rsidR="00DF410E" w:rsidRDefault="00CE7F43">
      <w:r>
        <w:t>[PTV 302, Aciers pour béton armé - Barres à nervures ou à empreintes - Fils à nervures ou à empreintes à haute ductilité]</w:t>
      </w:r>
    </w:p>
    <w:p w14:paraId="4865CB27" w14:textId="77777777" w:rsidR="00DF410E" w:rsidRDefault="00CE7F43">
      <w:r>
        <w:t>[PTV 303, Aciers pour béton armé - Fils écrouis à froid à nervures à basse ductilité]</w:t>
      </w:r>
    </w:p>
    <w:p w14:paraId="042F7369"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2B6B2743" w14:textId="77777777" w:rsidR="00DF410E" w:rsidRDefault="00CE7F43">
      <w:pPr>
        <w:pStyle w:val="pheading"/>
      </w:pPr>
      <w:r>
        <w:t>MESURAGE</w:t>
      </w:r>
    </w:p>
    <w:p w14:paraId="48CDFDF2" w14:textId="77777777" w:rsidR="00DF410E" w:rsidRDefault="00CE7F43">
      <w:pPr>
        <w:pStyle w:val="pheading"/>
      </w:pPr>
      <w:r>
        <w:t>- unité de mesure:</w:t>
      </w:r>
    </w:p>
    <w:p w14:paraId="21940721" w14:textId="77777777" w:rsidR="00DF410E" w:rsidRDefault="00CE7F43">
      <w:r>
        <w:rPr>
          <w:rStyle w:val="optioncarChar"/>
        </w:rPr>
        <w:t xml:space="preserve">m³ </w:t>
      </w:r>
      <w:r>
        <w:t>(par défaut)</w:t>
      </w:r>
      <w:r>
        <w:rPr>
          <w:rStyle w:val="optioncarChar"/>
        </w:rPr>
        <w:t xml:space="preserve"> / pc / m</w:t>
      </w:r>
    </w:p>
    <w:p w14:paraId="46E24B23" w14:textId="77777777" w:rsidR="00DF410E" w:rsidRDefault="00CE7F43">
      <w:r>
        <w:rPr>
          <w:b/>
          <w:i/>
        </w:rPr>
        <w:t>(Soit par défaut)</w:t>
      </w:r>
    </w:p>
    <w:p w14:paraId="726968DC" w14:textId="77777777" w:rsidR="00DF410E" w:rsidRDefault="00CE7F43">
      <w:r>
        <w:rPr>
          <w:rStyle w:val="soitChar"/>
        </w:rPr>
        <w:t>1. m³</w:t>
      </w:r>
    </w:p>
    <w:p w14:paraId="50E8B662" w14:textId="77777777" w:rsidR="00DF410E" w:rsidRDefault="00CE7F43">
      <w:r>
        <w:rPr>
          <w:b/>
          <w:i/>
        </w:rPr>
        <w:t>(Soit)</w:t>
      </w:r>
    </w:p>
    <w:p w14:paraId="0AA9AE30" w14:textId="77777777" w:rsidR="00DF410E" w:rsidRDefault="00CE7F43">
      <w:r>
        <w:rPr>
          <w:rStyle w:val="soitChar"/>
        </w:rPr>
        <w:t>2. pc</w:t>
      </w:r>
    </w:p>
    <w:p w14:paraId="2A8C2016" w14:textId="77777777" w:rsidR="00DF410E" w:rsidRDefault="00CE7F43">
      <w:r>
        <w:rPr>
          <w:b/>
          <w:i/>
        </w:rPr>
        <w:t>(Soit)</w:t>
      </w:r>
    </w:p>
    <w:p w14:paraId="5CB7ABC1" w14:textId="77777777" w:rsidR="00DF410E" w:rsidRDefault="00CE7F43">
      <w:r>
        <w:rPr>
          <w:rStyle w:val="soitChar"/>
        </w:rPr>
        <w:t>3. m</w:t>
      </w:r>
    </w:p>
    <w:p w14:paraId="0D44FB0F" w14:textId="77777777" w:rsidR="00DF410E" w:rsidRDefault="00CE7F43">
      <w:pPr>
        <w:pStyle w:val="pheading"/>
      </w:pPr>
      <w:r>
        <w:t>- code de mesurage:</w:t>
      </w:r>
    </w:p>
    <w:p w14:paraId="2A60302A" w14:textId="77777777" w:rsidR="00DF410E" w:rsidRDefault="00CE7F43">
      <w:pPr>
        <w:jc w:val="both"/>
      </w:pPr>
      <w:r>
        <w:t>Sont toujours compris dans le prix unitaire outre les éléments préfabriqués, les profilés et armatures qui y sont incorporées, les moyens de support, de fixation et d’appui, le béton, ainsi que les armatures posées sur place pour des raisons de stabilité.</w:t>
      </w:r>
    </w:p>
    <w:p w14:paraId="47247A33" w14:textId="77777777" w:rsidR="00DF410E" w:rsidRDefault="00CE7F43">
      <w:pPr>
        <w:jc w:val="both"/>
      </w:pPr>
      <w:r>
        <w:rPr>
          <w:rStyle w:val="optioncarChar"/>
        </w:rPr>
        <w:t xml:space="preserve">Volume net </w:t>
      </w:r>
      <w:r>
        <w:t xml:space="preserve">(par défaut) </w:t>
      </w:r>
      <w:r>
        <w:rPr>
          <w:rStyle w:val="optioncarChar"/>
        </w:rPr>
        <w:t>/ quantité nette / longueur nette</w:t>
      </w:r>
    </w:p>
    <w:p w14:paraId="5D70C02E" w14:textId="77777777" w:rsidR="00DF410E" w:rsidRDefault="00CE7F43">
      <w:pPr>
        <w:jc w:val="both"/>
      </w:pPr>
      <w:r>
        <w:rPr>
          <w:b/>
          <w:i/>
        </w:rPr>
        <w:t>(Soit par défaut)</w:t>
      </w:r>
    </w:p>
    <w:p w14:paraId="498993C1" w14:textId="77777777" w:rsidR="00DF410E" w:rsidRDefault="00CE7F43">
      <w:pPr>
        <w:jc w:val="both"/>
      </w:pPr>
      <w:r>
        <w:rPr>
          <w:rStyle w:val="soitChar"/>
          <w:u w:val="single"/>
        </w:rPr>
        <w:t>1. Volume net</w:t>
      </w:r>
      <w:r>
        <w:rPr>
          <w:rStyle w:val="soitChar"/>
        </w:rPr>
        <w:t>, mesuré selon les dimensions nominales indiquées sur les plans.</w:t>
      </w:r>
    </w:p>
    <w:p w14:paraId="3DF6344C" w14:textId="77777777" w:rsidR="00DF410E" w:rsidRDefault="00CE7F43">
      <w:pPr>
        <w:jc w:val="both"/>
      </w:pPr>
      <w:r>
        <w:rPr>
          <w:b/>
          <w:i/>
        </w:rPr>
        <w:t>(Soit)</w:t>
      </w:r>
    </w:p>
    <w:p w14:paraId="294111A4" w14:textId="77777777" w:rsidR="00DF410E" w:rsidRDefault="00CE7F43">
      <w:pPr>
        <w:jc w:val="both"/>
      </w:pPr>
      <w:r>
        <w:rPr>
          <w:rStyle w:val="soitChar"/>
          <w:u w:val="single"/>
        </w:rPr>
        <w:t>2. Quantité nette</w:t>
      </w:r>
    </w:p>
    <w:p w14:paraId="404E85BD" w14:textId="77777777" w:rsidR="00DF410E" w:rsidRDefault="00CE7F43">
      <w:pPr>
        <w:jc w:val="both"/>
      </w:pPr>
      <w:r>
        <w:rPr>
          <w:b/>
          <w:i/>
        </w:rPr>
        <w:t>(Soit)</w:t>
      </w:r>
    </w:p>
    <w:p w14:paraId="1F6D703D" w14:textId="77777777" w:rsidR="00DF410E" w:rsidRDefault="00CE7F43">
      <w:pPr>
        <w:jc w:val="both"/>
      </w:pPr>
      <w:r>
        <w:rPr>
          <w:rStyle w:val="soitChar"/>
          <w:u w:val="single"/>
        </w:rPr>
        <w:t>3. Longueur nette</w:t>
      </w:r>
    </w:p>
    <w:p w14:paraId="4477A010" w14:textId="77777777" w:rsidR="00DF410E" w:rsidRDefault="00CE7F43">
      <w:pPr>
        <w:pStyle w:val="pheading"/>
      </w:pPr>
      <w:r>
        <w:t>- nature du marché:</w:t>
      </w:r>
    </w:p>
    <w:p w14:paraId="3C445FBA" w14:textId="77777777" w:rsidR="00DF410E" w:rsidRDefault="00CE7F43">
      <w:r>
        <w:t> QF</w:t>
      </w:r>
    </w:p>
    <w:p w14:paraId="26193B36" w14:textId="77777777" w:rsidR="00DF410E" w:rsidRDefault="00CE7F43">
      <w:pPr>
        <w:pStyle w:val="Author-eSectionHeading6"/>
      </w:pPr>
      <w:bookmarkStart w:id="623" w:name="_Toc178837803"/>
      <w:r>
        <w:t>22.11.5d Poutres préfabriquées mixtes acier-béton armé décoratif / architectonique CCTB 01.10</w:t>
      </w:r>
      <w:bookmarkEnd w:id="623"/>
    </w:p>
    <w:p w14:paraId="31015BE3" w14:textId="77777777" w:rsidR="00DF410E" w:rsidRDefault="00CE7F43">
      <w:pPr>
        <w:pStyle w:val="Author-eSectionHeading6"/>
      </w:pPr>
      <w:bookmarkStart w:id="624" w:name="_Toc178837804"/>
      <w:r>
        <w:t>22.11.5e Poutres préfabriquées mixtes acier-béton précontraint CCTB 01.04</w:t>
      </w:r>
      <w:bookmarkEnd w:id="624"/>
    </w:p>
    <w:p w14:paraId="1C2EE211" w14:textId="77777777" w:rsidR="00DF410E" w:rsidRDefault="00CE7F43">
      <w:pPr>
        <w:pStyle w:val="Author-eSectionHeading4"/>
      </w:pPr>
      <w:bookmarkStart w:id="625" w:name="_Toc178837805"/>
      <w:r>
        <w:t>22.12 Eléments de charpente de toiture en béton CCTB 01.02</w:t>
      </w:r>
      <w:bookmarkEnd w:id="625"/>
    </w:p>
    <w:p w14:paraId="4DA36E68" w14:textId="77777777" w:rsidR="00DF410E" w:rsidRDefault="00CE7F43">
      <w:pPr>
        <w:pStyle w:val="Author-eSectionHeading5"/>
      </w:pPr>
      <w:bookmarkStart w:id="626" w:name="_Toc178837806"/>
      <w:r>
        <w:t>22.12.1 Eléments de charpente de toiture en béton coulé en place CCTB 01.04</w:t>
      </w:r>
      <w:bookmarkEnd w:id="626"/>
    </w:p>
    <w:p w14:paraId="11CF6985" w14:textId="77777777" w:rsidR="00DF410E" w:rsidRDefault="00CE7F43">
      <w:pPr>
        <w:pStyle w:val="Author-eSectionHeading6"/>
      </w:pPr>
      <w:bookmarkStart w:id="627" w:name="_Toc178837807"/>
      <w:r>
        <w:t>22.12.1a Pannes en béton coulé en place CCTB 01.11</w:t>
      </w:r>
      <w:bookmarkEnd w:id="627"/>
    </w:p>
    <w:p w14:paraId="5D0FCFB5" w14:textId="77777777" w:rsidR="00DF410E" w:rsidRDefault="00CE7F43">
      <w:pPr>
        <w:pStyle w:val="pheading"/>
      </w:pPr>
      <w:r>
        <w:t>MATÉRIAUX</w:t>
      </w:r>
    </w:p>
    <w:p w14:paraId="42A03C07" w14:textId="77777777" w:rsidR="00DF410E" w:rsidRDefault="00CE7F43">
      <w:pPr>
        <w:pStyle w:val="pheading"/>
      </w:pPr>
      <w:r>
        <w:t>- Caractéristiques générales</w:t>
      </w:r>
    </w:p>
    <w:p w14:paraId="182BBA41"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 (voir </w:t>
      </w:r>
      <w:hyperlink w:anchor="231" w:history="1">
        <w:r>
          <w:t>22.51 Armatures pour béton</w:t>
        </w:r>
      </w:hyperlink>
      <w:r>
        <w:t>)</w:t>
      </w:r>
    </w:p>
    <w:p w14:paraId="6094FDB1" w14:textId="77777777" w:rsidR="00DF410E" w:rsidRDefault="00CE7F43">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r>
        <w:br/>
        <w:t xml:space="preserve">Acier pour les étriers : acier </w:t>
      </w:r>
      <w:r>
        <w:rPr>
          <w:rStyle w:val="optioncarChar"/>
        </w:rPr>
        <w:t>DE 500 BS / BE 500 S</w:t>
      </w:r>
      <w:r>
        <w:br/>
      </w:r>
      <w:r>
        <w:rPr>
          <w:b/>
        </w:rPr>
        <w:t>(soit par défaut)</w:t>
      </w:r>
      <w:r>
        <w:br/>
      </w:r>
      <w:r>
        <w:rPr>
          <w:color w:val="33CCCC"/>
        </w:rPr>
        <w:t xml:space="preserve">1. </w:t>
      </w:r>
      <w:r>
        <w:rPr>
          <w:u w:val="single"/>
        </w:rPr>
        <w:t>DE 500 BS</w:t>
      </w:r>
      <w:r>
        <w:rPr>
          <w:color w:val="33CCCC"/>
        </w:rPr>
        <w:t xml:space="preserve"> selon [NBN A 24-303] + [PTV 303].</w:t>
      </w:r>
      <w:r>
        <w:br/>
      </w:r>
      <w:r>
        <w:rPr>
          <w:b/>
        </w:rPr>
        <w:t>(soit)</w:t>
      </w:r>
      <w:r>
        <w:br/>
      </w:r>
      <w:r>
        <w:rPr>
          <w:color w:val="33CCCC"/>
        </w:rPr>
        <w:t xml:space="preserve">2. </w:t>
      </w:r>
      <w:r>
        <w:rPr>
          <w:u w:val="single"/>
        </w:rPr>
        <w:t>BE 500 S</w:t>
      </w:r>
      <w:r>
        <w:rPr>
          <w:color w:val="33CCCC"/>
        </w:rPr>
        <w:t xml:space="preserve"> selon [NBN A 24-302] + [PTV 302].</w:t>
      </w:r>
    </w:p>
    <w:p w14:paraId="4ED56457" w14:textId="77777777" w:rsidR="00DF410E" w:rsidRDefault="00CE7F43">
      <w:pPr>
        <w:pStyle w:val="Author-eSectionHeading6"/>
      </w:pPr>
      <w:bookmarkStart w:id="628" w:name="_Toc178837808"/>
      <w:r>
        <w:t>22.12.1b Chevrons autoporteurs en béton coulé en place CCTB 01.04</w:t>
      </w:r>
      <w:bookmarkEnd w:id="628"/>
    </w:p>
    <w:p w14:paraId="6B772CCD" w14:textId="77777777" w:rsidR="00DF410E" w:rsidRDefault="00CE7F43">
      <w:pPr>
        <w:pStyle w:val="Author-eSectionHeading6"/>
      </w:pPr>
      <w:bookmarkStart w:id="629" w:name="_Toc178837809"/>
      <w:r>
        <w:t>22.12.1c Faîtières en béton coulé en place CCTB 01.04</w:t>
      </w:r>
      <w:bookmarkEnd w:id="629"/>
    </w:p>
    <w:p w14:paraId="55FEB473" w14:textId="77777777" w:rsidR="00DF410E" w:rsidRDefault="00CE7F43">
      <w:pPr>
        <w:pStyle w:val="Author-eSectionHeading6"/>
      </w:pPr>
      <w:bookmarkStart w:id="630" w:name="_Toc178837810"/>
      <w:r>
        <w:t>22.12.1d Sablières en béton coulé en place CCTB 01.04</w:t>
      </w:r>
      <w:bookmarkEnd w:id="630"/>
    </w:p>
    <w:p w14:paraId="275D82E9" w14:textId="77777777" w:rsidR="00DF410E" w:rsidRDefault="00CE7F43">
      <w:pPr>
        <w:pStyle w:val="Author-eSectionHeading5"/>
      </w:pPr>
      <w:bookmarkStart w:id="631" w:name="_Toc178837811"/>
      <w:r>
        <w:t>22.12.2 Eléments de charpente de toiture en béton apparent (esthétique) coulé en place CCTB 01.04</w:t>
      </w:r>
      <w:bookmarkEnd w:id="631"/>
    </w:p>
    <w:p w14:paraId="4973E409" w14:textId="77777777" w:rsidR="00DF410E" w:rsidRDefault="00CE7F43">
      <w:pPr>
        <w:pStyle w:val="Author-eSectionHeading6"/>
      </w:pPr>
      <w:bookmarkStart w:id="632" w:name="_Toc178837812"/>
      <w:r>
        <w:t>22.12.2a Pannes en béton apparent (esthétique) coulé en place CCTB 01.04</w:t>
      </w:r>
      <w:bookmarkEnd w:id="632"/>
    </w:p>
    <w:p w14:paraId="7DFFFA5E" w14:textId="77777777" w:rsidR="00DF410E" w:rsidRDefault="00CE7F43">
      <w:pPr>
        <w:pStyle w:val="Author-eSectionHeading6"/>
      </w:pPr>
      <w:bookmarkStart w:id="633" w:name="_Toc178837813"/>
      <w:r>
        <w:t>22.12.2b Chevrons autoporteurs en béton apparent (esthétique) coulé en place CCTB 01.04</w:t>
      </w:r>
      <w:bookmarkEnd w:id="633"/>
    </w:p>
    <w:p w14:paraId="6034E4D4" w14:textId="77777777" w:rsidR="00DF410E" w:rsidRDefault="00CE7F43">
      <w:pPr>
        <w:pStyle w:val="Author-eSectionHeading6"/>
      </w:pPr>
      <w:bookmarkStart w:id="634" w:name="_Toc178837814"/>
      <w:r>
        <w:t>22.12.2c Faîtières en béton apparent (esthétique) coulé en place CCTB 01.04</w:t>
      </w:r>
      <w:bookmarkEnd w:id="634"/>
    </w:p>
    <w:p w14:paraId="683B7C71" w14:textId="77777777" w:rsidR="00DF410E" w:rsidRDefault="00CE7F43">
      <w:pPr>
        <w:pStyle w:val="Author-eSectionHeading6"/>
      </w:pPr>
      <w:bookmarkStart w:id="635" w:name="_Toc178837815"/>
      <w:r>
        <w:t>22.12.2d Sablières en béton apparent (esthétique) coulé en place CCTB 01.04</w:t>
      </w:r>
      <w:bookmarkEnd w:id="635"/>
    </w:p>
    <w:p w14:paraId="4D21FCAD" w14:textId="77777777" w:rsidR="00DF410E" w:rsidRDefault="00CE7F43">
      <w:pPr>
        <w:pStyle w:val="Author-eSectionHeading5"/>
      </w:pPr>
      <w:bookmarkStart w:id="636" w:name="_Toc178837816"/>
      <w:r>
        <w:t>22.12.3 Eléments de charpente de toiture préfabriqués en béton CCTB 01.04</w:t>
      </w:r>
      <w:bookmarkEnd w:id="636"/>
    </w:p>
    <w:p w14:paraId="2BE75BD4" w14:textId="77777777" w:rsidR="00DF410E" w:rsidRDefault="00CE7F43">
      <w:pPr>
        <w:pStyle w:val="Author-eSectionHeading6"/>
      </w:pPr>
      <w:bookmarkStart w:id="637" w:name="_Toc178837817"/>
      <w:r>
        <w:t>22.12.3a Pannes préfabriquées en béton armé CCTB 01.04</w:t>
      </w:r>
      <w:bookmarkEnd w:id="637"/>
    </w:p>
    <w:p w14:paraId="65BAABD4" w14:textId="77777777" w:rsidR="00DF410E" w:rsidRDefault="00CE7F43">
      <w:pPr>
        <w:pStyle w:val="Author-eSectionHeading6"/>
      </w:pPr>
      <w:bookmarkStart w:id="638" w:name="_Toc178837818"/>
      <w:r>
        <w:t>22.12.3b Pannes préfabriquées en béton précontraint CCTB 01.04</w:t>
      </w:r>
      <w:bookmarkEnd w:id="638"/>
    </w:p>
    <w:p w14:paraId="455EDFB9" w14:textId="77777777" w:rsidR="00DF410E" w:rsidRDefault="00CE7F43">
      <w:pPr>
        <w:pStyle w:val="Author-eSectionHeading6"/>
      </w:pPr>
      <w:bookmarkStart w:id="639" w:name="_Toc178837819"/>
      <w:r>
        <w:t>22.12.3c Pannes préfabriquées en béton cellulaire CCTB 01.04</w:t>
      </w:r>
      <w:bookmarkEnd w:id="639"/>
    </w:p>
    <w:p w14:paraId="63B991C6" w14:textId="77777777" w:rsidR="00DF410E" w:rsidRDefault="00CE7F43">
      <w:pPr>
        <w:pStyle w:val="Author-eSectionHeading6"/>
      </w:pPr>
      <w:bookmarkStart w:id="640" w:name="_Toc178837820"/>
      <w:r>
        <w:t>22.12.3d Chevrons autoporteurs préfabriqués en béton armé CCTB 01.04</w:t>
      </w:r>
      <w:bookmarkEnd w:id="640"/>
    </w:p>
    <w:p w14:paraId="611A4367" w14:textId="77777777" w:rsidR="00DF410E" w:rsidRDefault="00CE7F43">
      <w:pPr>
        <w:pStyle w:val="Author-eSectionHeading6"/>
      </w:pPr>
      <w:bookmarkStart w:id="641" w:name="_Toc178837821"/>
      <w:r>
        <w:t>22.12.3e Chevrons autoporteurs préfabriqués en béton précontraint CCTB 01.04</w:t>
      </w:r>
      <w:bookmarkEnd w:id="641"/>
    </w:p>
    <w:p w14:paraId="4798A487" w14:textId="77777777" w:rsidR="00DF410E" w:rsidRDefault="00CE7F43">
      <w:pPr>
        <w:pStyle w:val="Author-eSectionHeading6"/>
      </w:pPr>
      <w:bookmarkStart w:id="642" w:name="_Toc178837822"/>
      <w:r>
        <w:t>22.12.3f Chevrons autoporteurs préfabriqués en béton cellulaire CCTB 01.04</w:t>
      </w:r>
      <w:bookmarkEnd w:id="642"/>
    </w:p>
    <w:p w14:paraId="45ECAE47" w14:textId="77777777" w:rsidR="00DF410E" w:rsidRDefault="00CE7F43">
      <w:pPr>
        <w:pStyle w:val="Author-eSectionHeading6"/>
      </w:pPr>
      <w:bookmarkStart w:id="643" w:name="_Toc178837823"/>
      <w:r>
        <w:t>22.12.3g Faîtières préfabriquées en béton armé CCTB 01.04</w:t>
      </w:r>
      <w:bookmarkEnd w:id="643"/>
    </w:p>
    <w:p w14:paraId="23E6AE77" w14:textId="77777777" w:rsidR="00DF410E" w:rsidRDefault="00CE7F43">
      <w:pPr>
        <w:pStyle w:val="Author-eSectionHeading6"/>
      </w:pPr>
      <w:bookmarkStart w:id="644" w:name="_Toc178837824"/>
      <w:r>
        <w:t>22.12.3h Faîtières préfabriquées en béton précontraint CCTB 01.04</w:t>
      </w:r>
      <w:bookmarkEnd w:id="644"/>
    </w:p>
    <w:p w14:paraId="63BFC872" w14:textId="77777777" w:rsidR="00DF410E" w:rsidRDefault="00CE7F43">
      <w:pPr>
        <w:pStyle w:val="Author-eSectionHeading6"/>
      </w:pPr>
      <w:bookmarkStart w:id="645" w:name="_Toc178837825"/>
      <w:r>
        <w:t>22.12.3i Faîtières préfabriquées en béton cellulaire CCTB 01.04</w:t>
      </w:r>
      <w:bookmarkEnd w:id="645"/>
    </w:p>
    <w:p w14:paraId="4F79A69D" w14:textId="77777777" w:rsidR="00DF410E" w:rsidRDefault="00CE7F43">
      <w:pPr>
        <w:pStyle w:val="Author-eSectionHeading6"/>
      </w:pPr>
      <w:bookmarkStart w:id="646" w:name="_Toc178837826"/>
      <w:r>
        <w:t>22.12.3j Sablières préfabriquées en béton armé CCTB 01.04</w:t>
      </w:r>
      <w:bookmarkEnd w:id="646"/>
    </w:p>
    <w:p w14:paraId="08F9AFC7" w14:textId="77777777" w:rsidR="00DF410E" w:rsidRDefault="00CE7F43">
      <w:pPr>
        <w:pStyle w:val="Author-eSectionHeading6"/>
      </w:pPr>
      <w:bookmarkStart w:id="647" w:name="_Toc178837827"/>
      <w:r>
        <w:t>22.12.3k Sablières préfabriquées en béton précontraint CCTB 01.04</w:t>
      </w:r>
      <w:bookmarkEnd w:id="647"/>
    </w:p>
    <w:p w14:paraId="6DD9177E" w14:textId="77777777" w:rsidR="00DF410E" w:rsidRDefault="00CE7F43">
      <w:pPr>
        <w:pStyle w:val="Author-eSectionHeading6"/>
      </w:pPr>
      <w:bookmarkStart w:id="648" w:name="_Toc178837828"/>
      <w:r>
        <w:t>22.12.3l Sablières préfabriquées en béton cellulaire CCTB 01.04</w:t>
      </w:r>
      <w:bookmarkEnd w:id="648"/>
    </w:p>
    <w:p w14:paraId="3C673170" w14:textId="77777777" w:rsidR="00DF410E" w:rsidRDefault="00CE7F43">
      <w:pPr>
        <w:pStyle w:val="Author-eSectionHeading5"/>
      </w:pPr>
      <w:bookmarkStart w:id="649" w:name="_Toc178837829"/>
      <w:r>
        <w:t>22.12.4 Eléments de charpente de toiture préfabriqués en béton architectonique CCTB 01.04</w:t>
      </w:r>
      <w:bookmarkEnd w:id="649"/>
    </w:p>
    <w:p w14:paraId="5DE0687B" w14:textId="77777777" w:rsidR="00DF410E" w:rsidRDefault="00CE7F43">
      <w:pPr>
        <w:pStyle w:val="Author-eSectionHeading6"/>
      </w:pPr>
      <w:bookmarkStart w:id="650" w:name="_Toc178837830"/>
      <w:r>
        <w:t>22.12.4a Pannes préfabriquées en béton décoratif / architectonique CCTB 01.11</w:t>
      </w:r>
      <w:bookmarkEnd w:id="650"/>
    </w:p>
    <w:p w14:paraId="05152BE0" w14:textId="77777777" w:rsidR="00DF410E" w:rsidRDefault="00CE7F43">
      <w:pPr>
        <w:pStyle w:val="pheading"/>
      </w:pPr>
      <w:r>
        <w:t>MATÉRIAUX</w:t>
      </w:r>
    </w:p>
    <w:p w14:paraId="1840E726" w14:textId="77777777" w:rsidR="00DF410E" w:rsidRDefault="00CE7F43">
      <w:pPr>
        <w:pStyle w:val="pheading"/>
      </w:pPr>
      <w:r>
        <w:t>- Finitions</w:t>
      </w:r>
    </w:p>
    <w:p w14:paraId="0CF06E2E" w14:textId="77777777" w:rsidR="00DF410E" w:rsidRDefault="00CE7F43">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7EBF9839" w14:textId="77777777" w:rsidR="00DF410E" w:rsidRDefault="00CE7F43">
      <w:r>
        <w:t>Les éléments en béton architectoniques doivent répondre au [PTV 21-601].</w:t>
      </w:r>
    </w:p>
    <w:p w14:paraId="173FC7C8" w14:textId="77777777" w:rsidR="00DF410E" w:rsidRDefault="00CE7F43">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04E00DEA" w14:textId="77777777" w:rsidR="00DF410E" w:rsidRDefault="00CE7F43">
      <w:r>
        <w:t>Description détaillée des éléments :</w:t>
      </w:r>
    </w:p>
    <w:p w14:paraId="22827DB6" w14:textId="77777777" w:rsidR="00DF410E" w:rsidRDefault="00CE7F43">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031D6F56" w14:textId="77777777" w:rsidR="00DF410E" w:rsidRDefault="00CE7F43">
      <w:r>
        <w:rPr>
          <w:b/>
          <w:i/>
        </w:rPr>
        <w:t> (soit par défaut)</w:t>
      </w:r>
    </w:p>
    <w:p w14:paraId="1B44DCE8"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3BDB7FA2" w14:textId="77777777" w:rsidR="00DF410E" w:rsidRDefault="00CE7F43">
      <w:r>
        <w:rPr>
          <w:b/>
          <w:i/>
        </w:rPr>
        <w:t> (soit)</w:t>
      </w:r>
    </w:p>
    <w:p w14:paraId="6EBC420A" w14:textId="77777777" w:rsidR="00DF410E" w:rsidRDefault="00CE7F43">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473E71D1" w14:textId="77777777" w:rsidR="00DF410E" w:rsidRDefault="00CE7F43">
      <w:r>
        <w:rPr>
          <w:b/>
          <w:i/>
        </w:rPr>
        <w:t>(soit)</w:t>
      </w:r>
    </w:p>
    <w:p w14:paraId="41A14641" w14:textId="77777777" w:rsidR="00DF410E" w:rsidRDefault="00CE7F43">
      <w:r>
        <w:rPr>
          <w:rStyle w:val="soitChar"/>
          <w:u w:val="single"/>
        </w:rPr>
        <w:t>Suivant la couleur RAL</w:t>
      </w:r>
      <w:r>
        <w:rPr>
          <w:rStyle w:val="soitChar"/>
        </w:rPr>
        <w:t xml:space="preserve"> se rapprochant le mieux possible du RAL </w:t>
      </w:r>
      <w:r>
        <w:rPr>
          <w:rStyle w:val="optioncarChar"/>
        </w:rPr>
        <w:t>***</w:t>
      </w:r>
    </w:p>
    <w:p w14:paraId="6310F198" w14:textId="77777777" w:rsidR="00DF410E" w:rsidRDefault="00CE7F43">
      <w:r>
        <w:t> </w:t>
      </w:r>
    </w:p>
    <w:p w14:paraId="1C114716" w14:textId="77777777" w:rsidR="00DF410E" w:rsidRDefault="00CE7F43">
      <w:r>
        <w:t>2.     Texture : </w:t>
      </w:r>
      <w:r>
        <w:rPr>
          <w:rStyle w:val="optioncarChar"/>
        </w:rPr>
        <w:t>suivant échantillon disponible</w:t>
      </w:r>
      <w:r>
        <w:t> (par défaut)</w:t>
      </w:r>
      <w:r>
        <w:rPr>
          <w:rStyle w:val="optioncarChar"/>
        </w:rPr>
        <w:t> / suivant échantillons à remettre pour approbation par l'architecte</w:t>
      </w:r>
    </w:p>
    <w:p w14:paraId="5DE0DBED" w14:textId="77777777" w:rsidR="00DF410E" w:rsidRDefault="00CE7F43">
      <w:r>
        <w:rPr>
          <w:b/>
          <w:i/>
        </w:rPr>
        <w:t>(soit par défaut)</w:t>
      </w:r>
    </w:p>
    <w:p w14:paraId="1661F123"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466C7D9E" w14:textId="77777777" w:rsidR="00DF410E" w:rsidRDefault="00CE7F43">
      <w:r>
        <w:rPr>
          <w:b/>
          <w:i/>
        </w:rPr>
        <w:t>(soit)</w:t>
      </w:r>
    </w:p>
    <w:p w14:paraId="4B1BEF30" w14:textId="77777777" w:rsidR="00DF410E" w:rsidRDefault="00CE7F43">
      <w:r>
        <w:rPr>
          <w:rStyle w:val="soitChar"/>
          <w:u w:val="single"/>
        </w:rPr>
        <w:t>Echantillons à remettre pour approbation par l’architecte: </w:t>
      </w:r>
    </w:p>
    <w:p w14:paraId="09B3E7A5" w14:textId="77777777" w:rsidR="00DF410E" w:rsidRDefault="00CE7F43">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55CA6B4C" w14:textId="77777777" w:rsidR="00DF410E" w:rsidRDefault="00CE7F43">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w:t>
      </w:r>
      <w:r>
        <w:t> (par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rPr>
          <w:b/>
        </w:rPr>
        <w:t>(soit)</w:t>
      </w:r>
      <w:r>
        <w:br/>
      </w:r>
      <w:r>
        <w:rPr>
          <w:rStyle w:val="soitChar"/>
        </w:rPr>
        <w:t xml:space="preserve">3. </w:t>
      </w:r>
      <w:r>
        <w:rPr>
          <w:rStyle w:val="soitChar"/>
          <w:u w:val="single"/>
        </w:rPr>
        <w:t>vives</w:t>
      </w:r>
    </w:p>
    <w:p w14:paraId="518331F4" w14:textId="77777777" w:rsidR="00DF410E" w:rsidRDefault="00CE7F43">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31203455" w14:textId="77777777" w:rsidR="00DF410E" w:rsidRDefault="00CE7F43">
      <w:pPr>
        <w:pStyle w:val="Author-eSectionHeading6"/>
      </w:pPr>
      <w:bookmarkStart w:id="651" w:name="_Toc178837831"/>
      <w:r>
        <w:t>22.12.4b Chevrons autoporteurs préfabriqués en béton décoratif / architectonique CCTB 01.11</w:t>
      </w:r>
      <w:bookmarkEnd w:id="651"/>
    </w:p>
    <w:p w14:paraId="3B8480CA" w14:textId="77777777" w:rsidR="00DF410E" w:rsidRDefault="00CE7F43">
      <w:pPr>
        <w:pStyle w:val="pheading"/>
      </w:pPr>
      <w:r>
        <w:t>MATÉRIAUX</w:t>
      </w:r>
    </w:p>
    <w:p w14:paraId="654D8C0A" w14:textId="77777777" w:rsidR="00DF410E" w:rsidRDefault="00CE7F43">
      <w:pPr>
        <w:pStyle w:val="pheading"/>
      </w:pPr>
      <w:r>
        <w:t>- Finitions</w:t>
      </w:r>
    </w:p>
    <w:p w14:paraId="6B02407C" w14:textId="77777777" w:rsidR="00DF410E" w:rsidRDefault="00CE7F43">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5070C19E" w14:textId="77777777" w:rsidR="00DF410E" w:rsidRDefault="00CE7F43">
      <w:r>
        <w:t>Les éléments en béton architectoniques doivent répondre au [PTV 21-601].</w:t>
      </w:r>
    </w:p>
    <w:p w14:paraId="10C0ABE2" w14:textId="77777777" w:rsidR="00DF410E" w:rsidRDefault="00CE7F43">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4A8EBCA4" w14:textId="77777777" w:rsidR="00DF410E" w:rsidRDefault="00CE7F43">
      <w:r>
        <w:t>Description détaillée des éléments :</w:t>
      </w:r>
    </w:p>
    <w:p w14:paraId="60E7BA9D" w14:textId="77777777" w:rsidR="00DF410E" w:rsidRDefault="00CE7F43">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34EF0D7A" w14:textId="77777777" w:rsidR="00DF410E" w:rsidRDefault="00CE7F43">
      <w:r>
        <w:rPr>
          <w:b/>
          <w:i/>
        </w:rPr>
        <w:t> (soit par défaut)</w:t>
      </w:r>
    </w:p>
    <w:p w14:paraId="51E4BF23"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4F8575EF" w14:textId="77777777" w:rsidR="00DF410E" w:rsidRDefault="00CE7F43">
      <w:r>
        <w:rPr>
          <w:b/>
          <w:i/>
        </w:rPr>
        <w:t> (soit)</w:t>
      </w:r>
    </w:p>
    <w:p w14:paraId="4E0A31F5" w14:textId="77777777" w:rsidR="00DF410E" w:rsidRDefault="00CE7F43">
      <w:r>
        <w:rPr>
          <w:rStyle w:val="soitChar"/>
          <w:u w:val="single"/>
        </w:rPr>
        <w:t>Suivant échantillons à remettre pour approbation par l’architecte: </w:t>
      </w:r>
      <w:r>
        <w:rPr>
          <w:rStyle w:val="optioncarChar"/>
        </w:rPr>
        <w:t xml:space="preserve">gris </w:t>
      </w:r>
      <w:r>
        <w:t>(par défaut) </w:t>
      </w:r>
      <w:r>
        <w:rPr>
          <w:rStyle w:val="optioncarChar"/>
        </w:rPr>
        <w:t>/ blanc / vert / anthracite / rouge / ***</w:t>
      </w:r>
    </w:p>
    <w:p w14:paraId="782B5F90" w14:textId="77777777" w:rsidR="00DF410E" w:rsidRDefault="00CE7F43">
      <w:r>
        <w:rPr>
          <w:b/>
          <w:i/>
        </w:rPr>
        <w:t>(soit)</w:t>
      </w:r>
    </w:p>
    <w:p w14:paraId="32FE162B" w14:textId="77777777" w:rsidR="00DF410E" w:rsidRDefault="00CE7F43">
      <w:r>
        <w:rPr>
          <w:rStyle w:val="soitChar"/>
          <w:u w:val="single"/>
        </w:rPr>
        <w:t>Suivant la couleur RAL</w:t>
      </w:r>
      <w:r>
        <w:rPr>
          <w:rStyle w:val="soitChar"/>
        </w:rPr>
        <w:t xml:space="preserve"> se rapprochant le mieux que possible du RAL </w:t>
      </w:r>
      <w:r>
        <w:rPr>
          <w:rStyle w:val="optioncarChar"/>
        </w:rPr>
        <w:t>***</w:t>
      </w:r>
    </w:p>
    <w:p w14:paraId="58A53707" w14:textId="77777777" w:rsidR="00DF410E" w:rsidRDefault="00CE7F43">
      <w:r>
        <w:t> </w:t>
      </w:r>
    </w:p>
    <w:p w14:paraId="553CE55A" w14:textId="77777777" w:rsidR="00DF410E" w:rsidRDefault="00CE7F43">
      <w:r>
        <w:t>2.     Texture : </w:t>
      </w:r>
      <w:r>
        <w:rPr>
          <w:rStyle w:val="optioncarChar"/>
        </w:rPr>
        <w:t>suivant échantillon disponible</w:t>
      </w:r>
      <w:r>
        <w:t> (par défaut)</w:t>
      </w:r>
      <w:r>
        <w:rPr>
          <w:rStyle w:val="optioncarChar"/>
        </w:rPr>
        <w:t> / suivant échantillons à remettre pour approbation par l'architecte</w:t>
      </w:r>
    </w:p>
    <w:p w14:paraId="1C37976C" w14:textId="77777777" w:rsidR="00DF410E" w:rsidRDefault="00CE7F43">
      <w:r>
        <w:rPr>
          <w:b/>
          <w:i/>
        </w:rPr>
        <w:t>(soit par défaut)</w:t>
      </w:r>
    </w:p>
    <w:p w14:paraId="1BB8C907"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1B04CD43" w14:textId="77777777" w:rsidR="00DF410E" w:rsidRDefault="00CE7F43">
      <w:r>
        <w:rPr>
          <w:b/>
          <w:i/>
        </w:rPr>
        <w:t>(soit)</w:t>
      </w:r>
    </w:p>
    <w:p w14:paraId="22435444" w14:textId="77777777" w:rsidR="00DF410E" w:rsidRDefault="00CE7F43">
      <w:r>
        <w:rPr>
          <w:rStyle w:val="soitChar"/>
          <w:u w:val="single"/>
        </w:rPr>
        <w:t>Echantillons à remettre pour approbation par l’architecte: </w:t>
      </w:r>
    </w:p>
    <w:p w14:paraId="0C046EC7" w14:textId="77777777" w:rsidR="00DF410E" w:rsidRDefault="00CE7F43">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211A7301" w14:textId="77777777" w:rsidR="00DF410E" w:rsidRDefault="00CE7F43">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w:t>
      </w:r>
      <w:r>
        <w:t xml:space="preserve"> (par défaut)</w:t>
      </w:r>
      <w:r>
        <w:rPr>
          <w:rStyle w:val="optioncarChar"/>
        </w:rPr>
        <w:t> / 2,5 / ***</w:t>
      </w:r>
      <w:r>
        <w:rPr>
          <w:rStyle w:val="soitChar"/>
        </w:rPr>
        <w:t xml:space="preserve"> cm .</w:t>
      </w:r>
      <w:r>
        <w:br/>
      </w:r>
      <w:r>
        <w:rPr>
          <w:b/>
        </w:rPr>
        <w:t>(soit)</w:t>
      </w:r>
      <w:r>
        <w:br/>
      </w:r>
      <w:r>
        <w:rPr>
          <w:rStyle w:val="soitChar"/>
        </w:rPr>
        <w:t xml:space="preserve">3. </w:t>
      </w:r>
      <w:r>
        <w:rPr>
          <w:rStyle w:val="soitChar"/>
          <w:u w:val="single"/>
        </w:rPr>
        <w:t>vives</w:t>
      </w:r>
    </w:p>
    <w:p w14:paraId="0EBAB55F" w14:textId="77777777" w:rsidR="00DF410E" w:rsidRDefault="00CE7F43">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2BCCC658" w14:textId="77777777" w:rsidR="00DF410E" w:rsidRDefault="00CE7F43">
      <w:pPr>
        <w:pStyle w:val="Author-eSectionHeading6"/>
      </w:pPr>
      <w:bookmarkStart w:id="652" w:name="_Toc178837832"/>
      <w:r>
        <w:t>22.12.4c Faîtières préfabriquées en béton décoratif / architectonique CCTB 01.11</w:t>
      </w:r>
      <w:bookmarkEnd w:id="652"/>
    </w:p>
    <w:p w14:paraId="69E1E6B9" w14:textId="77777777" w:rsidR="00DF410E" w:rsidRDefault="00CE7F43">
      <w:pPr>
        <w:pStyle w:val="pheading"/>
      </w:pPr>
      <w:r>
        <w:t>MATÉRIAUX</w:t>
      </w:r>
    </w:p>
    <w:p w14:paraId="1A5D2F5C" w14:textId="77777777" w:rsidR="00DF410E" w:rsidRDefault="00CE7F43">
      <w:pPr>
        <w:pStyle w:val="pheading"/>
      </w:pPr>
      <w:r>
        <w:t>- Finitions</w:t>
      </w:r>
    </w:p>
    <w:p w14:paraId="03EEA255" w14:textId="77777777" w:rsidR="00DF410E" w:rsidRDefault="00CE7F43">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74D65C69" w14:textId="77777777" w:rsidR="00DF410E" w:rsidRDefault="00CE7F43">
      <w:r>
        <w:t>Les éléments en béton architectoniques doivent répondre au [PTV 21-601].</w:t>
      </w:r>
    </w:p>
    <w:p w14:paraId="5EA41790" w14:textId="77777777" w:rsidR="00DF410E" w:rsidRDefault="00CE7F43">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5828CD0C" w14:textId="77777777" w:rsidR="00DF410E" w:rsidRDefault="00CE7F43">
      <w:r>
        <w:t>Description détaillée des éléments :</w:t>
      </w:r>
    </w:p>
    <w:p w14:paraId="304F281E" w14:textId="77777777" w:rsidR="00DF410E" w:rsidRDefault="00CE7F43">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67C2C9CF" w14:textId="77777777" w:rsidR="00DF410E" w:rsidRDefault="00CE7F43">
      <w:r>
        <w:rPr>
          <w:b/>
          <w:i/>
        </w:rPr>
        <w:t> (soit par défaut)</w:t>
      </w:r>
    </w:p>
    <w:p w14:paraId="36C4EBE8"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3B9AF7BA" w14:textId="77777777" w:rsidR="00DF410E" w:rsidRDefault="00CE7F43">
      <w:r>
        <w:rPr>
          <w:b/>
          <w:i/>
        </w:rPr>
        <w:t> (soit)</w:t>
      </w:r>
    </w:p>
    <w:p w14:paraId="431E693F" w14:textId="77777777" w:rsidR="00DF410E" w:rsidRDefault="00CE7F43">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00B86517" w14:textId="77777777" w:rsidR="00DF410E" w:rsidRDefault="00CE7F43">
      <w:r>
        <w:rPr>
          <w:b/>
          <w:i/>
        </w:rPr>
        <w:t>(soit) </w:t>
      </w:r>
    </w:p>
    <w:p w14:paraId="3D0AD69B" w14:textId="77777777" w:rsidR="00DF410E" w:rsidRDefault="00CE7F43">
      <w:r>
        <w:rPr>
          <w:rStyle w:val="soitChar"/>
          <w:u w:val="single"/>
        </w:rPr>
        <w:t>Suivant la couleur RAL</w:t>
      </w:r>
      <w:r>
        <w:rPr>
          <w:rStyle w:val="soitChar"/>
        </w:rPr>
        <w:t xml:space="preserve"> se rapprochant le mieux que possible du RAL </w:t>
      </w:r>
      <w:r>
        <w:rPr>
          <w:rStyle w:val="optioncarChar"/>
        </w:rPr>
        <w:t>***</w:t>
      </w:r>
    </w:p>
    <w:p w14:paraId="63D7DB70" w14:textId="77777777" w:rsidR="00DF410E" w:rsidRDefault="00CE7F43">
      <w:r>
        <w:t> </w:t>
      </w:r>
    </w:p>
    <w:p w14:paraId="6B0A48E7" w14:textId="77777777" w:rsidR="00DF410E" w:rsidRDefault="00CE7F43">
      <w:r>
        <w:t>2.     Texture : </w:t>
      </w:r>
      <w:r>
        <w:rPr>
          <w:rStyle w:val="optioncarChar"/>
        </w:rPr>
        <w:t>suivant échantillon disponible</w:t>
      </w:r>
      <w:r>
        <w:t> (par défaut)</w:t>
      </w:r>
      <w:r>
        <w:rPr>
          <w:rStyle w:val="optioncarChar"/>
        </w:rPr>
        <w:t> / suivant échantillons à remettre pour approbation par l'architecte</w:t>
      </w:r>
    </w:p>
    <w:p w14:paraId="049BB15E" w14:textId="77777777" w:rsidR="00DF410E" w:rsidRDefault="00CE7F43">
      <w:r>
        <w:rPr>
          <w:b/>
          <w:i/>
        </w:rPr>
        <w:t>(soit par défaut)</w:t>
      </w:r>
    </w:p>
    <w:p w14:paraId="63F028E8"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0F5E2A3F" w14:textId="77777777" w:rsidR="00DF410E" w:rsidRDefault="00CE7F43">
      <w:r>
        <w:rPr>
          <w:b/>
          <w:i/>
        </w:rPr>
        <w:t>(soit)</w:t>
      </w:r>
    </w:p>
    <w:p w14:paraId="2A875DD3" w14:textId="77777777" w:rsidR="00DF410E" w:rsidRDefault="00CE7F43">
      <w:r>
        <w:rPr>
          <w:rStyle w:val="soitChar"/>
          <w:u w:val="single"/>
        </w:rPr>
        <w:t>Echantillons à remettre pour approbation par l’architecte: </w:t>
      </w:r>
    </w:p>
    <w:p w14:paraId="26271E34" w14:textId="77777777" w:rsidR="00DF410E" w:rsidRDefault="00CE7F43">
      <w:r>
        <w:t xml:space="preserve">La surface des éléments en béton est </w:t>
      </w:r>
      <w:r>
        <w:rPr>
          <w:rStyle w:val="optioncarChar"/>
        </w:rPr>
        <w:t>brute et lisse</w:t>
      </w:r>
      <w:r>
        <w:t> (par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45BE6D5C" w14:textId="77777777" w:rsidR="00DF410E" w:rsidRDefault="00CE7F43">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rPr>
          <w:b/>
        </w:rPr>
        <w:t>(soit)</w:t>
      </w:r>
      <w:r>
        <w:br/>
      </w:r>
      <w:r>
        <w:rPr>
          <w:rStyle w:val="soitChar"/>
        </w:rPr>
        <w:t xml:space="preserve">3. </w:t>
      </w:r>
      <w:r>
        <w:rPr>
          <w:rStyle w:val="soitChar"/>
          <w:u w:val="single"/>
        </w:rPr>
        <w:t>vives</w:t>
      </w:r>
    </w:p>
    <w:p w14:paraId="35762C4D" w14:textId="77777777" w:rsidR="00DF410E" w:rsidRDefault="00CE7F43">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118E6390" w14:textId="77777777" w:rsidR="00DF410E" w:rsidRDefault="00CE7F43">
      <w:pPr>
        <w:pStyle w:val="Author-eSectionHeading6"/>
      </w:pPr>
      <w:bookmarkStart w:id="653" w:name="_Toc178837833"/>
      <w:r>
        <w:t>22.12.4d Sablières préfabriquées en béton décoratif / architectonique CCTB 01.11</w:t>
      </w:r>
      <w:bookmarkEnd w:id="653"/>
    </w:p>
    <w:p w14:paraId="1E8E39C5" w14:textId="77777777" w:rsidR="00DF410E" w:rsidRDefault="00CE7F43">
      <w:pPr>
        <w:pStyle w:val="pheading"/>
      </w:pPr>
      <w:r>
        <w:t>MATÉRIAUX</w:t>
      </w:r>
    </w:p>
    <w:p w14:paraId="514B05B8" w14:textId="77777777" w:rsidR="00DF410E" w:rsidRDefault="00CE7F43">
      <w:pPr>
        <w:pStyle w:val="pheading"/>
      </w:pPr>
      <w:r>
        <w:t>- Finitions</w:t>
      </w:r>
    </w:p>
    <w:p w14:paraId="462744CD" w14:textId="77777777" w:rsidR="00DF410E" w:rsidRDefault="00CE7F43">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6B8747F5" w14:textId="77777777" w:rsidR="00DF410E" w:rsidRDefault="00CE7F43">
      <w:r>
        <w:t>Les éléments en béton architectoniques doivent répondre au [PTV 21-601].</w:t>
      </w:r>
    </w:p>
    <w:p w14:paraId="3FE079E4" w14:textId="77777777" w:rsidR="00DF410E" w:rsidRDefault="00CE7F43">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21B0EB48" w14:textId="77777777" w:rsidR="00DF410E" w:rsidRDefault="00CE7F43">
      <w:r>
        <w:t>Description détaillée des éléments :</w:t>
      </w:r>
    </w:p>
    <w:p w14:paraId="1B3EFFA0" w14:textId="77777777" w:rsidR="00DF410E" w:rsidRDefault="00CE7F43">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5AE16820" w14:textId="77777777" w:rsidR="00DF410E" w:rsidRDefault="00CE7F43">
      <w:r>
        <w:rPr>
          <w:b/>
          <w:i/>
        </w:rPr>
        <w:t> (soit par défaut)</w:t>
      </w:r>
    </w:p>
    <w:p w14:paraId="14648D03"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70826974" w14:textId="77777777" w:rsidR="00DF410E" w:rsidRDefault="00CE7F43">
      <w:r>
        <w:rPr>
          <w:b/>
          <w:i/>
        </w:rPr>
        <w:t> (soit)</w:t>
      </w:r>
    </w:p>
    <w:p w14:paraId="56147E47" w14:textId="77777777" w:rsidR="00DF410E" w:rsidRDefault="00CE7F43">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6B3D3C70" w14:textId="77777777" w:rsidR="00DF410E" w:rsidRDefault="00CE7F43">
      <w:r>
        <w:rPr>
          <w:b/>
          <w:i/>
        </w:rPr>
        <w:t>(soit)</w:t>
      </w:r>
    </w:p>
    <w:p w14:paraId="27447BF1" w14:textId="77777777" w:rsidR="00DF410E" w:rsidRDefault="00CE7F43">
      <w:r>
        <w:rPr>
          <w:rStyle w:val="soitChar"/>
          <w:u w:val="single"/>
        </w:rPr>
        <w:t>Suivant la couleur RAL</w:t>
      </w:r>
      <w:r>
        <w:rPr>
          <w:rStyle w:val="soitChar"/>
        </w:rPr>
        <w:t xml:space="preserve"> se rapprochant le mieux que possible du RAL </w:t>
      </w:r>
      <w:r>
        <w:rPr>
          <w:rStyle w:val="optioncarChar"/>
        </w:rPr>
        <w:t>***</w:t>
      </w:r>
    </w:p>
    <w:p w14:paraId="09538BB8" w14:textId="77777777" w:rsidR="00DF410E" w:rsidRDefault="00CE7F43">
      <w:r>
        <w:t> </w:t>
      </w:r>
    </w:p>
    <w:p w14:paraId="6523CA0A" w14:textId="77777777" w:rsidR="00DF410E" w:rsidRDefault="00CE7F43">
      <w:r>
        <w:t>2.     Texture : </w:t>
      </w:r>
      <w:r>
        <w:rPr>
          <w:rStyle w:val="optioncarChar"/>
        </w:rPr>
        <w:t>suivant échantillon disponible</w:t>
      </w:r>
      <w:r>
        <w:t> (par défaut)</w:t>
      </w:r>
      <w:r>
        <w:rPr>
          <w:rStyle w:val="optioncarChar"/>
        </w:rPr>
        <w:t> / suivant échantillons à remettre pour approbation par l'architecte</w:t>
      </w:r>
    </w:p>
    <w:p w14:paraId="290AC451" w14:textId="77777777" w:rsidR="00DF410E" w:rsidRDefault="00CE7F43">
      <w:r>
        <w:rPr>
          <w:b/>
          <w:i/>
        </w:rPr>
        <w:t>(soit par défaut)</w:t>
      </w:r>
    </w:p>
    <w:p w14:paraId="1D1A135F"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0C65E2FB" w14:textId="77777777" w:rsidR="00DF410E" w:rsidRDefault="00CE7F43">
      <w:r>
        <w:rPr>
          <w:b/>
          <w:i/>
        </w:rPr>
        <w:t>(soit)</w:t>
      </w:r>
    </w:p>
    <w:p w14:paraId="3BC164E4" w14:textId="77777777" w:rsidR="00DF410E" w:rsidRDefault="00CE7F43">
      <w:r>
        <w:rPr>
          <w:rStyle w:val="soitChar"/>
          <w:u w:val="single"/>
        </w:rPr>
        <w:t>Echantillons à remettre pour approbation par l’architecte: </w:t>
      </w:r>
    </w:p>
    <w:p w14:paraId="05485107" w14:textId="77777777" w:rsidR="00DF410E" w:rsidRDefault="00CE7F43">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425936FC" w14:textId="77777777" w:rsidR="00DF410E" w:rsidRDefault="00CE7F43">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739F3949" w14:textId="77777777" w:rsidR="00DF410E" w:rsidRDefault="00CE7F43">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w:t>
      </w:r>
    </w:p>
    <w:p w14:paraId="3E659A42" w14:textId="77777777" w:rsidR="00DF410E" w:rsidRDefault="00CE7F43">
      <w:pPr>
        <w:pStyle w:val="Author-eSectionHeading5"/>
      </w:pPr>
      <w:bookmarkStart w:id="654" w:name="_Toc178837834"/>
      <w:r>
        <w:t>22.12.5 Eléments de charpente de toiture mixtes acier-béton CCTB 01.04</w:t>
      </w:r>
      <w:bookmarkEnd w:id="654"/>
    </w:p>
    <w:p w14:paraId="5ADBAFD0" w14:textId="77777777" w:rsidR="00DF410E" w:rsidRDefault="00CE7F43">
      <w:pPr>
        <w:pStyle w:val="Author-eSectionHeading6"/>
      </w:pPr>
      <w:bookmarkStart w:id="655" w:name="_Toc178837835"/>
      <w:r>
        <w:t>22.12.5a Pannes mixtes acier-béton CCTB 01.04</w:t>
      </w:r>
      <w:bookmarkEnd w:id="655"/>
    </w:p>
    <w:p w14:paraId="38F4B699" w14:textId="77777777" w:rsidR="00DF410E" w:rsidRDefault="00CE7F43">
      <w:pPr>
        <w:pStyle w:val="Author-eSectionHeading6"/>
      </w:pPr>
      <w:bookmarkStart w:id="656" w:name="_Toc178837836"/>
      <w:r>
        <w:t>22.12.5b Chevrons autoporteurs mixtes acier-béton CCTB 01.04</w:t>
      </w:r>
      <w:bookmarkEnd w:id="656"/>
    </w:p>
    <w:p w14:paraId="1F0DE4F9" w14:textId="77777777" w:rsidR="00DF410E" w:rsidRDefault="00CE7F43">
      <w:pPr>
        <w:pStyle w:val="Author-eSectionHeading6"/>
      </w:pPr>
      <w:bookmarkStart w:id="657" w:name="_Toc178837837"/>
      <w:r>
        <w:t>22.12.5c Faîtières mixtes acier-béton CCTB 01.04</w:t>
      </w:r>
      <w:bookmarkEnd w:id="657"/>
    </w:p>
    <w:p w14:paraId="7315F2AE" w14:textId="77777777" w:rsidR="00DF410E" w:rsidRDefault="00CE7F43">
      <w:pPr>
        <w:pStyle w:val="Author-eSectionHeading6"/>
      </w:pPr>
      <w:bookmarkStart w:id="658" w:name="_Toc178837838"/>
      <w:r>
        <w:t>22.12.5d Sablières mixtes acier-béton CCTB 01.04</w:t>
      </w:r>
      <w:bookmarkEnd w:id="658"/>
    </w:p>
    <w:p w14:paraId="2C0BEF54" w14:textId="77777777" w:rsidR="00DF410E" w:rsidRDefault="00CE7F43">
      <w:pPr>
        <w:pStyle w:val="Author-eSectionHeading4"/>
      </w:pPr>
      <w:bookmarkStart w:id="659" w:name="_Toc178837839"/>
      <w:r>
        <w:t>22.13 Linteaux en béton CCTB 01.11</w:t>
      </w:r>
      <w:bookmarkEnd w:id="659"/>
    </w:p>
    <w:p w14:paraId="60E93591" w14:textId="77777777" w:rsidR="00DF410E" w:rsidRDefault="00CE7F43">
      <w:pPr>
        <w:pStyle w:val="pheading"/>
      </w:pPr>
      <w:bookmarkStart w:id="660" w:name="358"/>
      <w:bookmarkEnd w:id="660"/>
      <w:r>
        <w:t>DESCRIPTION</w:t>
      </w:r>
    </w:p>
    <w:p w14:paraId="6DB8E386" w14:textId="77777777" w:rsidR="00DF410E" w:rsidRDefault="00CE7F43">
      <w:pPr>
        <w:pStyle w:val="pheading"/>
      </w:pPr>
      <w:r>
        <w:t>- Remarques importantes</w:t>
      </w:r>
    </w:p>
    <w:p w14:paraId="68FD8270" w14:textId="77777777" w:rsidR="00DF410E" w:rsidRDefault="00CE7F43">
      <w:pPr>
        <w:jc w:val="both"/>
      </w:pPr>
      <w:r>
        <w:t>Dans les linteaux des portes et fenêtres dont la portée est supérieure à 110 cm, on prévoit aux endroits nécessaires des blochets en queue d’aronde afin de pouvoir ancrer solidement la menuiserie extérieure. Une concertation préalable avec le fabricant des châssis est nécessaire.</w:t>
      </w:r>
    </w:p>
    <w:p w14:paraId="6081FF24" w14:textId="77777777" w:rsidR="00DF410E" w:rsidRDefault="00CE7F43">
      <w:pPr>
        <w:pStyle w:val="pheading"/>
      </w:pPr>
      <w:r>
        <w:t>EXÉCUTION / MISE EN ŒUVRE</w:t>
      </w:r>
    </w:p>
    <w:p w14:paraId="7625FCF7" w14:textId="77777777" w:rsidR="00DF410E" w:rsidRDefault="00CE7F43">
      <w:pPr>
        <w:jc w:val="both"/>
      </w:pPr>
      <w:r>
        <w:t>Les linteaux sont exécutés d’aplomb, alignés et de niveau.</w:t>
      </w:r>
    </w:p>
    <w:p w14:paraId="2A66775C" w14:textId="77777777" w:rsidR="00DF410E" w:rsidRDefault="00CE7F43">
      <w:pPr>
        <w:jc w:val="both"/>
      </w:pPr>
      <w:r>
        <w:t>Avant leur mise en œuvre, les éléments sont complètement nettoyés et humidifiés. Les extrémités de l’élément reposent sur un lit en mortier de ciment.</w:t>
      </w:r>
    </w:p>
    <w:p w14:paraId="37FDBFFE" w14:textId="77777777" w:rsidR="00DF410E" w:rsidRDefault="00CE7F43">
      <w:pPr>
        <w:jc w:val="both"/>
      </w:pPr>
      <w:r>
        <w:t>Dans les maçonneries portantes, les linteaux ne peuvent pas reposer sur des blocs creux en béton léger ou en terre cuite, sauf si les creux de ces blocs ont d’abord été remplis de béton ou qu’un élément de répartition est prévu par ailleurs.</w:t>
      </w:r>
    </w:p>
    <w:p w14:paraId="1CBB3643" w14:textId="77777777" w:rsidR="00DF410E" w:rsidRDefault="00CE7F43">
      <w:pPr>
        <w:jc w:val="both"/>
      </w:pPr>
      <w:r>
        <w:t>Pour les portées supérieures à 1,20 m, un support est placé au centre pendant l’exécution.</w:t>
      </w:r>
    </w:p>
    <w:p w14:paraId="551D6AA7" w14:textId="77777777" w:rsidR="00DF410E" w:rsidRDefault="00CE7F43">
      <w:pPr>
        <w:jc w:val="both"/>
      </w:pPr>
      <w:r>
        <w:t>La longueur d’appui est ≥ à 15 cm pour une portée maximale de 150 cm. Pour les portées supérieures, l’appui est ≥ à 20 cm.</w:t>
      </w:r>
    </w:p>
    <w:p w14:paraId="649158FD" w14:textId="77777777" w:rsidR="00DF410E" w:rsidRDefault="00CE7F43">
      <w:pPr>
        <w:jc w:val="both"/>
      </w:pPr>
      <w:r>
        <w:t>Lorsque les linteaux sont intégrés dans des maçonneries mixtes, les prescriptions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14:paraId="370FD753" w14:textId="77777777" w:rsidR="00DF410E" w:rsidRDefault="00CE7F43">
      <w:pPr>
        <w:pStyle w:val="Author-eSectionHeading5"/>
      </w:pPr>
      <w:bookmarkStart w:id="661" w:name="_Toc178837840"/>
      <w:r>
        <w:t>22.13.1 Linteaux en béton CCTB 01.04</w:t>
      </w:r>
      <w:bookmarkEnd w:id="661"/>
    </w:p>
    <w:p w14:paraId="75C456D4" w14:textId="77777777" w:rsidR="00DF410E" w:rsidRDefault="00CE7F43">
      <w:pPr>
        <w:pStyle w:val="Author-eSectionHeading6"/>
      </w:pPr>
      <w:bookmarkStart w:id="662" w:name="425"/>
      <w:bookmarkStart w:id="663" w:name="_Toc178837841"/>
      <w:bookmarkEnd w:id="662"/>
      <w:r>
        <w:t>22.13.1a Linteaux en béton coulé en place CCTB 01.11</w:t>
      </w:r>
      <w:bookmarkEnd w:id="663"/>
    </w:p>
    <w:p w14:paraId="0843EE64" w14:textId="77777777" w:rsidR="00DF410E" w:rsidRDefault="00CE7F43">
      <w:pPr>
        <w:pStyle w:val="pheading"/>
      </w:pPr>
      <w:bookmarkStart w:id="664" w:name="171"/>
      <w:bookmarkEnd w:id="664"/>
      <w:r>
        <w:t>MATÉRIAUX</w:t>
      </w:r>
    </w:p>
    <w:p w14:paraId="311D310B" w14:textId="77777777" w:rsidR="00DF410E" w:rsidRDefault="00CE7F43">
      <w:pPr>
        <w:pStyle w:val="pheading"/>
      </w:pPr>
      <w:r>
        <w:t>- Caractéristiques générales</w:t>
      </w:r>
    </w:p>
    <w:p w14:paraId="47EF4E1C"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 (voir </w:t>
      </w:r>
      <w:hyperlink w:anchor="231" w:history="1">
        <w:r>
          <w:t>22.51 Armatures pour béton</w:t>
        </w:r>
      </w:hyperlink>
      <w:r>
        <w:t>)</w:t>
      </w:r>
    </w:p>
    <w:p w14:paraId="42945D37" w14:textId="77777777" w:rsidR="00DF410E" w:rsidRDefault="00CE7F43">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r>
        <w:br/>
        <w:t xml:space="preserve">Acier pour les étriers : acier </w:t>
      </w:r>
      <w:r>
        <w:rPr>
          <w:rStyle w:val="optioncarChar"/>
        </w:rPr>
        <w:t>DE 500 BS / BE 500 S</w:t>
      </w:r>
      <w:r>
        <w:br/>
      </w:r>
      <w:r>
        <w:rPr>
          <w:b/>
        </w:rPr>
        <w:t>(Soit par défaut)</w:t>
      </w:r>
      <w:r>
        <w:br/>
      </w:r>
      <w:r>
        <w:rPr>
          <w:color w:val="33CCCC"/>
        </w:rPr>
        <w:t xml:space="preserve">1. </w:t>
      </w:r>
      <w:r>
        <w:rPr>
          <w:u w:val="single"/>
        </w:rPr>
        <w:t>DE 500 BS</w:t>
      </w:r>
      <w:r>
        <w:rPr>
          <w:color w:val="33CCCC"/>
        </w:rPr>
        <w:t xml:space="preserve"> selon [NBN A 24-303] + [PTV 303].</w:t>
      </w:r>
      <w:r>
        <w:br/>
      </w:r>
      <w:r>
        <w:rPr>
          <w:b/>
        </w:rPr>
        <w:t>(Soit)</w:t>
      </w:r>
      <w:r>
        <w:br/>
      </w:r>
      <w:r>
        <w:rPr>
          <w:color w:val="33CCCC"/>
        </w:rPr>
        <w:t xml:space="preserve">2. </w:t>
      </w:r>
      <w:r>
        <w:rPr>
          <w:u w:val="single"/>
        </w:rPr>
        <w:t>BE 500 S</w:t>
      </w:r>
      <w:r>
        <w:rPr>
          <w:color w:val="33CCCC"/>
        </w:rPr>
        <w:t xml:space="preserve"> selon [NBN A 24-302] + [PTV 302].</w:t>
      </w:r>
    </w:p>
    <w:p w14:paraId="50C8E70A" w14:textId="77777777" w:rsidR="00DF410E" w:rsidRDefault="00CE7F43">
      <w:pPr>
        <w:pStyle w:val="Author-eSectionHeading6"/>
      </w:pPr>
      <w:bookmarkStart w:id="665" w:name="_Toc178837842"/>
      <w:r>
        <w:t>22.13.1b Linteaux en béton apparent (esthétique) coulé en place CCTB 01.11</w:t>
      </w:r>
      <w:bookmarkEnd w:id="665"/>
    </w:p>
    <w:p w14:paraId="46543F3A" w14:textId="77777777" w:rsidR="00DF410E" w:rsidRDefault="00CE7F43">
      <w:pPr>
        <w:pStyle w:val="pheading"/>
      </w:pPr>
      <w:bookmarkStart w:id="666" w:name="172"/>
      <w:bookmarkEnd w:id="666"/>
      <w:r>
        <w:t>MATÉRIAUX</w:t>
      </w:r>
    </w:p>
    <w:p w14:paraId="290A70AF" w14:textId="77777777" w:rsidR="00DF410E" w:rsidRDefault="00CE7F43">
      <w:pPr>
        <w:pStyle w:val="pheading"/>
      </w:pPr>
      <w:r>
        <w:t>- Finitions</w:t>
      </w:r>
    </w:p>
    <w:p w14:paraId="1091B089"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402E2BC5" w14:textId="77777777" w:rsidR="00DF410E" w:rsidRDefault="00CE7F43">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465200A7"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ZBA/4, ZBA/5 seules les caractéristiques pertinentes sont retenues)</w:t>
      </w:r>
      <w:r>
        <w:br/>
      </w:r>
    </w:p>
    <w:p w14:paraId="52EFE993" w14:textId="77777777" w:rsidR="00DF410E" w:rsidRDefault="00CE7F43">
      <w:pPr>
        <w:pStyle w:val="Author-eListParagraph"/>
        <w:numPr>
          <w:ilvl w:val="0"/>
          <w:numId w:val="37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58E07D40" w14:textId="77777777" w:rsidR="00DF410E" w:rsidRDefault="00CE7F43">
      <w:pPr>
        <w:pStyle w:val="Author-eListParagraph"/>
        <w:numPr>
          <w:ilvl w:val="0"/>
          <w:numId w:val="374"/>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3731D9B7" w14:textId="77777777" w:rsidR="00DF410E" w:rsidRDefault="00CE7F43">
      <w:pPr>
        <w:pStyle w:val="Author-eListParagraph"/>
        <w:numPr>
          <w:ilvl w:val="0"/>
          <w:numId w:val="37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0E7A16AD" w14:textId="77777777" w:rsidR="00DF410E" w:rsidRDefault="00CE7F43">
      <w:pPr>
        <w:pStyle w:val="Author-eListParagraph"/>
        <w:numPr>
          <w:ilvl w:val="0"/>
          <w:numId w:val="374"/>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7CC4B27A" w14:textId="77777777" w:rsidR="00DF410E" w:rsidRDefault="00CE7F43">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w:t>
      </w:r>
      <w:r>
        <w:t xml:space="preserve"> (par défaut) </w:t>
      </w:r>
      <w:r>
        <w:rPr>
          <w:rStyle w:val="optioncarChar"/>
        </w:rPr>
        <w:t xml:space="preserve">/ 2,5 x 2,5 / *** x *** </w:t>
      </w:r>
      <w:r>
        <w:rPr>
          <w:rStyle w:val="soitChar"/>
        </w:rPr>
        <w:t>cm²</w:t>
      </w:r>
      <w:r>
        <w:rPr>
          <w:rStyle w:val="optioncarChar"/>
        </w:rPr>
        <w:t>.</w:t>
      </w:r>
    </w:p>
    <w:p w14:paraId="20FFE50A" w14:textId="77777777" w:rsidR="00DF410E" w:rsidRDefault="00CE7F43">
      <w:pPr>
        <w:pStyle w:val="Author-eSectionHeading6"/>
      </w:pPr>
      <w:bookmarkStart w:id="667" w:name="_Toc178837843"/>
      <w:r>
        <w:t>22.13.1c Linteaux préfabriqués en béton armé CCTB 01.11</w:t>
      </w:r>
      <w:bookmarkEnd w:id="667"/>
    </w:p>
    <w:p w14:paraId="140267B5" w14:textId="77777777" w:rsidR="00DF410E" w:rsidRDefault="00CE7F43">
      <w:pPr>
        <w:pStyle w:val="pheading"/>
      </w:pPr>
      <w:bookmarkStart w:id="668" w:name="168"/>
      <w:bookmarkEnd w:id="668"/>
      <w:r>
        <w:t>DESCRIPTION</w:t>
      </w:r>
    </w:p>
    <w:p w14:paraId="3B5151A3" w14:textId="77777777" w:rsidR="00DF410E" w:rsidRDefault="00CE7F43">
      <w:pPr>
        <w:pStyle w:val="pheading"/>
      </w:pPr>
      <w:r>
        <w:t>- Définition / Comprend</w:t>
      </w:r>
    </w:p>
    <w:p w14:paraId="39B5AD9C" w14:textId="77777777" w:rsidR="00DF410E" w:rsidRDefault="00CE7F43">
      <w:pPr>
        <w:jc w:val="both"/>
      </w:pPr>
      <w:r>
        <w:t>Il s'agit de linteaux préfabriqués en béton de portée réduite à placer au-dessus des baies de portes et de fenêtres.</w:t>
      </w:r>
    </w:p>
    <w:p w14:paraId="09D219E2" w14:textId="77777777" w:rsidR="00DF410E" w:rsidRDefault="00CE7F43">
      <w:pPr>
        <w:pStyle w:val="pheading"/>
      </w:pPr>
      <w:r>
        <w:t>MATÉRIAUX</w:t>
      </w:r>
    </w:p>
    <w:p w14:paraId="5C37AF45" w14:textId="77777777" w:rsidR="00DF410E" w:rsidRDefault="00CE7F43">
      <w:pPr>
        <w:pStyle w:val="pheading"/>
      </w:pPr>
      <w:r>
        <w:t>- Caractéristiques générales</w:t>
      </w:r>
    </w:p>
    <w:p w14:paraId="5F4BBE6F" w14:textId="77777777" w:rsidR="00DF410E" w:rsidRDefault="00CE7F43">
      <w:pPr>
        <w:jc w:val="both"/>
      </w:pPr>
      <w:r>
        <w:t>Les linteaux sont constitués d’éléments préfabriqués en béton armé.</w:t>
      </w:r>
    </w:p>
    <w:p w14:paraId="77D59664" w14:textId="77777777" w:rsidR="00DF410E" w:rsidRDefault="00CE7F43">
      <w:pPr>
        <w:jc w:val="both"/>
      </w:pPr>
      <w:r>
        <w:t xml:space="preserve">Dimensions : </w:t>
      </w:r>
      <w:r>
        <w:rPr>
          <w:rStyle w:val="optioncarChar"/>
        </w:rPr>
        <w:t xml:space="preserve">voir métré et plan </w:t>
      </w:r>
      <w:r>
        <w:t>(par défaut)</w:t>
      </w:r>
      <w:r>
        <w:rPr>
          <w:rStyle w:val="optioncarChar"/>
        </w:rPr>
        <w:t xml:space="preserve"> / 9 x 19 / 14 x 19 / 19 x 19 / 14 x 29 / 19 x 29 / *** </w:t>
      </w:r>
      <w:r>
        <w:t>cm</w:t>
      </w:r>
    </w:p>
    <w:p w14:paraId="57F77403" w14:textId="77777777" w:rsidR="00DF410E" w:rsidRDefault="00CE7F43">
      <w:pPr>
        <w:jc w:val="both"/>
      </w:pPr>
      <w:r>
        <w:t>La capacité portante est spécifiée par le fabricant et la fiche technique du produit est soumise à l’approbation de la direction du chantier.</w:t>
      </w:r>
    </w:p>
    <w:p w14:paraId="4B2A7054" w14:textId="77777777" w:rsidR="00DF410E" w:rsidRDefault="00CE7F43">
      <w:pPr>
        <w:jc w:val="both"/>
      </w:pPr>
      <w:r>
        <w:t xml:space="preserve">Résistance au feu : </w:t>
      </w:r>
      <w:r>
        <w:rPr>
          <w:rStyle w:val="optioncarChar"/>
        </w:rPr>
        <w:t>R15 / R30 / R60 / R120</w:t>
      </w:r>
      <w:r>
        <w:t xml:space="preserve"> démontrée par test au feu selon la [NBN EN 13501-2] ou par calcul selon les Eurocodes conformément à l’[AM 2013-05-17].</w:t>
      </w:r>
    </w:p>
    <w:p w14:paraId="36242D2B" w14:textId="77777777" w:rsidR="00DF410E" w:rsidRDefault="00CE7F43">
      <w:pPr>
        <w:pStyle w:val="pheading"/>
      </w:pPr>
      <w:r>
        <w:t>- Finitions</w:t>
      </w:r>
    </w:p>
    <w:p w14:paraId="24E59E9E" w14:textId="77777777" w:rsidR="00DF410E" w:rsidRDefault="00CE7F43">
      <w:r>
        <w:t xml:space="preserve">Aspect de surface : </w:t>
      </w:r>
      <w:r>
        <w:rPr>
          <w:rStyle w:val="optioncarChar"/>
        </w:rPr>
        <w:t>légèrement rugueux (destinée à être plafonnée)</w:t>
      </w:r>
      <w:r>
        <w:t xml:space="preserve"> (par défaut)</w:t>
      </w:r>
      <w:r>
        <w:rPr>
          <w:rStyle w:val="optioncarChar"/>
        </w:rPr>
        <w:t xml:space="preserve"> / lisse / ***</w:t>
      </w:r>
    </w:p>
    <w:p w14:paraId="1802DEA1" w14:textId="77777777" w:rsidR="00DF410E" w:rsidRDefault="00CE7F43">
      <w:pPr>
        <w:pStyle w:val="pheading"/>
      </w:pPr>
      <w:r>
        <w:t>EXÉCUTION / MISE EN ŒUVRE</w:t>
      </w:r>
    </w:p>
    <w:p w14:paraId="4123880D" w14:textId="77777777" w:rsidR="00DF410E" w:rsidRDefault="00CE7F43">
      <w:pPr>
        <w:pStyle w:val="pheading"/>
      </w:pPr>
      <w:r>
        <w:t>- Prescriptions générales</w:t>
      </w:r>
    </w:p>
    <w:p w14:paraId="0B273218" w14:textId="77777777" w:rsidR="00DF410E" w:rsidRDefault="00CE7F43">
      <w:pPr>
        <w:jc w:val="both"/>
      </w:pPr>
      <w:r>
        <w:t>L’utilisation des linteaux préfabriqués s’effectue sous l’entière responsabilité de l’entrepreneur. Le dimensionnement des éléments est déterminé d’après</w:t>
      </w:r>
      <w:r>
        <w:rPr>
          <w:rStyle w:val="optioncarChar"/>
        </w:rPr>
        <w:t xml:space="preserve"> l’étude de stabilité / la note de calcul à soumettre</w:t>
      </w:r>
      <w:r>
        <w:t>.</w:t>
      </w:r>
    </w:p>
    <w:p w14:paraId="79B96E40" w14:textId="77777777" w:rsidR="00DF410E" w:rsidRDefault="00CE7F43">
      <w:pPr>
        <w:jc w:val="both"/>
      </w:pPr>
      <w:r>
        <w:rPr>
          <w:b/>
        </w:rPr>
        <w:t>(soit)</w:t>
      </w:r>
    </w:p>
    <w:p w14:paraId="59C77B8B" w14:textId="77777777" w:rsidR="00DF410E" w:rsidRDefault="00CE7F43">
      <w:pPr>
        <w:jc w:val="both"/>
      </w:pPr>
      <w:r>
        <w:rPr>
          <w:rStyle w:val="soitChar"/>
          <w:u w:val="single"/>
        </w:rPr>
        <w:t>Etude de stabilité :</w:t>
      </w:r>
    </w:p>
    <w:p w14:paraId="54DB6BB8" w14:textId="77777777" w:rsidR="00DF410E" w:rsidRDefault="00CE7F43">
      <w:pPr>
        <w:jc w:val="both"/>
      </w:pPr>
      <w:r>
        <w:rPr>
          <w:rStyle w:val="soitChar"/>
        </w:rPr>
        <w:t xml:space="preserve">Le type de linteau est déterminé d’après l’étude de stabilité </w:t>
      </w:r>
      <w:r>
        <w:rPr>
          <w:rStyle w:val="optioncarChar"/>
        </w:rPr>
        <w:t>annexée aux documents du marché / à charge de l’entrepreneur</w:t>
      </w:r>
      <w:r>
        <w:rPr>
          <w:rStyle w:val="soitChar"/>
        </w:rPr>
        <w:t>.</w:t>
      </w:r>
    </w:p>
    <w:p w14:paraId="00C06516" w14:textId="77777777" w:rsidR="00DF410E" w:rsidRDefault="00CE7F43">
      <w:pPr>
        <w:jc w:val="both"/>
      </w:pPr>
      <w:r>
        <w:rPr>
          <w:b/>
        </w:rPr>
        <w:t>(soit)</w:t>
      </w:r>
    </w:p>
    <w:p w14:paraId="6FF2BE67" w14:textId="77777777" w:rsidR="00DF410E" w:rsidRDefault="00CE7F43">
      <w:pPr>
        <w:jc w:val="both"/>
      </w:pPr>
      <w:r>
        <w:rPr>
          <w:rStyle w:val="soitChar"/>
          <w:u w:val="single"/>
        </w:rPr>
        <w:t>Note de calcul à soumettre :</w:t>
      </w:r>
    </w:p>
    <w:p w14:paraId="4E7F6536" w14:textId="77777777" w:rsidR="00DF410E" w:rsidRDefault="00CE7F43">
      <w:pPr>
        <w:jc w:val="both"/>
      </w:pPr>
      <w:r>
        <w:rPr>
          <w:rStyle w:val="soitChar"/>
        </w:rPr>
        <w:t>Une note de calcul établie par le bureau d’études désigné par l’entrepreneur est soumise pour approbation à l’auteur de projet, Les charges et combinaisons de charge à prendre en compte sont régies par les Eurocodes essentiellement la [NBN EN 1990] et la [NBN EN 1991 série].</w:t>
      </w:r>
    </w:p>
    <w:p w14:paraId="085AAE4C" w14:textId="77777777" w:rsidR="00DF410E" w:rsidRDefault="00CE7F43">
      <w:pPr>
        <w:pStyle w:val="pheading"/>
      </w:pPr>
      <w:r>
        <w:t>DOCUMENTS DE RÉFÉRENCE COMPLÉMENTAIRES</w:t>
      </w:r>
    </w:p>
    <w:p w14:paraId="19DD5FBF" w14:textId="77777777" w:rsidR="00DF410E" w:rsidRDefault="00CE7F43">
      <w:pPr>
        <w:pStyle w:val="pheading"/>
      </w:pPr>
      <w:r>
        <w:t>- Matériau</w:t>
      </w:r>
    </w:p>
    <w:p w14:paraId="5CAED676" w14:textId="77777777" w:rsidR="00DF410E" w:rsidRDefault="00CE7F43">
      <w:r>
        <w:t>[NBN EN 845-2:2013+A1, Spécifications pour composants accessoires de maçonnerie - Partie 2: Linteaux]</w:t>
      </w:r>
    </w:p>
    <w:p w14:paraId="3A664FEC" w14:textId="77777777" w:rsidR="00DF410E" w:rsidRDefault="00CE7F43">
      <w:pPr>
        <w:pStyle w:val="pheading"/>
      </w:pPr>
      <w:r>
        <w:t>- Exécution</w:t>
      </w:r>
    </w:p>
    <w:p w14:paraId="0214EF86" w14:textId="77777777" w:rsidR="00DF410E" w:rsidRDefault="00CE7F43">
      <w:r>
        <w:t>Appuis [STS 22 série, Maçonnerie pour constructions basses]</w:t>
      </w:r>
    </w:p>
    <w:p w14:paraId="78359289" w14:textId="77777777" w:rsidR="00DF410E" w:rsidRDefault="00CE7F43">
      <w:pPr>
        <w:pStyle w:val="pheading"/>
      </w:pPr>
      <w:r>
        <w:t>MESURAGE</w:t>
      </w:r>
    </w:p>
    <w:p w14:paraId="3A438E14" w14:textId="77777777" w:rsidR="00DF410E" w:rsidRDefault="00CE7F43">
      <w:pPr>
        <w:pStyle w:val="pheading"/>
      </w:pPr>
      <w:r>
        <w:t>- unité de mesure:</w:t>
      </w:r>
    </w:p>
    <w:p w14:paraId="4CAE6CDB" w14:textId="77777777" w:rsidR="00DF410E" w:rsidRDefault="00CE7F43">
      <w:r>
        <w:rPr>
          <w:rStyle w:val="optioncarChar"/>
        </w:rPr>
        <w:t>m³ </w:t>
      </w:r>
      <w:r>
        <w:t>(par défaut) </w:t>
      </w:r>
      <w:r>
        <w:rPr>
          <w:rStyle w:val="optioncarChar"/>
        </w:rPr>
        <w:t>/ m / pc / - </w:t>
      </w:r>
    </w:p>
    <w:p w14:paraId="5A92F45C" w14:textId="77777777" w:rsidR="00DF410E" w:rsidRDefault="00CE7F43">
      <w:r>
        <w:rPr>
          <w:b/>
        </w:rPr>
        <w:t>(soit par défaut)  </w:t>
      </w:r>
      <w:r>
        <w:br/>
      </w:r>
      <w:r>
        <w:rPr>
          <w:rStyle w:val="soitChar"/>
        </w:rPr>
        <w:t>1. m³</w:t>
      </w:r>
      <w:r>
        <w:br/>
      </w:r>
      <w:r>
        <w:rPr>
          <w:b/>
        </w:rPr>
        <w:t xml:space="preserve">(soit) </w:t>
      </w:r>
      <w:r>
        <w:br/>
      </w:r>
      <w:r>
        <w:rPr>
          <w:rStyle w:val="soitChar"/>
        </w:rPr>
        <w:t>2. m    </w:t>
      </w:r>
      <w:r>
        <w:br/>
      </w:r>
      <w:r>
        <w:rPr>
          <w:b/>
        </w:rPr>
        <w:t xml:space="preserve">(soit) </w:t>
      </w:r>
      <w:r>
        <w:br/>
      </w:r>
      <w:r>
        <w:rPr>
          <w:rStyle w:val="soitChar"/>
        </w:rPr>
        <w:t>3. pc </w:t>
      </w:r>
      <w:r>
        <w:t xml:space="preserve">    </w:t>
      </w:r>
      <w:r>
        <w:br/>
      </w:r>
      <w:r>
        <w:rPr>
          <w:b/>
        </w:rPr>
        <w:t xml:space="preserve">(soit) </w:t>
      </w:r>
      <w:r>
        <w:br/>
      </w:r>
      <w:r>
        <w:rPr>
          <w:rStyle w:val="soitChar"/>
        </w:rPr>
        <w:t>4. -     </w:t>
      </w:r>
    </w:p>
    <w:p w14:paraId="52B54F5A" w14:textId="77777777" w:rsidR="00DF410E" w:rsidRDefault="00CE7F43">
      <w:pPr>
        <w:pStyle w:val="pheading"/>
      </w:pPr>
      <w:r>
        <w:t>- code de mesurage:</w:t>
      </w:r>
    </w:p>
    <w:p w14:paraId="10B2190C" w14:textId="77777777" w:rsidR="00DF410E" w:rsidRDefault="00CE7F43">
      <w:pPr>
        <w:jc w:val="both"/>
      </w:pPr>
      <w:r>
        <w:rPr>
          <w:rStyle w:val="optioncarChar"/>
        </w:rPr>
        <w:t>Volume net</w:t>
      </w:r>
      <w:r>
        <w:t> (par défaut) </w:t>
      </w:r>
      <w:r>
        <w:rPr>
          <w:rStyle w:val="optioncarChar"/>
        </w:rPr>
        <w:t>/ Longueur nette / A la pièce / Compris </w:t>
      </w:r>
    </w:p>
    <w:p w14:paraId="1B77A3AC" w14:textId="77777777" w:rsidR="00DF410E" w:rsidRDefault="00CE7F43">
      <w:pPr>
        <w:jc w:val="both"/>
      </w:pPr>
      <w:r>
        <w:rPr>
          <w:b/>
        </w:rPr>
        <w:t>(soit par défaut)  </w:t>
      </w:r>
    </w:p>
    <w:p w14:paraId="57CECDCE" w14:textId="77777777" w:rsidR="00DF410E" w:rsidRDefault="00CE7F43">
      <w:pPr>
        <w:jc w:val="both"/>
      </w:pPr>
      <w:r>
        <w:rPr>
          <w:rStyle w:val="soitChar"/>
        </w:rPr>
        <w:t xml:space="preserve">1. </w:t>
      </w:r>
      <w:r>
        <w:rPr>
          <w:rStyle w:val="soitChar"/>
          <w:u w:val="single"/>
        </w:rPr>
        <w:t>Volume net</w:t>
      </w:r>
      <w:r>
        <w:rPr>
          <w:rStyle w:val="soitChar"/>
        </w:rPr>
        <w:t xml:space="preserve"> des éléments mis en œuvre</w:t>
      </w:r>
    </w:p>
    <w:p w14:paraId="33BA4D40" w14:textId="77777777" w:rsidR="00DF410E" w:rsidRDefault="00CE7F43">
      <w:pPr>
        <w:jc w:val="both"/>
      </w:pPr>
      <w:r>
        <w:rPr>
          <w:b/>
        </w:rPr>
        <w:t>(soit)</w:t>
      </w:r>
    </w:p>
    <w:p w14:paraId="0D325BEE" w14:textId="77777777" w:rsidR="00DF410E" w:rsidRDefault="00CE7F43">
      <w:pPr>
        <w:jc w:val="both"/>
      </w:pPr>
      <w:r>
        <w:rPr>
          <w:rStyle w:val="soitChar"/>
        </w:rPr>
        <w:t xml:space="preserve">2. </w:t>
      </w:r>
      <w:r>
        <w:rPr>
          <w:rStyle w:val="soitChar"/>
          <w:u w:val="single"/>
        </w:rPr>
        <w:t>Longueur nette</w:t>
      </w:r>
      <w:r>
        <w:rPr>
          <w:rStyle w:val="soitChar"/>
        </w:rPr>
        <w:t>, appui non compté et ventilé par section.  </w:t>
      </w:r>
    </w:p>
    <w:p w14:paraId="5FFD7E78" w14:textId="77777777" w:rsidR="00DF410E" w:rsidRDefault="00CE7F43">
      <w:pPr>
        <w:jc w:val="both"/>
      </w:pPr>
      <w:r>
        <w:rPr>
          <w:b/>
        </w:rPr>
        <w:t>(soit)</w:t>
      </w:r>
    </w:p>
    <w:p w14:paraId="1AE9A69A" w14:textId="77777777" w:rsidR="00DF410E" w:rsidRDefault="00CE7F43">
      <w:pPr>
        <w:jc w:val="both"/>
      </w:pPr>
      <w:r>
        <w:rPr>
          <w:rStyle w:val="soitChar"/>
        </w:rPr>
        <w:t xml:space="preserve">3. </w:t>
      </w:r>
      <w:r>
        <w:rPr>
          <w:rStyle w:val="soitChar"/>
          <w:u w:val="single"/>
        </w:rPr>
        <w:t>A la pièce</w:t>
      </w:r>
      <w:r>
        <w:rPr>
          <w:rStyle w:val="soitChar"/>
        </w:rPr>
        <w:t>, ventilé par élément de mêmes dimensions appui non compté.</w:t>
      </w:r>
    </w:p>
    <w:p w14:paraId="10A90FBB" w14:textId="77777777" w:rsidR="00DF410E" w:rsidRDefault="00CE7F43">
      <w:pPr>
        <w:jc w:val="both"/>
      </w:pPr>
      <w:r>
        <w:rPr>
          <w:b/>
        </w:rPr>
        <w:t>(soit)</w:t>
      </w:r>
    </w:p>
    <w:p w14:paraId="40CD2BBC" w14:textId="77777777" w:rsidR="00DF410E" w:rsidRDefault="00CE7F43">
      <w:pPr>
        <w:jc w:val="both"/>
      </w:pPr>
      <w:r>
        <w:rPr>
          <w:rStyle w:val="soitChar"/>
        </w:rPr>
        <w:t xml:space="preserve">4. </w:t>
      </w:r>
      <w:r>
        <w:rPr>
          <w:rStyle w:val="soitChar"/>
          <w:u w:val="single"/>
        </w:rPr>
        <w:t>Compris</w:t>
      </w:r>
      <w:r>
        <w:rPr>
          <w:rStyle w:val="soitChar"/>
        </w:rPr>
        <w:t xml:space="preserve"> dans le prix de la maçonnerie.     </w:t>
      </w:r>
    </w:p>
    <w:p w14:paraId="1A13AAFC" w14:textId="77777777" w:rsidR="00DF410E" w:rsidRDefault="00CE7F43">
      <w:pPr>
        <w:pStyle w:val="pheading"/>
      </w:pPr>
      <w:r>
        <w:t>- nature du marché:</w:t>
      </w:r>
    </w:p>
    <w:p w14:paraId="7F93374C" w14:textId="77777777" w:rsidR="00DF410E" w:rsidRDefault="00CE7F43">
      <w:r>
        <w:rPr>
          <w:rStyle w:val="optioncarChar"/>
        </w:rPr>
        <w:t>QF</w:t>
      </w:r>
      <w:r>
        <w:t xml:space="preserve"> (par défaut) </w:t>
      </w:r>
      <w:r>
        <w:rPr>
          <w:rStyle w:val="optioncarChar"/>
        </w:rPr>
        <w:t>/ QP / PM</w:t>
      </w:r>
    </w:p>
    <w:p w14:paraId="4DBD4FD3" w14:textId="77777777" w:rsidR="00DF410E" w:rsidRDefault="00CE7F43">
      <w:r>
        <w:rPr>
          <w:b/>
        </w:rPr>
        <w:t>(soit par défaut)  </w:t>
      </w:r>
      <w:r>
        <w:br/>
      </w:r>
      <w:r>
        <w:rPr>
          <w:rStyle w:val="soitChar"/>
        </w:rPr>
        <w:t>1.2.3. QF</w:t>
      </w:r>
      <w:r>
        <w:br/>
      </w:r>
      <w:r>
        <w:rPr>
          <w:b/>
        </w:rPr>
        <w:t xml:space="preserve">(soit) </w:t>
      </w:r>
      <w:r>
        <w:br/>
      </w:r>
      <w:r>
        <w:rPr>
          <w:rStyle w:val="soitChar"/>
        </w:rPr>
        <w:t>1.2.3. QP</w:t>
      </w:r>
      <w:r>
        <w:br/>
      </w:r>
      <w:r>
        <w:rPr>
          <w:b/>
        </w:rPr>
        <w:t xml:space="preserve">(soit) </w:t>
      </w:r>
      <w:r>
        <w:br/>
      </w:r>
      <w:r>
        <w:rPr>
          <w:rStyle w:val="soitChar"/>
        </w:rPr>
        <w:t>4. PM</w:t>
      </w:r>
    </w:p>
    <w:p w14:paraId="72AC3D2C" w14:textId="77777777" w:rsidR="00DF410E" w:rsidRDefault="00CE7F43">
      <w:pPr>
        <w:pStyle w:val="Author-eSectionHeading6"/>
      </w:pPr>
      <w:bookmarkStart w:id="669" w:name="_Toc178837844"/>
      <w:r>
        <w:t>22.13.1d Linteaux préfabriqués en béton précontraint CCTB 01.11</w:t>
      </w:r>
      <w:bookmarkEnd w:id="669"/>
    </w:p>
    <w:p w14:paraId="54B3B3EC" w14:textId="77777777" w:rsidR="00DF410E" w:rsidRDefault="00CE7F43">
      <w:pPr>
        <w:pStyle w:val="pheading"/>
      </w:pPr>
      <w:bookmarkStart w:id="670" w:name="170"/>
      <w:bookmarkEnd w:id="670"/>
      <w:r>
        <w:t>DESCRIPTION</w:t>
      </w:r>
    </w:p>
    <w:p w14:paraId="0D0A5727" w14:textId="77777777" w:rsidR="00DF410E" w:rsidRDefault="00CE7F43">
      <w:pPr>
        <w:pStyle w:val="pheading"/>
      </w:pPr>
      <w:r>
        <w:t>- Définition / Comprend</w:t>
      </w:r>
    </w:p>
    <w:p w14:paraId="60BE34A7" w14:textId="77777777" w:rsidR="00DF410E" w:rsidRDefault="00CE7F43">
      <w:r>
        <w:t>Il s'agit de tous les linteaux au-dessus des baies de portes et fenêtres réalisés en béton précontraint. Ces linteaux, de portée réduite, servent à supporter localement le mur de contre-façade ou la maçonnerie portante.</w:t>
      </w:r>
    </w:p>
    <w:p w14:paraId="7BF6E16D" w14:textId="77777777" w:rsidR="00DF410E" w:rsidRDefault="00CE7F43">
      <w:pPr>
        <w:pStyle w:val="pheading"/>
      </w:pPr>
      <w:r>
        <w:t>MATÉRIAUX</w:t>
      </w:r>
    </w:p>
    <w:p w14:paraId="49330EFA" w14:textId="77777777" w:rsidR="00DF410E" w:rsidRDefault="00CE7F43">
      <w:pPr>
        <w:pStyle w:val="pheading"/>
      </w:pPr>
      <w:r>
        <w:t>- Caractéristiques générales</w:t>
      </w:r>
    </w:p>
    <w:p w14:paraId="46D27ABD" w14:textId="77777777" w:rsidR="00DF410E" w:rsidRDefault="00CE7F43">
      <w:r>
        <w:t>Sauf dispositions spécifiques dans l’avis de l’ingénieur conseil, l’entrepreneur peut prévoir tous les linteaux de portée réduite et qui ne sont pas destinés à rester apparents en éléments préfabriqués. En fonction des matériaux de maçonnerie mis en œuvre, les linteaux sont constitués de :</w:t>
      </w:r>
    </w:p>
    <w:p w14:paraId="13BB9069" w14:textId="77777777" w:rsidR="00DF410E" w:rsidRDefault="00CE7F43">
      <w:r>
        <w:br/>
      </w:r>
      <w:r>
        <w:rPr>
          <w:b/>
        </w:rPr>
        <w:t xml:space="preserve">Choix opéré : </w:t>
      </w:r>
      <w:r>
        <w:rPr>
          <w:rStyle w:val="optioncarChar"/>
          <w:b/>
        </w:rPr>
        <w:t>*** / OPTION 1 / OPTION 2 / OPTION 3</w:t>
      </w:r>
    </w:p>
    <w:p w14:paraId="1D9FC744" w14:textId="77777777" w:rsidR="00DF410E" w:rsidRDefault="00CE7F43">
      <w:r>
        <w:rPr>
          <w:b/>
        </w:rPr>
        <w:t>***OPTION 1</w:t>
      </w:r>
      <w:r>
        <w:t xml:space="preserve"> linteaux préfabriqués en béton armé précontraint</w:t>
      </w:r>
      <w:r>
        <w:br/>
      </w:r>
      <w:r>
        <w:rPr>
          <w:b/>
        </w:rPr>
        <w:t>***OPTION 2</w:t>
      </w:r>
      <w:r>
        <w:t xml:space="preserve"> linteaux préfabriqués à l’aide d’éléments en terre cuite, en forme de U. Des barres d’acier précontraintes sont posées dans ces éléments et sont ensuite enrobées de micro-béton vibré </w:t>
      </w:r>
      <w:r>
        <w:br/>
      </w:r>
      <w:r>
        <w:rPr>
          <w:b/>
        </w:rPr>
        <w:t>***OPTION 3</w:t>
      </w:r>
      <w:r>
        <w:rPr>
          <w:rStyle w:val="optioncarChar"/>
        </w:rPr>
        <w:t>***</w:t>
      </w:r>
    </w:p>
    <w:p w14:paraId="15AC3B3F" w14:textId="77777777" w:rsidR="00DF410E" w:rsidRDefault="00CE7F43">
      <w:pPr>
        <w:pStyle w:val="heading"/>
      </w:pPr>
      <w:r>
        <w:t>Spécifications</w:t>
      </w:r>
    </w:p>
    <w:p w14:paraId="0B699491" w14:textId="77777777" w:rsidR="00DF410E" w:rsidRDefault="00CE7F43">
      <w:pPr>
        <w:pStyle w:val="Author-eListParagraph"/>
        <w:numPr>
          <w:ilvl w:val="0"/>
          <w:numId w:val="375"/>
        </w:numPr>
      </w:pPr>
      <w:r>
        <w:t>Les linteaux sont conformes à la norme [NBN EN 845-2:2013+A1]</w:t>
      </w:r>
    </w:p>
    <w:p w14:paraId="6C752663" w14:textId="77777777" w:rsidR="00DF410E" w:rsidRDefault="00CE7F43">
      <w:pPr>
        <w:pStyle w:val="Author-eListParagraph"/>
        <w:numPr>
          <w:ilvl w:val="0"/>
          <w:numId w:val="375"/>
        </w:numPr>
      </w:pPr>
      <w:r>
        <w:t>Au moins la capacité portante doit être spécifiée</w:t>
      </w:r>
    </w:p>
    <w:p w14:paraId="654E8824" w14:textId="77777777" w:rsidR="00DF410E" w:rsidRDefault="00CE7F43">
      <w:pPr>
        <w:pStyle w:val="Author-eListParagraph"/>
        <w:numPr>
          <w:ilvl w:val="0"/>
          <w:numId w:val="376"/>
        </w:numPr>
      </w:pPr>
      <w:r>
        <w:t>Dimensions : en fonction de la portée, la largeur du mur, du format des briques de terre cuite et de l’épaisseur des assises (h x l) :  </w:t>
      </w:r>
      <w:r>
        <w:rPr>
          <w:rStyle w:val="optioncarChar"/>
        </w:rPr>
        <w:t>6 x 9 </w:t>
      </w:r>
      <w:r>
        <w:t>(par défaut)</w:t>
      </w:r>
      <w:r>
        <w:rPr>
          <w:rStyle w:val="optioncarChar"/>
        </w:rPr>
        <w:t xml:space="preserve"> / 6 x 14 / 6 x 19 / *** </w:t>
      </w:r>
      <w:r>
        <w:t>cm.</w:t>
      </w:r>
    </w:p>
    <w:p w14:paraId="10C9C7BD" w14:textId="77777777" w:rsidR="00DF410E" w:rsidRDefault="00CE7F43">
      <w:pPr>
        <w:pStyle w:val="Author-eListParagraph"/>
        <w:numPr>
          <w:ilvl w:val="0"/>
          <w:numId w:val="376"/>
        </w:numPr>
      </w:pPr>
      <w:r>
        <w:t>Résistance au feu:</w:t>
      </w:r>
      <w:r>
        <w:rPr>
          <w:rStyle w:val="optioncarChar"/>
        </w:rPr>
        <w:t> R15 / R30 </w:t>
      </w:r>
      <w:r>
        <w:t>(par défaut)</w:t>
      </w:r>
      <w:r>
        <w:rPr>
          <w:rStyle w:val="optioncarChar"/>
        </w:rPr>
        <w:t xml:space="preserve"> / R60 / R120 / R ***</w:t>
      </w:r>
    </w:p>
    <w:p w14:paraId="28005E66" w14:textId="77777777" w:rsidR="00DF410E" w:rsidRDefault="00CE7F43">
      <w:pPr>
        <w:pStyle w:val="pheading"/>
      </w:pPr>
      <w:r>
        <w:t>EXÉCUTION / MISE EN ŒUVRE</w:t>
      </w:r>
    </w:p>
    <w:p w14:paraId="3132467F" w14:textId="77777777" w:rsidR="00DF410E" w:rsidRDefault="00CE7F43">
      <w:pPr>
        <w:pStyle w:val="pheading"/>
      </w:pPr>
      <w:r>
        <w:t>- Prescriptions générales</w:t>
      </w:r>
    </w:p>
    <w:p w14:paraId="70C74F00" w14:textId="77777777" w:rsidR="00DF410E" w:rsidRDefault="00DF410E"/>
    <w:p w14:paraId="292E9D2D" w14:textId="77777777" w:rsidR="00DF410E" w:rsidRDefault="00CE7F43">
      <w:pPr>
        <w:pStyle w:val="Author-eListParagraph"/>
        <w:numPr>
          <w:ilvl w:val="0"/>
          <w:numId w:val="377"/>
        </w:numPr>
      </w:pPr>
      <w:r>
        <w:t>L’utilisation des linteaux préfabriqués s’effectue sous l’entière responsabilité de l’entrepreneur.</w:t>
      </w:r>
    </w:p>
    <w:p w14:paraId="7C5089A8" w14:textId="77777777" w:rsidR="00DF410E" w:rsidRDefault="00CE7F43">
      <w:r>
        <w:rPr>
          <w:b/>
        </w:rPr>
        <w:t>Choix opéré</w:t>
      </w:r>
      <w:r>
        <w:t xml:space="preserve"> : </w:t>
      </w:r>
      <w:r>
        <w:rPr>
          <w:rStyle w:val="optioncarChar"/>
        </w:rPr>
        <w:t>OPTION 1 / OPTION 2</w:t>
      </w:r>
    </w:p>
    <w:p w14:paraId="38BDE8B8" w14:textId="77777777" w:rsidR="00DF410E" w:rsidRDefault="00CE7F43">
      <w:r>
        <w:br/>
      </w:r>
      <w:r>
        <w:rPr>
          <w:b/>
        </w:rPr>
        <w:t>***OPTION 1</w:t>
      </w:r>
      <w:r>
        <w:t xml:space="preserve"> Le type de linteau et les armatures sont déterminées d’après l’étude des bétons, ainsi que la hauteur de la zone de compression au-dessus du linteau, qu’elle soit en maçonnerie ou en béton. Cette maçonnerie présente une résistance à la compression élevée. Les joints montants de cette zone de compression sont remplis de mortier de ciment d’excellente qualité. </w:t>
      </w:r>
      <w:r>
        <w:br/>
      </w:r>
      <w:r>
        <w:rPr>
          <w:b/>
        </w:rPr>
        <w:t>***OPTION 2</w:t>
      </w:r>
      <w:r>
        <w:t xml:space="preserve"> Une note de calcul des armatures et de la hauteur totale effective est soumise pour approbation par l’entrepreneur, en n’oubliant pas que cette hauteur effective est constituée de l’élément précontraint et de la maçonnerie supérieure (zone de compression). Les sollicitations à prendre en compte sont régies par les Eurocodes essentiellement [NBN EN 1990] et [NBN EN 1996 série].</w:t>
      </w:r>
    </w:p>
    <w:p w14:paraId="6895A9E4" w14:textId="77777777" w:rsidR="00DF410E" w:rsidRDefault="00CE7F43">
      <w:r>
        <w:t> </w:t>
      </w:r>
    </w:p>
    <w:p w14:paraId="50A381DE" w14:textId="77777777" w:rsidR="00DF410E" w:rsidRDefault="00CE7F43">
      <w:pPr>
        <w:pStyle w:val="Author-eListParagraph"/>
        <w:numPr>
          <w:ilvl w:val="0"/>
          <w:numId w:val="378"/>
        </w:numPr>
      </w:pPr>
      <w:r>
        <w:t>L’entrepreneur veille à ce que les linteaux soient exécutés d’aplomb, alignés et de niveau. Pour les portées supérieures à 1,20 m , un support est placé au centre pendant l’exécution.</w:t>
      </w:r>
    </w:p>
    <w:p w14:paraId="2BBA0D06" w14:textId="77777777" w:rsidR="00DF410E" w:rsidRDefault="00CE7F43">
      <w:pPr>
        <w:pStyle w:val="Author-eListParagraph"/>
        <w:numPr>
          <w:ilvl w:val="0"/>
          <w:numId w:val="378"/>
        </w:numPr>
      </w:pPr>
      <w:r>
        <w:t xml:space="preserve">La surface d’appui des linteaux est régie par les dispositions des [STS 22 série]. </w:t>
      </w:r>
    </w:p>
    <w:p w14:paraId="1B925DD3" w14:textId="77777777" w:rsidR="00DF410E" w:rsidRDefault="00CE7F43">
      <w:pPr>
        <w:pStyle w:val="Author-eListParagraph"/>
        <w:numPr>
          <w:ilvl w:val="0"/>
          <w:numId w:val="378"/>
        </w:numPr>
      </w:pPr>
      <w:r>
        <w:t>Avant leur mise en œuvre, les éléments sont complètement nettoyés et humidifiés. Les extrémités de l’élément précontraint reposent sur un lit en mortier de ciment. Les linteaux ne peuvent pas reposer sur des blocs creux en béton léger ou en terre cuite, sauf si les creux de ces blocs ont d’abord été remplis de béton.</w:t>
      </w:r>
    </w:p>
    <w:p w14:paraId="5926156F" w14:textId="77777777" w:rsidR="00DF410E" w:rsidRDefault="00CE7F43">
      <w:pPr>
        <w:pStyle w:val="Author-eListParagraph"/>
        <w:numPr>
          <w:ilvl w:val="0"/>
          <w:numId w:val="378"/>
        </w:numPr>
      </w:pPr>
      <w:r>
        <w:t>L’appui présente au moins une largeur de 14 cm pour une portée maximale de 150 cm . Pour les portées supérieures, l’appui est d’au moins 19 cm . Le bord de l’appui reste au moins 40 mm en retrait par rapport à la battée de la baie et est toujours exécuté indépendamment du parement, sauf lorsque cela s’avère impossible selon l’étude de stabilité. Le cas échéant, lorsque les linteaux sont en contact avec le mur de parement du mur à coulisse, on prévoit un coffrage perdu isolant en plaques de polystyrène rigides et rugueuses ou en blocs d’isolation en verre cellulaire bitumé afin de prévenir les ponts thermiques.</w:t>
      </w:r>
    </w:p>
    <w:p w14:paraId="25111C7E" w14:textId="77777777" w:rsidR="00DF410E" w:rsidRDefault="00CE7F43">
      <w:pPr>
        <w:pStyle w:val="Author-eListParagraph"/>
        <w:numPr>
          <w:ilvl w:val="0"/>
          <w:numId w:val="378"/>
        </w:numPr>
      </w:pPr>
      <w:r>
        <w:t>Les recommandations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14:paraId="1C7EC719" w14:textId="77777777" w:rsidR="00DF410E" w:rsidRDefault="00CE7F43">
      <w:pPr>
        <w:pStyle w:val="Author-eListParagraph"/>
        <w:numPr>
          <w:ilvl w:val="0"/>
          <w:numId w:val="378"/>
        </w:numPr>
      </w:pPr>
      <w:r>
        <w:t>Les linteaux de portes et fenêtres dans le mur de contre-façade sont réalisés de façon telle que l’eau de condensation ou l’eau de ruissellement qui se trouve dans la coulisse du mur puisse s’écouler vers le point le plus bas d’où elle doit être évacuée vers l’extérieur (voir chap. 20). Une étanchéité sera placée au-dessus des linteaux afin que l’eau d’infiltration qui se trouve dans la coulisse puisse s’écouler vers l’extérieur.</w:t>
      </w:r>
    </w:p>
    <w:p w14:paraId="46A8BBD6" w14:textId="77777777" w:rsidR="00DF410E" w:rsidRDefault="00CE7F43">
      <w:pPr>
        <w:pStyle w:val="pheading"/>
      </w:pPr>
      <w:r>
        <w:t>MESURAGE</w:t>
      </w:r>
    </w:p>
    <w:p w14:paraId="523ACB98" w14:textId="77777777" w:rsidR="00DF410E" w:rsidRDefault="00CE7F43">
      <w:r>
        <w:t>Les linteaux de portes et fenêtres de portée réduite ne sont, en principe, pas mesurés séparément, mais sont compris dans les quantités de la maçonnerie d'élévation portante et/ou des cloisons légères.</w:t>
      </w:r>
    </w:p>
    <w:p w14:paraId="34A171AB" w14:textId="77777777" w:rsidR="00DF410E" w:rsidRDefault="00CE7F43">
      <w:pPr>
        <w:pStyle w:val="pheading"/>
      </w:pPr>
      <w:r>
        <w:t>- unité de mesure:</w:t>
      </w:r>
    </w:p>
    <w:p w14:paraId="309272BB" w14:textId="77777777" w:rsidR="00DF410E" w:rsidRDefault="00CE7F43">
      <w:r>
        <w:rPr>
          <w:b/>
        </w:rPr>
        <w:t xml:space="preserve">Choix opéré : </w:t>
      </w:r>
      <w:r>
        <w:rPr>
          <w:rStyle w:val="optioncarChar"/>
        </w:rPr>
        <w:t>OPTION 1 (m) / OPTION 2 (m³) / OPTION 3 (pce)</w:t>
      </w:r>
    </w:p>
    <w:p w14:paraId="7D483FF4" w14:textId="77777777" w:rsidR="00DF410E" w:rsidRDefault="00CE7F43">
      <w:r>
        <w:rPr>
          <w:b/>
        </w:rPr>
        <w:t xml:space="preserve">***OPTION 1: </w:t>
      </w:r>
      <w:r>
        <w:t>m</w:t>
      </w:r>
      <w:r>
        <w:br/>
      </w:r>
      <w:r>
        <w:rPr>
          <w:b/>
        </w:rPr>
        <w:t xml:space="preserve">***OPTION 2: </w:t>
      </w:r>
      <w:r>
        <w:t xml:space="preserve">m³, (y compris le béton, les armatures et le coffrage) </w:t>
      </w:r>
      <w:r>
        <w:br/>
      </w:r>
      <w:r>
        <w:rPr>
          <w:b/>
        </w:rPr>
        <w:t xml:space="preserve">***OPTION 3: </w:t>
      </w:r>
      <w:r>
        <w:t>pce, selon le type et/ ou la largeur</w:t>
      </w:r>
    </w:p>
    <w:p w14:paraId="57CA738B" w14:textId="77777777" w:rsidR="00DF410E" w:rsidRDefault="00CE7F43">
      <w:pPr>
        <w:pStyle w:val="pheading"/>
      </w:pPr>
      <w:r>
        <w:t>- code de mesurage:</w:t>
      </w:r>
    </w:p>
    <w:p w14:paraId="0CBF77BC" w14:textId="77777777" w:rsidR="00DF410E" w:rsidRDefault="00CE7F43">
      <w:r>
        <w:rPr>
          <w:b/>
        </w:rPr>
        <w:t xml:space="preserve">Choix opéré : </w:t>
      </w:r>
      <w:r>
        <w:rPr>
          <w:rStyle w:val="optioncarChar"/>
        </w:rPr>
        <w:t>OPTION 1 / OPTION 2 / OPTION 3</w:t>
      </w:r>
    </w:p>
    <w:p w14:paraId="286131C7" w14:textId="77777777" w:rsidR="00DF410E" w:rsidRDefault="00CE7F43">
      <w:r>
        <w:rPr>
          <w:b/>
        </w:rPr>
        <w:t>***OPTION 1:</w:t>
      </w:r>
      <w:r>
        <w:t xml:space="preserve"> Longueur nette des baies, appui non compté. La maçonnerie du linteau sera comptée dans la maçonnerie des murs.</w:t>
      </w:r>
      <w:r>
        <w:br/>
      </w:r>
      <w:r>
        <w:rPr>
          <w:b/>
        </w:rPr>
        <w:t>***OPTION 2:</w:t>
      </w:r>
      <w:r>
        <w:t> Les poutres dont la portée est inférieure à 150 cm ne seront pas comptées. Hauteur = la hauteur effective de la poutre sous la dalle en béton armé</w:t>
      </w:r>
      <w:r>
        <w:br/>
      </w:r>
      <w:r>
        <w:rPr>
          <w:b/>
        </w:rPr>
        <w:t>***OPTION 3:</w:t>
      </w:r>
      <w:r>
        <w:t xml:space="preserve"> Les poutres dont la portée est inférieure à 150 cm ne seront pas comptées. Largeur 14 cm dans les murs porteurs, 9 cm dans les cloisons</w:t>
      </w:r>
    </w:p>
    <w:p w14:paraId="33BF67E6" w14:textId="77777777" w:rsidR="00DF410E" w:rsidRDefault="00CE7F43">
      <w:pPr>
        <w:pStyle w:val="pheading"/>
      </w:pPr>
      <w:r>
        <w:t>- nature du marché:</w:t>
      </w:r>
    </w:p>
    <w:p w14:paraId="5101BCC5" w14:textId="77777777" w:rsidR="00DF410E" w:rsidRDefault="00CE7F43">
      <w:r>
        <w:rPr>
          <w:b/>
        </w:rPr>
        <w:t>Choix opéré :</w:t>
      </w:r>
      <w:r>
        <w:rPr>
          <w:rStyle w:val="optioncarChar"/>
        </w:rPr>
        <w:t> OPTION 1 (PM) / OPTION 2 (QF)</w:t>
      </w:r>
    </w:p>
    <w:p w14:paraId="4AB39FB7" w14:textId="77777777" w:rsidR="00DF410E" w:rsidRDefault="00CE7F43">
      <w:r>
        <w:rPr>
          <w:b/>
        </w:rPr>
        <w:t>***OPTION 1:</w:t>
      </w:r>
      <w:r>
        <w:t xml:space="preserve"> PM, compris dans le prix de la maçonnerie portante et/ou non portante.</w:t>
      </w:r>
      <w:r>
        <w:br/>
      </w:r>
      <w:r>
        <w:rPr>
          <w:b/>
        </w:rPr>
        <w:t>***OPTION 2 : </w:t>
      </w:r>
      <w:r>
        <w:t>QF</w:t>
      </w:r>
    </w:p>
    <w:p w14:paraId="68031AA0" w14:textId="77777777" w:rsidR="00DF410E" w:rsidRDefault="00CE7F43">
      <w:r>
        <w:t xml:space="preserve">Dans les autres cas, le mesurage s’effectuera conformément aux indications données dans le métré et le métré récapitulatif. Il est compté de la manière suivante : </w:t>
      </w:r>
      <w:r>
        <w:rPr>
          <w:rStyle w:val="optioncarChar"/>
        </w:rPr>
        <w:t>***</w:t>
      </w:r>
    </w:p>
    <w:p w14:paraId="5A216296" w14:textId="77777777" w:rsidR="00DF410E" w:rsidRDefault="00CE7F43">
      <w:pPr>
        <w:pStyle w:val="pheading"/>
      </w:pPr>
      <w:r>
        <w:t>AIDE</w:t>
      </w:r>
    </w:p>
    <w:p w14:paraId="4DCFF500" w14:textId="77777777" w:rsidR="00DF410E" w:rsidRDefault="00CE7F43">
      <w:r>
        <w:rPr>
          <w:i/>
          <w:u w:val="single"/>
        </w:rPr>
        <w:t>A l'attention de l'auteur de projet</w:t>
      </w:r>
    </w:p>
    <w:p w14:paraId="3DF6D90B" w14:textId="77777777" w:rsidR="00DF410E" w:rsidRDefault="00CE7F43">
      <w:r>
        <w:t>Le linteau proprement dit est constitué d’un élément préfabriqué en béton précontraint d’une hauteur d’environ 6 cm et de la maçonnerie supérieure (zone de compression) qui en fait partie intégrante. Pour les ouvrages de maçonnerie en briques de terre cuite, il est préférable d’utiliser des linteaux en terre cuite précontrainte au lieu de linteaux en béton afin de limiter au minimum les tensions dans les plans tangents.</w:t>
      </w:r>
    </w:p>
    <w:p w14:paraId="41F13EE2" w14:textId="77777777" w:rsidR="00DF410E" w:rsidRDefault="00CE7F43">
      <w:pPr>
        <w:pStyle w:val="Author-eSectionHeading6"/>
      </w:pPr>
      <w:bookmarkStart w:id="671" w:name="_Toc178837845"/>
      <w:r>
        <w:t>22.13.1e Linteaux préfabriqués en béton décoratif / architectonique CCTB 01.11</w:t>
      </w:r>
      <w:bookmarkEnd w:id="671"/>
    </w:p>
    <w:p w14:paraId="5F062D4E" w14:textId="77777777" w:rsidR="00DF410E" w:rsidRDefault="00CE7F43">
      <w:pPr>
        <w:pStyle w:val="pheading"/>
      </w:pPr>
      <w:bookmarkStart w:id="672" w:name="169"/>
      <w:bookmarkEnd w:id="672"/>
      <w:r>
        <w:t>MATÉRIAUX</w:t>
      </w:r>
    </w:p>
    <w:p w14:paraId="0B04F4F0" w14:textId="77777777" w:rsidR="00DF410E" w:rsidRDefault="00CE7F43">
      <w:pPr>
        <w:pStyle w:val="pheading"/>
      </w:pPr>
      <w:r>
        <w:t>- Finitions</w:t>
      </w:r>
    </w:p>
    <w:p w14:paraId="5835485E" w14:textId="77777777" w:rsidR="00DF410E" w:rsidRDefault="00CE7F43">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0F262C4C" w14:textId="77777777" w:rsidR="00DF410E" w:rsidRDefault="00CE7F43">
      <w:r>
        <w:t>Les éléments en béton architectoniques doivent répondre au [PTV 21-601].</w:t>
      </w:r>
    </w:p>
    <w:p w14:paraId="467E1389" w14:textId="77777777" w:rsidR="00DF410E" w:rsidRDefault="00CE7F43">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6DC043E3" w14:textId="77777777" w:rsidR="00DF410E" w:rsidRDefault="00CE7F43">
      <w:r>
        <w:t>Description détaillée des éléments :</w:t>
      </w:r>
    </w:p>
    <w:p w14:paraId="03F9427F" w14:textId="77777777" w:rsidR="00DF410E" w:rsidRDefault="00CE7F43">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0C78AC53" w14:textId="77777777" w:rsidR="00DF410E" w:rsidRDefault="00CE7F43">
      <w:r>
        <w:rPr>
          <w:b/>
          <w:i/>
        </w:rPr>
        <w:t> (soit par défaut)</w:t>
      </w:r>
    </w:p>
    <w:p w14:paraId="0C77A9BF" w14:textId="77777777" w:rsidR="00DF410E" w:rsidRDefault="00CE7F43">
      <w:r>
        <w:rPr>
          <w:rStyle w:val="soitChar"/>
          <w:u w:val="single"/>
        </w:rPr>
        <w:t>Suivant échantillon disponible</w:t>
      </w:r>
      <w:r>
        <w:t> </w:t>
      </w:r>
      <w:r>
        <w:rPr>
          <w:rStyle w:val="optioncarChar"/>
        </w:rPr>
        <w:t>auprès du bureau d’architecte / sur chantier / auprès du fabricant</w:t>
      </w:r>
    </w:p>
    <w:p w14:paraId="65B7C3B3" w14:textId="77777777" w:rsidR="00DF410E" w:rsidRDefault="00CE7F43">
      <w:r>
        <w:rPr>
          <w:b/>
          <w:i/>
        </w:rPr>
        <w:t> (soit)</w:t>
      </w:r>
    </w:p>
    <w:p w14:paraId="55DB9686" w14:textId="77777777" w:rsidR="00DF410E" w:rsidRDefault="00CE7F43">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642A6D1E" w14:textId="77777777" w:rsidR="00DF410E" w:rsidRDefault="00CE7F43">
      <w:r>
        <w:rPr>
          <w:b/>
          <w:i/>
        </w:rPr>
        <w:t>(soit)</w:t>
      </w:r>
    </w:p>
    <w:p w14:paraId="4AA8FAF4" w14:textId="77777777" w:rsidR="00DF410E" w:rsidRDefault="00CE7F43">
      <w:r>
        <w:rPr>
          <w:rStyle w:val="soitChar"/>
          <w:u w:val="single"/>
        </w:rPr>
        <w:t>Suivant la couleur RAL</w:t>
      </w:r>
      <w:r>
        <w:rPr>
          <w:rStyle w:val="soitChar"/>
        </w:rPr>
        <w:t xml:space="preserve"> se rapprochant le mieux que possible du RAL </w:t>
      </w:r>
      <w:r>
        <w:rPr>
          <w:rStyle w:val="optioncarChar"/>
        </w:rPr>
        <w:t>***</w:t>
      </w:r>
    </w:p>
    <w:p w14:paraId="4FB0416D" w14:textId="77777777" w:rsidR="00DF410E" w:rsidRDefault="00CE7F43">
      <w:r>
        <w:t> </w:t>
      </w:r>
    </w:p>
    <w:p w14:paraId="37CAC3D2" w14:textId="77777777" w:rsidR="00DF410E" w:rsidRDefault="00CE7F43">
      <w:r>
        <w:t>2.     Texture : </w:t>
      </w:r>
      <w:r>
        <w:rPr>
          <w:rStyle w:val="optioncarChar"/>
        </w:rPr>
        <w:t>suivant échantillon disponible</w:t>
      </w:r>
      <w:r>
        <w:t> (par défaut)</w:t>
      </w:r>
      <w:r>
        <w:rPr>
          <w:rStyle w:val="optioncarChar"/>
        </w:rPr>
        <w:t> / suivant échantillons à remettre pour approbation par l'architecte</w:t>
      </w:r>
    </w:p>
    <w:p w14:paraId="78C7253B" w14:textId="77777777" w:rsidR="00DF410E" w:rsidRDefault="00CE7F43">
      <w:r>
        <w:rPr>
          <w:b/>
          <w:i/>
        </w:rPr>
        <w:t>(soit par défaut)</w:t>
      </w:r>
    </w:p>
    <w:p w14:paraId="0AEC2F63" w14:textId="77777777" w:rsidR="00DF410E" w:rsidRDefault="00CE7F43">
      <w:r>
        <w:rPr>
          <w:rStyle w:val="soitChar"/>
          <w:u w:val="single"/>
        </w:rPr>
        <w:t>Suivant échantillon disponible</w:t>
      </w:r>
      <w:r>
        <w:t> </w:t>
      </w:r>
      <w:r>
        <w:rPr>
          <w:rStyle w:val="optioncarChar"/>
        </w:rPr>
        <w:t>auprès du bureau d’architecte / sur chantier / auprès du fabricant</w:t>
      </w:r>
    </w:p>
    <w:p w14:paraId="21E2B29F" w14:textId="77777777" w:rsidR="00DF410E" w:rsidRDefault="00CE7F43">
      <w:r>
        <w:rPr>
          <w:b/>
          <w:i/>
        </w:rPr>
        <w:t>(soit)</w:t>
      </w:r>
    </w:p>
    <w:p w14:paraId="10EB4672" w14:textId="77777777" w:rsidR="00DF410E" w:rsidRDefault="00CE7F43">
      <w:r>
        <w:rPr>
          <w:rStyle w:val="soitChar"/>
          <w:u w:val="single"/>
        </w:rPr>
        <w:t>Echantillons à remettre pour approbation par l’architecte: </w:t>
      </w:r>
    </w:p>
    <w:p w14:paraId="2CFA3E3C" w14:textId="77777777" w:rsidR="00DF410E" w:rsidRDefault="00CE7F43">
      <w:r>
        <w:t xml:space="preserve">La surface des éléments en béton est </w:t>
      </w:r>
      <w:r>
        <w:rPr>
          <w:rStyle w:val="optioncarChar"/>
        </w:rPr>
        <w:t>brute et lisse </w:t>
      </w:r>
      <w:r>
        <w:t xml:space="preserve">(par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17324DD4" w14:textId="77777777" w:rsidR="00DF410E" w:rsidRDefault="00CE7F43">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14:paraId="7FE0832C" w14:textId="77777777" w:rsidR="00DF410E" w:rsidRDefault="00CE7F43">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w:t>
      </w:r>
      <w:r>
        <w:t> (par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631521EC" w14:textId="77777777" w:rsidR="00DF410E" w:rsidRDefault="00CE7F43">
      <w:pPr>
        <w:pStyle w:val="Author-eSectionHeading6"/>
      </w:pPr>
      <w:bookmarkStart w:id="673" w:name="_Toc178837846"/>
      <w:r>
        <w:t>22.13.1f Linteaux préfabriqués en béton cellulaire armé CCTB 01.02</w:t>
      </w:r>
      <w:bookmarkEnd w:id="673"/>
    </w:p>
    <w:p w14:paraId="3CC34D27" w14:textId="77777777" w:rsidR="00DF410E" w:rsidRDefault="00CE7F43">
      <w:pPr>
        <w:pStyle w:val="Author-eSectionHeading5"/>
      </w:pPr>
      <w:bookmarkStart w:id="674" w:name="_Toc178837847"/>
      <w:r>
        <w:t>22.13.2 Linteaux composites (prélinteaux plats + rehausses collaborantes) CCTB 01.11</w:t>
      </w:r>
      <w:bookmarkEnd w:id="674"/>
    </w:p>
    <w:p w14:paraId="2B7392A8" w14:textId="77777777" w:rsidR="00DF410E" w:rsidRDefault="00CE7F43">
      <w:pPr>
        <w:pStyle w:val="pheading"/>
      </w:pPr>
      <w:bookmarkStart w:id="675" w:name="427"/>
      <w:bookmarkEnd w:id="675"/>
      <w:r>
        <w:t>DESCRIPTION</w:t>
      </w:r>
    </w:p>
    <w:p w14:paraId="0BCE076F" w14:textId="77777777" w:rsidR="00DF410E" w:rsidRDefault="00CE7F43">
      <w:pPr>
        <w:pStyle w:val="pheading"/>
      </w:pPr>
      <w:r>
        <w:t>- Définition / Comprend</w:t>
      </w:r>
    </w:p>
    <w:p w14:paraId="79FFDCFA" w14:textId="77777777" w:rsidR="00DF410E" w:rsidRDefault="00CE7F43">
      <w:pPr>
        <w:jc w:val="both"/>
      </w:pPr>
      <w:r>
        <w:t>Il s’agit de la fourniture et la pose de linteaux composites comprenant une partie préfabriquée (prélinteau) et un élément complémentaire réalisé en maçonnerie ou en béton (réhausse collaborante exécutée sur chantier).</w:t>
      </w:r>
    </w:p>
    <w:p w14:paraId="67CD50BD" w14:textId="77777777" w:rsidR="00DF410E" w:rsidRDefault="00CE7F43">
      <w:pPr>
        <w:pStyle w:val="pheading"/>
      </w:pPr>
      <w:r>
        <w:t>EXÉCUTION / MISE EN ŒUVRE</w:t>
      </w:r>
    </w:p>
    <w:p w14:paraId="4A9F4E7B" w14:textId="77777777" w:rsidR="00DF410E" w:rsidRDefault="00CE7F43">
      <w:pPr>
        <w:jc w:val="both"/>
      </w:pPr>
      <w:r>
        <w:t xml:space="preserve">La mise en œuvre débute par la pose d’un prélinteau plat précontraint. Elle se poursuit par la réalisation de la partie collaborante qui est constituée d’une maçonnerie décrite et comptabilisée au </w:t>
      </w:r>
      <w:hyperlink w:anchor="293" w:history="1">
        <w:r>
          <w:t>21 Superstructures en maçonnerie</w:t>
        </w:r>
      </w:hyperlink>
      <w:r>
        <w:t xml:space="preserve"> ou d’une poutre en béton armé décrite et comptée dans ce chapitre.</w:t>
      </w:r>
    </w:p>
    <w:p w14:paraId="5C92AD22" w14:textId="77777777" w:rsidR="00DF410E" w:rsidRDefault="00CE7F43">
      <w:pPr>
        <w:jc w:val="both"/>
      </w:pPr>
      <w:r>
        <w:t>Lorsque les linteaux reposent sur des blocs creux en béton léger ou en terre cuite, l’entrepreneur remplit les creux de ces blocs de béton ou insère un élément de répartition.</w:t>
      </w:r>
    </w:p>
    <w:p w14:paraId="0208D323" w14:textId="77777777" w:rsidR="00DF410E" w:rsidRDefault="00CE7F43">
      <w:pPr>
        <w:jc w:val="both"/>
      </w:pPr>
      <w:r>
        <w:t>Lorsque les linteaux sont intégrés dans des maçonneries mixtes, les prescriptions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14:paraId="27989AC4" w14:textId="77777777" w:rsidR="00DF410E" w:rsidRDefault="00CE7F43">
      <w:pPr>
        <w:pStyle w:val="pheading"/>
      </w:pPr>
      <w:r>
        <w:t>DOCUMENTS DE RÉFÉRENCE</w:t>
      </w:r>
    </w:p>
    <w:p w14:paraId="24761BC3" w14:textId="77777777" w:rsidR="00DF410E" w:rsidRDefault="00CE7F43">
      <w:pPr>
        <w:pStyle w:val="pheading"/>
      </w:pPr>
      <w:r>
        <w:t>- Matériau</w:t>
      </w:r>
    </w:p>
    <w:p w14:paraId="6213C80D" w14:textId="77777777" w:rsidR="00DF410E" w:rsidRDefault="00CE7F43">
      <w:r>
        <w:t>[NBN EN 845-2:2013+A1, Spécifications pour composants accessoires de maçonnerie - Partie 2: Linteaux]</w:t>
      </w:r>
    </w:p>
    <w:p w14:paraId="2BEE8E1D" w14:textId="77777777" w:rsidR="00DF410E" w:rsidRDefault="00CE7F43">
      <w:r>
        <w:t>Aciers précontraints :</w:t>
      </w:r>
    </w:p>
    <w:p w14:paraId="79CEBDE2" w14:textId="77777777" w:rsidR="00DF410E" w:rsidRDefault="00CE7F43">
      <w:r>
        <w:t>[NBN I 10-001, Aciers de précontrainte - Fils, torons et barres - Généralités et prescriptions communes]</w:t>
      </w:r>
    </w:p>
    <w:p w14:paraId="0B576EA8" w14:textId="77777777" w:rsidR="00DF410E" w:rsidRDefault="00CE7F43">
      <w:r>
        <w:t>[NBN I 10-002, Aciers de précontrainte - Fils tréfilés]</w:t>
      </w:r>
    </w:p>
    <w:p w14:paraId="343CD7B5" w14:textId="77777777" w:rsidR="00DF410E" w:rsidRDefault="00CE7F43">
      <w:r>
        <w:t>[NBN I 10-003, Aciers de précontrainte - Torons (avec erratum)]</w:t>
      </w:r>
    </w:p>
    <w:p w14:paraId="1D2C08D5" w14:textId="77777777" w:rsidR="00DF410E" w:rsidRDefault="00CE7F43">
      <w:r>
        <w:t>[PTV 311, Aciers de précontrainte - Torons]</w:t>
      </w:r>
    </w:p>
    <w:p w14:paraId="3D5B9132" w14:textId="77777777" w:rsidR="00DF410E" w:rsidRDefault="00CE7F43">
      <w:r>
        <w:t>[PTV 314, Aciers de précontrainte - Fils tréfilés]</w:t>
      </w:r>
    </w:p>
    <w:p w14:paraId="7CDDFF61" w14:textId="77777777" w:rsidR="00DF410E" w:rsidRDefault="00CE7F43">
      <w:pPr>
        <w:pStyle w:val="pheading"/>
      </w:pPr>
      <w:r>
        <w:t>- Exécution</w:t>
      </w:r>
    </w:p>
    <w:p w14:paraId="6B9B32BB" w14:textId="77777777" w:rsidR="00DF410E" w:rsidRDefault="00CE7F43">
      <w:r>
        <w:t>[NIT 271, Exécution des maçonneries]</w:t>
      </w:r>
    </w:p>
    <w:p w14:paraId="3BF631EF" w14:textId="77777777" w:rsidR="00DF410E" w:rsidRDefault="00CE7F43">
      <w:pPr>
        <w:pStyle w:val="Author-eSectionHeading6"/>
      </w:pPr>
      <w:bookmarkStart w:id="676" w:name="_Toc178837848"/>
      <w:r>
        <w:t>22.13.2a Prélinteaux plats préfabriqués en béton + rehausses collaborantes en maçonnerie CCTB 01.11</w:t>
      </w:r>
      <w:bookmarkEnd w:id="676"/>
    </w:p>
    <w:p w14:paraId="6EE67D5B" w14:textId="77777777" w:rsidR="00DF410E" w:rsidRDefault="00CE7F43">
      <w:pPr>
        <w:pStyle w:val="pheading"/>
      </w:pPr>
      <w:r>
        <w:t>DESCRIPTION</w:t>
      </w:r>
    </w:p>
    <w:p w14:paraId="1B63FC9A" w14:textId="77777777" w:rsidR="00DF410E" w:rsidRDefault="00CE7F43">
      <w:pPr>
        <w:pStyle w:val="pheading"/>
      </w:pPr>
      <w:r>
        <w:t>- Définition / Comprend</w:t>
      </w:r>
    </w:p>
    <w:p w14:paraId="65DE7330" w14:textId="77777777" w:rsidR="00DF410E" w:rsidRDefault="00CE7F43">
      <w:r>
        <w:t>Cet élément comprend la fourniture et la pose de linteaux composites comprenant une partie préfabriquée (prélinteau) et un élément complémentaire réalisé en maçonnerie ou en béton (réhausse collaborante exécutée sur chantier).</w:t>
      </w:r>
    </w:p>
    <w:p w14:paraId="21F5F113" w14:textId="77777777" w:rsidR="00DF410E" w:rsidRDefault="00CE7F43">
      <w:pPr>
        <w:pStyle w:val="pheading"/>
      </w:pPr>
      <w:r>
        <w:t>- Localisation</w:t>
      </w:r>
    </w:p>
    <w:p w14:paraId="732E2A4F" w14:textId="77777777" w:rsidR="00DF410E" w:rsidRDefault="00CE7F43">
      <w:r>
        <w:t xml:space="preserve">Localisation des travaux : </w:t>
      </w:r>
      <w:r>
        <w:rPr>
          <w:rStyle w:val="optioncarChar"/>
        </w:rPr>
        <w:t>***</w:t>
      </w:r>
      <w:r>
        <w:t>.</w:t>
      </w:r>
    </w:p>
    <w:p w14:paraId="4D1A12AF" w14:textId="77777777" w:rsidR="00DF410E" w:rsidRDefault="00CE7F43">
      <w:r>
        <w:t>Voir plans et métrés détaillés.</w:t>
      </w:r>
    </w:p>
    <w:p w14:paraId="7C4B9252" w14:textId="77777777" w:rsidR="00DF410E" w:rsidRDefault="00CE7F43">
      <w:pPr>
        <w:pStyle w:val="pheading"/>
      </w:pPr>
      <w:r>
        <w:t>MATÉRIAUX</w:t>
      </w:r>
    </w:p>
    <w:p w14:paraId="7A395051" w14:textId="77777777" w:rsidR="00DF410E" w:rsidRDefault="00CE7F43">
      <w:pPr>
        <w:pStyle w:val="pheading"/>
      </w:pPr>
      <w:r>
        <w:t>- Caractéristiques générales</w:t>
      </w:r>
    </w:p>
    <w:p w14:paraId="03CB2F70" w14:textId="77777777" w:rsidR="00DF410E" w:rsidRDefault="00CE7F43">
      <w:r>
        <w:rPr>
          <w:b/>
        </w:rPr>
        <w:t>Spécifications du prélinteau</w:t>
      </w:r>
    </w:p>
    <w:p w14:paraId="24E7807B" w14:textId="77777777" w:rsidR="00DF410E" w:rsidRDefault="00CE7F43">
      <w:r>
        <w:t>Dimensions du prélinteau : hauteur, largeur, longueur :  </w:t>
      </w:r>
      <w:r>
        <w:rPr>
          <w:rStyle w:val="optioncarChar"/>
        </w:rPr>
        <w:t>*** x *** x ***</w:t>
      </w:r>
      <w:r>
        <w:t xml:space="preserve"> mm.</w:t>
      </w:r>
    </w:p>
    <w:p w14:paraId="6038A947" w14:textId="77777777" w:rsidR="00DF410E" w:rsidRDefault="00CE7F43">
      <w:r>
        <w:t xml:space="preserve">Prélinteau : </w:t>
      </w:r>
      <w:r>
        <w:rPr>
          <w:rStyle w:val="optioncarChar"/>
        </w:rPr>
        <w:t>U rempli de béton </w:t>
      </w:r>
      <w:r>
        <w:t>(par défaut)</w:t>
      </w:r>
      <w:r>
        <w:rPr>
          <w:rStyle w:val="optioncarChar"/>
        </w:rPr>
        <w:t xml:space="preserve"> / ***</w:t>
      </w:r>
    </w:p>
    <w:p w14:paraId="78C2E447" w14:textId="77777777" w:rsidR="00DF410E" w:rsidRDefault="00CE7F43">
      <w:r>
        <w:t xml:space="preserve">Type de béton : </w:t>
      </w:r>
      <w:r>
        <w:rPr>
          <w:rStyle w:val="optioncarChar"/>
        </w:rPr>
        <w:t>armé</w:t>
      </w:r>
      <w:r>
        <w:t> (par défaut)</w:t>
      </w:r>
      <w:r>
        <w:rPr>
          <w:rStyle w:val="optioncarChar"/>
        </w:rPr>
        <w:t xml:space="preserve"> / précontraint</w:t>
      </w:r>
    </w:p>
    <w:p w14:paraId="67BC6FAD" w14:textId="77777777" w:rsidR="00DF410E" w:rsidRDefault="00CE7F43">
      <w:r>
        <w:t xml:space="preserve">Nature du U : </w:t>
      </w:r>
      <w:r>
        <w:rPr>
          <w:rStyle w:val="optioncarChar"/>
        </w:rPr>
        <w:t>béton cellulaire autoclavé / béton</w:t>
      </w:r>
      <w:r>
        <w:t> (par défaut)</w:t>
      </w:r>
      <w:r>
        <w:rPr>
          <w:rStyle w:val="optioncarChar"/>
        </w:rPr>
        <w:t xml:space="preserve"> / terre cuite / silico-calcaire / ***</w:t>
      </w:r>
    </w:p>
    <w:p w14:paraId="431531AA" w14:textId="77777777" w:rsidR="00DF410E" w:rsidRDefault="00CE7F43">
      <w:r>
        <w:t xml:space="preserve">Masse : </w:t>
      </w:r>
      <w:r>
        <w:rPr>
          <w:rStyle w:val="optioncarChar"/>
        </w:rPr>
        <w:t>***</w:t>
      </w:r>
    </w:p>
    <w:p w14:paraId="1F1F1D3A" w14:textId="77777777" w:rsidR="00DF410E" w:rsidRDefault="00CE7F43">
      <w:r>
        <w:t>Masse par unité de surface :</w:t>
      </w:r>
      <w:r>
        <w:rPr>
          <w:rStyle w:val="optioncarChar"/>
        </w:rPr>
        <w:t xml:space="preserve"> ***</w:t>
      </w:r>
    </w:p>
    <w:p w14:paraId="07B10514" w14:textId="77777777" w:rsidR="00DF410E" w:rsidRDefault="00CE7F43">
      <w:r>
        <w:t xml:space="preserve">Longueur d’encastrement minimale : </w:t>
      </w:r>
      <w:r>
        <w:rPr>
          <w:rStyle w:val="optioncarChar"/>
        </w:rPr>
        <w:t xml:space="preserve">100 </w:t>
      </w:r>
      <w:r>
        <w:t>(par défaut)</w:t>
      </w:r>
      <w:r>
        <w:rPr>
          <w:rStyle w:val="optioncarChar"/>
        </w:rPr>
        <w:t xml:space="preserve"> / 150 / 200 / ***</w:t>
      </w:r>
      <w:r>
        <w:t xml:space="preserve"> mm</w:t>
      </w:r>
    </w:p>
    <w:p w14:paraId="2D1C7CED" w14:textId="77777777" w:rsidR="00DF410E" w:rsidRDefault="00CE7F43">
      <w:r>
        <w:t xml:space="preserve">Propriétés thermiques : </w:t>
      </w:r>
      <w:r>
        <w:rPr>
          <w:rStyle w:val="optioncarChar"/>
        </w:rPr>
        <w:t>***</w:t>
      </w:r>
    </w:p>
    <w:p w14:paraId="38F14D77" w14:textId="77777777" w:rsidR="00DF410E" w:rsidRDefault="00CE7F43">
      <w:r>
        <w:t xml:space="preserve">Résistance au feu : </w:t>
      </w:r>
      <w:r>
        <w:rPr>
          <w:rStyle w:val="optioncarChar"/>
        </w:rPr>
        <w:t>***</w:t>
      </w:r>
    </w:p>
    <w:p w14:paraId="1C359F01" w14:textId="77777777" w:rsidR="00DF410E" w:rsidRDefault="00CE7F43">
      <w:r>
        <w:t xml:space="preserve">Résistance au gel : </w:t>
      </w:r>
      <w:r>
        <w:rPr>
          <w:rStyle w:val="optioncarChar"/>
        </w:rPr>
        <w:t>***</w:t>
      </w:r>
    </w:p>
    <w:p w14:paraId="5021BBDC" w14:textId="77777777" w:rsidR="00DF410E" w:rsidRDefault="00CE7F43">
      <w:r>
        <w:t xml:space="preserve">Absorption d’eau : </w:t>
      </w:r>
      <w:r>
        <w:rPr>
          <w:rStyle w:val="optioncarChar"/>
        </w:rPr>
        <w:t>***</w:t>
      </w:r>
    </w:p>
    <w:p w14:paraId="3930C03D" w14:textId="77777777" w:rsidR="00DF410E" w:rsidRDefault="00CE7F43">
      <w:r>
        <w:t xml:space="preserve">Perméabilité à la vapeur d’eau : </w:t>
      </w:r>
      <w:r>
        <w:rPr>
          <w:rStyle w:val="optioncarChar"/>
        </w:rPr>
        <w:t xml:space="preserve">*** </w:t>
      </w:r>
    </w:p>
    <w:p w14:paraId="1E4BAB6B" w14:textId="77777777" w:rsidR="00DF410E" w:rsidRDefault="00CE7F43">
      <w:r>
        <w:t>Les performances  mécaniques (charge admissible, résistance à la flexion, flèche à court terme) requises sont décrites dans le cahier spécial des charges.</w:t>
      </w:r>
    </w:p>
    <w:p w14:paraId="57FBF7BE" w14:textId="77777777" w:rsidR="00DF410E" w:rsidRDefault="00DF410E"/>
    <w:p w14:paraId="785C25FC" w14:textId="77777777" w:rsidR="00DF410E" w:rsidRDefault="00CE7F43">
      <w:r>
        <w:rPr>
          <w:b/>
        </w:rPr>
        <w:t>Spécification de la réhausse collaborante</w:t>
      </w:r>
    </w:p>
    <w:p w14:paraId="022A3F51" w14:textId="77777777" w:rsidR="00DF410E" w:rsidRDefault="00CE7F43">
      <w:r>
        <w:t xml:space="preserve">La réhausse collaborante est réalisée en </w:t>
      </w:r>
      <w:r>
        <w:rPr>
          <w:rStyle w:val="optioncarChar"/>
        </w:rPr>
        <w:t>maçonnerie </w:t>
      </w:r>
      <w:r>
        <w:t>(par défaut)</w:t>
      </w:r>
      <w:r>
        <w:rPr>
          <w:rStyle w:val="optioncarChar"/>
        </w:rPr>
        <w:t xml:space="preserve"> / béton</w:t>
      </w:r>
      <w:r>
        <w:t>.</w:t>
      </w:r>
    </w:p>
    <w:p w14:paraId="29CBC930" w14:textId="77777777" w:rsidR="00DF410E" w:rsidRDefault="00CE7F43">
      <w:r>
        <w:t>La maçonnerie collaborante est décrite et comptabilisée dans les éléments 21.1, 21.2 et 21.3.</w:t>
      </w:r>
    </w:p>
    <w:p w14:paraId="09F20A37" w14:textId="77777777" w:rsidR="00DF410E" w:rsidRDefault="00CE7F43">
      <w:r>
        <w:t xml:space="preserve">Le béton collaborant est décrit en </w:t>
      </w:r>
      <w:hyperlink w:anchor="418" w:history="1">
        <w:r>
          <w:t>22.16.1a Parois en béton armé coulé en place</w:t>
        </w:r>
      </w:hyperlink>
    </w:p>
    <w:p w14:paraId="257E86F2" w14:textId="77777777" w:rsidR="00DF410E" w:rsidRDefault="00CE7F43">
      <w:pPr>
        <w:pStyle w:val="pheading"/>
      </w:pPr>
      <w:r>
        <w:t>EXÉCUTION / MISE EN ŒUVRE</w:t>
      </w:r>
    </w:p>
    <w:p w14:paraId="020BB6C7" w14:textId="77777777" w:rsidR="00DF410E" w:rsidRDefault="00CE7F43">
      <w:pPr>
        <w:pStyle w:val="pheading"/>
      </w:pPr>
      <w:r>
        <w:t>- Prescriptions générales</w:t>
      </w:r>
    </w:p>
    <w:p w14:paraId="166FA100" w14:textId="77777777" w:rsidR="00DF410E" w:rsidRDefault="00CE7F43">
      <w:r>
        <w:t xml:space="preserve">L’étude de stabilité </w:t>
      </w:r>
      <w:r>
        <w:rPr>
          <w:rStyle w:val="optioncarChar"/>
        </w:rPr>
        <w:t>est / n’est pas</w:t>
      </w:r>
      <w:r>
        <w:t xml:space="preserve"> à charge de l’entrepreneur.</w:t>
      </w:r>
    </w:p>
    <w:p w14:paraId="53803306" w14:textId="77777777" w:rsidR="00DF410E" w:rsidRDefault="00CE7F43">
      <w:r>
        <w:t xml:space="preserve">Le linteau est posé à niveau sur un lit de mortier </w:t>
      </w:r>
      <w:r>
        <w:rPr>
          <w:rStyle w:val="optioncarChar"/>
        </w:rPr>
        <w:t>M10 / M15 / M20</w:t>
      </w:r>
      <w:r>
        <w:t>.</w:t>
      </w:r>
    </w:p>
    <w:p w14:paraId="78325C98" w14:textId="77777777" w:rsidR="00DF410E" w:rsidRDefault="00CE7F43">
      <w:r>
        <w:t>La hauteur de la réhausse est fonction de la charge utile.</w:t>
      </w:r>
    </w:p>
    <w:p w14:paraId="3F17373E" w14:textId="77777777" w:rsidR="00DF410E" w:rsidRDefault="00CE7F43">
      <w:pPr>
        <w:pStyle w:val="pheading"/>
      </w:pPr>
      <w:r>
        <w:t>MESURAGE</w:t>
      </w:r>
    </w:p>
    <w:p w14:paraId="78AF2175" w14:textId="77777777" w:rsidR="00DF410E" w:rsidRDefault="00CE7F43">
      <w:pPr>
        <w:pStyle w:val="pheading"/>
      </w:pPr>
      <w:r>
        <w:t>- unité de mesure:</w:t>
      </w:r>
    </w:p>
    <w:p w14:paraId="71A380D5" w14:textId="77777777" w:rsidR="00DF410E" w:rsidRDefault="00CE7F43">
      <w:r>
        <w:rPr>
          <w:rStyle w:val="optioncarChar"/>
        </w:rPr>
        <w:t xml:space="preserve">- </w:t>
      </w:r>
      <w:r>
        <w:t xml:space="preserve">(par défaut) </w:t>
      </w:r>
      <w:r>
        <w:rPr>
          <w:rStyle w:val="optioncarChar"/>
        </w:rPr>
        <w:t>/ m</w:t>
      </w:r>
    </w:p>
    <w:p w14:paraId="28926AFC" w14:textId="77777777" w:rsidR="00DF410E" w:rsidRDefault="00CE7F43">
      <w:pPr>
        <w:pStyle w:val="pheading"/>
      </w:pPr>
      <w:r>
        <w:t>- code de mesurage:</w:t>
      </w:r>
    </w:p>
    <w:p w14:paraId="141F05EA" w14:textId="77777777" w:rsidR="00DF410E" w:rsidRDefault="00CE7F43">
      <w:r>
        <w:rPr>
          <w:rStyle w:val="optioncarChar"/>
        </w:rPr>
        <w:t>Comptabilisé dans la maçonnerie / calculé par m de linteau selon la largeur du mur</w:t>
      </w:r>
    </w:p>
    <w:p w14:paraId="0532969D" w14:textId="77777777" w:rsidR="00DF410E" w:rsidRDefault="00CE7F43">
      <w:pPr>
        <w:pStyle w:val="pheading"/>
      </w:pPr>
      <w:r>
        <w:t>- nature du marché:</w:t>
      </w:r>
    </w:p>
    <w:p w14:paraId="00C8A5C8" w14:textId="77777777" w:rsidR="00DF410E" w:rsidRDefault="00CE7F43">
      <w:r>
        <w:rPr>
          <w:rStyle w:val="optioncarChar"/>
        </w:rPr>
        <w:t>QF / QP / PM</w:t>
      </w:r>
      <w:r>
        <w:t xml:space="preserve"> (par défaut)</w:t>
      </w:r>
    </w:p>
    <w:p w14:paraId="2C8CAB98" w14:textId="77777777" w:rsidR="00DF410E" w:rsidRDefault="00CE7F43">
      <w:pPr>
        <w:pStyle w:val="Author-eSectionHeading6"/>
      </w:pPr>
      <w:bookmarkStart w:id="677" w:name="_Toc178837849"/>
      <w:r>
        <w:t>22.13.2b Prélinteaux plats préfabriqués en béton + rehausses collaborantes en béton coulé en place CCTB 01.10</w:t>
      </w:r>
      <w:bookmarkEnd w:id="677"/>
    </w:p>
    <w:p w14:paraId="2B9FBA11" w14:textId="77777777" w:rsidR="00DF410E" w:rsidRDefault="00CE7F43">
      <w:pPr>
        <w:pStyle w:val="Author-eSectionHeading6"/>
      </w:pPr>
      <w:bookmarkStart w:id="678" w:name="_Toc178837850"/>
      <w:r>
        <w:t>22.13.2c Prélinteaux plats en béton précontraint + rehausses collaborantes en maçonnerie CCTB 01.10</w:t>
      </w:r>
      <w:bookmarkEnd w:id="678"/>
    </w:p>
    <w:p w14:paraId="29B1E6F8" w14:textId="77777777" w:rsidR="00DF410E" w:rsidRDefault="00CE7F43">
      <w:pPr>
        <w:pStyle w:val="Author-eSectionHeading6"/>
      </w:pPr>
      <w:bookmarkStart w:id="679" w:name="_Toc178837851"/>
      <w:r>
        <w:t>22.13.2d Prélinteaux plats en béton précontraint enrobé de terre cuite + rehausses collaborantes en maçonnerie CCTB 01.10</w:t>
      </w:r>
      <w:bookmarkEnd w:id="679"/>
    </w:p>
    <w:p w14:paraId="28F6908C" w14:textId="77777777" w:rsidR="00DF410E" w:rsidRDefault="00CE7F43">
      <w:pPr>
        <w:pStyle w:val="Author-eSectionHeading6"/>
      </w:pPr>
      <w:bookmarkStart w:id="680" w:name="_Toc178837852"/>
      <w:r>
        <w:t>22.13.2e Prélinteaux plats en béton précontraint enrobé de terre cuite + rehausses collaborantes en béton coulé en place CCTB 01.10</w:t>
      </w:r>
      <w:bookmarkEnd w:id="680"/>
    </w:p>
    <w:p w14:paraId="161421E4" w14:textId="77777777" w:rsidR="00DF410E" w:rsidRDefault="00CE7F43">
      <w:pPr>
        <w:pStyle w:val="Author-eSectionHeading6"/>
      </w:pPr>
      <w:bookmarkStart w:id="681" w:name="_Toc178837853"/>
      <w:r>
        <w:t>22.13.2f Prélinteaux plats en silico-calcaire et béton + rehausses collaborantes en maçonnerie CCTB 01.11</w:t>
      </w:r>
      <w:bookmarkEnd w:id="681"/>
    </w:p>
    <w:p w14:paraId="1D64ED8D" w14:textId="77777777" w:rsidR="00DF410E" w:rsidRDefault="00CE7F43">
      <w:pPr>
        <w:pStyle w:val="pheading"/>
      </w:pPr>
      <w:r>
        <w:t>DESCRIPTION</w:t>
      </w:r>
    </w:p>
    <w:p w14:paraId="43FA0184" w14:textId="77777777" w:rsidR="00DF410E" w:rsidRDefault="00CE7F43">
      <w:pPr>
        <w:pStyle w:val="pheading"/>
      </w:pPr>
      <w:r>
        <w:t>- Définition / Comprend</w:t>
      </w:r>
    </w:p>
    <w:p w14:paraId="69190B7E" w14:textId="77777777" w:rsidR="00DF410E" w:rsidRDefault="00CE7F43">
      <w:pPr>
        <w:jc w:val="both"/>
      </w:pPr>
      <w:r>
        <w:t>Il s’agit de la fourniture et la pose de linteaux composites comprenant une partie préfabriquée enrobée de terre cuite (prélinteau) et un élément complémentaire réalisé en béton armé (réhausse collaborante exécutée sur chantier).</w:t>
      </w:r>
    </w:p>
    <w:p w14:paraId="00DABD8A" w14:textId="77777777" w:rsidR="00DF410E" w:rsidRDefault="00CE7F43">
      <w:pPr>
        <w:pStyle w:val="pheading"/>
      </w:pPr>
      <w:r>
        <w:t>MATÉRIAUX</w:t>
      </w:r>
    </w:p>
    <w:p w14:paraId="62A605A9" w14:textId="77777777" w:rsidR="00DF410E" w:rsidRDefault="00CE7F43">
      <w:pPr>
        <w:pStyle w:val="pheading"/>
      </w:pPr>
      <w:r>
        <w:t>- Caractéristiques générales</w:t>
      </w:r>
    </w:p>
    <w:p w14:paraId="16341CE2" w14:textId="77777777" w:rsidR="00DF410E" w:rsidRDefault="00CE7F43">
      <w:pPr>
        <w:jc w:val="both"/>
      </w:pPr>
      <w:r>
        <w:rPr>
          <w:b/>
        </w:rPr>
        <w:t xml:space="preserve">Linteau préfabriqué </w:t>
      </w:r>
    </w:p>
    <w:p w14:paraId="6844CC09" w14:textId="77777777" w:rsidR="00DF410E" w:rsidRDefault="00CE7F43">
      <w:pPr>
        <w:jc w:val="both"/>
      </w:pPr>
      <w:r>
        <w:t>La partie préfabriquée est constituée d’un linteau en béton précontraint enrobé de terre cuite.</w:t>
      </w:r>
    </w:p>
    <w:p w14:paraId="32546F7B" w14:textId="77777777" w:rsidR="00DF410E" w:rsidRDefault="00CE7F43">
      <w:pPr>
        <w:pStyle w:val="Author-eListParagraph"/>
        <w:numPr>
          <w:ilvl w:val="0"/>
          <w:numId w:val="379"/>
        </w:numPr>
      </w:pPr>
      <w:r>
        <w:t xml:space="preserve">Dimensions : </w:t>
      </w:r>
      <w:r>
        <w:rPr>
          <w:rStyle w:val="optioncarChar"/>
        </w:rPr>
        <w:t>voir métré et plan</w:t>
      </w:r>
      <w:r>
        <w:t xml:space="preserve"> (par défaut)</w:t>
      </w:r>
      <w:r>
        <w:rPr>
          <w:rStyle w:val="optioncarChar"/>
        </w:rPr>
        <w:t xml:space="preserve"> / 9 x 6 / 12 x 6 / 14 x 6 / 19 x 6 / ***</w:t>
      </w:r>
      <w:r>
        <w:t xml:space="preserve"> cm</w:t>
      </w:r>
    </w:p>
    <w:p w14:paraId="6C457EF9" w14:textId="77777777" w:rsidR="00DF410E" w:rsidRDefault="00CE7F43">
      <w:pPr>
        <w:pStyle w:val="Author-eListParagraph"/>
        <w:numPr>
          <w:ilvl w:val="0"/>
          <w:numId w:val="379"/>
        </w:numPr>
      </w:pPr>
      <w:r>
        <w:t>La capacité portante est spécifiée par le fabricant et la fiche technique du produit est soumise à l’approbation de la direction du chantier.</w:t>
      </w:r>
    </w:p>
    <w:p w14:paraId="412506A0" w14:textId="77777777" w:rsidR="00DF410E" w:rsidRDefault="00CE7F43">
      <w:pPr>
        <w:jc w:val="both"/>
      </w:pPr>
      <w:r>
        <w:rPr>
          <w:b/>
        </w:rPr>
        <w:t xml:space="preserve">Réhausse collaborante </w:t>
      </w:r>
    </w:p>
    <w:p w14:paraId="447BFED1" w14:textId="77777777" w:rsidR="00DF410E" w:rsidRDefault="00CE7F43">
      <w:pPr>
        <w:jc w:val="both"/>
      </w:pPr>
      <w:r>
        <w:t>La partie collaborante est constituée d’une poutre en béton armé coulée en place.</w:t>
      </w:r>
    </w:p>
    <w:p w14:paraId="63EB77D5" w14:textId="77777777" w:rsidR="00DF410E" w:rsidRDefault="00CE7F43">
      <w:pPr>
        <w:jc w:val="both"/>
      </w:pPr>
      <w:r>
        <w:rPr>
          <w:u w:val="single"/>
        </w:rPr>
        <w:t>Béton :</w:t>
      </w:r>
    </w:p>
    <w:p w14:paraId="5B611366" w14:textId="77777777" w:rsidR="00DF410E" w:rsidRDefault="00CE7F43">
      <w:pPr>
        <w:pStyle w:val="Author-eListParagraph"/>
        <w:numPr>
          <w:ilvl w:val="0"/>
          <w:numId w:val="380"/>
        </w:numPr>
      </w:pPr>
      <w:r>
        <w:t xml:space="preserve">Qualité du béton selon la [NBN EN 206:2013+A2] et la [NBN B 15-001] : (voir également </w:t>
      </w:r>
      <w:hyperlink w:anchor="87" w:history="1">
        <w:r>
          <w:t>22 Superstructures en béton</w:t>
        </w:r>
      </w:hyperlink>
      <w:r>
        <w:t>).</w:t>
      </w:r>
    </w:p>
    <w:p w14:paraId="363214E9" w14:textId="77777777" w:rsidR="00DF410E" w:rsidRDefault="00CE7F43">
      <w:pPr>
        <w:pStyle w:val="Author-eListParagraph"/>
        <w:numPr>
          <w:ilvl w:val="0"/>
          <w:numId w:val="380"/>
        </w:numPr>
      </w:pPr>
      <w:r>
        <w:t xml:space="preserve">Classe de résistance : </w:t>
      </w:r>
      <w:r>
        <w:rPr>
          <w:rStyle w:val="optioncarChar"/>
        </w:rPr>
        <w:t xml:space="preserve">suivant les prescriptions de l’étude de béton </w:t>
      </w:r>
      <w:r>
        <w:t>(par défaut)</w:t>
      </w:r>
      <w:r>
        <w:rPr>
          <w:rStyle w:val="optioncarChar"/>
        </w:rPr>
        <w:t xml:space="preserve"> / C25/30 / C30/37 / C35/45 / C45/55 / C50/60 / C55/67 / C60/75 / C70/85 / C80/95 / C90/105 / ***</w:t>
      </w:r>
    </w:p>
    <w:p w14:paraId="3A58F4DA" w14:textId="77777777" w:rsidR="00DF410E" w:rsidRDefault="00CE7F43">
      <w:pPr>
        <w:pStyle w:val="Author-eListParagraph"/>
        <w:numPr>
          <w:ilvl w:val="0"/>
          <w:numId w:val="380"/>
        </w:numPr>
      </w:pPr>
      <w:r>
        <w:t xml:space="preserve">Classe d’environnement : </w:t>
      </w:r>
      <w:r>
        <w:rPr>
          <w:rStyle w:val="optioncarChar"/>
        </w:rPr>
        <w:t xml:space="preserve">suivant les prescriptions de l’étude de béton </w:t>
      </w:r>
      <w:r>
        <w:t xml:space="preserve">(par défaut) </w:t>
      </w:r>
      <w:r>
        <w:rPr>
          <w:rStyle w:val="optioncarChar"/>
        </w:rPr>
        <w:t>/ E0 / EI / EE1 / EE2 / EE3 / EE4 / ES1 / ES2 / ES3 / ES4 / EA1+*** / EA2+***/ EA3+*** / ***</w:t>
      </w:r>
    </w:p>
    <w:p w14:paraId="01B6309B" w14:textId="77777777" w:rsidR="00DF410E" w:rsidRDefault="00CE7F43">
      <w:pPr>
        <w:pStyle w:val="Author-eListParagraph"/>
        <w:numPr>
          <w:ilvl w:val="0"/>
          <w:numId w:val="380"/>
        </w:numPr>
      </w:pPr>
      <w:r>
        <w:t xml:space="preserve">Classe de consistance : </w:t>
      </w:r>
      <w:r>
        <w:rPr>
          <w:rStyle w:val="optioncarChar"/>
        </w:rPr>
        <w:t xml:space="preserve">suivant les prescriptions de l’étude de béton </w:t>
      </w:r>
      <w:r>
        <w:t>(par défaut)</w:t>
      </w:r>
      <w:r>
        <w:rPr>
          <w:rStyle w:val="optioncarChar"/>
        </w:rPr>
        <w:t xml:space="preserve"> / S3 / S4 / S5 / F3 / F4 / F5 / F6 / ***</w:t>
      </w:r>
    </w:p>
    <w:p w14:paraId="457362E1" w14:textId="77777777" w:rsidR="00DF410E" w:rsidRDefault="00CE7F43">
      <w:pPr>
        <w:pStyle w:val="Author-eListParagraph"/>
        <w:numPr>
          <w:ilvl w:val="0"/>
          <w:numId w:val="380"/>
        </w:numPr>
      </w:pPr>
      <w:r>
        <w:t xml:space="preserve">Granulométrie maximale : </w:t>
      </w:r>
      <w:r>
        <w:rPr>
          <w:rStyle w:val="optioncarChar"/>
        </w:rPr>
        <w:t xml:space="preserve">suivant les prescriptions de l’étude de béton </w:t>
      </w:r>
      <w:r>
        <w:t xml:space="preserve">(par défaut) </w:t>
      </w:r>
      <w:r>
        <w:rPr>
          <w:rStyle w:val="optioncarChar"/>
        </w:rPr>
        <w:t>/ 6 / 8 / 10 / 11 / 12 / 14 / 16 / 20 / 22 / 32 / ***</w:t>
      </w:r>
      <w:r>
        <w:t xml:space="preserve"> mm</w:t>
      </w:r>
    </w:p>
    <w:p w14:paraId="76A530E6" w14:textId="77777777" w:rsidR="00DF410E" w:rsidRDefault="00CE7F43">
      <w:pPr>
        <w:jc w:val="both"/>
      </w:pPr>
      <w:r>
        <w:rPr>
          <w:u w:val="single"/>
        </w:rPr>
        <w:t>Armature :</w:t>
      </w:r>
    </w:p>
    <w:p w14:paraId="3A51CC42" w14:textId="77777777" w:rsidR="00DF410E" w:rsidRDefault="00CE7F43">
      <w:pPr>
        <w:pStyle w:val="Author-eListParagraph"/>
        <w:numPr>
          <w:ilvl w:val="0"/>
          <w:numId w:val="381"/>
        </w:numPr>
      </w:pPr>
      <w:r>
        <w:t xml:space="preserve">Barres d’acier pour les armatures principales : </w:t>
      </w:r>
      <w:r>
        <w:rPr>
          <w:rStyle w:val="optioncarChar"/>
        </w:rPr>
        <w:t xml:space="preserve">acier BE 500 S </w:t>
      </w:r>
      <w:r>
        <w:t>(par défaut)</w:t>
      </w:r>
      <w:r>
        <w:rPr>
          <w:rStyle w:val="optioncarChar"/>
        </w:rPr>
        <w:t xml:space="preserve"> / ***</w:t>
      </w:r>
      <w:r>
        <w:t xml:space="preserve"> selon [NBN A 24-302] et [PTV 302].</w:t>
      </w:r>
    </w:p>
    <w:p w14:paraId="6F15DE9C" w14:textId="77777777" w:rsidR="00DF410E" w:rsidRDefault="00CE7F43">
      <w:pPr>
        <w:pStyle w:val="Author-eListParagraph"/>
        <w:numPr>
          <w:ilvl w:val="0"/>
          <w:numId w:val="381"/>
        </w:numPr>
      </w:pPr>
      <w:r>
        <w:t xml:space="preserve">Acier pour les étriers : </w:t>
      </w:r>
      <w:r>
        <w:rPr>
          <w:rStyle w:val="optioncarChar"/>
        </w:rPr>
        <w:t xml:space="preserve">DE 500 BS </w:t>
      </w:r>
      <w:r>
        <w:t>(par défaut)</w:t>
      </w:r>
      <w:r>
        <w:rPr>
          <w:rStyle w:val="optioncarChar"/>
        </w:rPr>
        <w:t xml:space="preserve"> / BE 500 S</w:t>
      </w:r>
    </w:p>
    <w:p w14:paraId="3509F052" w14:textId="77777777" w:rsidR="00DF410E" w:rsidRDefault="00CE7F43">
      <w:pPr>
        <w:jc w:val="both"/>
      </w:pPr>
      <w:r>
        <w:t>L’ensemble (linteau préfabriqué et rehausse collaborante) présente une résistance au feu </w:t>
      </w:r>
      <w:r>
        <w:rPr>
          <w:rStyle w:val="optioncarChar"/>
        </w:rPr>
        <w:t>R15 / R30 / R60 / R120 / R240</w:t>
      </w:r>
      <w:r>
        <w:t xml:space="preserve"> démontrée par test au feu selon la [NBN EN 13501-2] ou par calcul selon les Eurocodes conformément à l’[AM 2013-05-17].</w:t>
      </w:r>
    </w:p>
    <w:p w14:paraId="5955581F" w14:textId="77777777" w:rsidR="00DF410E" w:rsidRDefault="00CE7F43">
      <w:pPr>
        <w:pStyle w:val="pheading"/>
      </w:pPr>
      <w:r>
        <w:t>- Finitions</w:t>
      </w:r>
    </w:p>
    <w:p w14:paraId="3A229167" w14:textId="77777777" w:rsidR="00DF410E" w:rsidRDefault="00CE7F43">
      <w:r>
        <w:t xml:space="preserve">Surface du béton : </w:t>
      </w:r>
      <w:r>
        <w:rPr>
          <w:rStyle w:val="optioncarChar"/>
        </w:rPr>
        <w:t xml:space="preserve">rugueuse (destinée à être plafonnée) </w:t>
      </w:r>
      <w:r>
        <w:t>(par défaut)</w:t>
      </w:r>
      <w:r>
        <w:rPr>
          <w:rStyle w:val="optioncarChar"/>
        </w:rPr>
        <w:t xml:space="preserve"> / lisse / ***</w:t>
      </w:r>
    </w:p>
    <w:p w14:paraId="5B30E4B9" w14:textId="77777777" w:rsidR="00DF410E" w:rsidRDefault="00CE7F43">
      <w:pPr>
        <w:pStyle w:val="pheading"/>
      </w:pPr>
      <w:r>
        <w:t>EXÉCUTION / MISE EN ŒUVRE</w:t>
      </w:r>
    </w:p>
    <w:p w14:paraId="7DC371E8" w14:textId="77777777" w:rsidR="00DF410E" w:rsidRDefault="00CE7F43">
      <w:pPr>
        <w:pStyle w:val="pheading"/>
      </w:pPr>
      <w:r>
        <w:t>- Prescriptions générales</w:t>
      </w:r>
    </w:p>
    <w:p w14:paraId="4DF5D647" w14:textId="77777777" w:rsidR="00DF410E" w:rsidRDefault="00CE7F43">
      <w:pPr>
        <w:jc w:val="both"/>
      </w:pPr>
      <w:r>
        <w:t xml:space="preserve">Le dimensionnement des éléments est déterminé d’après l’étude de stabilité </w:t>
      </w:r>
      <w:r>
        <w:rPr>
          <w:rStyle w:val="optioncarChar"/>
        </w:rPr>
        <w:t>annexée aux documents du marché / à charge de l’entrepreneur.</w:t>
      </w:r>
    </w:p>
    <w:p w14:paraId="6B2A4B84" w14:textId="77777777" w:rsidR="00DF410E" w:rsidRDefault="00CE7F43">
      <w:pPr>
        <w:jc w:val="both"/>
      </w:pPr>
      <w:r>
        <w:t>Les poutres sont exécutées dans les dimensions indiquées sur les plans du bureau chargé de l’étude des bétons. Avant la mise en œuvre, l’entrepreneur vérifie si elles peuvent effectivement être réalisées conformément aux plans.</w:t>
      </w:r>
    </w:p>
    <w:p w14:paraId="509FEC1B" w14:textId="77777777" w:rsidR="00DF410E" w:rsidRDefault="00CE7F43">
      <w:pPr>
        <w:jc w:val="both"/>
      </w:pPr>
      <w:r>
        <w:t>Les linteaux sont exécutés d’aplomb, alignés et de niveau.</w:t>
      </w:r>
    </w:p>
    <w:p w14:paraId="2231AA0B" w14:textId="77777777" w:rsidR="00DF410E" w:rsidRDefault="00CE7F43">
      <w:pPr>
        <w:jc w:val="both"/>
      </w:pPr>
      <w:r>
        <w:t>Pour les portées supérieures à 1,20 m, un ou plusieurs supports sont placés pendant l’exécution.</w:t>
      </w:r>
    </w:p>
    <w:p w14:paraId="6655207D" w14:textId="77777777" w:rsidR="00DF410E" w:rsidRDefault="00CE7F43">
      <w:pPr>
        <w:jc w:val="both"/>
      </w:pPr>
      <w:r>
        <w:t xml:space="preserve">La longueur d’appui est </w:t>
      </w:r>
      <w:r>
        <w:rPr>
          <w:rStyle w:val="optioncarChar"/>
        </w:rPr>
        <w:t xml:space="preserve">conforme aux prescriptions du bureau d’études </w:t>
      </w:r>
      <w:r>
        <w:t>(par défaut)</w:t>
      </w:r>
      <w:r>
        <w:rPr>
          <w:rStyle w:val="optioncarChar"/>
        </w:rPr>
        <w:t xml:space="preserve"> / 20 cm / 30 cm / *** cm</w:t>
      </w:r>
      <w:r>
        <w:t xml:space="preserve"> à chaque extrémité des poutres.</w:t>
      </w:r>
    </w:p>
    <w:p w14:paraId="6ACC59F6" w14:textId="77777777" w:rsidR="00DF410E" w:rsidRDefault="00CE7F43">
      <w:pPr>
        <w:jc w:val="both"/>
      </w:pPr>
      <w:r>
        <w:rPr>
          <w:b/>
        </w:rPr>
        <w:t>Linteau préfabriqué</w:t>
      </w:r>
    </w:p>
    <w:p w14:paraId="3CA42A8D" w14:textId="77777777" w:rsidR="00DF410E" w:rsidRDefault="00CE7F43">
      <w:pPr>
        <w:jc w:val="both"/>
      </w:pPr>
      <w:r>
        <w:t>Avant leur mise en œuvre, les éléments sont complètement nettoyés et humidifiés. Les extrémités de l’élément reposent sur un lit en mortier de ciment.</w:t>
      </w:r>
    </w:p>
    <w:p w14:paraId="01014A8E" w14:textId="77777777" w:rsidR="00DF410E" w:rsidRDefault="00CE7F43">
      <w:pPr>
        <w:jc w:val="both"/>
      </w:pPr>
      <w:r>
        <w:rPr>
          <w:b/>
        </w:rPr>
        <w:t>Réhausse collaborante</w:t>
      </w:r>
    </w:p>
    <w:p w14:paraId="2995C935" w14:textId="77777777" w:rsidR="00DF410E" w:rsidRDefault="00CE7F43">
      <w:pPr>
        <w:jc w:val="both"/>
      </w:pPr>
      <w:r>
        <w:t xml:space="preserve">Coulage du béton : suivant prescriptions du </w:t>
      </w:r>
      <w:hyperlink w:anchor="87" w:history="1">
        <w:r>
          <w:t>22 Superstructures en béton</w:t>
        </w:r>
      </w:hyperlink>
    </w:p>
    <w:p w14:paraId="7254C2C1" w14:textId="77777777" w:rsidR="00DF410E" w:rsidRDefault="00CE7F43">
      <w:pPr>
        <w:jc w:val="both"/>
      </w:pPr>
      <w:r>
        <w:t xml:space="preserve">Le décoffrage ne peut avoir lieu avant </w:t>
      </w:r>
      <w:r>
        <w:rPr>
          <w:rStyle w:val="optioncarChar"/>
        </w:rPr>
        <w:t xml:space="preserve">le nombre de jours fixé dans les directives du bureau d’études </w:t>
      </w:r>
      <w:r>
        <w:t>(par défaut)</w:t>
      </w:r>
      <w:r>
        <w:rPr>
          <w:rStyle w:val="optioncarChar"/>
        </w:rPr>
        <w:t xml:space="preserve"> / ***</w:t>
      </w:r>
      <w:r>
        <w:t xml:space="preserve">  </w:t>
      </w:r>
      <w:r>
        <w:rPr>
          <w:rStyle w:val="optioncarChar"/>
        </w:rPr>
        <w:t>jours</w:t>
      </w:r>
      <w:r>
        <w:t xml:space="preserve"> après le coulage du béton.</w:t>
      </w:r>
    </w:p>
    <w:p w14:paraId="38C05CEA" w14:textId="77777777" w:rsidR="00DF410E" w:rsidRDefault="00CE7F43">
      <w:pPr>
        <w:jc w:val="both"/>
      </w:pPr>
      <w:r>
        <w:t xml:space="preserve">Tous les moyens nécessaires pour éviter la déformation hors tolérance des coffrages est obligatoire. L’utilisation d’entretoises est autorisée pour autant qu’un schéma de positionnement de celles-ci soit au préalable soumis pour approbation. Les trous laissés par les entretoises reliant les parois des coffrages sont bouchés </w:t>
      </w:r>
      <w:r>
        <w:rPr>
          <w:rStyle w:val="optioncarChar"/>
        </w:rPr>
        <w:t>à l’aide de mortier de la même couleur que le béton immédiatement après le décoffrage</w:t>
      </w:r>
      <w:r>
        <w:t xml:space="preserve"> (par défaut)</w:t>
      </w:r>
      <w:r>
        <w:rPr>
          <w:rStyle w:val="optioncarChar"/>
        </w:rPr>
        <w:t xml:space="preserve"> / ***</w:t>
      </w:r>
      <w:r>
        <w:t>.</w:t>
      </w:r>
    </w:p>
    <w:p w14:paraId="46B9435E" w14:textId="77777777" w:rsidR="00DF410E" w:rsidRDefault="00CE7F43">
      <w:pPr>
        <w:pStyle w:val="pheading"/>
      </w:pPr>
      <w:r>
        <w:t>MESURAGE</w:t>
      </w:r>
    </w:p>
    <w:p w14:paraId="4C5A3621" w14:textId="77777777" w:rsidR="00DF410E" w:rsidRDefault="00CE7F43">
      <w:pPr>
        <w:pStyle w:val="pheading"/>
      </w:pPr>
      <w:r>
        <w:t>- unité de mesure:</w:t>
      </w:r>
    </w:p>
    <w:p w14:paraId="3BDB66AE" w14:textId="77777777" w:rsidR="00DF410E" w:rsidRDefault="00CE7F43">
      <w:r>
        <w:t>m³</w:t>
      </w:r>
    </w:p>
    <w:p w14:paraId="6AFF011E" w14:textId="77777777" w:rsidR="00DF410E" w:rsidRDefault="00CE7F43">
      <w:pPr>
        <w:pStyle w:val="pheading"/>
      </w:pPr>
      <w:r>
        <w:t>- code de mesurage:</w:t>
      </w:r>
    </w:p>
    <w:p w14:paraId="53DAC8EB" w14:textId="77777777" w:rsidR="00DF410E" w:rsidRDefault="00CE7F43">
      <w:r>
        <w:t>Volume net de l’ensemble du linteau composite (prélinteau et rehausse en béton), y compris le coffrage.</w:t>
      </w:r>
    </w:p>
    <w:p w14:paraId="0B5AC44E" w14:textId="77777777" w:rsidR="00DF410E" w:rsidRDefault="00CE7F43">
      <w:r>
        <w:t>Armatures</w:t>
      </w:r>
      <w:r>
        <w:rPr>
          <w:rStyle w:val="optioncarChar"/>
        </w:rPr>
        <w:t xml:space="preserve"> comprises</w:t>
      </w:r>
      <w:r>
        <w:t xml:space="preserve"> (par défaut) </w:t>
      </w:r>
      <w:r>
        <w:rPr>
          <w:rStyle w:val="optioncarChar"/>
        </w:rPr>
        <w:t>/ métrées séparément.</w:t>
      </w:r>
    </w:p>
    <w:p w14:paraId="34298B26" w14:textId="77777777" w:rsidR="00DF410E" w:rsidRDefault="00CE7F43">
      <w:r>
        <w:rPr>
          <w:b/>
        </w:rPr>
        <w:t>(soit par défaut)</w:t>
      </w:r>
      <w:r>
        <w:br/>
      </w:r>
      <w:r>
        <w:rPr>
          <w:rStyle w:val="soitChar"/>
        </w:rPr>
        <w:t>1. </w:t>
      </w:r>
      <w:r>
        <w:rPr>
          <w:rStyle w:val="soitChar"/>
          <w:u w:val="single"/>
        </w:rPr>
        <w:t>Comprises</w:t>
      </w:r>
      <w:r>
        <w:rPr>
          <w:rStyle w:val="soitChar"/>
        </w:rPr>
        <w:t xml:space="preserve"> dans le prix unitaire.</w:t>
      </w:r>
      <w:r>
        <w:br/>
      </w:r>
      <w:r>
        <w:rPr>
          <w:b/>
        </w:rPr>
        <w:t>(soit)</w:t>
      </w:r>
      <w:r>
        <w:br/>
      </w:r>
      <w:r>
        <w:rPr>
          <w:rStyle w:val="soitChar"/>
        </w:rPr>
        <w:t xml:space="preserve">2. </w:t>
      </w:r>
      <w:r>
        <w:rPr>
          <w:rStyle w:val="soitChar"/>
          <w:u w:val="single"/>
        </w:rPr>
        <w:t>Métrées séparément</w:t>
      </w:r>
      <w:r>
        <w:rPr>
          <w:rStyle w:val="soitChar"/>
        </w:rPr>
        <w:t xml:space="preserve"> dans l’article </w:t>
      </w:r>
      <w:hyperlink w:anchor="491" w:history="1">
        <w:r>
          <w:rPr>
            <w:rStyle w:val="soitChar"/>
          </w:rPr>
          <w:t>22.51.1a Barres d'armatures pour béton</w:t>
        </w:r>
      </w:hyperlink>
    </w:p>
    <w:p w14:paraId="38CC0E17" w14:textId="77777777" w:rsidR="00DF410E" w:rsidRDefault="00CE7F43">
      <w:pPr>
        <w:pStyle w:val="pheading"/>
      </w:pPr>
      <w:r>
        <w:t>- nature du marché:</w:t>
      </w:r>
    </w:p>
    <w:p w14:paraId="074567AB" w14:textId="77777777" w:rsidR="00DF410E" w:rsidRDefault="00CE7F43">
      <w:r>
        <w:rPr>
          <w:rStyle w:val="optioncarChar"/>
        </w:rPr>
        <w:t xml:space="preserve">QF </w:t>
      </w:r>
      <w:r>
        <w:t>(par défaut)</w:t>
      </w:r>
      <w:r>
        <w:rPr>
          <w:rStyle w:val="optioncarChar"/>
        </w:rPr>
        <w:t xml:space="preserve"> / QP</w:t>
      </w:r>
    </w:p>
    <w:p w14:paraId="0CA6C066" w14:textId="77777777" w:rsidR="00DF410E" w:rsidRDefault="00CE7F43">
      <w:r>
        <w:rPr>
          <w:b/>
        </w:rPr>
        <w:t>(soit par défaut)</w:t>
      </w:r>
      <w:r>
        <w:br/>
      </w:r>
      <w:r>
        <w:rPr>
          <w:rStyle w:val="soitChar"/>
        </w:rPr>
        <w:t>1. QF</w:t>
      </w:r>
      <w:r>
        <w:br/>
      </w:r>
      <w:r>
        <w:rPr>
          <w:b/>
        </w:rPr>
        <w:t>(soit)</w:t>
      </w:r>
      <w:r>
        <w:br/>
      </w:r>
      <w:r>
        <w:rPr>
          <w:rStyle w:val="soitChar"/>
        </w:rPr>
        <w:t>2. QP</w:t>
      </w:r>
    </w:p>
    <w:p w14:paraId="742FC226" w14:textId="77777777" w:rsidR="00DF410E" w:rsidRDefault="00CE7F43">
      <w:pPr>
        <w:pStyle w:val="Author-eSectionHeading5"/>
      </w:pPr>
      <w:bookmarkStart w:id="682" w:name="_Toc178837854"/>
      <w:r>
        <w:t>22.13.3 Linteaux composites (prélinteaux en U + âmes en béton) CCTB 01.10</w:t>
      </w:r>
      <w:bookmarkEnd w:id="682"/>
    </w:p>
    <w:p w14:paraId="67381560" w14:textId="77777777" w:rsidR="00DF410E" w:rsidRDefault="00CE7F43">
      <w:pPr>
        <w:pStyle w:val="Author-eSectionHeading6"/>
      </w:pPr>
      <w:bookmarkStart w:id="683" w:name="428"/>
      <w:bookmarkStart w:id="684" w:name="_Toc178837855"/>
      <w:bookmarkEnd w:id="683"/>
      <w:r>
        <w:t>22.13.3a Prélinteaux en U en éléments en béton + âmes en béton coulé en place CCTB 01.10</w:t>
      </w:r>
      <w:bookmarkEnd w:id="684"/>
    </w:p>
    <w:p w14:paraId="6D990187" w14:textId="77777777" w:rsidR="00DF410E" w:rsidRDefault="00CE7F43">
      <w:pPr>
        <w:pStyle w:val="Author-eSectionHeading6"/>
      </w:pPr>
      <w:bookmarkStart w:id="685" w:name="_Toc178837856"/>
      <w:r>
        <w:t>22.13.3b Prélinteaux en U en éléments en terre cuite alvéolaires + âmes en béton coulé en place CCTB 01.10</w:t>
      </w:r>
      <w:bookmarkEnd w:id="685"/>
    </w:p>
    <w:p w14:paraId="21DC8956" w14:textId="77777777" w:rsidR="00DF410E" w:rsidRDefault="00CE7F43">
      <w:pPr>
        <w:pStyle w:val="Author-eSectionHeading6"/>
      </w:pPr>
      <w:bookmarkStart w:id="686" w:name="_Toc178837857"/>
      <w:r>
        <w:t>22.13.3c Prélinteaux en U en éléments en silico-calcaire + âmes en béton coulé en place CCTB 01.10</w:t>
      </w:r>
      <w:bookmarkEnd w:id="686"/>
    </w:p>
    <w:p w14:paraId="248D744C" w14:textId="77777777" w:rsidR="00DF410E" w:rsidRDefault="00CE7F43">
      <w:pPr>
        <w:pStyle w:val="Author-eSectionHeading6"/>
      </w:pPr>
      <w:bookmarkStart w:id="687" w:name="_Toc178837858"/>
      <w:r>
        <w:t>22.13.3d Prélinteaux en U en éléments en béton cellulaire + âmes en béton coulé en place CCTB 01.10</w:t>
      </w:r>
      <w:bookmarkEnd w:id="687"/>
    </w:p>
    <w:p w14:paraId="61B34918" w14:textId="77777777" w:rsidR="00DF410E" w:rsidRDefault="00CE7F43">
      <w:pPr>
        <w:pStyle w:val="Author-eSectionHeading6"/>
      </w:pPr>
      <w:bookmarkStart w:id="688" w:name="_Toc178837859"/>
      <w:r>
        <w:t>22.13.3e Prélinteaux en U en éléments en béton cellulaire + profilé métallique + âmes en béton coulé en place CCTB 01.10</w:t>
      </w:r>
      <w:bookmarkEnd w:id="688"/>
    </w:p>
    <w:p w14:paraId="3608147B" w14:textId="77777777" w:rsidR="00DF410E" w:rsidRDefault="00CE7F43">
      <w:pPr>
        <w:pStyle w:val="Author-eSectionHeading6"/>
      </w:pPr>
      <w:bookmarkStart w:id="689" w:name="_Toc178837860"/>
      <w:r>
        <w:t>22.13.3f Prélinteaux en U en éléments en matière synthétique + âmes en béton coulé en place CCTB 01.10</w:t>
      </w:r>
      <w:bookmarkEnd w:id="689"/>
    </w:p>
    <w:p w14:paraId="6F0688B3" w14:textId="77777777" w:rsidR="00DF410E" w:rsidRDefault="00CE7F43">
      <w:pPr>
        <w:pStyle w:val="Author-eSectionHeading6"/>
      </w:pPr>
      <w:bookmarkStart w:id="690" w:name="_Toc178837861"/>
      <w:r>
        <w:t>22.13.3g Prélinteaux en U en éléments en fibres de bois minéralisées + âmes en béton coulé en place CCTB 01.10</w:t>
      </w:r>
      <w:bookmarkEnd w:id="690"/>
    </w:p>
    <w:p w14:paraId="68B728F2" w14:textId="77777777" w:rsidR="00DF410E" w:rsidRDefault="00CE7F43">
      <w:pPr>
        <w:pStyle w:val="Author-eSectionHeading6"/>
      </w:pPr>
      <w:bookmarkStart w:id="691" w:name="_Toc178837862"/>
      <w:r>
        <w:t>22.13.3h Prélinteaux en U en éléments en pierre ponce + âmes en béton coulé en place CCTB 01.10</w:t>
      </w:r>
      <w:bookmarkEnd w:id="691"/>
    </w:p>
    <w:p w14:paraId="55AAB7BC" w14:textId="77777777" w:rsidR="00DF410E" w:rsidRDefault="00CE7F43">
      <w:pPr>
        <w:pStyle w:val="Author-eSectionHeading4"/>
      </w:pPr>
      <w:bookmarkStart w:id="692" w:name="_Toc178837863"/>
      <w:r>
        <w:t>22.14 Colonnes en béton CCTB 01.04</w:t>
      </w:r>
      <w:bookmarkEnd w:id="692"/>
    </w:p>
    <w:p w14:paraId="11578FC0" w14:textId="77777777" w:rsidR="00DF410E" w:rsidRDefault="00CE7F43">
      <w:pPr>
        <w:pStyle w:val="Author-eSectionHeading5"/>
      </w:pPr>
      <w:bookmarkStart w:id="693" w:name="495"/>
      <w:bookmarkStart w:id="694" w:name="_Toc178837864"/>
      <w:bookmarkEnd w:id="693"/>
      <w:r>
        <w:t>22.14.1 Colonnes en béton coulé en place CCTB 01.04</w:t>
      </w:r>
      <w:bookmarkEnd w:id="694"/>
    </w:p>
    <w:p w14:paraId="6732742B" w14:textId="77777777" w:rsidR="00DF410E" w:rsidRDefault="00CE7F43">
      <w:pPr>
        <w:pStyle w:val="Author-eSectionHeading6"/>
      </w:pPr>
      <w:bookmarkStart w:id="695" w:name="_Toc178837865"/>
      <w:r>
        <w:t>22.14.1a Colonnes en béton armé coulé en place CCTB 01.11</w:t>
      </w:r>
      <w:bookmarkEnd w:id="695"/>
    </w:p>
    <w:p w14:paraId="159F7109" w14:textId="77777777" w:rsidR="00DF410E" w:rsidRDefault="00CE7F43">
      <w:pPr>
        <w:pStyle w:val="pheading"/>
      </w:pPr>
      <w:bookmarkStart w:id="696" w:name="176"/>
      <w:bookmarkEnd w:id="696"/>
      <w:r>
        <w:t>DESCRIPTION</w:t>
      </w:r>
    </w:p>
    <w:p w14:paraId="20C030D3" w14:textId="77777777" w:rsidR="00DF410E" w:rsidRDefault="00CE7F43">
      <w:pPr>
        <w:pStyle w:val="pheading"/>
      </w:pPr>
      <w:r>
        <w:t>- Définition / Comprend</w:t>
      </w:r>
    </w:p>
    <w:p w14:paraId="081DDE3B" w14:textId="77777777" w:rsidR="00DF410E" w:rsidRDefault="00CE7F43">
      <w:r>
        <w:t xml:space="preserve">Il s'agit de l’ensemble des colonnes (éléments verticaux ou obliques) exécutées en béton armé coulé en place. Les travaux comprennent les éléments décrits dans </w:t>
      </w:r>
      <w:hyperlink w:anchor="87" w:history="1">
        <w:r>
          <w:t>22 Superstructures en béton</w:t>
        </w:r>
      </w:hyperlink>
      <w:r>
        <w:t xml:space="preserve"> § Béton prêt à l’emploi, et notamment les coffrages, les armatures (suivant le code de mesurage), le béton et la cure.</w:t>
      </w:r>
    </w:p>
    <w:p w14:paraId="7CE32D29" w14:textId="77777777" w:rsidR="00DF410E" w:rsidRDefault="00CE7F43">
      <w:r>
        <w:t xml:space="preserve">L’étude et les plans d’exécution </w:t>
      </w:r>
      <w:r>
        <w:rPr>
          <w:rStyle w:val="optioncarChar"/>
        </w:rPr>
        <w:t>sont / ne sont</w:t>
      </w:r>
      <w:r>
        <w:t xml:space="preserve"> pas à charge de l’entreprise.</w:t>
      </w:r>
    </w:p>
    <w:p w14:paraId="324872C9" w14:textId="77777777" w:rsidR="00DF410E" w:rsidRDefault="00CE7F43">
      <w:pPr>
        <w:pStyle w:val="pheading"/>
      </w:pPr>
      <w:r>
        <w:t>MATÉRIAUX</w:t>
      </w:r>
    </w:p>
    <w:p w14:paraId="20684A49" w14:textId="77777777" w:rsidR="00DF410E" w:rsidRDefault="00CE7F43">
      <w:pPr>
        <w:pStyle w:val="pheading"/>
      </w:pPr>
      <w:r>
        <w:t>- Caractéristiques générales</w:t>
      </w:r>
    </w:p>
    <w:p w14:paraId="5BF68E03" w14:textId="77777777" w:rsidR="00DF410E" w:rsidRDefault="00CE7F43">
      <w:pPr>
        <w:pStyle w:val="heading"/>
      </w:pPr>
      <w:r>
        <w:rPr>
          <w:u w:val="single"/>
        </w:rPr>
        <w:t>Béton</w:t>
      </w:r>
    </w:p>
    <w:p w14:paraId="1CB2EB79" w14:textId="77777777" w:rsidR="00DF410E" w:rsidRDefault="00CE7F43">
      <w:pPr>
        <w:pStyle w:val="Author-eListParagraph"/>
        <w:numPr>
          <w:ilvl w:val="0"/>
          <w:numId w:val="382"/>
        </w:numPr>
      </w:pPr>
      <w:r>
        <w:t xml:space="preserve">Qualité du béton selon la [NBN EN 206:2013+A2] et la [NBN B 15-001] : (voir également </w:t>
      </w:r>
      <w:hyperlink w:anchor="87"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F410E" w14:paraId="52B4876F" w14:textId="77777777">
        <w:tc>
          <w:tcPr>
            <w:tcW w:w="1500" w:type="dxa"/>
            <w:noWrap/>
          </w:tcPr>
          <w:p w14:paraId="17004764" w14:textId="77777777" w:rsidR="00DF410E" w:rsidRDefault="00CE7F43">
            <w:pPr>
              <w:jc w:val="center"/>
            </w:pPr>
            <w:r>
              <w:rPr>
                <w:b/>
              </w:rPr>
              <w:t>A</w:t>
            </w:r>
          </w:p>
        </w:tc>
        <w:tc>
          <w:tcPr>
            <w:tcW w:w="1500" w:type="dxa"/>
            <w:noWrap/>
          </w:tcPr>
          <w:p w14:paraId="00BF9748" w14:textId="77777777" w:rsidR="00DF410E" w:rsidRDefault="00CE7F43">
            <w:pPr>
              <w:jc w:val="center"/>
            </w:pPr>
            <w:r>
              <w:rPr>
                <w:b/>
              </w:rPr>
              <w:t>B1</w:t>
            </w:r>
          </w:p>
        </w:tc>
        <w:tc>
          <w:tcPr>
            <w:tcW w:w="1500" w:type="dxa"/>
            <w:noWrap/>
          </w:tcPr>
          <w:p w14:paraId="511B515D" w14:textId="77777777" w:rsidR="00DF410E" w:rsidRDefault="00CE7F43">
            <w:pPr>
              <w:jc w:val="center"/>
            </w:pPr>
            <w:r>
              <w:rPr>
                <w:b/>
              </w:rPr>
              <w:t>B2</w:t>
            </w:r>
          </w:p>
        </w:tc>
        <w:tc>
          <w:tcPr>
            <w:tcW w:w="1500" w:type="dxa"/>
            <w:noWrap/>
          </w:tcPr>
          <w:p w14:paraId="200D3D12" w14:textId="77777777" w:rsidR="00DF410E" w:rsidRDefault="00CE7F43">
            <w:pPr>
              <w:jc w:val="center"/>
            </w:pPr>
            <w:r>
              <w:rPr>
                <w:b/>
              </w:rPr>
              <w:t>C</w:t>
            </w:r>
          </w:p>
        </w:tc>
        <w:tc>
          <w:tcPr>
            <w:tcW w:w="1500" w:type="dxa"/>
            <w:noWrap/>
          </w:tcPr>
          <w:p w14:paraId="36ECAA24" w14:textId="77777777" w:rsidR="00DF410E" w:rsidRDefault="00CE7F43">
            <w:pPr>
              <w:jc w:val="center"/>
            </w:pPr>
            <w:r>
              <w:rPr>
                <w:b/>
              </w:rPr>
              <w:t>D</w:t>
            </w:r>
          </w:p>
        </w:tc>
        <w:tc>
          <w:tcPr>
            <w:tcW w:w="1500" w:type="dxa"/>
            <w:noWrap/>
          </w:tcPr>
          <w:p w14:paraId="3047EF4F" w14:textId="77777777" w:rsidR="00DF410E" w:rsidRDefault="00CE7F43">
            <w:pPr>
              <w:jc w:val="center"/>
            </w:pPr>
            <w:r>
              <w:rPr>
                <w:b/>
              </w:rPr>
              <w:t>E</w:t>
            </w:r>
          </w:p>
        </w:tc>
      </w:tr>
      <w:tr w:rsidR="00DF410E" w14:paraId="7C268518" w14:textId="77777777">
        <w:tc>
          <w:tcPr>
            <w:tcW w:w="1500" w:type="dxa"/>
            <w:noWrap/>
          </w:tcPr>
          <w:p w14:paraId="72BC9014" w14:textId="77777777" w:rsidR="00DF410E" w:rsidRDefault="00CE7F43">
            <w:pPr>
              <w:jc w:val="center"/>
            </w:pPr>
            <w:r>
              <w:rPr>
                <w:b/>
              </w:rPr>
              <w:t>Classe de résistance</w:t>
            </w:r>
          </w:p>
        </w:tc>
        <w:tc>
          <w:tcPr>
            <w:tcW w:w="1500" w:type="dxa"/>
            <w:noWrap/>
          </w:tcPr>
          <w:p w14:paraId="46F0388A" w14:textId="77777777" w:rsidR="00DF410E" w:rsidRDefault="00CE7F43">
            <w:pPr>
              <w:jc w:val="center"/>
            </w:pPr>
            <w:r>
              <w:rPr>
                <w:b/>
              </w:rPr>
              <w:t>Domaine d’application</w:t>
            </w:r>
          </w:p>
        </w:tc>
        <w:tc>
          <w:tcPr>
            <w:tcW w:w="1500" w:type="dxa"/>
            <w:noWrap/>
          </w:tcPr>
          <w:p w14:paraId="08B5E7EB" w14:textId="77777777" w:rsidR="00DF410E" w:rsidRDefault="00CE7F43">
            <w:pPr>
              <w:jc w:val="center"/>
            </w:pPr>
            <w:r>
              <w:rPr>
                <w:b/>
              </w:rPr>
              <w:t>Classe d'environnement</w:t>
            </w:r>
          </w:p>
        </w:tc>
        <w:tc>
          <w:tcPr>
            <w:tcW w:w="1500" w:type="dxa"/>
            <w:noWrap/>
          </w:tcPr>
          <w:p w14:paraId="458ED76C" w14:textId="77777777" w:rsidR="00DF410E" w:rsidRDefault="00CE7F43">
            <w:pPr>
              <w:jc w:val="center"/>
            </w:pPr>
            <w:r>
              <w:rPr>
                <w:b/>
              </w:rPr>
              <w:t>Classe de consistance</w:t>
            </w:r>
          </w:p>
        </w:tc>
        <w:tc>
          <w:tcPr>
            <w:tcW w:w="1500" w:type="dxa"/>
            <w:noWrap/>
          </w:tcPr>
          <w:p w14:paraId="13EB14CB" w14:textId="77777777" w:rsidR="00DF410E" w:rsidRDefault="00CE7F43">
            <w:pPr>
              <w:jc w:val="center"/>
            </w:pPr>
            <w:r>
              <w:rPr>
                <w:b/>
              </w:rPr>
              <w:t>Granulométrie maximale</w:t>
            </w:r>
          </w:p>
        </w:tc>
        <w:tc>
          <w:tcPr>
            <w:tcW w:w="1500" w:type="dxa"/>
            <w:noWrap/>
          </w:tcPr>
          <w:p w14:paraId="3C8958F5" w14:textId="77777777" w:rsidR="00DF410E" w:rsidRDefault="00CE7F43">
            <w:r>
              <w:rPr>
                <w:b/>
              </w:rPr>
              <w:t>Données complémentaires</w:t>
            </w:r>
          </w:p>
        </w:tc>
      </w:tr>
      <w:tr w:rsidR="00DF410E" w14:paraId="5853E969" w14:textId="77777777">
        <w:tc>
          <w:tcPr>
            <w:tcW w:w="1500" w:type="dxa"/>
            <w:noWrap/>
          </w:tcPr>
          <w:p w14:paraId="6CCCDE9B" w14:textId="77777777" w:rsidR="00DF410E" w:rsidRDefault="00CE7F43">
            <w:pPr>
              <w:jc w:val="center"/>
            </w:pPr>
            <w:r>
              <w:rPr>
                <w:rStyle w:val="optioncarChar"/>
              </w:rPr>
              <w:t>C25/30 / C30/37 / C35/45 / C45/55 / C50/60 / C55/67 / C60/75 / C70/85 / C80/95 / C90/105</w:t>
            </w:r>
          </w:p>
        </w:tc>
        <w:tc>
          <w:tcPr>
            <w:tcW w:w="1500" w:type="dxa"/>
            <w:noWrap/>
          </w:tcPr>
          <w:p w14:paraId="0A84C7F0" w14:textId="77777777" w:rsidR="00DF410E" w:rsidRDefault="00CE7F43">
            <w:pPr>
              <w:jc w:val="center"/>
            </w:pPr>
            <w:r>
              <w:t>Béton armé</w:t>
            </w:r>
          </w:p>
          <w:p w14:paraId="22F6FDC2" w14:textId="77777777" w:rsidR="00DF410E" w:rsidRDefault="00DF410E"/>
        </w:tc>
        <w:tc>
          <w:tcPr>
            <w:tcW w:w="1500" w:type="dxa"/>
            <w:noWrap/>
          </w:tcPr>
          <w:p w14:paraId="7871BE76" w14:textId="77777777" w:rsidR="00DF410E" w:rsidRDefault="00CE7F43">
            <w:pPr>
              <w:jc w:val="center"/>
            </w:pPr>
            <w:r>
              <w:rPr>
                <w:rStyle w:val="optioncarChar"/>
              </w:rPr>
              <w:t>*** / E0 / EI / EE1 / EE2 / EE3 / EE4 / ES1 / ES2 / ES3 / ES4 / EA1+*** / EA2+***/ EA3+***</w:t>
            </w:r>
          </w:p>
        </w:tc>
        <w:tc>
          <w:tcPr>
            <w:tcW w:w="1500" w:type="dxa"/>
            <w:noWrap/>
          </w:tcPr>
          <w:p w14:paraId="3EA49D8B" w14:textId="77777777" w:rsidR="00DF410E" w:rsidRDefault="00CE7F43">
            <w:pPr>
              <w:jc w:val="center"/>
            </w:pPr>
            <w:r>
              <w:t>au choix de l'entrepreneur :</w:t>
            </w:r>
          </w:p>
          <w:p w14:paraId="4C3CADE5" w14:textId="77777777" w:rsidR="00DF410E" w:rsidRDefault="00CE7F43">
            <w:pPr>
              <w:jc w:val="center"/>
            </w:pPr>
            <w:r>
              <w:rPr>
                <w:rStyle w:val="optioncarChar"/>
              </w:rPr>
              <w:t xml:space="preserve">S3 / S4 / S5 </w:t>
            </w:r>
          </w:p>
          <w:p w14:paraId="4EE80035" w14:textId="77777777" w:rsidR="00DF410E" w:rsidRDefault="00CE7F43">
            <w:pPr>
              <w:jc w:val="center"/>
            </w:pPr>
            <w:r>
              <w:rPr>
                <w:rStyle w:val="optioncarChar"/>
              </w:rPr>
              <w:t>F3 / F4 / F5 / F6</w:t>
            </w:r>
            <w:r>
              <w:br/>
            </w:r>
          </w:p>
        </w:tc>
        <w:tc>
          <w:tcPr>
            <w:tcW w:w="1500" w:type="dxa"/>
            <w:noWrap/>
          </w:tcPr>
          <w:p w14:paraId="355CDF2D" w14:textId="77777777" w:rsidR="00DF410E" w:rsidRDefault="00CE7F43">
            <w:pPr>
              <w:jc w:val="center"/>
            </w:pPr>
            <w:r>
              <w:t>au choix de l'entrepreneur :</w:t>
            </w:r>
          </w:p>
          <w:p w14:paraId="46EA86BB" w14:textId="77777777" w:rsidR="00DF410E" w:rsidRDefault="00CE7F43">
            <w:pPr>
              <w:jc w:val="center"/>
            </w:pPr>
            <w:r>
              <w:rPr>
                <w:rStyle w:val="optioncarChar"/>
              </w:rPr>
              <w:t>6 / 8 / 10 / 11 / 12 / 14 / 16 / 20 / 22 / 32 </w:t>
            </w:r>
            <w:r>
              <w:t>mm</w:t>
            </w:r>
          </w:p>
        </w:tc>
        <w:tc>
          <w:tcPr>
            <w:tcW w:w="1500" w:type="dxa"/>
            <w:noWrap/>
          </w:tcPr>
          <w:p w14:paraId="2E3F956B" w14:textId="77777777" w:rsidR="00DF410E" w:rsidRDefault="00CE7F43">
            <w:pPr>
              <w:jc w:val="center"/>
            </w:pPr>
            <w:r>
              <w:rPr>
                <w:rStyle w:val="optioncarChar"/>
              </w:rPr>
              <w:t>***</w:t>
            </w:r>
          </w:p>
        </w:tc>
      </w:tr>
    </w:tbl>
    <w:p w14:paraId="262E3C2F" w14:textId="77777777" w:rsidR="00DF410E" w:rsidRDefault="00DF410E"/>
    <w:p w14:paraId="56C7A526"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441786FC" w14:textId="77777777" w:rsidR="00DF410E" w:rsidRDefault="00CE7F43">
      <w:pPr>
        <w:pStyle w:val="Author-eListParagraph"/>
        <w:numPr>
          <w:ilvl w:val="0"/>
          <w:numId w:val="383"/>
        </w:numPr>
      </w:pPr>
      <w:r>
        <w:t xml:space="preserve">Classe de viscosité apparente : </w:t>
      </w:r>
      <w:r>
        <w:rPr>
          <w:rStyle w:val="optioncarChar"/>
        </w:rPr>
        <w:t>VS1 / VS2</w:t>
      </w:r>
      <w:r>
        <w:t xml:space="preserve"> (selon la [NBN EN 12350-8] )</w:t>
      </w:r>
    </w:p>
    <w:p w14:paraId="55A245C4" w14:textId="77777777" w:rsidR="00DF410E" w:rsidRDefault="00CE7F43">
      <w:pPr>
        <w:pStyle w:val="Author-eListParagraph"/>
        <w:numPr>
          <w:ilvl w:val="0"/>
          <w:numId w:val="383"/>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D5B5056" w14:textId="77777777" w:rsidR="00DF410E" w:rsidRDefault="00CE7F43">
      <w:pPr>
        <w:pStyle w:val="Author-eListParagraph"/>
        <w:numPr>
          <w:ilvl w:val="0"/>
          <w:numId w:val="38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325CECE" w14:textId="77777777" w:rsidR="00DF410E" w:rsidRDefault="00CE7F43">
      <w:r>
        <w:rPr>
          <w:u w:val="single"/>
        </w:rPr>
        <w:t>Armatures</w:t>
      </w:r>
    </w:p>
    <w:p w14:paraId="1C7B8D54" w14:textId="77777777" w:rsidR="00DF410E" w:rsidRDefault="00CE7F43">
      <w:pPr>
        <w:pStyle w:val="Author-eListParagraph"/>
        <w:numPr>
          <w:ilvl w:val="0"/>
          <w:numId w:val="38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AE996D9" w14:textId="77777777" w:rsidR="00DF410E" w:rsidRDefault="00CE7F43">
      <w:pPr>
        <w:pStyle w:val="Author-eListParagraph"/>
        <w:numPr>
          <w:ilvl w:val="0"/>
          <w:numId w:val="384"/>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 1. </w:t>
      </w:r>
      <w:r>
        <w:rPr>
          <w:rStyle w:val="soitChar"/>
          <w:u w:val="single"/>
        </w:rPr>
        <w:t>DE 500 BS</w:t>
      </w:r>
      <w:r>
        <w:rPr>
          <w:rStyle w:val="soitChar"/>
        </w:rPr>
        <w:t xml:space="preserve"> selon [NBN A 24-303] + [PTV 303]</w:t>
      </w:r>
      <w:r>
        <w:br/>
      </w:r>
      <w:r>
        <w:rPr>
          <w:b/>
        </w:rPr>
        <w:t>(Soit)</w:t>
      </w:r>
      <w:r>
        <w:br/>
      </w:r>
      <w:r>
        <w:rPr>
          <w:rStyle w:val="soitChar"/>
        </w:rPr>
        <w:t xml:space="preserve"> 2. </w:t>
      </w:r>
      <w:r>
        <w:rPr>
          <w:rStyle w:val="soitChar"/>
          <w:u w:val="single"/>
        </w:rPr>
        <w:t>BE 500 S</w:t>
      </w:r>
      <w:r>
        <w:rPr>
          <w:rStyle w:val="soitChar"/>
        </w:rPr>
        <w:t xml:space="preserve"> selon [NBN A 24-302] + [PTV 302].</w:t>
      </w:r>
    </w:p>
    <w:p w14:paraId="7E4CD9AC" w14:textId="77777777" w:rsidR="00DF410E" w:rsidRDefault="00CE7F43">
      <w:pPr>
        <w:pStyle w:val="pheading"/>
      </w:pPr>
      <w:r>
        <w:t>- Finitions</w:t>
      </w:r>
    </w:p>
    <w:p w14:paraId="65478954" w14:textId="77777777" w:rsidR="00DF410E" w:rsidRDefault="00CE7F43">
      <w:r>
        <w:t>La surface du béton brute de décoffrage est</w:t>
      </w:r>
      <w:r>
        <w:rPr>
          <w:rStyle w:val="optioncarChar"/>
        </w:rPr>
        <w:t xml:space="preserve"> lisse </w:t>
      </w:r>
      <w:r>
        <w:t>(par défaut) </w:t>
      </w:r>
      <w:r>
        <w:rPr>
          <w:rStyle w:val="optioncarChar"/>
        </w:rPr>
        <w:t>/ texturée / à relief (ou structurée) / ***</w:t>
      </w:r>
    </w:p>
    <w:p w14:paraId="046C4073" w14:textId="77777777" w:rsidR="00DF410E" w:rsidRDefault="00CE7F43">
      <w:r>
        <w:rPr>
          <w:rStyle w:val="optioncarChar"/>
          <w:color w:val="000000"/>
        </w:rPr>
        <w:t>Les arêtes saillantes des colonnes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47F12297" w14:textId="77777777" w:rsidR="00DF410E" w:rsidRDefault="00CE7F43">
      <w:pPr>
        <w:pStyle w:val="pheading"/>
      </w:pPr>
      <w:r>
        <w:t>- Prescriptions complémentaires</w:t>
      </w:r>
    </w:p>
    <w:p w14:paraId="08C8D825" w14:textId="77777777" w:rsidR="00DF410E" w:rsidRDefault="00CE7F43">
      <w:r>
        <w:t>Résistance au feu :</w:t>
      </w:r>
      <w:r>
        <w:rPr>
          <w:rStyle w:val="optioncarChar"/>
        </w:rPr>
        <w:t> R30 </w:t>
      </w:r>
      <w:r>
        <w:t>(par défaut)</w:t>
      </w:r>
      <w:r>
        <w:rPr>
          <w:rStyle w:val="optioncarChar"/>
        </w:rPr>
        <w:t xml:space="preserve"> / R60 / R120 / R240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1C18BC64" w14:textId="77777777" w:rsidR="00DF410E" w:rsidRDefault="00CE7F43">
      <w:pPr>
        <w:pStyle w:val="pheading"/>
      </w:pPr>
      <w:r>
        <w:t>EXÉCUTION / MISE EN ŒUVRE</w:t>
      </w:r>
    </w:p>
    <w:p w14:paraId="7BFFFD99" w14:textId="77777777" w:rsidR="00DF410E" w:rsidRDefault="00CE7F43">
      <w:pPr>
        <w:pStyle w:val="pheading"/>
      </w:pPr>
      <w:r>
        <w:t>- Prescriptions générales</w:t>
      </w:r>
    </w:p>
    <w:p w14:paraId="26B0DC68" w14:textId="77777777" w:rsidR="00DF410E" w:rsidRDefault="00CE7F43">
      <w:r>
        <w:t xml:space="preserve">Les </w:t>
      </w:r>
      <w:r>
        <w:rPr>
          <w:rStyle w:val="optioncarChar"/>
          <w:color w:val="000000"/>
        </w:rPr>
        <w:t xml:space="preserve">colonnes </w:t>
      </w:r>
      <w:r>
        <w:t>sont exécutées dans les dimensions indiquées sur les plans.</w:t>
      </w:r>
    </w:p>
    <w:p w14:paraId="6A044524" w14:textId="77777777" w:rsidR="00DF410E" w:rsidRDefault="00CE7F43">
      <w:r>
        <w:t>L’entrepreneur est tenu de vérifier si elles peuvent effectivement être réalisées conformément aux plans soumis. Il y a lieu de tenir compte de la hauteur libre requise par rapport au niveau du sol. .</w:t>
      </w:r>
    </w:p>
    <w:p w14:paraId="40DD5B3B" w14:textId="77777777" w:rsidR="00DF410E" w:rsidRDefault="00CE7F43">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t>22 Superstructures en béton</w:t>
        </w:r>
      </w:hyperlink>
      <w:r>
        <w:t xml:space="preserve"> sous-titre </w:t>
      </w:r>
      <w:r>
        <w:rPr>
          <w:u w:val="single"/>
        </w:rPr>
        <w:t>Décoffrage</w:t>
      </w:r>
      <w:r>
        <w:t xml:space="preserve"> et [NBN B 15-400] )</w:t>
      </w:r>
    </w:p>
    <w:p w14:paraId="0701C885" w14:textId="77777777" w:rsidR="00DF410E" w:rsidRDefault="00CE7F43">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6A7640E0" w14:textId="77777777" w:rsidR="00DF410E" w:rsidRDefault="00CE7F43">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55A3B1CF" w14:textId="77777777" w:rsidR="00DF410E" w:rsidRDefault="00CE7F43">
      <w:r>
        <w:rPr>
          <w:u w:val="single"/>
        </w:rPr>
        <w:t>Technique de cure</w:t>
      </w:r>
    </w:p>
    <w:p w14:paraId="03E92347" w14:textId="77777777" w:rsidR="00DF410E" w:rsidRDefault="00CE7F43">
      <w:r>
        <w:rPr>
          <w:rStyle w:val="optioncarChar"/>
        </w:rPr>
        <w:t xml:space="preserve">Au choix de l’entrepreneur </w:t>
      </w:r>
      <w:r>
        <w:t>(par défaut)</w:t>
      </w:r>
      <w:r>
        <w:rPr>
          <w:rStyle w:val="optioncarChar"/>
        </w:rPr>
        <w:t xml:space="preserve"> / maintien de coffrage / pulvérisation d’eau / film plastique / produit de cure/ ***</w:t>
      </w:r>
    </w:p>
    <w:p w14:paraId="21FAFC70" w14:textId="77777777" w:rsidR="00DF410E" w:rsidRDefault="00CE7F43">
      <w:pPr>
        <w:pStyle w:val="pheading"/>
      </w:pPr>
      <w:r>
        <w:t>- Notes d’exécution complémentaires</w:t>
      </w:r>
    </w:p>
    <w:p w14:paraId="34B31D85" w14:textId="77777777" w:rsidR="00DF410E" w:rsidRDefault="00CE7F43">
      <w:r>
        <w:t xml:space="preserve">Raccords visibles entre éléments de coffrage : </w:t>
      </w:r>
      <w:r>
        <w:rPr>
          <w:rStyle w:val="optioncarChar"/>
        </w:rPr>
        <w:t>joint en forme de V </w:t>
      </w:r>
      <w:r>
        <w:t>(par défaut)</w:t>
      </w:r>
      <w:r>
        <w:rPr>
          <w:rStyle w:val="optioncarChar"/>
        </w:rPr>
        <w:t xml:space="preserve">  /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56804012" w14:textId="77777777" w:rsidR="00DF410E" w:rsidRDefault="00CE7F43">
      <w:pPr>
        <w:pStyle w:val="pheading"/>
      </w:pPr>
      <w:r>
        <w:t>MESURAGE</w:t>
      </w:r>
    </w:p>
    <w:p w14:paraId="1126DAB1" w14:textId="77777777" w:rsidR="00DF410E" w:rsidRDefault="00CE7F43">
      <w:r>
        <w:rPr>
          <w:rStyle w:val="headingChar"/>
        </w:rPr>
        <w:t>Armatures</w:t>
      </w:r>
    </w:p>
    <w:p w14:paraId="1AA07E36" w14:textId="77777777" w:rsidR="00DF410E" w:rsidRDefault="00CE7F43">
      <w:r>
        <w:t xml:space="preserve">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1A16A327" w14:textId="77777777" w:rsidR="00DF410E" w:rsidRDefault="00CE7F43">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1" w:history="1">
        <w:r>
          <w:rPr>
            <w:rStyle w:val="soitChar"/>
          </w:rPr>
          <w:t>22.51 Armatures pour béton</w:t>
        </w:r>
      </w:hyperlink>
    </w:p>
    <w:p w14:paraId="717DD838" w14:textId="77777777" w:rsidR="00DF410E" w:rsidRDefault="00CE7F43">
      <w:pPr>
        <w:pStyle w:val="pheading"/>
      </w:pPr>
      <w:r>
        <w:t>- unité de mesure:</w:t>
      </w:r>
    </w:p>
    <w:p w14:paraId="03DCE05F" w14:textId="77777777" w:rsidR="00DF410E" w:rsidRDefault="00CE7F43">
      <w:r>
        <w:rPr>
          <w:rStyle w:val="headingChar"/>
        </w:rPr>
        <w:t>EN BASE</w:t>
      </w:r>
    </w:p>
    <w:p w14:paraId="4B985216" w14:textId="77777777" w:rsidR="00DF410E" w:rsidRDefault="00CE7F43">
      <w:r>
        <w:t>m³</w:t>
      </w:r>
    </w:p>
    <w:p w14:paraId="2D91EAF6" w14:textId="77777777" w:rsidR="00DF410E" w:rsidRDefault="00CE7F43">
      <w:r>
        <w:rPr>
          <w:rStyle w:val="headingChar"/>
        </w:rPr>
        <w:t>EN SUPPLEMENT POUR COFFRAGE PARTICULIER ET COMPLEXE</w:t>
      </w:r>
      <w:r>
        <w:br/>
      </w:r>
    </w:p>
    <w:p w14:paraId="51EFB875" w14:textId="77777777" w:rsidR="00DF410E" w:rsidRDefault="00CE7F43">
      <w:r>
        <w:rPr>
          <w:rStyle w:val="optioncarChar"/>
        </w:rPr>
        <w:t xml:space="preserve">m² </w:t>
      </w:r>
      <w:r>
        <w:t>(par défaut)</w:t>
      </w:r>
      <w:r>
        <w:rPr>
          <w:rStyle w:val="optioncarChar"/>
        </w:rPr>
        <w:t xml:space="preserve"> / m³</w:t>
      </w:r>
    </w:p>
    <w:p w14:paraId="74843937" w14:textId="77777777" w:rsidR="00DF410E" w:rsidRDefault="00CE7F43">
      <w:r>
        <w:rPr>
          <w:b/>
        </w:rPr>
        <w:t>(Soit par défaut)</w:t>
      </w:r>
      <w:r>
        <w:br/>
      </w:r>
      <w:r>
        <w:rPr>
          <w:rStyle w:val="soitChar"/>
        </w:rPr>
        <w:t>1. m</w:t>
      </w:r>
      <w:r>
        <w:rPr>
          <w:rStyle w:val="soitChar"/>
          <w:vertAlign w:val="superscript"/>
        </w:rPr>
        <w:t>2</w:t>
      </w:r>
      <w:r>
        <w:br/>
      </w:r>
      <w:r>
        <w:rPr>
          <w:b/>
        </w:rPr>
        <w:t>(soit)</w:t>
      </w:r>
      <w:r>
        <w:br/>
      </w:r>
      <w:r>
        <w:rPr>
          <w:rStyle w:val="soitChar"/>
        </w:rPr>
        <w:t>2. m</w:t>
      </w:r>
      <w:r>
        <w:rPr>
          <w:rStyle w:val="soitChar"/>
          <w:vertAlign w:val="superscript"/>
        </w:rPr>
        <w:t>3</w:t>
      </w:r>
    </w:p>
    <w:p w14:paraId="0F93F595" w14:textId="77777777" w:rsidR="00DF410E" w:rsidRDefault="00CE7F43">
      <w:pPr>
        <w:pStyle w:val="pheading"/>
      </w:pPr>
      <w:r>
        <w:t>- code de mesurage:</w:t>
      </w:r>
    </w:p>
    <w:p w14:paraId="3A411FAF" w14:textId="77777777" w:rsidR="00DF410E" w:rsidRDefault="00CE7F43">
      <w:r>
        <w:t xml:space="preserve">Le coffrage n'est jamais mesuré séparément et doit toujours être compris dans le prix unitaire du béton de centrale, sauf pour les coffrages de conception architecturale particulière pour lesquels, uniquement s’ils sont mentionnés explicitement dans le cahier spécial des charges et/ou le métré récapitulatif, un supplément peut être accordé. </w:t>
      </w:r>
      <w:r>
        <w:br/>
      </w:r>
    </w:p>
    <w:p w14:paraId="6F694C25" w14:textId="77777777" w:rsidR="00DF410E" w:rsidRDefault="00CE7F43">
      <w:r>
        <w:rPr>
          <w:rStyle w:val="headingChar"/>
        </w:rPr>
        <w:t>EN BASE</w:t>
      </w:r>
    </w:p>
    <w:p w14:paraId="359B23E6" w14:textId="77777777" w:rsidR="00DF410E" w:rsidRDefault="00CE7F43">
      <w:r>
        <w:t>volume net (selon la [NBN B 06-001]) mesuré entre la dalle de sol et les poutres.</w:t>
      </w:r>
    </w:p>
    <w:p w14:paraId="1BBCFD28" w14:textId="77777777" w:rsidR="00DF410E" w:rsidRDefault="00CE7F43">
      <w:r>
        <w:t>volume net, mesuré selon les dimensions nominales indiquées sur les plans.</w:t>
      </w:r>
    </w:p>
    <w:p w14:paraId="3C48AFC3" w14:textId="77777777" w:rsidR="00DF410E" w:rsidRDefault="00CE7F43">
      <w:pPr>
        <w:pStyle w:val="Author-eListParagraph"/>
        <w:numPr>
          <w:ilvl w:val="0"/>
          <w:numId w:val="385"/>
        </w:numPr>
      </w:pPr>
      <w:r>
        <w:t>Les éléments en béton non rectangulaires sont calculés en multipliant la longueur par la surface de la section.</w:t>
      </w:r>
    </w:p>
    <w:p w14:paraId="4B8BA993" w14:textId="77777777" w:rsidR="00DF410E" w:rsidRDefault="00CE7F43">
      <w:pPr>
        <w:pStyle w:val="Author-eListParagraph"/>
        <w:numPr>
          <w:ilvl w:val="0"/>
          <w:numId w:val="385"/>
        </w:numPr>
      </w:pPr>
      <w:r>
        <w:t>Le contenu des volumes résiduels au droit des angles, rencontres et terminaisons est négligé.</w:t>
      </w:r>
    </w:p>
    <w:p w14:paraId="47F54F28" w14:textId="77777777" w:rsidR="00DF410E" w:rsidRDefault="00CE7F43">
      <w:pPr>
        <w:pStyle w:val="Author-eListParagraph"/>
        <w:numPr>
          <w:ilvl w:val="0"/>
          <w:numId w:val="385"/>
        </w:numPr>
      </w:pPr>
      <w:r>
        <w:t xml:space="preserve">Aucune déduction n'est faite pour: </w:t>
      </w:r>
    </w:p>
    <w:p w14:paraId="28EA9ACF" w14:textId="77777777" w:rsidR="00DF410E" w:rsidRDefault="00CE7F43">
      <w:pPr>
        <w:pStyle w:val="Author-eListParagraph"/>
        <w:numPr>
          <w:ilvl w:val="1"/>
          <w:numId w:val="386"/>
        </w:numPr>
      </w:pPr>
      <w:r>
        <w:t>le volume des armatures,</w:t>
      </w:r>
    </w:p>
    <w:p w14:paraId="4B41B28B" w14:textId="77777777" w:rsidR="00DF410E" w:rsidRDefault="00CE7F43">
      <w:pPr>
        <w:pStyle w:val="Author-eListParagraph"/>
        <w:numPr>
          <w:ilvl w:val="1"/>
          <w:numId w:val="386"/>
        </w:numPr>
      </w:pPr>
      <w:r>
        <w:t>les blocs et écarteurs, les fourreaux pour les armatures de précontrainte ;</w:t>
      </w:r>
    </w:p>
    <w:p w14:paraId="326B52F1" w14:textId="77777777" w:rsidR="00DF410E" w:rsidRDefault="00CE7F43">
      <w:pPr>
        <w:pStyle w:val="Author-eListParagraph"/>
        <w:numPr>
          <w:ilvl w:val="1"/>
          <w:numId w:val="386"/>
        </w:numPr>
      </w:pPr>
      <w:r>
        <w:t>les pénétrations pour les pattes d’ancrage, les creux, les conduites noyées et les réservations dont le volume est inférieur à 0,05 m</w:t>
      </w:r>
      <w:r>
        <w:rPr>
          <w:vertAlign w:val="superscript"/>
        </w:rPr>
        <w:t>3</w:t>
      </w:r>
      <w:r>
        <w:t>.</w:t>
      </w:r>
    </w:p>
    <w:p w14:paraId="5A59B639" w14:textId="77777777" w:rsidR="00DF410E" w:rsidRDefault="00CE7F43">
      <w:pPr>
        <w:pStyle w:val="Author-eListParagraph"/>
        <w:numPr>
          <w:ilvl w:val="1"/>
          <w:numId w:val="386"/>
        </w:numPr>
      </w:pPr>
      <w:r>
        <w:t>les chanfreins et tous les profils dont la section a une superficie inférieure à 20 cm</w:t>
      </w:r>
      <w:r>
        <w:rPr>
          <w:vertAlign w:val="superscript"/>
        </w:rPr>
        <w:t>2</w:t>
      </w:r>
      <w:r>
        <w:t>.</w:t>
      </w:r>
    </w:p>
    <w:p w14:paraId="3EB09E45" w14:textId="77777777" w:rsidR="00DF410E" w:rsidRDefault="00CE7F43">
      <w:pPr>
        <w:pStyle w:val="Author-eListParagraph"/>
        <w:numPr>
          <w:ilvl w:val="1"/>
          <w:numId w:val="386"/>
        </w:numPr>
      </w:pPr>
      <w:r>
        <w:t>les rainures, encoches et languettes.</w:t>
      </w:r>
    </w:p>
    <w:p w14:paraId="18B496AF" w14:textId="77777777" w:rsidR="00DF410E" w:rsidRDefault="00CE7F43">
      <w:r>
        <w:rPr>
          <w:rStyle w:val="headingChar"/>
        </w:rPr>
        <w:t>EN SUPPLEMENT POUR COFFRAGE PARTICULIER ET COMPLEXE</w:t>
      </w:r>
      <w:r>
        <w:br/>
      </w:r>
    </w:p>
    <w:p w14:paraId="63057457" w14:textId="77777777" w:rsidR="00DF410E" w:rsidRDefault="00CE7F43">
      <w:r>
        <w:rPr>
          <w:rStyle w:val="optioncarChar"/>
        </w:rPr>
        <w:t xml:space="preserve">Surface </w:t>
      </w:r>
      <w:r>
        <w:t>(par défaut)</w:t>
      </w:r>
      <w:r>
        <w:rPr>
          <w:rStyle w:val="optioncarChar"/>
        </w:rPr>
        <w:t xml:space="preserve"> / Volume net </w:t>
      </w:r>
      <w:r>
        <w:t>mesurés selon les dimensions nominales indiquées sur les plans.</w:t>
      </w:r>
    </w:p>
    <w:p w14:paraId="634D135B" w14:textId="77777777" w:rsidR="00DF410E" w:rsidRDefault="00CE7F43">
      <w:r>
        <w:rPr>
          <w:b/>
        </w:rPr>
        <w:t>(Soit par défaut)</w:t>
      </w:r>
      <w:r>
        <w:br/>
      </w:r>
      <w:r>
        <w:rPr>
          <w:rStyle w:val="soitChar"/>
        </w:rPr>
        <w:t xml:space="preserve">1. </w:t>
      </w:r>
      <w:r>
        <w:rPr>
          <w:rStyle w:val="soitChar"/>
          <w:u w:val="single"/>
        </w:rPr>
        <w:t>Surface :</w:t>
      </w:r>
    </w:p>
    <w:p w14:paraId="1EEC7D87" w14:textId="77777777" w:rsidR="00DF410E" w:rsidRDefault="00CE7F43">
      <w:pPr>
        <w:pStyle w:val="Author-eListParagraph"/>
        <w:numPr>
          <w:ilvl w:val="0"/>
          <w:numId w:val="387"/>
        </w:numPr>
      </w:pPr>
      <w:r>
        <w:t>Les surfaces supérieures qui ont une inclinaison plus forte que 6/4 sont considérées comme surfaces à coffrer.</w:t>
      </w:r>
    </w:p>
    <w:p w14:paraId="719853FF" w14:textId="77777777" w:rsidR="00DF410E" w:rsidRDefault="00CE7F43">
      <w:pPr>
        <w:pStyle w:val="Author-eListParagraph"/>
        <w:numPr>
          <w:ilvl w:val="0"/>
          <w:numId w:val="387"/>
        </w:numPr>
      </w:pPr>
      <w:r>
        <w:t xml:space="preserve">On ne déduit pas les surfaces </w:t>
      </w:r>
    </w:p>
    <w:p w14:paraId="7BDB4110" w14:textId="77777777" w:rsidR="00DF410E" w:rsidRDefault="00CE7F43">
      <w:pPr>
        <w:pStyle w:val="Author-eListParagraph"/>
        <w:numPr>
          <w:ilvl w:val="1"/>
          <w:numId w:val="388"/>
        </w:numPr>
      </w:pPr>
      <w:r>
        <w:t>des évidements égaux ou inférieurs à 1 m</w:t>
      </w:r>
      <w:r>
        <w:rPr>
          <w:vertAlign w:val="superscript"/>
        </w:rPr>
        <w:t>2</w:t>
      </w:r>
    </w:p>
    <w:p w14:paraId="255C0484" w14:textId="77777777" w:rsidR="00DF410E" w:rsidRDefault="00CE7F43">
      <w:pPr>
        <w:pStyle w:val="Author-eListParagraph"/>
        <w:numPr>
          <w:ilvl w:val="1"/>
          <w:numId w:val="388"/>
        </w:numPr>
      </w:pPr>
      <w:r>
        <w:t>des raccordements de poutres entre elles ou avec les parois ou les colonnes.</w:t>
      </w:r>
    </w:p>
    <w:p w14:paraId="5625FF9D" w14:textId="77777777" w:rsidR="00DF410E" w:rsidRDefault="00CE7F43">
      <w:pPr>
        <w:pStyle w:val="Author-eListParagraph"/>
        <w:numPr>
          <w:ilvl w:val="0"/>
          <w:numId w:val="387"/>
        </w:numPr>
      </w:pPr>
      <w:r>
        <w:t>Le coffrage des évidements, des gaines, etc. égaux ou inférieurs à 1 m</w:t>
      </w:r>
      <w:r>
        <w:rPr>
          <w:vertAlign w:val="superscript"/>
        </w:rPr>
        <w:t>2</w:t>
      </w:r>
      <w:r>
        <w:t xml:space="preserve"> est mesuré à la pièce.</w:t>
      </w:r>
    </w:p>
    <w:p w14:paraId="0ACC04B4" w14:textId="77777777" w:rsidR="00DF410E" w:rsidRDefault="00CE7F43">
      <w:pPr>
        <w:pStyle w:val="Author-eListParagraph"/>
        <w:numPr>
          <w:ilvl w:val="0"/>
          <w:numId w:val="387"/>
        </w:numPr>
      </w:pPr>
      <w:r>
        <w:t>Le coffrage des évidements supérieurs à 1 m</w:t>
      </w:r>
      <w:r>
        <w:rPr>
          <w:vertAlign w:val="superscript"/>
        </w:rPr>
        <w:t>2</w:t>
      </w:r>
      <w:r>
        <w:t xml:space="preserve"> est compté avec l'élément correspondant.</w:t>
      </w:r>
    </w:p>
    <w:p w14:paraId="4FDD18A0" w14:textId="77777777" w:rsidR="00DF410E" w:rsidRDefault="00CE7F43">
      <w:pPr>
        <w:pStyle w:val="Author-eListParagraph"/>
        <w:numPr>
          <w:ilvl w:val="0"/>
          <w:numId w:val="387"/>
        </w:numPr>
      </w:pPr>
      <w:r>
        <w:t>Pour la mesure de la surface des coffrages, il n'est pas tenu compte des lattes de coin et des autres lattes incorporées en vue de donner les profilés voulus et qui sont fixées dans le coffrage.</w:t>
      </w:r>
    </w:p>
    <w:p w14:paraId="7006848B" w14:textId="77777777" w:rsidR="00DF410E" w:rsidRDefault="00CE7F43">
      <w:pPr>
        <w:pStyle w:val="Author-eListParagraph"/>
        <w:numPr>
          <w:ilvl w:val="0"/>
          <w:numId w:val="387"/>
        </w:numPr>
      </w:pPr>
      <w:r>
        <w:t>Les coffrages latéraux et les coffrages des têtes sont comptés avec l'élément correspondant.</w:t>
      </w:r>
    </w:p>
    <w:p w14:paraId="4517C135" w14:textId="77777777" w:rsidR="00DF410E" w:rsidRDefault="00CE7F43">
      <w:pPr>
        <w:pStyle w:val="Author-eListParagraph"/>
        <w:numPr>
          <w:ilvl w:val="0"/>
          <w:numId w:val="387"/>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3B5BD9B5" w14:textId="77777777" w:rsidR="00DF410E" w:rsidRDefault="00CE7F43">
      <w:pPr>
        <w:pStyle w:val="Author-eListParagraph"/>
        <w:numPr>
          <w:ilvl w:val="0"/>
          <w:numId w:val="387"/>
        </w:numPr>
      </w:pPr>
      <w:r>
        <w:t>A l'intersection de poutres, le coffrage de la plus épaisse est mesuré en continu. Le coffrage des autres est mesuré entre celui des plus épaisses.</w:t>
      </w:r>
    </w:p>
    <w:p w14:paraId="4DBBCB38" w14:textId="77777777" w:rsidR="00DF410E" w:rsidRDefault="00CE7F43">
      <w:pPr>
        <w:pStyle w:val="Author-eListParagraph"/>
        <w:numPr>
          <w:ilvl w:val="0"/>
          <w:numId w:val="387"/>
        </w:numPr>
      </w:pPr>
      <w:r>
        <w:t>Le coffrage des poutres est mesuré sans tenir compte d'interruptions telles que des colonnes, même si les poutres sont plus étroites que les colonnes.</w:t>
      </w:r>
    </w:p>
    <w:p w14:paraId="387014B6" w14:textId="77777777" w:rsidR="00DF410E" w:rsidRDefault="00CE7F43">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3ED75D23" w14:textId="77777777" w:rsidR="00DF410E" w:rsidRDefault="00CE7F43">
      <w:pPr>
        <w:pStyle w:val="pheading"/>
      </w:pPr>
      <w:r>
        <w:t>- nature du marché:</w:t>
      </w:r>
    </w:p>
    <w:p w14:paraId="671CEB71" w14:textId="77777777" w:rsidR="00DF410E" w:rsidRDefault="00CE7F43">
      <w:r>
        <w:rPr>
          <w:i/>
          <w:u w:val="single"/>
        </w:rPr>
        <w:t xml:space="preserve">&gt; Remarque </w:t>
      </w:r>
    </w:p>
    <w:p w14:paraId="5B81452F" w14:textId="77777777" w:rsidR="00DF410E" w:rsidRDefault="00CE7F43">
      <w:pPr>
        <w:pStyle w:val="Author-eListParagraph"/>
        <w:numPr>
          <w:ilvl w:val="0"/>
          <w:numId w:val="389"/>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094814F0" w14:textId="77777777" w:rsidR="00DF410E" w:rsidRDefault="00CE7F43">
      <w:pPr>
        <w:pStyle w:val="Author-eListParagraph"/>
        <w:numPr>
          <w:ilvl w:val="0"/>
          <w:numId w:val="389"/>
        </w:numPr>
      </w:pPr>
      <w:r>
        <w:rPr>
          <w:i/>
        </w:rPr>
        <w:t xml:space="preserve">Les quantités de béton ne sont jamais mesurées sur la base des bons de livraison soumis par l’entrepreneur. </w:t>
      </w:r>
    </w:p>
    <w:p w14:paraId="2D57EE24" w14:textId="77777777" w:rsidR="00DF410E" w:rsidRDefault="00CE7F43">
      <w:r>
        <w:rPr>
          <w:rStyle w:val="headingChar"/>
        </w:rPr>
        <w:t>EN BASE</w:t>
      </w:r>
    </w:p>
    <w:p w14:paraId="2157A256" w14:textId="77777777" w:rsidR="00DF410E" w:rsidRDefault="00CE7F43">
      <w:r>
        <w:rPr>
          <w:rStyle w:val="optioncarChar"/>
        </w:rPr>
        <w:t xml:space="preserve">QF </w:t>
      </w:r>
      <w:r>
        <w:t>(par défaut)</w:t>
      </w:r>
      <w:r>
        <w:rPr>
          <w:rStyle w:val="optioncarChar"/>
        </w:rPr>
        <w:t xml:space="preserve"> / QP / PM</w:t>
      </w:r>
    </w:p>
    <w:p w14:paraId="39FB8D1E" w14:textId="77777777" w:rsidR="00DF410E" w:rsidRDefault="00CE7F43">
      <w:r>
        <w:rPr>
          <w:rStyle w:val="headingChar"/>
        </w:rPr>
        <w:t>SUPPLEMENT POUR COFFRAGE PARTICULIER ET COMPLEXE</w:t>
      </w:r>
      <w:r>
        <w:br/>
      </w:r>
    </w:p>
    <w:p w14:paraId="02618381" w14:textId="77777777" w:rsidR="00DF410E" w:rsidRDefault="00CE7F43">
      <w:r>
        <w:rPr>
          <w:rStyle w:val="optioncarChar"/>
        </w:rPr>
        <w:t xml:space="preserve">QF </w:t>
      </w:r>
      <w:r>
        <w:t xml:space="preserve">(par défaut) </w:t>
      </w:r>
      <w:r>
        <w:rPr>
          <w:rStyle w:val="optioncarChar"/>
        </w:rPr>
        <w:t>/ QP</w:t>
      </w:r>
    </w:p>
    <w:p w14:paraId="71FEA9E7" w14:textId="77777777" w:rsidR="00DF410E" w:rsidRDefault="00CE7F43">
      <w:r>
        <w:rPr>
          <w:u w:val="single"/>
        </w:rPr>
        <w:t>Attention</w:t>
      </w:r>
      <w:r>
        <w:t xml:space="preserve"> : dans le cas où les armatures ne sont pas comprises dans le prix unitaire du béton, se référer aux § </w:t>
      </w:r>
      <w:hyperlink w:anchor="232" w:history="1">
        <w:r>
          <w:t>22.51.1 Barres d'armatures pour béton</w:t>
        </w:r>
      </w:hyperlink>
      <w:r>
        <w:t xml:space="preserve"> et § </w:t>
      </w:r>
      <w:hyperlink w:anchor="233" w:history="1">
        <w:r>
          <w:t>22.51.2 Treillis et panneaux d'armatures préfabriqués</w:t>
        </w:r>
      </w:hyperlink>
      <w:r>
        <w:t xml:space="preserve">. Pour les armatures de précontrainte, se référer au § </w:t>
      </w:r>
      <w:hyperlink w:anchor="481" w:history="1">
        <w:r>
          <w:t>22.52.1 Armatures de précontrainte par post-tension</w:t>
        </w:r>
      </w:hyperlink>
      <w:r>
        <w:t>.</w:t>
      </w:r>
    </w:p>
    <w:p w14:paraId="51C8EC0B" w14:textId="77777777" w:rsidR="00DF410E" w:rsidRDefault="00CE7F43">
      <w:pPr>
        <w:pStyle w:val="Author-eSectionHeading5"/>
      </w:pPr>
      <w:bookmarkStart w:id="697" w:name="_Toc178837866"/>
      <w:r>
        <w:t>22.14.2 Colonnes en béton apparent (esthétique) coulé en place CCTB 01.04</w:t>
      </w:r>
      <w:bookmarkEnd w:id="697"/>
    </w:p>
    <w:p w14:paraId="24144CC5" w14:textId="77777777" w:rsidR="00DF410E" w:rsidRDefault="00CE7F43">
      <w:pPr>
        <w:pStyle w:val="Author-eSectionHeading6"/>
      </w:pPr>
      <w:bookmarkStart w:id="698" w:name="_Toc178837867"/>
      <w:r>
        <w:t>22.14.2a Colonnes en béton apparent (esthétique) armé coulé en place CCTB 01.11</w:t>
      </w:r>
      <w:bookmarkEnd w:id="698"/>
    </w:p>
    <w:p w14:paraId="39D1F530" w14:textId="77777777" w:rsidR="00DF410E" w:rsidRDefault="00CE7F43">
      <w:pPr>
        <w:pStyle w:val="pheading"/>
      </w:pPr>
      <w:bookmarkStart w:id="699" w:name="177"/>
      <w:bookmarkEnd w:id="699"/>
      <w:r>
        <w:t>DESCRIPTION</w:t>
      </w:r>
    </w:p>
    <w:p w14:paraId="46B80130" w14:textId="77777777" w:rsidR="00DF410E" w:rsidRDefault="00CE7F43">
      <w:pPr>
        <w:pStyle w:val="pheading"/>
      </w:pPr>
      <w:r>
        <w:t>- Définition / Comprend</w:t>
      </w:r>
    </w:p>
    <w:p w14:paraId="1C12649C" w14:textId="77777777" w:rsidR="00DF410E" w:rsidRDefault="00CE7F43">
      <w:r>
        <w:t xml:space="preserve">Il s'agit de l’ensemble des colonnes (éléments verticaux ou obliques) exécutés en béton apparent. Les travaux comprennent les éléments décrits en </w:t>
      </w:r>
      <w:hyperlink w:anchor="87"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08AA63CE" w14:textId="77777777" w:rsidR="00DF410E" w:rsidRDefault="00CE7F43">
      <w:r>
        <w:t xml:space="preserve">L'étude et les plans d'exécution </w:t>
      </w:r>
      <w:r>
        <w:rPr>
          <w:rStyle w:val="optioncarChar"/>
        </w:rPr>
        <w:t>sont / ne sont pas</w:t>
      </w:r>
      <w:r>
        <w:t xml:space="preserve"> à charge de l'entreprise.</w:t>
      </w:r>
    </w:p>
    <w:p w14:paraId="0BC392FB" w14:textId="77777777" w:rsidR="00DF410E" w:rsidRDefault="00CE7F43">
      <w:pPr>
        <w:pStyle w:val="pheading"/>
      </w:pPr>
      <w:r>
        <w:t>MATÉRIAUX</w:t>
      </w:r>
    </w:p>
    <w:p w14:paraId="68EA630D" w14:textId="77777777" w:rsidR="00DF410E" w:rsidRDefault="00CE7F43">
      <w:pPr>
        <w:pStyle w:val="pheading"/>
      </w:pPr>
      <w:r>
        <w:t>- Caractéristiques générales</w:t>
      </w:r>
    </w:p>
    <w:p w14:paraId="02E6C896" w14:textId="77777777" w:rsidR="00DF410E" w:rsidRDefault="00DF410E"/>
    <w:p w14:paraId="6AA9D451" w14:textId="77777777" w:rsidR="00DF410E" w:rsidRDefault="00CE7F43">
      <w:pPr>
        <w:pStyle w:val="Author-eListParagraph"/>
        <w:numPr>
          <w:ilvl w:val="0"/>
          <w:numId w:val="390"/>
        </w:numPr>
      </w:pPr>
      <w:r>
        <w:t xml:space="preserve">Qualité du béton selon la [NBN EN 206:2013+A2] et la [NBN B 15-001] :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197BF300" w14:textId="77777777">
        <w:tc>
          <w:tcPr>
            <w:tcW w:w="1500" w:type="dxa"/>
            <w:noWrap/>
          </w:tcPr>
          <w:p w14:paraId="10431F9E" w14:textId="77777777" w:rsidR="00DF410E" w:rsidRDefault="00CE7F43">
            <w:pPr>
              <w:jc w:val="center"/>
            </w:pPr>
            <w:r>
              <w:rPr>
                <w:b/>
              </w:rPr>
              <w:t>A</w:t>
            </w:r>
          </w:p>
        </w:tc>
        <w:tc>
          <w:tcPr>
            <w:tcW w:w="1500" w:type="dxa"/>
            <w:noWrap/>
          </w:tcPr>
          <w:p w14:paraId="7A20A1FF" w14:textId="77777777" w:rsidR="00DF410E" w:rsidRDefault="00CE7F43">
            <w:pPr>
              <w:jc w:val="center"/>
            </w:pPr>
            <w:r>
              <w:rPr>
                <w:b/>
              </w:rPr>
              <w:t>B1</w:t>
            </w:r>
          </w:p>
        </w:tc>
        <w:tc>
          <w:tcPr>
            <w:tcW w:w="1500" w:type="dxa"/>
            <w:noWrap/>
          </w:tcPr>
          <w:p w14:paraId="50F3BD47" w14:textId="77777777" w:rsidR="00DF410E" w:rsidRDefault="00CE7F43">
            <w:pPr>
              <w:jc w:val="center"/>
            </w:pPr>
            <w:r>
              <w:rPr>
                <w:b/>
              </w:rPr>
              <w:t>B2</w:t>
            </w:r>
          </w:p>
        </w:tc>
        <w:tc>
          <w:tcPr>
            <w:tcW w:w="1500" w:type="dxa"/>
            <w:noWrap/>
          </w:tcPr>
          <w:p w14:paraId="31B1408F" w14:textId="77777777" w:rsidR="00DF410E" w:rsidRDefault="00CE7F43">
            <w:pPr>
              <w:jc w:val="center"/>
            </w:pPr>
            <w:r>
              <w:rPr>
                <w:b/>
              </w:rPr>
              <w:t>C</w:t>
            </w:r>
          </w:p>
        </w:tc>
        <w:tc>
          <w:tcPr>
            <w:tcW w:w="1500" w:type="dxa"/>
            <w:noWrap/>
          </w:tcPr>
          <w:p w14:paraId="780679C6" w14:textId="77777777" w:rsidR="00DF410E" w:rsidRDefault="00CE7F43">
            <w:pPr>
              <w:jc w:val="center"/>
            </w:pPr>
            <w:r>
              <w:rPr>
                <w:b/>
              </w:rPr>
              <w:t>D</w:t>
            </w:r>
          </w:p>
        </w:tc>
        <w:tc>
          <w:tcPr>
            <w:tcW w:w="1500" w:type="dxa"/>
            <w:noWrap/>
          </w:tcPr>
          <w:p w14:paraId="2B7A9A3D" w14:textId="77777777" w:rsidR="00DF410E" w:rsidRDefault="00CE7F43">
            <w:pPr>
              <w:jc w:val="center"/>
            </w:pPr>
            <w:r>
              <w:rPr>
                <w:b/>
              </w:rPr>
              <w:t>E</w:t>
            </w:r>
          </w:p>
        </w:tc>
      </w:tr>
      <w:tr w:rsidR="00DF410E" w14:paraId="58E44C38" w14:textId="77777777">
        <w:tc>
          <w:tcPr>
            <w:tcW w:w="1500" w:type="dxa"/>
            <w:noWrap/>
          </w:tcPr>
          <w:p w14:paraId="4325FC80" w14:textId="77777777" w:rsidR="00DF410E" w:rsidRDefault="00CE7F43">
            <w:pPr>
              <w:jc w:val="center"/>
            </w:pPr>
            <w:r>
              <w:rPr>
                <w:b/>
              </w:rPr>
              <w:t>Classe de résistance</w:t>
            </w:r>
          </w:p>
        </w:tc>
        <w:tc>
          <w:tcPr>
            <w:tcW w:w="1500" w:type="dxa"/>
            <w:noWrap/>
          </w:tcPr>
          <w:p w14:paraId="23548881" w14:textId="77777777" w:rsidR="00DF410E" w:rsidRDefault="00CE7F43">
            <w:pPr>
              <w:jc w:val="center"/>
            </w:pPr>
            <w:r>
              <w:rPr>
                <w:b/>
              </w:rPr>
              <w:t>Domaine d’application</w:t>
            </w:r>
          </w:p>
        </w:tc>
        <w:tc>
          <w:tcPr>
            <w:tcW w:w="1500" w:type="dxa"/>
            <w:noWrap/>
          </w:tcPr>
          <w:p w14:paraId="7D0573B5" w14:textId="77777777" w:rsidR="00DF410E" w:rsidRDefault="00CE7F43">
            <w:pPr>
              <w:jc w:val="center"/>
            </w:pPr>
            <w:r>
              <w:rPr>
                <w:b/>
              </w:rPr>
              <w:t>Classe d'environnement</w:t>
            </w:r>
          </w:p>
        </w:tc>
        <w:tc>
          <w:tcPr>
            <w:tcW w:w="1500" w:type="dxa"/>
            <w:noWrap/>
          </w:tcPr>
          <w:p w14:paraId="5534E575" w14:textId="77777777" w:rsidR="00DF410E" w:rsidRDefault="00CE7F43">
            <w:pPr>
              <w:jc w:val="center"/>
            </w:pPr>
            <w:r>
              <w:rPr>
                <w:b/>
              </w:rPr>
              <w:t>Classe de consistance</w:t>
            </w:r>
          </w:p>
        </w:tc>
        <w:tc>
          <w:tcPr>
            <w:tcW w:w="1500" w:type="dxa"/>
            <w:noWrap/>
          </w:tcPr>
          <w:p w14:paraId="69539956" w14:textId="77777777" w:rsidR="00DF410E" w:rsidRDefault="00CE7F43">
            <w:pPr>
              <w:jc w:val="center"/>
            </w:pPr>
            <w:r>
              <w:rPr>
                <w:b/>
              </w:rPr>
              <w:t>Granulométrie maximale</w:t>
            </w:r>
          </w:p>
        </w:tc>
        <w:tc>
          <w:tcPr>
            <w:tcW w:w="1500" w:type="dxa"/>
            <w:noWrap/>
          </w:tcPr>
          <w:p w14:paraId="472E5E4B" w14:textId="77777777" w:rsidR="00DF410E" w:rsidRDefault="00CE7F43">
            <w:r>
              <w:rPr>
                <w:b/>
              </w:rPr>
              <w:t>Données complémentaires</w:t>
            </w:r>
          </w:p>
        </w:tc>
      </w:tr>
      <w:tr w:rsidR="00DF410E" w14:paraId="7AB4DFAF" w14:textId="77777777">
        <w:tc>
          <w:tcPr>
            <w:tcW w:w="1500" w:type="dxa"/>
            <w:noWrap/>
          </w:tcPr>
          <w:p w14:paraId="494CEC8A" w14:textId="77777777" w:rsidR="00DF410E" w:rsidRDefault="00CE7F43">
            <w:pPr>
              <w:jc w:val="center"/>
            </w:pPr>
            <w:r>
              <w:rPr>
                <w:rStyle w:val="optioncarChar"/>
              </w:rPr>
              <w:t>C25/30 / C30/37 / C35/45 / C45/55 / C50/60 / C55/67 / C60/75 / C70/85 / C80/95 / C90/105</w:t>
            </w:r>
          </w:p>
        </w:tc>
        <w:tc>
          <w:tcPr>
            <w:tcW w:w="1500" w:type="dxa"/>
            <w:noWrap/>
          </w:tcPr>
          <w:p w14:paraId="271B4F10" w14:textId="77777777" w:rsidR="00DF410E" w:rsidRDefault="00CE7F43">
            <w:pPr>
              <w:jc w:val="center"/>
            </w:pPr>
            <w:r>
              <w:t>Béton armé</w:t>
            </w:r>
          </w:p>
          <w:p w14:paraId="5DB4E5FD" w14:textId="77777777" w:rsidR="00DF410E" w:rsidRDefault="00DF410E"/>
        </w:tc>
        <w:tc>
          <w:tcPr>
            <w:tcW w:w="1500" w:type="dxa"/>
            <w:noWrap/>
          </w:tcPr>
          <w:p w14:paraId="7FE7F831" w14:textId="77777777" w:rsidR="00DF410E" w:rsidRDefault="00CE7F43">
            <w:pPr>
              <w:jc w:val="center"/>
            </w:pPr>
            <w:r>
              <w:rPr>
                <w:rStyle w:val="optioncarChar"/>
              </w:rPr>
              <w:t>E0 / EI / EE1 / EE2 / EE3 / EE4 / ES1 / ES2 / ES3 / ES4 / EA1+*** / EA2+***/ EA3+***</w:t>
            </w:r>
          </w:p>
        </w:tc>
        <w:tc>
          <w:tcPr>
            <w:tcW w:w="1500" w:type="dxa"/>
            <w:noWrap/>
          </w:tcPr>
          <w:p w14:paraId="0129757A" w14:textId="77777777" w:rsidR="00DF410E" w:rsidRDefault="00CE7F43">
            <w:pPr>
              <w:jc w:val="center"/>
            </w:pPr>
            <w:r>
              <w:t>au choix de l'entrepreneur :</w:t>
            </w:r>
          </w:p>
          <w:p w14:paraId="2E8C7E99" w14:textId="77777777" w:rsidR="00DF410E" w:rsidRDefault="00CE7F43">
            <w:pPr>
              <w:jc w:val="center"/>
            </w:pPr>
            <w:r>
              <w:rPr>
                <w:rStyle w:val="optioncarChar"/>
              </w:rPr>
              <w:t xml:space="preserve">S3 / S4 / S5 </w:t>
            </w:r>
          </w:p>
          <w:p w14:paraId="5EE16CAD" w14:textId="77777777" w:rsidR="00DF410E" w:rsidRDefault="00CE7F43">
            <w:pPr>
              <w:jc w:val="center"/>
            </w:pPr>
            <w:r>
              <w:rPr>
                <w:rStyle w:val="optioncarChar"/>
              </w:rPr>
              <w:t>F3 / F4 / F5 / F6</w:t>
            </w:r>
            <w:r>
              <w:br/>
            </w:r>
          </w:p>
        </w:tc>
        <w:tc>
          <w:tcPr>
            <w:tcW w:w="1500" w:type="dxa"/>
            <w:noWrap/>
          </w:tcPr>
          <w:p w14:paraId="09131DED" w14:textId="77777777" w:rsidR="00DF410E" w:rsidRDefault="00CE7F43">
            <w:pPr>
              <w:jc w:val="center"/>
            </w:pPr>
            <w:r>
              <w:t>au choix de l'entrepreneur :</w:t>
            </w:r>
          </w:p>
          <w:p w14:paraId="3D6FCCA3" w14:textId="77777777" w:rsidR="00DF410E" w:rsidRDefault="00CE7F43">
            <w:pPr>
              <w:jc w:val="center"/>
            </w:pPr>
            <w:r>
              <w:rPr>
                <w:rStyle w:val="optioncarChar"/>
              </w:rPr>
              <w:t>6 / 8 / 10 / 11 / 12 / 14 / 16 / 20 / 22 / 32 </w:t>
            </w:r>
            <w:r>
              <w:t>mm</w:t>
            </w:r>
          </w:p>
        </w:tc>
        <w:tc>
          <w:tcPr>
            <w:tcW w:w="1500" w:type="dxa"/>
            <w:noWrap/>
          </w:tcPr>
          <w:p w14:paraId="050A6442" w14:textId="77777777" w:rsidR="00DF410E" w:rsidRDefault="00CE7F43">
            <w:pPr>
              <w:jc w:val="center"/>
            </w:pPr>
            <w:r>
              <w:rPr>
                <w:rStyle w:val="optioncarChar"/>
              </w:rPr>
              <w:t>***</w:t>
            </w:r>
          </w:p>
        </w:tc>
      </w:tr>
    </w:tbl>
    <w:p w14:paraId="07F6471F" w14:textId="77777777" w:rsidR="00DF410E" w:rsidRDefault="00DF410E"/>
    <w:p w14:paraId="0E131E32"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E7A24E8" w14:textId="77777777" w:rsidR="00DF410E" w:rsidRDefault="00CE7F43">
      <w:pPr>
        <w:pStyle w:val="Author-eListParagraph"/>
        <w:numPr>
          <w:ilvl w:val="0"/>
          <w:numId w:val="391"/>
        </w:numPr>
      </w:pPr>
      <w:r>
        <w:t xml:space="preserve">Classe de viscosité apparente : </w:t>
      </w:r>
      <w:r>
        <w:rPr>
          <w:rStyle w:val="optioncarChar"/>
        </w:rPr>
        <w:t>VS1 / VS2</w:t>
      </w:r>
      <w:r>
        <w:t xml:space="preserve"> (selon la [NBN EN 12350-8] )</w:t>
      </w:r>
    </w:p>
    <w:p w14:paraId="7EE6895B" w14:textId="77777777" w:rsidR="00DF410E" w:rsidRDefault="00CE7F43">
      <w:pPr>
        <w:pStyle w:val="Author-eListParagraph"/>
        <w:numPr>
          <w:ilvl w:val="0"/>
          <w:numId w:val="39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D306749" w14:textId="77777777" w:rsidR="00DF410E" w:rsidRDefault="00CE7F43">
      <w:pPr>
        <w:pStyle w:val="Author-eListParagraph"/>
        <w:numPr>
          <w:ilvl w:val="0"/>
          <w:numId w:val="39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4F745D7"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4D3F3FB7" w14:textId="77777777" w:rsidR="00DF410E" w:rsidRDefault="00CE7F43">
      <w:pPr>
        <w:pStyle w:val="Author-eListParagraph"/>
        <w:numPr>
          <w:ilvl w:val="0"/>
          <w:numId w:val="392"/>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0E7C3E01" w14:textId="77777777" w:rsidR="00DF410E" w:rsidRDefault="00CE7F43">
      <w:pPr>
        <w:pStyle w:val="Author-eListParagraph"/>
        <w:numPr>
          <w:ilvl w:val="0"/>
          <w:numId w:val="39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F635CC4" w14:textId="77777777" w:rsidR="00DF410E" w:rsidRDefault="00CE7F43">
      <w:pPr>
        <w:pStyle w:val="pheading"/>
      </w:pPr>
      <w:r>
        <w:t>- Finitions</w:t>
      </w:r>
    </w:p>
    <w:p w14:paraId="31EAB215"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13BE922B" w14:textId="77777777" w:rsidR="00DF410E" w:rsidRDefault="00CE7F43">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10FA3A7D"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seules les caractéristiques pertinentes sont retenues) :</w:t>
      </w:r>
      <w:r>
        <w:br/>
      </w:r>
    </w:p>
    <w:p w14:paraId="6AA29018" w14:textId="77777777" w:rsidR="00DF410E" w:rsidRDefault="00CE7F43">
      <w:pPr>
        <w:pStyle w:val="Author-eListParagraph"/>
        <w:numPr>
          <w:ilvl w:val="0"/>
          <w:numId w:val="393"/>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797EDBE1" w14:textId="77777777" w:rsidR="00DF410E" w:rsidRDefault="00CE7F43">
      <w:pPr>
        <w:pStyle w:val="Author-eListParagraph"/>
        <w:numPr>
          <w:ilvl w:val="0"/>
          <w:numId w:val="393"/>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12C64DE9" w14:textId="77777777" w:rsidR="00DF410E" w:rsidRDefault="00CE7F43">
      <w:pPr>
        <w:pStyle w:val="Author-eListParagraph"/>
        <w:numPr>
          <w:ilvl w:val="0"/>
          <w:numId w:val="393"/>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5CA7B132" w14:textId="77777777" w:rsidR="00DF410E" w:rsidRDefault="00CE7F43">
      <w:pPr>
        <w:pStyle w:val="Author-eListParagraph"/>
        <w:numPr>
          <w:ilvl w:val="0"/>
          <w:numId w:val="393"/>
        </w:numPr>
      </w:pPr>
      <w:r>
        <w:rPr>
          <w:rStyle w:val="soitChar"/>
        </w:rPr>
        <w:t>La tolérance de forme :</w:t>
      </w:r>
      <w:r>
        <w:t xml:space="preserve">  </w:t>
      </w:r>
      <w:r>
        <w:rPr>
          <w:rStyle w:val="optioncarChar"/>
        </w:rPr>
        <w:t>VF1</w:t>
      </w:r>
      <w:r>
        <w:t xml:space="preserve"> (par défaut) </w:t>
      </w:r>
      <w:r>
        <w:rPr>
          <w:rStyle w:val="optioncarChar"/>
        </w:rPr>
        <w:t>/ VF2 / VF3 / suivant description spécifique</w:t>
      </w:r>
    </w:p>
    <w:p w14:paraId="2845A4EE" w14:textId="77777777" w:rsidR="00DF410E" w:rsidRDefault="00CE7F43">
      <w:r>
        <w:rPr>
          <w:rStyle w:val="optioncarChar"/>
          <w:color w:val="000000"/>
        </w:rPr>
        <w:t>Les arêtes saillantes des éléments en béton sont</w:t>
      </w:r>
      <w:r>
        <w:rPr>
          <w:rStyle w:val="optioncarChar"/>
        </w:rPr>
        <w:t xml:space="preserve"> vives / chanfreinées </w:t>
      </w:r>
      <w:r>
        <w:t xml:space="preserve">(par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12D5092B" w14:textId="77777777" w:rsidR="00DF410E" w:rsidRDefault="00CE7F43">
      <w:pPr>
        <w:pStyle w:val="pheading"/>
      </w:pPr>
      <w:r>
        <w:t>- Prescriptions complémentaires</w:t>
      </w:r>
    </w:p>
    <w:p w14:paraId="11CD6DC5" w14:textId="77777777" w:rsidR="00DF410E" w:rsidRDefault="00CE7F43">
      <w:r>
        <w:t>Résistance au feu :</w:t>
      </w:r>
      <w:r>
        <w:rPr>
          <w:rStyle w:val="optioncarChar"/>
        </w:rPr>
        <w:t xml:space="preserve"> R30 </w:t>
      </w:r>
      <w:r>
        <w:t>(par défaut) </w:t>
      </w:r>
      <w:r>
        <w:rPr>
          <w:rStyle w:val="optioncarChar"/>
        </w:rPr>
        <w:t>/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10F8EC6C" w14:textId="77777777" w:rsidR="00DF410E" w:rsidRDefault="00CE7F43">
      <w:pPr>
        <w:pStyle w:val="pheading"/>
      </w:pPr>
      <w:r>
        <w:t>EXÉCUTION / MISE EN ŒUVRE</w:t>
      </w:r>
    </w:p>
    <w:p w14:paraId="38929425" w14:textId="77777777" w:rsidR="00DF410E" w:rsidRDefault="00CE7F43">
      <w:pPr>
        <w:pStyle w:val="pheading"/>
      </w:pPr>
      <w:r>
        <w:t>- Prescriptions générales</w:t>
      </w:r>
    </w:p>
    <w:p w14:paraId="6A4A3006" w14:textId="77777777" w:rsidR="00DF410E" w:rsidRDefault="00CE7F43">
      <w:r>
        <w:t xml:space="preserve">Les </w:t>
      </w:r>
      <w:r>
        <w:rPr>
          <w:rStyle w:val="optioncarChar"/>
          <w:color w:val="000000"/>
        </w:rPr>
        <w:t xml:space="preserve">colonnes </w:t>
      </w:r>
      <w:r>
        <w:t>sont exécutées dans les dimensions indiquées sur les plans.</w:t>
      </w:r>
    </w:p>
    <w:p w14:paraId="3B213530" w14:textId="77777777" w:rsidR="00DF410E" w:rsidRDefault="00CE7F43">
      <w:r>
        <w:t>L’entrepreneur est tenu de vérifier si elles peuvent effectivement être réalisées conformément aux plans soumis. Il y a lieu de tenir compte de la hauteur libre requise par rapport au niveau du sol. .</w:t>
      </w:r>
    </w:p>
    <w:p w14:paraId="04025892" w14:textId="77777777" w:rsidR="00DF410E" w:rsidRDefault="00CE7F43">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87" w:history="1">
        <w:r>
          <w:t>22 Superstructures en béton</w:t>
        </w:r>
      </w:hyperlink>
      <w:r>
        <w:t xml:space="preserve"> sous-titre </w:t>
      </w:r>
      <w:r>
        <w:rPr>
          <w:u w:val="single"/>
        </w:rPr>
        <w:t>Décoffrage</w:t>
      </w:r>
      <w:r>
        <w:t xml:space="preserve"> et [NBN B 15-400] )</w:t>
      </w:r>
    </w:p>
    <w:p w14:paraId="690C7C41" w14:textId="77777777" w:rsidR="00DF410E" w:rsidRDefault="00CE7F43">
      <w:r>
        <w:rPr>
          <w:u w:val="single"/>
        </w:rPr>
        <w:t>Rigidification des parois de coffrage</w:t>
      </w:r>
      <w:r>
        <w:br/>
        <w:t xml:space="preserve">• Tout moyen nécessaire pour éviter la déformation hors tolérance des coffrages est obligatoire. </w:t>
      </w:r>
    </w:p>
    <w:p w14:paraId="1F07B1B1" w14:textId="77777777" w:rsidR="00DF410E" w:rsidRDefault="00CE7F43">
      <w:pPr>
        <w:pStyle w:val="pheading"/>
      </w:pPr>
      <w:r>
        <w:t>- Notes d’exécution complémentaires</w:t>
      </w:r>
    </w:p>
    <w:p w14:paraId="0538923F" w14:textId="77777777" w:rsidR="00DF410E" w:rsidRDefault="00CE7F43">
      <w:r>
        <w:t xml:space="preserve">Raccords visibles entre éléments de coffrage : </w:t>
      </w:r>
      <w:r>
        <w:rPr>
          <w:rStyle w:val="optioncarChar"/>
        </w:rPr>
        <w:t>joint en forme de V </w:t>
      </w:r>
      <w:r>
        <w:t>(par défaut)</w:t>
      </w:r>
      <w:r>
        <w:rPr>
          <w:rStyle w:val="optioncarChar"/>
        </w:rPr>
        <w:t xml:space="preserve"> /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664F1E2D" w14:textId="77777777" w:rsidR="00DF410E" w:rsidRDefault="00CE7F43">
      <w:pPr>
        <w:pStyle w:val="pheading"/>
      </w:pPr>
      <w:r>
        <w:t>MESURAGE</w:t>
      </w:r>
    </w:p>
    <w:p w14:paraId="04459365" w14:textId="77777777" w:rsidR="00DF410E" w:rsidRDefault="00CE7F43">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7C344482" w14:textId="77777777" w:rsidR="00DF410E" w:rsidRDefault="00CE7F43">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1" w:history="1">
        <w:r>
          <w:rPr>
            <w:rStyle w:val="soitChar"/>
          </w:rPr>
          <w:t>22.51 Armatures pour béton</w:t>
        </w:r>
      </w:hyperlink>
    </w:p>
    <w:p w14:paraId="7C351F9E" w14:textId="77777777" w:rsidR="00DF410E" w:rsidRDefault="00CE7F43">
      <w:pPr>
        <w:pStyle w:val="pheading"/>
      </w:pPr>
      <w:r>
        <w:t>- unité de mesure:</w:t>
      </w:r>
    </w:p>
    <w:p w14:paraId="1D0ADBEC" w14:textId="77777777" w:rsidR="00DF410E" w:rsidRDefault="00CE7F43">
      <w:r>
        <w:rPr>
          <w:rStyle w:val="headingChar"/>
        </w:rPr>
        <w:t>EN BASE</w:t>
      </w:r>
    </w:p>
    <w:p w14:paraId="44A3B963" w14:textId="77777777" w:rsidR="00DF410E" w:rsidRDefault="00CE7F43">
      <w:r>
        <w:t>m³</w:t>
      </w:r>
    </w:p>
    <w:p w14:paraId="580BDDD6" w14:textId="77777777" w:rsidR="00DF410E" w:rsidRDefault="00CE7F43">
      <w:r>
        <w:rPr>
          <w:rStyle w:val="headingChar"/>
        </w:rPr>
        <w:t>EN SUPPLEMENT POUR COFFRAGE PARTICULIER ET COMPLEXE</w:t>
      </w:r>
    </w:p>
    <w:p w14:paraId="5A4A3089" w14:textId="77777777" w:rsidR="00DF410E" w:rsidRDefault="00CE7F43">
      <w:r>
        <w:rPr>
          <w:rStyle w:val="optioncarChar"/>
        </w:rPr>
        <w:t xml:space="preserve">m² </w:t>
      </w:r>
      <w:r>
        <w:t>(par défaut)</w:t>
      </w:r>
      <w:r>
        <w:rPr>
          <w:rStyle w:val="optioncarChar"/>
        </w:rPr>
        <w:t xml:space="preserve"> / m³</w:t>
      </w:r>
    </w:p>
    <w:p w14:paraId="6B34D0C8" w14:textId="77777777" w:rsidR="00DF410E" w:rsidRDefault="00CE7F43">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w:t>
      </w:r>
    </w:p>
    <w:p w14:paraId="643A80C4" w14:textId="77777777" w:rsidR="00DF410E" w:rsidRDefault="00CE7F43">
      <w:pPr>
        <w:pStyle w:val="pheading"/>
      </w:pPr>
      <w:r>
        <w:t>- code de mesurage:</w:t>
      </w:r>
    </w:p>
    <w:p w14:paraId="336ABFA3" w14:textId="77777777" w:rsidR="00DF410E" w:rsidRDefault="00CE7F43">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2146A14A" w14:textId="77777777" w:rsidR="00DF410E" w:rsidRDefault="00CE7F43">
      <w:r>
        <w:rPr>
          <w:i/>
          <w:u w:val="single"/>
        </w:rPr>
        <w:t>&gt; Remarque </w:t>
      </w:r>
    </w:p>
    <w:p w14:paraId="2DA65BE4" w14:textId="77777777" w:rsidR="00DF410E" w:rsidRDefault="00CE7F43">
      <w:pPr>
        <w:pStyle w:val="Author-eListParagraph"/>
        <w:numPr>
          <w:ilvl w:val="0"/>
          <w:numId w:val="394"/>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622002A8" w14:textId="77777777" w:rsidR="00DF410E" w:rsidRDefault="00CE7F43">
      <w:pPr>
        <w:pStyle w:val="Author-eListParagraph"/>
        <w:numPr>
          <w:ilvl w:val="0"/>
          <w:numId w:val="394"/>
        </w:numPr>
      </w:pPr>
      <w:r>
        <w:rPr>
          <w:i/>
        </w:rPr>
        <w:t xml:space="preserve">Les quantités de béton ne sont jamais mesurées sur la base des bons de livraison soumis par l’entrepreneur. </w:t>
      </w:r>
    </w:p>
    <w:p w14:paraId="0112D627" w14:textId="77777777" w:rsidR="00DF410E" w:rsidRDefault="00CE7F43">
      <w:r>
        <w:rPr>
          <w:rStyle w:val="headingChar"/>
        </w:rPr>
        <w:t>EN BASE</w:t>
      </w:r>
      <w:r>
        <w:br/>
        <w:t>Volume net (selon la [NBN B 06-001]) mesuré entre la dalle de sol et les poutres.</w:t>
      </w:r>
    </w:p>
    <w:p w14:paraId="4AAE57F4" w14:textId="77777777" w:rsidR="00DF410E" w:rsidRDefault="00CE7F43">
      <w:r>
        <w:t>Volume net, mesuré selon les dimensions nominales indiquées sur les plans.</w:t>
      </w:r>
    </w:p>
    <w:p w14:paraId="1D7117EA" w14:textId="77777777" w:rsidR="00DF410E" w:rsidRDefault="00CE7F43">
      <w:pPr>
        <w:pStyle w:val="Author-eListParagraph"/>
        <w:numPr>
          <w:ilvl w:val="0"/>
          <w:numId w:val="395"/>
        </w:numPr>
      </w:pPr>
      <w:r>
        <w:t>Les éléments en béton non rectangulaires sont calculés en multipliant la longueur par la surface de la section.</w:t>
      </w:r>
    </w:p>
    <w:p w14:paraId="16AF3D02" w14:textId="77777777" w:rsidR="00DF410E" w:rsidRDefault="00CE7F43">
      <w:pPr>
        <w:pStyle w:val="Author-eListParagraph"/>
        <w:numPr>
          <w:ilvl w:val="0"/>
          <w:numId w:val="395"/>
        </w:numPr>
      </w:pPr>
      <w:r>
        <w:t>Le contenu des volumes résiduels au droit des angles, rencontres et terminaisons est négligé.</w:t>
      </w:r>
    </w:p>
    <w:p w14:paraId="5BC436C3" w14:textId="77777777" w:rsidR="00DF410E" w:rsidRDefault="00CE7F43">
      <w:pPr>
        <w:pStyle w:val="Author-eListParagraph"/>
        <w:numPr>
          <w:ilvl w:val="0"/>
          <w:numId w:val="395"/>
        </w:numPr>
      </w:pPr>
      <w:r>
        <w:t xml:space="preserve">Aucune déduction n'est faite pour: </w:t>
      </w:r>
    </w:p>
    <w:p w14:paraId="1175CA28" w14:textId="77777777" w:rsidR="00DF410E" w:rsidRDefault="00CE7F43">
      <w:pPr>
        <w:pStyle w:val="Author-eListParagraph"/>
        <w:numPr>
          <w:ilvl w:val="1"/>
          <w:numId w:val="396"/>
        </w:numPr>
      </w:pPr>
      <w:r>
        <w:t>le volume des armatures,</w:t>
      </w:r>
    </w:p>
    <w:p w14:paraId="6ED928E9" w14:textId="77777777" w:rsidR="00DF410E" w:rsidRDefault="00CE7F43">
      <w:pPr>
        <w:pStyle w:val="Author-eListParagraph"/>
        <w:numPr>
          <w:ilvl w:val="1"/>
          <w:numId w:val="396"/>
        </w:numPr>
      </w:pPr>
      <w:r>
        <w:t>les blocs et écarteurs, les fourreaux pour les armatures de précontrainte ;</w:t>
      </w:r>
    </w:p>
    <w:p w14:paraId="1C035E52" w14:textId="77777777" w:rsidR="00DF410E" w:rsidRDefault="00CE7F43">
      <w:pPr>
        <w:pStyle w:val="Author-eListParagraph"/>
        <w:numPr>
          <w:ilvl w:val="1"/>
          <w:numId w:val="396"/>
        </w:numPr>
      </w:pPr>
      <w:r>
        <w:t>les pénétrations pour les pattes d’ancrage, les creux, les conduites noyées et les réservations dont le volume est inférieur à 0,05 m</w:t>
      </w:r>
      <w:r>
        <w:rPr>
          <w:vertAlign w:val="superscript"/>
        </w:rPr>
        <w:t>3</w:t>
      </w:r>
      <w:r>
        <w:t>.</w:t>
      </w:r>
    </w:p>
    <w:p w14:paraId="48462404" w14:textId="77777777" w:rsidR="00DF410E" w:rsidRDefault="00CE7F43">
      <w:pPr>
        <w:pStyle w:val="Author-eListParagraph"/>
        <w:numPr>
          <w:ilvl w:val="1"/>
          <w:numId w:val="396"/>
        </w:numPr>
      </w:pPr>
      <w:r>
        <w:t>les chanfreins et tous les profils dont la section a une superficie inférieure à 20 cm</w:t>
      </w:r>
      <w:r>
        <w:rPr>
          <w:vertAlign w:val="superscript"/>
        </w:rPr>
        <w:t>2</w:t>
      </w:r>
      <w:r>
        <w:t>.</w:t>
      </w:r>
    </w:p>
    <w:p w14:paraId="45E07815" w14:textId="77777777" w:rsidR="00DF410E" w:rsidRDefault="00CE7F43">
      <w:pPr>
        <w:pStyle w:val="Author-eListParagraph"/>
        <w:numPr>
          <w:ilvl w:val="1"/>
          <w:numId w:val="396"/>
        </w:numPr>
      </w:pPr>
      <w:r>
        <w:t>les rainures, encoches et languettes.</w:t>
      </w:r>
    </w:p>
    <w:p w14:paraId="4F6B942C" w14:textId="77777777" w:rsidR="00DF410E" w:rsidRDefault="00CE7F43">
      <w:r>
        <w:rPr>
          <w:rStyle w:val="headingChar"/>
        </w:rPr>
        <w:t>EN SUPPLEMENT POUR COFFRAGE PARTICULIER ET COMPLEXE</w:t>
      </w:r>
      <w:r>
        <w:br/>
      </w:r>
      <w:r>
        <w:rPr>
          <w:rStyle w:val="optioncarChar"/>
        </w:rPr>
        <w:t xml:space="preserve">Surface </w:t>
      </w:r>
      <w:r>
        <w:t>(par défaut)</w:t>
      </w:r>
      <w:r>
        <w:rPr>
          <w:rStyle w:val="optioncarChar"/>
        </w:rPr>
        <w:t xml:space="preserve"> / Volume net </w:t>
      </w:r>
      <w:r>
        <w:t>mesurés selon les dimensions nominales indiquées sur les plans.</w:t>
      </w:r>
    </w:p>
    <w:p w14:paraId="6D202DF4" w14:textId="77777777" w:rsidR="00DF410E" w:rsidRDefault="00CE7F43">
      <w:r>
        <w:rPr>
          <w:b/>
        </w:rPr>
        <w:t>(Soit par défaut)</w:t>
      </w:r>
      <w:r>
        <w:br/>
      </w:r>
      <w:r>
        <w:rPr>
          <w:rStyle w:val="soitChar"/>
        </w:rPr>
        <w:t xml:space="preserve">1. </w:t>
      </w:r>
      <w:r>
        <w:rPr>
          <w:rStyle w:val="soitChar"/>
          <w:u w:val="single"/>
        </w:rPr>
        <w:t>Surface :</w:t>
      </w:r>
    </w:p>
    <w:p w14:paraId="068FDEE8" w14:textId="77777777" w:rsidR="00DF410E" w:rsidRDefault="00CE7F43">
      <w:pPr>
        <w:pStyle w:val="Author-eListParagraph"/>
        <w:numPr>
          <w:ilvl w:val="0"/>
          <w:numId w:val="397"/>
        </w:numPr>
      </w:pPr>
      <w:r>
        <w:t>Les surfaces supérieures qui ont une inclinaison plus forte que 6/4 sont considérées comme surfaces à coffrer.</w:t>
      </w:r>
    </w:p>
    <w:p w14:paraId="58672819" w14:textId="77777777" w:rsidR="00DF410E" w:rsidRDefault="00CE7F43">
      <w:pPr>
        <w:pStyle w:val="Author-eListParagraph"/>
        <w:numPr>
          <w:ilvl w:val="0"/>
          <w:numId w:val="397"/>
        </w:numPr>
      </w:pPr>
      <w:r>
        <w:t xml:space="preserve">On ne déduit pas les surfaces </w:t>
      </w:r>
    </w:p>
    <w:p w14:paraId="087A1B4E" w14:textId="77777777" w:rsidR="00DF410E" w:rsidRDefault="00CE7F43">
      <w:pPr>
        <w:pStyle w:val="Author-eListParagraph"/>
        <w:numPr>
          <w:ilvl w:val="1"/>
          <w:numId w:val="398"/>
        </w:numPr>
      </w:pPr>
      <w:r>
        <w:t>des évidements égaux ou inférieurs à 1 m</w:t>
      </w:r>
      <w:r>
        <w:rPr>
          <w:vertAlign w:val="superscript"/>
        </w:rPr>
        <w:t>2</w:t>
      </w:r>
    </w:p>
    <w:p w14:paraId="4F76391B" w14:textId="77777777" w:rsidR="00DF410E" w:rsidRDefault="00CE7F43">
      <w:pPr>
        <w:pStyle w:val="Author-eListParagraph"/>
        <w:numPr>
          <w:ilvl w:val="1"/>
          <w:numId w:val="398"/>
        </w:numPr>
      </w:pPr>
      <w:r>
        <w:t>des raccordements de poutres entre elles ou avec les parois ou les colonnes.</w:t>
      </w:r>
    </w:p>
    <w:p w14:paraId="05799C60" w14:textId="77777777" w:rsidR="00DF410E" w:rsidRDefault="00CE7F43">
      <w:pPr>
        <w:pStyle w:val="Author-eListParagraph"/>
        <w:numPr>
          <w:ilvl w:val="0"/>
          <w:numId w:val="397"/>
        </w:numPr>
      </w:pPr>
      <w:r>
        <w:t>Le coffrage des évidements, des gaines, etc. égaux ou inférieurs à 1 m</w:t>
      </w:r>
      <w:r>
        <w:rPr>
          <w:vertAlign w:val="superscript"/>
        </w:rPr>
        <w:t>2</w:t>
      </w:r>
      <w:r>
        <w:t xml:space="preserve"> est mesuré à la pièce.</w:t>
      </w:r>
    </w:p>
    <w:p w14:paraId="2570C101" w14:textId="77777777" w:rsidR="00DF410E" w:rsidRDefault="00CE7F43">
      <w:pPr>
        <w:pStyle w:val="Author-eListParagraph"/>
        <w:numPr>
          <w:ilvl w:val="0"/>
          <w:numId w:val="397"/>
        </w:numPr>
      </w:pPr>
      <w:r>
        <w:t>Le coffrage des évidements supérieurs à 1 m</w:t>
      </w:r>
      <w:r>
        <w:rPr>
          <w:vertAlign w:val="superscript"/>
        </w:rPr>
        <w:t>2</w:t>
      </w:r>
      <w:r>
        <w:t xml:space="preserve"> est compté avec l'élément correspondant.</w:t>
      </w:r>
    </w:p>
    <w:p w14:paraId="71A90AB1" w14:textId="77777777" w:rsidR="00DF410E" w:rsidRDefault="00CE7F43">
      <w:pPr>
        <w:pStyle w:val="Author-eListParagraph"/>
        <w:numPr>
          <w:ilvl w:val="0"/>
          <w:numId w:val="397"/>
        </w:numPr>
      </w:pPr>
      <w:r>
        <w:t>Pour la mesure de la surface des coffrages, il n'est pas tenu compte des lattes de coin et des autres lattes incorporées en vue de donner les profilés voulus et qui sont fixées dans le coffrage.</w:t>
      </w:r>
    </w:p>
    <w:p w14:paraId="7D0C2581" w14:textId="77777777" w:rsidR="00DF410E" w:rsidRDefault="00CE7F43">
      <w:pPr>
        <w:pStyle w:val="Author-eListParagraph"/>
        <w:numPr>
          <w:ilvl w:val="0"/>
          <w:numId w:val="397"/>
        </w:numPr>
      </w:pPr>
      <w:r>
        <w:t>Les coffrages latéraux et les coffrages des têtes sont comptés avec l'élément correspondant.</w:t>
      </w:r>
    </w:p>
    <w:p w14:paraId="5607B3C8" w14:textId="77777777" w:rsidR="00DF410E" w:rsidRDefault="00CE7F43">
      <w:pPr>
        <w:pStyle w:val="Author-eListParagraph"/>
        <w:numPr>
          <w:ilvl w:val="0"/>
          <w:numId w:val="397"/>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0088EB7B" w14:textId="77777777" w:rsidR="00DF410E" w:rsidRDefault="00CE7F43">
      <w:pPr>
        <w:pStyle w:val="Author-eListParagraph"/>
        <w:numPr>
          <w:ilvl w:val="0"/>
          <w:numId w:val="397"/>
        </w:numPr>
      </w:pPr>
      <w:r>
        <w:t>A l'intersection de poutres, le coffrage de la plus épaisse est mesuré en continu. Le coffrage des autres est mesuré entre celui des plus épaisses.</w:t>
      </w:r>
    </w:p>
    <w:p w14:paraId="1FBE8FC6" w14:textId="77777777" w:rsidR="00DF410E" w:rsidRDefault="00CE7F43">
      <w:pPr>
        <w:pStyle w:val="Author-eListParagraph"/>
        <w:numPr>
          <w:ilvl w:val="0"/>
          <w:numId w:val="397"/>
        </w:numPr>
      </w:pPr>
      <w:r>
        <w:t>Le coffrage des poutres est mesuré sans tenir compte d'interruptions telles que des colonnes, même si les poutres sont plus étroites que les colonnes.</w:t>
      </w:r>
    </w:p>
    <w:p w14:paraId="6C9E5A59" w14:textId="77777777" w:rsidR="00DF410E" w:rsidRDefault="00CE7F43">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11FCEF40" w14:textId="77777777" w:rsidR="00DF410E" w:rsidRDefault="00CE7F43">
      <w:pPr>
        <w:pStyle w:val="pheading"/>
      </w:pPr>
      <w:r>
        <w:t>- nature du marché:</w:t>
      </w:r>
    </w:p>
    <w:p w14:paraId="2F731D21" w14:textId="77777777" w:rsidR="00DF410E" w:rsidRDefault="00CE7F43">
      <w:r>
        <w:rPr>
          <w:rStyle w:val="headingChar"/>
        </w:rPr>
        <w:t>EN BASE</w:t>
      </w:r>
    </w:p>
    <w:p w14:paraId="6E313B46" w14:textId="77777777" w:rsidR="00DF410E" w:rsidRDefault="00CE7F43">
      <w:r>
        <w:rPr>
          <w:rStyle w:val="optioncarChar"/>
        </w:rPr>
        <w:t xml:space="preserve">QF </w:t>
      </w:r>
      <w:r>
        <w:t>(par défaut)</w:t>
      </w:r>
      <w:r>
        <w:rPr>
          <w:rStyle w:val="optioncarChar"/>
        </w:rPr>
        <w:t xml:space="preserve"> / QP / PM</w:t>
      </w:r>
    </w:p>
    <w:p w14:paraId="71BBE6C9" w14:textId="77777777" w:rsidR="00DF410E" w:rsidRDefault="00CE7F43">
      <w:r>
        <w:rPr>
          <w:rStyle w:val="headingChar"/>
        </w:rPr>
        <w:t>SUPPLEMENT POUR COFFRAGE PARTICULIER ET COMPLEXE</w:t>
      </w:r>
    </w:p>
    <w:p w14:paraId="50919EAF" w14:textId="77777777" w:rsidR="00DF410E" w:rsidRDefault="00CE7F43">
      <w:r>
        <w:rPr>
          <w:rStyle w:val="optioncarChar"/>
        </w:rPr>
        <w:t xml:space="preserve">QF </w:t>
      </w:r>
      <w:r>
        <w:t xml:space="preserve">(par défaut) </w:t>
      </w:r>
      <w:r>
        <w:rPr>
          <w:rStyle w:val="optioncarChar"/>
        </w:rPr>
        <w:t>/ QP</w:t>
      </w:r>
    </w:p>
    <w:p w14:paraId="7D818E8A" w14:textId="77777777" w:rsidR="00DF410E" w:rsidRDefault="00CE7F43">
      <w:r>
        <w:rPr>
          <w:u w:val="single"/>
        </w:rPr>
        <w:t>Attention</w:t>
      </w:r>
      <w:r>
        <w:t xml:space="preserve"> : dans le cas où les armatures ne sont pas comprises dans le prix unitaire du béton, se référer aux § </w:t>
      </w:r>
      <w:hyperlink w:anchor="232" w:history="1">
        <w:r>
          <w:t>22.51.1 Barres d'armatures pour béton</w:t>
        </w:r>
      </w:hyperlink>
      <w:r>
        <w:t xml:space="preserve"> et § </w:t>
      </w:r>
      <w:hyperlink w:anchor="233" w:history="1">
        <w:r>
          <w:t>22.51.2 Treillis et panneaux d'armatures préfabriqués</w:t>
        </w:r>
      </w:hyperlink>
      <w:r>
        <w:t xml:space="preserve">. Pour les armatures de précontrainte, se référer au § </w:t>
      </w:r>
      <w:hyperlink w:anchor="481" w:history="1">
        <w:r>
          <w:t>22.52.1 Armatures de précontrainte par post-tension</w:t>
        </w:r>
      </w:hyperlink>
      <w:r>
        <w:t>.</w:t>
      </w:r>
    </w:p>
    <w:p w14:paraId="6E4644B5" w14:textId="77777777" w:rsidR="00DF410E" w:rsidRDefault="00CE7F43">
      <w:pPr>
        <w:pStyle w:val="Author-eSectionHeading5"/>
      </w:pPr>
      <w:bookmarkStart w:id="700" w:name="_Toc178837868"/>
      <w:r>
        <w:t>22.14.3 Colonnes préfabriquées en béton CCTB 01.11</w:t>
      </w:r>
      <w:bookmarkEnd w:id="700"/>
    </w:p>
    <w:p w14:paraId="18C6C845" w14:textId="77777777" w:rsidR="00DF410E" w:rsidRDefault="00CE7F43">
      <w:pPr>
        <w:pStyle w:val="pheading"/>
      </w:pPr>
      <w:r>
        <w:t>DESCRIPTION</w:t>
      </w:r>
    </w:p>
    <w:p w14:paraId="1CFDC3EE" w14:textId="77777777" w:rsidR="00DF410E" w:rsidRDefault="00CE7F43">
      <w:pPr>
        <w:pStyle w:val="pheading"/>
      </w:pPr>
      <w:r>
        <w:t>- Définition / Comprend</w:t>
      </w:r>
    </w:p>
    <w:p w14:paraId="4E52322A" w14:textId="77777777" w:rsidR="00DF410E" w:rsidRDefault="00CE7F43">
      <w:r>
        <w:t>Il s'agit de toutes les colonnes en béton préfabriquées en usine et assemblées sur chantier aux ouvrages de construction déjà exécutés.</w:t>
      </w:r>
    </w:p>
    <w:p w14:paraId="425B51A5" w14:textId="77777777" w:rsidR="00DF410E" w:rsidRDefault="00CE7F43">
      <w:pPr>
        <w:pStyle w:val="pheading"/>
      </w:pPr>
      <w:r>
        <w:t>MATÉRIAUX</w:t>
      </w:r>
    </w:p>
    <w:p w14:paraId="4457FF5B" w14:textId="77777777" w:rsidR="00DF410E" w:rsidRDefault="00CE7F43">
      <w:pPr>
        <w:pStyle w:val="heading"/>
      </w:pPr>
      <w:r>
        <w:t>Spécifications</w:t>
      </w:r>
    </w:p>
    <w:p w14:paraId="7EEC2CC8" w14:textId="77777777" w:rsidR="00DF410E" w:rsidRDefault="00CE7F43">
      <w:pPr>
        <w:pStyle w:val="Author-eListParagraph"/>
        <w:numPr>
          <w:ilvl w:val="0"/>
          <w:numId w:val="399"/>
        </w:numPr>
      </w:pPr>
      <w:r>
        <w:t>Eléments conformes aux normes [NBN EN 13225] et [NBN B 21-604] .</w:t>
      </w:r>
    </w:p>
    <w:p w14:paraId="457EF5FC" w14:textId="77777777" w:rsidR="00DF410E" w:rsidRDefault="00CE7F43">
      <w:pPr>
        <w:pStyle w:val="Author-eListParagraph"/>
        <w:numPr>
          <w:ilvl w:val="0"/>
          <w:numId w:val="399"/>
        </w:numPr>
      </w:pPr>
      <w:r>
        <w:t>La classe de résistance et la classe d’environnement sont au moins à spécifier.</w:t>
      </w:r>
    </w:p>
    <w:p w14:paraId="32AF8BCE" w14:textId="77777777" w:rsidR="00DF410E" w:rsidRDefault="00CE7F43">
      <w:pPr>
        <w:pStyle w:val="Author-eListParagraph"/>
        <w:numPr>
          <w:ilvl w:val="0"/>
          <w:numId w:val="400"/>
        </w:numPr>
      </w:pPr>
      <w:r>
        <w:t>Pourcentage d'armatures minimum est déterminé suivant l'Eurocode 2.</w:t>
      </w:r>
    </w:p>
    <w:p w14:paraId="13932DB6" w14:textId="77777777" w:rsidR="00DF410E" w:rsidRDefault="00CE7F43">
      <w:pPr>
        <w:pStyle w:val="Author-eListParagraph"/>
        <w:numPr>
          <w:ilvl w:val="0"/>
          <w:numId w:val="401"/>
        </w:numPr>
      </w:pPr>
      <w:r>
        <w:t>Barres à adhérence améliorée [NBN EN 10080], [NBN A 24-302], [PTV 302], [PTV 303] et [PTV 307].</w:t>
      </w:r>
    </w:p>
    <w:p w14:paraId="104D6AB9" w14:textId="77777777" w:rsidR="00DF410E" w:rsidRDefault="00CE7F43">
      <w:pPr>
        <w:pStyle w:val="Author-eListParagraph"/>
        <w:numPr>
          <w:ilvl w:val="0"/>
          <w:numId w:val="402"/>
        </w:numPr>
      </w:pPr>
      <w:r>
        <w:t>Treillis soudés standards ( [NBN A 24-303] , [PTV 304] et [PTV 308] ).</w:t>
      </w:r>
    </w:p>
    <w:p w14:paraId="0503F940" w14:textId="77777777" w:rsidR="00DF410E" w:rsidRDefault="00CE7F43">
      <w:pPr>
        <w:pStyle w:val="Author-eListParagraph"/>
        <w:numPr>
          <w:ilvl w:val="0"/>
          <w:numId w:val="403"/>
        </w:numPr>
      </w:pPr>
      <w:r>
        <w:t>Dans le cas du béton précontraint : le béton est précontraint selon la technique</w:t>
      </w:r>
      <w:r>
        <w:br/>
      </w:r>
      <w:r>
        <w:rPr>
          <w:rStyle w:val="optioncarChar"/>
        </w:rPr>
        <w:t>de l’acier de précontrainte par prétension </w:t>
      </w:r>
      <w:r>
        <w:t>(par défaut) </w:t>
      </w:r>
      <w:r>
        <w:rPr>
          <w:rStyle w:val="optioncarChar"/>
        </w:rPr>
        <w:t>/ de l’acier à précontrainte par post-tension posé dans des fourreaux injectés après la précontrainte / de l’acier à précontrainte par post-tension dans un tuyau rempli de graisse</w:t>
      </w:r>
    </w:p>
    <w:p w14:paraId="047DCF04" w14:textId="77777777" w:rsidR="00DF410E" w:rsidRDefault="00CE7F43">
      <w:r>
        <w:t>Le béton est précontraint au moyen des techniques à vérin et de serrage.</w:t>
      </w:r>
      <w:r>
        <w:br/>
        <w:t>Les blocs d’extrémité des éléments à acier de précontrainte postérieure sont calculés comme des éléments « courts » en béton armé. La prétension est transmise aux blocs d'extrémité avec les moyens d’ancrage appropriés en acier de haute qualité. </w:t>
      </w:r>
    </w:p>
    <w:p w14:paraId="697B79DC" w14:textId="77777777" w:rsidR="00DF410E" w:rsidRDefault="00CE7F43">
      <w:pPr>
        <w:pStyle w:val="pheading"/>
      </w:pPr>
      <w:r>
        <w:t>EXÉCUTION / MISE EN ŒUVRE</w:t>
      </w:r>
    </w:p>
    <w:p w14:paraId="40FEC99C" w14:textId="77777777" w:rsidR="00DF410E" w:rsidRDefault="00CE7F43">
      <w:r>
        <w:t xml:space="preserve">L'étude est à charge </w:t>
      </w:r>
      <w:r>
        <w:rPr>
          <w:rStyle w:val="optioncarChar"/>
        </w:rPr>
        <w:t>de l'entrepreneur </w:t>
      </w:r>
      <w:r>
        <w:t>(par défaut)</w:t>
      </w:r>
      <w:r>
        <w:rPr>
          <w:rStyle w:val="optioncarChar"/>
        </w:rPr>
        <w:t xml:space="preserve"> / du maître de l'ouvrage / ***</w:t>
      </w:r>
      <w:r>
        <w:t xml:space="preserve"> .</w:t>
      </w:r>
      <w:r>
        <w:br/>
        <w:t>La liaison avec d’autres éléments se fait en bétonnant sur place les différentes extrémités des éléments qui se joignent. Les extrémités sont pourvues d’armatures d’attente.</w:t>
      </w:r>
    </w:p>
    <w:p w14:paraId="0989339A" w14:textId="77777777" w:rsidR="00DF410E" w:rsidRDefault="00CE7F43">
      <w:pPr>
        <w:pStyle w:val="Author-eSectionHeading6"/>
      </w:pPr>
      <w:bookmarkStart w:id="701" w:name="_Toc178837869"/>
      <w:r>
        <w:t>22.14.3a Colonnes préfabriquées en béton armé CCTB 01.11</w:t>
      </w:r>
      <w:bookmarkEnd w:id="701"/>
    </w:p>
    <w:p w14:paraId="6F8D4AD2" w14:textId="77777777" w:rsidR="00DF410E" w:rsidRDefault="00CE7F43">
      <w:pPr>
        <w:pStyle w:val="pheading"/>
      </w:pPr>
      <w:r>
        <w:t>DESCRIPTION</w:t>
      </w:r>
    </w:p>
    <w:p w14:paraId="1A7C5D1E" w14:textId="77777777" w:rsidR="00DF410E" w:rsidRDefault="00CE7F43">
      <w:pPr>
        <w:pStyle w:val="pheading"/>
      </w:pPr>
      <w:r>
        <w:t>- Définition / Comprend</w:t>
      </w:r>
    </w:p>
    <w:p w14:paraId="300D0112" w14:textId="77777777" w:rsidR="00DF410E" w:rsidRDefault="00CE7F43">
      <w:r>
        <w:t xml:space="preserve">Il s'agit de toutes les colonnes (éléments verticaux ou obliques) en béton armé qui sont obligatoirement préfabriquées dans une usine suivant la définition reprise dans les généralités, et sont assemblées sur chantier aux ouvrages de construction déjà exécutés ( voir également </w:t>
      </w:r>
      <w:hyperlink w:anchor="87" w:history="1">
        <w:r>
          <w:t>22 Superstructures en béton</w:t>
        </w:r>
      </w:hyperlink>
      <w:r>
        <w:t xml:space="preserve"> ).</w:t>
      </w:r>
    </w:p>
    <w:p w14:paraId="7DEED9B7" w14:textId="77777777" w:rsidR="00DF410E" w:rsidRDefault="00CE7F43">
      <w:r>
        <w:t>Les éléments sont fabriqués suivant les spécifications de la norme [NBN EN 13225] et son complément national [NBN B 21-604].</w:t>
      </w:r>
    </w:p>
    <w:p w14:paraId="4F233AF0" w14:textId="77777777" w:rsidR="00DF410E" w:rsidRDefault="00CE7F43">
      <w:pPr>
        <w:pStyle w:val="pheading"/>
      </w:pPr>
      <w:r>
        <w:t>MATÉRIAUX</w:t>
      </w:r>
    </w:p>
    <w:p w14:paraId="1598F3F7" w14:textId="77777777" w:rsidR="00DF410E" w:rsidRDefault="00CE7F43">
      <w:pPr>
        <w:pStyle w:val="pheading"/>
      </w:pPr>
      <w:r>
        <w:t>- Caractéristiques générales</w:t>
      </w:r>
    </w:p>
    <w:p w14:paraId="27D3F7FD" w14:textId="77777777" w:rsidR="00DF410E" w:rsidRDefault="00CE7F43">
      <w:r>
        <w:t>Classe de résistance à la compression :</w:t>
      </w:r>
      <w:r>
        <w:br/>
      </w:r>
      <w:r>
        <w:rPr>
          <w:color w:val="FF0000"/>
        </w:rPr>
        <w:t>C25/30 </w:t>
      </w:r>
      <w:r>
        <w:t>(par défaut)</w:t>
      </w:r>
      <w:r>
        <w:rPr>
          <w:color w:val="FF0000"/>
        </w:rPr>
        <w:t xml:space="preserve"> // C30/37 // C35/45 // C45/55 // C50/60 // C55/67 // C60/75 // C70/85 // C80/95 // C90/105 /// ***</w:t>
      </w:r>
      <w:r>
        <w:br/>
        <w:t>Classe d’environnement :</w:t>
      </w:r>
      <w:r>
        <w:br/>
      </w:r>
      <w:r>
        <w:rPr>
          <w:color w:val="FF0000"/>
        </w:rPr>
        <w:t>E0 </w:t>
      </w:r>
      <w:r>
        <w:t>(par défaut)</w:t>
      </w:r>
      <w:r>
        <w:rPr>
          <w:color w:val="FF0000"/>
        </w:rPr>
        <w:t xml:space="preserve"> / EI / EE1 / EE2 / EE3 / EE4 / ES1 / ES2 / ES3 / ES4 / EA1+*** / EA2+***/ EA3+*** / ***</w:t>
      </w:r>
    </w:p>
    <w:p w14:paraId="09DD73AA" w14:textId="77777777" w:rsidR="00DF410E" w:rsidRDefault="00DF410E"/>
    <w:p w14:paraId="0FAAF091" w14:textId="77777777" w:rsidR="00DF410E" w:rsidRDefault="00CE7F43">
      <w:pPr>
        <w:pStyle w:val="pheading"/>
      </w:pPr>
      <w:r>
        <w:t>- Finitions</w:t>
      </w:r>
    </w:p>
    <w:p w14:paraId="2BDB99CF" w14:textId="77777777" w:rsidR="00DF410E" w:rsidRDefault="00CE7F43">
      <w:r>
        <w:t>La surface de béton est</w:t>
      </w:r>
      <w:r>
        <w:rPr>
          <w:rStyle w:val="optioncarChar"/>
        </w:rPr>
        <w:t xml:space="preserve"> brute et lisse </w:t>
      </w:r>
      <w:r>
        <w:t>(par défaut)</w:t>
      </w:r>
      <w:r>
        <w:rPr>
          <w:rStyle w:val="optioncarChar"/>
        </w:rPr>
        <w:t xml:space="preserve"> / structurée / ***</w:t>
      </w:r>
      <w:r>
        <w:br/>
      </w:r>
      <w:r>
        <w:br/>
      </w:r>
      <w:r>
        <w:rPr>
          <w:u w:val="single"/>
        </w:rPr>
        <w:t>Terminaison des arêtes</w:t>
      </w:r>
      <w:r>
        <w:br/>
        <w:t xml:space="preserve">Les arêtes saillantes des colonnes sont </w:t>
      </w:r>
      <w:r>
        <w:rPr>
          <w:rStyle w:val="optioncarChar"/>
        </w:rPr>
        <w:t xml:space="preserve">chanfreinées en triangle </w:t>
      </w:r>
      <w:r>
        <w:t>(par défaut) </w:t>
      </w:r>
      <w:r>
        <w:rPr>
          <w:rStyle w:val="optioncarChar"/>
        </w:rPr>
        <w:t>/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w:t>
      </w:r>
      <w:r>
        <w:t>(par défaut)</w:t>
      </w:r>
      <w:r>
        <w:rPr>
          <w:rStyle w:val="optioncarChar"/>
        </w:rPr>
        <w:t xml:space="preserve"> / 2,5 / ***</w:t>
      </w:r>
      <w:r>
        <w:rPr>
          <w:rStyle w:val="soitChar"/>
        </w:rPr>
        <w:t>cm .</w:t>
      </w:r>
      <w:r>
        <w:br/>
      </w:r>
      <w:r>
        <w:rPr>
          <w:b/>
        </w:rPr>
        <w:t>(soit)</w:t>
      </w:r>
      <w:r>
        <w:br/>
      </w:r>
      <w:r>
        <w:rPr>
          <w:rStyle w:val="soitChar"/>
        </w:rPr>
        <w:t xml:space="preserve">3. </w:t>
      </w:r>
      <w:r>
        <w:rPr>
          <w:rStyle w:val="soitChar"/>
          <w:u w:val="single"/>
        </w:rPr>
        <w:t>vives</w:t>
      </w:r>
      <w:r>
        <w:br/>
      </w:r>
      <w:r>
        <w:br/>
        <w:t xml:space="preserve">Les arêtes rentrantes des colonnes sont </w:t>
      </w:r>
      <w:r>
        <w:rPr>
          <w:rStyle w:val="optioncarChar"/>
        </w:rPr>
        <w:t xml:space="preserve">vives </w:t>
      </w:r>
      <w:r>
        <w:t>(par défaut) </w:t>
      </w:r>
      <w:r>
        <w:rPr>
          <w:rStyle w:val="optioncarChar"/>
        </w:rPr>
        <w:t>/ chanfreinées en triangle /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 xml:space="preserve">une </w:t>
      </w:r>
      <w:r>
        <w:t>(par défaut)</w:t>
      </w:r>
      <w:r>
        <w:rPr>
          <w:rStyle w:val="optioncarChar"/>
        </w:rPr>
        <w:t xml:space="preserve"> / deux</w:t>
      </w:r>
      <w:r>
        <w:t> </w:t>
      </w:r>
      <w:r>
        <w:rPr>
          <w:rStyle w:val="optioncarChar"/>
        </w:rPr>
        <w:t>/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22A85758" w14:textId="77777777" w:rsidR="00DF410E" w:rsidRDefault="00CE7F43">
      <w:pPr>
        <w:pStyle w:val="pheading"/>
      </w:pPr>
      <w:r>
        <w:t>- Prescriptions complémentaires</w:t>
      </w:r>
    </w:p>
    <w:p w14:paraId="2F2B86D6" w14:textId="77777777" w:rsidR="00DF410E" w:rsidRDefault="00CE7F43">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33E09E9A" w14:textId="77777777" w:rsidR="00DF410E" w:rsidRDefault="00CE7F43">
      <w:r>
        <w:t>Si la résistance au feu n’est pas déclarée sous marquage CE, elle est démontrée par test au feu selon la [NBN EN 13501-2] ou par calcul selon les Eurocodes conformément à l’[AM 2013-05-17] .</w:t>
      </w:r>
      <w:r>
        <w:br/>
      </w:r>
      <w:r>
        <w:br/>
      </w:r>
    </w:p>
    <w:p w14:paraId="4B315223" w14:textId="77777777" w:rsidR="00DF410E" w:rsidRDefault="00CE7F43">
      <w:pPr>
        <w:pStyle w:val="pheading"/>
      </w:pPr>
      <w:r>
        <w:t>EXÉCUTION / MISE EN ŒUVRE</w:t>
      </w:r>
    </w:p>
    <w:p w14:paraId="3E28DA89" w14:textId="77777777" w:rsidR="00DF410E" w:rsidRDefault="00CE7F43">
      <w:pPr>
        <w:pStyle w:val="pheading"/>
      </w:pPr>
      <w:r>
        <w:t>- Prescriptions générales</w:t>
      </w:r>
    </w:p>
    <w:p w14:paraId="4054A119" w14:textId="77777777" w:rsidR="00DF410E" w:rsidRDefault="00CE7F43">
      <w:r>
        <w:t xml:space="preserve">L’étude et les plans d’exécution </w:t>
      </w:r>
      <w:r>
        <w:rPr>
          <w:rStyle w:val="optioncarChar"/>
        </w:rPr>
        <w:t>sont / ne sont pas</w:t>
      </w:r>
      <w:r>
        <w:t xml:space="preserve">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09B50212" w14:textId="77777777" w:rsidR="00DF410E" w:rsidRDefault="00CE7F43">
      <w:pPr>
        <w:pStyle w:val="pheading"/>
      </w:pPr>
      <w:r>
        <w:t>- Notes d’exécution complémentaires</w:t>
      </w:r>
    </w:p>
    <w:p w14:paraId="001D12AF" w14:textId="77777777" w:rsidR="00DF410E" w:rsidRDefault="00CE7F43">
      <w:r>
        <w:t>Ponts thermiques / isolation thermique : des dispositifs adéquats sont utilisés pour éviter tout pont thermique.</w:t>
      </w:r>
    </w:p>
    <w:p w14:paraId="76626224" w14:textId="77777777" w:rsidR="00DF410E" w:rsidRDefault="00CE7F43">
      <w:pPr>
        <w:pStyle w:val="pheading"/>
      </w:pPr>
      <w:r>
        <w:t>MESURAGE</w:t>
      </w:r>
    </w:p>
    <w:p w14:paraId="375C037B" w14:textId="77777777" w:rsidR="00DF410E" w:rsidRDefault="00CE7F43">
      <w:r>
        <w:t>Conformément aux indications spécifiques dans le cahier spécial des charges et/ou le métré récapitulatif, le mesurage est conçu comme suit :</w:t>
      </w:r>
    </w:p>
    <w:p w14:paraId="5FFE460C" w14:textId="77777777" w:rsidR="00DF410E" w:rsidRDefault="00CE7F43">
      <w:pPr>
        <w:pStyle w:val="pheading"/>
      </w:pPr>
      <w:r>
        <w:t>- unité de mesure:</w:t>
      </w:r>
    </w:p>
    <w:p w14:paraId="38D21553" w14:textId="77777777" w:rsidR="00DF410E" w:rsidRDefault="00CE7F43">
      <w:r>
        <w:rPr>
          <w:rStyle w:val="optioncarChar"/>
        </w:rPr>
        <w:t>m³ par défaut / pce / m / -</w:t>
      </w:r>
    </w:p>
    <w:p w14:paraId="6E88D842" w14:textId="77777777" w:rsidR="00DF410E" w:rsidRDefault="00CE7F43">
      <w:pPr>
        <w:pStyle w:val="pheading"/>
      </w:pPr>
      <w:r>
        <w:t>- code de mesurage:</w:t>
      </w:r>
    </w:p>
    <w:p w14:paraId="12DD4448" w14:textId="77777777" w:rsidR="00DF410E" w:rsidRDefault="00CE7F43">
      <w:r>
        <w:t>volume net (selon la [NBN B 06-001]) mesuré entre la dalle de sol et les poutres.</w:t>
      </w:r>
    </w:p>
    <w:p w14:paraId="4D912BA3" w14:textId="77777777" w:rsidR="00DF410E" w:rsidRDefault="00CE7F43">
      <w:r>
        <w:t>volume net, mesuré selon les dimensions nominales indiquées sur les plans.</w:t>
      </w:r>
    </w:p>
    <w:p w14:paraId="5543EFDE" w14:textId="77777777" w:rsidR="00DF410E" w:rsidRDefault="00CE7F43">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2A5607D1" w14:textId="77777777" w:rsidR="00DF410E" w:rsidRDefault="00CE7F43">
      <w:pPr>
        <w:pStyle w:val="Author-eListParagraph"/>
        <w:numPr>
          <w:ilvl w:val="0"/>
          <w:numId w:val="404"/>
        </w:numPr>
      </w:pPr>
      <w:r>
        <w:t>le volume des armatures,</w:t>
      </w:r>
    </w:p>
    <w:p w14:paraId="4176B38B" w14:textId="77777777" w:rsidR="00DF410E" w:rsidRDefault="00CE7F43">
      <w:pPr>
        <w:pStyle w:val="Author-eListParagraph"/>
        <w:numPr>
          <w:ilvl w:val="0"/>
          <w:numId w:val="404"/>
        </w:numPr>
      </w:pPr>
      <w:r>
        <w:t>les blocs et écarteurs, les fourreaux pour les armatures de précontrainte ;</w:t>
      </w:r>
    </w:p>
    <w:p w14:paraId="01D2B471" w14:textId="77777777" w:rsidR="00DF410E" w:rsidRDefault="00CE7F43">
      <w:pPr>
        <w:pStyle w:val="Author-eListParagraph"/>
        <w:numPr>
          <w:ilvl w:val="0"/>
          <w:numId w:val="404"/>
        </w:numPr>
      </w:pPr>
      <w:r>
        <w:t>les pénétrations pour les pattes d’ancrage, les creux, les conduites noyées et les réservations dont le volume est inférieur à 0,05 m</w:t>
      </w:r>
      <w:r>
        <w:rPr>
          <w:vertAlign w:val="superscript"/>
        </w:rPr>
        <w:t>3</w:t>
      </w:r>
      <w:r>
        <w:t>.</w:t>
      </w:r>
    </w:p>
    <w:p w14:paraId="0B60F778" w14:textId="77777777" w:rsidR="00DF410E" w:rsidRDefault="00CE7F43">
      <w:pPr>
        <w:pStyle w:val="Author-eListParagraph"/>
        <w:numPr>
          <w:ilvl w:val="0"/>
          <w:numId w:val="404"/>
        </w:numPr>
      </w:pPr>
      <w:r>
        <w:t>les chanfreins et tous les profils dont la section a une superficie inférieure à 20 cm</w:t>
      </w:r>
      <w:r>
        <w:rPr>
          <w:vertAlign w:val="superscript"/>
        </w:rPr>
        <w:t>2</w:t>
      </w:r>
      <w:r>
        <w:t>.</w:t>
      </w:r>
    </w:p>
    <w:p w14:paraId="220274B7" w14:textId="77777777" w:rsidR="00DF410E" w:rsidRDefault="00CE7F43">
      <w:pPr>
        <w:pStyle w:val="Author-eListParagraph"/>
        <w:numPr>
          <w:ilvl w:val="0"/>
          <w:numId w:val="404"/>
        </w:numPr>
      </w:pPr>
      <w:r>
        <w:t>les rainures, encoches et languettes.</w:t>
      </w:r>
    </w:p>
    <w:p w14:paraId="53444AD7" w14:textId="77777777" w:rsidR="00DF410E" w:rsidRDefault="00CE7F43">
      <w:pPr>
        <w:pStyle w:val="pheading"/>
      </w:pPr>
      <w:r>
        <w:t>- nature du marché:</w:t>
      </w:r>
    </w:p>
    <w:p w14:paraId="7DF7F7CD" w14:textId="77777777" w:rsidR="00DF410E" w:rsidRDefault="00CE7F43">
      <w:r>
        <w:rPr>
          <w:rStyle w:val="optioncarChar"/>
        </w:rPr>
        <w:t xml:space="preserve">QF </w:t>
      </w:r>
      <w:r>
        <w:t>(par défaut)</w:t>
      </w:r>
      <w:r>
        <w:rPr>
          <w:rStyle w:val="optioncarChar"/>
        </w:rPr>
        <w:t xml:space="preserve"> / QP / PM</w:t>
      </w:r>
    </w:p>
    <w:p w14:paraId="2CEA65F7" w14:textId="77777777" w:rsidR="00DF410E" w:rsidRDefault="00CE7F43">
      <w:pPr>
        <w:pStyle w:val="Author-eSectionHeading6"/>
      </w:pPr>
      <w:bookmarkStart w:id="702" w:name="_Toc178837870"/>
      <w:r>
        <w:t>22.14.3b Colonnes préfabriquées en béton précontraint CCTB 01.11</w:t>
      </w:r>
      <w:bookmarkEnd w:id="702"/>
    </w:p>
    <w:p w14:paraId="37567D30" w14:textId="77777777" w:rsidR="00DF410E" w:rsidRDefault="00CE7F43">
      <w:pPr>
        <w:pStyle w:val="pheading"/>
      </w:pPr>
      <w:r>
        <w:t>DESCRIPTION</w:t>
      </w:r>
    </w:p>
    <w:p w14:paraId="0C0D66B8" w14:textId="77777777" w:rsidR="00DF410E" w:rsidRDefault="00CE7F43">
      <w:pPr>
        <w:pStyle w:val="pheading"/>
      </w:pPr>
      <w:r>
        <w:t>- Définition / Comprend</w:t>
      </w:r>
    </w:p>
    <w:p w14:paraId="792A50DF" w14:textId="77777777" w:rsidR="00DF410E" w:rsidRDefault="00CE7F43">
      <w:r>
        <w:t xml:space="preserve">Il s'agit de toutes les colonnes (éléments verticaux ou obliques) en béton précontraint qui sont obligatoirement préfabriquées dans une usine suivant la définition reprise dans les généralités, et sont assemblées sur chantier aux ouvrages de construction déjà exécutés ( voir également </w:t>
      </w:r>
      <w:hyperlink w:anchor="87" w:history="1">
        <w:r>
          <w:t>22 Superstructures en béton</w:t>
        </w:r>
      </w:hyperlink>
      <w:r>
        <w:t xml:space="preserve"> ).</w:t>
      </w:r>
    </w:p>
    <w:p w14:paraId="676D6568" w14:textId="77777777" w:rsidR="00DF410E" w:rsidRDefault="00CE7F43">
      <w:r>
        <w:t>Les éléments sont fabriqués suivant les spécifications de la norme [NBN EN 13225] et son complément national [NBN B 21-604].</w:t>
      </w:r>
    </w:p>
    <w:p w14:paraId="6AD84449" w14:textId="77777777" w:rsidR="00DF410E" w:rsidRDefault="00CE7F43">
      <w:pPr>
        <w:pStyle w:val="pheading"/>
      </w:pPr>
      <w:r>
        <w:t>MATÉRIAUX</w:t>
      </w:r>
    </w:p>
    <w:p w14:paraId="05C087E1" w14:textId="77777777" w:rsidR="00DF410E" w:rsidRDefault="00CE7F43">
      <w:pPr>
        <w:pStyle w:val="pheading"/>
      </w:pPr>
      <w:r>
        <w:t>- Caractéristiques générales</w:t>
      </w:r>
    </w:p>
    <w:p w14:paraId="462970D2" w14:textId="77777777" w:rsidR="00DF410E" w:rsidRDefault="00CE7F43">
      <w:r>
        <w:t>Classe de résistance à la compression :</w:t>
      </w:r>
      <w:r>
        <w:br/>
      </w:r>
      <w:r>
        <w:rPr>
          <w:color w:val="FF0000"/>
        </w:rPr>
        <w:t>C25/30 </w:t>
      </w:r>
      <w:r>
        <w:t>(par défaut)</w:t>
      </w:r>
      <w:r>
        <w:rPr>
          <w:color w:val="FF0000"/>
        </w:rPr>
        <w:t xml:space="preserve"> // C30/37 // C35/45 // C45/55 // C50/60 // C55/67 // C60/75 // C70/85 // C80/95 // C90/105 /// ***</w:t>
      </w:r>
      <w:r>
        <w:br/>
        <w:t>Classe d’environnement :</w:t>
      </w:r>
      <w:r>
        <w:br/>
      </w:r>
      <w:r>
        <w:rPr>
          <w:color w:val="FF0000"/>
        </w:rPr>
        <w:t>E0 </w:t>
      </w:r>
      <w:r>
        <w:t>(par défaut)</w:t>
      </w:r>
      <w:r>
        <w:rPr>
          <w:color w:val="FF0000"/>
        </w:rPr>
        <w:t xml:space="preserve"> / EI / EE1 / EE2 / EE3 / EE4 / ES1 / ES2 / ES3 / ES4 / EA1+*** / EA2+***/ EA3+***</w:t>
      </w:r>
    </w:p>
    <w:p w14:paraId="3ED9F6F7" w14:textId="77777777" w:rsidR="00DF410E" w:rsidRDefault="00CE7F43">
      <w:pPr>
        <w:pStyle w:val="pheading"/>
      </w:pPr>
      <w:r>
        <w:t>- Finitions</w:t>
      </w:r>
    </w:p>
    <w:p w14:paraId="4AE430EE" w14:textId="77777777" w:rsidR="00DF410E" w:rsidRDefault="00CE7F43">
      <w:r>
        <w:t>La surface de béton est</w:t>
      </w:r>
      <w:r>
        <w:rPr>
          <w:rStyle w:val="optioncarChar"/>
        </w:rPr>
        <w:t xml:space="preserve"> brute et lisse </w:t>
      </w:r>
      <w:r>
        <w:t>(par défaut)</w:t>
      </w:r>
      <w:r>
        <w:rPr>
          <w:rStyle w:val="optioncarChar"/>
        </w:rPr>
        <w:t> / structurée / ***</w:t>
      </w:r>
      <w:r>
        <w:br/>
      </w:r>
      <w:r>
        <w:br/>
      </w:r>
      <w:r>
        <w:rPr>
          <w:u w:val="single"/>
        </w:rPr>
        <w:t>Terminaison des arêtes</w:t>
      </w:r>
      <w:r>
        <w:br/>
        <w:t xml:space="preserve">Les arêtes saillantes des colonnes sont </w:t>
      </w:r>
      <w:r>
        <w:rPr>
          <w:rStyle w:val="optioncarChar"/>
        </w:rPr>
        <w:t>chanfreinées en triangle </w:t>
      </w:r>
      <w:r>
        <w:t>(par défaut)</w:t>
      </w:r>
      <w:r>
        <w:rPr>
          <w:rStyle w:val="optioncarChar"/>
        </w:rPr>
        <w:t xml:space="preserve"> /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r>
        <w:br/>
      </w:r>
      <w:r>
        <w:br/>
        <w:t xml:space="preserve">Les arêtes rentrantes des colonnes sont </w:t>
      </w:r>
      <w:r>
        <w:rPr>
          <w:rStyle w:val="optioncarChar"/>
        </w:rPr>
        <w:t>vives </w:t>
      </w:r>
      <w:r>
        <w:t>(par défaut)</w:t>
      </w:r>
      <w:r>
        <w:rPr>
          <w:rStyle w:val="optioncarChar"/>
        </w:rPr>
        <w:t xml:space="preserve"> / chanfreinées en triangle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w:t>
      </w:r>
      <w:r>
        <w:t>(par défaut)</w:t>
      </w:r>
      <w:r>
        <w:rPr>
          <w:rStyle w:val="optioncarChar"/>
        </w:rPr>
        <w:t xml:space="preserve">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2F35F414" w14:textId="77777777" w:rsidR="00DF410E" w:rsidRDefault="00CE7F43">
      <w:pPr>
        <w:pStyle w:val="pheading"/>
      </w:pPr>
      <w:r>
        <w:t>- Prescriptions complémentaires</w:t>
      </w:r>
    </w:p>
    <w:p w14:paraId="43E16008" w14:textId="77777777" w:rsidR="00DF410E" w:rsidRDefault="00CE7F43">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382DF8A9" w14:textId="77777777" w:rsidR="00DF410E" w:rsidRDefault="00CE7F43">
      <w:r>
        <w:t>Si la résistance au feu n’est pas déclarée sous marquage CE, elle est démontrée par test au feu selon la [NBN EN 13501-2] ou par calcul selon les Eurocodes conformément à l’[AM 2013-05-17].</w:t>
      </w:r>
    </w:p>
    <w:p w14:paraId="56A9387F" w14:textId="77777777" w:rsidR="00DF410E" w:rsidRDefault="00CE7F43">
      <w:pPr>
        <w:pStyle w:val="pheading"/>
      </w:pPr>
      <w:r>
        <w:t>EXÉCUTION / MISE EN ŒUVRE</w:t>
      </w:r>
    </w:p>
    <w:p w14:paraId="34E93675" w14:textId="77777777" w:rsidR="00DF410E" w:rsidRDefault="00CE7F43">
      <w:pPr>
        <w:pStyle w:val="pheading"/>
      </w:pPr>
      <w:r>
        <w:t>- Prescriptions générales</w:t>
      </w:r>
    </w:p>
    <w:p w14:paraId="71DAE391" w14:textId="77777777" w:rsidR="00DF410E" w:rsidRDefault="00CE7F43">
      <w:r>
        <w:t xml:space="preserve">L’étude et les plans d’exécution </w:t>
      </w:r>
      <w:r>
        <w:rPr>
          <w:rStyle w:val="optioncarChar"/>
        </w:rPr>
        <w:t>sont / ne sont pas</w:t>
      </w:r>
      <w:r>
        <w:t xml:space="preserve">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7559334C" w14:textId="77777777" w:rsidR="00DF410E" w:rsidRDefault="00CE7F43">
      <w:pPr>
        <w:pStyle w:val="pheading"/>
      </w:pPr>
      <w:r>
        <w:t>- Notes d’exécution complémentaires</w:t>
      </w:r>
    </w:p>
    <w:p w14:paraId="7A11F419" w14:textId="77777777" w:rsidR="00DF410E" w:rsidRDefault="00CE7F43">
      <w:r>
        <w:t>Ponts thermiques / isolation thermique : des dispositifs adéquats sont utilisés pour éviter tout pont thermique.</w:t>
      </w:r>
    </w:p>
    <w:p w14:paraId="1DCE6F46" w14:textId="77777777" w:rsidR="00DF410E" w:rsidRDefault="00CE7F43">
      <w:pPr>
        <w:pStyle w:val="pheading"/>
      </w:pPr>
      <w:r>
        <w:t>MESURAGE</w:t>
      </w:r>
    </w:p>
    <w:p w14:paraId="138FA494" w14:textId="77777777" w:rsidR="00DF410E" w:rsidRDefault="00CE7F43">
      <w:r>
        <w:t>Conformément aux indications spécifiques dans le cahier spécial des charges et/ou le métré récapitulatif, le mesurage est conçu comme suit :</w:t>
      </w:r>
    </w:p>
    <w:p w14:paraId="08A97492" w14:textId="77777777" w:rsidR="00DF410E" w:rsidRDefault="00CE7F43">
      <w:pPr>
        <w:pStyle w:val="pheading"/>
      </w:pPr>
      <w:r>
        <w:t>- unité de mesure:</w:t>
      </w:r>
    </w:p>
    <w:p w14:paraId="67E9BE5B" w14:textId="77777777" w:rsidR="00DF410E" w:rsidRDefault="00CE7F43">
      <w:r>
        <w:rPr>
          <w:rStyle w:val="optioncarChar"/>
        </w:rPr>
        <w:t>m³ (par défaut) / pce / m / -</w:t>
      </w:r>
    </w:p>
    <w:p w14:paraId="0D38A78A" w14:textId="77777777" w:rsidR="00DF410E" w:rsidRDefault="00CE7F43">
      <w:pPr>
        <w:pStyle w:val="pheading"/>
      </w:pPr>
      <w:r>
        <w:t>- code de mesurage:</w:t>
      </w:r>
    </w:p>
    <w:p w14:paraId="518023FC" w14:textId="77777777" w:rsidR="00DF410E" w:rsidRDefault="00CE7F43">
      <w:r>
        <w:t>volume net (selon la [NBN B 06-001]) mesuré entre la dalle de sol et les poutres.</w:t>
      </w:r>
    </w:p>
    <w:p w14:paraId="3BF165FF" w14:textId="77777777" w:rsidR="00DF410E" w:rsidRDefault="00CE7F43">
      <w:r>
        <w:t>volume net, mesuré selon les dimensions nominales indiquées sur les plans.</w:t>
      </w:r>
    </w:p>
    <w:p w14:paraId="36E2AD3F" w14:textId="77777777" w:rsidR="00DF410E" w:rsidRDefault="00CE7F43">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311D19E9" w14:textId="77777777" w:rsidR="00DF410E" w:rsidRDefault="00CE7F43">
      <w:pPr>
        <w:pStyle w:val="Author-eListParagraph"/>
        <w:numPr>
          <w:ilvl w:val="0"/>
          <w:numId w:val="405"/>
        </w:numPr>
      </w:pPr>
      <w:r>
        <w:t>le volume des armatures,</w:t>
      </w:r>
    </w:p>
    <w:p w14:paraId="4477D92F" w14:textId="77777777" w:rsidR="00DF410E" w:rsidRDefault="00CE7F43">
      <w:pPr>
        <w:pStyle w:val="Author-eListParagraph"/>
        <w:numPr>
          <w:ilvl w:val="0"/>
          <w:numId w:val="405"/>
        </w:numPr>
      </w:pPr>
      <w:r>
        <w:t>les blocs et écarteurs, les fourreaux pour les armatures de précontrainte ;</w:t>
      </w:r>
    </w:p>
    <w:p w14:paraId="44D3BC3C" w14:textId="77777777" w:rsidR="00DF410E" w:rsidRDefault="00CE7F43">
      <w:pPr>
        <w:pStyle w:val="Author-eListParagraph"/>
        <w:numPr>
          <w:ilvl w:val="0"/>
          <w:numId w:val="405"/>
        </w:numPr>
      </w:pPr>
      <w:r>
        <w:t>les pénétrations pour les pattes d’ancrage, les creux, les conduites noyées et les réservations dont le volume est inférieur à 0,05 m</w:t>
      </w:r>
      <w:r>
        <w:rPr>
          <w:vertAlign w:val="superscript"/>
        </w:rPr>
        <w:t>3</w:t>
      </w:r>
      <w:r>
        <w:t>.</w:t>
      </w:r>
    </w:p>
    <w:p w14:paraId="09E933AD" w14:textId="77777777" w:rsidR="00DF410E" w:rsidRDefault="00CE7F43">
      <w:pPr>
        <w:pStyle w:val="Author-eListParagraph"/>
        <w:numPr>
          <w:ilvl w:val="0"/>
          <w:numId w:val="405"/>
        </w:numPr>
      </w:pPr>
      <w:r>
        <w:t>les chanfreins et tous les profils dont la section a une superficie inférieure à 20 cm</w:t>
      </w:r>
      <w:r>
        <w:rPr>
          <w:vertAlign w:val="superscript"/>
        </w:rPr>
        <w:t>2</w:t>
      </w:r>
      <w:r>
        <w:t>.</w:t>
      </w:r>
    </w:p>
    <w:p w14:paraId="52701A36" w14:textId="77777777" w:rsidR="00DF410E" w:rsidRDefault="00CE7F43">
      <w:pPr>
        <w:pStyle w:val="Author-eListParagraph"/>
        <w:numPr>
          <w:ilvl w:val="0"/>
          <w:numId w:val="405"/>
        </w:numPr>
      </w:pPr>
      <w:r>
        <w:t>les rainures, encoches et languettes.</w:t>
      </w:r>
    </w:p>
    <w:p w14:paraId="31AA6375" w14:textId="77777777" w:rsidR="00DF410E" w:rsidRDefault="00CE7F43">
      <w:pPr>
        <w:pStyle w:val="pheading"/>
      </w:pPr>
      <w:r>
        <w:t>- nature du marché:</w:t>
      </w:r>
    </w:p>
    <w:p w14:paraId="70B6512C" w14:textId="77777777" w:rsidR="00DF410E" w:rsidRDefault="00CE7F43">
      <w:r>
        <w:rPr>
          <w:rStyle w:val="optioncarChar"/>
        </w:rPr>
        <w:t xml:space="preserve">QF </w:t>
      </w:r>
      <w:r>
        <w:t>(par défaut)</w:t>
      </w:r>
      <w:r>
        <w:rPr>
          <w:rStyle w:val="optioncarChar"/>
        </w:rPr>
        <w:t xml:space="preserve"> / QP / PM</w:t>
      </w:r>
      <w:r>
        <w:br/>
      </w:r>
    </w:p>
    <w:p w14:paraId="1D5504BD" w14:textId="77777777" w:rsidR="00DF410E" w:rsidRDefault="00CE7F43">
      <w:pPr>
        <w:pStyle w:val="Author-eSectionHeading5"/>
      </w:pPr>
      <w:bookmarkStart w:id="703" w:name="_Toc178837871"/>
      <w:r>
        <w:t>22.14.4 Colonnes préfabriquées en béton architectonique CCTB 01.04</w:t>
      </w:r>
      <w:bookmarkEnd w:id="703"/>
    </w:p>
    <w:p w14:paraId="61A394F5" w14:textId="77777777" w:rsidR="00DF410E" w:rsidRDefault="00CE7F43">
      <w:pPr>
        <w:pStyle w:val="Author-eSectionHeading6"/>
      </w:pPr>
      <w:bookmarkStart w:id="704" w:name="_Toc178837872"/>
      <w:r>
        <w:t>22.14.4a Colonnes préfabriquées en béton décoratif / architectonique CCTB 01.11</w:t>
      </w:r>
      <w:bookmarkEnd w:id="704"/>
    </w:p>
    <w:p w14:paraId="5B967416" w14:textId="77777777" w:rsidR="00DF410E" w:rsidRDefault="00CE7F43">
      <w:pPr>
        <w:pStyle w:val="pheading"/>
      </w:pPr>
      <w:r>
        <w:t>DESCRIPTION</w:t>
      </w:r>
    </w:p>
    <w:p w14:paraId="35F05E36" w14:textId="77777777" w:rsidR="00DF410E" w:rsidRDefault="00CE7F43">
      <w:pPr>
        <w:pStyle w:val="pheading"/>
      </w:pPr>
      <w:r>
        <w:t>- Définition / Comprend</w:t>
      </w:r>
    </w:p>
    <w:p w14:paraId="615B1EDF" w14:textId="77777777" w:rsidR="00DF410E" w:rsidRDefault="00CE7F43">
      <w:pPr>
        <w:jc w:val="both"/>
      </w:pPr>
      <w:r>
        <w:t xml:space="preserve">Il s'agit de la fourniture et de la pose de toutes les colonnes (éléments verticaux ou obliques) en béton armé qui sont obligatoirement préfabriquées dans une usine suivant la définition reprise dans les généralités, et sont assemblées sur chantier aux ouvrages de construction déjà exécutés (voir également </w:t>
      </w:r>
      <w:hyperlink w:anchor="87" w:history="1">
        <w:r>
          <w:t>22 Superstructures en béton</w:t>
        </w:r>
      </w:hyperlink>
      <w:r>
        <w:t>).</w:t>
      </w:r>
    </w:p>
    <w:p w14:paraId="7FBC485E" w14:textId="77777777" w:rsidR="00DF410E" w:rsidRDefault="00CE7F43">
      <w:pPr>
        <w:jc w:val="both"/>
      </w:pPr>
      <w:r>
        <w:t>Les travaux comprennent :</w:t>
      </w:r>
    </w:p>
    <w:p w14:paraId="75314BE9" w14:textId="77777777" w:rsidR="00DF410E" w:rsidRDefault="00CE7F43">
      <w:pPr>
        <w:pStyle w:val="Author-eListParagraph"/>
        <w:numPr>
          <w:ilvl w:val="0"/>
          <w:numId w:val="406"/>
        </w:numPr>
        <w:jc w:val="both"/>
      </w:pPr>
      <w:r>
        <w:t>La fourniture des colonnes préfabriquées</w:t>
      </w:r>
    </w:p>
    <w:p w14:paraId="7F3A1CF5" w14:textId="77777777" w:rsidR="00DF410E" w:rsidRDefault="00CE7F43">
      <w:pPr>
        <w:pStyle w:val="Author-eListParagraph"/>
        <w:numPr>
          <w:ilvl w:val="0"/>
          <w:numId w:val="406"/>
        </w:numPr>
        <w:jc w:val="both"/>
      </w:pPr>
      <w:r>
        <w:t>La pose des colonnes</w:t>
      </w:r>
    </w:p>
    <w:p w14:paraId="7375D1D2" w14:textId="77777777" w:rsidR="00DF410E" w:rsidRDefault="00CE7F43">
      <w:pPr>
        <w:pStyle w:val="pheading"/>
      </w:pPr>
      <w:r>
        <w:t>- Localisation</w:t>
      </w:r>
    </w:p>
    <w:p w14:paraId="09FF5802" w14:textId="77777777" w:rsidR="00DF410E" w:rsidRDefault="00CE7F43">
      <w:r>
        <w:t>Localisation des travaux :</w:t>
      </w:r>
      <w:r>
        <w:rPr>
          <w:rStyle w:val="optioncarChar"/>
        </w:rPr>
        <w:t xml:space="preserve"> ***</w:t>
      </w:r>
      <w:r>
        <w:t>.</w:t>
      </w:r>
    </w:p>
    <w:p w14:paraId="23DFFBCD" w14:textId="77777777" w:rsidR="00DF410E" w:rsidRDefault="00CE7F43">
      <w:r>
        <w:t>Voir plans et métrés détaillés.</w:t>
      </w:r>
    </w:p>
    <w:p w14:paraId="62CBAE5A" w14:textId="77777777" w:rsidR="00DF410E" w:rsidRDefault="00CE7F43">
      <w:pPr>
        <w:pStyle w:val="pheading"/>
      </w:pPr>
      <w:r>
        <w:t>MATÉRIAUX</w:t>
      </w:r>
    </w:p>
    <w:p w14:paraId="3AECAC74" w14:textId="77777777" w:rsidR="00DF410E" w:rsidRDefault="00CE7F43">
      <w:pPr>
        <w:pStyle w:val="pheading"/>
      </w:pPr>
      <w:r>
        <w:t>- Caractéristiques générales</w:t>
      </w:r>
    </w:p>
    <w:p w14:paraId="24A0BE5A" w14:textId="77777777" w:rsidR="00DF410E" w:rsidRDefault="00CE7F43">
      <w:pPr>
        <w:jc w:val="both"/>
      </w:pPr>
      <w:r>
        <w:t>Les éléments sont fabriqués suivant les spécifications de la [NBN EN 13225] et son complément national [NBN B 21-604].</w:t>
      </w:r>
    </w:p>
    <w:p w14:paraId="45B33EDD" w14:textId="77777777" w:rsidR="00DF410E" w:rsidRDefault="00DF410E">
      <w:pPr>
        <w:jc w:val="both"/>
      </w:pPr>
    </w:p>
    <w:p w14:paraId="087F78A8" w14:textId="77777777" w:rsidR="00DF410E" w:rsidRDefault="00CE7F43">
      <w:pPr>
        <w:jc w:val="both"/>
      </w:pPr>
      <w:r>
        <w:t>Les colonnes en béton architectonique répondent aux exigences élevées de qualité pour les éléments architectoniques préfabriqués en béton décoratif telles que spécifiées dans le [PTV 21-601].</w:t>
      </w:r>
    </w:p>
    <w:p w14:paraId="1D448CBD" w14:textId="77777777" w:rsidR="00DF410E" w:rsidRDefault="00CE7F43">
      <w:r>
        <w:t>Classe de résistance à la compression :</w:t>
      </w:r>
      <w:r>
        <w:br/>
      </w:r>
      <w:r>
        <w:rPr>
          <w:color w:val="FF0000"/>
        </w:rPr>
        <w:t>C30/37 </w:t>
      </w:r>
      <w:r>
        <w:t xml:space="preserve">(par défaut) </w:t>
      </w:r>
      <w:r>
        <w:rPr>
          <w:color w:val="FF0000"/>
        </w:rPr>
        <w:t>/ C35/45 / C45/55 / C50/60 / C55/67 / C60/75 / C70/85 / C80/95 / C90/105 / ***</w:t>
      </w:r>
      <w:r>
        <w:br/>
        <w:t>Classe d’environnement :</w:t>
      </w:r>
      <w:r>
        <w:br/>
      </w:r>
      <w:r>
        <w:rPr>
          <w:color w:val="FF0000"/>
        </w:rPr>
        <w:t>EI </w:t>
      </w:r>
      <w:r>
        <w:t>(par défaut)</w:t>
      </w:r>
      <w:r>
        <w:rPr>
          <w:color w:val="FF0000"/>
        </w:rPr>
        <w:t xml:space="preserve"> / EE1 / EE2 / EE3 / EE4 / ES1 / ES2 / ES3 / ES4 / EA1+*** / EA2+***/ EA3+***</w:t>
      </w:r>
    </w:p>
    <w:p w14:paraId="69D801FA" w14:textId="77777777" w:rsidR="00DF410E" w:rsidRDefault="00CE7F43">
      <w:pPr>
        <w:pStyle w:val="pheading"/>
      </w:pPr>
      <w:r>
        <w:t>- Finitions</w:t>
      </w:r>
    </w:p>
    <w:p w14:paraId="1ED0D36D" w14:textId="77777777" w:rsidR="00DF410E" w:rsidRDefault="00CE7F43">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4C4BBCE3" w14:textId="77777777" w:rsidR="00DF410E" w:rsidRDefault="00CE7F43">
      <w:r>
        <w:rPr>
          <w:b/>
          <w:i/>
        </w:rPr>
        <w:t>(soit par défaut)</w:t>
      </w:r>
    </w:p>
    <w:p w14:paraId="109A2476" w14:textId="77777777" w:rsidR="00DF410E" w:rsidRDefault="00CE7F43">
      <w:r>
        <w:rPr>
          <w:rStyle w:val="soitChar"/>
        </w:rPr>
        <w:t>Béton architectonique</w:t>
      </w:r>
    </w:p>
    <w:p w14:paraId="04758E19" w14:textId="77777777" w:rsidR="00DF410E" w:rsidRDefault="00CE7F43">
      <w:r>
        <w:rPr>
          <w:b/>
          <w:i/>
        </w:rPr>
        <w:t>(soit)</w:t>
      </w:r>
    </w:p>
    <w:p w14:paraId="2CD916A5" w14:textId="77777777" w:rsidR="00DF410E" w:rsidRDefault="00CE7F43">
      <w:r>
        <w:rPr>
          <w:rStyle w:val="soitChar"/>
        </w:rPr>
        <w:t>Béton décoratif industriel</w:t>
      </w:r>
    </w:p>
    <w:p w14:paraId="1F468F4F" w14:textId="77777777" w:rsidR="00DF410E" w:rsidRDefault="00CE7F43">
      <w:r>
        <w:t>Les éléments en béton architectoniques doivent répondre au [PTV 21-601].</w:t>
      </w:r>
    </w:p>
    <w:p w14:paraId="70F49B98" w14:textId="77777777" w:rsidR="00DF410E" w:rsidRDefault="00CE7F43">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73020483" w14:textId="77777777" w:rsidR="00DF410E" w:rsidRDefault="00CE7F43">
      <w:r>
        <w:t>Description détaillée des éléments :</w:t>
      </w:r>
    </w:p>
    <w:p w14:paraId="2F73FDD1" w14:textId="77777777" w:rsidR="00DF410E" w:rsidRDefault="00CE7F43">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0FDD07E1" w14:textId="77777777" w:rsidR="00DF410E" w:rsidRDefault="00CE7F43">
      <w:r>
        <w:rPr>
          <w:b/>
          <w:i/>
        </w:rPr>
        <w:t> (soit par défaut)</w:t>
      </w:r>
    </w:p>
    <w:p w14:paraId="2D840B1F"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3DAB6992" w14:textId="77777777" w:rsidR="00DF410E" w:rsidRDefault="00CE7F43">
      <w:r>
        <w:rPr>
          <w:b/>
          <w:i/>
        </w:rPr>
        <w:t> (soit)</w:t>
      </w:r>
    </w:p>
    <w:p w14:paraId="73FDE08D" w14:textId="77777777" w:rsidR="00DF410E" w:rsidRDefault="00CE7F43">
      <w:r>
        <w:rPr>
          <w:rStyle w:val="soitChar"/>
          <w:u w:val="single"/>
        </w:rPr>
        <w:t>Suivant échantillons à remettre pour approbation par l’architecte:</w:t>
      </w:r>
      <w:r>
        <w:rPr>
          <w:rStyle w:val="soitChar"/>
        </w:rPr>
        <w:t> </w:t>
      </w:r>
      <w:r>
        <w:rPr>
          <w:rStyle w:val="optioncarChar"/>
        </w:rPr>
        <w:t>gris </w:t>
      </w:r>
      <w:r>
        <w:t>(par défaut)</w:t>
      </w:r>
      <w:r>
        <w:rPr>
          <w:rStyle w:val="optioncarChar"/>
        </w:rPr>
        <w:t xml:space="preserve"> / blanc / vert / anthracite / rouge / ***</w:t>
      </w:r>
    </w:p>
    <w:p w14:paraId="6D9C6B3E" w14:textId="77777777" w:rsidR="00DF410E" w:rsidRDefault="00CE7F43">
      <w:r>
        <w:rPr>
          <w:b/>
          <w:i/>
        </w:rPr>
        <w:t>(soit)</w:t>
      </w:r>
    </w:p>
    <w:p w14:paraId="24CB2AA0" w14:textId="77777777" w:rsidR="00DF410E" w:rsidRDefault="00CE7F43">
      <w:r>
        <w:rPr>
          <w:rStyle w:val="soitChar"/>
          <w:u w:val="single"/>
        </w:rPr>
        <w:t>Suivant la couleur RAL</w:t>
      </w:r>
      <w:r>
        <w:rPr>
          <w:rStyle w:val="soitChar"/>
        </w:rPr>
        <w:t xml:space="preserve"> se rapprochant le mieux que possible du RAL </w:t>
      </w:r>
      <w:r>
        <w:rPr>
          <w:rStyle w:val="optioncarChar"/>
        </w:rPr>
        <w:t>***</w:t>
      </w:r>
    </w:p>
    <w:p w14:paraId="212F14C4" w14:textId="77777777" w:rsidR="00DF410E" w:rsidRDefault="00CE7F43">
      <w:r>
        <w:t> </w:t>
      </w:r>
    </w:p>
    <w:p w14:paraId="263C7879" w14:textId="77777777" w:rsidR="00DF410E" w:rsidRDefault="00CE7F43">
      <w:r>
        <w:t>2.     Texture : </w:t>
      </w:r>
      <w:r>
        <w:rPr>
          <w:rStyle w:val="optioncarChar"/>
        </w:rPr>
        <w:t>suivant échantillon disponible</w:t>
      </w:r>
      <w:r>
        <w:t> (par défaut)</w:t>
      </w:r>
      <w:r>
        <w:rPr>
          <w:rStyle w:val="optioncarChar"/>
        </w:rPr>
        <w:t> / suivant échantillons à remettre pour approbation par l'architecte</w:t>
      </w:r>
    </w:p>
    <w:p w14:paraId="78E6888E" w14:textId="77777777" w:rsidR="00DF410E" w:rsidRDefault="00CE7F43">
      <w:r>
        <w:rPr>
          <w:b/>
          <w:i/>
        </w:rPr>
        <w:t>(soit par défaut)</w:t>
      </w:r>
    </w:p>
    <w:p w14:paraId="3F119E2E" w14:textId="77777777" w:rsidR="00DF410E" w:rsidRDefault="00CE7F43">
      <w:r>
        <w:rPr>
          <w:rStyle w:val="soitChar"/>
          <w:u w:val="single"/>
        </w:rPr>
        <w:t>Suivant échantillon disponible</w:t>
      </w:r>
      <w:r>
        <w:t xml:space="preserve">  </w:t>
      </w:r>
      <w:r>
        <w:rPr>
          <w:rStyle w:val="optioncarChar"/>
        </w:rPr>
        <w:t>auprès du bureau d’architecte / sur chantier / auprès du fabricant</w:t>
      </w:r>
    </w:p>
    <w:p w14:paraId="21EE2873" w14:textId="77777777" w:rsidR="00DF410E" w:rsidRDefault="00CE7F43">
      <w:r>
        <w:rPr>
          <w:b/>
          <w:i/>
        </w:rPr>
        <w:t>(soit)</w:t>
      </w:r>
    </w:p>
    <w:p w14:paraId="4892802B" w14:textId="77777777" w:rsidR="00DF410E" w:rsidRDefault="00CE7F43">
      <w:r>
        <w:rPr>
          <w:rStyle w:val="soitChar"/>
          <w:u w:val="single"/>
        </w:rPr>
        <w:t>Echantillons à remettre pour approbation par l’architecte</w:t>
      </w:r>
      <w:r>
        <w:br/>
      </w:r>
      <w:r>
        <w:b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374BDAE5" w14:textId="77777777" w:rsidR="00DF410E" w:rsidRDefault="00CE7F43">
      <w:r>
        <w:t>3.    Terminaison des arêtes: </w:t>
      </w:r>
    </w:p>
    <w:p w14:paraId="741964E5" w14:textId="77777777" w:rsidR="00DF410E" w:rsidRDefault="00CE7F43">
      <w:r>
        <w:t xml:space="preserve">Les arêtes saillantes des colonnes sont </w:t>
      </w:r>
      <w:r>
        <w:rPr>
          <w:rStyle w:val="optioncarChar"/>
        </w:rPr>
        <w:t xml:space="preserve">chanfreinées en triangle </w:t>
      </w:r>
      <w:r>
        <w:t>(par défaut)</w:t>
      </w:r>
      <w:r>
        <w:rPr>
          <w:rStyle w:val="optioncarChar"/>
        </w:rPr>
        <w:t xml:space="preserve"> / chanfreinées en arrondi / vives</w:t>
      </w:r>
      <w:r>
        <w:br/>
      </w:r>
      <w:r>
        <w:br/>
      </w:r>
      <w:r>
        <w:rPr>
          <w:b/>
          <w:i/>
        </w:rPr>
        <w:t xml:space="preserve"> (soit par défaut)</w:t>
      </w:r>
      <w:r>
        <w:br/>
      </w:r>
      <w:r>
        <w:br/>
      </w:r>
      <w:r>
        <w:rPr>
          <w:rStyle w:val="soitChar"/>
          <w:u w:val="single"/>
        </w:rPr>
        <w:t>Chanfreinées en triangle</w:t>
      </w:r>
      <w:r>
        <w:br/>
      </w:r>
      <w:r>
        <w:rPr>
          <w:rStyle w:val="soitChar"/>
        </w:rPr>
        <w:t xml:space="preserve"> Les arêtes sont cassées au moyen d'un chanfrein de </w:t>
      </w:r>
      <w:r>
        <w:rPr>
          <w:rStyle w:val="optioncarChar"/>
        </w:rPr>
        <w:t>1,5 x 1,5 </w:t>
      </w:r>
      <w:r>
        <w:t>(par défaut)</w:t>
      </w:r>
      <w:r>
        <w:rPr>
          <w:rStyle w:val="optioncarChar"/>
        </w:rPr>
        <w:t xml:space="preserve"> / 2,5 x 2,5 / *** cm x *** cm.</w:t>
      </w:r>
      <w:r>
        <w:br/>
      </w:r>
      <w:r>
        <w:br/>
      </w:r>
      <w:r>
        <w:rPr>
          <w:b/>
          <w:i/>
        </w:rPr>
        <w:t>(soit)</w:t>
      </w:r>
      <w:r>
        <w:br/>
      </w:r>
      <w:r>
        <w:br/>
      </w:r>
      <w:r>
        <w:rPr>
          <w:rStyle w:val="soitChar"/>
          <w:u w:val="single"/>
        </w:rPr>
        <w:t>Chanfreinée en arrondi</w:t>
      </w:r>
      <w:r>
        <w:br/>
      </w:r>
      <w:r>
        <w:rPr>
          <w:rStyle w:val="soitChar"/>
        </w:rPr>
        <w:t xml:space="preserve"> Les arêtes sont cassées au moyen d'un chanfrein de rayon</w:t>
      </w:r>
      <w:r>
        <w:rPr>
          <w:rStyle w:val="optioncarChar"/>
        </w:rPr>
        <w:t xml:space="preserve"> 1,5  </w:t>
      </w:r>
      <w:r>
        <w:t>(par défaut) </w:t>
      </w:r>
      <w:r>
        <w:rPr>
          <w:rStyle w:val="optioncarChar"/>
        </w:rPr>
        <w:t>/ 2,5 / ***cm</w:t>
      </w:r>
      <w:r>
        <w:t xml:space="preserve"> .</w:t>
      </w:r>
      <w:r>
        <w:br/>
      </w:r>
      <w:r>
        <w:br/>
      </w:r>
      <w:r>
        <w:rPr>
          <w:b/>
          <w:i/>
        </w:rPr>
        <w:t xml:space="preserve"> (soit)</w:t>
      </w:r>
      <w:r>
        <w:br/>
      </w:r>
      <w:r>
        <w:br/>
      </w:r>
      <w:r>
        <w:rPr>
          <w:rStyle w:val="soitChar"/>
          <w:u w:val="single"/>
        </w:rPr>
        <w:t>Vives</w:t>
      </w:r>
      <w:r>
        <w:br/>
      </w:r>
      <w:r>
        <w:br/>
      </w:r>
      <w:r>
        <w:br/>
        <w:t xml:space="preserve">Les arêtes rentrantes des colonnes sont </w:t>
      </w:r>
      <w:r>
        <w:rPr>
          <w:rStyle w:val="optioncarChar"/>
        </w:rPr>
        <w:t xml:space="preserve">vives </w:t>
      </w:r>
      <w:r>
        <w:t>(par défaut)</w:t>
      </w:r>
      <w:r>
        <w:rPr>
          <w:rStyle w:val="optioncarChar"/>
        </w:rPr>
        <w:t xml:space="preserve"> / chanfreinées en triangle / chanfreinées en arrondi </w:t>
      </w:r>
      <w:r>
        <w:br/>
      </w:r>
      <w:r>
        <w:br/>
      </w:r>
      <w:r>
        <w:rPr>
          <w:b/>
          <w:i/>
        </w:rPr>
        <w:t xml:space="preserve"> (soit par défaut)</w:t>
      </w:r>
      <w:r>
        <w:br/>
      </w:r>
      <w:r>
        <w:br/>
      </w:r>
      <w:r>
        <w:rPr>
          <w:rStyle w:val="soitChar"/>
          <w:u w:val="single"/>
        </w:rPr>
        <w:t>Vives</w:t>
      </w:r>
      <w:r>
        <w:br/>
      </w:r>
      <w:r>
        <w:br/>
      </w:r>
      <w:r>
        <w:rPr>
          <w:b/>
          <w:i/>
        </w:rPr>
        <w:t>(soit)</w:t>
      </w:r>
      <w:r>
        <w:br/>
      </w:r>
      <w:r>
        <w:br/>
      </w:r>
      <w:r>
        <w:rPr>
          <w:rStyle w:val="soitChar"/>
          <w:u w:val="single"/>
        </w:rPr>
        <w:t>Chanfreinées</w:t>
      </w:r>
      <w:r>
        <w:br/>
      </w:r>
      <w:r>
        <w:rPr>
          <w:rStyle w:val="soitChar"/>
        </w:rPr>
        <w:t xml:space="preserve"> Les arêtes sont cassées au moyen d'un chanfrein de </w:t>
      </w:r>
      <w:r>
        <w:rPr>
          <w:rStyle w:val="optioncarChar"/>
        </w:rPr>
        <w:t xml:space="preserve">1,5 x 1,5 </w:t>
      </w:r>
      <w:r>
        <w:t>(par défaut) </w:t>
      </w:r>
      <w:r>
        <w:rPr>
          <w:rStyle w:val="optioncarChar"/>
        </w:rPr>
        <w:t>/ 2,5 x 2,5 / *** cm x *** cm.</w:t>
      </w:r>
      <w:r>
        <w:br/>
      </w:r>
      <w:r>
        <w:br/>
      </w:r>
      <w:r>
        <w:rPr>
          <w:b/>
          <w:i/>
        </w:rPr>
        <w:t>(soit)</w:t>
      </w:r>
      <w:r>
        <w:br/>
      </w:r>
      <w:r>
        <w:br/>
      </w:r>
      <w:r>
        <w:rPr>
          <w:rStyle w:val="soitChar"/>
          <w:u w:val="single"/>
        </w:rPr>
        <w:t>Chanfreinée en arrondi</w:t>
      </w:r>
      <w:r>
        <w:br/>
      </w:r>
      <w:r>
        <w:rPr>
          <w:rStyle w:val="soitChar"/>
        </w:rPr>
        <w:t xml:space="preserve"> Les arêtes sont cassées au moyen d'un chanfrein de rayon </w:t>
      </w:r>
      <w:r>
        <w:rPr>
          <w:rStyle w:val="optioncarChar"/>
        </w:rPr>
        <w:t>1,5 </w:t>
      </w:r>
      <w:r>
        <w:t>(par défaut)</w:t>
      </w:r>
      <w:r>
        <w:rPr>
          <w:rStyle w:val="optioncarChar"/>
        </w:rPr>
        <w:t xml:space="preserve"> / 2,5 / *** cm .</w:t>
      </w:r>
    </w:p>
    <w:p w14:paraId="0D40A001" w14:textId="77777777" w:rsidR="00DF410E" w:rsidRDefault="00CE7F43">
      <w:pPr>
        <w:pStyle w:val="pheading"/>
      </w:pPr>
      <w:r>
        <w:t>- Prescriptions complémentaires</w:t>
      </w:r>
    </w:p>
    <w:p w14:paraId="0346EEC1" w14:textId="77777777" w:rsidR="00DF410E" w:rsidRDefault="00CE7F43">
      <w:pPr>
        <w:jc w:val="both"/>
      </w:pPr>
      <w:r>
        <w:rPr>
          <w:rStyle w:val="facultChar"/>
        </w:rPr>
        <w:t>Résistance au feu :</w:t>
      </w:r>
      <w:r>
        <w:rPr>
          <w:rStyle w:val="optioncarChar"/>
        </w:rPr>
        <w:t>R30 / R60 / R120 / R240 / ***</w:t>
      </w:r>
      <w:r>
        <w:rPr>
          <w:rStyle w:val="facultChar"/>
        </w:rPr>
        <w:t xml:space="preserve"> suivant la déclaration de performance (DoP) selon la norme produit [NBN EN 13225] et [NBN B 21-604].</w:t>
      </w:r>
    </w:p>
    <w:p w14:paraId="534211EB" w14:textId="77777777" w:rsidR="00DF410E" w:rsidRDefault="00CE7F43">
      <w:pPr>
        <w:jc w:val="both"/>
      </w:pPr>
      <w:r>
        <w:rPr>
          <w:rStyle w:val="facultChar"/>
        </w:rPr>
        <w:t>Si la résistance au feu n’est pas déclarée sous marquage CE, elle est démontrée par test au feu selon la [NBN EN 13501-2]  ou par calcul selon les Eurocodes conformément à l’[AM 2013-05-17].</w:t>
      </w:r>
    </w:p>
    <w:p w14:paraId="28B639DE" w14:textId="77777777" w:rsidR="00DF410E" w:rsidRDefault="00CE7F43">
      <w:pPr>
        <w:pStyle w:val="pheading"/>
      </w:pPr>
      <w:r>
        <w:t>EXÉCUTION / MISE EN ŒUVRE</w:t>
      </w:r>
    </w:p>
    <w:p w14:paraId="71D6CDCA" w14:textId="77777777" w:rsidR="00DF410E" w:rsidRDefault="00CE7F43">
      <w:pPr>
        <w:pStyle w:val="pheading"/>
      </w:pPr>
      <w:r>
        <w:t>- Prescriptions générales</w:t>
      </w:r>
    </w:p>
    <w:p w14:paraId="58A1BDE9" w14:textId="77777777" w:rsidR="00DF410E" w:rsidRDefault="00CE7F43">
      <w:r>
        <w:t>L’étude et les plans d’exécution</w:t>
      </w:r>
      <w:r>
        <w:rPr>
          <w:rStyle w:val="optioncarChar"/>
        </w:rPr>
        <w:t xml:space="preserve"> sont / ne sont</w:t>
      </w:r>
      <w:r>
        <w:t xml:space="preserve"> pas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4FFF737A" w14:textId="77777777" w:rsidR="00DF410E" w:rsidRDefault="00CE7F43">
      <w:pPr>
        <w:pStyle w:val="pheading"/>
      </w:pPr>
      <w:r>
        <w:t>- Notes d’exécution complémentaires</w:t>
      </w:r>
    </w:p>
    <w:p w14:paraId="15FDF560" w14:textId="77777777" w:rsidR="00DF410E" w:rsidRDefault="00CE7F43">
      <w:pPr>
        <w:jc w:val="both"/>
      </w:pPr>
      <w:r>
        <w:rPr>
          <w:rStyle w:val="facultChar"/>
        </w:rPr>
        <w:t>Ponts thermiques et isolation thermique : des dispositifs adéquats sont utilisés pour éviter tout pont thermique.</w:t>
      </w:r>
    </w:p>
    <w:p w14:paraId="4ABB267C" w14:textId="77777777" w:rsidR="00DF410E" w:rsidRDefault="00CE7F43">
      <w:pPr>
        <w:pStyle w:val="pheading"/>
      </w:pPr>
      <w:r>
        <w:t>DOCUMENTS DE RÉFÉRENCE COMPLÉMENTAIRES</w:t>
      </w:r>
    </w:p>
    <w:p w14:paraId="08C04F3F" w14:textId="77777777" w:rsidR="00DF410E" w:rsidRDefault="00CE7F43">
      <w:pPr>
        <w:pStyle w:val="pheading"/>
      </w:pPr>
      <w:r>
        <w:t>- Matériau</w:t>
      </w:r>
    </w:p>
    <w:p w14:paraId="54ACE273" w14:textId="77777777" w:rsidR="00DF410E" w:rsidRDefault="00CE7F43">
      <w:r>
        <w:t>[NBN EN 13225, Produits préfabriqués en béton - Éléments de structure linéaires]</w:t>
      </w:r>
    </w:p>
    <w:p w14:paraId="07784952" w14:textId="77777777" w:rsidR="00DF410E" w:rsidRDefault="00CE7F43">
      <w:r>
        <w:t>[NBN B 21-604, Produits préfabriqués en béton - Eléments de structure linéaires - Complément national à la NBN EN 13225:2004]</w:t>
      </w:r>
    </w:p>
    <w:p w14:paraId="2CA185B7" w14:textId="77777777" w:rsidR="00DF410E" w:rsidRDefault="00CE7F43">
      <w:r>
        <w:t>[PTV 21-601, Eléments préfabriqués en béton architectonique.]</w:t>
      </w:r>
    </w:p>
    <w:p w14:paraId="4B93766D"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3330F3B" w14:textId="77777777" w:rsidR="00DF410E" w:rsidRDefault="00CE7F43">
      <w:pPr>
        <w:pStyle w:val="pheading"/>
      </w:pPr>
      <w:r>
        <w:t>MESURAGE</w:t>
      </w:r>
    </w:p>
    <w:p w14:paraId="08DC5042" w14:textId="77777777" w:rsidR="00DF410E" w:rsidRDefault="00CE7F43">
      <w:pPr>
        <w:pStyle w:val="pheading"/>
      </w:pPr>
      <w:r>
        <w:t>- unité de mesure:</w:t>
      </w:r>
    </w:p>
    <w:p w14:paraId="06FFB757" w14:textId="77777777" w:rsidR="00DF410E" w:rsidRDefault="00CE7F43">
      <w:r>
        <w:rPr>
          <w:rStyle w:val="optioncarChar"/>
        </w:rPr>
        <w:t>m³</w:t>
      </w:r>
      <w:r>
        <w:t xml:space="preserve"> (par défaut)</w:t>
      </w:r>
      <w:r>
        <w:rPr>
          <w:rStyle w:val="optioncarChar"/>
        </w:rPr>
        <w:t xml:space="preserve"> / pc / m </w:t>
      </w:r>
    </w:p>
    <w:p w14:paraId="1B294366" w14:textId="77777777" w:rsidR="00DF410E" w:rsidRDefault="00CE7F43">
      <w:r>
        <w:rPr>
          <w:b/>
          <w:i/>
        </w:rPr>
        <w:t>(Soit par défaut)</w:t>
      </w:r>
    </w:p>
    <w:p w14:paraId="190B5BC6" w14:textId="77777777" w:rsidR="00DF410E" w:rsidRDefault="00CE7F43">
      <w:r>
        <w:rPr>
          <w:rStyle w:val="soitChar"/>
        </w:rPr>
        <w:t>1. m³</w:t>
      </w:r>
    </w:p>
    <w:p w14:paraId="63CC8BDA" w14:textId="77777777" w:rsidR="00DF410E" w:rsidRDefault="00CE7F43">
      <w:r>
        <w:rPr>
          <w:b/>
          <w:i/>
        </w:rPr>
        <w:t>(Soit)</w:t>
      </w:r>
    </w:p>
    <w:p w14:paraId="391E0AA1" w14:textId="77777777" w:rsidR="00DF410E" w:rsidRDefault="00CE7F43">
      <w:r>
        <w:rPr>
          <w:rStyle w:val="soitChar"/>
        </w:rPr>
        <w:t>2. pc</w:t>
      </w:r>
    </w:p>
    <w:p w14:paraId="508A938F" w14:textId="77777777" w:rsidR="00DF410E" w:rsidRDefault="00CE7F43">
      <w:r>
        <w:rPr>
          <w:b/>
          <w:i/>
        </w:rPr>
        <w:t>(Soit)</w:t>
      </w:r>
    </w:p>
    <w:p w14:paraId="6F4BC351" w14:textId="77777777" w:rsidR="00DF410E" w:rsidRDefault="00CE7F43">
      <w:r>
        <w:rPr>
          <w:rStyle w:val="soitChar"/>
        </w:rPr>
        <w:t>3. m</w:t>
      </w:r>
    </w:p>
    <w:p w14:paraId="4890E99F" w14:textId="77777777" w:rsidR="00DF410E" w:rsidRDefault="00CE7F43">
      <w:pPr>
        <w:pStyle w:val="pheading"/>
      </w:pPr>
      <w:r>
        <w:t>- code de mesurage:</w:t>
      </w:r>
    </w:p>
    <w:p w14:paraId="7A5F4184" w14:textId="77777777" w:rsidR="00DF410E" w:rsidRDefault="00CE7F43">
      <w:pPr>
        <w:jc w:val="both"/>
      </w:pPr>
      <w:r>
        <w:rPr>
          <w:rStyle w:val="optioncarChar"/>
        </w:rPr>
        <w:t>volume net</w:t>
      </w:r>
      <w:r>
        <w:t xml:space="preserve"> (par défaut)</w:t>
      </w:r>
      <w:r>
        <w:rPr>
          <w:rStyle w:val="optioncarChar"/>
        </w:rPr>
        <w:t xml:space="preserve"> / quantité nette / longueur nette </w:t>
      </w:r>
    </w:p>
    <w:p w14:paraId="33614D1B" w14:textId="77777777" w:rsidR="00DF410E" w:rsidRDefault="00CE7F43">
      <w:pPr>
        <w:jc w:val="both"/>
      </w:pPr>
      <w:r>
        <w:rPr>
          <w:b/>
          <w:i/>
        </w:rPr>
        <w:t>(Soit par défaut)</w:t>
      </w:r>
    </w:p>
    <w:p w14:paraId="36D7CADE" w14:textId="77777777" w:rsidR="00DF410E" w:rsidRDefault="00CE7F43">
      <w:pPr>
        <w:jc w:val="both"/>
      </w:pPr>
      <w:r>
        <w:rPr>
          <w:rStyle w:val="soitChar"/>
        </w:rPr>
        <w:t>1. V</w:t>
      </w:r>
      <w:r>
        <w:rPr>
          <w:rStyle w:val="soitChar"/>
          <w:u w:val="single"/>
        </w:rPr>
        <w:t>olume net</w:t>
      </w:r>
      <w:r>
        <w:rPr>
          <w:rStyle w:val="soitChar"/>
        </w:rPr>
        <w:t xml:space="preserve"> (selon la [NBN B 06-001]) mesuré entre la dalle de sol et les poutres (selon les dimensions nominales indiquées sur les plans).</w:t>
      </w:r>
    </w:p>
    <w:p w14:paraId="0F8E7A1F" w14:textId="77777777" w:rsidR="00DF410E" w:rsidRDefault="00CE7F43">
      <w:r>
        <w:rPr>
          <w:color w:val="33CCCC"/>
        </w:rPr>
        <w:t>Les éléments en béton non rectangulaires sont calculés en multipliant la longueur par la surface de la section.</w:t>
      </w:r>
      <w:r>
        <w:br/>
      </w:r>
      <w:r>
        <w:rPr>
          <w:color w:val="33CCCC"/>
        </w:rPr>
        <w:t>Le contenu des volumes résiduels au droit des angles, rencontres et terminaisons est négligé.</w:t>
      </w:r>
      <w:r>
        <w:br/>
      </w:r>
      <w:r>
        <w:rPr>
          <w:rStyle w:val="soitChar"/>
        </w:rPr>
        <w:t>Aucune déduction n'est faite pour:</w:t>
      </w:r>
    </w:p>
    <w:p w14:paraId="67EFB813" w14:textId="77777777" w:rsidR="00DF410E" w:rsidRDefault="00CE7F43">
      <w:pPr>
        <w:pStyle w:val="Author-eListParagraph"/>
        <w:numPr>
          <w:ilvl w:val="0"/>
          <w:numId w:val="407"/>
        </w:numPr>
      </w:pPr>
      <w:r>
        <w:rPr>
          <w:rStyle w:val="soitChar"/>
        </w:rPr>
        <w:t xml:space="preserve">le volume des armatures, </w:t>
      </w:r>
    </w:p>
    <w:p w14:paraId="72758F4F" w14:textId="77777777" w:rsidR="00DF410E" w:rsidRDefault="00CE7F43">
      <w:pPr>
        <w:pStyle w:val="Author-eListParagraph"/>
        <w:numPr>
          <w:ilvl w:val="0"/>
          <w:numId w:val="407"/>
        </w:numPr>
      </w:pPr>
      <w:r>
        <w:rPr>
          <w:rStyle w:val="soitChar"/>
        </w:rPr>
        <w:t>les blocs et écarteurs, les fourreaux pour les armatures de précontrainte ;</w:t>
      </w:r>
    </w:p>
    <w:p w14:paraId="2307C4CF" w14:textId="77777777" w:rsidR="00DF410E" w:rsidRDefault="00CE7F43">
      <w:pPr>
        <w:pStyle w:val="Author-eListParagraph"/>
        <w:numPr>
          <w:ilvl w:val="0"/>
          <w:numId w:val="407"/>
        </w:numPr>
      </w:pPr>
      <w:r>
        <w:rPr>
          <w:rStyle w:val="soitChar"/>
        </w:rPr>
        <w:t>les pénétrations pour les pattes d’ancrage, les creux, les conduites noyées et les réservations dont le volume est inférieur à 0,05 m3.</w:t>
      </w:r>
    </w:p>
    <w:p w14:paraId="7C15FD75" w14:textId="77777777" w:rsidR="00DF410E" w:rsidRDefault="00CE7F43">
      <w:pPr>
        <w:pStyle w:val="Author-eListParagraph"/>
        <w:numPr>
          <w:ilvl w:val="0"/>
          <w:numId w:val="407"/>
        </w:numPr>
      </w:pPr>
      <w:r>
        <w:rPr>
          <w:rStyle w:val="soitChar"/>
        </w:rPr>
        <w:t>les chanfreins et tous les profils dont la section a une superficie inférieure à 20 cm2.</w:t>
      </w:r>
    </w:p>
    <w:p w14:paraId="72A95D8C" w14:textId="77777777" w:rsidR="00DF410E" w:rsidRDefault="00CE7F43">
      <w:pPr>
        <w:pStyle w:val="Author-eListParagraph"/>
        <w:numPr>
          <w:ilvl w:val="0"/>
          <w:numId w:val="407"/>
        </w:numPr>
      </w:pPr>
      <w:r>
        <w:rPr>
          <w:rStyle w:val="soitChar"/>
        </w:rPr>
        <w:t>les rainures, encoches et languettes. </w:t>
      </w:r>
    </w:p>
    <w:p w14:paraId="6676C15D" w14:textId="77777777" w:rsidR="00DF410E" w:rsidRDefault="00CE7F43">
      <w:pPr>
        <w:jc w:val="both"/>
      </w:pPr>
      <w:r>
        <w:rPr>
          <w:b/>
          <w:i/>
        </w:rPr>
        <w:t>(Soit)</w:t>
      </w:r>
    </w:p>
    <w:p w14:paraId="74E4F036" w14:textId="77777777" w:rsidR="00DF410E" w:rsidRDefault="00CE7F43">
      <w:pPr>
        <w:jc w:val="both"/>
      </w:pPr>
      <w:r>
        <w:rPr>
          <w:rStyle w:val="soitChar"/>
        </w:rPr>
        <w:t>2. </w:t>
      </w:r>
      <w:r>
        <w:rPr>
          <w:rStyle w:val="soitChar"/>
          <w:u w:val="single"/>
        </w:rPr>
        <w:t>Quantité nette</w:t>
      </w:r>
      <w:r>
        <w:rPr>
          <w:rStyle w:val="soitChar"/>
        </w:rPr>
        <w:t>: mesurage à la pièce</w:t>
      </w:r>
    </w:p>
    <w:p w14:paraId="0DE0493F" w14:textId="77777777" w:rsidR="00DF410E" w:rsidRDefault="00CE7F43">
      <w:pPr>
        <w:jc w:val="both"/>
      </w:pPr>
      <w:r>
        <w:rPr>
          <w:b/>
          <w:i/>
        </w:rPr>
        <w:t>(Soit)</w:t>
      </w:r>
    </w:p>
    <w:p w14:paraId="7066B2A7" w14:textId="77777777" w:rsidR="00DF410E" w:rsidRDefault="00CE7F43">
      <w:pPr>
        <w:jc w:val="both"/>
      </w:pPr>
      <w:r>
        <w:rPr>
          <w:rStyle w:val="soitChar"/>
        </w:rPr>
        <w:t>3. </w:t>
      </w:r>
      <w:r>
        <w:rPr>
          <w:rStyle w:val="soitChar"/>
          <w:u w:val="single"/>
        </w:rPr>
        <w:t xml:space="preserve"> Longueur nette</w:t>
      </w:r>
      <w:r>
        <w:rPr>
          <w:rStyle w:val="soitChar"/>
        </w:rPr>
        <w:t xml:space="preserve"> mesurée entre la dalle de sol et les poutres (selon les dimensions nominales indiquées sur les plans)</w:t>
      </w:r>
    </w:p>
    <w:p w14:paraId="2EE0966C" w14:textId="77777777" w:rsidR="00DF410E" w:rsidRDefault="00CE7F43">
      <w:pPr>
        <w:pStyle w:val="pheading"/>
      </w:pPr>
      <w:r>
        <w:t>- nature du marché:</w:t>
      </w:r>
    </w:p>
    <w:p w14:paraId="78F77A7B" w14:textId="77777777" w:rsidR="00DF410E" w:rsidRDefault="00CE7F43">
      <w:r>
        <w:rPr>
          <w:rStyle w:val="optioncarChar"/>
        </w:rPr>
        <w:t>QF</w:t>
      </w:r>
      <w:r>
        <w:t xml:space="preserve"> (par défaut) </w:t>
      </w:r>
      <w:r>
        <w:rPr>
          <w:rStyle w:val="optioncarChar"/>
        </w:rPr>
        <w:t>/ QP</w:t>
      </w:r>
    </w:p>
    <w:p w14:paraId="4922CB4D" w14:textId="77777777" w:rsidR="00DF410E" w:rsidRDefault="00CE7F43">
      <w:r>
        <w:rPr>
          <w:b/>
          <w:i/>
        </w:rPr>
        <w:t>(Soit par défaut)</w:t>
      </w:r>
    </w:p>
    <w:p w14:paraId="56DE244F" w14:textId="77777777" w:rsidR="00DF410E" w:rsidRDefault="00CE7F43">
      <w:r>
        <w:rPr>
          <w:rStyle w:val="soitChar"/>
        </w:rPr>
        <w:t>1. 2. 3. QF</w:t>
      </w:r>
    </w:p>
    <w:p w14:paraId="2323D4A6" w14:textId="77777777" w:rsidR="00DF410E" w:rsidRDefault="00CE7F43">
      <w:r>
        <w:rPr>
          <w:b/>
          <w:i/>
        </w:rPr>
        <w:t>(Soit)</w:t>
      </w:r>
    </w:p>
    <w:p w14:paraId="30A1B800" w14:textId="77777777" w:rsidR="00DF410E" w:rsidRDefault="00CE7F43">
      <w:r>
        <w:rPr>
          <w:rStyle w:val="soitChar"/>
        </w:rPr>
        <w:t>1. 2. 3.  QP</w:t>
      </w:r>
    </w:p>
    <w:p w14:paraId="471CADB8" w14:textId="77777777" w:rsidR="00DF410E" w:rsidRDefault="00CE7F43">
      <w:pPr>
        <w:pStyle w:val="Author-eSectionHeading5"/>
      </w:pPr>
      <w:bookmarkStart w:id="705" w:name="_Toc178837873"/>
      <w:r>
        <w:t>22.14.5 Colonnes mixtes acier-béton CCTB 01.11</w:t>
      </w:r>
      <w:bookmarkEnd w:id="705"/>
    </w:p>
    <w:p w14:paraId="32413DE4" w14:textId="77777777" w:rsidR="00DF410E" w:rsidRDefault="00CE7F43">
      <w:pPr>
        <w:pStyle w:val="pheading"/>
      </w:pPr>
      <w:r>
        <w:t>DESCRIPTION</w:t>
      </w:r>
    </w:p>
    <w:p w14:paraId="0BF029B3" w14:textId="77777777" w:rsidR="00DF410E" w:rsidRDefault="00CE7F43">
      <w:pPr>
        <w:pStyle w:val="pheading"/>
      </w:pPr>
      <w:r>
        <w:t>- Définition / Comprend</w:t>
      </w:r>
    </w:p>
    <w:p w14:paraId="177C71A6" w14:textId="77777777" w:rsidR="00DF410E" w:rsidRDefault="00CE7F43">
      <w:pPr>
        <w:jc w:val="both"/>
      </w:pPr>
      <w:r>
        <w:t>Il s’agit de la fourniture et de la pose de colonnes mixtes où  la section en acier est enrobée de béton et présente une connexion entre le béton et les éléments en acier.</w:t>
      </w:r>
    </w:p>
    <w:p w14:paraId="1C20BAEF" w14:textId="77777777" w:rsidR="00DF410E" w:rsidRDefault="00CE7F43">
      <w:pPr>
        <w:pStyle w:val="pheading"/>
      </w:pPr>
      <w:r>
        <w:t>MATÉRIAUX</w:t>
      </w:r>
    </w:p>
    <w:p w14:paraId="2EB01D32" w14:textId="77777777" w:rsidR="00DF410E" w:rsidRDefault="00CE7F43">
      <w:pPr>
        <w:jc w:val="both"/>
      </w:pPr>
      <w:r>
        <w:rPr>
          <w:u w:val="single"/>
        </w:rPr>
        <w:t>Profilés en acier</w:t>
      </w:r>
    </w:p>
    <w:p w14:paraId="355CCDBF" w14:textId="77777777" w:rsidR="00DF410E" w:rsidRDefault="00CE7F43">
      <w:pPr>
        <w:jc w:val="both"/>
      </w:pPr>
      <w:r>
        <w:t>Les profilés en acier sont constitués de :</w:t>
      </w:r>
    </w:p>
    <w:p w14:paraId="444DF646" w14:textId="77777777" w:rsidR="00DF410E" w:rsidRDefault="00CE7F43">
      <w:pPr>
        <w:pStyle w:val="Author-eListParagraph"/>
        <w:numPr>
          <w:ilvl w:val="0"/>
          <w:numId w:val="408"/>
        </w:numPr>
      </w:pPr>
      <w:r>
        <w:t xml:space="preserve">section en I ou H laminée à chaud conforme aux prescriptions du </w:t>
      </w:r>
      <w:hyperlink w:anchor="493" w:history="1">
        <w:r>
          <w:t>23.14.1a Colonnes en profilés en acier laminés à chaud</w:t>
        </w:r>
      </w:hyperlink>
      <w:r>
        <w:t> ;</w:t>
      </w:r>
    </w:p>
    <w:p w14:paraId="7DEDA5C1" w14:textId="77777777" w:rsidR="00DF410E" w:rsidRDefault="00CE7F43">
      <w:pPr>
        <w:pStyle w:val="Author-eListParagraph"/>
        <w:numPr>
          <w:ilvl w:val="0"/>
          <w:numId w:val="408"/>
        </w:numPr>
      </w:pPr>
      <w:r>
        <w:t xml:space="preserve">section en I reconstitué par soudage conforme aux prescriptions du </w:t>
      </w:r>
      <w:hyperlink w:anchor="494" w:history="1">
        <w:r>
          <w:t>23.14.1b Colonnes reconstituées en profilés d'acier</w:t>
        </w:r>
      </w:hyperlink>
      <w:r>
        <w:t>.</w:t>
      </w:r>
    </w:p>
    <w:p w14:paraId="20FCE483" w14:textId="77777777" w:rsidR="00DF410E" w:rsidRDefault="00CE7F43">
      <w:pPr>
        <w:jc w:val="both"/>
      </w:pPr>
      <w:r>
        <w:rPr>
          <w:u w:val="single"/>
        </w:rPr>
        <w:t>Béton de remplissage et armatures</w:t>
      </w:r>
    </w:p>
    <w:p w14:paraId="20D731C2" w14:textId="77777777" w:rsidR="00DF410E" w:rsidRDefault="00CE7F43">
      <w:pPr>
        <w:pStyle w:val="Author-eListParagraph"/>
        <w:numPr>
          <w:ilvl w:val="0"/>
          <w:numId w:val="409"/>
        </w:numPr>
        <w:jc w:val="both"/>
      </w:pPr>
      <w:r>
        <w:t xml:space="preserve">Le béton est conforme aux prescriptions du </w:t>
      </w:r>
      <w:hyperlink w:anchor="87" w:history="1">
        <w:r>
          <w:t>22 Superstructures en béton</w:t>
        </w:r>
      </w:hyperlink>
      <w:r>
        <w:t xml:space="preserve"> et du </w:t>
      </w:r>
      <w:hyperlink w:anchor="495" w:history="1">
        <w:r>
          <w:t>22.14 Colonnes en béton</w:t>
        </w:r>
      </w:hyperlink>
      <w:r>
        <w:t>.</w:t>
      </w:r>
    </w:p>
    <w:p w14:paraId="7A9CB3D8" w14:textId="77777777" w:rsidR="00DF410E" w:rsidRDefault="00CE7F43">
      <w:pPr>
        <w:pStyle w:val="Author-eListParagraph"/>
        <w:numPr>
          <w:ilvl w:val="0"/>
          <w:numId w:val="409"/>
        </w:numPr>
        <w:jc w:val="both"/>
      </w:pPr>
      <w:r>
        <w:t xml:space="preserve">Les treillis et barres d’armatures en acier sont conformes aux prescriptions du </w:t>
      </w:r>
      <w:hyperlink w:anchor="231" w:history="1">
        <w:r>
          <w:t>22.51 Armatures pour béton</w:t>
        </w:r>
      </w:hyperlink>
      <w:r>
        <w:t>.</w:t>
      </w:r>
    </w:p>
    <w:p w14:paraId="68AC5389" w14:textId="77777777" w:rsidR="00DF410E" w:rsidRDefault="00CE7F43">
      <w:pPr>
        <w:pStyle w:val="pheading"/>
      </w:pPr>
      <w:r>
        <w:t>EXÉCUTION / MISE EN ŒUVRE</w:t>
      </w:r>
    </w:p>
    <w:p w14:paraId="360DA887" w14:textId="77777777" w:rsidR="00DF410E" w:rsidRDefault="00CE7F43">
      <w:pPr>
        <w:jc w:val="both"/>
      </w:pPr>
      <w:r>
        <w:t>Le dimensionnement et la mise en œuvre des éléments sont conformes à la [NBN EN 1994-1-1] et déterminés d’après l’étude de stabilité.</w:t>
      </w:r>
    </w:p>
    <w:p w14:paraId="45072340" w14:textId="77777777" w:rsidR="00DF410E" w:rsidRDefault="00CE7F43">
      <w:pPr>
        <w:pStyle w:val="pheading"/>
      </w:pPr>
      <w:r>
        <w:t>DOCUMENTS DE RÉFÉRENCE</w:t>
      </w:r>
    </w:p>
    <w:p w14:paraId="3DE030C8" w14:textId="77777777" w:rsidR="00DF410E" w:rsidRDefault="00CE7F43">
      <w:pPr>
        <w:pStyle w:val="pheading"/>
      </w:pPr>
      <w:r>
        <w:t>- Matériau</w:t>
      </w:r>
    </w:p>
    <w:p w14:paraId="5CBC3D06" w14:textId="77777777" w:rsidR="00DF410E" w:rsidRDefault="00CE7F43">
      <w:r>
        <w:rPr>
          <w:u w:val="single"/>
        </w:rPr>
        <w:t>Profilés en acier</w:t>
      </w:r>
    </w:p>
    <w:p w14:paraId="3C7DFD40" w14:textId="77777777" w:rsidR="00DF410E" w:rsidRDefault="00CE7F43">
      <w:pPr>
        <w:jc w:val="both"/>
      </w:pPr>
      <w:r>
        <w:t>[NBN EN 10365, Profilés en U en aciers laminés à chaud, poutrelles I et H - Dimensions et masses]</w:t>
      </w:r>
    </w:p>
    <w:p w14:paraId="48695392" w14:textId="77777777" w:rsidR="00DF410E" w:rsidRDefault="00CE7F43">
      <w:pPr>
        <w:jc w:val="both"/>
      </w:pPr>
      <w:r>
        <w:t>[NBN EN 10025 série, Produits laminés à chaud en aciers de construction]</w:t>
      </w:r>
    </w:p>
    <w:p w14:paraId="0BB7E148" w14:textId="77777777" w:rsidR="00DF410E" w:rsidRDefault="00CE7F43">
      <w:pPr>
        <w:jc w:val="both"/>
      </w:pPr>
      <w:r>
        <w:t>[NBN EN 1090-1+A1, Exécution des structures en acier et des structures en aluminium - Partie 1: Exigences pour l'évaluation de la conformité des éléments structuraux]</w:t>
      </w:r>
    </w:p>
    <w:p w14:paraId="284A4772" w14:textId="77777777" w:rsidR="00DF410E" w:rsidRDefault="00CE7F43">
      <w:r>
        <w:rPr>
          <w:u w:val="single"/>
        </w:rPr>
        <w:t>Béton de remplissage et armatures</w:t>
      </w:r>
    </w:p>
    <w:p w14:paraId="44A3B469" w14:textId="77777777" w:rsidR="00DF410E" w:rsidRDefault="00CE7F43">
      <w:r>
        <w:t>[NBN EN 1992-1-1, Eurocode 2: Calcul des structures en béton - Partie 1-1: Règles générales et règles pour les bâtiments (+AC:2010)]</w:t>
      </w:r>
    </w:p>
    <w:p w14:paraId="574CEB5F" w14:textId="77777777" w:rsidR="00DF410E" w:rsidRDefault="00CE7F43">
      <w:pPr>
        <w:pStyle w:val="pheading"/>
      </w:pPr>
      <w:r>
        <w:t>- Exécution</w:t>
      </w:r>
    </w:p>
    <w:p w14:paraId="3CEE8370" w14:textId="77777777" w:rsidR="00DF410E" w:rsidRDefault="00CE7F43">
      <w:r>
        <w:t>[NBN EN 1994-1-1, Eurocode 4: Calcul des structures mixtes acier-béton - Partie 1-1: Règles générales et règles pour les bâtiments (+ AC:2009)] </w:t>
      </w:r>
    </w:p>
    <w:p w14:paraId="2535370E" w14:textId="77777777" w:rsidR="00DF410E" w:rsidRDefault="00CE7F43">
      <w:pPr>
        <w:pStyle w:val="Author-eSectionHeading6"/>
      </w:pPr>
      <w:bookmarkStart w:id="706" w:name="_Toc178837874"/>
      <w:r>
        <w:t>22.14.5a Colonnes mixtes acier-béton coulées en place CCTB 01.11</w:t>
      </w:r>
      <w:bookmarkEnd w:id="706"/>
    </w:p>
    <w:p w14:paraId="058DE5FD" w14:textId="77777777" w:rsidR="00DF410E" w:rsidRDefault="00CE7F43">
      <w:pPr>
        <w:pStyle w:val="pheading"/>
      </w:pPr>
      <w:r>
        <w:t>DESCRIPTION</w:t>
      </w:r>
    </w:p>
    <w:p w14:paraId="2FBCBC7B" w14:textId="77777777" w:rsidR="00DF410E" w:rsidRDefault="00CE7F43">
      <w:pPr>
        <w:pStyle w:val="pheading"/>
      </w:pPr>
      <w:r>
        <w:t>- Définition / Comprend</w:t>
      </w:r>
    </w:p>
    <w:p w14:paraId="76977C8B" w14:textId="77777777" w:rsidR="00DF410E" w:rsidRDefault="00CE7F43">
      <w:pPr>
        <w:jc w:val="both"/>
      </w:pPr>
      <w:r>
        <w:t>Il s'agit de colonnes composites comprenant un profilé d’acier et un enrobage en béton dont les phases de ferraillage et de bétonnage sont réalisées sur chantier.</w:t>
      </w:r>
    </w:p>
    <w:p w14:paraId="2C91D3BD" w14:textId="77777777" w:rsidR="00DF410E" w:rsidRDefault="00CE7F43">
      <w:pPr>
        <w:pStyle w:val="pheading"/>
      </w:pPr>
      <w:r>
        <w:t>MATÉRIAUX</w:t>
      </w:r>
    </w:p>
    <w:p w14:paraId="7174BB38" w14:textId="77777777" w:rsidR="00DF410E" w:rsidRDefault="00CE7F43">
      <w:pPr>
        <w:pStyle w:val="pheading"/>
      </w:pPr>
      <w:r>
        <w:t>- Caractéristiques générales</w:t>
      </w:r>
    </w:p>
    <w:p w14:paraId="263F5113" w14:textId="77777777" w:rsidR="00DF410E" w:rsidRDefault="00CE7F43">
      <w:pPr>
        <w:jc w:val="both"/>
      </w:pPr>
      <w:r>
        <w:rPr>
          <w:b/>
        </w:rPr>
        <w:t>Profilés en acier</w:t>
      </w:r>
    </w:p>
    <w:p w14:paraId="661617F2" w14:textId="77777777" w:rsidR="00DF410E" w:rsidRDefault="00CE7F43">
      <w:pPr>
        <w:pStyle w:val="Author-eListParagraph"/>
        <w:numPr>
          <w:ilvl w:val="0"/>
          <w:numId w:val="410"/>
        </w:numPr>
      </w:pPr>
      <w:r>
        <w:t xml:space="preserve">Types de profilés : </w:t>
      </w:r>
      <w:r>
        <w:rPr>
          <w:rStyle w:val="optioncarChar"/>
        </w:rPr>
        <w:t xml:space="preserve">suivant les prescriptions de l’étude de stabilité </w:t>
      </w:r>
      <w:r>
        <w:t xml:space="preserve">(par défaut) </w:t>
      </w:r>
      <w:r>
        <w:rPr>
          <w:rStyle w:val="optioncarChar"/>
        </w:rPr>
        <w:t>/ ***</w:t>
      </w:r>
    </w:p>
    <w:p w14:paraId="78A19B24" w14:textId="77777777" w:rsidR="00DF410E" w:rsidRDefault="00CE7F43">
      <w:pPr>
        <w:pStyle w:val="Author-eListParagraph"/>
        <w:numPr>
          <w:ilvl w:val="0"/>
          <w:numId w:val="410"/>
        </w:numPr>
      </w:pPr>
      <w:r>
        <w:t xml:space="preserve">Nuance d'acier : </w:t>
      </w:r>
      <w:r>
        <w:rPr>
          <w:rStyle w:val="optioncarChar"/>
        </w:rPr>
        <w:t>suivant les prescriptions de l’étude de stabilité</w:t>
      </w:r>
      <w:r>
        <w:t xml:space="preserve"> (par défaut)</w:t>
      </w:r>
      <w:r>
        <w:rPr>
          <w:rStyle w:val="optioncarChar"/>
        </w:rPr>
        <w:t xml:space="preserve"> / S235 / S275 / S355 / S420 / S460 / ***</w:t>
      </w:r>
      <w:r>
        <w:t>.</w:t>
      </w:r>
    </w:p>
    <w:p w14:paraId="6AC9BA6C" w14:textId="77777777" w:rsidR="00DF410E" w:rsidRDefault="00CE7F43">
      <w:pPr>
        <w:pStyle w:val="Author-eListParagraph"/>
        <w:numPr>
          <w:ilvl w:val="0"/>
          <w:numId w:val="410"/>
        </w:numPr>
      </w:pPr>
      <w:r>
        <w:t xml:space="preserve">Qualité d’acier [NBN EN 10025 série] : </w:t>
      </w:r>
      <w:r>
        <w:rPr>
          <w:rStyle w:val="optioncarChar"/>
        </w:rPr>
        <w:t xml:space="preserve">suivant les prescriptions de l’étude de stabilité </w:t>
      </w:r>
      <w:r>
        <w:t>(par défaut)</w:t>
      </w:r>
      <w:r>
        <w:rPr>
          <w:rStyle w:val="optioncarChar"/>
        </w:rPr>
        <w:t xml:space="preserve"> / JR / J0 / J2 / K2 / N / NL / M / ML / W / P / Q / QL / QL1 / ***</w:t>
      </w:r>
      <w:r>
        <w:t>.</w:t>
      </w:r>
    </w:p>
    <w:p w14:paraId="5801B54C" w14:textId="77777777" w:rsidR="00DF410E" w:rsidRDefault="00CE7F43">
      <w:pPr>
        <w:jc w:val="both"/>
      </w:pPr>
      <w:r>
        <w:rPr>
          <w:b/>
        </w:rPr>
        <w:t>Béton de remplissage et armatures</w:t>
      </w:r>
    </w:p>
    <w:p w14:paraId="54950C62" w14:textId="77777777" w:rsidR="00DF410E" w:rsidRDefault="00CE7F43">
      <w:pPr>
        <w:jc w:val="both"/>
      </w:pPr>
      <w:r>
        <w:rPr>
          <w:u w:val="single"/>
        </w:rPr>
        <w:t>Béton :</w:t>
      </w:r>
    </w:p>
    <w:p w14:paraId="7508FB64" w14:textId="77777777" w:rsidR="00DF410E" w:rsidRDefault="00CE7F43">
      <w:pPr>
        <w:pStyle w:val="Author-eListParagraph"/>
        <w:numPr>
          <w:ilvl w:val="0"/>
          <w:numId w:val="411"/>
        </w:numPr>
      </w:pPr>
      <w:r>
        <w:t xml:space="preserve">Qualité du béton selon la [NBN EN 206:2013+A2] et la [NBN B 15-001] : (voir également </w:t>
      </w:r>
      <w:hyperlink w:anchor="87" w:history="1">
        <w:r>
          <w:t>22 Superstructures en béton</w:t>
        </w:r>
      </w:hyperlink>
      <w:r>
        <w:t>).</w:t>
      </w:r>
    </w:p>
    <w:p w14:paraId="74A12BD4" w14:textId="77777777" w:rsidR="00DF410E" w:rsidRDefault="00CE7F43">
      <w:pPr>
        <w:pStyle w:val="Author-eListParagraph"/>
        <w:numPr>
          <w:ilvl w:val="0"/>
          <w:numId w:val="411"/>
        </w:numPr>
      </w:pPr>
      <w:r>
        <w:t xml:space="preserve">Classe de résistance : </w:t>
      </w:r>
      <w:r>
        <w:rPr>
          <w:rStyle w:val="optioncarChar"/>
        </w:rPr>
        <w:t xml:space="preserve">suivant les prescriptions de l’étude de stabilité </w:t>
      </w:r>
      <w:r>
        <w:t xml:space="preserve">(par défaut) </w:t>
      </w:r>
      <w:r>
        <w:rPr>
          <w:rStyle w:val="optioncarChar"/>
        </w:rPr>
        <w:t>/ C25/30 / C30/37 / C35/45 / C45/55 / C50/60 / C55/67 / C60/75 / C70/85 / C80/95 / C90/105 / ***</w:t>
      </w:r>
    </w:p>
    <w:p w14:paraId="661B51A2" w14:textId="77777777" w:rsidR="00DF410E" w:rsidRDefault="00CE7F43">
      <w:pPr>
        <w:pStyle w:val="Author-eListParagraph"/>
        <w:numPr>
          <w:ilvl w:val="0"/>
          <w:numId w:val="411"/>
        </w:numPr>
      </w:pPr>
      <w:r>
        <w:t xml:space="preserve">Classe d’environnement : </w:t>
      </w:r>
      <w:r>
        <w:rPr>
          <w:rStyle w:val="optioncarChar"/>
        </w:rPr>
        <w:t xml:space="preserve">suivant les prescriptions de l’étude de stabilité </w:t>
      </w:r>
      <w:r>
        <w:t xml:space="preserve">(par défaut) </w:t>
      </w:r>
      <w:r>
        <w:rPr>
          <w:rStyle w:val="optioncarChar"/>
        </w:rPr>
        <w:t>/ E0 / EI / EE1 / EE2 / EE3 / EE4 / ES1 / ES2 / ES3 / ES4 / EA1+*** / EA2+***/ EA3+*** / ***</w:t>
      </w:r>
    </w:p>
    <w:p w14:paraId="4117AA2A" w14:textId="77777777" w:rsidR="00DF410E" w:rsidRDefault="00CE7F43">
      <w:pPr>
        <w:pStyle w:val="Author-eListParagraph"/>
        <w:numPr>
          <w:ilvl w:val="0"/>
          <w:numId w:val="411"/>
        </w:numPr>
      </w:pPr>
      <w:r>
        <w:t xml:space="preserve">Classe de consistance : </w:t>
      </w:r>
      <w:r>
        <w:rPr>
          <w:rStyle w:val="optioncarChar"/>
        </w:rPr>
        <w:t xml:space="preserve">suivant les prescriptions de l’étude de stabilité </w:t>
      </w:r>
      <w:r>
        <w:t>(par défaut)</w:t>
      </w:r>
      <w:r>
        <w:rPr>
          <w:rStyle w:val="optioncarChar"/>
        </w:rPr>
        <w:t xml:space="preserve"> / S3 / S4 / S5 / F3 / F4 / F5 / F6 / ***</w:t>
      </w:r>
    </w:p>
    <w:p w14:paraId="43E7DFD4" w14:textId="77777777" w:rsidR="00DF410E" w:rsidRDefault="00CE7F43">
      <w:pPr>
        <w:pStyle w:val="Author-eListParagraph"/>
        <w:numPr>
          <w:ilvl w:val="0"/>
          <w:numId w:val="411"/>
        </w:numPr>
      </w:pPr>
      <w:r>
        <w:t xml:space="preserve">Granulométrie maximale : </w:t>
      </w:r>
      <w:r>
        <w:rPr>
          <w:rStyle w:val="optioncarChar"/>
        </w:rPr>
        <w:t>suivant les prescriptions de l’étude de stabilité</w:t>
      </w:r>
      <w:r>
        <w:t xml:space="preserve"> (par défaut) </w:t>
      </w:r>
      <w:r>
        <w:rPr>
          <w:rStyle w:val="optioncarChar"/>
        </w:rPr>
        <w:t>/ 6 / 8 / 10 / 11 / 12 / 14 / 16 / 20 / 22 / 32 / ***</w:t>
      </w:r>
      <w:r>
        <w:t xml:space="preserve"> mm</w:t>
      </w:r>
    </w:p>
    <w:p w14:paraId="3182A84D" w14:textId="77777777" w:rsidR="00DF410E" w:rsidRDefault="00CE7F43">
      <w:pPr>
        <w:jc w:val="both"/>
      </w:pPr>
      <w:r>
        <w:rPr>
          <w:u w:val="single"/>
        </w:rPr>
        <w:t>Armature :</w:t>
      </w:r>
    </w:p>
    <w:p w14:paraId="7C7F551B" w14:textId="77777777" w:rsidR="00DF410E" w:rsidRDefault="00CE7F43">
      <w:pPr>
        <w:pStyle w:val="Author-eListParagraph"/>
        <w:numPr>
          <w:ilvl w:val="0"/>
          <w:numId w:val="412"/>
        </w:numPr>
      </w:pPr>
      <w:r>
        <w:t xml:space="preserve">Barres d’acier pour les armatures principales : </w:t>
      </w:r>
      <w:r>
        <w:rPr>
          <w:rStyle w:val="optioncarChar"/>
        </w:rPr>
        <w:t xml:space="preserve">acier BE 500 S </w:t>
      </w:r>
      <w:r>
        <w:t>(par défaut)</w:t>
      </w:r>
      <w:r>
        <w:rPr>
          <w:rStyle w:val="optioncarChar"/>
        </w:rPr>
        <w:t xml:space="preserve"> / ***</w:t>
      </w:r>
      <w:r>
        <w:t xml:space="preserve"> selon [NBN A 24-302] + [PTV 302].</w:t>
      </w:r>
    </w:p>
    <w:p w14:paraId="3BF0E36C" w14:textId="77777777" w:rsidR="00DF410E" w:rsidRDefault="00CE7F43">
      <w:pPr>
        <w:pStyle w:val="Author-eListParagraph"/>
        <w:numPr>
          <w:ilvl w:val="0"/>
          <w:numId w:val="412"/>
        </w:numPr>
      </w:pPr>
      <w:r>
        <w:t xml:space="preserve">Acier pour les étriers : </w:t>
      </w:r>
      <w:r>
        <w:rPr>
          <w:rStyle w:val="optioncarChar"/>
        </w:rPr>
        <w:t>DE 500 BS</w:t>
      </w:r>
      <w:r>
        <w:t xml:space="preserve"> (par défaut) </w:t>
      </w:r>
      <w:r>
        <w:rPr>
          <w:rStyle w:val="optioncarChar"/>
        </w:rPr>
        <w:t>/ BE 500 S</w:t>
      </w:r>
    </w:p>
    <w:p w14:paraId="23516E64" w14:textId="77777777" w:rsidR="00DF410E" w:rsidRDefault="00CE7F43">
      <w:pPr>
        <w:jc w:val="both"/>
      </w:pPr>
      <w:r>
        <w:rPr>
          <w:u w:val="single"/>
        </w:rPr>
        <w:t>Connexion :</w:t>
      </w:r>
    </w:p>
    <w:p w14:paraId="0604C919" w14:textId="77777777" w:rsidR="00DF410E" w:rsidRDefault="00DF410E">
      <w:pPr>
        <w:jc w:val="both"/>
      </w:pPr>
    </w:p>
    <w:p w14:paraId="00A38499" w14:textId="77777777" w:rsidR="00DF410E" w:rsidRDefault="00CE7F43">
      <w:pPr>
        <w:pStyle w:val="Author-eListParagraph"/>
        <w:numPr>
          <w:ilvl w:val="0"/>
          <w:numId w:val="413"/>
        </w:numPr>
        <w:jc w:val="both"/>
      </w:pPr>
      <w:r>
        <w:t xml:space="preserve">La connexion entre le profilé et le béton est </w:t>
      </w:r>
      <w:r>
        <w:rPr>
          <w:rStyle w:val="optioncarChar"/>
        </w:rPr>
        <w:t>définie par l’étude de stabilité</w:t>
      </w:r>
      <w:r>
        <w:t xml:space="preserve"> (par défaut)</w:t>
      </w:r>
      <w:r>
        <w:rPr>
          <w:rStyle w:val="optioncarChar"/>
        </w:rPr>
        <w:t xml:space="preserve"> / assurée par des goujons à tête / étriers soudés sur l’âme / cornières.</w:t>
      </w:r>
    </w:p>
    <w:p w14:paraId="1C22A41F" w14:textId="77777777" w:rsidR="00DF410E" w:rsidRDefault="00CE7F43">
      <w:pPr>
        <w:pStyle w:val="Author-eListParagraph"/>
        <w:numPr>
          <w:ilvl w:val="0"/>
          <w:numId w:val="413"/>
        </w:numPr>
        <w:jc w:val="both"/>
      </w:pPr>
      <w:r>
        <w:t>Les colonnes mixtes présentent une résistance au feu </w:t>
      </w:r>
      <w:r>
        <w:rPr>
          <w:rStyle w:val="optioncarChar"/>
        </w:rPr>
        <w:t>R15 / R30 / R60 / R120 / R240</w:t>
      </w:r>
      <w:r>
        <w:t xml:space="preserve"> démontrée par test au feu selon la [NBN EN 13501-2] ou par calcul selon les Eurocodes conformément à l’[AM 2013-05-17].</w:t>
      </w:r>
    </w:p>
    <w:p w14:paraId="77FEF820" w14:textId="77777777" w:rsidR="00DF410E" w:rsidRDefault="00CE7F43">
      <w:pPr>
        <w:pStyle w:val="pheading"/>
      </w:pPr>
      <w:r>
        <w:t>- Finitions</w:t>
      </w:r>
    </w:p>
    <w:p w14:paraId="0B81D82E" w14:textId="77777777" w:rsidR="00DF410E" w:rsidRDefault="00CE7F43">
      <w:pPr>
        <w:jc w:val="both"/>
      </w:pPr>
      <w:r>
        <w:t xml:space="preserve">Surface du béton : </w:t>
      </w:r>
      <w:r>
        <w:rPr>
          <w:rStyle w:val="optioncarChar"/>
        </w:rPr>
        <w:t>rugueuse si enduisage / lisse si coffrage préfabriqué / rugueux d’aspect décoratif pour surface apparente</w:t>
      </w:r>
    </w:p>
    <w:p w14:paraId="0F4F11D7" w14:textId="77777777" w:rsidR="00DF410E" w:rsidRDefault="00CE7F43">
      <w:pPr>
        <w:jc w:val="both"/>
      </w:pPr>
      <w:r>
        <w:t xml:space="preserve">Les arêtes saillantes des éléments en béton sont </w:t>
      </w:r>
      <w:r>
        <w:rPr>
          <w:rStyle w:val="optioncarChar"/>
        </w:rPr>
        <w:t>vives</w:t>
      </w:r>
      <w:r>
        <w:t xml:space="preserve"> (par défaut) </w:t>
      </w:r>
      <w:r>
        <w:rPr>
          <w:rStyle w:val="optioncarChar"/>
        </w:rPr>
        <w:t>/ chanfreinées / ***</w:t>
      </w:r>
    </w:p>
    <w:p w14:paraId="676C1043" w14:textId="77777777" w:rsidR="00DF410E" w:rsidRDefault="00CE7F43">
      <w:pPr>
        <w:pStyle w:val="pheading"/>
      </w:pPr>
      <w:r>
        <w:t>EXÉCUTION / MISE EN ŒUVRE</w:t>
      </w:r>
    </w:p>
    <w:p w14:paraId="37B8CC28" w14:textId="77777777" w:rsidR="00DF410E" w:rsidRDefault="00CE7F43">
      <w:pPr>
        <w:pStyle w:val="pheading"/>
      </w:pPr>
      <w:r>
        <w:t>- Prescriptions générales</w:t>
      </w:r>
    </w:p>
    <w:p w14:paraId="477CF100" w14:textId="77777777" w:rsidR="00DF410E" w:rsidRDefault="00CE7F43">
      <w:pPr>
        <w:jc w:val="both"/>
      </w:pPr>
      <w:r>
        <w:t xml:space="preserve">Le dimensionnement des colonnes est déterminé d’après l’étude de stabilité </w:t>
      </w:r>
      <w:r>
        <w:rPr>
          <w:rStyle w:val="optioncarChar"/>
        </w:rPr>
        <w:t>annexée aux documents du marché / à charge de l’entrepreneur</w:t>
      </w:r>
      <w:r>
        <w:t>.</w:t>
      </w:r>
    </w:p>
    <w:p w14:paraId="1F365801" w14:textId="77777777" w:rsidR="00DF410E" w:rsidRDefault="00CE7F43">
      <w:pPr>
        <w:jc w:val="both"/>
      </w:pPr>
      <w:r>
        <w:t>Les colonnes sont exécutées d’aplomb, alignées et de niveau dans les dimensions indiquées sur les plans du bureau chargé de l’étude de stabilité.</w:t>
      </w:r>
    </w:p>
    <w:p w14:paraId="02DAF163" w14:textId="77777777" w:rsidR="00DF410E" w:rsidRDefault="00CE7F43">
      <w:pPr>
        <w:jc w:val="both"/>
      </w:pPr>
      <w:r>
        <w:t xml:space="preserve">La technique d’ancrage et les appuis sont conformes </w:t>
      </w:r>
      <w:r>
        <w:rPr>
          <w:rStyle w:val="optioncarChar"/>
        </w:rPr>
        <w:t xml:space="preserve">aux prescriptions de l’étude de stabilité </w:t>
      </w:r>
      <w:r>
        <w:t>(par défaut)</w:t>
      </w:r>
      <w:r>
        <w:rPr>
          <w:rStyle w:val="optioncarChar"/>
        </w:rPr>
        <w:t xml:space="preserve"> / ***.</w:t>
      </w:r>
    </w:p>
    <w:p w14:paraId="246B2055" w14:textId="77777777" w:rsidR="00DF410E" w:rsidRDefault="00CE7F43">
      <w:pPr>
        <w:jc w:val="both"/>
      </w:pPr>
      <w:r>
        <w:rPr>
          <w:u w:val="single"/>
        </w:rPr>
        <w:t>Béton</w:t>
      </w:r>
    </w:p>
    <w:p w14:paraId="3CC42DA8" w14:textId="77777777" w:rsidR="00DF410E" w:rsidRDefault="00CE7F43">
      <w:pPr>
        <w:jc w:val="both"/>
      </w:pPr>
      <w:r>
        <w:t xml:space="preserve">Coulage du béton : suivant prescriptions du </w:t>
      </w:r>
      <w:hyperlink w:anchor="87" w:history="1">
        <w:r>
          <w:t>22 Superstructures en béton</w:t>
        </w:r>
      </w:hyperlink>
    </w:p>
    <w:p w14:paraId="4D18492B" w14:textId="77777777" w:rsidR="00DF410E" w:rsidRDefault="00CE7F43">
      <w:pPr>
        <w:jc w:val="both"/>
      </w:pPr>
      <w:r>
        <w:t xml:space="preserve">Le décoffrage ne peut avoir lieu avant </w:t>
      </w:r>
      <w:r>
        <w:rPr>
          <w:rStyle w:val="optioncarChar"/>
        </w:rPr>
        <w:t xml:space="preserve">le nombre de jours fixé dans les directives du bureau d’études </w:t>
      </w:r>
      <w:r>
        <w:t xml:space="preserve">(par défaut) </w:t>
      </w:r>
      <w:r>
        <w:rPr>
          <w:rStyle w:val="optioncarChar"/>
        </w:rPr>
        <w:t>/ ***</w:t>
      </w:r>
      <w:r>
        <w:t xml:space="preserve"> jours après le coulage du béton.</w:t>
      </w:r>
    </w:p>
    <w:p w14:paraId="37BBC6DF" w14:textId="77777777" w:rsidR="00DF410E" w:rsidRDefault="00CE7F43">
      <w:pPr>
        <w:jc w:val="both"/>
      </w:pPr>
      <w:r>
        <w:t xml:space="preserve">Tous les moyens nécessaires pour éviter la déformation hors tolérance des coffrages sont obligatoires. L’utilisation d’entretoises est autorisée pour autant qu’un schéma de positionnement de celles-ci soit au préalable soumis pour approbation au bureau d’études en stabilité. Les trous laissés par les entretoises reliant les parois des coffrages sont bouchés </w:t>
      </w:r>
      <w:r>
        <w:rPr>
          <w:rStyle w:val="optioncarChar"/>
        </w:rPr>
        <w:t>à l’aide de mortier de la même couleur que le béton immédiatement après le décoffrage</w:t>
      </w:r>
      <w:r>
        <w:t xml:space="preserve"> (par défaut)</w:t>
      </w:r>
      <w:r>
        <w:rPr>
          <w:rStyle w:val="optioncarChar"/>
        </w:rPr>
        <w:t xml:space="preserve"> / ***</w:t>
      </w:r>
      <w:r>
        <w:t>.</w:t>
      </w:r>
    </w:p>
    <w:p w14:paraId="39C92118" w14:textId="77777777" w:rsidR="00DF410E" w:rsidRDefault="00CE7F43">
      <w:pPr>
        <w:pStyle w:val="pheading"/>
      </w:pPr>
      <w:r>
        <w:t>MESURAGE</w:t>
      </w:r>
    </w:p>
    <w:p w14:paraId="74076584" w14:textId="77777777" w:rsidR="00DF410E" w:rsidRDefault="00CE7F43">
      <w:pPr>
        <w:pStyle w:val="pheading"/>
      </w:pPr>
      <w:r>
        <w:t>- unité de mesure:</w:t>
      </w:r>
    </w:p>
    <w:p w14:paraId="5ACE63F3" w14:textId="77777777" w:rsidR="00DF410E" w:rsidRDefault="00CE7F43">
      <w:r>
        <w:t>m³</w:t>
      </w:r>
    </w:p>
    <w:p w14:paraId="3ADD49CE" w14:textId="77777777" w:rsidR="00DF410E" w:rsidRDefault="00CE7F43">
      <w:pPr>
        <w:pStyle w:val="pheading"/>
      </w:pPr>
      <w:r>
        <w:t>- code de mesurage:</w:t>
      </w:r>
    </w:p>
    <w:p w14:paraId="56652639" w14:textId="77777777" w:rsidR="00DF410E" w:rsidRDefault="00CE7F43">
      <w:pPr>
        <w:jc w:val="both"/>
      </w:pPr>
      <w:r>
        <w:rPr>
          <w:rStyle w:val="optioncarChar"/>
        </w:rPr>
        <w:t>Volume net, tout compris</w:t>
      </w:r>
      <w:r>
        <w:t xml:space="preserve"> (par défaut)</w:t>
      </w:r>
      <w:r>
        <w:rPr>
          <w:rStyle w:val="optioncarChar"/>
        </w:rPr>
        <w:t xml:space="preserve"> / Volume net, aciers métrés séparément / Volume net, aciers et coffrages métrés séparément</w:t>
      </w:r>
    </w:p>
    <w:p w14:paraId="01783001" w14:textId="77777777" w:rsidR="00DF410E" w:rsidRDefault="00CE7F43">
      <w:pPr>
        <w:jc w:val="both"/>
      </w:pPr>
      <w:r>
        <w:rPr>
          <w:b/>
        </w:rPr>
        <w:t>(soit par défaut)</w:t>
      </w:r>
    </w:p>
    <w:p w14:paraId="7AD63AED" w14:textId="77777777" w:rsidR="00DF410E" w:rsidRDefault="00CE7F43">
      <w:pPr>
        <w:jc w:val="both"/>
      </w:pPr>
      <w:r>
        <w:rPr>
          <w:rStyle w:val="soitChar"/>
        </w:rPr>
        <w:t xml:space="preserve">1. </w:t>
      </w:r>
      <w:r>
        <w:rPr>
          <w:rStyle w:val="soitChar"/>
          <w:u w:val="single"/>
        </w:rPr>
        <w:t>Volume net, tout compris</w:t>
      </w:r>
      <w:r>
        <w:rPr>
          <w:rStyle w:val="soitChar"/>
        </w:rPr>
        <w:t> : volume net de la colonne mixte, y compris le coffrage, les armatures et les profilés.</w:t>
      </w:r>
    </w:p>
    <w:p w14:paraId="079F8885" w14:textId="77777777" w:rsidR="00DF410E" w:rsidRDefault="00CE7F43">
      <w:pPr>
        <w:jc w:val="both"/>
      </w:pPr>
      <w:r>
        <w:rPr>
          <w:b/>
        </w:rPr>
        <w:t>(soit)</w:t>
      </w:r>
    </w:p>
    <w:p w14:paraId="0E44FD0F" w14:textId="77777777" w:rsidR="00DF410E" w:rsidRDefault="00CE7F43">
      <w:pPr>
        <w:jc w:val="both"/>
      </w:pPr>
      <w:r>
        <w:rPr>
          <w:rStyle w:val="soitChar"/>
        </w:rPr>
        <w:t xml:space="preserve">2. </w:t>
      </w:r>
      <w:r>
        <w:rPr>
          <w:rStyle w:val="soitChar"/>
          <w:u w:val="single"/>
        </w:rPr>
        <w:t>Volume net, aciers métrés séparément</w:t>
      </w:r>
      <w:r>
        <w:rPr>
          <w:rStyle w:val="soitChar"/>
        </w:rPr>
        <w:t xml:space="preserve"> : volume net de la colonne mixte, y compris le coffrage, Les aciers sont compris et métrés séparément respectivement dans le </w:t>
      </w:r>
      <w:hyperlink w:anchor="491" w:history="1">
        <w:r>
          <w:rPr>
            <w:rStyle w:val="soitChar"/>
          </w:rPr>
          <w:t>22.51.1a Barres d'armatures pour béton</w:t>
        </w:r>
      </w:hyperlink>
      <w:r>
        <w:rPr>
          <w:rStyle w:val="soitChar"/>
        </w:rPr>
        <w:t xml:space="preserve"> et le </w:t>
      </w:r>
      <w:hyperlink w:anchor="492" w:history="1">
        <w:r>
          <w:rPr>
            <w:rStyle w:val="soitChar"/>
          </w:rPr>
          <w:t>23.14.1 Colonnes en acier laminées à chaud</w:t>
        </w:r>
      </w:hyperlink>
      <w:r>
        <w:rPr>
          <w:rStyle w:val="soitChar"/>
        </w:rPr>
        <w:t>.</w:t>
      </w:r>
    </w:p>
    <w:p w14:paraId="07ACD868" w14:textId="77777777" w:rsidR="00DF410E" w:rsidRDefault="00CE7F43">
      <w:pPr>
        <w:jc w:val="both"/>
      </w:pPr>
      <w:r>
        <w:rPr>
          <w:b/>
        </w:rPr>
        <w:t>(soit)</w:t>
      </w:r>
    </w:p>
    <w:p w14:paraId="0CF6CADA" w14:textId="77777777" w:rsidR="00DF410E" w:rsidRDefault="00CE7F43">
      <w:pPr>
        <w:jc w:val="both"/>
      </w:pPr>
      <w:r>
        <w:rPr>
          <w:rStyle w:val="soitChar"/>
        </w:rPr>
        <w:t xml:space="preserve">3. </w:t>
      </w:r>
      <w:r>
        <w:rPr>
          <w:rStyle w:val="soitChar"/>
          <w:u w:val="single"/>
        </w:rPr>
        <w:t>Volume net, aciers et coffrages métrés séparément</w:t>
      </w:r>
      <w:r>
        <w:rPr>
          <w:rStyle w:val="soitChar"/>
        </w:rPr>
        <w:t xml:space="preserve"> : volume net de la colonne mixte, Les aciers sont compris et métrés séparément respectivement dans le </w:t>
      </w:r>
      <w:hyperlink w:anchor="491" w:history="1">
        <w:r>
          <w:rPr>
            <w:rStyle w:val="soitChar"/>
          </w:rPr>
          <w:t>22.51.1a Barres d'armatures pour béton</w:t>
        </w:r>
      </w:hyperlink>
      <w:r>
        <w:rPr>
          <w:rStyle w:val="soitChar"/>
        </w:rPr>
        <w:t xml:space="preserve"> et le </w:t>
      </w:r>
      <w:hyperlink w:anchor="492" w:history="1">
        <w:r>
          <w:rPr>
            <w:rStyle w:val="soitChar"/>
          </w:rPr>
          <w:t>23.14.1 Colonnes en acier laminées à chaud</w:t>
        </w:r>
      </w:hyperlink>
      <w:r>
        <w:rPr>
          <w:rStyle w:val="soitChar"/>
        </w:rPr>
        <w:t xml:space="preserve">. Les coffrages sont compris et métrés séparément au </w:t>
      </w:r>
      <w:hyperlink w:anchor="234" w:history="1">
        <w:r>
          <w:rPr>
            <w:rStyle w:val="soitChar"/>
          </w:rPr>
          <w:t>22.53 Coffrages</w:t>
        </w:r>
      </w:hyperlink>
    </w:p>
    <w:p w14:paraId="72D0C218" w14:textId="77777777" w:rsidR="00DF410E" w:rsidRDefault="00CE7F43">
      <w:pPr>
        <w:pStyle w:val="pheading"/>
      </w:pPr>
      <w:r>
        <w:t>- nature du marché:</w:t>
      </w:r>
    </w:p>
    <w:p w14:paraId="4DB2F5B3" w14:textId="77777777" w:rsidR="00DF410E" w:rsidRDefault="00CE7F43">
      <w:r>
        <w:rPr>
          <w:rStyle w:val="optioncarChar"/>
        </w:rPr>
        <w:t>QF</w:t>
      </w:r>
      <w:r>
        <w:t xml:space="preserve"> (par défaut) </w:t>
      </w:r>
      <w:r>
        <w:rPr>
          <w:rStyle w:val="optioncarChar"/>
        </w:rPr>
        <w:t>/ QP</w:t>
      </w:r>
    </w:p>
    <w:p w14:paraId="6588ABEB" w14:textId="77777777" w:rsidR="00DF410E" w:rsidRDefault="00CE7F43">
      <w:r>
        <w:rPr>
          <w:b/>
        </w:rPr>
        <w:t>(soit par défaut)</w:t>
      </w:r>
      <w:r>
        <w:br/>
      </w:r>
      <w:r>
        <w:rPr>
          <w:rStyle w:val="soitChar"/>
        </w:rPr>
        <w:t>1. QF</w:t>
      </w:r>
      <w:r>
        <w:br/>
      </w:r>
      <w:r>
        <w:rPr>
          <w:b/>
        </w:rPr>
        <w:t>(soit)</w:t>
      </w:r>
      <w:r>
        <w:br/>
      </w:r>
      <w:r>
        <w:rPr>
          <w:rStyle w:val="soitChar"/>
        </w:rPr>
        <w:t>2. QP ; lorsque l'étude est à charge de l'entrepreneur</w:t>
      </w:r>
    </w:p>
    <w:p w14:paraId="473832AF" w14:textId="77777777" w:rsidR="00DF410E" w:rsidRDefault="00CE7F43">
      <w:pPr>
        <w:pStyle w:val="Author-eSectionHeading6"/>
      </w:pPr>
      <w:bookmarkStart w:id="707" w:name="_Toc178837875"/>
      <w:r>
        <w:t>22.14.5b Colonnes mixtes acier-béton apparent (esthétique) coulé en place CCTB 01.04</w:t>
      </w:r>
      <w:bookmarkEnd w:id="707"/>
    </w:p>
    <w:p w14:paraId="51FD3505" w14:textId="77777777" w:rsidR="00DF410E" w:rsidRDefault="00CE7F43">
      <w:pPr>
        <w:pStyle w:val="Author-eSectionHeading6"/>
      </w:pPr>
      <w:bookmarkStart w:id="708" w:name="_Toc178837876"/>
      <w:r>
        <w:t>22.14.5c Colonnes préfabriquées mixtes acier-béton CCTB 01.04</w:t>
      </w:r>
      <w:bookmarkEnd w:id="708"/>
    </w:p>
    <w:p w14:paraId="79E7EBA9" w14:textId="77777777" w:rsidR="00DF410E" w:rsidRDefault="00CE7F43">
      <w:pPr>
        <w:pStyle w:val="Author-eSectionHeading6"/>
      </w:pPr>
      <w:bookmarkStart w:id="709" w:name="_Toc178837877"/>
      <w:r>
        <w:t>22.14.5d Colonnes préfabriquées mixtes acier-béton précontraint CCTB 01.04</w:t>
      </w:r>
      <w:bookmarkEnd w:id="709"/>
    </w:p>
    <w:p w14:paraId="5148B358" w14:textId="77777777" w:rsidR="00DF410E" w:rsidRDefault="00CE7F43">
      <w:pPr>
        <w:pStyle w:val="Author-eSectionHeading6"/>
      </w:pPr>
      <w:bookmarkStart w:id="710" w:name="_Toc178837878"/>
      <w:r>
        <w:t>22.14.5e Colonnes préfabriquées mixtes acier-béton décoratif / architectonique CCTB 01.04</w:t>
      </w:r>
      <w:bookmarkEnd w:id="710"/>
    </w:p>
    <w:p w14:paraId="6D152808" w14:textId="77777777" w:rsidR="00DF410E" w:rsidRDefault="00CE7F43">
      <w:pPr>
        <w:pStyle w:val="Author-eSectionHeading4"/>
      </w:pPr>
      <w:bookmarkStart w:id="711" w:name="_Toc178837879"/>
      <w:r>
        <w:t>22.15 Planchers en béton CCTB 01.11</w:t>
      </w:r>
      <w:bookmarkEnd w:id="711"/>
    </w:p>
    <w:p w14:paraId="5FADBEC7" w14:textId="77777777" w:rsidR="00DF410E" w:rsidRDefault="00CE7F43">
      <w:pPr>
        <w:pStyle w:val="pheading"/>
      </w:pPr>
      <w:bookmarkStart w:id="712" w:name="88"/>
      <w:bookmarkEnd w:id="712"/>
      <w:r>
        <w:t>DESCRIPTION</w:t>
      </w:r>
    </w:p>
    <w:p w14:paraId="277CCC82" w14:textId="77777777" w:rsidR="00DF410E" w:rsidRDefault="00CE7F43">
      <w:pPr>
        <w:pStyle w:val="pheading"/>
      </w:pPr>
      <w:r>
        <w:t>- Définition / Comprend</w:t>
      </w:r>
    </w:p>
    <w:p w14:paraId="79BE667F" w14:textId="77777777" w:rsidR="00DF410E" w:rsidRDefault="00CE7F43">
      <w:r>
        <w:t>Ce poste comprend tous les éléments, travaux et fournitures, en vue de la réalisation des planchers décrites dans le cahier spécial des charges, selon le type, la nature et /ou la composition. Conformément aux dispositions du cahier spécial des charges, les prix unitaires compris dans ce poste, doivent toujours comprendre, soit selon la ventilation explicite du métré récapitulatif, soit dans leur totalité:</w:t>
      </w:r>
    </w:p>
    <w:p w14:paraId="186F1D16" w14:textId="77777777" w:rsidR="00DF410E" w:rsidRDefault="00CE7F43">
      <w:pPr>
        <w:pStyle w:val="Author-eListParagraph"/>
        <w:numPr>
          <w:ilvl w:val="0"/>
          <w:numId w:val="414"/>
        </w:numPr>
      </w:pPr>
      <w:r>
        <w:t>l'étude de stabilité (lorsqu'elle est à la charge de l'entrepreneur), y compris les notes de calcul, l'établissement des plans de pose, …;</w:t>
      </w:r>
    </w:p>
    <w:p w14:paraId="79BB8DB6" w14:textId="77777777" w:rsidR="00DF410E" w:rsidRDefault="00CE7F43">
      <w:pPr>
        <w:pStyle w:val="Author-eListParagraph"/>
        <w:numPr>
          <w:ilvl w:val="0"/>
          <w:numId w:val="414"/>
        </w:numPr>
      </w:pPr>
      <w:r>
        <w:t>la vérification de toutes les dimensions et l'adaptation des éléments à préfabriquer aux dimensions réelles;</w:t>
      </w:r>
    </w:p>
    <w:p w14:paraId="2B386C37" w14:textId="77777777" w:rsidR="00DF410E" w:rsidRDefault="00CE7F43">
      <w:pPr>
        <w:pStyle w:val="Author-eListParagraph"/>
        <w:numPr>
          <w:ilvl w:val="0"/>
          <w:numId w:val="414"/>
        </w:numPr>
      </w:pPr>
      <w:r>
        <w:t>la préparation et le nettoyage des surfaces d'appui, des joints et des bords éventuels, …;</w:t>
      </w:r>
    </w:p>
    <w:p w14:paraId="2E9C3F71" w14:textId="77777777" w:rsidR="00DF410E" w:rsidRDefault="00CE7F43">
      <w:pPr>
        <w:pStyle w:val="Author-eListParagraph"/>
        <w:numPr>
          <w:ilvl w:val="0"/>
          <w:numId w:val="414"/>
        </w:numPr>
      </w:pPr>
      <w:r>
        <w:t>tous les travaux provisoires de support et d'étançonnement, …;</w:t>
      </w:r>
    </w:p>
    <w:p w14:paraId="3B3A9423" w14:textId="77777777" w:rsidR="00DF410E" w:rsidRDefault="00CE7F43">
      <w:pPr>
        <w:pStyle w:val="Author-eListParagraph"/>
        <w:numPr>
          <w:ilvl w:val="0"/>
          <w:numId w:val="414"/>
        </w:numPr>
      </w:pPr>
      <w:r>
        <w:t>tous les coffrages, produits de décoffrage, les éventuels coffrages perdus s'ils sont prescrits et/ou les éléments à noyer dans le béton,…;</w:t>
      </w:r>
    </w:p>
    <w:p w14:paraId="5151E47F" w14:textId="77777777" w:rsidR="00DF410E" w:rsidRDefault="00CE7F43">
      <w:pPr>
        <w:pStyle w:val="Author-eListParagraph"/>
        <w:numPr>
          <w:ilvl w:val="0"/>
          <w:numId w:val="414"/>
        </w:numPr>
      </w:pPr>
      <w:r>
        <w:t>toutes les armatures noyées dans le béton et les armatures en attente, tous les accessoires (écarteurs,... ) pour leur mise en place et leur fixation, …;</w:t>
      </w:r>
    </w:p>
    <w:p w14:paraId="4DB7B78C" w14:textId="77777777" w:rsidR="00DF410E" w:rsidRDefault="00CE7F43">
      <w:pPr>
        <w:pStyle w:val="Author-eListParagraph"/>
        <w:numPr>
          <w:ilvl w:val="0"/>
          <w:numId w:val="414"/>
        </w:numPr>
      </w:pPr>
      <w:r>
        <w:t>la fourniture du béton pour la réalisation du plancher coulé en place et/ou la fourniture et la pose des éléments préfabriqués, tels que les dalles alvéolées, prédalles, poutrelles et entrevous, conformément aux descriptifs du cahier spécial des charges et aux indications sur les plans de pose;</w:t>
      </w:r>
    </w:p>
    <w:p w14:paraId="1C0966C7" w14:textId="77777777" w:rsidR="00DF410E" w:rsidRDefault="00CE7F43">
      <w:pPr>
        <w:pStyle w:val="Author-eListParagraph"/>
        <w:numPr>
          <w:ilvl w:val="0"/>
          <w:numId w:val="414"/>
        </w:numPr>
      </w:pPr>
      <w:r>
        <w:t>les dispositifs nécessaires pour les réservations, pénétrations, évasements, les renforcements éventuels de certaines zones (sous les cloisons, à hauteur des trémies d'escalier, balcons,…), les moyens d'appui, etc.;</w:t>
      </w:r>
    </w:p>
    <w:p w14:paraId="2FB8AFDE" w14:textId="77777777" w:rsidR="00DF410E" w:rsidRDefault="00CE7F43">
      <w:pPr>
        <w:pStyle w:val="Author-eListParagraph"/>
        <w:numPr>
          <w:ilvl w:val="0"/>
          <w:numId w:val="414"/>
        </w:numPr>
      </w:pPr>
      <w:r>
        <w:t>les armatures supérieures et transversales supplémentaires conformément aux indications sur le plan de pose et/ou dans l'étude des bétons;</w:t>
      </w:r>
    </w:p>
    <w:p w14:paraId="5B3FADBD" w14:textId="77777777" w:rsidR="00DF410E" w:rsidRDefault="00CE7F43">
      <w:pPr>
        <w:pStyle w:val="Author-eListParagraph"/>
        <w:numPr>
          <w:ilvl w:val="0"/>
          <w:numId w:val="414"/>
        </w:numPr>
      </w:pPr>
      <w:r>
        <w:t>tous les moyens d'assemblages aussi bien entre éléments préfabriqués qu'entre les éléments préfabriqués et les ouvrages périphériques, les éventuels écarteurs entre entrevous, etc.;</w:t>
      </w:r>
    </w:p>
    <w:p w14:paraId="34F9208D" w14:textId="77777777" w:rsidR="00DF410E" w:rsidRDefault="00CE7F43">
      <w:pPr>
        <w:pStyle w:val="Author-eListParagraph"/>
        <w:numPr>
          <w:ilvl w:val="0"/>
          <w:numId w:val="414"/>
        </w:numPr>
      </w:pPr>
      <w:r>
        <w:t>le nettoyage et le cas échéant, l'humidification des voûtes avant l'application du béton de remplissage / de la couche de compression;</w:t>
      </w:r>
    </w:p>
    <w:p w14:paraId="5462827C" w14:textId="77777777" w:rsidR="00DF410E" w:rsidRDefault="00CE7F43">
      <w:pPr>
        <w:pStyle w:val="Author-eListParagraph"/>
        <w:numPr>
          <w:ilvl w:val="0"/>
          <w:numId w:val="414"/>
        </w:numPr>
      </w:pPr>
      <w:r>
        <w:t>le béton de remplissage et la couche de compression prescrite;</w:t>
      </w:r>
    </w:p>
    <w:p w14:paraId="6234B0E7" w14:textId="77777777" w:rsidR="00DF410E" w:rsidRDefault="00CE7F43">
      <w:pPr>
        <w:pStyle w:val="Author-eListParagraph"/>
        <w:numPr>
          <w:ilvl w:val="0"/>
          <w:numId w:val="414"/>
        </w:numPr>
      </w:pPr>
      <w:r>
        <w:t>les treillis d'armatures, les armatures complémentaires et les coffrages, s'il y a lieu le remplissage des joints et/ou des creux entre les murs et les éléments du coffrage perdu supérieur;</w:t>
      </w:r>
    </w:p>
    <w:p w14:paraId="1A73704D" w14:textId="77777777" w:rsidR="00DF410E" w:rsidRDefault="00CE7F43">
      <w:pPr>
        <w:pStyle w:val="Author-eListParagraph"/>
        <w:numPr>
          <w:ilvl w:val="0"/>
          <w:numId w:val="414"/>
        </w:numPr>
      </w:pPr>
      <w:r>
        <w:t>l'enlèvement de tous les accessoires, éléments de coffrage, support et étaiements, …;</w:t>
      </w:r>
    </w:p>
    <w:p w14:paraId="59A80067" w14:textId="77777777" w:rsidR="00DF410E" w:rsidRDefault="00CE7F43">
      <w:pPr>
        <w:pStyle w:val="Author-eListParagraph"/>
        <w:numPr>
          <w:ilvl w:val="0"/>
          <w:numId w:val="414"/>
        </w:numPr>
      </w:pPr>
      <w:r>
        <w:t>la finition des bords, les réparations aux dégradations éventuelles et/ou des nids de graviers acceptables, le remplissage des joints (de dilatation), selon les directives du fournisseur, le nettoyage des faces vues, .…</w:t>
      </w:r>
    </w:p>
    <w:p w14:paraId="1D2465BB" w14:textId="77777777" w:rsidR="00DF410E" w:rsidRDefault="00CE7F43">
      <w:r>
        <w:t>Les plans de pose et les calculs sont toujours établis et signés par un ingénieur en stabilité diplômé, attaché au fournisseur et ce, aux frais de l'entrepreneur. Les notes de calcul sont établies en conformité avec les modalités de la section </w:t>
      </w:r>
      <w:hyperlink w:anchor="87" w:history="1">
        <w:r>
          <w:t>22 Superstructures en béton</w:t>
        </w:r>
      </w:hyperlink>
      <w:r>
        <w:t>.</w:t>
      </w:r>
    </w:p>
    <w:p w14:paraId="185F8982" w14:textId="77777777" w:rsidR="00DF410E" w:rsidRDefault="00CE7F43">
      <w:r>
        <w:rPr>
          <w:u w:val="single"/>
        </w:rPr>
        <w:t>Sécurité</w:t>
      </w:r>
    </w:p>
    <w:p w14:paraId="242AFA26" w14:textId="77777777" w:rsidR="00DF410E" w:rsidRDefault="00CE7F43">
      <w:r>
        <w:t>Conformément au titre </w:t>
      </w:r>
      <w:hyperlink r:id="rId68" w:history="1" w:docLocation="109">
        <w:r>
          <w:t>04.4 Mesures de protection</w:t>
        </w:r>
      </w:hyperlink>
      <w:r>
        <w:t>, établie par le coordinateur-projet et annexée au cahier spécial des charges. Toutes les directives en la matière ainsi que les indications concrètes du coordinateur-réalisation sont scrupuleusement suivies.</w:t>
      </w:r>
    </w:p>
    <w:p w14:paraId="1FCB46F1" w14:textId="77777777" w:rsidR="00DF410E" w:rsidRDefault="00CE7F43">
      <w:pPr>
        <w:pStyle w:val="pheading"/>
      </w:pPr>
      <w:r>
        <w:t>MATÉRIAUX</w:t>
      </w:r>
    </w:p>
    <w:p w14:paraId="546D5BCC" w14:textId="77777777" w:rsidR="00DF410E" w:rsidRDefault="00CE7F43">
      <w:r>
        <w:rPr>
          <w:b/>
        </w:rPr>
        <w:t>Spécifications</w:t>
      </w:r>
    </w:p>
    <w:p w14:paraId="02678F8F" w14:textId="77777777" w:rsidR="00DF410E" w:rsidRDefault="00CE7F43">
      <w:r>
        <w:t xml:space="preserve">La hauteur de construction du plancher composé est de maximum </w:t>
      </w:r>
      <w:r>
        <w:rPr>
          <w:rStyle w:val="optioncarChar"/>
        </w:rPr>
        <w:t xml:space="preserve">*** </w:t>
      </w:r>
      <w:r>
        <w:t>cm </w:t>
      </w:r>
      <w:r>
        <w:rPr>
          <w:rStyle w:val="optioncarChar"/>
        </w:rPr>
        <w:t>/ la valeur indiquée sur les plans </w:t>
      </w:r>
      <w:r>
        <w:t>(par défaut).</w:t>
      </w:r>
      <w:r>
        <w:br/>
      </w:r>
      <w:r>
        <w:br/>
      </w:r>
    </w:p>
    <w:p w14:paraId="59FB0A62" w14:textId="77777777" w:rsidR="00DF410E" w:rsidRDefault="00CE7F43">
      <w:r>
        <w:rPr>
          <w:b/>
        </w:rPr>
        <w:t>Critères de performance </w:t>
      </w:r>
    </w:p>
    <w:p w14:paraId="0ECA3C9B" w14:textId="77777777" w:rsidR="00DF410E" w:rsidRDefault="00CE7F43">
      <w:r>
        <w:t>La flèche des planchers est conforme à la [NBN B 03-003].</w:t>
      </w:r>
    </w:p>
    <w:p w14:paraId="7F83B91B" w14:textId="77777777" w:rsidR="00DF410E" w:rsidRDefault="00CE7F43">
      <w:r>
        <w:t xml:space="preserve">Résistance au feu : pour les éléments porteurs structurels sans fonction séparant </w:t>
      </w:r>
      <w:r>
        <w:rPr>
          <w:rStyle w:val="optioncarChar"/>
        </w:rPr>
        <w:t>R 15 / R 30</w:t>
      </w:r>
      <w:r>
        <w:t> (par défaut)</w:t>
      </w:r>
      <w:r>
        <w:rPr>
          <w:rStyle w:val="optioncarChar"/>
        </w:rPr>
        <w:t xml:space="preserve"> / R 60 / R 120 / R *** / *** </w:t>
      </w:r>
      <w:r>
        <w:t xml:space="preserve">et pour les éléments porteurs structurels avec fonction séparant </w:t>
      </w:r>
      <w:r>
        <w:rPr>
          <w:rStyle w:val="optioncarChar"/>
        </w:rPr>
        <w:t>REI 30 </w:t>
      </w:r>
      <w:r>
        <w:t>(par défaut)</w:t>
      </w:r>
      <w:r>
        <w:rPr>
          <w:rStyle w:val="optioncarChar"/>
        </w:rPr>
        <w:t xml:space="preserve"> / REI 60/ REI 120 / REI *** / ***</w:t>
      </w:r>
      <w:r>
        <w:t xml:space="preserve"> selon la [NBN EN 13501-2] (et les normes d’essais qui y sont référencées) ou par calcul selon les Eurocodes conformément à l’[AM 2013-05-17, Arrêté ministériel relatif à l’utilisation des Eurocodes comme méthodes de calcul pour l’évaluation de la résistance au feu d’éléments de construction].</w:t>
      </w:r>
    </w:p>
    <w:p w14:paraId="7B6146DA" w14:textId="77777777" w:rsidR="00DF410E" w:rsidRDefault="00CE7F43">
      <w:r>
        <w:t>Face inférieure lisse - rugueuse</w:t>
      </w:r>
    </w:p>
    <w:p w14:paraId="5DE817BF" w14:textId="77777777" w:rsidR="00DF410E" w:rsidRDefault="00CE7F43">
      <w:r>
        <w:t>Une distinction est faite entre :</w:t>
      </w:r>
      <w:r>
        <w:br/>
      </w:r>
      <w:r>
        <w:rPr>
          <w:b/>
        </w:rPr>
        <w:t xml:space="preserve">Choix opéré : </w:t>
      </w:r>
      <w:r>
        <w:rPr>
          <w:rStyle w:val="optioncarChar"/>
          <w:b/>
        </w:rPr>
        <w:t xml:space="preserve">OPTION 1 / OPTION 2, </w:t>
      </w:r>
      <w:r>
        <w:t>sauf indications contraires, soit sur les plans soit dans l'étude des bétons et/ou le cahier spécial des charges</w:t>
      </w:r>
    </w:p>
    <w:p w14:paraId="2BE3F2A6" w14:textId="77777777" w:rsidR="00DF410E" w:rsidRDefault="00CE7F43">
      <w:r>
        <w:rPr>
          <w:b/>
        </w:rPr>
        <w:t>***OPTION 1:</w:t>
      </w:r>
      <w:r>
        <w:t xml:space="preserve"> les planchers à face inférieure lisse </w:t>
      </w:r>
      <w:r>
        <w:br/>
      </w:r>
      <w:r>
        <w:rPr>
          <w:b/>
        </w:rPr>
        <w:t xml:space="preserve">***OPTION 2: </w:t>
      </w:r>
      <w:r>
        <w:t>les planchers à face inférieure rugueuse</w:t>
      </w:r>
    </w:p>
    <w:p w14:paraId="62E0923C" w14:textId="77777777" w:rsidR="00DF410E" w:rsidRDefault="00CE7F43">
      <w:pPr>
        <w:pStyle w:val="Author-eListParagraph"/>
        <w:numPr>
          <w:ilvl w:val="0"/>
          <w:numId w:val="415"/>
        </w:numPr>
      </w:pPr>
      <w:r>
        <w:t>au-dessus des locaux destinés à recevoir un plafonnage, l'entrepreneur prévoit de préférence des planchers à face inférieure rugueuse; la face inférieure des planchers coulées sur place, des dalles alvéolées ou des entrevous est très rugueuse et/ou présente des rainures et nervures destinées à augmenter l'adhérence du plafonnage à la surface en béton. Les dalles alvéolées utilisées sont exemptes d'huile de coffrage. Attention : dans le cas des prédalles, le plafonnage du plafond peut également être exécuté comme enduit pelliculaire, conformément au sous-titre </w:t>
      </w:r>
      <w:hyperlink r:id="rId69" w:history="1" w:docLocation="498">
        <w:r>
          <w:t>54.15 Enduits au ciment et/ou à la chaux</w:t>
        </w:r>
      </w:hyperlink>
      <w:hyperlink r:id="rId70" w:anchor="dv_0_596_74138_64011_0" w:history="1">
        <w:r>
          <w:t>.</w:t>
        </w:r>
      </w:hyperlink>
    </w:p>
    <w:p w14:paraId="5C56F005" w14:textId="77777777" w:rsidR="00DF410E" w:rsidRDefault="00CE7F43">
      <w:pPr>
        <w:pStyle w:val="Author-eListParagraph"/>
        <w:numPr>
          <w:ilvl w:val="0"/>
          <w:numId w:val="416"/>
        </w:numPr>
      </w:pPr>
      <w:r>
        <w:t>au-dessus des locaux sans plafonnage au plafond (garage, …) l'entrepreneur prévoit toujours des planchers à face inférieure lisse. La face visible du plancher est de finition lisse et nettoyée.</w:t>
      </w:r>
    </w:p>
    <w:p w14:paraId="0E42E30F" w14:textId="77777777" w:rsidR="00DF410E" w:rsidRDefault="00CE7F43">
      <w:pPr>
        <w:pStyle w:val="Author-eListParagraph"/>
        <w:numPr>
          <w:ilvl w:val="0"/>
          <w:numId w:val="416"/>
        </w:numPr>
      </w:pPr>
      <w:r>
        <w:t>au-dessus des fausses caves (ou faux plafonds), la face inférieure est suffisamment lisse afin de pouvoir fixer par collage et/ou mécaniquement une isolation du sol sous les locaux d'habitation.</w:t>
      </w:r>
    </w:p>
    <w:p w14:paraId="370D77DD" w14:textId="77777777" w:rsidR="00DF410E" w:rsidRDefault="00CE7F43">
      <w:pPr>
        <w:pStyle w:val="pheading"/>
      </w:pPr>
      <w:r>
        <w:t>EXÉCUTION / MISE EN ŒUVRE</w:t>
      </w:r>
    </w:p>
    <w:p w14:paraId="1ABC22B8" w14:textId="77777777" w:rsidR="00DF410E" w:rsidRDefault="00CE7F43">
      <w:pPr>
        <w:pStyle w:val="heading"/>
      </w:pPr>
      <w:r>
        <w:t>Généralités</w:t>
      </w:r>
    </w:p>
    <w:p w14:paraId="3E8CA09F" w14:textId="77777777" w:rsidR="00DF410E" w:rsidRDefault="00CE7F43">
      <w:pPr>
        <w:pStyle w:val="Author-eListParagraph"/>
        <w:numPr>
          <w:ilvl w:val="0"/>
          <w:numId w:val="417"/>
        </w:numPr>
      </w:pPr>
      <w:r>
        <w:t>L'entrepreneur principal est responsable de la bonne coordination de l'exécution des travaux. L'entrepreneur est tenu de vérifier préalablement si les éléments préfabriqués peuvent être fabriqués selon les indications sur les plans et les documents d'exécution établis par le bureau d'étude et/ou s'il n'y a pas de contradictions. S'il constate des anomalies, l'entrepreneur consulte l'auteur de projet avant de commencer ses travaux.</w:t>
      </w:r>
    </w:p>
    <w:p w14:paraId="33FABAF2" w14:textId="77777777" w:rsidR="00DF410E" w:rsidRDefault="00CE7F43">
      <w:pPr>
        <w:pStyle w:val="Author-eListParagraph"/>
        <w:numPr>
          <w:ilvl w:val="0"/>
          <w:numId w:val="417"/>
        </w:numPr>
      </w:pPr>
      <w:r>
        <w:t>Les plans de pose des éléments préfabriqués doivent être soumis en temps utile à l'approbation de l'auteur de projet ou de l'ingénieur. Une attention particulière est accordée aux dimensions des éléments, à leur niveau et fléchissement.</w:t>
      </w:r>
    </w:p>
    <w:p w14:paraId="34E29ED2" w14:textId="77777777" w:rsidR="00DF410E" w:rsidRDefault="00CE7F43">
      <w:pPr>
        <w:pStyle w:val="Author-eListParagraph"/>
        <w:numPr>
          <w:ilvl w:val="0"/>
          <w:numId w:val="417"/>
        </w:numPr>
      </w:pPr>
      <w:r>
        <w:t>Aucun percement pour les conduites et/ou fourreaux ne peut être réalisé a posteriori par forage ou décapage dans le béton coulé en place sans l'approbation préalable du responsable du bureau d'étude. A cet effet, avant la mise en fabrication et/ou le coulage du béton, les réservations nécessaires sont prévues dans tous les éléments de plancher, conformément aux indications sur les plans ou aux indications données au préalable par l'auteur de projet.</w:t>
      </w:r>
    </w:p>
    <w:p w14:paraId="74F3AE03" w14:textId="77777777" w:rsidR="00DF410E" w:rsidRDefault="00CE7F43">
      <w:pPr>
        <w:pStyle w:val="pheading"/>
      </w:pPr>
      <w:r>
        <w:t>CONTRÔLES</w:t>
      </w:r>
    </w:p>
    <w:p w14:paraId="43678D1F" w14:textId="77777777" w:rsidR="00DF410E" w:rsidRDefault="00CE7F43">
      <w:pPr>
        <w:pStyle w:val="heading"/>
      </w:pPr>
      <w:r>
        <w:t>Contrôle et essais de la qualité des bétons</w:t>
      </w:r>
    </w:p>
    <w:p w14:paraId="769DA49E" w14:textId="77777777" w:rsidR="00DF410E" w:rsidRDefault="00CE7F43">
      <w:pPr>
        <w:pStyle w:val="Author-eListParagraph"/>
        <w:numPr>
          <w:ilvl w:val="0"/>
          <w:numId w:val="418"/>
        </w:numPr>
      </w:pPr>
      <w:r>
        <w:t>Le contrôle de la qualité du béton se fait selon le Fascicule 4.1 Ouvrages en béton - Partie 1 - Qualité du béton. Ce contrôle est, en principe, effectué sur un nombre limité d'échantillons. Avant de commencer les ouvrages en béton, l'auteur de projet ou l'ingénieur déterminent, en concertation avec l'entrepreneur, la répartition en lots en vue de la détermination de la qualité du béton.</w:t>
      </w:r>
    </w:p>
    <w:p w14:paraId="18C130BF" w14:textId="77777777" w:rsidR="00DF410E" w:rsidRDefault="00CE7F43">
      <w:pPr>
        <w:pStyle w:val="Author-eListParagraph"/>
        <w:numPr>
          <w:ilvl w:val="0"/>
          <w:numId w:val="418"/>
        </w:numPr>
      </w:pPr>
      <w:r>
        <w:t>En même temps, les armatures et le coffrage sont contrôlés avant de couler le béton. Pour le contrôle des parties exécutées en béton précontraint, l'entrepreneur a le choix entre le contrôle statique permanent ou le contrôle sur un échantillonnage limité.</w:t>
      </w:r>
    </w:p>
    <w:p w14:paraId="4677BFDE" w14:textId="77777777" w:rsidR="00DF410E" w:rsidRDefault="00CE7F43">
      <w:pPr>
        <w:pStyle w:val="Author-eListParagraph"/>
        <w:numPr>
          <w:ilvl w:val="0"/>
          <w:numId w:val="418"/>
        </w:numPr>
      </w:pPr>
      <w:r>
        <w:t>Le contrôle de la production des éléments préfabriqués en béton armé est effectué conformément à la norme produit. En son absence, le contrôle est effectué suivant la [NBN EN 13369:2023] et la [NBN B 21-600].</w:t>
      </w:r>
    </w:p>
    <w:p w14:paraId="7B086F20" w14:textId="77777777" w:rsidR="00DF410E" w:rsidRDefault="00CE7F43">
      <w:pPr>
        <w:pStyle w:val="pheading"/>
      </w:pPr>
      <w:r>
        <w:t>DOCUMENTS DE RÉFÉRENCE</w:t>
      </w:r>
    </w:p>
    <w:p w14:paraId="0D9C29C5" w14:textId="77777777" w:rsidR="00DF410E" w:rsidRDefault="00CE7F43">
      <w:pPr>
        <w:pStyle w:val="pheading"/>
      </w:pPr>
      <w:r>
        <w:t>- Matériau</w:t>
      </w:r>
    </w:p>
    <w:p w14:paraId="3AFB29E2" w14:textId="77777777" w:rsidR="00DF410E" w:rsidRDefault="00CE7F43">
      <w:r>
        <w:t xml:space="preserve">Conformément au titre </w:t>
      </w:r>
      <w:hyperlink w:anchor="87" w:history="1">
        <w:r>
          <w:t>22 Superstructures en béton</w:t>
        </w:r>
      </w:hyperlink>
      <w:r>
        <w:t>, complété par les normes de référence suivantes :</w:t>
      </w:r>
    </w:p>
    <w:p w14:paraId="5082893C" w14:textId="77777777" w:rsidR="00DF410E" w:rsidRDefault="00CE7F43">
      <w:r>
        <w:t>[NBN B 03-003, Déformation des structures - Valeurs limites de déformation - Bâtiments]</w:t>
      </w:r>
    </w:p>
    <w:p w14:paraId="3AD79D3C" w14:textId="77777777" w:rsidR="00DF410E" w:rsidRDefault="00CE7F43">
      <w:r>
        <w:t>[NBN ISO 7844, Assemblages verticaux crantés à armatures de liaison et béton coulé en place entre grands panneaux en béton armé - Méthode d'essai mécanique en laboratoire - Sollicitations résultant de l'application d'efforts tangentiels]</w:t>
      </w:r>
    </w:p>
    <w:p w14:paraId="7CB7E9D9" w14:textId="77777777" w:rsidR="00DF410E" w:rsidRDefault="00CE7F43">
      <w:r>
        <w:t>[NBN ISO 7845, Assemblages horizontaux entre murs porteurs et planchers en béton - Méthodes d'essai mécanique en laboratoire - Sollicitations résultant de l'application de charges verticales et de moments transmis par les planchers]</w:t>
      </w:r>
    </w:p>
    <w:p w14:paraId="36932EFB" w14:textId="77777777" w:rsidR="00DF410E" w:rsidRDefault="00CE7F43">
      <w:r>
        <w:t>[NBN EN 13213, Planchers creux]</w:t>
      </w:r>
    </w:p>
    <w:p w14:paraId="477E247B" w14:textId="77777777" w:rsidR="00DF410E" w:rsidRDefault="00CE7F43">
      <w:pPr>
        <w:pStyle w:val="Author-eSectionHeading5"/>
      </w:pPr>
      <w:bookmarkStart w:id="713" w:name="_Toc178837880"/>
      <w:r>
        <w:t>22.15.1 Planchers en béton coulé en place CCTB 01.11</w:t>
      </w:r>
      <w:bookmarkEnd w:id="713"/>
    </w:p>
    <w:p w14:paraId="4D4A5F98" w14:textId="77777777" w:rsidR="00DF410E" w:rsidRDefault="00CE7F43">
      <w:pPr>
        <w:pStyle w:val="pheading"/>
      </w:pPr>
      <w:bookmarkStart w:id="714" w:name="238"/>
      <w:bookmarkEnd w:id="714"/>
      <w:r>
        <w:t>MATÉRIAUX</w:t>
      </w:r>
    </w:p>
    <w:p w14:paraId="39422D0D" w14:textId="77777777" w:rsidR="00DF410E" w:rsidRDefault="00CE7F43">
      <w:r>
        <w:t xml:space="preserve">Les planchers coulés sur place doivent satisfaire aux conditions générales en ce qui concerne la qualité et la mise en œuvre du béton armé, conformément à la description au </w:t>
      </w:r>
      <w:hyperlink w:anchor="238" w:history="1">
        <w:r>
          <w:t>22.15.1 Planchers en béton coulé en place</w:t>
        </w:r>
      </w:hyperlink>
      <w:r>
        <w:t xml:space="preserve"> du présent cahier des charges.</w:t>
      </w:r>
    </w:p>
    <w:p w14:paraId="3AC7159A" w14:textId="77777777" w:rsidR="00DF410E" w:rsidRDefault="00CE7F43">
      <w:r>
        <w:t>Qualité du béton selon la [NBN EN 206:2013+A2] et la [NBN B 15-001] .</w:t>
      </w:r>
      <w:r>
        <w:br/>
        <w:t>Les armatures sont conformes à la série [NBN A 24-3xx série, Produits sidérurgiques - Aciers pour béton armé]</w:t>
      </w:r>
    </w:p>
    <w:p w14:paraId="02949289" w14:textId="77777777" w:rsidR="00DF410E" w:rsidRDefault="00CE7F43">
      <w:pPr>
        <w:pStyle w:val="pheading"/>
      </w:pPr>
      <w:r>
        <w:t>EXÉCUTION / MISE EN ŒUVRE</w:t>
      </w:r>
    </w:p>
    <w:p w14:paraId="18C6403A" w14:textId="77777777" w:rsidR="00DF410E" w:rsidRDefault="00CE7F43">
      <w:r>
        <w:t>Sauf indications contraires sur les plans, dans l'étude des bétons et/ou dans le cahier spécial des charges, l'exécution des planchers en béton armé coulé en place sera effectuée :</w:t>
      </w:r>
    </w:p>
    <w:p w14:paraId="089ABC3B" w14:textId="77777777" w:rsidR="00DF410E" w:rsidRDefault="00CE7F43">
      <w:pPr>
        <w:pStyle w:val="Author-eListParagraph"/>
        <w:numPr>
          <w:ilvl w:val="0"/>
          <w:numId w:val="419"/>
        </w:numPr>
      </w:pPr>
      <w:r>
        <w:t>Épaisseur et contre-flèche : selon les indications sur les plans, avec une contre-flèche de 1/500 de la portée.</w:t>
      </w:r>
    </w:p>
    <w:p w14:paraId="3333CEAB" w14:textId="77777777" w:rsidR="00DF410E" w:rsidRDefault="00CE7F43">
      <w:pPr>
        <w:pStyle w:val="Author-eListParagraph"/>
        <w:numPr>
          <w:ilvl w:val="0"/>
          <w:numId w:val="419"/>
        </w:numPr>
      </w:pPr>
      <w:r>
        <w:t>Armatures selon les Eurocodes (essentiellement [NBN EN 1990], [NBN EN 1991 série], [NBN EN 1992-1-1] et [NBN EN 1992-1-2])</w:t>
      </w:r>
    </w:p>
    <w:p w14:paraId="658C488A" w14:textId="77777777" w:rsidR="00DF410E" w:rsidRDefault="00CE7F43">
      <w:pPr>
        <w:pStyle w:val="Author-eListParagraph"/>
        <w:numPr>
          <w:ilvl w:val="0"/>
          <w:numId w:val="419"/>
        </w:numPr>
      </w:pPr>
      <w:r>
        <w:t xml:space="preserve">En ce qui concerne le coffrage, la pose des armatures, les appuis, les ancrages, les joints de tassement, le coulage du béton, le décoffrage, .. le béton de remplissage et/ou les couches de compression doivent satisfaire aux prescriptions générales données dans le </w:t>
      </w:r>
      <w:hyperlink w:anchor="87" w:history="1">
        <w:r>
          <w:t>22 Superstructures en béton</w:t>
        </w:r>
      </w:hyperlink>
      <w:r>
        <w:t>. </w:t>
      </w:r>
    </w:p>
    <w:p w14:paraId="51C7CED7" w14:textId="77777777" w:rsidR="00DF410E" w:rsidRDefault="00CE7F43">
      <w:pPr>
        <w:pStyle w:val="Author-eListParagraph"/>
        <w:numPr>
          <w:ilvl w:val="0"/>
          <w:numId w:val="419"/>
        </w:numPr>
      </w:pPr>
      <w:r>
        <w:t>En principe, le béton est coulé en une seule fois. Lorsque cela s'avère impossible, l'entrepreneur en discute à l'avance avec l'auteur de projet ou le bureau d'étude, afin de convenir de la succession des coulages, des joints de reprise, etc.</w:t>
      </w:r>
    </w:p>
    <w:p w14:paraId="7956FFD8" w14:textId="77777777" w:rsidR="00DF410E" w:rsidRDefault="00CE7F43">
      <w:pPr>
        <w:pStyle w:val="Author-eListParagraph"/>
        <w:numPr>
          <w:ilvl w:val="0"/>
          <w:numId w:val="419"/>
        </w:numPr>
      </w:pPr>
      <w:r>
        <w:t>Le béton est suffisamment compacté à l'aide du matériel nécessaire.</w:t>
      </w:r>
    </w:p>
    <w:p w14:paraId="19A1F755" w14:textId="77777777" w:rsidR="00DF410E" w:rsidRDefault="00CE7F43">
      <w:pPr>
        <w:pStyle w:val="Author-eListParagraph"/>
        <w:numPr>
          <w:ilvl w:val="0"/>
          <w:numId w:val="419"/>
        </w:numPr>
      </w:pPr>
      <w:r>
        <w:t>L'entrepreneur prend toutes les précautions afin que le béton fraîchement coulé puisse durcir dans des conditions optimales. En particulier par temps chaud et sec, le béton fraîchement coulé doit être régulièrement aspergé afin de prévenir le fendillement.</w:t>
      </w:r>
    </w:p>
    <w:p w14:paraId="759A4713" w14:textId="77777777" w:rsidR="00DF410E" w:rsidRDefault="00CE7F43">
      <w:pPr>
        <w:pStyle w:val="Author-eSectionHeading6"/>
      </w:pPr>
      <w:bookmarkStart w:id="715" w:name="_Toc178837881"/>
      <w:r>
        <w:t>22.15.1a Planchers en dalles pleines de béton armé coulé en place CCTB 01.12</w:t>
      </w:r>
      <w:bookmarkEnd w:id="715"/>
    </w:p>
    <w:p w14:paraId="3AA5A3E1" w14:textId="77777777" w:rsidR="00DF410E" w:rsidRDefault="00CE7F43">
      <w:pPr>
        <w:pStyle w:val="pheading"/>
      </w:pPr>
      <w:bookmarkStart w:id="716" w:name="489"/>
      <w:bookmarkEnd w:id="716"/>
      <w:r>
        <w:t>MATÉRIAUX</w:t>
      </w:r>
    </w:p>
    <w:p w14:paraId="7F8CD1DD" w14:textId="77777777" w:rsidR="00DF410E" w:rsidRDefault="00CE7F43">
      <w:pPr>
        <w:pStyle w:val="pheading"/>
      </w:pPr>
      <w:r>
        <w:t>- Caractéristiques générales</w:t>
      </w:r>
    </w:p>
    <w:p w14:paraId="585C1766" w14:textId="77777777" w:rsidR="00DF410E" w:rsidRDefault="00CE7F43">
      <w:r>
        <w:rPr>
          <w:u w:val="single"/>
        </w:rPr>
        <w:t>Béton</w:t>
      </w:r>
    </w:p>
    <w:p w14:paraId="5FFA97AB" w14:textId="77777777" w:rsidR="00DF410E" w:rsidRDefault="00CE7F43">
      <w:pPr>
        <w:pStyle w:val="Author-eListParagraph"/>
        <w:numPr>
          <w:ilvl w:val="0"/>
          <w:numId w:val="420"/>
        </w:numPr>
      </w:pPr>
      <w:r>
        <w:t xml:space="preserve">Qualité du béton selon la [NBN EN 206:2013+A2] et la [NBN B 15-001] : (voir également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02E689BE" w14:textId="77777777">
        <w:tc>
          <w:tcPr>
            <w:tcW w:w="1500" w:type="dxa"/>
            <w:noWrap/>
          </w:tcPr>
          <w:p w14:paraId="2B995F60" w14:textId="77777777" w:rsidR="00DF410E" w:rsidRDefault="00CE7F43">
            <w:pPr>
              <w:jc w:val="center"/>
            </w:pPr>
            <w:r>
              <w:rPr>
                <w:b/>
              </w:rPr>
              <w:t>A</w:t>
            </w:r>
          </w:p>
        </w:tc>
        <w:tc>
          <w:tcPr>
            <w:tcW w:w="1500" w:type="dxa"/>
            <w:noWrap/>
          </w:tcPr>
          <w:p w14:paraId="35ECC110" w14:textId="77777777" w:rsidR="00DF410E" w:rsidRDefault="00CE7F43">
            <w:pPr>
              <w:jc w:val="center"/>
            </w:pPr>
            <w:r>
              <w:rPr>
                <w:b/>
              </w:rPr>
              <w:t>B1</w:t>
            </w:r>
          </w:p>
        </w:tc>
        <w:tc>
          <w:tcPr>
            <w:tcW w:w="1500" w:type="dxa"/>
            <w:noWrap/>
          </w:tcPr>
          <w:p w14:paraId="56B75ED3" w14:textId="77777777" w:rsidR="00DF410E" w:rsidRDefault="00CE7F43">
            <w:pPr>
              <w:jc w:val="center"/>
            </w:pPr>
            <w:r>
              <w:rPr>
                <w:b/>
              </w:rPr>
              <w:t>B2</w:t>
            </w:r>
          </w:p>
        </w:tc>
        <w:tc>
          <w:tcPr>
            <w:tcW w:w="1500" w:type="dxa"/>
            <w:noWrap/>
          </w:tcPr>
          <w:p w14:paraId="53BDA097" w14:textId="77777777" w:rsidR="00DF410E" w:rsidRDefault="00CE7F43">
            <w:pPr>
              <w:jc w:val="center"/>
            </w:pPr>
            <w:r>
              <w:rPr>
                <w:b/>
              </w:rPr>
              <w:t>C</w:t>
            </w:r>
          </w:p>
        </w:tc>
        <w:tc>
          <w:tcPr>
            <w:tcW w:w="1500" w:type="dxa"/>
            <w:noWrap/>
          </w:tcPr>
          <w:p w14:paraId="2CC695D3" w14:textId="77777777" w:rsidR="00DF410E" w:rsidRDefault="00CE7F43">
            <w:pPr>
              <w:jc w:val="center"/>
            </w:pPr>
            <w:r>
              <w:rPr>
                <w:b/>
              </w:rPr>
              <w:t>D</w:t>
            </w:r>
          </w:p>
        </w:tc>
        <w:tc>
          <w:tcPr>
            <w:tcW w:w="1500" w:type="dxa"/>
            <w:noWrap/>
          </w:tcPr>
          <w:p w14:paraId="596E98BE" w14:textId="77777777" w:rsidR="00DF410E" w:rsidRDefault="00CE7F43">
            <w:pPr>
              <w:jc w:val="center"/>
            </w:pPr>
            <w:r>
              <w:rPr>
                <w:b/>
              </w:rPr>
              <w:t>E</w:t>
            </w:r>
          </w:p>
        </w:tc>
      </w:tr>
      <w:tr w:rsidR="00DF410E" w14:paraId="1C2AE8F9" w14:textId="77777777">
        <w:tc>
          <w:tcPr>
            <w:tcW w:w="1500" w:type="dxa"/>
            <w:noWrap/>
          </w:tcPr>
          <w:p w14:paraId="613EF3E5" w14:textId="77777777" w:rsidR="00DF410E" w:rsidRDefault="00CE7F43">
            <w:pPr>
              <w:jc w:val="center"/>
            </w:pPr>
            <w:r>
              <w:rPr>
                <w:b/>
              </w:rPr>
              <w:t>Classe de résistance</w:t>
            </w:r>
          </w:p>
        </w:tc>
        <w:tc>
          <w:tcPr>
            <w:tcW w:w="1500" w:type="dxa"/>
            <w:noWrap/>
          </w:tcPr>
          <w:p w14:paraId="471F8909" w14:textId="77777777" w:rsidR="00DF410E" w:rsidRDefault="00CE7F43">
            <w:pPr>
              <w:jc w:val="center"/>
            </w:pPr>
            <w:r>
              <w:rPr>
                <w:b/>
              </w:rPr>
              <w:t>Domaine d’application</w:t>
            </w:r>
          </w:p>
        </w:tc>
        <w:tc>
          <w:tcPr>
            <w:tcW w:w="1500" w:type="dxa"/>
            <w:noWrap/>
          </w:tcPr>
          <w:p w14:paraId="1FD8FDE1" w14:textId="77777777" w:rsidR="00DF410E" w:rsidRDefault="00CE7F43">
            <w:pPr>
              <w:jc w:val="center"/>
            </w:pPr>
            <w:r>
              <w:rPr>
                <w:b/>
              </w:rPr>
              <w:t>Classe d'environnement</w:t>
            </w:r>
          </w:p>
        </w:tc>
        <w:tc>
          <w:tcPr>
            <w:tcW w:w="1500" w:type="dxa"/>
            <w:noWrap/>
          </w:tcPr>
          <w:p w14:paraId="629071E2" w14:textId="77777777" w:rsidR="00DF410E" w:rsidRDefault="00CE7F43">
            <w:pPr>
              <w:jc w:val="center"/>
            </w:pPr>
            <w:r>
              <w:rPr>
                <w:b/>
              </w:rPr>
              <w:t>Classe de consistance</w:t>
            </w:r>
          </w:p>
        </w:tc>
        <w:tc>
          <w:tcPr>
            <w:tcW w:w="1500" w:type="dxa"/>
            <w:noWrap/>
          </w:tcPr>
          <w:p w14:paraId="5A6DE070" w14:textId="77777777" w:rsidR="00DF410E" w:rsidRDefault="00CE7F43">
            <w:pPr>
              <w:jc w:val="center"/>
            </w:pPr>
            <w:r>
              <w:rPr>
                <w:b/>
              </w:rPr>
              <w:t>Granulométrie maximale</w:t>
            </w:r>
          </w:p>
        </w:tc>
        <w:tc>
          <w:tcPr>
            <w:tcW w:w="1500" w:type="dxa"/>
            <w:noWrap/>
          </w:tcPr>
          <w:p w14:paraId="444813C3" w14:textId="77777777" w:rsidR="00DF410E" w:rsidRDefault="00CE7F43">
            <w:r>
              <w:rPr>
                <w:b/>
              </w:rPr>
              <w:t>Données complémentaires</w:t>
            </w:r>
          </w:p>
        </w:tc>
      </w:tr>
      <w:tr w:rsidR="00DF410E" w14:paraId="1951B59D" w14:textId="77777777">
        <w:tc>
          <w:tcPr>
            <w:tcW w:w="1500" w:type="dxa"/>
            <w:noWrap/>
          </w:tcPr>
          <w:p w14:paraId="353856B9" w14:textId="77777777" w:rsidR="00DF410E" w:rsidRDefault="00CE7F43">
            <w:pPr>
              <w:jc w:val="center"/>
            </w:pPr>
            <w:r>
              <w:rPr>
                <w:rStyle w:val="optioncarChar"/>
              </w:rPr>
              <w:t>C25/30 / C30/37 / C35/45 / C45/55 / C50/60 / C55/67 / C60/75 / C70/85 / C80/95 / C90/105</w:t>
            </w:r>
          </w:p>
        </w:tc>
        <w:tc>
          <w:tcPr>
            <w:tcW w:w="1500" w:type="dxa"/>
            <w:noWrap/>
          </w:tcPr>
          <w:p w14:paraId="4D63CEDF" w14:textId="77777777" w:rsidR="00DF410E" w:rsidRDefault="00CE7F43">
            <w:pPr>
              <w:jc w:val="center"/>
            </w:pPr>
            <w:r>
              <w:t>Béton armé</w:t>
            </w:r>
          </w:p>
          <w:p w14:paraId="09042EC9" w14:textId="77777777" w:rsidR="00DF410E" w:rsidRDefault="00DF410E"/>
        </w:tc>
        <w:tc>
          <w:tcPr>
            <w:tcW w:w="1500" w:type="dxa"/>
            <w:noWrap/>
          </w:tcPr>
          <w:p w14:paraId="00838C78" w14:textId="77777777" w:rsidR="00DF410E" w:rsidRDefault="00CE7F43">
            <w:pPr>
              <w:jc w:val="center"/>
            </w:pPr>
            <w:r>
              <w:rPr>
                <w:rStyle w:val="optioncarChar"/>
              </w:rPr>
              <w:t>E0 / EI / EE1 / EE2 / EE3 / EE4 / ES1 / ES2 / ES3 / ES4 / EA1+*** / EA2+***/ EA3+***</w:t>
            </w:r>
          </w:p>
        </w:tc>
        <w:tc>
          <w:tcPr>
            <w:tcW w:w="1500" w:type="dxa"/>
            <w:noWrap/>
          </w:tcPr>
          <w:p w14:paraId="51B09AF4" w14:textId="77777777" w:rsidR="00DF410E" w:rsidRDefault="00CE7F43">
            <w:pPr>
              <w:jc w:val="center"/>
            </w:pPr>
            <w:r>
              <w:t>au choix de l'entrepreneur :</w:t>
            </w:r>
          </w:p>
          <w:p w14:paraId="7F3567CB" w14:textId="77777777" w:rsidR="00DF410E" w:rsidRDefault="00CE7F43">
            <w:pPr>
              <w:jc w:val="center"/>
            </w:pPr>
            <w:r>
              <w:rPr>
                <w:rStyle w:val="optioncarChar"/>
              </w:rPr>
              <w:t>S3 / S4 / S5</w:t>
            </w:r>
          </w:p>
          <w:p w14:paraId="3EDBC44B" w14:textId="77777777" w:rsidR="00DF410E" w:rsidRDefault="00CE7F43">
            <w:pPr>
              <w:jc w:val="center"/>
            </w:pPr>
            <w:r>
              <w:rPr>
                <w:rStyle w:val="optioncarChar"/>
              </w:rPr>
              <w:t> F3 / F4 / F5 / F6</w:t>
            </w:r>
            <w:r>
              <w:br/>
            </w:r>
          </w:p>
        </w:tc>
        <w:tc>
          <w:tcPr>
            <w:tcW w:w="1500" w:type="dxa"/>
            <w:noWrap/>
          </w:tcPr>
          <w:p w14:paraId="10063A4E" w14:textId="77777777" w:rsidR="00DF410E" w:rsidRDefault="00CE7F43">
            <w:pPr>
              <w:jc w:val="center"/>
            </w:pPr>
            <w:r>
              <w:t>au choix de l'entrepreneur :</w:t>
            </w:r>
          </w:p>
          <w:p w14:paraId="59F779A2" w14:textId="77777777" w:rsidR="00DF410E" w:rsidRDefault="00CE7F43">
            <w:pPr>
              <w:jc w:val="center"/>
            </w:pPr>
            <w:r>
              <w:rPr>
                <w:rStyle w:val="optioncarChar"/>
              </w:rPr>
              <w:t>6 / 8 / 10 / 11 / 12 / 14 / 16 / 20 / 22 / 32 </w:t>
            </w:r>
            <w:r>
              <w:t>mm</w:t>
            </w:r>
          </w:p>
        </w:tc>
        <w:tc>
          <w:tcPr>
            <w:tcW w:w="1500" w:type="dxa"/>
            <w:noWrap/>
          </w:tcPr>
          <w:p w14:paraId="060217A5" w14:textId="77777777" w:rsidR="00DF410E" w:rsidRDefault="00CE7F43">
            <w:pPr>
              <w:jc w:val="center"/>
            </w:pPr>
            <w:r>
              <w:rPr>
                <w:rStyle w:val="optioncarChar"/>
              </w:rPr>
              <w:t>***</w:t>
            </w:r>
          </w:p>
        </w:tc>
      </w:tr>
    </w:tbl>
    <w:p w14:paraId="6EB10300" w14:textId="77777777" w:rsidR="00DF410E" w:rsidRDefault="00DF410E"/>
    <w:p w14:paraId="17CD1555"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1B81AF2" w14:textId="77777777" w:rsidR="00DF410E" w:rsidRDefault="00CE7F43">
      <w:pPr>
        <w:pStyle w:val="Author-eListParagraph"/>
        <w:numPr>
          <w:ilvl w:val="0"/>
          <w:numId w:val="421"/>
        </w:numPr>
      </w:pPr>
      <w:r>
        <w:t xml:space="preserve">Classe de viscosité apparente : </w:t>
      </w:r>
      <w:r>
        <w:rPr>
          <w:rStyle w:val="optioncarChar"/>
        </w:rPr>
        <w:t>VS1 / VS2</w:t>
      </w:r>
      <w:r>
        <w:t xml:space="preserve"> (selon la [NBN EN 12350-8] )</w:t>
      </w:r>
    </w:p>
    <w:p w14:paraId="7EEE912C" w14:textId="77777777" w:rsidR="00DF410E" w:rsidRDefault="00CE7F43">
      <w:pPr>
        <w:pStyle w:val="Author-eListParagraph"/>
        <w:numPr>
          <w:ilvl w:val="0"/>
          <w:numId w:val="42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1444E55" w14:textId="77777777" w:rsidR="00DF410E" w:rsidRDefault="00CE7F43">
      <w:pPr>
        <w:pStyle w:val="Author-eListParagraph"/>
        <w:numPr>
          <w:ilvl w:val="0"/>
          <w:numId w:val="42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47DC468" w14:textId="77777777" w:rsidR="00DF410E" w:rsidRDefault="00CE7F43">
      <w:r>
        <w:rPr>
          <w:u w:val="single"/>
        </w:rPr>
        <w:t>Armatures</w:t>
      </w:r>
    </w:p>
    <w:p w14:paraId="77E4A617"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 (voir </w:t>
      </w:r>
      <w:hyperlink w:anchor="231" w:history="1">
        <w:r>
          <w:t>22.51 Armatures pour béton</w:t>
        </w:r>
      </w:hyperlink>
      <w:r>
        <w:t>)</w:t>
      </w:r>
    </w:p>
    <w:p w14:paraId="19C4B82B" w14:textId="77777777" w:rsidR="00DF410E" w:rsidRDefault="00CE7F43">
      <w:pPr>
        <w:pStyle w:val="Author-eListParagraph"/>
        <w:numPr>
          <w:ilvl w:val="0"/>
          <w:numId w:val="422"/>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2ADA0E2F" w14:textId="77777777" w:rsidR="00DF410E" w:rsidRDefault="00CE7F43">
      <w:pPr>
        <w:pStyle w:val="Author-eListParagraph"/>
        <w:numPr>
          <w:ilvl w:val="0"/>
          <w:numId w:val="422"/>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0A5EDC45" w14:textId="77777777" w:rsidR="00DF410E" w:rsidRDefault="00CE7F43">
      <w:pPr>
        <w:pStyle w:val="Author-eListParagraph"/>
        <w:numPr>
          <w:ilvl w:val="0"/>
          <w:numId w:val="422"/>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6 x 6 </w:t>
      </w:r>
      <w:r>
        <w:t>(par défaut) mm.</w:t>
      </w:r>
    </w:p>
    <w:p w14:paraId="74350992" w14:textId="77777777" w:rsidR="00DF410E" w:rsidRDefault="00CE7F43">
      <w:pPr>
        <w:pStyle w:val="Author-eListParagraph"/>
        <w:numPr>
          <w:ilvl w:val="0"/>
          <w:numId w:val="423"/>
        </w:numPr>
      </w:pPr>
      <w:r>
        <w:t xml:space="preserve">Les éléments du coffrage perdus sont composées de : </w:t>
      </w:r>
      <w:r>
        <w:rPr>
          <w:rStyle w:val="optioncarChar"/>
        </w:rPr>
        <w:t>***</w:t>
      </w:r>
      <w:r>
        <w:t xml:space="preserve"> (selon les dimensions et le type indiqués sur le plan):</w:t>
      </w:r>
    </w:p>
    <w:p w14:paraId="31BD2352" w14:textId="77777777" w:rsidR="00DF410E" w:rsidRDefault="00CE7F43">
      <w:pPr>
        <w:ind w:left="567"/>
      </w:pPr>
      <w:r>
        <w:rPr>
          <w:b/>
        </w:rPr>
        <w:t>Choix opéré :</w:t>
      </w:r>
      <w:r>
        <w:rPr>
          <w:rStyle w:val="optioncarChar"/>
        </w:rPr>
        <w:t xml:space="preserve"> tôle d'acier profilé </w:t>
      </w:r>
      <w:r>
        <w:t>(par défaut)</w:t>
      </w:r>
      <w:r>
        <w:rPr>
          <w:rStyle w:val="optioncarChar"/>
        </w:rPr>
        <w:t xml:space="preserve"> / plaques profilées en aluminium laqué / plaques profilées en matière synthétique / ***</w:t>
      </w:r>
      <w:r>
        <w:br/>
      </w:r>
      <w:r>
        <w:rPr>
          <w:b/>
        </w:rPr>
        <w:t>soit (par défaut)</w:t>
      </w:r>
      <w:r>
        <w:br/>
      </w:r>
      <w:r>
        <w:rPr>
          <w:rStyle w:val="soitChar"/>
        </w:rPr>
        <w:t xml:space="preserve">1. </w:t>
      </w:r>
      <w:r>
        <w:rPr>
          <w:rStyle w:val="soitChar"/>
          <w:u w:val="single"/>
        </w:rPr>
        <w:t>tôle d'acier profilé</w:t>
      </w:r>
      <w:r>
        <w:rPr>
          <w:rStyle w:val="soitChar"/>
        </w:rPr>
        <w:t>, avec traitement de surface </w:t>
      </w:r>
      <w:r>
        <w:rPr>
          <w:rStyle w:val="optioncarChar"/>
        </w:rPr>
        <w:t>galvanisé min. 275 g/m</w:t>
      </w:r>
      <w:r>
        <w:rPr>
          <w:rStyle w:val="optioncarChar"/>
          <w:vertAlign w:val="superscript"/>
        </w:rPr>
        <w:t>2</w:t>
      </w:r>
      <w:r>
        <w:rPr>
          <w:rStyle w:val="optioncarChar"/>
        </w:rPr>
        <w:t xml:space="preserve">  </w:t>
      </w:r>
      <w:r>
        <w:t>(par défaut) </w:t>
      </w:r>
      <w:r>
        <w:rPr>
          <w:rStyle w:val="optioncarChar"/>
        </w:rPr>
        <w:t>/ laqué en couleur RAL / avec revêtement en polyester, min. 15 microns / ***, </w:t>
      </w:r>
      <w:r>
        <w:rPr>
          <w:rStyle w:val="soitChar"/>
        </w:rPr>
        <w:t>couleur </w:t>
      </w:r>
      <w:r>
        <w:rPr>
          <w:rStyle w:val="optioncarChar"/>
        </w:rPr>
        <w:t xml:space="preserve">*** </w:t>
      </w:r>
      <w:r>
        <w:t>.</w:t>
      </w:r>
      <w:r>
        <w:br/>
      </w:r>
      <w:r>
        <w:rPr>
          <w:b/>
        </w:rPr>
        <w:t>soit</w:t>
      </w:r>
      <w:r>
        <w:br/>
      </w:r>
      <w:r>
        <w:rPr>
          <w:rStyle w:val="normalChar"/>
          <w:b/>
        </w:rPr>
        <w:t xml:space="preserve">2. </w:t>
      </w:r>
      <w:r>
        <w:rPr>
          <w:rStyle w:val="normalChar"/>
          <w:u w:val="single"/>
        </w:rPr>
        <w:t>plaques profilées en aluminium laqué</w:t>
      </w:r>
      <w:r>
        <w:rPr>
          <w:rStyle w:val="normalChar"/>
        </w:rPr>
        <w:t>, couleur RAL</w:t>
      </w:r>
      <w:r>
        <w:t> </w:t>
      </w:r>
      <w:r>
        <w:rPr>
          <w:rStyle w:val="optioncarChar"/>
        </w:rPr>
        <w:t>***</w:t>
      </w:r>
      <w:r>
        <w:t xml:space="preserve"> .</w:t>
      </w:r>
      <w:r>
        <w:br/>
      </w:r>
      <w:r>
        <w:rPr>
          <w:b/>
        </w:rPr>
        <w:t>soit</w:t>
      </w:r>
      <w:r>
        <w:br/>
      </w:r>
      <w:r>
        <w:rPr>
          <w:rStyle w:val="soitChar"/>
          <w:b/>
        </w:rPr>
        <w:t xml:space="preserve">3. </w:t>
      </w:r>
      <w:r>
        <w:rPr>
          <w:rStyle w:val="soitChar"/>
          <w:u w:val="single"/>
        </w:rPr>
        <w:t>plaques profilées en matière synthétique</w:t>
      </w:r>
      <w:r>
        <w:rPr>
          <w:rStyle w:val="soitChar"/>
        </w:rPr>
        <w:t>.</w:t>
      </w:r>
    </w:p>
    <w:p w14:paraId="4000CF3D" w14:textId="77777777" w:rsidR="00DF410E" w:rsidRDefault="00CE7F43">
      <w:pPr>
        <w:pStyle w:val="pheading"/>
      </w:pPr>
      <w:r>
        <w:t>- Finitions</w:t>
      </w:r>
    </w:p>
    <w:p w14:paraId="7A1B37D0" w14:textId="77777777" w:rsidR="00DF410E" w:rsidRDefault="00CE7F43">
      <w:r>
        <w:t>Face inférieure du plancher : </w:t>
      </w:r>
      <w:r>
        <w:rPr>
          <w:rStyle w:val="optioncarChar"/>
        </w:rPr>
        <w:t>rugueuse </w:t>
      </w:r>
      <w:r>
        <w:t>(par défaut) </w:t>
      </w:r>
      <w:r>
        <w:rPr>
          <w:rStyle w:val="optioncarChar"/>
        </w:rPr>
        <w:t>/ lisse / ***</w:t>
      </w:r>
      <w:r>
        <w:br/>
      </w:r>
    </w:p>
    <w:p w14:paraId="013932E8" w14:textId="77777777" w:rsidR="00DF410E" w:rsidRDefault="00CE7F43">
      <w:pPr>
        <w:pStyle w:val="pheading"/>
      </w:pPr>
      <w:r>
        <w:t>- Prescriptions complémentaires</w:t>
      </w:r>
    </w:p>
    <w:p w14:paraId="0A62AA01" w14:textId="77777777" w:rsidR="00DF410E" w:rsidRDefault="00CE7F43">
      <w:r>
        <w:t xml:space="preserve">Résistance au feu: pour les éléments porteurs et structuraux sans fonction séparant </w:t>
      </w:r>
      <w:r>
        <w:rPr>
          <w:rStyle w:val="optioncarChar"/>
        </w:rPr>
        <w:t>R15 / R30</w:t>
      </w:r>
      <w:r>
        <w:t> (par défaut) </w:t>
      </w:r>
      <w:r>
        <w:rPr>
          <w:rStyle w:val="optioncarChar"/>
        </w:rPr>
        <w:t>/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062092ED" w14:textId="77777777" w:rsidR="00DF410E" w:rsidRDefault="00CE7F43">
      <w:pPr>
        <w:pStyle w:val="pheading"/>
      </w:pPr>
      <w:r>
        <w:t>EXÉCUTION / MISE EN ŒUVRE</w:t>
      </w:r>
    </w:p>
    <w:p w14:paraId="2AB153AC" w14:textId="77777777" w:rsidR="00DF410E" w:rsidRDefault="00CE7F43">
      <w:pPr>
        <w:pStyle w:val="pheading"/>
      </w:pPr>
      <w:r>
        <w:t>- Prescriptions générales</w:t>
      </w:r>
    </w:p>
    <w:p w14:paraId="6FE3A6D7" w14:textId="77777777" w:rsidR="00DF410E" w:rsidRDefault="00CE7F43">
      <w:r>
        <w:t xml:space="preserve">L'étude est réalisée conformément à l'article </w:t>
      </w:r>
      <w:hyperlink w:anchor="87" w:history="1">
        <w:r>
          <w:t>22 Superstructures en béton</w:t>
        </w:r>
      </w:hyperlink>
      <w:r>
        <w:t xml:space="preserve"> à charge de </w:t>
      </w:r>
      <w:r>
        <w:rPr>
          <w:rStyle w:val="optioncarChar"/>
        </w:rPr>
        <w:t>l'entrepreneur</w:t>
      </w:r>
      <w:r>
        <w:t> </w:t>
      </w:r>
      <w:r>
        <w:rPr>
          <w:rStyle w:val="optioncarChar"/>
        </w:rPr>
        <w:t>/ le maître de l'ouvrage / le bureau d'étude </w:t>
      </w:r>
      <w:r>
        <w:t>(par défaut)</w:t>
      </w:r>
      <w:r>
        <w:rPr>
          <w:rStyle w:val="optioncarChar"/>
        </w:rPr>
        <w:t xml:space="preserve"> / ***</w:t>
      </w:r>
      <w:r>
        <w:br/>
        <w:t>Les planchers sont coulés sur place en </w:t>
      </w:r>
      <w:r>
        <w:rPr>
          <w:rStyle w:val="optioncarChar"/>
        </w:rPr>
        <w:t>une seule </w:t>
      </w:r>
      <w:r>
        <w:t>(par défaut)</w:t>
      </w:r>
      <w:r>
        <w:rPr>
          <w:rStyle w:val="optioncarChar"/>
        </w:rPr>
        <w:t xml:space="preserve"> / *** </w:t>
      </w:r>
      <w:r>
        <w:t>fois.</w:t>
      </w:r>
      <w:r>
        <w:br/>
        <w:t>Le comportement du coffrage perdu lors du coulage du béton doit être minutieusement suivi.</w:t>
      </w:r>
    </w:p>
    <w:p w14:paraId="0B8474E4" w14:textId="77777777" w:rsidR="00DF410E" w:rsidRDefault="00CE7F43">
      <w:pPr>
        <w:pStyle w:val="pheading"/>
      </w:pPr>
      <w:r>
        <w:t>- Notes d’exécution complémentaires</w:t>
      </w:r>
    </w:p>
    <w:p w14:paraId="7385048D" w14:textId="77777777" w:rsidR="00DF410E" w:rsidRDefault="00CE7F43">
      <w:r>
        <w:t>Les vides entre les murs et les éléments de coffrage perdus supérieurs sont remplis de béton, cependant, dans le cas de maçonnerie apparente, cela se fait en maçonnerie du même type que les murs.</w:t>
      </w:r>
      <w:r>
        <w:br/>
        <w:t>Ponts d'humidité / étanchéité à l'eau :</w:t>
      </w:r>
      <w:r>
        <w:br/>
        <w:t>Ponts thermiques / isolation thermique :</w:t>
      </w:r>
      <w:r>
        <w:br/>
        <w:t>Réservations / pénétrations :</w:t>
      </w:r>
    </w:p>
    <w:p w14:paraId="510C7821" w14:textId="77777777" w:rsidR="00DF410E" w:rsidRDefault="00CE7F43">
      <w:pPr>
        <w:pStyle w:val="pheading"/>
      </w:pPr>
      <w:r>
        <w:t>MESURAGE</w:t>
      </w:r>
    </w:p>
    <w:p w14:paraId="66695AD5" w14:textId="77777777" w:rsidR="00DF410E" w:rsidRDefault="00CE7F43">
      <w:r>
        <w:t>Conformément à la nature du plancher, aux indications spécifiques dans le cahier spécial des charges et/ou le métré récapitulatif, le mesurage doit être conçu comme suit :</w:t>
      </w:r>
    </w:p>
    <w:p w14:paraId="72CE9D34" w14:textId="77777777" w:rsidR="00DF410E" w:rsidRDefault="00CE7F43">
      <w:pPr>
        <w:pStyle w:val="pheading"/>
      </w:pPr>
      <w:r>
        <w:t>- unité de mesure:</w:t>
      </w:r>
    </w:p>
    <w:p w14:paraId="7B71CF72" w14:textId="77777777" w:rsidR="00DF410E" w:rsidRDefault="00CE7F43">
      <w:r>
        <w:rPr>
          <w:b/>
        </w:rPr>
        <w:t>Choix opéré :</w:t>
      </w:r>
      <w:r>
        <w:rPr>
          <w:rStyle w:val="optioncarChar"/>
        </w:rPr>
        <w:t xml:space="preserve">OPTION 1 </w:t>
      </w:r>
      <w:r>
        <w:t>(par défaut)</w:t>
      </w:r>
      <w:r>
        <w:rPr>
          <w:rStyle w:val="optioncarChar"/>
        </w:rPr>
        <w:t xml:space="preserve"> / OPTION 1bis / OPTION 2 / OPTION 3</w:t>
      </w:r>
    </w:p>
    <w:p w14:paraId="5830367C" w14:textId="77777777" w:rsidR="00DF410E" w:rsidRDefault="00CE7F43">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14:paraId="4CA70671" w14:textId="77777777" w:rsidR="00DF410E" w:rsidRDefault="00CE7F43">
      <w:r>
        <w:t>***</w:t>
      </w:r>
      <w:r>
        <w:rPr>
          <w:b/>
        </w:rPr>
        <w:t>OPTION 1bis: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3EAEFD42" w14:textId="77777777" w:rsidR="00DF410E" w:rsidRDefault="00CE7F43">
      <w:r>
        <w:t>***</w:t>
      </w:r>
      <w:r>
        <w:rPr>
          <w:b/>
        </w:rPr>
        <w:t>OPTION 2:</w:t>
      </w:r>
    </w:p>
    <w:p w14:paraId="5A36AF82" w14:textId="77777777" w:rsidR="00DF410E" w:rsidRDefault="00CE7F43">
      <w:pPr>
        <w:pStyle w:val="Author-eListParagraph"/>
        <w:numPr>
          <w:ilvl w:val="0"/>
          <w:numId w:val="424"/>
        </w:numPr>
      </w:pPr>
      <w:r>
        <w:t>m³ pour le béton</w:t>
      </w:r>
    </w:p>
    <w:p w14:paraId="7EF7E298" w14:textId="77777777" w:rsidR="00DF410E" w:rsidRDefault="00CE7F43">
      <w:pPr>
        <w:pStyle w:val="Author-eListParagraph"/>
        <w:numPr>
          <w:ilvl w:val="0"/>
          <w:numId w:val="424"/>
        </w:numPr>
      </w:pPr>
      <w:r>
        <w:t>kg pour les armatures</w:t>
      </w:r>
    </w:p>
    <w:p w14:paraId="06BCCF4B" w14:textId="77777777" w:rsidR="00DF410E" w:rsidRDefault="00CE7F43">
      <w:pPr>
        <w:pStyle w:val="Author-eListParagraph"/>
        <w:numPr>
          <w:ilvl w:val="0"/>
          <w:numId w:val="424"/>
        </w:numPr>
      </w:pPr>
      <w:r>
        <w:t>Tous les autres éléments, travaux et fournitures doivent être compris dans les prix unitaires respectifs pour les mesurages précités.</w:t>
      </w:r>
    </w:p>
    <w:p w14:paraId="14691D48" w14:textId="77777777" w:rsidR="00DF410E" w:rsidRDefault="00CE7F43">
      <w:r>
        <w:t> ***</w:t>
      </w:r>
      <w:r>
        <w:rPr>
          <w:b/>
        </w:rPr>
        <w:t xml:space="preserve">OPTION 3: </w:t>
      </w:r>
    </w:p>
    <w:p w14:paraId="1F950D01" w14:textId="77777777" w:rsidR="00DF410E" w:rsidRDefault="00CE7F43">
      <w:pPr>
        <w:pStyle w:val="Author-eListParagraph"/>
        <w:numPr>
          <w:ilvl w:val="0"/>
          <w:numId w:val="425"/>
        </w:numPr>
      </w:pPr>
      <w:r>
        <w:t>m³ pour le béton de remplissage</w:t>
      </w:r>
    </w:p>
    <w:p w14:paraId="34209B88" w14:textId="77777777" w:rsidR="00DF410E" w:rsidRDefault="00CE7F43">
      <w:pPr>
        <w:pStyle w:val="Author-eListParagraph"/>
        <w:numPr>
          <w:ilvl w:val="0"/>
          <w:numId w:val="425"/>
        </w:numPr>
      </w:pPr>
      <w:r>
        <w:t>m³ pour la couche de compression béton (en mentionnant l'épaisseur...)</w:t>
      </w:r>
    </w:p>
    <w:p w14:paraId="61FB84C6" w14:textId="77777777" w:rsidR="00DF410E" w:rsidRDefault="00CE7F43">
      <w:pPr>
        <w:pStyle w:val="Author-eListParagraph"/>
        <w:numPr>
          <w:ilvl w:val="0"/>
          <w:numId w:val="425"/>
        </w:numPr>
      </w:pPr>
      <w:r>
        <w:t>kg pour les armatures supplémentaires</w:t>
      </w:r>
    </w:p>
    <w:p w14:paraId="09218E01" w14:textId="77777777" w:rsidR="00DF410E" w:rsidRDefault="00CE7F43">
      <w:pPr>
        <w:pStyle w:val="Author-eListParagraph"/>
        <w:numPr>
          <w:ilvl w:val="0"/>
          <w:numId w:val="425"/>
        </w:numPr>
      </w:pPr>
      <w:r>
        <w:t>Pièces divergentes et pièces spéciales : à la pièce (selon les dimensions identiques ou indications standards).</w:t>
      </w:r>
    </w:p>
    <w:p w14:paraId="67516951"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9424808" w14:textId="77777777" w:rsidR="00DF410E" w:rsidRDefault="00CE7F43">
      <w:pPr>
        <w:pStyle w:val="pheading"/>
      </w:pPr>
      <w:r>
        <w:t>- code de mesurage:</w:t>
      </w:r>
    </w:p>
    <w:p w14:paraId="3ED21B32"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1D6A2129" w14:textId="77777777" w:rsidR="00DF410E" w:rsidRDefault="00CE7F43">
      <w:pPr>
        <w:pStyle w:val="pheading"/>
      </w:pPr>
      <w:r>
        <w:t>- nature du marché:</w:t>
      </w:r>
    </w:p>
    <w:p w14:paraId="0B86ED20" w14:textId="77777777" w:rsidR="00DF410E" w:rsidRDefault="00CE7F43">
      <w:r>
        <w:rPr>
          <w:rStyle w:val="optioncarChar"/>
        </w:rPr>
        <w:t xml:space="preserve">QF </w:t>
      </w:r>
      <w:r>
        <w:t>(par défaut)</w:t>
      </w:r>
      <w:r>
        <w:rPr>
          <w:rStyle w:val="optioncarChar"/>
        </w:rPr>
        <w:t xml:space="preserve"> / QP / PM</w:t>
      </w:r>
    </w:p>
    <w:p w14:paraId="5243A630" w14:textId="77777777" w:rsidR="00DF410E" w:rsidRDefault="00CE7F43">
      <w:pPr>
        <w:pStyle w:val="pheading"/>
      </w:pPr>
      <w:r>
        <w:t>AIDE</w:t>
      </w:r>
    </w:p>
    <w:p w14:paraId="084B56CF" w14:textId="77777777" w:rsidR="00DF410E" w:rsidRDefault="00CE7F43">
      <w:r>
        <w:t>Support aux prescripteurs : [SWL GSI/T1/C] de la prévention passive référencé.</w:t>
      </w:r>
    </w:p>
    <w:p w14:paraId="4D4DEEBB" w14:textId="77777777" w:rsidR="00DF410E" w:rsidRDefault="00CE7F43">
      <w:pPr>
        <w:pStyle w:val="Author-eSectionHeading6"/>
      </w:pPr>
      <w:bookmarkStart w:id="717" w:name="_Toc178837882"/>
      <w:r>
        <w:t>22.15.1b Planchers en dalles pleines nervurées de béton armé coulé en place CCTB 01.12</w:t>
      </w:r>
      <w:bookmarkEnd w:id="717"/>
    </w:p>
    <w:p w14:paraId="41CC6A3A" w14:textId="77777777" w:rsidR="00DF410E" w:rsidRDefault="00CE7F43">
      <w:pPr>
        <w:pStyle w:val="pheading"/>
      </w:pPr>
      <w:r>
        <w:t>MATÉRIAUX</w:t>
      </w:r>
    </w:p>
    <w:p w14:paraId="5A141B4B" w14:textId="77777777" w:rsidR="00DF410E" w:rsidRDefault="00CE7F43">
      <w:pPr>
        <w:pStyle w:val="pheading"/>
      </w:pPr>
      <w:r>
        <w:t>- Caractéristiques générales</w:t>
      </w:r>
    </w:p>
    <w:p w14:paraId="5067FF7C" w14:textId="77777777" w:rsidR="00DF410E" w:rsidRDefault="00DF410E"/>
    <w:p w14:paraId="40C11FD3" w14:textId="77777777" w:rsidR="00DF410E" w:rsidRDefault="00CE7F43">
      <w:pPr>
        <w:pStyle w:val="Author-eListParagraph"/>
        <w:numPr>
          <w:ilvl w:val="0"/>
          <w:numId w:val="426"/>
        </w:numPr>
      </w:pPr>
      <w:r>
        <w:t xml:space="preserve">Qualité du béton selon la [NBN EN 206:2013+A2] et la [NBN B 15-001] : (voir également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142F55CD" w14:textId="77777777">
        <w:tc>
          <w:tcPr>
            <w:tcW w:w="1500" w:type="dxa"/>
            <w:noWrap/>
          </w:tcPr>
          <w:p w14:paraId="4BEEAB15" w14:textId="77777777" w:rsidR="00DF410E" w:rsidRDefault="00CE7F43">
            <w:pPr>
              <w:jc w:val="center"/>
            </w:pPr>
            <w:r>
              <w:rPr>
                <w:b/>
              </w:rPr>
              <w:t>A</w:t>
            </w:r>
          </w:p>
        </w:tc>
        <w:tc>
          <w:tcPr>
            <w:tcW w:w="1500" w:type="dxa"/>
            <w:noWrap/>
          </w:tcPr>
          <w:p w14:paraId="1E261EC5" w14:textId="77777777" w:rsidR="00DF410E" w:rsidRDefault="00CE7F43">
            <w:pPr>
              <w:jc w:val="center"/>
            </w:pPr>
            <w:r>
              <w:rPr>
                <w:b/>
              </w:rPr>
              <w:t>B1</w:t>
            </w:r>
          </w:p>
        </w:tc>
        <w:tc>
          <w:tcPr>
            <w:tcW w:w="1500" w:type="dxa"/>
            <w:noWrap/>
          </w:tcPr>
          <w:p w14:paraId="377732C0" w14:textId="77777777" w:rsidR="00DF410E" w:rsidRDefault="00CE7F43">
            <w:pPr>
              <w:jc w:val="center"/>
            </w:pPr>
            <w:r>
              <w:rPr>
                <w:b/>
              </w:rPr>
              <w:t>B2</w:t>
            </w:r>
          </w:p>
        </w:tc>
        <w:tc>
          <w:tcPr>
            <w:tcW w:w="1500" w:type="dxa"/>
            <w:noWrap/>
          </w:tcPr>
          <w:p w14:paraId="72E2B8A7" w14:textId="77777777" w:rsidR="00DF410E" w:rsidRDefault="00CE7F43">
            <w:pPr>
              <w:jc w:val="center"/>
            </w:pPr>
            <w:r>
              <w:rPr>
                <w:b/>
              </w:rPr>
              <w:t>C</w:t>
            </w:r>
          </w:p>
        </w:tc>
        <w:tc>
          <w:tcPr>
            <w:tcW w:w="1500" w:type="dxa"/>
            <w:noWrap/>
          </w:tcPr>
          <w:p w14:paraId="7ED2D4C0" w14:textId="77777777" w:rsidR="00DF410E" w:rsidRDefault="00CE7F43">
            <w:pPr>
              <w:jc w:val="center"/>
            </w:pPr>
            <w:r>
              <w:rPr>
                <w:b/>
              </w:rPr>
              <w:t>D</w:t>
            </w:r>
          </w:p>
        </w:tc>
        <w:tc>
          <w:tcPr>
            <w:tcW w:w="1500" w:type="dxa"/>
            <w:noWrap/>
          </w:tcPr>
          <w:p w14:paraId="7938D424" w14:textId="77777777" w:rsidR="00DF410E" w:rsidRDefault="00CE7F43">
            <w:pPr>
              <w:jc w:val="center"/>
            </w:pPr>
            <w:r>
              <w:rPr>
                <w:b/>
              </w:rPr>
              <w:t>E</w:t>
            </w:r>
          </w:p>
        </w:tc>
      </w:tr>
      <w:tr w:rsidR="00DF410E" w14:paraId="1D74E55D" w14:textId="77777777">
        <w:tc>
          <w:tcPr>
            <w:tcW w:w="1500" w:type="dxa"/>
            <w:noWrap/>
          </w:tcPr>
          <w:p w14:paraId="76FB6286" w14:textId="77777777" w:rsidR="00DF410E" w:rsidRDefault="00CE7F43">
            <w:pPr>
              <w:jc w:val="center"/>
            </w:pPr>
            <w:r>
              <w:rPr>
                <w:b/>
              </w:rPr>
              <w:t>Classe de résistance</w:t>
            </w:r>
          </w:p>
        </w:tc>
        <w:tc>
          <w:tcPr>
            <w:tcW w:w="1500" w:type="dxa"/>
            <w:noWrap/>
          </w:tcPr>
          <w:p w14:paraId="24FFB2B5" w14:textId="77777777" w:rsidR="00DF410E" w:rsidRDefault="00CE7F43">
            <w:pPr>
              <w:jc w:val="center"/>
            </w:pPr>
            <w:r>
              <w:rPr>
                <w:b/>
              </w:rPr>
              <w:t>Domaine d’application</w:t>
            </w:r>
          </w:p>
        </w:tc>
        <w:tc>
          <w:tcPr>
            <w:tcW w:w="1500" w:type="dxa"/>
            <w:noWrap/>
          </w:tcPr>
          <w:p w14:paraId="00777F55" w14:textId="77777777" w:rsidR="00DF410E" w:rsidRDefault="00CE7F43">
            <w:pPr>
              <w:jc w:val="center"/>
            </w:pPr>
            <w:r>
              <w:rPr>
                <w:b/>
              </w:rPr>
              <w:t>Classe d'environnement</w:t>
            </w:r>
          </w:p>
        </w:tc>
        <w:tc>
          <w:tcPr>
            <w:tcW w:w="1500" w:type="dxa"/>
            <w:noWrap/>
          </w:tcPr>
          <w:p w14:paraId="035C8E7D" w14:textId="77777777" w:rsidR="00DF410E" w:rsidRDefault="00CE7F43">
            <w:pPr>
              <w:jc w:val="center"/>
            </w:pPr>
            <w:r>
              <w:rPr>
                <w:b/>
              </w:rPr>
              <w:t>Classe de consistance</w:t>
            </w:r>
          </w:p>
        </w:tc>
        <w:tc>
          <w:tcPr>
            <w:tcW w:w="1500" w:type="dxa"/>
            <w:noWrap/>
          </w:tcPr>
          <w:p w14:paraId="10D30424" w14:textId="77777777" w:rsidR="00DF410E" w:rsidRDefault="00CE7F43">
            <w:pPr>
              <w:jc w:val="center"/>
            </w:pPr>
            <w:r>
              <w:rPr>
                <w:b/>
              </w:rPr>
              <w:t>Granulométrie maximale</w:t>
            </w:r>
          </w:p>
        </w:tc>
        <w:tc>
          <w:tcPr>
            <w:tcW w:w="1500" w:type="dxa"/>
            <w:noWrap/>
          </w:tcPr>
          <w:p w14:paraId="0A5296EE" w14:textId="77777777" w:rsidR="00DF410E" w:rsidRDefault="00CE7F43">
            <w:r>
              <w:rPr>
                <w:b/>
              </w:rPr>
              <w:t>Données complémentaires</w:t>
            </w:r>
          </w:p>
        </w:tc>
      </w:tr>
      <w:tr w:rsidR="00DF410E" w14:paraId="13A5419F" w14:textId="77777777">
        <w:tc>
          <w:tcPr>
            <w:tcW w:w="1500" w:type="dxa"/>
            <w:noWrap/>
          </w:tcPr>
          <w:p w14:paraId="288FCF99" w14:textId="77777777" w:rsidR="00DF410E" w:rsidRDefault="00CE7F43">
            <w:pPr>
              <w:jc w:val="center"/>
            </w:pPr>
            <w:r>
              <w:rPr>
                <w:rStyle w:val="optioncarChar"/>
              </w:rPr>
              <w:t>C25/30 / C30/37 / C35/45 / C45/55 / C50/60 / C55/67 / C60/75 / C70/85 / C80/95 / C90/105</w:t>
            </w:r>
          </w:p>
        </w:tc>
        <w:tc>
          <w:tcPr>
            <w:tcW w:w="1500" w:type="dxa"/>
            <w:noWrap/>
          </w:tcPr>
          <w:p w14:paraId="301BF015" w14:textId="77777777" w:rsidR="00DF410E" w:rsidRDefault="00CE7F43">
            <w:pPr>
              <w:jc w:val="center"/>
            </w:pPr>
            <w:r>
              <w:t>Béton armé</w:t>
            </w:r>
          </w:p>
          <w:p w14:paraId="3AD624C1" w14:textId="77777777" w:rsidR="00DF410E" w:rsidRDefault="00DF410E"/>
        </w:tc>
        <w:tc>
          <w:tcPr>
            <w:tcW w:w="1500" w:type="dxa"/>
            <w:noWrap/>
          </w:tcPr>
          <w:p w14:paraId="444CD2C2" w14:textId="77777777" w:rsidR="00DF410E" w:rsidRDefault="00CE7F43">
            <w:pPr>
              <w:jc w:val="center"/>
            </w:pPr>
            <w:r>
              <w:rPr>
                <w:rStyle w:val="optioncarChar"/>
              </w:rPr>
              <w:t>E0 / EI / EE1 / EE2 / EE3 / EE4 / ES1 / ES2 / ES3 / ES4 / EA1+*** / EA2+***/ EA3+***</w:t>
            </w:r>
          </w:p>
        </w:tc>
        <w:tc>
          <w:tcPr>
            <w:tcW w:w="1500" w:type="dxa"/>
            <w:noWrap/>
          </w:tcPr>
          <w:p w14:paraId="523E43BA" w14:textId="77777777" w:rsidR="00DF410E" w:rsidRDefault="00CE7F43">
            <w:pPr>
              <w:jc w:val="center"/>
            </w:pPr>
            <w:r>
              <w:t>au choix de l'entrepreneur :</w:t>
            </w:r>
          </w:p>
          <w:p w14:paraId="39B91BF3" w14:textId="77777777" w:rsidR="00DF410E" w:rsidRDefault="00CE7F43">
            <w:pPr>
              <w:jc w:val="center"/>
            </w:pPr>
            <w:r>
              <w:rPr>
                <w:rStyle w:val="optioncarChar"/>
              </w:rPr>
              <w:t xml:space="preserve">S3 / S4 / S5 </w:t>
            </w:r>
          </w:p>
          <w:p w14:paraId="0D7209E7" w14:textId="77777777" w:rsidR="00DF410E" w:rsidRDefault="00CE7F43">
            <w:pPr>
              <w:jc w:val="center"/>
            </w:pPr>
            <w:r>
              <w:rPr>
                <w:rStyle w:val="optioncarChar"/>
              </w:rPr>
              <w:t>F3 / F4 / F5 / F6</w:t>
            </w:r>
            <w:r>
              <w:br/>
            </w:r>
          </w:p>
        </w:tc>
        <w:tc>
          <w:tcPr>
            <w:tcW w:w="1500" w:type="dxa"/>
            <w:noWrap/>
          </w:tcPr>
          <w:p w14:paraId="6AF2A77A" w14:textId="77777777" w:rsidR="00DF410E" w:rsidRDefault="00CE7F43">
            <w:pPr>
              <w:jc w:val="center"/>
            </w:pPr>
            <w:r>
              <w:t>au choix de l'entrepreneur :</w:t>
            </w:r>
          </w:p>
          <w:p w14:paraId="7A0FD4E0" w14:textId="77777777" w:rsidR="00DF410E" w:rsidRDefault="00CE7F43">
            <w:pPr>
              <w:jc w:val="center"/>
            </w:pPr>
            <w:r>
              <w:rPr>
                <w:rStyle w:val="optioncarChar"/>
              </w:rPr>
              <w:t>6 / 8 / 10 / 11 / 12 / 14 / 16 / 20 / 22 / 32 </w:t>
            </w:r>
            <w:r>
              <w:t>mm</w:t>
            </w:r>
          </w:p>
        </w:tc>
        <w:tc>
          <w:tcPr>
            <w:tcW w:w="1500" w:type="dxa"/>
            <w:noWrap/>
          </w:tcPr>
          <w:p w14:paraId="4C668265" w14:textId="77777777" w:rsidR="00DF410E" w:rsidRDefault="00CE7F43">
            <w:pPr>
              <w:jc w:val="center"/>
            </w:pPr>
            <w:r>
              <w:rPr>
                <w:rStyle w:val="optioncarChar"/>
              </w:rPr>
              <w:t>***</w:t>
            </w:r>
          </w:p>
        </w:tc>
      </w:tr>
    </w:tbl>
    <w:p w14:paraId="45D33DF0" w14:textId="77777777" w:rsidR="00DF410E" w:rsidRDefault="00DF410E"/>
    <w:p w14:paraId="53FBFD79"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537EA45" w14:textId="77777777" w:rsidR="00DF410E" w:rsidRDefault="00CE7F43">
      <w:pPr>
        <w:pStyle w:val="Author-eListParagraph"/>
        <w:numPr>
          <w:ilvl w:val="0"/>
          <w:numId w:val="427"/>
        </w:numPr>
      </w:pPr>
      <w:r>
        <w:t xml:space="preserve">Classe de viscosité apparente : </w:t>
      </w:r>
      <w:r>
        <w:rPr>
          <w:rStyle w:val="optioncarChar"/>
        </w:rPr>
        <w:t>VS1 / VS2</w:t>
      </w:r>
      <w:r>
        <w:t xml:space="preserve"> (selon la [NBN EN 12350-8] )</w:t>
      </w:r>
    </w:p>
    <w:p w14:paraId="4D230E57" w14:textId="77777777" w:rsidR="00DF410E" w:rsidRDefault="00CE7F43">
      <w:pPr>
        <w:pStyle w:val="Author-eListParagraph"/>
        <w:numPr>
          <w:ilvl w:val="0"/>
          <w:numId w:val="427"/>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4E9FF10" w14:textId="77777777" w:rsidR="00DF410E" w:rsidRDefault="00CE7F43">
      <w:pPr>
        <w:pStyle w:val="Author-eListParagraph"/>
        <w:numPr>
          <w:ilvl w:val="0"/>
          <w:numId w:val="42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FEAF263"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6361972E" w14:textId="77777777" w:rsidR="00DF410E" w:rsidRDefault="00CE7F43">
      <w:pPr>
        <w:pStyle w:val="Author-eListParagraph"/>
        <w:numPr>
          <w:ilvl w:val="0"/>
          <w:numId w:val="428"/>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31F1AA09" w14:textId="77777777" w:rsidR="00DF410E" w:rsidRDefault="00CE7F43">
      <w:pPr>
        <w:pStyle w:val="Author-eListParagraph"/>
        <w:numPr>
          <w:ilvl w:val="0"/>
          <w:numId w:val="428"/>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F14EB72" w14:textId="77777777" w:rsidR="00DF410E" w:rsidRDefault="00CE7F43">
      <w:pPr>
        <w:pStyle w:val="Author-eListParagraph"/>
        <w:numPr>
          <w:ilvl w:val="0"/>
          <w:numId w:val="428"/>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w:t>
      </w:r>
      <w:r>
        <w:rPr>
          <w:rStyle w:val="optioncarChar"/>
        </w:rPr>
        <w:t>(par défaut)</w:t>
      </w:r>
      <w:r>
        <w:t xml:space="preserve"> mm.</w:t>
      </w:r>
    </w:p>
    <w:p w14:paraId="00993588" w14:textId="77777777" w:rsidR="00DF410E" w:rsidRDefault="00CE7F43">
      <w:pPr>
        <w:pStyle w:val="pheading"/>
      </w:pPr>
      <w:r>
        <w:t>- Prescriptions complémentaires</w:t>
      </w:r>
    </w:p>
    <w:p w14:paraId="10A74FF7" w14:textId="77777777" w:rsidR="00DF410E" w:rsidRDefault="00CE7F43">
      <w:r>
        <w:t xml:space="preserve">Résistance au feu: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 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rPr>
          <w:rStyle w:val="optioncarChar"/>
        </w:rPr>
        <w:t>.</w:t>
      </w:r>
    </w:p>
    <w:p w14:paraId="7DB37AFD" w14:textId="77777777" w:rsidR="00DF410E" w:rsidRDefault="00CE7F43">
      <w:pPr>
        <w:pStyle w:val="pheading"/>
      </w:pPr>
      <w:r>
        <w:t>MESURAGE</w:t>
      </w:r>
    </w:p>
    <w:p w14:paraId="69823375" w14:textId="77777777" w:rsidR="00DF410E" w:rsidRDefault="00CE7F43">
      <w:r>
        <w:t>Conformément à la nature du plancher, aux indications spécifiques dans le cahier spécial des charges et/ou le métré récapitulatif, le mesurage doit être conçu comme suit :</w:t>
      </w:r>
    </w:p>
    <w:p w14:paraId="42FCF52F" w14:textId="77777777" w:rsidR="00DF410E" w:rsidRDefault="00CE7F43">
      <w:pPr>
        <w:pStyle w:val="pheading"/>
      </w:pPr>
      <w:r>
        <w:t>- unité de mesure:</w:t>
      </w:r>
    </w:p>
    <w:p w14:paraId="7D56D234" w14:textId="77777777" w:rsidR="00DF410E" w:rsidRDefault="00CE7F43">
      <w:r>
        <w:rPr>
          <w:b/>
        </w:rPr>
        <w:t>Choix opéré</w:t>
      </w:r>
      <w:r>
        <w:t xml:space="preserve"> : </w:t>
      </w:r>
      <w:r>
        <w:rPr>
          <w:rStyle w:val="optioncarChar"/>
        </w:rPr>
        <w:t>OPTION 1 (par défaut) / OPTION 1bis / OPTION 2 / OPTION 3</w:t>
      </w:r>
    </w:p>
    <w:p w14:paraId="06CB15B2" w14:textId="77777777" w:rsidR="00DF410E" w:rsidRDefault="00CE7F43">
      <w:r>
        <w:rPr>
          <w:b/>
        </w:rPr>
        <w:t>***OPTION 1:(par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380C0A6F" w14:textId="77777777" w:rsidR="00DF410E" w:rsidRDefault="00CE7F43">
      <w:r>
        <w:t>***</w:t>
      </w:r>
      <w:r>
        <w:rPr>
          <w:b/>
        </w:rPr>
        <w:t>OPTION bis :</w:t>
      </w:r>
      <w:r>
        <w:t>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40F903B7" w14:textId="77777777" w:rsidR="00DF410E" w:rsidRDefault="00CE7F43">
      <w:r>
        <w:t>***</w:t>
      </w:r>
      <w:r>
        <w:rPr>
          <w:b/>
        </w:rPr>
        <w:t>OPTION 2:</w:t>
      </w:r>
    </w:p>
    <w:p w14:paraId="2C105095" w14:textId="77777777" w:rsidR="00DF410E" w:rsidRDefault="00CE7F43">
      <w:pPr>
        <w:pStyle w:val="Author-eListParagraph"/>
        <w:numPr>
          <w:ilvl w:val="0"/>
          <w:numId w:val="429"/>
        </w:numPr>
      </w:pPr>
      <w:r>
        <w:t>m³ pour le béton</w:t>
      </w:r>
    </w:p>
    <w:p w14:paraId="08F03A73" w14:textId="77777777" w:rsidR="00DF410E" w:rsidRDefault="00CE7F43">
      <w:pPr>
        <w:pStyle w:val="Author-eListParagraph"/>
        <w:numPr>
          <w:ilvl w:val="0"/>
          <w:numId w:val="429"/>
        </w:numPr>
      </w:pPr>
      <w:r>
        <w:t>kg pour les armatures</w:t>
      </w:r>
    </w:p>
    <w:p w14:paraId="02FF0AD9" w14:textId="77777777" w:rsidR="00DF410E" w:rsidRDefault="00CE7F43">
      <w:pPr>
        <w:pStyle w:val="Author-eListParagraph"/>
        <w:numPr>
          <w:ilvl w:val="0"/>
          <w:numId w:val="429"/>
        </w:numPr>
      </w:pPr>
      <w:r>
        <w:t>Tous les autres éléments, travaux et fournitures doivent être compris dans les prix unitaires respectifs pour les mesurages précités.</w:t>
      </w:r>
    </w:p>
    <w:p w14:paraId="0D4FDBBC" w14:textId="77777777" w:rsidR="00DF410E" w:rsidRDefault="00CE7F43">
      <w:r>
        <w:t>***</w:t>
      </w:r>
      <w:r>
        <w:rPr>
          <w:b/>
        </w:rPr>
        <w:t>OPTION 3:</w:t>
      </w:r>
    </w:p>
    <w:p w14:paraId="4BAD77EA" w14:textId="77777777" w:rsidR="00DF410E" w:rsidRDefault="00CE7F43">
      <w:pPr>
        <w:pStyle w:val="Author-eListParagraph"/>
        <w:numPr>
          <w:ilvl w:val="0"/>
          <w:numId w:val="430"/>
        </w:numPr>
      </w:pPr>
      <w:r>
        <w:t>m³ pour le béton de remplissage</w:t>
      </w:r>
    </w:p>
    <w:p w14:paraId="58DE3AD1" w14:textId="77777777" w:rsidR="00DF410E" w:rsidRDefault="00CE7F43">
      <w:pPr>
        <w:pStyle w:val="Author-eListParagraph"/>
        <w:numPr>
          <w:ilvl w:val="0"/>
          <w:numId w:val="430"/>
        </w:numPr>
      </w:pPr>
      <w:r>
        <w:t>m³ pour la couche de compression béton (en mentionnant l'épaisseur...)</w:t>
      </w:r>
    </w:p>
    <w:p w14:paraId="60834747" w14:textId="77777777" w:rsidR="00DF410E" w:rsidRDefault="00CE7F43">
      <w:pPr>
        <w:pStyle w:val="Author-eListParagraph"/>
        <w:numPr>
          <w:ilvl w:val="0"/>
          <w:numId w:val="430"/>
        </w:numPr>
      </w:pPr>
      <w:r>
        <w:t>kg pour les armatures supplémentaires</w:t>
      </w:r>
    </w:p>
    <w:p w14:paraId="27526974" w14:textId="77777777" w:rsidR="00DF410E" w:rsidRDefault="00CE7F43">
      <w:pPr>
        <w:pStyle w:val="Author-eListParagraph"/>
        <w:numPr>
          <w:ilvl w:val="0"/>
          <w:numId w:val="430"/>
        </w:numPr>
      </w:pPr>
      <w:r>
        <w:t>Pièces divergentes et pièces spéciales : à la pièce (selon les dimensions identiques ou indications standards).</w:t>
      </w:r>
    </w:p>
    <w:p w14:paraId="1FA447E2"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7C665A2D" w14:textId="77777777" w:rsidR="00DF410E" w:rsidRDefault="00CE7F43">
      <w:pPr>
        <w:pStyle w:val="pheading"/>
      </w:pPr>
      <w:r>
        <w:t>- code de mesurage:</w:t>
      </w:r>
    </w:p>
    <w:p w14:paraId="7D9E6F93"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422B44BA" w14:textId="77777777" w:rsidR="00DF410E" w:rsidRDefault="00CE7F43">
      <w:pPr>
        <w:pStyle w:val="pheading"/>
      </w:pPr>
      <w:r>
        <w:t>- nature du marché:</w:t>
      </w:r>
    </w:p>
    <w:p w14:paraId="10F863D2" w14:textId="77777777" w:rsidR="00DF410E" w:rsidRDefault="00CE7F43">
      <w:r>
        <w:rPr>
          <w:rStyle w:val="optioncarChar"/>
        </w:rPr>
        <w:t xml:space="preserve">QF </w:t>
      </w:r>
      <w:r>
        <w:t>(par défaut)</w:t>
      </w:r>
      <w:r>
        <w:rPr>
          <w:rStyle w:val="optioncarChar"/>
        </w:rPr>
        <w:t xml:space="preserve"> / QP / PM</w:t>
      </w:r>
    </w:p>
    <w:p w14:paraId="241A375F" w14:textId="77777777" w:rsidR="00DF410E" w:rsidRDefault="00CE7F43">
      <w:pPr>
        <w:pStyle w:val="Author-eSectionHeading6"/>
      </w:pPr>
      <w:bookmarkStart w:id="718" w:name="_Toc178837883"/>
      <w:r>
        <w:t>22.15.1c Planchers-champignons en béton armé coulé en place CCTB 01.12</w:t>
      </w:r>
      <w:bookmarkEnd w:id="718"/>
    </w:p>
    <w:p w14:paraId="1CCB0750" w14:textId="77777777" w:rsidR="00DF410E" w:rsidRDefault="00CE7F43">
      <w:pPr>
        <w:pStyle w:val="pheading"/>
      </w:pPr>
      <w:r>
        <w:t>MATÉRIAUX</w:t>
      </w:r>
    </w:p>
    <w:p w14:paraId="33E44CB3" w14:textId="77777777" w:rsidR="00DF410E" w:rsidRDefault="00CE7F43">
      <w:pPr>
        <w:pStyle w:val="pheading"/>
      </w:pPr>
      <w:r>
        <w:t>- Caractéristiques générales</w:t>
      </w:r>
    </w:p>
    <w:p w14:paraId="585F3130" w14:textId="77777777" w:rsidR="00DF410E" w:rsidRDefault="00DF410E"/>
    <w:p w14:paraId="56EEE730" w14:textId="77777777" w:rsidR="00DF410E" w:rsidRDefault="00CE7F43">
      <w:pPr>
        <w:pStyle w:val="Author-eListParagraph"/>
        <w:numPr>
          <w:ilvl w:val="0"/>
          <w:numId w:val="431"/>
        </w:numPr>
      </w:pPr>
      <w:r>
        <w:t xml:space="preserve">Qualité du béton selon la [NBN EN 206:2013+A2] et la [NBN B 15-001] :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0BF53FEE" w14:textId="77777777">
        <w:tc>
          <w:tcPr>
            <w:tcW w:w="1500" w:type="dxa"/>
            <w:noWrap/>
          </w:tcPr>
          <w:p w14:paraId="2627F3BB" w14:textId="77777777" w:rsidR="00DF410E" w:rsidRDefault="00CE7F43">
            <w:pPr>
              <w:jc w:val="center"/>
            </w:pPr>
            <w:r>
              <w:rPr>
                <w:b/>
              </w:rPr>
              <w:t>A</w:t>
            </w:r>
          </w:p>
        </w:tc>
        <w:tc>
          <w:tcPr>
            <w:tcW w:w="1500" w:type="dxa"/>
            <w:noWrap/>
          </w:tcPr>
          <w:p w14:paraId="65BE17DC" w14:textId="77777777" w:rsidR="00DF410E" w:rsidRDefault="00CE7F43">
            <w:pPr>
              <w:jc w:val="center"/>
            </w:pPr>
            <w:r>
              <w:rPr>
                <w:b/>
              </w:rPr>
              <w:t>B1</w:t>
            </w:r>
          </w:p>
        </w:tc>
        <w:tc>
          <w:tcPr>
            <w:tcW w:w="1500" w:type="dxa"/>
            <w:noWrap/>
          </w:tcPr>
          <w:p w14:paraId="48A64556" w14:textId="77777777" w:rsidR="00DF410E" w:rsidRDefault="00CE7F43">
            <w:pPr>
              <w:jc w:val="center"/>
            </w:pPr>
            <w:r>
              <w:rPr>
                <w:b/>
              </w:rPr>
              <w:t>B2</w:t>
            </w:r>
          </w:p>
        </w:tc>
        <w:tc>
          <w:tcPr>
            <w:tcW w:w="1500" w:type="dxa"/>
            <w:noWrap/>
          </w:tcPr>
          <w:p w14:paraId="2DBEDC18" w14:textId="77777777" w:rsidR="00DF410E" w:rsidRDefault="00CE7F43">
            <w:pPr>
              <w:jc w:val="center"/>
            </w:pPr>
            <w:r>
              <w:rPr>
                <w:b/>
              </w:rPr>
              <w:t>C</w:t>
            </w:r>
          </w:p>
        </w:tc>
        <w:tc>
          <w:tcPr>
            <w:tcW w:w="1500" w:type="dxa"/>
            <w:noWrap/>
          </w:tcPr>
          <w:p w14:paraId="0E0E551F" w14:textId="77777777" w:rsidR="00DF410E" w:rsidRDefault="00CE7F43">
            <w:pPr>
              <w:jc w:val="center"/>
            </w:pPr>
            <w:r>
              <w:rPr>
                <w:b/>
              </w:rPr>
              <w:t>D</w:t>
            </w:r>
          </w:p>
        </w:tc>
        <w:tc>
          <w:tcPr>
            <w:tcW w:w="1500" w:type="dxa"/>
            <w:noWrap/>
          </w:tcPr>
          <w:p w14:paraId="56E435EA" w14:textId="77777777" w:rsidR="00DF410E" w:rsidRDefault="00CE7F43">
            <w:pPr>
              <w:jc w:val="center"/>
            </w:pPr>
            <w:r>
              <w:rPr>
                <w:b/>
              </w:rPr>
              <w:t>E</w:t>
            </w:r>
          </w:p>
        </w:tc>
      </w:tr>
      <w:tr w:rsidR="00DF410E" w14:paraId="3F7DC499" w14:textId="77777777">
        <w:tc>
          <w:tcPr>
            <w:tcW w:w="1500" w:type="dxa"/>
            <w:noWrap/>
          </w:tcPr>
          <w:p w14:paraId="5AA252D8" w14:textId="77777777" w:rsidR="00DF410E" w:rsidRDefault="00CE7F43">
            <w:pPr>
              <w:jc w:val="center"/>
            </w:pPr>
            <w:r>
              <w:rPr>
                <w:b/>
              </w:rPr>
              <w:t>Classe de résistance</w:t>
            </w:r>
          </w:p>
        </w:tc>
        <w:tc>
          <w:tcPr>
            <w:tcW w:w="1500" w:type="dxa"/>
            <w:noWrap/>
          </w:tcPr>
          <w:p w14:paraId="205109F4" w14:textId="77777777" w:rsidR="00DF410E" w:rsidRDefault="00CE7F43">
            <w:pPr>
              <w:jc w:val="center"/>
            </w:pPr>
            <w:r>
              <w:rPr>
                <w:b/>
              </w:rPr>
              <w:t>Domaine d’application</w:t>
            </w:r>
          </w:p>
        </w:tc>
        <w:tc>
          <w:tcPr>
            <w:tcW w:w="1500" w:type="dxa"/>
            <w:noWrap/>
          </w:tcPr>
          <w:p w14:paraId="5FF7952E" w14:textId="77777777" w:rsidR="00DF410E" w:rsidRDefault="00CE7F43">
            <w:pPr>
              <w:jc w:val="center"/>
            </w:pPr>
            <w:r>
              <w:rPr>
                <w:b/>
              </w:rPr>
              <w:t>Classe d'environnement</w:t>
            </w:r>
          </w:p>
        </w:tc>
        <w:tc>
          <w:tcPr>
            <w:tcW w:w="1500" w:type="dxa"/>
            <w:noWrap/>
          </w:tcPr>
          <w:p w14:paraId="3822E0C0" w14:textId="77777777" w:rsidR="00DF410E" w:rsidRDefault="00CE7F43">
            <w:pPr>
              <w:jc w:val="center"/>
            </w:pPr>
            <w:r>
              <w:rPr>
                <w:b/>
              </w:rPr>
              <w:t>Classe de consistance</w:t>
            </w:r>
          </w:p>
        </w:tc>
        <w:tc>
          <w:tcPr>
            <w:tcW w:w="1500" w:type="dxa"/>
            <w:noWrap/>
          </w:tcPr>
          <w:p w14:paraId="2D14F3D4" w14:textId="77777777" w:rsidR="00DF410E" w:rsidRDefault="00CE7F43">
            <w:pPr>
              <w:jc w:val="center"/>
            </w:pPr>
            <w:r>
              <w:rPr>
                <w:b/>
              </w:rPr>
              <w:t>Granulométrie maximale</w:t>
            </w:r>
          </w:p>
        </w:tc>
        <w:tc>
          <w:tcPr>
            <w:tcW w:w="1500" w:type="dxa"/>
            <w:noWrap/>
          </w:tcPr>
          <w:p w14:paraId="17DAC9D6" w14:textId="77777777" w:rsidR="00DF410E" w:rsidRDefault="00CE7F43">
            <w:r>
              <w:rPr>
                <w:b/>
              </w:rPr>
              <w:t>Données complémentaires</w:t>
            </w:r>
          </w:p>
        </w:tc>
      </w:tr>
      <w:tr w:rsidR="00DF410E" w14:paraId="45DF850A" w14:textId="77777777">
        <w:tc>
          <w:tcPr>
            <w:tcW w:w="1500" w:type="dxa"/>
            <w:noWrap/>
          </w:tcPr>
          <w:p w14:paraId="56EC01B7" w14:textId="77777777" w:rsidR="00DF410E" w:rsidRDefault="00CE7F43">
            <w:pPr>
              <w:jc w:val="center"/>
            </w:pPr>
            <w:r>
              <w:rPr>
                <w:rStyle w:val="optioncarChar"/>
              </w:rPr>
              <w:t>C25/30 / C30/37 / C35/45 / C45/55 / C50/60 / C55/67 / C60/75 / C70/85 / C80/95 / C90/105</w:t>
            </w:r>
          </w:p>
        </w:tc>
        <w:tc>
          <w:tcPr>
            <w:tcW w:w="1500" w:type="dxa"/>
            <w:noWrap/>
          </w:tcPr>
          <w:p w14:paraId="370AA50B" w14:textId="77777777" w:rsidR="00DF410E" w:rsidRDefault="00CE7F43">
            <w:pPr>
              <w:jc w:val="center"/>
            </w:pPr>
            <w:r>
              <w:t>Béton armé</w:t>
            </w:r>
          </w:p>
          <w:p w14:paraId="2E6A6F7D" w14:textId="77777777" w:rsidR="00DF410E" w:rsidRDefault="00DF410E"/>
        </w:tc>
        <w:tc>
          <w:tcPr>
            <w:tcW w:w="1500" w:type="dxa"/>
            <w:noWrap/>
          </w:tcPr>
          <w:p w14:paraId="4443D5BE" w14:textId="77777777" w:rsidR="00DF410E" w:rsidRDefault="00CE7F43">
            <w:pPr>
              <w:jc w:val="center"/>
            </w:pPr>
            <w:r>
              <w:rPr>
                <w:rStyle w:val="optioncarChar"/>
              </w:rPr>
              <w:t>E0 / EI / EE1 / EE2 / EE3 / EE4 / ES1 / ES2 / ES3 / ES4 / EA1+*** / EA2+***/ EA3+***</w:t>
            </w:r>
          </w:p>
        </w:tc>
        <w:tc>
          <w:tcPr>
            <w:tcW w:w="1500" w:type="dxa"/>
            <w:noWrap/>
          </w:tcPr>
          <w:p w14:paraId="796BB0DD" w14:textId="77777777" w:rsidR="00DF410E" w:rsidRDefault="00CE7F43">
            <w:pPr>
              <w:jc w:val="center"/>
            </w:pPr>
            <w:r>
              <w:t>au choix de l'entrepreneur :</w:t>
            </w:r>
          </w:p>
          <w:p w14:paraId="336CFC22" w14:textId="77777777" w:rsidR="00DF410E" w:rsidRDefault="00CE7F43">
            <w:pPr>
              <w:jc w:val="center"/>
            </w:pPr>
            <w:r>
              <w:rPr>
                <w:rStyle w:val="optioncarChar"/>
              </w:rPr>
              <w:t>S3 / S4 / S5</w:t>
            </w:r>
          </w:p>
          <w:p w14:paraId="771162EA" w14:textId="77777777" w:rsidR="00DF410E" w:rsidRDefault="00CE7F43">
            <w:pPr>
              <w:jc w:val="center"/>
            </w:pPr>
            <w:r>
              <w:rPr>
                <w:rStyle w:val="optioncarChar"/>
              </w:rPr>
              <w:t>F31 / F4 / F5 / F6</w:t>
            </w:r>
            <w:r>
              <w:br/>
            </w:r>
          </w:p>
        </w:tc>
        <w:tc>
          <w:tcPr>
            <w:tcW w:w="1500" w:type="dxa"/>
            <w:noWrap/>
          </w:tcPr>
          <w:p w14:paraId="710C9E8B" w14:textId="77777777" w:rsidR="00DF410E" w:rsidRDefault="00CE7F43">
            <w:pPr>
              <w:jc w:val="center"/>
            </w:pPr>
            <w:r>
              <w:t>au choix de l'entrepreneur :</w:t>
            </w:r>
          </w:p>
          <w:p w14:paraId="0C2B3E4C" w14:textId="77777777" w:rsidR="00DF410E" w:rsidRDefault="00CE7F43">
            <w:pPr>
              <w:jc w:val="center"/>
            </w:pPr>
            <w:r>
              <w:rPr>
                <w:rStyle w:val="optioncarChar"/>
              </w:rPr>
              <w:t>6 / 8 / 10 / 11 / 12 / 14 / 16 / 20 / 22 / 32 </w:t>
            </w:r>
            <w:r>
              <w:t>mm</w:t>
            </w:r>
          </w:p>
        </w:tc>
        <w:tc>
          <w:tcPr>
            <w:tcW w:w="1500" w:type="dxa"/>
            <w:noWrap/>
          </w:tcPr>
          <w:p w14:paraId="7201B090" w14:textId="77777777" w:rsidR="00DF410E" w:rsidRDefault="00CE7F43">
            <w:pPr>
              <w:jc w:val="center"/>
            </w:pPr>
            <w:r>
              <w:rPr>
                <w:rStyle w:val="optioncarChar"/>
              </w:rPr>
              <w:t>***</w:t>
            </w:r>
          </w:p>
        </w:tc>
      </w:tr>
    </w:tbl>
    <w:p w14:paraId="2AFFACDF" w14:textId="77777777" w:rsidR="00DF410E" w:rsidRDefault="00DF410E"/>
    <w:p w14:paraId="2D97B17E"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2F80F761" w14:textId="77777777" w:rsidR="00DF410E" w:rsidRDefault="00CE7F43">
      <w:pPr>
        <w:pStyle w:val="Author-eListParagraph"/>
        <w:numPr>
          <w:ilvl w:val="0"/>
          <w:numId w:val="432"/>
        </w:numPr>
      </w:pPr>
      <w:r>
        <w:t xml:space="preserve">Classe de viscosité apparente : </w:t>
      </w:r>
      <w:r>
        <w:rPr>
          <w:rStyle w:val="optioncarChar"/>
        </w:rPr>
        <w:t>VS1 / VS2</w:t>
      </w:r>
      <w:r>
        <w:t xml:space="preserve"> (selon la [NBN EN 12350-8] )</w:t>
      </w:r>
    </w:p>
    <w:p w14:paraId="019F1E75" w14:textId="77777777" w:rsidR="00DF410E" w:rsidRDefault="00CE7F43">
      <w:pPr>
        <w:pStyle w:val="Author-eListParagraph"/>
        <w:numPr>
          <w:ilvl w:val="0"/>
          <w:numId w:val="43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060164A" w14:textId="77777777" w:rsidR="00DF410E" w:rsidRDefault="00CE7F43">
      <w:pPr>
        <w:pStyle w:val="Author-eListParagraph"/>
        <w:numPr>
          <w:ilvl w:val="0"/>
          <w:numId w:val="43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1440009"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78C20E77" w14:textId="77777777" w:rsidR="00DF410E" w:rsidRDefault="00CE7F43">
      <w:pPr>
        <w:pStyle w:val="Author-eListParagraph"/>
        <w:numPr>
          <w:ilvl w:val="0"/>
          <w:numId w:val="43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7B1EA15" w14:textId="77777777" w:rsidR="00DF410E" w:rsidRDefault="00CE7F43">
      <w:pPr>
        <w:pStyle w:val="Author-eListParagraph"/>
        <w:numPr>
          <w:ilvl w:val="0"/>
          <w:numId w:val="43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0F6E1567" w14:textId="77777777" w:rsidR="00DF410E" w:rsidRDefault="00CE7F43">
      <w:pPr>
        <w:pStyle w:val="Author-eListParagraph"/>
        <w:numPr>
          <w:ilvl w:val="0"/>
          <w:numId w:val="433"/>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 150 x 150 x 6 x 6 </w:t>
      </w:r>
      <w:r>
        <w:t>(par défaut) mm.</w:t>
      </w:r>
    </w:p>
    <w:p w14:paraId="0D37C7DE" w14:textId="77777777" w:rsidR="00DF410E" w:rsidRDefault="00CE7F43">
      <w:pPr>
        <w:pStyle w:val="pheading"/>
      </w:pPr>
      <w:r>
        <w:t>- Prescriptions complémentaires</w:t>
      </w:r>
    </w:p>
    <w:p w14:paraId="2FFB5303" w14:textId="77777777" w:rsidR="00DF410E" w:rsidRDefault="00CE7F43">
      <w:r>
        <w:t xml:space="preserve">Résistance au feu: pour les éléments porteurs et structuraux sans fonction séparant </w:t>
      </w:r>
      <w:r>
        <w:rPr>
          <w:rStyle w:val="optioncarChar"/>
        </w:rPr>
        <w:t>R15 / R30</w:t>
      </w:r>
      <w:r>
        <w:t> (par défaut)</w:t>
      </w:r>
      <w:r>
        <w:rPr>
          <w:rStyle w:val="optioncarChar"/>
        </w:rPr>
        <w:t xml:space="preserve"> / R60 / R120 / R *** / ***</w:t>
      </w:r>
      <w:r>
        <w:t xml:space="preserve"> et pour les éléments porteurs et structuraux avec fonction séparant </w:t>
      </w:r>
      <w:r>
        <w:rPr>
          <w:rStyle w:val="optioncarChar"/>
        </w:rPr>
        <w:t>REI 30</w:t>
      </w:r>
      <w:r>
        <w:t xml:space="preserve"> (par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57AC58E1" w14:textId="77777777" w:rsidR="00DF410E" w:rsidRDefault="00CE7F43">
      <w:pPr>
        <w:pStyle w:val="pheading"/>
      </w:pPr>
      <w:r>
        <w:t>MESURAGE</w:t>
      </w:r>
    </w:p>
    <w:p w14:paraId="09DA91D3" w14:textId="77777777" w:rsidR="00DF410E" w:rsidRDefault="00CE7F43">
      <w:pPr>
        <w:pStyle w:val="pheading"/>
      </w:pPr>
      <w:r>
        <w:t>- unité de mesure:</w:t>
      </w:r>
    </w:p>
    <w:p w14:paraId="2118F637" w14:textId="77777777" w:rsidR="00DF410E" w:rsidRDefault="00CE7F43">
      <w:r>
        <w:rPr>
          <w:b/>
        </w:rPr>
        <w:t>Choix opéré</w:t>
      </w:r>
      <w:r>
        <w:t xml:space="preserve"> : </w:t>
      </w:r>
      <w:r>
        <w:rPr>
          <w:rStyle w:val="optioncarChar"/>
        </w:rPr>
        <w:t xml:space="preserve">OPTION 1 </w:t>
      </w:r>
      <w:r>
        <w:t>(par défaut)</w:t>
      </w:r>
      <w:r>
        <w:rPr>
          <w:rStyle w:val="optioncarChar"/>
        </w:rPr>
        <w:t xml:space="preserve"> / OPTION 1bis / OPTION 2 / OPTION 3</w:t>
      </w:r>
    </w:p>
    <w:p w14:paraId="55AA560D" w14:textId="77777777" w:rsidR="00DF410E" w:rsidRDefault="00CE7F43">
      <w:r>
        <w:rPr>
          <w:b/>
        </w:rPr>
        <w:t xml:space="preserve">OPTION 1: (par défaut) m² </w:t>
      </w:r>
      <w:r>
        <w:t>(pour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02B401CD" w14:textId="77777777" w:rsidR="00DF410E" w:rsidRDefault="00CE7F43">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4EB5B71D" w14:textId="77777777" w:rsidR="00DF410E" w:rsidRDefault="00CE7F43">
      <w:r>
        <w:rPr>
          <w:b/>
        </w:rPr>
        <w:t>OPTION 2:</w:t>
      </w:r>
    </w:p>
    <w:p w14:paraId="2C3EC2BC" w14:textId="77777777" w:rsidR="00DF410E" w:rsidRDefault="00CE7F43">
      <w:pPr>
        <w:pStyle w:val="Author-eListParagraph"/>
        <w:numPr>
          <w:ilvl w:val="0"/>
          <w:numId w:val="434"/>
        </w:numPr>
      </w:pPr>
      <w:r>
        <w:t>m³ pour le béton</w:t>
      </w:r>
    </w:p>
    <w:p w14:paraId="7EC15FB0" w14:textId="77777777" w:rsidR="00DF410E" w:rsidRDefault="00CE7F43">
      <w:pPr>
        <w:pStyle w:val="Author-eListParagraph"/>
        <w:numPr>
          <w:ilvl w:val="0"/>
          <w:numId w:val="434"/>
        </w:numPr>
      </w:pPr>
      <w:r>
        <w:t>kg pour les armatures</w:t>
      </w:r>
    </w:p>
    <w:p w14:paraId="5B80E862" w14:textId="77777777" w:rsidR="00DF410E" w:rsidRDefault="00CE7F43">
      <w:pPr>
        <w:pStyle w:val="Author-eListParagraph"/>
        <w:numPr>
          <w:ilvl w:val="0"/>
          <w:numId w:val="434"/>
        </w:numPr>
      </w:pPr>
      <w:r>
        <w:t>Tous les autres éléments, travaux et fournitures doivent être compris dans les prix unitaires respectifs pour les mesurages précités.</w:t>
      </w:r>
    </w:p>
    <w:p w14:paraId="7B5FE4C5" w14:textId="77777777" w:rsidR="00DF410E" w:rsidRDefault="00CE7F43">
      <w:r>
        <w:rPr>
          <w:b/>
        </w:rPr>
        <w:t xml:space="preserve">OPTION 3: </w:t>
      </w:r>
    </w:p>
    <w:p w14:paraId="28D84C5C" w14:textId="77777777" w:rsidR="00DF410E" w:rsidRDefault="00CE7F43">
      <w:pPr>
        <w:pStyle w:val="Author-eListParagraph"/>
        <w:numPr>
          <w:ilvl w:val="0"/>
          <w:numId w:val="435"/>
        </w:numPr>
      </w:pPr>
      <w:r>
        <w:t>m³ pour le béton de remplissage</w:t>
      </w:r>
    </w:p>
    <w:p w14:paraId="0CF62364" w14:textId="77777777" w:rsidR="00DF410E" w:rsidRDefault="00CE7F43">
      <w:pPr>
        <w:pStyle w:val="Author-eListParagraph"/>
        <w:numPr>
          <w:ilvl w:val="0"/>
          <w:numId w:val="435"/>
        </w:numPr>
      </w:pPr>
      <w:r>
        <w:t>m³ pour la couche de compression béton (en mentionnant l'épaisseur...)</w:t>
      </w:r>
    </w:p>
    <w:p w14:paraId="59B86F1F" w14:textId="77777777" w:rsidR="00DF410E" w:rsidRDefault="00CE7F43">
      <w:pPr>
        <w:pStyle w:val="Author-eListParagraph"/>
        <w:numPr>
          <w:ilvl w:val="0"/>
          <w:numId w:val="435"/>
        </w:numPr>
      </w:pPr>
      <w:r>
        <w:t>kg pour les armatures supplémentaires</w:t>
      </w:r>
    </w:p>
    <w:p w14:paraId="138BD028" w14:textId="77777777" w:rsidR="00DF410E" w:rsidRDefault="00CE7F43">
      <w:pPr>
        <w:pStyle w:val="Author-eListParagraph"/>
        <w:numPr>
          <w:ilvl w:val="0"/>
          <w:numId w:val="435"/>
        </w:numPr>
      </w:pPr>
      <w:r>
        <w:t>Pièces divergentes et pièces spéciales : à la pièce (selon les dimensions identiques ou indications standards).</w:t>
      </w:r>
    </w:p>
    <w:p w14:paraId="75BD447A"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78F8F421" w14:textId="77777777" w:rsidR="00DF410E" w:rsidRDefault="00CE7F43">
      <w:pPr>
        <w:pStyle w:val="Author-eSectionHeading6"/>
      </w:pPr>
      <w:bookmarkStart w:id="719" w:name="_Toc178837884"/>
      <w:r>
        <w:t>22.15.1d Planchers en béton précontraint par post-tension CCTB 01.04</w:t>
      </w:r>
      <w:bookmarkEnd w:id="719"/>
    </w:p>
    <w:p w14:paraId="01BA80EA" w14:textId="77777777" w:rsidR="00DF410E" w:rsidRDefault="00CE7F43">
      <w:pPr>
        <w:pStyle w:val="Author-eSectionHeading5"/>
      </w:pPr>
      <w:bookmarkStart w:id="720" w:name="_Toc178837885"/>
      <w:r>
        <w:t>22.15.2 Planchers en béton apparent (esthétique) coulé en place CCTB 01.11</w:t>
      </w:r>
      <w:bookmarkEnd w:id="720"/>
    </w:p>
    <w:p w14:paraId="6AF04C46" w14:textId="77777777" w:rsidR="00DF410E" w:rsidRDefault="00CE7F43">
      <w:pPr>
        <w:pStyle w:val="pheading"/>
      </w:pPr>
      <w:r>
        <w:t>DESCRIPTION</w:t>
      </w:r>
    </w:p>
    <w:p w14:paraId="1FAB0D46" w14:textId="77777777" w:rsidR="00DF410E" w:rsidRDefault="00CE7F43">
      <w:pPr>
        <w:pStyle w:val="pheading"/>
      </w:pPr>
      <w:r>
        <w:t>- Définition / Comprend</w:t>
      </w:r>
    </w:p>
    <w:p w14:paraId="0028F9F2" w14:textId="77777777" w:rsidR="00DF410E" w:rsidRDefault="00CE7F43">
      <w:pPr>
        <w:jc w:val="both"/>
      </w:pPr>
      <w:r>
        <w:t>Les planchers en béton en béton coulé en place sont réalisés en béton armé ou précontraint après la réalisation d’un coffrage conforme au § 5.2.1. de la [NIT 223] suivie par la mise en œuvre du béton et son décoffrage de celui-ci.</w:t>
      </w:r>
    </w:p>
    <w:p w14:paraId="3F095F47" w14:textId="77777777" w:rsidR="00DF410E" w:rsidRDefault="00CE7F43">
      <w:pPr>
        <w:pStyle w:val="pheading"/>
      </w:pPr>
      <w:r>
        <w:t>MATÉRIAUX</w:t>
      </w:r>
    </w:p>
    <w:p w14:paraId="659900A2" w14:textId="77777777" w:rsidR="00DF410E" w:rsidRDefault="00CE7F43">
      <w:pPr>
        <w:jc w:val="both"/>
      </w:pPr>
      <w:r>
        <w:t>Les planchers coulés sur place doivent satisfaire aux conditions générales en ce qui concerne la qualité et la mise en œuvre du béton armé, conformément à la description au </w:t>
      </w:r>
      <w:hyperlink w:anchor="88" w:history="1">
        <w:r>
          <w:t>22.15 Planchers en béton</w:t>
        </w:r>
      </w:hyperlink>
      <w:r>
        <w:t> du présent cahier des charges.</w:t>
      </w:r>
    </w:p>
    <w:p w14:paraId="39BA26E9" w14:textId="77777777" w:rsidR="00DF410E" w:rsidRDefault="00CE7F43">
      <w:pPr>
        <w:pStyle w:val="Author-eListParagraph"/>
        <w:numPr>
          <w:ilvl w:val="0"/>
          <w:numId w:val="436"/>
        </w:numPr>
      </w:pPr>
      <w:r>
        <w:t>Qualité du béton selon la [NBN EN 206:2013+A2] et la [NBN B 15-001].</w:t>
      </w:r>
    </w:p>
    <w:p w14:paraId="35738D3D" w14:textId="77777777" w:rsidR="00DF410E" w:rsidRDefault="00CE7F43">
      <w:pPr>
        <w:pStyle w:val="Author-eListParagraph"/>
        <w:numPr>
          <w:ilvl w:val="1"/>
          <w:numId w:val="437"/>
        </w:numPr>
      </w:pPr>
      <w:r>
        <w:t>avec comme exigences complémentaires en cas de talochage et de polissage des dalles d’avoir une teneur minimale de 180 l/m</w:t>
      </w:r>
      <w:r>
        <w:rPr>
          <w:vertAlign w:val="superscript"/>
        </w:rPr>
        <w:t>3</w:t>
      </w:r>
      <w:r>
        <w:t xml:space="preserve"> d’eau et teneur maximale en air sur béton frais de 3,0 % conformément à la [NIT 267].</w:t>
      </w:r>
    </w:p>
    <w:p w14:paraId="2CFE39C6" w14:textId="77777777" w:rsidR="00DF410E" w:rsidRDefault="00CE7F43">
      <w:pPr>
        <w:pStyle w:val="Author-eListParagraph"/>
        <w:numPr>
          <w:ilvl w:val="0"/>
          <w:numId w:val="436"/>
        </w:numPr>
      </w:pPr>
      <w:r>
        <w:t>Les armatures sont conformes aux séries [NBN A 24-3xx série] dans le cas du béton armé.</w:t>
      </w:r>
    </w:p>
    <w:p w14:paraId="2FFB27E3" w14:textId="77777777" w:rsidR="00DF410E" w:rsidRDefault="00CE7F43">
      <w:pPr>
        <w:pStyle w:val="Author-eListParagraph"/>
        <w:numPr>
          <w:ilvl w:val="0"/>
          <w:numId w:val="436"/>
        </w:numPr>
      </w:pPr>
      <w:r>
        <w:t>Les armatures sont conformes aux [NBN I 10-001], [NBN I 10-002], [NBN I 10-003]  dans le cas du béton précontraint.</w:t>
      </w:r>
    </w:p>
    <w:p w14:paraId="513609D4" w14:textId="77777777" w:rsidR="00DF410E" w:rsidRDefault="00CE7F43">
      <w:pPr>
        <w:pStyle w:val="Author-eListParagraph"/>
        <w:numPr>
          <w:ilvl w:val="0"/>
          <w:numId w:val="436"/>
        </w:numPr>
      </w:pPr>
      <w:r>
        <w:t>Coffrage conforme à la [NIT 223]</w:t>
      </w:r>
    </w:p>
    <w:p w14:paraId="2123E61B" w14:textId="77777777" w:rsidR="00DF410E" w:rsidRDefault="00CE7F43">
      <w:pPr>
        <w:jc w:val="both"/>
      </w:pPr>
      <w:r>
        <w:t>Les finitions supérieures sont décrites dans la [NIT 267]. La face supérieure est talochée, polie avec incorporation ou non d’une couche d’usure ou brossée.</w:t>
      </w:r>
    </w:p>
    <w:p w14:paraId="793F5659" w14:textId="77777777" w:rsidR="00DF410E" w:rsidRDefault="00CE7F43">
      <w:pPr>
        <w:jc w:val="both"/>
      </w:pPr>
      <w:r>
        <w:t>La face inférieure est ou non soumise aux exigences de la [NBN B 15-007].</w:t>
      </w:r>
    </w:p>
    <w:p w14:paraId="0DE08B8C" w14:textId="77777777" w:rsidR="00DF410E" w:rsidRDefault="00CE7F43">
      <w:pPr>
        <w:pStyle w:val="pheading"/>
      </w:pPr>
      <w:r>
        <w:t>EXÉCUTION / MISE EN ŒUVRE</w:t>
      </w:r>
    </w:p>
    <w:p w14:paraId="7A562D08" w14:textId="77777777" w:rsidR="00DF410E" w:rsidRDefault="00CE7F43">
      <w:pPr>
        <w:jc w:val="both"/>
      </w:pPr>
      <w:r>
        <w:t>Sauf indications contraires sur les plans, dans l'étude des bétons et/ou dans le cahier spécial des charges, l'exécution des planchers en béton armé coulé en place est effectuée :</w:t>
      </w:r>
    </w:p>
    <w:p w14:paraId="570A8E6E" w14:textId="77777777" w:rsidR="00DF410E" w:rsidRDefault="00CE7F43">
      <w:pPr>
        <w:pStyle w:val="Author-eListParagraph"/>
        <w:numPr>
          <w:ilvl w:val="0"/>
          <w:numId w:val="438"/>
        </w:numPr>
      </w:pPr>
      <w:r>
        <w:t>Épaisseur et contre-flèche : selon les indications sur les plans, avec une contre-flèche de 1/500 de la portée. Voir observations</w:t>
      </w:r>
    </w:p>
    <w:p w14:paraId="4B06FBFC" w14:textId="77777777" w:rsidR="00DF410E" w:rsidRDefault="00CE7F43">
      <w:pPr>
        <w:pStyle w:val="Author-eListParagraph"/>
        <w:numPr>
          <w:ilvl w:val="0"/>
          <w:numId w:val="438"/>
        </w:numPr>
      </w:pPr>
      <w:r>
        <w:t>Armatures selon Les Eurocodes (essentiellement [NBN EN 1990], [NBN EN 1991 série], [NBN EN 1992-1-1] et [NBN EN 1992-1-2])</w:t>
      </w:r>
    </w:p>
    <w:p w14:paraId="65FDCD35" w14:textId="77777777" w:rsidR="00DF410E" w:rsidRDefault="00CE7F43">
      <w:pPr>
        <w:pStyle w:val="Author-eListParagraph"/>
        <w:numPr>
          <w:ilvl w:val="0"/>
          <w:numId w:val="438"/>
        </w:numPr>
      </w:pPr>
      <w:r>
        <w:t>En ce qui concerne le coffrage, la pose des armatures, les appuis, les ancrages, les joints de tassement, le coulage du béton, le décoffrage, .. le béton de remplissage et/ou les couches de compression doivent satisfaire aux prescriptions générales données dans le </w:t>
      </w:r>
      <w:hyperlink w:anchor="87" w:history="1">
        <w:r>
          <w:t>22 Superstructures en béton</w:t>
        </w:r>
      </w:hyperlink>
      <w:r>
        <w:t>. </w:t>
      </w:r>
    </w:p>
    <w:p w14:paraId="54B66237" w14:textId="77777777" w:rsidR="00DF410E" w:rsidRDefault="00CE7F43">
      <w:pPr>
        <w:pStyle w:val="Author-eListParagraph"/>
        <w:numPr>
          <w:ilvl w:val="0"/>
          <w:numId w:val="438"/>
        </w:numPr>
      </w:pPr>
      <w:r>
        <w:t>Le coffrage est conforme au § 5.2.1. de la [NIT 223]</w:t>
      </w:r>
    </w:p>
    <w:p w14:paraId="73E2AA66" w14:textId="77777777" w:rsidR="00DF410E" w:rsidRDefault="00CE7F43">
      <w:pPr>
        <w:pStyle w:val="Author-eListParagraph"/>
        <w:numPr>
          <w:ilvl w:val="0"/>
          <w:numId w:val="438"/>
        </w:numPr>
      </w:pPr>
      <w:r>
        <w:t>Le béton est coulé en une seule fois. Lorsque cela s'avère impossible, l'entrepreneur en discute à l'avance avec l'auteur de projet ou le bureau d'étude, afin de convenir de la succession des coulages, des joints de reprise, etc.</w:t>
      </w:r>
    </w:p>
    <w:p w14:paraId="59B003C3" w14:textId="77777777" w:rsidR="00DF410E" w:rsidRDefault="00CE7F43">
      <w:pPr>
        <w:pStyle w:val="Author-eListParagraph"/>
        <w:numPr>
          <w:ilvl w:val="0"/>
          <w:numId w:val="438"/>
        </w:numPr>
      </w:pPr>
      <w:r>
        <w:t>Le béton est suffisamment compacté à l'aide du matériel nécessaire.</w:t>
      </w:r>
    </w:p>
    <w:p w14:paraId="508D41A8" w14:textId="77777777" w:rsidR="00DF410E" w:rsidRDefault="00CE7F43">
      <w:pPr>
        <w:pStyle w:val="Author-eListParagraph"/>
        <w:numPr>
          <w:ilvl w:val="0"/>
          <w:numId w:val="438"/>
        </w:numPr>
      </w:pPr>
      <w:r>
        <w:t>L'entrepreneur prend toutes les précautions afin que le béton fraîchement coulé puisse durcir dans des conditions optimales. La durée de la cure est conforme aux exigences des normes [NBN EN 13670] et [NBN B 15-400].</w:t>
      </w:r>
    </w:p>
    <w:p w14:paraId="561CA07F" w14:textId="77777777" w:rsidR="00DF410E" w:rsidRDefault="00CE7F43">
      <w:pPr>
        <w:pStyle w:val="Author-eListParagraph"/>
        <w:numPr>
          <w:ilvl w:val="0"/>
          <w:numId w:val="438"/>
        </w:numPr>
      </w:pPr>
      <w:r>
        <w:t>La mise en œuvre est conforme aux exigences de la [NIT 267]. En outre, les joints sont réalisés conformément à cette NIT.</w:t>
      </w:r>
    </w:p>
    <w:p w14:paraId="23461981" w14:textId="77777777" w:rsidR="00DF410E" w:rsidRDefault="00CE7F43">
      <w:pPr>
        <w:pStyle w:val="pheading"/>
      </w:pPr>
      <w:r>
        <w:t>DOCUMENTS DE RÉFÉRENCE</w:t>
      </w:r>
    </w:p>
    <w:p w14:paraId="534D3CE2" w14:textId="77777777" w:rsidR="00DF410E" w:rsidRDefault="00CE7F43">
      <w:pPr>
        <w:pStyle w:val="pheading"/>
      </w:pPr>
      <w:r>
        <w:t>- Matériau</w:t>
      </w:r>
    </w:p>
    <w:p w14:paraId="55258DD5" w14:textId="77777777" w:rsidR="00DF410E" w:rsidRDefault="00CE7F43">
      <w:r>
        <w:t>[NBN B 15-007, Béton apparent - Classifications et spécifications]</w:t>
      </w:r>
    </w:p>
    <w:p w14:paraId="1CBEF527" w14:textId="77777777" w:rsidR="00DF410E" w:rsidRDefault="00CE7F43">
      <w:r>
        <w:t>[NBN EN 206:2013+A2, Béton - Spécification, performances, production et conformité]</w:t>
      </w:r>
    </w:p>
    <w:p w14:paraId="64CFABA9" w14:textId="77777777" w:rsidR="00DF410E" w:rsidRDefault="00CE7F43">
      <w:r>
        <w:t>[NBN B 15-001, Béton - Spécification, performances, production et conformité - Complément national à la NBN EN 206:2013+A2:2021]</w:t>
      </w:r>
    </w:p>
    <w:p w14:paraId="0DF97213" w14:textId="77777777" w:rsidR="00DF410E" w:rsidRDefault="00CE7F43">
      <w:r>
        <w:t>[NBN A 24-3xx série, Produits sidérurgiques - Aciers pour béton armé]</w:t>
      </w:r>
    </w:p>
    <w:p w14:paraId="359A0A29" w14:textId="77777777" w:rsidR="00DF410E" w:rsidRDefault="00CE7F43">
      <w:r>
        <w:t>[NBN I 10-001, Aciers de précontrainte - Fils, torons et barres - Généralités et prescriptions communes]</w:t>
      </w:r>
    </w:p>
    <w:p w14:paraId="718496C4" w14:textId="77777777" w:rsidR="00DF410E" w:rsidRDefault="00CE7F43">
      <w:r>
        <w:t>[NBN I 10-002, Aciers de précontrainte - Fils tréfilés]</w:t>
      </w:r>
    </w:p>
    <w:p w14:paraId="0698CF2C" w14:textId="77777777" w:rsidR="00DF410E" w:rsidRDefault="00CE7F43">
      <w:r>
        <w:t>[NBN I 10-003, Aciers de précontrainte - Torons (avec erratum)]</w:t>
      </w:r>
    </w:p>
    <w:p w14:paraId="2F50891A" w14:textId="77777777" w:rsidR="00DF410E" w:rsidRDefault="00CE7F43">
      <w:pPr>
        <w:pStyle w:val="pheading"/>
      </w:pPr>
      <w:r>
        <w:t>- Exécution</w:t>
      </w:r>
    </w:p>
    <w:p w14:paraId="3FA8742D" w14:textId="77777777" w:rsidR="00DF410E" w:rsidRDefault="00CE7F43">
      <w:r>
        <w:t>[NIT 223, Les planchers portants des bâtiments résidentiels et tertiaires.]</w:t>
      </w:r>
    </w:p>
    <w:p w14:paraId="3C7DB1FF" w14:textId="77777777" w:rsidR="00DF410E" w:rsidRDefault="00CE7F43">
      <w:r>
        <w:t>[NBN EN 13670, Exécution des structures en béton]</w:t>
      </w:r>
    </w:p>
    <w:p w14:paraId="3D2260B3" w14:textId="77777777" w:rsidR="00DF410E" w:rsidRDefault="00CE7F43">
      <w:r>
        <w:t>[NBN B 15-400, Exécution des structures en béton - Supplément national à la NBN EN 13670:2010]</w:t>
      </w:r>
    </w:p>
    <w:p w14:paraId="6AE47D6E" w14:textId="77777777" w:rsidR="00DF410E" w:rsidRDefault="00CE7F43">
      <w:pPr>
        <w:pStyle w:val="pheading"/>
      </w:pPr>
      <w:r>
        <w:t>AIDE</w:t>
      </w:r>
    </w:p>
    <w:p w14:paraId="5AACCCF6" w14:textId="77777777" w:rsidR="00DF410E" w:rsidRDefault="00CE7F43">
      <w:pPr>
        <w:jc w:val="both"/>
      </w:pPr>
      <w:r>
        <w:t>L’épaisseur de la dalle, le renforcement de la dalle et la cure ont une incidence sur la fissuration de la dalle. Des recommandations figurent la [NIT 267].</w:t>
      </w:r>
    </w:p>
    <w:p w14:paraId="323FD7B4" w14:textId="77777777" w:rsidR="00DF410E" w:rsidRDefault="00CE7F43">
      <w:pPr>
        <w:pStyle w:val="Author-eSectionHeading6"/>
      </w:pPr>
      <w:bookmarkStart w:id="721" w:name="_Toc178837886"/>
      <w:r>
        <w:t>22.15.2a Planchers en dalles pleines de béton apparent (esthétique) armé coulé en place CCTB 01.11</w:t>
      </w:r>
      <w:bookmarkEnd w:id="721"/>
    </w:p>
    <w:p w14:paraId="5642E22A" w14:textId="77777777" w:rsidR="00DF410E" w:rsidRDefault="00CE7F43">
      <w:pPr>
        <w:pStyle w:val="pheading"/>
      </w:pPr>
      <w:r>
        <w:t>DESCRIPTION</w:t>
      </w:r>
    </w:p>
    <w:p w14:paraId="5EEB53ED" w14:textId="77777777" w:rsidR="00DF410E" w:rsidRDefault="00CE7F43">
      <w:pPr>
        <w:pStyle w:val="pheading"/>
      </w:pPr>
      <w:r>
        <w:t>- Définition / Comprend</w:t>
      </w:r>
    </w:p>
    <w:p w14:paraId="04FF8FCE" w14:textId="77777777" w:rsidR="00DF410E" w:rsidRDefault="00CE7F43">
      <w:r>
        <w:t>L’article vise la fourniture et la mise en œuvre de planchers en dalles pleines de béton apparent (esthétique) armé coulé en place.</w:t>
      </w:r>
    </w:p>
    <w:p w14:paraId="5B3C8A1B" w14:textId="77777777" w:rsidR="00DF410E" w:rsidRDefault="00CE7F43">
      <w:r>
        <w:t xml:space="preserve">Les travaux comprennent les éléments repris dans la description de </w:t>
      </w:r>
      <w:hyperlink w:anchor="88" w:history="1">
        <w:r>
          <w:t>22.15 Planchers en béton</w:t>
        </w:r>
      </w:hyperlink>
      <w:r>
        <w:t>.</w:t>
      </w:r>
    </w:p>
    <w:p w14:paraId="3C8B1775" w14:textId="77777777" w:rsidR="00DF410E" w:rsidRDefault="00CE7F43">
      <w:pPr>
        <w:pStyle w:val="pheading"/>
      </w:pPr>
      <w:r>
        <w:t>- Localisation</w:t>
      </w:r>
    </w:p>
    <w:p w14:paraId="3F0FC1B0" w14:textId="77777777" w:rsidR="00DF410E" w:rsidRDefault="00CE7F43">
      <w:r>
        <w:t xml:space="preserve">Localisation des travaux : </w:t>
      </w:r>
      <w:r>
        <w:rPr>
          <w:rStyle w:val="optioncarChar"/>
        </w:rPr>
        <w:t>***</w:t>
      </w:r>
      <w:r>
        <w:t>.</w:t>
      </w:r>
    </w:p>
    <w:p w14:paraId="5A866323" w14:textId="77777777" w:rsidR="00DF410E" w:rsidRDefault="00CE7F43">
      <w:r>
        <w:t>Voir plans et métrés détaillés.</w:t>
      </w:r>
    </w:p>
    <w:p w14:paraId="70962CA0" w14:textId="77777777" w:rsidR="00DF410E" w:rsidRDefault="00CE7F43">
      <w:pPr>
        <w:pStyle w:val="pheading"/>
      </w:pPr>
      <w:r>
        <w:t>MATÉRIAUX</w:t>
      </w:r>
    </w:p>
    <w:p w14:paraId="4C3ADA14" w14:textId="77777777" w:rsidR="00DF410E" w:rsidRDefault="00CE7F43">
      <w:pPr>
        <w:pStyle w:val="pheading"/>
      </w:pPr>
      <w:r>
        <w:t>- Caractéristiques générales</w:t>
      </w:r>
    </w:p>
    <w:p w14:paraId="08CD1719" w14:textId="77777777" w:rsidR="00DF410E" w:rsidRDefault="00DF410E"/>
    <w:p w14:paraId="3EFBC7CA" w14:textId="77777777" w:rsidR="00DF410E" w:rsidRDefault="00CE7F43">
      <w:pPr>
        <w:pStyle w:val="Author-eListParagraph"/>
        <w:numPr>
          <w:ilvl w:val="0"/>
          <w:numId w:val="439"/>
        </w:numPr>
      </w:pPr>
      <w:r>
        <w:t xml:space="preserve">Qualité du béton selon la [NBN EN 206:2013+A2] et la [NBN B 15-001] : (voir également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1117"/>
        <w:gridCol w:w="1404"/>
        <w:gridCol w:w="1752"/>
        <w:gridCol w:w="1465"/>
        <w:gridCol w:w="1525"/>
        <w:gridCol w:w="1797"/>
      </w:tblGrid>
      <w:tr w:rsidR="00DF410E" w14:paraId="305CFBD7" w14:textId="77777777">
        <w:tc>
          <w:tcPr>
            <w:tcW w:w="1110" w:type="dxa"/>
            <w:noWrap/>
          </w:tcPr>
          <w:p w14:paraId="5C2C6294" w14:textId="77777777" w:rsidR="00DF410E" w:rsidRDefault="00CE7F43">
            <w:pPr>
              <w:jc w:val="center"/>
            </w:pPr>
            <w:r>
              <w:rPr>
                <w:b/>
              </w:rPr>
              <w:t>A</w:t>
            </w:r>
          </w:p>
        </w:tc>
        <w:tc>
          <w:tcPr>
            <w:tcW w:w="1395" w:type="dxa"/>
            <w:noWrap/>
          </w:tcPr>
          <w:p w14:paraId="2DCEAB92" w14:textId="77777777" w:rsidR="00DF410E" w:rsidRDefault="00CE7F43">
            <w:pPr>
              <w:jc w:val="center"/>
            </w:pPr>
            <w:r>
              <w:rPr>
                <w:b/>
              </w:rPr>
              <w:t>B1</w:t>
            </w:r>
          </w:p>
        </w:tc>
        <w:tc>
          <w:tcPr>
            <w:tcW w:w="1740" w:type="dxa"/>
            <w:noWrap/>
          </w:tcPr>
          <w:p w14:paraId="6C98D7C7" w14:textId="77777777" w:rsidR="00DF410E" w:rsidRDefault="00CE7F43">
            <w:pPr>
              <w:jc w:val="center"/>
            </w:pPr>
            <w:r>
              <w:rPr>
                <w:b/>
              </w:rPr>
              <w:t>B2</w:t>
            </w:r>
          </w:p>
        </w:tc>
        <w:tc>
          <w:tcPr>
            <w:tcW w:w="1455" w:type="dxa"/>
            <w:noWrap/>
          </w:tcPr>
          <w:p w14:paraId="3E9AE208" w14:textId="77777777" w:rsidR="00DF410E" w:rsidRDefault="00CE7F43">
            <w:pPr>
              <w:jc w:val="center"/>
            </w:pPr>
            <w:r>
              <w:rPr>
                <w:b/>
              </w:rPr>
              <w:t>C</w:t>
            </w:r>
          </w:p>
        </w:tc>
        <w:tc>
          <w:tcPr>
            <w:tcW w:w="1515" w:type="dxa"/>
            <w:noWrap/>
          </w:tcPr>
          <w:p w14:paraId="56DE26BF" w14:textId="77777777" w:rsidR="00DF410E" w:rsidRDefault="00CE7F43">
            <w:pPr>
              <w:jc w:val="center"/>
            </w:pPr>
            <w:r>
              <w:rPr>
                <w:b/>
              </w:rPr>
              <w:t>D</w:t>
            </w:r>
          </w:p>
        </w:tc>
        <w:tc>
          <w:tcPr>
            <w:tcW w:w="1785" w:type="dxa"/>
            <w:noWrap/>
          </w:tcPr>
          <w:p w14:paraId="23813F10" w14:textId="77777777" w:rsidR="00DF410E" w:rsidRDefault="00CE7F43">
            <w:pPr>
              <w:jc w:val="center"/>
            </w:pPr>
            <w:r>
              <w:rPr>
                <w:b/>
              </w:rPr>
              <w:t>E</w:t>
            </w:r>
          </w:p>
        </w:tc>
      </w:tr>
      <w:tr w:rsidR="00DF410E" w14:paraId="46B15F41" w14:textId="77777777">
        <w:tc>
          <w:tcPr>
            <w:tcW w:w="1110" w:type="dxa"/>
            <w:noWrap/>
          </w:tcPr>
          <w:p w14:paraId="7A363554" w14:textId="77777777" w:rsidR="00DF410E" w:rsidRDefault="00CE7F43">
            <w:r>
              <w:br/>
            </w:r>
            <w:r>
              <w:rPr>
                <w:b/>
              </w:rPr>
              <w:t>Classe de résistance</w:t>
            </w:r>
            <w:r>
              <w:br/>
            </w:r>
            <w:r>
              <w:br/>
            </w:r>
          </w:p>
        </w:tc>
        <w:tc>
          <w:tcPr>
            <w:tcW w:w="1395" w:type="dxa"/>
            <w:noWrap/>
          </w:tcPr>
          <w:p w14:paraId="0CA8C9A3" w14:textId="77777777" w:rsidR="00DF410E" w:rsidRDefault="00CE7F43">
            <w:r>
              <w:br/>
            </w:r>
            <w:r>
              <w:rPr>
                <w:b/>
              </w:rPr>
              <w:t>Domaine d’application</w:t>
            </w:r>
          </w:p>
        </w:tc>
        <w:tc>
          <w:tcPr>
            <w:tcW w:w="1740" w:type="dxa"/>
            <w:noWrap/>
          </w:tcPr>
          <w:p w14:paraId="424C17E7" w14:textId="77777777" w:rsidR="00DF410E" w:rsidRDefault="00CE7F43">
            <w:r>
              <w:br/>
            </w:r>
            <w:r>
              <w:rPr>
                <w:b/>
              </w:rPr>
              <w:t>Classe d'environnement</w:t>
            </w:r>
          </w:p>
        </w:tc>
        <w:tc>
          <w:tcPr>
            <w:tcW w:w="1455" w:type="dxa"/>
            <w:noWrap/>
          </w:tcPr>
          <w:p w14:paraId="7C3DE0C4" w14:textId="77777777" w:rsidR="00DF410E" w:rsidRDefault="00CE7F43">
            <w:r>
              <w:br/>
            </w:r>
            <w:r>
              <w:rPr>
                <w:b/>
              </w:rPr>
              <w:t>Classe de consistance</w:t>
            </w:r>
          </w:p>
        </w:tc>
        <w:tc>
          <w:tcPr>
            <w:tcW w:w="1515" w:type="dxa"/>
            <w:noWrap/>
          </w:tcPr>
          <w:p w14:paraId="6CE4B5F6" w14:textId="77777777" w:rsidR="00DF410E" w:rsidRDefault="00CE7F43">
            <w:r>
              <w:br/>
            </w:r>
            <w:r>
              <w:rPr>
                <w:b/>
              </w:rPr>
              <w:t>Granulométrie maximale</w:t>
            </w:r>
          </w:p>
        </w:tc>
        <w:tc>
          <w:tcPr>
            <w:tcW w:w="1785" w:type="dxa"/>
            <w:noWrap/>
          </w:tcPr>
          <w:p w14:paraId="1D259AD3" w14:textId="77777777" w:rsidR="00DF410E" w:rsidRDefault="00CE7F43">
            <w:r>
              <w:br/>
            </w:r>
            <w:r>
              <w:rPr>
                <w:b/>
              </w:rPr>
              <w:t>Données complémentaires</w:t>
            </w:r>
          </w:p>
        </w:tc>
      </w:tr>
      <w:tr w:rsidR="00DF410E" w14:paraId="24C14423" w14:textId="77777777">
        <w:tc>
          <w:tcPr>
            <w:tcW w:w="1110" w:type="dxa"/>
            <w:noWrap/>
          </w:tcPr>
          <w:p w14:paraId="1DA008D9" w14:textId="77777777" w:rsidR="00DF410E" w:rsidRDefault="00CE7F43">
            <w:pPr>
              <w:jc w:val="center"/>
            </w:pPr>
            <w:r>
              <w:br/>
            </w:r>
            <w:r>
              <w:rPr>
                <w:rStyle w:val="optioncarChar"/>
              </w:rPr>
              <w:t>C25/30 / C30/37 / C35/45 / C45/55 / C50/60 /C55/67 /C60/75 / C70/85 / C80/95 / C90/105</w:t>
            </w:r>
            <w:r>
              <w:br/>
            </w:r>
            <w:r>
              <w:br/>
            </w:r>
          </w:p>
        </w:tc>
        <w:tc>
          <w:tcPr>
            <w:tcW w:w="1395" w:type="dxa"/>
            <w:noWrap/>
          </w:tcPr>
          <w:p w14:paraId="1F802435" w14:textId="77777777" w:rsidR="00DF410E" w:rsidRDefault="00CE7F43">
            <w:pPr>
              <w:jc w:val="center"/>
            </w:pPr>
            <w:r>
              <w:br/>
              <w:t>Béton armé</w:t>
            </w:r>
          </w:p>
        </w:tc>
        <w:tc>
          <w:tcPr>
            <w:tcW w:w="1740" w:type="dxa"/>
            <w:noWrap/>
          </w:tcPr>
          <w:p w14:paraId="11F9C1A6" w14:textId="77777777" w:rsidR="00DF410E" w:rsidRDefault="00CE7F43">
            <w:pPr>
              <w:jc w:val="center"/>
            </w:pPr>
            <w:r>
              <w:br/>
            </w:r>
            <w:r>
              <w:rPr>
                <w:rStyle w:val="optioncarChar"/>
              </w:rPr>
              <w:t>EI / EE1 / EE2 / EE3 / EE4/ES1 / ES2 / ES3 / ES4 / EA1+*** / EA2+***/ EA3+***</w:t>
            </w:r>
          </w:p>
        </w:tc>
        <w:tc>
          <w:tcPr>
            <w:tcW w:w="1455" w:type="dxa"/>
            <w:noWrap/>
          </w:tcPr>
          <w:p w14:paraId="3586C037" w14:textId="77777777" w:rsidR="00DF410E" w:rsidRDefault="00CE7F43">
            <w:pPr>
              <w:jc w:val="center"/>
            </w:pPr>
            <w:r>
              <w:br/>
              <w:t>au choix de l'entrepreneur :</w:t>
            </w:r>
            <w:r>
              <w:br/>
            </w:r>
            <w:r>
              <w:br/>
            </w:r>
          </w:p>
          <w:p w14:paraId="0D88DFB1" w14:textId="77777777" w:rsidR="00DF410E" w:rsidRDefault="00CE7F43">
            <w:pPr>
              <w:jc w:val="center"/>
            </w:pPr>
            <w:r>
              <w:rPr>
                <w:rStyle w:val="optioncarChar"/>
              </w:rPr>
              <w:t>S4 / S5</w:t>
            </w:r>
            <w:r>
              <w:br/>
            </w:r>
            <w:r>
              <w:br/>
            </w:r>
          </w:p>
          <w:p w14:paraId="56FA3761" w14:textId="77777777" w:rsidR="00DF410E" w:rsidRDefault="00CE7F43">
            <w:pPr>
              <w:jc w:val="center"/>
            </w:pPr>
            <w:r>
              <w:rPr>
                <w:rStyle w:val="optioncarChar"/>
              </w:rPr>
              <w:t>F4 / F5</w:t>
            </w:r>
          </w:p>
        </w:tc>
        <w:tc>
          <w:tcPr>
            <w:tcW w:w="1515" w:type="dxa"/>
            <w:noWrap/>
          </w:tcPr>
          <w:p w14:paraId="582B7946" w14:textId="77777777" w:rsidR="00DF410E" w:rsidRDefault="00CE7F43">
            <w:pPr>
              <w:jc w:val="center"/>
            </w:pPr>
            <w:r>
              <w:br/>
            </w:r>
            <w:r>
              <w:rPr>
                <w:b/>
              </w:rPr>
              <w:t>﻿</w:t>
            </w:r>
            <w:r>
              <w:t>au choix de l'entrepreneur :</w:t>
            </w:r>
            <w:r>
              <w:br/>
            </w:r>
            <w:r>
              <w:br/>
            </w:r>
          </w:p>
          <w:p w14:paraId="16D867FF" w14:textId="77777777" w:rsidR="00DF410E" w:rsidRDefault="00CE7F43">
            <w:pPr>
              <w:jc w:val="center"/>
            </w:pPr>
            <w:r>
              <w:rPr>
                <w:rStyle w:val="optioncarChar"/>
              </w:rPr>
              <w:t>14 / 16 / 20 / 22 / 32</w:t>
            </w:r>
            <w:r>
              <w:t xml:space="preserve"> mm</w:t>
            </w:r>
          </w:p>
          <w:p w14:paraId="071A54E4" w14:textId="77777777" w:rsidR="00DF410E" w:rsidRDefault="00DF410E"/>
        </w:tc>
        <w:tc>
          <w:tcPr>
            <w:tcW w:w="1785" w:type="dxa"/>
            <w:noWrap/>
          </w:tcPr>
          <w:p w14:paraId="18376B99" w14:textId="77777777" w:rsidR="00DF410E" w:rsidRDefault="00CE7F43">
            <w:pPr>
              <w:jc w:val="center"/>
            </w:pPr>
            <w:r>
              <w:br/>
              <w:t>Si talochage ou polissage</w:t>
            </w:r>
          </w:p>
          <w:p w14:paraId="21278BF9" w14:textId="77777777" w:rsidR="00DF410E" w:rsidRDefault="00CE7F43">
            <w:pPr>
              <w:jc w:val="center"/>
            </w:pPr>
            <w:r>
              <w:t>Teneur en eau minimale = 180 l/m³</w:t>
            </w:r>
          </w:p>
          <w:p w14:paraId="05319C90" w14:textId="77777777" w:rsidR="00DF410E" w:rsidRDefault="00CE7F43">
            <w:pPr>
              <w:jc w:val="center"/>
            </w:pPr>
            <w:r>
              <w:t> </w:t>
            </w:r>
          </w:p>
          <w:p w14:paraId="5B4FF044" w14:textId="77777777" w:rsidR="00DF410E" w:rsidRDefault="00CE7F43">
            <w:pPr>
              <w:jc w:val="center"/>
            </w:pPr>
            <w:r>
              <w:t>Teneur maximale en air = 3.0 %</w:t>
            </w:r>
          </w:p>
        </w:tc>
      </w:tr>
    </w:tbl>
    <w:p w14:paraId="255FA79E" w14:textId="77777777" w:rsidR="00DF410E" w:rsidRDefault="00CE7F43">
      <w:r>
        <w:br/>
      </w:r>
      <w:r>
        <w:br/>
        <w:t xml:space="preserve">Pourcentage d'armatures : </w:t>
      </w:r>
      <w:r>
        <w:rPr>
          <w:rStyle w:val="optioncarChar"/>
        </w:rPr>
        <w:t>***</w:t>
      </w:r>
      <w:r>
        <w:t xml:space="preserve"> kg d'acier par m3 de béton. (voir </w:t>
      </w:r>
      <w:hyperlink w:anchor="231" w:history="1">
        <w:r>
          <w:t>22.51 Armatures pour béton</w:t>
        </w:r>
      </w:hyperlink>
      <w:r>
        <w:t xml:space="preserve"> et [NIT 267] -  chapitre 7: maitrise de la fissuration)</w:t>
      </w:r>
    </w:p>
    <w:p w14:paraId="61AE1504" w14:textId="77777777" w:rsidR="00DF410E" w:rsidRDefault="00CE7F43">
      <w:pPr>
        <w:pStyle w:val="Author-eListParagraph"/>
        <w:numPr>
          <w:ilvl w:val="0"/>
          <w:numId w:val="440"/>
        </w:numPr>
      </w:pPr>
      <w:r>
        <w:t xml:space="preserve">Barres d’acier pour les armatures principales : acier </w:t>
      </w:r>
      <w:r>
        <w:rPr>
          <w:rStyle w:val="optioncarChar"/>
        </w:rPr>
        <w:t>BE 500 S</w:t>
      </w:r>
      <w:r>
        <w:t xml:space="preserve"> (par défaut) </w:t>
      </w:r>
      <w:r>
        <w:rPr>
          <w:rStyle w:val="optioncarChar"/>
        </w:rPr>
        <w:t>/ ***</w:t>
      </w:r>
      <w:r>
        <w:t xml:space="preserve"> selon [NBN A 24-302] + [PTV 302].</w:t>
      </w:r>
    </w:p>
    <w:p w14:paraId="6E691244" w14:textId="77777777" w:rsidR="00DF410E" w:rsidRDefault="00CE7F43">
      <w:pPr>
        <w:pStyle w:val="Author-eListParagraph"/>
        <w:numPr>
          <w:ilvl w:val="0"/>
          <w:numId w:val="440"/>
        </w:numPr>
      </w:pPr>
      <w:r>
        <w:t xml:space="preserve">Acier pour les étriers : acier </w:t>
      </w:r>
      <w:r>
        <w:rPr>
          <w:rStyle w:val="optioncarChar"/>
        </w:rPr>
        <w:t>DE 500 BS / BE 500 S</w:t>
      </w:r>
    </w:p>
    <w:p w14:paraId="4FEEB669" w14:textId="77777777" w:rsidR="00DF410E" w:rsidRDefault="00CE7F43">
      <w:pPr>
        <w:ind w:left="567"/>
      </w:pPr>
      <w:r>
        <w:rPr>
          <w:b/>
          <w:i/>
        </w:rPr>
        <w:t>(Soit par défaut)</w:t>
      </w:r>
    </w:p>
    <w:p w14:paraId="13D8AFCA" w14:textId="77777777" w:rsidR="00DF410E" w:rsidRDefault="00CE7F43">
      <w:pPr>
        <w:ind w:left="567"/>
      </w:pPr>
      <w:r>
        <w:rPr>
          <w:rStyle w:val="soitChar"/>
          <w:u w:val="single"/>
        </w:rPr>
        <w:t>DE 500 BS</w:t>
      </w:r>
      <w:r>
        <w:rPr>
          <w:rStyle w:val="soitChar"/>
        </w:rPr>
        <w:t xml:space="preserve"> selon</w:t>
      </w:r>
      <w:r>
        <w:t>[NBN A 24-303] + [PTV 303]</w:t>
      </w:r>
    </w:p>
    <w:p w14:paraId="7ADCA375" w14:textId="77777777" w:rsidR="00DF410E" w:rsidRDefault="00CE7F43">
      <w:pPr>
        <w:ind w:left="567"/>
      </w:pPr>
      <w:r>
        <w:rPr>
          <w:b/>
          <w:i/>
        </w:rPr>
        <w:t>(Soit)</w:t>
      </w:r>
    </w:p>
    <w:p w14:paraId="7D77BFDA" w14:textId="77777777" w:rsidR="00DF410E" w:rsidRDefault="00CE7F43">
      <w:pPr>
        <w:ind w:left="567"/>
      </w:pPr>
      <w:r>
        <w:rPr>
          <w:rStyle w:val="soitChar"/>
          <w:u w:val="single"/>
        </w:rPr>
        <w:t>BE 500 S</w:t>
      </w:r>
      <w:r>
        <w:rPr>
          <w:rStyle w:val="soitChar"/>
        </w:rPr>
        <w:t xml:space="preserve"> selon</w:t>
      </w:r>
      <w:r>
        <w:t>[NBN A 24-302] + [PTV 302].</w:t>
      </w:r>
    </w:p>
    <w:p w14:paraId="7608143D" w14:textId="77777777" w:rsidR="00DF410E" w:rsidRDefault="00CE7F43">
      <w:pPr>
        <w:pStyle w:val="Author-eListParagraph"/>
        <w:numPr>
          <w:ilvl w:val="0"/>
          <w:numId w:val="441"/>
        </w:numPr>
      </w:pPr>
      <w:r>
        <w:t>Treillis soudés selon [NBN A 24-304] + [PTV 304] :</w:t>
      </w:r>
      <w:r>
        <w:rPr>
          <w:rStyle w:val="optioncarChar"/>
        </w:rPr>
        <w:t xml:space="preserve"> 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8 x 8</w:t>
      </w:r>
      <w:r>
        <w:t> (par défaut) mm.</w:t>
      </w:r>
    </w:p>
    <w:p w14:paraId="2EFD66B7" w14:textId="77777777" w:rsidR="00DF410E" w:rsidRDefault="00CE7F43">
      <w:r>
        <w:t>Coffrage : </w:t>
      </w:r>
      <w:r>
        <w:rPr>
          <w:rStyle w:val="optioncarChar"/>
        </w:rPr>
        <w:t>bois </w:t>
      </w:r>
      <w:r>
        <w:t>(par défaut)</w:t>
      </w:r>
      <w:r>
        <w:rPr>
          <w:rStyle w:val="optioncarChar"/>
        </w:rPr>
        <w:t> / métal / synthétique / ***</w:t>
      </w:r>
    </w:p>
    <w:p w14:paraId="4A5A4C60" w14:textId="77777777" w:rsidR="00DF410E" w:rsidRDefault="00CE7F43">
      <w:pPr>
        <w:pStyle w:val="pheading"/>
      </w:pPr>
      <w:r>
        <w:t>- Finitions</w:t>
      </w:r>
    </w:p>
    <w:p w14:paraId="0530ED2C" w14:textId="77777777" w:rsidR="00DF410E" w:rsidRDefault="00CE7F43">
      <w:pPr>
        <w:jc w:val="both"/>
      </w:pPr>
      <w:r>
        <w:t>Finition supérieure :</w:t>
      </w:r>
      <w:r>
        <w:rPr>
          <w:rStyle w:val="optioncarChar"/>
        </w:rPr>
        <w:t> talochée </w:t>
      </w:r>
      <w:r>
        <w:t>(par défaut)</w:t>
      </w:r>
      <w:r>
        <w:rPr>
          <w:rStyle w:val="optioncarChar"/>
        </w:rPr>
        <w:t> / polie / ***</w:t>
      </w:r>
      <w:r>
        <w:t>.</w:t>
      </w:r>
    </w:p>
    <w:p w14:paraId="410772D9" w14:textId="77777777" w:rsidR="00DF410E" w:rsidRDefault="00CE7F43">
      <w:pPr>
        <w:jc w:val="both"/>
      </w:pPr>
      <w:r>
        <w:t xml:space="preserve">Couche d’usure incorporée : </w:t>
      </w:r>
      <w:r>
        <w:rPr>
          <w:rStyle w:val="optioncarChar"/>
        </w:rPr>
        <w:t>oui / non</w:t>
      </w:r>
    </w:p>
    <w:p w14:paraId="55CDBBB5" w14:textId="77777777" w:rsidR="00DF410E" w:rsidRDefault="00CE7F43">
      <w:pPr>
        <w:jc w:val="both"/>
      </w:pPr>
      <w:r>
        <w:t xml:space="preserve">Finition inférieure : le type de béton apparent défini suivant la [NBN B 15-007] est </w:t>
      </w:r>
      <w:r>
        <w:rPr>
          <w:rStyle w:val="optioncarChar"/>
        </w:rPr>
        <w:t>ZBA/1 // ZBA/2 // ZBA/3 // ZBA/4 // ZBA/5</w:t>
      </w:r>
    </w:p>
    <w:p w14:paraId="50A6F687" w14:textId="77777777" w:rsidR="00DF410E" w:rsidRDefault="00CE7F43">
      <w:pPr>
        <w:jc w:val="both"/>
      </w:pPr>
      <w:r>
        <w:t xml:space="preserve">La surface des bétons de type ZBA/4 et ZBA/5 est </w:t>
      </w:r>
      <w:r>
        <w:rPr>
          <w:rStyle w:val="optioncarChar"/>
        </w:rPr>
        <w:t>lavée à l’eau / brossée / bouchardée / grenaillée / grésée / polie mat</w:t>
      </w:r>
      <w:r>
        <w:t> (par défaut)</w:t>
      </w:r>
      <w:r>
        <w:rPr>
          <w:rStyle w:val="optioncarChar"/>
        </w:rPr>
        <w:t xml:space="preserve"> / polie brillant</w:t>
      </w:r>
      <w:r>
        <w:t xml:space="preserve">, comme décrit en </w:t>
      </w:r>
      <w:hyperlink w:anchor="484" w:history="1">
        <w:r>
          <w:t>22.71 Traitements esthétiques ou de surface</w:t>
        </w:r>
      </w:hyperlink>
      <w:r>
        <w:t>.</w:t>
      </w:r>
    </w:p>
    <w:p w14:paraId="304C88D6"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032A53E3" w14:textId="77777777" w:rsidR="00DF410E" w:rsidRDefault="00CE7F43">
      <w:pPr>
        <w:pStyle w:val="Author-eListParagraph"/>
        <w:numPr>
          <w:ilvl w:val="0"/>
          <w:numId w:val="442"/>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09E0CC49" w14:textId="77777777" w:rsidR="00DF410E" w:rsidRDefault="00CE7F43">
      <w:pPr>
        <w:pStyle w:val="Author-eListParagraph"/>
        <w:numPr>
          <w:ilvl w:val="0"/>
          <w:numId w:val="442"/>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1009D56E" w14:textId="77777777" w:rsidR="00DF410E" w:rsidRDefault="00CE7F43">
      <w:pPr>
        <w:pStyle w:val="Author-eListParagraph"/>
        <w:numPr>
          <w:ilvl w:val="0"/>
          <w:numId w:val="442"/>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44D9D50" w14:textId="77777777" w:rsidR="00DF410E" w:rsidRDefault="00CE7F43">
      <w:pPr>
        <w:pStyle w:val="Author-eListParagraph"/>
        <w:numPr>
          <w:ilvl w:val="0"/>
          <w:numId w:val="442"/>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098F825" w14:textId="77777777" w:rsidR="00DF410E" w:rsidRDefault="00CE7F43">
      <w:pPr>
        <w:pStyle w:val="pheading"/>
      </w:pPr>
      <w:r>
        <w:t>- Prescriptions complémentaires</w:t>
      </w:r>
    </w:p>
    <w:p w14:paraId="577458CA" w14:textId="77777777" w:rsidR="00DF410E" w:rsidRDefault="00CE7F43">
      <w:r>
        <w:rPr>
          <w:color w:val="3366FF"/>
        </w:rPr>
        <w:t xml:space="preserve">Résistance au feu: pour les éléments porteurs et structuraux sans fonction séparant </w:t>
      </w:r>
      <w:r>
        <w:rPr>
          <w:rStyle w:val="optioncarChar"/>
        </w:rPr>
        <w:t>R15 / R30 </w:t>
      </w:r>
      <w:r>
        <w:t xml:space="preserve">(par défaut) </w:t>
      </w:r>
      <w:r>
        <w:rPr>
          <w:rStyle w:val="optioncarChar"/>
        </w:rPr>
        <w:t xml:space="preserve">/ R60 / R120 / R *** </w:t>
      </w:r>
      <w:r>
        <w:rPr>
          <w:color w:val="3366FF"/>
        </w:rPr>
        <w:t>et pour les éléments porteurs et structuraux avec fonction séparant</w:t>
      </w:r>
      <w:r>
        <w:rPr>
          <w:rStyle w:val="optioncarChar"/>
        </w:rPr>
        <w:t> REI 30 </w:t>
      </w:r>
      <w:r>
        <w:t>(par défaut)</w:t>
      </w:r>
      <w:r>
        <w:rPr>
          <w:rStyle w:val="optioncarChar"/>
        </w:rPr>
        <w:t xml:space="preserve"> / REI 60 / REI 120 / REI *** </w:t>
      </w:r>
      <w:r>
        <w:rPr>
          <w:color w:val="3366FF"/>
        </w:rPr>
        <w:t>démontrée par test au feu selon la [NBN EN 13501-2] ou par calcul selon les Eurocodes conformément à l' [AM 2013-05-17].</w:t>
      </w:r>
    </w:p>
    <w:p w14:paraId="257F23D0" w14:textId="77777777" w:rsidR="00DF410E" w:rsidRDefault="00CE7F43">
      <w:pPr>
        <w:pStyle w:val="pheading"/>
      </w:pPr>
      <w:r>
        <w:t>EXÉCUTION / MISE EN ŒUVRE</w:t>
      </w:r>
    </w:p>
    <w:p w14:paraId="198DA1A8" w14:textId="77777777" w:rsidR="00DF410E" w:rsidRDefault="00CE7F43">
      <w:pPr>
        <w:pStyle w:val="pheading"/>
      </w:pPr>
      <w:r>
        <w:t>- Prescriptions générales</w:t>
      </w:r>
    </w:p>
    <w:p w14:paraId="697F5B42" w14:textId="77777777" w:rsidR="00DF410E" w:rsidRDefault="00DF410E"/>
    <w:p w14:paraId="55DCD9C7" w14:textId="77777777" w:rsidR="00DF410E" w:rsidRDefault="00CE7F43">
      <w:pPr>
        <w:pStyle w:val="Author-eListParagraph"/>
        <w:numPr>
          <w:ilvl w:val="0"/>
          <w:numId w:val="443"/>
        </w:numPr>
      </w:pPr>
      <w:r>
        <w:t>Les planchers sont coulés sur place en </w:t>
      </w:r>
      <w:r>
        <w:rPr>
          <w:rStyle w:val="optioncarChar"/>
        </w:rPr>
        <w:t>une seule </w:t>
      </w:r>
      <w:r>
        <w:t>(par défaut)</w:t>
      </w:r>
      <w:r>
        <w:rPr>
          <w:rStyle w:val="optioncarChar"/>
        </w:rPr>
        <w:t xml:space="preserve"> / *** </w:t>
      </w:r>
      <w:r>
        <w:t>fois.</w:t>
      </w:r>
    </w:p>
    <w:p w14:paraId="149B893A" w14:textId="77777777" w:rsidR="00DF410E" w:rsidRDefault="00CE7F43">
      <w:pPr>
        <w:pStyle w:val="Author-eListParagraph"/>
        <w:numPr>
          <w:ilvl w:val="0"/>
          <w:numId w:val="443"/>
        </w:numPr>
      </w:pPr>
      <w:r>
        <w:t>Le comportement du coffrage perdu lors du coulage du béton doit être minutieusement suivi.</w:t>
      </w:r>
    </w:p>
    <w:p w14:paraId="2DEC390F" w14:textId="77777777" w:rsidR="00DF410E" w:rsidRDefault="00CE7F43">
      <w:pPr>
        <w:pStyle w:val="Author-eListParagraph"/>
        <w:numPr>
          <w:ilvl w:val="0"/>
          <w:numId w:val="443"/>
        </w:numPr>
      </w:pPr>
      <w:r>
        <w:t>Le décoffrage du plancher ne peut se faire avant</w:t>
      </w:r>
      <w:r>
        <w:rPr>
          <w:rStyle w:val="optioncarChar"/>
        </w:rPr>
        <w:t> 21 </w:t>
      </w:r>
      <w:r>
        <w:t>(par défaut)</w:t>
      </w:r>
      <w:r>
        <w:rPr>
          <w:rStyle w:val="optioncarChar"/>
        </w:rPr>
        <w:t xml:space="preserve"> / ***</w:t>
      </w:r>
      <w:r>
        <w:t xml:space="preserve"> jours suivant le coulage du béton.</w:t>
      </w:r>
    </w:p>
    <w:p w14:paraId="5A55B6C2" w14:textId="77777777" w:rsidR="00DF410E" w:rsidRDefault="00CE7F43">
      <w:pPr>
        <w:pStyle w:val="pheading"/>
      </w:pPr>
      <w:r>
        <w:t>- Notes d’exécution complémentaires</w:t>
      </w:r>
    </w:p>
    <w:p w14:paraId="2551272A" w14:textId="77777777" w:rsidR="00DF410E" w:rsidRDefault="00CE7F43">
      <w:r>
        <w:rPr>
          <w:rStyle w:val="facultChar"/>
        </w:rPr>
        <w:t xml:space="preserve">Ponts d'humidité / étanchéité à l'eau : </w:t>
      </w:r>
      <w:r>
        <w:rPr>
          <w:rStyle w:val="optioncarChar"/>
        </w:rPr>
        <w:t>***</w:t>
      </w:r>
      <w:r>
        <w:rPr>
          <w:rStyle w:val="facultChar"/>
        </w:rPr>
        <w:t>.</w:t>
      </w:r>
      <w:r>
        <w:br/>
      </w:r>
      <w:r>
        <w:rPr>
          <w:rStyle w:val="facultChar"/>
        </w:rPr>
        <w:t xml:space="preserve">Ponts thermiques / isolation thermique : </w:t>
      </w:r>
      <w:r>
        <w:rPr>
          <w:rStyle w:val="optioncarChar"/>
        </w:rPr>
        <w:t>***</w:t>
      </w:r>
      <w:r>
        <w:rPr>
          <w:rStyle w:val="facultChar"/>
        </w:rPr>
        <w:t>.</w:t>
      </w:r>
      <w:r>
        <w:br/>
      </w:r>
      <w:r>
        <w:rPr>
          <w:rStyle w:val="facultChar"/>
        </w:rPr>
        <w:t>Réservations / pénétrations :</w:t>
      </w:r>
      <w:r>
        <w:rPr>
          <w:rStyle w:val="optioncarChar"/>
        </w:rPr>
        <w:t>***</w:t>
      </w:r>
      <w:r>
        <w:rPr>
          <w:rStyle w:val="facultChar"/>
        </w:rPr>
        <w:t>.</w:t>
      </w:r>
    </w:p>
    <w:p w14:paraId="3558454F" w14:textId="77777777" w:rsidR="00DF410E" w:rsidRDefault="00CE7F43">
      <w:pPr>
        <w:pStyle w:val="pheading"/>
      </w:pPr>
      <w:r>
        <w:t>DOCUMENTS DE RÉFÉRENCE COMPLÉMENTAIRES</w:t>
      </w:r>
    </w:p>
    <w:p w14:paraId="1667B361" w14:textId="77777777" w:rsidR="00DF410E" w:rsidRDefault="00CE7F43">
      <w:pPr>
        <w:pStyle w:val="pheading"/>
      </w:pPr>
      <w:r>
        <w:t>- Matériau</w:t>
      </w:r>
    </w:p>
    <w:p w14:paraId="23595540" w14:textId="77777777" w:rsidR="00DF410E" w:rsidRDefault="00CE7F43">
      <w:r>
        <w:t>[NIT 267, Sols intérieurs en béton (révision de la NIT 204)]</w:t>
      </w:r>
    </w:p>
    <w:p w14:paraId="352836E4" w14:textId="77777777" w:rsidR="00DF410E" w:rsidRDefault="00CE7F43">
      <w:r>
        <w:t>[NBN EN 206:2013+A2, Béton - Spécification, performances, production et conformité]</w:t>
      </w:r>
    </w:p>
    <w:p w14:paraId="62CE9CF9" w14:textId="77777777" w:rsidR="00DF410E" w:rsidRDefault="00CE7F43">
      <w:r>
        <w:t>[NBN B 15-001, Béton - Spécification, performances, production et conformité - Complément national à la NBN EN 206:2013+A2:2021]</w:t>
      </w:r>
    </w:p>
    <w:p w14:paraId="2B68D5A0" w14:textId="77777777" w:rsidR="00DF410E" w:rsidRDefault="00CE7F43">
      <w:r>
        <w:t>[NBN B 15-007, Béton apparent - Classifications et spécifications]</w:t>
      </w:r>
    </w:p>
    <w:p w14:paraId="6FD81471" w14:textId="77777777" w:rsidR="00DF410E" w:rsidRDefault="00CE7F43">
      <w:r>
        <w:t>[NBN A 24-302, Produits sidérurgiques - Aciers pour béton armé - Barres lisses et barres à nervures - Fils machine lisses et fils machine à nervures]</w:t>
      </w:r>
    </w:p>
    <w:p w14:paraId="4F953187" w14:textId="77777777" w:rsidR="00DF410E" w:rsidRDefault="00CE7F43">
      <w:r>
        <w:t>[NBN A 24-303, Produits sidérurgiques - Aciers pour béton armé - Fils écrouis à froid lisses et fils écrouis à froid à nervures]</w:t>
      </w:r>
    </w:p>
    <w:p w14:paraId="2999F943" w14:textId="77777777" w:rsidR="00DF410E" w:rsidRDefault="00CE7F43">
      <w:r>
        <w:t>[PTV 302, Aciers pour béton armé - Barres à nervures ou à empreintes - Fils à nervures ou à empreintes à haute ductilité]</w:t>
      </w:r>
    </w:p>
    <w:p w14:paraId="12FC446D" w14:textId="77777777" w:rsidR="00DF410E" w:rsidRDefault="00CE7F43">
      <w:r>
        <w:t>[PTV 303, Aciers pour béton armé - Fils écrouis à froid à nervures à basse ductilité]</w:t>
      </w:r>
    </w:p>
    <w:p w14:paraId="72D9CF34" w14:textId="77777777" w:rsidR="00DF410E" w:rsidRDefault="00CE7F43">
      <w:r>
        <w:t>[PTV 304, Aciers pour béton armé - Treillis soudés]</w:t>
      </w:r>
    </w:p>
    <w:p w14:paraId="28EEF447" w14:textId="77777777" w:rsidR="00DF410E" w:rsidRDefault="00CE7F43">
      <w:r>
        <w:t>[NBN A 24-304, Produits sidérurgiques - Aciers pour béton armé - Treillis soudés]</w:t>
      </w:r>
    </w:p>
    <w:p w14:paraId="721E2154"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8F1960B" w14:textId="77777777" w:rsidR="00DF410E" w:rsidRDefault="00CE7F43">
      <w:pPr>
        <w:pStyle w:val="pheading"/>
      </w:pPr>
      <w:r>
        <w:t>MESURAGE</w:t>
      </w:r>
    </w:p>
    <w:p w14:paraId="3715E7A8" w14:textId="77777777" w:rsidR="00DF410E" w:rsidRDefault="00CE7F43">
      <w:pPr>
        <w:pStyle w:val="pheading"/>
      </w:pPr>
      <w:r>
        <w:t>- unité de mesure:</w:t>
      </w:r>
    </w:p>
    <w:p w14:paraId="5E64F2B1" w14:textId="77777777" w:rsidR="00DF410E" w:rsidRDefault="00CE7F43">
      <w:r>
        <w:rPr>
          <w:rStyle w:val="optioncarChar"/>
        </w:rPr>
        <w:t>m²</w:t>
      </w:r>
      <w:r>
        <w:t xml:space="preserve"> (par défaut) </w:t>
      </w:r>
      <w:r>
        <w:rPr>
          <w:rStyle w:val="optioncarChar"/>
        </w:rPr>
        <w:t>/  m³ ; kg /  m³ ; m³ ; kg</w:t>
      </w:r>
    </w:p>
    <w:p w14:paraId="61BF6842" w14:textId="77777777" w:rsidR="00DF410E" w:rsidRDefault="00CE7F43">
      <w:r>
        <w:rPr>
          <w:b/>
          <w:i/>
        </w:rPr>
        <w:t> (Soit par défaut)</w:t>
      </w:r>
    </w:p>
    <w:p w14:paraId="070FA4C4" w14:textId="77777777" w:rsidR="00DF410E" w:rsidRDefault="00CE7F43">
      <w:r>
        <w:rPr>
          <w:rStyle w:val="soitChar"/>
          <w:u w:val="single"/>
        </w:rPr>
        <w:t>1. m²</w:t>
      </w:r>
      <w:r>
        <w:rPr>
          <w:rStyle w:val="soitChar"/>
        </w:rP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7E309F2F" w14:textId="77777777" w:rsidR="00DF410E" w:rsidRDefault="00CE7F43">
      <w:r>
        <w:rPr>
          <w:b/>
          <w:i/>
        </w:rPr>
        <w:t>(Soit)</w:t>
      </w:r>
    </w:p>
    <w:p w14:paraId="2A57BFD1" w14:textId="77777777" w:rsidR="00DF410E" w:rsidRDefault="00CE7F43">
      <w:r>
        <w:rPr>
          <w:rStyle w:val="soitChar"/>
          <w:u w:val="single"/>
        </w:rPr>
        <w:t>2. m³ ; kg</w:t>
      </w:r>
    </w:p>
    <w:p w14:paraId="03668494" w14:textId="77777777" w:rsidR="00DF410E" w:rsidRDefault="00CE7F43">
      <w:pPr>
        <w:pStyle w:val="Author-eListParagraph"/>
        <w:numPr>
          <w:ilvl w:val="0"/>
          <w:numId w:val="444"/>
        </w:numPr>
      </w:pPr>
      <w:r>
        <w:rPr>
          <w:rStyle w:val="soitChar"/>
        </w:rPr>
        <w:t>m³ pour le béton, kg pour les armatures</w:t>
      </w:r>
    </w:p>
    <w:p w14:paraId="0EF8D877" w14:textId="77777777" w:rsidR="00DF410E" w:rsidRDefault="00CE7F43">
      <w:pPr>
        <w:pStyle w:val="Author-eListParagraph"/>
        <w:numPr>
          <w:ilvl w:val="0"/>
          <w:numId w:val="444"/>
        </w:numPr>
      </w:pPr>
      <w:r>
        <w:rPr>
          <w:rStyle w:val="soitChar"/>
        </w:rPr>
        <w:t>Tous les autres éléments, travaux et fournitures doivent être compris dans les prix unitaires respectifs pour les mesurages précités.</w:t>
      </w:r>
    </w:p>
    <w:p w14:paraId="7B9517A2" w14:textId="77777777" w:rsidR="00DF410E" w:rsidRDefault="00CE7F43">
      <w:r>
        <w:rPr>
          <w:b/>
          <w:i/>
        </w:rPr>
        <w:t> (Soit)</w:t>
      </w:r>
    </w:p>
    <w:p w14:paraId="21B889DB" w14:textId="77777777" w:rsidR="00DF410E" w:rsidRDefault="00CE7F43">
      <w:r>
        <w:rPr>
          <w:rStyle w:val="soitChar"/>
          <w:u w:val="single"/>
        </w:rPr>
        <w:t>3. m³ ; m² ; kg</w:t>
      </w:r>
    </w:p>
    <w:p w14:paraId="3F8D4E88" w14:textId="77777777" w:rsidR="00DF410E" w:rsidRDefault="00CE7F43">
      <w:pPr>
        <w:pStyle w:val="Author-eListParagraph"/>
        <w:numPr>
          <w:ilvl w:val="0"/>
          <w:numId w:val="445"/>
        </w:numPr>
      </w:pPr>
      <w:r>
        <w:rPr>
          <w:rStyle w:val="soitChar"/>
        </w:rPr>
        <w:t>m³ pour le béton  </w:t>
      </w:r>
    </w:p>
    <w:p w14:paraId="2B0A852F" w14:textId="77777777" w:rsidR="00DF410E" w:rsidRDefault="00CE7F43">
      <w:pPr>
        <w:pStyle w:val="Author-eListParagraph"/>
        <w:numPr>
          <w:ilvl w:val="0"/>
          <w:numId w:val="445"/>
        </w:numPr>
      </w:pPr>
      <w:r>
        <w:rPr>
          <w:rStyle w:val="soitChar"/>
        </w:rPr>
        <w:t>m² pour le coffrage</w:t>
      </w:r>
    </w:p>
    <w:p w14:paraId="4DA42461" w14:textId="77777777" w:rsidR="00DF410E" w:rsidRDefault="00CE7F43">
      <w:pPr>
        <w:pStyle w:val="Author-eListParagraph"/>
        <w:numPr>
          <w:ilvl w:val="0"/>
          <w:numId w:val="445"/>
        </w:numPr>
      </w:pPr>
      <w:r>
        <w:rPr>
          <w:rStyle w:val="soitChar"/>
        </w:rPr>
        <w:t>kg pour les armatures</w:t>
      </w:r>
    </w:p>
    <w:p w14:paraId="2D1481F2" w14:textId="77777777" w:rsidR="00DF410E" w:rsidRDefault="00CE7F43">
      <w:pPr>
        <w:pStyle w:val="Author-eListParagraph"/>
        <w:numPr>
          <w:ilvl w:val="0"/>
          <w:numId w:val="445"/>
        </w:numPr>
      </w:pPr>
      <w:r>
        <w:rPr>
          <w:rStyle w:val="soitChar"/>
        </w:rPr>
        <w:t>Tous les autres éléments, travaux et fournitures doivent être compris dans les prix unitaires respectifs pour les mesurages précités.</w:t>
      </w:r>
    </w:p>
    <w:p w14:paraId="06C9D930" w14:textId="77777777" w:rsidR="00DF410E" w:rsidRDefault="00CE7F43">
      <w:pPr>
        <w:pStyle w:val="pheading"/>
      </w:pPr>
      <w:r>
        <w:t>- code de mesurage:</w:t>
      </w:r>
    </w:p>
    <w:p w14:paraId="089DC9BA" w14:textId="77777777" w:rsidR="00DF410E" w:rsidRDefault="00CE7F43">
      <w:pPr>
        <w:jc w:val="both"/>
      </w:pPr>
      <w:r>
        <w:t>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28509C65" w14:textId="77777777" w:rsidR="00DF410E" w:rsidRDefault="00CE7F43">
      <w:pPr>
        <w:jc w:val="both"/>
      </w:pPr>
      <w: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78C8E88" w14:textId="77777777" w:rsidR="00DF410E" w:rsidRDefault="00CE7F43">
      <w:r>
        <w:rPr>
          <w:rStyle w:val="optioncarChar"/>
        </w:rPr>
        <w:t xml:space="preserve">Surface utile </w:t>
      </w:r>
      <w:r>
        <w:t>(par défaut)</w:t>
      </w:r>
      <w:r>
        <w:rPr>
          <w:rStyle w:val="optioncarChar"/>
        </w:rPr>
        <w:t xml:space="preserve"> / quantités détaillées</w:t>
      </w:r>
    </w:p>
    <w:p w14:paraId="2644C7F5" w14:textId="77777777" w:rsidR="00DF410E" w:rsidRDefault="00CE7F43">
      <w:pPr>
        <w:jc w:val="both"/>
      </w:pPr>
      <w:r>
        <w:rPr>
          <w:b/>
          <w:i/>
        </w:rPr>
        <w:t>(Soit par défaut)</w:t>
      </w:r>
    </w:p>
    <w:p w14:paraId="37B7BF99" w14:textId="77777777" w:rsidR="00DF410E" w:rsidRDefault="00CE7F43">
      <w:pPr>
        <w:jc w:val="both"/>
      </w:pPr>
      <w:r>
        <w:rPr>
          <w:rStyle w:val="soitChar"/>
          <w:u w:val="single"/>
        </w:rPr>
        <w:t>1. Surface utile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1F3E0FE6" w14:textId="77777777" w:rsidR="00DF410E" w:rsidRDefault="00CE7F43">
      <w:pPr>
        <w:jc w:val="both"/>
      </w:pPr>
      <w:r>
        <w:rPr>
          <w:b/>
          <w:i/>
        </w:rPr>
        <w:t>(Soit)</w:t>
      </w:r>
    </w:p>
    <w:p w14:paraId="2AF4B0B0" w14:textId="77777777" w:rsidR="00DF410E" w:rsidRDefault="00CE7F43">
      <w:pPr>
        <w:jc w:val="both"/>
      </w:pPr>
      <w:r>
        <w:rPr>
          <w:rStyle w:val="soitChar"/>
          <w:u w:val="single"/>
        </w:rPr>
        <w:t>2. 3. Quantités détaillées selon le bordereau</w:t>
      </w:r>
    </w:p>
    <w:p w14:paraId="082B2A61" w14:textId="77777777" w:rsidR="00DF410E" w:rsidRDefault="00CE7F43">
      <w:pPr>
        <w:pStyle w:val="pheading"/>
      </w:pPr>
      <w:r>
        <w:t>- nature du marché:</w:t>
      </w:r>
    </w:p>
    <w:p w14:paraId="7B0587ED" w14:textId="77777777" w:rsidR="00DF410E" w:rsidRDefault="00CE7F43">
      <w:r>
        <w:t>QF</w:t>
      </w:r>
    </w:p>
    <w:p w14:paraId="1E3C943F" w14:textId="77777777" w:rsidR="00DF410E" w:rsidRDefault="00CE7F43">
      <w:pPr>
        <w:pStyle w:val="Author-eSectionHeading6"/>
      </w:pPr>
      <w:bookmarkStart w:id="722" w:name="_Toc178837887"/>
      <w:r>
        <w:t>22.15.2b Planchers en dalles pleines nervurées de béton apparent (esthétique) armé coulé en place CCTB 01.11</w:t>
      </w:r>
      <w:bookmarkEnd w:id="722"/>
    </w:p>
    <w:p w14:paraId="15100630" w14:textId="77777777" w:rsidR="00DF410E" w:rsidRDefault="00CE7F43">
      <w:pPr>
        <w:pStyle w:val="pheading"/>
      </w:pPr>
      <w:r>
        <w:t>MATÉRIAUX</w:t>
      </w:r>
    </w:p>
    <w:p w14:paraId="22CA15FD" w14:textId="77777777" w:rsidR="00DF410E" w:rsidRDefault="00CE7F43">
      <w:pPr>
        <w:pStyle w:val="pheading"/>
      </w:pPr>
      <w:r>
        <w:t>- Finitions</w:t>
      </w:r>
    </w:p>
    <w:p w14:paraId="3DBA4761" w14:textId="77777777" w:rsidR="00DF410E" w:rsidRDefault="00CE7F43">
      <w:pPr>
        <w:jc w:val="both"/>
      </w:pPr>
      <w:r>
        <w:t>Finition supérieure :</w:t>
      </w:r>
      <w:r>
        <w:rPr>
          <w:rStyle w:val="optioncarChar"/>
        </w:rPr>
        <w:t xml:space="preserve"> talochée </w:t>
      </w:r>
      <w:r>
        <w:t>(par défaut) </w:t>
      </w:r>
      <w:r>
        <w:rPr>
          <w:rStyle w:val="optioncarChar"/>
        </w:rPr>
        <w:t>/ polie</w:t>
      </w:r>
      <w:r>
        <w:t>.</w:t>
      </w:r>
    </w:p>
    <w:p w14:paraId="2E511E1E" w14:textId="77777777" w:rsidR="00DF410E" w:rsidRDefault="00CE7F43">
      <w:pPr>
        <w:jc w:val="both"/>
      </w:pPr>
      <w:r>
        <w:t xml:space="preserve">Couche d’usure incorporée : </w:t>
      </w:r>
      <w:r>
        <w:rPr>
          <w:rStyle w:val="optioncarChar"/>
        </w:rPr>
        <w:t>oui / non</w:t>
      </w:r>
    </w:p>
    <w:p w14:paraId="78FD427B" w14:textId="77777777" w:rsidR="00DF410E" w:rsidRDefault="00CE7F43">
      <w:pPr>
        <w:jc w:val="both"/>
      </w:pPr>
      <w:r>
        <w:t xml:space="preserve">Finition inférieure : le type de béton apparent défini suivant la [NBN B 15-007] est </w:t>
      </w:r>
      <w:r>
        <w:rPr>
          <w:rStyle w:val="optioncarChar"/>
        </w:rPr>
        <w:t>ZBA/1 // ZBA/2 // ZBA/3 // ZBA/4 // ZBA/5</w:t>
      </w:r>
    </w:p>
    <w:p w14:paraId="26EC63DE" w14:textId="77777777" w:rsidR="00DF410E" w:rsidRDefault="00CE7F43">
      <w:pPr>
        <w:jc w:val="both"/>
      </w:pPr>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4" w:history="1">
        <w:r>
          <w:t>22.71 Traitements esthétiques ou de surface</w:t>
        </w:r>
      </w:hyperlink>
      <w:r>
        <w:t>.</w:t>
      </w:r>
    </w:p>
    <w:p w14:paraId="55C006CD"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42D1C76E" w14:textId="77777777" w:rsidR="00DF410E" w:rsidRDefault="00CE7F43">
      <w:pPr>
        <w:pStyle w:val="Author-eListParagraph"/>
        <w:numPr>
          <w:ilvl w:val="0"/>
          <w:numId w:val="446"/>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04DCA274" w14:textId="77777777" w:rsidR="00DF410E" w:rsidRDefault="00CE7F43">
      <w:pPr>
        <w:pStyle w:val="Author-eListParagraph"/>
        <w:numPr>
          <w:ilvl w:val="0"/>
          <w:numId w:val="446"/>
        </w:numPr>
      </w:pPr>
      <w:r>
        <w:rPr>
          <w:rStyle w:val="soitChar"/>
        </w:rPr>
        <w:t>Le bullage :</w:t>
      </w:r>
      <w:r>
        <w:t xml:space="preserve">  </w:t>
      </w:r>
      <w:r>
        <w:rPr>
          <w:rStyle w:val="optioncarChar"/>
        </w:rPr>
        <w:t xml:space="preserve">LBA1 </w:t>
      </w:r>
      <w:r>
        <w:t>(par défaut</w:t>
      </w:r>
      <w:r>
        <w:rPr>
          <w:rStyle w:val="soitChar"/>
        </w:rPr>
        <w:t>)</w:t>
      </w:r>
      <w:r>
        <w:rPr>
          <w:rStyle w:val="optioncarChar"/>
        </w:rPr>
        <w:t xml:space="preserve"> / LBA2 / LBA3 / suivant description spécifique</w:t>
      </w:r>
    </w:p>
    <w:p w14:paraId="1F50E74D" w14:textId="77777777" w:rsidR="00DF410E" w:rsidRDefault="00CE7F43">
      <w:pPr>
        <w:pStyle w:val="Author-eListParagraph"/>
        <w:numPr>
          <w:ilvl w:val="0"/>
          <w:numId w:val="446"/>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7DC6406C" w14:textId="77777777" w:rsidR="00DF410E" w:rsidRDefault="00CE7F43">
      <w:pPr>
        <w:pStyle w:val="Author-eListParagraph"/>
        <w:numPr>
          <w:ilvl w:val="0"/>
          <w:numId w:val="446"/>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39A26C11" w14:textId="77777777" w:rsidR="00DF410E" w:rsidRDefault="00CE7F43">
      <w:r>
        <w:rPr>
          <w:rStyle w:val="optioncarChar"/>
          <w:color w:val="000000"/>
        </w:rPr>
        <w:t>Les arêtes saillantes des planchers sont</w:t>
      </w:r>
      <w:r>
        <w:rPr>
          <w:rStyle w:val="optioncarChar"/>
        </w:rPr>
        <w:t xml:space="preserve"> vives / chanfreinées </w:t>
      </w:r>
      <w:r>
        <w:t>(par défaut)</w:t>
      </w:r>
      <w:r>
        <w:rPr>
          <w:rStyle w:val="optioncarChar"/>
        </w:rPr>
        <w:t xml:space="preserve">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27189355" w14:textId="77777777" w:rsidR="00DF410E" w:rsidRDefault="00CE7F43">
      <w:pPr>
        <w:pStyle w:val="Author-eSectionHeading6"/>
      </w:pPr>
      <w:bookmarkStart w:id="723" w:name="_Toc178837888"/>
      <w:r>
        <w:t>22.15.2c Planchers-champignons en béton apparent (esthétique) armé coulé en place CCTB 01.11</w:t>
      </w:r>
      <w:bookmarkEnd w:id="723"/>
    </w:p>
    <w:p w14:paraId="74D8DE78" w14:textId="77777777" w:rsidR="00DF410E" w:rsidRDefault="00CE7F43">
      <w:pPr>
        <w:pStyle w:val="pheading"/>
      </w:pPr>
      <w:r>
        <w:t>MATÉRIAUX</w:t>
      </w:r>
    </w:p>
    <w:p w14:paraId="3EDBA372" w14:textId="77777777" w:rsidR="00DF410E" w:rsidRDefault="00CE7F43">
      <w:pPr>
        <w:pStyle w:val="pheading"/>
      </w:pPr>
      <w:r>
        <w:t>- Finitions</w:t>
      </w:r>
    </w:p>
    <w:p w14:paraId="0B1A1E04"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03FE2B84" w14:textId="77777777" w:rsidR="00DF410E" w:rsidRDefault="00CE7F43">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4" w:history="1">
        <w:r>
          <w:t>22.71 Traitements esthétiques ou de surface</w:t>
        </w:r>
      </w:hyperlink>
      <w:r>
        <w:t>.</w:t>
      </w:r>
    </w:p>
    <w:p w14:paraId="48D812F0" w14:textId="77777777" w:rsidR="00DF410E" w:rsidRDefault="00CE7F43">
      <w:r>
        <w:t xml:space="preserve">La face supérieure non coffrée des éléments est </w:t>
      </w:r>
      <w:r>
        <w:rPr>
          <w:rStyle w:val="optioncarChar"/>
        </w:rPr>
        <w:t>laissée rugueuse / lissée à la taloche </w:t>
      </w:r>
      <w:r>
        <w:t>(par défaut)</w:t>
      </w:r>
      <w:r>
        <w:rPr>
          <w:rStyle w:val="optioncarChar"/>
        </w:rPr>
        <w:t xml:space="preserve"> / lavée à l’eau / brossée / bouchardée / grenaillée / grésée / polie mat / polie brillant.</w:t>
      </w:r>
    </w:p>
    <w:p w14:paraId="245B4C91"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5D95262C" w14:textId="77777777" w:rsidR="00DF410E" w:rsidRDefault="00CE7F43">
      <w:pPr>
        <w:pStyle w:val="Author-eListParagraph"/>
        <w:numPr>
          <w:ilvl w:val="0"/>
          <w:numId w:val="447"/>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DE65B79" w14:textId="77777777" w:rsidR="00DF410E" w:rsidRDefault="00CE7F43">
      <w:pPr>
        <w:pStyle w:val="Author-eListParagraph"/>
        <w:numPr>
          <w:ilvl w:val="0"/>
          <w:numId w:val="447"/>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4950039A" w14:textId="77777777" w:rsidR="00DF410E" w:rsidRDefault="00CE7F43">
      <w:pPr>
        <w:pStyle w:val="Author-eListParagraph"/>
        <w:numPr>
          <w:ilvl w:val="0"/>
          <w:numId w:val="447"/>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DA71233" w14:textId="77777777" w:rsidR="00DF410E" w:rsidRDefault="00CE7F43">
      <w:pPr>
        <w:pStyle w:val="Author-eListParagraph"/>
        <w:numPr>
          <w:ilvl w:val="0"/>
          <w:numId w:val="447"/>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2D71ED8B" w14:textId="77777777" w:rsidR="00DF410E" w:rsidRDefault="00CE7F43">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06B2BE1F" w14:textId="77777777" w:rsidR="00DF410E" w:rsidRDefault="00CE7F43">
      <w:pPr>
        <w:pStyle w:val="Author-eSectionHeading6"/>
      </w:pPr>
      <w:bookmarkStart w:id="724" w:name="_Toc178837889"/>
      <w:r>
        <w:t>22.15.2d Planchers en béton apparent (esthétique) coulé en place précontraint par post-tension CCTB 01.11</w:t>
      </w:r>
      <w:bookmarkEnd w:id="724"/>
    </w:p>
    <w:p w14:paraId="12346FD3" w14:textId="77777777" w:rsidR="00DF410E" w:rsidRDefault="00CE7F43">
      <w:pPr>
        <w:pStyle w:val="pheading"/>
      </w:pPr>
      <w:r>
        <w:t>MATÉRIAUX</w:t>
      </w:r>
    </w:p>
    <w:p w14:paraId="00B2ACDA" w14:textId="77777777" w:rsidR="00DF410E" w:rsidRDefault="00CE7F43">
      <w:pPr>
        <w:pStyle w:val="pheading"/>
      </w:pPr>
      <w:r>
        <w:t>- Finitions</w:t>
      </w:r>
    </w:p>
    <w:p w14:paraId="619DC756"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7CF52B85" w14:textId="77777777" w:rsidR="00DF410E" w:rsidRDefault="00CE7F43">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4" w:history="1">
        <w:r>
          <w:t>22.71 Traitements esthétiques ou de surface</w:t>
        </w:r>
      </w:hyperlink>
      <w:r>
        <w:t>.</w:t>
      </w:r>
    </w:p>
    <w:p w14:paraId="64938D97" w14:textId="77777777" w:rsidR="00DF410E" w:rsidRDefault="00CE7F43">
      <w:r>
        <w:t xml:space="preserve">La face supérieure non coffrée des éléments est </w:t>
      </w:r>
      <w:r>
        <w:rPr>
          <w:rStyle w:val="optioncarChar"/>
        </w:rPr>
        <w:t xml:space="preserve">laissée rugueuse / lissée à la taloche </w:t>
      </w:r>
      <w:r>
        <w:t>(par défaut) </w:t>
      </w:r>
      <w:r>
        <w:rPr>
          <w:rStyle w:val="optioncarChar"/>
        </w:rPr>
        <w:t>/ lavée à l’eau / brossée / bouchardée / grenaillée / grésée / polie mat / polie brillant.</w:t>
      </w:r>
    </w:p>
    <w:p w14:paraId="0BABD8DD"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5AAB4530" w14:textId="77777777" w:rsidR="00DF410E" w:rsidRDefault="00CE7F43">
      <w:pPr>
        <w:pStyle w:val="Author-eListParagraph"/>
        <w:numPr>
          <w:ilvl w:val="0"/>
          <w:numId w:val="448"/>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778A3766" w14:textId="77777777" w:rsidR="00DF410E" w:rsidRDefault="00CE7F43">
      <w:pPr>
        <w:pStyle w:val="Author-eListParagraph"/>
        <w:numPr>
          <w:ilvl w:val="0"/>
          <w:numId w:val="448"/>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0C7C32A7" w14:textId="77777777" w:rsidR="00DF410E" w:rsidRDefault="00CE7F43">
      <w:pPr>
        <w:pStyle w:val="Author-eListParagraph"/>
        <w:numPr>
          <w:ilvl w:val="0"/>
          <w:numId w:val="448"/>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3AFE80B" w14:textId="77777777" w:rsidR="00DF410E" w:rsidRDefault="00CE7F43">
      <w:pPr>
        <w:pStyle w:val="Author-eListParagraph"/>
        <w:numPr>
          <w:ilvl w:val="0"/>
          <w:numId w:val="448"/>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5E65AA63" w14:textId="77777777" w:rsidR="00DF410E" w:rsidRDefault="00CE7F43">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7D46813C" w14:textId="77777777" w:rsidR="00DF410E" w:rsidRDefault="00CE7F43">
      <w:pPr>
        <w:pStyle w:val="Author-eSectionHeading5"/>
      </w:pPr>
      <w:bookmarkStart w:id="725" w:name="_Toc178837890"/>
      <w:r>
        <w:t>22.15.3 Planchers à éléments préfabriqués en béton CCTB 01.11</w:t>
      </w:r>
      <w:bookmarkEnd w:id="725"/>
    </w:p>
    <w:p w14:paraId="14D8E2DF" w14:textId="77777777" w:rsidR="00DF410E" w:rsidRDefault="00CE7F43">
      <w:pPr>
        <w:pStyle w:val="pheading"/>
      </w:pPr>
      <w:r>
        <w:t>MATÉRIAUX</w:t>
      </w:r>
    </w:p>
    <w:p w14:paraId="5F843317" w14:textId="77777777" w:rsidR="00DF410E" w:rsidRDefault="00CE7F43">
      <w:pPr>
        <w:jc w:val="both"/>
      </w:pPr>
      <w:r>
        <w:t>Les éléments de plancher en béton armé satisfont à la [NBN EN 1168+A3], la [NBN B 21-605+A1], la [NBN EN 13224] et la [NBN B 21-603]. Ils bénéficient d’un certificat de conformité. Le certificat est soumis à l’approbation de l'auteur de projet et du bureau d’études en stabilité.</w:t>
      </w:r>
    </w:p>
    <w:p w14:paraId="6DA8EE64" w14:textId="77777777" w:rsidR="00DF410E" w:rsidRDefault="00CE7F43">
      <w:pPr>
        <w:pStyle w:val="pheading"/>
      </w:pPr>
      <w:r>
        <w:t>EXÉCUTION / MISE EN ŒUVRE</w:t>
      </w:r>
    </w:p>
    <w:p w14:paraId="04CE67E5" w14:textId="77777777" w:rsidR="00DF410E" w:rsidRDefault="00CE7F43">
      <w:pPr>
        <w:jc w:val="both"/>
      </w:pPr>
      <w:r>
        <w:rPr>
          <w:b/>
        </w:rPr>
        <w:t>Transport et entreposage</w:t>
      </w:r>
    </w:p>
    <w:p w14:paraId="7D746F84" w14:textId="77777777" w:rsidR="00DF410E" w:rsidRDefault="00CE7F43">
      <w:pPr>
        <w:jc w:val="both"/>
      </w:pPr>
      <w:r>
        <w:t>Pendant le transport et l'entreposage sur chantier, l'entrepreneur veille à ce qu'il ne se produise pas de tensions inadmissibles dans les éléments de plancher. A cet effet, ils sont entreposés en respectant les prescriptions de la documentation technique accompagnant le produit et sont posés sur des chevrons superposés et placés avec un écartement qui n'excède pas 1/5 de la portée.</w:t>
      </w:r>
    </w:p>
    <w:p w14:paraId="76E7050C" w14:textId="77777777" w:rsidR="00DF410E" w:rsidRDefault="00CE7F43">
      <w:pPr>
        <w:pStyle w:val="Author-eSectionHeading6"/>
      </w:pPr>
      <w:bookmarkStart w:id="726" w:name="_Toc178837891"/>
      <w:r>
        <w:t>22.15.3a Planchers à prédalles en béton armé CCTB 01.12</w:t>
      </w:r>
      <w:bookmarkEnd w:id="726"/>
    </w:p>
    <w:p w14:paraId="17B9A55B" w14:textId="77777777" w:rsidR="00DF410E" w:rsidRDefault="00CE7F43">
      <w:pPr>
        <w:pStyle w:val="pheading"/>
      </w:pPr>
      <w:r>
        <w:t>MATÉRIAUX</w:t>
      </w:r>
    </w:p>
    <w:p w14:paraId="4809619C" w14:textId="77777777" w:rsidR="00DF410E" w:rsidRDefault="00CE7F43">
      <w:pPr>
        <w:pStyle w:val="pheading"/>
      </w:pPr>
      <w:r>
        <w:t>- Caractéristiques générales</w:t>
      </w:r>
    </w:p>
    <w:p w14:paraId="2AF27770" w14:textId="77777777" w:rsidR="00DF410E" w:rsidRDefault="00CE7F43">
      <w:r>
        <w:t>Les prédalles sont conformes aux normes [NBN EN 13747+A2] et [NBN B 21-606:2019+A1]. Les prédalles sont toujours livrées accompagnées de leur certificat d'origine. Elles disposent d'un certificat de conformité.</w:t>
      </w:r>
    </w:p>
    <w:p w14:paraId="32DCCE64" w14:textId="77777777" w:rsidR="00DF410E" w:rsidRDefault="00CE7F43">
      <w:pPr>
        <w:pStyle w:val="heading"/>
      </w:pPr>
      <w:r>
        <w:t>Spécifications - prédalles</w:t>
      </w:r>
    </w:p>
    <w:p w14:paraId="5BE6AFD6" w14:textId="77777777" w:rsidR="00DF410E" w:rsidRDefault="00CE7F43">
      <w:pPr>
        <w:pStyle w:val="Author-eListParagraph"/>
        <w:numPr>
          <w:ilvl w:val="0"/>
          <w:numId w:val="449"/>
        </w:numPr>
      </w:pPr>
      <w:r>
        <w:t>Épaisseur des prédalles: conformément aux indications sur les plans</w:t>
      </w:r>
    </w:p>
    <w:p w14:paraId="3BF498F5" w14:textId="77777777" w:rsidR="00DF410E" w:rsidRDefault="00CE7F43">
      <w:pPr>
        <w:pStyle w:val="Author-eListParagraph"/>
        <w:numPr>
          <w:ilvl w:val="0"/>
          <w:numId w:val="449"/>
        </w:numPr>
      </w:pPr>
      <w:r>
        <w:t>Épaisseur des éléments de plancher: conformément aux indications sur les plans</w:t>
      </w:r>
    </w:p>
    <w:p w14:paraId="319CBE47" w14:textId="77777777" w:rsidR="00DF410E" w:rsidRDefault="00CE7F43">
      <w:pPr>
        <w:pStyle w:val="Author-eListParagraph"/>
        <w:numPr>
          <w:ilvl w:val="0"/>
          <w:numId w:val="449"/>
        </w:numPr>
      </w:pPr>
      <w:r>
        <w:t xml:space="preserve">Contre-flèche : </w:t>
      </w:r>
      <w:r>
        <w:rPr>
          <w:rStyle w:val="optioncarChar"/>
        </w:rPr>
        <w:t xml:space="preserve">*** </w:t>
      </w:r>
      <w:r>
        <w:t>de la portée</w:t>
      </w:r>
    </w:p>
    <w:p w14:paraId="653C8A60" w14:textId="77777777" w:rsidR="00DF410E" w:rsidRDefault="00CE7F43">
      <w:pPr>
        <w:pStyle w:val="Author-eListParagraph"/>
        <w:numPr>
          <w:ilvl w:val="0"/>
          <w:numId w:val="449"/>
        </w:numPr>
      </w:pPr>
      <w:r>
        <w:t>Épaisseur de la couche de compression</w:t>
      </w:r>
    </w:p>
    <w:p w14:paraId="5E9563E2" w14:textId="77777777" w:rsidR="00DF410E" w:rsidRDefault="00CE7F43">
      <w:pPr>
        <w:pStyle w:val="Author-eListParagraph"/>
        <w:numPr>
          <w:ilvl w:val="0"/>
          <w:numId w:val="449"/>
        </w:numPr>
      </w:pPr>
      <w:r>
        <w:t>La qualité du béton selon la [NBN EN 206:2013+A2] et [NBN B 15-001] est fonction de l'épaisseur de la couche de compression</w:t>
      </w:r>
    </w:p>
    <w:p w14:paraId="2425BB3B" w14:textId="77777777" w:rsidR="00DF410E" w:rsidRDefault="00CE7F43">
      <w:pPr>
        <w:pStyle w:val="Author-eListParagraph"/>
        <w:numPr>
          <w:ilvl w:val="0"/>
          <w:numId w:val="449"/>
        </w:numPr>
      </w:pPr>
      <w:r>
        <w:rPr>
          <w:rStyle w:val="normalChar"/>
        </w:rPr>
        <w:t>Classe de résistance à la compression</w:t>
      </w:r>
      <w:r>
        <w:br/>
      </w:r>
      <w:r>
        <w:rPr>
          <w:rStyle w:val="optioncarChar"/>
        </w:rPr>
        <w:t>C25/30 </w:t>
      </w:r>
      <w:r>
        <w:t>(par défaut)</w:t>
      </w:r>
      <w:r>
        <w:rPr>
          <w:rStyle w:val="optioncarChar"/>
        </w:rPr>
        <w:t xml:space="preserve"> // C30/37 // C35/45 // C45/55 // C50/60 // C55/67 // C60/75 // C70/85 // C80/95 // C90/105 /// ***</w:t>
      </w:r>
    </w:p>
    <w:p w14:paraId="568C9003" w14:textId="77777777" w:rsidR="00DF410E" w:rsidRDefault="00CE7F43">
      <w:pPr>
        <w:pStyle w:val="Author-eListParagraph"/>
        <w:numPr>
          <w:ilvl w:val="0"/>
          <w:numId w:val="449"/>
        </w:numPr>
      </w:pPr>
      <w:r>
        <w:rPr>
          <w:rStyle w:val="normalChar"/>
        </w:rPr>
        <w:t>Classe d’environnement</w:t>
      </w:r>
      <w:r>
        <w:br/>
      </w:r>
      <w:r>
        <w:rPr>
          <w:rStyle w:val="optioncarChar"/>
        </w:rPr>
        <w:t>E0 </w:t>
      </w:r>
      <w:r>
        <w:t>(par défaut)</w:t>
      </w:r>
      <w:r>
        <w:rPr>
          <w:rStyle w:val="optioncarChar"/>
        </w:rPr>
        <w:t xml:space="preserve"> / EI / EE1 / EE2 / EE3 / EE4 / ES1 / ES2 / ES3 / ES4 / EA1+*** / EA2+***/ EA3+*** / ***</w:t>
      </w:r>
    </w:p>
    <w:p w14:paraId="697DAB2A" w14:textId="77777777" w:rsidR="00DF410E" w:rsidRDefault="00CE7F43">
      <w:r>
        <w:rPr>
          <w:rStyle w:val="headingChar"/>
        </w:rPr>
        <w:t>Spécifications - Couche De Compression</w:t>
      </w:r>
    </w:p>
    <w:p w14:paraId="151C4F90" w14:textId="77777777" w:rsidR="00DF410E" w:rsidRDefault="00CE7F43">
      <w:pPr>
        <w:pStyle w:val="Author-eListParagraph"/>
        <w:numPr>
          <w:ilvl w:val="0"/>
          <w:numId w:val="450"/>
        </w:numPr>
      </w:pPr>
      <w:r>
        <w:t xml:space="preserve">Qualité du béton selon la [NBN EN 206:2013+A2] et la [NBN B 15-001] : (voir également l'article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48B1D2B5" w14:textId="77777777">
        <w:tc>
          <w:tcPr>
            <w:tcW w:w="1500" w:type="dxa"/>
            <w:noWrap/>
          </w:tcPr>
          <w:p w14:paraId="7A2510F7" w14:textId="77777777" w:rsidR="00DF410E" w:rsidRDefault="00CE7F43">
            <w:pPr>
              <w:jc w:val="center"/>
            </w:pPr>
            <w:r>
              <w:rPr>
                <w:b/>
              </w:rPr>
              <w:t>A</w:t>
            </w:r>
          </w:p>
        </w:tc>
        <w:tc>
          <w:tcPr>
            <w:tcW w:w="1500" w:type="dxa"/>
            <w:noWrap/>
          </w:tcPr>
          <w:p w14:paraId="7B08C2C5" w14:textId="77777777" w:rsidR="00DF410E" w:rsidRDefault="00CE7F43">
            <w:pPr>
              <w:jc w:val="center"/>
            </w:pPr>
            <w:r>
              <w:rPr>
                <w:b/>
              </w:rPr>
              <w:t>B1</w:t>
            </w:r>
          </w:p>
        </w:tc>
        <w:tc>
          <w:tcPr>
            <w:tcW w:w="1500" w:type="dxa"/>
            <w:noWrap/>
          </w:tcPr>
          <w:p w14:paraId="1A250744" w14:textId="77777777" w:rsidR="00DF410E" w:rsidRDefault="00CE7F43">
            <w:pPr>
              <w:jc w:val="center"/>
            </w:pPr>
            <w:r>
              <w:rPr>
                <w:b/>
              </w:rPr>
              <w:t>B2</w:t>
            </w:r>
          </w:p>
        </w:tc>
        <w:tc>
          <w:tcPr>
            <w:tcW w:w="1500" w:type="dxa"/>
            <w:noWrap/>
          </w:tcPr>
          <w:p w14:paraId="19946D62" w14:textId="77777777" w:rsidR="00DF410E" w:rsidRDefault="00CE7F43">
            <w:pPr>
              <w:jc w:val="center"/>
            </w:pPr>
            <w:r>
              <w:rPr>
                <w:b/>
              </w:rPr>
              <w:t>C</w:t>
            </w:r>
          </w:p>
        </w:tc>
        <w:tc>
          <w:tcPr>
            <w:tcW w:w="1500" w:type="dxa"/>
            <w:noWrap/>
          </w:tcPr>
          <w:p w14:paraId="6E350C7C" w14:textId="77777777" w:rsidR="00DF410E" w:rsidRDefault="00CE7F43">
            <w:pPr>
              <w:jc w:val="center"/>
            </w:pPr>
            <w:r>
              <w:rPr>
                <w:b/>
              </w:rPr>
              <w:t>D</w:t>
            </w:r>
          </w:p>
        </w:tc>
        <w:tc>
          <w:tcPr>
            <w:tcW w:w="1500" w:type="dxa"/>
            <w:noWrap/>
          </w:tcPr>
          <w:p w14:paraId="042CE09E" w14:textId="77777777" w:rsidR="00DF410E" w:rsidRDefault="00CE7F43">
            <w:pPr>
              <w:jc w:val="center"/>
            </w:pPr>
            <w:r>
              <w:rPr>
                <w:b/>
              </w:rPr>
              <w:t>E</w:t>
            </w:r>
          </w:p>
        </w:tc>
      </w:tr>
      <w:tr w:rsidR="00DF410E" w14:paraId="4A3583F6" w14:textId="77777777">
        <w:tc>
          <w:tcPr>
            <w:tcW w:w="1500" w:type="dxa"/>
            <w:noWrap/>
          </w:tcPr>
          <w:p w14:paraId="68ED4444" w14:textId="77777777" w:rsidR="00DF410E" w:rsidRDefault="00CE7F43">
            <w:pPr>
              <w:jc w:val="center"/>
            </w:pPr>
            <w:r>
              <w:rPr>
                <w:b/>
              </w:rPr>
              <w:t>Classe de résistance</w:t>
            </w:r>
          </w:p>
        </w:tc>
        <w:tc>
          <w:tcPr>
            <w:tcW w:w="1500" w:type="dxa"/>
            <w:noWrap/>
          </w:tcPr>
          <w:p w14:paraId="7160CEB9" w14:textId="77777777" w:rsidR="00DF410E" w:rsidRDefault="00CE7F43">
            <w:pPr>
              <w:jc w:val="center"/>
            </w:pPr>
            <w:r>
              <w:rPr>
                <w:b/>
              </w:rPr>
              <w:t>Domaine d’application</w:t>
            </w:r>
          </w:p>
        </w:tc>
        <w:tc>
          <w:tcPr>
            <w:tcW w:w="1500" w:type="dxa"/>
            <w:noWrap/>
          </w:tcPr>
          <w:p w14:paraId="29E7903C" w14:textId="77777777" w:rsidR="00DF410E" w:rsidRDefault="00CE7F43">
            <w:pPr>
              <w:jc w:val="center"/>
            </w:pPr>
            <w:r>
              <w:rPr>
                <w:b/>
              </w:rPr>
              <w:t>Classe d'environnement</w:t>
            </w:r>
          </w:p>
        </w:tc>
        <w:tc>
          <w:tcPr>
            <w:tcW w:w="1500" w:type="dxa"/>
            <w:noWrap/>
          </w:tcPr>
          <w:p w14:paraId="33951F8B" w14:textId="77777777" w:rsidR="00DF410E" w:rsidRDefault="00CE7F43">
            <w:pPr>
              <w:jc w:val="center"/>
            </w:pPr>
            <w:r>
              <w:rPr>
                <w:b/>
              </w:rPr>
              <w:t>Classe de consistance</w:t>
            </w:r>
          </w:p>
        </w:tc>
        <w:tc>
          <w:tcPr>
            <w:tcW w:w="1500" w:type="dxa"/>
            <w:noWrap/>
          </w:tcPr>
          <w:p w14:paraId="7AE7F7DA" w14:textId="77777777" w:rsidR="00DF410E" w:rsidRDefault="00CE7F43">
            <w:pPr>
              <w:jc w:val="center"/>
            </w:pPr>
            <w:r>
              <w:rPr>
                <w:b/>
              </w:rPr>
              <w:t>Granulométrie maximale</w:t>
            </w:r>
          </w:p>
        </w:tc>
        <w:tc>
          <w:tcPr>
            <w:tcW w:w="1500" w:type="dxa"/>
            <w:noWrap/>
          </w:tcPr>
          <w:p w14:paraId="301C56AA" w14:textId="77777777" w:rsidR="00DF410E" w:rsidRDefault="00CE7F43">
            <w:r>
              <w:rPr>
                <w:b/>
              </w:rPr>
              <w:t>Données complémentaires</w:t>
            </w:r>
          </w:p>
        </w:tc>
      </w:tr>
      <w:tr w:rsidR="00DF410E" w14:paraId="0A96B91E" w14:textId="77777777">
        <w:tc>
          <w:tcPr>
            <w:tcW w:w="1500" w:type="dxa"/>
            <w:noWrap/>
          </w:tcPr>
          <w:p w14:paraId="021443CC" w14:textId="77777777" w:rsidR="00DF410E" w:rsidRDefault="00CE7F43">
            <w:pPr>
              <w:jc w:val="center"/>
            </w:pPr>
            <w:r>
              <w:rPr>
                <w:rStyle w:val="optioncarChar"/>
              </w:rPr>
              <w:t>C25/30 / C30/37 / C35/45 / C45/55 / C50/60 / C55/67 / C60/75 / C70/85 / C80/95 / C90/105</w:t>
            </w:r>
          </w:p>
        </w:tc>
        <w:tc>
          <w:tcPr>
            <w:tcW w:w="1500" w:type="dxa"/>
            <w:noWrap/>
          </w:tcPr>
          <w:p w14:paraId="5E798AE7" w14:textId="77777777" w:rsidR="00DF410E" w:rsidRDefault="00CE7F43">
            <w:pPr>
              <w:jc w:val="center"/>
            </w:pPr>
            <w:r>
              <w:t>Béton armé</w:t>
            </w:r>
          </w:p>
          <w:p w14:paraId="77D296AF" w14:textId="77777777" w:rsidR="00DF410E" w:rsidRDefault="00DF410E"/>
        </w:tc>
        <w:tc>
          <w:tcPr>
            <w:tcW w:w="1500" w:type="dxa"/>
            <w:noWrap/>
          </w:tcPr>
          <w:p w14:paraId="64EBB574" w14:textId="77777777" w:rsidR="00DF410E" w:rsidRDefault="00CE7F43">
            <w:pPr>
              <w:jc w:val="center"/>
            </w:pPr>
            <w:r>
              <w:rPr>
                <w:rStyle w:val="optioncarChar"/>
              </w:rPr>
              <w:t>E0 / EI / EE1 / EE2 / EE3 / EE4 / ES1 / ES2 / ES3 / ES4 / EA1+*** / EA2+***/ EA3+***</w:t>
            </w:r>
          </w:p>
        </w:tc>
        <w:tc>
          <w:tcPr>
            <w:tcW w:w="1500" w:type="dxa"/>
            <w:noWrap/>
          </w:tcPr>
          <w:p w14:paraId="419D02F9" w14:textId="77777777" w:rsidR="00DF410E" w:rsidRDefault="00CE7F43">
            <w:pPr>
              <w:jc w:val="center"/>
            </w:pPr>
            <w:r>
              <w:t>au choix de l'entrepreneur :</w:t>
            </w:r>
          </w:p>
          <w:p w14:paraId="3F87F082" w14:textId="77777777" w:rsidR="00DF410E" w:rsidRDefault="00CE7F43">
            <w:pPr>
              <w:jc w:val="center"/>
            </w:pPr>
            <w:r>
              <w:rPr>
                <w:rStyle w:val="optioncarChar"/>
              </w:rPr>
              <w:t xml:space="preserve">S3 / S4 / S5 </w:t>
            </w:r>
          </w:p>
          <w:p w14:paraId="5D229433" w14:textId="77777777" w:rsidR="00DF410E" w:rsidRDefault="00CE7F43">
            <w:pPr>
              <w:jc w:val="center"/>
            </w:pPr>
            <w:r>
              <w:rPr>
                <w:rStyle w:val="optioncarChar"/>
              </w:rPr>
              <w:t>F3 / F4 / F5 / F6</w:t>
            </w:r>
            <w:r>
              <w:br/>
            </w:r>
          </w:p>
        </w:tc>
        <w:tc>
          <w:tcPr>
            <w:tcW w:w="1500" w:type="dxa"/>
            <w:noWrap/>
          </w:tcPr>
          <w:p w14:paraId="129C54BA" w14:textId="77777777" w:rsidR="00DF410E" w:rsidRDefault="00CE7F43">
            <w:pPr>
              <w:jc w:val="center"/>
            </w:pPr>
            <w:r>
              <w:t>au choix de l'entrepreneur :</w:t>
            </w:r>
          </w:p>
          <w:p w14:paraId="126B2223" w14:textId="77777777" w:rsidR="00DF410E" w:rsidRDefault="00CE7F43">
            <w:pPr>
              <w:jc w:val="center"/>
            </w:pPr>
            <w:r>
              <w:rPr>
                <w:rStyle w:val="optioncarChar"/>
              </w:rPr>
              <w:t>6 / 8 / 10 / 11 / 12 / 14 / 16 / 20 / 22 / 32 </w:t>
            </w:r>
            <w:r>
              <w:t>mm</w:t>
            </w:r>
          </w:p>
        </w:tc>
        <w:tc>
          <w:tcPr>
            <w:tcW w:w="1500" w:type="dxa"/>
            <w:noWrap/>
          </w:tcPr>
          <w:p w14:paraId="330965E4" w14:textId="77777777" w:rsidR="00DF410E" w:rsidRDefault="00CE7F43">
            <w:pPr>
              <w:jc w:val="center"/>
            </w:pPr>
            <w:r>
              <w:rPr>
                <w:rStyle w:val="optioncarChar"/>
              </w:rPr>
              <w:t>***</w:t>
            </w:r>
          </w:p>
        </w:tc>
      </w:tr>
    </w:tbl>
    <w:p w14:paraId="53486CD8" w14:textId="77777777" w:rsidR="00DF410E" w:rsidRDefault="00DF410E"/>
    <w:p w14:paraId="1C84761C"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aut-plaçant (E) :</w:t>
      </w:r>
    </w:p>
    <w:p w14:paraId="20B3C945" w14:textId="77777777" w:rsidR="00DF410E" w:rsidRDefault="00CE7F43">
      <w:pPr>
        <w:pStyle w:val="Author-eListParagraph"/>
        <w:numPr>
          <w:ilvl w:val="0"/>
          <w:numId w:val="451"/>
        </w:numPr>
      </w:pPr>
      <w:r>
        <w:t xml:space="preserve">Classe de viscosité apparente : </w:t>
      </w:r>
      <w:r>
        <w:rPr>
          <w:rStyle w:val="optioncarChar"/>
        </w:rPr>
        <w:t>VS1 / VS2</w:t>
      </w:r>
      <w:r>
        <w:t xml:space="preserve"> (selon la [NBN EN 12350-8] )</w:t>
      </w:r>
    </w:p>
    <w:p w14:paraId="2C3D1F47" w14:textId="77777777" w:rsidR="00DF410E" w:rsidRDefault="00CE7F43">
      <w:pPr>
        <w:pStyle w:val="Author-eListParagraph"/>
        <w:numPr>
          <w:ilvl w:val="0"/>
          <w:numId w:val="45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3FE5BE03" w14:textId="77777777" w:rsidR="00DF410E" w:rsidRDefault="00CE7F43">
      <w:pPr>
        <w:pStyle w:val="Author-eListParagraph"/>
        <w:numPr>
          <w:ilvl w:val="0"/>
          <w:numId w:val="45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6BB73D0C"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6FADEBE5" w14:textId="77777777" w:rsidR="00DF410E" w:rsidRDefault="00CE7F43">
      <w:pPr>
        <w:pStyle w:val="Author-eListParagraph"/>
        <w:numPr>
          <w:ilvl w:val="0"/>
          <w:numId w:val="452"/>
        </w:numPr>
      </w:pPr>
      <w:r>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 150 x 150 x 6 x 6 </w:t>
      </w:r>
      <w:r>
        <w:t>(par défaut) mm.</w:t>
      </w:r>
    </w:p>
    <w:p w14:paraId="7E3F97D0" w14:textId="77777777" w:rsidR="00DF410E" w:rsidRDefault="00CE7F43">
      <w:pPr>
        <w:pStyle w:val="Author-eListParagraph"/>
        <w:numPr>
          <w:ilvl w:val="0"/>
          <w:numId w:val="452"/>
        </w:numPr>
      </w:pPr>
      <w:r>
        <w:t xml:space="preserve">Barres d’acier complémentaires : acier </w:t>
      </w:r>
      <w:r>
        <w:rPr>
          <w:rStyle w:val="optioncarChar"/>
        </w:rPr>
        <w:t xml:space="preserve">BE 500 S </w:t>
      </w:r>
      <w:r>
        <w:t>(par défaut)</w:t>
      </w:r>
      <w:r>
        <w:rPr>
          <w:rStyle w:val="optioncarChar"/>
        </w:rPr>
        <w:t xml:space="preserve"> / ***</w:t>
      </w:r>
      <w:r>
        <w:t xml:space="preserve"> selon [NBN A 24-302] + [PTV 302].</w:t>
      </w:r>
    </w:p>
    <w:p w14:paraId="68B00EDB" w14:textId="77777777" w:rsidR="00DF410E" w:rsidRDefault="00CE7F43">
      <w:pPr>
        <w:pStyle w:val="pheading"/>
      </w:pPr>
      <w:r>
        <w:t>- Prescriptions complémentaires</w:t>
      </w:r>
    </w:p>
    <w:p w14:paraId="4536D0FC" w14:textId="77777777" w:rsidR="00DF410E" w:rsidRDefault="00CE7F43">
      <w:r>
        <w:t>Les éléments de plancher ont obtenu un certificat d'aptitude à l'emploi.</w:t>
      </w:r>
      <w:r>
        <w:br/>
        <w:t xml:space="preserve">Résistance au feu: pour les éléments porteurs et structuraux sans fonction séparant </w:t>
      </w:r>
      <w:r>
        <w:rPr>
          <w:rStyle w:val="optioncarChar"/>
        </w:rPr>
        <w:t>R15 / R30 </w:t>
      </w:r>
      <w:r>
        <w:t xml:space="preserve">(par défaut) </w:t>
      </w:r>
      <w:r>
        <w:rPr>
          <w:rStyle w:val="optioncarChar"/>
        </w:rPr>
        <w:t>/ R60 / R120 / ***</w:t>
      </w:r>
      <w:r>
        <w:t xml:space="preserve">et pour les éléments porteurs et structuraux avec fonction séparant </w:t>
      </w:r>
      <w:r>
        <w:rPr>
          <w:rStyle w:val="optioncarChar"/>
        </w:rPr>
        <w:t>REI 30 </w:t>
      </w:r>
      <w:r>
        <w:t>(par défaut)</w:t>
      </w:r>
      <w:r>
        <w:rPr>
          <w:rStyle w:val="optioncarChar"/>
        </w:rPr>
        <w:t xml:space="preserve"> / REI 60 / REI 120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62FC1CD3" w14:textId="77777777" w:rsidR="00DF410E" w:rsidRDefault="00CE7F43">
      <w:pPr>
        <w:pStyle w:val="pheading"/>
      </w:pPr>
      <w:r>
        <w:t>EXÉCUTION / MISE EN ŒUVRE</w:t>
      </w:r>
    </w:p>
    <w:p w14:paraId="7CEABD37" w14:textId="77777777" w:rsidR="00DF410E" w:rsidRDefault="00CE7F43">
      <w:pPr>
        <w:pStyle w:val="pheading"/>
      </w:pPr>
      <w:r>
        <w:t>- Prescriptions générales</w:t>
      </w:r>
    </w:p>
    <w:p w14:paraId="5469DCC4" w14:textId="77777777" w:rsidR="00DF410E" w:rsidRDefault="00DF410E"/>
    <w:p w14:paraId="7C4739B8" w14:textId="77777777" w:rsidR="00DF410E" w:rsidRDefault="00CE7F43">
      <w:pPr>
        <w:pStyle w:val="Author-eListParagraph"/>
        <w:numPr>
          <w:ilvl w:val="0"/>
          <w:numId w:val="453"/>
        </w:numPr>
      </w:pPr>
      <w:r>
        <w:t>La face supérieure de la prédalle doit correspondre aux cotes de niveau et à l'épaisseur de plancher indiquées sur les plans d'architecture.</w:t>
      </w:r>
    </w:p>
    <w:p w14:paraId="537E44F9" w14:textId="77777777" w:rsidR="00DF410E" w:rsidRDefault="00CE7F43">
      <w:pPr>
        <w:pStyle w:val="Author-eListParagraph"/>
        <w:numPr>
          <w:ilvl w:val="0"/>
          <w:numId w:val="453"/>
        </w:numPr>
      </w:pPr>
      <w:r>
        <w:t>Pendant le transport et l'entreposage provisoires sur chantier, l'entrepreneur veille à ce qu'il ne se produise pas de tensions inadmissibles dans le béton et l'acier. A cet effet, pendant le stockage, les appuis entre les prédalles sont suffisamment rapprochés.</w:t>
      </w:r>
    </w:p>
    <w:p w14:paraId="2E28EB7C" w14:textId="77777777" w:rsidR="00DF410E" w:rsidRDefault="00CE7F43">
      <w:pPr>
        <w:pStyle w:val="Author-eListParagraph"/>
        <w:numPr>
          <w:ilvl w:val="0"/>
          <w:numId w:val="453"/>
        </w:numPr>
      </w:pPr>
      <w:r>
        <w:t>La profondeur des appuis aux extrémités est conforme au [NIT 223]</w:t>
      </w:r>
    </w:p>
    <w:p w14:paraId="72DEC484" w14:textId="77777777" w:rsidR="00DF410E" w:rsidRDefault="00CE7F43">
      <w:pPr>
        <w:pStyle w:val="Author-eListParagraph"/>
        <w:numPr>
          <w:ilvl w:val="0"/>
          <w:numId w:val="453"/>
        </w:numPr>
      </w:pPr>
      <w:r>
        <w:t>Lorsque la profondeur d'appui est inférieure, des armatures doivent dépasser des éléments de plancher. Les éléments sont pourvus d'armatures dépassantes sur tous les appuis où les plaques ne sont pas continues.</w:t>
      </w:r>
    </w:p>
    <w:p w14:paraId="6725FF4D" w14:textId="77777777" w:rsidR="00DF410E" w:rsidRDefault="00CE7F43">
      <w:pPr>
        <w:pStyle w:val="Author-eListParagraph"/>
        <w:numPr>
          <w:ilvl w:val="0"/>
          <w:numId w:val="453"/>
        </w:numPr>
      </w:pPr>
      <w:r>
        <w:t>La conception des joints et des assemblages externes est déterminée par l'étude de stabilité .</w:t>
      </w:r>
    </w:p>
    <w:p w14:paraId="37C016D9" w14:textId="77777777" w:rsidR="00DF410E" w:rsidRDefault="00CE7F43">
      <w:pPr>
        <w:pStyle w:val="Author-eListParagraph"/>
        <w:numPr>
          <w:ilvl w:val="0"/>
          <w:numId w:val="453"/>
        </w:numPr>
      </w:pPr>
      <w:r>
        <w:t>Lorsque l'ouvrage de construction reste apparent après la pose, les joints sont débarrassés de toutes impuretés.</w:t>
      </w:r>
    </w:p>
    <w:p w14:paraId="5F394F8F" w14:textId="77777777" w:rsidR="00DF410E" w:rsidRDefault="00CE7F43">
      <w:pPr>
        <w:pStyle w:val="Author-eListParagraph"/>
        <w:numPr>
          <w:ilvl w:val="0"/>
          <w:numId w:val="453"/>
        </w:numPr>
      </w:pPr>
      <w:r>
        <w:t xml:space="preserve">La couche de compression et ses armatures (treillis d'armature et armatures complémentaires) sont exécutées et posées </w:t>
      </w:r>
      <w:r>
        <w:rPr>
          <w:rStyle w:val="optioncarChar"/>
        </w:rPr>
        <w:t>selon les indications dans l'étude des bétons </w:t>
      </w:r>
      <w:r>
        <w:t>(par défaut)</w:t>
      </w:r>
      <w:r>
        <w:rPr>
          <w:rStyle w:val="optioncarChar"/>
        </w:rPr>
        <w:t xml:space="preserve"> / selon essentiellement [NBN EN 1990], [NBN EN 1991 série] , [NBN EN 1992-1-1] et [NBN EN 1992-1-2].</w:t>
      </w:r>
    </w:p>
    <w:p w14:paraId="34ADFACA" w14:textId="77777777" w:rsidR="00DF410E" w:rsidRDefault="00CE7F43">
      <w:pPr>
        <w:pStyle w:val="pheading"/>
      </w:pPr>
      <w:r>
        <w:t>- Notes d’exécution complémentaires</w:t>
      </w:r>
    </w:p>
    <w:p w14:paraId="117AE90F" w14:textId="77777777" w:rsidR="00DF410E" w:rsidRDefault="00CE7F43">
      <w:r>
        <w:t>Les surfaces d'appui en béton cellulaire autoclavé, en briques silico-calcaires ou en bois doivent préalablement être recouvertes d'une feuille d'étanchéité.</w:t>
      </w:r>
    </w:p>
    <w:p w14:paraId="334B977A" w14:textId="77777777" w:rsidR="00DF410E" w:rsidRDefault="00CE7F43">
      <w:pPr>
        <w:pStyle w:val="pheading"/>
      </w:pPr>
      <w:r>
        <w:t>DOCUMENTS DE RÉFÉRENCE COMPLÉMENTAIRES</w:t>
      </w:r>
    </w:p>
    <w:p w14:paraId="75FEF18B" w14:textId="77777777" w:rsidR="00DF410E" w:rsidRDefault="00CE7F43">
      <w:pPr>
        <w:pStyle w:val="pheading"/>
      </w:pPr>
      <w:r>
        <w:t>- Matériau</w:t>
      </w:r>
    </w:p>
    <w:p w14:paraId="5085539C" w14:textId="77777777" w:rsidR="00DF410E" w:rsidRDefault="00CE7F43">
      <w:r>
        <w:t>[NBN EN 13747+A2, Produits préfabriqués en béton - Prédalles pour systèmes de planchers]</w:t>
      </w:r>
    </w:p>
    <w:p w14:paraId="25E57A17" w14:textId="77777777" w:rsidR="00DF410E" w:rsidRDefault="00CE7F43">
      <w:r>
        <w:t>[NBN B 21-606:2019+A1, Produits préfabriqués en béton - Prédalles - Norme d'application nationale à la NBN EN 13747+A2:2010 et à la NBN EN 15050+A1:2012]</w:t>
      </w:r>
    </w:p>
    <w:p w14:paraId="6F8985D7" w14:textId="77777777" w:rsidR="00DF410E" w:rsidRDefault="00CE7F43">
      <w:pPr>
        <w:pStyle w:val="pheading"/>
      </w:pPr>
      <w:r>
        <w:t>MESURAGE</w:t>
      </w:r>
    </w:p>
    <w:p w14:paraId="09E07FDF" w14:textId="77777777" w:rsidR="00DF410E" w:rsidRDefault="00CE7F43">
      <w:r>
        <w:t>Conformément à la nature du plancher, aux indications spécifiques dans le cahier spécial des charges et/ou le métré récapitulatif, le mesurage doit être conçu comme suit :</w:t>
      </w:r>
    </w:p>
    <w:p w14:paraId="04963DBF" w14:textId="77777777" w:rsidR="00DF410E" w:rsidRDefault="00CE7F43">
      <w:pPr>
        <w:pStyle w:val="pheading"/>
      </w:pPr>
      <w:r>
        <w:t>- unité de mesure:</w:t>
      </w:r>
    </w:p>
    <w:p w14:paraId="12CB708D" w14:textId="77777777" w:rsidR="00DF410E" w:rsidRDefault="00CE7F43">
      <w:r>
        <w:rPr>
          <w:b/>
        </w:rPr>
        <w:t xml:space="preserve">Choix opéré : </w:t>
      </w:r>
      <w:r>
        <w:rPr>
          <w:rStyle w:val="optioncarChar"/>
          <w:b/>
        </w:rPr>
        <w:t xml:space="preserve">OPTION 1 </w:t>
      </w:r>
      <w:r>
        <w:t>(par défaut)</w:t>
      </w:r>
      <w:r>
        <w:rPr>
          <w:rStyle w:val="optioncarChar"/>
          <w:b/>
        </w:rPr>
        <w:t xml:space="preserve"> / OPTION 1bis / OPTION 2 / OPTION 3</w:t>
      </w:r>
    </w:p>
    <w:p w14:paraId="21A9927D" w14:textId="77777777" w:rsidR="00DF410E" w:rsidRDefault="00CE7F43">
      <w:r>
        <w:rPr>
          <w:b/>
        </w:rPr>
        <w:t>(soit par défaut)</w:t>
      </w:r>
      <w:r>
        <w:br/>
      </w:r>
      <w:r>
        <w:rPr>
          <w:rStyle w:val="soitChar"/>
        </w:rPr>
        <w:t xml:space="preserve">1. </w:t>
      </w:r>
      <w:r>
        <w:rPr>
          <w:rStyle w:val="soitChar"/>
          <w:u w:val="single"/>
        </w:rPr>
        <w:t>OPTION 1</w:t>
      </w:r>
      <w:r>
        <w:rPr>
          <w:rStyle w:val="soitChar"/>
        </w:rPr>
        <w:t>: m²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016580E8" w14:textId="77777777" w:rsidR="00DF410E" w:rsidRDefault="00CE7F43">
      <w:r>
        <w:rPr>
          <w:b/>
        </w:rPr>
        <w:t>(soit)</w:t>
      </w:r>
      <w:r>
        <w:br/>
      </w:r>
      <w:r>
        <w:rPr>
          <w:rStyle w:val="soitChar"/>
        </w:rPr>
        <w:t xml:space="preserve">1bis. </w:t>
      </w:r>
      <w:r>
        <w:rPr>
          <w:rStyle w:val="soitChar"/>
          <w:u w:val="single"/>
        </w:rPr>
        <w:t>OPTION 1bis</w:t>
      </w:r>
      <w:r>
        <w:rPr>
          <w:rStyle w:val="soitChar"/>
        </w:rPr>
        <w:t>: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2E0F004D" w14:textId="77777777" w:rsidR="00DF410E" w:rsidRDefault="00CE7F43">
      <w:r>
        <w:rPr>
          <w:b/>
        </w:rPr>
        <w:t>(soit)</w:t>
      </w:r>
      <w:r>
        <w:br/>
      </w:r>
      <w:r>
        <w:rPr>
          <w:rStyle w:val="soitChar"/>
        </w:rPr>
        <w:t xml:space="preserve">2. </w:t>
      </w:r>
      <w:r>
        <w:rPr>
          <w:rStyle w:val="soitChar"/>
          <w:u w:val="single"/>
        </w:rPr>
        <w:t>OPTION 2</w:t>
      </w:r>
      <w:r>
        <w:rPr>
          <w:rStyle w:val="soitChar"/>
        </w:rPr>
        <w:t>:</w:t>
      </w:r>
    </w:p>
    <w:p w14:paraId="108B5069" w14:textId="77777777" w:rsidR="00DF410E" w:rsidRDefault="00CE7F43">
      <w:pPr>
        <w:pStyle w:val="Author-eListParagraph"/>
        <w:numPr>
          <w:ilvl w:val="0"/>
          <w:numId w:val="454"/>
        </w:numPr>
      </w:pPr>
      <w:r>
        <w:rPr>
          <w:rStyle w:val="soitChar"/>
        </w:rPr>
        <w:t>m³ pour le béton</w:t>
      </w:r>
    </w:p>
    <w:p w14:paraId="4B98813B" w14:textId="77777777" w:rsidR="00DF410E" w:rsidRDefault="00CE7F43">
      <w:pPr>
        <w:pStyle w:val="Author-eListParagraph"/>
        <w:numPr>
          <w:ilvl w:val="0"/>
          <w:numId w:val="454"/>
        </w:numPr>
      </w:pPr>
      <w:r>
        <w:rPr>
          <w:rStyle w:val="soitChar"/>
        </w:rPr>
        <w:t>kg pour les armatures</w:t>
      </w:r>
    </w:p>
    <w:p w14:paraId="34A295A7" w14:textId="77777777" w:rsidR="00DF410E" w:rsidRDefault="00CE7F43">
      <w:pPr>
        <w:pStyle w:val="Author-eListParagraph"/>
        <w:numPr>
          <w:ilvl w:val="0"/>
          <w:numId w:val="454"/>
        </w:numPr>
      </w:pPr>
      <w:r>
        <w:rPr>
          <w:rStyle w:val="soitChar"/>
        </w:rPr>
        <w:t>Tous les autres éléments, travaux et fournitures doivent être compris dans les prix unitaires respectifs pour les mesurages précités.</w:t>
      </w:r>
    </w:p>
    <w:p w14:paraId="5C540853" w14:textId="77777777" w:rsidR="00DF410E" w:rsidRDefault="00CE7F43">
      <w:r>
        <w:rPr>
          <w:b/>
        </w:rPr>
        <w:t>(soit)</w:t>
      </w:r>
      <w:r>
        <w:br/>
      </w:r>
      <w:r>
        <w:rPr>
          <w:rStyle w:val="soitChar"/>
        </w:rPr>
        <w:t xml:space="preserve">3. </w:t>
      </w:r>
      <w:r>
        <w:rPr>
          <w:rStyle w:val="soitChar"/>
          <w:u w:val="single"/>
        </w:rPr>
        <w:t>OPTION 3</w:t>
      </w:r>
      <w:r>
        <w:rPr>
          <w:rStyle w:val="soitChar"/>
        </w:rPr>
        <w:t xml:space="preserve">: </w:t>
      </w:r>
    </w:p>
    <w:p w14:paraId="1ED03E22" w14:textId="77777777" w:rsidR="00DF410E" w:rsidRDefault="00CE7F43">
      <w:pPr>
        <w:pStyle w:val="Author-eListParagraph"/>
        <w:numPr>
          <w:ilvl w:val="0"/>
          <w:numId w:val="455"/>
        </w:numPr>
      </w:pPr>
      <w:r>
        <w:rPr>
          <w:rStyle w:val="soitChar"/>
        </w:rPr>
        <w:t>m³ pour le béton de remplissage</w:t>
      </w:r>
    </w:p>
    <w:p w14:paraId="35EC59FF" w14:textId="77777777" w:rsidR="00DF410E" w:rsidRDefault="00CE7F43">
      <w:pPr>
        <w:pStyle w:val="Author-eListParagraph"/>
        <w:numPr>
          <w:ilvl w:val="0"/>
          <w:numId w:val="455"/>
        </w:numPr>
      </w:pPr>
      <w:r>
        <w:rPr>
          <w:rStyle w:val="soitChar"/>
        </w:rPr>
        <w:t>m³ pour la couche de compression béton (en mentionnant l'épaisseur...)</w:t>
      </w:r>
    </w:p>
    <w:p w14:paraId="47455597" w14:textId="77777777" w:rsidR="00DF410E" w:rsidRDefault="00CE7F43">
      <w:pPr>
        <w:pStyle w:val="Author-eListParagraph"/>
        <w:numPr>
          <w:ilvl w:val="0"/>
          <w:numId w:val="455"/>
        </w:numPr>
      </w:pPr>
      <w:r>
        <w:rPr>
          <w:rStyle w:val="soitChar"/>
        </w:rPr>
        <w:t>kg pour les armatures supplémentaires</w:t>
      </w:r>
    </w:p>
    <w:p w14:paraId="49F16669" w14:textId="77777777" w:rsidR="00DF410E" w:rsidRDefault="00CE7F43">
      <w:pPr>
        <w:pStyle w:val="Author-eListParagraph"/>
        <w:numPr>
          <w:ilvl w:val="0"/>
          <w:numId w:val="455"/>
        </w:numPr>
      </w:pPr>
      <w:r>
        <w:rPr>
          <w:rStyle w:val="soitChar"/>
        </w:rPr>
        <w:t>Pièces divergentes et pièces spéciales : à la pièce (selon les dimensions identiques ou indications standards).</w:t>
      </w:r>
    </w:p>
    <w:p w14:paraId="4CF29AD8"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122B1C00" w14:textId="77777777" w:rsidR="00DF410E" w:rsidRDefault="00CE7F43">
      <w:pPr>
        <w:pStyle w:val="pheading"/>
      </w:pPr>
      <w:r>
        <w:t>- code de mesurage:</w:t>
      </w:r>
    </w:p>
    <w:p w14:paraId="1ADDE313"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m2 sont déduits.</w:t>
      </w:r>
    </w:p>
    <w:p w14:paraId="4D5D16C9" w14:textId="77777777" w:rsidR="00DF410E" w:rsidRDefault="00CE7F43">
      <w:pPr>
        <w:pStyle w:val="pheading"/>
      </w:pPr>
      <w:r>
        <w:t>- nature du marché:</w:t>
      </w:r>
    </w:p>
    <w:p w14:paraId="073FF06B" w14:textId="77777777" w:rsidR="00DF410E" w:rsidRDefault="00CE7F43">
      <w:r>
        <w:rPr>
          <w:rStyle w:val="optioncarChar"/>
        </w:rPr>
        <w:t>QF</w:t>
      </w:r>
      <w:r>
        <w:t xml:space="preserve"> (par défaut)</w:t>
      </w:r>
      <w:r>
        <w:rPr>
          <w:rStyle w:val="optioncarChar"/>
        </w:rPr>
        <w:t xml:space="preserve"> / QP / PM</w:t>
      </w:r>
    </w:p>
    <w:p w14:paraId="3AF6F2B7" w14:textId="77777777" w:rsidR="00DF410E" w:rsidRDefault="00CE7F43">
      <w:pPr>
        <w:pStyle w:val="pheading"/>
      </w:pPr>
      <w:r>
        <w:t>AIDE</w:t>
      </w:r>
    </w:p>
    <w:p w14:paraId="2ECA3903" w14:textId="77777777" w:rsidR="00DF410E" w:rsidRDefault="00CE7F43">
      <w:r>
        <w:t xml:space="preserve">Support aux prescripteurs : [SWL GSI/T1/C] de la prévention passive. </w:t>
      </w:r>
    </w:p>
    <w:p w14:paraId="1EF9FC76" w14:textId="77777777" w:rsidR="00DF410E" w:rsidRDefault="00CE7F43">
      <w:pPr>
        <w:pStyle w:val="Author-eSectionHeading6"/>
      </w:pPr>
      <w:bookmarkStart w:id="727" w:name="_Toc178837892"/>
      <w:r>
        <w:t>22.15.3b Planchers à prédalles en béton précontraint CCTB 01.11</w:t>
      </w:r>
      <w:bookmarkEnd w:id="727"/>
    </w:p>
    <w:p w14:paraId="77570292" w14:textId="77777777" w:rsidR="00DF410E" w:rsidRDefault="00CE7F43">
      <w:pPr>
        <w:pStyle w:val="pheading"/>
      </w:pPr>
      <w:r>
        <w:t>DESCRIPTION</w:t>
      </w:r>
    </w:p>
    <w:p w14:paraId="600A94B9" w14:textId="77777777" w:rsidR="00DF410E" w:rsidRDefault="00CE7F43">
      <w:pPr>
        <w:pStyle w:val="pheading"/>
      </w:pPr>
      <w:r>
        <w:t>- Définition / Comprend</w:t>
      </w:r>
    </w:p>
    <w:p w14:paraId="10F85673" w14:textId="77777777" w:rsidR="00DF410E" w:rsidRDefault="00CE7F43">
      <w:r>
        <w:t>L’article vise la fourniture et la mise en œuvre de planchers en prédalles en béton précontraint.</w:t>
      </w:r>
    </w:p>
    <w:p w14:paraId="22193A11" w14:textId="77777777" w:rsidR="00DF410E" w:rsidRDefault="00CE7F43">
      <w:pPr>
        <w:pStyle w:val="pheading"/>
      </w:pPr>
      <w:r>
        <w:t>- Localisation</w:t>
      </w:r>
    </w:p>
    <w:p w14:paraId="3CD5722C" w14:textId="77777777" w:rsidR="00DF410E" w:rsidRDefault="00CE7F43">
      <w:r>
        <w:t xml:space="preserve">Localisation des travaux : </w:t>
      </w:r>
      <w:r>
        <w:rPr>
          <w:rStyle w:val="optioncarChar"/>
        </w:rPr>
        <w:t>***</w:t>
      </w:r>
      <w:r>
        <w:t>.</w:t>
      </w:r>
    </w:p>
    <w:p w14:paraId="6389CD36" w14:textId="77777777" w:rsidR="00DF410E" w:rsidRDefault="00CE7F43">
      <w:r>
        <w:t>Voir plans et métrés détaillés.</w:t>
      </w:r>
    </w:p>
    <w:p w14:paraId="3892788B" w14:textId="77777777" w:rsidR="00DF410E" w:rsidRDefault="00CE7F43">
      <w:pPr>
        <w:pStyle w:val="pheading"/>
      </w:pPr>
      <w:r>
        <w:t>MATÉRIAUX</w:t>
      </w:r>
    </w:p>
    <w:p w14:paraId="662743DC" w14:textId="77777777" w:rsidR="00DF410E" w:rsidRDefault="00CE7F43">
      <w:pPr>
        <w:pStyle w:val="pheading"/>
      </w:pPr>
      <w:r>
        <w:t>- Caractéristiques générales</w:t>
      </w:r>
    </w:p>
    <w:p w14:paraId="0B63472F" w14:textId="77777777" w:rsidR="00DF410E" w:rsidRDefault="00CE7F43">
      <w:pPr>
        <w:jc w:val="both"/>
      </w:pPr>
      <w:r>
        <w:t>Les prédalles en béton précontraint sont conformes aux normes [NBN EN 13747+A2] et [NBN B 21-606:2019+A1]. Les prédalles sont toujours livrées accompagnées de leur certificat d'origine. Elles disposent d'un certificat de conformité.</w:t>
      </w:r>
    </w:p>
    <w:p w14:paraId="7AAE9E01" w14:textId="77777777" w:rsidR="00DF410E" w:rsidRDefault="00CE7F43">
      <w:pPr>
        <w:jc w:val="both"/>
      </w:pPr>
      <w:r>
        <w:rPr>
          <w:b/>
        </w:rPr>
        <w:t>Spécifications - prédalles</w:t>
      </w:r>
    </w:p>
    <w:p w14:paraId="17F07497" w14:textId="77777777" w:rsidR="00DF410E" w:rsidRDefault="00CE7F43">
      <w:pPr>
        <w:pStyle w:val="Author-eListParagraph"/>
        <w:numPr>
          <w:ilvl w:val="0"/>
          <w:numId w:val="456"/>
        </w:numPr>
      </w:pPr>
      <w:r>
        <w:t>Épaisseur des prédalles: conformément aux indications sur les plans</w:t>
      </w:r>
    </w:p>
    <w:p w14:paraId="7EB591CE" w14:textId="77777777" w:rsidR="00DF410E" w:rsidRDefault="00CE7F43">
      <w:pPr>
        <w:pStyle w:val="Author-eListParagraph"/>
        <w:numPr>
          <w:ilvl w:val="0"/>
          <w:numId w:val="456"/>
        </w:numPr>
      </w:pPr>
      <w:r>
        <w:t>Épaisseur des éléments de plancher: conformément aux indications sur les plans</w:t>
      </w:r>
    </w:p>
    <w:p w14:paraId="16A77A95" w14:textId="77777777" w:rsidR="00DF410E" w:rsidRDefault="00CE7F43">
      <w:pPr>
        <w:pStyle w:val="Author-eListParagraph"/>
        <w:numPr>
          <w:ilvl w:val="0"/>
          <w:numId w:val="456"/>
        </w:numPr>
      </w:pPr>
      <w:r>
        <w:t xml:space="preserve">Contre-flèche : </w:t>
      </w:r>
      <w:r>
        <w:rPr>
          <w:rStyle w:val="optioncarChar"/>
        </w:rPr>
        <w:t>***</w:t>
      </w:r>
      <w:r>
        <w:t xml:space="preserve"> de la portée</w:t>
      </w:r>
    </w:p>
    <w:p w14:paraId="32166B97" w14:textId="77777777" w:rsidR="00DF410E" w:rsidRDefault="00CE7F43">
      <w:pPr>
        <w:pStyle w:val="Author-eListParagraph"/>
        <w:numPr>
          <w:ilvl w:val="0"/>
          <w:numId w:val="456"/>
        </w:numPr>
      </w:pPr>
      <w:r>
        <w:t>Épaisseur de la couche de compression</w:t>
      </w:r>
    </w:p>
    <w:p w14:paraId="212A41F2" w14:textId="77777777" w:rsidR="00DF410E" w:rsidRDefault="00CE7F43">
      <w:pPr>
        <w:pStyle w:val="Author-eListParagraph"/>
        <w:numPr>
          <w:ilvl w:val="0"/>
          <w:numId w:val="456"/>
        </w:numPr>
      </w:pPr>
      <w:r>
        <w:t>La qualité du béton selon la [NBN EN 206:2013+A2] et [NBN B 15-001] est fonction de l'épaisseur de la couche de compression</w:t>
      </w:r>
    </w:p>
    <w:p w14:paraId="6D309C54" w14:textId="77777777" w:rsidR="00DF410E" w:rsidRDefault="00CE7F43">
      <w:pPr>
        <w:pStyle w:val="Author-eListParagraph"/>
        <w:numPr>
          <w:ilvl w:val="0"/>
          <w:numId w:val="456"/>
        </w:numPr>
      </w:pPr>
      <w:r>
        <w:t>Classe de résistance à la compression</w:t>
      </w:r>
    </w:p>
    <w:p w14:paraId="7CEA444A" w14:textId="77777777" w:rsidR="00DF410E" w:rsidRDefault="00CE7F43">
      <w:pPr>
        <w:pStyle w:val="Author-eListParagraph"/>
        <w:numPr>
          <w:ilvl w:val="0"/>
          <w:numId w:val="456"/>
        </w:numPr>
      </w:pPr>
      <w:r>
        <w:rPr>
          <w:rStyle w:val="optioncarChar"/>
        </w:rPr>
        <w:t>C30/37 </w:t>
      </w:r>
      <w:r>
        <w:t>(par défaut)</w:t>
      </w:r>
      <w:r>
        <w:rPr>
          <w:rStyle w:val="optioncarChar"/>
        </w:rPr>
        <w:t xml:space="preserve"> / C35/45 / C45/55 / C50/60 / C55/67 / C60/75 / C70/85 / C80/95 / C90/105 / ***</w:t>
      </w:r>
    </w:p>
    <w:p w14:paraId="424ABBCD" w14:textId="77777777" w:rsidR="00DF410E" w:rsidRDefault="00CE7F43">
      <w:pPr>
        <w:pStyle w:val="Author-eListParagraph"/>
        <w:numPr>
          <w:ilvl w:val="0"/>
          <w:numId w:val="456"/>
        </w:numPr>
      </w:pPr>
      <w:r>
        <w:t>Classe d’environnement</w:t>
      </w:r>
    </w:p>
    <w:p w14:paraId="4813771F" w14:textId="77777777" w:rsidR="00DF410E" w:rsidRDefault="00CE7F43">
      <w:pPr>
        <w:pStyle w:val="Author-eListParagraph"/>
        <w:numPr>
          <w:ilvl w:val="0"/>
          <w:numId w:val="456"/>
        </w:numPr>
      </w:pPr>
      <w:r>
        <w:rPr>
          <w:rStyle w:val="optioncarChar"/>
        </w:rPr>
        <w:t>EI </w:t>
      </w:r>
      <w:r>
        <w:t>(par défaut)</w:t>
      </w:r>
      <w:r>
        <w:rPr>
          <w:rStyle w:val="optioncarChar"/>
        </w:rPr>
        <w:t xml:space="preserve"> / EE1 / EE2 / EE3 / EE4 / ES1 / ES2 / ES3 / ES4 / EA1+*** / EA2+***/ EA3+***</w:t>
      </w:r>
    </w:p>
    <w:p w14:paraId="2DCDBD53" w14:textId="77777777" w:rsidR="00DF410E" w:rsidRDefault="00CE7F43">
      <w:r>
        <w:rPr>
          <w:b/>
        </w:rPr>
        <w:t>Spécifications - couche de compression</w:t>
      </w:r>
    </w:p>
    <w:p w14:paraId="48E4E38E" w14:textId="77777777" w:rsidR="00DF410E" w:rsidRDefault="00CE7F43">
      <w:pPr>
        <w:pStyle w:val="Author-eListParagraph"/>
        <w:numPr>
          <w:ilvl w:val="0"/>
          <w:numId w:val="457"/>
        </w:numPr>
      </w:pPr>
      <w:r>
        <w:t xml:space="preserve">Qualité du béton selon la [NBN EN 206:2013+A2] et la [NBN B 15-001] : (voir également la section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995"/>
        <w:gridCol w:w="1387"/>
        <w:gridCol w:w="1779"/>
        <w:gridCol w:w="1387"/>
        <w:gridCol w:w="1673"/>
        <w:gridCol w:w="1839"/>
      </w:tblGrid>
      <w:tr w:rsidR="00DF410E" w14:paraId="42175815" w14:textId="77777777">
        <w:tc>
          <w:tcPr>
            <w:tcW w:w="990" w:type="dxa"/>
            <w:noWrap/>
          </w:tcPr>
          <w:p w14:paraId="0FFAA697" w14:textId="77777777" w:rsidR="00DF410E" w:rsidRDefault="00CE7F43">
            <w:pPr>
              <w:jc w:val="center"/>
            </w:pPr>
            <w:r>
              <w:rPr>
                <w:b/>
              </w:rPr>
              <w:t>A</w:t>
            </w:r>
          </w:p>
        </w:tc>
        <w:tc>
          <w:tcPr>
            <w:tcW w:w="1380" w:type="dxa"/>
            <w:noWrap/>
          </w:tcPr>
          <w:p w14:paraId="1DD5A6D4" w14:textId="77777777" w:rsidR="00DF410E" w:rsidRDefault="00CE7F43">
            <w:pPr>
              <w:jc w:val="center"/>
            </w:pPr>
            <w:r>
              <w:rPr>
                <w:b/>
              </w:rPr>
              <w:t>B1</w:t>
            </w:r>
          </w:p>
        </w:tc>
        <w:tc>
          <w:tcPr>
            <w:tcW w:w="1770" w:type="dxa"/>
            <w:noWrap/>
          </w:tcPr>
          <w:p w14:paraId="286DE0CB" w14:textId="77777777" w:rsidR="00DF410E" w:rsidRDefault="00CE7F43">
            <w:pPr>
              <w:jc w:val="center"/>
            </w:pPr>
            <w:r>
              <w:rPr>
                <w:b/>
              </w:rPr>
              <w:t>B2</w:t>
            </w:r>
          </w:p>
        </w:tc>
        <w:tc>
          <w:tcPr>
            <w:tcW w:w="1380" w:type="dxa"/>
            <w:noWrap/>
          </w:tcPr>
          <w:p w14:paraId="1A55940E" w14:textId="77777777" w:rsidR="00DF410E" w:rsidRDefault="00CE7F43">
            <w:pPr>
              <w:jc w:val="center"/>
            </w:pPr>
            <w:r>
              <w:rPr>
                <w:b/>
              </w:rPr>
              <w:t>C</w:t>
            </w:r>
          </w:p>
        </w:tc>
        <w:tc>
          <w:tcPr>
            <w:tcW w:w="1665" w:type="dxa"/>
            <w:noWrap/>
          </w:tcPr>
          <w:p w14:paraId="601D9B6D" w14:textId="77777777" w:rsidR="00DF410E" w:rsidRDefault="00CE7F43">
            <w:pPr>
              <w:jc w:val="center"/>
            </w:pPr>
            <w:r>
              <w:rPr>
                <w:b/>
              </w:rPr>
              <w:t>D</w:t>
            </w:r>
          </w:p>
        </w:tc>
        <w:tc>
          <w:tcPr>
            <w:tcW w:w="1830" w:type="dxa"/>
            <w:noWrap/>
          </w:tcPr>
          <w:p w14:paraId="6AE0833B" w14:textId="77777777" w:rsidR="00DF410E" w:rsidRDefault="00CE7F43">
            <w:pPr>
              <w:jc w:val="center"/>
            </w:pPr>
            <w:r>
              <w:rPr>
                <w:b/>
              </w:rPr>
              <w:t>E</w:t>
            </w:r>
          </w:p>
        </w:tc>
      </w:tr>
      <w:tr w:rsidR="00DF410E" w14:paraId="55FC9111" w14:textId="77777777">
        <w:tc>
          <w:tcPr>
            <w:tcW w:w="990" w:type="dxa"/>
            <w:noWrap/>
          </w:tcPr>
          <w:p w14:paraId="149AFBF7" w14:textId="77777777" w:rsidR="00DF410E" w:rsidRDefault="00DF410E"/>
          <w:p w14:paraId="18C10082" w14:textId="77777777" w:rsidR="00DF410E" w:rsidRDefault="00CE7F43">
            <w:r>
              <w:rPr>
                <w:b/>
              </w:rPr>
              <w:t xml:space="preserve">Classe de </w:t>
            </w:r>
          </w:p>
          <w:p w14:paraId="3F3D4388" w14:textId="77777777" w:rsidR="00DF410E" w:rsidRDefault="00CE7F43">
            <w:r>
              <w:rPr>
                <w:b/>
              </w:rPr>
              <w:t>résistance</w:t>
            </w:r>
          </w:p>
          <w:p w14:paraId="2C549D1D" w14:textId="77777777" w:rsidR="00DF410E" w:rsidRDefault="00DF410E"/>
        </w:tc>
        <w:tc>
          <w:tcPr>
            <w:tcW w:w="1380" w:type="dxa"/>
            <w:noWrap/>
          </w:tcPr>
          <w:p w14:paraId="451C19CE" w14:textId="77777777" w:rsidR="00DF410E" w:rsidRDefault="00DF410E"/>
          <w:p w14:paraId="6216DD7C" w14:textId="77777777" w:rsidR="00DF410E" w:rsidRDefault="00CE7F43">
            <w:r>
              <w:rPr>
                <w:b/>
              </w:rPr>
              <w:t>Domaine d’application</w:t>
            </w:r>
          </w:p>
        </w:tc>
        <w:tc>
          <w:tcPr>
            <w:tcW w:w="1770" w:type="dxa"/>
            <w:noWrap/>
          </w:tcPr>
          <w:p w14:paraId="223BBC3C" w14:textId="77777777" w:rsidR="00DF410E" w:rsidRDefault="00DF410E"/>
          <w:p w14:paraId="68B109A2" w14:textId="77777777" w:rsidR="00DF410E" w:rsidRDefault="00CE7F43">
            <w:r>
              <w:rPr>
                <w:b/>
              </w:rPr>
              <w:t>Classe d'environnement</w:t>
            </w:r>
          </w:p>
        </w:tc>
        <w:tc>
          <w:tcPr>
            <w:tcW w:w="1380" w:type="dxa"/>
            <w:noWrap/>
          </w:tcPr>
          <w:p w14:paraId="6ACB82C3" w14:textId="77777777" w:rsidR="00DF410E" w:rsidRDefault="00DF410E"/>
          <w:p w14:paraId="1C6456CC" w14:textId="77777777" w:rsidR="00DF410E" w:rsidRDefault="00CE7F43">
            <w:r>
              <w:rPr>
                <w:b/>
              </w:rPr>
              <w:t>Classe de consistance</w:t>
            </w:r>
          </w:p>
        </w:tc>
        <w:tc>
          <w:tcPr>
            <w:tcW w:w="1665" w:type="dxa"/>
            <w:noWrap/>
          </w:tcPr>
          <w:p w14:paraId="50628F93" w14:textId="77777777" w:rsidR="00DF410E" w:rsidRDefault="00DF410E"/>
          <w:p w14:paraId="702ACE78" w14:textId="77777777" w:rsidR="00DF410E" w:rsidRDefault="00CE7F43">
            <w:r>
              <w:rPr>
                <w:b/>
              </w:rPr>
              <w:t>Granulométrie maximale</w:t>
            </w:r>
          </w:p>
        </w:tc>
        <w:tc>
          <w:tcPr>
            <w:tcW w:w="1830" w:type="dxa"/>
            <w:noWrap/>
          </w:tcPr>
          <w:p w14:paraId="353FCA28" w14:textId="77777777" w:rsidR="00DF410E" w:rsidRDefault="00DF410E"/>
          <w:p w14:paraId="6B3B1E0C" w14:textId="77777777" w:rsidR="00DF410E" w:rsidRDefault="00CE7F43">
            <w:r>
              <w:rPr>
                <w:b/>
              </w:rPr>
              <w:t>Données complémentaires</w:t>
            </w:r>
          </w:p>
        </w:tc>
      </w:tr>
      <w:tr w:rsidR="00DF410E" w14:paraId="7FDCFF4C" w14:textId="77777777">
        <w:tc>
          <w:tcPr>
            <w:tcW w:w="990" w:type="dxa"/>
            <w:noWrap/>
          </w:tcPr>
          <w:p w14:paraId="555629CB" w14:textId="77777777" w:rsidR="00DF410E" w:rsidRDefault="00DF410E"/>
          <w:p w14:paraId="658E2ACF" w14:textId="77777777" w:rsidR="00DF410E" w:rsidRDefault="00CE7F43">
            <w:pPr>
              <w:jc w:val="center"/>
            </w:pPr>
            <w:r>
              <w:rPr>
                <w:rStyle w:val="optioncarChar"/>
              </w:rPr>
              <w:t>C25/30 / C30/37 / C35/45 / C45/55 / C50/60 / C55/67 / C60/75 / C70/85 / C80/95 / C90/105</w:t>
            </w:r>
          </w:p>
          <w:p w14:paraId="1A0D2DC7" w14:textId="77777777" w:rsidR="00DF410E" w:rsidRDefault="00DF410E"/>
        </w:tc>
        <w:tc>
          <w:tcPr>
            <w:tcW w:w="1380" w:type="dxa"/>
            <w:noWrap/>
          </w:tcPr>
          <w:p w14:paraId="06A1F853" w14:textId="77777777" w:rsidR="00DF410E" w:rsidRDefault="00DF410E"/>
          <w:p w14:paraId="0EC03124" w14:textId="77777777" w:rsidR="00DF410E" w:rsidRDefault="00CE7F43">
            <w:pPr>
              <w:jc w:val="center"/>
            </w:pPr>
            <w:r>
              <w:t>Béton armé</w:t>
            </w:r>
          </w:p>
        </w:tc>
        <w:tc>
          <w:tcPr>
            <w:tcW w:w="1770" w:type="dxa"/>
            <w:noWrap/>
          </w:tcPr>
          <w:p w14:paraId="7E29F343" w14:textId="77777777" w:rsidR="00DF410E" w:rsidRDefault="00DF410E"/>
          <w:p w14:paraId="2A665298" w14:textId="77777777" w:rsidR="00DF410E" w:rsidRDefault="00CE7F43">
            <w:pPr>
              <w:jc w:val="center"/>
            </w:pPr>
            <w:r>
              <w:rPr>
                <w:rStyle w:val="optioncarChar"/>
              </w:rPr>
              <w:t>EI / EE1 / EE2 / EE3 / EE4 / ES1 / ES2 / ES3 / ES4 / EA1+*** / EA2+*** / EA3+***</w:t>
            </w:r>
          </w:p>
        </w:tc>
        <w:tc>
          <w:tcPr>
            <w:tcW w:w="1380" w:type="dxa"/>
            <w:noWrap/>
          </w:tcPr>
          <w:p w14:paraId="327B516F" w14:textId="77777777" w:rsidR="00DF410E" w:rsidRDefault="00DF410E"/>
          <w:p w14:paraId="3FEFDC5A" w14:textId="77777777" w:rsidR="00DF410E" w:rsidRDefault="00CE7F43">
            <w:pPr>
              <w:jc w:val="both"/>
            </w:pPr>
            <w:r>
              <w:t>au choix de l'entrepreneur :</w:t>
            </w:r>
          </w:p>
          <w:p w14:paraId="6FE5380B" w14:textId="77777777" w:rsidR="00DF410E" w:rsidRDefault="00DF410E">
            <w:pPr>
              <w:jc w:val="both"/>
            </w:pPr>
          </w:p>
          <w:p w14:paraId="47A3E58C" w14:textId="77777777" w:rsidR="00DF410E" w:rsidRDefault="00DF410E">
            <w:pPr>
              <w:jc w:val="both"/>
            </w:pPr>
          </w:p>
          <w:p w14:paraId="75AA06E5" w14:textId="77777777" w:rsidR="00DF410E" w:rsidRDefault="00CE7F43">
            <w:pPr>
              <w:jc w:val="both"/>
            </w:pPr>
            <w:r>
              <w:rPr>
                <w:rStyle w:val="optioncarChar"/>
              </w:rPr>
              <w:t>S3 / S4 / S5</w:t>
            </w:r>
          </w:p>
          <w:p w14:paraId="16D773A2" w14:textId="77777777" w:rsidR="00DF410E" w:rsidRDefault="00CE7F43">
            <w:pPr>
              <w:jc w:val="both"/>
            </w:pPr>
            <w:r>
              <w:rPr>
                <w:rStyle w:val="optioncarChar"/>
              </w:rPr>
              <w:t>F3 / F4 / F5 / F6</w:t>
            </w:r>
          </w:p>
        </w:tc>
        <w:tc>
          <w:tcPr>
            <w:tcW w:w="1665" w:type="dxa"/>
            <w:noWrap/>
          </w:tcPr>
          <w:p w14:paraId="627BCBD1" w14:textId="77777777" w:rsidR="00DF410E" w:rsidRDefault="00DF410E"/>
          <w:p w14:paraId="4246F315" w14:textId="77777777" w:rsidR="00DF410E" w:rsidRDefault="00CE7F43">
            <w:pPr>
              <w:jc w:val="both"/>
            </w:pPr>
            <w:r>
              <w:t>au choix de l'entrepreneur :</w:t>
            </w:r>
          </w:p>
          <w:p w14:paraId="36E84485" w14:textId="77777777" w:rsidR="00DF410E" w:rsidRDefault="00DF410E">
            <w:pPr>
              <w:jc w:val="both"/>
            </w:pPr>
          </w:p>
          <w:p w14:paraId="07997EA2" w14:textId="77777777" w:rsidR="00DF410E" w:rsidRDefault="00DF410E">
            <w:pPr>
              <w:jc w:val="both"/>
            </w:pPr>
          </w:p>
          <w:p w14:paraId="269BB7F0" w14:textId="77777777" w:rsidR="00DF410E" w:rsidRDefault="00DF410E"/>
          <w:p w14:paraId="3EEC36AC" w14:textId="77777777" w:rsidR="00DF410E" w:rsidRDefault="00CE7F43">
            <w:pPr>
              <w:jc w:val="both"/>
            </w:pPr>
            <w:r>
              <w:rPr>
                <w:rStyle w:val="optioncarChar"/>
              </w:rPr>
              <w:t>6 / 8 / 10 / 11 / 12 / 14 / 16 / 20 / 22 / 32 </w:t>
            </w:r>
            <w:r>
              <w:t>mm</w:t>
            </w:r>
          </w:p>
          <w:p w14:paraId="06FA3F14" w14:textId="77777777" w:rsidR="00DF410E" w:rsidRDefault="00DF410E">
            <w:pPr>
              <w:jc w:val="both"/>
            </w:pPr>
          </w:p>
          <w:p w14:paraId="49528688" w14:textId="77777777" w:rsidR="00DF410E" w:rsidRDefault="00DF410E">
            <w:pPr>
              <w:jc w:val="both"/>
            </w:pPr>
          </w:p>
        </w:tc>
        <w:tc>
          <w:tcPr>
            <w:tcW w:w="1830" w:type="dxa"/>
            <w:noWrap/>
          </w:tcPr>
          <w:p w14:paraId="7DFFE5F2" w14:textId="77777777" w:rsidR="00DF410E" w:rsidRDefault="00DF410E"/>
          <w:p w14:paraId="5D256D3F" w14:textId="77777777" w:rsidR="00DF410E" w:rsidRDefault="00CE7F43">
            <w:pPr>
              <w:jc w:val="center"/>
            </w:pPr>
            <w:r>
              <w:rPr>
                <w:rStyle w:val="optioncarChar"/>
              </w:rPr>
              <w:t>***</w:t>
            </w:r>
          </w:p>
        </w:tc>
      </w:tr>
    </w:tbl>
    <w:p w14:paraId="5C3AF8A6" w14:textId="77777777" w:rsidR="00DF410E" w:rsidRDefault="00DF410E"/>
    <w:p w14:paraId="5D61E3D3" w14:textId="77777777" w:rsidR="00DF410E" w:rsidRDefault="00CE7F43">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0F6E0898" w14:textId="77777777" w:rsidR="00DF410E" w:rsidRDefault="00CE7F43">
      <w:pPr>
        <w:jc w:val="both"/>
      </w:pPr>
      <w:r>
        <w:t xml:space="preserve"> Données complémentaires propres au béton autoplaçant (E) :</w:t>
      </w:r>
    </w:p>
    <w:p w14:paraId="0B4C7B20" w14:textId="77777777" w:rsidR="00DF410E" w:rsidRDefault="00CE7F43">
      <w:pPr>
        <w:pStyle w:val="Author-eListParagraph"/>
        <w:numPr>
          <w:ilvl w:val="0"/>
          <w:numId w:val="458"/>
        </w:numPr>
      </w:pPr>
      <w:r>
        <w:t>Classe de viscosité apparente :</w:t>
      </w:r>
      <w:r>
        <w:rPr>
          <w:rStyle w:val="optioncarChar"/>
        </w:rPr>
        <w:t xml:space="preserve"> VS1 / VS2</w:t>
      </w:r>
      <w:r>
        <w:t xml:space="preserve"> (selon la [NBN EN 12350-8])</w:t>
      </w:r>
    </w:p>
    <w:p w14:paraId="101C2E2E" w14:textId="77777777" w:rsidR="00DF410E" w:rsidRDefault="00CE7F43">
      <w:pPr>
        <w:pStyle w:val="Author-eListParagraph"/>
        <w:numPr>
          <w:ilvl w:val="0"/>
          <w:numId w:val="458"/>
        </w:numPr>
      </w:pPr>
      <w:r>
        <w:t xml:space="preserve">Aptitude à l’écoulement : </w:t>
      </w:r>
      <w:r>
        <w:rPr>
          <w:rStyle w:val="optioncarChar"/>
        </w:rPr>
        <w:t>PL1 / PL2</w:t>
      </w:r>
      <w:r>
        <w:t xml:space="preserve"> (selon la [NBN EN 12350-10]) ou</w:t>
      </w:r>
      <w:r>
        <w:rPr>
          <w:rStyle w:val="optioncarChar"/>
        </w:rPr>
        <w:t xml:space="preserve"> PJ1 / PJ2</w:t>
      </w:r>
      <w:r>
        <w:t xml:space="preserve"> (selon la [NBN EN 12350-12])</w:t>
      </w:r>
    </w:p>
    <w:p w14:paraId="24244CFD" w14:textId="77777777" w:rsidR="00DF410E" w:rsidRDefault="00CE7F43">
      <w:pPr>
        <w:pStyle w:val="Author-eListParagraph"/>
        <w:numPr>
          <w:ilvl w:val="0"/>
          <w:numId w:val="458"/>
        </w:numPr>
      </w:pPr>
      <w:r>
        <w:t xml:space="preserve">Classe de résistance à la ségrégation : </w:t>
      </w:r>
      <w:r>
        <w:rPr>
          <w:rStyle w:val="optioncarChar"/>
        </w:rPr>
        <w:t>SR1 / SR2</w:t>
      </w:r>
      <w:r>
        <w:t xml:space="preserve"> (selon la [NBN EN 12350-11])</w:t>
      </w:r>
    </w:p>
    <w:p w14:paraId="1FAA5B2E" w14:textId="77777777" w:rsidR="00DF410E" w:rsidRDefault="00CE7F43">
      <w:pPr>
        <w:pStyle w:val="Author-eListParagraph"/>
        <w:numPr>
          <w:ilvl w:val="0"/>
          <w:numId w:val="458"/>
        </w:numPr>
      </w:pPr>
      <w:r>
        <w:t xml:space="preserve">Pourcentage d'armatures : </w:t>
      </w:r>
      <w:r>
        <w:rPr>
          <w:rStyle w:val="optioncarChar"/>
        </w:rPr>
        <w:t>***</w:t>
      </w:r>
      <w:r>
        <w:t xml:space="preserve"> kg d'acier par m3 de béton.</w:t>
      </w:r>
    </w:p>
    <w:p w14:paraId="6578C24F" w14:textId="77777777" w:rsidR="00DF410E" w:rsidRDefault="00CE7F43">
      <w:pPr>
        <w:pStyle w:val="Author-eListParagraph"/>
        <w:numPr>
          <w:ilvl w:val="0"/>
          <w:numId w:val="458"/>
        </w:numPr>
      </w:pPr>
      <w:r>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DE 500 BS / BE 500 S</w:t>
      </w:r>
      <w:r>
        <w:t xml:space="preserve">, dimensions </w:t>
      </w:r>
      <w:r>
        <w:rPr>
          <w:rStyle w:val="optioncarChar"/>
        </w:rPr>
        <w:t>*** / 150 x 150 x 6 x 6 </w:t>
      </w:r>
      <w:r>
        <w:t>(par défaut) mm.</w:t>
      </w:r>
    </w:p>
    <w:p w14:paraId="64C33F4B" w14:textId="77777777" w:rsidR="00DF410E" w:rsidRDefault="00CE7F43">
      <w:pPr>
        <w:pStyle w:val="Author-eListParagraph"/>
        <w:numPr>
          <w:ilvl w:val="0"/>
          <w:numId w:val="458"/>
        </w:numPr>
      </w:pPr>
      <w:r>
        <w:t xml:space="preserve">Barres d’acier complémentaires : acier </w:t>
      </w:r>
      <w:r>
        <w:rPr>
          <w:rStyle w:val="optioncarChar"/>
        </w:rPr>
        <w:t>BE 500 S</w:t>
      </w:r>
      <w:r>
        <w:t xml:space="preserve"> (par défaut) </w:t>
      </w:r>
      <w:r>
        <w:rPr>
          <w:rStyle w:val="optioncarChar"/>
        </w:rPr>
        <w:t>/ ***</w:t>
      </w:r>
      <w:r>
        <w:t xml:space="preserve"> selon [NBN A 24-302] + [PTV 302].</w:t>
      </w:r>
    </w:p>
    <w:p w14:paraId="315FFDFC" w14:textId="77777777" w:rsidR="00DF410E" w:rsidRDefault="00CE7F43">
      <w:pPr>
        <w:pStyle w:val="pheading"/>
      </w:pPr>
      <w:r>
        <w:t>- Prescriptions complémentaires</w:t>
      </w:r>
    </w:p>
    <w:p w14:paraId="4A9F68F0" w14:textId="77777777" w:rsidR="00DF410E" w:rsidRDefault="00CE7F43">
      <w:pPr>
        <w:jc w:val="both"/>
      </w:pPr>
      <w:r>
        <w:rPr>
          <w:rStyle w:val="facultChar"/>
        </w:rPr>
        <w:t xml:space="preserve">Résistance au feu : </w:t>
      </w:r>
      <w:r>
        <w:rPr>
          <w:rStyle w:val="optioncarChar"/>
        </w:rPr>
        <w:t>REI30 </w:t>
      </w:r>
      <w:r>
        <w:t>(par défaut)</w:t>
      </w:r>
      <w:r>
        <w:rPr>
          <w:rStyle w:val="optioncarChar"/>
        </w:rPr>
        <w:t xml:space="preserve"> / REI60 / REI120 / REI240 / ***</w:t>
      </w:r>
      <w:r>
        <w:rPr>
          <w:rStyle w:val="facultChar"/>
        </w:rPr>
        <w:t xml:space="preserve"> suivant la déclaration de performance (DoP) selon la norme produit [NBN EN 13225] et [NBN B 21-604].</w:t>
      </w:r>
    </w:p>
    <w:p w14:paraId="6089A876" w14:textId="77777777" w:rsidR="00DF410E" w:rsidRDefault="00CE7F43">
      <w:pPr>
        <w:jc w:val="both"/>
      </w:pPr>
      <w:r>
        <w:rPr>
          <w:rStyle w:val="facultChar"/>
        </w:rPr>
        <w:t>Si la résistance au feu n’est pas déclarée sous marquage CE, elle est démontrée par test au feu selon la [NBN EN 13501-2] ou par calcul selon les Eurocodes conformément à l’[AM 2013-05-17].</w:t>
      </w:r>
    </w:p>
    <w:p w14:paraId="1C109894" w14:textId="77777777" w:rsidR="00DF410E" w:rsidRDefault="00CE7F43">
      <w:pPr>
        <w:pStyle w:val="pheading"/>
      </w:pPr>
      <w:r>
        <w:t>EXÉCUTION / MISE EN ŒUVRE</w:t>
      </w:r>
    </w:p>
    <w:p w14:paraId="43BA13D9" w14:textId="77777777" w:rsidR="00DF410E" w:rsidRDefault="00CE7F43">
      <w:pPr>
        <w:pStyle w:val="pheading"/>
      </w:pPr>
      <w:r>
        <w:t>- Prescriptions générales</w:t>
      </w:r>
    </w:p>
    <w:p w14:paraId="54983A81" w14:textId="77777777" w:rsidR="00DF410E" w:rsidRDefault="00CE7F43">
      <w:r>
        <w:t>La face supérieure de la prédalle doit correspondre aux cotes de niveau et à l'épaisseur de plancher indiquées sur les plans d'architecture.</w:t>
      </w:r>
      <w:r>
        <w:br/>
        <w:t>Pendant le transport et l'entreposage provisoires sur chantier, l'entrepreneur veille à ce qu'il ne se produise pas de tensions inadmissibles dans le béton et l'acier. A cet effet, pendant le stockage, les appuis entre les prédalles sont suffisamment rapprochés.</w:t>
      </w:r>
      <w:r>
        <w:br/>
        <w:t>La profondeur des appuis aux extrémités est conforme au [NIT 223].</w:t>
      </w:r>
      <w:r>
        <w:br/>
        <w:t>Lorsque la profondeur d'appui est inférieure, des armatures doivent dépasser des éléments de plancher. Les éléments sont pourvus d'armatures dépassantes sur tous les appuis où les plaques ne sont pas continues.</w:t>
      </w:r>
      <w:r>
        <w:br/>
        <w:t>La conception des joints et des assemblages externes est déterminée par l'étude de stabilité .</w:t>
      </w:r>
      <w:r>
        <w:br/>
        <w:t>Lorsque l'ouvrage de construction reste apparent après la pose, les joints sont débarrassés de toutes impuretés.</w:t>
      </w:r>
      <w:r>
        <w:br/>
        <w:t>La couche de compression et ses armatures (treillis d'armature et armatures complémentaires) sont exécutées et posées </w:t>
      </w:r>
      <w:r>
        <w:rPr>
          <w:rStyle w:val="optioncarChar"/>
        </w:rPr>
        <w:t>selon les indications dans l'étude des bétons </w:t>
      </w:r>
      <w:r>
        <w:t>(par défaut)</w:t>
      </w:r>
      <w:r>
        <w:rPr>
          <w:rStyle w:val="optioncarChar"/>
        </w:rPr>
        <w:t xml:space="preserve"> / selon essentiellement [NBN EN 1990], [NBN EN 1991 série], [NBN EN 1992-1-1] et [NBN EN 1992-1-2]</w:t>
      </w:r>
      <w:r>
        <w:t>.</w:t>
      </w:r>
    </w:p>
    <w:p w14:paraId="6F095C6C" w14:textId="77777777" w:rsidR="00DF410E" w:rsidRDefault="00CE7F43">
      <w:pPr>
        <w:pStyle w:val="pheading"/>
      </w:pPr>
      <w:r>
        <w:t>DOCUMENTS DE RÉFÉRENCE COMPLÉMENTAIRES</w:t>
      </w:r>
    </w:p>
    <w:p w14:paraId="552B9B36" w14:textId="77777777" w:rsidR="00DF410E" w:rsidRDefault="00CE7F43">
      <w:pPr>
        <w:pStyle w:val="pheading"/>
      </w:pPr>
      <w:r>
        <w:t>- Matériau</w:t>
      </w:r>
    </w:p>
    <w:p w14:paraId="04EE49C0" w14:textId="77777777" w:rsidR="00DF410E" w:rsidRDefault="00CE7F43">
      <w:r>
        <w:t>[NBN EN 13747+A2, Produits préfabriqués en béton - Prédalles pour systèmes de planchers]</w:t>
      </w:r>
    </w:p>
    <w:p w14:paraId="44900A24" w14:textId="77777777" w:rsidR="00DF410E" w:rsidRDefault="00CE7F43">
      <w:r>
        <w:t>[NBN B 21-606:2019+A1, Produits préfabriqués en béton - Prédalles - Norme d'application nationale à la NBN EN 13747+A2:2010 et à la NBN EN 15050+A1:2012]</w:t>
      </w:r>
    </w:p>
    <w:p w14:paraId="64E1D42D" w14:textId="77777777" w:rsidR="00DF410E" w:rsidRDefault="00CE7F43">
      <w:r>
        <w:t>[NBN EN 206:2013+A2, Béton - Spécification, performances, production et conformité]</w:t>
      </w:r>
    </w:p>
    <w:p w14:paraId="4695BF07" w14:textId="77777777" w:rsidR="00DF410E" w:rsidRDefault="00CE7F43">
      <w:r>
        <w:t>[NBN B 15-001, Béton - Spécification, performances, production et conformité - Complément national à la NBN EN 206:2013+A2:2021]</w:t>
      </w:r>
    </w:p>
    <w:p w14:paraId="79CE52F8" w14:textId="77777777" w:rsidR="00DF410E" w:rsidRDefault="00CE7F43">
      <w:r>
        <w:t>[NBN A 24-302, Produits sidérurgiques - Aciers pour béton armé - Barres lisses et barres à nervures - Fils machine lisses et fils machine à nervures]</w:t>
      </w:r>
    </w:p>
    <w:p w14:paraId="7B51F5B7" w14:textId="77777777" w:rsidR="00DF410E" w:rsidRDefault="00CE7F43">
      <w:r>
        <w:t>[NBN A 24-303, Produits sidérurgiques - Aciers pour béton armé - Fils écrouis à froid lisses et fils écrouis à froid à nervures]</w:t>
      </w:r>
    </w:p>
    <w:p w14:paraId="124C76FA" w14:textId="77777777" w:rsidR="00DF410E" w:rsidRDefault="00CE7F43">
      <w:r>
        <w:t>[PTV 302, Aciers pour béton armé - Barres à nervures ou à empreintes - Fils à nervures ou à empreintes à haute ductilité]</w:t>
      </w:r>
    </w:p>
    <w:p w14:paraId="1A7D144A" w14:textId="77777777" w:rsidR="00DF410E" w:rsidRDefault="00CE7F43">
      <w:r>
        <w:t>[PTV 303, Aciers pour béton armé - Fils écrouis à froid à nervures à basse ductilité]</w:t>
      </w:r>
    </w:p>
    <w:p w14:paraId="4B800897" w14:textId="77777777" w:rsidR="00DF410E" w:rsidRDefault="00CE7F43">
      <w:r>
        <w:t>[PTV 304, Aciers pour béton armé - Treillis soudés]</w:t>
      </w:r>
    </w:p>
    <w:p w14:paraId="09D65B0E" w14:textId="77777777" w:rsidR="00DF410E" w:rsidRDefault="00CE7F43">
      <w:r>
        <w:t>[NBN A 24-304, Produits sidérurgiques - Aciers pour béton armé - Treillis soudés]</w:t>
      </w:r>
    </w:p>
    <w:p w14:paraId="7F6FE586"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2C543CA" w14:textId="77777777" w:rsidR="00DF410E" w:rsidRDefault="00CE7F43">
      <w:r>
        <w:t>[NBN EN 12350-8, Essai pour béton frais - Partie 8: Béton auto-plaçant - Essai d'étalement au cône d'Abrams]</w:t>
      </w:r>
    </w:p>
    <w:p w14:paraId="64C64478" w14:textId="77777777" w:rsidR="00DF410E" w:rsidRDefault="00CE7F43">
      <w:r>
        <w:t>[NBN EN 12350-10, Essai pour béton frais - Partie 10: Béton autoplaçant - Essai à la boîte en L]</w:t>
      </w:r>
    </w:p>
    <w:p w14:paraId="253D9041" w14:textId="77777777" w:rsidR="00DF410E" w:rsidRDefault="00CE7F43">
      <w:r>
        <w:t>[NBN EN 12350-12, Essai pour béton frais - Partie 12 : Béton autoplaçant - Essai d'écoulement à l'anneau]</w:t>
      </w:r>
    </w:p>
    <w:p w14:paraId="45D3E43B" w14:textId="77777777" w:rsidR="00DF410E" w:rsidRDefault="00CE7F43">
      <w:r>
        <w:t>[NBN EN 12350-11, Essai pour béton frais - Partie 11: Béton autoplaçant - Essai de stabilité au tamis]</w:t>
      </w:r>
      <w:r>
        <w:br/>
      </w:r>
      <w:r>
        <w:br/>
        <w:t>[NIT 223, Les planchers portants des bâtiments résidentiels et tertiaires.]</w:t>
      </w:r>
    </w:p>
    <w:p w14:paraId="6CE7845F" w14:textId="77777777" w:rsidR="00DF410E" w:rsidRDefault="00CE7F43">
      <w:r>
        <w:t>[AM 2013-05-17, Arrêté ministériel relatif à l’utilisation des Eurocodes comme méthodes de calcul pour l’évaluation de la résistance au feu d’éléments de construction]</w:t>
      </w:r>
    </w:p>
    <w:p w14:paraId="08CE21A8" w14:textId="77777777" w:rsidR="00DF410E" w:rsidRDefault="00CE7F43">
      <w:pPr>
        <w:pStyle w:val="pheading"/>
      </w:pPr>
      <w:r>
        <w:t>MESURAGE</w:t>
      </w:r>
    </w:p>
    <w:p w14:paraId="66EDE84B" w14:textId="77777777" w:rsidR="00DF410E" w:rsidRDefault="00CE7F43">
      <w:pPr>
        <w:pStyle w:val="pheading"/>
      </w:pPr>
      <w:r>
        <w:t>- unité de mesure:</w:t>
      </w:r>
    </w:p>
    <w:p w14:paraId="4FF58346" w14:textId="77777777" w:rsidR="00DF410E" w:rsidRDefault="00CE7F43">
      <w:pPr>
        <w:jc w:val="both"/>
      </w:pPr>
      <w:r>
        <w:rPr>
          <w:rStyle w:val="optioncarChar"/>
        </w:rPr>
        <w:t>m²</w:t>
      </w:r>
      <w:r>
        <w:t xml:space="preserve"> (soit par défaut) </w:t>
      </w:r>
      <w:r>
        <w:rPr>
          <w:rStyle w:val="optioncarChar"/>
        </w:rPr>
        <w:t>/  m³ ; kg / m³ ; m³ ; kg </w:t>
      </w:r>
    </w:p>
    <w:p w14:paraId="18BA0234" w14:textId="77777777" w:rsidR="00DF410E" w:rsidRDefault="00CE7F43">
      <w:pPr>
        <w:jc w:val="both"/>
      </w:pPr>
      <w:r>
        <w:rPr>
          <w:b/>
          <w:i/>
        </w:rPr>
        <w:t> (Soit par défaut)</w:t>
      </w:r>
    </w:p>
    <w:p w14:paraId="32F33C57" w14:textId="77777777" w:rsidR="00DF410E" w:rsidRDefault="00CE7F43">
      <w:pPr>
        <w:jc w:val="both"/>
      </w:pPr>
      <w:r>
        <w:rPr>
          <w:rStyle w:val="soitChar"/>
          <w:u w:val="single"/>
        </w:rPr>
        <w:t>1. m²</w:t>
      </w:r>
      <w:r>
        <w:rPr>
          <w:rStyle w:val="soitChar"/>
        </w:rPr>
        <w:t>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385E98F8" w14:textId="77777777" w:rsidR="00DF410E" w:rsidRDefault="00CE7F43">
      <w:pPr>
        <w:jc w:val="both"/>
      </w:pPr>
      <w:r>
        <w:rPr>
          <w:b/>
          <w:i/>
        </w:rPr>
        <w:t>(Soit)</w:t>
      </w:r>
    </w:p>
    <w:p w14:paraId="201F20E3" w14:textId="77777777" w:rsidR="00DF410E" w:rsidRDefault="00CE7F43">
      <w:pPr>
        <w:jc w:val="both"/>
      </w:pPr>
      <w:r>
        <w:rPr>
          <w:rStyle w:val="soitChar"/>
          <w:u w:val="single"/>
        </w:rPr>
        <w:t>2. m³ ; kg</w:t>
      </w:r>
    </w:p>
    <w:p w14:paraId="653D602E" w14:textId="77777777" w:rsidR="00DF410E" w:rsidRDefault="00CE7F43">
      <w:pPr>
        <w:pStyle w:val="Author-eListParagraph"/>
        <w:numPr>
          <w:ilvl w:val="0"/>
          <w:numId w:val="459"/>
        </w:numPr>
      </w:pPr>
      <w:r>
        <w:rPr>
          <w:rStyle w:val="soitChar"/>
        </w:rPr>
        <w:t>m³ pour le béton</w:t>
      </w:r>
    </w:p>
    <w:p w14:paraId="7E9FBBFE" w14:textId="77777777" w:rsidR="00DF410E" w:rsidRDefault="00CE7F43">
      <w:pPr>
        <w:pStyle w:val="Author-eListParagraph"/>
        <w:numPr>
          <w:ilvl w:val="0"/>
          <w:numId w:val="459"/>
        </w:numPr>
      </w:pPr>
      <w:r>
        <w:rPr>
          <w:rStyle w:val="soitChar"/>
        </w:rPr>
        <w:t>kg pour les armatures</w:t>
      </w:r>
    </w:p>
    <w:p w14:paraId="50FC0612" w14:textId="77777777" w:rsidR="00DF410E" w:rsidRDefault="00CE7F43">
      <w:pPr>
        <w:pStyle w:val="Author-eListParagraph"/>
        <w:numPr>
          <w:ilvl w:val="0"/>
          <w:numId w:val="459"/>
        </w:numPr>
      </w:pPr>
      <w:r>
        <w:rPr>
          <w:rStyle w:val="soitChar"/>
        </w:rPr>
        <w:t>Tous les autres éléments, travaux et fournitures doivent être compris dans les prix unitaires respectifs pour les mesurages précités.</w:t>
      </w:r>
    </w:p>
    <w:p w14:paraId="6F81B1AF" w14:textId="77777777" w:rsidR="00DF410E" w:rsidRDefault="00CE7F43">
      <w:pPr>
        <w:jc w:val="both"/>
      </w:pPr>
      <w:r>
        <w:rPr>
          <w:b/>
          <w:i/>
        </w:rPr>
        <w:t>(Soit)</w:t>
      </w:r>
    </w:p>
    <w:p w14:paraId="5D8A7BE9" w14:textId="77777777" w:rsidR="00DF410E" w:rsidRDefault="00CE7F43">
      <w:pPr>
        <w:jc w:val="both"/>
      </w:pPr>
      <w:r>
        <w:rPr>
          <w:rStyle w:val="soitChar"/>
          <w:u w:val="single"/>
        </w:rPr>
        <w:t>3. m³ ; m³ ; kg</w:t>
      </w:r>
    </w:p>
    <w:p w14:paraId="24C084DE" w14:textId="77777777" w:rsidR="00DF410E" w:rsidRDefault="00CE7F43">
      <w:pPr>
        <w:pStyle w:val="Author-eListParagraph"/>
        <w:numPr>
          <w:ilvl w:val="0"/>
          <w:numId w:val="460"/>
        </w:numPr>
      </w:pPr>
      <w:r>
        <w:rPr>
          <w:rStyle w:val="soitChar"/>
        </w:rPr>
        <w:t>m³ pour le béton de remplissage</w:t>
      </w:r>
    </w:p>
    <w:p w14:paraId="08B60FB8" w14:textId="77777777" w:rsidR="00DF410E" w:rsidRDefault="00CE7F43">
      <w:pPr>
        <w:pStyle w:val="Author-eListParagraph"/>
        <w:numPr>
          <w:ilvl w:val="0"/>
          <w:numId w:val="460"/>
        </w:numPr>
      </w:pPr>
      <w:r>
        <w:rPr>
          <w:rStyle w:val="soitChar"/>
        </w:rPr>
        <w:t>m³ pour la couche de compression béton (en mentionnant l'épaisseur...)</w:t>
      </w:r>
    </w:p>
    <w:p w14:paraId="4B85BBDE" w14:textId="77777777" w:rsidR="00DF410E" w:rsidRDefault="00CE7F43">
      <w:pPr>
        <w:pStyle w:val="Author-eListParagraph"/>
        <w:numPr>
          <w:ilvl w:val="0"/>
          <w:numId w:val="460"/>
        </w:numPr>
      </w:pPr>
      <w:r>
        <w:rPr>
          <w:rStyle w:val="soitChar"/>
        </w:rPr>
        <w:t>kg pour les armatures supplémentaires</w:t>
      </w:r>
    </w:p>
    <w:p w14:paraId="64850C10" w14:textId="77777777" w:rsidR="00DF410E" w:rsidRDefault="00CE7F43">
      <w:pPr>
        <w:pStyle w:val="Author-eListParagraph"/>
        <w:numPr>
          <w:ilvl w:val="0"/>
          <w:numId w:val="460"/>
        </w:numPr>
      </w:pPr>
      <w:r>
        <w:rPr>
          <w:rStyle w:val="soitChar"/>
        </w:rPr>
        <w:t>Pièces divergentes et pièces spéciales : à la pièce (selon les dimensions identiques ou indications standards).</w:t>
      </w:r>
    </w:p>
    <w:p w14:paraId="5F2CA88A" w14:textId="77777777" w:rsidR="00DF410E" w:rsidRDefault="00CE7F43">
      <w:pPr>
        <w:pStyle w:val="pheading"/>
      </w:pPr>
      <w:r>
        <w:t>- code de mesurage:</w:t>
      </w:r>
    </w:p>
    <w:p w14:paraId="4F4A9118" w14:textId="77777777" w:rsidR="00DF410E" w:rsidRDefault="00CE7F43">
      <w:r>
        <w:t>Selon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7AAD3330" w14:textId="77777777" w:rsidR="00DF410E" w:rsidRDefault="00CE7F43">
      <w: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6191A0BC" w14:textId="77777777" w:rsidR="00DF410E" w:rsidRDefault="00CE7F43">
      <w:r>
        <w:rPr>
          <w:rStyle w:val="optioncarChar"/>
        </w:rPr>
        <w:t>Surface utile</w:t>
      </w:r>
      <w:r>
        <w:t> (par défaut) </w:t>
      </w:r>
      <w:r>
        <w:rPr>
          <w:rStyle w:val="optioncarChar"/>
        </w:rPr>
        <w:t>/ Quantités détaillées selon bordereau </w:t>
      </w:r>
    </w:p>
    <w:p w14:paraId="2AD04682" w14:textId="77777777" w:rsidR="00DF410E" w:rsidRDefault="00CE7F43">
      <w:r>
        <w:rPr>
          <w:b/>
          <w:i/>
        </w:rPr>
        <w:t>(Soit par défaut)</w:t>
      </w:r>
    </w:p>
    <w:p w14:paraId="132DA685" w14:textId="77777777" w:rsidR="00DF410E" w:rsidRDefault="00CE7F43">
      <w:pPr>
        <w:jc w:val="both"/>
      </w:pPr>
      <w:r>
        <w:rPr>
          <w:rStyle w:val="soitChar"/>
          <w:u w:val="single"/>
        </w:rPr>
        <w:t>1. Surface utile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595A061F" w14:textId="77777777" w:rsidR="00DF410E" w:rsidRDefault="00CE7F43">
      <w:r>
        <w:rPr>
          <w:b/>
          <w:i/>
        </w:rPr>
        <w:t>(Soit)</w:t>
      </w:r>
    </w:p>
    <w:p w14:paraId="6DA9A9E0" w14:textId="77777777" w:rsidR="00DF410E" w:rsidRDefault="00CE7F43">
      <w:pPr>
        <w:jc w:val="both"/>
      </w:pPr>
      <w:r>
        <w:rPr>
          <w:rStyle w:val="soitChar"/>
          <w:u w:val="single"/>
        </w:rPr>
        <w:t>2. 3 Quantités détaillées selon bordereau </w:t>
      </w:r>
    </w:p>
    <w:p w14:paraId="20E6F5AE" w14:textId="77777777" w:rsidR="00DF410E" w:rsidRDefault="00CE7F43">
      <w:pPr>
        <w:pStyle w:val="pheading"/>
      </w:pPr>
      <w:r>
        <w:t>- nature du marché:</w:t>
      </w:r>
    </w:p>
    <w:p w14:paraId="576BDF10" w14:textId="77777777" w:rsidR="00DF410E" w:rsidRDefault="00CE7F43">
      <w:r>
        <w:t>QF</w:t>
      </w:r>
    </w:p>
    <w:p w14:paraId="60595442" w14:textId="77777777" w:rsidR="00DF410E" w:rsidRDefault="00CE7F43">
      <w:pPr>
        <w:pStyle w:val="Author-eSectionHeading6"/>
      </w:pPr>
      <w:bookmarkStart w:id="728" w:name="_Toc178837893"/>
      <w:r>
        <w:t>22.15.3c Planchers à dalles alvéolées en béton armé CCTB 01.12</w:t>
      </w:r>
      <w:bookmarkEnd w:id="728"/>
    </w:p>
    <w:p w14:paraId="5E0253F2" w14:textId="77777777" w:rsidR="00DF410E" w:rsidRDefault="00CE7F43">
      <w:pPr>
        <w:pStyle w:val="pheading"/>
      </w:pPr>
      <w:r>
        <w:t>DESCRIPTION</w:t>
      </w:r>
    </w:p>
    <w:p w14:paraId="1A5B614E" w14:textId="77777777" w:rsidR="00DF410E" w:rsidRDefault="00CE7F43">
      <w:pPr>
        <w:pStyle w:val="pheading"/>
      </w:pPr>
      <w:r>
        <w:t>- Définition / Comprend</w:t>
      </w:r>
    </w:p>
    <w:p w14:paraId="3EB0A083" w14:textId="77777777" w:rsidR="00DF410E" w:rsidRDefault="00CE7F43">
      <w:r>
        <w:t>Il s'agit de planchers composés d’éléments jointifs préfabriqués en béton armé, à poser directement, dont les joints sont remplis au mortier ou béton de remplissage et qui sont, en principe, destinés à recevoir une couche de compression.</w:t>
      </w:r>
    </w:p>
    <w:p w14:paraId="190A9DC1" w14:textId="77777777" w:rsidR="00DF410E" w:rsidRDefault="00CE7F43">
      <w:pPr>
        <w:pStyle w:val="pheading"/>
      </w:pPr>
      <w:r>
        <w:t>MATÉRIAUX</w:t>
      </w:r>
    </w:p>
    <w:p w14:paraId="4752B8A0" w14:textId="77777777" w:rsidR="00DF410E" w:rsidRDefault="00CE7F43">
      <w:pPr>
        <w:pStyle w:val="pheading"/>
      </w:pPr>
      <w:r>
        <w:t>- Caractéristiques générales</w:t>
      </w:r>
    </w:p>
    <w:p w14:paraId="4B819EDA" w14:textId="77777777" w:rsidR="00DF410E" w:rsidRDefault="00CE7F43">
      <w:r>
        <w:t>Les planchers en béton armé, selon la [NBN EN 1168+A3] + [NBN B 21-605+A1]. Les éléments portent un certificat de conformité et le certificat doit être soumis à l'auteur de projet.. Des trous pour l'évacuation d'eau sont réalisés dans leur partie inférieure, afin que l'eau ne puisse stagner dans les vides.</w:t>
      </w:r>
    </w:p>
    <w:p w14:paraId="46B7EB09" w14:textId="77777777" w:rsidR="00DF410E" w:rsidRDefault="00CE7F43">
      <w:r>
        <w:rPr>
          <w:b/>
        </w:rPr>
        <w:t xml:space="preserve">Béton de remplissage </w:t>
      </w:r>
    </w:p>
    <w:p w14:paraId="18C089F2" w14:textId="77777777" w:rsidR="00DF410E" w:rsidRDefault="00CE7F43">
      <w:pPr>
        <w:pStyle w:val="Author-eListParagraph"/>
        <w:numPr>
          <w:ilvl w:val="0"/>
          <w:numId w:val="461"/>
        </w:numPr>
      </w:pPr>
      <w:r>
        <w:t xml:space="preserve">Le béton de remplissage est de composition </w:t>
      </w:r>
      <w:r>
        <w:rPr>
          <w:rStyle w:val="optioncarChar"/>
        </w:rPr>
        <w:t>C25/30 // C30/37 // ***</w:t>
      </w:r>
    </w:p>
    <w:p w14:paraId="2D78BBF1" w14:textId="77777777" w:rsidR="00DF410E" w:rsidRDefault="00CE7F43">
      <w:r>
        <w:rPr>
          <w:b/>
        </w:rPr>
        <w:t>Couche de compression</w:t>
      </w:r>
    </w:p>
    <w:p w14:paraId="0BCEDAC8" w14:textId="77777777" w:rsidR="00DF410E" w:rsidRDefault="00CE7F43">
      <w:r>
        <w:t xml:space="preserve">La qualité du béton selon la [NBN EN 206:2013+A2] et [NBN B 15-001] est adaptée en fonction de l’épaisseur de la couche de compression (voir également l'article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71D08CBA" w14:textId="77777777">
        <w:tc>
          <w:tcPr>
            <w:tcW w:w="1500" w:type="dxa"/>
            <w:noWrap/>
          </w:tcPr>
          <w:p w14:paraId="19ABD00C" w14:textId="77777777" w:rsidR="00DF410E" w:rsidRDefault="00CE7F43">
            <w:pPr>
              <w:jc w:val="center"/>
            </w:pPr>
            <w:r>
              <w:rPr>
                <w:b/>
              </w:rPr>
              <w:t>A</w:t>
            </w:r>
          </w:p>
        </w:tc>
        <w:tc>
          <w:tcPr>
            <w:tcW w:w="1500" w:type="dxa"/>
            <w:noWrap/>
          </w:tcPr>
          <w:p w14:paraId="6F592856" w14:textId="77777777" w:rsidR="00DF410E" w:rsidRDefault="00CE7F43">
            <w:pPr>
              <w:jc w:val="center"/>
            </w:pPr>
            <w:r>
              <w:rPr>
                <w:b/>
              </w:rPr>
              <w:t>B1</w:t>
            </w:r>
          </w:p>
        </w:tc>
        <w:tc>
          <w:tcPr>
            <w:tcW w:w="1500" w:type="dxa"/>
            <w:noWrap/>
          </w:tcPr>
          <w:p w14:paraId="4A6D4C20" w14:textId="77777777" w:rsidR="00DF410E" w:rsidRDefault="00CE7F43">
            <w:pPr>
              <w:jc w:val="center"/>
            </w:pPr>
            <w:r>
              <w:rPr>
                <w:b/>
              </w:rPr>
              <w:t>B2</w:t>
            </w:r>
          </w:p>
        </w:tc>
        <w:tc>
          <w:tcPr>
            <w:tcW w:w="1500" w:type="dxa"/>
            <w:noWrap/>
          </w:tcPr>
          <w:p w14:paraId="5E0E3C38" w14:textId="77777777" w:rsidR="00DF410E" w:rsidRDefault="00CE7F43">
            <w:pPr>
              <w:jc w:val="center"/>
            </w:pPr>
            <w:r>
              <w:rPr>
                <w:b/>
              </w:rPr>
              <w:t>C</w:t>
            </w:r>
          </w:p>
        </w:tc>
        <w:tc>
          <w:tcPr>
            <w:tcW w:w="1500" w:type="dxa"/>
            <w:noWrap/>
          </w:tcPr>
          <w:p w14:paraId="63290CF4" w14:textId="77777777" w:rsidR="00DF410E" w:rsidRDefault="00CE7F43">
            <w:pPr>
              <w:jc w:val="center"/>
            </w:pPr>
            <w:r>
              <w:rPr>
                <w:b/>
              </w:rPr>
              <w:t>D</w:t>
            </w:r>
          </w:p>
        </w:tc>
        <w:tc>
          <w:tcPr>
            <w:tcW w:w="1500" w:type="dxa"/>
            <w:noWrap/>
          </w:tcPr>
          <w:p w14:paraId="38E2D9F6" w14:textId="77777777" w:rsidR="00DF410E" w:rsidRDefault="00CE7F43">
            <w:pPr>
              <w:jc w:val="center"/>
            </w:pPr>
            <w:r>
              <w:rPr>
                <w:b/>
              </w:rPr>
              <w:t>E</w:t>
            </w:r>
          </w:p>
        </w:tc>
      </w:tr>
      <w:tr w:rsidR="00DF410E" w14:paraId="78A4061E" w14:textId="77777777">
        <w:tc>
          <w:tcPr>
            <w:tcW w:w="1500" w:type="dxa"/>
            <w:noWrap/>
          </w:tcPr>
          <w:p w14:paraId="68B3BE05" w14:textId="77777777" w:rsidR="00DF410E" w:rsidRDefault="00CE7F43">
            <w:pPr>
              <w:jc w:val="center"/>
            </w:pPr>
            <w:r>
              <w:rPr>
                <w:b/>
              </w:rPr>
              <w:t>Classe de résistance</w:t>
            </w:r>
          </w:p>
        </w:tc>
        <w:tc>
          <w:tcPr>
            <w:tcW w:w="1500" w:type="dxa"/>
            <w:noWrap/>
          </w:tcPr>
          <w:p w14:paraId="528DA8CC" w14:textId="77777777" w:rsidR="00DF410E" w:rsidRDefault="00CE7F43">
            <w:pPr>
              <w:jc w:val="center"/>
            </w:pPr>
            <w:r>
              <w:rPr>
                <w:b/>
              </w:rPr>
              <w:t>Domaine d’application</w:t>
            </w:r>
          </w:p>
        </w:tc>
        <w:tc>
          <w:tcPr>
            <w:tcW w:w="1500" w:type="dxa"/>
            <w:noWrap/>
          </w:tcPr>
          <w:p w14:paraId="1F9171ED" w14:textId="77777777" w:rsidR="00DF410E" w:rsidRDefault="00CE7F43">
            <w:pPr>
              <w:jc w:val="center"/>
            </w:pPr>
            <w:r>
              <w:rPr>
                <w:b/>
              </w:rPr>
              <w:t>Classe d'environnement</w:t>
            </w:r>
          </w:p>
        </w:tc>
        <w:tc>
          <w:tcPr>
            <w:tcW w:w="1500" w:type="dxa"/>
            <w:noWrap/>
          </w:tcPr>
          <w:p w14:paraId="29CC6671" w14:textId="77777777" w:rsidR="00DF410E" w:rsidRDefault="00CE7F43">
            <w:pPr>
              <w:jc w:val="center"/>
            </w:pPr>
            <w:r>
              <w:rPr>
                <w:b/>
              </w:rPr>
              <w:t>Classe de consistance</w:t>
            </w:r>
          </w:p>
        </w:tc>
        <w:tc>
          <w:tcPr>
            <w:tcW w:w="1500" w:type="dxa"/>
            <w:noWrap/>
          </w:tcPr>
          <w:p w14:paraId="2182D29F" w14:textId="77777777" w:rsidR="00DF410E" w:rsidRDefault="00CE7F43">
            <w:pPr>
              <w:jc w:val="center"/>
            </w:pPr>
            <w:r>
              <w:rPr>
                <w:b/>
              </w:rPr>
              <w:t>Granulométrie maximale</w:t>
            </w:r>
          </w:p>
        </w:tc>
        <w:tc>
          <w:tcPr>
            <w:tcW w:w="1500" w:type="dxa"/>
            <w:noWrap/>
          </w:tcPr>
          <w:p w14:paraId="32D6E1DF" w14:textId="77777777" w:rsidR="00DF410E" w:rsidRDefault="00CE7F43">
            <w:r>
              <w:rPr>
                <w:b/>
              </w:rPr>
              <w:t>Données complémentaires</w:t>
            </w:r>
          </w:p>
        </w:tc>
      </w:tr>
      <w:tr w:rsidR="00DF410E" w14:paraId="51F9CD6B" w14:textId="77777777">
        <w:tc>
          <w:tcPr>
            <w:tcW w:w="1500" w:type="dxa"/>
            <w:noWrap/>
          </w:tcPr>
          <w:p w14:paraId="478BB27F" w14:textId="77777777" w:rsidR="00DF410E" w:rsidRDefault="00CE7F43">
            <w:pPr>
              <w:jc w:val="center"/>
            </w:pPr>
            <w:r>
              <w:rPr>
                <w:rStyle w:val="optioncarChar"/>
              </w:rPr>
              <w:t>C25/30 // C30/37 // C35/45 // C45/55 // C50/60 // C55/67 // C60/75 // C70/85 // C80/95 // C90/105</w:t>
            </w:r>
          </w:p>
        </w:tc>
        <w:tc>
          <w:tcPr>
            <w:tcW w:w="1500" w:type="dxa"/>
            <w:noWrap/>
          </w:tcPr>
          <w:p w14:paraId="554B86E1" w14:textId="77777777" w:rsidR="00DF410E" w:rsidRDefault="00CE7F43">
            <w:pPr>
              <w:jc w:val="center"/>
            </w:pPr>
            <w:r>
              <w:t>Béton armé</w:t>
            </w:r>
          </w:p>
          <w:p w14:paraId="4D825049" w14:textId="77777777" w:rsidR="00DF410E" w:rsidRDefault="00DF410E"/>
        </w:tc>
        <w:tc>
          <w:tcPr>
            <w:tcW w:w="1500" w:type="dxa"/>
            <w:noWrap/>
          </w:tcPr>
          <w:p w14:paraId="1B4EE59A" w14:textId="77777777" w:rsidR="00DF410E" w:rsidRDefault="00CE7F43">
            <w:pPr>
              <w:jc w:val="center"/>
            </w:pPr>
            <w:r>
              <w:rPr>
                <w:rStyle w:val="optioncarChar"/>
              </w:rPr>
              <w:t>E0 / EI / EE1 / EE2 / EE3 / EE4 / ES1 / ES2 / ES3 / ES4 / EA1+*** / EA2+***/ EA3+***</w:t>
            </w:r>
          </w:p>
        </w:tc>
        <w:tc>
          <w:tcPr>
            <w:tcW w:w="1500" w:type="dxa"/>
            <w:noWrap/>
          </w:tcPr>
          <w:p w14:paraId="3CCAF9B2" w14:textId="77777777" w:rsidR="00DF410E" w:rsidRDefault="00CE7F43">
            <w:pPr>
              <w:jc w:val="center"/>
            </w:pPr>
            <w:r>
              <w:t>au choix de l'entrepreneur :</w:t>
            </w:r>
          </w:p>
          <w:p w14:paraId="51D9F6B5" w14:textId="77777777" w:rsidR="00DF410E" w:rsidRDefault="00CE7F43">
            <w:pPr>
              <w:jc w:val="center"/>
            </w:pPr>
            <w:r>
              <w:rPr>
                <w:rStyle w:val="optioncarChar"/>
              </w:rPr>
              <w:t xml:space="preserve">S3 / S4 / S5 </w:t>
            </w:r>
          </w:p>
          <w:p w14:paraId="31DA5DD0" w14:textId="77777777" w:rsidR="00DF410E" w:rsidRDefault="00CE7F43">
            <w:pPr>
              <w:jc w:val="center"/>
            </w:pPr>
            <w:r>
              <w:rPr>
                <w:rStyle w:val="optioncarChar"/>
              </w:rPr>
              <w:t>F3 / F4 / F5 / F6</w:t>
            </w:r>
            <w:r>
              <w:br/>
            </w:r>
          </w:p>
        </w:tc>
        <w:tc>
          <w:tcPr>
            <w:tcW w:w="1500" w:type="dxa"/>
            <w:noWrap/>
          </w:tcPr>
          <w:p w14:paraId="214DC929" w14:textId="77777777" w:rsidR="00DF410E" w:rsidRDefault="00CE7F43">
            <w:pPr>
              <w:jc w:val="center"/>
            </w:pPr>
            <w:r>
              <w:t>au choix de l'entrepreneur :</w:t>
            </w:r>
          </w:p>
          <w:p w14:paraId="402AE025" w14:textId="77777777" w:rsidR="00DF410E" w:rsidRDefault="00CE7F43">
            <w:pPr>
              <w:jc w:val="center"/>
            </w:pPr>
            <w:r>
              <w:rPr>
                <w:rStyle w:val="optioncarChar"/>
              </w:rPr>
              <w:t>6 / 8 / 10 / 11 / 12 / 14 / 16 / 20 / 22 / 32 </w:t>
            </w:r>
            <w:r>
              <w:t>mm</w:t>
            </w:r>
          </w:p>
        </w:tc>
        <w:tc>
          <w:tcPr>
            <w:tcW w:w="1500" w:type="dxa"/>
            <w:noWrap/>
          </w:tcPr>
          <w:p w14:paraId="47E5B266" w14:textId="77777777" w:rsidR="00DF410E" w:rsidRDefault="00CE7F43">
            <w:pPr>
              <w:jc w:val="center"/>
            </w:pPr>
            <w:r>
              <w:rPr>
                <w:rStyle w:val="optioncarChar"/>
              </w:rPr>
              <w:t>***</w:t>
            </w:r>
          </w:p>
        </w:tc>
      </w:tr>
    </w:tbl>
    <w:p w14:paraId="774A5DF4" w14:textId="77777777" w:rsidR="00DF410E" w:rsidRDefault="00DF410E"/>
    <w:p w14:paraId="7B0362E8" w14:textId="77777777" w:rsidR="00DF410E" w:rsidRDefault="00CE7F43">
      <w:pPr>
        <w:pStyle w:val="Author-eListParagraph"/>
        <w:numPr>
          <w:ilvl w:val="0"/>
          <w:numId w:val="462"/>
        </w:numPr>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 xml:space="preserve">Données complémentaires propres au béton autoplaçant (E) : </w:t>
      </w:r>
    </w:p>
    <w:p w14:paraId="4BF6557E" w14:textId="77777777" w:rsidR="00DF410E" w:rsidRDefault="00CE7F43">
      <w:pPr>
        <w:pStyle w:val="Author-eListParagraph"/>
        <w:numPr>
          <w:ilvl w:val="1"/>
          <w:numId w:val="463"/>
        </w:numPr>
      </w:pPr>
      <w:r>
        <w:t xml:space="preserve">Classe de viscosité apparente : </w:t>
      </w:r>
      <w:r>
        <w:rPr>
          <w:rStyle w:val="optioncarChar"/>
        </w:rPr>
        <w:t>VS1 / VS2</w:t>
      </w:r>
      <w:r>
        <w:t xml:space="preserve"> (selon la [NBN EN 12350-8] )</w:t>
      </w:r>
    </w:p>
    <w:p w14:paraId="443A9C50" w14:textId="77777777" w:rsidR="00DF410E" w:rsidRDefault="00CE7F43">
      <w:pPr>
        <w:pStyle w:val="Author-eListParagraph"/>
        <w:numPr>
          <w:ilvl w:val="1"/>
          <w:numId w:val="46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78B853A" w14:textId="77777777" w:rsidR="00DF410E" w:rsidRDefault="00CE7F43">
      <w:pPr>
        <w:pStyle w:val="Author-eListParagraph"/>
        <w:numPr>
          <w:ilvl w:val="1"/>
          <w:numId w:val="46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E82C594" w14:textId="77777777" w:rsidR="00DF410E" w:rsidRDefault="00CE7F43">
      <w:pPr>
        <w:pStyle w:val="Author-eListParagraph"/>
        <w:numPr>
          <w:ilvl w:val="0"/>
          <w:numId w:val="462"/>
        </w:numPr>
      </w:pPr>
      <w:r>
        <w:t xml:space="preserve">Épaisseur de la couche de compression : au moins </w:t>
      </w:r>
      <w:r>
        <w:rPr>
          <w:rStyle w:val="optioncarChar"/>
        </w:rPr>
        <w:t>4 / 5 </w:t>
      </w:r>
      <w:r>
        <w:t xml:space="preserve">(par défaut) </w:t>
      </w:r>
      <w:r>
        <w:rPr>
          <w:rStyle w:val="optioncarChar"/>
        </w:rPr>
        <w:t xml:space="preserve">/ 6 / *** </w:t>
      </w:r>
      <w:r>
        <w:t>cm</w:t>
      </w:r>
    </w:p>
    <w:p w14:paraId="59E2B1DB" w14:textId="77777777" w:rsidR="00DF410E" w:rsidRDefault="00CE7F43">
      <w:r>
        <w:rPr>
          <w:u w:val="single"/>
        </w:rPr>
        <w:t>Armatures</w:t>
      </w:r>
    </w:p>
    <w:p w14:paraId="68CDF865" w14:textId="77777777" w:rsidR="00DF410E" w:rsidRDefault="00CE7F43">
      <w:pPr>
        <w:pStyle w:val="Author-eListParagraph"/>
        <w:numPr>
          <w:ilvl w:val="0"/>
          <w:numId w:val="464"/>
        </w:numPr>
      </w:pPr>
      <w:r>
        <w:t>les armatures de la couche de compression sont prévues selon les indications dans l'étude des bétons:</w:t>
      </w:r>
    </w:p>
    <w:p w14:paraId="40BF32BA" w14:textId="77777777" w:rsidR="00DF410E" w:rsidRDefault="00CE7F43">
      <w:r>
        <w:rPr>
          <w:b/>
        </w:rPr>
        <w:t>Choix opéré</w:t>
      </w:r>
      <w:r>
        <w:t xml:space="preserve"> : </w:t>
      </w:r>
      <w:r>
        <w:rPr>
          <w:rStyle w:val="optioncarChar"/>
        </w:rPr>
        <w:t>OPTION 1 / OPTION 2 / OPTION 3</w:t>
      </w:r>
      <w:r>
        <w:rPr>
          <w:b/>
        </w:rPr>
        <w:t> </w:t>
      </w:r>
    </w:p>
    <w:p w14:paraId="0209E2F7" w14:textId="77777777" w:rsidR="00DF410E" w:rsidRDefault="00CE7F43">
      <w:r>
        <w:rPr>
          <w:b/>
        </w:rPr>
        <w:t>***OPTION 1:</w:t>
      </w:r>
      <w:r>
        <w:t xml:space="preserve"> selon la quantité et le diamètre à déterminer par le fabricant des dalles alvéolées</w:t>
      </w:r>
    </w:p>
    <w:p w14:paraId="5054C597" w14:textId="77777777" w:rsidR="00DF410E" w:rsidRDefault="00CE7F43">
      <w:r>
        <w:rPr>
          <w:b/>
        </w:rPr>
        <w:t>***OPTION 2:</w:t>
      </w:r>
      <w:r>
        <w:t xml:space="preserve"> selon la quantité et le diamètre à déterminer par l'entrepreneur selon les Eurocodes (essentiellement [NBN EN 1990], [NBN EN 1991 série], [NBN EN 1992-1-1] et [NBN EN 1992-1-2])</w:t>
      </w:r>
    </w:p>
    <w:p w14:paraId="5F2D23F9" w14:textId="77777777" w:rsidR="00DF410E" w:rsidRDefault="00CE7F43">
      <w:r>
        <w:rPr>
          <w:b/>
        </w:rPr>
        <w:t>***OPTION 3:</w:t>
      </w:r>
      <w:r>
        <w:t xml:space="preserve"> avec au moins un treillis soudé, nuance d'acier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 </w:t>
      </w:r>
      <w:r>
        <w:t>(par défaut)</w:t>
      </w:r>
      <w:r>
        <w:rPr>
          <w:rStyle w:val="optioncarChar"/>
        </w:rPr>
        <w:t xml:space="preserve"> / 200 x 200 x 6 x 6 / 250 x 250 x 6 x 6 / *** </w:t>
      </w:r>
      <w:r>
        <w:t>mm</w:t>
      </w:r>
    </w:p>
    <w:p w14:paraId="61C9EA70" w14:textId="77777777" w:rsidR="00DF410E" w:rsidRDefault="00CE7F43">
      <w:pPr>
        <w:pStyle w:val="Author-eListParagraph"/>
        <w:numPr>
          <w:ilvl w:val="0"/>
          <w:numId w:val="465"/>
        </w:numPr>
      </w:pPr>
      <w:r>
        <w:t>Les armatures complémentaires se composeront de barres supplémentaires de qualité BE 500 S et seront exécutées et posées</w:t>
      </w:r>
      <w:r>
        <w:rPr>
          <w:rStyle w:val="optioncarChar"/>
        </w:rPr>
        <w:t> selon les indications données dans l'étude des bétons.</w:t>
      </w:r>
      <w:r>
        <w:t>(par défaut) </w:t>
      </w:r>
      <w:r>
        <w:rPr>
          <w:rStyle w:val="optioncarChar"/>
        </w:rPr>
        <w:t>/ selon la quantité et le diamètre à déterminer par le fabricant des dalles alvéolées / ***</w:t>
      </w:r>
    </w:p>
    <w:p w14:paraId="1A33A282" w14:textId="77777777" w:rsidR="00DF410E" w:rsidRDefault="00CE7F43">
      <w:r>
        <w:rPr>
          <w:u w:val="single"/>
        </w:rPr>
        <w:t>Spécifications</w:t>
      </w:r>
    </w:p>
    <w:p w14:paraId="49EE0435" w14:textId="77777777" w:rsidR="00DF410E" w:rsidRDefault="00CE7F43">
      <w:pPr>
        <w:pStyle w:val="Author-eListParagraph"/>
        <w:numPr>
          <w:ilvl w:val="0"/>
          <w:numId w:val="466"/>
        </w:numPr>
      </w:pPr>
      <w:r>
        <w:t xml:space="preserve">Hauteur : </w:t>
      </w:r>
      <w:r>
        <w:rPr>
          <w:rStyle w:val="optioncarChar"/>
        </w:rPr>
        <w:t>12 / 12,5 / 15 / 16 / 20 / 25 / 30 / 32 cm / selon les indications sur les plans</w:t>
      </w:r>
      <w:r>
        <w:t xml:space="preserve"> (par défaut) </w:t>
      </w:r>
      <w:r>
        <w:rPr>
          <w:rStyle w:val="optioncarChar"/>
        </w:rPr>
        <w:t>/ ***</w:t>
      </w:r>
    </w:p>
    <w:p w14:paraId="4B243AD2" w14:textId="77777777" w:rsidR="00DF410E" w:rsidRDefault="00CE7F43">
      <w:pPr>
        <w:pStyle w:val="Author-eListParagraph"/>
        <w:numPr>
          <w:ilvl w:val="0"/>
          <w:numId w:val="466"/>
        </w:numPr>
      </w:pPr>
      <w:r>
        <w:t xml:space="preserve">Largeur : </w:t>
      </w:r>
      <w:r>
        <w:rPr>
          <w:rStyle w:val="optioncarChar"/>
        </w:rPr>
        <w:t>*** / 25 / 30 / 60 / 120 / 240</w:t>
      </w:r>
      <w:r>
        <w:t xml:space="preserve"> cm (ou un multiple) </w:t>
      </w:r>
      <w:r>
        <w:rPr>
          <w:rStyle w:val="optioncarChar"/>
        </w:rPr>
        <w:t>/ selon les indications sur les plans</w:t>
      </w:r>
      <w:r>
        <w:t> (par défaut) </w:t>
      </w:r>
      <w:r>
        <w:rPr>
          <w:rStyle w:val="optioncarChar"/>
        </w:rPr>
        <w:t>/ ***</w:t>
      </w:r>
    </w:p>
    <w:p w14:paraId="47F174C3" w14:textId="77777777" w:rsidR="00DF410E" w:rsidRDefault="00CE7F43">
      <w:pPr>
        <w:pStyle w:val="Author-eListParagraph"/>
        <w:numPr>
          <w:ilvl w:val="0"/>
          <w:numId w:val="466"/>
        </w:numPr>
      </w:pPr>
      <w:r>
        <w:t xml:space="preserve">Longueur : </w:t>
      </w:r>
      <w:r>
        <w:rPr>
          <w:rStyle w:val="optioncarChar"/>
        </w:rPr>
        <w:t>*** cm  / soit conformément aux longueurs indiquées sur les plans</w:t>
      </w:r>
      <w:r>
        <w:t> (par défaut)</w:t>
      </w:r>
    </w:p>
    <w:p w14:paraId="15193AF4" w14:textId="77777777" w:rsidR="00DF410E" w:rsidRDefault="00CE7F43">
      <w:pPr>
        <w:pStyle w:val="pheading"/>
      </w:pPr>
      <w:r>
        <w:t>- Finitions</w:t>
      </w:r>
    </w:p>
    <w:p w14:paraId="03F75B84" w14:textId="77777777" w:rsidR="00DF410E" w:rsidRDefault="00CE7F43">
      <w:r>
        <w:t xml:space="preserve">Finition : face inférieure </w:t>
      </w:r>
      <w:r>
        <w:rPr>
          <w:rStyle w:val="optioncarChar"/>
        </w:rPr>
        <w:t>rugueuse / lisse </w:t>
      </w:r>
      <w:r>
        <w:t xml:space="preserve">(par défaut) </w:t>
      </w:r>
      <w:r>
        <w:rPr>
          <w:rStyle w:val="optioncarChar"/>
        </w:rPr>
        <w:t>/ ***</w:t>
      </w:r>
    </w:p>
    <w:p w14:paraId="437E8542" w14:textId="77777777" w:rsidR="00DF410E" w:rsidRDefault="00CE7F43">
      <w:pPr>
        <w:pStyle w:val="pheading"/>
      </w:pPr>
      <w:r>
        <w:t>- Prescriptions complémentaires</w:t>
      </w:r>
    </w:p>
    <w:p w14:paraId="67CB188E" w14:textId="77777777" w:rsidR="00DF410E" w:rsidRDefault="00DF410E"/>
    <w:p w14:paraId="7579E8C8" w14:textId="77777777" w:rsidR="00DF410E" w:rsidRDefault="00CE7F43">
      <w:pPr>
        <w:pStyle w:val="Author-eListParagraph"/>
        <w:numPr>
          <w:ilvl w:val="0"/>
          <w:numId w:val="467"/>
        </w:numPr>
      </w:pPr>
      <w:r>
        <w:t xml:space="preserve">Les éléments de sol sont couverts par un certificat de conformité </w:t>
      </w:r>
      <w:hyperlink r:id="rId71" w:history="1" w:docLocation="68">
        <w:r>
          <w:t>02.42.1 Critères d'acceptabilité</w:t>
        </w:r>
      </w:hyperlink>
    </w:p>
    <w:p w14:paraId="60E441C2" w14:textId="77777777" w:rsidR="00DF410E" w:rsidRDefault="00CE7F43">
      <w:pPr>
        <w:pStyle w:val="Author-eListParagraph"/>
        <w:numPr>
          <w:ilvl w:val="0"/>
          <w:numId w:val="467"/>
        </w:numPr>
      </w:pPr>
      <w:r>
        <w:t xml:space="preserve">Résistance au feu : pour les éléments porteurs et structurels sans fonction séparant </w:t>
      </w:r>
      <w:r>
        <w:rPr>
          <w:rStyle w:val="optioncarChar"/>
        </w:rPr>
        <w:t>R15 / R30</w:t>
      </w:r>
      <w:r>
        <w:t> (par défaut)</w:t>
      </w:r>
      <w:r>
        <w:rPr>
          <w:rStyle w:val="optioncarChar"/>
        </w:rPr>
        <w:t xml:space="preserve"> /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w:t>
      </w:r>
    </w:p>
    <w:p w14:paraId="2FBB881E" w14:textId="77777777" w:rsidR="00DF410E" w:rsidRDefault="00CE7F43">
      <w:pPr>
        <w:pStyle w:val="Author-eListParagraph"/>
        <w:numPr>
          <w:ilvl w:val="0"/>
          <w:numId w:val="467"/>
        </w:numPr>
      </w:pPr>
      <w:r>
        <w:t>Support aux prescripteurs : [SWL GSI/T1/C] de la prévention passive.</w:t>
      </w:r>
    </w:p>
    <w:p w14:paraId="4861BC2B" w14:textId="77777777" w:rsidR="00DF410E" w:rsidRDefault="00CE7F43">
      <w:pPr>
        <w:pStyle w:val="Author-eListParagraph"/>
        <w:numPr>
          <w:ilvl w:val="0"/>
          <w:numId w:val="467"/>
        </w:numPr>
      </w:pPr>
      <w:r>
        <w:t xml:space="preserve">La résistance thermique des dalles alvéolées est d'au moins </w:t>
      </w:r>
      <w:r>
        <w:rPr>
          <w:rStyle w:val="optioncarChar"/>
        </w:rPr>
        <w:t>***</w:t>
      </w:r>
      <w:r>
        <w:t xml:space="preserve"> m²K/W, qui est obtenue à l'aide d'une isolation intégrée.</w:t>
      </w:r>
    </w:p>
    <w:p w14:paraId="687C8C38" w14:textId="77777777" w:rsidR="00DF410E" w:rsidRDefault="00CE7F43">
      <w:pPr>
        <w:pStyle w:val="pheading"/>
      </w:pPr>
      <w:r>
        <w:t>EXÉCUTION / MISE EN ŒUVRE</w:t>
      </w:r>
    </w:p>
    <w:p w14:paraId="0D1C2EF1" w14:textId="77777777" w:rsidR="00DF410E" w:rsidRDefault="00CE7F43">
      <w:pPr>
        <w:pStyle w:val="pheading"/>
      </w:pPr>
      <w:r>
        <w:t>- Prescriptions générales</w:t>
      </w:r>
    </w:p>
    <w:p w14:paraId="0D418AED" w14:textId="77777777" w:rsidR="00DF410E" w:rsidRDefault="00CE7F43">
      <w:pPr>
        <w:spacing w:before="0" w:after="0"/>
      </w:pPr>
      <w:r>
        <w:rPr>
          <w:b/>
        </w:rPr>
        <w:t>Préfabrication - Transport</w:t>
      </w:r>
    </w:p>
    <w:p w14:paraId="267B627E" w14:textId="77777777" w:rsidR="00DF410E" w:rsidRDefault="00CE7F43">
      <w:r>
        <w:t>Pendant le transport et l'entreposage sur chantier, l'entrepreneur veille à ce qu'il ne se produise pas de tensions inadmissibles dans le béton et l'acier. A cet effet, les dalles alvéolées sont entreposées de manière suffisamment rapprochée. Ils sont posés sur des chevrons placés à une distance qui n'excède pas 1/5 de la portée, à calculer à partir des extrémités. Les chevrons sont superposés.</w:t>
      </w:r>
    </w:p>
    <w:p w14:paraId="667E3EAF" w14:textId="77777777" w:rsidR="00DF410E" w:rsidRDefault="00CE7F43">
      <w:pPr>
        <w:pStyle w:val="heading"/>
      </w:pPr>
      <w:r>
        <w:t>Mise en œuvre - Appuis</w:t>
      </w:r>
    </w:p>
    <w:p w14:paraId="1437A149" w14:textId="77777777" w:rsidR="00DF410E" w:rsidRDefault="00CE7F43">
      <w:pPr>
        <w:pStyle w:val="Author-eListParagraph"/>
        <w:numPr>
          <w:ilvl w:val="0"/>
          <w:numId w:val="468"/>
        </w:numPr>
      </w:pPr>
      <w:r>
        <w:t>Les dalles alvéolées sont posées parfaitement jointivement sur des surfaces d'appui bien préparées, conformément au plan de pose établi par le fabricant et approuvé par l'auteur de projet. L'entrepreneur est autorisé à exécuter certaines parties (pièces d'ajustage, …) de la voussure en béton armé, toutefois après avoir obtenu l'approbation de la direction du chantier et avoir soumis le plan de ferraillage.</w:t>
      </w:r>
    </w:p>
    <w:p w14:paraId="35331B9A" w14:textId="77777777" w:rsidR="00DF410E" w:rsidRDefault="00CE7F43">
      <w:pPr>
        <w:pStyle w:val="Author-eListParagraph"/>
        <w:numPr>
          <w:ilvl w:val="0"/>
          <w:numId w:val="468"/>
        </w:numPr>
      </w:pPr>
      <w:r>
        <w:t xml:space="preserve">Conformément aux prescriptions du fabricant, il faut poser, aux endroits nécessaires, des étais de montage pendant l'exécution de la dalle portante. </w:t>
      </w:r>
    </w:p>
    <w:p w14:paraId="04B6B1A0" w14:textId="77777777" w:rsidR="00DF410E" w:rsidRDefault="00CE7F43">
      <w:pPr>
        <w:pStyle w:val="Author-eListParagraph"/>
        <w:numPr>
          <w:ilvl w:val="1"/>
          <w:numId w:val="469"/>
        </w:numPr>
      </w:pPr>
      <w:r>
        <w:t>en-dessous des dalles alvéolaires :</w:t>
      </w:r>
      <w:r>
        <w:br/>
        <w:t>• largeur d’appui inférieur au minimum (torons dépassants) : toujours à étançonner</w:t>
      </w:r>
      <w:r>
        <w:br/>
        <w:t>• éléments avec une découpe &gt; 1/3 de la largeur : toujours à étançonner</w:t>
      </w:r>
      <w:r>
        <w:br/>
        <w:t>• autres : à spécifier par le fabricant</w:t>
      </w:r>
    </w:p>
    <w:p w14:paraId="6FC8EFF5" w14:textId="77777777" w:rsidR="00DF410E" w:rsidRDefault="00CE7F43">
      <w:pPr>
        <w:pStyle w:val="Author-eListParagraph"/>
        <w:numPr>
          <w:ilvl w:val="0"/>
          <w:numId w:val="470"/>
        </w:numPr>
      </w:pPr>
      <w:r>
        <w:t>En principe, les éléments de plancher sont posés dans un lit de mortier. Lorsque la surface d'appui n'est pas suffisamment plane, comme pour la maçonnerie ou le béton coulé en place, une couche d'égalisation en mortier de ciment est préalablement appliquée. Les surfaces d'appui en béton cellulaire autoclavé, en briques silico-calcaires ou en bois doivent préalablement être recouvertes d'une feuille d'étanchéité.</w:t>
      </w:r>
    </w:p>
    <w:p w14:paraId="0AAA89FC" w14:textId="77777777" w:rsidR="00DF410E" w:rsidRDefault="00CE7F43">
      <w:pPr>
        <w:pStyle w:val="Author-eListParagraph"/>
        <w:numPr>
          <w:ilvl w:val="0"/>
          <w:numId w:val="470"/>
        </w:numPr>
      </w:pPr>
      <w:r>
        <w:t>Après la pose, les bords nus des dalles alvéolées en béton: la finition est à spécifier ^par l'entrepreneur.</w:t>
      </w:r>
    </w:p>
    <w:p w14:paraId="4B7C4550" w14:textId="77777777" w:rsidR="00DF410E" w:rsidRDefault="00CE7F43">
      <w:pPr>
        <w:pStyle w:val="Author-eListParagraph"/>
        <w:numPr>
          <w:ilvl w:val="0"/>
          <w:numId w:val="470"/>
        </w:numPr>
      </w:pPr>
      <w:r>
        <w:t>Les joints entre les dalles alvéolées doivent être débarrassés de toutes impuretés lorsque la construction reste apparente après la réalisation. Avant de couler le béton, les dalles alvéolées sont abondamment arrosées d'eau.</w:t>
      </w:r>
    </w:p>
    <w:p w14:paraId="797BF3D0" w14:textId="77777777" w:rsidR="00DF410E" w:rsidRDefault="00CE7F43">
      <w:pPr>
        <w:pStyle w:val="Author-eListParagraph"/>
        <w:numPr>
          <w:ilvl w:val="0"/>
          <w:numId w:val="470"/>
        </w:numPr>
      </w:pPr>
      <w:r>
        <w:t>Le plancher ne peut être mis en charge avant que le béton de remplissage des joints ou de la couche de compression ne soit complètement durci.</w:t>
      </w:r>
    </w:p>
    <w:p w14:paraId="23456607" w14:textId="77777777" w:rsidR="00DF410E" w:rsidRDefault="00CE7F43">
      <w:pPr>
        <w:pStyle w:val="Author-eListParagraph"/>
        <w:numPr>
          <w:ilvl w:val="0"/>
          <w:numId w:val="470"/>
        </w:numPr>
      </w:pPr>
      <w:r>
        <w:t>La longueur d'appui des dalles alvéolées est conforme aux prescriptions de la [NBN B 21-605+A1]..</w:t>
      </w:r>
    </w:p>
    <w:p w14:paraId="3867F0F0" w14:textId="77777777" w:rsidR="00DF410E" w:rsidRDefault="00CE7F43">
      <w:pPr>
        <w:pStyle w:val="Author-eListParagraph"/>
        <w:numPr>
          <w:ilvl w:val="0"/>
          <w:numId w:val="470"/>
        </w:numPr>
      </w:pPr>
      <w:r>
        <w:t>La conception des joints et des assemblages externes est déterminée par l'étude de stabilité.</w:t>
      </w:r>
    </w:p>
    <w:p w14:paraId="0692EB3A" w14:textId="77777777" w:rsidR="00DF410E" w:rsidRDefault="00CE7F43">
      <w:r>
        <w:rPr>
          <w:b/>
        </w:rPr>
        <w:t>Choix opéré</w:t>
      </w:r>
      <w:r>
        <w:t xml:space="preserve">: </w:t>
      </w:r>
      <w:r>
        <w:rPr>
          <w:rStyle w:val="optioncarChar"/>
        </w:rPr>
        <w:t>OPTION 1</w:t>
      </w:r>
      <w:r>
        <w:t xml:space="preserve"> (par défaut) </w:t>
      </w:r>
      <w:r>
        <w:rPr>
          <w:rStyle w:val="optioncarChar"/>
        </w:rPr>
        <w:t>/ OPTION 2 / ***</w:t>
      </w:r>
      <w:r>
        <w:br/>
      </w:r>
      <w:r>
        <w:rPr>
          <w:b/>
        </w:rPr>
        <w:t>OPTION 1:</w:t>
      </w:r>
      <w:r>
        <w:t xml:space="preserve"> Les joints sont remplis de mortier.</w:t>
      </w:r>
      <w:r>
        <w:br/>
      </w:r>
      <w:r>
        <w:rPr>
          <w:b/>
        </w:rPr>
        <w:t>OPTION 2:</w:t>
      </w:r>
      <w:r>
        <w:t xml:space="preserve"> Les éléments de plancher sont reliés mécaniquement.</w:t>
      </w:r>
    </w:p>
    <w:p w14:paraId="4D56C0D9" w14:textId="77777777" w:rsidR="00DF410E" w:rsidRDefault="00CE7F43">
      <w:pPr>
        <w:pStyle w:val="Author-eListParagraph"/>
        <w:numPr>
          <w:ilvl w:val="0"/>
          <w:numId w:val="471"/>
        </w:numPr>
      </w:pPr>
      <w:r>
        <w:t>La face supérieure des dalles alvéolées doit correspondre aux cotes de niveau et à l'épaisseur des planchers indiqués sur les plans d'architecture.</w:t>
      </w:r>
    </w:p>
    <w:p w14:paraId="14312831" w14:textId="77777777" w:rsidR="00DF410E" w:rsidRDefault="00CE7F43">
      <w:pPr>
        <w:pStyle w:val="Author-eListParagraph"/>
        <w:numPr>
          <w:ilvl w:val="0"/>
          <w:numId w:val="471"/>
        </w:numPr>
      </w:pPr>
      <w:r>
        <w:t xml:space="preserve">Une couche de compression en béton est appliquée afin de renforcer l'ensemble et de former un seul tout avec les éléments de plancher sous-jacents. A cet effet, on replie au moins 4 barres d'armature par mètre, diamètre 6 mm, des joints entre les dalles alvéolées dans la couche de compression. La couche de compression doit être armée en continu jusque sur les appuis. Les armatures sont posées dans les </w:t>
      </w:r>
      <w:r>
        <w:rPr>
          <w:rStyle w:val="optioncarChar"/>
        </w:rPr>
        <w:t>saignées longitudinales / jointures longitudinales </w:t>
      </w:r>
      <w:r>
        <w:t>(par défaut)</w:t>
      </w:r>
      <w:r>
        <w:rPr>
          <w:rStyle w:val="optioncarChar"/>
        </w:rPr>
        <w:t xml:space="preserve"> / ***</w:t>
      </w:r>
      <w:r>
        <w:t>.</w:t>
      </w:r>
    </w:p>
    <w:p w14:paraId="3CDF8DBB" w14:textId="77777777" w:rsidR="00DF410E" w:rsidRDefault="00CE7F43">
      <w:pPr>
        <w:pStyle w:val="Author-eListParagraph"/>
        <w:numPr>
          <w:ilvl w:val="0"/>
          <w:numId w:val="471"/>
        </w:numPr>
      </w:pPr>
      <w:r>
        <w:t>La couche de compression et ses armatures sont exécutées et posées:</w:t>
      </w:r>
    </w:p>
    <w:p w14:paraId="674D2608" w14:textId="77777777" w:rsidR="00DF410E" w:rsidRDefault="00CE7F43">
      <w:r>
        <w:rPr>
          <w:b/>
        </w:rPr>
        <w:t>Choix opéré: </w:t>
      </w:r>
      <w:r>
        <w:rPr>
          <w:rStyle w:val="optioncarChar"/>
        </w:rPr>
        <w:t>OPTION 1 </w:t>
      </w:r>
      <w:r>
        <w:t>(par défaut)</w:t>
      </w:r>
      <w:r>
        <w:rPr>
          <w:rStyle w:val="optioncarChar"/>
        </w:rPr>
        <w:t> / OPTION 2 / ***</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 et la norme [NBN EN 13670] et [NBN B 15-400].</w:t>
      </w:r>
    </w:p>
    <w:p w14:paraId="15B8FEB7" w14:textId="77777777" w:rsidR="00DF410E" w:rsidRDefault="00CE7F43">
      <w:pPr>
        <w:pStyle w:val="pheading"/>
      </w:pPr>
      <w:r>
        <w:t>- Notes d’exécution complémentaires</w:t>
      </w:r>
    </w:p>
    <w:p w14:paraId="751064FB" w14:textId="77777777" w:rsidR="00DF410E" w:rsidRDefault="00CE7F43">
      <w:r>
        <w:t>Les surfaces d'appui en béton cellulaire autoclavé, en briques silico-calcaires ou en bois doivent préalablement être recouvertes d'une feuille d'étanchéité.</w:t>
      </w:r>
      <w:r>
        <w:br/>
        <w:t>Dans les locaux non destinés à recevoir un revêtement de sol particulier (greniers), la couche de compression est parfaitement lissée.</w:t>
      </w:r>
    </w:p>
    <w:p w14:paraId="10FEDB5C" w14:textId="77777777" w:rsidR="00DF410E" w:rsidRDefault="00CE7F43">
      <w:pPr>
        <w:pStyle w:val="pheading"/>
      </w:pPr>
      <w:r>
        <w:t>DOCUMENTS DE RÉFÉRENCE COMPLÉMENTAIRES</w:t>
      </w:r>
    </w:p>
    <w:p w14:paraId="1C321ABC" w14:textId="77777777" w:rsidR="00DF410E" w:rsidRDefault="00CE7F43">
      <w:pPr>
        <w:pStyle w:val="pheading"/>
      </w:pPr>
      <w:r>
        <w:t>- Exécution</w:t>
      </w:r>
    </w:p>
    <w:p w14:paraId="49386E9F" w14:textId="77777777" w:rsidR="00DF410E" w:rsidRDefault="00CE7F43">
      <w:r>
        <w:t>[NBN EN 13213, Planchers creux]</w:t>
      </w:r>
    </w:p>
    <w:p w14:paraId="14F898D0" w14:textId="77777777" w:rsidR="00DF410E" w:rsidRDefault="00CE7F43">
      <w:pPr>
        <w:pStyle w:val="pheading"/>
      </w:pPr>
      <w:r>
        <w:t>MESURAGE</w:t>
      </w:r>
    </w:p>
    <w:p w14:paraId="200B2F3E" w14:textId="77777777" w:rsidR="00DF410E" w:rsidRDefault="00CE7F43">
      <w:r>
        <w:t>Conformément à la nature du plancher, aux indications spécifiques dans le cahier spécial des charges et/ou le métré récapitulatif, le mesurage doit être conçu comme suit :</w:t>
      </w:r>
    </w:p>
    <w:p w14:paraId="68202288" w14:textId="77777777" w:rsidR="00DF410E" w:rsidRDefault="00CE7F43">
      <w:pPr>
        <w:pStyle w:val="pheading"/>
      </w:pPr>
      <w:r>
        <w:t>- unité de mesure:</w:t>
      </w:r>
    </w:p>
    <w:p w14:paraId="33D9A069" w14:textId="77777777" w:rsidR="00DF410E" w:rsidRDefault="00CE7F43">
      <w:r>
        <w:rPr>
          <w:b/>
        </w:rPr>
        <w:t>Choix opéré</w:t>
      </w:r>
      <w:r>
        <w:t xml:space="preserve"> : </w:t>
      </w:r>
      <w:r>
        <w:rPr>
          <w:rStyle w:val="optioncarChar"/>
        </w:rPr>
        <w:t xml:space="preserve">OPTION 1 </w:t>
      </w:r>
      <w:r>
        <w:t>(par défaut)</w:t>
      </w:r>
      <w:r>
        <w:rPr>
          <w:rStyle w:val="optioncarChar"/>
        </w:rPr>
        <w:t xml:space="preserve"> / OPTION 1bis / OPTION 2 / OPTION 3</w:t>
      </w:r>
    </w:p>
    <w:p w14:paraId="3EEBB04A" w14:textId="77777777" w:rsidR="00DF410E" w:rsidRDefault="00CE7F43">
      <w:r>
        <w:rPr>
          <w:b/>
        </w:rPr>
        <w:t xml:space="preserve">OPTION 1 (par défaut): </w:t>
      </w:r>
      <w:r>
        <w:t xml:space="preserve">(méthode de mesurage standard) </w:t>
      </w:r>
      <w:r>
        <w:rPr>
          <w:b/>
        </w:rPr>
        <w:t>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72D6E00B" w14:textId="77777777" w:rsidR="00DF410E" w:rsidRDefault="00CE7F43">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385E0C0B" w14:textId="77777777" w:rsidR="00DF410E" w:rsidRDefault="00CE7F43">
      <w:r>
        <w:rPr>
          <w:b/>
        </w:rPr>
        <w:t>OPTION 2:</w:t>
      </w:r>
    </w:p>
    <w:p w14:paraId="0B00DA31" w14:textId="77777777" w:rsidR="00DF410E" w:rsidRDefault="00CE7F43">
      <w:pPr>
        <w:pStyle w:val="Author-eListParagraph"/>
        <w:numPr>
          <w:ilvl w:val="0"/>
          <w:numId w:val="472"/>
        </w:numPr>
      </w:pPr>
      <w:r>
        <w:t>m³ pour le béton</w:t>
      </w:r>
    </w:p>
    <w:p w14:paraId="3ABF3543" w14:textId="77777777" w:rsidR="00DF410E" w:rsidRDefault="00CE7F43">
      <w:pPr>
        <w:pStyle w:val="Author-eListParagraph"/>
        <w:numPr>
          <w:ilvl w:val="0"/>
          <w:numId w:val="472"/>
        </w:numPr>
      </w:pPr>
      <w:r>
        <w:t>kg pour les armatures</w:t>
      </w:r>
    </w:p>
    <w:p w14:paraId="546B0C4D" w14:textId="77777777" w:rsidR="00DF410E" w:rsidRDefault="00CE7F43">
      <w:pPr>
        <w:pStyle w:val="Author-eListParagraph"/>
        <w:numPr>
          <w:ilvl w:val="0"/>
          <w:numId w:val="472"/>
        </w:numPr>
      </w:pPr>
      <w:r>
        <w:t>Tous les autres éléments, travaux et fournitures doivent être compris dans les prix unitaires respectifs pour les mesurages précités.</w:t>
      </w:r>
    </w:p>
    <w:p w14:paraId="29C3D252" w14:textId="77777777" w:rsidR="00DF410E" w:rsidRDefault="00CE7F43">
      <w:r>
        <w:rPr>
          <w:b/>
        </w:rPr>
        <w:t>OPTION 3:</w:t>
      </w:r>
    </w:p>
    <w:p w14:paraId="5868604A" w14:textId="77777777" w:rsidR="00DF410E" w:rsidRDefault="00CE7F43">
      <w:pPr>
        <w:pStyle w:val="Author-eListParagraph"/>
        <w:numPr>
          <w:ilvl w:val="0"/>
          <w:numId w:val="473"/>
        </w:numPr>
      </w:pPr>
      <w:r>
        <w:t>m³ pour le béton de remplissage</w:t>
      </w:r>
    </w:p>
    <w:p w14:paraId="3742E22E" w14:textId="77777777" w:rsidR="00DF410E" w:rsidRDefault="00CE7F43">
      <w:pPr>
        <w:pStyle w:val="Author-eListParagraph"/>
        <w:numPr>
          <w:ilvl w:val="0"/>
          <w:numId w:val="473"/>
        </w:numPr>
      </w:pPr>
      <w:r>
        <w:t>m³ pour la couche de compression béton (en mentionnant l'épaisseur...)</w:t>
      </w:r>
    </w:p>
    <w:p w14:paraId="1BEBDCC0" w14:textId="77777777" w:rsidR="00DF410E" w:rsidRDefault="00CE7F43">
      <w:pPr>
        <w:pStyle w:val="Author-eListParagraph"/>
        <w:numPr>
          <w:ilvl w:val="0"/>
          <w:numId w:val="473"/>
        </w:numPr>
      </w:pPr>
      <w:r>
        <w:t>kg pour les armatures supplémentaires</w:t>
      </w:r>
    </w:p>
    <w:p w14:paraId="428063A7" w14:textId="77777777" w:rsidR="00DF410E" w:rsidRDefault="00CE7F43">
      <w:pPr>
        <w:pStyle w:val="Author-eListParagraph"/>
        <w:numPr>
          <w:ilvl w:val="0"/>
          <w:numId w:val="473"/>
        </w:numPr>
      </w:pPr>
      <w:r>
        <w:t>Pièces divergentes et pièces spéciales : à la pièce (selon les dimensions identiques ou indications standards).</w:t>
      </w:r>
    </w:p>
    <w:p w14:paraId="527BD675"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73DF29B5" w14:textId="77777777" w:rsidR="00DF410E" w:rsidRDefault="00CE7F43">
      <w:pPr>
        <w:pStyle w:val="pheading"/>
      </w:pPr>
      <w:r>
        <w:t>- code de mesurage:</w:t>
      </w:r>
    </w:p>
    <w:p w14:paraId="534FF179"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3CEF9E60" w14:textId="77777777" w:rsidR="00DF410E" w:rsidRDefault="00CE7F43">
      <w:pPr>
        <w:pStyle w:val="pheading"/>
      </w:pPr>
      <w:r>
        <w:t>- nature du marché:</w:t>
      </w:r>
    </w:p>
    <w:p w14:paraId="4F9BA689" w14:textId="77777777" w:rsidR="00DF410E" w:rsidRDefault="00CE7F43">
      <w:r>
        <w:rPr>
          <w:rStyle w:val="optioncarChar"/>
        </w:rPr>
        <w:t xml:space="preserve">QF </w:t>
      </w:r>
      <w:r>
        <w:t>(par défaut)</w:t>
      </w:r>
      <w:r>
        <w:rPr>
          <w:rStyle w:val="optioncarChar"/>
        </w:rPr>
        <w:t xml:space="preserve"> / QP / PM</w:t>
      </w:r>
    </w:p>
    <w:p w14:paraId="2150B18F" w14:textId="77777777" w:rsidR="00DF410E" w:rsidRDefault="00CE7F43">
      <w:pPr>
        <w:pStyle w:val="Author-eSectionHeading6"/>
      </w:pPr>
      <w:bookmarkStart w:id="729" w:name="_Toc178837894"/>
      <w:r>
        <w:t>22.15.3d Planchers à dalles alvéolées en béton précontraint CCTB 01.12</w:t>
      </w:r>
      <w:bookmarkEnd w:id="729"/>
    </w:p>
    <w:p w14:paraId="2FB881FC" w14:textId="77777777" w:rsidR="00DF410E" w:rsidRDefault="00CE7F43">
      <w:pPr>
        <w:pStyle w:val="pheading"/>
      </w:pPr>
      <w:r>
        <w:t>DESCRIPTION</w:t>
      </w:r>
    </w:p>
    <w:p w14:paraId="545F5B84" w14:textId="77777777" w:rsidR="00DF410E" w:rsidRDefault="00CE7F43">
      <w:pPr>
        <w:pStyle w:val="pheading"/>
      </w:pPr>
      <w:r>
        <w:t>- Définition / Comprend</w:t>
      </w:r>
    </w:p>
    <w:p w14:paraId="6946AEEB" w14:textId="77777777" w:rsidR="00DF410E" w:rsidRDefault="00CE7F43">
      <w:r>
        <w:t>Il s'agit des éléments en béton précontraint dont la préfabrication est obligatoire.</w:t>
      </w:r>
    </w:p>
    <w:p w14:paraId="57B150A6" w14:textId="77777777" w:rsidR="00DF410E" w:rsidRDefault="00CE7F43">
      <w:pPr>
        <w:pStyle w:val="pheading"/>
      </w:pPr>
      <w:r>
        <w:t>MATÉRIAUX</w:t>
      </w:r>
    </w:p>
    <w:p w14:paraId="486FE3FE" w14:textId="77777777" w:rsidR="00DF410E" w:rsidRDefault="00CE7F43">
      <w:pPr>
        <w:pStyle w:val="pheading"/>
      </w:pPr>
      <w:r>
        <w:t>- Caractéristiques générales</w:t>
      </w:r>
    </w:p>
    <w:p w14:paraId="078A7280" w14:textId="77777777" w:rsidR="00DF410E" w:rsidRDefault="00CE7F43">
      <w:r>
        <w:t>Les éléments de plancher en béton armé précontraint doivent satisfaire à la [NBN EN 1168+A3] + [NBN B 21-605+A1] . Ils bénéficient d'un certificat de conformité. Le certificat doit être soumis à l'auteur de projet. Des trous pour l'évacuation e l'eau sont réalisés dans leur partie inférieure, afin que l'eau ne puisse stagner dans les vides.</w:t>
      </w:r>
    </w:p>
    <w:p w14:paraId="65574934" w14:textId="77777777" w:rsidR="00DF410E" w:rsidRDefault="00CE7F43">
      <w:r>
        <w:rPr>
          <w:u w:val="single"/>
        </w:rPr>
        <w:t>Spécifications - dalles alvéolées</w:t>
      </w:r>
    </w:p>
    <w:p w14:paraId="60A02C47" w14:textId="77777777" w:rsidR="00DF410E" w:rsidRDefault="00CE7F43">
      <w:pPr>
        <w:pStyle w:val="Author-eListParagraph"/>
        <w:numPr>
          <w:ilvl w:val="0"/>
          <w:numId w:val="474"/>
        </w:numPr>
      </w:pPr>
      <w:r>
        <w:t>Hauteur : </w:t>
      </w:r>
      <w:r>
        <w:rPr>
          <w:rStyle w:val="optioncarChar"/>
        </w:rPr>
        <w:t>12 / 15 / 15 / 16 / 20 / 25 / *** cm / selon les indications sur les plans</w:t>
      </w:r>
      <w:r>
        <w:t> (par défaut) </w:t>
      </w:r>
      <w:r>
        <w:rPr>
          <w:rStyle w:val="optioncarChar"/>
        </w:rPr>
        <w:t>/ ***</w:t>
      </w:r>
    </w:p>
    <w:p w14:paraId="7BCF7834" w14:textId="77777777" w:rsidR="00DF410E" w:rsidRDefault="00CE7F43">
      <w:pPr>
        <w:pStyle w:val="Author-eListParagraph"/>
        <w:numPr>
          <w:ilvl w:val="0"/>
          <w:numId w:val="474"/>
        </w:numPr>
      </w:pPr>
      <w:r>
        <w:t>Largeur : </w:t>
      </w:r>
      <w:r>
        <w:rPr>
          <w:rStyle w:val="optioncarChar"/>
        </w:rPr>
        <w:t>30 / 60 / 120 / 240</w:t>
      </w:r>
      <w:r>
        <w:t> cm (ou un multiple) </w:t>
      </w:r>
      <w:r>
        <w:rPr>
          <w:rStyle w:val="optioncarChar"/>
        </w:rPr>
        <w:t>/ selon les indications sur les plans</w:t>
      </w:r>
      <w:r>
        <w:t> (par défaut) </w:t>
      </w:r>
      <w:r>
        <w:rPr>
          <w:rStyle w:val="optioncarChar"/>
        </w:rPr>
        <w:t>/ ***</w:t>
      </w:r>
    </w:p>
    <w:p w14:paraId="61436FFB" w14:textId="77777777" w:rsidR="00DF410E" w:rsidRDefault="00CE7F43">
      <w:pPr>
        <w:pStyle w:val="Author-eListParagraph"/>
        <w:numPr>
          <w:ilvl w:val="0"/>
          <w:numId w:val="474"/>
        </w:numPr>
      </w:pPr>
      <w:r>
        <w:t>Longueur : </w:t>
      </w:r>
      <w:r>
        <w:rPr>
          <w:rStyle w:val="optioncarChar"/>
        </w:rPr>
        <w:t>*** cm  / soit conformément aux longueurs indiquées sur les plans</w:t>
      </w:r>
      <w:r>
        <w:t> (par défaut)</w:t>
      </w:r>
    </w:p>
    <w:p w14:paraId="732BCB38" w14:textId="77777777" w:rsidR="00DF410E" w:rsidRDefault="00CE7F43">
      <w:r>
        <w:rPr>
          <w:u w:val="single"/>
        </w:rPr>
        <w:t>Spécifications – couche de compression</w:t>
      </w:r>
    </w:p>
    <w:p w14:paraId="722017C8" w14:textId="77777777" w:rsidR="00DF410E" w:rsidRDefault="00CE7F43">
      <w:pPr>
        <w:pStyle w:val="Author-eListParagraph"/>
        <w:numPr>
          <w:ilvl w:val="0"/>
          <w:numId w:val="475"/>
        </w:numPr>
      </w:pPr>
      <w:r>
        <w:t xml:space="preserve">Épaisseur de la couche de compression : au moins </w:t>
      </w:r>
      <w:r>
        <w:rPr>
          <w:rStyle w:val="optioncarChar"/>
        </w:rPr>
        <w:t>4 </w:t>
      </w:r>
      <w:r>
        <w:t>(par défaut)</w:t>
      </w:r>
      <w:r>
        <w:rPr>
          <w:rStyle w:val="optioncarChar"/>
        </w:rPr>
        <w:t xml:space="preserve"> / 5 / 6 / ***</w:t>
      </w:r>
      <w:r>
        <w:t xml:space="preserve"> cm.</w:t>
      </w:r>
    </w:p>
    <w:p w14:paraId="543D37FC" w14:textId="77777777" w:rsidR="00DF410E" w:rsidRDefault="00CE7F43">
      <w:pPr>
        <w:pStyle w:val="Author-eListParagraph"/>
        <w:numPr>
          <w:ilvl w:val="0"/>
          <w:numId w:val="475"/>
        </w:numPr>
      </w:pPr>
      <w:r>
        <w:t xml:space="preserve">La qualité du béton selon la [NBN EN 206:2013+A2] et [NBN B 15-001] est adaptée à l'épaisseur de la couche de compression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42294B15" w14:textId="77777777">
        <w:tc>
          <w:tcPr>
            <w:tcW w:w="1500" w:type="dxa"/>
            <w:noWrap/>
          </w:tcPr>
          <w:p w14:paraId="4B99A0C7" w14:textId="77777777" w:rsidR="00DF410E" w:rsidRDefault="00CE7F43">
            <w:pPr>
              <w:jc w:val="center"/>
            </w:pPr>
            <w:r>
              <w:rPr>
                <w:b/>
              </w:rPr>
              <w:t>A</w:t>
            </w:r>
          </w:p>
        </w:tc>
        <w:tc>
          <w:tcPr>
            <w:tcW w:w="1500" w:type="dxa"/>
            <w:noWrap/>
          </w:tcPr>
          <w:p w14:paraId="5FB9D127" w14:textId="77777777" w:rsidR="00DF410E" w:rsidRDefault="00CE7F43">
            <w:pPr>
              <w:jc w:val="center"/>
            </w:pPr>
            <w:r>
              <w:rPr>
                <w:b/>
              </w:rPr>
              <w:t>B1</w:t>
            </w:r>
          </w:p>
        </w:tc>
        <w:tc>
          <w:tcPr>
            <w:tcW w:w="1500" w:type="dxa"/>
            <w:noWrap/>
          </w:tcPr>
          <w:p w14:paraId="76999D5B" w14:textId="77777777" w:rsidR="00DF410E" w:rsidRDefault="00CE7F43">
            <w:pPr>
              <w:jc w:val="center"/>
            </w:pPr>
            <w:r>
              <w:rPr>
                <w:b/>
              </w:rPr>
              <w:t>B2</w:t>
            </w:r>
          </w:p>
        </w:tc>
        <w:tc>
          <w:tcPr>
            <w:tcW w:w="1500" w:type="dxa"/>
            <w:noWrap/>
          </w:tcPr>
          <w:p w14:paraId="7E36A43D" w14:textId="77777777" w:rsidR="00DF410E" w:rsidRDefault="00CE7F43">
            <w:pPr>
              <w:jc w:val="center"/>
            </w:pPr>
            <w:r>
              <w:rPr>
                <w:b/>
              </w:rPr>
              <w:t>C</w:t>
            </w:r>
          </w:p>
        </w:tc>
        <w:tc>
          <w:tcPr>
            <w:tcW w:w="1500" w:type="dxa"/>
            <w:noWrap/>
          </w:tcPr>
          <w:p w14:paraId="1147C5DA" w14:textId="77777777" w:rsidR="00DF410E" w:rsidRDefault="00CE7F43">
            <w:pPr>
              <w:jc w:val="center"/>
            </w:pPr>
            <w:r>
              <w:rPr>
                <w:b/>
              </w:rPr>
              <w:t>D</w:t>
            </w:r>
          </w:p>
        </w:tc>
        <w:tc>
          <w:tcPr>
            <w:tcW w:w="1500" w:type="dxa"/>
            <w:noWrap/>
          </w:tcPr>
          <w:p w14:paraId="097E0242" w14:textId="77777777" w:rsidR="00DF410E" w:rsidRDefault="00CE7F43">
            <w:pPr>
              <w:jc w:val="center"/>
            </w:pPr>
            <w:r>
              <w:rPr>
                <w:b/>
              </w:rPr>
              <w:t>E</w:t>
            </w:r>
          </w:p>
        </w:tc>
      </w:tr>
      <w:tr w:rsidR="00DF410E" w14:paraId="69423D75" w14:textId="77777777">
        <w:tc>
          <w:tcPr>
            <w:tcW w:w="1500" w:type="dxa"/>
            <w:noWrap/>
          </w:tcPr>
          <w:p w14:paraId="45324BCE" w14:textId="77777777" w:rsidR="00DF410E" w:rsidRDefault="00CE7F43">
            <w:pPr>
              <w:jc w:val="center"/>
            </w:pPr>
            <w:r>
              <w:rPr>
                <w:b/>
              </w:rPr>
              <w:t>Classe de résistance</w:t>
            </w:r>
          </w:p>
        </w:tc>
        <w:tc>
          <w:tcPr>
            <w:tcW w:w="1500" w:type="dxa"/>
            <w:noWrap/>
          </w:tcPr>
          <w:p w14:paraId="3592FC3F" w14:textId="77777777" w:rsidR="00DF410E" w:rsidRDefault="00CE7F43">
            <w:pPr>
              <w:jc w:val="center"/>
            </w:pPr>
            <w:r>
              <w:rPr>
                <w:b/>
              </w:rPr>
              <w:t>Domaine d’application</w:t>
            </w:r>
          </w:p>
        </w:tc>
        <w:tc>
          <w:tcPr>
            <w:tcW w:w="1500" w:type="dxa"/>
            <w:noWrap/>
          </w:tcPr>
          <w:p w14:paraId="62E3D1A1" w14:textId="77777777" w:rsidR="00DF410E" w:rsidRDefault="00CE7F43">
            <w:pPr>
              <w:jc w:val="center"/>
            </w:pPr>
            <w:r>
              <w:rPr>
                <w:b/>
              </w:rPr>
              <w:t>Classe d'environnement</w:t>
            </w:r>
          </w:p>
        </w:tc>
        <w:tc>
          <w:tcPr>
            <w:tcW w:w="1500" w:type="dxa"/>
            <w:noWrap/>
          </w:tcPr>
          <w:p w14:paraId="58EDF809" w14:textId="77777777" w:rsidR="00DF410E" w:rsidRDefault="00CE7F43">
            <w:pPr>
              <w:jc w:val="center"/>
            </w:pPr>
            <w:r>
              <w:rPr>
                <w:b/>
              </w:rPr>
              <w:t>Classe de consistance</w:t>
            </w:r>
          </w:p>
        </w:tc>
        <w:tc>
          <w:tcPr>
            <w:tcW w:w="1500" w:type="dxa"/>
            <w:noWrap/>
          </w:tcPr>
          <w:p w14:paraId="3C515659" w14:textId="77777777" w:rsidR="00DF410E" w:rsidRDefault="00CE7F43">
            <w:pPr>
              <w:jc w:val="center"/>
            </w:pPr>
            <w:r>
              <w:rPr>
                <w:b/>
              </w:rPr>
              <w:t>Granulométrie maximale</w:t>
            </w:r>
          </w:p>
        </w:tc>
        <w:tc>
          <w:tcPr>
            <w:tcW w:w="1500" w:type="dxa"/>
            <w:noWrap/>
          </w:tcPr>
          <w:p w14:paraId="176A6F73" w14:textId="77777777" w:rsidR="00DF410E" w:rsidRDefault="00CE7F43">
            <w:r>
              <w:rPr>
                <w:b/>
              </w:rPr>
              <w:t>Données complémentaires</w:t>
            </w:r>
          </w:p>
        </w:tc>
      </w:tr>
      <w:tr w:rsidR="00DF410E" w14:paraId="37B795BF" w14:textId="77777777">
        <w:tc>
          <w:tcPr>
            <w:tcW w:w="1500" w:type="dxa"/>
            <w:noWrap/>
          </w:tcPr>
          <w:p w14:paraId="2D3C9190" w14:textId="77777777" w:rsidR="00DF410E" w:rsidRDefault="00CE7F43">
            <w:pPr>
              <w:jc w:val="center"/>
            </w:pPr>
            <w:r>
              <w:rPr>
                <w:rStyle w:val="optioncarChar"/>
              </w:rPr>
              <w:t>C25/30 / C30/37 / C35/45 / C45/55 / C50/60 / C55/67 / C60/75 / C70/85 / C80/95 / C90/105</w:t>
            </w:r>
          </w:p>
        </w:tc>
        <w:tc>
          <w:tcPr>
            <w:tcW w:w="1500" w:type="dxa"/>
            <w:noWrap/>
          </w:tcPr>
          <w:p w14:paraId="07A915E9" w14:textId="77777777" w:rsidR="00DF410E" w:rsidRDefault="00CE7F43">
            <w:pPr>
              <w:jc w:val="center"/>
            </w:pPr>
            <w:r>
              <w:t>Béton armé</w:t>
            </w:r>
          </w:p>
          <w:p w14:paraId="7CBA41E4" w14:textId="77777777" w:rsidR="00DF410E" w:rsidRDefault="00DF410E"/>
        </w:tc>
        <w:tc>
          <w:tcPr>
            <w:tcW w:w="1500" w:type="dxa"/>
            <w:noWrap/>
          </w:tcPr>
          <w:p w14:paraId="107EB527" w14:textId="77777777" w:rsidR="00DF410E" w:rsidRDefault="00CE7F43">
            <w:pPr>
              <w:jc w:val="center"/>
            </w:pPr>
            <w:r>
              <w:rPr>
                <w:rStyle w:val="optioncarChar"/>
              </w:rPr>
              <w:t>E0 / EI / EE1 / EE2 / EE3 / EE4 / ES1 / ES2 / ES3 / ES4 / EA1+*** / EA2+***/ EA3+***</w:t>
            </w:r>
          </w:p>
        </w:tc>
        <w:tc>
          <w:tcPr>
            <w:tcW w:w="1500" w:type="dxa"/>
            <w:noWrap/>
          </w:tcPr>
          <w:p w14:paraId="67F84D3E" w14:textId="77777777" w:rsidR="00DF410E" w:rsidRDefault="00CE7F43">
            <w:pPr>
              <w:jc w:val="center"/>
            </w:pPr>
            <w:r>
              <w:t>au choix de l'entrepreneur :</w:t>
            </w:r>
          </w:p>
          <w:p w14:paraId="3BB82694" w14:textId="77777777" w:rsidR="00DF410E" w:rsidRDefault="00CE7F43">
            <w:pPr>
              <w:jc w:val="center"/>
            </w:pPr>
            <w:r>
              <w:rPr>
                <w:rStyle w:val="optioncarChar"/>
              </w:rPr>
              <w:t xml:space="preserve">S3 / S4 / S5 </w:t>
            </w:r>
          </w:p>
          <w:p w14:paraId="22ACDA8D" w14:textId="77777777" w:rsidR="00DF410E" w:rsidRDefault="00CE7F43">
            <w:pPr>
              <w:jc w:val="center"/>
            </w:pPr>
            <w:r>
              <w:rPr>
                <w:rStyle w:val="optioncarChar"/>
              </w:rPr>
              <w:t>F3 / F4 / F5 / F6</w:t>
            </w:r>
            <w:r>
              <w:br/>
            </w:r>
          </w:p>
        </w:tc>
        <w:tc>
          <w:tcPr>
            <w:tcW w:w="1500" w:type="dxa"/>
            <w:noWrap/>
          </w:tcPr>
          <w:p w14:paraId="5C492472" w14:textId="77777777" w:rsidR="00DF410E" w:rsidRDefault="00CE7F43">
            <w:pPr>
              <w:jc w:val="center"/>
            </w:pPr>
            <w:r>
              <w:t>au choix de l'entrepreneur :</w:t>
            </w:r>
          </w:p>
          <w:p w14:paraId="7D07FF5A" w14:textId="77777777" w:rsidR="00DF410E" w:rsidRDefault="00CE7F43">
            <w:pPr>
              <w:jc w:val="center"/>
            </w:pPr>
            <w:r>
              <w:rPr>
                <w:rStyle w:val="optioncarChar"/>
              </w:rPr>
              <w:t>8 / 10 / 11 / 12 / 14 / 16 / 20 / 22 / 32 </w:t>
            </w:r>
            <w:r>
              <w:t>mm</w:t>
            </w:r>
          </w:p>
        </w:tc>
        <w:tc>
          <w:tcPr>
            <w:tcW w:w="1500" w:type="dxa"/>
            <w:noWrap/>
          </w:tcPr>
          <w:p w14:paraId="36DC2D03" w14:textId="77777777" w:rsidR="00DF410E" w:rsidRDefault="00CE7F43">
            <w:pPr>
              <w:jc w:val="center"/>
            </w:pPr>
            <w:r>
              <w:rPr>
                <w:rStyle w:val="optioncarChar"/>
              </w:rPr>
              <w:t>***</w:t>
            </w:r>
          </w:p>
        </w:tc>
      </w:tr>
    </w:tbl>
    <w:p w14:paraId="18F88912"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11AF325C" w14:textId="77777777" w:rsidR="00DF410E" w:rsidRDefault="00CE7F43">
      <w:pPr>
        <w:ind w:left="567"/>
      </w:pPr>
      <w:r>
        <w:t>Données complémentaires propres au béton autoplaçant (E) :</w:t>
      </w:r>
    </w:p>
    <w:p w14:paraId="092BBD74" w14:textId="77777777" w:rsidR="00DF410E" w:rsidRDefault="00CE7F43">
      <w:pPr>
        <w:pStyle w:val="Author-eListParagraph"/>
        <w:numPr>
          <w:ilvl w:val="0"/>
          <w:numId w:val="476"/>
        </w:numPr>
      </w:pPr>
      <w:r>
        <w:t xml:space="preserve">Classe de viscosité apparente : </w:t>
      </w:r>
      <w:r>
        <w:rPr>
          <w:rStyle w:val="optioncarChar"/>
        </w:rPr>
        <w:t>VS1 / VS2</w:t>
      </w:r>
      <w:r>
        <w:t xml:space="preserve"> (selon la [NBN EN 12350-8] )</w:t>
      </w:r>
    </w:p>
    <w:p w14:paraId="6E0FD04C" w14:textId="77777777" w:rsidR="00DF410E" w:rsidRDefault="00CE7F43">
      <w:pPr>
        <w:pStyle w:val="Author-eListParagraph"/>
        <w:numPr>
          <w:ilvl w:val="0"/>
          <w:numId w:val="47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FB6E68C" w14:textId="77777777" w:rsidR="00DF410E" w:rsidRDefault="00CE7F43">
      <w:pPr>
        <w:pStyle w:val="Author-eListParagraph"/>
        <w:numPr>
          <w:ilvl w:val="0"/>
          <w:numId w:val="47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6B77B46" w14:textId="77777777" w:rsidR="00DF410E" w:rsidRDefault="00CE7F43">
      <w:pPr>
        <w:pStyle w:val="Author-eListParagraph"/>
        <w:numPr>
          <w:ilvl w:val="0"/>
          <w:numId w:val="477"/>
        </w:numPr>
      </w:pPr>
      <w:r>
        <w:t xml:space="preserve">La résistance caractéristique de la couche de compression est d'au moins </w:t>
      </w:r>
      <w:r>
        <w:rPr>
          <w:rStyle w:val="optioncarChar"/>
        </w:rPr>
        <w:t xml:space="preserve">*** </w:t>
      </w:r>
      <w:r>
        <w:t>N/mm² après 28 jours.</w:t>
      </w:r>
    </w:p>
    <w:p w14:paraId="5801145B" w14:textId="77777777" w:rsidR="00DF410E" w:rsidRDefault="00CE7F43">
      <w:pPr>
        <w:pStyle w:val="Author-eListParagraph"/>
        <w:numPr>
          <w:ilvl w:val="0"/>
          <w:numId w:val="477"/>
        </w:numPr>
      </w:pPr>
      <w:r>
        <w:t xml:space="preserve">Les armatures de la couche de compression sont au moins constituées d'un treillis soudé, nuance d'acier </w:t>
      </w:r>
      <w:r>
        <w:rPr>
          <w:rStyle w:val="optioncarChar"/>
        </w:rPr>
        <w:t xml:space="preserve">DE 500 BS </w:t>
      </w:r>
      <w:r>
        <w:t>(par défaut)</w:t>
      </w:r>
      <w:r>
        <w:rPr>
          <w:rStyle w:val="optioncarChar"/>
        </w:rPr>
        <w:t xml:space="preserve"> / BE 500 S</w:t>
      </w:r>
      <w:r>
        <w:t xml:space="preserve">, </w:t>
      </w:r>
      <w:r>
        <w:rPr>
          <w:rStyle w:val="optioncarChar"/>
        </w:rPr>
        <w:t xml:space="preserve">150x150x6x6 </w:t>
      </w:r>
      <w:r>
        <w:t>(par défaut) </w:t>
      </w:r>
      <w:r>
        <w:rPr>
          <w:rStyle w:val="optioncarChar"/>
        </w:rPr>
        <w:t xml:space="preserve">/ ***x***x***x*** </w:t>
      </w:r>
      <w:r>
        <w:t>mm</w:t>
      </w:r>
      <w:r>
        <w:rPr>
          <w:rStyle w:val="optioncarChar"/>
        </w:rPr>
        <w:t xml:space="preserve">. </w:t>
      </w:r>
      <w:r>
        <w:t>Les armatures complémentaires sont de qualité BE 500S.</w:t>
      </w:r>
    </w:p>
    <w:p w14:paraId="3C76BE6D" w14:textId="77777777" w:rsidR="00DF410E" w:rsidRDefault="00CE7F43">
      <w:pPr>
        <w:pStyle w:val="pheading"/>
      </w:pPr>
      <w:r>
        <w:t>- Finitions</w:t>
      </w:r>
    </w:p>
    <w:p w14:paraId="32742D7F" w14:textId="77777777" w:rsidR="00DF410E" w:rsidRDefault="00CE7F43">
      <w:r>
        <w:t xml:space="preserve">Finition : face inférieure </w:t>
      </w:r>
      <w:r>
        <w:rPr>
          <w:rStyle w:val="optioncarChar"/>
        </w:rPr>
        <w:t>rugueuse / lisse </w:t>
      </w:r>
      <w:r>
        <w:t>(par défaut)</w:t>
      </w:r>
      <w:r>
        <w:rPr>
          <w:rStyle w:val="optioncarChar"/>
        </w:rPr>
        <w:t xml:space="preserve"> / ***</w:t>
      </w:r>
    </w:p>
    <w:p w14:paraId="2E022912" w14:textId="77777777" w:rsidR="00DF410E" w:rsidRDefault="00CE7F43">
      <w:pPr>
        <w:pStyle w:val="pheading"/>
      </w:pPr>
      <w:r>
        <w:t>- Prescriptions complémentaires</w:t>
      </w:r>
    </w:p>
    <w:p w14:paraId="23EE5967" w14:textId="77777777" w:rsidR="00DF410E" w:rsidRDefault="00CE7F43">
      <w:r>
        <w:t>Les éléments de plancher portent un certificat de conformité.</w:t>
      </w:r>
      <w:r>
        <w:br/>
        <w:t xml:space="preserve">Résistance au feu : pour les éléments porteurs et structuraux sans fonction séparant </w:t>
      </w:r>
      <w:r>
        <w:rPr>
          <w:rStyle w:val="optioncarChar"/>
        </w:rPr>
        <w:t>R15 / R30</w:t>
      </w:r>
      <w:r>
        <w:t> (par défaut)</w:t>
      </w:r>
      <w:r>
        <w:rPr>
          <w:rStyle w:val="optioncarChar"/>
        </w:rPr>
        <w:t xml:space="preserve"> /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t>Support aux prescripteurs : [SWL GSI/T1/C] de la prévention passive</w:t>
      </w:r>
      <w:r>
        <w:br/>
        <w:t xml:space="preserve">La résistance thermique des planchers à dalles alvéolées est d'au moins </w:t>
      </w:r>
      <w:r>
        <w:rPr>
          <w:rStyle w:val="optioncarChar"/>
        </w:rPr>
        <w:t>***</w:t>
      </w:r>
      <w:r>
        <w:t xml:space="preserve"> m²K/W, obtenue à l'aide d'une isolation thermique intégrée.</w:t>
      </w:r>
    </w:p>
    <w:p w14:paraId="09E8914C" w14:textId="77777777" w:rsidR="00DF410E" w:rsidRDefault="00CE7F43">
      <w:pPr>
        <w:pStyle w:val="pheading"/>
      </w:pPr>
      <w:r>
        <w:t>EXÉCUTION / MISE EN ŒUVRE</w:t>
      </w:r>
    </w:p>
    <w:p w14:paraId="3A1AD206" w14:textId="77777777" w:rsidR="00DF410E" w:rsidRDefault="00CE7F43">
      <w:pPr>
        <w:pStyle w:val="pheading"/>
      </w:pPr>
      <w:r>
        <w:t>- Prescriptions générales</w:t>
      </w:r>
    </w:p>
    <w:p w14:paraId="31F7F99C" w14:textId="77777777" w:rsidR="00DF410E" w:rsidRDefault="00CE7F43">
      <w:r>
        <w:t>La face supérieure de la dalle alvéolée doit correspondre aux cotes de niveau et à l'épaisseur des planchers indiqués sur les plans d'architecture.</w:t>
      </w:r>
      <w:r>
        <w:br/>
        <w:t>Conformément aux prescriptions du fabricant, il faut poser, aux endroits nécessaires, des étais de montage pendant l'exécution de la dalle portante en-dessous des dalles alvéolaires :</w:t>
      </w:r>
    </w:p>
    <w:p w14:paraId="112FAFD0" w14:textId="77777777" w:rsidR="00DF410E" w:rsidRDefault="00CE7F43">
      <w:pPr>
        <w:pStyle w:val="Author-eListParagraph"/>
        <w:numPr>
          <w:ilvl w:val="0"/>
          <w:numId w:val="478"/>
        </w:numPr>
      </w:pPr>
      <w:r>
        <w:t>largeur d’appui inférieur au minimum (torons dépassants) : toujours à étançonner</w:t>
      </w:r>
    </w:p>
    <w:p w14:paraId="6D7885BE" w14:textId="77777777" w:rsidR="00DF410E" w:rsidRDefault="00CE7F43">
      <w:pPr>
        <w:pStyle w:val="Author-eListParagraph"/>
        <w:numPr>
          <w:ilvl w:val="0"/>
          <w:numId w:val="478"/>
        </w:numPr>
      </w:pPr>
      <w:r>
        <w:t>éléments avec une découpe &gt; 1/3 de la largeur : toujours à étançonner</w:t>
      </w:r>
    </w:p>
    <w:p w14:paraId="43AFB94B" w14:textId="77777777" w:rsidR="00DF410E" w:rsidRDefault="00CE7F43">
      <w:pPr>
        <w:pStyle w:val="Author-eListParagraph"/>
        <w:numPr>
          <w:ilvl w:val="0"/>
          <w:numId w:val="478"/>
        </w:numPr>
      </w:pPr>
      <w:r>
        <w:t>autres : à spécifier par le fabricant</w:t>
      </w:r>
    </w:p>
    <w:p w14:paraId="4764420B" w14:textId="77777777" w:rsidR="00DF410E" w:rsidRDefault="00CE7F43">
      <w:r>
        <w:t>En principe, les éléments de plancher sont posés dans un lit de mortier. Lorsque la surface d'appui n'est pas suffisamment plane, comme pour la maçonnerie ou le béton coulé en place, une couche d'égalisation en mortier de ciment est préalablement appliquée. Les surfaces d'appui en béton cellulaire autoclavé, en briques silico-calcaires ou en bois doivent préalablement être recouvertes d'une feuille d'étanchéité.</w:t>
      </w:r>
      <w:r>
        <w:br/>
        <w:t>Après la pose, les bords nus des dalles alvéolées en béton: la finition est à spécifier ^par l'entrepreneur.</w:t>
      </w:r>
      <w:r>
        <w:br/>
        <w:t>Les joints entre les dalles alvéolées doivent être débarrassés de toutes impuretés lorsque la construction reste apparente après la réalisation. Avant de couler le béton, les dalles alvéolées sont abondamment arrosées d'eau.</w:t>
      </w:r>
      <w:r>
        <w:br/>
        <w:t>Le plancher ne peut être mis en charge avant que le béton de remplissage des joints ou de la couche de compression ne soit complètement durci.</w:t>
      </w:r>
      <w:r>
        <w:br/>
        <w:t>La longueur d'appui des dalles alvéolées est conforme aux prescriptions de la [NBN B 21-605+A1]..</w:t>
      </w:r>
      <w:r>
        <w:br/>
        <w:t>La conception des joints et des assemblages externes est déterminée par l'étude de stabilité:</w:t>
      </w:r>
    </w:p>
    <w:p w14:paraId="6C468AFE" w14:textId="77777777" w:rsidR="00DF410E" w:rsidRDefault="00CE7F43">
      <w:r>
        <w:rPr>
          <w:b/>
        </w:rPr>
        <w:t>Choix opéré: </w:t>
      </w:r>
      <w:r>
        <w:rPr>
          <w:rStyle w:val="optioncarChar"/>
        </w:rPr>
        <w:t xml:space="preserve">OPTION 1 </w:t>
      </w:r>
      <w:r>
        <w:t xml:space="preserve">(par défaut) </w:t>
      </w:r>
      <w:r>
        <w:rPr>
          <w:rStyle w:val="optioncarChar"/>
        </w:rPr>
        <w:t>/ OPTION 2 / ***</w:t>
      </w:r>
      <w:r>
        <w:br/>
      </w:r>
      <w:r>
        <w:rPr>
          <w:b/>
        </w:rPr>
        <w:t>OPTION 1:</w:t>
      </w:r>
      <w:r>
        <w:t xml:space="preserve"> Les joints entre les éléments de plancher sont remplis de mortier.</w:t>
      </w:r>
      <w:r>
        <w:br/>
      </w:r>
      <w:r>
        <w:rPr>
          <w:b/>
        </w:rPr>
        <w:t>OPTION 2:</w:t>
      </w:r>
      <w:r>
        <w:t xml:space="preserve"> Les éléments de plancher sont reliés mécaniquement.</w:t>
      </w:r>
    </w:p>
    <w:p w14:paraId="694F1ACC" w14:textId="77777777" w:rsidR="00DF410E" w:rsidRDefault="00CE7F43">
      <w:r>
        <w:t>Une couche de compression en béton est appliquée afin de renforcer l'ensemble et de former un seul tout avec les éléments de plancher sous-jacents. A cet effet, on replie au moins 4 barres d'armature par mètre, diamètre 6 mm, des joints entre les dalles alvéolées dans la couche de compression. La couche de compression doit être armée en continu jusque sur les appuis. Les armatures sont posées dans les</w:t>
      </w:r>
      <w:r>
        <w:rPr>
          <w:rStyle w:val="optioncarChar"/>
        </w:rPr>
        <w:t xml:space="preserve"> *** / jointures longitudinales</w:t>
      </w:r>
      <w:r>
        <w:t xml:space="preserve"> (par défaut) </w:t>
      </w:r>
      <w:r>
        <w:rPr>
          <w:rStyle w:val="optioncarChar"/>
        </w:rPr>
        <w:t>/ saignées longitudinales</w:t>
      </w:r>
      <w:r>
        <w:t>.</w:t>
      </w:r>
      <w:r>
        <w:br/>
        <w:t>La couche de compression et ses armatures (treillis d'armature et armatures complémentaires) sont exécutées et posées</w:t>
      </w:r>
    </w:p>
    <w:p w14:paraId="1AC3ECF0" w14:textId="77777777" w:rsidR="00DF410E" w:rsidRDefault="00CE7F43">
      <w:r>
        <w:rPr>
          <w:b/>
        </w:rPr>
        <w:t>Choix opéré: </w:t>
      </w:r>
      <w:r>
        <w:rPr>
          <w:rStyle w:val="optioncarChar"/>
        </w:rPr>
        <w:t xml:space="preserve">OPTION 1 </w:t>
      </w:r>
      <w:r>
        <w:t>(par défaut)</w:t>
      </w:r>
      <w:r>
        <w:rPr>
          <w:rStyle w:val="optioncarChar"/>
        </w:rPr>
        <w:t xml:space="preserve"> / OPTION 2 / ***</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w:t>
      </w:r>
    </w:p>
    <w:p w14:paraId="69656B15" w14:textId="77777777" w:rsidR="00DF410E" w:rsidRDefault="00CE7F43">
      <w:pPr>
        <w:pStyle w:val="pheading"/>
      </w:pPr>
      <w:r>
        <w:t>- Notes d’exécution complémentaires</w:t>
      </w:r>
    </w:p>
    <w:p w14:paraId="72C9F1CC" w14:textId="77777777" w:rsidR="00DF410E" w:rsidRDefault="00CE7F43">
      <w:r>
        <w:t>Les surfaces d'appui en béton cellulaire autoclavé, en briques silico-calcaires ou en bois doivent préalablement être recouvertes d'une feuille d'étanchéité.</w:t>
      </w:r>
      <w:r>
        <w:br/>
        <w:t>Dans les locaux non destinés à recevoir un revêtement de sol particulier (greniers), la couche de compression est parfaitement lissée.</w:t>
      </w:r>
    </w:p>
    <w:p w14:paraId="484E11E6" w14:textId="77777777" w:rsidR="00DF410E" w:rsidRDefault="00CE7F43">
      <w:pPr>
        <w:pStyle w:val="pheading"/>
      </w:pPr>
      <w:r>
        <w:t>MESURAGE</w:t>
      </w:r>
    </w:p>
    <w:p w14:paraId="761188E1" w14:textId="77777777" w:rsidR="00DF410E" w:rsidRDefault="00CE7F43">
      <w:r>
        <w:t>Conformément à la nature du plancher, aux indications spécifiques dans le cahier spécial des charges et/ou le métré récapitulatif, le mesurage doit être conçu comme suit :</w:t>
      </w:r>
    </w:p>
    <w:p w14:paraId="19BD2843" w14:textId="77777777" w:rsidR="00DF410E" w:rsidRDefault="00CE7F43">
      <w:pPr>
        <w:pStyle w:val="pheading"/>
      </w:pPr>
      <w:r>
        <w:t>- unité de mesure:</w:t>
      </w:r>
    </w:p>
    <w:p w14:paraId="08BE4405" w14:textId="77777777" w:rsidR="00DF410E" w:rsidRDefault="00CE7F43">
      <w:r>
        <w:rPr>
          <w:b/>
        </w:rPr>
        <w:t xml:space="preserve">Choix opéré : </w:t>
      </w:r>
      <w:r>
        <w:rPr>
          <w:rStyle w:val="optioncarChar"/>
          <w:b/>
        </w:rPr>
        <w:t>OPTION 1 (par défaut) / OPTION 1bis / OPTION 2 / OPTION 3</w:t>
      </w:r>
    </w:p>
    <w:p w14:paraId="064437B5" w14:textId="77777777" w:rsidR="00DF410E" w:rsidRDefault="00CE7F43">
      <w:r>
        <w:rPr>
          <w:b/>
        </w:rPr>
        <w:t xml:space="preserve">OPTION 1 (par défaut): m² </w:t>
      </w:r>
      <w:r>
        <w:t>(pour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0219BD9A" w14:textId="77777777" w:rsidR="00DF410E" w:rsidRDefault="00CE7F43">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308B5BD1" w14:textId="77777777" w:rsidR="00DF410E" w:rsidRDefault="00CE7F43">
      <w:r>
        <w:rPr>
          <w:b/>
        </w:rPr>
        <w:t>OPTION 2:</w:t>
      </w:r>
    </w:p>
    <w:p w14:paraId="6D4E3479" w14:textId="77777777" w:rsidR="00DF410E" w:rsidRDefault="00CE7F43">
      <w:pPr>
        <w:pStyle w:val="Author-eListParagraph"/>
        <w:numPr>
          <w:ilvl w:val="0"/>
          <w:numId w:val="479"/>
        </w:numPr>
      </w:pPr>
      <w:r>
        <w:t>m³ pour le béton</w:t>
      </w:r>
    </w:p>
    <w:p w14:paraId="6C3FE4BD" w14:textId="77777777" w:rsidR="00DF410E" w:rsidRDefault="00CE7F43">
      <w:pPr>
        <w:pStyle w:val="Author-eListParagraph"/>
        <w:numPr>
          <w:ilvl w:val="0"/>
          <w:numId w:val="479"/>
        </w:numPr>
      </w:pPr>
      <w:r>
        <w:t>kg pour les armatures</w:t>
      </w:r>
    </w:p>
    <w:p w14:paraId="6A371E52" w14:textId="77777777" w:rsidR="00DF410E" w:rsidRDefault="00CE7F43">
      <w:pPr>
        <w:pStyle w:val="Author-eListParagraph"/>
        <w:numPr>
          <w:ilvl w:val="0"/>
          <w:numId w:val="479"/>
        </w:numPr>
      </w:pPr>
      <w:r>
        <w:t>Tous les autres éléments, travaux et fournitures doivent être compris dans les prix unitaires respectifs pour les mesurages précités.</w:t>
      </w:r>
    </w:p>
    <w:p w14:paraId="5F930CC6" w14:textId="77777777" w:rsidR="00DF410E" w:rsidRDefault="00CE7F43">
      <w:r>
        <w:rPr>
          <w:b/>
        </w:rPr>
        <w:t xml:space="preserve">OPTION 3: </w:t>
      </w:r>
    </w:p>
    <w:p w14:paraId="275DF1BB" w14:textId="77777777" w:rsidR="00DF410E" w:rsidRDefault="00CE7F43">
      <w:pPr>
        <w:pStyle w:val="Author-eListParagraph"/>
        <w:numPr>
          <w:ilvl w:val="0"/>
          <w:numId w:val="480"/>
        </w:numPr>
      </w:pPr>
      <w:r>
        <w:t>m³ pour le béton de remplissage</w:t>
      </w:r>
    </w:p>
    <w:p w14:paraId="5A0F58B1" w14:textId="77777777" w:rsidR="00DF410E" w:rsidRDefault="00CE7F43">
      <w:pPr>
        <w:pStyle w:val="Author-eListParagraph"/>
        <w:numPr>
          <w:ilvl w:val="0"/>
          <w:numId w:val="480"/>
        </w:numPr>
      </w:pPr>
      <w:r>
        <w:t>m³ pour la couche de compression béton (en mentionnant l'épaisseur...)</w:t>
      </w:r>
    </w:p>
    <w:p w14:paraId="19CA5C43" w14:textId="77777777" w:rsidR="00DF410E" w:rsidRDefault="00CE7F43">
      <w:pPr>
        <w:pStyle w:val="Author-eListParagraph"/>
        <w:numPr>
          <w:ilvl w:val="0"/>
          <w:numId w:val="480"/>
        </w:numPr>
      </w:pPr>
      <w:r>
        <w:t>kg pour les armatures supplémentaires</w:t>
      </w:r>
    </w:p>
    <w:p w14:paraId="034247A4" w14:textId="77777777" w:rsidR="00DF410E" w:rsidRDefault="00CE7F43">
      <w:pPr>
        <w:pStyle w:val="Author-eListParagraph"/>
        <w:numPr>
          <w:ilvl w:val="0"/>
          <w:numId w:val="480"/>
        </w:numPr>
      </w:pPr>
      <w:r>
        <w:t>Pièces divergentes et pièces spéciales : à la pièce (selon les dimensions identiques ou indications standards).</w:t>
      </w:r>
    </w:p>
    <w:p w14:paraId="20C31521"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770E4F74" w14:textId="77777777" w:rsidR="00DF410E" w:rsidRDefault="00CE7F43">
      <w:pPr>
        <w:pStyle w:val="pheading"/>
      </w:pPr>
      <w:r>
        <w:t>- code de mesurage:</w:t>
      </w:r>
    </w:p>
    <w:p w14:paraId="7B0B1C62"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744CD68E" w14:textId="77777777" w:rsidR="00DF410E" w:rsidRDefault="00CE7F43">
      <w:pPr>
        <w:pStyle w:val="pheading"/>
      </w:pPr>
      <w:r>
        <w:t>- nature du marché:</w:t>
      </w:r>
    </w:p>
    <w:p w14:paraId="42D008A3" w14:textId="77777777" w:rsidR="00DF410E" w:rsidRDefault="00CE7F43">
      <w:r>
        <w:rPr>
          <w:rStyle w:val="optioncarChar"/>
        </w:rPr>
        <w:t xml:space="preserve">QF </w:t>
      </w:r>
      <w:r>
        <w:t>(par défaut)</w:t>
      </w:r>
      <w:r>
        <w:rPr>
          <w:rStyle w:val="optioncarChar"/>
        </w:rPr>
        <w:t xml:space="preserve"> / QP / PM</w:t>
      </w:r>
    </w:p>
    <w:p w14:paraId="41E82337" w14:textId="77777777" w:rsidR="00DF410E" w:rsidRDefault="00CE7F43">
      <w:pPr>
        <w:pStyle w:val="Author-eSectionHeading6"/>
      </w:pPr>
      <w:bookmarkStart w:id="730" w:name="_Toc178837895"/>
      <w:r>
        <w:t>22.15.3e Planchers en éléments de béton cellulaire CCTB 01.11</w:t>
      </w:r>
      <w:bookmarkEnd w:id="730"/>
    </w:p>
    <w:p w14:paraId="019BD232" w14:textId="77777777" w:rsidR="00DF410E" w:rsidRDefault="00CE7F43">
      <w:pPr>
        <w:pStyle w:val="pheading"/>
      </w:pPr>
      <w:r>
        <w:t>MATÉRIAUX</w:t>
      </w:r>
    </w:p>
    <w:p w14:paraId="51DB7A24" w14:textId="77777777" w:rsidR="00DF410E" w:rsidRDefault="00CE7F43">
      <w:pPr>
        <w:pStyle w:val="pheading"/>
      </w:pPr>
      <w:r>
        <w:t>- Caractéristiques générales</w:t>
      </w:r>
    </w:p>
    <w:p w14:paraId="6BE996D6" w14:textId="77777777" w:rsidR="00DF410E" w:rsidRDefault="00CE7F43">
      <w:r>
        <w:t>Les éléments de plancher pleins préfabriqués en béton cellulaire autoclavé sont fabriqués à base de sable siliceux, ciment, chaux de bonne qualité et de poudre d'aluminium. Le mélange est coulé dans un moule et durci en autoclave. Les éléments sont armés à l'aide des treillis soudé posés en partie supérieure et inférieure, qualité de l'acier BE 500, préalablement traité avec un produit antirouille. Les éléments de plancher portent un certificat de conformité pour l'application concernée. Les éléments de plancher répondent aux prescriptions de la [NBN EN 12602] + [NBN B 21-004] - complétées par :</w:t>
      </w:r>
    </w:p>
    <w:p w14:paraId="7B4C7A49" w14:textId="77777777" w:rsidR="00DF410E" w:rsidRDefault="00CE7F43">
      <w:pPr>
        <w:pStyle w:val="heading"/>
      </w:pPr>
      <w:r>
        <w:t>Spécifications</w:t>
      </w:r>
    </w:p>
    <w:p w14:paraId="3FFC4E1C" w14:textId="77777777" w:rsidR="00DF410E" w:rsidRDefault="00CE7F43">
      <w:pPr>
        <w:pStyle w:val="Author-eListParagraph"/>
        <w:numPr>
          <w:ilvl w:val="0"/>
          <w:numId w:val="481"/>
        </w:numPr>
      </w:pPr>
      <w:r>
        <w:t xml:space="preserve">Qualité classe : </w:t>
      </w:r>
      <w:r>
        <w:rPr>
          <w:rStyle w:val="optioncarChar"/>
        </w:rPr>
        <w:t>C3-500 / CC4-600 / ***</w:t>
      </w:r>
    </w:p>
    <w:p w14:paraId="4D4D714C" w14:textId="77777777" w:rsidR="00DF410E" w:rsidRDefault="00CE7F43">
      <w:pPr>
        <w:pStyle w:val="Author-eListParagraph"/>
        <w:numPr>
          <w:ilvl w:val="0"/>
          <w:numId w:val="481"/>
        </w:numPr>
      </w:pPr>
      <w:r>
        <w:t>Masse volumique :</w:t>
      </w:r>
      <w:r>
        <w:rPr>
          <w:rStyle w:val="optioncarChar"/>
        </w:rPr>
        <w:t> 550 </w:t>
      </w:r>
      <w:r>
        <w:t>(par défaut)</w:t>
      </w:r>
      <w:r>
        <w:rPr>
          <w:rStyle w:val="optioncarChar"/>
        </w:rPr>
        <w:t xml:space="preserve"> / 750 / ***</w:t>
      </w:r>
      <w:r>
        <w:t xml:space="preserve"> kg/m³.</w:t>
      </w:r>
    </w:p>
    <w:p w14:paraId="2F004461" w14:textId="77777777" w:rsidR="00DF410E" w:rsidRDefault="00CE7F43">
      <w:pPr>
        <w:pStyle w:val="Author-eListParagraph"/>
        <w:numPr>
          <w:ilvl w:val="0"/>
          <w:numId w:val="481"/>
        </w:numPr>
      </w:pPr>
      <w:r>
        <w:t>Hauteur : </w:t>
      </w:r>
      <w:r>
        <w:rPr>
          <w:rStyle w:val="optioncarChar"/>
        </w:rPr>
        <w:t>10 </w:t>
      </w:r>
      <w:r>
        <w:t>(par défaut)</w:t>
      </w:r>
      <w:r>
        <w:rPr>
          <w:rStyle w:val="optioncarChar"/>
        </w:rPr>
        <w:t xml:space="preserve"> / 12 / 15 / 20 / 25 / 30 / *** </w:t>
      </w:r>
      <w:r>
        <w:t>cm.</w:t>
      </w:r>
    </w:p>
    <w:p w14:paraId="384C19ED" w14:textId="77777777" w:rsidR="00DF410E" w:rsidRDefault="00CE7F43">
      <w:pPr>
        <w:pStyle w:val="Author-eListParagraph"/>
        <w:numPr>
          <w:ilvl w:val="0"/>
          <w:numId w:val="481"/>
        </w:numPr>
      </w:pPr>
      <w:r>
        <w:t xml:space="preserve">Largeur : </w:t>
      </w:r>
      <w:r>
        <w:rPr>
          <w:rStyle w:val="optioncarChar"/>
        </w:rPr>
        <w:t>60 </w:t>
      </w:r>
      <w:r>
        <w:t xml:space="preserve">(par défaut) </w:t>
      </w:r>
      <w:r>
        <w:rPr>
          <w:rStyle w:val="optioncarChar"/>
        </w:rPr>
        <w:t>/ 75 / *** </w:t>
      </w:r>
      <w:r>
        <w:t>cm.</w:t>
      </w:r>
    </w:p>
    <w:p w14:paraId="5A8B6706" w14:textId="77777777" w:rsidR="00DF410E" w:rsidRDefault="00CE7F43">
      <w:pPr>
        <w:pStyle w:val="Author-eListParagraph"/>
        <w:numPr>
          <w:ilvl w:val="0"/>
          <w:numId w:val="481"/>
        </w:numPr>
      </w:pPr>
      <w:r>
        <w:t xml:space="preserve">Longueur : </w:t>
      </w:r>
      <w:r>
        <w:rPr>
          <w:rStyle w:val="optioncarChar"/>
        </w:rPr>
        <w:t>***</w:t>
      </w:r>
      <w:r>
        <w:t xml:space="preserve"> cm (soit en fonction des longueurs des portées et des appuis selon les indications sur le plan)</w:t>
      </w:r>
    </w:p>
    <w:p w14:paraId="30FC276C" w14:textId="77777777" w:rsidR="00DF410E" w:rsidRDefault="00CE7F43">
      <w:pPr>
        <w:pStyle w:val="pheading"/>
      </w:pPr>
      <w:r>
        <w:t>- Prescriptions complémentaires</w:t>
      </w:r>
    </w:p>
    <w:p w14:paraId="548136B2" w14:textId="77777777" w:rsidR="00DF410E" w:rsidRDefault="00CE7F43">
      <w:r>
        <w:t>Les côtés longitudinaux des éléments sont pourvus d'une rainure en vue de l'assemblage à l'aide de joints coulés.</w:t>
      </w:r>
      <w:r>
        <w:br/>
        <w:t xml:space="preserve">Résistance au feu : pour les éléments porteurs et structurels sans fonction séparant </w:t>
      </w:r>
      <w:r>
        <w:rPr>
          <w:rStyle w:val="optioncarChar"/>
        </w:rPr>
        <w:t>R15 / R30 </w:t>
      </w:r>
      <w:r>
        <w:t>(par défaut)</w:t>
      </w:r>
      <w:r>
        <w:rPr>
          <w:rStyle w:val="optioncarChar"/>
        </w:rPr>
        <w:t xml:space="preserve"> / R60 / R120 / R *** / ***</w:t>
      </w:r>
      <w:r>
        <w:t xml:space="preserve"> et pour les éléments porteurs et structurels avec fonction séparant </w:t>
      </w:r>
      <w:r>
        <w:rPr>
          <w:rStyle w:val="optioncarChar"/>
        </w:rPr>
        <w:t>REI 30</w:t>
      </w:r>
      <w:r>
        <w:t xml:space="preserve"> (par défaut) </w:t>
      </w:r>
      <w:r>
        <w:rPr>
          <w:rStyle w:val="optioncarChar"/>
        </w:rPr>
        <w:t>/ REI 60 / REI 120 / REI *** / ***</w:t>
      </w:r>
      <w:r>
        <w:br/>
        <w:t>Support aux prescripteurs : [SWL GSI/T1/C] de la prévention passive</w:t>
      </w:r>
    </w:p>
    <w:p w14:paraId="7C1C2A0B" w14:textId="77777777" w:rsidR="00DF410E" w:rsidRDefault="00CE7F43">
      <w:pPr>
        <w:pStyle w:val="pheading"/>
      </w:pPr>
      <w:r>
        <w:t>EXÉCUTION / MISE EN ŒUVRE</w:t>
      </w:r>
    </w:p>
    <w:p w14:paraId="5F85F0F7" w14:textId="77777777" w:rsidR="00DF410E" w:rsidRDefault="00CE7F43">
      <w:pPr>
        <w:pStyle w:val="pheading"/>
      </w:pPr>
      <w:r>
        <w:t>- Prescriptions générales</w:t>
      </w:r>
    </w:p>
    <w:p w14:paraId="307A0F12" w14:textId="77777777" w:rsidR="00DF410E" w:rsidRDefault="00CE7F43">
      <w:r>
        <w:t>L'entrepreneur soumet le calcul des éléments et des armatures pour approbation.</w:t>
      </w:r>
      <w:r>
        <w:br/>
        <w:t>En ce qui concerne le traitement, la pose, les appuis et l'ancrage des éléments, l'entrepreneur respecte les prescriptions du producteur des éléments.</w:t>
      </w:r>
      <w:r>
        <w:br/>
        <w:t>Une attention particulière est accordée à la protection contre les salissures et les influences atmosphériques aussi bien pendant le transport et l'entreposage qu'au moment de la mise en œuvre des plaques.</w:t>
      </w:r>
      <w:r>
        <w:br/>
        <w:t>Pour la mise en œuvre des éléments préfabriqués, il y a lieu de tenir compte des prescriptions de :</w:t>
      </w:r>
    </w:p>
    <w:p w14:paraId="55A0E920" w14:textId="77777777" w:rsidR="00DF410E" w:rsidRDefault="00CE7F43">
      <w:pPr>
        <w:pStyle w:val="Author-eListParagraph"/>
        <w:numPr>
          <w:ilvl w:val="0"/>
          <w:numId w:val="482"/>
        </w:numPr>
      </w:pPr>
      <w:r>
        <w:t>la [NBN EN 1739, Détermination de la résistance au cisaillement des jonctions entre des éléments préfabriqués réalisés en béton cellulaire autoclavé ou en béton de granulats légers à structure ouverte, sous l'effet de forces agissant dans le plan des éléments]</w:t>
      </w:r>
    </w:p>
    <w:p w14:paraId="191C4453" w14:textId="77777777" w:rsidR="00DF410E" w:rsidRDefault="00CE7F43">
      <w:pPr>
        <w:pStyle w:val="Author-eListParagraph"/>
        <w:numPr>
          <w:ilvl w:val="0"/>
          <w:numId w:val="482"/>
        </w:numPr>
      </w:pPr>
      <w:r>
        <w:t>la [NBN EN 1741, Détermination de la résistance au cisaillement des jonctions entre les éléments préfabriqués réalisés en béton cellulaire autoclavé ou en béton de granulats légers à structure ouverte, sous l'effet de forces agissant en dehors du plan des éléments]</w:t>
      </w:r>
    </w:p>
    <w:p w14:paraId="6C75D381" w14:textId="77777777" w:rsidR="00DF410E" w:rsidRDefault="00CE7F43">
      <w:pPr>
        <w:pStyle w:val="Author-eListParagraph"/>
        <w:numPr>
          <w:ilvl w:val="0"/>
          <w:numId w:val="482"/>
        </w:numPr>
      </w:pPr>
      <w:r>
        <w:t>la [NBN EN 1742, Détermination de la résistance au cisaillement entre les différentes couches d'éléments multicouches réalisés en béton cellulaire autoclavé ou en béton de granulats légers à structure ouverte]</w:t>
      </w:r>
    </w:p>
    <w:p w14:paraId="7F3FF445" w14:textId="77777777" w:rsidR="00DF410E" w:rsidRDefault="00CE7F43">
      <w:pPr>
        <w:pStyle w:val="pheading"/>
      </w:pPr>
      <w:r>
        <w:t>- Notes d’exécution complémentaires</w:t>
      </w:r>
    </w:p>
    <w:p w14:paraId="538AF75F" w14:textId="77777777" w:rsidR="00DF410E" w:rsidRDefault="00DF410E"/>
    <w:p w14:paraId="1540DE8B" w14:textId="77777777" w:rsidR="00DF410E" w:rsidRDefault="00CE7F43">
      <w:pPr>
        <w:pStyle w:val="Author-eListParagraph"/>
        <w:numPr>
          <w:ilvl w:val="0"/>
          <w:numId w:val="483"/>
        </w:numPr>
      </w:pPr>
      <w:r>
        <w:t xml:space="preserve">Les éléments particuliers suivants doivent être prévus : </w:t>
      </w:r>
    </w:p>
    <w:p w14:paraId="74A6249A" w14:textId="77777777" w:rsidR="00DF410E" w:rsidRDefault="00CE7F43">
      <w:pPr>
        <w:pStyle w:val="Author-eListParagraph"/>
        <w:numPr>
          <w:ilvl w:val="1"/>
          <w:numId w:val="484"/>
        </w:numPr>
      </w:pPr>
      <w:r>
        <w:t>plaques de longueur non standard</w:t>
      </w:r>
    </w:p>
    <w:p w14:paraId="24D72B4C" w14:textId="77777777" w:rsidR="00DF410E" w:rsidRDefault="00CE7F43">
      <w:pPr>
        <w:pStyle w:val="Author-eListParagraph"/>
        <w:numPr>
          <w:ilvl w:val="1"/>
          <w:numId w:val="484"/>
        </w:numPr>
      </w:pPr>
      <w:r>
        <w:t>plaques à section oblique</w:t>
      </w:r>
    </w:p>
    <w:p w14:paraId="6DA4C61E" w14:textId="77777777" w:rsidR="00DF410E" w:rsidRDefault="00CE7F43">
      <w:pPr>
        <w:pStyle w:val="Author-eListParagraph"/>
        <w:numPr>
          <w:ilvl w:val="1"/>
          <w:numId w:val="484"/>
        </w:numPr>
      </w:pPr>
      <w:r>
        <w:t>plaques avec vides et réservations. Ces réservations ne peuvent pas excéder 1/3 de la largeur des plaques.</w:t>
      </w:r>
    </w:p>
    <w:p w14:paraId="65515FFD" w14:textId="77777777" w:rsidR="00DF410E" w:rsidRDefault="00CE7F43">
      <w:pPr>
        <w:pStyle w:val="Author-eListParagraph"/>
        <w:numPr>
          <w:ilvl w:val="1"/>
          <w:numId w:val="484"/>
        </w:numPr>
      </w:pPr>
      <w:r>
        <w:t>plaques renforcées pour la reprise des charges concentrées.</w:t>
      </w:r>
    </w:p>
    <w:p w14:paraId="7DDC46BF" w14:textId="77777777" w:rsidR="00DF410E" w:rsidRDefault="00CE7F43">
      <w:pPr>
        <w:pStyle w:val="Author-eListParagraph"/>
        <w:numPr>
          <w:ilvl w:val="1"/>
          <w:numId w:val="484"/>
        </w:numPr>
      </w:pPr>
      <w:r>
        <w:t>plaques à encorbellement</w:t>
      </w:r>
    </w:p>
    <w:p w14:paraId="0693056D" w14:textId="77777777" w:rsidR="00DF410E" w:rsidRDefault="00CE7F43">
      <w:pPr>
        <w:pStyle w:val="pheading"/>
      </w:pPr>
      <w:r>
        <w:t>DOCUMENTS DE RÉFÉRENCE COMPLÉMENTAIRES</w:t>
      </w:r>
    </w:p>
    <w:p w14:paraId="5143D9C6" w14:textId="77777777" w:rsidR="00DF410E" w:rsidRDefault="00CE7F43">
      <w:pPr>
        <w:pStyle w:val="pheading"/>
      </w:pPr>
      <w:r>
        <w:t>- Matériau</w:t>
      </w:r>
    </w:p>
    <w:p w14:paraId="33065D18" w14:textId="77777777" w:rsidR="00DF410E" w:rsidRDefault="00CE7F43">
      <w:r>
        <w:t>[NBN EN 989, Détermination par un essai d'adhérence par poussée du comportement d'adhérence entre les armatures et le béton cellulaire autoclavé]</w:t>
      </w:r>
    </w:p>
    <w:p w14:paraId="162E253B" w14:textId="77777777" w:rsidR="00DF410E" w:rsidRDefault="00CE7F43">
      <w:r>
        <w:t>[NBN EN 990, Méthodes d'essai pour la vérification de la protection contre la corrosion des armatures dans le béton cellulaire autoclavé et le béton de granulats légers à structure ouverte]</w:t>
      </w:r>
    </w:p>
    <w:p w14:paraId="0357152A" w14:textId="77777777" w:rsidR="00DF410E" w:rsidRDefault="00CE7F43">
      <w:r>
        <w:t>[NBN EN 991, Détermination des dimensions de composants préfabriqués armés en béton cellulaire autoclavé ou en béton de granulats légers à structure ouverte]</w:t>
      </w:r>
    </w:p>
    <w:p w14:paraId="3ED39FBC" w14:textId="77777777" w:rsidR="00DF410E" w:rsidRDefault="00CE7F43">
      <w:pPr>
        <w:pStyle w:val="pheading"/>
      </w:pPr>
      <w:r>
        <w:t>MESURAGE</w:t>
      </w:r>
    </w:p>
    <w:p w14:paraId="57A3C0F8" w14:textId="77777777" w:rsidR="00DF410E" w:rsidRDefault="00CE7F43">
      <w:r>
        <w:t>Conformément à la nature du plancher, aux indications spécifiques dans le cahier spécial des charges et/ou le métré récapitulatif, le mesurage doit être conçu comme suit :</w:t>
      </w:r>
    </w:p>
    <w:p w14:paraId="402EC37C" w14:textId="77777777" w:rsidR="00DF410E" w:rsidRDefault="00CE7F43">
      <w:pPr>
        <w:pStyle w:val="pheading"/>
      </w:pPr>
      <w:r>
        <w:t>- unité de mesure:</w:t>
      </w:r>
    </w:p>
    <w:p w14:paraId="5D0E3A45" w14:textId="77777777" w:rsidR="00DF410E" w:rsidRDefault="00CE7F43">
      <w:r>
        <w:rPr>
          <w:b/>
        </w:rPr>
        <w:t>Choix opéré</w:t>
      </w:r>
      <w:r>
        <w:t xml:space="preserve"> : </w:t>
      </w:r>
      <w:r>
        <w:rPr>
          <w:rStyle w:val="optioncarChar"/>
        </w:rPr>
        <w:t xml:space="preserve">OPTION 1 </w:t>
      </w:r>
      <w:r>
        <w:t>(par défaut)</w:t>
      </w:r>
      <w:r>
        <w:rPr>
          <w:rStyle w:val="optioncarChar"/>
        </w:rPr>
        <w:t xml:space="preserve"> / OPTION 1bis / OPTION 2 / OPTION 3</w:t>
      </w:r>
    </w:p>
    <w:p w14:paraId="05DE5B30" w14:textId="77777777" w:rsidR="00DF410E" w:rsidRDefault="00CE7F43">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3E5CE60D" w14:textId="77777777" w:rsidR="00DF410E" w:rsidRDefault="00CE7F43">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0CF2619C" w14:textId="77777777" w:rsidR="00DF410E" w:rsidRDefault="00CE7F43">
      <w:r>
        <w:rPr>
          <w:b/>
        </w:rPr>
        <w:t>OPTION 2:</w:t>
      </w:r>
    </w:p>
    <w:p w14:paraId="49974BD4" w14:textId="77777777" w:rsidR="00DF410E" w:rsidRDefault="00CE7F43">
      <w:pPr>
        <w:pStyle w:val="Author-eListParagraph"/>
        <w:numPr>
          <w:ilvl w:val="0"/>
          <w:numId w:val="485"/>
        </w:numPr>
      </w:pPr>
      <w:r>
        <w:t>m³ pour le béton</w:t>
      </w:r>
    </w:p>
    <w:p w14:paraId="4C44D9A9" w14:textId="77777777" w:rsidR="00DF410E" w:rsidRDefault="00CE7F43">
      <w:pPr>
        <w:pStyle w:val="Author-eListParagraph"/>
        <w:numPr>
          <w:ilvl w:val="0"/>
          <w:numId w:val="485"/>
        </w:numPr>
      </w:pPr>
      <w:r>
        <w:t>kg pour les armatures</w:t>
      </w:r>
    </w:p>
    <w:p w14:paraId="085EF37A" w14:textId="77777777" w:rsidR="00DF410E" w:rsidRDefault="00CE7F43">
      <w:pPr>
        <w:pStyle w:val="Author-eListParagraph"/>
        <w:numPr>
          <w:ilvl w:val="0"/>
          <w:numId w:val="485"/>
        </w:numPr>
      </w:pPr>
      <w:r>
        <w:t>Tous les autres éléments, travaux et fournitures doivent être compris dans les prix unitaires respectifs pour les mesurages précités.</w:t>
      </w:r>
    </w:p>
    <w:p w14:paraId="3DAF42F2" w14:textId="77777777" w:rsidR="00DF410E" w:rsidRDefault="00CE7F43">
      <w:r>
        <w:rPr>
          <w:b/>
        </w:rPr>
        <w:t>OPTION 3:</w:t>
      </w:r>
    </w:p>
    <w:p w14:paraId="07A81D87" w14:textId="77777777" w:rsidR="00DF410E" w:rsidRDefault="00CE7F43">
      <w:pPr>
        <w:pStyle w:val="Author-eListParagraph"/>
        <w:numPr>
          <w:ilvl w:val="0"/>
          <w:numId w:val="486"/>
        </w:numPr>
      </w:pPr>
      <w:r>
        <w:t>m³ pour le béton de remplissage</w:t>
      </w:r>
    </w:p>
    <w:p w14:paraId="57816ED3" w14:textId="77777777" w:rsidR="00DF410E" w:rsidRDefault="00CE7F43">
      <w:pPr>
        <w:pStyle w:val="Author-eListParagraph"/>
        <w:numPr>
          <w:ilvl w:val="0"/>
          <w:numId w:val="486"/>
        </w:numPr>
      </w:pPr>
      <w:r>
        <w:t>m³ pour la couche de compression béton (en mentionnant l'épaisseur...)</w:t>
      </w:r>
    </w:p>
    <w:p w14:paraId="1B8589FE" w14:textId="77777777" w:rsidR="00DF410E" w:rsidRDefault="00CE7F43">
      <w:pPr>
        <w:pStyle w:val="Author-eListParagraph"/>
        <w:numPr>
          <w:ilvl w:val="0"/>
          <w:numId w:val="486"/>
        </w:numPr>
      </w:pPr>
      <w:r>
        <w:t>kg pour les armatures supplémentaires</w:t>
      </w:r>
    </w:p>
    <w:p w14:paraId="6D0B99FB" w14:textId="77777777" w:rsidR="00DF410E" w:rsidRDefault="00CE7F43">
      <w:pPr>
        <w:pStyle w:val="Author-eListParagraph"/>
        <w:numPr>
          <w:ilvl w:val="0"/>
          <w:numId w:val="486"/>
        </w:numPr>
      </w:pPr>
      <w:r>
        <w:t>Pièces divergentes et pièces spéciales : à la pièce (selon les dimensions identiques ou indications standards).</w:t>
      </w:r>
    </w:p>
    <w:p w14:paraId="711F21AD"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525BCE7A" w14:textId="77777777" w:rsidR="00DF410E" w:rsidRDefault="00CE7F43">
      <w:pPr>
        <w:pStyle w:val="pheading"/>
      </w:pPr>
      <w:r>
        <w:t>- code de mesurage:</w:t>
      </w:r>
    </w:p>
    <w:p w14:paraId="270CF610"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37489230" w14:textId="77777777" w:rsidR="00DF410E" w:rsidRDefault="00CE7F43">
      <w:pPr>
        <w:pStyle w:val="pheading"/>
      </w:pPr>
      <w:r>
        <w:t>- nature du marché:</w:t>
      </w:r>
    </w:p>
    <w:p w14:paraId="761D1520" w14:textId="77777777" w:rsidR="00DF410E" w:rsidRDefault="00CE7F43">
      <w:r>
        <w:rPr>
          <w:rStyle w:val="optioncarChar"/>
        </w:rPr>
        <w:t xml:space="preserve">QF </w:t>
      </w:r>
      <w:r>
        <w:t>(par défaut)</w:t>
      </w:r>
      <w:r>
        <w:rPr>
          <w:rStyle w:val="optioncarChar"/>
        </w:rPr>
        <w:t xml:space="preserve"> / QP / PM</w:t>
      </w:r>
    </w:p>
    <w:p w14:paraId="54C056B9" w14:textId="77777777" w:rsidR="00DF410E" w:rsidRDefault="00CE7F43">
      <w:pPr>
        <w:pStyle w:val="Author-eSectionHeading6"/>
      </w:pPr>
      <w:bookmarkStart w:id="731" w:name="_Toc178837896"/>
      <w:r>
        <w:t>22.15.3f Planchers à tables de béton armé à double T CCTB 01.11</w:t>
      </w:r>
      <w:bookmarkEnd w:id="731"/>
    </w:p>
    <w:p w14:paraId="71CBD8D6" w14:textId="77777777" w:rsidR="00DF410E" w:rsidRDefault="00CE7F43">
      <w:pPr>
        <w:pStyle w:val="pheading"/>
      </w:pPr>
      <w:r>
        <w:t>DESCRIPTION</w:t>
      </w:r>
    </w:p>
    <w:p w14:paraId="344A7D95" w14:textId="77777777" w:rsidR="00DF410E" w:rsidRDefault="00CE7F43">
      <w:pPr>
        <w:pStyle w:val="pheading"/>
      </w:pPr>
      <w:r>
        <w:t>- Définition / Comprend</w:t>
      </w:r>
    </w:p>
    <w:p w14:paraId="28C09014" w14:textId="77777777" w:rsidR="00DF410E" w:rsidRDefault="00CE7F43">
      <w:pPr>
        <w:jc w:val="both"/>
      </w:pPr>
      <w:r>
        <w:t>Il s'agit de planchers préfabriqués en béton armé constitués de deux nervures reliées les unes aux autres par une dalle. Ils permettent de franchir de longues portées et sont, en principe, destinés à recevoir une couche de compression. Ils sont juxtaposés les uns à côté des autres directement sur la structure de support et les joints entre les éléments sont remplis de mortier ou de béton de remplissage.</w:t>
      </w:r>
    </w:p>
    <w:p w14:paraId="7E6405A9" w14:textId="77777777" w:rsidR="00DF410E" w:rsidRDefault="00CE7F43">
      <w:pPr>
        <w:pStyle w:val="pheading"/>
      </w:pPr>
      <w:r>
        <w:t>MATÉRIAUX</w:t>
      </w:r>
    </w:p>
    <w:p w14:paraId="5E3A1FA6" w14:textId="77777777" w:rsidR="00DF410E" w:rsidRDefault="00CE7F43">
      <w:pPr>
        <w:pStyle w:val="pheading"/>
      </w:pPr>
      <w:r>
        <w:t>- Caractéristiques générales</w:t>
      </w:r>
    </w:p>
    <w:p w14:paraId="76DD1BDC" w14:textId="77777777" w:rsidR="00DF410E" w:rsidRDefault="00CE7F43">
      <w:pPr>
        <w:jc w:val="both"/>
      </w:pPr>
      <w:r>
        <w:rPr>
          <w:b/>
        </w:rPr>
        <w:t>Plancher</w:t>
      </w:r>
    </w:p>
    <w:p w14:paraId="1B82D118" w14:textId="77777777" w:rsidR="00DF410E" w:rsidRDefault="00CE7F43">
      <w:pPr>
        <w:pStyle w:val="Author-eListParagraph"/>
        <w:numPr>
          <w:ilvl w:val="0"/>
          <w:numId w:val="487"/>
        </w:numPr>
      </w:pPr>
      <w:r>
        <w:t xml:space="preserve">Hauteur : </w:t>
      </w:r>
      <w:r>
        <w:rPr>
          <w:rStyle w:val="optioncarChar"/>
        </w:rPr>
        <w:t>selon les indications sur les plans</w:t>
      </w:r>
      <w:r>
        <w:t xml:space="preserve"> (par défaut) </w:t>
      </w:r>
      <w:r>
        <w:rPr>
          <w:rStyle w:val="optioncarChar"/>
        </w:rPr>
        <w:t>/ 30 / 40 / 50 / 60 / 70 / ***</w:t>
      </w:r>
      <w:r>
        <w:t xml:space="preserve"> cm.</w:t>
      </w:r>
    </w:p>
    <w:p w14:paraId="049C371A" w14:textId="77777777" w:rsidR="00DF410E" w:rsidRDefault="00CE7F43">
      <w:pPr>
        <w:pStyle w:val="Author-eListParagraph"/>
        <w:numPr>
          <w:ilvl w:val="0"/>
          <w:numId w:val="487"/>
        </w:numPr>
      </w:pPr>
      <w:r>
        <w:t xml:space="preserve">Largeur : </w:t>
      </w:r>
      <w:r>
        <w:rPr>
          <w:rStyle w:val="optioncarChar"/>
        </w:rPr>
        <w:t>de 150 à 250</w:t>
      </w:r>
      <w:r>
        <w:t xml:space="preserve"> (par défaut)</w:t>
      </w:r>
      <w:r>
        <w:rPr>
          <w:rStyle w:val="optioncarChar"/>
        </w:rPr>
        <w:t xml:space="preserve"> / ***</w:t>
      </w:r>
      <w:r>
        <w:t xml:space="preserve"> cm selon les plans de préfabrication établis par le fabricant et à soumettre à l’approbation de l'auteur de projet et du bureau d’études en stabilité.</w:t>
      </w:r>
    </w:p>
    <w:p w14:paraId="77FA8874" w14:textId="77777777" w:rsidR="00DF410E" w:rsidRDefault="00CE7F43">
      <w:pPr>
        <w:pStyle w:val="Author-eListParagraph"/>
        <w:numPr>
          <w:ilvl w:val="0"/>
          <w:numId w:val="487"/>
        </w:numPr>
      </w:pPr>
      <w:r>
        <w:t xml:space="preserve">Longueur : </w:t>
      </w:r>
      <w:r>
        <w:rPr>
          <w:rStyle w:val="optioncarChar"/>
        </w:rPr>
        <w:t>selon les indications sur les plans</w:t>
      </w:r>
      <w:r>
        <w:t xml:space="preserve"> (par défaut)</w:t>
      </w:r>
      <w:r>
        <w:rPr>
          <w:rStyle w:val="optioncarChar"/>
        </w:rPr>
        <w:t xml:space="preserve"> / ***</w:t>
      </w:r>
      <w:r>
        <w:t xml:space="preserve"> cm.</w:t>
      </w:r>
    </w:p>
    <w:p w14:paraId="6151CA31" w14:textId="77777777" w:rsidR="00DF410E" w:rsidRDefault="00CE7F43">
      <w:pPr>
        <w:jc w:val="both"/>
      </w:pPr>
      <w:r>
        <w:rPr>
          <w:b/>
        </w:rPr>
        <w:t>Remplissage des joints</w:t>
      </w:r>
    </w:p>
    <w:p w14:paraId="19C6A3FA" w14:textId="77777777" w:rsidR="00DF410E" w:rsidRDefault="00CE7F43">
      <w:pPr>
        <w:pStyle w:val="Author-eListParagraph"/>
        <w:numPr>
          <w:ilvl w:val="0"/>
          <w:numId w:val="488"/>
        </w:numPr>
      </w:pPr>
      <w:r>
        <w:t xml:space="preserve">Mortier ou béton de remplissage </w:t>
      </w:r>
      <w:r>
        <w:rPr>
          <w:rStyle w:val="optioncarChar"/>
        </w:rPr>
        <w:t>C25/30</w:t>
      </w:r>
      <w:r>
        <w:t xml:space="preserve"> (par défaut)</w:t>
      </w:r>
      <w:r>
        <w:rPr>
          <w:rStyle w:val="optioncarChar"/>
        </w:rPr>
        <w:t xml:space="preserve"> / C30/37 / ***</w:t>
      </w:r>
      <w:r>
        <w:t>.</w:t>
      </w:r>
    </w:p>
    <w:p w14:paraId="748D700E" w14:textId="77777777" w:rsidR="00DF410E" w:rsidRDefault="00CE7F43">
      <w:pPr>
        <w:jc w:val="both"/>
      </w:pPr>
      <w:r>
        <w:rPr>
          <w:b/>
        </w:rPr>
        <w:t>Couche de compression </w:t>
      </w:r>
    </w:p>
    <w:p w14:paraId="7110B8CD" w14:textId="77777777" w:rsidR="00DF410E" w:rsidRDefault="00CE7F43">
      <w:pPr>
        <w:pStyle w:val="Author-eListParagraph"/>
        <w:numPr>
          <w:ilvl w:val="0"/>
          <w:numId w:val="489"/>
        </w:numPr>
      </w:pPr>
      <w:r>
        <w:t xml:space="preserve">Epaisseur : </w:t>
      </w:r>
      <w:r>
        <w:rPr>
          <w:rStyle w:val="optioncarChar"/>
        </w:rPr>
        <w:t xml:space="preserve">selon les plans de préfabrication établis par le fabricant et à soumettre à l’approbation de l'auteur de projet et du bureau d’études en stabilité </w:t>
      </w:r>
      <w:r>
        <w:t>(par défaut)</w:t>
      </w:r>
      <w:r>
        <w:rPr>
          <w:rStyle w:val="optioncarChar"/>
        </w:rPr>
        <w:t xml:space="preserve"> / 5 / 6 / 7 / ***</w:t>
      </w:r>
      <w:r>
        <w:t xml:space="preserve"> cm.</w:t>
      </w:r>
    </w:p>
    <w:p w14:paraId="298E8A15" w14:textId="77777777" w:rsidR="00DF410E" w:rsidRDefault="00CE7F43">
      <w:pPr>
        <w:pStyle w:val="Author-eListParagraph"/>
        <w:numPr>
          <w:ilvl w:val="0"/>
          <w:numId w:val="489"/>
        </w:numPr>
      </w:pPr>
      <w:r>
        <w:t xml:space="preserve">Qualité du béton selon la [NBN EN 206:2013+A2] et la [NBN B 15-001] adaptée à l’épaisseur de la couche de compression : (voir également </w:t>
      </w:r>
      <w:hyperlink w:anchor="87" w:history="1">
        <w:r>
          <w:t>22 Superstructures en béton</w:t>
        </w:r>
      </w:hyperlink>
      <w:r>
        <w:t>).</w:t>
      </w:r>
    </w:p>
    <w:p w14:paraId="5C5419F9" w14:textId="77777777" w:rsidR="00DF410E" w:rsidRDefault="00CE7F43">
      <w:pPr>
        <w:pStyle w:val="Author-eListParagraph"/>
        <w:numPr>
          <w:ilvl w:val="0"/>
          <w:numId w:val="489"/>
        </w:numPr>
      </w:pPr>
      <w:r>
        <w:t xml:space="preserve">Classe de résistance : </w:t>
      </w:r>
      <w:r>
        <w:rPr>
          <w:rStyle w:val="optioncarChar"/>
        </w:rPr>
        <w:t>suivant les prescriptions de l’étude des bétons</w:t>
      </w:r>
      <w:r>
        <w:t xml:space="preserve"> (par défaut) </w:t>
      </w:r>
      <w:r>
        <w:rPr>
          <w:rStyle w:val="optioncarChar"/>
        </w:rPr>
        <w:t>/ C25/30 / C30/37 / C35/45 / ***</w:t>
      </w:r>
    </w:p>
    <w:p w14:paraId="21755733" w14:textId="77777777" w:rsidR="00DF410E" w:rsidRDefault="00CE7F43">
      <w:pPr>
        <w:pStyle w:val="Author-eListParagraph"/>
        <w:numPr>
          <w:ilvl w:val="0"/>
          <w:numId w:val="489"/>
        </w:numPr>
      </w:pPr>
      <w:r>
        <w:t xml:space="preserve">Classe d’environnement : </w:t>
      </w:r>
      <w:r>
        <w:rPr>
          <w:rStyle w:val="optioncarChar"/>
        </w:rPr>
        <w:t>suivant les prescriptions de l’étude des bétons</w:t>
      </w:r>
      <w:r>
        <w:t xml:space="preserve"> (par défaut)</w:t>
      </w:r>
      <w:r>
        <w:rPr>
          <w:rStyle w:val="optioncarChar"/>
        </w:rPr>
        <w:t xml:space="preserve"> / E0 / EI / EE1 / EE2 / EE3 / EE4 / ES1 / ES2 / ES3 / ES4 / EA1+*** / EA2+***/ EA3+*** / ***</w:t>
      </w:r>
    </w:p>
    <w:p w14:paraId="2D9F0F07" w14:textId="77777777" w:rsidR="00DF410E" w:rsidRDefault="00CE7F43">
      <w:pPr>
        <w:pStyle w:val="Author-eListParagraph"/>
        <w:numPr>
          <w:ilvl w:val="0"/>
          <w:numId w:val="489"/>
        </w:numPr>
      </w:pPr>
      <w:r>
        <w:t xml:space="preserve">Classe de consistance : </w:t>
      </w:r>
      <w:r>
        <w:rPr>
          <w:rStyle w:val="optioncarChar"/>
        </w:rPr>
        <w:t xml:space="preserve">suivant les prescriptions de l’étude des bétons </w:t>
      </w:r>
      <w:r>
        <w:t xml:space="preserve">(par défaut) </w:t>
      </w:r>
      <w:r>
        <w:rPr>
          <w:rStyle w:val="optioncarChar"/>
        </w:rPr>
        <w:t>/ S3 / S4 / S5 / F3 / F4 / F5 / F6 / ***</w:t>
      </w:r>
    </w:p>
    <w:p w14:paraId="4A104EAB" w14:textId="77777777" w:rsidR="00DF410E" w:rsidRDefault="00CE7F43">
      <w:pPr>
        <w:pStyle w:val="Author-eListParagraph"/>
        <w:numPr>
          <w:ilvl w:val="0"/>
          <w:numId w:val="489"/>
        </w:numPr>
      </w:pPr>
      <w:r>
        <w:t xml:space="preserve">Granulométrie maximale : </w:t>
      </w:r>
      <w:r>
        <w:rPr>
          <w:rStyle w:val="optioncarChar"/>
        </w:rPr>
        <w:t>suivant les prescriptions de l’étude des bétons</w:t>
      </w:r>
      <w:r>
        <w:t xml:space="preserve"> (par défaut)</w:t>
      </w:r>
      <w:r>
        <w:rPr>
          <w:rStyle w:val="optioncarChar"/>
        </w:rPr>
        <w:t xml:space="preserve"> / 6 / 8 / 10 / 11 / 12 / 14 / 16 / 20 / 22 / 32 / ***</w:t>
      </w:r>
      <w:r>
        <w:t xml:space="preserve"> mm</w:t>
      </w:r>
    </w:p>
    <w:p w14:paraId="6EA6C8C4" w14:textId="77777777" w:rsidR="00DF410E" w:rsidRDefault="00CE7F43">
      <w:pPr>
        <w:jc w:val="both"/>
      </w:pPr>
      <w:r>
        <w:rPr>
          <w:b/>
        </w:rPr>
        <w:t>Armatures de la couche de compression </w:t>
      </w:r>
    </w:p>
    <w:p w14:paraId="0F70EE75" w14:textId="77777777" w:rsidR="00DF410E" w:rsidRDefault="00CE7F43">
      <w:pPr>
        <w:pStyle w:val="Author-eListParagraph"/>
        <w:numPr>
          <w:ilvl w:val="0"/>
          <w:numId w:val="490"/>
        </w:numPr>
        <w:jc w:val="both"/>
      </w:pPr>
      <w:r>
        <w:t>Le diamètre et la section des armatures à insérer dans la couche de compression est déterminée par le fabricant des planchers en fonction des sollicitations prévues et de la portée. L’étude est soumise à l’approbation de l'auteur de projet et du bureau d’études en stabilité.</w:t>
      </w:r>
    </w:p>
    <w:p w14:paraId="7A78BDAA" w14:textId="77777777" w:rsidR="00DF410E" w:rsidRDefault="00CE7F43">
      <w:pPr>
        <w:pStyle w:val="Author-eListParagraph"/>
        <w:numPr>
          <w:ilvl w:val="0"/>
          <w:numId w:val="490"/>
        </w:numPr>
        <w:jc w:val="both"/>
      </w:pPr>
      <w:r>
        <w:t xml:space="preserve">Elles sont constituées de treillis soudés nuance d'acier </w:t>
      </w:r>
      <w:r>
        <w:rPr>
          <w:rStyle w:val="optioncarChar"/>
        </w:rPr>
        <w:t xml:space="preserve">DE 500 BS </w:t>
      </w:r>
      <w:r>
        <w:t>(par défaut)</w:t>
      </w:r>
      <w:r>
        <w:rPr>
          <w:rStyle w:val="optioncarChar"/>
        </w:rPr>
        <w:t xml:space="preserve"> / BE 500 S / ***</w:t>
      </w:r>
      <w:r>
        <w:t xml:space="preserve"> et les éventuelles armatures complémentaires sont de qualité </w:t>
      </w:r>
      <w:r>
        <w:rPr>
          <w:rStyle w:val="optioncarChar"/>
        </w:rPr>
        <w:t>BE 500S</w:t>
      </w:r>
      <w:r>
        <w:t xml:space="preserve"> (par défaut)</w:t>
      </w:r>
      <w:r>
        <w:rPr>
          <w:rStyle w:val="optioncarChar"/>
        </w:rPr>
        <w:t xml:space="preserve"> / ***</w:t>
      </w:r>
      <w:r>
        <w:t>.</w:t>
      </w:r>
    </w:p>
    <w:p w14:paraId="051127AF" w14:textId="77777777" w:rsidR="00DF410E" w:rsidRDefault="00CE7F43">
      <w:pPr>
        <w:pStyle w:val="Author-eListParagraph"/>
        <w:numPr>
          <w:ilvl w:val="0"/>
          <w:numId w:val="490"/>
        </w:numPr>
        <w:jc w:val="both"/>
      </w:pPr>
      <w:r>
        <w:t>L’ensemble du plancher présente une résistance au feu </w:t>
      </w:r>
      <w:r>
        <w:rPr>
          <w:rStyle w:val="optioncarChar"/>
        </w:rPr>
        <w:t>R15 / R30 / R60 / R120 / R240</w:t>
      </w:r>
      <w:r>
        <w:t xml:space="preserve"> démontrée par test au feu selon la [NBN EN 13501-2] ou par calcul selon les Eurocodes conformément à l’[AM 2013-05-17].</w:t>
      </w:r>
    </w:p>
    <w:p w14:paraId="7E2C210A" w14:textId="77777777" w:rsidR="00DF410E" w:rsidRDefault="00CE7F43">
      <w:pPr>
        <w:pStyle w:val="pheading"/>
      </w:pPr>
      <w:r>
        <w:t>- Finitions</w:t>
      </w:r>
    </w:p>
    <w:p w14:paraId="7DFC6CDF" w14:textId="77777777" w:rsidR="00DF410E" w:rsidRDefault="00CE7F43">
      <w:pPr>
        <w:jc w:val="both"/>
      </w:pPr>
      <w:r>
        <w:t xml:space="preserve">Finition : </w:t>
      </w:r>
      <w:r>
        <w:rPr>
          <w:rStyle w:val="optioncarChar"/>
        </w:rPr>
        <w:t>face inférieure lisse</w:t>
      </w:r>
      <w:r>
        <w:t xml:space="preserve"> (par défaut)</w:t>
      </w:r>
      <w:r>
        <w:rPr>
          <w:rStyle w:val="optioncarChar"/>
        </w:rPr>
        <w:t xml:space="preserve"> / rugueuse / ***</w:t>
      </w:r>
      <w:r>
        <w:t>.</w:t>
      </w:r>
    </w:p>
    <w:p w14:paraId="57E9AB1C" w14:textId="77777777" w:rsidR="00DF410E" w:rsidRDefault="00CE7F43">
      <w:pPr>
        <w:jc w:val="both"/>
      </w:pPr>
      <w:r>
        <w:t xml:space="preserve">Teinte : </w:t>
      </w:r>
      <w:r>
        <w:rPr>
          <w:rStyle w:val="optioncarChar"/>
        </w:rPr>
        <w:t xml:space="preserve">gris aspect naturel du béton </w:t>
      </w:r>
      <w:r>
        <w:t>(par défaut)</w:t>
      </w:r>
      <w:r>
        <w:rPr>
          <w:rStyle w:val="optioncarChar"/>
        </w:rPr>
        <w:t xml:space="preserve"> / blanc / ***</w:t>
      </w:r>
      <w:r>
        <w:t>.</w:t>
      </w:r>
    </w:p>
    <w:p w14:paraId="3A563401" w14:textId="77777777" w:rsidR="00DF410E" w:rsidRDefault="00CE7F43">
      <w:pPr>
        <w:pStyle w:val="pheading"/>
      </w:pPr>
      <w:r>
        <w:t>EXÉCUTION / MISE EN ŒUVRE</w:t>
      </w:r>
    </w:p>
    <w:p w14:paraId="1815D43F" w14:textId="77777777" w:rsidR="00DF410E" w:rsidRDefault="00CE7F43">
      <w:pPr>
        <w:pStyle w:val="pheading"/>
      </w:pPr>
      <w:r>
        <w:t>- Prescriptions générales</w:t>
      </w:r>
    </w:p>
    <w:p w14:paraId="187C2C1D" w14:textId="77777777" w:rsidR="00DF410E" w:rsidRDefault="00CE7F43">
      <w:pPr>
        <w:jc w:val="both"/>
      </w:pPr>
      <w:r>
        <w:rPr>
          <w:b/>
        </w:rPr>
        <w:t>Dimensionnement</w:t>
      </w:r>
    </w:p>
    <w:p w14:paraId="6EB502FD" w14:textId="77777777" w:rsidR="00DF410E" w:rsidRDefault="00CE7F43">
      <w:pPr>
        <w:jc w:val="both"/>
      </w:pPr>
      <w:r>
        <w:t xml:space="preserve">Le dimensionnement des éléments est déterminé par le fabricant des planchers d’après l’étude de stabilité </w:t>
      </w:r>
      <w:r>
        <w:rPr>
          <w:rStyle w:val="optioncarChar"/>
        </w:rPr>
        <w:t>annexée aux documents du marché / à charge de l’entrepreneur</w:t>
      </w:r>
      <w:r>
        <w:t>.</w:t>
      </w:r>
    </w:p>
    <w:p w14:paraId="3140956E" w14:textId="77777777" w:rsidR="00DF410E" w:rsidRDefault="00CE7F43">
      <w:pPr>
        <w:pStyle w:val="Author-eListParagraph"/>
        <w:numPr>
          <w:ilvl w:val="0"/>
          <w:numId w:val="491"/>
        </w:numPr>
      </w:pPr>
      <w:r>
        <w:t xml:space="preserve">Le plancher est calculé pour une surcharge d’exploitation particulière de </w:t>
      </w:r>
      <w:r>
        <w:rPr>
          <w:rStyle w:val="optioncarChar"/>
        </w:rPr>
        <w:t xml:space="preserve">3 </w:t>
      </w:r>
      <w:r>
        <w:t xml:space="preserve">(par défaut) </w:t>
      </w:r>
      <w:r>
        <w:rPr>
          <w:rStyle w:val="optioncarChar"/>
        </w:rPr>
        <w:t>/ 4 / 5 / ***</w:t>
      </w:r>
      <w:r>
        <w:t xml:space="preserve"> KN/m² comme spécifiée dans la [NBN EN 1991-1-1 ANB].</w:t>
      </w:r>
    </w:p>
    <w:p w14:paraId="15B157A2" w14:textId="77777777" w:rsidR="00DF410E" w:rsidRDefault="00CE7F43">
      <w:pPr>
        <w:pStyle w:val="Author-eListParagraph"/>
        <w:numPr>
          <w:ilvl w:val="0"/>
          <w:numId w:val="491"/>
        </w:numPr>
      </w:pPr>
      <w:r>
        <w:t xml:space="preserve">En fonction de la surcharge d’exploitation prévue, la flèche ne peut dépasser </w:t>
      </w:r>
      <w:r>
        <w:rPr>
          <w:rStyle w:val="optioncarChar"/>
        </w:rPr>
        <w:t>1/500</w:t>
      </w:r>
      <w:r>
        <w:t xml:space="preserve"> (par défaut)</w:t>
      </w:r>
      <w:r>
        <w:rPr>
          <w:rStyle w:val="optioncarChar"/>
        </w:rPr>
        <w:t xml:space="preserve"> / 1/700</w:t>
      </w:r>
      <w:r>
        <w:t xml:space="preserve"> de la portée conforme aux spécifications de la [NBN B 21-605+A1].</w:t>
      </w:r>
    </w:p>
    <w:p w14:paraId="4F7B9DF2" w14:textId="77777777" w:rsidR="00DF410E" w:rsidRDefault="00CE7F43">
      <w:pPr>
        <w:jc w:val="both"/>
      </w:pPr>
      <w:r>
        <w:rPr>
          <w:b/>
        </w:rPr>
        <w:t>Mise en œuvre</w:t>
      </w:r>
    </w:p>
    <w:p w14:paraId="54671A50" w14:textId="77777777" w:rsidR="00DF410E" w:rsidRDefault="00CE7F43">
      <w:pPr>
        <w:jc w:val="both"/>
      </w:pPr>
      <w:r>
        <w:t>Les faces supérieure et inférieures du plancher correspondent aux cotes de niveau et à l'épaisseur de plancher indiquée sur les plans.</w:t>
      </w:r>
    </w:p>
    <w:p w14:paraId="12696142" w14:textId="77777777" w:rsidR="00DF410E" w:rsidRDefault="00CE7F43">
      <w:pPr>
        <w:jc w:val="both"/>
      </w:pPr>
      <w:r>
        <w:t>Pendant l’exécution des planchers, des étais de montage sont placés aux endroits nécessaires suivant les prescriptions du fabricant.</w:t>
      </w:r>
    </w:p>
    <w:p w14:paraId="6FC4CD8E" w14:textId="77777777" w:rsidR="00DF410E" w:rsidRDefault="00CE7F43">
      <w:pPr>
        <w:jc w:val="both"/>
      </w:pPr>
      <w:r>
        <w:t>En principe, les éléments de plancher sont posés à sec sur la structure de support. Lorsque la surface d'appui n'est pas suffisamment plane, comme pour la maçonnerie ou le béton coulé en place, une couche d'égalisation en mortier de ciment est préalablement appliquée. Les surfaces d'appui en béton cellulaire autoclavé, en briques silico-calcaires ou en bois sont préalablement recouvertes d'une feuille d'étanchéité.</w:t>
      </w:r>
    </w:p>
    <w:p w14:paraId="6C0EC3B5" w14:textId="77777777" w:rsidR="00DF410E" w:rsidRDefault="00CE7F43">
      <w:pPr>
        <w:jc w:val="both"/>
      </w:pPr>
      <w:r>
        <w:t xml:space="preserve">Les asselets éventuellement nécessaires à la bonne répartition des charges sont prévus dans l’étude de stabilité et comptés au </w:t>
      </w:r>
      <w:hyperlink w:anchor="497" w:history="1">
        <w:r>
          <w:t>22.42 Pièces d'appui en béton</w:t>
        </w:r>
      </w:hyperlink>
      <w:r>
        <w:t xml:space="preserve"> et aux articles qui en découlent.</w:t>
      </w:r>
    </w:p>
    <w:p w14:paraId="0D76F22A" w14:textId="77777777" w:rsidR="00DF410E" w:rsidRDefault="00CE7F43">
      <w:pPr>
        <w:jc w:val="both"/>
      </w:pPr>
      <w:r>
        <w:t>Les joints entre les éléments de planchers sont débarrassés de toutes impuretés.</w:t>
      </w:r>
    </w:p>
    <w:p w14:paraId="2734EF08" w14:textId="77777777" w:rsidR="00DF410E" w:rsidRDefault="00CE7F43">
      <w:pPr>
        <w:jc w:val="both"/>
      </w:pPr>
      <w:r>
        <w:t>Avant de couler le béton, les planchers sont abondamment arrosés d'eau. Ensuite la couche de compression est appliquée afin de renforcer l'ensemble et de former un seul tout avec les éléments de plancher sous-jacents. La couche de compression est armée en continu jusque sur les appuis.</w:t>
      </w:r>
    </w:p>
    <w:p w14:paraId="34C2BB1B" w14:textId="77777777" w:rsidR="00DF410E" w:rsidRDefault="00CE7F43">
      <w:pPr>
        <w:jc w:val="both"/>
      </w:pPr>
      <w:r>
        <w:t xml:space="preserve">Le plancher ne peut être mis en charge avant que le béton de remplissage des joints ou de la couche de compression ne soit complètement durci soit, au plus tôt, après </w:t>
      </w:r>
      <w:r>
        <w:rPr>
          <w:rStyle w:val="optioncarChar"/>
        </w:rPr>
        <w:t>le nombre de jours fixé dans les directives du bureau d’études</w:t>
      </w:r>
      <w:r>
        <w:t xml:space="preserve"> (par défaut)</w:t>
      </w:r>
      <w:r>
        <w:rPr>
          <w:rStyle w:val="optioncarChar"/>
        </w:rPr>
        <w:t xml:space="preserve"> / 21 jours / *** jours.</w:t>
      </w:r>
    </w:p>
    <w:p w14:paraId="2D90D34D" w14:textId="77777777" w:rsidR="00DF410E" w:rsidRDefault="00CE7F43">
      <w:pPr>
        <w:jc w:val="both"/>
      </w:pPr>
      <w:r>
        <w:t>La longueur d'appui des planchers est conforme aux prescriptions de la [NBN B 21-605+A1].</w:t>
      </w:r>
    </w:p>
    <w:p w14:paraId="2806F84E" w14:textId="77777777" w:rsidR="00DF410E" w:rsidRDefault="00CE7F43">
      <w:pPr>
        <w:jc w:val="both"/>
      </w:pPr>
      <w:r>
        <w:t>Sauf dispositions prévues aux plans, la conception des joints et des assemblages externes est déterminée par le fabricant et soumise à l’approbation de l'auteur de projet et du bureau d’études en stabilité.</w:t>
      </w:r>
    </w:p>
    <w:p w14:paraId="2E709F2E" w14:textId="77777777" w:rsidR="00DF410E" w:rsidRDefault="00CE7F43">
      <w:pPr>
        <w:pStyle w:val="pheading"/>
      </w:pPr>
      <w:r>
        <w:t>MESURAGE</w:t>
      </w:r>
    </w:p>
    <w:p w14:paraId="31976F32" w14:textId="77777777" w:rsidR="00DF410E" w:rsidRDefault="00CE7F43">
      <w:pPr>
        <w:pStyle w:val="pheading"/>
      </w:pPr>
      <w:r>
        <w:t>- unité de mesure:</w:t>
      </w:r>
    </w:p>
    <w:p w14:paraId="19918F95" w14:textId="77777777" w:rsidR="00DF410E" w:rsidRDefault="00CE7F43">
      <w:r>
        <w:t>m²</w:t>
      </w:r>
    </w:p>
    <w:p w14:paraId="003E065F" w14:textId="77777777" w:rsidR="00DF410E" w:rsidRDefault="00CE7F43">
      <w:pPr>
        <w:pStyle w:val="pheading"/>
      </w:pPr>
      <w:r>
        <w:t>- code de mesurage:</w:t>
      </w:r>
    </w:p>
    <w:p w14:paraId="668729AD" w14:textId="77777777" w:rsidR="00DF410E" w:rsidRDefault="00CE7F43">
      <w:pPr>
        <w:jc w:val="both"/>
      </w:pPr>
      <w:r>
        <w:t>Surface nette de plancher mis en œuvre ventilée en fonction de la présence d’une couche de béton de compression, de l'épaisseur et/ou de la charge d’exploitation. La surface est mesurée entre le nu intérieur des murs extérieurs. Il ressort de cette convention que les parties du plancher qui reposent sur les murs extérieurs ne sont pas comptées comme plancher, mais comme maçonnerie. Par contre, les parties couvrant et/ou pénétrant dans les murs intérieurs sont comptées avec le béton sur toute l'épaisseur du mur et sont, par conséquent, déduites de la maçonnerie intérieure. Les vides, percements et feuillures supérieures à 0,50 m² sont déduits. Tous les éléments nécessaires, travaux et fournitures (coffrages, armatures et couches de compression prescrites) sont compris dans le prix unitaire. </w:t>
      </w:r>
    </w:p>
    <w:p w14:paraId="6A56B068" w14:textId="77777777" w:rsidR="00DF410E" w:rsidRDefault="00CE7F43">
      <w:pPr>
        <w:pStyle w:val="pheading"/>
      </w:pPr>
      <w:r>
        <w:t>- nature du marché:</w:t>
      </w:r>
    </w:p>
    <w:p w14:paraId="1ABA76DA" w14:textId="77777777" w:rsidR="00DF410E" w:rsidRDefault="00CE7F43">
      <w:r>
        <w:t>QF</w:t>
      </w:r>
    </w:p>
    <w:p w14:paraId="7E6E4057" w14:textId="77777777" w:rsidR="00DF410E" w:rsidRDefault="00CE7F43">
      <w:pPr>
        <w:pStyle w:val="Author-eSectionHeading6"/>
      </w:pPr>
      <w:bookmarkStart w:id="732" w:name="_Toc178837897"/>
      <w:r>
        <w:t>22.15.3g Planchers-caissons à éléments tubulaires en béton armé CCTB 01.04</w:t>
      </w:r>
      <w:bookmarkEnd w:id="732"/>
    </w:p>
    <w:p w14:paraId="66A73DD1" w14:textId="77777777" w:rsidR="00DF410E" w:rsidRDefault="00CE7F43">
      <w:pPr>
        <w:pStyle w:val="Author-eSectionHeading5"/>
      </w:pPr>
      <w:bookmarkStart w:id="733" w:name="_Toc178837898"/>
      <w:r>
        <w:t>22.15.4 Planchers à éléments préfabriqués en béton architectonique CCTB 01.04</w:t>
      </w:r>
      <w:bookmarkEnd w:id="733"/>
    </w:p>
    <w:p w14:paraId="38FB70A4" w14:textId="77777777" w:rsidR="00DF410E" w:rsidRDefault="00CE7F43">
      <w:pPr>
        <w:pStyle w:val="Author-eSectionHeading6"/>
      </w:pPr>
      <w:bookmarkStart w:id="734" w:name="_Toc178837899"/>
      <w:r>
        <w:t>22.15.4a Planchers préfabriqués à prédalles en béton décoratif / architectonique CCTB 01.11</w:t>
      </w:r>
      <w:bookmarkEnd w:id="734"/>
    </w:p>
    <w:p w14:paraId="211D04C5" w14:textId="77777777" w:rsidR="00DF410E" w:rsidRDefault="00CE7F43">
      <w:pPr>
        <w:pStyle w:val="pheading"/>
      </w:pPr>
      <w:r>
        <w:t>MATÉRIAUX</w:t>
      </w:r>
    </w:p>
    <w:p w14:paraId="714CAE17" w14:textId="77777777" w:rsidR="00DF410E" w:rsidRDefault="00CE7F43">
      <w:pPr>
        <w:pStyle w:val="pheading"/>
      </w:pPr>
      <w:r>
        <w:t>- Finitions</w:t>
      </w:r>
    </w:p>
    <w:p w14:paraId="25BF8EDC" w14:textId="77777777" w:rsidR="00DF410E" w:rsidRDefault="00CE7F43">
      <w:r>
        <w:t xml:space="preserve">La face inférieure des prédalles est </w:t>
      </w:r>
      <w:r>
        <w:rPr>
          <w:rStyle w:val="optioncarChar"/>
        </w:rPr>
        <w:t xml:space="preserve">brute de décoffrage </w:t>
      </w:r>
      <w:r>
        <w:t xml:space="preserve">(par défaut) </w:t>
      </w:r>
      <w:r>
        <w:rPr>
          <w:rStyle w:val="optioncarChar"/>
        </w:rPr>
        <w:t>/ lavée à l’eau / brossée / lavée à l’acide / bouchardée / grenaillée / grésée / polie mat / polie brillant / structurée / incrustée d’autres matériaux / ***</w:t>
      </w:r>
    </w:p>
    <w:p w14:paraId="40D853FB" w14:textId="77777777" w:rsidR="00DF410E" w:rsidRDefault="00CE7F43">
      <w:pPr>
        <w:pStyle w:val="Author-eSectionHeading6"/>
      </w:pPr>
      <w:bookmarkStart w:id="735" w:name="_Toc178837900"/>
      <w:r>
        <w:t>22.15.4b Planchers à dalles alvéolées en béton décoratif / architectonique CCTB 01.11</w:t>
      </w:r>
      <w:bookmarkEnd w:id="735"/>
    </w:p>
    <w:p w14:paraId="461A97A7" w14:textId="77777777" w:rsidR="00DF410E" w:rsidRDefault="00CE7F43">
      <w:pPr>
        <w:pStyle w:val="pheading"/>
      </w:pPr>
      <w:r>
        <w:t>MATÉRIAUX</w:t>
      </w:r>
    </w:p>
    <w:p w14:paraId="0538C8D9" w14:textId="77777777" w:rsidR="00DF410E" w:rsidRDefault="00CE7F43">
      <w:pPr>
        <w:pStyle w:val="pheading"/>
      </w:pPr>
      <w:r>
        <w:t>- Finitions</w:t>
      </w:r>
    </w:p>
    <w:p w14:paraId="6E7DE4E0" w14:textId="77777777" w:rsidR="00DF410E" w:rsidRDefault="00CE7F43">
      <w:r>
        <w:t xml:space="preserve">La face inférieure des dalles de béton est </w:t>
      </w:r>
      <w:r>
        <w:rPr>
          <w:rStyle w:val="optioncarChar"/>
        </w:rPr>
        <w:t>brute de décoffrage / lavée à l’eau / brossée / lavée à l’acide / bouchardée / grenaillée / grésée / polie mat </w:t>
      </w:r>
      <w:r>
        <w:t>(par défaut)</w:t>
      </w:r>
      <w:r>
        <w:rPr>
          <w:rStyle w:val="optioncarChar"/>
        </w:rPr>
        <w:t xml:space="preserve"> / polie brillant / structurée / incrustée d’autres matériaux / ***</w:t>
      </w:r>
    </w:p>
    <w:p w14:paraId="6EC2607B" w14:textId="77777777" w:rsidR="00DF410E" w:rsidRDefault="00CE7F43">
      <w:pPr>
        <w:pStyle w:val="Author-eSectionHeading5"/>
      </w:pPr>
      <w:bookmarkStart w:id="736" w:name="_Toc178837901"/>
      <w:r>
        <w:t>22.15.5 Couches de compression CCTB 01.07</w:t>
      </w:r>
      <w:bookmarkEnd w:id="736"/>
    </w:p>
    <w:p w14:paraId="31FC394F" w14:textId="77777777" w:rsidR="00DF410E" w:rsidRDefault="00CE7F43">
      <w:pPr>
        <w:pStyle w:val="pheading"/>
      </w:pPr>
      <w:bookmarkStart w:id="737" w:name="1274"/>
      <w:bookmarkEnd w:id="737"/>
      <w:r>
        <w:t>AIDE</w:t>
      </w:r>
    </w:p>
    <w:p w14:paraId="342F5175" w14:textId="77777777" w:rsidR="00DF410E" w:rsidRDefault="00CE7F43">
      <w:r>
        <w:t>Pour l’instant, cet article n’est pas utilisé puisque les couches de compression sont définies dans les articles des éléments concernés.</w:t>
      </w:r>
    </w:p>
    <w:p w14:paraId="1654D378" w14:textId="77777777" w:rsidR="00DF410E" w:rsidRDefault="00CE7F43">
      <w:pPr>
        <w:pStyle w:val="Author-eSectionHeading4"/>
      </w:pPr>
      <w:bookmarkStart w:id="738" w:name="_Toc178837902"/>
      <w:r>
        <w:t>22.16 Parois en béton CCTB 01.02</w:t>
      </w:r>
      <w:bookmarkEnd w:id="738"/>
    </w:p>
    <w:p w14:paraId="4F414D87" w14:textId="77777777" w:rsidR="00DF410E" w:rsidRDefault="00CE7F43">
      <w:pPr>
        <w:pStyle w:val="pheading"/>
      </w:pPr>
      <w:r>
        <w:t>MATÉRIAUX</w:t>
      </w:r>
    </w:p>
    <w:p w14:paraId="174810F5" w14:textId="77777777" w:rsidR="00DF410E" w:rsidRDefault="00CE7F43">
      <w:r>
        <w:br/>
      </w:r>
    </w:p>
    <w:p w14:paraId="42BF4379" w14:textId="77777777" w:rsidR="00DF410E" w:rsidRDefault="00CE7F43">
      <w:pPr>
        <w:pStyle w:val="Author-eSectionHeading5"/>
      </w:pPr>
      <w:bookmarkStart w:id="739" w:name="_Toc178837903"/>
      <w:r>
        <w:t>22.16.1 Parois en béton coulé en place CCTB 01.04</w:t>
      </w:r>
      <w:bookmarkEnd w:id="739"/>
    </w:p>
    <w:p w14:paraId="3E8C42D6" w14:textId="77777777" w:rsidR="00DF410E" w:rsidRDefault="00CE7F43">
      <w:pPr>
        <w:pStyle w:val="Author-eSectionHeading6"/>
      </w:pPr>
      <w:bookmarkStart w:id="740" w:name="_Toc178837904"/>
      <w:r>
        <w:t>22.16.1a Parois en béton armé coulé en place CCTB 01.11</w:t>
      </w:r>
      <w:bookmarkEnd w:id="740"/>
    </w:p>
    <w:p w14:paraId="25ECE954" w14:textId="77777777" w:rsidR="00DF410E" w:rsidRDefault="00CE7F43">
      <w:pPr>
        <w:pStyle w:val="pheading"/>
      </w:pPr>
      <w:bookmarkStart w:id="741" w:name="418"/>
      <w:bookmarkEnd w:id="741"/>
      <w:r>
        <w:t>DESCRIPTION</w:t>
      </w:r>
    </w:p>
    <w:p w14:paraId="0CC01057" w14:textId="77777777" w:rsidR="00DF410E" w:rsidRDefault="00CE7F43">
      <w:pPr>
        <w:pStyle w:val="pheading"/>
      </w:pPr>
      <w:r>
        <w:t>- Définition / Comprend</w:t>
      </w:r>
    </w:p>
    <w:p w14:paraId="3F3F7E65" w14:textId="77777777" w:rsidR="00DF410E" w:rsidRDefault="00CE7F43">
      <w:r>
        <w:t>Il s'agit de toutes les surfaces en élévation</w:t>
      </w:r>
      <w:r>
        <w:rPr>
          <w:rStyle w:val="optioncarChar"/>
        </w:rPr>
        <w:t> faces de parois / pans de toiture inclinées / ***</w:t>
      </w:r>
      <w:r>
        <w:t xml:space="preserve"> exécutées en béton armé coulé en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01E0C9A7" w14:textId="77777777" w:rsidR="00DF410E" w:rsidRDefault="00CE7F43">
      <w:pPr>
        <w:pStyle w:val="pheading"/>
      </w:pPr>
      <w:r>
        <w:t>MATÉRIAUX</w:t>
      </w:r>
    </w:p>
    <w:p w14:paraId="27A4C0CB" w14:textId="77777777" w:rsidR="00DF410E" w:rsidRDefault="00CE7F43">
      <w:pPr>
        <w:pStyle w:val="pheading"/>
      </w:pPr>
      <w:r>
        <w:t>- Caractéristiques générales</w:t>
      </w:r>
    </w:p>
    <w:p w14:paraId="7684FD44" w14:textId="77777777" w:rsidR="00DF410E" w:rsidRDefault="00CE7F43">
      <w:pPr>
        <w:pStyle w:val="heading"/>
      </w:pPr>
      <w:r>
        <w:t>Spécifications</w:t>
      </w:r>
    </w:p>
    <w:p w14:paraId="66F52285" w14:textId="77777777" w:rsidR="00DF410E" w:rsidRDefault="00CE7F43">
      <w:r>
        <w:t xml:space="preserve">Qualité du béton selon la [NBN EN 206:2013+A2] et la [NBN B 15-001] .Voir également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393E13E7" w14:textId="77777777">
        <w:tc>
          <w:tcPr>
            <w:tcW w:w="1500" w:type="dxa"/>
            <w:noWrap/>
          </w:tcPr>
          <w:p w14:paraId="653A3C3B" w14:textId="77777777" w:rsidR="00DF410E" w:rsidRDefault="00CE7F43">
            <w:pPr>
              <w:jc w:val="center"/>
            </w:pPr>
            <w:r>
              <w:rPr>
                <w:b/>
              </w:rPr>
              <w:t>A</w:t>
            </w:r>
          </w:p>
        </w:tc>
        <w:tc>
          <w:tcPr>
            <w:tcW w:w="1500" w:type="dxa"/>
            <w:noWrap/>
          </w:tcPr>
          <w:p w14:paraId="06257D34" w14:textId="77777777" w:rsidR="00DF410E" w:rsidRDefault="00CE7F43">
            <w:pPr>
              <w:jc w:val="center"/>
            </w:pPr>
            <w:r>
              <w:rPr>
                <w:b/>
              </w:rPr>
              <w:t>B1</w:t>
            </w:r>
          </w:p>
        </w:tc>
        <w:tc>
          <w:tcPr>
            <w:tcW w:w="1500" w:type="dxa"/>
            <w:noWrap/>
          </w:tcPr>
          <w:p w14:paraId="6740D83B" w14:textId="77777777" w:rsidR="00DF410E" w:rsidRDefault="00CE7F43">
            <w:pPr>
              <w:jc w:val="center"/>
            </w:pPr>
            <w:r>
              <w:rPr>
                <w:b/>
              </w:rPr>
              <w:t>B2</w:t>
            </w:r>
          </w:p>
        </w:tc>
        <w:tc>
          <w:tcPr>
            <w:tcW w:w="1500" w:type="dxa"/>
            <w:noWrap/>
          </w:tcPr>
          <w:p w14:paraId="3DB42CF2" w14:textId="77777777" w:rsidR="00DF410E" w:rsidRDefault="00CE7F43">
            <w:pPr>
              <w:jc w:val="center"/>
            </w:pPr>
            <w:r>
              <w:rPr>
                <w:b/>
              </w:rPr>
              <w:t>C</w:t>
            </w:r>
          </w:p>
        </w:tc>
        <w:tc>
          <w:tcPr>
            <w:tcW w:w="1500" w:type="dxa"/>
            <w:noWrap/>
          </w:tcPr>
          <w:p w14:paraId="442D0DC4" w14:textId="77777777" w:rsidR="00DF410E" w:rsidRDefault="00CE7F43">
            <w:pPr>
              <w:jc w:val="center"/>
            </w:pPr>
            <w:r>
              <w:rPr>
                <w:b/>
              </w:rPr>
              <w:t>D</w:t>
            </w:r>
          </w:p>
        </w:tc>
        <w:tc>
          <w:tcPr>
            <w:tcW w:w="1500" w:type="dxa"/>
            <w:noWrap/>
          </w:tcPr>
          <w:p w14:paraId="0F75E77B" w14:textId="77777777" w:rsidR="00DF410E" w:rsidRDefault="00CE7F43">
            <w:pPr>
              <w:jc w:val="center"/>
            </w:pPr>
            <w:r>
              <w:rPr>
                <w:b/>
              </w:rPr>
              <w:t>E</w:t>
            </w:r>
          </w:p>
        </w:tc>
      </w:tr>
      <w:tr w:rsidR="00DF410E" w14:paraId="41B25441" w14:textId="77777777">
        <w:tc>
          <w:tcPr>
            <w:tcW w:w="1500" w:type="dxa"/>
            <w:noWrap/>
          </w:tcPr>
          <w:p w14:paraId="1D8E63EE" w14:textId="77777777" w:rsidR="00DF410E" w:rsidRDefault="00CE7F43">
            <w:pPr>
              <w:jc w:val="center"/>
            </w:pPr>
            <w:r>
              <w:rPr>
                <w:b/>
              </w:rPr>
              <w:t>Classe de résistance</w:t>
            </w:r>
          </w:p>
        </w:tc>
        <w:tc>
          <w:tcPr>
            <w:tcW w:w="1500" w:type="dxa"/>
            <w:noWrap/>
          </w:tcPr>
          <w:p w14:paraId="7A9C6139" w14:textId="77777777" w:rsidR="00DF410E" w:rsidRDefault="00CE7F43">
            <w:pPr>
              <w:jc w:val="center"/>
            </w:pPr>
            <w:r>
              <w:rPr>
                <w:b/>
              </w:rPr>
              <w:t>Domaine d’application</w:t>
            </w:r>
          </w:p>
        </w:tc>
        <w:tc>
          <w:tcPr>
            <w:tcW w:w="1500" w:type="dxa"/>
            <w:noWrap/>
          </w:tcPr>
          <w:p w14:paraId="5C4AB7A6" w14:textId="77777777" w:rsidR="00DF410E" w:rsidRDefault="00CE7F43">
            <w:pPr>
              <w:jc w:val="center"/>
            </w:pPr>
            <w:r>
              <w:rPr>
                <w:b/>
              </w:rPr>
              <w:t>Classe d'environnement</w:t>
            </w:r>
          </w:p>
        </w:tc>
        <w:tc>
          <w:tcPr>
            <w:tcW w:w="1500" w:type="dxa"/>
            <w:noWrap/>
          </w:tcPr>
          <w:p w14:paraId="39744388" w14:textId="77777777" w:rsidR="00DF410E" w:rsidRDefault="00CE7F43">
            <w:pPr>
              <w:jc w:val="center"/>
            </w:pPr>
            <w:r>
              <w:rPr>
                <w:b/>
              </w:rPr>
              <w:t>Classe de consistance</w:t>
            </w:r>
          </w:p>
        </w:tc>
        <w:tc>
          <w:tcPr>
            <w:tcW w:w="1500" w:type="dxa"/>
            <w:noWrap/>
          </w:tcPr>
          <w:p w14:paraId="3C4F8549" w14:textId="77777777" w:rsidR="00DF410E" w:rsidRDefault="00CE7F43">
            <w:pPr>
              <w:jc w:val="center"/>
            </w:pPr>
            <w:r>
              <w:rPr>
                <w:b/>
              </w:rPr>
              <w:t>Granulométrie maximale</w:t>
            </w:r>
          </w:p>
        </w:tc>
        <w:tc>
          <w:tcPr>
            <w:tcW w:w="1500" w:type="dxa"/>
            <w:noWrap/>
          </w:tcPr>
          <w:p w14:paraId="51B902EE" w14:textId="77777777" w:rsidR="00DF410E" w:rsidRDefault="00CE7F43">
            <w:r>
              <w:rPr>
                <w:b/>
              </w:rPr>
              <w:t>Données complémentaires</w:t>
            </w:r>
          </w:p>
        </w:tc>
      </w:tr>
      <w:tr w:rsidR="00DF410E" w14:paraId="0ED3D90A" w14:textId="77777777">
        <w:tc>
          <w:tcPr>
            <w:tcW w:w="1500" w:type="dxa"/>
            <w:noWrap/>
          </w:tcPr>
          <w:p w14:paraId="71571BC0" w14:textId="77777777" w:rsidR="00DF410E" w:rsidRDefault="00CE7F43">
            <w:pPr>
              <w:jc w:val="center"/>
            </w:pPr>
            <w:r>
              <w:rPr>
                <w:rStyle w:val="optioncarChar"/>
              </w:rPr>
              <w:t>C25/30 / C30/37 / C35/45 / C45/55 / C50/60 / C55/67 / C60/75 / C70/85 / C80/95 / C90/105</w:t>
            </w:r>
          </w:p>
        </w:tc>
        <w:tc>
          <w:tcPr>
            <w:tcW w:w="1500" w:type="dxa"/>
            <w:noWrap/>
          </w:tcPr>
          <w:p w14:paraId="35D0824C" w14:textId="77777777" w:rsidR="00DF410E" w:rsidRDefault="00CE7F43">
            <w:pPr>
              <w:jc w:val="center"/>
            </w:pPr>
            <w:r>
              <w:t>Béton armé</w:t>
            </w:r>
          </w:p>
          <w:p w14:paraId="1B2366AB" w14:textId="77777777" w:rsidR="00DF410E" w:rsidRDefault="00DF410E"/>
        </w:tc>
        <w:tc>
          <w:tcPr>
            <w:tcW w:w="1500" w:type="dxa"/>
            <w:noWrap/>
          </w:tcPr>
          <w:p w14:paraId="3826656B" w14:textId="77777777" w:rsidR="00DF410E" w:rsidRDefault="00CE7F43">
            <w:pPr>
              <w:jc w:val="center"/>
            </w:pPr>
            <w:r>
              <w:rPr>
                <w:rStyle w:val="optioncarChar"/>
              </w:rPr>
              <w:t>E0 / EI / EE1 / EE2 / EE3 / EE4 / ES1 / ES2 / ES3 / ES4 / EA1+*** / EA2+***/ EA3+***</w:t>
            </w:r>
          </w:p>
        </w:tc>
        <w:tc>
          <w:tcPr>
            <w:tcW w:w="1500" w:type="dxa"/>
            <w:noWrap/>
          </w:tcPr>
          <w:p w14:paraId="340D95A9" w14:textId="77777777" w:rsidR="00DF410E" w:rsidRDefault="00CE7F43">
            <w:pPr>
              <w:jc w:val="center"/>
            </w:pPr>
            <w:r>
              <w:t>au choix de l'entrepreneur :</w:t>
            </w:r>
          </w:p>
          <w:p w14:paraId="08333B6E" w14:textId="77777777" w:rsidR="00DF410E" w:rsidRDefault="00CE7F43">
            <w:pPr>
              <w:jc w:val="center"/>
            </w:pPr>
            <w:r>
              <w:rPr>
                <w:rStyle w:val="optioncarChar"/>
              </w:rPr>
              <w:t xml:space="preserve">S3 / S4 / S5 </w:t>
            </w:r>
          </w:p>
          <w:p w14:paraId="307BA5EE" w14:textId="77777777" w:rsidR="00DF410E" w:rsidRDefault="00CE7F43">
            <w:pPr>
              <w:jc w:val="center"/>
            </w:pPr>
            <w:r>
              <w:rPr>
                <w:rStyle w:val="optioncarChar"/>
              </w:rPr>
              <w:t>F3 / F4 / F5 / F6</w:t>
            </w:r>
            <w:r>
              <w:br/>
            </w:r>
          </w:p>
        </w:tc>
        <w:tc>
          <w:tcPr>
            <w:tcW w:w="1500" w:type="dxa"/>
            <w:noWrap/>
          </w:tcPr>
          <w:p w14:paraId="1299736E" w14:textId="77777777" w:rsidR="00DF410E" w:rsidRDefault="00CE7F43">
            <w:pPr>
              <w:jc w:val="center"/>
            </w:pPr>
            <w:r>
              <w:t>au choix de l'entrepreneur :</w:t>
            </w:r>
          </w:p>
          <w:p w14:paraId="23EDFFE1" w14:textId="77777777" w:rsidR="00DF410E" w:rsidRDefault="00CE7F43">
            <w:pPr>
              <w:jc w:val="center"/>
            </w:pPr>
            <w:r>
              <w:rPr>
                <w:rStyle w:val="optioncarChar"/>
              </w:rPr>
              <w:t>6 / 8 / 10 / 11 / 12 / 14 / 16 / 20 / 22 / 32 </w:t>
            </w:r>
            <w:r>
              <w:t>mm</w:t>
            </w:r>
          </w:p>
        </w:tc>
        <w:tc>
          <w:tcPr>
            <w:tcW w:w="1500" w:type="dxa"/>
            <w:noWrap/>
          </w:tcPr>
          <w:p w14:paraId="7C7E2810" w14:textId="77777777" w:rsidR="00DF410E" w:rsidRDefault="00CE7F43">
            <w:pPr>
              <w:jc w:val="center"/>
            </w:pPr>
            <w:r>
              <w:rPr>
                <w:rStyle w:val="optioncarChar"/>
              </w:rPr>
              <w:t>***</w:t>
            </w:r>
          </w:p>
        </w:tc>
      </w:tr>
    </w:tbl>
    <w:p w14:paraId="703A0569" w14:textId="77777777" w:rsidR="00DF410E" w:rsidRDefault="00DF410E"/>
    <w:p w14:paraId="7CEE707F"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625EB2F1" w14:textId="77777777" w:rsidR="00DF410E" w:rsidRDefault="00CE7F43">
      <w:pPr>
        <w:pStyle w:val="Author-eListParagraph"/>
        <w:numPr>
          <w:ilvl w:val="0"/>
          <w:numId w:val="492"/>
        </w:numPr>
      </w:pPr>
      <w:r>
        <w:t xml:space="preserve">Classe de viscosité apparente : </w:t>
      </w:r>
      <w:r>
        <w:rPr>
          <w:rStyle w:val="optioncarChar"/>
        </w:rPr>
        <w:t>VS1 / VS2</w:t>
      </w:r>
      <w:r>
        <w:t xml:space="preserve"> (selon la [NBN EN 12350-8] )</w:t>
      </w:r>
    </w:p>
    <w:p w14:paraId="6603BCA9" w14:textId="77777777" w:rsidR="00DF410E" w:rsidRDefault="00CE7F43">
      <w:pPr>
        <w:pStyle w:val="Author-eListParagraph"/>
        <w:numPr>
          <w:ilvl w:val="0"/>
          <w:numId w:val="49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38699BED" w14:textId="77777777" w:rsidR="00DF410E" w:rsidRDefault="00CE7F43">
      <w:pPr>
        <w:pStyle w:val="Author-eListParagraph"/>
        <w:numPr>
          <w:ilvl w:val="0"/>
          <w:numId w:val="49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68FA897"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 (voir </w:t>
      </w:r>
      <w:hyperlink w:anchor="231" w:history="1">
        <w:r>
          <w:t>22.51 Armatures pour béton</w:t>
        </w:r>
      </w:hyperlink>
      <w:r>
        <w:t>)</w:t>
      </w:r>
    </w:p>
    <w:p w14:paraId="10438C5D" w14:textId="77777777" w:rsidR="00DF410E" w:rsidRDefault="00CE7F43">
      <w:pPr>
        <w:pStyle w:val="Author-eListParagraph"/>
        <w:numPr>
          <w:ilvl w:val="0"/>
          <w:numId w:val="49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0A6C87A8" w14:textId="77777777" w:rsidR="00DF410E" w:rsidRDefault="00CE7F43">
      <w:pPr>
        <w:pStyle w:val="Author-eListParagraph"/>
        <w:numPr>
          <w:ilvl w:val="0"/>
          <w:numId w:val="493"/>
        </w:numPr>
      </w:pPr>
      <w:r>
        <w:t xml:space="preserve">Acier pour les étriers : acier </w:t>
      </w:r>
      <w:r>
        <w:rPr>
          <w:rStyle w:val="optioncarChar"/>
        </w:rPr>
        <w:t>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009CF088" w14:textId="77777777" w:rsidR="00DF410E" w:rsidRDefault="00CE7F43">
      <w:pPr>
        <w:pStyle w:val="Author-eListParagraph"/>
        <w:numPr>
          <w:ilvl w:val="0"/>
          <w:numId w:val="493"/>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w:t>
      </w:r>
      <w:r>
        <w:rPr>
          <w:rStyle w:val="optioncarChar"/>
        </w:rPr>
        <w:t xml:space="preserve"> / *** x *** x *** x *** </w:t>
      </w:r>
      <w:r>
        <w:t>mm.</w:t>
      </w:r>
    </w:p>
    <w:p w14:paraId="1FC4433C" w14:textId="77777777" w:rsidR="00DF410E" w:rsidRDefault="00CE7F43">
      <w:pPr>
        <w:pStyle w:val="pheading"/>
      </w:pPr>
      <w:r>
        <w:t>- Finitions</w:t>
      </w:r>
    </w:p>
    <w:p w14:paraId="4754269F" w14:textId="77777777" w:rsidR="00DF410E" w:rsidRDefault="00CE7F43">
      <w:r>
        <w:t xml:space="preserve">La surface du béton brute de décoffrage est </w:t>
      </w:r>
      <w:r>
        <w:rPr>
          <w:rStyle w:val="optioncarChar"/>
        </w:rPr>
        <w:t xml:space="preserve">lisse </w:t>
      </w:r>
      <w:r>
        <w:t>(par défaut) </w:t>
      </w:r>
      <w:r>
        <w:rPr>
          <w:rStyle w:val="optioncarChar"/>
        </w:rPr>
        <w:t xml:space="preserve">/ texturée / à relief (ou structurée) / équipée d'un coffrage perdu /*** </w:t>
      </w:r>
    </w:p>
    <w:p w14:paraId="025A6E3B" w14:textId="77777777" w:rsidR="00DF410E" w:rsidRDefault="00CE7F43">
      <w:pPr>
        <w:pStyle w:val="pheading"/>
      </w:pPr>
      <w:r>
        <w:t>- Prescriptions complémentaires</w:t>
      </w:r>
    </w:p>
    <w:p w14:paraId="62437BBD" w14:textId="77777777" w:rsidR="00DF410E" w:rsidRDefault="00CE7F43">
      <w:r>
        <w:t xml:space="preserve">Résistance au feu : pour les éléments porteurs et structurels sans fonction séparant </w:t>
      </w:r>
      <w:r>
        <w:rPr>
          <w:rStyle w:val="optioncarChar"/>
        </w:rPr>
        <w:t>R15 / R30</w:t>
      </w:r>
      <w:r>
        <w:t xml:space="preserve"> (par défaut) </w:t>
      </w:r>
      <w:r>
        <w:rPr>
          <w:rStyle w:val="optioncarChar"/>
        </w:rPr>
        <w:t>/ R60 / R120 / R *** / ***</w:t>
      </w:r>
      <w:r>
        <w:t xml:space="preserve">et pour les éléments porteurs et structurels avec fonction séparant </w:t>
      </w:r>
      <w:r>
        <w:rPr>
          <w:rStyle w:val="optioncarChar"/>
        </w:rPr>
        <w:t>REI 30 </w:t>
      </w:r>
      <w:r>
        <w:t xml:space="preserve">(par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51EEE53E" w14:textId="77777777" w:rsidR="00DF410E" w:rsidRDefault="00CE7F43">
      <w:pPr>
        <w:pStyle w:val="pheading"/>
      </w:pPr>
      <w:r>
        <w:t>EXÉCUTION / MISE EN ŒUVRE</w:t>
      </w:r>
    </w:p>
    <w:p w14:paraId="54DD555D" w14:textId="77777777" w:rsidR="00DF410E" w:rsidRDefault="00CE7F43">
      <w:pPr>
        <w:pStyle w:val="pheading"/>
      </w:pPr>
      <w:r>
        <w:t>- Prescriptions générales</w:t>
      </w:r>
    </w:p>
    <w:p w14:paraId="4A20A275" w14:textId="77777777" w:rsidR="00DF410E" w:rsidRDefault="00CE7F43">
      <w:r>
        <w:t>L 'étude est à charge de</w:t>
      </w:r>
      <w:r>
        <w:rPr>
          <w:rStyle w:val="optioncarChar"/>
        </w:rPr>
        <w:t xml:space="preserve"> l'entrepreneur </w:t>
      </w:r>
      <w:r>
        <w:t>(par défaut) </w:t>
      </w:r>
      <w:r>
        <w:rPr>
          <w:rStyle w:val="optioncarChar"/>
        </w:rPr>
        <w:t>/ du maître de l'ouvrage / du bureau d'étude / *** </w:t>
      </w:r>
      <w:r>
        <w:t>… (</w:t>
      </w:r>
      <w:hyperlink w:anchor="87" w:history="1">
        <w:r>
          <w:t>22 Superstructures en béton</w:t>
        </w:r>
      </w:hyperlink>
      <w:r>
        <w:t>).</w:t>
      </w:r>
      <w:r>
        <w:br/>
        <w:t xml:space="preserve">Les </w:t>
      </w:r>
      <w:r>
        <w:rPr>
          <w:rStyle w:val="optioncarChar"/>
        </w:rPr>
        <w:t>parois / pans / *** </w:t>
      </w:r>
      <w:r>
        <w:t>de toiture sont exécutés dans les épaisseurs indiquées sur les plans.</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w:t>
      </w:r>
      <w:r>
        <w:rPr>
          <w:rStyle w:val="optioncarChar"/>
        </w:rPr>
        <w:t>.</w:t>
      </w:r>
      <w:r>
        <w:br/>
        <w:t>La période de cure est conforme aux exigences de la [NBN EN 13670] et de la [NBN B 15-400] § F8.5.</w:t>
      </w:r>
    </w:p>
    <w:p w14:paraId="61053BE4" w14:textId="77777777" w:rsidR="00DF410E" w:rsidRDefault="00CE7F43">
      <w:pPr>
        <w:pStyle w:val="pheading"/>
      </w:pPr>
      <w:r>
        <w:t>- Notes d’exécution complémentaires</w:t>
      </w:r>
    </w:p>
    <w:p w14:paraId="20D78E6B" w14:textId="77777777" w:rsidR="00DF410E" w:rsidRDefault="00CE7F43">
      <w:r>
        <w:t>Raccords visibles : joint en forme de</w:t>
      </w:r>
      <w:r>
        <w:rPr>
          <w:rStyle w:val="optioncarChar"/>
        </w:rPr>
        <w:t> V </w:t>
      </w:r>
      <w:r>
        <w:t>(par défaut)</w:t>
      </w:r>
      <w:r>
        <w:rPr>
          <w:rStyle w:val="optioncarChar"/>
        </w:rPr>
        <w:t xml:space="preserve"> / ***</w:t>
      </w:r>
      <w:r>
        <w:br/>
        <w:t>Joints de reprise :</w:t>
      </w:r>
      <w:r>
        <w:br/>
        <w:t>Ponts d'humidité / étanchéité à l'eau :</w:t>
      </w:r>
      <w:r>
        <w:br/>
        <w:t>Ponts thermiques / isolation thermique :</w:t>
      </w:r>
      <w:r>
        <w:br/>
        <w:t>Réservations / pénétrations :</w:t>
      </w:r>
      <w:r>
        <w:br/>
        <w:t>Ancrages :</w:t>
      </w:r>
    </w:p>
    <w:p w14:paraId="087F6AA1" w14:textId="77777777" w:rsidR="00DF410E" w:rsidRDefault="00CE7F43">
      <w:pPr>
        <w:pStyle w:val="pheading"/>
      </w:pPr>
      <w:r>
        <w:t>MESURAGE</w:t>
      </w:r>
    </w:p>
    <w:p w14:paraId="1B2A481B" w14:textId="77777777" w:rsidR="00DF410E" w:rsidRDefault="00CE7F43">
      <w:pPr>
        <w:pStyle w:val="pheading"/>
      </w:pPr>
      <w:r>
        <w:t>- unité de mesure:</w:t>
      </w:r>
    </w:p>
    <w:p w14:paraId="401CEE54" w14:textId="77777777" w:rsidR="00DF410E" w:rsidRDefault="00CE7F43">
      <w:r>
        <w:t>m³ pour le béton.</w:t>
      </w:r>
      <w:r>
        <w:br/>
        <w:t>kg pour les armatures.</w:t>
      </w:r>
      <w:r>
        <w:br/>
        <w:t>PM, coffrages</w:t>
      </w:r>
    </w:p>
    <w:p w14:paraId="30EFE109" w14:textId="77777777" w:rsidR="00DF410E" w:rsidRDefault="00CE7F43">
      <w:pPr>
        <w:pStyle w:val="pheading"/>
      </w:pPr>
      <w:r>
        <w:t>- code de mesurage:</w:t>
      </w:r>
    </w:p>
    <w:p w14:paraId="7D98EBE9" w14:textId="77777777" w:rsidR="00DF410E" w:rsidRDefault="00CE7F43">
      <w:r>
        <w:t>Mesurage du volume à couler selon la [NBN B 06-001]</w:t>
      </w:r>
      <w:r>
        <w:br/>
        <w:t>Mesurage des quantités selon la [NBN B 06-001]</w:t>
      </w:r>
    </w:p>
    <w:p w14:paraId="6E9F3B15" w14:textId="77777777" w:rsidR="00DF410E" w:rsidRDefault="00CE7F43">
      <w:pPr>
        <w:pStyle w:val="pheading"/>
      </w:pPr>
      <w:r>
        <w:t>- nature du marché:</w:t>
      </w:r>
    </w:p>
    <w:p w14:paraId="6DAA9521" w14:textId="77777777" w:rsidR="00DF410E" w:rsidRDefault="00CE7F43">
      <w:r>
        <w:rPr>
          <w:rStyle w:val="optioncarChar"/>
        </w:rPr>
        <w:t>QF</w:t>
      </w:r>
      <w:r>
        <w:t xml:space="preserve"> (par défaut)</w:t>
      </w:r>
      <w:r>
        <w:rPr>
          <w:rStyle w:val="optioncarChar"/>
        </w:rPr>
        <w:t xml:space="preserve"> / QP / PM</w:t>
      </w:r>
    </w:p>
    <w:p w14:paraId="4428009C" w14:textId="77777777" w:rsidR="00DF410E" w:rsidRDefault="00CE7F43">
      <w:pPr>
        <w:pStyle w:val="pheading"/>
      </w:pPr>
      <w:r>
        <w:t>AIDE</w:t>
      </w:r>
    </w:p>
    <w:p w14:paraId="4DAC309F" w14:textId="77777777" w:rsidR="00DF410E" w:rsidRDefault="00CE7F43">
      <w:r>
        <w:t xml:space="preserve">- Les travaux d’étaiement et les reprises en sous-œuvre / … au niveau de l'infrastructure sont décrits dans le chapitre </w:t>
      </w:r>
      <w:hyperlink r:id="rId72" w:history="1" w:docLocation="199">
        <w:r>
          <w:t>14 Travaux d'étaiement, de soutènement et reprise en sous-œuvre</w:t>
        </w:r>
      </w:hyperlink>
      <w:r>
        <w:t>.</w:t>
      </w:r>
    </w:p>
    <w:p w14:paraId="61D21655" w14:textId="77777777" w:rsidR="00DF410E" w:rsidRDefault="00CE7F43">
      <w:pPr>
        <w:pStyle w:val="Author-eSectionHeading6"/>
      </w:pPr>
      <w:bookmarkStart w:id="742" w:name="_Toc178837905"/>
      <w:r>
        <w:t>22.16.1b Parois en béton de fibres d'acier coulé en place CCTB 01.11</w:t>
      </w:r>
      <w:bookmarkEnd w:id="742"/>
    </w:p>
    <w:p w14:paraId="53AF9B29" w14:textId="77777777" w:rsidR="00DF410E" w:rsidRDefault="00CE7F43">
      <w:pPr>
        <w:pStyle w:val="pheading"/>
      </w:pPr>
      <w:r>
        <w:t>DESCRIPTION</w:t>
      </w:r>
    </w:p>
    <w:p w14:paraId="12E05D66" w14:textId="77777777" w:rsidR="00DF410E" w:rsidRDefault="00CE7F43">
      <w:pPr>
        <w:pStyle w:val="pheading"/>
      </w:pPr>
      <w:r>
        <w:t>- Définition / Comprend</w:t>
      </w:r>
    </w:p>
    <w:p w14:paraId="446BBBF1" w14:textId="77777777" w:rsidR="00DF410E" w:rsidRDefault="00CE7F43">
      <w:r>
        <w:t xml:space="preserve">Il s'agit de toutes les surfaces en élévation </w:t>
      </w:r>
      <w:r>
        <w:rPr>
          <w:rStyle w:val="optioncarChar"/>
        </w:rPr>
        <w:t>faces de parois / pans de toiture inclinées / ***</w:t>
      </w:r>
      <w:r>
        <w:t xml:space="preserve"> exécutées en béton de fibres coulé en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7415D4A1" w14:textId="77777777" w:rsidR="00DF410E" w:rsidRDefault="00CE7F43">
      <w:pPr>
        <w:pStyle w:val="pheading"/>
      </w:pPr>
      <w:r>
        <w:t>MATÉRIAUX</w:t>
      </w:r>
    </w:p>
    <w:p w14:paraId="048B1AA7" w14:textId="77777777" w:rsidR="00DF410E" w:rsidRDefault="00CE7F43">
      <w:pPr>
        <w:pStyle w:val="pheading"/>
      </w:pPr>
      <w:r>
        <w:t>- Caractéristiques générales</w:t>
      </w:r>
    </w:p>
    <w:p w14:paraId="678A3D60" w14:textId="77777777" w:rsidR="00DF410E" w:rsidRDefault="00CE7F43">
      <w:r>
        <w:rPr>
          <w:u w:val="single"/>
        </w:rPr>
        <w:t>Béton</w:t>
      </w:r>
    </w:p>
    <w:p w14:paraId="3D617B5E" w14:textId="77777777" w:rsidR="00DF410E" w:rsidRDefault="00CE7F43">
      <w:r>
        <w:t xml:space="preserve">Qualité du béton selon la [NBN EN 206:2013+A2] et la [NBN B 15-001] (voir </w:t>
      </w:r>
      <w:hyperlink w:anchor="87"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F410E" w14:paraId="58833531" w14:textId="77777777">
        <w:tc>
          <w:tcPr>
            <w:tcW w:w="1500" w:type="dxa"/>
            <w:noWrap/>
          </w:tcPr>
          <w:p w14:paraId="5FC6A9C7" w14:textId="77777777" w:rsidR="00DF410E" w:rsidRDefault="00CE7F43">
            <w:pPr>
              <w:jc w:val="center"/>
            </w:pPr>
            <w:r>
              <w:rPr>
                <w:b/>
              </w:rPr>
              <w:t>A</w:t>
            </w:r>
          </w:p>
        </w:tc>
        <w:tc>
          <w:tcPr>
            <w:tcW w:w="1500" w:type="dxa"/>
            <w:noWrap/>
          </w:tcPr>
          <w:p w14:paraId="636C0EF5" w14:textId="77777777" w:rsidR="00DF410E" w:rsidRDefault="00CE7F43">
            <w:pPr>
              <w:jc w:val="center"/>
            </w:pPr>
            <w:r>
              <w:rPr>
                <w:b/>
              </w:rPr>
              <w:t>B1</w:t>
            </w:r>
          </w:p>
        </w:tc>
        <w:tc>
          <w:tcPr>
            <w:tcW w:w="1500" w:type="dxa"/>
            <w:noWrap/>
          </w:tcPr>
          <w:p w14:paraId="4386BAC6" w14:textId="77777777" w:rsidR="00DF410E" w:rsidRDefault="00CE7F43">
            <w:pPr>
              <w:jc w:val="center"/>
            </w:pPr>
            <w:r>
              <w:rPr>
                <w:b/>
              </w:rPr>
              <w:t>B2</w:t>
            </w:r>
          </w:p>
        </w:tc>
        <w:tc>
          <w:tcPr>
            <w:tcW w:w="1500" w:type="dxa"/>
            <w:noWrap/>
          </w:tcPr>
          <w:p w14:paraId="22B81BBE" w14:textId="77777777" w:rsidR="00DF410E" w:rsidRDefault="00CE7F43">
            <w:pPr>
              <w:jc w:val="center"/>
            </w:pPr>
            <w:r>
              <w:rPr>
                <w:b/>
              </w:rPr>
              <w:t>C</w:t>
            </w:r>
          </w:p>
        </w:tc>
        <w:tc>
          <w:tcPr>
            <w:tcW w:w="1500" w:type="dxa"/>
            <w:noWrap/>
          </w:tcPr>
          <w:p w14:paraId="0C0D0B63" w14:textId="77777777" w:rsidR="00DF410E" w:rsidRDefault="00CE7F43">
            <w:pPr>
              <w:jc w:val="center"/>
            </w:pPr>
            <w:r>
              <w:rPr>
                <w:b/>
              </w:rPr>
              <w:t>D</w:t>
            </w:r>
          </w:p>
        </w:tc>
        <w:tc>
          <w:tcPr>
            <w:tcW w:w="1500" w:type="dxa"/>
            <w:noWrap/>
          </w:tcPr>
          <w:p w14:paraId="6B7A93C1" w14:textId="77777777" w:rsidR="00DF410E" w:rsidRDefault="00CE7F43">
            <w:pPr>
              <w:jc w:val="center"/>
            </w:pPr>
            <w:r>
              <w:rPr>
                <w:b/>
              </w:rPr>
              <w:t>E</w:t>
            </w:r>
          </w:p>
        </w:tc>
      </w:tr>
      <w:tr w:rsidR="00DF410E" w14:paraId="616616FC" w14:textId="77777777">
        <w:tc>
          <w:tcPr>
            <w:tcW w:w="1500" w:type="dxa"/>
            <w:noWrap/>
          </w:tcPr>
          <w:p w14:paraId="3C9C9029" w14:textId="77777777" w:rsidR="00DF410E" w:rsidRDefault="00CE7F43">
            <w:pPr>
              <w:jc w:val="center"/>
            </w:pPr>
            <w:r>
              <w:rPr>
                <w:b/>
              </w:rPr>
              <w:t>Classe de résistance</w:t>
            </w:r>
          </w:p>
        </w:tc>
        <w:tc>
          <w:tcPr>
            <w:tcW w:w="1500" w:type="dxa"/>
            <w:noWrap/>
          </w:tcPr>
          <w:p w14:paraId="5D535C4B" w14:textId="77777777" w:rsidR="00DF410E" w:rsidRDefault="00CE7F43">
            <w:pPr>
              <w:jc w:val="center"/>
            </w:pPr>
            <w:r>
              <w:rPr>
                <w:b/>
              </w:rPr>
              <w:t>Domaine d’application</w:t>
            </w:r>
          </w:p>
        </w:tc>
        <w:tc>
          <w:tcPr>
            <w:tcW w:w="1500" w:type="dxa"/>
            <w:noWrap/>
          </w:tcPr>
          <w:p w14:paraId="62089C8F" w14:textId="77777777" w:rsidR="00DF410E" w:rsidRDefault="00CE7F43">
            <w:pPr>
              <w:jc w:val="center"/>
            </w:pPr>
            <w:r>
              <w:rPr>
                <w:b/>
              </w:rPr>
              <w:t>Classe d'environnement</w:t>
            </w:r>
          </w:p>
        </w:tc>
        <w:tc>
          <w:tcPr>
            <w:tcW w:w="1500" w:type="dxa"/>
            <w:noWrap/>
          </w:tcPr>
          <w:p w14:paraId="7F6B08B1" w14:textId="77777777" w:rsidR="00DF410E" w:rsidRDefault="00CE7F43">
            <w:pPr>
              <w:jc w:val="center"/>
            </w:pPr>
            <w:r>
              <w:rPr>
                <w:b/>
              </w:rPr>
              <w:t>Classe de consistance</w:t>
            </w:r>
          </w:p>
        </w:tc>
        <w:tc>
          <w:tcPr>
            <w:tcW w:w="1500" w:type="dxa"/>
            <w:noWrap/>
          </w:tcPr>
          <w:p w14:paraId="483959F9" w14:textId="77777777" w:rsidR="00DF410E" w:rsidRDefault="00CE7F43">
            <w:pPr>
              <w:jc w:val="center"/>
            </w:pPr>
            <w:r>
              <w:rPr>
                <w:b/>
              </w:rPr>
              <w:t>Granulométrie maximale</w:t>
            </w:r>
          </w:p>
        </w:tc>
        <w:tc>
          <w:tcPr>
            <w:tcW w:w="1500" w:type="dxa"/>
            <w:noWrap/>
          </w:tcPr>
          <w:p w14:paraId="5B3D800B" w14:textId="77777777" w:rsidR="00DF410E" w:rsidRDefault="00CE7F43">
            <w:r>
              <w:rPr>
                <w:b/>
              </w:rPr>
              <w:t>Données complémentaires</w:t>
            </w:r>
          </w:p>
        </w:tc>
      </w:tr>
      <w:tr w:rsidR="00DF410E" w14:paraId="0374CD53" w14:textId="77777777">
        <w:tc>
          <w:tcPr>
            <w:tcW w:w="1500" w:type="dxa"/>
            <w:noWrap/>
          </w:tcPr>
          <w:p w14:paraId="248CBE74" w14:textId="77777777" w:rsidR="00DF410E" w:rsidRDefault="00CE7F43">
            <w:pPr>
              <w:jc w:val="center"/>
            </w:pPr>
            <w:r>
              <w:rPr>
                <w:rStyle w:val="optioncarChar"/>
              </w:rPr>
              <w:t>C25/30 / C30/37 / C35/45 / C45/55 / C50/60 / C55/67 / C60/75 / C70/85 / C80/95 / C90/105</w:t>
            </w:r>
          </w:p>
        </w:tc>
        <w:tc>
          <w:tcPr>
            <w:tcW w:w="1500" w:type="dxa"/>
            <w:noWrap/>
          </w:tcPr>
          <w:p w14:paraId="46733A1D" w14:textId="77777777" w:rsidR="00DF410E" w:rsidRDefault="00CE7F43">
            <w:pPr>
              <w:jc w:val="center"/>
            </w:pPr>
            <w:r>
              <w:t>Béton armé</w:t>
            </w:r>
          </w:p>
          <w:p w14:paraId="4D89396F" w14:textId="77777777" w:rsidR="00DF410E" w:rsidRDefault="00DF410E"/>
        </w:tc>
        <w:tc>
          <w:tcPr>
            <w:tcW w:w="1500" w:type="dxa"/>
            <w:noWrap/>
          </w:tcPr>
          <w:p w14:paraId="246D3B6E" w14:textId="77777777" w:rsidR="00DF410E" w:rsidRDefault="00CE7F43">
            <w:pPr>
              <w:jc w:val="center"/>
            </w:pPr>
            <w:r>
              <w:rPr>
                <w:rStyle w:val="optioncarChar"/>
              </w:rPr>
              <w:t>E0 / EI / EE1 / EE2 / EE3 / EE4 / ES1 / ES2 / ES3 / ES4 / EA1+*** / EA2+***/ EA3+***</w:t>
            </w:r>
          </w:p>
        </w:tc>
        <w:tc>
          <w:tcPr>
            <w:tcW w:w="1500" w:type="dxa"/>
            <w:noWrap/>
          </w:tcPr>
          <w:p w14:paraId="0D8DB837" w14:textId="77777777" w:rsidR="00DF410E" w:rsidRDefault="00CE7F43">
            <w:pPr>
              <w:jc w:val="center"/>
            </w:pPr>
            <w:r>
              <w:t>au choix de l'entrepreneur :</w:t>
            </w:r>
          </w:p>
          <w:p w14:paraId="10E0D3E0" w14:textId="77777777" w:rsidR="00DF410E" w:rsidRDefault="00CE7F43">
            <w:pPr>
              <w:jc w:val="center"/>
            </w:pPr>
            <w:r>
              <w:rPr>
                <w:rStyle w:val="optioncarChar"/>
              </w:rPr>
              <w:t xml:space="preserve">S3 / S4 / S5 </w:t>
            </w:r>
          </w:p>
          <w:p w14:paraId="1C2CED34" w14:textId="77777777" w:rsidR="00DF410E" w:rsidRDefault="00CE7F43">
            <w:pPr>
              <w:jc w:val="center"/>
            </w:pPr>
            <w:r>
              <w:rPr>
                <w:rStyle w:val="optioncarChar"/>
              </w:rPr>
              <w:t>F3 / F4 / F5 / F6</w:t>
            </w:r>
            <w:r>
              <w:br/>
            </w:r>
          </w:p>
        </w:tc>
        <w:tc>
          <w:tcPr>
            <w:tcW w:w="1500" w:type="dxa"/>
            <w:noWrap/>
          </w:tcPr>
          <w:p w14:paraId="0294998B" w14:textId="77777777" w:rsidR="00DF410E" w:rsidRDefault="00CE7F43">
            <w:pPr>
              <w:jc w:val="center"/>
            </w:pPr>
            <w:r>
              <w:t>au choix de l'entrepreneur :</w:t>
            </w:r>
          </w:p>
          <w:p w14:paraId="19D31F13" w14:textId="77777777" w:rsidR="00DF410E" w:rsidRDefault="00CE7F43">
            <w:pPr>
              <w:jc w:val="center"/>
            </w:pPr>
            <w:r>
              <w:rPr>
                <w:rStyle w:val="optioncarChar"/>
              </w:rPr>
              <w:t>6 / 8 / 10 / 11 / 12 / 14 / 16 / 20 / 22 / 32 </w:t>
            </w:r>
            <w:r>
              <w:t>mm</w:t>
            </w:r>
          </w:p>
        </w:tc>
        <w:tc>
          <w:tcPr>
            <w:tcW w:w="1500" w:type="dxa"/>
            <w:noWrap/>
          </w:tcPr>
          <w:p w14:paraId="535BCA82" w14:textId="77777777" w:rsidR="00DF410E" w:rsidRDefault="00CE7F43">
            <w:pPr>
              <w:jc w:val="center"/>
            </w:pPr>
            <w:r>
              <w:rPr>
                <w:rStyle w:val="optioncarChar"/>
              </w:rPr>
              <w:t>***</w:t>
            </w:r>
          </w:p>
        </w:tc>
      </w:tr>
    </w:tbl>
    <w:p w14:paraId="32F59270"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11FFAFC0" w14:textId="77777777" w:rsidR="00DF410E" w:rsidRDefault="00CE7F43">
      <w:pPr>
        <w:ind w:left="567"/>
      </w:pPr>
      <w:r>
        <w:t>Données complémentaires propres au béton autoplaçant (E) :</w:t>
      </w:r>
    </w:p>
    <w:p w14:paraId="19062328" w14:textId="77777777" w:rsidR="00DF410E" w:rsidRDefault="00CE7F43">
      <w:pPr>
        <w:pStyle w:val="Author-eListParagraph"/>
        <w:numPr>
          <w:ilvl w:val="0"/>
          <w:numId w:val="494"/>
        </w:numPr>
      </w:pPr>
      <w:r>
        <w:t xml:space="preserve">Classe de viscosité apparente : </w:t>
      </w:r>
      <w:r>
        <w:rPr>
          <w:rStyle w:val="optioncarChar"/>
        </w:rPr>
        <w:t>VS1 / VS2</w:t>
      </w:r>
      <w:r>
        <w:t xml:space="preserve"> (selon la [NBN EN 12350-8] )</w:t>
      </w:r>
    </w:p>
    <w:p w14:paraId="1B7F772C" w14:textId="77777777" w:rsidR="00DF410E" w:rsidRDefault="00CE7F43">
      <w:pPr>
        <w:pStyle w:val="Author-eListParagraph"/>
        <w:numPr>
          <w:ilvl w:val="0"/>
          <w:numId w:val="49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40B8AF6" w14:textId="77777777" w:rsidR="00DF410E" w:rsidRDefault="00CE7F43">
      <w:pPr>
        <w:pStyle w:val="Author-eListParagraph"/>
        <w:numPr>
          <w:ilvl w:val="0"/>
          <w:numId w:val="49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9DEA6C7" w14:textId="77777777" w:rsidR="00DF410E" w:rsidRDefault="00CE7F43">
      <w:r>
        <w:rPr>
          <w:u w:val="single"/>
        </w:rPr>
        <w:t>Armatures</w:t>
      </w:r>
    </w:p>
    <w:p w14:paraId="7DB10EF5" w14:textId="77777777" w:rsidR="00DF410E" w:rsidRDefault="00CE7F43">
      <w:pPr>
        <w:pStyle w:val="Author-eListParagraph"/>
        <w:numPr>
          <w:ilvl w:val="0"/>
          <w:numId w:val="495"/>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0C97D813" w14:textId="77777777" w:rsidR="00DF410E" w:rsidRDefault="00CE7F43">
      <w:pPr>
        <w:pStyle w:val="Author-eListParagraph"/>
        <w:numPr>
          <w:ilvl w:val="0"/>
          <w:numId w:val="495"/>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849092D" w14:textId="77777777" w:rsidR="00DF410E" w:rsidRDefault="00CE7F43">
      <w:pPr>
        <w:pStyle w:val="Author-eListParagraph"/>
        <w:numPr>
          <w:ilvl w:val="0"/>
          <w:numId w:val="495"/>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150 x 150 x 6 x 6 </w:t>
      </w:r>
      <w:r>
        <w:t>(par défaut) </w:t>
      </w:r>
      <w:r>
        <w:rPr>
          <w:rStyle w:val="optioncarChar"/>
        </w:rPr>
        <w:t>/ *** x *** x *** x ***</w:t>
      </w:r>
      <w:r>
        <w:t xml:space="preserve"> mm.</w:t>
      </w:r>
    </w:p>
    <w:p w14:paraId="64F1C6A2" w14:textId="77777777" w:rsidR="00DF410E" w:rsidRDefault="00CE7F43">
      <w:pPr>
        <w:pStyle w:val="pheading"/>
      </w:pPr>
      <w:r>
        <w:t>- Finitions</w:t>
      </w:r>
    </w:p>
    <w:p w14:paraId="2A5E130A" w14:textId="77777777" w:rsidR="00DF410E" w:rsidRDefault="00CE7F43">
      <w:r>
        <w:t>La surface du béton brute de décoffrage est</w:t>
      </w:r>
      <w:r>
        <w:rPr>
          <w:rStyle w:val="optioncarChar"/>
        </w:rPr>
        <w:t xml:space="preserve"> lisse </w:t>
      </w:r>
      <w:r>
        <w:t>(par défaut)</w:t>
      </w:r>
      <w:r>
        <w:rPr>
          <w:rStyle w:val="optioncarChar"/>
        </w:rPr>
        <w:t xml:space="preserve"> / texturée / à relief (ou structurée)  / ***</w:t>
      </w:r>
    </w:p>
    <w:p w14:paraId="760D2678" w14:textId="77777777" w:rsidR="00DF410E" w:rsidRDefault="00CE7F43">
      <w:pPr>
        <w:pStyle w:val="pheading"/>
      </w:pPr>
      <w:r>
        <w:t>- Prescriptions complémentaires</w:t>
      </w:r>
    </w:p>
    <w:p w14:paraId="7189C081" w14:textId="77777777" w:rsidR="00DF410E" w:rsidRDefault="00CE7F43">
      <w:r>
        <w:t xml:space="preserve">Résistance au feu : pour les éléments porteurs et structuraux sans fonction séparant </w:t>
      </w:r>
      <w:r>
        <w:rPr>
          <w:rStyle w:val="optioncarChar"/>
        </w:rPr>
        <w:t>R15 / R30</w:t>
      </w:r>
      <w:r>
        <w:t> (par défaut)</w:t>
      </w:r>
      <w:r>
        <w:rPr>
          <w:rStyle w:val="optioncarChar"/>
        </w:rPr>
        <w:t xml:space="preserve"> / R60 / R120 / R *** / *** </w:t>
      </w:r>
      <w:r>
        <w:t xml:space="preserve">et pour les éléments porteurs et structuraux avec fonction séparant </w:t>
      </w:r>
      <w:r>
        <w:rPr>
          <w:rStyle w:val="optioncarChar"/>
        </w:rPr>
        <w:t>REI 30</w:t>
      </w:r>
      <w:r>
        <w:t xml:space="preserve"> (par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4CAAF8E4" w14:textId="77777777" w:rsidR="00DF410E" w:rsidRDefault="00CE7F43">
      <w:pPr>
        <w:pStyle w:val="pheading"/>
      </w:pPr>
      <w:r>
        <w:t>EXÉCUTION / MISE EN ŒUVRE</w:t>
      </w:r>
    </w:p>
    <w:p w14:paraId="561B2F8C" w14:textId="77777777" w:rsidR="00DF410E" w:rsidRDefault="00CE7F43">
      <w:pPr>
        <w:pStyle w:val="pheading"/>
      </w:pPr>
      <w:r>
        <w:t>- Prescriptions générales</w:t>
      </w:r>
    </w:p>
    <w:p w14:paraId="6BFBFD33" w14:textId="77777777" w:rsidR="00DF410E" w:rsidRDefault="00CE7F43">
      <w:r>
        <w:t>L 'étude est à charge de</w:t>
      </w:r>
      <w:r>
        <w:rPr>
          <w:rStyle w:val="optioncarChar"/>
        </w:rPr>
        <w:t xml:space="preserve"> l'entrepreneur </w:t>
      </w:r>
      <w:r>
        <w:t>(par défaut)</w:t>
      </w:r>
      <w:r>
        <w:rPr>
          <w:rStyle w:val="optioncarChar"/>
        </w:rPr>
        <w:t xml:space="preserve">/ du maître de l'ouvrage / du bureau d'étude </w:t>
      </w:r>
      <w:r>
        <w:t>… (</w:t>
      </w:r>
      <w:hyperlink w:anchor="87" w:history="1">
        <w:r>
          <w:t>22 Superstructures en béton</w:t>
        </w:r>
      </w:hyperlink>
      <w:r>
        <w:t>).</w:t>
      </w:r>
      <w:r>
        <w:br/>
        <w:t xml:space="preserve">Les </w:t>
      </w:r>
      <w:r>
        <w:rPr>
          <w:rStyle w:val="optioncarChar"/>
        </w:rPr>
        <w:t>parois / pans de toiture / ***</w:t>
      </w:r>
      <w:r>
        <w:t xml:space="preserve"> sont exécutés dans les épaisseurs indiquées sur les plans.</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 xml:space="preserve"> 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 .</w:t>
      </w:r>
      <w:r>
        <w:br/>
        <w:t>La période de cure est conforme aux exigences de la [NBN EN 13670] et de la [NBN B 15-400] § F8.5.</w:t>
      </w:r>
    </w:p>
    <w:p w14:paraId="3D2D8A95" w14:textId="77777777" w:rsidR="00DF410E" w:rsidRDefault="00CE7F43">
      <w:pPr>
        <w:pStyle w:val="pheading"/>
      </w:pPr>
      <w:r>
        <w:t>- Notes d’exécution complémentaires</w:t>
      </w:r>
    </w:p>
    <w:p w14:paraId="172A561D" w14:textId="77777777" w:rsidR="00DF410E" w:rsidRDefault="00CE7F43">
      <w:r>
        <w:t>Raccords visibles : joint en forme de</w:t>
      </w:r>
      <w:r>
        <w:rPr>
          <w:rStyle w:val="optioncarChar"/>
        </w:rPr>
        <w:t xml:space="preserve"> V </w:t>
      </w:r>
      <w:r>
        <w:t>(par défaut) </w:t>
      </w:r>
      <w:r>
        <w:rPr>
          <w:rStyle w:val="optioncarChar"/>
        </w:rPr>
        <w:t>/ ***</w:t>
      </w:r>
      <w:r>
        <w:t xml:space="preserve"> .</w:t>
      </w:r>
      <w:r>
        <w:br/>
        <w:t>Joints de reprise :</w:t>
      </w:r>
      <w:r>
        <w:br/>
        <w:t>Ponts d'humidité / étanchéité à l'eau :</w:t>
      </w:r>
      <w:r>
        <w:br/>
        <w:t>Ponts thermiques / isolation thermique :</w:t>
      </w:r>
      <w:r>
        <w:br/>
        <w:t>Réservations / pénétrations :</w:t>
      </w:r>
      <w:r>
        <w:br/>
        <w:t>Ancrages :</w:t>
      </w:r>
    </w:p>
    <w:p w14:paraId="4E366429" w14:textId="77777777" w:rsidR="00DF410E" w:rsidRDefault="00CE7F43">
      <w:pPr>
        <w:pStyle w:val="pheading"/>
      </w:pPr>
      <w:r>
        <w:t>DOCUMENTS DE RÉFÉRENCE COMPLÉMENTAIRES</w:t>
      </w:r>
    </w:p>
    <w:p w14:paraId="17AD59A1" w14:textId="77777777" w:rsidR="00DF410E" w:rsidRDefault="00CE7F43">
      <w:pPr>
        <w:pStyle w:val="pheading"/>
      </w:pPr>
      <w:r>
        <w:t>- Matériau</w:t>
      </w:r>
    </w:p>
    <w:p w14:paraId="70543C11" w14:textId="77777777" w:rsidR="00DF410E" w:rsidRDefault="00CE7F43">
      <w:r>
        <w:t>[NBN A 24-302, Produits sidérurgiques - Aciers pour béton armé - Barres lisses et barres à nervures - Fils machine lisses et fils machine à nervures]</w:t>
      </w:r>
    </w:p>
    <w:p w14:paraId="6A915C6C" w14:textId="77777777" w:rsidR="00DF410E" w:rsidRDefault="00CE7F43">
      <w:r>
        <w:t>[NBN A 24-303, Produits sidérurgiques - Aciers pour béton armé - Fils écrouis à froid lisses et fils écrouis à froid à nervures]</w:t>
      </w:r>
    </w:p>
    <w:p w14:paraId="65938C00" w14:textId="77777777" w:rsidR="00DF410E" w:rsidRDefault="00CE7F43">
      <w:r>
        <w:t>[NBN EN 14889-1, Fibres pour béton - Partie 1 : Fibres d'acier - Définitions, spécifications et conformité]</w:t>
      </w:r>
    </w:p>
    <w:p w14:paraId="686EC400" w14:textId="77777777" w:rsidR="00DF410E" w:rsidRDefault="00CE7F43">
      <w:pPr>
        <w:pStyle w:val="pheading"/>
      </w:pPr>
      <w:r>
        <w:t>MESURAGE</w:t>
      </w:r>
    </w:p>
    <w:p w14:paraId="7C621255" w14:textId="77777777" w:rsidR="00DF410E" w:rsidRDefault="00CE7F43">
      <w:r>
        <w:t xml:space="preserve">Quantités de fibres : </w:t>
      </w:r>
      <w:r>
        <w:rPr>
          <w:rStyle w:val="optioncarChar"/>
        </w:rPr>
        <w:t>***</w:t>
      </w:r>
      <w:r>
        <w:t xml:space="preserve"> kg/m</w:t>
      </w:r>
      <w:r>
        <w:rPr>
          <w:vertAlign w:val="superscript"/>
        </w:rPr>
        <w:t>3</w:t>
      </w:r>
      <w:r>
        <w:t xml:space="preserve"> de béton.</w:t>
      </w:r>
      <w:r>
        <w:br/>
        <w:t xml:space="preserve">Armatures </w:t>
      </w:r>
      <w:r>
        <w:rPr>
          <w:rStyle w:val="optioncarChar"/>
        </w:rPr>
        <w:t>comprises dans le prix unitaire du béton</w:t>
      </w:r>
      <w:r>
        <w:t xml:space="preserve"> (par défaut) / </w:t>
      </w:r>
      <w:r>
        <w:rPr>
          <w:rStyle w:val="optioncarChar"/>
        </w:rPr>
        <w:t>métrées séparément dans les articles Armatures</w:t>
      </w:r>
      <w:r>
        <w:br/>
      </w:r>
      <w:r>
        <w:rPr>
          <w:b/>
        </w:rPr>
        <w:t>(Soit par défaut)</w:t>
      </w:r>
      <w:r>
        <w:br/>
      </w:r>
      <w:r>
        <w:rPr>
          <w:color w:val="33CCCC"/>
        </w:rPr>
        <w:t>1. </w:t>
      </w:r>
      <w:r>
        <w:rPr>
          <w:rStyle w:val="soitChar"/>
          <w:u w:val="single"/>
        </w:rPr>
        <w:t xml:space="preserve">comprises dans le prix unitaire du béton </w:t>
      </w:r>
      <w:r>
        <w:rPr>
          <w:rStyle w:val="soitChar"/>
        </w:rPr>
        <w:t xml:space="preserve"> : Q</w:t>
      </w:r>
      <w:r>
        <w:rPr>
          <w:color w:val="33CCCC"/>
        </w:rPr>
        <w:t>uantités d'armatures précisées dans le métré de cet article (kg/m</w:t>
      </w:r>
      <w:r>
        <w:rPr>
          <w:vertAlign w:val="superscript"/>
        </w:rPr>
        <w:t xml:space="preserve">3 </w:t>
      </w:r>
      <w:r>
        <w:rPr>
          <w:color w:val="33CCCC"/>
        </w:rPr>
        <w:t>de béton)</w:t>
      </w:r>
      <w:r>
        <w:br/>
      </w:r>
      <w:r>
        <w:rPr>
          <w:b/>
        </w:rPr>
        <w:t>(soit)</w:t>
      </w:r>
      <w:r>
        <w:br/>
      </w:r>
      <w:r>
        <w:rPr>
          <w:color w:val="33CCCC"/>
        </w:rPr>
        <w:t xml:space="preserve">2. </w:t>
      </w:r>
      <w:r>
        <w:rPr>
          <w:rStyle w:val="soitChar"/>
          <w:u w:val="single"/>
        </w:rPr>
        <w:t xml:space="preserve"> métrées séparément dans les articles Armatures </w:t>
      </w:r>
      <w:r>
        <w:rPr>
          <w:color w:val="33CCCC"/>
        </w:rPr>
        <w:t xml:space="preserve"> : voir </w:t>
      </w:r>
      <w:hyperlink w:anchor="231" w:history="1">
        <w:r>
          <w:t>22.51 Armatures pour béton</w:t>
        </w:r>
      </w:hyperlink>
    </w:p>
    <w:p w14:paraId="59663B04" w14:textId="77777777" w:rsidR="00DF410E" w:rsidRDefault="00CE7F43">
      <w:pPr>
        <w:pStyle w:val="pheading"/>
      </w:pPr>
      <w:r>
        <w:t>- unité de mesure:</w:t>
      </w:r>
    </w:p>
    <w:p w14:paraId="41F2F746" w14:textId="77777777" w:rsidR="00DF410E" w:rsidRDefault="00CE7F43">
      <w:r>
        <w:t>m³ pour le béton.</w:t>
      </w:r>
      <w:r>
        <w:br/>
        <w:t>kg pour les armatures.</w:t>
      </w:r>
      <w:r>
        <w:br/>
        <w:t>PM, coffrages</w:t>
      </w:r>
    </w:p>
    <w:p w14:paraId="210504B5" w14:textId="77777777" w:rsidR="00DF410E" w:rsidRDefault="00CE7F43">
      <w:pPr>
        <w:pStyle w:val="pheading"/>
      </w:pPr>
      <w:r>
        <w:t>- code de mesurage:</w:t>
      </w:r>
    </w:p>
    <w:p w14:paraId="58926A25" w14:textId="77777777" w:rsidR="00DF410E" w:rsidRDefault="00CE7F43">
      <w:r>
        <w:t>Mesurage du volume à couler selon la [NBN B 06-001]</w:t>
      </w:r>
      <w:r>
        <w:br/>
        <w:t>Mesurage des quantités selon la [NBN B 06-001]</w:t>
      </w:r>
    </w:p>
    <w:p w14:paraId="03FEF7D8" w14:textId="77777777" w:rsidR="00DF410E" w:rsidRDefault="00CE7F43">
      <w:pPr>
        <w:pStyle w:val="pheading"/>
      </w:pPr>
      <w:r>
        <w:t>- nature du marché:</w:t>
      </w:r>
    </w:p>
    <w:p w14:paraId="6776CA3F" w14:textId="77777777" w:rsidR="00DF410E" w:rsidRDefault="00CE7F43">
      <w:r>
        <w:t>QF</w:t>
      </w:r>
    </w:p>
    <w:p w14:paraId="5339B63E" w14:textId="77777777" w:rsidR="00DF410E" w:rsidRDefault="00CE7F43">
      <w:pPr>
        <w:pStyle w:val="pheading"/>
      </w:pPr>
      <w:r>
        <w:t>AIDE</w:t>
      </w:r>
    </w:p>
    <w:p w14:paraId="68113CD1" w14:textId="77777777" w:rsidR="00DF410E" w:rsidRDefault="00CE7F43">
      <w:r>
        <w:t xml:space="preserve">Les travaux d’étaiement et les reprises en sous-œuvre / … au niveau de l'infrastructure sont décrits dans le chapitre </w:t>
      </w:r>
      <w:hyperlink r:id="rId73" w:history="1" w:docLocation="199">
        <w:r>
          <w:t>14 Travaux d'étaiement, de soutènement et reprise en sous-œuvre</w:t>
        </w:r>
      </w:hyperlink>
      <w:r>
        <w:t>.</w:t>
      </w:r>
    </w:p>
    <w:p w14:paraId="78570506" w14:textId="77777777" w:rsidR="00DF410E" w:rsidRDefault="00CE7F43">
      <w:pPr>
        <w:pStyle w:val="Author-eSectionHeading5"/>
      </w:pPr>
      <w:bookmarkStart w:id="743" w:name="_Toc178837906"/>
      <w:r>
        <w:t>22.16.2 Parois en béton apparent (esthétique) coulé en place CCTB 01.04</w:t>
      </w:r>
      <w:bookmarkEnd w:id="743"/>
    </w:p>
    <w:p w14:paraId="3D68B4FC" w14:textId="77777777" w:rsidR="00DF410E" w:rsidRDefault="00CE7F43">
      <w:pPr>
        <w:pStyle w:val="Author-eSectionHeading6"/>
      </w:pPr>
      <w:bookmarkStart w:id="744" w:name="_Toc178837907"/>
      <w:r>
        <w:t>22.16.2a Parois en béton armé apparent (esthétique) coulé en place CCTB 01.12</w:t>
      </w:r>
      <w:bookmarkEnd w:id="744"/>
    </w:p>
    <w:p w14:paraId="74F4007C" w14:textId="77777777" w:rsidR="00DF410E" w:rsidRDefault="00CE7F43">
      <w:pPr>
        <w:pStyle w:val="pheading"/>
      </w:pPr>
      <w:r>
        <w:t>DESCRIPTION</w:t>
      </w:r>
    </w:p>
    <w:p w14:paraId="4FC38630" w14:textId="77777777" w:rsidR="00DF410E" w:rsidRDefault="00CE7F43">
      <w:pPr>
        <w:pStyle w:val="pheading"/>
      </w:pPr>
      <w:r>
        <w:t>- Définition / Comprend</w:t>
      </w:r>
    </w:p>
    <w:p w14:paraId="1AFFC412" w14:textId="77777777" w:rsidR="00DF410E" w:rsidRDefault="00CE7F43">
      <w:r>
        <w:t xml:space="preserve">Il s'agit de toutes les surfaces en élévation </w:t>
      </w:r>
      <w:r>
        <w:rPr>
          <w:rStyle w:val="optioncarChar"/>
        </w:rPr>
        <w:t>faces de parois / pans de toiture inclinées / ***</w:t>
      </w:r>
      <w:r>
        <w:t xml:space="preserve"> exécutées en béton armé coulé en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611197D7" w14:textId="77777777" w:rsidR="00DF410E" w:rsidRDefault="00CE7F43">
      <w:pPr>
        <w:pStyle w:val="pheading"/>
      </w:pPr>
      <w:r>
        <w:t>MATÉRIAUX</w:t>
      </w:r>
    </w:p>
    <w:p w14:paraId="7AFB00DF" w14:textId="77777777" w:rsidR="00DF410E" w:rsidRDefault="00CE7F43">
      <w:pPr>
        <w:pStyle w:val="pheading"/>
      </w:pPr>
      <w:r>
        <w:t>- Caractéristiques générales</w:t>
      </w:r>
    </w:p>
    <w:p w14:paraId="0A5D6F30" w14:textId="77777777" w:rsidR="00DF410E" w:rsidRDefault="00CE7F43">
      <w:pPr>
        <w:pStyle w:val="heading"/>
      </w:pPr>
      <w:r>
        <w:t>Spécifications</w:t>
      </w:r>
    </w:p>
    <w:p w14:paraId="3D7F47CC" w14:textId="77777777" w:rsidR="00DF410E" w:rsidRDefault="00CE7F43">
      <w:r>
        <w:t xml:space="preserve">Qualité du béton selon la [NBN EN 206:2013+A2] et la [NBN B 15-001] (voir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3F9C2D4D" w14:textId="77777777">
        <w:tc>
          <w:tcPr>
            <w:tcW w:w="1500" w:type="dxa"/>
            <w:noWrap/>
          </w:tcPr>
          <w:p w14:paraId="56F24243" w14:textId="77777777" w:rsidR="00DF410E" w:rsidRDefault="00CE7F43">
            <w:pPr>
              <w:jc w:val="center"/>
            </w:pPr>
            <w:r>
              <w:rPr>
                <w:b/>
              </w:rPr>
              <w:t>A</w:t>
            </w:r>
          </w:p>
        </w:tc>
        <w:tc>
          <w:tcPr>
            <w:tcW w:w="1500" w:type="dxa"/>
            <w:noWrap/>
          </w:tcPr>
          <w:p w14:paraId="26E4E66C" w14:textId="77777777" w:rsidR="00DF410E" w:rsidRDefault="00CE7F43">
            <w:pPr>
              <w:jc w:val="center"/>
            </w:pPr>
            <w:r>
              <w:rPr>
                <w:b/>
              </w:rPr>
              <w:t>B1</w:t>
            </w:r>
          </w:p>
        </w:tc>
        <w:tc>
          <w:tcPr>
            <w:tcW w:w="1500" w:type="dxa"/>
            <w:noWrap/>
          </w:tcPr>
          <w:p w14:paraId="36688E28" w14:textId="77777777" w:rsidR="00DF410E" w:rsidRDefault="00CE7F43">
            <w:pPr>
              <w:jc w:val="center"/>
            </w:pPr>
            <w:r>
              <w:rPr>
                <w:b/>
              </w:rPr>
              <w:t>B2</w:t>
            </w:r>
          </w:p>
        </w:tc>
        <w:tc>
          <w:tcPr>
            <w:tcW w:w="1500" w:type="dxa"/>
            <w:noWrap/>
          </w:tcPr>
          <w:p w14:paraId="642274F6" w14:textId="77777777" w:rsidR="00DF410E" w:rsidRDefault="00CE7F43">
            <w:pPr>
              <w:jc w:val="center"/>
            </w:pPr>
            <w:r>
              <w:rPr>
                <w:b/>
              </w:rPr>
              <w:t>C</w:t>
            </w:r>
          </w:p>
        </w:tc>
        <w:tc>
          <w:tcPr>
            <w:tcW w:w="1500" w:type="dxa"/>
            <w:noWrap/>
          </w:tcPr>
          <w:p w14:paraId="18EDF8CE" w14:textId="77777777" w:rsidR="00DF410E" w:rsidRDefault="00CE7F43">
            <w:pPr>
              <w:jc w:val="center"/>
            </w:pPr>
            <w:r>
              <w:rPr>
                <w:b/>
              </w:rPr>
              <w:t>D</w:t>
            </w:r>
          </w:p>
        </w:tc>
        <w:tc>
          <w:tcPr>
            <w:tcW w:w="1500" w:type="dxa"/>
            <w:noWrap/>
          </w:tcPr>
          <w:p w14:paraId="7C6EBED7" w14:textId="77777777" w:rsidR="00DF410E" w:rsidRDefault="00CE7F43">
            <w:pPr>
              <w:jc w:val="center"/>
            </w:pPr>
            <w:r>
              <w:rPr>
                <w:b/>
              </w:rPr>
              <w:t>E</w:t>
            </w:r>
          </w:p>
        </w:tc>
      </w:tr>
      <w:tr w:rsidR="00DF410E" w14:paraId="08955558" w14:textId="77777777">
        <w:tc>
          <w:tcPr>
            <w:tcW w:w="1500" w:type="dxa"/>
            <w:noWrap/>
          </w:tcPr>
          <w:p w14:paraId="6582ABBA" w14:textId="77777777" w:rsidR="00DF410E" w:rsidRDefault="00CE7F43">
            <w:pPr>
              <w:jc w:val="center"/>
            </w:pPr>
            <w:r>
              <w:rPr>
                <w:b/>
              </w:rPr>
              <w:t>Classe de résistance</w:t>
            </w:r>
          </w:p>
        </w:tc>
        <w:tc>
          <w:tcPr>
            <w:tcW w:w="1500" w:type="dxa"/>
            <w:noWrap/>
          </w:tcPr>
          <w:p w14:paraId="6102E6B8" w14:textId="77777777" w:rsidR="00DF410E" w:rsidRDefault="00CE7F43">
            <w:pPr>
              <w:jc w:val="center"/>
            </w:pPr>
            <w:r>
              <w:rPr>
                <w:b/>
              </w:rPr>
              <w:t>Domaine d’application</w:t>
            </w:r>
          </w:p>
        </w:tc>
        <w:tc>
          <w:tcPr>
            <w:tcW w:w="1500" w:type="dxa"/>
            <w:noWrap/>
          </w:tcPr>
          <w:p w14:paraId="475A0D1D" w14:textId="77777777" w:rsidR="00DF410E" w:rsidRDefault="00CE7F43">
            <w:pPr>
              <w:jc w:val="center"/>
            </w:pPr>
            <w:r>
              <w:rPr>
                <w:b/>
              </w:rPr>
              <w:t>Classe d'environnement</w:t>
            </w:r>
          </w:p>
        </w:tc>
        <w:tc>
          <w:tcPr>
            <w:tcW w:w="1500" w:type="dxa"/>
            <w:noWrap/>
          </w:tcPr>
          <w:p w14:paraId="64B5FD6E" w14:textId="77777777" w:rsidR="00DF410E" w:rsidRDefault="00CE7F43">
            <w:pPr>
              <w:jc w:val="center"/>
            </w:pPr>
            <w:r>
              <w:rPr>
                <w:b/>
              </w:rPr>
              <w:t>Classe de consistance</w:t>
            </w:r>
          </w:p>
        </w:tc>
        <w:tc>
          <w:tcPr>
            <w:tcW w:w="1500" w:type="dxa"/>
            <w:noWrap/>
          </w:tcPr>
          <w:p w14:paraId="34C85461" w14:textId="77777777" w:rsidR="00DF410E" w:rsidRDefault="00CE7F43">
            <w:pPr>
              <w:jc w:val="center"/>
            </w:pPr>
            <w:r>
              <w:rPr>
                <w:b/>
              </w:rPr>
              <w:t>Granulométrie maximale</w:t>
            </w:r>
          </w:p>
        </w:tc>
        <w:tc>
          <w:tcPr>
            <w:tcW w:w="1500" w:type="dxa"/>
            <w:noWrap/>
          </w:tcPr>
          <w:p w14:paraId="0459EAE7" w14:textId="77777777" w:rsidR="00DF410E" w:rsidRDefault="00CE7F43">
            <w:r>
              <w:rPr>
                <w:b/>
              </w:rPr>
              <w:t>Données complémentaires</w:t>
            </w:r>
          </w:p>
        </w:tc>
      </w:tr>
      <w:tr w:rsidR="00DF410E" w14:paraId="694594FF" w14:textId="77777777">
        <w:tc>
          <w:tcPr>
            <w:tcW w:w="1500" w:type="dxa"/>
            <w:noWrap/>
          </w:tcPr>
          <w:p w14:paraId="63F7D800" w14:textId="77777777" w:rsidR="00DF410E" w:rsidRDefault="00CE7F43">
            <w:pPr>
              <w:jc w:val="center"/>
            </w:pPr>
            <w:r>
              <w:rPr>
                <w:rStyle w:val="optioncarChar"/>
              </w:rPr>
              <w:t>C25/30 / C30/37 / C35/45 / C45/55 / C50/60 / C55/67 / C60/75 / C70/85 / C80/95 / C90/105</w:t>
            </w:r>
          </w:p>
        </w:tc>
        <w:tc>
          <w:tcPr>
            <w:tcW w:w="1500" w:type="dxa"/>
            <w:noWrap/>
          </w:tcPr>
          <w:p w14:paraId="36265955" w14:textId="77777777" w:rsidR="00DF410E" w:rsidRDefault="00CE7F43">
            <w:pPr>
              <w:jc w:val="center"/>
            </w:pPr>
            <w:r>
              <w:t>Béton armé</w:t>
            </w:r>
          </w:p>
          <w:p w14:paraId="783DE9D7" w14:textId="77777777" w:rsidR="00DF410E" w:rsidRDefault="00DF410E"/>
        </w:tc>
        <w:tc>
          <w:tcPr>
            <w:tcW w:w="1500" w:type="dxa"/>
            <w:noWrap/>
          </w:tcPr>
          <w:p w14:paraId="7A40E6BF" w14:textId="77777777" w:rsidR="00DF410E" w:rsidRDefault="00CE7F43">
            <w:pPr>
              <w:jc w:val="center"/>
            </w:pPr>
            <w:r>
              <w:rPr>
                <w:rStyle w:val="optioncarChar"/>
              </w:rPr>
              <w:t>E0 / EI / EE1 / EE2 / EE3 / EE4 / ES1 / ES2 / ES3 / ES4 / EA1+*** / EA2+***/ EA3+***</w:t>
            </w:r>
          </w:p>
        </w:tc>
        <w:tc>
          <w:tcPr>
            <w:tcW w:w="1500" w:type="dxa"/>
            <w:noWrap/>
          </w:tcPr>
          <w:p w14:paraId="26E12127" w14:textId="77777777" w:rsidR="00DF410E" w:rsidRDefault="00CE7F43">
            <w:pPr>
              <w:jc w:val="center"/>
            </w:pPr>
            <w:r>
              <w:t>au choix de l'entrepreneur :</w:t>
            </w:r>
          </w:p>
          <w:p w14:paraId="25C1A112" w14:textId="77777777" w:rsidR="00DF410E" w:rsidRDefault="00CE7F43">
            <w:pPr>
              <w:jc w:val="center"/>
            </w:pPr>
            <w:r>
              <w:rPr>
                <w:rStyle w:val="optioncarChar"/>
              </w:rPr>
              <w:t xml:space="preserve">S3 / S4 / S5 </w:t>
            </w:r>
          </w:p>
          <w:p w14:paraId="104D0975" w14:textId="77777777" w:rsidR="00DF410E" w:rsidRDefault="00CE7F43">
            <w:pPr>
              <w:jc w:val="center"/>
            </w:pPr>
            <w:r>
              <w:rPr>
                <w:rStyle w:val="optioncarChar"/>
              </w:rPr>
              <w:t>F3 / F4 / F5 / F6</w:t>
            </w:r>
            <w:r>
              <w:br/>
            </w:r>
          </w:p>
        </w:tc>
        <w:tc>
          <w:tcPr>
            <w:tcW w:w="1500" w:type="dxa"/>
            <w:noWrap/>
          </w:tcPr>
          <w:p w14:paraId="76707FC7" w14:textId="77777777" w:rsidR="00DF410E" w:rsidRDefault="00CE7F43">
            <w:pPr>
              <w:jc w:val="center"/>
            </w:pPr>
            <w:r>
              <w:t>au choix de l'entrepreneur :</w:t>
            </w:r>
          </w:p>
          <w:p w14:paraId="54E2F0EC" w14:textId="77777777" w:rsidR="00DF410E" w:rsidRDefault="00CE7F43">
            <w:pPr>
              <w:jc w:val="center"/>
            </w:pPr>
            <w:r>
              <w:rPr>
                <w:rStyle w:val="optioncarChar"/>
              </w:rPr>
              <w:t>6 / 8 / 10 / 11 / 12 / 14 / 16 / 20 / 22 / 32 </w:t>
            </w:r>
            <w:r>
              <w:t>mm</w:t>
            </w:r>
          </w:p>
        </w:tc>
        <w:tc>
          <w:tcPr>
            <w:tcW w:w="1500" w:type="dxa"/>
            <w:noWrap/>
          </w:tcPr>
          <w:p w14:paraId="214182D9" w14:textId="77777777" w:rsidR="00DF410E" w:rsidRDefault="00CE7F43">
            <w:pPr>
              <w:jc w:val="center"/>
            </w:pPr>
            <w:r>
              <w:rPr>
                <w:rStyle w:val="optioncarChar"/>
              </w:rPr>
              <w:t>***</w:t>
            </w:r>
          </w:p>
        </w:tc>
      </w:tr>
    </w:tbl>
    <w:p w14:paraId="2D71F67F"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080A2348" w14:textId="77777777" w:rsidR="00DF410E" w:rsidRDefault="00CE7F43">
      <w:pPr>
        <w:ind w:left="567"/>
      </w:pPr>
      <w:r>
        <w:t>Données complémentaires propres au béton autoplaçant (E) :</w:t>
      </w:r>
    </w:p>
    <w:p w14:paraId="07F83D07" w14:textId="77777777" w:rsidR="00DF410E" w:rsidRDefault="00CE7F43">
      <w:pPr>
        <w:pStyle w:val="Author-eListParagraph"/>
        <w:numPr>
          <w:ilvl w:val="0"/>
          <w:numId w:val="496"/>
        </w:numPr>
      </w:pPr>
      <w:r>
        <w:t xml:space="preserve">Classe de viscosité apparente : </w:t>
      </w:r>
      <w:r>
        <w:rPr>
          <w:rStyle w:val="optioncarChar"/>
        </w:rPr>
        <w:t>VS1 / VS2</w:t>
      </w:r>
      <w:r>
        <w:t xml:space="preserve"> (selon la [NBN EN 12350-8] )</w:t>
      </w:r>
    </w:p>
    <w:p w14:paraId="5949EE0A" w14:textId="77777777" w:rsidR="00DF410E" w:rsidRDefault="00CE7F43">
      <w:pPr>
        <w:pStyle w:val="Author-eListParagraph"/>
        <w:numPr>
          <w:ilvl w:val="0"/>
          <w:numId w:val="49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43DCDD4" w14:textId="77777777" w:rsidR="00DF410E" w:rsidRDefault="00CE7F43">
      <w:pPr>
        <w:pStyle w:val="Author-eListParagraph"/>
        <w:numPr>
          <w:ilvl w:val="0"/>
          <w:numId w:val="49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20DE979"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7AC2AE48" w14:textId="77777777" w:rsidR="00DF410E" w:rsidRDefault="00CE7F43">
      <w:pPr>
        <w:pStyle w:val="Author-eListParagraph"/>
        <w:numPr>
          <w:ilvl w:val="0"/>
          <w:numId w:val="497"/>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9A4EC81" w14:textId="77777777" w:rsidR="00DF410E" w:rsidRDefault="00CE7F43">
      <w:pPr>
        <w:pStyle w:val="Author-eListParagraph"/>
        <w:numPr>
          <w:ilvl w:val="0"/>
          <w:numId w:val="497"/>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711DD83" w14:textId="77777777" w:rsidR="00DF410E" w:rsidRDefault="00CE7F43">
      <w:pPr>
        <w:pStyle w:val="Author-eListParagraph"/>
        <w:numPr>
          <w:ilvl w:val="0"/>
          <w:numId w:val="497"/>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w:t>
      </w:r>
      <w:r>
        <w:rPr>
          <w:rStyle w:val="optioncarChar"/>
        </w:rPr>
        <w:t xml:space="preserve"> / *** x *** x *** x ***</w:t>
      </w:r>
      <w:r>
        <w:t xml:space="preserve"> mm.</w:t>
      </w:r>
    </w:p>
    <w:p w14:paraId="336BE3D3" w14:textId="77777777" w:rsidR="00DF410E" w:rsidRDefault="00CE7F43">
      <w:pPr>
        <w:pStyle w:val="pheading"/>
      </w:pPr>
      <w:r>
        <w:t>- Finitions</w:t>
      </w:r>
    </w:p>
    <w:p w14:paraId="4D0FEB72" w14:textId="77777777" w:rsidR="00DF410E" w:rsidRDefault="00CE7F43">
      <w:pPr>
        <w:jc w:val="both"/>
      </w:pPr>
      <w:r>
        <w:t>Finition de la face supérieure de la paroi :</w:t>
      </w:r>
      <w:r>
        <w:rPr>
          <w:rStyle w:val="optioncarChar"/>
        </w:rPr>
        <w:t xml:space="preserve"> talochée </w:t>
      </w:r>
      <w:r>
        <w:t>(par défaut) </w:t>
      </w:r>
      <w:r>
        <w:rPr>
          <w:rStyle w:val="optioncarChar"/>
        </w:rPr>
        <w:t>/ polie / ***</w:t>
      </w:r>
      <w:r>
        <w:t>.</w:t>
      </w:r>
    </w:p>
    <w:p w14:paraId="76C84D6D" w14:textId="77777777" w:rsidR="00DF410E" w:rsidRDefault="00CE7F43">
      <w:pPr>
        <w:jc w:val="both"/>
      </w:pPr>
      <w:r>
        <w:t xml:space="preserve">Le type de béton apparent défini suivant la [NBN B 15-007] est </w:t>
      </w:r>
      <w:r>
        <w:rPr>
          <w:rStyle w:val="optioncarChar"/>
        </w:rPr>
        <w:t>ZBA/1 // ZBA/2 // ZBA/3 // ZBA/4 // ZBA/5</w:t>
      </w:r>
    </w:p>
    <w:p w14:paraId="7D4F46B4" w14:textId="77777777" w:rsidR="00DF410E" w:rsidRDefault="00CE7F43">
      <w:pPr>
        <w:jc w:val="both"/>
      </w:pPr>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4" w:history="1">
        <w:r>
          <w:t>22.71 Traitements esthétiques ou de surface</w:t>
        </w:r>
      </w:hyperlink>
      <w:r>
        <w:t>.</w:t>
      </w:r>
    </w:p>
    <w:p w14:paraId="65586E2F"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0C87F897" w14:textId="77777777" w:rsidR="00DF410E" w:rsidRDefault="00CE7F43">
      <w:pPr>
        <w:pStyle w:val="Author-eListParagraph"/>
        <w:numPr>
          <w:ilvl w:val="0"/>
          <w:numId w:val="498"/>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57586177" w14:textId="77777777" w:rsidR="00DF410E" w:rsidRDefault="00CE7F43">
      <w:pPr>
        <w:pStyle w:val="Author-eListParagraph"/>
        <w:numPr>
          <w:ilvl w:val="0"/>
          <w:numId w:val="498"/>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49FFD4D" w14:textId="77777777" w:rsidR="00DF410E" w:rsidRDefault="00CE7F43">
      <w:pPr>
        <w:pStyle w:val="Author-eListParagraph"/>
        <w:numPr>
          <w:ilvl w:val="0"/>
          <w:numId w:val="498"/>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38C56277" w14:textId="77777777" w:rsidR="00DF410E" w:rsidRDefault="00CE7F43">
      <w:pPr>
        <w:pStyle w:val="Author-eListParagraph"/>
        <w:numPr>
          <w:ilvl w:val="0"/>
          <w:numId w:val="498"/>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075F53DD" w14:textId="77777777" w:rsidR="00DF410E" w:rsidRDefault="00CE7F43">
      <w:r>
        <w:rPr>
          <w:rStyle w:val="optioncarChar"/>
          <w:color w:val="000000"/>
        </w:rPr>
        <w:t>Les arêtes saillantes des parois sont</w:t>
      </w:r>
      <w:r>
        <w:rPr>
          <w:rStyle w:val="optioncarChar"/>
        </w:rPr>
        <w:t xml:space="preserve"> vives / chanfreinées </w:t>
      </w:r>
      <w:r>
        <w:t>(par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6F20F696" w14:textId="77777777" w:rsidR="00DF410E" w:rsidRDefault="00CE7F43">
      <w:pPr>
        <w:pStyle w:val="pheading"/>
      </w:pPr>
      <w:r>
        <w:t>- Prescriptions complémentaires</w:t>
      </w:r>
    </w:p>
    <w:p w14:paraId="5EA0C643" w14:textId="77777777" w:rsidR="00DF410E" w:rsidRDefault="00CE7F43">
      <w:r>
        <w:t xml:space="preserve">Résistance au feu : pour les éléments porteurs et structuraux sans fonction séparant </w:t>
      </w:r>
      <w:r>
        <w:rPr>
          <w:rStyle w:val="optioncarChar"/>
        </w:rPr>
        <w:t>R15 / R30 / R60 / R120 / R *** / *** </w:t>
      </w:r>
      <w:r>
        <w:t xml:space="preserve">et pour les éléments porteurs et structuraux avec fonction séparant </w:t>
      </w:r>
      <w:r>
        <w:rPr>
          <w:rStyle w:val="optioncarChar"/>
        </w:rPr>
        <w:t>REI 30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58E2D639" w14:textId="77777777" w:rsidR="00DF410E" w:rsidRDefault="00CE7F43">
      <w:pPr>
        <w:pStyle w:val="pheading"/>
      </w:pPr>
      <w:r>
        <w:t>EXÉCUTION / MISE EN ŒUVRE</w:t>
      </w:r>
    </w:p>
    <w:p w14:paraId="11413967" w14:textId="77777777" w:rsidR="00DF410E" w:rsidRDefault="00CE7F43">
      <w:pPr>
        <w:pStyle w:val="pheading"/>
      </w:pPr>
      <w:r>
        <w:t>- Prescriptions générales</w:t>
      </w:r>
    </w:p>
    <w:p w14:paraId="0E43DF17" w14:textId="77777777" w:rsidR="00DF410E" w:rsidRDefault="00CE7F43">
      <w:r>
        <w:t>L 'étude est à charge de</w:t>
      </w:r>
      <w:r>
        <w:rPr>
          <w:rStyle w:val="optioncarChar"/>
        </w:rPr>
        <w:t xml:space="preserve"> l'entrepreneur </w:t>
      </w:r>
      <w:r>
        <w:t>(par défaut) </w:t>
      </w:r>
      <w:r>
        <w:rPr>
          <w:rStyle w:val="optioncarChar"/>
        </w:rPr>
        <w:t>/ du maître de l'ouvrage / du bureau d'étude / *** </w:t>
      </w:r>
      <w:r>
        <w:t>… (</w:t>
      </w:r>
      <w:hyperlink w:anchor="87" w:history="1">
        <w:r>
          <w:t>22 Superstructures en béton</w:t>
        </w:r>
      </w:hyperlink>
      <w:r>
        <w:t>).</w:t>
      </w:r>
      <w:r>
        <w:br/>
        <w:t xml:space="preserve">Les </w:t>
      </w:r>
      <w:r>
        <w:rPr>
          <w:rStyle w:val="optioncarChar"/>
        </w:rPr>
        <w:t>parois / pans / *** </w:t>
      </w:r>
      <w:r>
        <w:t>de toiture sont exécutés dans les épaisseurs indiquées sur les plans.</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 .</w:t>
      </w:r>
      <w:r>
        <w:br/>
        <w:t>La période de cure est conforme aux exigences de la [NBN EN 13670] et de la [NBN B 15-400] § F8.5.</w:t>
      </w:r>
    </w:p>
    <w:p w14:paraId="5CD23172" w14:textId="77777777" w:rsidR="00DF410E" w:rsidRDefault="00CE7F43">
      <w:pPr>
        <w:pStyle w:val="pheading"/>
      </w:pPr>
      <w:r>
        <w:t>- Notes d’exécution complémentaires</w:t>
      </w:r>
    </w:p>
    <w:p w14:paraId="06BFD62F" w14:textId="77777777" w:rsidR="00DF410E" w:rsidRDefault="00CE7F43">
      <w:r>
        <w:t>Raccords visibles : joint en forme de </w:t>
      </w:r>
      <w:r>
        <w:rPr>
          <w:rStyle w:val="optioncarChar"/>
        </w:rPr>
        <w:t>V </w:t>
      </w:r>
      <w:r>
        <w:t>(par défaut) / ***</w:t>
      </w:r>
      <w:r>
        <w:br/>
        <w:t>Joints de reprise :</w:t>
      </w:r>
      <w:r>
        <w:br/>
        <w:t>Ponts d'humidité / étanchéité à l'eau :</w:t>
      </w:r>
      <w:r>
        <w:br/>
        <w:t>Ponts thermiques / isolation thermique :</w:t>
      </w:r>
      <w:r>
        <w:br/>
        <w:t>Réservations / pénétrations :</w:t>
      </w:r>
      <w:r>
        <w:br/>
        <w:t>Ancrages :</w:t>
      </w:r>
    </w:p>
    <w:p w14:paraId="08886E8B" w14:textId="77777777" w:rsidR="00DF410E" w:rsidRDefault="00CE7F43">
      <w:pPr>
        <w:pStyle w:val="pheading"/>
      </w:pPr>
      <w:r>
        <w:t>MESURAGE</w:t>
      </w:r>
    </w:p>
    <w:p w14:paraId="75057713" w14:textId="77777777" w:rsidR="00DF410E" w:rsidRDefault="00CE7F43">
      <w:pPr>
        <w:pStyle w:val="pheading"/>
      </w:pPr>
      <w:r>
        <w:t>- unité de mesure:</w:t>
      </w:r>
    </w:p>
    <w:p w14:paraId="6DB61706" w14:textId="77777777" w:rsidR="00DF410E" w:rsidRDefault="00CE7F43">
      <w:r>
        <w:t>m³ pour le béton.</w:t>
      </w:r>
      <w:r>
        <w:br/>
        <w:t>kg pour les armatures.</w:t>
      </w:r>
      <w:r>
        <w:br/>
        <w:t>PM, coffrages</w:t>
      </w:r>
    </w:p>
    <w:p w14:paraId="7D9E3C95" w14:textId="77777777" w:rsidR="00DF410E" w:rsidRDefault="00CE7F43">
      <w:pPr>
        <w:pStyle w:val="pheading"/>
      </w:pPr>
      <w:r>
        <w:t>- code de mesurage:</w:t>
      </w:r>
    </w:p>
    <w:p w14:paraId="3A8726A0" w14:textId="77777777" w:rsidR="00DF410E" w:rsidRDefault="00CE7F43">
      <w:r>
        <w:t>Mesurage du volume à couler selon la [NBN B 06-001]</w:t>
      </w:r>
      <w:r>
        <w:br/>
        <w:t>Mesurage des quantités selon la [NBN B 06-001]</w:t>
      </w:r>
    </w:p>
    <w:p w14:paraId="6DE1A3C3" w14:textId="77777777" w:rsidR="00DF410E" w:rsidRDefault="00CE7F43">
      <w:pPr>
        <w:pStyle w:val="pheading"/>
      </w:pPr>
      <w:r>
        <w:t>- nature du marché:</w:t>
      </w:r>
    </w:p>
    <w:p w14:paraId="04544F4D" w14:textId="77777777" w:rsidR="00DF410E" w:rsidRDefault="00CE7F43">
      <w:r>
        <w:t>QF</w:t>
      </w:r>
    </w:p>
    <w:p w14:paraId="31730056" w14:textId="77777777" w:rsidR="00DF410E" w:rsidRDefault="00CE7F43">
      <w:pPr>
        <w:pStyle w:val="pheading"/>
      </w:pPr>
      <w:r>
        <w:t>AIDE</w:t>
      </w:r>
    </w:p>
    <w:p w14:paraId="23E0A209" w14:textId="77777777" w:rsidR="00DF410E" w:rsidRDefault="00CE7F43">
      <w:r>
        <w:t xml:space="preserve">Les travaux d’étaiement et les reprises en sous-œuvre / … au niveau de l'infrastructure sont décrits dans le chapitre </w:t>
      </w:r>
      <w:hyperlink r:id="rId74" w:history="1" w:docLocation="199">
        <w:r>
          <w:t>14 Travaux d'étaiement, de soutènement et reprise en sous-œuvre</w:t>
        </w:r>
      </w:hyperlink>
      <w:r>
        <w:t>.</w:t>
      </w:r>
    </w:p>
    <w:p w14:paraId="7BB4EEFC" w14:textId="77777777" w:rsidR="00DF410E" w:rsidRDefault="00CE7F43">
      <w:pPr>
        <w:pStyle w:val="Author-eSectionHeading6"/>
      </w:pPr>
      <w:bookmarkStart w:id="745" w:name="_Toc178837908"/>
      <w:r>
        <w:t>22.16.2b Parois en béton de fibres d'acier apparent (esthétique) coulé en place CCTB 01.12</w:t>
      </w:r>
      <w:bookmarkEnd w:id="745"/>
    </w:p>
    <w:p w14:paraId="674130D5" w14:textId="77777777" w:rsidR="00DF410E" w:rsidRDefault="00CE7F43">
      <w:pPr>
        <w:pStyle w:val="pheading"/>
      </w:pPr>
      <w:r>
        <w:t>DESCRIPTION</w:t>
      </w:r>
    </w:p>
    <w:p w14:paraId="4AFB3BD0" w14:textId="77777777" w:rsidR="00DF410E" w:rsidRDefault="00CE7F43">
      <w:pPr>
        <w:pStyle w:val="pheading"/>
      </w:pPr>
      <w:r>
        <w:t>- Définition / Comprend</w:t>
      </w:r>
    </w:p>
    <w:p w14:paraId="23326BA3" w14:textId="77777777" w:rsidR="00DF410E" w:rsidRDefault="00CE7F43">
      <w:r>
        <w:t xml:space="preserve">Il s'agit de toutes les surfaces en élévation </w:t>
      </w:r>
      <w:r>
        <w:rPr>
          <w:rStyle w:val="optioncarChar"/>
        </w:rPr>
        <w:t>faces de parois / pans de toiture inclinées / ***</w:t>
      </w:r>
      <w:r>
        <w:t xml:space="preserve"> exécutées en béton fibre coulé en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60581438" w14:textId="77777777" w:rsidR="00DF410E" w:rsidRDefault="00CE7F43">
      <w:pPr>
        <w:pStyle w:val="pheading"/>
      </w:pPr>
      <w:r>
        <w:t>MATÉRIAUX</w:t>
      </w:r>
    </w:p>
    <w:p w14:paraId="2E0C978A" w14:textId="77777777" w:rsidR="00DF410E" w:rsidRDefault="00CE7F43">
      <w:pPr>
        <w:pStyle w:val="pheading"/>
      </w:pPr>
      <w:r>
        <w:t>- Caractéristiques générales</w:t>
      </w:r>
    </w:p>
    <w:p w14:paraId="341E51E4" w14:textId="77777777" w:rsidR="00DF410E" w:rsidRDefault="00CE7F43">
      <w:pPr>
        <w:pStyle w:val="heading"/>
      </w:pPr>
      <w:r>
        <w:t>Spécifications</w:t>
      </w:r>
    </w:p>
    <w:p w14:paraId="0A38599E" w14:textId="77777777" w:rsidR="00DF410E" w:rsidRDefault="00CE7F43">
      <w:r>
        <w:t xml:space="preserve">Qualité du béton selon la [NBN EN 206:2013+A2] et la [NBN B 15-001] (voir également </w:t>
      </w:r>
      <w:hyperlink w:anchor="87" w:history="1">
        <w:r>
          <w:t>22 Superstructures en béton</w:t>
        </w:r>
      </w:hyperlink>
      <w:r>
        <w:t>) .</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358050FD" w14:textId="77777777">
        <w:tc>
          <w:tcPr>
            <w:tcW w:w="1500" w:type="dxa"/>
            <w:noWrap/>
          </w:tcPr>
          <w:p w14:paraId="2ED2C84F" w14:textId="77777777" w:rsidR="00DF410E" w:rsidRDefault="00CE7F43">
            <w:pPr>
              <w:jc w:val="center"/>
            </w:pPr>
            <w:r>
              <w:rPr>
                <w:b/>
              </w:rPr>
              <w:t>A</w:t>
            </w:r>
          </w:p>
        </w:tc>
        <w:tc>
          <w:tcPr>
            <w:tcW w:w="1500" w:type="dxa"/>
            <w:noWrap/>
          </w:tcPr>
          <w:p w14:paraId="675B443B" w14:textId="77777777" w:rsidR="00DF410E" w:rsidRDefault="00CE7F43">
            <w:pPr>
              <w:jc w:val="center"/>
            </w:pPr>
            <w:r>
              <w:rPr>
                <w:b/>
              </w:rPr>
              <w:t>B1</w:t>
            </w:r>
          </w:p>
        </w:tc>
        <w:tc>
          <w:tcPr>
            <w:tcW w:w="1500" w:type="dxa"/>
            <w:noWrap/>
          </w:tcPr>
          <w:p w14:paraId="33557ADA" w14:textId="77777777" w:rsidR="00DF410E" w:rsidRDefault="00CE7F43">
            <w:pPr>
              <w:jc w:val="center"/>
            </w:pPr>
            <w:r>
              <w:rPr>
                <w:b/>
              </w:rPr>
              <w:t>B2</w:t>
            </w:r>
          </w:p>
        </w:tc>
        <w:tc>
          <w:tcPr>
            <w:tcW w:w="1500" w:type="dxa"/>
            <w:noWrap/>
          </w:tcPr>
          <w:p w14:paraId="7156DADA" w14:textId="77777777" w:rsidR="00DF410E" w:rsidRDefault="00CE7F43">
            <w:pPr>
              <w:jc w:val="center"/>
            </w:pPr>
            <w:r>
              <w:rPr>
                <w:b/>
              </w:rPr>
              <w:t>C</w:t>
            </w:r>
          </w:p>
        </w:tc>
        <w:tc>
          <w:tcPr>
            <w:tcW w:w="1500" w:type="dxa"/>
            <w:noWrap/>
          </w:tcPr>
          <w:p w14:paraId="2C16DF59" w14:textId="77777777" w:rsidR="00DF410E" w:rsidRDefault="00CE7F43">
            <w:pPr>
              <w:jc w:val="center"/>
            </w:pPr>
            <w:r>
              <w:rPr>
                <w:b/>
              </w:rPr>
              <w:t>D</w:t>
            </w:r>
          </w:p>
        </w:tc>
        <w:tc>
          <w:tcPr>
            <w:tcW w:w="1500" w:type="dxa"/>
            <w:noWrap/>
          </w:tcPr>
          <w:p w14:paraId="04832071" w14:textId="77777777" w:rsidR="00DF410E" w:rsidRDefault="00CE7F43">
            <w:pPr>
              <w:jc w:val="center"/>
            </w:pPr>
            <w:r>
              <w:rPr>
                <w:b/>
              </w:rPr>
              <w:t>E</w:t>
            </w:r>
          </w:p>
        </w:tc>
      </w:tr>
      <w:tr w:rsidR="00DF410E" w14:paraId="4E9AF9D7" w14:textId="77777777">
        <w:tc>
          <w:tcPr>
            <w:tcW w:w="1500" w:type="dxa"/>
            <w:noWrap/>
          </w:tcPr>
          <w:p w14:paraId="16AFCDC2" w14:textId="77777777" w:rsidR="00DF410E" w:rsidRDefault="00CE7F43">
            <w:pPr>
              <w:jc w:val="center"/>
            </w:pPr>
            <w:r>
              <w:rPr>
                <w:b/>
              </w:rPr>
              <w:t>Classe de résistance</w:t>
            </w:r>
          </w:p>
        </w:tc>
        <w:tc>
          <w:tcPr>
            <w:tcW w:w="1500" w:type="dxa"/>
            <w:noWrap/>
          </w:tcPr>
          <w:p w14:paraId="717548C4" w14:textId="77777777" w:rsidR="00DF410E" w:rsidRDefault="00CE7F43">
            <w:pPr>
              <w:jc w:val="center"/>
            </w:pPr>
            <w:r>
              <w:rPr>
                <w:b/>
              </w:rPr>
              <w:t>Domaine d’application</w:t>
            </w:r>
          </w:p>
        </w:tc>
        <w:tc>
          <w:tcPr>
            <w:tcW w:w="1500" w:type="dxa"/>
            <w:noWrap/>
          </w:tcPr>
          <w:p w14:paraId="3B75775F" w14:textId="77777777" w:rsidR="00DF410E" w:rsidRDefault="00CE7F43">
            <w:pPr>
              <w:jc w:val="center"/>
            </w:pPr>
            <w:r>
              <w:rPr>
                <w:b/>
              </w:rPr>
              <w:t>Classe d'environnement</w:t>
            </w:r>
          </w:p>
        </w:tc>
        <w:tc>
          <w:tcPr>
            <w:tcW w:w="1500" w:type="dxa"/>
            <w:noWrap/>
          </w:tcPr>
          <w:p w14:paraId="24714E35" w14:textId="77777777" w:rsidR="00DF410E" w:rsidRDefault="00CE7F43">
            <w:pPr>
              <w:jc w:val="center"/>
            </w:pPr>
            <w:r>
              <w:rPr>
                <w:b/>
              </w:rPr>
              <w:t>Classe de consistance</w:t>
            </w:r>
          </w:p>
        </w:tc>
        <w:tc>
          <w:tcPr>
            <w:tcW w:w="1500" w:type="dxa"/>
            <w:noWrap/>
          </w:tcPr>
          <w:p w14:paraId="29D200CD" w14:textId="77777777" w:rsidR="00DF410E" w:rsidRDefault="00CE7F43">
            <w:pPr>
              <w:jc w:val="center"/>
            </w:pPr>
            <w:r>
              <w:rPr>
                <w:b/>
              </w:rPr>
              <w:t>Granulométrie maximale</w:t>
            </w:r>
          </w:p>
        </w:tc>
        <w:tc>
          <w:tcPr>
            <w:tcW w:w="1500" w:type="dxa"/>
            <w:noWrap/>
          </w:tcPr>
          <w:p w14:paraId="78757F20" w14:textId="77777777" w:rsidR="00DF410E" w:rsidRDefault="00CE7F43">
            <w:r>
              <w:rPr>
                <w:b/>
              </w:rPr>
              <w:t>Données complémentaires</w:t>
            </w:r>
          </w:p>
        </w:tc>
      </w:tr>
      <w:tr w:rsidR="00DF410E" w14:paraId="590147EB" w14:textId="77777777">
        <w:tc>
          <w:tcPr>
            <w:tcW w:w="1500" w:type="dxa"/>
            <w:noWrap/>
          </w:tcPr>
          <w:p w14:paraId="2A6F99D4" w14:textId="77777777" w:rsidR="00DF410E" w:rsidRDefault="00CE7F43">
            <w:pPr>
              <w:jc w:val="center"/>
            </w:pPr>
            <w:r>
              <w:rPr>
                <w:rStyle w:val="optioncarChar"/>
              </w:rPr>
              <w:t>C25/30 / C30/37 / C35/45 / C45/55 / C50/60 / C55/67 / C60/75 / C70/85 / C80/95 / C90/105</w:t>
            </w:r>
          </w:p>
        </w:tc>
        <w:tc>
          <w:tcPr>
            <w:tcW w:w="1500" w:type="dxa"/>
            <w:noWrap/>
          </w:tcPr>
          <w:p w14:paraId="166D2300" w14:textId="77777777" w:rsidR="00DF410E" w:rsidRDefault="00CE7F43">
            <w:pPr>
              <w:jc w:val="center"/>
            </w:pPr>
            <w:r>
              <w:t>Béton armé</w:t>
            </w:r>
          </w:p>
          <w:p w14:paraId="73E46753" w14:textId="77777777" w:rsidR="00DF410E" w:rsidRDefault="00DF410E"/>
        </w:tc>
        <w:tc>
          <w:tcPr>
            <w:tcW w:w="1500" w:type="dxa"/>
            <w:noWrap/>
          </w:tcPr>
          <w:p w14:paraId="1C5CE16D" w14:textId="77777777" w:rsidR="00DF410E" w:rsidRDefault="00CE7F43">
            <w:pPr>
              <w:jc w:val="center"/>
            </w:pPr>
            <w:r>
              <w:rPr>
                <w:rStyle w:val="optioncarChar"/>
              </w:rPr>
              <w:t>E0 / EI / EE1 / EE2 / EE3 / EE4 / ES1 / ES2 / ES3 / ES4 / EA1+*** / EA2+***/ EA3+***</w:t>
            </w:r>
          </w:p>
        </w:tc>
        <w:tc>
          <w:tcPr>
            <w:tcW w:w="1500" w:type="dxa"/>
            <w:noWrap/>
          </w:tcPr>
          <w:p w14:paraId="3240D942" w14:textId="77777777" w:rsidR="00DF410E" w:rsidRDefault="00CE7F43">
            <w:pPr>
              <w:jc w:val="center"/>
            </w:pPr>
            <w:r>
              <w:t>au choix de l'entrepreneur :</w:t>
            </w:r>
          </w:p>
          <w:p w14:paraId="7CDB7777" w14:textId="77777777" w:rsidR="00DF410E" w:rsidRDefault="00CE7F43">
            <w:pPr>
              <w:jc w:val="center"/>
            </w:pPr>
            <w:r>
              <w:rPr>
                <w:rStyle w:val="optioncarChar"/>
              </w:rPr>
              <w:t xml:space="preserve">S3 / S4 / S5 </w:t>
            </w:r>
          </w:p>
          <w:p w14:paraId="0A82FCCE" w14:textId="77777777" w:rsidR="00DF410E" w:rsidRDefault="00CE7F43">
            <w:pPr>
              <w:jc w:val="center"/>
            </w:pPr>
            <w:r>
              <w:rPr>
                <w:rStyle w:val="optioncarChar"/>
              </w:rPr>
              <w:t>F3 / F4 / F5 / F6</w:t>
            </w:r>
            <w:r>
              <w:br/>
            </w:r>
          </w:p>
        </w:tc>
        <w:tc>
          <w:tcPr>
            <w:tcW w:w="1500" w:type="dxa"/>
            <w:noWrap/>
          </w:tcPr>
          <w:p w14:paraId="5E2925F4" w14:textId="77777777" w:rsidR="00DF410E" w:rsidRDefault="00CE7F43">
            <w:pPr>
              <w:jc w:val="center"/>
            </w:pPr>
            <w:r>
              <w:t>au choix de l'entrepreneur :</w:t>
            </w:r>
          </w:p>
          <w:p w14:paraId="6BA1E78A" w14:textId="77777777" w:rsidR="00DF410E" w:rsidRDefault="00CE7F43">
            <w:pPr>
              <w:jc w:val="center"/>
            </w:pPr>
            <w:r>
              <w:rPr>
                <w:rStyle w:val="optioncarChar"/>
              </w:rPr>
              <w:t>6 / 8 / 10 / 11 / 12 / 14 / 16 / 20 / 22 / 32 </w:t>
            </w:r>
            <w:r>
              <w:t>mm</w:t>
            </w:r>
          </w:p>
        </w:tc>
        <w:tc>
          <w:tcPr>
            <w:tcW w:w="1500" w:type="dxa"/>
            <w:noWrap/>
          </w:tcPr>
          <w:p w14:paraId="3D3C9A89" w14:textId="77777777" w:rsidR="00DF410E" w:rsidRDefault="00CE7F43">
            <w:pPr>
              <w:jc w:val="center"/>
            </w:pPr>
            <w:r>
              <w:rPr>
                <w:rStyle w:val="optioncarChar"/>
              </w:rPr>
              <w:t>***</w:t>
            </w:r>
          </w:p>
        </w:tc>
      </w:tr>
    </w:tbl>
    <w:p w14:paraId="2130ED85"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6D14D76A" w14:textId="77777777" w:rsidR="00DF410E" w:rsidRDefault="00CE7F43">
      <w:pPr>
        <w:ind w:left="567"/>
      </w:pPr>
      <w:r>
        <w:t>Données complémentaires propres au béton autoplaçant (E) :</w:t>
      </w:r>
    </w:p>
    <w:p w14:paraId="5398DE04" w14:textId="77777777" w:rsidR="00DF410E" w:rsidRDefault="00CE7F43">
      <w:pPr>
        <w:pStyle w:val="Author-eListParagraph"/>
        <w:numPr>
          <w:ilvl w:val="0"/>
          <w:numId w:val="499"/>
        </w:numPr>
      </w:pPr>
      <w:r>
        <w:t xml:space="preserve">Classe de viscosité apparente : </w:t>
      </w:r>
      <w:r>
        <w:rPr>
          <w:rStyle w:val="optioncarChar"/>
        </w:rPr>
        <w:t>VS1 / VS2</w:t>
      </w:r>
      <w:r>
        <w:t xml:space="preserve"> (selon la [NBN EN 12350-8] )</w:t>
      </w:r>
    </w:p>
    <w:p w14:paraId="2A8A177F" w14:textId="77777777" w:rsidR="00DF410E" w:rsidRDefault="00CE7F43">
      <w:pPr>
        <w:pStyle w:val="Author-eListParagraph"/>
        <w:numPr>
          <w:ilvl w:val="0"/>
          <w:numId w:val="49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EB42706" w14:textId="77777777" w:rsidR="00DF410E" w:rsidRDefault="00CE7F43">
      <w:pPr>
        <w:pStyle w:val="Author-eListParagraph"/>
        <w:numPr>
          <w:ilvl w:val="0"/>
          <w:numId w:val="49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049DA63" w14:textId="77777777" w:rsidR="00DF410E" w:rsidRDefault="00CE7F43">
      <w:pPr>
        <w:pStyle w:val="Author-eListParagraph"/>
        <w:numPr>
          <w:ilvl w:val="0"/>
          <w:numId w:val="500"/>
        </w:numPr>
      </w:pPr>
      <w:r>
        <w:t xml:space="preserve">Pourcentage de fibres : </w:t>
      </w:r>
      <w:r>
        <w:rPr>
          <w:rStyle w:val="optioncarChar"/>
        </w:rPr>
        <w:t>***</w:t>
      </w:r>
      <w:r>
        <w:t xml:space="preserve"> kg au m</w:t>
      </w:r>
      <w:r>
        <w:rPr>
          <w:vertAlign w:val="superscript"/>
        </w:rPr>
        <w:t>3</w:t>
      </w:r>
      <w:r>
        <w:t xml:space="preserve"> béton. </w:t>
      </w:r>
    </w:p>
    <w:p w14:paraId="1C4BCD33" w14:textId="77777777" w:rsidR="00DF410E" w:rsidRDefault="00CE7F43">
      <w:r>
        <w:t xml:space="preserve">Pourcentage d'armatures : </w:t>
      </w:r>
      <w:r>
        <w:rPr>
          <w:rStyle w:val="optioncarChar"/>
        </w:rPr>
        <w:t>***</w:t>
      </w:r>
      <w:r>
        <w:t xml:space="preserve"> kg d'acier de barres et treillis par m</w:t>
      </w:r>
      <w:r>
        <w:rPr>
          <w:vertAlign w:val="superscript"/>
        </w:rPr>
        <w:t>3</w:t>
      </w:r>
      <w:r>
        <w:t xml:space="preserve"> de béton.</w:t>
      </w:r>
    </w:p>
    <w:p w14:paraId="230BF113" w14:textId="77777777" w:rsidR="00DF410E" w:rsidRDefault="00CE7F43">
      <w:pPr>
        <w:pStyle w:val="Author-eListParagraph"/>
        <w:numPr>
          <w:ilvl w:val="0"/>
          <w:numId w:val="501"/>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C2C2DB0" w14:textId="77777777" w:rsidR="00DF410E" w:rsidRDefault="00CE7F43">
      <w:pPr>
        <w:pStyle w:val="Author-eListParagraph"/>
        <w:numPr>
          <w:ilvl w:val="0"/>
          <w:numId w:val="501"/>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6 x 6 </w:t>
      </w:r>
      <w:r>
        <w:t>(par défaut)</w:t>
      </w:r>
      <w:r>
        <w:rPr>
          <w:rStyle w:val="optioncarChar"/>
        </w:rPr>
        <w:t xml:space="preserve"> / *** x *** x *** x *** </w:t>
      </w:r>
      <w:r>
        <w:t xml:space="preserve"> mm.</w:t>
      </w:r>
    </w:p>
    <w:p w14:paraId="65E16CDC" w14:textId="77777777" w:rsidR="00DF410E" w:rsidRDefault="00CE7F43">
      <w:pPr>
        <w:pStyle w:val="pheading"/>
      </w:pPr>
      <w:r>
        <w:t>- Finitions</w:t>
      </w:r>
    </w:p>
    <w:p w14:paraId="141A2F68" w14:textId="77777777" w:rsidR="00DF410E" w:rsidRDefault="00CE7F43">
      <w:pPr>
        <w:jc w:val="both"/>
      </w:pPr>
      <w:r>
        <w:t>Finition supérieure :</w:t>
      </w:r>
      <w:r>
        <w:rPr>
          <w:rStyle w:val="optioncarChar"/>
        </w:rPr>
        <w:t> talochée </w:t>
      </w:r>
      <w:r>
        <w:t>(par défaut)</w:t>
      </w:r>
      <w:r>
        <w:rPr>
          <w:rStyle w:val="optioncarChar"/>
        </w:rPr>
        <w:t xml:space="preserve"> / polie / ***</w:t>
      </w:r>
      <w:r>
        <w:t>.</w:t>
      </w:r>
    </w:p>
    <w:p w14:paraId="4B996972" w14:textId="77777777" w:rsidR="00DF410E" w:rsidRDefault="00CE7F43">
      <w:pPr>
        <w:jc w:val="both"/>
      </w:pPr>
      <w:r>
        <w:t xml:space="preserve">Le type de béton apparent défini suivant la [NBN B 15-007] est </w:t>
      </w:r>
      <w:r>
        <w:rPr>
          <w:rStyle w:val="optioncarChar"/>
        </w:rPr>
        <w:t>ZBA/1 // ZBA/2 // ZBA/3 // ZBA/4 // ZBA/5</w:t>
      </w:r>
    </w:p>
    <w:p w14:paraId="576F0AE3" w14:textId="77777777" w:rsidR="00DF410E" w:rsidRDefault="00CE7F43">
      <w:pPr>
        <w:jc w:val="both"/>
      </w:pPr>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5A018373"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071CBC94" w14:textId="77777777" w:rsidR="00DF410E" w:rsidRDefault="00CE7F43">
      <w:pPr>
        <w:pStyle w:val="Author-eListParagraph"/>
        <w:numPr>
          <w:ilvl w:val="0"/>
          <w:numId w:val="502"/>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747B3F85" w14:textId="77777777" w:rsidR="00DF410E" w:rsidRDefault="00CE7F43">
      <w:pPr>
        <w:pStyle w:val="Author-eListParagraph"/>
        <w:numPr>
          <w:ilvl w:val="0"/>
          <w:numId w:val="502"/>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3740D5A4" w14:textId="77777777" w:rsidR="00DF410E" w:rsidRDefault="00CE7F43">
      <w:pPr>
        <w:pStyle w:val="Author-eListParagraph"/>
        <w:numPr>
          <w:ilvl w:val="0"/>
          <w:numId w:val="502"/>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4D50C606" w14:textId="77777777" w:rsidR="00DF410E" w:rsidRDefault="00CE7F43">
      <w:pPr>
        <w:pStyle w:val="Author-eListParagraph"/>
        <w:numPr>
          <w:ilvl w:val="0"/>
          <w:numId w:val="502"/>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2EC9BF07" w14:textId="77777777" w:rsidR="00DF410E" w:rsidRDefault="00CE7F43">
      <w:r>
        <w:rPr>
          <w:rStyle w:val="optioncarChar"/>
          <w:color w:val="000000"/>
        </w:rPr>
        <w:t>Les arêtes saillantes des parois sont</w:t>
      </w:r>
      <w:r>
        <w:rPr>
          <w:rStyle w:val="optioncarChar"/>
        </w:rPr>
        <w:t xml:space="preserve"> vives / chanfreinées </w:t>
      </w:r>
      <w:r>
        <w:t xml:space="preserve">(par défaut) </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0CB24A22" w14:textId="77777777" w:rsidR="00DF410E" w:rsidRDefault="00CE7F43">
      <w:r>
        <w:rPr>
          <w:rStyle w:val="optioncarChar"/>
        </w:rPr>
        <w:t> </w:t>
      </w:r>
    </w:p>
    <w:p w14:paraId="2ED2C4FB" w14:textId="77777777" w:rsidR="00DF410E" w:rsidRDefault="00CE7F43">
      <w:pPr>
        <w:pStyle w:val="pheading"/>
      </w:pPr>
      <w:r>
        <w:t>- Prescriptions complémentaires</w:t>
      </w:r>
    </w:p>
    <w:p w14:paraId="66DBA7B9" w14:textId="77777777" w:rsidR="00DF410E" w:rsidRDefault="00CE7F43">
      <w:r>
        <w:t>Résistance au feu :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13BE5C8B" w14:textId="77777777" w:rsidR="00DF410E" w:rsidRDefault="00CE7F43">
      <w:pPr>
        <w:pStyle w:val="pheading"/>
      </w:pPr>
      <w:r>
        <w:t>EXÉCUTION / MISE EN ŒUVRE</w:t>
      </w:r>
    </w:p>
    <w:p w14:paraId="08F10F66" w14:textId="77777777" w:rsidR="00DF410E" w:rsidRDefault="00CE7F43">
      <w:pPr>
        <w:pStyle w:val="pheading"/>
      </w:pPr>
      <w:r>
        <w:t>- Prescriptions générales</w:t>
      </w:r>
    </w:p>
    <w:p w14:paraId="22E879CC" w14:textId="77777777" w:rsidR="00DF410E" w:rsidRDefault="00CE7F43">
      <w:r>
        <w:t>L 'étude est à charge de</w:t>
      </w:r>
      <w:r>
        <w:rPr>
          <w:rStyle w:val="optioncarChar"/>
        </w:rPr>
        <w:t> l'entrepreneur </w:t>
      </w:r>
      <w:r>
        <w:t>(par défaut)</w:t>
      </w:r>
      <w:r>
        <w:rPr>
          <w:rStyle w:val="optioncarChar"/>
        </w:rPr>
        <w:t xml:space="preserve"> / du maître de l'ouvrage / du bureau d'étude / *** </w:t>
      </w:r>
      <w:r>
        <w:t>… (</w:t>
      </w:r>
      <w:hyperlink w:anchor="87" w:history="1">
        <w:r>
          <w:t>22 Superstructures en béton</w:t>
        </w:r>
      </w:hyperlink>
      <w:r>
        <w:t>).</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 / *** fois. L’entrepreneur se concerte au préalable avec l’auteur de projet ou l’ingénieur au sujet de la succession des travaux de coulage, de l’emplacement des joints de reprise, …</w:t>
      </w:r>
      <w:r>
        <w:br/>
        <w:t xml:space="preserve">Le décoffrage ne se fait pas avant </w:t>
      </w:r>
      <w:r>
        <w:rPr>
          <w:rStyle w:val="optioncarChar"/>
        </w:rPr>
        <w:t>*** jours suivant le coulage du béton / selon les directives de l'ingénieur conseil béton </w:t>
      </w:r>
      <w:r>
        <w:t>(par défaut) .</w:t>
      </w:r>
      <w:r>
        <w:br/>
        <w:t>La période de cure est conforme aux exigences de la [NBN EN 13670] et de la [NBN B 15-400] § F8.5.</w:t>
      </w:r>
    </w:p>
    <w:p w14:paraId="4B95545C" w14:textId="77777777" w:rsidR="00DF410E" w:rsidRDefault="00CE7F43">
      <w:pPr>
        <w:pStyle w:val="pheading"/>
      </w:pPr>
      <w:r>
        <w:t>- Notes d’exécution complémentaires</w:t>
      </w:r>
    </w:p>
    <w:p w14:paraId="3AD231AD" w14:textId="77777777" w:rsidR="00DF410E" w:rsidRDefault="00CE7F43">
      <w:r>
        <w:t>Raccords visibles : joint en forme de</w:t>
      </w:r>
      <w:r>
        <w:rPr>
          <w:rStyle w:val="optioncarChar"/>
        </w:rPr>
        <w:t> V </w:t>
      </w:r>
      <w:r>
        <w:t>(par défaut)</w:t>
      </w:r>
      <w:r>
        <w:rPr>
          <w:rStyle w:val="optioncarChar"/>
        </w:rPr>
        <w:t xml:space="preserve"> / ***</w:t>
      </w:r>
      <w:r>
        <w:br/>
        <w:t>Joints de reprise :</w:t>
      </w:r>
      <w:r>
        <w:br/>
        <w:t>Ponts d'humidité / étanchéité à l'eau :</w:t>
      </w:r>
      <w:r>
        <w:br/>
        <w:t>Ponts thermiques / isolation thermique :</w:t>
      </w:r>
      <w:r>
        <w:br/>
        <w:t>Réservations / pénétrations :</w:t>
      </w:r>
      <w:r>
        <w:br/>
        <w:t>Ancrages :</w:t>
      </w:r>
    </w:p>
    <w:p w14:paraId="2CC89509" w14:textId="77777777" w:rsidR="00DF410E" w:rsidRDefault="00CE7F43">
      <w:pPr>
        <w:pStyle w:val="pheading"/>
      </w:pPr>
      <w:r>
        <w:t>DOCUMENTS DE RÉFÉRENCE COMPLÉMENTAIRES</w:t>
      </w:r>
    </w:p>
    <w:p w14:paraId="260A5649" w14:textId="77777777" w:rsidR="00DF410E" w:rsidRDefault="00CE7F43">
      <w:pPr>
        <w:pStyle w:val="pheading"/>
      </w:pPr>
      <w:r>
        <w:t>- Matériau</w:t>
      </w:r>
    </w:p>
    <w:p w14:paraId="759CE417" w14:textId="77777777" w:rsidR="00DF410E" w:rsidRDefault="00CE7F43">
      <w:r>
        <w:t>[NBN A 24-302, Produits sidérurgiques - Aciers pour béton armé - Barres lisses et barres à nervures - Fils machine lisses et fils machine à nervures]</w:t>
      </w:r>
    </w:p>
    <w:p w14:paraId="1EE741B1" w14:textId="77777777" w:rsidR="00DF410E" w:rsidRDefault="00CE7F43">
      <w:r>
        <w:t>[NBN EN 14889-1, Fibres pour béton - Partie 1 : Fibres d'acier - Définitions, spécifications et conformité]</w:t>
      </w:r>
    </w:p>
    <w:p w14:paraId="28CFD62E" w14:textId="77777777" w:rsidR="00DF410E" w:rsidRDefault="00CE7F43">
      <w:pPr>
        <w:pStyle w:val="pheading"/>
      </w:pPr>
      <w:r>
        <w:t>MESURAGE</w:t>
      </w:r>
    </w:p>
    <w:p w14:paraId="48586300" w14:textId="77777777" w:rsidR="00DF410E" w:rsidRDefault="00CE7F43">
      <w:pPr>
        <w:pStyle w:val="pheading"/>
      </w:pPr>
      <w:r>
        <w:t>- unité de mesure:</w:t>
      </w:r>
    </w:p>
    <w:p w14:paraId="01DACB00" w14:textId="77777777" w:rsidR="00DF410E" w:rsidRDefault="00CE7F43">
      <w:r>
        <w:t>m³ pour le béton.</w:t>
      </w:r>
      <w:r>
        <w:br/>
        <w:t>kg pour les armatures.</w:t>
      </w:r>
      <w:r>
        <w:br/>
        <w:t>PM, coffrages</w:t>
      </w:r>
    </w:p>
    <w:p w14:paraId="41AA63DD" w14:textId="77777777" w:rsidR="00DF410E" w:rsidRDefault="00CE7F43">
      <w:pPr>
        <w:pStyle w:val="pheading"/>
      </w:pPr>
      <w:r>
        <w:t>- code de mesurage:</w:t>
      </w:r>
    </w:p>
    <w:p w14:paraId="40C5FD37" w14:textId="77777777" w:rsidR="00DF410E" w:rsidRDefault="00CE7F43">
      <w:r>
        <w:t>Mesurage du volume à couler selon la [NBN B 06-001]</w:t>
      </w:r>
      <w:r>
        <w:br/>
        <w:t>Mesurage des quantités selon la [NBN B 06-001]</w:t>
      </w:r>
    </w:p>
    <w:p w14:paraId="068FEEFE" w14:textId="77777777" w:rsidR="00DF410E" w:rsidRDefault="00CE7F43">
      <w:pPr>
        <w:pStyle w:val="pheading"/>
      </w:pPr>
      <w:r>
        <w:t>- nature du marché:</w:t>
      </w:r>
    </w:p>
    <w:p w14:paraId="5AD028BD" w14:textId="77777777" w:rsidR="00DF410E" w:rsidRDefault="00CE7F43">
      <w:r>
        <w:t>QF</w:t>
      </w:r>
    </w:p>
    <w:p w14:paraId="7EB7C9C6" w14:textId="77777777" w:rsidR="00DF410E" w:rsidRDefault="00CE7F43">
      <w:pPr>
        <w:pStyle w:val="pheading"/>
      </w:pPr>
      <w:r>
        <w:t>AIDE</w:t>
      </w:r>
    </w:p>
    <w:p w14:paraId="6BC4BF71" w14:textId="77777777" w:rsidR="00DF410E" w:rsidRDefault="00CE7F43">
      <w:r>
        <w:t xml:space="preserve">Les travaux d’étaiement et les reprises en sous-œuvre / … au niveau de l'infrastructure sont décrits dans le chapitre </w:t>
      </w:r>
      <w:hyperlink r:id="rId75" w:history="1" w:docLocation="199">
        <w:r>
          <w:t>14 Travaux d'étaiement, de soutènement et reprise en sous-œuvre</w:t>
        </w:r>
      </w:hyperlink>
      <w:r>
        <w:t>.</w:t>
      </w:r>
    </w:p>
    <w:p w14:paraId="75F13E78" w14:textId="77777777" w:rsidR="00DF410E" w:rsidRDefault="00CE7F43">
      <w:pPr>
        <w:pStyle w:val="Author-eSectionHeading5"/>
      </w:pPr>
      <w:bookmarkStart w:id="746" w:name="_Toc178837909"/>
      <w:r>
        <w:t>22.16.3 Parois préfabriquées en béton CCTB 01.11</w:t>
      </w:r>
      <w:bookmarkEnd w:id="746"/>
    </w:p>
    <w:p w14:paraId="42F67B81" w14:textId="77777777" w:rsidR="00DF410E" w:rsidRDefault="00CE7F43">
      <w:pPr>
        <w:pStyle w:val="pheading"/>
      </w:pPr>
      <w:bookmarkStart w:id="747" w:name="500"/>
      <w:bookmarkEnd w:id="747"/>
      <w:r>
        <w:t>DESCRIPTION</w:t>
      </w:r>
    </w:p>
    <w:p w14:paraId="04ECCBB9" w14:textId="77777777" w:rsidR="00DF410E" w:rsidRDefault="00CE7F43">
      <w:pPr>
        <w:pStyle w:val="pheading"/>
      </w:pPr>
      <w:r>
        <w:t>- Définition / Comprend</w:t>
      </w:r>
    </w:p>
    <w:p w14:paraId="0B50331B" w14:textId="77777777" w:rsidR="00DF410E" w:rsidRDefault="00CE7F43">
      <w:pPr>
        <w:jc w:val="both"/>
      </w:pPr>
      <w:r>
        <w:t>Il s'agit de toutes les faces en élévation des murs en béton armé ou béton précontraint, qui sont préfabriquées en usine et assemblées sur chantier aux constructions déjà exécutées.</w:t>
      </w:r>
    </w:p>
    <w:p w14:paraId="1EC53D72" w14:textId="77777777" w:rsidR="00DF410E" w:rsidRDefault="00CE7F43">
      <w:pPr>
        <w:jc w:val="both"/>
      </w:pPr>
      <w:r>
        <w:t>Le travail comprend notamment :</w:t>
      </w:r>
    </w:p>
    <w:p w14:paraId="0FD2FF75" w14:textId="77777777" w:rsidR="00DF410E" w:rsidRDefault="00CE7F43">
      <w:pPr>
        <w:pStyle w:val="Author-eListParagraph"/>
        <w:numPr>
          <w:ilvl w:val="0"/>
          <w:numId w:val="503"/>
        </w:numPr>
        <w:jc w:val="both"/>
      </w:pPr>
      <w:r>
        <w:t>La préparation et nettoyage du sol sur lesquels les parois sont posées ;</w:t>
      </w:r>
    </w:p>
    <w:p w14:paraId="2C9ED218" w14:textId="77777777" w:rsidR="00DF410E" w:rsidRDefault="00CE7F43">
      <w:pPr>
        <w:pStyle w:val="Author-eListParagraph"/>
        <w:numPr>
          <w:ilvl w:val="0"/>
          <w:numId w:val="503"/>
        </w:numPr>
        <w:jc w:val="both"/>
      </w:pPr>
      <w:r>
        <w:t>La livraison et la pose des parois, y compris tous les supports temporaires et travaux d’étayage ;</w:t>
      </w:r>
    </w:p>
    <w:p w14:paraId="63EEAB19" w14:textId="77777777" w:rsidR="00DF410E" w:rsidRDefault="00CE7F43">
      <w:pPr>
        <w:pStyle w:val="Author-eListParagraph"/>
        <w:numPr>
          <w:ilvl w:val="0"/>
          <w:numId w:val="503"/>
        </w:numPr>
        <w:jc w:val="both"/>
      </w:pPr>
      <w:r>
        <w:t>Les réservations prévues sur les plans ;</w:t>
      </w:r>
    </w:p>
    <w:p w14:paraId="5626C9C1" w14:textId="77777777" w:rsidR="00DF410E" w:rsidRDefault="00CE7F43">
      <w:pPr>
        <w:pStyle w:val="Author-eListParagraph"/>
        <w:numPr>
          <w:ilvl w:val="0"/>
          <w:numId w:val="503"/>
        </w:numPr>
        <w:jc w:val="both"/>
      </w:pPr>
      <w:r>
        <w:t>La finition des bords et travaux de réparation en cas d’endommagement ;</w:t>
      </w:r>
    </w:p>
    <w:p w14:paraId="2916CBA1" w14:textId="77777777" w:rsidR="00DF410E" w:rsidRDefault="00CE7F43">
      <w:pPr>
        <w:pStyle w:val="Author-eListParagraph"/>
        <w:numPr>
          <w:ilvl w:val="0"/>
          <w:numId w:val="503"/>
        </w:numPr>
        <w:jc w:val="both"/>
      </w:pPr>
      <w:r>
        <w:t>Le remplissage des joints de dilatation selon les directives du fournisseur ;</w:t>
      </w:r>
    </w:p>
    <w:p w14:paraId="6A8EA325" w14:textId="77777777" w:rsidR="00DF410E" w:rsidRDefault="00CE7F43">
      <w:pPr>
        <w:pStyle w:val="Author-eListParagraph"/>
        <w:numPr>
          <w:ilvl w:val="0"/>
          <w:numId w:val="503"/>
        </w:numPr>
        <w:jc w:val="both"/>
      </w:pPr>
      <w:r>
        <w:t>Le contrôle de toutes les dimensions et l’adaptation des éléments à préfabriquer aux dimensions réelles ;</w:t>
      </w:r>
    </w:p>
    <w:p w14:paraId="7D15C377" w14:textId="77777777" w:rsidR="00DF410E" w:rsidRDefault="00CE7F43">
      <w:pPr>
        <w:pStyle w:val="Author-eListParagraph"/>
        <w:numPr>
          <w:ilvl w:val="0"/>
          <w:numId w:val="503"/>
        </w:numPr>
        <w:jc w:val="both"/>
      </w:pPr>
      <w:r>
        <w:t>Toutes les armatures saillantes et recouvertes de béton, toutes les pièces pour leur placement et leur fixation ;</w:t>
      </w:r>
    </w:p>
    <w:p w14:paraId="46F8A431" w14:textId="77777777" w:rsidR="00DF410E" w:rsidRDefault="00CE7F43">
      <w:pPr>
        <w:pStyle w:val="Author-eListParagraph"/>
        <w:numPr>
          <w:ilvl w:val="0"/>
          <w:numId w:val="503"/>
        </w:numPr>
        <w:jc w:val="both"/>
      </w:pPr>
      <w:r>
        <w:t>Les armatures complémentaires de liaison, de renforcement et d’angle selon les indications figurant sur le plan de pose et/ou dans l’étude du béton ;</w:t>
      </w:r>
    </w:p>
    <w:p w14:paraId="4BBFBE4C" w14:textId="77777777" w:rsidR="00DF410E" w:rsidRDefault="00CE7F43">
      <w:pPr>
        <w:pStyle w:val="Author-eListParagraph"/>
        <w:numPr>
          <w:ilvl w:val="0"/>
          <w:numId w:val="503"/>
        </w:numPr>
        <w:jc w:val="both"/>
      </w:pPr>
      <w:r>
        <w:t>Tous les moyens de liaisonnement, aussi bien entre les éléments préfabriqués, qu’avec les éléments de bord, … ;</w:t>
      </w:r>
    </w:p>
    <w:p w14:paraId="15F442ED" w14:textId="77777777" w:rsidR="00DF410E" w:rsidRDefault="00CE7F43">
      <w:pPr>
        <w:pStyle w:val="Author-eListParagraph"/>
        <w:numPr>
          <w:ilvl w:val="0"/>
          <w:numId w:val="503"/>
        </w:numPr>
        <w:jc w:val="both"/>
      </w:pPr>
      <w:r>
        <w:t>Tous les treillis armés, armatures additionnelles et coffrages complémentaires, le remplissage éventuel des joints et/ou des creux entre les murs ;</w:t>
      </w:r>
    </w:p>
    <w:p w14:paraId="56B8455A" w14:textId="77777777" w:rsidR="00DF410E" w:rsidRDefault="00CE7F43">
      <w:pPr>
        <w:pStyle w:val="Author-eListParagraph"/>
        <w:numPr>
          <w:ilvl w:val="0"/>
          <w:numId w:val="503"/>
        </w:numPr>
        <w:jc w:val="both"/>
      </w:pPr>
      <w:r>
        <w:t>L’enlèvement de tous les accessoires, éléments de coffrage, supports, étais et le nettoyage des faces visibles. </w:t>
      </w:r>
    </w:p>
    <w:p w14:paraId="764983EE" w14:textId="77777777" w:rsidR="00DF410E" w:rsidRDefault="00CE7F43">
      <w:pPr>
        <w:pStyle w:val="pheading"/>
      </w:pPr>
      <w:r>
        <w:t>EXÉCUTION / MISE EN ŒUVRE</w:t>
      </w:r>
    </w:p>
    <w:p w14:paraId="7D57336C" w14:textId="77777777" w:rsidR="00DF410E" w:rsidRDefault="00CE7F43">
      <w:r>
        <w:t>La stabilité de la paroi doit être vérifiée avant désélingage.</w:t>
      </w:r>
    </w:p>
    <w:p w14:paraId="155CC114" w14:textId="77777777" w:rsidR="00DF410E" w:rsidRDefault="00CE7F43">
      <w:pPr>
        <w:pStyle w:val="pheading"/>
      </w:pPr>
      <w:r>
        <w:t>DOCUMENTS DE RÉFÉRENCE</w:t>
      </w:r>
    </w:p>
    <w:p w14:paraId="2267E612" w14:textId="77777777" w:rsidR="00DF410E" w:rsidRDefault="00CE7F43">
      <w:pPr>
        <w:pStyle w:val="pheading"/>
      </w:pPr>
      <w:r>
        <w:t>- Matériau</w:t>
      </w:r>
    </w:p>
    <w:p w14:paraId="06F21729" w14:textId="77777777" w:rsidR="00DF410E" w:rsidRDefault="00CE7F43">
      <w:r>
        <w:t>[NBN EN 14992+A1, Produits préfabriqués en béton - Eléments de mur]</w:t>
      </w:r>
    </w:p>
    <w:p w14:paraId="106F3279" w14:textId="77777777" w:rsidR="00DF410E" w:rsidRDefault="00CE7F43">
      <w:r>
        <w:t>[NBN B 21-612, Produits préfabriqués en béton - Eléments de mur - Norme d'application nationale à la NBN EN 14992+A1:2012]</w:t>
      </w:r>
    </w:p>
    <w:p w14:paraId="14F016BD" w14:textId="77777777" w:rsidR="00DF410E" w:rsidRDefault="00CE7F43">
      <w:pPr>
        <w:pStyle w:val="Author-eSectionHeading6"/>
      </w:pPr>
      <w:bookmarkStart w:id="748" w:name="_Toc178837910"/>
      <w:r>
        <w:t>22.16.3a Parois pleines préfabriquées en béton armé CCTB 01.11</w:t>
      </w:r>
      <w:bookmarkEnd w:id="748"/>
    </w:p>
    <w:p w14:paraId="59A50EC6" w14:textId="77777777" w:rsidR="00DF410E" w:rsidRDefault="00CE7F43">
      <w:pPr>
        <w:pStyle w:val="pheading"/>
      </w:pPr>
      <w:r>
        <w:t>DESCRIPTION</w:t>
      </w:r>
    </w:p>
    <w:p w14:paraId="2C34B206" w14:textId="77777777" w:rsidR="00DF410E" w:rsidRDefault="00CE7F43">
      <w:pPr>
        <w:pStyle w:val="pheading"/>
      </w:pPr>
      <w:r>
        <w:t>- Définition / Comprend</w:t>
      </w:r>
    </w:p>
    <w:p w14:paraId="7C9E5FD3" w14:textId="77777777" w:rsidR="00DF410E" w:rsidRDefault="00CE7F43">
      <w:pPr>
        <w:jc w:val="both"/>
      </w:pPr>
      <w:r>
        <w:t>Cet article vise la fourniture et la pose de parois pleines préfabriqués en béton armé (BA), de forme quelconque, fabriqués sous forme d’éléments pleins, comportant armatures et inserts.  La portée des travaux est décrite dans l'élément </w:t>
      </w:r>
      <w:hyperlink w:anchor="500" w:history="1">
        <w:r>
          <w:t>22.16.3 Parois préfabriquées en béton</w:t>
        </w:r>
      </w:hyperlink>
      <w:r>
        <w:t>.</w:t>
      </w:r>
    </w:p>
    <w:p w14:paraId="62CF2513" w14:textId="77777777" w:rsidR="00DF410E" w:rsidRDefault="00CE7F43">
      <w:pPr>
        <w:pStyle w:val="pheading"/>
      </w:pPr>
      <w:r>
        <w:t>- Localisation</w:t>
      </w:r>
    </w:p>
    <w:p w14:paraId="3FCE3AD2" w14:textId="77777777" w:rsidR="00DF410E" w:rsidRDefault="00CE7F43">
      <w:r>
        <w:t xml:space="preserve">La pose est réalisée aux endroits suivants : </w:t>
      </w:r>
      <w:r>
        <w:rPr>
          <w:rStyle w:val="optioncarChar"/>
        </w:rPr>
        <w:t>***</w:t>
      </w:r>
      <w:r>
        <w:t>.</w:t>
      </w:r>
    </w:p>
    <w:p w14:paraId="65B359DC" w14:textId="77777777" w:rsidR="00DF410E" w:rsidRDefault="00CE7F43">
      <w:r>
        <w:t>Voir plans et métrés détaillés.</w:t>
      </w:r>
    </w:p>
    <w:p w14:paraId="2C8B4961" w14:textId="77777777" w:rsidR="00DF410E" w:rsidRDefault="00CE7F43">
      <w:pPr>
        <w:pStyle w:val="pheading"/>
      </w:pPr>
      <w:r>
        <w:t>MATÉRIAUX</w:t>
      </w:r>
    </w:p>
    <w:p w14:paraId="768ADCC3" w14:textId="77777777" w:rsidR="00DF410E" w:rsidRDefault="00CE7F43">
      <w:pPr>
        <w:pStyle w:val="pheading"/>
      </w:pPr>
      <w:r>
        <w:t>- Caractéristiques générales</w:t>
      </w:r>
    </w:p>
    <w:p w14:paraId="48440C77" w14:textId="77777777" w:rsidR="00DF410E" w:rsidRDefault="00CE7F43">
      <w:pPr>
        <w:jc w:val="both"/>
      </w:pPr>
      <w:r>
        <w:t>L’épaisseur des parois est de  </w:t>
      </w:r>
      <w:r>
        <w:rPr>
          <w:rStyle w:val="optioncarChar"/>
        </w:rPr>
        <w:t>***</w:t>
      </w:r>
      <w:r>
        <w:t xml:space="preserve"> cm. </w:t>
      </w:r>
    </w:p>
    <w:p w14:paraId="759F1329" w14:textId="77777777" w:rsidR="00DF410E" w:rsidRDefault="00CE7F43">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72AEF53E" w14:textId="77777777" w:rsidR="00DF410E" w:rsidRDefault="00CE7F43">
      <w:pPr>
        <w:jc w:val="both"/>
      </w:pPr>
      <w:r>
        <w:rPr>
          <w:b/>
        </w:rPr>
        <w:t>Résistance au feu des parois</w:t>
      </w:r>
    </w:p>
    <w:p w14:paraId="3D033459" w14:textId="77777777" w:rsidR="00DF410E" w:rsidRDefault="00CE7F43">
      <w:pPr>
        <w:jc w:val="both"/>
      </w:pPr>
      <w:r>
        <w:t>Résistance au feu suivant la déclaration de performance (DoP) selon les [NBN EN 14992+A1] et [NBN B 21-612].</w:t>
      </w:r>
    </w:p>
    <w:p w14:paraId="3EFC18AB" w14:textId="77777777" w:rsidR="00DF410E" w:rsidRDefault="00CE7F43">
      <w:pPr>
        <w:jc w:val="both"/>
      </w:pPr>
      <w:r>
        <w:t>Si la résistance au feu n’est pas déclarée sous marquage CE, elle est démontrée par test au feu selon la [NBN EN 13501-2] ou par calcul selon les Eurocodes conformément à l’[AM 2013-05-17].</w:t>
      </w:r>
    </w:p>
    <w:p w14:paraId="684B25E5" w14:textId="77777777" w:rsidR="00DF410E" w:rsidRDefault="00CE7F43">
      <w:pPr>
        <w:jc w:val="both"/>
      </w:pPr>
      <w:r>
        <w:t>- Pour les éléments porteurs sans fonction séparante </w:t>
      </w:r>
      <w:r>
        <w:rPr>
          <w:rStyle w:val="optioncarChar"/>
        </w:rPr>
        <w:t xml:space="preserve"> R15 / R30</w:t>
      </w:r>
      <w:r>
        <w:t xml:space="preserve"> (par défaut) </w:t>
      </w:r>
      <w:r>
        <w:rPr>
          <w:rStyle w:val="optioncarChar"/>
        </w:rPr>
        <w:t>/ R60 / R120 / R ***</w:t>
      </w:r>
    </w:p>
    <w:p w14:paraId="25F9B0DD" w14:textId="77777777" w:rsidR="00DF410E" w:rsidRDefault="00CE7F43">
      <w:pPr>
        <w:jc w:val="both"/>
      </w:pPr>
      <w:r>
        <w:t xml:space="preserve">- Pour les éléments porteurs avec fonction séparante  </w:t>
      </w:r>
      <w:r>
        <w:rPr>
          <w:rStyle w:val="optioncarChar"/>
        </w:rPr>
        <w:t>REI 30 </w:t>
      </w:r>
      <w:r>
        <w:t>(par défaut)</w:t>
      </w:r>
      <w:r>
        <w:rPr>
          <w:rStyle w:val="optioncarChar"/>
        </w:rPr>
        <w:t xml:space="preserve"> / REI 60 / REI 120 / REI ***</w:t>
      </w:r>
    </w:p>
    <w:p w14:paraId="7702CC9F" w14:textId="77777777" w:rsidR="00DF410E" w:rsidRDefault="00CE7F43">
      <w:pPr>
        <w:jc w:val="both"/>
      </w:pPr>
      <w:r>
        <w:t xml:space="preserve">- Pour les éléments non porteurs avec fonction séparante : </w:t>
      </w:r>
      <w:r>
        <w:rPr>
          <w:rStyle w:val="optioncarChar"/>
        </w:rPr>
        <w:t>EI 30</w:t>
      </w:r>
      <w:r>
        <w:t> (par défaut)</w:t>
      </w:r>
      <w:r>
        <w:rPr>
          <w:rStyle w:val="optioncarChar"/>
        </w:rPr>
        <w:t> / EI 60 / EI 120 / EI ***</w:t>
      </w:r>
    </w:p>
    <w:p w14:paraId="4170F4C2" w14:textId="77777777" w:rsidR="00DF410E" w:rsidRDefault="00CE7F43">
      <w:pPr>
        <w:jc w:val="both"/>
      </w:pPr>
      <w:r>
        <w:rPr>
          <w:b/>
        </w:rPr>
        <w:t>Classe d’étanchéité</w:t>
      </w:r>
    </w:p>
    <w:p w14:paraId="256AA034" w14:textId="77777777" w:rsidR="00DF410E" w:rsidRDefault="00CE7F43">
      <w:pPr>
        <w:jc w:val="both"/>
      </w:pPr>
      <w:r>
        <w:t>La classe d’étanchéité à l’eau des parois selon la [NBN EN 1992-3] est :</w:t>
      </w:r>
      <w:r>
        <w:rPr>
          <w:rStyle w:val="optioncarChar"/>
        </w:rPr>
        <w:t xml:space="preserve"> classe 0</w:t>
      </w:r>
      <w:r>
        <w:t xml:space="preserve"> (défaut) </w:t>
      </w:r>
      <w:r>
        <w:rPr>
          <w:rStyle w:val="optioncarChar"/>
        </w:rPr>
        <w:t>/ classe 1 / classe 2 / classe 3</w:t>
      </w:r>
      <w:r>
        <w:t>. Pour la classe 1, l’épaisseur minimale des parois est de 100mm.  Pour les classes 2 et 3, l’épaisseur minimale est de 200mm.</w:t>
      </w:r>
    </w:p>
    <w:p w14:paraId="0690A9AF" w14:textId="77777777" w:rsidR="00DF410E" w:rsidRDefault="00DF410E"/>
    <w:p w14:paraId="76CA5A4A" w14:textId="77777777" w:rsidR="00DF410E" w:rsidRDefault="00CE7F43">
      <w:r>
        <w:t> </w:t>
      </w:r>
    </w:p>
    <w:p w14:paraId="4BF6C02B" w14:textId="77777777" w:rsidR="00DF410E" w:rsidRDefault="00CE7F43">
      <w:pPr>
        <w:pStyle w:val="pheading"/>
      </w:pPr>
      <w:r>
        <w:t>- Finitions</w:t>
      </w:r>
    </w:p>
    <w:p w14:paraId="5437120E" w14:textId="77777777" w:rsidR="00DF410E" w:rsidRDefault="00CE7F43">
      <w:pPr>
        <w:jc w:val="both"/>
      </w:pPr>
      <w:r>
        <w:t xml:space="preserve">La finition extérieure des parois: </w:t>
      </w:r>
      <w:r>
        <w:rPr>
          <w:rStyle w:val="optioncarChar"/>
        </w:rPr>
        <w:t>béton lisse industriel selon l’[NBN EN 13369:2023] + [NBN B 21-600]</w:t>
      </w:r>
      <w:r>
        <w:t> (par défaut)</w:t>
      </w:r>
      <w:r>
        <w:rPr>
          <w:rStyle w:val="optioncarChar"/>
        </w:rPr>
        <w:t xml:space="preserve"> / ***</w:t>
      </w:r>
      <w:r>
        <w:t>.</w:t>
      </w:r>
    </w:p>
    <w:p w14:paraId="5FBC7428" w14:textId="77777777" w:rsidR="00DF410E" w:rsidRDefault="00CE7F43">
      <w:pPr>
        <w:jc w:val="both"/>
      </w:pPr>
      <w:r>
        <w:t xml:space="preserve">La finition des faces intérieures des éléments est : </w:t>
      </w:r>
      <w:r>
        <w:rPr>
          <w:rStyle w:val="optioncarChar"/>
        </w:rPr>
        <w:t>talochée</w:t>
      </w:r>
      <w:r>
        <w:t xml:space="preserve"> (par défaut) </w:t>
      </w:r>
      <w:r>
        <w:rPr>
          <w:rStyle w:val="optioncarChar"/>
        </w:rPr>
        <w:t>/ brute et lisse / ***.</w:t>
      </w:r>
    </w:p>
    <w:p w14:paraId="5BC110E6" w14:textId="77777777" w:rsidR="00DF410E" w:rsidRDefault="00CE7F43">
      <w:pPr>
        <w:jc w:val="both"/>
      </w:pPr>
      <w:r>
        <w:t xml:space="preserve">La finition des faces extérieures (apparentes) des éléments est : </w:t>
      </w:r>
      <w:r>
        <w:rPr>
          <w:rStyle w:val="optioncarChar"/>
        </w:rPr>
        <w:t>brute et lisse </w:t>
      </w:r>
      <w:r>
        <w:t>(par défaut)</w:t>
      </w:r>
      <w:r>
        <w:rPr>
          <w:rStyle w:val="optioncarChar"/>
        </w:rPr>
        <w:t> / ***</w:t>
      </w:r>
      <w:r>
        <w:t>.</w:t>
      </w:r>
    </w:p>
    <w:p w14:paraId="18B236C0" w14:textId="77777777" w:rsidR="00DF410E" w:rsidRDefault="00CE7F43">
      <w:pPr>
        <w:jc w:val="both"/>
      </w:pPr>
      <w:r>
        <w:t xml:space="preserve">Le joint entre les éléments préfabriqués est : </w:t>
      </w:r>
      <w:r>
        <w:rPr>
          <w:rStyle w:val="optioncarChar"/>
        </w:rPr>
        <w:t>vide / rempli par un joint souple </w:t>
      </w:r>
      <w:r>
        <w:t>(par défaut)</w:t>
      </w:r>
      <w:r>
        <w:rPr>
          <w:rStyle w:val="optioncarChar"/>
        </w:rPr>
        <w:t xml:space="preserve"> / muni d’un dispositif d'étanchéité .</w:t>
      </w:r>
    </w:p>
    <w:p w14:paraId="07EB2C82" w14:textId="77777777" w:rsidR="00DF410E" w:rsidRDefault="00CE7F43">
      <w:pPr>
        <w:jc w:val="both"/>
      </w:pPr>
      <w:r>
        <w:t>Les arêtes de la face apparente sont </w:t>
      </w:r>
      <w:r>
        <w:rPr>
          <w:rStyle w:val="optioncarChar"/>
        </w:rPr>
        <w:t>: droites </w:t>
      </w:r>
      <w:r>
        <w:t>(par défaut)</w:t>
      </w:r>
      <w:r>
        <w:rPr>
          <w:rStyle w:val="optioncarChar"/>
        </w:rPr>
        <w:t xml:space="preserve"> / munies de chanfreins / ***</w:t>
      </w:r>
      <w:r>
        <w:t>.</w:t>
      </w:r>
    </w:p>
    <w:p w14:paraId="64173903" w14:textId="77777777" w:rsidR="00DF410E" w:rsidRDefault="00CE7F43">
      <w:pPr>
        <w:jc w:val="both"/>
      </w:pPr>
      <w:r>
        <w:t xml:space="preserve">La tête de l’élément préfabriqué est : </w:t>
      </w:r>
      <w:r>
        <w:rPr>
          <w:rStyle w:val="optioncarChar"/>
        </w:rPr>
        <w:t>droite </w:t>
      </w:r>
      <w:r>
        <w:t>(par défaut)</w:t>
      </w:r>
      <w:r>
        <w:rPr>
          <w:rStyle w:val="optioncarChar"/>
        </w:rPr>
        <w:t xml:space="preserve"> / arrondie / ***</w:t>
      </w:r>
      <w:r>
        <w:t>.</w:t>
      </w:r>
    </w:p>
    <w:p w14:paraId="69F3145C" w14:textId="77777777" w:rsidR="00DF410E" w:rsidRDefault="00CE7F43">
      <w:pPr>
        <w:pStyle w:val="pheading"/>
      </w:pPr>
      <w:r>
        <w:t>EXÉCUTION / MISE EN ŒUVRE</w:t>
      </w:r>
    </w:p>
    <w:p w14:paraId="2D60F952" w14:textId="77777777" w:rsidR="00DF410E" w:rsidRDefault="00CE7F43">
      <w:pPr>
        <w:pStyle w:val="pheading"/>
      </w:pPr>
      <w:r>
        <w:t>- Prescriptions générales</w:t>
      </w:r>
    </w:p>
    <w:p w14:paraId="7C4987D7" w14:textId="77777777" w:rsidR="00DF410E" w:rsidRDefault="00CE7F43">
      <w:pPr>
        <w:jc w:val="both"/>
      </w:pPr>
      <w:r>
        <w:t>Le plan de pose doit être approuvé par l’entrepreneur ou le bureau d’études.</w:t>
      </w:r>
    </w:p>
    <w:p w14:paraId="2BED4721" w14:textId="77777777" w:rsidR="00DF410E" w:rsidRDefault="00CE7F43">
      <w:pPr>
        <w:jc w:val="both"/>
      </w:pPr>
      <w:r>
        <w:t>Les parois sont fabriquées dans les dimensions indiquées sur les plans d’exécution approuvés.</w:t>
      </w:r>
    </w:p>
    <w:p w14:paraId="48CE98ED" w14:textId="77777777" w:rsidR="00DF410E" w:rsidRDefault="00CE7F43">
      <w:pPr>
        <w:jc w:val="both"/>
      </w:pPr>
      <w:r>
        <w:t>La mise en œuvre est conforme aux normes [NBN EN 13670] et [NBN B 15-400].   Les recommandations du [Buildwise Méthode de dimensionnement Rapport 10] sont également respectées.</w:t>
      </w:r>
    </w:p>
    <w:p w14:paraId="38CD9111" w14:textId="77777777" w:rsidR="00DF410E" w:rsidRDefault="00CE7F43">
      <w:pPr>
        <w:jc w:val="both"/>
      </w:pPr>
      <w:r>
        <w:t>L’alignement des parois est réalisé au moyen d’étais et de madriers en bois parfaitement alignés.</w:t>
      </w:r>
    </w:p>
    <w:p w14:paraId="41431244" w14:textId="77777777" w:rsidR="00DF410E" w:rsidRDefault="00CE7F43">
      <w:pPr>
        <w:jc w:val="both"/>
      </w:pPr>
      <w:r>
        <w:t>Le sol/support devra être non travaillé et stable.</w:t>
      </w:r>
    </w:p>
    <w:p w14:paraId="4520936B" w14:textId="77777777" w:rsidR="00DF410E" w:rsidRDefault="00CE7F43">
      <w:pPr>
        <w:jc w:val="both"/>
      </w:pPr>
      <w:r>
        <w:t>La verticalité doit être garantie par la pose préalable de madrier en bois</w:t>
      </w:r>
    </w:p>
    <w:p w14:paraId="0DC44C1C" w14:textId="77777777" w:rsidR="00DF410E" w:rsidRDefault="00CE7F43">
      <w:pPr>
        <w:jc w:val="both"/>
      </w:pPr>
      <w:r>
        <w:t>Si les parois doivent être étanches à l’eau, il y a lieu que la mise en œuvre soit conforme à la [NIT 247] et à la [NIT 250].</w:t>
      </w:r>
    </w:p>
    <w:p w14:paraId="3EA898A7" w14:textId="77777777" w:rsidR="00DF410E" w:rsidRDefault="00CE7F43">
      <w:pPr>
        <w:pStyle w:val="pheading"/>
      </w:pPr>
      <w:r>
        <w:t>DOCUMENTS DE RÉFÉRENCE COMPLÉMENTAIRES</w:t>
      </w:r>
    </w:p>
    <w:p w14:paraId="64F50746" w14:textId="77777777" w:rsidR="00DF410E" w:rsidRDefault="00CE7F43">
      <w:pPr>
        <w:pStyle w:val="pheading"/>
      </w:pPr>
      <w:r>
        <w:t>- Matériau</w:t>
      </w:r>
    </w:p>
    <w:p w14:paraId="2724E2A5" w14:textId="77777777" w:rsidR="00DF410E" w:rsidRDefault="00CE7F43">
      <w:r>
        <w:t>[NBN EN 14992+A1, Produits préfabriqués en béton - Eléments de mur]</w:t>
      </w:r>
      <w:r>
        <w:br/>
      </w:r>
      <w:r>
        <w:br/>
        <w:t>[NBN B 21-612, Produits préfabriqués en béton - Eléments de mur - Norme d'application nationale à la NBN EN 14992+A1:2012]</w:t>
      </w:r>
    </w:p>
    <w:p w14:paraId="4D17A217" w14:textId="77777777" w:rsidR="00DF410E" w:rsidRDefault="00CE7F43">
      <w:r>
        <w:t>[RA 21-612, Règlement d'application Benor - Produits préfabriqués en béton - Eléments de murs]</w:t>
      </w:r>
    </w:p>
    <w:p w14:paraId="1EB23781" w14:textId="77777777" w:rsidR="00DF410E" w:rsidRDefault="00CE7F43">
      <w:r>
        <w:t>[Buildwise Méthode de dimensionnement Rapport 10, Sécurité et mise en oeuvre d'éléments préfabriqués en béton]</w:t>
      </w:r>
    </w:p>
    <w:p w14:paraId="36081FF6" w14:textId="77777777" w:rsidR="00DF410E" w:rsidRDefault="00DF410E"/>
    <w:p w14:paraId="70BF00DF" w14:textId="77777777" w:rsidR="00DF410E" w:rsidRDefault="00CE7F43">
      <w:r>
        <w:t> </w:t>
      </w:r>
    </w:p>
    <w:p w14:paraId="6A91696A" w14:textId="77777777" w:rsidR="00DF410E" w:rsidRDefault="00CE7F43">
      <w:pPr>
        <w:pStyle w:val="pheading"/>
      </w:pPr>
      <w:r>
        <w:t>- Exécution</w:t>
      </w:r>
    </w:p>
    <w:p w14:paraId="6785F1D4" w14:textId="77777777" w:rsidR="00DF410E" w:rsidRDefault="00CE7F43">
      <w:r>
        <w:t>[NIT 247, Conception et exécution des ouvrages étanches en béton]</w:t>
      </w:r>
    </w:p>
    <w:p w14:paraId="189B488E" w14:textId="77777777" w:rsidR="00DF410E" w:rsidRDefault="00CE7F43">
      <w:r>
        <w:t>[NIT 250, Détails de référence pour les constructions enterrées]</w:t>
      </w:r>
    </w:p>
    <w:p w14:paraId="183B30B4" w14:textId="77777777" w:rsidR="00DF410E" w:rsidRDefault="00CE7F43">
      <w:pPr>
        <w:pStyle w:val="pheading"/>
      </w:pPr>
      <w:r>
        <w:t>MESURAGE</w:t>
      </w:r>
    </w:p>
    <w:p w14:paraId="31C816F3" w14:textId="77777777" w:rsidR="00DF410E" w:rsidRDefault="00CE7F43">
      <w:pPr>
        <w:pStyle w:val="pheading"/>
      </w:pPr>
      <w:r>
        <w:t>- unité de mesure:</w:t>
      </w:r>
    </w:p>
    <w:p w14:paraId="64252C89" w14:textId="77777777" w:rsidR="00DF410E" w:rsidRDefault="00CE7F43">
      <w:r>
        <w:rPr>
          <w:rStyle w:val="optioncarChar"/>
        </w:rPr>
        <w:t>m²</w:t>
      </w:r>
      <w:r>
        <w:t xml:space="preserve"> (par défaut) </w:t>
      </w:r>
      <w:r>
        <w:rPr>
          <w:rStyle w:val="optioncarChar"/>
        </w:rPr>
        <w:t>/  m³</w:t>
      </w:r>
    </w:p>
    <w:p w14:paraId="012A6FD2" w14:textId="77777777" w:rsidR="00DF410E" w:rsidRDefault="00CE7F43">
      <w:r>
        <w:rPr>
          <w:b/>
          <w:i/>
        </w:rPr>
        <w:t>(soit par défaut)</w:t>
      </w:r>
    </w:p>
    <w:p w14:paraId="54107BEB" w14:textId="77777777" w:rsidR="00DF410E" w:rsidRDefault="00CE7F43">
      <w:r>
        <w:rPr>
          <w:rStyle w:val="soitChar"/>
        </w:rPr>
        <w:t>1. m²</w:t>
      </w:r>
    </w:p>
    <w:p w14:paraId="176EBBCB" w14:textId="77777777" w:rsidR="00DF410E" w:rsidRDefault="00CE7F43">
      <w:r>
        <w:rPr>
          <w:b/>
          <w:i/>
        </w:rPr>
        <w:t>(soit)</w:t>
      </w:r>
    </w:p>
    <w:p w14:paraId="0E271C63" w14:textId="77777777" w:rsidR="00DF410E" w:rsidRDefault="00CE7F43">
      <w:r>
        <w:rPr>
          <w:rStyle w:val="soitChar"/>
        </w:rPr>
        <w:t>2. m³</w:t>
      </w:r>
    </w:p>
    <w:p w14:paraId="0D78B9F1" w14:textId="77777777" w:rsidR="00DF410E" w:rsidRDefault="00CE7F43">
      <w:pPr>
        <w:pStyle w:val="pheading"/>
      </w:pPr>
      <w:r>
        <w:t>- code de mesurage:</w:t>
      </w:r>
    </w:p>
    <w:p w14:paraId="6B81F9F6" w14:textId="77777777" w:rsidR="00DF410E" w:rsidRDefault="00CE7F43">
      <w:r>
        <w:rPr>
          <w:rStyle w:val="optioncarChar"/>
        </w:rPr>
        <w:t>Surface nette</w:t>
      </w:r>
      <w:r>
        <w:t xml:space="preserve"> (par défaut) </w:t>
      </w:r>
      <w:r>
        <w:rPr>
          <w:rStyle w:val="optioncarChar"/>
        </w:rPr>
        <w:t>/ Volume net</w:t>
      </w:r>
    </w:p>
    <w:p w14:paraId="745F4109" w14:textId="77777777" w:rsidR="00DF410E" w:rsidRDefault="00CE7F43">
      <w:r>
        <w:rPr>
          <w:b/>
          <w:i/>
        </w:rPr>
        <w:t>(Soit par défaut)</w:t>
      </w:r>
    </w:p>
    <w:p w14:paraId="054EDB0D" w14:textId="77777777" w:rsidR="00DF410E" w:rsidRDefault="00CE7F43">
      <w:r>
        <w:rPr>
          <w:rStyle w:val="soitChar"/>
          <w:u w:val="single"/>
        </w:rPr>
        <w:t>1. Surface nette:</w:t>
      </w:r>
      <w:r>
        <w:rPr>
          <w:rStyle w:val="soitChar"/>
        </w:rPr>
        <w:t xml:space="preserve"> Longueur x Largeur de la paroi selon les plans.</w:t>
      </w:r>
    </w:p>
    <w:p w14:paraId="3D36410A" w14:textId="77777777" w:rsidR="00DF410E" w:rsidRDefault="00CE7F43">
      <w:r>
        <w:rPr>
          <w:b/>
          <w:i/>
        </w:rPr>
        <w:t>(Soit)</w:t>
      </w:r>
    </w:p>
    <w:p w14:paraId="6569E2C4" w14:textId="77777777" w:rsidR="00DF410E" w:rsidRDefault="00CE7F43">
      <w:r>
        <w:rPr>
          <w:rStyle w:val="soitChar"/>
          <w:u w:val="single"/>
        </w:rPr>
        <w:t>2. Volume net :</w:t>
      </w:r>
      <w:r>
        <w:rPr>
          <w:rStyle w:val="soitChar"/>
        </w:rPr>
        <w:t xml:space="preserve"> Volume net des parois en béton selon les plans.  Toutes les armatures des parois sont comprises dans le prix unitaire de cet article.  Il n’est pas fait de déduction de volume de béton pour les réservations, écarteurs, les armatures etc. si ce volume est inférieur à 0,05 m³.</w:t>
      </w:r>
    </w:p>
    <w:p w14:paraId="2A2D53A5" w14:textId="77777777" w:rsidR="00DF410E" w:rsidRDefault="00CE7F43">
      <w:pPr>
        <w:pStyle w:val="pheading"/>
      </w:pPr>
      <w:r>
        <w:t>- nature du marché:</w:t>
      </w:r>
    </w:p>
    <w:p w14:paraId="27EE9DA3" w14:textId="77777777" w:rsidR="00DF410E" w:rsidRDefault="00CE7F43">
      <w:r>
        <w:rPr>
          <w:rStyle w:val="optioncarChar"/>
        </w:rPr>
        <w:t>QF</w:t>
      </w:r>
      <w:r>
        <w:t xml:space="preserve"> (par défaut) </w:t>
      </w:r>
      <w:r>
        <w:rPr>
          <w:rStyle w:val="optioncarChar"/>
        </w:rPr>
        <w:t>/ QP</w:t>
      </w:r>
    </w:p>
    <w:p w14:paraId="08222EA4" w14:textId="77777777" w:rsidR="00DF410E" w:rsidRDefault="00CE7F43">
      <w:r>
        <w:rPr>
          <w:b/>
          <w:i/>
        </w:rPr>
        <w:t>(Soit par défaut)</w:t>
      </w:r>
    </w:p>
    <w:p w14:paraId="2263F470" w14:textId="77777777" w:rsidR="00DF410E" w:rsidRDefault="00CE7F43">
      <w:r>
        <w:rPr>
          <w:rStyle w:val="soitChar"/>
        </w:rPr>
        <w:t>1. 2. QF</w:t>
      </w:r>
    </w:p>
    <w:p w14:paraId="6FA542A1" w14:textId="77777777" w:rsidR="00DF410E" w:rsidRDefault="00CE7F43">
      <w:r>
        <w:rPr>
          <w:b/>
          <w:i/>
        </w:rPr>
        <w:t>(Soit)</w:t>
      </w:r>
    </w:p>
    <w:p w14:paraId="31FA0171" w14:textId="77777777" w:rsidR="00DF410E" w:rsidRDefault="00CE7F43">
      <w:r>
        <w:rPr>
          <w:rStyle w:val="soitChar"/>
        </w:rPr>
        <w:t>1. 2. QP</w:t>
      </w:r>
    </w:p>
    <w:p w14:paraId="5F1615B4" w14:textId="77777777" w:rsidR="00DF410E" w:rsidRDefault="00CE7F43">
      <w:pPr>
        <w:pStyle w:val="Author-eSectionHeading6"/>
      </w:pPr>
      <w:bookmarkStart w:id="749" w:name="_Toc178837911"/>
      <w:r>
        <w:t>22.16.3b Parois sandwich préfabriquées en béton  CCTB 01.11</w:t>
      </w:r>
      <w:bookmarkEnd w:id="749"/>
    </w:p>
    <w:p w14:paraId="6D4B896F" w14:textId="77777777" w:rsidR="00DF410E" w:rsidRDefault="00CE7F43">
      <w:pPr>
        <w:pStyle w:val="pheading"/>
      </w:pPr>
      <w:r>
        <w:t>DESCRIPTION</w:t>
      </w:r>
    </w:p>
    <w:p w14:paraId="05E44883" w14:textId="77777777" w:rsidR="00DF410E" w:rsidRDefault="00CE7F43">
      <w:pPr>
        <w:pStyle w:val="pheading"/>
      </w:pPr>
      <w:r>
        <w:t>- Définition / Comprend</w:t>
      </w:r>
    </w:p>
    <w:p w14:paraId="21BE6D55" w14:textId="77777777" w:rsidR="00DF410E" w:rsidRDefault="00CE7F43">
      <w:pPr>
        <w:jc w:val="both"/>
      </w:pPr>
      <w:r>
        <w:t xml:space="preserve">Cet article vise la fourniture et la pose de parois sandwich préfabriquées en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500" w:history="1">
        <w:r>
          <w:t>22.16.3 Parois préfabriquées en béton</w:t>
        </w:r>
      </w:hyperlink>
      <w:r>
        <w:t>.</w:t>
      </w:r>
    </w:p>
    <w:p w14:paraId="21752202" w14:textId="77777777" w:rsidR="00DF410E" w:rsidRDefault="00CE7F43">
      <w:pPr>
        <w:pStyle w:val="pheading"/>
      </w:pPr>
      <w:r>
        <w:t>- Localisation</w:t>
      </w:r>
    </w:p>
    <w:p w14:paraId="25A66F2F" w14:textId="77777777" w:rsidR="00DF410E" w:rsidRDefault="00CE7F43">
      <w:r>
        <w:t xml:space="preserve">La pose est réalisée aux endroits suivants : </w:t>
      </w:r>
      <w:r>
        <w:rPr>
          <w:rStyle w:val="optioncarChar"/>
        </w:rPr>
        <w:t>***</w:t>
      </w:r>
      <w:r>
        <w:t>.</w:t>
      </w:r>
    </w:p>
    <w:p w14:paraId="7D042A59" w14:textId="77777777" w:rsidR="00DF410E" w:rsidRDefault="00CE7F43">
      <w:r>
        <w:t>Voir plans et métrés détaillés.</w:t>
      </w:r>
    </w:p>
    <w:p w14:paraId="23D99517" w14:textId="77777777" w:rsidR="00DF410E" w:rsidRDefault="00CE7F43">
      <w:pPr>
        <w:pStyle w:val="pheading"/>
      </w:pPr>
      <w:r>
        <w:t>MATÉRIAUX</w:t>
      </w:r>
    </w:p>
    <w:p w14:paraId="6D395776" w14:textId="77777777" w:rsidR="00DF410E" w:rsidRDefault="00CE7F43">
      <w:pPr>
        <w:pStyle w:val="pheading"/>
      </w:pPr>
      <w:r>
        <w:t>- Caractéristiques générales</w:t>
      </w:r>
    </w:p>
    <w:p w14:paraId="4BDD4E57" w14:textId="77777777" w:rsidR="00DF410E" w:rsidRDefault="00CE7F43">
      <w:pPr>
        <w:jc w:val="both"/>
      </w:pPr>
      <w:r>
        <w:t>Il s’agit d’éléments de murs préfabriqués intégrant un isolant.</w:t>
      </w:r>
    </w:p>
    <w:p w14:paraId="04133ED8" w14:textId="77777777" w:rsidR="00DF410E" w:rsidRDefault="00CE7F43">
      <w:pPr>
        <w:jc w:val="both"/>
      </w:pPr>
      <w:r>
        <w:t>Valeur de Umax =  </w:t>
      </w:r>
      <w:r>
        <w:rPr>
          <w:rStyle w:val="optioncarChar"/>
        </w:rPr>
        <w:t>suivant étude de performance énergétique </w:t>
      </w:r>
      <w:r>
        <w:t>(par défaut)</w:t>
      </w:r>
      <w:r>
        <w:rPr>
          <w:rStyle w:val="optioncarChar"/>
        </w:rPr>
        <w:t xml:space="preserve"> / ***</w:t>
      </w:r>
      <w:r>
        <w:t xml:space="preserve"> W/m²K.</w:t>
      </w:r>
    </w:p>
    <w:p w14:paraId="715E92C6" w14:textId="77777777" w:rsidR="00DF410E" w:rsidRDefault="00CE7F43">
      <w:pPr>
        <w:jc w:val="both"/>
      </w:pPr>
      <w:r>
        <w:t>Les valeurs Umax sont toujours inférieures aux exigences légales en application au moment du dépôt du permis d’urbanisme.</w:t>
      </w:r>
    </w:p>
    <w:p w14:paraId="54319982" w14:textId="77777777" w:rsidR="00DF410E" w:rsidRDefault="00CE7F43">
      <w:pPr>
        <w:jc w:val="both"/>
      </w:pPr>
      <w:r>
        <w:t>Pour les parois utilisées comme éléments de l’enveloppe extérieure d’un ouvrage en contact avec les terres, l’isolant utilisé doit être peu sensible à l’humidité.  La continuité de l’isolation est assurée.</w:t>
      </w:r>
    </w:p>
    <w:p w14:paraId="0DDAF981" w14:textId="77777777" w:rsidR="00DF410E" w:rsidRDefault="00CE7F43">
      <w:pPr>
        <w:jc w:val="both"/>
      </w:pPr>
      <w:r>
        <w:t xml:space="preserve">L’épaisseur de la paroi extérieure est de : </w:t>
      </w:r>
      <w:r>
        <w:rPr>
          <w:rStyle w:val="optioncarChar"/>
        </w:rPr>
        <w:t>8 </w:t>
      </w:r>
      <w:r>
        <w:t xml:space="preserve">(par défaut) </w:t>
      </w:r>
      <w:r>
        <w:rPr>
          <w:rStyle w:val="optioncarChar"/>
        </w:rPr>
        <w:t>/ 9 / 10 / 11 / 12 / 14 / 16 / 20 / ***</w:t>
      </w:r>
      <w:r>
        <w:t xml:space="preserve"> cm.</w:t>
      </w:r>
    </w:p>
    <w:p w14:paraId="24A28535" w14:textId="77777777" w:rsidR="00DF410E" w:rsidRDefault="00CE7F43">
      <w:pPr>
        <w:jc w:val="both"/>
      </w:pPr>
      <w:r>
        <w:t xml:space="preserve">L’épaisseur de la paroi intérieure est de : </w:t>
      </w:r>
      <w:r>
        <w:rPr>
          <w:rStyle w:val="optioncarChar"/>
        </w:rPr>
        <w:t>12</w:t>
      </w:r>
      <w:r>
        <w:t> (par défaut)</w:t>
      </w:r>
      <w:r>
        <w:rPr>
          <w:rStyle w:val="optioncarChar"/>
        </w:rPr>
        <w:t xml:space="preserve"> / 14 / 20 / 25 / ***</w:t>
      </w:r>
      <w:r>
        <w:t xml:space="preserve"> cm. </w:t>
      </w:r>
    </w:p>
    <w:p w14:paraId="09DD16B4" w14:textId="77777777" w:rsidR="00DF410E" w:rsidRDefault="00CE7F43">
      <w:pPr>
        <w:jc w:val="both"/>
      </w:pPr>
      <w:r>
        <w:t xml:space="preserve">Matériaux d’isolation : </w:t>
      </w:r>
      <w:r>
        <w:rPr>
          <w:rStyle w:val="optioncarChar"/>
        </w:rPr>
        <w:t xml:space="preserve">EPS / PUR / PIR </w:t>
      </w:r>
      <w:r>
        <w:t xml:space="preserve">(par défaut) </w:t>
      </w:r>
      <w:r>
        <w:rPr>
          <w:rStyle w:val="optioncarChar"/>
        </w:rPr>
        <w:t>/ ***</w:t>
      </w:r>
      <w:r>
        <w:t>.</w:t>
      </w:r>
    </w:p>
    <w:p w14:paraId="01BC9FB5" w14:textId="77777777" w:rsidR="00DF410E" w:rsidRDefault="00CE7F43">
      <w:pPr>
        <w:jc w:val="both"/>
      </w:pPr>
      <w:r>
        <w:t xml:space="preserve">Epaisseur d’isolation : </w:t>
      </w:r>
      <w:r>
        <w:rPr>
          <w:rStyle w:val="optioncarChar"/>
        </w:rPr>
        <w:t>compatible avec l’exigence U </w:t>
      </w:r>
      <w:r>
        <w:t>(par défaut)</w:t>
      </w:r>
      <w:r>
        <w:rPr>
          <w:rStyle w:val="optioncarChar"/>
        </w:rPr>
        <w:t xml:space="preserve"> / 12 cm/ 16 cm / 22 cm / 24 cm / *** cm </w:t>
      </w:r>
    </w:p>
    <w:p w14:paraId="3C478B97" w14:textId="77777777" w:rsidR="00DF410E" w:rsidRDefault="00CE7F43">
      <w:pPr>
        <w:jc w:val="both"/>
      </w:pPr>
      <w:r>
        <w:t>La classe d’environnement est</w:t>
      </w:r>
      <w:r>
        <w:rPr>
          <w:rStyle w:val="optioncarChar"/>
        </w:rPr>
        <w:t xml:space="preserve"> EI</w:t>
      </w:r>
      <w:r>
        <w:t xml:space="preserve"> (par défaut)</w:t>
      </w:r>
      <w:r>
        <w:rPr>
          <w:rStyle w:val="optioncarChar"/>
        </w:rPr>
        <w:t> / EE1 / EE2 / EE3 / ES1 / ES2 / ES3 / EA1+*** / EA2+*** / EA3+ ***.</w:t>
      </w:r>
    </w:p>
    <w:p w14:paraId="1FC2F979" w14:textId="77777777" w:rsidR="00DF410E" w:rsidRDefault="00CE7F43">
      <w:pPr>
        <w:jc w:val="both"/>
      </w:pPr>
      <w:r>
        <w:rPr>
          <w:b/>
        </w:rPr>
        <w:t>Résistance au feu des parois</w:t>
      </w:r>
    </w:p>
    <w:p w14:paraId="15E96ABB" w14:textId="77777777" w:rsidR="00DF410E" w:rsidRDefault="00CE7F43">
      <w:pPr>
        <w:jc w:val="both"/>
      </w:pPr>
      <w:r>
        <w:t>Résistance au feu suivant la déclaration de performance (DoP) selon les [NBN EN 14992+A1] et [NBN B 21-612].</w:t>
      </w:r>
    </w:p>
    <w:p w14:paraId="36B03E42" w14:textId="77777777" w:rsidR="00DF410E" w:rsidRDefault="00CE7F43">
      <w:pPr>
        <w:jc w:val="both"/>
      </w:pPr>
      <w:r>
        <w:t>Si la résistance au feu n’est pas déclarée sous marquage CE, elle est démontrée par test au feu selon la [NBN EN 13501-2] ou par calcul selon les Eurocodes conformément à l’[AM 2013-05-17].</w:t>
      </w:r>
    </w:p>
    <w:p w14:paraId="225137E7" w14:textId="77777777" w:rsidR="00DF410E" w:rsidRDefault="00CE7F43">
      <w:pPr>
        <w:pStyle w:val="Author-eListParagraph"/>
        <w:numPr>
          <w:ilvl w:val="0"/>
          <w:numId w:val="504"/>
        </w:numPr>
      </w:pPr>
      <w:r>
        <w:t xml:space="preserve">Pour les éléments porteurs et structuraux sans fonction séparante  </w:t>
      </w:r>
      <w:r>
        <w:rPr>
          <w:rStyle w:val="optioncarChar"/>
        </w:rPr>
        <w:t>R15 / R30</w:t>
      </w:r>
      <w:r>
        <w:t xml:space="preserve"> (par défaut)</w:t>
      </w:r>
      <w:r>
        <w:rPr>
          <w:rStyle w:val="optioncarChar"/>
        </w:rPr>
        <w:t> / R60 / R120 / R ***</w:t>
      </w:r>
    </w:p>
    <w:p w14:paraId="20DA6F2A" w14:textId="77777777" w:rsidR="00DF410E" w:rsidRDefault="00CE7F43">
      <w:pPr>
        <w:pStyle w:val="Author-eListParagraph"/>
        <w:numPr>
          <w:ilvl w:val="0"/>
          <w:numId w:val="504"/>
        </w:numPr>
      </w:pPr>
      <w:r>
        <w:t xml:space="preserve">Pour les éléments porteurs et structuraux avec fonction séparante  </w:t>
      </w:r>
      <w:r>
        <w:rPr>
          <w:rStyle w:val="optioncarChar"/>
        </w:rPr>
        <w:t>REI 30 </w:t>
      </w:r>
      <w:r>
        <w:t>(par défaut)</w:t>
      </w:r>
      <w:r>
        <w:rPr>
          <w:rStyle w:val="optioncarChar"/>
        </w:rPr>
        <w:t> / REI 60 / REI 120 / REI *** </w:t>
      </w:r>
    </w:p>
    <w:p w14:paraId="76E7545A" w14:textId="77777777" w:rsidR="00DF410E" w:rsidRDefault="00CE7F43">
      <w:pPr>
        <w:pStyle w:val="Author-eListParagraph"/>
        <w:numPr>
          <w:ilvl w:val="0"/>
          <w:numId w:val="504"/>
        </w:numPr>
      </w:pPr>
      <w:r>
        <w:t xml:space="preserve">Pour les éléments non porteurs avec fonction séparante : </w:t>
      </w:r>
      <w:r>
        <w:rPr>
          <w:rStyle w:val="optioncarChar"/>
        </w:rPr>
        <w:t>EI 30 </w:t>
      </w:r>
      <w:r>
        <w:t xml:space="preserve">(par défaut) </w:t>
      </w:r>
      <w:r>
        <w:rPr>
          <w:rStyle w:val="optioncarChar"/>
        </w:rPr>
        <w:t>/ EI 60 / EI 120 / EI ***</w:t>
      </w:r>
    </w:p>
    <w:p w14:paraId="239C0672" w14:textId="77777777" w:rsidR="00DF410E" w:rsidRDefault="00CE7F43">
      <w:pPr>
        <w:jc w:val="both"/>
      </w:pPr>
      <w:r>
        <w:rPr>
          <w:b/>
        </w:rPr>
        <w:t>Classe d’étanchéité</w:t>
      </w:r>
    </w:p>
    <w:p w14:paraId="33AFFFBB" w14:textId="77777777" w:rsidR="00DF410E" w:rsidRDefault="00CE7F43">
      <w:pPr>
        <w:jc w:val="both"/>
      </w:pPr>
      <w:r>
        <w:t xml:space="preserve">La classe d’étanchéité à l’eau de la paroi selon la [NBN EN 1992-3] est : </w:t>
      </w:r>
      <w:r>
        <w:rPr>
          <w:rStyle w:val="optioncarChar"/>
        </w:rPr>
        <w:t>classe 0</w:t>
      </w:r>
      <w:r>
        <w:t xml:space="preserve"> (par défaut) </w:t>
      </w:r>
      <w:r>
        <w:rPr>
          <w:rStyle w:val="optioncarChar"/>
        </w:rPr>
        <w:t>/ classe 1 / classe 2 / classe 3</w:t>
      </w:r>
      <w:r>
        <w:t>. Pour la classe 1, l’épaisseur minimale du panneau extérieur de la paroi est de 100mm.  Pour les classes 2 et 3, l’épaisseur minimale du panneau extérieur est de 200mm.</w:t>
      </w:r>
    </w:p>
    <w:p w14:paraId="01F28B3E" w14:textId="77777777" w:rsidR="00DF410E" w:rsidRDefault="00DF410E"/>
    <w:p w14:paraId="50D488FD" w14:textId="77777777" w:rsidR="00DF410E" w:rsidRDefault="00CE7F43">
      <w:r>
        <w:t> </w:t>
      </w:r>
    </w:p>
    <w:p w14:paraId="049825FC" w14:textId="77777777" w:rsidR="00DF410E" w:rsidRDefault="00CE7F43">
      <w:pPr>
        <w:pStyle w:val="pheading"/>
      </w:pPr>
      <w:r>
        <w:t>- Finitions</w:t>
      </w:r>
    </w:p>
    <w:p w14:paraId="5BF5F762" w14:textId="77777777" w:rsidR="00DF410E" w:rsidRDefault="00CE7F43">
      <w:pPr>
        <w:jc w:val="both"/>
      </w:pPr>
      <w:r>
        <w:t>La finition extérieure des parois:</w:t>
      </w:r>
      <w:r>
        <w:rPr>
          <w:rStyle w:val="optioncarChar"/>
        </w:rPr>
        <w:t xml:space="preserve"> béton lisse industriel selon [NBN EN 13369:2023] + [NBN B 21-600]</w:t>
      </w:r>
      <w:r>
        <w:t> (par défaut)</w:t>
      </w:r>
      <w:r>
        <w:rPr>
          <w:rStyle w:val="optioncarChar"/>
        </w:rPr>
        <w:t xml:space="preserve"> / ***.</w:t>
      </w:r>
    </w:p>
    <w:p w14:paraId="06204558" w14:textId="77777777" w:rsidR="00DF410E" w:rsidRDefault="00CE7F43">
      <w:pPr>
        <w:jc w:val="both"/>
      </w:pPr>
      <w:r>
        <w:t>La finition des faces intérieures des éléments est :</w:t>
      </w:r>
      <w:r>
        <w:rPr>
          <w:rStyle w:val="optioncarChar"/>
        </w:rPr>
        <w:t xml:space="preserve"> talochée</w:t>
      </w:r>
      <w:r>
        <w:t xml:space="preserve"> (par défaut)</w:t>
      </w:r>
      <w:r>
        <w:rPr>
          <w:rStyle w:val="optioncarChar"/>
        </w:rPr>
        <w:t xml:space="preserve"> / brute et lisse / ***.</w:t>
      </w:r>
    </w:p>
    <w:p w14:paraId="1F10F32C" w14:textId="77777777" w:rsidR="00DF410E" w:rsidRDefault="00CE7F43">
      <w:pPr>
        <w:jc w:val="both"/>
      </w:pPr>
      <w:r>
        <w:t>La finition des faces extérieures (apparentes) des éléments est :</w:t>
      </w:r>
      <w:r>
        <w:rPr>
          <w:rStyle w:val="optioncarChar"/>
        </w:rPr>
        <w:t> brute et lisse</w:t>
      </w:r>
      <w:r>
        <w:t xml:space="preserve"> (par défaut)</w:t>
      </w:r>
      <w:r>
        <w:rPr>
          <w:rStyle w:val="optioncarChar"/>
        </w:rPr>
        <w:t xml:space="preserve"> / ***.</w:t>
      </w:r>
    </w:p>
    <w:p w14:paraId="684DAD48" w14:textId="77777777" w:rsidR="00DF410E" w:rsidRDefault="00CE7F43">
      <w:pPr>
        <w:jc w:val="both"/>
      </w:pPr>
      <w:r>
        <w:t xml:space="preserve">Le joint entre les éléments préfabriqués est : </w:t>
      </w:r>
      <w:r>
        <w:rPr>
          <w:rStyle w:val="optioncarChar"/>
        </w:rPr>
        <w:t>vide </w:t>
      </w:r>
      <w:r>
        <w:t xml:space="preserve">(par défaut) </w:t>
      </w:r>
      <w:r>
        <w:rPr>
          <w:rStyle w:val="optioncarChar"/>
        </w:rPr>
        <w:t>/ rempli par un joint souple / muni d’un dispositif d’étanchéité / *** .</w:t>
      </w:r>
    </w:p>
    <w:p w14:paraId="06FD9C3F" w14:textId="77777777" w:rsidR="00DF410E" w:rsidRDefault="00CE7F43">
      <w:pPr>
        <w:jc w:val="both"/>
      </w:pPr>
      <w:r>
        <w:t xml:space="preserve">Les arêtes de la face apparente sont : </w:t>
      </w:r>
      <w:r>
        <w:rPr>
          <w:rStyle w:val="optioncarChar"/>
        </w:rPr>
        <w:t xml:space="preserve">droites </w:t>
      </w:r>
      <w:r>
        <w:t>(par défaut) </w:t>
      </w:r>
      <w:r>
        <w:rPr>
          <w:rStyle w:val="optioncarChar"/>
        </w:rPr>
        <w:t>/ munis de chanfreins / ***.</w:t>
      </w:r>
    </w:p>
    <w:p w14:paraId="4A5FBE61" w14:textId="77777777" w:rsidR="00DF410E" w:rsidRDefault="00CE7F43">
      <w:pPr>
        <w:jc w:val="both"/>
      </w:pPr>
      <w:r>
        <w:t>La tête de l’élément préfabriqué est :</w:t>
      </w:r>
      <w:r>
        <w:rPr>
          <w:rStyle w:val="optioncarChar"/>
        </w:rPr>
        <w:t> droite </w:t>
      </w:r>
      <w:r>
        <w:t>(par défaut)</w:t>
      </w:r>
      <w:r>
        <w:rPr>
          <w:rStyle w:val="optioncarChar"/>
        </w:rPr>
        <w:t xml:space="preserve"> / arrondie / ***.</w:t>
      </w:r>
    </w:p>
    <w:p w14:paraId="5617707F" w14:textId="77777777" w:rsidR="00DF410E" w:rsidRDefault="00CE7F43">
      <w:pPr>
        <w:pStyle w:val="pheading"/>
      </w:pPr>
      <w:r>
        <w:t>EXÉCUTION / MISE EN ŒUVRE</w:t>
      </w:r>
    </w:p>
    <w:p w14:paraId="5C438922" w14:textId="77777777" w:rsidR="00DF410E" w:rsidRDefault="00CE7F43">
      <w:pPr>
        <w:pStyle w:val="pheading"/>
      </w:pPr>
      <w:r>
        <w:t>- Prescriptions générales</w:t>
      </w:r>
    </w:p>
    <w:p w14:paraId="25F0C4C1" w14:textId="77777777" w:rsidR="00DF410E" w:rsidRDefault="00CE7F43">
      <w:pPr>
        <w:jc w:val="both"/>
      </w:pPr>
      <w:r>
        <w:t>Le plan de pose doit être approuvé par</w:t>
      </w:r>
      <w:r>
        <w:rPr>
          <w:rStyle w:val="optioncarChar"/>
        </w:rPr>
        <w:t xml:space="preserve"> l’entrepreneur / le bureau d’études </w:t>
      </w:r>
      <w:r>
        <w:t>(par défaut)</w:t>
      </w:r>
      <w:r>
        <w:rPr>
          <w:rStyle w:val="optioncarChar"/>
        </w:rPr>
        <w:t>.</w:t>
      </w:r>
    </w:p>
    <w:p w14:paraId="20B8ED11" w14:textId="77777777" w:rsidR="00DF410E" w:rsidRDefault="00CE7F43">
      <w:pPr>
        <w:jc w:val="both"/>
      </w:pPr>
      <w:r>
        <w:t>Les parois sont fabriquées dans les dimensions indiquées sur les plans d’exécution approuvés.</w:t>
      </w:r>
    </w:p>
    <w:p w14:paraId="716B6D8E" w14:textId="77777777" w:rsidR="00DF410E" w:rsidRDefault="00CE7F43">
      <w:pPr>
        <w:jc w:val="both"/>
      </w:pPr>
      <w:r>
        <w:t>La mise en œuvre est conforme aux normes [NBN EN 13670] et [NBN B 15-400].</w:t>
      </w:r>
    </w:p>
    <w:p w14:paraId="4156CC42" w14:textId="77777777" w:rsidR="00DF410E" w:rsidRDefault="00CE7F43">
      <w:pPr>
        <w:jc w:val="both"/>
      </w:pPr>
      <w:r>
        <w:t>L’alignement des parois est réalisé au moyens d’étais et de madriers en bois parfaitement alignés.</w:t>
      </w:r>
    </w:p>
    <w:p w14:paraId="39E6DA91" w14:textId="77777777" w:rsidR="00DF410E" w:rsidRDefault="00CE7F43">
      <w:pPr>
        <w:jc w:val="both"/>
      </w:pPr>
      <w:r>
        <w:t>Le sol/support devra être non travaillé et stable.</w:t>
      </w:r>
    </w:p>
    <w:p w14:paraId="685BB74D" w14:textId="77777777" w:rsidR="00DF410E" w:rsidRDefault="00CE7F43">
      <w:pPr>
        <w:jc w:val="both"/>
      </w:pPr>
      <w:r>
        <w:t>La verticalité doit être garantie par la pose préalable de madrier en bois</w:t>
      </w:r>
    </w:p>
    <w:p w14:paraId="219401E1" w14:textId="77777777" w:rsidR="00DF410E" w:rsidRDefault="00CE7F43">
      <w:pPr>
        <w:jc w:val="both"/>
      </w:pPr>
      <w:r>
        <w:t>Si les parois doivent être étanches à l’eau, il y a lieu de suivre les principes de conception et de mise en œuvre des [NIT 247] et [NIT 250].</w:t>
      </w:r>
    </w:p>
    <w:p w14:paraId="4618E6B6" w14:textId="77777777" w:rsidR="00DF410E" w:rsidRDefault="00CE7F43">
      <w:pPr>
        <w:pStyle w:val="pheading"/>
      </w:pPr>
      <w:r>
        <w:t>DOCUMENTS DE RÉFÉRENCE COMPLÉMENTAIRES</w:t>
      </w:r>
    </w:p>
    <w:p w14:paraId="4457A304" w14:textId="77777777" w:rsidR="00DF410E" w:rsidRDefault="00CE7F43">
      <w:pPr>
        <w:pStyle w:val="pheading"/>
      </w:pPr>
      <w:r>
        <w:t>- Matériau</w:t>
      </w:r>
    </w:p>
    <w:p w14:paraId="7115B48E" w14:textId="77777777" w:rsidR="00DF410E" w:rsidRDefault="00CE7F43">
      <w:r>
        <w:t>[NBN EN 14992+A1, Produits préfabriqués en béton - Eléments de mur]</w:t>
      </w:r>
      <w:r>
        <w:br/>
      </w:r>
      <w:r>
        <w:br/>
        <w:t>[NBN B 21-612, Produits préfabriqués en béton - Eléments de mur - Norme d'application nationale à la NBN EN 14992+A1:2012]</w:t>
      </w:r>
    </w:p>
    <w:p w14:paraId="68BC9F33" w14:textId="77777777" w:rsidR="00DF410E" w:rsidRDefault="00CE7F43">
      <w:r>
        <w:t>[RA 21-612, Règlement d'application Benor - Produits préfabriqués en béton - Eléments de murs]</w:t>
      </w:r>
      <w:r>
        <w:br/>
      </w:r>
      <w:r>
        <w:br/>
        <w:t>[Buildwise Méthode de dimensionnement Rapport 10, Sécurité et mise en oeuvre d'éléments préfabriqués en béton]</w:t>
      </w:r>
    </w:p>
    <w:p w14:paraId="27344BDC" w14:textId="77777777" w:rsidR="00DF410E" w:rsidRDefault="00DF410E"/>
    <w:p w14:paraId="1C4EF2B8" w14:textId="77777777" w:rsidR="00DF410E" w:rsidRDefault="00CE7F43">
      <w:r>
        <w:t> </w:t>
      </w:r>
    </w:p>
    <w:p w14:paraId="1BC22E60" w14:textId="77777777" w:rsidR="00DF410E" w:rsidRDefault="00CE7F43">
      <w:pPr>
        <w:pStyle w:val="pheading"/>
      </w:pPr>
      <w:r>
        <w:t>- Exécution</w:t>
      </w:r>
    </w:p>
    <w:p w14:paraId="0379CED4" w14:textId="77777777" w:rsidR="00DF410E" w:rsidRDefault="00CE7F43">
      <w:r>
        <w:t>[NIT 247, Conception et exécution des ouvrages étanches en béton]</w:t>
      </w:r>
    </w:p>
    <w:p w14:paraId="73004619" w14:textId="77777777" w:rsidR="00DF410E" w:rsidRDefault="00CE7F43">
      <w:r>
        <w:t>[NIT 250, Détails de référence pour les constructions enterrées]</w:t>
      </w:r>
    </w:p>
    <w:p w14:paraId="6C8E17ED" w14:textId="77777777" w:rsidR="00DF410E" w:rsidRDefault="00CE7F43">
      <w:pPr>
        <w:pStyle w:val="pheading"/>
      </w:pPr>
      <w:r>
        <w:t>MESURAGE</w:t>
      </w:r>
    </w:p>
    <w:p w14:paraId="2238E034" w14:textId="77777777" w:rsidR="00DF410E" w:rsidRDefault="00CE7F43">
      <w:pPr>
        <w:pStyle w:val="pheading"/>
      </w:pPr>
      <w:r>
        <w:t>- unité de mesure:</w:t>
      </w:r>
    </w:p>
    <w:p w14:paraId="7AFDDD2A" w14:textId="77777777" w:rsidR="00DF410E" w:rsidRDefault="00CE7F43">
      <w:r>
        <w:rPr>
          <w:rStyle w:val="optioncarChar"/>
        </w:rPr>
        <w:t>m²</w:t>
      </w:r>
      <w:r>
        <w:t xml:space="preserve"> (par défaut) </w:t>
      </w:r>
      <w:r>
        <w:rPr>
          <w:rStyle w:val="optioncarChar"/>
        </w:rPr>
        <w:t>/ m³</w:t>
      </w:r>
    </w:p>
    <w:p w14:paraId="781A8FE3" w14:textId="77777777" w:rsidR="00DF410E" w:rsidRDefault="00CE7F43">
      <w:r>
        <w:rPr>
          <w:b/>
          <w:i/>
        </w:rPr>
        <w:t>(Soit par défaut)</w:t>
      </w:r>
    </w:p>
    <w:p w14:paraId="2E0EEC94" w14:textId="77777777" w:rsidR="00DF410E" w:rsidRDefault="00CE7F43">
      <w:r>
        <w:rPr>
          <w:rStyle w:val="soitChar"/>
        </w:rPr>
        <w:t>1.     m²</w:t>
      </w:r>
    </w:p>
    <w:p w14:paraId="0D96C003" w14:textId="77777777" w:rsidR="00DF410E" w:rsidRDefault="00CE7F43">
      <w:r>
        <w:rPr>
          <w:b/>
          <w:i/>
        </w:rPr>
        <w:t>(Soit)</w:t>
      </w:r>
    </w:p>
    <w:p w14:paraId="6B50E930" w14:textId="77777777" w:rsidR="00DF410E" w:rsidRDefault="00CE7F43">
      <w:r>
        <w:rPr>
          <w:rStyle w:val="soitChar"/>
        </w:rPr>
        <w:t>2.     m³</w:t>
      </w:r>
    </w:p>
    <w:p w14:paraId="1A0EB5D3" w14:textId="77777777" w:rsidR="00DF410E" w:rsidRDefault="00CE7F43">
      <w:pPr>
        <w:pStyle w:val="pheading"/>
      </w:pPr>
      <w:r>
        <w:t>- code de mesurage:</w:t>
      </w:r>
    </w:p>
    <w:p w14:paraId="41621BF8" w14:textId="77777777" w:rsidR="00DF410E" w:rsidRDefault="00CE7F43">
      <w:pPr>
        <w:jc w:val="both"/>
      </w:pPr>
      <w:r>
        <w:rPr>
          <w:rStyle w:val="optioncarChar"/>
        </w:rPr>
        <w:t>Surface nette</w:t>
      </w:r>
      <w:r>
        <w:t xml:space="preserve"> (par défaut) </w:t>
      </w:r>
      <w:r>
        <w:rPr>
          <w:rStyle w:val="optioncarChar"/>
        </w:rPr>
        <w:t>/ volume net</w:t>
      </w:r>
    </w:p>
    <w:p w14:paraId="6BD7DB66" w14:textId="77777777" w:rsidR="00DF410E" w:rsidRDefault="00CE7F43">
      <w:pPr>
        <w:jc w:val="both"/>
      </w:pPr>
      <w:r>
        <w:rPr>
          <w:b/>
          <w:i/>
        </w:rPr>
        <w:t>(Soit par défaut)</w:t>
      </w:r>
    </w:p>
    <w:p w14:paraId="5308BDE2" w14:textId="77777777" w:rsidR="00DF410E" w:rsidRDefault="00CE7F43">
      <w:pPr>
        <w:jc w:val="both"/>
      </w:pPr>
      <w:r>
        <w:rPr>
          <w:rStyle w:val="soitChar"/>
          <w:u w:val="single"/>
        </w:rPr>
        <w:t>1.  Surface nette </w:t>
      </w:r>
      <w:r>
        <w:rPr>
          <w:rStyle w:val="soitChar"/>
        </w:rPr>
        <w:t>: Longueur x Largeur de la paroi selon les plans.</w:t>
      </w:r>
    </w:p>
    <w:p w14:paraId="11695B40" w14:textId="77777777" w:rsidR="00DF410E" w:rsidRDefault="00CE7F43">
      <w:pPr>
        <w:jc w:val="both"/>
      </w:pPr>
      <w:r>
        <w:rPr>
          <w:b/>
          <w:i/>
        </w:rPr>
        <w:t>(Soit)</w:t>
      </w:r>
    </w:p>
    <w:p w14:paraId="11DE590E" w14:textId="77777777" w:rsidR="00DF410E" w:rsidRDefault="00CE7F43">
      <w:pPr>
        <w:jc w:val="both"/>
      </w:pPr>
      <w:r>
        <w:rPr>
          <w:rStyle w:val="soitChar"/>
          <w:u w:val="single"/>
        </w:rPr>
        <w:t>2. Volume net </w:t>
      </w:r>
      <w:r>
        <w:rPr>
          <w:rStyle w:val="soitChar"/>
        </w:rPr>
        <w:t>: Volume net des parois en béton selon les plans.  Toutes les armatures des parois ainsi que l’isolant sont compris dans le prix unitaire de cet article.  Il n’est pas fait de déduction de volume de béton pour les réservations, écarteurs, les armatures etc. si ce volume est inférieur à 0,05 m³.</w:t>
      </w:r>
    </w:p>
    <w:p w14:paraId="1A0B2769" w14:textId="77777777" w:rsidR="00DF410E" w:rsidRDefault="00CE7F43">
      <w:pPr>
        <w:pStyle w:val="pheading"/>
      </w:pPr>
      <w:r>
        <w:t>- nature du marché:</w:t>
      </w:r>
    </w:p>
    <w:p w14:paraId="38F398E6" w14:textId="77777777" w:rsidR="00DF410E" w:rsidRDefault="00CE7F43">
      <w:r>
        <w:rPr>
          <w:rStyle w:val="optioncarChar"/>
        </w:rPr>
        <w:t>QF</w:t>
      </w:r>
      <w:r>
        <w:t xml:space="preserve"> (par défaut) </w:t>
      </w:r>
      <w:r>
        <w:rPr>
          <w:rStyle w:val="optioncarChar"/>
        </w:rPr>
        <w:t>/ QP</w:t>
      </w:r>
    </w:p>
    <w:p w14:paraId="743D7A68" w14:textId="77777777" w:rsidR="00DF410E" w:rsidRDefault="00CE7F43">
      <w:r>
        <w:rPr>
          <w:b/>
          <w:i/>
        </w:rPr>
        <w:t>(Soit par défaut)</w:t>
      </w:r>
    </w:p>
    <w:p w14:paraId="758DD33A" w14:textId="77777777" w:rsidR="00DF410E" w:rsidRDefault="00CE7F43">
      <w:r>
        <w:rPr>
          <w:rStyle w:val="soitChar"/>
        </w:rPr>
        <w:t>1. 2  QF</w:t>
      </w:r>
    </w:p>
    <w:p w14:paraId="5CED4431" w14:textId="77777777" w:rsidR="00DF410E" w:rsidRDefault="00CE7F43">
      <w:r>
        <w:rPr>
          <w:b/>
          <w:i/>
        </w:rPr>
        <w:t>(Soit)</w:t>
      </w:r>
    </w:p>
    <w:p w14:paraId="155DE9D7" w14:textId="77777777" w:rsidR="00DF410E" w:rsidRDefault="00CE7F43">
      <w:r>
        <w:rPr>
          <w:rStyle w:val="soitChar"/>
        </w:rPr>
        <w:t>1. 2. QP</w:t>
      </w:r>
    </w:p>
    <w:p w14:paraId="4EE08F02" w14:textId="77777777" w:rsidR="00DF410E" w:rsidRDefault="00CE7F43">
      <w:pPr>
        <w:pStyle w:val="Author-eSectionHeading6"/>
      </w:pPr>
      <w:bookmarkStart w:id="750" w:name="_Toc178837912"/>
      <w:r>
        <w:t>22.16.3c Prémurs en béton armé CCTB 01.12</w:t>
      </w:r>
      <w:bookmarkEnd w:id="750"/>
    </w:p>
    <w:p w14:paraId="17DB1885" w14:textId="77777777" w:rsidR="00DF410E" w:rsidRDefault="00CE7F43">
      <w:pPr>
        <w:pStyle w:val="pheading"/>
      </w:pPr>
      <w:r>
        <w:t>DESCRIPTION</w:t>
      </w:r>
    </w:p>
    <w:p w14:paraId="4B486328" w14:textId="77777777" w:rsidR="00DF410E" w:rsidRDefault="00CE7F43">
      <w:pPr>
        <w:pStyle w:val="pheading"/>
      </w:pPr>
      <w:r>
        <w:t>- Définition / Comprend</w:t>
      </w:r>
    </w:p>
    <w:p w14:paraId="3310E241" w14:textId="77777777" w:rsidR="00DF410E" w:rsidRDefault="00CE7F43">
      <w:pPr>
        <w:jc w:val="both"/>
      </w:pPr>
      <w:r>
        <w:t xml:space="preserve">Cet article vise la fourniture et la pose de prémurs en béton armé. Ces éléments sont constitués de deux voiles en béton armé préfabriqués qui sont reliés ensemble, avec un espace, au moyen d’un système de raidisseurs à treillis.  La portée des travaux est décrite dans l’élément </w:t>
      </w:r>
      <w:hyperlink w:anchor="500" w:history="1">
        <w:r>
          <w:t>22.16.3 Parois préfabriquées en béton</w:t>
        </w:r>
      </w:hyperlink>
      <w:r>
        <w:t>. Sont compris également :</w:t>
      </w:r>
    </w:p>
    <w:p w14:paraId="29C4A098" w14:textId="77777777" w:rsidR="00DF410E" w:rsidRDefault="00CE7F43">
      <w:pPr>
        <w:pStyle w:val="Author-eListParagraph"/>
        <w:numPr>
          <w:ilvl w:val="0"/>
          <w:numId w:val="505"/>
        </w:numPr>
      </w:pPr>
      <w:r>
        <w:t>L’humification des parois intérieures des prémurs avant bétonnage du béton de remplissage ;</w:t>
      </w:r>
    </w:p>
    <w:p w14:paraId="7751BDE8" w14:textId="77777777" w:rsidR="00DF410E" w:rsidRDefault="00CE7F43">
      <w:pPr>
        <w:pStyle w:val="Author-eListParagraph"/>
        <w:numPr>
          <w:ilvl w:val="0"/>
          <w:numId w:val="505"/>
        </w:numPr>
      </w:pPr>
      <w:r>
        <w:t>La livraison et la mise en œuvre du béton de remplissage ;</w:t>
      </w:r>
    </w:p>
    <w:p w14:paraId="15EF738E" w14:textId="77777777" w:rsidR="00DF410E" w:rsidRDefault="00CE7F43">
      <w:pPr>
        <w:pStyle w:val="Author-eListParagraph"/>
        <w:numPr>
          <w:ilvl w:val="0"/>
          <w:numId w:val="505"/>
        </w:numPr>
      </w:pPr>
      <w:r>
        <w:t>La gestion des joints horizontaux, verticaux, tassements ainsi que leur finition ;</w:t>
      </w:r>
    </w:p>
    <w:p w14:paraId="1E30D53F" w14:textId="77777777" w:rsidR="00DF410E" w:rsidRDefault="00CE7F43">
      <w:pPr>
        <w:pStyle w:val="Author-eListParagraph"/>
        <w:numPr>
          <w:ilvl w:val="0"/>
          <w:numId w:val="505"/>
        </w:numPr>
      </w:pPr>
      <w:r>
        <w:t>La gestion de l’étanchéité au raccord avec la dalle et entre les prémurs.</w:t>
      </w:r>
    </w:p>
    <w:p w14:paraId="52719060" w14:textId="77777777" w:rsidR="00DF410E" w:rsidRDefault="00CE7F43">
      <w:pPr>
        <w:pStyle w:val="pheading"/>
      </w:pPr>
      <w:r>
        <w:t>- Localisation</w:t>
      </w:r>
    </w:p>
    <w:p w14:paraId="69BC9F72" w14:textId="77777777" w:rsidR="00DF410E" w:rsidRDefault="00CE7F43">
      <w:r>
        <w:t xml:space="preserve">La pose est réalisée aux endroits suivants : </w:t>
      </w:r>
      <w:r>
        <w:rPr>
          <w:rStyle w:val="optioncarChar"/>
        </w:rPr>
        <w:t>***</w:t>
      </w:r>
      <w:r>
        <w:t>.</w:t>
      </w:r>
    </w:p>
    <w:p w14:paraId="043DB9D3" w14:textId="77777777" w:rsidR="00DF410E" w:rsidRDefault="00CE7F43">
      <w:r>
        <w:t>Voir plans et métrés détaillés.</w:t>
      </w:r>
    </w:p>
    <w:p w14:paraId="4F0E8C39" w14:textId="77777777" w:rsidR="00DF410E" w:rsidRDefault="00CE7F43">
      <w:pPr>
        <w:pStyle w:val="pheading"/>
      </w:pPr>
      <w:r>
        <w:t>MATÉRIAUX</w:t>
      </w:r>
    </w:p>
    <w:p w14:paraId="7C2645DD" w14:textId="77777777" w:rsidR="00DF410E" w:rsidRDefault="00CE7F43">
      <w:pPr>
        <w:pStyle w:val="pheading"/>
      </w:pPr>
      <w:r>
        <w:t>- Caractéristiques générales</w:t>
      </w:r>
    </w:p>
    <w:p w14:paraId="63532359" w14:textId="77777777" w:rsidR="00DF410E" w:rsidRDefault="00CE7F43">
      <w:pPr>
        <w:jc w:val="both"/>
      </w:pPr>
      <w:r>
        <w:t xml:space="preserve">L’épaisseur totale des prémurs est de : </w:t>
      </w:r>
      <w:r>
        <w:rPr>
          <w:rStyle w:val="optioncarChar"/>
        </w:rPr>
        <w:t>19 </w:t>
      </w:r>
      <w:r>
        <w:t>(par défaut)</w:t>
      </w:r>
      <w:r>
        <w:rPr>
          <w:rStyle w:val="optioncarChar"/>
        </w:rPr>
        <w:t xml:space="preserve"> / 20 / 25 / 30 / ***</w:t>
      </w:r>
      <w:r>
        <w:t xml:space="preserve"> cm.</w:t>
      </w:r>
    </w:p>
    <w:p w14:paraId="077FF51D" w14:textId="77777777" w:rsidR="00DF410E" w:rsidRDefault="00CE7F43">
      <w:pPr>
        <w:jc w:val="both"/>
      </w:pPr>
      <w:r>
        <w:rPr>
          <w:b/>
        </w:rPr>
        <w:t>Spécification prémur</w:t>
      </w:r>
    </w:p>
    <w:p w14:paraId="52EAFC9A" w14:textId="77777777" w:rsidR="00DF410E" w:rsidRDefault="00CE7F43">
      <w:pPr>
        <w:jc w:val="both"/>
      </w:pPr>
      <w:r>
        <w:t>Epaisseur des parois du prémur :</w:t>
      </w:r>
    </w:p>
    <w:p w14:paraId="1BE97A16" w14:textId="77777777" w:rsidR="00DF410E" w:rsidRDefault="00CE7F43">
      <w:pPr>
        <w:jc w:val="both"/>
      </w:pPr>
      <w:r>
        <w:t xml:space="preserve">Paroi intérieure : </w:t>
      </w:r>
      <w:r>
        <w:rPr>
          <w:rStyle w:val="optioncarChar"/>
        </w:rPr>
        <w:t>5 </w:t>
      </w:r>
      <w:r>
        <w:t>(par défaut)</w:t>
      </w:r>
      <w:r>
        <w:rPr>
          <w:rStyle w:val="optioncarChar"/>
        </w:rPr>
        <w:t xml:space="preserve"> / 6 / 7 / ***</w:t>
      </w:r>
      <w:r>
        <w:t xml:space="preserve"> cm suivant étude et plans d’exécution</w:t>
      </w:r>
    </w:p>
    <w:p w14:paraId="66FD652C" w14:textId="77777777" w:rsidR="00DF410E" w:rsidRDefault="00CE7F43">
      <w:pPr>
        <w:jc w:val="both"/>
      </w:pPr>
      <w:r>
        <w:t xml:space="preserve">Paroi extérieure : </w:t>
      </w:r>
      <w:r>
        <w:rPr>
          <w:rStyle w:val="optioncarChar"/>
        </w:rPr>
        <w:t>5 </w:t>
      </w:r>
      <w:r>
        <w:t>(par défaut)</w:t>
      </w:r>
      <w:r>
        <w:rPr>
          <w:rStyle w:val="optioncarChar"/>
        </w:rPr>
        <w:t xml:space="preserve"> / 6 / 7 / ***</w:t>
      </w:r>
      <w:r>
        <w:t xml:space="preserve"> cm suivant étude et plans d’exécution</w:t>
      </w:r>
    </w:p>
    <w:p w14:paraId="221F3841" w14:textId="77777777" w:rsidR="00DF410E" w:rsidRDefault="00CE7F43">
      <w:pPr>
        <w:jc w:val="both"/>
      </w:pPr>
      <w:r>
        <w:t>La classe de résistance du béton des parois, fonction de la classe de résistance du béton de remplissage, est</w:t>
      </w:r>
      <w:r>
        <w:rPr>
          <w:rStyle w:val="optioncarChar"/>
        </w:rPr>
        <w:t xml:space="preserve"> C25/30 </w:t>
      </w:r>
      <w:r>
        <w:t xml:space="preserve">(par défaut) </w:t>
      </w:r>
      <w:r>
        <w:rPr>
          <w:rStyle w:val="optioncarChar"/>
        </w:rPr>
        <w:t>/ ***</w:t>
      </w:r>
      <w:r>
        <w:t>.</w:t>
      </w:r>
    </w:p>
    <w:p w14:paraId="22BDE557" w14:textId="77777777" w:rsidR="00DF410E" w:rsidRDefault="00CE7F43">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6A13F845" w14:textId="77777777" w:rsidR="00DF410E" w:rsidRDefault="00CE7F43">
      <w:pPr>
        <w:jc w:val="both"/>
      </w:pPr>
      <w:r>
        <w:rPr>
          <w:b/>
        </w:rPr>
        <w:t>Spécification du béton de remplissage.</w:t>
      </w:r>
    </w:p>
    <w:p w14:paraId="1B285BB7" w14:textId="77777777" w:rsidR="00DF410E" w:rsidRDefault="00CE7F43">
      <w:pPr>
        <w:jc w:val="both"/>
      </w:pPr>
      <w:r>
        <w:t xml:space="preserve">Le béton de remplissage est également conforme aux [NBN EN 206:2013+A2] et [NBN B 15-001]. Voir également la section </w:t>
      </w:r>
      <w:hyperlink w:anchor="87" w:history="1">
        <w:r>
          <w:t>22 Superstructures en béton</w:t>
        </w:r>
      </w:hyperlink>
      <w:r>
        <w:t>. Pour le béton autocompactant, la [NBN EN 206:2013+A2] est d’application.</w:t>
      </w:r>
    </w:p>
    <w:tbl>
      <w:tblPr>
        <w:tblStyle w:val="Author-eTableGrid"/>
        <w:tblW w:w="9030" w:type="dxa"/>
        <w:tblLayout w:type="fixed"/>
        <w:tblLook w:val="04A0" w:firstRow="1" w:lastRow="0" w:firstColumn="1" w:lastColumn="0" w:noHBand="0" w:noVBand="1"/>
      </w:tblPr>
      <w:tblGrid>
        <w:gridCol w:w="1445"/>
        <w:gridCol w:w="1445"/>
        <w:gridCol w:w="1535"/>
        <w:gridCol w:w="1535"/>
        <w:gridCol w:w="1535"/>
        <w:gridCol w:w="1535"/>
      </w:tblGrid>
      <w:tr w:rsidR="00DF410E" w14:paraId="3A689C57" w14:textId="77777777">
        <w:tc>
          <w:tcPr>
            <w:tcW w:w="1440" w:type="dxa"/>
            <w:noWrap/>
          </w:tcPr>
          <w:p w14:paraId="76533D7D" w14:textId="77777777" w:rsidR="00DF410E" w:rsidRDefault="00CE7F43">
            <w:pPr>
              <w:jc w:val="center"/>
            </w:pPr>
            <w:r>
              <w:rPr>
                <w:b/>
              </w:rPr>
              <w:t>A</w:t>
            </w:r>
          </w:p>
        </w:tc>
        <w:tc>
          <w:tcPr>
            <w:tcW w:w="1440" w:type="dxa"/>
            <w:noWrap/>
          </w:tcPr>
          <w:p w14:paraId="726AE595" w14:textId="77777777" w:rsidR="00DF410E" w:rsidRDefault="00CE7F43">
            <w:pPr>
              <w:jc w:val="center"/>
            </w:pPr>
            <w:r>
              <w:rPr>
                <w:b/>
              </w:rPr>
              <w:t>B1</w:t>
            </w:r>
          </w:p>
        </w:tc>
        <w:tc>
          <w:tcPr>
            <w:tcW w:w="1530" w:type="dxa"/>
            <w:noWrap/>
          </w:tcPr>
          <w:p w14:paraId="09F68B08" w14:textId="77777777" w:rsidR="00DF410E" w:rsidRDefault="00CE7F43">
            <w:pPr>
              <w:jc w:val="center"/>
            </w:pPr>
            <w:r>
              <w:rPr>
                <w:b/>
              </w:rPr>
              <w:t>B2</w:t>
            </w:r>
          </w:p>
        </w:tc>
        <w:tc>
          <w:tcPr>
            <w:tcW w:w="1530" w:type="dxa"/>
            <w:noWrap/>
          </w:tcPr>
          <w:p w14:paraId="524055CC" w14:textId="77777777" w:rsidR="00DF410E" w:rsidRDefault="00CE7F43">
            <w:pPr>
              <w:jc w:val="center"/>
            </w:pPr>
            <w:r>
              <w:rPr>
                <w:b/>
              </w:rPr>
              <w:t>C</w:t>
            </w:r>
          </w:p>
        </w:tc>
        <w:tc>
          <w:tcPr>
            <w:tcW w:w="1530" w:type="dxa"/>
            <w:noWrap/>
          </w:tcPr>
          <w:p w14:paraId="09284D2D" w14:textId="77777777" w:rsidR="00DF410E" w:rsidRDefault="00CE7F43">
            <w:pPr>
              <w:jc w:val="center"/>
            </w:pPr>
            <w:r>
              <w:rPr>
                <w:b/>
              </w:rPr>
              <w:t>D</w:t>
            </w:r>
          </w:p>
        </w:tc>
        <w:tc>
          <w:tcPr>
            <w:tcW w:w="1530" w:type="dxa"/>
            <w:noWrap/>
          </w:tcPr>
          <w:p w14:paraId="6A25778F" w14:textId="77777777" w:rsidR="00DF410E" w:rsidRDefault="00CE7F43">
            <w:pPr>
              <w:jc w:val="center"/>
            </w:pPr>
            <w:r>
              <w:rPr>
                <w:b/>
              </w:rPr>
              <w:t>E</w:t>
            </w:r>
          </w:p>
        </w:tc>
      </w:tr>
      <w:tr w:rsidR="00DF410E" w14:paraId="3A178E86" w14:textId="77777777">
        <w:tc>
          <w:tcPr>
            <w:tcW w:w="1440" w:type="dxa"/>
            <w:noWrap/>
          </w:tcPr>
          <w:p w14:paraId="5A4284F4" w14:textId="77777777" w:rsidR="00DF410E" w:rsidRDefault="00CE7F43">
            <w:pPr>
              <w:jc w:val="center"/>
            </w:pPr>
            <w:r>
              <w:rPr>
                <w:b/>
              </w:rPr>
              <w:t>Classe de résistance</w:t>
            </w:r>
          </w:p>
          <w:p w14:paraId="44F36C31" w14:textId="77777777" w:rsidR="00DF410E" w:rsidRDefault="00DF410E"/>
        </w:tc>
        <w:tc>
          <w:tcPr>
            <w:tcW w:w="1440" w:type="dxa"/>
            <w:noWrap/>
          </w:tcPr>
          <w:p w14:paraId="498A6EB0" w14:textId="77777777" w:rsidR="00DF410E" w:rsidRDefault="00CE7F43">
            <w:pPr>
              <w:jc w:val="center"/>
            </w:pPr>
            <w:r>
              <w:rPr>
                <w:b/>
              </w:rPr>
              <w:t>Domaine d’application</w:t>
            </w:r>
          </w:p>
        </w:tc>
        <w:tc>
          <w:tcPr>
            <w:tcW w:w="1530" w:type="dxa"/>
            <w:noWrap/>
          </w:tcPr>
          <w:p w14:paraId="5EC53C70" w14:textId="77777777" w:rsidR="00DF410E" w:rsidRDefault="00CE7F43">
            <w:pPr>
              <w:jc w:val="center"/>
            </w:pPr>
            <w:r>
              <w:rPr>
                <w:b/>
              </w:rPr>
              <w:t>Classe d’environnement</w:t>
            </w:r>
          </w:p>
        </w:tc>
        <w:tc>
          <w:tcPr>
            <w:tcW w:w="1530" w:type="dxa"/>
            <w:noWrap/>
          </w:tcPr>
          <w:p w14:paraId="4FAC811C" w14:textId="77777777" w:rsidR="00DF410E" w:rsidRDefault="00CE7F43">
            <w:pPr>
              <w:jc w:val="center"/>
            </w:pPr>
            <w:r>
              <w:rPr>
                <w:b/>
              </w:rPr>
              <w:t>Classe de consistance</w:t>
            </w:r>
          </w:p>
        </w:tc>
        <w:tc>
          <w:tcPr>
            <w:tcW w:w="1530" w:type="dxa"/>
            <w:noWrap/>
          </w:tcPr>
          <w:p w14:paraId="27E1E2A5" w14:textId="77777777" w:rsidR="00DF410E" w:rsidRDefault="00CE7F43">
            <w:pPr>
              <w:jc w:val="center"/>
            </w:pPr>
            <w:r>
              <w:rPr>
                <w:b/>
              </w:rPr>
              <w:t>Granulométrie maximale</w:t>
            </w:r>
          </w:p>
        </w:tc>
        <w:tc>
          <w:tcPr>
            <w:tcW w:w="1530" w:type="dxa"/>
            <w:noWrap/>
          </w:tcPr>
          <w:p w14:paraId="1FC094C2" w14:textId="77777777" w:rsidR="00DF410E" w:rsidRDefault="00CE7F43">
            <w:pPr>
              <w:jc w:val="center"/>
            </w:pPr>
            <w:r>
              <w:rPr>
                <w:b/>
              </w:rPr>
              <w:t>Données complémentaires</w:t>
            </w:r>
          </w:p>
        </w:tc>
      </w:tr>
      <w:tr w:rsidR="00DF410E" w14:paraId="4C98EBE9" w14:textId="77777777">
        <w:tc>
          <w:tcPr>
            <w:tcW w:w="1440" w:type="dxa"/>
            <w:noWrap/>
          </w:tcPr>
          <w:p w14:paraId="34C37F6D" w14:textId="77777777" w:rsidR="00DF410E" w:rsidRDefault="00DF410E"/>
          <w:p w14:paraId="4AFC3CC8" w14:textId="77777777" w:rsidR="00DF410E" w:rsidRDefault="00CE7F43">
            <w:pPr>
              <w:jc w:val="center"/>
            </w:pPr>
            <w:r>
              <w:rPr>
                <w:rStyle w:val="optioncarChar"/>
              </w:rPr>
              <w:t>C25/30 / C30/37 / C35/45 / C45/55 / C50/60 / C55/67 / C60/75 / C70/85 / C80/90 / C90/105</w:t>
            </w:r>
          </w:p>
          <w:p w14:paraId="49B4A9BC" w14:textId="77777777" w:rsidR="00DF410E" w:rsidRDefault="00DF410E"/>
        </w:tc>
        <w:tc>
          <w:tcPr>
            <w:tcW w:w="1440" w:type="dxa"/>
            <w:noWrap/>
          </w:tcPr>
          <w:p w14:paraId="32E06C69" w14:textId="77777777" w:rsidR="00DF410E" w:rsidRDefault="00DF410E"/>
          <w:p w14:paraId="66ABCD30" w14:textId="77777777" w:rsidR="00DF410E" w:rsidRDefault="00CE7F43">
            <w:pPr>
              <w:jc w:val="center"/>
            </w:pPr>
            <w:r>
              <w:t>Béton armé</w:t>
            </w:r>
          </w:p>
        </w:tc>
        <w:tc>
          <w:tcPr>
            <w:tcW w:w="1530" w:type="dxa"/>
            <w:noWrap/>
          </w:tcPr>
          <w:p w14:paraId="67EB8A7E" w14:textId="77777777" w:rsidR="00DF410E" w:rsidRDefault="00DF410E"/>
          <w:p w14:paraId="522CFEBB" w14:textId="77777777" w:rsidR="00DF410E" w:rsidRDefault="00CE7F43">
            <w:pPr>
              <w:jc w:val="center"/>
            </w:pPr>
            <w:r>
              <w:rPr>
                <w:rStyle w:val="optioncarChar"/>
              </w:rPr>
              <w:t>EI / EE1 / EE2 / EE3 / EE4 / ES1 / ES2 / ES3 / ES4 / EA1+*** / EA2+*** / EA3+***</w:t>
            </w:r>
          </w:p>
        </w:tc>
        <w:tc>
          <w:tcPr>
            <w:tcW w:w="1530" w:type="dxa"/>
            <w:noWrap/>
          </w:tcPr>
          <w:p w14:paraId="2335288C" w14:textId="77777777" w:rsidR="00DF410E" w:rsidRDefault="00DF410E"/>
          <w:p w14:paraId="496149D1" w14:textId="77777777" w:rsidR="00DF410E" w:rsidRDefault="00CE7F43">
            <w:pPr>
              <w:jc w:val="center"/>
            </w:pPr>
            <w:r>
              <w:t>Au choix de l’entrepreneur :</w:t>
            </w:r>
            <w:r>
              <w:br/>
            </w:r>
            <w:r>
              <w:br/>
            </w:r>
          </w:p>
          <w:p w14:paraId="3459B14A" w14:textId="77777777" w:rsidR="00DF410E" w:rsidRDefault="00CE7F43">
            <w:pPr>
              <w:jc w:val="center"/>
            </w:pPr>
            <w:r>
              <w:rPr>
                <w:rStyle w:val="optioncarChar"/>
              </w:rPr>
              <w:t>S3 / S4 / S5</w:t>
            </w:r>
          </w:p>
          <w:p w14:paraId="6FF33FF8" w14:textId="77777777" w:rsidR="00DF410E" w:rsidRDefault="00CE7F43">
            <w:pPr>
              <w:jc w:val="center"/>
            </w:pPr>
            <w:r>
              <w:rPr>
                <w:rStyle w:val="optioncarChar"/>
              </w:rPr>
              <w:t> </w:t>
            </w:r>
          </w:p>
          <w:p w14:paraId="61E9EFFF" w14:textId="77777777" w:rsidR="00DF410E" w:rsidRDefault="00CE7F43">
            <w:pPr>
              <w:jc w:val="center"/>
            </w:pPr>
            <w:r>
              <w:rPr>
                <w:rStyle w:val="optioncarChar"/>
              </w:rPr>
              <w:t>F1 / F4 / F5 / F6</w:t>
            </w:r>
          </w:p>
        </w:tc>
        <w:tc>
          <w:tcPr>
            <w:tcW w:w="1530" w:type="dxa"/>
            <w:noWrap/>
          </w:tcPr>
          <w:p w14:paraId="66A900D8" w14:textId="77777777" w:rsidR="00DF410E" w:rsidRDefault="00DF410E"/>
          <w:p w14:paraId="7C925E4B" w14:textId="77777777" w:rsidR="00DF410E" w:rsidRDefault="00CE7F43">
            <w:pPr>
              <w:jc w:val="center"/>
            </w:pPr>
            <w:r>
              <w:t>Au choix de l’entrepreneur :</w:t>
            </w:r>
          </w:p>
          <w:p w14:paraId="16385ECE" w14:textId="77777777" w:rsidR="00DF410E" w:rsidRDefault="00CE7F43">
            <w:pPr>
              <w:jc w:val="center"/>
            </w:pPr>
            <w:r>
              <w:t> </w:t>
            </w:r>
          </w:p>
          <w:p w14:paraId="0B99CC8C" w14:textId="77777777" w:rsidR="00DF410E" w:rsidRDefault="00CE7F43">
            <w:pPr>
              <w:jc w:val="center"/>
            </w:pPr>
            <w:r>
              <w:rPr>
                <w:rStyle w:val="optioncarChar"/>
              </w:rPr>
              <w:t>6 / 8 / 10 / 11 / 12 / 14 / 16 / 20 / 22 / 32</w:t>
            </w:r>
            <w:r>
              <w:t xml:space="preserve"> mm</w:t>
            </w:r>
          </w:p>
        </w:tc>
        <w:tc>
          <w:tcPr>
            <w:tcW w:w="1530" w:type="dxa"/>
            <w:noWrap/>
          </w:tcPr>
          <w:p w14:paraId="2648C3D1" w14:textId="77777777" w:rsidR="00DF410E" w:rsidRDefault="00DF410E"/>
          <w:p w14:paraId="508D022A" w14:textId="77777777" w:rsidR="00DF410E" w:rsidRDefault="00CE7F43">
            <w:pPr>
              <w:jc w:val="center"/>
            </w:pPr>
            <w:r>
              <w:rPr>
                <w:rStyle w:val="optioncarChar"/>
              </w:rPr>
              <w:t>***</w:t>
            </w:r>
          </w:p>
        </w:tc>
      </w:tr>
    </w:tbl>
    <w:p w14:paraId="219F1DA4" w14:textId="77777777" w:rsidR="00DF410E" w:rsidRDefault="00DF410E"/>
    <w:p w14:paraId="7040E7CE" w14:textId="77777777" w:rsidR="00DF410E" w:rsidRDefault="00CE7F43">
      <w:pPr>
        <w:jc w:val="both"/>
      </w:pPr>
      <w:r>
        <w:t>Pour les bétons autoplaçants, l’étalement au cône d’Abrams (consistance) est prescrit obligatoirement à l’aide d’une des classes suivantes :</w:t>
      </w:r>
      <w:r>
        <w:rPr>
          <w:rStyle w:val="optioncarChar"/>
        </w:rPr>
        <w:t xml:space="preserve"> SF1 / SF2 / SF3</w:t>
      </w:r>
      <w:r>
        <w:t xml:space="preserve"> (selon la [NBN EN 12350-8])</w:t>
      </w:r>
    </w:p>
    <w:p w14:paraId="0509B1C4" w14:textId="77777777" w:rsidR="00DF410E" w:rsidRDefault="00CE7F43">
      <w:pPr>
        <w:jc w:val="both"/>
      </w:pPr>
      <w:r>
        <w:t>Données complémentaires propres au béton auto-plaçant € :</w:t>
      </w:r>
    </w:p>
    <w:p w14:paraId="5FF55D48" w14:textId="77777777" w:rsidR="00DF410E" w:rsidRDefault="00CE7F43">
      <w:pPr>
        <w:pStyle w:val="Author-eListParagraph"/>
        <w:numPr>
          <w:ilvl w:val="0"/>
          <w:numId w:val="506"/>
        </w:numPr>
      </w:pPr>
      <w:r>
        <w:t xml:space="preserve">Classe de viscosité apparente : </w:t>
      </w:r>
      <w:r>
        <w:rPr>
          <w:rStyle w:val="optioncarChar"/>
        </w:rPr>
        <w:t>VS1 / VS2</w:t>
      </w:r>
      <w:r>
        <w:t xml:space="preserve"> (selon la [NBN EN 12350-8])</w:t>
      </w:r>
    </w:p>
    <w:p w14:paraId="63086C05" w14:textId="77777777" w:rsidR="00DF410E" w:rsidRDefault="00CE7F43">
      <w:pPr>
        <w:pStyle w:val="Author-eListParagraph"/>
        <w:numPr>
          <w:ilvl w:val="0"/>
          <w:numId w:val="506"/>
        </w:numPr>
      </w:pPr>
      <w:r>
        <w:t>Aptitude à l’écoulement :</w:t>
      </w:r>
      <w:r>
        <w:rPr>
          <w:rStyle w:val="optioncarChar"/>
        </w:rPr>
        <w:t xml:space="preserve"> PL1 / PL2</w:t>
      </w:r>
      <w:r>
        <w:t xml:space="preserve"> (selon la [NBN EN 12350-10]) ou</w:t>
      </w:r>
      <w:r>
        <w:rPr>
          <w:rStyle w:val="optioncarChar"/>
        </w:rPr>
        <w:t xml:space="preserve"> PJ1 / PJ2</w:t>
      </w:r>
      <w:r>
        <w:t xml:space="preserve"> (selon la [NBN EN 12350-12])</w:t>
      </w:r>
    </w:p>
    <w:p w14:paraId="5524E5FD" w14:textId="77777777" w:rsidR="00DF410E" w:rsidRDefault="00CE7F43">
      <w:pPr>
        <w:pStyle w:val="Author-eListParagraph"/>
        <w:numPr>
          <w:ilvl w:val="0"/>
          <w:numId w:val="506"/>
        </w:numPr>
      </w:pPr>
      <w:r>
        <w:t xml:space="preserve">Classe de résistance à la ségrégation : </w:t>
      </w:r>
      <w:r>
        <w:rPr>
          <w:rStyle w:val="optioncarChar"/>
        </w:rPr>
        <w:t>SR1 / SR2</w:t>
      </w:r>
      <w:r>
        <w:t xml:space="preserve"> (selon la [NBN EN 12350-11])</w:t>
      </w:r>
    </w:p>
    <w:p w14:paraId="03980384" w14:textId="77777777" w:rsidR="00DF410E" w:rsidRDefault="00CE7F43">
      <w:pPr>
        <w:pStyle w:val="Author-eListParagraph"/>
        <w:numPr>
          <w:ilvl w:val="0"/>
          <w:numId w:val="506"/>
        </w:numPr>
      </w:pPr>
      <w:r>
        <w:t xml:space="preserve">Pourcentage d’armatures : </w:t>
      </w:r>
      <w:r>
        <w:rPr>
          <w:rStyle w:val="optioncarChar"/>
        </w:rPr>
        <w:t>***</w:t>
      </w:r>
      <w:r>
        <w:t xml:space="preserve"> kg d’acier par m³ de béton</w:t>
      </w:r>
    </w:p>
    <w:p w14:paraId="79CB81F1" w14:textId="77777777" w:rsidR="00DF410E" w:rsidRDefault="00CE7F43">
      <w:pPr>
        <w:pStyle w:val="Author-eListParagraph"/>
        <w:numPr>
          <w:ilvl w:val="0"/>
          <w:numId w:val="506"/>
        </w:numPr>
      </w:pPr>
      <w:r>
        <w:t xml:space="preserve">Barres d’acier/armatures complémentaires : </w:t>
      </w:r>
      <w:r>
        <w:rPr>
          <w:rStyle w:val="optioncarChar"/>
        </w:rPr>
        <w:t>acier BE 500 S</w:t>
      </w:r>
      <w:r>
        <w:t xml:space="preserve"> (par défaut)</w:t>
      </w:r>
      <w:r>
        <w:rPr>
          <w:rStyle w:val="optioncarChar"/>
        </w:rPr>
        <w:t xml:space="preserve"> / ***</w:t>
      </w:r>
      <w:r>
        <w:t xml:space="preserve"> selon [NBN A 24-302] + [PTV 302].</w:t>
      </w:r>
    </w:p>
    <w:p w14:paraId="0F44F416" w14:textId="77777777" w:rsidR="00DF410E" w:rsidRDefault="00CE7F43">
      <w:pPr>
        <w:jc w:val="both"/>
      </w:pPr>
      <w:r>
        <w:rPr>
          <w:b/>
        </w:rPr>
        <w:t>Résistance au feu des parois</w:t>
      </w:r>
    </w:p>
    <w:p w14:paraId="6354BB71" w14:textId="77777777" w:rsidR="00DF410E" w:rsidRDefault="00CE7F43">
      <w:pPr>
        <w:jc w:val="both"/>
      </w:pPr>
      <w:r>
        <w:t>Résistance au feu suivant la déclaration de performance (DoP) selon les [NBN EN 14992+A1] et [NBN B 21-612].</w:t>
      </w:r>
    </w:p>
    <w:p w14:paraId="44A7DAE2" w14:textId="77777777" w:rsidR="00DF410E" w:rsidRDefault="00CE7F43">
      <w:pPr>
        <w:jc w:val="both"/>
      </w:pPr>
      <w:r>
        <w:t>Si la résistance au feu n’est pas déclarée sous marquage CE, elle est démontrée par test au feu selon la [NBN EN 13501-2] ou par calcul selon les Eurocodes conformément à l’[AM 2013-05-17].</w:t>
      </w:r>
    </w:p>
    <w:p w14:paraId="7684DB1A" w14:textId="77777777" w:rsidR="00DF410E" w:rsidRDefault="00CE7F43">
      <w:pPr>
        <w:pStyle w:val="Author-eListParagraph"/>
        <w:numPr>
          <w:ilvl w:val="0"/>
          <w:numId w:val="507"/>
        </w:numPr>
      </w:pPr>
      <w:r>
        <w:t>Pour les éléments porteurs sans fonction séparante :  </w:t>
      </w:r>
      <w:r>
        <w:rPr>
          <w:rStyle w:val="optioncarChar"/>
        </w:rPr>
        <w:t>R15 / R30 </w:t>
      </w:r>
      <w:r>
        <w:t>(par défaut)</w:t>
      </w:r>
      <w:r>
        <w:rPr>
          <w:rStyle w:val="optioncarChar"/>
        </w:rPr>
        <w:t xml:space="preserve"> / R60 / R120 / R ***</w:t>
      </w:r>
    </w:p>
    <w:p w14:paraId="61D66DD4" w14:textId="77777777" w:rsidR="00DF410E" w:rsidRDefault="00CE7F43">
      <w:pPr>
        <w:pStyle w:val="Author-eListParagraph"/>
        <w:numPr>
          <w:ilvl w:val="0"/>
          <w:numId w:val="507"/>
        </w:numPr>
      </w:pPr>
      <w:r>
        <w:t>Pour les éléments porteurs avec fonction séparante : </w:t>
      </w:r>
      <w:r>
        <w:rPr>
          <w:rStyle w:val="optioncarChar"/>
        </w:rPr>
        <w:t xml:space="preserve"> REI 30</w:t>
      </w:r>
      <w:r>
        <w:t> (par défaut)</w:t>
      </w:r>
      <w:r>
        <w:rPr>
          <w:rStyle w:val="optioncarChar"/>
        </w:rPr>
        <w:t xml:space="preserve"> / REI 60 / REI 120 / REI ***</w:t>
      </w:r>
    </w:p>
    <w:p w14:paraId="7A4041BE" w14:textId="77777777" w:rsidR="00DF410E" w:rsidRDefault="00CE7F43">
      <w:pPr>
        <w:pStyle w:val="Author-eListParagraph"/>
        <w:numPr>
          <w:ilvl w:val="0"/>
          <w:numId w:val="507"/>
        </w:numPr>
      </w:pPr>
      <w:r>
        <w:t xml:space="preserve">Pour les éléments non porteurs avec fonction séparante : </w:t>
      </w:r>
      <w:r>
        <w:rPr>
          <w:rStyle w:val="optioncarChar"/>
        </w:rPr>
        <w:t>EI 30</w:t>
      </w:r>
      <w:r>
        <w:t xml:space="preserve"> (par défaut) </w:t>
      </w:r>
      <w:r>
        <w:rPr>
          <w:rStyle w:val="optioncarChar"/>
        </w:rPr>
        <w:t>/ EI 60 / EI 120 / EI ***</w:t>
      </w:r>
    </w:p>
    <w:p w14:paraId="0E270D2A" w14:textId="77777777" w:rsidR="00DF410E" w:rsidRDefault="00CE7F43">
      <w:pPr>
        <w:jc w:val="both"/>
      </w:pPr>
      <w:r>
        <w:rPr>
          <w:b/>
        </w:rPr>
        <w:t>Classe d’étanchéité</w:t>
      </w:r>
    </w:p>
    <w:p w14:paraId="0B30B08B" w14:textId="77777777" w:rsidR="00DF410E" w:rsidRDefault="00CE7F43">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les classes 1, 2 et 3, l’épaisseur minimale totale des prémurs sera de 240mm. L’épaisseur minimale du béton de seconde phase est de :</w:t>
      </w:r>
    </w:p>
    <w:p w14:paraId="65F18562" w14:textId="77777777" w:rsidR="00DF410E" w:rsidRDefault="00CE7F43">
      <w:pPr>
        <w:pStyle w:val="Author-eListParagraph"/>
        <w:numPr>
          <w:ilvl w:val="0"/>
          <w:numId w:val="508"/>
        </w:numPr>
      </w:pPr>
      <w:r>
        <w:t>120 mm si le Dmax du béton de seconde phase vaut 8 mm</w:t>
      </w:r>
    </w:p>
    <w:p w14:paraId="7D96E5FA" w14:textId="77777777" w:rsidR="00DF410E" w:rsidRDefault="00CE7F43">
      <w:pPr>
        <w:pStyle w:val="Author-eListParagraph"/>
        <w:numPr>
          <w:ilvl w:val="0"/>
          <w:numId w:val="508"/>
        </w:numPr>
      </w:pPr>
      <w:r>
        <w:t>140 mm si le Dmax du béton de seconde phase vaut 16 mm</w:t>
      </w:r>
    </w:p>
    <w:p w14:paraId="21019ECF" w14:textId="77777777" w:rsidR="00DF410E" w:rsidRDefault="00CE7F43">
      <w:pPr>
        <w:pStyle w:val="Author-eListParagraph"/>
        <w:numPr>
          <w:ilvl w:val="0"/>
          <w:numId w:val="508"/>
        </w:numPr>
      </w:pPr>
      <w:r>
        <w:t>180 mm si le Dmax du béton de seconde phase vaut 32 mm</w:t>
      </w:r>
    </w:p>
    <w:p w14:paraId="56362FC2" w14:textId="77777777" w:rsidR="00DF410E" w:rsidRDefault="00CE7F43">
      <w:pPr>
        <w:jc w:val="both"/>
      </w:pPr>
      <w:r>
        <w:t>Pour les classes d’étanchéité supérieures à la classe 0, le facteur E/C du béton de remplissage ne peut dépasser 0,50.</w:t>
      </w:r>
    </w:p>
    <w:p w14:paraId="77D30708" w14:textId="77777777" w:rsidR="00DF410E" w:rsidRDefault="00CE7F43">
      <w:pPr>
        <w:jc w:val="both"/>
      </w:pPr>
      <w:r>
        <w:t>L’armature des joints du béton de remplissage est au moins un treillis soudé, d’un acier BE 500S ou BE 500 TS de dimension</w:t>
      </w:r>
      <w:r>
        <w:rPr>
          <w:rStyle w:val="optioncarChar"/>
        </w:rPr>
        <w:t xml:space="preserve"> 150x150x8x8</w:t>
      </w:r>
      <w:r>
        <w:t xml:space="preserve"> (par défaut) </w:t>
      </w:r>
      <w:r>
        <w:rPr>
          <w:rStyle w:val="optioncarChar"/>
        </w:rPr>
        <w:t>/ *** x *** x *** x ***</w:t>
      </w:r>
      <w:r>
        <w:t xml:space="preserve"> cm.</w:t>
      </w:r>
    </w:p>
    <w:p w14:paraId="75C1AAC6" w14:textId="77777777" w:rsidR="00DF410E" w:rsidRDefault="00DF410E"/>
    <w:p w14:paraId="21C16B49" w14:textId="77777777" w:rsidR="00DF410E" w:rsidRDefault="00CE7F43">
      <w:r>
        <w:t> </w:t>
      </w:r>
    </w:p>
    <w:p w14:paraId="143DA504" w14:textId="77777777" w:rsidR="00DF410E" w:rsidRDefault="00CE7F43">
      <w:pPr>
        <w:pStyle w:val="pheading"/>
      </w:pPr>
      <w:r>
        <w:t>- Finitions</w:t>
      </w:r>
    </w:p>
    <w:p w14:paraId="1BF04799" w14:textId="77777777" w:rsidR="00DF410E" w:rsidRDefault="00CE7F43">
      <w:pPr>
        <w:jc w:val="both"/>
      </w:pPr>
      <w:r>
        <w:t xml:space="preserve">La finition extérieure des parois: </w:t>
      </w:r>
      <w:r>
        <w:rPr>
          <w:rStyle w:val="optioncarChar"/>
        </w:rPr>
        <w:t>béton lisse industriel selon l’[NBN EN 13369:2023] + [NBN B 21-600]</w:t>
      </w:r>
      <w:r>
        <w:t xml:space="preserve"> (par défaut) </w:t>
      </w:r>
      <w:r>
        <w:rPr>
          <w:rStyle w:val="optioncarChar"/>
        </w:rPr>
        <w:t>/ ***</w:t>
      </w:r>
      <w:r>
        <w:t>.</w:t>
      </w:r>
    </w:p>
    <w:p w14:paraId="6BF77473" w14:textId="77777777" w:rsidR="00DF410E" w:rsidRDefault="00CE7F43">
      <w:pPr>
        <w:jc w:val="both"/>
      </w:pPr>
      <w:r>
        <w:t>La finition des faces intérieures des éléments est :</w:t>
      </w:r>
      <w:r>
        <w:rPr>
          <w:rStyle w:val="optioncarChar"/>
        </w:rPr>
        <w:t xml:space="preserve"> talochée</w:t>
      </w:r>
      <w:r>
        <w:t xml:space="preserve"> (par défaut) </w:t>
      </w:r>
      <w:r>
        <w:rPr>
          <w:rStyle w:val="optioncarChar"/>
        </w:rPr>
        <w:t>/ brute et lisse / ***.</w:t>
      </w:r>
    </w:p>
    <w:p w14:paraId="0F3B3EA4" w14:textId="77777777" w:rsidR="00DF410E" w:rsidRDefault="00CE7F43">
      <w:pPr>
        <w:jc w:val="both"/>
      </w:pPr>
      <w:r>
        <w:t xml:space="preserve">La finition des faces extérieures (apparentes) des éléments est : </w:t>
      </w:r>
      <w:r>
        <w:rPr>
          <w:rStyle w:val="optioncarChar"/>
        </w:rPr>
        <w:t>brute et lisse </w:t>
      </w:r>
      <w:r>
        <w:t>(par défaut) / ***.</w:t>
      </w:r>
    </w:p>
    <w:p w14:paraId="6EDECB8E" w14:textId="77777777" w:rsidR="00DF410E" w:rsidRDefault="00CE7F43">
      <w:pPr>
        <w:jc w:val="both"/>
      </w:pPr>
      <w:r>
        <w:t xml:space="preserve">Le joint entre les éléments préfabriqués est : </w:t>
      </w:r>
      <w:r>
        <w:rPr>
          <w:rStyle w:val="optioncarChar"/>
        </w:rPr>
        <w:t xml:space="preserve">muni d’un dispositif d’étanchéité </w:t>
      </w:r>
      <w:r>
        <w:t>(par défaut) </w:t>
      </w:r>
      <w:r>
        <w:rPr>
          <w:rStyle w:val="optioncarChar"/>
        </w:rPr>
        <w:t>/ ***</w:t>
      </w:r>
      <w:r>
        <w:t>.</w:t>
      </w:r>
    </w:p>
    <w:p w14:paraId="7433E657" w14:textId="77777777" w:rsidR="00DF410E" w:rsidRDefault="00CE7F43">
      <w:pPr>
        <w:jc w:val="both"/>
      </w:pPr>
      <w:r>
        <w:t>Les arêtes de la face visible sont :</w:t>
      </w:r>
      <w:r>
        <w:rPr>
          <w:rStyle w:val="optioncarChar"/>
        </w:rPr>
        <w:t> droites / munies de chanfreins </w:t>
      </w:r>
      <w:r>
        <w:t>(par défaut).</w:t>
      </w:r>
    </w:p>
    <w:p w14:paraId="06189D35" w14:textId="77777777" w:rsidR="00DF410E" w:rsidRDefault="00CE7F43">
      <w:pPr>
        <w:pStyle w:val="pheading"/>
      </w:pPr>
      <w:r>
        <w:t>EXÉCUTION / MISE EN ŒUVRE</w:t>
      </w:r>
    </w:p>
    <w:p w14:paraId="7953A8A2" w14:textId="77777777" w:rsidR="00DF410E" w:rsidRDefault="00CE7F43">
      <w:pPr>
        <w:pStyle w:val="pheading"/>
      </w:pPr>
      <w:r>
        <w:t>- Prescriptions générales</w:t>
      </w:r>
    </w:p>
    <w:p w14:paraId="19793967" w14:textId="77777777" w:rsidR="00DF410E" w:rsidRDefault="00CE7F43">
      <w:pPr>
        <w:jc w:val="both"/>
      </w:pPr>
      <w:r>
        <w:t>Les parois sont fabriquées dans les dimensions indiquées sur les plans d’exécution approuvés.</w:t>
      </w:r>
    </w:p>
    <w:p w14:paraId="5A9BE348" w14:textId="77777777" w:rsidR="00DF410E" w:rsidRDefault="00CE7F43">
      <w:pPr>
        <w:jc w:val="both"/>
      </w:pPr>
      <w:r>
        <w:t>La mise en œuvre est conforme aux normes [NBN EN 13670] et [NBN B 15-400] ainsi qu’au code de bonne pratique pour les prémurs (édité par la FEBE).</w:t>
      </w:r>
    </w:p>
    <w:p w14:paraId="296B2A35" w14:textId="77777777" w:rsidR="00DF410E" w:rsidRDefault="00CE7F43">
      <w:pPr>
        <w:jc w:val="both"/>
      </w:pPr>
      <w:r>
        <w:t>Les recommandations du [Buildwise Méthode de dimensionnement Rapport 10] sont respectées pour la mise en œuvre.</w:t>
      </w:r>
    </w:p>
    <w:p w14:paraId="0F3F000F" w14:textId="77777777" w:rsidR="00DF410E" w:rsidRDefault="00CE7F43">
      <w:pPr>
        <w:jc w:val="both"/>
      </w:pPr>
      <w:r>
        <w:t>Si les parois doivent être étanches à l’eau, il y a lieu que la conception et la mise en œuvre soient conformes à la [NIT 247] et à la [NIT 250]. Il faut prévoir au minimum une bande de gonflement, un obturateur ou équivalent à la liaison du sol avec le mur. Les joints entre les prémurs doivent être colmatés avec le plus grand soin avec un kit élastique étanche ou équivalent.</w:t>
      </w:r>
    </w:p>
    <w:p w14:paraId="7EF1F9E4" w14:textId="77777777" w:rsidR="00DF410E" w:rsidRDefault="00CE7F43">
      <w:pPr>
        <w:jc w:val="both"/>
      </w:pPr>
      <w:r>
        <w:t xml:space="preserve">Conformément aux dispositions générales de l’étude stabilité, l’étude est à charge de </w:t>
      </w:r>
      <w:r>
        <w:rPr>
          <w:rStyle w:val="optioncarChar"/>
        </w:rPr>
        <w:t>l’entrepreneur</w:t>
      </w:r>
      <w:r>
        <w:t xml:space="preserve"> / </w:t>
      </w:r>
      <w:r>
        <w:rPr>
          <w:rStyle w:val="optioncarChar"/>
        </w:rPr>
        <w:t>le maître d’œuvre</w:t>
      </w:r>
      <w:r>
        <w:t xml:space="preserve"> /</w:t>
      </w:r>
      <w:r>
        <w:rPr>
          <w:rStyle w:val="optioncarChar"/>
        </w:rPr>
        <w:t xml:space="preserve"> le bureau d’études</w:t>
      </w:r>
      <w:r>
        <w:t xml:space="preserve"> (par défaut).</w:t>
      </w:r>
    </w:p>
    <w:p w14:paraId="240C93BF" w14:textId="77777777" w:rsidR="00DF410E" w:rsidRDefault="00CE7F43">
      <w:pPr>
        <w:jc w:val="both"/>
      </w:pPr>
      <w:r>
        <w:t>Le plan de pose doit être approuvé par l’entrepreneur ou le bureau d’études. </w:t>
      </w:r>
    </w:p>
    <w:p w14:paraId="118CB9DE" w14:textId="77777777" w:rsidR="00DF410E" w:rsidRDefault="00CE7F43">
      <w:pPr>
        <w:jc w:val="both"/>
      </w:pPr>
      <w:r>
        <w:t>La conception des joints et des liaisons extérieures sont définis par l’étude de stabilité et soumis pour approbation à l’auteur de projet.  De même, une description des techniques de butée temporaire doit être indiquée et approuvée par l’auteur de projet: </w:t>
      </w:r>
    </w:p>
    <w:p w14:paraId="5EC324F5" w14:textId="77777777" w:rsidR="00DF410E" w:rsidRDefault="00CE7F43">
      <w:pPr>
        <w:jc w:val="both"/>
      </w:pPr>
      <w:r>
        <w:t>La couche de béton coulé et son armature (l’armature de joints, treillis + barres additionnelles) sont mises en œuvre et apposées suivant les indications reprises dans l’étude du béton et le plan de pose.</w:t>
      </w:r>
    </w:p>
    <w:p w14:paraId="7F6DA464" w14:textId="77777777" w:rsidR="00DF410E" w:rsidRDefault="00CE7F43">
      <w:pPr>
        <w:jc w:val="both"/>
      </w:pPr>
      <w:r>
        <w:t>Le béton de remplissage est coulé en couches de maximum 60 cm.</w:t>
      </w:r>
    </w:p>
    <w:p w14:paraId="2C4884EB" w14:textId="77777777" w:rsidR="00DF410E" w:rsidRDefault="00CE7F43">
      <w:pPr>
        <w:jc w:val="both"/>
      </w:pPr>
      <w:r>
        <w:t>Une pression maximale autorisée du béton de 30 kN/m² ne peut pas être dépassée.</w:t>
      </w:r>
    </w:p>
    <w:p w14:paraId="751FF71F" w14:textId="77777777" w:rsidR="00DF410E" w:rsidRDefault="00CE7F43">
      <w:pPr>
        <w:pStyle w:val="pheading"/>
      </w:pPr>
      <w:r>
        <w:t>DOCUMENTS DE RÉFÉRENCE COMPLÉMENTAIRES</w:t>
      </w:r>
    </w:p>
    <w:p w14:paraId="6658529A" w14:textId="77777777" w:rsidR="00DF410E" w:rsidRDefault="00CE7F43">
      <w:pPr>
        <w:pStyle w:val="pheading"/>
      </w:pPr>
      <w:r>
        <w:t>- Matériau</w:t>
      </w:r>
    </w:p>
    <w:p w14:paraId="6565BEFA" w14:textId="77777777" w:rsidR="00DF410E" w:rsidRDefault="00CE7F43">
      <w:r>
        <w:t>[NBN EN 14992+A1, Produits préfabriqués en béton - Eléments de mur]</w:t>
      </w:r>
      <w:r>
        <w:br/>
      </w:r>
      <w:r>
        <w:br/>
        <w:t>[NBN B 21-612, Produits préfabriqués en béton - Eléments de mur - Norme d'application nationale à la NBN EN 14992+A1:2012]</w:t>
      </w:r>
    </w:p>
    <w:p w14:paraId="0B5C5F48" w14:textId="77777777" w:rsidR="00DF410E" w:rsidRDefault="00CE7F43">
      <w:r>
        <w:t>[RA 21-612, Règlement d'application Benor - Produits préfabriqués en béton - Eléments de murs]</w:t>
      </w:r>
      <w:r>
        <w:br/>
      </w:r>
      <w:r>
        <w:br/>
        <w:t>[Buildwise Méthode de dimensionnement Rapport 10, Sécurité et mise en oeuvre d'éléments préfabriqués en béton]</w:t>
      </w:r>
      <w:r>
        <w:br/>
      </w:r>
      <w:r>
        <w:br/>
        <w:t>[FEBE BT Prémurs, Brochure Technique - Prémurs - Rapides et économiques]</w:t>
      </w:r>
    </w:p>
    <w:p w14:paraId="71BFF431" w14:textId="77777777" w:rsidR="00DF410E" w:rsidRDefault="00CE7F43">
      <w:r>
        <w:t>[NBN EN 206:2013+A2, Béton - Spécification, performances, production et conformité]</w:t>
      </w:r>
    </w:p>
    <w:p w14:paraId="6C07EDFD" w14:textId="77777777" w:rsidR="00DF410E" w:rsidRDefault="00CE7F43">
      <w:r>
        <w:t>[NBN B 15-001, Béton - Spécification, performances, production et conformité - Complément national à la NBN EN 206:2013+A2:2021]</w:t>
      </w:r>
    </w:p>
    <w:p w14:paraId="0741FC39" w14:textId="77777777" w:rsidR="00DF410E" w:rsidRDefault="00CE7F43">
      <w:r>
        <w:t>[NBN EN 12350-8, Essai pour béton frais - Partie 8: Béton auto-plaçant - Essai d'étalement au cône d'Abrams]</w:t>
      </w:r>
    </w:p>
    <w:p w14:paraId="0975CD2F" w14:textId="77777777" w:rsidR="00DF410E" w:rsidRDefault="00CE7F43">
      <w:r>
        <w:t>[NBN EN 12350-11, Essai pour béton frais - Partie 11: Béton autoplaçant - Essai de stabilité au tamis]</w:t>
      </w:r>
    </w:p>
    <w:p w14:paraId="074D3994" w14:textId="77777777" w:rsidR="00DF410E" w:rsidRDefault="00CE7F43">
      <w:r>
        <w:t>[NBN EN 12350-12, Essai pour béton frais - Partie 12 : Béton autoplaçant - Essai d'écoulement à l'anneau]</w:t>
      </w:r>
    </w:p>
    <w:p w14:paraId="38A68A67" w14:textId="77777777" w:rsidR="00DF410E" w:rsidRDefault="00CE7F43">
      <w:r>
        <w:t>[NBN A 24-302, Produits sidérurgiques - Aciers pour béton armé - Barres lisses et barres à nervures - Fils machine lisses et fils machine à nervures]</w:t>
      </w:r>
    </w:p>
    <w:p w14:paraId="68186EA0" w14:textId="77777777" w:rsidR="00DF410E" w:rsidRDefault="00CE7F43">
      <w:r>
        <w:t>[PTV 302, Aciers pour béton armé - Barres à nervures ou à empreintes - Fils à nervures ou à empreintes à haute ductilité]</w:t>
      </w:r>
    </w:p>
    <w:p w14:paraId="0C58EED5" w14:textId="77777777" w:rsidR="00DF410E" w:rsidRDefault="00DF410E"/>
    <w:p w14:paraId="4ACF1AC6" w14:textId="77777777" w:rsidR="00DF410E" w:rsidRDefault="00CE7F43">
      <w:r>
        <w:t> </w:t>
      </w:r>
    </w:p>
    <w:p w14:paraId="0642FD04" w14:textId="77777777" w:rsidR="00DF410E" w:rsidRDefault="00CE7F43">
      <w:pPr>
        <w:pStyle w:val="pheading"/>
      </w:pPr>
      <w:r>
        <w:t>- Exécution</w:t>
      </w:r>
    </w:p>
    <w:p w14:paraId="52F1492F" w14:textId="77777777" w:rsidR="00DF410E" w:rsidRDefault="00CE7F43">
      <w:r>
        <w:t>[NIT 247, Conception et exécution des ouvrages étanches en béton]</w:t>
      </w:r>
    </w:p>
    <w:p w14:paraId="0D917BE6" w14:textId="77777777" w:rsidR="00DF410E" w:rsidRDefault="00CE7F43">
      <w:r>
        <w:t>[NIT 250, Détails de référence pour les constructions enterrées]</w:t>
      </w:r>
    </w:p>
    <w:p w14:paraId="214AE8A5" w14:textId="77777777" w:rsidR="00DF410E" w:rsidRDefault="00CE7F43">
      <w:pPr>
        <w:pStyle w:val="pheading"/>
      </w:pPr>
      <w:r>
        <w:t>MESURAGE</w:t>
      </w:r>
    </w:p>
    <w:p w14:paraId="51CBBD5C" w14:textId="77777777" w:rsidR="00DF410E" w:rsidRDefault="00CE7F43">
      <w:pPr>
        <w:pStyle w:val="pheading"/>
      </w:pPr>
      <w:r>
        <w:t>- unité de mesure:</w:t>
      </w:r>
    </w:p>
    <w:p w14:paraId="102C4DD6" w14:textId="77777777" w:rsidR="00DF410E" w:rsidRDefault="00CE7F43">
      <w:r>
        <w:rPr>
          <w:rStyle w:val="optioncarChar"/>
        </w:rPr>
        <w:t>m²</w:t>
      </w:r>
      <w:r>
        <w:t xml:space="preserve"> (par défaut) </w:t>
      </w:r>
      <w:r>
        <w:rPr>
          <w:rStyle w:val="optioncarChar"/>
        </w:rPr>
        <w:t>/ m³ ; kg</w:t>
      </w:r>
    </w:p>
    <w:p w14:paraId="0EB2D54D" w14:textId="77777777" w:rsidR="00DF410E" w:rsidRDefault="00CE7F43">
      <w:r>
        <w:rPr>
          <w:b/>
          <w:i/>
        </w:rPr>
        <w:t>(Soit par défaut)</w:t>
      </w:r>
    </w:p>
    <w:p w14:paraId="7DAD942E" w14:textId="77777777" w:rsidR="00DF410E" w:rsidRDefault="00CE7F43">
      <w:r>
        <w:rPr>
          <w:rStyle w:val="soitChar"/>
          <w:u w:val="single"/>
        </w:rPr>
        <w:t>1. m²</w:t>
      </w:r>
      <w:r>
        <w:rPr>
          <w:rStyle w:val="soitChar"/>
        </w:rPr>
        <w:t xml:space="preserve"> pour les panneaux</w:t>
      </w:r>
    </w:p>
    <w:p w14:paraId="071AA52C" w14:textId="77777777" w:rsidR="00DF410E" w:rsidRDefault="00CE7F43">
      <w:r>
        <w:rPr>
          <w:b/>
          <w:i/>
        </w:rPr>
        <w:t>(Soit)</w:t>
      </w:r>
    </w:p>
    <w:p w14:paraId="243F3139" w14:textId="77777777" w:rsidR="00DF410E" w:rsidRDefault="00CE7F43">
      <w:r>
        <w:rPr>
          <w:rStyle w:val="soitChar"/>
          <w:u w:val="single"/>
        </w:rPr>
        <w:t>2. m³</w:t>
      </w:r>
      <w:r>
        <w:rPr>
          <w:rStyle w:val="soitChar"/>
        </w:rPr>
        <w:t xml:space="preserve"> pour le béton et </w:t>
      </w:r>
      <w:r>
        <w:rPr>
          <w:rStyle w:val="soitChar"/>
          <w:u w:val="single"/>
        </w:rPr>
        <w:t>kg</w:t>
      </w:r>
      <w:r>
        <w:rPr>
          <w:rStyle w:val="soitChar"/>
        </w:rPr>
        <w:t xml:space="preserve"> pour les armatures supplémentaires.</w:t>
      </w:r>
    </w:p>
    <w:p w14:paraId="27501FF1" w14:textId="77777777" w:rsidR="00DF410E" w:rsidRDefault="00CE7F43">
      <w:pPr>
        <w:pStyle w:val="pheading"/>
      </w:pPr>
      <w:r>
        <w:t>- code de mesurage:</w:t>
      </w:r>
    </w:p>
    <w:p w14:paraId="47E617EC" w14:textId="77777777" w:rsidR="00DF410E" w:rsidRDefault="00CE7F43">
      <w:r>
        <w:rPr>
          <w:rStyle w:val="optioncarChar"/>
        </w:rPr>
        <w:t>Surface nette</w:t>
      </w:r>
      <w:r>
        <w:t xml:space="preserve"> (par défaut) </w:t>
      </w:r>
      <w:r>
        <w:rPr>
          <w:rStyle w:val="optioncarChar"/>
        </w:rPr>
        <w:t>/ quantités détaillées</w:t>
      </w:r>
    </w:p>
    <w:p w14:paraId="61309B7D" w14:textId="77777777" w:rsidR="00DF410E" w:rsidRDefault="00CE7F43">
      <w:r>
        <w:rPr>
          <w:b/>
          <w:i/>
        </w:rPr>
        <w:t>(Soit par défaut)</w:t>
      </w:r>
    </w:p>
    <w:p w14:paraId="20C9F3B0" w14:textId="77777777" w:rsidR="00DF410E" w:rsidRDefault="00CE7F43">
      <w:r>
        <w:rPr>
          <w:rStyle w:val="soitChar"/>
          <w:u w:val="single"/>
        </w:rPr>
        <w:t xml:space="preserve">1. Surface nette </w:t>
      </w:r>
      <w:r>
        <w:rPr>
          <w:rStyle w:val="soitChar"/>
        </w:rPr>
        <w:t>pour la surface des panneaux : surface nette apparente des éléments</w:t>
      </w:r>
    </w:p>
    <w:p w14:paraId="7E966247" w14:textId="77777777" w:rsidR="00DF410E" w:rsidRDefault="00CE7F43">
      <w:r>
        <w:rPr>
          <w:b/>
          <w:i/>
        </w:rPr>
        <w:t>(Soit)</w:t>
      </w:r>
    </w:p>
    <w:p w14:paraId="6A453899" w14:textId="77777777" w:rsidR="00DF410E" w:rsidRDefault="00CE7F43">
      <w:r>
        <w:rPr>
          <w:rStyle w:val="soitChar"/>
        </w:rPr>
        <w:t xml:space="preserve">2. </w:t>
      </w:r>
      <w:r>
        <w:rPr>
          <w:rStyle w:val="soitChar"/>
          <w:u w:val="single"/>
        </w:rPr>
        <w:t>Quantités détaillées</w:t>
      </w:r>
    </w:p>
    <w:p w14:paraId="7C993AB1" w14:textId="77777777" w:rsidR="00DF410E" w:rsidRDefault="00CE7F43">
      <w:pPr>
        <w:ind w:left="567"/>
      </w:pPr>
      <w:r>
        <w:rPr>
          <w:rStyle w:val="soitChar"/>
          <w:u w:val="single"/>
        </w:rPr>
        <w:t>Volume net</w:t>
      </w:r>
      <w:r>
        <w:rPr>
          <w:rStyle w:val="soitChar"/>
        </w:rPr>
        <w:t xml:space="preserve"> pour le volume de béton :(selon la [NBN B 06-001]) mesuré entre la dalle de sol et les poutres, selon les dimensions nominales indiquées sur les plans.</w:t>
      </w:r>
    </w:p>
    <w:p w14:paraId="1D6D94D6" w14:textId="77777777" w:rsidR="00DF410E" w:rsidRDefault="00CE7F43">
      <w:pPr>
        <w:ind w:left="567"/>
      </w:pPr>
      <w:r>
        <w:rPr>
          <w:rStyle w:val="soitChar"/>
        </w:rPr>
        <w:t>Les éléments en béton non rectangulaires sont calculés en multipliant la longueur par la surface de la section.</w:t>
      </w:r>
    </w:p>
    <w:p w14:paraId="0FF38506" w14:textId="77777777" w:rsidR="00DF410E" w:rsidRDefault="00CE7F43">
      <w:pPr>
        <w:ind w:left="567"/>
      </w:pPr>
      <w:r>
        <w:rPr>
          <w:rStyle w:val="soitChar"/>
        </w:rPr>
        <w:t>Le contenu des volumes résiduels au droit des angles, rencontres et terminaisons est négligé.</w:t>
      </w:r>
    </w:p>
    <w:p w14:paraId="0C430243" w14:textId="77777777" w:rsidR="00DF410E" w:rsidRDefault="00CE7F43">
      <w:pPr>
        <w:ind w:left="567"/>
      </w:pPr>
      <w:r>
        <w:rPr>
          <w:rStyle w:val="soitChar"/>
        </w:rPr>
        <w:t>Aucune déduction n'est faite pour:</w:t>
      </w:r>
    </w:p>
    <w:p w14:paraId="01BA77F8" w14:textId="77777777" w:rsidR="00DF410E" w:rsidRDefault="00CE7F43">
      <w:pPr>
        <w:pStyle w:val="Author-eListParagraph"/>
        <w:numPr>
          <w:ilvl w:val="0"/>
          <w:numId w:val="509"/>
        </w:numPr>
      </w:pPr>
      <w:r>
        <w:rPr>
          <w:rStyle w:val="soitChar"/>
        </w:rPr>
        <w:t>le volume des armatures,</w:t>
      </w:r>
    </w:p>
    <w:p w14:paraId="69991E56" w14:textId="77777777" w:rsidR="00DF410E" w:rsidRDefault="00CE7F43">
      <w:pPr>
        <w:pStyle w:val="Author-eListParagraph"/>
        <w:numPr>
          <w:ilvl w:val="0"/>
          <w:numId w:val="509"/>
        </w:numPr>
      </w:pPr>
      <w:r>
        <w:rPr>
          <w:rStyle w:val="soitChar"/>
        </w:rPr>
        <w:t>les blocs et écarteurs, les fourreaux pour les armatures de précontrainte ;</w:t>
      </w:r>
    </w:p>
    <w:p w14:paraId="322DC0C2" w14:textId="77777777" w:rsidR="00DF410E" w:rsidRDefault="00CE7F43">
      <w:pPr>
        <w:pStyle w:val="Author-eListParagraph"/>
        <w:numPr>
          <w:ilvl w:val="0"/>
          <w:numId w:val="509"/>
        </w:numPr>
      </w:pPr>
      <w:r>
        <w:rPr>
          <w:rStyle w:val="soitChar"/>
        </w:rPr>
        <w:t>les pénétrations pour les pattes d’ancrage, les creux, les conduites noyées et les réservations dont le volume est inférieur à 0,05 m3.</w:t>
      </w:r>
    </w:p>
    <w:p w14:paraId="20489218" w14:textId="77777777" w:rsidR="00DF410E" w:rsidRDefault="00CE7F43">
      <w:pPr>
        <w:pStyle w:val="Author-eListParagraph"/>
        <w:numPr>
          <w:ilvl w:val="0"/>
          <w:numId w:val="509"/>
        </w:numPr>
      </w:pPr>
      <w:r>
        <w:rPr>
          <w:rStyle w:val="soitChar"/>
        </w:rPr>
        <w:t>les chanfreins et tous les profils dont la section a une superficie inférieure à 20 cm2.</w:t>
      </w:r>
    </w:p>
    <w:p w14:paraId="1B195E5D" w14:textId="77777777" w:rsidR="00DF410E" w:rsidRDefault="00CE7F43">
      <w:pPr>
        <w:pStyle w:val="Author-eListParagraph"/>
        <w:numPr>
          <w:ilvl w:val="0"/>
          <w:numId w:val="509"/>
        </w:numPr>
      </w:pPr>
      <w:r>
        <w:rPr>
          <w:rStyle w:val="soitChar"/>
        </w:rPr>
        <w:t>les rainures, encoches et languettes.</w:t>
      </w:r>
    </w:p>
    <w:p w14:paraId="3745DFBE" w14:textId="77777777" w:rsidR="00DF410E" w:rsidRDefault="00DF410E"/>
    <w:p w14:paraId="0EA53A38" w14:textId="77777777" w:rsidR="00DF410E" w:rsidRDefault="00CE7F43">
      <w:pPr>
        <w:ind w:left="567"/>
      </w:pPr>
      <w:r>
        <w:rPr>
          <w:rStyle w:val="soitChar"/>
          <w:u w:val="single"/>
        </w:rPr>
        <w:t>Masse</w:t>
      </w:r>
      <w:r>
        <w:rPr>
          <w:rStyle w:val="soitChar"/>
        </w:rPr>
        <w:t xml:space="preserve"> pour les armatures supplémentaires</w:t>
      </w:r>
    </w:p>
    <w:p w14:paraId="73B720AD" w14:textId="77777777" w:rsidR="00DF410E" w:rsidRDefault="00CE7F43">
      <w:pPr>
        <w:pStyle w:val="pheading"/>
      </w:pPr>
      <w:r>
        <w:t>- nature du marché:</w:t>
      </w:r>
    </w:p>
    <w:p w14:paraId="536D7EBD" w14:textId="77777777" w:rsidR="00DF410E" w:rsidRDefault="00CE7F43">
      <w:r>
        <w:rPr>
          <w:rStyle w:val="optioncarChar"/>
        </w:rPr>
        <w:t>QF</w:t>
      </w:r>
      <w:r>
        <w:t> (par défaut)</w:t>
      </w:r>
      <w:r>
        <w:rPr>
          <w:rStyle w:val="optioncarChar"/>
        </w:rPr>
        <w:t xml:space="preserve"> / QP</w:t>
      </w:r>
    </w:p>
    <w:p w14:paraId="2AA3F619" w14:textId="77777777" w:rsidR="00DF410E" w:rsidRDefault="00CE7F43">
      <w:r>
        <w:rPr>
          <w:b/>
          <w:i/>
        </w:rPr>
        <w:t>(Soit par défaut)</w:t>
      </w:r>
    </w:p>
    <w:p w14:paraId="6F24E3F6" w14:textId="77777777" w:rsidR="00DF410E" w:rsidRDefault="00CE7F43">
      <w:r>
        <w:rPr>
          <w:rStyle w:val="soitChar"/>
        </w:rPr>
        <w:t>1. 2 QF</w:t>
      </w:r>
    </w:p>
    <w:p w14:paraId="754A4E1F" w14:textId="77777777" w:rsidR="00DF410E" w:rsidRDefault="00CE7F43">
      <w:r>
        <w:rPr>
          <w:b/>
          <w:i/>
        </w:rPr>
        <w:t>(Soit)</w:t>
      </w:r>
    </w:p>
    <w:p w14:paraId="3EA401E9" w14:textId="77777777" w:rsidR="00DF410E" w:rsidRDefault="00CE7F43">
      <w:r>
        <w:rPr>
          <w:rStyle w:val="soitChar"/>
        </w:rPr>
        <w:t>1. 2. QP</w:t>
      </w:r>
    </w:p>
    <w:p w14:paraId="34EA0ADB" w14:textId="77777777" w:rsidR="00DF410E" w:rsidRDefault="00CE7F43">
      <w:pPr>
        <w:pStyle w:val="Author-eSectionHeading6"/>
      </w:pPr>
      <w:bookmarkStart w:id="751" w:name="_Toc178837913"/>
      <w:r>
        <w:t>22.16.3d Prémurs en béton armé avec isolation intégrée CCTB 01.12</w:t>
      </w:r>
      <w:bookmarkEnd w:id="751"/>
    </w:p>
    <w:p w14:paraId="11AF4AC7" w14:textId="77777777" w:rsidR="00DF410E" w:rsidRDefault="00CE7F43">
      <w:pPr>
        <w:pStyle w:val="pheading"/>
      </w:pPr>
      <w:r>
        <w:t>DESCRIPTION</w:t>
      </w:r>
    </w:p>
    <w:p w14:paraId="0CD47842" w14:textId="77777777" w:rsidR="00DF410E" w:rsidRDefault="00CE7F43">
      <w:pPr>
        <w:pStyle w:val="pheading"/>
      </w:pPr>
      <w:r>
        <w:t>- Définition / Comprend</w:t>
      </w:r>
    </w:p>
    <w:p w14:paraId="4E1625C9" w14:textId="77777777" w:rsidR="00DF410E" w:rsidRDefault="00CE7F43">
      <w:pPr>
        <w:jc w:val="both"/>
      </w:pPr>
      <w:r>
        <w:t>Il s'agit de la fourniture et la pose de prémurs en béton armé avec isolation intégrée.  Ces éléments sont constitués de deux voiles en béton armé préfabriqués qui sont reliés ensemble, avec un espace, au moyen d’un système d’ancrage avec coupure thermique.  La portée des travaux est décrite dans le chapitre </w:t>
      </w:r>
      <w:hyperlink w:anchor="500" w:history="1">
        <w:r>
          <w:t>22.16.3 Parois préfabriquées en béton</w:t>
        </w:r>
      </w:hyperlink>
      <w:r>
        <w:t>. Sont compris également :</w:t>
      </w:r>
    </w:p>
    <w:p w14:paraId="42B4777F" w14:textId="77777777" w:rsidR="00DF410E" w:rsidRDefault="00CE7F43">
      <w:pPr>
        <w:pStyle w:val="Author-eListParagraph"/>
        <w:numPr>
          <w:ilvl w:val="0"/>
          <w:numId w:val="510"/>
        </w:numPr>
        <w:jc w:val="both"/>
      </w:pPr>
      <w:r>
        <w:t>Armatures supplémentaires à insérer dans le creux du prémur</w:t>
      </w:r>
    </w:p>
    <w:p w14:paraId="2059170F" w14:textId="77777777" w:rsidR="00DF410E" w:rsidRDefault="00CE7F43">
      <w:pPr>
        <w:pStyle w:val="Author-eListParagraph"/>
        <w:numPr>
          <w:ilvl w:val="0"/>
          <w:numId w:val="510"/>
        </w:numPr>
        <w:jc w:val="both"/>
      </w:pPr>
      <w:r>
        <w:t>L’humidification des parois intérieures des prémurs avant bétonnage du béton de remplissage.</w:t>
      </w:r>
    </w:p>
    <w:p w14:paraId="14D65EB6" w14:textId="77777777" w:rsidR="00DF410E" w:rsidRDefault="00CE7F43">
      <w:pPr>
        <w:pStyle w:val="Author-eListParagraph"/>
        <w:numPr>
          <w:ilvl w:val="0"/>
          <w:numId w:val="510"/>
        </w:numPr>
        <w:jc w:val="both"/>
      </w:pPr>
      <w:r>
        <w:t>La livraison et la mise en œuvre du béton de remplissage</w:t>
      </w:r>
    </w:p>
    <w:p w14:paraId="7EFC31CC" w14:textId="77777777" w:rsidR="00DF410E" w:rsidRDefault="00CE7F43">
      <w:pPr>
        <w:pStyle w:val="Author-eListParagraph"/>
        <w:numPr>
          <w:ilvl w:val="0"/>
          <w:numId w:val="510"/>
        </w:numPr>
        <w:jc w:val="both"/>
      </w:pPr>
      <w:r>
        <w:t>La gestion des joints horizontaux, verticaux, tassements ainsi que leur finition ;</w:t>
      </w:r>
    </w:p>
    <w:p w14:paraId="2C0F5C77" w14:textId="77777777" w:rsidR="00DF410E" w:rsidRDefault="00CE7F43">
      <w:pPr>
        <w:pStyle w:val="Author-eListParagraph"/>
        <w:numPr>
          <w:ilvl w:val="0"/>
          <w:numId w:val="510"/>
        </w:numPr>
        <w:jc w:val="both"/>
      </w:pPr>
      <w:r>
        <w:t>La gestion de l’étanchéité au raccord avec la dalle et entre les prémurs.</w:t>
      </w:r>
    </w:p>
    <w:p w14:paraId="645B16B9" w14:textId="77777777" w:rsidR="00DF410E" w:rsidRDefault="00CE7F43">
      <w:pPr>
        <w:pStyle w:val="pheading"/>
      </w:pPr>
      <w:r>
        <w:t>- Localisation</w:t>
      </w:r>
    </w:p>
    <w:p w14:paraId="15839AB7" w14:textId="77777777" w:rsidR="00DF410E" w:rsidRDefault="00CE7F43">
      <w:r>
        <w:t>La pose est réalisée aux endroits suivants :</w:t>
      </w:r>
      <w:r>
        <w:rPr>
          <w:rStyle w:val="optioncarChar"/>
        </w:rPr>
        <w:t xml:space="preserve"> ***</w:t>
      </w:r>
      <w:r>
        <w:t>.</w:t>
      </w:r>
    </w:p>
    <w:p w14:paraId="74D31A58" w14:textId="77777777" w:rsidR="00DF410E" w:rsidRDefault="00CE7F43">
      <w:r>
        <w:t>Voir plans et métrés détaillés.</w:t>
      </w:r>
    </w:p>
    <w:p w14:paraId="61A6A731" w14:textId="77777777" w:rsidR="00DF410E" w:rsidRDefault="00CE7F43">
      <w:pPr>
        <w:pStyle w:val="pheading"/>
      </w:pPr>
      <w:r>
        <w:t>MATÉRIAUX</w:t>
      </w:r>
    </w:p>
    <w:p w14:paraId="5168DB24" w14:textId="77777777" w:rsidR="00DF410E" w:rsidRDefault="00CE7F43">
      <w:pPr>
        <w:pStyle w:val="pheading"/>
      </w:pPr>
      <w:r>
        <w:t>- Caractéristiques générales</w:t>
      </w:r>
    </w:p>
    <w:p w14:paraId="3EABD3D6" w14:textId="77777777" w:rsidR="00DF410E" w:rsidRDefault="00CE7F43">
      <w:pPr>
        <w:jc w:val="both"/>
      </w:pPr>
      <w:r>
        <w:rPr>
          <w:b/>
          <w:u w:val="single"/>
        </w:rPr>
        <w:t>Prémur</w:t>
      </w:r>
    </w:p>
    <w:p w14:paraId="60EA97D3" w14:textId="77777777" w:rsidR="00DF410E" w:rsidRDefault="00CE7F43">
      <w:pPr>
        <w:jc w:val="both"/>
      </w:pPr>
      <w:r>
        <w:t xml:space="preserve">Il s’agit d’éléments de prémurs en béton armé conformes aux normes [NBN EN 14992+A1] et [NBN B 21-612] intégrant un isolant.  Par ailleurs, les éléments disposent également d'une déclaration d'aptitude à l'utilisation suivant les prescriptions de l'élément </w:t>
      </w:r>
      <w:hyperlink r:id="rId76" w:history="1" w:docLocation="68">
        <w:r>
          <w:t>02.42.1 Critères d'acceptabilité</w:t>
        </w:r>
      </w:hyperlink>
      <w:r>
        <w:t>.</w:t>
      </w:r>
    </w:p>
    <w:p w14:paraId="22CF66C0" w14:textId="77777777" w:rsidR="00DF410E" w:rsidRDefault="00CE7F43">
      <w:pPr>
        <w:jc w:val="both"/>
      </w:pPr>
      <w:r>
        <w:t>Dimensions : l’épaisseur totale est fonction des résultats de l’étude de stabilité et plans d’exécution: (épaisseur des deux parois + épaisseur d’isolation + ~10 cm d’épaisseur de béton de remplissage).</w:t>
      </w:r>
    </w:p>
    <w:p w14:paraId="09A59936" w14:textId="77777777" w:rsidR="00DF410E" w:rsidRDefault="00CE7F43">
      <w:pPr>
        <w:jc w:val="both"/>
      </w:pPr>
      <w:r>
        <w:t xml:space="preserve">La classe de résistance du béton des parois, fonction de la classe de résistance du béton de remplissage, est </w:t>
      </w:r>
      <w:r>
        <w:rPr>
          <w:rStyle w:val="optioncarChar"/>
        </w:rPr>
        <w:t>C25/30 / C30/37 </w:t>
      </w:r>
      <w:r>
        <w:t>(par défaut)</w:t>
      </w:r>
      <w:r>
        <w:rPr>
          <w:rStyle w:val="optioncarChar"/>
        </w:rPr>
        <w:t xml:space="preserve"> / ***</w:t>
      </w:r>
      <w:r>
        <w:t>.</w:t>
      </w:r>
    </w:p>
    <w:p w14:paraId="30F36EB5" w14:textId="77777777" w:rsidR="00DF410E" w:rsidRDefault="00CE7F43">
      <w:pPr>
        <w:jc w:val="both"/>
      </w:pPr>
      <w:r>
        <w:t xml:space="preserve"> La classe d’environnement est </w:t>
      </w:r>
      <w:r>
        <w:rPr>
          <w:rStyle w:val="optioncarChar"/>
        </w:rPr>
        <w:t xml:space="preserve">EI </w:t>
      </w:r>
      <w:r>
        <w:t>(par défaut) </w:t>
      </w:r>
      <w:r>
        <w:rPr>
          <w:rStyle w:val="optioncarChar"/>
        </w:rPr>
        <w:t>/ EE1 / EE2 / EE3 / ES1 / ES2 / ES3 / EA1+*** / EA2+*** / EA3+ ***</w:t>
      </w:r>
      <w:r>
        <w:t>.</w:t>
      </w:r>
    </w:p>
    <w:p w14:paraId="05EAD12D" w14:textId="77777777" w:rsidR="00DF410E" w:rsidRDefault="00CE7F43">
      <w:pPr>
        <w:jc w:val="both"/>
      </w:pPr>
      <w:r>
        <w:t xml:space="preserve">Valeur de Umax = suivant </w:t>
      </w:r>
      <w:r>
        <w:rPr>
          <w:rStyle w:val="optioncarChar"/>
        </w:rPr>
        <w:t>étude de performance énergétique / *** W/ m²K.</w:t>
      </w:r>
    </w:p>
    <w:p w14:paraId="1C676066" w14:textId="77777777" w:rsidR="00DF410E" w:rsidRDefault="00CE7F43">
      <w:pPr>
        <w:jc w:val="both"/>
      </w:pPr>
      <w:r>
        <w:t>Les valeurs Umax sont toujours inférieures aux exigences légales en application au moment du dépôt du permis d’urbanisme.</w:t>
      </w:r>
    </w:p>
    <w:p w14:paraId="44E9F39C" w14:textId="77777777" w:rsidR="00DF410E" w:rsidRDefault="00CE7F43">
      <w:pPr>
        <w:jc w:val="both"/>
      </w:pPr>
      <w:r>
        <w:t>Matériaux d’isolation :</w:t>
      </w:r>
      <w:r>
        <w:rPr>
          <w:rStyle w:val="optioncarChar"/>
        </w:rPr>
        <w:t xml:space="preserve"> EPS / PUR / PIR</w:t>
      </w:r>
      <w:r>
        <w:t xml:space="preserve"> (par défaut) </w:t>
      </w:r>
      <w:r>
        <w:rPr>
          <w:rStyle w:val="optioncarChar"/>
        </w:rPr>
        <w:t>/ ***.</w:t>
      </w:r>
    </w:p>
    <w:p w14:paraId="5E33773F" w14:textId="77777777" w:rsidR="00DF410E" w:rsidRDefault="00CE7F43">
      <w:pPr>
        <w:jc w:val="both"/>
      </w:pPr>
      <w:r>
        <w:t>Epaisseur d’isolation :</w:t>
      </w:r>
      <w:r>
        <w:rPr>
          <w:rStyle w:val="optioncarChar"/>
        </w:rPr>
        <w:t xml:space="preserve"> compatible avec l’exigence U </w:t>
      </w:r>
      <w:r>
        <w:t>(par défaut)</w:t>
      </w:r>
      <w:r>
        <w:rPr>
          <w:rStyle w:val="optioncarChar"/>
        </w:rPr>
        <w:t xml:space="preserve"> / 12 / 16 / 22 / 24 / ***</w:t>
      </w:r>
      <w:r>
        <w:t xml:space="preserve"> cm</w:t>
      </w:r>
    </w:p>
    <w:p w14:paraId="777281FA" w14:textId="77777777" w:rsidR="00DF410E" w:rsidRDefault="00CE7F43">
      <w:pPr>
        <w:jc w:val="both"/>
      </w:pPr>
      <w:r>
        <w:t xml:space="preserve">L’isolation utilisée est conforme au titre </w:t>
      </w:r>
      <w:hyperlink w:anchor="70" w:history="1">
        <w:r>
          <w:t>26.4 Isolation</w:t>
        </w:r>
      </w:hyperlink>
      <w:r>
        <w:t>. Pour les parois utilisées comme éléments de l’enveloppe extérieure d’un ouvrage en contact avec les terres, l’isolant utilisé est peu sensible à l’humidité. La continuité de l’isolation et de l’étanchéité à l’air est assurée conformément aux principes de la PEB tout en veillant à l’esthétique des finitions prévues.</w:t>
      </w:r>
    </w:p>
    <w:p w14:paraId="7EF148B4" w14:textId="77777777" w:rsidR="00DF410E" w:rsidRDefault="00CE7F43">
      <w:pPr>
        <w:jc w:val="both"/>
      </w:pPr>
      <w:r>
        <w:t>Epaisseur des parois du prémur :</w:t>
      </w:r>
    </w:p>
    <w:p w14:paraId="097F2F62" w14:textId="77777777" w:rsidR="00DF410E" w:rsidRDefault="00CE7F43">
      <w:pPr>
        <w:jc w:val="both"/>
      </w:pPr>
      <w:r>
        <w:t xml:space="preserve">Paroi intérieure : </w:t>
      </w:r>
      <w:r>
        <w:rPr>
          <w:rStyle w:val="optioncarChar"/>
        </w:rPr>
        <w:t xml:space="preserve">5 </w:t>
      </w:r>
      <w:r>
        <w:t>(par défaut) </w:t>
      </w:r>
      <w:r>
        <w:rPr>
          <w:rStyle w:val="optioncarChar"/>
        </w:rPr>
        <w:t>/ 6 / 7 / ***</w:t>
      </w:r>
      <w:r>
        <w:t xml:space="preserve"> cm suivant étude et plans d’exécution</w:t>
      </w:r>
    </w:p>
    <w:p w14:paraId="6F497E2B" w14:textId="77777777" w:rsidR="00DF410E" w:rsidRDefault="00CE7F43">
      <w:pPr>
        <w:jc w:val="both"/>
      </w:pPr>
      <w:r>
        <w:t xml:space="preserve">Paroi extérieure : </w:t>
      </w:r>
      <w:r>
        <w:rPr>
          <w:rStyle w:val="optioncarChar"/>
        </w:rPr>
        <w:t>5</w:t>
      </w:r>
      <w:r>
        <w:t xml:space="preserve"> (par défaut)</w:t>
      </w:r>
      <w:r>
        <w:rPr>
          <w:rStyle w:val="optioncarChar"/>
        </w:rPr>
        <w:t xml:space="preserve"> / 6 / 7 / ***</w:t>
      </w:r>
      <w:r>
        <w:t xml:space="preserve"> cm suivant étude et plans d’exécution </w:t>
      </w:r>
    </w:p>
    <w:p w14:paraId="717A20F8" w14:textId="77777777" w:rsidR="00DF410E" w:rsidRDefault="00CE7F43">
      <w:pPr>
        <w:jc w:val="both"/>
      </w:pPr>
      <w:r>
        <w:t>Les matériaux utilisés sont conformes à la [NBN EN 13369:2023] et à la [NBN B 21-600].</w:t>
      </w:r>
    </w:p>
    <w:p w14:paraId="754FB2EA" w14:textId="77777777" w:rsidR="00DF410E" w:rsidRDefault="00CE7F43">
      <w:pPr>
        <w:jc w:val="both"/>
      </w:pPr>
      <w:r>
        <w:rPr>
          <w:u w:val="single"/>
        </w:rPr>
        <w:t> </w:t>
      </w:r>
      <w:r>
        <w:rPr>
          <w:b/>
          <w:u w:val="single"/>
        </w:rPr>
        <w:t>Béton de remplissage</w:t>
      </w:r>
    </w:p>
    <w:p w14:paraId="0D8FBFB6" w14:textId="77777777" w:rsidR="00DF410E" w:rsidRDefault="00CE7F43">
      <w:pPr>
        <w:jc w:val="both"/>
      </w:pPr>
      <w:r>
        <w:t xml:space="preserve">Qualité du béton selon la [NBN EN 206:2013+A2] et la [NBN B 15-001] : (voir également la section </w:t>
      </w:r>
      <w:hyperlink w:anchor="87" w:history="1">
        <w:r>
          <w:t>22 Superstructures en béton</w:t>
        </w:r>
      </w:hyperlink>
      <w:r>
        <w:t>). Pour le béton autocompactant la [NBN EN 206:2013+A2] est d’application.</w:t>
      </w:r>
    </w:p>
    <w:tbl>
      <w:tblPr>
        <w:tblStyle w:val="Author-eTableGrid"/>
        <w:tblW w:w="9030" w:type="dxa"/>
        <w:tblLayout w:type="fixed"/>
        <w:tblLook w:val="04A0" w:firstRow="1" w:lastRow="0" w:firstColumn="1" w:lastColumn="0" w:noHBand="0" w:noVBand="1"/>
      </w:tblPr>
      <w:tblGrid>
        <w:gridCol w:w="1125"/>
        <w:gridCol w:w="1410"/>
        <w:gridCol w:w="1800"/>
        <w:gridCol w:w="1380"/>
        <w:gridCol w:w="1530"/>
        <w:gridCol w:w="1785"/>
      </w:tblGrid>
      <w:tr w:rsidR="00DF410E" w14:paraId="25417A87" w14:textId="77777777">
        <w:tc>
          <w:tcPr>
            <w:tcW w:w="1125" w:type="dxa"/>
            <w:noWrap/>
          </w:tcPr>
          <w:p w14:paraId="5EBA509A" w14:textId="77777777" w:rsidR="00DF410E" w:rsidRDefault="00CE7F43">
            <w:pPr>
              <w:jc w:val="center"/>
            </w:pPr>
            <w:r>
              <w:rPr>
                <w:b/>
              </w:rPr>
              <w:t>A</w:t>
            </w:r>
          </w:p>
        </w:tc>
        <w:tc>
          <w:tcPr>
            <w:tcW w:w="1410" w:type="dxa"/>
            <w:noWrap/>
          </w:tcPr>
          <w:p w14:paraId="2CB31996" w14:textId="77777777" w:rsidR="00DF410E" w:rsidRDefault="00CE7F43">
            <w:pPr>
              <w:jc w:val="center"/>
            </w:pPr>
            <w:r>
              <w:rPr>
                <w:b/>
              </w:rPr>
              <w:t>B1</w:t>
            </w:r>
          </w:p>
        </w:tc>
        <w:tc>
          <w:tcPr>
            <w:tcW w:w="1800" w:type="dxa"/>
            <w:noWrap/>
          </w:tcPr>
          <w:p w14:paraId="6DE949B6" w14:textId="77777777" w:rsidR="00DF410E" w:rsidRDefault="00CE7F43">
            <w:pPr>
              <w:jc w:val="center"/>
            </w:pPr>
            <w:r>
              <w:rPr>
                <w:b/>
              </w:rPr>
              <w:t>B2</w:t>
            </w:r>
          </w:p>
        </w:tc>
        <w:tc>
          <w:tcPr>
            <w:tcW w:w="1380" w:type="dxa"/>
            <w:noWrap/>
          </w:tcPr>
          <w:p w14:paraId="29BDAA21" w14:textId="77777777" w:rsidR="00DF410E" w:rsidRDefault="00CE7F43">
            <w:pPr>
              <w:jc w:val="center"/>
            </w:pPr>
            <w:r>
              <w:rPr>
                <w:b/>
              </w:rPr>
              <w:t>C</w:t>
            </w:r>
          </w:p>
        </w:tc>
        <w:tc>
          <w:tcPr>
            <w:tcW w:w="1530" w:type="dxa"/>
            <w:noWrap/>
          </w:tcPr>
          <w:p w14:paraId="6C3473C0" w14:textId="77777777" w:rsidR="00DF410E" w:rsidRDefault="00CE7F43">
            <w:pPr>
              <w:jc w:val="center"/>
            </w:pPr>
            <w:r>
              <w:rPr>
                <w:b/>
              </w:rPr>
              <w:t>D</w:t>
            </w:r>
          </w:p>
        </w:tc>
        <w:tc>
          <w:tcPr>
            <w:tcW w:w="1785" w:type="dxa"/>
            <w:noWrap/>
          </w:tcPr>
          <w:p w14:paraId="33497CB2" w14:textId="77777777" w:rsidR="00DF410E" w:rsidRDefault="00CE7F43">
            <w:pPr>
              <w:jc w:val="center"/>
            </w:pPr>
            <w:r>
              <w:rPr>
                <w:b/>
              </w:rPr>
              <w:t>E</w:t>
            </w:r>
          </w:p>
        </w:tc>
      </w:tr>
      <w:tr w:rsidR="00DF410E" w14:paraId="28B5437D" w14:textId="77777777">
        <w:tc>
          <w:tcPr>
            <w:tcW w:w="1125" w:type="dxa"/>
            <w:noWrap/>
          </w:tcPr>
          <w:p w14:paraId="5C0659EB" w14:textId="77777777" w:rsidR="00DF410E" w:rsidRDefault="00CE7F43">
            <w:pPr>
              <w:jc w:val="center"/>
            </w:pPr>
            <w:r>
              <w:rPr>
                <w:b/>
              </w:rPr>
              <w:t>Classe de résistance</w:t>
            </w:r>
          </w:p>
        </w:tc>
        <w:tc>
          <w:tcPr>
            <w:tcW w:w="1410" w:type="dxa"/>
            <w:noWrap/>
          </w:tcPr>
          <w:p w14:paraId="7AB47425" w14:textId="77777777" w:rsidR="00DF410E" w:rsidRDefault="00CE7F43">
            <w:pPr>
              <w:jc w:val="center"/>
            </w:pPr>
            <w:r>
              <w:rPr>
                <w:b/>
              </w:rPr>
              <w:t>Domaine d’application</w:t>
            </w:r>
          </w:p>
        </w:tc>
        <w:tc>
          <w:tcPr>
            <w:tcW w:w="1800" w:type="dxa"/>
            <w:noWrap/>
          </w:tcPr>
          <w:p w14:paraId="77D89F3B" w14:textId="77777777" w:rsidR="00DF410E" w:rsidRDefault="00CE7F43">
            <w:pPr>
              <w:jc w:val="center"/>
            </w:pPr>
            <w:r>
              <w:rPr>
                <w:b/>
              </w:rPr>
              <w:t>Classe d'environnement</w:t>
            </w:r>
          </w:p>
        </w:tc>
        <w:tc>
          <w:tcPr>
            <w:tcW w:w="1380" w:type="dxa"/>
            <w:noWrap/>
          </w:tcPr>
          <w:p w14:paraId="4C619AEF" w14:textId="77777777" w:rsidR="00DF410E" w:rsidRDefault="00CE7F43">
            <w:pPr>
              <w:jc w:val="center"/>
            </w:pPr>
            <w:r>
              <w:rPr>
                <w:b/>
              </w:rPr>
              <w:t>Classe de consistance</w:t>
            </w:r>
          </w:p>
        </w:tc>
        <w:tc>
          <w:tcPr>
            <w:tcW w:w="1530" w:type="dxa"/>
            <w:noWrap/>
          </w:tcPr>
          <w:p w14:paraId="5781B071" w14:textId="77777777" w:rsidR="00DF410E" w:rsidRDefault="00CE7F43">
            <w:pPr>
              <w:jc w:val="center"/>
            </w:pPr>
            <w:r>
              <w:rPr>
                <w:b/>
              </w:rPr>
              <w:t>Granulométrie maximale</w:t>
            </w:r>
          </w:p>
        </w:tc>
        <w:tc>
          <w:tcPr>
            <w:tcW w:w="1785" w:type="dxa"/>
            <w:noWrap/>
          </w:tcPr>
          <w:p w14:paraId="255AD54A" w14:textId="77777777" w:rsidR="00DF410E" w:rsidRDefault="00CE7F43">
            <w:pPr>
              <w:jc w:val="center"/>
            </w:pPr>
            <w:r>
              <w:rPr>
                <w:b/>
              </w:rPr>
              <w:t>Données complémentaires</w:t>
            </w:r>
          </w:p>
        </w:tc>
      </w:tr>
      <w:tr w:rsidR="00DF410E" w14:paraId="416DC1BF" w14:textId="77777777">
        <w:tc>
          <w:tcPr>
            <w:tcW w:w="1125" w:type="dxa"/>
            <w:noWrap/>
          </w:tcPr>
          <w:p w14:paraId="4CEAD073" w14:textId="77777777" w:rsidR="00DF410E" w:rsidRDefault="00DF410E"/>
          <w:p w14:paraId="674BB4E6" w14:textId="77777777" w:rsidR="00DF410E" w:rsidRDefault="00CE7F43">
            <w:pPr>
              <w:jc w:val="center"/>
            </w:pPr>
            <w:r>
              <w:rPr>
                <w:rStyle w:val="optioncarChar"/>
              </w:rPr>
              <w:t>C25/30 / C30/37 / C35/45 / C45/55 / C50/60 / C55/67 / C60/75 / C70/85 / C80/95 / C90/105</w:t>
            </w:r>
          </w:p>
        </w:tc>
        <w:tc>
          <w:tcPr>
            <w:tcW w:w="1410" w:type="dxa"/>
            <w:noWrap/>
          </w:tcPr>
          <w:p w14:paraId="5E67D5B0" w14:textId="77777777" w:rsidR="00DF410E" w:rsidRDefault="00DF410E"/>
          <w:p w14:paraId="507D9DA0" w14:textId="77777777" w:rsidR="00DF410E" w:rsidRDefault="00CE7F43">
            <w:pPr>
              <w:jc w:val="center"/>
            </w:pPr>
            <w:r>
              <w:t>Béton armé</w:t>
            </w:r>
          </w:p>
        </w:tc>
        <w:tc>
          <w:tcPr>
            <w:tcW w:w="1800" w:type="dxa"/>
            <w:noWrap/>
          </w:tcPr>
          <w:p w14:paraId="7E14D10C" w14:textId="77777777" w:rsidR="00DF410E" w:rsidRDefault="00DF410E"/>
          <w:p w14:paraId="7FA4B5F6" w14:textId="77777777" w:rsidR="00DF410E" w:rsidRDefault="00CE7F43">
            <w:pPr>
              <w:jc w:val="center"/>
            </w:pPr>
            <w:r>
              <w:rPr>
                <w:rStyle w:val="optioncarChar"/>
              </w:rPr>
              <w:t>EI / EE1 / EE2 / EE3 / EE4 / ES1 / ES2 / ES3 / ES4 / EA1+*** / EA2+*** / EA3+***</w:t>
            </w:r>
          </w:p>
        </w:tc>
        <w:tc>
          <w:tcPr>
            <w:tcW w:w="1380" w:type="dxa"/>
            <w:noWrap/>
          </w:tcPr>
          <w:p w14:paraId="6CE5A144" w14:textId="77777777" w:rsidR="00DF410E" w:rsidRDefault="00DF410E"/>
          <w:p w14:paraId="40689421" w14:textId="77777777" w:rsidR="00DF410E" w:rsidRDefault="00CE7F43">
            <w:pPr>
              <w:jc w:val="both"/>
            </w:pPr>
            <w:r>
              <w:t>au choix de l'entrepreneur :</w:t>
            </w:r>
          </w:p>
          <w:p w14:paraId="07079B85" w14:textId="77777777" w:rsidR="00DF410E" w:rsidRDefault="00DF410E"/>
          <w:p w14:paraId="49E5F583" w14:textId="77777777" w:rsidR="00DF410E" w:rsidRDefault="00CE7F43">
            <w:pPr>
              <w:jc w:val="both"/>
            </w:pPr>
            <w:r>
              <w:rPr>
                <w:rStyle w:val="optioncarChar"/>
              </w:rPr>
              <w:t>S3 / S4 / S5</w:t>
            </w:r>
          </w:p>
          <w:p w14:paraId="16088546" w14:textId="77777777" w:rsidR="00DF410E" w:rsidRDefault="00CE7F43">
            <w:pPr>
              <w:jc w:val="both"/>
            </w:pPr>
            <w:r>
              <w:rPr>
                <w:rStyle w:val="optioncarChar"/>
              </w:rPr>
              <w:t>F1 / F4 / F5 / F6</w:t>
            </w:r>
          </w:p>
        </w:tc>
        <w:tc>
          <w:tcPr>
            <w:tcW w:w="1530" w:type="dxa"/>
            <w:noWrap/>
          </w:tcPr>
          <w:p w14:paraId="5FED8A5F" w14:textId="77777777" w:rsidR="00DF410E" w:rsidRDefault="00DF410E"/>
          <w:p w14:paraId="36E24457" w14:textId="77777777" w:rsidR="00DF410E" w:rsidRDefault="00CE7F43">
            <w:pPr>
              <w:jc w:val="both"/>
            </w:pPr>
            <w:r>
              <w:t>au choix de l'entrepreneur :</w:t>
            </w:r>
          </w:p>
          <w:p w14:paraId="216491AD" w14:textId="77777777" w:rsidR="00DF410E" w:rsidRDefault="00DF410E"/>
          <w:p w14:paraId="2A356C0C" w14:textId="77777777" w:rsidR="00DF410E" w:rsidRDefault="00DF410E"/>
          <w:p w14:paraId="5E7EC5CD" w14:textId="77777777" w:rsidR="00DF410E" w:rsidRDefault="00CE7F43">
            <w:pPr>
              <w:jc w:val="both"/>
            </w:pPr>
            <w:r>
              <w:rPr>
                <w:rStyle w:val="optioncarChar"/>
              </w:rPr>
              <w:t>6 / 8 / 10 / 11 / 12 / 14 / 16 / 20 / 22 / 32</w:t>
            </w:r>
            <w:r>
              <w:t xml:space="preserve"> mm</w:t>
            </w:r>
          </w:p>
        </w:tc>
        <w:tc>
          <w:tcPr>
            <w:tcW w:w="1785" w:type="dxa"/>
            <w:noWrap/>
          </w:tcPr>
          <w:p w14:paraId="40772137" w14:textId="77777777" w:rsidR="00DF410E" w:rsidRDefault="00DF410E"/>
          <w:p w14:paraId="3542095B" w14:textId="77777777" w:rsidR="00DF410E" w:rsidRDefault="00CE7F43">
            <w:pPr>
              <w:jc w:val="center"/>
            </w:pPr>
            <w:r>
              <w:rPr>
                <w:rStyle w:val="optioncarChar"/>
              </w:rPr>
              <w:t>***</w:t>
            </w:r>
          </w:p>
        </w:tc>
      </w:tr>
    </w:tbl>
    <w:p w14:paraId="2AAEA67D" w14:textId="77777777" w:rsidR="00DF410E" w:rsidRDefault="00CE7F43">
      <w:pPr>
        <w:jc w:val="both"/>
      </w:pPr>
      <w:r>
        <w:t> </w:t>
      </w:r>
    </w:p>
    <w:p w14:paraId="0935C4AF" w14:textId="77777777" w:rsidR="00DF410E" w:rsidRDefault="00CE7F43">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p>
    <w:p w14:paraId="6EC714AF" w14:textId="77777777" w:rsidR="00DF410E" w:rsidRDefault="00CE7F43">
      <w:pPr>
        <w:jc w:val="both"/>
      </w:pPr>
      <w:r>
        <w:t xml:space="preserve"> Données complémentaires propres au béton autoplaçant (E) :</w:t>
      </w:r>
    </w:p>
    <w:p w14:paraId="667176BB" w14:textId="77777777" w:rsidR="00DF410E" w:rsidRDefault="00CE7F43">
      <w:pPr>
        <w:pStyle w:val="Author-eListParagraph"/>
        <w:numPr>
          <w:ilvl w:val="0"/>
          <w:numId w:val="511"/>
        </w:numPr>
      </w:pPr>
      <w:r>
        <w:t>Classe de viscosité apparente :</w:t>
      </w:r>
      <w:r>
        <w:rPr>
          <w:rStyle w:val="optioncarChar"/>
        </w:rPr>
        <w:t xml:space="preserve"> VS1 / VS2</w:t>
      </w:r>
      <w:r>
        <w:t xml:space="preserve"> (selon la [NBN EN 12350-8])</w:t>
      </w:r>
    </w:p>
    <w:p w14:paraId="29E4D933" w14:textId="77777777" w:rsidR="00DF410E" w:rsidRDefault="00CE7F43">
      <w:pPr>
        <w:pStyle w:val="Author-eListParagraph"/>
        <w:numPr>
          <w:ilvl w:val="0"/>
          <w:numId w:val="511"/>
        </w:numPr>
      </w:pPr>
      <w:r>
        <w:t xml:space="preserve"> Aptitude à l’écoulement : </w:t>
      </w:r>
      <w:r>
        <w:rPr>
          <w:rStyle w:val="optioncarChar"/>
        </w:rPr>
        <w:t>PL1 / PL2</w:t>
      </w:r>
      <w:r>
        <w:t xml:space="preserve"> (selon la [NBN EN 12350-10]) ou</w:t>
      </w:r>
      <w:r>
        <w:rPr>
          <w:rStyle w:val="optioncarChar"/>
        </w:rPr>
        <w:t xml:space="preserve"> PJ1 / PJ2</w:t>
      </w:r>
      <w:r>
        <w:t xml:space="preserve"> (selon la [NBN EN 12350-12])</w:t>
      </w:r>
    </w:p>
    <w:p w14:paraId="4B6D3745" w14:textId="77777777" w:rsidR="00DF410E" w:rsidRDefault="00CE7F43">
      <w:pPr>
        <w:pStyle w:val="Author-eListParagraph"/>
        <w:numPr>
          <w:ilvl w:val="0"/>
          <w:numId w:val="511"/>
        </w:numPr>
      </w:pPr>
      <w:r>
        <w:t xml:space="preserve">Classe de résistance à la ségrégation : </w:t>
      </w:r>
      <w:r>
        <w:rPr>
          <w:rStyle w:val="optioncarChar"/>
        </w:rPr>
        <w:t>SR1 / SR2</w:t>
      </w:r>
      <w:r>
        <w:t xml:space="preserve"> (selon la [NBN EN 12350-11])</w:t>
      </w:r>
    </w:p>
    <w:p w14:paraId="37EE1F51" w14:textId="77777777" w:rsidR="00DF410E" w:rsidRDefault="00CE7F43">
      <w:pPr>
        <w:pStyle w:val="Author-eListParagraph"/>
        <w:numPr>
          <w:ilvl w:val="0"/>
          <w:numId w:val="511"/>
        </w:numPr>
      </w:pPr>
      <w:r>
        <w:t xml:space="preserve">Pourcentage d'armatures : </w:t>
      </w:r>
      <w:r>
        <w:rPr>
          <w:rStyle w:val="optioncarChar"/>
        </w:rPr>
        <w:t>***</w:t>
      </w:r>
      <w:r>
        <w:t xml:space="preserve"> kg d'acier par m³ de béton.</w:t>
      </w:r>
    </w:p>
    <w:p w14:paraId="45344AAE" w14:textId="77777777" w:rsidR="00DF410E" w:rsidRDefault="00CE7F43">
      <w:pPr>
        <w:pStyle w:val="Author-eListParagraph"/>
        <w:numPr>
          <w:ilvl w:val="0"/>
          <w:numId w:val="511"/>
        </w:numPr>
      </w:pPr>
      <w:r>
        <w:t xml:space="preserve">Barres d’acier/armatures complémentaires : acier </w:t>
      </w:r>
      <w:r>
        <w:rPr>
          <w:rStyle w:val="optioncarChar"/>
        </w:rPr>
        <w:t>BE 500 S</w:t>
      </w:r>
      <w:r>
        <w:t xml:space="preserve"> (par défaut)</w:t>
      </w:r>
      <w:r>
        <w:rPr>
          <w:rStyle w:val="optioncarChar"/>
        </w:rPr>
        <w:t xml:space="preserve"> / ***</w:t>
      </w:r>
      <w:r>
        <w:t xml:space="preserve"> selon [NBN A 24-302] + [PTV 302].</w:t>
      </w:r>
    </w:p>
    <w:p w14:paraId="0221D067" w14:textId="77777777" w:rsidR="00DF410E" w:rsidRDefault="00CE7F43">
      <w:pPr>
        <w:jc w:val="both"/>
      </w:pPr>
      <w:r>
        <w:rPr>
          <w:u w:val="single"/>
        </w:rPr>
        <w:t> </w:t>
      </w:r>
      <w:r>
        <w:rPr>
          <w:b/>
          <w:u w:val="single"/>
        </w:rPr>
        <w:t>Résistance au feu des parois</w:t>
      </w:r>
    </w:p>
    <w:p w14:paraId="6644B511" w14:textId="77777777" w:rsidR="00DF410E" w:rsidRDefault="00CE7F43">
      <w:pPr>
        <w:jc w:val="both"/>
      </w:pPr>
      <w:r>
        <w:t>Résistance au feu suivant la déclaration de performance (DoP) selon la norme produit [NBN EN 14992+A1] et [NBN B 21-612].</w:t>
      </w:r>
    </w:p>
    <w:p w14:paraId="74E3291D" w14:textId="77777777" w:rsidR="00DF410E" w:rsidRDefault="00CE7F43">
      <w:pPr>
        <w:jc w:val="both"/>
      </w:pPr>
      <w:r>
        <w:t>Si la résistance au feu n’est pas déclarée sous marquage CE, elle est démontrée par test au feu selon la [NBN EN 13501-2] ou par calcul selon les Eurocodes conformément à l’[AM 2013-05-17]</w:t>
      </w:r>
    </w:p>
    <w:p w14:paraId="49AD2982" w14:textId="77777777" w:rsidR="00DF410E" w:rsidRDefault="00CE7F43">
      <w:pPr>
        <w:pStyle w:val="Author-eListParagraph"/>
        <w:numPr>
          <w:ilvl w:val="0"/>
          <w:numId w:val="512"/>
        </w:numPr>
      </w:pPr>
      <w:r>
        <w:t xml:space="preserve">pour les éléments porteurs sans fonction séparante  </w:t>
      </w:r>
      <w:r>
        <w:rPr>
          <w:rStyle w:val="optioncarChar"/>
        </w:rPr>
        <w:t>R15 / R30 </w:t>
      </w:r>
      <w:r>
        <w:t xml:space="preserve">(par défaut) </w:t>
      </w:r>
      <w:r>
        <w:rPr>
          <w:rStyle w:val="optioncarChar"/>
        </w:rPr>
        <w:t>/ R60 / R120 / R ***</w:t>
      </w:r>
    </w:p>
    <w:p w14:paraId="131E3054" w14:textId="77777777" w:rsidR="00DF410E" w:rsidRDefault="00CE7F43">
      <w:pPr>
        <w:pStyle w:val="Author-eListParagraph"/>
        <w:numPr>
          <w:ilvl w:val="0"/>
          <w:numId w:val="512"/>
        </w:numPr>
      </w:pPr>
      <w:r>
        <w:t xml:space="preserve">pour les éléments porteurs avec fonction séparante  </w:t>
      </w:r>
      <w:r>
        <w:rPr>
          <w:rStyle w:val="optioncarChar"/>
        </w:rPr>
        <w:t>REI 30 </w:t>
      </w:r>
      <w:r>
        <w:t>(par défaut)</w:t>
      </w:r>
      <w:r>
        <w:rPr>
          <w:rStyle w:val="optioncarChar"/>
        </w:rPr>
        <w:t> / REI 60 / REI 120 / REI *** </w:t>
      </w:r>
      <w:r>
        <w:t xml:space="preserve">pour les éléments non porteurs avec fonction séparante : </w:t>
      </w:r>
      <w:r>
        <w:rPr>
          <w:rStyle w:val="optioncarChar"/>
        </w:rPr>
        <w:t>EI 30 </w:t>
      </w:r>
      <w:r>
        <w:t>(par défaut)</w:t>
      </w:r>
      <w:r>
        <w:rPr>
          <w:rStyle w:val="optioncarChar"/>
        </w:rPr>
        <w:t xml:space="preserve"> / EI 60 / EI 120 / EI ***</w:t>
      </w:r>
    </w:p>
    <w:p w14:paraId="0830C0AA" w14:textId="77777777" w:rsidR="00DF410E" w:rsidRDefault="00CE7F43">
      <w:pPr>
        <w:jc w:val="both"/>
      </w:pPr>
      <w:r>
        <w:rPr>
          <w:b/>
          <w:u w:val="single"/>
        </w:rPr>
        <w:t>Classe d’étanchéité</w:t>
      </w:r>
    </w:p>
    <w:p w14:paraId="515BEB6F" w14:textId="77777777" w:rsidR="00DF410E" w:rsidRDefault="00CE7F43">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Si seul le béton fait office de barrière étanche à l’humidité, l’épaisseur minimale totale du béton du côté intérieur vaut 240 mm.</w:t>
      </w:r>
    </w:p>
    <w:p w14:paraId="4E63EB92" w14:textId="77777777" w:rsidR="00DF410E" w:rsidRDefault="00CE7F43">
      <w:pPr>
        <w:jc w:val="both"/>
      </w:pPr>
      <w:r>
        <w:t>L’épaisseur minimale du béton de seconde phase est de :</w:t>
      </w:r>
    </w:p>
    <w:p w14:paraId="6A512F9B" w14:textId="77777777" w:rsidR="00DF410E" w:rsidRDefault="00CE7F43">
      <w:pPr>
        <w:pStyle w:val="Author-eListParagraph"/>
        <w:numPr>
          <w:ilvl w:val="0"/>
          <w:numId w:val="513"/>
        </w:numPr>
      </w:pPr>
      <w:r>
        <w:t>120 mm si le Dmax du béton de seconde phase vaut 8 mm</w:t>
      </w:r>
    </w:p>
    <w:p w14:paraId="479C38E8" w14:textId="77777777" w:rsidR="00DF410E" w:rsidRDefault="00CE7F43">
      <w:pPr>
        <w:pStyle w:val="Author-eListParagraph"/>
        <w:numPr>
          <w:ilvl w:val="0"/>
          <w:numId w:val="513"/>
        </w:numPr>
      </w:pPr>
      <w:r>
        <w:t>140 mm si le Dmax du béton de seconde phase vaut 16 mm</w:t>
      </w:r>
    </w:p>
    <w:p w14:paraId="4F3FEFD3" w14:textId="77777777" w:rsidR="00DF410E" w:rsidRDefault="00CE7F43">
      <w:pPr>
        <w:pStyle w:val="Author-eListParagraph"/>
        <w:numPr>
          <w:ilvl w:val="0"/>
          <w:numId w:val="513"/>
        </w:numPr>
      </w:pPr>
      <w:r>
        <w:t>180 mm si le Dmax du béton de seconde phase vaut 32 mm</w:t>
      </w:r>
    </w:p>
    <w:p w14:paraId="62E05FCC" w14:textId="77777777" w:rsidR="00DF410E" w:rsidRDefault="00CE7F43">
      <w:pPr>
        <w:jc w:val="both"/>
      </w:pPr>
      <w:r>
        <w:t>Pour les classes d’étanchéité supérieures à la classe 0 et si seul le béton fait office de barrière étanche, le rapport E/C du béton de remplissage ne peut dépasser 0,50.</w:t>
      </w:r>
    </w:p>
    <w:p w14:paraId="54C7EF66" w14:textId="77777777" w:rsidR="00DF410E" w:rsidRDefault="00CE7F43">
      <w:pPr>
        <w:jc w:val="both"/>
      </w:pPr>
      <w:r>
        <w:t xml:space="preserve">L’armature des joints du béton de remplissage est au moins un treillis soudé, d’un acier BE 500S ou BE 500 TS de type </w:t>
      </w:r>
      <w:r>
        <w:rPr>
          <w:rStyle w:val="optioncarChar"/>
        </w:rPr>
        <w:t>150x150x8x8 </w:t>
      </w:r>
      <w:r>
        <w:t>(par défaut)</w:t>
      </w:r>
      <w:r>
        <w:rPr>
          <w:rStyle w:val="optioncarChar"/>
        </w:rPr>
        <w:t xml:space="preserve"> / ***x***x***x*** </w:t>
      </w:r>
      <w:r>
        <w:t>.</w:t>
      </w:r>
    </w:p>
    <w:p w14:paraId="1537F12D" w14:textId="77777777" w:rsidR="00DF410E" w:rsidRDefault="00DF410E"/>
    <w:p w14:paraId="1E2C0C03" w14:textId="77777777" w:rsidR="00DF410E" w:rsidRDefault="00CE7F43">
      <w:r>
        <w:t> </w:t>
      </w:r>
    </w:p>
    <w:p w14:paraId="1AD59F91" w14:textId="77777777" w:rsidR="00DF410E" w:rsidRDefault="00CE7F43">
      <w:pPr>
        <w:pStyle w:val="pheading"/>
      </w:pPr>
      <w:r>
        <w:t>- Finitions</w:t>
      </w:r>
    </w:p>
    <w:p w14:paraId="1057344D" w14:textId="77777777" w:rsidR="00DF410E" w:rsidRDefault="00CE7F43">
      <w:pPr>
        <w:jc w:val="both"/>
      </w:pPr>
      <w:r>
        <w:t xml:space="preserve">La finition extérieure des parois: </w:t>
      </w:r>
      <w:r>
        <w:rPr>
          <w:rStyle w:val="optioncarChar"/>
        </w:rPr>
        <w:t>béton lisse industriel selon [NBN EN 13369:2023] + [NBN B 21-600] </w:t>
      </w:r>
      <w:r>
        <w:t xml:space="preserve">(par défaut) </w:t>
      </w:r>
      <w:r>
        <w:rPr>
          <w:rStyle w:val="optioncarChar"/>
        </w:rPr>
        <w:t>/ ***</w:t>
      </w:r>
      <w:r>
        <w:t>.</w:t>
      </w:r>
    </w:p>
    <w:p w14:paraId="7C7E3168" w14:textId="77777777" w:rsidR="00DF410E" w:rsidRDefault="00CE7F43">
      <w:pPr>
        <w:jc w:val="both"/>
      </w:pPr>
      <w:r>
        <w:t xml:space="preserve">Le joint entre les éléments préfabriqués est : </w:t>
      </w:r>
      <w:r>
        <w:rPr>
          <w:rStyle w:val="optioncarChar"/>
        </w:rPr>
        <w:t>vide / rempli par un joint souple</w:t>
      </w:r>
      <w:r>
        <w:t xml:space="preserve"> (par défaut) </w:t>
      </w:r>
      <w:r>
        <w:rPr>
          <w:rStyle w:val="optioncarChar"/>
        </w:rPr>
        <w:t>/ muni d’un dispositif d’étanchéité / ***</w:t>
      </w:r>
      <w:r>
        <w:t>.</w:t>
      </w:r>
    </w:p>
    <w:p w14:paraId="103A4EE8" w14:textId="77777777" w:rsidR="00DF410E" w:rsidRDefault="00CE7F43">
      <w:pPr>
        <w:jc w:val="both"/>
      </w:pPr>
      <w:r>
        <w:t xml:space="preserve">Les arêtes de la face apparente sont : </w:t>
      </w:r>
      <w:r>
        <w:rPr>
          <w:rStyle w:val="optioncarChar"/>
        </w:rPr>
        <w:t>munies de chanfreins </w:t>
      </w:r>
      <w:r>
        <w:t>(par défaut)</w:t>
      </w:r>
      <w:r>
        <w:rPr>
          <w:rStyle w:val="optioncarChar"/>
        </w:rPr>
        <w:t xml:space="preserve"> / ***</w:t>
      </w:r>
      <w:r>
        <w:t>.</w:t>
      </w:r>
    </w:p>
    <w:p w14:paraId="27F1D1F4" w14:textId="77777777" w:rsidR="00DF410E" w:rsidRDefault="00CE7F43">
      <w:pPr>
        <w:pStyle w:val="pheading"/>
      </w:pPr>
      <w:r>
        <w:t>EXÉCUTION / MISE EN ŒUVRE</w:t>
      </w:r>
    </w:p>
    <w:p w14:paraId="031055E9" w14:textId="77777777" w:rsidR="00DF410E" w:rsidRDefault="00CE7F43">
      <w:pPr>
        <w:pStyle w:val="pheading"/>
      </w:pPr>
      <w:r>
        <w:t>- Prescriptions générales</w:t>
      </w:r>
    </w:p>
    <w:p w14:paraId="24BC7E13" w14:textId="77777777" w:rsidR="00DF410E" w:rsidRDefault="00CE7F43">
      <w:pPr>
        <w:jc w:val="both"/>
      </w:pPr>
      <w:r>
        <w:t xml:space="preserve">L’étude et les plans d’exécution </w:t>
      </w:r>
      <w:r>
        <w:rPr>
          <w:rStyle w:val="optioncarChar"/>
        </w:rPr>
        <w:t>sont / ne sont</w:t>
      </w:r>
      <w:r>
        <w:t xml:space="preserve"> pas à charge de l’entreprise.</w:t>
      </w:r>
    </w:p>
    <w:p w14:paraId="6E3D5BBE" w14:textId="77777777" w:rsidR="00DF410E" w:rsidRDefault="00CE7F43">
      <w:pPr>
        <w:jc w:val="both"/>
      </w:pPr>
      <w:r>
        <w:t>Le plan de pose doit être approuvé par le bureau d’études ou la direction de chantier.</w:t>
      </w:r>
    </w:p>
    <w:p w14:paraId="42F58BBF" w14:textId="77777777" w:rsidR="00DF410E" w:rsidRDefault="00CE7F43">
      <w:pPr>
        <w:jc w:val="both"/>
      </w:pPr>
      <w:r>
        <w:t>Les parois sont fabriquées dans les dimensions indiquées sur les plans d’exécution approuvés.</w:t>
      </w:r>
    </w:p>
    <w:p w14:paraId="60FF04D0" w14:textId="77777777" w:rsidR="00DF410E" w:rsidRDefault="00CE7F43">
      <w:pPr>
        <w:jc w:val="both"/>
      </w:pPr>
      <w:r>
        <w:t>La conception des joints et des liaisons extérieures sont définis par l’étude de stabilité et soumis pour approbation à l’auteur de projet.</w:t>
      </w:r>
    </w:p>
    <w:p w14:paraId="32688504" w14:textId="77777777" w:rsidR="00DF410E" w:rsidRDefault="00CE7F43">
      <w:pPr>
        <w:jc w:val="both"/>
      </w:pPr>
      <w:r>
        <w:t>La mise en œuvre est conforme aux normes [NBN EN 13670] et [NBN B 15-400] et au [FEBE BT Prémurs].</w:t>
      </w:r>
    </w:p>
    <w:p w14:paraId="6EC3C20B" w14:textId="77777777" w:rsidR="00DF410E" w:rsidRDefault="00CE7F43">
      <w:pPr>
        <w:jc w:val="both"/>
      </w:pPr>
      <w:r>
        <w:t>Les recommandations du [Buildwise Méthode de dimensionnement Rapport 10] sont respectées pour la mise en œuvre.</w:t>
      </w:r>
    </w:p>
    <w:p w14:paraId="66F806CC" w14:textId="77777777" w:rsidR="00DF410E" w:rsidRDefault="00CE7F43">
      <w:pPr>
        <w:jc w:val="both"/>
      </w:pPr>
      <w:r>
        <w:t>Si les parois doivent être étanches à l’eau, il y a lieu de prévoir des dispositifs d’étanchéité intégrés aux prémurs et que leur mise en œuvre soit réalisée conformément à la [NIT 247] et à la [NIT 250].</w:t>
      </w:r>
    </w:p>
    <w:p w14:paraId="5429A20A" w14:textId="77777777" w:rsidR="00DF410E" w:rsidRDefault="00CE7F43">
      <w:pPr>
        <w:jc w:val="both"/>
      </w:pPr>
      <w:r>
        <w:t>Les joints assurent la continuité thermique de l’isolant.</w:t>
      </w:r>
    </w:p>
    <w:p w14:paraId="5C3A42FB" w14:textId="77777777" w:rsidR="00DF410E" w:rsidRDefault="00CE7F43">
      <w:pPr>
        <w:jc w:val="both"/>
      </w:pPr>
      <w:r>
        <w:t>La couche de béton coulé et son armature (l’armature de joints, treillis + barres additionnelles) sont mises en œuvre et apposées suivant les indications reprises dans l’étude du béton et le plan de pose.</w:t>
      </w:r>
    </w:p>
    <w:p w14:paraId="42287FDC" w14:textId="77777777" w:rsidR="00DF410E" w:rsidRDefault="00CE7F43">
      <w:pPr>
        <w:jc w:val="both"/>
      </w:pPr>
      <w:r>
        <w:t>Le béton de remplissage est coulé en couches de maximum 60 cm.</w:t>
      </w:r>
    </w:p>
    <w:p w14:paraId="26BDEB3F" w14:textId="77777777" w:rsidR="00DF410E" w:rsidRDefault="00CE7F43">
      <w:pPr>
        <w:jc w:val="both"/>
      </w:pPr>
      <w:r>
        <w:t>Une pression maximale autorisée du béton de 30 kN/m² ne peut pas être dépassée.</w:t>
      </w:r>
    </w:p>
    <w:p w14:paraId="5EF69EEF" w14:textId="77777777" w:rsidR="00DF410E" w:rsidRDefault="00CE7F43">
      <w:pPr>
        <w:jc w:val="both"/>
      </w:pPr>
      <w:r>
        <w:t>Une description des techniques d’étançonnement temporaire doit être indiquée et approuvée par l’auteur de projet. En cas de fixation sur les autres parois, les trous de fixation sont réparés et conservent les mêmes propriétés que la paroi initiale.</w:t>
      </w:r>
    </w:p>
    <w:p w14:paraId="363C28DE" w14:textId="77777777" w:rsidR="00DF410E" w:rsidRDefault="00CE7F43">
      <w:pPr>
        <w:pStyle w:val="pheading"/>
      </w:pPr>
      <w:r>
        <w:t>DOCUMENTS DE RÉFÉRENCE COMPLÉMENTAIRES</w:t>
      </w:r>
    </w:p>
    <w:p w14:paraId="3CF891A8" w14:textId="77777777" w:rsidR="00DF410E" w:rsidRDefault="00CE7F43">
      <w:pPr>
        <w:pStyle w:val="pheading"/>
      </w:pPr>
      <w:r>
        <w:t>- Matériau</w:t>
      </w:r>
    </w:p>
    <w:p w14:paraId="26F8BF09" w14:textId="77777777" w:rsidR="00DF410E" w:rsidRDefault="00CE7F43">
      <w:r>
        <w:t>[NBN EN 14992+A1, Produits préfabriqués en béton - Eléments de mur] </w:t>
      </w:r>
      <w:r>
        <w:br/>
      </w:r>
      <w:r>
        <w:br/>
        <w:t>[NBN B 21-612, Produits préfabriqués en béton - Eléments de mur - Norme d'application nationale à la NBN EN 14992+A1:2012]</w:t>
      </w:r>
    </w:p>
    <w:p w14:paraId="2FC5906A" w14:textId="77777777" w:rsidR="00DF410E" w:rsidRDefault="00CE7F43">
      <w:r>
        <w:t>[RA 21-612, Règlement d'application Benor - Produits préfabriqués en béton - Eléments de murs]</w:t>
      </w:r>
      <w:r>
        <w:br/>
      </w:r>
      <w:r>
        <w:br/>
        <w:t>[Buildwise Méthode de dimensionnement Rapport 10, Sécurité et mise en oeuvre d'éléments préfabriqués en béton]</w:t>
      </w:r>
    </w:p>
    <w:p w14:paraId="49420BAC" w14:textId="77777777" w:rsidR="00DF410E" w:rsidRDefault="00CE7F43">
      <w:r>
        <w:br/>
        <w:t>[FEBE BT Prémurs, Brochure Technique - Prémurs - Rapides et économiques]</w:t>
      </w:r>
    </w:p>
    <w:p w14:paraId="05C6A52C" w14:textId="77777777" w:rsidR="00DF410E" w:rsidRDefault="00CE7F43">
      <w:r>
        <w:t>[NBN EN 12350-8, Essai pour béton frais - Partie 8: Béton auto-plaçant - Essai d'étalement au cône d'Abrams]</w:t>
      </w:r>
      <w:r>
        <w:br/>
      </w:r>
      <w:r>
        <w:br/>
        <w:t>[NBN EN 12350-10, Essai pour béton frais - Partie 10: Béton autoplaçant - Essai à la boîte en L]</w:t>
      </w:r>
      <w:r>
        <w:br/>
      </w:r>
      <w:r>
        <w:br/>
        <w:t>[NBN EN 12350-12, Essai pour béton frais - Partie 12 : Béton autoplaçant - Essai d'écoulement à l'anneau]</w:t>
      </w:r>
      <w:r>
        <w:br/>
      </w:r>
      <w:r>
        <w:br/>
        <w:t>[NBN EN 12350-11, Essai pour béton frais - Partie 11: Béton autoplaçant - Essai de stabilité au tamis]</w:t>
      </w:r>
      <w:r>
        <w:br/>
      </w:r>
      <w:r>
        <w:br/>
        <w:t>[NBN A 24-302, Produits sidérurgiques - Aciers pour béton armé - Barres lisses et barres à nervures - Fils machine lisses et fils machine à nervures]</w:t>
      </w:r>
      <w:r>
        <w:br/>
      </w:r>
      <w:r>
        <w:br/>
        <w:t>[PTV 302, Aciers pour béton armé - Barres à nervures ou à empreintes - Fils à nervures ou à empreintes à haute ductilité]</w:t>
      </w:r>
    </w:p>
    <w:p w14:paraId="30BB3ABD" w14:textId="77777777" w:rsidR="00DF410E" w:rsidRDefault="00CE7F43">
      <w:pPr>
        <w:pStyle w:val="pheading"/>
      </w:pPr>
      <w:r>
        <w:t>- Exécution</w:t>
      </w:r>
    </w:p>
    <w:p w14:paraId="19C92F84" w14:textId="77777777" w:rsidR="00DF410E" w:rsidRDefault="00CE7F43">
      <w:r>
        <w:t>[NIT 247, Conception et exécution des ouvrages étanches en béton]</w:t>
      </w:r>
    </w:p>
    <w:p w14:paraId="5630A009" w14:textId="77777777" w:rsidR="00DF410E" w:rsidRDefault="00CE7F43">
      <w:r>
        <w:t>[NIT 250, Détails de référence pour les constructions enterrées]</w:t>
      </w:r>
    </w:p>
    <w:p w14:paraId="2278653E" w14:textId="77777777" w:rsidR="00DF410E" w:rsidRDefault="00CE7F43">
      <w:r>
        <w:t>[NBN EN 13670, Exécution des structures en béton]</w:t>
      </w:r>
    </w:p>
    <w:p w14:paraId="7FD0CB8B" w14:textId="77777777" w:rsidR="00DF410E" w:rsidRDefault="00CE7F43">
      <w:r>
        <w:t>[NBN B 15-400, Exécution des structures en béton - Supplément national à la NBN EN 13670:2010]</w:t>
      </w:r>
    </w:p>
    <w:p w14:paraId="081D9367" w14:textId="77777777" w:rsidR="00DF410E" w:rsidRDefault="00CE7F43">
      <w:pPr>
        <w:pStyle w:val="pheading"/>
      </w:pPr>
      <w:r>
        <w:t>MESURAGE</w:t>
      </w:r>
    </w:p>
    <w:p w14:paraId="71AC8C4A" w14:textId="77777777" w:rsidR="00DF410E" w:rsidRDefault="00CE7F43">
      <w:pPr>
        <w:pStyle w:val="pheading"/>
      </w:pPr>
      <w:r>
        <w:t>- unité de mesure:</w:t>
      </w:r>
    </w:p>
    <w:p w14:paraId="038EE3BB" w14:textId="77777777" w:rsidR="00DF410E" w:rsidRDefault="00CE7F43">
      <w:r>
        <w:rPr>
          <w:rStyle w:val="optioncarChar"/>
        </w:rPr>
        <w:t xml:space="preserve">m² </w:t>
      </w:r>
      <w:r>
        <w:t xml:space="preserve">(par défaut) </w:t>
      </w:r>
      <w:r>
        <w:rPr>
          <w:rStyle w:val="optioncarChar"/>
        </w:rPr>
        <w:t>/ m³</w:t>
      </w:r>
    </w:p>
    <w:p w14:paraId="1BC31F54" w14:textId="77777777" w:rsidR="00DF410E" w:rsidRDefault="00CE7F43">
      <w:r>
        <w:rPr>
          <w:b/>
          <w:i/>
        </w:rPr>
        <w:t>(soit par défaut)</w:t>
      </w:r>
    </w:p>
    <w:p w14:paraId="27959B4E" w14:textId="77777777" w:rsidR="00DF410E" w:rsidRDefault="00CE7F43">
      <w:r>
        <w:rPr>
          <w:rStyle w:val="soitChar"/>
        </w:rPr>
        <w:t>1. m²</w:t>
      </w:r>
    </w:p>
    <w:p w14:paraId="3173C53F" w14:textId="77777777" w:rsidR="00DF410E" w:rsidRDefault="00CE7F43">
      <w:r>
        <w:rPr>
          <w:b/>
          <w:i/>
        </w:rPr>
        <w:t>(soit)</w:t>
      </w:r>
    </w:p>
    <w:p w14:paraId="4162C76C" w14:textId="77777777" w:rsidR="00DF410E" w:rsidRDefault="00CE7F43">
      <w:r>
        <w:rPr>
          <w:rStyle w:val="soitChar"/>
        </w:rPr>
        <w:t>2. m³</w:t>
      </w:r>
    </w:p>
    <w:p w14:paraId="0589434B" w14:textId="77777777" w:rsidR="00DF410E" w:rsidRDefault="00CE7F43">
      <w:pPr>
        <w:pStyle w:val="pheading"/>
      </w:pPr>
      <w:r>
        <w:t>- code de mesurage:</w:t>
      </w:r>
    </w:p>
    <w:p w14:paraId="7DE74B8A" w14:textId="77777777" w:rsidR="00DF410E" w:rsidRDefault="00CE7F43">
      <w:r>
        <w:rPr>
          <w:rStyle w:val="optioncarChar"/>
        </w:rPr>
        <w:t xml:space="preserve">Surface nette </w:t>
      </w:r>
      <w:r>
        <w:t>(par défaut)</w:t>
      </w:r>
      <w:r>
        <w:rPr>
          <w:rStyle w:val="optioncarChar"/>
        </w:rPr>
        <w:t xml:space="preserve"> / volume</w:t>
      </w:r>
    </w:p>
    <w:p w14:paraId="2D49EF49" w14:textId="77777777" w:rsidR="00DF410E" w:rsidRDefault="00CE7F43">
      <w:r>
        <w:rPr>
          <w:b/>
          <w:i/>
        </w:rPr>
        <w:t>(Soit par défaut) </w:t>
      </w:r>
    </w:p>
    <w:p w14:paraId="086D8AA1" w14:textId="77777777" w:rsidR="00DF410E" w:rsidRDefault="00CE7F43">
      <w:r>
        <w:rPr>
          <w:rStyle w:val="soitChar"/>
          <w:u w:val="single"/>
        </w:rPr>
        <w:t>1. La surface nette</w:t>
      </w:r>
      <w:r>
        <w:rPr>
          <w:rStyle w:val="soitChar"/>
        </w:rPr>
        <w:t xml:space="preserve"> apparente des éléments</w:t>
      </w:r>
    </w:p>
    <w:p w14:paraId="6D6C046C" w14:textId="77777777" w:rsidR="00DF410E" w:rsidRDefault="00CE7F43">
      <w:r>
        <w:rPr>
          <w:b/>
          <w:i/>
        </w:rPr>
        <w:t>(Soit) </w:t>
      </w:r>
    </w:p>
    <w:p w14:paraId="63F29D71" w14:textId="77777777" w:rsidR="00DF410E" w:rsidRDefault="00CE7F43">
      <w:pPr>
        <w:jc w:val="both"/>
      </w:pPr>
      <w:r>
        <w:rPr>
          <w:rStyle w:val="soitChar"/>
          <w:u w:val="single"/>
        </w:rPr>
        <w:t>2. Le volume</w:t>
      </w:r>
      <w:r>
        <w:rPr>
          <w:rStyle w:val="soitChar"/>
        </w:rPr>
        <w:t xml:space="preserve"> de béton préfabriqué.</w:t>
      </w:r>
    </w:p>
    <w:p w14:paraId="6D8EDBC7" w14:textId="77777777" w:rsidR="00DF410E" w:rsidRDefault="00CE7F43">
      <w:pPr>
        <w:jc w:val="both"/>
      </w:pPr>
      <w:r>
        <w:rPr>
          <w:rStyle w:val="soitChar"/>
        </w:rPr>
        <w:t>Aucune déduction n'est faite pour:</w:t>
      </w:r>
    </w:p>
    <w:p w14:paraId="1C92586E" w14:textId="77777777" w:rsidR="00DF410E" w:rsidRDefault="00CE7F43">
      <w:pPr>
        <w:pStyle w:val="Author-eListParagraph"/>
        <w:numPr>
          <w:ilvl w:val="0"/>
          <w:numId w:val="514"/>
        </w:numPr>
      </w:pPr>
      <w:r>
        <w:rPr>
          <w:rStyle w:val="soitChar"/>
        </w:rPr>
        <w:t>le volume des armatures,</w:t>
      </w:r>
    </w:p>
    <w:p w14:paraId="3557469C" w14:textId="77777777" w:rsidR="00DF410E" w:rsidRDefault="00CE7F43">
      <w:pPr>
        <w:pStyle w:val="Author-eListParagraph"/>
        <w:numPr>
          <w:ilvl w:val="0"/>
          <w:numId w:val="514"/>
        </w:numPr>
      </w:pPr>
      <w:r>
        <w:rPr>
          <w:rStyle w:val="soitChar"/>
        </w:rPr>
        <w:t>les blocs et écarteurs, les fourreaux pour les armatures de précontrainte ;</w:t>
      </w:r>
    </w:p>
    <w:p w14:paraId="703C8F8F" w14:textId="77777777" w:rsidR="00DF410E" w:rsidRDefault="00CE7F43">
      <w:pPr>
        <w:pStyle w:val="Author-eListParagraph"/>
        <w:numPr>
          <w:ilvl w:val="0"/>
          <w:numId w:val="514"/>
        </w:numPr>
      </w:pPr>
      <w:r>
        <w:rPr>
          <w:rStyle w:val="soitChar"/>
        </w:rPr>
        <w:t>les pénétrations pour les pattes d’ancrage, les creux, les conduites noyées et les réservations dont le volume est inférieur à 0,05 m3.</w:t>
      </w:r>
    </w:p>
    <w:p w14:paraId="5E5C4653" w14:textId="77777777" w:rsidR="00DF410E" w:rsidRDefault="00CE7F43">
      <w:pPr>
        <w:pStyle w:val="Author-eListParagraph"/>
        <w:numPr>
          <w:ilvl w:val="0"/>
          <w:numId w:val="514"/>
        </w:numPr>
      </w:pPr>
      <w:r>
        <w:rPr>
          <w:rStyle w:val="soitChar"/>
        </w:rPr>
        <w:t>les chanfreins et tous les profils dont la section a une superficie inférieure à 20 cm2.</w:t>
      </w:r>
    </w:p>
    <w:p w14:paraId="1502D537" w14:textId="77777777" w:rsidR="00DF410E" w:rsidRDefault="00CE7F43">
      <w:pPr>
        <w:pStyle w:val="Author-eListParagraph"/>
        <w:numPr>
          <w:ilvl w:val="0"/>
          <w:numId w:val="514"/>
        </w:numPr>
      </w:pPr>
      <w:r>
        <w:rPr>
          <w:rStyle w:val="soitChar"/>
        </w:rPr>
        <w:t>les rainures, encoches et languettes.</w:t>
      </w:r>
    </w:p>
    <w:p w14:paraId="28BA6A83" w14:textId="77777777" w:rsidR="00DF410E" w:rsidRDefault="00CE7F43">
      <w:pPr>
        <w:jc w:val="both"/>
      </w:pPr>
      <w:r>
        <w:rPr>
          <w:rStyle w:val="soitChar"/>
        </w:rPr>
        <w:t>Tous les volumes ajoutés relatifs aux éléments saillants sont quant à eux comptabilisés.</w:t>
      </w:r>
    </w:p>
    <w:p w14:paraId="1294DAAA" w14:textId="77777777" w:rsidR="00DF410E" w:rsidRDefault="00CE7F43">
      <w:pPr>
        <w:pStyle w:val="pheading"/>
      </w:pPr>
      <w:r>
        <w:t>- nature du marché:</w:t>
      </w:r>
    </w:p>
    <w:p w14:paraId="739572A3" w14:textId="77777777" w:rsidR="00DF410E" w:rsidRDefault="00CE7F43">
      <w:r>
        <w:t>QF</w:t>
      </w:r>
    </w:p>
    <w:p w14:paraId="475BD0F9" w14:textId="77777777" w:rsidR="00DF410E" w:rsidRDefault="00CE7F43">
      <w:pPr>
        <w:pStyle w:val="Author-eSectionHeading6"/>
      </w:pPr>
      <w:bookmarkStart w:id="752" w:name="_Toc178837914"/>
      <w:r>
        <w:t>22.16.3e Parois composées d'éléments de murs porteurs en béton cellulaire CCTB 01.04</w:t>
      </w:r>
      <w:bookmarkEnd w:id="752"/>
    </w:p>
    <w:p w14:paraId="286CC0BE" w14:textId="77777777" w:rsidR="00DF410E" w:rsidRDefault="00CE7F43">
      <w:pPr>
        <w:pStyle w:val="Author-eSectionHeading6"/>
      </w:pPr>
      <w:bookmarkStart w:id="753" w:name="_Toc178837915"/>
      <w:r>
        <w:t>22.16.3f Paroi bicouche béton de structure-béton de bois CCTB 01.11</w:t>
      </w:r>
      <w:bookmarkEnd w:id="753"/>
    </w:p>
    <w:p w14:paraId="6F2AFC28" w14:textId="77777777" w:rsidR="00DF410E" w:rsidRDefault="00CE7F43">
      <w:pPr>
        <w:pStyle w:val="pheading"/>
      </w:pPr>
      <w:r>
        <w:t>DESCRIPTION</w:t>
      </w:r>
    </w:p>
    <w:p w14:paraId="5F188124" w14:textId="77777777" w:rsidR="00DF410E" w:rsidRDefault="00CE7F43">
      <w:pPr>
        <w:pStyle w:val="pheading"/>
      </w:pPr>
      <w:r>
        <w:t>- Définition / Comprend</w:t>
      </w:r>
    </w:p>
    <w:p w14:paraId="4A1F3099" w14:textId="77777777" w:rsidR="00DF410E" w:rsidRDefault="00CE7F43">
      <w:pPr>
        <w:jc w:val="both"/>
      </w:pPr>
      <w:r>
        <w:t>Il s'agit de la fourniture et de la pose de toutes les faces en élévation des parois porteuses bicouches en béton de structure - béton de bois qui sont préfabriquées en usine et assemblées sur chantier aux constructions déjà exécutées.</w:t>
      </w:r>
    </w:p>
    <w:p w14:paraId="2998345A" w14:textId="77777777" w:rsidR="00DF410E" w:rsidRDefault="00CE7F43">
      <w:pPr>
        <w:pStyle w:val="pheading"/>
      </w:pPr>
      <w:r>
        <w:t>- Localisation</w:t>
      </w:r>
    </w:p>
    <w:p w14:paraId="4F1D2135" w14:textId="77777777" w:rsidR="00DF410E" w:rsidRDefault="00CE7F43">
      <w:r>
        <w:t xml:space="preserve">La pose est réalisée aux endroits suivants : </w:t>
      </w:r>
      <w:r>
        <w:rPr>
          <w:rStyle w:val="optioncarChar"/>
        </w:rPr>
        <w:t>***</w:t>
      </w:r>
      <w:r>
        <w:t>.</w:t>
      </w:r>
    </w:p>
    <w:p w14:paraId="2B8FD728" w14:textId="77777777" w:rsidR="00DF410E" w:rsidRDefault="00CE7F43">
      <w:r>
        <w:t>Voir plans et métrés détaillés.</w:t>
      </w:r>
    </w:p>
    <w:p w14:paraId="483DD865" w14:textId="77777777" w:rsidR="00DF410E" w:rsidRDefault="00CE7F43">
      <w:pPr>
        <w:pStyle w:val="pheading"/>
      </w:pPr>
      <w:r>
        <w:t>MATÉRIAUX</w:t>
      </w:r>
    </w:p>
    <w:p w14:paraId="07A383BF" w14:textId="77777777" w:rsidR="00DF410E" w:rsidRDefault="00CE7F43">
      <w:pPr>
        <w:pStyle w:val="pheading"/>
      </w:pPr>
      <w:r>
        <w:t>- Caractéristiques générales</w:t>
      </w:r>
    </w:p>
    <w:p w14:paraId="2701DCD4" w14:textId="77777777" w:rsidR="00DF410E" w:rsidRDefault="00CE7F43">
      <w:pPr>
        <w:jc w:val="both"/>
      </w:pPr>
      <w:r>
        <w:rPr>
          <w:b/>
        </w:rPr>
        <w:t>Partie porteuse intérieure</w:t>
      </w:r>
    </w:p>
    <w:p w14:paraId="0D816B77" w14:textId="77777777" w:rsidR="00DF410E" w:rsidRDefault="00CE7F43">
      <w:pPr>
        <w:jc w:val="both"/>
      </w:pPr>
      <w:r>
        <w:t>Il s’agit d’éléments de béton armé conformes aux normes [NBN EN 14992+A1] et [NBN B 21-612] recevant un isolant en béton de bois. </w:t>
      </w:r>
    </w:p>
    <w:p w14:paraId="39045B6B" w14:textId="77777777" w:rsidR="00DF410E" w:rsidRDefault="00CE7F43">
      <w:pPr>
        <w:jc w:val="both"/>
      </w:pPr>
      <w:r>
        <w:t xml:space="preserve">La classe de résistance du béton de la paroi porteuse est  </w:t>
      </w:r>
      <w:r>
        <w:rPr>
          <w:rStyle w:val="optioncarChar"/>
        </w:rPr>
        <w:t>C25/30 </w:t>
      </w:r>
      <w:r>
        <w:t xml:space="preserve">(par défaut) </w:t>
      </w:r>
      <w:r>
        <w:rPr>
          <w:rStyle w:val="optioncarChar"/>
        </w:rPr>
        <w:t>/ ***</w:t>
      </w:r>
      <w:r>
        <w:t>.</w:t>
      </w:r>
    </w:p>
    <w:p w14:paraId="7733F1A2" w14:textId="77777777" w:rsidR="00DF410E" w:rsidRDefault="00CE7F43">
      <w:pPr>
        <w:jc w:val="both"/>
      </w:pPr>
      <w:r>
        <w:t>Les parois préfabriquées en béton doublé de béton de bois doivent satisfaire aux normes relatives aux parois préfabriquées [NBN EN 14992+A1] et [NBN B 21-612].</w:t>
      </w:r>
    </w:p>
    <w:p w14:paraId="1EC9C4EC" w14:textId="77777777" w:rsidR="00DF410E" w:rsidRDefault="00CE7F43">
      <w:pPr>
        <w:pStyle w:val="Author-eListParagraph"/>
        <w:numPr>
          <w:ilvl w:val="0"/>
          <w:numId w:val="515"/>
        </w:numPr>
      </w:pPr>
      <w:r>
        <w:t>Qualité du béton selon la [NBN EN 206:2013+A2] et la [NBN B 15-001].</w:t>
      </w:r>
    </w:p>
    <w:p w14:paraId="3D9448F5" w14:textId="77777777" w:rsidR="00DF410E" w:rsidRDefault="00CE7F43">
      <w:pPr>
        <w:pStyle w:val="Author-eListParagraph"/>
        <w:numPr>
          <w:ilvl w:val="0"/>
          <w:numId w:val="515"/>
        </w:numPr>
      </w:pPr>
      <w:r>
        <w:t>Les enrobages sont conformes aux normes [NBN EN 13369:2023] et [NBN B 21-600].</w:t>
      </w:r>
    </w:p>
    <w:p w14:paraId="7CBFB3D2" w14:textId="77777777" w:rsidR="00DF410E" w:rsidRDefault="00CE7F43">
      <w:pPr>
        <w:pStyle w:val="Author-eListParagraph"/>
        <w:numPr>
          <w:ilvl w:val="0"/>
          <w:numId w:val="515"/>
        </w:numPr>
      </w:pPr>
      <w:r>
        <w:t>Les armatures sont conformes aux séries [NBN A 24-3xx série] dans le cas du béton armé.</w:t>
      </w:r>
    </w:p>
    <w:p w14:paraId="616270CE" w14:textId="77777777" w:rsidR="00DF410E" w:rsidRDefault="00CE7F43">
      <w:pPr>
        <w:pStyle w:val="Author-eListParagraph"/>
        <w:numPr>
          <w:ilvl w:val="0"/>
          <w:numId w:val="515"/>
        </w:numPr>
      </w:pPr>
      <w:r>
        <w:t>Les armatures sont conformes aux [NBN I 10-001], [NBN I 10-002], [NBN I 10-003] dans le cas du béton précontraint.</w:t>
      </w:r>
    </w:p>
    <w:p w14:paraId="188E6FDF" w14:textId="77777777" w:rsidR="00DF410E" w:rsidRDefault="00CE7F43">
      <w:pPr>
        <w:jc w:val="both"/>
      </w:pPr>
      <w:r>
        <w:rPr>
          <w:u w:val="single"/>
        </w:rPr>
        <w:t>Résistance au feu des parois</w:t>
      </w:r>
    </w:p>
    <w:p w14:paraId="2B667A1B" w14:textId="77777777" w:rsidR="00DF410E" w:rsidRDefault="00CE7F43">
      <w:pPr>
        <w:jc w:val="both"/>
      </w:pPr>
      <w:r>
        <w:t>Résistance au feu suivant la déclaration de performance (DoP) selon la [NBN EN 14992+A1] et [NBN B 21-612].</w:t>
      </w:r>
    </w:p>
    <w:p w14:paraId="15672B36" w14:textId="77777777" w:rsidR="00DF410E" w:rsidRDefault="00CE7F43">
      <w:pPr>
        <w:jc w:val="both"/>
      </w:pPr>
      <w:r>
        <w:t>Si la résistance au feu n’est pas déclarée sous marquage CE, elle est démontrée par test au feu selon la [NBN EN 13501-2] ou par calcul selon les Eurocodes conformément à l’[AM 2013-05-17]</w:t>
      </w:r>
    </w:p>
    <w:p w14:paraId="31F18272" w14:textId="77777777" w:rsidR="00DF410E" w:rsidRDefault="00CE7F43">
      <w:pPr>
        <w:pStyle w:val="Author-eListParagraph"/>
        <w:numPr>
          <w:ilvl w:val="0"/>
          <w:numId w:val="516"/>
        </w:numPr>
      </w:pPr>
      <w:r>
        <w:t xml:space="preserve">pour les éléments porteurs sans fonction séparante (compartimentage) : </w:t>
      </w:r>
      <w:r>
        <w:br/>
      </w:r>
      <w:r>
        <w:rPr>
          <w:rStyle w:val="optioncarChar"/>
        </w:rPr>
        <w:t>R15 / R30 </w:t>
      </w:r>
      <w:r>
        <w:t>(par défaut)</w:t>
      </w:r>
      <w:r>
        <w:rPr>
          <w:rStyle w:val="optioncarChar"/>
        </w:rPr>
        <w:t xml:space="preserve"> / R60 / R ***</w:t>
      </w:r>
    </w:p>
    <w:p w14:paraId="1926225D" w14:textId="77777777" w:rsidR="00DF410E" w:rsidRDefault="00CE7F43">
      <w:pPr>
        <w:pStyle w:val="Author-eListParagraph"/>
        <w:numPr>
          <w:ilvl w:val="0"/>
          <w:numId w:val="516"/>
        </w:numPr>
      </w:pPr>
      <w:r>
        <w:t xml:space="preserve">pour les éléments porteurs avec fonction séparante (compartimentage) : </w:t>
      </w:r>
      <w:r>
        <w:br/>
      </w:r>
      <w:r>
        <w:rPr>
          <w:rStyle w:val="optioncarChar"/>
        </w:rPr>
        <w:t>REI 30 </w:t>
      </w:r>
      <w:r>
        <w:t>(par défaut)</w:t>
      </w:r>
      <w:r>
        <w:rPr>
          <w:rStyle w:val="optioncarChar"/>
        </w:rPr>
        <w:t xml:space="preserve"> / REI 60 / REI *** </w:t>
      </w:r>
    </w:p>
    <w:p w14:paraId="6701002E" w14:textId="77777777" w:rsidR="00DF410E" w:rsidRDefault="00CE7F43">
      <w:pPr>
        <w:jc w:val="both"/>
      </w:pPr>
      <w:r>
        <w:t> </w:t>
      </w:r>
      <w:r>
        <w:rPr>
          <w:b/>
        </w:rPr>
        <w:t>Partie non porteuse extérieure</w:t>
      </w:r>
      <w:r>
        <w:t>     </w:t>
      </w:r>
    </w:p>
    <w:p w14:paraId="2C70DFF8" w14:textId="77777777" w:rsidR="00DF410E" w:rsidRDefault="00CE7F43">
      <w:pPr>
        <w:jc w:val="both"/>
      </w:pPr>
      <w:r>
        <w:t>Matériau d’isolation constitué de copeau de bois minéralisé et agrégé. Les copeaux de bois qui servent d’agrégats pour le béton sont des copeaux de granulométries différentes. Ils répondent à la définition de copeaux de bois du §3.1 de la norme [NBN EN 12779]. Le matériau est conforme à la [NBN EN 14474].  </w:t>
      </w:r>
    </w:p>
    <w:p w14:paraId="014CFF38" w14:textId="77777777" w:rsidR="00DF410E" w:rsidRDefault="00CE7F43">
      <w:pPr>
        <w:jc w:val="both"/>
      </w:pPr>
      <w:r>
        <w:t>Pour les parois utilisées comme éléments de l’enveloppe extérieure d’un ouvrage en contact avec les terres, l’isolant utilisé sera peu sensible à l’humidité.</w:t>
      </w:r>
    </w:p>
    <w:p w14:paraId="01E7BDD2" w14:textId="77777777" w:rsidR="00DF410E" w:rsidRDefault="00CE7F43">
      <w:pPr>
        <w:jc w:val="both"/>
      </w:pPr>
      <w:r>
        <w:t>La continuité de l’isolation et de l’étanchéité à l’air est assurée conformément au [DRW 2013-11-28] tout en veillant à l’esthétique des finitions prévues.</w:t>
      </w:r>
    </w:p>
    <w:p w14:paraId="3269D6CA" w14:textId="77777777" w:rsidR="00DF410E" w:rsidRDefault="00CE7F43">
      <w:pPr>
        <w:jc w:val="both"/>
      </w:pPr>
      <w:r>
        <w:t>La réaction au feu est déterminée conformément à la [NBN EN 14474] c.à.d. conformément à la [NBN EN 13823], la classification étant effectuée conformément à la [NBN EN 13501-1]. le matériau doit répondre au minimum au classement B,s1 d0.</w:t>
      </w:r>
    </w:p>
    <w:p w14:paraId="2161DCE2" w14:textId="77777777" w:rsidR="00DF410E" w:rsidRDefault="00CE7F43">
      <w:pPr>
        <w:jc w:val="both"/>
      </w:pPr>
      <w:r>
        <w:t> </w:t>
      </w:r>
    </w:p>
    <w:p w14:paraId="42639EF5" w14:textId="77777777" w:rsidR="00DF410E" w:rsidRDefault="00CE7F43">
      <w:pPr>
        <w:jc w:val="both"/>
      </w:pPr>
      <w:r>
        <w:t>Les joints assurent la continuité thermique de l’isolant.</w:t>
      </w:r>
    </w:p>
    <w:p w14:paraId="02D5FED4" w14:textId="77777777" w:rsidR="00DF410E" w:rsidRDefault="00CE7F43">
      <w:pPr>
        <w:jc w:val="both"/>
      </w:pPr>
      <w:r>
        <w:t> </w:t>
      </w:r>
    </w:p>
    <w:p w14:paraId="669DB054" w14:textId="77777777" w:rsidR="00DF410E" w:rsidRDefault="00CE7F43">
      <w:pPr>
        <w:jc w:val="both"/>
      </w:pPr>
      <w:r>
        <w:t>Epaisseur des parois:</w:t>
      </w:r>
    </w:p>
    <w:p w14:paraId="4A8271E4" w14:textId="77777777" w:rsidR="00DF410E" w:rsidRDefault="00CE7F43">
      <w:pPr>
        <w:jc w:val="both"/>
      </w:pPr>
      <w:r>
        <w:t xml:space="preserve">Paroi intérieure béton structurel : </w:t>
      </w:r>
      <w:r>
        <w:rPr>
          <w:rStyle w:val="optioncarChar"/>
        </w:rPr>
        <w:t>variable</w:t>
      </w:r>
      <w:r>
        <w:t>(par défaut)</w:t>
      </w:r>
      <w:r>
        <w:rPr>
          <w:rStyle w:val="optioncarChar"/>
        </w:rPr>
        <w:t xml:space="preserve"> / 8 / 9 / 10 / ***</w:t>
      </w:r>
      <w:r>
        <w:t xml:space="preserve"> cm suivant étude et plans d’exécution</w:t>
      </w:r>
    </w:p>
    <w:p w14:paraId="09580D7A" w14:textId="77777777" w:rsidR="00DF410E" w:rsidRDefault="00CE7F43">
      <w:pPr>
        <w:jc w:val="both"/>
      </w:pPr>
      <w:r>
        <w:t xml:space="preserve">Paroi extérieure béton de bois : </w:t>
      </w:r>
      <w:r>
        <w:rPr>
          <w:rStyle w:val="optioncarChar"/>
        </w:rPr>
        <w:t>15 </w:t>
      </w:r>
      <w:r>
        <w:t>(par défaut) </w:t>
      </w:r>
      <w:r>
        <w:rPr>
          <w:rStyle w:val="optioncarChar"/>
        </w:rPr>
        <w:t>/ 16 / 17 / 18 / ***</w:t>
      </w:r>
      <w:r>
        <w:t xml:space="preserve"> cm suivant étude PEB et plans d’exécution </w:t>
      </w:r>
    </w:p>
    <w:p w14:paraId="1209A60A" w14:textId="77777777" w:rsidR="00DF410E" w:rsidRDefault="00CE7F43">
      <w:pPr>
        <w:jc w:val="both"/>
      </w:pPr>
      <w:r>
        <w:t>Les matériaux utilisés sont conformes à la [NBN EN 13369:2023] et à la [NBN B 21-600].</w:t>
      </w:r>
    </w:p>
    <w:p w14:paraId="17338143" w14:textId="77777777" w:rsidR="00DF410E" w:rsidRDefault="00CE7F43">
      <w:pPr>
        <w:jc w:val="both"/>
      </w:pPr>
      <w:r>
        <w:t xml:space="preserve">Valeur de λ de l’isolant doit </w:t>
      </w:r>
      <w:r>
        <w:rPr>
          <w:rStyle w:val="optioncarChar"/>
        </w:rPr>
        <w:t>répondre à l’étude de performance énergétique </w:t>
      </w:r>
      <w:r>
        <w:t>(par défaut)</w:t>
      </w:r>
      <w:r>
        <w:rPr>
          <w:rStyle w:val="optioncarChar"/>
        </w:rPr>
        <w:t xml:space="preserve"> / être ≤ ***</w:t>
      </w:r>
      <w:r>
        <w:t> W/ mK</w:t>
      </w:r>
    </w:p>
    <w:p w14:paraId="2DF2A096" w14:textId="77777777" w:rsidR="00DF410E" w:rsidRDefault="00DF410E"/>
    <w:p w14:paraId="50076BA4" w14:textId="77777777" w:rsidR="00DF410E" w:rsidRDefault="00CE7F43">
      <w:r>
        <w:t> </w:t>
      </w:r>
    </w:p>
    <w:p w14:paraId="47B9418D" w14:textId="77777777" w:rsidR="00DF410E" w:rsidRDefault="00CE7F43">
      <w:pPr>
        <w:pStyle w:val="pheading"/>
      </w:pPr>
      <w:r>
        <w:t>- Finitions</w:t>
      </w:r>
    </w:p>
    <w:p w14:paraId="2914A94C" w14:textId="77777777" w:rsidR="00DF410E" w:rsidRDefault="00CE7F43">
      <w:pPr>
        <w:jc w:val="both"/>
      </w:pPr>
      <w:r>
        <w:t>La structure porteuse n’est pas apparente : apparence brute afin de recevoir une finition.</w:t>
      </w:r>
    </w:p>
    <w:p w14:paraId="18AF91BE" w14:textId="77777777" w:rsidR="00DF410E" w:rsidRDefault="00CE7F43">
      <w:pPr>
        <w:pStyle w:val="pheading"/>
      </w:pPr>
      <w:r>
        <w:t>EXÉCUTION / MISE EN ŒUVRE</w:t>
      </w:r>
    </w:p>
    <w:p w14:paraId="2276E44A" w14:textId="77777777" w:rsidR="00DF410E" w:rsidRDefault="00CE7F43">
      <w:pPr>
        <w:pStyle w:val="pheading"/>
      </w:pPr>
      <w:r>
        <w:t>- Prescriptions générales</w:t>
      </w:r>
    </w:p>
    <w:p w14:paraId="4620C28D" w14:textId="77777777" w:rsidR="00DF410E" w:rsidRDefault="00CE7F43">
      <w:r>
        <w:t>L’étude et les plans d’exécution </w:t>
      </w:r>
      <w:r>
        <w:rPr>
          <w:rStyle w:val="optioncarChar"/>
        </w:rPr>
        <w:t>sont / ne sont</w:t>
      </w:r>
      <w:r>
        <w:t xml:space="preserve"> pas à charge de l’entreprise.</w:t>
      </w:r>
    </w:p>
    <w:p w14:paraId="71D462A0" w14:textId="77777777" w:rsidR="00DF410E" w:rsidRDefault="00CE7F43">
      <w:pPr>
        <w:jc w:val="both"/>
      </w:pPr>
      <w:r>
        <w:t>L’étude de stabilité est réalisée conformément aux normes [NBN EN 1990], [NBN EN 1991-1-1], [NBN EN 1991-1-2], [NBN EN 1991-1-3], [NBN EN 1991-1-4], [NBN EN 1991-1-5], [NBN EN 1991-1-6], [NBN EN 1991-1-7], [NBN EN 1992-1-1] et [NBN EN 1992-1-2].</w:t>
      </w:r>
    </w:p>
    <w:p w14:paraId="7BD8984C" w14:textId="77777777" w:rsidR="00DF410E" w:rsidRDefault="00CE7F43">
      <w:pPr>
        <w:jc w:val="both"/>
      </w:pPr>
      <w:r>
        <w:t>La série complète des plans d’exécution et de détails sont établis et soumis à l’approbation de l’architecte et/ou du maître d’ouvrage.</w:t>
      </w:r>
    </w:p>
    <w:p w14:paraId="3F578555" w14:textId="77777777" w:rsidR="00DF410E" w:rsidRDefault="00CE7F43">
      <w:r>
        <w:t>Les parois sont fabriquées dans les dimensions indiquées sur les plans d’exécution approuvés.</w:t>
      </w:r>
    </w:p>
    <w:p w14:paraId="1BA2F31C" w14:textId="77777777" w:rsidR="00DF410E" w:rsidRDefault="00CE7F43">
      <w:pPr>
        <w:jc w:val="both"/>
      </w:pPr>
      <w:r>
        <w:t xml:space="preserve">Les tolérances maximales (reprises au plan) sont conformes à [NBN EN 14992+A1] et [NBN B 21-612] : </w:t>
      </w:r>
      <w:r>
        <w:rPr>
          <w:rStyle w:val="optioncarChar"/>
        </w:rPr>
        <w:t>classe A / classe B.</w:t>
      </w:r>
    </w:p>
    <w:p w14:paraId="55553BDB" w14:textId="77777777" w:rsidR="00DF410E" w:rsidRDefault="00CE7F43">
      <w:pPr>
        <w:jc w:val="both"/>
      </w:pPr>
      <w:r>
        <w:t> </w:t>
      </w:r>
    </w:p>
    <w:p w14:paraId="41E633B9" w14:textId="77777777" w:rsidR="00DF410E" w:rsidRDefault="00CE7F43">
      <w:pPr>
        <w:jc w:val="both"/>
      </w:pPr>
      <w:r>
        <w:t>Le matériel utilisé pour le montage doit répondre aux exigences de sécurité et l’entreprise, chargée du montage, doit disposer de toutes les agrégations nécessaires. </w:t>
      </w:r>
    </w:p>
    <w:p w14:paraId="375B2104" w14:textId="77777777" w:rsidR="00DF410E" w:rsidRDefault="00CE7F43">
      <w:pPr>
        <w:jc w:val="both"/>
      </w:pPr>
      <w:r>
        <w:t>Le déchargement sur le chantier s’effectue avec une grue qui convient pour ce travail. Le poids maximal de l’élément est marqué sur l’étiquette.</w:t>
      </w:r>
    </w:p>
    <w:p w14:paraId="3E0E6401" w14:textId="77777777" w:rsidR="00DF410E" w:rsidRDefault="00CE7F43">
      <w:pPr>
        <w:jc w:val="both"/>
      </w:pPr>
      <w:r>
        <w:t>La manipulation des murs sur le chantier s’effectue conformément aux consignes de sécurité en vigueur.</w:t>
      </w:r>
    </w:p>
    <w:p w14:paraId="491F5421" w14:textId="77777777" w:rsidR="00DF410E" w:rsidRDefault="00CE7F43">
      <w:pPr>
        <w:jc w:val="both"/>
      </w:pPr>
      <w:r>
        <w:t>La dalle de pose doit être parfaitement plane et horizontale (tolérance maximale de 5 mm/5 m).</w:t>
      </w:r>
    </w:p>
    <w:p w14:paraId="51EB40B1" w14:textId="77777777" w:rsidR="00DF410E" w:rsidRDefault="00CE7F43">
      <w:pPr>
        <w:jc w:val="both"/>
      </w:pPr>
      <w:r>
        <w:t>Si la dalle n’est pas bien plane et horizontale, des cales sont mises pour garantir l’horizontalité des murs. Par mur, il y a au moins deux supports à niveler. Entre les cales vient une couche de mortier. Ce mortier est conforme à la [NBN EN 998-2]. Il est de la classe M15, sauf indications contraires du bureau d’étude.</w:t>
      </w:r>
    </w:p>
    <w:p w14:paraId="491DA3D0" w14:textId="77777777" w:rsidR="00DF410E" w:rsidRDefault="00CE7F43">
      <w:pPr>
        <w:jc w:val="both"/>
      </w:pPr>
      <w:r>
        <w:t>Lors de la pose de panneaux de grandes longueurs, équipés de grandes ouvertures, il y a lieu de prévoir une cale à l’aplomb de chaque montant.</w:t>
      </w:r>
    </w:p>
    <w:p w14:paraId="1122306B" w14:textId="77777777" w:rsidR="00DF410E" w:rsidRDefault="00CE7F43">
      <w:pPr>
        <w:jc w:val="both"/>
      </w:pPr>
      <w:r>
        <w:t>L’arrimage au sol se fait au moyen d’équerres en acier galvanisé à chaud ou en acier inox fixées dans les fondations et sur la structure panneau.</w:t>
      </w:r>
    </w:p>
    <w:p w14:paraId="67A821C8" w14:textId="77777777" w:rsidR="00DF410E" w:rsidRDefault="00CE7F43">
      <w:pPr>
        <w:jc w:val="both"/>
      </w:pPr>
      <w:r>
        <w:t>Le nombre d’équerres à positionner est fonction de la longueur des panneaux et des positions de baies de fenêtres et de portes. Ils sont indiqués sur les plans du d’exécution.</w:t>
      </w:r>
    </w:p>
    <w:p w14:paraId="3824D63D" w14:textId="77777777" w:rsidR="00DF410E" w:rsidRDefault="00CE7F43">
      <w:pPr>
        <w:jc w:val="both"/>
      </w:pPr>
      <w:r>
        <w:t>L’assemblage des angles se fait conformément aux détails du fabricant ou de l’ingénieur.</w:t>
      </w:r>
    </w:p>
    <w:p w14:paraId="783BC12B" w14:textId="77777777" w:rsidR="00DF410E" w:rsidRDefault="00CE7F43">
      <w:pPr>
        <w:pStyle w:val="pheading"/>
      </w:pPr>
      <w:r>
        <w:t>- Échantillons</w:t>
      </w:r>
    </w:p>
    <w:p w14:paraId="276E74C0" w14:textId="77777777" w:rsidR="00DF410E" w:rsidRDefault="00CE7F43">
      <w:pPr>
        <w:jc w:val="both"/>
      </w:pPr>
      <w:r>
        <w:rPr>
          <w:rStyle w:val="optioncarChar"/>
        </w:rPr>
        <w:t>Pas d’échantillon / Le béton préfabriqué intérieur est apparent : le soumissionnaire présente un échantillon à échelle réelle dans l’usine.</w:t>
      </w:r>
    </w:p>
    <w:p w14:paraId="5381B367" w14:textId="77777777" w:rsidR="00DF410E" w:rsidRDefault="00CE7F43">
      <w:pPr>
        <w:pStyle w:val="pheading"/>
      </w:pPr>
      <w:r>
        <w:t>DOCUMENTS DE RÉFÉRENCE COMPLÉMENTAIRES</w:t>
      </w:r>
    </w:p>
    <w:p w14:paraId="31CC6576" w14:textId="77777777" w:rsidR="00DF410E" w:rsidRDefault="00CE7F43">
      <w:pPr>
        <w:pStyle w:val="pheading"/>
      </w:pPr>
      <w:r>
        <w:t>- Matériau</w:t>
      </w:r>
    </w:p>
    <w:p w14:paraId="095D410E" w14:textId="77777777" w:rsidR="00DF410E" w:rsidRDefault="00CE7F43">
      <w:r>
        <w:t>[NBN EN 14474, Produits préfabriqués en béton - Béton utilisant des copeaux de bois comme granulat - Exigences et méthodes d'essai]</w:t>
      </w:r>
    </w:p>
    <w:p w14:paraId="599559C0" w14:textId="77777777" w:rsidR="00DF410E" w:rsidRDefault="00CE7F43">
      <w:r>
        <w:t>[NBN EN 14992+A1, Produits préfabriqués en béton - Eléments de mur]</w:t>
      </w:r>
    </w:p>
    <w:p w14:paraId="51A10645" w14:textId="77777777" w:rsidR="00DF410E" w:rsidRDefault="00CE7F43">
      <w:r>
        <w:t>[NBN B 21-612, Produits préfabriqués en béton - Eléments de mur - Norme d'application nationale à la NBN EN 14992+A1:2012]</w:t>
      </w:r>
    </w:p>
    <w:p w14:paraId="297A7802" w14:textId="77777777" w:rsidR="00DF410E" w:rsidRDefault="00CE7F43">
      <w:r>
        <w:t>[DRW 2013-11-28, Décret relatif à la performance énergétique des bâtiments (Décret PEB)]</w:t>
      </w:r>
    </w:p>
    <w:p w14:paraId="5A5AB0A1" w14:textId="77777777" w:rsidR="00DF410E" w:rsidRDefault="00CE7F43">
      <w:r>
        <w:t>[NBN EN 206:2013+A2, Béton - Spécification, performances, production et conformité]</w:t>
      </w:r>
    </w:p>
    <w:p w14:paraId="6436EA66" w14:textId="77777777" w:rsidR="00DF410E" w:rsidRDefault="00CE7F43">
      <w:r>
        <w:t>[NBN B 15-001, Béton - Spécification, performances, production et conformité - Complément national à la NBN EN 206:2013+A2:2021]</w:t>
      </w:r>
    </w:p>
    <w:p w14:paraId="29CB4A0F" w14:textId="77777777" w:rsidR="00DF410E" w:rsidRDefault="00CE7F43">
      <w:r>
        <w:t>[NBN A 24-3xx série, Produits sidérurgiques - Aciers pour béton armé]</w:t>
      </w:r>
    </w:p>
    <w:p w14:paraId="76E4F6B7" w14:textId="77777777" w:rsidR="00DF410E" w:rsidRDefault="00CE7F43">
      <w:r>
        <w:t>[NBN I 10-001, Aciers de précontrainte - Fils, torons et barres - Généralités et prescriptions communes]</w:t>
      </w:r>
    </w:p>
    <w:p w14:paraId="48D9BF71" w14:textId="77777777" w:rsidR="00DF410E" w:rsidRDefault="00CE7F43">
      <w:r>
        <w:t>[NBN I 10-002, Aciers de précontrainte - Fils tréfilés]</w:t>
      </w:r>
    </w:p>
    <w:p w14:paraId="649240B8" w14:textId="77777777" w:rsidR="00DF410E" w:rsidRDefault="00CE7F43">
      <w:r>
        <w:t>[NBN I 10-003, Aciers de précontrainte - Torons (avec erratum)]</w:t>
      </w:r>
    </w:p>
    <w:p w14:paraId="59C9B78C" w14:textId="77777777" w:rsidR="00DF410E" w:rsidRDefault="00CE7F43">
      <w:r>
        <w:t>[NBN EN 13369:2023, Règles communes pour les produits préfabriqués en béton]</w:t>
      </w:r>
    </w:p>
    <w:p w14:paraId="2A93547F" w14:textId="77777777" w:rsidR="00DF410E" w:rsidRDefault="00CE7F43">
      <w:r>
        <w:t>[NBN EN 12779, Sécurité des machines pour le travail du bois - Installations fixes d'extraction de copeaux et de poussières - Prescriptions de sécurité]</w:t>
      </w:r>
    </w:p>
    <w:p w14:paraId="711D4F6B" w14:textId="77777777" w:rsidR="00DF410E" w:rsidRDefault="00CE7F43">
      <w:r>
        <w:t>[NBN EN 998-2, Définitions et spécifications des mortiers pour maçonnerie - Partie 2: Mortiers de montage des éléments de maçonnerie]</w:t>
      </w:r>
    </w:p>
    <w:p w14:paraId="0C7CC06C" w14:textId="77777777" w:rsidR="00DF410E" w:rsidRDefault="00DF410E"/>
    <w:p w14:paraId="28EEAF26" w14:textId="77777777" w:rsidR="00DF410E" w:rsidRDefault="00CE7F43">
      <w:r>
        <w:t> </w:t>
      </w:r>
    </w:p>
    <w:p w14:paraId="67C21C52" w14:textId="77777777" w:rsidR="00DF410E" w:rsidRDefault="00CE7F43">
      <w:pPr>
        <w:pStyle w:val="pheading"/>
      </w:pPr>
      <w:r>
        <w:t>- Exécution</w:t>
      </w:r>
    </w:p>
    <w:p w14:paraId="1CC555A0" w14:textId="77777777" w:rsidR="00DF410E" w:rsidRDefault="00CE7F43">
      <w:r>
        <w:t>[NIT 247, Conception et exécution des ouvrages étanches en béton]</w:t>
      </w:r>
    </w:p>
    <w:p w14:paraId="59729AD0" w14:textId="77777777" w:rsidR="00DF410E" w:rsidRDefault="00CE7F43">
      <w:r>
        <w:t>[NIT 250, Détails de référence pour les constructions enterrées]</w:t>
      </w:r>
    </w:p>
    <w:p w14:paraId="1CAA068A" w14:textId="77777777" w:rsidR="00DF410E" w:rsidRDefault="00CE7F43">
      <w:r>
        <w:t>[NBN EN 13670, Exécution des structures en béton]</w:t>
      </w:r>
    </w:p>
    <w:p w14:paraId="41C9A1F7" w14:textId="77777777" w:rsidR="00DF410E" w:rsidRDefault="00CE7F43">
      <w:r>
        <w:t>[NBN B 15-400, Exécution des structures en béton - Supplément national à la NBN EN 13670:2010]</w:t>
      </w:r>
    </w:p>
    <w:p w14:paraId="6F5765A8" w14:textId="77777777" w:rsidR="00DF410E" w:rsidRDefault="00CE7F43">
      <w:r>
        <w:t>[Buildwise Méthode de dimensionnement Rapport 10, Sécurité et mise en oeuvre d'éléments préfabriqués en béton]</w:t>
      </w:r>
    </w:p>
    <w:p w14:paraId="06E3D193" w14:textId="77777777" w:rsidR="00DF410E" w:rsidRDefault="00CE7F43">
      <w:pPr>
        <w:pStyle w:val="pheading"/>
      </w:pPr>
      <w:r>
        <w:t>MESURAGE</w:t>
      </w:r>
    </w:p>
    <w:p w14:paraId="6CEBAB79" w14:textId="77777777" w:rsidR="00DF410E" w:rsidRDefault="00CE7F43">
      <w:pPr>
        <w:pStyle w:val="pheading"/>
      </w:pPr>
      <w:r>
        <w:t>- unité de mesure:</w:t>
      </w:r>
    </w:p>
    <w:p w14:paraId="281E2E34" w14:textId="77777777" w:rsidR="00DF410E" w:rsidRDefault="00CE7F43">
      <w:r>
        <w:t>m²</w:t>
      </w:r>
    </w:p>
    <w:p w14:paraId="28DF5470" w14:textId="77777777" w:rsidR="00DF410E" w:rsidRDefault="00CE7F43">
      <w:pPr>
        <w:pStyle w:val="pheading"/>
      </w:pPr>
      <w:r>
        <w:t>- code de mesurage:</w:t>
      </w:r>
    </w:p>
    <w:p w14:paraId="1AB71479" w14:textId="77777777" w:rsidR="00DF410E" w:rsidRDefault="00CE7F43">
      <w:r>
        <w:t>Surface nette apparente des éléments ventilés suivant le type et l’épaisseur.</w:t>
      </w:r>
    </w:p>
    <w:p w14:paraId="7C9919E1" w14:textId="77777777" w:rsidR="00DF410E" w:rsidRDefault="00CE7F43">
      <w:pPr>
        <w:pStyle w:val="pheading"/>
      </w:pPr>
      <w:r>
        <w:t>- nature du marché:</w:t>
      </w:r>
    </w:p>
    <w:p w14:paraId="1882C839" w14:textId="77777777" w:rsidR="00DF410E" w:rsidRDefault="00CE7F43">
      <w:r>
        <w:rPr>
          <w:rStyle w:val="optioncarChar"/>
        </w:rPr>
        <w:t xml:space="preserve">QF </w:t>
      </w:r>
      <w:r>
        <w:t xml:space="preserve">(par défaut) </w:t>
      </w:r>
      <w:r>
        <w:rPr>
          <w:rStyle w:val="optioncarChar"/>
        </w:rPr>
        <w:t>/ QP</w:t>
      </w:r>
    </w:p>
    <w:p w14:paraId="6C47F35E" w14:textId="77777777" w:rsidR="00DF410E" w:rsidRDefault="00CE7F43">
      <w:pPr>
        <w:pStyle w:val="pheading"/>
      </w:pPr>
      <w:r>
        <w:t>AIDE</w:t>
      </w:r>
    </w:p>
    <w:p w14:paraId="1F5053FD" w14:textId="77777777" w:rsidR="00DF410E" w:rsidRDefault="00CE7F43">
      <w:pPr>
        <w:jc w:val="both"/>
      </w:pPr>
      <w:r>
        <w:t>Ce type de béton n’est pas prévu pour être un béton architectonique.</w:t>
      </w:r>
    </w:p>
    <w:p w14:paraId="67B2C7AE" w14:textId="77777777" w:rsidR="00DF410E" w:rsidRDefault="00CE7F43">
      <w:pPr>
        <w:pStyle w:val="Author-eSectionHeading5"/>
      </w:pPr>
      <w:bookmarkStart w:id="754" w:name="_Toc178837916"/>
      <w:r>
        <w:t>22.16.4 Parois préfabriquées en béton architectonique CCTB 01.11</w:t>
      </w:r>
      <w:bookmarkEnd w:id="754"/>
    </w:p>
    <w:p w14:paraId="50A355F2" w14:textId="77777777" w:rsidR="00DF410E" w:rsidRDefault="00CE7F43">
      <w:pPr>
        <w:pStyle w:val="pheading"/>
      </w:pPr>
      <w:bookmarkStart w:id="755" w:name="502"/>
      <w:bookmarkEnd w:id="755"/>
      <w:r>
        <w:t>DESCRIPTION</w:t>
      </w:r>
    </w:p>
    <w:p w14:paraId="252508CC" w14:textId="77777777" w:rsidR="00DF410E" w:rsidRDefault="00CE7F43">
      <w:pPr>
        <w:pStyle w:val="pheading"/>
      </w:pPr>
      <w:r>
        <w:t>- Définition / Comprend</w:t>
      </w:r>
    </w:p>
    <w:p w14:paraId="18CF3275" w14:textId="77777777" w:rsidR="00DF410E" w:rsidRDefault="00CE7F43">
      <w:pPr>
        <w:jc w:val="both"/>
      </w:pPr>
      <w:r>
        <w:t>Il s'agit de la fourniture et de la pose de toutes les faces en élévation des parois qui sont préfabriquées en usine et assemblées sur chantier aux constructions déjà exécutées.</w:t>
      </w:r>
    </w:p>
    <w:p w14:paraId="5FCF7CC2" w14:textId="77777777" w:rsidR="00DF410E" w:rsidRDefault="00CE7F43">
      <w:pPr>
        <w:jc w:val="both"/>
      </w:pPr>
      <w:r>
        <w:t>Sont compris :</w:t>
      </w:r>
    </w:p>
    <w:p w14:paraId="35F1F88B" w14:textId="77777777" w:rsidR="00DF410E" w:rsidRDefault="00CE7F43">
      <w:pPr>
        <w:pStyle w:val="Author-eListParagraph"/>
        <w:numPr>
          <w:ilvl w:val="0"/>
          <w:numId w:val="517"/>
        </w:numPr>
      </w:pPr>
      <w:r>
        <w:t>La préparation et nettoyage du sol sur lesquels les parois sont posées.</w:t>
      </w:r>
    </w:p>
    <w:p w14:paraId="1ED8ACB6" w14:textId="77777777" w:rsidR="00DF410E" w:rsidRDefault="00CE7F43">
      <w:pPr>
        <w:pStyle w:val="Author-eListParagraph"/>
        <w:numPr>
          <w:ilvl w:val="0"/>
          <w:numId w:val="517"/>
        </w:numPr>
      </w:pPr>
      <w:r>
        <w:t>La livraison et la pose des parois, y compris tous les supports temporaires et travaux d’étayage.</w:t>
      </w:r>
    </w:p>
    <w:p w14:paraId="79668F24" w14:textId="77777777" w:rsidR="00DF410E" w:rsidRDefault="00CE7F43">
      <w:pPr>
        <w:pStyle w:val="Author-eListParagraph"/>
        <w:numPr>
          <w:ilvl w:val="0"/>
          <w:numId w:val="517"/>
        </w:numPr>
      </w:pPr>
      <w:r>
        <w:t>Les réservations prévues sur les plans.</w:t>
      </w:r>
    </w:p>
    <w:p w14:paraId="6E8E4DCA" w14:textId="77777777" w:rsidR="00DF410E" w:rsidRDefault="00CE7F43">
      <w:pPr>
        <w:pStyle w:val="Author-eListParagraph"/>
        <w:numPr>
          <w:ilvl w:val="0"/>
          <w:numId w:val="517"/>
        </w:numPr>
      </w:pPr>
      <w:r>
        <w:t>La finition des bords et travaux de réparation en cas d’endommagement.</w:t>
      </w:r>
    </w:p>
    <w:p w14:paraId="644B2602" w14:textId="77777777" w:rsidR="00DF410E" w:rsidRDefault="00CE7F43">
      <w:pPr>
        <w:pStyle w:val="Author-eListParagraph"/>
        <w:numPr>
          <w:ilvl w:val="0"/>
          <w:numId w:val="517"/>
        </w:numPr>
      </w:pPr>
      <w:r>
        <w:t>Le remplissage des joints de dilatation selon les directives du fournisseur.</w:t>
      </w:r>
    </w:p>
    <w:p w14:paraId="31FDFCA9" w14:textId="77777777" w:rsidR="00DF410E" w:rsidRDefault="00CE7F43">
      <w:pPr>
        <w:pStyle w:val="Author-eListParagraph"/>
        <w:numPr>
          <w:ilvl w:val="0"/>
          <w:numId w:val="517"/>
        </w:numPr>
      </w:pPr>
      <w:r>
        <w:t>Le contrôle de toutes les dimensions et l’adaptation des éléments à préfabriquer aux dimensions réelles ;</w:t>
      </w:r>
    </w:p>
    <w:p w14:paraId="77D2A261" w14:textId="77777777" w:rsidR="00DF410E" w:rsidRDefault="00CE7F43">
      <w:pPr>
        <w:pStyle w:val="Author-eListParagraph"/>
        <w:numPr>
          <w:ilvl w:val="0"/>
          <w:numId w:val="517"/>
        </w:numPr>
      </w:pPr>
      <w:r>
        <w:t>Toutes les armatures saillantes et recouvertes de béton, toutes les pièces pour leur placement et leur fixation ;</w:t>
      </w:r>
    </w:p>
    <w:p w14:paraId="66AC4BE9" w14:textId="77777777" w:rsidR="00DF410E" w:rsidRDefault="00CE7F43">
      <w:pPr>
        <w:pStyle w:val="Author-eListParagraph"/>
        <w:numPr>
          <w:ilvl w:val="0"/>
          <w:numId w:val="517"/>
        </w:numPr>
      </w:pPr>
      <w:r>
        <w:t>Les armatures complémentaires de liaison, de renforcement et d’angle selon les indications figurant  sur le plan de pose et/ou dans l’étude du béton ;</w:t>
      </w:r>
    </w:p>
    <w:p w14:paraId="7AE92067" w14:textId="77777777" w:rsidR="00DF410E" w:rsidRDefault="00CE7F43">
      <w:pPr>
        <w:pStyle w:val="Author-eListParagraph"/>
        <w:numPr>
          <w:ilvl w:val="0"/>
          <w:numId w:val="517"/>
        </w:numPr>
      </w:pPr>
      <w:r>
        <w:t>Tous les moyens de liaisonnement, aussi bien entre les éléments préfabriqués qu’avec les éléments de bord, … ;</w:t>
      </w:r>
    </w:p>
    <w:p w14:paraId="5C8D0BCC" w14:textId="77777777" w:rsidR="00DF410E" w:rsidRDefault="00CE7F43">
      <w:pPr>
        <w:pStyle w:val="Author-eListParagraph"/>
        <w:numPr>
          <w:ilvl w:val="0"/>
          <w:numId w:val="517"/>
        </w:numPr>
      </w:pPr>
      <w:r>
        <w:t>Tous les treillis armés, armatures additionnelles et coffrages complémentaires, le remplissage éventuel des joints et/ou des creux entre les murs ;</w:t>
      </w:r>
    </w:p>
    <w:p w14:paraId="2A0A7F08" w14:textId="77777777" w:rsidR="00DF410E" w:rsidRDefault="00CE7F43">
      <w:pPr>
        <w:pStyle w:val="Author-eListParagraph"/>
        <w:numPr>
          <w:ilvl w:val="0"/>
          <w:numId w:val="517"/>
        </w:numPr>
      </w:pPr>
      <w:r>
        <w:t>L’enlèvement de tous les accessoires, éléments de coffrage, supports et étais ;</w:t>
      </w:r>
    </w:p>
    <w:p w14:paraId="6FB81B4A" w14:textId="77777777" w:rsidR="00DF410E" w:rsidRDefault="00CE7F43">
      <w:pPr>
        <w:pStyle w:val="Author-eListParagraph"/>
        <w:numPr>
          <w:ilvl w:val="0"/>
          <w:numId w:val="517"/>
        </w:numPr>
      </w:pPr>
      <w:r>
        <w:t>La finition des bords, les travaux de réparation en cas d’endommagements et/ou de restes de gravier inacceptables, le remplissage des joints (de dilatation), selon les directives du fournisseur, le nettoyage des faces visibles, …</w:t>
      </w:r>
    </w:p>
    <w:p w14:paraId="04FBC75E" w14:textId="77777777" w:rsidR="00DF410E" w:rsidRDefault="00CE7F43">
      <w:pPr>
        <w:jc w:val="both"/>
      </w:pPr>
      <w:r>
        <w:t>L’étude de stabilité réalisée conformément aux normes [NBN EN 1990], [NBN EN 1991 série], [NBN EN 1992 série], [NBN EN 1997 série], [NBN EN 1998 série] et leurs différentes parties.</w:t>
      </w:r>
    </w:p>
    <w:p w14:paraId="4A1C20C3" w14:textId="77777777" w:rsidR="00DF410E" w:rsidRDefault="00CE7F43">
      <w:pPr>
        <w:pStyle w:val="pheading"/>
      </w:pPr>
      <w:r>
        <w:t>MATÉRIAUX</w:t>
      </w:r>
    </w:p>
    <w:p w14:paraId="3421BAD9" w14:textId="77777777" w:rsidR="00DF410E" w:rsidRDefault="00CE7F43">
      <w:pPr>
        <w:jc w:val="both"/>
      </w:pPr>
      <w:r>
        <w:t>Les parois préfabriquées en béton architectonique doivent satisfaire aux normes relatives aux parois préfabriquées [NBN EN 14992+A1] et [NBN B 21-612] ainsi qu’aux exigences liées à l’esthétisme de la norme [PTV 21-601].</w:t>
      </w:r>
    </w:p>
    <w:p w14:paraId="0D09E0CA" w14:textId="77777777" w:rsidR="00DF410E" w:rsidRDefault="00CE7F43">
      <w:pPr>
        <w:pStyle w:val="Author-eListParagraph"/>
        <w:numPr>
          <w:ilvl w:val="0"/>
          <w:numId w:val="518"/>
        </w:numPr>
      </w:pPr>
      <w:r>
        <w:t>Qualité du béton selon la [NBN EN 206:2013+A2] et la [NBN B 15-001] .</w:t>
      </w:r>
    </w:p>
    <w:p w14:paraId="4F016393" w14:textId="77777777" w:rsidR="00DF410E" w:rsidRDefault="00CE7F43">
      <w:pPr>
        <w:pStyle w:val="Author-eListParagraph"/>
        <w:numPr>
          <w:ilvl w:val="0"/>
          <w:numId w:val="518"/>
        </w:numPr>
      </w:pPr>
      <w:r>
        <w:t>Les enrobages sont conformes aux normes [NBN EN 13369:2023] et [NBN B 21-600].</w:t>
      </w:r>
    </w:p>
    <w:p w14:paraId="0355CF1B" w14:textId="77777777" w:rsidR="00DF410E" w:rsidRDefault="00CE7F43">
      <w:pPr>
        <w:pStyle w:val="Author-eListParagraph"/>
        <w:numPr>
          <w:ilvl w:val="0"/>
          <w:numId w:val="518"/>
        </w:numPr>
      </w:pPr>
      <w:r>
        <w:t>Les armatures sont conformes aux séries [NBN A 24-3xx série] dans le cas du béton armé.</w:t>
      </w:r>
    </w:p>
    <w:p w14:paraId="0DF6E3FA" w14:textId="77777777" w:rsidR="00DF410E" w:rsidRDefault="00CE7F43">
      <w:pPr>
        <w:pStyle w:val="Author-eListParagraph"/>
        <w:numPr>
          <w:ilvl w:val="0"/>
          <w:numId w:val="518"/>
        </w:numPr>
      </w:pPr>
      <w:r>
        <w:t>Les armatures sont conformes aux  [NBN I 10-001], [NBN I 10-002], [NBN I 10-003] dans le cas du béton précontraint.</w:t>
      </w:r>
    </w:p>
    <w:p w14:paraId="5394A4E4" w14:textId="77777777" w:rsidR="00DF410E" w:rsidRDefault="00CE7F43">
      <w:pPr>
        <w:jc w:val="both"/>
      </w:pPr>
      <w:r>
        <w:rPr>
          <w:b/>
        </w:rPr>
        <w:t>Finitions</w:t>
      </w:r>
    </w:p>
    <w:p w14:paraId="0886AC14" w14:textId="77777777" w:rsidR="00DF410E" w:rsidRDefault="00CE7F43">
      <w:pPr>
        <w:jc w:val="both"/>
      </w:pPr>
      <w:r>
        <w:t>Les finitions sont décrites dans le [PTV 21-601].</w:t>
      </w:r>
    </w:p>
    <w:p w14:paraId="3184284C" w14:textId="77777777" w:rsidR="00DF410E" w:rsidRDefault="00CE7F43">
      <w:pPr>
        <w:pStyle w:val="pheading"/>
      </w:pPr>
      <w:r>
        <w:t>EXÉCUTION / MISE EN ŒUVRE</w:t>
      </w:r>
    </w:p>
    <w:p w14:paraId="360ACBD1" w14:textId="77777777" w:rsidR="00DF410E" w:rsidRDefault="00DF410E"/>
    <w:p w14:paraId="5739F375" w14:textId="77777777" w:rsidR="00DF410E" w:rsidRDefault="00CE7F43">
      <w:pPr>
        <w:pStyle w:val="Author-eListParagraph"/>
        <w:numPr>
          <w:ilvl w:val="0"/>
          <w:numId w:val="519"/>
        </w:numPr>
        <w:jc w:val="both"/>
      </w:pPr>
      <w:r>
        <w:t>L’étude et les plans d’exécution </w:t>
      </w:r>
      <w:r>
        <w:rPr>
          <w:rStyle w:val="optioncarChar"/>
        </w:rPr>
        <w:t>sont / ne sont pas</w:t>
      </w:r>
      <w:r>
        <w:t> à charge de l’entreprise.</w:t>
      </w:r>
    </w:p>
    <w:p w14:paraId="653DA3DF" w14:textId="77777777" w:rsidR="00DF410E" w:rsidRDefault="00CE7F43">
      <w:pPr>
        <w:pStyle w:val="Author-eListParagraph"/>
        <w:numPr>
          <w:ilvl w:val="0"/>
          <w:numId w:val="519"/>
        </w:numPr>
        <w:jc w:val="both"/>
      </w:pPr>
      <w:r>
        <w:t>Les parois sont fabriquées dans les dimensions indiquées sur les plans d’exécution approuvés.</w:t>
      </w:r>
    </w:p>
    <w:p w14:paraId="08C49016" w14:textId="77777777" w:rsidR="00DF410E" w:rsidRDefault="00CE7F43">
      <w:pPr>
        <w:pStyle w:val="pheading"/>
      </w:pPr>
      <w:r>
        <w:t>DOCUMENTS DE RÉFÉRENCE</w:t>
      </w:r>
    </w:p>
    <w:p w14:paraId="77D848F2" w14:textId="77777777" w:rsidR="00DF410E" w:rsidRDefault="00CE7F43">
      <w:pPr>
        <w:pStyle w:val="pheading"/>
      </w:pPr>
      <w:r>
        <w:t>- Matériau</w:t>
      </w:r>
    </w:p>
    <w:p w14:paraId="3F736B84" w14:textId="77777777" w:rsidR="00DF410E" w:rsidRDefault="00CE7F43">
      <w:r>
        <w:t>[NBN EN 14992+A1, Produits préfabriqués en béton - Eléments de mur]</w:t>
      </w:r>
    </w:p>
    <w:p w14:paraId="49F08DAE" w14:textId="77777777" w:rsidR="00DF410E" w:rsidRDefault="00CE7F43">
      <w:r>
        <w:t>[NBN B 21-612, Produits préfabriqués en béton - Eléments de mur - Norme d'application nationale à la NBN EN 14992+A1:2012]</w:t>
      </w:r>
    </w:p>
    <w:p w14:paraId="2C78272D" w14:textId="77777777" w:rsidR="00DF410E" w:rsidRDefault="00CE7F43">
      <w:r>
        <w:t>[PTV 21-601, Eléments préfabriqués en béton architectonique.]</w:t>
      </w:r>
    </w:p>
    <w:p w14:paraId="1883B075" w14:textId="77777777" w:rsidR="00DF410E" w:rsidRDefault="00CE7F43">
      <w:r>
        <w:t>[NBN EN 206:2013+A2, Béton - Spécification, performances, production et conformité]</w:t>
      </w:r>
    </w:p>
    <w:p w14:paraId="0F153A72" w14:textId="77777777" w:rsidR="00DF410E" w:rsidRDefault="00CE7F43">
      <w:r>
        <w:t>[NBN B 15-001, Béton - Spécification, performances, production et conformité - Complément national à la NBN EN 206:2013+A2:2021]</w:t>
      </w:r>
    </w:p>
    <w:p w14:paraId="3C6FD4E5" w14:textId="77777777" w:rsidR="00DF410E" w:rsidRDefault="00CE7F43">
      <w:r>
        <w:t>[NBN A 24-3xx série, Produits sidérurgiques - Aciers pour béton armé]</w:t>
      </w:r>
    </w:p>
    <w:p w14:paraId="294738D9" w14:textId="77777777" w:rsidR="00DF410E" w:rsidRDefault="00CE7F43">
      <w:r>
        <w:t>[NBN I 10-001, Aciers de précontrainte - Fils, torons et barres - Généralités et prescriptions communes]</w:t>
      </w:r>
    </w:p>
    <w:p w14:paraId="2C5CA6A3" w14:textId="77777777" w:rsidR="00DF410E" w:rsidRDefault="00CE7F43">
      <w:r>
        <w:t>[NBN I 10-002, Aciers de précontrainte - Fils tréfilés]</w:t>
      </w:r>
    </w:p>
    <w:p w14:paraId="797191D4" w14:textId="77777777" w:rsidR="00DF410E" w:rsidRDefault="00CE7F43">
      <w:r>
        <w:t>[NBN I 10-003, Aciers de précontrainte - Torons (avec erratum)]</w:t>
      </w:r>
    </w:p>
    <w:p w14:paraId="14F47152" w14:textId="77777777" w:rsidR="00DF410E" w:rsidRDefault="00DF410E"/>
    <w:p w14:paraId="00AC21A6" w14:textId="77777777" w:rsidR="00DF410E" w:rsidRDefault="00CE7F43">
      <w:r>
        <w:t> </w:t>
      </w:r>
    </w:p>
    <w:p w14:paraId="66937C06" w14:textId="77777777" w:rsidR="00DF410E" w:rsidRDefault="00CE7F43">
      <w:pPr>
        <w:pStyle w:val="Author-eSectionHeading6"/>
      </w:pPr>
      <w:bookmarkStart w:id="756" w:name="_Toc178837917"/>
      <w:r>
        <w:t>22.16.4a Parois préfabriquées en béton architectonique CCTB 01.11</w:t>
      </w:r>
      <w:bookmarkEnd w:id="756"/>
    </w:p>
    <w:p w14:paraId="4309DE27" w14:textId="77777777" w:rsidR="00DF410E" w:rsidRDefault="00CE7F43">
      <w:pPr>
        <w:pStyle w:val="pheading"/>
      </w:pPr>
      <w:r>
        <w:t>DESCRIPTION</w:t>
      </w:r>
    </w:p>
    <w:p w14:paraId="6C9C59A7" w14:textId="77777777" w:rsidR="00DF410E" w:rsidRDefault="00CE7F43">
      <w:pPr>
        <w:pStyle w:val="pheading"/>
      </w:pPr>
      <w:r>
        <w:t>- Définition / Comprend</w:t>
      </w:r>
    </w:p>
    <w:p w14:paraId="4528538E" w14:textId="77777777" w:rsidR="00DF410E" w:rsidRDefault="00CE7F43">
      <w:pPr>
        <w:jc w:val="both"/>
      </w:pPr>
      <w:r>
        <w:t>Cet article vise la fourniture et la pose de parois préfabriqués en béton architectonique </w:t>
      </w:r>
      <w:r>
        <w:rPr>
          <w:color w:val="000000"/>
        </w:rPr>
        <w:t xml:space="preserve">et </w:t>
      </w:r>
      <w:r>
        <w:rPr>
          <w:color w:val="FF0000"/>
        </w:rPr>
        <w:t xml:space="preserve">béton armé </w:t>
      </w:r>
      <w:r>
        <w:t>(par défaut)</w:t>
      </w:r>
      <w:r>
        <w:rPr>
          <w:color w:val="FF0000"/>
        </w:rPr>
        <w:t xml:space="preserve"> / béton précontraint </w:t>
      </w:r>
      <w:r>
        <w:t xml:space="preserve">de forme quelconque comportant armatures et inserts. </w:t>
      </w:r>
      <w:r>
        <w:rPr>
          <w:color w:val="000000"/>
        </w:rPr>
        <w:t>La portée des travaux est décrite dans l’élément </w:t>
      </w:r>
      <w:hyperlink w:anchor="502" w:history="1">
        <w:r>
          <w:t>22.16.4 Parois préfabriquées en béton architectonique</w:t>
        </w:r>
      </w:hyperlink>
    </w:p>
    <w:p w14:paraId="371A3A0A" w14:textId="77777777" w:rsidR="00DF410E" w:rsidRDefault="00CE7F43">
      <w:pPr>
        <w:pStyle w:val="pheading"/>
      </w:pPr>
      <w:r>
        <w:t>- Localisation</w:t>
      </w:r>
    </w:p>
    <w:p w14:paraId="0431681B" w14:textId="77777777" w:rsidR="00DF410E" w:rsidRDefault="00CE7F43">
      <w:r>
        <w:t xml:space="preserve">La pose est réalisée aux endroits suivants : </w:t>
      </w:r>
      <w:r>
        <w:rPr>
          <w:rStyle w:val="optioncarChar"/>
        </w:rPr>
        <w:t>***</w:t>
      </w:r>
      <w:r>
        <w:t xml:space="preserve"> .</w:t>
      </w:r>
    </w:p>
    <w:p w14:paraId="76737872" w14:textId="77777777" w:rsidR="00DF410E" w:rsidRDefault="00CE7F43">
      <w:r>
        <w:t>Voir plans et métrés détaillés.</w:t>
      </w:r>
    </w:p>
    <w:p w14:paraId="46E0A6CC" w14:textId="77777777" w:rsidR="00DF410E" w:rsidRDefault="00CE7F43">
      <w:pPr>
        <w:pStyle w:val="pheading"/>
      </w:pPr>
      <w:r>
        <w:t>MATÉRIAUX</w:t>
      </w:r>
    </w:p>
    <w:p w14:paraId="336BC3D7" w14:textId="77777777" w:rsidR="00DF410E" w:rsidRDefault="00CE7F43">
      <w:pPr>
        <w:pStyle w:val="pheading"/>
      </w:pPr>
      <w:r>
        <w:t>- Caractéristiques générales</w:t>
      </w:r>
    </w:p>
    <w:p w14:paraId="4844DFE1" w14:textId="77777777" w:rsidR="00DF410E" w:rsidRDefault="00CE7F43">
      <w:pPr>
        <w:jc w:val="both"/>
      </w:pPr>
      <w:r>
        <w:t>Dimensions :</w:t>
      </w:r>
      <w:r>
        <w:rPr>
          <w:rStyle w:val="optioncarChar"/>
        </w:rPr>
        <w:t xml:space="preserve"> en fonction des résultats de l’étude de stabilité </w:t>
      </w:r>
      <w:r>
        <w:t>(par défaut) </w:t>
      </w:r>
      <w:r>
        <w:rPr>
          <w:rStyle w:val="optioncarChar"/>
        </w:rPr>
        <w:t>/ l’épaisseur de béton de la paroi *** cm</w:t>
      </w:r>
      <w:r>
        <w:t>.</w:t>
      </w:r>
    </w:p>
    <w:p w14:paraId="154D8D3D" w14:textId="77777777" w:rsidR="00DF410E" w:rsidRDefault="00CE7F43">
      <w:pPr>
        <w:jc w:val="both"/>
      </w:pPr>
      <w:r>
        <w:t>La qualité du béton sera conforme à la [NBN EN 206:2013+A2] et à la [NBN B 15-001].</w:t>
      </w:r>
    </w:p>
    <w:p w14:paraId="5B30101C" w14:textId="77777777" w:rsidR="00DF410E" w:rsidRDefault="00CE7F43">
      <w:pPr>
        <w:jc w:val="both"/>
      </w:pPr>
      <w:r>
        <w:t xml:space="preserve">La classe de résistance minimale du béton est </w:t>
      </w:r>
      <w:r>
        <w:rPr>
          <w:rStyle w:val="optioncarChar"/>
        </w:rPr>
        <w:t>celle suivant l’étude de stabilité</w:t>
      </w:r>
      <w:r>
        <w:t xml:space="preserve"> (par défaut) </w:t>
      </w:r>
      <w:r>
        <w:rPr>
          <w:rStyle w:val="optioncarChar"/>
        </w:rPr>
        <w:t>/ C30/37 / ***.</w:t>
      </w:r>
    </w:p>
    <w:p w14:paraId="5DE6EFCA" w14:textId="77777777" w:rsidR="00DF410E" w:rsidRDefault="00CE7F43">
      <w:pPr>
        <w:jc w:val="both"/>
      </w:pPr>
      <w:r>
        <w:t xml:space="preserve">La classe d’environnement sera : </w:t>
      </w:r>
      <w:r>
        <w:rPr>
          <w:rStyle w:val="optioncarChar"/>
        </w:rPr>
        <w:t>EI </w:t>
      </w:r>
      <w:r>
        <w:t>(par défaut)</w:t>
      </w:r>
      <w:r>
        <w:rPr>
          <w:rStyle w:val="optioncarChar"/>
        </w:rPr>
        <w:t xml:space="preserve"> / EE1 / EE2 / EE3/ES1 / ES2 / ES3/EA1 +*** / EA2+*** / EA3+***</w:t>
      </w:r>
      <w:r>
        <w:t xml:space="preserve"> en cas d’environnement chimiquement agressif.</w:t>
      </w:r>
    </w:p>
    <w:p w14:paraId="7F8A0E9E" w14:textId="77777777" w:rsidR="00DF410E" w:rsidRDefault="00CE7F43">
      <w:pPr>
        <w:jc w:val="both"/>
      </w:pPr>
      <w:r>
        <w:rPr>
          <w:b/>
        </w:rPr>
        <w:t>Résistance au feu des parois</w:t>
      </w:r>
    </w:p>
    <w:p w14:paraId="6E5FB55D" w14:textId="77777777" w:rsidR="00DF410E" w:rsidRDefault="00CE7F43">
      <w:pPr>
        <w:jc w:val="both"/>
      </w:pPr>
      <w:r>
        <w:t xml:space="preserve">Pour les éléments porteurs et structuraux sans fonction séparante  </w:t>
      </w:r>
      <w:r>
        <w:rPr>
          <w:rStyle w:val="optioncarChar"/>
        </w:rPr>
        <w:t>R15 / R30 </w:t>
      </w:r>
      <w:r>
        <w:t>(par défaut)</w:t>
      </w:r>
      <w:r>
        <w:rPr>
          <w:rStyle w:val="optioncarChar"/>
        </w:rPr>
        <w:t xml:space="preserve"> / R60 / R120 / R ***</w:t>
      </w:r>
      <w:r>
        <w:t xml:space="preserve">, pour les éléments porteurs et structuraux avec fonction séparante  </w:t>
      </w:r>
      <w:r>
        <w:rPr>
          <w:rStyle w:val="optioncarChar"/>
        </w:rPr>
        <w:t>REI 30</w:t>
      </w:r>
      <w:r>
        <w:t xml:space="preserve"> (par défaut)</w:t>
      </w:r>
      <w:r>
        <w:rPr>
          <w:rStyle w:val="optioncarChar"/>
        </w:rPr>
        <w:t> / REI 60 / REI 120 / REI *** </w:t>
      </w:r>
      <w:r>
        <w:t xml:space="preserve">et pour les éléments non porteurs avec fonction séparante : </w:t>
      </w:r>
      <w:r>
        <w:rPr>
          <w:rStyle w:val="optioncarChar"/>
        </w:rPr>
        <w:t>EI 30</w:t>
      </w:r>
      <w:r>
        <w:t> (par défaut)</w:t>
      </w:r>
      <w:r>
        <w:rPr>
          <w:rStyle w:val="optioncarChar"/>
        </w:rPr>
        <w:t xml:space="preserve"> / EI 60 / EI 120 / EI ***</w:t>
      </w:r>
    </w:p>
    <w:p w14:paraId="68BD9543" w14:textId="77777777" w:rsidR="00DF410E" w:rsidRDefault="00CE7F43">
      <w:pPr>
        <w:jc w:val="both"/>
      </w:pPr>
      <w:r>
        <w:rPr>
          <w:b/>
        </w:rPr>
        <w:t>Classe d’étanchéité</w:t>
      </w:r>
    </w:p>
    <w:p w14:paraId="4C141B82" w14:textId="77777777" w:rsidR="00DF410E" w:rsidRDefault="00CE7F43">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la classe 1, l’épaisseur minimale des parois sera de 100mm.  Pour les classes 2 et 3, l’épaisseur minimale est de 200mm.</w:t>
      </w:r>
    </w:p>
    <w:p w14:paraId="3A7020D8" w14:textId="77777777" w:rsidR="00DF410E" w:rsidRDefault="00CE7F43">
      <w:pPr>
        <w:pStyle w:val="pheading"/>
      </w:pPr>
      <w:r>
        <w:t>- Finitions</w:t>
      </w:r>
    </w:p>
    <w:p w14:paraId="7AA8D768" w14:textId="77777777" w:rsidR="00DF410E" w:rsidRDefault="00CE7F43">
      <w:pPr>
        <w:jc w:val="both"/>
      </w:pPr>
      <w:r>
        <w:t>Type de béton préfabriqué avec exigences esthétiques :</w:t>
      </w:r>
      <w:r>
        <w:rPr>
          <w:rStyle w:val="optioncarChar"/>
        </w:rPr>
        <w:t> béton architectonique</w:t>
      </w:r>
      <w:r>
        <w:t> (par défaut) </w:t>
      </w:r>
      <w:r>
        <w:rPr>
          <w:rStyle w:val="optioncarChar"/>
        </w:rPr>
        <w:t>/ béton décoratif industriel</w:t>
      </w:r>
    </w:p>
    <w:p w14:paraId="3A5CA1EC" w14:textId="77777777" w:rsidR="00DF410E" w:rsidRDefault="00CE7F43">
      <w:pPr>
        <w:jc w:val="both"/>
      </w:pPr>
      <w:r>
        <w:t>Les éléments en béton architectoniques doivent répondre au [PTV 21-601].</w:t>
      </w:r>
    </w:p>
    <w:p w14:paraId="0EBCBF5E" w14:textId="77777777" w:rsidR="00DF410E" w:rsidRDefault="00CE7F43">
      <w:pPr>
        <w:jc w:val="both"/>
      </w:pPr>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7A062A73" w14:textId="77777777" w:rsidR="00DF410E" w:rsidRDefault="00CE7F43">
      <w:pPr>
        <w:jc w:val="both"/>
      </w:pPr>
      <w:r>
        <w:t>Description détaillée des éléments :</w:t>
      </w:r>
    </w:p>
    <w:p w14:paraId="59976B8C" w14:textId="77777777" w:rsidR="00DF410E" w:rsidRDefault="00CE7F43">
      <w:r>
        <w:t> 1.     Couleur : </w:t>
      </w:r>
      <w:r>
        <w:rPr>
          <w:rStyle w:val="optioncarChar"/>
        </w:rPr>
        <w:t>suivant échantillon disponible</w:t>
      </w:r>
      <w:r>
        <w:t> (par défaut)</w:t>
      </w:r>
      <w:r>
        <w:rPr>
          <w:rStyle w:val="optioncarChar"/>
        </w:rPr>
        <w:t> / suivant échantillons à remettre pour approbation par l'architecte / suivant la couleur RAL</w:t>
      </w:r>
    </w:p>
    <w:p w14:paraId="2105B7BF" w14:textId="77777777" w:rsidR="00DF410E" w:rsidRDefault="00CE7F43">
      <w:r>
        <w:rPr>
          <w:b/>
          <w:i/>
        </w:rPr>
        <w:t>(soit par défaut)</w:t>
      </w:r>
    </w:p>
    <w:p w14:paraId="7366E4B6" w14:textId="77777777" w:rsidR="00DF410E" w:rsidRDefault="00CE7F43">
      <w:r>
        <w:rPr>
          <w:rStyle w:val="soitChar"/>
          <w:u w:val="single"/>
        </w:rPr>
        <w:t>Suivant échantillon disponible</w:t>
      </w:r>
      <w:r>
        <w:t> </w:t>
      </w:r>
      <w:r>
        <w:rPr>
          <w:rStyle w:val="optioncarChar"/>
        </w:rPr>
        <w:t>auprès du bureau d’architecte / sur chantier </w:t>
      </w:r>
      <w:r>
        <w:t>(par défaut)</w:t>
      </w:r>
      <w:r>
        <w:rPr>
          <w:rStyle w:val="optioncarChar"/>
        </w:rPr>
        <w:t xml:space="preserve"> / auprès du fabricant</w:t>
      </w:r>
    </w:p>
    <w:p w14:paraId="4D612183" w14:textId="77777777" w:rsidR="00DF410E" w:rsidRDefault="00CE7F43">
      <w:r>
        <w:rPr>
          <w:b/>
          <w:i/>
        </w:rPr>
        <w:t>(soit)</w:t>
      </w:r>
    </w:p>
    <w:p w14:paraId="224F811F" w14:textId="77777777" w:rsidR="00DF410E" w:rsidRDefault="00CE7F43">
      <w:r>
        <w:rPr>
          <w:rStyle w:val="soitChar"/>
          <w:u w:val="single"/>
        </w:rPr>
        <w:t>Suivant échantillons à remettre pour approbation par l’architecte: </w:t>
      </w:r>
      <w:r>
        <w:t> </w:t>
      </w:r>
      <w:r>
        <w:rPr>
          <w:rStyle w:val="optioncarChar"/>
        </w:rPr>
        <w:t>gris </w:t>
      </w:r>
      <w:r>
        <w:t>(par défaut)</w:t>
      </w:r>
      <w:r>
        <w:rPr>
          <w:rStyle w:val="optioncarChar"/>
        </w:rPr>
        <w:t> / blanc / vert / anthracite / rouge / ***</w:t>
      </w:r>
    </w:p>
    <w:p w14:paraId="5F1956A1" w14:textId="77777777" w:rsidR="00DF410E" w:rsidRDefault="00CE7F43">
      <w:r>
        <w:rPr>
          <w:b/>
          <w:i/>
        </w:rPr>
        <w:t>(soit)</w:t>
      </w:r>
    </w:p>
    <w:p w14:paraId="6A1D4C8E" w14:textId="77777777" w:rsidR="00DF410E" w:rsidRDefault="00CE7F43">
      <w:r>
        <w:rPr>
          <w:rStyle w:val="soitChar"/>
          <w:u w:val="single"/>
        </w:rPr>
        <w:t>Suivant la couleur RAL</w:t>
      </w:r>
      <w:r>
        <w:rPr>
          <w:rStyle w:val="soitChar"/>
        </w:rPr>
        <w:t> se rapprochant le mieux que possible du RAL </w:t>
      </w:r>
      <w:r>
        <w:rPr>
          <w:rStyle w:val="optioncarChar"/>
        </w:rPr>
        <w:t>***</w:t>
      </w:r>
    </w:p>
    <w:p w14:paraId="010EDD46" w14:textId="77777777" w:rsidR="00DF410E" w:rsidRDefault="00CE7F43">
      <w:r>
        <w:t> 2.     Texture : </w:t>
      </w:r>
      <w:r>
        <w:rPr>
          <w:rStyle w:val="optioncarChar"/>
        </w:rPr>
        <w:t>suivant échantillon disponible</w:t>
      </w:r>
      <w:r>
        <w:t> (par défaut)</w:t>
      </w:r>
      <w:r>
        <w:rPr>
          <w:rStyle w:val="optioncarChar"/>
        </w:rPr>
        <w:t> / suivant échantillons à remettre pour approbation par l'architecte</w:t>
      </w:r>
    </w:p>
    <w:p w14:paraId="324B794F" w14:textId="77777777" w:rsidR="00DF410E" w:rsidRDefault="00CE7F43">
      <w:r>
        <w:rPr>
          <w:b/>
          <w:i/>
        </w:rPr>
        <w:t>(soit par défaut)</w:t>
      </w:r>
    </w:p>
    <w:p w14:paraId="14798BFE" w14:textId="77777777" w:rsidR="00DF410E" w:rsidRDefault="00CE7F43">
      <w:r>
        <w:rPr>
          <w:rStyle w:val="soitChar"/>
          <w:u w:val="single"/>
        </w:rPr>
        <w:t>Suivant échantillon disponible</w:t>
      </w:r>
      <w:r>
        <w:t> </w:t>
      </w:r>
      <w:r>
        <w:rPr>
          <w:rStyle w:val="optioncarChar"/>
        </w:rPr>
        <w:t xml:space="preserve">auprès du bureau d’architecte / sur chantier </w:t>
      </w:r>
      <w:r>
        <w:t>(par défaut) </w:t>
      </w:r>
      <w:r>
        <w:rPr>
          <w:rStyle w:val="optioncarChar"/>
        </w:rPr>
        <w:t>/ auprès du fabricant</w:t>
      </w:r>
    </w:p>
    <w:p w14:paraId="15FC4869" w14:textId="77777777" w:rsidR="00DF410E" w:rsidRDefault="00CE7F43">
      <w:r>
        <w:rPr>
          <w:b/>
          <w:i/>
        </w:rPr>
        <w:t>(soit)</w:t>
      </w:r>
    </w:p>
    <w:p w14:paraId="0A7297A9" w14:textId="77777777" w:rsidR="00DF410E" w:rsidRDefault="00CE7F43">
      <w:r>
        <w:rPr>
          <w:rStyle w:val="soitChar"/>
          <w:u w:val="single"/>
        </w:rPr>
        <w:t>Echantillons à remettre pour approbation par l’architecte: </w:t>
      </w:r>
      <w:r>
        <w:t> </w:t>
      </w:r>
    </w:p>
    <w:p w14:paraId="6930F05E" w14:textId="77777777" w:rsidR="00DF410E" w:rsidRDefault="00CE7F43">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158230A9" w14:textId="77777777" w:rsidR="00DF410E" w:rsidRDefault="00CE7F43">
      <w:pPr>
        <w:jc w:val="both"/>
      </w:pPr>
      <w:r>
        <w:t> 3.     Terminaison des arêtes</w:t>
      </w:r>
    </w:p>
    <w:p w14:paraId="3E9191C5" w14:textId="77777777" w:rsidR="00DF410E" w:rsidRDefault="00CE7F43">
      <w:pPr>
        <w:jc w:val="both"/>
      </w:pPr>
      <w:r>
        <w:t xml:space="preserve"> Les arêtes saillantes des parois sont </w:t>
      </w:r>
      <w:r>
        <w:rPr>
          <w:rStyle w:val="optioncarChar"/>
        </w:rPr>
        <w:t>chanfreinées en triangle </w:t>
      </w:r>
      <w:r>
        <w:t xml:space="preserve">(par défaut) </w:t>
      </w:r>
      <w:r>
        <w:rPr>
          <w:rStyle w:val="optioncarChar"/>
        </w:rPr>
        <w:t>/chanfreinées en arrondi / vives</w:t>
      </w:r>
    </w:p>
    <w:p w14:paraId="71920C41" w14:textId="77777777" w:rsidR="00DF410E" w:rsidRDefault="00CE7F43">
      <w:pPr>
        <w:jc w:val="both"/>
      </w:pPr>
      <w:r>
        <w:rPr>
          <w:b/>
          <w:i/>
        </w:rPr>
        <w:t xml:space="preserve"> (soit)</w:t>
      </w:r>
    </w:p>
    <w:p w14:paraId="0AED03B7" w14:textId="77777777" w:rsidR="00DF410E" w:rsidRDefault="00CE7F43">
      <w:pPr>
        <w:jc w:val="both"/>
      </w:pPr>
      <w:r>
        <w:rPr>
          <w:rStyle w:val="soitChar"/>
          <w:u w:val="single"/>
        </w:rPr>
        <w:t>chanfreinées en triangle</w:t>
      </w:r>
    </w:p>
    <w:p w14:paraId="41B43EC0" w14:textId="77777777" w:rsidR="00DF410E" w:rsidRDefault="00CE7F43">
      <w:pPr>
        <w:jc w:val="both"/>
      </w:pPr>
      <w:r>
        <w:rPr>
          <w:rStyle w:val="soitChar"/>
        </w:rPr>
        <w:t xml:space="preserve"> Les arêtes sont cassées au moyen d'un chanfrein de </w:t>
      </w:r>
      <w:r>
        <w:rPr>
          <w:rStyle w:val="optioncarChar"/>
        </w:rPr>
        <w:t xml:space="preserve">1,5 x 1,5 </w:t>
      </w:r>
      <w:r>
        <w:t>(par défaut) </w:t>
      </w:r>
      <w:r>
        <w:rPr>
          <w:rStyle w:val="optioncarChar"/>
        </w:rPr>
        <w:t>/ 2,5 x 2,5 / *** cm x *** cm.</w:t>
      </w:r>
    </w:p>
    <w:p w14:paraId="3AD8193A" w14:textId="77777777" w:rsidR="00DF410E" w:rsidRDefault="00CE7F43">
      <w:pPr>
        <w:jc w:val="both"/>
      </w:pPr>
      <w:r>
        <w:rPr>
          <w:b/>
          <w:i/>
        </w:rPr>
        <w:t>(soit)</w:t>
      </w:r>
    </w:p>
    <w:p w14:paraId="0F4C98DF" w14:textId="77777777" w:rsidR="00DF410E" w:rsidRDefault="00CE7F43">
      <w:pPr>
        <w:jc w:val="both"/>
      </w:pPr>
      <w:r>
        <w:rPr>
          <w:rStyle w:val="soitChar"/>
          <w:u w:val="single"/>
        </w:rPr>
        <w:t>chanfreinées en arrondi</w:t>
      </w:r>
    </w:p>
    <w:p w14:paraId="08914B7A" w14:textId="77777777" w:rsidR="00DF410E" w:rsidRDefault="00CE7F43">
      <w:pPr>
        <w:jc w:val="both"/>
      </w:pPr>
      <w:r>
        <w:rPr>
          <w:rStyle w:val="soitChar"/>
        </w:rPr>
        <w:t xml:space="preserve"> Les arêtes sont cassées au moyen d'un chanfrein de rayon </w:t>
      </w:r>
      <w:r>
        <w:rPr>
          <w:rStyle w:val="optioncarChar"/>
        </w:rPr>
        <w:t>1,5 </w:t>
      </w:r>
      <w:r>
        <w:t>(par défaut)</w:t>
      </w:r>
      <w:r>
        <w:rPr>
          <w:rStyle w:val="optioncarChar"/>
        </w:rPr>
        <w:t xml:space="preserve"> / 2,5 / ***</w:t>
      </w:r>
      <w:r>
        <w:t>cm .</w:t>
      </w:r>
    </w:p>
    <w:p w14:paraId="49093E18" w14:textId="77777777" w:rsidR="00DF410E" w:rsidRDefault="00CE7F43">
      <w:pPr>
        <w:jc w:val="both"/>
      </w:pPr>
      <w:r>
        <w:rPr>
          <w:b/>
          <w:i/>
        </w:rPr>
        <w:t>(soit)</w:t>
      </w:r>
    </w:p>
    <w:p w14:paraId="029FF018" w14:textId="77777777" w:rsidR="00DF410E" w:rsidRDefault="00CE7F43">
      <w:pPr>
        <w:jc w:val="both"/>
      </w:pPr>
      <w:r>
        <w:rPr>
          <w:rStyle w:val="soitChar"/>
          <w:u w:val="single"/>
        </w:rPr>
        <w:t>vives</w:t>
      </w:r>
    </w:p>
    <w:p w14:paraId="4CCA863C" w14:textId="77777777" w:rsidR="00DF410E" w:rsidRDefault="00CE7F43">
      <w:pPr>
        <w:pStyle w:val="pheading"/>
      </w:pPr>
      <w:r>
        <w:t>EXÉCUTION / MISE EN ŒUVRE</w:t>
      </w:r>
    </w:p>
    <w:p w14:paraId="108C8A83" w14:textId="77777777" w:rsidR="00DF410E" w:rsidRDefault="00CE7F43">
      <w:pPr>
        <w:pStyle w:val="pheading"/>
      </w:pPr>
      <w:r>
        <w:t>- Prescriptions générales</w:t>
      </w:r>
    </w:p>
    <w:p w14:paraId="7AAA7E7B" w14:textId="77777777" w:rsidR="00DF410E" w:rsidRDefault="00CE7F43">
      <w:pPr>
        <w:jc w:val="both"/>
      </w:pPr>
      <w:r>
        <w:t>Le plan de pose doit être approuvé par l’entrepreneur ou le bureau d’études.</w:t>
      </w:r>
    </w:p>
    <w:p w14:paraId="79C32C0B" w14:textId="77777777" w:rsidR="00DF410E" w:rsidRDefault="00CE7F43">
      <w:pPr>
        <w:jc w:val="both"/>
      </w:pPr>
      <w:r>
        <w:t>Les parois sont fabriquées dans les dimensions indiquées sur les plans d’exécution approuvés.</w:t>
      </w:r>
    </w:p>
    <w:p w14:paraId="4F7D8979" w14:textId="77777777" w:rsidR="00DF410E" w:rsidRDefault="00CE7F43">
      <w:pPr>
        <w:jc w:val="both"/>
      </w:pPr>
      <w:r>
        <w:t>La mise en œuvre est conforme aux normes [NBN EN 13670] et [NBN B 15-400].</w:t>
      </w:r>
    </w:p>
    <w:p w14:paraId="1E0FBAF4" w14:textId="77777777" w:rsidR="00DF410E" w:rsidRDefault="00CE7F43">
      <w:pPr>
        <w:jc w:val="both"/>
      </w:pPr>
      <w:r>
        <w:t>L’alignement des parois est réalisé au moyen d’étais et de madriers en bois parfaitement alignés.</w:t>
      </w:r>
    </w:p>
    <w:p w14:paraId="5C83EDDE" w14:textId="77777777" w:rsidR="00DF410E" w:rsidRDefault="00CE7F43">
      <w:pPr>
        <w:jc w:val="both"/>
      </w:pPr>
      <w:r>
        <w:t>Le sol/support doit être non travaillé et stable.</w:t>
      </w:r>
    </w:p>
    <w:p w14:paraId="4C494593" w14:textId="77777777" w:rsidR="00DF410E" w:rsidRDefault="00CE7F43">
      <w:pPr>
        <w:jc w:val="both"/>
      </w:pPr>
      <w:r>
        <w:t>La verticalité doit être garantie par la pose préalable de madrier en bois</w:t>
      </w:r>
    </w:p>
    <w:p w14:paraId="31FEEFC5" w14:textId="77777777" w:rsidR="00DF410E" w:rsidRDefault="00CE7F43">
      <w:pPr>
        <w:jc w:val="both"/>
      </w:pPr>
      <w:r>
        <w:t>Si les parois doivent être étanches à l’eau, il y a lieu que la mise en œuvre soit conforme à la [NIT 247] et à la [NIT 250].</w:t>
      </w:r>
    </w:p>
    <w:p w14:paraId="1C412A77" w14:textId="77777777" w:rsidR="00DF410E" w:rsidRDefault="00CE7F43">
      <w:pPr>
        <w:pStyle w:val="pheading"/>
      </w:pPr>
      <w:r>
        <w:t>DOCUMENTS DE RÉFÉRENCE COMPLÉMENTAIRES</w:t>
      </w:r>
    </w:p>
    <w:p w14:paraId="0B06DF2A" w14:textId="77777777" w:rsidR="00DF410E" w:rsidRDefault="00CE7F43">
      <w:pPr>
        <w:pStyle w:val="pheading"/>
      </w:pPr>
      <w:r>
        <w:t>- Matériau</w:t>
      </w:r>
    </w:p>
    <w:p w14:paraId="21AC101F" w14:textId="77777777" w:rsidR="00DF410E" w:rsidRDefault="00CE7F43">
      <w:r>
        <w:t>[NBN EN 14992+A1, Produits préfabriqués en béton - Eléments de mur]</w:t>
      </w:r>
      <w:r>
        <w:br/>
      </w:r>
      <w:r>
        <w:br/>
        <w:t>[RA 21-612, Règlement d'application Benor - Produits préfabriqués en béton - Eléments de murs]</w:t>
      </w:r>
      <w:r>
        <w:br/>
      </w:r>
      <w:r>
        <w:br/>
        <w:t>[Buildwise Méthode de dimensionnement Rapport 10, Sécurité et mise en oeuvre d'éléments préfabriqués en béton]</w:t>
      </w:r>
    </w:p>
    <w:p w14:paraId="60F34223" w14:textId="77777777" w:rsidR="00DF410E" w:rsidRDefault="00CE7F43">
      <w:r>
        <w:t>[PTV 21-601, Eléments préfabriqués en béton architectonique.]</w:t>
      </w:r>
    </w:p>
    <w:p w14:paraId="6F3D207D" w14:textId="77777777" w:rsidR="00DF410E" w:rsidRDefault="00DF410E"/>
    <w:p w14:paraId="17144B35" w14:textId="77777777" w:rsidR="00DF410E" w:rsidRDefault="00CE7F43">
      <w:r>
        <w:t> </w:t>
      </w:r>
    </w:p>
    <w:p w14:paraId="0095E409" w14:textId="77777777" w:rsidR="00DF410E" w:rsidRDefault="00CE7F43">
      <w:pPr>
        <w:pStyle w:val="pheading"/>
      </w:pPr>
      <w:r>
        <w:t>- Exécution</w:t>
      </w:r>
    </w:p>
    <w:p w14:paraId="1159CE17" w14:textId="77777777" w:rsidR="00DF410E" w:rsidRDefault="00CE7F43">
      <w:r>
        <w:t>[NIT 247, Conception et exécution des ouvrages étanches en béton]</w:t>
      </w:r>
    </w:p>
    <w:p w14:paraId="3D441143" w14:textId="77777777" w:rsidR="00DF410E" w:rsidRDefault="00CE7F43">
      <w:r>
        <w:t>[NIT 250, Détails de référence pour les constructions enterrées]</w:t>
      </w:r>
    </w:p>
    <w:p w14:paraId="77571290" w14:textId="77777777" w:rsidR="00DF410E" w:rsidRDefault="00CE7F43">
      <w:r>
        <w:t>[NBN EN 13670, Exécution des structures en béton]</w:t>
      </w:r>
    </w:p>
    <w:p w14:paraId="627010F3" w14:textId="77777777" w:rsidR="00DF410E" w:rsidRDefault="00CE7F43">
      <w:r>
        <w:t>[NBN B 15-400, Exécution des structures en béton - Supplément national à la NBN EN 13670:2010]</w:t>
      </w:r>
    </w:p>
    <w:p w14:paraId="00473730" w14:textId="77777777" w:rsidR="00DF410E" w:rsidRDefault="00CE7F43">
      <w:pPr>
        <w:pStyle w:val="pheading"/>
      </w:pPr>
      <w:r>
        <w:t>MESURAGE</w:t>
      </w:r>
    </w:p>
    <w:p w14:paraId="471CD80C" w14:textId="77777777" w:rsidR="00DF410E" w:rsidRDefault="00CE7F43">
      <w:pPr>
        <w:pStyle w:val="pheading"/>
      </w:pPr>
      <w:r>
        <w:t>- unité de mesure:</w:t>
      </w:r>
    </w:p>
    <w:p w14:paraId="38991343" w14:textId="77777777" w:rsidR="00DF410E" w:rsidRDefault="00CE7F43">
      <w:r>
        <w:rPr>
          <w:rStyle w:val="optioncarChar"/>
        </w:rPr>
        <w:t>m³</w:t>
      </w:r>
      <w:r>
        <w:t xml:space="preserve"> (par défaut) </w:t>
      </w:r>
      <w:r>
        <w:rPr>
          <w:rStyle w:val="optioncarChar"/>
        </w:rPr>
        <w:t>/ pc / m / m² </w:t>
      </w:r>
    </w:p>
    <w:p w14:paraId="6384BD77" w14:textId="77777777" w:rsidR="00DF410E" w:rsidRDefault="00CE7F43">
      <w:r>
        <w:rPr>
          <w:b/>
          <w:i/>
        </w:rPr>
        <w:t>(Soit par défaut)</w:t>
      </w:r>
    </w:p>
    <w:p w14:paraId="76656D0C" w14:textId="77777777" w:rsidR="00DF410E" w:rsidRDefault="00CE7F43">
      <w:r>
        <w:rPr>
          <w:rStyle w:val="soitChar"/>
        </w:rPr>
        <w:t>1. m³</w:t>
      </w:r>
    </w:p>
    <w:p w14:paraId="2C155800" w14:textId="77777777" w:rsidR="00DF410E" w:rsidRDefault="00CE7F43">
      <w:r>
        <w:rPr>
          <w:b/>
          <w:i/>
        </w:rPr>
        <w:t>(Soit)</w:t>
      </w:r>
    </w:p>
    <w:p w14:paraId="49DDCE8B" w14:textId="77777777" w:rsidR="00DF410E" w:rsidRDefault="00CE7F43">
      <w:r>
        <w:rPr>
          <w:rStyle w:val="soitChar"/>
        </w:rPr>
        <w:t>2. pc</w:t>
      </w:r>
    </w:p>
    <w:p w14:paraId="5D497C77" w14:textId="77777777" w:rsidR="00DF410E" w:rsidRDefault="00CE7F43">
      <w:r>
        <w:rPr>
          <w:b/>
          <w:i/>
        </w:rPr>
        <w:t>(Soit)</w:t>
      </w:r>
    </w:p>
    <w:p w14:paraId="6738D67E" w14:textId="77777777" w:rsidR="00DF410E" w:rsidRDefault="00CE7F43">
      <w:r>
        <w:rPr>
          <w:rStyle w:val="soitChar"/>
        </w:rPr>
        <w:t>3. m</w:t>
      </w:r>
    </w:p>
    <w:p w14:paraId="0A8983E2" w14:textId="77777777" w:rsidR="00DF410E" w:rsidRDefault="00CE7F43">
      <w:r>
        <w:rPr>
          <w:b/>
          <w:i/>
        </w:rPr>
        <w:t>(Soit)</w:t>
      </w:r>
    </w:p>
    <w:p w14:paraId="58951BFD" w14:textId="77777777" w:rsidR="00DF410E" w:rsidRDefault="00CE7F43">
      <w:r>
        <w:rPr>
          <w:rStyle w:val="soitChar"/>
        </w:rPr>
        <w:t>4. m²</w:t>
      </w:r>
    </w:p>
    <w:p w14:paraId="6B5F9D29" w14:textId="77777777" w:rsidR="00DF410E" w:rsidRDefault="00CE7F43">
      <w:pPr>
        <w:pStyle w:val="pheading"/>
      </w:pPr>
      <w:r>
        <w:t>- code de mesurage:</w:t>
      </w:r>
    </w:p>
    <w:p w14:paraId="4E1D2F72" w14:textId="77777777" w:rsidR="00DF410E" w:rsidRDefault="00CE7F43">
      <w:r>
        <w:rPr>
          <w:rStyle w:val="optioncarChar"/>
        </w:rPr>
        <w:t>Volume net </w:t>
      </w:r>
      <w:r>
        <w:t>(par défaut)</w:t>
      </w:r>
      <w:r>
        <w:rPr>
          <w:rStyle w:val="optioncarChar"/>
        </w:rPr>
        <w:t> / quantité nette / longueur nette / surface nette</w:t>
      </w:r>
    </w:p>
    <w:p w14:paraId="50B20480" w14:textId="77777777" w:rsidR="00DF410E" w:rsidRDefault="00CE7F43">
      <w:r>
        <w:rPr>
          <w:b/>
          <w:i/>
        </w:rPr>
        <w:t>(Soit par défaut)</w:t>
      </w:r>
    </w:p>
    <w:p w14:paraId="58638567" w14:textId="77777777" w:rsidR="00DF410E" w:rsidRDefault="00CE7F43">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7D01B7A0" w14:textId="77777777" w:rsidR="00DF410E" w:rsidRDefault="00CE7F43">
      <w:r>
        <w:rPr>
          <w:rStyle w:val="soitChar"/>
        </w:rPr>
        <w:t>Aucune déduction n'est faite pour:</w:t>
      </w:r>
    </w:p>
    <w:p w14:paraId="45EE74F4" w14:textId="77777777" w:rsidR="00DF410E" w:rsidRDefault="00CE7F43">
      <w:pPr>
        <w:pStyle w:val="Author-eListParagraph"/>
        <w:numPr>
          <w:ilvl w:val="0"/>
          <w:numId w:val="520"/>
        </w:numPr>
      </w:pPr>
      <w:r>
        <w:rPr>
          <w:rStyle w:val="soitChar"/>
        </w:rPr>
        <w:t>le volume des armatures,</w:t>
      </w:r>
    </w:p>
    <w:p w14:paraId="680989FB" w14:textId="77777777" w:rsidR="00DF410E" w:rsidRDefault="00CE7F43">
      <w:pPr>
        <w:pStyle w:val="Author-eListParagraph"/>
        <w:numPr>
          <w:ilvl w:val="0"/>
          <w:numId w:val="520"/>
        </w:numPr>
      </w:pPr>
      <w:r>
        <w:rPr>
          <w:rStyle w:val="soitChar"/>
        </w:rPr>
        <w:t>les blocs et écarteurs, les fourreaux pour les armatures de précontrainte ;</w:t>
      </w:r>
    </w:p>
    <w:p w14:paraId="50FF5E1D" w14:textId="77777777" w:rsidR="00DF410E" w:rsidRDefault="00CE7F43">
      <w:pPr>
        <w:pStyle w:val="Author-eListParagraph"/>
        <w:numPr>
          <w:ilvl w:val="0"/>
          <w:numId w:val="520"/>
        </w:numPr>
      </w:pPr>
      <w:r>
        <w:rPr>
          <w:rStyle w:val="soitChar"/>
        </w:rPr>
        <w:t>les pénétrations pour les pattes d’ancrage, les creux, les conduites noyées et les réservations dont le volume est inférieur à 0,05 m3.</w:t>
      </w:r>
    </w:p>
    <w:p w14:paraId="6FCA6901" w14:textId="77777777" w:rsidR="00DF410E" w:rsidRDefault="00CE7F43">
      <w:pPr>
        <w:pStyle w:val="Author-eListParagraph"/>
        <w:numPr>
          <w:ilvl w:val="0"/>
          <w:numId w:val="520"/>
        </w:numPr>
      </w:pPr>
      <w:r>
        <w:rPr>
          <w:rStyle w:val="soitChar"/>
        </w:rPr>
        <w:t>les chanfreins et tous les profils dont la section a une superficie inférieure à 20 cm2.</w:t>
      </w:r>
    </w:p>
    <w:p w14:paraId="432B4FD6" w14:textId="77777777" w:rsidR="00DF410E" w:rsidRDefault="00CE7F43">
      <w:pPr>
        <w:pStyle w:val="Author-eListParagraph"/>
        <w:numPr>
          <w:ilvl w:val="0"/>
          <w:numId w:val="520"/>
        </w:numPr>
      </w:pPr>
      <w:r>
        <w:rPr>
          <w:rStyle w:val="soitChar"/>
        </w:rPr>
        <w:t>les rainures, encoches et languettes.</w:t>
      </w:r>
    </w:p>
    <w:p w14:paraId="6FA2A3F9" w14:textId="77777777" w:rsidR="00DF410E" w:rsidRDefault="00CE7F43">
      <w:r>
        <w:rPr>
          <w:b/>
          <w:i/>
        </w:rPr>
        <w:t>(Soit)</w:t>
      </w:r>
    </w:p>
    <w:p w14:paraId="4D79827D" w14:textId="77777777" w:rsidR="00DF410E" w:rsidRDefault="00CE7F43">
      <w:r>
        <w:rPr>
          <w:rStyle w:val="soitChar"/>
          <w:u w:val="single"/>
        </w:rPr>
        <w:t>2. Quantité nette</w:t>
      </w:r>
    </w:p>
    <w:p w14:paraId="498FD924" w14:textId="77777777" w:rsidR="00DF410E" w:rsidRDefault="00CE7F43">
      <w:r>
        <w:rPr>
          <w:b/>
          <w:i/>
        </w:rPr>
        <w:t>(Soit)</w:t>
      </w:r>
    </w:p>
    <w:p w14:paraId="2E8A0ADA" w14:textId="77777777" w:rsidR="00DF410E" w:rsidRDefault="00CE7F43">
      <w:r>
        <w:rPr>
          <w:rStyle w:val="soitChar"/>
          <w:u w:val="single"/>
        </w:rPr>
        <w:t>3. Longueur nette</w:t>
      </w:r>
    </w:p>
    <w:p w14:paraId="00CF1FB2" w14:textId="77777777" w:rsidR="00DF410E" w:rsidRDefault="00CE7F43">
      <w:r>
        <w:rPr>
          <w:b/>
          <w:i/>
        </w:rPr>
        <w:t>(Soit)</w:t>
      </w:r>
    </w:p>
    <w:p w14:paraId="24FFA29E" w14:textId="77777777" w:rsidR="00DF410E" w:rsidRDefault="00CE7F43">
      <w:r>
        <w:rPr>
          <w:rStyle w:val="soitChar"/>
          <w:u w:val="single"/>
        </w:rPr>
        <w:t>4. Surface nette</w:t>
      </w:r>
    </w:p>
    <w:p w14:paraId="7E0E4EA7" w14:textId="77777777" w:rsidR="00DF410E" w:rsidRDefault="00CE7F43">
      <w:pPr>
        <w:pStyle w:val="pheading"/>
      </w:pPr>
      <w:r>
        <w:t>- nature du marché:</w:t>
      </w:r>
    </w:p>
    <w:p w14:paraId="05EC5E69" w14:textId="77777777" w:rsidR="00DF410E" w:rsidRDefault="00CE7F43">
      <w:r>
        <w:rPr>
          <w:rStyle w:val="optioncarChar"/>
        </w:rPr>
        <w:t>QF</w:t>
      </w:r>
      <w:r>
        <w:t xml:space="preserve"> (par défaut)</w:t>
      </w:r>
      <w:r>
        <w:rPr>
          <w:rStyle w:val="optioncarChar"/>
        </w:rPr>
        <w:t xml:space="preserve"> / QP</w:t>
      </w:r>
    </w:p>
    <w:p w14:paraId="57EE9612" w14:textId="77777777" w:rsidR="00DF410E" w:rsidRDefault="00CE7F43">
      <w:r>
        <w:rPr>
          <w:b/>
          <w:i/>
        </w:rPr>
        <w:t>(Soit par défaut)</w:t>
      </w:r>
    </w:p>
    <w:p w14:paraId="770005A8" w14:textId="77777777" w:rsidR="00DF410E" w:rsidRDefault="00CE7F43">
      <w:r>
        <w:rPr>
          <w:rStyle w:val="soitChar"/>
        </w:rPr>
        <w:t>1. 2. 3. 4. QF</w:t>
      </w:r>
    </w:p>
    <w:p w14:paraId="56E5E50E" w14:textId="77777777" w:rsidR="00DF410E" w:rsidRDefault="00CE7F43">
      <w:r>
        <w:rPr>
          <w:b/>
          <w:i/>
        </w:rPr>
        <w:t>(Soit)</w:t>
      </w:r>
    </w:p>
    <w:p w14:paraId="4C9140FF" w14:textId="77777777" w:rsidR="00DF410E" w:rsidRDefault="00CE7F43">
      <w:r>
        <w:rPr>
          <w:rStyle w:val="soitChar"/>
        </w:rPr>
        <w:t>1. 2. 3. 4. QP</w:t>
      </w:r>
    </w:p>
    <w:p w14:paraId="7B775A96" w14:textId="77777777" w:rsidR="00DF410E" w:rsidRDefault="00CE7F43">
      <w:pPr>
        <w:pStyle w:val="Author-eSectionHeading6"/>
      </w:pPr>
      <w:bookmarkStart w:id="757" w:name="_Toc178837918"/>
      <w:r>
        <w:t>22.16.4b Parois sandwich en béton décoratif / architectonique CCTB 01.11</w:t>
      </w:r>
      <w:bookmarkEnd w:id="757"/>
    </w:p>
    <w:p w14:paraId="2CDB3889" w14:textId="77777777" w:rsidR="00DF410E" w:rsidRDefault="00CE7F43">
      <w:pPr>
        <w:pStyle w:val="pheading"/>
      </w:pPr>
      <w:r>
        <w:t>DESCRIPTION</w:t>
      </w:r>
    </w:p>
    <w:p w14:paraId="7114A5FA" w14:textId="77777777" w:rsidR="00DF410E" w:rsidRDefault="00CE7F43">
      <w:pPr>
        <w:pStyle w:val="pheading"/>
      </w:pPr>
      <w:r>
        <w:t>- Définition / Comprend</w:t>
      </w:r>
    </w:p>
    <w:p w14:paraId="4030493A" w14:textId="77777777" w:rsidR="00DF410E" w:rsidRDefault="00CE7F43">
      <w:pPr>
        <w:jc w:val="both"/>
      </w:pPr>
      <w:r>
        <w:t xml:space="preserve">Cet article vise la fourniture et la pose de parois sandwich préfabriquées en béton architectonique et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502" w:history="1">
        <w:r>
          <w:t>22.16.4 Parois préfabriquées en béton architectonique</w:t>
        </w:r>
      </w:hyperlink>
      <w:r>
        <w:t>.</w:t>
      </w:r>
    </w:p>
    <w:p w14:paraId="17761502" w14:textId="77777777" w:rsidR="00DF410E" w:rsidRDefault="00CE7F43">
      <w:pPr>
        <w:pStyle w:val="pheading"/>
      </w:pPr>
      <w:r>
        <w:t>- Localisation</w:t>
      </w:r>
    </w:p>
    <w:p w14:paraId="2810A686" w14:textId="77777777" w:rsidR="00DF410E" w:rsidRDefault="00CE7F43">
      <w:r>
        <w:t xml:space="preserve">La pose est réalisée aux endroits suivants : </w:t>
      </w:r>
      <w:r>
        <w:rPr>
          <w:rStyle w:val="optioncarChar"/>
        </w:rPr>
        <w:t>***</w:t>
      </w:r>
      <w:r>
        <w:t>.</w:t>
      </w:r>
    </w:p>
    <w:p w14:paraId="21D13062" w14:textId="77777777" w:rsidR="00DF410E" w:rsidRDefault="00CE7F43">
      <w:r>
        <w:t>Voir plans et métrés détaillés.</w:t>
      </w:r>
    </w:p>
    <w:p w14:paraId="7139E0F0" w14:textId="77777777" w:rsidR="00DF410E" w:rsidRDefault="00CE7F43">
      <w:pPr>
        <w:pStyle w:val="pheading"/>
      </w:pPr>
      <w:r>
        <w:t>MATÉRIAUX</w:t>
      </w:r>
    </w:p>
    <w:p w14:paraId="54774003" w14:textId="77777777" w:rsidR="00DF410E" w:rsidRDefault="00CE7F43">
      <w:pPr>
        <w:pStyle w:val="pheading"/>
      </w:pPr>
      <w:r>
        <w:t>- Caractéristiques générales</w:t>
      </w:r>
    </w:p>
    <w:p w14:paraId="7DDF916C" w14:textId="77777777" w:rsidR="00DF410E" w:rsidRDefault="00CE7F43">
      <w:pPr>
        <w:jc w:val="both"/>
      </w:pPr>
      <w:r>
        <w:t>Les matériaux utilisés sont conformes à la [NBN EN 14992+A1] et à la [NBN B 21-612]</w:t>
      </w:r>
    </w:p>
    <w:p w14:paraId="04DAD061" w14:textId="77777777" w:rsidR="00DF410E" w:rsidRDefault="00CE7F43">
      <w:pPr>
        <w:jc w:val="both"/>
      </w:pPr>
      <w:r>
        <w:t xml:space="preserve">Valeur de U max= </w:t>
      </w:r>
      <w:r>
        <w:rPr>
          <w:rStyle w:val="optioncarChar"/>
        </w:rPr>
        <w:t>***</w:t>
      </w:r>
      <w:r>
        <w:t xml:space="preserve"> W/ m²K</w:t>
      </w:r>
    </w:p>
    <w:p w14:paraId="5978BB54" w14:textId="77777777" w:rsidR="00DF410E" w:rsidRDefault="00CE7F43">
      <w:pPr>
        <w:jc w:val="both"/>
      </w:pPr>
      <w:r>
        <w:t xml:space="preserve">L’épaisseur de la paroi extérieure est de : </w:t>
      </w:r>
      <w:r>
        <w:rPr>
          <w:rStyle w:val="optioncarChar"/>
        </w:rPr>
        <w:t>8 </w:t>
      </w:r>
      <w:r>
        <w:t>(par défaut) </w:t>
      </w:r>
      <w:r>
        <w:rPr>
          <w:rStyle w:val="optioncarChar"/>
        </w:rPr>
        <w:t>/ 9 / 10 / 11/ 12 / 14 / 16 / 20 / ***</w:t>
      </w:r>
      <w:r>
        <w:t xml:space="preserve"> cm</w:t>
      </w:r>
    </w:p>
    <w:p w14:paraId="07B77829" w14:textId="77777777" w:rsidR="00DF410E" w:rsidRDefault="00CE7F43">
      <w:pPr>
        <w:jc w:val="both"/>
      </w:pPr>
      <w:r>
        <w:t xml:space="preserve">L’épaisseur de la paroi intérieure est de : </w:t>
      </w:r>
      <w:r>
        <w:rPr>
          <w:rStyle w:val="optioncarChar"/>
        </w:rPr>
        <w:t>12 </w:t>
      </w:r>
      <w:r>
        <w:t>(par défaut)</w:t>
      </w:r>
      <w:r>
        <w:rPr>
          <w:rStyle w:val="optioncarChar"/>
        </w:rPr>
        <w:t xml:space="preserve"> / 14 / 20 / 25 / ***</w:t>
      </w:r>
      <w:r>
        <w:t xml:space="preserve"> cm</w:t>
      </w:r>
    </w:p>
    <w:p w14:paraId="24896CED" w14:textId="77777777" w:rsidR="00DF410E" w:rsidRDefault="00CE7F43">
      <w:pPr>
        <w:jc w:val="both"/>
      </w:pPr>
      <w:r>
        <w:t xml:space="preserve">Matériaux d’isolation : </w:t>
      </w:r>
      <w:r>
        <w:rPr>
          <w:rStyle w:val="optioncarChar"/>
        </w:rPr>
        <w:t>EPS / PUR / PIR (par défaut) / ***</w:t>
      </w:r>
    </w:p>
    <w:p w14:paraId="47248422" w14:textId="77777777" w:rsidR="00DF410E" w:rsidRDefault="00CE7F43">
      <w:pPr>
        <w:jc w:val="both"/>
      </w:pPr>
      <w:r>
        <w:t xml:space="preserve">Epaisseur d’isolation : </w:t>
      </w:r>
      <w:r>
        <w:rPr>
          <w:rStyle w:val="optioncarChar"/>
        </w:rPr>
        <w:t xml:space="preserve">compatible avec l’exigence U </w:t>
      </w:r>
      <w:r>
        <w:t>(par défaut) </w:t>
      </w:r>
      <w:r>
        <w:rPr>
          <w:rStyle w:val="optioncarChar"/>
        </w:rPr>
        <w:t>/ 12 cm / 16 cm  / 22 cm / 24 cm / ***</w:t>
      </w:r>
      <w:r>
        <w:t> .</w:t>
      </w:r>
    </w:p>
    <w:p w14:paraId="5EEDE37E" w14:textId="77777777" w:rsidR="00DF410E" w:rsidRDefault="00CE7F43">
      <w:pPr>
        <w:jc w:val="both"/>
      </w:pPr>
      <w:r>
        <w:t>La qualité du béton est conforme à la [NBN EN 206:2013+A2] et à la [NBN B 15-001].</w:t>
      </w:r>
    </w:p>
    <w:p w14:paraId="673D3C20" w14:textId="77777777" w:rsidR="00DF410E" w:rsidRDefault="00CE7F43">
      <w:pPr>
        <w:jc w:val="both"/>
      </w:pPr>
      <w:r>
        <w:t xml:space="preserve">La classe de résistance minimale du béton est </w:t>
      </w:r>
      <w:r>
        <w:rPr>
          <w:rStyle w:val="optioncarChar"/>
        </w:rPr>
        <w:t>suivant l’étude de stabilité </w:t>
      </w:r>
      <w:r>
        <w:t xml:space="preserve">(par défaut) </w:t>
      </w:r>
      <w:r>
        <w:rPr>
          <w:rStyle w:val="optioncarChar"/>
        </w:rPr>
        <w:t>/ C30/37 / ***</w:t>
      </w:r>
    </w:p>
    <w:p w14:paraId="33389249" w14:textId="77777777" w:rsidR="00DF410E" w:rsidRDefault="00CE7F43">
      <w:pPr>
        <w:jc w:val="both"/>
      </w:pPr>
      <w:r>
        <w:t>La classe d’environnement est</w:t>
      </w:r>
      <w:r>
        <w:rPr>
          <w:rStyle w:val="optioncarChar"/>
        </w:rPr>
        <w:t xml:space="preserve"> EI</w:t>
      </w:r>
      <w:r>
        <w:t> (par défaut)</w:t>
      </w:r>
      <w:r>
        <w:rPr>
          <w:rStyle w:val="optioncarChar"/>
        </w:rPr>
        <w:t xml:space="preserve"> / EE1 / EE2 / EE3 / ES1 / ES2 / ES3 / EA1+*** / EA2+*** / EA3+ ***.</w:t>
      </w:r>
    </w:p>
    <w:p w14:paraId="1C50BB43" w14:textId="77777777" w:rsidR="00DF410E" w:rsidRDefault="00DF410E">
      <w:pPr>
        <w:jc w:val="both"/>
      </w:pPr>
    </w:p>
    <w:p w14:paraId="602CAA6B" w14:textId="77777777" w:rsidR="00DF410E" w:rsidRDefault="00DF410E">
      <w:pPr>
        <w:jc w:val="both"/>
      </w:pPr>
    </w:p>
    <w:p w14:paraId="2C92A3BD" w14:textId="77777777" w:rsidR="00DF410E" w:rsidRDefault="00CE7F43">
      <w:pPr>
        <w:jc w:val="both"/>
      </w:pPr>
      <w:r>
        <w:rPr>
          <w:b/>
        </w:rPr>
        <w:t>Résistance au feu des parois</w:t>
      </w:r>
    </w:p>
    <w:p w14:paraId="10A04D79" w14:textId="77777777" w:rsidR="00DF410E" w:rsidRDefault="00CE7F43">
      <w:pPr>
        <w:jc w:val="both"/>
      </w:pPr>
      <w:r>
        <w:t>Résistance au feu suivant la déclaration de performance (DoP) selon la norme produit [NBN EN 14992+A1] et [NBN B 21-612].</w:t>
      </w:r>
    </w:p>
    <w:p w14:paraId="70C8DD31" w14:textId="77777777" w:rsidR="00DF410E" w:rsidRDefault="00CE7F43">
      <w:pPr>
        <w:jc w:val="both"/>
      </w:pPr>
      <w:r>
        <w:t>Si la résistance au feu n’est pas déclarée sous marquage CE, elle est démontrée par test au feu selon la [NBN EN 13501-2] ou par calcul selon les Eurocodes conformément à l’[AM 2013-05-17]</w:t>
      </w:r>
    </w:p>
    <w:p w14:paraId="64DA9084" w14:textId="77777777" w:rsidR="00DF410E" w:rsidRDefault="00CE7F43">
      <w:pPr>
        <w:pStyle w:val="Author-eListParagraph"/>
        <w:numPr>
          <w:ilvl w:val="0"/>
          <w:numId w:val="521"/>
        </w:numPr>
      </w:pPr>
      <w:r>
        <w:t xml:space="preserve">pour les éléments porteurs sans fonction séparant : </w:t>
      </w:r>
      <w:r>
        <w:rPr>
          <w:rStyle w:val="optioncarChar"/>
        </w:rPr>
        <w:t>R15 / R30 </w:t>
      </w:r>
      <w:r>
        <w:t>(par défaut)</w:t>
      </w:r>
      <w:r>
        <w:rPr>
          <w:rStyle w:val="optioncarChar"/>
        </w:rPr>
        <w:t xml:space="preserve"> / R60 / R120 / R ***</w:t>
      </w:r>
    </w:p>
    <w:p w14:paraId="2FE71190" w14:textId="77777777" w:rsidR="00DF410E" w:rsidRDefault="00CE7F43">
      <w:pPr>
        <w:pStyle w:val="Author-eListParagraph"/>
        <w:numPr>
          <w:ilvl w:val="0"/>
          <w:numId w:val="521"/>
        </w:numPr>
      </w:pPr>
      <w:r>
        <w:t xml:space="preserve">pour les éléments porteurs avec fonction séparant : </w:t>
      </w:r>
      <w:r>
        <w:rPr>
          <w:rStyle w:val="optioncarChar"/>
        </w:rPr>
        <w:t>REI 30</w:t>
      </w:r>
      <w:r>
        <w:t> (par défaut)</w:t>
      </w:r>
      <w:r>
        <w:rPr>
          <w:rStyle w:val="optioncarChar"/>
        </w:rPr>
        <w:t xml:space="preserve"> / REI 60 / REI 120 / REI *** </w:t>
      </w:r>
    </w:p>
    <w:p w14:paraId="4E999395" w14:textId="77777777" w:rsidR="00DF410E" w:rsidRDefault="00CE7F43">
      <w:pPr>
        <w:pStyle w:val="Author-eListParagraph"/>
        <w:numPr>
          <w:ilvl w:val="0"/>
          <w:numId w:val="521"/>
        </w:numPr>
      </w:pPr>
      <w:r>
        <w:t>pour les éléments non porteurs avec fonction séparant :</w:t>
      </w:r>
      <w:r>
        <w:rPr>
          <w:rStyle w:val="optioncarChar"/>
        </w:rPr>
        <w:t xml:space="preserve"> EI 30 </w:t>
      </w:r>
      <w:r>
        <w:t xml:space="preserve">(par défaut) </w:t>
      </w:r>
      <w:r>
        <w:rPr>
          <w:rStyle w:val="optioncarChar"/>
        </w:rPr>
        <w:t>/ EI 60 / EI 120 / EI ***</w:t>
      </w:r>
    </w:p>
    <w:p w14:paraId="74BFA5E6" w14:textId="77777777" w:rsidR="00DF410E" w:rsidRDefault="00CE7F43">
      <w:r>
        <w:rPr>
          <w:b/>
        </w:rPr>
        <w:t>Classe d’étanchéité</w:t>
      </w:r>
    </w:p>
    <w:p w14:paraId="774C6289" w14:textId="77777777" w:rsidR="00DF410E" w:rsidRDefault="00CE7F43">
      <w:pPr>
        <w:jc w:val="both"/>
      </w:pPr>
      <w:r>
        <w:t xml:space="preserve">La classe d’étanchéité à l’eau des parois selon la [NBN EN 1992-3] est : </w:t>
      </w:r>
      <w:r>
        <w:rPr>
          <w:rStyle w:val="optioncarChar"/>
        </w:rPr>
        <w:t>classe 0</w:t>
      </w:r>
      <w:r>
        <w:t xml:space="preserve"> (par défaut) </w:t>
      </w:r>
      <w:r>
        <w:rPr>
          <w:rStyle w:val="optioncarChar"/>
        </w:rPr>
        <w:t>/ classe 1 / classe 2 / classe 3</w:t>
      </w:r>
      <w:r>
        <w:t>. Pour la classe 1, l’épaisseur minimale des parois est de 100mm.  Pour les classes 2 et 3, l’épaisseur minimale est de 200mm.</w:t>
      </w:r>
    </w:p>
    <w:p w14:paraId="486D16E2" w14:textId="77777777" w:rsidR="00DF410E" w:rsidRDefault="00DF410E"/>
    <w:p w14:paraId="1C13B259" w14:textId="77777777" w:rsidR="00DF410E" w:rsidRDefault="00CE7F43">
      <w:r>
        <w:t> </w:t>
      </w:r>
    </w:p>
    <w:p w14:paraId="3AADB66E" w14:textId="77777777" w:rsidR="00DF410E" w:rsidRDefault="00CE7F43">
      <w:pPr>
        <w:pStyle w:val="pheading"/>
      </w:pPr>
      <w:r>
        <w:t>- Finitions</w:t>
      </w:r>
    </w:p>
    <w:p w14:paraId="353C7958" w14:textId="77777777" w:rsidR="00DF410E" w:rsidRDefault="00CE7F43">
      <w:r>
        <w:t xml:space="preserve">Les finitions sont décrites dans le [PTV 21-601] (voir également </w:t>
      </w:r>
      <w:hyperlink w:anchor="87" w:history="1">
        <w:r>
          <w:t>22 Superstructures en béton</w:t>
        </w:r>
      </w:hyperlink>
      <w:r>
        <w:t>).</w:t>
      </w:r>
    </w:p>
    <w:p w14:paraId="6C080792" w14:textId="77777777" w:rsidR="00DF410E" w:rsidRDefault="00CE7F43">
      <w:pPr>
        <w:jc w:val="both"/>
      </w:pPr>
      <w:r>
        <w:t>Type de béton préfabriqué avec exigences esthétiques :</w:t>
      </w:r>
      <w:r>
        <w:rPr>
          <w:rStyle w:val="optioncarChar"/>
        </w:rPr>
        <w:t> béton architectonique</w:t>
      </w:r>
      <w:r>
        <w:t> (par défaut) </w:t>
      </w:r>
      <w:r>
        <w:rPr>
          <w:rStyle w:val="optioncarChar"/>
        </w:rPr>
        <w:t>/ béton décoratif industriel</w:t>
      </w:r>
    </w:p>
    <w:p w14:paraId="0B176DBE" w14:textId="77777777" w:rsidR="00DF410E" w:rsidRDefault="00CE7F43">
      <w:pPr>
        <w:jc w:val="both"/>
      </w:pPr>
      <w:r>
        <w:t>Les éléments en béton architectoniques doivent répondre au [PTV 21-601].</w:t>
      </w:r>
    </w:p>
    <w:p w14:paraId="1CD9D5B0" w14:textId="77777777" w:rsidR="00DF410E" w:rsidRDefault="00CE7F43">
      <w:pPr>
        <w:jc w:val="both"/>
      </w:pPr>
      <w:r>
        <w:t>Les éléments en béton décoratif industriel doivent répondre aux Prescriptions complémentaires pour les éléments en béton décoratif industriel de la section </w:t>
      </w:r>
      <w:hyperlink w:anchor="87" w:history="1">
        <w:r>
          <w:t>22 Superstructures en béton</w:t>
        </w:r>
      </w:hyperlink>
      <w:r>
        <w:t>.</w:t>
      </w:r>
    </w:p>
    <w:p w14:paraId="6BE7753C" w14:textId="77777777" w:rsidR="00DF410E" w:rsidRDefault="00CE7F43">
      <w:pPr>
        <w:jc w:val="both"/>
      </w:pPr>
      <w:r>
        <w:t>Description détaillée des éléments :</w:t>
      </w:r>
    </w:p>
    <w:p w14:paraId="298976C2" w14:textId="77777777" w:rsidR="00DF410E" w:rsidRDefault="00CE7F43">
      <w:r>
        <w:t>1.     Couleur : </w:t>
      </w:r>
      <w:r>
        <w:rPr>
          <w:rStyle w:val="optioncarChar"/>
        </w:rPr>
        <w:t>suivant échantillon disponible</w:t>
      </w:r>
      <w:r>
        <w:t> (par défaut)</w:t>
      </w:r>
      <w:r>
        <w:rPr>
          <w:rStyle w:val="optioncarChar"/>
        </w:rPr>
        <w:t> / suivant échantillons à remettre pour approbation par l'architecte / suivant la couleur RAL</w:t>
      </w:r>
    </w:p>
    <w:p w14:paraId="199DC2FA" w14:textId="77777777" w:rsidR="00DF410E" w:rsidRDefault="00CE7F43">
      <w:r>
        <w:rPr>
          <w:b/>
          <w:i/>
        </w:rPr>
        <w:t> (soit par défaut)</w:t>
      </w:r>
    </w:p>
    <w:p w14:paraId="544DA3C5" w14:textId="77777777" w:rsidR="00DF410E" w:rsidRDefault="00CE7F43">
      <w:r>
        <w:rPr>
          <w:rStyle w:val="soitChar"/>
          <w:u w:val="single"/>
        </w:rPr>
        <w:t>Suivant échantillon disponible</w:t>
      </w:r>
      <w:r>
        <w:t> </w:t>
      </w:r>
      <w:r>
        <w:rPr>
          <w:rStyle w:val="optioncarChar"/>
        </w:rPr>
        <w:t>auprès du bureau d’architecte / sur chantier / auprès du fabricant</w:t>
      </w:r>
    </w:p>
    <w:p w14:paraId="4190AA30" w14:textId="77777777" w:rsidR="00DF410E" w:rsidRDefault="00CE7F43">
      <w:r>
        <w:rPr>
          <w:b/>
          <w:i/>
        </w:rPr>
        <w:t>(soit)</w:t>
      </w:r>
    </w:p>
    <w:p w14:paraId="65DDC34F" w14:textId="77777777" w:rsidR="00DF410E" w:rsidRDefault="00CE7F43">
      <w:r>
        <w:rPr>
          <w:rStyle w:val="soitChar"/>
          <w:u w:val="single"/>
        </w:rPr>
        <w:t>Suivant échantillons à remettre pour approbation par l’architecte: </w:t>
      </w:r>
      <w:r>
        <w:t> </w:t>
      </w:r>
      <w:r>
        <w:rPr>
          <w:rStyle w:val="optioncarChar"/>
        </w:rPr>
        <w:t>gris </w:t>
      </w:r>
      <w:r>
        <w:t>(par défaut)</w:t>
      </w:r>
      <w:r>
        <w:rPr>
          <w:rStyle w:val="optioncarChar"/>
        </w:rPr>
        <w:t xml:space="preserve"> / blanc / vert / anthracite / rouge / ***</w:t>
      </w:r>
    </w:p>
    <w:p w14:paraId="079A9FAB" w14:textId="77777777" w:rsidR="00DF410E" w:rsidRDefault="00CE7F43">
      <w:r>
        <w:rPr>
          <w:b/>
          <w:i/>
        </w:rPr>
        <w:t>(soit)</w:t>
      </w:r>
    </w:p>
    <w:p w14:paraId="51EC2129" w14:textId="77777777" w:rsidR="00DF410E" w:rsidRDefault="00CE7F43">
      <w:r>
        <w:rPr>
          <w:rStyle w:val="soitChar"/>
          <w:u w:val="single"/>
        </w:rPr>
        <w:t>Suivant la couleur RAL</w:t>
      </w:r>
      <w:r>
        <w:rPr>
          <w:rStyle w:val="soitChar"/>
        </w:rPr>
        <w:t> se rapprochant le mieux que possible du RAL </w:t>
      </w:r>
      <w:r>
        <w:t> </w:t>
      </w:r>
      <w:r>
        <w:rPr>
          <w:rStyle w:val="optioncarChar"/>
        </w:rPr>
        <w:t>***</w:t>
      </w:r>
    </w:p>
    <w:p w14:paraId="6AC10B04" w14:textId="77777777" w:rsidR="00DF410E" w:rsidRDefault="00CE7F43">
      <w:r>
        <w:t> 2.     Texture : </w:t>
      </w:r>
      <w:r>
        <w:rPr>
          <w:rStyle w:val="optioncarChar"/>
        </w:rPr>
        <w:t>suivant échantillon disponible</w:t>
      </w:r>
      <w:r>
        <w:t> (par défaut)</w:t>
      </w:r>
      <w:r>
        <w:rPr>
          <w:rStyle w:val="optioncarChar"/>
        </w:rPr>
        <w:t> / suivant échantillons à remettre pour approbation par l'architecte</w:t>
      </w:r>
    </w:p>
    <w:p w14:paraId="0AD09297" w14:textId="77777777" w:rsidR="00DF410E" w:rsidRDefault="00CE7F43">
      <w:r>
        <w:rPr>
          <w:b/>
          <w:i/>
        </w:rPr>
        <w:t>(soit par défaut)</w:t>
      </w:r>
    </w:p>
    <w:p w14:paraId="7E94612D" w14:textId="77777777" w:rsidR="00DF410E" w:rsidRDefault="00CE7F43">
      <w:r>
        <w:rPr>
          <w:rStyle w:val="soitChar"/>
          <w:u w:val="single"/>
        </w:rPr>
        <w:t>Suivant échantillon disponible</w:t>
      </w:r>
      <w:r>
        <w:t> </w:t>
      </w:r>
      <w:r>
        <w:rPr>
          <w:rStyle w:val="optioncarChar"/>
        </w:rPr>
        <w:t xml:space="preserve">auprès du bureau d’architecte </w:t>
      </w:r>
      <w:r>
        <w:t>(par défaut) </w:t>
      </w:r>
      <w:r>
        <w:rPr>
          <w:rStyle w:val="optioncarChar"/>
        </w:rPr>
        <w:t>/ sur chantier / auprès du fabricant</w:t>
      </w:r>
    </w:p>
    <w:p w14:paraId="1D60EFA4" w14:textId="77777777" w:rsidR="00DF410E" w:rsidRDefault="00CE7F43">
      <w:r>
        <w:rPr>
          <w:b/>
          <w:i/>
        </w:rPr>
        <w:t>(soit)</w:t>
      </w:r>
    </w:p>
    <w:p w14:paraId="2AD61675" w14:textId="77777777" w:rsidR="00DF410E" w:rsidRDefault="00CE7F43">
      <w:r>
        <w:rPr>
          <w:rStyle w:val="soitChar"/>
          <w:u w:val="single"/>
        </w:rPr>
        <w:t>Echantillons à remettre pour approbation par l’architecte: </w:t>
      </w:r>
      <w:r>
        <w:t> </w:t>
      </w:r>
    </w:p>
    <w:p w14:paraId="722862F6" w14:textId="77777777" w:rsidR="00DF410E" w:rsidRDefault="00CE7F43">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12697D1E" w14:textId="77777777" w:rsidR="00DF410E" w:rsidRDefault="00CE7F43">
      <w:r>
        <w:t>3.     Terminaison des arêtes</w:t>
      </w:r>
    </w:p>
    <w:p w14:paraId="73F1A436" w14:textId="77777777" w:rsidR="00DF410E" w:rsidRDefault="00CE7F43">
      <w:r>
        <w:t>Les arêtes saillantes des parois sont </w:t>
      </w:r>
      <w:r>
        <w:rPr>
          <w:rStyle w:val="optioncarChar"/>
        </w:rPr>
        <w:t>chanfreinées en triangle </w:t>
      </w:r>
      <w:r>
        <w:t>(par défaut)</w:t>
      </w:r>
      <w:r>
        <w:rPr>
          <w:rStyle w:val="optioncarChar"/>
        </w:rPr>
        <w:t xml:space="preserve"> /chanfreinées en arrondi / vives</w:t>
      </w:r>
    </w:p>
    <w:p w14:paraId="1835B44A" w14:textId="77777777" w:rsidR="00DF410E" w:rsidRDefault="00CE7F43">
      <w:r>
        <w:rPr>
          <w:b/>
          <w:i/>
        </w:rPr>
        <w:t>(soit)</w:t>
      </w:r>
    </w:p>
    <w:p w14:paraId="5F523A58" w14:textId="77777777" w:rsidR="00DF410E" w:rsidRDefault="00CE7F43">
      <w:r>
        <w:br/>
      </w:r>
      <w:r>
        <w:rPr>
          <w:rStyle w:val="soitChar"/>
          <w:u w:val="single"/>
        </w:rPr>
        <w:t>chanfreinées en triangle</w:t>
      </w:r>
      <w:r>
        <w:br/>
      </w:r>
      <w:r>
        <w:rPr>
          <w:rStyle w:val="soitChar"/>
        </w:rPr>
        <w:t>Les arêtes sont cassées au moyen d'un chanfrein de</w:t>
      </w:r>
      <w:r>
        <w:rPr>
          <w:rStyle w:val="optioncarChar"/>
        </w:rPr>
        <w:t>1,5 x 1,5</w:t>
      </w:r>
      <w:r>
        <w:t> (par défaut)</w:t>
      </w:r>
      <w:r>
        <w:rPr>
          <w:rStyle w:val="optioncarChar"/>
        </w:rPr>
        <w:t xml:space="preserve"> / 2,5 x 2,5 / *** cm x *** cm.</w:t>
      </w:r>
    </w:p>
    <w:p w14:paraId="70953C66" w14:textId="77777777" w:rsidR="00DF410E" w:rsidRDefault="00CE7F43">
      <w:r>
        <w:br/>
      </w:r>
      <w:r>
        <w:rPr>
          <w:b/>
          <w:i/>
        </w:rPr>
        <w:t>(soit)</w:t>
      </w:r>
    </w:p>
    <w:p w14:paraId="283B0D9E" w14:textId="77777777" w:rsidR="00DF410E" w:rsidRDefault="00CE7F43">
      <w:r>
        <w:br/>
      </w:r>
      <w:r>
        <w:rPr>
          <w:rStyle w:val="soitChar"/>
          <w:u w:val="single"/>
        </w:rPr>
        <w:t>chanfreinées en arrondi</w:t>
      </w:r>
      <w:r>
        <w:br/>
      </w:r>
      <w:r>
        <w:rPr>
          <w:rStyle w:val="soitChar"/>
        </w:rPr>
        <w:t>Les arêtes sont cassées au moyen d'un chanfrein de rayon</w:t>
      </w:r>
      <w:r>
        <w:rPr>
          <w:rStyle w:val="optioncarChar"/>
        </w:rPr>
        <w:t>1,5 </w:t>
      </w:r>
      <w:r>
        <w:t>(par défaut)</w:t>
      </w:r>
      <w:r>
        <w:rPr>
          <w:rStyle w:val="optioncarChar"/>
        </w:rPr>
        <w:t xml:space="preserve"> / 2,5 / ***cm</w:t>
      </w:r>
      <w:r>
        <w:t> .</w:t>
      </w:r>
    </w:p>
    <w:p w14:paraId="7C8623E9" w14:textId="77777777" w:rsidR="00DF410E" w:rsidRDefault="00CE7F43">
      <w:r>
        <w:br/>
      </w:r>
      <w:r>
        <w:rPr>
          <w:b/>
          <w:i/>
        </w:rPr>
        <w:t>(soit)</w:t>
      </w:r>
    </w:p>
    <w:p w14:paraId="411CA6B8" w14:textId="77777777" w:rsidR="00DF410E" w:rsidRDefault="00CE7F43">
      <w:r>
        <w:br/>
      </w:r>
      <w:r>
        <w:rPr>
          <w:rStyle w:val="soitChar"/>
          <w:u w:val="single"/>
        </w:rPr>
        <w:t>vives</w:t>
      </w:r>
    </w:p>
    <w:p w14:paraId="0334AB1A" w14:textId="77777777" w:rsidR="00DF410E" w:rsidRDefault="00CE7F43">
      <w:pPr>
        <w:pStyle w:val="pheading"/>
      </w:pPr>
      <w:r>
        <w:t>EXÉCUTION / MISE EN ŒUVRE</w:t>
      </w:r>
    </w:p>
    <w:p w14:paraId="1694B826" w14:textId="77777777" w:rsidR="00DF410E" w:rsidRDefault="00CE7F43">
      <w:pPr>
        <w:pStyle w:val="pheading"/>
      </w:pPr>
      <w:r>
        <w:t>- Prescriptions générales</w:t>
      </w:r>
    </w:p>
    <w:p w14:paraId="62694A05" w14:textId="77777777" w:rsidR="00DF410E" w:rsidRDefault="00CE7F43">
      <w:pPr>
        <w:jc w:val="both"/>
      </w:pPr>
      <w:r>
        <w:t>Le plan de pose doit être approuvé par l’entrepreneur ou le bureau d’études.</w:t>
      </w:r>
    </w:p>
    <w:p w14:paraId="7C4985D8" w14:textId="77777777" w:rsidR="00DF410E" w:rsidRDefault="00CE7F43">
      <w:pPr>
        <w:jc w:val="both"/>
      </w:pPr>
      <w:r>
        <w:t>Les parois sont fabriquées dans les dimensions indiquées sur les plans d’exécution approuvés.</w:t>
      </w:r>
    </w:p>
    <w:p w14:paraId="2BA09C1E" w14:textId="77777777" w:rsidR="00DF410E" w:rsidRDefault="00CE7F43">
      <w:pPr>
        <w:jc w:val="both"/>
      </w:pPr>
      <w:r>
        <w:t>La mise en œuvre est conforme aux normes [NBN EN 13670] et [NBN B 15-400].</w:t>
      </w:r>
    </w:p>
    <w:p w14:paraId="4B91ED0F" w14:textId="77777777" w:rsidR="00DF410E" w:rsidRDefault="00CE7F43">
      <w:pPr>
        <w:jc w:val="both"/>
      </w:pPr>
      <w:r>
        <w:t>L’alignement des parois est réalisé au moyens d’étais et de madriers en bois parfaitement alignés.</w:t>
      </w:r>
    </w:p>
    <w:p w14:paraId="38404133" w14:textId="77777777" w:rsidR="00DF410E" w:rsidRDefault="00CE7F43">
      <w:pPr>
        <w:jc w:val="both"/>
      </w:pPr>
      <w:r>
        <w:t>Le sol/support devra être non travaillé et stable.</w:t>
      </w:r>
    </w:p>
    <w:p w14:paraId="141218D2" w14:textId="77777777" w:rsidR="00DF410E" w:rsidRDefault="00CE7F43">
      <w:pPr>
        <w:jc w:val="both"/>
      </w:pPr>
      <w:r>
        <w:t>La verticalité doit être garantie par la pose préalable de madrier en bois</w:t>
      </w:r>
    </w:p>
    <w:p w14:paraId="154EFB38" w14:textId="77777777" w:rsidR="00DF410E" w:rsidRDefault="00CE7F43">
      <w:pPr>
        <w:jc w:val="both"/>
      </w:pPr>
      <w:r>
        <w:t>Si les parois doivent être étanches à l’eau, il y a lieu que la mise en œuvre soit conforme à la [NIT 247] et à la [NIT 250].</w:t>
      </w:r>
    </w:p>
    <w:p w14:paraId="12085F66" w14:textId="77777777" w:rsidR="00DF410E" w:rsidRDefault="00CE7F43">
      <w:pPr>
        <w:pStyle w:val="pheading"/>
      </w:pPr>
      <w:r>
        <w:t>DOCUMENTS DE RÉFÉRENCE COMPLÉMENTAIRES</w:t>
      </w:r>
    </w:p>
    <w:p w14:paraId="66408D8A" w14:textId="77777777" w:rsidR="00DF410E" w:rsidRDefault="00CE7F43">
      <w:pPr>
        <w:pStyle w:val="pheading"/>
      </w:pPr>
      <w:r>
        <w:t>- Matériau</w:t>
      </w:r>
    </w:p>
    <w:p w14:paraId="5582DDE5" w14:textId="77777777" w:rsidR="00DF410E" w:rsidRDefault="00CE7F43">
      <w:r>
        <w:t>[NBN EN 14992+A1, Produits préfabriqués en béton - Eléments de mur]</w:t>
      </w:r>
      <w:r>
        <w:br/>
      </w:r>
      <w:r>
        <w:br/>
        <w:t>[RA 21-612, Règlement d'application Benor - Produits préfabriqués en béton - Eléments de murs]</w:t>
      </w:r>
      <w:r>
        <w:br/>
      </w:r>
      <w:r>
        <w:br/>
        <w:t>[Buildwise Méthode de dimensionnement Rapport 10, Sécurité et mise en oeuvre d'éléments préfabriqués en béton]</w:t>
      </w:r>
    </w:p>
    <w:p w14:paraId="18877036" w14:textId="77777777" w:rsidR="00DF410E" w:rsidRDefault="00CE7F43">
      <w:r>
        <w:t>[PTV 21-601, Eléments préfabriqués en béton architectonique.]</w:t>
      </w:r>
    </w:p>
    <w:p w14:paraId="1EE88F2D" w14:textId="77777777" w:rsidR="00DF410E" w:rsidRDefault="00CE7F43">
      <w:r>
        <w:t>[NBN EN 206:2013+A2, Béton - Spécification, performances, production et conformité]</w:t>
      </w:r>
    </w:p>
    <w:p w14:paraId="5AC976BB" w14:textId="77777777" w:rsidR="00DF410E" w:rsidRDefault="00CE7F43">
      <w:r>
        <w:t>[NBN B 15-001, Béton - Spécification, performances, production et conformité - Complément national à la NBN EN 206:2013+A2:2021]</w:t>
      </w:r>
    </w:p>
    <w:p w14:paraId="7DDCC569" w14:textId="77777777" w:rsidR="00DF410E" w:rsidRDefault="00DF410E"/>
    <w:p w14:paraId="198E596A" w14:textId="77777777" w:rsidR="00DF410E" w:rsidRDefault="00CE7F43">
      <w:r>
        <w:t> </w:t>
      </w:r>
    </w:p>
    <w:p w14:paraId="0508EC30" w14:textId="77777777" w:rsidR="00DF410E" w:rsidRDefault="00CE7F43">
      <w:pPr>
        <w:pStyle w:val="pheading"/>
      </w:pPr>
      <w:r>
        <w:t>- Exécution</w:t>
      </w:r>
    </w:p>
    <w:p w14:paraId="42599526" w14:textId="77777777" w:rsidR="00DF410E" w:rsidRDefault="00CE7F43">
      <w:r>
        <w:t>[NIT 247, Conception et exécution des ouvrages étanches en béton]</w:t>
      </w:r>
    </w:p>
    <w:p w14:paraId="01BBB6FD" w14:textId="77777777" w:rsidR="00DF410E" w:rsidRDefault="00CE7F43">
      <w:r>
        <w:t>[NIT 250, Détails de référence pour les constructions enterrées]</w:t>
      </w:r>
    </w:p>
    <w:p w14:paraId="1967B5C5" w14:textId="77777777" w:rsidR="00DF410E" w:rsidRDefault="00CE7F43">
      <w:r>
        <w:t>[NBN EN 13670, Exécution des structures en béton]</w:t>
      </w:r>
    </w:p>
    <w:p w14:paraId="3AB50057" w14:textId="77777777" w:rsidR="00DF410E" w:rsidRDefault="00CE7F43">
      <w:r>
        <w:t>[NBN B 15-400, Exécution des structures en béton - Supplément national à la NBN EN 13670:2010]</w:t>
      </w:r>
    </w:p>
    <w:p w14:paraId="4CDAD5CF" w14:textId="77777777" w:rsidR="00DF410E" w:rsidRDefault="00CE7F43">
      <w:r>
        <w:t>[NBN EN 13369:2023, Règles communes pour les produits préfabriqués en béton]</w:t>
      </w:r>
    </w:p>
    <w:p w14:paraId="024935A1" w14:textId="77777777" w:rsidR="00DF410E" w:rsidRDefault="00CE7F43">
      <w:r>
        <w:t>[NBN B 21-600, Règles communes pour les produits préfabriqués en béton - Complément national à la NBN EN 13369:2004+A1:2006+AC:2006]</w:t>
      </w:r>
    </w:p>
    <w:p w14:paraId="4D9B0348" w14:textId="77777777" w:rsidR="00DF410E" w:rsidRDefault="00CE7F43">
      <w:pPr>
        <w:pStyle w:val="pheading"/>
      </w:pPr>
      <w:r>
        <w:t>MESURAGE</w:t>
      </w:r>
    </w:p>
    <w:p w14:paraId="4ED9B7ED" w14:textId="77777777" w:rsidR="00DF410E" w:rsidRDefault="00CE7F43">
      <w:pPr>
        <w:pStyle w:val="pheading"/>
      </w:pPr>
      <w:r>
        <w:t>- unité de mesure:</w:t>
      </w:r>
    </w:p>
    <w:p w14:paraId="1171D69E" w14:textId="77777777" w:rsidR="00DF410E" w:rsidRDefault="00CE7F43">
      <w:r>
        <w:rPr>
          <w:rStyle w:val="optioncarChar"/>
        </w:rPr>
        <w:t>m³</w:t>
      </w:r>
      <w:r>
        <w:t> (par défaut) </w:t>
      </w:r>
      <w:r>
        <w:rPr>
          <w:rStyle w:val="optioncarChar"/>
        </w:rPr>
        <w:t>/ pc / m / m² </w:t>
      </w:r>
    </w:p>
    <w:p w14:paraId="574324DE" w14:textId="77777777" w:rsidR="00DF410E" w:rsidRDefault="00CE7F43">
      <w:r>
        <w:rPr>
          <w:b/>
          <w:i/>
        </w:rPr>
        <w:t>(Soit par défaut)</w:t>
      </w:r>
    </w:p>
    <w:p w14:paraId="45EA3EB3" w14:textId="77777777" w:rsidR="00DF410E" w:rsidRDefault="00CE7F43">
      <w:r>
        <w:rPr>
          <w:rStyle w:val="soitChar"/>
        </w:rPr>
        <w:t>1. m³</w:t>
      </w:r>
    </w:p>
    <w:p w14:paraId="46744200" w14:textId="77777777" w:rsidR="00DF410E" w:rsidRDefault="00CE7F43">
      <w:r>
        <w:rPr>
          <w:b/>
          <w:i/>
        </w:rPr>
        <w:t>(Soit)</w:t>
      </w:r>
    </w:p>
    <w:p w14:paraId="7514E632" w14:textId="77777777" w:rsidR="00DF410E" w:rsidRDefault="00CE7F43">
      <w:r>
        <w:rPr>
          <w:rStyle w:val="soitChar"/>
        </w:rPr>
        <w:t>2. pc</w:t>
      </w:r>
    </w:p>
    <w:p w14:paraId="3DCFF118" w14:textId="77777777" w:rsidR="00DF410E" w:rsidRDefault="00CE7F43">
      <w:r>
        <w:rPr>
          <w:b/>
          <w:i/>
        </w:rPr>
        <w:t>(Soit)</w:t>
      </w:r>
    </w:p>
    <w:p w14:paraId="6D60F2F8" w14:textId="77777777" w:rsidR="00DF410E" w:rsidRDefault="00CE7F43">
      <w:r>
        <w:rPr>
          <w:rStyle w:val="soitChar"/>
        </w:rPr>
        <w:t>3. m</w:t>
      </w:r>
    </w:p>
    <w:p w14:paraId="3B55F859" w14:textId="77777777" w:rsidR="00DF410E" w:rsidRDefault="00CE7F43">
      <w:r>
        <w:rPr>
          <w:b/>
          <w:i/>
        </w:rPr>
        <w:t>(Soit)</w:t>
      </w:r>
    </w:p>
    <w:p w14:paraId="6C2549AB" w14:textId="77777777" w:rsidR="00DF410E" w:rsidRDefault="00CE7F43">
      <w:r>
        <w:rPr>
          <w:rStyle w:val="soitChar"/>
        </w:rPr>
        <w:t>4. m²</w:t>
      </w:r>
    </w:p>
    <w:p w14:paraId="6D880F11" w14:textId="77777777" w:rsidR="00DF410E" w:rsidRDefault="00CE7F43">
      <w:pPr>
        <w:pStyle w:val="pheading"/>
      </w:pPr>
      <w:r>
        <w:t>- code de mesurage:</w:t>
      </w:r>
    </w:p>
    <w:p w14:paraId="17B6F963" w14:textId="77777777" w:rsidR="00DF410E" w:rsidRDefault="00CE7F43">
      <w:r>
        <w:rPr>
          <w:rStyle w:val="optioncarChar"/>
        </w:rPr>
        <w:t>Volume net </w:t>
      </w:r>
      <w:r>
        <w:t>(par défaut)</w:t>
      </w:r>
      <w:r>
        <w:rPr>
          <w:rStyle w:val="optioncarChar"/>
        </w:rPr>
        <w:t> / quantité nette / longueur nette / surface nette</w:t>
      </w:r>
    </w:p>
    <w:p w14:paraId="618A0854" w14:textId="77777777" w:rsidR="00DF410E" w:rsidRDefault="00CE7F43">
      <w:r>
        <w:rPr>
          <w:b/>
          <w:i/>
        </w:rPr>
        <w:t>(Soit par défaut)</w:t>
      </w:r>
    </w:p>
    <w:p w14:paraId="076E75A8" w14:textId="77777777" w:rsidR="00DF410E" w:rsidRDefault="00CE7F43">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33A45A2A" w14:textId="77777777" w:rsidR="00DF410E" w:rsidRDefault="00CE7F43">
      <w:r>
        <w:rPr>
          <w:rStyle w:val="soitChar"/>
        </w:rPr>
        <w:t>Aucune déduction n'est faite pour:</w:t>
      </w:r>
    </w:p>
    <w:p w14:paraId="4323D693" w14:textId="77777777" w:rsidR="00DF410E" w:rsidRDefault="00CE7F43">
      <w:pPr>
        <w:pStyle w:val="Author-eListParagraph"/>
        <w:numPr>
          <w:ilvl w:val="0"/>
          <w:numId w:val="522"/>
        </w:numPr>
      </w:pPr>
      <w:r>
        <w:rPr>
          <w:rStyle w:val="soitChar"/>
        </w:rPr>
        <w:t>le volume des armatures,</w:t>
      </w:r>
    </w:p>
    <w:p w14:paraId="50EB8CA9" w14:textId="77777777" w:rsidR="00DF410E" w:rsidRDefault="00CE7F43">
      <w:pPr>
        <w:pStyle w:val="Author-eListParagraph"/>
        <w:numPr>
          <w:ilvl w:val="0"/>
          <w:numId w:val="522"/>
        </w:numPr>
      </w:pPr>
      <w:r>
        <w:rPr>
          <w:rStyle w:val="soitChar"/>
        </w:rPr>
        <w:t>les blocs et écarteurs, les fourreaux pour les armatures de précontrainte ;</w:t>
      </w:r>
    </w:p>
    <w:p w14:paraId="777FFF44" w14:textId="77777777" w:rsidR="00DF410E" w:rsidRDefault="00CE7F43">
      <w:pPr>
        <w:pStyle w:val="Author-eListParagraph"/>
        <w:numPr>
          <w:ilvl w:val="0"/>
          <w:numId w:val="522"/>
        </w:numPr>
      </w:pPr>
      <w:r>
        <w:rPr>
          <w:rStyle w:val="soitChar"/>
        </w:rPr>
        <w:t>les pénétrations pour les pattes d’ancrage, les creux, les conduites noyées et les réservations dont le volume est inférieur à 0,05 m3.</w:t>
      </w:r>
    </w:p>
    <w:p w14:paraId="0470C5AC" w14:textId="77777777" w:rsidR="00DF410E" w:rsidRDefault="00CE7F43">
      <w:pPr>
        <w:pStyle w:val="Author-eListParagraph"/>
        <w:numPr>
          <w:ilvl w:val="0"/>
          <w:numId w:val="522"/>
        </w:numPr>
      </w:pPr>
      <w:r>
        <w:rPr>
          <w:rStyle w:val="soitChar"/>
        </w:rPr>
        <w:t>les chanfreins et tous les profils dont la section a une superficie inférieure à 20 cm2.</w:t>
      </w:r>
    </w:p>
    <w:p w14:paraId="755C1599" w14:textId="77777777" w:rsidR="00DF410E" w:rsidRDefault="00CE7F43">
      <w:pPr>
        <w:pStyle w:val="Author-eListParagraph"/>
        <w:numPr>
          <w:ilvl w:val="0"/>
          <w:numId w:val="522"/>
        </w:numPr>
      </w:pPr>
      <w:r>
        <w:rPr>
          <w:rStyle w:val="soitChar"/>
        </w:rPr>
        <w:t>les rainures, encoches et languettes.</w:t>
      </w:r>
    </w:p>
    <w:p w14:paraId="68B57EAC" w14:textId="77777777" w:rsidR="00DF410E" w:rsidRDefault="00CE7F43">
      <w:r>
        <w:rPr>
          <w:b/>
          <w:i/>
        </w:rPr>
        <w:t>(Soit)</w:t>
      </w:r>
    </w:p>
    <w:p w14:paraId="15C98280" w14:textId="77777777" w:rsidR="00DF410E" w:rsidRDefault="00CE7F43">
      <w:r>
        <w:t>2. Quantité nette</w:t>
      </w:r>
    </w:p>
    <w:p w14:paraId="6EA01F32" w14:textId="77777777" w:rsidR="00DF410E" w:rsidRDefault="00CE7F43">
      <w:r>
        <w:rPr>
          <w:b/>
          <w:i/>
        </w:rPr>
        <w:t>(Soit)</w:t>
      </w:r>
    </w:p>
    <w:p w14:paraId="0FD9B1EF" w14:textId="77777777" w:rsidR="00DF410E" w:rsidRDefault="00CE7F43">
      <w:r>
        <w:t>3. Longueur nette</w:t>
      </w:r>
    </w:p>
    <w:p w14:paraId="2D8BDF8A" w14:textId="77777777" w:rsidR="00DF410E" w:rsidRDefault="00CE7F43">
      <w:r>
        <w:rPr>
          <w:b/>
          <w:i/>
        </w:rPr>
        <w:t>(Soit)</w:t>
      </w:r>
    </w:p>
    <w:p w14:paraId="6A0B7012" w14:textId="77777777" w:rsidR="00DF410E" w:rsidRDefault="00CE7F43">
      <w:r>
        <w:t>4. Surface nette</w:t>
      </w:r>
    </w:p>
    <w:p w14:paraId="53D7528E" w14:textId="77777777" w:rsidR="00DF410E" w:rsidRDefault="00CE7F43">
      <w:pPr>
        <w:pStyle w:val="pheading"/>
      </w:pPr>
      <w:r>
        <w:t>- nature du marché:</w:t>
      </w:r>
    </w:p>
    <w:p w14:paraId="068700A2" w14:textId="77777777" w:rsidR="00DF410E" w:rsidRDefault="00CE7F43">
      <w:r>
        <w:rPr>
          <w:rStyle w:val="optioncarChar"/>
        </w:rPr>
        <w:t>QF</w:t>
      </w:r>
      <w:r>
        <w:t xml:space="preserve"> (par défaut)</w:t>
      </w:r>
      <w:r>
        <w:rPr>
          <w:rStyle w:val="optioncarChar"/>
        </w:rPr>
        <w:t xml:space="preserve"> / QP</w:t>
      </w:r>
    </w:p>
    <w:p w14:paraId="043001AD" w14:textId="77777777" w:rsidR="00DF410E" w:rsidRDefault="00CE7F43">
      <w:r>
        <w:rPr>
          <w:b/>
          <w:i/>
        </w:rPr>
        <w:t>(Soit par défaut)</w:t>
      </w:r>
    </w:p>
    <w:p w14:paraId="40BCED84" w14:textId="77777777" w:rsidR="00DF410E" w:rsidRDefault="00CE7F43">
      <w:r>
        <w:rPr>
          <w:rStyle w:val="soitChar"/>
        </w:rPr>
        <w:t>1. 2. 3. 4. QF</w:t>
      </w:r>
    </w:p>
    <w:p w14:paraId="2AF0A61D" w14:textId="77777777" w:rsidR="00DF410E" w:rsidRDefault="00CE7F43">
      <w:r>
        <w:rPr>
          <w:b/>
          <w:i/>
        </w:rPr>
        <w:t>(Soit)</w:t>
      </w:r>
    </w:p>
    <w:p w14:paraId="6D21731C" w14:textId="77777777" w:rsidR="00DF410E" w:rsidRDefault="00CE7F43">
      <w:r>
        <w:rPr>
          <w:rStyle w:val="soitChar"/>
        </w:rPr>
        <w:t>1. 2. 3. 4. QP</w:t>
      </w:r>
    </w:p>
    <w:p w14:paraId="3749EB70" w14:textId="77777777" w:rsidR="00DF410E" w:rsidRDefault="00CE7F43">
      <w:pPr>
        <w:pStyle w:val="Author-eSectionHeading6"/>
      </w:pPr>
      <w:bookmarkStart w:id="758" w:name="_Toc178837919"/>
      <w:r>
        <w:t>22.16.4c Parois préfabriquées avec éléments de revêtement intégrés en béton décoratif / architectonique CCTB 01.11</w:t>
      </w:r>
      <w:bookmarkEnd w:id="758"/>
    </w:p>
    <w:p w14:paraId="29DA01AE" w14:textId="77777777" w:rsidR="00DF410E" w:rsidRDefault="00CE7F43">
      <w:pPr>
        <w:pStyle w:val="pheading"/>
      </w:pPr>
      <w:r>
        <w:t>DESCRIPTION</w:t>
      </w:r>
    </w:p>
    <w:p w14:paraId="2B7F2975" w14:textId="77777777" w:rsidR="00DF410E" w:rsidRDefault="00CE7F43">
      <w:pPr>
        <w:pStyle w:val="pheading"/>
      </w:pPr>
      <w:r>
        <w:t>- Définition / Comprend</w:t>
      </w:r>
    </w:p>
    <w:p w14:paraId="48663EA7" w14:textId="77777777" w:rsidR="00DF410E" w:rsidRDefault="00CE7F43">
      <w:pPr>
        <w:jc w:val="both"/>
      </w:pPr>
      <w:r>
        <w:t xml:space="preserve">Cet article vise la fourniture et la pose de parois préfabriqués en béton architectonique et </w:t>
      </w:r>
      <w:r>
        <w:rPr>
          <w:rStyle w:val="optioncarChar"/>
        </w:rPr>
        <w:t>béton armé</w:t>
      </w:r>
      <w:r>
        <w:t xml:space="preserve"> (par défaut) </w:t>
      </w:r>
      <w:r>
        <w:rPr>
          <w:rStyle w:val="optioncarChar"/>
        </w:rPr>
        <w:t>/ béton précontraint</w:t>
      </w:r>
      <w:r>
        <w:t xml:space="preserve"> de forme quelconque comportant armatures et inserts.  La portée des travaux est décrite dans l’élément </w:t>
      </w:r>
      <w:hyperlink w:anchor="502" w:history="1">
        <w:r>
          <w:t>22.16.4 Parois préfabriquées en béton architectonique</w:t>
        </w:r>
      </w:hyperlink>
      <w:r>
        <w:t>.</w:t>
      </w:r>
    </w:p>
    <w:p w14:paraId="157E5BA5" w14:textId="77777777" w:rsidR="00DF410E" w:rsidRDefault="00CE7F43">
      <w:pPr>
        <w:pStyle w:val="pheading"/>
      </w:pPr>
      <w:r>
        <w:t>- Localisation</w:t>
      </w:r>
    </w:p>
    <w:p w14:paraId="2B8E8DA7" w14:textId="77777777" w:rsidR="00DF410E" w:rsidRDefault="00CE7F43">
      <w:r>
        <w:t xml:space="preserve">La pose est réalisée aux endroits suivants : </w:t>
      </w:r>
      <w:r>
        <w:rPr>
          <w:rStyle w:val="optioncarChar"/>
        </w:rPr>
        <w:t>***</w:t>
      </w:r>
      <w:r>
        <w:t>.</w:t>
      </w:r>
    </w:p>
    <w:p w14:paraId="16DD08CD" w14:textId="77777777" w:rsidR="00DF410E" w:rsidRDefault="00CE7F43">
      <w:r>
        <w:t>Voir plans et métrés détaillés.</w:t>
      </w:r>
    </w:p>
    <w:p w14:paraId="38A75EBD" w14:textId="77777777" w:rsidR="00DF410E" w:rsidRDefault="00CE7F43">
      <w:pPr>
        <w:pStyle w:val="pheading"/>
      </w:pPr>
      <w:r>
        <w:t>MATÉRIAUX</w:t>
      </w:r>
    </w:p>
    <w:p w14:paraId="07EA5054" w14:textId="77777777" w:rsidR="00DF410E" w:rsidRDefault="00CE7F43">
      <w:pPr>
        <w:pStyle w:val="pheading"/>
      </w:pPr>
      <w:r>
        <w:t>- Caractéristiques générales</w:t>
      </w:r>
    </w:p>
    <w:p w14:paraId="43186DEC" w14:textId="77777777" w:rsidR="00DF410E" w:rsidRDefault="00CE7F43">
      <w:pPr>
        <w:jc w:val="both"/>
      </w:pPr>
      <w:r>
        <w:t xml:space="preserve">Dimensions : </w:t>
      </w:r>
      <w:r>
        <w:rPr>
          <w:rStyle w:val="optioncarChar"/>
        </w:rPr>
        <w:t>en fonction des résultats de l’étude de stabilité</w:t>
      </w:r>
      <w:r>
        <w:t xml:space="preserve"> (par défaut)</w:t>
      </w:r>
      <w:r>
        <w:rPr>
          <w:rStyle w:val="optioncarChar"/>
        </w:rPr>
        <w:t> / l’épaisseur de béton de la paroi ***</w:t>
      </w:r>
      <w:r>
        <w:t xml:space="preserve"> cm</w:t>
      </w:r>
    </w:p>
    <w:p w14:paraId="1B3DD48C" w14:textId="77777777" w:rsidR="00DF410E" w:rsidRDefault="00CE7F43">
      <w:pPr>
        <w:jc w:val="both"/>
      </w:pPr>
      <w:r>
        <w:t>Les matériaux utilisés sont conformes à la [NBN EN 14992+A1] et à la [NBN B 21-612].</w:t>
      </w:r>
    </w:p>
    <w:p w14:paraId="2E0FC239" w14:textId="77777777" w:rsidR="00DF410E" w:rsidRDefault="00CE7F43">
      <w:pPr>
        <w:jc w:val="both"/>
      </w:pPr>
      <w:r>
        <w:t>La qualité du béton est conforme à la [NBN EN 206:2013+A2] et à la [NBN B 15-001]</w:t>
      </w:r>
    </w:p>
    <w:p w14:paraId="2D9AC380" w14:textId="77777777" w:rsidR="00DF410E" w:rsidRDefault="00CE7F43">
      <w:pPr>
        <w:jc w:val="both"/>
      </w:pPr>
      <w:r>
        <w:t xml:space="preserve">La classe de résistance minimale du béton est </w:t>
      </w:r>
      <w:r>
        <w:rPr>
          <w:rStyle w:val="optioncarChar"/>
        </w:rPr>
        <w:t>suivant l’étude de stabilité </w:t>
      </w:r>
      <w:r>
        <w:t>(par défaut)</w:t>
      </w:r>
      <w:r>
        <w:rPr>
          <w:rStyle w:val="optioncarChar"/>
        </w:rPr>
        <w:t xml:space="preserve"> / C30/37 / ***</w:t>
      </w:r>
    </w:p>
    <w:p w14:paraId="254AC138" w14:textId="77777777" w:rsidR="00DF410E" w:rsidRDefault="00CE7F43">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3FE35244" w14:textId="77777777" w:rsidR="00DF410E" w:rsidRDefault="00CE7F43">
      <w:pPr>
        <w:jc w:val="both"/>
      </w:pPr>
      <w:r>
        <w:t> </w:t>
      </w:r>
    </w:p>
    <w:p w14:paraId="0ED7DB24" w14:textId="77777777" w:rsidR="00DF410E" w:rsidRDefault="00CE7F43">
      <w:pPr>
        <w:jc w:val="both"/>
      </w:pPr>
      <w:r>
        <w:rPr>
          <w:b/>
        </w:rPr>
        <w:t>Résistance au feu des parois</w:t>
      </w:r>
    </w:p>
    <w:p w14:paraId="09FE9ECA" w14:textId="77777777" w:rsidR="00DF410E" w:rsidRDefault="00CE7F43">
      <w:pPr>
        <w:jc w:val="both"/>
      </w:pPr>
      <w:r>
        <w:t>Résistance au feu suivant la déclaration de performance (DoP) selon la norme produit [NBN EN 14992+A1] et [NBN B 21-612].</w:t>
      </w:r>
    </w:p>
    <w:p w14:paraId="081E7365" w14:textId="77777777" w:rsidR="00DF410E" w:rsidRDefault="00CE7F43">
      <w:pPr>
        <w:jc w:val="both"/>
      </w:pPr>
      <w:r>
        <w:t>Si la résistance au feu n’est pas déclarée sous marquage CE, elle est démontrée au moyen d’un essai au feu selon la [NBN EN 13501-2] ou par calcul selon les Eurocodes conformément à l’[AM 2013-05-17]</w:t>
      </w:r>
    </w:p>
    <w:p w14:paraId="133D8C29" w14:textId="77777777" w:rsidR="00DF410E" w:rsidRDefault="00CE7F43">
      <w:pPr>
        <w:pStyle w:val="Author-eListParagraph"/>
        <w:numPr>
          <w:ilvl w:val="0"/>
          <w:numId w:val="523"/>
        </w:numPr>
      </w:pPr>
      <w:r>
        <w:t>pour les éléments porteurs sans fonction séparant :</w:t>
      </w:r>
      <w:r>
        <w:rPr>
          <w:rStyle w:val="optioncarChar"/>
        </w:rPr>
        <w:t xml:space="preserve"> R15 / R30 </w:t>
      </w:r>
      <w:r>
        <w:t>(par défaut)</w:t>
      </w:r>
      <w:r>
        <w:rPr>
          <w:rStyle w:val="optioncarChar"/>
        </w:rPr>
        <w:t xml:space="preserve"> / R60 / R120 / R ***</w:t>
      </w:r>
    </w:p>
    <w:p w14:paraId="3B36C9A7" w14:textId="77777777" w:rsidR="00DF410E" w:rsidRDefault="00CE7F43">
      <w:pPr>
        <w:pStyle w:val="Author-eListParagraph"/>
        <w:numPr>
          <w:ilvl w:val="0"/>
          <w:numId w:val="523"/>
        </w:numPr>
      </w:pPr>
      <w:r>
        <w:t xml:space="preserve">pour les éléments porteurs avec fonction séparant : </w:t>
      </w:r>
      <w:r>
        <w:rPr>
          <w:rStyle w:val="optioncarChar"/>
        </w:rPr>
        <w:t>REI 30 </w:t>
      </w:r>
      <w:r>
        <w:t xml:space="preserve">(par défaut) </w:t>
      </w:r>
      <w:r>
        <w:rPr>
          <w:rStyle w:val="optioncarChar"/>
        </w:rPr>
        <w:t>/ REI 60 / REI 120 / REI *** </w:t>
      </w:r>
    </w:p>
    <w:p w14:paraId="3FE2CD75" w14:textId="77777777" w:rsidR="00DF410E" w:rsidRDefault="00CE7F43">
      <w:pPr>
        <w:pStyle w:val="Author-eListParagraph"/>
        <w:numPr>
          <w:ilvl w:val="0"/>
          <w:numId w:val="523"/>
        </w:numPr>
      </w:pPr>
      <w:r>
        <w:t xml:space="preserve">pour les éléments non porteurs avec fonction séparant : </w:t>
      </w:r>
      <w:r>
        <w:rPr>
          <w:rStyle w:val="optioncarChar"/>
        </w:rPr>
        <w:t>EI 30 </w:t>
      </w:r>
      <w:r>
        <w:t>(par défaut)</w:t>
      </w:r>
      <w:r>
        <w:rPr>
          <w:rStyle w:val="optioncarChar"/>
        </w:rPr>
        <w:t xml:space="preserve"> / EI 60 / EI 120 / EI ***</w:t>
      </w:r>
    </w:p>
    <w:p w14:paraId="7AF0C769" w14:textId="77777777" w:rsidR="00DF410E" w:rsidRDefault="00CE7F43">
      <w:pPr>
        <w:jc w:val="both"/>
      </w:pPr>
      <w:r>
        <w:rPr>
          <w:b/>
        </w:rPr>
        <w:t>Classe d’étanchéité</w:t>
      </w:r>
    </w:p>
    <w:p w14:paraId="021EF30C" w14:textId="77777777" w:rsidR="00DF410E" w:rsidRDefault="00CE7F43">
      <w:pPr>
        <w:jc w:val="both"/>
      </w:pPr>
      <w:r>
        <w:t>La classe d’étanchéité à l’eau des parois selon la [NBN EN 1992-3] est :</w:t>
      </w:r>
      <w:r>
        <w:rPr>
          <w:rStyle w:val="optioncarChar"/>
        </w:rPr>
        <w:t xml:space="preserve"> classe 0</w:t>
      </w:r>
      <w:r>
        <w:t xml:space="preserve"> (par défaut)</w:t>
      </w:r>
      <w:r>
        <w:rPr>
          <w:rStyle w:val="optioncarChar"/>
        </w:rPr>
        <w:t xml:space="preserve"> / classe 1 / classe 2 / classe 3</w:t>
      </w:r>
      <w:r>
        <w:t>. Pour la classe 1, l’épaisseur minimale des parois sera de 100mm.  Pour les classes 2 et 3, l’épaisseur minimale est de 200 mm.</w:t>
      </w:r>
    </w:p>
    <w:p w14:paraId="785EB60C" w14:textId="77777777" w:rsidR="00DF410E" w:rsidRDefault="00DF410E"/>
    <w:p w14:paraId="647AEE62" w14:textId="77777777" w:rsidR="00DF410E" w:rsidRDefault="00CE7F43">
      <w:r>
        <w:t> </w:t>
      </w:r>
    </w:p>
    <w:p w14:paraId="5B181877" w14:textId="77777777" w:rsidR="00DF410E" w:rsidRDefault="00CE7F43">
      <w:pPr>
        <w:pStyle w:val="pheading"/>
      </w:pPr>
      <w:r>
        <w:t>- Finitions</w:t>
      </w:r>
    </w:p>
    <w:p w14:paraId="466F7887" w14:textId="77777777" w:rsidR="00DF410E" w:rsidRDefault="00CE7F43">
      <w:pPr>
        <w:jc w:val="both"/>
      </w:pPr>
      <w:r>
        <w:t xml:space="preserve">Les finitions sont décrites dans le [PTV 21-601] (voir également </w:t>
      </w:r>
      <w:hyperlink w:anchor="87" w:history="1">
        <w:r>
          <w:t>22 Superstructures en béton</w:t>
        </w:r>
      </w:hyperlink>
      <w:r>
        <w:t>).</w:t>
      </w:r>
    </w:p>
    <w:p w14:paraId="3D6FB114" w14:textId="77777777" w:rsidR="00DF410E" w:rsidRDefault="00CE7F43">
      <w:pPr>
        <w:jc w:val="both"/>
      </w:pPr>
      <w:r>
        <w:t>Description détaillée de la paroi :</w:t>
      </w:r>
    </w:p>
    <w:p w14:paraId="00E92489" w14:textId="77777777" w:rsidR="00DF410E" w:rsidRDefault="00CE7F43">
      <w:r>
        <w:t>1. Eléments intégrés suivant dessin de l’architecte :</w:t>
      </w:r>
      <w:r>
        <w:rPr>
          <w:rStyle w:val="optioncarChar"/>
        </w:rPr>
        <w:t xml:space="preserve">briques </w:t>
      </w:r>
      <w:r>
        <w:t>(par défaut) </w:t>
      </w:r>
      <w:r>
        <w:rPr>
          <w:rStyle w:val="optioncarChar"/>
        </w:rPr>
        <w:t>/ pierre bleue / pierre de France / ***</w:t>
      </w:r>
      <w:r>
        <w:br/>
        <w:t>Les éléments intégrés sont conformes aux exigences de leurs normes respectives</w:t>
      </w:r>
      <w:r>
        <w:br/>
        <w:t>2. Terminaison des arêtes</w:t>
      </w:r>
    </w:p>
    <w:p w14:paraId="0B2B4E33" w14:textId="77777777" w:rsidR="00DF410E" w:rsidRDefault="00CE7F43">
      <w:r>
        <w:t>Les arêtes saillantes des parois sont</w:t>
      </w:r>
      <w:r>
        <w:rPr>
          <w:rStyle w:val="optioncarChar"/>
        </w:rPr>
        <w:t xml:space="preserve"> chanfreinées en triangle </w:t>
      </w:r>
      <w:r>
        <w:t>(par défaut)</w:t>
      </w:r>
      <w:r>
        <w:rPr>
          <w:rStyle w:val="optioncarChar"/>
        </w:rPr>
        <w:t xml:space="preserve"> / chanfreinées en arrondi / vives</w:t>
      </w:r>
    </w:p>
    <w:p w14:paraId="1763B760" w14:textId="77777777" w:rsidR="00DF410E" w:rsidRDefault="00CE7F43">
      <w:pPr>
        <w:ind w:left="567"/>
        <w:jc w:val="both"/>
      </w:pPr>
      <w:r>
        <w:rPr>
          <w:b/>
          <w:i/>
        </w:rPr>
        <w:t>(soit par défaut)</w:t>
      </w:r>
    </w:p>
    <w:p w14:paraId="677E895E" w14:textId="77777777" w:rsidR="00DF410E" w:rsidRDefault="00CE7F43">
      <w:pPr>
        <w:ind w:left="567"/>
        <w:jc w:val="both"/>
      </w:pPr>
      <w:r>
        <w:rPr>
          <w:rStyle w:val="soitChar"/>
          <w:u w:val="single"/>
        </w:rPr>
        <w:t>chanfreinées en triangle</w:t>
      </w:r>
    </w:p>
    <w:p w14:paraId="7C68D923" w14:textId="77777777" w:rsidR="00DF410E" w:rsidRDefault="00CE7F43">
      <w:pPr>
        <w:ind w:left="567"/>
        <w:jc w:val="both"/>
      </w:pPr>
      <w:r>
        <w:rPr>
          <w:rStyle w:val="soitChar"/>
        </w:rPr>
        <w:t xml:space="preserve"> Les arêtes sont cassées au moyen d'un chanfrein de</w:t>
      </w:r>
      <w:r>
        <w:rPr>
          <w:rStyle w:val="optioncarChar"/>
        </w:rPr>
        <w:t>1,5 x 1,5 </w:t>
      </w:r>
      <w:r>
        <w:t>(par défaut)</w:t>
      </w:r>
      <w:r>
        <w:rPr>
          <w:rStyle w:val="optioncarChar"/>
        </w:rPr>
        <w:t xml:space="preserve"> / 2,5 x 2,5 / *** cm x *** cm.</w:t>
      </w:r>
    </w:p>
    <w:p w14:paraId="5D5F1125" w14:textId="77777777" w:rsidR="00DF410E" w:rsidRDefault="00DF410E">
      <w:pPr>
        <w:ind w:left="567"/>
        <w:jc w:val="both"/>
      </w:pPr>
    </w:p>
    <w:p w14:paraId="232194FB" w14:textId="77777777" w:rsidR="00DF410E" w:rsidRDefault="00CE7F43">
      <w:pPr>
        <w:ind w:left="567"/>
        <w:jc w:val="both"/>
      </w:pPr>
      <w:r>
        <w:rPr>
          <w:b/>
          <w:i/>
        </w:rPr>
        <w:t>(soit)</w:t>
      </w:r>
    </w:p>
    <w:p w14:paraId="5A5D212C" w14:textId="77777777" w:rsidR="00DF410E" w:rsidRDefault="00CE7F43">
      <w:pPr>
        <w:ind w:left="567"/>
        <w:jc w:val="both"/>
      </w:pPr>
      <w:r>
        <w:rPr>
          <w:rStyle w:val="soitChar"/>
          <w:u w:val="single"/>
        </w:rPr>
        <w:t>chanfreinée en arrondi</w:t>
      </w:r>
    </w:p>
    <w:p w14:paraId="41CE7378" w14:textId="77777777" w:rsidR="00DF410E" w:rsidRDefault="00CE7F43">
      <w:pPr>
        <w:ind w:left="567"/>
        <w:jc w:val="both"/>
      </w:pPr>
      <w:r>
        <w:rPr>
          <w:rStyle w:val="soitChar"/>
        </w:rPr>
        <w:t xml:space="preserve"> Les arêtes sont cassées au moyen d'un chanfrein de rayon</w:t>
      </w:r>
      <w:r>
        <w:rPr>
          <w:rStyle w:val="optioncarChar"/>
        </w:rPr>
        <w:t>1,5 </w:t>
      </w:r>
      <w:r>
        <w:t>(par défaut)</w:t>
      </w:r>
      <w:r>
        <w:rPr>
          <w:rStyle w:val="optioncarChar"/>
        </w:rPr>
        <w:t xml:space="preserve"> / 2,5 / ***</w:t>
      </w:r>
      <w:r>
        <w:rPr>
          <w:rStyle w:val="soitChar"/>
        </w:rPr>
        <w:t xml:space="preserve"> cm .</w:t>
      </w:r>
    </w:p>
    <w:p w14:paraId="28309E4F" w14:textId="77777777" w:rsidR="00DF410E" w:rsidRDefault="00DF410E">
      <w:pPr>
        <w:ind w:left="567"/>
        <w:jc w:val="both"/>
      </w:pPr>
    </w:p>
    <w:p w14:paraId="6C35FCC3" w14:textId="77777777" w:rsidR="00DF410E" w:rsidRDefault="00CE7F43">
      <w:pPr>
        <w:ind w:left="567"/>
        <w:jc w:val="both"/>
      </w:pPr>
      <w:r>
        <w:rPr>
          <w:b/>
          <w:i/>
        </w:rPr>
        <w:t xml:space="preserve"> (soit)</w:t>
      </w:r>
    </w:p>
    <w:p w14:paraId="6E2EAA4A" w14:textId="77777777" w:rsidR="00DF410E" w:rsidRDefault="00CE7F43">
      <w:pPr>
        <w:ind w:left="567"/>
        <w:jc w:val="both"/>
      </w:pPr>
      <w:r>
        <w:rPr>
          <w:rStyle w:val="soitChar"/>
          <w:u w:val="single"/>
        </w:rPr>
        <w:t>vives</w:t>
      </w:r>
    </w:p>
    <w:p w14:paraId="0F47D6FE" w14:textId="77777777" w:rsidR="00DF410E" w:rsidRDefault="00CE7F43">
      <w:pPr>
        <w:pStyle w:val="pheading"/>
      </w:pPr>
      <w:r>
        <w:t>EXÉCUTION / MISE EN ŒUVRE</w:t>
      </w:r>
    </w:p>
    <w:p w14:paraId="520F765C" w14:textId="77777777" w:rsidR="00DF410E" w:rsidRDefault="00CE7F43">
      <w:pPr>
        <w:pStyle w:val="pheading"/>
      </w:pPr>
      <w:r>
        <w:t>- Prescriptions générales</w:t>
      </w:r>
    </w:p>
    <w:p w14:paraId="363C8815" w14:textId="77777777" w:rsidR="00DF410E" w:rsidRDefault="00CE7F43">
      <w:pPr>
        <w:jc w:val="both"/>
      </w:pPr>
      <w:r>
        <w:t>Le plan de pose doit être approuvé par l’entrepreneur ou le bureau d’études.</w:t>
      </w:r>
    </w:p>
    <w:p w14:paraId="4B3D4D3E" w14:textId="77777777" w:rsidR="00DF410E" w:rsidRDefault="00CE7F43">
      <w:pPr>
        <w:jc w:val="both"/>
      </w:pPr>
      <w:r>
        <w:t>Les parois sont fabriquées dans les dimensions indiquées sur les plans d’exécution approuvés.</w:t>
      </w:r>
    </w:p>
    <w:p w14:paraId="09C92589" w14:textId="77777777" w:rsidR="00DF410E" w:rsidRDefault="00CE7F43">
      <w:pPr>
        <w:jc w:val="both"/>
      </w:pPr>
      <w:r>
        <w:t>La mise en œuvre est conforme aux normes [NBN EN 13670] et [NBN B 15-400].</w:t>
      </w:r>
    </w:p>
    <w:p w14:paraId="04B19C5D" w14:textId="77777777" w:rsidR="00DF410E" w:rsidRDefault="00CE7F43">
      <w:pPr>
        <w:jc w:val="both"/>
      </w:pPr>
      <w:r>
        <w:t>L’alignement des parois est réalisé au moyens d’étais et de madriers en bois parfaitement alignés.</w:t>
      </w:r>
    </w:p>
    <w:p w14:paraId="2CC859FA" w14:textId="77777777" w:rsidR="00DF410E" w:rsidRDefault="00CE7F43">
      <w:pPr>
        <w:jc w:val="both"/>
      </w:pPr>
      <w:r>
        <w:t>Le sol/support doit être non travaillé et stable.</w:t>
      </w:r>
    </w:p>
    <w:p w14:paraId="1D309C85" w14:textId="77777777" w:rsidR="00DF410E" w:rsidRDefault="00CE7F43">
      <w:pPr>
        <w:jc w:val="both"/>
      </w:pPr>
      <w:r>
        <w:t>La verticalité doit être garantie par la pose préalable de madrier en bois</w:t>
      </w:r>
    </w:p>
    <w:p w14:paraId="6CF165D7" w14:textId="77777777" w:rsidR="00DF410E" w:rsidRDefault="00CE7F43">
      <w:pPr>
        <w:jc w:val="both"/>
      </w:pPr>
      <w:r>
        <w:t>Si les parois doivent être étanches à l’eau, il y a lieu que la mise en œuvre soit conforme à la [NIT 247] et à la [NIT 250].</w:t>
      </w:r>
    </w:p>
    <w:p w14:paraId="03DCECE9" w14:textId="77777777" w:rsidR="00DF410E" w:rsidRDefault="00CE7F43">
      <w:pPr>
        <w:pStyle w:val="pheading"/>
      </w:pPr>
      <w:r>
        <w:t>DOCUMENTS DE RÉFÉRENCE COMPLÉMENTAIRES</w:t>
      </w:r>
    </w:p>
    <w:p w14:paraId="4D79473D" w14:textId="77777777" w:rsidR="00DF410E" w:rsidRDefault="00CE7F43">
      <w:pPr>
        <w:pStyle w:val="pheading"/>
      </w:pPr>
      <w:r>
        <w:t>- Matériau</w:t>
      </w:r>
    </w:p>
    <w:p w14:paraId="40AEC986" w14:textId="77777777" w:rsidR="00DF410E" w:rsidRDefault="00CE7F43">
      <w:r>
        <w:t>[NBN EN 14992+A1, Produits préfabriqués en béton - Eléments de mur]</w:t>
      </w:r>
      <w:r>
        <w:br/>
      </w:r>
      <w:r>
        <w:br/>
        <w:t>[RA 21-612, Règlement d'application Benor - Produits préfabriqués en béton - Eléments de murs]</w:t>
      </w:r>
      <w:r>
        <w:br/>
      </w:r>
      <w:r>
        <w:br/>
        <w:t>[Buildwise Méthode de dimensionnement Rapport 10, Sécurité et mise en oeuvre d'éléments préfabriqués en béton]</w:t>
      </w:r>
    </w:p>
    <w:p w14:paraId="0C75F5C5" w14:textId="77777777" w:rsidR="00DF410E" w:rsidRDefault="00CE7F43">
      <w:r>
        <w:t>[PTV 21-601, Eléments préfabriqués en béton architectonique.]</w:t>
      </w:r>
    </w:p>
    <w:p w14:paraId="2462431C" w14:textId="77777777" w:rsidR="00DF410E" w:rsidRDefault="00CE7F43">
      <w:r>
        <w:t>[NBN EN 206:2013+A2, Béton - Spécification, performances, production et conformité]</w:t>
      </w:r>
    </w:p>
    <w:p w14:paraId="68B55A04" w14:textId="77777777" w:rsidR="00DF410E" w:rsidRDefault="00CE7F43">
      <w:r>
        <w:t>[NBN B 15-001, Béton - Spécification, performances, production et conformité - Complément national à la NBN EN 206:2013+A2:2021]</w:t>
      </w:r>
    </w:p>
    <w:p w14:paraId="104B4B49" w14:textId="77777777" w:rsidR="00DF410E" w:rsidRDefault="00DF410E"/>
    <w:p w14:paraId="3393DE5A" w14:textId="77777777" w:rsidR="00DF410E" w:rsidRDefault="00CE7F43">
      <w:r>
        <w:t> </w:t>
      </w:r>
    </w:p>
    <w:p w14:paraId="4AC5EA54" w14:textId="77777777" w:rsidR="00DF410E" w:rsidRDefault="00CE7F43">
      <w:pPr>
        <w:pStyle w:val="pheading"/>
      </w:pPr>
      <w:r>
        <w:t>- Exécution</w:t>
      </w:r>
    </w:p>
    <w:p w14:paraId="25BB64DF" w14:textId="77777777" w:rsidR="00DF410E" w:rsidRDefault="00CE7F43">
      <w:r>
        <w:t>[NIT 247, Conception et exécution des ouvrages étanches en béton]</w:t>
      </w:r>
    </w:p>
    <w:p w14:paraId="21197603" w14:textId="77777777" w:rsidR="00DF410E" w:rsidRDefault="00CE7F43">
      <w:r>
        <w:t>[NIT 250, Détails de référence pour les constructions enterrées]</w:t>
      </w:r>
    </w:p>
    <w:p w14:paraId="68D11100" w14:textId="77777777" w:rsidR="00DF410E" w:rsidRDefault="00CE7F43">
      <w:r>
        <w:t>[NBN EN 13670, Exécution des structures en béton]</w:t>
      </w:r>
    </w:p>
    <w:p w14:paraId="37862AE1" w14:textId="77777777" w:rsidR="00DF410E" w:rsidRDefault="00CE7F43">
      <w:r>
        <w:t>[NBN B 15-400, Exécution des structures en béton - Supplément national à la NBN EN 13670:2010]</w:t>
      </w:r>
    </w:p>
    <w:p w14:paraId="3127D993" w14:textId="77777777" w:rsidR="00DF410E" w:rsidRDefault="00CE7F43">
      <w:r>
        <w:t>[NBN EN 13369:2023, Règles communes pour les produits préfabriqués en béton]</w:t>
      </w:r>
    </w:p>
    <w:p w14:paraId="60D29C17" w14:textId="77777777" w:rsidR="00DF410E" w:rsidRDefault="00CE7F43">
      <w:r>
        <w:t>[NBN B 21-600, Règles communes pour les produits préfabriqués en béton - Complément national à la NBN EN 13369:2004+A1:2006+AC:2006]</w:t>
      </w:r>
    </w:p>
    <w:p w14:paraId="0ABB0755" w14:textId="77777777" w:rsidR="00DF410E" w:rsidRDefault="00CE7F43">
      <w:pPr>
        <w:pStyle w:val="pheading"/>
      </w:pPr>
      <w:r>
        <w:t>MESURAGE</w:t>
      </w:r>
    </w:p>
    <w:p w14:paraId="44150DB6" w14:textId="77777777" w:rsidR="00DF410E" w:rsidRDefault="00CE7F43">
      <w:pPr>
        <w:pStyle w:val="pheading"/>
      </w:pPr>
      <w:r>
        <w:t>- unité de mesure:</w:t>
      </w:r>
    </w:p>
    <w:p w14:paraId="76BBE40B" w14:textId="77777777" w:rsidR="00DF410E" w:rsidRDefault="00CE7F43">
      <w:r>
        <w:rPr>
          <w:rStyle w:val="optioncarChar"/>
        </w:rPr>
        <w:t>m³</w:t>
      </w:r>
      <w:r>
        <w:t>  (par défaut) </w:t>
      </w:r>
      <w:r>
        <w:rPr>
          <w:rStyle w:val="optioncarChar"/>
        </w:rPr>
        <w:t>/ pc / m / m² </w:t>
      </w:r>
    </w:p>
    <w:p w14:paraId="21286D8A" w14:textId="77777777" w:rsidR="00DF410E" w:rsidRDefault="00CE7F43">
      <w:r>
        <w:rPr>
          <w:b/>
          <w:i/>
        </w:rPr>
        <w:t>(Soit par défaut)</w:t>
      </w:r>
    </w:p>
    <w:p w14:paraId="26FEFE35" w14:textId="77777777" w:rsidR="00DF410E" w:rsidRDefault="00CE7F43">
      <w:r>
        <w:rPr>
          <w:rStyle w:val="soitChar"/>
        </w:rPr>
        <w:t>1. m³</w:t>
      </w:r>
    </w:p>
    <w:p w14:paraId="1F6AFE23" w14:textId="77777777" w:rsidR="00DF410E" w:rsidRDefault="00CE7F43">
      <w:r>
        <w:rPr>
          <w:b/>
          <w:i/>
        </w:rPr>
        <w:t>(Soit)</w:t>
      </w:r>
    </w:p>
    <w:p w14:paraId="66A4581C" w14:textId="77777777" w:rsidR="00DF410E" w:rsidRDefault="00CE7F43">
      <w:r>
        <w:rPr>
          <w:rStyle w:val="soitChar"/>
        </w:rPr>
        <w:t>2. pc</w:t>
      </w:r>
    </w:p>
    <w:p w14:paraId="49D50A61" w14:textId="77777777" w:rsidR="00DF410E" w:rsidRDefault="00CE7F43">
      <w:r>
        <w:rPr>
          <w:b/>
          <w:i/>
        </w:rPr>
        <w:t>(Soit)</w:t>
      </w:r>
    </w:p>
    <w:p w14:paraId="0CFC0DC6" w14:textId="77777777" w:rsidR="00DF410E" w:rsidRDefault="00CE7F43">
      <w:r>
        <w:rPr>
          <w:rStyle w:val="soitChar"/>
        </w:rPr>
        <w:t>3. m</w:t>
      </w:r>
    </w:p>
    <w:p w14:paraId="3CA912F0" w14:textId="77777777" w:rsidR="00DF410E" w:rsidRDefault="00CE7F43">
      <w:r>
        <w:rPr>
          <w:b/>
          <w:i/>
        </w:rPr>
        <w:t>(Soit)</w:t>
      </w:r>
    </w:p>
    <w:p w14:paraId="3D4848E5" w14:textId="77777777" w:rsidR="00DF410E" w:rsidRDefault="00CE7F43">
      <w:r>
        <w:rPr>
          <w:rStyle w:val="soitChar"/>
        </w:rPr>
        <w:t>4. m²</w:t>
      </w:r>
    </w:p>
    <w:p w14:paraId="19214C84" w14:textId="77777777" w:rsidR="00DF410E" w:rsidRDefault="00CE7F43">
      <w:pPr>
        <w:pStyle w:val="pheading"/>
      </w:pPr>
      <w:r>
        <w:t>- code de mesurage:</w:t>
      </w:r>
    </w:p>
    <w:p w14:paraId="2D8116D5" w14:textId="77777777" w:rsidR="00DF410E" w:rsidRDefault="00CE7F43">
      <w:r>
        <w:rPr>
          <w:rStyle w:val="optioncarChar"/>
        </w:rPr>
        <w:t xml:space="preserve">Volume net </w:t>
      </w:r>
      <w:r>
        <w:t>(par défaut)</w:t>
      </w:r>
      <w:r>
        <w:rPr>
          <w:rStyle w:val="optioncarChar"/>
        </w:rPr>
        <w:t xml:space="preserve"> / quantité nette / longueur nette / surface nette</w:t>
      </w:r>
    </w:p>
    <w:p w14:paraId="4C55A9AB" w14:textId="77777777" w:rsidR="00DF410E" w:rsidRDefault="00CE7F43">
      <w:r>
        <w:rPr>
          <w:b/>
          <w:i/>
        </w:rPr>
        <w:t>(Soit par défaut)</w:t>
      </w:r>
    </w:p>
    <w:p w14:paraId="0D5AD91E" w14:textId="77777777" w:rsidR="00DF410E" w:rsidRDefault="00CE7F43">
      <w:r>
        <w:rPr>
          <w:rStyle w:val="soitChar"/>
          <w:u w:val="single"/>
        </w:rPr>
        <w:t>1. Volume net</w:t>
      </w:r>
      <w:r>
        <w:rPr>
          <w:rStyle w:val="soitChar"/>
        </w:rPr>
        <w:t xml:space="preserve">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71481F20" w14:textId="77777777" w:rsidR="00DF410E" w:rsidRDefault="00CE7F43">
      <w:r>
        <w:rPr>
          <w:rStyle w:val="soitChar"/>
        </w:rPr>
        <w:t>Aucune déduction n'est faite pour:</w:t>
      </w:r>
    </w:p>
    <w:p w14:paraId="76DEF68C" w14:textId="77777777" w:rsidR="00DF410E" w:rsidRDefault="00CE7F43">
      <w:pPr>
        <w:pStyle w:val="Author-eListParagraph"/>
        <w:numPr>
          <w:ilvl w:val="0"/>
          <w:numId w:val="524"/>
        </w:numPr>
      </w:pPr>
      <w:r>
        <w:rPr>
          <w:rStyle w:val="soitChar"/>
        </w:rPr>
        <w:t>le volume des armatures,</w:t>
      </w:r>
    </w:p>
    <w:p w14:paraId="62A556AA" w14:textId="77777777" w:rsidR="00DF410E" w:rsidRDefault="00CE7F43">
      <w:pPr>
        <w:pStyle w:val="Author-eListParagraph"/>
        <w:numPr>
          <w:ilvl w:val="0"/>
          <w:numId w:val="524"/>
        </w:numPr>
      </w:pPr>
      <w:r>
        <w:rPr>
          <w:rStyle w:val="soitChar"/>
        </w:rPr>
        <w:t>les blocs et écarteurs, les fourreaux pour les armatures de précontrainte ;</w:t>
      </w:r>
    </w:p>
    <w:p w14:paraId="7BFA90B2" w14:textId="77777777" w:rsidR="00DF410E" w:rsidRDefault="00CE7F43">
      <w:pPr>
        <w:pStyle w:val="Author-eListParagraph"/>
        <w:numPr>
          <w:ilvl w:val="0"/>
          <w:numId w:val="524"/>
        </w:numPr>
      </w:pPr>
      <w:r>
        <w:rPr>
          <w:rStyle w:val="soitChar"/>
        </w:rPr>
        <w:t>les pénétrations pour les pattes d’ancrage, les creux, les conduites noyées et les réservations dont le volume est inférieur à 0,05 m3.</w:t>
      </w:r>
    </w:p>
    <w:p w14:paraId="568DEDCE" w14:textId="77777777" w:rsidR="00DF410E" w:rsidRDefault="00CE7F43">
      <w:pPr>
        <w:pStyle w:val="Author-eListParagraph"/>
        <w:numPr>
          <w:ilvl w:val="0"/>
          <w:numId w:val="524"/>
        </w:numPr>
      </w:pPr>
      <w:r>
        <w:rPr>
          <w:rStyle w:val="soitChar"/>
        </w:rPr>
        <w:t>les chanfreins et tous les profils dont la section a une superficie inférieure à 20 cm2.</w:t>
      </w:r>
    </w:p>
    <w:p w14:paraId="1DE8DC78" w14:textId="77777777" w:rsidR="00DF410E" w:rsidRDefault="00CE7F43">
      <w:pPr>
        <w:pStyle w:val="Author-eListParagraph"/>
        <w:numPr>
          <w:ilvl w:val="0"/>
          <w:numId w:val="524"/>
        </w:numPr>
      </w:pPr>
      <w:r>
        <w:rPr>
          <w:rStyle w:val="soitChar"/>
        </w:rPr>
        <w:t>les rainures, encoches et languettes.</w:t>
      </w:r>
    </w:p>
    <w:p w14:paraId="095E98E6" w14:textId="77777777" w:rsidR="00DF410E" w:rsidRDefault="00CE7F43">
      <w:r>
        <w:rPr>
          <w:b/>
          <w:i/>
        </w:rPr>
        <w:t>(Soit)</w:t>
      </w:r>
    </w:p>
    <w:p w14:paraId="0D1C76F7" w14:textId="77777777" w:rsidR="00DF410E" w:rsidRDefault="00CE7F43">
      <w:r>
        <w:rPr>
          <w:rStyle w:val="soitChar"/>
          <w:u w:val="single"/>
        </w:rPr>
        <w:t>2. Quantité nette</w:t>
      </w:r>
    </w:p>
    <w:p w14:paraId="180C992E" w14:textId="77777777" w:rsidR="00DF410E" w:rsidRDefault="00CE7F43">
      <w:r>
        <w:rPr>
          <w:b/>
          <w:i/>
        </w:rPr>
        <w:t>(Soit)</w:t>
      </w:r>
    </w:p>
    <w:p w14:paraId="365D3D13" w14:textId="77777777" w:rsidR="00DF410E" w:rsidRDefault="00CE7F43">
      <w:r>
        <w:rPr>
          <w:rStyle w:val="soitChar"/>
          <w:u w:val="single"/>
        </w:rPr>
        <w:t>3. Longueur nette</w:t>
      </w:r>
    </w:p>
    <w:p w14:paraId="31FCC0B2" w14:textId="77777777" w:rsidR="00DF410E" w:rsidRDefault="00CE7F43">
      <w:r>
        <w:rPr>
          <w:b/>
          <w:i/>
        </w:rPr>
        <w:t>(Soit)</w:t>
      </w:r>
    </w:p>
    <w:p w14:paraId="48792862" w14:textId="77777777" w:rsidR="00DF410E" w:rsidRDefault="00CE7F43">
      <w:r>
        <w:rPr>
          <w:rStyle w:val="soitChar"/>
          <w:u w:val="single"/>
        </w:rPr>
        <w:t>4. Surface nette</w:t>
      </w:r>
    </w:p>
    <w:p w14:paraId="6B0F0886" w14:textId="77777777" w:rsidR="00DF410E" w:rsidRDefault="00CE7F43">
      <w:pPr>
        <w:pStyle w:val="pheading"/>
      </w:pPr>
      <w:r>
        <w:t>- nature du marché:</w:t>
      </w:r>
    </w:p>
    <w:p w14:paraId="3AC6DD1D" w14:textId="77777777" w:rsidR="00DF410E" w:rsidRDefault="00CE7F43">
      <w:r>
        <w:rPr>
          <w:rStyle w:val="optioncarChar"/>
        </w:rPr>
        <w:t>QF</w:t>
      </w:r>
      <w:r>
        <w:t xml:space="preserve"> (par défaut)</w:t>
      </w:r>
      <w:r>
        <w:rPr>
          <w:rStyle w:val="optioncarChar"/>
        </w:rPr>
        <w:t xml:space="preserve"> / QP</w:t>
      </w:r>
    </w:p>
    <w:p w14:paraId="7A1D72AE" w14:textId="77777777" w:rsidR="00DF410E" w:rsidRDefault="00CE7F43">
      <w:r>
        <w:rPr>
          <w:b/>
          <w:i/>
        </w:rPr>
        <w:t>(Soit par défaut)</w:t>
      </w:r>
    </w:p>
    <w:p w14:paraId="56C5728C" w14:textId="77777777" w:rsidR="00DF410E" w:rsidRDefault="00CE7F43">
      <w:r>
        <w:rPr>
          <w:rStyle w:val="soitChar"/>
        </w:rPr>
        <w:t>1. 2. 3. 4. QF</w:t>
      </w:r>
    </w:p>
    <w:p w14:paraId="6FC85014" w14:textId="77777777" w:rsidR="00DF410E" w:rsidRDefault="00CE7F43">
      <w:r>
        <w:rPr>
          <w:b/>
          <w:i/>
        </w:rPr>
        <w:t>(Soit)</w:t>
      </w:r>
    </w:p>
    <w:p w14:paraId="72B50CB1" w14:textId="77777777" w:rsidR="00DF410E" w:rsidRDefault="00CE7F43">
      <w:r>
        <w:rPr>
          <w:rStyle w:val="soitChar"/>
        </w:rPr>
        <w:t>1. 2. 3. 4. QP</w:t>
      </w:r>
    </w:p>
    <w:p w14:paraId="26B4E534" w14:textId="77777777" w:rsidR="00DF410E" w:rsidRDefault="00CE7F43">
      <w:pPr>
        <w:pStyle w:val="Author-eSectionHeading6"/>
      </w:pPr>
      <w:bookmarkStart w:id="759" w:name="_Toc178837920"/>
      <w:r>
        <w:t>22.16.4d Prémurs préfabriqués en béton décoratif / architectonique CCTB 01.11</w:t>
      </w:r>
      <w:bookmarkEnd w:id="759"/>
    </w:p>
    <w:p w14:paraId="04C9BBF5" w14:textId="77777777" w:rsidR="00DF410E" w:rsidRDefault="00CE7F43">
      <w:pPr>
        <w:pStyle w:val="pheading"/>
      </w:pPr>
      <w:r>
        <w:t>DESCRIPTION</w:t>
      </w:r>
    </w:p>
    <w:p w14:paraId="4A3C6518" w14:textId="77777777" w:rsidR="00DF410E" w:rsidRDefault="00CE7F43">
      <w:pPr>
        <w:pStyle w:val="pheading"/>
      </w:pPr>
      <w:r>
        <w:t>- Définition / Comprend</w:t>
      </w:r>
    </w:p>
    <w:p w14:paraId="09FF2150" w14:textId="77777777" w:rsidR="00DF410E" w:rsidRDefault="00CE7F43">
      <w:pPr>
        <w:jc w:val="both"/>
      </w:pPr>
      <w:r>
        <w:t>L’article vise la fourniture et la pose de prémurs préfabriqués en béton architectonique.</w:t>
      </w:r>
    </w:p>
    <w:p w14:paraId="1BADBA81" w14:textId="77777777" w:rsidR="00DF410E" w:rsidRDefault="00CE7F43">
      <w:pPr>
        <w:jc w:val="both"/>
      </w:pPr>
      <w:r>
        <w:t>Les prémurs se composent de deux panneaux en béton armé reliés l’un à l’autre par des poutres à treillis.</w:t>
      </w:r>
    </w:p>
    <w:p w14:paraId="72D8A26E" w14:textId="77777777" w:rsidR="00DF410E" w:rsidRDefault="00CE7F43">
      <w:pPr>
        <w:jc w:val="both"/>
      </w:pPr>
      <w:r>
        <w:t>Sont compris :</w:t>
      </w:r>
    </w:p>
    <w:p w14:paraId="7BDC3F4F" w14:textId="77777777" w:rsidR="00DF410E" w:rsidRDefault="00CE7F43">
      <w:pPr>
        <w:pStyle w:val="Author-eListParagraph"/>
        <w:numPr>
          <w:ilvl w:val="0"/>
          <w:numId w:val="525"/>
        </w:numPr>
      </w:pPr>
      <w:r>
        <w:t>La livraison et la réalisation du béton de remplissage en cas de prémurs.</w:t>
      </w:r>
    </w:p>
    <w:p w14:paraId="4B75A286" w14:textId="77777777" w:rsidR="00DF410E" w:rsidRDefault="00CE7F43">
      <w:pPr>
        <w:pStyle w:val="Author-eListParagraph"/>
        <w:numPr>
          <w:ilvl w:val="0"/>
          <w:numId w:val="525"/>
        </w:numPr>
      </w:pPr>
      <w:r>
        <w:t>L’humification des prémurs avant bétonnage du creux des prémurs.</w:t>
      </w:r>
    </w:p>
    <w:p w14:paraId="7AE8CD03" w14:textId="77777777" w:rsidR="00DF410E" w:rsidRDefault="00CE7F43">
      <w:pPr>
        <w:pStyle w:val="pheading"/>
      </w:pPr>
      <w:r>
        <w:t>- Localisation</w:t>
      </w:r>
    </w:p>
    <w:p w14:paraId="500DE03A" w14:textId="77777777" w:rsidR="00DF410E" w:rsidRDefault="00CE7F43">
      <w:r>
        <w:t>La pose est réalisée aux endroits suivants :</w:t>
      </w:r>
      <w:r>
        <w:rPr>
          <w:rStyle w:val="optioncarChar"/>
        </w:rPr>
        <w:t xml:space="preserve"> ***</w:t>
      </w:r>
      <w:r>
        <w:t>.</w:t>
      </w:r>
    </w:p>
    <w:p w14:paraId="3F5FFFE4" w14:textId="77777777" w:rsidR="00DF410E" w:rsidRDefault="00CE7F43">
      <w:r>
        <w:t>Voir plans et métrés détaillés.</w:t>
      </w:r>
    </w:p>
    <w:p w14:paraId="60E89A1A" w14:textId="77777777" w:rsidR="00DF410E" w:rsidRDefault="00CE7F43">
      <w:pPr>
        <w:pStyle w:val="pheading"/>
      </w:pPr>
      <w:r>
        <w:t>MATÉRIAUX</w:t>
      </w:r>
    </w:p>
    <w:p w14:paraId="566CD433" w14:textId="77777777" w:rsidR="00DF410E" w:rsidRDefault="00CE7F43">
      <w:pPr>
        <w:pStyle w:val="pheading"/>
      </w:pPr>
      <w:r>
        <w:t>- Caractéristiques générales</w:t>
      </w:r>
    </w:p>
    <w:p w14:paraId="281592ED" w14:textId="77777777" w:rsidR="00DF410E" w:rsidRDefault="00CE7F43">
      <w:pPr>
        <w:jc w:val="both"/>
      </w:pPr>
      <w:r>
        <w:t xml:space="preserve">Epaisseur totale du mur : </w:t>
      </w:r>
      <w:r>
        <w:rPr>
          <w:rStyle w:val="optioncarChar"/>
        </w:rPr>
        <w:t>19 </w:t>
      </w:r>
      <w:r>
        <w:t xml:space="preserve">(par défaut)  </w:t>
      </w:r>
      <w:r>
        <w:rPr>
          <w:rStyle w:val="optioncarChar"/>
        </w:rPr>
        <w:t>/20 / 25 / 30 / ***</w:t>
      </w:r>
      <w:r>
        <w:t xml:space="preserve"> cm suivant étude et plans d’exécution</w:t>
      </w:r>
    </w:p>
    <w:p w14:paraId="5EB2653D" w14:textId="77777777" w:rsidR="00DF410E" w:rsidRDefault="00CE7F43">
      <w:pPr>
        <w:jc w:val="both"/>
      </w:pPr>
      <w:r>
        <w:t>Epaisseur des parois du prémur :</w:t>
      </w:r>
    </w:p>
    <w:p w14:paraId="7CE2B883" w14:textId="77777777" w:rsidR="00DF410E" w:rsidRDefault="00CE7F43">
      <w:pPr>
        <w:pStyle w:val="Author-eListParagraph"/>
        <w:numPr>
          <w:ilvl w:val="0"/>
          <w:numId w:val="526"/>
        </w:numPr>
      </w:pPr>
      <w:r>
        <w:t xml:space="preserve">Paroi intérieure : </w:t>
      </w:r>
      <w:r>
        <w:rPr>
          <w:rStyle w:val="optioncarChar"/>
        </w:rPr>
        <w:t>5 </w:t>
      </w:r>
      <w:r>
        <w:t>(par défaut)</w:t>
      </w:r>
      <w:r>
        <w:rPr>
          <w:rStyle w:val="optioncarChar"/>
        </w:rPr>
        <w:t xml:space="preserve"> / 6 / 7 / ***</w:t>
      </w:r>
      <w:r>
        <w:t xml:space="preserve"> cm suivant étude et plans d’exécution</w:t>
      </w:r>
    </w:p>
    <w:p w14:paraId="20CD7440" w14:textId="77777777" w:rsidR="00DF410E" w:rsidRDefault="00CE7F43">
      <w:pPr>
        <w:pStyle w:val="Author-eListParagraph"/>
        <w:numPr>
          <w:ilvl w:val="0"/>
          <w:numId w:val="526"/>
        </w:numPr>
      </w:pPr>
      <w:r>
        <w:t xml:space="preserve">Paroi extérieure : </w:t>
      </w:r>
      <w:r>
        <w:rPr>
          <w:rStyle w:val="optioncarChar"/>
        </w:rPr>
        <w:t>5 </w:t>
      </w:r>
      <w:r>
        <w:t xml:space="preserve">(par défaut) </w:t>
      </w:r>
      <w:r>
        <w:rPr>
          <w:rStyle w:val="optioncarChar"/>
        </w:rPr>
        <w:t>/ 6 / 7 / ***</w:t>
      </w:r>
      <w:r>
        <w:t xml:space="preserve"> cm suivant étude et plans d’exécutions</w:t>
      </w:r>
    </w:p>
    <w:p w14:paraId="04F17C11" w14:textId="77777777" w:rsidR="00DF410E" w:rsidRDefault="00CE7F43">
      <w:pPr>
        <w:jc w:val="both"/>
      </w:pPr>
      <w:r>
        <w:t> </w:t>
      </w:r>
    </w:p>
    <w:p w14:paraId="3F315039" w14:textId="77777777" w:rsidR="00DF410E" w:rsidRDefault="00CE7F43">
      <w:pPr>
        <w:jc w:val="both"/>
      </w:pPr>
      <w:r>
        <w:t>1. Les parois préfabriquées en béton architectonique doivent satisfaire aux normes relatives aux parois préfabriquées [NBN EN 14992+A1] et [NBN B 21-612] ainsi qu’aux exigences liées à l’esthétisme de la norme [PTV 21-601].</w:t>
      </w:r>
    </w:p>
    <w:p w14:paraId="61DF6F73" w14:textId="77777777" w:rsidR="00DF410E" w:rsidRDefault="00CE7F43">
      <w:pPr>
        <w:pStyle w:val="Author-eListParagraph"/>
        <w:numPr>
          <w:ilvl w:val="0"/>
          <w:numId w:val="527"/>
        </w:numPr>
      </w:pPr>
      <w:r>
        <w:t>Qualité du béton selon la [NBN EN 206:2013+A2] et la [NBN B 15-001].</w:t>
      </w:r>
    </w:p>
    <w:p w14:paraId="53C37953" w14:textId="77777777" w:rsidR="00DF410E" w:rsidRDefault="00CE7F43">
      <w:pPr>
        <w:pStyle w:val="Author-eListParagraph"/>
        <w:numPr>
          <w:ilvl w:val="0"/>
          <w:numId w:val="527"/>
        </w:numPr>
      </w:pPr>
      <w:r>
        <w:t>Classe de résistance à la compression</w:t>
      </w:r>
    </w:p>
    <w:p w14:paraId="0D124A3C" w14:textId="77777777" w:rsidR="00DF410E" w:rsidRDefault="00CE7F43">
      <w:pPr>
        <w:ind w:left="567"/>
      </w:pPr>
      <w:r>
        <w:rPr>
          <w:rStyle w:val="optioncarChar"/>
        </w:rPr>
        <w:t>C30/37 </w:t>
      </w:r>
      <w:r>
        <w:t>(par défaut)</w:t>
      </w:r>
      <w:r>
        <w:rPr>
          <w:rStyle w:val="optioncarChar"/>
        </w:rPr>
        <w:t xml:space="preserve"> / C35/45 / C45/55 / C50/60 / C55/67 / C60/75 / C70/85 / C80/95 / C90/105 / ***</w:t>
      </w:r>
    </w:p>
    <w:p w14:paraId="11B6948D" w14:textId="77777777" w:rsidR="00DF410E" w:rsidRDefault="00CE7F43">
      <w:pPr>
        <w:pStyle w:val="Author-eListParagraph"/>
        <w:numPr>
          <w:ilvl w:val="0"/>
          <w:numId w:val="528"/>
        </w:numPr>
      </w:pPr>
      <w:r>
        <w:t>Classe d’environnement</w:t>
      </w:r>
    </w:p>
    <w:p w14:paraId="246D93E8" w14:textId="77777777" w:rsidR="00DF410E" w:rsidRDefault="00CE7F43">
      <w:pPr>
        <w:ind w:left="567"/>
      </w:pPr>
      <w:r>
        <w:rPr>
          <w:rStyle w:val="optioncarChar"/>
        </w:rPr>
        <w:t>EI </w:t>
      </w:r>
      <w:r>
        <w:t xml:space="preserve">(par défaut) </w:t>
      </w:r>
      <w:r>
        <w:rPr>
          <w:rStyle w:val="optioncarChar"/>
        </w:rPr>
        <w:t>/ EE1 / EE2 / EE3 / EE4 / ES1 / ES2 / ES3 / ES4 / EA1+*** / EA2+***/ EA3+*** / ***</w:t>
      </w:r>
    </w:p>
    <w:p w14:paraId="1ACFE4FB" w14:textId="77777777" w:rsidR="00DF410E" w:rsidRDefault="00CE7F43">
      <w:r>
        <w:t>2. Le béton de remplissage est également conforme aux normes [NBN EN 206:2013+A2] et la [NBN B 15-001].</w:t>
      </w:r>
    </w:p>
    <w:p w14:paraId="34901F6A" w14:textId="77777777" w:rsidR="00DF410E" w:rsidRDefault="00CE7F43">
      <w:pPr>
        <w:pStyle w:val="Author-eListParagraph"/>
        <w:numPr>
          <w:ilvl w:val="0"/>
          <w:numId w:val="529"/>
        </w:numPr>
      </w:pPr>
      <w:r>
        <w:t>Classe de résistance à la compression</w:t>
      </w:r>
    </w:p>
    <w:p w14:paraId="1812021F" w14:textId="77777777" w:rsidR="00DF410E" w:rsidRDefault="00CE7F43">
      <w:pPr>
        <w:ind w:left="567"/>
      </w:pPr>
      <w:r>
        <w:rPr>
          <w:rStyle w:val="optioncarChar"/>
        </w:rPr>
        <w:t>C25/30</w:t>
      </w:r>
      <w:r>
        <w:t xml:space="preserve"> (par défaut) </w:t>
      </w:r>
      <w:r>
        <w:rPr>
          <w:rStyle w:val="optioncarChar"/>
        </w:rPr>
        <w:t>/ 30/37 / C35/45 / C45/55 / C50/60 / C55/67 / C60/75 / C70/85 / C80/95 / C90/105 / ***</w:t>
      </w:r>
    </w:p>
    <w:p w14:paraId="05E82639" w14:textId="77777777" w:rsidR="00DF410E" w:rsidRDefault="00CE7F43">
      <w:pPr>
        <w:pStyle w:val="Author-eListParagraph"/>
        <w:numPr>
          <w:ilvl w:val="0"/>
          <w:numId w:val="530"/>
        </w:numPr>
      </w:pPr>
      <w:r>
        <w:t> Classe d’environnement</w:t>
      </w:r>
    </w:p>
    <w:p w14:paraId="360F0CB5" w14:textId="77777777" w:rsidR="00DF410E" w:rsidRDefault="00CE7F43">
      <w:pPr>
        <w:ind w:left="567"/>
      </w:pPr>
      <w:r>
        <w:rPr>
          <w:rStyle w:val="optioncarChar"/>
        </w:rPr>
        <w:t xml:space="preserve">EI </w:t>
      </w:r>
      <w:r>
        <w:t>(par défaut) </w:t>
      </w:r>
      <w:r>
        <w:rPr>
          <w:rStyle w:val="optioncarChar"/>
        </w:rPr>
        <w:t>/ EE1 / EE2 / EE3 / ***</w:t>
      </w:r>
    </w:p>
    <w:p w14:paraId="7A6757D6" w14:textId="77777777" w:rsidR="00DF410E" w:rsidRDefault="00CE7F43">
      <w:pPr>
        <w:pStyle w:val="Author-eListParagraph"/>
        <w:numPr>
          <w:ilvl w:val="0"/>
          <w:numId w:val="531"/>
        </w:numPr>
      </w:pPr>
      <w:r>
        <w:t>Dmax et classe de consistance (min.S4) en adéquation avec distance des parois.</w:t>
      </w:r>
      <w:r>
        <w:br/>
      </w:r>
    </w:p>
    <w:p w14:paraId="69A1B602" w14:textId="77777777" w:rsidR="00DF410E" w:rsidRDefault="00CE7F43">
      <w:pPr>
        <w:pStyle w:val="Author-eListParagraph"/>
        <w:numPr>
          <w:ilvl w:val="0"/>
          <w:numId w:val="531"/>
        </w:numPr>
      </w:pPr>
      <w:r>
        <w:t xml:space="preserve">L’armature des joints du béton de remplissage est au moins un treillis soudé, d’un acier BE 500S ou BE 500 TS de dimension </w:t>
      </w:r>
      <w:r>
        <w:rPr>
          <w:rStyle w:val="optioncarChar"/>
        </w:rPr>
        <w:t xml:space="preserve">150x150x8x8 </w:t>
      </w:r>
      <w:r>
        <w:t>(par défaut) </w:t>
      </w:r>
      <w:r>
        <w:rPr>
          <w:rStyle w:val="optioncarChar"/>
        </w:rPr>
        <w:t>/ ***x***x***x***</w:t>
      </w:r>
      <w:r>
        <w:t xml:space="preserve"> cm.</w:t>
      </w:r>
    </w:p>
    <w:p w14:paraId="7BD061EF" w14:textId="77777777" w:rsidR="00DF410E" w:rsidRDefault="00CE7F43">
      <w:pPr>
        <w:pStyle w:val="pheading"/>
      </w:pPr>
      <w:r>
        <w:t>- Finitions</w:t>
      </w:r>
    </w:p>
    <w:p w14:paraId="044A0DA8" w14:textId="77777777" w:rsidR="00DF410E" w:rsidRDefault="00CE7F43">
      <w:pPr>
        <w:jc w:val="both"/>
      </w:pPr>
      <w:r>
        <w:t xml:space="preserve">Type de béton préfabriqué avec exigences esthétiques : </w:t>
      </w:r>
      <w:r>
        <w:rPr>
          <w:rStyle w:val="optioncarChar"/>
        </w:rPr>
        <w:t>béton architectonique</w:t>
      </w:r>
      <w:r>
        <w:t xml:space="preserve"> (par défaut)</w:t>
      </w:r>
      <w:r>
        <w:rPr>
          <w:rStyle w:val="optioncarChar"/>
        </w:rPr>
        <w:t xml:space="preserve"> / béton décoratif industriel</w:t>
      </w:r>
    </w:p>
    <w:p w14:paraId="27FA9503" w14:textId="77777777" w:rsidR="00DF410E" w:rsidRDefault="00CE7F43">
      <w:pPr>
        <w:jc w:val="both"/>
      </w:pPr>
      <w:r>
        <w:t>Les éléments en béton architectoniques doivent répondre au [PTV 21-601].</w:t>
      </w:r>
    </w:p>
    <w:p w14:paraId="533369A8" w14:textId="77777777" w:rsidR="00DF410E" w:rsidRDefault="00CE7F43">
      <w:pPr>
        <w:jc w:val="both"/>
      </w:pPr>
      <w:r>
        <w:t xml:space="preserve">Les éléments en béton décoratif industriel doivent répondre aux Prescriptions complémentaires pour les éléments en béton décoratif industriel de la section </w:t>
      </w:r>
      <w:hyperlink w:anchor="87" w:history="1">
        <w:r>
          <w:t>22 Superstructures en béton</w:t>
        </w:r>
      </w:hyperlink>
      <w:r>
        <w:t>.</w:t>
      </w:r>
    </w:p>
    <w:p w14:paraId="76693C80" w14:textId="77777777" w:rsidR="00DF410E" w:rsidRDefault="00CE7F43">
      <w:pPr>
        <w:jc w:val="both"/>
      </w:pPr>
      <w:r>
        <w:t> Faces internes des parois: pas de prescription</w:t>
      </w:r>
    </w:p>
    <w:p w14:paraId="3E42FEF9" w14:textId="77777777" w:rsidR="00DF410E" w:rsidRDefault="00CE7F43">
      <w:pPr>
        <w:jc w:val="both"/>
      </w:pPr>
      <w:r>
        <w:t>Description détaillée des prémurs (paroi intérieure – face externe):</w:t>
      </w:r>
    </w:p>
    <w:p w14:paraId="2B3C75B1" w14:textId="77777777" w:rsidR="00DF410E" w:rsidRDefault="00CE7F43">
      <w:pPr>
        <w:jc w:val="both"/>
      </w:pPr>
      <w:r>
        <w:t>1.     Couleur :</w:t>
      </w:r>
    </w:p>
    <w:p w14:paraId="497BDBF8" w14:textId="77777777" w:rsidR="00DF410E" w:rsidRDefault="00CE7F43">
      <w:pPr>
        <w:jc w:val="both"/>
      </w:pPr>
      <w:r>
        <w:t>Les éléments en béton architectonique sont de couleur</w:t>
      </w:r>
      <w:r>
        <w:rPr>
          <w:rStyle w:val="optioncarChar"/>
        </w:rPr>
        <w:t xml:space="preserve"> ***</w:t>
      </w:r>
      <w:r>
        <w:t xml:space="preserve">, afin d’approcher au mieux le coloris RAL </w:t>
      </w:r>
      <w:r>
        <w:rPr>
          <w:rStyle w:val="optioncarChar"/>
        </w:rPr>
        <w:t>***</w:t>
      </w:r>
      <w:r>
        <w:t>.</w:t>
      </w:r>
    </w:p>
    <w:p w14:paraId="2FB29CAD" w14:textId="77777777" w:rsidR="00DF410E" w:rsidRDefault="00CE7F43">
      <w:pPr>
        <w:jc w:val="both"/>
      </w:pPr>
      <w:r>
        <w:t>2.     Finition de la surface apparente</w:t>
      </w:r>
    </w:p>
    <w:p w14:paraId="72315BAE" w14:textId="77777777" w:rsidR="00DF410E" w:rsidRDefault="00CE7F43">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6A97234F" w14:textId="77777777" w:rsidR="00DF410E" w:rsidRDefault="00DF410E">
      <w:pPr>
        <w:jc w:val="both"/>
      </w:pPr>
    </w:p>
    <w:p w14:paraId="43328CB4" w14:textId="77777777" w:rsidR="00DF410E" w:rsidRDefault="00CE7F43">
      <w:pPr>
        <w:jc w:val="both"/>
      </w:pPr>
      <w:r>
        <w:rPr>
          <w:u w:val="single"/>
        </w:rPr>
        <w:t>Terminaison des arêtes</w:t>
      </w:r>
    </w:p>
    <w:p w14:paraId="054CAAAA" w14:textId="77777777" w:rsidR="00DF410E" w:rsidRDefault="00CE7F43">
      <w:pPr>
        <w:jc w:val="both"/>
      </w:pPr>
      <w:r>
        <w:t xml:space="preserve"> Les arêtes saillantes des prémurs sont </w:t>
      </w:r>
      <w:r>
        <w:rPr>
          <w:rStyle w:val="optioncarChar"/>
        </w:rPr>
        <w:t>chanfreinées en triangle </w:t>
      </w:r>
      <w:r>
        <w:t>(par défaut)</w:t>
      </w:r>
      <w:r>
        <w:rPr>
          <w:rStyle w:val="optioncarChar"/>
        </w:rPr>
        <w:t xml:space="preserve"> /chanfreinées en arrondi / vives</w:t>
      </w:r>
    </w:p>
    <w:p w14:paraId="693BE3FE" w14:textId="77777777" w:rsidR="00DF410E" w:rsidRDefault="00DF410E">
      <w:pPr>
        <w:jc w:val="both"/>
      </w:pPr>
    </w:p>
    <w:p w14:paraId="39A675DE" w14:textId="77777777" w:rsidR="00DF410E" w:rsidRDefault="00CE7F43">
      <w:pPr>
        <w:jc w:val="both"/>
      </w:pPr>
      <w:r>
        <w:rPr>
          <w:b/>
          <w:i/>
        </w:rPr>
        <w:t>(soit)</w:t>
      </w:r>
    </w:p>
    <w:p w14:paraId="4204A362" w14:textId="77777777" w:rsidR="00DF410E" w:rsidRDefault="00CE7F43">
      <w:pPr>
        <w:jc w:val="both"/>
      </w:pPr>
      <w:r>
        <w:rPr>
          <w:rStyle w:val="soitChar"/>
          <w:u w:val="single"/>
        </w:rPr>
        <w:t>chanfreinées en triangle</w:t>
      </w:r>
    </w:p>
    <w:p w14:paraId="46FCC95B" w14:textId="77777777" w:rsidR="00DF410E" w:rsidRDefault="00CE7F43">
      <w:pPr>
        <w:jc w:val="both"/>
      </w:pPr>
      <w:r>
        <w:rPr>
          <w:rStyle w:val="soitChar"/>
        </w:rPr>
        <w:t xml:space="preserve"> Les arêtes sont cassées au moyen d'un chanfrein de</w:t>
      </w:r>
      <w:r>
        <w:rPr>
          <w:rStyle w:val="optioncarChar"/>
        </w:rPr>
        <w:t xml:space="preserve"> 1,5 x 1,5 </w:t>
      </w:r>
      <w:r>
        <w:t>(par défaut) </w:t>
      </w:r>
      <w:r>
        <w:rPr>
          <w:rStyle w:val="optioncarChar"/>
        </w:rPr>
        <w:t xml:space="preserve">/ 2,5 x 2,5 / *** x *** </w:t>
      </w:r>
      <w:r>
        <w:rPr>
          <w:rStyle w:val="soitChar"/>
        </w:rPr>
        <w:t>cm</w:t>
      </w:r>
      <w:r>
        <w:t>.</w:t>
      </w:r>
    </w:p>
    <w:p w14:paraId="6AC59155" w14:textId="77777777" w:rsidR="00DF410E" w:rsidRDefault="00DF410E">
      <w:pPr>
        <w:jc w:val="both"/>
      </w:pPr>
    </w:p>
    <w:p w14:paraId="38654B96" w14:textId="77777777" w:rsidR="00DF410E" w:rsidRDefault="00CE7F43">
      <w:pPr>
        <w:jc w:val="both"/>
      </w:pPr>
      <w:r>
        <w:rPr>
          <w:b/>
          <w:i/>
        </w:rPr>
        <w:t>(soit)</w:t>
      </w:r>
    </w:p>
    <w:p w14:paraId="21118DF0" w14:textId="77777777" w:rsidR="00DF410E" w:rsidRDefault="00CE7F43">
      <w:pPr>
        <w:jc w:val="both"/>
      </w:pPr>
      <w:r>
        <w:rPr>
          <w:rStyle w:val="soitChar"/>
          <w:u w:val="single"/>
        </w:rPr>
        <w:t> chanfreinée en arrondi</w:t>
      </w:r>
    </w:p>
    <w:p w14:paraId="397EFEDD" w14:textId="77777777" w:rsidR="00DF410E" w:rsidRDefault="00CE7F43">
      <w:pPr>
        <w:jc w:val="both"/>
      </w:pPr>
      <w:r>
        <w:rPr>
          <w:rStyle w:val="soitChar"/>
        </w:rPr>
        <w:t xml:space="preserve"> Les arêtes sont cassées au moyen d'un chanfrein de rayon</w:t>
      </w:r>
      <w:r>
        <w:rPr>
          <w:rStyle w:val="optioncarChar"/>
        </w:rPr>
        <w:t xml:space="preserve">1,5 </w:t>
      </w:r>
      <w:r>
        <w:t>(par défaut) </w:t>
      </w:r>
      <w:r>
        <w:rPr>
          <w:rStyle w:val="optioncarChar"/>
        </w:rPr>
        <w:t>/ 2,5 / *** </w:t>
      </w:r>
      <w:r>
        <w:rPr>
          <w:rStyle w:val="soitChar"/>
        </w:rPr>
        <w:t>cm</w:t>
      </w:r>
      <w:r>
        <w:t xml:space="preserve"> .</w:t>
      </w:r>
    </w:p>
    <w:p w14:paraId="5804337C" w14:textId="77777777" w:rsidR="00DF410E" w:rsidRDefault="00DF410E">
      <w:pPr>
        <w:jc w:val="both"/>
      </w:pPr>
    </w:p>
    <w:p w14:paraId="3437F5AA" w14:textId="77777777" w:rsidR="00DF410E" w:rsidRDefault="00CE7F43">
      <w:pPr>
        <w:jc w:val="both"/>
      </w:pPr>
      <w:r>
        <w:rPr>
          <w:b/>
          <w:i/>
        </w:rPr>
        <w:t>(soit)</w:t>
      </w:r>
    </w:p>
    <w:p w14:paraId="61D83786" w14:textId="77777777" w:rsidR="00DF410E" w:rsidRDefault="00CE7F43">
      <w:pPr>
        <w:jc w:val="both"/>
      </w:pPr>
      <w:r>
        <w:rPr>
          <w:rStyle w:val="soitChar"/>
          <w:u w:val="single"/>
        </w:rPr>
        <w:t>vives</w:t>
      </w:r>
    </w:p>
    <w:p w14:paraId="3ED6F56F" w14:textId="77777777" w:rsidR="00DF410E" w:rsidRDefault="00CE7F43">
      <w:pPr>
        <w:jc w:val="both"/>
      </w:pPr>
      <w:r>
        <w:t>Description détaillée des prémurs (paroi extérieure – face externe):</w:t>
      </w:r>
    </w:p>
    <w:p w14:paraId="5792706D" w14:textId="77777777" w:rsidR="00DF410E" w:rsidRDefault="00CE7F43">
      <w:pPr>
        <w:jc w:val="both"/>
      </w:pPr>
      <w:r>
        <w:t xml:space="preserve">Finition identique à celle de la face externe de la paroi intérieure : </w:t>
      </w:r>
      <w:r>
        <w:rPr>
          <w:rStyle w:val="optioncarChar"/>
        </w:rPr>
        <w:t>oui / non</w:t>
      </w:r>
    </w:p>
    <w:p w14:paraId="27EFDBEB" w14:textId="77777777" w:rsidR="00DF410E" w:rsidRDefault="00CE7F43">
      <w:pPr>
        <w:jc w:val="both"/>
      </w:pPr>
      <w:r>
        <w:rPr>
          <w:b/>
          <w:i/>
        </w:rPr>
        <w:t>Si la finition est différente</w:t>
      </w:r>
    </w:p>
    <w:p w14:paraId="37D48370" w14:textId="77777777" w:rsidR="00DF410E" w:rsidRDefault="00CE7F43">
      <w:pPr>
        <w:jc w:val="both"/>
      </w:pPr>
      <w:r>
        <w:t>1.     Couleur :</w:t>
      </w:r>
    </w:p>
    <w:p w14:paraId="6EC33AF3" w14:textId="77777777" w:rsidR="00DF410E" w:rsidRDefault="00CE7F43">
      <w:pPr>
        <w:jc w:val="both"/>
      </w:pPr>
      <w:r>
        <w:t>Les éléments en béton architectonique seront de couleur</w:t>
      </w:r>
      <w:r>
        <w:rPr>
          <w:rStyle w:val="optioncarChar"/>
        </w:rPr>
        <w:t> ***</w:t>
      </w:r>
      <w:r>
        <w:t>, afin d’approcher au mieux le coloris RAL </w:t>
      </w:r>
      <w:r>
        <w:rPr>
          <w:rStyle w:val="optioncarChar"/>
        </w:rPr>
        <w:t>***</w:t>
      </w:r>
      <w:r>
        <w:t>.</w:t>
      </w:r>
    </w:p>
    <w:p w14:paraId="52B95F42" w14:textId="77777777" w:rsidR="00DF410E" w:rsidRDefault="00CE7F43">
      <w:pPr>
        <w:jc w:val="both"/>
      </w:pPr>
      <w:r>
        <w:t>2.     Finition de la surface apparente</w:t>
      </w:r>
    </w:p>
    <w:p w14:paraId="2C883EDE" w14:textId="77777777" w:rsidR="00DF410E" w:rsidRDefault="00CE7F43">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01E0A6F7" w14:textId="77777777" w:rsidR="00DF410E" w:rsidRDefault="00DF410E">
      <w:pPr>
        <w:jc w:val="both"/>
      </w:pPr>
    </w:p>
    <w:p w14:paraId="2271FCD1" w14:textId="77777777" w:rsidR="00DF410E" w:rsidRDefault="00CE7F43">
      <w:pPr>
        <w:jc w:val="both"/>
      </w:pPr>
      <w:r>
        <w:rPr>
          <w:u w:val="single"/>
        </w:rPr>
        <w:t>Terminaison des arêtes</w:t>
      </w:r>
      <w:r>
        <w:t> </w:t>
      </w:r>
    </w:p>
    <w:p w14:paraId="09FCA26B" w14:textId="77777777" w:rsidR="00DF410E" w:rsidRDefault="00CE7F43">
      <w:pPr>
        <w:jc w:val="both"/>
      </w:pPr>
      <w:r>
        <w:t>Les arêtes saillantes des prémurs sont </w:t>
      </w:r>
      <w:r>
        <w:rPr>
          <w:rStyle w:val="optioncarChar"/>
        </w:rPr>
        <w:t>chanfreinées en triangle </w:t>
      </w:r>
      <w:r>
        <w:t>(par défaut)</w:t>
      </w:r>
      <w:r>
        <w:rPr>
          <w:rStyle w:val="optioncarChar"/>
        </w:rPr>
        <w:t xml:space="preserve"> / chanfreinées en arrondi / vives</w:t>
      </w:r>
    </w:p>
    <w:p w14:paraId="3BEF87BD" w14:textId="77777777" w:rsidR="00DF410E" w:rsidRDefault="00CE7F43">
      <w:pPr>
        <w:jc w:val="both"/>
      </w:pPr>
      <w:r>
        <w:rPr>
          <w:b/>
          <w:i/>
        </w:rPr>
        <w:t>(soit)</w:t>
      </w:r>
    </w:p>
    <w:p w14:paraId="6F371F38" w14:textId="77777777" w:rsidR="00DF410E" w:rsidRDefault="00CE7F43">
      <w:pPr>
        <w:jc w:val="both"/>
      </w:pPr>
      <w:r>
        <w:rPr>
          <w:rStyle w:val="soitChar"/>
          <w:u w:val="single"/>
        </w:rPr>
        <w:t>chanfreinées en triangle</w:t>
      </w:r>
    </w:p>
    <w:p w14:paraId="30B5A513" w14:textId="77777777" w:rsidR="00DF410E" w:rsidRDefault="00CE7F43">
      <w:pPr>
        <w:jc w:val="both"/>
      </w:pPr>
      <w:r>
        <w:rPr>
          <w:rStyle w:val="soitChar"/>
        </w:rPr>
        <w:t>Les arêtes sont cassées au moyen d'un chanfrein de</w:t>
      </w:r>
      <w:r>
        <w:rPr>
          <w:rStyle w:val="optioncarChar"/>
        </w:rPr>
        <w:t> 1,5 x 1,5 </w:t>
      </w:r>
      <w:r>
        <w:t>(par défaut)</w:t>
      </w:r>
      <w:r>
        <w:rPr>
          <w:rStyle w:val="optioncarChar"/>
        </w:rPr>
        <w:t xml:space="preserve"> / 2,5 x 2,5 / *** x *** </w:t>
      </w:r>
      <w:r>
        <w:rPr>
          <w:rStyle w:val="soitChar"/>
        </w:rPr>
        <w:t>cm</w:t>
      </w:r>
      <w:r>
        <w:t>.</w:t>
      </w:r>
    </w:p>
    <w:p w14:paraId="438A9BF3" w14:textId="77777777" w:rsidR="00DF410E" w:rsidRDefault="00CE7F43">
      <w:pPr>
        <w:jc w:val="both"/>
      </w:pPr>
      <w:r>
        <w:rPr>
          <w:b/>
          <w:i/>
        </w:rPr>
        <w:t>(soit)</w:t>
      </w:r>
    </w:p>
    <w:p w14:paraId="378D8F25" w14:textId="77777777" w:rsidR="00DF410E" w:rsidRDefault="00CE7F43">
      <w:pPr>
        <w:jc w:val="both"/>
      </w:pPr>
      <w:r>
        <w:rPr>
          <w:rStyle w:val="soitChar"/>
          <w:u w:val="single"/>
        </w:rPr>
        <w:t>chanfreinée en arrondi</w:t>
      </w:r>
    </w:p>
    <w:p w14:paraId="4CB95E6D" w14:textId="77777777" w:rsidR="00DF410E" w:rsidRDefault="00CE7F43">
      <w:pPr>
        <w:jc w:val="both"/>
      </w:pP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w:t>
      </w:r>
      <w:r>
        <w:t> .</w:t>
      </w:r>
    </w:p>
    <w:p w14:paraId="7E684938" w14:textId="77777777" w:rsidR="00DF410E" w:rsidRDefault="00CE7F43">
      <w:pPr>
        <w:jc w:val="both"/>
      </w:pPr>
      <w:r>
        <w:rPr>
          <w:b/>
          <w:i/>
        </w:rPr>
        <w:t>(soit)</w:t>
      </w:r>
    </w:p>
    <w:p w14:paraId="01CDF072" w14:textId="77777777" w:rsidR="00DF410E" w:rsidRDefault="00CE7F43">
      <w:pPr>
        <w:jc w:val="both"/>
      </w:pPr>
      <w:r>
        <w:rPr>
          <w:rStyle w:val="soitChar"/>
          <w:u w:val="single"/>
        </w:rPr>
        <w:t>vives</w:t>
      </w:r>
    </w:p>
    <w:p w14:paraId="548DE5B5" w14:textId="77777777" w:rsidR="00DF410E" w:rsidRDefault="00CE7F43">
      <w:pPr>
        <w:pStyle w:val="pheading"/>
      </w:pPr>
      <w:r>
        <w:t>- Prescriptions complémentaires</w:t>
      </w:r>
    </w:p>
    <w:p w14:paraId="62B2359C" w14:textId="77777777" w:rsidR="00DF410E" w:rsidRDefault="00CE7F43">
      <w:pPr>
        <w:jc w:val="both"/>
      </w:pPr>
      <w:r>
        <w:rPr>
          <w:rStyle w:val="facultChar"/>
        </w:rPr>
        <w:t>Résistance au feu : pour les éléments porteurs et structurels sans fonction séparant </w:t>
      </w:r>
      <w:r>
        <w:rPr>
          <w:rStyle w:val="optioncarChar"/>
        </w:rPr>
        <w:t xml:space="preserve">/ R15 / R30 </w:t>
      </w:r>
      <w:r>
        <w:t>(par défaut) </w:t>
      </w:r>
      <w:r>
        <w:rPr>
          <w:rStyle w:val="optioncarChar"/>
        </w:rPr>
        <w:t>/ R60 / R120 / R ***</w:t>
      </w:r>
      <w:r>
        <w:rPr>
          <w:rStyle w:val="facultChar"/>
        </w:rPr>
        <w:t>, pour les éléments porteurs et structurels avec fonction séparant </w:t>
      </w:r>
      <w:r>
        <w:rPr>
          <w:rStyle w:val="optioncarChar"/>
        </w:rPr>
        <w:t>/ REI 30 </w:t>
      </w:r>
      <w:r>
        <w:t>(par défaut)</w:t>
      </w:r>
      <w:r>
        <w:rPr>
          <w:rStyle w:val="optioncarChar"/>
        </w:rPr>
        <w:t xml:space="preserve"> / REI 60 / REI 120 / REI ***</w:t>
      </w:r>
      <w:r>
        <w:rPr>
          <w:rStyle w:val="facultChar"/>
        </w:rPr>
        <w:t> et pour les éléments non porteurs avec fonction séparant </w:t>
      </w:r>
      <w:r>
        <w:rPr>
          <w:rStyle w:val="optioncarChar"/>
        </w:rPr>
        <w:t>/ EI 30</w:t>
      </w:r>
      <w:r>
        <w:t> (par défaut) </w:t>
      </w:r>
      <w:r>
        <w:rPr>
          <w:rStyle w:val="optioncarChar"/>
        </w:rPr>
        <w:t>/ EI 60 / EI 120 / EI ***</w:t>
      </w:r>
    </w:p>
    <w:p w14:paraId="69BF7EE1" w14:textId="77777777" w:rsidR="00DF410E" w:rsidRDefault="00CE7F43">
      <w:pPr>
        <w:pStyle w:val="pheading"/>
      </w:pPr>
      <w:r>
        <w:t>EXÉCUTION / MISE EN ŒUVRE</w:t>
      </w:r>
    </w:p>
    <w:p w14:paraId="72737C70" w14:textId="77777777" w:rsidR="00DF410E" w:rsidRDefault="00CE7F43">
      <w:pPr>
        <w:pStyle w:val="pheading"/>
      </w:pPr>
      <w:r>
        <w:t>- Prescriptions générales</w:t>
      </w:r>
    </w:p>
    <w:p w14:paraId="5379DACF" w14:textId="77777777" w:rsidR="00DF410E" w:rsidRDefault="00DF410E"/>
    <w:p w14:paraId="04CC1670" w14:textId="77777777" w:rsidR="00DF410E" w:rsidRDefault="00CE7F43">
      <w:pPr>
        <w:pStyle w:val="Author-eListParagraph"/>
        <w:numPr>
          <w:ilvl w:val="0"/>
          <w:numId w:val="532"/>
        </w:numPr>
      </w:pPr>
      <w:r>
        <w:t>L’étude et les plans d’exécution </w:t>
      </w:r>
      <w:r>
        <w:rPr>
          <w:rStyle w:val="optioncarChar"/>
        </w:rPr>
        <w:t>sont / ne sont pas</w:t>
      </w:r>
      <w:r>
        <w:t> à charge de l’entreprise.</w:t>
      </w:r>
    </w:p>
    <w:p w14:paraId="248574FF" w14:textId="77777777" w:rsidR="00DF410E" w:rsidRDefault="00CE7F43">
      <w:pPr>
        <w:pStyle w:val="Author-eListParagraph"/>
        <w:numPr>
          <w:ilvl w:val="0"/>
          <w:numId w:val="532"/>
        </w:numPr>
      </w:pPr>
      <w:r>
        <w:t>La mise en œuvre est conforme aux normes [NBN EN 13670]  et [NBN B 15-400].</w:t>
      </w:r>
    </w:p>
    <w:p w14:paraId="2EE617DB" w14:textId="77777777" w:rsidR="00DF410E" w:rsidRDefault="00CE7F43">
      <w:pPr>
        <w:pStyle w:val="Author-eListParagraph"/>
        <w:numPr>
          <w:ilvl w:val="0"/>
          <w:numId w:val="532"/>
        </w:numPr>
      </w:pPr>
      <w:r>
        <w:t>Les parois sont fabriquées dans les dimensions indiquées sur les plans d’exécution approuvés.</w:t>
      </w:r>
    </w:p>
    <w:p w14:paraId="4C2DEF65" w14:textId="77777777" w:rsidR="00DF410E" w:rsidRDefault="00CE7F43">
      <w:pPr>
        <w:pStyle w:val="Author-eListParagraph"/>
        <w:numPr>
          <w:ilvl w:val="0"/>
          <w:numId w:val="532"/>
        </w:numPr>
      </w:pPr>
      <w:r>
        <w:t>L’alignement des prémurs est réalisé au moyens d’étais et de madriers en bois parfaitement alignés.</w:t>
      </w:r>
    </w:p>
    <w:p w14:paraId="1945D06F" w14:textId="77777777" w:rsidR="00DF410E" w:rsidRDefault="00CE7F43">
      <w:pPr>
        <w:pStyle w:val="Author-eListParagraph"/>
        <w:numPr>
          <w:ilvl w:val="0"/>
          <w:numId w:val="532"/>
        </w:numPr>
      </w:pPr>
      <w:r>
        <w:t>Le sol/support doit être non travaillé et stable.</w:t>
      </w:r>
    </w:p>
    <w:p w14:paraId="2659E487" w14:textId="77777777" w:rsidR="00DF410E" w:rsidRDefault="00CE7F43">
      <w:pPr>
        <w:pStyle w:val="Author-eListParagraph"/>
        <w:numPr>
          <w:ilvl w:val="0"/>
          <w:numId w:val="532"/>
        </w:numPr>
      </w:pPr>
      <w:r>
        <w:t>La verticalité doit être garantie par la pose préalable de madrier en bois</w:t>
      </w:r>
    </w:p>
    <w:p w14:paraId="61A0DD57" w14:textId="77777777" w:rsidR="00DF410E" w:rsidRDefault="00CE7F43">
      <w:pPr>
        <w:pStyle w:val="Author-eListParagraph"/>
        <w:numPr>
          <w:ilvl w:val="0"/>
          <w:numId w:val="532"/>
        </w:numPr>
      </w:pPr>
      <w:r>
        <w:t>Les étançons doivent être solidement fixés. L’angle entre l’étançon et le prémur doit être au minimum de 30°. Le nombre d’étançons nécessaires communiqué par le fabricant est respecté.</w:t>
      </w:r>
    </w:p>
    <w:p w14:paraId="73584BB0" w14:textId="77777777" w:rsidR="00DF410E" w:rsidRDefault="00CE7F43">
      <w:pPr>
        <w:pStyle w:val="Author-eListParagraph"/>
        <w:numPr>
          <w:ilvl w:val="0"/>
          <w:numId w:val="532"/>
        </w:numPr>
      </w:pPr>
      <w:r>
        <w:t>Le béton de remplissage est coulé en couche de maximum 60 cm d’épaisseur et doit être vibré conformément aux normes[NBN EN 13670]  et [NBN B 15-400].</w:t>
      </w:r>
    </w:p>
    <w:p w14:paraId="1D5C8D29" w14:textId="77777777" w:rsidR="00DF410E" w:rsidRDefault="00CE7F43">
      <w:pPr>
        <w:pStyle w:val="Author-eListParagraph"/>
        <w:numPr>
          <w:ilvl w:val="0"/>
          <w:numId w:val="532"/>
        </w:numPr>
      </w:pPr>
      <w:r>
        <w:t>Afin d’éviter l’ouverture des joints à hauteur des coins, il faut placer des équerres ou planches d’étais.</w:t>
      </w:r>
    </w:p>
    <w:p w14:paraId="02A018DE" w14:textId="77777777" w:rsidR="00DF410E" w:rsidRDefault="00CE7F43">
      <w:pPr>
        <w:pStyle w:val="Author-eListParagraph"/>
        <w:numPr>
          <w:ilvl w:val="0"/>
          <w:numId w:val="532"/>
        </w:numPr>
      </w:pPr>
      <w:r>
        <w:t xml:space="preserve">Mise en place de tôle d’étanchéité : </w:t>
      </w:r>
      <w:r>
        <w:rPr>
          <w:rStyle w:val="optioncarChar"/>
        </w:rPr>
        <w:t>oui / non</w:t>
      </w:r>
    </w:p>
    <w:p w14:paraId="52E6AE40" w14:textId="77777777" w:rsidR="00DF410E" w:rsidRDefault="00CE7F43">
      <w:pPr>
        <w:pStyle w:val="pheading"/>
      </w:pPr>
      <w:r>
        <w:t>DOCUMENTS DE RÉFÉRENCE COMPLÉMENTAIRES</w:t>
      </w:r>
    </w:p>
    <w:p w14:paraId="76B7B088" w14:textId="77777777" w:rsidR="00DF410E" w:rsidRDefault="00CE7F43">
      <w:pPr>
        <w:pStyle w:val="pheading"/>
      </w:pPr>
      <w:r>
        <w:t>- Matériau</w:t>
      </w:r>
    </w:p>
    <w:p w14:paraId="7FFC35BB" w14:textId="77777777" w:rsidR="00DF410E" w:rsidRDefault="00CE7F43">
      <w:r>
        <w:t>[NBN EN 14992+A1, Produits préfabriqués en béton - Eléments de mur]</w:t>
      </w:r>
    </w:p>
    <w:p w14:paraId="09A64F88" w14:textId="77777777" w:rsidR="00DF410E" w:rsidRDefault="00CE7F43">
      <w:r>
        <w:t>[RA 21-612, Règlement d'application Benor - Produits préfabriqués en béton - Eléments de murs]</w:t>
      </w:r>
      <w:r>
        <w:br/>
      </w:r>
      <w:r>
        <w:br/>
        <w:t>[Buildwise Méthode de dimensionnement Rapport 10, Sécurité et mise en oeuvre d'éléments préfabriqués en béton]</w:t>
      </w:r>
    </w:p>
    <w:p w14:paraId="4C45CCFA" w14:textId="77777777" w:rsidR="00DF410E" w:rsidRDefault="00CE7F43">
      <w:r>
        <w:t>[PTV 21-601, Eléments préfabriqués en béton architectonique.]</w:t>
      </w:r>
    </w:p>
    <w:p w14:paraId="2CD571FB" w14:textId="77777777" w:rsidR="00DF410E" w:rsidRDefault="00CE7F43">
      <w:r>
        <w:t>[NBN EN 206:2013+A2, Béton - Spécification, performances, production et conformité]</w:t>
      </w:r>
    </w:p>
    <w:p w14:paraId="138277E3" w14:textId="77777777" w:rsidR="00DF410E" w:rsidRDefault="00CE7F43">
      <w:r>
        <w:t>[NBN B 15-001, Béton - Spécification, performances, production et conformité - Complément national à la NBN EN 206:2013+A2:2021]</w:t>
      </w:r>
    </w:p>
    <w:p w14:paraId="0F3E00CE" w14:textId="77777777" w:rsidR="00DF410E" w:rsidRDefault="00DF410E"/>
    <w:p w14:paraId="58B1A14C" w14:textId="77777777" w:rsidR="00DF410E" w:rsidRDefault="00CE7F43">
      <w:r>
        <w:t> </w:t>
      </w:r>
    </w:p>
    <w:p w14:paraId="3185BEDF" w14:textId="77777777" w:rsidR="00DF410E" w:rsidRDefault="00CE7F43">
      <w:pPr>
        <w:pStyle w:val="pheading"/>
      </w:pPr>
      <w:r>
        <w:t>- Exécution</w:t>
      </w:r>
    </w:p>
    <w:p w14:paraId="72F837D1" w14:textId="77777777" w:rsidR="00DF410E" w:rsidRDefault="00CE7F43">
      <w:r>
        <w:t>[NBN EN 13670, Exécution des structures en béton]</w:t>
      </w:r>
    </w:p>
    <w:p w14:paraId="37823FB7" w14:textId="77777777" w:rsidR="00DF410E" w:rsidRDefault="00CE7F43">
      <w:r>
        <w:t>[NBN B 15-400, Exécution des structures en béton - Supplément national à la NBN EN 13670:2010]</w:t>
      </w:r>
    </w:p>
    <w:p w14:paraId="1AD333D0" w14:textId="77777777" w:rsidR="00DF410E" w:rsidRDefault="00CE7F43">
      <w:r>
        <w:t>[FEBE BT Prémurs, Brochure Technique - Prémurs - Rapides et économiques]</w:t>
      </w:r>
    </w:p>
    <w:p w14:paraId="33776E5B" w14:textId="77777777" w:rsidR="00DF410E" w:rsidRDefault="00CE7F43">
      <w:pPr>
        <w:pStyle w:val="pheading"/>
      </w:pPr>
      <w:r>
        <w:t>MESURAGE</w:t>
      </w:r>
    </w:p>
    <w:p w14:paraId="07D170F4" w14:textId="77777777" w:rsidR="00DF410E" w:rsidRDefault="00CE7F43">
      <w:pPr>
        <w:pStyle w:val="pheading"/>
      </w:pPr>
      <w:r>
        <w:t>- unité de mesure:</w:t>
      </w:r>
    </w:p>
    <w:p w14:paraId="08E6F698" w14:textId="77777777" w:rsidR="00DF410E" w:rsidRDefault="00CE7F43">
      <w:r>
        <w:rPr>
          <w:rStyle w:val="optioncarChar"/>
        </w:rPr>
        <w:t>m³</w:t>
      </w:r>
      <w:r>
        <w:t>    (par défaut) </w:t>
      </w:r>
      <w:r>
        <w:rPr>
          <w:rStyle w:val="optioncarChar"/>
        </w:rPr>
        <w:t>/ pc / m / m² </w:t>
      </w:r>
    </w:p>
    <w:p w14:paraId="1F8ED04E" w14:textId="77777777" w:rsidR="00DF410E" w:rsidRDefault="00CE7F43">
      <w:r>
        <w:rPr>
          <w:b/>
          <w:i/>
        </w:rPr>
        <w:t>(Soit par défaut)</w:t>
      </w:r>
    </w:p>
    <w:p w14:paraId="44DA04D2" w14:textId="77777777" w:rsidR="00DF410E" w:rsidRDefault="00CE7F43">
      <w:r>
        <w:rPr>
          <w:rStyle w:val="soitChar"/>
        </w:rPr>
        <w:t>1. m³</w:t>
      </w:r>
    </w:p>
    <w:p w14:paraId="7AF7C6E0" w14:textId="77777777" w:rsidR="00DF410E" w:rsidRDefault="00CE7F43">
      <w:r>
        <w:rPr>
          <w:b/>
          <w:i/>
        </w:rPr>
        <w:t>(Soit)</w:t>
      </w:r>
    </w:p>
    <w:p w14:paraId="0E95705F" w14:textId="77777777" w:rsidR="00DF410E" w:rsidRDefault="00CE7F43">
      <w:r>
        <w:rPr>
          <w:rStyle w:val="soitChar"/>
        </w:rPr>
        <w:t>2. pc</w:t>
      </w:r>
    </w:p>
    <w:p w14:paraId="16049CB2" w14:textId="77777777" w:rsidR="00DF410E" w:rsidRDefault="00CE7F43">
      <w:r>
        <w:rPr>
          <w:b/>
          <w:i/>
        </w:rPr>
        <w:t>(Soit)</w:t>
      </w:r>
    </w:p>
    <w:p w14:paraId="49FC0446" w14:textId="77777777" w:rsidR="00DF410E" w:rsidRDefault="00CE7F43">
      <w:r>
        <w:rPr>
          <w:rStyle w:val="soitChar"/>
        </w:rPr>
        <w:t>3. m</w:t>
      </w:r>
    </w:p>
    <w:p w14:paraId="643CC054" w14:textId="77777777" w:rsidR="00DF410E" w:rsidRDefault="00CE7F43">
      <w:r>
        <w:rPr>
          <w:b/>
          <w:i/>
        </w:rPr>
        <w:t>(Soit)</w:t>
      </w:r>
    </w:p>
    <w:p w14:paraId="09AB3AA0" w14:textId="77777777" w:rsidR="00DF410E" w:rsidRDefault="00CE7F43">
      <w:r>
        <w:rPr>
          <w:rStyle w:val="soitChar"/>
        </w:rPr>
        <w:t>4. m²</w:t>
      </w:r>
    </w:p>
    <w:p w14:paraId="08F4B304" w14:textId="77777777" w:rsidR="00DF410E" w:rsidRDefault="00CE7F43">
      <w:pPr>
        <w:pStyle w:val="pheading"/>
      </w:pPr>
      <w:r>
        <w:t>- code de mesurage:</w:t>
      </w:r>
    </w:p>
    <w:p w14:paraId="2E845E58" w14:textId="77777777" w:rsidR="00DF410E" w:rsidRDefault="00CE7F43">
      <w:r>
        <w:rPr>
          <w:rStyle w:val="optioncarChar"/>
        </w:rPr>
        <w:t>Volume net </w:t>
      </w:r>
      <w:r>
        <w:t>(par défaut)</w:t>
      </w:r>
      <w:r>
        <w:rPr>
          <w:rStyle w:val="optioncarChar"/>
        </w:rPr>
        <w:t> / quantité nette / longueur nette / surface nette</w:t>
      </w:r>
    </w:p>
    <w:p w14:paraId="27243129" w14:textId="77777777" w:rsidR="00DF410E" w:rsidRDefault="00CE7F43">
      <w:r>
        <w:rPr>
          <w:b/>
          <w:i/>
        </w:rPr>
        <w:t>(Soit par défaut)</w:t>
      </w:r>
    </w:p>
    <w:p w14:paraId="327EA78B" w14:textId="77777777" w:rsidR="00DF410E" w:rsidRDefault="00CE7F43">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3FEE5B6F" w14:textId="77777777" w:rsidR="00DF410E" w:rsidRDefault="00CE7F43">
      <w:r>
        <w:rPr>
          <w:rStyle w:val="soitChar"/>
        </w:rPr>
        <w:t>Aucune déduction n'est faite pour:</w:t>
      </w:r>
    </w:p>
    <w:p w14:paraId="3636864B" w14:textId="77777777" w:rsidR="00DF410E" w:rsidRDefault="00CE7F43">
      <w:pPr>
        <w:pStyle w:val="Author-eListParagraph"/>
        <w:numPr>
          <w:ilvl w:val="0"/>
          <w:numId w:val="533"/>
        </w:numPr>
      </w:pPr>
      <w:r>
        <w:rPr>
          <w:rStyle w:val="soitChar"/>
        </w:rPr>
        <w:t>le volume des armatures,</w:t>
      </w:r>
    </w:p>
    <w:p w14:paraId="64CAC455" w14:textId="77777777" w:rsidR="00DF410E" w:rsidRDefault="00CE7F43">
      <w:pPr>
        <w:pStyle w:val="Author-eListParagraph"/>
        <w:numPr>
          <w:ilvl w:val="0"/>
          <w:numId w:val="533"/>
        </w:numPr>
      </w:pPr>
      <w:r>
        <w:rPr>
          <w:rStyle w:val="soitChar"/>
        </w:rPr>
        <w:t>les blocs et écarteurs, les fourreaux pour les armatures de précontrainte ;</w:t>
      </w:r>
    </w:p>
    <w:p w14:paraId="51DAEFF5" w14:textId="77777777" w:rsidR="00DF410E" w:rsidRDefault="00CE7F43">
      <w:pPr>
        <w:pStyle w:val="Author-eListParagraph"/>
        <w:numPr>
          <w:ilvl w:val="0"/>
          <w:numId w:val="533"/>
        </w:numPr>
      </w:pPr>
      <w:r>
        <w:rPr>
          <w:rStyle w:val="soitChar"/>
        </w:rPr>
        <w:t>les pénétrations pour les pattes d’ancrage, les creux, les conduites noyées et les réservations dont le volume est inférieur à 0,05 m3.</w:t>
      </w:r>
    </w:p>
    <w:p w14:paraId="5734663D" w14:textId="77777777" w:rsidR="00DF410E" w:rsidRDefault="00CE7F43">
      <w:pPr>
        <w:pStyle w:val="Author-eListParagraph"/>
        <w:numPr>
          <w:ilvl w:val="0"/>
          <w:numId w:val="533"/>
        </w:numPr>
      </w:pPr>
      <w:r>
        <w:rPr>
          <w:rStyle w:val="soitChar"/>
        </w:rPr>
        <w:t>les chanfreins et tous les profils dont la section a une superficie inférieure à 20 cm2.</w:t>
      </w:r>
    </w:p>
    <w:p w14:paraId="10432301" w14:textId="77777777" w:rsidR="00DF410E" w:rsidRDefault="00CE7F43">
      <w:pPr>
        <w:pStyle w:val="Author-eListParagraph"/>
        <w:numPr>
          <w:ilvl w:val="0"/>
          <w:numId w:val="533"/>
        </w:numPr>
      </w:pPr>
      <w:r>
        <w:rPr>
          <w:rStyle w:val="soitChar"/>
        </w:rPr>
        <w:t>les rainures, encoches et languettes.</w:t>
      </w:r>
    </w:p>
    <w:p w14:paraId="7AA2A5F7" w14:textId="77777777" w:rsidR="00DF410E" w:rsidRDefault="00CE7F43">
      <w:r>
        <w:rPr>
          <w:b/>
          <w:i/>
        </w:rPr>
        <w:t>(Soit)</w:t>
      </w:r>
    </w:p>
    <w:p w14:paraId="4CC5F54F" w14:textId="77777777" w:rsidR="00DF410E" w:rsidRDefault="00CE7F43">
      <w:r>
        <w:rPr>
          <w:rStyle w:val="soitChar"/>
          <w:u w:val="single"/>
        </w:rPr>
        <w:t>2. Quantité nette</w:t>
      </w:r>
    </w:p>
    <w:p w14:paraId="6160A5D9" w14:textId="77777777" w:rsidR="00DF410E" w:rsidRDefault="00CE7F43">
      <w:r>
        <w:rPr>
          <w:b/>
          <w:i/>
        </w:rPr>
        <w:t>(Soit)</w:t>
      </w:r>
    </w:p>
    <w:p w14:paraId="53C760FB" w14:textId="77777777" w:rsidR="00DF410E" w:rsidRDefault="00CE7F43">
      <w:r>
        <w:rPr>
          <w:rStyle w:val="soitChar"/>
          <w:u w:val="single"/>
        </w:rPr>
        <w:t>3. Longueur nette</w:t>
      </w:r>
    </w:p>
    <w:p w14:paraId="22E04D49" w14:textId="77777777" w:rsidR="00DF410E" w:rsidRDefault="00CE7F43">
      <w:r>
        <w:rPr>
          <w:b/>
          <w:i/>
        </w:rPr>
        <w:t>(Soit)</w:t>
      </w:r>
    </w:p>
    <w:p w14:paraId="1201A3AB" w14:textId="77777777" w:rsidR="00DF410E" w:rsidRDefault="00CE7F43">
      <w:r>
        <w:rPr>
          <w:rStyle w:val="soitChar"/>
          <w:u w:val="single"/>
        </w:rPr>
        <w:t>4. Surface nette</w:t>
      </w:r>
    </w:p>
    <w:p w14:paraId="63F088CC" w14:textId="77777777" w:rsidR="00DF410E" w:rsidRDefault="00CE7F43">
      <w:pPr>
        <w:pStyle w:val="pheading"/>
      </w:pPr>
      <w:r>
        <w:t>- nature du marché:</w:t>
      </w:r>
    </w:p>
    <w:p w14:paraId="1DBCE45C" w14:textId="77777777" w:rsidR="00DF410E" w:rsidRDefault="00CE7F43">
      <w:r>
        <w:t>QF</w:t>
      </w:r>
    </w:p>
    <w:p w14:paraId="729166A0" w14:textId="77777777" w:rsidR="00DF410E" w:rsidRDefault="00CE7F43">
      <w:pPr>
        <w:pStyle w:val="Author-eSectionHeading6"/>
      </w:pPr>
      <w:bookmarkStart w:id="760" w:name="_Toc178837921"/>
      <w:r>
        <w:t>22.16.4e Prémurs préfabriqués en béton décoratif / architectonique avec isolation intégrée CCTB 01.11</w:t>
      </w:r>
      <w:bookmarkEnd w:id="760"/>
    </w:p>
    <w:p w14:paraId="4F1AF3B9" w14:textId="77777777" w:rsidR="00DF410E" w:rsidRDefault="00CE7F43">
      <w:pPr>
        <w:pStyle w:val="pheading"/>
      </w:pPr>
      <w:r>
        <w:t>DESCRIPTION</w:t>
      </w:r>
    </w:p>
    <w:p w14:paraId="5804D3C0" w14:textId="77777777" w:rsidR="00DF410E" w:rsidRDefault="00CE7F43">
      <w:pPr>
        <w:pStyle w:val="pheading"/>
      </w:pPr>
      <w:r>
        <w:t>- Définition / Comprend</w:t>
      </w:r>
    </w:p>
    <w:p w14:paraId="4C3C5AE5" w14:textId="77777777" w:rsidR="00DF410E" w:rsidRDefault="00CE7F43">
      <w:pPr>
        <w:jc w:val="both"/>
      </w:pPr>
      <w:r>
        <w:t>Cet article vise la fourniture et la pose de prémurs préfabriqués en béton architectonique.</w:t>
      </w:r>
    </w:p>
    <w:p w14:paraId="4277DD7B" w14:textId="77777777" w:rsidR="00DF410E" w:rsidRDefault="00CE7F43">
      <w:pPr>
        <w:jc w:val="both"/>
      </w:pPr>
      <w:r>
        <w:t>Les prémurs se composent de deux panneaux en béton armé reliés l’un à l’autre par des poutres à treillis. Un isolant est fixé sur un des panneaux.</w:t>
      </w:r>
    </w:p>
    <w:p w14:paraId="0B788CCE" w14:textId="77777777" w:rsidR="00DF410E" w:rsidRDefault="00CE7F43">
      <w:pPr>
        <w:jc w:val="both"/>
      </w:pPr>
      <w:r>
        <w:t>Sont compris :</w:t>
      </w:r>
    </w:p>
    <w:p w14:paraId="2ABE7B80" w14:textId="77777777" w:rsidR="00DF410E" w:rsidRDefault="00CE7F43">
      <w:pPr>
        <w:pStyle w:val="Author-eListParagraph"/>
        <w:numPr>
          <w:ilvl w:val="0"/>
          <w:numId w:val="534"/>
        </w:numPr>
      </w:pPr>
      <w:r>
        <w:t>La livraison et la réalisation du béton de remplissage en cas de prémurs si requis.</w:t>
      </w:r>
    </w:p>
    <w:p w14:paraId="6894ADF9" w14:textId="77777777" w:rsidR="00DF410E" w:rsidRDefault="00CE7F43">
      <w:pPr>
        <w:pStyle w:val="Author-eListParagraph"/>
        <w:numPr>
          <w:ilvl w:val="0"/>
          <w:numId w:val="534"/>
        </w:numPr>
      </w:pPr>
      <w:r>
        <w:t>L’humification des prémurs avant bétonnage du creux des prémurs.</w:t>
      </w:r>
    </w:p>
    <w:p w14:paraId="2AE30672" w14:textId="77777777" w:rsidR="00DF410E" w:rsidRDefault="00CE7F43">
      <w:pPr>
        <w:pStyle w:val="pheading"/>
      </w:pPr>
      <w:r>
        <w:t>- Localisation</w:t>
      </w:r>
    </w:p>
    <w:p w14:paraId="627B06D9" w14:textId="77777777" w:rsidR="00DF410E" w:rsidRDefault="00CE7F43">
      <w:r>
        <w:t xml:space="preserve">La pose est réalisée aux endroits suivants : </w:t>
      </w:r>
      <w:r>
        <w:rPr>
          <w:rStyle w:val="optioncarChar"/>
        </w:rPr>
        <w:t>***</w:t>
      </w:r>
      <w:r>
        <w:t>.</w:t>
      </w:r>
    </w:p>
    <w:p w14:paraId="24C29EF5" w14:textId="77777777" w:rsidR="00DF410E" w:rsidRDefault="00CE7F43">
      <w:r>
        <w:t>Voir plans et métrés détaillés.</w:t>
      </w:r>
    </w:p>
    <w:p w14:paraId="5958D499" w14:textId="77777777" w:rsidR="00DF410E" w:rsidRDefault="00CE7F43">
      <w:pPr>
        <w:pStyle w:val="pheading"/>
      </w:pPr>
      <w:r>
        <w:t>MATÉRIAUX</w:t>
      </w:r>
    </w:p>
    <w:p w14:paraId="3FE0E93E" w14:textId="77777777" w:rsidR="00DF410E" w:rsidRDefault="00CE7F43">
      <w:pPr>
        <w:pStyle w:val="pheading"/>
      </w:pPr>
      <w:r>
        <w:t>- Caractéristiques générales</w:t>
      </w:r>
    </w:p>
    <w:p w14:paraId="3260CC70" w14:textId="77777777" w:rsidR="00DF410E" w:rsidRDefault="00CE7F43">
      <w:pPr>
        <w:jc w:val="both"/>
      </w:pPr>
      <w:r>
        <w:t>Epaisseur totale du mur : </w:t>
      </w:r>
      <w:r>
        <w:rPr>
          <w:rStyle w:val="optioncarChar"/>
        </w:rPr>
        <w:t>19 </w:t>
      </w:r>
      <w:r>
        <w:t>(par défaut)</w:t>
      </w:r>
      <w:r>
        <w:rPr>
          <w:rStyle w:val="optioncarChar"/>
        </w:rPr>
        <w:t xml:space="preserve"> / 20 / 25 / 30 / ***</w:t>
      </w:r>
      <w:r>
        <w:t> cm suivant étude et plans d’exécution</w:t>
      </w:r>
    </w:p>
    <w:p w14:paraId="468FA128" w14:textId="77777777" w:rsidR="00DF410E" w:rsidRDefault="00CE7F43">
      <w:pPr>
        <w:jc w:val="both"/>
      </w:pPr>
      <w:r>
        <w:t>Epaisseur des parois du prémur :</w:t>
      </w:r>
    </w:p>
    <w:p w14:paraId="0F26456A" w14:textId="77777777" w:rsidR="00DF410E" w:rsidRDefault="00CE7F43">
      <w:pPr>
        <w:pStyle w:val="Author-eListParagraph"/>
        <w:numPr>
          <w:ilvl w:val="0"/>
          <w:numId w:val="535"/>
        </w:numPr>
      </w:pPr>
      <w:r>
        <w:t>Paroi intérieure : </w:t>
      </w:r>
      <w:r>
        <w:rPr>
          <w:rStyle w:val="optioncarChar"/>
        </w:rPr>
        <w:t>5 </w:t>
      </w:r>
      <w:r>
        <w:t>(par défaut)</w:t>
      </w:r>
      <w:r>
        <w:rPr>
          <w:rStyle w:val="optioncarChar"/>
        </w:rPr>
        <w:t xml:space="preserve"> / 6 / 7 / ***</w:t>
      </w:r>
      <w:r>
        <w:t> cm suivant étude et plans d’exécution</w:t>
      </w:r>
    </w:p>
    <w:p w14:paraId="4A41AABB" w14:textId="77777777" w:rsidR="00DF410E" w:rsidRDefault="00CE7F43">
      <w:pPr>
        <w:pStyle w:val="Author-eListParagraph"/>
        <w:numPr>
          <w:ilvl w:val="0"/>
          <w:numId w:val="535"/>
        </w:numPr>
      </w:pPr>
      <w:r>
        <w:t>Paroi extérieure : </w:t>
      </w:r>
      <w:r>
        <w:rPr>
          <w:rStyle w:val="optioncarChar"/>
        </w:rPr>
        <w:t>5</w:t>
      </w:r>
      <w:r>
        <w:t xml:space="preserve"> (par défaut)</w:t>
      </w:r>
      <w:r>
        <w:rPr>
          <w:rStyle w:val="optioncarChar"/>
        </w:rPr>
        <w:t> / 6 / 7 / ***</w:t>
      </w:r>
      <w:r>
        <w:t> cm suivant étude et plans d’exécutions</w:t>
      </w:r>
    </w:p>
    <w:p w14:paraId="543F9CC0" w14:textId="77777777" w:rsidR="00DF410E" w:rsidRDefault="00CE7F43">
      <w:pPr>
        <w:jc w:val="both"/>
      </w:pPr>
      <w:r>
        <w:t> </w:t>
      </w:r>
    </w:p>
    <w:p w14:paraId="276D6345" w14:textId="77777777" w:rsidR="00DF410E" w:rsidRDefault="00CE7F43">
      <w:pPr>
        <w:jc w:val="both"/>
      </w:pPr>
      <w:r>
        <w:t>1. Les parois préfabriquées en béton architectonique doivent satisfaire aux normes relatives aux parois préfabriquées [NBN EN 14992+A1] et [NBN B 21-612] ainsi qu’aux exigences liées à l’esthétisme de la norme [PTV 21-601].</w:t>
      </w:r>
    </w:p>
    <w:p w14:paraId="2A8608A9" w14:textId="77777777" w:rsidR="00DF410E" w:rsidRDefault="00CE7F43">
      <w:pPr>
        <w:pStyle w:val="Author-eListParagraph"/>
        <w:numPr>
          <w:ilvl w:val="0"/>
          <w:numId w:val="536"/>
        </w:numPr>
      </w:pPr>
      <w:r>
        <w:t>Qualité du béton selon la [NBN EN 206:2013+A2] et la [NBN B 15-001].</w:t>
      </w:r>
    </w:p>
    <w:p w14:paraId="730716E1" w14:textId="77777777" w:rsidR="00DF410E" w:rsidRDefault="00CE7F43">
      <w:pPr>
        <w:pStyle w:val="Author-eListParagraph"/>
        <w:numPr>
          <w:ilvl w:val="0"/>
          <w:numId w:val="536"/>
        </w:numPr>
      </w:pPr>
      <w:r>
        <w:t>Classe de résistance à la compression</w:t>
      </w:r>
    </w:p>
    <w:p w14:paraId="7205AD9F" w14:textId="77777777" w:rsidR="00DF410E" w:rsidRDefault="00CE7F43">
      <w:pPr>
        <w:ind w:left="567"/>
      </w:pPr>
      <w:r>
        <w:rPr>
          <w:rStyle w:val="optioncarChar"/>
        </w:rPr>
        <w:t>C30/37</w:t>
      </w:r>
      <w:r>
        <w:t> (par défaut)</w:t>
      </w:r>
      <w:r>
        <w:rPr>
          <w:rStyle w:val="optioncarChar"/>
        </w:rPr>
        <w:t xml:space="preserve"> / C35/45 / C45/55 / C50/60 / C55/67 / C60/75 / C70/85 / C80/95 / C90/105 / ***</w:t>
      </w:r>
    </w:p>
    <w:p w14:paraId="5EE29E94" w14:textId="77777777" w:rsidR="00DF410E" w:rsidRDefault="00CE7F43">
      <w:pPr>
        <w:pStyle w:val="Author-eListParagraph"/>
        <w:numPr>
          <w:ilvl w:val="0"/>
          <w:numId w:val="537"/>
        </w:numPr>
      </w:pPr>
      <w:r>
        <w:t>Classe d’environnement</w:t>
      </w:r>
    </w:p>
    <w:p w14:paraId="36EA6A4F" w14:textId="77777777" w:rsidR="00DF410E" w:rsidRDefault="00CE7F43">
      <w:pPr>
        <w:ind w:left="567"/>
      </w:pPr>
      <w:r>
        <w:rPr>
          <w:rStyle w:val="optioncarChar"/>
        </w:rPr>
        <w:t>EI </w:t>
      </w:r>
      <w:r>
        <w:t>(par défaut)</w:t>
      </w:r>
      <w:r>
        <w:rPr>
          <w:rStyle w:val="optioncarChar"/>
        </w:rPr>
        <w:t xml:space="preserve"> / EE1 / EE2 / EE3 / EE4 / ES1 / ES2 / ES3 / ES4 / EA1+*** / EA2+***/ EA3+*** / ***</w:t>
      </w:r>
    </w:p>
    <w:p w14:paraId="59FD2AAB" w14:textId="77777777" w:rsidR="00DF410E" w:rsidRDefault="00CE7F43">
      <w:r>
        <w:t>2.Béton de remplissage</w:t>
      </w:r>
    </w:p>
    <w:p w14:paraId="605AD762" w14:textId="77777777" w:rsidR="00DF410E" w:rsidRDefault="00CE7F43">
      <w:r>
        <w:t>Si requis, le béton de remplissage est également conforme aux normes [NBN EN 206:2013+A2] et la [NBN B 15-001] .</w:t>
      </w:r>
    </w:p>
    <w:p w14:paraId="1805AEB5" w14:textId="77777777" w:rsidR="00DF410E" w:rsidRDefault="00CE7F43">
      <w:pPr>
        <w:pStyle w:val="Author-eListParagraph"/>
        <w:numPr>
          <w:ilvl w:val="0"/>
          <w:numId w:val="538"/>
        </w:numPr>
      </w:pPr>
      <w:r>
        <w:t>Classe de résistance à la compression</w:t>
      </w:r>
    </w:p>
    <w:p w14:paraId="2D0C2302" w14:textId="77777777" w:rsidR="00DF410E" w:rsidRDefault="00CE7F43">
      <w:pPr>
        <w:ind w:left="567"/>
      </w:pPr>
      <w:r>
        <w:rPr>
          <w:rStyle w:val="optioncarChar"/>
        </w:rPr>
        <w:t>C25/30 </w:t>
      </w:r>
      <w:r>
        <w:t>(par défaut)</w:t>
      </w:r>
      <w:r>
        <w:rPr>
          <w:rStyle w:val="optioncarChar"/>
        </w:rPr>
        <w:t xml:space="preserve"> / 30/37 / C35/45 / C45/55 / C50/60 / C55/67 / C60/75 / C70/85 / C80/95 / C90/105 / ***</w:t>
      </w:r>
    </w:p>
    <w:p w14:paraId="45A7C19E" w14:textId="77777777" w:rsidR="00DF410E" w:rsidRDefault="00CE7F43">
      <w:pPr>
        <w:pStyle w:val="Author-eListParagraph"/>
        <w:numPr>
          <w:ilvl w:val="0"/>
          <w:numId w:val="539"/>
        </w:numPr>
      </w:pPr>
      <w:r>
        <w:t> Classe d’environnement</w:t>
      </w:r>
    </w:p>
    <w:p w14:paraId="4FBBA596" w14:textId="77777777" w:rsidR="00DF410E" w:rsidRDefault="00CE7F43">
      <w:pPr>
        <w:ind w:left="567"/>
      </w:pPr>
      <w:r>
        <w:rPr>
          <w:rStyle w:val="optioncarChar"/>
        </w:rPr>
        <w:t>EI </w:t>
      </w:r>
      <w:r>
        <w:t>(par défaut)</w:t>
      </w:r>
      <w:r>
        <w:rPr>
          <w:rStyle w:val="optioncarChar"/>
        </w:rPr>
        <w:t xml:space="preserve"> / EE1 / EE2 / EE3 / ***</w:t>
      </w:r>
    </w:p>
    <w:p w14:paraId="6CCC4780" w14:textId="77777777" w:rsidR="00DF410E" w:rsidRDefault="00CE7F43">
      <w:pPr>
        <w:pStyle w:val="Author-eListParagraph"/>
        <w:numPr>
          <w:ilvl w:val="0"/>
          <w:numId w:val="540"/>
        </w:numPr>
      </w:pPr>
      <w:r>
        <w:t>Dmax et classe de consistance (min.S4) en adéquation avec distance des parois.</w:t>
      </w:r>
      <w:r>
        <w:br/>
      </w:r>
    </w:p>
    <w:p w14:paraId="73DFFBCC" w14:textId="77777777" w:rsidR="00DF410E" w:rsidRDefault="00CE7F43">
      <w:pPr>
        <w:pStyle w:val="Author-eListParagraph"/>
        <w:numPr>
          <w:ilvl w:val="0"/>
          <w:numId w:val="540"/>
        </w:numPr>
      </w:pPr>
      <w:r>
        <w:t>L’armature des joints du béton de remplissage est au moins un treillis soudé, d’un acier BE 500S ou BE 500 TS de dimension </w:t>
      </w:r>
      <w:r>
        <w:rPr>
          <w:rStyle w:val="optioncarChar"/>
        </w:rPr>
        <w:t xml:space="preserve">150x150x8x8 </w:t>
      </w:r>
      <w:r>
        <w:t>(par défaut) </w:t>
      </w:r>
      <w:r>
        <w:rPr>
          <w:rStyle w:val="optioncarChar"/>
        </w:rPr>
        <w:t>/ ***x***x***x***</w:t>
      </w:r>
      <w:r>
        <w:t> cm.</w:t>
      </w:r>
    </w:p>
    <w:p w14:paraId="72CBBC83" w14:textId="77777777" w:rsidR="00DF410E" w:rsidRDefault="00CE7F43">
      <w:r>
        <w:t>3. Prémurs avec isolants</w:t>
      </w:r>
    </w:p>
    <w:p w14:paraId="0D0BF417" w14:textId="77777777" w:rsidR="00DF410E" w:rsidRDefault="00CE7F43">
      <w:r>
        <w:t xml:space="preserve">Valeur de U max= </w:t>
      </w:r>
      <w:r>
        <w:rPr>
          <w:rStyle w:val="optioncarChar"/>
        </w:rPr>
        <w:t>*** </w:t>
      </w:r>
      <w:r>
        <w:t>W/ m²K.</w:t>
      </w:r>
    </w:p>
    <w:p w14:paraId="1E9FCBA2" w14:textId="77777777" w:rsidR="00DF410E" w:rsidRDefault="00CE7F43">
      <w:r>
        <w:t xml:space="preserve">Matériaux d’isolation : </w:t>
      </w:r>
      <w:r>
        <w:rPr>
          <w:rStyle w:val="optioncarChar"/>
        </w:rPr>
        <w:t xml:space="preserve">EPS / PUR / PIR </w:t>
      </w:r>
      <w:r>
        <w:t xml:space="preserve">(par défaut) </w:t>
      </w:r>
      <w:r>
        <w:rPr>
          <w:rStyle w:val="optioncarChar"/>
        </w:rPr>
        <w:t>/ ***</w:t>
      </w:r>
    </w:p>
    <w:p w14:paraId="7353BEF2" w14:textId="77777777" w:rsidR="00DF410E" w:rsidRDefault="00CE7F43">
      <w:r>
        <w:t xml:space="preserve">Epaisseur d’isolation : </w:t>
      </w:r>
      <w:r>
        <w:rPr>
          <w:rStyle w:val="optioncarChar"/>
        </w:rPr>
        <w:t>compatible avec l’exigence U</w:t>
      </w:r>
      <w:r>
        <w:t xml:space="preserve"> (par défaut) </w:t>
      </w:r>
      <w:r>
        <w:rPr>
          <w:rStyle w:val="optioncarChar"/>
        </w:rPr>
        <w:t>/ 12cm / 16cm / 22cm / 24cm / ***</w:t>
      </w:r>
      <w:r>
        <w:t xml:space="preserve"> cm</w:t>
      </w:r>
    </w:p>
    <w:p w14:paraId="6ED1337C" w14:textId="77777777" w:rsidR="00DF410E" w:rsidRDefault="00DF410E"/>
    <w:p w14:paraId="6AB119B3" w14:textId="77777777" w:rsidR="00DF410E" w:rsidRDefault="00CE7F43">
      <w:pPr>
        <w:pStyle w:val="pheading"/>
      </w:pPr>
      <w:r>
        <w:t>- Finitions</w:t>
      </w:r>
    </w:p>
    <w:p w14:paraId="2733D965" w14:textId="77777777" w:rsidR="00DF410E" w:rsidRDefault="00CE7F43">
      <w:pPr>
        <w:jc w:val="both"/>
      </w:pPr>
      <w:r>
        <w:t>Type de béton préfabriqué avec exigences esthétiques :</w:t>
      </w:r>
      <w:r>
        <w:rPr>
          <w:rStyle w:val="optioncarChar"/>
        </w:rPr>
        <w:t xml:space="preserve"> béton architectonique </w:t>
      </w:r>
      <w:r>
        <w:t>(par défaut)</w:t>
      </w:r>
      <w:r>
        <w:rPr>
          <w:rStyle w:val="optioncarChar"/>
        </w:rPr>
        <w:t xml:space="preserve"> / béton décoratif industriel</w:t>
      </w:r>
    </w:p>
    <w:p w14:paraId="0B27CAB7" w14:textId="77777777" w:rsidR="00DF410E" w:rsidRDefault="00CE7F43">
      <w:pPr>
        <w:jc w:val="both"/>
      </w:pPr>
      <w:r>
        <w:t>Les éléments en béton architectoniques doivent répondre au [PTV 21-601].</w:t>
      </w:r>
    </w:p>
    <w:p w14:paraId="10988BDA" w14:textId="77777777" w:rsidR="00DF410E" w:rsidRDefault="00CE7F43">
      <w:pPr>
        <w:jc w:val="both"/>
      </w:pPr>
      <w:r>
        <w:t>Les éléments en béton décoratif industriel doivent répondre aux Prescriptions complémentaires pour les éléments en béton décoratif industriel de la section </w:t>
      </w:r>
      <w:hyperlink w:anchor="87" w:history="1">
        <w:r>
          <w:t>22 Superstructures en béton</w:t>
        </w:r>
      </w:hyperlink>
      <w:r>
        <w:t>.</w:t>
      </w:r>
    </w:p>
    <w:p w14:paraId="4739D49B" w14:textId="77777777" w:rsidR="00DF410E" w:rsidRDefault="00CE7F43">
      <w:pPr>
        <w:jc w:val="both"/>
      </w:pPr>
      <w:r>
        <w:t>Faces internes des parois : pas de prescription.</w:t>
      </w:r>
    </w:p>
    <w:p w14:paraId="109E10CF" w14:textId="77777777" w:rsidR="00DF410E" w:rsidRDefault="00CE7F43">
      <w:pPr>
        <w:jc w:val="both"/>
      </w:pPr>
      <w:r>
        <w:t>Description détaillée des prémurs (paroi intérieure – face externe):</w:t>
      </w:r>
    </w:p>
    <w:p w14:paraId="1AF78827" w14:textId="77777777" w:rsidR="00DF410E" w:rsidRDefault="00CE7F43">
      <w:pPr>
        <w:jc w:val="both"/>
      </w:pPr>
      <w:r>
        <w:t>1.     Couleur :</w:t>
      </w:r>
    </w:p>
    <w:p w14:paraId="252F076D" w14:textId="77777777" w:rsidR="00DF410E" w:rsidRDefault="00CE7F43">
      <w:pPr>
        <w:jc w:val="both"/>
      </w:pPr>
      <w:r>
        <w:t>Les éléments en béton architectonique sont de couleur</w:t>
      </w:r>
      <w:r>
        <w:rPr>
          <w:rStyle w:val="optioncarChar"/>
        </w:rPr>
        <w:t> ***</w:t>
      </w:r>
      <w:r>
        <w:t>, afin d’approcher au mieux le coloris RAL </w:t>
      </w:r>
      <w:r>
        <w:rPr>
          <w:rStyle w:val="optioncarChar"/>
        </w:rPr>
        <w:t>***</w:t>
      </w:r>
      <w:r>
        <w:t>.</w:t>
      </w:r>
    </w:p>
    <w:p w14:paraId="183CB079" w14:textId="77777777" w:rsidR="00DF410E" w:rsidRDefault="00CE7F43">
      <w:pPr>
        <w:jc w:val="both"/>
      </w:pPr>
      <w:r>
        <w:t>2.     Finition de la surface apparente</w:t>
      </w:r>
    </w:p>
    <w:p w14:paraId="6B4ADD8F" w14:textId="77777777" w:rsidR="00DF410E" w:rsidRDefault="00CE7F43">
      <w:pPr>
        <w:jc w:val="both"/>
      </w:pPr>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32229B5B" w14:textId="77777777" w:rsidR="00DF410E" w:rsidRDefault="00DF410E">
      <w:pPr>
        <w:jc w:val="both"/>
      </w:pPr>
    </w:p>
    <w:p w14:paraId="74AEB4D1" w14:textId="77777777" w:rsidR="00DF410E" w:rsidRDefault="00CE7F43">
      <w:pPr>
        <w:jc w:val="both"/>
      </w:pPr>
      <w:r>
        <w:rPr>
          <w:u w:val="single"/>
        </w:rPr>
        <w:t>Terminaison des arêtes</w:t>
      </w:r>
      <w:r>
        <w:t> </w:t>
      </w:r>
    </w:p>
    <w:p w14:paraId="6D5BB00E" w14:textId="77777777" w:rsidR="00DF410E" w:rsidRDefault="00CE7F43">
      <w:pPr>
        <w:jc w:val="both"/>
      </w:pPr>
      <w:r>
        <w:t>Les arêtes saillantes des prémurs sont </w:t>
      </w:r>
      <w:r>
        <w:rPr>
          <w:rStyle w:val="optioncarChar"/>
        </w:rPr>
        <w:t xml:space="preserve">chanfreinées en triangle </w:t>
      </w:r>
      <w:r>
        <w:t>(par défaut) </w:t>
      </w:r>
      <w:r>
        <w:rPr>
          <w:rStyle w:val="optioncarChar"/>
        </w:rPr>
        <w:t>/chanfreinées en arrondi / vives</w:t>
      </w:r>
    </w:p>
    <w:p w14:paraId="717E0C48" w14:textId="77777777" w:rsidR="00DF410E" w:rsidRDefault="00DF410E">
      <w:pPr>
        <w:jc w:val="both"/>
      </w:pPr>
    </w:p>
    <w:p w14:paraId="0BAA2876" w14:textId="77777777" w:rsidR="00DF410E" w:rsidRDefault="00CE7F43">
      <w:pPr>
        <w:jc w:val="both"/>
      </w:pPr>
      <w:r>
        <w:rPr>
          <w:b/>
          <w:i/>
        </w:rPr>
        <w:t>(soit)</w:t>
      </w:r>
    </w:p>
    <w:p w14:paraId="19DEE58D" w14:textId="77777777" w:rsidR="00DF410E" w:rsidRDefault="00CE7F43">
      <w:pPr>
        <w:jc w:val="both"/>
      </w:pPr>
      <w:r>
        <w:rPr>
          <w:rStyle w:val="soitChar"/>
          <w:u w:val="single"/>
        </w:rPr>
        <w:t>chanfreinées en triangle</w:t>
      </w:r>
    </w:p>
    <w:p w14:paraId="17190BEC" w14:textId="77777777" w:rsidR="00DF410E" w:rsidRDefault="00CE7F43">
      <w:pPr>
        <w:jc w:val="both"/>
      </w:pPr>
      <w:r>
        <w:rPr>
          <w:rStyle w:val="soitChar"/>
        </w:rPr>
        <w:t>Les arêtes sont cassées au moyen d'un chanfrein de</w:t>
      </w:r>
      <w:r>
        <w:rPr>
          <w:rStyle w:val="optioncarChar"/>
        </w:rPr>
        <w:t> 1,5 x 1,5 </w:t>
      </w:r>
      <w:r>
        <w:t>(par défaut)</w:t>
      </w:r>
      <w:r>
        <w:rPr>
          <w:rStyle w:val="optioncarChar"/>
        </w:rPr>
        <w:t xml:space="preserve"> / 2,5 x 2,5 / *** cm x *** cm</w:t>
      </w:r>
      <w:r>
        <w:t>.</w:t>
      </w:r>
    </w:p>
    <w:p w14:paraId="36EB0AF7" w14:textId="77777777" w:rsidR="00DF410E" w:rsidRDefault="00CE7F43">
      <w:pPr>
        <w:jc w:val="both"/>
      </w:pPr>
      <w:r>
        <w:rPr>
          <w:b/>
          <w:i/>
        </w:rPr>
        <w:t>(soit)</w:t>
      </w:r>
    </w:p>
    <w:p w14:paraId="72108257" w14:textId="77777777" w:rsidR="00DF410E" w:rsidRDefault="00CE7F43">
      <w:pPr>
        <w:jc w:val="both"/>
      </w:pPr>
      <w:r>
        <w:rPr>
          <w:rStyle w:val="soitChar"/>
          <w:u w:val="single"/>
        </w:rPr>
        <w:t>chanfreinée en arrondi</w:t>
      </w:r>
    </w:p>
    <w:p w14:paraId="7E6530EC" w14:textId="77777777" w:rsidR="00DF410E" w:rsidRDefault="00CE7F43">
      <w:pPr>
        <w:jc w:val="both"/>
      </w:pP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cm</w:t>
      </w:r>
      <w:r>
        <w:t> .</w:t>
      </w:r>
    </w:p>
    <w:p w14:paraId="0B12CE8A" w14:textId="77777777" w:rsidR="00DF410E" w:rsidRDefault="00CE7F43">
      <w:pPr>
        <w:jc w:val="both"/>
      </w:pPr>
      <w:r>
        <w:rPr>
          <w:b/>
          <w:i/>
        </w:rPr>
        <w:t>(soit)</w:t>
      </w:r>
    </w:p>
    <w:p w14:paraId="6B8A40E6" w14:textId="77777777" w:rsidR="00DF410E" w:rsidRDefault="00CE7F43">
      <w:pPr>
        <w:jc w:val="both"/>
      </w:pPr>
      <w:r>
        <w:rPr>
          <w:rStyle w:val="soitChar"/>
          <w:u w:val="single"/>
        </w:rPr>
        <w:t>vives</w:t>
      </w:r>
    </w:p>
    <w:p w14:paraId="31E89D4F" w14:textId="77777777" w:rsidR="00DF410E" w:rsidRDefault="00DF410E"/>
    <w:p w14:paraId="43E7ACF3" w14:textId="77777777" w:rsidR="00DF410E" w:rsidRDefault="00CE7F43">
      <w:pPr>
        <w:jc w:val="both"/>
      </w:pPr>
      <w:r>
        <w:t>Description détaillée des prémurs (paroi extérieure – face externe):</w:t>
      </w:r>
    </w:p>
    <w:p w14:paraId="29E2CA88" w14:textId="77777777" w:rsidR="00DF410E" w:rsidRDefault="00CE7F43">
      <w:r>
        <w:t>Finition de la face externe de la paroi extérieure identique à celle de la paroi intérieure:</w:t>
      </w:r>
      <w:r>
        <w:rPr>
          <w:rStyle w:val="optioncarChar"/>
        </w:rPr>
        <w:t xml:space="preserve"> oui / non</w:t>
      </w:r>
    </w:p>
    <w:p w14:paraId="7C809E97" w14:textId="77777777" w:rsidR="00DF410E" w:rsidRDefault="00CE7F43">
      <w:r>
        <w:rPr>
          <w:b/>
          <w:i/>
        </w:rPr>
        <w:t>Si la finition est différente:</w:t>
      </w:r>
    </w:p>
    <w:p w14:paraId="6D51093A" w14:textId="77777777" w:rsidR="00DF410E" w:rsidRDefault="00CE7F43">
      <w:pPr>
        <w:jc w:val="both"/>
      </w:pPr>
      <w:r>
        <w:t>1.     Couleur :</w:t>
      </w:r>
    </w:p>
    <w:p w14:paraId="58DBF85F" w14:textId="77777777" w:rsidR="00DF410E" w:rsidRDefault="00CE7F43">
      <w:pPr>
        <w:jc w:val="both"/>
      </w:pPr>
      <w:r>
        <w:t>Les éléments en béton architectonique sont de couleur</w:t>
      </w:r>
      <w:r>
        <w:rPr>
          <w:rStyle w:val="optioncarChar"/>
        </w:rPr>
        <w:t> ***</w:t>
      </w:r>
      <w:r>
        <w:t>, afin d’approcher au mieux le coloris RAL </w:t>
      </w:r>
      <w:r>
        <w:rPr>
          <w:rStyle w:val="optioncarChar"/>
        </w:rPr>
        <w:t>***</w:t>
      </w:r>
      <w:r>
        <w:t>.</w:t>
      </w:r>
    </w:p>
    <w:p w14:paraId="09D4298F" w14:textId="77777777" w:rsidR="00DF410E" w:rsidRDefault="00CE7F43">
      <w:pPr>
        <w:jc w:val="both"/>
      </w:pPr>
      <w:r>
        <w:t>2.     Finition de la surface apparente</w:t>
      </w:r>
    </w:p>
    <w:p w14:paraId="2B4B0CA5" w14:textId="77777777" w:rsidR="00DF410E" w:rsidRDefault="00CE7F43">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7930EA88" w14:textId="77777777" w:rsidR="00DF410E" w:rsidRDefault="00DF410E">
      <w:pPr>
        <w:jc w:val="both"/>
      </w:pPr>
    </w:p>
    <w:p w14:paraId="64A26661" w14:textId="77777777" w:rsidR="00DF410E" w:rsidRDefault="00CE7F43">
      <w:pPr>
        <w:jc w:val="both"/>
      </w:pPr>
      <w:r>
        <w:rPr>
          <w:u w:val="single"/>
        </w:rPr>
        <w:t>Terminaison des arêtes</w:t>
      </w:r>
      <w:r>
        <w:t>   </w:t>
      </w:r>
    </w:p>
    <w:p w14:paraId="453E848F" w14:textId="77777777" w:rsidR="00DF410E" w:rsidRDefault="00CE7F43">
      <w:pPr>
        <w:jc w:val="both"/>
      </w:pPr>
      <w:r>
        <w:t>Les arêtes saillantes des prémurs sont </w:t>
      </w:r>
      <w:r>
        <w:rPr>
          <w:rStyle w:val="optioncarChar"/>
        </w:rPr>
        <w:t>chanfreinées en triangle </w:t>
      </w:r>
      <w:r>
        <w:t>(par défaut)</w:t>
      </w:r>
      <w:r>
        <w:rPr>
          <w:rStyle w:val="optioncarChar"/>
        </w:rPr>
        <w:t xml:space="preserve"> /chanfreinées en arrondi / vives</w:t>
      </w:r>
    </w:p>
    <w:p w14:paraId="0A703C51" w14:textId="77777777" w:rsidR="00DF410E" w:rsidRDefault="00CE7F43">
      <w:pPr>
        <w:jc w:val="both"/>
      </w:pPr>
      <w:r>
        <w:rPr>
          <w:b/>
          <w:i/>
        </w:rPr>
        <w:t>(soit)</w:t>
      </w:r>
    </w:p>
    <w:p w14:paraId="0EC6A527" w14:textId="77777777" w:rsidR="00DF410E" w:rsidRDefault="00CE7F43">
      <w:pPr>
        <w:jc w:val="both"/>
      </w:pPr>
      <w:r>
        <w:rPr>
          <w:rStyle w:val="soitChar"/>
          <w:u w:val="single"/>
        </w:rPr>
        <w:t>chanfreinées en triangle</w:t>
      </w:r>
    </w:p>
    <w:p w14:paraId="75BA85B5" w14:textId="77777777" w:rsidR="00DF410E" w:rsidRDefault="00CE7F43">
      <w:pPr>
        <w:jc w:val="both"/>
      </w:pPr>
      <w:r>
        <w:rPr>
          <w:rStyle w:val="soitChar"/>
        </w:rPr>
        <w:t>Les arêtes sont cassées au moyen d'un chanfrein de</w:t>
      </w:r>
      <w:r>
        <w:rPr>
          <w:rStyle w:val="optioncarChar"/>
        </w:rPr>
        <w:t> 1,5 x 1,5 / 2,5 x 2,5 </w:t>
      </w:r>
      <w:r>
        <w:t>(par défaut)</w:t>
      </w:r>
      <w:r>
        <w:rPr>
          <w:rStyle w:val="optioncarChar"/>
        </w:rPr>
        <w:t xml:space="preserve"> / ***x*** </w:t>
      </w:r>
      <w:r>
        <w:rPr>
          <w:rStyle w:val="soitChar"/>
        </w:rPr>
        <w:t>cm</w:t>
      </w:r>
      <w:r>
        <w:t>.</w:t>
      </w:r>
    </w:p>
    <w:p w14:paraId="0FA867F8" w14:textId="77777777" w:rsidR="00DF410E" w:rsidRDefault="00CE7F43">
      <w:pPr>
        <w:jc w:val="both"/>
      </w:pPr>
      <w:r>
        <w:rPr>
          <w:b/>
          <w:i/>
        </w:rPr>
        <w:t>(soit)</w:t>
      </w:r>
    </w:p>
    <w:p w14:paraId="4AA94845" w14:textId="77777777" w:rsidR="00DF410E" w:rsidRDefault="00CE7F43">
      <w:pPr>
        <w:jc w:val="both"/>
      </w:pPr>
      <w:r>
        <w:rPr>
          <w:rStyle w:val="soitChar"/>
          <w:u w:val="single"/>
        </w:rPr>
        <w:t>chanfreinée en arrondi</w:t>
      </w:r>
    </w:p>
    <w:p w14:paraId="5B465B3A" w14:textId="77777777" w:rsidR="00DF410E" w:rsidRDefault="00CE7F43">
      <w:pPr>
        <w:jc w:val="both"/>
      </w:pP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cm</w:t>
      </w:r>
      <w:r>
        <w:t> .</w:t>
      </w:r>
    </w:p>
    <w:p w14:paraId="3526A9F2" w14:textId="77777777" w:rsidR="00DF410E" w:rsidRDefault="00CE7F43">
      <w:pPr>
        <w:jc w:val="both"/>
      </w:pPr>
      <w:r>
        <w:rPr>
          <w:b/>
          <w:i/>
        </w:rPr>
        <w:t>(soit)</w:t>
      </w:r>
    </w:p>
    <w:p w14:paraId="275275A4" w14:textId="77777777" w:rsidR="00DF410E" w:rsidRDefault="00CE7F43">
      <w:pPr>
        <w:jc w:val="both"/>
      </w:pPr>
      <w:r>
        <w:rPr>
          <w:rStyle w:val="soitChar"/>
          <w:u w:val="single"/>
        </w:rPr>
        <w:t>vives</w:t>
      </w:r>
    </w:p>
    <w:p w14:paraId="2177EE6B" w14:textId="77777777" w:rsidR="00DF410E" w:rsidRDefault="00CE7F43">
      <w:pPr>
        <w:pStyle w:val="pheading"/>
      </w:pPr>
      <w:r>
        <w:t>- Prescriptions complémentaires</w:t>
      </w:r>
    </w:p>
    <w:p w14:paraId="1102508C" w14:textId="77777777" w:rsidR="00DF410E" w:rsidRDefault="00CE7F43">
      <w:pPr>
        <w:jc w:val="both"/>
      </w:pPr>
      <w:r>
        <w:rPr>
          <w:rStyle w:val="facultChar"/>
        </w:rPr>
        <w:t>Résistance au feu : pour les éléments porteurs et structurels sans fonction séparant </w:t>
      </w:r>
      <w:r>
        <w:rPr>
          <w:rStyle w:val="optioncarChar"/>
        </w:rPr>
        <w:t>/ R15 / R30</w:t>
      </w:r>
      <w:r>
        <w:t> (par défaut)</w:t>
      </w:r>
      <w:r>
        <w:rPr>
          <w:rStyle w:val="optioncarChar"/>
        </w:rPr>
        <w:t xml:space="preserve"> / R60 / R120 / R ***</w:t>
      </w:r>
      <w:r>
        <w:rPr>
          <w:rStyle w:val="facultChar"/>
        </w:rPr>
        <w:t>, pour les éléments porteurs et structurels avec fonction séparant </w:t>
      </w:r>
      <w:r>
        <w:rPr>
          <w:rStyle w:val="optioncarChar"/>
        </w:rPr>
        <w:t>/ REI 30 </w:t>
      </w:r>
      <w:r>
        <w:t xml:space="preserve">(par défaut) </w:t>
      </w:r>
      <w:r>
        <w:rPr>
          <w:rStyle w:val="optioncarChar"/>
        </w:rPr>
        <w:t>/ REI 60 / REI 120 / REI *** </w:t>
      </w:r>
      <w:r>
        <w:rPr>
          <w:rStyle w:val="facultChar"/>
        </w:rPr>
        <w:t>et pour les éléments non porteurs avec fonction séparant </w:t>
      </w:r>
      <w:r>
        <w:rPr>
          <w:rStyle w:val="optioncarChar"/>
        </w:rPr>
        <w:t>/ EI 30 </w:t>
      </w:r>
      <w:r>
        <w:t>(par défaut)</w:t>
      </w:r>
      <w:r>
        <w:rPr>
          <w:rStyle w:val="optioncarChar"/>
        </w:rPr>
        <w:t xml:space="preserve"> / EI 60 / EI 120 / EI ***</w:t>
      </w:r>
    </w:p>
    <w:p w14:paraId="20D8BDE3" w14:textId="77777777" w:rsidR="00DF410E" w:rsidRDefault="00CE7F43">
      <w:pPr>
        <w:pStyle w:val="pheading"/>
      </w:pPr>
      <w:r>
        <w:t>EXÉCUTION / MISE EN ŒUVRE</w:t>
      </w:r>
    </w:p>
    <w:p w14:paraId="35F97BB1" w14:textId="77777777" w:rsidR="00DF410E" w:rsidRDefault="00CE7F43">
      <w:pPr>
        <w:pStyle w:val="pheading"/>
      </w:pPr>
      <w:r>
        <w:t>- Prescriptions générales</w:t>
      </w:r>
    </w:p>
    <w:p w14:paraId="3F0B010E" w14:textId="77777777" w:rsidR="00DF410E" w:rsidRDefault="00CE7F43">
      <w:r>
        <w:t>L’étude et les plans d’exécution</w:t>
      </w:r>
      <w:r>
        <w:rPr>
          <w:rStyle w:val="optioncarChar"/>
        </w:rPr>
        <w:t> sont / ne sont pas</w:t>
      </w:r>
      <w:r>
        <w:t> à charge de l’entreprise.</w:t>
      </w:r>
      <w:r>
        <w:br/>
        <w:t>Les parois sont fabriquées dans les dimensions indiquées sur les plans d’exécution approuvés.</w:t>
      </w:r>
      <w:r>
        <w:br/>
        <w:t>La mise en œuvre est conforme aux normes [NBN EN 13670] et [NBN B 15-400].</w:t>
      </w:r>
      <w:r>
        <w:br/>
        <w:t>L’alignement des prémurs est réalisé au moyens d’étais et de madriers en bois parfaitement alignés.</w:t>
      </w:r>
      <w:r>
        <w:br/>
        <w:t>Le sol/support doit être non travaillé et stable.</w:t>
      </w:r>
      <w:r>
        <w:br/>
        <w:t>La verticalité doit être garantie par la pose préalable de madrier en bois</w:t>
      </w:r>
      <w:r>
        <w:br/>
        <w:t>Les étançons doivent être solidement fixés. L’angle entre l’étançon et le prémur doit être au minimum de 30°. Le nombre d’étançons nécessaires communiqué par le fabricant est respecté.</w:t>
      </w:r>
      <w:r>
        <w:br/>
        <w:t>Le béton de remplissage est coulé en couche de maximum 60 cm d’épaisseur et doit être vibré conformément aux normes [NBN EN 13670] et [NBN B 15-400].</w:t>
      </w:r>
      <w:r>
        <w:br/>
        <w:t>Afin d’éviter l’ouverture des joints à hauteur des coins, il faut placer des équerres ou planches d’étais.</w:t>
      </w:r>
      <w:r>
        <w:br/>
        <w:t xml:space="preserve">Mise en place de tôle d’étanchéité : </w:t>
      </w:r>
      <w:r>
        <w:rPr>
          <w:rStyle w:val="optioncarChar"/>
        </w:rPr>
        <w:t>oui / non</w:t>
      </w:r>
    </w:p>
    <w:p w14:paraId="24344211" w14:textId="77777777" w:rsidR="00DF410E" w:rsidRDefault="00CE7F43">
      <w:pPr>
        <w:pStyle w:val="pheading"/>
      </w:pPr>
      <w:r>
        <w:t>DOCUMENTS DE RÉFÉRENCE COMPLÉMENTAIRES</w:t>
      </w:r>
    </w:p>
    <w:p w14:paraId="03D740B3" w14:textId="77777777" w:rsidR="00DF410E" w:rsidRDefault="00CE7F43">
      <w:pPr>
        <w:pStyle w:val="pheading"/>
      </w:pPr>
      <w:r>
        <w:t>- Matériau</w:t>
      </w:r>
    </w:p>
    <w:p w14:paraId="73D9C12E" w14:textId="77777777" w:rsidR="00DF410E" w:rsidRDefault="00CE7F43">
      <w:r>
        <w:t>[NBN EN 14992+A1, Produits préfabriqués en béton - Eléments de mur]</w:t>
      </w:r>
    </w:p>
    <w:p w14:paraId="03D4FDB9" w14:textId="77777777" w:rsidR="00DF410E" w:rsidRDefault="00CE7F43">
      <w:r>
        <w:t>[RA 21-612, Règlement d'application Benor - Produits préfabriqués en béton - Eléments de murs]</w:t>
      </w:r>
    </w:p>
    <w:p w14:paraId="1D164700" w14:textId="77777777" w:rsidR="00DF410E" w:rsidRDefault="00CE7F43">
      <w:r>
        <w:t>[PTV 21-601, Eléments préfabriqués en béton architectonique.]</w:t>
      </w:r>
    </w:p>
    <w:p w14:paraId="7AAE8597" w14:textId="77777777" w:rsidR="00DF410E" w:rsidRDefault="00CE7F43">
      <w:r>
        <w:t>[NBN EN 206:2013+A2, Béton - Spécification, performances, production et conformité]</w:t>
      </w:r>
    </w:p>
    <w:p w14:paraId="1447F3B6" w14:textId="77777777" w:rsidR="00DF410E" w:rsidRDefault="00CE7F43">
      <w:r>
        <w:t>[NBN B 15-001, Béton - Spécification, performances, production et conformité - Complément national à la NBN EN 206:2013+A2:2021]</w:t>
      </w:r>
    </w:p>
    <w:p w14:paraId="275D385A" w14:textId="77777777" w:rsidR="00DF410E" w:rsidRDefault="00DF410E"/>
    <w:p w14:paraId="3E47A71E" w14:textId="77777777" w:rsidR="00DF410E" w:rsidRDefault="00CE7F43">
      <w:r>
        <w:t> </w:t>
      </w:r>
    </w:p>
    <w:p w14:paraId="5DE2FC3E" w14:textId="77777777" w:rsidR="00DF410E" w:rsidRDefault="00CE7F43">
      <w:pPr>
        <w:pStyle w:val="pheading"/>
      </w:pPr>
      <w:r>
        <w:t>- Exécution</w:t>
      </w:r>
    </w:p>
    <w:p w14:paraId="67F3C843" w14:textId="77777777" w:rsidR="00DF410E" w:rsidRDefault="00CE7F43">
      <w:r>
        <w:t>[NBN EN 13670, Exécution des structures en béton]</w:t>
      </w:r>
    </w:p>
    <w:p w14:paraId="0E56A835" w14:textId="77777777" w:rsidR="00DF410E" w:rsidRDefault="00CE7F43">
      <w:r>
        <w:t>[NBN B 15-400, Exécution des structures en béton - Supplément national à la NBN EN 13670:2010]</w:t>
      </w:r>
    </w:p>
    <w:p w14:paraId="2D7FA204" w14:textId="77777777" w:rsidR="00DF410E" w:rsidRDefault="00CE7F43">
      <w:r>
        <w:t>[FEBE BT Prémurs, Brochure Technique - Prémurs - Rapides et économiques]</w:t>
      </w:r>
    </w:p>
    <w:p w14:paraId="1477461A" w14:textId="77777777" w:rsidR="00DF410E" w:rsidRDefault="00CE7F43">
      <w:pPr>
        <w:pStyle w:val="pheading"/>
      </w:pPr>
      <w:r>
        <w:t>MESURAGE</w:t>
      </w:r>
    </w:p>
    <w:p w14:paraId="3EC91455" w14:textId="77777777" w:rsidR="00DF410E" w:rsidRDefault="00CE7F43">
      <w:pPr>
        <w:pStyle w:val="pheading"/>
      </w:pPr>
      <w:r>
        <w:t>- unité de mesure:</w:t>
      </w:r>
    </w:p>
    <w:p w14:paraId="431DE642" w14:textId="77777777" w:rsidR="00DF410E" w:rsidRDefault="00CE7F43">
      <w:r>
        <w:rPr>
          <w:rStyle w:val="optioncarChar"/>
        </w:rPr>
        <w:t>m³</w:t>
      </w:r>
      <w:r>
        <w:t> (par défaut) </w:t>
      </w:r>
      <w:r>
        <w:rPr>
          <w:rStyle w:val="optioncarChar"/>
        </w:rPr>
        <w:t>/ pc / m / m² </w:t>
      </w:r>
    </w:p>
    <w:p w14:paraId="6D174299" w14:textId="77777777" w:rsidR="00DF410E" w:rsidRDefault="00CE7F43">
      <w:r>
        <w:rPr>
          <w:b/>
          <w:i/>
        </w:rPr>
        <w:t>(Soit par défaut)</w:t>
      </w:r>
    </w:p>
    <w:p w14:paraId="3062D282" w14:textId="77777777" w:rsidR="00DF410E" w:rsidRDefault="00CE7F43">
      <w:r>
        <w:rPr>
          <w:rStyle w:val="soitChar"/>
        </w:rPr>
        <w:t>1. m³</w:t>
      </w:r>
    </w:p>
    <w:p w14:paraId="5A32807E" w14:textId="77777777" w:rsidR="00DF410E" w:rsidRDefault="00CE7F43">
      <w:r>
        <w:rPr>
          <w:b/>
          <w:i/>
        </w:rPr>
        <w:t>(Soit)</w:t>
      </w:r>
    </w:p>
    <w:p w14:paraId="5E78559C" w14:textId="77777777" w:rsidR="00DF410E" w:rsidRDefault="00CE7F43">
      <w:r>
        <w:rPr>
          <w:rStyle w:val="soitChar"/>
        </w:rPr>
        <w:t>2. pc</w:t>
      </w:r>
    </w:p>
    <w:p w14:paraId="49793AD5" w14:textId="77777777" w:rsidR="00DF410E" w:rsidRDefault="00CE7F43">
      <w:r>
        <w:rPr>
          <w:b/>
          <w:i/>
        </w:rPr>
        <w:t>(Soit)</w:t>
      </w:r>
    </w:p>
    <w:p w14:paraId="4AD2CC34" w14:textId="77777777" w:rsidR="00DF410E" w:rsidRDefault="00CE7F43">
      <w:r>
        <w:rPr>
          <w:rStyle w:val="soitChar"/>
        </w:rPr>
        <w:t>3. m</w:t>
      </w:r>
    </w:p>
    <w:p w14:paraId="13F0C408" w14:textId="77777777" w:rsidR="00DF410E" w:rsidRDefault="00CE7F43">
      <w:r>
        <w:rPr>
          <w:b/>
          <w:i/>
        </w:rPr>
        <w:t>(Soit)</w:t>
      </w:r>
    </w:p>
    <w:p w14:paraId="169D11EB" w14:textId="77777777" w:rsidR="00DF410E" w:rsidRDefault="00CE7F43">
      <w:r>
        <w:rPr>
          <w:rStyle w:val="soitChar"/>
        </w:rPr>
        <w:t>4. m²</w:t>
      </w:r>
    </w:p>
    <w:p w14:paraId="22C521E4" w14:textId="77777777" w:rsidR="00DF410E" w:rsidRDefault="00CE7F43">
      <w:pPr>
        <w:pStyle w:val="pheading"/>
      </w:pPr>
      <w:r>
        <w:t>- code de mesurage:</w:t>
      </w:r>
    </w:p>
    <w:p w14:paraId="7FB1E02C" w14:textId="77777777" w:rsidR="00DF410E" w:rsidRDefault="00CE7F43">
      <w:r>
        <w:rPr>
          <w:rStyle w:val="optioncarChar"/>
        </w:rPr>
        <w:t>Volume net </w:t>
      </w:r>
      <w:r>
        <w:t>(par défaut)</w:t>
      </w:r>
      <w:r>
        <w:rPr>
          <w:rStyle w:val="optioncarChar"/>
        </w:rPr>
        <w:t> / quantité nette / longueur nette / surface nette</w:t>
      </w:r>
    </w:p>
    <w:p w14:paraId="65F1E89A" w14:textId="77777777" w:rsidR="00DF410E" w:rsidRDefault="00CE7F43">
      <w:r>
        <w:rPr>
          <w:b/>
          <w:i/>
        </w:rPr>
        <w:t>(Soit par défaut)</w:t>
      </w:r>
    </w:p>
    <w:p w14:paraId="0C753616" w14:textId="77777777" w:rsidR="00DF410E" w:rsidRDefault="00CE7F43">
      <w:r>
        <w:rPr>
          <w:rStyle w:val="soitChar"/>
          <w:u w:val="single"/>
        </w:rPr>
        <w:t>1. Volume net</w:t>
      </w:r>
      <w:r>
        <w:rPr>
          <w:rStyle w:val="soitChar"/>
        </w:rPr>
        <w:t>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07A8B12E" w14:textId="77777777" w:rsidR="00DF410E" w:rsidRDefault="00CE7F43">
      <w:r>
        <w:rPr>
          <w:rStyle w:val="soitChar"/>
        </w:rPr>
        <w:t>Aucune déduction n'est faite pour:</w:t>
      </w:r>
    </w:p>
    <w:p w14:paraId="6DA1D440" w14:textId="77777777" w:rsidR="00DF410E" w:rsidRDefault="00CE7F43">
      <w:pPr>
        <w:pStyle w:val="Author-eListParagraph"/>
        <w:numPr>
          <w:ilvl w:val="0"/>
          <w:numId w:val="541"/>
        </w:numPr>
      </w:pPr>
      <w:r>
        <w:rPr>
          <w:rStyle w:val="soitChar"/>
        </w:rPr>
        <w:t>le volume des armatures,</w:t>
      </w:r>
    </w:p>
    <w:p w14:paraId="74589156" w14:textId="77777777" w:rsidR="00DF410E" w:rsidRDefault="00CE7F43">
      <w:pPr>
        <w:pStyle w:val="Author-eListParagraph"/>
        <w:numPr>
          <w:ilvl w:val="0"/>
          <w:numId w:val="541"/>
        </w:numPr>
      </w:pPr>
      <w:r>
        <w:rPr>
          <w:rStyle w:val="soitChar"/>
        </w:rPr>
        <w:t>les blocs et écarteurs, les fourreaux pour les armatures de précontrainte ;</w:t>
      </w:r>
    </w:p>
    <w:p w14:paraId="04CC7447" w14:textId="77777777" w:rsidR="00DF410E" w:rsidRDefault="00CE7F43">
      <w:pPr>
        <w:pStyle w:val="Author-eListParagraph"/>
        <w:numPr>
          <w:ilvl w:val="0"/>
          <w:numId w:val="541"/>
        </w:numPr>
      </w:pPr>
      <w:r>
        <w:rPr>
          <w:rStyle w:val="soitChar"/>
        </w:rPr>
        <w:t>les pénétrations pour les pattes d’ancrage, les creux, les conduites noyées et les réservations dont le volume est inférieur à 0,05 m3.</w:t>
      </w:r>
    </w:p>
    <w:p w14:paraId="329567CA" w14:textId="77777777" w:rsidR="00DF410E" w:rsidRDefault="00CE7F43">
      <w:pPr>
        <w:pStyle w:val="Author-eListParagraph"/>
        <w:numPr>
          <w:ilvl w:val="0"/>
          <w:numId w:val="541"/>
        </w:numPr>
      </w:pPr>
      <w:r>
        <w:rPr>
          <w:rStyle w:val="soitChar"/>
        </w:rPr>
        <w:t>les chanfreins et tous les profils dont la section a une superficie inférieure à 20 cm2.</w:t>
      </w:r>
    </w:p>
    <w:p w14:paraId="28BB795D" w14:textId="77777777" w:rsidR="00DF410E" w:rsidRDefault="00CE7F43">
      <w:pPr>
        <w:pStyle w:val="Author-eListParagraph"/>
        <w:numPr>
          <w:ilvl w:val="0"/>
          <w:numId w:val="541"/>
        </w:numPr>
      </w:pPr>
      <w:r>
        <w:rPr>
          <w:rStyle w:val="soitChar"/>
        </w:rPr>
        <w:t>les rainures, encoches et languettes.</w:t>
      </w:r>
    </w:p>
    <w:p w14:paraId="3B2BBB7A" w14:textId="77777777" w:rsidR="00DF410E" w:rsidRDefault="00CE7F43">
      <w:r>
        <w:rPr>
          <w:b/>
          <w:i/>
        </w:rPr>
        <w:t>(Soit)</w:t>
      </w:r>
    </w:p>
    <w:p w14:paraId="17C4173B" w14:textId="77777777" w:rsidR="00DF410E" w:rsidRDefault="00CE7F43">
      <w:r>
        <w:rPr>
          <w:rStyle w:val="soitChar"/>
          <w:u w:val="single"/>
        </w:rPr>
        <w:t>2. Quantité nette</w:t>
      </w:r>
    </w:p>
    <w:p w14:paraId="58BBF917" w14:textId="77777777" w:rsidR="00DF410E" w:rsidRDefault="00CE7F43">
      <w:r>
        <w:rPr>
          <w:b/>
          <w:i/>
        </w:rPr>
        <w:t>(Soit)</w:t>
      </w:r>
    </w:p>
    <w:p w14:paraId="3E4FCC36" w14:textId="77777777" w:rsidR="00DF410E" w:rsidRDefault="00CE7F43">
      <w:r>
        <w:rPr>
          <w:rStyle w:val="soitChar"/>
          <w:u w:val="single"/>
        </w:rPr>
        <w:t>3. Longueur nette</w:t>
      </w:r>
    </w:p>
    <w:p w14:paraId="1659F9D4" w14:textId="77777777" w:rsidR="00DF410E" w:rsidRDefault="00CE7F43">
      <w:r>
        <w:rPr>
          <w:b/>
          <w:i/>
        </w:rPr>
        <w:t>(Soit)</w:t>
      </w:r>
    </w:p>
    <w:p w14:paraId="14D1F510" w14:textId="77777777" w:rsidR="00DF410E" w:rsidRDefault="00CE7F43">
      <w:r>
        <w:rPr>
          <w:rStyle w:val="soitChar"/>
          <w:u w:val="single"/>
        </w:rPr>
        <w:t>4. Surface nette</w:t>
      </w:r>
    </w:p>
    <w:p w14:paraId="55B31F62" w14:textId="77777777" w:rsidR="00DF410E" w:rsidRDefault="00CE7F43">
      <w:pPr>
        <w:pStyle w:val="pheading"/>
      </w:pPr>
      <w:r>
        <w:t>- nature du marché:</w:t>
      </w:r>
    </w:p>
    <w:p w14:paraId="53C7D1C2" w14:textId="77777777" w:rsidR="00DF410E" w:rsidRDefault="00CE7F43">
      <w:r>
        <w:t>QF</w:t>
      </w:r>
    </w:p>
    <w:p w14:paraId="33C6F38B" w14:textId="77777777" w:rsidR="00DF410E" w:rsidRDefault="00CE7F43">
      <w:pPr>
        <w:pStyle w:val="Author-eSectionHeading3"/>
      </w:pPr>
      <w:bookmarkStart w:id="761" w:name="_Toc178837922"/>
      <w:r>
        <w:t>22.2 Ensembles structuraux en béton CCTB 01.04</w:t>
      </w:r>
      <w:bookmarkEnd w:id="761"/>
    </w:p>
    <w:p w14:paraId="7279DCD5" w14:textId="77777777" w:rsidR="00DF410E" w:rsidRDefault="00CE7F43">
      <w:pPr>
        <w:pStyle w:val="Author-eSectionHeading4"/>
      </w:pPr>
      <w:bookmarkStart w:id="762" w:name="531"/>
      <w:bookmarkStart w:id="763" w:name="_Toc178837923"/>
      <w:bookmarkEnd w:id="762"/>
      <w:r>
        <w:t>22.21 Structures en béton (poutres/colonnes) CCTB 01.04</w:t>
      </w:r>
      <w:bookmarkEnd w:id="763"/>
    </w:p>
    <w:p w14:paraId="4819C034" w14:textId="77777777" w:rsidR="00DF410E" w:rsidRDefault="00CE7F43">
      <w:pPr>
        <w:pStyle w:val="Author-eSectionHeading5"/>
      </w:pPr>
      <w:bookmarkStart w:id="764" w:name="_Toc178837924"/>
      <w:r>
        <w:t>22.21.1 Structures en béton coulé en place CCTB 01.04</w:t>
      </w:r>
      <w:bookmarkEnd w:id="764"/>
    </w:p>
    <w:p w14:paraId="1EEF693A" w14:textId="77777777" w:rsidR="00DF410E" w:rsidRDefault="00CE7F43">
      <w:pPr>
        <w:pStyle w:val="Author-eSectionHeading6"/>
      </w:pPr>
      <w:bookmarkStart w:id="765" w:name="_Toc178837925"/>
      <w:r>
        <w:t>22.21.1a Structures en béton coulé en place CCTB 01.04</w:t>
      </w:r>
      <w:bookmarkEnd w:id="765"/>
    </w:p>
    <w:p w14:paraId="61A4A3D8" w14:textId="77777777" w:rsidR="00DF410E" w:rsidRDefault="00CE7F43">
      <w:pPr>
        <w:pStyle w:val="Author-eSectionHeading6"/>
      </w:pPr>
      <w:bookmarkStart w:id="766" w:name="_Toc178837926"/>
      <w:r>
        <w:t>22.21.1b Portiques en béton coulé en place CCTB 01.04</w:t>
      </w:r>
      <w:bookmarkEnd w:id="766"/>
    </w:p>
    <w:p w14:paraId="042E8424" w14:textId="77777777" w:rsidR="00DF410E" w:rsidRDefault="00CE7F43">
      <w:pPr>
        <w:pStyle w:val="Author-eSectionHeading6"/>
      </w:pPr>
      <w:bookmarkStart w:id="767" w:name="_Toc178837927"/>
      <w:r>
        <w:t>22.21.1c Arcs en béton coulé en place CCTB 01.04</w:t>
      </w:r>
      <w:bookmarkEnd w:id="767"/>
    </w:p>
    <w:p w14:paraId="0790176C" w14:textId="77777777" w:rsidR="00DF410E" w:rsidRDefault="00CE7F43">
      <w:pPr>
        <w:pStyle w:val="Author-eSectionHeading6"/>
      </w:pPr>
      <w:bookmarkStart w:id="768" w:name="_Toc178837928"/>
      <w:r>
        <w:t>22.21.1d Potences en béton coulé en place CCTB 01.04</w:t>
      </w:r>
      <w:bookmarkEnd w:id="768"/>
    </w:p>
    <w:p w14:paraId="3DDF4282" w14:textId="77777777" w:rsidR="00DF410E" w:rsidRDefault="00CE7F43">
      <w:pPr>
        <w:pStyle w:val="Author-eSectionHeading5"/>
      </w:pPr>
      <w:bookmarkStart w:id="769" w:name="_Toc178837929"/>
      <w:r>
        <w:t>22.21.2 Structures en béton apparent (esthétique) coulé en place CCTB 01.04</w:t>
      </w:r>
      <w:bookmarkEnd w:id="769"/>
    </w:p>
    <w:p w14:paraId="39073883" w14:textId="77777777" w:rsidR="00DF410E" w:rsidRDefault="00CE7F43">
      <w:pPr>
        <w:pStyle w:val="Author-eSectionHeading6"/>
      </w:pPr>
      <w:bookmarkStart w:id="770" w:name="_Toc178837930"/>
      <w:r>
        <w:t>22.21.2a Structures en béton apparent (esthétique) coulé en place CCTB 01.04</w:t>
      </w:r>
      <w:bookmarkEnd w:id="770"/>
    </w:p>
    <w:p w14:paraId="650FD7C6" w14:textId="77777777" w:rsidR="00DF410E" w:rsidRDefault="00CE7F43">
      <w:pPr>
        <w:pStyle w:val="Author-eSectionHeading6"/>
      </w:pPr>
      <w:bookmarkStart w:id="771" w:name="_Toc178837931"/>
      <w:r>
        <w:t>22.21.2b Portiques en béton apparent (esthétique) coulé en place CCTB 01.04</w:t>
      </w:r>
      <w:bookmarkEnd w:id="771"/>
    </w:p>
    <w:p w14:paraId="2BD5AD22" w14:textId="77777777" w:rsidR="00DF410E" w:rsidRDefault="00CE7F43">
      <w:pPr>
        <w:pStyle w:val="Author-eSectionHeading6"/>
      </w:pPr>
      <w:bookmarkStart w:id="772" w:name="_Toc178837932"/>
      <w:r>
        <w:t>22.21.2c Arcs en béton apparent (esthétique) coulé en place CCTB 01.04</w:t>
      </w:r>
      <w:bookmarkEnd w:id="772"/>
    </w:p>
    <w:p w14:paraId="3F5FC1E6" w14:textId="77777777" w:rsidR="00DF410E" w:rsidRDefault="00CE7F43">
      <w:pPr>
        <w:pStyle w:val="Author-eSectionHeading6"/>
      </w:pPr>
      <w:bookmarkStart w:id="773" w:name="_Toc178837933"/>
      <w:r>
        <w:t>22.21.2d Potences en béton apparent (esthétique) coulé en place CCTB 01.04</w:t>
      </w:r>
      <w:bookmarkEnd w:id="773"/>
    </w:p>
    <w:p w14:paraId="579E7882" w14:textId="77777777" w:rsidR="00DF410E" w:rsidRDefault="00CE7F43">
      <w:pPr>
        <w:pStyle w:val="Author-eSectionHeading5"/>
      </w:pPr>
      <w:bookmarkStart w:id="774" w:name="_Toc178837934"/>
      <w:r>
        <w:t>22.21.3 Structures préfabriquées en béton CCTB 01.04</w:t>
      </w:r>
      <w:bookmarkEnd w:id="774"/>
    </w:p>
    <w:p w14:paraId="7581F8E7" w14:textId="77777777" w:rsidR="00DF410E" w:rsidRDefault="00CE7F43">
      <w:pPr>
        <w:pStyle w:val="Author-eSectionHeading6"/>
      </w:pPr>
      <w:bookmarkStart w:id="775" w:name="_Toc178837935"/>
      <w:r>
        <w:t>22.21.3a Structures préfabriquées en béton CCTB 01.04</w:t>
      </w:r>
      <w:bookmarkEnd w:id="775"/>
    </w:p>
    <w:p w14:paraId="1636A26B" w14:textId="77777777" w:rsidR="00DF410E" w:rsidRDefault="00CE7F43">
      <w:pPr>
        <w:pStyle w:val="Author-eSectionHeading6"/>
      </w:pPr>
      <w:bookmarkStart w:id="776" w:name="_Toc178837936"/>
      <w:r>
        <w:t>22.21.3b Portiques préfabriqués en béton CCTB 01.04</w:t>
      </w:r>
      <w:bookmarkEnd w:id="776"/>
    </w:p>
    <w:p w14:paraId="490196F2" w14:textId="77777777" w:rsidR="00DF410E" w:rsidRDefault="00CE7F43">
      <w:pPr>
        <w:pStyle w:val="Author-eSectionHeading6"/>
      </w:pPr>
      <w:bookmarkStart w:id="777" w:name="_Toc178837937"/>
      <w:r>
        <w:t>22.21.3c Arcs préfabriqués en béton CCTB 01.04</w:t>
      </w:r>
      <w:bookmarkEnd w:id="777"/>
    </w:p>
    <w:p w14:paraId="5D08A4F8" w14:textId="77777777" w:rsidR="00DF410E" w:rsidRDefault="00CE7F43">
      <w:pPr>
        <w:pStyle w:val="Author-eSectionHeading6"/>
      </w:pPr>
      <w:bookmarkStart w:id="778" w:name="_Toc178837938"/>
      <w:r>
        <w:t>22.21.3d Potences préfabriquées en béton CCTB 01.04</w:t>
      </w:r>
      <w:bookmarkEnd w:id="778"/>
    </w:p>
    <w:p w14:paraId="2FAD9CE1" w14:textId="77777777" w:rsidR="00DF410E" w:rsidRDefault="00CE7F43">
      <w:pPr>
        <w:pStyle w:val="Author-eSectionHeading5"/>
      </w:pPr>
      <w:bookmarkStart w:id="779" w:name="_Toc178837939"/>
      <w:r>
        <w:t>22.21.4 Structures préfabriquées en béton architectonique CCTB 01.04</w:t>
      </w:r>
      <w:bookmarkEnd w:id="779"/>
    </w:p>
    <w:p w14:paraId="326834F6" w14:textId="77777777" w:rsidR="00DF410E" w:rsidRDefault="00CE7F43">
      <w:pPr>
        <w:pStyle w:val="Author-eSectionHeading6"/>
      </w:pPr>
      <w:bookmarkStart w:id="780" w:name="_Toc178837940"/>
      <w:r>
        <w:t>22.21.4a Structures préfabriquées en béton décoratif / architectonique CCTB 01.04</w:t>
      </w:r>
      <w:bookmarkEnd w:id="780"/>
    </w:p>
    <w:p w14:paraId="62C4974F" w14:textId="77777777" w:rsidR="00DF410E" w:rsidRDefault="00CE7F43">
      <w:pPr>
        <w:pStyle w:val="Author-eSectionHeading6"/>
      </w:pPr>
      <w:bookmarkStart w:id="781" w:name="_Toc178837941"/>
      <w:r>
        <w:t>22.21.4b Portiques préfabriqués en béton décoratif / architectonique CCTB 01.04</w:t>
      </w:r>
      <w:bookmarkEnd w:id="781"/>
    </w:p>
    <w:p w14:paraId="2AED98A7" w14:textId="77777777" w:rsidR="00DF410E" w:rsidRDefault="00CE7F43">
      <w:pPr>
        <w:pStyle w:val="Author-eSectionHeading6"/>
      </w:pPr>
      <w:bookmarkStart w:id="782" w:name="_Toc178837942"/>
      <w:r>
        <w:t>22.21.4c Arcs préfabriqués en béton décoratif / architectonique CCTB 01.04</w:t>
      </w:r>
      <w:bookmarkEnd w:id="782"/>
    </w:p>
    <w:p w14:paraId="7806082B" w14:textId="77777777" w:rsidR="00DF410E" w:rsidRDefault="00CE7F43">
      <w:pPr>
        <w:pStyle w:val="Author-eSectionHeading6"/>
      </w:pPr>
      <w:bookmarkStart w:id="783" w:name="_Toc178837943"/>
      <w:r>
        <w:t>22.21.4d Potences préfabriquées en béton décoratif / architectonique CCTB 01.04</w:t>
      </w:r>
      <w:bookmarkEnd w:id="783"/>
    </w:p>
    <w:p w14:paraId="1A746118" w14:textId="77777777" w:rsidR="00DF410E" w:rsidRDefault="00CE7F43">
      <w:pPr>
        <w:pStyle w:val="Author-eSectionHeading5"/>
      </w:pPr>
      <w:bookmarkStart w:id="784" w:name="_Toc178837944"/>
      <w:r>
        <w:t>22.21.5 Structures mixtes acier-béton CCTB 01.04</w:t>
      </w:r>
      <w:bookmarkEnd w:id="784"/>
    </w:p>
    <w:p w14:paraId="7DBD98C7" w14:textId="77777777" w:rsidR="00DF410E" w:rsidRDefault="00CE7F43">
      <w:pPr>
        <w:pStyle w:val="Author-eSectionHeading6"/>
      </w:pPr>
      <w:bookmarkStart w:id="785" w:name="_Toc178837945"/>
      <w:r>
        <w:t>22.21.5a Structures mixtes acier-béton CCTB 01.04</w:t>
      </w:r>
      <w:bookmarkEnd w:id="785"/>
    </w:p>
    <w:p w14:paraId="6D9AF9EF" w14:textId="77777777" w:rsidR="00DF410E" w:rsidRDefault="00CE7F43">
      <w:pPr>
        <w:pStyle w:val="Author-eSectionHeading6"/>
      </w:pPr>
      <w:bookmarkStart w:id="786" w:name="_Toc178837946"/>
      <w:r>
        <w:t>22.21.5b Portiques mixtes acier-béton CCTB 01.04</w:t>
      </w:r>
      <w:bookmarkEnd w:id="786"/>
    </w:p>
    <w:p w14:paraId="6D733889" w14:textId="77777777" w:rsidR="00DF410E" w:rsidRDefault="00CE7F43">
      <w:pPr>
        <w:pStyle w:val="Author-eSectionHeading6"/>
      </w:pPr>
      <w:bookmarkStart w:id="787" w:name="_Toc178837947"/>
      <w:r>
        <w:t>22.21.5c Arcs mixtes acier-béton CCTB 01.04</w:t>
      </w:r>
      <w:bookmarkEnd w:id="787"/>
    </w:p>
    <w:p w14:paraId="784CE391" w14:textId="77777777" w:rsidR="00DF410E" w:rsidRDefault="00CE7F43">
      <w:pPr>
        <w:pStyle w:val="Author-eSectionHeading6"/>
      </w:pPr>
      <w:bookmarkStart w:id="788" w:name="_Toc178837948"/>
      <w:r>
        <w:t>22.21.5d Potences mixtes acier-béton CCTB 01.04</w:t>
      </w:r>
      <w:bookmarkEnd w:id="788"/>
    </w:p>
    <w:p w14:paraId="38C31EFF" w14:textId="77777777" w:rsidR="00DF410E" w:rsidRDefault="00CE7F43">
      <w:pPr>
        <w:pStyle w:val="Author-eSectionHeading4"/>
      </w:pPr>
      <w:bookmarkStart w:id="789" w:name="_Toc178837949"/>
      <w:r>
        <w:t>22.22 Planchers composites en béton CCTB 01.02</w:t>
      </w:r>
      <w:bookmarkEnd w:id="789"/>
    </w:p>
    <w:p w14:paraId="3088F714" w14:textId="77777777" w:rsidR="00DF410E" w:rsidRDefault="00CE7F43">
      <w:pPr>
        <w:pStyle w:val="Author-eSectionHeading5"/>
      </w:pPr>
      <w:bookmarkStart w:id="790" w:name="_Toc178837950"/>
      <w:r>
        <w:t>22.22.1 Planchers composites en béton préfabriqués CCTB 01.02</w:t>
      </w:r>
      <w:bookmarkEnd w:id="790"/>
    </w:p>
    <w:p w14:paraId="117B76F6" w14:textId="77777777" w:rsidR="00DF410E" w:rsidRDefault="00CE7F43">
      <w:pPr>
        <w:pStyle w:val="Author-eSectionHeading6"/>
      </w:pPr>
      <w:bookmarkStart w:id="791" w:name="_Toc178837951"/>
      <w:r>
        <w:t>22.22.1a Planchers à poutrelles en béton et entrevous en béton CCTB 01.12</w:t>
      </w:r>
      <w:bookmarkEnd w:id="791"/>
    </w:p>
    <w:p w14:paraId="488F73CA" w14:textId="77777777" w:rsidR="00DF410E" w:rsidRDefault="00CE7F43">
      <w:pPr>
        <w:pStyle w:val="pheading"/>
      </w:pPr>
      <w:r>
        <w:t>DESCRIPTION</w:t>
      </w:r>
    </w:p>
    <w:p w14:paraId="4259DD9B" w14:textId="77777777" w:rsidR="00DF410E" w:rsidRDefault="00CE7F43">
      <w:pPr>
        <w:pStyle w:val="pheading"/>
      </w:pPr>
      <w:r>
        <w:t>- Définition / Comprend</w:t>
      </w:r>
    </w:p>
    <w:p w14:paraId="0C975941" w14:textId="77777777" w:rsidR="00DF410E" w:rsidRDefault="00CE7F43">
      <w:r>
        <w:t>Il s'agit des planchers combinés à caractère monolithe, composées de poutrelles préfabriquées, d'entrevous et d'une couche de compression armée coulée sur place. Le système doit être conforme aux normes [NBN EN 15037-1], [NBN EN 15037-2+A1], [NBN B 21-616].</w:t>
      </w:r>
    </w:p>
    <w:p w14:paraId="2547D334" w14:textId="77777777" w:rsidR="00DF410E" w:rsidRDefault="00CE7F43">
      <w:pPr>
        <w:pStyle w:val="pheading"/>
      </w:pPr>
      <w:r>
        <w:t>MATÉRIAUX</w:t>
      </w:r>
    </w:p>
    <w:p w14:paraId="4F7E3B65" w14:textId="77777777" w:rsidR="00DF410E" w:rsidRDefault="00CE7F43">
      <w:pPr>
        <w:pStyle w:val="pheading"/>
      </w:pPr>
      <w:r>
        <w:t>- Caractéristiques générales</w:t>
      </w:r>
    </w:p>
    <w:p w14:paraId="38B972CD" w14:textId="77777777" w:rsidR="00DF410E" w:rsidRDefault="00CE7F43">
      <w:pPr>
        <w:pStyle w:val="heading"/>
      </w:pPr>
      <w:r>
        <w:t>Poutrelles</w:t>
      </w:r>
    </w:p>
    <w:p w14:paraId="3D75E589" w14:textId="77777777" w:rsidR="00DF410E" w:rsidRDefault="00CE7F43">
      <w:r>
        <w:t>Les poutrelles de support préfabriquées sont conformes aux [NBN EN 15037-1] et [NBN B 21-616]</w:t>
      </w:r>
    </w:p>
    <w:p w14:paraId="6EF3820C" w14:textId="77777777" w:rsidR="00DF410E" w:rsidRDefault="00CE7F43">
      <w:pPr>
        <w:pStyle w:val="Author-eListParagraph"/>
        <w:numPr>
          <w:ilvl w:val="0"/>
          <w:numId w:val="542"/>
        </w:numPr>
      </w:pPr>
      <w:r>
        <w:t>La face inférieure des poutres de support est achevée par une semelle dans le même matériau que les éléments de remplissage. Cette finition est réalisée au cours de la préfabrication des poutres ou par la forme des éléments de remplissage.</w:t>
      </w:r>
    </w:p>
    <w:p w14:paraId="0ED0F8EE" w14:textId="77777777" w:rsidR="00DF410E" w:rsidRDefault="00CE7F43">
      <w:pPr>
        <w:pStyle w:val="heading"/>
      </w:pPr>
      <w:r>
        <w:t>Entrevous</w:t>
      </w:r>
    </w:p>
    <w:p w14:paraId="01EA6B9A" w14:textId="77777777" w:rsidR="00DF410E" w:rsidRDefault="00CE7F43">
      <w:pPr>
        <w:pStyle w:val="Author-eListParagraph"/>
        <w:numPr>
          <w:ilvl w:val="0"/>
          <w:numId w:val="543"/>
        </w:numPr>
      </w:pPr>
      <w:r>
        <w:t>Les entrevous sont conformes à la [NBN EN 15037-2+A1] .</w:t>
      </w:r>
    </w:p>
    <w:p w14:paraId="192E9BB6" w14:textId="77777777" w:rsidR="00DF410E" w:rsidRDefault="00CE7F43">
      <w:pPr>
        <w:pStyle w:val="Author-eListParagraph"/>
        <w:numPr>
          <w:ilvl w:val="0"/>
          <w:numId w:val="543"/>
        </w:numPr>
      </w:pPr>
      <w:r>
        <w:t>La forme des éléments de remplissage favorise l'adhérence au mortier ou au béton. Conformément au cahier spécial des charges, les éléments de remplissage peuvent être constitués comme</w:t>
      </w:r>
    </w:p>
    <w:p w14:paraId="2C184167" w14:textId="77777777" w:rsidR="00DF410E" w:rsidRDefault="00CE7F43">
      <w:pPr>
        <w:pStyle w:val="Author-eListParagraph"/>
        <w:numPr>
          <w:ilvl w:val="0"/>
          <w:numId w:val="543"/>
        </w:numPr>
      </w:pPr>
      <w:r>
        <w:t>La face inférieure du plancher est parfaitement lisse ou prête à être plafonnée. Le cas échéant, la face inférieure des blocs est très rugueuse, ou présente des rainures et nervures afin d'améliorer l'adhérence des plafonnages.</w:t>
      </w:r>
    </w:p>
    <w:p w14:paraId="3991E44F" w14:textId="77777777" w:rsidR="00DF410E" w:rsidRDefault="00CE7F43">
      <w:pPr>
        <w:pStyle w:val="heading"/>
      </w:pPr>
      <w:r>
        <w:t>Couche de compression</w:t>
      </w:r>
    </w:p>
    <w:p w14:paraId="2CF08703" w14:textId="77777777" w:rsidR="00DF410E" w:rsidRDefault="00CE7F43">
      <w:pPr>
        <w:pStyle w:val="Author-eListParagraph"/>
        <w:numPr>
          <w:ilvl w:val="0"/>
          <w:numId w:val="544"/>
        </w:numPr>
      </w:pPr>
      <w:r>
        <w:t xml:space="preserve">Épaisseur de la couche de compression : au moins </w:t>
      </w:r>
      <w:r>
        <w:rPr>
          <w:rStyle w:val="optioncarChar"/>
        </w:rPr>
        <w:t>3 / 4 </w:t>
      </w:r>
      <w:r>
        <w:t>(par défaut)</w:t>
      </w:r>
      <w:r>
        <w:rPr>
          <w:rStyle w:val="optioncarChar"/>
        </w:rPr>
        <w:t xml:space="preserve"> / 5 / ***</w:t>
      </w:r>
      <w:r>
        <w:t xml:space="preserve"> cm au-dessus des entrevous.</w:t>
      </w:r>
    </w:p>
    <w:p w14:paraId="22784F8A" w14:textId="77777777" w:rsidR="00DF410E" w:rsidRDefault="00CE7F43">
      <w:pPr>
        <w:pStyle w:val="Author-eListParagraph"/>
        <w:numPr>
          <w:ilvl w:val="0"/>
          <w:numId w:val="544"/>
        </w:numPr>
      </w:pPr>
      <w:r>
        <w:t xml:space="preserve">La qualité du béton selon la [NBN EN 206:2013+A2] et [NBN B 15-001] est fonction de l'épaisseur de la couche de compression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15B705EA" w14:textId="77777777">
        <w:tc>
          <w:tcPr>
            <w:tcW w:w="1500" w:type="dxa"/>
            <w:noWrap/>
          </w:tcPr>
          <w:p w14:paraId="7C90259D" w14:textId="77777777" w:rsidR="00DF410E" w:rsidRDefault="00CE7F43">
            <w:pPr>
              <w:jc w:val="center"/>
            </w:pPr>
            <w:r>
              <w:rPr>
                <w:b/>
              </w:rPr>
              <w:t>A</w:t>
            </w:r>
          </w:p>
        </w:tc>
        <w:tc>
          <w:tcPr>
            <w:tcW w:w="1500" w:type="dxa"/>
            <w:noWrap/>
          </w:tcPr>
          <w:p w14:paraId="40FFF8FD" w14:textId="77777777" w:rsidR="00DF410E" w:rsidRDefault="00CE7F43">
            <w:pPr>
              <w:jc w:val="center"/>
            </w:pPr>
            <w:r>
              <w:rPr>
                <w:b/>
              </w:rPr>
              <w:t>B1</w:t>
            </w:r>
          </w:p>
        </w:tc>
        <w:tc>
          <w:tcPr>
            <w:tcW w:w="1500" w:type="dxa"/>
            <w:noWrap/>
          </w:tcPr>
          <w:p w14:paraId="36FFCC9D" w14:textId="77777777" w:rsidR="00DF410E" w:rsidRDefault="00CE7F43">
            <w:pPr>
              <w:jc w:val="center"/>
            </w:pPr>
            <w:r>
              <w:rPr>
                <w:b/>
              </w:rPr>
              <w:t>B2</w:t>
            </w:r>
          </w:p>
        </w:tc>
        <w:tc>
          <w:tcPr>
            <w:tcW w:w="1500" w:type="dxa"/>
            <w:noWrap/>
          </w:tcPr>
          <w:p w14:paraId="0E59808D" w14:textId="77777777" w:rsidR="00DF410E" w:rsidRDefault="00CE7F43">
            <w:pPr>
              <w:jc w:val="center"/>
            </w:pPr>
            <w:r>
              <w:rPr>
                <w:b/>
              </w:rPr>
              <w:t>C</w:t>
            </w:r>
          </w:p>
        </w:tc>
        <w:tc>
          <w:tcPr>
            <w:tcW w:w="1500" w:type="dxa"/>
            <w:noWrap/>
          </w:tcPr>
          <w:p w14:paraId="1AA548B6" w14:textId="77777777" w:rsidR="00DF410E" w:rsidRDefault="00CE7F43">
            <w:pPr>
              <w:jc w:val="center"/>
            </w:pPr>
            <w:r>
              <w:rPr>
                <w:b/>
              </w:rPr>
              <w:t>D</w:t>
            </w:r>
          </w:p>
        </w:tc>
        <w:tc>
          <w:tcPr>
            <w:tcW w:w="1500" w:type="dxa"/>
            <w:noWrap/>
          </w:tcPr>
          <w:p w14:paraId="51E33D64" w14:textId="77777777" w:rsidR="00DF410E" w:rsidRDefault="00CE7F43">
            <w:pPr>
              <w:jc w:val="center"/>
            </w:pPr>
            <w:r>
              <w:rPr>
                <w:b/>
              </w:rPr>
              <w:t>E</w:t>
            </w:r>
          </w:p>
        </w:tc>
      </w:tr>
      <w:tr w:rsidR="00DF410E" w14:paraId="7D4CCC6A" w14:textId="77777777">
        <w:tc>
          <w:tcPr>
            <w:tcW w:w="1500" w:type="dxa"/>
            <w:noWrap/>
          </w:tcPr>
          <w:p w14:paraId="296A9AA8" w14:textId="77777777" w:rsidR="00DF410E" w:rsidRDefault="00CE7F43">
            <w:pPr>
              <w:jc w:val="center"/>
            </w:pPr>
            <w:r>
              <w:rPr>
                <w:b/>
              </w:rPr>
              <w:t>Classe de résistance</w:t>
            </w:r>
          </w:p>
        </w:tc>
        <w:tc>
          <w:tcPr>
            <w:tcW w:w="1500" w:type="dxa"/>
            <w:noWrap/>
          </w:tcPr>
          <w:p w14:paraId="79BBDECB" w14:textId="77777777" w:rsidR="00DF410E" w:rsidRDefault="00CE7F43">
            <w:pPr>
              <w:jc w:val="center"/>
            </w:pPr>
            <w:r>
              <w:rPr>
                <w:b/>
              </w:rPr>
              <w:t>Domaine d’application</w:t>
            </w:r>
          </w:p>
        </w:tc>
        <w:tc>
          <w:tcPr>
            <w:tcW w:w="1500" w:type="dxa"/>
            <w:noWrap/>
          </w:tcPr>
          <w:p w14:paraId="375F01B1" w14:textId="77777777" w:rsidR="00DF410E" w:rsidRDefault="00CE7F43">
            <w:pPr>
              <w:jc w:val="center"/>
            </w:pPr>
            <w:r>
              <w:rPr>
                <w:b/>
              </w:rPr>
              <w:t>Classe d'environnement</w:t>
            </w:r>
          </w:p>
        </w:tc>
        <w:tc>
          <w:tcPr>
            <w:tcW w:w="1500" w:type="dxa"/>
            <w:noWrap/>
          </w:tcPr>
          <w:p w14:paraId="52D0A529" w14:textId="77777777" w:rsidR="00DF410E" w:rsidRDefault="00CE7F43">
            <w:pPr>
              <w:jc w:val="center"/>
            </w:pPr>
            <w:r>
              <w:rPr>
                <w:b/>
              </w:rPr>
              <w:t>Classe de consistance</w:t>
            </w:r>
          </w:p>
        </w:tc>
        <w:tc>
          <w:tcPr>
            <w:tcW w:w="1500" w:type="dxa"/>
            <w:noWrap/>
          </w:tcPr>
          <w:p w14:paraId="295D0923" w14:textId="77777777" w:rsidR="00DF410E" w:rsidRDefault="00CE7F43">
            <w:pPr>
              <w:jc w:val="center"/>
            </w:pPr>
            <w:r>
              <w:rPr>
                <w:b/>
              </w:rPr>
              <w:t>Granulométrie maximale</w:t>
            </w:r>
          </w:p>
        </w:tc>
        <w:tc>
          <w:tcPr>
            <w:tcW w:w="1500" w:type="dxa"/>
            <w:noWrap/>
          </w:tcPr>
          <w:p w14:paraId="71344520" w14:textId="77777777" w:rsidR="00DF410E" w:rsidRDefault="00CE7F43">
            <w:r>
              <w:rPr>
                <w:b/>
              </w:rPr>
              <w:t>Données complémentaires</w:t>
            </w:r>
          </w:p>
        </w:tc>
      </w:tr>
      <w:tr w:rsidR="00DF410E" w14:paraId="2B9BFCFD" w14:textId="77777777">
        <w:tc>
          <w:tcPr>
            <w:tcW w:w="1500" w:type="dxa"/>
            <w:noWrap/>
          </w:tcPr>
          <w:p w14:paraId="064AFF04" w14:textId="77777777" w:rsidR="00DF410E" w:rsidRDefault="00CE7F43">
            <w:pPr>
              <w:jc w:val="center"/>
            </w:pPr>
            <w:r>
              <w:rPr>
                <w:rStyle w:val="optioncarChar"/>
              </w:rPr>
              <w:t>C25/30 / C30/37 / C35/45 / C45/55 / C50/60 / C55/67 / C60/75 / C70/85 / C80/95 / C90/105</w:t>
            </w:r>
          </w:p>
        </w:tc>
        <w:tc>
          <w:tcPr>
            <w:tcW w:w="1500" w:type="dxa"/>
            <w:noWrap/>
          </w:tcPr>
          <w:p w14:paraId="0625DD5A" w14:textId="77777777" w:rsidR="00DF410E" w:rsidRDefault="00CE7F43">
            <w:pPr>
              <w:jc w:val="center"/>
            </w:pPr>
            <w:r>
              <w:t>Béton armé</w:t>
            </w:r>
          </w:p>
          <w:p w14:paraId="75A96F34" w14:textId="77777777" w:rsidR="00DF410E" w:rsidRDefault="00DF410E"/>
        </w:tc>
        <w:tc>
          <w:tcPr>
            <w:tcW w:w="1500" w:type="dxa"/>
            <w:noWrap/>
          </w:tcPr>
          <w:p w14:paraId="001C0FDC" w14:textId="77777777" w:rsidR="00DF410E" w:rsidRDefault="00CE7F43">
            <w:pPr>
              <w:jc w:val="center"/>
            </w:pPr>
            <w:r>
              <w:rPr>
                <w:rStyle w:val="optioncarChar"/>
              </w:rPr>
              <w:t>E0 / EI / EE1 / EE2 / EE3 / EE4 / ES1 / ES2 / ES3 / ES4 / EA1+*** / EA2+***/ EA3+***</w:t>
            </w:r>
          </w:p>
        </w:tc>
        <w:tc>
          <w:tcPr>
            <w:tcW w:w="1500" w:type="dxa"/>
            <w:noWrap/>
          </w:tcPr>
          <w:p w14:paraId="4F992909" w14:textId="77777777" w:rsidR="00DF410E" w:rsidRDefault="00CE7F43">
            <w:pPr>
              <w:jc w:val="center"/>
            </w:pPr>
            <w:r>
              <w:t>au choix de l'entrepreneur :</w:t>
            </w:r>
          </w:p>
          <w:p w14:paraId="41C82E5D" w14:textId="77777777" w:rsidR="00DF410E" w:rsidRDefault="00CE7F43">
            <w:pPr>
              <w:jc w:val="center"/>
            </w:pPr>
            <w:r>
              <w:rPr>
                <w:rStyle w:val="optioncarChar"/>
              </w:rPr>
              <w:t xml:space="preserve">S3 / S4 / S5 </w:t>
            </w:r>
          </w:p>
          <w:p w14:paraId="37A783D2" w14:textId="77777777" w:rsidR="00DF410E" w:rsidRDefault="00CE7F43">
            <w:pPr>
              <w:jc w:val="center"/>
            </w:pPr>
            <w:r>
              <w:rPr>
                <w:rStyle w:val="optioncarChar"/>
              </w:rPr>
              <w:t>F3 / F4 / F5 / F6</w:t>
            </w:r>
            <w:r>
              <w:br/>
            </w:r>
          </w:p>
        </w:tc>
        <w:tc>
          <w:tcPr>
            <w:tcW w:w="1500" w:type="dxa"/>
            <w:noWrap/>
          </w:tcPr>
          <w:p w14:paraId="3078E78E" w14:textId="77777777" w:rsidR="00DF410E" w:rsidRDefault="00CE7F43">
            <w:pPr>
              <w:jc w:val="center"/>
            </w:pPr>
            <w:r>
              <w:t>au choix de l'entrepreneur :</w:t>
            </w:r>
          </w:p>
          <w:p w14:paraId="29580B61" w14:textId="77777777" w:rsidR="00DF410E" w:rsidRDefault="00CE7F43">
            <w:pPr>
              <w:jc w:val="center"/>
            </w:pPr>
            <w:r>
              <w:rPr>
                <w:rStyle w:val="optioncarChar"/>
              </w:rPr>
              <w:t>6 / 8 / 10 / 11 / 12 / 14 / 16 / 20 / 22 / 32</w:t>
            </w:r>
            <w:r>
              <w:t xml:space="preserve"> mm</w:t>
            </w:r>
          </w:p>
        </w:tc>
        <w:tc>
          <w:tcPr>
            <w:tcW w:w="1500" w:type="dxa"/>
            <w:noWrap/>
          </w:tcPr>
          <w:p w14:paraId="31B94515" w14:textId="77777777" w:rsidR="00DF410E" w:rsidRDefault="00CE7F43">
            <w:pPr>
              <w:jc w:val="center"/>
            </w:pPr>
            <w:r>
              <w:rPr>
                <w:rStyle w:val="optioncarChar"/>
              </w:rPr>
              <w:t>***</w:t>
            </w:r>
          </w:p>
        </w:tc>
      </w:tr>
    </w:tbl>
    <w:p w14:paraId="1A453EE5"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6D8A8785" w14:textId="77777777" w:rsidR="00DF410E" w:rsidRDefault="00CE7F43">
      <w:pPr>
        <w:ind w:left="567"/>
      </w:pPr>
      <w:r>
        <w:t>Données complémentaires propres au béton autoplaçant (E) :</w:t>
      </w:r>
    </w:p>
    <w:p w14:paraId="767DD939" w14:textId="77777777" w:rsidR="00DF410E" w:rsidRDefault="00CE7F43">
      <w:pPr>
        <w:pStyle w:val="Author-eListParagraph"/>
        <w:numPr>
          <w:ilvl w:val="0"/>
          <w:numId w:val="545"/>
        </w:numPr>
      </w:pPr>
      <w:r>
        <w:t xml:space="preserve">Classe de viscosité apparente : </w:t>
      </w:r>
      <w:r>
        <w:rPr>
          <w:rStyle w:val="optioncarChar"/>
        </w:rPr>
        <w:t>VS1 / VS2</w:t>
      </w:r>
      <w:r>
        <w:t xml:space="preserve"> (selon la [NBN EN 12350-8] )</w:t>
      </w:r>
    </w:p>
    <w:p w14:paraId="55034CBA" w14:textId="77777777" w:rsidR="00DF410E" w:rsidRDefault="00CE7F43">
      <w:pPr>
        <w:pStyle w:val="Author-eListParagraph"/>
        <w:numPr>
          <w:ilvl w:val="0"/>
          <w:numId w:val="545"/>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AA3607F" w14:textId="77777777" w:rsidR="00DF410E" w:rsidRDefault="00CE7F43">
      <w:pPr>
        <w:pStyle w:val="Author-eListParagraph"/>
        <w:numPr>
          <w:ilvl w:val="0"/>
          <w:numId w:val="54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68B9DBAD" w14:textId="77777777" w:rsidR="00DF410E" w:rsidRDefault="00CE7F43">
      <w:pPr>
        <w:pStyle w:val="Author-eListParagraph"/>
        <w:numPr>
          <w:ilvl w:val="0"/>
          <w:numId w:val="546"/>
        </w:numPr>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dimensions</w:t>
      </w:r>
      <w:r>
        <w:rPr>
          <w:rStyle w:val="optioncarChar"/>
        </w:rPr>
        <w:t> 150 x 150 x 6 x 6</w:t>
      </w:r>
      <w:r>
        <w:t xml:space="preserve"> (par défaut)</w:t>
      </w:r>
      <w:r>
        <w:rPr>
          <w:rStyle w:val="optioncarChar"/>
        </w:rPr>
        <w:t> / ***x***x***x*** </w:t>
      </w:r>
      <w:r>
        <w:t>mm. Les armatures complémentaires sont des barres d'acier de qualité BE 500 S.</w:t>
      </w:r>
    </w:p>
    <w:p w14:paraId="3D2D5949" w14:textId="77777777" w:rsidR="00DF410E" w:rsidRDefault="00CE7F43">
      <w:r>
        <w:t>Entrevous</w:t>
      </w:r>
    </w:p>
    <w:p w14:paraId="0FC70C68" w14:textId="77777777" w:rsidR="00DF410E" w:rsidRDefault="00CE7F43">
      <w:pPr>
        <w:pStyle w:val="Author-eListParagraph"/>
        <w:numPr>
          <w:ilvl w:val="0"/>
          <w:numId w:val="547"/>
        </w:numPr>
      </w:pPr>
      <w:r>
        <w:t xml:space="preserve">Type : béton avec </w:t>
      </w:r>
      <w:r>
        <w:rPr>
          <w:rStyle w:val="optioncarChar"/>
        </w:rPr>
        <w:t>adjuvants ordinaires </w:t>
      </w:r>
      <w:r>
        <w:t>(par défaut) / ***</w:t>
      </w:r>
    </w:p>
    <w:p w14:paraId="62339ED0" w14:textId="77777777" w:rsidR="00DF410E" w:rsidRDefault="00CE7F43">
      <w:pPr>
        <w:pStyle w:val="Author-eListParagraph"/>
        <w:numPr>
          <w:ilvl w:val="0"/>
          <w:numId w:val="547"/>
        </w:numPr>
      </w:pPr>
      <w:r>
        <w:t xml:space="preserve">Épaisseur : </w:t>
      </w:r>
      <w:r>
        <w:rPr>
          <w:rStyle w:val="optioncarChar"/>
        </w:rPr>
        <w:t>8</w:t>
      </w:r>
      <w:r>
        <w:t> </w:t>
      </w:r>
      <w:r>
        <w:rPr>
          <w:rStyle w:val="optioncarChar"/>
        </w:rPr>
        <w:t>/ 12 / 16 / 20 / 25 / *** </w:t>
      </w:r>
      <w:r>
        <w:t>cm</w:t>
      </w:r>
    </w:p>
    <w:p w14:paraId="716071C5" w14:textId="77777777" w:rsidR="00DF410E" w:rsidRDefault="00CE7F43">
      <w:pPr>
        <w:pStyle w:val="pheading"/>
      </w:pPr>
      <w:r>
        <w:t>- Prescriptions complémentaires</w:t>
      </w:r>
    </w:p>
    <w:p w14:paraId="1BF9751A" w14:textId="77777777" w:rsidR="00DF410E" w:rsidRDefault="00CE7F43">
      <w:r>
        <w:t xml:space="preserve">Résistance au feu : pour les éléments porteurs et structurels sans fonction séparant </w:t>
      </w:r>
      <w:r>
        <w:rPr>
          <w:rStyle w:val="optioncarChar"/>
        </w:rPr>
        <w:t xml:space="preserve">R15 / R30 </w:t>
      </w:r>
      <w:r>
        <w:t>(par défaut) </w:t>
      </w:r>
      <w:r>
        <w:rPr>
          <w:rStyle w:val="optioncarChar"/>
        </w:rPr>
        <w:t>/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t>Support aux prescripteurs : [SWL GSI/T1/C] de la prévention passive</w:t>
      </w:r>
    </w:p>
    <w:p w14:paraId="4C0E1487" w14:textId="77777777" w:rsidR="00DF410E" w:rsidRDefault="00CE7F43">
      <w:pPr>
        <w:pStyle w:val="pheading"/>
      </w:pPr>
      <w:r>
        <w:t>EXÉCUTION / MISE EN ŒUVRE</w:t>
      </w:r>
    </w:p>
    <w:p w14:paraId="53364DB8" w14:textId="77777777" w:rsidR="00DF410E" w:rsidRDefault="00CE7F43">
      <w:pPr>
        <w:pStyle w:val="pheading"/>
      </w:pPr>
      <w:r>
        <w:t>- Prescriptions générales</w:t>
      </w:r>
    </w:p>
    <w:p w14:paraId="65505B0A" w14:textId="77777777" w:rsidR="00DF410E" w:rsidRDefault="00CE7F43">
      <w:r>
        <w:t xml:space="preserve">L'étude est réalisée conformément à </w:t>
      </w:r>
      <w:hyperlink w:anchor="87" w:history="1">
        <w:r>
          <w:t>22 Superstructures en béton</w:t>
        </w:r>
      </w:hyperlink>
      <w:r>
        <w:t>  à charge de</w:t>
      </w:r>
      <w:r>
        <w:rPr>
          <w:rStyle w:val="optioncarChar"/>
        </w:rPr>
        <w:t> l'entrepreneur </w:t>
      </w:r>
      <w:r>
        <w:t>(par défaut)</w:t>
      </w:r>
      <w:r>
        <w:rPr>
          <w:rStyle w:val="optioncarChar"/>
        </w:rPr>
        <w:t xml:space="preserve"> / du maître de l'ouvrage  / du bureau d'étude / ***</w:t>
      </w:r>
      <w:r>
        <w:br/>
        <w:t>La face supérieure du plancher correspond aux cotes de niveau et à l'épaisseur indiquées sur les plans d'architecture.</w:t>
      </w:r>
      <w:r>
        <w:br/>
        <w:t xml:space="preserve">L'espacement d'axe en axe entre les poutrelles est de maximum </w:t>
      </w:r>
      <w:r>
        <w:rPr>
          <w:rStyle w:val="optioncarChar"/>
        </w:rPr>
        <w:t>30 / 60 </w:t>
      </w:r>
      <w:r>
        <w:t>(par défaut)</w:t>
      </w:r>
      <w:r>
        <w:rPr>
          <w:rStyle w:val="optioncarChar"/>
        </w:rPr>
        <w:t xml:space="preserve"> / ***</w:t>
      </w:r>
      <w:r>
        <w:t xml:space="preserve"> cm.</w:t>
      </w:r>
      <w:r>
        <w:br/>
        <w:t>Les travaux sont exécutés conformément aux recommandations du fabricant. Les plans de pose des éléments préfabriqués doivent être préalablement soumis à l'approbation de l'auteur de projet.</w:t>
      </w:r>
      <w:r>
        <w:br/>
        <w:t>Les faces supérieure et inférieure des planchers composés doivent correspondre aux cotes de niveau et à l'épaisseur de la finition des planchers selon les indications sur les plans d'exécution. La face inférieure des planchers composés se situe dans un seul et même plan.</w:t>
      </w:r>
      <w:r>
        <w:br/>
        <w:t xml:space="preserve">La hauteur de construction des planchers de sol composées est de maximum </w:t>
      </w:r>
      <w:r>
        <w:rPr>
          <w:rStyle w:val="optioncarChar"/>
        </w:rPr>
        <w:t>***</w:t>
      </w:r>
      <w:r>
        <w:t xml:space="preserve"> cm.</w:t>
      </w:r>
    </w:p>
    <w:p w14:paraId="56C18E9C" w14:textId="77777777" w:rsidR="00DF410E" w:rsidRDefault="00CE7F43">
      <w:pPr>
        <w:pStyle w:val="heading"/>
      </w:pPr>
      <w:r>
        <w:t>Appuis</w:t>
      </w:r>
    </w:p>
    <w:p w14:paraId="5A88D9CD" w14:textId="77777777" w:rsidR="00DF410E" w:rsidRDefault="00CE7F43">
      <w:r>
        <w:t xml:space="preserve">Avant la pose des poutrains, un support continu est réalisé transversalement au sens de la portée, conformément aux indications sur les plans de pose approuvés par l'auteur de projet. Les étais présentent un écartement de maximum </w:t>
      </w:r>
      <w:r>
        <w:rPr>
          <w:rStyle w:val="optioncarChar"/>
        </w:rPr>
        <w:t>1,50 </w:t>
      </w:r>
      <w:r>
        <w:t>(par défaut)</w:t>
      </w:r>
      <w:r>
        <w:rPr>
          <w:rStyle w:val="optioncarChar"/>
        </w:rPr>
        <w:t xml:space="preserve"> / 2,00 / *** </w:t>
      </w:r>
      <w:r>
        <w:t>m. </w:t>
      </w:r>
      <w:r>
        <w:br/>
        <w:t>Les étais sont disposés de façon telle que, lors de la mise en œuvre du plancher, il y ait au centre de la portée une contre-flèche de 1/500 de la portée.</w:t>
      </w:r>
      <w:r>
        <w:br/>
        <w:t>L'enlèvement des accessoires se fait au plus tôt après 21 jours et après le nettoyage éventuel des faces apparentes. Ce n'est qu'après l'enlèvement des étais que les éventuelles cloisons peuvent être construites à l'étage.</w:t>
      </w:r>
    </w:p>
    <w:p w14:paraId="4F18733A" w14:textId="77777777" w:rsidR="00DF410E" w:rsidRDefault="00CE7F43">
      <w:pPr>
        <w:pStyle w:val="heading"/>
      </w:pPr>
      <w:r>
        <w:t>Mise en œuvre des poutrelles et des entrevous</w:t>
      </w:r>
    </w:p>
    <w:p w14:paraId="7809452B" w14:textId="77777777" w:rsidR="00DF410E" w:rsidRDefault="00CE7F43">
      <w:r>
        <w:t>Les poutrelles et entrevous sont posés dans le sens et de la façon indiquée sur les plans de pose approuvés par l'auteur de projet.</w:t>
      </w:r>
      <w:r>
        <w:br/>
        <w:t>Les poutres ne présentent pas de trous de forage ni de percements quelconques.</w:t>
      </w:r>
      <w:r>
        <w:br/>
        <w:t>La longueur de l'appui sur les ouvrages de maçonnerie portante, en béton ou en acier est d'au moins 7 cm (longueur de l’appui en fonction des différentes caractéristiques peut être vérifiée via la[NIT 223]. Lorsque des armatures dépassent des poutrelles, celles-ci sont déterminantes pour la longueur de l'appui.</w:t>
      </w:r>
      <w:r>
        <w:br/>
        <w:t>Les entrevous sont posés bien jointivement à 20 mm au-dessus du bord du mur.</w:t>
      </w:r>
      <w:r>
        <w:br/>
        <w:t>Le vide est ensuite rempli de béton et constitue une poutre de ceinture. Les entrevous cassés et/ou fortement endommagés ne peuvent pas être mis en œuvre.</w:t>
      </w:r>
      <w:r>
        <w:br/>
        <w:t>Les enchevêtrures et les renforcements locaux (sous les cloisons, aux trémies d'escaliers, aux balcons, etc.) sont exécutés conformément au plan de pose et/ou aux dessins de détail. Ces éléments doivent se situer dans la hauteur réservée au plancher. Pour ces zones, l'entrepreneur soumet une note de calcul séparée. Les enchevêtrures doivent être calculées et exécutées à l'aide d'éléments de remplissage appropriés ou de poutres transversales munies de barres de suspension, selon les directives données par le fournisseur.</w:t>
      </w:r>
      <w:r>
        <w:br/>
        <w:t>Les charges linéaires des murs non porteurs parallèles au sens du plancher sont reprises par des poutres renforcées et des entrevous adaptés (et/ou à l'aide d'armatures supplémentaires dans les cas exceptionnels).</w:t>
      </w:r>
      <w:r>
        <w:br/>
        <w:t>Lorsque le plancher repose sur une poutre en acier dont la face inférieure se situe dans le même plan que le plancher, on utilise des poutrelles dont les extrémités sont amincies. Avant la pose des poutrelles, l'aile inférieure doit être enveloppée dans un grillage céramique jusque sous la surface d'appui des poutrelles. Pour la pose sur des profils en métal, les éléments peuvent aussi être pourvus de barres de suspension. Celles-ci sont fixées autour de l'aile supérieure du profil en métal et noyées dans le béton.</w:t>
      </w:r>
      <w:r>
        <w:br/>
        <w:t>Lorsque le plancher repose sur une poutre renversée en béton armé, dont la face inférieure se situe dans le même plan que le plancher, les poutrelles sont pourvues, en usine, d'armature de suspension de section calculée. Dans la couche de béton, les armatures d'ancrage supplémentaires sont uniquement autorisées dans des cas exceptionnels.</w:t>
      </w:r>
      <w:r>
        <w:br/>
        <w:t>Lorsque le plancher s'appuie dans des murs existants, les ouvertures nécessaires doivent être prévues dans les murs avant la mise en place des étais. Les poutres sont posées dans les ouvertures sur un lit de mortier d'au moins 2 cm d'épaisseur. Le vide restant entre les poutrelles et les ouvertures réalisées sont remplis sur toute la profondeur avec du mortier de ciment, avant la pose des éléments de remplissage.</w:t>
      </w:r>
      <w:r>
        <w:br/>
        <w:t>Pour la fixation éventuelle des faux plafonds, on prévoit des lattes en bois entre les entrevous; leur nombre et leur répartition sont déterminés en fonction de la nature du faux plafond.</w:t>
      </w:r>
    </w:p>
    <w:p w14:paraId="16AF7F4E" w14:textId="77777777" w:rsidR="00DF410E" w:rsidRDefault="00CE7F43">
      <w:pPr>
        <w:pStyle w:val="heading"/>
      </w:pPr>
      <w:r>
        <w:t>Exécution de la couche de compression</w:t>
      </w:r>
    </w:p>
    <w:p w14:paraId="65B39067" w14:textId="77777777" w:rsidR="00DF410E" w:rsidRDefault="00CE7F43">
      <w:r>
        <w:t>La couche de compression est exécutée en une seule fois sur toute l'épaisseur, de façon telle que celle-ci forme un ensemble avec les éléments sous-jacents. Avant de couler la couche de compression, les entrevous sont nettoyés, les entrevous en terre cuite sont humidifiés jusqu'à saturation.</w:t>
      </w:r>
    </w:p>
    <w:p w14:paraId="34B79AAF" w14:textId="77777777" w:rsidR="00DF410E" w:rsidRDefault="00CE7F43">
      <w:r>
        <w:t>L'entrepreneur prévoit les armatures nécessaires (treillis d'armatures + barres supplémentaires) :</w:t>
      </w:r>
      <w:r>
        <w:br/>
      </w:r>
      <w:r>
        <w:rPr>
          <w:b/>
        </w:rPr>
        <w:t> </w:t>
      </w:r>
    </w:p>
    <w:p w14:paraId="02B5E832" w14:textId="77777777" w:rsidR="00DF410E" w:rsidRDefault="00CE7F43">
      <w:r>
        <w:rPr>
          <w:b/>
        </w:rPr>
        <w:t xml:space="preserve">Choix opéré: </w:t>
      </w:r>
      <w:r>
        <w:rPr>
          <w:rStyle w:val="optioncarChar"/>
          <w:b/>
        </w:rPr>
        <w:t>*** / OPTION1 </w:t>
      </w:r>
      <w:r>
        <w:t xml:space="preserve">(par défaut) </w:t>
      </w:r>
      <w:r>
        <w:rPr>
          <w:rStyle w:val="optioncarChar"/>
          <w:b/>
        </w:rPr>
        <w:t>/ OPTION 2</w:t>
      </w:r>
    </w:p>
    <w:p w14:paraId="1799779F" w14:textId="77777777" w:rsidR="00DF410E" w:rsidRDefault="00CE7F43">
      <w:r>
        <w:rPr>
          <w:b/>
        </w:rPr>
        <w:t>***OPTION 1:</w:t>
      </w:r>
      <w:r>
        <w:t xml:space="preserve"> selon les indications dans l'étude des bétons, </w:t>
      </w:r>
      <w:r>
        <w:rPr>
          <w:rStyle w:val="optioncarChar"/>
        </w:rPr>
        <w:t>***</w:t>
      </w:r>
      <w:r>
        <w:br/>
      </w:r>
      <w:r>
        <w:rPr>
          <w:b/>
        </w:rPr>
        <w:t>***OPTION 2:</w:t>
      </w:r>
      <w:r>
        <w:t> selon les Eurocodes (essentiellement [NBN EN 1990], [NBN EN 1991 série], [NBN EN 1992-1-1] et [NBN EN 1992-1-2])</w:t>
      </w:r>
    </w:p>
    <w:p w14:paraId="758EBDBE" w14:textId="77777777" w:rsidR="00DF410E" w:rsidRDefault="00CE7F43">
      <w:r>
        <w:rPr>
          <w:rStyle w:val="optioncarChar"/>
        </w:rPr>
        <w:t> </w:t>
      </w:r>
    </w:p>
    <w:p w14:paraId="00120E99" w14:textId="77777777" w:rsidR="00DF410E" w:rsidRDefault="00CE7F43">
      <w:r>
        <w:t>Le treillis d'armature est posé sur les éléments sous-jacents sans interposition d'écarteurs ou de blocs de support. La couche de compression est armée en continu jusque sur les appuis.</w:t>
      </w:r>
      <w:r>
        <w:br/>
        <w:t>Lorsque des panneaux d'isolation sont posés directement sur les planchers de sol composées, la couche de compression doit être lissée. Lorsque la face inférieure du plancher est destinée à rester apparente, les joints et la face inférieure des entrevous doivent être débarrassés de toute impureté. L'ensemble est ensuite parfaitement nettoyé.</w:t>
      </w:r>
    </w:p>
    <w:p w14:paraId="4FC6BEB3" w14:textId="77777777" w:rsidR="00DF410E" w:rsidRDefault="00CE7F43">
      <w:pPr>
        <w:pStyle w:val="pheading"/>
      </w:pPr>
      <w:r>
        <w:t>MESURAGE</w:t>
      </w:r>
    </w:p>
    <w:p w14:paraId="168EBEEF" w14:textId="77777777" w:rsidR="00DF410E" w:rsidRDefault="00CE7F43">
      <w:r>
        <w:t>Conformément à la nature du plancher, aux indications spécifiques dans le cahier spécial des charges et/ou le métré récapitulatif, le mesurage doit être conçu comme suit :</w:t>
      </w:r>
    </w:p>
    <w:p w14:paraId="7D3F9922" w14:textId="77777777" w:rsidR="00DF410E" w:rsidRDefault="00CE7F43">
      <w:pPr>
        <w:pStyle w:val="pheading"/>
      </w:pPr>
      <w:r>
        <w:t>- unité de mesure:</w:t>
      </w:r>
    </w:p>
    <w:p w14:paraId="0BE2A40B" w14:textId="77777777" w:rsidR="00DF410E" w:rsidRDefault="00CE7F43">
      <w:r>
        <w:rPr>
          <w:b/>
        </w:rPr>
        <w:t>Choix opéré</w:t>
      </w:r>
      <w:r>
        <w:t xml:space="preserve"> : </w:t>
      </w:r>
      <w:r>
        <w:rPr>
          <w:rStyle w:val="optioncarChar"/>
        </w:rPr>
        <w:t xml:space="preserve">OPTION 1 </w:t>
      </w:r>
      <w:r>
        <w:t>(par défaut)</w:t>
      </w:r>
      <w:r>
        <w:rPr>
          <w:rStyle w:val="optioncarChar"/>
        </w:rPr>
        <w:t xml:space="preserve"> / OPTION 1bis / OPTION 2 / OPTION 3</w:t>
      </w:r>
    </w:p>
    <w:p w14:paraId="10BBE2AF" w14:textId="77777777" w:rsidR="00DF410E" w:rsidRDefault="00CE7F43">
      <w:r>
        <w:rPr>
          <w:b/>
        </w:rPr>
        <w:t>OPTION 1 (par défaut):m²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12F41F41" w14:textId="77777777" w:rsidR="00DF410E" w:rsidRDefault="00CE7F43">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3A5FC59F" w14:textId="77777777" w:rsidR="00DF410E" w:rsidRDefault="00CE7F43">
      <w:r>
        <w:rPr>
          <w:b/>
        </w:rPr>
        <w:t>OPTION 2</w:t>
      </w:r>
    </w:p>
    <w:p w14:paraId="072D49C5" w14:textId="77777777" w:rsidR="00DF410E" w:rsidRDefault="00CE7F43">
      <w:r>
        <w:t>m³ pour le béton</w:t>
      </w:r>
      <w:r>
        <w:br/>
        <w:t>kg pour les armatures</w:t>
      </w:r>
      <w:r>
        <w:br/>
        <w:t>Tous les autres éléments, travaux et fournitures doivent être compris dans les prix unitaires respectifs pour les mesurages précités.</w:t>
      </w:r>
    </w:p>
    <w:p w14:paraId="6F73B858" w14:textId="77777777" w:rsidR="00DF410E" w:rsidRDefault="00CE7F43">
      <w:r>
        <w:rPr>
          <w:b/>
        </w:rPr>
        <w:t xml:space="preserve">OPTION 3 </w:t>
      </w:r>
    </w:p>
    <w:p w14:paraId="4574077F" w14:textId="77777777" w:rsidR="00DF410E" w:rsidRDefault="00CE7F43">
      <w:r>
        <w:t>m³ pour le béton de remplissage</w:t>
      </w:r>
      <w:r>
        <w:br/>
        <w:t>m³ pour la couche de compression béton (en mentionnant l'épaisseur...)</w:t>
      </w:r>
      <w:r>
        <w:br/>
        <w:t>kg pour les armatures supplémentaires</w:t>
      </w:r>
      <w:r>
        <w:br/>
        <w:t>Pièces divergentes et pièces spéciales : à la pièce (selon les dimensions identiques ou indications standards).</w:t>
      </w:r>
    </w:p>
    <w:p w14:paraId="0F5072F9"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1C577A26" w14:textId="77777777" w:rsidR="00DF410E" w:rsidRDefault="00CE7F43">
      <w:pPr>
        <w:pStyle w:val="pheading"/>
      </w:pPr>
      <w:r>
        <w:t>- code de mesurage:</w:t>
      </w:r>
    </w:p>
    <w:p w14:paraId="62F5C66A"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09C9BCB5" w14:textId="77777777" w:rsidR="00DF410E" w:rsidRDefault="00CE7F43">
      <w:pPr>
        <w:pStyle w:val="pheading"/>
      </w:pPr>
      <w:r>
        <w:t>- nature du marché:</w:t>
      </w:r>
    </w:p>
    <w:p w14:paraId="1B592A52" w14:textId="77777777" w:rsidR="00DF410E" w:rsidRDefault="00CE7F43">
      <w:r>
        <w:t>QF</w:t>
      </w:r>
    </w:p>
    <w:p w14:paraId="46B958F7" w14:textId="77777777" w:rsidR="00DF410E" w:rsidRDefault="00CE7F43">
      <w:pPr>
        <w:pStyle w:val="Author-eSectionHeading6"/>
      </w:pPr>
      <w:bookmarkStart w:id="792" w:name="_Toc178837952"/>
      <w:r>
        <w:t>22.22.1b Planchers à poutrelles en béton et entrevous en terre cuite CCTB 01.12</w:t>
      </w:r>
      <w:bookmarkEnd w:id="792"/>
    </w:p>
    <w:p w14:paraId="4F96D904" w14:textId="77777777" w:rsidR="00DF410E" w:rsidRDefault="00CE7F43">
      <w:pPr>
        <w:pStyle w:val="pheading"/>
      </w:pPr>
      <w:r>
        <w:t>MATÉRIAUX</w:t>
      </w:r>
    </w:p>
    <w:p w14:paraId="69104DC2" w14:textId="77777777" w:rsidR="00DF410E" w:rsidRDefault="00CE7F43">
      <w:pPr>
        <w:pStyle w:val="pheading"/>
      </w:pPr>
      <w:r>
        <w:t>- Caractéristiques générales</w:t>
      </w:r>
    </w:p>
    <w:p w14:paraId="31840D7A" w14:textId="77777777" w:rsidR="00DF410E" w:rsidRDefault="00CE7F43">
      <w:r>
        <w:t>Le plancher répond à la [NBN EN 15037-1], [NBN B 21-616] et [NBN EN 15037-3+A1]. Il se compose de poutrelles préfabriquées en béton précontraint en forme de T renversé, avec une semelle en terre cuite, avec couche de compression. Les entrevous sont fabriqués en terre cuite et exempts de tout défaut qui risque d'entamer leur résistance et/ou de matières nocives susceptibles d'attaquer le mortier, le béton et/ou l'acier. </w:t>
      </w:r>
    </w:p>
    <w:p w14:paraId="3205E0C8" w14:textId="77777777" w:rsidR="00DF410E" w:rsidRDefault="00CE7F43">
      <w:r>
        <w:rPr>
          <w:u w:val="single"/>
        </w:rPr>
        <w:t>Spécifications entrevous</w:t>
      </w:r>
    </w:p>
    <w:p w14:paraId="268D1BDE" w14:textId="77777777" w:rsidR="00DF410E" w:rsidRDefault="00CE7F43">
      <w:pPr>
        <w:pStyle w:val="Author-eListParagraph"/>
        <w:numPr>
          <w:ilvl w:val="0"/>
          <w:numId w:val="548"/>
        </w:numPr>
      </w:pPr>
      <w:r>
        <w:t xml:space="preserve">Épaisseur : </w:t>
      </w:r>
      <w:r>
        <w:rPr>
          <w:rStyle w:val="optioncarChar"/>
        </w:rPr>
        <w:t>12 / 16 / 20 / 25 </w:t>
      </w:r>
      <w:r>
        <w:t>/ ***cm.</w:t>
      </w:r>
    </w:p>
    <w:p w14:paraId="0E72EADE" w14:textId="77777777" w:rsidR="00DF410E" w:rsidRDefault="00CE7F43">
      <w:pPr>
        <w:pStyle w:val="Author-eListParagraph"/>
        <w:numPr>
          <w:ilvl w:val="0"/>
          <w:numId w:val="548"/>
        </w:numPr>
      </w:pPr>
      <w:r>
        <w:t xml:space="preserve">Résistance thermique du plancher  :  </w:t>
      </w:r>
      <w:r>
        <w:rPr>
          <w:rStyle w:val="optioncarChar"/>
        </w:rPr>
        <w:t>***</w:t>
      </w:r>
    </w:p>
    <w:p w14:paraId="69A90A9B" w14:textId="77777777" w:rsidR="00DF410E" w:rsidRDefault="00CE7F43">
      <w:pPr>
        <w:pStyle w:val="Author-eListParagraph"/>
        <w:numPr>
          <w:ilvl w:val="0"/>
          <w:numId w:val="548"/>
        </w:numPr>
      </w:pPr>
      <w:r>
        <w:t xml:space="preserve">La qualité du béton selon la [NBN EN 206:2013+A2] et [NBN B 15-001] est fonction de l'épaisseur de la couche de compression (voir également l'article </w:t>
      </w:r>
      <w:hyperlink w:anchor="87" w:history="1">
        <w:r>
          <w:t>22 Superstructures en béton</w:t>
        </w:r>
      </w:hyperlink>
      <w:r>
        <w:t>)</w:t>
      </w:r>
    </w:p>
    <w:p w14:paraId="1508D2D9" w14:textId="77777777" w:rsidR="00DF410E" w:rsidRDefault="00CE7F43">
      <w:r>
        <w:rPr>
          <w:u w:val="single"/>
        </w:rPr>
        <w:t>Spécifications - couche de compression</w:t>
      </w:r>
    </w:p>
    <w:p w14:paraId="0E8D8FF3" w14:textId="77777777" w:rsidR="00DF410E" w:rsidRDefault="00CE7F43">
      <w:pPr>
        <w:pStyle w:val="Author-eListParagraph"/>
        <w:numPr>
          <w:ilvl w:val="0"/>
          <w:numId w:val="549"/>
        </w:numPr>
      </w:pPr>
      <w:r>
        <w:t xml:space="preserve">Épaisseur de la couche de compression : au moins </w:t>
      </w:r>
      <w:r>
        <w:rPr>
          <w:rStyle w:val="optioncarChar"/>
        </w:rPr>
        <w:t>3 / 4 </w:t>
      </w:r>
      <w:r>
        <w:t>(par défaut)</w:t>
      </w:r>
      <w:r>
        <w:rPr>
          <w:rStyle w:val="optioncarChar"/>
        </w:rPr>
        <w:t xml:space="preserve"> / 5 / *** </w:t>
      </w:r>
      <w:r>
        <w:t>cm au-dessus des entrevous .</w:t>
      </w:r>
    </w:p>
    <w:p w14:paraId="67D80AD5" w14:textId="77777777" w:rsidR="00DF410E" w:rsidRDefault="00CE7F43">
      <w:pPr>
        <w:pStyle w:val="Author-eListParagraph"/>
        <w:numPr>
          <w:ilvl w:val="0"/>
          <w:numId w:val="549"/>
        </w:numPr>
      </w:pPr>
      <w:r>
        <w:t xml:space="preserve">La qualité du béton selon la [NBN EN 206:2013+A2] et [NBN B 15-001] est fonction de l'épaisseur de la couche de compression (voir également l'article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2D368B87" w14:textId="77777777">
        <w:tc>
          <w:tcPr>
            <w:tcW w:w="1500" w:type="dxa"/>
            <w:noWrap/>
          </w:tcPr>
          <w:p w14:paraId="66247800" w14:textId="77777777" w:rsidR="00DF410E" w:rsidRDefault="00CE7F43">
            <w:pPr>
              <w:jc w:val="center"/>
            </w:pPr>
            <w:r>
              <w:rPr>
                <w:b/>
              </w:rPr>
              <w:t>A</w:t>
            </w:r>
          </w:p>
        </w:tc>
        <w:tc>
          <w:tcPr>
            <w:tcW w:w="1500" w:type="dxa"/>
            <w:noWrap/>
          </w:tcPr>
          <w:p w14:paraId="201C840D" w14:textId="77777777" w:rsidR="00DF410E" w:rsidRDefault="00CE7F43">
            <w:pPr>
              <w:jc w:val="center"/>
            </w:pPr>
            <w:r>
              <w:rPr>
                <w:b/>
              </w:rPr>
              <w:t>B1</w:t>
            </w:r>
          </w:p>
        </w:tc>
        <w:tc>
          <w:tcPr>
            <w:tcW w:w="1500" w:type="dxa"/>
            <w:noWrap/>
          </w:tcPr>
          <w:p w14:paraId="0102975B" w14:textId="77777777" w:rsidR="00DF410E" w:rsidRDefault="00CE7F43">
            <w:pPr>
              <w:jc w:val="center"/>
            </w:pPr>
            <w:r>
              <w:rPr>
                <w:b/>
              </w:rPr>
              <w:t>B2</w:t>
            </w:r>
          </w:p>
        </w:tc>
        <w:tc>
          <w:tcPr>
            <w:tcW w:w="1500" w:type="dxa"/>
            <w:noWrap/>
          </w:tcPr>
          <w:p w14:paraId="5B752D1D" w14:textId="77777777" w:rsidR="00DF410E" w:rsidRDefault="00CE7F43">
            <w:pPr>
              <w:jc w:val="center"/>
            </w:pPr>
            <w:r>
              <w:rPr>
                <w:b/>
              </w:rPr>
              <w:t>C</w:t>
            </w:r>
          </w:p>
        </w:tc>
        <w:tc>
          <w:tcPr>
            <w:tcW w:w="1500" w:type="dxa"/>
            <w:noWrap/>
          </w:tcPr>
          <w:p w14:paraId="39508E13" w14:textId="77777777" w:rsidR="00DF410E" w:rsidRDefault="00CE7F43">
            <w:pPr>
              <w:jc w:val="center"/>
            </w:pPr>
            <w:r>
              <w:rPr>
                <w:b/>
              </w:rPr>
              <w:t>D</w:t>
            </w:r>
          </w:p>
        </w:tc>
        <w:tc>
          <w:tcPr>
            <w:tcW w:w="1500" w:type="dxa"/>
            <w:noWrap/>
          </w:tcPr>
          <w:p w14:paraId="62673A5A" w14:textId="77777777" w:rsidR="00DF410E" w:rsidRDefault="00CE7F43">
            <w:pPr>
              <w:jc w:val="center"/>
            </w:pPr>
            <w:r>
              <w:rPr>
                <w:b/>
              </w:rPr>
              <w:t>E</w:t>
            </w:r>
          </w:p>
        </w:tc>
      </w:tr>
      <w:tr w:rsidR="00DF410E" w14:paraId="7CC17ABB" w14:textId="77777777">
        <w:tc>
          <w:tcPr>
            <w:tcW w:w="1500" w:type="dxa"/>
            <w:noWrap/>
          </w:tcPr>
          <w:p w14:paraId="2093850C" w14:textId="77777777" w:rsidR="00DF410E" w:rsidRDefault="00CE7F43">
            <w:pPr>
              <w:jc w:val="center"/>
            </w:pPr>
            <w:r>
              <w:rPr>
                <w:b/>
              </w:rPr>
              <w:t>Classe de résistance</w:t>
            </w:r>
          </w:p>
        </w:tc>
        <w:tc>
          <w:tcPr>
            <w:tcW w:w="1500" w:type="dxa"/>
            <w:noWrap/>
          </w:tcPr>
          <w:p w14:paraId="5663F061" w14:textId="77777777" w:rsidR="00DF410E" w:rsidRDefault="00CE7F43">
            <w:pPr>
              <w:jc w:val="center"/>
            </w:pPr>
            <w:r>
              <w:rPr>
                <w:b/>
              </w:rPr>
              <w:t>Domaine d’application</w:t>
            </w:r>
          </w:p>
        </w:tc>
        <w:tc>
          <w:tcPr>
            <w:tcW w:w="1500" w:type="dxa"/>
            <w:noWrap/>
          </w:tcPr>
          <w:p w14:paraId="53099CF8" w14:textId="77777777" w:rsidR="00DF410E" w:rsidRDefault="00CE7F43">
            <w:pPr>
              <w:jc w:val="center"/>
            </w:pPr>
            <w:r>
              <w:rPr>
                <w:b/>
              </w:rPr>
              <w:t>Classe d'environnement</w:t>
            </w:r>
          </w:p>
        </w:tc>
        <w:tc>
          <w:tcPr>
            <w:tcW w:w="1500" w:type="dxa"/>
            <w:noWrap/>
          </w:tcPr>
          <w:p w14:paraId="32D7A6DE" w14:textId="77777777" w:rsidR="00DF410E" w:rsidRDefault="00CE7F43">
            <w:pPr>
              <w:jc w:val="center"/>
            </w:pPr>
            <w:r>
              <w:rPr>
                <w:b/>
              </w:rPr>
              <w:t>Classe de consistance</w:t>
            </w:r>
          </w:p>
        </w:tc>
        <w:tc>
          <w:tcPr>
            <w:tcW w:w="1500" w:type="dxa"/>
            <w:noWrap/>
          </w:tcPr>
          <w:p w14:paraId="16296526" w14:textId="77777777" w:rsidR="00DF410E" w:rsidRDefault="00CE7F43">
            <w:pPr>
              <w:jc w:val="center"/>
            </w:pPr>
            <w:r>
              <w:rPr>
                <w:b/>
              </w:rPr>
              <w:t>Granulométrie maximale</w:t>
            </w:r>
          </w:p>
        </w:tc>
        <w:tc>
          <w:tcPr>
            <w:tcW w:w="1500" w:type="dxa"/>
            <w:noWrap/>
          </w:tcPr>
          <w:p w14:paraId="4D1A15C1" w14:textId="77777777" w:rsidR="00DF410E" w:rsidRDefault="00CE7F43">
            <w:r>
              <w:rPr>
                <w:b/>
              </w:rPr>
              <w:t>Données complémentaires</w:t>
            </w:r>
          </w:p>
        </w:tc>
      </w:tr>
      <w:tr w:rsidR="00DF410E" w14:paraId="1A081386" w14:textId="77777777">
        <w:tc>
          <w:tcPr>
            <w:tcW w:w="1500" w:type="dxa"/>
            <w:noWrap/>
          </w:tcPr>
          <w:p w14:paraId="258E4E2C" w14:textId="77777777" w:rsidR="00DF410E" w:rsidRDefault="00CE7F43">
            <w:pPr>
              <w:jc w:val="center"/>
            </w:pPr>
            <w:r>
              <w:rPr>
                <w:rStyle w:val="optioncarChar"/>
              </w:rPr>
              <w:t>C25/30 / C30/37 / C35/45 / C45/55 / C50/60 / C55/67 / C60/75 / C70/85 / C80/95 / C90/105</w:t>
            </w:r>
          </w:p>
        </w:tc>
        <w:tc>
          <w:tcPr>
            <w:tcW w:w="1500" w:type="dxa"/>
            <w:noWrap/>
          </w:tcPr>
          <w:p w14:paraId="5F59B9BC" w14:textId="77777777" w:rsidR="00DF410E" w:rsidRDefault="00CE7F43">
            <w:pPr>
              <w:jc w:val="center"/>
            </w:pPr>
            <w:r>
              <w:t>Béton armé</w:t>
            </w:r>
          </w:p>
          <w:p w14:paraId="103753A4" w14:textId="77777777" w:rsidR="00DF410E" w:rsidRDefault="00DF410E"/>
        </w:tc>
        <w:tc>
          <w:tcPr>
            <w:tcW w:w="1500" w:type="dxa"/>
            <w:noWrap/>
          </w:tcPr>
          <w:p w14:paraId="35907519" w14:textId="77777777" w:rsidR="00DF410E" w:rsidRDefault="00CE7F43">
            <w:pPr>
              <w:jc w:val="center"/>
            </w:pPr>
            <w:r>
              <w:rPr>
                <w:rStyle w:val="optioncarChar"/>
              </w:rPr>
              <w:t>E0 / EI / EE1 / EE2 / EE3 / EE4 / ES1 / ES2 / ES3 / ES4 / EA1+*** / EA2+***/ EA3+***</w:t>
            </w:r>
          </w:p>
        </w:tc>
        <w:tc>
          <w:tcPr>
            <w:tcW w:w="1500" w:type="dxa"/>
            <w:noWrap/>
          </w:tcPr>
          <w:p w14:paraId="01E9149B" w14:textId="77777777" w:rsidR="00DF410E" w:rsidRDefault="00CE7F43">
            <w:pPr>
              <w:jc w:val="center"/>
            </w:pPr>
            <w:r>
              <w:t>au choix de l'entrepreneur :</w:t>
            </w:r>
          </w:p>
          <w:p w14:paraId="65C82D96" w14:textId="77777777" w:rsidR="00DF410E" w:rsidRDefault="00CE7F43">
            <w:pPr>
              <w:jc w:val="center"/>
            </w:pPr>
            <w:r>
              <w:rPr>
                <w:rStyle w:val="optioncarChar"/>
              </w:rPr>
              <w:t>S3 / S4 / S5</w:t>
            </w:r>
          </w:p>
          <w:p w14:paraId="4B89C4F0" w14:textId="77777777" w:rsidR="00DF410E" w:rsidRDefault="00CE7F43">
            <w:pPr>
              <w:jc w:val="center"/>
            </w:pPr>
            <w:r>
              <w:rPr>
                <w:rStyle w:val="optioncarChar"/>
              </w:rPr>
              <w:t>F3 / F4 / F5 / F6</w:t>
            </w:r>
            <w:r>
              <w:br/>
            </w:r>
          </w:p>
        </w:tc>
        <w:tc>
          <w:tcPr>
            <w:tcW w:w="1500" w:type="dxa"/>
            <w:noWrap/>
          </w:tcPr>
          <w:p w14:paraId="7F54F5D0" w14:textId="77777777" w:rsidR="00DF410E" w:rsidRDefault="00CE7F43">
            <w:pPr>
              <w:jc w:val="center"/>
            </w:pPr>
            <w:r>
              <w:t>au choix de l'entrepreneur :</w:t>
            </w:r>
          </w:p>
          <w:p w14:paraId="79672977" w14:textId="77777777" w:rsidR="00DF410E" w:rsidRDefault="00CE7F43">
            <w:pPr>
              <w:jc w:val="center"/>
            </w:pPr>
            <w:r>
              <w:rPr>
                <w:rStyle w:val="optioncarChar"/>
              </w:rPr>
              <w:t>6 / 8 / 10 / 11 / 12 / 14 / 16 / 20 / 22 / 32</w:t>
            </w:r>
            <w:r>
              <w:t xml:space="preserve"> mm</w:t>
            </w:r>
          </w:p>
        </w:tc>
        <w:tc>
          <w:tcPr>
            <w:tcW w:w="1500" w:type="dxa"/>
            <w:noWrap/>
          </w:tcPr>
          <w:p w14:paraId="05AEB2A5" w14:textId="77777777" w:rsidR="00DF410E" w:rsidRDefault="00CE7F43">
            <w:pPr>
              <w:jc w:val="center"/>
            </w:pPr>
            <w:r>
              <w:rPr>
                <w:rStyle w:val="optioncarChar"/>
              </w:rPr>
              <w:t>***</w:t>
            </w:r>
          </w:p>
        </w:tc>
      </w:tr>
    </w:tbl>
    <w:p w14:paraId="42E1BC45" w14:textId="77777777" w:rsidR="00DF410E" w:rsidRDefault="00DF410E"/>
    <w:p w14:paraId="69006C92"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051FE25" w14:textId="77777777" w:rsidR="00DF410E" w:rsidRDefault="00CE7F43">
      <w:pPr>
        <w:pStyle w:val="Author-eListParagraph"/>
        <w:numPr>
          <w:ilvl w:val="0"/>
          <w:numId w:val="550"/>
        </w:numPr>
      </w:pPr>
      <w:r>
        <w:t xml:space="preserve">Classe de viscosité apparente : </w:t>
      </w:r>
      <w:r>
        <w:rPr>
          <w:rStyle w:val="optioncarChar"/>
        </w:rPr>
        <w:t>VS1 / VS2</w:t>
      </w:r>
      <w:r>
        <w:t xml:space="preserve"> (selon la [NBN EN 12350-8] )</w:t>
      </w:r>
    </w:p>
    <w:p w14:paraId="748FBADD" w14:textId="77777777" w:rsidR="00DF410E" w:rsidRDefault="00CE7F43">
      <w:pPr>
        <w:pStyle w:val="Author-eListParagraph"/>
        <w:numPr>
          <w:ilvl w:val="0"/>
          <w:numId w:val="55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9009FEE" w14:textId="77777777" w:rsidR="00DF410E" w:rsidRDefault="00CE7F43">
      <w:pPr>
        <w:pStyle w:val="Author-eListParagraph"/>
        <w:numPr>
          <w:ilvl w:val="0"/>
          <w:numId w:val="55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80439D0" w14:textId="77777777" w:rsidR="00DF410E" w:rsidRDefault="00CE7F43">
      <w:pPr>
        <w:pStyle w:val="Author-eListParagraph"/>
        <w:numPr>
          <w:ilvl w:val="0"/>
          <w:numId w:val="551"/>
        </w:numPr>
      </w:pPr>
      <w:r>
        <w:t xml:space="preserve">Les armatures de la couche de compression se composent au moins d'un treillis soudé, nuance d'acier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150 x 150 x 6 x 6 </w:t>
      </w:r>
      <w:r>
        <w:t>(par défaut) </w:t>
      </w:r>
      <w:r>
        <w:rPr>
          <w:rStyle w:val="optioncarChar"/>
        </w:rPr>
        <w:t>/ ***x***x***x***</w:t>
      </w:r>
      <w:r>
        <w:t xml:space="preserve"> mm. Les armatures supplémentaires sont des barres d'acier de qualité  BE 500 S.</w:t>
      </w:r>
    </w:p>
    <w:p w14:paraId="152ABDED" w14:textId="77777777" w:rsidR="00DF410E" w:rsidRDefault="00CE7F43">
      <w:pPr>
        <w:pStyle w:val="pheading"/>
      </w:pPr>
      <w:r>
        <w:t>- Prescriptions complémentaires</w:t>
      </w:r>
    </w:p>
    <w:p w14:paraId="23C4ED03" w14:textId="77777777" w:rsidR="00DF410E" w:rsidRDefault="00CE7F43">
      <w:r>
        <w:t xml:space="preserve">Résistance au feu : pour les éléments porteurs et structurels sans fonction séparant </w:t>
      </w:r>
      <w:r>
        <w:rPr>
          <w:rStyle w:val="optioncarChar"/>
        </w:rPr>
        <w:t>R15 / R30</w:t>
      </w:r>
      <w:r>
        <w:t xml:space="preserve"> (par défaut) </w:t>
      </w:r>
      <w:r>
        <w:rPr>
          <w:rStyle w:val="optioncarChar"/>
        </w:rPr>
        <w:t>/ R60 / R120 / R *** / *** </w:t>
      </w:r>
      <w:r>
        <w:t xml:space="preserve">et pour les éléments porteurs et structurels avec fonction séparant </w:t>
      </w:r>
      <w:r>
        <w:rPr>
          <w:rStyle w:val="optioncarChar"/>
        </w:rPr>
        <w:t xml:space="preserve">REI 30 </w:t>
      </w:r>
      <w:r>
        <w:t>(par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54C5639B" w14:textId="77777777" w:rsidR="00DF410E" w:rsidRDefault="00CE7F43">
      <w:pPr>
        <w:pStyle w:val="pheading"/>
      </w:pPr>
      <w:r>
        <w:t>EXÉCUTION / MISE EN ŒUVRE</w:t>
      </w:r>
    </w:p>
    <w:p w14:paraId="338B1125" w14:textId="77777777" w:rsidR="00DF410E" w:rsidRDefault="00CE7F43">
      <w:pPr>
        <w:pStyle w:val="pheading"/>
      </w:pPr>
      <w:r>
        <w:t>- Prescriptions générales</w:t>
      </w:r>
    </w:p>
    <w:p w14:paraId="791D7821" w14:textId="77777777" w:rsidR="00DF410E" w:rsidRDefault="00CE7F43">
      <w:r>
        <w:t>La face supérieure du plancher correspond aux cotes de niveau et à l'épaisseur indiquées sur les plans d'architecture.</w:t>
      </w:r>
      <w:r>
        <w:br/>
        <w:t xml:space="preserve">L'écartement d'axe en axe entre les poutrelles est de maximum </w:t>
      </w:r>
      <w:r>
        <w:rPr>
          <w:rStyle w:val="optioncarChar"/>
        </w:rPr>
        <w:t>30 / 60 </w:t>
      </w:r>
      <w:r>
        <w:t>(par défaut)</w:t>
      </w:r>
      <w:r>
        <w:rPr>
          <w:rStyle w:val="optioncarChar"/>
        </w:rPr>
        <w:t xml:space="preserve"> / ***</w:t>
      </w:r>
      <w:r>
        <w:t xml:space="preserve"> cm.</w:t>
      </w:r>
    </w:p>
    <w:p w14:paraId="7A9672F6" w14:textId="77777777" w:rsidR="00DF410E" w:rsidRDefault="00CE7F43">
      <w:pPr>
        <w:pStyle w:val="pheading"/>
      </w:pPr>
      <w:r>
        <w:t>MESURAGE</w:t>
      </w:r>
    </w:p>
    <w:p w14:paraId="78C533A3" w14:textId="77777777" w:rsidR="00DF410E" w:rsidRDefault="00CE7F43">
      <w:r>
        <w:t>Conformément à la nature du plancher, aux indications spécifiques dans le cahier spécial des charges et/ou le métré récapitulatif, le mesurage doit être conçu comme suit :</w:t>
      </w:r>
    </w:p>
    <w:p w14:paraId="405AE030" w14:textId="77777777" w:rsidR="00DF410E" w:rsidRDefault="00CE7F43">
      <w:pPr>
        <w:pStyle w:val="pheading"/>
      </w:pPr>
      <w:r>
        <w:t>- unité de mesure:</w:t>
      </w:r>
    </w:p>
    <w:p w14:paraId="79576188" w14:textId="77777777" w:rsidR="00DF410E" w:rsidRDefault="00CE7F43">
      <w:r>
        <w:rPr>
          <w:b/>
        </w:rPr>
        <w:t xml:space="preserve">Choix opéré : </w:t>
      </w:r>
      <w:r>
        <w:rPr>
          <w:rStyle w:val="optioncarChar"/>
          <w:b/>
        </w:rPr>
        <w:t xml:space="preserve">OPTION 1 </w:t>
      </w:r>
      <w:r>
        <w:t>(par défaut)</w:t>
      </w:r>
      <w:r>
        <w:rPr>
          <w:rStyle w:val="optioncarChar"/>
          <w:b/>
        </w:rPr>
        <w:t xml:space="preserve"> / OPTION 1bis / OPTION 2 / OPTION 3</w:t>
      </w:r>
    </w:p>
    <w:p w14:paraId="2845A547" w14:textId="77777777" w:rsidR="00DF410E" w:rsidRDefault="00CE7F43">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12E26CD6" w14:textId="77777777" w:rsidR="00DF410E" w:rsidRDefault="00CE7F43">
      <w:r>
        <w:t>***</w:t>
      </w:r>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137611A1" w14:textId="77777777" w:rsidR="00DF410E" w:rsidRDefault="00CE7F43">
      <w:r>
        <w:t>***</w:t>
      </w:r>
      <w:r>
        <w:rPr>
          <w:b/>
        </w:rPr>
        <w:t>OPTION 2:</w:t>
      </w:r>
    </w:p>
    <w:p w14:paraId="338F16B2" w14:textId="77777777" w:rsidR="00DF410E" w:rsidRDefault="00CE7F43">
      <w:pPr>
        <w:pStyle w:val="Author-eListParagraph"/>
        <w:numPr>
          <w:ilvl w:val="0"/>
          <w:numId w:val="552"/>
        </w:numPr>
      </w:pPr>
      <w:r>
        <w:t>m³ pour le béton</w:t>
      </w:r>
    </w:p>
    <w:p w14:paraId="13666FE7" w14:textId="77777777" w:rsidR="00DF410E" w:rsidRDefault="00CE7F43">
      <w:pPr>
        <w:pStyle w:val="Author-eListParagraph"/>
        <w:numPr>
          <w:ilvl w:val="0"/>
          <w:numId w:val="552"/>
        </w:numPr>
      </w:pPr>
      <w:r>
        <w:t>kg pour les armatures</w:t>
      </w:r>
    </w:p>
    <w:p w14:paraId="5BDF9E19" w14:textId="77777777" w:rsidR="00DF410E" w:rsidRDefault="00CE7F43">
      <w:pPr>
        <w:pStyle w:val="Author-eListParagraph"/>
        <w:numPr>
          <w:ilvl w:val="0"/>
          <w:numId w:val="552"/>
        </w:numPr>
      </w:pPr>
      <w:r>
        <w:t>Tous les autres éléments, travaux et fournitures doivent être compris dans les prix unitaires respectifs pour les mesurages précités.</w:t>
      </w:r>
    </w:p>
    <w:p w14:paraId="2CC1133A" w14:textId="77777777" w:rsidR="00DF410E" w:rsidRDefault="00CE7F43">
      <w:r>
        <w:t>***</w:t>
      </w:r>
      <w:r>
        <w:rPr>
          <w:b/>
        </w:rPr>
        <w:t xml:space="preserve">OPTION 3: </w:t>
      </w:r>
    </w:p>
    <w:p w14:paraId="060B725D" w14:textId="77777777" w:rsidR="00DF410E" w:rsidRDefault="00CE7F43">
      <w:pPr>
        <w:pStyle w:val="Author-eListParagraph"/>
        <w:numPr>
          <w:ilvl w:val="0"/>
          <w:numId w:val="553"/>
        </w:numPr>
      </w:pPr>
      <w:r>
        <w:t>m³ pour le béton de remplissage</w:t>
      </w:r>
    </w:p>
    <w:p w14:paraId="002F088B" w14:textId="77777777" w:rsidR="00DF410E" w:rsidRDefault="00CE7F43">
      <w:pPr>
        <w:pStyle w:val="Author-eListParagraph"/>
        <w:numPr>
          <w:ilvl w:val="0"/>
          <w:numId w:val="553"/>
        </w:numPr>
      </w:pPr>
      <w:r>
        <w:t>m³ pour la couche de compression béton (en mentionnant l'épaisseur...)</w:t>
      </w:r>
    </w:p>
    <w:p w14:paraId="27677D29" w14:textId="77777777" w:rsidR="00DF410E" w:rsidRDefault="00CE7F43">
      <w:pPr>
        <w:pStyle w:val="Author-eListParagraph"/>
        <w:numPr>
          <w:ilvl w:val="0"/>
          <w:numId w:val="553"/>
        </w:numPr>
      </w:pPr>
      <w:r>
        <w:t>kg pour les armatures supplémentaires</w:t>
      </w:r>
    </w:p>
    <w:p w14:paraId="48395E5E" w14:textId="77777777" w:rsidR="00DF410E" w:rsidRDefault="00CE7F43">
      <w:pPr>
        <w:pStyle w:val="Author-eListParagraph"/>
        <w:numPr>
          <w:ilvl w:val="0"/>
          <w:numId w:val="553"/>
        </w:numPr>
      </w:pPr>
      <w:r>
        <w:t>Pièces divergentes et pièces spéciales : à la pièce (selon les dimensions identiques ou indications standards).</w:t>
      </w:r>
    </w:p>
    <w:p w14:paraId="5BE62785"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2786FE52" w14:textId="77777777" w:rsidR="00DF410E" w:rsidRDefault="00CE7F43">
      <w:pPr>
        <w:pStyle w:val="pheading"/>
      </w:pPr>
      <w:r>
        <w:t>- code de mesurage:</w:t>
      </w:r>
    </w:p>
    <w:p w14:paraId="00D763F0"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6221A0FD" w14:textId="77777777" w:rsidR="00DF410E" w:rsidRDefault="00CE7F43">
      <w:pPr>
        <w:pStyle w:val="pheading"/>
      </w:pPr>
      <w:r>
        <w:t>- nature du marché:</w:t>
      </w:r>
    </w:p>
    <w:p w14:paraId="3F29E998" w14:textId="77777777" w:rsidR="00DF410E" w:rsidRDefault="00CE7F43">
      <w:r>
        <w:t>QF</w:t>
      </w:r>
    </w:p>
    <w:p w14:paraId="45F34FCC" w14:textId="77777777" w:rsidR="00DF410E" w:rsidRDefault="00CE7F43">
      <w:pPr>
        <w:pStyle w:val="Author-eSectionHeading6"/>
      </w:pPr>
      <w:bookmarkStart w:id="793" w:name="_Toc178837953"/>
      <w:r>
        <w:t>22.22.1c Planchers à poutrelles en béton et entrevous en polystyrène CCTB 01.12</w:t>
      </w:r>
      <w:bookmarkEnd w:id="793"/>
    </w:p>
    <w:p w14:paraId="22492E50" w14:textId="77777777" w:rsidR="00DF410E" w:rsidRDefault="00CE7F43">
      <w:pPr>
        <w:pStyle w:val="pheading"/>
      </w:pPr>
      <w:bookmarkStart w:id="794" w:name="682"/>
      <w:bookmarkEnd w:id="794"/>
      <w:r>
        <w:t>MATÉRIAUX</w:t>
      </w:r>
    </w:p>
    <w:p w14:paraId="6C82676F" w14:textId="77777777" w:rsidR="00DF410E" w:rsidRDefault="00CE7F43">
      <w:pPr>
        <w:pStyle w:val="pheading"/>
      </w:pPr>
      <w:r>
        <w:t>- Caractéristiques générales</w:t>
      </w:r>
    </w:p>
    <w:p w14:paraId="61C70C40" w14:textId="77777777" w:rsidR="00DF410E" w:rsidRDefault="00CE7F43">
      <w:r>
        <w:t>Système conforme [NBN EN 15037-1],[NBN B 21-616] et [NBN EN 15037-4+A1].</w:t>
      </w:r>
      <w:r>
        <w:br/>
        <w:t>Les entrevous sont fabriqués en matériaux légers, suffisamment rigides pour résister aux déformations pendant le bétonnage et le durcissement. Ils ne peuvent pas contenir de matériaux qui risquent d'être attaqués par les insectes ou les micro-organismes. </w:t>
      </w:r>
    </w:p>
    <w:p w14:paraId="2C2DE811" w14:textId="77777777" w:rsidR="00DF410E" w:rsidRDefault="00CE7F43">
      <w:r>
        <w:rPr>
          <w:u w:val="single"/>
        </w:rPr>
        <w:t>Spécifications pour les entrevous</w:t>
      </w:r>
    </w:p>
    <w:p w14:paraId="782C8E78" w14:textId="77777777" w:rsidR="00DF410E" w:rsidRDefault="00CE7F43">
      <w:pPr>
        <w:pStyle w:val="Author-eListParagraph"/>
        <w:numPr>
          <w:ilvl w:val="0"/>
          <w:numId w:val="554"/>
        </w:numPr>
      </w:pPr>
      <w:r>
        <w:t xml:space="preserve">Type : </w:t>
      </w:r>
      <w:r>
        <w:rPr>
          <w:rStyle w:val="optioncarChar"/>
        </w:rPr>
        <w:t>polystyrène expansé (EPS) de qualité autoextinguible SE (classe A1) </w:t>
      </w:r>
      <w:r>
        <w:t xml:space="preserve">(par défaut) </w:t>
      </w:r>
      <w:r>
        <w:rPr>
          <w:rStyle w:val="optioncarChar"/>
        </w:rPr>
        <w:t>/ ***</w:t>
      </w:r>
    </w:p>
    <w:p w14:paraId="60627792" w14:textId="77777777" w:rsidR="00DF410E" w:rsidRDefault="00CE7F43">
      <w:pPr>
        <w:pStyle w:val="Author-eListParagraph"/>
        <w:numPr>
          <w:ilvl w:val="0"/>
          <w:numId w:val="554"/>
        </w:numPr>
      </w:pPr>
      <w:r>
        <w:t>Épaisseur :</w:t>
      </w:r>
      <w:r>
        <w:rPr>
          <w:rStyle w:val="optioncarChar"/>
        </w:rPr>
        <w:t> 8 / 12 / 16 / 20 / 25 / *** </w:t>
      </w:r>
      <w:r>
        <w:t>cm.</w:t>
      </w:r>
    </w:p>
    <w:p w14:paraId="3C91FE1F" w14:textId="77777777" w:rsidR="00DF410E" w:rsidRDefault="00CE7F43">
      <w:pPr>
        <w:pStyle w:val="Author-eListParagraph"/>
        <w:numPr>
          <w:ilvl w:val="0"/>
          <w:numId w:val="554"/>
        </w:numPr>
      </w:pPr>
      <w:r>
        <w:t xml:space="preserve">Mode de pose : </w:t>
      </w:r>
      <w:r>
        <w:rPr>
          <w:rStyle w:val="optioncarChar"/>
        </w:rPr>
        <w:t xml:space="preserve">jointive </w:t>
      </w:r>
      <w:r>
        <w:t>(par défaut) </w:t>
      </w:r>
      <w:r>
        <w:rPr>
          <w:rStyle w:val="optioncarChar"/>
        </w:rPr>
        <w:t>/ avec chevauchement / ***</w:t>
      </w:r>
    </w:p>
    <w:p w14:paraId="47CEBC2F" w14:textId="77777777" w:rsidR="00DF410E" w:rsidRDefault="00CE7F43">
      <w:pPr>
        <w:pStyle w:val="Author-eListParagraph"/>
        <w:numPr>
          <w:ilvl w:val="0"/>
          <w:numId w:val="554"/>
        </w:numPr>
      </w:pPr>
      <w:r>
        <w:t xml:space="preserve">Résistance thermique du plancher : </w:t>
      </w:r>
      <w:r>
        <w:rPr>
          <w:rStyle w:val="optioncarChar"/>
        </w:rPr>
        <w:t>au moins 1</w:t>
      </w:r>
      <w:r>
        <w:t xml:space="preserve"> (par défaut)</w:t>
      </w:r>
      <w:r>
        <w:rPr>
          <w:rStyle w:val="optioncarChar"/>
        </w:rPr>
        <w:t> / ***</w:t>
      </w:r>
      <w:r>
        <w:t xml:space="preserve"> m²K/W.</w:t>
      </w:r>
    </w:p>
    <w:p w14:paraId="61163781" w14:textId="77777777" w:rsidR="00DF410E" w:rsidRDefault="00CE7F43">
      <w:pPr>
        <w:pStyle w:val="Author-eListParagraph"/>
        <w:numPr>
          <w:ilvl w:val="0"/>
          <w:numId w:val="554"/>
        </w:numPr>
      </w:pPr>
      <w:r>
        <w:t xml:space="preserve">La qualité du béton selon la [NBN EN 206:2013+A2] et [NBN B 15-001] est adaptée à l'épaisseur de la couche de compression (voir également le titre </w:t>
      </w:r>
      <w:hyperlink w:anchor="87" w:history="1">
        <w:r>
          <w:t>22 Superstructures en béton</w:t>
        </w:r>
      </w:hyperlink>
      <w:r>
        <w:t>)</w:t>
      </w:r>
    </w:p>
    <w:p w14:paraId="2C5C474D" w14:textId="77777777" w:rsidR="00DF410E" w:rsidRDefault="00CE7F43">
      <w:r>
        <w:rPr>
          <w:u w:val="single"/>
        </w:rPr>
        <w:t>Spécifications - couche de compression</w:t>
      </w:r>
    </w:p>
    <w:p w14:paraId="6B281CFA" w14:textId="77777777" w:rsidR="00DF410E" w:rsidRDefault="00CE7F43">
      <w:pPr>
        <w:pStyle w:val="Author-eListParagraph"/>
        <w:numPr>
          <w:ilvl w:val="0"/>
          <w:numId w:val="555"/>
        </w:numPr>
      </w:pPr>
      <w:r>
        <w:t xml:space="preserve">Épaisseur de la couche de compression : au moins </w:t>
      </w:r>
      <w:r>
        <w:rPr>
          <w:rStyle w:val="optioncarChar"/>
        </w:rPr>
        <w:t>3 / 4</w:t>
      </w:r>
      <w:r>
        <w:t xml:space="preserve"> (par défaut) </w:t>
      </w:r>
      <w:r>
        <w:rPr>
          <w:rStyle w:val="optioncarChar"/>
        </w:rPr>
        <w:t>/ 5</w:t>
      </w:r>
      <w:r>
        <w:t xml:space="preserve"> cm au-dessus des entrevous.</w:t>
      </w:r>
    </w:p>
    <w:p w14:paraId="7CEC9203" w14:textId="77777777" w:rsidR="00DF410E" w:rsidRDefault="00CE7F43">
      <w:pPr>
        <w:pStyle w:val="Author-eListParagraph"/>
        <w:numPr>
          <w:ilvl w:val="0"/>
          <w:numId w:val="555"/>
        </w:numPr>
      </w:pPr>
      <w:r>
        <w:t xml:space="preserve">La qualité du béton selon la [NBN EN 206:2013+A2] et [NBN B 15-001] sera adaptée à l'épaisseur de la couche de compression (voir également le titre </w:t>
      </w:r>
      <w:hyperlink w:anchor="87"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DF410E" w14:paraId="52285456" w14:textId="77777777">
        <w:tc>
          <w:tcPr>
            <w:tcW w:w="1500" w:type="dxa"/>
            <w:noWrap/>
          </w:tcPr>
          <w:p w14:paraId="1AAA6C36" w14:textId="77777777" w:rsidR="00DF410E" w:rsidRDefault="00CE7F43">
            <w:pPr>
              <w:jc w:val="center"/>
            </w:pPr>
            <w:r>
              <w:rPr>
                <w:b/>
              </w:rPr>
              <w:t>A</w:t>
            </w:r>
          </w:p>
        </w:tc>
        <w:tc>
          <w:tcPr>
            <w:tcW w:w="1500" w:type="dxa"/>
            <w:noWrap/>
          </w:tcPr>
          <w:p w14:paraId="1706157B" w14:textId="77777777" w:rsidR="00DF410E" w:rsidRDefault="00CE7F43">
            <w:pPr>
              <w:jc w:val="center"/>
            </w:pPr>
            <w:r>
              <w:rPr>
                <w:b/>
              </w:rPr>
              <w:t>B1</w:t>
            </w:r>
          </w:p>
        </w:tc>
        <w:tc>
          <w:tcPr>
            <w:tcW w:w="1500" w:type="dxa"/>
            <w:noWrap/>
          </w:tcPr>
          <w:p w14:paraId="5F72DC8F" w14:textId="77777777" w:rsidR="00DF410E" w:rsidRDefault="00CE7F43">
            <w:pPr>
              <w:jc w:val="center"/>
            </w:pPr>
            <w:r>
              <w:rPr>
                <w:b/>
              </w:rPr>
              <w:t>B2</w:t>
            </w:r>
          </w:p>
        </w:tc>
        <w:tc>
          <w:tcPr>
            <w:tcW w:w="1500" w:type="dxa"/>
            <w:noWrap/>
          </w:tcPr>
          <w:p w14:paraId="548441B9" w14:textId="77777777" w:rsidR="00DF410E" w:rsidRDefault="00CE7F43">
            <w:pPr>
              <w:jc w:val="center"/>
            </w:pPr>
            <w:r>
              <w:rPr>
                <w:b/>
              </w:rPr>
              <w:t>C</w:t>
            </w:r>
          </w:p>
        </w:tc>
        <w:tc>
          <w:tcPr>
            <w:tcW w:w="1500" w:type="dxa"/>
            <w:noWrap/>
          </w:tcPr>
          <w:p w14:paraId="70DA45FF" w14:textId="77777777" w:rsidR="00DF410E" w:rsidRDefault="00CE7F43">
            <w:pPr>
              <w:jc w:val="center"/>
            </w:pPr>
            <w:r>
              <w:rPr>
                <w:b/>
              </w:rPr>
              <w:t>D</w:t>
            </w:r>
          </w:p>
        </w:tc>
        <w:tc>
          <w:tcPr>
            <w:tcW w:w="1500" w:type="dxa"/>
            <w:noWrap/>
          </w:tcPr>
          <w:p w14:paraId="00BC4825" w14:textId="77777777" w:rsidR="00DF410E" w:rsidRDefault="00CE7F43">
            <w:pPr>
              <w:jc w:val="center"/>
            </w:pPr>
            <w:r>
              <w:rPr>
                <w:b/>
              </w:rPr>
              <w:t>E</w:t>
            </w:r>
          </w:p>
        </w:tc>
      </w:tr>
      <w:tr w:rsidR="00DF410E" w14:paraId="42B34A2D" w14:textId="77777777">
        <w:tc>
          <w:tcPr>
            <w:tcW w:w="1500" w:type="dxa"/>
            <w:noWrap/>
          </w:tcPr>
          <w:p w14:paraId="7038371D" w14:textId="77777777" w:rsidR="00DF410E" w:rsidRDefault="00CE7F43">
            <w:r>
              <w:rPr>
                <w:b/>
              </w:rPr>
              <w:t>Classe de résistance</w:t>
            </w:r>
          </w:p>
        </w:tc>
        <w:tc>
          <w:tcPr>
            <w:tcW w:w="1500" w:type="dxa"/>
            <w:noWrap/>
          </w:tcPr>
          <w:p w14:paraId="37A750F7" w14:textId="77777777" w:rsidR="00DF410E" w:rsidRDefault="00CE7F43">
            <w:r>
              <w:rPr>
                <w:b/>
              </w:rPr>
              <w:t>Domaine d'application</w:t>
            </w:r>
          </w:p>
        </w:tc>
        <w:tc>
          <w:tcPr>
            <w:tcW w:w="1500" w:type="dxa"/>
            <w:noWrap/>
          </w:tcPr>
          <w:p w14:paraId="28D9F045" w14:textId="77777777" w:rsidR="00DF410E" w:rsidRDefault="00CE7F43">
            <w:r>
              <w:rPr>
                <w:b/>
              </w:rPr>
              <w:t>Classe d'environnement</w:t>
            </w:r>
          </w:p>
        </w:tc>
        <w:tc>
          <w:tcPr>
            <w:tcW w:w="1500" w:type="dxa"/>
            <w:noWrap/>
          </w:tcPr>
          <w:p w14:paraId="4BE3470E" w14:textId="77777777" w:rsidR="00DF410E" w:rsidRDefault="00CE7F43">
            <w:r>
              <w:rPr>
                <w:b/>
              </w:rPr>
              <w:t>Classe de consistance</w:t>
            </w:r>
          </w:p>
        </w:tc>
        <w:tc>
          <w:tcPr>
            <w:tcW w:w="1500" w:type="dxa"/>
            <w:noWrap/>
          </w:tcPr>
          <w:p w14:paraId="6929C291" w14:textId="77777777" w:rsidR="00DF410E" w:rsidRDefault="00CE7F43">
            <w:r>
              <w:rPr>
                <w:b/>
              </w:rPr>
              <w:t>Granulométrie maximale</w:t>
            </w:r>
          </w:p>
        </w:tc>
        <w:tc>
          <w:tcPr>
            <w:tcW w:w="1500" w:type="dxa"/>
            <w:noWrap/>
          </w:tcPr>
          <w:p w14:paraId="021A36C1" w14:textId="77777777" w:rsidR="00DF410E" w:rsidRDefault="00CE7F43">
            <w:r>
              <w:rPr>
                <w:b/>
              </w:rPr>
              <w:t>Données complémentaires</w:t>
            </w:r>
          </w:p>
        </w:tc>
      </w:tr>
      <w:tr w:rsidR="00DF410E" w14:paraId="32146B06" w14:textId="77777777">
        <w:tc>
          <w:tcPr>
            <w:tcW w:w="1500" w:type="dxa"/>
            <w:noWrap/>
          </w:tcPr>
          <w:p w14:paraId="733185CD" w14:textId="77777777" w:rsidR="00DF410E" w:rsidRDefault="00CE7F43">
            <w:pPr>
              <w:jc w:val="center"/>
            </w:pPr>
            <w:r>
              <w:rPr>
                <w:rStyle w:val="optioncarChar"/>
              </w:rPr>
              <w:t>C25/30 / C30/37 / C35/45 / C45/55 / C50/60 / C55/67 / C60/75 / C70/85 / C80/95 / C90/105</w:t>
            </w:r>
          </w:p>
        </w:tc>
        <w:tc>
          <w:tcPr>
            <w:tcW w:w="1500" w:type="dxa"/>
            <w:noWrap/>
          </w:tcPr>
          <w:p w14:paraId="4DE6F811" w14:textId="77777777" w:rsidR="00DF410E" w:rsidRDefault="00CE7F43">
            <w:pPr>
              <w:jc w:val="center"/>
            </w:pPr>
            <w:r>
              <w:t>Béton armé</w:t>
            </w:r>
          </w:p>
        </w:tc>
        <w:tc>
          <w:tcPr>
            <w:tcW w:w="1500" w:type="dxa"/>
            <w:noWrap/>
          </w:tcPr>
          <w:p w14:paraId="30C781EA" w14:textId="77777777" w:rsidR="00DF410E" w:rsidRDefault="00CE7F43">
            <w:pPr>
              <w:jc w:val="center"/>
            </w:pPr>
            <w:r>
              <w:rPr>
                <w:rStyle w:val="optioncarChar"/>
              </w:rPr>
              <w:t>E0 / EI / EE1 / EE2 / EE3 / EE4 / ES1 / ES2 / ES3 / ES4 / EA1+*** / EA2+*** / EA3+***</w:t>
            </w:r>
          </w:p>
        </w:tc>
        <w:tc>
          <w:tcPr>
            <w:tcW w:w="1500" w:type="dxa"/>
            <w:noWrap/>
          </w:tcPr>
          <w:p w14:paraId="70CFAA66" w14:textId="77777777" w:rsidR="00DF410E" w:rsidRDefault="00CE7F43">
            <w:pPr>
              <w:jc w:val="center"/>
            </w:pPr>
            <w:r>
              <w:t xml:space="preserve">au choix de l'entrepreneur : </w:t>
            </w:r>
            <w:r>
              <w:rPr>
                <w:rStyle w:val="optioncarChar"/>
              </w:rPr>
              <w:t>S3 / S4 / S5F3 / F4 / F5 / F6</w:t>
            </w:r>
          </w:p>
        </w:tc>
        <w:tc>
          <w:tcPr>
            <w:tcW w:w="1500" w:type="dxa"/>
            <w:noWrap/>
          </w:tcPr>
          <w:p w14:paraId="69C8F454" w14:textId="77777777" w:rsidR="00DF410E" w:rsidRDefault="00CE7F43">
            <w:pPr>
              <w:jc w:val="center"/>
            </w:pPr>
            <w:r>
              <w:t xml:space="preserve">au choix de l'entrepreneur : </w:t>
            </w:r>
            <w:r>
              <w:rPr>
                <w:rStyle w:val="optioncarChar"/>
              </w:rPr>
              <w:t>6 / 8 / 10 / 11 / 12 / 14 / 16 / 20 / 22 / 32</w:t>
            </w:r>
            <w:r>
              <w:t xml:space="preserve"> mm</w:t>
            </w:r>
          </w:p>
        </w:tc>
        <w:tc>
          <w:tcPr>
            <w:tcW w:w="1500" w:type="dxa"/>
            <w:noWrap/>
          </w:tcPr>
          <w:p w14:paraId="5D521C4C" w14:textId="77777777" w:rsidR="00DF410E" w:rsidRDefault="00CE7F43">
            <w:pPr>
              <w:jc w:val="center"/>
            </w:pPr>
            <w:r>
              <w:rPr>
                <w:rStyle w:val="optioncarChar"/>
              </w:rPr>
              <w:t>***</w:t>
            </w:r>
          </w:p>
        </w:tc>
      </w:tr>
    </w:tbl>
    <w:p w14:paraId="545A8FBC" w14:textId="77777777" w:rsidR="00DF410E" w:rsidRDefault="00CE7F43">
      <w:r>
        <w:t> </w:t>
      </w:r>
    </w:p>
    <w:p w14:paraId="3148EEDF"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r>
        <w:br/>
        <w:t>Données complémentaires propres au béton autoplaçant (E) :</w:t>
      </w:r>
    </w:p>
    <w:p w14:paraId="5600B71A" w14:textId="77777777" w:rsidR="00DF410E" w:rsidRDefault="00CE7F43">
      <w:pPr>
        <w:pStyle w:val="Author-eListParagraph"/>
        <w:numPr>
          <w:ilvl w:val="0"/>
          <w:numId w:val="556"/>
        </w:numPr>
      </w:pPr>
      <w:r>
        <w:t xml:space="preserve">Classe de viscosité apparente : </w:t>
      </w:r>
      <w:r>
        <w:rPr>
          <w:rStyle w:val="optioncarChar"/>
        </w:rPr>
        <w:t>VS1 / VS2</w:t>
      </w:r>
      <w:r>
        <w:t xml:space="preserve"> (selon la [NBN EN 12350-8])</w:t>
      </w:r>
    </w:p>
    <w:p w14:paraId="747D5555" w14:textId="77777777" w:rsidR="00DF410E" w:rsidRDefault="00CE7F43">
      <w:pPr>
        <w:pStyle w:val="Author-eListParagraph"/>
        <w:numPr>
          <w:ilvl w:val="0"/>
          <w:numId w:val="556"/>
        </w:numPr>
      </w:pPr>
      <w:r>
        <w:t xml:space="preserve">Aptitude à l’écoulement : </w:t>
      </w:r>
      <w:r>
        <w:rPr>
          <w:rStyle w:val="optioncarChar"/>
        </w:rPr>
        <w:t>PL1 / PL2</w:t>
      </w:r>
      <w:r>
        <w:t xml:space="preserve"> (selon la [NBN EN 12350-10]) ou </w:t>
      </w:r>
      <w:r>
        <w:rPr>
          <w:rStyle w:val="optioncarChar"/>
        </w:rPr>
        <w:t>PJ1 / PJ2</w:t>
      </w:r>
      <w:r>
        <w:t xml:space="preserve"> (selon la [NBN EN 12350-12])</w:t>
      </w:r>
    </w:p>
    <w:p w14:paraId="073F8582" w14:textId="77777777" w:rsidR="00DF410E" w:rsidRDefault="00CE7F43">
      <w:pPr>
        <w:pStyle w:val="Author-eListParagraph"/>
        <w:numPr>
          <w:ilvl w:val="0"/>
          <w:numId w:val="556"/>
        </w:numPr>
      </w:pPr>
      <w:r>
        <w:t xml:space="preserve">Classe de résistance à la ségrégation : </w:t>
      </w:r>
      <w:r>
        <w:rPr>
          <w:rStyle w:val="optioncarChar"/>
        </w:rPr>
        <w:t>SR1 / SR2</w:t>
      </w:r>
      <w:r>
        <w:t xml:space="preserve"> (selon la [NBN EN 12350-11])</w:t>
      </w:r>
    </w:p>
    <w:p w14:paraId="2AF187CC" w14:textId="77777777" w:rsidR="00DF410E" w:rsidRDefault="00DF410E"/>
    <w:p w14:paraId="0EF36019" w14:textId="77777777" w:rsidR="00DF410E" w:rsidRDefault="00CE7F43">
      <w:pPr>
        <w:pStyle w:val="Author-eListParagraph"/>
        <w:numPr>
          <w:ilvl w:val="0"/>
          <w:numId w:val="557"/>
        </w:numPr>
      </w:pPr>
      <w:r>
        <w:t xml:space="preserve">Les armatures de la couche de compression se composent au moins d'un treillis soudé, nuance d'acier </w:t>
      </w:r>
      <w:r>
        <w:rPr>
          <w:rStyle w:val="optioncarChar"/>
        </w:rPr>
        <w:t>DE 500 BS</w:t>
      </w:r>
      <w:r>
        <w:t xml:space="preserve"> (par défaut) </w:t>
      </w:r>
      <w:r>
        <w:rPr>
          <w:rStyle w:val="optioncarChar"/>
        </w:rPr>
        <w:t>/ BE 500 S</w:t>
      </w:r>
      <w:r>
        <w:t xml:space="preserve">, dimensions </w:t>
      </w:r>
      <w:r>
        <w:rPr>
          <w:rStyle w:val="optioncarChar"/>
        </w:rPr>
        <w:t>150 x 150 x 6 x 6</w:t>
      </w:r>
      <w:r>
        <w:t> (par défaut)</w:t>
      </w:r>
      <w:r>
        <w:rPr>
          <w:rStyle w:val="optioncarChar"/>
        </w:rPr>
        <w:t xml:space="preserve"> / ***x***x***x***</w:t>
      </w:r>
      <w:r>
        <w:t xml:space="preserve"> mm. Les armatures complémentaires sont des barres d'acier de qualité BE 500 S.</w:t>
      </w:r>
    </w:p>
    <w:p w14:paraId="29BA6165" w14:textId="77777777" w:rsidR="00DF410E" w:rsidRDefault="00CE7F43">
      <w:pPr>
        <w:pStyle w:val="pheading"/>
      </w:pPr>
      <w:r>
        <w:t>- Prescriptions complémentaires</w:t>
      </w:r>
    </w:p>
    <w:p w14:paraId="6E373003" w14:textId="77777777" w:rsidR="00DF410E" w:rsidRDefault="00CE7F43">
      <w:r>
        <w:t xml:space="preserve">Résistance au feu :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REI 30</w:t>
      </w:r>
      <w:r>
        <w:t> (par défaut)</w:t>
      </w:r>
      <w:r>
        <w:rPr>
          <w:rStyle w:val="optioncarChar"/>
        </w:rPr>
        <w:t xml:space="preserve"> / REI 60 / REI 120 / REI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5639D880" w14:textId="77777777" w:rsidR="00DF410E" w:rsidRDefault="00CE7F43">
      <w:pPr>
        <w:pStyle w:val="pheading"/>
      </w:pPr>
      <w:r>
        <w:t>EXÉCUTION / MISE EN ŒUVRE</w:t>
      </w:r>
    </w:p>
    <w:p w14:paraId="0433989F" w14:textId="77777777" w:rsidR="00DF410E" w:rsidRDefault="00CE7F43">
      <w:pPr>
        <w:pStyle w:val="pheading"/>
      </w:pPr>
      <w:r>
        <w:t>- Prescriptions générales</w:t>
      </w:r>
    </w:p>
    <w:p w14:paraId="4A72B160" w14:textId="77777777" w:rsidR="00DF410E" w:rsidRDefault="00CE7F43">
      <w:r>
        <w:t>La face supérieure du plancher doit correspondre aux cotes de niveau et à l'épaisseur indiquées sur les plans d'architecture.</w:t>
      </w:r>
      <w:r>
        <w:br/>
        <w:t xml:space="preserve">L'écartement d'axe en axe entre les poutrelles est de maximum </w:t>
      </w:r>
      <w:r>
        <w:rPr>
          <w:rStyle w:val="optioncarChar"/>
        </w:rPr>
        <w:t>30 / 60</w:t>
      </w:r>
      <w:r>
        <w:t xml:space="preserve"> (par défaut) </w:t>
      </w:r>
      <w:r>
        <w:rPr>
          <w:rStyle w:val="optioncarChar"/>
        </w:rPr>
        <w:t>/ ***</w:t>
      </w:r>
      <w:r>
        <w:t xml:space="preserve"> cm.</w:t>
      </w:r>
    </w:p>
    <w:p w14:paraId="2D0B90C2" w14:textId="77777777" w:rsidR="00DF410E" w:rsidRDefault="00CE7F43">
      <w:pPr>
        <w:pStyle w:val="pheading"/>
      </w:pPr>
      <w:r>
        <w:t>MESURAGE</w:t>
      </w:r>
    </w:p>
    <w:p w14:paraId="2FBD36FF" w14:textId="77777777" w:rsidR="00DF410E" w:rsidRDefault="00CE7F43">
      <w:r>
        <w:t>Conformément à la nature du plancher, aux indications spécifiques dans le cahier spécial des charges et/ou le métré récapitulatif, le mesurage doit être conçu comme suit :</w:t>
      </w:r>
    </w:p>
    <w:p w14:paraId="08F3AA49" w14:textId="77777777" w:rsidR="00DF410E" w:rsidRDefault="00CE7F43">
      <w:pPr>
        <w:pStyle w:val="pheading"/>
      </w:pPr>
      <w:r>
        <w:t>- unité de mesure:</w:t>
      </w:r>
    </w:p>
    <w:p w14:paraId="06D8573D" w14:textId="77777777" w:rsidR="00DF410E" w:rsidRDefault="00CE7F43">
      <w:r>
        <w:rPr>
          <w:b/>
        </w:rPr>
        <w:t>Choix opéré</w:t>
      </w:r>
      <w:r>
        <w:t xml:space="preserve"> : </w:t>
      </w:r>
      <w:r>
        <w:rPr>
          <w:rStyle w:val="optioncarChar"/>
        </w:rPr>
        <w:t>OPTION 1 (par défaut) / OPTION 1bis / OPTION 2 / OPTION 3</w:t>
      </w:r>
    </w:p>
    <w:p w14:paraId="349772C9" w14:textId="77777777" w:rsidR="00DF410E" w:rsidRDefault="00CE7F43">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14:paraId="311B68A1" w14:textId="77777777" w:rsidR="00DF410E" w:rsidRDefault="00CE7F43">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14:paraId="0389B9A4" w14:textId="77777777" w:rsidR="00DF410E" w:rsidRDefault="00CE7F43">
      <w:r>
        <w:t>***</w:t>
      </w:r>
      <w:r>
        <w:rPr>
          <w:b/>
        </w:rPr>
        <w:t>OPTION 2:</w:t>
      </w:r>
    </w:p>
    <w:p w14:paraId="55A37130" w14:textId="77777777" w:rsidR="00DF410E" w:rsidRDefault="00CE7F43">
      <w:pPr>
        <w:pStyle w:val="Author-eListParagraph"/>
        <w:numPr>
          <w:ilvl w:val="0"/>
          <w:numId w:val="558"/>
        </w:numPr>
      </w:pPr>
      <w:r>
        <w:t>m³ pour le béton</w:t>
      </w:r>
    </w:p>
    <w:p w14:paraId="7A3A2982" w14:textId="77777777" w:rsidR="00DF410E" w:rsidRDefault="00CE7F43">
      <w:pPr>
        <w:pStyle w:val="Author-eListParagraph"/>
        <w:numPr>
          <w:ilvl w:val="0"/>
          <w:numId w:val="558"/>
        </w:numPr>
      </w:pPr>
      <w:r>
        <w:t>kg pour les armatures</w:t>
      </w:r>
    </w:p>
    <w:p w14:paraId="24574FB9" w14:textId="77777777" w:rsidR="00DF410E" w:rsidRDefault="00CE7F43">
      <w:pPr>
        <w:pStyle w:val="Author-eListParagraph"/>
        <w:numPr>
          <w:ilvl w:val="0"/>
          <w:numId w:val="558"/>
        </w:numPr>
      </w:pPr>
      <w:r>
        <w:t>Tous les autres éléments, travaux et fournitures doivent être compris dans les prix unitaires respectifs pour les mesurages précités.</w:t>
      </w:r>
    </w:p>
    <w:p w14:paraId="449A2A79" w14:textId="77777777" w:rsidR="00DF410E" w:rsidRDefault="00CE7F43">
      <w:r>
        <w:t>***</w:t>
      </w:r>
      <w:r>
        <w:rPr>
          <w:b/>
        </w:rPr>
        <w:t xml:space="preserve">OPTION 3: </w:t>
      </w:r>
    </w:p>
    <w:p w14:paraId="695C3B9F" w14:textId="77777777" w:rsidR="00DF410E" w:rsidRDefault="00CE7F43">
      <w:pPr>
        <w:pStyle w:val="Author-eListParagraph"/>
        <w:numPr>
          <w:ilvl w:val="0"/>
          <w:numId w:val="559"/>
        </w:numPr>
      </w:pPr>
      <w:r>
        <w:t>m³ pour le béton de remplissage</w:t>
      </w:r>
    </w:p>
    <w:p w14:paraId="12683089" w14:textId="77777777" w:rsidR="00DF410E" w:rsidRDefault="00CE7F43">
      <w:pPr>
        <w:pStyle w:val="Author-eListParagraph"/>
        <w:numPr>
          <w:ilvl w:val="0"/>
          <w:numId w:val="559"/>
        </w:numPr>
      </w:pPr>
      <w:r>
        <w:t>m³ pour la couche de compression béton (en mentionnant l'épaisseur...)</w:t>
      </w:r>
    </w:p>
    <w:p w14:paraId="421AAF37" w14:textId="77777777" w:rsidR="00DF410E" w:rsidRDefault="00CE7F43">
      <w:pPr>
        <w:pStyle w:val="Author-eListParagraph"/>
        <w:numPr>
          <w:ilvl w:val="0"/>
          <w:numId w:val="559"/>
        </w:numPr>
      </w:pPr>
      <w:r>
        <w:t>kg pour les armatures supplémentaires</w:t>
      </w:r>
    </w:p>
    <w:p w14:paraId="14C0BAB5" w14:textId="77777777" w:rsidR="00DF410E" w:rsidRDefault="00CE7F43">
      <w:pPr>
        <w:pStyle w:val="Author-eListParagraph"/>
        <w:numPr>
          <w:ilvl w:val="0"/>
          <w:numId w:val="559"/>
        </w:numPr>
      </w:pPr>
      <w:r>
        <w:t>Pièces divergentes et pièces spéciales : à la pièce (selon les dimensions identiques ou indications standards).</w:t>
      </w:r>
    </w:p>
    <w:p w14:paraId="40C7708B" w14:textId="77777777" w:rsidR="00DF410E" w:rsidRDefault="00CE7F43">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E356694" w14:textId="77777777" w:rsidR="00DF410E" w:rsidRDefault="00CE7F43">
      <w:pPr>
        <w:pStyle w:val="pheading"/>
      </w:pPr>
      <w:r>
        <w:t>- code de mesurage:</w:t>
      </w:r>
    </w:p>
    <w:p w14:paraId="21AD0CB1"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06CC9C60" w14:textId="77777777" w:rsidR="00DF410E" w:rsidRDefault="00CE7F43">
      <w:pPr>
        <w:pStyle w:val="pheading"/>
      </w:pPr>
      <w:r>
        <w:t>- nature du marché:</w:t>
      </w:r>
    </w:p>
    <w:p w14:paraId="7297B995" w14:textId="77777777" w:rsidR="00DF410E" w:rsidRDefault="00CE7F43">
      <w:r>
        <w:t>QF</w:t>
      </w:r>
    </w:p>
    <w:p w14:paraId="41B77780" w14:textId="77777777" w:rsidR="00DF410E" w:rsidRDefault="00CE7F43">
      <w:pPr>
        <w:pStyle w:val="Author-eSectionHeading6"/>
      </w:pPr>
      <w:bookmarkStart w:id="795" w:name="_Toc178837954"/>
      <w:r>
        <w:t>22.22.1d Planchers à poutrelles en béton et entrevous en fibres de bois agglomérées de ciment CCTB 01.04</w:t>
      </w:r>
      <w:bookmarkEnd w:id="795"/>
    </w:p>
    <w:p w14:paraId="36703268" w14:textId="77777777" w:rsidR="00DF410E" w:rsidRDefault="00CE7F43">
      <w:pPr>
        <w:pStyle w:val="Author-eSectionHeading6"/>
      </w:pPr>
      <w:bookmarkStart w:id="796" w:name="_Toc178837955"/>
      <w:r>
        <w:t>22.22.1e Planchers à poutrelles en béton et entrevous en copeaux de bois CCTB 01.04</w:t>
      </w:r>
      <w:bookmarkEnd w:id="796"/>
    </w:p>
    <w:p w14:paraId="094A8F82" w14:textId="77777777" w:rsidR="00DF410E" w:rsidRDefault="00CE7F43">
      <w:pPr>
        <w:pStyle w:val="Author-eSectionHeading5"/>
      </w:pPr>
      <w:bookmarkStart w:id="797" w:name="_Toc178837956"/>
      <w:r>
        <w:t>22.22.2 Planchers mixtes en béton CCTB 01.02</w:t>
      </w:r>
      <w:bookmarkEnd w:id="797"/>
    </w:p>
    <w:p w14:paraId="0C702BE5" w14:textId="77777777" w:rsidR="00DF410E" w:rsidRDefault="00CE7F43">
      <w:pPr>
        <w:pStyle w:val="Author-eSectionHeading6"/>
      </w:pPr>
      <w:bookmarkStart w:id="798" w:name="_Toc178837957"/>
      <w:r>
        <w:t>22.22.2a Planchers mixtes en acier-béton avec poutres en acier CCTB 01.11</w:t>
      </w:r>
      <w:bookmarkEnd w:id="798"/>
    </w:p>
    <w:p w14:paraId="4650B679" w14:textId="77777777" w:rsidR="00DF410E" w:rsidRDefault="00CE7F43">
      <w:pPr>
        <w:pStyle w:val="pheading"/>
      </w:pPr>
      <w:r>
        <w:t>DESCRIPTION</w:t>
      </w:r>
    </w:p>
    <w:p w14:paraId="21752856" w14:textId="77777777" w:rsidR="00DF410E" w:rsidRDefault="00CE7F43">
      <w:pPr>
        <w:pStyle w:val="pheading"/>
      </w:pPr>
      <w:r>
        <w:t>- Définition / Comprend</w:t>
      </w:r>
    </w:p>
    <w:p w14:paraId="26991FB2" w14:textId="77777777" w:rsidR="00DF410E" w:rsidRDefault="00CE7F43">
      <w:pPr>
        <w:jc w:val="both"/>
      </w:pPr>
      <w:r>
        <w:t>Il s’agit de planchers mixtes composés d’une dalle en béton armé associée à des profilés portants en acier ce qui permet de faire travailler chaque matériau sous les types de contraintes qui le rendent le plus performant et d’optimiser ainsi la structure.</w:t>
      </w:r>
    </w:p>
    <w:p w14:paraId="5B61A8D5" w14:textId="77777777" w:rsidR="00DF410E" w:rsidRDefault="00CE7F43">
      <w:pPr>
        <w:pStyle w:val="pheading"/>
      </w:pPr>
      <w:r>
        <w:t>MATÉRIAUX</w:t>
      </w:r>
    </w:p>
    <w:p w14:paraId="4C96E3EC" w14:textId="77777777" w:rsidR="00DF410E" w:rsidRDefault="00CE7F43">
      <w:pPr>
        <w:pStyle w:val="pheading"/>
      </w:pPr>
      <w:r>
        <w:t>- Caractéristiques générales</w:t>
      </w:r>
    </w:p>
    <w:p w14:paraId="53B2A7D4" w14:textId="77777777" w:rsidR="00DF410E" w:rsidRDefault="00CE7F43">
      <w:pPr>
        <w:jc w:val="both"/>
      </w:pPr>
      <w:r>
        <w:t>Le système est conforme aux normes [NBN EN 1994-1-1] et à la [NIT 236].</w:t>
      </w:r>
    </w:p>
    <w:p w14:paraId="07DD5AB8" w14:textId="77777777" w:rsidR="00DF410E" w:rsidRDefault="00CE7F43">
      <w:pPr>
        <w:jc w:val="both"/>
      </w:pPr>
      <w:r>
        <w:rPr>
          <w:b/>
        </w:rPr>
        <w:t>Profilés en acier</w:t>
      </w:r>
    </w:p>
    <w:p w14:paraId="51EDEB22" w14:textId="77777777" w:rsidR="00DF410E" w:rsidRDefault="00CE7F43">
      <w:pPr>
        <w:pStyle w:val="Author-eListParagraph"/>
        <w:numPr>
          <w:ilvl w:val="0"/>
          <w:numId w:val="560"/>
        </w:numPr>
      </w:pPr>
      <w:r>
        <w:t xml:space="preserve">Types de profilés : </w:t>
      </w:r>
      <w:r>
        <w:rPr>
          <w:rStyle w:val="optioncarChar"/>
        </w:rPr>
        <w:t xml:space="preserve">suivant les prescriptions de l’étude de stabilité </w:t>
      </w:r>
      <w:r>
        <w:t xml:space="preserve">(par défaut) </w:t>
      </w:r>
      <w:r>
        <w:rPr>
          <w:rStyle w:val="optioncarChar"/>
        </w:rPr>
        <w:t>/ ***</w:t>
      </w:r>
    </w:p>
    <w:p w14:paraId="2F624A39" w14:textId="77777777" w:rsidR="00DF410E" w:rsidRDefault="00CE7F43">
      <w:pPr>
        <w:pStyle w:val="Author-eListParagraph"/>
        <w:numPr>
          <w:ilvl w:val="0"/>
          <w:numId w:val="560"/>
        </w:numPr>
      </w:pPr>
      <w:r>
        <w:t xml:space="preserve">Nuance d'acier : </w:t>
      </w:r>
      <w:r>
        <w:rPr>
          <w:rStyle w:val="optioncarChar"/>
        </w:rPr>
        <w:t xml:space="preserve">suivant les prescriptions de l’étude de stabilité </w:t>
      </w:r>
      <w:r>
        <w:t>(par défaut)</w:t>
      </w:r>
      <w:r>
        <w:rPr>
          <w:rStyle w:val="optioncarChar"/>
        </w:rPr>
        <w:t xml:space="preserve"> / S235 / S275 / S355 / S420 / S460 / ***</w:t>
      </w:r>
      <w:r>
        <w:t>.</w:t>
      </w:r>
    </w:p>
    <w:p w14:paraId="68C6427F" w14:textId="77777777" w:rsidR="00DF410E" w:rsidRDefault="00CE7F43">
      <w:pPr>
        <w:pStyle w:val="Author-eListParagraph"/>
        <w:numPr>
          <w:ilvl w:val="0"/>
          <w:numId w:val="560"/>
        </w:numPr>
      </w:pPr>
      <w:r>
        <w:t xml:space="preserve">Qualité d’acier [NBN EN 10025 série] : </w:t>
      </w:r>
      <w:r>
        <w:rPr>
          <w:rStyle w:val="optioncarChar"/>
        </w:rPr>
        <w:t xml:space="preserve">suivant les prescriptions de l’étude de stabilité </w:t>
      </w:r>
      <w:r>
        <w:t>(par défaut)</w:t>
      </w:r>
      <w:r>
        <w:rPr>
          <w:rStyle w:val="optioncarChar"/>
        </w:rPr>
        <w:t xml:space="preserve"> / JR / J0 / J2 / K2 / N / NL / M / ML / W / P / Q / QL / QL1 / ***</w:t>
      </w:r>
      <w:r>
        <w:t>.</w:t>
      </w:r>
    </w:p>
    <w:p w14:paraId="18F20184" w14:textId="77777777" w:rsidR="00DF410E" w:rsidRDefault="00CE7F43">
      <w:pPr>
        <w:pStyle w:val="Author-eListParagraph"/>
        <w:numPr>
          <w:ilvl w:val="0"/>
          <w:numId w:val="560"/>
        </w:numPr>
      </w:pPr>
      <w:r>
        <w:t xml:space="preserve">Traitement anti-corrosion : </w:t>
      </w:r>
      <w:r>
        <w:rPr>
          <w:rStyle w:val="optioncarChar"/>
        </w:rPr>
        <w:t>primaire antirouille</w:t>
      </w:r>
      <w:r>
        <w:t xml:space="preserve"> (par défaut)</w:t>
      </w:r>
      <w:r>
        <w:rPr>
          <w:rStyle w:val="optioncarChar"/>
        </w:rPr>
        <w:t xml:space="preserve"> / galvanisation à chaud / métallisation / ***.</w:t>
      </w:r>
    </w:p>
    <w:p w14:paraId="1730F6B4" w14:textId="77777777" w:rsidR="00DF410E" w:rsidRDefault="00CE7F43">
      <w:pPr>
        <w:ind w:left="567"/>
        <w:jc w:val="both"/>
      </w:pPr>
      <w:r>
        <w:rPr>
          <w:b/>
        </w:rPr>
        <w:t>(soit par défaut)</w:t>
      </w:r>
    </w:p>
    <w:p w14:paraId="4C751162" w14:textId="77777777" w:rsidR="00DF410E" w:rsidRDefault="00CE7F43">
      <w:pPr>
        <w:ind w:left="567"/>
        <w:jc w:val="both"/>
      </w:pPr>
      <w:r>
        <w:rPr>
          <w:rStyle w:val="soitChar"/>
          <w:u w:val="single"/>
        </w:rPr>
        <w:t>Primaire antirouille</w:t>
      </w:r>
    </w:p>
    <w:p w14:paraId="4228CD12" w14:textId="77777777" w:rsidR="00DF410E" w:rsidRDefault="00CE7F43">
      <w:pPr>
        <w:ind w:left="567"/>
        <w:jc w:val="both"/>
      </w:pPr>
      <w:r>
        <w:rPr>
          <w:rStyle w:val="soitChar"/>
        </w:rPr>
        <w:t>Conformément aux prescriptions du </w:t>
      </w:r>
      <w:hyperlink r:id="rId77" w:history="1" w:docLocation="503">
        <w:r>
          <w:rPr>
            <w:rStyle w:val="soitChar"/>
          </w:rPr>
          <w:t>81.31.3c Protections intérieures par primaire antirouille (en atelier ou sur chantier) des supports métalliques ferreux</w:t>
        </w:r>
      </w:hyperlink>
      <w:r>
        <w:rPr>
          <w:rStyle w:val="soitChar"/>
        </w:rPr>
        <w:t xml:space="preserve"> ou du </w:t>
      </w:r>
      <w:hyperlink r:id="rId78" w:history="1" w:docLocation="504">
        <w:r>
          <w:rPr>
            <w:rStyle w:val="soitChar"/>
          </w:rPr>
          <w:t>82.31.3c Protections extérieures par primaire antirouille des supports métalliques ferreux</w:t>
        </w:r>
      </w:hyperlink>
      <w:r>
        <w:rPr>
          <w:rStyle w:val="soitChar"/>
        </w:rPr>
        <w:t>.</w:t>
      </w:r>
    </w:p>
    <w:p w14:paraId="324FF7AB" w14:textId="77777777" w:rsidR="00DF410E" w:rsidRDefault="00CE7F43">
      <w:pPr>
        <w:ind w:left="567"/>
        <w:jc w:val="both"/>
      </w:pPr>
      <w:r>
        <w:rPr>
          <w:b/>
        </w:rPr>
        <w:t>(soit)</w:t>
      </w:r>
    </w:p>
    <w:p w14:paraId="40DD2394" w14:textId="77777777" w:rsidR="00DF410E" w:rsidRDefault="00CE7F43">
      <w:pPr>
        <w:ind w:left="567"/>
        <w:jc w:val="both"/>
      </w:pPr>
      <w:r>
        <w:rPr>
          <w:rStyle w:val="soitChar"/>
          <w:u w:val="single"/>
        </w:rPr>
        <w:t>Galvanisation à chaud</w:t>
      </w:r>
    </w:p>
    <w:p w14:paraId="7EAAB10A" w14:textId="77777777" w:rsidR="00DF410E" w:rsidRDefault="00CE7F43">
      <w:pPr>
        <w:ind w:left="567"/>
        <w:jc w:val="both"/>
      </w:pPr>
      <w:r>
        <w:rPr>
          <w:rStyle w:val="soitChar"/>
        </w:rPr>
        <w:t xml:space="preserve">Conformément aux prescriptions du </w:t>
      </w:r>
      <w:hyperlink r:id="rId79" w:history="1" w:docLocation="505">
        <w:r>
          <w:rPr>
            <w:rStyle w:val="soitChar"/>
          </w:rPr>
          <w:t>81.31.3a Protections intérieures par galvanisation (en atelier) des supports métalliques ferreux</w:t>
        </w:r>
      </w:hyperlink>
      <w:r>
        <w:rPr>
          <w:rStyle w:val="soitChar"/>
        </w:rPr>
        <w:t xml:space="preserve"> ou du </w:t>
      </w:r>
      <w:hyperlink r:id="rId80" w:history="1" w:docLocation="506">
        <w:r>
          <w:rPr>
            <w:rStyle w:val="soitChar"/>
          </w:rPr>
          <w:t>82.31.3a Protections extérieures par galvanisation de supports métalliques ferreux</w:t>
        </w:r>
      </w:hyperlink>
      <w:r>
        <w:rPr>
          <w:rStyle w:val="soitChar"/>
        </w:rPr>
        <w:t>.</w:t>
      </w:r>
    </w:p>
    <w:p w14:paraId="7556C963" w14:textId="77777777" w:rsidR="00DF410E" w:rsidRDefault="00CE7F43">
      <w:pPr>
        <w:ind w:left="567"/>
        <w:jc w:val="both"/>
      </w:pPr>
      <w:r>
        <w:rPr>
          <w:b/>
        </w:rPr>
        <w:t>(soit)</w:t>
      </w:r>
    </w:p>
    <w:p w14:paraId="1D78C571" w14:textId="77777777" w:rsidR="00DF410E" w:rsidRDefault="00CE7F43">
      <w:pPr>
        <w:ind w:left="567"/>
        <w:jc w:val="both"/>
      </w:pPr>
      <w:r>
        <w:rPr>
          <w:rStyle w:val="soitChar"/>
          <w:u w:val="single"/>
        </w:rPr>
        <w:t>Métallisation</w:t>
      </w:r>
    </w:p>
    <w:p w14:paraId="3D3B37DF" w14:textId="77777777" w:rsidR="00DF410E" w:rsidRDefault="00CE7F43">
      <w:pPr>
        <w:ind w:left="567"/>
        <w:jc w:val="both"/>
      </w:pPr>
      <w:r>
        <w:rPr>
          <w:rStyle w:val="soitChar"/>
        </w:rPr>
        <w:t xml:space="preserve">Conformément aux prescriptions du </w:t>
      </w:r>
      <w:hyperlink r:id="rId81" w:history="1" w:docLocation="507">
        <w:r>
          <w:rPr>
            <w:rStyle w:val="soitChar"/>
          </w:rPr>
          <w:t>81.31.3b Protections intérieures par métallisation (en atelier ou sur chantier) des supports métalliques ferreux</w:t>
        </w:r>
      </w:hyperlink>
      <w:r>
        <w:rPr>
          <w:rStyle w:val="soitChar"/>
        </w:rPr>
        <w:t xml:space="preserve"> ou du </w:t>
      </w:r>
      <w:hyperlink r:id="rId82" w:history="1" w:docLocation="508">
        <w:r>
          <w:rPr>
            <w:rStyle w:val="soitChar"/>
          </w:rPr>
          <w:t>82.31.3b Protections extérieures par métallisation des supports métalliques ferreux</w:t>
        </w:r>
      </w:hyperlink>
      <w:r>
        <w:rPr>
          <w:rStyle w:val="soitChar"/>
        </w:rPr>
        <w:t>.</w:t>
      </w:r>
    </w:p>
    <w:p w14:paraId="23DB4C37" w14:textId="77777777" w:rsidR="00DF410E" w:rsidRDefault="00CE7F43">
      <w:pPr>
        <w:jc w:val="both"/>
      </w:pPr>
      <w:r>
        <w:rPr>
          <w:b/>
        </w:rPr>
        <w:t>Dalle en béton armé</w:t>
      </w:r>
    </w:p>
    <w:p w14:paraId="2F07AA88" w14:textId="77777777" w:rsidR="00DF410E" w:rsidRDefault="00CE7F43">
      <w:pPr>
        <w:jc w:val="both"/>
      </w:pPr>
      <w:r>
        <w:t>Le plancher est composé d’un coffrage en tôles d’acier à froid recouvert d’une dalle en béton armé.</w:t>
      </w:r>
    </w:p>
    <w:p w14:paraId="5425E0FF" w14:textId="77777777" w:rsidR="00DF410E" w:rsidRDefault="00CE7F43">
      <w:pPr>
        <w:jc w:val="both"/>
      </w:pPr>
      <w:r>
        <w:rPr>
          <w:b/>
        </w:rPr>
        <w:t>Tôles</w:t>
      </w:r>
    </w:p>
    <w:p w14:paraId="4C357C50" w14:textId="77777777" w:rsidR="00DF410E" w:rsidRDefault="00CE7F43">
      <w:pPr>
        <w:jc w:val="both"/>
      </w:pPr>
      <w:r>
        <w:t>Les tôles de coffrage sont nervurées par profilage à froid.</w:t>
      </w:r>
    </w:p>
    <w:p w14:paraId="3AEEF58F" w14:textId="77777777" w:rsidR="00DF410E" w:rsidRDefault="00CE7F43">
      <w:pPr>
        <w:pStyle w:val="Author-eListParagraph"/>
        <w:numPr>
          <w:ilvl w:val="0"/>
          <w:numId w:val="561"/>
        </w:numPr>
      </w:pPr>
      <w:r>
        <w:t>Profil des tôles :</w:t>
      </w:r>
      <w:r>
        <w:rPr>
          <w:rStyle w:val="optioncarChar"/>
        </w:rPr>
        <w:t xml:space="preserve"> profilés en queue d’aronde / de forme trapézoïdale / oméga</w:t>
      </w:r>
      <w:r>
        <w:t xml:space="preserve">. Le profil </w:t>
      </w:r>
      <w:r>
        <w:rPr>
          <w:rStyle w:val="optioncarChar"/>
        </w:rPr>
        <w:t>est / n’est pas</w:t>
      </w:r>
      <w:r>
        <w:t xml:space="preserve"> pré-percé de trous pour le passage de goujons soudés</w:t>
      </w:r>
    </w:p>
    <w:p w14:paraId="7C4F4962" w14:textId="77777777" w:rsidR="00DF410E" w:rsidRDefault="00CE7F43">
      <w:pPr>
        <w:pStyle w:val="Author-eListParagraph"/>
        <w:numPr>
          <w:ilvl w:val="0"/>
          <w:numId w:val="561"/>
        </w:numPr>
      </w:pPr>
      <w:r>
        <w:t xml:space="preserve">Epaisseur : </w:t>
      </w:r>
      <w:r>
        <w:rPr>
          <w:rStyle w:val="optioncarChar"/>
        </w:rPr>
        <w:t xml:space="preserve">suivant les prescriptions de l’étude de stabilité </w:t>
      </w:r>
      <w:r>
        <w:t xml:space="preserve">(par défaut) </w:t>
      </w:r>
      <w:r>
        <w:rPr>
          <w:rStyle w:val="optioncarChar"/>
        </w:rPr>
        <w:t>/ entre 0,7 et 1,25 / ***</w:t>
      </w:r>
      <w:r>
        <w:t xml:space="preserve"> mm.</w:t>
      </w:r>
    </w:p>
    <w:p w14:paraId="08BF3E06" w14:textId="77777777" w:rsidR="00DF410E" w:rsidRDefault="00CE7F43">
      <w:pPr>
        <w:pStyle w:val="Author-eListParagraph"/>
        <w:numPr>
          <w:ilvl w:val="0"/>
          <w:numId w:val="561"/>
        </w:numPr>
      </w:pPr>
      <w:r>
        <w:t xml:space="preserve">Hauteur : </w:t>
      </w:r>
      <w:r>
        <w:rPr>
          <w:rStyle w:val="optioncarChar"/>
        </w:rPr>
        <w:t xml:space="preserve">suivant les prescriptions de l’étude de stabilité </w:t>
      </w:r>
      <w:r>
        <w:t xml:space="preserve">(par défaut) </w:t>
      </w:r>
      <w:r>
        <w:rPr>
          <w:rStyle w:val="optioncarChar"/>
        </w:rPr>
        <w:t>/ 40 / 60 / 80 / ***</w:t>
      </w:r>
      <w:r>
        <w:t xml:space="preserve"> mm.</w:t>
      </w:r>
    </w:p>
    <w:p w14:paraId="2BBB24C1" w14:textId="77777777" w:rsidR="00DF410E" w:rsidRDefault="00CE7F43">
      <w:pPr>
        <w:pStyle w:val="Author-eListParagraph"/>
        <w:numPr>
          <w:ilvl w:val="0"/>
          <w:numId w:val="561"/>
        </w:numPr>
      </w:pPr>
      <w:r>
        <w:t xml:space="preserve">Protection contre la corrosion : </w:t>
      </w:r>
      <w:r>
        <w:rPr>
          <w:rStyle w:val="optioncarChar"/>
        </w:rPr>
        <w:t>couche de zinc de type Z275, épaisseur ≥ à 0,02mm (galvanisation à chaud)</w:t>
      </w:r>
      <w:r>
        <w:t xml:space="preserve"> (par défaut)</w:t>
      </w:r>
      <w:r>
        <w:rPr>
          <w:rStyle w:val="optioncarChar"/>
        </w:rPr>
        <w:t xml:space="preserve"> / ***</w:t>
      </w:r>
      <w:r>
        <w:t>.</w:t>
      </w:r>
    </w:p>
    <w:p w14:paraId="457DB8E9" w14:textId="77777777" w:rsidR="00DF410E" w:rsidRDefault="00CE7F43">
      <w:pPr>
        <w:jc w:val="both"/>
      </w:pPr>
      <w:r>
        <w:rPr>
          <w:b/>
        </w:rPr>
        <w:t>Béton</w:t>
      </w:r>
    </w:p>
    <w:p w14:paraId="032B9059" w14:textId="77777777" w:rsidR="00DF410E" w:rsidRDefault="00CE7F43">
      <w:pPr>
        <w:pStyle w:val="Author-eListParagraph"/>
        <w:numPr>
          <w:ilvl w:val="0"/>
          <w:numId w:val="562"/>
        </w:numPr>
      </w:pPr>
      <w:r>
        <w:t xml:space="preserve">Qualité du béton selon la [NBN EN 206:2013+A2] et la [NBN B 15-001] : (voir également </w:t>
      </w:r>
      <w:hyperlink w:anchor="87" w:history="1">
        <w:r>
          <w:t>22 Superstructures en béton</w:t>
        </w:r>
      </w:hyperlink>
      <w:r>
        <w:t>).</w:t>
      </w:r>
    </w:p>
    <w:p w14:paraId="394D67AC" w14:textId="77777777" w:rsidR="00DF410E" w:rsidRDefault="00CE7F43">
      <w:pPr>
        <w:pStyle w:val="Author-eListParagraph"/>
        <w:numPr>
          <w:ilvl w:val="0"/>
          <w:numId w:val="562"/>
        </w:numPr>
      </w:pPr>
      <w:r>
        <w:t xml:space="preserve">Classe de résistance : </w:t>
      </w:r>
      <w:r>
        <w:rPr>
          <w:rStyle w:val="optioncarChar"/>
        </w:rPr>
        <w:t xml:space="preserve">suivant les prescriptions de l’étude de stabilité </w:t>
      </w:r>
      <w:r>
        <w:t>(par défaut)</w:t>
      </w:r>
      <w:r>
        <w:rPr>
          <w:rStyle w:val="optioncarChar"/>
        </w:rPr>
        <w:t xml:space="preserve"> / C25/30 / C30/37 / C35/45 / C45/55 / C50/60 / C55/67 / C60/75 / C70/85 / C80/95 / C90/105 / ***</w:t>
      </w:r>
    </w:p>
    <w:p w14:paraId="698EF3F2" w14:textId="77777777" w:rsidR="00DF410E" w:rsidRDefault="00CE7F43">
      <w:pPr>
        <w:pStyle w:val="Author-eListParagraph"/>
        <w:numPr>
          <w:ilvl w:val="0"/>
          <w:numId w:val="562"/>
        </w:numPr>
      </w:pPr>
      <w:r>
        <w:t xml:space="preserve">Classe d’environnement : </w:t>
      </w:r>
      <w:r>
        <w:rPr>
          <w:rStyle w:val="optioncarChar"/>
        </w:rPr>
        <w:t xml:space="preserve">suivant les prescriptions de l’étude de stabilité </w:t>
      </w:r>
      <w:r>
        <w:t xml:space="preserve">(par défaut) </w:t>
      </w:r>
      <w:r>
        <w:rPr>
          <w:rStyle w:val="optioncarChar"/>
        </w:rPr>
        <w:t>/ E0 / EI / EE1 / EE2 / EE3 / EE4 / ES1 / ES2 / ES3 / ES4 / EA1+*** / EA2+***/ EA3+*** / ***</w:t>
      </w:r>
    </w:p>
    <w:p w14:paraId="2C31802E" w14:textId="77777777" w:rsidR="00DF410E" w:rsidRDefault="00CE7F43">
      <w:pPr>
        <w:pStyle w:val="Author-eListParagraph"/>
        <w:numPr>
          <w:ilvl w:val="0"/>
          <w:numId w:val="562"/>
        </w:numPr>
      </w:pPr>
      <w:r>
        <w:t xml:space="preserve">Classe de consistance : </w:t>
      </w:r>
      <w:r>
        <w:rPr>
          <w:rStyle w:val="optioncarChar"/>
        </w:rPr>
        <w:t xml:space="preserve">suivant les prescriptions de l’étude de stabilité </w:t>
      </w:r>
      <w:r>
        <w:t>(par défaut)</w:t>
      </w:r>
      <w:r>
        <w:rPr>
          <w:rStyle w:val="optioncarChar"/>
        </w:rPr>
        <w:t xml:space="preserve"> / S3 / S4 / S5 / F3 / F4 / F5 / F6 / ***</w:t>
      </w:r>
    </w:p>
    <w:p w14:paraId="020F2275" w14:textId="77777777" w:rsidR="00DF410E" w:rsidRDefault="00CE7F43">
      <w:pPr>
        <w:pStyle w:val="Author-eListParagraph"/>
        <w:numPr>
          <w:ilvl w:val="0"/>
          <w:numId w:val="562"/>
        </w:numPr>
      </w:pPr>
      <w:r>
        <w:t xml:space="preserve">Granulométrie maximale : </w:t>
      </w:r>
      <w:r>
        <w:rPr>
          <w:rStyle w:val="optioncarChar"/>
        </w:rPr>
        <w:t>suivant les prescriptions de l’étude de stabilité</w:t>
      </w:r>
      <w:r>
        <w:t xml:space="preserve"> (par défaut)</w:t>
      </w:r>
      <w:r>
        <w:rPr>
          <w:rStyle w:val="optioncarChar"/>
        </w:rPr>
        <w:t xml:space="preserve"> / 6 / 8 / 10 / 11 / 12 / 14 / 16 / 20 / 22 / 32 / ***</w:t>
      </w:r>
      <w:r>
        <w:t xml:space="preserve"> mm</w:t>
      </w:r>
    </w:p>
    <w:p w14:paraId="19A98965" w14:textId="77777777" w:rsidR="00DF410E" w:rsidRDefault="00CE7F43">
      <w:pPr>
        <w:jc w:val="both"/>
      </w:pPr>
      <w:r>
        <w:rPr>
          <w:b/>
        </w:rPr>
        <w:t>Armature </w:t>
      </w:r>
    </w:p>
    <w:p w14:paraId="1808A596" w14:textId="77777777" w:rsidR="00DF410E" w:rsidRDefault="00CE7F43">
      <w:pPr>
        <w:pStyle w:val="Author-eListParagraph"/>
        <w:numPr>
          <w:ilvl w:val="0"/>
          <w:numId w:val="563"/>
        </w:numPr>
      </w:pPr>
      <w:r>
        <w:t xml:space="preserve">Barres d’acier pour les armatures principales : </w:t>
      </w:r>
      <w:r>
        <w:rPr>
          <w:rStyle w:val="optioncarChar"/>
        </w:rPr>
        <w:t>acier BE 500 S</w:t>
      </w:r>
      <w:r>
        <w:t xml:space="preserve"> (par défaut)</w:t>
      </w:r>
      <w:r>
        <w:rPr>
          <w:rStyle w:val="optioncarChar"/>
        </w:rPr>
        <w:t xml:space="preserve"> / ***</w:t>
      </w:r>
      <w:r>
        <w:t xml:space="preserve"> selon [NBN A 24-302] + [PTV 302].</w:t>
      </w:r>
    </w:p>
    <w:p w14:paraId="1EC53752" w14:textId="77777777" w:rsidR="00DF410E" w:rsidRDefault="00CE7F43">
      <w:pPr>
        <w:pStyle w:val="Author-eListParagraph"/>
        <w:numPr>
          <w:ilvl w:val="0"/>
          <w:numId w:val="563"/>
        </w:numPr>
      </w:pPr>
      <w:r>
        <w:t xml:space="preserve">Acier pour les étriers : </w:t>
      </w:r>
      <w:r>
        <w:rPr>
          <w:rStyle w:val="optioncarChar"/>
        </w:rPr>
        <w:t xml:space="preserve">DE 500 BS </w:t>
      </w:r>
      <w:r>
        <w:t>(par défaut)</w:t>
      </w:r>
      <w:r>
        <w:rPr>
          <w:rStyle w:val="optioncarChar"/>
        </w:rPr>
        <w:t xml:space="preserve"> / BE 500 S</w:t>
      </w:r>
    </w:p>
    <w:p w14:paraId="0EE817BD" w14:textId="77777777" w:rsidR="00DF410E" w:rsidRDefault="00CE7F43">
      <w:pPr>
        <w:jc w:val="both"/>
      </w:pPr>
      <w:r>
        <w:rPr>
          <w:b/>
        </w:rPr>
        <w:t>Connexion </w:t>
      </w:r>
    </w:p>
    <w:p w14:paraId="78E3640E" w14:textId="77777777" w:rsidR="00DF410E" w:rsidRDefault="00CE7F43">
      <w:pPr>
        <w:jc w:val="both"/>
      </w:pPr>
      <w:r>
        <w:t xml:space="preserve">Connexion entre les profilés et le plancher en béton : </w:t>
      </w:r>
      <w:r>
        <w:rPr>
          <w:rStyle w:val="optioncarChar"/>
        </w:rPr>
        <w:t xml:space="preserve">définie par l’étude de stabilité </w:t>
      </w:r>
      <w:r>
        <w:t xml:space="preserve">(par défaut) </w:t>
      </w:r>
      <w:r>
        <w:rPr>
          <w:rStyle w:val="optioncarChar"/>
        </w:rPr>
        <w:t>/ goujons soudés sur les poutrelles en acier à travers la tôle / équerres composées de pièces métalliques formées à froid en forme de L et fixées à la poutrelle à l’aide de deux clous et d’un appareil de scellement à cartouche / ***.</w:t>
      </w:r>
    </w:p>
    <w:p w14:paraId="46826858" w14:textId="77777777" w:rsidR="00DF410E" w:rsidRDefault="00CE7F43">
      <w:pPr>
        <w:jc w:val="both"/>
      </w:pPr>
      <w:r>
        <w:t>Le plancher mixte présente une résistance au feu </w:t>
      </w:r>
      <w:r>
        <w:rPr>
          <w:rStyle w:val="optioncarChar"/>
        </w:rPr>
        <w:t>R15 / R30 / R60 / R120 / 240</w:t>
      </w:r>
      <w:r>
        <w:t xml:space="preserve"> démontrée par test au feu selon la [NBN EN 13501-2] ou par calcul selon les Eurocodes conformément à l’[AM 2013-05-17].</w:t>
      </w:r>
    </w:p>
    <w:p w14:paraId="13E9CA2B" w14:textId="77777777" w:rsidR="00DF410E" w:rsidRDefault="00CE7F43">
      <w:pPr>
        <w:pStyle w:val="pheading"/>
      </w:pPr>
      <w:r>
        <w:t>- Finitions</w:t>
      </w:r>
    </w:p>
    <w:p w14:paraId="0AFD9111" w14:textId="77777777" w:rsidR="00DF410E" w:rsidRDefault="00CE7F43">
      <w:pPr>
        <w:jc w:val="both"/>
      </w:pPr>
      <w:r>
        <w:rPr>
          <w:b/>
        </w:rPr>
        <w:t>Profilés en acier</w:t>
      </w:r>
    </w:p>
    <w:p w14:paraId="3CB2EA8E" w14:textId="77777777" w:rsidR="00DF410E" w:rsidRDefault="00CE7F43">
      <w:pPr>
        <w:jc w:val="both"/>
      </w:pPr>
      <w:r>
        <w:t xml:space="preserve">Finition des profilés en acier : </w:t>
      </w:r>
      <w:r>
        <w:rPr>
          <w:rStyle w:val="optioncarChar"/>
        </w:rPr>
        <w:t>pas de finition</w:t>
      </w:r>
      <w:r>
        <w:t xml:space="preserve"> (par défaut) </w:t>
      </w:r>
      <w:r>
        <w:rPr>
          <w:rStyle w:val="optioncarChar"/>
        </w:rPr>
        <w:t>/ peint / brut (verni)</w:t>
      </w:r>
      <w:r>
        <w:t>.</w:t>
      </w:r>
    </w:p>
    <w:p w14:paraId="36DD17F6" w14:textId="77777777" w:rsidR="00DF410E" w:rsidRDefault="00CE7F43">
      <w:pPr>
        <w:jc w:val="both"/>
      </w:pPr>
      <w:r>
        <w:rPr>
          <w:b/>
        </w:rPr>
        <w:t>(soit par défaut)</w:t>
      </w:r>
    </w:p>
    <w:p w14:paraId="5AED120E" w14:textId="77777777" w:rsidR="00DF410E" w:rsidRDefault="00CE7F43">
      <w:pPr>
        <w:jc w:val="both"/>
      </w:pPr>
      <w:r>
        <w:rPr>
          <w:rStyle w:val="soitChar"/>
          <w:u w:val="single"/>
        </w:rPr>
        <w:t>Pas de finition :</w:t>
      </w:r>
      <w:r>
        <w:rPr>
          <w:rStyle w:val="soitChar"/>
        </w:rPr>
        <w:t xml:space="preserve"> pas d’application</w:t>
      </w:r>
    </w:p>
    <w:p w14:paraId="53DA8D2F" w14:textId="77777777" w:rsidR="00DF410E" w:rsidRDefault="00CE7F43">
      <w:pPr>
        <w:jc w:val="both"/>
      </w:pPr>
      <w:r>
        <w:rPr>
          <w:b/>
        </w:rPr>
        <w:t>(soit)</w:t>
      </w:r>
    </w:p>
    <w:p w14:paraId="026725B6" w14:textId="77777777" w:rsidR="00DF410E" w:rsidRDefault="00CE7F43">
      <w:pPr>
        <w:jc w:val="both"/>
      </w:pPr>
      <w:r>
        <w:rPr>
          <w:rStyle w:val="soitChar"/>
          <w:u w:val="single"/>
        </w:rPr>
        <w:t>Peint :</w:t>
      </w:r>
    </w:p>
    <w:p w14:paraId="4A1E5E3B" w14:textId="77777777" w:rsidR="00DF410E" w:rsidRDefault="00CE7F43">
      <w:pPr>
        <w:jc w:val="both"/>
      </w:pPr>
      <w:r>
        <w:rPr>
          <w:rStyle w:val="soitChar"/>
        </w:rPr>
        <w:t xml:space="preserve">Conformément aux prescriptions du </w:t>
      </w:r>
      <w:hyperlink r:id="rId83" w:history="1" w:docLocation="509">
        <w:r>
          <w:rPr>
            <w:rStyle w:val="soitChar"/>
          </w:rPr>
          <w:t>81.33 Finitions / décorations des métaux ferreux et non ferreux</w:t>
        </w:r>
      </w:hyperlink>
      <w:r>
        <w:rPr>
          <w:rStyle w:val="soitChar"/>
        </w:rPr>
        <w:t xml:space="preserve"> ou </w:t>
      </w:r>
      <w:hyperlink r:id="rId84" w:history="1" w:docLocation="510">
        <w:r>
          <w:rPr>
            <w:rStyle w:val="soitChar"/>
          </w:rPr>
          <w:t>82.33 Finitions / décorations des métaux ferreux et non ferreux</w:t>
        </w:r>
      </w:hyperlink>
      <w:r>
        <w:rPr>
          <w:rStyle w:val="soitChar"/>
        </w:rPr>
        <w:t> et articles qui en découlent.</w:t>
      </w:r>
    </w:p>
    <w:p w14:paraId="0A11D03C" w14:textId="77777777" w:rsidR="00DF410E" w:rsidRDefault="00CE7F43">
      <w:pPr>
        <w:jc w:val="both"/>
      </w:pPr>
      <w:r>
        <w:rPr>
          <w:b/>
        </w:rPr>
        <w:t>(soit)</w:t>
      </w:r>
    </w:p>
    <w:p w14:paraId="686E4D42" w14:textId="77777777" w:rsidR="00DF410E" w:rsidRDefault="00CE7F43">
      <w:pPr>
        <w:jc w:val="both"/>
      </w:pPr>
      <w:r>
        <w:rPr>
          <w:rStyle w:val="soitChar"/>
          <w:u w:val="single"/>
        </w:rPr>
        <w:t>Brut (verni) :</w:t>
      </w:r>
    </w:p>
    <w:p w14:paraId="6A96D768" w14:textId="77777777" w:rsidR="00DF410E" w:rsidRDefault="00CE7F43">
      <w:pPr>
        <w:jc w:val="both"/>
      </w:pPr>
      <w:r>
        <w:rPr>
          <w:rStyle w:val="soitChar"/>
        </w:rPr>
        <w:t xml:space="preserve">L’acier est protégé à l’aide d’un verni incolore à base </w:t>
      </w:r>
      <w:r>
        <w:rPr>
          <w:rStyle w:val="optioncarChar"/>
        </w:rPr>
        <w:t>de résine glycérophtalique</w:t>
      </w:r>
      <w:r>
        <w:t xml:space="preserve"> (par défaut) </w:t>
      </w:r>
      <w:r>
        <w:rPr>
          <w:rStyle w:val="optioncarChar"/>
        </w:rPr>
        <w:t>/ ***</w:t>
      </w:r>
      <w:r>
        <w:rPr>
          <w:rStyle w:val="soitChar"/>
        </w:rPr>
        <w:t>.</w:t>
      </w:r>
    </w:p>
    <w:p w14:paraId="37D2A957" w14:textId="77777777" w:rsidR="00DF410E" w:rsidRDefault="00CE7F43">
      <w:pPr>
        <w:jc w:val="both"/>
      </w:pPr>
      <w:r>
        <w:rPr>
          <w:rStyle w:val="soitChar"/>
        </w:rPr>
        <w:t xml:space="preserve">Conformément aux prescriptions du </w:t>
      </w:r>
      <w:hyperlink r:id="rId85" w:history="1" w:docLocation="509">
        <w:r>
          <w:rPr>
            <w:rStyle w:val="soitChar"/>
          </w:rPr>
          <w:t>81.33 Finitions / décorations des métaux ferreux et non ferreux</w:t>
        </w:r>
      </w:hyperlink>
      <w:r>
        <w:rPr>
          <w:rStyle w:val="soitChar"/>
        </w:rPr>
        <w:t xml:space="preserve"> ou du </w:t>
      </w:r>
      <w:hyperlink r:id="rId86" w:history="1" w:docLocation="510">
        <w:r>
          <w:rPr>
            <w:rStyle w:val="soitChar"/>
          </w:rPr>
          <w:t>82.33 Finitions / décorations des métaux ferreux et non ferreux</w:t>
        </w:r>
      </w:hyperlink>
      <w:r>
        <w:rPr>
          <w:rStyle w:val="soitChar"/>
        </w:rPr>
        <w:t>, et articles qui en découlent.</w:t>
      </w:r>
    </w:p>
    <w:p w14:paraId="27B75269" w14:textId="77777777" w:rsidR="00DF410E" w:rsidRDefault="00CE7F43">
      <w:pPr>
        <w:jc w:val="both"/>
      </w:pPr>
      <w:r>
        <w:rPr>
          <w:b/>
        </w:rPr>
        <w:t>Tôles en acier</w:t>
      </w:r>
    </w:p>
    <w:p w14:paraId="3EE15DE3" w14:textId="77777777" w:rsidR="00DF410E" w:rsidRDefault="00CE7F43">
      <w:pPr>
        <w:jc w:val="both"/>
      </w:pPr>
      <w:r>
        <w:t xml:space="preserve">Finition des tôles en acier : </w:t>
      </w:r>
      <w:r>
        <w:rPr>
          <w:rStyle w:val="optioncarChar"/>
        </w:rPr>
        <w:t>pas de finition</w:t>
      </w:r>
      <w:r>
        <w:t xml:space="preserve"> (par défaut)</w:t>
      </w:r>
      <w:r>
        <w:rPr>
          <w:rStyle w:val="optioncarChar"/>
        </w:rPr>
        <w:t xml:space="preserve"> / peint / brut (verni)</w:t>
      </w:r>
      <w:r>
        <w:t>.</w:t>
      </w:r>
    </w:p>
    <w:p w14:paraId="66DB9BD6" w14:textId="77777777" w:rsidR="00DF410E" w:rsidRDefault="00CE7F43">
      <w:pPr>
        <w:jc w:val="both"/>
      </w:pPr>
      <w:r>
        <w:rPr>
          <w:b/>
        </w:rPr>
        <w:t>(soit par défaut)</w:t>
      </w:r>
    </w:p>
    <w:p w14:paraId="11F660CC" w14:textId="77777777" w:rsidR="00DF410E" w:rsidRDefault="00CE7F43">
      <w:pPr>
        <w:jc w:val="both"/>
      </w:pPr>
      <w:r>
        <w:rPr>
          <w:rStyle w:val="soitChar"/>
          <w:u w:val="single"/>
        </w:rPr>
        <w:t>Pas de finition :</w:t>
      </w:r>
      <w:r>
        <w:rPr>
          <w:rStyle w:val="soitChar"/>
        </w:rPr>
        <w:t xml:space="preserve"> pas d'application</w:t>
      </w:r>
    </w:p>
    <w:p w14:paraId="33EC35D8" w14:textId="77777777" w:rsidR="00DF410E" w:rsidRDefault="00CE7F43">
      <w:pPr>
        <w:jc w:val="both"/>
      </w:pPr>
      <w:r>
        <w:rPr>
          <w:b/>
        </w:rPr>
        <w:t>(soit)</w:t>
      </w:r>
    </w:p>
    <w:p w14:paraId="07DA811B" w14:textId="77777777" w:rsidR="00DF410E" w:rsidRDefault="00CE7F43">
      <w:pPr>
        <w:jc w:val="both"/>
      </w:pPr>
      <w:r>
        <w:rPr>
          <w:rStyle w:val="soitChar"/>
          <w:u w:val="single"/>
        </w:rPr>
        <w:t>Peint :</w:t>
      </w:r>
    </w:p>
    <w:p w14:paraId="64978FEB" w14:textId="77777777" w:rsidR="00DF410E" w:rsidRDefault="00CE7F43">
      <w:pPr>
        <w:jc w:val="both"/>
      </w:pPr>
      <w:r>
        <w:rPr>
          <w:rStyle w:val="soitChar"/>
        </w:rPr>
        <w:t xml:space="preserve">Conformément aux prescriptions du </w:t>
      </w:r>
      <w:hyperlink r:id="rId87" w:history="1" w:docLocation="509">
        <w:r>
          <w:rPr>
            <w:rStyle w:val="soitChar"/>
          </w:rPr>
          <w:t>81.33 Finitions / décorations des métaux ferreux et non ferreux</w:t>
        </w:r>
      </w:hyperlink>
      <w:r>
        <w:rPr>
          <w:rStyle w:val="soitChar"/>
        </w:rPr>
        <w:t xml:space="preserve"> ou </w:t>
      </w:r>
      <w:hyperlink r:id="rId88" w:history="1" w:docLocation="510">
        <w:r>
          <w:rPr>
            <w:rStyle w:val="soitChar"/>
          </w:rPr>
          <w:t>82.33 Finitions / décorations des métaux ferreux et non ferreux</w:t>
        </w:r>
      </w:hyperlink>
      <w:r>
        <w:rPr>
          <w:rStyle w:val="soitChar"/>
        </w:rPr>
        <w:t xml:space="preserve"> et articles qui en découlent.</w:t>
      </w:r>
    </w:p>
    <w:p w14:paraId="25792388" w14:textId="77777777" w:rsidR="00DF410E" w:rsidRDefault="00CE7F43">
      <w:pPr>
        <w:jc w:val="both"/>
      </w:pPr>
      <w:r>
        <w:rPr>
          <w:b/>
        </w:rPr>
        <w:t>(soit)</w:t>
      </w:r>
    </w:p>
    <w:p w14:paraId="3354E73B" w14:textId="77777777" w:rsidR="00DF410E" w:rsidRDefault="00CE7F43">
      <w:pPr>
        <w:jc w:val="both"/>
      </w:pPr>
      <w:r>
        <w:rPr>
          <w:rStyle w:val="soitChar"/>
          <w:u w:val="single"/>
        </w:rPr>
        <w:t>Brut (verni) :</w:t>
      </w:r>
    </w:p>
    <w:p w14:paraId="5B379F91" w14:textId="77777777" w:rsidR="00DF410E" w:rsidRDefault="00CE7F43">
      <w:pPr>
        <w:jc w:val="both"/>
      </w:pPr>
      <w:r>
        <w:rPr>
          <w:rStyle w:val="soitChar"/>
        </w:rPr>
        <w:t xml:space="preserve">L’acier est protégé à l’aide d’un verni incolore à base de </w:t>
      </w:r>
      <w:r>
        <w:rPr>
          <w:rStyle w:val="optioncarChar"/>
        </w:rPr>
        <w:t xml:space="preserve">résine glycérophtalique </w:t>
      </w:r>
      <w:r>
        <w:t>(par défaut)</w:t>
      </w:r>
      <w:r>
        <w:rPr>
          <w:rStyle w:val="optioncarChar"/>
        </w:rPr>
        <w:t xml:space="preserve"> / ***</w:t>
      </w:r>
      <w:r>
        <w:rPr>
          <w:rStyle w:val="soitChar"/>
        </w:rPr>
        <w:t>.</w:t>
      </w:r>
    </w:p>
    <w:p w14:paraId="7FF17568" w14:textId="77777777" w:rsidR="00DF410E" w:rsidRDefault="00CE7F43">
      <w:pPr>
        <w:jc w:val="both"/>
      </w:pPr>
      <w:r>
        <w:rPr>
          <w:rStyle w:val="soitChar"/>
        </w:rPr>
        <w:t xml:space="preserve">Conformément aux prescriptions du </w:t>
      </w:r>
      <w:hyperlink r:id="rId89" w:history="1" w:docLocation="509">
        <w:r>
          <w:rPr>
            <w:rStyle w:val="soitChar"/>
          </w:rPr>
          <w:t>81.33 Finitions / décorations des métaux ferreux et non ferreux</w:t>
        </w:r>
      </w:hyperlink>
      <w:r>
        <w:rPr>
          <w:rStyle w:val="soitChar"/>
        </w:rPr>
        <w:t xml:space="preserve"> ou du </w:t>
      </w:r>
      <w:hyperlink r:id="rId90" w:history="1" w:docLocation="510">
        <w:r>
          <w:rPr>
            <w:rStyle w:val="soitChar"/>
          </w:rPr>
          <w:t>82.33 Finitions / décorations des métaux ferreux et non ferreux</w:t>
        </w:r>
      </w:hyperlink>
      <w:r>
        <w:rPr>
          <w:rStyle w:val="soitChar"/>
        </w:rPr>
        <w:t>, et articles qui en découlent.</w:t>
      </w:r>
    </w:p>
    <w:p w14:paraId="6D322106" w14:textId="77777777" w:rsidR="00DF410E" w:rsidRDefault="00CE7F43">
      <w:pPr>
        <w:jc w:val="both"/>
      </w:pPr>
      <w:r>
        <w:rPr>
          <w:b/>
        </w:rPr>
        <w:t>Résistance au feu</w:t>
      </w:r>
    </w:p>
    <w:p w14:paraId="3729C1F7" w14:textId="77777777" w:rsidR="00DF410E" w:rsidRDefault="00CE7F43">
      <w:pPr>
        <w:jc w:val="both"/>
      </w:pPr>
      <w:r>
        <w:t xml:space="preserve">La résistance au feu prescrite des profilés est atteinte à l’aide : </w:t>
      </w:r>
      <w:r>
        <w:rPr>
          <w:rStyle w:val="optioncarChar"/>
        </w:rPr>
        <w:t xml:space="preserve">d’une peinture intumescente </w:t>
      </w:r>
      <w:r>
        <w:t>(par défaut)</w:t>
      </w:r>
      <w:r>
        <w:rPr>
          <w:rStyle w:val="optioncarChar"/>
        </w:rPr>
        <w:t xml:space="preserve"> / par emballage / par flocage fibreux / par flocage pâteux / sans traitement particulier</w:t>
      </w:r>
      <w:r>
        <w:t>.</w:t>
      </w:r>
    </w:p>
    <w:p w14:paraId="5802F207" w14:textId="77777777" w:rsidR="00DF410E" w:rsidRDefault="00CE7F43">
      <w:pPr>
        <w:jc w:val="both"/>
      </w:pPr>
      <w:r>
        <w:rPr>
          <w:b/>
        </w:rPr>
        <w:t>(soit par défaut)</w:t>
      </w:r>
    </w:p>
    <w:p w14:paraId="040BD375" w14:textId="77777777" w:rsidR="00DF410E" w:rsidRDefault="00CE7F43">
      <w:pPr>
        <w:jc w:val="both"/>
      </w:pPr>
      <w:r>
        <w:rPr>
          <w:rStyle w:val="soitChar"/>
          <w:u w:val="single"/>
        </w:rPr>
        <w:t>Peinture intumescente :</w:t>
      </w:r>
    </w:p>
    <w:p w14:paraId="54BBEBF8" w14:textId="77777777" w:rsidR="00DF410E" w:rsidRDefault="00CE7F43">
      <w:pPr>
        <w:jc w:val="both"/>
      </w:pPr>
      <w:r>
        <w:rPr>
          <w:rStyle w:val="soitChar"/>
        </w:rPr>
        <w:t xml:space="preserve">Conformément aux prescriptions du </w:t>
      </w:r>
      <w:hyperlink r:id="rId91" w:history="1" w:docLocation="511">
        <w:r>
          <w:rPr>
            <w:rStyle w:val="soitChar"/>
          </w:rPr>
          <w:t>81.34.1b Peintures intérieures intumescentes sur supports métalliques ferreux et non ferreux</w:t>
        </w:r>
      </w:hyperlink>
      <w:r>
        <w:rPr>
          <w:rStyle w:val="soitChar"/>
        </w:rPr>
        <w:t>.</w:t>
      </w:r>
    </w:p>
    <w:p w14:paraId="48587956" w14:textId="77777777" w:rsidR="00DF410E" w:rsidRDefault="00CE7F43">
      <w:pPr>
        <w:jc w:val="both"/>
      </w:pPr>
      <w:r>
        <w:rPr>
          <w:b/>
        </w:rPr>
        <w:t>(soit)</w:t>
      </w:r>
    </w:p>
    <w:p w14:paraId="0533B5D5" w14:textId="77777777" w:rsidR="00DF410E" w:rsidRDefault="00CE7F43">
      <w:pPr>
        <w:jc w:val="both"/>
      </w:pPr>
      <w:r>
        <w:rPr>
          <w:rStyle w:val="soitChar"/>
          <w:u w:val="single"/>
        </w:rPr>
        <w:t>Emballage :</w:t>
      </w:r>
    </w:p>
    <w:p w14:paraId="2BD35AD6" w14:textId="77777777" w:rsidR="00DF410E" w:rsidRDefault="00CE7F43">
      <w:pPr>
        <w:jc w:val="both"/>
      </w:pPr>
      <w:r>
        <w:rPr>
          <w:rStyle w:val="soitChar"/>
        </w:rPr>
        <w:t xml:space="preserve">Conformément aux prescriptions du </w:t>
      </w:r>
      <w:hyperlink r:id="rId92" w:history="1" w:docLocation="512">
        <w:r>
          <w:rPr>
            <w:rStyle w:val="soitChar"/>
          </w:rPr>
          <w:t>83.34.1a Doublage en plaques</w:t>
        </w:r>
      </w:hyperlink>
      <w:r>
        <w:rPr>
          <w:rStyle w:val="soitChar"/>
        </w:rPr>
        <w:t>.</w:t>
      </w:r>
    </w:p>
    <w:p w14:paraId="66508EE5" w14:textId="77777777" w:rsidR="00DF410E" w:rsidRDefault="00CE7F43">
      <w:pPr>
        <w:jc w:val="both"/>
      </w:pPr>
      <w:r>
        <w:rPr>
          <w:b/>
        </w:rPr>
        <w:t>(soit)</w:t>
      </w:r>
    </w:p>
    <w:p w14:paraId="3B86C826" w14:textId="77777777" w:rsidR="00DF410E" w:rsidRDefault="00CE7F43">
      <w:pPr>
        <w:jc w:val="both"/>
      </w:pPr>
      <w:r>
        <w:rPr>
          <w:rStyle w:val="soitChar"/>
          <w:u w:val="single"/>
        </w:rPr>
        <w:t>Flocage fibreux :</w:t>
      </w:r>
    </w:p>
    <w:p w14:paraId="3CB9354B" w14:textId="77777777" w:rsidR="00DF410E" w:rsidRDefault="00CE7F43">
      <w:pPr>
        <w:jc w:val="both"/>
      </w:pPr>
      <w:r>
        <w:rPr>
          <w:rStyle w:val="soitChar"/>
        </w:rPr>
        <w:t>Composé essentiellement de laine minérale, de liants minéraux inorganiques additionnés d’adjuvants spécifiques hydrauliques et synthétiques, non combustibles.</w:t>
      </w:r>
    </w:p>
    <w:p w14:paraId="283E4FC5" w14:textId="77777777" w:rsidR="00DF410E" w:rsidRDefault="00CE7F43">
      <w:pPr>
        <w:jc w:val="both"/>
      </w:pPr>
      <w:r>
        <w:rPr>
          <w:rStyle w:val="soitChar"/>
        </w:rPr>
        <w:t>Le produit est exempt d’amiante, de silice cristallisée, ou de tout autre produit nocif ou toxique.</w:t>
      </w:r>
    </w:p>
    <w:p w14:paraId="79870404" w14:textId="77777777" w:rsidR="00DF410E" w:rsidRDefault="00CE7F43">
      <w:pPr>
        <w:jc w:val="both"/>
      </w:pPr>
      <w:r>
        <w:rPr>
          <w:rStyle w:val="soitChar"/>
        </w:rPr>
        <w:t>Le flocage est appliqué mécaniquement à l’aide de machines à projeter qui respectent la granulométrie et la masse volumique des produits.</w:t>
      </w:r>
    </w:p>
    <w:p w14:paraId="4BB20A49" w14:textId="77777777" w:rsidR="00DF410E" w:rsidRDefault="00CE7F43">
      <w:pPr>
        <w:jc w:val="both"/>
      </w:pPr>
      <w:r>
        <w:rPr>
          <w:b/>
        </w:rPr>
        <w:t>(soit)</w:t>
      </w:r>
    </w:p>
    <w:p w14:paraId="08415DAD" w14:textId="77777777" w:rsidR="00DF410E" w:rsidRDefault="00CE7F43">
      <w:pPr>
        <w:jc w:val="both"/>
      </w:pPr>
      <w:r>
        <w:rPr>
          <w:rStyle w:val="soitChar"/>
          <w:u w:val="single"/>
        </w:rPr>
        <w:t>Flocage pâteux :</w:t>
      </w:r>
    </w:p>
    <w:p w14:paraId="4EB37071" w14:textId="77777777" w:rsidR="00DF410E" w:rsidRDefault="00CE7F43">
      <w:pPr>
        <w:jc w:val="both"/>
      </w:pPr>
      <w:r>
        <w:rPr>
          <w:rStyle w:val="soitChar"/>
        </w:rPr>
        <w:t>A base de gypse ou vermiculite.</w:t>
      </w:r>
    </w:p>
    <w:p w14:paraId="54ED7A8A" w14:textId="77777777" w:rsidR="00DF410E" w:rsidRDefault="00CE7F43">
      <w:pPr>
        <w:jc w:val="both"/>
      </w:pPr>
      <w:r>
        <w:rPr>
          <w:rStyle w:val="soitChar"/>
        </w:rPr>
        <w:t>Le produit est exempt d’amiante, de silice cristallisée, ou de tout autre produit nocif ou toxique.</w:t>
      </w:r>
    </w:p>
    <w:p w14:paraId="3582D1A8" w14:textId="77777777" w:rsidR="00DF410E" w:rsidRDefault="00CE7F43">
      <w:pPr>
        <w:jc w:val="both"/>
      </w:pPr>
      <w:r>
        <w:rPr>
          <w:rStyle w:val="soitChar"/>
        </w:rPr>
        <w:t>Le flocage est appliqué mécaniquement à l’aide de machines à projeter qui respectent la granulométrie et la masse volumique des produits.</w:t>
      </w:r>
    </w:p>
    <w:p w14:paraId="76B1E57B" w14:textId="77777777" w:rsidR="00DF410E" w:rsidRDefault="00CE7F43">
      <w:pPr>
        <w:jc w:val="both"/>
      </w:pPr>
      <w:r>
        <w:rPr>
          <w:b/>
        </w:rPr>
        <w:t>(soit)</w:t>
      </w:r>
    </w:p>
    <w:p w14:paraId="21BD9C84" w14:textId="77777777" w:rsidR="00DF410E" w:rsidRDefault="00CE7F43">
      <w:pPr>
        <w:jc w:val="both"/>
      </w:pPr>
      <w:r>
        <w:rPr>
          <w:rStyle w:val="soitChar"/>
          <w:u w:val="single"/>
        </w:rPr>
        <w:t>Sans traitement particulier :</w:t>
      </w:r>
    </w:p>
    <w:p w14:paraId="022A3F1C" w14:textId="77777777" w:rsidR="00DF410E" w:rsidRDefault="00CE7F43">
      <w:pPr>
        <w:jc w:val="both"/>
      </w:pPr>
      <w:r>
        <w:rPr>
          <w:rStyle w:val="soitChar"/>
        </w:rPr>
        <w:t>La résistance au feu est démontrée par test au feu selon la [NBN EN 13501-2] ou par calcul selon les Eurocodes conformément à l’[AM 2013-05-17].</w:t>
      </w:r>
    </w:p>
    <w:p w14:paraId="29C3CFC4" w14:textId="77777777" w:rsidR="00DF410E" w:rsidRDefault="00CE7F43">
      <w:pPr>
        <w:pStyle w:val="pheading"/>
      </w:pPr>
      <w:r>
        <w:t>EXÉCUTION / MISE EN ŒUVRE</w:t>
      </w:r>
    </w:p>
    <w:p w14:paraId="58066DB1" w14:textId="77777777" w:rsidR="00DF410E" w:rsidRDefault="00CE7F43">
      <w:pPr>
        <w:pStyle w:val="pheading"/>
      </w:pPr>
      <w:r>
        <w:t>- Prescriptions générales</w:t>
      </w:r>
    </w:p>
    <w:p w14:paraId="09AB07D4" w14:textId="77777777" w:rsidR="00DF410E" w:rsidRDefault="00CE7F43">
      <w:pPr>
        <w:jc w:val="both"/>
      </w:pPr>
      <w:r>
        <w:rPr>
          <w:b/>
        </w:rPr>
        <w:t>Transport et entreposage</w:t>
      </w:r>
    </w:p>
    <w:p w14:paraId="01581268" w14:textId="77777777" w:rsidR="00DF410E" w:rsidRDefault="00CE7F43">
      <w:pPr>
        <w:jc w:val="both"/>
      </w:pPr>
      <w:r>
        <w:t>Les profilés et les tôles sont stockés à l’abri des influences atmosphériques.</w:t>
      </w:r>
    </w:p>
    <w:p w14:paraId="2AC6D0B6" w14:textId="77777777" w:rsidR="00DF410E" w:rsidRDefault="00CE7F43">
      <w:pPr>
        <w:jc w:val="both"/>
      </w:pPr>
      <w:r>
        <w:t>Les colis, superposés à l’aide de cales, reposent sur un plan dur et sain. Ils sont, en outre, de longueur comparable afin de permettre une superposition correcte des cadres en bois et d’éviter une localisation de contrainte importante, surtout lors du transport.</w:t>
      </w:r>
    </w:p>
    <w:p w14:paraId="2841A10C" w14:textId="77777777" w:rsidR="00DF410E" w:rsidRDefault="00CE7F43">
      <w:pPr>
        <w:jc w:val="both"/>
      </w:pPr>
      <w:r>
        <w:t>Les tôles sont protégées de toute stagnation ou condensation d’eau. Une bonne ventilation des colis évite la formation de rouille blanche.</w:t>
      </w:r>
    </w:p>
    <w:p w14:paraId="78CC20E9" w14:textId="77777777" w:rsidR="00DF410E" w:rsidRDefault="00CE7F43">
      <w:pPr>
        <w:jc w:val="both"/>
      </w:pPr>
      <w:r>
        <w:rPr>
          <w:b/>
        </w:rPr>
        <w:t>Dimensionnement</w:t>
      </w:r>
    </w:p>
    <w:p w14:paraId="4A178125" w14:textId="77777777" w:rsidR="00DF410E" w:rsidRDefault="00CE7F43">
      <w:pPr>
        <w:jc w:val="both"/>
      </w:pPr>
      <w:r>
        <w:t xml:space="preserve">Le dimensionnement des planchers mixtes est déterminé d’après l’étude de stabilité </w:t>
      </w:r>
      <w:r>
        <w:rPr>
          <w:rStyle w:val="optioncarChar"/>
        </w:rPr>
        <w:t>annexée aux documents du marché / à charge de l’entrepreneur.</w:t>
      </w:r>
    </w:p>
    <w:p w14:paraId="02C2394B" w14:textId="77777777" w:rsidR="00DF410E" w:rsidRDefault="00CE7F43">
      <w:pPr>
        <w:pStyle w:val="Author-eListParagraph"/>
        <w:numPr>
          <w:ilvl w:val="0"/>
          <w:numId w:val="564"/>
        </w:numPr>
        <w:jc w:val="both"/>
      </w:pPr>
      <w:r>
        <w:t xml:space="preserve">Le plancher mixte est calculé pour une surcharge d’exploitation particulière de </w:t>
      </w:r>
      <w:r>
        <w:rPr>
          <w:rStyle w:val="optioncarChar"/>
        </w:rPr>
        <w:t>3</w:t>
      </w:r>
      <w:r>
        <w:t xml:space="preserve"> (par défaut</w:t>
      </w:r>
      <w:r>
        <w:rPr>
          <w:rStyle w:val="optioncarChar"/>
        </w:rPr>
        <w:t>) / 4 / 5 / ***</w:t>
      </w:r>
      <w:r>
        <w:t xml:space="preserve"> KN/m² comme spécifié dans la [NBN EN 1991-1-1 ANB].</w:t>
      </w:r>
    </w:p>
    <w:p w14:paraId="701CA558" w14:textId="77777777" w:rsidR="00DF410E" w:rsidRDefault="00CE7F43">
      <w:pPr>
        <w:pStyle w:val="Author-eListParagraph"/>
        <w:numPr>
          <w:ilvl w:val="0"/>
          <w:numId w:val="564"/>
        </w:numPr>
        <w:jc w:val="both"/>
      </w:pPr>
      <w:r>
        <w:t xml:space="preserve">En fonction de la surcharge d’exploitation prévue, la flèche ne peut dépasser </w:t>
      </w:r>
      <w:r>
        <w:rPr>
          <w:rStyle w:val="optioncarChar"/>
        </w:rPr>
        <w:t xml:space="preserve">1/500 </w:t>
      </w:r>
      <w:r>
        <w:t>(par défaut)</w:t>
      </w:r>
      <w:r>
        <w:rPr>
          <w:rStyle w:val="optioncarChar"/>
        </w:rPr>
        <w:t xml:space="preserve"> / 1/700</w:t>
      </w:r>
      <w:r>
        <w:t xml:space="preserve"> de la portée conforme aux spécifications de la [NBN B 21-605+A1].</w:t>
      </w:r>
    </w:p>
    <w:p w14:paraId="16001C88" w14:textId="77777777" w:rsidR="00DF410E" w:rsidRDefault="00CE7F43">
      <w:pPr>
        <w:jc w:val="both"/>
      </w:pPr>
      <w:r>
        <w:t>Les faces supérieures et inférieures du plancher mixte correspondent aux cotes de niveau et à l'épaisseur de plancher indiquée sur les plans.</w:t>
      </w:r>
    </w:p>
    <w:p w14:paraId="1D5345AE" w14:textId="77777777" w:rsidR="00DF410E" w:rsidRDefault="00CE7F43">
      <w:pPr>
        <w:jc w:val="both"/>
      </w:pPr>
      <w:r>
        <w:rPr>
          <w:b/>
        </w:rPr>
        <w:t>Mise en œuvre des profilés</w:t>
      </w:r>
    </w:p>
    <w:p w14:paraId="1EA4E780" w14:textId="77777777" w:rsidR="00DF410E" w:rsidRDefault="00CE7F43">
      <w:pPr>
        <w:jc w:val="both"/>
      </w:pPr>
      <w:r>
        <w:t>Les appuis des profilés sont uniformes et compatibles avec le support. Les longueurs d’appui sont proportionnées à la portée, aux charges et au type de support suivant l’étude de stabilité.</w:t>
      </w:r>
    </w:p>
    <w:p w14:paraId="3751D153" w14:textId="77777777" w:rsidR="00DF410E" w:rsidRDefault="00CE7F43">
      <w:pPr>
        <w:pStyle w:val="Author-eListParagraph"/>
        <w:numPr>
          <w:ilvl w:val="0"/>
          <w:numId w:val="565"/>
        </w:numPr>
      </w:pPr>
      <w:r>
        <w:t xml:space="preserve">Longueur d’appui minimum à chaque extrémité des poutres : </w:t>
      </w:r>
      <w:r>
        <w:rPr>
          <w:rStyle w:val="optioncarChar"/>
        </w:rPr>
        <w:t>20</w:t>
      </w:r>
      <w:r>
        <w:t xml:space="preserve"> (par défaut)</w:t>
      </w:r>
      <w:r>
        <w:rPr>
          <w:rStyle w:val="optioncarChar"/>
        </w:rPr>
        <w:t xml:space="preserve"> / ***</w:t>
      </w:r>
      <w:r>
        <w:t xml:space="preserve"> cm.</w:t>
      </w:r>
    </w:p>
    <w:p w14:paraId="58D81CFD" w14:textId="77777777" w:rsidR="00DF410E" w:rsidRDefault="00CE7F43">
      <w:pPr>
        <w:jc w:val="both"/>
      </w:pPr>
      <w:r>
        <w:t xml:space="preserve">Les asselets éventuellement nécessaires à la bonne répartition des charges sont prévus dans l’étude de stabilité et comptés au </w:t>
      </w:r>
      <w:hyperlink w:anchor="497" w:history="1">
        <w:r>
          <w:t>22.42 Pièces d'appui en béton</w:t>
        </w:r>
      </w:hyperlink>
      <w:r>
        <w:t xml:space="preserve"> et aux articles qui en découlent.</w:t>
      </w:r>
    </w:p>
    <w:p w14:paraId="75DD0CD2" w14:textId="77777777" w:rsidR="00DF410E" w:rsidRDefault="00CE7F43">
      <w:pPr>
        <w:jc w:val="both"/>
      </w:pPr>
      <w:r>
        <w:rPr>
          <w:b/>
        </w:rPr>
        <w:t>Mise en œuvre des tôles</w:t>
      </w:r>
    </w:p>
    <w:p w14:paraId="3C41B83E" w14:textId="77777777" w:rsidR="00DF410E" w:rsidRDefault="00CE7F43">
      <w:pPr>
        <w:jc w:val="both"/>
      </w:pPr>
      <w:r>
        <w:t>Les tôles sont posées dans le sens et de la façon indiquée par l’étude de stabilité.</w:t>
      </w:r>
    </w:p>
    <w:p w14:paraId="4046085A" w14:textId="77777777" w:rsidR="00DF410E" w:rsidRDefault="00CE7F43">
      <w:pPr>
        <w:jc w:val="both"/>
      </w:pPr>
      <w:r>
        <w:t>La longueur d’appui, les ouvertures en bord de dalle, les trous de forage et percements quelconques sont obturés.</w:t>
      </w:r>
    </w:p>
    <w:p w14:paraId="59BB38C3" w14:textId="77777777" w:rsidR="00DF410E" w:rsidRDefault="00CE7F43">
      <w:pPr>
        <w:jc w:val="both"/>
      </w:pPr>
      <w:r>
        <w:t>Les appuis sont réalisés sur</w:t>
      </w:r>
      <w:r>
        <w:rPr>
          <w:rStyle w:val="optioncarChar"/>
        </w:rPr>
        <w:t xml:space="preserve"> support béton / support métallique avec goujons / support métallique avec équerre</w:t>
      </w:r>
      <w:r>
        <w:t>.</w:t>
      </w:r>
    </w:p>
    <w:p w14:paraId="7E7D8965" w14:textId="77777777" w:rsidR="00DF410E" w:rsidRDefault="00CE7F43">
      <w:pPr>
        <w:jc w:val="both"/>
      </w:pPr>
      <w:r>
        <w:rPr>
          <w:b/>
        </w:rPr>
        <w:t>(soit par défaut)</w:t>
      </w:r>
    </w:p>
    <w:p w14:paraId="310CF1DC" w14:textId="77777777" w:rsidR="00DF410E" w:rsidRDefault="00CE7F43">
      <w:pPr>
        <w:jc w:val="both"/>
      </w:pPr>
      <w:r>
        <w:rPr>
          <w:rStyle w:val="soitChar"/>
          <w:u w:val="single"/>
        </w:rPr>
        <w:t>Support béton</w:t>
      </w:r>
      <w:r>
        <w:rPr>
          <w:rStyle w:val="soitChar"/>
        </w:rPr>
        <w:t xml:space="preserve"> avec des étriers dépassants</w:t>
      </w:r>
    </w:p>
    <w:p w14:paraId="58A75CA9" w14:textId="77777777" w:rsidR="00DF410E" w:rsidRDefault="00CE7F43">
      <w:pPr>
        <w:jc w:val="both"/>
      </w:pPr>
      <w:r>
        <w:rPr>
          <w:b/>
        </w:rPr>
        <w:t>(soit)</w:t>
      </w:r>
    </w:p>
    <w:p w14:paraId="279AB422" w14:textId="77777777" w:rsidR="00DF410E" w:rsidRDefault="00CE7F43">
      <w:pPr>
        <w:jc w:val="both"/>
      </w:pPr>
      <w:r>
        <w:rPr>
          <w:rStyle w:val="soitChar"/>
          <w:u w:val="single"/>
        </w:rPr>
        <w:t>Support métallique avec goujons</w:t>
      </w:r>
      <w:r>
        <w:rPr>
          <w:rStyle w:val="soitChar"/>
        </w:rPr>
        <w:t xml:space="preserve"> soudés</w:t>
      </w:r>
    </w:p>
    <w:p w14:paraId="74FD560A" w14:textId="77777777" w:rsidR="00DF410E" w:rsidRDefault="00CE7F43">
      <w:pPr>
        <w:jc w:val="both"/>
      </w:pPr>
      <w:r>
        <w:rPr>
          <w:b/>
        </w:rPr>
        <w:t>(soit)</w:t>
      </w:r>
    </w:p>
    <w:p w14:paraId="35DAA7BB" w14:textId="77777777" w:rsidR="00DF410E" w:rsidRDefault="00CE7F43">
      <w:pPr>
        <w:jc w:val="both"/>
      </w:pPr>
      <w:r>
        <w:rPr>
          <w:rStyle w:val="soitChar"/>
          <w:u w:val="single"/>
        </w:rPr>
        <w:t>Support métallique avec équerre</w:t>
      </w:r>
      <w:r>
        <w:rPr>
          <w:rStyle w:val="soitChar"/>
        </w:rPr>
        <w:t xml:space="preserve"> clouée</w:t>
      </w:r>
    </w:p>
    <w:p w14:paraId="20619291" w14:textId="77777777" w:rsidR="00DF410E" w:rsidRDefault="00CE7F43">
      <w:pPr>
        <w:jc w:val="both"/>
      </w:pPr>
      <w:r>
        <w:t>Pendant l’exécution des planchers, des étais de montage sont placés aux endroits nécessaires suivant les prescriptions de la [NBN EN 1993-1-3] et de façon telle que, lors de la mise en œuvre du plancher, il y ait au centre de la portée une contre-flèche de 1/500 de la portée.</w:t>
      </w:r>
    </w:p>
    <w:p w14:paraId="5A409226" w14:textId="77777777" w:rsidR="00DF410E" w:rsidRDefault="00CE7F43">
      <w:pPr>
        <w:jc w:val="both"/>
      </w:pPr>
      <w:r>
        <w:t>Les enchevêtrures et les renforcements locaux (sous les cloisons, aux trémies d'escaliers, aux balcons, etc…) sont exécutés conformément au plan de pose et/ou aux dessins de détail. Ces éléments se situent dans la hauteur réservée au plancher. Pour ces zones, l'entrepreneur soumet une note de calcul séparée à l’approbation de l'auteur de projet et du bureau d’études en stabilité.</w:t>
      </w:r>
    </w:p>
    <w:p w14:paraId="7A33B4F6" w14:textId="77777777" w:rsidR="00DF410E" w:rsidRDefault="00CE7F43">
      <w:pPr>
        <w:jc w:val="both"/>
      </w:pPr>
      <w:r>
        <w:t>Les enchevêtrures sont calculées et exécutées à l'aide d'éléments de remplissage appropriés ou de poutres transversales munies de barres de suspension, selon les directives données par le fournisseur.</w:t>
      </w:r>
    </w:p>
    <w:p w14:paraId="2CB2368E" w14:textId="77777777" w:rsidR="00DF410E" w:rsidRDefault="00CE7F43">
      <w:pPr>
        <w:jc w:val="both"/>
      </w:pPr>
      <w:r>
        <w:rPr>
          <w:b/>
        </w:rPr>
        <w:t>Mise en œuvre de la dalle en béton</w:t>
      </w:r>
    </w:p>
    <w:p w14:paraId="4BE3C2B9" w14:textId="77777777" w:rsidR="00DF410E" w:rsidRDefault="00CE7F43">
      <w:pPr>
        <w:jc w:val="both"/>
      </w:pPr>
      <w:r>
        <w:t>La dalle de béton est exécutée en une seule fois sur toute l'épaisseur, de façon telle que celle-ci forme un ensemble avec les éléments sous-jacents.</w:t>
      </w:r>
    </w:p>
    <w:p w14:paraId="7BB20493" w14:textId="77777777" w:rsidR="00DF410E" w:rsidRDefault="00CE7F43">
      <w:pPr>
        <w:jc w:val="both"/>
      </w:pPr>
      <w:r>
        <w:t>Avant de couler la dalle, les tôles sont nettoyées.</w:t>
      </w:r>
    </w:p>
    <w:p w14:paraId="776685A4" w14:textId="77777777" w:rsidR="00DF410E" w:rsidRDefault="00CE7F43">
      <w:pPr>
        <w:pStyle w:val="pheading"/>
      </w:pPr>
      <w:r>
        <w:t>DOCUMENTS DE RÉFÉRENCE COMPLÉMENTAIRES</w:t>
      </w:r>
    </w:p>
    <w:p w14:paraId="3321E9BA" w14:textId="77777777" w:rsidR="00DF410E" w:rsidRDefault="00CE7F43">
      <w:pPr>
        <w:pStyle w:val="pheading"/>
      </w:pPr>
      <w:r>
        <w:t>- Matériau</w:t>
      </w:r>
    </w:p>
    <w:p w14:paraId="371055DE" w14:textId="77777777" w:rsidR="00DF410E" w:rsidRDefault="00CE7F43">
      <w:r>
        <w:t>[NBN EN 1994-1-1, Eurocode 4: Calcul des structures mixtes acier-béton - Partie 1-1: Règles générales et règles pour les bâtiments (+ AC:2009)]</w:t>
      </w:r>
    </w:p>
    <w:p w14:paraId="08BB0290" w14:textId="77777777" w:rsidR="00DF410E" w:rsidRDefault="00CE7F43">
      <w:pPr>
        <w:pStyle w:val="pheading"/>
      </w:pPr>
      <w:r>
        <w:t>- Exécution</w:t>
      </w:r>
    </w:p>
    <w:p w14:paraId="095E0AC9" w14:textId="77777777" w:rsidR="00DF410E" w:rsidRDefault="00CE7F43">
      <w:r>
        <w:t>[NIT 236, Conception et exécution des dalles mixtes acier-béton.]</w:t>
      </w:r>
    </w:p>
    <w:p w14:paraId="77D06488" w14:textId="77777777" w:rsidR="00DF410E" w:rsidRDefault="00CE7F43">
      <w:pPr>
        <w:pStyle w:val="pheading"/>
      </w:pPr>
      <w:r>
        <w:t>MESURAGE</w:t>
      </w:r>
    </w:p>
    <w:p w14:paraId="10ADB95C" w14:textId="77777777" w:rsidR="00DF410E" w:rsidRDefault="00CE7F43">
      <w:pPr>
        <w:pStyle w:val="pheading"/>
      </w:pPr>
      <w:r>
        <w:t>- unité de mesure:</w:t>
      </w:r>
    </w:p>
    <w:p w14:paraId="73ACACF3" w14:textId="77777777" w:rsidR="00DF410E" w:rsidRDefault="00CE7F43">
      <w:r>
        <w:t>1.2.3. m²</w:t>
      </w:r>
    </w:p>
    <w:p w14:paraId="4273DEC3" w14:textId="77777777" w:rsidR="00DF410E" w:rsidRDefault="00CE7F43">
      <w:pPr>
        <w:pStyle w:val="pheading"/>
      </w:pPr>
      <w:r>
        <w:t>- code de mesurage:</w:t>
      </w:r>
    </w:p>
    <w:p w14:paraId="7235BBAC" w14:textId="77777777" w:rsidR="00DF410E" w:rsidRDefault="00CE7F43">
      <w:pPr>
        <w:jc w:val="both"/>
      </w:pPr>
      <w:r>
        <w:rPr>
          <w:rStyle w:val="optioncarChar"/>
        </w:rPr>
        <w:t>Surface nette, tout compris</w:t>
      </w:r>
      <w:r>
        <w:t xml:space="preserve"> (par défaut) </w:t>
      </w:r>
      <w:r>
        <w:rPr>
          <w:rStyle w:val="optioncarChar"/>
        </w:rPr>
        <w:t>/ Surface nette, aciers métrés séparément / Surface nette, aciers et coffrages métrés séparément</w:t>
      </w:r>
      <w:r>
        <w:t>.</w:t>
      </w:r>
    </w:p>
    <w:p w14:paraId="126DB7B6" w14:textId="77777777" w:rsidR="00DF410E" w:rsidRDefault="00CE7F43">
      <w:pPr>
        <w:jc w:val="both"/>
      </w:pPr>
      <w:r>
        <w:rPr>
          <w:b/>
        </w:rPr>
        <w:t>(soit par défaut)</w:t>
      </w:r>
    </w:p>
    <w:p w14:paraId="162D8F45" w14:textId="77777777" w:rsidR="00DF410E" w:rsidRDefault="00CE7F43">
      <w:pPr>
        <w:jc w:val="both"/>
      </w:pPr>
      <w:r>
        <w:rPr>
          <w:rStyle w:val="soitChar"/>
        </w:rPr>
        <w:t xml:space="preserve">1. </w:t>
      </w:r>
      <w:r>
        <w:rPr>
          <w:rStyle w:val="soitChar"/>
          <w:u w:val="single"/>
        </w:rPr>
        <w:t>Surface nette tout compris</w:t>
      </w:r>
      <w:r>
        <w:rPr>
          <w:rStyle w:val="soitChar"/>
        </w:rPr>
        <w:t> : surface nette de plancher, y compris le coffrage, les armatures et les profilés.</w:t>
      </w:r>
    </w:p>
    <w:p w14:paraId="6CDE0ED9" w14:textId="77777777" w:rsidR="00DF410E" w:rsidRDefault="00CE7F43">
      <w:pPr>
        <w:jc w:val="both"/>
      </w:pPr>
      <w:r>
        <w:rPr>
          <w:b/>
        </w:rPr>
        <w:t>(soit)</w:t>
      </w:r>
    </w:p>
    <w:p w14:paraId="1DEC914C" w14:textId="77777777" w:rsidR="00DF410E" w:rsidRDefault="00CE7F43">
      <w:pPr>
        <w:jc w:val="both"/>
      </w:pPr>
      <w:r>
        <w:rPr>
          <w:rStyle w:val="soitChar"/>
        </w:rPr>
        <w:t xml:space="preserve">2. </w:t>
      </w:r>
      <w:r>
        <w:rPr>
          <w:rStyle w:val="soitChar"/>
          <w:u w:val="single"/>
        </w:rPr>
        <w:t>Surface nette, aciers métrés séparément</w:t>
      </w:r>
      <w:r>
        <w:rPr>
          <w:rStyle w:val="soitChar"/>
        </w:rPr>
        <w:t xml:space="preserve"> :  surface nette de plancher, y compris le coffrage. Les aciers sont compris et métrés séparément respectivement dans le </w:t>
      </w:r>
      <w:hyperlink w:anchor="490" w:history="1">
        <w:r>
          <w:rPr>
            <w:rStyle w:val="soitChar"/>
          </w:rPr>
          <w:t>23.11.1 Poutres en acier laminées à chaud</w:t>
        </w:r>
      </w:hyperlink>
      <w:r>
        <w:rPr>
          <w:rStyle w:val="soitChar"/>
        </w:rPr>
        <w:t xml:space="preserve"> et le </w:t>
      </w:r>
      <w:hyperlink w:anchor="491" w:history="1">
        <w:r>
          <w:rPr>
            <w:rStyle w:val="soitChar"/>
          </w:rPr>
          <w:t>22.51.1a Barres d'armatures pour béton</w:t>
        </w:r>
      </w:hyperlink>
      <w:r>
        <w:rPr>
          <w:rStyle w:val="soitChar"/>
        </w:rPr>
        <w:t>.</w:t>
      </w:r>
    </w:p>
    <w:p w14:paraId="178ECAD5" w14:textId="77777777" w:rsidR="00DF410E" w:rsidRDefault="00CE7F43">
      <w:pPr>
        <w:jc w:val="both"/>
      </w:pPr>
      <w:r>
        <w:rPr>
          <w:b/>
        </w:rPr>
        <w:t>(soit)</w:t>
      </w:r>
    </w:p>
    <w:p w14:paraId="5C080606" w14:textId="77777777" w:rsidR="00DF410E" w:rsidRDefault="00CE7F43">
      <w:pPr>
        <w:jc w:val="both"/>
      </w:pPr>
      <w:r>
        <w:rPr>
          <w:rStyle w:val="soitChar"/>
        </w:rPr>
        <w:t xml:space="preserve">3. </w:t>
      </w:r>
      <w:r>
        <w:rPr>
          <w:rStyle w:val="soitChar"/>
          <w:u w:val="single"/>
        </w:rPr>
        <w:t>Surface nette, aciers et coffrages métrés séparément</w:t>
      </w:r>
      <w:r>
        <w:rPr>
          <w:rStyle w:val="soitChar"/>
        </w:rPr>
        <w:t xml:space="preserve"> :  surface nette de plancher. Les aciers sont compris et métrés séparément respectivement dans le </w:t>
      </w:r>
      <w:hyperlink w:anchor="490" w:history="1">
        <w:r>
          <w:rPr>
            <w:rStyle w:val="soitChar"/>
          </w:rPr>
          <w:t>23.11.1 Poutres en acier laminées à chaud</w:t>
        </w:r>
      </w:hyperlink>
      <w:r>
        <w:rPr>
          <w:rStyle w:val="soitChar"/>
        </w:rPr>
        <w:t xml:space="preserve"> et le </w:t>
      </w:r>
      <w:hyperlink w:anchor="491" w:history="1">
        <w:r>
          <w:rPr>
            <w:rStyle w:val="soitChar"/>
          </w:rPr>
          <w:t>22.51.1a Barres d'armatures pour béton</w:t>
        </w:r>
      </w:hyperlink>
      <w:r>
        <w:rPr>
          <w:rStyle w:val="soitChar"/>
        </w:rPr>
        <w:t xml:space="preserve">. Les coffrages sont compris et métrés séparément au </w:t>
      </w:r>
      <w:hyperlink w:anchor="234" w:history="1">
        <w:r>
          <w:rPr>
            <w:rStyle w:val="soitChar"/>
          </w:rPr>
          <w:t>22.53 Coffrages</w:t>
        </w:r>
      </w:hyperlink>
      <w:r>
        <w:rPr>
          <w:rStyle w:val="soitChar"/>
        </w:rPr>
        <w:t>.</w:t>
      </w:r>
    </w:p>
    <w:p w14:paraId="3ADBFA4F" w14:textId="77777777" w:rsidR="00DF410E" w:rsidRDefault="00CE7F43">
      <w:pPr>
        <w:jc w:val="both"/>
      </w:pPr>
      <w:r>
        <w:t>La surface est mesurée entre le nu intérieur des murs extérieurs. Il ressort de cette convention que les parties du plancher qui reposent sur les murs extérieurs ne sont pas comptées comme plancher, mais comme maçonnerie. Par contre, les parties couvrant et/ou pénétrant dans les murs intérieurs sont comptées avec le béton sur toute l'épaisseur du mur et sont, par conséquent, déduites de la maçonnerie intérieure. Les vides, percements et feuillures supérieures à 0,50 m² sont déduits.</w:t>
      </w:r>
    </w:p>
    <w:p w14:paraId="241E7248" w14:textId="77777777" w:rsidR="00DF410E" w:rsidRDefault="00CE7F43">
      <w:pPr>
        <w:jc w:val="both"/>
      </w:pPr>
      <w:r>
        <w:t xml:space="preserve">Le traitement au feu est décrit et comptabilisé séparément au </w:t>
      </w:r>
      <w:hyperlink r:id="rId93" w:history="1" w:docLocation="47">
        <w:r>
          <w:t>8 T8 Travaux de peinture / Traitements de surface</w:t>
        </w:r>
      </w:hyperlink>
      <w:r>
        <w:t>, sauf pour le traitement par flocage (fibreux ou pâteux) qui est entièrement décrit et comptabilisé au présent article.</w:t>
      </w:r>
    </w:p>
    <w:p w14:paraId="3F12F5DE" w14:textId="77777777" w:rsidR="00DF410E" w:rsidRDefault="00CE7F43">
      <w:pPr>
        <w:pStyle w:val="pheading"/>
      </w:pPr>
      <w:r>
        <w:t>- nature du marché:</w:t>
      </w:r>
    </w:p>
    <w:p w14:paraId="556F2AF3" w14:textId="77777777" w:rsidR="00DF410E" w:rsidRDefault="00CE7F43">
      <w:r>
        <w:t>1.2.3. QF</w:t>
      </w:r>
    </w:p>
    <w:p w14:paraId="24CF9C4C" w14:textId="77777777" w:rsidR="00DF410E" w:rsidRDefault="00CE7F43">
      <w:pPr>
        <w:pStyle w:val="Author-eSectionHeading6"/>
      </w:pPr>
      <w:bookmarkStart w:id="799" w:name="_Toc178837958"/>
      <w:r>
        <w:t>22.22.2b Planchers mixtes acier-béton avec plaques nervurées en acier CCTB 01.12</w:t>
      </w:r>
      <w:bookmarkEnd w:id="799"/>
    </w:p>
    <w:p w14:paraId="4BABD84A" w14:textId="77777777" w:rsidR="00DF410E" w:rsidRDefault="00CE7F43">
      <w:pPr>
        <w:pStyle w:val="pheading"/>
      </w:pPr>
      <w:bookmarkStart w:id="800" w:name="552"/>
      <w:bookmarkEnd w:id="800"/>
      <w:r>
        <w:t>DESCRIPTION</w:t>
      </w:r>
    </w:p>
    <w:p w14:paraId="1A957011" w14:textId="77777777" w:rsidR="00DF410E" w:rsidRDefault="00CE7F43">
      <w:pPr>
        <w:pStyle w:val="pheading"/>
      </w:pPr>
      <w:r>
        <w:t>- Définition / Comprend</w:t>
      </w:r>
    </w:p>
    <w:p w14:paraId="71F90634" w14:textId="77777777" w:rsidR="00DF410E" w:rsidRDefault="00CE7F43">
      <w:r>
        <w:t>Il s’agit des planchers composés d’une tôle d’acier écrouie à froid recouverte d’une dalle en béton armé. Le système doit être conforme aux normes [NBN EN 1994-1-1] et à la [NIT 236].</w:t>
      </w:r>
    </w:p>
    <w:p w14:paraId="796FE469" w14:textId="77777777" w:rsidR="00DF410E" w:rsidRDefault="00CE7F43">
      <w:pPr>
        <w:pStyle w:val="pheading"/>
      </w:pPr>
      <w:r>
        <w:t>MATÉRIAUX</w:t>
      </w:r>
    </w:p>
    <w:p w14:paraId="549A8329" w14:textId="77777777" w:rsidR="00DF410E" w:rsidRDefault="00CE7F43">
      <w:pPr>
        <w:pStyle w:val="pheading"/>
      </w:pPr>
      <w:r>
        <w:t>- Caractéristiques générales</w:t>
      </w:r>
    </w:p>
    <w:p w14:paraId="46A68ED7" w14:textId="77777777" w:rsidR="00DF410E" w:rsidRDefault="00CE7F43">
      <w:r>
        <w:rPr>
          <w:rStyle w:val="headingChar"/>
        </w:rPr>
        <w:t>Tôles</w:t>
      </w:r>
      <w:r>
        <w:br/>
        <w:t>Les tôles nervurées utilisées sont profilées soit en queue d’aronde, soit sous une forme trapézoïdale, soit en oméga. Elles sont en acier galvanisé. Leur hauteur varie de 40 à 80 mm et leur épaisseur varie de 0,70 à 1,25 mm.</w:t>
      </w:r>
      <w:r>
        <w:br/>
      </w:r>
      <w:r>
        <w:rPr>
          <w:rStyle w:val="headingChar"/>
        </w:rPr>
        <w:t>Armatures</w:t>
      </w:r>
      <w:r>
        <w:br/>
        <w:t xml:space="preserve">• Prise en compte de la tôle comme armature : </w:t>
      </w:r>
      <w:r>
        <w:rPr>
          <w:rStyle w:val="optioncarChar"/>
        </w:rPr>
        <w:t>la tôle constitue l’armature inférieure du plancher / la tôle ne constitue pas l’armature inférieure du plancher et est considérée comme un coffrage perdu</w:t>
      </w:r>
    </w:p>
    <w:p w14:paraId="7EC2AADD" w14:textId="77777777" w:rsidR="00DF410E" w:rsidRDefault="00CE7F43">
      <w:r>
        <w:t xml:space="preserve">• Pourcentage d'armatures : </w:t>
      </w:r>
      <w:r>
        <w:rPr>
          <w:rStyle w:val="optioncarChar"/>
        </w:rPr>
        <w:t>***</w:t>
      </w:r>
      <w:r>
        <w:t xml:space="preserve"> kg d'acier par m</w:t>
      </w:r>
      <w:r>
        <w:rPr>
          <w:vertAlign w:val="superscript"/>
        </w:rPr>
        <w:t>3</w:t>
      </w:r>
      <w:r>
        <w:t xml:space="preserve"> de béton.</w:t>
      </w:r>
    </w:p>
    <w:p w14:paraId="0D21DB8C" w14:textId="77777777" w:rsidR="00DF410E" w:rsidRDefault="00CE7F43">
      <w:pPr>
        <w:pStyle w:val="Author-eListParagraph"/>
        <w:numPr>
          <w:ilvl w:val="0"/>
          <w:numId w:val="566"/>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6F035B1" w14:textId="77777777" w:rsidR="00DF410E" w:rsidRDefault="00CE7F43">
      <w:pPr>
        <w:pStyle w:val="Author-eListParagraph"/>
        <w:numPr>
          <w:ilvl w:val="0"/>
          <w:numId w:val="566"/>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8 x 8 / ***x***x***x***</w:t>
      </w:r>
      <w:r>
        <w:t xml:space="preserve"> mm.</w:t>
      </w:r>
    </w:p>
    <w:p w14:paraId="2848AB1B" w14:textId="77777777" w:rsidR="00DF410E" w:rsidRDefault="00CE7F43">
      <w:r>
        <w:rPr>
          <w:rStyle w:val="headingChar"/>
        </w:rPr>
        <w:t>Béton</w:t>
      </w:r>
      <w:r>
        <w:br/>
        <w:t>Qualité du béton selon la [NBN EN 206:2013+A2] et la [NBN B 15-001].</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66C45821" w14:textId="77777777">
        <w:tc>
          <w:tcPr>
            <w:tcW w:w="1500" w:type="dxa"/>
            <w:noWrap/>
          </w:tcPr>
          <w:p w14:paraId="06D9028E" w14:textId="77777777" w:rsidR="00DF410E" w:rsidRDefault="00CE7F43">
            <w:pPr>
              <w:jc w:val="center"/>
            </w:pPr>
            <w:r>
              <w:rPr>
                <w:b/>
              </w:rPr>
              <w:t>A</w:t>
            </w:r>
          </w:p>
        </w:tc>
        <w:tc>
          <w:tcPr>
            <w:tcW w:w="1500" w:type="dxa"/>
            <w:noWrap/>
          </w:tcPr>
          <w:p w14:paraId="4E43A999" w14:textId="77777777" w:rsidR="00DF410E" w:rsidRDefault="00CE7F43">
            <w:pPr>
              <w:jc w:val="center"/>
            </w:pPr>
            <w:r>
              <w:rPr>
                <w:b/>
              </w:rPr>
              <w:t>B1</w:t>
            </w:r>
          </w:p>
        </w:tc>
        <w:tc>
          <w:tcPr>
            <w:tcW w:w="1500" w:type="dxa"/>
            <w:noWrap/>
          </w:tcPr>
          <w:p w14:paraId="14CE2C46" w14:textId="77777777" w:rsidR="00DF410E" w:rsidRDefault="00CE7F43">
            <w:pPr>
              <w:jc w:val="center"/>
            </w:pPr>
            <w:r>
              <w:rPr>
                <w:b/>
              </w:rPr>
              <w:t>B2</w:t>
            </w:r>
          </w:p>
        </w:tc>
        <w:tc>
          <w:tcPr>
            <w:tcW w:w="1500" w:type="dxa"/>
            <w:noWrap/>
          </w:tcPr>
          <w:p w14:paraId="44853D2A" w14:textId="77777777" w:rsidR="00DF410E" w:rsidRDefault="00CE7F43">
            <w:pPr>
              <w:jc w:val="center"/>
            </w:pPr>
            <w:r>
              <w:rPr>
                <w:b/>
              </w:rPr>
              <w:t>C</w:t>
            </w:r>
          </w:p>
        </w:tc>
        <w:tc>
          <w:tcPr>
            <w:tcW w:w="1500" w:type="dxa"/>
            <w:noWrap/>
          </w:tcPr>
          <w:p w14:paraId="468855E4" w14:textId="77777777" w:rsidR="00DF410E" w:rsidRDefault="00CE7F43">
            <w:pPr>
              <w:jc w:val="center"/>
            </w:pPr>
            <w:r>
              <w:rPr>
                <w:b/>
              </w:rPr>
              <w:t>D</w:t>
            </w:r>
          </w:p>
        </w:tc>
        <w:tc>
          <w:tcPr>
            <w:tcW w:w="1500" w:type="dxa"/>
            <w:noWrap/>
          </w:tcPr>
          <w:p w14:paraId="7753D94D" w14:textId="77777777" w:rsidR="00DF410E" w:rsidRDefault="00CE7F43">
            <w:pPr>
              <w:jc w:val="center"/>
            </w:pPr>
            <w:r>
              <w:rPr>
                <w:b/>
              </w:rPr>
              <w:t>E</w:t>
            </w:r>
          </w:p>
        </w:tc>
      </w:tr>
      <w:tr w:rsidR="00DF410E" w14:paraId="183E207C" w14:textId="77777777">
        <w:tc>
          <w:tcPr>
            <w:tcW w:w="1500" w:type="dxa"/>
            <w:noWrap/>
          </w:tcPr>
          <w:p w14:paraId="1575DF41" w14:textId="77777777" w:rsidR="00DF410E" w:rsidRDefault="00CE7F43">
            <w:pPr>
              <w:jc w:val="center"/>
            </w:pPr>
            <w:r>
              <w:rPr>
                <w:b/>
              </w:rPr>
              <w:t>Classe de résistance</w:t>
            </w:r>
          </w:p>
        </w:tc>
        <w:tc>
          <w:tcPr>
            <w:tcW w:w="1500" w:type="dxa"/>
            <w:noWrap/>
          </w:tcPr>
          <w:p w14:paraId="66027E5A" w14:textId="77777777" w:rsidR="00DF410E" w:rsidRDefault="00CE7F43">
            <w:pPr>
              <w:jc w:val="center"/>
            </w:pPr>
            <w:r>
              <w:rPr>
                <w:b/>
              </w:rPr>
              <w:t>Domaine d’application</w:t>
            </w:r>
          </w:p>
        </w:tc>
        <w:tc>
          <w:tcPr>
            <w:tcW w:w="1500" w:type="dxa"/>
            <w:noWrap/>
          </w:tcPr>
          <w:p w14:paraId="08B63650" w14:textId="77777777" w:rsidR="00DF410E" w:rsidRDefault="00CE7F43">
            <w:pPr>
              <w:jc w:val="center"/>
            </w:pPr>
            <w:r>
              <w:rPr>
                <w:b/>
              </w:rPr>
              <w:t>Classe d'environnement</w:t>
            </w:r>
          </w:p>
        </w:tc>
        <w:tc>
          <w:tcPr>
            <w:tcW w:w="1500" w:type="dxa"/>
            <w:noWrap/>
          </w:tcPr>
          <w:p w14:paraId="514E58F4" w14:textId="77777777" w:rsidR="00DF410E" w:rsidRDefault="00CE7F43">
            <w:pPr>
              <w:jc w:val="center"/>
            </w:pPr>
            <w:r>
              <w:rPr>
                <w:b/>
              </w:rPr>
              <w:t>Classe de consistance</w:t>
            </w:r>
          </w:p>
        </w:tc>
        <w:tc>
          <w:tcPr>
            <w:tcW w:w="1500" w:type="dxa"/>
            <w:noWrap/>
          </w:tcPr>
          <w:p w14:paraId="45B763D4" w14:textId="77777777" w:rsidR="00DF410E" w:rsidRDefault="00CE7F43">
            <w:pPr>
              <w:jc w:val="center"/>
            </w:pPr>
            <w:r>
              <w:rPr>
                <w:b/>
              </w:rPr>
              <w:t>Granulométrie maximale</w:t>
            </w:r>
          </w:p>
        </w:tc>
        <w:tc>
          <w:tcPr>
            <w:tcW w:w="1500" w:type="dxa"/>
            <w:noWrap/>
          </w:tcPr>
          <w:p w14:paraId="277D9808" w14:textId="77777777" w:rsidR="00DF410E" w:rsidRDefault="00CE7F43">
            <w:r>
              <w:rPr>
                <w:b/>
              </w:rPr>
              <w:t>Données complémentaires</w:t>
            </w:r>
          </w:p>
        </w:tc>
      </w:tr>
      <w:tr w:rsidR="00DF410E" w14:paraId="0F304267" w14:textId="77777777">
        <w:tc>
          <w:tcPr>
            <w:tcW w:w="1500" w:type="dxa"/>
            <w:noWrap/>
          </w:tcPr>
          <w:p w14:paraId="2270E3A8" w14:textId="77777777" w:rsidR="00DF410E" w:rsidRDefault="00CE7F43">
            <w:pPr>
              <w:jc w:val="center"/>
            </w:pPr>
            <w:r>
              <w:rPr>
                <w:rStyle w:val="optioncarChar"/>
              </w:rPr>
              <w:t>C25/30 / C30/37 / C35/45 / C45/55 / C50/60 / C55/67 / C60/75 / C70/85 / C80/95 / C90/105</w:t>
            </w:r>
          </w:p>
        </w:tc>
        <w:tc>
          <w:tcPr>
            <w:tcW w:w="1500" w:type="dxa"/>
            <w:noWrap/>
          </w:tcPr>
          <w:p w14:paraId="5FDA56C2" w14:textId="77777777" w:rsidR="00DF410E" w:rsidRDefault="00CE7F43">
            <w:pPr>
              <w:jc w:val="center"/>
            </w:pPr>
            <w:r>
              <w:t>Béton armé</w:t>
            </w:r>
          </w:p>
          <w:p w14:paraId="563F2931" w14:textId="77777777" w:rsidR="00DF410E" w:rsidRDefault="00DF410E"/>
        </w:tc>
        <w:tc>
          <w:tcPr>
            <w:tcW w:w="1500" w:type="dxa"/>
            <w:noWrap/>
          </w:tcPr>
          <w:p w14:paraId="501C1909" w14:textId="77777777" w:rsidR="00DF410E" w:rsidRDefault="00CE7F43">
            <w:pPr>
              <w:jc w:val="center"/>
            </w:pPr>
            <w:r>
              <w:rPr>
                <w:rStyle w:val="optioncarChar"/>
              </w:rPr>
              <w:t>E0 / EI / EE1 / EE2 / EE3 / EE4 / ES1 / ES2 / ES3 / ES4 / EA1+*** / EA2+***/ EA3+***</w:t>
            </w:r>
          </w:p>
        </w:tc>
        <w:tc>
          <w:tcPr>
            <w:tcW w:w="1500" w:type="dxa"/>
            <w:noWrap/>
          </w:tcPr>
          <w:p w14:paraId="60F95F1C" w14:textId="77777777" w:rsidR="00DF410E" w:rsidRDefault="00CE7F43">
            <w:pPr>
              <w:jc w:val="center"/>
            </w:pPr>
            <w:r>
              <w:t>au choix de l'entrepreneur :</w:t>
            </w:r>
          </w:p>
          <w:p w14:paraId="59C2A424" w14:textId="77777777" w:rsidR="00DF410E" w:rsidRDefault="00CE7F43">
            <w:pPr>
              <w:jc w:val="center"/>
            </w:pPr>
            <w:r>
              <w:rPr>
                <w:rStyle w:val="optioncarChar"/>
              </w:rPr>
              <w:t>S3 / S4 / S5</w:t>
            </w:r>
          </w:p>
          <w:p w14:paraId="1B1FD34B" w14:textId="77777777" w:rsidR="00DF410E" w:rsidRDefault="00CE7F43">
            <w:pPr>
              <w:jc w:val="center"/>
            </w:pPr>
            <w:r>
              <w:rPr>
                <w:rStyle w:val="optioncarChar"/>
              </w:rPr>
              <w:t>F3 / F4 / F5 / F6</w:t>
            </w:r>
            <w:r>
              <w:br/>
            </w:r>
          </w:p>
        </w:tc>
        <w:tc>
          <w:tcPr>
            <w:tcW w:w="1500" w:type="dxa"/>
            <w:noWrap/>
          </w:tcPr>
          <w:p w14:paraId="2EF9B266" w14:textId="77777777" w:rsidR="00DF410E" w:rsidRDefault="00CE7F43">
            <w:pPr>
              <w:jc w:val="center"/>
            </w:pPr>
            <w:r>
              <w:t>au choix de l'entrepreneur :</w:t>
            </w:r>
          </w:p>
          <w:p w14:paraId="3C3DB7D7" w14:textId="77777777" w:rsidR="00DF410E" w:rsidRDefault="00CE7F43">
            <w:pPr>
              <w:jc w:val="center"/>
            </w:pPr>
            <w:r>
              <w:rPr>
                <w:rStyle w:val="optioncarChar"/>
              </w:rPr>
              <w:t>6 / 8 / 10 / 11 / 12 / 14 / 16 / 20 / 22 / 32</w:t>
            </w:r>
            <w:r>
              <w:t xml:space="preserve"> mm</w:t>
            </w:r>
          </w:p>
        </w:tc>
        <w:tc>
          <w:tcPr>
            <w:tcW w:w="1500" w:type="dxa"/>
            <w:noWrap/>
          </w:tcPr>
          <w:p w14:paraId="26C28335" w14:textId="77777777" w:rsidR="00DF410E" w:rsidRDefault="00CE7F43">
            <w:pPr>
              <w:jc w:val="center"/>
            </w:pPr>
            <w:r>
              <w:rPr>
                <w:rStyle w:val="optioncarChar"/>
              </w:rPr>
              <w:t>***</w:t>
            </w:r>
          </w:p>
        </w:tc>
      </w:tr>
    </w:tbl>
    <w:p w14:paraId="49701B18" w14:textId="77777777" w:rsidR="00DF410E" w:rsidRDefault="00DF410E"/>
    <w:p w14:paraId="6CCC51F7"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7571604C" w14:textId="77777777" w:rsidR="00DF410E" w:rsidRDefault="00CE7F43">
      <w:pPr>
        <w:pStyle w:val="Author-eListParagraph"/>
        <w:numPr>
          <w:ilvl w:val="0"/>
          <w:numId w:val="567"/>
        </w:numPr>
      </w:pPr>
      <w:r>
        <w:t xml:space="preserve">Classe de viscosité apparente : </w:t>
      </w:r>
      <w:r>
        <w:rPr>
          <w:rStyle w:val="optioncarChar"/>
        </w:rPr>
        <w:t>VS1 / VS2</w:t>
      </w:r>
      <w:r>
        <w:t xml:space="preserve"> (selon la [NBN EN 12350-8] )</w:t>
      </w:r>
    </w:p>
    <w:p w14:paraId="19882F49" w14:textId="77777777" w:rsidR="00DF410E" w:rsidRDefault="00CE7F43">
      <w:pPr>
        <w:pStyle w:val="Author-eListParagraph"/>
        <w:numPr>
          <w:ilvl w:val="0"/>
          <w:numId w:val="567"/>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88AB7BF" w14:textId="77777777" w:rsidR="00DF410E" w:rsidRDefault="00CE7F43">
      <w:pPr>
        <w:pStyle w:val="Author-eListParagraph"/>
        <w:numPr>
          <w:ilvl w:val="0"/>
          <w:numId w:val="56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CB7E505" w14:textId="77777777" w:rsidR="00DF410E" w:rsidRDefault="00CE7F43">
      <w:r>
        <w:rPr>
          <w:rStyle w:val="headingChar"/>
        </w:rPr>
        <w:t>Connexion Acier-Béton Dans La Dalle Mixte</w:t>
      </w:r>
      <w:r>
        <w:br/>
        <w:t>Pour que l’acier et le béton constituent un ensemble structural monolithique, il est nécessaire qu’ils soient solidarisés</w:t>
      </w:r>
      <w:r>
        <w:rPr>
          <w:rStyle w:val="optioncarChar"/>
        </w:rPr>
        <w:t xml:space="preserve"> par une géométrie particulière de la tôle </w:t>
      </w:r>
      <w:r>
        <w:t>(par défaut)</w:t>
      </w:r>
      <w:r>
        <w:rPr>
          <w:rStyle w:val="optioncarChar"/>
        </w:rPr>
        <w:t xml:space="preserve"> / une liaison mécanique / un ancrage d’about par soudure / un ancrage d’about par déformation</w:t>
      </w:r>
      <w:r>
        <w:br/>
      </w:r>
      <w:r>
        <w:rPr>
          <w:b/>
        </w:rPr>
        <w:t>(soit par défaut)</w:t>
      </w:r>
      <w:r>
        <w:br/>
      </w:r>
      <w:r>
        <w:rPr>
          <w:rStyle w:val="soitChar"/>
        </w:rPr>
        <w:t xml:space="preserve">1. </w:t>
      </w:r>
      <w:r>
        <w:rPr>
          <w:rStyle w:val="soitChar"/>
          <w:u w:val="single"/>
        </w:rPr>
        <w:t>par une géométrie particulière</w:t>
      </w:r>
      <w:r>
        <w:br/>
      </w:r>
      <w:r>
        <w:rPr>
          <w:rStyle w:val="soitChar"/>
        </w:rPr>
        <w:t>Une géométrie particulière de la section de la tôle assure le transfert de cisaillement par frottement</w:t>
      </w:r>
      <w:r>
        <w:br/>
      </w:r>
      <w:r>
        <w:rPr>
          <w:b/>
        </w:rPr>
        <w:t>(soit)</w:t>
      </w:r>
      <w:r>
        <w:br/>
      </w:r>
      <w:r>
        <w:rPr>
          <w:rStyle w:val="soitChar"/>
        </w:rPr>
        <w:t xml:space="preserve">2. </w:t>
      </w:r>
      <w:r>
        <w:rPr>
          <w:rStyle w:val="soitChar"/>
          <w:u w:val="single"/>
        </w:rPr>
        <w:t>par une liaison mécanique</w:t>
      </w:r>
      <w:r>
        <w:br/>
      </w:r>
      <w:r>
        <w:rPr>
          <w:rStyle w:val="soitChar"/>
        </w:rPr>
        <w:t>Il s’agit d’une liaison mécanique obtenue par une déformation du profil à l’aide d’indentations ou de bosselages</w:t>
      </w:r>
      <w:r>
        <w:br/>
      </w:r>
      <w:r>
        <w:rPr>
          <w:b/>
        </w:rPr>
        <w:t>(soit)</w:t>
      </w:r>
      <w:r>
        <w:br/>
      </w:r>
      <w:r>
        <w:rPr>
          <w:rStyle w:val="soitChar"/>
        </w:rPr>
        <w:t xml:space="preserve">3. </w:t>
      </w:r>
      <w:r>
        <w:rPr>
          <w:rStyle w:val="soitChar"/>
          <w:u w:val="single"/>
        </w:rPr>
        <w:t>par un ancrage d’about par soudure</w:t>
      </w:r>
      <w:r>
        <w:br/>
      </w:r>
      <w:r>
        <w:rPr>
          <w:rStyle w:val="soitChar"/>
        </w:rPr>
        <w:t>L’ancrage d’about est réalisé au moyen de goujons soudés</w:t>
      </w:r>
      <w:r>
        <w:br/>
      </w:r>
      <w:r>
        <w:rPr>
          <w:b/>
        </w:rPr>
        <w:t>(soit)</w:t>
      </w:r>
      <w:r>
        <w:br/>
      </w:r>
      <w:r>
        <w:rPr>
          <w:rStyle w:val="soitChar"/>
        </w:rPr>
        <w:t xml:space="preserve">4. </w:t>
      </w:r>
      <w:r>
        <w:rPr>
          <w:rStyle w:val="soitChar"/>
          <w:u w:val="single"/>
        </w:rPr>
        <w:t>par un ancrage d’about par déformation</w:t>
      </w:r>
      <w:r>
        <w:br/>
      </w:r>
      <w:r>
        <w:rPr>
          <w:rStyle w:val="soitChar"/>
        </w:rPr>
        <w:t>L’ancrage d’about est réalisé par une déformation des nervures à l’extrémité des tôles.</w:t>
      </w:r>
    </w:p>
    <w:p w14:paraId="55D9A0FF" w14:textId="77777777" w:rsidR="00DF410E" w:rsidRDefault="00CE7F43">
      <w:pPr>
        <w:pStyle w:val="pheading"/>
      </w:pPr>
      <w:r>
        <w:t>- Prescriptions complémentaires</w:t>
      </w:r>
    </w:p>
    <w:p w14:paraId="1902289C" w14:textId="77777777" w:rsidR="00DF410E" w:rsidRDefault="00CE7F43">
      <w:r>
        <w:t xml:space="preserve">Résistance au feu : pour les éléments porteurs et structurels sans fonction séparant </w:t>
      </w:r>
      <w:r>
        <w:rPr>
          <w:rStyle w:val="optioncarChar"/>
        </w:rPr>
        <w:t>R15 / R30 </w:t>
      </w:r>
      <w:r>
        <w:t>(par défaut)</w:t>
      </w:r>
      <w:r>
        <w:rPr>
          <w:rStyle w:val="optioncarChar"/>
        </w:rPr>
        <w:t xml:space="preserve"> /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02DCB793" w14:textId="77777777" w:rsidR="00DF410E" w:rsidRDefault="00CE7F43">
      <w:pPr>
        <w:pStyle w:val="pheading"/>
      </w:pPr>
      <w:r>
        <w:t>EXÉCUTION / MISE EN ŒUVRE</w:t>
      </w:r>
    </w:p>
    <w:p w14:paraId="687B4024" w14:textId="77777777" w:rsidR="00DF410E" w:rsidRDefault="00CE7F43">
      <w:pPr>
        <w:pStyle w:val="pheading"/>
      </w:pPr>
      <w:r>
        <w:t>- Prescriptions générales</w:t>
      </w:r>
    </w:p>
    <w:p w14:paraId="5B5898B2" w14:textId="77777777" w:rsidR="00DF410E" w:rsidRDefault="00CE7F43">
      <w:r>
        <w:t>Les faces supérieure et inférieure des planchers mixtes correspondent aux cotes de niveau et à l'épaisseur de la finition des planchers selon les indications sur les plans d'exécution. La face inférieure des planchers mixtes se situe dans un seul et même plan.</w:t>
      </w:r>
      <w:r>
        <w:br/>
        <w:t xml:space="preserve">La hauteur de construction des planchers de sol mixtes est de maximum </w:t>
      </w:r>
      <w:r>
        <w:rPr>
          <w:rStyle w:val="optioncarChar"/>
        </w:rPr>
        <w:t>***</w:t>
      </w:r>
      <w:r>
        <w:t xml:space="preserve"> cm.</w:t>
      </w:r>
    </w:p>
    <w:p w14:paraId="70E6B98E" w14:textId="77777777" w:rsidR="00DF410E" w:rsidRDefault="00CE7F43">
      <w:r>
        <w:rPr>
          <w:rStyle w:val="headingChar"/>
        </w:rPr>
        <w:t>Appuis</w:t>
      </w:r>
    </w:p>
    <w:p w14:paraId="5E697512" w14:textId="77777777" w:rsidR="00DF410E" w:rsidRDefault="00CE7F43">
      <w:pPr>
        <w:pStyle w:val="Author-eListParagraph"/>
        <w:numPr>
          <w:ilvl w:val="0"/>
          <w:numId w:val="568"/>
        </w:numPr>
      </w:pPr>
      <w:r>
        <w:t xml:space="preserve">Les appuis sont réalisés sur </w:t>
      </w:r>
      <w:r>
        <w:rPr>
          <w:rStyle w:val="optioncarChar"/>
        </w:rPr>
        <w:t>support béton </w:t>
      </w:r>
      <w:r>
        <w:t>(par défaut)</w:t>
      </w:r>
      <w:r>
        <w:rPr>
          <w:rStyle w:val="optioncarChar"/>
        </w:rPr>
        <w:t xml:space="preserve"> / support métallique avec goujons / support métallique avec équerre</w:t>
      </w:r>
    </w:p>
    <w:p w14:paraId="0EBD1061" w14:textId="77777777" w:rsidR="00DF410E" w:rsidRDefault="00CE7F43">
      <w:pPr>
        <w:ind w:left="567"/>
      </w:pPr>
      <w:r>
        <w:rPr>
          <w:b/>
        </w:rPr>
        <w:t>(soit par défaut )</w:t>
      </w:r>
      <w:r>
        <w:br/>
      </w:r>
      <w:r>
        <w:rPr>
          <w:rStyle w:val="soitChar"/>
        </w:rPr>
        <w:t xml:space="preserve">1. </w:t>
      </w:r>
      <w:r>
        <w:rPr>
          <w:rStyle w:val="soitChar"/>
          <w:u w:val="single"/>
        </w:rPr>
        <w:t>sur support béton</w:t>
      </w:r>
      <w:r>
        <w:br/>
      </w:r>
      <w:r>
        <w:rPr>
          <w:rStyle w:val="soitChar"/>
        </w:rPr>
        <w:t>sur support en béton avec des étriers dépassants</w:t>
      </w:r>
      <w:r>
        <w:br/>
      </w:r>
      <w:r>
        <w:rPr>
          <w:b/>
        </w:rPr>
        <w:t>(soit)</w:t>
      </w:r>
      <w:r>
        <w:br/>
      </w:r>
      <w:r>
        <w:rPr>
          <w:rStyle w:val="soitChar"/>
        </w:rPr>
        <w:t xml:space="preserve">2. </w:t>
      </w:r>
      <w:r>
        <w:rPr>
          <w:rStyle w:val="soitChar"/>
          <w:u w:val="single"/>
        </w:rPr>
        <w:t>sur support métallique avec goujons</w:t>
      </w:r>
      <w:r>
        <w:br/>
      </w:r>
      <w:r>
        <w:rPr>
          <w:rStyle w:val="soitChar"/>
        </w:rPr>
        <w:t>sur support métallique avec des goujons soudés</w:t>
      </w:r>
      <w:r>
        <w:br/>
      </w:r>
      <w:r>
        <w:rPr>
          <w:b/>
        </w:rPr>
        <w:t>(soit)</w:t>
      </w:r>
      <w:r>
        <w:br/>
      </w:r>
      <w:r>
        <w:rPr>
          <w:rStyle w:val="soitChar"/>
        </w:rPr>
        <w:t xml:space="preserve">3. </w:t>
      </w:r>
      <w:r>
        <w:rPr>
          <w:rStyle w:val="soitChar"/>
          <w:u w:val="single"/>
        </w:rPr>
        <w:t>sur support métallique avec équerre</w:t>
      </w:r>
      <w:r>
        <w:br/>
      </w:r>
      <w:r>
        <w:rPr>
          <w:rStyle w:val="soitChar"/>
        </w:rPr>
        <w:t>sur support métallique avec des équerres clouées</w:t>
      </w:r>
    </w:p>
    <w:p w14:paraId="062A0EBE" w14:textId="77777777" w:rsidR="00DF410E" w:rsidRDefault="00CE7F43">
      <w:pPr>
        <w:pStyle w:val="Author-eListParagraph"/>
        <w:numPr>
          <w:ilvl w:val="0"/>
          <w:numId w:val="569"/>
        </w:numPr>
      </w:pPr>
      <w:r>
        <w:t>Les étais éventuels sont disposés de façon telle que, lors de la mise en œuvre du plancher, il y ait au centre de la portée une contre-flèche de 1/500 de la portée.</w:t>
      </w:r>
    </w:p>
    <w:p w14:paraId="168436AA" w14:textId="77777777" w:rsidR="00DF410E" w:rsidRDefault="00CE7F43">
      <w:pPr>
        <w:pStyle w:val="Author-eListParagraph"/>
        <w:numPr>
          <w:ilvl w:val="0"/>
          <w:numId w:val="570"/>
        </w:numPr>
      </w:pPr>
      <w:r>
        <w:t>L'enlèvement des accessoires se fait au plus tôt après 21 jours et après le nettoyage éventuel des faces apparentes. Ce n'est qu'après l'enlèvement des étais que les éventuelles cloisons peuvent être construites à l'étage.</w:t>
      </w:r>
    </w:p>
    <w:p w14:paraId="6931CE9A" w14:textId="77777777" w:rsidR="00DF410E" w:rsidRDefault="00CE7F43">
      <w:r>
        <w:rPr>
          <w:rStyle w:val="headingChar"/>
        </w:rPr>
        <w:t>Mise En Œuvre Des Tôles</w:t>
      </w:r>
    </w:p>
    <w:p w14:paraId="36CFE8A6" w14:textId="77777777" w:rsidR="00DF410E" w:rsidRDefault="00CE7F43">
      <w:pPr>
        <w:pStyle w:val="Author-eListParagraph"/>
        <w:numPr>
          <w:ilvl w:val="0"/>
          <w:numId w:val="571"/>
        </w:numPr>
      </w:pPr>
      <w:r>
        <w:t>Les tôles sont posées dans le sens et de la façon indiquée sur les plans de pose approuvés par l'auteur de projet.</w:t>
      </w:r>
    </w:p>
    <w:p w14:paraId="611D0810" w14:textId="77777777" w:rsidR="00DF410E" w:rsidRDefault="00CE7F43">
      <w:pPr>
        <w:pStyle w:val="Author-eListParagraph"/>
        <w:numPr>
          <w:ilvl w:val="0"/>
          <w:numId w:val="571"/>
        </w:numPr>
      </w:pPr>
      <w:r>
        <w:t>Les ouvertures en bord de dalle, les trous de forage et percements quelconques sont obturés.</w:t>
      </w:r>
    </w:p>
    <w:p w14:paraId="31CB2CE6" w14:textId="77777777" w:rsidR="00DF410E" w:rsidRDefault="00CE7F43">
      <w:pPr>
        <w:pStyle w:val="Author-eListParagraph"/>
        <w:numPr>
          <w:ilvl w:val="0"/>
          <w:numId w:val="571"/>
        </w:numPr>
      </w:pPr>
      <w:r>
        <w:t>La longueur de l'appui sur acier, sur béton, sur bois ou sur maçonnerie est mentionnée sur le plan de pose.</w:t>
      </w:r>
    </w:p>
    <w:p w14:paraId="5A863A49" w14:textId="77777777" w:rsidR="00DF410E" w:rsidRDefault="00CE7F43">
      <w:pPr>
        <w:pStyle w:val="Author-eListParagraph"/>
        <w:numPr>
          <w:ilvl w:val="0"/>
          <w:numId w:val="571"/>
        </w:numPr>
      </w:pPr>
      <w:r>
        <w:t>Les enchevêtrures et les renforcements locaux (sous les cloisons, aux trémies d'escaliers, aux balcons, etc.) sont exécutés conformément au plan de pose et/ou aux dessins de détail. Ces éléments doivent se situer dans la hauteur réservée au plancher. Pour ces zones, l'entrepreneur soumet une note de calcul séparée. Les enchevêtrures doivent être calculées et exécutées à l'aide d'éléments de remplissage appropriés ou de poutres transversales munies de barres de suspension, selon les directives données par le fournisseur.</w:t>
      </w:r>
    </w:p>
    <w:p w14:paraId="6A76EE57" w14:textId="77777777" w:rsidR="00DF410E" w:rsidRDefault="00CE7F43">
      <w:r>
        <w:rPr>
          <w:rStyle w:val="headingChar"/>
        </w:rPr>
        <w:t>Exécution De La Dalle De Béton</w:t>
      </w:r>
      <w:r>
        <w:br/>
        <w:t>La dalle de béton est exécutée en une seule fois sur toute l'épaisseur, de façon telle que celle-ci forme un ensemble avec les éléments sous-jacents. Avant de couler la dalle, les tôles sont nettoyées.</w:t>
      </w:r>
    </w:p>
    <w:p w14:paraId="6FA2680E" w14:textId="77777777" w:rsidR="00DF410E" w:rsidRDefault="00CE7F43">
      <w:pPr>
        <w:pStyle w:val="pheading"/>
      </w:pPr>
      <w:r>
        <w:t>MESURAGE</w:t>
      </w:r>
    </w:p>
    <w:p w14:paraId="447EC2DE" w14:textId="77777777" w:rsidR="00DF410E" w:rsidRDefault="00CE7F43">
      <w:r>
        <w:t>Conformément à la nature du plancher, aux indications spécifiques dans le cahier spécial des charges et/ou le métré récapitulatif, le mesurage doit être conçu comme suit :</w:t>
      </w:r>
    </w:p>
    <w:p w14:paraId="4E069A23" w14:textId="77777777" w:rsidR="00DF410E" w:rsidRDefault="00CE7F43">
      <w:pPr>
        <w:pStyle w:val="pheading"/>
      </w:pPr>
      <w:r>
        <w:t>- unité de mesure:</w:t>
      </w:r>
    </w:p>
    <w:p w14:paraId="6E54023C" w14:textId="77777777" w:rsidR="00DF410E" w:rsidRDefault="00CE7F43">
      <w:r>
        <w:t xml:space="preserve">unité de mesure: </w:t>
      </w:r>
      <w:r>
        <w:rPr>
          <w:rStyle w:val="optioncarChar"/>
        </w:rPr>
        <w:t>m² </w:t>
      </w:r>
      <w:r>
        <w:t>(par défaut)</w:t>
      </w:r>
      <w:r>
        <w:rPr>
          <w:rStyle w:val="optioncarChar"/>
        </w:rPr>
        <w:t xml:space="preserve"> / selon bordereau / béton et acier / séparément</w:t>
      </w:r>
      <w:r>
        <w:br/>
      </w:r>
      <w:r>
        <w:rPr>
          <w:b/>
        </w:rPr>
        <w:t>(soit par défaut)</w:t>
      </w:r>
      <w:r>
        <w:br/>
      </w:r>
      <w:r>
        <w:rPr>
          <w:rStyle w:val="soitChar"/>
        </w:rPr>
        <w:t xml:space="preserve">1. </w:t>
      </w:r>
      <w:r>
        <w:rPr>
          <w:rStyle w:val="soitChar"/>
          <w:u w:val="single"/>
        </w:rPr>
        <w:t>m²</w:t>
      </w:r>
      <w:r>
        <w:br/>
      </w:r>
      <w:r>
        <w:rPr>
          <w:rStyle w:val="soitChar"/>
        </w:rPr>
        <w:t>Tous les éléments nécessaires, travaux et fournitures (coffrages et armatures) sont compris dans le prix unitaire (pour l'ensemble ou, le cas échéant, ventilé en fonction de la nature, de l'épaisseur et/ou de la charge d’exploitation).</w:t>
      </w:r>
      <w:r>
        <w:br/>
      </w:r>
      <w:r>
        <w:rPr>
          <w:b/>
        </w:rPr>
        <w:t>(soit)</w:t>
      </w:r>
      <w:r>
        <w:br/>
      </w:r>
      <w:r>
        <w:rPr>
          <w:rStyle w:val="soitChar"/>
        </w:rPr>
        <w:t>2.</w:t>
      </w:r>
      <w:r>
        <w:rPr>
          <w:rStyle w:val="soitChar"/>
          <w:u w:val="single"/>
        </w:rPr>
        <w:t xml:space="preserve"> Selon bordereau</w:t>
      </w:r>
      <w:r>
        <w:br/>
      </w:r>
      <w:r>
        <w:rPr>
          <w:rStyle w:val="soitChar"/>
        </w:rPr>
        <w:t xml:space="preserve">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r>
        <w:br/>
      </w:r>
      <w:r>
        <w:rPr>
          <w:b/>
        </w:rPr>
        <w:t>(soit)</w:t>
      </w:r>
      <w:r>
        <w:br/>
      </w:r>
      <w:r>
        <w:rPr>
          <w:rStyle w:val="soitChar"/>
        </w:rPr>
        <w:t xml:space="preserve">3. </w:t>
      </w:r>
      <w:r>
        <w:rPr>
          <w:rStyle w:val="soitChar"/>
          <w:u w:val="single"/>
        </w:rPr>
        <w:t>Béton et acier</w:t>
      </w:r>
      <w:r>
        <w:br/>
      </w:r>
      <w:r>
        <w:rPr>
          <w:rStyle w:val="soitChar"/>
        </w:rPr>
        <w:t>• m³ pour le béton</w:t>
      </w:r>
      <w:r>
        <w:br/>
      </w:r>
      <w:r>
        <w:rPr>
          <w:rStyle w:val="soitChar"/>
        </w:rPr>
        <w:t>• kg pour la tôle et les armatures</w:t>
      </w:r>
      <w:r>
        <w:br/>
      </w:r>
      <w:r>
        <w:rPr>
          <w:rStyle w:val="soitChar"/>
        </w:rPr>
        <w:t xml:space="preserve">• Tous les autres éléments, travaux et fournitures doivent être compris dans les prix unitaires respectifs pour les mesurages précités. </w:t>
      </w:r>
      <w:r>
        <w:br/>
      </w:r>
      <w:r>
        <w:rPr>
          <w:b/>
        </w:rPr>
        <w:t>(soit)</w:t>
      </w:r>
      <w:r>
        <w:br/>
      </w:r>
      <w:r>
        <w:rPr>
          <w:rStyle w:val="soitChar"/>
        </w:rPr>
        <w:t xml:space="preserve">4. </w:t>
      </w:r>
      <w:r>
        <w:rPr>
          <w:rStyle w:val="soitChar"/>
          <w:u w:val="single"/>
        </w:rPr>
        <w:t>séparément</w:t>
      </w:r>
      <w:r>
        <w:br/>
      </w:r>
      <w:r>
        <w:rPr>
          <w:rStyle w:val="soitChar"/>
        </w:rPr>
        <w:t>• m³ pour la dalle de béton (en mentionnant l'épaisseur ...)</w:t>
      </w:r>
      <w:r>
        <w:br/>
      </w:r>
      <w:r>
        <w:rPr>
          <w:rStyle w:val="soitChar"/>
        </w:rPr>
        <w:t>• kg pour la tôle et les armatures</w:t>
      </w:r>
      <w:r>
        <w:br/>
      </w:r>
      <w:r>
        <w:rPr>
          <w:rStyle w:val="soitChar"/>
        </w:rPr>
        <w:t>• Pièces divergentes et pièces spéciales : à la pièce (selon les dimensions identiques ou indications standards).</w:t>
      </w:r>
      <w:r>
        <w:b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27E6A99D" w14:textId="77777777" w:rsidR="00DF410E" w:rsidRDefault="00CE7F43">
      <w:pPr>
        <w:pStyle w:val="pheading"/>
      </w:pPr>
      <w:r>
        <w:t>- code de mesurage:</w:t>
      </w:r>
    </w:p>
    <w:p w14:paraId="5705C294" w14:textId="77777777" w:rsidR="00DF410E" w:rsidRDefault="00CE7F43">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130679BE" w14:textId="77777777" w:rsidR="00DF410E" w:rsidRDefault="00CE7F43">
      <w:pPr>
        <w:pStyle w:val="pheading"/>
      </w:pPr>
      <w:r>
        <w:t>- nature du marché:</w:t>
      </w:r>
    </w:p>
    <w:p w14:paraId="7A79168E" w14:textId="77777777" w:rsidR="00DF410E" w:rsidRDefault="00CE7F43">
      <w:r>
        <w:t>QF</w:t>
      </w:r>
    </w:p>
    <w:p w14:paraId="1263500E" w14:textId="77777777" w:rsidR="00DF410E" w:rsidRDefault="00CE7F43">
      <w:pPr>
        <w:pStyle w:val="Author-eSectionHeading6"/>
      </w:pPr>
      <w:bookmarkStart w:id="801" w:name="_Toc178837959"/>
      <w:r>
        <w:t>22.22.2c Planchers mixtes bois-béton CCTB 01.04</w:t>
      </w:r>
      <w:bookmarkEnd w:id="801"/>
    </w:p>
    <w:p w14:paraId="0702F657" w14:textId="77777777" w:rsidR="00DF410E" w:rsidRDefault="00CE7F43">
      <w:pPr>
        <w:pStyle w:val="pheading"/>
      </w:pPr>
      <w:r>
        <w:t>DESCRIPTION</w:t>
      </w:r>
    </w:p>
    <w:p w14:paraId="17B12580" w14:textId="77777777" w:rsidR="00DF410E" w:rsidRDefault="00CE7F43">
      <w:pPr>
        <w:pStyle w:val="pheading"/>
      </w:pPr>
      <w:r>
        <w:t>- Définition / Comprend</w:t>
      </w:r>
    </w:p>
    <w:p w14:paraId="01F85454" w14:textId="77777777" w:rsidR="00DF410E" w:rsidRDefault="00CE7F43">
      <w:r>
        <w:t>Le plancher mixte en bois-béton se rapproche du plancher traditionnel en bois sur lequel une dalle en béton est coulée. La différence essentielle réside dans la collaboration entre les deux matériaux grâce à la liaison mécanique obtenue par des connecteurs.</w:t>
      </w:r>
    </w:p>
    <w:p w14:paraId="2EC7D02A" w14:textId="77777777" w:rsidR="00DF410E" w:rsidRDefault="00CE7F43">
      <w:r>
        <w:t>Concrètement, la dalle en béton remplit, en travée, la fonction de table de compression, alors que la poutre en bois, située dans la partie inférieure, est essentiellement tendue. Par conséquent, les deux matériaux sont soumis à des contraintes en parfait accord avec leurs meilleures propriétés pour former une dalle ‘nervurée’. Dans le cas où la poutre est continue sur appuis, la participation de la dalle à la résistance est obtenue par une armature supérieure capable de reprendre les efforts de traction, la poutre en bois étant alors partiellement comprimée. Voir [Buildwise Méthode de dimensionnement Rapport 13].</w:t>
      </w:r>
    </w:p>
    <w:p w14:paraId="4289B733" w14:textId="77777777" w:rsidR="00DF410E" w:rsidRDefault="00CE7F43">
      <w:pPr>
        <w:pStyle w:val="pheading"/>
      </w:pPr>
      <w:r>
        <w:t>MATÉRIAUX</w:t>
      </w:r>
    </w:p>
    <w:p w14:paraId="3845E523" w14:textId="77777777" w:rsidR="00DF410E" w:rsidRDefault="00CE7F43">
      <w:pPr>
        <w:pStyle w:val="pheading"/>
      </w:pPr>
      <w:r>
        <w:t>- Caractéristiques générales</w:t>
      </w:r>
    </w:p>
    <w:p w14:paraId="6C743FBC" w14:textId="77777777" w:rsidR="00DF410E" w:rsidRDefault="00CE7F43">
      <w:r>
        <w:t>Le plancher mixte en bois-béton se rapproche du plancher traditionnel en bois sur lequel une dalle en béton est coulée. La différence essentielle réside dans la collaboration entre les deux matériaux grâce à la liaison mécanique obtenue par des connecteurs. Voir [Buildwise Méthode de dimensionnement Rapport 13].</w:t>
      </w:r>
    </w:p>
    <w:p w14:paraId="42BE0F33" w14:textId="77777777" w:rsidR="00DF410E" w:rsidRDefault="00CE7F43">
      <w:pPr>
        <w:pStyle w:val="Author-eSectionHeading4"/>
      </w:pPr>
      <w:bookmarkStart w:id="802" w:name="_Toc178837960"/>
      <w:r>
        <w:t>22.23 Charpentes de toiture en béton CCTB 01.04</w:t>
      </w:r>
      <w:bookmarkEnd w:id="802"/>
    </w:p>
    <w:p w14:paraId="1059F3C4" w14:textId="77777777" w:rsidR="00DF410E" w:rsidRDefault="00CE7F43">
      <w:pPr>
        <w:pStyle w:val="Author-eSectionHeading5"/>
      </w:pPr>
      <w:bookmarkStart w:id="803" w:name="_Toc178837961"/>
      <w:r>
        <w:t>22.23.1 Charpentes de toiture en béton coulé en place CCTB 01.04</w:t>
      </w:r>
      <w:bookmarkEnd w:id="803"/>
    </w:p>
    <w:p w14:paraId="65E970AE" w14:textId="77777777" w:rsidR="00DF410E" w:rsidRDefault="00CE7F43">
      <w:pPr>
        <w:pStyle w:val="Author-eSectionHeading6"/>
      </w:pPr>
      <w:bookmarkStart w:id="804" w:name="_Toc178837962"/>
      <w:r>
        <w:t>22.23.1a Fermes de toiture en béton coulé en place CCTB 01.04</w:t>
      </w:r>
      <w:bookmarkEnd w:id="804"/>
    </w:p>
    <w:p w14:paraId="4794B22E" w14:textId="77777777" w:rsidR="00DF410E" w:rsidRDefault="00CE7F43">
      <w:pPr>
        <w:pStyle w:val="Author-eSectionHeading6"/>
      </w:pPr>
      <w:bookmarkStart w:id="805" w:name="_Toc178837963"/>
      <w:r>
        <w:t>22.23.1b Charpentes de toiture en béton coulé en place CCTB 01.04</w:t>
      </w:r>
      <w:bookmarkEnd w:id="805"/>
    </w:p>
    <w:p w14:paraId="2E8468ED" w14:textId="77777777" w:rsidR="00DF410E" w:rsidRDefault="00CE7F43">
      <w:pPr>
        <w:pStyle w:val="Author-eSectionHeading5"/>
      </w:pPr>
      <w:bookmarkStart w:id="806" w:name="_Toc178837964"/>
      <w:r>
        <w:t>22.23.2 Charpentes de toiture en béton apparent (esthétique) coulé en place CCTB 01.04</w:t>
      </w:r>
      <w:bookmarkEnd w:id="806"/>
    </w:p>
    <w:p w14:paraId="28BA1A40" w14:textId="77777777" w:rsidR="00DF410E" w:rsidRDefault="00CE7F43">
      <w:pPr>
        <w:pStyle w:val="Author-eSectionHeading6"/>
      </w:pPr>
      <w:bookmarkStart w:id="807" w:name="_Toc178837965"/>
      <w:r>
        <w:t>22.23.2a Fermes de toiture en béton apparent (esthétique) coulé en place CCTB 01.04</w:t>
      </w:r>
      <w:bookmarkEnd w:id="807"/>
    </w:p>
    <w:p w14:paraId="068DCE0A" w14:textId="77777777" w:rsidR="00DF410E" w:rsidRDefault="00CE7F43">
      <w:pPr>
        <w:pStyle w:val="Author-eSectionHeading6"/>
      </w:pPr>
      <w:bookmarkStart w:id="808" w:name="_Toc178837966"/>
      <w:r>
        <w:t>22.23.2b Charpentes de toiture en béton apparent (esthétique) coulé en place CCTB 01.04</w:t>
      </w:r>
      <w:bookmarkEnd w:id="808"/>
    </w:p>
    <w:p w14:paraId="0925FF5F" w14:textId="77777777" w:rsidR="00DF410E" w:rsidRDefault="00CE7F43">
      <w:pPr>
        <w:pStyle w:val="Author-eSectionHeading5"/>
      </w:pPr>
      <w:bookmarkStart w:id="809" w:name="_Toc178837967"/>
      <w:r>
        <w:t>22.23.3 Charpentes de toiture préfabriquées en béton CCTB 01.04</w:t>
      </w:r>
      <w:bookmarkEnd w:id="809"/>
    </w:p>
    <w:p w14:paraId="11C299A9" w14:textId="77777777" w:rsidR="00DF410E" w:rsidRDefault="00CE7F43">
      <w:pPr>
        <w:pStyle w:val="Author-eSectionHeading6"/>
      </w:pPr>
      <w:bookmarkStart w:id="810" w:name="_Toc178837968"/>
      <w:r>
        <w:t>22.23.3a Fermes de toiture préfabriquées en béton armé CCTB 01.02</w:t>
      </w:r>
      <w:bookmarkEnd w:id="810"/>
    </w:p>
    <w:p w14:paraId="718D9A12" w14:textId="77777777" w:rsidR="00DF410E" w:rsidRDefault="00CE7F43">
      <w:pPr>
        <w:pStyle w:val="Author-eSectionHeading6"/>
      </w:pPr>
      <w:bookmarkStart w:id="811" w:name="_Toc178837969"/>
      <w:r>
        <w:t>22.23.3b Charpentes de toiture préfabriquées en béton armé CCTB 01.02</w:t>
      </w:r>
      <w:bookmarkEnd w:id="811"/>
    </w:p>
    <w:p w14:paraId="605C8EC9" w14:textId="77777777" w:rsidR="00DF410E" w:rsidRDefault="00CE7F43">
      <w:pPr>
        <w:pStyle w:val="Author-eSectionHeading5"/>
      </w:pPr>
      <w:bookmarkStart w:id="812" w:name="_Toc178837970"/>
      <w:r>
        <w:t>22.23.4 Charpentes de toiture préfabriquées en béton architectonique CCTB 01.04</w:t>
      </w:r>
      <w:bookmarkEnd w:id="812"/>
    </w:p>
    <w:p w14:paraId="59DEA4BD" w14:textId="77777777" w:rsidR="00DF410E" w:rsidRDefault="00CE7F43">
      <w:pPr>
        <w:pStyle w:val="Author-eSectionHeading6"/>
      </w:pPr>
      <w:bookmarkStart w:id="813" w:name="_Toc178837971"/>
      <w:r>
        <w:t>22.23.4a Fermes de toiture préfabriquées en béton décoratif / architectonique CCTB 01.04</w:t>
      </w:r>
      <w:bookmarkEnd w:id="813"/>
    </w:p>
    <w:p w14:paraId="4D62B9D4" w14:textId="77777777" w:rsidR="00DF410E" w:rsidRDefault="00CE7F43">
      <w:pPr>
        <w:pStyle w:val="Author-eSectionHeading6"/>
      </w:pPr>
      <w:bookmarkStart w:id="814" w:name="_Toc178837972"/>
      <w:r>
        <w:t>22.23.4b Charpentes de toiture préfabriquées en béton décoratif / architectonique CCTB 01.04</w:t>
      </w:r>
      <w:bookmarkEnd w:id="814"/>
    </w:p>
    <w:p w14:paraId="5F7FEBAE" w14:textId="77777777" w:rsidR="00DF410E" w:rsidRDefault="00CE7F43">
      <w:pPr>
        <w:pStyle w:val="Author-eSectionHeading4"/>
      </w:pPr>
      <w:bookmarkStart w:id="815" w:name="_Toc178837973"/>
      <w:r>
        <w:t>22.24 Structures particulières en béton armé CCTB 01.02</w:t>
      </w:r>
      <w:bookmarkEnd w:id="815"/>
    </w:p>
    <w:p w14:paraId="4981611B" w14:textId="77777777" w:rsidR="00DF410E" w:rsidRDefault="00CE7F43">
      <w:pPr>
        <w:pStyle w:val="Author-eSectionHeading5"/>
      </w:pPr>
      <w:bookmarkStart w:id="816" w:name="_Toc178837974"/>
      <w:r>
        <w:t>22.24.1 Structures tridimensionnelles en béton coulé en place CCTB 01.04</w:t>
      </w:r>
      <w:bookmarkEnd w:id="816"/>
    </w:p>
    <w:p w14:paraId="03771C0F" w14:textId="77777777" w:rsidR="00DF410E" w:rsidRDefault="00CE7F43">
      <w:pPr>
        <w:pStyle w:val="Author-eSectionHeading6"/>
      </w:pPr>
      <w:bookmarkStart w:id="817" w:name="_Toc178837975"/>
      <w:r>
        <w:t>22.24.1a Structures tridimensionnelles en béton coulé en place CCTB 01.04</w:t>
      </w:r>
      <w:bookmarkEnd w:id="817"/>
    </w:p>
    <w:p w14:paraId="0B7C175C" w14:textId="77777777" w:rsidR="00DF410E" w:rsidRDefault="00CE7F43">
      <w:pPr>
        <w:pStyle w:val="Author-eSectionHeading5"/>
      </w:pPr>
      <w:bookmarkStart w:id="818" w:name="_Toc178837976"/>
      <w:r>
        <w:t>22.24.2 Structures tridimensionnelles préfabriquées en béton CCTB 01.04</w:t>
      </w:r>
      <w:bookmarkEnd w:id="818"/>
    </w:p>
    <w:p w14:paraId="3298E8D5" w14:textId="77777777" w:rsidR="00DF410E" w:rsidRDefault="00CE7F43">
      <w:pPr>
        <w:pStyle w:val="Author-eSectionHeading6"/>
      </w:pPr>
      <w:bookmarkStart w:id="819" w:name="_Toc178837977"/>
      <w:r>
        <w:t>22.24.2a Structures tridimensionnelles préfabriquées en béton CCTB 01.04</w:t>
      </w:r>
      <w:bookmarkEnd w:id="819"/>
    </w:p>
    <w:p w14:paraId="2F290700" w14:textId="77777777" w:rsidR="00DF410E" w:rsidRDefault="00CE7F43">
      <w:pPr>
        <w:pStyle w:val="Author-eSectionHeading5"/>
      </w:pPr>
      <w:bookmarkStart w:id="820" w:name="_Toc178837978"/>
      <w:r>
        <w:t>22.24.3 Structures tridimensionnelles préfabriquées en béton architectonique CCTB 01.04</w:t>
      </w:r>
      <w:bookmarkEnd w:id="820"/>
    </w:p>
    <w:p w14:paraId="53FE59C0" w14:textId="77777777" w:rsidR="00DF410E" w:rsidRDefault="00CE7F43">
      <w:pPr>
        <w:pStyle w:val="Author-eSectionHeading6"/>
      </w:pPr>
      <w:bookmarkStart w:id="821" w:name="_Toc178837979"/>
      <w:r>
        <w:t>22.24.3a Structures tridimensionnelles préfabriquées en béton décoratif / architectonique CCTB 01.04</w:t>
      </w:r>
      <w:bookmarkEnd w:id="821"/>
    </w:p>
    <w:p w14:paraId="5FC5F0EA" w14:textId="77777777" w:rsidR="00DF410E" w:rsidRDefault="00CE7F43">
      <w:pPr>
        <w:pStyle w:val="Author-eSectionHeading5"/>
      </w:pPr>
      <w:bookmarkStart w:id="822" w:name="_Toc178837980"/>
      <w:r>
        <w:t>22.24.4 Structures tridimensionnelles mixtes acier-béton CCTB 01.04</w:t>
      </w:r>
      <w:bookmarkEnd w:id="822"/>
    </w:p>
    <w:p w14:paraId="47B83CDD" w14:textId="77777777" w:rsidR="00DF410E" w:rsidRDefault="00CE7F43">
      <w:pPr>
        <w:pStyle w:val="Author-eSectionHeading6"/>
      </w:pPr>
      <w:bookmarkStart w:id="823" w:name="_Toc178837981"/>
      <w:r>
        <w:t>22.24.4a Structures tridimensionnelles mixtes acier-béton CCTB 01.04</w:t>
      </w:r>
      <w:bookmarkEnd w:id="823"/>
    </w:p>
    <w:p w14:paraId="0203CDCB" w14:textId="77777777" w:rsidR="00DF410E" w:rsidRDefault="00CE7F43">
      <w:pPr>
        <w:pStyle w:val="Author-eSectionHeading4"/>
      </w:pPr>
      <w:bookmarkStart w:id="824" w:name="_Toc178837982"/>
      <w:r>
        <w:t>22.25 Systèmes constructifs particuliers en béton CCTB 01.02</w:t>
      </w:r>
      <w:bookmarkEnd w:id="824"/>
    </w:p>
    <w:p w14:paraId="66FAA09D" w14:textId="77777777" w:rsidR="00DF410E" w:rsidRDefault="00CE7F43">
      <w:pPr>
        <w:pStyle w:val="Author-eSectionHeading5"/>
      </w:pPr>
      <w:bookmarkStart w:id="825" w:name="_Toc178837983"/>
      <w:r>
        <w:t>22.25.1 Systèmes constructifs particuliers en béton CCTB 01.02</w:t>
      </w:r>
      <w:bookmarkEnd w:id="825"/>
    </w:p>
    <w:p w14:paraId="37F085E6" w14:textId="77777777" w:rsidR="00DF410E" w:rsidRDefault="00CE7F43">
      <w:pPr>
        <w:pStyle w:val="Author-eSectionHeading6"/>
      </w:pPr>
      <w:bookmarkStart w:id="826" w:name="_Toc178837984"/>
      <w:r>
        <w:t>22.25.1a Systèmes constructifs particuliers en béton CCTB 01.02</w:t>
      </w:r>
      <w:bookmarkEnd w:id="826"/>
    </w:p>
    <w:p w14:paraId="214D9163" w14:textId="77777777" w:rsidR="00DF410E" w:rsidRDefault="00CE7F43">
      <w:pPr>
        <w:pStyle w:val="Author-eSectionHeading3"/>
      </w:pPr>
      <w:bookmarkStart w:id="827" w:name="_Toc178837985"/>
      <w:r>
        <w:t>22.3 Eléments et structures secondaires en béton CCTB 01.02</w:t>
      </w:r>
      <w:bookmarkEnd w:id="827"/>
    </w:p>
    <w:p w14:paraId="37CF4BB9" w14:textId="77777777" w:rsidR="00DF410E" w:rsidRDefault="00CE7F43">
      <w:pPr>
        <w:pStyle w:val="Author-eSectionHeading4"/>
      </w:pPr>
      <w:bookmarkStart w:id="828" w:name="532"/>
      <w:bookmarkStart w:id="829" w:name="_Toc178837986"/>
      <w:bookmarkEnd w:id="828"/>
      <w:r>
        <w:t>22.31 Escaliers en béton CCTB 01.11</w:t>
      </w:r>
      <w:bookmarkEnd w:id="829"/>
    </w:p>
    <w:p w14:paraId="2698B9FF" w14:textId="77777777" w:rsidR="00DF410E" w:rsidRDefault="00CE7F43">
      <w:pPr>
        <w:pStyle w:val="pheading"/>
      </w:pPr>
      <w:bookmarkStart w:id="830" w:name="514"/>
      <w:bookmarkEnd w:id="830"/>
      <w:r>
        <w:t>MATÉRIAUX</w:t>
      </w:r>
    </w:p>
    <w:p w14:paraId="4C24318B" w14:textId="77777777" w:rsidR="00DF410E" w:rsidRDefault="00CE7F43">
      <w:r>
        <w:rPr>
          <w:b/>
        </w:rPr>
        <w:t>Critères de performance</w:t>
      </w:r>
    </w:p>
    <w:p w14:paraId="238D8D65" w14:textId="77777777" w:rsidR="00DF410E" w:rsidRDefault="00CE7F43">
      <w:pPr>
        <w:pStyle w:val="Author-eListParagraph"/>
        <w:numPr>
          <w:ilvl w:val="0"/>
          <w:numId w:val="572"/>
        </w:numPr>
      </w:pPr>
      <w:r>
        <w:t xml:space="preserve">Résistance au feu : pour les escaliers sans fonction séparant </w:t>
      </w:r>
      <w:r>
        <w:rPr>
          <w:rStyle w:val="optioncarChar"/>
        </w:rPr>
        <w:t>R 30</w:t>
      </w:r>
      <w:r>
        <w:t> (par défaut)</w:t>
      </w:r>
      <w:r>
        <w:rPr>
          <w:rStyle w:val="optioncarChar"/>
        </w:rPr>
        <w:t xml:space="preserve"> / R 60 / R 120 / R ***</w:t>
      </w:r>
      <w:r>
        <w:t xml:space="preserve"> et pour les escaliers avec fonction séparant </w:t>
      </w:r>
      <w:r>
        <w:rPr>
          <w:rStyle w:val="optioncarChar"/>
        </w:rPr>
        <w:t>REI 30 </w:t>
      </w:r>
      <w:r>
        <w:t>(par défaut)</w:t>
      </w:r>
      <w:r>
        <w:rPr>
          <w:rStyle w:val="optioncarChar"/>
        </w:rPr>
        <w:t xml:space="preserve"> / REI 60 / REI 120 / REI ***</w:t>
      </w:r>
      <w:r>
        <w:t xml:space="preserve"> selon la [NBN EN 13501-2] (et les normes d’essais qui y sont référencées). La résistance au feu peut également se déterminer par calcul conformément aux Eurocodes structuraux (la [NBN EN 1992-1-2] en l’occurrence).</w:t>
      </w:r>
    </w:p>
    <w:p w14:paraId="087624C0" w14:textId="77777777" w:rsidR="00DF410E" w:rsidRDefault="00CE7F43">
      <w:pPr>
        <w:pStyle w:val="Author-eListParagraph"/>
        <w:numPr>
          <w:ilvl w:val="0"/>
          <w:numId w:val="572"/>
        </w:numPr>
      </w:pPr>
      <w:r>
        <w:t>Réaction au feu : un escalier en béton armé sans finition appartient à la classe de réaction au feu A1 (incombustible) sans essai préalable. La [Décision 96/603/CE] établit que le béton prêt à l’emploi et les produits préfabriqués en béton armé et en béton précontraint avec une teneur en matière organique inférieure à 1% (pourcentage massique ou volumique, selon la valeur la plus élevée) appartient à la classe de réaction au feu A1 (incombustible) sans qu’aucun autre test ne soit nécessaire.</w:t>
      </w:r>
    </w:p>
    <w:p w14:paraId="376C910C" w14:textId="77777777" w:rsidR="00DF410E" w:rsidRDefault="00CE7F43">
      <w:pPr>
        <w:pStyle w:val="pheading"/>
      </w:pPr>
      <w:r>
        <w:t>DOCUMENTS DE RÉFÉRENCE</w:t>
      </w:r>
    </w:p>
    <w:p w14:paraId="5B055525" w14:textId="77777777" w:rsidR="00DF410E" w:rsidRDefault="00CE7F43">
      <w:pPr>
        <w:pStyle w:val="pheading"/>
      </w:pPr>
      <w:r>
        <w:t>- Matériau</w:t>
      </w:r>
    </w:p>
    <w:p w14:paraId="76A059D5"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0A34814" w14:textId="77777777" w:rsidR="00DF410E" w:rsidRDefault="00CE7F43">
      <w:r>
        <w:t>[NBN EN 1992-2, Eurocode 2 - Calcul des structures en béton - Partie 2: Ponts en béton - Calcul et dispositions constructives (+AC:2008)]</w:t>
      </w:r>
    </w:p>
    <w:p w14:paraId="1310D8F2" w14:textId="77777777" w:rsidR="00DF410E" w:rsidRDefault="00CE7F43">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085F7FCE" w14:textId="77777777" w:rsidR="00DF410E" w:rsidRDefault="00CE7F43">
      <w:pPr>
        <w:pStyle w:val="pheading"/>
      </w:pPr>
      <w:r>
        <w:t>AIDE</w:t>
      </w:r>
    </w:p>
    <w:p w14:paraId="52B6B02E" w14:textId="77777777" w:rsidR="00DF410E" w:rsidRDefault="00CE7F43">
      <w:r>
        <w:rPr>
          <w:u w:val="single"/>
        </w:rPr>
        <w:t>Note à l'auteur de projet</w:t>
      </w:r>
    </w:p>
    <w:p w14:paraId="4591A898" w14:textId="77777777" w:rsidR="00DF410E" w:rsidRDefault="00CE7F43">
      <w:r>
        <w:t> </w:t>
      </w:r>
      <w:r>
        <w:rPr>
          <w:b/>
        </w:rPr>
        <w:t>Accessibilité aux personnes à mobilité réduite (PMR)</w:t>
      </w:r>
    </w:p>
    <w:p w14:paraId="7FFDA323" w14:textId="77777777" w:rsidR="00DF410E" w:rsidRDefault="00CE7F43">
      <w:r>
        <w:t> </w:t>
      </w:r>
    </w:p>
    <w:p w14:paraId="40686057" w14:textId="77777777" w:rsidR="00DF410E" w:rsidRDefault="00CE7F43">
      <w:r>
        <w:rPr>
          <w:i/>
          <w:u w:val="single"/>
        </w:rPr>
        <w:t>Général :</w:t>
      </w:r>
    </w:p>
    <w:p w14:paraId="7F44AF5C" w14:textId="77777777" w:rsidR="00DF410E" w:rsidRDefault="00CE7F43">
      <w:r>
        <w:t>Pente : entre 19° et 33° [Buildwise Article Dossier (2004/4.06)]</w:t>
      </w:r>
    </w:p>
    <w:p w14:paraId="090860C0" w14:textId="77777777" w:rsidR="00DF410E" w:rsidRDefault="00CE7F43">
      <w:r>
        <w:t>Géométrie : éviter les escaliers en colimaçon et l’utilisation de la méthode de balancement des marches [Buildwise Article Dossier (2004/4.06)]</w:t>
      </w:r>
    </w:p>
    <w:p w14:paraId="217450D6" w14:textId="77777777" w:rsidR="00DF410E" w:rsidRDefault="00CE7F43">
      <w:r>
        <w:t>Echappée : 220 cm minimum [SWL CALA]</w:t>
      </w:r>
    </w:p>
    <w:p w14:paraId="064DE63B" w14:textId="77777777" w:rsidR="00DF410E" w:rsidRDefault="00CE7F43">
      <w:r>
        <w:t>Largeur de libre passage, en cas de :</w:t>
      </w:r>
    </w:p>
    <w:p w14:paraId="758619A8" w14:textId="77777777" w:rsidR="00DF410E" w:rsidRDefault="00CE7F43">
      <w:pPr>
        <w:pStyle w:val="Author-eListParagraph"/>
        <w:numPr>
          <w:ilvl w:val="0"/>
          <w:numId w:val="573"/>
        </w:numPr>
      </w:pPr>
      <w:r>
        <w:t>Installation d’un fauteuil monte-escalier : 70 cm minimum</w:t>
      </w:r>
    </w:p>
    <w:p w14:paraId="34933306" w14:textId="77777777" w:rsidR="00DF410E" w:rsidRDefault="00CE7F43">
      <w:pPr>
        <w:pStyle w:val="Author-eListParagraph"/>
        <w:numPr>
          <w:ilvl w:val="0"/>
          <w:numId w:val="573"/>
        </w:numPr>
      </w:pPr>
      <w:r>
        <w:t>Installation d’une plateforme : 90 cm minimum [Buildwise Article Dossier (2004/4.06)]</w:t>
      </w:r>
    </w:p>
    <w:p w14:paraId="0E1943BA" w14:textId="77777777" w:rsidR="00DF410E" w:rsidRDefault="00CE7F43">
      <w:pPr>
        <w:pStyle w:val="Author-eListParagraph"/>
        <w:numPr>
          <w:ilvl w:val="0"/>
          <w:numId w:val="573"/>
        </w:numPr>
      </w:pPr>
      <w:r>
        <w:t>Evacuation manuelle : 122 cm minimum [NFPA 101 Life Safety Code Handbook]</w:t>
      </w:r>
    </w:p>
    <w:p w14:paraId="7A47E22D" w14:textId="77777777" w:rsidR="00DF410E" w:rsidRDefault="00CE7F43">
      <w:pPr>
        <w:pStyle w:val="Author-eListParagraph"/>
        <w:numPr>
          <w:ilvl w:val="0"/>
          <w:numId w:val="573"/>
        </w:numPr>
      </w:pPr>
      <w:r>
        <w:t>Utilisation d’une chaise d’évacuation : à établir en fonction des dimensions de la chaise</w:t>
      </w:r>
    </w:p>
    <w:p w14:paraId="32BCCD9D" w14:textId="77777777" w:rsidR="00DF410E" w:rsidRDefault="00CE7F43">
      <w:r>
        <w:br/>
      </w:r>
      <w:r>
        <w:rPr>
          <w:i/>
          <w:u w:val="single"/>
        </w:rPr>
        <w:t xml:space="preserve">Marches et contremarches : </w:t>
      </w:r>
    </w:p>
    <w:p w14:paraId="1028BDDB" w14:textId="77777777" w:rsidR="00DF410E" w:rsidRDefault="00CE7F43">
      <w:r>
        <w:t>Nombre de marches par volée : 15 à 20 maximum [SWL CALA], [NBN ISO 21542] et [BS 8300]</w:t>
      </w:r>
    </w:p>
    <w:p w14:paraId="0608286B" w14:textId="77777777" w:rsidR="00DF410E" w:rsidRDefault="00CE7F43">
      <w:r>
        <w:t>Module de pas (M=2H+G) : entre 60 et 64 cm [SWL CALA]</w:t>
      </w:r>
    </w:p>
    <w:p w14:paraId="02034AA5" w14:textId="77777777" w:rsidR="00DF410E" w:rsidRDefault="00CE7F43">
      <w:r>
        <w:t>Hauteur des marches (H) : 18 cm maximum [SWL CALA]</w:t>
      </w:r>
    </w:p>
    <w:p w14:paraId="53535124" w14:textId="77777777" w:rsidR="00DF410E" w:rsidRDefault="00CE7F43">
      <w:r>
        <w:t>Giron (G) : 25 cm minimum [SWL CALA]</w:t>
      </w:r>
    </w:p>
    <w:p w14:paraId="3E5CAA92" w14:textId="77777777" w:rsidR="00DF410E" w:rsidRDefault="00CE7F43">
      <w:r>
        <w:t>Type de marches : pleines, antidérapantes [CWATUP] (Article 415) et [SWL CALA]</w:t>
      </w:r>
    </w:p>
    <w:p w14:paraId="04088161" w14:textId="77777777" w:rsidR="00DF410E" w:rsidRDefault="00CE7F43">
      <w:r>
        <w:t>Type de contremarches : pleines, profil oblique [SWL CALA], [NBN ISO 21542] et [BS 8300]</w:t>
      </w:r>
    </w:p>
    <w:p w14:paraId="55580DA6" w14:textId="77777777" w:rsidR="00DF410E" w:rsidRDefault="00CE7F43">
      <w:r>
        <w:br/>
      </w:r>
      <w:r>
        <w:rPr>
          <w:i/>
          <w:u w:val="single"/>
        </w:rPr>
        <w:t xml:space="preserve"> Nez de marches : </w:t>
      </w:r>
    </w:p>
    <w:p w14:paraId="2E1087FA" w14:textId="77777777" w:rsidR="00DF410E" w:rsidRDefault="00CE7F43">
      <w:r>
        <w:t xml:space="preserve">    </w:t>
      </w:r>
      <w:r>
        <w:br/>
        <w:t xml:space="preserve"> Forme : non saillants [SWL CALA], [NBN ISO 21542] et [BS 8300]</w:t>
      </w:r>
      <w:r>
        <w:br/>
        <w:t xml:space="preserve"> Projection : 2.5 cm maximum [NBN ISO 21542] et [BS 8300]</w:t>
      </w:r>
    </w:p>
    <w:p w14:paraId="4B3D4029" w14:textId="77777777" w:rsidR="00DF410E" w:rsidRDefault="00CE7F43">
      <w:r>
        <w:t>Indicateurs visuels sur les nez de marches : [NBN ISO 21542] et [BS 8300]</w:t>
      </w:r>
    </w:p>
    <w:p w14:paraId="07D34388" w14:textId="77777777" w:rsidR="00DF410E" w:rsidRDefault="00CE7F43">
      <w:pPr>
        <w:pStyle w:val="Author-eListParagraph"/>
        <w:numPr>
          <w:ilvl w:val="0"/>
          <w:numId w:val="574"/>
        </w:numPr>
      </w:pPr>
      <w:r>
        <w:t>Localisation : de préférence, sur chaque marche ; sinon, sur la première et la dernière marche de chaque volée</w:t>
      </w:r>
    </w:p>
    <w:p w14:paraId="4ED27BB1" w14:textId="77777777" w:rsidR="00DF410E" w:rsidRDefault="00CE7F43">
      <w:pPr>
        <w:pStyle w:val="Author-eListParagraph"/>
        <w:numPr>
          <w:ilvl w:val="0"/>
          <w:numId w:val="575"/>
        </w:numPr>
      </w:pPr>
      <w:r>
        <w:t>Largeur : continus sur toute la largeur des marches</w:t>
      </w:r>
    </w:p>
    <w:p w14:paraId="7BE0137B" w14:textId="77777777" w:rsidR="00DF410E" w:rsidRDefault="00CE7F43">
      <w:pPr>
        <w:pStyle w:val="Author-eListParagraph"/>
        <w:numPr>
          <w:ilvl w:val="0"/>
          <w:numId w:val="575"/>
        </w:numPr>
      </w:pPr>
      <w:r>
        <w:t>Revêtement : antidérapants</w:t>
      </w:r>
    </w:p>
    <w:p w14:paraId="5E58623F" w14:textId="77777777" w:rsidR="00DF410E" w:rsidRDefault="00CE7F43">
      <w:pPr>
        <w:pStyle w:val="Author-eListParagraph"/>
        <w:numPr>
          <w:ilvl w:val="0"/>
          <w:numId w:val="575"/>
        </w:numPr>
      </w:pPr>
      <w:r>
        <w:t>Profondeur : 4 cm minimum sur la marche, peut redescendre sur la contremarche</w:t>
      </w:r>
    </w:p>
    <w:p w14:paraId="7FBE01CB" w14:textId="77777777" w:rsidR="00DF410E" w:rsidRDefault="00CE7F43">
      <w:pPr>
        <w:pStyle w:val="Author-eListParagraph"/>
        <w:numPr>
          <w:ilvl w:val="0"/>
          <w:numId w:val="575"/>
        </w:numPr>
      </w:pPr>
      <w:r>
        <w:t>Contraste : différence de coefficient de réflexion (LRV) entre les indicateurs et les marches de minimum 60%</w:t>
      </w:r>
    </w:p>
    <w:p w14:paraId="3757D311" w14:textId="77777777" w:rsidR="00DF410E" w:rsidRDefault="00CE7F43">
      <w:r>
        <w:t> </w:t>
      </w:r>
      <w:r>
        <w:rPr>
          <w:i/>
          <w:u w:val="single"/>
        </w:rPr>
        <w:t>Paliers :</w:t>
      </w:r>
      <w:r>
        <w:t>[CWATUP] et [NBN ISO 21542]</w:t>
      </w:r>
    </w:p>
    <w:p w14:paraId="3F48F2A4" w14:textId="77777777" w:rsidR="00DF410E" w:rsidRDefault="00CE7F43">
      <w:r>
        <w:t>Contraste : différence de coefficient de réflexion (LRV) entre les paliers et les marches de minimum 60% </w:t>
      </w:r>
    </w:p>
    <w:p w14:paraId="6C9151A5" w14:textId="77777777" w:rsidR="00DF410E" w:rsidRDefault="00CE7F43">
      <w:r>
        <w:rPr>
          <w:i/>
          <w:u w:val="single"/>
        </w:rPr>
        <w:t>Dalles d’éveil à la vigilance (ou dalles podotactiles) :</w:t>
      </w:r>
      <w:r>
        <w:t>[CWATUP] (Article 415), [SWL CALA], [NBN ISO 21542] et [NEN 1814]</w:t>
      </w:r>
    </w:p>
    <w:p w14:paraId="1DF61F81" w14:textId="77777777" w:rsidR="00DF410E" w:rsidRDefault="00CE7F43">
      <w:r>
        <w:t>Position : sur les paliers, au-dessus et en-dessous de chaque volée, à 50 cm du nez de la première et de la dernière marche</w:t>
      </w:r>
    </w:p>
    <w:p w14:paraId="06235562" w14:textId="77777777" w:rsidR="00DF410E" w:rsidRDefault="00CE7F43">
      <w:r>
        <w:t>Largeur : sur toute la largeur de l’escalier</w:t>
      </w:r>
    </w:p>
    <w:p w14:paraId="148F48F3" w14:textId="77777777" w:rsidR="00DF410E" w:rsidRDefault="00CE7F43">
      <w:r>
        <w:t>Profondeur : 60 cm minimum</w:t>
      </w:r>
    </w:p>
    <w:p w14:paraId="57EE5C88" w14:textId="77777777" w:rsidR="00DF410E" w:rsidRDefault="00CE7F43">
      <w:r>
        <w:t> </w:t>
      </w:r>
    </w:p>
    <w:p w14:paraId="6E60A778" w14:textId="77777777" w:rsidR="00DF410E" w:rsidRDefault="00CE7F43">
      <w:r>
        <w:rPr>
          <w:i/>
          <w:u w:val="single"/>
        </w:rPr>
        <w:t xml:space="preserve"> Main-courantes :</w:t>
      </w:r>
    </w:p>
    <w:p w14:paraId="0D058D2D" w14:textId="77777777" w:rsidR="00DF410E" w:rsidRDefault="00CE7F43">
      <w:r>
        <w:t> Type : double (2 lisses) [SWL CALA], [NBN ISO 21542] et [BS 8300]</w:t>
      </w:r>
    </w:p>
    <w:p w14:paraId="29059E16" w14:textId="77777777" w:rsidR="00DF410E" w:rsidRDefault="00CE7F43">
      <w:r>
        <w:t>Position : de chaque côté de l’escalier [CWATUP] (Article 415) et [SWL CALA]</w:t>
      </w:r>
    </w:p>
    <w:p w14:paraId="578E884F" w14:textId="77777777" w:rsidR="00DF410E" w:rsidRDefault="00CE7F43">
      <w:r>
        <w:t>Géométrie : solides et continues sur les paliers [CWATUP] (Article 415) et [SWL CALA]</w:t>
      </w:r>
    </w:p>
    <w:p w14:paraId="12102222" w14:textId="77777777" w:rsidR="00DF410E" w:rsidRDefault="00CE7F43">
      <w:r>
        <w:t>Prolongement : [CWATUP] (Article 415) et [SWL CALA]</w:t>
      </w:r>
    </w:p>
    <w:p w14:paraId="0FFA2741" w14:textId="77777777" w:rsidR="00DF410E" w:rsidRDefault="00CE7F43">
      <w:pPr>
        <w:pStyle w:val="Author-eListParagraph"/>
        <w:numPr>
          <w:ilvl w:val="0"/>
          <w:numId w:val="576"/>
        </w:numPr>
      </w:pPr>
      <w:r>
        <w:t>Côté mur : prolongement de 40 cm à l’origine et à l’extrémité de l’escalier</w:t>
      </w:r>
    </w:p>
    <w:p w14:paraId="0AC0A53C" w14:textId="77777777" w:rsidR="00DF410E" w:rsidRDefault="00CE7F43">
      <w:pPr>
        <w:pStyle w:val="Author-eListParagraph"/>
        <w:numPr>
          <w:ilvl w:val="0"/>
          <w:numId w:val="576"/>
        </w:numPr>
      </w:pPr>
      <w:r>
        <w:t>Côté vide : prolongement jusqu’au sol, et de 40 cm à l’origine et à l’extrémité de l’escalier pour autant que ce prolongement ne représente aucun obstacle ni danger</w:t>
      </w:r>
    </w:p>
    <w:p w14:paraId="1B8FA041" w14:textId="77777777" w:rsidR="00DF410E" w:rsidRDefault="00CE7F43">
      <w:r>
        <w:t>Hauteur : [SWL CALA] et [NBN ISO 21542] </w:t>
      </w:r>
    </w:p>
    <w:p w14:paraId="70038C97" w14:textId="77777777" w:rsidR="00DF410E" w:rsidRDefault="00CE7F43">
      <w:pPr>
        <w:pStyle w:val="Author-eListParagraph"/>
        <w:numPr>
          <w:ilvl w:val="0"/>
          <w:numId w:val="577"/>
        </w:numPr>
      </w:pPr>
      <w:r>
        <w:t>Main-courante principale : entre 85 et 100 cm par rapport au nez de marche</w:t>
      </w:r>
    </w:p>
    <w:p w14:paraId="533578C9" w14:textId="77777777" w:rsidR="00DF410E" w:rsidRDefault="00CE7F43">
      <w:pPr>
        <w:pStyle w:val="Author-eListParagraph"/>
        <w:numPr>
          <w:ilvl w:val="0"/>
          <w:numId w:val="577"/>
        </w:numPr>
      </w:pPr>
      <w:r>
        <w:t>Main-courante secondaire : entre 60 et 75 cm par rapport au nez de marche</w:t>
      </w:r>
    </w:p>
    <w:p w14:paraId="4567A1A4" w14:textId="77777777" w:rsidR="00DF410E" w:rsidRDefault="00CE7F43">
      <w:r>
        <w:t>Distance du mur : 4 cm minimum [SWL CALA]</w:t>
      </w:r>
    </w:p>
    <w:p w14:paraId="33B0FCA0" w14:textId="77777777" w:rsidR="00DF410E" w:rsidRDefault="00CE7F43">
      <w:r>
        <w:t>Diamètre : entre 4 et 5 cm [SWL CALA]</w:t>
      </w:r>
    </w:p>
    <w:p w14:paraId="27D85D1E" w14:textId="77777777" w:rsidR="00DF410E" w:rsidRDefault="00CE7F43">
      <w:r>
        <w:t>Contraste : différence de coefficient de réflexion (LRV) entre la main courante et son support de minimum 30% [NBN ISO 21542] et [BS 8300]</w:t>
      </w:r>
    </w:p>
    <w:p w14:paraId="32791D51" w14:textId="77777777" w:rsidR="00DF410E" w:rsidRDefault="00CE7F43">
      <w:pPr>
        <w:pStyle w:val="Author-eSectionHeading5"/>
      </w:pPr>
      <w:bookmarkStart w:id="831" w:name="_Toc178837987"/>
      <w:r>
        <w:t>22.31.1 Escaliers en béton coulé en place CCTB 01.12</w:t>
      </w:r>
      <w:bookmarkEnd w:id="831"/>
    </w:p>
    <w:p w14:paraId="6B6688F6" w14:textId="77777777" w:rsidR="00DF410E" w:rsidRDefault="00CE7F43">
      <w:pPr>
        <w:pStyle w:val="pheading"/>
      </w:pPr>
      <w:bookmarkStart w:id="832" w:name="1104"/>
      <w:bookmarkEnd w:id="832"/>
      <w:r>
        <w:t>DESCRIPTION</w:t>
      </w:r>
    </w:p>
    <w:p w14:paraId="57A12BB8" w14:textId="77777777" w:rsidR="00DF410E" w:rsidRDefault="00CE7F43">
      <w:pPr>
        <w:pStyle w:val="pheading"/>
      </w:pPr>
      <w:r>
        <w:t>- Définition / Comprend</w:t>
      </w:r>
    </w:p>
    <w:p w14:paraId="5D17107A" w14:textId="77777777" w:rsidR="00DF410E" w:rsidRDefault="00CE7F43">
      <w:r>
        <w:t>Il s'agit de l’ensemble des </w:t>
      </w:r>
      <w:r>
        <w:rPr>
          <w:rStyle w:val="optioncarChar"/>
        </w:rPr>
        <w:t xml:space="preserve">escaliers / paliers / tous les éléments dont la face supérieure ont une inclinaison supérieure à 6/4 </w:t>
      </w:r>
      <w:r>
        <w:t>(par défaut) </w:t>
      </w:r>
      <w:r>
        <w:rPr>
          <w:rStyle w:val="optioncarChar"/>
        </w:rPr>
        <w:t xml:space="preserve">/ ***, </w:t>
      </w:r>
      <w:r>
        <w:t xml:space="preserve">exécutés en béton coulé en place. En ce qui concerne les prescriptions générales en matière de charges d’exploitation, sécurité anti-incendie, modulation de l’escalier, etc. voir le chapitre </w:t>
      </w:r>
      <w:hyperlink r:id="rId94" w:history="1" w:docLocation="375">
        <w:r>
          <w:t>57.1 Escaliers et garde-corps complets</w:t>
        </w:r>
      </w:hyperlink>
      <w:r>
        <w:t xml:space="preserve">. Les éventuelles finitions d’escalier sont décrites dans un poste séparé du chapitre </w:t>
      </w:r>
      <w:hyperlink r:id="rId95" w:history="1" w:docLocation="515">
        <w:r>
          <w:t>46.4 Revêtements de sols extérieurs (des balcons)</w:t>
        </w:r>
      </w:hyperlink>
      <w:r>
        <w:t>.</w:t>
      </w:r>
    </w:p>
    <w:p w14:paraId="58E001F8" w14:textId="77777777" w:rsidR="00DF410E" w:rsidRDefault="00CE7F43">
      <w:pPr>
        <w:pStyle w:val="pheading"/>
      </w:pPr>
      <w:r>
        <w:t>MATÉRIAUX</w:t>
      </w:r>
    </w:p>
    <w:p w14:paraId="24B86548" w14:textId="77777777" w:rsidR="00DF410E" w:rsidRDefault="00CE7F43">
      <w:r>
        <w:t xml:space="preserve">Qualité du béton selon la [NBN EN 206:2013+A2] et la [NBN B 15-001]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714D7970" w14:textId="77777777">
        <w:tc>
          <w:tcPr>
            <w:tcW w:w="1500" w:type="dxa"/>
            <w:noWrap/>
          </w:tcPr>
          <w:p w14:paraId="51123AFF" w14:textId="77777777" w:rsidR="00DF410E" w:rsidRDefault="00CE7F43">
            <w:pPr>
              <w:jc w:val="center"/>
            </w:pPr>
            <w:r>
              <w:rPr>
                <w:b/>
              </w:rPr>
              <w:t>A</w:t>
            </w:r>
          </w:p>
        </w:tc>
        <w:tc>
          <w:tcPr>
            <w:tcW w:w="1500" w:type="dxa"/>
            <w:noWrap/>
          </w:tcPr>
          <w:p w14:paraId="436E192F" w14:textId="77777777" w:rsidR="00DF410E" w:rsidRDefault="00CE7F43">
            <w:pPr>
              <w:jc w:val="center"/>
            </w:pPr>
            <w:r>
              <w:rPr>
                <w:b/>
              </w:rPr>
              <w:t>B1</w:t>
            </w:r>
          </w:p>
        </w:tc>
        <w:tc>
          <w:tcPr>
            <w:tcW w:w="1500" w:type="dxa"/>
            <w:noWrap/>
          </w:tcPr>
          <w:p w14:paraId="71C90407" w14:textId="77777777" w:rsidR="00DF410E" w:rsidRDefault="00CE7F43">
            <w:pPr>
              <w:jc w:val="center"/>
            </w:pPr>
            <w:r>
              <w:rPr>
                <w:b/>
              </w:rPr>
              <w:t>B2</w:t>
            </w:r>
          </w:p>
        </w:tc>
        <w:tc>
          <w:tcPr>
            <w:tcW w:w="1500" w:type="dxa"/>
            <w:noWrap/>
          </w:tcPr>
          <w:p w14:paraId="47AC6638" w14:textId="77777777" w:rsidR="00DF410E" w:rsidRDefault="00CE7F43">
            <w:pPr>
              <w:jc w:val="center"/>
            </w:pPr>
            <w:r>
              <w:rPr>
                <w:b/>
              </w:rPr>
              <w:t>C</w:t>
            </w:r>
          </w:p>
        </w:tc>
        <w:tc>
          <w:tcPr>
            <w:tcW w:w="1500" w:type="dxa"/>
            <w:noWrap/>
          </w:tcPr>
          <w:p w14:paraId="3BDA5EEA" w14:textId="77777777" w:rsidR="00DF410E" w:rsidRDefault="00CE7F43">
            <w:pPr>
              <w:jc w:val="center"/>
            </w:pPr>
            <w:r>
              <w:rPr>
                <w:b/>
              </w:rPr>
              <w:t>D</w:t>
            </w:r>
          </w:p>
        </w:tc>
        <w:tc>
          <w:tcPr>
            <w:tcW w:w="1500" w:type="dxa"/>
            <w:noWrap/>
          </w:tcPr>
          <w:p w14:paraId="4378186A" w14:textId="77777777" w:rsidR="00DF410E" w:rsidRDefault="00CE7F43">
            <w:pPr>
              <w:jc w:val="center"/>
            </w:pPr>
            <w:r>
              <w:rPr>
                <w:b/>
              </w:rPr>
              <w:t>E</w:t>
            </w:r>
          </w:p>
        </w:tc>
      </w:tr>
      <w:tr w:rsidR="00DF410E" w14:paraId="7C63505F" w14:textId="77777777">
        <w:tc>
          <w:tcPr>
            <w:tcW w:w="1500" w:type="dxa"/>
            <w:noWrap/>
          </w:tcPr>
          <w:p w14:paraId="4438C336" w14:textId="77777777" w:rsidR="00DF410E" w:rsidRDefault="00CE7F43">
            <w:pPr>
              <w:jc w:val="center"/>
            </w:pPr>
            <w:r>
              <w:rPr>
                <w:b/>
              </w:rPr>
              <w:t>Classe de résistance</w:t>
            </w:r>
          </w:p>
        </w:tc>
        <w:tc>
          <w:tcPr>
            <w:tcW w:w="1500" w:type="dxa"/>
            <w:noWrap/>
          </w:tcPr>
          <w:p w14:paraId="50A5BC78" w14:textId="77777777" w:rsidR="00DF410E" w:rsidRDefault="00CE7F43">
            <w:pPr>
              <w:jc w:val="center"/>
            </w:pPr>
            <w:r>
              <w:rPr>
                <w:b/>
              </w:rPr>
              <w:t>Domaine d’application</w:t>
            </w:r>
          </w:p>
        </w:tc>
        <w:tc>
          <w:tcPr>
            <w:tcW w:w="1500" w:type="dxa"/>
            <w:noWrap/>
          </w:tcPr>
          <w:p w14:paraId="013C16DF" w14:textId="77777777" w:rsidR="00DF410E" w:rsidRDefault="00CE7F43">
            <w:pPr>
              <w:jc w:val="center"/>
            </w:pPr>
            <w:r>
              <w:rPr>
                <w:b/>
              </w:rPr>
              <w:t>Classe d'environnement</w:t>
            </w:r>
          </w:p>
        </w:tc>
        <w:tc>
          <w:tcPr>
            <w:tcW w:w="1500" w:type="dxa"/>
            <w:noWrap/>
          </w:tcPr>
          <w:p w14:paraId="7946233A" w14:textId="77777777" w:rsidR="00DF410E" w:rsidRDefault="00CE7F43">
            <w:pPr>
              <w:jc w:val="center"/>
            </w:pPr>
            <w:r>
              <w:rPr>
                <w:b/>
              </w:rPr>
              <w:t>Classe de consistance</w:t>
            </w:r>
          </w:p>
        </w:tc>
        <w:tc>
          <w:tcPr>
            <w:tcW w:w="1500" w:type="dxa"/>
            <w:noWrap/>
          </w:tcPr>
          <w:p w14:paraId="12C26D72" w14:textId="77777777" w:rsidR="00DF410E" w:rsidRDefault="00CE7F43">
            <w:pPr>
              <w:jc w:val="center"/>
            </w:pPr>
            <w:r>
              <w:rPr>
                <w:b/>
              </w:rPr>
              <w:t>Granulométrie maximale</w:t>
            </w:r>
          </w:p>
        </w:tc>
        <w:tc>
          <w:tcPr>
            <w:tcW w:w="1500" w:type="dxa"/>
            <w:noWrap/>
          </w:tcPr>
          <w:p w14:paraId="47ED79B8" w14:textId="77777777" w:rsidR="00DF410E" w:rsidRDefault="00CE7F43">
            <w:r>
              <w:rPr>
                <w:b/>
              </w:rPr>
              <w:t>Données complémentaires</w:t>
            </w:r>
          </w:p>
        </w:tc>
      </w:tr>
      <w:tr w:rsidR="00DF410E" w14:paraId="2198AAD5" w14:textId="77777777">
        <w:tc>
          <w:tcPr>
            <w:tcW w:w="1500" w:type="dxa"/>
            <w:noWrap/>
          </w:tcPr>
          <w:p w14:paraId="090F4620" w14:textId="77777777" w:rsidR="00DF410E" w:rsidRDefault="00CE7F43">
            <w:pPr>
              <w:jc w:val="center"/>
            </w:pPr>
            <w:r>
              <w:rPr>
                <w:rStyle w:val="optioncarChar"/>
              </w:rPr>
              <w:t>C25/30 / C30/37 / C35/45 / C45/55 / C50/60 / C55/67 / C60/75 / C70/85 / C80/95 / C90/105</w:t>
            </w:r>
          </w:p>
        </w:tc>
        <w:tc>
          <w:tcPr>
            <w:tcW w:w="1500" w:type="dxa"/>
            <w:noWrap/>
          </w:tcPr>
          <w:p w14:paraId="2A01E59C" w14:textId="77777777" w:rsidR="00DF410E" w:rsidRDefault="00CE7F43">
            <w:pPr>
              <w:jc w:val="center"/>
            </w:pPr>
            <w:r>
              <w:t>Béton armé</w:t>
            </w:r>
          </w:p>
          <w:p w14:paraId="25D25D0D" w14:textId="77777777" w:rsidR="00DF410E" w:rsidRDefault="00DF410E"/>
        </w:tc>
        <w:tc>
          <w:tcPr>
            <w:tcW w:w="1500" w:type="dxa"/>
            <w:noWrap/>
          </w:tcPr>
          <w:p w14:paraId="12488B3A" w14:textId="77777777" w:rsidR="00DF410E" w:rsidRDefault="00CE7F43">
            <w:pPr>
              <w:jc w:val="center"/>
            </w:pPr>
            <w:r>
              <w:rPr>
                <w:rStyle w:val="optioncarChar"/>
              </w:rPr>
              <w:t>E0 / EI / EE1 / EE2 / EE3 / EE4 / ES1 / ES2 / ES3 / ES4 / EA1+*** / EA2+***/ EA3+***</w:t>
            </w:r>
          </w:p>
        </w:tc>
        <w:tc>
          <w:tcPr>
            <w:tcW w:w="1500" w:type="dxa"/>
            <w:noWrap/>
          </w:tcPr>
          <w:p w14:paraId="0411D8D6" w14:textId="77777777" w:rsidR="00DF410E" w:rsidRDefault="00CE7F43">
            <w:pPr>
              <w:jc w:val="center"/>
            </w:pPr>
            <w:r>
              <w:t>au choix de l'entrepreneur :</w:t>
            </w:r>
          </w:p>
          <w:p w14:paraId="3BB83607" w14:textId="77777777" w:rsidR="00DF410E" w:rsidRDefault="00CE7F43">
            <w:pPr>
              <w:jc w:val="center"/>
            </w:pPr>
            <w:r>
              <w:rPr>
                <w:rStyle w:val="optioncarChar"/>
              </w:rPr>
              <w:t xml:space="preserve">S3 / S4 / S5 </w:t>
            </w:r>
          </w:p>
          <w:p w14:paraId="24FD6B6F" w14:textId="77777777" w:rsidR="00DF410E" w:rsidRDefault="00CE7F43">
            <w:pPr>
              <w:jc w:val="center"/>
            </w:pPr>
            <w:r>
              <w:rPr>
                <w:rStyle w:val="optioncarChar"/>
              </w:rPr>
              <w:t>F3 / F4 / F5 / F6</w:t>
            </w:r>
            <w:r>
              <w:br/>
            </w:r>
          </w:p>
        </w:tc>
        <w:tc>
          <w:tcPr>
            <w:tcW w:w="1500" w:type="dxa"/>
            <w:noWrap/>
          </w:tcPr>
          <w:p w14:paraId="290F4057" w14:textId="77777777" w:rsidR="00DF410E" w:rsidRDefault="00CE7F43">
            <w:pPr>
              <w:jc w:val="center"/>
            </w:pPr>
            <w:r>
              <w:t>au choix de l'entrepreneur :</w:t>
            </w:r>
          </w:p>
          <w:p w14:paraId="49241A3A" w14:textId="77777777" w:rsidR="00DF410E" w:rsidRDefault="00CE7F43">
            <w:pPr>
              <w:jc w:val="center"/>
            </w:pPr>
            <w:r>
              <w:rPr>
                <w:rStyle w:val="optioncarChar"/>
              </w:rPr>
              <w:t>*** / 6 / 8 / 10 / 11 / 12 / 14 / 16 / 20 / 22 / 32</w:t>
            </w:r>
            <w:r>
              <w:t xml:space="preserve"> mm</w:t>
            </w:r>
          </w:p>
        </w:tc>
        <w:tc>
          <w:tcPr>
            <w:tcW w:w="1500" w:type="dxa"/>
            <w:noWrap/>
          </w:tcPr>
          <w:p w14:paraId="090F0DFF" w14:textId="77777777" w:rsidR="00DF410E" w:rsidRDefault="00CE7F43">
            <w:pPr>
              <w:jc w:val="center"/>
            </w:pPr>
            <w:r>
              <w:rPr>
                <w:rStyle w:val="optioncarChar"/>
              </w:rPr>
              <w:t>***</w:t>
            </w:r>
          </w:p>
        </w:tc>
      </w:tr>
    </w:tbl>
    <w:p w14:paraId="78DE73E2" w14:textId="77777777" w:rsidR="00DF410E" w:rsidRDefault="00DF410E"/>
    <w:p w14:paraId="0910A263"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E32580D" w14:textId="77777777" w:rsidR="00DF410E" w:rsidRDefault="00CE7F43">
      <w:pPr>
        <w:pStyle w:val="Author-eListParagraph"/>
        <w:numPr>
          <w:ilvl w:val="0"/>
          <w:numId w:val="578"/>
        </w:numPr>
      </w:pPr>
      <w:r>
        <w:t xml:space="preserve">Classe de viscosité apparente : </w:t>
      </w:r>
      <w:r>
        <w:rPr>
          <w:rStyle w:val="optioncarChar"/>
        </w:rPr>
        <w:t>VS1 / VS2</w:t>
      </w:r>
      <w:r>
        <w:t xml:space="preserve"> (selon la [NBN EN 12350-8] )</w:t>
      </w:r>
    </w:p>
    <w:p w14:paraId="4C68CB61" w14:textId="77777777" w:rsidR="00DF410E" w:rsidRDefault="00CE7F43">
      <w:pPr>
        <w:pStyle w:val="Author-eListParagraph"/>
        <w:numPr>
          <w:ilvl w:val="0"/>
          <w:numId w:val="57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B4F2E37" w14:textId="77777777" w:rsidR="00DF410E" w:rsidRDefault="00CE7F43">
      <w:pPr>
        <w:pStyle w:val="Author-eListParagraph"/>
        <w:numPr>
          <w:ilvl w:val="0"/>
          <w:numId w:val="57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7ACD5FC"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1C9A14DE" w14:textId="77777777" w:rsidR="00DF410E" w:rsidRDefault="00CE7F43">
      <w:pPr>
        <w:pStyle w:val="Author-eListParagraph"/>
        <w:numPr>
          <w:ilvl w:val="0"/>
          <w:numId w:val="57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5E1F46D6" w14:textId="77777777" w:rsidR="00DF410E" w:rsidRDefault="00CE7F43">
      <w:pPr>
        <w:pStyle w:val="Author-eListParagraph"/>
        <w:numPr>
          <w:ilvl w:val="0"/>
          <w:numId w:val="579"/>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70ED76CD" w14:textId="77777777" w:rsidR="00DF410E" w:rsidRDefault="00CE7F43">
      <w:pPr>
        <w:pStyle w:val="Author-eListParagraph"/>
        <w:numPr>
          <w:ilvl w:val="0"/>
          <w:numId w:val="579"/>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6 x 6</w:t>
      </w:r>
      <w:r>
        <w:t> (par défaut)</w:t>
      </w:r>
      <w:r>
        <w:rPr>
          <w:rStyle w:val="optioncarChar"/>
        </w:rPr>
        <w:t xml:space="preserve"> / ***x***x***x***</w:t>
      </w:r>
      <w:r>
        <w:t xml:space="preserve"> mm.</w:t>
      </w:r>
    </w:p>
    <w:p w14:paraId="60F3885D" w14:textId="77777777" w:rsidR="00DF410E" w:rsidRDefault="00DF410E"/>
    <w:p w14:paraId="79C33538" w14:textId="77777777" w:rsidR="00DF410E" w:rsidRDefault="00CE7F43">
      <w:pPr>
        <w:pStyle w:val="pheading"/>
      </w:pPr>
      <w:r>
        <w:t>EXÉCUTION / MISE EN ŒUVRE</w:t>
      </w:r>
    </w:p>
    <w:p w14:paraId="50DD9297" w14:textId="77777777" w:rsidR="00DF410E" w:rsidRDefault="00CE7F43">
      <w:r>
        <w:t>L'étude est à charge</w:t>
      </w:r>
      <w:r>
        <w:rPr>
          <w:rStyle w:val="optioncarChar"/>
        </w:rPr>
        <w:t xml:space="preserve"> de l'entrepreneur </w:t>
      </w:r>
      <w:r>
        <w:t>(par défaut) </w:t>
      </w:r>
      <w:r>
        <w:rPr>
          <w:rStyle w:val="optioncarChar"/>
        </w:rPr>
        <w:t xml:space="preserve">/ du maître de l'ouvrage / du bureau d’étude </w:t>
      </w:r>
      <w:r>
        <w:t xml:space="preserve">(voir </w:t>
      </w:r>
      <w:hyperlink w:anchor="87" w:history="1">
        <w:r>
          <w:t>22 Superstructures en béton</w:t>
        </w:r>
      </w:hyperlink>
      <w:r>
        <w:t>)</w:t>
      </w:r>
      <w:r>
        <w:br/>
        <w:t xml:space="preserve">Les escaliers et les paliers sont coulés sur place en </w:t>
      </w:r>
      <w:r>
        <w:rPr>
          <w:rStyle w:val="optioncarChar"/>
        </w:rPr>
        <w:t>une seule</w:t>
      </w:r>
      <w:r>
        <w:t> (par défaut)</w:t>
      </w:r>
      <w:r>
        <w:rPr>
          <w:rStyle w:val="optioncarChar"/>
        </w:rPr>
        <w:t> / ***</w:t>
      </w:r>
      <w:r>
        <w:t xml:space="preserve"> fois.</w:t>
      </w:r>
      <w:r>
        <w:br/>
        <w:t xml:space="preserve">Le décoffrage se fait au plus tôt </w:t>
      </w:r>
      <w:r>
        <w:rPr>
          <w:rStyle w:val="optioncarChar"/>
        </w:rPr>
        <w:t xml:space="preserve">*** jours après le coulage du béton / selon les directives de l’ingénieur </w:t>
      </w:r>
      <w:r>
        <w:t>(par défaut).</w:t>
      </w:r>
      <w:r>
        <w:br/>
        <w:t>La période de cure est conforme aux exigences de la [NBN EN 13670] et de la [NBN B 15-400] § F.8.5.</w:t>
      </w:r>
    </w:p>
    <w:p w14:paraId="5F4D7E66" w14:textId="77777777" w:rsidR="00DF410E" w:rsidRDefault="00CE7F43">
      <w:pPr>
        <w:pStyle w:val="Author-eSectionHeading6"/>
      </w:pPr>
      <w:bookmarkStart w:id="833" w:name="_Toc178837988"/>
      <w:r>
        <w:t>22.31.1a Volées d'escaliers en béton coulé en place CCTB 01.11</w:t>
      </w:r>
      <w:bookmarkEnd w:id="833"/>
    </w:p>
    <w:p w14:paraId="3AF6FD33" w14:textId="77777777" w:rsidR="00DF410E" w:rsidRDefault="00CE7F43">
      <w:pPr>
        <w:pStyle w:val="pheading"/>
      </w:pPr>
      <w:r>
        <w:t>MATÉRIAUX</w:t>
      </w:r>
    </w:p>
    <w:p w14:paraId="305C67D1" w14:textId="77777777" w:rsidR="00DF410E" w:rsidRDefault="00CE7F43">
      <w:pPr>
        <w:pStyle w:val="pheading"/>
      </w:pPr>
      <w:r>
        <w:t>- Finitions</w:t>
      </w:r>
    </w:p>
    <w:p w14:paraId="6407920B" w14:textId="77777777" w:rsidR="00DF410E" w:rsidRDefault="00CE7F43">
      <w:r>
        <w:t xml:space="preserve">Surface de béton: </w:t>
      </w:r>
      <w:r>
        <w:rPr>
          <w:rStyle w:val="optioncarChar"/>
        </w:rPr>
        <w:t xml:space="preserve">brute et lisse </w:t>
      </w:r>
      <w:r>
        <w:t>(par défaut)</w:t>
      </w:r>
      <w:r>
        <w:rPr>
          <w:rStyle w:val="optioncarChar"/>
        </w:rPr>
        <w:t xml:space="preserve"> / rugueuse / ****</w:t>
      </w:r>
    </w:p>
    <w:p w14:paraId="117A9707" w14:textId="77777777" w:rsidR="00DF410E" w:rsidRDefault="00CE7F43">
      <w:pPr>
        <w:pStyle w:val="pheading"/>
      </w:pPr>
      <w:r>
        <w:t>- Prescriptions complémentaires</w:t>
      </w:r>
    </w:p>
    <w:p w14:paraId="270091A8" w14:textId="77777777" w:rsidR="00DF410E" w:rsidRDefault="00CE7F43">
      <w:r>
        <w:t xml:space="preserve">Résistance au feu : pour les escaliers sans fonction séparante </w:t>
      </w:r>
      <w:r>
        <w:rPr>
          <w:rStyle w:val="optioncarChar"/>
        </w:rPr>
        <w:t xml:space="preserve">R30 </w:t>
      </w:r>
      <w:r>
        <w:t>(par défaut) </w:t>
      </w:r>
      <w:r>
        <w:rPr>
          <w:rStyle w:val="optioncarChar"/>
        </w:rPr>
        <w:t>/ R60 / R120 / R ***</w:t>
      </w:r>
      <w:r>
        <w:t xml:space="preserve"> et pour les escaliers avec fonction séparante </w:t>
      </w:r>
      <w:r>
        <w:rPr>
          <w:rStyle w:val="optioncarChar"/>
        </w:rPr>
        <w:t xml:space="preserve">REI 30 </w:t>
      </w:r>
      <w:r>
        <w:t>(par défaut) </w:t>
      </w:r>
      <w:r>
        <w:rPr>
          <w:rStyle w:val="optioncarChar"/>
        </w:rPr>
        <w:t>/ REI 60 / REI 120 / REI *** </w:t>
      </w:r>
    </w:p>
    <w:p w14:paraId="5BE090A7" w14:textId="77777777" w:rsidR="00DF410E" w:rsidRDefault="00CE7F43">
      <w:pPr>
        <w:pStyle w:val="pheading"/>
      </w:pPr>
      <w:r>
        <w:t>EXÉCUTION / MISE EN ŒUVRE</w:t>
      </w:r>
    </w:p>
    <w:p w14:paraId="511A4077" w14:textId="77777777" w:rsidR="00DF410E" w:rsidRDefault="00CE7F43">
      <w:pPr>
        <w:pStyle w:val="pheading"/>
      </w:pPr>
      <w:r>
        <w:t>- Notes d’exécution complémentaires</w:t>
      </w:r>
    </w:p>
    <w:p w14:paraId="77280159" w14:textId="77777777" w:rsidR="00DF410E" w:rsidRDefault="00CE7F43">
      <w:r>
        <w:t xml:space="preserve">Raccords visibles : joint en forme de </w:t>
      </w:r>
      <w:r>
        <w:rPr>
          <w:rStyle w:val="optioncarChar"/>
        </w:rPr>
        <w:t>*** / V</w:t>
      </w:r>
      <w:r>
        <w:t xml:space="preserve"> (par défaut)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(PMR) </w:t>
      </w:r>
      <w:r>
        <w:t>(par défaut)</w:t>
      </w:r>
      <w:r>
        <w:rPr>
          <w:rStyle w:val="optioncarChar"/>
        </w:rPr>
        <w:t xml:space="preserve"> / *** </w:t>
      </w:r>
    </w:p>
    <w:p w14:paraId="54C8B7A8" w14:textId="77777777" w:rsidR="00DF410E" w:rsidRDefault="00CE7F43">
      <w:pPr>
        <w:pStyle w:val="pheading"/>
      </w:pPr>
      <w:r>
        <w:t>MESURAGE</w:t>
      </w:r>
    </w:p>
    <w:p w14:paraId="333A797B" w14:textId="77777777" w:rsidR="00DF410E" w:rsidRDefault="00CE7F43">
      <w:pPr>
        <w:pStyle w:val="pheading"/>
      </w:pPr>
      <w:r>
        <w:t>- unité de mesure:</w:t>
      </w:r>
    </w:p>
    <w:p w14:paraId="6553282B" w14:textId="77777777" w:rsidR="00DF410E" w:rsidRDefault="00CE7F43">
      <w:r>
        <w:rPr>
          <w:b/>
        </w:rPr>
        <w:t xml:space="preserve">1. </w:t>
      </w:r>
      <w:r>
        <w:t>m pour le béton</w:t>
      </w:r>
    </w:p>
    <w:p w14:paraId="4238D436" w14:textId="77777777" w:rsidR="00DF410E" w:rsidRDefault="00CE7F43">
      <w:r>
        <w:rPr>
          <w:b/>
        </w:rPr>
        <w:t xml:space="preserve">2. </w:t>
      </w:r>
      <w:r>
        <w:t>kg pour les barres d’armatures</w:t>
      </w:r>
    </w:p>
    <w:p w14:paraId="1931E640" w14:textId="77777777" w:rsidR="00DF410E" w:rsidRDefault="00CE7F43">
      <w:r>
        <w:rPr>
          <w:b/>
        </w:rPr>
        <w:t>3.</w:t>
      </w:r>
      <w:r>
        <w:t xml:space="preserve"> PM, coffrages</w:t>
      </w:r>
    </w:p>
    <w:p w14:paraId="2A5AD56E" w14:textId="77777777" w:rsidR="00DF410E" w:rsidRDefault="00CE7F43">
      <w:pPr>
        <w:pStyle w:val="pheading"/>
      </w:pPr>
      <w:r>
        <w:t>- nature du marché:</w:t>
      </w:r>
    </w:p>
    <w:p w14:paraId="79BAAEEE" w14:textId="77777777" w:rsidR="00DF410E" w:rsidRDefault="00CE7F43">
      <w:r>
        <w:t>QF</w:t>
      </w:r>
    </w:p>
    <w:p w14:paraId="09D5D5BA" w14:textId="77777777" w:rsidR="00DF410E" w:rsidRDefault="00CE7F43">
      <w:pPr>
        <w:pStyle w:val="Author-eSectionHeading6"/>
      </w:pPr>
      <w:bookmarkStart w:id="834" w:name="_Toc178837989"/>
      <w:r>
        <w:t>22.31.1b Paliers d'escaliers en béton coulé en place CCTB 01.11</w:t>
      </w:r>
      <w:bookmarkEnd w:id="834"/>
    </w:p>
    <w:p w14:paraId="6B74FE62" w14:textId="77777777" w:rsidR="00DF410E" w:rsidRDefault="00CE7F43">
      <w:pPr>
        <w:pStyle w:val="pheading"/>
      </w:pPr>
      <w:r>
        <w:t>MATÉRIAUX</w:t>
      </w:r>
    </w:p>
    <w:p w14:paraId="024FF030" w14:textId="77777777" w:rsidR="00DF410E" w:rsidRDefault="00CE7F43">
      <w:pPr>
        <w:pStyle w:val="pheading"/>
      </w:pPr>
      <w:r>
        <w:t>- Finitions</w:t>
      </w:r>
    </w:p>
    <w:p w14:paraId="4FBE1B35" w14:textId="77777777" w:rsidR="00DF410E" w:rsidRDefault="00CE7F43">
      <w:r>
        <w:t xml:space="preserve">Surface de béton: </w:t>
      </w:r>
      <w:r>
        <w:rPr>
          <w:rStyle w:val="optioncarChar"/>
        </w:rPr>
        <w:t xml:space="preserve">brute et lisse </w:t>
      </w:r>
      <w:r>
        <w:t>(par défaut)</w:t>
      </w:r>
      <w:r>
        <w:rPr>
          <w:rStyle w:val="optioncarChar"/>
        </w:rPr>
        <w:t xml:space="preserve"> / rugueuse / ***</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4B269BD1" w14:textId="77777777" w:rsidR="00DF410E" w:rsidRDefault="00CE7F43">
      <w:pPr>
        <w:pStyle w:val="pheading"/>
      </w:pPr>
      <w:r>
        <w:t>- Prescriptions complémentaires</w:t>
      </w:r>
    </w:p>
    <w:p w14:paraId="2334906C" w14:textId="77777777" w:rsidR="00DF410E" w:rsidRDefault="00CE7F43">
      <w:r>
        <w:t xml:space="preserve">Résistance au feu : pour les escaliers sans fonction séparant </w:t>
      </w:r>
      <w:r>
        <w:rPr>
          <w:rStyle w:val="optioncarChar"/>
        </w:rPr>
        <w:t>/ R30 </w:t>
      </w:r>
      <w:r>
        <w:t>(par défaut) </w:t>
      </w:r>
      <w:r>
        <w:rPr>
          <w:rStyle w:val="optioncarChar"/>
        </w:rPr>
        <w:t>/ R60 / R120 / R ***</w:t>
      </w:r>
      <w:r>
        <w:t xml:space="preserve"> et pour les escaliers avec fonction séparant </w:t>
      </w:r>
      <w:r>
        <w:rPr>
          <w:rStyle w:val="optioncarChar"/>
        </w:rPr>
        <w:t>/ REI 30</w:t>
      </w:r>
      <w:r>
        <w:t> (par défaut)</w:t>
      </w:r>
      <w:r>
        <w:rPr>
          <w:rStyle w:val="optioncarChar"/>
        </w:rPr>
        <w:t xml:space="preserve"> / REI 60 / REI 120 / REI ***</w:t>
      </w:r>
    </w:p>
    <w:p w14:paraId="32953D80" w14:textId="77777777" w:rsidR="00DF410E" w:rsidRDefault="00CE7F43">
      <w:pPr>
        <w:pStyle w:val="pheading"/>
      </w:pPr>
      <w:r>
        <w:t>EXÉCUTION / MISE EN ŒUVRE</w:t>
      </w:r>
    </w:p>
    <w:p w14:paraId="22652F2B" w14:textId="77777777" w:rsidR="00DF410E" w:rsidRDefault="00CE7F43">
      <w:pPr>
        <w:pStyle w:val="pheading"/>
      </w:pPr>
      <w:r>
        <w:t>- Notes d’exécution complémentaires</w:t>
      </w:r>
    </w:p>
    <w:p w14:paraId="1ECF4C08" w14:textId="77777777" w:rsidR="00DF410E" w:rsidRDefault="00CE7F43">
      <w:r>
        <w:t>Raccords visibles : joint en forme de </w:t>
      </w:r>
      <w:r>
        <w:rPr>
          <w:rStyle w:val="optioncarChar"/>
        </w:rPr>
        <w:t>V</w:t>
      </w:r>
      <w:r>
        <w:t xml:space="preserve">(par défaut) </w:t>
      </w:r>
      <w:r>
        <w:rPr>
          <w:rStyle w:val="optioncarChar"/>
        </w:rPr>
        <w:t>/ ***</w:t>
      </w:r>
      <w: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(PMR) </w:t>
      </w:r>
      <w:r>
        <w:t>(par défaut)</w:t>
      </w:r>
      <w:r>
        <w:rPr>
          <w:rStyle w:val="optioncarChar"/>
        </w:rPr>
        <w:t xml:space="preserve"> / ***</w:t>
      </w:r>
      <w:r>
        <w:br/>
        <w:t>Les paliers sont équipés de dalles podotactiles présentant les caractéristiques suivantes :</w:t>
      </w:r>
      <w:r>
        <w:rPr>
          <w:rStyle w:val="optioncarChar"/>
        </w:rPr>
        <w:t xml:space="preserve"> voir recommandations dans le sous-titre </w:t>
      </w:r>
      <w:hyperlink w:anchor="514" w:history="1">
        <w:r>
          <w:rPr>
            <w:rStyle w:val="optioncarChar"/>
          </w:rPr>
          <w:t>22.31 Escaliers en béton</w:t>
        </w:r>
      </w:hyperlink>
      <w:r>
        <w:rPr>
          <w:rStyle w:val="optioncarChar"/>
        </w:rPr>
        <w:t xml:space="preserve"> (PMR) </w:t>
      </w:r>
      <w:r>
        <w:t>(par défaut)</w:t>
      </w:r>
    </w:p>
    <w:p w14:paraId="11A4865B" w14:textId="77777777" w:rsidR="00DF410E" w:rsidRDefault="00CE7F43">
      <w:pPr>
        <w:pStyle w:val="pheading"/>
      </w:pPr>
      <w:r>
        <w:t>MESURAGE</w:t>
      </w:r>
    </w:p>
    <w:p w14:paraId="6FC3146B" w14:textId="77777777" w:rsidR="00DF410E" w:rsidRDefault="00CE7F43">
      <w:pPr>
        <w:pStyle w:val="pheading"/>
      </w:pPr>
      <w:r>
        <w:t>- unité de mesure:</w:t>
      </w:r>
    </w:p>
    <w:p w14:paraId="29F33207" w14:textId="77777777" w:rsidR="00DF410E" w:rsidRDefault="00CE7F43">
      <w:r>
        <w:rPr>
          <w:b/>
        </w:rPr>
        <w:t xml:space="preserve">1. </w:t>
      </w:r>
      <w:r>
        <w:t>m pour le béton</w:t>
      </w:r>
    </w:p>
    <w:p w14:paraId="71D2F268" w14:textId="77777777" w:rsidR="00DF410E" w:rsidRDefault="00CE7F43">
      <w:r>
        <w:rPr>
          <w:b/>
        </w:rPr>
        <w:t xml:space="preserve">2. </w:t>
      </w:r>
      <w:r>
        <w:t>kg pour les barres d’armatures</w:t>
      </w:r>
    </w:p>
    <w:p w14:paraId="44AA8501" w14:textId="77777777" w:rsidR="00DF410E" w:rsidRDefault="00CE7F43">
      <w:r>
        <w:rPr>
          <w:b/>
        </w:rPr>
        <w:t>3.</w:t>
      </w:r>
      <w:r>
        <w:t xml:space="preserve"> PM, coffrages</w:t>
      </w:r>
    </w:p>
    <w:p w14:paraId="5CBD4FB4" w14:textId="77777777" w:rsidR="00DF410E" w:rsidRDefault="00CE7F43">
      <w:pPr>
        <w:pStyle w:val="pheading"/>
      </w:pPr>
      <w:r>
        <w:t>- nature du marché:</w:t>
      </w:r>
    </w:p>
    <w:p w14:paraId="65A78C26" w14:textId="77777777" w:rsidR="00DF410E" w:rsidRDefault="00CE7F43">
      <w:r>
        <w:t>QF</w:t>
      </w:r>
    </w:p>
    <w:p w14:paraId="67B86CE3" w14:textId="77777777" w:rsidR="00DF410E" w:rsidRDefault="00CE7F43">
      <w:pPr>
        <w:pStyle w:val="Author-eSectionHeading6"/>
      </w:pPr>
      <w:bookmarkStart w:id="835" w:name="_Toc178837990"/>
      <w:r>
        <w:t>22.31.1c Escaliers en béton coulé en place CCTB 01.10</w:t>
      </w:r>
      <w:bookmarkEnd w:id="835"/>
    </w:p>
    <w:p w14:paraId="29362D90" w14:textId="77777777" w:rsidR="00DF410E" w:rsidRDefault="00CE7F43">
      <w:pPr>
        <w:pStyle w:val="pheading"/>
      </w:pPr>
      <w:r>
        <w:t>MATÉRIAUX</w:t>
      </w:r>
    </w:p>
    <w:p w14:paraId="1E7EB2C6" w14:textId="77777777" w:rsidR="00DF410E" w:rsidRDefault="00CE7F43">
      <w:pPr>
        <w:pStyle w:val="pheading"/>
      </w:pPr>
      <w:r>
        <w:t>- Finitions</w:t>
      </w:r>
    </w:p>
    <w:p w14:paraId="7D9D1803" w14:textId="77777777" w:rsidR="00DF410E" w:rsidRDefault="00CE7F43">
      <w:r>
        <w:t xml:space="preserve">Surface de béton: </w:t>
      </w:r>
      <w:r>
        <w:rPr>
          <w:rStyle w:val="optioncarChar"/>
        </w:rPr>
        <w:t xml:space="preserve">brute et lisse </w:t>
      </w:r>
      <w:r>
        <w:t>(par défaut)</w:t>
      </w:r>
      <w:r>
        <w:rPr>
          <w:rStyle w:val="optioncarChar"/>
        </w:rPr>
        <w:t xml:space="preserve"> / rugueuse / ***</w:t>
      </w:r>
    </w:p>
    <w:p w14:paraId="0EAF333D" w14:textId="77777777" w:rsidR="00DF410E" w:rsidRDefault="00CE7F43">
      <w:pPr>
        <w:pStyle w:val="pheading"/>
      </w:pPr>
      <w:r>
        <w:t>- Prescriptions complémentaires</w:t>
      </w:r>
    </w:p>
    <w:p w14:paraId="724D6048" w14:textId="77777777" w:rsidR="00DF410E" w:rsidRDefault="00CE7F43">
      <w:r>
        <w:t xml:space="preserve">Résistance au feu : pour les escaliers sans fonction séparant </w:t>
      </w:r>
      <w:r>
        <w:rPr>
          <w:rStyle w:val="optioncarChar"/>
        </w:rPr>
        <w:t xml:space="preserve">/ R30 </w:t>
      </w:r>
      <w:r>
        <w:t>(par défaut) </w:t>
      </w:r>
      <w:r>
        <w:rPr>
          <w:rStyle w:val="optioncarChar"/>
        </w:rPr>
        <w:t xml:space="preserve">/ R60 / R120 / R *** </w:t>
      </w:r>
      <w:r>
        <w:t xml:space="preserve">et pour les escaliers avec fonction séparant </w:t>
      </w:r>
      <w:r>
        <w:rPr>
          <w:rStyle w:val="optioncarChar"/>
        </w:rPr>
        <w:t xml:space="preserve">/ REI 30 </w:t>
      </w:r>
      <w:r>
        <w:t>(par défaut) </w:t>
      </w:r>
      <w:r>
        <w:rPr>
          <w:rStyle w:val="optioncarChar"/>
        </w:rPr>
        <w:t>/ REI 60 / REI 120 / REI ***</w:t>
      </w:r>
    </w:p>
    <w:p w14:paraId="1D73A20B" w14:textId="77777777" w:rsidR="00DF410E" w:rsidRDefault="00CE7F43">
      <w:pPr>
        <w:pStyle w:val="pheading"/>
      </w:pPr>
      <w:r>
        <w:t>EXÉCUTION / MISE EN ŒUVRE</w:t>
      </w:r>
    </w:p>
    <w:p w14:paraId="781C4B72" w14:textId="77777777" w:rsidR="00DF410E" w:rsidRDefault="00CE7F43">
      <w:pPr>
        <w:pStyle w:val="pheading"/>
      </w:pPr>
      <w:r>
        <w:t>- Notes d’exécution complémentaires</w:t>
      </w:r>
    </w:p>
    <w:p w14:paraId="7087513E" w14:textId="77777777" w:rsidR="00DF410E" w:rsidRDefault="00CE7F43">
      <w:r>
        <w:t xml:space="preserve">Raccords visibles : joint en forme de </w:t>
      </w:r>
      <w:r>
        <w:rPr>
          <w:rStyle w:val="optioncarChar"/>
        </w:rPr>
        <w:t>*** / V </w:t>
      </w:r>
      <w:r>
        <w:t>(par défaut)</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(PMR) </w:t>
      </w:r>
      <w:r>
        <w:t xml:space="preserve">(par défaut) </w:t>
      </w:r>
      <w:r>
        <w:rPr>
          <w:rStyle w:val="optioncarChar"/>
        </w:rPr>
        <w:t>/ ***</w:t>
      </w:r>
      <w:r>
        <w:br/>
        <w:t xml:space="preserve">Les paliers sont équipés de dalles podotactiles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(PMR) </w:t>
      </w:r>
      <w:r>
        <w:t>(par défaut)</w:t>
      </w:r>
      <w:r>
        <w:rPr>
          <w:rStyle w:val="optioncarChar"/>
        </w:rPr>
        <w:t xml:space="preserve"> / ***</w:t>
      </w:r>
      <w:r>
        <w:t xml:space="preserve"> .</w:t>
      </w:r>
    </w:p>
    <w:p w14:paraId="1244A90B" w14:textId="77777777" w:rsidR="00DF410E" w:rsidRDefault="00CE7F43">
      <w:pPr>
        <w:pStyle w:val="pheading"/>
      </w:pPr>
      <w:r>
        <w:t>MESURAGE</w:t>
      </w:r>
    </w:p>
    <w:p w14:paraId="6F15C5AA" w14:textId="77777777" w:rsidR="00DF410E" w:rsidRDefault="00CE7F43">
      <w:pPr>
        <w:pStyle w:val="pheading"/>
      </w:pPr>
      <w:r>
        <w:t>- unité de mesure:</w:t>
      </w:r>
    </w:p>
    <w:p w14:paraId="314CED37" w14:textId="77777777" w:rsidR="00DF410E" w:rsidRDefault="00CE7F43">
      <w:r>
        <w:rPr>
          <w:b/>
        </w:rPr>
        <w:t xml:space="preserve">1. </w:t>
      </w:r>
      <w:r>
        <w:t>m pour le béton</w:t>
      </w:r>
    </w:p>
    <w:p w14:paraId="6F352487" w14:textId="77777777" w:rsidR="00DF410E" w:rsidRDefault="00CE7F43">
      <w:r>
        <w:rPr>
          <w:b/>
        </w:rPr>
        <w:t xml:space="preserve">2. </w:t>
      </w:r>
      <w:r>
        <w:t>kg pour les barres d’armatures</w:t>
      </w:r>
    </w:p>
    <w:p w14:paraId="64C74F2B" w14:textId="77777777" w:rsidR="00DF410E" w:rsidRDefault="00CE7F43">
      <w:r>
        <w:rPr>
          <w:b/>
        </w:rPr>
        <w:t>3.</w:t>
      </w:r>
      <w:r>
        <w:t xml:space="preserve"> PM, coffrages</w:t>
      </w:r>
    </w:p>
    <w:p w14:paraId="4D3515D6" w14:textId="77777777" w:rsidR="00DF410E" w:rsidRDefault="00CE7F43">
      <w:pPr>
        <w:pStyle w:val="pheading"/>
      </w:pPr>
      <w:r>
        <w:t>- nature du marché:</w:t>
      </w:r>
    </w:p>
    <w:p w14:paraId="08939E31" w14:textId="77777777" w:rsidR="00DF410E" w:rsidRDefault="00CE7F43">
      <w:r>
        <w:t>QF</w:t>
      </w:r>
    </w:p>
    <w:p w14:paraId="22288369" w14:textId="77777777" w:rsidR="00DF410E" w:rsidRDefault="00CE7F43">
      <w:pPr>
        <w:pStyle w:val="Author-eSectionHeading5"/>
      </w:pPr>
      <w:bookmarkStart w:id="836" w:name="_Toc178837991"/>
      <w:r>
        <w:t>22.31.2 Escaliers en béton apparent (esthétique) coulé en place CCTB 01.12</w:t>
      </w:r>
      <w:bookmarkEnd w:id="836"/>
    </w:p>
    <w:p w14:paraId="0746232C" w14:textId="77777777" w:rsidR="00DF410E" w:rsidRDefault="00CE7F43">
      <w:pPr>
        <w:pStyle w:val="pheading"/>
      </w:pPr>
      <w:r>
        <w:t>DESCRIPTION</w:t>
      </w:r>
    </w:p>
    <w:p w14:paraId="28C0022A" w14:textId="77777777" w:rsidR="00DF410E" w:rsidRDefault="00CE7F43">
      <w:pPr>
        <w:pStyle w:val="pheading"/>
      </w:pPr>
      <w:r>
        <w:t>- Définition / Comprend</w:t>
      </w:r>
    </w:p>
    <w:p w14:paraId="691FBB0E" w14:textId="77777777" w:rsidR="00DF410E" w:rsidRDefault="00CE7F43">
      <w:r>
        <w:t>Il s'agit de l’ensemble des </w:t>
      </w:r>
      <w:r>
        <w:rPr>
          <w:rStyle w:val="optioncarChar"/>
        </w:rPr>
        <w:t>escaliers </w:t>
      </w:r>
      <w:r>
        <w:t>(par défaut)</w:t>
      </w:r>
      <w:r>
        <w:rPr>
          <w:rStyle w:val="optioncarChar"/>
        </w:rPr>
        <w:t xml:space="preserve"> / paliers / tous les éléments dont la face supérieure ont une inclinaison supérieure à 6/4  / ***, </w:t>
      </w:r>
      <w:r>
        <w:t xml:space="preserve">exécutés en béton coulé en place. En ce qui concerne les prescriptions générales en matière de charges d’exploitation, sécurité anti-incendie, modulation de l’escalier, etc. voir le chapitre </w:t>
      </w:r>
      <w:hyperlink r:id="rId96" w:history="1" w:docLocation="375">
        <w:r>
          <w:t>57.1 Escaliers et garde-corps complets</w:t>
        </w:r>
      </w:hyperlink>
      <w:r>
        <w:t xml:space="preserve">. Les éventuelles finitions d’escalier sont décrites dans un poste séparé du chapitre </w:t>
      </w:r>
      <w:hyperlink r:id="rId97" w:history="1" w:docLocation="515">
        <w:r>
          <w:t>46.4 Revêtements de sols extérieurs (des balcons)</w:t>
        </w:r>
      </w:hyperlink>
      <w:r>
        <w:t>.</w:t>
      </w:r>
    </w:p>
    <w:p w14:paraId="0157F1F7" w14:textId="77777777" w:rsidR="00DF410E" w:rsidRDefault="00CE7F43">
      <w:pPr>
        <w:pStyle w:val="pheading"/>
      </w:pPr>
      <w:r>
        <w:t>MATÉRIAUX</w:t>
      </w:r>
    </w:p>
    <w:p w14:paraId="25EA3718" w14:textId="77777777" w:rsidR="00DF410E" w:rsidRDefault="00CE7F43">
      <w:r>
        <w:t xml:space="preserve">Qualité du béton selon la [NBN EN 206:2013+A2] et la [NBN B 15-001]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724E0959" w14:textId="77777777">
        <w:tc>
          <w:tcPr>
            <w:tcW w:w="1500" w:type="dxa"/>
            <w:noWrap/>
          </w:tcPr>
          <w:p w14:paraId="25506D90" w14:textId="77777777" w:rsidR="00DF410E" w:rsidRDefault="00CE7F43">
            <w:pPr>
              <w:jc w:val="center"/>
            </w:pPr>
            <w:r>
              <w:rPr>
                <w:b/>
              </w:rPr>
              <w:t>A</w:t>
            </w:r>
          </w:p>
        </w:tc>
        <w:tc>
          <w:tcPr>
            <w:tcW w:w="1500" w:type="dxa"/>
            <w:noWrap/>
          </w:tcPr>
          <w:p w14:paraId="1987E420" w14:textId="77777777" w:rsidR="00DF410E" w:rsidRDefault="00CE7F43">
            <w:pPr>
              <w:jc w:val="center"/>
            </w:pPr>
            <w:r>
              <w:rPr>
                <w:b/>
              </w:rPr>
              <w:t>B1</w:t>
            </w:r>
          </w:p>
        </w:tc>
        <w:tc>
          <w:tcPr>
            <w:tcW w:w="1500" w:type="dxa"/>
            <w:noWrap/>
          </w:tcPr>
          <w:p w14:paraId="0D47614E" w14:textId="77777777" w:rsidR="00DF410E" w:rsidRDefault="00CE7F43">
            <w:pPr>
              <w:jc w:val="center"/>
            </w:pPr>
            <w:r>
              <w:rPr>
                <w:b/>
              </w:rPr>
              <w:t>B2</w:t>
            </w:r>
          </w:p>
        </w:tc>
        <w:tc>
          <w:tcPr>
            <w:tcW w:w="1500" w:type="dxa"/>
            <w:noWrap/>
          </w:tcPr>
          <w:p w14:paraId="066C959D" w14:textId="77777777" w:rsidR="00DF410E" w:rsidRDefault="00CE7F43">
            <w:pPr>
              <w:jc w:val="center"/>
            </w:pPr>
            <w:r>
              <w:rPr>
                <w:b/>
              </w:rPr>
              <w:t>C</w:t>
            </w:r>
          </w:p>
        </w:tc>
        <w:tc>
          <w:tcPr>
            <w:tcW w:w="1500" w:type="dxa"/>
            <w:noWrap/>
          </w:tcPr>
          <w:p w14:paraId="0EB46092" w14:textId="77777777" w:rsidR="00DF410E" w:rsidRDefault="00CE7F43">
            <w:pPr>
              <w:jc w:val="center"/>
            </w:pPr>
            <w:r>
              <w:rPr>
                <w:b/>
              </w:rPr>
              <w:t>D</w:t>
            </w:r>
          </w:p>
        </w:tc>
        <w:tc>
          <w:tcPr>
            <w:tcW w:w="1500" w:type="dxa"/>
            <w:noWrap/>
          </w:tcPr>
          <w:p w14:paraId="38E98988" w14:textId="77777777" w:rsidR="00DF410E" w:rsidRDefault="00CE7F43">
            <w:pPr>
              <w:jc w:val="center"/>
            </w:pPr>
            <w:r>
              <w:rPr>
                <w:b/>
              </w:rPr>
              <w:t>E</w:t>
            </w:r>
          </w:p>
        </w:tc>
      </w:tr>
      <w:tr w:rsidR="00DF410E" w14:paraId="37C9BC07" w14:textId="77777777">
        <w:tc>
          <w:tcPr>
            <w:tcW w:w="1500" w:type="dxa"/>
            <w:noWrap/>
          </w:tcPr>
          <w:p w14:paraId="36C982E2" w14:textId="77777777" w:rsidR="00DF410E" w:rsidRDefault="00CE7F43">
            <w:pPr>
              <w:jc w:val="center"/>
            </w:pPr>
            <w:r>
              <w:rPr>
                <w:b/>
              </w:rPr>
              <w:t>Classe de résistance</w:t>
            </w:r>
          </w:p>
        </w:tc>
        <w:tc>
          <w:tcPr>
            <w:tcW w:w="1500" w:type="dxa"/>
            <w:noWrap/>
          </w:tcPr>
          <w:p w14:paraId="6BAEF323" w14:textId="77777777" w:rsidR="00DF410E" w:rsidRDefault="00CE7F43">
            <w:pPr>
              <w:jc w:val="center"/>
            </w:pPr>
            <w:r>
              <w:rPr>
                <w:b/>
              </w:rPr>
              <w:t>Domaine d’application</w:t>
            </w:r>
          </w:p>
        </w:tc>
        <w:tc>
          <w:tcPr>
            <w:tcW w:w="1500" w:type="dxa"/>
            <w:noWrap/>
          </w:tcPr>
          <w:p w14:paraId="31B27A28" w14:textId="77777777" w:rsidR="00DF410E" w:rsidRDefault="00CE7F43">
            <w:pPr>
              <w:jc w:val="center"/>
            </w:pPr>
            <w:r>
              <w:rPr>
                <w:b/>
              </w:rPr>
              <w:t>Classe d'environnement</w:t>
            </w:r>
          </w:p>
        </w:tc>
        <w:tc>
          <w:tcPr>
            <w:tcW w:w="1500" w:type="dxa"/>
            <w:noWrap/>
          </w:tcPr>
          <w:p w14:paraId="27050E80" w14:textId="77777777" w:rsidR="00DF410E" w:rsidRDefault="00CE7F43">
            <w:pPr>
              <w:jc w:val="center"/>
            </w:pPr>
            <w:r>
              <w:rPr>
                <w:b/>
              </w:rPr>
              <w:t>Classe de consistance</w:t>
            </w:r>
          </w:p>
        </w:tc>
        <w:tc>
          <w:tcPr>
            <w:tcW w:w="1500" w:type="dxa"/>
            <w:noWrap/>
          </w:tcPr>
          <w:p w14:paraId="080A004C" w14:textId="77777777" w:rsidR="00DF410E" w:rsidRDefault="00CE7F43">
            <w:pPr>
              <w:jc w:val="center"/>
            </w:pPr>
            <w:r>
              <w:rPr>
                <w:b/>
              </w:rPr>
              <w:t>Granulométrie maximale</w:t>
            </w:r>
          </w:p>
        </w:tc>
        <w:tc>
          <w:tcPr>
            <w:tcW w:w="1500" w:type="dxa"/>
            <w:noWrap/>
          </w:tcPr>
          <w:p w14:paraId="02BA1524" w14:textId="77777777" w:rsidR="00DF410E" w:rsidRDefault="00CE7F43">
            <w:r>
              <w:rPr>
                <w:b/>
              </w:rPr>
              <w:t>Données complémentaires</w:t>
            </w:r>
          </w:p>
        </w:tc>
      </w:tr>
      <w:tr w:rsidR="00DF410E" w14:paraId="7EB1404B" w14:textId="77777777">
        <w:tc>
          <w:tcPr>
            <w:tcW w:w="1500" w:type="dxa"/>
            <w:noWrap/>
          </w:tcPr>
          <w:p w14:paraId="513F29FE" w14:textId="77777777" w:rsidR="00DF410E" w:rsidRDefault="00CE7F43">
            <w:pPr>
              <w:jc w:val="center"/>
            </w:pPr>
            <w:r>
              <w:rPr>
                <w:rStyle w:val="optioncarChar"/>
              </w:rPr>
              <w:t>C25/30 // C30/37 // C35/45 // C45/55 // C50/60 // C55/67 // C60/75 // C70/85 // C80/95 // C90/105 // ***</w:t>
            </w:r>
          </w:p>
        </w:tc>
        <w:tc>
          <w:tcPr>
            <w:tcW w:w="1500" w:type="dxa"/>
            <w:noWrap/>
          </w:tcPr>
          <w:p w14:paraId="7F3AD0C2" w14:textId="77777777" w:rsidR="00DF410E" w:rsidRDefault="00CE7F43">
            <w:pPr>
              <w:jc w:val="center"/>
            </w:pPr>
            <w:r>
              <w:t>Béton armé</w:t>
            </w:r>
          </w:p>
          <w:p w14:paraId="0E679A5D" w14:textId="77777777" w:rsidR="00DF410E" w:rsidRDefault="00DF410E"/>
        </w:tc>
        <w:tc>
          <w:tcPr>
            <w:tcW w:w="1500" w:type="dxa"/>
            <w:noWrap/>
          </w:tcPr>
          <w:p w14:paraId="3799AD3D" w14:textId="77777777" w:rsidR="00DF410E" w:rsidRDefault="00CE7F43">
            <w:pPr>
              <w:jc w:val="center"/>
            </w:pPr>
            <w:r>
              <w:rPr>
                <w:rStyle w:val="optioncarChar"/>
              </w:rPr>
              <w:t>*** / E0 / EI / EE1 / EE2 / EE3 / EE4 / ES1 / ES2 / ES3 / ES4 / EA1+*** / EA2+***/ EA3+***</w:t>
            </w:r>
          </w:p>
        </w:tc>
        <w:tc>
          <w:tcPr>
            <w:tcW w:w="1500" w:type="dxa"/>
            <w:noWrap/>
          </w:tcPr>
          <w:p w14:paraId="1D97D3A1" w14:textId="77777777" w:rsidR="00DF410E" w:rsidRDefault="00CE7F43">
            <w:pPr>
              <w:jc w:val="center"/>
            </w:pPr>
            <w:r>
              <w:t>au choix de l'entrepreneur :</w:t>
            </w:r>
          </w:p>
          <w:p w14:paraId="649E927D" w14:textId="77777777" w:rsidR="00DF410E" w:rsidRDefault="00CE7F43">
            <w:pPr>
              <w:jc w:val="center"/>
            </w:pPr>
            <w:r>
              <w:rPr>
                <w:rStyle w:val="optioncarChar"/>
              </w:rPr>
              <w:t>*** / S3 / S4 / S5 /</w:t>
            </w:r>
            <w:r>
              <w:br/>
            </w:r>
          </w:p>
          <w:p w14:paraId="3266BECC" w14:textId="77777777" w:rsidR="00DF410E" w:rsidRDefault="00CE7F43">
            <w:pPr>
              <w:jc w:val="center"/>
            </w:pPr>
            <w:r>
              <w:rPr>
                <w:rStyle w:val="optioncarChar"/>
              </w:rPr>
              <w:t>*** / F3 / F4 / F5 / F6</w:t>
            </w:r>
            <w:r>
              <w:br/>
            </w:r>
          </w:p>
        </w:tc>
        <w:tc>
          <w:tcPr>
            <w:tcW w:w="1500" w:type="dxa"/>
            <w:noWrap/>
          </w:tcPr>
          <w:p w14:paraId="2AB2557A" w14:textId="77777777" w:rsidR="00DF410E" w:rsidRDefault="00CE7F43">
            <w:pPr>
              <w:jc w:val="center"/>
            </w:pPr>
            <w:r>
              <w:t>au choix de l'entrepreneur :</w:t>
            </w:r>
          </w:p>
          <w:p w14:paraId="1685FA19" w14:textId="77777777" w:rsidR="00DF410E" w:rsidRDefault="00CE7F43">
            <w:pPr>
              <w:jc w:val="center"/>
            </w:pPr>
            <w:r>
              <w:rPr>
                <w:rStyle w:val="optioncarChar"/>
              </w:rPr>
              <w:t>*** / 6 / 8 / 10 / 11 / 12 / 14 / 16 / 20 / 22 / 32</w:t>
            </w:r>
            <w:r>
              <w:t xml:space="preserve"> mm</w:t>
            </w:r>
          </w:p>
        </w:tc>
        <w:tc>
          <w:tcPr>
            <w:tcW w:w="1500" w:type="dxa"/>
            <w:noWrap/>
          </w:tcPr>
          <w:p w14:paraId="2CD83D37" w14:textId="77777777" w:rsidR="00DF410E" w:rsidRDefault="00CE7F43">
            <w:pPr>
              <w:jc w:val="center"/>
            </w:pPr>
            <w:r>
              <w:rPr>
                <w:rStyle w:val="optioncarChar"/>
              </w:rPr>
              <w:t>***</w:t>
            </w:r>
          </w:p>
        </w:tc>
      </w:tr>
    </w:tbl>
    <w:p w14:paraId="70FC6ADD"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1E9C9699" w14:textId="77777777" w:rsidR="00DF410E" w:rsidRDefault="00CE7F43">
      <w:pPr>
        <w:pStyle w:val="Author-eListParagraph"/>
        <w:numPr>
          <w:ilvl w:val="0"/>
          <w:numId w:val="580"/>
        </w:numPr>
      </w:pPr>
      <w:r>
        <w:t xml:space="preserve">Classe de viscosité apparente : </w:t>
      </w:r>
      <w:r>
        <w:rPr>
          <w:rStyle w:val="optioncarChar"/>
        </w:rPr>
        <w:t>VS1 / VS2</w:t>
      </w:r>
      <w:r>
        <w:t xml:space="preserve"> (selon la [NBN EN 12350-8] )</w:t>
      </w:r>
    </w:p>
    <w:p w14:paraId="784A3E3A" w14:textId="77777777" w:rsidR="00DF410E" w:rsidRDefault="00CE7F43">
      <w:pPr>
        <w:pStyle w:val="Author-eListParagraph"/>
        <w:numPr>
          <w:ilvl w:val="0"/>
          <w:numId w:val="58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3421E52" w14:textId="77777777" w:rsidR="00DF410E" w:rsidRDefault="00CE7F43">
      <w:pPr>
        <w:pStyle w:val="Author-eListParagraph"/>
        <w:numPr>
          <w:ilvl w:val="0"/>
          <w:numId w:val="58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A921552"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4148A2FC" w14:textId="77777777" w:rsidR="00DF410E" w:rsidRDefault="00CE7F43">
      <w:pPr>
        <w:pStyle w:val="Author-eListParagraph"/>
        <w:numPr>
          <w:ilvl w:val="0"/>
          <w:numId w:val="581"/>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1AA1803B" w14:textId="77777777" w:rsidR="00DF410E" w:rsidRDefault="00CE7F43">
      <w:pPr>
        <w:pStyle w:val="Author-eListParagraph"/>
        <w:numPr>
          <w:ilvl w:val="0"/>
          <w:numId w:val="58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0C11360" w14:textId="77777777" w:rsidR="00DF410E" w:rsidRDefault="00CE7F43">
      <w:pPr>
        <w:pStyle w:val="Author-eListParagraph"/>
        <w:numPr>
          <w:ilvl w:val="0"/>
          <w:numId w:val="581"/>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 ***x***x***x***</w:t>
      </w:r>
      <w:r>
        <w:t xml:space="preserve"> mm.</w:t>
      </w:r>
    </w:p>
    <w:p w14:paraId="4A112FB4" w14:textId="77777777" w:rsidR="00DF410E" w:rsidRDefault="00DF410E"/>
    <w:p w14:paraId="105FE077" w14:textId="77777777" w:rsidR="00DF410E" w:rsidRDefault="00CE7F43">
      <w:pPr>
        <w:pStyle w:val="pheading"/>
      </w:pPr>
      <w:r>
        <w:t>EXÉCUTION / MISE EN ŒUVRE</w:t>
      </w:r>
    </w:p>
    <w:p w14:paraId="4932E110" w14:textId="77777777" w:rsidR="00DF410E" w:rsidRDefault="00CE7F43">
      <w:r>
        <w:t>L'étude est à charge</w:t>
      </w:r>
      <w:r>
        <w:rPr>
          <w:rStyle w:val="optioncarChar"/>
        </w:rPr>
        <w:t> de l'entrepreneur </w:t>
      </w:r>
      <w:r>
        <w:t>(par défaut)</w:t>
      </w:r>
      <w:r>
        <w:rPr>
          <w:rStyle w:val="optioncarChar"/>
        </w:rPr>
        <w:t xml:space="preserve"> / du maître de l'ouvrage / du bureau d’étude / *** </w:t>
      </w:r>
      <w:r>
        <w:t>(</w:t>
      </w:r>
      <w:hyperlink w:anchor="87" w:history="1">
        <w:r>
          <w:t>22 Superstructures en béton</w:t>
        </w:r>
      </w:hyperlink>
      <w:r>
        <w:t>)</w:t>
      </w:r>
      <w:r>
        <w:br/>
        <w:t xml:space="preserve">Les escaliers et les paliers sont coulés sur place en </w:t>
      </w:r>
      <w:r>
        <w:rPr>
          <w:rStyle w:val="optioncarChar"/>
        </w:rPr>
        <w:t>une seule</w:t>
      </w:r>
      <w:r>
        <w:t> (par défaut)</w:t>
      </w:r>
      <w:r>
        <w:rPr>
          <w:rStyle w:val="optioncarChar"/>
        </w:rPr>
        <w:t xml:space="preserve"> / ***</w:t>
      </w:r>
      <w:r>
        <w:t xml:space="preserve"> fois.</w:t>
      </w:r>
      <w:r>
        <w:br/>
        <w:t xml:space="preserve">Le décoffrage se fait au plus tôt </w:t>
      </w:r>
      <w:r>
        <w:rPr>
          <w:rStyle w:val="optioncarChar"/>
        </w:rPr>
        <w:t>*** jours après le coulage du béton / selon les directives de l’ingénieur </w:t>
      </w:r>
      <w:r>
        <w:t>(par défaut).</w:t>
      </w:r>
      <w:r>
        <w:br/>
        <w:t>La période de cure est conforme aux exigences de la [NBN EN 13670] et de la [NBN B 15-400] § F.8.5.</w:t>
      </w:r>
    </w:p>
    <w:p w14:paraId="3FF1069E" w14:textId="77777777" w:rsidR="00DF410E" w:rsidRDefault="00CE7F43">
      <w:pPr>
        <w:pStyle w:val="Author-eSectionHeading6"/>
      </w:pPr>
      <w:bookmarkStart w:id="837" w:name="_Toc178837992"/>
      <w:r>
        <w:t>22.31.2a Volées d'escaliers en béton apparent (esthétique) coulé en place CCTB 01.11</w:t>
      </w:r>
      <w:bookmarkEnd w:id="837"/>
    </w:p>
    <w:p w14:paraId="1C97B324" w14:textId="77777777" w:rsidR="00DF410E" w:rsidRDefault="00CE7F43">
      <w:pPr>
        <w:pStyle w:val="pheading"/>
      </w:pPr>
      <w:r>
        <w:t>MATÉRIAUX</w:t>
      </w:r>
    </w:p>
    <w:p w14:paraId="02C03A75" w14:textId="77777777" w:rsidR="00DF410E" w:rsidRDefault="00CE7F43">
      <w:pPr>
        <w:pStyle w:val="pheading"/>
      </w:pPr>
      <w:r>
        <w:t>- Finitions</w:t>
      </w:r>
    </w:p>
    <w:p w14:paraId="238F4DD5"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4BA9A81E" w14:textId="77777777" w:rsidR="00DF410E" w:rsidRDefault="00CE7F43">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46A3592B" w14:textId="77777777" w:rsidR="00DF410E" w:rsidRDefault="00CE7F43">
      <w:r>
        <w:t xml:space="preserve">La face supérieure non coffrée des éléments est </w:t>
      </w:r>
      <w:r>
        <w:rPr>
          <w:rStyle w:val="optioncarChar"/>
        </w:rPr>
        <w:t>laissée rugueuse / lissée à la taloche / lavée à l’eau / brossée / bouchardée / grenaillée / grésée / polie mat / polie brillant.</w:t>
      </w:r>
    </w:p>
    <w:p w14:paraId="03A0B166"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C</w:t>
      </w:r>
      <w:r>
        <w:t xml:space="preserve"> (par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46C24350" w14:textId="77777777" w:rsidR="00DF410E" w:rsidRDefault="00CE7F43">
      <w:pPr>
        <w:pStyle w:val="Author-eListParagraph"/>
        <w:numPr>
          <w:ilvl w:val="0"/>
          <w:numId w:val="582"/>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259D22D0" w14:textId="77777777" w:rsidR="00DF410E" w:rsidRDefault="00CE7F43">
      <w:pPr>
        <w:pStyle w:val="Author-eListParagraph"/>
        <w:numPr>
          <w:ilvl w:val="0"/>
          <w:numId w:val="582"/>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184D5BBC" w14:textId="77777777" w:rsidR="00DF410E" w:rsidRDefault="00CE7F43">
      <w:pPr>
        <w:pStyle w:val="Author-eListParagraph"/>
        <w:numPr>
          <w:ilvl w:val="0"/>
          <w:numId w:val="582"/>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AC4EA6D" w14:textId="77777777" w:rsidR="00DF410E" w:rsidRDefault="00CE7F43">
      <w:pPr>
        <w:pStyle w:val="Author-eListParagraph"/>
        <w:numPr>
          <w:ilvl w:val="0"/>
          <w:numId w:val="582"/>
        </w:numPr>
      </w:pPr>
      <w:r>
        <w:rPr>
          <w:rStyle w:val="soitChar"/>
        </w:rPr>
        <w:t>La tolérance de forme :</w:t>
      </w:r>
      <w:r>
        <w:t xml:space="preserve">  </w:t>
      </w:r>
      <w:r>
        <w:rPr>
          <w:rStyle w:val="optioncarChar"/>
        </w:rPr>
        <w:t>VF1</w:t>
      </w:r>
      <w:r>
        <w:t xml:space="preserve"> (par défaut)</w:t>
      </w:r>
      <w:r>
        <w:rPr>
          <w:rStyle w:val="optioncarChar"/>
        </w:rPr>
        <w:t xml:space="preserve"> / VF2 / VF3 / suivant description spécifique</w:t>
      </w:r>
    </w:p>
    <w:p w14:paraId="1F623B1B" w14:textId="77777777" w:rsidR="00DF410E" w:rsidRDefault="00CE7F43">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168236AE" w14:textId="77777777" w:rsidR="00DF410E" w:rsidRDefault="00CE7F43">
      <w:pPr>
        <w:pStyle w:val="pheading"/>
      </w:pPr>
      <w:r>
        <w:t>- Prescriptions complémentaires</w:t>
      </w:r>
    </w:p>
    <w:p w14:paraId="1C7869B6" w14:textId="77777777" w:rsidR="00DF410E" w:rsidRDefault="00CE7F43">
      <w:r>
        <w:t>Résistance au feu : pour les escaliers sans fonction séparant </w:t>
      </w:r>
      <w:r>
        <w:rPr>
          <w:rStyle w:val="optioncarChar"/>
        </w:rPr>
        <w:t>/ R30 / R60 / R120 / R ***</w:t>
      </w:r>
      <w:r>
        <w:t xml:space="preserve"> et pour les escaliers avec fonction séparant </w:t>
      </w:r>
      <w:r>
        <w:rPr>
          <w:rStyle w:val="optioncarChar"/>
        </w:rPr>
        <w:t>REI 30 </w:t>
      </w:r>
      <w:r>
        <w:t>(par défaut)</w:t>
      </w:r>
      <w:r>
        <w:rPr>
          <w:rStyle w:val="optioncarChar"/>
        </w:rPr>
        <w:t xml:space="preserve"> / REI 60 / REI 120 / REI ***</w:t>
      </w:r>
    </w:p>
    <w:p w14:paraId="527C1CF2" w14:textId="77777777" w:rsidR="00DF410E" w:rsidRDefault="00CE7F43">
      <w:pPr>
        <w:pStyle w:val="pheading"/>
      </w:pPr>
      <w:r>
        <w:t>EXÉCUTION / MISE EN ŒUVRE</w:t>
      </w:r>
    </w:p>
    <w:p w14:paraId="7E6F41BB" w14:textId="77777777" w:rsidR="00DF410E" w:rsidRDefault="00CE7F43">
      <w:pPr>
        <w:pStyle w:val="pheading"/>
      </w:pPr>
      <w:r>
        <w:t>- Notes d’exécution complémentaires</w:t>
      </w:r>
    </w:p>
    <w:p w14:paraId="0D39B0A0" w14:textId="77777777" w:rsidR="00DF410E" w:rsidRDefault="00CE7F43">
      <w:r>
        <w:t>Raccords visibles : joint en forme de</w:t>
      </w:r>
      <w:r>
        <w:rPr>
          <w:rStyle w:val="optioncarChar"/>
        </w:rPr>
        <w:t xml:space="preserve"> V </w:t>
      </w:r>
      <w:r>
        <w:t>(par défaut) </w:t>
      </w:r>
      <w:r>
        <w:rPr>
          <w:rStyle w:val="optioncarChar"/>
        </w:rP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(PMR) </w:t>
      </w:r>
      <w:r>
        <w:t>(par défaut)</w:t>
      </w:r>
      <w:r>
        <w:rPr>
          <w:rStyle w:val="optioncarChar"/>
        </w:rPr>
        <w:t xml:space="preserve"> / ***</w:t>
      </w:r>
    </w:p>
    <w:p w14:paraId="7939B02E" w14:textId="77777777" w:rsidR="00DF410E" w:rsidRDefault="00CE7F43">
      <w:pPr>
        <w:pStyle w:val="pheading"/>
      </w:pPr>
      <w:r>
        <w:t>MESURAGE</w:t>
      </w:r>
    </w:p>
    <w:p w14:paraId="3528CE8C" w14:textId="77777777" w:rsidR="00DF410E" w:rsidRDefault="00CE7F43">
      <w:pPr>
        <w:pStyle w:val="pheading"/>
      </w:pPr>
      <w:r>
        <w:t>- unité de mesure:</w:t>
      </w:r>
    </w:p>
    <w:p w14:paraId="798891D2" w14:textId="77777777" w:rsidR="00DF410E" w:rsidRDefault="00CE7F43">
      <w:r>
        <w:rPr>
          <w:b/>
        </w:rPr>
        <w:t xml:space="preserve">1. </w:t>
      </w:r>
      <w:r>
        <w:t>m pour le béton</w:t>
      </w:r>
    </w:p>
    <w:p w14:paraId="074F11A4" w14:textId="77777777" w:rsidR="00DF410E" w:rsidRDefault="00CE7F43">
      <w:r>
        <w:rPr>
          <w:b/>
        </w:rPr>
        <w:t xml:space="preserve">2. </w:t>
      </w:r>
      <w:r>
        <w:t>kg pour les barres d’armatures</w:t>
      </w:r>
    </w:p>
    <w:p w14:paraId="7F6466DD" w14:textId="77777777" w:rsidR="00DF410E" w:rsidRDefault="00CE7F43">
      <w:r>
        <w:rPr>
          <w:b/>
        </w:rPr>
        <w:t>3.</w:t>
      </w:r>
      <w:r>
        <w:t xml:space="preserve"> PM, coffrages</w:t>
      </w:r>
    </w:p>
    <w:p w14:paraId="49CB2585" w14:textId="77777777" w:rsidR="00DF410E" w:rsidRDefault="00CE7F43">
      <w:pPr>
        <w:pStyle w:val="pheading"/>
      </w:pPr>
      <w:r>
        <w:t>- nature du marché:</w:t>
      </w:r>
    </w:p>
    <w:p w14:paraId="116B3543" w14:textId="77777777" w:rsidR="00DF410E" w:rsidRDefault="00CE7F43">
      <w:r>
        <w:t>QF</w:t>
      </w:r>
    </w:p>
    <w:p w14:paraId="58E70BED" w14:textId="77777777" w:rsidR="00DF410E" w:rsidRDefault="00CE7F43">
      <w:pPr>
        <w:pStyle w:val="Author-eSectionHeading6"/>
      </w:pPr>
      <w:bookmarkStart w:id="838" w:name="_Toc178837993"/>
      <w:r>
        <w:t>22.31.2b Paliers d'escaliers en béton apparent (esthétique) coulé en place CCTB 01.11</w:t>
      </w:r>
      <w:bookmarkEnd w:id="838"/>
    </w:p>
    <w:p w14:paraId="32C172F7" w14:textId="77777777" w:rsidR="00DF410E" w:rsidRDefault="00CE7F43">
      <w:pPr>
        <w:pStyle w:val="pheading"/>
      </w:pPr>
      <w:r>
        <w:t>MATÉRIAUX</w:t>
      </w:r>
    </w:p>
    <w:p w14:paraId="42644ED6" w14:textId="77777777" w:rsidR="00DF410E" w:rsidRDefault="00CE7F43">
      <w:pPr>
        <w:pStyle w:val="pheading"/>
      </w:pPr>
      <w:r>
        <w:t>- Finitions</w:t>
      </w:r>
    </w:p>
    <w:p w14:paraId="1D31512B" w14:textId="77777777" w:rsidR="00DF410E" w:rsidRDefault="00CE7F43">
      <w:r>
        <w:t xml:space="preserve">Contraste : différence de LRV entre les paliers et les marches de </w:t>
      </w:r>
      <w:r>
        <w:rPr>
          <w:rStyle w:val="optioncarChar"/>
        </w:rPr>
        <w:t>min 60 (PMR) </w:t>
      </w:r>
      <w:r>
        <w:t>(par défaut)</w:t>
      </w:r>
      <w:r>
        <w:rPr>
          <w:rStyle w:val="optioncarChar"/>
        </w:rPr>
        <w:t xml:space="preserve"> / *** </w:t>
      </w:r>
      <w:r>
        <w:t xml:space="preserve"> %</w:t>
      </w:r>
    </w:p>
    <w:p w14:paraId="0803A7E8"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0F4D1520" w14:textId="77777777" w:rsidR="00DF410E" w:rsidRDefault="00CE7F43">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1B3015B0" w14:textId="77777777" w:rsidR="00DF410E" w:rsidRDefault="00CE7F43">
      <w:r>
        <w:t xml:space="preserve">La face supérieure non coffrée des éléments est </w:t>
      </w:r>
      <w:r>
        <w:rPr>
          <w:rStyle w:val="optioncarChar"/>
        </w:rPr>
        <w:t>laissée rugueuse / lissée à la taloche / lavée à l’eau / brossée / bouchardée / grenaillée / grésée / polie mat / polie brillant.</w:t>
      </w:r>
    </w:p>
    <w:p w14:paraId="1EBCC919"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4B7B747C" w14:textId="77777777" w:rsidR="00DF410E" w:rsidRDefault="00CE7F43">
      <w:pPr>
        <w:pStyle w:val="Author-eListParagraph"/>
        <w:numPr>
          <w:ilvl w:val="0"/>
          <w:numId w:val="583"/>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5A309FEC" w14:textId="77777777" w:rsidR="00DF410E" w:rsidRDefault="00CE7F43">
      <w:pPr>
        <w:pStyle w:val="Author-eListParagraph"/>
        <w:numPr>
          <w:ilvl w:val="0"/>
          <w:numId w:val="583"/>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167409A3" w14:textId="77777777" w:rsidR="00DF410E" w:rsidRDefault="00CE7F43">
      <w:pPr>
        <w:pStyle w:val="Author-eListParagraph"/>
        <w:numPr>
          <w:ilvl w:val="0"/>
          <w:numId w:val="583"/>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7CA27114" w14:textId="77777777" w:rsidR="00DF410E" w:rsidRDefault="00CE7F43">
      <w:pPr>
        <w:pStyle w:val="Author-eListParagraph"/>
        <w:numPr>
          <w:ilvl w:val="0"/>
          <w:numId w:val="583"/>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7ED8F550" w14:textId="77777777" w:rsidR="00DF410E" w:rsidRDefault="00CE7F43">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6447F160" w14:textId="77777777" w:rsidR="00DF410E" w:rsidRDefault="00CE7F43">
      <w:pPr>
        <w:pStyle w:val="pheading"/>
      </w:pPr>
      <w:r>
        <w:t>- Prescriptions complémentaires</w:t>
      </w:r>
    </w:p>
    <w:p w14:paraId="3703DEB2" w14:textId="77777777" w:rsidR="00DF410E" w:rsidRDefault="00CE7F43">
      <w:r>
        <w:t xml:space="preserve">Résistance au feu : pour les escaliers sans fonction séparant </w:t>
      </w:r>
      <w:r>
        <w:rPr>
          <w:rStyle w:val="optioncarChar"/>
        </w:rPr>
        <w:t>/ R30 </w:t>
      </w:r>
      <w:r>
        <w:t>(par défaut)</w:t>
      </w:r>
      <w:r>
        <w:rPr>
          <w:rStyle w:val="optioncarChar"/>
        </w:rPr>
        <w:t xml:space="preserve"> / R60 / R120 / R ***</w:t>
      </w:r>
      <w:r>
        <w:t xml:space="preserve"> et pour les escaliers avec fonction séparant </w:t>
      </w:r>
      <w:r>
        <w:rPr>
          <w:rStyle w:val="optioncarChar"/>
        </w:rPr>
        <w:t>REI 30 </w:t>
      </w:r>
      <w:r>
        <w:t>(par défaut)</w:t>
      </w:r>
      <w:r>
        <w:rPr>
          <w:rStyle w:val="optioncarChar"/>
        </w:rPr>
        <w:t xml:space="preserve"> / REI 60 / REI 120 / REI ***</w:t>
      </w:r>
    </w:p>
    <w:p w14:paraId="2A831EF1" w14:textId="77777777" w:rsidR="00DF410E" w:rsidRDefault="00CE7F43">
      <w:pPr>
        <w:pStyle w:val="pheading"/>
      </w:pPr>
      <w:r>
        <w:t>EXÉCUTION / MISE EN ŒUVRE</w:t>
      </w:r>
    </w:p>
    <w:p w14:paraId="0346D9F2" w14:textId="77777777" w:rsidR="00DF410E" w:rsidRDefault="00CE7F43">
      <w:pPr>
        <w:pStyle w:val="pheading"/>
      </w:pPr>
      <w:r>
        <w:t>- Notes d’exécution complémentaires</w:t>
      </w:r>
    </w:p>
    <w:p w14:paraId="5023DCF3" w14:textId="77777777" w:rsidR="00DF410E" w:rsidRDefault="00CE7F43">
      <w:r>
        <w:t>Raccords visibles : joint en forme de </w:t>
      </w:r>
      <w:r>
        <w:rPr>
          <w:rStyle w:val="optioncarChar"/>
        </w:rPr>
        <w:t xml:space="preserve">V </w:t>
      </w:r>
      <w:r>
        <w:t>(par défaut) </w:t>
      </w:r>
      <w:r>
        <w:rPr>
          <w:rStyle w:val="optioncarChar"/>
        </w:rPr>
        <w:t>/ ***</w:t>
      </w:r>
      <w: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et/ou d’indicateurs visuels (PMR) présentant les caractéristiques suivantes :</w:t>
      </w:r>
      <w:r>
        <w:rPr>
          <w:rStyle w:val="optioncarChar"/>
        </w:rPr>
        <w:t xml:space="preserve"> voir recommandations dans le sous-titre </w:t>
      </w:r>
      <w:hyperlink w:anchor="514" w:history="1">
        <w:r>
          <w:rPr>
            <w:rStyle w:val="optioncarChar"/>
          </w:rPr>
          <w:t>22.31 Escaliers en béton</w:t>
        </w:r>
      </w:hyperlink>
      <w:r>
        <w:rPr>
          <w:rStyle w:val="optioncarChar"/>
        </w:rPr>
        <w:t> (PMR) </w:t>
      </w:r>
      <w:r>
        <w:t xml:space="preserve">(par défaut) </w:t>
      </w:r>
      <w:r>
        <w:rPr>
          <w:rStyle w:val="optioncarChar"/>
        </w:rPr>
        <w:t>/ ***</w:t>
      </w:r>
      <w:r>
        <w:br/>
        <w:t xml:space="preserve">Les paliers sont équipés de dalles podotactiles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xml:space="preserve"> (PMR) </w:t>
      </w:r>
      <w:r>
        <w:t>(par défaut)</w:t>
      </w:r>
    </w:p>
    <w:p w14:paraId="0AE02D6D" w14:textId="77777777" w:rsidR="00DF410E" w:rsidRDefault="00CE7F43">
      <w:pPr>
        <w:pStyle w:val="pheading"/>
      </w:pPr>
      <w:r>
        <w:t>MESURAGE</w:t>
      </w:r>
    </w:p>
    <w:p w14:paraId="553B5C3A" w14:textId="77777777" w:rsidR="00DF410E" w:rsidRDefault="00CE7F43">
      <w:pPr>
        <w:pStyle w:val="pheading"/>
      </w:pPr>
      <w:r>
        <w:t>- unité de mesure:</w:t>
      </w:r>
    </w:p>
    <w:p w14:paraId="614E0EA9" w14:textId="77777777" w:rsidR="00DF410E" w:rsidRDefault="00CE7F43">
      <w:r>
        <w:rPr>
          <w:b/>
        </w:rPr>
        <w:t xml:space="preserve">1. </w:t>
      </w:r>
      <w:r>
        <w:t>m pour le béton</w:t>
      </w:r>
    </w:p>
    <w:p w14:paraId="0A955153" w14:textId="77777777" w:rsidR="00DF410E" w:rsidRDefault="00CE7F43">
      <w:r>
        <w:rPr>
          <w:b/>
        </w:rPr>
        <w:t xml:space="preserve">2. </w:t>
      </w:r>
      <w:r>
        <w:t>kg pour les barres d’armatures</w:t>
      </w:r>
    </w:p>
    <w:p w14:paraId="1D5D8E28" w14:textId="77777777" w:rsidR="00DF410E" w:rsidRDefault="00CE7F43">
      <w:r>
        <w:rPr>
          <w:b/>
        </w:rPr>
        <w:t>3.</w:t>
      </w:r>
      <w:r>
        <w:t xml:space="preserve"> PM, coffrages</w:t>
      </w:r>
    </w:p>
    <w:p w14:paraId="2923666E" w14:textId="77777777" w:rsidR="00DF410E" w:rsidRDefault="00CE7F43">
      <w:pPr>
        <w:pStyle w:val="pheading"/>
      </w:pPr>
      <w:r>
        <w:t>- nature du marché:</w:t>
      </w:r>
    </w:p>
    <w:p w14:paraId="4E1D51E4" w14:textId="77777777" w:rsidR="00DF410E" w:rsidRDefault="00CE7F43">
      <w:r>
        <w:t>QF</w:t>
      </w:r>
    </w:p>
    <w:p w14:paraId="55DB800D" w14:textId="77777777" w:rsidR="00DF410E" w:rsidRDefault="00CE7F43">
      <w:pPr>
        <w:pStyle w:val="Author-eSectionHeading6"/>
      </w:pPr>
      <w:bookmarkStart w:id="839" w:name="_Toc178837994"/>
      <w:r>
        <w:t>22.31.2c Escaliers en béton apparent (esthétique) coulé en place CCTB 01.11</w:t>
      </w:r>
      <w:bookmarkEnd w:id="839"/>
    </w:p>
    <w:p w14:paraId="60CC65F6" w14:textId="77777777" w:rsidR="00DF410E" w:rsidRDefault="00CE7F43">
      <w:pPr>
        <w:pStyle w:val="pheading"/>
      </w:pPr>
      <w:r>
        <w:t>MATÉRIAUX</w:t>
      </w:r>
    </w:p>
    <w:p w14:paraId="1C707625" w14:textId="77777777" w:rsidR="00DF410E" w:rsidRDefault="00CE7F43">
      <w:pPr>
        <w:pStyle w:val="pheading"/>
      </w:pPr>
      <w:r>
        <w:t>- Finitions</w:t>
      </w:r>
    </w:p>
    <w:p w14:paraId="217132E0"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0EB96F27" w14:textId="77777777" w:rsidR="00DF410E" w:rsidRDefault="00CE7F43">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7AE9F259" w14:textId="77777777" w:rsidR="00DF410E" w:rsidRDefault="00CE7F43">
      <w:r>
        <w:t xml:space="preserve">La face supérieure non coffrée des éléments est </w:t>
      </w:r>
      <w:r>
        <w:rPr>
          <w:rStyle w:val="optioncarChar"/>
        </w:rPr>
        <w:t>laissée rugueuse / lissée à la taloche / lavée à l’eau / brossée / bouchardée / grenaillée / grésée / polie mat / polie brillant.</w:t>
      </w:r>
    </w:p>
    <w:p w14:paraId="7C032F99"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2145F6BF" w14:textId="77777777" w:rsidR="00DF410E" w:rsidRDefault="00CE7F43">
      <w:pPr>
        <w:pStyle w:val="Author-eListParagraph"/>
        <w:numPr>
          <w:ilvl w:val="0"/>
          <w:numId w:val="58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1417C219" w14:textId="77777777" w:rsidR="00DF410E" w:rsidRDefault="00CE7F43">
      <w:pPr>
        <w:pStyle w:val="Author-eListParagraph"/>
        <w:numPr>
          <w:ilvl w:val="0"/>
          <w:numId w:val="584"/>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6E7E0236" w14:textId="77777777" w:rsidR="00DF410E" w:rsidRDefault="00CE7F43">
      <w:pPr>
        <w:pStyle w:val="Author-eListParagraph"/>
        <w:numPr>
          <w:ilvl w:val="0"/>
          <w:numId w:val="58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7327B63E" w14:textId="77777777" w:rsidR="00DF410E" w:rsidRDefault="00CE7F43">
      <w:pPr>
        <w:pStyle w:val="Author-eListParagraph"/>
        <w:numPr>
          <w:ilvl w:val="0"/>
          <w:numId w:val="584"/>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558766A0" w14:textId="77777777" w:rsidR="00DF410E" w:rsidRDefault="00CE7F43">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4678FCF0" w14:textId="77777777" w:rsidR="00DF410E" w:rsidRDefault="00CE7F43">
      <w:r>
        <w:rPr>
          <w:rStyle w:val="optioncarChar"/>
        </w:rPr>
        <w:t> </w:t>
      </w:r>
    </w:p>
    <w:p w14:paraId="2A8C63D9" w14:textId="77777777" w:rsidR="00DF410E" w:rsidRDefault="00CE7F43">
      <w:pPr>
        <w:pStyle w:val="pheading"/>
      </w:pPr>
      <w:r>
        <w:t>- Prescriptions complémentaires</w:t>
      </w:r>
    </w:p>
    <w:p w14:paraId="66DF3B72" w14:textId="77777777" w:rsidR="00DF410E" w:rsidRDefault="00CE7F43">
      <w:r>
        <w:t xml:space="preserve">Résistance au feu : pour les escaliers sans fonction séparant </w:t>
      </w:r>
      <w:r>
        <w:rPr>
          <w:rStyle w:val="optioncarChar"/>
        </w:rPr>
        <w:t xml:space="preserve">R30 </w:t>
      </w:r>
      <w:r>
        <w:t>(par défaut) </w:t>
      </w:r>
      <w:r>
        <w:rPr>
          <w:rStyle w:val="optioncarChar"/>
        </w:rPr>
        <w:t xml:space="preserve">/ R60 / R120 / R *** </w:t>
      </w:r>
      <w:r>
        <w:t xml:space="preserve">et pour les escaliers avec fonction séparant </w:t>
      </w:r>
      <w:r>
        <w:rPr>
          <w:rStyle w:val="optioncarChar"/>
        </w:rPr>
        <w:t>REI 30 </w:t>
      </w:r>
      <w:r>
        <w:t xml:space="preserve">(par défaut) </w:t>
      </w:r>
      <w:r>
        <w:rPr>
          <w:rStyle w:val="optioncarChar"/>
        </w:rPr>
        <w:t>/ REI 60 / REI 120 / REI ***</w:t>
      </w:r>
    </w:p>
    <w:p w14:paraId="1CF8666C" w14:textId="77777777" w:rsidR="00DF410E" w:rsidRDefault="00CE7F43">
      <w:pPr>
        <w:pStyle w:val="pheading"/>
      </w:pPr>
      <w:r>
        <w:t>EXÉCUTION / MISE EN ŒUVRE</w:t>
      </w:r>
    </w:p>
    <w:p w14:paraId="007E0731" w14:textId="77777777" w:rsidR="00DF410E" w:rsidRDefault="00CE7F43">
      <w:pPr>
        <w:pStyle w:val="pheading"/>
      </w:pPr>
      <w:r>
        <w:t>- Notes d’exécution complémentaires</w:t>
      </w:r>
    </w:p>
    <w:p w14:paraId="7DE6A0FD" w14:textId="77777777" w:rsidR="00DF410E" w:rsidRDefault="00CE7F43">
      <w:r>
        <w:t xml:space="preserve">Raccords visibles : joint en forme de </w:t>
      </w:r>
      <w:r>
        <w:rPr>
          <w:rStyle w:val="optioncarChar"/>
        </w:rPr>
        <w:t>V </w:t>
      </w:r>
      <w:r>
        <w:t>(par défaut)</w:t>
      </w:r>
      <w:r>
        <w:rPr>
          <w:rStyle w:val="optioncarChar"/>
        </w:rPr>
        <w:t xml:space="preserve"> /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(PMR) </w:t>
      </w:r>
      <w:r>
        <w:t>(par défaut)</w:t>
      </w:r>
      <w:r>
        <w:rPr>
          <w:rStyle w:val="optioncarChar"/>
        </w:rPr>
        <w:t xml:space="preserve"> / ***</w:t>
      </w:r>
      <w:r>
        <w:br/>
        <w:t xml:space="preserve">Les paliers sont équipés de dalles podotactiles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(PMR) </w:t>
      </w:r>
      <w:r>
        <w:t>(par défaut)</w:t>
      </w:r>
      <w:r>
        <w:rPr>
          <w:rStyle w:val="optioncarChar"/>
        </w:rPr>
        <w:t xml:space="preserve"> / ***</w:t>
      </w:r>
    </w:p>
    <w:p w14:paraId="13BB00FA" w14:textId="77777777" w:rsidR="00DF410E" w:rsidRDefault="00CE7F43">
      <w:pPr>
        <w:pStyle w:val="pheading"/>
      </w:pPr>
      <w:r>
        <w:t>MESURAGE</w:t>
      </w:r>
    </w:p>
    <w:p w14:paraId="0821279A" w14:textId="77777777" w:rsidR="00DF410E" w:rsidRDefault="00CE7F43">
      <w:pPr>
        <w:pStyle w:val="pheading"/>
      </w:pPr>
      <w:r>
        <w:t>- unité de mesure:</w:t>
      </w:r>
    </w:p>
    <w:p w14:paraId="7AF8FBEF" w14:textId="77777777" w:rsidR="00DF410E" w:rsidRDefault="00CE7F43">
      <w:r>
        <w:rPr>
          <w:b/>
        </w:rPr>
        <w:t xml:space="preserve">1. </w:t>
      </w:r>
      <w:r>
        <w:t>m pour le béton</w:t>
      </w:r>
    </w:p>
    <w:p w14:paraId="3CE5FA7B" w14:textId="77777777" w:rsidR="00DF410E" w:rsidRDefault="00CE7F43">
      <w:r>
        <w:rPr>
          <w:b/>
        </w:rPr>
        <w:t xml:space="preserve">2. </w:t>
      </w:r>
      <w:r>
        <w:t>kg pour les barres d’armatures</w:t>
      </w:r>
    </w:p>
    <w:p w14:paraId="5DC727DC" w14:textId="77777777" w:rsidR="00DF410E" w:rsidRDefault="00CE7F43">
      <w:r>
        <w:rPr>
          <w:b/>
        </w:rPr>
        <w:t>3.</w:t>
      </w:r>
      <w:r>
        <w:t xml:space="preserve"> PM, coffrages</w:t>
      </w:r>
    </w:p>
    <w:p w14:paraId="3C510155" w14:textId="77777777" w:rsidR="00DF410E" w:rsidRDefault="00CE7F43">
      <w:pPr>
        <w:pStyle w:val="pheading"/>
      </w:pPr>
      <w:r>
        <w:t>- nature du marché:</w:t>
      </w:r>
    </w:p>
    <w:p w14:paraId="0AACEEA0" w14:textId="77777777" w:rsidR="00DF410E" w:rsidRDefault="00CE7F43">
      <w:r>
        <w:t>QF</w:t>
      </w:r>
    </w:p>
    <w:p w14:paraId="274B3450" w14:textId="77777777" w:rsidR="00DF410E" w:rsidRDefault="00CE7F43">
      <w:pPr>
        <w:pStyle w:val="Author-eSectionHeading5"/>
      </w:pPr>
      <w:bookmarkStart w:id="840" w:name="_Toc178837995"/>
      <w:r>
        <w:t>22.31.3 Escaliers préfabriqués en béton CCTB 01.11</w:t>
      </w:r>
      <w:bookmarkEnd w:id="840"/>
    </w:p>
    <w:p w14:paraId="0B229FC8" w14:textId="77777777" w:rsidR="00DF410E" w:rsidRDefault="00CE7F43">
      <w:pPr>
        <w:pStyle w:val="pheading"/>
      </w:pPr>
      <w:bookmarkStart w:id="841" w:name="1105"/>
      <w:bookmarkEnd w:id="841"/>
      <w:r>
        <w:t>DESCRIPTION</w:t>
      </w:r>
    </w:p>
    <w:p w14:paraId="4A587068" w14:textId="77777777" w:rsidR="00DF410E" w:rsidRDefault="00CE7F43">
      <w:pPr>
        <w:pStyle w:val="pheading"/>
      </w:pPr>
      <w:r>
        <w:t>- Définition / Comprend</w:t>
      </w:r>
    </w:p>
    <w:p w14:paraId="3DDD1AD3" w14:textId="77777777" w:rsidR="00DF410E" w:rsidRDefault="00CE7F43">
      <w:r>
        <w:t xml:space="preserve">Il s'agit de l’ensemble des escaliers et paliers qui sont préfabriqués et ensuite reliés à l’ouvrage de construction avec les moyens d’ancrage appropriés. En ce qui concerne les prescriptions générales en matière de charges d’exploitation, de sécurité anti-incendie, de modulation de l’escalier, etc. voir le chapitre </w:t>
      </w:r>
      <w:hyperlink r:id="rId98" w:history="1" w:docLocation="375">
        <w:r>
          <w:t>57.1 Escaliers et garde-corps complets</w:t>
        </w:r>
      </w:hyperlink>
      <w:r>
        <w:t xml:space="preserve">. Les éventuelles finitions d’escalier sont décrites dans un poste séparé du chapitre </w:t>
      </w:r>
      <w:hyperlink r:id="rId99" w:history="1" w:docLocation="515">
        <w:r>
          <w:t>46.4 Revêtements de sols extérieurs (des balcons)</w:t>
        </w:r>
      </w:hyperlink>
      <w:r>
        <w:t>.</w:t>
      </w:r>
    </w:p>
    <w:p w14:paraId="665AF0B5" w14:textId="77777777" w:rsidR="00DF410E" w:rsidRDefault="00CE7F43">
      <w:pPr>
        <w:pStyle w:val="pheading"/>
      </w:pPr>
      <w:r>
        <w:t>MATÉRIAUX</w:t>
      </w:r>
    </w:p>
    <w:p w14:paraId="49D14AB6" w14:textId="77777777" w:rsidR="00DF410E" w:rsidRDefault="00CE7F43">
      <w:r>
        <w:t>L’ensemble des matériaux, des éléments porteurs et des assemblages doivent satisfaire aux charges d’exploitation préalablement indiquées (</w:t>
      </w:r>
      <w:hyperlink w:anchor="87" w:history="1">
        <w:r>
          <w:t>22 Superstructures en béton</w:t>
        </w:r>
      </w:hyperlink>
      <w:r>
        <w:t>).</w:t>
      </w:r>
    </w:p>
    <w:p w14:paraId="7D2C04BA" w14:textId="77777777" w:rsidR="00DF410E" w:rsidRDefault="00CE7F43">
      <w:pPr>
        <w:pStyle w:val="heading"/>
      </w:pPr>
      <w:r>
        <w:t>Spécifications</w:t>
      </w:r>
    </w:p>
    <w:p w14:paraId="1CBE40E5" w14:textId="77777777" w:rsidR="00DF410E" w:rsidRDefault="00CE7F43">
      <w:pPr>
        <w:pStyle w:val="Author-eListParagraph"/>
        <w:numPr>
          <w:ilvl w:val="0"/>
          <w:numId w:val="585"/>
        </w:numPr>
      </w:pPr>
      <w:r>
        <w:t>Conformes aux normes [NBN EN 14843] et aux exigences de la norme [NBN B 21-611]</w:t>
      </w:r>
    </w:p>
    <w:p w14:paraId="49CC4544" w14:textId="77777777" w:rsidR="00DF410E" w:rsidRDefault="00CE7F43">
      <w:pPr>
        <w:pStyle w:val="Author-eListParagraph"/>
        <w:numPr>
          <w:ilvl w:val="0"/>
          <w:numId w:val="585"/>
        </w:numPr>
      </w:pPr>
      <w:r>
        <w:t>Forme et dimensions : conformément aux indications sur les plans</w:t>
      </w:r>
    </w:p>
    <w:p w14:paraId="3C8A24C2" w14:textId="77777777" w:rsidR="00DF410E" w:rsidRDefault="00CE7F43">
      <w:pPr>
        <w:pStyle w:val="Author-eListParagraph"/>
        <w:numPr>
          <w:ilvl w:val="0"/>
          <w:numId w:val="585"/>
        </w:numPr>
      </w:pPr>
      <w:r>
        <w:t xml:space="preserve">Charges d’exploitation : </w:t>
      </w:r>
      <w:r>
        <w:rPr>
          <w:rStyle w:val="optioncarChar"/>
        </w:rPr>
        <w:t>***</w:t>
      </w:r>
    </w:p>
    <w:p w14:paraId="1AB10543" w14:textId="77777777" w:rsidR="00DF410E" w:rsidRDefault="00CE7F43">
      <w:pPr>
        <w:pStyle w:val="Author-eListParagraph"/>
        <w:numPr>
          <w:ilvl w:val="0"/>
          <w:numId w:val="585"/>
        </w:numPr>
      </w:pPr>
      <w:r>
        <w:t xml:space="preserve">Classe d'environnement : </w:t>
      </w:r>
      <w:r>
        <w:rPr>
          <w:rStyle w:val="optioncarChar"/>
        </w:rPr>
        <w:t>***</w:t>
      </w:r>
    </w:p>
    <w:p w14:paraId="1423AC91" w14:textId="77777777" w:rsidR="00DF410E" w:rsidRDefault="00CE7F43">
      <w:pPr>
        <w:pStyle w:val="Author-eListParagraph"/>
        <w:numPr>
          <w:ilvl w:val="0"/>
          <w:numId w:val="585"/>
        </w:numPr>
      </w:pPr>
      <w:r>
        <w:t xml:space="preserve">Eléments d’ancrage (système à soumettre pour approbation) : </w:t>
      </w:r>
      <w:r>
        <w:rPr>
          <w:rStyle w:val="optioncarChar"/>
        </w:rPr>
        <w:t>sans dispositif de rupture thermique </w:t>
      </w:r>
      <w:r>
        <w:t>(par défaut) / </w:t>
      </w:r>
      <w:r>
        <w:rPr>
          <w:rStyle w:val="optioncarChar"/>
        </w:rPr>
        <w:t>avec dispositif de rupture thermique</w:t>
      </w:r>
    </w:p>
    <w:p w14:paraId="379FE642" w14:textId="77777777" w:rsidR="00DF410E" w:rsidRDefault="00CE7F43">
      <w:pPr>
        <w:pStyle w:val="pheading"/>
      </w:pPr>
      <w:r>
        <w:t>EXÉCUTION / MISE EN ŒUVRE</w:t>
      </w:r>
    </w:p>
    <w:p w14:paraId="0C513291" w14:textId="77777777" w:rsidR="00DF410E" w:rsidRDefault="00CE7F43">
      <w:r>
        <w:t>Les escaliers et les paliers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w:t>
      </w:r>
    </w:p>
    <w:p w14:paraId="220DAE2F" w14:textId="77777777" w:rsidR="00DF410E" w:rsidRDefault="00CE7F43">
      <w:pPr>
        <w:pStyle w:val="pheading"/>
      </w:pPr>
      <w:r>
        <w:t>DOCUMENTS DE RÉFÉRENCE</w:t>
      </w:r>
    </w:p>
    <w:p w14:paraId="01DFFBD2" w14:textId="77777777" w:rsidR="00DF410E" w:rsidRDefault="00CE7F43">
      <w:pPr>
        <w:pStyle w:val="pheading"/>
      </w:pPr>
      <w:r>
        <w:t>- Matériau</w:t>
      </w:r>
    </w:p>
    <w:p w14:paraId="08CC6A5B" w14:textId="77777777" w:rsidR="00DF410E" w:rsidRDefault="00CE7F43">
      <w:r>
        <w:t>[NBN EN 14843, Produits préfabriqués en béton - Escaliers]</w:t>
      </w:r>
    </w:p>
    <w:p w14:paraId="2518C7FB" w14:textId="77777777" w:rsidR="00DF410E" w:rsidRDefault="00CE7F43">
      <w:r>
        <w:t>[NBN B 21-611, Produits préfabriqués en béton - Escaliers - Complément national à la NBN EN 14843:2007]</w:t>
      </w:r>
    </w:p>
    <w:p w14:paraId="42BCA504" w14:textId="77777777" w:rsidR="00DF410E" w:rsidRDefault="00CE7F43">
      <w:pPr>
        <w:pStyle w:val="Author-eSectionHeading6"/>
      </w:pPr>
      <w:bookmarkStart w:id="842" w:name="_Toc178837996"/>
      <w:r>
        <w:t>22.31.3a Volées d'escaliers préfabriquées en béton CCTB 01.11</w:t>
      </w:r>
      <w:bookmarkEnd w:id="842"/>
    </w:p>
    <w:p w14:paraId="5A1367ED" w14:textId="77777777" w:rsidR="00DF410E" w:rsidRDefault="00CE7F43">
      <w:pPr>
        <w:pStyle w:val="pheading"/>
      </w:pPr>
      <w:r>
        <w:t>MATÉRIAUX</w:t>
      </w:r>
    </w:p>
    <w:p w14:paraId="3586CC9C" w14:textId="77777777" w:rsidR="00DF410E" w:rsidRDefault="00CE7F43">
      <w:pPr>
        <w:pStyle w:val="pheading"/>
      </w:pPr>
      <w:r>
        <w:t>- Finitions</w:t>
      </w:r>
    </w:p>
    <w:p w14:paraId="0F644A87" w14:textId="77777777" w:rsidR="00DF410E" w:rsidRDefault="00CE7F43">
      <w:r>
        <w:t xml:space="preserve">Surface de béton: </w:t>
      </w:r>
      <w:r>
        <w:rPr>
          <w:rStyle w:val="optioncarChar"/>
        </w:rPr>
        <w:t xml:space="preserve">brute et lisse </w:t>
      </w:r>
      <w:r>
        <w:t>(par défaut)</w:t>
      </w:r>
      <w:r>
        <w:rPr>
          <w:rStyle w:val="optioncarChar"/>
        </w:rPr>
        <w:t xml:space="preserve"> / rugueuse / ****</w:t>
      </w:r>
    </w:p>
    <w:p w14:paraId="158BC5F5" w14:textId="77777777" w:rsidR="00DF410E" w:rsidRDefault="00CE7F43">
      <w:pPr>
        <w:pStyle w:val="pheading"/>
      </w:pPr>
      <w:r>
        <w:t>- Prescriptions complémentaires</w:t>
      </w:r>
    </w:p>
    <w:p w14:paraId="2E360239" w14:textId="77777777" w:rsidR="00DF410E" w:rsidRDefault="00CE7F43">
      <w:r>
        <w:t>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w:t>
      </w:r>
      <w:r>
        <w:t xml:space="preserve"> (par défaut) </w:t>
      </w:r>
      <w:r>
        <w:rPr>
          <w:rStyle w:val="optioncarChar"/>
        </w:rPr>
        <w:t>/ REI 60 / REI 120 / REI ***</w:t>
      </w:r>
    </w:p>
    <w:p w14:paraId="690023B7" w14:textId="77777777" w:rsidR="00DF410E" w:rsidRDefault="00CE7F43">
      <w:pPr>
        <w:pStyle w:val="pheading"/>
      </w:pPr>
      <w:r>
        <w:t>EXÉCUTION / MISE EN ŒUVRE</w:t>
      </w:r>
    </w:p>
    <w:p w14:paraId="4567099C" w14:textId="77777777" w:rsidR="00DF410E" w:rsidRDefault="00CE7F43">
      <w:pPr>
        <w:pStyle w:val="pheading"/>
      </w:pPr>
      <w:r>
        <w:t>- Notes d’exécution complémentaires</w:t>
      </w:r>
    </w:p>
    <w:p w14:paraId="1CE86F41" w14:textId="77777777" w:rsidR="00DF410E" w:rsidRDefault="00CE7F43">
      <w:r>
        <w:t xml:space="preserve">Dans les marches, on intègre une bande antidérapante (PMR) en </w:t>
      </w:r>
      <w:r>
        <w:rPr>
          <w:color w:val="FF0000"/>
        </w:rPr>
        <w:t>caoutchouc </w:t>
      </w:r>
      <w:r>
        <w:t>(par défaut)</w:t>
      </w:r>
      <w:r>
        <w:rPr>
          <w:rStyle w:val="optioncarChar"/>
        </w:rPr>
        <w:t xml:space="preserve"> / ***</w:t>
      </w:r>
      <w:r>
        <w:t xml:space="preserve"> selon </w:t>
      </w:r>
      <w:r>
        <w:rPr>
          <w:color w:val="FF0000"/>
        </w:rPr>
        <w:t>***</w:t>
      </w:r>
      <w:r>
        <w:t>  et/ou des indicateurs visuels (PMR) présentant les caractéristiques suivantes:</w:t>
      </w:r>
      <w:r>
        <w:rPr>
          <w:color w:val="FF0000"/>
        </w:rPr>
        <w:t xml:space="preserve"> voir recommandations dans le sous-titre </w:t>
      </w:r>
      <w:hyperlink w:anchor="514" w:history="1">
        <w:r>
          <w:t>22.31 Escaliers en béton</w:t>
        </w:r>
      </w:hyperlink>
      <w:r>
        <w:t>(par défaut)</w:t>
      </w:r>
      <w:r>
        <w:rPr>
          <w:rStyle w:val="optioncarChar"/>
        </w:rPr>
        <w:t xml:space="preserve"> / ***</w:t>
      </w:r>
    </w:p>
    <w:p w14:paraId="1C00D254" w14:textId="77777777" w:rsidR="00DF410E" w:rsidRDefault="00CE7F43">
      <w:pPr>
        <w:pStyle w:val="pheading"/>
      </w:pPr>
      <w:r>
        <w:t>MESURAGE</w:t>
      </w:r>
    </w:p>
    <w:p w14:paraId="66919F74" w14:textId="77777777" w:rsidR="00DF410E" w:rsidRDefault="00CE7F43">
      <w:pPr>
        <w:pStyle w:val="pheading"/>
      </w:pPr>
      <w:r>
        <w:t>- unité de mesure:</w:t>
      </w:r>
    </w:p>
    <w:p w14:paraId="7B9F1528" w14:textId="77777777" w:rsidR="00DF410E" w:rsidRDefault="00CE7F43">
      <w:r>
        <w:rPr>
          <w:b/>
        </w:rPr>
        <w:t xml:space="preserve">1. </w:t>
      </w:r>
      <w:r>
        <w:t xml:space="preserve">escaliers par marche </w:t>
      </w:r>
    </w:p>
    <w:p w14:paraId="20FB8E94" w14:textId="77777777" w:rsidR="00DF410E" w:rsidRDefault="00CE7F43">
      <w:r>
        <w:rPr>
          <w:b/>
        </w:rPr>
        <w:t xml:space="preserve">2. </w:t>
      </w:r>
      <w:r>
        <w:t>paliers au m² pour les paliers</w:t>
      </w:r>
    </w:p>
    <w:p w14:paraId="6D997EBB" w14:textId="77777777" w:rsidR="00DF410E" w:rsidRDefault="00CE7F43">
      <w:pPr>
        <w:pStyle w:val="pheading"/>
      </w:pPr>
      <w:r>
        <w:t>- code de mesurage:</w:t>
      </w:r>
    </w:p>
    <w:p w14:paraId="349FCA44" w14:textId="77777777" w:rsidR="00DF410E" w:rsidRDefault="00CE7F43">
      <w:r>
        <w:t xml:space="preserve">Une distinction </w:t>
      </w:r>
      <w:r>
        <w:rPr>
          <w:rStyle w:val="optioncarChar"/>
        </w:rPr>
        <w:t xml:space="preserve">est faite / n’est pas </w:t>
      </w:r>
      <w:r>
        <w:t>faite entre les marches droites et tournantes</w:t>
      </w:r>
      <w:r>
        <w:br/>
        <w:t>Les limons et le chemin d’escalier sont compris dans le prix unitaire. Ne sont pas compris : les revêtements d’escalier.</w:t>
      </w:r>
    </w:p>
    <w:p w14:paraId="711F4FC4" w14:textId="77777777" w:rsidR="00DF410E" w:rsidRDefault="00CE7F43">
      <w:pPr>
        <w:pStyle w:val="pheading"/>
      </w:pPr>
      <w:r>
        <w:t>- nature du marché:</w:t>
      </w:r>
    </w:p>
    <w:p w14:paraId="594413D4" w14:textId="77777777" w:rsidR="00DF410E" w:rsidRDefault="00CE7F43">
      <w:r>
        <w:t>QF</w:t>
      </w:r>
    </w:p>
    <w:p w14:paraId="23B98F26" w14:textId="77777777" w:rsidR="00DF410E" w:rsidRDefault="00CE7F43">
      <w:pPr>
        <w:pStyle w:val="Author-eSectionHeading6"/>
      </w:pPr>
      <w:bookmarkStart w:id="843" w:name="_Toc178837997"/>
      <w:r>
        <w:t>22.31.3b Paliers d'escaliers préfabriqués en béton CCTB 01.11</w:t>
      </w:r>
      <w:bookmarkEnd w:id="843"/>
    </w:p>
    <w:p w14:paraId="20B56432" w14:textId="77777777" w:rsidR="00DF410E" w:rsidRDefault="00CE7F43">
      <w:pPr>
        <w:pStyle w:val="pheading"/>
      </w:pPr>
      <w:r>
        <w:t>MATÉRIAUX</w:t>
      </w:r>
    </w:p>
    <w:p w14:paraId="69D19F43" w14:textId="77777777" w:rsidR="00DF410E" w:rsidRDefault="00CE7F43">
      <w:pPr>
        <w:pStyle w:val="pheading"/>
      </w:pPr>
      <w:r>
        <w:t>- Caractéristiques générales</w:t>
      </w:r>
    </w:p>
    <w:p w14:paraId="29D7CA06" w14:textId="77777777" w:rsidR="00DF410E" w:rsidRDefault="00CE7F43">
      <w:r>
        <w:t>Conformes aux normes [NBN EN 14843] et aux exigences de la norme [NBN B 21-611]</w:t>
      </w:r>
    </w:p>
    <w:p w14:paraId="566E053F" w14:textId="77777777" w:rsidR="00DF410E" w:rsidRDefault="00CE7F43">
      <w:pPr>
        <w:pStyle w:val="pheading"/>
      </w:pPr>
      <w:r>
        <w:t>- Finitions</w:t>
      </w:r>
    </w:p>
    <w:p w14:paraId="55CC1D26" w14:textId="77777777" w:rsidR="00DF410E" w:rsidRDefault="00CE7F43">
      <w:r>
        <w:t xml:space="preserve">Surface de béton: </w:t>
      </w:r>
      <w:r>
        <w:rPr>
          <w:rStyle w:val="optioncarChar"/>
        </w:rPr>
        <w:t xml:space="preserve">brute et lisse </w:t>
      </w:r>
      <w:r>
        <w:t>(par défaut)</w:t>
      </w:r>
      <w:r>
        <w:rPr>
          <w:rStyle w:val="optioncarChar"/>
        </w:rPr>
        <w:t xml:space="preserve"> / rugueuse / ***</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12871DCA" w14:textId="77777777" w:rsidR="00DF410E" w:rsidRDefault="00CE7F43">
      <w:pPr>
        <w:pStyle w:val="pheading"/>
      </w:pPr>
      <w:r>
        <w:t>- Prescriptions complémentaires</w:t>
      </w:r>
    </w:p>
    <w:p w14:paraId="648E7FD5" w14:textId="77777777" w:rsidR="00DF410E" w:rsidRDefault="00CE7F43">
      <w:r>
        <w:t xml:space="preserve">• 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 </w:t>
      </w:r>
      <w:r>
        <w:t>(par défaut)</w:t>
      </w:r>
      <w:r>
        <w:rPr>
          <w:rStyle w:val="optioncarChar"/>
        </w:rPr>
        <w:t xml:space="preserve"> / REI 60 / REI 120 / REI ***</w:t>
      </w:r>
    </w:p>
    <w:p w14:paraId="49CB0A16" w14:textId="77777777" w:rsidR="00DF410E" w:rsidRDefault="00CE7F43">
      <w:pPr>
        <w:pStyle w:val="pheading"/>
      </w:pPr>
      <w:r>
        <w:t>EXÉCUTION / MISE EN ŒUVRE</w:t>
      </w:r>
    </w:p>
    <w:p w14:paraId="0D4EC390" w14:textId="77777777" w:rsidR="00DF410E" w:rsidRDefault="00CE7F43">
      <w:pPr>
        <w:pStyle w:val="pheading"/>
      </w:pPr>
      <w:r>
        <w:t>- Notes d’exécution complémentaires</w:t>
      </w:r>
    </w:p>
    <w:p w14:paraId="21B12F6D" w14:textId="77777777" w:rsidR="00DF410E" w:rsidRDefault="00DF410E"/>
    <w:p w14:paraId="25752059" w14:textId="77777777" w:rsidR="00DF410E" w:rsidRDefault="00CE7F43">
      <w:pPr>
        <w:pStyle w:val="Author-eListParagraph"/>
        <w:numPr>
          <w:ilvl w:val="0"/>
          <w:numId w:val="586"/>
        </w:numPr>
      </w:pPr>
      <w:r>
        <w:t>Dans les marches, on intègre une bande antidérapante (PMR) en</w:t>
      </w:r>
      <w:r>
        <w:rPr>
          <w:rStyle w:val="optioncarChar"/>
        </w:rPr>
        <w:t>*** / caoutchouc</w:t>
      </w:r>
      <w:r>
        <w:t xml:space="preserve"> selon</w:t>
      </w:r>
      <w:r>
        <w:rPr>
          <w:rStyle w:val="optioncarChar"/>
        </w:rPr>
        <w:t xml:space="preserve"> ***</w:t>
      </w:r>
      <w:r>
        <w:t xml:space="preserve"> et/ou des indicateurs visuels (PMR) présentant les caractéristiques suivantes : </w:t>
      </w:r>
      <w:r>
        <w:rPr>
          <w:rStyle w:val="optioncarChar"/>
        </w:rPr>
        <w:t xml:space="preserve">*** / voir recommandations dans le sous-titre </w:t>
      </w:r>
      <w:hyperlink w:anchor="514" w:history="1">
        <w:r>
          <w:rPr>
            <w:rStyle w:val="optioncarChar"/>
          </w:rPr>
          <w:t>22.31 Escaliers en béton</w:t>
        </w:r>
      </w:hyperlink>
      <w:r>
        <w:rPr>
          <w:rStyle w:val="optioncarChar"/>
        </w:rPr>
        <w:t xml:space="preserve"> (PMR)</w:t>
      </w:r>
    </w:p>
    <w:p w14:paraId="1966AF35" w14:textId="77777777" w:rsidR="00DF410E" w:rsidRDefault="00CE7F43">
      <w:pPr>
        <w:pStyle w:val="Author-eListParagraph"/>
        <w:numPr>
          <w:ilvl w:val="0"/>
          <w:numId w:val="586"/>
        </w:numPr>
      </w:pPr>
      <w:r>
        <w:t xml:space="preserve">Les paliers sont équipés de dalles podotactiles présentant les caractéristiques suivantes : </w:t>
      </w:r>
      <w:r>
        <w:rPr>
          <w:rStyle w:val="optioncarChar"/>
        </w:rPr>
        <w:t xml:space="preserve">*** / voir recommandations dans le sous-titre </w:t>
      </w:r>
      <w:hyperlink w:anchor="514" w:history="1">
        <w:r>
          <w:rPr>
            <w:rStyle w:val="optioncarChar"/>
          </w:rPr>
          <w:t>22.31 Escaliers en béton</w:t>
        </w:r>
      </w:hyperlink>
      <w:r>
        <w:rPr>
          <w:rStyle w:val="optioncarChar"/>
        </w:rPr>
        <w:t> (PMR)</w:t>
      </w:r>
    </w:p>
    <w:p w14:paraId="135C3290" w14:textId="77777777" w:rsidR="00DF410E" w:rsidRDefault="00CE7F43">
      <w:pPr>
        <w:pStyle w:val="pheading"/>
      </w:pPr>
      <w:r>
        <w:t>MESURAGE</w:t>
      </w:r>
    </w:p>
    <w:p w14:paraId="530C7B87" w14:textId="77777777" w:rsidR="00DF410E" w:rsidRDefault="00CE7F43">
      <w:pPr>
        <w:pStyle w:val="pheading"/>
      </w:pPr>
      <w:r>
        <w:t>- unité de mesure:</w:t>
      </w:r>
    </w:p>
    <w:p w14:paraId="20EBD33F" w14:textId="77777777" w:rsidR="00DF410E" w:rsidRDefault="00CE7F43">
      <w:r>
        <w:rPr>
          <w:b/>
        </w:rPr>
        <w:t xml:space="preserve">1. </w:t>
      </w:r>
      <w:r>
        <w:t xml:space="preserve">escaliers par marche </w:t>
      </w:r>
    </w:p>
    <w:p w14:paraId="1213CC44" w14:textId="77777777" w:rsidR="00DF410E" w:rsidRDefault="00CE7F43">
      <w:r>
        <w:rPr>
          <w:b/>
        </w:rPr>
        <w:t xml:space="preserve">2. </w:t>
      </w:r>
      <w:r>
        <w:t>paliers au m² pour les paliers</w:t>
      </w:r>
    </w:p>
    <w:p w14:paraId="1C8FFEE8" w14:textId="77777777" w:rsidR="00DF410E" w:rsidRDefault="00CE7F43">
      <w:pPr>
        <w:pStyle w:val="pheading"/>
      </w:pPr>
      <w:r>
        <w:t>- code de mesurage:</w:t>
      </w:r>
    </w:p>
    <w:p w14:paraId="5B32D894" w14:textId="77777777" w:rsidR="00DF410E" w:rsidRDefault="00CE7F43">
      <w:r>
        <w:t xml:space="preserve">Une distinction </w:t>
      </w:r>
      <w:r>
        <w:rPr>
          <w:rStyle w:val="optioncarChar"/>
        </w:rPr>
        <w:t xml:space="preserve">est faite / n’est pas faite </w:t>
      </w:r>
      <w:r>
        <w:t>entre les marches droites et tournantes.</w:t>
      </w:r>
      <w:r>
        <w:br/>
        <w:t>Les limons et le chemin d’escalier sont compris dans le prix unitaire. Ne sont pas compris : les revêtements d’escalier.</w:t>
      </w:r>
    </w:p>
    <w:p w14:paraId="48AB9ED9" w14:textId="77777777" w:rsidR="00DF410E" w:rsidRDefault="00CE7F43">
      <w:pPr>
        <w:pStyle w:val="pheading"/>
      </w:pPr>
      <w:r>
        <w:t>- nature du marché:</w:t>
      </w:r>
    </w:p>
    <w:p w14:paraId="7AF9D90C" w14:textId="77777777" w:rsidR="00DF410E" w:rsidRDefault="00CE7F43">
      <w:r>
        <w:t>QF</w:t>
      </w:r>
    </w:p>
    <w:p w14:paraId="5E08A8FA" w14:textId="77777777" w:rsidR="00DF410E" w:rsidRDefault="00CE7F43">
      <w:pPr>
        <w:pStyle w:val="Author-eSectionHeading6"/>
      </w:pPr>
      <w:bookmarkStart w:id="844" w:name="_Toc178837998"/>
      <w:r>
        <w:t>22.31.3c Escaliers préfabriqués en béton CCTB 01.11</w:t>
      </w:r>
      <w:bookmarkEnd w:id="844"/>
    </w:p>
    <w:p w14:paraId="0D477656" w14:textId="77777777" w:rsidR="00DF410E" w:rsidRDefault="00CE7F43">
      <w:pPr>
        <w:pStyle w:val="pheading"/>
      </w:pPr>
      <w:r>
        <w:t>MATÉRIAUX</w:t>
      </w:r>
    </w:p>
    <w:p w14:paraId="099369DB" w14:textId="77777777" w:rsidR="00DF410E" w:rsidRDefault="00CE7F43">
      <w:pPr>
        <w:pStyle w:val="pheading"/>
      </w:pPr>
      <w:r>
        <w:t>- Caractéristiques générales</w:t>
      </w:r>
    </w:p>
    <w:p w14:paraId="7750BB44" w14:textId="77777777" w:rsidR="00DF410E" w:rsidRDefault="00CE7F43">
      <w:r>
        <w:t>Conformes aux normes [NBN EN 14843] et aux exigences de la norme [NBN B 21-611]</w:t>
      </w:r>
    </w:p>
    <w:p w14:paraId="6F2D0F32" w14:textId="77777777" w:rsidR="00DF410E" w:rsidRDefault="00CE7F43">
      <w:pPr>
        <w:pStyle w:val="pheading"/>
      </w:pPr>
      <w:r>
        <w:t>- Finitions</w:t>
      </w:r>
    </w:p>
    <w:p w14:paraId="2EACD5CB" w14:textId="77777777" w:rsidR="00DF410E" w:rsidRDefault="00CE7F43">
      <w:r>
        <w:t xml:space="preserve">Surface de béton: </w:t>
      </w:r>
      <w:r>
        <w:rPr>
          <w:rStyle w:val="optioncarChar"/>
        </w:rPr>
        <w:t xml:space="preserve">brute et lisse </w:t>
      </w:r>
      <w:r>
        <w:t>(par défaut)</w:t>
      </w:r>
      <w:r>
        <w:rPr>
          <w:rStyle w:val="optioncarChar"/>
        </w:rPr>
        <w:t xml:space="preserve"> / rugueuse / ***</w:t>
      </w:r>
    </w:p>
    <w:p w14:paraId="3792A47D" w14:textId="77777777" w:rsidR="00DF410E" w:rsidRDefault="00CE7F43">
      <w:pPr>
        <w:pStyle w:val="pheading"/>
      </w:pPr>
      <w:r>
        <w:t>- Prescriptions complémentaires</w:t>
      </w:r>
    </w:p>
    <w:p w14:paraId="0FBD1DCA" w14:textId="77777777" w:rsidR="00DF410E" w:rsidRDefault="00CE7F43">
      <w:r>
        <w:t xml:space="preserve">Résistance au feu : pour les escaliers sans fonction séparant </w:t>
      </w:r>
      <w:r>
        <w:rPr>
          <w:rStyle w:val="optioncarChar"/>
        </w:rPr>
        <w:t>R30 </w:t>
      </w:r>
      <w:r>
        <w:t xml:space="preserve">(par défaut) </w:t>
      </w:r>
      <w:r>
        <w:rPr>
          <w:rStyle w:val="optioncarChar"/>
        </w:rPr>
        <w:t xml:space="preserve">/ R60 / R120 / R *** </w:t>
      </w:r>
      <w:r>
        <w:t>et pour les escaliers avec fonction séparant </w:t>
      </w:r>
      <w:r>
        <w:rPr>
          <w:rStyle w:val="optioncarChar"/>
        </w:rPr>
        <w:t xml:space="preserve">REI 30 </w:t>
      </w:r>
      <w:r>
        <w:t>(par défaut) </w:t>
      </w:r>
      <w:r>
        <w:rPr>
          <w:rStyle w:val="optioncarChar"/>
        </w:rPr>
        <w:t>/ REI 60 / REI 120 / REI ***</w:t>
      </w:r>
    </w:p>
    <w:p w14:paraId="652C81B5" w14:textId="77777777" w:rsidR="00DF410E" w:rsidRDefault="00CE7F43">
      <w:pPr>
        <w:pStyle w:val="pheading"/>
      </w:pPr>
      <w:r>
        <w:t>EXÉCUTION / MISE EN ŒUVRE</w:t>
      </w:r>
    </w:p>
    <w:p w14:paraId="7778E6D9" w14:textId="77777777" w:rsidR="00DF410E" w:rsidRDefault="00CE7F43">
      <w:pPr>
        <w:pStyle w:val="pheading"/>
      </w:pPr>
      <w:r>
        <w:t>- Notes d’exécution complémentaires</w:t>
      </w:r>
    </w:p>
    <w:p w14:paraId="743D1AD3" w14:textId="77777777" w:rsidR="00DF410E" w:rsidRDefault="00CE7F43">
      <w:r>
        <w:t>Dans les marches, on intègre une bande antidérapante (PMR) en </w:t>
      </w:r>
      <w:r>
        <w:rPr>
          <w:rStyle w:val="optioncarChar"/>
        </w:rPr>
        <w:t>caoutchouc </w:t>
      </w:r>
      <w:r>
        <w:t>(par défaut)</w:t>
      </w:r>
      <w:r>
        <w:rPr>
          <w:rStyle w:val="optioncarChar"/>
        </w:rPr>
        <w:t xml:space="preserve"> / ***</w:t>
      </w:r>
      <w:r>
        <w:t xml:space="preserve"> selon </w:t>
      </w:r>
      <w:r>
        <w:rPr>
          <w:rStyle w:val="optioncarChar"/>
        </w:rPr>
        <w:t xml:space="preserve">*** </w:t>
      </w:r>
      <w:r>
        <w:t xml:space="preserve">et/ou des indicateurs visuels (PMR) présentant les caractéristiques suivantes : </w:t>
      </w:r>
      <w:r>
        <w:rPr>
          <w:rStyle w:val="optioncarChar"/>
        </w:rPr>
        <w:t>voir recommandations de l'article 22.31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recommandations de l'article 22.31 (PMR) </w:t>
      </w:r>
      <w:r>
        <w:t>(par défaut)</w:t>
      </w:r>
      <w:r>
        <w:rPr>
          <w:rStyle w:val="optioncarChar"/>
        </w:rPr>
        <w:t xml:space="preserve"> / ***</w:t>
      </w:r>
    </w:p>
    <w:p w14:paraId="673B0490" w14:textId="77777777" w:rsidR="00DF410E" w:rsidRDefault="00CE7F43">
      <w:pPr>
        <w:pStyle w:val="pheading"/>
      </w:pPr>
      <w:r>
        <w:t>MESURAGE</w:t>
      </w:r>
    </w:p>
    <w:p w14:paraId="5E2B0883" w14:textId="77777777" w:rsidR="00DF410E" w:rsidRDefault="00CE7F43">
      <w:pPr>
        <w:pStyle w:val="pheading"/>
      </w:pPr>
      <w:r>
        <w:t>- unité de mesure:</w:t>
      </w:r>
    </w:p>
    <w:p w14:paraId="33F281A0" w14:textId="77777777" w:rsidR="00DF410E" w:rsidRDefault="00CE7F43">
      <w:r>
        <w:rPr>
          <w:b/>
        </w:rPr>
        <w:t xml:space="preserve">1. </w:t>
      </w:r>
      <w:r>
        <w:t xml:space="preserve">escaliers par marche </w:t>
      </w:r>
    </w:p>
    <w:p w14:paraId="7963B083" w14:textId="77777777" w:rsidR="00DF410E" w:rsidRDefault="00CE7F43">
      <w:r>
        <w:rPr>
          <w:b/>
        </w:rPr>
        <w:t xml:space="preserve">2. </w:t>
      </w:r>
      <w:r>
        <w:t>paliers au m² pour les paliers</w:t>
      </w:r>
    </w:p>
    <w:p w14:paraId="0077862F" w14:textId="77777777" w:rsidR="00DF410E" w:rsidRDefault="00CE7F43">
      <w:pPr>
        <w:pStyle w:val="pheading"/>
      </w:pPr>
      <w:r>
        <w:t>- code de mesurage:</w:t>
      </w:r>
    </w:p>
    <w:p w14:paraId="04635E78" w14:textId="77777777" w:rsidR="00DF410E" w:rsidRDefault="00CE7F43">
      <w:r>
        <w:t xml:space="preserve">Une distinction </w:t>
      </w:r>
      <w:r>
        <w:rPr>
          <w:rStyle w:val="optioncarChar"/>
        </w:rPr>
        <w:t>est faite / n’est pas faite</w:t>
      </w:r>
      <w:r>
        <w:t xml:space="preserve"> entre les marches droites et tournantes</w:t>
      </w:r>
    </w:p>
    <w:p w14:paraId="732BC735" w14:textId="77777777" w:rsidR="00DF410E" w:rsidRDefault="00CE7F43">
      <w:r>
        <w:t>Les limons et le chemin d’escalier sont compris dans le prix unitaire. Ne sont pas compris : les revêtements d’escalier.</w:t>
      </w:r>
    </w:p>
    <w:p w14:paraId="718628A1" w14:textId="77777777" w:rsidR="00DF410E" w:rsidRDefault="00CE7F43">
      <w:pPr>
        <w:pStyle w:val="pheading"/>
      </w:pPr>
      <w:r>
        <w:t>- nature du marché:</w:t>
      </w:r>
    </w:p>
    <w:p w14:paraId="42D1AA7D" w14:textId="77777777" w:rsidR="00DF410E" w:rsidRDefault="00CE7F43">
      <w:r>
        <w:t>QF</w:t>
      </w:r>
    </w:p>
    <w:p w14:paraId="00865CF3" w14:textId="77777777" w:rsidR="00DF410E" w:rsidRDefault="00CE7F43">
      <w:pPr>
        <w:pStyle w:val="Author-eSectionHeading5"/>
      </w:pPr>
      <w:bookmarkStart w:id="845" w:name="_Toc178837999"/>
      <w:r>
        <w:t>22.31.4 Escaliers préfabriqués en béton architectonique CCTB 01.11</w:t>
      </w:r>
      <w:bookmarkEnd w:id="845"/>
    </w:p>
    <w:p w14:paraId="3DA87A18" w14:textId="77777777" w:rsidR="00DF410E" w:rsidRDefault="00CE7F43">
      <w:pPr>
        <w:pStyle w:val="pheading"/>
      </w:pPr>
      <w:r>
        <w:t>DESCRIPTION</w:t>
      </w:r>
    </w:p>
    <w:p w14:paraId="0360BDD2" w14:textId="77777777" w:rsidR="00DF410E" w:rsidRDefault="00CE7F43">
      <w:pPr>
        <w:pStyle w:val="pheading"/>
      </w:pPr>
      <w:r>
        <w:t>- Définition / Comprend</w:t>
      </w:r>
    </w:p>
    <w:p w14:paraId="315ECABA" w14:textId="77777777" w:rsidR="00DF410E" w:rsidRDefault="00CE7F43">
      <w:r>
        <w:t xml:space="preserve">Il s'agit de l’ensemble des escaliers et paliers qui sont préfabriqués et ensuite reliés à l’ouvrage de construction avec les moyens d’ancrage appropriés. En ce qui concerne les prescriptions générales en matière de charges d’exploitation, de sécurité anti-incendie, de modulation de l’escalier, etc. voir le chapitre </w:t>
      </w:r>
      <w:hyperlink r:id="rId100" w:history="1" w:docLocation="375">
        <w:r>
          <w:t>57.1 Escaliers et garde-corps complets</w:t>
        </w:r>
      </w:hyperlink>
      <w:r>
        <w:t xml:space="preserve">. Les éventuelles finitions d’escalier sont décrites dans un poste séparé du chapitre </w:t>
      </w:r>
      <w:hyperlink r:id="rId101" w:history="1" w:docLocation="515">
        <w:r>
          <w:t>46.4 Revêtements de sols extérieurs (des balcons)</w:t>
        </w:r>
      </w:hyperlink>
      <w:r>
        <w:t>.</w:t>
      </w:r>
    </w:p>
    <w:p w14:paraId="1C940635" w14:textId="77777777" w:rsidR="00DF410E" w:rsidRDefault="00CE7F43">
      <w:pPr>
        <w:pStyle w:val="pheading"/>
      </w:pPr>
      <w:r>
        <w:t>MATÉRIAUX</w:t>
      </w:r>
    </w:p>
    <w:p w14:paraId="75BEE16A" w14:textId="77777777" w:rsidR="00DF410E" w:rsidRDefault="00CE7F43">
      <w:r>
        <w:t>L’ensemble des matériaux, des éléments porteurs et des assemblages doivent satisfaire aux charges d’exploitation préalablement indiquées (</w:t>
      </w:r>
      <w:hyperlink w:anchor="87" w:history="1">
        <w:r>
          <w:t>22 Superstructures en béton</w:t>
        </w:r>
      </w:hyperlink>
      <w:r>
        <w:t>).</w:t>
      </w:r>
    </w:p>
    <w:p w14:paraId="36DA8842" w14:textId="77777777" w:rsidR="00DF410E" w:rsidRDefault="00CE7F43">
      <w:pPr>
        <w:pStyle w:val="heading"/>
      </w:pPr>
      <w:r>
        <w:t>Spécifications</w:t>
      </w:r>
    </w:p>
    <w:p w14:paraId="78AA236A" w14:textId="77777777" w:rsidR="00DF410E" w:rsidRDefault="00CE7F43">
      <w:r>
        <w:t>Conformes aux normes [NBN EN 14843] et aux exigences de la norme [NBN B 21-611]</w:t>
      </w:r>
      <w:r>
        <w:br/>
        <w:t>Forme et dimensions : conformément aux indications sur les plans</w:t>
      </w:r>
      <w:r>
        <w:br/>
        <w:t xml:space="preserve">Charges d’exploitation : </w:t>
      </w:r>
      <w:r>
        <w:rPr>
          <w:rStyle w:val="optioncarChar"/>
        </w:rPr>
        <w:t>***</w:t>
      </w:r>
      <w:r>
        <w:br/>
        <w:t xml:space="preserve">Classe d'environnement : </w:t>
      </w:r>
      <w:r>
        <w:rPr>
          <w:rStyle w:val="optioncarChar"/>
        </w:rPr>
        <w:t>***</w:t>
      </w:r>
      <w:r>
        <w:br/>
        <w:t xml:space="preserve">Eléments d’ancrage : </w:t>
      </w:r>
      <w:r>
        <w:rPr>
          <w:rStyle w:val="optioncarChar"/>
        </w:rPr>
        <w:t>avec dispositif de rupture thermique - système à soumettre pour approbation </w:t>
      </w:r>
      <w:r>
        <w:t>(par défaut)</w:t>
      </w:r>
      <w:r>
        <w:rPr>
          <w:rStyle w:val="optioncarChar"/>
        </w:rPr>
        <w:t xml:space="preserve"> / ***</w:t>
      </w:r>
    </w:p>
    <w:p w14:paraId="321D98BD" w14:textId="77777777" w:rsidR="00DF410E" w:rsidRDefault="00CE7F43">
      <w:pPr>
        <w:pStyle w:val="pheading"/>
      </w:pPr>
      <w:r>
        <w:t>EXÉCUTION / MISE EN ŒUVRE</w:t>
      </w:r>
    </w:p>
    <w:p w14:paraId="34794E9F" w14:textId="77777777" w:rsidR="00DF410E" w:rsidRDefault="00CE7F43">
      <w:r>
        <w:t>Les escaliers et les paliers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w:t>
      </w:r>
    </w:p>
    <w:p w14:paraId="2CC9F9F0" w14:textId="77777777" w:rsidR="00DF410E" w:rsidRDefault="00CE7F43">
      <w:pPr>
        <w:pStyle w:val="pheading"/>
      </w:pPr>
      <w:r>
        <w:t>DOCUMENTS DE RÉFÉRENCE</w:t>
      </w:r>
    </w:p>
    <w:p w14:paraId="5B862D4D" w14:textId="77777777" w:rsidR="00DF410E" w:rsidRDefault="00CE7F43">
      <w:pPr>
        <w:pStyle w:val="pheading"/>
      </w:pPr>
      <w:r>
        <w:t>- Matériau</w:t>
      </w:r>
    </w:p>
    <w:p w14:paraId="4584B6E4" w14:textId="77777777" w:rsidR="00DF410E" w:rsidRDefault="00CE7F43">
      <w:r>
        <w:t>[NBN EN 14843, Produits préfabriqués en béton - Escaliers]</w:t>
      </w:r>
    </w:p>
    <w:p w14:paraId="0F693374" w14:textId="77777777" w:rsidR="00DF410E" w:rsidRDefault="00CE7F43">
      <w:r>
        <w:t>[NBN B 21-611, Produits préfabriqués en béton - Escaliers - Complément national à la NBN EN 14843:2007]</w:t>
      </w:r>
    </w:p>
    <w:p w14:paraId="51E7AED3" w14:textId="77777777" w:rsidR="00DF410E" w:rsidRDefault="00CE7F43">
      <w:pPr>
        <w:pStyle w:val="Author-eSectionHeading6"/>
      </w:pPr>
      <w:bookmarkStart w:id="846" w:name="_Toc178838000"/>
      <w:r>
        <w:t>22.31.4a Volées d'escaliers préfabriquées en béton décoratif / architectonique CCTB 01.11</w:t>
      </w:r>
      <w:bookmarkEnd w:id="846"/>
    </w:p>
    <w:p w14:paraId="402AABA5" w14:textId="77777777" w:rsidR="00DF410E" w:rsidRDefault="00CE7F43">
      <w:pPr>
        <w:pStyle w:val="pheading"/>
      </w:pPr>
      <w:r>
        <w:t>MATÉRIAUX</w:t>
      </w:r>
    </w:p>
    <w:p w14:paraId="4007AE5C" w14:textId="77777777" w:rsidR="00DF410E" w:rsidRDefault="00CE7F43">
      <w:pPr>
        <w:pStyle w:val="pheading"/>
      </w:pPr>
      <w:r>
        <w:t>- Finitions</w:t>
      </w:r>
    </w:p>
    <w:p w14:paraId="01B8DBF6" w14:textId="77777777" w:rsidR="00DF410E" w:rsidRDefault="00CE7F43">
      <w:r>
        <w:t>Surface de béton:</w:t>
      </w:r>
      <w:r>
        <w:rPr>
          <w:rStyle w:val="optioncarChar"/>
        </w:rPr>
        <w:t xml:space="preserve"> brute et lisse en béton apparent</w:t>
      </w:r>
      <w:r>
        <w:t xml:space="preserve"> (par défaut) </w:t>
      </w:r>
      <w:r>
        <w:rPr>
          <w:rStyle w:val="optioncarChar"/>
        </w:rPr>
        <w:t>/ rugueuse</w:t>
      </w:r>
      <w:r>
        <w:br/>
      </w:r>
    </w:p>
    <w:p w14:paraId="2BDB2C5C" w14:textId="77777777" w:rsidR="00DF410E" w:rsidRDefault="00CE7F43">
      <w:pPr>
        <w:pStyle w:val="pheading"/>
      </w:pPr>
      <w:r>
        <w:t>- Prescriptions complémentaires</w:t>
      </w:r>
    </w:p>
    <w:p w14:paraId="12417D8C" w14:textId="77777777" w:rsidR="00DF410E" w:rsidRDefault="00CE7F43">
      <w:r>
        <w:t xml:space="preserve">Résistance au feu : pour les escaliers sans fonction séparant </w:t>
      </w:r>
      <w:r>
        <w:rPr>
          <w:rStyle w:val="optioncarChar"/>
        </w:rPr>
        <w:t>R30</w:t>
      </w:r>
      <w:r>
        <w:t> (par défaut)</w:t>
      </w:r>
      <w:r>
        <w:rPr>
          <w:rStyle w:val="optioncarChar"/>
        </w:rPr>
        <w:t xml:space="preserve"> / R60 / R120 / R *** </w:t>
      </w:r>
      <w:r>
        <w:t xml:space="preserve">et pour les escaliers avec fonction séparant </w:t>
      </w:r>
      <w:r>
        <w:rPr>
          <w:rStyle w:val="optioncarChar"/>
        </w:rPr>
        <w:t>/ REI 30 </w:t>
      </w:r>
      <w:r>
        <w:t>(par défaut)</w:t>
      </w:r>
      <w:r>
        <w:rPr>
          <w:rStyle w:val="optioncarChar"/>
        </w:rPr>
        <w:t xml:space="preserve"> / REI 60 / REI 120 / REI ***</w:t>
      </w:r>
    </w:p>
    <w:p w14:paraId="757A3035" w14:textId="77777777" w:rsidR="00DF410E" w:rsidRDefault="00CE7F43">
      <w:pPr>
        <w:pStyle w:val="pheading"/>
      </w:pPr>
      <w:r>
        <w:t>EXÉCUTION / MISE EN ŒUVRE</w:t>
      </w:r>
    </w:p>
    <w:p w14:paraId="6B9864FA" w14:textId="77777777" w:rsidR="00DF410E" w:rsidRDefault="00CE7F43">
      <w:pPr>
        <w:pStyle w:val="pheading"/>
      </w:pPr>
      <w:r>
        <w:t>- Notes d’exécution complémentaires</w:t>
      </w:r>
    </w:p>
    <w:p w14:paraId="5066B13F" w14:textId="77777777" w:rsidR="00DF410E" w:rsidRDefault="00CE7F43">
      <w:r>
        <w:t xml:space="preserve">Dans les marches, on intègre une bande antidérapante (PMR) en </w:t>
      </w:r>
      <w:r>
        <w:rPr>
          <w:color w:val="FF0000"/>
        </w:rPr>
        <w:t>caoutchouc </w:t>
      </w:r>
      <w:r>
        <w:t>(par défaut)</w:t>
      </w:r>
      <w:r>
        <w:rPr>
          <w:rStyle w:val="optioncarChar"/>
        </w:rPr>
        <w:t xml:space="preserve"> / ***</w:t>
      </w:r>
      <w:r>
        <w:t xml:space="preserve"> selon </w:t>
      </w:r>
      <w:r>
        <w:rPr>
          <w:color w:val="FF0000"/>
        </w:rPr>
        <w:t>***</w:t>
      </w:r>
      <w:r>
        <w:t xml:space="preserve"> et/ou des indicateurs visuels (PMR) présentant les caractéristiques suivantes:</w:t>
      </w:r>
      <w:r>
        <w:rPr>
          <w:color w:val="FF0000"/>
        </w:rPr>
        <w:t xml:space="preserve"> voir recommandations dans le sous-titre </w:t>
      </w:r>
      <w:hyperlink w:anchor="514" w:history="1">
        <w:r>
          <w:t>22.31 Escaliers en béton</w:t>
        </w:r>
      </w:hyperlink>
      <w:r>
        <w:t xml:space="preserve">(par défaut) </w:t>
      </w:r>
      <w:r>
        <w:rPr>
          <w:rStyle w:val="optioncarChar"/>
        </w:rPr>
        <w:t>/ ***</w:t>
      </w:r>
    </w:p>
    <w:p w14:paraId="0EAAA36B" w14:textId="77777777" w:rsidR="00DF410E" w:rsidRDefault="00CE7F43">
      <w:pPr>
        <w:pStyle w:val="pheading"/>
      </w:pPr>
      <w:r>
        <w:t>MESURAGE</w:t>
      </w:r>
    </w:p>
    <w:p w14:paraId="434BF811" w14:textId="77777777" w:rsidR="00DF410E" w:rsidRDefault="00CE7F43">
      <w:pPr>
        <w:pStyle w:val="pheading"/>
      </w:pPr>
      <w:r>
        <w:t>- unité de mesure:</w:t>
      </w:r>
    </w:p>
    <w:p w14:paraId="547886DB" w14:textId="77777777" w:rsidR="00DF410E" w:rsidRDefault="00CE7F43">
      <w:r>
        <w:rPr>
          <w:b/>
        </w:rPr>
        <w:t xml:space="preserve">1. </w:t>
      </w:r>
      <w:r>
        <w:t xml:space="preserve">escaliers par marche </w:t>
      </w:r>
    </w:p>
    <w:p w14:paraId="2EDA61DE" w14:textId="77777777" w:rsidR="00DF410E" w:rsidRDefault="00CE7F43">
      <w:r>
        <w:rPr>
          <w:b/>
        </w:rPr>
        <w:t xml:space="preserve">2. </w:t>
      </w:r>
      <w:r>
        <w:t>paliers au m² pour les paliers</w:t>
      </w:r>
    </w:p>
    <w:p w14:paraId="0AE9411E" w14:textId="77777777" w:rsidR="00DF410E" w:rsidRDefault="00CE7F43">
      <w:pPr>
        <w:pStyle w:val="pheading"/>
      </w:pPr>
      <w:r>
        <w:t>- code de mesurage:</w:t>
      </w:r>
    </w:p>
    <w:p w14:paraId="3173C99B" w14:textId="77777777" w:rsidR="00DF410E" w:rsidRDefault="00CE7F43">
      <w:r>
        <w:t xml:space="preserve">Une distinction </w:t>
      </w:r>
      <w:r>
        <w:rPr>
          <w:rStyle w:val="optioncarChar"/>
        </w:rPr>
        <w:t xml:space="preserve">est faite / n’est pas </w:t>
      </w:r>
      <w:r>
        <w:t>faite entre les marches droites et tournantes</w:t>
      </w:r>
      <w:r>
        <w:br/>
        <w:t>Les limons et le chemin d’escalier sont compris dans le prix unitaire. Ne sont pas compris : les revêtements d’escalier.</w:t>
      </w:r>
    </w:p>
    <w:p w14:paraId="420A1181" w14:textId="77777777" w:rsidR="00DF410E" w:rsidRDefault="00CE7F43">
      <w:pPr>
        <w:pStyle w:val="pheading"/>
      </w:pPr>
      <w:r>
        <w:t>- nature du marché:</w:t>
      </w:r>
    </w:p>
    <w:p w14:paraId="174E65AC" w14:textId="77777777" w:rsidR="00DF410E" w:rsidRDefault="00CE7F43">
      <w:r>
        <w:t>QF</w:t>
      </w:r>
    </w:p>
    <w:p w14:paraId="359F28DD" w14:textId="77777777" w:rsidR="00DF410E" w:rsidRDefault="00CE7F43">
      <w:pPr>
        <w:pStyle w:val="Author-eSectionHeading6"/>
      </w:pPr>
      <w:bookmarkStart w:id="847" w:name="_Toc178838001"/>
      <w:r>
        <w:t>22.31.4b Paliers d'escaliers préfabriqués en béton décoratif / architectonique CCTB 01.11</w:t>
      </w:r>
      <w:bookmarkEnd w:id="847"/>
    </w:p>
    <w:p w14:paraId="35EF74A9" w14:textId="77777777" w:rsidR="00DF410E" w:rsidRDefault="00CE7F43">
      <w:pPr>
        <w:pStyle w:val="pheading"/>
      </w:pPr>
      <w:r>
        <w:t>MATÉRIAUX</w:t>
      </w:r>
    </w:p>
    <w:p w14:paraId="3E5B5116" w14:textId="77777777" w:rsidR="00DF410E" w:rsidRDefault="00CE7F43">
      <w:pPr>
        <w:pStyle w:val="pheading"/>
      </w:pPr>
      <w:r>
        <w:t>- Caractéristiques générales</w:t>
      </w:r>
    </w:p>
    <w:p w14:paraId="50427CBA" w14:textId="77777777" w:rsidR="00DF410E" w:rsidRDefault="00CE7F43">
      <w:r>
        <w:t>Conformes aux normes [NBN EN 14843] et aux exigences de la norme [NBN B 21-611]</w:t>
      </w:r>
    </w:p>
    <w:p w14:paraId="21B7CD34" w14:textId="77777777" w:rsidR="00DF410E" w:rsidRDefault="00CE7F43">
      <w:pPr>
        <w:pStyle w:val="pheading"/>
      </w:pPr>
      <w:r>
        <w:t>- Finitions</w:t>
      </w:r>
    </w:p>
    <w:p w14:paraId="2348115E" w14:textId="77777777" w:rsidR="00DF410E" w:rsidRDefault="00CE7F43">
      <w:r>
        <w:t>Surface de béton:</w:t>
      </w:r>
      <w:r>
        <w:rPr>
          <w:rStyle w:val="optioncarChar"/>
        </w:rPr>
        <w:t xml:space="preserve"> brute et lisse en béton apparent</w:t>
      </w:r>
      <w:r>
        <w:t xml:space="preserve"> (par défaut) </w:t>
      </w:r>
      <w:r>
        <w:rPr>
          <w:rStyle w:val="optioncarChar"/>
        </w:rPr>
        <w:t>/ rugueuse</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1ECF15F2" w14:textId="77777777" w:rsidR="00DF410E" w:rsidRDefault="00CE7F43">
      <w:pPr>
        <w:pStyle w:val="pheading"/>
      </w:pPr>
      <w:r>
        <w:t>- Prescriptions complémentaires</w:t>
      </w:r>
    </w:p>
    <w:p w14:paraId="0989B3BE" w14:textId="77777777" w:rsidR="00DF410E" w:rsidRDefault="00CE7F43">
      <w:r>
        <w:t xml:space="preserve">• 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w:t>
      </w:r>
      <w:r>
        <w:t xml:space="preserve"> (par défaut)</w:t>
      </w:r>
      <w:r>
        <w:rPr>
          <w:rStyle w:val="optioncarChar"/>
        </w:rPr>
        <w:t> / REI 60 / REI 120 / REI ***</w:t>
      </w:r>
    </w:p>
    <w:p w14:paraId="02C136CD" w14:textId="77777777" w:rsidR="00DF410E" w:rsidRDefault="00CE7F43">
      <w:pPr>
        <w:pStyle w:val="pheading"/>
      </w:pPr>
      <w:r>
        <w:t>EXÉCUTION / MISE EN ŒUVRE</w:t>
      </w:r>
    </w:p>
    <w:p w14:paraId="4960017B" w14:textId="77777777" w:rsidR="00DF410E" w:rsidRDefault="00CE7F43">
      <w:pPr>
        <w:pStyle w:val="pheading"/>
      </w:pPr>
      <w:r>
        <w:t>- Notes d’exécution complémentaires</w:t>
      </w:r>
    </w:p>
    <w:p w14:paraId="0325AF92" w14:textId="77777777" w:rsidR="00DF410E" w:rsidRDefault="00CE7F43">
      <w:r>
        <w:t>Dans les marches, on intègre une bande antidérapante (PMR) en </w:t>
      </w:r>
      <w:r>
        <w:rPr>
          <w:rStyle w:val="optioncarChar"/>
        </w:rPr>
        <w:t>caoutchouc </w:t>
      </w:r>
      <w:r>
        <w:t>(par défaut)</w:t>
      </w:r>
      <w:r>
        <w:rPr>
          <w:rStyle w:val="optioncarChar"/>
        </w:rPr>
        <w:t xml:space="preserve"> / ***</w:t>
      </w:r>
      <w:r>
        <w:t xml:space="preserve"> selon</w:t>
      </w:r>
      <w:r>
        <w:rPr>
          <w:rStyle w:val="optioncarChar"/>
        </w:rPr>
        <w:t xml:space="preserve"> ***</w:t>
      </w:r>
      <w:r>
        <w:t xml:space="preserve"> et/ou des indicateurs visuels (PMR)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xml:space="preserve"> (PMR) </w:t>
      </w:r>
      <w:r>
        <w:t>(par défaut)</w:t>
      </w:r>
      <w:r>
        <w:rPr>
          <w:rStyle w:val="optioncarChar"/>
        </w:rPr>
        <w:t xml:space="preserve"> / ***</w:t>
      </w:r>
      <w:r>
        <w:br/>
        <w:t xml:space="preserve">Les paliers sont équipés de dalles podotactiles présentant les caractéristiques suivantes : </w:t>
      </w:r>
      <w:r>
        <w:rPr>
          <w:rStyle w:val="optioncarChar"/>
        </w:rPr>
        <w:t xml:space="preserve">voir recommandations dans le sous-titre </w:t>
      </w:r>
      <w:hyperlink w:anchor="514" w:history="1">
        <w:r>
          <w:rPr>
            <w:rStyle w:val="optioncarChar"/>
          </w:rPr>
          <w:t>22.31 Escaliers en béton</w:t>
        </w:r>
      </w:hyperlink>
      <w:r>
        <w:rPr>
          <w:rStyle w:val="optioncarChar"/>
        </w:rPr>
        <w:t> (PMR) </w:t>
      </w:r>
      <w:r>
        <w:t>(par défaut)</w:t>
      </w:r>
      <w:r>
        <w:rPr>
          <w:rStyle w:val="optioncarChar"/>
        </w:rPr>
        <w:t xml:space="preserve"> / ***</w:t>
      </w:r>
    </w:p>
    <w:p w14:paraId="57CD1D06" w14:textId="77777777" w:rsidR="00DF410E" w:rsidRDefault="00CE7F43">
      <w:pPr>
        <w:pStyle w:val="pheading"/>
      </w:pPr>
      <w:r>
        <w:t>MESURAGE</w:t>
      </w:r>
    </w:p>
    <w:p w14:paraId="72DF56BB" w14:textId="77777777" w:rsidR="00DF410E" w:rsidRDefault="00CE7F43">
      <w:pPr>
        <w:pStyle w:val="pheading"/>
      </w:pPr>
      <w:r>
        <w:t>- unité de mesure:</w:t>
      </w:r>
    </w:p>
    <w:p w14:paraId="7D0F35D2" w14:textId="77777777" w:rsidR="00DF410E" w:rsidRDefault="00CE7F43">
      <w:r>
        <w:rPr>
          <w:b/>
        </w:rPr>
        <w:t xml:space="preserve">1. </w:t>
      </w:r>
      <w:r>
        <w:t xml:space="preserve">escaliers par marche </w:t>
      </w:r>
    </w:p>
    <w:p w14:paraId="4B90BD16" w14:textId="77777777" w:rsidR="00DF410E" w:rsidRDefault="00CE7F43">
      <w:r>
        <w:rPr>
          <w:b/>
        </w:rPr>
        <w:t xml:space="preserve">2. </w:t>
      </w:r>
      <w:r>
        <w:t>paliers au m² pour les paliers</w:t>
      </w:r>
    </w:p>
    <w:p w14:paraId="0AB2E251" w14:textId="77777777" w:rsidR="00DF410E" w:rsidRDefault="00CE7F43">
      <w:pPr>
        <w:pStyle w:val="pheading"/>
      </w:pPr>
      <w:r>
        <w:t>- code de mesurage:</w:t>
      </w:r>
    </w:p>
    <w:p w14:paraId="0BA0F16E" w14:textId="77777777" w:rsidR="00DF410E" w:rsidRDefault="00CE7F43">
      <w:r>
        <w:t xml:space="preserve">Une distinction </w:t>
      </w:r>
      <w:r>
        <w:rPr>
          <w:rStyle w:val="optioncarChar"/>
        </w:rPr>
        <w:t xml:space="preserve">est faite / n’est pas faite </w:t>
      </w:r>
      <w:r>
        <w:t>entre les marches droites et tournantes</w:t>
      </w:r>
      <w:r>
        <w:br/>
        <w:t>Les limons et le chemin d’escalier sont compris dans le prix unitaire. Ne sont pas compris : les revêtements d’escalier.</w:t>
      </w:r>
    </w:p>
    <w:p w14:paraId="385ABEAF" w14:textId="77777777" w:rsidR="00DF410E" w:rsidRDefault="00CE7F43">
      <w:pPr>
        <w:pStyle w:val="pheading"/>
      </w:pPr>
      <w:r>
        <w:t>- nature du marché:</w:t>
      </w:r>
    </w:p>
    <w:p w14:paraId="0C52227C" w14:textId="77777777" w:rsidR="00DF410E" w:rsidRDefault="00CE7F43">
      <w:r>
        <w:t>QF</w:t>
      </w:r>
    </w:p>
    <w:p w14:paraId="46019988" w14:textId="77777777" w:rsidR="00DF410E" w:rsidRDefault="00CE7F43">
      <w:pPr>
        <w:pStyle w:val="Author-eSectionHeading6"/>
      </w:pPr>
      <w:bookmarkStart w:id="848" w:name="_Toc178838002"/>
      <w:r>
        <w:t>22.31.4c Escaliers préfabriqués en béton décoratif / architectonique CCTB 01.11</w:t>
      </w:r>
      <w:bookmarkEnd w:id="848"/>
    </w:p>
    <w:p w14:paraId="466BCFDF" w14:textId="77777777" w:rsidR="00DF410E" w:rsidRDefault="00CE7F43">
      <w:pPr>
        <w:pStyle w:val="pheading"/>
      </w:pPr>
      <w:r>
        <w:t>MATÉRIAUX</w:t>
      </w:r>
    </w:p>
    <w:p w14:paraId="31127335" w14:textId="77777777" w:rsidR="00DF410E" w:rsidRDefault="00CE7F43">
      <w:pPr>
        <w:pStyle w:val="pheading"/>
      </w:pPr>
      <w:r>
        <w:t>- Caractéristiques générales</w:t>
      </w:r>
    </w:p>
    <w:p w14:paraId="2BDA7FE3" w14:textId="77777777" w:rsidR="00DF410E" w:rsidRDefault="00CE7F43">
      <w:r>
        <w:t>Conformes aux normes [NBN EN 14843] et aux exigences de la norme [NBN B 21-611]</w:t>
      </w:r>
    </w:p>
    <w:p w14:paraId="7868F3D0" w14:textId="77777777" w:rsidR="00DF410E" w:rsidRDefault="00CE7F43">
      <w:pPr>
        <w:pStyle w:val="pheading"/>
      </w:pPr>
      <w:r>
        <w:t>- Finitions</w:t>
      </w:r>
    </w:p>
    <w:p w14:paraId="6D5E7649" w14:textId="77777777" w:rsidR="00DF410E" w:rsidRDefault="00CE7F43">
      <w:r>
        <w:t>Surface de béton:</w:t>
      </w:r>
      <w:r>
        <w:rPr>
          <w:rStyle w:val="optioncarChar"/>
        </w:rPr>
        <w:t xml:space="preserve"> brute et lisse en béton apparent</w:t>
      </w:r>
      <w:r>
        <w:t xml:space="preserve"> (par défaut) </w:t>
      </w:r>
      <w:r>
        <w:rPr>
          <w:rStyle w:val="optioncarChar"/>
        </w:rPr>
        <w:t>/ rugueuse</w:t>
      </w:r>
    </w:p>
    <w:p w14:paraId="5BECB4F2" w14:textId="77777777" w:rsidR="00DF410E" w:rsidRDefault="00CE7F43">
      <w:pPr>
        <w:pStyle w:val="pheading"/>
      </w:pPr>
      <w:r>
        <w:t>- Prescriptions complémentaires</w:t>
      </w:r>
    </w:p>
    <w:p w14:paraId="22E68D72" w14:textId="77777777" w:rsidR="00DF410E" w:rsidRDefault="00CE7F43">
      <w:r>
        <w:t xml:space="preserve">Résistance au feu : pour les escaliers sans fonction séparant </w:t>
      </w:r>
      <w:r>
        <w:rPr>
          <w:rStyle w:val="optioncarChar"/>
        </w:rPr>
        <w:t>R30 </w:t>
      </w:r>
      <w:r>
        <w:t>(par défaut) </w:t>
      </w:r>
      <w:r>
        <w:rPr>
          <w:rStyle w:val="optioncarChar"/>
        </w:rPr>
        <w:t xml:space="preserve">/ R60 / R120 / R *** </w:t>
      </w:r>
      <w:r>
        <w:t xml:space="preserve">et pour les escaliers avec fonction séparant </w:t>
      </w:r>
      <w:r>
        <w:rPr>
          <w:rStyle w:val="optioncarChar"/>
        </w:rPr>
        <w:t>REI 30 </w:t>
      </w:r>
      <w:r>
        <w:t>(par défaut)</w:t>
      </w:r>
      <w:r>
        <w:rPr>
          <w:rStyle w:val="optioncarChar"/>
        </w:rPr>
        <w:t xml:space="preserve"> / REI 60 / REI 120 / REI ***</w:t>
      </w:r>
    </w:p>
    <w:p w14:paraId="01CD069D" w14:textId="77777777" w:rsidR="00DF410E" w:rsidRDefault="00CE7F43">
      <w:pPr>
        <w:pStyle w:val="pheading"/>
      </w:pPr>
      <w:r>
        <w:t>EXÉCUTION / MISE EN ŒUVRE</w:t>
      </w:r>
    </w:p>
    <w:p w14:paraId="3183715B" w14:textId="77777777" w:rsidR="00DF410E" w:rsidRDefault="00CE7F43">
      <w:pPr>
        <w:pStyle w:val="pheading"/>
      </w:pPr>
      <w:r>
        <w:t>- Notes d’exécution complémentaires</w:t>
      </w:r>
    </w:p>
    <w:p w14:paraId="1AA06C02" w14:textId="77777777" w:rsidR="00DF410E" w:rsidRDefault="00CE7F43">
      <w:r>
        <w:t>Dans les marches, on intègre une bande antidérapante (PMR) en </w:t>
      </w:r>
      <w:r>
        <w:rPr>
          <w:rStyle w:val="optioncarChar"/>
        </w:rPr>
        <w:t>caoutchouc </w:t>
      </w:r>
      <w:r>
        <w:t>(par défaut)</w:t>
      </w:r>
      <w:r>
        <w:rPr>
          <w:rStyle w:val="optioncarChar"/>
        </w:rPr>
        <w:t xml:space="preserve"> / ***</w:t>
      </w:r>
      <w:r>
        <w:t xml:space="preserve"> selon </w:t>
      </w:r>
      <w:r>
        <w:rPr>
          <w:rStyle w:val="optioncarChar"/>
        </w:rPr>
        <w:t xml:space="preserve">*** </w:t>
      </w:r>
      <w:r>
        <w:t xml:space="preserve">et/ou des indicateurs visuels (PMR) présentant les caractéristiques suivantes : </w:t>
      </w:r>
      <w:r>
        <w:rPr>
          <w:rStyle w:val="optioncarChar"/>
        </w:rPr>
        <w:t>voir recommandations de l'article 22.31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recommandations de l'article 22.31 (PMR) </w:t>
      </w:r>
      <w:r>
        <w:t>(par défaut)</w:t>
      </w:r>
      <w:r>
        <w:rPr>
          <w:rStyle w:val="optioncarChar"/>
        </w:rPr>
        <w:t> / ***</w:t>
      </w:r>
    </w:p>
    <w:p w14:paraId="175C38D5" w14:textId="77777777" w:rsidR="00DF410E" w:rsidRDefault="00CE7F43">
      <w:pPr>
        <w:pStyle w:val="pheading"/>
      </w:pPr>
      <w:r>
        <w:t>MESURAGE</w:t>
      </w:r>
    </w:p>
    <w:p w14:paraId="47FD0E62" w14:textId="77777777" w:rsidR="00DF410E" w:rsidRDefault="00CE7F43">
      <w:pPr>
        <w:pStyle w:val="pheading"/>
      </w:pPr>
      <w:r>
        <w:t>- unité de mesure:</w:t>
      </w:r>
    </w:p>
    <w:p w14:paraId="521D989F" w14:textId="77777777" w:rsidR="00DF410E" w:rsidRDefault="00CE7F43">
      <w:r>
        <w:rPr>
          <w:b/>
        </w:rPr>
        <w:t xml:space="preserve">1. </w:t>
      </w:r>
      <w:r>
        <w:t xml:space="preserve">escaliers par marche </w:t>
      </w:r>
    </w:p>
    <w:p w14:paraId="5474EF7E" w14:textId="77777777" w:rsidR="00DF410E" w:rsidRDefault="00CE7F43">
      <w:r>
        <w:rPr>
          <w:b/>
        </w:rPr>
        <w:t xml:space="preserve">2. </w:t>
      </w:r>
      <w:r>
        <w:t>paliers au m² pour les paliers</w:t>
      </w:r>
    </w:p>
    <w:p w14:paraId="2514858C" w14:textId="77777777" w:rsidR="00DF410E" w:rsidRDefault="00CE7F43">
      <w:pPr>
        <w:pStyle w:val="pheading"/>
      </w:pPr>
      <w:r>
        <w:t>- code de mesurage:</w:t>
      </w:r>
    </w:p>
    <w:p w14:paraId="1F541E5C" w14:textId="77777777" w:rsidR="00DF410E" w:rsidRDefault="00CE7F43">
      <w:r>
        <w:t xml:space="preserve">Une distinction </w:t>
      </w:r>
      <w:r>
        <w:rPr>
          <w:rStyle w:val="optioncarChar"/>
        </w:rPr>
        <w:t>est faite / n’est pas faite</w:t>
      </w:r>
      <w:r>
        <w:t xml:space="preserve"> entre les marches droites et tournantes</w:t>
      </w:r>
    </w:p>
    <w:p w14:paraId="791D625F" w14:textId="77777777" w:rsidR="00DF410E" w:rsidRDefault="00CE7F43">
      <w:r>
        <w:t>Les limons et le chemin d’escalier sont compris dans le prix unitaire. Ne sont pas compris : les revêtements d’escalier.</w:t>
      </w:r>
    </w:p>
    <w:p w14:paraId="7753C421" w14:textId="77777777" w:rsidR="00DF410E" w:rsidRDefault="00CE7F43">
      <w:pPr>
        <w:pStyle w:val="pheading"/>
      </w:pPr>
      <w:r>
        <w:t>- nature du marché:</w:t>
      </w:r>
    </w:p>
    <w:p w14:paraId="63981C4C" w14:textId="77777777" w:rsidR="00DF410E" w:rsidRDefault="00CE7F43">
      <w:r>
        <w:t>QF</w:t>
      </w:r>
    </w:p>
    <w:p w14:paraId="5D82889E" w14:textId="77777777" w:rsidR="00DF410E" w:rsidRDefault="00CE7F43">
      <w:pPr>
        <w:pStyle w:val="Author-eSectionHeading4"/>
      </w:pPr>
      <w:bookmarkStart w:id="849" w:name="_Toc178838003"/>
      <w:r>
        <w:t>22.32 Garde-corps et rampes en béton CCTB 01.04</w:t>
      </w:r>
      <w:bookmarkEnd w:id="849"/>
    </w:p>
    <w:p w14:paraId="73BFFCA6" w14:textId="77777777" w:rsidR="00DF410E" w:rsidRDefault="00CE7F43">
      <w:pPr>
        <w:pStyle w:val="pheading"/>
      </w:pPr>
      <w:bookmarkStart w:id="850" w:name="1101"/>
      <w:bookmarkEnd w:id="850"/>
      <w:r>
        <w:t>DOCUMENTS DE RÉFÉRENCE</w:t>
      </w:r>
    </w:p>
    <w:p w14:paraId="274C51AF" w14:textId="77777777" w:rsidR="00DF410E" w:rsidRDefault="00CE7F43">
      <w:pPr>
        <w:pStyle w:val="pheading"/>
      </w:pPr>
      <w:r>
        <w:t>- Exécution</w:t>
      </w:r>
    </w:p>
    <w:p w14:paraId="35E67746" w14:textId="77777777" w:rsidR="00DF410E" w:rsidRDefault="00CE7F43">
      <w:r>
        <w:t>[NBN B 03-004, Garde-corps de bâtiments]</w:t>
      </w:r>
    </w:p>
    <w:p w14:paraId="657A83F5" w14:textId="77777777" w:rsidR="00DF410E" w:rsidRDefault="00CE7F43">
      <w:pPr>
        <w:pStyle w:val="pheading"/>
      </w:pPr>
      <w:r>
        <w:t>AIDE</w:t>
      </w:r>
    </w:p>
    <w:p w14:paraId="28252B71" w14:textId="77777777" w:rsidR="00DF410E" w:rsidRDefault="00CE7F43">
      <w:r>
        <w:rPr>
          <w:b/>
        </w:rPr>
        <w:t>NOTE A L’AUTEUR DE PROJET</w:t>
      </w:r>
    </w:p>
    <w:p w14:paraId="350054EF" w14:textId="77777777" w:rsidR="00DF410E" w:rsidRDefault="00CE7F43">
      <w:r>
        <w:rPr>
          <w:b/>
        </w:rPr>
        <w:t>Accessibilité aux personnes à mobilité réduite (PMR)</w:t>
      </w:r>
      <w:r>
        <w:t>     </w:t>
      </w:r>
    </w:p>
    <w:p w14:paraId="68C72838" w14:textId="77777777" w:rsidR="00DF410E" w:rsidRDefault="00CE7F43">
      <w:r>
        <w:rPr>
          <w:i/>
          <w:u w:val="single"/>
        </w:rPr>
        <w:t>Main-courantes :</w:t>
      </w:r>
    </w:p>
    <w:p w14:paraId="3B5ECC8D" w14:textId="77777777" w:rsidR="00DF410E" w:rsidRDefault="00CE7F43">
      <w:r>
        <w:t>Type : double (2 lisses) [SWL CALA], [NBN ISO 21542] et [BS 8300]</w:t>
      </w:r>
    </w:p>
    <w:p w14:paraId="3EDA1FC1" w14:textId="77777777" w:rsidR="00DF410E" w:rsidRDefault="00CE7F43">
      <w:r>
        <w:t>Position : de chaque côté de l’escalier [CWATUP] (Article 415) et [SWL CALA]</w:t>
      </w:r>
    </w:p>
    <w:p w14:paraId="5101037B" w14:textId="77777777" w:rsidR="00DF410E" w:rsidRDefault="00CE7F43">
      <w:r>
        <w:t>Géométrie : solides et continues sur les paliers [CWATUP] (Article 415) et [SWL CALA]</w:t>
      </w:r>
    </w:p>
    <w:p w14:paraId="2EEF73C1" w14:textId="77777777" w:rsidR="00DF410E" w:rsidRDefault="00CE7F43">
      <w:r>
        <w:t>Prolongement : [CWATUP] (Article 415) et [SWL CALA]</w:t>
      </w:r>
    </w:p>
    <w:p w14:paraId="3338866F" w14:textId="77777777" w:rsidR="00DF410E" w:rsidRDefault="00CE7F43">
      <w:pPr>
        <w:pStyle w:val="Author-eListParagraph"/>
        <w:numPr>
          <w:ilvl w:val="0"/>
          <w:numId w:val="587"/>
        </w:numPr>
      </w:pPr>
      <w:r>
        <w:t>Côté mur : prolongement de 40 cm à l’origine et à l’extrémité de l’escalier</w:t>
      </w:r>
    </w:p>
    <w:p w14:paraId="1A8A2991" w14:textId="77777777" w:rsidR="00DF410E" w:rsidRDefault="00CE7F43">
      <w:pPr>
        <w:pStyle w:val="Author-eListParagraph"/>
        <w:numPr>
          <w:ilvl w:val="0"/>
          <w:numId w:val="587"/>
        </w:numPr>
      </w:pPr>
      <w:r>
        <w:t>Côté vide : prolongement jusqu’au sol et de 40 cm, à l’origine et à l’extrémité de l’escalier pour autant que ce prolongement ne représente aucun obstacle ni danger</w:t>
      </w:r>
    </w:p>
    <w:p w14:paraId="41695FF7" w14:textId="77777777" w:rsidR="00DF410E" w:rsidRDefault="00CE7F43">
      <w:r>
        <w:t> </w:t>
      </w:r>
    </w:p>
    <w:p w14:paraId="02935ABB" w14:textId="77777777" w:rsidR="00DF410E" w:rsidRDefault="00CE7F43">
      <w:r>
        <w:t>Hauteur : [SWL CALA] et [NBN ISO 21542]</w:t>
      </w:r>
    </w:p>
    <w:p w14:paraId="6A0C5CCC" w14:textId="77777777" w:rsidR="00DF410E" w:rsidRDefault="00CE7F43">
      <w:pPr>
        <w:pStyle w:val="Author-eListParagraph"/>
        <w:numPr>
          <w:ilvl w:val="0"/>
          <w:numId w:val="588"/>
        </w:numPr>
      </w:pPr>
      <w:r>
        <w:t>Main-courante principale : entre 85 et 100 cm par rapport au nez de marche</w:t>
      </w:r>
    </w:p>
    <w:p w14:paraId="7750E609" w14:textId="77777777" w:rsidR="00DF410E" w:rsidRDefault="00CE7F43">
      <w:pPr>
        <w:pStyle w:val="Author-eListParagraph"/>
        <w:numPr>
          <w:ilvl w:val="0"/>
          <w:numId w:val="588"/>
        </w:numPr>
      </w:pPr>
      <w:r>
        <w:t>Main-courante secondaire : entre 60 et 75 cm par rapport au nez de marche</w:t>
      </w:r>
    </w:p>
    <w:p w14:paraId="7595D5A3" w14:textId="77777777" w:rsidR="00DF410E" w:rsidRDefault="00CE7F43">
      <w:r>
        <w:t> </w:t>
      </w:r>
    </w:p>
    <w:p w14:paraId="1031BD7D" w14:textId="77777777" w:rsidR="00DF410E" w:rsidRDefault="00CE7F43">
      <w:r>
        <w:t>Distance du mur : 4 cm minimum [SWL CALA]</w:t>
      </w:r>
    </w:p>
    <w:p w14:paraId="5F3F0DD8" w14:textId="77777777" w:rsidR="00DF410E" w:rsidRDefault="00CE7F43">
      <w:r>
        <w:t>Diamètre : entre 4 et 5 cm [SWL CALA]</w:t>
      </w:r>
    </w:p>
    <w:p w14:paraId="11030278" w14:textId="77777777" w:rsidR="00DF410E" w:rsidRDefault="00CE7F43">
      <w:r>
        <w:t>Contraste: différence de coefficient de réflexion (LRV) entre la main courante et son support de minimum 30% [NBN ISO 21542] et [BS 8300]</w:t>
      </w:r>
    </w:p>
    <w:p w14:paraId="3B8277C2" w14:textId="77777777" w:rsidR="00DF410E" w:rsidRDefault="00CE7F43">
      <w:pPr>
        <w:pStyle w:val="Author-eSectionHeading5"/>
      </w:pPr>
      <w:bookmarkStart w:id="851" w:name="_Toc178838004"/>
      <w:r>
        <w:t>22.32.1 Garde-corps et rampes en béton coulé en place CCTB 01.04</w:t>
      </w:r>
      <w:bookmarkEnd w:id="851"/>
    </w:p>
    <w:p w14:paraId="17390FDE" w14:textId="77777777" w:rsidR="00DF410E" w:rsidRDefault="00CE7F43">
      <w:pPr>
        <w:pStyle w:val="Author-eSectionHeading6"/>
      </w:pPr>
      <w:bookmarkStart w:id="852" w:name="_Toc178838005"/>
      <w:r>
        <w:t>22.32.1a Garde-corps et rampes en béton coulé en place CCTB 01.12</w:t>
      </w:r>
      <w:bookmarkEnd w:id="852"/>
    </w:p>
    <w:p w14:paraId="03226895" w14:textId="77777777" w:rsidR="00DF410E" w:rsidRDefault="00CE7F43">
      <w:pPr>
        <w:pStyle w:val="pheading"/>
      </w:pPr>
      <w:r>
        <w:t>DESCRIPTION</w:t>
      </w:r>
    </w:p>
    <w:p w14:paraId="5A12C0B1" w14:textId="77777777" w:rsidR="00DF410E" w:rsidRDefault="00CE7F43">
      <w:pPr>
        <w:pStyle w:val="pheading"/>
      </w:pPr>
      <w:r>
        <w:t>- Définition / Comprend</w:t>
      </w:r>
    </w:p>
    <w:p w14:paraId="1C7738B9" w14:textId="77777777" w:rsidR="00DF410E" w:rsidRDefault="00CE7F43">
      <w:r>
        <w:t>Il s'agit de tous les éléments</w:t>
      </w:r>
      <w:r>
        <w:rPr>
          <w:rStyle w:val="optioncarChar"/>
        </w:rPr>
        <w:t xml:space="preserve"> garde-corps / rampes</w:t>
      </w:r>
      <w:r>
        <w:t xml:space="preserve"> exécutés en béton coulé en place sans exigences esthétiques particulières.</w:t>
      </w:r>
    </w:p>
    <w:p w14:paraId="24C7C356" w14:textId="77777777" w:rsidR="00DF410E" w:rsidRDefault="00CE7F43">
      <w:pPr>
        <w:pStyle w:val="pheading"/>
      </w:pPr>
      <w:r>
        <w:t>MATÉRIAUX</w:t>
      </w:r>
    </w:p>
    <w:p w14:paraId="1E9D8194" w14:textId="77777777" w:rsidR="00DF410E" w:rsidRDefault="00CE7F43">
      <w:pPr>
        <w:pStyle w:val="pheading"/>
      </w:pPr>
      <w:r>
        <w:t>- Caractéristiques générales</w:t>
      </w:r>
    </w:p>
    <w:p w14:paraId="1B80BB3F" w14:textId="77777777" w:rsidR="00DF410E" w:rsidRDefault="00CE7F43">
      <w:pPr>
        <w:pStyle w:val="heading"/>
      </w:pPr>
      <w:r>
        <w:t>Spécifications</w:t>
      </w:r>
    </w:p>
    <w:p w14:paraId="349C275F" w14:textId="77777777" w:rsidR="00DF410E" w:rsidRDefault="00CE7F43">
      <w:r>
        <w:t xml:space="preserve">Qualité du béton selon la [NBN EN 206:2013+A2] et la [NBN B 15-001] (voir également </w:t>
      </w:r>
      <w:hyperlink w:anchor="87"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3190D181" w14:textId="77777777">
        <w:tc>
          <w:tcPr>
            <w:tcW w:w="1500" w:type="dxa"/>
            <w:noWrap/>
          </w:tcPr>
          <w:p w14:paraId="659F25ED" w14:textId="77777777" w:rsidR="00DF410E" w:rsidRDefault="00CE7F43">
            <w:pPr>
              <w:jc w:val="center"/>
            </w:pPr>
            <w:r>
              <w:rPr>
                <w:b/>
              </w:rPr>
              <w:t>A</w:t>
            </w:r>
          </w:p>
        </w:tc>
        <w:tc>
          <w:tcPr>
            <w:tcW w:w="1500" w:type="dxa"/>
            <w:noWrap/>
          </w:tcPr>
          <w:p w14:paraId="257EDAB4" w14:textId="77777777" w:rsidR="00DF410E" w:rsidRDefault="00CE7F43">
            <w:pPr>
              <w:jc w:val="center"/>
            </w:pPr>
            <w:r>
              <w:rPr>
                <w:b/>
              </w:rPr>
              <w:t>B1</w:t>
            </w:r>
          </w:p>
        </w:tc>
        <w:tc>
          <w:tcPr>
            <w:tcW w:w="1500" w:type="dxa"/>
            <w:noWrap/>
          </w:tcPr>
          <w:p w14:paraId="0E98EA8F" w14:textId="77777777" w:rsidR="00DF410E" w:rsidRDefault="00CE7F43">
            <w:pPr>
              <w:jc w:val="center"/>
            </w:pPr>
            <w:r>
              <w:rPr>
                <w:b/>
              </w:rPr>
              <w:t>B2</w:t>
            </w:r>
          </w:p>
        </w:tc>
        <w:tc>
          <w:tcPr>
            <w:tcW w:w="1500" w:type="dxa"/>
            <w:noWrap/>
          </w:tcPr>
          <w:p w14:paraId="1B6B2826" w14:textId="77777777" w:rsidR="00DF410E" w:rsidRDefault="00CE7F43">
            <w:pPr>
              <w:jc w:val="center"/>
            </w:pPr>
            <w:r>
              <w:rPr>
                <w:b/>
              </w:rPr>
              <w:t>C</w:t>
            </w:r>
          </w:p>
        </w:tc>
        <w:tc>
          <w:tcPr>
            <w:tcW w:w="1500" w:type="dxa"/>
            <w:noWrap/>
          </w:tcPr>
          <w:p w14:paraId="78EFF61E" w14:textId="77777777" w:rsidR="00DF410E" w:rsidRDefault="00CE7F43">
            <w:pPr>
              <w:jc w:val="center"/>
            </w:pPr>
            <w:r>
              <w:rPr>
                <w:b/>
              </w:rPr>
              <w:t>D</w:t>
            </w:r>
          </w:p>
        </w:tc>
        <w:tc>
          <w:tcPr>
            <w:tcW w:w="1500" w:type="dxa"/>
            <w:noWrap/>
          </w:tcPr>
          <w:p w14:paraId="28C1E592" w14:textId="77777777" w:rsidR="00DF410E" w:rsidRDefault="00CE7F43">
            <w:pPr>
              <w:jc w:val="center"/>
            </w:pPr>
            <w:r>
              <w:rPr>
                <w:b/>
              </w:rPr>
              <w:t>E</w:t>
            </w:r>
          </w:p>
        </w:tc>
      </w:tr>
      <w:tr w:rsidR="00DF410E" w14:paraId="55D69AD2" w14:textId="77777777">
        <w:tc>
          <w:tcPr>
            <w:tcW w:w="1500" w:type="dxa"/>
            <w:noWrap/>
          </w:tcPr>
          <w:p w14:paraId="1BC215EF" w14:textId="77777777" w:rsidR="00DF410E" w:rsidRDefault="00CE7F43">
            <w:pPr>
              <w:jc w:val="center"/>
            </w:pPr>
            <w:r>
              <w:rPr>
                <w:b/>
              </w:rPr>
              <w:t>Classe de résistance</w:t>
            </w:r>
          </w:p>
        </w:tc>
        <w:tc>
          <w:tcPr>
            <w:tcW w:w="1500" w:type="dxa"/>
            <w:noWrap/>
          </w:tcPr>
          <w:p w14:paraId="7FD04404" w14:textId="77777777" w:rsidR="00DF410E" w:rsidRDefault="00CE7F43">
            <w:pPr>
              <w:jc w:val="center"/>
            </w:pPr>
            <w:r>
              <w:rPr>
                <w:b/>
              </w:rPr>
              <w:t>Domaine d’application</w:t>
            </w:r>
          </w:p>
        </w:tc>
        <w:tc>
          <w:tcPr>
            <w:tcW w:w="1500" w:type="dxa"/>
            <w:noWrap/>
          </w:tcPr>
          <w:p w14:paraId="73CE579E" w14:textId="77777777" w:rsidR="00DF410E" w:rsidRDefault="00CE7F43">
            <w:pPr>
              <w:jc w:val="center"/>
            </w:pPr>
            <w:r>
              <w:rPr>
                <w:b/>
              </w:rPr>
              <w:t>Classe d'environnement</w:t>
            </w:r>
          </w:p>
        </w:tc>
        <w:tc>
          <w:tcPr>
            <w:tcW w:w="1500" w:type="dxa"/>
            <w:noWrap/>
          </w:tcPr>
          <w:p w14:paraId="4E044681" w14:textId="77777777" w:rsidR="00DF410E" w:rsidRDefault="00CE7F43">
            <w:pPr>
              <w:jc w:val="center"/>
            </w:pPr>
            <w:r>
              <w:rPr>
                <w:b/>
              </w:rPr>
              <w:t>Classe de consistance</w:t>
            </w:r>
          </w:p>
        </w:tc>
        <w:tc>
          <w:tcPr>
            <w:tcW w:w="1500" w:type="dxa"/>
            <w:noWrap/>
          </w:tcPr>
          <w:p w14:paraId="15119151" w14:textId="77777777" w:rsidR="00DF410E" w:rsidRDefault="00CE7F43">
            <w:pPr>
              <w:jc w:val="center"/>
            </w:pPr>
            <w:r>
              <w:rPr>
                <w:b/>
              </w:rPr>
              <w:t>Granulométrie maximale</w:t>
            </w:r>
          </w:p>
        </w:tc>
        <w:tc>
          <w:tcPr>
            <w:tcW w:w="1500" w:type="dxa"/>
            <w:noWrap/>
          </w:tcPr>
          <w:p w14:paraId="5E008AB8" w14:textId="77777777" w:rsidR="00DF410E" w:rsidRDefault="00CE7F43">
            <w:r>
              <w:rPr>
                <w:b/>
              </w:rPr>
              <w:t>Données complémentaires</w:t>
            </w:r>
          </w:p>
        </w:tc>
      </w:tr>
      <w:tr w:rsidR="00DF410E" w14:paraId="0D53DEEF" w14:textId="77777777">
        <w:tc>
          <w:tcPr>
            <w:tcW w:w="1500" w:type="dxa"/>
            <w:noWrap/>
          </w:tcPr>
          <w:p w14:paraId="24FE4C4C" w14:textId="77777777" w:rsidR="00DF410E" w:rsidRDefault="00CE7F43">
            <w:pPr>
              <w:jc w:val="center"/>
            </w:pPr>
            <w:r>
              <w:rPr>
                <w:rStyle w:val="optioncarChar"/>
              </w:rPr>
              <w:t>C25/30 / C30/37 / C35/45 / C45/55 / C50/60 / C55/67 / C60/75 / C70/85 / C80/95 / C90/105</w:t>
            </w:r>
          </w:p>
        </w:tc>
        <w:tc>
          <w:tcPr>
            <w:tcW w:w="1500" w:type="dxa"/>
            <w:noWrap/>
          </w:tcPr>
          <w:p w14:paraId="4AC1C990" w14:textId="77777777" w:rsidR="00DF410E" w:rsidRDefault="00CE7F43">
            <w:pPr>
              <w:jc w:val="center"/>
            </w:pPr>
            <w:r>
              <w:t>Béton armé</w:t>
            </w:r>
          </w:p>
          <w:p w14:paraId="075E7DDF" w14:textId="77777777" w:rsidR="00DF410E" w:rsidRDefault="00DF410E"/>
        </w:tc>
        <w:tc>
          <w:tcPr>
            <w:tcW w:w="1500" w:type="dxa"/>
            <w:noWrap/>
          </w:tcPr>
          <w:p w14:paraId="4F0F7E58" w14:textId="77777777" w:rsidR="00DF410E" w:rsidRDefault="00CE7F43">
            <w:pPr>
              <w:jc w:val="center"/>
            </w:pPr>
            <w:r>
              <w:rPr>
                <w:rStyle w:val="optioncarChar"/>
              </w:rPr>
              <w:t>E0 / EI / EE1 / EE2 / EE3 / EE4 / ES1 / ES2 / ES3 / ES4 / EA1+*** / EA2+***/ EA3+***</w:t>
            </w:r>
          </w:p>
        </w:tc>
        <w:tc>
          <w:tcPr>
            <w:tcW w:w="1500" w:type="dxa"/>
            <w:noWrap/>
          </w:tcPr>
          <w:p w14:paraId="206EE7DD" w14:textId="77777777" w:rsidR="00DF410E" w:rsidRDefault="00CE7F43">
            <w:pPr>
              <w:jc w:val="center"/>
            </w:pPr>
            <w:r>
              <w:t>au choix de l'entrepreneur :</w:t>
            </w:r>
          </w:p>
          <w:p w14:paraId="59C1C05B" w14:textId="77777777" w:rsidR="00DF410E" w:rsidRDefault="00CE7F43">
            <w:pPr>
              <w:jc w:val="center"/>
            </w:pPr>
            <w:r>
              <w:rPr>
                <w:rStyle w:val="optioncarChar"/>
              </w:rPr>
              <w:t>S3 / S4 / S5 /</w:t>
            </w:r>
          </w:p>
          <w:p w14:paraId="78FD504D" w14:textId="77777777" w:rsidR="00DF410E" w:rsidRDefault="00CE7F43">
            <w:pPr>
              <w:jc w:val="center"/>
            </w:pPr>
            <w:r>
              <w:rPr>
                <w:rStyle w:val="optioncarChar"/>
              </w:rPr>
              <w:t>F3 / F4 / F5 / F6</w:t>
            </w:r>
            <w:r>
              <w:br/>
            </w:r>
          </w:p>
        </w:tc>
        <w:tc>
          <w:tcPr>
            <w:tcW w:w="1500" w:type="dxa"/>
            <w:noWrap/>
          </w:tcPr>
          <w:p w14:paraId="28FE93BC" w14:textId="77777777" w:rsidR="00DF410E" w:rsidRDefault="00CE7F43">
            <w:pPr>
              <w:jc w:val="center"/>
            </w:pPr>
            <w:r>
              <w:t>au choix de l'entrepreneur :</w:t>
            </w:r>
          </w:p>
          <w:p w14:paraId="49764D37" w14:textId="77777777" w:rsidR="00DF410E" w:rsidRDefault="00CE7F43">
            <w:pPr>
              <w:jc w:val="center"/>
            </w:pPr>
            <w:r>
              <w:rPr>
                <w:rStyle w:val="optioncarChar"/>
              </w:rPr>
              <w:t>6 / 8 / 10 / 11 / 12 / 14 / 16 / 20 / 22 / 32</w:t>
            </w:r>
            <w:r>
              <w:t xml:space="preserve"> mm</w:t>
            </w:r>
          </w:p>
        </w:tc>
        <w:tc>
          <w:tcPr>
            <w:tcW w:w="1500" w:type="dxa"/>
            <w:noWrap/>
          </w:tcPr>
          <w:p w14:paraId="5A7D207A" w14:textId="77777777" w:rsidR="00DF410E" w:rsidRDefault="00CE7F43">
            <w:pPr>
              <w:jc w:val="center"/>
            </w:pPr>
            <w:r>
              <w:rPr>
                <w:rStyle w:val="optioncarChar"/>
              </w:rPr>
              <w:t>***</w:t>
            </w:r>
          </w:p>
        </w:tc>
      </w:tr>
    </w:tbl>
    <w:p w14:paraId="659C3EE7"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6261A15" w14:textId="77777777" w:rsidR="00DF410E" w:rsidRDefault="00CE7F43">
      <w:pPr>
        <w:pStyle w:val="Author-eListParagraph"/>
        <w:numPr>
          <w:ilvl w:val="0"/>
          <w:numId w:val="589"/>
        </w:numPr>
      </w:pPr>
      <w:r>
        <w:t xml:space="preserve">Classe de viscosité apparente : </w:t>
      </w:r>
      <w:r>
        <w:rPr>
          <w:rStyle w:val="optioncarChar"/>
        </w:rPr>
        <w:t>VS1 / VS2</w:t>
      </w:r>
      <w:r>
        <w:t xml:space="preserve"> (selon la [NBN EN 12350-8] )</w:t>
      </w:r>
    </w:p>
    <w:p w14:paraId="6EC35C43" w14:textId="77777777" w:rsidR="00DF410E" w:rsidRDefault="00CE7F43">
      <w:pPr>
        <w:pStyle w:val="Author-eListParagraph"/>
        <w:numPr>
          <w:ilvl w:val="0"/>
          <w:numId w:val="58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7B75EDD" w14:textId="77777777" w:rsidR="00DF410E" w:rsidRDefault="00CE7F43">
      <w:pPr>
        <w:pStyle w:val="Author-eListParagraph"/>
        <w:numPr>
          <w:ilvl w:val="0"/>
          <w:numId w:val="58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0BF2D1C"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3132696F" w14:textId="77777777" w:rsidR="00DF410E" w:rsidRDefault="00CE7F43">
      <w:pPr>
        <w:pStyle w:val="Author-eListParagraph"/>
        <w:numPr>
          <w:ilvl w:val="0"/>
          <w:numId w:val="590"/>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76038E21" w14:textId="77777777" w:rsidR="00DF410E" w:rsidRDefault="00CE7F43">
      <w:pPr>
        <w:pStyle w:val="Author-eListParagraph"/>
        <w:numPr>
          <w:ilvl w:val="0"/>
          <w:numId w:val="59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01707AC8" w14:textId="77777777" w:rsidR="00DF410E" w:rsidRDefault="00CE7F43">
      <w:pPr>
        <w:pStyle w:val="Author-eListParagraph"/>
        <w:numPr>
          <w:ilvl w:val="0"/>
          <w:numId w:val="590"/>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 / 150 x 150 x 6 x 6 </w:t>
      </w:r>
      <w:r>
        <w:t>(par défaut) </w:t>
      </w:r>
      <w:r>
        <w:rPr>
          <w:rStyle w:val="optioncarChar"/>
        </w:rPr>
        <w:t>/ ***x***x***x***</w:t>
      </w:r>
      <w:r>
        <w:t xml:space="preserve"> mm.</w:t>
      </w:r>
    </w:p>
    <w:p w14:paraId="5323089F" w14:textId="77777777" w:rsidR="00DF410E" w:rsidRDefault="00DF410E"/>
    <w:p w14:paraId="020E9DEC" w14:textId="77777777" w:rsidR="00DF410E" w:rsidRDefault="00CE7F43">
      <w:pPr>
        <w:pStyle w:val="pheading"/>
      </w:pPr>
      <w:r>
        <w:t>- Finitions</w:t>
      </w:r>
    </w:p>
    <w:p w14:paraId="05CD23BB" w14:textId="77777777" w:rsidR="00DF410E" w:rsidRDefault="00CE7F43">
      <w:r>
        <w:t>Surface de béton:</w:t>
      </w:r>
      <w:r>
        <w:rPr>
          <w:rStyle w:val="optioncarChar"/>
        </w:rPr>
        <w:t xml:space="preserve"> brute et lisse</w:t>
      </w:r>
      <w:r>
        <w:t xml:space="preserve"> (par défaut) </w:t>
      </w:r>
      <w:r>
        <w:rPr>
          <w:rStyle w:val="optioncarChar"/>
        </w:rPr>
        <w:t>/ rugueuse</w:t>
      </w:r>
    </w:p>
    <w:p w14:paraId="29E06ADE" w14:textId="77777777" w:rsidR="00DF410E" w:rsidRDefault="00CE7F43">
      <w:pPr>
        <w:pStyle w:val="pheading"/>
      </w:pPr>
      <w:r>
        <w:t>EXÉCUTION / MISE EN ŒUVRE</w:t>
      </w:r>
    </w:p>
    <w:p w14:paraId="21709E62" w14:textId="77777777" w:rsidR="00DF410E" w:rsidRDefault="00CE7F43">
      <w:pPr>
        <w:pStyle w:val="pheading"/>
      </w:pPr>
      <w:r>
        <w:t>- Prescriptions générales</w:t>
      </w:r>
    </w:p>
    <w:p w14:paraId="7878D4BA" w14:textId="77777777" w:rsidR="00DF410E" w:rsidRDefault="00CE7F43">
      <w:r>
        <w:t xml:space="preserve">L'étude est à charge </w:t>
      </w:r>
      <w:r>
        <w:rPr>
          <w:rStyle w:val="optioncarChar"/>
        </w:rPr>
        <w:t xml:space="preserve">de l'entrepreneur </w:t>
      </w:r>
      <w:r>
        <w:t>(par défaut) </w:t>
      </w:r>
      <w:r>
        <w:rPr>
          <w:rStyle w:val="optioncarChar"/>
        </w:rPr>
        <w:t>/ du maître de  l'ouvrage / du bureau d’étude </w:t>
      </w:r>
      <w:r>
        <w:t xml:space="preserve">( </w:t>
      </w:r>
      <w:hyperlink w:anchor="87" w:history="1">
        <w:r>
          <w:t>22 Superstructures en béton</w:t>
        </w:r>
      </w:hyperlink>
      <w:r>
        <w:t xml:space="preserve"> ).</w:t>
      </w:r>
      <w:r>
        <w:br/>
        <w:t xml:space="preserve">Les éléments en encorbellement sont coulés sur place en </w:t>
      </w:r>
      <w:r>
        <w:rPr>
          <w:rStyle w:val="optioncarChar"/>
        </w:rPr>
        <w:t>une seule</w:t>
      </w:r>
      <w:r>
        <w:t xml:space="preserve">(par défaut) </w:t>
      </w:r>
      <w:r>
        <w:rPr>
          <w:rStyle w:val="optioncarChar"/>
        </w:rPr>
        <w:t>/ ***</w:t>
      </w:r>
      <w:r>
        <w:t xml:space="preserve"> fois.</w:t>
      </w:r>
      <w:r>
        <w:br/>
        <w:t xml:space="preserve">Le décoffrage se fait au plus tôt </w:t>
      </w:r>
      <w:r>
        <w:rPr>
          <w:rStyle w:val="optioncarChar"/>
        </w:rPr>
        <w:t>***</w:t>
      </w:r>
      <w:r>
        <w:t xml:space="preserve"> jours </w:t>
      </w:r>
      <w:r>
        <w:rPr>
          <w:rStyle w:val="optioncarChar"/>
        </w:rPr>
        <w:t>après le coulage du béton / selon les directives de l’ingénieur</w:t>
      </w:r>
      <w:r>
        <w:t xml:space="preserve"> .</w:t>
      </w:r>
    </w:p>
    <w:p w14:paraId="4E85D1D4" w14:textId="77777777" w:rsidR="00DF410E" w:rsidRDefault="00CE7F43">
      <w:pPr>
        <w:pStyle w:val="pheading"/>
      </w:pPr>
      <w:r>
        <w:t>- Notes d’exécution complémentaires</w:t>
      </w:r>
    </w:p>
    <w:p w14:paraId="7ECF839C" w14:textId="77777777" w:rsidR="00DF410E" w:rsidRDefault="00CE7F43">
      <w:r>
        <w:t>Raccords visibles : joint en forme de</w:t>
      </w:r>
      <w:r>
        <w:rPr>
          <w:rStyle w:val="optioncarChar"/>
        </w:rPr>
        <w:t> V </w:t>
      </w:r>
      <w:r>
        <w:t>(par défaut)</w:t>
      </w:r>
      <w:r>
        <w:rPr>
          <w:rStyle w:val="optioncarChar"/>
        </w:rPr>
        <w:t xml:space="preserve"> /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79F8F074" w14:textId="77777777" w:rsidR="00DF410E" w:rsidRDefault="00CE7F43">
      <w:pPr>
        <w:pStyle w:val="pheading"/>
      </w:pPr>
      <w:r>
        <w:t>MESURAGE</w:t>
      </w:r>
    </w:p>
    <w:p w14:paraId="5E2D8AD9" w14:textId="77777777" w:rsidR="00DF410E" w:rsidRDefault="00CE7F43">
      <w:r>
        <w:rPr>
          <w:color w:val="FF0000"/>
        </w:rPr>
        <w:t xml:space="preserve">Mesurage </w:t>
      </w:r>
    </w:p>
    <w:p w14:paraId="143498A7" w14:textId="77777777" w:rsidR="00DF410E" w:rsidRDefault="00CE7F43">
      <w:pPr>
        <w:pStyle w:val="pheading"/>
      </w:pPr>
      <w:r>
        <w:t>- unité de mesure:</w:t>
      </w:r>
    </w:p>
    <w:p w14:paraId="40D0EEC6" w14:textId="77777777" w:rsidR="00DF410E" w:rsidRDefault="00CE7F43">
      <w:r>
        <w:t>m³ pour le béton</w:t>
      </w:r>
      <w:r>
        <w:br/>
        <w:t>kg pour les barres d’armatures</w:t>
      </w:r>
      <w:r>
        <w:br/>
        <w:t>PM, coffrages</w:t>
      </w:r>
    </w:p>
    <w:p w14:paraId="2A64ECEF" w14:textId="77777777" w:rsidR="00DF410E" w:rsidRDefault="00CE7F43">
      <w:pPr>
        <w:pStyle w:val="pheading"/>
      </w:pPr>
      <w:r>
        <w:t>- nature du marché:</w:t>
      </w:r>
    </w:p>
    <w:p w14:paraId="7CE25FD7" w14:textId="77777777" w:rsidR="00DF410E" w:rsidRDefault="00CE7F43">
      <w:r>
        <w:t>QF</w:t>
      </w:r>
    </w:p>
    <w:p w14:paraId="1383C534" w14:textId="77777777" w:rsidR="00DF410E" w:rsidRDefault="00CE7F43">
      <w:pPr>
        <w:pStyle w:val="Author-eSectionHeading5"/>
      </w:pPr>
      <w:bookmarkStart w:id="853" w:name="_Toc178838006"/>
      <w:r>
        <w:t>22.32.2 Garde-corps et rampes en béton apparent (esthétique) coulé en place CCTB 01.04</w:t>
      </w:r>
      <w:bookmarkEnd w:id="853"/>
    </w:p>
    <w:p w14:paraId="41310660" w14:textId="77777777" w:rsidR="00DF410E" w:rsidRDefault="00CE7F43">
      <w:pPr>
        <w:pStyle w:val="Author-eSectionHeading6"/>
      </w:pPr>
      <w:bookmarkStart w:id="854" w:name="_Toc178838007"/>
      <w:r>
        <w:t>22.32.2a Garde-corps et rampes en béton apparent (esthétique) coulé en place CCTB 01.12</w:t>
      </w:r>
      <w:bookmarkEnd w:id="854"/>
    </w:p>
    <w:p w14:paraId="10CE6A58" w14:textId="77777777" w:rsidR="00DF410E" w:rsidRDefault="00CE7F43">
      <w:pPr>
        <w:pStyle w:val="pheading"/>
      </w:pPr>
      <w:r>
        <w:t>MATÉRIAUX</w:t>
      </w:r>
    </w:p>
    <w:p w14:paraId="59D260CC" w14:textId="77777777" w:rsidR="00DF410E" w:rsidRDefault="00CE7F43">
      <w:pPr>
        <w:pStyle w:val="pheading"/>
      </w:pPr>
      <w:r>
        <w:t>- Caractéristiques générales</w:t>
      </w:r>
    </w:p>
    <w:p w14:paraId="76D8601A" w14:textId="77777777" w:rsidR="00DF410E" w:rsidRDefault="00CE7F43">
      <w:pPr>
        <w:pStyle w:val="heading"/>
      </w:pPr>
      <w:r>
        <w:t>Spécifications</w:t>
      </w:r>
    </w:p>
    <w:p w14:paraId="65EBB829" w14:textId="77777777" w:rsidR="00DF410E" w:rsidRDefault="00CE7F43">
      <w:r>
        <w:t xml:space="preserve">Qualité du béton selon la [NBN EN 206:2013+A2] et la [NBN B 15-001] (voir également </w:t>
      </w:r>
      <w:hyperlink w:anchor="87" w:history="1">
        <w:r>
          <w:t>22 Superstructures en béton</w:t>
        </w:r>
      </w:hyperlink>
      <w:r>
        <w:t>) .</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1554C82C" w14:textId="77777777">
        <w:tc>
          <w:tcPr>
            <w:tcW w:w="1500" w:type="dxa"/>
            <w:noWrap/>
          </w:tcPr>
          <w:p w14:paraId="1F04DA55" w14:textId="77777777" w:rsidR="00DF410E" w:rsidRDefault="00CE7F43">
            <w:pPr>
              <w:jc w:val="center"/>
            </w:pPr>
            <w:r>
              <w:rPr>
                <w:b/>
              </w:rPr>
              <w:t>A</w:t>
            </w:r>
          </w:p>
        </w:tc>
        <w:tc>
          <w:tcPr>
            <w:tcW w:w="1500" w:type="dxa"/>
            <w:noWrap/>
          </w:tcPr>
          <w:p w14:paraId="1838B5C4" w14:textId="77777777" w:rsidR="00DF410E" w:rsidRDefault="00CE7F43">
            <w:pPr>
              <w:jc w:val="center"/>
            </w:pPr>
            <w:r>
              <w:rPr>
                <w:b/>
              </w:rPr>
              <w:t>B1</w:t>
            </w:r>
          </w:p>
        </w:tc>
        <w:tc>
          <w:tcPr>
            <w:tcW w:w="1500" w:type="dxa"/>
            <w:noWrap/>
          </w:tcPr>
          <w:p w14:paraId="52A1CD3C" w14:textId="77777777" w:rsidR="00DF410E" w:rsidRDefault="00CE7F43">
            <w:pPr>
              <w:jc w:val="center"/>
            </w:pPr>
            <w:r>
              <w:rPr>
                <w:b/>
              </w:rPr>
              <w:t>B2</w:t>
            </w:r>
          </w:p>
        </w:tc>
        <w:tc>
          <w:tcPr>
            <w:tcW w:w="1500" w:type="dxa"/>
            <w:noWrap/>
          </w:tcPr>
          <w:p w14:paraId="244B5702" w14:textId="77777777" w:rsidR="00DF410E" w:rsidRDefault="00CE7F43">
            <w:pPr>
              <w:jc w:val="center"/>
            </w:pPr>
            <w:r>
              <w:rPr>
                <w:b/>
              </w:rPr>
              <w:t>C</w:t>
            </w:r>
          </w:p>
        </w:tc>
        <w:tc>
          <w:tcPr>
            <w:tcW w:w="1500" w:type="dxa"/>
            <w:noWrap/>
          </w:tcPr>
          <w:p w14:paraId="7955A3E4" w14:textId="77777777" w:rsidR="00DF410E" w:rsidRDefault="00CE7F43">
            <w:pPr>
              <w:jc w:val="center"/>
            </w:pPr>
            <w:r>
              <w:rPr>
                <w:b/>
              </w:rPr>
              <w:t>D</w:t>
            </w:r>
          </w:p>
        </w:tc>
        <w:tc>
          <w:tcPr>
            <w:tcW w:w="1500" w:type="dxa"/>
            <w:noWrap/>
          </w:tcPr>
          <w:p w14:paraId="657D5C8F" w14:textId="77777777" w:rsidR="00DF410E" w:rsidRDefault="00CE7F43">
            <w:pPr>
              <w:jc w:val="center"/>
            </w:pPr>
            <w:r>
              <w:rPr>
                <w:b/>
              </w:rPr>
              <w:t>E</w:t>
            </w:r>
          </w:p>
        </w:tc>
      </w:tr>
      <w:tr w:rsidR="00DF410E" w14:paraId="43A9B54D" w14:textId="77777777">
        <w:tc>
          <w:tcPr>
            <w:tcW w:w="1500" w:type="dxa"/>
            <w:noWrap/>
          </w:tcPr>
          <w:p w14:paraId="708FFAE0" w14:textId="77777777" w:rsidR="00DF410E" w:rsidRDefault="00CE7F43">
            <w:pPr>
              <w:jc w:val="center"/>
            </w:pPr>
            <w:r>
              <w:rPr>
                <w:b/>
              </w:rPr>
              <w:t>Classe de résistance</w:t>
            </w:r>
          </w:p>
        </w:tc>
        <w:tc>
          <w:tcPr>
            <w:tcW w:w="1500" w:type="dxa"/>
            <w:noWrap/>
          </w:tcPr>
          <w:p w14:paraId="5E985ABC" w14:textId="77777777" w:rsidR="00DF410E" w:rsidRDefault="00CE7F43">
            <w:pPr>
              <w:jc w:val="center"/>
            </w:pPr>
            <w:r>
              <w:rPr>
                <w:b/>
              </w:rPr>
              <w:t>Domaine d’application</w:t>
            </w:r>
          </w:p>
        </w:tc>
        <w:tc>
          <w:tcPr>
            <w:tcW w:w="1500" w:type="dxa"/>
            <w:noWrap/>
          </w:tcPr>
          <w:p w14:paraId="15DDC5C7" w14:textId="77777777" w:rsidR="00DF410E" w:rsidRDefault="00CE7F43">
            <w:pPr>
              <w:jc w:val="center"/>
            </w:pPr>
            <w:r>
              <w:rPr>
                <w:b/>
              </w:rPr>
              <w:t>Classe d'environnement</w:t>
            </w:r>
          </w:p>
        </w:tc>
        <w:tc>
          <w:tcPr>
            <w:tcW w:w="1500" w:type="dxa"/>
            <w:noWrap/>
          </w:tcPr>
          <w:p w14:paraId="77F910D9" w14:textId="77777777" w:rsidR="00DF410E" w:rsidRDefault="00CE7F43">
            <w:pPr>
              <w:jc w:val="center"/>
            </w:pPr>
            <w:r>
              <w:rPr>
                <w:b/>
              </w:rPr>
              <w:t>Classe de consistance</w:t>
            </w:r>
          </w:p>
        </w:tc>
        <w:tc>
          <w:tcPr>
            <w:tcW w:w="1500" w:type="dxa"/>
            <w:noWrap/>
          </w:tcPr>
          <w:p w14:paraId="29083F75" w14:textId="77777777" w:rsidR="00DF410E" w:rsidRDefault="00CE7F43">
            <w:pPr>
              <w:jc w:val="center"/>
            </w:pPr>
            <w:r>
              <w:rPr>
                <w:b/>
              </w:rPr>
              <w:t>Granulométrie maximale</w:t>
            </w:r>
          </w:p>
        </w:tc>
        <w:tc>
          <w:tcPr>
            <w:tcW w:w="1500" w:type="dxa"/>
            <w:noWrap/>
          </w:tcPr>
          <w:p w14:paraId="3C773143" w14:textId="77777777" w:rsidR="00DF410E" w:rsidRDefault="00CE7F43">
            <w:r>
              <w:rPr>
                <w:b/>
              </w:rPr>
              <w:t>Données complémentaires</w:t>
            </w:r>
          </w:p>
        </w:tc>
      </w:tr>
      <w:tr w:rsidR="00DF410E" w14:paraId="3DAB3173" w14:textId="77777777">
        <w:tc>
          <w:tcPr>
            <w:tcW w:w="1500" w:type="dxa"/>
            <w:noWrap/>
          </w:tcPr>
          <w:p w14:paraId="609D1C45" w14:textId="77777777" w:rsidR="00DF410E" w:rsidRDefault="00CE7F43">
            <w:pPr>
              <w:jc w:val="center"/>
            </w:pPr>
            <w:r>
              <w:rPr>
                <w:rStyle w:val="optioncarChar"/>
              </w:rPr>
              <w:t>C25/30 / C30/37 / C35/45 / C45/55 / C50/60 / C55/67 / C60/75 / C70/85 / C80/95 / C90/105</w:t>
            </w:r>
          </w:p>
        </w:tc>
        <w:tc>
          <w:tcPr>
            <w:tcW w:w="1500" w:type="dxa"/>
            <w:noWrap/>
          </w:tcPr>
          <w:p w14:paraId="06525FFB" w14:textId="77777777" w:rsidR="00DF410E" w:rsidRDefault="00CE7F43">
            <w:pPr>
              <w:jc w:val="center"/>
            </w:pPr>
            <w:r>
              <w:t>Béton armé</w:t>
            </w:r>
          </w:p>
          <w:p w14:paraId="2138DCA7" w14:textId="77777777" w:rsidR="00DF410E" w:rsidRDefault="00DF410E"/>
        </w:tc>
        <w:tc>
          <w:tcPr>
            <w:tcW w:w="1500" w:type="dxa"/>
            <w:noWrap/>
          </w:tcPr>
          <w:p w14:paraId="1D75BC8D" w14:textId="77777777" w:rsidR="00DF410E" w:rsidRDefault="00CE7F43">
            <w:pPr>
              <w:jc w:val="center"/>
            </w:pPr>
            <w:r>
              <w:rPr>
                <w:rStyle w:val="optioncarChar"/>
              </w:rPr>
              <w:t>E0 / EI / EE1 / EE2 / EE3 / EE4 / ES1 / ES2 / ES3 / ES4 / EA1+*** / EA2+***/ EA3+***</w:t>
            </w:r>
          </w:p>
        </w:tc>
        <w:tc>
          <w:tcPr>
            <w:tcW w:w="1500" w:type="dxa"/>
            <w:noWrap/>
          </w:tcPr>
          <w:p w14:paraId="48CF2472" w14:textId="77777777" w:rsidR="00DF410E" w:rsidRDefault="00CE7F43">
            <w:pPr>
              <w:jc w:val="center"/>
            </w:pPr>
            <w:r>
              <w:t>au choix de l'entrepreneur :</w:t>
            </w:r>
          </w:p>
          <w:p w14:paraId="4DB5FE3B" w14:textId="77777777" w:rsidR="00DF410E" w:rsidRDefault="00CE7F43">
            <w:pPr>
              <w:jc w:val="center"/>
            </w:pPr>
            <w:r>
              <w:rPr>
                <w:rStyle w:val="optioncarChar"/>
              </w:rPr>
              <w:t>S3 / S4 / S5 </w:t>
            </w:r>
            <w:r>
              <w:br/>
            </w:r>
          </w:p>
          <w:p w14:paraId="59E70EF3" w14:textId="77777777" w:rsidR="00DF410E" w:rsidRDefault="00CE7F43">
            <w:pPr>
              <w:jc w:val="center"/>
            </w:pPr>
            <w:r>
              <w:rPr>
                <w:rStyle w:val="optioncarChar"/>
              </w:rPr>
              <w:t>F3 / F4 / F5 / F6</w:t>
            </w:r>
            <w:r>
              <w:br/>
            </w:r>
          </w:p>
        </w:tc>
        <w:tc>
          <w:tcPr>
            <w:tcW w:w="1500" w:type="dxa"/>
            <w:noWrap/>
          </w:tcPr>
          <w:p w14:paraId="1035613D" w14:textId="77777777" w:rsidR="00DF410E" w:rsidRDefault="00CE7F43">
            <w:pPr>
              <w:jc w:val="center"/>
            </w:pPr>
            <w:r>
              <w:t>au choix de l'entrepreneur :</w:t>
            </w:r>
          </w:p>
          <w:p w14:paraId="6AE01648" w14:textId="77777777" w:rsidR="00DF410E" w:rsidRDefault="00CE7F43">
            <w:pPr>
              <w:jc w:val="center"/>
            </w:pPr>
            <w:r>
              <w:rPr>
                <w:rStyle w:val="optioncarChar"/>
              </w:rPr>
              <w:t>6 / 8 / 10 / 11 / 12 / 14 / 16 / 20 / 22 / 32</w:t>
            </w:r>
            <w:r>
              <w:t xml:space="preserve"> mm</w:t>
            </w:r>
          </w:p>
        </w:tc>
        <w:tc>
          <w:tcPr>
            <w:tcW w:w="1500" w:type="dxa"/>
            <w:noWrap/>
          </w:tcPr>
          <w:p w14:paraId="31C3C00B" w14:textId="77777777" w:rsidR="00DF410E" w:rsidRDefault="00CE7F43">
            <w:pPr>
              <w:jc w:val="center"/>
            </w:pPr>
            <w:r>
              <w:rPr>
                <w:rStyle w:val="optioncarChar"/>
              </w:rPr>
              <w:t>***</w:t>
            </w:r>
          </w:p>
        </w:tc>
      </w:tr>
    </w:tbl>
    <w:p w14:paraId="6B94DF3E"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49453EE4" w14:textId="77777777" w:rsidR="00DF410E" w:rsidRDefault="00CE7F43">
      <w:pPr>
        <w:pStyle w:val="Author-eListParagraph"/>
        <w:numPr>
          <w:ilvl w:val="0"/>
          <w:numId w:val="591"/>
        </w:numPr>
      </w:pPr>
      <w:r>
        <w:t xml:space="preserve">Classe de viscosité apparente : </w:t>
      </w:r>
      <w:r>
        <w:rPr>
          <w:rStyle w:val="optioncarChar"/>
        </w:rPr>
        <w:t>VS1 / VS2</w:t>
      </w:r>
      <w:r>
        <w:t xml:space="preserve"> (selon la [NBN EN 12350-8] )</w:t>
      </w:r>
    </w:p>
    <w:p w14:paraId="008A83EE" w14:textId="77777777" w:rsidR="00DF410E" w:rsidRDefault="00CE7F43">
      <w:pPr>
        <w:pStyle w:val="Author-eListParagraph"/>
        <w:numPr>
          <w:ilvl w:val="0"/>
          <w:numId w:val="59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CF3DF6E" w14:textId="77777777" w:rsidR="00DF410E" w:rsidRDefault="00CE7F43">
      <w:pPr>
        <w:pStyle w:val="Author-eListParagraph"/>
        <w:numPr>
          <w:ilvl w:val="0"/>
          <w:numId w:val="59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2CF71FB"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 (voir </w:t>
      </w:r>
      <w:hyperlink w:anchor="231" w:history="1">
        <w:r>
          <w:t>22.51 Armatures pour béton</w:t>
        </w:r>
      </w:hyperlink>
      <w:r>
        <w:t>)</w:t>
      </w:r>
    </w:p>
    <w:p w14:paraId="3B546228" w14:textId="77777777" w:rsidR="00DF410E" w:rsidRDefault="00CE7F43">
      <w:pPr>
        <w:pStyle w:val="Author-eListParagraph"/>
        <w:numPr>
          <w:ilvl w:val="0"/>
          <w:numId w:val="592"/>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2F46664F" w14:textId="77777777" w:rsidR="00DF410E" w:rsidRDefault="00CE7F43">
      <w:pPr>
        <w:pStyle w:val="Author-eListParagraph"/>
        <w:numPr>
          <w:ilvl w:val="0"/>
          <w:numId w:val="59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ACFAD01" w14:textId="77777777" w:rsidR="00DF410E" w:rsidRDefault="00CE7F43">
      <w:pPr>
        <w:pStyle w:val="Author-eListParagraph"/>
        <w:numPr>
          <w:ilvl w:val="0"/>
          <w:numId w:val="592"/>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 </w:t>
      </w:r>
      <w:r>
        <w:rPr>
          <w:rStyle w:val="optioncarChar"/>
        </w:rPr>
        <w:t>/ ***x***x***x***</w:t>
      </w:r>
      <w:r>
        <w:t xml:space="preserve"> mm.</w:t>
      </w:r>
    </w:p>
    <w:p w14:paraId="4C2CE411" w14:textId="77777777" w:rsidR="00DF410E" w:rsidRDefault="00DF410E"/>
    <w:p w14:paraId="71363ECF" w14:textId="77777777" w:rsidR="00DF410E" w:rsidRDefault="00CE7F43">
      <w:pPr>
        <w:pStyle w:val="pheading"/>
      </w:pPr>
      <w:r>
        <w:t>- Finitions</w:t>
      </w:r>
    </w:p>
    <w:p w14:paraId="491474D9"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30D3872B" w14:textId="77777777" w:rsidR="00DF410E" w:rsidRDefault="00CE7F43">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3DF54A66" w14:textId="77777777" w:rsidR="00DF410E" w:rsidRDefault="00CE7F43">
      <w:r>
        <w:t xml:space="preserve">La face supérieure non coffrée des éléments est </w:t>
      </w:r>
      <w:r>
        <w:rPr>
          <w:rStyle w:val="optioncarChar"/>
        </w:rPr>
        <w:t>laissée rugueuse / lissée à la taloche / lavée à l’eau / brossée / bouchardée / grenaillée / grésée / polie mat / polie brillant.</w:t>
      </w:r>
    </w:p>
    <w:p w14:paraId="0633F35D"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120BF521" w14:textId="77777777" w:rsidR="00DF410E" w:rsidRDefault="00CE7F43">
      <w:pPr>
        <w:pStyle w:val="Author-eListParagraph"/>
        <w:numPr>
          <w:ilvl w:val="0"/>
          <w:numId w:val="593"/>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6FC7AB42" w14:textId="77777777" w:rsidR="00DF410E" w:rsidRDefault="00CE7F43">
      <w:pPr>
        <w:pStyle w:val="Author-eListParagraph"/>
        <w:numPr>
          <w:ilvl w:val="0"/>
          <w:numId w:val="593"/>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5A01ECA0" w14:textId="77777777" w:rsidR="00DF410E" w:rsidRDefault="00CE7F43">
      <w:pPr>
        <w:pStyle w:val="Author-eListParagraph"/>
        <w:numPr>
          <w:ilvl w:val="0"/>
          <w:numId w:val="593"/>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6DF9476" w14:textId="77777777" w:rsidR="00DF410E" w:rsidRDefault="00CE7F43">
      <w:pPr>
        <w:pStyle w:val="Author-eListParagraph"/>
        <w:numPr>
          <w:ilvl w:val="0"/>
          <w:numId w:val="593"/>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A4F40A5" w14:textId="77777777" w:rsidR="00DF410E" w:rsidRDefault="00CE7F43">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6D6FC23F" w14:textId="77777777" w:rsidR="00DF410E" w:rsidRDefault="00CE7F43">
      <w:pPr>
        <w:pStyle w:val="pheading"/>
      </w:pPr>
      <w:r>
        <w:t>EXÉCUTION / MISE EN ŒUVRE</w:t>
      </w:r>
    </w:p>
    <w:p w14:paraId="737BCF96" w14:textId="77777777" w:rsidR="00DF410E" w:rsidRDefault="00CE7F43">
      <w:pPr>
        <w:pStyle w:val="pheading"/>
      </w:pPr>
      <w:r>
        <w:t>- Prescriptions générales</w:t>
      </w:r>
    </w:p>
    <w:p w14:paraId="6FD7B27D" w14:textId="77777777" w:rsidR="00DF410E" w:rsidRDefault="00CE7F43">
      <w:r>
        <w:t xml:space="preserve">L'étude est à charge </w:t>
      </w:r>
      <w:r>
        <w:rPr>
          <w:rStyle w:val="optioncarChar"/>
        </w:rPr>
        <w:t xml:space="preserve">/ de l'entrepreneur </w:t>
      </w:r>
      <w:r>
        <w:t>(par défaut) </w:t>
      </w:r>
      <w:r>
        <w:rPr>
          <w:rStyle w:val="optioncarChar"/>
        </w:rPr>
        <w:t>/ du maître de  l'ouvrage / du bureau d’étude </w:t>
      </w:r>
      <w:r>
        <w:t xml:space="preserve">( </w:t>
      </w:r>
      <w:hyperlink w:anchor="87" w:history="1">
        <w:r>
          <w:t>22 Superstructures en béton</w:t>
        </w:r>
      </w:hyperlink>
      <w:r>
        <w:t xml:space="preserve"> ).</w:t>
      </w:r>
      <w:r>
        <w:br/>
        <w:t xml:space="preserve">Les éléments en encorbellement sont coulés sur place en </w:t>
      </w:r>
      <w:r>
        <w:rPr>
          <w:rStyle w:val="optioncarChar"/>
        </w:rPr>
        <w:t>une seule </w:t>
      </w:r>
      <w:r>
        <w:t>(par défaut)</w:t>
      </w:r>
      <w:r>
        <w:rPr>
          <w:rStyle w:val="optioncarChar"/>
        </w:rPr>
        <w:t xml:space="preserve"> / *** </w:t>
      </w:r>
      <w:r>
        <w:t>fois.</w:t>
      </w:r>
      <w:r>
        <w:br/>
        <w:t xml:space="preserve">Le décoffrage se fait au plus tôt </w:t>
      </w:r>
      <w:r>
        <w:rPr>
          <w:rStyle w:val="optioncarChar"/>
        </w:rPr>
        <w:t>***</w:t>
      </w:r>
      <w:r>
        <w:t xml:space="preserve"> jours </w:t>
      </w:r>
      <w:r>
        <w:rPr>
          <w:rStyle w:val="optioncarChar"/>
        </w:rPr>
        <w:t>après le coulage du béton / selon les directives de l’ingénieur</w:t>
      </w:r>
      <w:r>
        <w:t xml:space="preserve"> .</w:t>
      </w:r>
    </w:p>
    <w:p w14:paraId="40E74F22" w14:textId="77777777" w:rsidR="00DF410E" w:rsidRDefault="00CE7F43">
      <w:pPr>
        <w:pStyle w:val="pheading"/>
      </w:pPr>
      <w:r>
        <w:t>- Notes d’exécution complémentaires</w:t>
      </w:r>
    </w:p>
    <w:p w14:paraId="04D3B095" w14:textId="77777777" w:rsidR="00DF410E" w:rsidRDefault="00DF410E"/>
    <w:p w14:paraId="482A06D1" w14:textId="77777777" w:rsidR="00DF410E" w:rsidRDefault="00CE7F43">
      <w:pPr>
        <w:pStyle w:val="Author-eListParagraph"/>
        <w:numPr>
          <w:ilvl w:val="0"/>
          <w:numId w:val="594"/>
        </w:numPr>
      </w:pPr>
      <w:r>
        <w:t>Raccords visibles : joint en forme de</w:t>
      </w:r>
      <w:r>
        <w:rPr>
          <w:rStyle w:val="optioncarChar"/>
        </w:rPr>
        <w:t> V </w:t>
      </w:r>
      <w:r>
        <w:t>(par défaut)</w:t>
      </w:r>
      <w:r>
        <w:rPr>
          <w:rStyle w:val="optioncarChar"/>
        </w:rPr>
        <w:t xml:space="preserve"> / *** </w:t>
      </w:r>
    </w:p>
    <w:p w14:paraId="0F544CBB" w14:textId="77777777" w:rsidR="00DF410E" w:rsidRDefault="00CE7F43">
      <w:pPr>
        <w:pStyle w:val="Author-eListParagraph"/>
        <w:numPr>
          <w:ilvl w:val="0"/>
          <w:numId w:val="594"/>
        </w:numPr>
      </w:pPr>
      <w:r>
        <w:t>Joints de reprise :</w:t>
      </w:r>
      <w:r>
        <w:rPr>
          <w:rStyle w:val="optioncarChar"/>
        </w:rPr>
        <w:t xml:space="preserve"> ***</w:t>
      </w:r>
    </w:p>
    <w:p w14:paraId="30105C61" w14:textId="77777777" w:rsidR="00DF410E" w:rsidRDefault="00CE7F43">
      <w:pPr>
        <w:pStyle w:val="Author-eListParagraph"/>
        <w:numPr>
          <w:ilvl w:val="0"/>
          <w:numId w:val="594"/>
        </w:numPr>
      </w:pPr>
      <w:r>
        <w:t>Ancrages : à rupture thermique - système à soumettre pour approbation</w:t>
      </w:r>
    </w:p>
    <w:p w14:paraId="7EB4C2C9" w14:textId="77777777" w:rsidR="00DF410E" w:rsidRDefault="00CE7F43">
      <w:pPr>
        <w:pStyle w:val="Author-eListParagraph"/>
        <w:numPr>
          <w:ilvl w:val="0"/>
          <w:numId w:val="594"/>
        </w:numPr>
      </w:pPr>
      <w:r>
        <w:t xml:space="preserve">Ponts d'humidité / étanchéité à l'eau : </w:t>
      </w:r>
      <w:r>
        <w:rPr>
          <w:rStyle w:val="optioncarChar"/>
        </w:rPr>
        <w:t>***</w:t>
      </w:r>
    </w:p>
    <w:p w14:paraId="77A19925" w14:textId="77777777" w:rsidR="00DF410E" w:rsidRDefault="00CE7F43">
      <w:pPr>
        <w:pStyle w:val="Author-eListParagraph"/>
        <w:numPr>
          <w:ilvl w:val="0"/>
          <w:numId w:val="594"/>
        </w:numPr>
      </w:pPr>
      <w:r>
        <w:t xml:space="preserve">Ponts thermiques / isolation thermique : </w:t>
      </w:r>
      <w:r>
        <w:rPr>
          <w:rStyle w:val="optioncarChar"/>
        </w:rPr>
        <w:t>***</w:t>
      </w:r>
    </w:p>
    <w:p w14:paraId="0D7D11A9" w14:textId="77777777" w:rsidR="00DF410E" w:rsidRDefault="00CE7F43">
      <w:pPr>
        <w:pStyle w:val="Author-eListParagraph"/>
        <w:numPr>
          <w:ilvl w:val="0"/>
          <w:numId w:val="594"/>
        </w:numPr>
      </w:pPr>
      <w:r>
        <w:t xml:space="preserve">Réservations / pénétrations : </w:t>
      </w:r>
      <w:r>
        <w:rPr>
          <w:rStyle w:val="optioncarChar"/>
        </w:rPr>
        <w:t>***</w:t>
      </w:r>
    </w:p>
    <w:p w14:paraId="121B458E" w14:textId="77777777" w:rsidR="00DF410E" w:rsidRDefault="00CE7F43">
      <w:pPr>
        <w:pStyle w:val="pheading"/>
      </w:pPr>
      <w:r>
        <w:t>MESURAGE</w:t>
      </w:r>
    </w:p>
    <w:p w14:paraId="3B48252A" w14:textId="77777777" w:rsidR="00DF410E" w:rsidRDefault="00CE7F43">
      <w:r>
        <w:rPr>
          <w:color w:val="FF0000"/>
        </w:rPr>
        <w:t xml:space="preserve">Mesurage </w:t>
      </w:r>
    </w:p>
    <w:p w14:paraId="59C68829" w14:textId="77777777" w:rsidR="00DF410E" w:rsidRDefault="00CE7F43">
      <w:pPr>
        <w:pStyle w:val="pheading"/>
      </w:pPr>
      <w:r>
        <w:t>- unité de mesure:</w:t>
      </w:r>
    </w:p>
    <w:p w14:paraId="306266CF" w14:textId="77777777" w:rsidR="00DF410E" w:rsidRDefault="00CE7F43">
      <w:r>
        <w:t>m³ pour le béton</w:t>
      </w:r>
      <w:r>
        <w:br/>
        <w:t>kg pour les barres d’armatures</w:t>
      </w:r>
      <w:r>
        <w:br/>
        <w:t>PM, coffrages</w:t>
      </w:r>
    </w:p>
    <w:p w14:paraId="4A0EEBD7" w14:textId="77777777" w:rsidR="00DF410E" w:rsidRDefault="00CE7F43">
      <w:pPr>
        <w:pStyle w:val="pheading"/>
      </w:pPr>
      <w:r>
        <w:t>- nature du marché:</w:t>
      </w:r>
    </w:p>
    <w:p w14:paraId="397A6C60" w14:textId="77777777" w:rsidR="00DF410E" w:rsidRDefault="00CE7F43">
      <w:r>
        <w:t>QF</w:t>
      </w:r>
    </w:p>
    <w:p w14:paraId="289C6D7A" w14:textId="77777777" w:rsidR="00DF410E" w:rsidRDefault="00CE7F43">
      <w:pPr>
        <w:pStyle w:val="Author-eSectionHeading5"/>
      </w:pPr>
      <w:bookmarkStart w:id="855" w:name="_Toc178838008"/>
      <w:r>
        <w:t>22.32.3 Garde-corps et rampes préfabriqués en béton CCTB 01.11</w:t>
      </w:r>
      <w:bookmarkEnd w:id="855"/>
    </w:p>
    <w:p w14:paraId="1420A98E" w14:textId="77777777" w:rsidR="00DF410E" w:rsidRDefault="00CE7F43">
      <w:pPr>
        <w:pStyle w:val="pheading"/>
      </w:pPr>
      <w:r>
        <w:t>DESCRIPTION</w:t>
      </w:r>
    </w:p>
    <w:p w14:paraId="441563F5" w14:textId="77777777" w:rsidR="00DF410E" w:rsidRDefault="00CE7F43">
      <w:pPr>
        <w:pStyle w:val="pheading"/>
      </w:pPr>
      <w:r>
        <w:t>- Définition / Comprend</w:t>
      </w:r>
    </w:p>
    <w:p w14:paraId="03A890C3" w14:textId="77777777" w:rsidR="00DF410E" w:rsidRDefault="00CE7F43">
      <w:r>
        <w:t xml:space="preserve">Il s'agit de tous les éléments en encorbellement : </w:t>
      </w:r>
      <w:r>
        <w:rPr>
          <w:rStyle w:val="optioncarChar"/>
        </w:rPr>
        <w:t>balcons / galeries / corniches / auvents</w:t>
      </w:r>
      <w:r>
        <w:t xml:space="preserve"> qui sont préfabriqués et sont ensuite intégrés dans la construction portante avec les moyens appropriés.</w:t>
      </w:r>
    </w:p>
    <w:p w14:paraId="74C64BBF" w14:textId="77777777" w:rsidR="00DF410E" w:rsidRDefault="00CE7F43">
      <w:pPr>
        <w:pStyle w:val="pheading"/>
      </w:pPr>
      <w:r>
        <w:t>MATÉRIAUX</w:t>
      </w:r>
    </w:p>
    <w:p w14:paraId="7654E674" w14:textId="77777777" w:rsidR="00DF410E" w:rsidRDefault="00CE7F43">
      <w:r>
        <w:t xml:space="preserve">L’ensemble des matériaux, des éléments de support et des assemblages doivent satisfaire aux charges d’exploitation et à la classe d’exposition indiquées préalablement (voir également l’art. </w:t>
      </w:r>
      <w:hyperlink w:anchor="87" w:history="1">
        <w:r>
          <w:t>22 Superstructures en béton</w:t>
        </w:r>
      </w:hyperlink>
      <w:r>
        <w:t>).</w:t>
      </w:r>
    </w:p>
    <w:p w14:paraId="3219EAF3" w14:textId="77777777" w:rsidR="00DF410E" w:rsidRDefault="00CE7F43">
      <w:pPr>
        <w:pStyle w:val="heading"/>
      </w:pPr>
      <w:r>
        <w:t>Spécifications</w:t>
      </w:r>
    </w:p>
    <w:p w14:paraId="27573B07" w14:textId="77777777" w:rsidR="00DF410E" w:rsidRDefault="00CE7F43">
      <w:pPr>
        <w:pStyle w:val="Author-eListParagraph"/>
        <w:numPr>
          <w:ilvl w:val="0"/>
          <w:numId w:val="595"/>
        </w:numPr>
      </w:pPr>
      <w:r>
        <w:t>Conformes à la [NBN EN 13369:2023] et à la [NBN B 21-600]</w:t>
      </w:r>
    </w:p>
    <w:p w14:paraId="588051B6" w14:textId="77777777" w:rsidR="00DF410E" w:rsidRDefault="00CE7F43">
      <w:pPr>
        <w:pStyle w:val="Author-eListParagraph"/>
        <w:numPr>
          <w:ilvl w:val="0"/>
          <w:numId w:val="595"/>
        </w:numPr>
      </w:pPr>
      <w:r>
        <w:t>Forme et dimensions : conformément aux indications sur les plans</w:t>
      </w:r>
    </w:p>
    <w:p w14:paraId="4DCB889C" w14:textId="77777777" w:rsidR="00DF410E" w:rsidRDefault="00CE7F43">
      <w:pPr>
        <w:pStyle w:val="Author-eListParagraph"/>
        <w:numPr>
          <w:ilvl w:val="0"/>
          <w:numId w:val="595"/>
        </w:numPr>
      </w:pPr>
      <w:r>
        <w:t xml:space="preserve">Classe d'exploitation : </w:t>
      </w:r>
      <w:r>
        <w:rPr>
          <w:rStyle w:val="optioncarChar"/>
        </w:rPr>
        <w:t>***</w:t>
      </w:r>
    </w:p>
    <w:p w14:paraId="1444AC2E" w14:textId="77777777" w:rsidR="00DF410E" w:rsidRDefault="00CE7F43">
      <w:pPr>
        <w:pStyle w:val="Author-eListParagraph"/>
        <w:numPr>
          <w:ilvl w:val="0"/>
          <w:numId w:val="595"/>
        </w:numPr>
      </w:pPr>
      <w:r>
        <w:t>Classe d'environnement:</w:t>
      </w:r>
      <w:r>
        <w:rPr>
          <w:rStyle w:val="optioncarChar"/>
        </w:rPr>
        <w:t xml:space="preserve"> ***</w:t>
      </w:r>
    </w:p>
    <w:p w14:paraId="298E1C95" w14:textId="77777777" w:rsidR="00DF410E" w:rsidRDefault="00CE7F43">
      <w:pPr>
        <w:pStyle w:val="Author-eListParagraph"/>
        <w:numPr>
          <w:ilvl w:val="0"/>
          <w:numId w:val="595"/>
        </w:numPr>
      </w:pPr>
      <w:r>
        <w:t>Eléments d’ancrage : avec dispositif de rupture thermique - système à soumettre pour approbation</w:t>
      </w:r>
    </w:p>
    <w:p w14:paraId="4BEB38A0" w14:textId="77777777" w:rsidR="00DF410E" w:rsidRDefault="00CE7F43">
      <w:pPr>
        <w:pStyle w:val="pheading"/>
      </w:pPr>
      <w:r>
        <w:t>EXÉCUTION / MISE EN ŒUVRE</w:t>
      </w:r>
    </w:p>
    <w:p w14:paraId="19E82A51" w14:textId="77777777" w:rsidR="00DF410E" w:rsidRDefault="00CE7F43">
      <w:r>
        <w:t xml:space="preserve">Les éléments de </w:t>
      </w:r>
      <w:r>
        <w:rPr>
          <w:rStyle w:val="optioncarChar"/>
        </w:rPr>
        <w:t>balcons / débordements de rive de toiture</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t>22 Superstructures en béton</w:t>
        </w:r>
      </w:hyperlink>
      <w:r>
        <w:t>).</w:t>
      </w:r>
    </w:p>
    <w:p w14:paraId="7AAC373F" w14:textId="77777777" w:rsidR="00DF410E" w:rsidRDefault="00CE7F43">
      <w:pPr>
        <w:pStyle w:val="Author-eSectionHeading6"/>
      </w:pPr>
      <w:bookmarkStart w:id="856" w:name="_Toc178838009"/>
      <w:r>
        <w:t>22.32.3a Garde-corps et rampes préfabriqués en béton CCTB 01.02</w:t>
      </w:r>
      <w:bookmarkEnd w:id="856"/>
    </w:p>
    <w:p w14:paraId="3BD05337" w14:textId="77777777" w:rsidR="00DF410E" w:rsidRDefault="00CE7F43">
      <w:pPr>
        <w:pStyle w:val="Author-eSectionHeading5"/>
      </w:pPr>
      <w:bookmarkStart w:id="857" w:name="_Toc178838010"/>
      <w:r>
        <w:t>22.32.4 Garde-corps et rampes préfabriqués en béton architectonique CCTB 01.11</w:t>
      </w:r>
      <w:bookmarkEnd w:id="857"/>
    </w:p>
    <w:p w14:paraId="42152B0A" w14:textId="77777777" w:rsidR="00DF410E" w:rsidRDefault="00CE7F43">
      <w:pPr>
        <w:pStyle w:val="pheading"/>
      </w:pPr>
      <w:r>
        <w:t>DESCRIPTION</w:t>
      </w:r>
    </w:p>
    <w:p w14:paraId="4120F21A" w14:textId="77777777" w:rsidR="00DF410E" w:rsidRDefault="00CE7F43">
      <w:pPr>
        <w:pStyle w:val="pheading"/>
      </w:pPr>
      <w:r>
        <w:t>- Définition / Comprend</w:t>
      </w:r>
    </w:p>
    <w:p w14:paraId="27F4B6A0" w14:textId="77777777" w:rsidR="00DF410E" w:rsidRDefault="00CE7F43">
      <w:r>
        <w:t xml:space="preserve">Il s'agit de tous les éléments </w:t>
      </w:r>
      <w:r>
        <w:rPr>
          <w:rStyle w:val="optioncarChar"/>
        </w:rPr>
        <w:t xml:space="preserve">garde-corps / rampes / </w:t>
      </w:r>
      <w:r>
        <w:t>qui sont préfabriqués et sont ensuite intégrés dans la construction portante avec les moyens appropriés.</w:t>
      </w:r>
    </w:p>
    <w:p w14:paraId="720ED02B" w14:textId="77777777" w:rsidR="00DF410E" w:rsidRDefault="00CE7F43">
      <w:pPr>
        <w:pStyle w:val="pheading"/>
      </w:pPr>
      <w:r>
        <w:t>MATÉRIAUX</w:t>
      </w:r>
    </w:p>
    <w:p w14:paraId="3D54FCBB" w14:textId="77777777" w:rsidR="00DF410E" w:rsidRDefault="00CE7F43">
      <w:r>
        <w:t xml:space="preserve">L’ensemble des matériaux, des éléments de support et des assemblages doivent satisfaire aux charges d’exploitation et à la classe d’exposition indiquées préalablement (voir également l’art. </w:t>
      </w:r>
      <w:hyperlink w:anchor="87" w:history="1">
        <w:r>
          <w:t>22 Superstructures en béton</w:t>
        </w:r>
      </w:hyperlink>
      <w:r>
        <w:t>).</w:t>
      </w:r>
    </w:p>
    <w:p w14:paraId="00705633" w14:textId="77777777" w:rsidR="00DF410E" w:rsidRDefault="00CE7F43">
      <w:pPr>
        <w:pStyle w:val="heading"/>
      </w:pPr>
      <w:r>
        <w:t>Spécifications</w:t>
      </w:r>
    </w:p>
    <w:p w14:paraId="70A781D8" w14:textId="77777777" w:rsidR="00DF410E" w:rsidRDefault="00CE7F43">
      <w:pPr>
        <w:pStyle w:val="Author-eListParagraph"/>
        <w:numPr>
          <w:ilvl w:val="0"/>
          <w:numId w:val="596"/>
        </w:numPr>
      </w:pPr>
      <w:r>
        <w:t>Conformes à la [NBN EN 13369:2023] et à la [NBN B 21-600]</w:t>
      </w:r>
    </w:p>
    <w:p w14:paraId="652D38D3" w14:textId="77777777" w:rsidR="00DF410E" w:rsidRDefault="00CE7F43">
      <w:pPr>
        <w:pStyle w:val="Author-eListParagraph"/>
        <w:numPr>
          <w:ilvl w:val="0"/>
          <w:numId w:val="596"/>
        </w:numPr>
      </w:pPr>
      <w:r>
        <w:t>Forme et dimensions : conformément aux indications sur les plans</w:t>
      </w:r>
    </w:p>
    <w:p w14:paraId="12E9D7B0" w14:textId="77777777" w:rsidR="00DF410E" w:rsidRDefault="00CE7F43">
      <w:pPr>
        <w:pStyle w:val="Author-eListParagraph"/>
        <w:numPr>
          <w:ilvl w:val="0"/>
          <w:numId w:val="596"/>
        </w:numPr>
      </w:pPr>
      <w:r>
        <w:t xml:space="preserve">Classe d'exploitation : </w:t>
      </w:r>
      <w:r>
        <w:rPr>
          <w:rStyle w:val="optioncarChar"/>
        </w:rPr>
        <w:t>***</w:t>
      </w:r>
    </w:p>
    <w:p w14:paraId="30043708" w14:textId="77777777" w:rsidR="00DF410E" w:rsidRDefault="00CE7F43">
      <w:pPr>
        <w:pStyle w:val="Author-eListParagraph"/>
        <w:numPr>
          <w:ilvl w:val="0"/>
          <w:numId w:val="596"/>
        </w:numPr>
      </w:pPr>
      <w:r>
        <w:t>Classe d'environnement:</w:t>
      </w:r>
      <w:r>
        <w:rPr>
          <w:rStyle w:val="optioncarChar"/>
        </w:rPr>
        <w:t xml:space="preserve"> ***</w:t>
      </w:r>
    </w:p>
    <w:p w14:paraId="2CBFFB4F" w14:textId="77777777" w:rsidR="00DF410E" w:rsidRDefault="00CE7F43">
      <w:pPr>
        <w:pStyle w:val="Author-eListParagraph"/>
        <w:numPr>
          <w:ilvl w:val="0"/>
          <w:numId w:val="596"/>
        </w:numPr>
      </w:pPr>
      <w:r>
        <w:t>Eléments d’ancrage : avec dispositif de rupture thermique - système à soumettre pour approbation</w:t>
      </w:r>
    </w:p>
    <w:p w14:paraId="5C18D186" w14:textId="77777777" w:rsidR="00DF410E" w:rsidRDefault="00CE7F43">
      <w:pPr>
        <w:pStyle w:val="pheading"/>
      </w:pPr>
      <w:r>
        <w:t>EXÉCUTION / MISE EN ŒUVRE</w:t>
      </w:r>
    </w:p>
    <w:p w14:paraId="3F2AFAFD" w14:textId="77777777" w:rsidR="00DF410E" w:rsidRDefault="00CE7F43">
      <w:r>
        <w:t>Les éléments de</w:t>
      </w:r>
      <w:r>
        <w:rPr>
          <w:rStyle w:val="optioncarChar"/>
        </w:rPr>
        <w:t xml:space="preserve"> garde-corps / rampes</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t>22 Superstructures en béton</w:t>
        </w:r>
      </w:hyperlink>
      <w:r>
        <w:t>).</w:t>
      </w:r>
    </w:p>
    <w:p w14:paraId="6EEB98AB" w14:textId="77777777" w:rsidR="00DF410E" w:rsidRDefault="00CE7F43">
      <w:pPr>
        <w:pStyle w:val="Author-eSectionHeading6"/>
      </w:pPr>
      <w:bookmarkStart w:id="858" w:name="_Toc178838011"/>
      <w:r>
        <w:t>22.32.4a Garde-corps et rampes préfabriqués en béton décoratif / architectonique CCTB 01.04</w:t>
      </w:r>
      <w:bookmarkEnd w:id="858"/>
    </w:p>
    <w:p w14:paraId="5F4CD360" w14:textId="77777777" w:rsidR="00DF410E" w:rsidRDefault="00CE7F43">
      <w:pPr>
        <w:pStyle w:val="Author-eSectionHeading4"/>
      </w:pPr>
      <w:bookmarkStart w:id="859" w:name="_Toc178838012"/>
      <w:r>
        <w:t>22.33 Balcons et terrasses en béton CCTB 01.04</w:t>
      </w:r>
      <w:bookmarkEnd w:id="859"/>
    </w:p>
    <w:p w14:paraId="21560270" w14:textId="77777777" w:rsidR="00DF410E" w:rsidRDefault="00CE7F43">
      <w:pPr>
        <w:pStyle w:val="pheading"/>
      </w:pPr>
      <w:bookmarkStart w:id="860" w:name="516"/>
      <w:bookmarkEnd w:id="860"/>
      <w:r>
        <w:t>DESCRIPTION</w:t>
      </w:r>
    </w:p>
    <w:p w14:paraId="7BA84020" w14:textId="77777777" w:rsidR="00DF410E" w:rsidRDefault="00CE7F43">
      <w:pPr>
        <w:pStyle w:val="pheading"/>
      </w:pPr>
      <w:r>
        <w:t>- Remarques importantes</w:t>
      </w:r>
    </w:p>
    <w:p w14:paraId="00B109BC" w14:textId="77777777" w:rsidR="00DF410E" w:rsidRDefault="00CE7F43">
      <w:r>
        <w:t>Dans certains cas les balcons et terrasses peuvent faire l’objet d’exigences de comportement au feu :</w:t>
      </w:r>
    </w:p>
    <w:p w14:paraId="22CF1963" w14:textId="77777777" w:rsidR="00DF410E" w:rsidRDefault="00CE7F43">
      <w:pPr>
        <w:pStyle w:val="Author-eListParagraph"/>
        <w:numPr>
          <w:ilvl w:val="0"/>
          <w:numId w:val="597"/>
        </w:numPr>
      </w:pPr>
      <w:r>
        <w:t>En vue de limiter la propagation de l’incendie par les façades, il convient (notamment pour les bâtiments moyens et élevés soumis à [AR 1994-07-07]) de prévoir un élément de construction résistant au feu à la jonction entre la façade et la paroi du compartiment (horizontale ou verticale). Une des solutions est la réalisation d’une saillie horizontale présentant au moins E 60 d’une longueur minimale de 60 cm.</w:t>
      </w:r>
    </w:p>
    <w:p w14:paraId="7E0DA542" w14:textId="77777777" w:rsidR="00DF410E" w:rsidRDefault="00CE7F43">
      <w:pPr>
        <w:pStyle w:val="Author-eListParagraph"/>
        <w:numPr>
          <w:ilvl w:val="0"/>
          <w:numId w:val="597"/>
        </w:numPr>
      </w:pPr>
      <w:r>
        <w:t>Les terrasses d’attente accessibles aux échelles du service d’incendie doivent présenter une résistance au feu suffisante (par exemple REI 60 pour les bâtiments moyens soumis à [AR 1994-07-07] et ses modifications)</w:t>
      </w:r>
    </w:p>
    <w:p w14:paraId="6C89C674" w14:textId="77777777" w:rsidR="00DF410E" w:rsidRDefault="00CE7F43">
      <w:r>
        <w:br/>
      </w:r>
      <w:r>
        <w:rPr>
          <w:i/>
          <w:u w:val="single"/>
        </w:rPr>
        <w:t>&gt;Remarque</w:t>
      </w:r>
      <w:r>
        <w:rPr>
          <w:i/>
        </w:rPr>
        <w:t xml:space="preserve"> : </w:t>
      </w:r>
      <w:r>
        <w:br/>
      </w:r>
      <w:r>
        <w:rPr>
          <w:i/>
        </w:rPr>
        <w:t>Les revêtements de balcons, coursives et terrasses présentent la classe B</w:t>
      </w:r>
      <w:r>
        <w:rPr>
          <w:i/>
          <w:vertAlign w:val="subscript"/>
        </w:rPr>
        <w:t>ROOF</w:t>
      </w:r>
      <w:r>
        <w:rPr>
          <w:i/>
        </w:rPr>
        <w:t xml:space="preserve">(t1) (performance au feu extérieur) (par exemple pour les bâtiments soumis à [AR 1994-07-07] et ses modifications]) : voir </w:t>
      </w:r>
      <w:hyperlink r:id="rId102" w:history="1" w:docLocation="515">
        <w:r>
          <w:rPr>
            <w:i/>
          </w:rPr>
          <w:t>46.4 Revêtements de sols extérieurs (des balcons)</w:t>
        </w:r>
      </w:hyperlink>
      <w:r>
        <w:rPr>
          <w:i/>
        </w:rPr>
        <w:t>.</w:t>
      </w:r>
    </w:p>
    <w:p w14:paraId="7C8F40E8" w14:textId="77777777" w:rsidR="00DF410E" w:rsidRDefault="00CE7F43">
      <w:pPr>
        <w:pStyle w:val="Author-eSectionHeading5"/>
      </w:pPr>
      <w:bookmarkStart w:id="861" w:name="_Toc178838013"/>
      <w:r>
        <w:t>22.33.1 Balcons et terrasses en béton coulé en place CCTB 01.12</w:t>
      </w:r>
      <w:bookmarkEnd w:id="861"/>
    </w:p>
    <w:p w14:paraId="1EB9EC5C" w14:textId="77777777" w:rsidR="00DF410E" w:rsidRDefault="00CE7F43">
      <w:pPr>
        <w:pStyle w:val="pheading"/>
      </w:pPr>
      <w:r>
        <w:t>DESCRIPTION</w:t>
      </w:r>
    </w:p>
    <w:p w14:paraId="5DAD446F" w14:textId="77777777" w:rsidR="00DF410E" w:rsidRDefault="00CE7F43">
      <w:pPr>
        <w:pStyle w:val="pheading"/>
      </w:pPr>
      <w:r>
        <w:t>- Définition / Comprend</w:t>
      </w:r>
    </w:p>
    <w:p w14:paraId="5B274D4F" w14:textId="77777777" w:rsidR="00DF410E" w:rsidRDefault="00CE7F43">
      <w:r>
        <w:t xml:space="preserve">Il s'agit de tous les éléments en encorbellement </w:t>
      </w:r>
      <w:r>
        <w:rPr>
          <w:rStyle w:val="optioncarChar"/>
        </w:rPr>
        <w:t>balcons / terrasses / </w:t>
      </w:r>
      <w:r>
        <w:t>exécutés en béton.</w:t>
      </w:r>
    </w:p>
    <w:p w14:paraId="0DCDBAA0" w14:textId="77777777" w:rsidR="00DF410E" w:rsidRDefault="00CE7F43">
      <w:pPr>
        <w:pStyle w:val="pheading"/>
      </w:pPr>
      <w:r>
        <w:t>MATÉRIAUX</w:t>
      </w:r>
    </w:p>
    <w:p w14:paraId="287D4752" w14:textId="77777777" w:rsidR="00DF410E" w:rsidRDefault="00CE7F43">
      <w:pPr>
        <w:pStyle w:val="heading"/>
      </w:pPr>
      <w:r>
        <w:t>Spécifications</w:t>
      </w:r>
    </w:p>
    <w:p w14:paraId="6925DB4B" w14:textId="77777777" w:rsidR="00DF410E" w:rsidRDefault="00CE7F43">
      <w:r>
        <w:t xml:space="preserve">Qualité du béton selon la [NBN EN 206:2013+A2] et la [NBN B 15-001]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1A97BAEB" w14:textId="77777777">
        <w:tc>
          <w:tcPr>
            <w:tcW w:w="1500" w:type="dxa"/>
            <w:noWrap/>
          </w:tcPr>
          <w:p w14:paraId="6C5AC986" w14:textId="77777777" w:rsidR="00DF410E" w:rsidRDefault="00CE7F43">
            <w:pPr>
              <w:jc w:val="center"/>
            </w:pPr>
            <w:r>
              <w:rPr>
                <w:b/>
              </w:rPr>
              <w:t>A</w:t>
            </w:r>
          </w:p>
        </w:tc>
        <w:tc>
          <w:tcPr>
            <w:tcW w:w="1500" w:type="dxa"/>
            <w:noWrap/>
          </w:tcPr>
          <w:p w14:paraId="71F20E7D" w14:textId="77777777" w:rsidR="00DF410E" w:rsidRDefault="00CE7F43">
            <w:pPr>
              <w:jc w:val="center"/>
            </w:pPr>
            <w:r>
              <w:rPr>
                <w:b/>
              </w:rPr>
              <w:t>B1</w:t>
            </w:r>
          </w:p>
        </w:tc>
        <w:tc>
          <w:tcPr>
            <w:tcW w:w="1500" w:type="dxa"/>
            <w:noWrap/>
          </w:tcPr>
          <w:p w14:paraId="6E22D881" w14:textId="77777777" w:rsidR="00DF410E" w:rsidRDefault="00CE7F43">
            <w:pPr>
              <w:jc w:val="center"/>
            </w:pPr>
            <w:r>
              <w:rPr>
                <w:b/>
              </w:rPr>
              <w:t>B2</w:t>
            </w:r>
          </w:p>
        </w:tc>
        <w:tc>
          <w:tcPr>
            <w:tcW w:w="1500" w:type="dxa"/>
            <w:noWrap/>
          </w:tcPr>
          <w:p w14:paraId="49D8B9E2" w14:textId="77777777" w:rsidR="00DF410E" w:rsidRDefault="00CE7F43">
            <w:pPr>
              <w:jc w:val="center"/>
            </w:pPr>
            <w:r>
              <w:rPr>
                <w:b/>
              </w:rPr>
              <w:t>C</w:t>
            </w:r>
          </w:p>
        </w:tc>
        <w:tc>
          <w:tcPr>
            <w:tcW w:w="1500" w:type="dxa"/>
            <w:noWrap/>
          </w:tcPr>
          <w:p w14:paraId="1A5FF808" w14:textId="77777777" w:rsidR="00DF410E" w:rsidRDefault="00CE7F43">
            <w:pPr>
              <w:jc w:val="center"/>
            </w:pPr>
            <w:r>
              <w:rPr>
                <w:b/>
              </w:rPr>
              <w:t>D</w:t>
            </w:r>
          </w:p>
        </w:tc>
        <w:tc>
          <w:tcPr>
            <w:tcW w:w="1500" w:type="dxa"/>
            <w:noWrap/>
          </w:tcPr>
          <w:p w14:paraId="6EBB1814" w14:textId="77777777" w:rsidR="00DF410E" w:rsidRDefault="00CE7F43">
            <w:pPr>
              <w:jc w:val="center"/>
            </w:pPr>
            <w:r>
              <w:rPr>
                <w:b/>
              </w:rPr>
              <w:t>E</w:t>
            </w:r>
          </w:p>
        </w:tc>
      </w:tr>
      <w:tr w:rsidR="00DF410E" w14:paraId="45E62341" w14:textId="77777777">
        <w:tc>
          <w:tcPr>
            <w:tcW w:w="1500" w:type="dxa"/>
            <w:noWrap/>
          </w:tcPr>
          <w:p w14:paraId="49EA8264" w14:textId="77777777" w:rsidR="00DF410E" w:rsidRDefault="00CE7F43">
            <w:pPr>
              <w:jc w:val="center"/>
            </w:pPr>
            <w:r>
              <w:rPr>
                <w:b/>
              </w:rPr>
              <w:t>Classe de résistance</w:t>
            </w:r>
          </w:p>
        </w:tc>
        <w:tc>
          <w:tcPr>
            <w:tcW w:w="1500" w:type="dxa"/>
            <w:noWrap/>
          </w:tcPr>
          <w:p w14:paraId="449918EF" w14:textId="77777777" w:rsidR="00DF410E" w:rsidRDefault="00CE7F43">
            <w:pPr>
              <w:jc w:val="center"/>
            </w:pPr>
            <w:r>
              <w:rPr>
                <w:b/>
              </w:rPr>
              <w:t>Domaine d’application</w:t>
            </w:r>
          </w:p>
        </w:tc>
        <w:tc>
          <w:tcPr>
            <w:tcW w:w="1500" w:type="dxa"/>
            <w:noWrap/>
          </w:tcPr>
          <w:p w14:paraId="405E642A" w14:textId="77777777" w:rsidR="00DF410E" w:rsidRDefault="00CE7F43">
            <w:pPr>
              <w:jc w:val="center"/>
            </w:pPr>
            <w:r>
              <w:rPr>
                <w:b/>
              </w:rPr>
              <w:t>Classe d'environnement</w:t>
            </w:r>
          </w:p>
        </w:tc>
        <w:tc>
          <w:tcPr>
            <w:tcW w:w="1500" w:type="dxa"/>
            <w:noWrap/>
          </w:tcPr>
          <w:p w14:paraId="003562D9" w14:textId="77777777" w:rsidR="00DF410E" w:rsidRDefault="00CE7F43">
            <w:pPr>
              <w:jc w:val="center"/>
            </w:pPr>
            <w:r>
              <w:rPr>
                <w:b/>
              </w:rPr>
              <w:t>Classe de consistance</w:t>
            </w:r>
          </w:p>
        </w:tc>
        <w:tc>
          <w:tcPr>
            <w:tcW w:w="1500" w:type="dxa"/>
            <w:noWrap/>
          </w:tcPr>
          <w:p w14:paraId="1B1DCC2B" w14:textId="77777777" w:rsidR="00DF410E" w:rsidRDefault="00CE7F43">
            <w:pPr>
              <w:jc w:val="center"/>
            </w:pPr>
            <w:r>
              <w:rPr>
                <w:b/>
              </w:rPr>
              <w:t>Granulométrie maximale</w:t>
            </w:r>
          </w:p>
        </w:tc>
        <w:tc>
          <w:tcPr>
            <w:tcW w:w="1500" w:type="dxa"/>
            <w:noWrap/>
          </w:tcPr>
          <w:p w14:paraId="612E3CFA" w14:textId="77777777" w:rsidR="00DF410E" w:rsidRDefault="00CE7F43">
            <w:r>
              <w:rPr>
                <w:b/>
              </w:rPr>
              <w:t>Données complémentaires</w:t>
            </w:r>
          </w:p>
        </w:tc>
      </w:tr>
      <w:tr w:rsidR="00DF410E" w14:paraId="7BBEE6B1" w14:textId="77777777">
        <w:tc>
          <w:tcPr>
            <w:tcW w:w="1500" w:type="dxa"/>
            <w:noWrap/>
          </w:tcPr>
          <w:p w14:paraId="28E345B0" w14:textId="77777777" w:rsidR="00DF410E" w:rsidRDefault="00CE7F43">
            <w:pPr>
              <w:jc w:val="center"/>
            </w:pPr>
            <w:r>
              <w:rPr>
                <w:rStyle w:val="optioncarChar"/>
              </w:rPr>
              <w:t>C25/30 / C30/37 / C35/45 / C45/55 / C50/60 / C55/67 / C60/75 / C70/85 / C80/95 / C90/105</w:t>
            </w:r>
          </w:p>
        </w:tc>
        <w:tc>
          <w:tcPr>
            <w:tcW w:w="1500" w:type="dxa"/>
            <w:noWrap/>
          </w:tcPr>
          <w:p w14:paraId="31F538F2" w14:textId="77777777" w:rsidR="00DF410E" w:rsidRDefault="00CE7F43">
            <w:pPr>
              <w:jc w:val="center"/>
            </w:pPr>
            <w:r>
              <w:t>Béton armé</w:t>
            </w:r>
          </w:p>
          <w:p w14:paraId="279664BF" w14:textId="77777777" w:rsidR="00DF410E" w:rsidRDefault="00DF410E"/>
        </w:tc>
        <w:tc>
          <w:tcPr>
            <w:tcW w:w="1500" w:type="dxa"/>
            <w:noWrap/>
          </w:tcPr>
          <w:p w14:paraId="4FA3BC24" w14:textId="77777777" w:rsidR="00DF410E" w:rsidRDefault="00CE7F43">
            <w:pPr>
              <w:jc w:val="center"/>
            </w:pPr>
            <w:r>
              <w:rPr>
                <w:rStyle w:val="optioncarChar"/>
              </w:rPr>
              <w:t> E0 / EI / EE1 / EE2 / EE3 / EE4 / ES1 / ES2 / ES3 / ES4 / EA1+*** / EA2+***/ EA3+***</w:t>
            </w:r>
          </w:p>
        </w:tc>
        <w:tc>
          <w:tcPr>
            <w:tcW w:w="1500" w:type="dxa"/>
            <w:noWrap/>
          </w:tcPr>
          <w:p w14:paraId="5775993A" w14:textId="77777777" w:rsidR="00DF410E" w:rsidRDefault="00CE7F43">
            <w:pPr>
              <w:jc w:val="center"/>
            </w:pPr>
            <w:r>
              <w:t>au choix de l'entrepreneur :</w:t>
            </w:r>
          </w:p>
          <w:p w14:paraId="55843257" w14:textId="77777777" w:rsidR="00DF410E" w:rsidRDefault="00CE7F43">
            <w:pPr>
              <w:jc w:val="center"/>
            </w:pPr>
            <w:r>
              <w:rPr>
                <w:rStyle w:val="optioncarChar"/>
              </w:rPr>
              <w:t xml:space="preserve">S3 / S4 / S5 </w:t>
            </w:r>
          </w:p>
          <w:p w14:paraId="4B8C1F80" w14:textId="77777777" w:rsidR="00DF410E" w:rsidRDefault="00CE7F43">
            <w:pPr>
              <w:jc w:val="center"/>
            </w:pPr>
            <w:r>
              <w:rPr>
                <w:rStyle w:val="optioncarChar"/>
              </w:rPr>
              <w:t>F1 / F4 / F5 / F6</w:t>
            </w:r>
            <w:r>
              <w:br/>
            </w:r>
          </w:p>
        </w:tc>
        <w:tc>
          <w:tcPr>
            <w:tcW w:w="1500" w:type="dxa"/>
            <w:noWrap/>
          </w:tcPr>
          <w:p w14:paraId="59A160EB" w14:textId="77777777" w:rsidR="00DF410E" w:rsidRDefault="00CE7F43">
            <w:pPr>
              <w:jc w:val="center"/>
            </w:pPr>
            <w:r>
              <w:t>au choix de l'entrepreneur :</w:t>
            </w:r>
          </w:p>
          <w:p w14:paraId="1F0FF509" w14:textId="77777777" w:rsidR="00DF410E" w:rsidRDefault="00CE7F43">
            <w:pPr>
              <w:jc w:val="center"/>
            </w:pPr>
            <w:r>
              <w:rPr>
                <w:rStyle w:val="optioncarChar"/>
              </w:rPr>
              <w:t>6 / 8 / 10 / 11 / 12 / 14 / 16 / 20 / 22 / 32</w:t>
            </w:r>
            <w:r>
              <w:t xml:space="preserve"> mm</w:t>
            </w:r>
          </w:p>
        </w:tc>
        <w:tc>
          <w:tcPr>
            <w:tcW w:w="1500" w:type="dxa"/>
            <w:noWrap/>
          </w:tcPr>
          <w:p w14:paraId="42380FB2" w14:textId="77777777" w:rsidR="00DF410E" w:rsidRDefault="00CE7F43">
            <w:pPr>
              <w:jc w:val="center"/>
            </w:pPr>
            <w:r>
              <w:rPr>
                <w:rStyle w:val="optioncarChar"/>
              </w:rPr>
              <w:t>***</w:t>
            </w:r>
          </w:p>
        </w:tc>
      </w:tr>
    </w:tbl>
    <w:p w14:paraId="65A51BFE"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A2FDDAE" w14:textId="77777777" w:rsidR="00DF410E" w:rsidRDefault="00CE7F43">
      <w:pPr>
        <w:pStyle w:val="Author-eListParagraph"/>
        <w:numPr>
          <w:ilvl w:val="0"/>
          <w:numId w:val="598"/>
        </w:numPr>
      </w:pPr>
      <w:r>
        <w:t xml:space="preserve">Classe de viscosité apparente : </w:t>
      </w:r>
      <w:r>
        <w:rPr>
          <w:rStyle w:val="optioncarChar"/>
        </w:rPr>
        <w:t>VS1 / VS2</w:t>
      </w:r>
      <w:r>
        <w:t xml:space="preserve"> (selon la [NBN EN 12350-8] )</w:t>
      </w:r>
    </w:p>
    <w:p w14:paraId="69582018" w14:textId="77777777" w:rsidR="00DF410E" w:rsidRDefault="00CE7F43">
      <w:pPr>
        <w:pStyle w:val="Author-eListParagraph"/>
        <w:numPr>
          <w:ilvl w:val="0"/>
          <w:numId w:val="59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4D42849" w14:textId="77777777" w:rsidR="00DF410E" w:rsidRDefault="00CE7F43">
      <w:pPr>
        <w:pStyle w:val="Author-eListParagraph"/>
        <w:numPr>
          <w:ilvl w:val="0"/>
          <w:numId w:val="59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A1A641F"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317FA672" w14:textId="77777777" w:rsidR="00DF410E" w:rsidRDefault="00CE7F43">
      <w:pPr>
        <w:pStyle w:val="Author-eListParagraph"/>
        <w:numPr>
          <w:ilvl w:val="0"/>
          <w:numId w:val="59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09212B33" w14:textId="77777777" w:rsidR="00DF410E" w:rsidRDefault="00CE7F43">
      <w:pPr>
        <w:pStyle w:val="Author-eListParagraph"/>
        <w:numPr>
          <w:ilvl w:val="0"/>
          <w:numId w:val="599"/>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882F774" w14:textId="77777777" w:rsidR="00DF410E" w:rsidRDefault="00CE7F43">
      <w:pPr>
        <w:pStyle w:val="Author-eListParagraph"/>
        <w:numPr>
          <w:ilvl w:val="0"/>
          <w:numId w:val="599"/>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xml:space="preserve"> (par défaut)</w:t>
      </w:r>
      <w:r>
        <w:rPr>
          <w:rStyle w:val="optioncarChar"/>
        </w:rPr>
        <w:t> / ***x***x***x***</w:t>
      </w:r>
      <w:r>
        <w:t xml:space="preserve"> mm.</w:t>
      </w:r>
    </w:p>
    <w:p w14:paraId="335BF243" w14:textId="77777777" w:rsidR="00DF410E" w:rsidRDefault="00CE7F43">
      <w:pPr>
        <w:pStyle w:val="heading"/>
      </w:pPr>
      <w:r>
        <w:t>Options</w:t>
      </w:r>
    </w:p>
    <w:p w14:paraId="6969B500" w14:textId="77777777" w:rsidR="00DF410E" w:rsidRDefault="00CE7F43">
      <w:pPr>
        <w:pStyle w:val="Author-eListParagraph"/>
        <w:numPr>
          <w:ilvl w:val="0"/>
          <w:numId w:val="600"/>
        </w:numPr>
      </w:pPr>
      <w:r>
        <w:t>Résistance au feu : dans certains cas, les balcons et terrasses sont soumis à des exigences de résistance au feu (</w:t>
      </w:r>
      <w:hyperlink w:anchor="516" w:history="1">
        <w:r>
          <w:t>22.33 Balcons et terrasses en béton</w:t>
        </w:r>
      </w:hyperlink>
      <w:r>
        <w:t xml:space="preserve">) : sans fonction portante </w:t>
      </w:r>
      <w:r>
        <w:rPr>
          <w:rStyle w:val="optioncarChar"/>
        </w:rPr>
        <w:t>E 60 </w:t>
      </w:r>
      <w:r>
        <w:t>(par défaut)</w:t>
      </w:r>
      <w:r>
        <w:rPr>
          <w:rStyle w:val="optioncarChar"/>
        </w:rPr>
        <w:t xml:space="preserve"> / E *** </w:t>
      </w:r>
      <w:r>
        <w:t>et avec fonction portante</w:t>
      </w:r>
      <w:r>
        <w:rPr>
          <w:rStyle w:val="optioncarChar"/>
        </w:rPr>
        <w:t> REI 60 </w:t>
      </w:r>
      <w:r>
        <w:t>(par défaut)</w:t>
      </w:r>
      <w:r>
        <w:rPr>
          <w:rStyle w:val="optioncarChar"/>
        </w:rPr>
        <w:t xml:space="preserve"> / REI *** </w:t>
      </w:r>
    </w:p>
    <w:p w14:paraId="1751B7D7" w14:textId="77777777" w:rsidR="00DF410E" w:rsidRDefault="00CE7F43">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14:paraId="350669BB" w14:textId="77777777" w:rsidR="00DF410E" w:rsidRDefault="00CE7F43">
      <w:pPr>
        <w:pStyle w:val="pheading"/>
      </w:pPr>
      <w:r>
        <w:t>EXÉCUTION / MISE EN ŒUVRE</w:t>
      </w:r>
    </w:p>
    <w:p w14:paraId="5212EE5E" w14:textId="77777777" w:rsidR="00DF410E" w:rsidRDefault="00CE7F43">
      <w:r>
        <w:t xml:space="preserve">L'étude est à charge </w:t>
      </w:r>
      <w:r>
        <w:rPr>
          <w:rStyle w:val="optioncarChar"/>
        </w:rPr>
        <w:t>de l'entrepreneur / du maître de l'ouvrage / du bureau d’étude</w:t>
      </w:r>
      <w:r>
        <w:t xml:space="preserve"> ( voir également </w:t>
      </w:r>
      <w:hyperlink w:anchor="87" w:history="1">
        <w:r>
          <w:t>22 Superstructures en béton</w:t>
        </w:r>
      </w:hyperlink>
      <w:r>
        <w:t xml:space="preserve"> ).</w:t>
      </w:r>
      <w:r>
        <w:br/>
        <w:t>Les éléments en encorbellement sont coulés sur place en </w:t>
      </w:r>
      <w:r>
        <w:rPr>
          <w:rStyle w:val="optioncarChar"/>
        </w:rPr>
        <w:t>une seule </w:t>
      </w:r>
      <w:r>
        <w:t>(par défaut)</w:t>
      </w:r>
      <w:r>
        <w:rPr>
          <w:rStyle w:val="optioncarChar"/>
        </w:rPr>
        <w:t xml:space="preserve"> / ***</w:t>
      </w:r>
      <w:r>
        <w:t> fois.</w:t>
      </w:r>
      <w:r>
        <w:br/>
        <w:t xml:space="preserve">Le décoffrage se fait au plus tôt </w:t>
      </w:r>
      <w:r>
        <w:rPr>
          <w:rStyle w:val="optioncarChar"/>
        </w:rPr>
        <w:t xml:space="preserve">*** </w:t>
      </w:r>
      <w:r>
        <w:t xml:space="preserve">jours </w:t>
      </w:r>
      <w:r>
        <w:rPr>
          <w:rStyle w:val="optioncarChar"/>
        </w:rPr>
        <w:t>après le coulage du béton / selon les directives de l’ingénieur. </w:t>
      </w:r>
    </w:p>
    <w:p w14:paraId="3B4F7845" w14:textId="77777777" w:rsidR="00DF410E" w:rsidRDefault="00CE7F43">
      <w:pPr>
        <w:pStyle w:val="Author-eSectionHeading6"/>
      </w:pPr>
      <w:bookmarkStart w:id="862" w:name="_Toc178838014"/>
      <w:r>
        <w:t>22.33.1a Balcons et terrasses en béton coulé en place CCTB 01.11</w:t>
      </w:r>
      <w:bookmarkEnd w:id="862"/>
    </w:p>
    <w:p w14:paraId="72C5CD06" w14:textId="77777777" w:rsidR="00DF410E" w:rsidRDefault="00CE7F43">
      <w:pPr>
        <w:pStyle w:val="pheading"/>
      </w:pPr>
      <w:r>
        <w:t>MATÉRIAUX</w:t>
      </w:r>
    </w:p>
    <w:p w14:paraId="295756D8" w14:textId="77777777" w:rsidR="00DF410E" w:rsidRDefault="00CE7F43">
      <w:pPr>
        <w:pStyle w:val="pheading"/>
      </w:pPr>
      <w:r>
        <w:t>- Finitions</w:t>
      </w:r>
    </w:p>
    <w:p w14:paraId="16AB5318" w14:textId="77777777" w:rsidR="00DF410E" w:rsidRDefault="00CE7F43">
      <w:r>
        <w:t xml:space="preserve">Surface de béton : </w:t>
      </w:r>
      <w:r>
        <w:rPr>
          <w:rStyle w:val="optioncarChar"/>
        </w:rPr>
        <w:t>brute et lisse</w:t>
      </w:r>
      <w:r>
        <w:t xml:space="preserve"> (par défaut) </w:t>
      </w:r>
      <w:r>
        <w:rPr>
          <w:rStyle w:val="optioncarChar"/>
        </w:rPr>
        <w:t>/ rugueux</w:t>
      </w:r>
      <w:r>
        <w:br/>
      </w:r>
    </w:p>
    <w:p w14:paraId="459F8327" w14:textId="77777777" w:rsidR="00DF410E" w:rsidRDefault="00CE7F43">
      <w:pPr>
        <w:pStyle w:val="pheading"/>
      </w:pPr>
      <w:r>
        <w:t>EXÉCUTION / MISE EN ŒUVRE</w:t>
      </w:r>
    </w:p>
    <w:p w14:paraId="13775B4B" w14:textId="77777777" w:rsidR="00DF410E" w:rsidRDefault="00CE7F43">
      <w:pPr>
        <w:pStyle w:val="pheading"/>
      </w:pPr>
      <w:r>
        <w:t>- Notes d’exécution complémentaires</w:t>
      </w:r>
    </w:p>
    <w:p w14:paraId="64F603D7" w14:textId="77777777" w:rsidR="00DF410E" w:rsidRDefault="00CE7F43">
      <w:r>
        <w:t>Raccords visibles : joint en forme de</w:t>
      </w:r>
      <w:r>
        <w:rPr>
          <w:rStyle w:val="optioncarChar"/>
        </w:rPr>
        <w:t> V </w:t>
      </w:r>
      <w:r>
        <w:t>(par défaut)</w:t>
      </w:r>
      <w:r>
        <w:rPr>
          <w:rStyle w:val="optioncarChar"/>
        </w:rPr>
        <w:t xml:space="preserve"> /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4CFE46C4" w14:textId="77777777" w:rsidR="00DF410E" w:rsidRDefault="00CE7F43">
      <w:pPr>
        <w:pStyle w:val="pheading"/>
      </w:pPr>
      <w:r>
        <w:t>MESURAGE</w:t>
      </w:r>
    </w:p>
    <w:p w14:paraId="51EDAA1D" w14:textId="77777777" w:rsidR="00DF410E" w:rsidRDefault="00CE7F43">
      <w:pPr>
        <w:pStyle w:val="pheading"/>
      </w:pPr>
      <w:r>
        <w:t>- unité de mesure:</w:t>
      </w:r>
    </w:p>
    <w:p w14:paraId="25A3FD5E" w14:textId="77777777" w:rsidR="00DF410E" w:rsidRDefault="00CE7F43">
      <w:r>
        <w:t>m³ pour le béton</w:t>
      </w:r>
      <w:r>
        <w:br/>
        <w:t>kg pour les barres d’armatures</w:t>
      </w:r>
      <w:r>
        <w:br/>
        <w:t>PM, coffrages</w:t>
      </w:r>
    </w:p>
    <w:p w14:paraId="1F3BC908" w14:textId="77777777" w:rsidR="00DF410E" w:rsidRDefault="00CE7F43">
      <w:pPr>
        <w:pStyle w:val="pheading"/>
      </w:pPr>
      <w:r>
        <w:t>- nature du marché:</w:t>
      </w:r>
    </w:p>
    <w:p w14:paraId="539BEF21" w14:textId="77777777" w:rsidR="00DF410E" w:rsidRDefault="00CE7F43">
      <w:r>
        <w:t>QF</w:t>
      </w:r>
    </w:p>
    <w:p w14:paraId="203199CF" w14:textId="77777777" w:rsidR="00DF410E" w:rsidRDefault="00CE7F43">
      <w:pPr>
        <w:pStyle w:val="Author-eSectionHeading5"/>
      </w:pPr>
      <w:bookmarkStart w:id="863" w:name="_Toc178838015"/>
      <w:r>
        <w:t>22.33.2 Balcons et terrasses en béton apparent (esthétique) coulé en place CCTB 01.12</w:t>
      </w:r>
      <w:bookmarkEnd w:id="863"/>
    </w:p>
    <w:p w14:paraId="29E6655B" w14:textId="77777777" w:rsidR="00DF410E" w:rsidRDefault="00CE7F43">
      <w:pPr>
        <w:pStyle w:val="pheading"/>
      </w:pPr>
      <w:r>
        <w:t>DESCRIPTION</w:t>
      </w:r>
    </w:p>
    <w:p w14:paraId="06CB0EA8" w14:textId="77777777" w:rsidR="00DF410E" w:rsidRDefault="00CE7F43">
      <w:pPr>
        <w:pStyle w:val="pheading"/>
      </w:pPr>
      <w:r>
        <w:t>- Définition / Comprend</w:t>
      </w:r>
    </w:p>
    <w:p w14:paraId="36FDF828" w14:textId="77777777" w:rsidR="00DF410E" w:rsidRDefault="00CE7F43">
      <w:r>
        <w:t xml:space="preserve">Il s'agit de tous les éléments en encorbellement </w:t>
      </w:r>
      <w:r>
        <w:rPr>
          <w:rStyle w:val="optioncarChar"/>
        </w:rPr>
        <w:t xml:space="preserve">balcons / terrasses </w:t>
      </w:r>
      <w:r>
        <w:t>exécutés en béton apparent coulés en place</w:t>
      </w:r>
    </w:p>
    <w:p w14:paraId="4825E80E" w14:textId="77777777" w:rsidR="00DF410E" w:rsidRDefault="00CE7F43">
      <w:pPr>
        <w:pStyle w:val="pheading"/>
      </w:pPr>
      <w:r>
        <w:t>MATÉRIAUX</w:t>
      </w:r>
    </w:p>
    <w:p w14:paraId="71442C89" w14:textId="77777777" w:rsidR="00DF410E" w:rsidRDefault="00CE7F43">
      <w:pPr>
        <w:pStyle w:val="heading"/>
      </w:pPr>
      <w:r>
        <w:t>Spécifications</w:t>
      </w:r>
    </w:p>
    <w:p w14:paraId="5F6D8099" w14:textId="77777777" w:rsidR="00DF410E" w:rsidRDefault="00CE7F43">
      <w:r>
        <w:t xml:space="preserve">Qualité du béton selon la [NBN EN 206:2013+A2] et la [NBN B 15-001] (voir également </w:t>
      </w:r>
      <w:hyperlink w:anchor="87"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1B8DF29A" w14:textId="77777777">
        <w:tc>
          <w:tcPr>
            <w:tcW w:w="1500" w:type="dxa"/>
            <w:noWrap/>
          </w:tcPr>
          <w:p w14:paraId="06EB5F1A" w14:textId="77777777" w:rsidR="00DF410E" w:rsidRDefault="00CE7F43">
            <w:pPr>
              <w:jc w:val="center"/>
            </w:pPr>
            <w:r>
              <w:rPr>
                <w:b/>
              </w:rPr>
              <w:t>A</w:t>
            </w:r>
          </w:p>
        </w:tc>
        <w:tc>
          <w:tcPr>
            <w:tcW w:w="1500" w:type="dxa"/>
            <w:noWrap/>
          </w:tcPr>
          <w:p w14:paraId="0EAC230B" w14:textId="77777777" w:rsidR="00DF410E" w:rsidRDefault="00CE7F43">
            <w:pPr>
              <w:jc w:val="center"/>
            </w:pPr>
            <w:r>
              <w:rPr>
                <w:b/>
              </w:rPr>
              <w:t>B1</w:t>
            </w:r>
          </w:p>
        </w:tc>
        <w:tc>
          <w:tcPr>
            <w:tcW w:w="1500" w:type="dxa"/>
            <w:noWrap/>
          </w:tcPr>
          <w:p w14:paraId="7CC9121E" w14:textId="77777777" w:rsidR="00DF410E" w:rsidRDefault="00CE7F43">
            <w:pPr>
              <w:jc w:val="center"/>
            </w:pPr>
            <w:r>
              <w:rPr>
                <w:b/>
              </w:rPr>
              <w:t>B2</w:t>
            </w:r>
          </w:p>
        </w:tc>
        <w:tc>
          <w:tcPr>
            <w:tcW w:w="1500" w:type="dxa"/>
            <w:noWrap/>
          </w:tcPr>
          <w:p w14:paraId="48C900C9" w14:textId="77777777" w:rsidR="00DF410E" w:rsidRDefault="00CE7F43">
            <w:pPr>
              <w:jc w:val="center"/>
            </w:pPr>
            <w:r>
              <w:rPr>
                <w:b/>
              </w:rPr>
              <w:t>C</w:t>
            </w:r>
          </w:p>
        </w:tc>
        <w:tc>
          <w:tcPr>
            <w:tcW w:w="1500" w:type="dxa"/>
            <w:noWrap/>
          </w:tcPr>
          <w:p w14:paraId="622FEA78" w14:textId="77777777" w:rsidR="00DF410E" w:rsidRDefault="00CE7F43">
            <w:pPr>
              <w:jc w:val="center"/>
            </w:pPr>
            <w:r>
              <w:rPr>
                <w:b/>
              </w:rPr>
              <w:t>D</w:t>
            </w:r>
          </w:p>
        </w:tc>
        <w:tc>
          <w:tcPr>
            <w:tcW w:w="1500" w:type="dxa"/>
            <w:noWrap/>
          </w:tcPr>
          <w:p w14:paraId="6342FA6C" w14:textId="77777777" w:rsidR="00DF410E" w:rsidRDefault="00CE7F43">
            <w:pPr>
              <w:jc w:val="center"/>
            </w:pPr>
            <w:r>
              <w:rPr>
                <w:b/>
              </w:rPr>
              <w:t>E</w:t>
            </w:r>
          </w:p>
        </w:tc>
      </w:tr>
      <w:tr w:rsidR="00DF410E" w14:paraId="08E81CD3" w14:textId="77777777">
        <w:tc>
          <w:tcPr>
            <w:tcW w:w="1500" w:type="dxa"/>
            <w:noWrap/>
          </w:tcPr>
          <w:p w14:paraId="2FA0D0F8" w14:textId="77777777" w:rsidR="00DF410E" w:rsidRDefault="00CE7F43">
            <w:pPr>
              <w:jc w:val="center"/>
            </w:pPr>
            <w:r>
              <w:rPr>
                <w:b/>
              </w:rPr>
              <w:t>Classe de résistance</w:t>
            </w:r>
          </w:p>
        </w:tc>
        <w:tc>
          <w:tcPr>
            <w:tcW w:w="1500" w:type="dxa"/>
            <w:noWrap/>
          </w:tcPr>
          <w:p w14:paraId="477D7776" w14:textId="77777777" w:rsidR="00DF410E" w:rsidRDefault="00CE7F43">
            <w:pPr>
              <w:jc w:val="center"/>
            </w:pPr>
            <w:r>
              <w:rPr>
                <w:b/>
              </w:rPr>
              <w:t>Domaine d’application</w:t>
            </w:r>
          </w:p>
        </w:tc>
        <w:tc>
          <w:tcPr>
            <w:tcW w:w="1500" w:type="dxa"/>
            <w:noWrap/>
          </w:tcPr>
          <w:p w14:paraId="335CBAA4" w14:textId="77777777" w:rsidR="00DF410E" w:rsidRDefault="00CE7F43">
            <w:pPr>
              <w:jc w:val="center"/>
            </w:pPr>
            <w:r>
              <w:rPr>
                <w:b/>
              </w:rPr>
              <w:t>Classe d'environnement</w:t>
            </w:r>
          </w:p>
        </w:tc>
        <w:tc>
          <w:tcPr>
            <w:tcW w:w="1500" w:type="dxa"/>
            <w:noWrap/>
          </w:tcPr>
          <w:p w14:paraId="0770F814" w14:textId="77777777" w:rsidR="00DF410E" w:rsidRDefault="00CE7F43">
            <w:pPr>
              <w:jc w:val="center"/>
            </w:pPr>
            <w:r>
              <w:rPr>
                <w:b/>
              </w:rPr>
              <w:t>Classe de consistance</w:t>
            </w:r>
          </w:p>
        </w:tc>
        <w:tc>
          <w:tcPr>
            <w:tcW w:w="1500" w:type="dxa"/>
            <w:noWrap/>
          </w:tcPr>
          <w:p w14:paraId="13E9CA38" w14:textId="77777777" w:rsidR="00DF410E" w:rsidRDefault="00CE7F43">
            <w:pPr>
              <w:jc w:val="center"/>
            </w:pPr>
            <w:r>
              <w:rPr>
                <w:b/>
              </w:rPr>
              <w:t>Granulométrie maximale</w:t>
            </w:r>
          </w:p>
        </w:tc>
        <w:tc>
          <w:tcPr>
            <w:tcW w:w="1500" w:type="dxa"/>
            <w:noWrap/>
          </w:tcPr>
          <w:p w14:paraId="0AFF8D9B" w14:textId="77777777" w:rsidR="00DF410E" w:rsidRDefault="00CE7F43">
            <w:r>
              <w:rPr>
                <w:b/>
              </w:rPr>
              <w:t>Données complémentaires</w:t>
            </w:r>
          </w:p>
        </w:tc>
      </w:tr>
      <w:tr w:rsidR="00DF410E" w14:paraId="18889894" w14:textId="77777777">
        <w:tc>
          <w:tcPr>
            <w:tcW w:w="1500" w:type="dxa"/>
            <w:noWrap/>
          </w:tcPr>
          <w:p w14:paraId="4BA66FE4" w14:textId="77777777" w:rsidR="00DF410E" w:rsidRDefault="00CE7F43">
            <w:pPr>
              <w:jc w:val="center"/>
            </w:pPr>
            <w:r>
              <w:rPr>
                <w:rStyle w:val="optioncarChar"/>
              </w:rPr>
              <w:t>C25/30 / C30/37 / C35/45 / C45/55 / C50/60 / C55/67 / C60/75 / C70/85 / C80/95 / C90/105</w:t>
            </w:r>
          </w:p>
        </w:tc>
        <w:tc>
          <w:tcPr>
            <w:tcW w:w="1500" w:type="dxa"/>
            <w:noWrap/>
          </w:tcPr>
          <w:p w14:paraId="4B1F623B" w14:textId="77777777" w:rsidR="00DF410E" w:rsidRDefault="00CE7F43">
            <w:pPr>
              <w:jc w:val="center"/>
            </w:pPr>
            <w:r>
              <w:t>Béton armé</w:t>
            </w:r>
          </w:p>
          <w:p w14:paraId="0E085A90" w14:textId="77777777" w:rsidR="00DF410E" w:rsidRDefault="00DF410E"/>
        </w:tc>
        <w:tc>
          <w:tcPr>
            <w:tcW w:w="1500" w:type="dxa"/>
            <w:noWrap/>
          </w:tcPr>
          <w:p w14:paraId="7186F3B7" w14:textId="77777777" w:rsidR="00DF410E" w:rsidRDefault="00CE7F43">
            <w:pPr>
              <w:jc w:val="center"/>
            </w:pPr>
            <w:r>
              <w:rPr>
                <w:rStyle w:val="optioncarChar"/>
              </w:rPr>
              <w:t>E0 / EI / EE1 / EE2 / EE3 / EE4 / ES1 / ES2 / ES3 / ES4 / EA1+*** / EA2+***/ EA3+***</w:t>
            </w:r>
          </w:p>
        </w:tc>
        <w:tc>
          <w:tcPr>
            <w:tcW w:w="1500" w:type="dxa"/>
            <w:noWrap/>
          </w:tcPr>
          <w:p w14:paraId="6140B687" w14:textId="77777777" w:rsidR="00DF410E" w:rsidRDefault="00CE7F43">
            <w:pPr>
              <w:jc w:val="center"/>
            </w:pPr>
            <w:r>
              <w:t>au choix de l'entrepreneur :</w:t>
            </w:r>
          </w:p>
          <w:p w14:paraId="0AA74D69" w14:textId="77777777" w:rsidR="00DF410E" w:rsidRDefault="00CE7F43">
            <w:pPr>
              <w:jc w:val="center"/>
            </w:pPr>
            <w:r>
              <w:rPr>
                <w:rStyle w:val="optioncarChar"/>
              </w:rPr>
              <w:t>S3 / S4 / S5 /</w:t>
            </w:r>
            <w:r>
              <w:br/>
            </w:r>
          </w:p>
          <w:p w14:paraId="4F516BFE" w14:textId="77777777" w:rsidR="00DF410E" w:rsidRDefault="00CE7F43">
            <w:pPr>
              <w:jc w:val="center"/>
            </w:pPr>
            <w:r>
              <w:rPr>
                <w:rStyle w:val="optioncarChar"/>
              </w:rPr>
              <w:t>F3 / F4 / F5 / F6</w:t>
            </w:r>
            <w:r>
              <w:br/>
            </w:r>
          </w:p>
        </w:tc>
        <w:tc>
          <w:tcPr>
            <w:tcW w:w="1500" w:type="dxa"/>
            <w:noWrap/>
          </w:tcPr>
          <w:p w14:paraId="01A8C79E" w14:textId="77777777" w:rsidR="00DF410E" w:rsidRDefault="00CE7F43">
            <w:pPr>
              <w:jc w:val="center"/>
            </w:pPr>
            <w:r>
              <w:t>au choix de l'entrepreneur :</w:t>
            </w:r>
          </w:p>
          <w:p w14:paraId="42FEB1CB" w14:textId="77777777" w:rsidR="00DF410E" w:rsidRDefault="00CE7F43">
            <w:pPr>
              <w:jc w:val="center"/>
            </w:pPr>
            <w:r>
              <w:rPr>
                <w:rStyle w:val="optioncarChar"/>
              </w:rPr>
              <w:t>6 / 8 / 10 / 11 / 12 / 14 / 16 / 20 / 22 / 32</w:t>
            </w:r>
            <w:r>
              <w:t xml:space="preserve"> mm</w:t>
            </w:r>
          </w:p>
        </w:tc>
        <w:tc>
          <w:tcPr>
            <w:tcW w:w="1500" w:type="dxa"/>
            <w:noWrap/>
          </w:tcPr>
          <w:p w14:paraId="3FF797D5" w14:textId="77777777" w:rsidR="00DF410E" w:rsidRDefault="00CE7F43">
            <w:pPr>
              <w:jc w:val="center"/>
            </w:pPr>
            <w:r>
              <w:rPr>
                <w:rStyle w:val="optioncarChar"/>
              </w:rPr>
              <w:t>***</w:t>
            </w:r>
          </w:p>
        </w:tc>
      </w:tr>
    </w:tbl>
    <w:p w14:paraId="4B522335"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291D7FFF" w14:textId="77777777" w:rsidR="00DF410E" w:rsidRDefault="00CE7F43">
      <w:pPr>
        <w:pStyle w:val="Author-eListParagraph"/>
        <w:numPr>
          <w:ilvl w:val="0"/>
          <w:numId w:val="601"/>
        </w:numPr>
      </w:pPr>
      <w:r>
        <w:t xml:space="preserve">Classe de viscosité apparente : </w:t>
      </w:r>
      <w:r>
        <w:rPr>
          <w:rStyle w:val="optioncarChar"/>
        </w:rPr>
        <w:t>VS1 / VS2</w:t>
      </w:r>
      <w:r>
        <w:t xml:space="preserve"> (selon la [NBN EN 12350-8] )</w:t>
      </w:r>
    </w:p>
    <w:p w14:paraId="6BC42802" w14:textId="77777777" w:rsidR="00DF410E" w:rsidRDefault="00CE7F43">
      <w:pPr>
        <w:pStyle w:val="Author-eListParagraph"/>
        <w:numPr>
          <w:ilvl w:val="0"/>
          <w:numId w:val="60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F3FD4C7" w14:textId="77777777" w:rsidR="00DF410E" w:rsidRDefault="00CE7F43">
      <w:pPr>
        <w:pStyle w:val="Author-eListParagraph"/>
        <w:numPr>
          <w:ilvl w:val="0"/>
          <w:numId w:val="60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ED2C078"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 (voir </w:t>
      </w:r>
      <w:hyperlink w:anchor="231" w:history="1">
        <w:r>
          <w:t>22.51 Armatures pour béton</w:t>
        </w:r>
      </w:hyperlink>
      <w:r>
        <w:t>)</w:t>
      </w:r>
    </w:p>
    <w:p w14:paraId="662E7DD4" w14:textId="77777777" w:rsidR="00DF410E" w:rsidRDefault="00CE7F43">
      <w:pPr>
        <w:pStyle w:val="Author-eListParagraph"/>
        <w:numPr>
          <w:ilvl w:val="0"/>
          <w:numId w:val="602"/>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209E1DBC" w14:textId="77777777" w:rsidR="00DF410E" w:rsidRDefault="00CE7F43">
      <w:pPr>
        <w:pStyle w:val="Author-eListParagraph"/>
        <w:numPr>
          <w:ilvl w:val="0"/>
          <w:numId w:val="60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CE78877" w14:textId="77777777" w:rsidR="00DF410E" w:rsidRDefault="00CE7F43">
      <w:pPr>
        <w:pStyle w:val="Author-eListParagraph"/>
        <w:numPr>
          <w:ilvl w:val="0"/>
          <w:numId w:val="602"/>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 </w:t>
      </w:r>
      <w:r>
        <w:t>(par défaut)</w:t>
      </w:r>
      <w:r>
        <w:rPr>
          <w:rStyle w:val="optioncarChar"/>
        </w:rPr>
        <w:t xml:space="preserve"> / ***x***x***x***</w:t>
      </w:r>
      <w:r>
        <w:t xml:space="preserve"> mm.</w:t>
      </w:r>
    </w:p>
    <w:p w14:paraId="096B2EE6" w14:textId="77777777" w:rsidR="00DF410E" w:rsidRDefault="00CE7F43">
      <w:pPr>
        <w:pStyle w:val="heading"/>
      </w:pPr>
      <w:r>
        <w:t>Options</w:t>
      </w:r>
    </w:p>
    <w:p w14:paraId="6FF2F628" w14:textId="77777777" w:rsidR="00DF410E" w:rsidRDefault="00CE7F43">
      <w:pPr>
        <w:pStyle w:val="Author-eListParagraph"/>
        <w:numPr>
          <w:ilvl w:val="0"/>
          <w:numId w:val="603"/>
        </w:numPr>
      </w:pPr>
      <w:r>
        <w:t>Résistance au feu : dans certains cas, les balcons et terrasses sont soumis à des exigences de résistance au feu (</w:t>
      </w:r>
      <w:hyperlink w:anchor="516" w:history="1">
        <w:r>
          <w:t>22.33 Balcons et terrasses en béton</w:t>
        </w:r>
      </w:hyperlink>
      <w:r>
        <w:t xml:space="preserve">) : sans fonction portante </w:t>
      </w:r>
      <w:r>
        <w:rPr>
          <w:rStyle w:val="optioncarChar"/>
        </w:rPr>
        <w:t>E 60 </w:t>
      </w:r>
      <w:r>
        <w:t>(par défaut)</w:t>
      </w:r>
      <w:r>
        <w:rPr>
          <w:rStyle w:val="optioncarChar"/>
        </w:rPr>
        <w:t xml:space="preserve"> / E *** </w:t>
      </w:r>
      <w:r>
        <w:t>et avec fonction portante</w:t>
      </w:r>
      <w:r>
        <w:rPr>
          <w:rStyle w:val="optioncarChar"/>
        </w:rPr>
        <w:t> REI 60 </w:t>
      </w:r>
      <w:r>
        <w:t>(par défaut)</w:t>
      </w:r>
      <w:r>
        <w:rPr>
          <w:rStyle w:val="optioncarChar"/>
        </w:rPr>
        <w:t xml:space="preserve"> / REI *** </w:t>
      </w:r>
    </w:p>
    <w:p w14:paraId="56DA5D1B" w14:textId="77777777" w:rsidR="00DF410E" w:rsidRDefault="00CE7F43">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14:paraId="1232C953" w14:textId="77777777" w:rsidR="00DF410E" w:rsidRDefault="00CE7F43">
      <w:pPr>
        <w:pStyle w:val="pheading"/>
      </w:pPr>
      <w:r>
        <w:t>EXÉCUTION / MISE EN ŒUVRE</w:t>
      </w:r>
    </w:p>
    <w:p w14:paraId="416239F0" w14:textId="77777777" w:rsidR="00DF410E" w:rsidRDefault="00CE7F43">
      <w:r>
        <w:t xml:space="preserve">L'étude est à charge </w:t>
      </w:r>
      <w:r>
        <w:rPr>
          <w:rStyle w:val="optioncarChar"/>
        </w:rPr>
        <w:t>de l'entrepreneur / du maître de l'ouvrage / du bureau d’étude</w:t>
      </w:r>
      <w:r>
        <w:t xml:space="preserve"> ( voir également </w:t>
      </w:r>
      <w:hyperlink w:anchor="87" w:history="1">
        <w:r>
          <w:t>22 Superstructures en béton</w:t>
        </w:r>
      </w:hyperlink>
      <w:r>
        <w:t>).</w:t>
      </w:r>
      <w:r>
        <w:br/>
        <w:t xml:space="preserve">Les éléments en encorbellement sont coulés sur place en </w:t>
      </w:r>
      <w:r>
        <w:rPr>
          <w:rStyle w:val="optioncarChar"/>
        </w:rPr>
        <w:t>une seule </w:t>
      </w:r>
      <w:r>
        <w:t>(par défaut)</w:t>
      </w:r>
      <w:r>
        <w:rPr>
          <w:rStyle w:val="optioncarChar"/>
        </w:rPr>
        <w:t xml:space="preserve"> / ***</w:t>
      </w:r>
      <w:r>
        <w:t> fois.</w:t>
      </w:r>
      <w:r>
        <w:br/>
        <w:t xml:space="preserve">Le décoffrage se fait au plus tôt  </w:t>
      </w:r>
      <w:r>
        <w:rPr>
          <w:rStyle w:val="optioncarChar"/>
        </w:rPr>
        <w:t xml:space="preserve">*** </w:t>
      </w:r>
      <w:r>
        <w:t xml:space="preserve">jours </w:t>
      </w:r>
      <w:r>
        <w:rPr>
          <w:rStyle w:val="optioncarChar"/>
        </w:rPr>
        <w:t>après le coulage du béton / selon les directives de l’ingénieur.</w:t>
      </w:r>
    </w:p>
    <w:p w14:paraId="70557C49" w14:textId="77777777" w:rsidR="00DF410E" w:rsidRDefault="00CE7F43">
      <w:pPr>
        <w:pStyle w:val="Author-eSectionHeading6"/>
      </w:pPr>
      <w:bookmarkStart w:id="864" w:name="_Toc178838016"/>
      <w:r>
        <w:t>22.33.2a Balcons et terrasses en béton apparent (esthétique) coulé en place CCTB 01.11</w:t>
      </w:r>
      <w:bookmarkEnd w:id="864"/>
    </w:p>
    <w:p w14:paraId="1A8DDD08" w14:textId="77777777" w:rsidR="00DF410E" w:rsidRDefault="00CE7F43">
      <w:pPr>
        <w:pStyle w:val="pheading"/>
      </w:pPr>
      <w:r>
        <w:t>MATÉRIAUX</w:t>
      </w:r>
    </w:p>
    <w:p w14:paraId="4F652D95" w14:textId="77777777" w:rsidR="00DF410E" w:rsidRDefault="00CE7F43">
      <w:pPr>
        <w:pStyle w:val="pheading"/>
      </w:pPr>
      <w:r>
        <w:t>- Finitions</w:t>
      </w:r>
    </w:p>
    <w:p w14:paraId="77929760"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4DC62D71" w14:textId="77777777" w:rsidR="00DF410E" w:rsidRDefault="00CE7F43">
      <w:r>
        <w:t xml:space="preserve">La surface des bétons de type ZBA/4 et ZBA/5 est </w:t>
      </w:r>
      <w:r>
        <w:rPr>
          <w:rStyle w:val="optioncarChar"/>
        </w:rPr>
        <w:t>lavée à l’eau / brossée / bouchardée / grenaillée / grésée / polie mat / polie brillant</w:t>
      </w:r>
      <w:r>
        <w:t xml:space="preserve">, comme décrit en </w:t>
      </w:r>
      <w:hyperlink w:anchor="484" w:history="1">
        <w:r>
          <w:t>22.71 Traitements esthétiques ou de surface</w:t>
        </w:r>
      </w:hyperlink>
      <w:r>
        <w:t>.</w:t>
      </w:r>
    </w:p>
    <w:p w14:paraId="46CA33B9" w14:textId="77777777" w:rsidR="00DF410E" w:rsidRDefault="00CE7F43">
      <w:r>
        <w:t xml:space="preserve">La face supérieure non coffrée des éléments est </w:t>
      </w:r>
      <w:r>
        <w:rPr>
          <w:rStyle w:val="optioncarChar"/>
        </w:rPr>
        <w:t>laissée rugueuse / lissée à la taloche / lavée à l’eau / brossée / bouchardée / grenaillée / grésée / polie mat / polie brillant.</w:t>
      </w:r>
    </w:p>
    <w:p w14:paraId="562F1AB8"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6820EEDD" w14:textId="77777777" w:rsidR="00DF410E" w:rsidRDefault="00CE7F43">
      <w:pPr>
        <w:pStyle w:val="Author-eListParagraph"/>
        <w:numPr>
          <w:ilvl w:val="0"/>
          <w:numId w:val="604"/>
        </w:numPr>
      </w:pPr>
      <w:r>
        <w:rPr>
          <w:rStyle w:val="soitChar"/>
        </w:rPr>
        <w:t>La texture :</w:t>
      </w:r>
      <w:r>
        <w:t xml:space="preserve">  </w:t>
      </w:r>
      <w:r>
        <w:rPr>
          <w:rStyle w:val="optioncarChar"/>
        </w:rPr>
        <w:t>T1</w:t>
      </w:r>
      <w:r>
        <w:t xml:space="preserve"> (par défaut) </w:t>
      </w:r>
      <w:r>
        <w:rPr>
          <w:rStyle w:val="optioncarChar"/>
        </w:rPr>
        <w:t>/ T2 / T3 / suivant description spécifique</w:t>
      </w:r>
    </w:p>
    <w:p w14:paraId="52789550" w14:textId="77777777" w:rsidR="00DF410E" w:rsidRDefault="00CE7F43">
      <w:pPr>
        <w:pStyle w:val="Author-eListParagraph"/>
        <w:numPr>
          <w:ilvl w:val="0"/>
          <w:numId w:val="604"/>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704EFA8" w14:textId="77777777" w:rsidR="00DF410E" w:rsidRDefault="00CE7F43">
      <w:pPr>
        <w:pStyle w:val="Author-eListParagraph"/>
        <w:numPr>
          <w:ilvl w:val="0"/>
          <w:numId w:val="60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36AF8D2" w14:textId="77777777" w:rsidR="00DF410E" w:rsidRDefault="00CE7F43">
      <w:pPr>
        <w:pStyle w:val="Author-eListParagraph"/>
        <w:numPr>
          <w:ilvl w:val="0"/>
          <w:numId w:val="604"/>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09D83C47" w14:textId="77777777" w:rsidR="00DF410E" w:rsidRDefault="00CE7F43">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478D14CF" w14:textId="77777777" w:rsidR="00DF410E" w:rsidRDefault="00CE7F43">
      <w:pPr>
        <w:pStyle w:val="pheading"/>
      </w:pPr>
      <w:r>
        <w:t>EXÉCUTION / MISE EN ŒUVRE</w:t>
      </w:r>
    </w:p>
    <w:p w14:paraId="0A6418B4" w14:textId="77777777" w:rsidR="00DF410E" w:rsidRDefault="00CE7F43">
      <w:pPr>
        <w:pStyle w:val="pheading"/>
      </w:pPr>
      <w:r>
        <w:t>- Notes d’exécution complémentaires</w:t>
      </w:r>
    </w:p>
    <w:p w14:paraId="3D145A27" w14:textId="77777777" w:rsidR="00DF410E" w:rsidRDefault="00CE7F43">
      <w:r>
        <w:t>Raccords visibles : joint en forme de </w:t>
      </w:r>
      <w:r>
        <w:rPr>
          <w:rStyle w:val="optioncarChar"/>
        </w:rPr>
        <w:t>V</w:t>
      </w:r>
      <w:r>
        <w:t> (par défaut)</w:t>
      </w:r>
      <w:r>
        <w:rPr>
          <w:rStyle w:val="optioncarChar"/>
        </w:rPr>
        <w:t xml:space="preserve"> / ***</w:t>
      </w:r>
      <w:r>
        <w:t>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50D35CD0" w14:textId="77777777" w:rsidR="00DF410E" w:rsidRDefault="00CE7F43">
      <w:pPr>
        <w:pStyle w:val="pheading"/>
      </w:pPr>
      <w:r>
        <w:t>MESURAGE</w:t>
      </w:r>
    </w:p>
    <w:p w14:paraId="579C7ED0" w14:textId="77777777" w:rsidR="00DF410E" w:rsidRDefault="00CE7F43">
      <w:pPr>
        <w:pStyle w:val="pheading"/>
      </w:pPr>
      <w:r>
        <w:t>- unité de mesure:</w:t>
      </w:r>
    </w:p>
    <w:p w14:paraId="29B9D6F1" w14:textId="77777777" w:rsidR="00DF410E" w:rsidRDefault="00CE7F43">
      <w:r>
        <w:t>m³ pour le béton</w:t>
      </w:r>
      <w:r>
        <w:br/>
        <w:t>kg pour les barres d’armatures</w:t>
      </w:r>
      <w:r>
        <w:br/>
        <w:t>PM, coffrages</w:t>
      </w:r>
    </w:p>
    <w:p w14:paraId="5977AC2C" w14:textId="77777777" w:rsidR="00DF410E" w:rsidRDefault="00CE7F43">
      <w:pPr>
        <w:pStyle w:val="pheading"/>
      </w:pPr>
      <w:r>
        <w:t>- nature du marché:</w:t>
      </w:r>
    </w:p>
    <w:p w14:paraId="5F14FEE8" w14:textId="77777777" w:rsidR="00DF410E" w:rsidRDefault="00CE7F43">
      <w:r>
        <w:t>QF</w:t>
      </w:r>
    </w:p>
    <w:p w14:paraId="4383EBD7" w14:textId="77777777" w:rsidR="00DF410E" w:rsidRDefault="00CE7F43">
      <w:pPr>
        <w:pStyle w:val="Author-eSectionHeading5"/>
      </w:pPr>
      <w:bookmarkStart w:id="865" w:name="_Toc178838017"/>
      <w:r>
        <w:t>22.33.3 Balcons et terrasses préfabriqués en béton CCTB 01.07</w:t>
      </w:r>
      <w:bookmarkEnd w:id="865"/>
    </w:p>
    <w:p w14:paraId="36FB5D9D" w14:textId="77777777" w:rsidR="00DF410E" w:rsidRDefault="00CE7F43">
      <w:pPr>
        <w:pStyle w:val="pheading"/>
      </w:pPr>
      <w:r>
        <w:t>DESCRIPTION</w:t>
      </w:r>
    </w:p>
    <w:p w14:paraId="644326F3" w14:textId="77777777" w:rsidR="00DF410E" w:rsidRDefault="00CE7F43">
      <w:pPr>
        <w:pStyle w:val="pheading"/>
      </w:pPr>
      <w:r>
        <w:t>- Définition / Comprend</w:t>
      </w:r>
    </w:p>
    <w:p w14:paraId="7F3A2D16" w14:textId="77777777" w:rsidR="00DF410E" w:rsidRDefault="00CE7F43">
      <w:r>
        <w:t>Il s'agit de tous les éléments en encorbellement :  balcons et terrasses qui sont préfabriqués et sont ensuite intégrés dans la construction portante avec les moyens appropriés.</w:t>
      </w:r>
    </w:p>
    <w:p w14:paraId="75E0AC03" w14:textId="77777777" w:rsidR="00DF410E" w:rsidRDefault="00CE7F43">
      <w:pPr>
        <w:pStyle w:val="pheading"/>
      </w:pPr>
      <w:r>
        <w:t>MATÉRIAUX</w:t>
      </w:r>
    </w:p>
    <w:p w14:paraId="4733D538" w14:textId="77777777" w:rsidR="00DF410E" w:rsidRDefault="00CE7F43">
      <w:r>
        <w:t xml:space="preserve">L’ensemble des matériaux, des éléments de support et des assemblages doivent satisfaire aux charges d’exploitation et à la classe d’environnement indiquées préalablement (voir également </w:t>
      </w:r>
      <w:hyperlink w:anchor="87" w:history="1">
        <w:r>
          <w:t>22 Superstructures en béton</w:t>
        </w:r>
      </w:hyperlink>
      <w:r>
        <w:t>).</w:t>
      </w:r>
    </w:p>
    <w:p w14:paraId="2A878F00" w14:textId="77777777" w:rsidR="00DF410E" w:rsidRDefault="00CE7F43">
      <w:pPr>
        <w:pStyle w:val="heading"/>
      </w:pPr>
      <w:r>
        <w:t>Spécifications</w:t>
      </w:r>
    </w:p>
    <w:p w14:paraId="2D85BBAF" w14:textId="77777777" w:rsidR="00DF410E" w:rsidRDefault="00CE7F43">
      <w:pPr>
        <w:pStyle w:val="Author-eListParagraph"/>
        <w:numPr>
          <w:ilvl w:val="0"/>
          <w:numId w:val="605"/>
        </w:numPr>
      </w:pPr>
      <w:r>
        <w:t>Conformes aux normes [NBN EN 13369:2023] et [NBN B 21-600]</w:t>
      </w:r>
    </w:p>
    <w:p w14:paraId="7E7DE364" w14:textId="77777777" w:rsidR="00DF410E" w:rsidRDefault="00CE7F43">
      <w:pPr>
        <w:pStyle w:val="Author-eListParagraph"/>
        <w:numPr>
          <w:ilvl w:val="0"/>
          <w:numId w:val="605"/>
        </w:numPr>
      </w:pPr>
      <w:r>
        <w:t>Forme et dimensions : conformément aux indications sur les plans</w:t>
      </w:r>
    </w:p>
    <w:p w14:paraId="3E8963B9" w14:textId="77777777" w:rsidR="00DF410E" w:rsidRDefault="00CE7F43">
      <w:pPr>
        <w:pStyle w:val="Author-eListParagraph"/>
        <w:numPr>
          <w:ilvl w:val="0"/>
          <w:numId w:val="605"/>
        </w:numPr>
      </w:pPr>
      <w:r>
        <w:t xml:space="preserve">Charge d’exploitation : </w:t>
      </w:r>
      <w:r>
        <w:rPr>
          <w:rStyle w:val="optioncarChar"/>
        </w:rPr>
        <w:t>***</w:t>
      </w:r>
    </w:p>
    <w:p w14:paraId="37C3755E" w14:textId="77777777" w:rsidR="00DF410E" w:rsidRDefault="00CE7F43">
      <w:pPr>
        <w:pStyle w:val="Author-eListParagraph"/>
        <w:numPr>
          <w:ilvl w:val="0"/>
          <w:numId w:val="605"/>
        </w:numPr>
      </w:pPr>
      <w:r>
        <w:t xml:space="preserve">Classe d’environnement : </w:t>
      </w:r>
      <w:r>
        <w:rPr>
          <w:rStyle w:val="optioncarChar"/>
        </w:rPr>
        <w:t>***</w:t>
      </w:r>
    </w:p>
    <w:p w14:paraId="607A63B9" w14:textId="77777777" w:rsidR="00DF410E" w:rsidRDefault="00CE7F43">
      <w:pPr>
        <w:pStyle w:val="Author-eListParagraph"/>
        <w:numPr>
          <w:ilvl w:val="0"/>
          <w:numId w:val="605"/>
        </w:numPr>
      </w:pPr>
      <w:r>
        <w:t>Coffrage : La surface du béton est</w:t>
      </w:r>
      <w:r>
        <w:rPr>
          <w:rStyle w:val="optioncarChar"/>
        </w:rPr>
        <w:t xml:space="preserve"> brute et lisse / brute et finement texturée / brute et grossièrement texturée / brute à relief (ou structurée)</w:t>
      </w:r>
    </w:p>
    <w:p w14:paraId="5250A279" w14:textId="77777777" w:rsidR="00DF410E" w:rsidRDefault="00CE7F43">
      <w:pPr>
        <w:pStyle w:val="Author-eListParagraph"/>
        <w:numPr>
          <w:ilvl w:val="0"/>
          <w:numId w:val="605"/>
        </w:numPr>
      </w:pPr>
      <w:r>
        <w:t>Eléments d’ancrage : avec dispositif de rupture thermique - système à soumettre pour approbation</w:t>
      </w:r>
    </w:p>
    <w:p w14:paraId="7A75D5DE" w14:textId="77777777" w:rsidR="00DF410E" w:rsidRDefault="00CE7F43">
      <w:pPr>
        <w:pStyle w:val="pheading"/>
      </w:pPr>
      <w:r>
        <w:t>EXÉCUTION / MISE EN ŒUVRE</w:t>
      </w:r>
    </w:p>
    <w:p w14:paraId="159AA4A8" w14:textId="77777777" w:rsidR="00DF410E" w:rsidRDefault="00CE7F43">
      <w:r>
        <w:t xml:space="preserve">Les éléments de balcons et terrasses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t>22 Superstructures en béton</w:t>
        </w:r>
      </w:hyperlink>
      <w:r>
        <w:t>).</w:t>
      </w:r>
    </w:p>
    <w:p w14:paraId="68AB7002" w14:textId="77777777" w:rsidR="00DF410E" w:rsidRDefault="00CE7F43">
      <w:pPr>
        <w:pStyle w:val="Author-eSectionHeading6"/>
      </w:pPr>
      <w:bookmarkStart w:id="866" w:name="_Toc178838018"/>
      <w:r>
        <w:t>22.33.3a Balcons et terrasses préfabriqués en béton CCTB 01.04</w:t>
      </w:r>
      <w:bookmarkEnd w:id="866"/>
    </w:p>
    <w:p w14:paraId="13F4F8A9" w14:textId="77777777" w:rsidR="00DF410E" w:rsidRDefault="00CE7F43">
      <w:pPr>
        <w:pStyle w:val="Author-eSectionHeading5"/>
      </w:pPr>
      <w:bookmarkStart w:id="867" w:name="_Toc178838019"/>
      <w:r>
        <w:t>22.33.4 Balcons et terrasses préfabriqués en béton architectonique CCTB 01.11</w:t>
      </w:r>
      <w:bookmarkEnd w:id="867"/>
    </w:p>
    <w:p w14:paraId="37F42F81" w14:textId="77777777" w:rsidR="00DF410E" w:rsidRDefault="00CE7F43">
      <w:pPr>
        <w:pStyle w:val="pheading"/>
      </w:pPr>
      <w:r>
        <w:t>DESCRIPTION</w:t>
      </w:r>
    </w:p>
    <w:p w14:paraId="2DCF45FA" w14:textId="77777777" w:rsidR="00DF410E" w:rsidRDefault="00CE7F43">
      <w:pPr>
        <w:pStyle w:val="pheading"/>
      </w:pPr>
      <w:r>
        <w:t>- Définition / Comprend</w:t>
      </w:r>
    </w:p>
    <w:p w14:paraId="03BC40B2" w14:textId="77777777" w:rsidR="00DF410E" w:rsidRDefault="00CE7F43">
      <w:r>
        <w:t>Il s'agit de tous les éléments en encorbellement balcons et terrasses qui sont préfabriqués en béton architectonique/décoratifs et sont ensuite intégrés dans la construction portante avec les moyens appropriés.</w:t>
      </w:r>
    </w:p>
    <w:p w14:paraId="680A9AF8" w14:textId="77777777" w:rsidR="00DF410E" w:rsidRDefault="00CE7F43">
      <w:pPr>
        <w:pStyle w:val="pheading"/>
      </w:pPr>
      <w:r>
        <w:t>MATÉRIAUX</w:t>
      </w:r>
    </w:p>
    <w:p w14:paraId="79E7FFAC" w14:textId="77777777" w:rsidR="00DF410E" w:rsidRDefault="00CE7F43">
      <w:r>
        <w:t xml:space="preserve">L’ensemble des matériaux, des éléments de support et des assemblages doivent satisfaire aux charges d’exploitation et à la classe d’environnement indiquées préalablement (voir également </w:t>
      </w:r>
      <w:hyperlink w:anchor="87" w:history="1">
        <w:r>
          <w:t>22 Superstructures en béton</w:t>
        </w:r>
      </w:hyperlink>
      <w:r>
        <w:t>).</w:t>
      </w:r>
    </w:p>
    <w:p w14:paraId="544852AF" w14:textId="77777777" w:rsidR="00DF410E" w:rsidRDefault="00CE7F43">
      <w:pPr>
        <w:pStyle w:val="heading"/>
      </w:pPr>
      <w:r>
        <w:t>Spécifications</w:t>
      </w:r>
    </w:p>
    <w:p w14:paraId="7598DE4F" w14:textId="77777777" w:rsidR="00DF410E" w:rsidRDefault="00CE7F43">
      <w:pPr>
        <w:pStyle w:val="Author-eListParagraph"/>
        <w:numPr>
          <w:ilvl w:val="0"/>
          <w:numId w:val="606"/>
        </w:numPr>
      </w:pPr>
      <w:r>
        <w:t>Conformes aux normes [NBN EN 13369:2023], [NBN B 21-600] et [PTV 21-601]</w:t>
      </w:r>
    </w:p>
    <w:p w14:paraId="04957BA2" w14:textId="77777777" w:rsidR="00DF410E" w:rsidRDefault="00CE7F43">
      <w:pPr>
        <w:pStyle w:val="Author-eListParagraph"/>
        <w:numPr>
          <w:ilvl w:val="0"/>
          <w:numId w:val="606"/>
        </w:numPr>
      </w:pPr>
      <w:r>
        <w:t>Forme et dimensions : conformément aux indications sur les plans</w:t>
      </w:r>
    </w:p>
    <w:p w14:paraId="75B49DEF" w14:textId="77777777" w:rsidR="00DF410E" w:rsidRDefault="00CE7F43">
      <w:pPr>
        <w:pStyle w:val="Author-eListParagraph"/>
        <w:numPr>
          <w:ilvl w:val="0"/>
          <w:numId w:val="606"/>
        </w:numPr>
      </w:pPr>
      <w:r>
        <w:t xml:space="preserve">Charge d’exploitation : </w:t>
      </w:r>
      <w:r>
        <w:rPr>
          <w:rStyle w:val="optioncarChar"/>
        </w:rPr>
        <w:t>***</w:t>
      </w:r>
    </w:p>
    <w:p w14:paraId="2D1BE0D9" w14:textId="77777777" w:rsidR="00DF410E" w:rsidRDefault="00CE7F43">
      <w:pPr>
        <w:pStyle w:val="Author-eListParagraph"/>
        <w:numPr>
          <w:ilvl w:val="0"/>
          <w:numId w:val="606"/>
        </w:numPr>
      </w:pPr>
      <w:r>
        <w:t xml:space="preserve">Classe d’environnement : </w:t>
      </w:r>
      <w:r>
        <w:rPr>
          <w:rStyle w:val="optioncarChar"/>
        </w:rPr>
        <w:t>***</w:t>
      </w:r>
    </w:p>
    <w:p w14:paraId="218DA499" w14:textId="77777777" w:rsidR="00DF410E" w:rsidRDefault="00CE7F43">
      <w:pPr>
        <w:pStyle w:val="Author-eListParagraph"/>
        <w:numPr>
          <w:ilvl w:val="0"/>
          <w:numId w:val="606"/>
        </w:numPr>
      </w:pPr>
      <w:r>
        <w:t>Coffrage : </w:t>
      </w:r>
    </w:p>
    <w:p w14:paraId="51F04B29" w14:textId="77777777" w:rsidR="00DF410E" w:rsidRDefault="00CE7F43">
      <w:r>
        <w:t xml:space="preserve">La surface du béton est </w:t>
      </w:r>
      <w:r>
        <w:rPr>
          <w:color w:val="FF0000"/>
        </w:rPr>
        <w:t>brute et lisse / brute et finement texturée / brute et grossièrement texturée / brute à relief (ou structurée) / lavée à l’eau / brossée / lavée à l’acide / bouchardée / grenaillée / grésée / polie mat / polie brillant / structurée / incrustée d’autres matériaux / ***</w:t>
      </w:r>
    </w:p>
    <w:p w14:paraId="0A804BF9" w14:textId="77777777" w:rsidR="00DF410E" w:rsidRDefault="00CE7F43">
      <w:pPr>
        <w:pStyle w:val="Author-eListParagraph"/>
        <w:numPr>
          <w:ilvl w:val="0"/>
          <w:numId w:val="606"/>
        </w:numPr>
      </w:pPr>
      <w:r>
        <w:t>Eléments d’ancrage : avec dispositif de rupture thermique - système à soumettre pour approbation</w:t>
      </w:r>
    </w:p>
    <w:p w14:paraId="76EF4E65" w14:textId="77777777" w:rsidR="00DF410E" w:rsidRDefault="00CE7F43">
      <w:pPr>
        <w:pStyle w:val="pheading"/>
      </w:pPr>
      <w:r>
        <w:t>EXÉCUTION / MISE EN ŒUVRE</w:t>
      </w:r>
    </w:p>
    <w:p w14:paraId="559F68B5" w14:textId="77777777" w:rsidR="00DF410E" w:rsidRDefault="00CE7F43">
      <w:r>
        <w:t xml:space="preserve">Les éléments de balcons et terrasses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t>22 Superstructures en béton</w:t>
        </w:r>
      </w:hyperlink>
      <w:r>
        <w:t>).</w:t>
      </w:r>
    </w:p>
    <w:p w14:paraId="5F80D6DF" w14:textId="77777777" w:rsidR="00DF410E" w:rsidRDefault="00CE7F43">
      <w:pPr>
        <w:pStyle w:val="Author-eSectionHeading6"/>
      </w:pPr>
      <w:bookmarkStart w:id="868" w:name="_Toc178838020"/>
      <w:r>
        <w:t>22.33.4a Balcons et terrasses préfabriqués en béton décoratif / architectonique CCTB 01.04</w:t>
      </w:r>
      <w:bookmarkEnd w:id="868"/>
    </w:p>
    <w:p w14:paraId="6CC01129" w14:textId="77777777" w:rsidR="00DF410E" w:rsidRDefault="00CE7F43">
      <w:pPr>
        <w:pStyle w:val="Author-eSectionHeading4"/>
      </w:pPr>
      <w:bookmarkStart w:id="869" w:name="_Toc178838021"/>
      <w:r>
        <w:t>22.34 Passerelles et coursives en béton CCTB 01.04</w:t>
      </w:r>
      <w:bookmarkEnd w:id="869"/>
    </w:p>
    <w:p w14:paraId="1F5F3E2B" w14:textId="77777777" w:rsidR="00DF410E" w:rsidRDefault="00CE7F43">
      <w:pPr>
        <w:pStyle w:val="Author-eSectionHeading5"/>
      </w:pPr>
      <w:bookmarkStart w:id="870" w:name="_Toc178838022"/>
      <w:r>
        <w:t>22.34.1 Passerelles et coursives en béton coulé en place CCTB 01.04</w:t>
      </w:r>
      <w:bookmarkEnd w:id="870"/>
    </w:p>
    <w:p w14:paraId="23E0BD3B" w14:textId="77777777" w:rsidR="00DF410E" w:rsidRDefault="00CE7F43">
      <w:pPr>
        <w:pStyle w:val="Author-eSectionHeading6"/>
      </w:pPr>
      <w:bookmarkStart w:id="871" w:name="_Toc178838023"/>
      <w:r>
        <w:t>22.34.1a Passerelles et coursives en béton coulé en place CCTB 01.04</w:t>
      </w:r>
      <w:bookmarkEnd w:id="871"/>
    </w:p>
    <w:p w14:paraId="7FC85074" w14:textId="77777777" w:rsidR="00DF410E" w:rsidRDefault="00CE7F43">
      <w:pPr>
        <w:pStyle w:val="Author-eSectionHeading5"/>
      </w:pPr>
      <w:bookmarkStart w:id="872" w:name="_Toc178838024"/>
      <w:r>
        <w:t>22.34.2 Passerelles et coursives en béton apparent (esthétique) coulé en place CCTB 01.02</w:t>
      </w:r>
      <w:bookmarkEnd w:id="872"/>
    </w:p>
    <w:p w14:paraId="42C3720B" w14:textId="77777777" w:rsidR="00DF410E" w:rsidRDefault="00CE7F43">
      <w:pPr>
        <w:pStyle w:val="Author-eSectionHeading6"/>
      </w:pPr>
      <w:bookmarkStart w:id="873" w:name="_Toc178838025"/>
      <w:r>
        <w:t>22.34.2a Passerelles et coursives en béton apparent (esthétique) coulé en place CCTB 01.04</w:t>
      </w:r>
      <w:bookmarkEnd w:id="873"/>
    </w:p>
    <w:p w14:paraId="5EFAEC3B" w14:textId="77777777" w:rsidR="00DF410E" w:rsidRDefault="00CE7F43">
      <w:pPr>
        <w:pStyle w:val="Author-eSectionHeading5"/>
      </w:pPr>
      <w:bookmarkStart w:id="874" w:name="_Toc178838026"/>
      <w:r>
        <w:t>22.34.3 Passerelles et coursives préfabriquées en béton CCTB 01.04</w:t>
      </w:r>
      <w:bookmarkEnd w:id="874"/>
    </w:p>
    <w:p w14:paraId="5B458446" w14:textId="77777777" w:rsidR="00DF410E" w:rsidRDefault="00CE7F43">
      <w:pPr>
        <w:pStyle w:val="Author-eSectionHeading6"/>
      </w:pPr>
      <w:bookmarkStart w:id="875" w:name="_Toc178838027"/>
      <w:r>
        <w:t>22.34.3a Passerelles et coursives préfabriquées en béton CCTB 01.04</w:t>
      </w:r>
      <w:bookmarkEnd w:id="875"/>
    </w:p>
    <w:p w14:paraId="14F06067" w14:textId="77777777" w:rsidR="00DF410E" w:rsidRDefault="00CE7F43">
      <w:pPr>
        <w:pStyle w:val="Author-eSectionHeading5"/>
      </w:pPr>
      <w:bookmarkStart w:id="876" w:name="_Toc178838028"/>
      <w:r>
        <w:t>22.34.4 Passerelles et coursives préfabriquées en béton architectonique CCTB 01.04</w:t>
      </w:r>
      <w:bookmarkEnd w:id="876"/>
    </w:p>
    <w:p w14:paraId="64AF0344" w14:textId="77777777" w:rsidR="00DF410E" w:rsidRDefault="00CE7F43">
      <w:pPr>
        <w:pStyle w:val="Author-eSectionHeading6"/>
      </w:pPr>
      <w:bookmarkStart w:id="877" w:name="_Toc178838029"/>
      <w:r>
        <w:t>22.34.4a Passerelles et coursives préfabriquées en béton décoratif / architectonique CCTB 01.04</w:t>
      </w:r>
      <w:bookmarkEnd w:id="877"/>
    </w:p>
    <w:p w14:paraId="291D3C38" w14:textId="77777777" w:rsidR="00DF410E" w:rsidRDefault="00CE7F43">
      <w:pPr>
        <w:pStyle w:val="Author-eSectionHeading4"/>
      </w:pPr>
      <w:bookmarkStart w:id="878" w:name="_Toc178838030"/>
      <w:r>
        <w:t>22.35 Auvents en béton CCTB 01.04</w:t>
      </w:r>
      <w:bookmarkEnd w:id="878"/>
    </w:p>
    <w:p w14:paraId="619BF520" w14:textId="77777777" w:rsidR="00DF410E" w:rsidRDefault="00CE7F43">
      <w:pPr>
        <w:pStyle w:val="Author-eSectionHeading5"/>
      </w:pPr>
      <w:bookmarkStart w:id="879" w:name="_Toc178838031"/>
      <w:r>
        <w:t>22.35.1 Auvents en béton coulé en place CCTB 01.04</w:t>
      </w:r>
      <w:bookmarkEnd w:id="879"/>
    </w:p>
    <w:p w14:paraId="3717C316" w14:textId="77777777" w:rsidR="00DF410E" w:rsidRDefault="00CE7F43">
      <w:pPr>
        <w:pStyle w:val="Author-eSectionHeading6"/>
      </w:pPr>
      <w:bookmarkStart w:id="880" w:name="_Toc178838032"/>
      <w:r>
        <w:t>22.35.1a Auvents en béton coulé en place CCTB 01.04</w:t>
      </w:r>
      <w:bookmarkEnd w:id="880"/>
    </w:p>
    <w:p w14:paraId="25A40380" w14:textId="77777777" w:rsidR="00DF410E" w:rsidRDefault="00CE7F43">
      <w:pPr>
        <w:pStyle w:val="Author-eSectionHeading5"/>
      </w:pPr>
      <w:bookmarkStart w:id="881" w:name="_Toc178838033"/>
      <w:r>
        <w:t>22.35.2 Auvents en béton apparent (esthétique) coulé en place CCTB 01.04</w:t>
      </w:r>
      <w:bookmarkEnd w:id="881"/>
    </w:p>
    <w:p w14:paraId="20271D8B" w14:textId="77777777" w:rsidR="00DF410E" w:rsidRDefault="00CE7F43">
      <w:pPr>
        <w:pStyle w:val="Author-eSectionHeading6"/>
      </w:pPr>
      <w:bookmarkStart w:id="882" w:name="_Toc178838034"/>
      <w:r>
        <w:t>22.35.2a Auvents en béton apparent (esthétique) coulé en place CCTB 01.04</w:t>
      </w:r>
      <w:bookmarkEnd w:id="882"/>
    </w:p>
    <w:p w14:paraId="17A52162" w14:textId="77777777" w:rsidR="00DF410E" w:rsidRDefault="00CE7F43">
      <w:pPr>
        <w:pStyle w:val="Author-eSectionHeading5"/>
      </w:pPr>
      <w:bookmarkStart w:id="883" w:name="_Toc178838035"/>
      <w:r>
        <w:t>22.35.3 Auvents préfabriqués en béton CCTB 01.04</w:t>
      </w:r>
      <w:bookmarkEnd w:id="883"/>
    </w:p>
    <w:p w14:paraId="34FE75CF" w14:textId="77777777" w:rsidR="00DF410E" w:rsidRDefault="00CE7F43">
      <w:pPr>
        <w:pStyle w:val="Author-eSectionHeading6"/>
      </w:pPr>
      <w:bookmarkStart w:id="884" w:name="_Toc178838036"/>
      <w:r>
        <w:t>22.35.3a Auvents préfabriqués en béton CCTB 01.04</w:t>
      </w:r>
      <w:bookmarkEnd w:id="884"/>
    </w:p>
    <w:p w14:paraId="20FA4B6F" w14:textId="77777777" w:rsidR="00DF410E" w:rsidRDefault="00CE7F43">
      <w:pPr>
        <w:pStyle w:val="Author-eSectionHeading5"/>
      </w:pPr>
      <w:bookmarkStart w:id="885" w:name="_Toc178838037"/>
      <w:r>
        <w:t>22.35.4 Auvents préfabriqués en béton architectonique CCTB 01.02</w:t>
      </w:r>
      <w:bookmarkEnd w:id="885"/>
    </w:p>
    <w:p w14:paraId="3D2CB4DF" w14:textId="77777777" w:rsidR="00DF410E" w:rsidRDefault="00CE7F43">
      <w:pPr>
        <w:pStyle w:val="Author-eSectionHeading6"/>
      </w:pPr>
      <w:bookmarkStart w:id="886" w:name="_Toc178838038"/>
      <w:r>
        <w:t>22.35.4a Auvents préfabriqués en béton décoratif / architectonique CCTB 01.04</w:t>
      </w:r>
      <w:bookmarkEnd w:id="886"/>
    </w:p>
    <w:p w14:paraId="772396CA" w14:textId="77777777" w:rsidR="00DF410E" w:rsidRDefault="00CE7F43">
      <w:pPr>
        <w:pStyle w:val="Author-eSectionHeading4"/>
      </w:pPr>
      <w:bookmarkStart w:id="887" w:name="_Toc178838039"/>
      <w:r>
        <w:t>22.36 Corniches en béton CCTB 01.04</w:t>
      </w:r>
      <w:bookmarkEnd w:id="887"/>
    </w:p>
    <w:p w14:paraId="2B5CC409" w14:textId="77777777" w:rsidR="00DF410E" w:rsidRDefault="00CE7F43">
      <w:pPr>
        <w:pStyle w:val="Author-eSectionHeading5"/>
      </w:pPr>
      <w:bookmarkStart w:id="888" w:name="_Toc178838040"/>
      <w:r>
        <w:t>22.36.1 Corniches en béton coulé en place CCTB 01.04</w:t>
      </w:r>
      <w:bookmarkEnd w:id="888"/>
    </w:p>
    <w:p w14:paraId="20D96277" w14:textId="77777777" w:rsidR="00DF410E" w:rsidRDefault="00CE7F43">
      <w:pPr>
        <w:pStyle w:val="Author-eSectionHeading6"/>
      </w:pPr>
      <w:bookmarkStart w:id="889" w:name="_Toc178838041"/>
      <w:r>
        <w:t>22.36.1a Corniches en béton coulé en place CCTB 01.12</w:t>
      </w:r>
      <w:bookmarkEnd w:id="889"/>
    </w:p>
    <w:p w14:paraId="4EA336DD" w14:textId="77777777" w:rsidR="00DF410E" w:rsidRDefault="00CE7F43">
      <w:pPr>
        <w:pStyle w:val="pheading"/>
      </w:pPr>
      <w:r>
        <w:t>DESCRIPTION</w:t>
      </w:r>
    </w:p>
    <w:p w14:paraId="667C88A3" w14:textId="77777777" w:rsidR="00DF410E" w:rsidRDefault="00CE7F43">
      <w:pPr>
        <w:pStyle w:val="pheading"/>
      </w:pPr>
      <w:r>
        <w:t>- Définition / Comprend</w:t>
      </w:r>
    </w:p>
    <w:p w14:paraId="5292B293" w14:textId="77777777" w:rsidR="00DF410E" w:rsidRDefault="00CE7F43">
      <w:r>
        <w:t xml:space="preserve">Il s'agit de tous les </w:t>
      </w:r>
      <w:r>
        <w:rPr>
          <w:rStyle w:val="optioncarChar"/>
          <w:color w:val="000000"/>
        </w:rPr>
        <w:t>corniches</w:t>
      </w:r>
      <w:r>
        <w:t xml:space="preserve"> exécutées en béton coulé en place.</w:t>
      </w:r>
    </w:p>
    <w:p w14:paraId="60D997AE" w14:textId="77777777" w:rsidR="00DF410E" w:rsidRDefault="00CE7F43">
      <w:pPr>
        <w:pStyle w:val="pheading"/>
      </w:pPr>
      <w:r>
        <w:t>MATÉRIAUX</w:t>
      </w:r>
    </w:p>
    <w:p w14:paraId="169CC5BB" w14:textId="77777777" w:rsidR="00DF410E" w:rsidRDefault="00CE7F43">
      <w:pPr>
        <w:pStyle w:val="pheading"/>
      </w:pPr>
      <w:r>
        <w:t>- Caractéristiques générales</w:t>
      </w:r>
    </w:p>
    <w:p w14:paraId="175A5068" w14:textId="77777777" w:rsidR="00DF410E" w:rsidRDefault="00CE7F43">
      <w:pPr>
        <w:pStyle w:val="heading"/>
      </w:pPr>
      <w:r>
        <w:t>Spécifications</w:t>
      </w:r>
    </w:p>
    <w:p w14:paraId="7ECB6577" w14:textId="77777777" w:rsidR="00DF410E" w:rsidRDefault="00CE7F43">
      <w:r>
        <w:t xml:space="preserve">Qualité du béton selon la [NBN EN 206:2013+A2] et la [NBN B 15-001] (voir également </w:t>
      </w:r>
      <w:hyperlink w:anchor="87"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35D1A515" w14:textId="77777777">
        <w:tc>
          <w:tcPr>
            <w:tcW w:w="1500" w:type="dxa"/>
            <w:noWrap/>
          </w:tcPr>
          <w:p w14:paraId="5C009591" w14:textId="77777777" w:rsidR="00DF410E" w:rsidRDefault="00CE7F43">
            <w:pPr>
              <w:jc w:val="center"/>
            </w:pPr>
            <w:r>
              <w:rPr>
                <w:b/>
              </w:rPr>
              <w:t>A</w:t>
            </w:r>
          </w:p>
        </w:tc>
        <w:tc>
          <w:tcPr>
            <w:tcW w:w="1500" w:type="dxa"/>
            <w:noWrap/>
          </w:tcPr>
          <w:p w14:paraId="1D76C7F3" w14:textId="77777777" w:rsidR="00DF410E" w:rsidRDefault="00CE7F43">
            <w:pPr>
              <w:jc w:val="center"/>
            </w:pPr>
            <w:r>
              <w:rPr>
                <w:b/>
              </w:rPr>
              <w:t>B1</w:t>
            </w:r>
          </w:p>
        </w:tc>
        <w:tc>
          <w:tcPr>
            <w:tcW w:w="1500" w:type="dxa"/>
            <w:noWrap/>
          </w:tcPr>
          <w:p w14:paraId="70E17ACF" w14:textId="77777777" w:rsidR="00DF410E" w:rsidRDefault="00CE7F43">
            <w:pPr>
              <w:jc w:val="center"/>
            </w:pPr>
            <w:r>
              <w:rPr>
                <w:b/>
              </w:rPr>
              <w:t>B2</w:t>
            </w:r>
          </w:p>
        </w:tc>
        <w:tc>
          <w:tcPr>
            <w:tcW w:w="1500" w:type="dxa"/>
            <w:noWrap/>
          </w:tcPr>
          <w:p w14:paraId="1531469F" w14:textId="77777777" w:rsidR="00DF410E" w:rsidRDefault="00CE7F43">
            <w:pPr>
              <w:jc w:val="center"/>
            </w:pPr>
            <w:r>
              <w:rPr>
                <w:b/>
              </w:rPr>
              <w:t>C</w:t>
            </w:r>
          </w:p>
        </w:tc>
        <w:tc>
          <w:tcPr>
            <w:tcW w:w="1500" w:type="dxa"/>
            <w:noWrap/>
          </w:tcPr>
          <w:p w14:paraId="1E6EF923" w14:textId="77777777" w:rsidR="00DF410E" w:rsidRDefault="00CE7F43">
            <w:pPr>
              <w:jc w:val="center"/>
            </w:pPr>
            <w:r>
              <w:rPr>
                <w:b/>
              </w:rPr>
              <w:t>D</w:t>
            </w:r>
          </w:p>
        </w:tc>
        <w:tc>
          <w:tcPr>
            <w:tcW w:w="1500" w:type="dxa"/>
            <w:noWrap/>
          </w:tcPr>
          <w:p w14:paraId="2258701C" w14:textId="77777777" w:rsidR="00DF410E" w:rsidRDefault="00CE7F43">
            <w:pPr>
              <w:jc w:val="center"/>
            </w:pPr>
            <w:r>
              <w:rPr>
                <w:b/>
              </w:rPr>
              <w:t>E</w:t>
            </w:r>
          </w:p>
        </w:tc>
      </w:tr>
      <w:tr w:rsidR="00DF410E" w14:paraId="47857496" w14:textId="77777777">
        <w:tc>
          <w:tcPr>
            <w:tcW w:w="1500" w:type="dxa"/>
            <w:noWrap/>
          </w:tcPr>
          <w:p w14:paraId="46B6F856" w14:textId="77777777" w:rsidR="00DF410E" w:rsidRDefault="00CE7F43">
            <w:pPr>
              <w:jc w:val="center"/>
            </w:pPr>
            <w:r>
              <w:rPr>
                <w:b/>
              </w:rPr>
              <w:t>Classe de résistance</w:t>
            </w:r>
          </w:p>
        </w:tc>
        <w:tc>
          <w:tcPr>
            <w:tcW w:w="1500" w:type="dxa"/>
            <w:noWrap/>
          </w:tcPr>
          <w:p w14:paraId="7461CFAF" w14:textId="77777777" w:rsidR="00DF410E" w:rsidRDefault="00CE7F43">
            <w:pPr>
              <w:jc w:val="center"/>
            </w:pPr>
            <w:r>
              <w:rPr>
                <w:b/>
              </w:rPr>
              <w:t>Domaine d’application</w:t>
            </w:r>
          </w:p>
        </w:tc>
        <w:tc>
          <w:tcPr>
            <w:tcW w:w="1500" w:type="dxa"/>
            <w:noWrap/>
          </w:tcPr>
          <w:p w14:paraId="6769619C" w14:textId="77777777" w:rsidR="00DF410E" w:rsidRDefault="00CE7F43">
            <w:pPr>
              <w:jc w:val="center"/>
            </w:pPr>
            <w:r>
              <w:rPr>
                <w:b/>
              </w:rPr>
              <w:t>Classe d'environnement</w:t>
            </w:r>
          </w:p>
        </w:tc>
        <w:tc>
          <w:tcPr>
            <w:tcW w:w="1500" w:type="dxa"/>
            <w:noWrap/>
          </w:tcPr>
          <w:p w14:paraId="50D29362" w14:textId="77777777" w:rsidR="00DF410E" w:rsidRDefault="00CE7F43">
            <w:pPr>
              <w:jc w:val="center"/>
            </w:pPr>
            <w:r>
              <w:rPr>
                <w:b/>
              </w:rPr>
              <w:t>Classe de consistance</w:t>
            </w:r>
          </w:p>
        </w:tc>
        <w:tc>
          <w:tcPr>
            <w:tcW w:w="1500" w:type="dxa"/>
            <w:noWrap/>
          </w:tcPr>
          <w:p w14:paraId="396CFE27" w14:textId="77777777" w:rsidR="00DF410E" w:rsidRDefault="00CE7F43">
            <w:pPr>
              <w:jc w:val="center"/>
            </w:pPr>
            <w:r>
              <w:rPr>
                <w:b/>
              </w:rPr>
              <w:t>Granulométrie maximale</w:t>
            </w:r>
          </w:p>
        </w:tc>
        <w:tc>
          <w:tcPr>
            <w:tcW w:w="1500" w:type="dxa"/>
            <w:noWrap/>
          </w:tcPr>
          <w:p w14:paraId="255EF90F" w14:textId="77777777" w:rsidR="00DF410E" w:rsidRDefault="00CE7F43">
            <w:r>
              <w:rPr>
                <w:b/>
              </w:rPr>
              <w:t>Données complémentaires</w:t>
            </w:r>
          </w:p>
        </w:tc>
      </w:tr>
      <w:tr w:rsidR="00DF410E" w14:paraId="30193B39" w14:textId="77777777">
        <w:tc>
          <w:tcPr>
            <w:tcW w:w="1500" w:type="dxa"/>
            <w:noWrap/>
          </w:tcPr>
          <w:p w14:paraId="65D68AE9" w14:textId="77777777" w:rsidR="00DF410E" w:rsidRDefault="00CE7F43">
            <w:pPr>
              <w:jc w:val="center"/>
            </w:pPr>
            <w:r>
              <w:rPr>
                <w:rStyle w:val="optioncarChar"/>
              </w:rPr>
              <w:t>C25/30 / C30/37 / C35/45 / C45/55 / C50/60 / C55/67 / C60/75 / C70/85 / C80/95 / C90/105</w:t>
            </w:r>
          </w:p>
        </w:tc>
        <w:tc>
          <w:tcPr>
            <w:tcW w:w="1500" w:type="dxa"/>
            <w:noWrap/>
          </w:tcPr>
          <w:p w14:paraId="729C067A" w14:textId="77777777" w:rsidR="00DF410E" w:rsidRDefault="00CE7F43">
            <w:pPr>
              <w:jc w:val="center"/>
            </w:pPr>
            <w:r>
              <w:t>Béton armé</w:t>
            </w:r>
          </w:p>
          <w:p w14:paraId="66B15D7F" w14:textId="77777777" w:rsidR="00DF410E" w:rsidRDefault="00DF410E"/>
        </w:tc>
        <w:tc>
          <w:tcPr>
            <w:tcW w:w="1500" w:type="dxa"/>
            <w:noWrap/>
          </w:tcPr>
          <w:p w14:paraId="3D5CAF9F" w14:textId="77777777" w:rsidR="00DF410E" w:rsidRDefault="00CE7F43">
            <w:pPr>
              <w:jc w:val="center"/>
            </w:pPr>
            <w:r>
              <w:rPr>
                <w:rStyle w:val="optioncarChar"/>
              </w:rPr>
              <w:t>E0 / EI / EE1 / EE2 / EE3 / EE4 / ES1 / ES2 / ES3 / ES4 / EA1+*** / EA2+***/ EA3+***</w:t>
            </w:r>
          </w:p>
        </w:tc>
        <w:tc>
          <w:tcPr>
            <w:tcW w:w="1500" w:type="dxa"/>
            <w:noWrap/>
          </w:tcPr>
          <w:p w14:paraId="27CA427A" w14:textId="77777777" w:rsidR="00DF410E" w:rsidRDefault="00CE7F43">
            <w:pPr>
              <w:jc w:val="center"/>
            </w:pPr>
            <w:r>
              <w:t>au choix de l'entrepreneur :</w:t>
            </w:r>
          </w:p>
          <w:p w14:paraId="15650263" w14:textId="77777777" w:rsidR="00DF410E" w:rsidRDefault="00CE7F43">
            <w:pPr>
              <w:jc w:val="center"/>
            </w:pPr>
            <w:r>
              <w:rPr>
                <w:rStyle w:val="optioncarChar"/>
              </w:rPr>
              <w:t xml:space="preserve">S3 / S4 / S5 </w:t>
            </w:r>
          </w:p>
          <w:p w14:paraId="5F194F0E" w14:textId="77777777" w:rsidR="00DF410E" w:rsidRDefault="00CE7F43">
            <w:pPr>
              <w:jc w:val="center"/>
            </w:pPr>
            <w:r>
              <w:rPr>
                <w:rStyle w:val="optioncarChar"/>
              </w:rPr>
              <w:t>F3 / F4 / F5 / F6</w:t>
            </w:r>
            <w:r>
              <w:br/>
            </w:r>
          </w:p>
        </w:tc>
        <w:tc>
          <w:tcPr>
            <w:tcW w:w="1500" w:type="dxa"/>
            <w:noWrap/>
          </w:tcPr>
          <w:p w14:paraId="68FAA3AD" w14:textId="77777777" w:rsidR="00DF410E" w:rsidRDefault="00CE7F43">
            <w:pPr>
              <w:jc w:val="center"/>
            </w:pPr>
            <w:r>
              <w:t>au choix de l'entrepreneur :</w:t>
            </w:r>
          </w:p>
          <w:p w14:paraId="72660AA6" w14:textId="77777777" w:rsidR="00DF410E" w:rsidRDefault="00CE7F43">
            <w:pPr>
              <w:jc w:val="center"/>
            </w:pPr>
            <w:r>
              <w:rPr>
                <w:rStyle w:val="optioncarChar"/>
              </w:rPr>
              <w:t>6 / 8 / 10 / 11 / 12 / 14 / 16 / 20 / 22 / 32</w:t>
            </w:r>
            <w:r>
              <w:t xml:space="preserve"> mm</w:t>
            </w:r>
          </w:p>
        </w:tc>
        <w:tc>
          <w:tcPr>
            <w:tcW w:w="1500" w:type="dxa"/>
            <w:noWrap/>
          </w:tcPr>
          <w:p w14:paraId="4FB3643C" w14:textId="77777777" w:rsidR="00DF410E" w:rsidRDefault="00CE7F43">
            <w:pPr>
              <w:jc w:val="center"/>
            </w:pPr>
            <w:r>
              <w:rPr>
                <w:rStyle w:val="optioncarChar"/>
              </w:rPr>
              <w:t>***</w:t>
            </w:r>
          </w:p>
        </w:tc>
      </w:tr>
    </w:tbl>
    <w:p w14:paraId="5301C2FC"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5A2301E" w14:textId="77777777" w:rsidR="00DF410E" w:rsidRDefault="00CE7F43">
      <w:pPr>
        <w:pStyle w:val="Author-eListParagraph"/>
        <w:numPr>
          <w:ilvl w:val="0"/>
          <w:numId w:val="607"/>
        </w:numPr>
      </w:pPr>
      <w:r>
        <w:t xml:space="preserve">Classe de viscosité apparente : </w:t>
      </w:r>
      <w:r>
        <w:rPr>
          <w:rStyle w:val="optioncarChar"/>
        </w:rPr>
        <w:t>VS1 / VS2</w:t>
      </w:r>
      <w:r>
        <w:t xml:space="preserve"> (selon la [NBN EN 12350-8] )</w:t>
      </w:r>
    </w:p>
    <w:p w14:paraId="3A1C97F6" w14:textId="77777777" w:rsidR="00DF410E" w:rsidRDefault="00CE7F43">
      <w:pPr>
        <w:pStyle w:val="Author-eListParagraph"/>
        <w:numPr>
          <w:ilvl w:val="0"/>
          <w:numId w:val="607"/>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5FE8085" w14:textId="77777777" w:rsidR="00DF410E" w:rsidRDefault="00CE7F43">
      <w:pPr>
        <w:pStyle w:val="Author-eListParagraph"/>
        <w:numPr>
          <w:ilvl w:val="0"/>
          <w:numId w:val="60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F956B72"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 (voir </w:t>
      </w:r>
      <w:hyperlink w:anchor="231" w:history="1">
        <w:r>
          <w:t>22.51 Armatures pour béton</w:t>
        </w:r>
      </w:hyperlink>
      <w:r>
        <w:t>)</w:t>
      </w:r>
    </w:p>
    <w:p w14:paraId="6247DB70" w14:textId="77777777" w:rsidR="00DF410E" w:rsidRDefault="00CE7F43">
      <w:pPr>
        <w:pStyle w:val="Author-eListParagraph"/>
        <w:numPr>
          <w:ilvl w:val="0"/>
          <w:numId w:val="608"/>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79BA4E85" w14:textId="77777777" w:rsidR="00DF410E" w:rsidRDefault="00CE7F43">
      <w:pPr>
        <w:pStyle w:val="Author-eListParagraph"/>
        <w:numPr>
          <w:ilvl w:val="0"/>
          <w:numId w:val="608"/>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7B6347AA" w14:textId="77777777" w:rsidR="00DF410E" w:rsidRDefault="00CE7F43">
      <w:pPr>
        <w:pStyle w:val="Author-eListParagraph"/>
        <w:numPr>
          <w:ilvl w:val="0"/>
          <w:numId w:val="608"/>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w:t>
      </w:r>
      <w:r>
        <w:t>(par défaut)</w:t>
      </w:r>
      <w:r>
        <w:rPr>
          <w:rStyle w:val="optioncarChar"/>
        </w:rPr>
        <w:t xml:space="preserve"> / ***x***x***x***</w:t>
      </w:r>
      <w:r>
        <w:t xml:space="preserve"> mm.</w:t>
      </w:r>
    </w:p>
    <w:p w14:paraId="2AC12EA2" w14:textId="77777777" w:rsidR="00DF410E" w:rsidRDefault="00CE7F43">
      <w:pPr>
        <w:pStyle w:val="pheading"/>
      </w:pPr>
      <w:r>
        <w:t>- Finitions</w:t>
      </w:r>
    </w:p>
    <w:p w14:paraId="5026C9A7" w14:textId="77777777" w:rsidR="00DF410E" w:rsidRDefault="00CE7F43">
      <w:r>
        <w:t>Surface de béton :</w:t>
      </w:r>
      <w:r>
        <w:rPr>
          <w:rStyle w:val="optioncarChar"/>
        </w:rPr>
        <w:t xml:space="preserve"> brute et lisse </w:t>
      </w:r>
      <w:r>
        <w:t>(par défaut)</w:t>
      </w:r>
      <w:r>
        <w:rPr>
          <w:rStyle w:val="optioncarChar"/>
        </w:rPr>
        <w:t xml:space="preserve"> / rugueux</w:t>
      </w:r>
    </w:p>
    <w:p w14:paraId="7B12EC79" w14:textId="77777777" w:rsidR="00DF410E" w:rsidRDefault="00CE7F43">
      <w:pPr>
        <w:pStyle w:val="pheading"/>
      </w:pPr>
      <w:r>
        <w:t>EXÉCUTION / MISE EN ŒUVRE</w:t>
      </w:r>
    </w:p>
    <w:p w14:paraId="2006D1E0" w14:textId="77777777" w:rsidR="00DF410E" w:rsidRDefault="00CE7F43">
      <w:pPr>
        <w:pStyle w:val="pheading"/>
      </w:pPr>
      <w:r>
        <w:t>- Prescriptions générales</w:t>
      </w:r>
    </w:p>
    <w:p w14:paraId="40AE31DA" w14:textId="77777777" w:rsidR="00DF410E" w:rsidRDefault="00DF410E"/>
    <w:p w14:paraId="75BB49DD" w14:textId="77777777" w:rsidR="00DF410E" w:rsidRDefault="00CE7F43">
      <w:pPr>
        <w:pStyle w:val="Author-eListParagraph"/>
        <w:numPr>
          <w:ilvl w:val="0"/>
          <w:numId w:val="609"/>
        </w:numPr>
      </w:pPr>
      <w:r>
        <w:t xml:space="preserve">L'étude est à charge </w:t>
      </w:r>
      <w:r>
        <w:rPr>
          <w:rStyle w:val="optioncarChar"/>
        </w:rPr>
        <w:t>de l'entrepreneur / du maître de l'ouvrage / du bureau d’étude </w:t>
      </w:r>
      <w:r>
        <w:t xml:space="preserve">( voir </w:t>
      </w:r>
      <w:hyperlink w:anchor="87" w:history="1">
        <w:r>
          <w:t>22 Superstructures en béton</w:t>
        </w:r>
      </w:hyperlink>
      <w:r>
        <w:t xml:space="preserve"> ).</w:t>
      </w:r>
    </w:p>
    <w:p w14:paraId="2D0DA30A" w14:textId="77777777" w:rsidR="00DF410E" w:rsidRDefault="00CE7F43">
      <w:pPr>
        <w:pStyle w:val="Author-eListParagraph"/>
        <w:numPr>
          <w:ilvl w:val="0"/>
          <w:numId w:val="609"/>
        </w:numPr>
      </w:pPr>
      <w:r>
        <w:t xml:space="preserve">Les éléments en encorbellement seront coulés sur place en </w:t>
      </w:r>
      <w:r>
        <w:rPr>
          <w:rStyle w:val="optioncarChar"/>
        </w:rPr>
        <w:t>une seule </w:t>
      </w:r>
      <w:r>
        <w:t>(par défaut)</w:t>
      </w:r>
      <w:r>
        <w:rPr>
          <w:rStyle w:val="optioncarChar"/>
        </w:rPr>
        <w:t xml:space="preserve"> / ***</w:t>
      </w:r>
      <w:r>
        <w:t xml:space="preserve"> fois.</w:t>
      </w:r>
    </w:p>
    <w:p w14:paraId="7F3484EE" w14:textId="77777777" w:rsidR="00DF410E" w:rsidRDefault="00CE7F43">
      <w:pPr>
        <w:pStyle w:val="Author-eListParagraph"/>
        <w:numPr>
          <w:ilvl w:val="0"/>
          <w:numId w:val="609"/>
        </w:numPr>
      </w:pPr>
      <w:r>
        <w:t xml:space="preserve">Le décoffrage se fera au plus tôt </w:t>
      </w:r>
      <w:r>
        <w:rPr>
          <w:rStyle w:val="optioncarChar"/>
        </w:rPr>
        <w:t>***</w:t>
      </w:r>
      <w:r>
        <w:t xml:space="preserve"> jours </w:t>
      </w:r>
      <w:r>
        <w:rPr>
          <w:rStyle w:val="optioncarChar"/>
        </w:rPr>
        <w:t>après le coulage du béton / selon les directives de l’ingénieur.</w:t>
      </w:r>
    </w:p>
    <w:p w14:paraId="1CDC978C" w14:textId="77777777" w:rsidR="00DF410E" w:rsidRDefault="00CE7F43">
      <w:pPr>
        <w:pStyle w:val="pheading"/>
      </w:pPr>
      <w:r>
        <w:t>- Notes d’exécution complémentaires</w:t>
      </w:r>
    </w:p>
    <w:p w14:paraId="55AE9DB7" w14:textId="77777777" w:rsidR="00DF410E" w:rsidRDefault="00DF410E"/>
    <w:p w14:paraId="26E556BD" w14:textId="77777777" w:rsidR="00DF410E" w:rsidRDefault="00CE7F43">
      <w:pPr>
        <w:pStyle w:val="Author-eListParagraph"/>
        <w:numPr>
          <w:ilvl w:val="0"/>
          <w:numId w:val="610"/>
        </w:numPr>
      </w:pPr>
      <w:r>
        <w:t>Raccords visibles : joint en forme de</w:t>
      </w:r>
      <w:r>
        <w:rPr>
          <w:rStyle w:val="optioncarChar"/>
        </w:rPr>
        <w:t> V </w:t>
      </w:r>
      <w:r>
        <w:t>(par défaut)</w:t>
      </w:r>
      <w:r>
        <w:rPr>
          <w:rStyle w:val="optioncarChar"/>
        </w:rPr>
        <w:t xml:space="preserve"> / *** </w:t>
      </w:r>
    </w:p>
    <w:p w14:paraId="473D61A8" w14:textId="77777777" w:rsidR="00DF410E" w:rsidRDefault="00CE7F43">
      <w:pPr>
        <w:pStyle w:val="Author-eListParagraph"/>
        <w:numPr>
          <w:ilvl w:val="0"/>
          <w:numId w:val="610"/>
        </w:numPr>
      </w:pPr>
      <w:r>
        <w:t xml:space="preserve">Joints de reprise : </w:t>
      </w:r>
      <w:r>
        <w:rPr>
          <w:rStyle w:val="optioncarChar"/>
        </w:rPr>
        <w:t>***</w:t>
      </w:r>
    </w:p>
    <w:p w14:paraId="18D8516F" w14:textId="77777777" w:rsidR="00DF410E" w:rsidRDefault="00CE7F43">
      <w:pPr>
        <w:pStyle w:val="Author-eListParagraph"/>
        <w:numPr>
          <w:ilvl w:val="0"/>
          <w:numId w:val="610"/>
        </w:numPr>
      </w:pPr>
      <w:r>
        <w:t>Ancrages : à rupture thermique - système à soumettre pour approbation</w:t>
      </w:r>
    </w:p>
    <w:p w14:paraId="3DB8DC47" w14:textId="77777777" w:rsidR="00DF410E" w:rsidRDefault="00CE7F43">
      <w:pPr>
        <w:pStyle w:val="Author-eListParagraph"/>
        <w:numPr>
          <w:ilvl w:val="0"/>
          <w:numId w:val="610"/>
        </w:numPr>
      </w:pPr>
      <w:r>
        <w:t xml:space="preserve">Ponts d'humidité / étanchéité à l'eau : </w:t>
      </w:r>
      <w:r>
        <w:rPr>
          <w:rStyle w:val="optioncarChar"/>
        </w:rPr>
        <w:t>***</w:t>
      </w:r>
    </w:p>
    <w:p w14:paraId="77E7582C" w14:textId="77777777" w:rsidR="00DF410E" w:rsidRDefault="00CE7F43">
      <w:pPr>
        <w:pStyle w:val="Author-eListParagraph"/>
        <w:numPr>
          <w:ilvl w:val="0"/>
          <w:numId w:val="610"/>
        </w:numPr>
      </w:pPr>
      <w:r>
        <w:t>Ponts thermiques / isolation thermique :</w:t>
      </w:r>
      <w:r>
        <w:rPr>
          <w:rStyle w:val="optioncarChar"/>
        </w:rPr>
        <w:t xml:space="preserve"> ***</w:t>
      </w:r>
    </w:p>
    <w:p w14:paraId="012E7BA9" w14:textId="77777777" w:rsidR="00DF410E" w:rsidRDefault="00CE7F43">
      <w:pPr>
        <w:pStyle w:val="Author-eListParagraph"/>
        <w:numPr>
          <w:ilvl w:val="0"/>
          <w:numId w:val="610"/>
        </w:numPr>
      </w:pPr>
      <w:r>
        <w:t xml:space="preserve">Réservations / pénétrations : </w:t>
      </w:r>
      <w:r>
        <w:rPr>
          <w:rStyle w:val="optioncarChar"/>
        </w:rPr>
        <w:t>***</w:t>
      </w:r>
    </w:p>
    <w:p w14:paraId="6F4AB69E" w14:textId="77777777" w:rsidR="00DF410E" w:rsidRDefault="00CE7F43">
      <w:pPr>
        <w:pStyle w:val="pheading"/>
      </w:pPr>
      <w:r>
        <w:t>MESURAGE</w:t>
      </w:r>
    </w:p>
    <w:p w14:paraId="204CBC65" w14:textId="77777777" w:rsidR="00DF410E" w:rsidRDefault="00CE7F43">
      <w:r>
        <w:rPr>
          <w:color w:val="FF0000"/>
        </w:rPr>
        <w:t xml:space="preserve">Mesurage </w:t>
      </w:r>
    </w:p>
    <w:p w14:paraId="3AE42A69" w14:textId="77777777" w:rsidR="00DF410E" w:rsidRDefault="00CE7F43">
      <w:pPr>
        <w:pStyle w:val="pheading"/>
      </w:pPr>
      <w:r>
        <w:t>- unité de mesure:</w:t>
      </w:r>
    </w:p>
    <w:p w14:paraId="5E3BCF11" w14:textId="77777777" w:rsidR="00DF410E" w:rsidRDefault="00CE7F43">
      <w:r>
        <w:t>m³ pour le béton</w:t>
      </w:r>
      <w:r>
        <w:br/>
        <w:t>kg pour les barres d’armatures</w:t>
      </w:r>
      <w:r>
        <w:br/>
        <w:t>PM, coffrages</w:t>
      </w:r>
    </w:p>
    <w:p w14:paraId="37839F9C" w14:textId="77777777" w:rsidR="00DF410E" w:rsidRDefault="00CE7F43">
      <w:pPr>
        <w:pStyle w:val="pheading"/>
      </w:pPr>
      <w:r>
        <w:t>- nature du marché:</w:t>
      </w:r>
    </w:p>
    <w:p w14:paraId="4F8EF4BE" w14:textId="77777777" w:rsidR="00DF410E" w:rsidRDefault="00CE7F43">
      <w:r>
        <w:t>QF</w:t>
      </w:r>
    </w:p>
    <w:p w14:paraId="3A500B65" w14:textId="77777777" w:rsidR="00DF410E" w:rsidRDefault="00CE7F43">
      <w:pPr>
        <w:pStyle w:val="Author-eSectionHeading5"/>
      </w:pPr>
      <w:bookmarkStart w:id="890" w:name="_Toc178838042"/>
      <w:r>
        <w:t>22.36.2 Corniches en béton apparent (esthétique) coulé en place CCTB 01.04</w:t>
      </w:r>
      <w:bookmarkEnd w:id="890"/>
    </w:p>
    <w:p w14:paraId="2BD1EA86" w14:textId="77777777" w:rsidR="00DF410E" w:rsidRDefault="00CE7F43">
      <w:pPr>
        <w:pStyle w:val="Author-eSectionHeading6"/>
      </w:pPr>
      <w:bookmarkStart w:id="891" w:name="_Toc178838043"/>
      <w:r>
        <w:t>22.36.2a Corniches en béton apparent (esthétique) coulé en place CCTB 01.12</w:t>
      </w:r>
      <w:bookmarkEnd w:id="891"/>
    </w:p>
    <w:p w14:paraId="2F1EDF70" w14:textId="77777777" w:rsidR="00DF410E" w:rsidRDefault="00CE7F43">
      <w:pPr>
        <w:pStyle w:val="pheading"/>
      </w:pPr>
      <w:r>
        <w:t>DESCRIPTION</w:t>
      </w:r>
    </w:p>
    <w:p w14:paraId="4E6E8D79" w14:textId="77777777" w:rsidR="00DF410E" w:rsidRDefault="00CE7F43">
      <w:pPr>
        <w:pStyle w:val="pheading"/>
      </w:pPr>
      <w:r>
        <w:t>- Définition / Comprend</w:t>
      </w:r>
    </w:p>
    <w:p w14:paraId="0236473C" w14:textId="77777777" w:rsidR="00DF410E" w:rsidRDefault="00CE7F43">
      <w:r>
        <w:t xml:space="preserve">Il s'agit de toutes les </w:t>
      </w:r>
      <w:r>
        <w:rPr>
          <w:rStyle w:val="optioncarChar"/>
          <w:color w:val="000000"/>
        </w:rPr>
        <w:t xml:space="preserve">corniches </w:t>
      </w:r>
      <w:r>
        <w:t>exécutées en béton apparent coulé en place.</w:t>
      </w:r>
    </w:p>
    <w:p w14:paraId="775767F7" w14:textId="77777777" w:rsidR="00DF410E" w:rsidRDefault="00CE7F43">
      <w:pPr>
        <w:pStyle w:val="pheading"/>
      </w:pPr>
      <w:r>
        <w:t>MATÉRIAUX</w:t>
      </w:r>
    </w:p>
    <w:p w14:paraId="6F3C5E26" w14:textId="77777777" w:rsidR="00DF410E" w:rsidRDefault="00CE7F43">
      <w:pPr>
        <w:pStyle w:val="pheading"/>
      </w:pPr>
      <w:r>
        <w:t>- Caractéristiques générales</w:t>
      </w:r>
    </w:p>
    <w:p w14:paraId="79F4CC77" w14:textId="77777777" w:rsidR="00DF410E" w:rsidRDefault="00CE7F43">
      <w:pPr>
        <w:pStyle w:val="heading"/>
      </w:pPr>
      <w:r>
        <w:t>Spécifications</w:t>
      </w:r>
    </w:p>
    <w:p w14:paraId="3F54EA64" w14:textId="77777777" w:rsidR="00DF410E" w:rsidRDefault="00CE7F43">
      <w:r>
        <w:t xml:space="preserve">Qualité du béton selon la [NBN EN 206:2013+A2] et la [NBN B 15-001] (voir également </w:t>
      </w:r>
      <w:hyperlink w:anchor="87"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2C3C7DE5" w14:textId="77777777">
        <w:tc>
          <w:tcPr>
            <w:tcW w:w="1500" w:type="dxa"/>
            <w:noWrap/>
          </w:tcPr>
          <w:p w14:paraId="37B0CD3A" w14:textId="77777777" w:rsidR="00DF410E" w:rsidRDefault="00CE7F43">
            <w:pPr>
              <w:jc w:val="center"/>
            </w:pPr>
            <w:r>
              <w:rPr>
                <w:b/>
              </w:rPr>
              <w:t>A</w:t>
            </w:r>
          </w:p>
        </w:tc>
        <w:tc>
          <w:tcPr>
            <w:tcW w:w="1500" w:type="dxa"/>
            <w:noWrap/>
          </w:tcPr>
          <w:p w14:paraId="14BE0E2D" w14:textId="77777777" w:rsidR="00DF410E" w:rsidRDefault="00CE7F43">
            <w:pPr>
              <w:jc w:val="center"/>
            </w:pPr>
            <w:r>
              <w:rPr>
                <w:b/>
              </w:rPr>
              <w:t>B1</w:t>
            </w:r>
          </w:p>
        </w:tc>
        <w:tc>
          <w:tcPr>
            <w:tcW w:w="1500" w:type="dxa"/>
            <w:noWrap/>
          </w:tcPr>
          <w:p w14:paraId="5A32A199" w14:textId="77777777" w:rsidR="00DF410E" w:rsidRDefault="00CE7F43">
            <w:pPr>
              <w:jc w:val="center"/>
            </w:pPr>
            <w:r>
              <w:rPr>
                <w:b/>
              </w:rPr>
              <w:t>B2</w:t>
            </w:r>
          </w:p>
        </w:tc>
        <w:tc>
          <w:tcPr>
            <w:tcW w:w="1500" w:type="dxa"/>
            <w:noWrap/>
          </w:tcPr>
          <w:p w14:paraId="636E4ED6" w14:textId="77777777" w:rsidR="00DF410E" w:rsidRDefault="00CE7F43">
            <w:pPr>
              <w:jc w:val="center"/>
            </w:pPr>
            <w:r>
              <w:rPr>
                <w:b/>
              </w:rPr>
              <w:t>C</w:t>
            </w:r>
          </w:p>
        </w:tc>
        <w:tc>
          <w:tcPr>
            <w:tcW w:w="1500" w:type="dxa"/>
            <w:noWrap/>
          </w:tcPr>
          <w:p w14:paraId="19D342EF" w14:textId="77777777" w:rsidR="00DF410E" w:rsidRDefault="00CE7F43">
            <w:pPr>
              <w:jc w:val="center"/>
            </w:pPr>
            <w:r>
              <w:rPr>
                <w:b/>
              </w:rPr>
              <w:t>D</w:t>
            </w:r>
          </w:p>
        </w:tc>
        <w:tc>
          <w:tcPr>
            <w:tcW w:w="1500" w:type="dxa"/>
            <w:noWrap/>
          </w:tcPr>
          <w:p w14:paraId="58BB8079" w14:textId="77777777" w:rsidR="00DF410E" w:rsidRDefault="00CE7F43">
            <w:pPr>
              <w:jc w:val="center"/>
            </w:pPr>
            <w:r>
              <w:rPr>
                <w:b/>
              </w:rPr>
              <w:t>E</w:t>
            </w:r>
          </w:p>
        </w:tc>
      </w:tr>
      <w:tr w:rsidR="00DF410E" w14:paraId="6CD132FC" w14:textId="77777777">
        <w:tc>
          <w:tcPr>
            <w:tcW w:w="1500" w:type="dxa"/>
            <w:noWrap/>
          </w:tcPr>
          <w:p w14:paraId="27B68F29" w14:textId="77777777" w:rsidR="00DF410E" w:rsidRDefault="00CE7F43">
            <w:pPr>
              <w:jc w:val="center"/>
            </w:pPr>
            <w:r>
              <w:rPr>
                <w:b/>
              </w:rPr>
              <w:t>Classe de résistance</w:t>
            </w:r>
          </w:p>
        </w:tc>
        <w:tc>
          <w:tcPr>
            <w:tcW w:w="1500" w:type="dxa"/>
            <w:noWrap/>
          </w:tcPr>
          <w:p w14:paraId="219EF0FD" w14:textId="77777777" w:rsidR="00DF410E" w:rsidRDefault="00CE7F43">
            <w:pPr>
              <w:jc w:val="center"/>
            </w:pPr>
            <w:r>
              <w:rPr>
                <w:b/>
              </w:rPr>
              <w:t>Domaine d’application</w:t>
            </w:r>
          </w:p>
        </w:tc>
        <w:tc>
          <w:tcPr>
            <w:tcW w:w="1500" w:type="dxa"/>
            <w:noWrap/>
          </w:tcPr>
          <w:p w14:paraId="698FCC42" w14:textId="77777777" w:rsidR="00DF410E" w:rsidRDefault="00CE7F43">
            <w:pPr>
              <w:jc w:val="center"/>
            </w:pPr>
            <w:r>
              <w:rPr>
                <w:b/>
              </w:rPr>
              <w:t>Classe d'environnement</w:t>
            </w:r>
          </w:p>
        </w:tc>
        <w:tc>
          <w:tcPr>
            <w:tcW w:w="1500" w:type="dxa"/>
            <w:noWrap/>
          </w:tcPr>
          <w:p w14:paraId="4C9C0293" w14:textId="77777777" w:rsidR="00DF410E" w:rsidRDefault="00CE7F43">
            <w:pPr>
              <w:jc w:val="center"/>
            </w:pPr>
            <w:r>
              <w:rPr>
                <w:b/>
              </w:rPr>
              <w:t>Classe de consistance</w:t>
            </w:r>
          </w:p>
        </w:tc>
        <w:tc>
          <w:tcPr>
            <w:tcW w:w="1500" w:type="dxa"/>
            <w:noWrap/>
          </w:tcPr>
          <w:p w14:paraId="181BB23F" w14:textId="77777777" w:rsidR="00DF410E" w:rsidRDefault="00CE7F43">
            <w:pPr>
              <w:jc w:val="center"/>
            </w:pPr>
            <w:r>
              <w:rPr>
                <w:b/>
              </w:rPr>
              <w:t>Granulométrie maximale</w:t>
            </w:r>
          </w:p>
        </w:tc>
        <w:tc>
          <w:tcPr>
            <w:tcW w:w="1500" w:type="dxa"/>
            <w:noWrap/>
          </w:tcPr>
          <w:p w14:paraId="7991E37D" w14:textId="77777777" w:rsidR="00DF410E" w:rsidRDefault="00CE7F43">
            <w:r>
              <w:rPr>
                <w:b/>
              </w:rPr>
              <w:t>Données complémentaires</w:t>
            </w:r>
          </w:p>
        </w:tc>
      </w:tr>
      <w:tr w:rsidR="00DF410E" w14:paraId="674C5557" w14:textId="77777777">
        <w:tc>
          <w:tcPr>
            <w:tcW w:w="1500" w:type="dxa"/>
            <w:noWrap/>
          </w:tcPr>
          <w:p w14:paraId="309DE210" w14:textId="77777777" w:rsidR="00DF410E" w:rsidRDefault="00CE7F43">
            <w:pPr>
              <w:jc w:val="center"/>
            </w:pPr>
            <w:r>
              <w:rPr>
                <w:rStyle w:val="optioncarChar"/>
              </w:rPr>
              <w:t>C25/30 / C30/37 / C35/45 / C45/55 / C50/60 / C55/67 / C60/75 / C70/85 / C80/95 / C90/105</w:t>
            </w:r>
          </w:p>
        </w:tc>
        <w:tc>
          <w:tcPr>
            <w:tcW w:w="1500" w:type="dxa"/>
            <w:noWrap/>
          </w:tcPr>
          <w:p w14:paraId="33F644AC" w14:textId="77777777" w:rsidR="00DF410E" w:rsidRDefault="00CE7F43">
            <w:pPr>
              <w:jc w:val="center"/>
            </w:pPr>
            <w:r>
              <w:t>Béton armé</w:t>
            </w:r>
          </w:p>
          <w:p w14:paraId="09B5518E" w14:textId="77777777" w:rsidR="00DF410E" w:rsidRDefault="00DF410E"/>
        </w:tc>
        <w:tc>
          <w:tcPr>
            <w:tcW w:w="1500" w:type="dxa"/>
            <w:noWrap/>
          </w:tcPr>
          <w:p w14:paraId="0C066A9D" w14:textId="77777777" w:rsidR="00DF410E" w:rsidRDefault="00CE7F43">
            <w:pPr>
              <w:jc w:val="center"/>
            </w:pPr>
            <w:r>
              <w:rPr>
                <w:rStyle w:val="optioncarChar"/>
              </w:rPr>
              <w:t>E0 / EI / EE1 / EE2 / EE3 / EE4 / ES1 / ES2 / ES3 / ES4 / EA1+*** / EA2+***/ EA3+***</w:t>
            </w:r>
          </w:p>
        </w:tc>
        <w:tc>
          <w:tcPr>
            <w:tcW w:w="1500" w:type="dxa"/>
            <w:noWrap/>
          </w:tcPr>
          <w:p w14:paraId="6D34BB16" w14:textId="77777777" w:rsidR="00DF410E" w:rsidRDefault="00CE7F43">
            <w:pPr>
              <w:jc w:val="center"/>
            </w:pPr>
            <w:r>
              <w:t>au choix de l'entrepreneur :</w:t>
            </w:r>
          </w:p>
          <w:p w14:paraId="1AFA21B9" w14:textId="77777777" w:rsidR="00DF410E" w:rsidRDefault="00CE7F43">
            <w:pPr>
              <w:jc w:val="center"/>
            </w:pPr>
            <w:r>
              <w:rPr>
                <w:rStyle w:val="optioncarChar"/>
              </w:rPr>
              <w:t>S3 / S4 / S5</w:t>
            </w:r>
          </w:p>
          <w:p w14:paraId="08EC6AE3" w14:textId="77777777" w:rsidR="00DF410E" w:rsidRDefault="00CE7F43">
            <w:pPr>
              <w:jc w:val="center"/>
            </w:pPr>
            <w:r>
              <w:rPr>
                <w:rStyle w:val="optioncarChar"/>
              </w:rPr>
              <w:t>F3 / F4 / F5 / F6</w:t>
            </w:r>
            <w:r>
              <w:br/>
            </w:r>
          </w:p>
        </w:tc>
        <w:tc>
          <w:tcPr>
            <w:tcW w:w="1500" w:type="dxa"/>
            <w:noWrap/>
          </w:tcPr>
          <w:p w14:paraId="70CD2E2D" w14:textId="77777777" w:rsidR="00DF410E" w:rsidRDefault="00CE7F43">
            <w:pPr>
              <w:jc w:val="center"/>
            </w:pPr>
            <w:r>
              <w:t>au choix de l'entrepreneur :</w:t>
            </w:r>
          </w:p>
          <w:p w14:paraId="0A715888" w14:textId="77777777" w:rsidR="00DF410E" w:rsidRDefault="00CE7F43">
            <w:pPr>
              <w:jc w:val="center"/>
            </w:pPr>
            <w:r>
              <w:rPr>
                <w:rStyle w:val="optioncarChar"/>
              </w:rPr>
              <w:t>6 / 8 / 10 / 11 / 12 / 14 / 16 / 20 / 22 / 32</w:t>
            </w:r>
            <w:r>
              <w:t xml:space="preserve"> mm</w:t>
            </w:r>
          </w:p>
        </w:tc>
        <w:tc>
          <w:tcPr>
            <w:tcW w:w="1500" w:type="dxa"/>
            <w:noWrap/>
          </w:tcPr>
          <w:p w14:paraId="395E0757" w14:textId="77777777" w:rsidR="00DF410E" w:rsidRDefault="00CE7F43">
            <w:pPr>
              <w:jc w:val="center"/>
            </w:pPr>
            <w:r>
              <w:rPr>
                <w:rStyle w:val="optioncarChar"/>
              </w:rPr>
              <w:t>***</w:t>
            </w:r>
          </w:p>
        </w:tc>
      </w:tr>
    </w:tbl>
    <w:p w14:paraId="7672E868"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14ADD03" w14:textId="77777777" w:rsidR="00DF410E" w:rsidRDefault="00CE7F43">
      <w:pPr>
        <w:pStyle w:val="Author-eListParagraph"/>
        <w:numPr>
          <w:ilvl w:val="0"/>
          <w:numId w:val="611"/>
        </w:numPr>
      </w:pPr>
      <w:r>
        <w:t xml:space="preserve">Classe de viscosité apparente : </w:t>
      </w:r>
      <w:r>
        <w:rPr>
          <w:rStyle w:val="optioncarChar"/>
        </w:rPr>
        <w:t>VS1 / VS2</w:t>
      </w:r>
      <w:r>
        <w:t xml:space="preserve"> (selon la [NBN EN 12350-8] )</w:t>
      </w:r>
    </w:p>
    <w:p w14:paraId="200D800D" w14:textId="77777777" w:rsidR="00DF410E" w:rsidRDefault="00CE7F43">
      <w:pPr>
        <w:pStyle w:val="Author-eListParagraph"/>
        <w:numPr>
          <w:ilvl w:val="0"/>
          <w:numId w:val="61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0F642E5" w14:textId="77777777" w:rsidR="00DF410E" w:rsidRDefault="00CE7F43">
      <w:pPr>
        <w:pStyle w:val="Author-eListParagraph"/>
        <w:numPr>
          <w:ilvl w:val="0"/>
          <w:numId w:val="61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27132AB"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 (voir </w:t>
      </w:r>
      <w:hyperlink w:anchor="231" w:history="1">
        <w:r>
          <w:t>22.51 Armatures pour béton</w:t>
        </w:r>
      </w:hyperlink>
      <w:r>
        <w:t>)</w:t>
      </w:r>
    </w:p>
    <w:p w14:paraId="0BB19E0B" w14:textId="77777777" w:rsidR="00DF410E" w:rsidRDefault="00CE7F43">
      <w:pPr>
        <w:pStyle w:val="Author-eListParagraph"/>
        <w:numPr>
          <w:ilvl w:val="0"/>
          <w:numId w:val="612"/>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3808D042" w14:textId="77777777" w:rsidR="00DF410E" w:rsidRDefault="00CE7F43">
      <w:pPr>
        <w:pStyle w:val="Author-eListParagraph"/>
        <w:numPr>
          <w:ilvl w:val="0"/>
          <w:numId w:val="61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52A39A9" w14:textId="77777777" w:rsidR="00DF410E" w:rsidRDefault="00CE7F43">
      <w:pPr>
        <w:pStyle w:val="Author-eListParagraph"/>
        <w:numPr>
          <w:ilvl w:val="0"/>
          <w:numId w:val="612"/>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dimensions </w:t>
      </w:r>
      <w:r>
        <w:rPr>
          <w:rStyle w:val="optioncarChar"/>
        </w:rPr>
        <w:t>150 x 150 x 6 x 6 </w:t>
      </w:r>
      <w:r>
        <w:t>(par défaut)</w:t>
      </w:r>
      <w:r>
        <w:rPr>
          <w:rStyle w:val="optioncarChar"/>
        </w:rPr>
        <w:t xml:space="preserve"> / ***x***x***x***</w:t>
      </w:r>
      <w:r>
        <w:t xml:space="preserve"> mm.</w:t>
      </w:r>
    </w:p>
    <w:p w14:paraId="7FF2DF62" w14:textId="77777777" w:rsidR="00DF410E" w:rsidRDefault="00DF410E"/>
    <w:p w14:paraId="2370AE63" w14:textId="77777777" w:rsidR="00DF410E" w:rsidRDefault="00CE7F43">
      <w:pPr>
        <w:pStyle w:val="pheading"/>
      </w:pPr>
      <w:r>
        <w:t>- Finitions</w:t>
      </w:r>
    </w:p>
    <w:p w14:paraId="34DEC224" w14:textId="77777777" w:rsidR="00DF410E" w:rsidRDefault="00CE7F43">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87" w:history="1">
        <w:r>
          <w:t>22 Superstructures en béton</w:t>
        </w:r>
      </w:hyperlink>
      <w:r>
        <w:t>.</w:t>
      </w:r>
    </w:p>
    <w:p w14:paraId="60CA9F11" w14:textId="77777777" w:rsidR="00DF410E" w:rsidRDefault="00CE7F43">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484" w:history="1">
        <w:r>
          <w:t>22.71 Traitements esthétiques ou de surface</w:t>
        </w:r>
      </w:hyperlink>
      <w:r>
        <w:t>.</w:t>
      </w:r>
    </w:p>
    <w:p w14:paraId="58452DA9" w14:textId="77777777" w:rsidR="00DF410E" w:rsidRDefault="00CE7F43">
      <w:r>
        <w:t xml:space="preserve">La face supérieure non coffrée des éléments est </w:t>
      </w:r>
      <w:r>
        <w:rPr>
          <w:rStyle w:val="optioncarChar"/>
        </w:rPr>
        <w:t>laissée rugueuse / lissée à la taloche / lavée à l’eau / brossée / bouchardée / grenaillée / grésée / polie mat / polie brillant.</w:t>
      </w:r>
    </w:p>
    <w:p w14:paraId="70F5881B" w14:textId="77777777" w:rsidR="00DF410E" w:rsidRDefault="00CE7F43">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87"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16735A3D" w14:textId="77777777" w:rsidR="00DF410E" w:rsidRDefault="00CE7F43">
      <w:pPr>
        <w:pStyle w:val="Author-eListParagraph"/>
        <w:numPr>
          <w:ilvl w:val="0"/>
          <w:numId w:val="613"/>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62599553" w14:textId="77777777" w:rsidR="00DF410E" w:rsidRDefault="00CE7F43">
      <w:pPr>
        <w:pStyle w:val="Author-eListParagraph"/>
        <w:numPr>
          <w:ilvl w:val="0"/>
          <w:numId w:val="613"/>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21C26FB7" w14:textId="77777777" w:rsidR="00DF410E" w:rsidRDefault="00CE7F43">
      <w:pPr>
        <w:pStyle w:val="Author-eListParagraph"/>
        <w:numPr>
          <w:ilvl w:val="0"/>
          <w:numId w:val="613"/>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3B447BCC" w14:textId="77777777" w:rsidR="00DF410E" w:rsidRDefault="00CE7F43">
      <w:pPr>
        <w:pStyle w:val="Author-eListParagraph"/>
        <w:numPr>
          <w:ilvl w:val="0"/>
          <w:numId w:val="613"/>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4D4E236A" w14:textId="77777777" w:rsidR="00DF410E" w:rsidRDefault="00CE7F43">
      <w:r>
        <w:rPr>
          <w:rStyle w:val="optioncarChar"/>
          <w:color w:val="000000"/>
        </w:rPr>
        <w:t>Les arêtes saillantes des éléments en béton sont</w:t>
      </w:r>
      <w:r>
        <w:rPr>
          <w:rStyle w:val="optioncarChar"/>
        </w:rPr>
        <w:t xml:space="preserve"> vives / chanfreinées </w:t>
      </w:r>
      <w:r>
        <w:t xml:space="preserve">(par défaut) </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49B17F56" w14:textId="77777777" w:rsidR="00DF410E" w:rsidRDefault="00CE7F43">
      <w:pPr>
        <w:pStyle w:val="pheading"/>
      </w:pPr>
      <w:r>
        <w:t>EXÉCUTION / MISE EN ŒUVRE</w:t>
      </w:r>
    </w:p>
    <w:p w14:paraId="396EDA50" w14:textId="77777777" w:rsidR="00DF410E" w:rsidRDefault="00CE7F43">
      <w:pPr>
        <w:pStyle w:val="pheading"/>
      </w:pPr>
      <w:r>
        <w:t>- Prescriptions générales</w:t>
      </w:r>
    </w:p>
    <w:p w14:paraId="6CBA0142" w14:textId="77777777" w:rsidR="00DF410E" w:rsidRDefault="00CE7F43">
      <w:r>
        <w:t xml:space="preserve">L'étude est à charge </w:t>
      </w:r>
      <w:r>
        <w:rPr>
          <w:rStyle w:val="optioncarChar"/>
        </w:rPr>
        <w:t>de l'entrepreneur / du maître de  l'ouvrage / du bureau d’étude </w:t>
      </w:r>
      <w:r>
        <w:t xml:space="preserve">( </w:t>
      </w:r>
      <w:hyperlink w:anchor="87" w:history="1">
        <w:r>
          <w:t>22 Superstructures en béton</w:t>
        </w:r>
      </w:hyperlink>
      <w:r>
        <w:t>).</w:t>
      </w:r>
      <w:r>
        <w:br/>
        <w:t xml:space="preserve">Les éléments en encorbellement sont coulés sur place en </w:t>
      </w:r>
      <w:r>
        <w:rPr>
          <w:rStyle w:val="optioncarChar"/>
        </w:rPr>
        <w:t>une seule </w:t>
      </w:r>
      <w:r>
        <w:t>(par défaut)</w:t>
      </w:r>
      <w:r>
        <w:rPr>
          <w:rStyle w:val="optioncarChar"/>
        </w:rPr>
        <w:t xml:space="preserve"> / ***</w:t>
      </w:r>
      <w:r>
        <w:t xml:space="preserve"> fois.</w:t>
      </w:r>
      <w:r>
        <w:br/>
        <w:t xml:space="preserve">Le décoffrage se fait au plus tôt </w:t>
      </w:r>
      <w:r>
        <w:rPr>
          <w:rStyle w:val="optioncarChar"/>
        </w:rPr>
        <w:t>***</w:t>
      </w:r>
      <w:r>
        <w:t xml:space="preserve"> jours </w:t>
      </w:r>
      <w:r>
        <w:rPr>
          <w:rStyle w:val="optioncarChar"/>
        </w:rPr>
        <w:t>après le coulage du béton / selon les directives de l’ingénieur.</w:t>
      </w:r>
    </w:p>
    <w:p w14:paraId="36CF24C8" w14:textId="77777777" w:rsidR="00DF410E" w:rsidRDefault="00CE7F43">
      <w:pPr>
        <w:pStyle w:val="pheading"/>
      </w:pPr>
      <w:r>
        <w:t>- Notes d’exécution complémentaires</w:t>
      </w:r>
    </w:p>
    <w:p w14:paraId="43C2E466" w14:textId="77777777" w:rsidR="00DF410E" w:rsidRDefault="00CE7F43">
      <w:r>
        <w:t>Raccords visibles : joint en forme de</w:t>
      </w:r>
      <w:r>
        <w:rPr>
          <w:rStyle w:val="optioncarChar"/>
        </w:rPr>
        <w:t> V </w:t>
      </w:r>
      <w:r>
        <w:t xml:space="preserve">(par défaut) </w:t>
      </w:r>
      <w:r>
        <w:rPr>
          <w:rStyle w:val="optioncarChar"/>
        </w:rPr>
        <w:t>/ *** .</w:t>
      </w:r>
      <w:r>
        <w:br/>
        <w:t xml:space="preserve">Joints de reprise : </w:t>
      </w:r>
      <w:r>
        <w:rPr>
          <w:rStyle w:val="optioncarChar"/>
        </w:rPr>
        <w:t>***</w:t>
      </w:r>
      <w:r>
        <w:br/>
        <w:t>Ancrages : à rupture thermique - système à soumettre pour approbation</w:t>
      </w:r>
      <w:r>
        <w:br/>
        <w:t>Ponts d'humidité / étanchéité à l'eau :</w:t>
      </w:r>
      <w:r>
        <w:rPr>
          <w:rStyle w:val="optioncarChar"/>
        </w:rPr>
        <w:t xml:space="preserve"> ***</w:t>
      </w:r>
      <w:r>
        <w:br/>
        <w:t>Ponts thermiques / isolation thermique :</w:t>
      </w:r>
      <w:r>
        <w:rPr>
          <w:rStyle w:val="optioncarChar"/>
        </w:rPr>
        <w:t xml:space="preserve"> ***</w:t>
      </w:r>
      <w:r>
        <w:br/>
        <w:t xml:space="preserve">Réservations / pénétrations : </w:t>
      </w:r>
      <w:r>
        <w:rPr>
          <w:rStyle w:val="optioncarChar"/>
        </w:rPr>
        <w:t>***</w:t>
      </w:r>
    </w:p>
    <w:p w14:paraId="26C0EB6E" w14:textId="77777777" w:rsidR="00DF410E" w:rsidRDefault="00CE7F43">
      <w:pPr>
        <w:pStyle w:val="pheading"/>
      </w:pPr>
      <w:r>
        <w:t>MESURAGE</w:t>
      </w:r>
    </w:p>
    <w:p w14:paraId="5214B4A6" w14:textId="77777777" w:rsidR="00DF410E" w:rsidRDefault="00CE7F43">
      <w:r>
        <w:rPr>
          <w:color w:val="FF0000"/>
        </w:rPr>
        <w:t xml:space="preserve">Mesurage </w:t>
      </w:r>
    </w:p>
    <w:p w14:paraId="7F632E66" w14:textId="77777777" w:rsidR="00DF410E" w:rsidRDefault="00CE7F43">
      <w:pPr>
        <w:pStyle w:val="pheading"/>
      </w:pPr>
      <w:r>
        <w:t>- unité de mesure:</w:t>
      </w:r>
    </w:p>
    <w:p w14:paraId="1AF8070D" w14:textId="77777777" w:rsidR="00DF410E" w:rsidRDefault="00CE7F43">
      <w:r>
        <w:t>m³ pour le béton</w:t>
      </w:r>
      <w:r>
        <w:br/>
        <w:t>kg pour les barres d’armatures</w:t>
      </w:r>
      <w:r>
        <w:br/>
        <w:t>PM, coffrages</w:t>
      </w:r>
    </w:p>
    <w:p w14:paraId="38334B46" w14:textId="77777777" w:rsidR="00DF410E" w:rsidRDefault="00CE7F43">
      <w:pPr>
        <w:pStyle w:val="pheading"/>
      </w:pPr>
      <w:r>
        <w:t>- nature du marché:</w:t>
      </w:r>
    </w:p>
    <w:p w14:paraId="22DB9632" w14:textId="77777777" w:rsidR="00DF410E" w:rsidRDefault="00CE7F43">
      <w:r>
        <w:t>QF</w:t>
      </w:r>
    </w:p>
    <w:p w14:paraId="5D1DC6DE" w14:textId="77777777" w:rsidR="00DF410E" w:rsidRDefault="00CE7F43">
      <w:pPr>
        <w:pStyle w:val="Author-eSectionHeading5"/>
      </w:pPr>
      <w:bookmarkStart w:id="892" w:name="_Toc178838044"/>
      <w:r>
        <w:t>22.36.3 Corniches préfabriquées en béton CCTB 01.07</w:t>
      </w:r>
      <w:bookmarkEnd w:id="892"/>
    </w:p>
    <w:p w14:paraId="5A631028" w14:textId="77777777" w:rsidR="00DF410E" w:rsidRDefault="00CE7F43">
      <w:pPr>
        <w:pStyle w:val="pheading"/>
      </w:pPr>
      <w:r>
        <w:t>DESCRIPTION</w:t>
      </w:r>
    </w:p>
    <w:p w14:paraId="256FC2BF" w14:textId="77777777" w:rsidR="00DF410E" w:rsidRDefault="00CE7F43">
      <w:pPr>
        <w:pStyle w:val="pheading"/>
      </w:pPr>
      <w:r>
        <w:t>- Définition / Comprend</w:t>
      </w:r>
    </w:p>
    <w:p w14:paraId="4B8EE8A9" w14:textId="77777777" w:rsidR="00DF410E" w:rsidRDefault="00CE7F43">
      <w:r>
        <w:t xml:space="preserve">Il s'agit de toutes les </w:t>
      </w:r>
      <w:r>
        <w:rPr>
          <w:rStyle w:val="optioncarChar"/>
          <w:color w:val="000000"/>
        </w:rPr>
        <w:t xml:space="preserve">corniches </w:t>
      </w:r>
      <w:r>
        <w:t>qui sont préfabriquées et sont ensuite intégrés dans la construction portante avec les moyens appropriés.</w:t>
      </w:r>
    </w:p>
    <w:p w14:paraId="44807BFA" w14:textId="77777777" w:rsidR="00DF410E" w:rsidRDefault="00CE7F43">
      <w:pPr>
        <w:pStyle w:val="pheading"/>
      </w:pPr>
      <w:r>
        <w:t>MATÉRIAUX</w:t>
      </w:r>
    </w:p>
    <w:p w14:paraId="102104D5" w14:textId="77777777" w:rsidR="00DF410E" w:rsidRDefault="00CE7F43">
      <w:r>
        <w:t xml:space="preserve">L’ensemble des matériaux, des éléments de support et des assemblages doivent satisfaire aux charges d’exploitation et à la classe d’exposition indiquées préalablement (voir également l’art. </w:t>
      </w:r>
      <w:hyperlink w:anchor="87" w:history="1">
        <w:r>
          <w:t>22 Superstructures en béton</w:t>
        </w:r>
      </w:hyperlink>
      <w:r>
        <w:t>).</w:t>
      </w:r>
    </w:p>
    <w:p w14:paraId="5DC31F24" w14:textId="77777777" w:rsidR="00DF410E" w:rsidRDefault="00CE7F43">
      <w:pPr>
        <w:pStyle w:val="heading"/>
      </w:pPr>
      <w:r>
        <w:t>Spécifications</w:t>
      </w:r>
    </w:p>
    <w:p w14:paraId="218E9806" w14:textId="77777777" w:rsidR="00DF410E" w:rsidRDefault="00CE7F43">
      <w:pPr>
        <w:pStyle w:val="Author-eListParagraph"/>
        <w:numPr>
          <w:ilvl w:val="0"/>
          <w:numId w:val="614"/>
        </w:numPr>
      </w:pPr>
      <w:r>
        <w:t>Conformes à la [NBN EN 13369:2023] et à la [NBN B 21-600]</w:t>
      </w:r>
    </w:p>
    <w:p w14:paraId="766ADFE4" w14:textId="77777777" w:rsidR="00DF410E" w:rsidRDefault="00CE7F43">
      <w:pPr>
        <w:pStyle w:val="Author-eListParagraph"/>
        <w:numPr>
          <w:ilvl w:val="0"/>
          <w:numId w:val="614"/>
        </w:numPr>
      </w:pPr>
      <w:r>
        <w:t>Forme et dimensions : conformément aux indications sur les plans</w:t>
      </w:r>
    </w:p>
    <w:p w14:paraId="7D1C1321" w14:textId="77777777" w:rsidR="00DF410E" w:rsidRDefault="00CE7F43">
      <w:pPr>
        <w:pStyle w:val="Author-eListParagraph"/>
        <w:numPr>
          <w:ilvl w:val="0"/>
          <w:numId w:val="614"/>
        </w:numPr>
      </w:pPr>
      <w:r>
        <w:t xml:space="preserve">Classe d'exploitation : </w:t>
      </w:r>
      <w:r>
        <w:rPr>
          <w:rStyle w:val="optioncarChar"/>
        </w:rPr>
        <w:t>***</w:t>
      </w:r>
    </w:p>
    <w:p w14:paraId="3916C902" w14:textId="77777777" w:rsidR="00DF410E" w:rsidRDefault="00CE7F43">
      <w:pPr>
        <w:pStyle w:val="Author-eListParagraph"/>
        <w:numPr>
          <w:ilvl w:val="0"/>
          <w:numId w:val="614"/>
        </w:numPr>
      </w:pPr>
      <w:r>
        <w:t>Classe d'environnement:</w:t>
      </w:r>
      <w:r>
        <w:rPr>
          <w:rStyle w:val="optioncarChar"/>
        </w:rPr>
        <w:t xml:space="preserve"> ***</w:t>
      </w:r>
    </w:p>
    <w:p w14:paraId="3A2A1A7C" w14:textId="77777777" w:rsidR="00DF410E" w:rsidRDefault="00CE7F43">
      <w:pPr>
        <w:pStyle w:val="Author-eListParagraph"/>
        <w:numPr>
          <w:ilvl w:val="0"/>
          <w:numId w:val="614"/>
        </w:numPr>
      </w:pPr>
      <w:r>
        <w:t>Eléments d’ancrage : avec dispositif de rupture thermique - système à soumettre pour approbation</w:t>
      </w:r>
    </w:p>
    <w:p w14:paraId="7C46C8D5" w14:textId="77777777" w:rsidR="00DF410E" w:rsidRDefault="00CE7F43">
      <w:pPr>
        <w:pStyle w:val="pheading"/>
      </w:pPr>
      <w:r>
        <w:t>EXÉCUTION / MISE EN ŒUVRE</w:t>
      </w:r>
    </w:p>
    <w:p w14:paraId="42937FA7" w14:textId="77777777" w:rsidR="00DF410E" w:rsidRDefault="00CE7F43">
      <w:r>
        <w:t xml:space="preserve">Les éléments de </w:t>
      </w:r>
      <w:r>
        <w:rPr>
          <w:rStyle w:val="optioncarChar"/>
          <w:color w:val="000000"/>
        </w:rPr>
        <w:t>corniches</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t>22 Superstructures en béton</w:t>
        </w:r>
      </w:hyperlink>
      <w:r>
        <w:t>).</w:t>
      </w:r>
    </w:p>
    <w:p w14:paraId="2F94EF47" w14:textId="77777777" w:rsidR="00DF410E" w:rsidRDefault="00CE7F43">
      <w:pPr>
        <w:pStyle w:val="Author-eSectionHeading6"/>
      </w:pPr>
      <w:bookmarkStart w:id="893" w:name="_Toc178838045"/>
      <w:r>
        <w:t>22.36.3a Corniches préfabriquées en béton CCTB 01.11</w:t>
      </w:r>
      <w:bookmarkEnd w:id="893"/>
    </w:p>
    <w:p w14:paraId="7FAC46D0" w14:textId="77777777" w:rsidR="00DF410E" w:rsidRDefault="00CE7F43">
      <w:pPr>
        <w:pStyle w:val="pheading"/>
      </w:pPr>
      <w:r>
        <w:t>DESCRIPTION</w:t>
      </w:r>
    </w:p>
    <w:p w14:paraId="0F259978" w14:textId="77777777" w:rsidR="00DF410E" w:rsidRDefault="00CE7F43">
      <w:pPr>
        <w:pStyle w:val="pheading"/>
      </w:pPr>
      <w:r>
        <w:t>- Définition / Comprend</w:t>
      </w:r>
    </w:p>
    <w:p w14:paraId="307D4678" w14:textId="77777777" w:rsidR="00DF410E" w:rsidRDefault="00CE7F43">
      <w:r>
        <w:t xml:space="preserve">Il s'agit de toutes les corniches en béton armé qui sont obligatoirement préfabriquées dans une usine suivant la définition reprise dans les généralités, et sont assemblées sur chantier aux ouvrages de construction déjà exécutés ( voir également </w:t>
      </w:r>
      <w:hyperlink w:anchor="87" w:history="1">
        <w:r>
          <w:t>22 Superstructures en béton</w:t>
        </w:r>
      </w:hyperlink>
      <w:r>
        <w:t xml:space="preserve"> ).</w:t>
      </w:r>
    </w:p>
    <w:p w14:paraId="51053412" w14:textId="77777777" w:rsidR="00DF410E" w:rsidRDefault="00CE7F43">
      <w:r>
        <w:t>Les éléments sont fabriqués suivant les spécifications de la norme [NBN EN 13225] et son complément national [NBN B 21-604].</w:t>
      </w:r>
    </w:p>
    <w:p w14:paraId="4FAB8582" w14:textId="77777777" w:rsidR="00DF410E" w:rsidRDefault="00CE7F43">
      <w:pPr>
        <w:pStyle w:val="pheading"/>
      </w:pPr>
      <w:r>
        <w:t>MATÉRIAUX</w:t>
      </w:r>
    </w:p>
    <w:p w14:paraId="022DA672" w14:textId="77777777" w:rsidR="00DF410E" w:rsidRDefault="00CE7F43">
      <w:pPr>
        <w:pStyle w:val="pheading"/>
      </w:pPr>
      <w:r>
        <w:t>- Caractéristiques générales</w:t>
      </w:r>
    </w:p>
    <w:p w14:paraId="2C570B34" w14:textId="77777777" w:rsidR="00DF410E" w:rsidRDefault="00DF410E"/>
    <w:p w14:paraId="22558EAE" w14:textId="77777777" w:rsidR="00DF410E" w:rsidRDefault="00CE7F43">
      <w:pPr>
        <w:pStyle w:val="Author-eListParagraph"/>
        <w:numPr>
          <w:ilvl w:val="0"/>
          <w:numId w:val="615"/>
        </w:numPr>
      </w:pPr>
      <w:r>
        <w:rPr>
          <w:rStyle w:val="normalChar"/>
        </w:rPr>
        <w:t>Classe de résistance à la compression</w:t>
      </w:r>
      <w:r>
        <w:br/>
      </w:r>
      <w:r>
        <w:rPr>
          <w:rStyle w:val="optioncarChar"/>
        </w:rPr>
        <w:t>C25/30 </w:t>
      </w:r>
      <w:r>
        <w:t>(par défaut)</w:t>
      </w:r>
      <w:r>
        <w:rPr>
          <w:rStyle w:val="optioncarChar"/>
        </w:rPr>
        <w:t xml:space="preserve"> / C30/37 / C35/45 / C45/55 / C50/60 / C55/67 / C60/75 / C70/85 / C80/95 / C90/105 / ***</w:t>
      </w:r>
    </w:p>
    <w:p w14:paraId="474F69F3" w14:textId="77777777" w:rsidR="00DF410E" w:rsidRDefault="00CE7F43">
      <w:pPr>
        <w:pStyle w:val="Author-eListParagraph"/>
        <w:numPr>
          <w:ilvl w:val="0"/>
          <w:numId w:val="616"/>
        </w:numPr>
      </w:pPr>
      <w:r>
        <w:rPr>
          <w:rStyle w:val="normalChar"/>
        </w:rPr>
        <w:t>Classe d’environnement</w:t>
      </w:r>
      <w:r>
        <w:br/>
      </w:r>
      <w:r>
        <w:rPr>
          <w:rStyle w:val="optioncarChar"/>
        </w:rPr>
        <w:t>E0 / EI </w:t>
      </w:r>
      <w:r>
        <w:t>(par défaut)</w:t>
      </w:r>
      <w:r>
        <w:rPr>
          <w:rStyle w:val="optioncarChar"/>
        </w:rPr>
        <w:t xml:space="preserve"> / EE1 / EE2 / EE3 / EE4 / ES1 / ES2 / ES3 / ES4 / EA1+*** / EA2+*** / EA3+*** / ***</w:t>
      </w:r>
    </w:p>
    <w:p w14:paraId="4CA066B8" w14:textId="77777777" w:rsidR="00DF410E" w:rsidRDefault="00CE7F43">
      <w:pPr>
        <w:pStyle w:val="pheading"/>
      </w:pPr>
      <w:r>
        <w:t>- Finitions</w:t>
      </w:r>
    </w:p>
    <w:p w14:paraId="409179B6" w14:textId="77777777" w:rsidR="00DF410E" w:rsidRDefault="00CE7F43">
      <w:r>
        <w:t>La surface du béton brute de décoffrage est</w:t>
      </w:r>
      <w:r>
        <w:rPr>
          <w:rStyle w:val="optioncarChar"/>
        </w:rPr>
        <w:t xml:space="preserve"> lisse </w:t>
      </w:r>
      <w:r>
        <w:t>(par défaut) </w:t>
      </w:r>
      <w:r>
        <w:rPr>
          <w:rStyle w:val="optioncarChar"/>
        </w:rPr>
        <w:t>/ texturée / à relief (ou structurée) / ***</w:t>
      </w:r>
      <w:r>
        <w:br/>
      </w:r>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***x*** </w:t>
      </w:r>
      <w:r>
        <w:rPr>
          <w:rStyle w:val="soitChar"/>
        </w:rPr>
        <w:t>cm.</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p>
    <w:p w14:paraId="27F6FEEE" w14:textId="77777777" w:rsidR="00DF410E" w:rsidRDefault="00CE7F43">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 </w:t>
      </w:r>
    </w:p>
    <w:p w14:paraId="499EB2B3" w14:textId="77777777" w:rsidR="00DF410E" w:rsidRDefault="00CE7F43">
      <w:pPr>
        <w:pStyle w:val="pheading"/>
      </w:pPr>
      <w:r>
        <w:t>EXÉCUTION / MISE EN ŒUVRE</w:t>
      </w:r>
    </w:p>
    <w:p w14:paraId="683A4661" w14:textId="77777777" w:rsidR="00DF410E" w:rsidRDefault="00CE7F43">
      <w:pPr>
        <w:pStyle w:val="pheading"/>
      </w:pPr>
      <w:r>
        <w:t>- Prescriptions générales</w:t>
      </w:r>
    </w:p>
    <w:p w14:paraId="1EAAF0C6" w14:textId="77777777" w:rsidR="00DF410E" w:rsidRDefault="00DF410E"/>
    <w:p w14:paraId="1EE3A73C" w14:textId="77777777" w:rsidR="00DF410E" w:rsidRDefault="00CE7F43">
      <w:pPr>
        <w:pStyle w:val="Author-eListParagraph"/>
        <w:numPr>
          <w:ilvl w:val="0"/>
          <w:numId w:val="617"/>
        </w:numPr>
      </w:pPr>
      <w:r>
        <w:t xml:space="preserve">L’étude et les plans d’exécution </w:t>
      </w:r>
      <w:r>
        <w:rPr>
          <w:rStyle w:val="optioncarChar"/>
        </w:rPr>
        <w:t>sont / ne sont pas</w:t>
      </w:r>
      <w:r>
        <w:t xml:space="preserve"> à charge de l’entreprise.</w:t>
      </w:r>
    </w:p>
    <w:p w14:paraId="1E937154" w14:textId="77777777" w:rsidR="00DF410E" w:rsidRDefault="00CE7F43">
      <w:pPr>
        <w:pStyle w:val="Author-eListParagraph"/>
        <w:numPr>
          <w:ilvl w:val="0"/>
          <w:numId w:val="617"/>
        </w:numPr>
      </w:pPr>
      <w:r>
        <w:t>Les corniches sont fabriquées dans les dimensions indiquées sur les plans d’exécution approuvés.</w:t>
      </w:r>
    </w:p>
    <w:p w14:paraId="196F76C3" w14:textId="77777777" w:rsidR="00DF410E" w:rsidRDefault="00CE7F43">
      <w:pPr>
        <w:pStyle w:val="Author-eListParagraph"/>
        <w:numPr>
          <w:ilvl w:val="0"/>
          <w:numId w:val="617"/>
        </w:numPr>
      </w:pPr>
      <w:r>
        <w:t>L’entrepreneur veille à ce que la répartition des charges à l’appui de la corniche soit uniforme et compatible avec le support. Les longueurs d’appui sont proportionnées à la portée, aux charges et au type de support suivant le calcul du bureau d’études.</w:t>
      </w:r>
    </w:p>
    <w:p w14:paraId="642BE91C" w14:textId="77777777" w:rsidR="00DF410E" w:rsidRDefault="00CE7F43">
      <w:pPr>
        <w:pStyle w:val="pheading"/>
      </w:pPr>
      <w:r>
        <w:t>- Notes d’exécution complémentaires</w:t>
      </w:r>
    </w:p>
    <w:p w14:paraId="039AC1F3" w14:textId="77777777" w:rsidR="00DF410E" w:rsidRDefault="00CE7F43">
      <w:r>
        <w:t>Ponts thermiques / isolation thermique : des dispositifs adéquats sont utilisés pour éviter tout pont thermique.</w:t>
      </w:r>
    </w:p>
    <w:p w14:paraId="630F3488" w14:textId="77777777" w:rsidR="00DF410E" w:rsidRDefault="00CE7F43">
      <w:pPr>
        <w:pStyle w:val="pheading"/>
      </w:pPr>
      <w:r>
        <w:t>MESURAGE</w:t>
      </w:r>
    </w:p>
    <w:p w14:paraId="595F3A85" w14:textId="77777777" w:rsidR="00DF410E" w:rsidRDefault="00CE7F43">
      <w:r>
        <w:t>Conformément aux indications spécifiques dans le cahier spécial des charges et/ou le métré récapitulatif, le mesurage est conçu comme suit :</w:t>
      </w:r>
    </w:p>
    <w:p w14:paraId="3554D67C" w14:textId="77777777" w:rsidR="00DF410E" w:rsidRDefault="00CE7F43">
      <w:pPr>
        <w:pStyle w:val="pheading"/>
      </w:pPr>
      <w:r>
        <w:t>- unité de mesure:</w:t>
      </w:r>
    </w:p>
    <w:p w14:paraId="12B5288B" w14:textId="77777777" w:rsidR="00DF410E" w:rsidRDefault="00CE7F43">
      <w:r>
        <w:rPr>
          <w:rStyle w:val="optioncarChar"/>
        </w:rPr>
        <w:t xml:space="preserve">m³ </w:t>
      </w:r>
      <w:r>
        <w:t>(par défaut)</w:t>
      </w:r>
      <w:r>
        <w:rPr>
          <w:rStyle w:val="optioncarChar"/>
        </w:rPr>
        <w:t xml:space="preserve"> / pce / m / m² / ***</w:t>
      </w:r>
    </w:p>
    <w:p w14:paraId="4AE119A3" w14:textId="77777777" w:rsidR="00DF410E" w:rsidRDefault="00CE7F43">
      <w:pPr>
        <w:pStyle w:val="pheading"/>
      </w:pPr>
      <w:r>
        <w:t>- code de mesurage:</w:t>
      </w:r>
    </w:p>
    <w:p w14:paraId="38A16472" w14:textId="77777777" w:rsidR="00DF410E" w:rsidRDefault="00CE7F43">
      <w:r>
        <w:t>Volume net, mesuré selon les dimensions nominales indiquées sur les plans.</w:t>
      </w:r>
    </w:p>
    <w:p w14:paraId="22974847" w14:textId="77777777" w:rsidR="00DF410E" w:rsidRDefault="00CE7F43">
      <w:pPr>
        <w:pStyle w:val="Author-eListParagraph"/>
        <w:numPr>
          <w:ilvl w:val="0"/>
          <w:numId w:val="618"/>
        </w:numPr>
      </w:pPr>
      <w:r>
        <w:t>Les éléments en béton non rectangulaires sont calculés en multipliant la longueur par la surface de la section.</w:t>
      </w:r>
    </w:p>
    <w:p w14:paraId="20BC7D9F" w14:textId="77777777" w:rsidR="00DF410E" w:rsidRDefault="00CE7F43">
      <w:pPr>
        <w:pStyle w:val="Author-eListParagraph"/>
        <w:numPr>
          <w:ilvl w:val="0"/>
          <w:numId w:val="619"/>
        </w:numPr>
      </w:pPr>
      <w:r>
        <w:t>Le contenu des volumes résiduels au droit des angles, rencontres et terminaisons est négligé.</w:t>
      </w:r>
    </w:p>
    <w:p w14:paraId="7A2C0E95" w14:textId="77777777" w:rsidR="00DF410E" w:rsidRDefault="00CE7F43">
      <w:pPr>
        <w:pStyle w:val="Author-eListParagraph"/>
        <w:numPr>
          <w:ilvl w:val="0"/>
          <w:numId w:val="619"/>
        </w:numPr>
      </w:pPr>
      <w:r>
        <w:t xml:space="preserve">Aucune déduction n'est faite pour: </w:t>
      </w:r>
    </w:p>
    <w:p w14:paraId="07385175" w14:textId="77777777" w:rsidR="00DF410E" w:rsidRDefault="00CE7F43">
      <w:pPr>
        <w:pStyle w:val="Author-eListParagraph"/>
        <w:numPr>
          <w:ilvl w:val="1"/>
          <w:numId w:val="620"/>
        </w:numPr>
      </w:pPr>
      <w:r>
        <w:t>le volume des armatures,</w:t>
      </w:r>
    </w:p>
    <w:p w14:paraId="1699BB91" w14:textId="77777777" w:rsidR="00DF410E" w:rsidRDefault="00CE7F43">
      <w:pPr>
        <w:pStyle w:val="Author-eListParagraph"/>
        <w:numPr>
          <w:ilvl w:val="1"/>
          <w:numId w:val="620"/>
        </w:numPr>
      </w:pPr>
      <w:r>
        <w:t>les blocs et écarteurs, les fourreaux pour les armatures de précontrainte ;</w:t>
      </w:r>
    </w:p>
    <w:p w14:paraId="22BD56C9" w14:textId="77777777" w:rsidR="00DF410E" w:rsidRDefault="00CE7F43">
      <w:pPr>
        <w:pStyle w:val="Author-eListParagraph"/>
        <w:numPr>
          <w:ilvl w:val="1"/>
          <w:numId w:val="620"/>
        </w:numPr>
      </w:pPr>
      <w:r>
        <w:t>les pénétrations pour les pattes d’ancrage, les creux, les conduites noyées et les réservations dont le volume est inférieur à 0,05 m3.</w:t>
      </w:r>
    </w:p>
    <w:p w14:paraId="54B71DD5" w14:textId="77777777" w:rsidR="00DF410E" w:rsidRDefault="00CE7F43">
      <w:pPr>
        <w:pStyle w:val="Author-eListParagraph"/>
        <w:numPr>
          <w:ilvl w:val="1"/>
          <w:numId w:val="620"/>
        </w:numPr>
      </w:pPr>
      <w:r>
        <w:t>les chanfreins et tous les profils dont la section a une superficie inférieure à 20 cm2.</w:t>
      </w:r>
    </w:p>
    <w:p w14:paraId="100052CB" w14:textId="77777777" w:rsidR="00DF410E" w:rsidRDefault="00CE7F43">
      <w:pPr>
        <w:pStyle w:val="Author-eListParagraph"/>
        <w:numPr>
          <w:ilvl w:val="1"/>
          <w:numId w:val="620"/>
        </w:numPr>
      </w:pPr>
      <w:r>
        <w:t>les rainures, encoches et languettes.</w:t>
      </w:r>
    </w:p>
    <w:p w14:paraId="7774E420" w14:textId="77777777" w:rsidR="00DF410E" w:rsidRDefault="00CE7F43">
      <w:r>
        <w:t>Sont toujours compris dans le prix unitaire outre les éléments préfabriqués, les armatures qui y sont incorporées, les moyens de support, de fixation et d’appui, le béton, ainsi que les armatures posées sur place pour des raisons de stabilité</w:t>
      </w:r>
    </w:p>
    <w:p w14:paraId="5A608A2C" w14:textId="77777777" w:rsidR="00DF410E" w:rsidRDefault="00CE7F43">
      <w:pPr>
        <w:pStyle w:val="pheading"/>
      </w:pPr>
      <w:r>
        <w:t>- nature du marché:</w:t>
      </w:r>
    </w:p>
    <w:p w14:paraId="44A19F36" w14:textId="77777777" w:rsidR="00DF410E" w:rsidRDefault="00CE7F43">
      <w:r>
        <w:rPr>
          <w:rStyle w:val="optioncarChar"/>
        </w:rPr>
        <w:t xml:space="preserve">QF </w:t>
      </w:r>
      <w:r>
        <w:t>(par défaut)</w:t>
      </w:r>
      <w:r>
        <w:rPr>
          <w:rStyle w:val="optioncarChar"/>
        </w:rPr>
        <w:t xml:space="preserve"> / QP / PM</w:t>
      </w:r>
    </w:p>
    <w:p w14:paraId="0765C3AC" w14:textId="77777777" w:rsidR="00DF410E" w:rsidRDefault="00CE7F43">
      <w:pPr>
        <w:pStyle w:val="Author-eSectionHeading5"/>
      </w:pPr>
      <w:bookmarkStart w:id="894" w:name="_Toc178838046"/>
      <w:r>
        <w:t>22.36.4 Corniches préfabriquées en béton architectonique CCTB 01.07</w:t>
      </w:r>
      <w:bookmarkEnd w:id="894"/>
    </w:p>
    <w:p w14:paraId="661043EC" w14:textId="77777777" w:rsidR="00DF410E" w:rsidRDefault="00CE7F43">
      <w:pPr>
        <w:pStyle w:val="pheading"/>
      </w:pPr>
      <w:r>
        <w:t>DESCRIPTION</w:t>
      </w:r>
    </w:p>
    <w:p w14:paraId="190A958B" w14:textId="77777777" w:rsidR="00DF410E" w:rsidRDefault="00CE7F43">
      <w:pPr>
        <w:pStyle w:val="pheading"/>
      </w:pPr>
      <w:r>
        <w:t>- Définition / Comprend</w:t>
      </w:r>
    </w:p>
    <w:p w14:paraId="4617C30C" w14:textId="77777777" w:rsidR="00DF410E" w:rsidRDefault="00CE7F43">
      <w:r>
        <w:t>Il s'agit de toutes les</w:t>
      </w:r>
      <w:r>
        <w:rPr>
          <w:rStyle w:val="optioncarChar"/>
          <w:color w:val="000000"/>
        </w:rPr>
        <w:t xml:space="preserve"> corniches </w:t>
      </w:r>
      <w:r>
        <w:t>qui sont préfabriquées en béton architectonique et sont ensuite intégrées dans la construction portante avec les moyens appropriés.</w:t>
      </w:r>
    </w:p>
    <w:p w14:paraId="18A27D20" w14:textId="77777777" w:rsidR="00DF410E" w:rsidRDefault="00CE7F43">
      <w:pPr>
        <w:pStyle w:val="pheading"/>
      </w:pPr>
      <w:r>
        <w:t>MATÉRIAUX</w:t>
      </w:r>
    </w:p>
    <w:p w14:paraId="2CA6FF54" w14:textId="77777777" w:rsidR="00DF410E" w:rsidRDefault="00CE7F43">
      <w:r>
        <w:t xml:space="preserve">L’ensemble des matériaux, des éléments de support et des assemblages doivent satisfaire aux charges d’exploitation et à la classe d’exposition indiquées préalablement (voir également l’art. </w:t>
      </w:r>
      <w:hyperlink w:anchor="87" w:history="1">
        <w:r>
          <w:t>22 Superstructures en béton</w:t>
        </w:r>
      </w:hyperlink>
      <w:r>
        <w:t>).</w:t>
      </w:r>
    </w:p>
    <w:p w14:paraId="1D9E1707" w14:textId="77777777" w:rsidR="00DF410E" w:rsidRDefault="00CE7F43">
      <w:pPr>
        <w:pStyle w:val="heading"/>
      </w:pPr>
      <w:r>
        <w:t>Spécifications</w:t>
      </w:r>
    </w:p>
    <w:p w14:paraId="54E63564" w14:textId="77777777" w:rsidR="00DF410E" w:rsidRDefault="00CE7F43">
      <w:pPr>
        <w:pStyle w:val="Author-eListParagraph"/>
        <w:numPr>
          <w:ilvl w:val="0"/>
          <w:numId w:val="621"/>
        </w:numPr>
      </w:pPr>
      <w:r>
        <w:t>Conformes à la [NBN EN 13369:2023] et à la [NBN B 21-600]</w:t>
      </w:r>
    </w:p>
    <w:p w14:paraId="1E9B32F8" w14:textId="77777777" w:rsidR="00DF410E" w:rsidRDefault="00CE7F43">
      <w:pPr>
        <w:pStyle w:val="Author-eListParagraph"/>
        <w:numPr>
          <w:ilvl w:val="0"/>
          <w:numId w:val="621"/>
        </w:numPr>
      </w:pPr>
      <w:r>
        <w:t>Forme et dimensions  : conformément aux indications sur les plans</w:t>
      </w:r>
    </w:p>
    <w:p w14:paraId="42FF0E50" w14:textId="77777777" w:rsidR="00DF410E" w:rsidRDefault="00CE7F43">
      <w:pPr>
        <w:pStyle w:val="Author-eListParagraph"/>
        <w:numPr>
          <w:ilvl w:val="0"/>
          <w:numId w:val="621"/>
        </w:numPr>
      </w:pPr>
      <w:r>
        <w:t xml:space="preserve">Classe d'exploitation : </w:t>
      </w:r>
      <w:r>
        <w:rPr>
          <w:rStyle w:val="optioncarChar"/>
        </w:rPr>
        <w:t>***</w:t>
      </w:r>
    </w:p>
    <w:p w14:paraId="4DD4F212" w14:textId="77777777" w:rsidR="00DF410E" w:rsidRDefault="00CE7F43">
      <w:pPr>
        <w:pStyle w:val="Author-eListParagraph"/>
        <w:numPr>
          <w:ilvl w:val="0"/>
          <w:numId w:val="621"/>
        </w:numPr>
      </w:pPr>
      <w:r>
        <w:t>Classe d'environnement:</w:t>
      </w:r>
      <w:r>
        <w:rPr>
          <w:rStyle w:val="optioncarChar"/>
        </w:rPr>
        <w:t xml:space="preserve"> ***</w:t>
      </w:r>
    </w:p>
    <w:p w14:paraId="7D5782AA" w14:textId="77777777" w:rsidR="00DF410E" w:rsidRDefault="00CE7F43">
      <w:pPr>
        <w:pStyle w:val="Author-eListParagraph"/>
        <w:numPr>
          <w:ilvl w:val="0"/>
          <w:numId w:val="621"/>
        </w:numPr>
      </w:pPr>
      <w:r>
        <w:t>Eléments d’ancrage : avec dispositif de rupture thermique - système à soumettre pour approbation</w:t>
      </w:r>
    </w:p>
    <w:p w14:paraId="213CA3B4" w14:textId="77777777" w:rsidR="00DF410E" w:rsidRDefault="00CE7F43">
      <w:pPr>
        <w:pStyle w:val="pheading"/>
      </w:pPr>
      <w:r>
        <w:t>EXÉCUTION / MISE EN ŒUVRE</w:t>
      </w:r>
    </w:p>
    <w:p w14:paraId="2E60F241" w14:textId="77777777" w:rsidR="00DF410E" w:rsidRDefault="00CE7F43">
      <w:r>
        <w:t xml:space="preserve">Les éléments de </w:t>
      </w:r>
      <w:r>
        <w:rPr>
          <w:rStyle w:val="optioncarChar"/>
          <w:color w:val="000000"/>
        </w:rPr>
        <w:t xml:space="preserve">corniches </w:t>
      </w:r>
      <w:r>
        <w:t xml:space="preserve">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87" w:history="1">
        <w:r>
          <w:t>22 Superstructures en béton</w:t>
        </w:r>
      </w:hyperlink>
      <w:r>
        <w:t>).</w:t>
      </w:r>
    </w:p>
    <w:p w14:paraId="583A747D" w14:textId="77777777" w:rsidR="00DF410E" w:rsidRDefault="00CE7F43">
      <w:pPr>
        <w:pStyle w:val="Author-eSectionHeading6"/>
      </w:pPr>
      <w:bookmarkStart w:id="895" w:name="_Toc178838047"/>
      <w:r>
        <w:t>22.36.4a Corniches préfabriquées en béton décoratif / architectonique CCTB 01.11</w:t>
      </w:r>
      <w:bookmarkEnd w:id="895"/>
    </w:p>
    <w:p w14:paraId="5593C72F" w14:textId="77777777" w:rsidR="00DF410E" w:rsidRDefault="00CE7F43">
      <w:pPr>
        <w:pStyle w:val="pheading"/>
      </w:pPr>
      <w:r>
        <w:t>DESCRIPTION</w:t>
      </w:r>
    </w:p>
    <w:p w14:paraId="214D45DF" w14:textId="77777777" w:rsidR="00DF410E" w:rsidRDefault="00CE7F43">
      <w:pPr>
        <w:pStyle w:val="pheading"/>
      </w:pPr>
      <w:r>
        <w:t>- Définition / Comprend</w:t>
      </w:r>
    </w:p>
    <w:p w14:paraId="2C7E2FCA" w14:textId="77777777" w:rsidR="00DF410E" w:rsidRDefault="00CE7F43">
      <w:r>
        <w:t xml:space="preserve">Il s'agit de toutes les corniches en béton armé en béton décoratif / architectonique qui sont obligatoirement préfabriquées dans une usine suivant la définition reprise dans les généralités, et sont assemblées sur chantier aux ouvrages de construction déjà exécutés ( voir également </w:t>
      </w:r>
      <w:hyperlink w:anchor="87" w:history="1">
        <w:r>
          <w:t>22 Superstructures en béton</w:t>
        </w:r>
      </w:hyperlink>
      <w:r>
        <w:t xml:space="preserve"> ).</w:t>
      </w:r>
    </w:p>
    <w:p w14:paraId="7FFC1F90" w14:textId="77777777" w:rsidR="00DF410E" w:rsidRDefault="00CE7F43">
      <w:pPr>
        <w:pStyle w:val="pheading"/>
      </w:pPr>
      <w:r>
        <w:t>MATÉRIAUX</w:t>
      </w:r>
    </w:p>
    <w:p w14:paraId="0653C696" w14:textId="77777777" w:rsidR="00DF410E" w:rsidRDefault="00CE7F43">
      <w:pPr>
        <w:pStyle w:val="pheading"/>
      </w:pPr>
      <w:r>
        <w:t>- Caractéristiques générales</w:t>
      </w:r>
    </w:p>
    <w:p w14:paraId="56F611ED" w14:textId="77777777" w:rsidR="00DF410E" w:rsidRDefault="00DF410E"/>
    <w:p w14:paraId="391A9C19" w14:textId="77777777" w:rsidR="00DF410E" w:rsidRDefault="00CE7F43">
      <w:pPr>
        <w:pStyle w:val="Author-eListParagraph"/>
        <w:numPr>
          <w:ilvl w:val="0"/>
          <w:numId w:val="622"/>
        </w:numPr>
      </w:pPr>
      <w:r>
        <w:rPr>
          <w:rStyle w:val="normalChar"/>
        </w:rPr>
        <w:t>Classe de résistance à la compression</w:t>
      </w:r>
      <w:r>
        <w:br/>
      </w:r>
      <w:r>
        <w:rPr>
          <w:rStyle w:val="optioncarChar"/>
        </w:rPr>
        <w:t xml:space="preserve">C25/30 </w:t>
      </w:r>
      <w:r>
        <w:t>(par défaut) </w:t>
      </w:r>
      <w:r>
        <w:rPr>
          <w:rStyle w:val="optioncarChar"/>
        </w:rPr>
        <w:t>/ C30/37 / C35/45 / C45/55 / C50/60 / C55/67 / C60/75 / C70/85 / C80/95 / C90/105 / ***</w:t>
      </w:r>
    </w:p>
    <w:p w14:paraId="4CE32D3E" w14:textId="77777777" w:rsidR="00DF410E" w:rsidRDefault="00CE7F43">
      <w:pPr>
        <w:pStyle w:val="Author-eListParagraph"/>
        <w:numPr>
          <w:ilvl w:val="0"/>
          <w:numId w:val="623"/>
        </w:numPr>
      </w:pPr>
      <w:r>
        <w:rPr>
          <w:rStyle w:val="normalChar"/>
        </w:rPr>
        <w:t>Classe d’environnement</w:t>
      </w:r>
      <w:r>
        <w:br/>
      </w:r>
      <w:r>
        <w:rPr>
          <w:rStyle w:val="optioncarChar"/>
        </w:rPr>
        <w:t>E0 / EI </w:t>
      </w:r>
      <w:r>
        <w:t>(par défaut)</w:t>
      </w:r>
      <w:r>
        <w:rPr>
          <w:rStyle w:val="optioncarChar"/>
        </w:rPr>
        <w:t xml:space="preserve"> / EE1 / EE2 / EE3 / EE4 / ES1 / ES2 / ES3 / ES4 / EA1+*** / EA2+***/ EA3+*** / ***</w:t>
      </w:r>
    </w:p>
    <w:p w14:paraId="424B8C46" w14:textId="77777777" w:rsidR="00DF410E" w:rsidRDefault="00CE7F43">
      <w:pPr>
        <w:pStyle w:val="pheading"/>
      </w:pPr>
      <w:r>
        <w:t>- Finitions</w:t>
      </w:r>
    </w:p>
    <w:p w14:paraId="675130B8" w14:textId="77777777" w:rsidR="00DF410E" w:rsidRDefault="00CE7F43">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structurée / incrustée d’autres matériaux / ***</w:t>
      </w:r>
    </w:p>
    <w:p w14:paraId="30C6F423" w14:textId="77777777" w:rsidR="00DF410E" w:rsidRDefault="00CE7F43">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p>
    <w:p w14:paraId="5B90AEC4" w14:textId="77777777" w:rsidR="00DF410E" w:rsidRDefault="00CE7F43">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p>
    <w:p w14:paraId="588D7D0D" w14:textId="77777777" w:rsidR="00DF410E" w:rsidRDefault="00CE7F43">
      <w:pPr>
        <w:pStyle w:val="pheading"/>
      </w:pPr>
      <w:r>
        <w:t>EXÉCUTION / MISE EN ŒUVRE</w:t>
      </w:r>
    </w:p>
    <w:p w14:paraId="4703527C" w14:textId="77777777" w:rsidR="00DF410E" w:rsidRDefault="00CE7F43">
      <w:pPr>
        <w:pStyle w:val="pheading"/>
      </w:pPr>
      <w:r>
        <w:t>- Prescriptions générales</w:t>
      </w:r>
    </w:p>
    <w:p w14:paraId="65803510" w14:textId="77777777" w:rsidR="00DF410E" w:rsidRDefault="00CE7F43">
      <w:r>
        <w:t xml:space="preserve">L’étude et les plans d’exécution </w:t>
      </w:r>
      <w:r>
        <w:rPr>
          <w:rStyle w:val="optioncarChar"/>
        </w:rPr>
        <w:t>sont / ne sont pas</w:t>
      </w:r>
      <w:r>
        <w:t xml:space="preserve"> à charge de l’entreprise.</w:t>
      </w:r>
      <w:r>
        <w:br/>
        <w:t>Les corniches sont fabriquées dans les dimensions indiquées sur les plans d’exécution approuvés.</w:t>
      </w:r>
      <w:r>
        <w:br/>
        <w:t>L’entrepreneur veille à ce que la répartition des charges à l’appui de la corniche soit uniforme et compatible avec le support. Les longueurs d’appui sont proportionnées à la portée, aux charges et au type de support suivant le calcul du bureau d’études.</w:t>
      </w:r>
    </w:p>
    <w:p w14:paraId="028094BD" w14:textId="77777777" w:rsidR="00DF410E" w:rsidRDefault="00CE7F43">
      <w:pPr>
        <w:pStyle w:val="pheading"/>
      </w:pPr>
      <w:r>
        <w:t>- Notes d’exécution complémentaires</w:t>
      </w:r>
    </w:p>
    <w:p w14:paraId="19D6B5AF" w14:textId="77777777" w:rsidR="00DF410E" w:rsidRDefault="00CE7F43">
      <w:r>
        <w:t>Ponts thermiques / isolation thermique : des dispositifs adéquats sont utilisés pour éviter tout pont thermique.</w:t>
      </w:r>
    </w:p>
    <w:p w14:paraId="5D04B5B2" w14:textId="77777777" w:rsidR="00DF410E" w:rsidRDefault="00CE7F43">
      <w:pPr>
        <w:pStyle w:val="pheading"/>
      </w:pPr>
      <w:r>
        <w:t>MESURAGE</w:t>
      </w:r>
    </w:p>
    <w:p w14:paraId="18BB4435" w14:textId="77777777" w:rsidR="00DF410E" w:rsidRDefault="00CE7F43">
      <w:r>
        <w:t>Conformément aux indications spécifiques dans le cahier spécial des charges et/ou le métré récapitulatif, le mesurage est conçu comme suit :</w:t>
      </w:r>
    </w:p>
    <w:p w14:paraId="63347739" w14:textId="77777777" w:rsidR="00DF410E" w:rsidRDefault="00CE7F43">
      <w:pPr>
        <w:pStyle w:val="pheading"/>
      </w:pPr>
      <w:r>
        <w:t>- unité de mesure:</w:t>
      </w:r>
    </w:p>
    <w:p w14:paraId="6ECEBAF8" w14:textId="77777777" w:rsidR="00DF410E" w:rsidRDefault="00CE7F43">
      <w:r>
        <w:rPr>
          <w:rStyle w:val="optioncarChar"/>
        </w:rPr>
        <w:t xml:space="preserve">m³ </w:t>
      </w:r>
      <w:r>
        <w:t>(par défaut)</w:t>
      </w:r>
      <w:r>
        <w:rPr>
          <w:rStyle w:val="optioncarChar"/>
        </w:rPr>
        <w:t xml:space="preserve"> / pce / m</w:t>
      </w:r>
      <w:r>
        <w:br/>
      </w:r>
    </w:p>
    <w:p w14:paraId="0BE7A034" w14:textId="77777777" w:rsidR="00DF410E" w:rsidRDefault="00CE7F43">
      <w:pPr>
        <w:pStyle w:val="pheading"/>
      </w:pPr>
      <w:r>
        <w:t>- code de mesurage:</w:t>
      </w:r>
    </w:p>
    <w:p w14:paraId="4FF991C7" w14:textId="77777777" w:rsidR="00DF410E" w:rsidRDefault="00CE7F43">
      <w:r>
        <w:t>Volume net, mesuré selon les dimensions nominales indiquées sur les plans.</w:t>
      </w:r>
    </w:p>
    <w:p w14:paraId="345A638C" w14:textId="77777777" w:rsidR="00DF410E" w:rsidRDefault="00CE7F43">
      <w:pPr>
        <w:pStyle w:val="Author-eListParagraph"/>
        <w:numPr>
          <w:ilvl w:val="0"/>
          <w:numId w:val="624"/>
        </w:numPr>
      </w:pPr>
      <w:r>
        <w:t>Les éléments en béton non rectangulaires sont calculés en multipliant la longueur par la surface de la section.</w:t>
      </w:r>
    </w:p>
    <w:p w14:paraId="0AA9CD0D" w14:textId="77777777" w:rsidR="00DF410E" w:rsidRDefault="00CE7F43">
      <w:pPr>
        <w:pStyle w:val="Author-eListParagraph"/>
        <w:numPr>
          <w:ilvl w:val="0"/>
          <w:numId w:val="625"/>
        </w:numPr>
      </w:pPr>
      <w:r>
        <w:t>Le contenu des volumes résiduels au droit des angles, rencontres et terminaisons est négligé.</w:t>
      </w:r>
    </w:p>
    <w:p w14:paraId="2F2C215F" w14:textId="77777777" w:rsidR="00DF410E" w:rsidRDefault="00CE7F43">
      <w:pPr>
        <w:pStyle w:val="Author-eListParagraph"/>
        <w:numPr>
          <w:ilvl w:val="0"/>
          <w:numId w:val="625"/>
        </w:numPr>
      </w:pPr>
      <w:r>
        <w:t xml:space="preserve">Aucune déduction n'est faite pour: </w:t>
      </w:r>
    </w:p>
    <w:p w14:paraId="4B091573" w14:textId="77777777" w:rsidR="00DF410E" w:rsidRDefault="00CE7F43">
      <w:pPr>
        <w:pStyle w:val="Author-eListParagraph"/>
        <w:numPr>
          <w:ilvl w:val="1"/>
          <w:numId w:val="626"/>
        </w:numPr>
      </w:pPr>
      <w:r>
        <w:t>le volume des armatures,</w:t>
      </w:r>
    </w:p>
    <w:p w14:paraId="3688B1BF" w14:textId="77777777" w:rsidR="00DF410E" w:rsidRDefault="00CE7F43">
      <w:pPr>
        <w:pStyle w:val="Author-eListParagraph"/>
        <w:numPr>
          <w:ilvl w:val="1"/>
          <w:numId w:val="626"/>
        </w:numPr>
      </w:pPr>
      <w:r>
        <w:t>les blocs et écarteurs, les fourreaux pour les armatures de précontrainte ;</w:t>
      </w:r>
    </w:p>
    <w:p w14:paraId="3517C57A" w14:textId="77777777" w:rsidR="00DF410E" w:rsidRDefault="00CE7F43">
      <w:pPr>
        <w:pStyle w:val="Author-eListParagraph"/>
        <w:numPr>
          <w:ilvl w:val="1"/>
          <w:numId w:val="626"/>
        </w:numPr>
      </w:pPr>
      <w:r>
        <w:t>les pénétrations pour les pattes d’ancrage, les creux, les conduites noyées et les réservations dont le volume est inférieur à 0,05 m3.</w:t>
      </w:r>
    </w:p>
    <w:p w14:paraId="6BFFB208" w14:textId="77777777" w:rsidR="00DF410E" w:rsidRDefault="00CE7F43">
      <w:pPr>
        <w:pStyle w:val="Author-eListParagraph"/>
        <w:numPr>
          <w:ilvl w:val="1"/>
          <w:numId w:val="626"/>
        </w:numPr>
      </w:pPr>
      <w:r>
        <w:t>les chanfreins et tous les profils dont la section a une superficie inférieure à 20 cm2.</w:t>
      </w:r>
    </w:p>
    <w:p w14:paraId="4B5DDF82" w14:textId="77777777" w:rsidR="00DF410E" w:rsidRDefault="00CE7F43">
      <w:pPr>
        <w:pStyle w:val="Author-eListParagraph"/>
        <w:numPr>
          <w:ilvl w:val="1"/>
          <w:numId w:val="626"/>
        </w:numPr>
      </w:pPr>
      <w:r>
        <w:t>les rainures, encoches et languettes.</w:t>
      </w:r>
    </w:p>
    <w:p w14:paraId="6B5448C7" w14:textId="77777777" w:rsidR="00DF410E" w:rsidRDefault="00CE7F43">
      <w:r>
        <w:t>Sont toujours compris dans le prix unitaire outre les éléments préfabriqués, les armatures qui y sont incorporées, les moyens de support, de fixation et d’appui, le béton, ainsi que les armatures posées sur place pour des raisons de stabilité</w:t>
      </w:r>
    </w:p>
    <w:p w14:paraId="1B78F03C" w14:textId="77777777" w:rsidR="00DF410E" w:rsidRDefault="00CE7F43">
      <w:pPr>
        <w:pStyle w:val="pheading"/>
      </w:pPr>
      <w:r>
        <w:t>- nature du marché:</w:t>
      </w:r>
    </w:p>
    <w:p w14:paraId="09A4DDAE" w14:textId="77777777" w:rsidR="00DF410E" w:rsidRDefault="00CE7F43">
      <w:r>
        <w:rPr>
          <w:rStyle w:val="optioncarChar"/>
        </w:rPr>
        <w:t>QF</w:t>
      </w:r>
      <w:r>
        <w:t xml:space="preserve"> (par défaut)</w:t>
      </w:r>
      <w:r>
        <w:rPr>
          <w:rStyle w:val="optioncarChar"/>
        </w:rPr>
        <w:t xml:space="preserve"> / QP</w:t>
      </w:r>
    </w:p>
    <w:p w14:paraId="14D91250" w14:textId="77777777" w:rsidR="00DF410E" w:rsidRDefault="00CE7F43">
      <w:pPr>
        <w:pStyle w:val="Author-eSectionHeading3"/>
      </w:pPr>
      <w:bookmarkStart w:id="896" w:name="_Toc178838048"/>
      <w:r>
        <w:t>22.4 Eléments particuliers pour structures en béton CCTB 01.04</w:t>
      </w:r>
      <w:bookmarkEnd w:id="896"/>
    </w:p>
    <w:p w14:paraId="66A04015" w14:textId="77777777" w:rsidR="00DF410E" w:rsidRDefault="00CE7F43">
      <w:pPr>
        <w:pStyle w:val="Author-eSectionHeading4"/>
      </w:pPr>
      <w:bookmarkStart w:id="897" w:name="_Toc178838049"/>
      <w:r>
        <w:t>22.41 Socles en béton CCTB 01.04</w:t>
      </w:r>
      <w:bookmarkEnd w:id="897"/>
    </w:p>
    <w:p w14:paraId="2CC7483C" w14:textId="77777777" w:rsidR="00DF410E" w:rsidRDefault="00CE7F43">
      <w:pPr>
        <w:pStyle w:val="Author-eSectionHeading5"/>
      </w:pPr>
      <w:bookmarkStart w:id="898" w:name="_Toc178838050"/>
      <w:r>
        <w:t>22.41.1 Socles en béton coulé en place CCTB 01.11</w:t>
      </w:r>
      <w:bookmarkEnd w:id="898"/>
    </w:p>
    <w:p w14:paraId="742B0122" w14:textId="77777777" w:rsidR="00DF410E" w:rsidRDefault="00CE7F43">
      <w:pPr>
        <w:pStyle w:val="pheading"/>
      </w:pPr>
      <w:r>
        <w:t>DESCRIPTION</w:t>
      </w:r>
    </w:p>
    <w:p w14:paraId="30D75F4D" w14:textId="77777777" w:rsidR="00DF410E" w:rsidRDefault="00CE7F43">
      <w:pPr>
        <w:pStyle w:val="pheading"/>
      </w:pPr>
      <w:r>
        <w:t>- Définition / Comprend</w:t>
      </w:r>
    </w:p>
    <w:p w14:paraId="516FE0D1" w14:textId="77777777" w:rsidR="00DF410E" w:rsidRDefault="00CE7F43">
      <w:r>
        <w:t>Il s'agit de l’ensemble des socles exécutés en béton. Les travaux comprennent les coffrages, les armatures et le béton, y compris tous les éléments à noyer dans ou contre le béton, …</w:t>
      </w:r>
    </w:p>
    <w:p w14:paraId="4C109594" w14:textId="77777777" w:rsidR="00DF410E" w:rsidRDefault="00CE7F43">
      <w:pPr>
        <w:pStyle w:val="pheading"/>
      </w:pPr>
      <w:r>
        <w:t>EXÉCUTION / MISE EN ŒUVRE</w:t>
      </w:r>
    </w:p>
    <w:p w14:paraId="33473EEF" w14:textId="77777777" w:rsidR="00DF410E" w:rsidRDefault="00CE7F43">
      <w:r>
        <w:t xml:space="preserve">L'étude est à charge </w:t>
      </w:r>
      <w:r>
        <w:rPr>
          <w:rStyle w:val="optioncarChar"/>
        </w:rPr>
        <w:t>de l'entrepreneur / du maître de l'ouvrage / du bureau d’étude</w:t>
      </w:r>
      <w:r>
        <w:t xml:space="preserve"> (voir également </w:t>
      </w:r>
      <w:hyperlink w:anchor="87" w:history="1">
        <w:r>
          <w:t>22 Superstructures en béton</w:t>
        </w:r>
      </w:hyperlink>
      <w:r>
        <w:t>)</w:t>
      </w:r>
    </w:p>
    <w:p w14:paraId="4F462D71" w14:textId="77777777" w:rsidR="00DF410E" w:rsidRDefault="00CE7F43">
      <w:r>
        <w:t>Les socles sont exécutés dans les dimensions et avec la longueur d’appui indiquées sur les plans et les coupes. L’entrepreneur est tenu de vérifier s'ils peuvent effectivement être réalisés conformément aux plans soumis. Il y a lieu de tenir compte de la hauteur requise par rapport au niveau du sol. Les indications sur les plans de coffrage sont scrupuleusement respectées. L’entrepreneur veille à ce que les coffrages des socles soient d’aplomb, alignés et de niveau.</w:t>
      </w:r>
    </w:p>
    <w:p w14:paraId="524A20FD" w14:textId="77777777" w:rsidR="00DF410E" w:rsidRDefault="00CE7F43">
      <w:r>
        <w:t>Avant le coulage du béton, on prévoit dans les socles toutes les réservations ou pénétrations indiquées sur les plans. Aucun percement ne peut être effectué par la suite par forage ou décapage du béton sans l’approbation explicite préalable de l’auteur de projet ou de l’ingénieur.</w:t>
      </w:r>
    </w:p>
    <w:p w14:paraId="00E07B0E" w14:textId="77777777" w:rsidR="00DF410E" w:rsidRDefault="00CE7F43">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3EDD8634" w14:textId="77777777" w:rsidR="00DF410E" w:rsidRDefault="00CE7F43">
      <w:r>
        <w:t xml:space="preserve">Le décoffrage ne peut avoir lieu </w:t>
      </w:r>
      <w:r>
        <w:rPr>
          <w:rStyle w:val="optioncarChar"/>
        </w:rPr>
        <w:t>avant *** jours après le coulage du béton / que selon les directives de l’ingénieur.</w:t>
      </w:r>
    </w:p>
    <w:p w14:paraId="5372429F" w14:textId="77777777" w:rsidR="00DF410E" w:rsidRDefault="00CE7F43">
      <w:pPr>
        <w:pStyle w:val="Author-eSectionHeading6"/>
      </w:pPr>
      <w:bookmarkStart w:id="899" w:name="_Toc178838051"/>
      <w:r>
        <w:t>22.41.1a Socles en béton coulé en place CCTB 01.12</w:t>
      </w:r>
      <w:bookmarkEnd w:id="899"/>
    </w:p>
    <w:p w14:paraId="6172A8DF" w14:textId="77777777" w:rsidR="00DF410E" w:rsidRDefault="00CE7F43">
      <w:pPr>
        <w:pStyle w:val="pheading"/>
      </w:pPr>
      <w:r>
        <w:t>MATÉRIAUX</w:t>
      </w:r>
    </w:p>
    <w:p w14:paraId="06C56E6C" w14:textId="77777777" w:rsidR="00DF410E" w:rsidRDefault="00CE7F43">
      <w:pPr>
        <w:pStyle w:val="pheading"/>
      </w:pPr>
      <w:r>
        <w:t>- Caractéristiques générales</w:t>
      </w:r>
    </w:p>
    <w:p w14:paraId="5F29DEED" w14:textId="77777777" w:rsidR="00DF410E" w:rsidRDefault="00CE7F43">
      <w:r>
        <w:rPr>
          <w:u w:val="single"/>
        </w:rPr>
        <w:t>Béton</w:t>
      </w:r>
    </w:p>
    <w:p w14:paraId="645A250E" w14:textId="77777777" w:rsidR="00DF410E" w:rsidRDefault="00CE7F43">
      <w:pPr>
        <w:pStyle w:val="Author-eListParagraph"/>
        <w:numPr>
          <w:ilvl w:val="0"/>
          <w:numId w:val="627"/>
        </w:numPr>
      </w:pPr>
      <w:r>
        <w:t xml:space="preserve">Qualité du béton selon la [NBN EN 206:2013+A2] et la [NBN B 15-001] : (voir également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643AF779" w14:textId="77777777">
        <w:tc>
          <w:tcPr>
            <w:tcW w:w="1500" w:type="dxa"/>
            <w:noWrap/>
          </w:tcPr>
          <w:p w14:paraId="714C66B2" w14:textId="77777777" w:rsidR="00DF410E" w:rsidRDefault="00CE7F43">
            <w:pPr>
              <w:jc w:val="center"/>
            </w:pPr>
            <w:r>
              <w:rPr>
                <w:b/>
              </w:rPr>
              <w:t>A</w:t>
            </w:r>
          </w:p>
        </w:tc>
        <w:tc>
          <w:tcPr>
            <w:tcW w:w="1500" w:type="dxa"/>
            <w:noWrap/>
          </w:tcPr>
          <w:p w14:paraId="1B0CA7FD" w14:textId="77777777" w:rsidR="00DF410E" w:rsidRDefault="00CE7F43">
            <w:pPr>
              <w:jc w:val="center"/>
            </w:pPr>
            <w:r>
              <w:rPr>
                <w:b/>
              </w:rPr>
              <w:t>B1</w:t>
            </w:r>
          </w:p>
        </w:tc>
        <w:tc>
          <w:tcPr>
            <w:tcW w:w="1500" w:type="dxa"/>
            <w:noWrap/>
          </w:tcPr>
          <w:p w14:paraId="4F9548FC" w14:textId="77777777" w:rsidR="00DF410E" w:rsidRDefault="00CE7F43">
            <w:pPr>
              <w:jc w:val="center"/>
            </w:pPr>
            <w:r>
              <w:rPr>
                <w:b/>
              </w:rPr>
              <w:t>B2</w:t>
            </w:r>
          </w:p>
        </w:tc>
        <w:tc>
          <w:tcPr>
            <w:tcW w:w="1500" w:type="dxa"/>
            <w:noWrap/>
          </w:tcPr>
          <w:p w14:paraId="2D1DCE9B" w14:textId="77777777" w:rsidR="00DF410E" w:rsidRDefault="00CE7F43">
            <w:pPr>
              <w:jc w:val="center"/>
            </w:pPr>
            <w:r>
              <w:rPr>
                <w:b/>
              </w:rPr>
              <w:t>C</w:t>
            </w:r>
          </w:p>
        </w:tc>
        <w:tc>
          <w:tcPr>
            <w:tcW w:w="1500" w:type="dxa"/>
            <w:noWrap/>
          </w:tcPr>
          <w:p w14:paraId="6B8BC8BA" w14:textId="77777777" w:rsidR="00DF410E" w:rsidRDefault="00CE7F43">
            <w:pPr>
              <w:jc w:val="center"/>
            </w:pPr>
            <w:r>
              <w:rPr>
                <w:b/>
              </w:rPr>
              <w:t>D</w:t>
            </w:r>
          </w:p>
        </w:tc>
        <w:tc>
          <w:tcPr>
            <w:tcW w:w="1500" w:type="dxa"/>
            <w:noWrap/>
          </w:tcPr>
          <w:p w14:paraId="6CA07F27" w14:textId="77777777" w:rsidR="00DF410E" w:rsidRDefault="00CE7F43">
            <w:pPr>
              <w:jc w:val="center"/>
            </w:pPr>
            <w:r>
              <w:rPr>
                <w:b/>
              </w:rPr>
              <w:t>E</w:t>
            </w:r>
          </w:p>
        </w:tc>
      </w:tr>
      <w:tr w:rsidR="00DF410E" w14:paraId="68BEBD5A" w14:textId="77777777">
        <w:tc>
          <w:tcPr>
            <w:tcW w:w="1500" w:type="dxa"/>
            <w:noWrap/>
          </w:tcPr>
          <w:p w14:paraId="4534C3FC" w14:textId="77777777" w:rsidR="00DF410E" w:rsidRDefault="00CE7F43">
            <w:pPr>
              <w:jc w:val="center"/>
            </w:pPr>
            <w:r>
              <w:rPr>
                <w:b/>
              </w:rPr>
              <w:t>Classe de résistance</w:t>
            </w:r>
          </w:p>
        </w:tc>
        <w:tc>
          <w:tcPr>
            <w:tcW w:w="1500" w:type="dxa"/>
            <w:noWrap/>
          </w:tcPr>
          <w:p w14:paraId="144F6B06" w14:textId="77777777" w:rsidR="00DF410E" w:rsidRDefault="00CE7F43">
            <w:pPr>
              <w:jc w:val="center"/>
            </w:pPr>
            <w:r>
              <w:rPr>
                <w:b/>
              </w:rPr>
              <w:t>Domaine d’application</w:t>
            </w:r>
          </w:p>
        </w:tc>
        <w:tc>
          <w:tcPr>
            <w:tcW w:w="1500" w:type="dxa"/>
            <w:noWrap/>
          </w:tcPr>
          <w:p w14:paraId="45C97BCD" w14:textId="77777777" w:rsidR="00DF410E" w:rsidRDefault="00CE7F43">
            <w:pPr>
              <w:jc w:val="center"/>
            </w:pPr>
            <w:r>
              <w:rPr>
                <w:b/>
              </w:rPr>
              <w:t>Classe d'environnement</w:t>
            </w:r>
          </w:p>
        </w:tc>
        <w:tc>
          <w:tcPr>
            <w:tcW w:w="1500" w:type="dxa"/>
            <w:noWrap/>
          </w:tcPr>
          <w:p w14:paraId="5D9F5145" w14:textId="77777777" w:rsidR="00DF410E" w:rsidRDefault="00CE7F43">
            <w:pPr>
              <w:jc w:val="center"/>
            </w:pPr>
            <w:r>
              <w:rPr>
                <w:b/>
              </w:rPr>
              <w:t>Classe de consistance</w:t>
            </w:r>
          </w:p>
        </w:tc>
        <w:tc>
          <w:tcPr>
            <w:tcW w:w="1500" w:type="dxa"/>
            <w:noWrap/>
          </w:tcPr>
          <w:p w14:paraId="43FDB030" w14:textId="77777777" w:rsidR="00DF410E" w:rsidRDefault="00CE7F43">
            <w:pPr>
              <w:jc w:val="center"/>
            </w:pPr>
            <w:r>
              <w:rPr>
                <w:b/>
              </w:rPr>
              <w:t>Granulométrie maximale</w:t>
            </w:r>
          </w:p>
        </w:tc>
        <w:tc>
          <w:tcPr>
            <w:tcW w:w="1500" w:type="dxa"/>
            <w:noWrap/>
          </w:tcPr>
          <w:p w14:paraId="765CFF65" w14:textId="77777777" w:rsidR="00DF410E" w:rsidRDefault="00CE7F43">
            <w:r>
              <w:rPr>
                <w:b/>
              </w:rPr>
              <w:t>Données complémentaires</w:t>
            </w:r>
          </w:p>
        </w:tc>
      </w:tr>
      <w:tr w:rsidR="00DF410E" w14:paraId="4FE93892" w14:textId="77777777">
        <w:tc>
          <w:tcPr>
            <w:tcW w:w="1500" w:type="dxa"/>
            <w:noWrap/>
          </w:tcPr>
          <w:p w14:paraId="787302AE" w14:textId="77777777" w:rsidR="00DF410E" w:rsidRDefault="00CE7F43">
            <w:pPr>
              <w:jc w:val="center"/>
            </w:pPr>
            <w:r>
              <w:rPr>
                <w:rStyle w:val="optioncarChar"/>
              </w:rPr>
              <w:t>C25/30 / C30/37 / C35/45 / C45/55 / C50/60 / C55/67 / C60/75 / C70/85 / C80/95 / C90/105</w:t>
            </w:r>
          </w:p>
        </w:tc>
        <w:tc>
          <w:tcPr>
            <w:tcW w:w="1500" w:type="dxa"/>
            <w:noWrap/>
          </w:tcPr>
          <w:p w14:paraId="6F3AB702" w14:textId="77777777" w:rsidR="00DF410E" w:rsidRDefault="00CE7F43">
            <w:pPr>
              <w:jc w:val="center"/>
            </w:pPr>
            <w:r>
              <w:t>Béton armé</w:t>
            </w:r>
          </w:p>
          <w:p w14:paraId="3A8BB3D9" w14:textId="77777777" w:rsidR="00DF410E" w:rsidRDefault="00CE7F43">
            <w:pPr>
              <w:jc w:val="center"/>
            </w:pPr>
            <w:r>
              <w:t> </w:t>
            </w:r>
          </w:p>
        </w:tc>
        <w:tc>
          <w:tcPr>
            <w:tcW w:w="1500" w:type="dxa"/>
            <w:noWrap/>
          </w:tcPr>
          <w:p w14:paraId="1C7F69DF" w14:textId="77777777" w:rsidR="00DF410E" w:rsidRDefault="00CE7F43">
            <w:pPr>
              <w:jc w:val="center"/>
            </w:pPr>
            <w:r>
              <w:rPr>
                <w:rStyle w:val="optioncarChar"/>
              </w:rPr>
              <w:t>E0 / EI / EE1 / EE2 / EE3 / EE4 / ES1 / ES2 / ES3 / ES4 / EA1+*** / EA2+***/ EA3+***</w:t>
            </w:r>
          </w:p>
        </w:tc>
        <w:tc>
          <w:tcPr>
            <w:tcW w:w="1500" w:type="dxa"/>
            <w:noWrap/>
          </w:tcPr>
          <w:p w14:paraId="5F0D41EA" w14:textId="77777777" w:rsidR="00DF410E" w:rsidRDefault="00CE7F43">
            <w:pPr>
              <w:jc w:val="center"/>
            </w:pPr>
            <w:r>
              <w:t>au choix de l'entrepreneur :</w:t>
            </w:r>
          </w:p>
          <w:p w14:paraId="1AA686CD" w14:textId="77777777" w:rsidR="00DF410E" w:rsidRDefault="00CE7F43">
            <w:pPr>
              <w:jc w:val="center"/>
            </w:pPr>
            <w:r>
              <w:rPr>
                <w:rStyle w:val="optioncarChar"/>
              </w:rPr>
              <w:t xml:space="preserve">S3 / S4 / S5 </w:t>
            </w:r>
          </w:p>
          <w:p w14:paraId="018E2352" w14:textId="77777777" w:rsidR="00DF410E" w:rsidRDefault="00CE7F43">
            <w:pPr>
              <w:jc w:val="center"/>
            </w:pPr>
            <w:r>
              <w:rPr>
                <w:rStyle w:val="optioncarChar"/>
              </w:rPr>
              <w:t>F3 / F4 / F5 / F6</w:t>
            </w:r>
            <w:r>
              <w:br/>
            </w:r>
          </w:p>
        </w:tc>
        <w:tc>
          <w:tcPr>
            <w:tcW w:w="1500" w:type="dxa"/>
            <w:noWrap/>
          </w:tcPr>
          <w:p w14:paraId="44EDA0C9" w14:textId="77777777" w:rsidR="00DF410E" w:rsidRDefault="00CE7F43">
            <w:pPr>
              <w:jc w:val="center"/>
            </w:pPr>
            <w:r>
              <w:t>au choix de l'entrepreneur :</w:t>
            </w:r>
          </w:p>
          <w:p w14:paraId="6B3E0800" w14:textId="77777777" w:rsidR="00DF410E" w:rsidRDefault="00CE7F43">
            <w:pPr>
              <w:jc w:val="center"/>
            </w:pPr>
            <w:r>
              <w:rPr>
                <w:rStyle w:val="optioncarChar"/>
              </w:rPr>
              <w:t>6 / 8 / 10 / 11 / 12 / 14 / 16 / 20 / 22 / 32 </w:t>
            </w:r>
            <w:r>
              <w:t>mm</w:t>
            </w:r>
          </w:p>
        </w:tc>
        <w:tc>
          <w:tcPr>
            <w:tcW w:w="1500" w:type="dxa"/>
            <w:noWrap/>
          </w:tcPr>
          <w:p w14:paraId="45C5CA28" w14:textId="77777777" w:rsidR="00DF410E" w:rsidRDefault="00CE7F43">
            <w:pPr>
              <w:jc w:val="center"/>
            </w:pPr>
            <w:r>
              <w:rPr>
                <w:rStyle w:val="optioncarChar"/>
              </w:rPr>
              <w:t>***</w:t>
            </w:r>
          </w:p>
        </w:tc>
      </w:tr>
    </w:tbl>
    <w:p w14:paraId="412C234A" w14:textId="77777777" w:rsidR="00DF410E" w:rsidRDefault="00CE7F43">
      <w:r>
        <w:t> </w:t>
      </w:r>
    </w:p>
    <w:p w14:paraId="55529716"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C7B1296" w14:textId="77777777" w:rsidR="00DF410E" w:rsidRDefault="00CE7F43">
      <w:pPr>
        <w:pStyle w:val="Author-eListParagraph"/>
        <w:numPr>
          <w:ilvl w:val="0"/>
          <w:numId w:val="628"/>
        </w:numPr>
      </w:pPr>
      <w:r>
        <w:t xml:space="preserve">Classe de viscosité apparente : </w:t>
      </w:r>
      <w:r>
        <w:rPr>
          <w:rStyle w:val="optioncarChar"/>
        </w:rPr>
        <w:t>VS1 / VS2</w:t>
      </w:r>
      <w:r>
        <w:t xml:space="preserve"> (selon la [NBN EN 12350-8] )</w:t>
      </w:r>
    </w:p>
    <w:p w14:paraId="7884FE66" w14:textId="77777777" w:rsidR="00DF410E" w:rsidRDefault="00CE7F43">
      <w:pPr>
        <w:pStyle w:val="Author-eListParagraph"/>
        <w:numPr>
          <w:ilvl w:val="0"/>
          <w:numId w:val="62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1207D34" w14:textId="77777777" w:rsidR="00DF410E" w:rsidRDefault="00CE7F43">
      <w:pPr>
        <w:pStyle w:val="Author-eListParagraph"/>
        <w:numPr>
          <w:ilvl w:val="0"/>
          <w:numId w:val="62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66FE7F6" w14:textId="77777777" w:rsidR="00DF410E" w:rsidRDefault="00CE7F43">
      <w:r>
        <w:rPr>
          <w:u w:val="single"/>
        </w:rPr>
        <w:t>Armatures</w:t>
      </w:r>
    </w:p>
    <w:p w14:paraId="3E22D1C9" w14:textId="77777777" w:rsidR="00DF410E" w:rsidRDefault="00CE7F43">
      <w:pPr>
        <w:pStyle w:val="Author-eListParagraph"/>
        <w:numPr>
          <w:ilvl w:val="0"/>
          <w:numId w:val="62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58D6EAF4" w14:textId="77777777" w:rsidR="00DF410E" w:rsidRDefault="00CE7F43">
      <w:pPr>
        <w:pStyle w:val="Author-eListParagraph"/>
        <w:numPr>
          <w:ilvl w:val="0"/>
          <w:numId w:val="629"/>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80071CD" w14:textId="77777777" w:rsidR="00DF410E" w:rsidRDefault="00CE7F43">
      <w:pPr>
        <w:pStyle w:val="pheading"/>
      </w:pPr>
      <w:r>
        <w:t>- Finitions</w:t>
      </w:r>
    </w:p>
    <w:p w14:paraId="541A932C" w14:textId="77777777" w:rsidR="00DF410E" w:rsidRDefault="00CE7F43">
      <w:r>
        <w:t xml:space="preserve">La surface du béton brute de décoffrage est </w:t>
      </w:r>
      <w:r>
        <w:rPr>
          <w:rStyle w:val="optioncarChar"/>
        </w:rPr>
        <w:t xml:space="preserve">lisse </w:t>
      </w:r>
      <w:r>
        <w:t>(par défaut)</w:t>
      </w:r>
      <w:r>
        <w:rPr>
          <w:rStyle w:val="optioncarChar"/>
        </w:rPr>
        <w:t xml:space="preserve"> / texturée</w:t>
      </w:r>
      <w:r>
        <w:t> </w:t>
      </w:r>
      <w:r>
        <w:rPr>
          <w:rStyle w:val="optioncarChar"/>
        </w:rPr>
        <w:t>/ à relief (ou structurée) / ***</w:t>
      </w:r>
    </w:p>
    <w:p w14:paraId="1A8CE6B0" w14:textId="77777777" w:rsidR="00DF410E" w:rsidRDefault="00CE7F43">
      <w:r>
        <w:rPr>
          <w:rStyle w:val="optioncarChar"/>
          <w:color w:val="000000"/>
        </w:rPr>
        <w:t>Les arêtes saillantes des poutres sont</w:t>
      </w:r>
      <w:r>
        <w:rPr>
          <w:rStyle w:val="optioncarChar"/>
        </w:rPr>
        <w:t xml:space="preserve"> vives / chanfreinées </w:t>
      </w:r>
      <w:r>
        <w:t xml:space="preserve">(par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2A7AB067" w14:textId="77777777" w:rsidR="00DF410E" w:rsidRDefault="00CE7F43">
      <w:pPr>
        <w:pStyle w:val="pheading"/>
      </w:pPr>
      <w:r>
        <w:t>EXÉCUTION / MISE EN ŒUVRE</w:t>
      </w:r>
    </w:p>
    <w:p w14:paraId="3FCE1751" w14:textId="77777777" w:rsidR="00DF410E" w:rsidRDefault="00CE7F43">
      <w:pPr>
        <w:pStyle w:val="pheading"/>
      </w:pPr>
      <w:r>
        <w:t>- Notes d’exécution complémentaires</w:t>
      </w:r>
    </w:p>
    <w:p w14:paraId="6061453B" w14:textId="77777777" w:rsidR="00DF410E" w:rsidRDefault="00CE7F43">
      <w:r>
        <w:t xml:space="preserve">Raccords visibles : joint en forme de </w:t>
      </w:r>
      <w:r>
        <w:rPr>
          <w:rStyle w:val="optioncarChar"/>
        </w:rPr>
        <w:t>V </w:t>
      </w:r>
      <w:r>
        <w:t>(par défaut)</w:t>
      </w:r>
      <w:r>
        <w:rPr>
          <w:rStyle w:val="optioncarChar"/>
        </w:rPr>
        <w:t xml:space="preserve"> / ***</w:t>
      </w:r>
      <w:r>
        <w:br/>
        <w:t xml:space="preserve">Ponts d’humidité / étanchéité à l'eau : </w:t>
      </w:r>
      <w:r>
        <w:rPr>
          <w:rStyle w:val="optioncarChar"/>
        </w:rPr>
        <w:t>***</w:t>
      </w:r>
      <w:r>
        <w:br/>
        <w:t>Ponts thermiques / isolation thermique : lorsque la section thermique de la coulisse ne peut, pour des raisons constructives, pas être poursuivie au droit des socles, les ponts thermiques à cet endroit sont évités en plaçant un coffrage perdu en polystyrène extrudé.</w:t>
      </w:r>
    </w:p>
    <w:p w14:paraId="0EA9DB3A" w14:textId="77777777" w:rsidR="00DF410E" w:rsidRDefault="00CE7F43">
      <w:pPr>
        <w:pStyle w:val="pheading"/>
      </w:pPr>
      <w:r>
        <w:t>MESURAGE</w:t>
      </w:r>
    </w:p>
    <w:p w14:paraId="254BFE0A" w14:textId="77777777" w:rsidR="00DF410E" w:rsidRDefault="00CE7F43">
      <w:r>
        <w:t>Conformément aux indications spécifiques dans le cahier spécial des charges et/ou le métré récapitulatif, le mesurage est conçu comme suit :</w:t>
      </w:r>
    </w:p>
    <w:p w14:paraId="6F5D816C" w14:textId="77777777" w:rsidR="00DF410E" w:rsidRDefault="00CE7F43">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713B0A7C" w14:textId="77777777" w:rsidR="00DF410E" w:rsidRDefault="00CE7F43">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231" w:history="1">
        <w:r>
          <w:rPr>
            <w:rStyle w:val="soitChar"/>
          </w:rPr>
          <w:t>22.51 Armatures pour béton</w:t>
        </w:r>
      </w:hyperlink>
    </w:p>
    <w:p w14:paraId="010E39CD" w14:textId="77777777" w:rsidR="00DF410E" w:rsidRDefault="00CE7F43">
      <w:pPr>
        <w:pStyle w:val="pheading"/>
      </w:pPr>
      <w:r>
        <w:t>- unité de mesure:</w:t>
      </w:r>
    </w:p>
    <w:p w14:paraId="19CC1F9A" w14:textId="77777777" w:rsidR="00DF410E" w:rsidRDefault="00CE7F43">
      <w:r>
        <w:t>m³</w:t>
      </w:r>
    </w:p>
    <w:p w14:paraId="46E51E47" w14:textId="77777777" w:rsidR="00DF410E" w:rsidRDefault="00CE7F43">
      <w:pPr>
        <w:pStyle w:val="pheading"/>
      </w:pPr>
      <w:r>
        <w:t>- code de mesurage:</w:t>
      </w:r>
    </w:p>
    <w:p w14:paraId="5EC76C23" w14:textId="77777777" w:rsidR="00DF410E" w:rsidRDefault="00CE7F43">
      <w:r>
        <w:t>Volume net</w:t>
      </w:r>
    </w:p>
    <w:p w14:paraId="238C50E2" w14:textId="77777777" w:rsidR="00DF410E" w:rsidRDefault="00CE7F43">
      <w:pPr>
        <w:pStyle w:val="pheading"/>
      </w:pPr>
      <w:r>
        <w:t>- nature du marché:</w:t>
      </w:r>
    </w:p>
    <w:p w14:paraId="5907C398" w14:textId="77777777" w:rsidR="00DF410E" w:rsidRDefault="00CE7F43">
      <w:r>
        <w:rPr>
          <w:rStyle w:val="optioncarChar"/>
        </w:rPr>
        <w:t xml:space="preserve">QF </w:t>
      </w:r>
      <w:r>
        <w:t>(par défaut)</w:t>
      </w:r>
      <w:r>
        <w:rPr>
          <w:rStyle w:val="optioncarChar"/>
        </w:rPr>
        <w:t xml:space="preserve"> / QP</w:t>
      </w:r>
    </w:p>
    <w:p w14:paraId="19E781BA" w14:textId="77777777" w:rsidR="00DF410E" w:rsidRDefault="00CE7F43">
      <w:r>
        <w:rPr>
          <w:u w:val="single"/>
        </w:rPr>
        <w:t>Attention</w:t>
      </w:r>
      <w:r>
        <w:t xml:space="preserve"> : dans le cas où les armatures ne sont pas comprises dans le prix unitaire du béton, se référer aux § </w:t>
      </w:r>
      <w:hyperlink w:anchor="232" w:history="1">
        <w:r>
          <w:t>22.51.1 Barres d'armatures pour béton</w:t>
        </w:r>
      </w:hyperlink>
      <w:r>
        <w:t xml:space="preserve"> et § </w:t>
      </w:r>
      <w:hyperlink w:anchor="233" w:history="1">
        <w:r>
          <w:t>22.51.2 Treillis et panneaux d'armatures préfabriqués</w:t>
        </w:r>
      </w:hyperlink>
      <w:r>
        <w:t xml:space="preserve">. Pour les armatures de précontrainte, se référer au § </w:t>
      </w:r>
      <w:hyperlink w:anchor="481" w:history="1">
        <w:r>
          <w:t>22.52.1 Armatures de précontrainte par post-tension</w:t>
        </w:r>
      </w:hyperlink>
      <w:r>
        <w:t>.</w:t>
      </w:r>
    </w:p>
    <w:p w14:paraId="61687870" w14:textId="77777777" w:rsidR="00DF410E" w:rsidRDefault="00CE7F43">
      <w:pPr>
        <w:pStyle w:val="Author-eSectionHeading5"/>
      </w:pPr>
      <w:bookmarkStart w:id="900" w:name="_Toc178838052"/>
      <w:r>
        <w:t>22.41.2 Socles préfabriqués en béton CCTB 01.02</w:t>
      </w:r>
      <w:bookmarkEnd w:id="900"/>
    </w:p>
    <w:p w14:paraId="7FE13F8B" w14:textId="77777777" w:rsidR="00DF410E" w:rsidRDefault="00CE7F43">
      <w:pPr>
        <w:pStyle w:val="Author-eSectionHeading6"/>
      </w:pPr>
      <w:bookmarkStart w:id="901" w:name="_Toc178838053"/>
      <w:r>
        <w:t>22.41.2a Socles préfabriqués en béton CCTB 01.02</w:t>
      </w:r>
      <w:bookmarkEnd w:id="901"/>
    </w:p>
    <w:p w14:paraId="7F4FB60C" w14:textId="77777777" w:rsidR="00DF410E" w:rsidRDefault="00CE7F43">
      <w:pPr>
        <w:pStyle w:val="Author-eSectionHeading4"/>
      </w:pPr>
      <w:bookmarkStart w:id="902" w:name="_Toc178838054"/>
      <w:r>
        <w:t>22.42 Pièces d'appui en béton CCTB 01.04</w:t>
      </w:r>
      <w:bookmarkEnd w:id="902"/>
    </w:p>
    <w:p w14:paraId="3007E29F" w14:textId="77777777" w:rsidR="00DF410E" w:rsidRDefault="00CE7F43">
      <w:pPr>
        <w:pStyle w:val="Author-eSectionHeading5"/>
      </w:pPr>
      <w:bookmarkStart w:id="903" w:name="497"/>
      <w:bookmarkStart w:id="904" w:name="_Toc178838055"/>
      <w:bookmarkEnd w:id="903"/>
      <w:r>
        <w:t>22.42.1 Pièces d'appui en béton coulé en place CCTB 01.12</w:t>
      </w:r>
      <w:bookmarkEnd w:id="904"/>
    </w:p>
    <w:p w14:paraId="398DB5C5" w14:textId="77777777" w:rsidR="00DF410E" w:rsidRDefault="00CE7F43">
      <w:pPr>
        <w:pStyle w:val="pheading"/>
      </w:pPr>
      <w:r>
        <w:t>DESCRIPTION</w:t>
      </w:r>
    </w:p>
    <w:p w14:paraId="0C830F66" w14:textId="77777777" w:rsidR="00DF410E" w:rsidRDefault="00CE7F43">
      <w:pPr>
        <w:pStyle w:val="pheading"/>
      </w:pPr>
      <w:r>
        <w:t>- Définition / Comprend</w:t>
      </w:r>
    </w:p>
    <w:p w14:paraId="1AF284D0" w14:textId="77777777" w:rsidR="00DF410E" w:rsidRDefault="00CE7F43">
      <w:r>
        <w:t xml:space="preserve">Il s'agit de l’ensemble des </w:t>
      </w:r>
      <w:r>
        <w:rPr>
          <w:rStyle w:val="optioncarChar"/>
        </w:rPr>
        <w:t xml:space="preserve">pièces d’appui </w:t>
      </w:r>
      <w:r>
        <w:t>(par défaut) </w:t>
      </w:r>
      <w:r>
        <w:rPr>
          <w:rStyle w:val="optioncarChar"/>
        </w:rPr>
        <w:t>/ *** </w:t>
      </w:r>
      <w:r>
        <w:t>exécutées en béton. Les travaux comprennent les coffrages, les armatures et le béton, y compris tous les éléments à noyer dans ou contre le béton, …</w:t>
      </w:r>
    </w:p>
    <w:p w14:paraId="64DDE159" w14:textId="77777777" w:rsidR="00DF410E" w:rsidRDefault="00CE7F43">
      <w:pPr>
        <w:pStyle w:val="pheading"/>
      </w:pPr>
      <w:r>
        <w:t>MATÉRIAUX</w:t>
      </w:r>
    </w:p>
    <w:p w14:paraId="2F1AFF9B" w14:textId="77777777" w:rsidR="00DF410E" w:rsidRDefault="00CE7F43">
      <w:pPr>
        <w:pStyle w:val="heading"/>
      </w:pPr>
      <w:r>
        <w:t>Spécifications</w:t>
      </w:r>
    </w:p>
    <w:p w14:paraId="39CCA2D8" w14:textId="77777777" w:rsidR="00DF410E" w:rsidRDefault="00CE7F43">
      <w:r>
        <w:t>Qualité du béton selon la [NBN EN 206:2013+A2] et la [NBN B 15-001] . (</w:t>
      </w:r>
      <w:r>
        <w:rPr>
          <w:i/>
        </w:rPr>
        <w:t xml:space="preserve">voir également l'article </w:t>
      </w:r>
      <w:hyperlink w:anchor="87" w:history="1">
        <w:r>
          <w:rPr>
            <w:i/>
          </w:rPr>
          <w:t>22 Superstructures en béton</w:t>
        </w:r>
      </w:hyperlink>
      <w:r>
        <w:rPr>
          <w:i/>
        </w:rP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DF410E" w14:paraId="24220C52" w14:textId="77777777">
        <w:tc>
          <w:tcPr>
            <w:tcW w:w="1500" w:type="dxa"/>
            <w:noWrap/>
          </w:tcPr>
          <w:p w14:paraId="7A900185" w14:textId="77777777" w:rsidR="00DF410E" w:rsidRDefault="00CE7F43">
            <w:pPr>
              <w:jc w:val="center"/>
            </w:pPr>
            <w:r>
              <w:rPr>
                <w:b/>
              </w:rPr>
              <w:t>A</w:t>
            </w:r>
          </w:p>
        </w:tc>
        <w:tc>
          <w:tcPr>
            <w:tcW w:w="1500" w:type="dxa"/>
            <w:noWrap/>
          </w:tcPr>
          <w:p w14:paraId="01974F58" w14:textId="77777777" w:rsidR="00DF410E" w:rsidRDefault="00CE7F43">
            <w:pPr>
              <w:jc w:val="center"/>
            </w:pPr>
            <w:r>
              <w:rPr>
                <w:b/>
              </w:rPr>
              <w:t>B1</w:t>
            </w:r>
          </w:p>
        </w:tc>
        <w:tc>
          <w:tcPr>
            <w:tcW w:w="1500" w:type="dxa"/>
            <w:noWrap/>
          </w:tcPr>
          <w:p w14:paraId="24CB988B" w14:textId="77777777" w:rsidR="00DF410E" w:rsidRDefault="00CE7F43">
            <w:pPr>
              <w:jc w:val="center"/>
            </w:pPr>
            <w:r>
              <w:rPr>
                <w:b/>
              </w:rPr>
              <w:t>B2</w:t>
            </w:r>
          </w:p>
        </w:tc>
        <w:tc>
          <w:tcPr>
            <w:tcW w:w="1500" w:type="dxa"/>
            <w:noWrap/>
          </w:tcPr>
          <w:p w14:paraId="31A7E178" w14:textId="77777777" w:rsidR="00DF410E" w:rsidRDefault="00CE7F43">
            <w:pPr>
              <w:jc w:val="center"/>
            </w:pPr>
            <w:r>
              <w:rPr>
                <w:b/>
              </w:rPr>
              <w:t>C</w:t>
            </w:r>
          </w:p>
        </w:tc>
        <w:tc>
          <w:tcPr>
            <w:tcW w:w="1500" w:type="dxa"/>
            <w:noWrap/>
          </w:tcPr>
          <w:p w14:paraId="108176D3" w14:textId="77777777" w:rsidR="00DF410E" w:rsidRDefault="00CE7F43">
            <w:pPr>
              <w:jc w:val="center"/>
            </w:pPr>
            <w:r>
              <w:rPr>
                <w:b/>
              </w:rPr>
              <w:t>D</w:t>
            </w:r>
          </w:p>
        </w:tc>
        <w:tc>
          <w:tcPr>
            <w:tcW w:w="1500" w:type="dxa"/>
            <w:noWrap/>
          </w:tcPr>
          <w:p w14:paraId="51B83DA7" w14:textId="77777777" w:rsidR="00DF410E" w:rsidRDefault="00CE7F43">
            <w:pPr>
              <w:jc w:val="center"/>
            </w:pPr>
            <w:r>
              <w:rPr>
                <w:b/>
              </w:rPr>
              <w:t>E</w:t>
            </w:r>
          </w:p>
        </w:tc>
      </w:tr>
      <w:tr w:rsidR="00DF410E" w14:paraId="6472C00F" w14:textId="77777777">
        <w:tc>
          <w:tcPr>
            <w:tcW w:w="1500" w:type="dxa"/>
            <w:noWrap/>
          </w:tcPr>
          <w:p w14:paraId="493F5D16" w14:textId="77777777" w:rsidR="00DF410E" w:rsidRDefault="00CE7F43">
            <w:pPr>
              <w:jc w:val="center"/>
            </w:pPr>
            <w:r>
              <w:rPr>
                <w:b/>
              </w:rPr>
              <w:t>Classe de résistance</w:t>
            </w:r>
          </w:p>
        </w:tc>
        <w:tc>
          <w:tcPr>
            <w:tcW w:w="1500" w:type="dxa"/>
            <w:noWrap/>
          </w:tcPr>
          <w:p w14:paraId="1EE2F0C8" w14:textId="77777777" w:rsidR="00DF410E" w:rsidRDefault="00CE7F43">
            <w:pPr>
              <w:jc w:val="center"/>
            </w:pPr>
            <w:r>
              <w:rPr>
                <w:b/>
              </w:rPr>
              <w:t>Domaine d’application</w:t>
            </w:r>
          </w:p>
        </w:tc>
        <w:tc>
          <w:tcPr>
            <w:tcW w:w="1500" w:type="dxa"/>
            <w:noWrap/>
          </w:tcPr>
          <w:p w14:paraId="033BEFB1" w14:textId="77777777" w:rsidR="00DF410E" w:rsidRDefault="00CE7F43">
            <w:pPr>
              <w:jc w:val="center"/>
            </w:pPr>
            <w:r>
              <w:rPr>
                <w:b/>
              </w:rPr>
              <w:t>Classe d'environnement</w:t>
            </w:r>
          </w:p>
        </w:tc>
        <w:tc>
          <w:tcPr>
            <w:tcW w:w="1500" w:type="dxa"/>
            <w:noWrap/>
          </w:tcPr>
          <w:p w14:paraId="2D671445" w14:textId="77777777" w:rsidR="00DF410E" w:rsidRDefault="00CE7F43">
            <w:pPr>
              <w:jc w:val="center"/>
            </w:pPr>
            <w:r>
              <w:rPr>
                <w:b/>
              </w:rPr>
              <w:t>Classe de consistance</w:t>
            </w:r>
          </w:p>
        </w:tc>
        <w:tc>
          <w:tcPr>
            <w:tcW w:w="1500" w:type="dxa"/>
            <w:noWrap/>
          </w:tcPr>
          <w:p w14:paraId="66817308" w14:textId="77777777" w:rsidR="00DF410E" w:rsidRDefault="00CE7F43">
            <w:pPr>
              <w:jc w:val="center"/>
            </w:pPr>
            <w:r>
              <w:rPr>
                <w:b/>
              </w:rPr>
              <w:t>Granulométrie maximale</w:t>
            </w:r>
          </w:p>
        </w:tc>
        <w:tc>
          <w:tcPr>
            <w:tcW w:w="1500" w:type="dxa"/>
            <w:noWrap/>
          </w:tcPr>
          <w:p w14:paraId="0F26F431" w14:textId="77777777" w:rsidR="00DF410E" w:rsidRDefault="00CE7F43">
            <w:r>
              <w:rPr>
                <w:b/>
              </w:rPr>
              <w:t>Données complémentaires</w:t>
            </w:r>
          </w:p>
        </w:tc>
      </w:tr>
      <w:tr w:rsidR="00DF410E" w14:paraId="475924C1" w14:textId="77777777">
        <w:tc>
          <w:tcPr>
            <w:tcW w:w="1500" w:type="dxa"/>
            <w:noWrap/>
          </w:tcPr>
          <w:p w14:paraId="213EEB7F" w14:textId="77777777" w:rsidR="00DF410E" w:rsidRDefault="00CE7F43">
            <w:pPr>
              <w:jc w:val="center"/>
            </w:pPr>
            <w:r>
              <w:rPr>
                <w:rStyle w:val="optioncarChar"/>
              </w:rPr>
              <w:t>C25/30 / C30/37 / C35/45 / C45/55 / C50/60 / C55/67 / C60/75 / C70/85 / C80/95 / C90/105</w:t>
            </w:r>
          </w:p>
        </w:tc>
        <w:tc>
          <w:tcPr>
            <w:tcW w:w="1500" w:type="dxa"/>
            <w:noWrap/>
          </w:tcPr>
          <w:p w14:paraId="05DD3E22" w14:textId="77777777" w:rsidR="00DF410E" w:rsidRDefault="00CE7F43">
            <w:pPr>
              <w:jc w:val="center"/>
            </w:pPr>
            <w:r>
              <w:t>Béton armé</w:t>
            </w:r>
          </w:p>
          <w:p w14:paraId="13A54D69" w14:textId="77777777" w:rsidR="00DF410E" w:rsidRDefault="00DF410E"/>
        </w:tc>
        <w:tc>
          <w:tcPr>
            <w:tcW w:w="1500" w:type="dxa"/>
            <w:noWrap/>
          </w:tcPr>
          <w:p w14:paraId="47976B51" w14:textId="77777777" w:rsidR="00DF410E" w:rsidRDefault="00CE7F43">
            <w:pPr>
              <w:jc w:val="center"/>
            </w:pPr>
            <w:r>
              <w:rPr>
                <w:rStyle w:val="optioncarChar"/>
              </w:rPr>
              <w:t>E0 / EI / EE1 / EE2 / EE3 / EE4 / ES1 / ES2 / ES3 / ES4 / EA1+*** / EA2+***/ EA3+***</w:t>
            </w:r>
          </w:p>
        </w:tc>
        <w:tc>
          <w:tcPr>
            <w:tcW w:w="1500" w:type="dxa"/>
            <w:noWrap/>
          </w:tcPr>
          <w:p w14:paraId="16FCE8C8" w14:textId="77777777" w:rsidR="00DF410E" w:rsidRDefault="00CE7F43">
            <w:pPr>
              <w:jc w:val="center"/>
            </w:pPr>
            <w:r>
              <w:t>au choix de l'entrepreneur :</w:t>
            </w:r>
          </w:p>
          <w:p w14:paraId="7F7AF8C6" w14:textId="77777777" w:rsidR="00DF410E" w:rsidRDefault="00CE7F43">
            <w:pPr>
              <w:jc w:val="center"/>
            </w:pPr>
            <w:r>
              <w:rPr>
                <w:rStyle w:val="optioncarChar"/>
              </w:rPr>
              <w:t xml:space="preserve">S3 / S4 / S5 </w:t>
            </w:r>
          </w:p>
          <w:p w14:paraId="2BA6C602" w14:textId="77777777" w:rsidR="00DF410E" w:rsidRDefault="00CE7F43">
            <w:pPr>
              <w:jc w:val="center"/>
            </w:pPr>
            <w:r>
              <w:rPr>
                <w:rStyle w:val="optioncarChar"/>
              </w:rPr>
              <w:t>F3 / F4 / F5 / F6</w:t>
            </w:r>
            <w:r>
              <w:br/>
            </w:r>
          </w:p>
        </w:tc>
        <w:tc>
          <w:tcPr>
            <w:tcW w:w="1500" w:type="dxa"/>
            <w:noWrap/>
          </w:tcPr>
          <w:p w14:paraId="3806FACB" w14:textId="77777777" w:rsidR="00DF410E" w:rsidRDefault="00CE7F43">
            <w:pPr>
              <w:jc w:val="center"/>
            </w:pPr>
            <w:r>
              <w:t>au choix de l'entrepreneur :</w:t>
            </w:r>
          </w:p>
          <w:p w14:paraId="7ECFFCD5" w14:textId="77777777" w:rsidR="00DF410E" w:rsidRDefault="00CE7F43">
            <w:pPr>
              <w:jc w:val="center"/>
            </w:pPr>
            <w:r>
              <w:rPr>
                <w:rStyle w:val="optioncarChar"/>
              </w:rPr>
              <w:t>6 / 8 / 10 / 11 / 12 / 14 / 16 / 20 / 22 / 32</w:t>
            </w:r>
            <w:r>
              <w:t xml:space="preserve"> mm</w:t>
            </w:r>
          </w:p>
        </w:tc>
        <w:tc>
          <w:tcPr>
            <w:tcW w:w="1500" w:type="dxa"/>
            <w:noWrap/>
          </w:tcPr>
          <w:p w14:paraId="0C237556" w14:textId="77777777" w:rsidR="00DF410E" w:rsidRDefault="00CE7F43">
            <w:pPr>
              <w:jc w:val="center"/>
            </w:pPr>
            <w:r>
              <w:rPr>
                <w:rStyle w:val="optioncarChar"/>
              </w:rPr>
              <w:t>***</w:t>
            </w:r>
          </w:p>
        </w:tc>
      </w:tr>
    </w:tbl>
    <w:p w14:paraId="41E3E903" w14:textId="77777777" w:rsidR="00DF410E" w:rsidRDefault="00CE7F43">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F6EFD51" w14:textId="77777777" w:rsidR="00DF410E" w:rsidRDefault="00CE7F43">
      <w:pPr>
        <w:pStyle w:val="Author-eListParagraph"/>
        <w:numPr>
          <w:ilvl w:val="0"/>
          <w:numId w:val="630"/>
        </w:numPr>
      </w:pPr>
      <w:r>
        <w:t xml:space="preserve">Classe de viscosité apparente : </w:t>
      </w:r>
      <w:r>
        <w:rPr>
          <w:rStyle w:val="optioncarChar"/>
        </w:rPr>
        <w:t>VS1 / VS2</w:t>
      </w:r>
      <w:r>
        <w:t xml:space="preserve"> (selon la [NBN EN 12350-8] )</w:t>
      </w:r>
    </w:p>
    <w:p w14:paraId="3FF8F57A" w14:textId="77777777" w:rsidR="00DF410E" w:rsidRDefault="00CE7F43">
      <w:pPr>
        <w:pStyle w:val="Author-eListParagraph"/>
        <w:numPr>
          <w:ilvl w:val="0"/>
          <w:numId w:val="63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CEE161F" w14:textId="77777777" w:rsidR="00DF410E" w:rsidRDefault="00CE7F43">
      <w:pPr>
        <w:pStyle w:val="Author-eListParagraph"/>
        <w:numPr>
          <w:ilvl w:val="0"/>
          <w:numId w:val="63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64D38411" w14:textId="77777777" w:rsidR="00DF410E" w:rsidRDefault="00CE7F43">
      <w:r>
        <w:t xml:space="preserve">Pourcentage d'armatures : </w:t>
      </w:r>
      <w:r>
        <w:rPr>
          <w:rStyle w:val="optioncarChar"/>
        </w:rPr>
        <w:t>***</w:t>
      </w:r>
      <w:r>
        <w:t xml:space="preserve"> kg d'acier par m</w:t>
      </w:r>
      <w:r>
        <w:rPr>
          <w:vertAlign w:val="superscript"/>
        </w:rPr>
        <w:t>3</w:t>
      </w:r>
      <w:r>
        <w:t xml:space="preserve"> de béton.</w:t>
      </w:r>
    </w:p>
    <w:p w14:paraId="217E7418" w14:textId="77777777" w:rsidR="00DF410E" w:rsidRDefault="00CE7F43">
      <w:pPr>
        <w:pStyle w:val="Author-eListParagraph"/>
        <w:numPr>
          <w:ilvl w:val="0"/>
          <w:numId w:val="631"/>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0B387020" w14:textId="77777777" w:rsidR="00DF410E" w:rsidRDefault="00CE7F43">
      <w:pPr>
        <w:pStyle w:val="Author-eListParagraph"/>
        <w:numPr>
          <w:ilvl w:val="0"/>
          <w:numId w:val="63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0F321FF8" w14:textId="77777777" w:rsidR="00DF410E" w:rsidRDefault="00CE7F43">
      <w:pPr>
        <w:pStyle w:val="Author-eListParagraph"/>
        <w:numPr>
          <w:ilvl w:val="0"/>
          <w:numId w:val="631"/>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w:t>
      </w:r>
      <w:r>
        <w:t>(par défaut)</w:t>
      </w:r>
      <w:r>
        <w:rPr>
          <w:rStyle w:val="optioncarChar"/>
        </w:rPr>
        <w:t xml:space="preserve"> / ***x***x***x***</w:t>
      </w:r>
      <w:r>
        <w:t xml:space="preserve"> mm.</w:t>
      </w:r>
    </w:p>
    <w:p w14:paraId="1101243F" w14:textId="77777777" w:rsidR="00DF410E" w:rsidRDefault="00CE7F43">
      <w:pPr>
        <w:pStyle w:val="pheading"/>
      </w:pPr>
      <w:r>
        <w:t>EXÉCUTION / MISE EN ŒUVRE</w:t>
      </w:r>
    </w:p>
    <w:p w14:paraId="73D82C5F" w14:textId="77777777" w:rsidR="00DF410E" w:rsidRDefault="00CE7F43">
      <w:r>
        <w:t>L'étude est à charge </w:t>
      </w:r>
      <w:r>
        <w:rPr>
          <w:rStyle w:val="optioncarChar"/>
        </w:rPr>
        <w:t>de l'entrepreneur </w:t>
      </w:r>
      <w:r>
        <w:t>(par défaut)</w:t>
      </w:r>
      <w:r>
        <w:rPr>
          <w:rStyle w:val="optioncarChar"/>
        </w:rPr>
        <w:t xml:space="preserve"> / du maître de l'ouvrage / du bureau d’étude </w:t>
      </w:r>
      <w:r>
        <w:t>(</w:t>
      </w:r>
      <w:r>
        <w:rPr>
          <w:i/>
        </w:rPr>
        <w:t xml:space="preserve">voir également art. </w:t>
      </w:r>
      <w:hyperlink w:anchor="87" w:history="1">
        <w:r>
          <w:rPr>
            <w:i/>
          </w:rPr>
          <w:t>22 Superstructures en béton</w:t>
        </w:r>
      </w:hyperlink>
      <w:r>
        <w:t>)</w:t>
      </w:r>
    </w:p>
    <w:p w14:paraId="472B2E26" w14:textId="77777777" w:rsidR="00DF410E" w:rsidRDefault="00CE7F43">
      <w:r>
        <w:t xml:space="preserve">Les </w:t>
      </w:r>
      <w:r>
        <w:rPr>
          <w:rStyle w:val="optioncarChar"/>
        </w:rPr>
        <w:t xml:space="preserve">pièces d’appui </w:t>
      </w:r>
      <w:r>
        <w:t>(par défaut)</w:t>
      </w:r>
      <w:r>
        <w:rPr>
          <w:rStyle w:val="optioncarChar"/>
        </w:rPr>
        <w:t xml:space="preserve"> / *** </w:t>
      </w:r>
      <w:r>
        <w:t>sont exécutées dans les dimensions et avec la longueur d’appui indiquées sur les plans et les coupes. L’entrepreneur est tenu de vérifier si elles peuvent effectivement être réalisées conformément aux plans soumis. Il y a lieu de tenir compte de la hauteur requise par rapport au niveau du sol. La longueur d’appui est d’au moins </w:t>
      </w:r>
      <w:r>
        <w:rPr>
          <w:rStyle w:val="optioncarChar"/>
        </w:rPr>
        <w:t>20 / 30</w:t>
      </w:r>
      <w:r>
        <w:t xml:space="preserve">  cm à chaque extrémité des </w:t>
      </w:r>
      <w:r>
        <w:rPr>
          <w:rStyle w:val="optioncarChar"/>
        </w:rPr>
        <w:t>pièces d’appui </w:t>
      </w:r>
      <w:r>
        <w:t>(par défaut)</w:t>
      </w:r>
      <w:r>
        <w:rPr>
          <w:rStyle w:val="optioncarChar"/>
        </w:rPr>
        <w:t xml:space="preserve"> / ***</w:t>
      </w:r>
    </w:p>
    <w:p w14:paraId="5E964889" w14:textId="77777777" w:rsidR="00DF410E" w:rsidRDefault="00CE7F43">
      <w:r>
        <w:t xml:space="preserve">Les indications sur les plans de coffrage sont scrupuleusement respectées. L’entrepreneur veille à ce que les coffrages des </w:t>
      </w:r>
      <w:r>
        <w:rPr>
          <w:rStyle w:val="optioncarChar"/>
        </w:rPr>
        <w:t>pièces d’appui </w:t>
      </w:r>
      <w:r>
        <w:t>(par défaut)</w:t>
      </w:r>
      <w:r>
        <w:rPr>
          <w:rStyle w:val="optioncarChar"/>
        </w:rPr>
        <w:t xml:space="preserve"> / *** </w:t>
      </w:r>
      <w:r>
        <w:t>soient d’aplomb, alignés et de niveau.</w:t>
      </w:r>
    </w:p>
    <w:p w14:paraId="46699CB7" w14:textId="77777777" w:rsidR="00DF410E" w:rsidRDefault="00CE7F43">
      <w:r>
        <w:t xml:space="preserve">Avant le coulage du béton, on prévoit dans les </w:t>
      </w:r>
      <w:r>
        <w:rPr>
          <w:rStyle w:val="optioncarChar"/>
        </w:rPr>
        <w:t>poutres </w:t>
      </w:r>
      <w:r>
        <w:t>(par défaut)</w:t>
      </w:r>
      <w:r>
        <w:rPr>
          <w:rStyle w:val="optioncarChar"/>
        </w:rPr>
        <w:t xml:space="preserve"> / *** </w:t>
      </w:r>
      <w:r>
        <w:t>toutes les réservations ou pénétrations indiquées sur les plans. Aucun percement ne peut être effectué par la suite par forage ou décapage du béton sans l’approbation explicite préalable de l’auteur de projet ou de l’ingénieur.</w:t>
      </w:r>
    </w:p>
    <w:p w14:paraId="5CADF65D" w14:textId="77777777" w:rsidR="00DF410E" w:rsidRDefault="00CE7F43">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18D13E7B" w14:textId="77777777" w:rsidR="00DF410E" w:rsidRDefault="00CE7F43">
      <w:r>
        <w:t xml:space="preserve">Le décoffrage ne peut avoir lieu avant </w:t>
      </w:r>
      <w:r>
        <w:rPr>
          <w:rStyle w:val="optioncarChar"/>
        </w:rPr>
        <w:t>*** jours après le coulage du béton / selon les directives de l’ingénieur</w:t>
      </w:r>
      <w:r>
        <w:rPr>
          <w:rStyle w:val="optioncarChar"/>
          <w:i/>
        </w:rPr>
        <w:t>.</w:t>
      </w:r>
    </w:p>
    <w:p w14:paraId="2E56AF5B" w14:textId="77777777" w:rsidR="00DF410E" w:rsidRDefault="00CE7F43">
      <w:pPr>
        <w:pStyle w:val="Author-eSectionHeading6"/>
      </w:pPr>
      <w:bookmarkStart w:id="905" w:name="_Toc178838056"/>
      <w:r>
        <w:t>22.42.1a Asselets en béton coulé en place CCTB 01.11</w:t>
      </w:r>
      <w:bookmarkEnd w:id="905"/>
    </w:p>
    <w:p w14:paraId="4E91F227" w14:textId="77777777" w:rsidR="00DF410E" w:rsidRDefault="00CE7F43">
      <w:pPr>
        <w:pStyle w:val="pheading"/>
      </w:pPr>
      <w:r>
        <w:t>MATÉRIAUX</w:t>
      </w:r>
    </w:p>
    <w:p w14:paraId="50038F91" w14:textId="77777777" w:rsidR="00DF410E" w:rsidRDefault="00CE7F43">
      <w:pPr>
        <w:pStyle w:val="pheading"/>
      </w:pPr>
      <w:r>
        <w:t>- Finitions</w:t>
      </w:r>
    </w:p>
    <w:p w14:paraId="33A79FDE" w14:textId="77777777" w:rsidR="00DF410E" w:rsidRDefault="00CE7F43">
      <w:r>
        <w:t xml:space="preserve">• Coffrage : </w:t>
      </w:r>
      <w:r>
        <w:rPr>
          <w:rStyle w:val="optioncarChar"/>
        </w:rPr>
        <w:t>brut de décoffrage (linteaux destinés à être plafonnés) </w:t>
      </w:r>
      <w:r>
        <w:t>(par défaut)</w:t>
      </w:r>
      <w:r>
        <w:rPr>
          <w:rStyle w:val="optioncarChar"/>
        </w:rPr>
        <w:t xml:space="preserve"> / lisse / coffrage perdu </w:t>
      </w:r>
      <w:r>
        <w:t>en</w:t>
      </w:r>
      <w:r>
        <w:rPr>
          <w:rStyle w:val="optioncarChar"/>
        </w:rPr>
        <w:t xml:space="preserve"> ***</w:t>
      </w:r>
    </w:p>
    <w:p w14:paraId="40ACDA98" w14:textId="77777777" w:rsidR="00DF410E" w:rsidRDefault="00CE7F43">
      <w:pPr>
        <w:pStyle w:val="pheading"/>
      </w:pPr>
      <w:r>
        <w:t>- Prescriptions complémentaires</w:t>
      </w:r>
    </w:p>
    <w:p w14:paraId="424AD5FB" w14:textId="77777777" w:rsidR="00DF410E" w:rsidRDefault="00CE7F43">
      <w:r>
        <w:t>• Résistance au feu : </w:t>
      </w:r>
      <w:r>
        <w:rPr>
          <w:rStyle w:val="optioncarChar"/>
        </w:rPr>
        <w:t>R30 / R60 / R120 / R240</w:t>
      </w:r>
      <w:r>
        <w:t xml:space="preserve"> selon la [NBN EN 13501-2] .</w:t>
      </w:r>
    </w:p>
    <w:p w14:paraId="4BFFD314" w14:textId="77777777" w:rsidR="00DF410E" w:rsidRDefault="00CE7F43">
      <w:pPr>
        <w:pStyle w:val="pheading"/>
      </w:pPr>
      <w:r>
        <w:t>EXÉCUTION / MISE EN ŒUVRE</w:t>
      </w:r>
    </w:p>
    <w:p w14:paraId="30517863" w14:textId="77777777" w:rsidR="00DF410E" w:rsidRDefault="00CE7F43">
      <w:pPr>
        <w:pStyle w:val="pheading"/>
      </w:pPr>
      <w:r>
        <w:t>- Notes d’exécution complémentaires</w:t>
      </w:r>
    </w:p>
    <w:p w14:paraId="40844ACD" w14:textId="77777777" w:rsidR="00DF410E" w:rsidRDefault="00CE7F43">
      <w:r>
        <w:t>Raccords visibles : joint en forme de </w:t>
      </w:r>
      <w:r>
        <w:rPr>
          <w:rStyle w:val="optioncarChar"/>
        </w:rPr>
        <w:t>V </w:t>
      </w:r>
      <w:r>
        <w:t>(par défaut)</w:t>
      </w:r>
      <w:r>
        <w:rPr>
          <w:rStyle w:val="optioncarChar"/>
        </w:rPr>
        <w:t xml:space="preserve"> / ***</w:t>
      </w:r>
      <w:r>
        <w:br/>
        <w:t xml:space="preserve">Ponts d’humidité / étanchéité à l'eau : </w:t>
      </w:r>
      <w:r>
        <w:rPr>
          <w:rStyle w:val="optioncarChar"/>
        </w:rPr>
        <w:t>***</w:t>
      </w:r>
      <w:r>
        <w:br/>
        <w:t xml:space="preserve">Ponts thermiques / isolation thermique : lorsque la section thermique de la coulisse ne peut, pour des raisons constructives, pas être poursuivie au droit des asselets, les ponts thermiques à cet endroit sont évités en plaçant un coffrage perdu en </w:t>
      </w:r>
      <w:r>
        <w:rPr>
          <w:rStyle w:val="optioncarChar"/>
        </w:rPr>
        <w:t>polystyrène extrudé </w:t>
      </w:r>
      <w:r>
        <w:t xml:space="preserve">(par défaut) </w:t>
      </w:r>
      <w:r>
        <w:rPr>
          <w:rStyle w:val="optioncarChar"/>
        </w:rPr>
        <w:t>/ ***</w:t>
      </w:r>
      <w:r>
        <w:br/>
        <w:t xml:space="preserve">Réservations / pénétrations : </w:t>
      </w:r>
      <w:r>
        <w:rPr>
          <w:rStyle w:val="optioncarChar"/>
        </w:rPr>
        <w:t>***</w:t>
      </w:r>
    </w:p>
    <w:p w14:paraId="2E367656" w14:textId="77777777" w:rsidR="00DF410E" w:rsidRDefault="00CE7F43">
      <w:pPr>
        <w:pStyle w:val="pheading"/>
      </w:pPr>
      <w:r>
        <w:t>DOCUMENTS DE RÉFÉRENCE COMPLÉMENTAIRES</w:t>
      </w:r>
    </w:p>
    <w:p w14:paraId="7A668F3D" w14:textId="77777777" w:rsidR="00DF410E" w:rsidRDefault="00CE7F43">
      <w:pPr>
        <w:pStyle w:val="pheading"/>
      </w:pPr>
      <w:r>
        <w:t>- Matériau</w:t>
      </w:r>
    </w:p>
    <w:p w14:paraId="4B921ABC"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F1876A3" w14:textId="77777777" w:rsidR="00DF410E" w:rsidRDefault="00CE7F43">
      <w:pPr>
        <w:pStyle w:val="pheading"/>
      </w:pPr>
      <w:r>
        <w:t>MESURAGE</w:t>
      </w:r>
    </w:p>
    <w:p w14:paraId="288C2AFA" w14:textId="77777777" w:rsidR="00DF410E" w:rsidRDefault="00CE7F43">
      <w:r>
        <w:t>Conformément aux indications spécifiques dans le cahier spécial des charges et/ou le métré récapitulatif, le mesurage est conçu comme suit :</w:t>
      </w:r>
    </w:p>
    <w:p w14:paraId="2459718B" w14:textId="77777777" w:rsidR="00DF410E" w:rsidRDefault="00CE7F43">
      <w:pPr>
        <w:pStyle w:val="pheading"/>
      </w:pPr>
      <w:r>
        <w:t>- unité de mesure:</w:t>
      </w:r>
    </w:p>
    <w:p w14:paraId="1665A83B" w14:textId="77777777" w:rsidR="00DF410E" w:rsidRDefault="00CE7F43">
      <w:r>
        <w:t>m³ pour le béton</w:t>
      </w:r>
      <w:r>
        <w:br/>
        <w:t>kg pour les armatures</w:t>
      </w:r>
    </w:p>
    <w:p w14:paraId="54F3A4E4" w14:textId="77777777" w:rsidR="00DF410E" w:rsidRDefault="00CE7F43">
      <w:pPr>
        <w:pStyle w:val="pheading"/>
      </w:pPr>
      <w:r>
        <w:t>- code de mesurage:</w:t>
      </w:r>
    </w:p>
    <w:p w14:paraId="2209A748" w14:textId="77777777" w:rsidR="00DF410E" w:rsidRDefault="00CE7F43">
      <w:pPr>
        <w:ind w:left="435"/>
      </w:pPr>
      <w:r>
        <w:t>volume net (selon la [NBN B 06-001])</w:t>
      </w:r>
    </w:p>
    <w:p w14:paraId="67633093" w14:textId="77777777" w:rsidR="00DF410E" w:rsidRDefault="00CE7F43">
      <w:pPr>
        <w:pStyle w:val="pheading"/>
      </w:pPr>
      <w:r>
        <w:t>- nature du marché:</w:t>
      </w:r>
    </w:p>
    <w:p w14:paraId="634B52D0" w14:textId="77777777" w:rsidR="00DF410E" w:rsidRDefault="00CE7F43">
      <w:pPr>
        <w:ind w:left="435"/>
      </w:pPr>
      <w:r>
        <w:t>QF</w:t>
      </w:r>
    </w:p>
    <w:p w14:paraId="5BB4E67A" w14:textId="77777777" w:rsidR="00DF410E" w:rsidRDefault="00CE7F43">
      <w:pPr>
        <w:pStyle w:val="Author-eSectionHeading6"/>
      </w:pPr>
      <w:bookmarkStart w:id="906" w:name="_Toc178838057"/>
      <w:r>
        <w:t>22.42.1b Consoles et supports en béton coulé en place CCTB 01.04</w:t>
      </w:r>
      <w:bookmarkEnd w:id="906"/>
    </w:p>
    <w:p w14:paraId="45FACC42" w14:textId="77777777" w:rsidR="00DF410E" w:rsidRDefault="00CE7F43">
      <w:pPr>
        <w:pStyle w:val="Author-eSectionHeading5"/>
      </w:pPr>
      <w:bookmarkStart w:id="907" w:name="_Toc178838058"/>
      <w:r>
        <w:t>22.42.2 Pièces d'appui préfabriquées en béton CCTB 01.04</w:t>
      </w:r>
      <w:bookmarkEnd w:id="907"/>
    </w:p>
    <w:p w14:paraId="417AD612" w14:textId="77777777" w:rsidR="00DF410E" w:rsidRDefault="00CE7F43">
      <w:pPr>
        <w:pStyle w:val="Author-eSectionHeading6"/>
      </w:pPr>
      <w:bookmarkStart w:id="908" w:name="_Toc178838059"/>
      <w:r>
        <w:t>22.42.2a Consoles préfabriquées en béton CCTB 01.11</w:t>
      </w:r>
      <w:bookmarkEnd w:id="908"/>
    </w:p>
    <w:p w14:paraId="20733F11" w14:textId="77777777" w:rsidR="00DF410E" w:rsidRDefault="00CE7F43">
      <w:pPr>
        <w:pStyle w:val="pheading"/>
      </w:pPr>
      <w:r>
        <w:t>MATÉRIAUX</w:t>
      </w:r>
    </w:p>
    <w:p w14:paraId="00473071" w14:textId="77777777" w:rsidR="00DF410E" w:rsidRDefault="00CE7F43">
      <w:pPr>
        <w:pStyle w:val="pheading"/>
      </w:pPr>
      <w:r>
        <w:t>- Caractéristiques générales</w:t>
      </w:r>
    </w:p>
    <w:p w14:paraId="461A1A8B" w14:textId="77777777" w:rsidR="00DF410E" w:rsidRDefault="00CE7F43">
      <w:r>
        <w:t>Conformes aux exigences des normes [NBN EN 13369:2023] et [NBN B 21-600]</w:t>
      </w:r>
    </w:p>
    <w:p w14:paraId="727928E0" w14:textId="77777777" w:rsidR="00DF410E" w:rsidRDefault="00CE7F43">
      <w:pPr>
        <w:pStyle w:val="pheading"/>
      </w:pPr>
      <w:r>
        <w:t>- Finitions</w:t>
      </w:r>
    </w:p>
    <w:p w14:paraId="2D22148F" w14:textId="77777777" w:rsidR="00DF410E" w:rsidRDefault="00CE7F43">
      <w:r>
        <w:t xml:space="preserve">Surface de béton : </w:t>
      </w:r>
      <w:r>
        <w:rPr>
          <w:rStyle w:val="optioncarChar"/>
        </w:rPr>
        <w:t xml:space="preserve">brute et lisse </w:t>
      </w:r>
      <w:r>
        <w:t>(par défaut)</w:t>
      </w:r>
      <w:r>
        <w:rPr>
          <w:rStyle w:val="optioncarChar"/>
        </w:rPr>
        <w:t xml:space="preserve"> / rugueux (consoles destinées à être plafonnés)</w:t>
      </w:r>
      <w:r>
        <w:t xml:space="preserve"> .</w:t>
      </w:r>
      <w:r>
        <w:br/>
      </w:r>
    </w:p>
    <w:p w14:paraId="0F7B7D1B" w14:textId="77777777" w:rsidR="00DF410E" w:rsidRDefault="00CE7F43">
      <w:pPr>
        <w:pStyle w:val="pheading"/>
      </w:pPr>
      <w:r>
        <w:t>- Prescriptions complémentaires</w:t>
      </w:r>
    </w:p>
    <w:p w14:paraId="0F7B2F68" w14:textId="77777777" w:rsidR="00DF410E" w:rsidRDefault="00CE7F43">
      <w:r>
        <w:t>Résistance au feu : </w:t>
      </w:r>
      <w:r>
        <w:rPr>
          <w:rStyle w:val="optioncarChar"/>
        </w:rPr>
        <w:t>R30 / R60 / R120 / R240</w:t>
      </w:r>
      <w:r>
        <w:t xml:space="preserve"> selon la [NBN EN 13501-2] ou suivant la [NBN EN 1992-1-2].</w:t>
      </w:r>
    </w:p>
    <w:p w14:paraId="03D65DE9" w14:textId="77777777" w:rsidR="00DF410E" w:rsidRDefault="00CE7F43">
      <w:pPr>
        <w:pStyle w:val="pheading"/>
      </w:pPr>
      <w:r>
        <w:t>EXÉCUTION / MISE EN ŒUVRE</w:t>
      </w:r>
    </w:p>
    <w:p w14:paraId="51DD5ECD" w14:textId="77777777" w:rsidR="00DF410E" w:rsidRDefault="00CE7F43">
      <w:pPr>
        <w:pStyle w:val="pheading"/>
      </w:pPr>
      <w:r>
        <w:t>- Notes d’exécution complémentaires</w:t>
      </w:r>
    </w:p>
    <w:p w14:paraId="348AD04A" w14:textId="77777777" w:rsidR="00DF410E" w:rsidRDefault="00DF410E"/>
    <w:p w14:paraId="4C657D5A" w14:textId="77777777" w:rsidR="00DF410E" w:rsidRDefault="00CE7F43">
      <w:pPr>
        <w:pStyle w:val="Author-eListParagraph"/>
        <w:numPr>
          <w:ilvl w:val="0"/>
          <w:numId w:val="632"/>
        </w:numPr>
      </w:pPr>
      <w:r>
        <w:t xml:space="preserve">Raccords visibles : joint en forme de </w:t>
      </w:r>
      <w:r>
        <w:rPr>
          <w:rStyle w:val="optioncarChar"/>
        </w:rPr>
        <w:t>V</w:t>
      </w:r>
      <w:r>
        <w:t> (par défaut)</w:t>
      </w:r>
      <w:r>
        <w:rPr>
          <w:rStyle w:val="optioncarChar"/>
        </w:rPr>
        <w:t xml:space="preserve"> / ***</w:t>
      </w:r>
    </w:p>
    <w:p w14:paraId="6C86B0B2" w14:textId="77777777" w:rsidR="00DF410E" w:rsidRDefault="00CE7F43">
      <w:pPr>
        <w:pStyle w:val="Author-eListParagraph"/>
        <w:numPr>
          <w:ilvl w:val="0"/>
          <w:numId w:val="632"/>
        </w:numPr>
      </w:pPr>
      <w:r>
        <w:t xml:space="preserve">Ponts d’humidité / étanchéité à l'eau : </w:t>
      </w:r>
      <w:r>
        <w:rPr>
          <w:rStyle w:val="optioncarChar"/>
        </w:rPr>
        <w:t>***</w:t>
      </w:r>
    </w:p>
    <w:p w14:paraId="0635960D" w14:textId="77777777" w:rsidR="00DF410E" w:rsidRDefault="00CE7F43">
      <w:pPr>
        <w:pStyle w:val="Author-eListParagraph"/>
        <w:numPr>
          <w:ilvl w:val="0"/>
          <w:numId w:val="632"/>
        </w:numPr>
      </w:pPr>
      <w:r>
        <w:t>Ponts thermiques / isolation thermique : lorsque la section thermique de la coulisse ne peut, pour des raisons constructives, pas être poursuivie au droit des consoles, les ponts thermiques à cet endroit sont évités en plaçant un coffrage perdu en</w:t>
      </w:r>
      <w:r>
        <w:rPr>
          <w:rStyle w:val="optioncarChar"/>
        </w:rPr>
        <w:t> polystyrène extrudé </w:t>
      </w:r>
      <w:r>
        <w:t>(par défaut)</w:t>
      </w:r>
      <w:r>
        <w:rPr>
          <w:rStyle w:val="optioncarChar"/>
        </w:rPr>
        <w:t xml:space="preserve"> / ***</w:t>
      </w:r>
    </w:p>
    <w:p w14:paraId="50CA2E17" w14:textId="77777777" w:rsidR="00DF410E" w:rsidRDefault="00CE7F43">
      <w:pPr>
        <w:pStyle w:val="Author-eListParagraph"/>
        <w:numPr>
          <w:ilvl w:val="0"/>
          <w:numId w:val="632"/>
        </w:numPr>
      </w:pPr>
      <w:r>
        <w:t xml:space="preserve">Réservations / pénétrations : </w:t>
      </w:r>
      <w:r>
        <w:rPr>
          <w:rStyle w:val="optioncarChar"/>
        </w:rPr>
        <w:t>***</w:t>
      </w:r>
    </w:p>
    <w:p w14:paraId="7756F920" w14:textId="77777777" w:rsidR="00DF410E" w:rsidRDefault="00CE7F43">
      <w:pPr>
        <w:pStyle w:val="pheading"/>
      </w:pPr>
      <w:r>
        <w:t>MESURAGE</w:t>
      </w:r>
    </w:p>
    <w:p w14:paraId="5EA0397C" w14:textId="77777777" w:rsidR="00DF410E" w:rsidRDefault="00CE7F43">
      <w:r>
        <w:t>Conformément aux indications spécifiques dans le cahier spécial des charges et/ou le métré récapitulatif, le mesurage est conçu comme suit :</w:t>
      </w:r>
    </w:p>
    <w:p w14:paraId="43CA2370" w14:textId="77777777" w:rsidR="00DF410E" w:rsidRDefault="00CE7F43">
      <w:pPr>
        <w:pStyle w:val="pheading"/>
      </w:pPr>
      <w:r>
        <w:t>- unité de mesure:</w:t>
      </w:r>
    </w:p>
    <w:p w14:paraId="3CBE4DEA" w14:textId="77777777" w:rsidR="00DF410E" w:rsidRDefault="00CE7F43">
      <w:r>
        <w:t>m³ pour le béton</w:t>
      </w:r>
      <w:r>
        <w:br/>
        <w:t>kg pour les armatures</w:t>
      </w:r>
    </w:p>
    <w:p w14:paraId="6BBFD5C2" w14:textId="77777777" w:rsidR="00DF410E" w:rsidRDefault="00CE7F43">
      <w:pPr>
        <w:pStyle w:val="pheading"/>
      </w:pPr>
      <w:r>
        <w:t>- code de mesurage:</w:t>
      </w:r>
    </w:p>
    <w:p w14:paraId="397865D1" w14:textId="77777777" w:rsidR="00DF410E" w:rsidRDefault="00CE7F43">
      <w:r>
        <w:t>volume net (selon la [NBN B 06-001])</w:t>
      </w:r>
    </w:p>
    <w:p w14:paraId="5AE6E3F5" w14:textId="77777777" w:rsidR="00DF410E" w:rsidRDefault="00CE7F43">
      <w:pPr>
        <w:pStyle w:val="pheading"/>
      </w:pPr>
      <w:r>
        <w:t>- nature du marché:</w:t>
      </w:r>
    </w:p>
    <w:p w14:paraId="66C41075" w14:textId="77777777" w:rsidR="00DF410E" w:rsidRDefault="00CE7F43">
      <w:pPr>
        <w:ind w:left="435"/>
      </w:pPr>
      <w:r>
        <w:t>QF</w:t>
      </w:r>
    </w:p>
    <w:p w14:paraId="0AB84C46" w14:textId="77777777" w:rsidR="00DF410E" w:rsidRDefault="00CE7F43">
      <w:pPr>
        <w:pStyle w:val="Author-eSectionHeading4"/>
      </w:pPr>
      <w:bookmarkStart w:id="909" w:name="_Toc178838060"/>
      <w:r>
        <w:t>22.43 Pièces d'appui autres qu'en béton CCTB 01.04</w:t>
      </w:r>
      <w:bookmarkEnd w:id="909"/>
    </w:p>
    <w:p w14:paraId="5B52BEE4" w14:textId="77777777" w:rsidR="00DF410E" w:rsidRDefault="00CE7F43">
      <w:pPr>
        <w:pStyle w:val="Author-eSectionHeading5"/>
      </w:pPr>
      <w:bookmarkStart w:id="910" w:name="_Toc178838061"/>
      <w:r>
        <w:t>22.43.1 Pièces d'appui en matière synthétique CCTB 01.04</w:t>
      </w:r>
      <w:bookmarkEnd w:id="910"/>
    </w:p>
    <w:p w14:paraId="10722A24" w14:textId="77777777" w:rsidR="00DF410E" w:rsidRDefault="00CE7F43">
      <w:pPr>
        <w:pStyle w:val="Author-eSectionHeading6"/>
      </w:pPr>
      <w:bookmarkStart w:id="911" w:name="_Toc178838062"/>
      <w:r>
        <w:t>22.43.1a Pièces d'appui en néoprène CCTB 01.04</w:t>
      </w:r>
      <w:bookmarkEnd w:id="911"/>
    </w:p>
    <w:p w14:paraId="06C75D7B" w14:textId="77777777" w:rsidR="00DF410E" w:rsidRDefault="00CE7F43">
      <w:pPr>
        <w:pStyle w:val="Author-eSectionHeading4"/>
      </w:pPr>
      <w:bookmarkStart w:id="912" w:name="_Toc178838063"/>
      <w:r>
        <w:t>22.44 Ancrages de structure en béton CCTB 01.04</w:t>
      </w:r>
      <w:bookmarkEnd w:id="912"/>
    </w:p>
    <w:p w14:paraId="2959E637" w14:textId="77777777" w:rsidR="00DF410E" w:rsidRDefault="00CE7F43">
      <w:pPr>
        <w:pStyle w:val="Author-eSectionHeading5"/>
      </w:pPr>
      <w:bookmarkStart w:id="913" w:name="_Toc178838064"/>
      <w:r>
        <w:t>22.44.1 Ancrages métalliques de structures en béton CCTB 01.04</w:t>
      </w:r>
      <w:bookmarkEnd w:id="913"/>
    </w:p>
    <w:p w14:paraId="78E19E19" w14:textId="77777777" w:rsidR="00DF410E" w:rsidRDefault="00CE7F43">
      <w:pPr>
        <w:pStyle w:val="Author-eSectionHeading6"/>
      </w:pPr>
      <w:bookmarkStart w:id="914" w:name="_Toc178838065"/>
      <w:r>
        <w:t>22.44.1a Ancrages métalliques de structures en béton CCTB 01.04</w:t>
      </w:r>
      <w:bookmarkEnd w:id="914"/>
    </w:p>
    <w:p w14:paraId="027B2849" w14:textId="77777777" w:rsidR="00DF410E" w:rsidRDefault="00CE7F43">
      <w:pPr>
        <w:pStyle w:val="Author-eSectionHeading4"/>
      </w:pPr>
      <w:bookmarkStart w:id="915" w:name="_Toc178838066"/>
      <w:r>
        <w:t>22.45 Contreventements de structures en béton CCTB 01.04</w:t>
      </w:r>
      <w:bookmarkEnd w:id="915"/>
    </w:p>
    <w:p w14:paraId="49C52E18" w14:textId="77777777" w:rsidR="00DF410E" w:rsidRDefault="00CE7F43">
      <w:pPr>
        <w:pStyle w:val="Author-eSectionHeading5"/>
      </w:pPr>
      <w:bookmarkStart w:id="916" w:name="_Toc178838067"/>
      <w:r>
        <w:t>22.45.1 Contreventements en acier CCTB 01.02</w:t>
      </w:r>
      <w:bookmarkEnd w:id="916"/>
    </w:p>
    <w:p w14:paraId="2C8623B1" w14:textId="77777777" w:rsidR="00DF410E" w:rsidRDefault="00CE7F43">
      <w:pPr>
        <w:pStyle w:val="Author-eSectionHeading6"/>
      </w:pPr>
      <w:bookmarkStart w:id="917" w:name="_Toc178838068"/>
      <w:r>
        <w:t>22.45.1a Contreventements par câbles en acier CCTB 01.04</w:t>
      </w:r>
      <w:bookmarkEnd w:id="917"/>
    </w:p>
    <w:p w14:paraId="31140708" w14:textId="77777777" w:rsidR="00DF410E" w:rsidRDefault="00CE7F43">
      <w:pPr>
        <w:pStyle w:val="pheading"/>
      </w:pPr>
      <w:r>
        <w:t>DESCRIPTION</w:t>
      </w:r>
    </w:p>
    <w:p w14:paraId="685E8D8E" w14:textId="77777777" w:rsidR="00DF410E" w:rsidRDefault="00CE7F43">
      <w:pPr>
        <w:pStyle w:val="pheading"/>
      </w:pPr>
      <w:r>
        <w:t>- Définition / Comprend</w:t>
      </w:r>
    </w:p>
    <w:p w14:paraId="0E695DA6" w14:textId="77777777" w:rsidR="00DF410E" w:rsidRDefault="00CE7F43">
      <w:r>
        <w:t xml:space="preserve">Renvoi au § </w:t>
      </w:r>
      <w:hyperlink w:anchor="517" w:history="1">
        <w:r>
          <w:t>23.46.1 Câbles en acier</w:t>
        </w:r>
      </w:hyperlink>
    </w:p>
    <w:p w14:paraId="7B3A73B5" w14:textId="77777777" w:rsidR="00DF410E" w:rsidRDefault="00CE7F43">
      <w:pPr>
        <w:pStyle w:val="Author-eSectionHeading6"/>
      </w:pPr>
      <w:bookmarkStart w:id="918" w:name="_Toc178838069"/>
      <w:r>
        <w:t>22.45.1b Contreventements par barres en acier CCTB 01.04</w:t>
      </w:r>
      <w:bookmarkEnd w:id="918"/>
    </w:p>
    <w:p w14:paraId="0C75CEC2" w14:textId="77777777" w:rsidR="00DF410E" w:rsidRDefault="00CE7F43">
      <w:pPr>
        <w:pStyle w:val="pheading"/>
      </w:pPr>
      <w:r>
        <w:t>DESCRIPTION</w:t>
      </w:r>
    </w:p>
    <w:p w14:paraId="1E89A073" w14:textId="77777777" w:rsidR="00DF410E" w:rsidRDefault="00CE7F43">
      <w:pPr>
        <w:pStyle w:val="pheading"/>
      </w:pPr>
      <w:r>
        <w:t>- Définition / Comprend</w:t>
      </w:r>
    </w:p>
    <w:p w14:paraId="20DD298E" w14:textId="77777777" w:rsidR="00DF410E" w:rsidRDefault="00CE7F43">
      <w:r>
        <w:t xml:space="preserve">Renvoi au </w:t>
      </w:r>
      <w:hyperlink w:anchor="518" w:history="1">
        <w:r>
          <w:t>23.46.3 Barres en acier</w:t>
        </w:r>
      </w:hyperlink>
    </w:p>
    <w:p w14:paraId="5F8FF4E4" w14:textId="77777777" w:rsidR="00DF410E" w:rsidRDefault="00CE7F43">
      <w:pPr>
        <w:pStyle w:val="Author-eSectionHeading4"/>
      </w:pPr>
      <w:bookmarkStart w:id="919" w:name="_Toc178838070"/>
      <w:r>
        <w:t>22.46 Eléments de soutènement en béton CCTB 01.11</w:t>
      </w:r>
      <w:bookmarkEnd w:id="919"/>
    </w:p>
    <w:p w14:paraId="30B2B388" w14:textId="77777777" w:rsidR="00DF410E" w:rsidRDefault="00CE7F43">
      <w:pPr>
        <w:pStyle w:val="pheading"/>
      </w:pPr>
      <w:bookmarkStart w:id="920" w:name="521"/>
      <w:bookmarkEnd w:id="920"/>
      <w:r>
        <w:t>DESCRIPTION</w:t>
      </w:r>
    </w:p>
    <w:p w14:paraId="529E470A" w14:textId="77777777" w:rsidR="00DF410E" w:rsidRDefault="00CE7F43">
      <w:pPr>
        <w:pStyle w:val="pheading"/>
      </w:pPr>
      <w:r>
        <w:t>- Définition / Comprend</w:t>
      </w:r>
    </w:p>
    <w:p w14:paraId="1D183449" w14:textId="77777777" w:rsidR="00DF410E" w:rsidRDefault="00CE7F43">
      <w:pPr>
        <w:jc w:val="both"/>
      </w:pPr>
      <w:r>
        <w:t xml:space="preserve">Ce poste comprend tous les éléments, travaux et fournitures, en vue de la réalisation des éléments de soutènement en béton.  Conformément aux dispositions du cahier spécial des charges, les prix unitaires compris dans ce poste doivent toujours comprendre, soit selon la ventilation explicite du métré récapitulatif, soit dans leur totalité les éléments repris à la section </w:t>
      </w:r>
      <w:hyperlink w:anchor="87" w:history="1">
        <w:r>
          <w:t>22 Superstructures en béton</w:t>
        </w:r>
      </w:hyperlink>
      <w:r>
        <w:t xml:space="preserve"> ainsi que :</w:t>
      </w:r>
    </w:p>
    <w:p w14:paraId="449A8C57" w14:textId="77777777" w:rsidR="00DF410E" w:rsidRDefault="00CE7F43">
      <w:pPr>
        <w:pStyle w:val="Author-eListParagraph"/>
        <w:numPr>
          <w:ilvl w:val="0"/>
          <w:numId w:val="633"/>
        </w:numPr>
      </w:pPr>
      <w:r>
        <w:t>le réglage et l’ancrage éventuel des éléments préfabriqués en ce compris les éventuels moyens de fixation et de support, les coupures thermiques et les joints de dilatation ;</w:t>
      </w:r>
      <w:r>
        <w:br/>
      </w:r>
    </w:p>
    <w:p w14:paraId="7806CBCE" w14:textId="77777777" w:rsidR="00DF410E" w:rsidRDefault="00CE7F43">
      <w:pPr>
        <w:jc w:val="both"/>
      </w:pPr>
      <w:r>
        <w:t xml:space="preserve">Les notes de calcul sont établies en conformité avec les modalités de la section </w:t>
      </w:r>
      <w:hyperlink w:anchor="87" w:history="1">
        <w:r>
          <w:t>22 Superstructures en béton</w:t>
        </w:r>
      </w:hyperlink>
      <w:r>
        <w:t>.</w:t>
      </w:r>
    </w:p>
    <w:p w14:paraId="37C594BF" w14:textId="77777777" w:rsidR="00DF410E" w:rsidRDefault="00CE7F43">
      <w:pPr>
        <w:jc w:val="both"/>
      </w:pPr>
      <w:r>
        <w:t>Les produits visés sont destinés à faire partie de murs de soutènement pour des applications telles que :</w:t>
      </w:r>
    </w:p>
    <w:p w14:paraId="31E8476B" w14:textId="77777777" w:rsidR="00DF410E" w:rsidRDefault="00CE7F43">
      <w:pPr>
        <w:pStyle w:val="Author-eListParagraph"/>
        <w:numPr>
          <w:ilvl w:val="0"/>
          <w:numId w:val="634"/>
        </w:numPr>
      </w:pPr>
      <w:r>
        <w:t>soutènement d'excavations et de tranchées creusées dans un terrain naturel ;</w:t>
      </w:r>
    </w:p>
    <w:p w14:paraId="37089A28" w14:textId="77777777" w:rsidR="00DF410E" w:rsidRDefault="00CE7F43">
      <w:pPr>
        <w:pStyle w:val="Author-eListParagraph"/>
        <w:numPr>
          <w:ilvl w:val="0"/>
          <w:numId w:val="634"/>
        </w:numPr>
      </w:pPr>
      <w:r>
        <w:t>soutènement de remblais de terre pour routes, plates-formes, etc ;</w:t>
      </w:r>
    </w:p>
    <w:p w14:paraId="600EB28B" w14:textId="77777777" w:rsidR="00DF410E" w:rsidRDefault="00CE7F43">
      <w:pPr>
        <w:pStyle w:val="Author-eListParagraph"/>
        <w:numPr>
          <w:ilvl w:val="0"/>
          <w:numId w:val="634"/>
        </w:numPr>
      </w:pPr>
      <w:r>
        <w:t>culées de ponts et leurs murs en retour/murs en aile ;</w:t>
      </w:r>
    </w:p>
    <w:p w14:paraId="2EE45950" w14:textId="77777777" w:rsidR="00DF410E" w:rsidRDefault="00CE7F43">
      <w:pPr>
        <w:pStyle w:val="Author-eListParagraph"/>
        <w:numPr>
          <w:ilvl w:val="0"/>
          <w:numId w:val="634"/>
        </w:numPr>
      </w:pPr>
      <w:r>
        <w:t>soutènement de matériaux en vrac tels que sable, graviers etc.</w:t>
      </w:r>
    </w:p>
    <w:p w14:paraId="09430B3D" w14:textId="77777777" w:rsidR="00DF410E" w:rsidRDefault="00CE7F43">
      <w:pPr>
        <w:jc w:val="both"/>
      </w:pPr>
      <w:r>
        <w:t>Les éléments de soutènement sont réalisés en béton coulé en place ou en béton préfabriqué. </w:t>
      </w:r>
    </w:p>
    <w:p w14:paraId="6C12C6F9" w14:textId="77777777" w:rsidR="00DF410E" w:rsidRDefault="00CE7F43">
      <w:pPr>
        <w:jc w:val="both"/>
      </w:pPr>
      <w:r>
        <w:t xml:space="preserve">L’étude et les plans d’exécution </w:t>
      </w:r>
      <w:r>
        <w:rPr>
          <w:rStyle w:val="optioncarChar"/>
        </w:rPr>
        <w:t>sont / ne sont pas</w:t>
      </w:r>
      <w:r>
        <w:t xml:space="preserve"> à charge de l’entreprise.</w:t>
      </w:r>
    </w:p>
    <w:p w14:paraId="276837EB" w14:textId="77777777" w:rsidR="00DF410E" w:rsidRDefault="00CE7F43">
      <w:pPr>
        <w:pStyle w:val="pheading"/>
      </w:pPr>
      <w:r>
        <w:t>MATÉRIAUX</w:t>
      </w:r>
    </w:p>
    <w:p w14:paraId="6435F6C7" w14:textId="77777777" w:rsidR="00DF410E" w:rsidRDefault="00CE7F43">
      <w:r>
        <w:t xml:space="preserve">Il s’agit de béton armé conforme à la section </w:t>
      </w:r>
      <w:hyperlink w:anchor="87" w:history="1">
        <w:r>
          <w:t>22 Superstructures en béton</w:t>
        </w:r>
      </w:hyperlink>
      <w:r>
        <w:t>.</w:t>
      </w:r>
    </w:p>
    <w:p w14:paraId="05492A48" w14:textId="77777777" w:rsidR="00DF410E" w:rsidRDefault="00CE7F43">
      <w:pPr>
        <w:pStyle w:val="Author-eSectionHeading5"/>
      </w:pPr>
      <w:bookmarkStart w:id="921" w:name="_Toc178838071"/>
      <w:r>
        <w:t>22.46.1 Eléments de soutènement en béton coulé en place CCTB 01.04</w:t>
      </w:r>
      <w:bookmarkEnd w:id="921"/>
    </w:p>
    <w:p w14:paraId="62E7B48A" w14:textId="77777777" w:rsidR="00DF410E" w:rsidRDefault="00CE7F43">
      <w:pPr>
        <w:pStyle w:val="Author-eSectionHeading6"/>
      </w:pPr>
      <w:bookmarkStart w:id="922" w:name="_Toc178838072"/>
      <w:r>
        <w:t>22.46.1a Eléments de soutènement en L en béton coulé en place CCTB 01.04</w:t>
      </w:r>
      <w:bookmarkEnd w:id="922"/>
    </w:p>
    <w:p w14:paraId="6E060EA9" w14:textId="77777777" w:rsidR="00DF410E" w:rsidRDefault="00CE7F43">
      <w:pPr>
        <w:pStyle w:val="Author-eSectionHeading5"/>
      </w:pPr>
      <w:bookmarkStart w:id="923" w:name="_Toc178838073"/>
      <w:r>
        <w:t>22.46.2 Eléments de soutènement préfabriqués en béton armé CCTB 01.11</w:t>
      </w:r>
      <w:bookmarkEnd w:id="923"/>
    </w:p>
    <w:p w14:paraId="796D653F" w14:textId="77777777" w:rsidR="00DF410E" w:rsidRDefault="00CE7F43">
      <w:pPr>
        <w:pStyle w:val="pheading"/>
      </w:pPr>
      <w:bookmarkStart w:id="924" w:name="519"/>
      <w:bookmarkEnd w:id="924"/>
      <w:r>
        <w:t>DESCRIPTION</w:t>
      </w:r>
    </w:p>
    <w:p w14:paraId="74D22BD4" w14:textId="77777777" w:rsidR="00DF410E" w:rsidRDefault="00CE7F43">
      <w:pPr>
        <w:pStyle w:val="pheading"/>
      </w:pPr>
      <w:r>
        <w:t>- Définition / Comprend</w:t>
      </w:r>
    </w:p>
    <w:p w14:paraId="3DE84D4A" w14:textId="77777777" w:rsidR="00DF410E" w:rsidRDefault="00CE7F43">
      <w:pPr>
        <w:jc w:val="both"/>
      </w:pPr>
      <w:r>
        <w:t>Il s’agit d’éléments de soutènement préfabriqués en béton armé pour des applications telles que décrites au sous-titre </w:t>
      </w:r>
      <w:hyperlink w:anchor="521" w:history="1">
        <w:r>
          <w:t>22.46 Eléments de soutènement en béton</w:t>
        </w:r>
      </w:hyperlink>
      <w:r>
        <w:t>.</w:t>
      </w:r>
    </w:p>
    <w:p w14:paraId="13E9F1AB" w14:textId="77777777" w:rsidR="00DF410E" w:rsidRDefault="00CE7F43">
      <w:pPr>
        <w:pStyle w:val="pheading"/>
      </w:pPr>
      <w:r>
        <w:t>MATÉRIAUX</w:t>
      </w:r>
    </w:p>
    <w:p w14:paraId="10E8E22C" w14:textId="77777777" w:rsidR="00DF410E" w:rsidRDefault="00CE7F43">
      <w:pPr>
        <w:jc w:val="both"/>
      </w:pPr>
      <w:r>
        <w:t>Les matériaux utilisés sont conformes à la [NBN EN 15258] et à la [NBN B 21-132].</w:t>
      </w:r>
    </w:p>
    <w:p w14:paraId="51397C8A" w14:textId="77777777" w:rsidR="00DF410E" w:rsidRDefault="00DF410E">
      <w:pPr>
        <w:jc w:val="both"/>
      </w:pPr>
    </w:p>
    <w:p w14:paraId="256B89B5" w14:textId="77777777" w:rsidR="00DF410E" w:rsidRDefault="00CE7F43">
      <w:pPr>
        <w:jc w:val="both"/>
      </w:pPr>
      <w:r>
        <w:t>La qualité du béton selon la [NBN EN 206:2013+A2] et la [NBN B 15-001] est :</w:t>
      </w:r>
    </w:p>
    <w:p w14:paraId="298EBAD9" w14:textId="77777777" w:rsidR="00DF410E" w:rsidRDefault="00CE7F43">
      <w:pPr>
        <w:jc w:val="both"/>
      </w:pPr>
      <w:r>
        <w:t xml:space="preserve">Classe de résistance minimale du béton : </w:t>
      </w:r>
      <w:r>
        <w:rPr>
          <w:rStyle w:val="optioncarChar"/>
        </w:rPr>
        <w:t>C30/37 </w:t>
      </w:r>
      <w:r>
        <w:t>(par défaut)</w:t>
      </w:r>
      <w:r>
        <w:rPr>
          <w:rStyle w:val="optioncarChar"/>
        </w:rPr>
        <w:t xml:space="preserve"> / ***</w:t>
      </w:r>
      <w:r>
        <w:t>.</w:t>
      </w:r>
    </w:p>
    <w:p w14:paraId="63A2E55B" w14:textId="77777777" w:rsidR="00DF410E" w:rsidRDefault="00CE7F43">
      <w:pPr>
        <w:jc w:val="both"/>
      </w:pPr>
      <w:r>
        <w:t xml:space="preserve">Classe minimale d’environnement : </w:t>
      </w:r>
      <w:r>
        <w:rPr>
          <w:rStyle w:val="optioncarChar"/>
        </w:rPr>
        <w:t>EE3 </w:t>
      </w:r>
      <w:r>
        <w:t>(par défaut)</w:t>
      </w:r>
      <w:r>
        <w:rPr>
          <w:rStyle w:val="optioncarChar"/>
        </w:rPr>
        <w:t xml:space="preserve"> / ***</w:t>
      </w:r>
      <w:r>
        <w:t>.</w:t>
      </w:r>
    </w:p>
    <w:p w14:paraId="7B45BBAE" w14:textId="77777777" w:rsidR="00DF410E" w:rsidRDefault="00DF410E">
      <w:pPr>
        <w:jc w:val="both"/>
      </w:pPr>
    </w:p>
    <w:p w14:paraId="3D3E0A6E" w14:textId="77777777" w:rsidR="00DF410E" w:rsidRDefault="00CE7F43">
      <w:pPr>
        <w:jc w:val="both"/>
      </w:pPr>
      <w:r>
        <w:t xml:space="preserve">Les éléments sont préfabriqués </w:t>
      </w:r>
      <w:r>
        <w:rPr>
          <w:rStyle w:val="optioncarChar"/>
        </w:rPr>
        <w:t xml:space="preserve">pour mur cantilever avec semelle (pied) </w:t>
      </w:r>
      <w:r>
        <w:t xml:space="preserve">(par défaut) </w:t>
      </w:r>
      <w:r>
        <w:rPr>
          <w:rStyle w:val="optioncarChar"/>
        </w:rPr>
        <w:t>/ pour mur cantilever avec semelle coulée en place / pour mur cantilever avec talon (préfabriqué) / ***</w:t>
      </w:r>
    </w:p>
    <w:p w14:paraId="1023007F" w14:textId="77777777" w:rsidR="00DF410E" w:rsidRDefault="00CE7F43">
      <w:pPr>
        <w:jc w:val="both"/>
      </w:pPr>
      <w:r>
        <w:rPr>
          <w:b/>
          <w:i/>
        </w:rPr>
        <w:t>(soit par défaut)</w:t>
      </w:r>
    </w:p>
    <w:p w14:paraId="29D6B625" w14:textId="77777777" w:rsidR="00DF410E" w:rsidRDefault="00CE7F43">
      <w:pPr>
        <w:jc w:val="both"/>
      </w:pPr>
      <w:r>
        <w:rPr>
          <w:rStyle w:val="soitChar"/>
        </w:rPr>
        <w:t xml:space="preserve">préfabriqués pour mur cantilever </w:t>
      </w:r>
      <w:r>
        <w:rPr>
          <w:rStyle w:val="soitChar"/>
          <w:u w:val="single"/>
        </w:rPr>
        <w:t>avec semelle (pied</w:t>
      </w:r>
      <w:r>
        <w:rPr>
          <w:rStyle w:val="soitChar"/>
        </w:rPr>
        <w:t>), c.-à-d. des éléments de soutènement en L ;</w:t>
      </w:r>
    </w:p>
    <w:p w14:paraId="2D167126" w14:textId="77777777" w:rsidR="00DF410E" w:rsidRDefault="00CE7F43">
      <w:pPr>
        <w:jc w:val="both"/>
      </w:pPr>
      <w:r>
        <w:rPr>
          <w:b/>
          <w:i/>
        </w:rPr>
        <w:t>(soit)</w:t>
      </w:r>
    </w:p>
    <w:p w14:paraId="50FF9220" w14:textId="77777777" w:rsidR="00DF410E" w:rsidRDefault="00CE7F43">
      <w:pPr>
        <w:jc w:val="both"/>
      </w:pPr>
      <w:r>
        <w:rPr>
          <w:rStyle w:val="soitChar"/>
        </w:rPr>
        <w:t xml:space="preserve">préfabriqués pour mur cantilever </w:t>
      </w:r>
      <w:r>
        <w:rPr>
          <w:rStyle w:val="soitChar"/>
          <w:u w:val="single"/>
        </w:rPr>
        <w:t>avec semelle coulée en place</w:t>
      </w:r>
      <w:r>
        <w:rPr>
          <w:rStyle w:val="soitChar"/>
        </w:rPr>
        <w:t xml:space="preserve"> ;</w:t>
      </w:r>
    </w:p>
    <w:p w14:paraId="7795AEDD" w14:textId="77777777" w:rsidR="00DF410E" w:rsidRDefault="00CE7F43">
      <w:pPr>
        <w:jc w:val="both"/>
      </w:pPr>
      <w:r>
        <w:rPr>
          <w:b/>
          <w:i/>
        </w:rPr>
        <w:t>(soit)</w:t>
      </w:r>
    </w:p>
    <w:p w14:paraId="44623AF0" w14:textId="77777777" w:rsidR="00DF410E" w:rsidRDefault="00CE7F43">
      <w:pPr>
        <w:jc w:val="both"/>
      </w:pPr>
      <w:r>
        <w:rPr>
          <w:rStyle w:val="soitChar"/>
        </w:rPr>
        <w:t xml:space="preserve">préfabriqués pour mur cantilever </w:t>
      </w:r>
      <w:r>
        <w:rPr>
          <w:rStyle w:val="soitChar"/>
          <w:u w:val="single"/>
        </w:rPr>
        <w:t>avec talon (préfabriqué)</w:t>
      </w:r>
      <w:r>
        <w:rPr>
          <w:rStyle w:val="soitChar"/>
        </w:rPr>
        <w:t> ;</w:t>
      </w:r>
    </w:p>
    <w:p w14:paraId="077BDD56" w14:textId="77777777" w:rsidR="00DF410E" w:rsidRDefault="00CE7F43">
      <w:pPr>
        <w:jc w:val="both"/>
      </w:pPr>
      <w:r>
        <w:rPr>
          <w:b/>
        </w:rPr>
        <w:t>(soit)</w:t>
      </w:r>
    </w:p>
    <w:p w14:paraId="35E6DF0B" w14:textId="77777777" w:rsidR="00DF410E" w:rsidRDefault="00CE7F43">
      <w:pPr>
        <w:jc w:val="both"/>
      </w:pPr>
      <w:r>
        <w:rPr>
          <w:rStyle w:val="optioncarChar"/>
        </w:rPr>
        <w:t>***</w:t>
      </w:r>
    </w:p>
    <w:p w14:paraId="750788AD" w14:textId="77777777" w:rsidR="00DF410E" w:rsidRDefault="00CE7F43">
      <w:pPr>
        <w:jc w:val="both"/>
      </w:pPr>
      <w:r>
        <w:t>Le béton de toute semelle éventuellement coulée en place (étude et réalisation) ne fait pas partie de ce poste.</w:t>
      </w:r>
    </w:p>
    <w:p w14:paraId="3D135354" w14:textId="77777777" w:rsidR="00DF410E" w:rsidRDefault="00CE7F43">
      <w:pPr>
        <w:jc w:val="both"/>
      </w:pPr>
      <w:r>
        <w:t xml:space="preserve">La classe d’étanchéité des éléments en béton définie selon la [NBN EN 1992-3 ANB] sera la suivante : </w:t>
      </w:r>
      <w:r>
        <w:rPr>
          <w:rStyle w:val="optioncarChar"/>
        </w:rPr>
        <w:t>classe 0</w:t>
      </w:r>
      <w:r>
        <w:t xml:space="preserve"> (par défaut) </w:t>
      </w:r>
      <w:r>
        <w:rPr>
          <w:rStyle w:val="optioncarChar"/>
        </w:rPr>
        <w:t>/ classe 1 / classe 2 / classe 3</w:t>
      </w:r>
      <w:r>
        <w:t>.  Pour les classes d’étanchéité 1,2 et 3, les recommandations de la [NIT 247] et [NIT 250] sont également d’application.</w:t>
      </w:r>
    </w:p>
    <w:p w14:paraId="2970885F" w14:textId="77777777" w:rsidR="00DF410E" w:rsidRDefault="00CE7F43">
      <w:pPr>
        <w:pStyle w:val="pheading"/>
      </w:pPr>
      <w:r>
        <w:t>EXÉCUTION / MISE EN ŒUVRE</w:t>
      </w:r>
    </w:p>
    <w:p w14:paraId="5D2C6998" w14:textId="77777777" w:rsidR="00DF410E" w:rsidRDefault="00CE7F43">
      <w:pPr>
        <w:jc w:val="both"/>
      </w:pPr>
      <w:r>
        <w:t>Les éléments de murs doivent être érigés en utilisant des étais provisoires ou tout dispositif requis par les spécifications techniques afin d'assurer leur propre résistance et stabilité au cours des phases provisoires et afin de garantir des conditions de travail en sécurité.</w:t>
      </w:r>
    </w:p>
    <w:p w14:paraId="0BDBD832" w14:textId="77777777" w:rsidR="00DF410E" w:rsidRDefault="00CE7F43">
      <w:pPr>
        <w:jc w:val="both"/>
      </w:pPr>
      <w:r>
        <w:t xml:space="preserve">Les remblais sont réalisés conformément au titre </w:t>
      </w:r>
      <w:hyperlink r:id="rId103" w:history="1" w:docLocation="128">
        <w:r>
          <w:t>11.3 Remblais et travaux connexes</w:t>
        </w:r>
      </w:hyperlink>
      <w:r>
        <w:t>.</w:t>
      </w:r>
    </w:p>
    <w:p w14:paraId="0C019FD4" w14:textId="77777777" w:rsidR="00DF410E" w:rsidRDefault="00CE7F43">
      <w:pPr>
        <w:pStyle w:val="pheading"/>
      </w:pPr>
      <w:r>
        <w:t>DOCUMENTS DE RÉFÉRENCE</w:t>
      </w:r>
    </w:p>
    <w:p w14:paraId="355D3B31" w14:textId="77777777" w:rsidR="00DF410E" w:rsidRDefault="00CE7F43">
      <w:pPr>
        <w:pStyle w:val="pheading"/>
      </w:pPr>
      <w:r>
        <w:t>- Matériau</w:t>
      </w:r>
    </w:p>
    <w:p w14:paraId="54B4A2F6" w14:textId="77777777" w:rsidR="00DF410E" w:rsidRDefault="00CE7F43">
      <w:r>
        <w:t>[NBN EN 13369:2023, Règles communes pour les produits préfabriqués en béton]</w:t>
      </w:r>
    </w:p>
    <w:p w14:paraId="30DCA13E" w14:textId="77777777" w:rsidR="00DF410E" w:rsidRDefault="00CE7F43">
      <w:r>
        <w:t>[NBN B 21-600, Règles communes pour les produits préfabriqués en béton - Complément national à la NBN EN 13369:2004+A1:2006+AC:2006]</w:t>
      </w:r>
    </w:p>
    <w:p w14:paraId="1B229441" w14:textId="77777777" w:rsidR="00DF410E" w:rsidRDefault="00CE7F43">
      <w:r>
        <w:t>[NBN EN 15258, Produits préfabriqués en béton - Éléments de murs de soutènement]</w:t>
      </w:r>
    </w:p>
    <w:p w14:paraId="189E3517" w14:textId="77777777" w:rsidR="00DF410E" w:rsidRDefault="00CE7F43">
      <w:r>
        <w:t>[NBN B 21-132, Produits préfabriqués en béton - Eléments de murs de soutènement - Complément national à la NBN EN 15258:2009]</w:t>
      </w:r>
    </w:p>
    <w:p w14:paraId="08678508" w14:textId="77777777" w:rsidR="00DF410E" w:rsidRDefault="00CE7F43">
      <w:r>
        <w:t>[NBN EN 1992-3, Eurocode 2 - Calcul des structures en béton - Partie 3: Silos et réservoirs]</w:t>
      </w:r>
    </w:p>
    <w:p w14:paraId="066736F0" w14:textId="77777777" w:rsidR="00DF410E" w:rsidRDefault="00CE7F43">
      <w:r>
        <w:t>[NBN EN 1992-3 ANB, Eurocode 2 - Calcul des structures en béton - Partie 3 : Silos et réservoirs - Annexe nationale]</w:t>
      </w:r>
    </w:p>
    <w:p w14:paraId="40B33D0D" w14:textId="77777777" w:rsidR="00DF410E" w:rsidRDefault="00CE7F43">
      <w:pPr>
        <w:pStyle w:val="pheading"/>
      </w:pPr>
      <w:r>
        <w:t>- Exécution</w:t>
      </w:r>
    </w:p>
    <w:p w14:paraId="3739E77A" w14:textId="77777777" w:rsidR="00DF410E" w:rsidRDefault="00CE7F43">
      <w:r>
        <w:t>[NIT 247, Conception et exécution des ouvrages étanches en béton]</w:t>
      </w:r>
    </w:p>
    <w:p w14:paraId="4371FF4C" w14:textId="77777777" w:rsidR="00DF410E" w:rsidRDefault="00CE7F43">
      <w:r>
        <w:t>[NIT 250, Détails de référence pour les constructions enterrées]</w:t>
      </w:r>
    </w:p>
    <w:p w14:paraId="075BE77F" w14:textId="77777777" w:rsidR="00DF410E" w:rsidRDefault="00CE7F43">
      <w:pPr>
        <w:pStyle w:val="Author-eSectionHeading6"/>
      </w:pPr>
      <w:bookmarkStart w:id="925" w:name="_Toc178838074"/>
      <w:r>
        <w:t>22.46.2a Eléments de soutènement en L préfabriqués en béton armé CCTB 01.11</w:t>
      </w:r>
      <w:bookmarkEnd w:id="925"/>
    </w:p>
    <w:p w14:paraId="6BCCA14A" w14:textId="77777777" w:rsidR="00DF410E" w:rsidRDefault="00CE7F43">
      <w:pPr>
        <w:pStyle w:val="pheading"/>
      </w:pPr>
      <w:r>
        <w:t>DESCRIPTION</w:t>
      </w:r>
    </w:p>
    <w:p w14:paraId="24548FE4" w14:textId="77777777" w:rsidR="00DF410E" w:rsidRDefault="00CE7F43">
      <w:pPr>
        <w:pStyle w:val="pheading"/>
      </w:pPr>
      <w:r>
        <w:t>- Définition / Comprend</w:t>
      </w:r>
    </w:p>
    <w:p w14:paraId="5B20E8FB" w14:textId="77777777" w:rsidR="00DF410E" w:rsidRDefault="00CE7F43">
      <w:pPr>
        <w:jc w:val="both"/>
      </w:pPr>
      <w:r>
        <w:t xml:space="preserve">Cet article vise la fourniture et la pose d’éléments de soutènement en L en béton armé, préfabriqués en usine et assemblés sur chantier.  La portée des travaux est décrite dans l’élément </w:t>
      </w:r>
      <w:hyperlink w:anchor="519" w:history="1">
        <w:r>
          <w:t>22.46.2 Eléments de soutènement préfabriqués en béton armé</w:t>
        </w:r>
      </w:hyperlink>
      <w:r>
        <w:t>.</w:t>
      </w:r>
    </w:p>
    <w:p w14:paraId="1896C625" w14:textId="77777777" w:rsidR="00DF410E" w:rsidRDefault="00CE7F43">
      <w:pPr>
        <w:pStyle w:val="pheading"/>
      </w:pPr>
      <w:r>
        <w:t>- Localisation</w:t>
      </w:r>
    </w:p>
    <w:p w14:paraId="6B3C2E90" w14:textId="77777777" w:rsidR="00DF410E" w:rsidRDefault="00CE7F43">
      <w:r>
        <w:t>Le pose est réalisée aux endroits suivants :</w:t>
      </w:r>
      <w:r>
        <w:rPr>
          <w:rStyle w:val="optioncarChar"/>
        </w:rPr>
        <w:t xml:space="preserve"> ***</w:t>
      </w:r>
    </w:p>
    <w:p w14:paraId="7ED34232" w14:textId="77777777" w:rsidR="00DF410E" w:rsidRDefault="00CE7F43">
      <w:r>
        <w:t>Voir plans et métrés détaillés.</w:t>
      </w:r>
    </w:p>
    <w:p w14:paraId="099F69FC" w14:textId="77777777" w:rsidR="00DF410E" w:rsidRDefault="00CE7F43">
      <w:pPr>
        <w:pStyle w:val="pheading"/>
      </w:pPr>
      <w:r>
        <w:t>MATÉRIAUX</w:t>
      </w:r>
    </w:p>
    <w:p w14:paraId="43B198BA" w14:textId="77777777" w:rsidR="00DF410E" w:rsidRDefault="00CE7F43">
      <w:pPr>
        <w:pStyle w:val="pheading"/>
      </w:pPr>
      <w:r>
        <w:t>- Caractéristiques générales</w:t>
      </w:r>
    </w:p>
    <w:p w14:paraId="0F3CE98C" w14:textId="77777777" w:rsidR="00DF410E" w:rsidRDefault="00CE7F43">
      <w:pPr>
        <w:jc w:val="both"/>
      </w:pPr>
      <w:r>
        <w:t>Il s’agit d’éléments de soutènement en L en béton armé, préfabriqués conformes aux normes [NBN EN 15258] et [NBN B 21-132], pour les éléments utilisés dans le domaine de l’agriculture, le [PTV 21-620] s’applique en plus.</w:t>
      </w:r>
    </w:p>
    <w:p w14:paraId="2ED84866" w14:textId="77777777" w:rsidR="00DF410E" w:rsidRDefault="00CE7F43">
      <w:pPr>
        <w:jc w:val="both"/>
      </w:pPr>
      <w:r>
        <w:t>Si l’étude en démontre la nécessité, les éléments sont réalisés avec raidisseur à l’arrière du voile vertical et intègrent un gousset de renforcement à l’endroit de la connexion entre la face verticale et le pied.</w:t>
      </w:r>
    </w:p>
    <w:p w14:paraId="3A5E2ECC" w14:textId="77777777" w:rsidR="00DF410E" w:rsidRDefault="00CE7F43">
      <w:pPr>
        <w:jc w:val="both"/>
      </w:pPr>
      <w:r>
        <w:t>Les armatures transversales principales et secondaires de l’élément de mur, ainsi que celles utilisées pour le levage, doivent être capables de résister aux chargements prévus au cours des situations transitoires. Dans ces situations transitoires, des étais provisoires ou des dispositifs d'étaiement assurant la sécurité et adaptés au produit, doivent être utilisés, si nécessaire, pour à la fois maintenir les éléments préfabriqués en position adéquate et selon un profil adéquat et réduire les effets des chargements.</w:t>
      </w:r>
    </w:p>
    <w:p w14:paraId="4A36155C" w14:textId="77777777" w:rsidR="00DF410E" w:rsidRDefault="00CE7F43">
      <w:pPr>
        <w:jc w:val="both"/>
      </w:pPr>
      <w:r>
        <w:t>Dimensions :</w:t>
      </w:r>
    </w:p>
    <w:p w14:paraId="17DE4EAE" w14:textId="77777777" w:rsidR="00DF410E" w:rsidRDefault="00CE7F43">
      <w:pPr>
        <w:pStyle w:val="Author-eListParagraph"/>
        <w:numPr>
          <w:ilvl w:val="0"/>
          <w:numId w:val="635"/>
        </w:numPr>
      </w:pPr>
      <w:r>
        <w:t xml:space="preserve">Hauteur : </w:t>
      </w:r>
      <w:r>
        <w:rPr>
          <w:rStyle w:val="optioncarChar"/>
        </w:rPr>
        <w:t>***</w:t>
      </w:r>
      <w:r>
        <w:t xml:space="preserve"> cm</w:t>
      </w:r>
    </w:p>
    <w:p w14:paraId="467D1E09" w14:textId="77777777" w:rsidR="00DF410E" w:rsidRDefault="00CE7F43">
      <w:pPr>
        <w:pStyle w:val="Author-eListParagraph"/>
        <w:numPr>
          <w:ilvl w:val="0"/>
          <w:numId w:val="635"/>
        </w:numPr>
      </w:pPr>
      <w:r>
        <w:t xml:space="preserve">Epaisseur du voile : </w:t>
      </w:r>
      <w:r>
        <w:rPr>
          <w:rStyle w:val="optioncarChar"/>
        </w:rPr>
        <w:t>en fonction des résultats de l’étude de stabilité</w:t>
      </w:r>
      <w:r>
        <w:t xml:space="preserve"> (par défaut) </w:t>
      </w:r>
      <w:r>
        <w:rPr>
          <w:rStyle w:val="optioncarChar"/>
        </w:rPr>
        <w:t>/ *** cm</w:t>
      </w:r>
    </w:p>
    <w:p w14:paraId="48F61B48" w14:textId="77777777" w:rsidR="00DF410E" w:rsidRDefault="00CE7F43">
      <w:pPr>
        <w:pStyle w:val="Author-eListParagraph"/>
        <w:numPr>
          <w:ilvl w:val="0"/>
          <w:numId w:val="635"/>
        </w:numPr>
      </w:pPr>
      <w:r>
        <w:t xml:space="preserve">Epaisseur du pied : </w:t>
      </w:r>
      <w:r>
        <w:rPr>
          <w:rStyle w:val="optioncarChar"/>
        </w:rPr>
        <w:t>en fonction des résultats de l’étude de stabilité</w:t>
      </w:r>
      <w:r>
        <w:t xml:space="preserve"> (par défaut) </w:t>
      </w:r>
      <w:r>
        <w:rPr>
          <w:rStyle w:val="optioncarChar"/>
        </w:rPr>
        <w:t>/ *** cm.</w:t>
      </w:r>
    </w:p>
    <w:p w14:paraId="24817518" w14:textId="77777777" w:rsidR="00DF410E" w:rsidRDefault="00CE7F43">
      <w:pPr>
        <w:jc w:val="both"/>
      </w:pPr>
      <w:r>
        <w:t xml:space="preserve">L’épaisseur des éléments sera : </w:t>
      </w:r>
      <w:r>
        <w:rPr>
          <w:rStyle w:val="optioncarChar"/>
        </w:rPr>
        <w:t>constante</w:t>
      </w:r>
      <w:r>
        <w:t xml:space="preserve"> (par défaut) / </w:t>
      </w:r>
      <w:r>
        <w:rPr>
          <w:rStyle w:val="optioncarChar"/>
        </w:rPr>
        <w:t>variable</w:t>
      </w:r>
      <w:r>
        <w:t>.</w:t>
      </w:r>
    </w:p>
    <w:p w14:paraId="1575EEB1" w14:textId="77777777" w:rsidR="00DF410E" w:rsidRDefault="00CE7F43">
      <w:pPr>
        <w:jc w:val="both"/>
      </w:pPr>
      <w:r>
        <w:t> </w:t>
      </w:r>
    </w:p>
    <w:p w14:paraId="6852AF06" w14:textId="77777777" w:rsidR="00DF410E" w:rsidRDefault="00CE7F43">
      <w:pPr>
        <w:pStyle w:val="pheading"/>
      </w:pPr>
      <w:r>
        <w:t>- Finitions</w:t>
      </w:r>
    </w:p>
    <w:p w14:paraId="47117842" w14:textId="77777777" w:rsidR="00DF410E" w:rsidRDefault="00CE7F43">
      <w:pPr>
        <w:jc w:val="both"/>
      </w:pPr>
      <w:r>
        <w:t xml:space="preserve">La finition des faces intérieures (côté pied) des éléments est : </w:t>
      </w:r>
      <w:r>
        <w:rPr>
          <w:rStyle w:val="optioncarChar"/>
        </w:rPr>
        <w:t xml:space="preserve">lissée à la taloche </w:t>
      </w:r>
      <w:r>
        <w:t>(par défaut)</w:t>
      </w:r>
      <w:r>
        <w:rPr>
          <w:rStyle w:val="optioncarChar"/>
        </w:rPr>
        <w:t xml:space="preserve"> / brute et lisse / ***</w:t>
      </w:r>
      <w:r>
        <w:t>.</w:t>
      </w:r>
    </w:p>
    <w:p w14:paraId="043F5838" w14:textId="77777777" w:rsidR="00DF410E" w:rsidRDefault="00CE7F43">
      <w:pPr>
        <w:jc w:val="both"/>
      </w:pPr>
      <w:r>
        <w:t>La finition des faces extérieures (visibles) des éléments est :</w:t>
      </w:r>
      <w:r>
        <w:rPr>
          <w:rStyle w:val="optioncarChar"/>
        </w:rPr>
        <w:t xml:space="preserve"> brute et lisse </w:t>
      </w:r>
      <w:r>
        <w:t xml:space="preserve">(par défaut) </w:t>
      </w:r>
      <w:r>
        <w:rPr>
          <w:rStyle w:val="optioncarChar"/>
        </w:rPr>
        <w:t>/ ***</w:t>
      </w:r>
      <w:r>
        <w:t>.</w:t>
      </w:r>
    </w:p>
    <w:p w14:paraId="0D280076" w14:textId="77777777" w:rsidR="00DF410E" w:rsidRDefault="00CE7F43">
      <w:pPr>
        <w:jc w:val="both"/>
      </w:pPr>
      <w:r>
        <w:t xml:space="preserve">Le joint vertical entre les éléments préfabriqués est : </w:t>
      </w:r>
      <w:r>
        <w:rPr>
          <w:rStyle w:val="optioncarChar"/>
        </w:rPr>
        <w:t xml:space="preserve">vide </w:t>
      </w:r>
      <w:r>
        <w:t>(par défaut)</w:t>
      </w:r>
      <w:r>
        <w:rPr>
          <w:rStyle w:val="optioncarChar"/>
        </w:rPr>
        <w:t xml:space="preserve"> / rempli par un joint souple / muni d’un dispositif d’étanchéité / ***</w:t>
      </w:r>
      <w:r>
        <w:t>.</w:t>
      </w:r>
    </w:p>
    <w:p w14:paraId="52A67779" w14:textId="77777777" w:rsidR="00DF410E" w:rsidRDefault="00CE7F43">
      <w:pPr>
        <w:jc w:val="both"/>
      </w:pPr>
      <w:r>
        <w:t xml:space="preserve">Les arêtes de la face visible sont : </w:t>
      </w:r>
      <w:r>
        <w:rPr>
          <w:rStyle w:val="optioncarChar"/>
        </w:rPr>
        <w:t>droites</w:t>
      </w:r>
      <w:r>
        <w:t> (par défaut)</w:t>
      </w:r>
      <w:r>
        <w:rPr>
          <w:rStyle w:val="optioncarChar"/>
        </w:rPr>
        <w:t xml:space="preserve"> / munies de chanfreins / ***</w:t>
      </w:r>
      <w:r>
        <w:t>.</w:t>
      </w:r>
    </w:p>
    <w:p w14:paraId="5742372B" w14:textId="77777777" w:rsidR="00DF410E" w:rsidRDefault="00CE7F43">
      <w:pPr>
        <w:jc w:val="both"/>
      </w:pPr>
      <w:r>
        <w:t xml:space="preserve">La tête de l’élément préfabriqué est : </w:t>
      </w:r>
      <w:r>
        <w:rPr>
          <w:rStyle w:val="optioncarChar"/>
        </w:rPr>
        <w:t xml:space="preserve">droite </w:t>
      </w:r>
      <w:r>
        <w:t>(par défaut)</w:t>
      </w:r>
      <w:r>
        <w:rPr>
          <w:rStyle w:val="optioncarChar"/>
        </w:rPr>
        <w:t xml:space="preserve"> / arrondie / ***</w:t>
      </w:r>
      <w:r>
        <w:t>.</w:t>
      </w:r>
    </w:p>
    <w:p w14:paraId="224B6123" w14:textId="77777777" w:rsidR="00DF410E" w:rsidRDefault="00CE7F43">
      <w:pPr>
        <w:pStyle w:val="pheading"/>
      </w:pPr>
      <w:r>
        <w:t>EXÉCUTION / MISE EN ŒUVRE</w:t>
      </w:r>
    </w:p>
    <w:p w14:paraId="40DA4080" w14:textId="77777777" w:rsidR="00DF410E" w:rsidRDefault="00CE7F43">
      <w:pPr>
        <w:pStyle w:val="pheading"/>
      </w:pPr>
      <w:r>
        <w:t>- Prescriptions générales</w:t>
      </w:r>
    </w:p>
    <w:p w14:paraId="0FE93E9A" w14:textId="77777777" w:rsidR="00DF410E" w:rsidRDefault="00CE7F43">
      <w:pPr>
        <w:jc w:val="both"/>
      </w:pPr>
      <w:r>
        <w:t>La liaison entre éléments se fait par :</w:t>
      </w:r>
      <w:r>
        <w:rPr>
          <w:rStyle w:val="optioncarChar"/>
        </w:rPr>
        <w:t xml:space="preserve"> emboîtement latéral / tiges filetées / faces plates </w:t>
      </w:r>
      <w:r>
        <w:t>(par défaut)</w:t>
      </w:r>
      <w:r>
        <w:rPr>
          <w:rStyle w:val="optioncarChar"/>
        </w:rPr>
        <w:t xml:space="preserve"> / ***</w:t>
      </w:r>
      <w:r>
        <w:t>.</w:t>
      </w:r>
    </w:p>
    <w:p w14:paraId="02135418" w14:textId="77777777" w:rsidR="00DF410E" w:rsidRDefault="00CE7F43">
      <w:pPr>
        <w:jc w:val="both"/>
      </w:pPr>
      <w:r>
        <w:t>Les éléments sont pourvus d’un système de levage. </w:t>
      </w:r>
    </w:p>
    <w:p w14:paraId="3A8DCE66" w14:textId="77777777" w:rsidR="00DF410E" w:rsidRDefault="00CE7F43">
      <w:pPr>
        <w:jc w:val="both"/>
      </w:pPr>
      <w:r>
        <w:t>Le mur de soutènement est créé en plaçant côte à côte les éléments préfabriqués.</w:t>
      </w:r>
    </w:p>
    <w:p w14:paraId="6D33E2F1" w14:textId="77777777" w:rsidR="00DF410E" w:rsidRDefault="00CE7F43">
      <w:pPr>
        <w:jc w:val="both"/>
      </w:pPr>
      <w:r>
        <w:t>Ces éléments de soutènement sont posés sur une assise en sable stabilisé (min 100 kg de ciment /m³ de mélange compacté) ou en béton maigre (min 100 kg de ciment /m³ de mélange compacté) compacté.  Cette assise doit être bien plane et au moins aussi large que le pied des éléments en question.</w:t>
      </w:r>
    </w:p>
    <w:p w14:paraId="7A9617C1" w14:textId="77777777" w:rsidR="00DF410E" w:rsidRDefault="00CE7F43">
      <w:pPr>
        <w:jc w:val="both"/>
      </w:pPr>
      <w:r>
        <w:t>Au surplus, les éléments sont placés au mortier plastique, ce qui permet de corriger les légères irrégularités de la semelle de fondation.</w:t>
      </w:r>
    </w:p>
    <w:p w14:paraId="6B1A5001" w14:textId="77777777" w:rsidR="00DF410E" w:rsidRDefault="00CE7F43">
      <w:pPr>
        <w:jc w:val="both"/>
      </w:pPr>
      <w:r>
        <w:t>Si la capacité portante du sol est suffisante, cette semelle de fondation, à comprendre au présent article, aura une épaisseur de minimum 15 cm et ne devra pas être armée.</w:t>
      </w:r>
    </w:p>
    <w:p w14:paraId="6B7C312B" w14:textId="77777777" w:rsidR="00DF410E" w:rsidRDefault="00CE7F43">
      <w:pPr>
        <w:jc w:val="both"/>
      </w:pPr>
      <w:r>
        <w:t xml:space="preserve">Dans le cas où la capacité portante du sol est insuffisante, il y a lieu de prévoir une semelle armée dont les dimensions sont à étudier suivant les résultats d'essais de sol. Cette semelle est comptée séparément (voir élément </w:t>
      </w:r>
      <w:hyperlink r:id="rId104" w:history="1" w:docLocation="520">
        <w:r>
          <w:t>12.3 Semelles de fondation</w:t>
        </w:r>
      </w:hyperlink>
      <w:r>
        <w:t>)</w:t>
      </w:r>
    </w:p>
    <w:p w14:paraId="167733BD" w14:textId="77777777" w:rsidR="00DF410E" w:rsidRDefault="00CE7F43">
      <w:pPr>
        <w:pStyle w:val="pheading"/>
      </w:pPr>
      <w:r>
        <w:t>DOCUMENTS DE RÉFÉRENCE COMPLÉMENTAIRES</w:t>
      </w:r>
    </w:p>
    <w:p w14:paraId="76088989" w14:textId="77777777" w:rsidR="00DF410E" w:rsidRDefault="00CE7F43">
      <w:pPr>
        <w:pStyle w:val="pheading"/>
      </w:pPr>
      <w:r>
        <w:t>- Matériau</w:t>
      </w:r>
    </w:p>
    <w:p w14:paraId="40914F98" w14:textId="77777777" w:rsidR="00DF410E" w:rsidRDefault="00CE7F43">
      <w:r>
        <w:t>[NBN EN 15258, Produits préfabriqués en béton - Éléments de murs de soutènement]</w:t>
      </w:r>
    </w:p>
    <w:p w14:paraId="21A759C1" w14:textId="77777777" w:rsidR="00DF410E" w:rsidRDefault="00CE7F43">
      <w:r>
        <w:t>[NBN B 21-132, Produits préfabriqués en béton - Eléments de murs de soutènement - Complément national à la NBN EN 15258:2009]</w:t>
      </w:r>
    </w:p>
    <w:p w14:paraId="2C2B0B4B" w14:textId="77777777" w:rsidR="00DF410E" w:rsidRDefault="00CE7F43">
      <w:r>
        <w:t>[PTV 21-620, Produits préfabriqués en béton du secteur agricole]</w:t>
      </w:r>
    </w:p>
    <w:p w14:paraId="0A5D0F58" w14:textId="77777777" w:rsidR="00DF410E" w:rsidRDefault="00CE7F43">
      <w:pPr>
        <w:pStyle w:val="pheading"/>
      </w:pPr>
      <w:r>
        <w:t>MESURAGE</w:t>
      </w:r>
    </w:p>
    <w:p w14:paraId="2F22674E" w14:textId="77777777" w:rsidR="00DF410E" w:rsidRDefault="00CE7F43">
      <w:pPr>
        <w:pStyle w:val="pheading"/>
      </w:pPr>
      <w:r>
        <w:t>- unité de mesure:</w:t>
      </w:r>
    </w:p>
    <w:p w14:paraId="55E1E7FD" w14:textId="77777777" w:rsidR="00DF410E" w:rsidRDefault="00CE7F43">
      <w:r>
        <w:rPr>
          <w:rStyle w:val="optioncarChar"/>
        </w:rPr>
        <w:t xml:space="preserve">m </w:t>
      </w:r>
      <w:r>
        <w:t xml:space="preserve">(par défaut) </w:t>
      </w:r>
      <w:r>
        <w:rPr>
          <w:rStyle w:val="optioncarChar"/>
        </w:rPr>
        <w:t>/ m² / pc</w:t>
      </w:r>
    </w:p>
    <w:p w14:paraId="568DA7C8" w14:textId="77777777" w:rsidR="00DF410E" w:rsidRDefault="00CE7F43">
      <w:r>
        <w:rPr>
          <w:b/>
          <w:i/>
        </w:rPr>
        <w:t>(Soit par défaut)</w:t>
      </w:r>
    </w:p>
    <w:p w14:paraId="136A7974" w14:textId="77777777" w:rsidR="00DF410E" w:rsidRDefault="00CE7F43">
      <w:r>
        <w:rPr>
          <w:rStyle w:val="soitChar"/>
        </w:rPr>
        <w:t>1. m</w:t>
      </w:r>
    </w:p>
    <w:p w14:paraId="76C209CA" w14:textId="77777777" w:rsidR="00DF410E" w:rsidRDefault="00CE7F43">
      <w:r>
        <w:rPr>
          <w:b/>
          <w:i/>
        </w:rPr>
        <w:t>(Soit)</w:t>
      </w:r>
    </w:p>
    <w:p w14:paraId="0CFE827F" w14:textId="77777777" w:rsidR="00DF410E" w:rsidRDefault="00CE7F43">
      <w:r>
        <w:rPr>
          <w:rStyle w:val="soitChar"/>
        </w:rPr>
        <w:t>2. m²</w:t>
      </w:r>
    </w:p>
    <w:p w14:paraId="1AE0FC35" w14:textId="77777777" w:rsidR="00DF410E" w:rsidRDefault="00CE7F43">
      <w:r>
        <w:rPr>
          <w:b/>
          <w:i/>
        </w:rPr>
        <w:t>(Soit)</w:t>
      </w:r>
    </w:p>
    <w:p w14:paraId="44384E54" w14:textId="77777777" w:rsidR="00DF410E" w:rsidRDefault="00CE7F43">
      <w:r>
        <w:rPr>
          <w:rStyle w:val="soitChar"/>
        </w:rPr>
        <w:t>3. pc</w:t>
      </w:r>
    </w:p>
    <w:p w14:paraId="3F21B486" w14:textId="77777777" w:rsidR="00DF410E" w:rsidRDefault="00CE7F43">
      <w:pPr>
        <w:pStyle w:val="pheading"/>
      </w:pPr>
      <w:r>
        <w:t>- code de mesurage:</w:t>
      </w:r>
    </w:p>
    <w:p w14:paraId="0B174183" w14:textId="77777777" w:rsidR="00DF410E" w:rsidRDefault="00CE7F43">
      <w:r>
        <w:rPr>
          <w:rStyle w:val="optioncarChar"/>
        </w:rPr>
        <w:t xml:space="preserve">longueur </w:t>
      </w:r>
      <w:r>
        <w:t>(par défaut)</w:t>
      </w:r>
      <w:r>
        <w:rPr>
          <w:rStyle w:val="optioncarChar"/>
        </w:rPr>
        <w:t xml:space="preserve"> / surface / quantité</w:t>
      </w:r>
      <w:r>
        <w:t xml:space="preserve"> nette à mettre en œuvre.</w:t>
      </w:r>
    </w:p>
    <w:p w14:paraId="16390759" w14:textId="77777777" w:rsidR="00DF410E" w:rsidRDefault="00CE7F43">
      <w:r>
        <w:rPr>
          <w:b/>
          <w:i/>
        </w:rPr>
        <w:t>(Soit par défaut) </w:t>
      </w:r>
    </w:p>
    <w:p w14:paraId="24DBA31F" w14:textId="77777777" w:rsidR="00DF410E" w:rsidRDefault="00CE7F43">
      <w:r>
        <w:rPr>
          <w:rStyle w:val="soitChar"/>
        </w:rPr>
        <w:t>1.   </w:t>
      </w:r>
      <w:r>
        <w:rPr>
          <w:rStyle w:val="soitChar"/>
          <w:u w:val="single"/>
        </w:rPr>
        <w:t>  La longueur nette</w:t>
      </w:r>
      <w:r>
        <w:rPr>
          <w:rStyle w:val="soitChar"/>
        </w:rPr>
        <w:t xml:space="preserve"> totale des éléments (mètres courants), mesurée à l’horizontale et ventilée suivant la hauteur.</w:t>
      </w:r>
    </w:p>
    <w:p w14:paraId="190DA22C" w14:textId="77777777" w:rsidR="00DF410E" w:rsidRDefault="00CE7F43">
      <w:r>
        <w:rPr>
          <w:b/>
          <w:i/>
        </w:rPr>
        <w:t>(Soit) </w:t>
      </w:r>
    </w:p>
    <w:p w14:paraId="3B133785" w14:textId="77777777" w:rsidR="00DF410E" w:rsidRDefault="00CE7F43">
      <w:r>
        <w:rPr>
          <w:rStyle w:val="soitChar"/>
        </w:rPr>
        <w:t xml:space="preserve">2.     </w:t>
      </w:r>
      <w:r>
        <w:rPr>
          <w:rStyle w:val="soitChar"/>
          <w:u w:val="single"/>
        </w:rPr>
        <w:t>La surface nette</w:t>
      </w:r>
      <w:r>
        <w:rPr>
          <w:rStyle w:val="soitChar"/>
        </w:rPr>
        <w:t xml:space="preserve"> apparente des éléments (surface verticale totale aval du soutènement).  Les ouvertures, les traversées et les réservations plus grandes que 0,50 m² sont déduites.  Toutes les armatures des éléments préfabriqués sont comprises dans le prix unitaire de cet article.</w:t>
      </w:r>
    </w:p>
    <w:p w14:paraId="6B45B25F" w14:textId="77777777" w:rsidR="00DF410E" w:rsidRDefault="00CE7F43">
      <w:r>
        <w:rPr>
          <w:b/>
          <w:i/>
        </w:rPr>
        <w:t>(Soit) </w:t>
      </w:r>
    </w:p>
    <w:p w14:paraId="6BD8C42B" w14:textId="77777777" w:rsidR="00DF410E" w:rsidRDefault="00CE7F43">
      <w:r>
        <w:rPr>
          <w:rStyle w:val="soitChar"/>
        </w:rPr>
        <w:t>3.    </w:t>
      </w:r>
      <w:r>
        <w:rPr>
          <w:rStyle w:val="soitChar"/>
          <w:u w:val="single"/>
        </w:rPr>
        <w:t xml:space="preserve"> La quantité nette</w:t>
      </w:r>
      <w:r>
        <w:rPr>
          <w:rStyle w:val="soitChar"/>
        </w:rPr>
        <w:t xml:space="preserve"> de pièces</w:t>
      </w:r>
    </w:p>
    <w:p w14:paraId="75EAA7EB" w14:textId="77777777" w:rsidR="00DF410E" w:rsidRDefault="00CE7F43">
      <w:pPr>
        <w:pStyle w:val="pheading"/>
      </w:pPr>
      <w:r>
        <w:t>- nature du marché:</w:t>
      </w:r>
    </w:p>
    <w:p w14:paraId="4638DDC7" w14:textId="77777777" w:rsidR="00DF410E" w:rsidRDefault="00CE7F43">
      <w:r>
        <w:t>QF</w:t>
      </w:r>
    </w:p>
    <w:p w14:paraId="0EA0FB6E" w14:textId="77777777" w:rsidR="00DF410E" w:rsidRDefault="00CE7F43">
      <w:pPr>
        <w:pStyle w:val="Author-eSectionHeading6"/>
      </w:pPr>
      <w:bookmarkStart w:id="926" w:name="_Toc178838075"/>
      <w:r>
        <w:t>22.46.2b Eléments de soutènement en U préfabriqués en béton armé CCTB 01.02</w:t>
      </w:r>
      <w:bookmarkEnd w:id="926"/>
    </w:p>
    <w:p w14:paraId="50DA6029" w14:textId="77777777" w:rsidR="00DF410E" w:rsidRDefault="00CE7F43">
      <w:pPr>
        <w:pStyle w:val="Author-eSectionHeading6"/>
      </w:pPr>
      <w:bookmarkStart w:id="927" w:name="_Toc178838076"/>
      <w:r>
        <w:t>22.46.2c Eléments de soutènement en T préfabriqués en béton armé CCTB 01.02</w:t>
      </w:r>
      <w:bookmarkEnd w:id="927"/>
    </w:p>
    <w:p w14:paraId="64A7DD62" w14:textId="77777777" w:rsidR="00DF410E" w:rsidRDefault="00CE7F43">
      <w:pPr>
        <w:pStyle w:val="Author-eSectionHeading6"/>
      </w:pPr>
      <w:bookmarkStart w:id="928" w:name="_Toc178838077"/>
      <w:r>
        <w:t>22.46.2d Eléments de soutènement en dalles avec treillis-raidisseur préfabriqués en béton armé CCTB 01.02</w:t>
      </w:r>
      <w:bookmarkEnd w:id="928"/>
    </w:p>
    <w:p w14:paraId="16E4E64D" w14:textId="77777777" w:rsidR="00DF410E" w:rsidRDefault="00CE7F43">
      <w:pPr>
        <w:pStyle w:val="Author-eSectionHeading3"/>
      </w:pPr>
      <w:bookmarkStart w:id="929" w:name="_Toc178838078"/>
      <w:r>
        <w:t>22.5 Armatures et coffrages CCTB 01.02</w:t>
      </w:r>
      <w:bookmarkEnd w:id="929"/>
    </w:p>
    <w:p w14:paraId="6663C873" w14:textId="77777777" w:rsidR="00DF410E" w:rsidRDefault="00CE7F43">
      <w:pPr>
        <w:pStyle w:val="Author-eSectionHeading4"/>
      </w:pPr>
      <w:bookmarkStart w:id="930" w:name="_Toc178838079"/>
      <w:r>
        <w:t>22.51 Armatures pour béton CCTB 01.11</w:t>
      </w:r>
      <w:bookmarkEnd w:id="930"/>
    </w:p>
    <w:p w14:paraId="1D0DD1A0" w14:textId="77777777" w:rsidR="00DF410E" w:rsidRDefault="00CE7F43">
      <w:pPr>
        <w:pStyle w:val="pheading"/>
      </w:pPr>
      <w:bookmarkStart w:id="931" w:name="231"/>
      <w:bookmarkEnd w:id="931"/>
      <w:r>
        <w:t>DESCRIPTION</w:t>
      </w:r>
    </w:p>
    <w:p w14:paraId="362FA58B" w14:textId="77777777" w:rsidR="00DF410E" w:rsidRDefault="00CE7F43">
      <w:pPr>
        <w:pStyle w:val="pheading"/>
      </w:pPr>
      <w:r>
        <w:t>- Définition / Comprend</w:t>
      </w:r>
    </w:p>
    <w:p w14:paraId="5CEE84BC" w14:textId="77777777" w:rsidR="00DF410E" w:rsidRDefault="00CE7F43">
      <w:r>
        <w:t>Il s'agit de la fourniture, de la mise en œuvre (couper, plier, …) et de la pose des armatures, barres, profils, treillis, … prescrits, y compris les écarteurs et les accessoires nécessaires pour fixer les armatures et les tenir en place.</w:t>
      </w:r>
    </w:p>
    <w:p w14:paraId="456705D3" w14:textId="77777777" w:rsidR="00DF410E" w:rsidRDefault="00CE7F43">
      <w:pPr>
        <w:pStyle w:val="pheading"/>
      </w:pPr>
      <w:r>
        <w:t>- Remarques importantes</w:t>
      </w:r>
    </w:p>
    <w:p w14:paraId="1C574E37" w14:textId="77777777" w:rsidR="00DF410E" w:rsidRDefault="00CE7F43">
      <w:r>
        <w:t xml:space="preserve">Conformément aux plans de ferraillage approuvés. </w:t>
      </w:r>
    </w:p>
    <w:p w14:paraId="5C60504C" w14:textId="77777777" w:rsidR="00DF410E" w:rsidRDefault="00CE7F43">
      <w:pPr>
        <w:pStyle w:val="pheading"/>
      </w:pPr>
      <w:r>
        <w:t>MATÉRIAUX</w:t>
      </w:r>
    </w:p>
    <w:p w14:paraId="75F555EA" w14:textId="77777777" w:rsidR="00DF410E" w:rsidRDefault="00DF410E"/>
    <w:p w14:paraId="5FEDD7D5" w14:textId="77777777" w:rsidR="00DF410E" w:rsidRDefault="00CE7F43">
      <w:pPr>
        <w:pStyle w:val="Author-eListParagraph"/>
        <w:numPr>
          <w:ilvl w:val="0"/>
          <w:numId w:val="636"/>
        </w:numPr>
      </w:pPr>
      <w:r>
        <w:t>Les barres d'armature pour le béton armé doivent respectivement satisfaire aux prescriptions de la [NBN EN 10080], [NBN A 24-301], [NBN A 24-302], [NBN A 24-303], [PTV 302] et [PTV 303].</w:t>
      </w:r>
      <w:r>
        <w:br/>
      </w:r>
    </w:p>
    <w:p w14:paraId="427E00E3" w14:textId="77777777" w:rsidR="00DF410E" w:rsidRDefault="00CE7F43">
      <w:pPr>
        <w:pStyle w:val="Author-eListParagraph"/>
        <w:numPr>
          <w:ilvl w:val="0"/>
          <w:numId w:val="636"/>
        </w:numPr>
      </w:pPr>
      <w:r>
        <w:rPr>
          <w:b/>
        </w:rPr>
        <w:t>Les aciers de la nuance BE 500 S, BE 500 TS, BE 500 ES et BE 500 RS ont les mêmes propriétés spécifiées</w:t>
      </w:r>
      <w:r>
        <w:t xml:space="preserve"> et correspondent à la qualité B 500 B selon l'annexe C de l'Eurocode [NBN EN 1992-1-1]. </w:t>
      </w:r>
      <w:r>
        <w:rPr>
          <w:b/>
        </w:rPr>
        <w:t>Ils peuvent donc être utilisés indifféremment</w:t>
      </w:r>
      <w:r>
        <w:t>.</w:t>
      </w:r>
      <w:r>
        <w:br/>
      </w:r>
    </w:p>
    <w:p w14:paraId="76F4DDA0" w14:textId="77777777" w:rsidR="00DF410E" w:rsidRDefault="00CE7F43">
      <w:pPr>
        <w:pStyle w:val="Author-eListParagraph"/>
        <w:numPr>
          <w:ilvl w:val="0"/>
          <w:numId w:val="636"/>
        </w:numPr>
      </w:pPr>
      <w:r>
        <w:rPr>
          <w:b/>
        </w:rPr>
        <w:t>Les aciers de la nuance DE 500 BS</w:t>
      </w:r>
      <w:r>
        <w:t xml:space="preserve"> ont des propriétés de ductilité inférieures aux nuances décrites ci-avant (rapport Rm/Re et Agt) et correspondent à la qualité B 500 A selon l'annexe C de l'Eurocode [NBN EN 1992-1-1]. </w:t>
      </w:r>
      <w:r>
        <w:rPr>
          <w:b/>
        </w:rPr>
        <w:t>Ils ne peuvent donc être employés en lieu et place de la qualité B 500 B.</w:t>
      </w:r>
      <w:r>
        <w:br/>
      </w:r>
    </w:p>
    <w:p w14:paraId="2AE7492C" w14:textId="77777777" w:rsidR="00DF410E" w:rsidRDefault="00CE7F43">
      <w:pPr>
        <w:pStyle w:val="Author-eListParagraph"/>
        <w:numPr>
          <w:ilvl w:val="0"/>
          <w:numId w:val="636"/>
        </w:numPr>
      </w:pPr>
      <w:r>
        <w:rPr>
          <w:b/>
        </w:rPr>
        <w:t>Les aciers de la nuance DE 500 AS ne peuvent être mis en œuvre dans les ouvrages en béton armé</w:t>
      </w:r>
      <w:r>
        <w:t xml:space="preserve"> vu l'absence de spécification des propriétés de ductilité (rapport Rm/Re et Agt non précisées et donc non conformes aux prescriptions de l’annexe C de la [NBN EN 1992-1-1]). </w:t>
      </w:r>
      <w:r>
        <w:br/>
      </w:r>
    </w:p>
    <w:p w14:paraId="05EEF52E" w14:textId="77777777" w:rsidR="00DF410E" w:rsidRDefault="00CE7F43">
      <w:pPr>
        <w:pStyle w:val="Author-eListParagraph"/>
        <w:numPr>
          <w:ilvl w:val="0"/>
          <w:numId w:val="636"/>
        </w:numPr>
      </w:pPr>
      <w:r>
        <w:t>La qualité de l'acier, aussi bien pour les barres, les étriers que pour les treillis soudés et les panneaux plans, porte un certificat de conformité</w:t>
      </w:r>
    </w:p>
    <w:p w14:paraId="3B40912C" w14:textId="77777777" w:rsidR="00DF410E" w:rsidRDefault="00CE7F43">
      <w:pPr>
        <w:pStyle w:val="Author-eListParagraph"/>
        <w:numPr>
          <w:ilvl w:val="0"/>
          <w:numId w:val="636"/>
        </w:numPr>
      </w:pPr>
      <w:r>
        <w:t>Les treillis soudés pour le béton armé doivent satisfaire aux prescriptions de [NBN A 24-304], [PTV 304] et [PTV 307].</w:t>
      </w:r>
    </w:p>
    <w:p w14:paraId="370E05F3" w14:textId="77777777" w:rsidR="00DF410E" w:rsidRDefault="00CE7F43">
      <w:pPr>
        <w:pStyle w:val="Author-eListParagraph"/>
        <w:numPr>
          <w:ilvl w:val="0"/>
          <w:numId w:val="636"/>
        </w:numPr>
      </w:pPr>
      <w:r>
        <w:t>Les panneaux plans pour le béton armé doivent satisfaire aux prescriptions de [PTV 308].</w:t>
      </w:r>
    </w:p>
    <w:p w14:paraId="30070143" w14:textId="77777777" w:rsidR="00DF410E" w:rsidRDefault="00CE7F43">
      <w:pPr>
        <w:pStyle w:val="Author-eListParagraph"/>
        <w:numPr>
          <w:ilvl w:val="0"/>
          <w:numId w:val="636"/>
        </w:numPr>
      </w:pPr>
      <w:r>
        <w:t>Les profils d'acier noyés dans le béton satisfont aux Eurocodes [NBN EN 1993 série]</w:t>
      </w:r>
    </w:p>
    <w:p w14:paraId="17C833D8" w14:textId="77777777" w:rsidR="00DF410E" w:rsidRDefault="00CE7F43">
      <w:pPr>
        <w:pStyle w:val="Author-eListParagraph"/>
        <w:numPr>
          <w:ilvl w:val="0"/>
          <w:numId w:val="636"/>
        </w:numPr>
      </w:pPr>
      <w:r>
        <w:t>Les profils sont pourvus des réservations nécessaires selon les indications sur les plans.</w:t>
      </w:r>
    </w:p>
    <w:p w14:paraId="7679AA66" w14:textId="77777777" w:rsidR="00DF410E" w:rsidRDefault="00CE7F43">
      <w:pPr>
        <w:pStyle w:val="Author-eListParagraph"/>
        <w:numPr>
          <w:ilvl w:val="0"/>
          <w:numId w:val="636"/>
        </w:numPr>
      </w:pPr>
      <w:r>
        <w:t xml:space="preserve">Les caractéristiques des profils utilisés sont décrites au chapitre </w:t>
      </w:r>
      <w:hyperlink w:anchor="420" w:history="1">
        <w:r>
          <w:t>23.1 Eléments de structures métalliques</w:t>
        </w:r>
      </w:hyperlink>
      <w:r>
        <w:t>.</w:t>
      </w:r>
    </w:p>
    <w:p w14:paraId="348B0F74" w14:textId="77777777" w:rsidR="00DF410E" w:rsidRDefault="00CE7F43">
      <w:pPr>
        <w:pStyle w:val="Author-eListParagraph"/>
        <w:numPr>
          <w:ilvl w:val="0"/>
          <w:numId w:val="636"/>
        </w:numPr>
      </w:pPr>
      <w:r>
        <w:t xml:space="preserve">Acier de précontrainte : pour la préfabrication des éléments en béton précontraint, il est tenu compte des normes de référence ci-dessous : </w:t>
      </w:r>
    </w:p>
    <w:p w14:paraId="55DCAD7B" w14:textId="77777777" w:rsidR="00DF410E" w:rsidRDefault="00CE7F43">
      <w:pPr>
        <w:pStyle w:val="Author-eListParagraph"/>
        <w:numPr>
          <w:ilvl w:val="1"/>
          <w:numId w:val="637"/>
        </w:numPr>
      </w:pPr>
      <w:r>
        <w:t>[NBN I 10-001] </w:t>
      </w:r>
    </w:p>
    <w:p w14:paraId="0DF82772" w14:textId="77777777" w:rsidR="00DF410E" w:rsidRDefault="00CE7F43">
      <w:pPr>
        <w:pStyle w:val="Author-eListParagraph"/>
        <w:numPr>
          <w:ilvl w:val="1"/>
          <w:numId w:val="637"/>
        </w:numPr>
      </w:pPr>
      <w:r>
        <w:t>[NBN I 10-002]</w:t>
      </w:r>
    </w:p>
    <w:p w14:paraId="040DF924" w14:textId="77777777" w:rsidR="00DF410E" w:rsidRDefault="00CE7F43">
      <w:pPr>
        <w:pStyle w:val="Author-eListParagraph"/>
        <w:numPr>
          <w:ilvl w:val="1"/>
          <w:numId w:val="637"/>
        </w:numPr>
      </w:pPr>
      <w:r>
        <w:t>[NBN I 10-003]</w:t>
      </w:r>
    </w:p>
    <w:p w14:paraId="271B7A73" w14:textId="77777777" w:rsidR="00DF410E" w:rsidRDefault="00CE7F43">
      <w:pPr>
        <w:pStyle w:val="Author-eListParagraph"/>
        <w:numPr>
          <w:ilvl w:val="1"/>
          <w:numId w:val="637"/>
        </w:numPr>
      </w:pPr>
      <w:r>
        <w:t>[PTV 311]</w:t>
      </w:r>
    </w:p>
    <w:p w14:paraId="6435533C" w14:textId="77777777" w:rsidR="00DF410E" w:rsidRDefault="00CE7F43">
      <w:pPr>
        <w:pStyle w:val="Author-eListParagraph"/>
        <w:numPr>
          <w:ilvl w:val="1"/>
          <w:numId w:val="637"/>
        </w:numPr>
      </w:pPr>
      <w:r>
        <w:t>[PTV 312]</w:t>
      </w:r>
    </w:p>
    <w:p w14:paraId="6CC70D3F" w14:textId="77777777" w:rsidR="00DF410E" w:rsidRDefault="00CE7F43">
      <w:pPr>
        <w:pStyle w:val="Author-eListParagraph"/>
        <w:numPr>
          <w:ilvl w:val="1"/>
          <w:numId w:val="637"/>
        </w:numPr>
      </w:pPr>
      <w:r>
        <w:t>[PTV 314]</w:t>
      </w:r>
    </w:p>
    <w:p w14:paraId="2B540BAB" w14:textId="77777777" w:rsidR="00DF410E" w:rsidRDefault="00CE7F43">
      <w:pPr>
        <w:pStyle w:val="Author-eListParagraph"/>
        <w:numPr>
          <w:ilvl w:val="0"/>
          <w:numId w:val="636"/>
        </w:numPr>
      </w:pPr>
      <w:r>
        <w:t xml:space="preserve">Les fibres d'acier pour béton doivent satisfaire aux prescriptions de la [NBN EN 14889-1]. Il s'agit d'éléments droits ou déformés provenant de fil étiré à froid, de tôle découpée, d'extraits de coulée, de fil étiré à froid raboté ou de blocs d'acier fraisés dont la forme et/ou la structure de surface assure un ancrage mécanique dans le béton durci. Les fibres doivent pouvoir être mélangée de façon homogène dans le béton. Les fibres d'acier sont protégées contre la corrosion par galvanisation thermique ou électrolytique à raison de 30 g/m2 en moyenne. La résistance caractéristique à la traction pour les différentes fibres d'acier sera d'au moins 1000 Mpa. Les dimensions nominales des fibres d'acier sont déterminées par le fabricant qui tient compte : </w:t>
      </w:r>
    </w:p>
    <w:p w14:paraId="52507A9C" w14:textId="77777777" w:rsidR="00DF410E" w:rsidRDefault="00CE7F43">
      <w:pPr>
        <w:pStyle w:val="Author-eListParagraph"/>
        <w:numPr>
          <w:ilvl w:val="1"/>
          <w:numId w:val="638"/>
        </w:numPr>
      </w:pPr>
      <w:r>
        <w:t>du diamètre nominal (d) compris entre 0,40 et 1,00 mm;</w:t>
      </w:r>
    </w:p>
    <w:p w14:paraId="747C8431" w14:textId="77777777" w:rsidR="00DF410E" w:rsidRDefault="00CE7F43">
      <w:pPr>
        <w:pStyle w:val="Author-eListParagraph"/>
        <w:numPr>
          <w:ilvl w:val="1"/>
          <w:numId w:val="638"/>
        </w:numPr>
      </w:pPr>
      <w:r>
        <w:t>de la longueur nominale (l) comprise entre 30 et 80 mm;</w:t>
      </w:r>
    </w:p>
    <w:p w14:paraId="67E83D9D" w14:textId="77777777" w:rsidR="00DF410E" w:rsidRDefault="00CE7F43">
      <w:pPr>
        <w:pStyle w:val="Author-eListParagraph"/>
        <w:numPr>
          <w:ilvl w:val="1"/>
          <w:numId w:val="638"/>
        </w:numPr>
      </w:pPr>
      <w:r>
        <w:t>du rapport l/d supérieur à 60.</w:t>
      </w:r>
    </w:p>
    <w:p w14:paraId="5390ACF1" w14:textId="77777777" w:rsidR="00DF410E" w:rsidRDefault="00CE7F43">
      <w:pPr>
        <w:pStyle w:val="pheading"/>
      </w:pPr>
      <w:r>
        <w:t>EXÉCUTION / MISE EN ŒUVRE</w:t>
      </w:r>
    </w:p>
    <w:p w14:paraId="70476B85" w14:textId="77777777" w:rsidR="00DF410E" w:rsidRDefault="00CE7F43">
      <w:pPr>
        <w:pStyle w:val="heading"/>
      </w:pPr>
      <w:r>
        <w:t>Entreposage - Protection</w:t>
      </w:r>
    </w:p>
    <w:p w14:paraId="7EF4C293" w14:textId="77777777" w:rsidR="00DF410E" w:rsidRDefault="00CE7F43">
      <w:pPr>
        <w:pStyle w:val="Author-eListParagraph"/>
        <w:numPr>
          <w:ilvl w:val="0"/>
          <w:numId w:val="639"/>
        </w:numPr>
      </w:pPr>
      <w:r>
        <w:t>A leur arrivée sur chantier, les armatures sont exemptes de salissures, d'huile, de peinture, de terre, etc.; elles sont entreposées à un endroit couvert et protégées contre la pluie et toute autre souillure.</w:t>
      </w:r>
    </w:p>
    <w:p w14:paraId="0ED98BF3" w14:textId="77777777" w:rsidR="00DF410E" w:rsidRDefault="00CE7F43">
      <w:pPr>
        <w:pStyle w:val="Author-eListParagraph"/>
        <w:numPr>
          <w:ilvl w:val="0"/>
          <w:numId w:val="639"/>
        </w:numPr>
      </w:pPr>
      <w:r>
        <w:t>Au moment de leur mise en œuvre, les armatures sont complètement débarrassées de toutes souillures et de la rouille non adhérente qui peuvent nuire à la bonne adhérence des barres au béton.</w:t>
      </w:r>
    </w:p>
    <w:p w14:paraId="4ADA9735" w14:textId="77777777" w:rsidR="00DF410E" w:rsidRDefault="00CE7F43">
      <w:pPr>
        <w:pStyle w:val="Author-eListParagraph"/>
        <w:numPr>
          <w:ilvl w:val="0"/>
          <w:numId w:val="639"/>
        </w:numPr>
      </w:pPr>
      <w:r>
        <w:t>Les barres d'attente sont protégées contre les intempéries. Toutes les armatures qui sont exposées pendant un certain temps aux influences atmosphériques et pourraient, de ce fait, occasionner des taches de rouille sur le béton, sont enduites de lait de ciment.</w:t>
      </w:r>
    </w:p>
    <w:p w14:paraId="3EE7B35B" w14:textId="77777777" w:rsidR="00DF410E" w:rsidRDefault="00CE7F43">
      <w:pPr>
        <w:pStyle w:val="heading"/>
      </w:pPr>
      <w:r>
        <w:t>Pliage des Armatures - Ferraillage</w:t>
      </w:r>
    </w:p>
    <w:p w14:paraId="59D88180" w14:textId="77777777" w:rsidR="00DF410E" w:rsidRDefault="00CE7F43">
      <w:r>
        <w:t>Avant leur mise en œuvre, les armatures doivent être pliées dans les formes et aux dimensions indiquées sur les plans et dans les bordereaux. Elles sont pliées conformément aux indications des normes [NBN EN 1992-1-1] , [NBN EN 13670] et [NBN B 15-400]. Pendant le pliage, on prend les précautions nécessaires pour éviter les ruptures fragiles ou autres détériorations.</w:t>
      </w:r>
    </w:p>
    <w:p w14:paraId="61ECE45D" w14:textId="77777777" w:rsidR="00DF410E" w:rsidRDefault="00CE7F43">
      <w:pPr>
        <w:pStyle w:val="Author-eListParagraph"/>
        <w:numPr>
          <w:ilvl w:val="0"/>
          <w:numId w:val="640"/>
        </w:numPr>
      </w:pPr>
      <w:r>
        <w:t>Le pliage des barres s'effectue, en principe, par une température ambiante d'au moins 5°C . Dès que la température baisse sous 5°C , il est toutefois conseillé de prendre les mesures qui s'imposent afin de prévenir la rupture fragile des barres (par ex. en utilisant une plieuse mécanique à vitesse modérée et/ou en choisissant une nuance d'acier moins sensible aux variations de température).</w:t>
      </w:r>
    </w:p>
    <w:p w14:paraId="5801ADF5" w14:textId="77777777" w:rsidR="00DF410E" w:rsidRDefault="00CE7F43">
      <w:pPr>
        <w:pStyle w:val="Author-eListParagraph"/>
        <w:numPr>
          <w:ilvl w:val="0"/>
          <w:numId w:val="640"/>
        </w:numPr>
      </w:pPr>
      <w:r>
        <w:t>Le pliage à froid ou le dressage sur gabarit se fait progressivement et lentement, à l'aide d'une machine capable d'effectuer ces pliages, sans endommager le métal dans les angles.</w:t>
      </w:r>
    </w:p>
    <w:p w14:paraId="537B789A" w14:textId="77777777" w:rsidR="00DF410E" w:rsidRDefault="00CE7F43">
      <w:pPr>
        <w:pStyle w:val="Author-eListParagraph"/>
        <w:numPr>
          <w:ilvl w:val="0"/>
          <w:numId w:val="640"/>
        </w:numPr>
      </w:pPr>
      <w:r>
        <w:t>Tout pliage provisoire suivi d'un pliage à contresens est évité autant que possible. Lorsque cette opération est nécessaire, elle se fait sans à-coups. Le rayon de courbure de la courbe est alors le double de celui prescrit dans la [NBN EN 1992-1-1].</w:t>
      </w:r>
    </w:p>
    <w:p w14:paraId="42CE9BAA" w14:textId="77777777" w:rsidR="00DF410E" w:rsidRDefault="00CE7F43">
      <w:pPr>
        <w:pStyle w:val="Author-eListParagraph"/>
        <w:numPr>
          <w:ilvl w:val="0"/>
          <w:numId w:val="640"/>
        </w:numPr>
      </w:pPr>
      <w:r>
        <w:t>Le rayon de courbure de la courbe, mesuré sur la fibre médiane de la barre courbée, ne peut être inférieur aux valeurs mentionnées dans la [NBN EN 1992-1-1], qui indique également le diamètre du noyau de courbure qui correspond à cette valeur.</w:t>
      </w:r>
    </w:p>
    <w:p w14:paraId="0B369BEF" w14:textId="77777777" w:rsidR="00DF410E" w:rsidRDefault="00CE7F43">
      <w:pPr>
        <w:pStyle w:val="Author-eListParagraph"/>
        <w:numPr>
          <w:ilvl w:val="0"/>
          <w:numId w:val="640"/>
        </w:numPr>
      </w:pPr>
      <w:r>
        <w:t>Dans la mesure du possible, on réserve, entre le début d'une courbure et un nœud soudé, une distance d'au moins 4 fois le diamètre des armatures courbées</w:t>
      </w:r>
    </w:p>
    <w:p w14:paraId="4908C4C3" w14:textId="77777777" w:rsidR="00DF410E" w:rsidRDefault="00CE7F43">
      <w:pPr>
        <w:pStyle w:val="heading"/>
      </w:pPr>
      <w:r>
        <w:t>Croisements - Chevauchements - Assemblages par soudure</w:t>
      </w:r>
    </w:p>
    <w:p w14:paraId="70715BBB" w14:textId="77777777" w:rsidR="00DF410E" w:rsidRDefault="00CE7F43">
      <w:r>
        <w:t>La longueur de chevauchement des armatures principales et des treillis préfabriqués est déterminée selon les indications sur les plans.</w:t>
      </w:r>
    </w:p>
    <w:p w14:paraId="47D90E8B" w14:textId="77777777" w:rsidR="00DF410E" w:rsidRDefault="00CE7F43">
      <w:pPr>
        <w:pStyle w:val="Author-eListParagraph"/>
        <w:numPr>
          <w:ilvl w:val="0"/>
          <w:numId w:val="641"/>
        </w:numPr>
      </w:pPr>
      <w:r>
        <w:t>Les treillis d’armatures préfabriqués sont posés avec un chevauchement conforme au plan et à la [NBN EN 1992-1-1] et ils sont reliés aux angles des mailles superposées. Les assemblages peuvent être réalisés, soit par soudure, soit à l’aide de ligatures chauffées à blanc. Les écarteurs nécessaires sont prévus pour réaliser l’enrobage de béton exigé. Des chaises ou échelles en acier sont utilisés pour les doubles treillis.</w:t>
      </w:r>
    </w:p>
    <w:p w14:paraId="6D0FBCD7" w14:textId="77777777" w:rsidR="00DF410E" w:rsidRDefault="00CE7F43">
      <w:pPr>
        <w:pStyle w:val="Author-eListParagraph"/>
        <w:numPr>
          <w:ilvl w:val="0"/>
          <w:numId w:val="641"/>
        </w:numPr>
      </w:pPr>
      <w:r>
        <w:t>Les barres qui se croisent doivent être solidement attachées afin qu’elles ne se déplacent pas pendant le coulage du béton. A cet effet, les assemblages peuvent être réalisés, soit par soudure, soit à l’aide de ligatures chauffées à blanc et/ou les barres peuvent être supportées par des écarteurs appropriés.</w:t>
      </w:r>
    </w:p>
    <w:p w14:paraId="0FCC75DA" w14:textId="77777777" w:rsidR="00DF410E" w:rsidRDefault="00CE7F43">
      <w:pPr>
        <w:pStyle w:val="Author-eListParagraph"/>
        <w:numPr>
          <w:ilvl w:val="0"/>
          <w:numId w:val="641"/>
        </w:numPr>
      </w:pPr>
      <w:r>
        <w:t>Les profils noyés sont liaisonnés entre eux et/ou aux barres d’armature ou aux treillis d’armature par soudure. Lorsque les armatures doivent être soudées, l’entrepreneur vérifie d’abord si cela peut se faire selon le procédé qu’il souhaitait appliquer. La méthode à appliquer est déterminée par l’ingénieur qui réalise l’étude du béton.</w:t>
      </w:r>
    </w:p>
    <w:p w14:paraId="31D1D57B" w14:textId="77777777" w:rsidR="00DF410E" w:rsidRDefault="00CE7F43">
      <w:pPr>
        <w:pStyle w:val="Author-eListParagraph"/>
        <w:numPr>
          <w:ilvl w:val="0"/>
          <w:numId w:val="641"/>
        </w:numPr>
      </w:pPr>
      <w:r>
        <w:t xml:space="preserve">Les procédés de soudure suivants sont autorisés : </w:t>
      </w:r>
    </w:p>
    <w:p w14:paraId="59F7ACBE" w14:textId="77777777" w:rsidR="00DF410E" w:rsidRDefault="00CE7F43">
      <w:pPr>
        <w:pStyle w:val="Author-eListParagraph"/>
        <w:numPr>
          <w:ilvl w:val="1"/>
          <w:numId w:val="642"/>
        </w:numPr>
      </w:pPr>
      <w:r>
        <w:t>soudage par résistance; (soudure électrique par résistance)</w:t>
      </w:r>
    </w:p>
    <w:p w14:paraId="0DAAE5CB" w14:textId="77777777" w:rsidR="00DF410E" w:rsidRDefault="00CE7F43">
      <w:pPr>
        <w:pStyle w:val="Author-eListParagraph"/>
        <w:numPr>
          <w:ilvl w:val="1"/>
          <w:numId w:val="642"/>
        </w:numPr>
      </w:pPr>
      <w:r>
        <w:t>soudage à l’arc manuel; (soudage électrique à l’arc)</w:t>
      </w:r>
    </w:p>
    <w:p w14:paraId="703E5E61" w14:textId="77777777" w:rsidR="00DF410E" w:rsidRDefault="00CE7F43">
      <w:pPr>
        <w:pStyle w:val="Author-eListParagraph"/>
        <w:numPr>
          <w:ilvl w:val="1"/>
          <w:numId w:val="642"/>
        </w:numPr>
      </w:pPr>
      <w:r>
        <w:t>soudage semi-automatique en atmosphère gazeuse; (soudure par fusion)</w:t>
      </w:r>
    </w:p>
    <w:p w14:paraId="23B7B3F0" w14:textId="77777777" w:rsidR="00DF410E" w:rsidRDefault="00CE7F43">
      <w:pPr>
        <w:pStyle w:val="Author-eListParagraph"/>
        <w:numPr>
          <w:ilvl w:val="1"/>
          <w:numId w:val="642"/>
        </w:numPr>
      </w:pPr>
      <w:r>
        <w:t>soudage par étincelage.</w:t>
      </w:r>
    </w:p>
    <w:p w14:paraId="597ECC09" w14:textId="77777777" w:rsidR="00DF410E" w:rsidRDefault="00CE7F43">
      <w:pPr>
        <w:pStyle w:val="Author-eListParagraph"/>
        <w:numPr>
          <w:ilvl w:val="0"/>
          <w:numId w:val="641"/>
        </w:numPr>
      </w:pPr>
      <w:r>
        <w:t>Il est interdit d’effectuer des soudures au chalumeau ou à la forge.</w:t>
      </w:r>
    </w:p>
    <w:p w14:paraId="70666AE8" w14:textId="77777777" w:rsidR="00DF410E" w:rsidRDefault="00CE7F43">
      <w:pPr>
        <w:pStyle w:val="Author-eListParagraph"/>
        <w:numPr>
          <w:ilvl w:val="0"/>
          <w:numId w:val="641"/>
        </w:numPr>
      </w:pPr>
      <w:r>
        <w:t>Les soudures sont effectuées conformément aux normes [NBN A 24-301] et [NBN A 24-302]</w:t>
      </w:r>
    </w:p>
    <w:p w14:paraId="242026DE" w14:textId="77777777" w:rsidR="00DF410E" w:rsidRDefault="00CE7F43">
      <w:pPr>
        <w:pStyle w:val="Author-eListParagraph"/>
        <w:numPr>
          <w:ilvl w:val="0"/>
          <w:numId w:val="641"/>
        </w:numPr>
      </w:pPr>
      <w:r>
        <w:t>Les soudures dans les barres sont évitées autant que possible. Il est interdit de souder bout-à-bout les barres d’un diamètre inférieur à 18 mm. Les soudures sont toujours réalisées aux endroits où les barres sont les moins sollicitées. Il s'agit de soudures structurales. On évite de réaliser plusieurs soudures dans un même plan. Lorsque les armatures sont composées de plusieurs barres parallèles qui présentent des soudures, celles-ci sont écartées d’au moins 50 cm. Lorsque la soudure se situe à proximité d’un coffrage, la barre la plus proche du coffrage est déplacée à une distance supérieure ou égale au diamètre de la barre la plus grosse.</w:t>
      </w:r>
    </w:p>
    <w:p w14:paraId="007FCB60" w14:textId="77777777" w:rsidR="00DF410E" w:rsidRDefault="00CE7F43">
      <w:pPr>
        <w:pStyle w:val="heading"/>
      </w:pPr>
      <w:r>
        <w:t>Ecartements - Enrobage - Ecarteurs</w:t>
      </w:r>
    </w:p>
    <w:p w14:paraId="41A9C23F" w14:textId="77777777" w:rsidR="00DF410E" w:rsidRDefault="00CE7F43">
      <w:r>
        <w:t>Pour le béton coulé en place, les enrobages sont conformes à la [NBN EN 1992-1-1] et la [NBN EN 1992-1-1 ANB].</w:t>
      </w:r>
    </w:p>
    <w:p w14:paraId="288DB059" w14:textId="77777777" w:rsidR="00DF410E" w:rsidRDefault="00CE7F43">
      <w:r>
        <w:t>Pour les éléments préfabriqués, les enrobages sont conformes aux normes produits.</w:t>
      </w:r>
    </w:p>
    <w:p w14:paraId="5EB313E2" w14:textId="77777777" w:rsidR="00DF410E" w:rsidRDefault="00CE7F43">
      <w:r>
        <w:t>Des exigences plus sévères peuvent être requises pour la résistance au feu des structures (voir la [NBN EN 1992-1-2] et la [NBN EN 1992-1-2 ANB]).</w:t>
      </w:r>
    </w:p>
    <w:p w14:paraId="170E9EDE" w14:textId="77777777" w:rsidR="00DF410E" w:rsidRDefault="00CE7F43">
      <w:r>
        <w:t>Les cales et écarteurs sont conformes aux normes [NBN EN 13670] et [NBN B 15-400].</w:t>
      </w:r>
    </w:p>
    <w:p w14:paraId="26F1755B" w14:textId="77777777" w:rsidR="00DF410E" w:rsidRDefault="00CE7F43">
      <w:pPr>
        <w:pStyle w:val="heading"/>
      </w:pPr>
      <w:r>
        <w:t>Armatures de précontrainte</w:t>
      </w:r>
    </w:p>
    <w:p w14:paraId="182FDB35" w14:textId="77777777" w:rsidR="00DF410E" w:rsidRDefault="00CE7F43">
      <w:r>
        <w:t>Le béton peut être précontraint selon la technique:</w:t>
      </w:r>
      <w:r>
        <w:br/>
      </w:r>
      <w:r>
        <w:rPr>
          <w:b/>
        </w:rPr>
        <w:t xml:space="preserve">Choix opéré : </w:t>
      </w:r>
      <w:r>
        <w:rPr>
          <w:rStyle w:val="optioncarChar"/>
        </w:rPr>
        <w:t>***/ OPTION 1 (fourreaux injectés par après) </w:t>
      </w:r>
      <w:r>
        <w:t>(par défaut) </w:t>
      </w:r>
      <w:r>
        <w:rPr>
          <w:rStyle w:val="optioncarChar"/>
        </w:rPr>
        <w:t>/ OPTION 2 (Tuyau rempli de graisse) / OPTION 3 (technique de précontrainte)</w:t>
      </w:r>
      <w:r>
        <w:br/>
      </w:r>
    </w:p>
    <w:p w14:paraId="7EF94E1A" w14:textId="77777777" w:rsidR="00DF410E" w:rsidRDefault="00CE7F43">
      <w:r>
        <w:rPr>
          <w:b/>
          <w:color w:val="000000"/>
        </w:rPr>
        <w:t>***OPTION 1</w:t>
      </w:r>
      <w:r>
        <w:rPr>
          <w:color w:val="000000"/>
        </w:rPr>
        <w:t>: de l’acier à précontrainte postérieure posés dans des fourreaux injectés après la précontrainte</w:t>
      </w:r>
      <w:r>
        <w:br/>
      </w:r>
      <w:r>
        <w:rPr>
          <w:b/>
          <w:color w:val="000000"/>
        </w:rPr>
        <w:t>***OPTION 2</w:t>
      </w:r>
      <w:r>
        <w:rPr>
          <w:color w:val="000000"/>
        </w:rPr>
        <w:t xml:space="preserve"> : de l’acier à précontrainte postérieure dans un tuyau rempli de graisse.</w:t>
      </w:r>
    </w:p>
    <w:p w14:paraId="3D363115" w14:textId="77777777" w:rsidR="00DF410E" w:rsidRDefault="00CE7F43">
      <w:r>
        <w:rPr>
          <w:b/>
        </w:rPr>
        <w:t>***OPTION 3</w:t>
      </w:r>
      <w:r>
        <w:t xml:space="preserve"> : par la technique de précontrainte par prétension/adhérence. Cette technique de précontrainte est la plus utilisée en préfabrication.</w:t>
      </w:r>
    </w:p>
    <w:p w14:paraId="6305D35C" w14:textId="77777777" w:rsidR="00DF410E" w:rsidRDefault="00CE7F43">
      <w:r>
        <w:t>Le béton est précontraint au moyen des techniques à vérin et de serrage. Les blocs d’extrémité des éléments sont calculés comme des éléments « courts » en béton armé. La prétension est transmise aux blocs d'extrémité avec les moyens d’ancrage appropriés en acier de haute qualité.</w:t>
      </w:r>
    </w:p>
    <w:p w14:paraId="718A5D5D" w14:textId="77777777" w:rsidR="00DF410E" w:rsidRDefault="00CE7F43">
      <w:pPr>
        <w:pStyle w:val="pheading"/>
      </w:pPr>
      <w:r>
        <w:t>DOCUMENTS DE RÉFÉRENCE</w:t>
      </w:r>
    </w:p>
    <w:p w14:paraId="642CBD08" w14:textId="77777777" w:rsidR="00DF410E" w:rsidRDefault="00CE7F43">
      <w:pPr>
        <w:pStyle w:val="pheading"/>
      </w:pPr>
      <w:r>
        <w:t>- Matériau</w:t>
      </w:r>
    </w:p>
    <w:p w14:paraId="235CCCAD" w14:textId="77777777" w:rsidR="00DF410E" w:rsidRDefault="00CE7F43">
      <w:r>
        <w:t>[NBN A 24-301, Produits sidérurgiques - Aciers pour béton armé - Barres, fils et treillis soudés - Généralités et prescriptions communes]</w:t>
      </w:r>
    </w:p>
    <w:p w14:paraId="3A24CA7C" w14:textId="77777777" w:rsidR="00DF410E" w:rsidRDefault="00CE7F43">
      <w:r>
        <w:t>[NBN A 24-302, Produits sidérurgiques - Aciers pour béton armé - Barres lisses et barres à nervures - Fils machine lisses et fils machine à nervures]</w:t>
      </w:r>
    </w:p>
    <w:p w14:paraId="3078D562" w14:textId="77777777" w:rsidR="00DF410E" w:rsidRDefault="00CE7F43">
      <w:r>
        <w:t>[NBN A 24-303, Produits sidérurgiques - Aciers pour béton armé - Fils écrouis à froid lisses et fils écrouis à froid à nervures]</w:t>
      </w:r>
    </w:p>
    <w:p w14:paraId="269EDE61" w14:textId="77777777" w:rsidR="00DF410E" w:rsidRDefault="00CE7F43">
      <w:r>
        <w:t>[NBN A 24-304, Produits sidérurgiques - Aciers pour béton armé - Treillis soudés]</w:t>
      </w:r>
    </w:p>
    <w:p w14:paraId="37C5F78B" w14:textId="77777777" w:rsidR="00DF410E" w:rsidRDefault="00CE7F43">
      <w:r>
        <w:t>[NBN EN 10080, Aciers pour l'armature du béton - Aciers soudables pour béton armé - Généralités] </w:t>
      </w:r>
    </w:p>
    <w:p w14:paraId="40B67433" w14:textId="77777777" w:rsidR="00DF410E" w:rsidRDefault="00CE7F43">
      <w:r>
        <w:t>[PTV 302, Aciers pour béton armé - Barres à nervures ou à empreintes - Fils à nervures ou à empreintes à haute ductilité]</w:t>
      </w:r>
    </w:p>
    <w:p w14:paraId="3294A72A" w14:textId="77777777" w:rsidR="00DF410E" w:rsidRDefault="00CE7F43">
      <w:r>
        <w:t>[PTV 303, Aciers pour béton armé - Fils écrouis à froid à nervures à basse ductilité]</w:t>
      </w:r>
    </w:p>
    <w:p w14:paraId="0BDDB98C" w14:textId="77777777" w:rsidR="00DF410E" w:rsidRDefault="00CE7F43">
      <w:r>
        <w:t>[PTV 304, Aciers pour béton armé - Treillis soudés]</w:t>
      </w:r>
    </w:p>
    <w:p w14:paraId="5423E7AE" w14:textId="77777777" w:rsidR="00DF410E" w:rsidRDefault="00CE7F43">
      <w:r>
        <w:t>[PTV 307, Aciers pour béton armé - Barres à nervures - Profil alternatif (Révision 2).]</w:t>
      </w:r>
    </w:p>
    <w:p w14:paraId="007BE46B" w14:textId="77777777" w:rsidR="00DF410E" w:rsidRDefault="00CE7F43">
      <w:r>
        <w:t>[PTV 308, Aciers pour béton armé - Armatures assemblées sous forme de panneaux plans]</w:t>
      </w:r>
    </w:p>
    <w:p w14:paraId="2BF6870F" w14:textId="77777777" w:rsidR="00DF410E" w:rsidRDefault="00CE7F43">
      <w:r>
        <w:t>[PTV 311, Aciers de précontrainte - Torons]</w:t>
      </w:r>
    </w:p>
    <w:p w14:paraId="2BA8080B" w14:textId="77777777" w:rsidR="00DF410E" w:rsidRDefault="00CE7F43">
      <w:r>
        <w:t>[PTV 312, Aciers de précontrainte - Aciers galvanisés]</w:t>
      </w:r>
    </w:p>
    <w:p w14:paraId="684958CF" w14:textId="77777777" w:rsidR="00DF410E" w:rsidRDefault="00CE7F43">
      <w:r>
        <w:t>[PTV 314, Aciers de précontrainte - Fils tréfilés]</w:t>
      </w:r>
    </w:p>
    <w:p w14:paraId="60E0F858" w14:textId="77777777" w:rsidR="00DF410E" w:rsidRDefault="00CE7F43">
      <w:r>
        <w:t>[NBN EN 1993 série, Eurocode 3 – Calcul des structures en acier]</w:t>
      </w:r>
    </w:p>
    <w:p w14:paraId="31A422C8" w14:textId="77777777" w:rsidR="00DF410E" w:rsidRDefault="00CE7F43">
      <w:r>
        <w:t>[NBN I 10-001, Aciers de précontrainte - Fils, torons et barres - Généralités et prescriptions communes]</w:t>
      </w:r>
    </w:p>
    <w:p w14:paraId="00D73232" w14:textId="77777777" w:rsidR="00DF410E" w:rsidRDefault="00CE7F43">
      <w:r>
        <w:t>[NBN I 10-002, Aciers de précontrainte - Fils tréfilés]</w:t>
      </w:r>
    </w:p>
    <w:p w14:paraId="5AAD4BFA" w14:textId="77777777" w:rsidR="00DF410E" w:rsidRDefault="00CE7F43">
      <w:r>
        <w:t>[NBN I 10-003, Aciers de précontrainte - Torons (avec erratum)]</w:t>
      </w:r>
    </w:p>
    <w:p w14:paraId="4548AF48" w14:textId="77777777" w:rsidR="00DF410E" w:rsidRDefault="00CE7F43">
      <w:r>
        <w:t>[NBN EN 14889-1, Fibres pour béton - Partie 1 : Fibres d'acier - Définitions, spécifications et conformité]</w:t>
      </w:r>
    </w:p>
    <w:p w14:paraId="10792CF5" w14:textId="77777777" w:rsidR="00DF410E" w:rsidRDefault="00CE7F43">
      <w:pPr>
        <w:pStyle w:val="pheading"/>
      </w:pPr>
      <w:r>
        <w:t>- Exécution</w:t>
      </w:r>
    </w:p>
    <w:p w14:paraId="13BE77A4" w14:textId="77777777" w:rsidR="00DF410E" w:rsidRDefault="00CE7F43">
      <w:r>
        <w:t>[NBN EN ISO 3766, Dessins de construction - Représentation simplifiée des armatures de béton (ISO 3766:2003) (+AC:2004)]</w:t>
      </w:r>
    </w:p>
    <w:p w14:paraId="0D0090BE" w14:textId="77777777" w:rsidR="00DF410E" w:rsidRDefault="00CE7F43">
      <w:pPr>
        <w:pStyle w:val="Author-eSectionHeading5"/>
      </w:pPr>
      <w:bookmarkStart w:id="932" w:name="_Toc178838080"/>
      <w:r>
        <w:t>22.51.1 Barres d'armatures pour béton CCTB 01.04</w:t>
      </w:r>
      <w:bookmarkEnd w:id="932"/>
    </w:p>
    <w:p w14:paraId="69BD8B68" w14:textId="77777777" w:rsidR="00DF410E" w:rsidRDefault="00CE7F43">
      <w:pPr>
        <w:pStyle w:val="Author-eSectionHeading6"/>
      </w:pPr>
      <w:bookmarkStart w:id="933" w:name="232"/>
      <w:bookmarkStart w:id="934" w:name="_Toc178838081"/>
      <w:bookmarkEnd w:id="933"/>
      <w:r>
        <w:t>22.51.1a Barres d'armatures pour béton CCTB 01.07</w:t>
      </w:r>
      <w:bookmarkEnd w:id="934"/>
    </w:p>
    <w:p w14:paraId="279A1270" w14:textId="77777777" w:rsidR="00DF410E" w:rsidRDefault="00CE7F43">
      <w:pPr>
        <w:pStyle w:val="pheading"/>
      </w:pPr>
      <w:bookmarkStart w:id="935" w:name="491"/>
      <w:bookmarkEnd w:id="935"/>
      <w:r>
        <w:t>MESURAGE</w:t>
      </w:r>
    </w:p>
    <w:p w14:paraId="5CC21D9D" w14:textId="77777777" w:rsidR="00DF410E" w:rsidRDefault="00CE7F43">
      <w:pPr>
        <w:pStyle w:val="pheading"/>
      </w:pPr>
      <w:r>
        <w:t>- unité de mesure:</w:t>
      </w:r>
    </w:p>
    <w:p w14:paraId="1DF70274" w14:textId="77777777" w:rsidR="00DF410E" w:rsidRDefault="00CE7F43">
      <w:r>
        <w:t>Les aciers sont mesurés et payés au kg en fonction de la nuance d'acier.</w:t>
      </w:r>
      <w:r>
        <w:br/>
        <w:t>La masse volumique est fixée à 7 850 kg/m³.</w:t>
      </w:r>
    </w:p>
    <w:p w14:paraId="2825DDA1" w14:textId="77777777" w:rsidR="00DF410E" w:rsidRDefault="00CE7F43">
      <w:pPr>
        <w:pStyle w:val="pheading"/>
      </w:pPr>
      <w:r>
        <w:t>- code de mesurage:</w:t>
      </w:r>
    </w:p>
    <w:p w14:paraId="4FB439E3" w14:textId="77777777" w:rsidR="00DF410E" w:rsidRDefault="00CE7F43">
      <w:r>
        <w:t>Le prix unitaire comprend toutes les fournitures et prestations nécessaires à l'exécution des ferraillages, y compris le dressage, pliage, découpage, mise en place, calage, les crochets et les joints avec recouvrement et les ligatures en fil de fer recuit. Les chutes d'armatures, les ligatures, chaises et écarteurs ne sont pas portés en compte.</w:t>
      </w:r>
    </w:p>
    <w:p w14:paraId="501D8F7B" w14:textId="77777777" w:rsidR="00DF410E" w:rsidRDefault="00CE7F43">
      <w:r>
        <w:t>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r>
        <w:br/>
      </w:r>
      <w:r>
        <w:br/>
      </w:r>
    </w:p>
    <w:p w14:paraId="19164F9B" w14:textId="77777777" w:rsidR="00DF410E" w:rsidRDefault="00CE7F43">
      <w:pPr>
        <w:pStyle w:val="pheading"/>
      </w:pPr>
      <w:r>
        <w:t>- nature du marché:</w:t>
      </w:r>
    </w:p>
    <w:p w14:paraId="07F8B2B2" w14:textId="77777777" w:rsidR="00DF410E" w:rsidRDefault="00CE7F43">
      <w:r>
        <w:rPr>
          <w:rStyle w:val="optioncarChar"/>
        </w:rPr>
        <w:t>PM</w:t>
      </w:r>
      <w:r>
        <w:t xml:space="preserve"> (par défaut) </w:t>
      </w:r>
      <w:r>
        <w:rPr>
          <w:rStyle w:val="optioncarChar"/>
        </w:rPr>
        <w:t>/ QF / QP</w:t>
      </w:r>
    </w:p>
    <w:p w14:paraId="6AEC11C8" w14:textId="77777777" w:rsidR="00DF410E" w:rsidRDefault="00CE7F43">
      <w:pPr>
        <w:pStyle w:val="Author-eSectionHeading6"/>
      </w:pPr>
      <w:bookmarkStart w:id="936" w:name="_Toc178838082"/>
      <w:r>
        <w:t>22.51.1b Barres d'armatures pour béton de rempiétement CCTB 01.11</w:t>
      </w:r>
      <w:bookmarkEnd w:id="936"/>
    </w:p>
    <w:p w14:paraId="7D730B8E" w14:textId="77777777" w:rsidR="00DF410E" w:rsidRDefault="00CE7F43">
      <w:pPr>
        <w:pStyle w:val="Author-eSectionHeading6"/>
      </w:pPr>
      <w:bookmarkStart w:id="937" w:name="_Toc178838083"/>
      <w:r>
        <w:t>22.51.1c Barres d'armatures scellées dans du béton CCTB 01.11</w:t>
      </w:r>
      <w:bookmarkEnd w:id="937"/>
    </w:p>
    <w:p w14:paraId="418F47FD" w14:textId="77777777" w:rsidR="00DF410E" w:rsidRDefault="00CE7F43">
      <w:pPr>
        <w:pStyle w:val="Author-eSectionHeading6"/>
      </w:pPr>
      <w:bookmarkStart w:id="938" w:name="_Toc178838084"/>
      <w:r>
        <w:t>22.51.1d Barres d'armatures scellées dans de la maçonnerie CCTB 01.11</w:t>
      </w:r>
      <w:bookmarkEnd w:id="938"/>
    </w:p>
    <w:p w14:paraId="30C98310" w14:textId="77777777" w:rsidR="00DF410E" w:rsidRDefault="00CE7F43">
      <w:pPr>
        <w:pStyle w:val="Author-eSectionHeading5"/>
      </w:pPr>
      <w:bookmarkStart w:id="939" w:name="_Toc178838085"/>
      <w:r>
        <w:t>22.51.2 Treillis et panneaux d'armatures préfabriqués CCTB 01.04</w:t>
      </w:r>
      <w:bookmarkEnd w:id="939"/>
    </w:p>
    <w:p w14:paraId="3DB5C199" w14:textId="77777777" w:rsidR="00DF410E" w:rsidRDefault="00CE7F43">
      <w:pPr>
        <w:pStyle w:val="Author-eSectionHeading6"/>
      </w:pPr>
      <w:bookmarkStart w:id="940" w:name="233"/>
      <w:bookmarkStart w:id="941" w:name="_Toc178838086"/>
      <w:bookmarkEnd w:id="940"/>
      <w:r>
        <w:t>22.51.2a Treillis d'armatures préfabriqués CCTB 01.11</w:t>
      </w:r>
      <w:bookmarkEnd w:id="941"/>
    </w:p>
    <w:p w14:paraId="00D0DAAF" w14:textId="77777777" w:rsidR="00DF410E" w:rsidRDefault="00CE7F43">
      <w:pPr>
        <w:pStyle w:val="pheading"/>
      </w:pPr>
      <w:r>
        <w:t>DESCRIPTION</w:t>
      </w:r>
    </w:p>
    <w:p w14:paraId="676225B7" w14:textId="77777777" w:rsidR="00DF410E" w:rsidRDefault="00CE7F43">
      <w:pPr>
        <w:pStyle w:val="pheading"/>
      </w:pPr>
      <w:r>
        <w:t>- Définition / Comprend</w:t>
      </w:r>
    </w:p>
    <w:p w14:paraId="3B4DDBE3" w14:textId="77777777" w:rsidR="00DF410E" w:rsidRDefault="00CE7F43">
      <w:r>
        <w:t>Il s’agit d’un ensemble constitué d'un seul ou de plusieurs types de fils, soudés entre eux électriquement par résistance dans une usine productrice, de manière à former un réseau plan à mailles rectangulaires ou carrées dont tous les nœuds sont soudés, selon le [PTV 304]. Par direction, les fils sont de même origine, de même nuance et de même diamètre.</w:t>
      </w:r>
      <w:r>
        <w:br/>
        <w:t>Les armatures peuvent éventuellement être dédoublées dans une seule direction du treillis; les mailles n'ont pas nécessairement toutes les mêmes dimensions.</w:t>
      </w:r>
    </w:p>
    <w:p w14:paraId="34F962D1" w14:textId="77777777" w:rsidR="00DF410E" w:rsidRDefault="00CE7F43">
      <w:pPr>
        <w:pStyle w:val="Author-eSectionHeading6"/>
      </w:pPr>
      <w:bookmarkStart w:id="942" w:name="_Toc178838087"/>
      <w:r>
        <w:t>22.51.2b Panneaux plans d'armatures préfabriqués CCTB 01.11</w:t>
      </w:r>
      <w:bookmarkEnd w:id="942"/>
    </w:p>
    <w:p w14:paraId="5E50AD1D" w14:textId="77777777" w:rsidR="00DF410E" w:rsidRDefault="00CE7F43">
      <w:pPr>
        <w:pStyle w:val="pheading"/>
      </w:pPr>
      <w:r>
        <w:t>DESCRIPTION</w:t>
      </w:r>
    </w:p>
    <w:p w14:paraId="580E0C6C" w14:textId="77777777" w:rsidR="00DF410E" w:rsidRDefault="00CE7F43">
      <w:pPr>
        <w:pStyle w:val="pheading"/>
      </w:pPr>
      <w:r>
        <w:t>- Définition / Comprend</w:t>
      </w:r>
    </w:p>
    <w:p w14:paraId="2DFF71BD" w14:textId="77777777" w:rsidR="00DF410E" w:rsidRDefault="00CE7F43">
      <w:r>
        <w:t>Il s’agit d’un ensemble constitué d'un seul ou de plusieurs types de fils ou barres, soudés entre eux dans une entreprise productrice, de manière à former un réseau plan à mailles rectangulaires ou carrées, selon le [PTV 308]. Par direction, les fils ou barres sont de même origine et du même diamètre.</w:t>
      </w:r>
    </w:p>
    <w:p w14:paraId="3BBB25B8" w14:textId="77777777" w:rsidR="00DF410E" w:rsidRDefault="00CE7F43">
      <w:r>
        <w:t>Ce type de panneaux plans d’armatures est caractérisé comme suit :</w:t>
      </w:r>
    </w:p>
    <w:p w14:paraId="15A2D751" w14:textId="77777777" w:rsidR="00DF410E" w:rsidRDefault="00CE7F43">
      <w:pPr>
        <w:ind w:left="567"/>
      </w:pPr>
      <w:r>
        <w:t>- les nœuds du « panneau » ne sont pas nécessairement tous soudés ;</w:t>
      </w:r>
      <w:r>
        <w:br/>
        <w:t>- une résistance limitée au cisaillement des soudures est garantie ;</w:t>
      </w:r>
      <w:r>
        <w:br/>
        <w:t xml:space="preserve">- il n’y a pas de limitation du diamètre maximum des fils ou barres constitutifs du panneau ; </w:t>
      </w:r>
      <w:r>
        <w:br/>
        <w:t>- il n’y a pas de minimum au rapport entre les diamètres nominaux du plus petit au plus gros diamètre de fil ou barre du « panneau » ;</w:t>
      </w:r>
      <w:r>
        <w:br/>
        <w:t>- les armatures, dans une direction, peuvent n’avoir qu’une fonction d’écarteur sans aucune autre caractéristique demandée.</w:t>
      </w:r>
    </w:p>
    <w:p w14:paraId="232AFF3E" w14:textId="77777777" w:rsidR="00DF410E" w:rsidRDefault="00CE7F43">
      <w:pPr>
        <w:pStyle w:val="Author-eSectionHeading5"/>
      </w:pPr>
      <w:bookmarkStart w:id="943" w:name="_Toc178838088"/>
      <w:r>
        <w:t>22.51.3 Fibres de renforcement de béton CCTB 01.02</w:t>
      </w:r>
      <w:bookmarkEnd w:id="943"/>
    </w:p>
    <w:p w14:paraId="438EA592" w14:textId="77777777" w:rsidR="00DF410E" w:rsidRDefault="00CE7F43">
      <w:pPr>
        <w:pStyle w:val="Author-eSectionHeading6"/>
      </w:pPr>
      <w:bookmarkStart w:id="944" w:name="523"/>
      <w:bookmarkStart w:id="945" w:name="_Toc178838089"/>
      <w:bookmarkEnd w:id="944"/>
      <w:r>
        <w:t>22.51.3a Fibres d'acier de renforcement de béton CCTB 01.11</w:t>
      </w:r>
      <w:bookmarkEnd w:id="945"/>
    </w:p>
    <w:p w14:paraId="5272A6C8" w14:textId="77777777" w:rsidR="00DF410E" w:rsidRDefault="00CE7F43">
      <w:pPr>
        <w:pStyle w:val="pheading"/>
      </w:pPr>
      <w:bookmarkStart w:id="946" w:name="217"/>
      <w:bookmarkEnd w:id="946"/>
      <w:r>
        <w:t>DESCRIPTION</w:t>
      </w:r>
    </w:p>
    <w:p w14:paraId="13753135" w14:textId="77777777" w:rsidR="00DF410E" w:rsidRDefault="00CE7F43">
      <w:pPr>
        <w:pStyle w:val="pheading"/>
      </w:pPr>
      <w:r>
        <w:t>- Définition / Comprend</w:t>
      </w:r>
    </w:p>
    <w:p w14:paraId="11ED7CF9" w14:textId="77777777" w:rsidR="00DF410E" w:rsidRDefault="00CE7F43">
      <w:pPr>
        <w:jc w:val="both"/>
      </w:pPr>
      <w:r>
        <w:t>Cet article comprend la fourniture et la mise en œuvre de fibres d’acier de renforcement du béton conformément à la portée décrite dans l’élément </w:t>
      </w:r>
      <w:hyperlink w:anchor="523" w:history="1">
        <w:r>
          <w:t>22.51.3 Fibres de renforcement de béton</w:t>
        </w:r>
      </w:hyperlink>
      <w:r>
        <w:t> .</w:t>
      </w:r>
    </w:p>
    <w:p w14:paraId="5EE01134" w14:textId="77777777" w:rsidR="00DF410E" w:rsidRDefault="00CE7F43">
      <w:pPr>
        <w:pStyle w:val="pheading"/>
      </w:pPr>
      <w:r>
        <w:t>- Localisation</w:t>
      </w:r>
    </w:p>
    <w:p w14:paraId="5500F34C" w14:textId="77777777" w:rsidR="00DF410E" w:rsidRDefault="00CE7F43">
      <w:r>
        <w:t xml:space="preserve">L’incorporation des fibres est réalisée dans les éléments suivants : </w:t>
      </w:r>
      <w:r>
        <w:rPr>
          <w:rStyle w:val="optioncarChar"/>
        </w:rPr>
        <w:t>***</w:t>
      </w:r>
      <w:r>
        <w:t>.</w:t>
      </w:r>
    </w:p>
    <w:p w14:paraId="20828AAB" w14:textId="77777777" w:rsidR="00DF410E" w:rsidRDefault="00CE7F43">
      <w:r>
        <w:t>Voir plans et métrés détaillés.</w:t>
      </w:r>
    </w:p>
    <w:p w14:paraId="4B0E96B7" w14:textId="77777777" w:rsidR="00DF410E" w:rsidRDefault="00CE7F43">
      <w:pPr>
        <w:pStyle w:val="pheading"/>
      </w:pPr>
      <w:r>
        <w:t>MATÉRIAUX</w:t>
      </w:r>
    </w:p>
    <w:p w14:paraId="09B8C718" w14:textId="77777777" w:rsidR="00DF410E" w:rsidRDefault="00CE7F43">
      <w:pPr>
        <w:pStyle w:val="pheading"/>
      </w:pPr>
      <w:r>
        <w:t>- Caractéristiques générales</w:t>
      </w:r>
    </w:p>
    <w:p w14:paraId="10BAAAAE" w14:textId="77777777" w:rsidR="00DF410E" w:rsidRDefault="00CE7F43">
      <w:pPr>
        <w:jc w:val="both"/>
      </w:pPr>
      <w:r>
        <w:t>Il s’agit d’éléments droits ou déformés provenant de fil étiré à froid, de tôle découpée, d'extraits de coulée, de fil étiré à froid raboté ou de blocs d'acier fraisés dont la forme et/ou la structure de surface assure un ancrage mécanique dans le béton durci. Les fibres doivent pouvoir être mélangées de façon homogène dans le béton.</w:t>
      </w:r>
    </w:p>
    <w:p w14:paraId="64328936" w14:textId="77777777" w:rsidR="00DF410E" w:rsidRDefault="00CE7F43">
      <w:pPr>
        <w:jc w:val="both"/>
      </w:pPr>
      <w:r>
        <w:t>La résistance caractéristique à la traction pour les différentes fibres d'acier est d'au moins 1000 MPa. Les dimensions nominales des fibres d'acier sont déterminées par le fabricant qui tient compte :</w:t>
      </w:r>
    </w:p>
    <w:p w14:paraId="01C6B8B5" w14:textId="77777777" w:rsidR="00DF410E" w:rsidRDefault="00CE7F43">
      <w:pPr>
        <w:pStyle w:val="Author-eListParagraph"/>
        <w:numPr>
          <w:ilvl w:val="0"/>
          <w:numId w:val="643"/>
        </w:numPr>
      </w:pPr>
      <w:r>
        <w:t>du diamètre nominal (d) compris entre 0,40 et 1,00 mm;</w:t>
      </w:r>
    </w:p>
    <w:p w14:paraId="3FA8B44C" w14:textId="77777777" w:rsidR="00DF410E" w:rsidRDefault="00CE7F43">
      <w:pPr>
        <w:pStyle w:val="Author-eListParagraph"/>
        <w:numPr>
          <w:ilvl w:val="0"/>
          <w:numId w:val="643"/>
        </w:numPr>
      </w:pPr>
      <w:r>
        <w:t>de la longueur nominale (l) comprise entre 30 et 80 mm;</w:t>
      </w:r>
    </w:p>
    <w:p w14:paraId="46199876" w14:textId="77777777" w:rsidR="00DF410E" w:rsidRDefault="00CE7F43">
      <w:pPr>
        <w:pStyle w:val="Author-eListParagraph"/>
        <w:numPr>
          <w:ilvl w:val="0"/>
          <w:numId w:val="643"/>
        </w:numPr>
      </w:pPr>
      <w:r>
        <w:t>du rapport l/d supérieur à 60.</w:t>
      </w:r>
    </w:p>
    <w:p w14:paraId="5EFAB0F8" w14:textId="77777777" w:rsidR="00DF410E" w:rsidRDefault="00CE7F43">
      <w:r>
        <w:t xml:space="preserve">Les fibres d’acier doivent satisfaire aux prescriptions de la [NBN EN 14889-1].  Par ailleurs, les fibres disposent également d'une déclaration d'aptitude à l'utilisation suivant les prescriptions de l'élément </w:t>
      </w:r>
      <w:hyperlink r:id="rId105" w:history="1" w:docLocation="68">
        <w:r>
          <w:t>02.42.1 Critères d'acceptabilité</w:t>
        </w:r>
      </w:hyperlink>
      <w:r>
        <w:t>.</w:t>
      </w:r>
    </w:p>
    <w:p w14:paraId="52640C95" w14:textId="77777777" w:rsidR="00DF410E" w:rsidRDefault="00CE7F43">
      <w:pPr>
        <w:jc w:val="both"/>
      </w:pPr>
      <w:r>
        <w:t xml:space="preserve">Les fibres sont en </w:t>
      </w:r>
      <w:r>
        <w:rPr>
          <w:rStyle w:val="optioncarChar"/>
        </w:rPr>
        <w:t>acier</w:t>
      </w:r>
      <w:r>
        <w:t xml:space="preserve"> (par défaut)</w:t>
      </w:r>
      <w:r>
        <w:rPr>
          <w:rStyle w:val="optioncarChar"/>
        </w:rPr>
        <w:t xml:space="preserve"> / acier galvanisé / acier inoxydable.</w:t>
      </w:r>
      <w:r>
        <w:t> </w:t>
      </w:r>
    </w:p>
    <w:p w14:paraId="63439EF2" w14:textId="77777777" w:rsidR="00DF410E" w:rsidRDefault="00CE7F43">
      <w:pPr>
        <w:jc w:val="both"/>
      </w:pPr>
      <w:r>
        <w:t>Les éléments métalliques galvanisés doivent obligatoirement être protégés contre la corrosion  par galvanisation thermique ou électrolytique à raison de 30 g/m² en moyenne.</w:t>
      </w:r>
    </w:p>
    <w:p w14:paraId="34359C8E" w14:textId="77777777" w:rsidR="00DF410E" w:rsidRDefault="00CE7F43">
      <w:pPr>
        <w:jc w:val="both"/>
      </w:pPr>
      <w:r>
        <w:t xml:space="preserve">La résistance post-fissuration apportée par les fibres dans le béton est exprimée par la classe de ductilité définie dans le [FIB Model Code 2010].  La résistance caractéristique post-fissuration pour une ouverture de fissure de 0,5mm (fR1,k selon [NBN EN 14651+A1]), fournie par le dosage en fibres utilisé dans le béton, est supérieure ou égale à : </w:t>
      </w:r>
      <w:r>
        <w:rPr>
          <w:rStyle w:val="optioncarChar"/>
        </w:rPr>
        <w:t>1.0</w:t>
      </w:r>
      <w:r>
        <w:t xml:space="preserve"> (par défaut) </w:t>
      </w:r>
      <w:r>
        <w:rPr>
          <w:rStyle w:val="optioncarChar"/>
        </w:rPr>
        <w:t>/ 1.5 / 2.0 / 2.5 / 3.0 / 4.0 / 5.0 / 6.0 / 7.0 / 8.0 / *** </w:t>
      </w:r>
      <w:r>
        <w:t xml:space="preserve"> MPa. Le rapport entre la résistance caractéristique post-fissuration pour une ouverture de fissure de 2,5mm (fR3,k selon la [NBN EN 14651+A1]) et fr1,k vaut : </w:t>
      </w:r>
      <w:r>
        <w:rPr>
          <w:rStyle w:val="optioncarChar"/>
        </w:rPr>
        <w:t>entre 0,5 et 0,7</w:t>
      </w:r>
      <w:r>
        <w:t xml:space="preserve">  (par défaut) </w:t>
      </w:r>
      <w:r>
        <w:rPr>
          <w:rStyle w:val="optioncarChar"/>
        </w:rPr>
        <w:t>/ entre 0,7 et 0,9 / entre 0,9 et 1,1 / entre 1,1 et 1,3 / supérieur à 1,3</w:t>
      </w:r>
      <w:r>
        <w:t>. </w:t>
      </w:r>
    </w:p>
    <w:p w14:paraId="07C3C9FB" w14:textId="77777777" w:rsidR="00DF410E" w:rsidRDefault="00CE7F43">
      <w:pPr>
        <w:pStyle w:val="pheading"/>
      </w:pPr>
      <w:r>
        <w:t>- Prescriptions complémentaires</w:t>
      </w:r>
    </w:p>
    <w:p w14:paraId="7D286637" w14:textId="77777777" w:rsidR="00DF410E" w:rsidRDefault="00DF410E"/>
    <w:p w14:paraId="11E6497D" w14:textId="77777777" w:rsidR="00DF410E" w:rsidRDefault="00CE7F43">
      <w:pPr>
        <w:pStyle w:val="Author-eListParagraph"/>
        <w:numPr>
          <w:ilvl w:val="0"/>
          <w:numId w:val="644"/>
        </w:numPr>
        <w:jc w:val="both"/>
      </w:pPr>
      <w:r>
        <w:rPr>
          <w:rStyle w:val="facultChar"/>
        </w:rPr>
        <w:t>Les fibres ne peuvent se détériorer sous les conditions de stockage recommandées par le fournisseur.</w:t>
      </w:r>
    </w:p>
    <w:p w14:paraId="4A9DFD7A" w14:textId="77777777" w:rsidR="00DF410E" w:rsidRDefault="00CE7F43">
      <w:pPr>
        <w:pStyle w:val="Author-eListParagraph"/>
        <w:numPr>
          <w:ilvl w:val="0"/>
          <w:numId w:val="644"/>
        </w:numPr>
        <w:jc w:val="both"/>
      </w:pPr>
      <w:r>
        <w:rPr>
          <w:rStyle w:val="facultChar"/>
        </w:rPr>
        <w:t>Les fibres doivent pouvoir résister à la phase de mixage, de transport et de mise en œuvre sans perte significative de leurs propriétés.</w:t>
      </w:r>
    </w:p>
    <w:p w14:paraId="2A120C96" w14:textId="77777777" w:rsidR="00DF410E" w:rsidRDefault="00CE7F43">
      <w:pPr>
        <w:jc w:val="both"/>
      </w:pPr>
      <w:r>
        <w:rPr>
          <w:rStyle w:val="facultChar"/>
        </w:rPr>
        <w:t>Pour des applications particulières pour lesquelles l’épaisseur des éléments à réaliser en béton de fibres est inférieure à 150 mm, ou si un processus de bétonnage non traditionnel est utilisé, des essais sont réalisés à charge de l’entrepreneur pour déterminer si des effets négatifs d’orientation des fibres sur les propriétés mécaniques sont générés lors du coulage du béton.  Des essais de flexion suivant les principes de la [NBN EN 14651+A1] sur des échantillons témoins représentatifs sont réalisés à cet égard.</w:t>
      </w:r>
    </w:p>
    <w:p w14:paraId="1179931D" w14:textId="77777777" w:rsidR="00DF410E" w:rsidRDefault="00CE7F43">
      <w:pPr>
        <w:pStyle w:val="pheading"/>
      </w:pPr>
      <w:r>
        <w:t>EXÉCUTION / MISE EN ŒUVRE</w:t>
      </w:r>
    </w:p>
    <w:p w14:paraId="000D70FE" w14:textId="77777777" w:rsidR="00DF410E" w:rsidRDefault="00CE7F43">
      <w:pPr>
        <w:pStyle w:val="pheading"/>
      </w:pPr>
      <w:r>
        <w:t>- Prescriptions générales</w:t>
      </w:r>
    </w:p>
    <w:p w14:paraId="1EB46F41" w14:textId="77777777" w:rsidR="00DF410E" w:rsidRDefault="00CE7F43">
      <w:pPr>
        <w:jc w:val="both"/>
      </w:pPr>
      <w:r>
        <w:t>L’exécution est réalisée suivant les principes de la [NBN EN 13670] et la [NBN B 15-400].   Les fibres peuvent être introduites à différentes phases de la fabrication du mélange mais jamais comme premier constituant.  Des systèmes spécifiques peuvent être utilisés pour injecter de manière régulière les fibres dans le béton en garantissant la quantité introduite.</w:t>
      </w:r>
    </w:p>
    <w:p w14:paraId="0B1CE630" w14:textId="77777777" w:rsidR="00DF410E" w:rsidRDefault="00CE7F43">
      <w:pPr>
        <w:jc w:val="both"/>
      </w:pPr>
      <w:r>
        <w:t>Le temps de mélange doit permettre une distribution homogène correcte des fibres et dépend du type et de la quantité de fibres utilisés.</w:t>
      </w:r>
    </w:p>
    <w:p w14:paraId="6EB76AD2" w14:textId="77777777" w:rsidR="00DF410E" w:rsidRDefault="00CE7F43">
      <w:pPr>
        <w:jc w:val="both"/>
      </w:pPr>
      <w:r>
        <w:t>Pour le pompage du béton de fibres, d’autres exigences peuvent être nécessaires, comme un diamètre des tuyaux supérieur à 1,5 fois la longueur des fibres. Le pompage de ces bétons nécessite une étude particulière de la composition, étant donné que le dosage en fibres dépend, outre du Dmax et de l’élancement des fibres, du fait que le béton soit pompé ou non.  Cette étude est à charge de l’entrepreneur.</w:t>
      </w:r>
    </w:p>
    <w:p w14:paraId="0D89DAA6" w14:textId="77777777" w:rsidR="00DF410E" w:rsidRDefault="00CE7F43">
      <w:pPr>
        <w:pStyle w:val="pheading"/>
      </w:pPr>
      <w:r>
        <w:t>DOCUMENTS DE RÉFÉRENCE COMPLÉMENTAIRES</w:t>
      </w:r>
    </w:p>
    <w:p w14:paraId="7C95DC8E" w14:textId="77777777" w:rsidR="00DF410E" w:rsidRDefault="00CE7F43">
      <w:pPr>
        <w:pStyle w:val="pheading"/>
      </w:pPr>
      <w:r>
        <w:t>- Matériau</w:t>
      </w:r>
    </w:p>
    <w:p w14:paraId="1C3B3404" w14:textId="77777777" w:rsidR="00DF410E" w:rsidRDefault="00CE7F43">
      <w:r>
        <w:t>[NBN EN 14889-1, Fibres pour béton - Partie 1 : Fibres d'acier - Définitions, spécifications et conformité]</w:t>
      </w:r>
      <w:r>
        <w:br/>
      </w:r>
      <w:r>
        <w:br/>
        <w:t>[NBN EN 14651+A1, Méthode d'essai du béton de fibres métalliques - Mesurage de la résistance à la traction par flexion (limite de proportionnalité (LOP), résistance résiduelle)]</w:t>
      </w:r>
    </w:p>
    <w:p w14:paraId="26473DD2" w14:textId="77777777" w:rsidR="00DF410E" w:rsidRDefault="00CE7F43">
      <w:r>
        <w:t>[FIB Model Code 2010, Model Code for Concrete Structures 2010]</w:t>
      </w:r>
    </w:p>
    <w:p w14:paraId="161B55E4" w14:textId="77777777" w:rsidR="00DF410E" w:rsidRDefault="00DF410E"/>
    <w:p w14:paraId="31BAD2F0" w14:textId="77777777" w:rsidR="00DF410E" w:rsidRDefault="00CE7F43">
      <w:pPr>
        <w:pStyle w:val="pheading"/>
      </w:pPr>
      <w:r>
        <w:t>- Exécution</w:t>
      </w:r>
    </w:p>
    <w:p w14:paraId="673B031F" w14:textId="77777777" w:rsidR="00DF410E" w:rsidRDefault="00CE7F43">
      <w:r>
        <w:t>[NBN EN 13670, Exécution des structures en béton]</w:t>
      </w:r>
      <w:r>
        <w:br/>
      </w:r>
      <w:r>
        <w:br/>
        <w:t>[NBN B 15-400, Exécution des structures en béton - Supplément national à la NBN EN 13670:2010]</w:t>
      </w:r>
    </w:p>
    <w:p w14:paraId="5DF3B678" w14:textId="77777777" w:rsidR="00DF410E" w:rsidRDefault="00CE7F43">
      <w:pPr>
        <w:pStyle w:val="pheading"/>
      </w:pPr>
      <w:r>
        <w:t>MESURAGE</w:t>
      </w:r>
    </w:p>
    <w:p w14:paraId="69ABFD3F" w14:textId="77777777" w:rsidR="00DF410E" w:rsidRDefault="00CE7F43">
      <w:pPr>
        <w:pStyle w:val="pheading"/>
      </w:pPr>
      <w:r>
        <w:t>- unité de mesure:</w:t>
      </w:r>
    </w:p>
    <w:p w14:paraId="061F4A0F" w14:textId="77777777" w:rsidR="00DF410E" w:rsidRDefault="00CE7F43">
      <w:r>
        <w:t>-</w:t>
      </w:r>
    </w:p>
    <w:p w14:paraId="7968D1B3" w14:textId="77777777" w:rsidR="00DF410E" w:rsidRDefault="00CE7F43">
      <w:pPr>
        <w:pStyle w:val="pheading"/>
      </w:pPr>
      <w:r>
        <w:t>- code de mesurage:</w:t>
      </w:r>
    </w:p>
    <w:p w14:paraId="4541BF55" w14:textId="77777777" w:rsidR="00DF410E" w:rsidRDefault="00CE7F43">
      <w:r>
        <w:t>Compris dans les prix unitaires des ouvrages en béton concernés dans l'/les article(s)</w:t>
      </w:r>
      <w:r>
        <w:rPr>
          <w:rStyle w:val="optioncarChar"/>
        </w:rPr>
        <w:t xml:space="preserve"> ***</w:t>
      </w:r>
      <w:r>
        <w:t>.</w:t>
      </w:r>
    </w:p>
    <w:p w14:paraId="0655EABC" w14:textId="77777777" w:rsidR="00DF410E" w:rsidRDefault="00CE7F43">
      <w:pPr>
        <w:pStyle w:val="pheading"/>
      </w:pPr>
      <w:r>
        <w:t>- nature du marché:</w:t>
      </w:r>
    </w:p>
    <w:p w14:paraId="291AF362" w14:textId="77777777" w:rsidR="00DF410E" w:rsidRDefault="00CE7F43">
      <w:r>
        <w:t>PM</w:t>
      </w:r>
    </w:p>
    <w:p w14:paraId="09F7BC37" w14:textId="77777777" w:rsidR="00DF410E" w:rsidRDefault="00CE7F43">
      <w:pPr>
        <w:pStyle w:val="pheading"/>
      </w:pPr>
      <w:r>
        <w:t>AIDE</w:t>
      </w:r>
    </w:p>
    <w:p w14:paraId="7FFC33A3" w14:textId="77777777" w:rsidR="00DF410E" w:rsidRDefault="00CE7F43">
      <w:pPr>
        <w:jc w:val="both"/>
      </w:pPr>
      <w:r>
        <w:t>En cas d’usage structural, le calcul de résistance mécanique des éléments en béton de fibres métalliques est conforme au [FIB Model Code 2010].</w:t>
      </w:r>
    </w:p>
    <w:p w14:paraId="0955F41F" w14:textId="77777777" w:rsidR="00DF410E" w:rsidRDefault="00CE7F43">
      <w:pPr>
        <w:jc w:val="both"/>
      </w:pPr>
      <w:r>
        <w:t>L’obtention d’une performance mécanique spécifique par un béton de fibres est indissociable du  type de béton utilisé (fuseau granulaire, quantité de ciment, etc.) par rapport aux fibres utilisées.  Des classes de ductilité ne peuvent donc être associées avec n’importe quelle composition de béton.</w:t>
      </w:r>
    </w:p>
    <w:p w14:paraId="4182FF23" w14:textId="77777777" w:rsidR="00DF410E" w:rsidRDefault="00CE7F43">
      <w:pPr>
        <w:pStyle w:val="Author-eSectionHeading6"/>
      </w:pPr>
      <w:bookmarkStart w:id="947" w:name="_Toc178838090"/>
      <w:r>
        <w:t>22.51.3b Fibres synthétiques de renforcement de béton CCTB 01.11</w:t>
      </w:r>
      <w:bookmarkEnd w:id="947"/>
    </w:p>
    <w:p w14:paraId="5982AC31" w14:textId="77777777" w:rsidR="00DF410E" w:rsidRDefault="00CE7F43">
      <w:pPr>
        <w:pStyle w:val="pheading"/>
      </w:pPr>
      <w:r>
        <w:t>DESCRIPTION</w:t>
      </w:r>
    </w:p>
    <w:p w14:paraId="0514C2C6" w14:textId="77777777" w:rsidR="00DF410E" w:rsidRDefault="00CE7F43">
      <w:pPr>
        <w:pStyle w:val="pheading"/>
      </w:pPr>
      <w:r>
        <w:t>- Définition / Comprend</w:t>
      </w:r>
    </w:p>
    <w:p w14:paraId="0880D9C9" w14:textId="77777777" w:rsidR="00DF410E" w:rsidRDefault="00CE7F43">
      <w:pPr>
        <w:jc w:val="both"/>
      </w:pPr>
      <w:r>
        <w:t xml:space="preserve">Cet article comprend la fourniture et la mise en œuvre de fibres synthétiques de renforcement du béton conformément à la portée décrite dans l'élément </w:t>
      </w:r>
      <w:hyperlink w:anchor="523" w:history="1">
        <w:r>
          <w:t>22.51.3 Fibres de renforcement de béton</w:t>
        </w:r>
      </w:hyperlink>
    </w:p>
    <w:p w14:paraId="522F9BCE" w14:textId="77777777" w:rsidR="00DF410E" w:rsidRDefault="00CE7F43">
      <w:pPr>
        <w:pStyle w:val="pheading"/>
      </w:pPr>
      <w:r>
        <w:t>- Localisation</w:t>
      </w:r>
    </w:p>
    <w:p w14:paraId="077918FD" w14:textId="77777777" w:rsidR="00DF410E" w:rsidRDefault="00CE7F43">
      <w:r>
        <w:t xml:space="preserve">L’incorporation des fibres sera réalisée dans les éléments suivants : </w:t>
      </w:r>
      <w:r>
        <w:rPr>
          <w:rStyle w:val="optioncarChar"/>
        </w:rPr>
        <w:t>***</w:t>
      </w:r>
      <w:r>
        <w:t>.</w:t>
      </w:r>
    </w:p>
    <w:p w14:paraId="4BC04BA5" w14:textId="77777777" w:rsidR="00DF410E" w:rsidRDefault="00CE7F43">
      <w:r>
        <w:t>Voir plans et métrés détaillés.</w:t>
      </w:r>
    </w:p>
    <w:p w14:paraId="2B22D973" w14:textId="77777777" w:rsidR="00DF410E" w:rsidRDefault="00CE7F43">
      <w:pPr>
        <w:pStyle w:val="pheading"/>
      </w:pPr>
      <w:r>
        <w:t>MATÉRIAUX</w:t>
      </w:r>
    </w:p>
    <w:p w14:paraId="72FCE8D1" w14:textId="77777777" w:rsidR="00DF410E" w:rsidRDefault="00CE7F43">
      <w:pPr>
        <w:pStyle w:val="pheading"/>
      </w:pPr>
      <w:r>
        <w:t>- Caractéristiques générales</w:t>
      </w:r>
    </w:p>
    <w:p w14:paraId="6B7C842C" w14:textId="77777777" w:rsidR="00DF410E" w:rsidRDefault="00CE7F43">
      <w:pPr>
        <w:jc w:val="both"/>
      </w:pPr>
      <w:r>
        <w:t>Les fibres synthétiques consistent en des fibres à base de polymère(s) présentant différentes compositions et différentes propriétés.  Les fibres fabriquées à base de polypropylène, polyacrylnitrile, vinylal, polyéthylène et des polyamides aromatiques (aramide) ont déjà prouvé leur efficience pour améliorer certaines propriétés spécifiques du béton. Typiquement, le polypropylène ou le polyéthylène (ou un mélange des deux) sont les bases les plus répandues.</w:t>
      </w:r>
    </w:p>
    <w:p w14:paraId="22E77BB4" w14:textId="77777777" w:rsidR="00DF410E" w:rsidRDefault="00CE7F43">
      <w:pPr>
        <w:jc w:val="both"/>
      </w:pPr>
      <w:r>
        <w:t>Les fibres peuvent être utilisées dans toutes les applications de béton ou de mortier, y compris les applications de béton projeté, les dalles de sol, les éléments préfabriqués, du béton coulé en place ou utilisé en réparation.</w:t>
      </w:r>
    </w:p>
    <w:p w14:paraId="25817BA3" w14:textId="77777777" w:rsidR="00DF410E" w:rsidRDefault="00CE7F43">
      <w:pPr>
        <w:jc w:val="both"/>
      </w:pPr>
      <w:r>
        <w:t xml:space="preserve">Les fibres synthétiques doivent satisfaire aux prescriptions de la [NBN EN 14889-2].  Par ailleurs, les fibres disposent également d'une déclaration d'aptitude à l'utilisation suivant les prescriptions de l'élément </w:t>
      </w:r>
      <w:hyperlink r:id="rId106" w:history="1" w:docLocation="68">
        <w:r>
          <w:t>02.42.1 Critères d'acceptabilité</w:t>
        </w:r>
      </w:hyperlink>
      <w:r>
        <w:t>.</w:t>
      </w:r>
    </w:p>
    <w:p w14:paraId="7370EE7C" w14:textId="77777777" w:rsidR="00DF410E" w:rsidRDefault="00CE7F43">
      <w:pPr>
        <w:jc w:val="both"/>
      </w:pPr>
      <w:r>
        <w:t>On distingue quatre groupes de fibres :</w:t>
      </w:r>
    </w:p>
    <w:p w14:paraId="4E79F5D2" w14:textId="77777777" w:rsidR="00DF410E" w:rsidRDefault="00CE7F43">
      <w:pPr>
        <w:jc w:val="both"/>
      </w:pPr>
      <w:r>
        <w:t>Groupe Ia         : les micro-fibres mono-filament avec diamètre (équivalent) ≤ 0,05 mm</w:t>
      </w:r>
    </w:p>
    <w:p w14:paraId="37D84CFC" w14:textId="77777777" w:rsidR="00DF410E" w:rsidRDefault="00CE7F43">
      <w:pPr>
        <w:jc w:val="both"/>
      </w:pPr>
      <w:r>
        <w:t>Groupe Ib         : les micro-fibres fibrillées</w:t>
      </w:r>
    </w:p>
    <w:p w14:paraId="000E3545" w14:textId="77777777" w:rsidR="00DF410E" w:rsidRDefault="00CE7F43">
      <w:pPr>
        <w:jc w:val="both"/>
      </w:pPr>
      <w:r>
        <w:t>Groupe Ic         : les méso-fibres mono-filament avec 0,05 mm &lt; diamètre (équivalent) ≤ 0,30 mm</w:t>
      </w:r>
    </w:p>
    <w:p w14:paraId="3C1E43C0" w14:textId="77777777" w:rsidR="00DF410E" w:rsidRDefault="00CE7F43">
      <w:pPr>
        <w:jc w:val="both"/>
      </w:pPr>
      <w:r>
        <w:t>Groupe II          : les macro-fibres mono-filament avec diamètre (équivalent) &gt; 0,30 mm</w:t>
      </w:r>
    </w:p>
    <w:p w14:paraId="7019F29E" w14:textId="77777777" w:rsidR="00DF410E" w:rsidRDefault="00CE7F43">
      <w:pPr>
        <w:jc w:val="both"/>
      </w:pPr>
      <w:r>
        <w:t> </w:t>
      </w:r>
    </w:p>
    <w:p w14:paraId="2E7D8505" w14:textId="77777777" w:rsidR="00DF410E" w:rsidRDefault="00CE7F43">
      <w:pPr>
        <w:jc w:val="both"/>
      </w:pPr>
      <w:r>
        <w:t xml:space="preserve">Le type d’usage des fibres est </w:t>
      </w:r>
      <w:r>
        <w:rPr>
          <w:rStyle w:val="optioncarChar"/>
        </w:rPr>
        <w:t>non structural / structural</w:t>
      </w:r>
      <w:r>
        <w:t>.</w:t>
      </w:r>
    </w:p>
    <w:p w14:paraId="2064E0C4" w14:textId="77777777" w:rsidR="00DF410E" w:rsidRDefault="00CE7F43">
      <w:pPr>
        <w:jc w:val="both"/>
      </w:pPr>
      <w:r>
        <w:rPr>
          <w:b/>
          <w:i/>
        </w:rPr>
        <w:t>(Soit)</w:t>
      </w:r>
    </w:p>
    <w:p w14:paraId="590F91C6" w14:textId="77777777" w:rsidR="00DF410E" w:rsidRDefault="00CE7F43">
      <w:pPr>
        <w:jc w:val="both"/>
      </w:pPr>
      <w:r>
        <w:rPr>
          <w:rStyle w:val="soitChar"/>
          <w:u w:val="single"/>
        </w:rPr>
        <w:t>Type d’usage des fibres : Non structural</w:t>
      </w:r>
      <w:r>
        <w:rPr>
          <w:rStyle w:val="soitChar"/>
        </w:rPr>
        <w:t xml:space="preserve">.  L’objectif est soit d’éviter les problèmes d’éclatement dans les bétons à haute résistance en cas d’incendie ou soit pour réduire les effets du retrait du béton en phase plastique.  Les fibres sont du groupe </w:t>
      </w:r>
      <w:r>
        <w:rPr>
          <w:rStyle w:val="optioncarChar"/>
        </w:rPr>
        <w:t>Ia / Ib</w:t>
      </w:r>
      <w:r>
        <w:rPr>
          <w:rStyle w:val="soitChar"/>
        </w:rPr>
        <w:t>.</w:t>
      </w:r>
    </w:p>
    <w:p w14:paraId="45583936" w14:textId="77777777" w:rsidR="00DF410E" w:rsidRDefault="00CE7F43">
      <w:pPr>
        <w:jc w:val="both"/>
      </w:pPr>
      <w:r>
        <w:rPr>
          <w:b/>
          <w:i/>
        </w:rPr>
        <w:t>(Soit)</w:t>
      </w:r>
    </w:p>
    <w:p w14:paraId="6497B61D" w14:textId="77777777" w:rsidR="00DF410E" w:rsidRDefault="00CE7F43">
      <w:pPr>
        <w:jc w:val="both"/>
      </w:pPr>
      <w:r>
        <w:rPr>
          <w:rStyle w:val="soitChar"/>
          <w:u w:val="single"/>
        </w:rPr>
        <w:t>Type d’usage des fibres : Structural.</w:t>
      </w:r>
      <w:r>
        <w:rPr>
          <w:rStyle w:val="soitChar"/>
        </w:rPr>
        <w:t xml:space="preserve">  L’objectif est de fournir une contribution à la capacité portante de l’élément, principalement via une participation à la résistance en flexion post-fissuration (usage structural).  Les fibres appartiennent au groupe </w:t>
      </w:r>
      <w:r>
        <w:rPr>
          <w:rStyle w:val="optioncarChar"/>
        </w:rPr>
        <w:t>Ic / II</w:t>
      </w:r>
      <w:r>
        <w:rPr>
          <w:rStyle w:val="soitChar"/>
        </w:rPr>
        <w:t>.</w:t>
      </w:r>
    </w:p>
    <w:p w14:paraId="2B326D26" w14:textId="77777777" w:rsidR="00DF410E" w:rsidRDefault="00CE7F43">
      <w:pPr>
        <w:pStyle w:val="pheading"/>
      </w:pPr>
      <w:r>
        <w:t>- Prescriptions complémentaires</w:t>
      </w:r>
    </w:p>
    <w:p w14:paraId="489212E3" w14:textId="77777777" w:rsidR="00DF410E" w:rsidRDefault="00DF410E"/>
    <w:p w14:paraId="26EB5E44" w14:textId="77777777" w:rsidR="00DF410E" w:rsidRDefault="00CE7F43">
      <w:pPr>
        <w:pStyle w:val="Author-eListParagraph"/>
        <w:numPr>
          <w:ilvl w:val="0"/>
          <w:numId w:val="645"/>
        </w:numPr>
      </w:pPr>
      <w:r>
        <w:rPr>
          <w:rStyle w:val="facultChar"/>
        </w:rPr>
        <w:t>Les fibres ne peuvent se détériorer sous les conditions de stockage recommandées par le fournisseur.</w:t>
      </w:r>
    </w:p>
    <w:p w14:paraId="2E8C1B57" w14:textId="77777777" w:rsidR="00DF410E" w:rsidRDefault="00CE7F43">
      <w:pPr>
        <w:pStyle w:val="Author-eListParagraph"/>
        <w:numPr>
          <w:ilvl w:val="0"/>
          <w:numId w:val="645"/>
        </w:numPr>
      </w:pPr>
      <w:r>
        <w:rPr>
          <w:rStyle w:val="facultChar"/>
        </w:rPr>
        <w:t>Les fibres doivent pouvoir résister à la phase de mixage, de transport et de mise en œuvre sans perte significative de leurs propriétés.</w:t>
      </w:r>
    </w:p>
    <w:p w14:paraId="50019AC4" w14:textId="77777777" w:rsidR="00DF410E" w:rsidRDefault="00CE7F43">
      <w:pPr>
        <w:jc w:val="both"/>
      </w:pPr>
      <w:r>
        <w:rPr>
          <w:rStyle w:val="facultChar"/>
        </w:rPr>
        <w:t>Pour des applications structurales particulières pour lesquelles l’épaisseur des éléments à réaliser en béton de fibres est inférieure à 150 mm, ou si un processus de bétonnage non traditionnel est utilisé, des essais sont réalisés à charge de l’entrepreneur pour déterminer si des effets négatifs d’orientation des fibres sur les propriétés mécaniques sont générés lors du coulage du béton.  Des essais de flexion suivant les principes de la [NBN EN 14651+A1] sur des échantillons témoins représentatifs sont réalisés à cet égard.</w:t>
      </w:r>
    </w:p>
    <w:p w14:paraId="689B39F3" w14:textId="77777777" w:rsidR="00DF410E" w:rsidRDefault="00CE7F43">
      <w:pPr>
        <w:pStyle w:val="pheading"/>
      </w:pPr>
      <w:r>
        <w:t>EXÉCUTION / MISE EN ŒUVRE</w:t>
      </w:r>
    </w:p>
    <w:p w14:paraId="260B1CEF" w14:textId="77777777" w:rsidR="00DF410E" w:rsidRDefault="00CE7F43">
      <w:pPr>
        <w:pStyle w:val="pheading"/>
      </w:pPr>
      <w:r>
        <w:t>- Prescriptions générales</w:t>
      </w:r>
    </w:p>
    <w:p w14:paraId="1361C7C1" w14:textId="77777777" w:rsidR="00DF410E" w:rsidRDefault="00CE7F43">
      <w:pPr>
        <w:jc w:val="both"/>
      </w:pPr>
      <w:r>
        <w:t>L’exécution est réalisée suivant les principes de la [NBN EN 13670] et la [NBN B 15-400].  Les  fibres peuvent être introduites à différentes phases de la fabrication du mélange mais jamais comme premier constituant.  Des systèmes spécifiques peuvent être utilisés pour injecter de manière régulière les fibres dans le béton en garantissant la quantité introduite.</w:t>
      </w:r>
    </w:p>
    <w:p w14:paraId="2939032B" w14:textId="77777777" w:rsidR="00DF410E" w:rsidRDefault="00CE7F43">
      <w:pPr>
        <w:jc w:val="both"/>
      </w:pPr>
      <w:r>
        <w:t>Le temps de mélange doit permettre une distribution homogène correcte des fibres et dépend du type et de la quantité de fibres utilisés.</w:t>
      </w:r>
    </w:p>
    <w:p w14:paraId="0B3B4A1D" w14:textId="77777777" w:rsidR="00DF410E" w:rsidRDefault="00CE7F43">
      <w:pPr>
        <w:jc w:val="both"/>
      </w:pPr>
      <w:r>
        <w:t>Pour le pompage du béton de fibres, d’autres exigences peuvent être nécessaires, comme un diamètre des tuyaux supérieur à 1,5 fois la longueur des fibres. Le pompage de ces bétons nécessite une étude particulière de la composition, étant donné que le dosage en fibres dépend, outre du Dmax et de l’élancement des fibres, du fait que le béton soit pompé ou non.</w:t>
      </w:r>
    </w:p>
    <w:p w14:paraId="7C96E491" w14:textId="77777777" w:rsidR="00DF410E" w:rsidRDefault="00CE7F43">
      <w:pPr>
        <w:pStyle w:val="pheading"/>
      </w:pPr>
      <w:r>
        <w:t>DOCUMENTS DE RÉFÉRENCE COMPLÉMENTAIRES</w:t>
      </w:r>
    </w:p>
    <w:p w14:paraId="43CB8B0F" w14:textId="77777777" w:rsidR="00DF410E" w:rsidRDefault="00CE7F43">
      <w:pPr>
        <w:pStyle w:val="pheading"/>
      </w:pPr>
      <w:r>
        <w:t>- Matériau</w:t>
      </w:r>
    </w:p>
    <w:p w14:paraId="72A28601" w14:textId="77777777" w:rsidR="00DF410E" w:rsidRDefault="00CE7F43">
      <w:r>
        <w:t>[NBN EN 14889-2, Fibres pour béton - Partie 2 : Fibres polymère - Définition, spécifications et conformité]</w:t>
      </w:r>
      <w:r>
        <w:br/>
      </w:r>
      <w:r>
        <w:br/>
        <w:t>[NBN EN 14651+A1, Méthode d'essai du béton de fibres métalliques - Mesurage de la résistance à la traction par flexion (limite de proportionnalité (LOP), résistance résiduelle)]</w:t>
      </w:r>
      <w:r>
        <w:br/>
      </w:r>
      <w:r>
        <w:br/>
        <w:t>[FIB Model Code 2010, Model Code for Concrete Structures 2010]</w:t>
      </w:r>
      <w:r>
        <w:br/>
      </w:r>
      <w:r>
        <w:br/>
      </w:r>
    </w:p>
    <w:p w14:paraId="5FFBC01C" w14:textId="77777777" w:rsidR="00DF410E" w:rsidRDefault="00CE7F43">
      <w:pPr>
        <w:pStyle w:val="pheading"/>
      </w:pPr>
      <w:r>
        <w:t>- Exécution</w:t>
      </w:r>
    </w:p>
    <w:p w14:paraId="5805D3CD" w14:textId="77777777" w:rsidR="00DF410E" w:rsidRDefault="00CE7F43">
      <w:r>
        <w:t>[NBN EN 13670, Exécution des structures en béton]</w:t>
      </w:r>
      <w:r>
        <w:br/>
      </w:r>
      <w:r>
        <w:br/>
        <w:t>[NBN B 15-400, Exécution des structures en béton - Supplément national à la NBN EN 13670:2010]</w:t>
      </w:r>
    </w:p>
    <w:p w14:paraId="729B534F" w14:textId="77777777" w:rsidR="00DF410E" w:rsidRDefault="00CE7F43">
      <w:pPr>
        <w:pStyle w:val="pheading"/>
      </w:pPr>
      <w:r>
        <w:t>MESURAGE</w:t>
      </w:r>
    </w:p>
    <w:p w14:paraId="4BD7F6DC" w14:textId="77777777" w:rsidR="00DF410E" w:rsidRDefault="00CE7F43">
      <w:pPr>
        <w:pStyle w:val="pheading"/>
      </w:pPr>
      <w:r>
        <w:t>- unité de mesure:</w:t>
      </w:r>
    </w:p>
    <w:p w14:paraId="372624D2" w14:textId="77777777" w:rsidR="00DF410E" w:rsidRDefault="00CE7F43">
      <w:r>
        <w:t>-</w:t>
      </w:r>
    </w:p>
    <w:p w14:paraId="4D5F7065" w14:textId="77777777" w:rsidR="00DF410E" w:rsidRDefault="00CE7F43">
      <w:pPr>
        <w:pStyle w:val="pheading"/>
      </w:pPr>
      <w:r>
        <w:t>- code de mesurage:</w:t>
      </w:r>
    </w:p>
    <w:p w14:paraId="61679FF1" w14:textId="77777777" w:rsidR="00DF410E" w:rsidRDefault="00CE7F43">
      <w:r>
        <w:t xml:space="preserve">Compris dans les prix unitaires des ouvrages en béton concernés dans l'/les article(s) </w:t>
      </w:r>
      <w:r>
        <w:rPr>
          <w:rStyle w:val="optioncarChar"/>
        </w:rPr>
        <w:t>***</w:t>
      </w:r>
      <w:r>
        <w:t>.</w:t>
      </w:r>
    </w:p>
    <w:p w14:paraId="5F6FC4CE" w14:textId="77777777" w:rsidR="00DF410E" w:rsidRDefault="00CE7F43">
      <w:pPr>
        <w:pStyle w:val="pheading"/>
      </w:pPr>
      <w:r>
        <w:t>- nature du marché:</w:t>
      </w:r>
    </w:p>
    <w:p w14:paraId="5DDDEE06" w14:textId="77777777" w:rsidR="00DF410E" w:rsidRDefault="00CE7F43">
      <w:r>
        <w:t>PM</w:t>
      </w:r>
    </w:p>
    <w:p w14:paraId="26013832" w14:textId="77777777" w:rsidR="00DF410E" w:rsidRDefault="00CE7F43">
      <w:pPr>
        <w:pStyle w:val="pheading"/>
      </w:pPr>
      <w:r>
        <w:t>AIDE</w:t>
      </w:r>
    </w:p>
    <w:p w14:paraId="17D58BBE" w14:textId="77777777" w:rsidR="00DF410E" w:rsidRDefault="00CE7F43">
      <w:pPr>
        <w:jc w:val="both"/>
      </w:pPr>
      <w:r>
        <w:t>En cas d’usage structural, le calcul de résistance mécanique des éléments en béton de fibres métalliques est conforme au [FIB Model Code 2010].</w:t>
      </w:r>
    </w:p>
    <w:p w14:paraId="765EA6A0" w14:textId="77777777" w:rsidR="00DF410E" w:rsidRDefault="00CE7F43">
      <w:pPr>
        <w:jc w:val="both"/>
      </w:pPr>
      <w:r>
        <w:t>L’obtention d’une performance mécanique spécifique par un béton de fibres est indissociable du  type de béton utilisé (fuseau granulaire, quantité de ciment, etc.) par rapport aux fibres utilisées.  Des classes de ductilité ne peuvent donc être associées avec n’importe quelle composition de béton.</w:t>
      </w:r>
    </w:p>
    <w:p w14:paraId="282B4794" w14:textId="77777777" w:rsidR="00DF410E" w:rsidRDefault="00CE7F43">
      <w:pPr>
        <w:pStyle w:val="Author-eSectionHeading6"/>
      </w:pPr>
      <w:bookmarkStart w:id="948" w:name="_Toc178838091"/>
      <w:r>
        <w:t>22.51.3c Fibres de verre de renforcement de béton CCTB 01.04</w:t>
      </w:r>
      <w:bookmarkEnd w:id="948"/>
    </w:p>
    <w:p w14:paraId="1F65D18F" w14:textId="77777777" w:rsidR="00DF410E" w:rsidRDefault="00CE7F43">
      <w:pPr>
        <w:pStyle w:val="Author-eSectionHeading5"/>
      </w:pPr>
      <w:bookmarkStart w:id="949" w:name="_Toc178838092"/>
      <w:r>
        <w:t>22.51.4 Armatures additionnelles de renforcement de béton CCTB 01.12</w:t>
      </w:r>
      <w:bookmarkEnd w:id="949"/>
    </w:p>
    <w:p w14:paraId="202517CB" w14:textId="77777777" w:rsidR="00DF410E" w:rsidRDefault="00CE7F43">
      <w:pPr>
        <w:pStyle w:val="pheading"/>
      </w:pPr>
      <w:r>
        <w:t>DESCRIPTION</w:t>
      </w:r>
    </w:p>
    <w:p w14:paraId="4A0E8D1A" w14:textId="77777777" w:rsidR="00DF410E" w:rsidRDefault="00CE7F43">
      <w:pPr>
        <w:pStyle w:val="pheading"/>
      </w:pPr>
      <w:r>
        <w:t>- Définition / Comprend</w:t>
      </w:r>
    </w:p>
    <w:p w14:paraId="2B480DCA" w14:textId="77777777" w:rsidR="00DF410E" w:rsidRDefault="00CE7F43">
      <w:pPr>
        <w:jc w:val="both"/>
      </w:pPr>
      <w:r>
        <w:t>Il s'agit de la fourniture et de la mise en œuvre d’armatures additionnelles de renforcement du béton, en barres de polymères renforcés de fibres (abrégé PRF, ou FRP en anglais), ou de plats métalliques.</w:t>
      </w:r>
    </w:p>
    <w:p w14:paraId="0645D514" w14:textId="77777777" w:rsidR="00DF410E" w:rsidRDefault="00CE7F43">
      <w:pPr>
        <w:jc w:val="both"/>
      </w:pPr>
      <w:r>
        <w:t>Le travail comprend notamment la pose des écarteurs et des accessoires nécessaires pour fixer les armatures et les tenir en place.</w:t>
      </w:r>
    </w:p>
    <w:p w14:paraId="400C19D0" w14:textId="77777777" w:rsidR="00DF410E" w:rsidRDefault="00CE7F43">
      <w:pPr>
        <w:pStyle w:val="pheading"/>
      </w:pPr>
      <w:r>
        <w:t>EXÉCUTION / MISE EN ŒUVRE</w:t>
      </w:r>
    </w:p>
    <w:p w14:paraId="2B470739" w14:textId="77777777" w:rsidR="00DF410E" w:rsidRDefault="00CE7F43">
      <w:pPr>
        <w:jc w:val="both"/>
      </w:pPr>
      <w:r>
        <w:t>L’étude et les plans d’exécution </w:t>
      </w:r>
      <w:r>
        <w:rPr>
          <w:rStyle w:val="optioncarChar"/>
        </w:rPr>
        <w:t>ne sont pas</w:t>
      </w:r>
      <w:r>
        <w:t xml:space="preserve"> (par défaut) </w:t>
      </w:r>
      <w:r>
        <w:rPr>
          <w:rStyle w:val="optioncarChar"/>
        </w:rPr>
        <w:t>/ sont</w:t>
      </w:r>
      <w:r>
        <w:t xml:space="preserve"> à charge de l’entreprise.</w:t>
      </w:r>
    </w:p>
    <w:p w14:paraId="5EECD432" w14:textId="77777777" w:rsidR="00DF410E" w:rsidRDefault="00CE7F43">
      <w:pPr>
        <w:jc w:val="both"/>
      </w:pPr>
      <w:r>
        <w:t>Les principes de dimensionnement et les règles de mises en œuvre des PRF sont expliqués dans le guide [CNR DT 203/2006] édité par le Conseil National de Recherche Italien, et le [CROW-CUR Recommendation 96], en attendant leurs intégrations dans l’eurocode [NBN EN 1992-1-1] (publication planifiée courant 2027 – la prénorme est planifiée courant 2023).</w:t>
      </w:r>
    </w:p>
    <w:p w14:paraId="3E956EBC" w14:textId="77777777" w:rsidR="00DF410E" w:rsidRDefault="00CE7F43">
      <w:pPr>
        <w:jc w:val="both"/>
      </w:pPr>
      <w:r>
        <w:t>La mise en œuvre des armatures est conforme aux prescriptions données au </w:t>
      </w:r>
      <w:hyperlink w:anchor="231" w:history="1">
        <w:r>
          <w:t>22.51 Armatures pour béton</w:t>
        </w:r>
      </w:hyperlink>
      <w:r>
        <w:t>, à l’exception du pliage des barres PRF par l’entrepreneur qui est interdit. Le pliage de ces barres n’est réalisable qu’au moment de la fabrication. Elles sont dès lors commandées mises en forme à l’usine.</w:t>
      </w:r>
    </w:p>
    <w:p w14:paraId="05C603B5" w14:textId="77777777" w:rsidR="00DF410E" w:rsidRDefault="00CE7F43">
      <w:pPr>
        <w:jc w:val="both"/>
      </w:pPr>
      <w:r>
        <w:t>La pose des armatures, le coulage du béton, et le béton de remplissage respectent les prescriptions générales données au </w:t>
      </w:r>
      <w:hyperlink w:anchor="87" w:history="1">
        <w:r>
          <w:t>22 Superstructures en béton</w:t>
        </w:r>
      </w:hyperlink>
      <w:r>
        <w:t>.</w:t>
      </w:r>
    </w:p>
    <w:p w14:paraId="1888EF54" w14:textId="77777777" w:rsidR="00DF410E" w:rsidRDefault="00CE7F43">
      <w:pPr>
        <w:pStyle w:val="pheading"/>
      </w:pPr>
      <w:r>
        <w:t>DOCUMENTS DE RÉFÉRENCE</w:t>
      </w:r>
    </w:p>
    <w:p w14:paraId="5852224F" w14:textId="77777777" w:rsidR="00DF410E" w:rsidRDefault="00CE7F43">
      <w:pPr>
        <w:pStyle w:val="pheading"/>
      </w:pPr>
      <w:r>
        <w:t>- Matériau</w:t>
      </w:r>
    </w:p>
    <w:p w14:paraId="61FB24C3" w14:textId="77777777" w:rsidR="00DF410E" w:rsidRDefault="00CE7F43">
      <w:r>
        <w:t>[ISO 10406-1, Polymère renforcé par des fibres (PRF) pour l'armature du béton — Méthodes d'essai — Partie 1: Barres et grilles en PRF ]</w:t>
      </w:r>
    </w:p>
    <w:p w14:paraId="7ABE348A" w14:textId="77777777" w:rsidR="00DF410E" w:rsidRDefault="00CE7F43">
      <w:r>
        <w:t>[NBN EN ISO 11357-2, Plastiques - Analyse calorimétrique différentielle (DSC) - Partie 2: Détermination de la température et de la hauteur de palier de transition vitreuse (ISO 11357-2:2020)]</w:t>
      </w:r>
    </w:p>
    <w:p w14:paraId="6DF27AF4" w14:textId="77777777" w:rsidR="00DF410E" w:rsidRDefault="00CE7F43">
      <w:pPr>
        <w:pStyle w:val="pheading"/>
      </w:pPr>
      <w:r>
        <w:t>- Exécution</w:t>
      </w:r>
    </w:p>
    <w:p w14:paraId="0A63E758" w14:textId="77777777" w:rsidR="00DF410E" w:rsidRDefault="00CE7F43">
      <w:r>
        <w:t>[CNR DT 203/2006, Guide for the Design and Construction of Concrete Structures Reinforced with Fiber-Reinforced Polymer Bars]</w:t>
      </w:r>
    </w:p>
    <w:p w14:paraId="35AEC275" w14:textId="77777777" w:rsidR="00DF410E" w:rsidRDefault="00CE7F43">
      <w:r>
        <w:t>[CROW-CUR Recommendation 96, Fibre-reinforced polymers in buildings and civil engineering structures]</w:t>
      </w:r>
    </w:p>
    <w:p w14:paraId="0C66D1C8" w14:textId="77777777" w:rsidR="00DF410E" w:rsidRDefault="00CE7F43">
      <w:r>
        <w:t>[NBN EN 1992-1-1, Eurocode 2: Calcul des structures en béton - Partie 1-1: Règles générales et règles pour les bâtiments (+AC:2010)]</w:t>
      </w:r>
    </w:p>
    <w:p w14:paraId="5F8A9FE0" w14:textId="77777777" w:rsidR="00DF410E" w:rsidRDefault="00CE7F43">
      <w:pPr>
        <w:pStyle w:val="Author-eSectionHeading6"/>
      </w:pPr>
      <w:bookmarkStart w:id="950" w:name="_Toc178838093"/>
      <w:r>
        <w:t>22.51.4a Armatures additionnelles à base de fibres de carbone CCTB 01.12</w:t>
      </w:r>
      <w:bookmarkEnd w:id="950"/>
    </w:p>
    <w:p w14:paraId="64243362" w14:textId="77777777" w:rsidR="00DF410E" w:rsidRDefault="00CE7F43">
      <w:pPr>
        <w:pStyle w:val="pheading"/>
      </w:pPr>
      <w:r>
        <w:t>DESCRIPTION</w:t>
      </w:r>
    </w:p>
    <w:p w14:paraId="5BD41CBA" w14:textId="77777777" w:rsidR="00DF410E" w:rsidRDefault="00CE7F43">
      <w:pPr>
        <w:pStyle w:val="pheading"/>
      </w:pPr>
      <w:r>
        <w:t>- Définition / Comprend</w:t>
      </w:r>
    </w:p>
    <w:p w14:paraId="735EFB83" w14:textId="77777777" w:rsidR="00DF410E" w:rsidRDefault="00CE7F43">
      <w:pPr>
        <w:jc w:val="both"/>
      </w:pPr>
      <w:r>
        <w:t>Il s'agit de la fourniture et de la mise en œuvre d’armatures additionnelles à base de fibres de carbone.</w:t>
      </w:r>
    </w:p>
    <w:p w14:paraId="1DE3B8AB" w14:textId="77777777" w:rsidR="00DF410E" w:rsidRDefault="00CE7F43">
      <w:pPr>
        <w:pStyle w:val="pheading"/>
      </w:pPr>
      <w:r>
        <w:t>MATÉRIAUX</w:t>
      </w:r>
    </w:p>
    <w:p w14:paraId="44303723" w14:textId="77777777" w:rsidR="00DF410E" w:rsidRDefault="00CE7F43">
      <w:pPr>
        <w:pStyle w:val="pheading"/>
      </w:pPr>
      <w:r>
        <w:t>- Caractéristiques générales</w:t>
      </w:r>
    </w:p>
    <w:p w14:paraId="08C00A57" w14:textId="77777777" w:rsidR="00DF410E" w:rsidRDefault="00CE7F43">
      <w:pPr>
        <w:jc w:val="both"/>
      </w:pPr>
      <w:r>
        <w:t>Barres d’armatures fabriquées à partir de résines thermodurcissables et de fibres de carbone, à taux volumique de fibres supérieur à 50 % :</w:t>
      </w:r>
    </w:p>
    <w:p w14:paraId="4A59702A" w14:textId="77777777" w:rsidR="00DF410E" w:rsidRDefault="00CE7F43">
      <w:pPr>
        <w:pStyle w:val="Author-eListParagraph"/>
        <w:numPr>
          <w:ilvl w:val="0"/>
          <w:numId w:val="646"/>
        </w:numPr>
      </w:pPr>
      <w:r>
        <w:t xml:space="preserve">Résistance à la traction, suivant la [ISO 10406-1] ≥ </w:t>
      </w:r>
      <w:r>
        <w:rPr>
          <w:rStyle w:val="optioncarChar"/>
        </w:rPr>
        <w:t xml:space="preserve">2000 / 2450 </w:t>
      </w:r>
      <w:r>
        <w:t>(par défaut)</w:t>
      </w:r>
      <w:r>
        <w:rPr>
          <w:rStyle w:val="optioncarChar"/>
        </w:rPr>
        <w:t xml:space="preserve"> / ***</w:t>
      </w:r>
      <w:r>
        <w:t xml:space="preserve"> MPa</w:t>
      </w:r>
    </w:p>
    <w:p w14:paraId="6430DCD0" w14:textId="77777777" w:rsidR="00DF410E" w:rsidRDefault="00CE7F43">
      <w:pPr>
        <w:pStyle w:val="Author-eListParagraph"/>
        <w:numPr>
          <w:ilvl w:val="0"/>
          <w:numId w:val="646"/>
        </w:numPr>
      </w:pPr>
      <w:r>
        <w:t xml:space="preserve">Module d’élasticité, suivant la [ISO 10406-1] ≥ </w:t>
      </w:r>
      <w:r>
        <w:rPr>
          <w:rStyle w:val="optioncarChar"/>
        </w:rPr>
        <w:t>100 / 130</w:t>
      </w:r>
      <w:r>
        <w:t xml:space="preserve"> (par défaut)</w:t>
      </w:r>
      <w:r>
        <w:rPr>
          <w:rStyle w:val="optioncarChar"/>
        </w:rPr>
        <w:t xml:space="preserve"> / 150 / ***</w:t>
      </w:r>
      <w:r>
        <w:t xml:space="preserve"> GPa</w:t>
      </w:r>
    </w:p>
    <w:p w14:paraId="4194046F" w14:textId="77777777" w:rsidR="00DF410E" w:rsidRDefault="00CE7F43">
      <w:pPr>
        <w:pStyle w:val="Author-eListParagraph"/>
        <w:numPr>
          <w:ilvl w:val="0"/>
          <w:numId w:val="646"/>
        </w:numPr>
      </w:pPr>
      <w:r>
        <w:t xml:space="preserve">Température critique de transition vitreuse, suivant la [NBN EN ISO 11357-2] ≥ </w:t>
      </w:r>
      <w:r>
        <w:rPr>
          <w:rStyle w:val="optioncarChar"/>
        </w:rPr>
        <w:t xml:space="preserve">70 </w:t>
      </w:r>
      <w:r>
        <w:t>(par défaut)</w:t>
      </w:r>
      <w:r>
        <w:rPr>
          <w:rStyle w:val="optioncarChar"/>
        </w:rPr>
        <w:t xml:space="preserve"> / 90 / ***</w:t>
      </w:r>
      <w:r>
        <w:t xml:space="preserve"> °C</w:t>
      </w:r>
    </w:p>
    <w:p w14:paraId="667AED3D" w14:textId="77777777" w:rsidR="00DF410E" w:rsidRDefault="00CE7F43">
      <w:pPr>
        <w:pStyle w:val="Author-eListParagraph"/>
        <w:numPr>
          <w:ilvl w:val="0"/>
          <w:numId w:val="646"/>
        </w:numPr>
      </w:pPr>
      <w:r>
        <w:t>Masse volumique : 1,8 g/cm³ , tolérance ± 0,2 g/cm³</w:t>
      </w:r>
    </w:p>
    <w:p w14:paraId="14EC31FA" w14:textId="77777777" w:rsidR="00DF410E" w:rsidRDefault="00CE7F43">
      <w:pPr>
        <w:pStyle w:val="Author-eListParagraph"/>
        <w:numPr>
          <w:ilvl w:val="0"/>
          <w:numId w:val="646"/>
        </w:numPr>
      </w:pPr>
      <w:r>
        <w:t xml:space="preserve">Allongement à la rupture, suivant la [ISO 10406-1] ≥ </w:t>
      </w:r>
      <w:r>
        <w:rPr>
          <w:rStyle w:val="optioncarChar"/>
        </w:rPr>
        <w:t xml:space="preserve">1,8 </w:t>
      </w:r>
      <w:r>
        <w:t>(par défaut)</w:t>
      </w:r>
      <w:r>
        <w:rPr>
          <w:rStyle w:val="optioncarChar"/>
        </w:rPr>
        <w:t xml:space="preserve"> / ***</w:t>
      </w:r>
      <w:r>
        <w:t xml:space="preserve"> %</w:t>
      </w:r>
    </w:p>
    <w:p w14:paraId="4445FE1D" w14:textId="77777777" w:rsidR="00DF410E" w:rsidRDefault="00CE7F43">
      <w:pPr>
        <w:pStyle w:val="Author-eListParagraph"/>
        <w:numPr>
          <w:ilvl w:val="0"/>
          <w:numId w:val="646"/>
        </w:numPr>
      </w:pPr>
      <w:r>
        <w:t xml:space="preserve">Diamètre des barres : </w:t>
      </w:r>
      <w:r>
        <w:rPr>
          <w:rStyle w:val="optioncarChar"/>
        </w:rPr>
        <w:t>selon les indications sur les plans de ferraillage</w:t>
      </w:r>
      <w:r>
        <w:t xml:space="preserve"> (par défaut)</w:t>
      </w:r>
      <w:r>
        <w:rPr>
          <w:rStyle w:val="optioncarChar"/>
        </w:rPr>
        <w:t xml:space="preserve"> / 3,5 / 5,5 / 7,5 / 10 / 12,5 / ***</w:t>
      </w:r>
      <w:r>
        <w:t xml:space="preserve"> mm, tolérance ± 0,5 mm</w:t>
      </w:r>
    </w:p>
    <w:p w14:paraId="4C328483" w14:textId="77777777" w:rsidR="00DF410E" w:rsidRDefault="00CE7F43">
      <w:pPr>
        <w:pStyle w:val="Author-eListParagraph"/>
        <w:numPr>
          <w:ilvl w:val="0"/>
          <w:numId w:val="646"/>
        </w:numPr>
      </w:pPr>
      <w:r>
        <w:t xml:space="preserve">Caractéristique de surface des barres : </w:t>
      </w:r>
      <w:r>
        <w:rPr>
          <w:rStyle w:val="optioncarChar"/>
        </w:rPr>
        <w:t xml:space="preserve">sablé </w:t>
      </w:r>
      <w:r>
        <w:t>(par défaut)</w:t>
      </w:r>
      <w:r>
        <w:rPr>
          <w:rStyle w:val="optioncarChar"/>
        </w:rPr>
        <w:t xml:space="preserve"> / relief de surface (type « crénelé »)</w:t>
      </w:r>
    </w:p>
    <w:p w14:paraId="49127799" w14:textId="77777777" w:rsidR="00DF410E" w:rsidRDefault="00CE7F43">
      <w:pPr>
        <w:pStyle w:val="pheading"/>
      </w:pPr>
      <w:r>
        <w:t>MESURAGE</w:t>
      </w:r>
    </w:p>
    <w:p w14:paraId="6482F289" w14:textId="77777777" w:rsidR="00DF410E" w:rsidRDefault="00CE7F43">
      <w:pPr>
        <w:pStyle w:val="pheading"/>
      </w:pPr>
      <w:r>
        <w:t>- unité de mesure:</w:t>
      </w:r>
    </w:p>
    <w:p w14:paraId="0E9F5654" w14:textId="77777777" w:rsidR="00DF410E" w:rsidRDefault="00CE7F43">
      <w:r>
        <w:rPr>
          <w:rStyle w:val="optioncarChar"/>
        </w:rPr>
        <w:t xml:space="preserve">- </w:t>
      </w:r>
      <w:r>
        <w:t>(par défaut)</w:t>
      </w:r>
      <w:r>
        <w:rPr>
          <w:rStyle w:val="optioncarChar"/>
        </w:rPr>
        <w:t xml:space="preserve"> / kg</w:t>
      </w:r>
    </w:p>
    <w:p w14:paraId="11BF7EDA" w14:textId="77777777" w:rsidR="00DF410E" w:rsidRDefault="00CE7F43">
      <w:r>
        <w:rPr>
          <w:b/>
        </w:rPr>
        <w:t>(soit par défaut)</w:t>
      </w:r>
      <w:r>
        <w:br/>
      </w:r>
      <w:r>
        <w:rPr>
          <w:rStyle w:val="soitChar"/>
        </w:rPr>
        <w:t>1. -</w:t>
      </w:r>
      <w:r>
        <w:br/>
      </w:r>
      <w:r>
        <w:rPr>
          <w:b/>
        </w:rPr>
        <w:t>(soit)</w:t>
      </w:r>
      <w:r>
        <w:br/>
      </w:r>
      <w:r>
        <w:rPr>
          <w:rStyle w:val="soitChar"/>
        </w:rPr>
        <w:t>2. 3. kg</w:t>
      </w:r>
    </w:p>
    <w:p w14:paraId="7A723CB8" w14:textId="77777777" w:rsidR="00DF410E" w:rsidRDefault="00CE7F43">
      <w:pPr>
        <w:pStyle w:val="pheading"/>
      </w:pPr>
      <w:r>
        <w:t>- code de mesurage:</w:t>
      </w:r>
    </w:p>
    <w:p w14:paraId="0B9062A5" w14:textId="77777777" w:rsidR="00DF410E" w:rsidRDefault="00CE7F43">
      <w:r>
        <w:rPr>
          <w:rStyle w:val="optioncarChar"/>
        </w:rPr>
        <w:t xml:space="preserve">Compris </w:t>
      </w:r>
      <w:r>
        <w:t>(par défaut)</w:t>
      </w:r>
      <w:r>
        <w:rPr>
          <w:rStyle w:val="optioncarChar"/>
        </w:rPr>
        <w:t xml:space="preserve"> / Masse nette</w:t>
      </w:r>
    </w:p>
    <w:p w14:paraId="3D251AE6" w14:textId="77777777" w:rsidR="00DF410E" w:rsidRDefault="00CE7F43">
      <w:r>
        <w:rPr>
          <w:b/>
        </w:rPr>
        <w:t>(soit par défaut)</w:t>
      </w:r>
      <w:r>
        <w:br/>
      </w:r>
      <w:r>
        <w:rPr>
          <w:rStyle w:val="soitChar"/>
        </w:rPr>
        <w:t xml:space="preserve">1. </w:t>
      </w:r>
      <w:r>
        <w:rPr>
          <w:rStyle w:val="soitChar"/>
          <w:u w:val="single"/>
        </w:rPr>
        <w:t>Compris</w:t>
      </w:r>
      <w:r>
        <w:rPr>
          <w:rStyle w:val="soitChar"/>
        </w:rPr>
        <w:t xml:space="preserve"> dans les prix unitaires des ouvrages en béton concernés dans l'/les article(s) </w:t>
      </w:r>
      <w:r>
        <w:rPr>
          <w:rStyle w:val="optioncarChar"/>
        </w:rPr>
        <w:t>***</w:t>
      </w:r>
      <w:r>
        <w:t>. </w:t>
      </w:r>
      <w:r>
        <w:br/>
      </w:r>
      <w:r>
        <w:rPr>
          <w:b/>
        </w:rPr>
        <w:t>(soit)</w:t>
      </w:r>
      <w:r>
        <w:br/>
      </w:r>
      <w:r>
        <w:rPr>
          <w:rStyle w:val="soitChar"/>
        </w:rPr>
        <w:t xml:space="preserve">2. 3. </w:t>
      </w:r>
      <w:r>
        <w:rPr>
          <w:rStyle w:val="soitChar"/>
          <w:u w:val="single"/>
        </w:rPr>
        <w:t>Masse nette</w:t>
      </w:r>
      <w:r>
        <w:rPr>
          <w:rStyle w:val="soitChar"/>
        </w:rPr>
        <w:t xml:space="preserve"> d’armatures à mettre en œuvre, pour toutes dimensions et sections.</w:t>
      </w:r>
    </w:p>
    <w:p w14:paraId="5385C3EB" w14:textId="77777777" w:rsidR="00DF410E" w:rsidRDefault="00CE7F43">
      <w:pPr>
        <w:pStyle w:val="pheading"/>
      </w:pPr>
      <w:r>
        <w:t>- nature du marché:</w:t>
      </w:r>
    </w:p>
    <w:p w14:paraId="4DB9EA75" w14:textId="77777777" w:rsidR="00DF410E" w:rsidRDefault="00CE7F43">
      <w:r>
        <w:rPr>
          <w:rStyle w:val="optioncarChar"/>
        </w:rPr>
        <w:t xml:space="preserve">PM </w:t>
      </w:r>
      <w:r>
        <w:t>(par défaut)</w:t>
      </w:r>
      <w:r>
        <w:rPr>
          <w:rStyle w:val="optioncarChar"/>
        </w:rPr>
        <w:t xml:space="preserve"> / QF / QP</w:t>
      </w:r>
    </w:p>
    <w:p w14:paraId="70646D68" w14:textId="77777777" w:rsidR="00DF410E" w:rsidRDefault="00CE7F43">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57C625FE" w14:textId="77777777" w:rsidR="00DF410E" w:rsidRDefault="00CE7F43">
      <w:pPr>
        <w:pStyle w:val="Author-eSectionHeading6"/>
      </w:pPr>
      <w:bookmarkStart w:id="951" w:name="_Toc178838094"/>
      <w:r>
        <w:t>22.51.4b Armatures additionnelles à base de plats métalliques CCTB 01.12</w:t>
      </w:r>
      <w:bookmarkEnd w:id="951"/>
    </w:p>
    <w:p w14:paraId="67AC5AD0" w14:textId="77777777" w:rsidR="00DF410E" w:rsidRDefault="00CE7F43">
      <w:pPr>
        <w:pStyle w:val="pheading"/>
      </w:pPr>
      <w:r>
        <w:t>DESCRIPTION</w:t>
      </w:r>
    </w:p>
    <w:p w14:paraId="5A24B9B9" w14:textId="77777777" w:rsidR="00DF410E" w:rsidRDefault="00CE7F43">
      <w:pPr>
        <w:pStyle w:val="pheading"/>
      </w:pPr>
      <w:r>
        <w:t>- Définition / Comprend</w:t>
      </w:r>
    </w:p>
    <w:p w14:paraId="4DF5D815" w14:textId="77777777" w:rsidR="00DF410E" w:rsidRDefault="00CE7F43">
      <w:pPr>
        <w:jc w:val="both"/>
      </w:pPr>
      <w:r>
        <w:t>Il s'agit de la fourniture et de la mise en œuvre d’armatures additionnelles à base de plats métalliques.</w:t>
      </w:r>
    </w:p>
    <w:p w14:paraId="6B6F6A5A" w14:textId="77777777" w:rsidR="00DF410E" w:rsidRDefault="00CE7F43">
      <w:pPr>
        <w:pStyle w:val="pheading"/>
      </w:pPr>
      <w:r>
        <w:t>MATÉRIAUX</w:t>
      </w:r>
    </w:p>
    <w:p w14:paraId="2C4FFEE6" w14:textId="77777777" w:rsidR="00DF410E" w:rsidRDefault="00CE7F43">
      <w:pPr>
        <w:pStyle w:val="pheading"/>
      </w:pPr>
      <w:r>
        <w:t>- Caractéristiques générales</w:t>
      </w:r>
    </w:p>
    <w:p w14:paraId="13F28F4E" w14:textId="77777777" w:rsidR="00DF410E" w:rsidRDefault="00CE7F43">
      <w:pPr>
        <w:jc w:val="both"/>
      </w:pPr>
      <w:r>
        <w:t>L'acier satisfait aux prescriptions de la [NBN EN 1993 série]. Le choix de la qualité d'acier se fait suivant les prescriptions de la [NBN EN 1993-1-10].</w:t>
      </w:r>
    </w:p>
    <w:p w14:paraId="5B705D54" w14:textId="77777777" w:rsidR="00DF410E" w:rsidRDefault="00CE7F43">
      <w:pPr>
        <w:pStyle w:val="Author-eListParagraph"/>
        <w:numPr>
          <w:ilvl w:val="0"/>
          <w:numId w:val="647"/>
        </w:numPr>
        <w:jc w:val="both"/>
      </w:pPr>
      <w:r>
        <w:t>Nuance d'acier, suivant la [NBN EN 10025 série] : </w:t>
      </w:r>
      <w:r>
        <w:rPr>
          <w:rStyle w:val="optioncarChar"/>
        </w:rPr>
        <w:t xml:space="preserve">S235 / S275 / S355 / S420 </w:t>
      </w:r>
      <w:r>
        <w:t>(par défaut)</w:t>
      </w:r>
      <w:r>
        <w:rPr>
          <w:rStyle w:val="optioncarChar"/>
        </w:rPr>
        <w:t xml:space="preserve"> / S460</w:t>
      </w:r>
    </w:p>
    <w:p w14:paraId="00B94FFD" w14:textId="77777777" w:rsidR="00DF410E" w:rsidRDefault="00CE7F43">
      <w:pPr>
        <w:pStyle w:val="Author-eListParagraph"/>
        <w:numPr>
          <w:ilvl w:val="0"/>
          <w:numId w:val="647"/>
        </w:numPr>
        <w:jc w:val="both"/>
      </w:pPr>
      <w:r>
        <w:t>Qualité d’acier, suivant la [NBN EN 10025 série] : désignation </w:t>
      </w:r>
      <w:r>
        <w:rPr>
          <w:rStyle w:val="optioncarChar"/>
        </w:rPr>
        <w:t>JR / J0</w:t>
      </w:r>
      <w:r>
        <w:t xml:space="preserve"> (par défaut)</w:t>
      </w:r>
      <w:r>
        <w:rPr>
          <w:rStyle w:val="optioncarChar"/>
        </w:rPr>
        <w:t xml:space="preserve"> / J2 / KR / K0 / K2 / N / NL / M / ML / W / P / Q / QL / QL1 </w:t>
      </w:r>
    </w:p>
    <w:p w14:paraId="603E42AC" w14:textId="77777777" w:rsidR="00DF410E" w:rsidRDefault="00CE7F43">
      <w:pPr>
        <w:pStyle w:val="Author-eListParagraph"/>
        <w:numPr>
          <w:ilvl w:val="0"/>
          <w:numId w:val="647"/>
        </w:numPr>
        <w:jc w:val="both"/>
      </w:pPr>
      <w:r>
        <w:t>Masse volumique, suivant la [NBN EN 1993-1-1] : 7850 kg/m³ </w:t>
      </w:r>
    </w:p>
    <w:p w14:paraId="4F90AF4E" w14:textId="77777777" w:rsidR="00DF410E" w:rsidRDefault="00CE7F43">
      <w:pPr>
        <w:pStyle w:val="Author-eListParagraph"/>
        <w:numPr>
          <w:ilvl w:val="0"/>
          <w:numId w:val="647"/>
        </w:numPr>
        <w:jc w:val="both"/>
      </w:pPr>
      <w:r>
        <w:t xml:space="preserve">Largeur, épaisseur et dimensions : </w:t>
      </w:r>
      <w:r>
        <w:rPr>
          <w:rStyle w:val="optioncarChar"/>
        </w:rPr>
        <w:t xml:space="preserve">selon les indications sur les plans de ferraillage </w:t>
      </w:r>
      <w:r>
        <w:t>(par défaut)</w:t>
      </w:r>
      <w:r>
        <w:rPr>
          <w:rStyle w:val="optioncarChar"/>
        </w:rPr>
        <w:t xml:space="preserve"> / *** </w:t>
      </w:r>
      <w:r>
        <w:t>mm</w:t>
      </w:r>
    </w:p>
    <w:p w14:paraId="7CA21B13" w14:textId="77777777" w:rsidR="00DF410E" w:rsidRDefault="00CE7F43">
      <w:pPr>
        <w:pStyle w:val="pheading"/>
      </w:pPr>
      <w:r>
        <w:t>DOCUMENTS DE RÉFÉRENCE COMPLÉMENTAIRES</w:t>
      </w:r>
    </w:p>
    <w:p w14:paraId="71F59CA3" w14:textId="77777777" w:rsidR="00DF410E" w:rsidRDefault="00CE7F43">
      <w:pPr>
        <w:pStyle w:val="pheading"/>
      </w:pPr>
      <w:r>
        <w:t>- Matériau</w:t>
      </w:r>
    </w:p>
    <w:p w14:paraId="7687196A" w14:textId="77777777" w:rsidR="00DF410E" w:rsidRDefault="00CE7F43">
      <w:r>
        <w:t>[NBN EN 10025 série, Produits laminés à chaud en aciers de construction]</w:t>
      </w:r>
    </w:p>
    <w:p w14:paraId="37E6EF9E" w14:textId="77777777" w:rsidR="00DF410E" w:rsidRDefault="00CE7F43">
      <w:r>
        <w:t>[NBN EN 10058, Plats et larges plats en acier laminés à chaud pour usages généraux - Dimensions et tolérances sur la forme et les dimensions]</w:t>
      </w:r>
    </w:p>
    <w:p w14:paraId="318360D5" w14:textId="77777777" w:rsidR="00DF410E" w:rsidRDefault="00CE7F43">
      <w:pPr>
        <w:pStyle w:val="pheading"/>
      </w:pPr>
      <w:r>
        <w:t>MESURAGE</w:t>
      </w:r>
    </w:p>
    <w:p w14:paraId="18269C74" w14:textId="77777777" w:rsidR="00DF410E" w:rsidRDefault="00CE7F43">
      <w:pPr>
        <w:pStyle w:val="pheading"/>
      </w:pPr>
      <w:r>
        <w:t>- unité de mesure:</w:t>
      </w:r>
    </w:p>
    <w:p w14:paraId="1C4CD626" w14:textId="77777777" w:rsidR="00DF410E" w:rsidRDefault="00CE7F43">
      <w:r>
        <w:rPr>
          <w:rStyle w:val="optioncarChar"/>
        </w:rPr>
        <w:t>- </w:t>
      </w:r>
      <w:r>
        <w:t>(par défaut)</w:t>
      </w:r>
      <w:r>
        <w:rPr>
          <w:rStyle w:val="optioncarChar"/>
        </w:rPr>
        <w:t> / kg</w:t>
      </w:r>
    </w:p>
    <w:p w14:paraId="4AC038A2" w14:textId="77777777" w:rsidR="00DF410E" w:rsidRDefault="00CE7F43">
      <w:r>
        <w:rPr>
          <w:b/>
        </w:rPr>
        <w:t>(soit par défaut)</w:t>
      </w:r>
      <w:r>
        <w:br/>
      </w:r>
      <w:r>
        <w:rPr>
          <w:rStyle w:val="soitChar"/>
        </w:rPr>
        <w:t>1. -</w:t>
      </w:r>
      <w:r>
        <w:br/>
      </w:r>
      <w:r>
        <w:rPr>
          <w:b/>
        </w:rPr>
        <w:t>(soit)</w:t>
      </w:r>
      <w:r>
        <w:br/>
      </w:r>
      <w:r>
        <w:rPr>
          <w:rStyle w:val="soitChar"/>
        </w:rPr>
        <w:t>2. 3. kg</w:t>
      </w:r>
    </w:p>
    <w:p w14:paraId="4B498DF8" w14:textId="77777777" w:rsidR="00DF410E" w:rsidRDefault="00CE7F43">
      <w:pPr>
        <w:pStyle w:val="pheading"/>
      </w:pPr>
      <w:r>
        <w:t>- code de mesurage:</w:t>
      </w:r>
    </w:p>
    <w:p w14:paraId="5FD84B3E" w14:textId="77777777" w:rsidR="00DF410E" w:rsidRDefault="00CE7F43">
      <w:r>
        <w:rPr>
          <w:rStyle w:val="optioncarChar"/>
        </w:rPr>
        <w:t>Compris </w:t>
      </w:r>
      <w:r>
        <w:t>(par défaut)</w:t>
      </w:r>
      <w:r>
        <w:rPr>
          <w:rStyle w:val="optioncarChar"/>
        </w:rPr>
        <w:t> / Masse nette</w:t>
      </w:r>
    </w:p>
    <w:p w14:paraId="07CB75CC" w14:textId="77777777" w:rsidR="00DF410E" w:rsidRDefault="00CE7F43">
      <w:r>
        <w:rPr>
          <w:b/>
        </w:rPr>
        <w:t>(soit par défaut)</w:t>
      </w:r>
      <w:r>
        <w:br/>
      </w:r>
      <w:r>
        <w:rPr>
          <w:rStyle w:val="soitChar"/>
        </w:rPr>
        <w:t>1. </w:t>
      </w:r>
      <w:r>
        <w:rPr>
          <w:rStyle w:val="soitChar"/>
          <w:u w:val="single"/>
        </w:rPr>
        <w:t>Compris</w:t>
      </w:r>
      <w:r>
        <w:rPr>
          <w:rStyle w:val="soitChar"/>
        </w:rPr>
        <w:t> dans les prix unitaires des ouvrages en béton concernés dans l'/les article(s) </w:t>
      </w:r>
      <w:r>
        <w:t> </w:t>
      </w:r>
      <w:r>
        <w:rPr>
          <w:rStyle w:val="optioncarChar"/>
        </w:rPr>
        <w:t>***</w:t>
      </w:r>
      <w:r>
        <w:t>. </w:t>
      </w:r>
      <w:r>
        <w:br/>
      </w:r>
      <w:r>
        <w:rPr>
          <w:b/>
        </w:rPr>
        <w:t>(soit)</w:t>
      </w:r>
      <w:r>
        <w:br/>
      </w:r>
      <w:r>
        <w:rPr>
          <w:rStyle w:val="soitChar"/>
        </w:rPr>
        <w:t>2. 3. </w:t>
      </w:r>
      <w:r>
        <w:rPr>
          <w:rStyle w:val="soitChar"/>
          <w:u w:val="single"/>
        </w:rPr>
        <w:t>Masse nette</w:t>
      </w:r>
      <w:r>
        <w:rPr>
          <w:rStyle w:val="soitChar"/>
        </w:rPr>
        <w:t> d’acier à mettre en œuvre, pour toutes dimensions et sections.</w:t>
      </w:r>
    </w:p>
    <w:p w14:paraId="2372D8A5" w14:textId="77777777" w:rsidR="00DF410E" w:rsidRDefault="00CE7F43">
      <w:pPr>
        <w:pStyle w:val="pheading"/>
      </w:pPr>
      <w:r>
        <w:t>- nature du marché:</w:t>
      </w:r>
    </w:p>
    <w:p w14:paraId="07EDFB00" w14:textId="77777777" w:rsidR="00DF410E" w:rsidRDefault="00CE7F43">
      <w:r>
        <w:rPr>
          <w:rStyle w:val="optioncarChar"/>
        </w:rPr>
        <w:t>PM </w:t>
      </w:r>
      <w:r>
        <w:t>(par défaut)</w:t>
      </w:r>
      <w:r>
        <w:rPr>
          <w:rStyle w:val="optioncarChar"/>
        </w:rPr>
        <w:t> / QF / QP</w:t>
      </w:r>
    </w:p>
    <w:p w14:paraId="4FC2E64C" w14:textId="77777777" w:rsidR="00DF410E" w:rsidRDefault="00CE7F43">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0309CD67" w14:textId="77777777" w:rsidR="00DF410E" w:rsidRDefault="00CE7F43">
      <w:pPr>
        <w:pStyle w:val="Author-eSectionHeading6"/>
      </w:pPr>
      <w:bookmarkStart w:id="952" w:name="_Toc178838095"/>
      <w:r>
        <w:t>22.51.4c Armatures additionnelles à base de fibre de verre CCTB 01.12</w:t>
      </w:r>
      <w:bookmarkEnd w:id="952"/>
    </w:p>
    <w:p w14:paraId="2A198917" w14:textId="77777777" w:rsidR="00DF410E" w:rsidRDefault="00CE7F43">
      <w:pPr>
        <w:pStyle w:val="pheading"/>
      </w:pPr>
      <w:r>
        <w:t>DESCRIPTION</w:t>
      </w:r>
    </w:p>
    <w:p w14:paraId="30ACF254" w14:textId="77777777" w:rsidR="00DF410E" w:rsidRDefault="00CE7F43">
      <w:pPr>
        <w:pStyle w:val="pheading"/>
      </w:pPr>
      <w:r>
        <w:t>- Définition / Comprend</w:t>
      </w:r>
    </w:p>
    <w:p w14:paraId="75D9491E" w14:textId="77777777" w:rsidR="00DF410E" w:rsidRDefault="00CE7F43">
      <w:pPr>
        <w:jc w:val="both"/>
      </w:pPr>
      <w:r>
        <w:t>Il s'agit de la fourniture et de la mise en œuvre d’armatures additionnelles à base de fibres de verre.</w:t>
      </w:r>
    </w:p>
    <w:p w14:paraId="2BD7047A" w14:textId="77777777" w:rsidR="00DF410E" w:rsidRDefault="00CE7F43">
      <w:pPr>
        <w:pStyle w:val="pheading"/>
      </w:pPr>
      <w:r>
        <w:t>MATÉRIAUX</w:t>
      </w:r>
    </w:p>
    <w:p w14:paraId="72D38A78" w14:textId="77777777" w:rsidR="00DF410E" w:rsidRDefault="00CE7F43">
      <w:pPr>
        <w:pStyle w:val="pheading"/>
      </w:pPr>
      <w:r>
        <w:t>- Caractéristiques générales</w:t>
      </w:r>
    </w:p>
    <w:p w14:paraId="387408BE" w14:textId="77777777" w:rsidR="00DF410E" w:rsidRDefault="00CE7F43">
      <w:pPr>
        <w:jc w:val="both"/>
      </w:pPr>
      <w:r>
        <w:t>Barres d’armatures fabriquées à partir de résines thermodurcissables et de fibres de verre, à taux volumique de fibres supérieur à 50 % :</w:t>
      </w:r>
    </w:p>
    <w:p w14:paraId="56803145" w14:textId="77777777" w:rsidR="00DF410E" w:rsidRDefault="00CE7F43">
      <w:pPr>
        <w:pStyle w:val="Author-eListParagraph"/>
        <w:numPr>
          <w:ilvl w:val="0"/>
          <w:numId w:val="648"/>
        </w:numPr>
        <w:jc w:val="both"/>
      </w:pPr>
      <w:r>
        <w:t xml:space="preserve">Résistance à la traction, suivant la [ISO 10406-1] ≥ </w:t>
      </w:r>
      <w:r>
        <w:rPr>
          <w:rStyle w:val="optioncarChar"/>
        </w:rPr>
        <w:t xml:space="preserve">700 / 800 </w:t>
      </w:r>
      <w:r>
        <w:t xml:space="preserve">(par défaut) </w:t>
      </w:r>
      <w:r>
        <w:rPr>
          <w:rStyle w:val="optioncarChar"/>
        </w:rPr>
        <w:t>/ 900 / 1000 / 1100 / ***</w:t>
      </w:r>
      <w:r>
        <w:t xml:space="preserve"> MPa</w:t>
      </w:r>
    </w:p>
    <w:p w14:paraId="0EEF1284" w14:textId="77777777" w:rsidR="00DF410E" w:rsidRDefault="00CE7F43">
      <w:pPr>
        <w:pStyle w:val="Author-eListParagraph"/>
        <w:numPr>
          <w:ilvl w:val="0"/>
          <w:numId w:val="648"/>
        </w:numPr>
        <w:jc w:val="both"/>
      </w:pPr>
      <w:r>
        <w:t xml:space="preserve">Module d’élasticité, suivant la [ISO 10406-1] ≥ </w:t>
      </w:r>
      <w:r>
        <w:rPr>
          <w:rStyle w:val="optioncarChar"/>
        </w:rPr>
        <w:t>40 / 46</w:t>
      </w:r>
      <w:r>
        <w:t xml:space="preserve"> (par défaut)</w:t>
      </w:r>
      <w:r>
        <w:rPr>
          <w:rStyle w:val="optioncarChar"/>
        </w:rPr>
        <w:t xml:space="preserve"> / 50 / 60 / ***</w:t>
      </w:r>
      <w:r>
        <w:t xml:space="preserve"> GPa</w:t>
      </w:r>
    </w:p>
    <w:p w14:paraId="04A5FB64" w14:textId="77777777" w:rsidR="00DF410E" w:rsidRDefault="00CE7F43">
      <w:pPr>
        <w:pStyle w:val="Author-eListParagraph"/>
        <w:numPr>
          <w:ilvl w:val="0"/>
          <w:numId w:val="648"/>
        </w:numPr>
        <w:jc w:val="both"/>
      </w:pPr>
      <w:r>
        <w:t xml:space="preserve">Résistance au cisaillement, suivant la [ISO 10406-1] ≥ </w:t>
      </w:r>
      <w:r>
        <w:rPr>
          <w:rStyle w:val="optioncarChar"/>
        </w:rPr>
        <w:t xml:space="preserve">150 </w:t>
      </w:r>
      <w:r>
        <w:t>(par défaut)</w:t>
      </w:r>
      <w:r>
        <w:rPr>
          <w:rStyle w:val="optioncarChar"/>
        </w:rPr>
        <w:t xml:space="preserve"> / 160 / 179 / 180 / ***</w:t>
      </w:r>
      <w:r>
        <w:t xml:space="preserve"> MPa</w:t>
      </w:r>
    </w:p>
    <w:p w14:paraId="6EA9EFF6" w14:textId="77777777" w:rsidR="00DF410E" w:rsidRDefault="00CE7F43">
      <w:pPr>
        <w:pStyle w:val="Author-eListParagraph"/>
        <w:numPr>
          <w:ilvl w:val="0"/>
          <w:numId w:val="648"/>
        </w:numPr>
        <w:jc w:val="both"/>
      </w:pPr>
      <w:r>
        <w:t xml:space="preserve">Température critique de transition vitreuse, suivant la [NBN EN ISO 11357-2] ≥ </w:t>
      </w:r>
      <w:r>
        <w:rPr>
          <w:rStyle w:val="optioncarChar"/>
        </w:rPr>
        <w:t>110</w:t>
      </w:r>
      <w:r>
        <w:t xml:space="preserve"> (par défaut)</w:t>
      </w:r>
      <w:r>
        <w:rPr>
          <w:rStyle w:val="optioncarChar"/>
        </w:rPr>
        <w:t xml:space="preserve"> / 120 / ***</w:t>
      </w:r>
      <w:r>
        <w:t xml:space="preserve"> °C</w:t>
      </w:r>
    </w:p>
    <w:p w14:paraId="086798E5" w14:textId="77777777" w:rsidR="00DF410E" w:rsidRDefault="00CE7F43">
      <w:pPr>
        <w:pStyle w:val="Author-eListParagraph"/>
        <w:numPr>
          <w:ilvl w:val="0"/>
          <w:numId w:val="648"/>
        </w:numPr>
        <w:jc w:val="both"/>
      </w:pPr>
      <w:r>
        <w:t>Masse volumique : 2 g/cm³, tolérance ± 0,2 g/cm³</w:t>
      </w:r>
    </w:p>
    <w:p w14:paraId="09614BA8" w14:textId="77777777" w:rsidR="00DF410E" w:rsidRDefault="00CE7F43">
      <w:pPr>
        <w:pStyle w:val="Author-eListParagraph"/>
        <w:numPr>
          <w:ilvl w:val="0"/>
          <w:numId w:val="648"/>
        </w:numPr>
        <w:jc w:val="both"/>
      </w:pPr>
      <w:r>
        <w:t xml:space="preserve">Diamètre nominal des barres ≥ </w:t>
      </w:r>
      <w:r>
        <w:rPr>
          <w:rStyle w:val="optioncarChar"/>
        </w:rPr>
        <w:t>selon les indications sur les plans de ferraillage</w:t>
      </w:r>
      <w:r>
        <w:t xml:space="preserve"> (par défaut)</w:t>
      </w:r>
      <w:r>
        <w:rPr>
          <w:rStyle w:val="optioncarChar"/>
        </w:rPr>
        <w:t xml:space="preserve"> / 6 / 8 / 10 / 12 / 15 / 16 / 20 / 22 / 25 / 30 / 32 / 40 / ***</w:t>
      </w:r>
      <w:r>
        <w:t xml:space="preserve"> mm</w:t>
      </w:r>
    </w:p>
    <w:p w14:paraId="74A023ED" w14:textId="77777777" w:rsidR="00DF410E" w:rsidRDefault="00CE7F43">
      <w:pPr>
        <w:pStyle w:val="Author-eListParagraph"/>
        <w:numPr>
          <w:ilvl w:val="0"/>
          <w:numId w:val="648"/>
        </w:numPr>
        <w:jc w:val="both"/>
      </w:pPr>
      <w:r>
        <w:t xml:space="preserve">Caractéristique de surface des barres : </w:t>
      </w:r>
      <w:r>
        <w:rPr>
          <w:rStyle w:val="optioncarChar"/>
        </w:rPr>
        <w:t>sablé</w:t>
      </w:r>
      <w:r>
        <w:t xml:space="preserve"> (par défaut) </w:t>
      </w:r>
      <w:r>
        <w:rPr>
          <w:rStyle w:val="optioncarChar"/>
        </w:rPr>
        <w:t>/ relief de surface (type « crénelé »)</w:t>
      </w:r>
    </w:p>
    <w:p w14:paraId="3E8F2845" w14:textId="77777777" w:rsidR="00DF410E" w:rsidRDefault="00CE7F43">
      <w:pPr>
        <w:pStyle w:val="Author-eListParagraph"/>
        <w:numPr>
          <w:ilvl w:val="0"/>
          <w:numId w:val="648"/>
        </w:numPr>
        <w:jc w:val="both"/>
      </w:pPr>
      <w:r>
        <w:t xml:space="preserve">Les extrémités des barres sont terminées avec des têtes d’ancrage : </w:t>
      </w:r>
      <w:r>
        <w:rPr>
          <w:rStyle w:val="optioncarChar"/>
        </w:rPr>
        <w:t>non</w:t>
      </w:r>
      <w:r>
        <w:t xml:space="preserve"> (par défaut) </w:t>
      </w:r>
      <w:r>
        <w:rPr>
          <w:rStyle w:val="optioncarChar"/>
        </w:rPr>
        <w:t>/ oui</w:t>
      </w:r>
    </w:p>
    <w:p w14:paraId="1508AB92" w14:textId="77777777" w:rsidR="00DF410E" w:rsidRDefault="00CE7F43">
      <w:pPr>
        <w:pStyle w:val="pheading"/>
      </w:pPr>
      <w:r>
        <w:t>MESURAGE</w:t>
      </w:r>
    </w:p>
    <w:p w14:paraId="08AAC4FA" w14:textId="77777777" w:rsidR="00DF410E" w:rsidRDefault="00CE7F43">
      <w:pPr>
        <w:pStyle w:val="pheading"/>
      </w:pPr>
      <w:r>
        <w:t>- unité de mesure:</w:t>
      </w:r>
    </w:p>
    <w:p w14:paraId="1A53627F" w14:textId="77777777" w:rsidR="00DF410E" w:rsidRDefault="00CE7F43">
      <w:r>
        <w:rPr>
          <w:rStyle w:val="optioncarChar"/>
        </w:rPr>
        <w:t>- </w:t>
      </w:r>
      <w:r>
        <w:t>(par défaut)</w:t>
      </w:r>
      <w:r>
        <w:rPr>
          <w:rStyle w:val="optioncarChar"/>
        </w:rPr>
        <w:t> / kg</w:t>
      </w:r>
    </w:p>
    <w:p w14:paraId="0BF6540B" w14:textId="77777777" w:rsidR="00DF410E" w:rsidRDefault="00CE7F43">
      <w:r>
        <w:rPr>
          <w:b/>
        </w:rPr>
        <w:t>(soit par défaut)</w:t>
      </w:r>
      <w:r>
        <w:br/>
      </w:r>
      <w:r>
        <w:rPr>
          <w:rStyle w:val="soitChar"/>
        </w:rPr>
        <w:t>1. -</w:t>
      </w:r>
      <w:r>
        <w:br/>
      </w:r>
      <w:r>
        <w:rPr>
          <w:b/>
        </w:rPr>
        <w:t>(soit)</w:t>
      </w:r>
      <w:r>
        <w:br/>
      </w:r>
      <w:r>
        <w:rPr>
          <w:rStyle w:val="soitChar"/>
        </w:rPr>
        <w:t>2. 3. kg</w:t>
      </w:r>
    </w:p>
    <w:p w14:paraId="0402DC6D" w14:textId="77777777" w:rsidR="00DF410E" w:rsidRDefault="00CE7F43">
      <w:pPr>
        <w:pStyle w:val="pheading"/>
      </w:pPr>
      <w:r>
        <w:t>- code de mesurage:</w:t>
      </w:r>
    </w:p>
    <w:p w14:paraId="7CCEFE70" w14:textId="77777777" w:rsidR="00DF410E" w:rsidRDefault="00CE7F43">
      <w:r>
        <w:rPr>
          <w:rStyle w:val="optioncarChar"/>
        </w:rPr>
        <w:t>Compris </w:t>
      </w:r>
      <w:r>
        <w:t>(par défaut)</w:t>
      </w:r>
      <w:r>
        <w:rPr>
          <w:rStyle w:val="optioncarChar"/>
        </w:rPr>
        <w:t> / Masse nette</w:t>
      </w:r>
    </w:p>
    <w:p w14:paraId="2C03FB69" w14:textId="77777777" w:rsidR="00DF410E" w:rsidRDefault="00CE7F43">
      <w:r>
        <w:rPr>
          <w:b/>
        </w:rPr>
        <w:t>(soit par défaut)</w:t>
      </w:r>
      <w:r>
        <w:br/>
      </w:r>
      <w:r>
        <w:rPr>
          <w:rStyle w:val="soitChar"/>
        </w:rPr>
        <w:t>1. </w:t>
      </w:r>
      <w:r>
        <w:rPr>
          <w:rStyle w:val="soitChar"/>
          <w:u w:val="single"/>
        </w:rPr>
        <w:t>Compris</w:t>
      </w:r>
      <w:r>
        <w:rPr>
          <w:rStyle w:val="soitChar"/>
        </w:rPr>
        <w:t> dans les prix unitaires des ouvrages en béton concernés dans l'/les article(s) </w:t>
      </w:r>
      <w:r>
        <w:t> </w:t>
      </w:r>
      <w:r>
        <w:rPr>
          <w:rStyle w:val="optioncarChar"/>
        </w:rPr>
        <w:t>***</w:t>
      </w:r>
      <w:r>
        <w:t>. </w:t>
      </w:r>
      <w:r>
        <w:br/>
      </w:r>
      <w:r>
        <w:rPr>
          <w:b/>
        </w:rPr>
        <w:t>(soit)</w:t>
      </w:r>
      <w:r>
        <w:br/>
      </w:r>
      <w:r>
        <w:rPr>
          <w:rStyle w:val="soitChar"/>
        </w:rPr>
        <w:t>2. 3. </w:t>
      </w:r>
      <w:r>
        <w:rPr>
          <w:rStyle w:val="soitChar"/>
          <w:u w:val="single"/>
        </w:rPr>
        <w:t>Masse nette</w:t>
      </w:r>
      <w:r>
        <w:rPr>
          <w:rStyle w:val="soitChar"/>
        </w:rPr>
        <w:t> d’armatures à mettre en œuvre, pour toutes dimensions et sections.</w:t>
      </w:r>
    </w:p>
    <w:p w14:paraId="2FD0B433" w14:textId="77777777" w:rsidR="00DF410E" w:rsidRDefault="00CE7F43">
      <w:pPr>
        <w:pStyle w:val="pheading"/>
      </w:pPr>
      <w:r>
        <w:t>- nature du marché:</w:t>
      </w:r>
    </w:p>
    <w:p w14:paraId="749DE62F" w14:textId="77777777" w:rsidR="00DF410E" w:rsidRDefault="00CE7F43">
      <w:r>
        <w:rPr>
          <w:rStyle w:val="optioncarChar"/>
        </w:rPr>
        <w:t>PM </w:t>
      </w:r>
      <w:r>
        <w:t>(par défaut)</w:t>
      </w:r>
      <w:r>
        <w:rPr>
          <w:rStyle w:val="optioncarChar"/>
        </w:rPr>
        <w:t> / QF / QP</w:t>
      </w:r>
    </w:p>
    <w:p w14:paraId="68949B39" w14:textId="77777777" w:rsidR="00DF410E" w:rsidRDefault="00CE7F43">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2813C72E" w14:textId="77777777" w:rsidR="00DF410E" w:rsidRDefault="00CE7F43">
      <w:pPr>
        <w:pStyle w:val="Author-eSectionHeading6"/>
      </w:pPr>
      <w:bookmarkStart w:id="953" w:name="_Toc178838096"/>
      <w:r>
        <w:t>22.51.4d Armatures additionnelles à base de fibre d’aramide CCTB 01.12</w:t>
      </w:r>
      <w:bookmarkEnd w:id="953"/>
    </w:p>
    <w:p w14:paraId="19CCF1A7" w14:textId="77777777" w:rsidR="00DF410E" w:rsidRDefault="00CE7F43">
      <w:pPr>
        <w:pStyle w:val="pheading"/>
      </w:pPr>
      <w:r>
        <w:t>DESCRIPTION</w:t>
      </w:r>
    </w:p>
    <w:p w14:paraId="665F4126" w14:textId="77777777" w:rsidR="00DF410E" w:rsidRDefault="00CE7F43">
      <w:pPr>
        <w:pStyle w:val="pheading"/>
      </w:pPr>
      <w:r>
        <w:t>- Définition / Comprend</w:t>
      </w:r>
    </w:p>
    <w:p w14:paraId="6F533275" w14:textId="77777777" w:rsidR="00DF410E" w:rsidRDefault="00CE7F43">
      <w:r>
        <w:t>Il s'agit de la fourniture et de la mise en œuvre d’armatures à base de fibres d’aramide.</w:t>
      </w:r>
    </w:p>
    <w:p w14:paraId="65C3A2AB" w14:textId="77777777" w:rsidR="00DF410E" w:rsidRDefault="00CE7F43">
      <w:pPr>
        <w:pStyle w:val="pheading"/>
      </w:pPr>
      <w:r>
        <w:t>MATÉRIAUX</w:t>
      </w:r>
    </w:p>
    <w:p w14:paraId="1D44772E" w14:textId="77777777" w:rsidR="00DF410E" w:rsidRDefault="00CE7F43">
      <w:pPr>
        <w:pStyle w:val="pheading"/>
      </w:pPr>
      <w:r>
        <w:t>- Caractéristiques générales</w:t>
      </w:r>
    </w:p>
    <w:p w14:paraId="669CD941" w14:textId="77777777" w:rsidR="00DF410E" w:rsidRDefault="00CE7F43">
      <w:pPr>
        <w:jc w:val="both"/>
      </w:pPr>
      <w:r>
        <w:t>Barres d’armatures fabriquées à partir de résines thermodurcissables et de fibres d’aramide, à taux volumique de fibres supérieur à 50 % :</w:t>
      </w:r>
    </w:p>
    <w:p w14:paraId="2A477FA3" w14:textId="77777777" w:rsidR="00DF410E" w:rsidRDefault="00CE7F43">
      <w:pPr>
        <w:pStyle w:val="Author-eListParagraph"/>
        <w:numPr>
          <w:ilvl w:val="0"/>
          <w:numId w:val="649"/>
        </w:numPr>
        <w:jc w:val="both"/>
      </w:pPr>
      <w:r>
        <w:t xml:space="preserve">Résistance à la traction, suivant la [ISO 10406-1] ≥ </w:t>
      </w:r>
      <w:r>
        <w:rPr>
          <w:rStyle w:val="optioncarChar"/>
        </w:rPr>
        <w:t xml:space="preserve">1800 </w:t>
      </w:r>
      <w:r>
        <w:t>(par défaut)</w:t>
      </w:r>
      <w:r>
        <w:rPr>
          <w:rStyle w:val="optioncarChar"/>
        </w:rPr>
        <w:t xml:space="preserve"> / 1850 / ***</w:t>
      </w:r>
      <w:r>
        <w:t xml:space="preserve"> MPa</w:t>
      </w:r>
    </w:p>
    <w:p w14:paraId="13F84EB5" w14:textId="77777777" w:rsidR="00DF410E" w:rsidRDefault="00CE7F43">
      <w:pPr>
        <w:pStyle w:val="Author-eListParagraph"/>
        <w:numPr>
          <w:ilvl w:val="0"/>
          <w:numId w:val="649"/>
        </w:numPr>
        <w:jc w:val="both"/>
      </w:pPr>
      <w:r>
        <w:t xml:space="preserve">Module d’élasticité, suivant la [ISO 10406-1] ≥ </w:t>
      </w:r>
      <w:r>
        <w:rPr>
          <w:rStyle w:val="optioncarChar"/>
        </w:rPr>
        <w:t xml:space="preserve">65 </w:t>
      </w:r>
      <w:r>
        <w:t>(par défaut)</w:t>
      </w:r>
      <w:r>
        <w:rPr>
          <w:rStyle w:val="optioncarChar"/>
        </w:rPr>
        <w:t xml:space="preserve"> / 68 / ***</w:t>
      </w:r>
      <w:r>
        <w:t xml:space="preserve"> GPa</w:t>
      </w:r>
    </w:p>
    <w:p w14:paraId="37F03BF6" w14:textId="77777777" w:rsidR="00DF410E" w:rsidRDefault="00CE7F43">
      <w:pPr>
        <w:pStyle w:val="Author-eListParagraph"/>
        <w:numPr>
          <w:ilvl w:val="0"/>
          <w:numId w:val="649"/>
        </w:numPr>
        <w:jc w:val="both"/>
      </w:pPr>
      <w:r>
        <w:t xml:space="preserve">Température critique de transition vitreuse, suivant la [NBN EN ISO 11357-2] ≥ </w:t>
      </w:r>
      <w:r>
        <w:rPr>
          <w:rStyle w:val="optioncarChar"/>
        </w:rPr>
        <w:t xml:space="preserve">65 </w:t>
      </w:r>
      <w:r>
        <w:t>(par défaut)</w:t>
      </w:r>
      <w:r>
        <w:rPr>
          <w:rStyle w:val="optioncarChar"/>
        </w:rPr>
        <w:t xml:space="preserve"> / 70 / ***</w:t>
      </w:r>
      <w:r>
        <w:t xml:space="preserve"> °C</w:t>
      </w:r>
    </w:p>
    <w:p w14:paraId="16392DC7" w14:textId="77777777" w:rsidR="00DF410E" w:rsidRDefault="00CE7F43">
      <w:pPr>
        <w:pStyle w:val="Author-eListParagraph"/>
        <w:numPr>
          <w:ilvl w:val="0"/>
          <w:numId w:val="649"/>
        </w:numPr>
        <w:jc w:val="both"/>
      </w:pPr>
      <w:r>
        <w:t xml:space="preserve">Allongement à la rupture, suivant la [ISO 10406-1] ≥ </w:t>
      </w:r>
      <w:r>
        <w:rPr>
          <w:rStyle w:val="optioncarChar"/>
        </w:rPr>
        <w:t>2,3</w:t>
      </w:r>
      <w:r>
        <w:t xml:space="preserve"> (par défaut)</w:t>
      </w:r>
      <w:r>
        <w:rPr>
          <w:rStyle w:val="optioncarChar"/>
        </w:rPr>
        <w:t xml:space="preserve"> / 3,9 / ***</w:t>
      </w:r>
      <w:r>
        <w:t xml:space="preserve"> %</w:t>
      </w:r>
    </w:p>
    <w:p w14:paraId="2A9DE3DE" w14:textId="77777777" w:rsidR="00DF410E" w:rsidRDefault="00CE7F43">
      <w:pPr>
        <w:pStyle w:val="Author-eListParagraph"/>
        <w:numPr>
          <w:ilvl w:val="0"/>
          <w:numId w:val="649"/>
        </w:numPr>
        <w:jc w:val="both"/>
      </w:pPr>
      <w:r>
        <w:t>Masse volumique : 1,4 g/cm³, tolérance ± 0,2 g/cm³</w:t>
      </w:r>
    </w:p>
    <w:p w14:paraId="063B7473" w14:textId="77777777" w:rsidR="00DF410E" w:rsidRDefault="00CE7F43">
      <w:pPr>
        <w:pStyle w:val="Author-eListParagraph"/>
        <w:numPr>
          <w:ilvl w:val="0"/>
          <w:numId w:val="649"/>
        </w:numPr>
        <w:jc w:val="both"/>
      </w:pPr>
      <w:r>
        <w:t xml:space="preserve">Diamètre des barres : </w:t>
      </w:r>
      <w:r>
        <w:rPr>
          <w:rStyle w:val="optioncarChar"/>
        </w:rPr>
        <w:t>selon les indications sur les plans de ferraillage</w:t>
      </w:r>
      <w:r>
        <w:t xml:space="preserve"> (par défaut)</w:t>
      </w:r>
      <w:r>
        <w:rPr>
          <w:rStyle w:val="optioncarChar"/>
        </w:rPr>
        <w:t xml:space="preserve"> / 2,7 / 5,7 / 7,8 / 9,3 / 11 / 13,7 / 15,7 / ***</w:t>
      </w:r>
      <w:r>
        <w:t xml:space="preserve"> mm, tolérance ± 0,5 mm</w:t>
      </w:r>
    </w:p>
    <w:p w14:paraId="31EF071E" w14:textId="77777777" w:rsidR="00DF410E" w:rsidRDefault="00CE7F43">
      <w:pPr>
        <w:pStyle w:val="Author-eListParagraph"/>
        <w:numPr>
          <w:ilvl w:val="0"/>
          <w:numId w:val="649"/>
        </w:numPr>
        <w:jc w:val="both"/>
      </w:pPr>
      <w:r>
        <w:t>Caractéristique de surface des barres : sablé</w:t>
      </w:r>
    </w:p>
    <w:p w14:paraId="39F0CB3D" w14:textId="77777777" w:rsidR="00DF410E" w:rsidRDefault="00CE7F43">
      <w:pPr>
        <w:pStyle w:val="pheading"/>
      </w:pPr>
      <w:r>
        <w:t>MESURAGE</w:t>
      </w:r>
    </w:p>
    <w:p w14:paraId="65B1A59F" w14:textId="77777777" w:rsidR="00DF410E" w:rsidRDefault="00CE7F43">
      <w:pPr>
        <w:pStyle w:val="pheading"/>
      </w:pPr>
      <w:r>
        <w:t>- unité de mesure:</w:t>
      </w:r>
    </w:p>
    <w:p w14:paraId="6B2BA305" w14:textId="77777777" w:rsidR="00DF410E" w:rsidRDefault="00CE7F43">
      <w:r>
        <w:rPr>
          <w:rStyle w:val="optioncarChar"/>
        </w:rPr>
        <w:t>- </w:t>
      </w:r>
      <w:r>
        <w:t>(par défaut)</w:t>
      </w:r>
      <w:r>
        <w:rPr>
          <w:rStyle w:val="optioncarChar"/>
        </w:rPr>
        <w:t> / kg</w:t>
      </w:r>
    </w:p>
    <w:p w14:paraId="0419E3FE" w14:textId="77777777" w:rsidR="00DF410E" w:rsidRDefault="00CE7F43">
      <w:r>
        <w:rPr>
          <w:b/>
        </w:rPr>
        <w:t>(soit par défaut)</w:t>
      </w:r>
      <w:r>
        <w:br/>
      </w:r>
      <w:r>
        <w:rPr>
          <w:rStyle w:val="soitChar"/>
        </w:rPr>
        <w:t>1. -</w:t>
      </w:r>
      <w:r>
        <w:br/>
      </w:r>
      <w:r>
        <w:rPr>
          <w:b/>
        </w:rPr>
        <w:t>(soit)</w:t>
      </w:r>
      <w:r>
        <w:br/>
      </w:r>
      <w:r>
        <w:rPr>
          <w:rStyle w:val="soitChar"/>
        </w:rPr>
        <w:t>2. 3. kg</w:t>
      </w:r>
    </w:p>
    <w:p w14:paraId="704C2D69" w14:textId="77777777" w:rsidR="00DF410E" w:rsidRDefault="00CE7F43">
      <w:pPr>
        <w:pStyle w:val="pheading"/>
      </w:pPr>
      <w:r>
        <w:t>- code de mesurage:</w:t>
      </w:r>
    </w:p>
    <w:p w14:paraId="35770071" w14:textId="77777777" w:rsidR="00DF410E" w:rsidRDefault="00CE7F43">
      <w:r>
        <w:rPr>
          <w:rStyle w:val="optioncarChar"/>
        </w:rPr>
        <w:t>Compris </w:t>
      </w:r>
      <w:r>
        <w:t>(par défaut)</w:t>
      </w:r>
      <w:r>
        <w:rPr>
          <w:rStyle w:val="optioncarChar"/>
        </w:rPr>
        <w:t> / Masse nette</w:t>
      </w:r>
    </w:p>
    <w:p w14:paraId="3158CD16" w14:textId="77777777" w:rsidR="00DF410E" w:rsidRDefault="00CE7F43">
      <w:r>
        <w:rPr>
          <w:b/>
        </w:rPr>
        <w:t>(soit par défaut)</w:t>
      </w:r>
      <w:r>
        <w:br/>
      </w:r>
      <w:r>
        <w:rPr>
          <w:rStyle w:val="soitChar"/>
        </w:rPr>
        <w:t>1. </w:t>
      </w:r>
      <w:r>
        <w:rPr>
          <w:rStyle w:val="soitChar"/>
          <w:u w:val="single"/>
        </w:rPr>
        <w:t>Compris</w:t>
      </w:r>
      <w:r>
        <w:rPr>
          <w:rStyle w:val="soitChar"/>
        </w:rPr>
        <w:t> dans les prix unitaires des ouvrages en béton concernés dans l'/les article(s) </w:t>
      </w:r>
      <w:r>
        <w:t> </w:t>
      </w:r>
      <w:r>
        <w:rPr>
          <w:rStyle w:val="optioncarChar"/>
        </w:rPr>
        <w:t>***</w:t>
      </w:r>
      <w:r>
        <w:t>. </w:t>
      </w:r>
      <w:r>
        <w:br/>
      </w:r>
      <w:r>
        <w:rPr>
          <w:b/>
        </w:rPr>
        <w:t>(soit)</w:t>
      </w:r>
      <w:r>
        <w:br/>
      </w:r>
      <w:r>
        <w:rPr>
          <w:rStyle w:val="soitChar"/>
        </w:rPr>
        <w:t>2. 3. </w:t>
      </w:r>
      <w:r>
        <w:rPr>
          <w:rStyle w:val="soitChar"/>
          <w:u w:val="single"/>
        </w:rPr>
        <w:t>Masse nette</w:t>
      </w:r>
      <w:r>
        <w:rPr>
          <w:rStyle w:val="soitChar"/>
        </w:rPr>
        <w:t> d’armatures à mettre en œuvre, pour toutes dimensions et sections.</w:t>
      </w:r>
    </w:p>
    <w:p w14:paraId="36C09D42" w14:textId="77777777" w:rsidR="00DF410E" w:rsidRDefault="00CE7F43">
      <w:pPr>
        <w:pStyle w:val="pheading"/>
      </w:pPr>
      <w:r>
        <w:t>- nature du marché:</w:t>
      </w:r>
    </w:p>
    <w:p w14:paraId="165DC5C5" w14:textId="77777777" w:rsidR="00DF410E" w:rsidRDefault="00CE7F43">
      <w:r>
        <w:rPr>
          <w:rStyle w:val="optioncarChar"/>
        </w:rPr>
        <w:t>PM </w:t>
      </w:r>
      <w:r>
        <w:t>(par défaut)</w:t>
      </w:r>
      <w:r>
        <w:rPr>
          <w:rStyle w:val="optioncarChar"/>
        </w:rPr>
        <w:t> / QF / QP</w:t>
      </w:r>
    </w:p>
    <w:p w14:paraId="2678D369" w14:textId="77777777" w:rsidR="00DF410E" w:rsidRDefault="00CE7F43">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04532982" w14:textId="77777777" w:rsidR="00DF410E" w:rsidRDefault="00CE7F43">
      <w:pPr>
        <w:pStyle w:val="Author-eSectionHeading4"/>
      </w:pPr>
      <w:bookmarkStart w:id="954" w:name="_Toc178838097"/>
      <w:r>
        <w:t>22.52 Armatures et accessoires de précontrainte CCTB 01.04</w:t>
      </w:r>
      <w:bookmarkEnd w:id="954"/>
    </w:p>
    <w:p w14:paraId="056C02D9" w14:textId="77777777" w:rsidR="00DF410E" w:rsidRDefault="00CE7F43">
      <w:pPr>
        <w:pStyle w:val="Author-eSectionHeading5"/>
      </w:pPr>
      <w:bookmarkStart w:id="955" w:name="_Toc178838098"/>
      <w:r>
        <w:t>22.52.1 Armatures de précontrainte par post-tension CCTB 01.04</w:t>
      </w:r>
      <w:bookmarkEnd w:id="955"/>
    </w:p>
    <w:p w14:paraId="1BB5EF2A" w14:textId="77777777" w:rsidR="00DF410E" w:rsidRDefault="00CE7F43">
      <w:pPr>
        <w:pStyle w:val="Author-eSectionHeading6"/>
      </w:pPr>
      <w:bookmarkStart w:id="956" w:name="481"/>
      <w:bookmarkStart w:id="957" w:name="_Toc178838099"/>
      <w:bookmarkEnd w:id="956"/>
      <w:r>
        <w:t>22.52.1a Barres de précontrainte par post-tension CCTB 01.07</w:t>
      </w:r>
      <w:bookmarkEnd w:id="957"/>
    </w:p>
    <w:p w14:paraId="2DA4D7CE" w14:textId="77777777" w:rsidR="00DF410E" w:rsidRDefault="00CE7F43">
      <w:pPr>
        <w:pStyle w:val="pheading"/>
      </w:pPr>
      <w:r>
        <w:t>MESURAGE</w:t>
      </w:r>
    </w:p>
    <w:p w14:paraId="27F7C07F" w14:textId="77777777" w:rsidR="00DF410E" w:rsidRDefault="00CE7F43">
      <w:pPr>
        <w:pStyle w:val="pheading"/>
      </w:pPr>
      <w:r>
        <w:t>- unité de mesure:</w:t>
      </w:r>
    </w:p>
    <w:p w14:paraId="66A086A0" w14:textId="77777777" w:rsidR="00DF410E" w:rsidRDefault="00CE7F43">
      <w:r>
        <w:t>Les aciers sont mesurés et payés au kg en fonction du type d'armatures utilisées et du procédé retenu.</w:t>
      </w:r>
    </w:p>
    <w:p w14:paraId="375994B2" w14:textId="77777777" w:rsidR="00DF410E" w:rsidRDefault="00CE7F43">
      <w:pPr>
        <w:pStyle w:val="pheading"/>
      </w:pPr>
      <w:r>
        <w:t>- code de mesurage:</w:t>
      </w:r>
    </w:p>
    <w:p w14:paraId="02AA5213" w14:textId="77777777" w:rsidR="00DF410E" w:rsidRDefault="00CE7F43">
      <w:r>
        <w:t>Les gaines, ancrages, injections, déviateurs, capots, cachetage, opérations de mise en précontrainte, essai de frottement sont inclus dans le prix du poste.</w:t>
      </w:r>
      <w:r>
        <w:br/>
        <w:t>Les essais d'homologation font l'objet de postes séparés du métré.</w:t>
      </w:r>
    </w:p>
    <w:p w14:paraId="5B1B5B79" w14:textId="77777777" w:rsidR="00DF410E" w:rsidRDefault="00CE7F43">
      <w:pPr>
        <w:pStyle w:val="pheading"/>
      </w:pPr>
      <w:r>
        <w:t>- nature du marché:</w:t>
      </w:r>
    </w:p>
    <w:p w14:paraId="4391101E" w14:textId="77777777" w:rsidR="00DF410E" w:rsidRDefault="00CE7F43">
      <w:r>
        <w:rPr>
          <w:rStyle w:val="optioncarChar"/>
        </w:rPr>
        <w:t xml:space="preserve">QF </w:t>
      </w:r>
      <w:r>
        <w:t xml:space="preserve">(par défaut) </w:t>
      </w:r>
      <w:r>
        <w:rPr>
          <w:rStyle w:val="optioncarChar"/>
        </w:rPr>
        <w:t>/ QP / PM</w:t>
      </w:r>
    </w:p>
    <w:p w14:paraId="2F24339A" w14:textId="77777777" w:rsidR="00DF410E" w:rsidRDefault="00CE7F43">
      <w:pPr>
        <w:pStyle w:val="Author-eSectionHeading6"/>
      </w:pPr>
      <w:bookmarkStart w:id="958" w:name="_Toc178838100"/>
      <w:r>
        <w:t>22.52.1b Câbles de précontrainte par post-tension CCTB 01.07</w:t>
      </w:r>
      <w:bookmarkEnd w:id="958"/>
    </w:p>
    <w:p w14:paraId="1ADC7995" w14:textId="77777777" w:rsidR="00DF410E" w:rsidRDefault="00CE7F43">
      <w:pPr>
        <w:pStyle w:val="pheading"/>
      </w:pPr>
      <w:r>
        <w:t>MESURAGE</w:t>
      </w:r>
    </w:p>
    <w:p w14:paraId="17310C6B" w14:textId="77777777" w:rsidR="00DF410E" w:rsidRDefault="00CE7F43">
      <w:pPr>
        <w:pStyle w:val="pheading"/>
      </w:pPr>
      <w:r>
        <w:t>- unité de mesure:</w:t>
      </w:r>
    </w:p>
    <w:p w14:paraId="4FB61CB1" w14:textId="77777777" w:rsidR="00DF410E" w:rsidRDefault="00CE7F43">
      <w:r>
        <w:t>Les aciers sont mesurés et payés au kg en fonction du type d'armatures utilisées et du procédé retenu.</w:t>
      </w:r>
    </w:p>
    <w:p w14:paraId="18779881" w14:textId="77777777" w:rsidR="00DF410E" w:rsidRDefault="00CE7F43">
      <w:pPr>
        <w:pStyle w:val="pheading"/>
      </w:pPr>
      <w:r>
        <w:t>- code de mesurage:</w:t>
      </w:r>
    </w:p>
    <w:p w14:paraId="3F225D69" w14:textId="77777777" w:rsidR="00DF410E" w:rsidRDefault="00CE7F43">
      <w:r>
        <w:t>Les gaines, ancrages, injections, déviateurs, capots, cachetage, opérations de mise en précontrainte, essai de frottement sont inclus dans le prix du poste.</w:t>
      </w:r>
    </w:p>
    <w:p w14:paraId="2466691A" w14:textId="77777777" w:rsidR="00DF410E" w:rsidRDefault="00CE7F43">
      <w:r>
        <w:t>Les essais d'homologation font l'objet de postes séparés du métré.</w:t>
      </w:r>
    </w:p>
    <w:p w14:paraId="07DAC9C3" w14:textId="77777777" w:rsidR="00DF410E" w:rsidRDefault="00CE7F43">
      <w:pPr>
        <w:pStyle w:val="pheading"/>
      </w:pPr>
      <w:r>
        <w:t>- nature du marché:</w:t>
      </w:r>
    </w:p>
    <w:p w14:paraId="6F7B03F8" w14:textId="77777777" w:rsidR="00DF410E" w:rsidRDefault="00CE7F43">
      <w:r>
        <w:rPr>
          <w:rStyle w:val="optioncarChar"/>
        </w:rPr>
        <w:t xml:space="preserve">QF </w:t>
      </w:r>
      <w:r>
        <w:t>(par défaut)</w:t>
      </w:r>
      <w:r>
        <w:rPr>
          <w:rStyle w:val="optioncarChar"/>
        </w:rPr>
        <w:t xml:space="preserve"> / QP / PM</w:t>
      </w:r>
      <w:r>
        <w:br/>
      </w:r>
    </w:p>
    <w:p w14:paraId="5D5441E5" w14:textId="77777777" w:rsidR="00DF410E" w:rsidRDefault="00CE7F43">
      <w:pPr>
        <w:pStyle w:val="Author-eSectionHeading6"/>
      </w:pPr>
      <w:bookmarkStart w:id="959" w:name="_Toc178838101"/>
      <w:r>
        <w:t>22.52.1c Torons de précontrainte clairs par post-tension CCTB 01.11</w:t>
      </w:r>
      <w:bookmarkEnd w:id="959"/>
    </w:p>
    <w:p w14:paraId="0470D153" w14:textId="77777777" w:rsidR="00DF410E" w:rsidRDefault="00CE7F43">
      <w:pPr>
        <w:pStyle w:val="pheading"/>
      </w:pPr>
      <w:r>
        <w:t>MESURAGE</w:t>
      </w:r>
    </w:p>
    <w:p w14:paraId="771B1C8A" w14:textId="77777777" w:rsidR="00DF410E" w:rsidRDefault="00CE7F43">
      <w:pPr>
        <w:pStyle w:val="pheading"/>
      </w:pPr>
      <w:r>
        <w:t>- unité de mesure:</w:t>
      </w:r>
    </w:p>
    <w:p w14:paraId="6622CD98" w14:textId="77777777" w:rsidR="00DF410E" w:rsidRDefault="00CE7F43">
      <w:r>
        <w:t>Les aciers sont mesurés et payés au kg en fonction du type d'armatures utilisées et du procédé retenu.</w:t>
      </w:r>
    </w:p>
    <w:p w14:paraId="60363CF9" w14:textId="77777777" w:rsidR="00DF410E" w:rsidRDefault="00CE7F43">
      <w:pPr>
        <w:pStyle w:val="pheading"/>
      </w:pPr>
      <w:r>
        <w:t>- code de mesurage:</w:t>
      </w:r>
    </w:p>
    <w:p w14:paraId="1BCE06DC" w14:textId="77777777" w:rsidR="00DF410E" w:rsidRDefault="00CE7F43">
      <w:r>
        <w:t>Les gaines, ancrages, injections, déviateurs, capots, cachetage, opérations de mise en précontrainte, essai de frottement sont inclus dans le prix du poste.</w:t>
      </w:r>
    </w:p>
    <w:p w14:paraId="49E9D6B3" w14:textId="77777777" w:rsidR="00DF410E" w:rsidRDefault="00CE7F43">
      <w:r>
        <w:t>Les essais d'homologation font l'objet de postes séparés du métré.</w:t>
      </w:r>
    </w:p>
    <w:p w14:paraId="2ADE7462" w14:textId="77777777" w:rsidR="00DF410E" w:rsidRDefault="00CE7F43">
      <w:pPr>
        <w:pStyle w:val="pheading"/>
      </w:pPr>
      <w:r>
        <w:t>- nature du marché:</w:t>
      </w:r>
    </w:p>
    <w:p w14:paraId="3323A7E6" w14:textId="77777777" w:rsidR="00DF410E" w:rsidRDefault="00CE7F43">
      <w:r>
        <w:rPr>
          <w:rStyle w:val="optioncarChar"/>
        </w:rPr>
        <w:t xml:space="preserve">QF </w:t>
      </w:r>
      <w:r>
        <w:t>(par défaut)</w:t>
      </w:r>
      <w:r>
        <w:rPr>
          <w:rStyle w:val="optioncarChar"/>
        </w:rPr>
        <w:t xml:space="preserve"> / QP / PM</w:t>
      </w:r>
    </w:p>
    <w:p w14:paraId="79ECE34A" w14:textId="77777777" w:rsidR="00DF410E" w:rsidRDefault="00CE7F43">
      <w:pPr>
        <w:pStyle w:val="Author-eSectionHeading6"/>
      </w:pPr>
      <w:bookmarkStart w:id="960" w:name="_Toc178838102"/>
      <w:r>
        <w:t>22.52.1d Torons de précontrainte par post-tension avec gaines injectées à l'aide d'un coulis de ciment CCTB 01.11</w:t>
      </w:r>
      <w:bookmarkEnd w:id="960"/>
    </w:p>
    <w:p w14:paraId="0FD88BB1" w14:textId="77777777" w:rsidR="00DF410E" w:rsidRDefault="00CE7F43">
      <w:pPr>
        <w:pStyle w:val="pheading"/>
      </w:pPr>
      <w:r>
        <w:t>MESURAGE</w:t>
      </w:r>
    </w:p>
    <w:p w14:paraId="0173B7E2" w14:textId="77777777" w:rsidR="00DF410E" w:rsidRDefault="00CE7F43">
      <w:pPr>
        <w:pStyle w:val="pheading"/>
      </w:pPr>
      <w:r>
        <w:t>- unité de mesure:</w:t>
      </w:r>
    </w:p>
    <w:p w14:paraId="4F61FD84" w14:textId="77777777" w:rsidR="00DF410E" w:rsidRDefault="00CE7F43">
      <w:r>
        <w:t>Les aciers sont mesurés et payés au kg en fonction du type d'armatures utilisées et du procédé retenu.</w:t>
      </w:r>
    </w:p>
    <w:p w14:paraId="7D47956E" w14:textId="77777777" w:rsidR="00DF410E" w:rsidRDefault="00CE7F43">
      <w:pPr>
        <w:pStyle w:val="pheading"/>
      </w:pPr>
      <w:r>
        <w:t>- code de mesurage:</w:t>
      </w:r>
    </w:p>
    <w:p w14:paraId="3E3C9885" w14:textId="77777777" w:rsidR="00DF410E" w:rsidRDefault="00CE7F43">
      <w:r>
        <w:t>Les gaines, ancrages, injections, déviateurs, capots, cachetage, opérations de mise en précontrainte, essai de frottement sont inclus dans le prix du poste.</w:t>
      </w:r>
    </w:p>
    <w:p w14:paraId="35B3EE06" w14:textId="77777777" w:rsidR="00DF410E" w:rsidRDefault="00CE7F43">
      <w:r>
        <w:t>Les essais d'homologation font l'objet de postes séparés du métré.</w:t>
      </w:r>
    </w:p>
    <w:p w14:paraId="52BF2F80" w14:textId="77777777" w:rsidR="00DF410E" w:rsidRDefault="00CE7F43">
      <w:pPr>
        <w:pStyle w:val="pheading"/>
      </w:pPr>
      <w:r>
        <w:t>- nature du marché:</w:t>
      </w:r>
    </w:p>
    <w:p w14:paraId="0B8E1ABE" w14:textId="77777777" w:rsidR="00DF410E" w:rsidRDefault="00CE7F43">
      <w:r>
        <w:rPr>
          <w:rStyle w:val="optioncarChar"/>
        </w:rPr>
        <w:t xml:space="preserve">QF </w:t>
      </w:r>
      <w:r>
        <w:t>(par défaut)</w:t>
      </w:r>
      <w:r>
        <w:rPr>
          <w:rStyle w:val="optioncarChar"/>
        </w:rPr>
        <w:t xml:space="preserve"> / QP / PM</w:t>
      </w:r>
    </w:p>
    <w:p w14:paraId="65A4AB4F" w14:textId="77777777" w:rsidR="00DF410E" w:rsidRDefault="00CE7F43">
      <w:pPr>
        <w:pStyle w:val="Author-eSectionHeading6"/>
      </w:pPr>
      <w:bookmarkStart w:id="961" w:name="_Toc178838103"/>
      <w:r>
        <w:t>22.52.1e Torons de précontrainte par post-tension gainés graissés CCTB 01.11</w:t>
      </w:r>
      <w:bookmarkEnd w:id="961"/>
    </w:p>
    <w:p w14:paraId="794CF00E" w14:textId="77777777" w:rsidR="00DF410E" w:rsidRDefault="00CE7F43">
      <w:pPr>
        <w:pStyle w:val="pheading"/>
      </w:pPr>
      <w:r>
        <w:t>MESURAGE</w:t>
      </w:r>
    </w:p>
    <w:p w14:paraId="17A23AAE" w14:textId="77777777" w:rsidR="00DF410E" w:rsidRDefault="00CE7F43">
      <w:pPr>
        <w:pStyle w:val="pheading"/>
      </w:pPr>
      <w:r>
        <w:t>- unité de mesure:</w:t>
      </w:r>
    </w:p>
    <w:p w14:paraId="45B1E6C6" w14:textId="77777777" w:rsidR="00DF410E" w:rsidRDefault="00CE7F43">
      <w:r>
        <w:t>Les aciers sont mesurés et payés au kg en fonction du type d'armatures utilisées et du procédé retenu.</w:t>
      </w:r>
    </w:p>
    <w:p w14:paraId="54EF114C" w14:textId="77777777" w:rsidR="00DF410E" w:rsidRDefault="00CE7F43">
      <w:pPr>
        <w:pStyle w:val="pheading"/>
      </w:pPr>
      <w:r>
        <w:t>- code de mesurage:</w:t>
      </w:r>
    </w:p>
    <w:p w14:paraId="72776281" w14:textId="77777777" w:rsidR="00DF410E" w:rsidRDefault="00CE7F43">
      <w:r>
        <w:t>Les gaines, ancrages, injections, déviateurs, capots, cachetage, opérations de mise en précontrainte, essai de frottement sont inclus dans le prix du poste.</w:t>
      </w:r>
    </w:p>
    <w:p w14:paraId="690ADD28" w14:textId="77777777" w:rsidR="00DF410E" w:rsidRDefault="00CE7F43">
      <w:r>
        <w:t>Les essais d'homologation font l'objet de postes séparés du métré.</w:t>
      </w:r>
    </w:p>
    <w:p w14:paraId="60D32FC1" w14:textId="77777777" w:rsidR="00DF410E" w:rsidRDefault="00CE7F43">
      <w:pPr>
        <w:pStyle w:val="pheading"/>
      </w:pPr>
      <w:r>
        <w:t>- nature du marché:</w:t>
      </w:r>
    </w:p>
    <w:p w14:paraId="20DBF25B" w14:textId="77777777" w:rsidR="00DF410E" w:rsidRDefault="00CE7F43">
      <w:r>
        <w:rPr>
          <w:rStyle w:val="optioncarChar"/>
        </w:rPr>
        <w:t xml:space="preserve">QF </w:t>
      </w:r>
      <w:r>
        <w:t>(par défaut)</w:t>
      </w:r>
      <w:r>
        <w:rPr>
          <w:rStyle w:val="optioncarChar"/>
        </w:rPr>
        <w:t xml:space="preserve"> / QP / PM</w:t>
      </w:r>
    </w:p>
    <w:p w14:paraId="30ED4E79" w14:textId="77777777" w:rsidR="00DF410E" w:rsidRDefault="00CE7F43">
      <w:pPr>
        <w:pStyle w:val="Author-eSectionHeading6"/>
      </w:pPr>
      <w:bookmarkStart w:id="962" w:name="_Toc178838104"/>
      <w:r>
        <w:t>22.52.1f Torons de précontrainte par post-tension galvanisés gainés graissés CCTB 01.11</w:t>
      </w:r>
      <w:bookmarkEnd w:id="962"/>
    </w:p>
    <w:p w14:paraId="1AE84164" w14:textId="77777777" w:rsidR="00DF410E" w:rsidRDefault="00CE7F43">
      <w:pPr>
        <w:pStyle w:val="pheading"/>
      </w:pPr>
      <w:r>
        <w:t>MESURAGE</w:t>
      </w:r>
    </w:p>
    <w:p w14:paraId="5B214D1A" w14:textId="77777777" w:rsidR="00DF410E" w:rsidRDefault="00CE7F43">
      <w:pPr>
        <w:pStyle w:val="pheading"/>
      </w:pPr>
      <w:r>
        <w:t>- unité de mesure:</w:t>
      </w:r>
    </w:p>
    <w:p w14:paraId="2797CBFE" w14:textId="77777777" w:rsidR="00DF410E" w:rsidRDefault="00CE7F43">
      <w:r>
        <w:t>Les aciers sont mesurés et payés au kg en fonction du type d'armatures utilisées et du procédé retenu.</w:t>
      </w:r>
    </w:p>
    <w:p w14:paraId="0579982F" w14:textId="77777777" w:rsidR="00DF410E" w:rsidRDefault="00CE7F43">
      <w:pPr>
        <w:pStyle w:val="pheading"/>
      </w:pPr>
      <w:r>
        <w:t>- code de mesurage:</w:t>
      </w:r>
    </w:p>
    <w:p w14:paraId="24CFEC70" w14:textId="77777777" w:rsidR="00DF410E" w:rsidRDefault="00CE7F43">
      <w:r>
        <w:t>Les gaines, ancrages, injections, déviateurs, capots, cachetage, opérations de mise en précontrainte, essai de frottement sont inclus dans le prix du poste.</w:t>
      </w:r>
    </w:p>
    <w:p w14:paraId="57AE425A" w14:textId="77777777" w:rsidR="00DF410E" w:rsidRDefault="00CE7F43">
      <w:r>
        <w:t>Les essais d'homologation font l'objet de postes séparés du métré.</w:t>
      </w:r>
    </w:p>
    <w:p w14:paraId="53346357" w14:textId="77777777" w:rsidR="00DF410E" w:rsidRDefault="00CE7F43">
      <w:pPr>
        <w:pStyle w:val="pheading"/>
      </w:pPr>
      <w:r>
        <w:t>- nature du marché:</w:t>
      </w:r>
    </w:p>
    <w:p w14:paraId="1BD3E8FC" w14:textId="77777777" w:rsidR="00DF410E" w:rsidRDefault="00CE7F43">
      <w:r>
        <w:rPr>
          <w:rStyle w:val="optioncarChar"/>
        </w:rPr>
        <w:t xml:space="preserve">QF </w:t>
      </w:r>
      <w:r>
        <w:t>(par défaut)</w:t>
      </w:r>
      <w:r>
        <w:rPr>
          <w:rStyle w:val="optioncarChar"/>
        </w:rPr>
        <w:t xml:space="preserve"> / QP / PM</w:t>
      </w:r>
    </w:p>
    <w:p w14:paraId="2B9DC000" w14:textId="77777777" w:rsidR="00DF410E" w:rsidRDefault="00CE7F43">
      <w:pPr>
        <w:pStyle w:val="Author-eSectionHeading5"/>
      </w:pPr>
      <w:bookmarkStart w:id="963" w:name="_Toc178838105"/>
      <w:r>
        <w:t>22.52.2 Accessoires de précontrainte pour post-tension CCTB 01.04</w:t>
      </w:r>
      <w:bookmarkEnd w:id="963"/>
    </w:p>
    <w:p w14:paraId="5DDB792B" w14:textId="77777777" w:rsidR="00DF410E" w:rsidRDefault="00CE7F43">
      <w:pPr>
        <w:pStyle w:val="Author-eSectionHeading6"/>
      </w:pPr>
      <w:bookmarkStart w:id="964" w:name="_Toc178838106"/>
      <w:r>
        <w:t>22.52.2a Accessoires de précontrainte par post-tension CCTB 01.04</w:t>
      </w:r>
      <w:bookmarkEnd w:id="964"/>
    </w:p>
    <w:p w14:paraId="47C4572A" w14:textId="77777777" w:rsidR="00DF410E" w:rsidRDefault="00CE7F43">
      <w:pPr>
        <w:pStyle w:val="Author-eSectionHeading4"/>
      </w:pPr>
      <w:bookmarkStart w:id="965" w:name="_Toc178838107"/>
      <w:r>
        <w:t>22.53 Coffrages CCTB 01.11</w:t>
      </w:r>
      <w:bookmarkEnd w:id="965"/>
    </w:p>
    <w:p w14:paraId="5250B95A" w14:textId="77777777" w:rsidR="00DF410E" w:rsidRDefault="00CE7F43">
      <w:pPr>
        <w:pStyle w:val="pheading"/>
      </w:pPr>
      <w:bookmarkStart w:id="966" w:name="234"/>
      <w:bookmarkEnd w:id="966"/>
      <w:r>
        <w:t>DESCRIPTION</w:t>
      </w:r>
    </w:p>
    <w:p w14:paraId="7DE39C64" w14:textId="77777777" w:rsidR="00DF410E" w:rsidRDefault="00CE7F43">
      <w:pPr>
        <w:pStyle w:val="pheading"/>
      </w:pPr>
      <w:r>
        <w:t>- Définition / Comprend</w:t>
      </w:r>
    </w:p>
    <w:p w14:paraId="1FF39B58" w14:textId="77777777" w:rsidR="00DF410E" w:rsidRDefault="00CE7F43">
      <w:r>
        <w:t>Il s'agit de la fourniture et du montage des coffrages nécessaires pour la réalisation des éléments en béton armé, conformément à la forme et aux dimensions indiquées sur les plans. Ils sont constitués de plaques ou d’éléments similaires, y compris tous les accessoires, supports, éventuellement les produits de décoffrage ainsi que le décoffrage final.</w:t>
      </w:r>
    </w:p>
    <w:p w14:paraId="5F9B51EA" w14:textId="77777777" w:rsidR="00DF410E" w:rsidRDefault="00CE7F43">
      <w:pPr>
        <w:pStyle w:val="pheading"/>
      </w:pPr>
      <w:r>
        <w:t>MATÉRIAUX</w:t>
      </w:r>
    </w:p>
    <w:p w14:paraId="64A25AC4" w14:textId="77777777" w:rsidR="00DF410E" w:rsidRDefault="00CE7F43">
      <w:r>
        <w:t>Les matériaux de coffrage doivent être choisis par l’entrepreneur en fonction de la texture de surface ou de la finition prévues. Le § 5 des normes [NBN EN 13670] et [NBN B 15-400] donnent les exigences de base :</w:t>
      </w:r>
    </w:p>
    <w:p w14:paraId="43810C76" w14:textId="77777777" w:rsidR="00DF410E" w:rsidRDefault="00CE7F43">
      <w:pPr>
        <w:pStyle w:val="Author-eListParagraph"/>
        <w:numPr>
          <w:ilvl w:val="0"/>
          <w:numId w:val="650"/>
        </w:numPr>
      </w:pPr>
      <w:r>
        <w:t>Les matériaux utilisés ne constituent d’aucune manière un empêchement à la finition ultérieure.</w:t>
      </w:r>
    </w:p>
    <w:p w14:paraId="48C7DCFD" w14:textId="77777777" w:rsidR="00DF410E" w:rsidRDefault="00CE7F43">
      <w:pPr>
        <w:pStyle w:val="Author-eListParagraph"/>
        <w:numPr>
          <w:ilvl w:val="0"/>
          <w:numId w:val="650"/>
        </w:numPr>
      </w:pPr>
      <w:r>
        <w:t>Ils sont suffisamment rigides et résistant à l’eau. Ils sont conçus de manière à offrir une solidité suffisante pendant le coulage et pour le maintien du béton. En outre, les éléments ne laissent pas s’écouler le lait de ciment ou ne provoquent pas la décoloration du béton.</w:t>
      </w:r>
    </w:p>
    <w:p w14:paraId="3675B2BF" w14:textId="77777777" w:rsidR="00DF410E" w:rsidRDefault="00CE7F43">
      <w:pPr>
        <w:pStyle w:val="Author-eListParagraph"/>
        <w:numPr>
          <w:ilvl w:val="0"/>
          <w:numId w:val="650"/>
        </w:numPr>
      </w:pPr>
      <w:r>
        <w:t xml:space="preserve">Des produits de décoffrage peuvent être appliqués pour faciliter le décoffrage, dans la mesure où ils ne nuisent pas à l’aspect du béton et/ou aux finitions à appliquer ultérieurement. </w:t>
      </w:r>
    </w:p>
    <w:p w14:paraId="5C57253F" w14:textId="77777777" w:rsidR="00DF410E" w:rsidRDefault="00CE7F43">
      <w:pPr>
        <w:pStyle w:val="Author-eListParagraph"/>
        <w:numPr>
          <w:ilvl w:val="1"/>
          <w:numId w:val="651"/>
        </w:numPr>
      </w:pPr>
      <w:r>
        <w:t>les produits de protection utilisés ne provoquent pas de taches, ne sont pas adhérents ni agressifs.</w:t>
      </w:r>
    </w:p>
    <w:p w14:paraId="163CD641" w14:textId="77777777" w:rsidR="00DF410E" w:rsidRDefault="00CE7F43">
      <w:pPr>
        <w:pStyle w:val="Author-eListParagraph"/>
        <w:numPr>
          <w:ilvl w:val="1"/>
          <w:numId w:val="651"/>
        </w:numPr>
      </w:pPr>
      <w:r>
        <w:t>une documentation technique du produit est préalablement remise à l’auteur de projet ou, le cas échéant, à l’ingénieur du béton.</w:t>
      </w:r>
    </w:p>
    <w:p w14:paraId="36F43276" w14:textId="77777777" w:rsidR="00DF410E" w:rsidRDefault="00CE7F43">
      <w:pPr>
        <w:pStyle w:val="Author-eListParagraph"/>
        <w:numPr>
          <w:ilvl w:val="0"/>
          <w:numId w:val="652"/>
        </w:numPr>
      </w:pPr>
      <w:r>
        <w:t>En principe, tous les éléments de structure en béton destinés à rester apparents, et qui ne sont pas spécialement indiqués sur les plans, sont coffrés lisses.</w:t>
      </w:r>
    </w:p>
    <w:p w14:paraId="5140B135" w14:textId="77777777" w:rsidR="00DF410E" w:rsidRDefault="00CE7F43">
      <w:pPr>
        <w:pStyle w:val="Author-eListParagraph"/>
        <w:numPr>
          <w:ilvl w:val="0"/>
          <w:numId w:val="652"/>
        </w:numPr>
      </w:pPr>
      <w:r>
        <w:t>Conformément aux spécifications dans le cahier spécial des charges, l’entrepreneur utilise :</w:t>
      </w:r>
    </w:p>
    <w:p w14:paraId="39DB1E03" w14:textId="77777777" w:rsidR="00DF410E" w:rsidRDefault="00CE7F43">
      <w:pPr>
        <w:ind w:left="450"/>
      </w:pPr>
      <w:r>
        <w:rPr>
          <w:rStyle w:val="normalChar"/>
          <w:b/>
        </w:rPr>
        <w:t>Choix opéré : </w:t>
      </w:r>
      <w:r>
        <w:rPr>
          <w:rStyle w:val="optioncarChar"/>
          <w:b/>
        </w:rPr>
        <w:t>OPTION 1</w:t>
      </w:r>
      <w:r>
        <w:t> (par défaut)</w:t>
      </w:r>
      <w:r>
        <w:rPr>
          <w:rStyle w:val="optioncarChar"/>
          <w:b/>
        </w:rPr>
        <w:t xml:space="preserve"> / OPTION 2 / OPTION 3 / OPTION 4</w:t>
      </w:r>
    </w:p>
    <w:p w14:paraId="261B382D" w14:textId="77777777" w:rsidR="00DF410E" w:rsidRDefault="00CE7F43">
      <w:pPr>
        <w:ind w:left="450"/>
      </w:pPr>
      <w:r>
        <w:rPr>
          <w:b/>
        </w:rPr>
        <w:t>***OPTION 1:</w:t>
      </w:r>
      <w:r>
        <w:t xml:space="preserve"> un coffrage lisse constitué de plaques lisses convenant pour le coffrage du béton (par ex. des plaques de multiplex, d'aggloméré ou similaires, toutes bakélisées).</w:t>
      </w:r>
      <w:r>
        <w:br/>
      </w:r>
      <w:r>
        <w:rPr>
          <w:b/>
        </w:rPr>
        <w:t>***OPTION 2:</w:t>
      </w:r>
      <w:r>
        <w:t xml:space="preserve"> un coffrage rugueux pour les surfaces à plafonner.</w:t>
      </w:r>
      <w:r>
        <w:br/>
      </w:r>
      <w:r>
        <w:rPr>
          <w:b/>
        </w:rPr>
        <w:t>***OPTION 3:</w:t>
      </w:r>
      <w:r>
        <w:t xml:space="preserve"> un coffrage rugueux d’aspect décoratif (par ex. planches en bois rugueuses / …). Voir </w:t>
      </w:r>
      <w:hyperlink w:anchor="87" w:history="1">
        <w:r>
          <w:t>22 Superstructures en béton</w:t>
        </w:r>
      </w:hyperlink>
      <w:r>
        <w:t>.</w:t>
      </w:r>
      <w:r>
        <w:br/>
      </w:r>
      <w:r>
        <w:rPr>
          <w:b/>
        </w:rPr>
        <w:t>***OPTION 4:</w:t>
      </w:r>
      <w:r>
        <w:t xml:space="preserve"> un coffrage perdu isolant : pour la prévention de ponts thermiques, l’entrepreneur est autorisé à utiliser, en cas de nécessité et pour autant qu’il ne s’agisse pas de béton apparent, des plaques d’isolation (</w:t>
      </w:r>
      <w:r>
        <w:rPr>
          <w:rStyle w:val="optioncarChar"/>
        </w:rPr>
        <w:t>polystyrène extrudé </w:t>
      </w:r>
      <w:r>
        <w:t>(par défaut)</w:t>
      </w:r>
      <w:r>
        <w:rPr>
          <w:rStyle w:val="optioncarChar"/>
        </w:rPr>
        <w:t xml:space="preserve"> / ***</w:t>
      </w:r>
      <w:r>
        <w:t>) comme coffrage perdu.</w:t>
      </w:r>
    </w:p>
    <w:p w14:paraId="7D46DD14" w14:textId="77777777" w:rsidR="00DF410E" w:rsidRDefault="00CE7F43">
      <w:pPr>
        <w:pStyle w:val="pheading"/>
      </w:pPr>
      <w:r>
        <w:t>EXÉCUTION / MISE EN ŒUVRE</w:t>
      </w:r>
    </w:p>
    <w:p w14:paraId="229C3417" w14:textId="77777777" w:rsidR="00DF410E" w:rsidRDefault="00CE7F43">
      <w:r>
        <w:t xml:space="preserve">En vue d’un soutènement efficace il y a lieu de tenir compte des mesures de sécurité prescrites par le [RGPT], le CNAC (Comité National d’Action pour la sécurité et l’hygiène dans la Construction - voir </w:t>
      </w:r>
      <w:hyperlink r:id="rId107" w:history="1">
        <w:r>
          <w:t>http://cnac.constructiv.be/</w:t>
        </w:r>
      </w:hyperlink>
      <w:r>
        <w:t>), ainsi que les prescriptions établies par le coordinateur-projet et les directives données par le coordinateur-réalisation.</w:t>
      </w:r>
    </w:p>
    <w:p w14:paraId="5D871884" w14:textId="77777777" w:rsidR="00DF410E" w:rsidRDefault="00CE7F43">
      <w:r>
        <w:t>Les indications sur les plans de coffrage sont scrupuleusement respectées. L’entrepreneur veille à ce que les coffrages des éléments soient d’aplomb, alignés et de niveau.</w:t>
      </w:r>
    </w:p>
    <w:p w14:paraId="22C468B4" w14:textId="77777777" w:rsidR="00DF410E" w:rsidRDefault="00CE7F43">
      <w:r>
        <w:t>Avant le coulage du béton, on prévoit dans les éléments toutes les réservations ou pénétrations indiquées sur les plans. Aucun percement ne peut être effectué par la suite par forage ou décapage du béton sans l’approbation explicite préalable de l’auteur de projet ou de l’ingénieur.</w:t>
      </w:r>
    </w:p>
    <w:p w14:paraId="63F198AE" w14:textId="77777777" w:rsidR="00DF410E" w:rsidRDefault="00CE7F43">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467B3C81" w14:textId="77777777" w:rsidR="00DF410E" w:rsidRDefault="00CE7F43">
      <w:pPr>
        <w:pStyle w:val="heading"/>
      </w:pPr>
      <w:r>
        <w:t>Généralités</w:t>
      </w:r>
    </w:p>
    <w:p w14:paraId="00CCECEB" w14:textId="77777777" w:rsidR="00DF410E" w:rsidRDefault="00CE7F43">
      <w:pPr>
        <w:pStyle w:val="Author-eListParagraph"/>
        <w:numPr>
          <w:ilvl w:val="0"/>
          <w:numId w:val="653"/>
        </w:numPr>
      </w:pPr>
      <w:r>
        <w:t>Les éléments de coffrage sont parfaitement propres et nets ; ils sont traités avec le plus grand soin afin d’exclure systématiquement tout danger de souillure. Tout contact des plaques ou des panneaux avec les armatures rouillées doit être évité.</w:t>
      </w:r>
    </w:p>
    <w:p w14:paraId="50A9B4DC" w14:textId="77777777" w:rsidR="00DF410E" w:rsidRDefault="00CE7F43">
      <w:pPr>
        <w:pStyle w:val="Author-eListParagraph"/>
        <w:numPr>
          <w:ilvl w:val="0"/>
          <w:numId w:val="653"/>
        </w:numPr>
      </w:pPr>
      <w:r>
        <w:t>Pendant leur séjour sur chantier avant leur mise en œuvre, les éléments de coffrage sont protégés des intempéries</w:t>
      </w:r>
    </w:p>
    <w:p w14:paraId="198C2C53" w14:textId="77777777" w:rsidR="00DF410E" w:rsidRDefault="00CE7F43">
      <w:pPr>
        <w:pStyle w:val="Author-eListParagraph"/>
        <w:numPr>
          <w:ilvl w:val="0"/>
          <w:numId w:val="653"/>
        </w:numPr>
      </w:pPr>
      <w:r>
        <w:t xml:space="preserve">Les coffrages et leurs soutènements sont suffisamment solides et rigides pour pouvoir résister à toutes les sollicitations sans subir de dégâts. Il est, par conséquent, tenu compte : </w:t>
      </w:r>
    </w:p>
    <w:p w14:paraId="318D2746" w14:textId="77777777" w:rsidR="00DF410E" w:rsidRDefault="00CE7F43">
      <w:pPr>
        <w:pStyle w:val="Author-eListParagraph"/>
        <w:numPr>
          <w:ilvl w:val="1"/>
          <w:numId w:val="654"/>
        </w:numPr>
      </w:pPr>
      <w:r>
        <w:t>du poids et de la pression hydrostatique du béton.</w:t>
      </w:r>
    </w:p>
    <w:p w14:paraId="0F2867F9" w14:textId="77777777" w:rsidR="00DF410E" w:rsidRDefault="00CE7F43">
      <w:pPr>
        <w:pStyle w:val="Author-eListParagraph"/>
        <w:numPr>
          <w:ilvl w:val="1"/>
          <w:numId w:val="654"/>
        </w:numPr>
      </w:pPr>
      <w:r>
        <w:t>du choc par le fait du coulage du béton.</w:t>
      </w:r>
    </w:p>
    <w:p w14:paraId="1C297022" w14:textId="77777777" w:rsidR="00DF410E" w:rsidRDefault="00CE7F43">
      <w:pPr>
        <w:pStyle w:val="Author-eListParagraph"/>
        <w:numPr>
          <w:ilvl w:val="1"/>
          <w:numId w:val="654"/>
        </w:numPr>
      </w:pPr>
      <w:r>
        <w:t>des effets dynamiques dus aux vibrations.</w:t>
      </w:r>
    </w:p>
    <w:p w14:paraId="7CBF966C" w14:textId="77777777" w:rsidR="00DF410E" w:rsidRDefault="00CE7F43">
      <w:pPr>
        <w:pStyle w:val="Author-eListParagraph"/>
        <w:numPr>
          <w:ilvl w:val="1"/>
          <w:numId w:val="654"/>
        </w:numPr>
      </w:pPr>
      <w:r>
        <w:t>du foulage par les ouvriers.</w:t>
      </w:r>
    </w:p>
    <w:p w14:paraId="5CFAB7C6" w14:textId="77777777" w:rsidR="00DF410E" w:rsidRDefault="00CE7F43">
      <w:pPr>
        <w:pStyle w:val="Author-eListParagraph"/>
        <w:numPr>
          <w:ilvl w:val="1"/>
          <w:numId w:val="654"/>
        </w:numPr>
      </w:pPr>
      <w:r>
        <w:t>de la circulation des camions-tombereaux et de l’entreposage des matériaux </w:t>
      </w:r>
    </w:p>
    <w:p w14:paraId="19692197" w14:textId="77777777" w:rsidR="00DF410E" w:rsidRDefault="00CE7F43">
      <w:pPr>
        <w:pStyle w:val="Author-eListParagraph"/>
        <w:numPr>
          <w:ilvl w:val="1"/>
          <w:numId w:val="654"/>
        </w:numPr>
      </w:pPr>
      <w:r>
        <w:t>de l’influence du vent.</w:t>
      </w:r>
    </w:p>
    <w:p w14:paraId="713A5E97" w14:textId="77777777" w:rsidR="00DF410E" w:rsidRDefault="00CE7F43">
      <w:pPr>
        <w:pStyle w:val="Author-eListParagraph"/>
        <w:numPr>
          <w:ilvl w:val="0"/>
          <w:numId w:val="655"/>
        </w:numPr>
      </w:pPr>
      <w:r>
        <w:t>Les déformations inévitables des coffrages et des supports ne peuvent en aucun cas nuire aux ouvrages. Lorsque le béton armé présente des déformations, il doit être démoli et reconstruit aux frais de l’entrepreneur.</w:t>
      </w:r>
    </w:p>
    <w:p w14:paraId="674BC4A8" w14:textId="77777777" w:rsidR="00DF410E" w:rsidRDefault="00CE7F43">
      <w:pPr>
        <w:pStyle w:val="Author-eListParagraph"/>
        <w:numPr>
          <w:ilvl w:val="0"/>
          <w:numId w:val="655"/>
        </w:numPr>
      </w:pPr>
      <w:r>
        <w:t>Lorsque le coffrage utilisé est en bois (ou dérivés), celui-ci doit être enlevé après le durcissement du béton. Il ne peut en aucun cas être noyé dans le béton.</w:t>
      </w:r>
    </w:p>
    <w:p w14:paraId="60C46055" w14:textId="77777777" w:rsidR="00DF410E" w:rsidRDefault="00CE7F43">
      <w:pPr>
        <w:pStyle w:val="heading"/>
      </w:pPr>
      <w:r>
        <w:t>Coffrages – forme &amp; contre-flèche</w:t>
      </w:r>
    </w:p>
    <w:p w14:paraId="68B08E05" w14:textId="77777777" w:rsidR="00DF410E" w:rsidRDefault="00CE7F43">
      <w:pPr>
        <w:pStyle w:val="Author-eListParagraph"/>
        <w:numPr>
          <w:ilvl w:val="0"/>
          <w:numId w:val="656"/>
        </w:numPr>
      </w:pPr>
      <w:r>
        <w:t>Les coffrages sont exécutés de façon telle que l’on puisse garantir les tolérances imposées par [NBN EN 13670] et [NBN B 15-400] : classe de tolérance 1 ou 2, en fonction de l’objet de l’élément.</w:t>
      </w:r>
    </w:p>
    <w:p w14:paraId="58453A4B" w14:textId="77777777" w:rsidR="00DF410E" w:rsidRDefault="00CE7F43">
      <w:pPr>
        <w:pStyle w:val="Author-eListParagraph"/>
        <w:numPr>
          <w:ilvl w:val="0"/>
          <w:numId w:val="656"/>
        </w:numPr>
      </w:pPr>
      <w:r>
        <w:t>Les coffrages sont mis en œuvre de manière à permettre la mise en place et le réglage des armatures ; la forme du coffrage ne peut en aucun cas empêcher le retrait du béton.</w:t>
      </w:r>
    </w:p>
    <w:p w14:paraId="72DA3F56" w14:textId="77777777" w:rsidR="00DF410E" w:rsidRDefault="00CE7F43">
      <w:pPr>
        <w:pStyle w:val="Author-eListParagraph"/>
        <w:numPr>
          <w:ilvl w:val="0"/>
          <w:numId w:val="656"/>
        </w:numPr>
      </w:pPr>
      <w:r>
        <w:t>L’entrepreneur s’accorde avec les sous-entrepreneurs afin de prendre toutes les dispositions afin de prévoir les réservations pour les tuyaux et conduites pendant l’exécution des travaux de bétonnage.</w:t>
      </w:r>
    </w:p>
    <w:p w14:paraId="39BCBC41" w14:textId="77777777" w:rsidR="00DF410E" w:rsidRDefault="00CE7F43">
      <w:pPr>
        <w:pStyle w:val="Author-eListParagraph"/>
        <w:numPr>
          <w:ilvl w:val="0"/>
          <w:numId w:val="656"/>
        </w:numPr>
      </w:pPr>
      <w:r>
        <w:t>Aux endroits nécessaires, l’entrepreneur prévoit, dans le béton, des blocs en bois afin de pouvoir y fixer, par la suite, les éléments de menuiserie ou autres.</w:t>
      </w:r>
    </w:p>
    <w:p w14:paraId="188EE6C0" w14:textId="77777777" w:rsidR="00DF410E" w:rsidRDefault="00CE7F43">
      <w:pPr>
        <w:pStyle w:val="Author-eListParagraph"/>
        <w:numPr>
          <w:ilvl w:val="0"/>
          <w:numId w:val="656"/>
        </w:numPr>
      </w:pPr>
      <w:r>
        <w:t xml:space="preserve">Pour les bétons destinés à rester visibles, tous les angles libres sont biseautés à 45° à l’aide de chanfreins de coffrage en bois ou en matière synthétique, afin de casser les angles sur </w:t>
      </w:r>
      <w:r>
        <w:rPr>
          <w:rStyle w:val="optioncarChar"/>
        </w:rPr>
        <w:t>1,5 </w:t>
      </w:r>
      <w:r>
        <w:t>(par défaut)</w:t>
      </w:r>
      <w:r>
        <w:rPr>
          <w:rStyle w:val="optioncarChar"/>
        </w:rPr>
        <w:t xml:space="preserve"> / *** </w:t>
      </w:r>
      <w:r>
        <w:t>cm dans les deux directions.</w:t>
      </w:r>
    </w:p>
    <w:p w14:paraId="3D37251F" w14:textId="77777777" w:rsidR="00DF410E" w:rsidRDefault="00CE7F43">
      <w:pPr>
        <w:pStyle w:val="Author-eListParagraph"/>
        <w:numPr>
          <w:ilvl w:val="0"/>
          <w:numId w:val="656"/>
        </w:numPr>
      </w:pPr>
      <w:r>
        <w:t xml:space="preserve">Tous les linteaux en encorbellement sont pourvus, dans leur face inférieure, d’un rejet d’eau, obtenu en posant dans le coffrage une latte triangulaire en bois ou en plastic de </w:t>
      </w:r>
      <w:r>
        <w:rPr>
          <w:rStyle w:val="optioncarChar"/>
        </w:rPr>
        <w:t>1,5 </w:t>
      </w:r>
      <w:r>
        <w:t>(par défaut)</w:t>
      </w:r>
      <w:r>
        <w:rPr>
          <w:rStyle w:val="optioncarChar"/>
        </w:rPr>
        <w:t xml:space="preserve"> / *** </w:t>
      </w:r>
      <w:r>
        <w:t xml:space="preserve">cm de côté, à placer à au moins </w:t>
      </w:r>
      <w:r>
        <w:rPr>
          <w:rStyle w:val="optioncarChar"/>
        </w:rPr>
        <w:t>3 </w:t>
      </w:r>
      <w:r>
        <w:t>(par défaut)</w:t>
      </w:r>
      <w:r>
        <w:rPr>
          <w:rStyle w:val="optioncarChar"/>
        </w:rPr>
        <w:t xml:space="preserve"> / *** </w:t>
      </w:r>
      <w:r>
        <w:t>cm de la face de parement.</w:t>
      </w:r>
    </w:p>
    <w:p w14:paraId="0797FA25" w14:textId="77777777" w:rsidR="00DF410E" w:rsidRDefault="00CE7F43">
      <w:pPr>
        <w:pStyle w:val="Author-eListParagraph"/>
        <w:numPr>
          <w:ilvl w:val="0"/>
          <w:numId w:val="656"/>
        </w:numPr>
      </w:pPr>
      <w:r>
        <w:t>Toutes les précautions sont prises pour que les surfaces apparentes en béton ne présentent, après le décoffrage, aucun défaut (nids de gravier, taches aux joints de reprise, …). Cette mesure s’applique tout particulièrement aux poutres et colonnes. Pour les coffrages lisses, les joints doivent être enduits pour obtenir une surface parfaitement unie.</w:t>
      </w:r>
    </w:p>
    <w:p w14:paraId="6C6415C9" w14:textId="77777777" w:rsidR="00DF410E" w:rsidRDefault="00CE7F43">
      <w:pPr>
        <w:pStyle w:val="Author-eListParagraph"/>
        <w:numPr>
          <w:ilvl w:val="0"/>
          <w:numId w:val="656"/>
        </w:numPr>
      </w:pPr>
      <w:r>
        <w:t>Lorsqu’un coffrage est exposé plus d’une semaine sans que le béton n’y soit coulé, ce coffrage est préalablement inspecté quant aux déformations qui ont pu se produire à la suite des influences atmosphériques.</w:t>
      </w:r>
    </w:p>
    <w:p w14:paraId="56A4B0A3" w14:textId="77777777" w:rsidR="00DF410E" w:rsidRDefault="00CE7F43">
      <w:pPr>
        <w:pStyle w:val="heading"/>
      </w:pPr>
      <w:r>
        <w:t>Etanchéité - joints - finition</w:t>
      </w:r>
    </w:p>
    <w:p w14:paraId="0719375B" w14:textId="77777777" w:rsidR="00DF410E" w:rsidRDefault="00CE7F43">
      <w:pPr>
        <w:pStyle w:val="Author-eListParagraph"/>
        <w:numPr>
          <w:ilvl w:val="0"/>
          <w:numId w:val="657"/>
        </w:numPr>
      </w:pPr>
      <w:r>
        <w:t>Pour la composition des coffrages, on assure une étanchéité suffisante afin de prévenir la perte de lait de ciment. Cette condition est particulièrement importante pour le béton apparent. A cet effet, on applique sur les bords des panneaux une bande d’étanchéité, par ex. une mousse de caoutchouc autocollante. Afin que cette bande ne se déplace pas, elle peut être fixée à l’aide de petits clous ou d’agrafes.</w:t>
      </w:r>
    </w:p>
    <w:p w14:paraId="6D6D653D" w14:textId="77777777" w:rsidR="00DF410E" w:rsidRDefault="00CE7F43">
      <w:pPr>
        <w:pStyle w:val="Author-eListParagraph"/>
        <w:numPr>
          <w:ilvl w:val="0"/>
          <w:numId w:val="657"/>
        </w:numPr>
      </w:pPr>
      <w:r>
        <w:t>L’entrepreneur attache une importance particulière à la propreté des surfaces de contact du coffrage et du fond du coffrage. Avant le coulage du béton, le coffrage est parfaitement débarrassé de toute impureté telle que sciure, clous, déchets de fer et autres, en le rinçant et/ou en le nettoyant à l’air comprimé. Ces précautions sont particulièrement importantes en ce qui concerne les éléments horizontaux et le béton apparent.</w:t>
      </w:r>
    </w:p>
    <w:p w14:paraId="18D1C46E" w14:textId="77777777" w:rsidR="00DF410E" w:rsidRDefault="00CE7F43">
      <w:pPr>
        <w:pStyle w:val="Author-eListParagraph"/>
        <w:numPr>
          <w:ilvl w:val="0"/>
          <w:numId w:val="657"/>
        </w:numPr>
      </w:pPr>
      <w:r>
        <w:t>Surtout par temps sec, les coffrages en bois sont aspergés d’eau une heure à l’avance et une nouvelle fois immédiatement avant le coulage du béton. Avant le coulage, l'entrepreneur avertit le bureau d’étude et l’auteur de projet afin qu’ils puissent contrôler les coffrages. Il n’effectue aucun travail qui peut empêcher partiellement ou totalement ce contrôle.</w:t>
      </w:r>
    </w:p>
    <w:p w14:paraId="42697FC2" w14:textId="77777777" w:rsidR="00DF410E" w:rsidRDefault="00CE7F43">
      <w:pPr>
        <w:pStyle w:val="heading"/>
      </w:pPr>
      <w:r>
        <w:t>Décoffrage</w:t>
      </w:r>
    </w:p>
    <w:p w14:paraId="64572079" w14:textId="77777777" w:rsidR="00DF410E" w:rsidRDefault="00CE7F43">
      <w:r>
        <w:t> Les règles du § 5.7 des normes [NBN EN 13670] et [NBN B 15-400] s’appliquent.</w:t>
      </w:r>
    </w:p>
    <w:p w14:paraId="7D85AA7B" w14:textId="77777777" w:rsidR="00DF410E" w:rsidRDefault="00CE7F43">
      <w:pPr>
        <w:pStyle w:val="pheading"/>
      </w:pPr>
      <w:r>
        <w:t>DOCUMENTS DE RÉFÉRENCE</w:t>
      </w:r>
    </w:p>
    <w:p w14:paraId="0BEA1970" w14:textId="77777777" w:rsidR="00DF410E" w:rsidRDefault="00CE7F43">
      <w:pPr>
        <w:pStyle w:val="pheading"/>
      </w:pPr>
      <w:r>
        <w:t>- Matériau</w:t>
      </w:r>
    </w:p>
    <w:p w14:paraId="2EDE8EC4" w14:textId="77777777" w:rsidR="00DF410E" w:rsidRDefault="00CE7F43">
      <w:r>
        <w:t>[NBN EN 13670, Exécution des structures en béton]</w:t>
      </w:r>
    </w:p>
    <w:p w14:paraId="2B17CE12" w14:textId="77777777" w:rsidR="00DF410E" w:rsidRDefault="00CE7F43">
      <w:r>
        <w:t>[NBN B 15-400, Exécution des structures en béton - Supplément national à la NBN EN 13670:2010]</w:t>
      </w:r>
    </w:p>
    <w:p w14:paraId="4B494C59" w14:textId="77777777" w:rsidR="00DF410E" w:rsidRDefault="00CE7F43">
      <w:pPr>
        <w:pStyle w:val="pheading"/>
      </w:pPr>
      <w:r>
        <w:t>- Exécution</w:t>
      </w:r>
    </w:p>
    <w:p w14:paraId="5602DAEE" w14:textId="77777777" w:rsidR="00DF410E" w:rsidRDefault="00CE7F43">
      <w:r>
        <w:t>[NBN EN 13670, Exécution des structures en béton]</w:t>
      </w:r>
    </w:p>
    <w:p w14:paraId="4695CC2E" w14:textId="77777777" w:rsidR="00DF410E" w:rsidRDefault="00CE7F43">
      <w:r>
        <w:t>[NBN B 15-400, Exécution des structures en béton - Supplément national à la NBN EN 13670:2010]</w:t>
      </w:r>
    </w:p>
    <w:p w14:paraId="7BC6D3E1" w14:textId="77777777" w:rsidR="00DF410E" w:rsidRDefault="00CE7F43">
      <w:pPr>
        <w:pStyle w:val="Author-eSectionHeading5"/>
      </w:pPr>
      <w:bookmarkStart w:id="967" w:name="_Toc178838108"/>
      <w:r>
        <w:t>22.53.1 Coffrages traditionnels CCTB 01.02</w:t>
      </w:r>
      <w:bookmarkEnd w:id="967"/>
    </w:p>
    <w:p w14:paraId="15BB5068" w14:textId="77777777" w:rsidR="00DF410E" w:rsidRDefault="00CE7F43">
      <w:pPr>
        <w:pStyle w:val="Author-eSectionHeading6"/>
      </w:pPr>
      <w:bookmarkStart w:id="968" w:name="_Toc178838109"/>
      <w:r>
        <w:t>22.53.1a Coffrages traditionnels pour béton non apparent CCTB 01.04</w:t>
      </w:r>
      <w:bookmarkEnd w:id="968"/>
    </w:p>
    <w:p w14:paraId="4E086E63" w14:textId="77777777" w:rsidR="00DF410E" w:rsidRDefault="00CE7F43">
      <w:pPr>
        <w:pStyle w:val="Author-eSectionHeading6"/>
      </w:pPr>
      <w:bookmarkStart w:id="969" w:name="_Toc178838110"/>
      <w:r>
        <w:t>22.53.1b Coffrages traditionnels pour béton apparent CCTB 01.04</w:t>
      </w:r>
      <w:bookmarkEnd w:id="969"/>
    </w:p>
    <w:p w14:paraId="347FA62E" w14:textId="77777777" w:rsidR="00DF410E" w:rsidRDefault="00CE7F43">
      <w:pPr>
        <w:pStyle w:val="Author-eSectionHeading6"/>
      </w:pPr>
      <w:bookmarkStart w:id="970" w:name="_Toc178838111"/>
      <w:r>
        <w:t>22.53.1c Coffrages traditionnels lisses CCTB 01.04</w:t>
      </w:r>
      <w:bookmarkEnd w:id="970"/>
    </w:p>
    <w:p w14:paraId="201700DD" w14:textId="77777777" w:rsidR="00DF410E" w:rsidRDefault="00CE7F43">
      <w:pPr>
        <w:pStyle w:val="Author-eSectionHeading6"/>
      </w:pPr>
      <w:bookmarkStart w:id="971" w:name="_Toc178838112"/>
      <w:r>
        <w:t>22.53.1d Coffrages traditionnels avec motifs décoratifs CCTB 01.04</w:t>
      </w:r>
      <w:bookmarkEnd w:id="971"/>
    </w:p>
    <w:p w14:paraId="2D88E312" w14:textId="77777777" w:rsidR="00DF410E" w:rsidRDefault="00CE7F43">
      <w:pPr>
        <w:pStyle w:val="Author-eSectionHeading5"/>
      </w:pPr>
      <w:bookmarkStart w:id="972" w:name="_Toc178838113"/>
      <w:r>
        <w:t>22.53.2 Coffrages modulaires avec cadre métallique CCTB 01.02</w:t>
      </w:r>
      <w:bookmarkEnd w:id="972"/>
    </w:p>
    <w:p w14:paraId="777BF9A2" w14:textId="77777777" w:rsidR="00DF410E" w:rsidRDefault="00CE7F43">
      <w:pPr>
        <w:pStyle w:val="Author-eSectionHeading6"/>
      </w:pPr>
      <w:bookmarkStart w:id="973" w:name="_Toc178838114"/>
      <w:r>
        <w:t>22.53.2a Coffrages modulaires avec cadre métallique pour béton non apparent CCTB 01.04</w:t>
      </w:r>
      <w:bookmarkEnd w:id="973"/>
    </w:p>
    <w:p w14:paraId="6A24C2B8" w14:textId="77777777" w:rsidR="00DF410E" w:rsidRDefault="00CE7F43">
      <w:pPr>
        <w:pStyle w:val="Author-eSectionHeading6"/>
      </w:pPr>
      <w:bookmarkStart w:id="974" w:name="_Toc178838115"/>
      <w:r>
        <w:t>22.53.2b Coffrages modulaires avec cadre métallique pour béton apparent CCTB 01.04</w:t>
      </w:r>
      <w:bookmarkEnd w:id="974"/>
    </w:p>
    <w:p w14:paraId="1F4F0B40" w14:textId="77777777" w:rsidR="00DF410E" w:rsidRDefault="00CE7F43">
      <w:pPr>
        <w:pStyle w:val="Author-eSectionHeading6"/>
      </w:pPr>
      <w:bookmarkStart w:id="975" w:name="_Toc178838116"/>
      <w:r>
        <w:t>22.53.2c Coffrages modulaires avec cadre métallique lisses CCTB 01.04</w:t>
      </w:r>
      <w:bookmarkEnd w:id="975"/>
    </w:p>
    <w:p w14:paraId="366F5A23" w14:textId="77777777" w:rsidR="00DF410E" w:rsidRDefault="00CE7F43">
      <w:pPr>
        <w:pStyle w:val="Author-eSectionHeading6"/>
      </w:pPr>
      <w:bookmarkStart w:id="976" w:name="_Toc178838117"/>
      <w:r>
        <w:t>22.53.2d Coffrages modulaires avec cadre métallique à motifs décoratifs CCTB 01.04</w:t>
      </w:r>
      <w:bookmarkEnd w:id="976"/>
    </w:p>
    <w:p w14:paraId="68E1B9EB" w14:textId="77777777" w:rsidR="00DF410E" w:rsidRDefault="00CE7F43">
      <w:pPr>
        <w:pStyle w:val="Author-eSectionHeading6"/>
      </w:pPr>
      <w:bookmarkStart w:id="977" w:name="_Toc178838118"/>
      <w:r>
        <w:t>22.53.2e Coffrages modulaires avec cadre métallique d'éléments spéciaux (moules) CCTB 01.04</w:t>
      </w:r>
      <w:bookmarkEnd w:id="977"/>
    </w:p>
    <w:p w14:paraId="36A657F8" w14:textId="77777777" w:rsidR="00DF410E" w:rsidRDefault="00CE7F43">
      <w:pPr>
        <w:pStyle w:val="Author-eSectionHeading5"/>
      </w:pPr>
      <w:bookmarkStart w:id="978" w:name="_Toc178838119"/>
      <w:r>
        <w:t>22.53.3 Systèmes de coffrage particuliers CCTB 01.04</w:t>
      </w:r>
      <w:bookmarkEnd w:id="978"/>
    </w:p>
    <w:p w14:paraId="268998A4" w14:textId="77777777" w:rsidR="00DF410E" w:rsidRDefault="00CE7F43">
      <w:pPr>
        <w:pStyle w:val="Author-eSectionHeading6"/>
      </w:pPr>
      <w:bookmarkStart w:id="979" w:name="_Toc178838120"/>
      <w:r>
        <w:t>22.53.3a Coffrages grimpants CCTB 01.04</w:t>
      </w:r>
      <w:bookmarkEnd w:id="979"/>
    </w:p>
    <w:p w14:paraId="07B1935D" w14:textId="77777777" w:rsidR="00DF410E" w:rsidRDefault="00CE7F43">
      <w:pPr>
        <w:pStyle w:val="Author-eSectionHeading6"/>
      </w:pPr>
      <w:bookmarkStart w:id="980" w:name="_Toc178838121"/>
      <w:r>
        <w:t>22.53.3b Coffrages glissants CCTB 01.04</w:t>
      </w:r>
      <w:bookmarkEnd w:id="980"/>
    </w:p>
    <w:p w14:paraId="426F0AB6" w14:textId="77777777" w:rsidR="00DF410E" w:rsidRDefault="00CE7F43">
      <w:pPr>
        <w:pStyle w:val="Author-eSectionHeading6"/>
      </w:pPr>
      <w:bookmarkStart w:id="981" w:name="_Toc178838122"/>
      <w:r>
        <w:t>22.53.3c Coffrages avec système de pompage par le bas CCTB 01.04</w:t>
      </w:r>
      <w:bookmarkEnd w:id="981"/>
    </w:p>
    <w:p w14:paraId="38FABD3D" w14:textId="77777777" w:rsidR="00DF410E" w:rsidRDefault="00CE7F43">
      <w:pPr>
        <w:pStyle w:val="Author-eSectionHeading6"/>
      </w:pPr>
      <w:bookmarkStart w:id="982" w:name="_Toc178838123"/>
      <w:r>
        <w:t>22.53.3d Coffrages en matière textile CCTB 01.04</w:t>
      </w:r>
      <w:bookmarkEnd w:id="982"/>
    </w:p>
    <w:p w14:paraId="063A8DD4" w14:textId="77777777" w:rsidR="00DF410E" w:rsidRDefault="00CE7F43">
      <w:pPr>
        <w:pStyle w:val="Author-eSectionHeading6"/>
      </w:pPr>
      <w:bookmarkStart w:id="983" w:name="_Toc178838124"/>
      <w:r>
        <w:t>22.53.3e Coffrages gonflables CCTB 01.04</w:t>
      </w:r>
      <w:bookmarkEnd w:id="983"/>
    </w:p>
    <w:p w14:paraId="0F5FA821" w14:textId="77777777" w:rsidR="00DF410E" w:rsidRDefault="00CE7F43">
      <w:pPr>
        <w:pStyle w:val="Author-eSectionHeading5"/>
      </w:pPr>
      <w:bookmarkStart w:id="984" w:name="_Toc178838125"/>
      <w:r>
        <w:t>22.53.4 Coffrages permanents CCTB 01.04</w:t>
      </w:r>
      <w:bookmarkEnd w:id="984"/>
    </w:p>
    <w:p w14:paraId="63C1B09C" w14:textId="77777777" w:rsidR="00DF410E" w:rsidRDefault="00CE7F43">
      <w:pPr>
        <w:pStyle w:val="Author-eSectionHeading6"/>
      </w:pPr>
      <w:bookmarkStart w:id="985" w:name="_Toc178838126"/>
      <w:r>
        <w:t>22.53.4a Coffrages traditionnels permanents CCTB 01.04</w:t>
      </w:r>
      <w:bookmarkEnd w:id="985"/>
    </w:p>
    <w:p w14:paraId="18A13A79" w14:textId="77777777" w:rsidR="00DF410E" w:rsidRDefault="00CE7F43">
      <w:pPr>
        <w:pStyle w:val="Author-eSectionHeading6"/>
      </w:pPr>
      <w:bookmarkStart w:id="986" w:name="_Toc178838127"/>
      <w:r>
        <w:t>22.53.4b Coffrages permanents en synthétique armé CCTB 01.04</w:t>
      </w:r>
      <w:bookmarkEnd w:id="986"/>
    </w:p>
    <w:p w14:paraId="7C4CF9B6" w14:textId="77777777" w:rsidR="00DF410E" w:rsidRDefault="00CE7F43">
      <w:pPr>
        <w:pStyle w:val="Author-eSectionHeading6"/>
      </w:pPr>
      <w:bookmarkStart w:id="987" w:name="_Toc178838128"/>
      <w:r>
        <w:t>22.53.4c Coffrages permanents en plaques d'isolant CCTB 01.04</w:t>
      </w:r>
      <w:bookmarkEnd w:id="987"/>
    </w:p>
    <w:p w14:paraId="3014BF71" w14:textId="77777777" w:rsidR="00DF410E" w:rsidRDefault="00CE7F43">
      <w:pPr>
        <w:pStyle w:val="Author-eSectionHeading6"/>
      </w:pPr>
      <w:bookmarkStart w:id="988" w:name="_Toc178838129"/>
      <w:r>
        <w:t>22.53.4d Coffrages permanents en bacs acier CCTB 01.04</w:t>
      </w:r>
      <w:bookmarkEnd w:id="988"/>
    </w:p>
    <w:p w14:paraId="27012380" w14:textId="77777777" w:rsidR="00DF410E" w:rsidRDefault="00CE7F43">
      <w:pPr>
        <w:pStyle w:val="pheading"/>
      </w:pPr>
      <w:r>
        <w:t>DESCRIPTION</w:t>
      </w:r>
    </w:p>
    <w:p w14:paraId="71BBA9FB" w14:textId="77777777" w:rsidR="00DF410E" w:rsidRDefault="00CE7F43">
      <w:pPr>
        <w:pStyle w:val="pheading"/>
      </w:pPr>
      <w:r>
        <w:t>- Définition / Comprend</w:t>
      </w:r>
    </w:p>
    <w:p w14:paraId="47750323" w14:textId="77777777" w:rsidR="00DF410E" w:rsidRDefault="00CE7F43">
      <w:r>
        <w:t>Renvoi au §</w:t>
      </w:r>
      <w:hyperlink w:anchor="524" w:history="1">
        <w:r>
          <w:t>26.15 Etanchéisation de joints</w:t>
        </w:r>
      </w:hyperlink>
    </w:p>
    <w:p w14:paraId="6F06206A" w14:textId="77777777" w:rsidR="00DF410E" w:rsidRDefault="00CE7F43">
      <w:pPr>
        <w:pStyle w:val="Author-eSectionHeading6"/>
      </w:pPr>
      <w:bookmarkStart w:id="989" w:name="_Toc178838130"/>
      <w:r>
        <w:t>22.53.4e Coffrages permanents en gaines acier CCTB 01.04</w:t>
      </w:r>
      <w:bookmarkEnd w:id="989"/>
    </w:p>
    <w:p w14:paraId="59168661" w14:textId="77777777" w:rsidR="00DF410E" w:rsidRDefault="00CE7F43">
      <w:pPr>
        <w:pStyle w:val="Author-eSectionHeading6"/>
      </w:pPr>
      <w:bookmarkStart w:id="990" w:name="_Toc178838131"/>
      <w:r>
        <w:t>22.53.4f Coffrages permanents en tuyaux CCTB 01.04</w:t>
      </w:r>
      <w:bookmarkEnd w:id="990"/>
    </w:p>
    <w:p w14:paraId="502E2B74" w14:textId="77777777" w:rsidR="00DF410E" w:rsidRDefault="00CE7F43">
      <w:pPr>
        <w:pStyle w:val="Author-eSectionHeading6"/>
      </w:pPr>
      <w:bookmarkStart w:id="991" w:name="_Toc178838132"/>
      <w:r>
        <w:t>22.53.4g Coffrages permanents en béton cellulaire CCTB 01.04</w:t>
      </w:r>
      <w:bookmarkEnd w:id="991"/>
    </w:p>
    <w:p w14:paraId="1645D06B" w14:textId="77777777" w:rsidR="00DF410E" w:rsidRDefault="00CE7F43">
      <w:pPr>
        <w:pStyle w:val="Author-eSectionHeading5"/>
      </w:pPr>
      <w:bookmarkStart w:id="992" w:name="_Toc178838133"/>
      <w:r>
        <w:t>22.53.5 Systèmes de coffrage à détruire CCTB 01.02</w:t>
      </w:r>
      <w:bookmarkEnd w:id="992"/>
    </w:p>
    <w:p w14:paraId="0F595318" w14:textId="77777777" w:rsidR="00DF410E" w:rsidRDefault="00CE7F43">
      <w:pPr>
        <w:pStyle w:val="Author-eSectionHeading6"/>
      </w:pPr>
      <w:bookmarkStart w:id="993" w:name="_Toc178838134"/>
      <w:r>
        <w:t>22.53.5a Systèmes de coffrage à détruire de colonnes rondes CCTB 01.04</w:t>
      </w:r>
      <w:bookmarkEnd w:id="993"/>
    </w:p>
    <w:p w14:paraId="70D5785D" w14:textId="77777777" w:rsidR="00DF410E" w:rsidRDefault="00CE7F43">
      <w:pPr>
        <w:pStyle w:val="Author-eSectionHeading6"/>
      </w:pPr>
      <w:bookmarkStart w:id="994" w:name="_Toc178838135"/>
      <w:r>
        <w:t>22.53.5b Systèmes de coffrage à détruire de colonnes à facettes CCTB 01.04</w:t>
      </w:r>
      <w:bookmarkEnd w:id="994"/>
    </w:p>
    <w:p w14:paraId="48776DEA" w14:textId="77777777" w:rsidR="00DF410E" w:rsidRDefault="00CE7F43">
      <w:pPr>
        <w:pStyle w:val="Author-eSectionHeading6"/>
      </w:pPr>
      <w:bookmarkStart w:id="995" w:name="_Toc178838136"/>
      <w:r>
        <w:t>22.53.5c Systèmes de coffrage à détruire d'éléments spéciaux (moules) CCTB 01.04</w:t>
      </w:r>
      <w:bookmarkEnd w:id="995"/>
    </w:p>
    <w:p w14:paraId="28C073AA" w14:textId="77777777" w:rsidR="00DF410E" w:rsidRDefault="00CE7F43">
      <w:pPr>
        <w:pStyle w:val="Author-eSectionHeading5"/>
      </w:pPr>
      <w:bookmarkStart w:id="996" w:name="_Toc178838137"/>
      <w:r>
        <w:t>22.53.6 Membranes spéciales pour coffrage CCTB 01.02</w:t>
      </w:r>
      <w:bookmarkEnd w:id="996"/>
    </w:p>
    <w:p w14:paraId="7A22096F" w14:textId="77777777" w:rsidR="00DF410E" w:rsidRDefault="00CE7F43">
      <w:pPr>
        <w:pStyle w:val="Author-eSectionHeading6"/>
      </w:pPr>
      <w:bookmarkStart w:id="997" w:name="_Toc178838138"/>
      <w:r>
        <w:t>22.53.6a Membrane drainante réutilisable pour coffrage CCTB 01.04</w:t>
      </w:r>
      <w:bookmarkEnd w:id="997"/>
    </w:p>
    <w:p w14:paraId="06D0EEE0" w14:textId="77777777" w:rsidR="00DF410E" w:rsidRDefault="00CE7F43">
      <w:pPr>
        <w:pStyle w:val="Author-eSectionHeading6"/>
      </w:pPr>
      <w:bookmarkStart w:id="998" w:name="_Toc178838139"/>
      <w:r>
        <w:t>22.53.6b Membrane drainante à détruire pour coffrage CCTB 01.04</w:t>
      </w:r>
      <w:bookmarkEnd w:id="998"/>
    </w:p>
    <w:p w14:paraId="1868AB1E" w14:textId="77777777" w:rsidR="00DF410E" w:rsidRDefault="00CE7F43">
      <w:pPr>
        <w:pStyle w:val="Author-eSectionHeading6"/>
      </w:pPr>
      <w:bookmarkStart w:id="999" w:name="_Toc178838140"/>
      <w:r>
        <w:t>22.53.6c Membrane à motifs décoratifs réutilisable pour coffrage CCTB 01.04</w:t>
      </w:r>
      <w:bookmarkEnd w:id="999"/>
    </w:p>
    <w:p w14:paraId="02796A08" w14:textId="77777777" w:rsidR="00DF410E" w:rsidRDefault="00CE7F43">
      <w:pPr>
        <w:pStyle w:val="Author-eSectionHeading6"/>
      </w:pPr>
      <w:bookmarkStart w:id="1000" w:name="_Toc178838141"/>
      <w:r>
        <w:t>22.53.6d Membrane à motifs décoratifs à détruire pour coffrage CCTB 01.04</w:t>
      </w:r>
      <w:bookmarkEnd w:id="1000"/>
    </w:p>
    <w:p w14:paraId="06E55701" w14:textId="77777777" w:rsidR="00DF410E" w:rsidRDefault="00CE7F43">
      <w:pPr>
        <w:pStyle w:val="Author-eSectionHeading3"/>
      </w:pPr>
      <w:bookmarkStart w:id="1001" w:name="_Toc178838142"/>
      <w:r>
        <w:t>22.6 Réalisation de joints CCTB 01.11</w:t>
      </w:r>
      <w:bookmarkEnd w:id="1001"/>
    </w:p>
    <w:p w14:paraId="27476748" w14:textId="77777777" w:rsidR="00DF410E" w:rsidRDefault="00CE7F43">
      <w:pPr>
        <w:pStyle w:val="pheading"/>
      </w:pPr>
      <w:bookmarkStart w:id="1002" w:name="236"/>
      <w:bookmarkEnd w:id="1002"/>
      <w:r>
        <w:t>DESCRIPTION</w:t>
      </w:r>
    </w:p>
    <w:p w14:paraId="7951FC2D" w14:textId="77777777" w:rsidR="00DF410E" w:rsidRDefault="00CE7F43">
      <w:pPr>
        <w:pStyle w:val="pheading"/>
      </w:pPr>
      <w:r>
        <w:t>- Définition / Comprend</w:t>
      </w:r>
    </w:p>
    <w:p w14:paraId="594442CB" w14:textId="77777777" w:rsidR="00DF410E" w:rsidRDefault="00CE7F43">
      <w:pPr>
        <w:jc w:val="both"/>
      </w:pPr>
      <w:r>
        <w:t>Il s’agit de joints destinés à permettre un mouvement relatif de la structure en béton des bâtiments.</w:t>
      </w:r>
    </w:p>
    <w:p w14:paraId="2AC35252" w14:textId="77777777" w:rsidR="00DF410E" w:rsidRDefault="00CE7F43">
      <w:pPr>
        <w:jc w:val="both"/>
      </w:pPr>
      <w:r>
        <w:t>Concernant les joints de mouvement, il convient de distinguer :</w:t>
      </w:r>
    </w:p>
    <w:p w14:paraId="2239CED6" w14:textId="77777777" w:rsidR="00DF410E" w:rsidRDefault="00CE7F43">
      <w:pPr>
        <w:pStyle w:val="Author-eListParagraph"/>
        <w:numPr>
          <w:ilvl w:val="0"/>
          <w:numId w:val="658"/>
        </w:numPr>
      </w:pPr>
      <w:r>
        <w:t>les joints de structure ou de gros-œuvre ;</w:t>
      </w:r>
    </w:p>
    <w:p w14:paraId="1EC0A051" w14:textId="77777777" w:rsidR="00DF410E" w:rsidRDefault="00CE7F43">
      <w:pPr>
        <w:pStyle w:val="Author-eListParagraph"/>
        <w:numPr>
          <w:ilvl w:val="0"/>
          <w:numId w:val="658"/>
        </w:numPr>
      </w:pPr>
      <w:r>
        <w:t>les joints de fractionnement.</w:t>
      </w:r>
    </w:p>
    <w:p w14:paraId="5ED2FC38" w14:textId="77777777" w:rsidR="00DF410E" w:rsidRDefault="00CE7F43">
      <w:r>
        <w:t>Les joints de structure ou de gros œuvre marquent une interruption verticale dans la structure portante d’un immeuble. Leur rôle est de scinder le bâtiment en plusieurs parties indépendantes les unes des autres, afin d’y permettre un mouvement différentiel horizontal ou vertical. Etant donné qu’ils peuvent remplir des fonctions diverses, ces joints sont désignés par des appellations différentes :</w:t>
      </w:r>
    </w:p>
    <w:p w14:paraId="5F22E468" w14:textId="77777777" w:rsidR="00DF410E" w:rsidRDefault="00CE7F43">
      <w:pPr>
        <w:pStyle w:val="Author-eListParagraph"/>
        <w:numPr>
          <w:ilvl w:val="0"/>
          <w:numId w:val="659"/>
        </w:numPr>
      </w:pPr>
      <w:r>
        <w:t>Le joint de dilatation désigne les joints réalisés dans la structure d’un long bâtiment, pour éviter que les mouvements horizontaux dus à la dilatation thermique ou au retrait (hydraulique ou de séchage) de l’ouvrage n’atteignent des valeurs excessives et provoquent des tensions susceptibles d’entraîner une fissuration.</w:t>
      </w:r>
    </w:p>
    <w:p w14:paraId="58A1517B" w14:textId="77777777" w:rsidR="00DF410E" w:rsidRDefault="00CE7F43">
      <w:pPr>
        <w:pStyle w:val="Author-eListParagraph"/>
        <w:numPr>
          <w:ilvl w:val="0"/>
          <w:numId w:val="659"/>
        </w:numPr>
      </w:pPr>
      <w:r>
        <w:t>Le joint de tassement ou de rupture désigne les joints réalisés en cas d’interruption de la structure portante d’un immeuble au droit d’une modification des charges appliquées aux fondations, lorsque ces dernières ne sont pas établies à la même profondeur ou encore lorsque la portance du sol est différente.</w:t>
      </w:r>
    </w:p>
    <w:p w14:paraId="3FBFC482" w14:textId="77777777" w:rsidR="00DF410E" w:rsidRDefault="00CE7F43">
      <w:pPr>
        <w:pStyle w:val="Author-eListParagraph"/>
        <w:numPr>
          <w:ilvl w:val="0"/>
          <w:numId w:val="659"/>
        </w:numPr>
      </w:pPr>
      <w:r>
        <w:t>Les joints de fractionnement concernent uniquement les dalles ou les revêtements de sol flottants. Leur rôle consiste à fractionner le sol en surfaces restreintes dans le but de réduire les tensions qui résultent des mouvements thermiques et/ou du retrait (hydraulique ou de séchage).</w:t>
      </w:r>
    </w:p>
    <w:p w14:paraId="3AE28D7D" w14:textId="77777777" w:rsidR="00DF410E" w:rsidRDefault="00CE7F43">
      <w:pPr>
        <w:jc w:val="both"/>
      </w:pPr>
      <w:r>
        <w:t>Intrinsèquement, ces joints ne sont pas étanches aux liquides. Si le béton est soumis à des exigences à ce sujet, ce chapitre traite également la mise en œuvre de barrières à l’eau par la mise en place du colmatage des joints.</w:t>
      </w:r>
    </w:p>
    <w:p w14:paraId="205ABB38" w14:textId="77777777" w:rsidR="00DF410E" w:rsidRDefault="00CE7F43">
      <w:pPr>
        <w:pStyle w:val="Author-eSectionHeading4"/>
      </w:pPr>
      <w:bookmarkStart w:id="1003" w:name="_Toc178838143"/>
      <w:r>
        <w:t>22.61 Joints structuraux CCTB 01.12</w:t>
      </w:r>
      <w:bookmarkEnd w:id="1003"/>
    </w:p>
    <w:p w14:paraId="53CD1FC5" w14:textId="77777777" w:rsidR="00DF410E" w:rsidRDefault="00CE7F43">
      <w:pPr>
        <w:pStyle w:val="pheading"/>
      </w:pPr>
      <w:r>
        <w:t>DESCRIPTION</w:t>
      </w:r>
    </w:p>
    <w:p w14:paraId="7F48ACE4" w14:textId="77777777" w:rsidR="00DF410E" w:rsidRDefault="00CE7F43">
      <w:pPr>
        <w:pStyle w:val="pheading"/>
      </w:pPr>
      <w:r>
        <w:t>- Définition / Comprend</w:t>
      </w:r>
    </w:p>
    <w:p w14:paraId="221DAF5A" w14:textId="77777777" w:rsidR="00DF410E" w:rsidRDefault="00CE7F43">
      <w:pPr>
        <w:jc w:val="both"/>
      </w:pPr>
      <w:r>
        <w:t>Les joints structuraux (autrement dit les joints de structure ou de gros œuvre) sont ceux qui permettent un mouvement relatif de la structure portante en béton d’un immeuble en marquant une interruption dans celle-ci.</w:t>
      </w:r>
    </w:p>
    <w:p w14:paraId="67DCC15F" w14:textId="77777777" w:rsidR="00DF410E" w:rsidRDefault="00CE7F43">
      <w:pPr>
        <w:jc w:val="both"/>
      </w:pPr>
      <w:r>
        <w:t>Cette interruption a pour rôle de scinder le bâtiment en plusieurs parties indépendantes les unes des autres afin d’y permettre des mouvements différentiels.</w:t>
      </w:r>
    </w:p>
    <w:p w14:paraId="1AF343C3" w14:textId="77777777" w:rsidR="00DF410E" w:rsidRDefault="00CE7F43">
      <w:pPr>
        <w:jc w:val="both"/>
      </w:pPr>
      <w:r>
        <w:t>Selon leurs caractéristiques, ils peuvent remplir différentes fonctions et sont habituellement désignés selon les appellations suivantes :</w:t>
      </w:r>
    </w:p>
    <w:p w14:paraId="017B590D" w14:textId="77777777" w:rsidR="00DF410E" w:rsidRDefault="00CE7F43">
      <w:pPr>
        <w:pStyle w:val="Author-eListParagraph"/>
        <w:numPr>
          <w:ilvl w:val="0"/>
          <w:numId w:val="660"/>
        </w:numPr>
      </w:pPr>
      <w:r>
        <w:t xml:space="preserve">Les joints de dilatation qui se rapportent aux contraintes dues : </w:t>
      </w:r>
    </w:p>
    <w:p w14:paraId="7413E697" w14:textId="77777777" w:rsidR="00DF410E" w:rsidRDefault="00CE7F43">
      <w:pPr>
        <w:pStyle w:val="Author-eListParagraph"/>
        <w:numPr>
          <w:ilvl w:val="1"/>
          <w:numId w:val="661"/>
        </w:numPr>
      </w:pPr>
      <w:r>
        <w:t>  aux variations thermiques ;</w:t>
      </w:r>
    </w:p>
    <w:p w14:paraId="3A8228C4" w14:textId="77777777" w:rsidR="00DF410E" w:rsidRDefault="00CE7F43">
      <w:pPr>
        <w:pStyle w:val="Author-eListParagraph"/>
        <w:numPr>
          <w:ilvl w:val="1"/>
          <w:numId w:val="661"/>
        </w:numPr>
      </w:pPr>
      <w:r>
        <w:t>  ou au retrait hydraulique ou de séchage des éléments de structure.</w:t>
      </w:r>
    </w:p>
    <w:p w14:paraId="2E62BA9A" w14:textId="77777777" w:rsidR="00DF410E" w:rsidRDefault="00CE7F43">
      <w:pPr>
        <w:pStyle w:val="Author-eListParagraph"/>
        <w:numPr>
          <w:ilvl w:val="0"/>
          <w:numId w:val="660"/>
        </w:numPr>
      </w:pPr>
      <w:r>
        <w:t xml:space="preserve">Les joints de tassement ou de rupture qui se rapportent aux contraintes dues : </w:t>
      </w:r>
    </w:p>
    <w:p w14:paraId="1C9D5FCB" w14:textId="77777777" w:rsidR="00DF410E" w:rsidRDefault="00CE7F43">
      <w:pPr>
        <w:pStyle w:val="Author-eListParagraph"/>
        <w:numPr>
          <w:ilvl w:val="1"/>
          <w:numId w:val="662"/>
        </w:numPr>
      </w:pPr>
      <w:r>
        <w:t>  aux charges appliquées sur, ou subies par, la structure de l’immeuble.</w:t>
      </w:r>
    </w:p>
    <w:p w14:paraId="5C70AAE9" w14:textId="77777777" w:rsidR="00DF410E" w:rsidRDefault="00CE7F43">
      <w:pPr>
        <w:jc w:val="both"/>
      </w:pPr>
      <w:r>
        <w:t xml:space="preserve">Les joints de fractionnement (joint de retrait, de désolidarisation ou de dilatation de la dalle) qui concernent uniquement les dalles de sol ou les revêtements de sol flottants sont traités séparément dans les tomes </w:t>
      </w:r>
      <w:hyperlink r:id="rId108" w:history="1" w:docLocation="40">
        <w:r>
          <w:t>1 T1 Terrassements / fondations</w:t>
        </w:r>
      </w:hyperlink>
      <w:r>
        <w:t xml:space="preserve"> et </w:t>
      </w:r>
      <w:hyperlink r:id="rId109" w:history="1" w:docLocation="44">
        <w:r>
          <w:t>5 T5 Fermetures / Finitions intérieures</w:t>
        </w:r>
      </w:hyperlink>
    </w:p>
    <w:p w14:paraId="6959A760" w14:textId="77777777" w:rsidR="00DF410E" w:rsidRDefault="00CE7F43">
      <w:pPr>
        <w:pStyle w:val="pheading"/>
      </w:pPr>
      <w:r>
        <w:t>MATÉRIAUX</w:t>
      </w:r>
    </w:p>
    <w:p w14:paraId="2F76FBF2" w14:textId="77777777" w:rsidR="00DF410E" w:rsidRDefault="00CE7F43">
      <w:pPr>
        <w:jc w:val="both"/>
      </w:pPr>
      <w:r>
        <w:t xml:space="preserve">Les joints structuraux sont définis (choix du type de joint, du remplissage, de leur emplacement, …) par : </w:t>
      </w:r>
      <w:r>
        <w:rPr>
          <w:rStyle w:val="optioncarChar"/>
        </w:rPr>
        <w:t xml:space="preserve">le bureau d’études chargé de la conception de la structure en béton </w:t>
      </w:r>
      <w:r>
        <w:t>(par défaut) / </w:t>
      </w:r>
      <w:r>
        <w:rPr>
          <w:rStyle w:val="optioncarChar"/>
        </w:rPr>
        <w:t>l’auteur de projet / le bureau de stabilité / ***</w:t>
      </w:r>
    </w:p>
    <w:p w14:paraId="02AC463D" w14:textId="77777777" w:rsidR="00DF410E" w:rsidRDefault="00CE7F43">
      <w:pPr>
        <w:jc w:val="both"/>
      </w:pPr>
      <w:r>
        <w:t>Ils sont pourvus ou non d’un matériau compressible, selon les descriptions.</w:t>
      </w:r>
    </w:p>
    <w:p w14:paraId="260F450A" w14:textId="77777777" w:rsidR="00DF410E" w:rsidRDefault="00CE7F43">
      <w:pPr>
        <w:pStyle w:val="pheading"/>
      </w:pPr>
      <w:r>
        <w:t>EXÉCUTION / MISE EN ŒUVRE</w:t>
      </w:r>
    </w:p>
    <w:p w14:paraId="32D850ED" w14:textId="77777777" w:rsidR="00DF410E" w:rsidRDefault="00CE7F43">
      <w:r>
        <w:t>Les joints structuraux se répercutent dans les différents éléments qui composent la paroi dans laquelle ils s’insèrent (ex. isolation, étanchéité, chape, enduit, …).</w:t>
      </w:r>
      <w:r>
        <w:br/>
        <w:t xml:space="preserve"> Ces différents éléments sont interrompus au droit des joints selon les règles de l’art et la documentation technique qui les accompagnent.</w:t>
      </w:r>
    </w:p>
    <w:p w14:paraId="2FA558BC" w14:textId="77777777" w:rsidR="00DF410E" w:rsidRDefault="00CE7F43">
      <w:pPr>
        <w:pStyle w:val="pheading"/>
      </w:pPr>
      <w:r>
        <w:t>DOCUMENTS DE RÉFÉRENCE</w:t>
      </w:r>
    </w:p>
    <w:p w14:paraId="7549E675" w14:textId="77777777" w:rsidR="00DF410E" w:rsidRDefault="00CE7F43">
      <w:pPr>
        <w:pStyle w:val="pheading"/>
      </w:pPr>
      <w:r>
        <w:t>- Matériau</w:t>
      </w:r>
    </w:p>
    <w:p w14:paraId="2F1AFF41" w14:textId="77777777" w:rsidR="00DF410E" w:rsidRDefault="00CE7F43">
      <w:r>
        <w:t>[Buildwise Article (2019/04.07), Le point sur les joints de structure et de fractionnement]</w:t>
      </w:r>
    </w:p>
    <w:p w14:paraId="39BF380E" w14:textId="77777777" w:rsidR="00DF410E" w:rsidRDefault="00CE7F43">
      <w:pPr>
        <w:pStyle w:val="Author-eSectionHeading5"/>
      </w:pPr>
      <w:bookmarkStart w:id="1004" w:name="_Toc178838144"/>
      <w:r>
        <w:t>22.61.1 Joints de dilatation CCTB 01.11</w:t>
      </w:r>
      <w:bookmarkEnd w:id="1004"/>
    </w:p>
    <w:p w14:paraId="77D649F3" w14:textId="77777777" w:rsidR="00DF410E" w:rsidRDefault="00CE7F43">
      <w:pPr>
        <w:pStyle w:val="pheading"/>
      </w:pPr>
      <w:r>
        <w:t>DOCUMENTS DE RÉFÉRENCE</w:t>
      </w:r>
    </w:p>
    <w:p w14:paraId="72DFD973" w14:textId="77777777" w:rsidR="00DF410E" w:rsidRDefault="00CE7F43">
      <w:pPr>
        <w:pStyle w:val="pheading"/>
      </w:pPr>
      <w:r>
        <w:t>- Exécution</w:t>
      </w:r>
    </w:p>
    <w:p w14:paraId="10A5F975" w14:textId="77777777" w:rsidR="00DF410E" w:rsidRDefault="00CE7F43">
      <w:r>
        <w:t>[NIT 267, Sols intérieurs en béton (révision de la NIT 204)]</w:t>
      </w:r>
    </w:p>
    <w:p w14:paraId="4A5FA78A" w14:textId="77777777" w:rsidR="00DF410E" w:rsidRDefault="00CE7F43">
      <w:r>
        <w:t>[NBN ISO 2444, Joints dans le bâtiment - Vocabulaire]</w:t>
      </w:r>
    </w:p>
    <w:p w14:paraId="52AB2F26" w14:textId="77777777" w:rsidR="00DF410E" w:rsidRDefault="00CE7F43">
      <w:r>
        <w:t>[NBN ISO 2445, Joints dans le bâtiment - Principes de conception fondamentaux]</w:t>
      </w:r>
    </w:p>
    <w:p w14:paraId="0C3CB2BA" w14:textId="77777777" w:rsidR="00DF410E" w:rsidRDefault="00CE7F43">
      <w:r>
        <w:t>[NBN ISO 6589, Joints dans le bâtiment - Méthode d'essai en laboratoire de perméabilité à l'air des joints]</w:t>
      </w:r>
    </w:p>
    <w:p w14:paraId="0FA14EF5" w14:textId="77777777" w:rsidR="00DF410E" w:rsidRDefault="00CE7F43">
      <w:r>
        <w:t>[NBN ISO 7727, Joints dans le bâtiment - Principes de jonction des composants de bâtiment - Aptitude des joints à s'accommoder des écarts dimensionnels en cours de construction]</w:t>
      </w:r>
    </w:p>
    <w:p w14:paraId="3A5EC81F" w14:textId="77777777" w:rsidR="00DF410E" w:rsidRDefault="00CE7F43">
      <w:r>
        <w:t>[NBN ISO 7729, Assemblages verticaux courants entre deux composants de façade en béton ordinaire - Propriétés, caractéristiques et éléments de la classification]</w:t>
      </w:r>
    </w:p>
    <w:p w14:paraId="6130332A" w14:textId="77777777" w:rsidR="00DF410E" w:rsidRDefault="00DF410E"/>
    <w:p w14:paraId="1127AD4D" w14:textId="77777777" w:rsidR="00DF410E" w:rsidRDefault="00CE7F43">
      <w:r>
        <w:t> </w:t>
      </w:r>
    </w:p>
    <w:p w14:paraId="3A300AAF" w14:textId="77777777" w:rsidR="00DF410E" w:rsidRDefault="00CE7F43">
      <w:pPr>
        <w:pStyle w:val="Author-eSectionHeading6"/>
      </w:pPr>
      <w:bookmarkStart w:id="1005" w:name="_Toc178838145"/>
      <w:r>
        <w:t>22.61.1a Joints de dilatation CCTB 01.11</w:t>
      </w:r>
      <w:bookmarkEnd w:id="1005"/>
    </w:p>
    <w:p w14:paraId="6016BFC0" w14:textId="77777777" w:rsidR="00DF410E" w:rsidRDefault="00CE7F43">
      <w:pPr>
        <w:pStyle w:val="pheading"/>
      </w:pPr>
      <w:r>
        <w:t>DESCRIPTION</w:t>
      </w:r>
    </w:p>
    <w:p w14:paraId="63C72355" w14:textId="77777777" w:rsidR="00DF410E" w:rsidRDefault="00CE7F43">
      <w:pPr>
        <w:pStyle w:val="pheading"/>
      </w:pPr>
      <w:r>
        <w:t>- Définition / Comprend</w:t>
      </w:r>
    </w:p>
    <w:p w14:paraId="69A35402" w14:textId="77777777" w:rsidR="00DF410E" w:rsidRDefault="00CE7F43">
      <w:pPr>
        <w:jc w:val="both"/>
      </w:pPr>
      <w:r>
        <w:t>Il s’agit de la mise en œuvre de joints marquant une interruption verticale sur l’épaisseur complète de la structure portante en béton.</w:t>
      </w:r>
    </w:p>
    <w:p w14:paraId="39DAD2A7" w14:textId="77777777" w:rsidR="00DF410E" w:rsidRDefault="00CE7F43">
      <w:pPr>
        <w:pStyle w:val="pheading"/>
      </w:pPr>
      <w:r>
        <w:t>MATÉRIAUX</w:t>
      </w:r>
    </w:p>
    <w:p w14:paraId="1AD02929" w14:textId="77777777" w:rsidR="00DF410E" w:rsidRDefault="00CE7F43">
      <w:pPr>
        <w:pStyle w:val="pheading"/>
      </w:pPr>
      <w:r>
        <w:t>- Caractéristiques générales</w:t>
      </w:r>
    </w:p>
    <w:p w14:paraId="3EC7D13A" w14:textId="77777777" w:rsidR="00DF410E" w:rsidRDefault="00CE7F43">
      <w:pPr>
        <w:jc w:val="both"/>
      </w:pPr>
      <w:r>
        <w:t xml:space="preserve">Epaisseur du joint : </w:t>
      </w:r>
      <w:r>
        <w:rPr>
          <w:rStyle w:val="optioncarChar"/>
        </w:rPr>
        <w:t xml:space="preserve">suivant les prescriptions de l’étude de stabilité </w:t>
      </w:r>
      <w:r>
        <w:t>(par défaut)</w:t>
      </w:r>
      <w:r>
        <w:rPr>
          <w:rStyle w:val="optioncarChar"/>
        </w:rPr>
        <w:t xml:space="preserve"> / 5 / 10 / 15 / 20 / 40 / ***</w:t>
      </w:r>
      <w:r>
        <w:t xml:space="preserve"> mm</w:t>
      </w:r>
    </w:p>
    <w:p w14:paraId="12B274EA" w14:textId="77777777" w:rsidR="00DF410E" w:rsidRDefault="00CE7F43">
      <w:pPr>
        <w:jc w:val="both"/>
      </w:pPr>
      <w:r>
        <w:t xml:space="preserve">Type de matériau à insérer au cœur de la structure : </w:t>
      </w:r>
      <w:r>
        <w:rPr>
          <w:rStyle w:val="optioncarChar"/>
        </w:rPr>
        <w:t>panneau en XPS</w:t>
      </w:r>
      <w:r>
        <w:t xml:space="preserve"> (par défaut)</w:t>
      </w:r>
      <w:r>
        <w:rPr>
          <w:rStyle w:val="optioncarChar"/>
        </w:rPr>
        <w:t xml:space="preserve"> / panneau en PUR / ***</w:t>
      </w:r>
    </w:p>
    <w:p w14:paraId="633BFC7D" w14:textId="77777777" w:rsidR="00DF410E" w:rsidRDefault="00CE7F43">
      <w:pPr>
        <w:jc w:val="both"/>
      </w:pPr>
      <w:r>
        <w:rPr>
          <w:b/>
        </w:rPr>
        <w:t>(soit par défaut)</w:t>
      </w:r>
    </w:p>
    <w:p w14:paraId="0F522C31" w14:textId="77777777" w:rsidR="00DF410E" w:rsidRDefault="00CE7F43">
      <w:pPr>
        <w:jc w:val="both"/>
      </w:pPr>
      <w:r>
        <w:rPr>
          <w:rStyle w:val="soitChar"/>
          <w:u w:val="single"/>
        </w:rPr>
        <w:t>Panneau en XPS :</w:t>
      </w:r>
      <w:r>
        <w:rPr>
          <w:rStyle w:val="soitChar"/>
        </w:rPr>
        <w:t xml:space="preserve"> conformément aux prescriptions du </w:t>
      </w:r>
      <w:hyperlink r:id="rId110" w:history="1" w:docLocation="252">
        <w:r>
          <w:rPr>
            <w:rStyle w:val="soitChar"/>
          </w:rPr>
          <w:t>32.41.1a Isolation en panneaux - polystyrène extrudé (XPS)</w:t>
        </w:r>
      </w:hyperlink>
    </w:p>
    <w:p w14:paraId="5E76130A" w14:textId="77777777" w:rsidR="00DF410E" w:rsidRDefault="00CE7F43">
      <w:pPr>
        <w:jc w:val="both"/>
      </w:pPr>
      <w:r>
        <w:rPr>
          <w:b/>
        </w:rPr>
        <w:t>(soit)</w:t>
      </w:r>
    </w:p>
    <w:p w14:paraId="72C54C28" w14:textId="77777777" w:rsidR="00DF410E" w:rsidRDefault="00CE7F43">
      <w:pPr>
        <w:jc w:val="both"/>
      </w:pPr>
      <w:r>
        <w:rPr>
          <w:rStyle w:val="soitChar"/>
          <w:u w:val="single"/>
        </w:rPr>
        <w:t>Panneau en PUR :</w:t>
      </w:r>
      <w:r>
        <w:rPr>
          <w:rStyle w:val="soitChar"/>
        </w:rPr>
        <w:t xml:space="preserve"> conformément aux prescriptions du </w:t>
      </w:r>
      <w:hyperlink r:id="rId111" w:history="1" w:docLocation="254">
        <w:r>
          <w:rPr>
            <w:rStyle w:val="soitChar"/>
          </w:rPr>
          <w:t>32.41.1d Isolation en panneaux - polyuréthane (PUR)</w:t>
        </w:r>
      </w:hyperlink>
    </w:p>
    <w:p w14:paraId="16079F75" w14:textId="77777777" w:rsidR="00DF410E" w:rsidRDefault="00CE7F43">
      <w:pPr>
        <w:jc w:val="both"/>
      </w:pPr>
      <w:r>
        <w:rPr>
          <w:b/>
        </w:rPr>
        <w:t>(soit)</w:t>
      </w:r>
    </w:p>
    <w:p w14:paraId="3D7D07F9" w14:textId="77777777" w:rsidR="00DF410E" w:rsidRDefault="00CE7F43">
      <w:pPr>
        <w:jc w:val="both"/>
      </w:pPr>
      <w:r>
        <w:rPr>
          <w:rStyle w:val="optioncarChar"/>
        </w:rPr>
        <w:t>***</w:t>
      </w:r>
    </w:p>
    <w:p w14:paraId="00A7A557" w14:textId="77777777" w:rsidR="00DF410E" w:rsidRDefault="00CE7F43">
      <w:pPr>
        <w:jc w:val="both"/>
      </w:pPr>
      <w:r>
        <w:t>Type de panneau à insérer à la périphérie de la structure :  </w:t>
      </w:r>
      <w:r>
        <w:rPr>
          <w:rStyle w:val="optioncarChar"/>
        </w:rPr>
        <w:t xml:space="preserve">mousse synthétique </w:t>
      </w:r>
      <w:r>
        <w:t>(par défaut)</w:t>
      </w:r>
      <w:r>
        <w:rPr>
          <w:rStyle w:val="optioncarChar"/>
        </w:rPr>
        <w:t xml:space="preserve"> / panneau compressible / ***</w:t>
      </w:r>
    </w:p>
    <w:p w14:paraId="3A7EB1D4" w14:textId="77777777" w:rsidR="00DF410E" w:rsidRDefault="00CE7F43">
      <w:pPr>
        <w:jc w:val="both"/>
      </w:pPr>
      <w:r>
        <w:rPr>
          <w:b/>
        </w:rPr>
        <w:t>(soit par défaut)</w:t>
      </w:r>
    </w:p>
    <w:p w14:paraId="2978E6D6" w14:textId="77777777" w:rsidR="00DF410E" w:rsidRDefault="00CE7F43">
      <w:pPr>
        <w:jc w:val="both"/>
      </w:pPr>
      <w:r>
        <w:rPr>
          <w:rStyle w:val="soitChar"/>
          <w:u w:val="single"/>
        </w:rPr>
        <w:t>Mousse synthétique :</w:t>
      </w:r>
      <w:r>
        <w:rPr>
          <w:rStyle w:val="soitChar"/>
        </w:rPr>
        <w:t xml:space="preserve"> rouleau en mousse synthétique de polymères isomères dans une très petite structure à cellules fermées.</w:t>
      </w:r>
    </w:p>
    <w:p w14:paraId="1E3C765D" w14:textId="77777777" w:rsidR="00DF410E" w:rsidRDefault="00CE7F43">
      <w:pPr>
        <w:jc w:val="both"/>
      </w:pPr>
      <w:r>
        <w:rPr>
          <w:b/>
        </w:rPr>
        <w:t>(soit)</w:t>
      </w:r>
    </w:p>
    <w:p w14:paraId="1095805D" w14:textId="77777777" w:rsidR="00DF410E" w:rsidRDefault="00CE7F43">
      <w:pPr>
        <w:jc w:val="both"/>
      </w:pPr>
      <w:r>
        <w:rPr>
          <w:rStyle w:val="soitChar"/>
          <w:u w:val="single"/>
        </w:rPr>
        <w:t>Panneau compressible :</w:t>
      </w:r>
      <w:r>
        <w:rPr>
          <w:rStyle w:val="soitChar"/>
        </w:rPr>
        <w:t xml:space="preserve"> panneau composé d’un mousse synthétique de polymères isomériques dans une structure de petites cellules fermées.</w:t>
      </w:r>
    </w:p>
    <w:p w14:paraId="526A3A90" w14:textId="77777777" w:rsidR="00DF410E" w:rsidRDefault="00CE7F43">
      <w:pPr>
        <w:jc w:val="both"/>
      </w:pPr>
      <w:r>
        <w:rPr>
          <w:b/>
        </w:rPr>
        <w:t>(soit)</w:t>
      </w:r>
    </w:p>
    <w:p w14:paraId="50558ACA" w14:textId="77777777" w:rsidR="00DF410E" w:rsidRDefault="00CE7F43">
      <w:pPr>
        <w:jc w:val="both"/>
      </w:pPr>
      <w:r>
        <w:rPr>
          <w:rStyle w:val="optioncarChar"/>
        </w:rPr>
        <w:t>***</w:t>
      </w:r>
    </w:p>
    <w:p w14:paraId="7CBA5779" w14:textId="77777777" w:rsidR="00DF410E" w:rsidRDefault="00CE7F43">
      <w:pPr>
        <w:pStyle w:val="pheading"/>
      </w:pPr>
      <w:r>
        <w:t>- Finitions</w:t>
      </w:r>
    </w:p>
    <w:p w14:paraId="13BAB2F9" w14:textId="77777777" w:rsidR="00DF410E" w:rsidRDefault="00CE7F43">
      <w:pPr>
        <w:jc w:val="both"/>
      </w:pPr>
      <w:r>
        <w:t xml:space="preserve">Finition des joints : </w:t>
      </w:r>
      <w:r>
        <w:rPr>
          <w:rStyle w:val="optioncarChar"/>
        </w:rPr>
        <w:t xml:space="preserve">pas de finition </w:t>
      </w:r>
      <w:r>
        <w:t>(par défaut)</w:t>
      </w:r>
      <w:r>
        <w:rPr>
          <w:rStyle w:val="optioncarChar"/>
        </w:rPr>
        <w:t xml:space="preserve"> / joint de remplissage.</w:t>
      </w:r>
    </w:p>
    <w:p w14:paraId="7C70B13A" w14:textId="77777777" w:rsidR="00DF410E" w:rsidRDefault="00CE7F43">
      <w:pPr>
        <w:jc w:val="both"/>
      </w:pPr>
      <w:r>
        <w:rPr>
          <w:b/>
        </w:rPr>
        <w:t>(soit par défaut)</w:t>
      </w:r>
    </w:p>
    <w:p w14:paraId="0A4BF5CF" w14:textId="77777777" w:rsidR="00DF410E" w:rsidRDefault="00CE7F43">
      <w:pPr>
        <w:jc w:val="both"/>
      </w:pPr>
      <w:r>
        <w:rPr>
          <w:rStyle w:val="soitChar"/>
          <w:u w:val="single"/>
        </w:rPr>
        <w:t>Pas de finition :</w:t>
      </w:r>
      <w:r>
        <w:rPr>
          <w:rStyle w:val="soitChar"/>
        </w:rPr>
        <w:t xml:space="preserve"> pas d’application</w:t>
      </w:r>
    </w:p>
    <w:p w14:paraId="1F21C3DE" w14:textId="77777777" w:rsidR="00DF410E" w:rsidRDefault="00CE7F43">
      <w:pPr>
        <w:jc w:val="both"/>
      </w:pPr>
      <w:r>
        <w:rPr>
          <w:b/>
        </w:rPr>
        <w:t>(soit)</w:t>
      </w:r>
    </w:p>
    <w:p w14:paraId="6D63E1EE" w14:textId="77777777" w:rsidR="00DF410E" w:rsidRDefault="00CE7F43">
      <w:pPr>
        <w:jc w:val="both"/>
      </w:pPr>
      <w:r>
        <w:rPr>
          <w:rStyle w:val="soitChar"/>
          <w:u w:val="single"/>
        </w:rPr>
        <w:t>Joint de remplissage :</w:t>
      </w:r>
      <w:r>
        <w:rPr>
          <w:rStyle w:val="soitChar"/>
        </w:rPr>
        <w:t xml:space="preserve"> conformément aux prescriptions du </w:t>
      </w:r>
      <w:hyperlink w:anchor="527" w:history="1">
        <w:r>
          <w:rPr>
            <w:rStyle w:val="soitChar"/>
          </w:rPr>
          <w:t>22.63.1 Joints de remplissage</w:t>
        </w:r>
      </w:hyperlink>
      <w:r>
        <w:rPr>
          <w:rStyle w:val="soitChar"/>
        </w:rPr>
        <w:t>.</w:t>
      </w:r>
    </w:p>
    <w:p w14:paraId="2BDF4FD6" w14:textId="77777777" w:rsidR="00DF410E" w:rsidRDefault="00CE7F43">
      <w:pPr>
        <w:pStyle w:val="pheading"/>
      </w:pPr>
      <w:r>
        <w:t>EXÉCUTION / MISE EN ŒUVRE</w:t>
      </w:r>
    </w:p>
    <w:p w14:paraId="31069FA2" w14:textId="77777777" w:rsidR="00DF410E" w:rsidRDefault="00CE7F43">
      <w:pPr>
        <w:pStyle w:val="pheading"/>
      </w:pPr>
      <w:r>
        <w:t>- Prescriptions générales</w:t>
      </w:r>
    </w:p>
    <w:p w14:paraId="6626C9FD" w14:textId="77777777" w:rsidR="00DF410E" w:rsidRDefault="00CE7F43">
      <w:pPr>
        <w:jc w:val="both"/>
      </w:pPr>
      <w:r>
        <w:t>Les joints sont réalisés selon un schéma d’implantation préalablement déterminé d’après l’étude de stabilité annexée aux documents du marché.</w:t>
      </w:r>
    </w:p>
    <w:p w14:paraId="791FDB54" w14:textId="77777777" w:rsidR="00DF410E" w:rsidRDefault="00CE7F43">
      <w:pPr>
        <w:jc w:val="both"/>
      </w:pPr>
      <w:r>
        <w:t>Avant de couler le béton, les panneaux chargés de créer le joint de dilatation sont insérés dans le coffrage aux endroits définis par l’étude de stabilité et en respectant les largeurs prescrites.</w:t>
      </w:r>
    </w:p>
    <w:p w14:paraId="562E1F59" w14:textId="77777777" w:rsidR="00DF410E" w:rsidRDefault="00CE7F43">
      <w:pPr>
        <w:jc w:val="both"/>
      </w:pPr>
      <w:r>
        <w:t>Ces éléments sont ensuite ajustés en hauteur avant la mise en place du béton.</w:t>
      </w:r>
    </w:p>
    <w:p w14:paraId="427580A9" w14:textId="77777777" w:rsidR="00DF410E" w:rsidRDefault="00CE7F43">
      <w:pPr>
        <w:jc w:val="both"/>
      </w:pPr>
      <w:r>
        <w:t>Tous les moyens nécessaires pour éviter la déformation des panneaux sont obligatoires.</w:t>
      </w:r>
    </w:p>
    <w:p w14:paraId="30D59961" w14:textId="77777777" w:rsidR="00DF410E" w:rsidRDefault="00CE7F43">
      <w:pPr>
        <w:pStyle w:val="pheading"/>
      </w:pPr>
      <w:r>
        <w:t>MESURAGE</w:t>
      </w:r>
    </w:p>
    <w:p w14:paraId="0D69EABE" w14:textId="77777777" w:rsidR="00DF410E" w:rsidRDefault="00CE7F43">
      <w:pPr>
        <w:pStyle w:val="pheading"/>
      </w:pPr>
      <w:r>
        <w:t>- unité de mesure:</w:t>
      </w:r>
    </w:p>
    <w:p w14:paraId="335F3FF5" w14:textId="77777777" w:rsidR="00DF410E" w:rsidRDefault="00CE7F43">
      <w:r>
        <w:rPr>
          <w:rStyle w:val="optioncarChar"/>
        </w:rPr>
        <w:t xml:space="preserve">- </w:t>
      </w:r>
      <w:r>
        <w:t>(par défaut)</w:t>
      </w:r>
      <w:r>
        <w:rPr>
          <w:rStyle w:val="optioncarChar"/>
        </w:rPr>
        <w:t xml:space="preserve"> / m </w:t>
      </w:r>
    </w:p>
    <w:p w14:paraId="68257809" w14:textId="77777777" w:rsidR="00DF410E" w:rsidRDefault="00CE7F43">
      <w:r>
        <w:rPr>
          <w:b/>
        </w:rPr>
        <w:t>(soit par défaut) </w:t>
      </w:r>
      <w:r>
        <w:br/>
      </w:r>
      <w:r>
        <w:rPr>
          <w:rStyle w:val="soitChar"/>
        </w:rPr>
        <w:t>1. – </w:t>
      </w:r>
      <w:r>
        <w:br/>
      </w:r>
      <w:r>
        <w:rPr>
          <w:b/>
        </w:rPr>
        <w:t>(soit) </w:t>
      </w:r>
      <w:r>
        <w:br/>
      </w:r>
      <w:r>
        <w:rPr>
          <w:rStyle w:val="soitChar"/>
        </w:rPr>
        <w:t>2.3. m </w:t>
      </w:r>
    </w:p>
    <w:p w14:paraId="007AEFE7" w14:textId="77777777" w:rsidR="00DF410E" w:rsidRDefault="00CE7F43">
      <w:pPr>
        <w:pStyle w:val="pheading"/>
      </w:pPr>
      <w:r>
        <w:t>- code de mesurage:</w:t>
      </w:r>
    </w:p>
    <w:p w14:paraId="07522359" w14:textId="77777777" w:rsidR="00DF410E" w:rsidRDefault="00CE7F43">
      <w:r>
        <w:rPr>
          <w:rStyle w:val="optioncarChar"/>
        </w:rPr>
        <w:t>Compris</w:t>
      </w:r>
      <w:r>
        <w:t xml:space="preserve"> (par défaut)</w:t>
      </w:r>
      <w:r>
        <w:rPr>
          <w:rStyle w:val="optioncarChar"/>
        </w:rPr>
        <w:t xml:space="preserve"> / Longueur nette. </w:t>
      </w:r>
    </w:p>
    <w:p w14:paraId="7522CA2C" w14:textId="77777777" w:rsidR="00DF410E" w:rsidRDefault="00CE7F43">
      <w:r>
        <w:rPr>
          <w:b/>
        </w:rPr>
        <w:t>(soit par défaut) </w:t>
      </w:r>
      <w:r>
        <w:br/>
      </w:r>
      <w:r>
        <w:rPr>
          <w:rStyle w:val="soitChar"/>
        </w:rPr>
        <w:t xml:space="preserve">1. </w:t>
      </w:r>
      <w:r>
        <w:rPr>
          <w:rStyle w:val="soitChar"/>
          <w:u w:val="single"/>
        </w:rPr>
        <w:t>Compris</w:t>
      </w:r>
      <w:r>
        <w:rPr>
          <w:rStyle w:val="soitChar"/>
        </w:rPr>
        <w:t xml:space="preserve"> dans les articles du </w:t>
      </w:r>
      <w:hyperlink w:anchor="87" w:history="1">
        <w:r>
          <w:rPr>
            <w:rStyle w:val="soitChar"/>
          </w:rPr>
          <w:t>22 Superstructures en béton</w:t>
        </w:r>
      </w:hyperlink>
      <w:r>
        <w:rPr>
          <w:rStyle w:val="soitChar"/>
        </w:rPr>
        <w:t>. </w:t>
      </w:r>
      <w:r>
        <w:br/>
      </w:r>
      <w:r>
        <w:rPr>
          <w:b/>
        </w:rPr>
        <w:t>(soit) </w:t>
      </w:r>
      <w:r>
        <w:br/>
      </w:r>
      <w:r>
        <w:rPr>
          <w:rStyle w:val="soitChar"/>
        </w:rPr>
        <w:t xml:space="preserve">2. 3. </w:t>
      </w:r>
      <w:r>
        <w:rPr>
          <w:rStyle w:val="soitChar"/>
          <w:u w:val="single"/>
        </w:rPr>
        <w:t>Longueur nette</w:t>
      </w:r>
      <w:r>
        <w:rPr>
          <w:rStyle w:val="soitChar"/>
        </w:rPr>
        <w:t xml:space="preserve"> sans tenir compte de la largeur de joints.</w:t>
      </w:r>
    </w:p>
    <w:p w14:paraId="52B2F235" w14:textId="77777777" w:rsidR="00DF410E" w:rsidRDefault="00CE7F43">
      <w:pPr>
        <w:pStyle w:val="pheading"/>
      </w:pPr>
      <w:r>
        <w:t>- nature du marché:</w:t>
      </w:r>
    </w:p>
    <w:p w14:paraId="3602B2FF" w14:textId="77777777" w:rsidR="00DF410E" w:rsidRDefault="00CE7F43">
      <w:r>
        <w:rPr>
          <w:rStyle w:val="optioncarChar"/>
        </w:rPr>
        <w:t>PM (p</w:t>
      </w:r>
      <w:r>
        <w:t xml:space="preserve">ar défaut) </w:t>
      </w:r>
      <w:r>
        <w:rPr>
          <w:rStyle w:val="optioncarChar"/>
        </w:rPr>
        <w:t>/ QF / QP </w:t>
      </w:r>
    </w:p>
    <w:p w14:paraId="2099AF04" w14:textId="77777777" w:rsidR="00DF410E" w:rsidRDefault="00CE7F43">
      <w:r>
        <w:rPr>
          <w:b/>
        </w:rPr>
        <w:t>(soit par défaut) </w:t>
      </w:r>
      <w:r>
        <w:br/>
      </w:r>
      <w:r>
        <w:rPr>
          <w:rStyle w:val="soitChar"/>
        </w:rPr>
        <w:t>1. PM </w:t>
      </w:r>
      <w:r>
        <w:br/>
      </w:r>
      <w:r>
        <w:rPr>
          <w:b/>
        </w:rPr>
        <w:t>(soit) </w:t>
      </w:r>
      <w:r>
        <w:br/>
      </w:r>
      <w:r>
        <w:rPr>
          <w:rStyle w:val="soitChar"/>
        </w:rPr>
        <w:t>2. QF</w:t>
      </w:r>
      <w:r>
        <w:br/>
      </w:r>
      <w:r>
        <w:rPr>
          <w:b/>
        </w:rPr>
        <w:t>(soit)</w:t>
      </w:r>
      <w:r>
        <w:br/>
      </w:r>
      <w:r>
        <w:rPr>
          <w:rStyle w:val="soitChar"/>
        </w:rPr>
        <w:t>3. QP si schéma d’implantation à charge du bureau d’études de l’entrepreneur.</w:t>
      </w:r>
    </w:p>
    <w:p w14:paraId="42DBDFC7" w14:textId="77777777" w:rsidR="00DF410E" w:rsidRDefault="00CE7F43">
      <w:pPr>
        <w:pStyle w:val="pheading"/>
      </w:pPr>
      <w:r>
        <w:t>AIDE</w:t>
      </w:r>
    </w:p>
    <w:p w14:paraId="0824BF65" w14:textId="77777777" w:rsidR="00DF410E" w:rsidRDefault="00CE7F43">
      <w:pPr>
        <w:jc w:val="both"/>
      </w:pPr>
      <w:r>
        <w:t>Les panneaux rigides (PUR/XPS) sont utilisés pour la création des joints à placer au cœur de la structure en béton.</w:t>
      </w:r>
    </w:p>
    <w:p w14:paraId="04CF40F7" w14:textId="77777777" w:rsidR="00DF410E" w:rsidRDefault="00CE7F43">
      <w:pPr>
        <w:jc w:val="both"/>
      </w:pPr>
      <w:r>
        <w:t>Les mousses synthétiques et les panneaux compressibles sont principalement utilisés pour la création des joints périphériques des dalles flottantes en béton.</w:t>
      </w:r>
    </w:p>
    <w:p w14:paraId="1DFBEAD8" w14:textId="77777777" w:rsidR="00DF410E" w:rsidRDefault="00CE7F43">
      <w:pPr>
        <w:pStyle w:val="Author-eSectionHeading4"/>
      </w:pPr>
      <w:bookmarkStart w:id="1006" w:name="_Toc178838146"/>
      <w:r>
        <w:t>22.62 Joints de retrait CCTB 01.04</w:t>
      </w:r>
      <w:bookmarkEnd w:id="1006"/>
    </w:p>
    <w:p w14:paraId="646D3343" w14:textId="77777777" w:rsidR="00DF410E" w:rsidRDefault="00CE7F43">
      <w:pPr>
        <w:pStyle w:val="Author-eSectionHeading5"/>
      </w:pPr>
      <w:bookmarkStart w:id="1007" w:name="_Toc178838147"/>
      <w:r>
        <w:t>22.62.1 Joints de retrait CCTB 01.12</w:t>
      </w:r>
      <w:bookmarkEnd w:id="1007"/>
    </w:p>
    <w:p w14:paraId="4C548687" w14:textId="77777777" w:rsidR="00DF410E" w:rsidRDefault="00CE7F43">
      <w:pPr>
        <w:pStyle w:val="pheading"/>
      </w:pPr>
      <w:r>
        <w:t>EXÉCUTION / MISE EN ŒUVRE</w:t>
      </w:r>
    </w:p>
    <w:p w14:paraId="61B9C62D" w14:textId="77777777" w:rsidR="00DF410E" w:rsidRDefault="00CE7F43">
      <w:pPr>
        <w:jc w:val="both"/>
      </w:pPr>
      <w:r>
        <w:t>Les joints sont réalisés selon un schéma d’implantation préalablement déterminé par l’entrepreneur et soumis à l’approbation de l’auteur de projet.</w:t>
      </w:r>
    </w:p>
    <w:p w14:paraId="2EF4A416" w14:textId="77777777" w:rsidR="00DF410E" w:rsidRDefault="00CE7F43">
      <w:pPr>
        <w:jc w:val="both"/>
      </w:pPr>
      <w:r>
        <w:t>Lors de l’élaboration de ce schéma d’implantation, l’entrepreneur tient compte des aspects suivants :</w:t>
      </w:r>
    </w:p>
    <w:p w14:paraId="7A479D81" w14:textId="77777777" w:rsidR="00DF410E" w:rsidRDefault="00CE7F43">
      <w:pPr>
        <w:pStyle w:val="Author-eListParagraph"/>
        <w:numPr>
          <w:ilvl w:val="0"/>
          <w:numId w:val="663"/>
        </w:numPr>
        <w:jc w:val="both"/>
      </w:pPr>
      <w:r>
        <w:t>diviser le sol en panneaux de forme rectangulaire dont le rapport longueur/largeur ne dépasse pas 1,5 ;</w:t>
      </w:r>
    </w:p>
    <w:p w14:paraId="287262F0" w14:textId="77777777" w:rsidR="00DF410E" w:rsidRDefault="00CE7F43">
      <w:pPr>
        <w:pStyle w:val="Author-eListParagraph"/>
        <w:numPr>
          <w:ilvl w:val="0"/>
          <w:numId w:val="663"/>
        </w:numPr>
        <w:jc w:val="both"/>
      </w:pPr>
      <w:r>
        <w:t>éviter les angles rentrants au droit des colonnes ou des points d’appuis ;</w:t>
      </w:r>
    </w:p>
    <w:p w14:paraId="474A5B71" w14:textId="77777777" w:rsidR="00DF410E" w:rsidRDefault="00CE7F43">
      <w:pPr>
        <w:pStyle w:val="Author-eListParagraph"/>
        <w:numPr>
          <w:ilvl w:val="0"/>
          <w:numId w:val="663"/>
        </w:numPr>
        <w:jc w:val="both"/>
      </w:pPr>
      <w:r>
        <w:t>éviter les joints décalés (appareillage à joints continus) ;</w:t>
      </w:r>
    </w:p>
    <w:p w14:paraId="0AA2D81E" w14:textId="77777777" w:rsidR="00DF410E" w:rsidRDefault="00CE7F43">
      <w:pPr>
        <w:pStyle w:val="Author-eListParagraph"/>
        <w:numPr>
          <w:ilvl w:val="0"/>
          <w:numId w:val="663"/>
        </w:numPr>
        <w:jc w:val="both"/>
      </w:pPr>
      <w:r>
        <w:t>éviter les joints à proximité des charges concentrées, afin d’éviter l’affaissement dû au tassement différentiel du support ;</w:t>
      </w:r>
    </w:p>
    <w:p w14:paraId="2449B71D" w14:textId="77777777" w:rsidR="00DF410E" w:rsidRDefault="00CE7F43">
      <w:pPr>
        <w:pStyle w:val="Author-eListParagraph"/>
        <w:numPr>
          <w:ilvl w:val="0"/>
          <w:numId w:val="663"/>
        </w:numPr>
        <w:jc w:val="both"/>
      </w:pPr>
      <w:r>
        <w:t>éviter les joints dans les zones de circulation intense et lourde ou de circulation d’élévateurs à bandages durs de petite taille (dans les couloirs de circulation entre des rayonnages, etc…).</w:t>
      </w:r>
    </w:p>
    <w:p w14:paraId="3B02A090" w14:textId="77777777" w:rsidR="00DF410E" w:rsidRDefault="00CE7F43">
      <w:pPr>
        <w:jc w:val="both"/>
      </w:pPr>
      <w:r>
        <w:rPr>
          <w:b/>
        </w:rPr>
        <w:t>Mise en œuvre</w:t>
      </w:r>
    </w:p>
    <w:p w14:paraId="6ED683A9" w14:textId="77777777" w:rsidR="00DF410E" w:rsidRDefault="00CE7F43">
      <w:pPr>
        <w:jc w:val="both"/>
      </w:pPr>
      <w:r>
        <w:t>Après le coulage du béton, la dalle de sol est sciée à sa surface à l’aide d’une scie circulaire équipée d’un disque spécial diamanté.</w:t>
      </w:r>
    </w:p>
    <w:p w14:paraId="3685D1F2" w14:textId="77777777" w:rsidR="00DF410E" w:rsidRDefault="00CE7F43">
      <w:pPr>
        <w:pStyle w:val="pheading"/>
      </w:pPr>
      <w:r>
        <w:t>DOCUMENTS DE RÉFÉRENCE</w:t>
      </w:r>
    </w:p>
    <w:p w14:paraId="46D40BF4" w14:textId="77777777" w:rsidR="00DF410E" w:rsidRDefault="00CE7F43">
      <w:pPr>
        <w:pStyle w:val="pheading"/>
      </w:pPr>
      <w:r>
        <w:t>- Exécution</w:t>
      </w:r>
    </w:p>
    <w:p w14:paraId="4FDB5DB7" w14:textId="77777777" w:rsidR="00DF410E" w:rsidRDefault="00CE7F43">
      <w:r>
        <w:t>[NIT 179, Les revêtements durs sur sols chauffés.]</w:t>
      </w:r>
    </w:p>
    <w:p w14:paraId="2DA719A9" w14:textId="77777777" w:rsidR="00DF410E" w:rsidRDefault="00CE7F43">
      <w:r>
        <w:t>[NIT 213, Les revêtements de sol intérieurs en pierre naturelle (remplace la NIT 137 pour les travaux de dallage en pierre naturelle).]</w:t>
      </w:r>
    </w:p>
    <w:p w14:paraId="7E903C9C" w14:textId="77777777" w:rsidR="00DF410E" w:rsidRDefault="00CE7F43">
      <w:r>
        <w:t>[NIT 237, Revêtements de sol intérieurs en carreaux céramiques (remplace la NIT 137 pour les travaux de carrelage en céramique).]</w:t>
      </w:r>
    </w:p>
    <w:p w14:paraId="7E72332A" w14:textId="77777777" w:rsidR="00DF410E" w:rsidRDefault="00CE7F43">
      <w:r>
        <w:t>[NIT 267, Sols intérieurs en béton (révision de la NIT 204)]</w:t>
      </w:r>
    </w:p>
    <w:p w14:paraId="7E21D441" w14:textId="77777777" w:rsidR="00DF410E" w:rsidRDefault="00CE7F43">
      <w:r>
        <w:t>[NBN ISO 2444, Joints dans le bâtiment - Vocabulaire]</w:t>
      </w:r>
    </w:p>
    <w:p w14:paraId="72D8C782" w14:textId="77777777" w:rsidR="00DF410E" w:rsidRDefault="00CE7F43">
      <w:r>
        <w:t>[NBN ISO 2445, Joints dans le bâtiment - Principes de conception fondamentaux]</w:t>
      </w:r>
    </w:p>
    <w:p w14:paraId="016AB6D9" w14:textId="77777777" w:rsidR="00DF410E" w:rsidRDefault="00CE7F43">
      <w:r>
        <w:t>[NBN ISO 6589, Joints dans le bâtiment - Méthode d'essai en laboratoire de perméabilité à l'air des joints]</w:t>
      </w:r>
    </w:p>
    <w:p w14:paraId="75F5569B" w14:textId="77777777" w:rsidR="00DF410E" w:rsidRDefault="00CE7F43">
      <w:r>
        <w:t>[NBN ISO 7727, Joints dans le bâtiment - Principes de jonction des composants de bâtiment - Aptitude des joints à s'accommoder des écarts dimensionnels en cours de construction]</w:t>
      </w:r>
    </w:p>
    <w:p w14:paraId="600865DA" w14:textId="77777777" w:rsidR="00DF410E" w:rsidRDefault="00CE7F43">
      <w:r>
        <w:t>[NBN ISO 7729, Assemblages verticaux courants entre deux composants de façade en béton ordinaire - Propriétés, caractéristiques et éléments de la classification]</w:t>
      </w:r>
    </w:p>
    <w:p w14:paraId="3D385701" w14:textId="77777777" w:rsidR="00DF410E" w:rsidRDefault="00CE7F43">
      <w:pPr>
        <w:pStyle w:val="Author-eSectionHeading6"/>
      </w:pPr>
      <w:bookmarkStart w:id="1008" w:name="_Toc178838148"/>
      <w:r>
        <w:t>22.62.1a Joints de retrait CCTB 01.11</w:t>
      </w:r>
      <w:bookmarkEnd w:id="1008"/>
    </w:p>
    <w:p w14:paraId="356E900A" w14:textId="77777777" w:rsidR="00DF410E" w:rsidRDefault="00CE7F43">
      <w:pPr>
        <w:pStyle w:val="pheading"/>
      </w:pPr>
      <w:r>
        <w:t>DESCRIPTION</w:t>
      </w:r>
    </w:p>
    <w:p w14:paraId="6D989ED4" w14:textId="77777777" w:rsidR="00DF410E" w:rsidRDefault="00CE7F43">
      <w:pPr>
        <w:pStyle w:val="pheading"/>
      </w:pPr>
      <w:r>
        <w:t>- Définition / Comprend</w:t>
      </w:r>
    </w:p>
    <w:p w14:paraId="13122AFF" w14:textId="77777777" w:rsidR="00DF410E" w:rsidRDefault="00CE7F43">
      <w:pPr>
        <w:jc w:val="both"/>
      </w:pPr>
      <w:r>
        <w:t>Il s’agit de la mise en œuvre de joints de fractionnement créés à postériori dans les dalles de sol en béton. Ils servent à les diviser en surfaces plus restreintes de manière à réduire les tensions qui résultent des mouvements thermiques et/ou du retrait (hydraulique ou de séchage). Leur mise en œuvre permet de créer des zones localement plus faibles où la dalle en béton se fissurera de manière à éviter la formation de fissures irrégulières à la surface.</w:t>
      </w:r>
    </w:p>
    <w:p w14:paraId="3B083567" w14:textId="77777777" w:rsidR="00DF410E" w:rsidRDefault="00CE7F43">
      <w:pPr>
        <w:pStyle w:val="pheading"/>
      </w:pPr>
      <w:r>
        <w:t>MATÉRIAUX</w:t>
      </w:r>
    </w:p>
    <w:p w14:paraId="44F5962C" w14:textId="77777777" w:rsidR="00DF410E" w:rsidRDefault="00CE7F43">
      <w:pPr>
        <w:pStyle w:val="pheading"/>
      </w:pPr>
      <w:r>
        <w:t>- Finitions</w:t>
      </w:r>
    </w:p>
    <w:p w14:paraId="1C8EE317" w14:textId="77777777" w:rsidR="00DF410E" w:rsidRDefault="00CE7F43">
      <w:r>
        <w:t xml:space="preserve">Finition des joints : </w:t>
      </w:r>
      <w:r>
        <w:rPr>
          <w:rStyle w:val="optioncarChar"/>
        </w:rPr>
        <w:t>pas de finition</w:t>
      </w:r>
      <w:r>
        <w:t xml:space="preserve"> (par défaut) </w:t>
      </w:r>
      <w:r>
        <w:rPr>
          <w:rStyle w:val="optioncarChar"/>
        </w:rPr>
        <w:t>/ joint de remplissage</w:t>
      </w:r>
      <w:r>
        <w:t>.</w:t>
      </w:r>
    </w:p>
    <w:p w14:paraId="30AA9950" w14:textId="77777777" w:rsidR="00DF410E" w:rsidRDefault="00CE7F43">
      <w:r>
        <w:rPr>
          <w:b/>
        </w:rPr>
        <w:t>(soit par défaut)</w:t>
      </w:r>
      <w:r>
        <w:br/>
      </w:r>
      <w:r>
        <w:rPr>
          <w:rStyle w:val="soitChar"/>
          <w:u w:val="single"/>
        </w:rPr>
        <w:t>Pas de finition :</w:t>
      </w:r>
      <w:r>
        <w:rPr>
          <w:rStyle w:val="soitChar"/>
        </w:rPr>
        <w:t xml:space="preserve"> pas d’application</w:t>
      </w:r>
      <w:r>
        <w:br/>
      </w:r>
      <w:r>
        <w:rPr>
          <w:b/>
        </w:rPr>
        <w:t>(soit)</w:t>
      </w:r>
      <w:r>
        <w:br/>
      </w:r>
      <w:r>
        <w:rPr>
          <w:rStyle w:val="soitChar"/>
          <w:u w:val="single"/>
        </w:rPr>
        <w:t>Joint de remplissage :</w:t>
      </w:r>
      <w:r>
        <w:rPr>
          <w:rStyle w:val="soitChar"/>
        </w:rPr>
        <w:t xml:space="preserve"> conformément aux prescriptions du </w:t>
      </w:r>
      <w:hyperlink w:anchor="527" w:history="1">
        <w:r>
          <w:rPr>
            <w:rStyle w:val="soitChar"/>
          </w:rPr>
          <w:t>22.63.1 Joints de remplissage</w:t>
        </w:r>
      </w:hyperlink>
      <w:r>
        <w:rPr>
          <w:rStyle w:val="soitChar"/>
        </w:rPr>
        <w:t>.</w:t>
      </w:r>
    </w:p>
    <w:p w14:paraId="1BC84F22" w14:textId="77777777" w:rsidR="00DF410E" w:rsidRDefault="00CE7F43">
      <w:pPr>
        <w:pStyle w:val="pheading"/>
      </w:pPr>
      <w:r>
        <w:t>EXÉCUTION / MISE EN ŒUVRE</w:t>
      </w:r>
    </w:p>
    <w:p w14:paraId="6E908040" w14:textId="77777777" w:rsidR="00DF410E" w:rsidRDefault="00CE7F43">
      <w:pPr>
        <w:pStyle w:val="pheading"/>
      </w:pPr>
      <w:r>
        <w:t>- Prescriptions générales</w:t>
      </w:r>
    </w:p>
    <w:p w14:paraId="3894FA3B" w14:textId="77777777" w:rsidR="00DF410E" w:rsidRDefault="00DF410E"/>
    <w:p w14:paraId="46508153" w14:textId="77777777" w:rsidR="00DF410E" w:rsidRDefault="00CE7F43">
      <w:pPr>
        <w:pStyle w:val="Author-eListParagraph"/>
        <w:numPr>
          <w:ilvl w:val="0"/>
          <w:numId w:val="664"/>
        </w:numPr>
        <w:jc w:val="both"/>
      </w:pPr>
      <w:r>
        <w:t xml:space="preserve">Temps de séchage du béton avant sciage de la dalle : </w:t>
      </w:r>
      <w:r>
        <w:rPr>
          <w:rStyle w:val="optioncarChar"/>
        </w:rPr>
        <w:t>24</w:t>
      </w:r>
      <w:r>
        <w:t xml:space="preserve"> (par défaut)</w:t>
      </w:r>
      <w:r>
        <w:rPr>
          <w:rStyle w:val="optioncarChar"/>
        </w:rPr>
        <w:t xml:space="preserve"> / ***</w:t>
      </w:r>
      <w:r>
        <w:t xml:space="preserve"> heures.</w:t>
      </w:r>
    </w:p>
    <w:p w14:paraId="197E2977" w14:textId="77777777" w:rsidR="00DF410E" w:rsidRDefault="00CE7F43">
      <w:pPr>
        <w:pStyle w:val="Author-eListParagraph"/>
        <w:numPr>
          <w:ilvl w:val="0"/>
          <w:numId w:val="664"/>
        </w:numPr>
        <w:jc w:val="both"/>
      </w:pPr>
      <w:r>
        <w:t xml:space="preserve">Profondeur du joint : </w:t>
      </w:r>
      <w:r>
        <w:rPr>
          <w:rStyle w:val="optioncarChar"/>
        </w:rPr>
        <w:t>1/4 à 1/3 de l’épaisseur de la dalle</w:t>
      </w:r>
      <w:r>
        <w:t xml:space="preserve"> (par défaut)</w:t>
      </w:r>
      <w:r>
        <w:rPr>
          <w:rStyle w:val="optioncarChar"/>
        </w:rPr>
        <w:t xml:space="preserve"> / ***</w:t>
      </w:r>
      <w:r>
        <w:t xml:space="preserve"> cm.</w:t>
      </w:r>
    </w:p>
    <w:p w14:paraId="18098BAE" w14:textId="77777777" w:rsidR="00DF410E" w:rsidRDefault="00CE7F43">
      <w:pPr>
        <w:pStyle w:val="Author-eListParagraph"/>
        <w:numPr>
          <w:ilvl w:val="0"/>
          <w:numId w:val="664"/>
        </w:numPr>
        <w:jc w:val="both"/>
      </w:pPr>
      <w:r>
        <w:t xml:space="preserve">Largeur du joint : </w:t>
      </w:r>
      <w:r>
        <w:rPr>
          <w:rStyle w:val="optioncarChar"/>
        </w:rPr>
        <w:t xml:space="preserve">5 </w:t>
      </w:r>
      <w:r>
        <w:t xml:space="preserve">(par défaut) </w:t>
      </w:r>
      <w:r>
        <w:rPr>
          <w:rStyle w:val="optioncarChar"/>
        </w:rPr>
        <w:t>/ 3 / ***</w:t>
      </w:r>
      <w:r>
        <w:t xml:space="preserve"> mm.</w:t>
      </w:r>
    </w:p>
    <w:p w14:paraId="414056B2" w14:textId="77777777" w:rsidR="00DF410E" w:rsidRDefault="00CE7F43">
      <w:pPr>
        <w:pStyle w:val="pheading"/>
      </w:pPr>
      <w:r>
        <w:t>MESURAGE</w:t>
      </w:r>
    </w:p>
    <w:p w14:paraId="5C4AC540" w14:textId="77777777" w:rsidR="00DF410E" w:rsidRDefault="00CE7F43">
      <w:pPr>
        <w:pStyle w:val="pheading"/>
      </w:pPr>
      <w:r>
        <w:t>- unité de mesure:</w:t>
      </w:r>
    </w:p>
    <w:p w14:paraId="3B7E193E" w14:textId="77777777" w:rsidR="00DF410E" w:rsidRDefault="00CE7F43">
      <w:r>
        <w:rPr>
          <w:rStyle w:val="optioncarChar"/>
        </w:rPr>
        <w:t xml:space="preserve">- </w:t>
      </w:r>
      <w:r>
        <w:t>(par défaut)</w:t>
      </w:r>
      <w:r>
        <w:rPr>
          <w:rStyle w:val="optioncarChar"/>
        </w:rPr>
        <w:t xml:space="preserve"> / m </w:t>
      </w:r>
    </w:p>
    <w:p w14:paraId="6F9B3610" w14:textId="77777777" w:rsidR="00DF410E" w:rsidRDefault="00CE7F43">
      <w:r>
        <w:rPr>
          <w:b/>
        </w:rPr>
        <w:t>(soit par défaut) </w:t>
      </w:r>
      <w:r>
        <w:br/>
      </w:r>
      <w:r>
        <w:rPr>
          <w:rStyle w:val="soitChar"/>
        </w:rPr>
        <w:t>1. – </w:t>
      </w:r>
      <w:r>
        <w:br/>
      </w:r>
      <w:r>
        <w:rPr>
          <w:b/>
        </w:rPr>
        <w:t>(soit) </w:t>
      </w:r>
      <w:r>
        <w:br/>
      </w:r>
      <w:r>
        <w:rPr>
          <w:rStyle w:val="soitChar"/>
        </w:rPr>
        <w:t>2.3. m </w:t>
      </w:r>
    </w:p>
    <w:p w14:paraId="3075FC26" w14:textId="77777777" w:rsidR="00DF410E" w:rsidRDefault="00CE7F43">
      <w:pPr>
        <w:pStyle w:val="pheading"/>
      </w:pPr>
      <w:r>
        <w:t>- code de mesurage:</w:t>
      </w:r>
    </w:p>
    <w:p w14:paraId="39570CDB" w14:textId="77777777" w:rsidR="00DF410E" w:rsidRDefault="00CE7F43">
      <w:r>
        <w:rPr>
          <w:rStyle w:val="optioncarChar"/>
        </w:rPr>
        <w:t>Compris</w:t>
      </w:r>
      <w:r>
        <w:t xml:space="preserve"> (par défaut)</w:t>
      </w:r>
      <w:r>
        <w:rPr>
          <w:rStyle w:val="optioncarChar"/>
        </w:rPr>
        <w:t xml:space="preserve"> / Longueur nette. </w:t>
      </w:r>
    </w:p>
    <w:p w14:paraId="5B94F93C" w14:textId="77777777" w:rsidR="00DF410E" w:rsidRDefault="00CE7F43">
      <w:r>
        <w:rPr>
          <w:b/>
        </w:rPr>
        <w:t>(soit par défaut) </w:t>
      </w:r>
      <w:r>
        <w:br/>
      </w:r>
      <w:r>
        <w:rPr>
          <w:rStyle w:val="soitChar"/>
        </w:rPr>
        <w:t xml:space="preserve">1. </w:t>
      </w:r>
      <w:r>
        <w:rPr>
          <w:rStyle w:val="soitChar"/>
          <w:u w:val="single"/>
        </w:rPr>
        <w:t>Compris</w:t>
      </w:r>
      <w:r>
        <w:rPr>
          <w:rStyle w:val="soitChar"/>
        </w:rPr>
        <w:t xml:space="preserve"> dans les articles du </w:t>
      </w:r>
      <w:hyperlink w:anchor="87" w:history="1">
        <w:r>
          <w:rPr>
            <w:rStyle w:val="soitChar"/>
          </w:rPr>
          <w:t>22 Superstructures en béton</w:t>
        </w:r>
      </w:hyperlink>
      <w:r>
        <w:rPr>
          <w:rStyle w:val="soitChar"/>
        </w:rPr>
        <w:t>. </w:t>
      </w:r>
      <w:r>
        <w:br/>
      </w:r>
      <w:r>
        <w:rPr>
          <w:b/>
        </w:rPr>
        <w:t>(soit) </w:t>
      </w:r>
      <w:r>
        <w:br/>
      </w:r>
      <w:r>
        <w:rPr>
          <w:rStyle w:val="soitChar"/>
        </w:rPr>
        <w:t xml:space="preserve">2. 3. </w:t>
      </w:r>
      <w:r>
        <w:rPr>
          <w:rStyle w:val="soitChar"/>
          <w:u w:val="single"/>
        </w:rPr>
        <w:t>Longueur nette</w:t>
      </w:r>
      <w:r>
        <w:rPr>
          <w:rStyle w:val="soitChar"/>
        </w:rPr>
        <w:t xml:space="preserve"> sans tenir compte de la largeur de joints.</w:t>
      </w:r>
    </w:p>
    <w:p w14:paraId="7D2A5E2A" w14:textId="77777777" w:rsidR="00DF410E" w:rsidRDefault="00CE7F43">
      <w:pPr>
        <w:pStyle w:val="Author-eSectionHeading4"/>
      </w:pPr>
      <w:bookmarkStart w:id="1009" w:name="_Toc178838149"/>
      <w:r>
        <w:t>22.63 Joints de remplissage CCTB 01.04</w:t>
      </w:r>
      <w:bookmarkEnd w:id="1009"/>
    </w:p>
    <w:p w14:paraId="5D6B7C9F" w14:textId="77777777" w:rsidR="00DF410E" w:rsidRDefault="00CE7F43">
      <w:pPr>
        <w:pStyle w:val="Author-eSectionHeading5"/>
      </w:pPr>
      <w:bookmarkStart w:id="1010" w:name="_Toc178838150"/>
      <w:r>
        <w:t>22.63.1 Joints de remplissage CCTB 01.11</w:t>
      </w:r>
      <w:bookmarkEnd w:id="1010"/>
    </w:p>
    <w:p w14:paraId="7F98DA44" w14:textId="77777777" w:rsidR="00DF410E" w:rsidRDefault="00CE7F43">
      <w:pPr>
        <w:pStyle w:val="pheading"/>
      </w:pPr>
      <w:bookmarkStart w:id="1011" w:name="527"/>
      <w:bookmarkEnd w:id="1011"/>
      <w:r>
        <w:t>DESCRIPTION</w:t>
      </w:r>
    </w:p>
    <w:p w14:paraId="25FA623C" w14:textId="77777777" w:rsidR="00DF410E" w:rsidRDefault="00CE7F43">
      <w:pPr>
        <w:pStyle w:val="pheading"/>
      </w:pPr>
      <w:r>
        <w:t>- Définition / Comprend</w:t>
      </w:r>
    </w:p>
    <w:p w14:paraId="11975145" w14:textId="77777777" w:rsidR="00DF410E" w:rsidRDefault="00CE7F43">
      <w:pPr>
        <w:jc w:val="both"/>
      </w:pPr>
      <w:r>
        <w:t>Il s’agit de la préparation, de la fourniture et de l’application de joints de remplissage pour les joints structuraux décrits dans le cahier spécial des charges.</w:t>
      </w:r>
    </w:p>
    <w:p w14:paraId="751583C1" w14:textId="77777777" w:rsidR="00DF410E" w:rsidRDefault="00CE7F43">
      <w:pPr>
        <w:jc w:val="both"/>
      </w:pPr>
      <w:r>
        <w:t>Ce travail comprend notamment :</w:t>
      </w:r>
    </w:p>
    <w:p w14:paraId="556C6C16" w14:textId="77777777" w:rsidR="00DF410E" w:rsidRDefault="00CE7F43">
      <w:pPr>
        <w:pStyle w:val="Author-eListParagraph"/>
        <w:numPr>
          <w:ilvl w:val="0"/>
          <w:numId w:val="665"/>
        </w:numPr>
        <w:jc w:val="both"/>
      </w:pPr>
      <w:r>
        <w:t>la vérification préalable des joints à combler ;</w:t>
      </w:r>
    </w:p>
    <w:p w14:paraId="3B7B7444" w14:textId="77777777" w:rsidR="00DF410E" w:rsidRDefault="00CE7F43">
      <w:pPr>
        <w:pStyle w:val="Author-eListParagraph"/>
        <w:numPr>
          <w:ilvl w:val="0"/>
          <w:numId w:val="665"/>
        </w:numPr>
        <w:jc w:val="both"/>
      </w:pPr>
      <w:r>
        <w:t>le nettoyage des joints et des matériaux attenants ;</w:t>
      </w:r>
    </w:p>
    <w:p w14:paraId="0A281A3D" w14:textId="77777777" w:rsidR="00DF410E" w:rsidRDefault="00CE7F43">
      <w:pPr>
        <w:pStyle w:val="Author-eListParagraph"/>
        <w:numPr>
          <w:ilvl w:val="0"/>
          <w:numId w:val="665"/>
        </w:numPr>
        <w:jc w:val="both"/>
      </w:pPr>
      <w:r>
        <w:t>éventuellement, la pose de matériaux de remplissage des joints qui servent de fond ou de support pour le joint de remplissage ;</w:t>
      </w:r>
    </w:p>
    <w:p w14:paraId="3F835F37" w14:textId="77777777" w:rsidR="00DF410E" w:rsidRDefault="00CE7F43">
      <w:pPr>
        <w:pStyle w:val="Author-eListParagraph"/>
        <w:numPr>
          <w:ilvl w:val="0"/>
          <w:numId w:val="665"/>
        </w:numPr>
        <w:jc w:val="both"/>
      </w:pPr>
      <w:r>
        <w:t>l'application du joint de remplissage et l'enlèvement des matériaux excédentaires.</w:t>
      </w:r>
    </w:p>
    <w:p w14:paraId="2DE89EA4" w14:textId="77777777" w:rsidR="00DF410E" w:rsidRDefault="00CE7F43">
      <w:pPr>
        <w:pStyle w:val="pheading"/>
      </w:pPr>
      <w:r>
        <w:t>MATÉRIAUX</w:t>
      </w:r>
    </w:p>
    <w:p w14:paraId="501AD55D" w14:textId="77777777" w:rsidR="00DF410E" w:rsidRDefault="00CE7F43">
      <w:pPr>
        <w:jc w:val="both"/>
      </w:pPr>
      <w:r>
        <w:t>Le cordon d'étanchéité et le joint de remplissage sont adaptés au type de joint à combler (forme, dimensions, déformation), au degré de sollicitation et compatibles avec les matériaux attenants. Ils sont également résistant aux influences atmosphériques et chimiques.</w:t>
      </w:r>
    </w:p>
    <w:p w14:paraId="30783E2F" w14:textId="77777777" w:rsidR="00DF410E" w:rsidRDefault="00CE7F43">
      <w:pPr>
        <w:jc w:val="both"/>
      </w:pPr>
      <w:r>
        <w:rPr>
          <w:b/>
        </w:rPr>
        <w:t>Fond de joint</w:t>
      </w:r>
    </w:p>
    <w:p w14:paraId="0FF64C0C" w14:textId="77777777" w:rsidR="00DF410E" w:rsidRDefault="00CE7F43">
      <w:pPr>
        <w:pStyle w:val="Author-eListParagraph"/>
        <w:numPr>
          <w:ilvl w:val="0"/>
          <w:numId w:val="666"/>
        </w:numPr>
        <w:jc w:val="both"/>
      </w:pPr>
      <w:r>
        <w:rPr>
          <w:rStyle w:val="optioncarChar"/>
        </w:rPr>
        <w:t xml:space="preserve">cordon pré-comprimé en mousse de polyuréthane imprégnée d’un produit à base de paraffine chlorée et de néoprène </w:t>
      </w:r>
      <w:r>
        <w:t>(par défaut)</w:t>
      </w:r>
      <w:r>
        <w:rPr>
          <w:rStyle w:val="optioncarChar"/>
        </w:rPr>
        <w:t xml:space="preserve"> / ***</w:t>
      </w:r>
      <w:r>
        <w:t>.</w:t>
      </w:r>
    </w:p>
    <w:p w14:paraId="76D019F5" w14:textId="77777777" w:rsidR="00DF410E" w:rsidRDefault="00CE7F43">
      <w:pPr>
        <w:pStyle w:val="Author-eListParagraph"/>
        <w:numPr>
          <w:ilvl w:val="0"/>
          <w:numId w:val="666"/>
        </w:numPr>
        <w:jc w:val="both"/>
      </w:pPr>
      <w:r>
        <w:t>dimensions : l’épaisseur du cordon est d'au moins deux fois celle du joint à combler.</w:t>
      </w:r>
    </w:p>
    <w:p w14:paraId="2880D5A6" w14:textId="77777777" w:rsidR="00DF410E" w:rsidRDefault="00CE7F43">
      <w:pPr>
        <w:pStyle w:val="pheading"/>
      </w:pPr>
      <w:r>
        <w:t>EXÉCUTION / MISE EN ŒUVRE</w:t>
      </w:r>
    </w:p>
    <w:p w14:paraId="71910EB4" w14:textId="77777777" w:rsidR="00DF410E" w:rsidRDefault="00CE7F43">
      <w:pPr>
        <w:jc w:val="both"/>
      </w:pPr>
      <w:r>
        <w:rPr>
          <w:b/>
        </w:rPr>
        <w:t>Fond de joint</w:t>
      </w:r>
    </w:p>
    <w:p w14:paraId="64EE0194" w14:textId="77777777" w:rsidR="00DF410E" w:rsidRDefault="00CE7F43">
      <w:pPr>
        <w:jc w:val="both"/>
      </w:pPr>
      <w:r>
        <w:t>Après avoir nettoyé le joint et les matériaux attenants, le cordon est exécuté en longueurs maximales, posé en alignement droit et placé suivant les directives du fabricant. La face vue est réalisée en profondeur.</w:t>
      </w:r>
    </w:p>
    <w:p w14:paraId="19BF8414" w14:textId="77777777" w:rsidR="00DF410E" w:rsidRDefault="00CE7F43">
      <w:pPr>
        <w:jc w:val="both"/>
      </w:pPr>
      <w:r>
        <w:t>Avant la mise en œuvre, le ruban est comprimé jusqu’à 20% de son épaisseur nominale. Après la pose, il gonfle lentement jusqu’à l’obtention d’une étanchéité parfaite à l’air et à l’eau.</w:t>
      </w:r>
    </w:p>
    <w:p w14:paraId="633AA9A9" w14:textId="77777777" w:rsidR="00DF410E" w:rsidRDefault="00CE7F43">
      <w:pPr>
        <w:jc w:val="both"/>
      </w:pPr>
      <w:r>
        <w:rPr>
          <w:b/>
        </w:rPr>
        <w:t>Joint de remplissage</w:t>
      </w:r>
    </w:p>
    <w:p w14:paraId="5C8BB3A6" w14:textId="77777777" w:rsidR="00DF410E" w:rsidRDefault="00CE7F43">
      <w:pPr>
        <w:jc w:val="both"/>
      </w:pPr>
      <w:r>
        <w:t>Les travaux sont exécutés lorsque le support est sec et que la température superficielle est supérieure à 5°C. Il est interdit d'appliquer le joint par temps de pluie ou de brouillard.</w:t>
      </w:r>
    </w:p>
    <w:p w14:paraId="7677DFC9" w14:textId="77777777" w:rsidR="00DF410E" w:rsidRDefault="00CE7F43">
      <w:pPr>
        <w:jc w:val="both"/>
      </w:pPr>
      <w:r>
        <w:t>Avant d'appliquer le joint, le support est débarrassé de toute poussière et de toute graisse. Le cas échéant, un primer est appliqué afin d'assurer une meilleure adhérence.</w:t>
      </w:r>
    </w:p>
    <w:p w14:paraId="6FD12537" w14:textId="77777777" w:rsidR="00DF410E" w:rsidRDefault="00CE7F43">
      <w:pPr>
        <w:jc w:val="both"/>
      </w:pPr>
      <w:r>
        <w:t>Lorsqu'il y a risque d'allongement inégal du remplissage des joints, une couche antiadhérente est appliquée sur le fond de joint.</w:t>
      </w:r>
    </w:p>
    <w:p w14:paraId="458DB148" w14:textId="77777777" w:rsidR="00DF410E" w:rsidRDefault="00CE7F43">
      <w:pPr>
        <w:jc w:val="both"/>
      </w:pPr>
      <w:r>
        <w:t>La profondeur des joints est au moins égale à la moitié de la largeur du joint, avec un minimum de 6 mm.</w:t>
      </w:r>
    </w:p>
    <w:p w14:paraId="67D6EC33" w14:textId="77777777" w:rsidR="00DF410E" w:rsidRDefault="00DF410E">
      <w:pPr>
        <w:jc w:val="both"/>
      </w:pPr>
    </w:p>
    <w:p w14:paraId="3B304096" w14:textId="77777777" w:rsidR="00DF410E" w:rsidRDefault="00CE7F43">
      <w:pPr>
        <w:jc w:val="both"/>
      </w:pPr>
      <w:r>
        <w:t xml:space="preserve">La face vue est exécutée avec un léger creux et </w:t>
      </w:r>
      <w:r>
        <w:rPr>
          <w:rStyle w:val="optioncarChar"/>
        </w:rPr>
        <w:t>est / n’est pas</w:t>
      </w:r>
      <w:r>
        <w:t xml:space="preserve"> en retrait.</w:t>
      </w:r>
    </w:p>
    <w:p w14:paraId="452A8F16" w14:textId="77777777" w:rsidR="00DF410E" w:rsidRDefault="00DF410E">
      <w:pPr>
        <w:jc w:val="both"/>
      </w:pPr>
    </w:p>
    <w:p w14:paraId="0CC01B9B" w14:textId="77777777" w:rsidR="00DF410E" w:rsidRDefault="00CE7F43">
      <w:pPr>
        <w:jc w:val="both"/>
      </w:pPr>
      <w:r>
        <w:t>Au préalable, les lèvres des joints sont protégées à l'aide de bandes adhésives qui sont enlevées immédiatement après le lissage du joint. Les joints sont achevés proprement, en ligne droite et lissés à l'aide d'une solution savonneuse avant la formation de la pellicule.</w:t>
      </w:r>
    </w:p>
    <w:p w14:paraId="40EFD044" w14:textId="77777777" w:rsidR="00DF410E" w:rsidRDefault="00CE7F43">
      <w:pPr>
        <w:jc w:val="both"/>
      </w:pPr>
      <w:r>
        <w:t>Les matériaux excédentaires et les taches sont soigneusement enlevés.</w:t>
      </w:r>
    </w:p>
    <w:p w14:paraId="4B159B11" w14:textId="77777777" w:rsidR="00DF410E" w:rsidRDefault="00CE7F43">
      <w:pPr>
        <w:pStyle w:val="pheading"/>
      </w:pPr>
      <w:r>
        <w:t>DOCUMENTS DE RÉFÉRENCE</w:t>
      </w:r>
    </w:p>
    <w:p w14:paraId="16EAB744" w14:textId="77777777" w:rsidR="00DF410E" w:rsidRDefault="00CE7F43">
      <w:pPr>
        <w:pStyle w:val="pheading"/>
      </w:pPr>
      <w:r>
        <w:t>- Matériau</w:t>
      </w:r>
    </w:p>
    <w:p w14:paraId="4585683F" w14:textId="77777777" w:rsidR="00DF410E" w:rsidRDefault="00CE7F43">
      <w:r>
        <w:t>[NIT 224, Hydrofugation de surface (remplace la NIT 140).]</w:t>
      </w:r>
    </w:p>
    <w:p w14:paraId="29FD09BC" w14:textId="77777777" w:rsidR="00DF410E" w:rsidRDefault="00CE7F43">
      <w:r>
        <w:t>[NIT 252, L'humidité dans les constructions. Particularités de l'humidité ascensionnelle (remplace la NIT 210).]</w:t>
      </w:r>
    </w:p>
    <w:p w14:paraId="6B6B4AC2" w14:textId="77777777" w:rsidR="00DF410E" w:rsidRDefault="00CE7F43">
      <w:r>
        <w:t>[NIT 208, Jointoiement des maçonneries.]</w:t>
      </w:r>
    </w:p>
    <w:p w14:paraId="0E1FF009" w14:textId="77777777" w:rsidR="00DF410E" w:rsidRDefault="00CE7F43">
      <w:r>
        <w:t>[NIT 209, Les enduits extérieurs (partiellement remplacée par la NIT 257).]</w:t>
      </w:r>
    </w:p>
    <w:p w14:paraId="7A4850F9" w14:textId="77777777" w:rsidR="00DF410E" w:rsidRDefault="00CE7F43">
      <w:r>
        <w:t>[NBN ISO 6589, Joints dans le bâtiment - Méthode d'essai en laboratoire de perméabilité à l'air des joints]</w:t>
      </w:r>
    </w:p>
    <w:p w14:paraId="43575A24" w14:textId="77777777" w:rsidR="00DF410E" w:rsidRDefault="00CE7F43">
      <w:r>
        <w:t>[NBN EN ISO 6927, Mastics pour le bâtiment et le génie civil - Vocabulaire (ISO 6927:2021)]</w:t>
      </w:r>
    </w:p>
    <w:p w14:paraId="0929F052" w14:textId="77777777" w:rsidR="00DF410E" w:rsidRDefault="00CE7F43">
      <w:r>
        <w:t>[NBN ISO 7727, Joints dans le bâtiment - Principes de jonction des composants de bâtiment - Aptitude des joints à s'accommoder des écarts dimensionnels en cours de construction]</w:t>
      </w:r>
    </w:p>
    <w:p w14:paraId="28F53A14" w14:textId="77777777" w:rsidR="00DF410E" w:rsidRDefault="00CE7F43">
      <w:r>
        <w:t>[NBN EN ISO 8339, Construction immobilière - Mastics - Détermination des propriétés de traction (Allongement jusqu'à rupture) (ISO 8339:2005)]</w:t>
      </w:r>
    </w:p>
    <w:p w14:paraId="62C1E542" w14:textId="77777777" w:rsidR="00DF410E" w:rsidRDefault="00CE7F43">
      <w:r>
        <w:t>[NBN EN ISO 8394 série, Construction immobilière - Produits pour joints - Détermination de l’extrudabilité des mastics à un composant]</w:t>
      </w:r>
    </w:p>
    <w:p w14:paraId="43850691" w14:textId="77777777" w:rsidR="00DF410E" w:rsidRDefault="00CE7F43">
      <w:r>
        <w:t>[NBN EN ISO 9046, Mastics pour le bâtiment et le génie civil - Détermination des propriétés d'adhésivité/cohésion à température constante (ISO 9046:2021)]</w:t>
      </w:r>
    </w:p>
    <w:p w14:paraId="6159D09A" w14:textId="77777777" w:rsidR="00DF410E" w:rsidRDefault="00CE7F43">
      <w:r>
        <w:t>[NBN EN ISO 9047, Construction immobilière - Produits pour joints - Détermination des propriétés d'adhésivité/cohésion des mastics à température variable (ISO 9047:2001)]</w:t>
      </w:r>
    </w:p>
    <w:p w14:paraId="4DA47B50" w14:textId="77777777" w:rsidR="00DF410E" w:rsidRDefault="00CE7F43">
      <w:r>
        <w:t>[NBN EN ISO 7390, Construction immobilière - Produits pour joints - Détermination de la résistance au coulage des mastics (ISO 7390:2003)]</w:t>
      </w:r>
    </w:p>
    <w:p w14:paraId="3A1B7DF6" w14:textId="77777777" w:rsidR="00DF410E" w:rsidRDefault="00CE7F43">
      <w:r>
        <w:t>[NBN ISO 7729, Assemblages verticaux courants entre deux composants de façade en béton ordinaire - Propriétés, caractéristiques et éléments de la classification]</w:t>
      </w:r>
    </w:p>
    <w:p w14:paraId="4BBC0E4C" w14:textId="77777777" w:rsidR="00DF410E" w:rsidRDefault="00CE7F43">
      <w:r>
        <w:t>[NBN EN ISO 10563, Mastics pour bâtiments et ouvrages de génie civil - Détermination des variations de masse et de volume (ISO 10563:2023)]</w:t>
      </w:r>
    </w:p>
    <w:p w14:paraId="087D61D7" w14:textId="77777777" w:rsidR="00DF410E" w:rsidRDefault="00CE7F43">
      <w:r>
        <w:t>[NBN EN ISO 10590, Construction immobilière - Mastics - Détermination des propriétés de déformation des mastics sous traction maintenue après immersion dans l'eau (ISO 10590:2005)]  </w:t>
      </w:r>
    </w:p>
    <w:p w14:paraId="4D1F1B9E" w14:textId="77777777" w:rsidR="00DF410E" w:rsidRDefault="00CE7F43">
      <w:r>
        <w:t>[NBN EN ISO 10591, Mastics pour bâtiments et ouvrages de génie civil - Détermination des propriétés d'adhésivité/cohésion des mastics après immersion dans l'eau(ISO 10591:2021)]</w:t>
      </w:r>
    </w:p>
    <w:p w14:paraId="3D73642D" w14:textId="77777777" w:rsidR="00DF410E" w:rsidRDefault="00CE7F43">
      <w:r>
        <w:t>[NBN EN ISO 11432, Mastics pour bâtiments et ouvrages de génie civil - Détermination de la résistance à la compression (ISO 11432:2021)]</w:t>
      </w:r>
    </w:p>
    <w:p w14:paraId="0ED6DBC8" w14:textId="77777777" w:rsidR="00DF410E" w:rsidRDefault="00CE7F43">
      <w:r>
        <w:t>[NBN EN ISO 11600, Construction immobilière - Produits pour joints - Classification et exigences pour les mastics (ISO 11600:2002)]</w:t>
      </w:r>
    </w:p>
    <w:p w14:paraId="63BA3B6E" w14:textId="77777777" w:rsidR="00DF410E" w:rsidRDefault="00CE7F43">
      <w:pPr>
        <w:pStyle w:val="pheading"/>
      </w:pPr>
      <w:r>
        <w:t>- Exécution</w:t>
      </w:r>
    </w:p>
    <w:p w14:paraId="7A86D881" w14:textId="77777777" w:rsidR="00DF410E" w:rsidRDefault="00CE7F43">
      <w:r>
        <w:t>[NIT 124, Joints d'étanchéité en mastic entre éléments de façade. Conception et exécution. (remplace la NIT 107).]</w:t>
      </w:r>
    </w:p>
    <w:p w14:paraId="222CBC22" w14:textId="77777777" w:rsidR="00DF410E" w:rsidRDefault="00CE7F43">
      <w:r>
        <w:t>[NBN ISO 2445, Joints dans le bâtiment - Principes de conception fondamentaux]</w:t>
      </w:r>
    </w:p>
    <w:p w14:paraId="293A3427" w14:textId="77777777" w:rsidR="00DF410E" w:rsidRDefault="00CE7F43">
      <w:pPr>
        <w:pStyle w:val="Author-eSectionHeading6"/>
      </w:pPr>
      <w:bookmarkStart w:id="1012" w:name="_Toc178838151"/>
      <w:r>
        <w:t>22.63.1a Joints de resserrage en mortier CCTB 01.11</w:t>
      </w:r>
      <w:bookmarkEnd w:id="1012"/>
    </w:p>
    <w:p w14:paraId="38EF80CE" w14:textId="77777777" w:rsidR="00DF410E" w:rsidRDefault="00CE7F43">
      <w:pPr>
        <w:pStyle w:val="pheading"/>
      </w:pPr>
      <w:r>
        <w:t>DESCRIPTION</w:t>
      </w:r>
    </w:p>
    <w:p w14:paraId="572D20FF" w14:textId="77777777" w:rsidR="00DF410E" w:rsidRDefault="00CE7F43">
      <w:pPr>
        <w:pStyle w:val="pheading"/>
      </w:pPr>
      <w:r>
        <w:t>- Définition / Comprend</w:t>
      </w:r>
    </w:p>
    <w:p w14:paraId="7957BF62" w14:textId="77777777" w:rsidR="00DF410E" w:rsidRDefault="00CE7F43">
      <w:pPr>
        <w:jc w:val="both"/>
      </w:pPr>
      <w:r>
        <w:t>Il s’agit du resserrage de joints de structure avec un joint en mortier.</w:t>
      </w:r>
    </w:p>
    <w:p w14:paraId="36561042" w14:textId="77777777" w:rsidR="00DF410E" w:rsidRDefault="00CE7F43">
      <w:pPr>
        <w:jc w:val="both"/>
      </w:pPr>
      <w:r>
        <w:t>Le travail comprend notamment :</w:t>
      </w:r>
    </w:p>
    <w:p w14:paraId="1EBA7EFB" w14:textId="77777777" w:rsidR="00DF410E" w:rsidRDefault="00CE7F43">
      <w:pPr>
        <w:pStyle w:val="Author-eListParagraph"/>
        <w:numPr>
          <w:ilvl w:val="0"/>
          <w:numId w:val="667"/>
        </w:numPr>
        <w:jc w:val="both"/>
      </w:pPr>
      <w:r>
        <w:t>la fourniture et la pose préalable d’un fond de joint ;</w:t>
      </w:r>
    </w:p>
    <w:p w14:paraId="73A63634" w14:textId="77777777" w:rsidR="00DF410E" w:rsidRDefault="00CE7F43">
      <w:pPr>
        <w:pStyle w:val="Author-eListParagraph"/>
        <w:numPr>
          <w:ilvl w:val="0"/>
          <w:numId w:val="667"/>
        </w:numPr>
        <w:jc w:val="both"/>
      </w:pPr>
      <w:r>
        <w:t>la fourniture et l’application du joint de resserrage.</w:t>
      </w:r>
    </w:p>
    <w:p w14:paraId="4A7A4C9F" w14:textId="77777777" w:rsidR="00DF410E" w:rsidRDefault="00CE7F43">
      <w:pPr>
        <w:pStyle w:val="pheading"/>
      </w:pPr>
      <w:r>
        <w:t>MATÉRIAUX</w:t>
      </w:r>
    </w:p>
    <w:p w14:paraId="50DA409C" w14:textId="77777777" w:rsidR="00DF410E" w:rsidRDefault="00CE7F43">
      <w:pPr>
        <w:pStyle w:val="pheading"/>
      </w:pPr>
      <w:r>
        <w:t>- Caractéristiques générales</w:t>
      </w:r>
    </w:p>
    <w:p w14:paraId="5FED7A22" w14:textId="77777777" w:rsidR="00DF410E" w:rsidRDefault="00CE7F43">
      <w:pPr>
        <w:jc w:val="both"/>
      </w:pPr>
      <w:r>
        <w:rPr>
          <w:b/>
        </w:rPr>
        <w:t>Joint de resserrage</w:t>
      </w:r>
    </w:p>
    <w:p w14:paraId="347365E9" w14:textId="77777777" w:rsidR="00DF410E" w:rsidRDefault="00DF410E">
      <w:pPr>
        <w:jc w:val="both"/>
      </w:pPr>
    </w:p>
    <w:p w14:paraId="4A196347" w14:textId="77777777" w:rsidR="00DF410E" w:rsidRDefault="00CE7F43">
      <w:pPr>
        <w:pStyle w:val="Author-eListParagraph"/>
        <w:numPr>
          <w:ilvl w:val="0"/>
          <w:numId w:val="668"/>
        </w:numPr>
        <w:jc w:val="both"/>
      </w:pPr>
      <w:r>
        <w:rPr>
          <w:rStyle w:val="optioncarChar"/>
        </w:rPr>
        <w:t>Mortier tri-composant à base de polyuréthane renforcé avec des agrégats et spécialement élaboré pour le resserrage de joints de structure</w:t>
      </w:r>
      <w:r>
        <w:t xml:space="preserve"> (par défaut) </w:t>
      </w:r>
      <w:r>
        <w:rPr>
          <w:rStyle w:val="optioncarChar"/>
        </w:rPr>
        <w:t>/ ***</w:t>
      </w:r>
      <w:r>
        <w:t>.</w:t>
      </w:r>
    </w:p>
    <w:p w14:paraId="4B026725" w14:textId="77777777" w:rsidR="00DF410E" w:rsidRDefault="00CE7F43">
      <w:pPr>
        <w:pStyle w:val="Author-eListParagraph"/>
        <w:numPr>
          <w:ilvl w:val="0"/>
          <w:numId w:val="668"/>
        </w:numPr>
        <w:jc w:val="both"/>
      </w:pPr>
      <w:r>
        <w:t xml:space="preserve">Largeur du joint : </w:t>
      </w:r>
      <w:r>
        <w:rPr>
          <w:rStyle w:val="optioncarChar"/>
        </w:rPr>
        <w:t>10</w:t>
      </w:r>
      <w:r>
        <w:t xml:space="preserve"> (par défaut) / </w:t>
      </w:r>
      <w:r>
        <w:rPr>
          <w:rStyle w:val="optioncarChar"/>
        </w:rPr>
        <w:t>20 / 30 / 50 / ***</w:t>
      </w:r>
      <w:r>
        <w:t xml:space="preserve"> mm.</w:t>
      </w:r>
    </w:p>
    <w:p w14:paraId="363BD3CE" w14:textId="77777777" w:rsidR="00DF410E" w:rsidRDefault="00CE7F43">
      <w:pPr>
        <w:pStyle w:val="pheading"/>
      </w:pPr>
      <w:r>
        <w:t>- Finitions</w:t>
      </w:r>
    </w:p>
    <w:p w14:paraId="303945C0" w14:textId="77777777" w:rsidR="00DF410E" w:rsidRDefault="00CE7F43">
      <w:pPr>
        <w:jc w:val="both"/>
      </w:pPr>
      <w:r>
        <w:t xml:space="preserve">Couleur du fond de joint : </w:t>
      </w:r>
      <w:r>
        <w:rPr>
          <w:rStyle w:val="optioncarChar"/>
        </w:rPr>
        <w:t xml:space="preserve">gris </w:t>
      </w:r>
      <w:r>
        <w:t xml:space="preserve">(par défaut) </w:t>
      </w:r>
      <w:r>
        <w:rPr>
          <w:rStyle w:val="optioncarChar"/>
        </w:rPr>
        <w:t>/ gris anthracite / ***</w:t>
      </w:r>
      <w:r>
        <w:t>.</w:t>
      </w:r>
    </w:p>
    <w:p w14:paraId="2035AE45" w14:textId="77777777" w:rsidR="00DF410E" w:rsidRDefault="00CE7F43">
      <w:pPr>
        <w:jc w:val="both"/>
      </w:pPr>
      <w:r>
        <w:t xml:space="preserve">Couleur du joint de resserrage : </w:t>
      </w:r>
      <w:r>
        <w:rPr>
          <w:rStyle w:val="optioncarChar"/>
        </w:rPr>
        <w:t xml:space="preserve">gris clair </w:t>
      </w:r>
      <w:r>
        <w:t>(par défaut)</w:t>
      </w:r>
      <w:r>
        <w:rPr>
          <w:rStyle w:val="optioncarChar"/>
        </w:rPr>
        <w:t xml:space="preserve"> / ***</w:t>
      </w:r>
      <w:r>
        <w:t>.</w:t>
      </w:r>
    </w:p>
    <w:p w14:paraId="466B4689" w14:textId="77777777" w:rsidR="00DF410E" w:rsidRDefault="00CE7F43">
      <w:pPr>
        <w:pStyle w:val="pheading"/>
      </w:pPr>
      <w:r>
        <w:t>EXÉCUTION / MISE EN ŒUVRE</w:t>
      </w:r>
    </w:p>
    <w:p w14:paraId="1C7DDBD3" w14:textId="77777777" w:rsidR="00DF410E" w:rsidRDefault="00CE7F43">
      <w:pPr>
        <w:pStyle w:val="pheading"/>
      </w:pPr>
      <w:r>
        <w:t>- Prescriptions générales</w:t>
      </w:r>
    </w:p>
    <w:p w14:paraId="2366F044" w14:textId="77777777" w:rsidR="00DF410E" w:rsidRDefault="00CE7F43">
      <w:pPr>
        <w:jc w:val="both"/>
      </w:pPr>
      <w:r>
        <w:rPr>
          <w:b/>
        </w:rPr>
        <w:t>Joint de resserrage</w:t>
      </w:r>
    </w:p>
    <w:p w14:paraId="3F1C2689" w14:textId="77777777" w:rsidR="00DF410E" w:rsidRDefault="00CE7F43">
      <w:pPr>
        <w:jc w:val="both"/>
      </w:pPr>
      <w:r>
        <w:t>Le remplissage des joints est effectué conformément aux prescriptions du fabricant.</w:t>
      </w:r>
    </w:p>
    <w:p w14:paraId="35FF3AB3" w14:textId="77777777" w:rsidR="00DF410E" w:rsidRDefault="00CE7F43">
      <w:pPr>
        <w:pStyle w:val="pheading"/>
      </w:pPr>
      <w:r>
        <w:t>MESURAGE</w:t>
      </w:r>
    </w:p>
    <w:p w14:paraId="1B7BB235" w14:textId="77777777" w:rsidR="00DF410E" w:rsidRDefault="00CE7F43">
      <w:pPr>
        <w:pStyle w:val="pheading"/>
      </w:pPr>
      <w:r>
        <w:t>- unité de mesure:</w:t>
      </w:r>
    </w:p>
    <w:p w14:paraId="7370522C" w14:textId="77777777" w:rsidR="00DF410E" w:rsidRDefault="00CE7F43">
      <w:r>
        <w:t>1.2. m</w:t>
      </w:r>
    </w:p>
    <w:p w14:paraId="370D67A8" w14:textId="77777777" w:rsidR="00DF410E" w:rsidRDefault="00CE7F43">
      <w:pPr>
        <w:pStyle w:val="pheading"/>
      </w:pPr>
      <w:r>
        <w:t>- code de mesurage:</w:t>
      </w:r>
    </w:p>
    <w:p w14:paraId="184E73AC" w14:textId="77777777" w:rsidR="00DF410E" w:rsidRDefault="00CE7F43">
      <w:r>
        <w:t>1.2 Longueur nette à exécuter ventilée en fonction de la largeur des joints.</w:t>
      </w:r>
    </w:p>
    <w:p w14:paraId="14B84695" w14:textId="77777777" w:rsidR="00DF410E" w:rsidRDefault="00CE7F43">
      <w:pPr>
        <w:pStyle w:val="pheading"/>
      </w:pPr>
      <w:r>
        <w:t>- nature du marché:</w:t>
      </w:r>
    </w:p>
    <w:p w14:paraId="7C788556" w14:textId="77777777" w:rsidR="00DF410E" w:rsidRDefault="00CE7F43">
      <w:r>
        <w:rPr>
          <w:rStyle w:val="optioncarChar"/>
        </w:rPr>
        <w:t>QF</w:t>
      </w:r>
      <w:r>
        <w:t xml:space="preserve"> (par défaut)</w:t>
      </w:r>
      <w:r>
        <w:rPr>
          <w:rStyle w:val="optioncarChar"/>
        </w:rPr>
        <w:t xml:space="preserve"> / QP</w:t>
      </w:r>
    </w:p>
    <w:p w14:paraId="36A031D3" w14:textId="77777777" w:rsidR="00DF410E" w:rsidRDefault="00CE7F43">
      <w:r>
        <w:rPr>
          <w:b/>
        </w:rPr>
        <w:t>(soit par défaut)</w:t>
      </w:r>
      <w:r>
        <w:br/>
      </w:r>
      <w:r>
        <w:rPr>
          <w:rStyle w:val="soitChar"/>
        </w:rPr>
        <w:t>1. QF</w:t>
      </w:r>
      <w:r>
        <w:br/>
      </w:r>
      <w:r>
        <w:rPr>
          <w:b/>
        </w:rPr>
        <w:t>(soit)</w:t>
      </w:r>
      <w:r>
        <w:br/>
      </w:r>
      <w:r>
        <w:rPr>
          <w:rStyle w:val="soitChar"/>
        </w:rPr>
        <w:t>2. QP</w:t>
      </w:r>
    </w:p>
    <w:p w14:paraId="3AA42F9D" w14:textId="77777777" w:rsidR="00DF410E" w:rsidRDefault="00CE7F43">
      <w:pPr>
        <w:pStyle w:val="Author-eSectionHeading6"/>
      </w:pPr>
      <w:bookmarkStart w:id="1013" w:name="_Toc178838152"/>
      <w:r>
        <w:t>22.63.1b Joints de remplissage autres qu'en mortier CCTB 01.11</w:t>
      </w:r>
      <w:bookmarkEnd w:id="1013"/>
    </w:p>
    <w:p w14:paraId="47C36A35" w14:textId="77777777" w:rsidR="00DF410E" w:rsidRDefault="00CE7F43">
      <w:pPr>
        <w:pStyle w:val="pheading"/>
      </w:pPr>
      <w:bookmarkStart w:id="1014" w:name="699"/>
      <w:bookmarkEnd w:id="1014"/>
      <w:r>
        <w:t>DESCRIPTION</w:t>
      </w:r>
    </w:p>
    <w:p w14:paraId="2ECE5ABB" w14:textId="77777777" w:rsidR="00DF410E" w:rsidRDefault="00CE7F43">
      <w:pPr>
        <w:pStyle w:val="pheading"/>
      </w:pPr>
      <w:r>
        <w:t>- Définition / Comprend</w:t>
      </w:r>
    </w:p>
    <w:p w14:paraId="3D7B8BDB" w14:textId="77777777" w:rsidR="00DF410E" w:rsidRDefault="00CE7F43">
      <w:pPr>
        <w:jc w:val="both"/>
      </w:pPr>
      <w:r>
        <w:t>Il s’agit du remplissage de joints de structure avec un joint autre qu’en mortier.</w:t>
      </w:r>
    </w:p>
    <w:p w14:paraId="47B114D1" w14:textId="77777777" w:rsidR="00DF410E" w:rsidRDefault="00CE7F43">
      <w:pPr>
        <w:jc w:val="both"/>
      </w:pPr>
      <w:r>
        <w:t>Le travail comprend notamment :</w:t>
      </w:r>
    </w:p>
    <w:p w14:paraId="6F7881F8" w14:textId="77777777" w:rsidR="00DF410E" w:rsidRDefault="00CE7F43">
      <w:pPr>
        <w:pStyle w:val="Author-eListParagraph"/>
        <w:numPr>
          <w:ilvl w:val="0"/>
          <w:numId w:val="669"/>
        </w:numPr>
        <w:jc w:val="both"/>
      </w:pPr>
      <w:r>
        <w:t>la fourniture et la pose préalable d’un fond de joint ;</w:t>
      </w:r>
    </w:p>
    <w:p w14:paraId="7D1F0472" w14:textId="77777777" w:rsidR="00DF410E" w:rsidRDefault="00CE7F43">
      <w:pPr>
        <w:pStyle w:val="Author-eListParagraph"/>
        <w:numPr>
          <w:ilvl w:val="0"/>
          <w:numId w:val="669"/>
        </w:numPr>
        <w:jc w:val="both"/>
      </w:pPr>
      <w:r>
        <w:t>la fourniture et l’application d’un joint élastique de finition.</w:t>
      </w:r>
    </w:p>
    <w:p w14:paraId="29FA8546" w14:textId="77777777" w:rsidR="00DF410E" w:rsidRDefault="00CE7F43">
      <w:pPr>
        <w:pStyle w:val="pheading"/>
      </w:pPr>
      <w:r>
        <w:t>MATÉRIAUX</w:t>
      </w:r>
    </w:p>
    <w:p w14:paraId="0AD78BA6" w14:textId="77777777" w:rsidR="00DF410E" w:rsidRDefault="00CE7F43">
      <w:pPr>
        <w:pStyle w:val="pheading"/>
      </w:pPr>
      <w:r>
        <w:t>- Caractéristiques générales</w:t>
      </w:r>
    </w:p>
    <w:p w14:paraId="0A152225" w14:textId="77777777" w:rsidR="00DF410E" w:rsidRDefault="00CE7F43">
      <w:pPr>
        <w:jc w:val="both"/>
      </w:pPr>
      <w:r>
        <w:rPr>
          <w:b/>
        </w:rPr>
        <w:t>Joint de remplissage</w:t>
      </w:r>
    </w:p>
    <w:p w14:paraId="67CB99D0" w14:textId="77777777" w:rsidR="00DF410E" w:rsidRDefault="00CE7F43">
      <w:pPr>
        <w:jc w:val="both"/>
      </w:pPr>
      <w:r>
        <w:rPr>
          <w:rStyle w:val="optioncarChar"/>
        </w:rPr>
        <w:t>Mastic élastique élastomère / type F</w:t>
      </w:r>
    </w:p>
    <w:p w14:paraId="08D8BF7F" w14:textId="77777777" w:rsidR="00DF410E" w:rsidRDefault="00CE7F43">
      <w:pPr>
        <w:jc w:val="both"/>
      </w:pPr>
      <w:r>
        <w:rPr>
          <w:b/>
        </w:rPr>
        <w:t>(soit)</w:t>
      </w:r>
    </w:p>
    <w:p w14:paraId="7E371312" w14:textId="77777777" w:rsidR="00DF410E" w:rsidRDefault="00CE7F43">
      <w:pPr>
        <w:jc w:val="both"/>
      </w:pPr>
      <w:r>
        <w:rPr>
          <w:rStyle w:val="soitChar"/>
          <w:u w:val="single"/>
        </w:rPr>
        <w:t>1. Mastic élastique élastomère</w:t>
      </w:r>
      <w:r>
        <w:rPr>
          <w:rStyle w:val="soitChar"/>
        </w:rPr>
        <w:t xml:space="preserve"> à une seule composante à base de silicones </w:t>
      </w:r>
      <w:r>
        <w:rPr>
          <w:rStyle w:val="optioncarChar"/>
        </w:rPr>
        <w:t>neutres qui peuvent être peints / acides qui ne peuvent pas être peints</w:t>
      </w:r>
      <w:r>
        <w:rPr>
          <w:rStyle w:val="soitChar"/>
        </w:rPr>
        <w:t>.</w:t>
      </w:r>
    </w:p>
    <w:p w14:paraId="21E392A0" w14:textId="77777777" w:rsidR="00DF410E" w:rsidRDefault="00CE7F43">
      <w:pPr>
        <w:jc w:val="both"/>
      </w:pPr>
      <w:r>
        <w:rPr>
          <w:b/>
        </w:rPr>
        <w:t>(soit)</w:t>
      </w:r>
    </w:p>
    <w:p w14:paraId="327CCBFB" w14:textId="77777777" w:rsidR="00DF410E" w:rsidRDefault="00CE7F43">
      <w:pPr>
        <w:jc w:val="both"/>
      </w:pPr>
      <w:r>
        <w:rPr>
          <w:rStyle w:val="soitChar"/>
        </w:rPr>
        <w:t xml:space="preserve">2. </w:t>
      </w:r>
      <w:r>
        <w:rPr>
          <w:rStyle w:val="soitChar"/>
          <w:u w:val="single"/>
        </w:rPr>
        <w:t>Type F</w:t>
      </w:r>
      <w:r>
        <w:rPr>
          <w:rStyle w:val="soitChar"/>
        </w:rPr>
        <w:t> appartenant selon la [NBN EN ISO 11600], au type F et répondant aux performances suivantes :</w:t>
      </w:r>
    </w:p>
    <w:p w14:paraId="78AA3D70" w14:textId="77777777" w:rsidR="00DF410E" w:rsidRDefault="00CE7F43">
      <w:pPr>
        <w:pStyle w:val="Author-eListParagraph"/>
        <w:numPr>
          <w:ilvl w:val="0"/>
          <w:numId w:val="670"/>
        </w:numPr>
        <w:jc w:val="both"/>
      </w:pPr>
      <w:r>
        <w:rPr>
          <w:rStyle w:val="soitChar"/>
        </w:rPr>
        <w:t xml:space="preserve">Classe : </w:t>
      </w:r>
      <w:r>
        <w:rPr>
          <w:rStyle w:val="optioncarChar"/>
        </w:rPr>
        <w:t>25</w:t>
      </w:r>
      <w:r>
        <w:t xml:space="preserve"> (par défaut)</w:t>
      </w:r>
      <w:r>
        <w:rPr>
          <w:rStyle w:val="optioncarChar"/>
        </w:rPr>
        <w:t xml:space="preserve"> / 20 / 12,5 / 7.A</w:t>
      </w:r>
    </w:p>
    <w:p w14:paraId="3603E90D" w14:textId="77777777" w:rsidR="00DF410E" w:rsidRDefault="00CE7F43">
      <w:pPr>
        <w:pStyle w:val="Author-eListParagraph"/>
        <w:numPr>
          <w:ilvl w:val="0"/>
          <w:numId w:val="670"/>
        </w:numPr>
        <w:jc w:val="both"/>
      </w:pPr>
      <w:r>
        <w:rPr>
          <w:rStyle w:val="soitChar"/>
        </w:rPr>
        <w:t>Sous-classe :</w:t>
      </w:r>
      <w:r>
        <w:t xml:space="preserve">  </w:t>
      </w:r>
      <w:r>
        <w:rPr>
          <w:rStyle w:val="optioncarChar"/>
        </w:rPr>
        <w:t>LM</w:t>
      </w:r>
      <w:r>
        <w:t xml:space="preserve"> (par défaut) </w:t>
      </w:r>
      <w:r>
        <w:rPr>
          <w:rStyle w:val="optioncarChar"/>
        </w:rPr>
        <w:t>/ HM</w:t>
      </w:r>
    </w:p>
    <w:p w14:paraId="4F1058D6" w14:textId="77777777" w:rsidR="00DF410E" w:rsidRDefault="00CE7F43">
      <w:pPr>
        <w:pStyle w:val="Author-eListParagraph"/>
        <w:numPr>
          <w:ilvl w:val="0"/>
          <w:numId w:val="670"/>
        </w:numPr>
        <w:jc w:val="both"/>
      </w:pPr>
      <w:r>
        <w:rPr>
          <w:rStyle w:val="soitChar"/>
        </w:rPr>
        <w:t xml:space="preserve">Largeur : </w:t>
      </w:r>
      <w:r>
        <w:rPr>
          <w:rStyle w:val="optioncarChar"/>
        </w:rPr>
        <w:t>10</w:t>
      </w:r>
      <w:r>
        <w:t xml:space="preserve"> (par défaut)</w:t>
      </w:r>
      <w:r>
        <w:rPr>
          <w:rStyle w:val="optioncarChar"/>
        </w:rPr>
        <w:t xml:space="preserve"> / 20 / 30 / ***</w:t>
      </w:r>
      <w:r>
        <w:rPr>
          <w:rStyle w:val="soitChar"/>
        </w:rPr>
        <w:t xml:space="preserve"> mm</w:t>
      </w:r>
    </w:p>
    <w:p w14:paraId="412CDDAA" w14:textId="77777777" w:rsidR="00DF410E" w:rsidRDefault="00CE7F43">
      <w:pPr>
        <w:pStyle w:val="pheading"/>
      </w:pPr>
      <w:r>
        <w:t>- Finitions</w:t>
      </w:r>
    </w:p>
    <w:p w14:paraId="71408704" w14:textId="77777777" w:rsidR="00DF410E" w:rsidRDefault="00CE7F43">
      <w:pPr>
        <w:jc w:val="both"/>
      </w:pPr>
      <w:r>
        <w:t xml:space="preserve">Couleur de fond de joint : </w:t>
      </w:r>
      <w:r>
        <w:rPr>
          <w:rStyle w:val="optioncarChar"/>
        </w:rPr>
        <w:t>gris</w:t>
      </w:r>
      <w:r>
        <w:t xml:space="preserve"> (par défaut)</w:t>
      </w:r>
      <w:r>
        <w:rPr>
          <w:rStyle w:val="optioncarChar"/>
        </w:rPr>
        <w:t xml:space="preserve"> / gris anthracite / ***</w:t>
      </w:r>
      <w:r>
        <w:t>.</w:t>
      </w:r>
    </w:p>
    <w:p w14:paraId="53889080" w14:textId="77777777" w:rsidR="00DF410E" w:rsidRDefault="00CE7F43">
      <w:pPr>
        <w:jc w:val="both"/>
      </w:pPr>
      <w:r>
        <w:t xml:space="preserve">Couleur de joint de remplissage : </w:t>
      </w:r>
      <w:r>
        <w:rPr>
          <w:rStyle w:val="optioncarChar"/>
        </w:rPr>
        <w:t>à déterminer en cours d'exécution</w:t>
      </w:r>
      <w:r>
        <w:t xml:space="preserve"> (par défaut)</w:t>
      </w:r>
      <w:r>
        <w:rPr>
          <w:rStyle w:val="optioncarChar"/>
        </w:rPr>
        <w:t xml:space="preserve"> / gris / noir / brun clair / brun foncé / beige / ***</w:t>
      </w:r>
    </w:p>
    <w:p w14:paraId="391C55A4" w14:textId="77777777" w:rsidR="00DF410E" w:rsidRDefault="00CE7F43">
      <w:pPr>
        <w:pStyle w:val="pheading"/>
      </w:pPr>
      <w:r>
        <w:t>EXÉCUTION / MISE EN ŒUVRE</w:t>
      </w:r>
    </w:p>
    <w:p w14:paraId="0F0E57F0" w14:textId="77777777" w:rsidR="00DF410E" w:rsidRDefault="00CE7F43">
      <w:pPr>
        <w:pStyle w:val="pheading"/>
      </w:pPr>
      <w:r>
        <w:t>- Prescriptions générales</w:t>
      </w:r>
    </w:p>
    <w:p w14:paraId="3450401F" w14:textId="77777777" w:rsidR="00DF410E" w:rsidRDefault="00CE7F43">
      <w:pPr>
        <w:jc w:val="both"/>
      </w:pPr>
      <w:r>
        <w:rPr>
          <w:b/>
        </w:rPr>
        <w:t>Joint de remplissage</w:t>
      </w:r>
    </w:p>
    <w:p w14:paraId="05B8A601" w14:textId="77777777" w:rsidR="00DF410E" w:rsidRDefault="00CE7F43">
      <w:pPr>
        <w:jc w:val="both"/>
      </w:pPr>
      <w:r>
        <w:t>Le remplissage des joints est effectué conformément à la [NIT 124] et conformément aux prescriptions du fabricant.</w:t>
      </w:r>
    </w:p>
    <w:p w14:paraId="17C52572" w14:textId="77777777" w:rsidR="00DF410E" w:rsidRDefault="00CE7F43">
      <w:pPr>
        <w:pStyle w:val="pheading"/>
      </w:pPr>
      <w:r>
        <w:t>MESURAGE</w:t>
      </w:r>
    </w:p>
    <w:p w14:paraId="013A38EB" w14:textId="77777777" w:rsidR="00DF410E" w:rsidRDefault="00CE7F43">
      <w:pPr>
        <w:pStyle w:val="pheading"/>
      </w:pPr>
      <w:r>
        <w:t>- unité de mesure:</w:t>
      </w:r>
    </w:p>
    <w:p w14:paraId="31A6532F" w14:textId="77777777" w:rsidR="00DF410E" w:rsidRDefault="00CE7F43">
      <w:r>
        <w:t>1.2. m</w:t>
      </w:r>
    </w:p>
    <w:p w14:paraId="54D1F450" w14:textId="77777777" w:rsidR="00DF410E" w:rsidRDefault="00CE7F43">
      <w:pPr>
        <w:pStyle w:val="pheading"/>
      </w:pPr>
      <w:r>
        <w:t>- code de mesurage:</w:t>
      </w:r>
    </w:p>
    <w:p w14:paraId="159675EC" w14:textId="77777777" w:rsidR="00DF410E" w:rsidRDefault="00CE7F43">
      <w:r>
        <w:t>1.2. Longueur nette à exécuter ventilée en fonction de la largeur des joints.</w:t>
      </w:r>
    </w:p>
    <w:p w14:paraId="48369A3A" w14:textId="77777777" w:rsidR="00DF410E" w:rsidRDefault="00CE7F43">
      <w:pPr>
        <w:pStyle w:val="pheading"/>
      </w:pPr>
      <w:r>
        <w:t>- nature du marché:</w:t>
      </w:r>
    </w:p>
    <w:p w14:paraId="71C78573" w14:textId="77777777" w:rsidR="00DF410E" w:rsidRDefault="00CE7F43">
      <w:r>
        <w:rPr>
          <w:rStyle w:val="optioncarChar"/>
        </w:rPr>
        <w:t xml:space="preserve">QF </w:t>
      </w:r>
      <w:r>
        <w:t xml:space="preserve">(par défaut) </w:t>
      </w:r>
      <w:r>
        <w:rPr>
          <w:rStyle w:val="optioncarChar"/>
        </w:rPr>
        <w:t>/ QP</w:t>
      </w:r>
    </w:p>
    <w:p w14:paraId="0E577994" w14:textId="77777777" w:rsidR="00DF410E" w:rsidRDefault="00CE7F43">
      <w:r>
        <w:rPr>
          <w:b/>
        </w:rPr>
        <w:t>(soit par défaut)</w:t>
      </w:r>
      <w:r>
        <w:br/>
      </w:r>
      <w:r>
        <w:rPr>
          <w:rStyle w:val="soitChar"/>
        </w:rPr>
        <w:t>1. QF</w:t>
      </w:r>
      <w:r>
        <w:br/>
      </w:r>
      <w:r>
        <w:rPr>
          <w:b/>
        </w:rPr>
        <w:t>(soit)</w:t>
      </w:r>
      <w:r>
        <w:br/>
      </w:r>
      <w:r>
        <w:rPr>
          <w:rStyle w:val="soitChar"/>
        </w:rPr>
        <w:t>2. QP</w:t>
      </w:r>
    </w:p>
    <w:p w14:paraId="4CDFCC5A" w14:textId="77777777" w:rsidR="00DF410E" w:rsidRDefault="00CE7F43">
      <w:pPr>
        <w:pStyle w:val="pheading"/>
      </w:pPr>
      <w:r>
        <w:t>AIDE</w:t>
      </w:r>
    </w:p>
    <w:p w14:paraId="40AF6B44" w14:textId="77777777" w:rsidR="00DF410E" w:rsidRDefault="00CE7F43">
      <w:pPr>
        <w:jc w:val="both"/>
      </w:pPr>
      <w:r>
        <w:t>Largeur de joint en fonction de la classe :</w:t>
      </w:r>
    </w:p>
    <w:p w14:paraId="24B2EFFD" w14:textId="77777777" w:rsidR="00DF410E" w:rsidRDefault="00CE7F43">
      <w:pPr>
        <w:pStyle w:val="Author-eListParagraph"/>
        <w:numPr>
          <w:ilvl w:val="0"/>
          <w:numId w:val="671"/>
        </w:numPr>
        <w:jc w:val="both"/>
      </w:pPr>
      <w:r>
        <w:t>Classe 7,5 : 10 à 20 mm</w:t>
      </w:r>
    </w:p>
    <w:p w14:paraId="7FAD800B" w14:textId="77777777" w:rsidR="00DF410E" w:rsidRDefault="00CE7F43">
      <w:pPr>
        <w:pStyle w:val="Author-eListParagraph"/>
        <w:numPr>
          <w:ilvl w:val="0"/>
          <w:numId w:val="671"/>
        </w:numPr>
        <w:jc w:val="both"/>
      </w:pPr>
      <w:r>
        <w:t>Classe 12,5 : 6 à 20 mm</w:t>
      </w:r>
    </w:p>
    <w:p w14:paraId="3E161C9C" w14:textId="77777777" w:rsidR="00DF410E" w:rsidRDefault="00CE7F43">
      <w:pPr>
        <w:pStyle w:val="Author-eListParagraph"/>
        <w:numPr>
          <w:ilvl w:val="0"/>
          <w:numId w:val="671"/>
        </w:numPr>
        <w:jc w:val="both"/>
      </w:pPr>
      <w:r>
        <w:t>Classe 20 : 6 à 30 mm</w:t>
      </w:r>
    </w:p>
    <w:p w14:paraId="715454D3" w14:textId="77777777" w:rsidR="00DF410E" w:rsidRDefault="00CE7F43">
      <w:pPr>
        <w:pStyle w:val="Author-eListParagraph"/>
        <w:numPr>
          <w:ilvl w:val="0"/>
          <w:numId w:val="671"/>
        </w:numPr>
        <w:jc w:val="both"/>
      </w:pPr>
      <w:r>
        <w:t>Classe 25 : 6 à 30 mm</w:t>
      </w:r>
    </w:p>
    <w:p w14:paraId="4B471FC8" w14:textId="77777777" w:rsidR="00DF410E" w:rsidRDefault="00CE7F43">
      <w:pPr>
        <w:pStyle w:val="Author-eSectionHeading4"/>
      </w:pPr>
      <w:bookmarkStart w:id="1015" w:name="_Toc178838153"/>
      <w:r>
        <w:t>22.64 Etanchéisations de joints CCTB 01.04</w:t>
      </w:r>
      <w:bookmarkEnd w:id="1015"/>
    </w:p>
    <w:p w14:paraId="029B22B0" w14:textId="77777777" w:rsidR="00DF410E" w:rsidRDefault="00CE7F43">
      <w:pPr>
        <w:pStyle w:val="pheading"/>
      </w:pPr>
      <w:r>
        <w:t>DESCRIPTION</w:t>
      </w:r>
    </w:p>
    <w:p w14:paraId="148E640D" w14:textId="77777777" w:rsidR="00DF410E" w:rsidRDefault="00CE7F43">
      <w:pPr>
        <w:pStyle w:val="pheading"/>
      </w:pPr>
      <w:r>
        <w:t>- Définition / Comprend</w:t>
      </w:r>
    </w:p>
    <w:p w14:paraId="35A0FD59" w14:textId="77777777" w:rsidR="00DF410E" w:rsidRDefault="00CE7F43">
      <w:r>
        <w:t xml:space="preserve">Renvoi au § </w:t>
      </w:r>
      <w:hyperlink w:anchor="477" w:history="1">
        <w:r>
          <w:t>26 Etanchéisation et isolation</w:t>
        </w:r>
      </w:hyperlink>
    </w:p>
    <w:p w14:paraId="7C2419C4" w14:textId="77777777" w:rsidR="00DF410E" w:rsidRDefault="00CE7F43">
      <w:pPr>
        <w:pStyle w:val="Author-eSectionHeading4"/>
      </w:pPr>
      <w:bookmarkStart w:id="1016" w:name="_Toc178838154"/>
      <w:r>
        <w:t>22.65 Finitions particulières de joints CCTB 01.02</w:t>
      </w:r>
      <w:bookmarkEnd w:id="1016"/>
    </w:p>
    <w:p w14:paraId="0FFD7DA0" w14:textId="77777777" w:rsidR="00DF410E" w:rsidRDefault="00CE7F43">
      <w:pPr>
        <w:pStyle w:val="Author-eSectionHeading3"/>
      </w:pPr>
      <w:bookmarkStart w:id="1017" w:name="_Toc178838155"/>
      <w:r>
        <w:t>22.7 Traitements CCTB 01.07</w:t>
      </w:r>
      <w:bookmarkEnd w:id="1017"/>
    </w:p>
    <w:p w14:paraId="0AC91BB3" w14:textId="77777777" w:rsidR="00DF410E" w:rsidRDefault="00CE7F43">
      <w:pPr>
        <w:pStyle w:val="Author-eSectionHeading4"/>
      </w:pPr>
      <w:bookmarkStart w:id="1018" w:name="_Toc178838156"/>
      <w:r>
        <w:t>22.71 Traitements esthétiques ou de surface CCTB 01.02</w:t>
      </w:r>
      <w:bookmarkEnd w:id="1018"/>
    </w:p>
    <w:p w14:paraId="60385AD2" w14:textId="77777777" w:rsidR="00DF410E" w:rsidRDefault="00CE7F43">
      <w:pPr>
        <w:pStyle w:val="Author-eSectionHeading5"/>
      </w:pPr>
      <w:bookmarkStart w:id="1019" w:name="484"/>
      <w:bookmarkStart w:id="1020" w:name="_Toc178838157"/>
      <w:bookmarkEnd w:id="1019"/>
      <w:r>
        <w:t>22.71.1 Traitements de surface sélectifs CCTB 01.02</w:t>
      </w:r>
      <w:bookmarkEnd w:id="1020"/>
    </w:p>
    <w:p w14:paraId="6D011E5A" w14:textId="77777777" w:rsidR="00DF410E" w:rsidRDefault="00CE7F43">
      <w:pPr>
        <w:pStyle w:val="Author-eSectionHeading6"/>
      </w:pPr>
      <w:bookmarkStart w:id="1021" w:name="_Toc178838158"/>
      <w:r>
        <w:t>22.71.1a Lavages à l'eau de structures en béton CCTB 01.07</w:t>
      </w:r>
      <w:bookmarkEnd w:id="1021"/>
    </w:p>
    <w:p w14:paraId="5EF64A65" w14:textId="77777777" w:rsidR="00DF410E" w:rsidRDefault="00CE7F43">
      <w:pPr>
        <w:pStyle w:val="pheading"/>
      </w:pPr>
      <w:r>
        <w:t>DESCRIPTION</w:t>
      </w:r>
    </w:p>
    <w:p w14:paraId="2990ED85" w14:textId="77777777" w:rsidR="00DF410E" w:rsidRDefault="00CE7F43">
      <w:pPr>
        <w:pStyle w:val="pheading"/>
      </w:pPr>
      <w:r>
        <w:t>- Définition / Comprend</w:t>
      </w:r>
    </w:p>
    <w:p w14:paraId="37F4BF37" w14:textId="77777777" w:rsidR="00DF410E" w:rsidRDefault="00CE7F43">
      <w:r>
        <w:t>La peau de ciment de la surface de béton est rincée à l’eau, faisant apparaître les granulats. Le lavage s’effectue soit au début de la prise, soit après celle-ci, en empêchant l’hydratation du ciment à la surface au moyen d’un désactivant ou en la retardant au moyen d’un papier ou d’une pâte ou de démoulants retardateurs.</w:t>
      </w:r>
    </w:p>
    <w:p w14:paraId="435867CA" w14:textId="77777777" w:rsidR="00DF410E" w:rsidRDefault="00CE7F43">
      <w:pPr>
        <w:pStyle w:val="pheading"/>
      </w:pPr>
      <w:r>
        <w:t>MESURAGE</w:t>
      </w:r>
    </w:p>
    <w:p w14:paraId="31927CD0" w14:textId="77777777" w:rsidR="00DF410E" w:rsidRDefault="00CE7F43">
      <w:pPr>
        <w:pStyle w:val="pheading"/>
      </w:pPr>
      <w:r>
        <w:t>- unité de mesure:</w:t>
      </w:r>
    </w:p>
    <w:p w14:paraId="5BCAF587" w14:textId="77777777" w:rsidR="00DF410E" w:rsidRDefault="00CE7F43">
      <w:r>
        <w:t>-</w:t>
      </w:r>
    </w:p>
    <w:p w14:paraId="143A1E34" w14:textId="77777777" w:rsidR="00DF410E" w:rsidRDefault="00DF410E"/>
    <w:p w14:paraId="14A5626C" w14:textId="77777777" w:rsidR="00DF410E" w:rsidRDefault="00CE7F43">
      <w:pPr>
        <w:pStyle w:val="pheading"/>
      </w:pPr>
      <w:r>
        <w:t>- nature du marché:</w:t>
      </w:r>
    </w:p>
    <w:p w14:paraId="27BD7F2F" w14:textId="77777777" w:rsidR="00DF410E" w:rsidRDefault="00CE7F43">
      <w:r>
        <w:t>PM</w:t>
      </w:r>
    </w:p>
    <w:p w14:paraId="2BC4FF86" w14:textId="77777777" w:rsidR="00DF410E" w:rsidRDefault="00DF410E"/>
    <w:p w14:paraId="3F8B7C2A" w14:textId="77777777" w:rsidR="00DF410E" w:rsidRDefault="00CE7F43">
      <w:pPr>
        <w:pStyle w:val="Author-eSectionHeading6"/>
      </w:pPr>
      <w:bookmarkStart w:id="1022" w:name="_Toc178838159"/>
      <w:r>
        <w:t>22.71.1b Brossages de structures en béton CCTB 01.07</w:t>
      </w:r>
      <w:bookmarkEnd w:id="1022"/>
    </w:p>
    <w:p w14:paraId="652731D8" w14:textId="77777777" w:rsidR="00DF410E" w:rsidRDefault="00CE7F43">
      <w:pPr>
        <w:pStyle w:val="pheading"/>
      </w:pPr>
      <w:r>
        <w:t>DESCRIPTION</w:t>
      </w:r>
    </w:p>
    <w:p w14:paraId="2BB01C76" w14:textId="77777777" w:rsidR="00DF410E" w:rsidRDefault="00CE7F43">
      <w:pPr>
        <w:pStyle w:val="pheading"/>
      </w:pPr>
      <w:r>
        <w:t>- Définition / Comprend</w:t>
      </w:r>
    </w:p>
    <w:p w14:paraId="1E40B169" w14:textId="77777777" w:rsidR="00DF410E" w:rsidRDefault="00CE7F43">
      <w:r>
        <w:t>La peau de ciment de la surface de béton est éliminée par brossage au moyen d'une brosse non métallique à poils durs, avec ou sans eau. Le brossage s'effectue soit au début de la prise, soit après celle-ci en empêchant l'hydratation du ciment à la surface au moyen d'un désactivant ou en la retardant au moyen d'un papier ou d'une pâte retardateur ou de démoulants retardateurs.</w:t>
      </w:r>
    </w:p>
    <w:p w14:paraId="32E2DB1E" w14:textId="77777777" w:rsidR="00DF410E" w:rsidRDefault="00CE7F43">
      <w:pPr>
        <w:pStyle w:val="pheading"/>
      </w:pPr>
      <w:r>
        <w:t>MESURAGE</w:t>
      </w:r>
    </w:p>
    <w:p w14:paraId="43FCDCCC" w14:textId="77777777" w:rsidR="00DF410E" w:rsidRDefault="00CE7F43">
      <w:pPr>
        <w:pStyle w:val="pheading"/>
      </w:pPr>
      <w:r>
        <w:t>- unité de mesure:</w:t>
      </w:r>
    </w:p>
    <w:p w14:paraId="56AF6236" w14:textId="77777777" w:rsidR="00DF410E" w:rsidRDefault="00CE7F43">
      <w:r>
        <w:t>-</w:t>
      </w:r>
    </w:p>
    <w:p w14:paraId="2157A53C" w14:textId="77777777" w:rsidR="00DF410E" w:rsidRDefault="00DF410E"/>
    <w:p w14:paraId="3A6AACB0" w14:textId="77777777" w:rsidR="00DF410E" w:rsidRDefault="00CE7F43">
      <w:pPr>
        <w:pStyle w:val="pheading"/>
      </w:pPr>
      <w:r>
        <w:t>- nature du marché:</w:t>
      </w:r>
    </w:p>
    <w:p w14:paraId="296FB720" w14:textId="77777777" w:rsidR="00DF410E" w:rsidRDefault="00CE7F43">
      <w:r>
        <w:t>PM</w:t>
      </w:r>
    </w:p>
    <w:p w14:paraId="3DD122A3" w14:textId="77777777" w:rsidR="00DF410E" w:rsidRDefault="00DF410E"/>
    <w:p w14:paraId="1B2AA328" w14:textId="77777777" w:rsidR="00DF410E" w:rsidRDefault="00CE7F43">
      <w:pPr>
        <w:pStyle w:val="Author-eSectionHeading6"/>
      </w:pPr>
      <w:bookmarkStart w:id="1023" w:name="_Toc178838160"/>
      <w:r>
        <w:t>22.71.1c Lavages à l'acide de structures en béton CCTB 01.07</w:t>
      </w:r>
      <w:bookmarkEnd w:id="1023"/>
    </w:p>
    <w:p w14:paraId="4DC1E423" w14:textId="77777777" w:rsidR="00DF410E" w:rsidRDefault="00CE7F43">
      <w:pPr>
        <w:pStyle w:val="pheading"/>
      </w:pPr>
      <w:r>
        <w:t>DESCRIPTION</w:t>
      </w:r>
    </w:p>
    <w:p w14:paraId="2259EBCF" w14:textId="77777777" w:rsidR="00DF410E" w:rsidRDefault="00CE7F43">
      <w:pPr>
        <w:pStyle w:val="pheading"/>
      </w:pPr>
      <w:r>
        <w:t>- Définition / Comprend</w:t>
      </w:r>
    </w:p>
    <w:p w14:paraId="6EB8168C" w14:textId="77777777" w:rsidR="00DF410E" w:rsidRDefault="00CE7F43">
      <w:r>
        <w:t>On parle aussi de béton décapé, désactivé ou trempé.</w:t>
      </w:r>
    </w:p>
    <w:p w14:paraId="2745FB76" w14:textId="77777777" w:rsidR="00DF410E" w:rsidRDefault="00CE7F43">
      <w:r>
        <w:t>La peau de ciment de la surface de béton durci est éliminée par lavage ou par immersion dans un acide, qui a été dilué en fonction de la profondeur d’action souhaitée. La surface traitée est ensuite entièrement rincée à l’eau. Le traitement rend les granulats plus ou moins apparents et la structure de la surface devient plus sableuse.</w:t>
      </w:r>
    </w:p>
    <w:p w14:paraId="42CCA86C" w14:textId="77777777" w:rsidR="00DF410E" w:rsidRDefault="00CE7F43">
      <w:pPr>
        <w:pStyle w:val="pheading"/>
      </w:pPr>
      <w:r>
        <w:t>MESURAGE</w:t>
      </w:r>
    </w:p>
    <w:p w14:paraId="406606CF" w14:textId="77777777" w:rsidR="00DF410E" w:rsidRDefault="00CE7F43">
      <w:pPr>
        <w:pStyle w:val="pheading"/>
      </w:pPr>
      <w:r>
        <w:t>- unité de mesure:</w:t>
      </w:r>
    </w:p>
    <w:p w14:paraId="2520094B" w14:textId="77777777" w:rsidR="00DF410E" w:rsidRDefault="00CE7F43">
      <w:r>
        <w:t>-</w:t>
      </w:r>
    </w:p>
    <w:p w14:paraId="591150C5" w14:textId="77777777" w:rsidR="00DF410E" w:rsidRDefault="00DF410E"/>
    <w:p w14:paraId="08547D32" w14:textId="77777777" w:rsidR="00DF410E" w:rsidRDefault="00CE7F43">
      <w:pPr>
        <w:pStyle w:val="pheading"/>
      </w:pPr>
      <w:r>
        <w:t>- nature du marché:</w:t>
      </w:r>
    </w:p>
    <w:p w14:paraId="2C53A2A9" w14:textId="77777777" w:rsidR="00DF410E" w:rsidRDefault="00CE7F43">
      <w:r>
        <w:t>PM</w:t>
      </w:r>
    </w:p>
    <w:p w14:paraId="1F93E96A" w14:textId="77777777" w:rsidR="00DF410E" w:rsidRDefault="00DF410E"/>
    <w:p w14:paraId="086E4DF2" w14:textId="77777777" w:rsidR="00DF410E" w:rsidRDefault="00CE7F43">
      <w:pPr>
        <w:pStyle w:val="Author-eSectionHeading5"/>
      </w:pPr>
      <w:bookmarkStart w:id="1024" w:name="_Toc178838161"/>
      <w:r>
        <w:t>22.71.2 Traitements intégraux de surface CCTB 01.04</w:t>
      </w:r>
      <w:bookmarkEnd w:id="1024"/>
    </w:p>
    <w:p w14:paraId="0AB0E681" w14:textId="77777777" w:rsidR="00DF410E" w:rsidRDefault="00CE7F43">
      <w:pPr>
        <w:pStyle w:val="Author-eSectionHeading6"/>
      </w:pPr>
      <w:bookmarkStart w:id="1025" w:name="_Toc178838162"/>
      <w:r>
        <w:t>22.71.2a Bouchardages de structures en béton CCTB 01.07</w:t>
      </w:r>
      <w:bookmarkEnd w:id="1025"/>
    </w:p>
    <w:p w14:paraId="3F878F12" w14:textId="77777777" w:rsidR="00DF410E" w:rsidRDefault="00CE7F43">
      <w:pPr>
        <w:pStyle w:val="pheading"/>
      </w:pPr>
      <w:r>
        <w:t>DESCRIPTION</w:t>
      </w:r>
    </w:p>
    <w:p w14:paraId="4E8885D2" w14:textId="77777777" w:rsidR="00DF410E" w:rsidRDefault="00CE7F43">
      <w:pPr>
        <w:pStyle w:val="pheading"/>
      </w:pPr>
      <w:r>
        <w:t>- Définition / Comprend</w:t>
      </w:r>
    </w:p>
    <w:p w14:paraId="6682B2C9" w14:textId="77777777" w:rsidR="00DF410E" w:rsidRDefault="00CE7F43">
      <w:r>
        <w:t>La surface de béton durci est bouchardée manuellement ou pneumatiquement au moyen d’une boucharde dont la distance entre les dents a été choisie en fonction de l’aspect souhaité.</w:t>
      </w:r>
    </w:p>
    <w:p w14:paraId="3F11BFA2" w14:textId="77777777" w:rsidR="00DF410E" w:rsidRDefault="00CE7F43">
      <w:pPr>
        <w:pStyle w:val="pheading"/>
      </w:pPr>
      <w:r>
        <w:t>MESURAGE</w:t>
      </w:r>
    </w:p>
    <w:p w14:paraId="26F171EF" w14:textId="77777777" w:rsidR="00DF410E" w:rsidRDefault="00CE7F43">
      <w:pPr>
        <w:pStyle w:val="pheading"/>
      </w:pPr>
      <w:r>
        <w:t>- unité de mesure:</w:t>
      </w:r>
    </w:p>
    <w:p w14:paraId="17ACADA0" w14:textId="77777777" w:rsidR="00DF410E" w:rsidRDefault="00CE7F43">
      <w:r>
        <w:t>-</w:t>
      </w:r>
    </w:p>
    <w:p w14:paraId="568D97C2" w14:textId="77777777" w:rsidR="00DF410E" w:rsidRDefault="00DF410E"/>
    <w:p w14:paraId="1103D601" w14:textId="77777777" w:rsidR="00DF410E" w:rsidRDefault="00CE7F43">
      <w:pPr>
        <w:pStyle w:val="pheading"/>
      </w:pPr>
      <w:r>
        <w:t>- nature du marché:</w:t>
      </w:r>
    </w:p>
    <w:p w14:paraId="5B35A6C0" w14:textId="77777777" w:rsidR="00DF410E" w:rsidRDefault="00CE7F43">
      <w:r>
        <w:t>PM</w:t>
      </w:r>
    </w:p>
    <w:p w14:paraId="344AEB0B" w14:textId="77777777" w:rsidR="00DF410E" w:rsidRDefault="00DF410E"/>
    <w:p w14:paraId="3927CFED" w14:textId="77777777" w:rsidR="00DF410E" w:rsidRDefault="00CE7F43">
      <w:pPr>
        <w:pStyle w:val="Author-eSectionHeading6"/>
      </w:pPr>
      <w:bookmarkStart w:id="1026" w:name="_Toc178838163"/>
      <w:r>
        <w:t>22.71.2b Grenaillages de structures en béton CCTB 01.07</w:t>
      </w:r>
      <w:bookmarkEnd w:id="1026"/>
    </w:p>
    <w:p w14:paraId="47608326" w14:textId="77777777" w:rsidR="00DF410E" w:rsidRDefault="00CE7F43">
      <w:pPr>
        <w:pStyle w:val="pheading"/>
      </w:pPr>
      <w:bookmarkStart w:id="1027" w:name="545"/>
      <w:bookmarkEnd w:id="1027"/>
      <w:r>
        <w:t>DESCRIPTION</w:t>
      </w:r>
    </w:p>
    <w:p w14:paraId="5C9430A7" w14:textId="77777777" w:rsidR="00DF410E" w:rsidRDefault="00CE7F43">
      <w:pPr>
        <w:pStyle w:val="pheading"/>
      </w:pPr>
      <w:r>
        <w:t>- Définition / Comprend</w:t>
      </w:r>
    </w:p>
    <w:p w14:paraId="3C1B6D6E" w14:textId="77777777" w:rsidR="00DF410E" w:rsidRDefault="00CE7F43">
      <w:r>
        <w:t>La peau de ciment de la surface de béton durci est éliminée par grenaillage rendant les granulats plus ou moins apparents. Ce traitement confère une légère rugosité aux granulats.</w:t>
      </w:r>
    </w:p>
    <w:p w14:paraId="0341EAFC" w14:textId="77777777" w:rsidR="00DF410E" w:rsidRDefault="00CE7F43">
      <w:pPr>
        <w:pStyle w:val="pheading"/>
      </w:pPr>
      <w:r>
        <w:t>EXÉCUTION / MISE EN ŒUVRE</w:t>
      </w:r>
    </w:p>
    <w:p w14:paraId="12E066BE" w14:textId="77777777" w:rsidR="00DF410E" w:rsidRDefault="00CE7F43">
      <w:pPr>
        <w:pStyle w:val="pheading"/>
      </w:pPr>
      <w:r>
        <w:t>- Prescriptions générales</w:t>
      </w:r>
    </w:p>
    <w:p w14:paraId="45D24C69" w14:textId="77777777" w:rsidR="00DF410E" w:rsidRDefault="00CE7F43">
      <w:r>
        <w:rPr>
          <w:u w:val="single"/>
        </w:rPr>
        <w:t>Mise en garde</w:t>
      </w:r>
    </w:p>
    <w:p w14:paraId="2FCA2A44" w14:textId="77777777" w:rsidR="00DF410E" w:rsidRDefault="00CE7F43">
      <w:r>
        <w:t>Plus les abrasifs contiennent de quartz libre (dioxyde de silicium), plus l’inhalation de la poussière dégagée risque d‘entraîner des troubles respiratoires ou des maladies pulmonaires.</w:t>
      </w:r>
    </w:p>
    <w:p w14:paraId="79C44F89" w14:textId="77777777" w:rsidR="00DF410E" w:rsidRDefault="00CE7F43">
      <w:r>
        <w:t>Le sable a été souvent utilisé comme matériau abrasif pour le nettoyage des surfaces. Depuis 2002, l'article 37 de l' [AR 2002-03-11, Arrêté royal relatif à la protection de la santé et de la sécurité des travailleurs contre les risques liés à des agents chimiques sur le lieu de travail] interdit l'usage de ce matériau. Il fixe une teneur maximale en silice libre à un 1 % pour le sable ou autres grains.</w:t>
      </w:r>
    </w:p>
    <w:p w14:paraId="7B2C3CFE" w14:textId="77777777" w:rsidR="00DF410E" w:rsidRDefault="00CE7F43">
      <w:pPr>
        <w:pStyle w:val="Author-eListParagraph"/>
        <w:numPr>
          <w:ilvl w:val="0"/>
          <w:numId w:val="672"/>
        </w:numPr>
      </w:pPr>
      <w:r>
        <w:t>Cet article 37 est repris dans le Livre VI, titre 1er, article 35 du code du bien-être au travail. </w:t>
      </w:r>
    </w:p>
    <w:p w14:paraId="6B2CD0C9" w14:textId="77777777" w:rsidR="00DF410E" w:rsidRDefault="00CE7F43">
      <w:pPr>
        <w:pStyle w:val="Author-eListParagraph"/>
        <w:numPr>
          <w:ilvl w:val="0"/>
          <w:numId w:val="672"/>
        </w:numPr>
      </w:pPr>
      <w:r>
        <w:t>Voir aussi [Buildwise Innovation paper Monographie 02.3, Guide pour la restauration des maçonneries. 3ème partie : nettoyage de façade]</w:t>
      </w:r>
    </w:p>
    <w:p w14:paraId="31529A3E" w14:textId="77777777" w:rsidR="00DF410E" w:rsidRDefault="00CE7F43">
      <w:r>
        <w:t>La plupart des sables courants (sable de Mol, par exemple) contiennent beaucoup de quartz. D’autres abrasifs n’en contiennent quasiment pas : l’olivine, le verre concassé, le basalte, la dolomie, le calcite, … contiennent moins de 1 % de dioxyde de silice libre.</w:t>
      </w:r>
    </w:p>
    <w:p w14:paraId="48F413AA" w14:textId="77777777" w:rsidR="00DF410E" w:rsidRDefault="00CE7F43">
      <w:r>
        <w:rPr>
          <w:b/>
        </w:rPr>
        <w:t>Il convient d'utiliser le vocable "grenaillage" plutôt que « sablage »</w:t>
      </w:r>
      <w:r>
        <w:t xml:space="preserve"> : il s’agit bien de nettoyage par jet / projection à l’aide de particules abrasives.</w:t>
      </w:r>
    </w:p>
    <w:p w14:paraId="56A3441D" w14:textId="77777777" w:rsidR="00DF410E" w:rsidRDefault="00DF410E"/>
    <w:p w14:paraId="5078E0D4" w14:textId="77777777" w:rsidR="00DF410E" w:rsidRDefault="00CE7F43">
      <w:pPr>
        <w:pStyle w:val="pheading"/>
      </w:pPr>
      <w:r>
        <w:t>MESURAGE</w:t>
      </w:r>
    </w:p>
    <w:p w14:paraId="48560C1E" w14:textId="77777777" w:rsidR="00DF410E" w:rsidRDefault="00CE7F43">
      <w:pPr>
        <w:pStyle w:val="pheading"/>
      </w:pPr>
      <w:r>
        <w:t>- unité de mesure:</w:t>
      </w:r>
    </w:p>
    <w:p w14:paraId="281BB257" w14:textId="77777777" w:rsidR="00DF410E" w:rsidRDefault="00CE7F43">
      <w:r>
        <w:t>-</w:t>
      </w:r>
    </w:p>
    <w:p w14:paraId="49958C78" w14:textId="77777777" w:rsidR="00DF410E" w:rsidRDefault="00DF410E"/>
    <w:p w14:paraId="093AC1C5" w14:textId="77777777" w:rsidR="00DF410E" w:rsidRDefault="00CE7F43">
      <w:pPr>
        <w:pStyle w:val="pheading"/>
      </w:pPr>
      <w:r>
        <w:t>- nature du marché:</w:t>
      </w:r>
    </w:p>
    <w:p w14:paraId="2E2864CE" w14:textId="77777777" w:rsidR="00DF410E" w:rsidRDefault="00CE7F43">
      <w:r>
        <w:t>PM</w:t>
      </w:r>
    </w:p>
    <w:p w14:paraId="5EAFFC30" w14:textId="77777777" w:rsidR="00DF410E" w:rsidRDefault="00DF410E"/>
    <w:p w14:paraId="206AB6F9" w14:textId="77777777" w:rsidR="00DF410E" w:rsidRDefault="00CE7F43">
      <w:pPr>
        <w:pStyle w:val="Author-eSectionHeading6"/>
      </w:pPr>
      <w:bookmarkStart w:id="1028" w:name="_Toc178838164"/>
      <w:r>
        <w:t>22.71.2c Flammages de structures en béton CCTB 01.07</w:t>
      </w:r>
      <w:bookmarkEnd w:id="1028"/>
    </w:p>
    <w:p w14:paraId="38FA39C3" w14:textId="77777777" w:rsidR="00DF410E" w:rsidRDefault="00CE7F43">
      <w:pPr>
        <w:pStyle w:val="pheading"/>
      </w:pPr>
      <w:r>
        <w:t>DESCRIPTION</w:t>
      </w:r>
    </w:p>
    <w:p w14:paraId="7286B65E" w14:textId="77777777" w:rsidR="00DF410E" w:rsidRDefault="00CE7F43">
      <w:pPr>
        <w:pStyle w:val="pheading"/>
      </w:pPr>
      <w:r>
        <w:t>- Définition / Comprend</w:t>
      </w:r>
    </w:p>
    <w:p w14:paraId="350F2DC2" w14:textId="77777777" w:rsidR="00DF410E" w:rsidRDefault="00CE7F43">
      <w:r>
        <w:t>La peau de ciment de la surface de béton durci est éliminée par flammage, rendant les granulats plus ou moins apparents. Ce traitement confère une légère rugosité aux granulats.</w:t>
      </w:r>
    </w:p>
    <w:p w14:paraId="225B3DD3" w14:textId="77777777" w:rsidR="00DF410E" w:rsidRDefault="00CE7F43">
      <w:pPr>
        <w:pStyle w:val="pheading"/>
      </w:pPr>
      <w:r>
        <w:t>MESURAGE</w:t>
      </w:r>
    </w:p>
    <w:p w14:paraId="215F9308" w14:textId="77777777" w:rsidR="00DF410E" w:rsidRDefault="00CE7F43">
      <w:pPr>
        <w:pStyle w:val="pheading"/>
      </w:pPr>
      <w:r>
        <w:t>- unité de mesure:</w:t>
      </w:r>
    </w:p>
    <w:p w14:paraId="6A986967" w14:textId="77777777" w:rsidR="00DF410E" w:rsidRDefault="00CE7F43">
      <w:r>
        <w:t>-</w:t>
      </w:r>
    </w:p>
    <w:p w14:paraId="741089E7" w14:textId="77777777" w:rsidR="00DF410E" w:rsidRDefault="00DF410E"/>
    <w:p w14:paraId="39875BEE" w14:textId="77777777" w:rsidR="00DF410E" w:rsidRDefault="00CE7F43">
      <w:pPr>
        <w:pStyle w:val="pheading"/>
      </w:pPr>
      <w:r>
        <w:t>- nature du marché:</w:t>
      </w:r>
    </w:p>
    <w:p w14:paraId="18DE7A6D" w14:textId="77777777" w:rsidR="00DF410E" w:rsidRDefault="00CE7F43">
      <w:r>
        <w:t>PM</w:t>
      </w:r>
    </w:p>
    <w:p w14:paraId="2A0B6D95" w14:textId="77777777" w:rsidR="00DF410E" w:rsidRDefault="00CE7F43">
      <w:pPr>
        <w:pStyle w:val="Author-eSectionHeading6"/>
      </w:pPr>
      <w:bookmarkStart w:id="1029" w:name="_Toc178838165"/>
      <w:r>
        <w:t>22.71.2d Grésages de structures en béton CCTB 01.07</w:t>
      </w:r>
      <w:bookmarkEnd w:id="1029"/>
    </w:p>
    <w:p w14:paraId="1377B9A2" w14:textId="77777777" w:rsidR="00DF410E" w:rsidRDefault="00CE7F43">
      <w:pPr>
        <w:pStyle w:val="pheading"/>
      </w:pPr>
      <w:r>
        <w:t>DESCRIPTION</w:t>
      </w:r>
    </w:p>
    <w:p w14:paraId="731940C8" w14:textId="77777777" w:rsidR="00DF410E" w:rsidRDefault="00CE7F43">
      <w:pPr>
        <w:pStyle w:val="pheading"/>
      </w:pPr>
      <w:r>
        <w:t>- Définition / Comprend</w:t>
      </w:r>
    </w:p>
    <w:p w14:paraId="2AD73D0E" w14:textId="77777777" w:rsidR="00DF410E" w:rsidRDefault="00CE7F43">
      <w:r>
        <w:t>La peau de ciment de la surface de béton durci est éliminée par grésage à la meule en une passe, rendant les granulats apparents. Ensuite, les cavités les plus grosses dans la surface de béton sont bouche-porées. Les granulats sont visibles à la surface qui est matte et ne brille pas.</w:t>
      </w:r>
    </w:p>
    <w:p w14:paraId="1E4E1A6E" w14:textId="77777777" w:rsidR="00DF410E" w:rsidRDefault="00CE7F43">
      <w:pPr>
        <w:pStyle w:val="pheading"/>
      </w:pPr>
      <w:r>
        <w:t>MESURAGE</w:t>
      </w:r>
    </w:p>
    <w:p w14:paraId="3558A75B" w14:textId="77777777" w:rsidR="00DF410E" w:rsidRDefault="00CE7F43">
      <w:pPr>
        <w:pStyle w:val="pheading"/>
      </w:pPr>
      <w:r>
        <w:t>- unité de mesure:</w:t>
      </w:r>
    </w:p>
    <w:p w14:paraId="25192D25" w14:textId="77777777" w:rsidR="00DF410E" w:rsidRDefault="00CE7F43">
      <w:r>
        <w:t>-</w:t>
      </w:r>
    </w:p>
    <w:p w14:paraId="51E5AB2C" w14:textId="77777777" w:rsidR="00DF410E" w:rsidRDefault="00DF410E"/>
    <w:p w14:paraId="72E4A2CE" w14:textId="77777777" w:rsidR="00DF410E" w:rsidRDefault="00CE7F43">
      <w:pPr>
        <w:pStyle w:val="pheading"/>
      </w:pPr>
      <w:r>
        <w:t>- nature du marché:</w:t>
      </w:r>
    </w:p>
    <w:p w14:paraId="4846A149" w14:textId="77777777" w:rsidR="00DF410E" w:rsidRDefault="00CE7F43">
      <w:r>
        <w:t>PM</w:t>
      </w:r>
    </w:p>
    <w:p w14:paraId="58A64F73" w14:textId="77777777" w:rsidR="00DF410E" w:rsidRDefault="00DF410E"/>
    <w:p w14:paraId="7F42D81F" w14:textId="77777777" w:rsidR="00DF410E" w:rsidRDefault="00CE7F43">
      <w:pPr>
        <w:pStyle w:val="Author-eSectionHeading6"/>
      </w:pPr>
      <w:bookmarkStart w:id="1030" w:name="_Toc178838166"/>
      <w:r>
        <w:t>22.71.2e Polissages mats de structures en béton CCTB 01.07</w:t>
      </w:r>
      <w:bookmarkEnd w:id="1030"/>
    </w:p>
    <w:p w14:paraId="426A2C4D" w14:textId="77777777" w:rsidR="00DF410E" w:rsidRDefault="00CE7F43">
      <w:pPr>
        <w:pStyle w:val="pheading"/>
      </w:pPr>
      <w:r>
        <w:t>DESCRIPTION</w:t>
      </w:r>
    </w:p>
    <w:p w14:paraId="7E32565E" w14:textId="77777777" w:rsidR="00DF410E" w:rsidRDefault="00CE7F43">
      <w:pPr>
        <w:pStyle w:val="pheading"/>
      </w:pPr>
      <w:r>
        <w:t>- Définition / Comprend</w:t>
      </w:r>
    </w:p>
    <w:p w14:paraId="6C285087" w14:textId="77777777" w:rsidR="00DF410E" w:rsidRDefault="00CE7F43">
      <w:r>
        <w:t>Au préalable, on élimine 3 mm du matériau et le polissage proprement dit a lieu en plusieurs étapes, permettant d'obtenir une brillance de plus en plus accrue avec une meule de plus en plus fine.</w:t>
      </w:r>
    </w:p>
    <w:p w14:paraId="61A638F6" w14:textId="77777777" w:rsidR="00DF410E" w:rsidRDefault="00CE7F43">
      <w:r>
        <w:t>La meule la plus fine en cas de polissage mat a un grain de 300.</w:t>
      </w:r>
    </w:p>
    <w:p w14:paraId="40E42130" w14:textId="77777777" w:rsidR="00DF410E" w:rsidRDefault="00CE7F43">
      <w:pPr>
        <w:pStyle w:val="pheading"/>
      </w:pPr>
      <w:r>
        <w:t>MESURAGE</w:t>
      </w:r>
    </w:p>
    <w:p w14:paraId="0ADA16E4" w14:textId="77777777" w:rsidR="00DF410E" w:rsidRDefault="00CE7F43">
      <w:pPr>
        <w:pStyle w:val="pheading"/>
      </w:pPr>
      <w:r>
        <w:t>- unité de mesure:</w:t>
      </w:r>
    </w:p>
    <w:p w14:paraId="6BACE43E" w14:textId="77777777" w:rsidR="00DF410E" w:rsidRDefault="00CE7F43">
      <w:r>
        <w:t>-</w:t>
      </w:r>
    </w:p>
    <w:p w14:paraId="62BD204C" w14:textId="77777777" w:rsidR="00DF410E" w:rsidRDefault="00DF410E"/>
    <w:p w14:paraId="0C8CF488" w14:textId="77777777" w:rsidR="00DF410E" w:rsidRDefault="00CE7F43">
      <w:pPr>
        <w:pStyle w:val="pheading"/>
      </w:pPr>
      <w:r>
        <w:t>- nature du marché:</w:t>
      </w:r>
    </w:p>
    <w:p w14:paraId="168DAE9F" w14:textId="77777777" w:rsidR="00DF410E" w:rsidRDefault="00CE7F43">
      <w:r>
        <w:t>PM</w:t>
      </w:r>
    </w:p>
    <w:p w14:paraId="5470B97D" w14:textId="77777777" w:rsidR="00DF410E" w:rsidRDefault="00DF410E"/>
    <w:p w14:paraId="0388E54D" w14:textId="77777777" w:rsidR="00DF410E" w:rsidRDefault="00CE7F43">
      <w:pPr>
        <w:pStyle w:val="Author-eSectionHeading6"/>
      </w:pPr>
      <w:bookmarkStart w:id="1031" w:name="_Toc178838167"/>
      <w:r>
        <w:t>22.71.2f Polissages brillants de structures en béton CCTB 01.07</w:t>
      </w:r>
      <w:bookmarkEnd w:id="1031"/>
    </w:p>
    <w:p w14:paraId="35D17C3C" w14:textId="77777777" w:rsidR="00DF410E" w:rsidRDefault="00CE7F43">
      <w:pPr>
        <w:pStyle w:val="pheading"/>
      </w:pPr>
      <w:r>
        <w:t>DESCRIPTION</w:t>
      </w:r>
    </w:p>
    <w:p w14:paraId="4097EBA7" w14:textId="77777777" w:rsidR="00DF410E" w:rsidRDefault="00CE7F43">
      <w:pPr>
        <w:pStyle w:val="pheading"/>
      </w:pPr>
      <w:r>
        <w:t>- Définition / Comprend</w:t>
      </w:r>
    </w:p>
    <w:p w14:paraId="1F38480D" w14:textId="77777777" w:rsidR="00DF410E" w:rsidRDefault="00CE7F43">
      <w:r>
        <w:t>Au préalable, on élimine 3 mm du matériau et le polissage proprement dit a lieu en plusieurs étapes, permettant d'obtenir une brillance de plus en plus accrue avec une meule de plus en plus fine.</w:t>
      </w:r>
    </w:p>
    <w:p w14:paraId="4D30E128" w14:textId="77777777" w:rsidR="00DF410E" w:rsidRDefault="00CE7F43">
      <w:r>
        <w:t>La meule la plus fine va jusqu'à une finesse de 1800.</w:t>
      </w:r>
    </w:p>
    <w:p w14:paraId="673A8B7A" w14:textId="77777777" w:rsidR="00DF410E" w:rsidRDefault="00CE7F43">
      <w:pPr>
        <w:pStyle w:val="pheading"/>
      </w:pPr>
      <w:r>
        <w:t>MESURAGE</w:t>
      </w:r>
    </w:p>
    <w:p w14:paraId="4C05C041" w14:textId="77777777" w:rsidR="00DF410E" w:rsidRDefault="00CE7F43">
      <w:pPr>
        <w:pStyle w:val="pheading"/>
      </w:pPr>
      <w:r>
        <w:t>- unité de mesure:</w:t>
      </w:r>
    </w:p>
    <w:p w14:paraId="13AD5DE6" w14:textId="77777777" w:rsidR="00DF410E" w:rsidRDefault="00CE7F43">
      <w:r>
        <w:t>-</w:t>
      </w:r>
    </w:p>
    <w:p w14:paraId="7CF803B0" w14:textId="77777777" w:rsidR="00DF410E" w:rsidRDefault="00DF410E"/>
    <w:p w14:paraId="51B26D8C" w14:textId="77777777" w:rsidR="00DF410E" w:rsidRDefault="00CE7F43">
      <w:pPr>
        <w:pStyle w:val="pheading"/>
      </w:pPr>
      <w:r>
        <w:t>- nature du marché:</w:t>
      </w:r>
    </w:p>
    <w:p w14:paraId="45218261" w14:textId="77777777" w:rsidR="00DF410E" w:rsidRDefault="00CE7F43">
      <w:r>
        <w:t>PM</w:t>
      </w:r>
    </w:p>
    <w:p w14:paraId="31939A02" w14:textId="77777777" w:rsidR="00DF410E" w:rsidRDefault="00DF410E"/>
    <w:p w14:paraId="0687FF3E" w14:textId="77777777" w:rsidR="00DF410E" w:rsidRDefault="00CE7F43">
      <w:pPr>
        <w:pStyle w:val="Author-eSectionHeading4"/>
      </w:pPr>
      <w:bookmarkStart w:id="1032" w:name="_Toc178838168"/>
      <w:r>
        <w:t>22.72 Produits de cure et adjuvants CCTB 01.11</w:t>
      </w:r>
      <w:bookmarkEnd w:id="1032"/>
    </w:p>
    <w:p w14:paraId="2A57B010" w14:textId="77777777" w:rsidR="00DF410E" w:rsidRDefault="00CE7F43">
      <w:pPr>
        <w:pStyle w:val="pheading"/>
      </w:pPr>
      <w:bookmarkStart w:id="1033" w:name="544"/>
      <w:bookmarkEnd w:id="1033"/>
      <w:r>
        <w:t>MATÉRIAUX</w:t>
      </w:r>
    </w:p>
    <w:p w14:paraId="010A14AE" w14:textId="77777777" w:rsidR="00DF410E" w:rsidRDefault="00CE7F43">
      <w:r>
        <w:t>Le béton frais doit être protégé contre la dessiccation au moyen d’un produit de cure. L’efficacité du produit de cure a été évaluée sur base du [PTV 501].</w:t>
      </w:r>
    </w:p>
    <w:p w14:paraId="7AC819E5" w14:textId="77777777" w:rsidR="00DF410E" w:rsidRDefault="00CE7F43">
      <w:r>
        <w:t>Les adjuvants sont conformes aux normes [NBN EN 934-1] et [NBN EN 934-2+A1] et au [TRA 500]</w:t>
      </w:r>
    </w:p>
    <w:p w14:paraId="6996595B" w14:textId="77777777" w:rsidR="00DF410E" w:rsidRDefault="00CE7F43">
      <w:r>
        <w:t>Le système est à soumettre pour approbation à l'auteur de projet.</w:t>
      </w:r>
    </w:p>
    <w:p w14:paraId="47EEE47B" w14:textId="77777777" w:rsidR="00DF410E" w:rsidRDefault="00CE7F43">
      <w:pPr>
        <w:pStyle w:val="Author-eSectionHeading5"/>
      </w:pPr>
      <w:bookmarkStart w:id="1034" w:name="_Toc178838169"/>
      <w:r>
        <w:t>22.72.1 Produits de cure CCTB 01.02</w:t>
      </w:r>
      <w:bookmarkEnd w:id="1034"/>
    </w:p>
    <w:p w14:paraId="32C01628" w14:textId="77777777" w:rsidR="00DF410E" w:rsidRDefault="00CE7F43">
      <w:pPr>
        <w:pStyle w:val="Author-eSectionHeading6"/>
      </w:pPr>
      <w:bookmarkStart w:id="1035" w:name="_Toc178838170"/>
      <w:r>
        <w:t>22.72.1a Produits de cure CCTB 01.11</w:t>
      </w:r>
      <w:bookmarkEnd w:id="1035"/>
    </w:p>
    <w:p w14:paraId="0E1EBD59" w14:textId="77777777" w:rsidR="00DF410E" w:rsidRDefault="00CE7F43">
      <w:pPr>
        <w:pStyle w:val="pheading"/>
      </w:pPr>
      <w:r>
        <w:t>DESCRIPTION</w:t>
      </w:r>
    </w:p>
    <w:p w14:paraId="4C52B761" w14:textId="77777777" w:rsidR="00DF410E" w:rsidRDefault="00CE7F43">
      <w:pPr>
        <w:pStyle w:val="pheading"/>
      </w:pPr>
      <w:r>
        <w:t>- Définition / Comprend</w:t>
      </w:r>
    </w:p>
    <w:p w14:paraId="1C51D8FC" w14:textId="77777777" w:rsidR="00DF410E" w:rsidRDefault="00CE7F43">
      <w:pPr>
        <w:jc w:val="both"/>
      </w:pPr>
      <w:r>
        <w:t>Il s’agit de la fourniture et la mise en œuvre de produits de cure (résines) pulvérisés à la surface du béton et formant un film continu d’une épaisseur suffisante protégeant celui-ci contre la dessiccation.</w:t>
      </w:r>
    </w:p>
    <w:p w14:paraId="0AFDFFBC" w14:textId="77777777" w:rsidR="00DF410E" w:rsidRDefault="00CE7F43">
      <w:pPr>
        <w:pStyle w:val="pheading"/>
      </w:pPr>
      <w:r>
        <w:t>- Localisation</w:t>
      </w:r>
    </w:p>
    <w:p w14:paraId="4D488E03" w14:textId="77777777" w:rsidR="00DF410E" w:rsidRDefault="00CE7F43">
      <w:r>
        <w:t xml:space="preserve">Le présent travail est effectué sur les éléments en béton suivants : </w:t>
      </w:r>
      <w:r>
        <w:rPr>
          <w:rStyle w:val="optioncarChar"/>
        </w:rPr>
        <w:t>***</w:t>
      </w:r>
    </w:p>
    <w:p w14:paraId="737CE433" w14:textId="77777777" w:rsidR="00DF410E" w:rsidRDefault="00CE7F43">
      <w:r>
        <w:t>Voir plans et métrés détaillés.</w:t>
      </w:r>
    </w:p>
    <w:p w14:paraId="194B73F0" w14:textId="77777777" w:rsidR="00DF410E" w:rsidRDefault="00CE7F43">
      <w:pPr>
        <w:pStyle w:val="pheading"/>
      </w:pPr>
      <w:r>
        <w:t>MATÉRIAUX</w:t>
      </w:r>
    </w:p>
    <w:p w14:paraId="7EAB77F4" w14:textId="77777777" w:rsidR="00DF410E" w:rsidRDefault="00CE7F43">
      <w:pPr>
        <w:pStyle w:val="pheading"/>
      </w:pPr>
      <w:r>
        <w:t>- Caractéristiques générales</w:t>
      </w:r>
    </w:p>
    <w:p w14:paraId="1325CD92" w14:textId="77777777" w:rsidR="00DF410E" w:rsidRDefault="00CE7F43">
      <w:pPr>
        <w:jc w:val="both"/>
      </w:pPr>
      <w:r>
        <w:t>Le produit doit contenir une charge ou un colorant permettant d’évaluer le degré et l’efficacité de l’épandage.</w:t>
      </w:r>
    </w:p>
    <w:p w14:paraId="2C4C0C51" w14:textId="77777777" w:rsidR="00DF410E" w:rsidRDefault="00CE7F43">
      <w:pPr>
        <w:jc w:val="both"/>
      </w:pPr>
      <w:r>
        <w:t>Il doit être de teinte claire pour réfléchir les rayons solaires et réduire les températures de surface.</w:t>
      </w:r>
    </w:p>
    <w:p w14:paraId="7C8154B1" w14:textId="77777777" w:rsidR="00DF410E" w:rsidRDefault="00CE7F43">
      <w:pPr>
        <w:jc w:val="both"/>
      </w:pPr>
      <w:r>
        <w:t>Il ne peut former de taches ou favoriser l’adhérence de saletés à la surface du béton.</w:t>
      </w:r>
    </w:p>
    <w:p w14:paraId="089AFF44" w14:textId="77777777" w:rsidR="00DF410E" w:rsidRDefault="00CE7F43">
      <w:pPr>
        <w:jc w:val="both"/>
      </w:pPr>
      <w:r>
        <w:t>Le produit de cure dispose d’un certificat d’efficacité évaluée conformément au [PTV 501] ou au [CEN/TS 14754-1]. Le coefficient de protection du produit de cure doit être de minimum 75%.</w:t>
      </w:r>
    </w:p>
    <w:p w14:paraId="3D3F9C02" w14:textId="77777777" w:rsidR="00DF410E" w:rsidRDefault="00CE7F43">
      <w:pPr>
        <w:pStyle w:val="pheading"/>
      </w:pPr>
      <w:r>
        <w:t>- Finitions</w:t>
      </w:r>
    </w:p>
    <w:p w14:paraId="4C50DD6E" w14:textId="77777777" w:rsidR="00DF410E" w:rsidRDefault="00CE7F43">
      <w:pPr>
        <w:jc w:val="both"/>
      </w:pPr>
      <w:r>
        <w:t xml:space="preserve">Teinte du produit lors de la pulvérisation : </w:t>
      </w:r>
      <w:r>
        <w:rPr>
          <w:rStyle w:val="optioncarChar"/>
        </w:rPr>
        <w:t>différente du béton mis en œuvre</w:t>
      </w:r>
      <w:r>
        <w:t xml:space="preserve"> (par défaut) </w:t>
      </w:r>
      <w:r>
        <w:rPr>
          <w:rStyle w:val="optioncarChar"/>
        </w:rPr>
        <w:t>/ ***</w:t>
      </w:r>
    </w:p>
    <w:p w14:paraId="554BA398" w14:textId="77777777" w:rsidR="00DF410E" w:rsidRDefault="00CE7F43">
      <w:pPr>
        <w:jc w:val="both"/>
      </w:pPr>
      <w:r>
        <w:t xml:space="preserve">Teinte du produit après séchage : </w:t>
      </w:r>
      <w:r>
        <w:rPr>
          <w:rStyle w:val="optioncarChar"/>
        </w:rPr>
        <w:t>blanche ou métallisée</w:t>
      </w:r>
      <w:r>
        <w:t xml:space="preserve"> (par défaut) </w:t>
      </w:r>
      <w:r>
        <w:rPr>
          <w:rStyle w:val="optioncarChar"/>
        </w:rPr>
        <w:t>/ blanche / métallisée / incolore / teinte différente du béton / ***</w:t>
      </w:r>
    </w:p>
    <w:p w14:paraId="51CFE7DE" w14:textId="77777777" w:rsidR="00DF410E" w:rsidRDefault="00CE7F43">
      <w:pPr>
        <w:pStyle w:val="pheading"/>
      </w:pPr>
      <w:r>
        <w:t>EXÉCUTION / MISE EN ŒUVRE</w:t>
      </w:r>
    </w:p>
    <w:p w14:paraId="2FFF0DD6" w14:textId="77777777" w:rsidR="00DF410E" w:rsidRDefault="00CE7F43">
      <w:pPr>
        <w:pStyle w:val="pheading"/>
      </w:pPr>
      <w:r>
        <w:t>- Prescriptions générales</w:t>
      </w:r>
    </w:p>
    <w:p w14:paraId="66C28A94" w14:textId="77777777" w:rsidR="00DF410E" w:rsidRDefault="00CE7F43">
      <w:pPr>
        <w:jc w:val="both"/>
      </w:pPr>
      <w:r>
        <w:t>La quantité de produit de cure à appliquer par pulvérisation est conforme à la fiche technique du produit pour atteindre les performances de cure prévues dans le [PTV 501] ou suite à l’essai repris dans le [CEN/TS 14754-1].  Il est appliqué à la fin du ressuage ou directement après le décoffrage ou la finition du béton.</w:t>
      </w:r>
    </w:p>
    <w:p w14:paraId="504B46AD" w14:textId="77777777" w:rsidR="00DF410E" w:rsidRDefault="00CE7F43">
      <w:pPr>
        <w:jc w:val="both"/>
      </w:pPr>
      <w:r>
        <w:t>Sauf autorisation expresse de la direction de chantier, il est fait usage d’un équipement automatisé d’épandage pour répartir le produit de manière uniforme.</w:t>
      </w:r>
    </w:p>
    <w:p w14:paraId="72E33ECD" w14:textId="77777777" w:rsidR="00DF410E" w:rsidRDefault="00CE7F43">
      <w:pPr>
        <w:jc w:val="both"/>
      </w:pPr>
      <w:r>
        <w:t>La protection contre la dessiccation est maintenue :</w:t>
      </w:r>
    </w:p>
    <w:p w14:paraId="12ED2427" w14:textId="77777777" w:rsidR="00DF410E" w:rsidRDefault="00CE7F43">
      <w:pPr>
        <w:pStyle w:val="Author-eListParagraph"/>
        <w:numPr>
          <w:ilvl w:val="0"/>
          <w:numId w:val="673"/>
        </w:numPr>
      </w:pPr>
      <w:r>
        <w:t>jusqu’à ce que la résistance minimale du béton ait été atteinte suivant la [NBN EN 13369:2023] dans le cas des éléments préfabriqués</w:t>
      </w:r>
    </w:p>
    <w:p w14:paraId="2E90B261" w14:textId="77777777" w:rsidR="00DF410E" w:rsidRDefault="00CE7F43">
      <w:pPr>
        <w:pStyle w:val="Author-eListParagraph"/>
        <w:numPr>
          <w:ilvl w:val="0"/>
          <w:numId w:val="673"/>
        </w:numPr>
      </w:pPr>
      <w:r>
        <w:t>conformément aux exigences des normes [NBN EN 13670]  et [NBN B 15-400] dans le cas des éléments coulés in situ.</w:t>
      </w:r>
    </w:p>
    <w:p w14:paraId="0017EE49" w14:textId="77777777" w:rsidR="00DF410E" w:rsidRDefault="00CE7F43">
      <w:pPr>
        <w:pStyle w:val="pheading"/>
      </w:pPr>
      <w:r>
        <w:t>- Notes d’exécution complémentaires</w:t>
      </w:r>
    </w:p>
    <w:p w14:paraId="311D1F17" w14:textId="77777777" w:rsidR="00DF410E" w:rsidRDefault="00CE7F43">
      <w:pPr>
        <w:jc w:val="both"/>
      </w:pPr>
      <w:r>
        <w:rPr>
          <w:rStyle w:val="facultChar"/>
        </w:rPr>
        <w:t>En vue de la pose de finitions et d’en assurer l’adhérence au support béton ou dans le cas d’un béton restant apparent en finale, le produit de cure est enlevé.</w:t>
      </w:r>
    </w:p>
    <w:p w14:paraId="453E9484" w14:textId="77777777" w:rsidR="00DF410E" w:rsidRDefault="00CE7F43">
      <w:pPr>
        <w:jc w:val="both"/>
      </w:pPr>
      <w:r>
        <w:rPr>
          <w:rStyle w:val="facultChar"/>
        </w:rPr>
        <w:t>Méthode de suppression du produit de cure : par ponçage / par décapage à l’eau sous pression / par grenaillage.</w:t>
      </w:r>
    </w:p>
    <w:p w14:paraId="0CD4674B" w14:textId="77777777" w:rsidR="00DF410E" w:rsidRDefault="00CE7F43">
      <w:pPr>
        <w:pStyle w:val="pheading"/>
      </w:pPr>
      <w:r>
        <w:t>DOCUMENTS DE RÉFÉRENCE COMPLÉMENTAIRES</w:t>
      </w:r>
    </w:p>
    <w:p w14:paraId="4B8B6BD5" w14:textId="77777777" w:rsidR="00DF410E" w:rsidRDefault="00CE7F43">
      <w:pPr>
        <w:pStyle w:val="pheading"/>
      </w:pPr>
      <w:r>
        <w:t>- Matériau</w:t>
      </w:r>
    </w:p>
    <w:p w14:paraId="3EB49E13" w14:textId="77777777" w:rsidR="00DF410E" w:rsidRDefault="00CE7F43">
      <w:r>
        <w:t>[PTV 501, Produits de cure]</w:t>
      </w:r>
    </w:p>
    <w:p w14:paraId="3221149F" w14:textId="77777777" w:rsidR="00DF410E" w:rsidRDefault="00CE7F43">
      <w:r>
        <w:t>[CEN/TS 14754-1, Produits de cure - Méthodes d'essai - Partie 1 : Détermination de l'efficacité de protection des produits de cure courants]</w:t>
      </w:r>
    </w:p>
    <w:p w14:paraId="3A20E9CF" w14:textId="77777777" w:rsidR="00DF410E" w:rsidRDefault="00CE7F43">
      <w:r>
        <w:t>[NBN EN 13369:2023, Règles communes pour les produits préfabriqués en béton]</w:t>
      </w:r>
    </w:p>
    <w:p w14:paraId="1BB68012" w14:textId="77777777" w:rsidR="00DF410E" w:rsidRDefault="00CE7F43">
      <w:pPr>
        <w:pStyle w:val="pheading"/>
      </w:pPr>
      <w:r>
        <w:t>- Exécution</w:t>
      </w:r>
    </w:p>
    <w:p w14:paraId="435BEC29" w14:textId="77777777" w:rsidR="00DF410E" w:rsidRDefault="00CE7F43">
      <w:r>
        <w:t>[NBN EN 13670, Exécution des structures en béton]</w:t>
      </w:r>
    </w:p>
    <w:p w14:paraId="387FAE85" w14:textId="77777777" w:rsidR="00DF410E" w:rsidRDefault="00CE7F43">
      <w:r>
        <w:t>[NBN B 15-400, Exécution des structures en béton - Supplément national à la NBN EN 13670:2010]</w:t>
      </w:r>
    </w:p>
    <w:p w14:paraId="1557050D" w14:textId="77777777" w:rsidR="00DF410E" w:rsidRDefault="00CE7F43">
      <w:pPr>
        <w:pStyle w:val="pheading"/>
      </w:pPr>
      <w:r>
        <w:t>MESURAGE</w:t>
      </w:r>
    </w:p>
    <w:p w14:paraId="46698A4E" w14:textId="77777777" w:rsidR="00DF410E" w:rsidRDefault="00CE7F43">
      <w:pPr>
        <w:pStyle w:val="pheading"/>
      </w:pPr>
      <w:r>
        <w:t>- unité de mesure:</w:t>
      </w:r>
    </w:p>
    <w:p w14:paraId="59EBB038" w14:textId="77777777" w:rsidR="00DF410E" w:rsidRDefault="00CE7F43">
      <w:r>
        <w:t>-</w:t>
      </w:r>
    </w:p>
    <w:p w14:paraId="41D44509" w14:textId="77777777" w:rsidR="00DF410E" w:rsidRDefault="00CE7F43">
      <w:pPr>
        <w:pStyle w:val="pheading"/>
      </w:pPr>
      <w:r>
        <w:t>- code de mesurage:</w:t>
      </w:r>
    </w:p>
    <w:p w14:paraId="07694B4E" w14:textId="77777777" w:rsidR="00DF410E" w:rsidRDefault="00CE7F43">
      <w:r>
        <w:t>Compris dans le prix de réalisation des bétons.</w:t>
      </w:r>
    </w:p>
    <w:p w14:paraId="6D7AAB6D" w14:textId="77777777" w:rsidR="00DF410E" w:rsidRDefault="00CE7F43">
      <w:pPr>
        <w:pStyle w:val="pheading"/>
      </w:pPr>
      <w:r>
        <w:t>- nature du marché:</w:t>
      </w:r>
    </w:p>
    <w:p w14:paraId="160F685D" w14:textId="77777777" w:rsidR="00DF410E" w:rsidRDefault="00CE7F43">
      <w:r>
        <w:t>PM</w:t>
      </w:r>
    </w:p>
    <w:p w14:paraId="682383AF" w14:textId="77777777" w:rsidR="00DF410E" w:rsidRDefault="00CE7F43">
      <w:pPr>
        <w:pStyle w:val="pheading"/>
      </w:pPr>
      <w:r>
        <w:t>AIDE</w:t>
      </w:r>
    </w:p>
    <w:p w14:paraId="357FD0DA" w14:textId="77777777" w:rsidR="00DF410E" w:rsidRDefault="00CE7F43">
      <w:pPr>
        <w:jc w:val="both"/>
      </w:pPr>
      <w:r>
        <w:t>Il existe d’autres techniques de cure comme par exemples laisser le coffrage en place, mettre des bâches plastiques, …  Les durées de cure doivent être conformes aux exigences des normes [NBN EN 13670] et [NBN B 15-400] dans le cas des bétons coulés in situ ou conformes aux exigences de la [NBN EN 13369:2023] dans le cas des éléments préfabriqués.  Ces travaux de protection contre la dessiccation (cure) sont prescrits dans les éléments </w:t>
      </w:r>
      <w:hyperlink w:anchor="530" w:history="1">
        <w:r>
          <w:t>22.1 Eléments de structures en béton</w:t>
        </w:r>
      </w:hyperlink>
      <w:r>
        <w:t xml:space="preserve">, </w:t>
      </w:r>
      <w:hyperlink w:anchor="531" w:history="1">
        <w:r>
          <w:t>22.2 Ensembles structuraux en béton</w:t>
        </w:r>
      </w:hyperlink>
      <w:r>
        <w:t xml:space="preserve">, </w:t>
      </w:r>
      <w:hyperlink w:anchor="532" w:history="1">
        <w:r>
          <w:t>22.3 Eléments et structures secondaires en béton</w:t>
        </w:r>
      </w:hyperlink>
      <w:r>
        <w:t xml:space="preserve"> , </w:t>
      </w:r>
      <w:hyperlink w:anchor="533" w:history="1">
        <w:r>
          <w:t>22.83 Réparations / ragréages / rénovations</w:t>
        </w:r>
      </w:hyperlink>
      <w:r>
        <w:t xml:space="preserve"> et </w:t>
      </w:r>
      <w:hyperlink w:anchor="534" w:history="1">
        <w:r>
          <w:t>28.21 Revêtements de façade en panneaux préfabriqués en béton</w:t>
        </w:r>
      </w:hyperlink>
      <w:r>
        <w:t>.</w:t>
      </w:r>
    </w:p>
    <w:p w14:paraId="037C13D7" w14:textId="77777777" w:rsidR="00DF410E" w:rsidRDefault="00CE7F43">
      <w:pPr>
        <w:pStyle w:val="Author-eSectionHeading5"/>
      </w:pPr>
      <w:bookmarkStart w:id="1036" w:name="_Toc178838171"/>
      <w:r>
        <w:t>22.72.2 Adjuvants CCTB 01.07</w:t>
      </w:r>
      <w:bookmarkEnd w:id="1036"/>
    </w:p>
    <w:p w14:paraId="4A11CE03" w14:textId="77777777" w:rsidR="00DF410E" w:rsidRDefault="00CE7F43">
      <w:pPr>
        <w:pStyle w:val="pheading"/>
      </w:pPr>
      <w:r>
        <w:t>DESCRIPTION</w:t>
      </w:r>
    </w:p>
    <w:p w14:paraId="281917B1" w14:textId="77777777" w:rsidR="00DF410E" w:rsidRDefault="00CE7F43">
      <w:pPr>
        <w:pStyle w:val="pheading"/>
      </w:pPr>
      <w:r>
        <w:t>- Définition / Comprend</w:t>
      </w:r>
    </w:p>
    <w:p w14:paraId="65AEA988" w14:textId="77777777" w:rsidR="00DF410E" w:rsidRDefault="00CE7F43">
      <w:r>
        <w:t>La majorité des adjuvants sont incorporés dans les bétons sous la responsabilité des producteurs de béton. Dans le cas des plastifiants et superplastifiants, il faut mentionner la classe de consistance lors de la spécification des bétons, mais sans préciser leur type et leur quantité.</w:t>
      </w:r>
    </w:p>
    <w:p w14:paraId="78AAA423" w14:textId="77777777" w:rsidR="00DF410E" w:rsidRDefault="00CE7F43">
      <w:pPr>
        <w:pStyle w:val="Author-eSectionHeading6"/>
      </w:pPr>
      <w:bookmarkStart w:id="1037" w:name="_Toc178838172"/>
      <w:r>
        <w:t>22.72.2a Plastifiants réducteurs d'eau CCTB 01.07</w:t>
      </w:r>
      <w:bookmarkEnd w:id="1037"/>
    </w:p>
    <w:p w14:paraId="4567DBD5" w14:textId="77777777" w:rsidR="00DF410E" w:rsidRDefault="00CE7F43">
      <w:pPr>
        <w:pStyle w:val="pheading"/>
      </w:pPr>
      <w:r>
        <w:t>DESCRIPTION</w:t>
      </w:r>
    </w:p>
    <w:p w14:paraId="3C6963CE" w14:textId="77777777" w:rsidR="00DF410E" w:rsidRDefault="00CE7F43">
      <w:pPr>
        <w:pStyle w:val="pheading"/>
      </w:pPr>
      <w:r>
        <w:t>- Définition / Comprend</w:t>
      </w:r>
    </w:p>
    <w:p w14:paraId="32269F1E" w14:textId="77777777" w:rsidR="00DF410E" w:rsidRDefault="00CE7F43">
      <w:pPr>
        <w:jc w:val="both"/>
      </w:pPr>
      <w:r>
        <w:t>L’entreprise comprend la fourniture et l’intégration de plastifiants dans le béton.  Les plastifiants sont des adjuvants réducteurs d’eau à incorporer dans le béton lors du malaxage et permettant d’accroître l’ouvrabilité des bétons ou qui sans modifier l’ouvrabilité permettent de réduire la teneur en eau ou qui produisent les deux effets à la fois.</w:t>
      </w:r>
    </w:p>
    <w:p w14:paraId="0EB30E1B" w14:textId="77777777" w:rsidR="00DF410E" w:rsidRDefault="00CE7F43">
      <w:pPr>
        <w:pStyle w:val="pheading"/>
      </w:pPr>
      <w:r>
        <w:t>MATÉRIAUX</w:t>
      </w:r>
    </w:p>
    <w:p w14:paraId="0630CAE0" w14:textId="77777777" w:rsidR="00DF410E" w:rsidRDefault="00CE7F43">
      <w:pPr>
        <w:pStyle w:val="pheading"/>
      </w:pPr>
      <w:r>
        <w:t>- Caractéristiques générales</w:t>
      </w:r>
    </w:p>
    <w:p w14:paraId="18E3952C" w14:textId="77777777" w:rsidR="00DF410E" w:rsidRDefault="00CE7F43">
      <w:r>
        <w:t>Les plastifiants  doivent être conformes à la [NBN EN 934-2+A1].</w:t>
      </w:r>
    </w:p>
    <w:p w14:paraId="6DDE6963" w14:textId="77777777" w:rsidR="00DF410E" w:rsidRDefault="00CE7F43">
      <w:pPr>
        <w:pStyle w:val="pheading"/>
      </w:pPr>
      <w:r>
        <w:t>EXÉCUTION / MISE EN ŒUVRE</w:t>
      </w:r>
    </w:p>
    <w:p w14:paraId="087DE1D8" w14:textId="77777777" w:rsidR="00DF410E" w:rsidRDefault="00CE7F43">
      <w:pPr>
        <w:pStyle w:val="pheading"/>
      </w:pPr>
      <w:r>
        <w:t>- Prescriptions générales</w:t>
      </w:r>
    </w:p>
    <w:p w14:paraId="604DDE14" w14:textId="77777777" w:rsidR="00DF410E" w:rsidRDefault="00CE7F43">
      <w:pPr>
        <w:jc w:val="both"/>
      </w:pPr>
      <w:r>
        <w:t>Dans le cas des bétons prêts à l’emploi, les plastifiants sont incorporés dans les bétons en centrale ou dans le camion malaxeur sur chantier sous la responsabilité de la centrale à béton. La durée de malaxage sur chantier doit être conforme aux exigences du paragraphe 8.4.1. des normes [NBN EN 13670] et [NBN B 15-400], c’est-à-dire qu'après ajout des adjuvants sur chantier, la durée de re-malaxage ne doit ni être inférieure à 1min/m³ de béton, ni inférieure à 5 min.</w:t>
      </w:r>
    </w:p>
    <w:p w14:paraId="264D9177" w14:textId="77777777" w:rsidR="00DF410E" w:rsidRDefault="00CE7F43">
      <w:pPr>
        <w:pStyle w:val="pheading"/>
      </w:pPr>
      <w:r>
        <w:t>DOCUMENTS DE RÉFÉRENCE COMPLÉMENTAIRES</w:t>
      </w:r>
    </w:p>
    <w:p w14:paraId="08D240CD" w14:textId="77777777" w:rsidR="00DF410E" w:rsidRDefault="00CE7F43">
      <w:pPr>
        <w:pStyle w:val="pheading"/>
      </w:pPr>
      <w:r>
        <w:t>- Matériau</w:t>
      </w:r>
    </w:p>
    <w:p w14:paraId="050C9F4A" w14:textId="77777777" w:rsidR="00DF410E" w:rsidRDefault="00CE7F43">
      <w:r>
        <w:t>[NBN EN 934-2+A1, Adjuvants pour bétons, mortier et coulis - Partie 2: Adjuvants pour béton - Définitions, exigences, conformité, marquage et étiquetage]</w:t>
      </w:r>
    </w:p>
    <w:p w14:paraId="504790CE" w14:textId="77777777" w:rsidR="00DF410E" w:rsidRDefault="00CE7F43">
      <w:pPr>
        <w:pStyle w:val="pheading"/>
      </w:pPr>
      <w:r>
        <w:t>- Exécution</w:t>
      </w:r>
    </w:p>
    <w:p w14:paraId="648B0E25" w14:textId="77777777" w:rsidR="00DF410E" w:rsidRDefault="00CE7F43">
      <w:r>
        <w:t>[NBN EN 13670, Exécution des structures en béton]</w:t>
      </w:r>
    </w:p>
    <w:p w14:paraId="45AA7D14" w14:textId="77777777" w:rsidR="00DF410E" w:rsidRDefault="00CE7F43">
      <w:r>
        <w:t>[NBN B 15-400, Exécution des structures en béton - Supplément national à la NBN EN 13670:2010]</w:t>
      </w:r>
    </w:p>
    <w:p w14:paraId="388D47BA" w14:textId="77777777" w:rsidR="00DF410E" w:rsidRDefault="00CE7F43">
      <w:pPr>
        <w:pStyle w:val="pheading"/>
      </w:pPr>
      <w:r>
        <w:t>MESURAGE</w:t>
      </w:r>
    </w:p>
    <w:p w14:paraId="1F056DC9" w14:textId="77777777" w:rsidR="00DF410E" w:rsidRDefault="00CE7F43">
      <w:pPr>
        <w:pStyle w:val="pheading"/>
      </w:pPr>
      <w:r>
        <w:t>- unité de mesure:</w:t>
      </w:r>
    </w:p>
    <w:p w14:paraId="2E5168E0" w14:textId="77777777" w:rsidR="00DF410E" w:rsidRDefault="00CE7F43">
      <w:r>
        <w:t>-</w:t>
      </w:r>
    </w:p>
    <w:p w14:paraId="04311D57" w14:textId="77777777" w:rsidR="00DF410E" w:rsidRDefault="00CE7F43">
      <w:pPr>
        <w:pStyle w:val="pheading"/>
      </w:pPr>
      <w:r>
        <w:t>- code de mesurage:</w:t>
      </w:r>
    </w:p>
    <w:p w14:paraId="6B3F3C6A" w14:textId="77777777" w:rsidR="00DF410E" w:rsidRDefault="00CE7F43">
      <w:r>
        <w:t>Compris dans les prix unitaires des ouvrages en béton concernés.</w:t>
      </w:r>
    </w:p>
    <w:p w14:paraId="73FD95FB" w14:textId="77777777" w:rsidR="00DF410E" w:rsidRDefault="00CE7F43">
      <w:pPr>
        <w:pStyle w:val="pheading"/>
      </w:pPr>
      <w:r>
        <w:t>- nature du marché:</w:t>
      </w:r>
    </w:p>
    <w:p w14:paraId="626FB88A" w14:textId="77777777" w:rsidR="00DF410E" w:rsidRDefault="00CE7F43">
      <w:r>
        <w:t>PM</w:t>
      </w:r>
    </w:p>
    <w:p w14:paraId="730777CC" w14:textId="77777777" w:rsidR="00DF410E" w:rsidRDefault="00CE7F43">
      <w:pPr>
        <w:pStyle w:val="pheading"/>
      </w:pPr>
      <w:r>
        <w:t>AIDE</w:t>
      </w:r>
    </w:p>
    <w:p w14:paraId="008BBC02" w14:textId="77777777" w:rsidR="00DF410E" w:rsidRDefault="00CE7F43">
      <w:pPr>
        <w:jc w:val="both"/>
      </w:pPr>
      <w:r>
        <w:t>Dans le cas des bétons prêts à l’emploi, comme la spécification des bétons selon les normes [NBN EN 206:2013+A2] et [NBN B 15-001] est une spécification basée sur les performances, il ne faut pas prescrire l’emploi des adjuvants comme les plastifiants. Il incombe à la centrale à béton de concevoir une recette de béton qui permette l’obtention de la classe d’ouvrabilité souhaitée et prescrite lors de la spécification du béton.</w:t>
      </w:r>
    </w:p>
    <w:p w14:paraId="0BB8459D" w14:textId="77777777" w:rsidR="00DF410E" w:rsidRDefault="00CE7F43">
      <w:pPr>
        <w:jc w:val="both"/>
      </w:pPr>
      <w:r>
        <w:t>Ces adjuvants peuvent avoir comme action secondaire un effet retardateur de prise.</w:t>
      </w:r>
    </w:p>
    <w:p w14:paraId="375343F2" w14:textId="77777777" w:rsidR="00DF410E" w:rsidRDefault="00CE7F43">
      <w:pPr>
        <w:pStyle w:val="Author-eSectionHeading6"/>
      </w:pPr>
      <w:bookmarkStart w:id="1038" w:name="_Toc178838173"/>
      <w:r>
        <w:t>22.72.2b Superplastifiants hautement réducteurs d'eau CCTB 01.11</w:t>
      </w:r>
      <w:bookmarkEnd w:id="1038"/>
    </w:p>
    <w:p w14:paraId="10626AD4" w14:textId="77777777" w:rsidR="00DF410E" w:rsidRDefault="00CE7F43">
      <w:pPr>
        <w:pStyle w:val="pheading"/>
      </w:pPr>
      <w:r>
        <w:t>DESCRIPTION</w:t>
      </w:r>
    </w:p>
    <w:p w14:paraId="2AA902F6" w14:textId="77777777" w:rsidR="00DF410E" w:rsidRDefault="00CE7F43">
      <w:pPr>
        <w:pStyle w:val="pheading"/>
      </w:pPr>
      <w:r>
        <w:t>- Définition / Comprend</w:t>
      </w:r>
    </w:p>
    <w:p w14:paraId="30E356D5" w14:textId="77777777" w:rsidR="00DF410E" w:rsidRDefault="00CE7F43">
      <w:pPr>
        <w:jc w:val="both"/>
      </w:pPr>
      <w:r>
        <w:t>L’entreprise comprend la fourniture et l’intégration de plastifiants dans le béton. Les superplastifiants sont des adjuvants hautement réducteurs d’eau à incorporer dans le béton lors du malaxage et permettant d’accroître l’ouvrabilité des bétons ou qui sans modifier l’ouvrabilité permettent de réduire fortement la teneur en eau ou qui produisent les deux effets à la fois.</w:t>
      </w:r>
    </w:p>
    <w:p w14:paraId="1C86FD73" w14:textId="77777777" w:rsidR="00DF410E" w:rsidRDefault="00CE7F43">
      <w:pPr>
        <w:pStyle w:val="pheading"/>
      </w:pPr>
      <w:r>
        <w:t>MATÉRIAUX</w:t>
      </w:r>
    </w:p>
    <w:p w14:paraId="01B5F6FA" w14:textId="77777777" w:rsidR="00DF410E" w:rsidRDefault="00CE7F43">
      <w:pPr>
        <w:pStyle w:val="pheading"/>
      </w:pPr>
      <w:r>
        <w:t>- Caractéristiques générales</w:t>
      </w:r>
    </w:p>
    <w:p w14:paraId="3CD09243" w14:textId="77777777" w:rsidR="00DF410E" w:rsidRDefault="00CE7F43">
      <w:pPr>
        <w:jc w:val="both"/>
      </w:pPr>
      <w:r>
        <w:t>Les superplastifiants doivent être conformes à la [NBN EN 934-2+A1]. S'ils ont comme caractéristique de conduire à une ouvrabilité prolongée du béton, ils sont également conformes au [PTV 502].</w:t>
      </w:r>
    </w:p>
    <w:p w14:paraId="2887EC16" w14:textId="77777777" w:rsidR="00DF410E" w:rsidRDefault="00CE7F43">
      <w:pPr>
        <w:pStyle w:val="pheading"/>
      </w:pPr>
      <w:r>
        <w:t>EXÉCUTION / MISE EN ŒUVRE</w:t>
      </w:r>
    </w:p>
    <w:p w14:paraId="0178C703" w14:textId="77777777" w:rsidR="00DF410E" w:rsidRDefault="00CE7F43">
      <w:pPr>
        <w:pStyle w:val="pheading"/>
      </w:pPr>
      <w:r>
        <w:t>- Prescriptions générales</w:t>
      </w:r>
    </w:p>
    <w:p w14:paraId="1177685A" w14:textId="77777777" w:rsidR="00DF410E" w:rsidRDefault="00CE7F43">
      <w:pPr>
        <w:jc w:val="both"/>
      </w:pPr>
      <w:r>
        <w:t>Dans le cas des bétons prêts à l’emploi, les superplastifiants sont incorporés dans les bétons en centrale ou dans le camion malaxeur sur chantier sous la responsabilité de la centrale à béton. La durée de malaxage sur chantier doit être conforme aux exigences du paragraphe 8.4.1. des normes [NBN EN 13670] et [NBN B 15-400], c’est-à-dire qu'après ajout des adjuvants sur chantier, la durée de re-malaxage ne doit ni être inférieure à 1min/m³ de béton, ni inférieure à 5 min.</w:t>
      </w:r>
    </w:p>
    <w:p w14:paraId="2CEB0942" w14:textId="77777777" w:rsidR="00DF410E" w:rsidRDefault="00CE7F43">
      <w:pPr>
        <w:pStyle w:val="pheading"/>
      </w:pPr>
      <w:r>
        <w:t>DOCUMENTS DE RÉFÉRENCE COMPLÉMENTAIRES</w:t>
      </w:r>
    </w:p>
    <w:p w14:paraId="4FCEEFAC" w14:textId="77777777" w:rsidR="00DF410E" w:rsidRDefault="00CE7F43">
      <w:pPr>
        <w:pStyle w:val="pheading"/>
      </w:pPr>
      <w:r>
        <w:t>- Matériau</w:t>
      </w:r>
    </w:p>
    <w:p w14:paraId="50CD6EA4" w14:textId="77777777" w:rsidR="00DF410E" w:rsidRDefault="00CE7F43">
      <w:r>
        <w:t>[NBN EN 934-2+A1, Adjuvants pour bétons, mortier et coulis - Partie 2: Adjuvants pour béton - Définitions, exigences, conformité, marquage et étiquetage]</w:t>
      </w:r>
    </w:p>
    <w:p w14:paraId="741A60F1" w14:textId="77777777" w:rsidR="00DF410E" w:rsidRDefault="00CE7F43">
      <w:r>
        <w:t>[PTV 502, Superplastifiants-hauts réducteurs d'eau avec déclaration d'ouvrabilité prolongée]</w:t>
      </w:r>
    </w:p>
    <w:p w14:paraId="3305F5D0" w14:textId="77777777" w:rsidR="00DF410E" w:rsidRDefault="00CE7F43">
      <w:pPr>
        <w:pStyle w:val="pheading"/>
      </w:pPr>
      <w:r>
        <w:t>- Exécution</w:t>
      </w:r>
    </w:p>
    <w:p w14:paraId="06B3F493" w14:textId="77777777" w:rsidR="00DF410E" w:rsidRDefault="00CE7F43">
      <w:r>
        <w:t>[NBN EN 13670, Exécution des structures en béton]</w:t>
      </w:r>
    </w:p>
    <w:p w14:paraId="40BA4DDF" w14:textId="77777777" w:rsidR="00DF410E" w:rsidRDefault="00CE7F43">
      <w:r>
        <w:t>[NBN B 15-400, Exécution des structures en béton - Supplément national à la NBN EN 13670:2010]</w:t>
      </w:r>
    </w:p>
    <w:p w14:paraId="464A2CC4" w14:textId="77777777" w:rsidR="00DF410E" w:rsidRDefault="00CE7F43">
      <w:pPr>
        <w:pStyle w:val="pheading"/>
      </w:pPr>
      <w:r>
        <w:t>MESURAGE</w:t>
      </w:r>
    </w:p>
    <w:p w14:paraId="26A4435B" w14:textId="77777777" w:rsidR="00DF410E" w:rsidRDefault="00CE7F43">
      <w:pPr>
        <w:pStyle w:val="pheading"/>
      </w:pPr>
      <w:r>
        <w:t>- unité de mesure:</w:t>
      </w:r>
    </w:p>
    <w:p w14:paraId="06B8BFF8" w14:textId="77777777" w:rsidR="00DF410E" w:rsidRDefault="00CE7F43">
      <w:r>
        <w:t>-</w:t>
      </w:r>
    </w:p>
    <w:p w14:paraId="78A952A0" w14:textId="77777777" w:rsidR="00DF410E" w:rsidRDefault="00CE7F43">
      <w:pPr>
        <w:pStyle w:val="pheading"/>
      </w:pPr>
      <w:r>
        <w:t>- code de mesurage:</w:t>
      </w:r>
    </w:p>
    <w:p w14:paraId="12D3B38C" w14:textId="77777777" w:rsidR="00DF410E" w:rsidRDefault="00CE7F43">
      <w:r>
        <w:t>Compris dans les prix unitaires des ouvrages en béton concernés.</w:t>
      </w:r>
    </w:p>
    <w:p w14:paraId="5E9BB93B" w14:textId="77777777" w:rsidR="00DF410E" w:rsidRDefault="00CE7F43">
      <w:pPr>
        <w:pStyle w:val="pheading"/>
      </w:pPr>
      <w:r>
        <w:t>- nature du marché:</w:t>
      </w:r>
    </w:p>
    <w:p w14:paraId="171DEF31" w14:textId="77777777" w:rsidR="00DF410E" w:rsidRDefault="00CE7F43">
      <w:r>
        <w:t>PM</w:t>
      </w:r>
    </w:p>
    <w:p w14:paraId="726DEDB6" w14:textId="77777777" w:rsidR="00DF410E" w:rsidRDefault="00CE7F43">
      <w:pPr>
        <w:pStyle w:val="pheading"/>
      </w:pPr>
      <w:r>
        <w:t>AIDE</w:t>
      </w:r>
    </w:p>
    <w:p w14:paraId="7E4540D2" w14:textId="77777777" w:rsidR="00DF410E" w:rsidRDefault="00CE7F43">
      <w:pPr>
        <w:jc w:val="both"/>
      </w:pPr>
      <w:r>
        <w:t>Dans le cas des bétons prêts à l’emploi, comme la spécification des bétons selon les normes [NBN EN 206:2013+A2] et [NBN B 15-001] est une spécification basée sur les performances, il ne faut pas prescrire l’emploi des adjuvants comme les superplastifiants. Il incombe à la centrale à béton de concevoir une recette de béton qui permette l’obtention des classes de résistance et d’ouvrabilité souhaitées et prescrites lors de la spécification du béton.</w:t>
      </w:r>
    </w:p>
    <w:p w14:paraId="41D4B319" w14:textId="77777777" w:rsidR="00DF410E" w:rsidRDefault="00CE7F43">
      <w:pPr>
        <w:jc w:val="both"/>
      </w:pPr>
      <w:r>
        <w:t>Ces adjuvants peuvent avoir comme action secondaire un effet retardateur de prise.</w:t>
      </w:r>
    </w:p>
    <w:p w14:paraId="17E794D6" w14:textId="77777777" w:rsidR="00DF410E" w:rsidRDefault="00CE7F43">
      <w:pPr>
        <w:pStyle w:val="Author-eSectionHeading6"/>
      </w:pPr>
      <w:bookmarkStart w:id="1039" w:name="_Toc178838174"/>
      <w:r>
        <w:t>22.72.2c Rétenteurs d'eau CCTB 01.02</w:t>
      </w:r>
      <w:bookmarkEnd w:id="1039"/>
    </w:p>
    <w:p w14:paraId="2A45858C" w14:textId="77777777" w:rsidR="00DF410E" w:rsidRDefault="00CE7F43">
      <w:pPr>
        <w:pStyle w:val="Author-eSectionHeading6"/>
      </w:pPr>
      <w:bookmarkStart w:id="1040" w:name="_Toc178838175"/>
      <w:r>
        <w:t>22.72.2d Entraineurs d'air CCTB 01.02</w:t>
      </w:r>
      <w:bookmarkEnd w:id="1040"/>
    </w:p>
    <w:p w14:paraId="4821215A" w14:textId="77777777" w:rsidR="00DF410E" w:rsidRDefault="00CE7F43">
      <w:pPr>
        <w:pStyle w:val="Author-eSectionHeading6"/>
      </w:pPr>
      <w:bookmarkStart w:id="1041" w:name="_Toc178838176"/>
      <w:r>
        <w:t>22.72.2e Accélérateurs de prise et de durcissement CCTB 01.02</w:t>
      </w:r>
      <w:bookmarkEnd w:id="1041"/>
    </w:p>
    <w:p w14:paraId="3A095D33" w14:textId="77777777" w:rsidR="00DF410E" w:rsidRDefault="00CE7F43">
      <w:pPr>
        <w:pStyle w:val="Author-eSectionHeading6"/>
      </w:pPr>
      <w:bookmarkStart w:id="1042" w:name="_Toc178838177"/>
      <w:r>
        <w:t>22.72.2f Retardateurs de prise CCTB 01.02</w:t>
      </w:r>
      <w:bookmarkEnd w:id="1042"/>
    </w:p>
    <w:p w14:paraId="14494FC3" w14:textId="77777777" w:rsidR="00DF410E" w:rsidRDefault="00CE7F43">
      <w:pPr>
        <w:pStyle w:val="Author-eSectionHeading6"/>
      </w:pPr>
      <w:bookmarkStart w:id="1043" w:name="_Toc178838178"/>
      <w:r>
        <w:t>22.72.2g Adjuvants anti-efflorescences CCTB 01.02</w:t>
      </w:r>
      <w:bookmarkEnd w:id="1043"/>
    </w:p>
    <w:p w14:paraId="5B85A456" w14:textId="77777777" w:rsidR="00DF410E" w:rsidRDefault="00CE7F43">
      <w:pPr>
        <w:pStyle w:val="Author-eSectionHeading6"/>
      </w:pPr>
      <w:bookmarkStart w:id="1044" w:name="_Toc178838179"/>
      <w:r>
        <w:t>22.72.2h Agents anti-bullage CCTB 01.02</w:t>
      </w:r>
      <w:bookmarkEnd w:id="1044"/>
    </w:p>
    <w:p w14:paraId="30FE4F6F" w14:textId="77777777" w:rsidR="00DF410E" w:rsidRDefault="00CE7F43">
      <w:pPr>
        <w:pStyle w:val="Author-eSectionHeading6"/>
      </w:pPr>
      <w:bookmarkStart w:id="1045" w:name="_Toc178838180"/>
      <w:r>
        <w:t>22.72.2i Hydrofuge de masse CCTB 01.11</w:t>
      </w:r>
      <w:bookmarkEnd w:id="1045"/>
    </w:p>
    <w:p w14:paraId="273A2726" w14:textId="77777777" w:rsidR="00DF410E" w:rsidRDefault="00CE7F43">
      <w:pPr>
        <w:pStyle w:val="pheading"/>
      </w:pPr>
      <w:r>
        <w:t>DESCRIPTION</w:t>
      </w:r>
    </w:p>
    <w:p w14:paraId="7CFC9DC4" w14:textId="77777777" w:rsidR="00DF410E" w:rsidRDefault="00CE7F43">
      <w:pPr>
        <w:pStyle w:val="pheading"/>
      </w:pPr>
      <w:r>
        <w:t>- Définition / Comprend</w:t>
      </w:r>
    </w:p>
    <w:p w14:paraId="023D548E" w14:textId="77777777" w:rsidR="00DF410E" w:rsidRDefault="00CE7F43">
      <w:r>
        <w:t>Il s'agit des suppléments de prix à compter pour le volume de béton armé étanche.</w:t>
      </w:r>
    </w:p>
    <w:p w14:paraId="05E171E1" w14:textId="77777777" w:rsidR="00DF410E" w:rsidRDefault="00CE7F43">
      <w:pPr>
        <w:pStyle w:val="pheading"/>
      </w:pPr>
      <w:r>
        <w:t>- Localisation</w:t>
      </w:r>
    </w:p>
    <w:p w14:paraId="34DA7140" w14:textId="77777777" w:rsidR="00DF410E" w:rsidRDefault="00CE7F43">
      <w:r>
        <w:t xml:space="preserve">Les éléments en béton étanche repris dans le métré sont : </w:t>
      </w:r>
      <w:r>
        <w:rPr>
          <w:rStyle w:val="optioncarChar"/>
        </w:rPr>
        <w:t>***</w:t>
      </w:r>
      <w:r>
        <w:t>.</w:t>
      </w:r>
    </w:p>
    <w:p w14:paraId="3B376AAD" w14:textId="77777777" w:rsidR="00DF410E" w:rsidRDefault="00CE7F43">
      <w:pPr>
        <w:pStyle w:val="pheading"/>
      </w:pPr>
      <w:r>
        <w:t>MATÉRIAUX</w:t>
      </w:r>
    </w:p>
    <w:p w14:paraId="58042F8C" w14:textId="77777777" w:rsidR="00DF410E" w:rsidRDefault="00CE7F43">
      <w:pPr>
        <w:pStyle w:val="pheading"/>
      </w:pPr>
      <w:r>
        <w:t>- Caractéristiques générales</w:t>
      </w:r>
    </w:p>
    <w:p w14:paraId="33A0F4F6" w14:textId="77777777" w:rsidR="00DF410E" w:rsidRDefault="00CE7F43">
      <w:r>
        <w:t>Un adjuvant liquide hydrofuge est mélangé à l'eau de gâchage. Le produit utilisé ne peut en aucun cas nuire aux caractéristiques du béton ou de l'acier et est exempt de matières organiques, d'huiles et de graisses. Il ne provoque pas de réactions d'augmentation du retrait. En outre, il améliore à la fois la résistance du béton à la compression et à la traction. L'adjuvant hydrofuge est préalablement soumis à l'approbation de l'ingénieur conseil. Il est donc conforme aux exigences de la norme [NBN EN 934-1] et son efficacité est conforme à la norme [NBN EN 934-2+A1] et au [TRA 500].</w:t>
      </w:r>
    </w:p>
    <w:p w14:paraId="40E258CF" w14:textId="77777777" w:rsidR="00DF410E" w:rsidRDefault="00CE7F43">
      <w:pPr>
        <w:pStyle w:val="pheading"/>
      </w:pPr>
      <w:r>
        <w:t>EXÉCUTION / MISE EN ŒUVRE</w:t>
      </w:r>
    </w:p>
    <w:p w14:paraId="4675D610" w14:textId="77777777" w:rsidR="00DF410E" w:rsidRDefault="00CE7F43">
      <w:pPr>
        <w:pStyle w:val="pheading"/>
      </w:pPr>
      <w:r>
        <w:t>- Prescriptions générales</w:t>
      </w:r>
    </w:p>
    <w:p w14:paraId="31A20DFD" w14:textId="77777777" w:rsidR="00DF410E" w:rsidRDefault="00CE7F43">
      <w:r>
        <w:t>Le béton a été spécifié conformément aux normes [NBN EN 206:2013+A2] et [NBN B 15-001] en veillant au choix de la classe d’environnement.</w:t>
      </w:r>
    </w:p>
    <w:p w14:paraId="30FF6526" w14:textId="77777777" w:rsidR="00DF410E" w:rsidRDefault="00CE7F43">
      <w:pPr>
        <w:pStyle w:val="pheading"/>
      </w:pPr>
      <w:r>
        <w:t>DOCUMENTS DE RÉFÉRENCE COMPLÉMENTAIRES</w:t>
      </w:r>
    </w:p>
    <w:p w14:paraId="50D82C29" w14:textId="77777777" w:rsidR="00DF410E" w:rsidRDefault="00CE7F43">
      <w:pPr>
        <w:pStyle w:val="pheading"/>
      </w:pPr>
      <w:r>
        <w:t>- Matériau</w:t>
      </w:r>
    </w:p>
    <w:p w14:paraId="1022F411" w14:textId="77777777" w:rsidR="00DF410E" w:rsidRDefault="00CE7F43">
      <w:r>
        <w:t>[NBN EN 934-1, Adjuvants pour béton, mortier et coulis - Partie 1 : Exigences communes]</w:t>
      </w:r>
    </w:p>
    <w:p w14:paraId="27F9FB7B" w14:textId="77777777" w:rsidR="00DF410E" w:rsidRDefault="00CE7F43">
      <w:r>
        <w:t>[NBN EN 934-2+A1, Adjuvants pour bétons, mortier et coulis - Partie 2: Adjuvants pour béton - Définitions, exigences, conformité, marquage et étiquetage]</w:t>
      </w:r>
    </w:p>
    <w:p w14:paraId="3C316637" w14:textId="77777777" w:rsidR="00DF410E" w:rsidRDefault="00CE7F43">
      <w:pPr>
        <w:pStyle w:val="pheading"/>
      </w:pPr>
      <w:r>
        <w:t>- Exécution</w:t>
      </w:r>
    </w:p>
    <w:p w14:paraId="4E2B1F3A" w14:textId="77777777" w:rsidR="00DF410E" w:rsidRDefault="00CE7F43">
      <w:r>
        <w:t>[NBN B 15-215, Essais sur béton durci - Absorption d'eau par immersion]</w:t>
      </w:r>
    </w:p>
    <w:p w14:paraId="6759C657" w14:textId="77777777" w:rsidR="00DF410E" w:rsidRDefault="00CE7F43">
      <w:pPr>
        <w:pStyle w:val="pheading"/>
      </w:pPr>
      <w:r>
        <w:t>MESURAGE</w:t>
      </w:r>
    </w:p>
    <w:p w14:paraId="7A1AE260" w14:textId="77777777" w:rsidR="00DF410E" w:rsidRDefault="00CE7F43">
      <w:r>
        <w:t>Conformément aux indications dans le métré et le métré récapitulatif, le mesurage doit être conçu comme suit :</w:t>
      </w:r>
    </w:p>
    <w:p w14:paraId="746B76DB" w14:textId="77777777" w:rsidR="00DF410E" w:rsidRDefault="00CE7F43">
      <w:pPr>
        <w:pStyle w:val="pheading"/>
      </w:pPr>
      <w:r>
        <w:t>- unité de mesure:</w:t>
      </w:r>
    </w:p>
    <w:p w14:paraId="59BBA4AC" w14:textId="77777777" w:rsidR="00DF410E" w:rsidRDefault="00CE7F43">
      <w:r>
        <w:t>m³ de béton</w:t>
      </w:r>
    </w:p>
    <w:p w14:paraId="0EA930BB" w14:textId="77777777" w:rsidR="00DF410E" w:rsidRDefault="00CE7F43">
      <w:pPr>
        <w:pStyle w:val="pheading"/>
      </w:pPr>
      <w:r>
        <w:t>- code de mesurage:</w:t>
      </w:r>
    </w:p>
    <w:p w14:paraId="0BBF2C09" w14:textId="77777777" w:rsidR="00DF410E" w:rsidRDefault="00CE7F43">
      <w:r>
        <w:t>conformément au domaine d'application</w:t>
      </w:r>
    </w:p>
    <w:p w14:paraId="40090E4A" w14:textId="77777777" w:rsidR="00DF410E" w:rsidRDefault="00CE7F43">
      <w:pPr>
        <w:pStyle w:val="pheading"/>
      </w:pPr>
      <w:r>
        <w:t>- nature du marché:</w:t>
      </w:r>
    </w:p>
    <w:p w14:paraId="36760F7D" w14:textId="77777777" w:rsidR="00DF410E" w:rsidRDefault="00CE7F43">
      <w:r>
        <w:t>QF</w:t>
      </w:r>
    </w:p>
    <w:p w14:paraId="6A3D09BF" w14:textId="77777777" w:rsidR="00DF410E" w:rsidRDefault="00CE7F43">
      <w:pPr>
        <w:pStyle w:val="Author-eSectionHeading6"/>
      </w:pPr>
      <w:bookmarkStart w:id="1046" w:name="_Toc178838181"/>
      <w:r>
        <w:t>22.72.2j Colorants pour béton CCTB 01.02</w:t>
      </w:r>
      <w:bookmarkEnd w:id="1046"/>
    </w:p>
    <w:p w14:paraId="42ABCE56" w14:textId="77777777" w:rsidR="00DF410E" w:rsidRDefault="00CE7F43">
      <w:pPr>
        <w:pStyle w:val="Author-eSectionHeading6"/>
      </w:pPr>
      <w:bookmarkStart w:id="1047" w:name="_Toc178838182"/>
      <w:r>
        <w:t>22.72.2k Inhibiteurs de corrosion CCTB 01.02</w:t>
      </w:r>
      <w:bookmarkEnd w:id="1047"/>
    </w:p>
    <w:p w14:paraId="54178CF0" w14:textId="77777777" w:rsidR="00DF410E" w:rsidRDefault="00CE7F43">
      <w:pPr>
        <w:pStyle w:val="Author-eSectionHeading5"/>
      </w:pPr>
      <w:bookmarkStart w:id="1048" w:name="_Toc178838183"/>
      <w:r>
        <w:t>22.72.3 Traitement de surface – hydrofugation de surface des bétons CCTB 01.10</w:t>
      </w:r>
      <w:bookmarkEnd w:id="1048"/>
    </w:p>
    <w:p w14:paraId="2686A8E8" w14:textId="77777777" w:rsidR="00DF410E" w:rsidRDefault="00CE7F43">
      <w:pPr>
        <w:pStyle w:val="Author-eSectionHeading6"/>
      </w:pPr>
      <w:bookmarkStart w:id="1049" w:name="_Toc178838184"/>
      <w:r>
        <w:t>22.72.3a Traitement de surface – hydrofugation de surface des bétons CCTB 01.07</w:t>
      </w:r>
      <w:bookmarkEnd w:id="1049"/>
    </w:p>
    <w:p w14:paraId="170A9E55" w14:textId="77777777" w:rsidR="00DF410E" w:rsidRDefault="00CE7F43">
      <w:pPr>
        <w:pStyle w:val="pheading"/>
      </w:pPr>
      <w:r>
        <w:t>DESCRIPTION</w:t>
      </w:r>
    </w:p>
    <w:p w14:paraId="0D68D263" w14:textId="77777777" w:rsidR="00DF410E" w:rsidRDefault="00CE7F43">
      <w:pPr>
        <w:pStyle w:val="pheading"/>
      </w:pPr>
      <w:r>
        <w:t>- Définition / Comprend</w:t>
      </w:r>
    </w:p>
    <w:p w14:paraId="095BD997" w14:textId="77777777" w:rsidR="00DF410E" w:rsidRDefault="00CE7F43">
      <w:r>
        <w:t xml:space="preserve">Renvoi au § </w:t>
      </w:r>
      <w:hyperlink r:id="rId112" w:history="1" w:docLocation="431">
        <w:r>
          <w:t>83.14.2a Hydrofugations de surface</w:t>
        </w:r>
      </w:hyperlink>
    </w:p>
    <w:p w14:paraId="23B71D1F" w14:textId="77777777" w:rsidR="00DF410E" w:rsidRDefault="00CE7F43">
      <w:pPr>
        <w:pStyle w:val="pheading"/>
      </w:pPr>
      <w:r>
        <w:t>MESURAGE</w:t>
      </w:r>
    </w:p>
    <w:p w14:paraId="42E4E8A2" w14:textId="77777777" w:rsidR="00DF410E" w:rsidRDefault="00CE7F43">
      <w:pPr>
        <w:pStyle w:val="pheading"/>
      </w:pPr>
      <w:r>
        <w:t>- unité de mesure:</w:t>
      </w:r>
    </w:p>
    <w:p w14:paraId="62BD556F" w14:textId="77777777" w:rsidR="00DF410E" w:rsidRDefault="00CE7F43">
      <w:r>
        <w:t>-</w:t>
      </w:r>
    </w:p>
    <w:p w14:paraId="14836136" w14:textId="77777777" w:rsidR="00DF410E" w:rsidRDefault="00DF410E"/>
    <w:p w14:paraId="0F351EF3" w14:textId="77777777" w:rsidR="00DF410E" w:rsidRDefault="00CE7F43">
      <w:pPr>
        <w:pStyle w:val="pheading"/>
      </w:pPr>
      <w:r>
        <w:t>- nature du marché:</w:t>
      </w:r>
    </w:p>
    <w:p w14:paraId="03F10AF3" w14:textId="77777777" w:rsidR="00DF410E" w:rsidRDefault="00CE7F43">
      <w:r>
        <w:t>PM</w:t>
      </w:r>
    </w:p>
    <w:p w14:paraId="513DC85E" w14:textId="77777777" w:rsidR="00DF410E" w:rsidRDefault="00DF410E"/>
    <w:p w14:paraId="4A3CB1EA" w14:textId="77777777" w:rsidR="00DF410E" w:rsidRDefault="00CE7F43">
      <w:pPr>
        <w:pStyle w:val="Author-eSectionHeading4"/>
      </w:pPr>
      <w:bookmarkStart w:id="1050" w:name="_Toc178838185"/>
      <w:r>
        <w:t>22.73 Revêtements de finition CCTB 01.02</w:t>
      </w:r>
      <w:bookmarkEnd w:id="1050"/>
    </w:p>
    <w:p w14:paraId="158229D7" w14:textId="77777777" w:rsidR="00DF410E" w:rsidRDefault="00CE7F43">
      <w:pPr>
        <w:pStyle w:val="Author-eSectionHeading5"/>
      </w:pPr>
      <w:bookmarkStart w:id="1051" w:name="540"/>
      <w:bookmarkStart w:id="1052" w:name="_Toc178838186"/>
      <w:bookmarkEnd w:id="1051"/>
      <w:r>
        <w:t>22.73.1 Mortiers d'égalisation CCTB 01.04</w:t>
      </w:r>
      <w:bookmarkEnd w:id="1052"/>
    </w:p>
    <w:p w14:paraId="3D8BC9B0" w14:textId="77777777" w:rsidR="00DF410E" w:rsidRDefault="00CE7F43">
      <w:pPr>
        <w:pStyle w:val="Author-eSectionHeading6"/>
      </w:pPr>
      <w:bookmarkStart w:id="1053" w:name="_Toc178838187"/>
      <w:r>
        <w:t>22.73.1a Mortiers d'égalisation CCTB 01.04</w:t>
      </w:r>
      <w:bookmarkEnd w:id="1053"/>
    </w:p>
    <w:p w14:paraId="36C541B3" w14:textId="77777777" w:rsidR="00DF410E" w:rsidRDefault="00CE7F43">
      <w:pPr>
        <w:pStyle w:val="Author-eSectionHeading5"/>
      </w:pPr>
      <w:bookmarkStart w:id="1054" w:name="_Toc178838188"/>
      <w:r>
        <w:t>22.73.2 Couches de finition CCTB 01.02</w:t>
      </w:r>
      <w:bookmarkEnd w:id="1054"/>
    </w:p>
    <w:p w14:paraId="487644EC" w14:textId="77777777" w:rsidR="00DF410E" w:rsidRDefault="00CE7F43">
      <w:pPr>
        <w:pStyle w:val="Author-eSectionHeading6"/>
      </w:pPr>
      <w:bookmarkStart w:id="1055" w:name="_Toc178838189"/>
      <w:r>
        <w:t>22.73.2a Couches de finition CCTB 01.02</w:t>
      </w:r>
      <w:bookmarkEnd w:id="1055"/>
    </w:p>
    <w:p w14:paraId="7C3EE3DA" w14:textId="77777777" w:rsidR="00DF410E" w:rsidRDefault="00CE7F43">
      <w:pPr>
        <w:pStyle w:val="Author-eSectionHeading4"/>
      </w:pPr>
      <w:bookmarkStart w:id="1056" w:name="_Toc178838190"/>
      <w:r>
        <w:t>22.74 Revêtements de protection CCTB 01.04</w:t>
      </w:r>
      <w:bookmarkEnd w:id="1056"/>
    </w:p>
    <w:p w14:paraId="13B82566" w14:textId="77777777" w:rsidR="00DF410E" w:rsidRDefault="00CE7F43">
      <w:pPr>
        <w:pStyle w:val="pheading"/>
      </w:pPr>
      <w:bookmarkStart w:id="1057" w:name="541"/>
      <w:bookmarkEnd w:id="1057"/>
      <w:r>
        <w:t>DESCRIPTION</w:t>
      </w:r>
    </w:p>
    <w:p w14:paraId="1A7F6FA2" w14:textId="77777777" w:rsidR="00DF410E" w:rsidRDefault="00CE7F43">
      <w:pPr>
        <w:pStyle w:val="pheading"/>
      </w:pPr>
      <w:r>
        <w:t>- Définition / Comprend</w:t>
      </w:r>
    </w:p>
    <w:p w14:paraId="25EA4875" w14:textId="77777777" w:rsidR="00DF410E" w:rsidRDefault="00CE7F43">
      <w:r>
        <w:t>Conformes à la norme [NBN EN 1504-2] et au [PTV 562].</w:t>
      </w:r>
    </w:p>
    <w:p w14:paraId="27EA8998" w14:textId="77777777" w:rsidR="00DF410E" w:rsidRDefault="00CE7F43">
      <w:pPr>
        <w:pStyle w:val="Author-eSectionHeading5"/>
      </w:pPr>
      <w:bookmarkStart w:id="1058" w:name="_Toc178838191"/>
      <w:r>
        <w:t>22.74.1 Revêtements minces de protection à liant minéral CCTB 01.02</w:t>
      </w:r>
      <w:bookmarkEnd w:id="1058"/>
    </w:p>
    <w:p w14:paraId="6BAD64EE" w14:textId="77777777" w:rsidR="00DF410E" w:rsidRDefault="00CE7F43">
      <w:pPr>
        <w:pStyle w:val="Author-eSectionHeading6"/>
      </w:pPr>
      <w:bookmarkStart w:id="1059" w:name="_Toc178838192"/>
      <w:r>
        <w:t>22.74.1a Revêtements minces de protection à liant minéral CCTB 01.02</w:t>
      </w:r>
      <w:bookmarkEnd w:id="1059"/>
    </w:p>
    <w:p w14:paraId="7606010F" w14:textId="77777777" w:rsidR="00DF410E" w:rsidRDefault="00CE7F43">
      <w:pPr>
        <w:pStyle w:val="Author-eSectionHeading5"/>
      </w:pPr>
      <w:bookmarkStart w:id="1060" w:name="_Toc178838193"/>
      <w:r>
        <w:t>22.74.2 Revêtements minces de protection à liant organique (coating) CCTB 01.02</w:t>
      </w:r>
      <w:bookmarkEnd w:id="1060"/>
    </w:p>
    <w:p w14:paraId="5F638D5D" w14:textId="77777777" w:rsidR="00DF410E" w:rsidRDefault="00CE7F43">
      <w:pPr>
        <w:pStyle w:val="Author-eSectionHeading6"/>
      </w:pPr>
      <w:bookmarkStart w:id="1061" w:name="_Toc178838194"/>
      <w:r>
        <w:t>22.74.2a Revêtements minces de protection à liant organique (coating) CCTB 01.02</w:t>
      </w:r>
      <w:bookmarkEnd w:id="1061"/>
    </w:p>
    <w:p w14:paraId="09331ECD" w14:textId="77777777" w:rsidR="00DF410E" w:rsidRDefault="00CE7F43">
      <w:pPr>
        <w:pStyle w:val="Author-eSectionHeading3"/>
      </w:pPr>
      <w:bookmarkStart w:id="1062" w:name="_Toc178838195"/>
      <w:r>
        <w:t>22.8 Superstructures en béton - Rénovation CCTB 01.07</w:t>
      </w:r>
      <w:bookmarkEnd w:id="1062"/>
    </w:p>
    <w:p w14:paraId="0931552D" w14:textId="77777777" w:rsidR="00DF410E" w:rsidRDefault="00CE7F43">
      <w:pPr>
        <w:pStyle w:val="pheading"/>
      </w:pPr>
      <w:bookmarkStart w:id="1063" w:name="224"/>
      <w:bookmarkEnd w:id="1063"/>
      <w:r>
        <w:t>DOCUMENTS DE RÉFÉRENCE</w:t>
      </w:r>
    </w:p>
    <w:p w14:paraId="449D4363" w14:textId="77777777" w:rsidR="00DF410E" w:rsidRDefault="00CE7F43">
      <w:pPr>
        <w:pStyle w:val="pheading"/>
      </w:pPr>
      <w:r>
        <w:t>- Exécution</w:t>
      </w:r>
    </w:p>
    <w:p w14:paraId="602F14F7" w14:textId="77777777" w:rsidR="00DF410E" w:rsidRDefault="00CE7F43">
      <w:r>
        <w:t>[NIT 231, Réparation et protection des ouvrages en béton (bâtiment et génie civil).]</w:t>
      </w:r>
    </w:p>
    <w:p w14:paraId="09442612" w14:textId="77777777" w:rsidR="00DF410E" w:rsidRDefault="00CE7F43">
      <w:r>
        <w:t>[NIT 248, Renforcement des structures en béton au moyen d'armatures collées.]</w:t>
      </w:r>
    </w:p>
    <w:p w14:paraId="167527F4" w14:textId="77777777" w:rsidR="00DF410E" w:rsidRDefault="00CE7F43">
      <w:r>
        <w:t>[NBN EN 1504-3, Produits et systèmes pour la protection et la réparation des structures en béton - Définitions, exigences, maîtrise de la qualité et évaluation de la conformité - Partie 3 : Réparation structurale et réparation non structurale]</w:t>
      </w:r>
    </w:p>
    <w:p w14:paraId="278A83F3" w14:textId="77777777" w:rsidR="00DF410E" w:rsidRDefault="00CE7F43">
      <w:r>
        <w:t>[PTV 563, Prescriptions techniques pour mortiers de réparation du béton.]</w:t>
      </w:r>
    </w:p>
    <w:p w14:paraId="07F4BF9F" w14:textId="77777777" w:rsidR="00DF410E" w:rsidRDefault="00CE7F43">
      <w:r>
        <w:t>[NBN EN 14487-1, Béton projeté - Partie 1: Définitions, spécifications et conformité]</w:t>
      </w:r>
    </w:p>
    <w:p w14:paraId="5367EF08" w14:textId="77777777" w:rsidR="00DF410E" w:rsidRDefault="00CE7F43">
      <w:r>
        <w:t>[NBN EN 14487-2, Béton projeté - Partie 2 : Exécution]</w:t>
      </w:r>
    </w:p>
    <w:p w14:paraId="5549EF8E" w14:textId="77777777" w:rsidR="00DF410E" w:rsidRDefault="00CE7F43">
      <w:r>
        <w:t>[NBN EN 1542, Produits et systèmes pour la protection et la réparation des structures en béton - Méthodes d'essais - Mesurage de l'adhérence par traction directe]</w:t>
      </w:r>
    </w:p>
    <w:p w14:paraId="1077F8C6" w14:textId="77777777" w:rsidR="00DF410E" w:rsidRDefault="00CE7F43">
      <w:r>
        <w:t>[NBN EN 1799, Produits et systèmes pour la protection et la réparation des structures en béton - Méthodes d'essais - Essais de détermination de l'aptitude à l'emploi des colles structurales à appliquer sur les surfaces en béton]</w:t>
      </w:r>
    </w:p>
    <w:p w14:paraId="658F83C4" w14:textId="77777777" w:rsidR="00DF410E" w:rsidRDefault="00CE7F43">
      <w:r>
        <w:t>[NBN EN 12636, Produits et systèmes pour la protection et la réparation des structures en béton - Méthodes d'essais - Détermination de l'adhérence béton sur béton]</w:t>
      </w:r>
    </w:p>
    <w:p w14:paraId="4DBEED1D" w14:textId="77777777" w:rsidR="00DF410E" w:rsidRDefault="00CE7F43">
      <w:r>
        <w:t>[NBN EN 12190, Produits et systèmes pour la protection et la réparation des structures en béton - Méthodes d'essais - Détermination de la résistance à la compression pour les mortiers de réparation]</w:t>
      </w:r>
    </w:p>
    <w:p w14:paraId="309B557E" w14:textId="77777777" w:rsidR="00DF410E" w:rsidRDefault="00CE7F43">
      <w:r>
        <w:t>[NBN EN 12192-1, Produits et systèmes de protection et de réparation des structures en béton - Méthode d'essai - Analyse granulométrique - Partie 1: Méthode applicable aux composants secs des mortiers prêts à l'emploi]</w:t>
      </w:r>
    </w:p>
    <w:p w14:paraId="522B8216" w14:textId="77777777" w:rsidR="00DF410E" w:rsidRDefault="00CE7F43">
      <w:r>
        <w:t>[NBN EN 12192-2, Produits et systèmes pour la protection et la réparation des structures en béton - Analyse granulométrique - Partie 2: Méthode d'essai pour les charges de produits de collages structuraux à base de polymères]</w:t>
      </w:r>
    </w:p>
    <w:p w14:paraId="6A2A727C" w14:textId="77777777" w:rsidR="00DF410E" w:rsidRDefault="00CE7F43">
      <w:r>
        <w:t>[NBN EN ISO 12696, Protection cathodique de l’acier dans le béton (ISO 12696:2022)]</w:t>
      </w:r>
    </w:p>
    <w:p w14:paraId="7976FFD8" w14:textId="77777777" w:rsidR="00DF410E" w:rsidRDefault="00CE7F43">
      <w:pPr>
        <w:pStyle w:val="Author-eSectionHeading4"/>
      </w:pPr>
      <w:bookmarkStart w:id="1064" w:name="_Toc178838196"/>
      <w:r>
        <w:t>22.81 Etudes / essais préliminaires CCTB 01.04</w:t>
      </w:r>
      <w:bookmarkEnd w:id="1064"/>
    </w:p>
    <w:p w14:paraId="65420AE3" w14:textId="77777777" w:rsidR="00DF410E" w:rsidRDefault="00CE7F43">
      <w:pPr>
        <w:pStyle w:val="pheading"/>
      </w:pPr>
      <w:r>
        <w:t>DESCRIPTION</w:t>
      </w:r>
    </w:p>
    <w:p w14:paraId="31A88566" w14:textId="77777777" w:rsidR="00DF410E" w:rsidRDefault="00CE7F43">
      <w:pPr>
        <w:pStyle w:val="pheading"/>
      </w:pPr>
      <w:r>
        <w:t>- Définition / Comprend</w:t>
      </w:r>
    </w:p>
    <w:p w14:paraId="29127937" w14:textId="77777777" w:rsidR="00DF410E" w:rsidRDefault="00CE7F43">
      <w:r>
        <w:t xml:space="preserve">Renvoi au § </w:t>
      </w:r>
      <w:hyperlink r:id="rId113" w:history="1" w:docLocation="85">
        <w:r>
          <w:t>03 Études, essais et contrôles en cours de chantier</w:t>
        </w:r>
      </w:hyperlink>
    </w:p>
    <w:p w14:paraId="44C100AE" w14:textId="77777777" w:rsidR="00DF410E" w:rsidRDefault="00CE7F43">
      <w:pPr>
        <w:pStyle w:val="Author-eSectionHeading4"/>
      </w:pPr>
      <w:bookmarkStart w:id="1065" w:name="_Toc178838197"/>
      <w:r>
        <w:t>22.82 Déposes / démontages / percements / déconstructions-démolitions CCTB 01.02</w:t>
      </w:r>
      <w:bookmarkEnd w:id="1065"/>
    </w:p>
    <w:p w14:paraId="3B43FAEA" w14:textId="77777777" w:rsidR="00DF410E" w:rsidRDefault="00CE7F43">
      <w:pPr>
        <w:pStyle w:val="Author-eSectionHeading5"/>
      </w:pPr>
      <w:bookmarkStart w:id="1066" w:name="_Toc178838198"/>
      <w:r>
        <w:t>22.82.1 Travaux de stabilisation CCTB 01.04</w:t>
      </w:r>
      <w:bookmarkEnd w:id="1066"/>
    </w:p>
    <w:p w14:paraId="39FDA578" w14:textId="77777777" w:rsidR="00DF410E" w:rsidRDefault="00CE7F43">
      <w:pPr>
        <w:pStyle w:val="pheading"/>
      </w:pPr>
      <w:r>
        <w:t>DESCRIPTION</w:t>
      </w:r>
    </w:p>
    <w:p w14:paraId="52C1CADA" w14:textId="77777777" w:rsidR="00DF410E" w:rsidRDefault="00CE7F43">
      <w:pPr>
        <w:pStyle w:val="pheading"/>
      </w:pPr>
      <w:r>
        <w:t>- Définition / Comprend</w:t>
      </w:r>
    </w:p>
    <w:p w14:paraId="6F8FFA5D" w14:textId="77777777" w:rsidR="00DF410E" w:rsidRDefault="00CE7F43">
      <w:r>
        <w:t>Renvoi à l'élément </w:t>
      </w:r>
      <w:hyperlink r:id="rId114" w:history="1" w:docLocation="113">
        <w:r>
          <w:t>06.11 Stabilisations de la structure</w:t>
        </w:r>
      </w:hyperlink>
    </w:p>
    <w:p w14:paraId="0184B494" w14:textId="77777777" w:rsidR="00DF410E" w:rsidRDefault="00CE7F43">
      <w:pPr>
        <w:pStyle w:val="Author-eSectionHeading5"/>
      </w:pPr>
      <w:bookmarkStart w:id="1067" w:name="_Toc178838199"/>
      <w:r>
        <w:t>22.82.2 Déposes d'éléments (pour repose ultérieure) CCTB 01.04</w:t>
      </w:r>
      <w:bookmarkEnd w:id="1067"/>
    </w:p>
    <w:p w14:paraId="5B104FBB" w14:textId="77777777" w:rsidR="00DF410E" w:rsidRDefault="00CE7F43">
      <w:pPr>
        <w:pStyle w:val="pheading"/>
      </w:pPr>
      <w:r>
        <w:t>DESCRIPTION</w:t>
      </w:r>
    </w:p>
    <w:p w14:paraId="1BCF9B18" w14:textId="77777777" w:rsidR="00DF410E" w:rsidRDefault="00CE7F43">
      <w:pPr>
        <w:pStyle w:val="pheading"/>
      </w:pPr>
      <w:r>
        <w:t>- Définition / Comprend</w:t>
      </w:r>
    </w:p>
    <w:p w14:paraId="067DA4B7" w14:textId="77777777" w:rsidR="00DF410E" w:rsidRDefault="00CE7F43">
      <w:r>
        <w:t xml:space="preserve">Renvoi au § </w:t>
      </w:r>
      <w:hyperlink r:id="rId115" w:history="1" w:docLocation="435">
        <w:r>
          <w:t>06.45 Démontages d'éléments de fermeture et de finitions extérieures</w:t>
        </w:r>
      </w:hyperlink>
    </w:p>
    <w:p w14:paraId="1D24AE6A" w14:textId="77777777" w:rsidR="00DF410E" w:rsidRDefault="00CE7F43">
      <w:pPr>
        <w:pStyle w:val="Author-eSectionHeading5"/>
      </w:pPr>
      <w:bookmarkStart w:id="1068" w:name="_Toc178838200"/>
      <w:r>
        <w:t>22.82.3 Démontages d'éléments (pour récupération) CCTB 01.04</w:t>
      </w:r>
      <w:bookmarkEnd w:id="1068"/>
    </w:p>
    <w:p w14:paraId="2343D93F" w14:textId="77777777" w:rsidR="00DF410E" w:rsidRDefault="00CE7F43">
      <w:pPr>
        <w:pStyle w:val="pheading"/>
      </w:pPr>
      <w:r>
        <w:t>DESCRIPTION</w:t>
      </w:r>
    </w:p>
    <w:p w14:paraId="7CF21D53" w14:textId="77777777" w:rsidR="00DF410E" w:rsidRDefault="00CE7F43">
      <w:pPr>
        <w:pStyle w:val="pheading"/>
      </w:pPr>
      <w:r>
        <w:t>- Définition / Comprend</w:t>
      </w:r>
    </w:p>
    <w:p w14:paraId="6F5BF861" w14:textId="77777777" w:rsidR="00DF410E" w:rsidRDefault="00CE7F43">
      <w:r>
        <w:t xml:space="preserve">Renvoi au § </w:t>
      </w:r>
      <w:hyperlink r:id="rId116" w:history="1" w:docLocation="435">
        <w:r>
          <w:t>06.45 Démontages d'éléments de fermeture et de finitions extérieures</w:t>
        </w:r>
      </w:hyperlink>
    </w:p>
    <w:p w14:paraId="36548B90" w14:textId="77777777" w:rsidR="00DF410E" w:rsidRDefault="00CE7F43">
      <w:pPr>
        <w:pStyle w:val="Author-eSectionHeading5"/>
      </w:pPr>
      <w:bookmarkStart w:id="1069" w:name="_Toc178838201"/>
      <w:r>
        <w:t>22.82.4 Décapages / déjointoiements (pour évacuation) CCTB 01.04</w:t>
      </w:r>
      <w:bookmarkEnd w:id="1069"/>
    </w:p>
    <w:p w14:paraId="647AE38F" w14:textId="77777777" w:rsidR="00DF410E" w:rsidRDefault="00CE7F43">
      <w:pPr>
        <w:pStyle w:val="pheading"/>
      </w:pPr>
      <w:r>
        <w:t>DESCRIPTION</w:t>
      </w:r>
    </w:p>
    <w:p w14:paraId="5978D364" w14:textId="77777777" w:rsidR="00DF410E" w:rsidRDefault="00CE7F43">
      <w:pPr>
        <w:pStyle w:val="pheading"/>
      </w:pPr>
      <w:r>
        <w:t>- Définition / Comprend</w:t>
      </w:r>
    </w:p>
    <w:p w14:paraId="0B52997E" w14:textId="77777777" w:rsidR="00DF410E" w:rsidRDefault="00CE7F43">
      <w:r>
        <w:t>Renvoi à l'élément </w:t>
      </w:r>
      <w:hyperlink r:id="rId117" w:history="1" w:docLocation="535">
        <w:r>
          <w:t>06.7 Décapages / déjointoiements (pour évacuation)</w:t>
        </w:r>
      </w:hyperlink>
    </w:p>
    <w:p w14:paraId="7AD73B68" w14:textId="77777777" w:rsidR="00DF410E" w:rsidRDefault="00CE7F43">
      <w:r>
        <w:t xml:space="preserve">L’évacuation et la gestion des déchets issus de travaux de démolition, de rénovation ou de construction font l’objet d’un ou plusieurs postes spécifiques, détaillés en </w:t>
      </w:r>
      <w:hyperlink r:id="rId118" w:history="1" w:docLocation="116">
        <w:r>
          <w:t>07 Déchets, matériaux et éléments réemployables</w:t>
        </w:r>
      </w:hyperlink>
      <w:r>
        <w:t>.</w:t>
      </w:r>
    </w:p>
    <w:p w14:paraId="2E0EED4F" w14:textId="77777777" w:rsidR="00DF410E" w:rsidRDefault="00CE7F43">
      <w:pPr>
        <w:pStyle w:val="Author-eSectionHeading5"/>
      </w:pPr>
      <w:bookmarkStart w:id="1070" w:name="_Toc178838202"/>
      <w:r>
        <w:t>22.82.5 Percements / carottages CCTB 01.04</w:t>
      </w:r>
      <w:bookmarkEnd w:id="1070"/>
    </w:p>
    <w:p w14:paraId="0DB2B22A" w14:textId="77777777" w:rsidR="00DF410E" w:rsidRDefault="00CE7F43">
      <w:pPr>
        <w:pStyle w:val="pheading"/>
      </w:pPr>
      <w:r>
        <w:t>DESCRIPTION</w:t>
      </w:r>
    </w:p>
    <w:p w14:paraId="1B69AD28" w14:textId="77777777" w:rsidR="00DF410E" w:rsidRDefault="00CE7F43">
      <w:pPr>
        <w:pStyle w:val="pheading"/>
      </w:pPr>
      <w:r>
        <w:t>- Définition / Comprend</w:t>
      </w:r>
    </w:p>
    <w:p w14:paraId="40249E57" w14:textId="77777777" w:rsidR="00DF410E" w:rsidRDefault="00CE7F43">
      <w:r>
        <w:t>Renvoi à l'élément </w:t>
      </w:r>
      <w:hyperlink r:id="rId119" w:history="1" w:docLocation="438">
        <w:r>
          <w:t>06.8 Percements / carottages</w:t>
        </w:r>
      </w:hyperlink>
    </w:p>
    <w:p w14:paraId="57DB3C08" w14:textId="77777777" w:rsidR="00DF410E" w:rsidRDefault="00CE7F43">
      <w:pPr>
        <w:pStyle w:val="Author-eSectionHeading5"/>
      </w:pPr>
      <w:bookmarkStart w:id="1071" w:name="_Toc178838203"/>
      <w:r>
        <w:t>22.82.6 Déconstructions / démolitions (pour évacuation) CCTB 01.04</w:t>
      </w:r>
      <w:bookmarkEnd w:id="1071"/>
    </w:p>
    <w:p w14:paraId="109AE33D" w14:textId="77777777" w:rsidR="00DF410E" w:rsidRDefault="00CE7F43">
      <w:pPr>
        <w:pStyle w:val="pheading"/>
      </w:pPr>
      <w:r>
        <w:t>DESCRIPTION</w:t>
      </w:r>
    </w:p>
    <w:p w14:paraId="210C56F5" w14:textId="77777777" w:rsidR="00DF410E" w:rsidRDefault="00CE7F43">
      <w:pPr>
        <w:pStyle w:val="pheading"/>
      </w:pPr>
      <w:r>
        <w:t>- Définition / Comprend</w:t>
      </w:r>
    </w:p>
    <w:p w14:paraId="7170A687" w14:textId="77777777" w:rsidR="00DF410E" w:rsidRDefault="00CE7F43">
      <w:r>
        <w:t xml:space="preserve">Renvoi au § </w:t>
      </w:r>
      <w:hyperlink r:id="rId120" w:history="1" w:docLocation="536">
        <w:r>
          <w:t>06.27.2 Démolitions d'éléments de structures en béton</w:t>
        </w:r>
      </w:hyperlink>
    </w:p>
    <w:p w14:paraId="09B18BB9"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121" w:history="1" w:docLocation="116">
        <w:r>
          <w:t>07 Déchets, matériaux et éléments réemployables</w:t>
        </w:r>
      </w:hyperlink>
      <w:r>
        <w:t>.</w:t>
      </w:r>
    </w:p>
    <w:p w14:paraId="7B49E34A" w14:textId="77777777" w:rsidR="00DF410E" w:rsidRDefault="00CE7F43">
      <w:pPr>
        <w:pStyle w:val="Author-eSectionHeading4"/>
      </w:pPr>
      <w:bookmarkStart w:id="1072" w:name="_Toc178838204"/>
      <w:r>
        <w:t>22.83 Réparations / ragréages / rénovations CCTB 01.02</w:t>
      </w:r>
      <w:bookmarkEnd w:id="1072"/>
    </w:p>
    <w:p w14:paraId="5CA178BB" w14:textId="77777777" w:rsidR="00DF410E" w:rsidRDefault="00CE7F43">
      <w:pPr>
        <w:pStyle w:val="Author-eSectionHeading5"/>
      </w:pPr>
      <w:bookmarkStart w:id="1073" w:name="533"/>
      <w:bookmarkStart w:id="1074" w:name="_Toc178838205"/>
      <w:bookmarkEnd w:id="1073"/>
      <w:r>
        <w:t>22.83.1 Ragréages superficiels de béton par mortiers de réparation CCTB 01.02</w:t>
      </w:r>
      <w:bookmarkEnd w:id="1074"/>
    </w:p>
    <w:p w14:paraId="39A178AC" w14:textId="77777777" w:rsidR="00DF410E" w:rsidRDefault="00CE7F43">
      <w:pPr>
        <w:pStyle w:val="Author-eSectionHeading6"/>
      </w:pPr>
      <w:bookmarkStart w:id="1075" w:name="_Toc178838206"/>
      <w:r>
        <w:t>22.83.1a Ragréages de béton par mortier de ragréage à base de liants hydraulique CCTB 01.02</w:t>
      </w:r>
      <w:bookmarkEnd w:id="1075"/>
    </w:p>
    <w:p w14:paraId="029F370E" w14:textId="77777777" w:rsidR="00DF410E" w:rsidRDefault="00CE7F43">
      <w:pPr>
        <w:pStyle w:val="Author-eSectionHeading6"/>
      </w:pPr>
      <w:bookmarkStart w:id="1076" w:name="_Toc178838207"/>
      <w:r>
        <w:t>22.83.1b Ragréages de béton par mortier de ragréage à base de résines CCTB 01.02</w:t>
      </w:r>
      <w:bookmarkEnd w:id="1076"/>
    </w:p>
    <w:p w14:paraId="310FBC06" w14:textId="77777777" w:rsidR="00DF410E" w:rsidRDefault="00CE7F43">
      <w:pPr>
        <w:pStyle w:val="Author-eSectionHeading5"/>
      </w:pPr>
      <w:bookmarkStart w:id="1077" w:name="_Toc178838208"/>
      <w:r>
        <w:t>22.83.2 Réparations de béton armé par application manuelle CCTB 01.02</w:t>
      </w:r>
      <w:bookmarkEnd w:id="1077"/>
    </w:p>
    <w:p w14:paraId="43AD04E7" w14:textId="77777777" w:rsidR="00DF410E" w:rsidRDefault="00CE7F43">
      <w:pPr>
        <w:pStyle w:val="Author-eSectionHeading6"/>
      </w:pPr>
      <w:bookmarkStart w:id="1078" w:name="_Toc178838209"/>
      <w:r>
        <w:t>22.83.2a Réparations de béton armé par application manuelle CCTB 01.02</w:t>
      </w:r>
      <w:bookmarkEnd w:id="1078"/>
    </w:p>
    <w:p w14:paraId="5FA1F0C7" w14:textId="77777777" w:rsidR="00DF410E" w:rsidRDefault="00CE7F43">
      <w:pPr>
        <w:pStyle w:val="Author-eSectionHeading5"/>
      </w:pPr>
      <w:bookmarkStart w:id="1079" w:name="_Toc178838210"/>
      <w:r>
        <w:t>22.83.3 Réparations de béton armé par coulage CCTB 01.02</w:t>
      </w:r>
      <w:bookmarkEnd w:id="1079"/>
    </w:p>
    <w:p w14:paraId="629EDA7B" w14:textId="77777777" w:rsidR="00DF410E" w:rsidRDefault="00CE7F43">
      <w:pPr>
        <w:pStyle w:val="Author-eSectionHeading6"/>
      </w:pPr>
      <w:bookmarkStart w:id="1080" w:name="_Toc178838211"/>
      <w:r>
        <w:t>22.83.3a Réparations de béton armé par coulage CCTB 01.02</w:t>
      </w:r>
      <w:bookmarkEnd w:id="1080"/>
    </w:p>
    <w:p w14:paraId="033098DF" w14:textId="77777777" w:rsidR="00DF410E" w:rsidRDefault="00CE7F43">
      <w:pPr>
        <w:pStyle w:val="Author-eSectionHeading5"/>
      </w:pPr>
      <w:bookmarkStart w:id="1081" w:name="_Toc178838212"/>
      <w:r>
        <w:t>22.83.4 Réparations de béton armé par gunitage CCTB 01.02</w:t>
      </w:r>
      <w:bookmarkEnd w:id="1081"/>
    </w:p>
    <w:p w14:paraId="7A6563F9" w14:textId="77777777" w:rsidR="00DF410E" w:rsidRDefault="00CE7F43">
      <w:pPr>
        <w:pStyle w:val="Author-eSectionHeading6"/>
      </w:pPr>
      <w:bookmarkStart w:id="1082" w:name="_Toc178838213"/>
      <w:r>
        <w:t>22.83.4a Réparations de béton armé par gunitage CCTB 01.02</w:t>
      </w:r>
      <w:bookmarkEnd w:id="1082"/>
    </w:p>
    <w:p w14:paraId="1EB933CF" w14:textId="77777777" w:rsidR="00DF410E" w:rsidRDefault="00CE7F43">
      <w:pPr>
        <w:pStyle w:val="Author-eSectionHeading4"/>
      </w:pPr>
      <w:bookmarkStart w:id="1083" w:name="_Toc178838214"/>
      <w:r>
        <w:t>22.84 Renforcements CCTB 01.02</w:t>
      </w:r>
      <w:bookmarkEnd w:id="1083"/>
    </w:p>
    <w:p w14:paraId="4205496A" w14:textId="77777777" w:rsidR="00DF410E" w:rsidRDefault="00CE7F43">
      <w:pPr>
        <w:pStyle w:val="Author-eSectionHeading5"/>
      </w:pPr>
      <w:bookmarkStart w:id="1084" w:name="_Toc178838215"/>
      <w:r>
        <w:t>22.84.1 Renforcements par injections de fissures CCTB 01.02</w:t>
      </w:r>
      <w:bookmarkEnd w:id="1084"/>
    </w:p>
    <w:p w14:paraId="5FDE50B5" w14:textId="77777777" w:rsidR="00DF410E" w:rsidRDefault="00CE7F43">
      <w:pPr>
        <w:pStyle w:val="Author-eSectionHeading6"/>
      </w:pPr>
      <w:bookmarkStart w:id="1085" w:name="_Toc178838216"/>
      <w:r>
        <w:t>22.84.1a Renforcements par injections de fissures CCTB 01.02</w:t>
      </w:r>
      <w:bookmarkEnd w:id="1085"/>
    </w:p>
    <w:p w14:paraId="6ECB0A7D" w14:textId="77777777" w:rsidR="00DF410E" w:rsidRDefault="00CE7F43">
      <w:pPr>
        <w:pStyle w:val="Author-eSectionHeading5"/>
      </w:pPr>
      <w:bookmarkStart w:id="1086" w:name="_Toc178838217"/>
      <w:r>
        <w:t>22.84.2 Renforcements par modification de la section de poutres existantes CCTB 01.02</w:t>
      </w:r>
      <w:bookmarkEnd w:id="1086"/>
    </w:p>
    <w:p w14:paraId="7E5E5C56" w14:textId="77777777" w:rsidR="00DF410E" w:rsidRDefault="00CE7F43">
      <w:pPr>
        <w:pStyle w:val="Author-eSectionHeading6"/>
      </w:pPr>
      <w:bookmarkStart w:id="1087" w:name="_Toc178838218"/>
      <w:r>
        <w:t>22.84.2a Renforcements par modification de la section de poutres existantes CCTB 01.02</w:t>
      </w:r>
      <w:bookmarkEnd w:id="1087"/>
    </w:p>
    <w:p w14:paraId="0509440F" w14:textId="77777777" w:rsidR="00DF410E" w:rsidRDefault="00CE7F43">
      <w:pPr>
        <w:pStyle w:val="Author-eSectionHeading5"/>
      </w:pPr>
      <w:bookmarkStart w:id="1088" w:name="_Toc178838219"/>
      <w:r>
        <w:t>22.84.3 Renforcements par insertions et scellements de barres CCTB 01.02</w:t>
      </w:r>
      <w:bookmarkEnd w:id="1088"/>
    </w:p>
    <w:p w14:paraId="4F84ADD1" w14:textId="77777777" w:rsidR="00DF410E" w:rsidRDefault="00CE7F43">
      <w:pPr>
        <w:pStyle w:val="Author-eSectionHeading6"/>
      </w:pPr>
      <w:bookmarkStart w:id="1089" w:name="_Toc178838220"/>
      <w:r>
        <w:t>22.84.3a Scellements de barres en attente CCTB 01.02</w:t>
      </w:r>
      <w:bookmarkEnd w:id="1089"/>
    </w:p>
    <w:p w14:paraId="300D17DF" w14:textId="77777777" w:rsidR="00DF410E" w:rsidRDefault="00CE7F43">
      <w:pPr>
        <w:pStyle w:val="Author-eSectionHeading6"/>
      </w:pPr>
      <w:bookmarkStart w:id="1090" w:name="_Toc178838221"/>
      <w:r>
        <w:t>22.84.3b Ancrages de structures en béton CCTB 01.02</w:t>
      </w:r>
      <w:bookmarkEnd w:id="1090"/>
    </w:p>
    <w:p w14:paraId="0159A3E7" w14:textId="77777777" w:rsidR="00DF410E" w:rsidRDefault="00CE7F43">
      <w:pPr>
        <w:pStyle w:val="Author-eSectionHeading6"/>
      </w:pPr>
      <w:bookmarkStart w:id="1091" w:name="_Toc178838222"/>
      <w:r>
        <w:t>22.84.3c Brochages de structures en béton CCTB 01.02</w:t>
      </w:r>
      <w:bookmarkEnd w:id="1091"/>
    </w:p>
    <w:p w14:paraId="66F178E2" w14:textId="77777777" w:rsidR="00DF410E" w:rsidRDefault="00CE7F43">
      <w:pPr>
        <w:pStyle w:val="Author-eSectionHeading6"/>
      </w:pPr>
      <w:bookmarkStart w:id="1092" w:name="_Toc178838223"/>
      <w:r>
        <w:t>22.84.3d Agrafages de structures en béton CCTB 01.02</w:t>
      </w:r>
      <w:bookmarkEnd w:id="1092"/>
    </w:p>
    <w:p w14:paraId="58B75722" w14:textId="77777777" w:rsidR="00DF410E" w:rsidRDefault="00CE7F43">
      <w:pPr>
        <w:pStyle w:val="Author-eSectionHeading6"/>
      </w:pPr>
      <w:bookmarkStart w:id="1093" w:name="_Toc178838224"/>
      <w:r>
        <w:t>22.84.3e Epinglages de structures en béton CCTB 01.02</w:t>
      </w:r>
      <w:bookmarkEnd w:id="1093"/>
    </w:p>
    <w:p w14:paraId="0C96A146" w14:textId="77777777" w:rsidR="00DF410E" w:rsidRDefault="00CE7F43">
      <w:pPr>
        <w:pStyle w:val="Author-eSectionHeading5"/>
      </w:pPr>
      <w:bookmarkStart w:id="1094" w:name="_Toc178838225"/>
      <w:r>
        <w:t>22.84.4 Renforcements par collage d'armatures CCTB 01.02</w:t>
      </w:r>
      <w:bookmarkEnd w:id="1094"/>
    </w:p>
    <w:p w14:paraId="09B5BFD1" w14:textId="77777777" w:rsidR="00DF410E" w:rsidRDefault="00CE7F43">
      <w:pPr>
        <w:pStyle w:val="Author-eSectionHeading6"/>
      </w:pPr>
      <w:bookmarkStart w:id="1095" w:name="175"/>
      <w:bookmarkStart w:id="1096" w:name="_Toc178838226"/>
      <w:bookmarkEnd w:id="1095"/>
      <w:r>
        <w:t>22.84.4a Ajouts d'armatures collées en acier CCTB 01.02</w:t>
      </w:r>
      <w:bookmarkEnd w:id="1096"/>
    </w:p>
    <w:p w14:paraId="1C8C700C" w14:textId="77777777" w:rsidR="00DF410E" w:rsidRDefault="00CE7F43">
      <w:pPr>
        <w:pStyle w:val="Author-eSectionHeading6"/>
      </w:pPr>
      <w:bookmarkStart w:id="1097" w:name="_Toc178838227"/>
      <w:r>
        <w:t>22.84.4b Ajouts d'armatures collées en fibres de carbone CCTB 01.02</w:t>
      </w:r>
      <w:bookmarkEnd w:id="1097"/>
    </w:p>
    <w:p w14:paraId="52B33BE6" w14:textId="77777777" w:rsidR="00DF410E" w:rsidRDefault="00CE7F43">
      <w:pPr>
        <w:pStyle w:val="Author-eSectionHeading6"/>
      </w:pPr>
      <w:bookmarkStart w:id="1098" w:name="_Toc178838228"/>
      <w:r>
        <w:t>22.84.4c Systèmes d'armatures précontraintes collées CCTB 01.02</w:t>
      </w:r>
      <w:bookmarkEnd w:id="1098"/>
    </w:p>
    <w:p w14:paraId="410DC198" w14:textId="77777777" w:rsidR="00DF410E" w:rsidRDefault="00CE7F43">
      <w:pPr>
        <w:pStyle w:val="Author-eSectionHeading6"/>
      </w:pPr>
      <w:bookmarkStart w:id="1099" w:name="_Toc178838229"/>
      <w:r>
        <w:t>22.84.4d Renforcements par moulages composites CCTB 01.02</w:t>
      </w:r>
      <w:bookmarkEnd w:id="1099"/>
    </w:p>
    <w:p w14:paraId="47C8B24B" w14:textId="77777777" w:rsidR="00DF410E" w:rsidRDefault="00CE7F43">
      <w:pPr>
        <w:pStyle w:val="Author-eSectionHeading5"/>
      </w:pPr>
      <w:bookmarkStart w:id="1100" w:name="_Toc178838230"/>
      <w:r>
        <w:t>22.84.5 Renforcements par ajout d'éléments structuraux INTERNES CCTB 01.04</w:t>
      </w:r>
      <w:bookmarkEnd w:id="1100"/>
    </w:p>
    <w:p w14:paraId="796CCB6C" w14:textId="77777777" w:rsidR="00DF410E" w:rsidRDefault="00CE7F43">
      <w:pPr>
        <w:pStyle w:val="Author-eSectionHeading6"/>
      </w:pPr>
      <w:bookmarkStart w:id="1101" w:name="_Toc178838231"/>
      <w:r>
        <w:t>22.84.5a Renforcements par ajout d'armatures complémentaires CCTB 01.02</w:t>
      </w:r>
      <w:bookmarkEnd w:id="1101"/>
    </w:p>
    <w:p w14:paraId="5DC4E8D1" w14:textId="77777777" w:rsidR="00DF410E" w:rsidRDefault="00CE7F43">
      <w:pPr>
        <w:pStyle w:val="Author-eSectionHeading5"/>
      </w:pPr>
      <w:bookmarkStart w:id="1102" w:name="_Toc178838232"/>
      <w:r>
        <w:t>22.84.6 Renforcements par ajout d'éléments structuraux EXTERNES CCTB 01.04</w:t>
      </w:r>
      <w:bookmarkEnd w:id="1102"/>
    </w:p>
    <w:p w14:paraId="66247A0F" w14:textId="77777777" w:rsidR="00DF410E" w:rsidRDefault="00CE7F43">
      <w:pPr>
        <w:pStyle w:val="Author-eSectionHeading6"/>
      </w:pPr>
      <w:bookmarkStart w:id="1103" w:name="_Toc178838233"/>
      <w:r>
        <w:t>22.84.6a Ajouts de tirants métalliques externes CCTB 01.02</w:t>
      </w:r>
      <w:bookmarkEnd w:id="1103"/>
    </w:p>
    <w:p w14:paraId="206B6D04" w14:textId="77777777" w:rsidR="00DF410E" w:rsidRDefault="00CE7F43">
      <w:pPr>
        <w:pStyle w:val="Author-eSectionHeading6"/>
      </w:pPr>
      <w:bookmarkStart w:id="1104" w:name="_Toc178838234"/>
      <w:r>
        <w:t>22.84.6b Renforcements par ajout de profils métalliques externes boulonnés CCTB 01.02</w:t>
      </w:r>
      <w:bookmarkEnd w:id="1104"/>
    </w:p>
    <w:p w14:paraId="5441E494" w14:textId="77777777" w:rsidR="00DF410E" w:rsidRDefault="00CE7F43">
      <w:pPr>
        <w:pStyle w:val="Author-eSectionHeading6"/>
      </w:pPr>
      <w:bookmarkStart w:id="1105" w:name="_Toc178838235"/>
      <w:r>
        <w:t>22.84.6c Réalisations de postcontrainte extérieure CCTB 01.02</w:t>
      </w:r>
      <w:bookmarkEnd w:id="1105"/>
    </w:p>
    <w:p w14:paraId="7EEAEF75" w14:textId="77777777" w:rsidR="00DF410E" w:rsidRDefault="00CE7F43">
      <w:pPr>
        <w:pStyle w:val="Author-eSectionHeading6"/>
      </w:pPr>
      <w:bookmarkStart w:id="1106" w:name="_Toc178838236"/>
      <w:r>
        <w:t>22.84.6d Structures de délestage autour d'une structure existante CCTB 01.04</w:t>
      </w:r>
      <w:bookmarkEnd w:id="1106"/>
    </w:p>
    <w:p w14:paraId="15F158B6" w14:textId="77777777" w:rsidR="00DF410E" w:rsidRDefault="00CE7F43">
      <w:pPr>
        <w:pStyle w:val="Author-eSectionHeading4"/>
      </w:pPr>
      <w:bookmarkStart w:id="1107" w:name="_Toc178838237"/>
      <w:r>
        <w:t>22.85 Adaptations CCTB 01.02</w:t>
      </w:r>
      <w:bookmarkEnd w:id="1107"/>
    </w:p>
    <w:p w14:paraId="66E505AC" w14:textId="77777777" w:rsidR="00DF410E" w:rsidRDefault="00CE7F43">
      <w:pPr>
        <w:pStyle w:val="Author-eSectionHeading5"/>
      </w:pPr>
      <w:bookmarkStart w:id="1108" w:name="_Toc178838238"/>
      <w:r>
        <w:t>22.85.1 Adaptations de structures en béton pour baies / passages CCTB 01.02</w:t>
      </w:r>
      <w:bookmarkEnd w:id="1108"/>
    </w:p>
    <w:p w14:paraId="7B17833A" w14:textId="77777777" w:rsidR="00DF410E" w:rsidRDefault="00CE7F43">
      <w:pPr>
        <w:pStyle w:val="Author-eSectionHeading6"/>
      </w:pPr>
      <w:bookmarkStart w:id="1109" w:name="_Toc178838239"/>
      <w:r>
        <w:t>22.85.1a Créations de baies dans structures en béton CCTB 01.04</w:t>
      </w:r>
      <w:bookmarkEnd w:id="1109"/>
    </w:p>
    <w:p w14:paraId="50124FEA" w14:textId="77777777" w:rsidR="00DF410E" w:rsidRDefault="00CE7F43">
      <w:pPr>
        <w:pStyle w:val="pheading"/>
      </w:pPr>
      <w:r>
        <w:t>DESCRIPTION</w:t>
      </w:r>
    </w:p>
    <w:p w14:paraId="6990A9FC" w14:textId="77777777" w:rsidR="00DF410E" w:rsidRDefault="00CE7F43">
      <w:pPr>
        <w:pStyle w:val="pheading"/>
      </w:pPr>
      <w:r>
        <w:t>- Définition / Comprend</w:t>
      </w:r>
    </w:p>
    <w:p w14:paraId="6DD60A8D" w14:textId="77777777" w:rsidR="00DF410E" w:rsidRDefault="00CE7F43">
      <w:r>
        <w:t>Renvoi à l'élément </w:t>
      </w:r>
      <w:hyperlink r:id="rId122" w:history="1" w:docLocation="537">
        <w:r>
          <w:t>06.82.2c Créations de baies dans éléments de structures en béton armé</w:t>
        </w:r>
      </w:hyperlink>
    </w:p>
    <w:p w14:paraId="475FB38A" w14:textId="77777777" w:rsidR="00DF410E" w:rsidRDefault="00CE7F43">
      <w:pPr>
        <w:pStyle w:val="Author-eSectionHeading6"/>
      </w:pPr>
      <w:bookmarkStart w:id="1110" w:name="_Toc178838240"/>
      <w:r>
        <w:t>22.85.1b Adaptations dimensionnelles de baies existantes dans structures en béton CCTB 01.04</w:t>
      </w:r>
      <w:bookmarkEnd w:id="1110"/>
    </w:p>
    <w:p w14:paraId="3D7799C3" w14:textId="77777777" w:rsidR="00DF410E" w:rsidRDefault="00CE7F43">
      <w:pPr>
        <w:pStyle w:val="pheading"/>
      </w:pPr>
      <w:r>
        <w:t>DESCRIPTION</w:t>
      </w:r>
    </w:p>
    <w:p w14:paraId="3052A582" w14:textId="77777777" w:rsidR="00DF410E" w:rsidRDefault="00CE7F43">
      <w:pPr>
        <w:pStyle w:val="pheading"/>
      </w:pPr>
      <w:r>
        <w:t>- Définition / Comprend</w:t>
      </w:r>
    </w:p>
    <w:p w14:paraId="6DA433A1" w14:textId="77777777" w:rsidR="00DF410E" w:rsidRDefault="00CE7F43">
      <w:r>
        <w:t xml:space="preserve">Renvoi aux éléments </w:t>
      </w:r>
      <w:hyperlink r:id="rId123" w:history="1" w:docLocation="538">
        <w:r>
          <w:t>06.82.3c Adaptations dimensionnelles de baies, avec reprise de charges, dans éléments de structures en béton armé</w:t>
        </w:r>
      </w:hyperlink>
      <w:r>
        <w:t xml:space="preserve"> et </w:t>
      </w:r>
      <w:hyperlink r:id="rId124" w:history="1" w:docLocation="539">
        <w:r>
          <w:t>06.82.4c Adaptations dimensionnelles de baies, sans reprise de charges, dans éléments de structures en béton armé</w:t>
        </w:r>
      </w:hyperlink>
    </w:p>
    <w:p w14:paraId="4F5DABA9" w14:textId="77777777" w:rsidR="00DF410E" w:rsidRDefault="00CE7F43">
      <w:pPr>
        <w:pStyle w:val="Author-eSectionHeading6"/>
      </w:pPr>
      <w:bookmarkStart w:id="1111" w:name="_Toc178838241"/>
      <w:r>
        <w:t>22.85.1c Obturations de baies existantes dans structures en béton CCTB 01.02</w:t>
      </w:r>
      <w:bookmarkEnd w:id="1111"/>
    </w:p>
    <w:p w14:paraId="578F5C1E" w14:textId="77777777" w:rsidR="00DF410E" w:rsidRDefault="00CE7F43">
      <w:pPr>
        <w:pStyle w:val="Author-eSectionHeading4"/>
      </w:pPr>
      <w:bookmarkStart w:id="1112" w:name="_Toc178838242"/>
      <w:r>
        <w:t>22.86 Reposes / remplacements (à l'identique) CCTB 01.02</w:t>
      </w:r>
      <w:bookmarkEnd w:id="1112"/>
    </w:p>
    <w:p w14:paraId="31CDD00E" w14:textId="77777777" w:rsidR="00DF410E" w:rsidRDefault="00CE7F43">
      <w:pPr>
        <w:pStyle w:val="Author-eSectionHeading5"/>
      </w:pPr>
      <w:bookmarkStart w:id="1113" w:name="_Toc178838243"/>
      <w:r>
        <w:t>22.86.1 Reposes d'éléments récupérés CCTB 01.02</w:t>
      </w:r>
      <w:bookmarkEnd w:id="1113"/>
    </w:p>
    <w:p w14:paraId="3FB364CE" w14:textId="77777777" w:rsidR="00DF410E" w:rsidRDefault="00CE7F43">
      <w:pPr>
        <w:pStyle w:val="Author-eSectionHeading6"/>
      </w:pPr>
      <w:bookmarkStart w:id="1114" w:name="_Toc178838244"/>
      <w:r>
        <w:t>22.86.1a Reposes d'éléments de structures en béton récupérés CCTB 01.02</w:t>
      </w:r>
      <w:bookmarkEnd w:id="1114"/>
    </w:p>
    <w:p w14:paraId="602F03C2" w14:textId="77777777" w:rsidR="00DF410E" w:rsidRDefault="00CE7F43">
      <w:pPr>
        <w:pStyle w:val="Author-eSectionHeading5"/>
      </w:pPr>
      <w:bookmarkStart w:id="1115" w:name="_Toc178838245"/>
      <w:r>
        <w:t>22.86.2 Remplacements complets à l'identique de structures en béton CCTB 01.04</w:t>
      </w:r>
      <w:bookmarkEnd w:id="1115"/>
    </w:p>
    <w:p w14:paraId="06B009EA" w14:textId="77777777" w:rsidR="00DF410E" w:rsidRDefault="00CE7F43">
      <w:pPr>
        <w:pStyle w:val="pheading"/>
      </w:pPr>
      <w:r>
        <w:t>DESCRIPTION</w:t>
      </w:r>
    </w:p>
    <w:p w14:paraId="2A7900B8" w14:textId="77777777" w:rsidR="00DF410E" w:rsidRDefault="00CE7F43">
      <w:pPr>
        <w:pStyle w:val="pheading"/>
      </w:pPr>
      <w:r>
        <w:t>- Définition / Comprend</w:t>
      </w:r>
    </w:p>
    <w:p w14:paraId="7F1D5AD9" w14:textId="77777777" w:rsidR="00DF410E" w:rsidRDefault="00CE7F43">
      <w:r>
        <w:t xml:space="preserve">Renvoi au § </w:t>
      </w:r>
      <w:hyperlink w:anchor="87" w:history="1">
        <w:r>
          <w:t>22 Superstructures en béton</w:t>
        </w:r>
      </w:hyperlink>
    </w:p>
    <w:p w14:paraId="24332607" w14:textId="77777777" w:rsidR="00DF410E" w:rsidRDefault="00CE7F43">
      <w:pPr>
        <w:pStyle w:val="Author-eSectionHeading5"/>
      </w:pPr>
      <w:bookmarkStart w:id="1116" w:name="_Toc178838246"/>
      <w:r>
        <w:t>22.86.3 Remplacements d'éléments de structure isolés en béton CCTB 01.02</w:t>
      </w:r>
      <w:bookmarkEnd w:id="1116"/>
    </w:p>
    <w:p w14:paraId="5946A34C" w14:textId="77777777" w:rsidR="00DF410E" w:rsidRDefault="00CE7F43">
      <w:pPr>
        <w:pStyle w:val="Author-eSectionHeading6"/>
      </w:pPr>
      <w:bookmarkStart w:id="1117" w:name="_Toc178838247"/>
      <w:r>
        <w:t>22.86.3a Remplacements d'éléments de structure isolés en béton CCTB 01.02</w:t>
      </w:r>
      <w:bookmarkEnd w:id="1117"/>
    </w:p>
    <w:p w14:paraId="05F382C3" w14:textId="77777777" w:rsidR="00DF410E" w:rsidRDefault="00CE7F43">
      <w:pPr>
        <w:pStyle w:val="Author-eSectionHeading5"/>
      </w:pPr>
      <w:bookmarkStart w:id="1118" w:name="_Toc178838248"/>
      <w:r>
        <w:t>22.86.4 Remplacements partiels de parties de structure / charpente en béton CCTB 01.02</w:t>
      </w:r>
      <w:bookmarkEnd w:id="1118"/>
    </w:p>
    <w:p w14:paraId="69EC38BF" w14:textId="77777777" w:rsidR="00DF410E" w:rsidRDefault="00CE7F43">
      <w:pPr>
        <w:pStyle w:val="Author-eSectionHeading6"/>
      </w:pPr>
      <w:bookmarkStart w:id="1119" w:name="_Toc178838249"/>
      <w:r>
        <w:t>22.86.4a Remplacements partiels de parties de structure / charpente en béton CCTB 01.02</w:t>
      </w:r>
      <w:bookmarkEnd w:id="1119"/>
    </w:p>
    <w:p w14:paraId="2649E349" w14:textId="77777777" w:rsidR="00DF410E" w:rsidRDefault="00CE7F43">
      <w:pPr>
        <w:pStyle w:val="Author-eSectionHeading5"/>
      </w:pPr>
      <w:bookmarkStart w:id="1120" w:name="_Toc178838250"/>
      <w:r>
        <w:t>22.86.5 Remplacements d'éléments de fixation / assemblage CCTB 01.02</w:t>
      </w:r>
      <w:bookmarkEnd w:id="1120"/>
    </w:p>
    <w:p w14:paraId="7BA13092" w14:textId="77777777" w:rsidR="00DF410E" w:rsidRDefault="00CE7F43">
      <w:pPr>
        <w:pStyle w:val="Author-eSectionHeading6"/>
      </w:pPr>
      <w:bookmarkStart w:id="1121" w:name="_Toc178838251"/>
      <w:r>
        <w:t>22.86.5a Remplacements de fixations métalliques (boulons / écrous) CCTB 01.02</w:t>
      </w:r>
      <w:bookmarkEnd w:id="1121"/>
    </w:p>
    <w:p w14:paraId="71D1550F" w14:textId="77777777" w:rsidR="00DF410E" w:rsidRDefault="00CE7F43">
      <w:pPr>
        <w:pStyle w:val="Author-eSectionHeading4"/>
      </w:pPr>
      <w:bookmarkStart w:id="1122" w:name="_Toc178838252"/>
      <w:r>
        <w:t>22.87 Nettoyages / préparations de surface CCTB 01.04</w:t>
      </w:r>
      <w:bookmarkEnd w:id="1122"/>
    </w:p>
    <w:p w14:paraId="06B922C1" w14:textId="77777777" w:rsidR="00DF410E" w:rsidRDefault="00CE7F43">
      <w:pPr>
        <w:pStyle w:val="pheading"/>
      </w:pPr>
      <w:r>
        <w:t>DESCRIPTION</w:t>
      </w:r>
    </w:p>
    <w:p w14:paraId="0776F4CC" w14:textId="77777777" w:rsidR="00DF410E" w:rsidRDefault="00CE7F43">
      <w:pPr>
        <w:pStyle w:val="pheading"/>
      </w:pPr>
      <w:r>
        <w:t>- Définition / Comprend</w:t>
      </w:r>
    </w:p>
    <w:p w14:paraId="7999EFCD" w14:textId="77777777" w:rsidR="00DF410E" w:rsidRDefault="00CE7F43">
      <w:r>
        <w:t xml:space="preserve">Renvoi au § </w:t>
      </w:r>
      <w:hyperlink r:id="rId125" w:history="1" w:docLocation="469">
        <w:r>
          <w:t>83.11 Nettoyage / préparation de surface</w:t>
        </w:r>
      </w:hyperlink>
    </w:p>
    <w:p w14:paraId="2191866F" w14:textId="77777777" w:rsidR="00DF410E" w:rsidRDefault="00CE7F43">
      <w:pPr>
        <w:pStyle w:val="Author-eSectionHeading4"/>
      </w:pPr>
      <w:bookmarkStart w:id="1123" w:name="_Toc178838253"/>
      <w:r>
        <w:t>22.88 Traitements et protections CCTB 01.02</w:t>
      </w:r>
      <w:bookmarkEnd w:id="1123"/>
    </w:p>
    <w:p w14:paraId="66DF06A5" w14:textId="77777777" w:rsidR="00DF410E" w:rsidRDefault="00CE7F43">
      <w:pPr>
        <w:pStyle w:val="Author-eSectionHeading5"/>
      </w:pPr>
      <w:bookmarkStart w:id="1124" w:name="_Toc178838254"/>
      <w:r>
        <w:t>22.88.1 Revêtements de finition / protection CCTB 01.04</w:t>
      </w:r>
      <w:bookmarkEnd w:id="1124"/>
    </w:p>
    <w:p w14:paraId="150EDC3C" w14:textId="77777777" w:rsidR="00DF410E" w:rsidRDefault="00CE7F43">
      <w:pPr>
        <w:pStyle w:val="pheading"/>
      </w:pPr>
      <w:r>
        <w:t>DESCRIPTION</w:t>
      </w:r>
    </w:p>
    <w:p w14:paraId="762399AC" w14:textId="77777777" w:rsidR="00DF410E" w:rsidRDefault="00CE7F43">
      <w:pPr>
        <w:pStyle w:val="pheading"/>
      </w:pPr>
      <w:r>
        <w:t>- Définition / Comprend</w:t>
      </w:r>
    </w:p>
    <w:p w14:paraId="4ECB5E4F" w14:textId="77777777" w:rsidR="00DF410E" w:rsidRDefault="00CE7F43">
      <w:r>
        <w:t xml:space="preserve">Renvoi à </w:t>
      </w:r>
      <w:hyperlink w:anchor="540" w:history="1">
        <w:r>
          <w:t>22.73 Revêtements de finition</w:t>
        </w:r>
      </w:hyperlink>
      <w:r>
        <w:t xml:space="preserve"> et </w:t>
      </w:r>
      <w:hyperlink w:anchor="541" w:history="1">
        <w:r>
          <w:t>22.74 Revêtements de protection</w:t>
        </w:r>
      </w:hyperlink>
    </w:p>
    <w:p w14:paraId="6AEDDC3B" w14:textId="77777777" w:rsidR="00DF410E" w:rsidRDefault="00CE7F43">
      <w:pPr>
        <w:pStyle w:val="Author-eSectionHeading5"/>
      </w:pPr>
      <w:bookmarkStart w:id="1125" w:name="_Toc178838255"/>
      <w:r>
        <w:t>22.88.2 Traitements de protection préventifs / curatifs CCTB 01.04</w:t>
      </w:r>
      <w:bookmarkEnd w:id="1125"/>
    </w:p>
    <w:p w14:paraId="4226B3FA" w14:textId="77777777" w:rsidR="00DF410E" w:rsidRDefault="00CE7F43">
      <w:pPr>
        <w:pStyle w:val="pheading"/>
      </w:pPr>
      <w:r>
        <w:t>DESCRIPTION</w:t>
      </w:r>
    </w:p>
    <w:p w14:paraId="61D35110" w14:textId="77777777" w:rsidR="00DF410E" w:rsidRDefault="00CE7F43">
      <w:pPr>
        <w:pStyle w:val="pheading"/>
      </w:pPr>
      <w:r>
        <w:t>- Définition / Comprend</w:t>
      </w:r>
    </w:p>
    <w:p w14:paraId="02D9CB73" w14:textId="77777777" w:rsidR="00DF410E" w:rsidRDefault="00CE7F43">
      <w:r>
        <w:t xml:space="preserve">Renvoi au § </w:t>
      </w:r>
      <w:hyperlink r:id="rId126" w:history="1" w:docLocation="542">
        <w:r>
          <w:t>83.1 Subjectiles minéraux poreux (béton, blocs de béton, terre cuite, enduits)</w:t>
        </w:r>
      </w:hyperlink>
    </w:p>
    <w:p w14:paraId="785EBF2F" w14:textId="77777777" w:rsidR="00DF410E" w:rsidRDefault="00CE7F43">
      <w:pPr>
        <w:pStyle w:val="Author-eSectionHeading2"/>
      </w:pPr>
      <w:bookmarkStart w:id="1126" w:name="_Toc178838256"/>
      <w:r>
        <w:t>23 Superstructures métalliques CCTB 01.12</w:t>
      </w:r>
      <w:bookmarkEnd w:id="1126"/>
    </w:p>
    <w:p w14:paraId="65D9680F" w14:textId="77777777" w:rsidR="00DF410E" w:rsidRDefault="00CE7F43">
      <w:pPr>
        <w:pStyle w:val="pheading"/>
      </w:pPr>
      <w:bookmarkStart w:id="1127" w:name="347"/>
      <w:bookmarkEnd w:id="1127"/>
      <w:r>
        <w:t>DESCRIPTION</w:t>
      </w:r>
    </w:p>
    <w:p w14:paraId="6079ED46" w14:textId="77777777" w:rsidR="00DF410E" w:rsidRDefault="00CE7F43">
      <w:pPr>
        <w:pStyle w:val="pheading"/>
      </w:pPr>
      <w:r>
        <w:t>- Définition / Comprend</w:t>
      </w:r>
    </w:p>
    <w:p w14:paraId="409090DD" w14:textId="77777777" w:rsidR="00DF410E" w:rsidRDefault="00CE7F43">
      <w:r>
        <w:t>La présente section se rapporte à tous les travaux et fournitures pour la réalisation des ouvrages de construction en acier, y compris tous les systèmes d'assemblage, l'exécution proprement dite, tous les boulonnages, le raccordement au gros-œuvre, les ancrages, les accessoires, la protection contre la corrosion, …  :</w:t>
      </w:r>
    </w:p>
    <w:p w14:paraId="0512407C" w14:textId="77777777" w:rsidR="00DF410E" w:rsidRDefault="00CE7F43">
      <w:r>
        <w:t>Ces travaux comportent quatre étapes :</w:t>
      </w:r>
    </w:p>
    <w:p w14:paraId="2840927D" w14:textId="77777777" w:rsidR="00DF410E" w:rsidRDefault="00CE7F43">
      <w:pPr>
        <w:pStyle w:val="Author-eListParagraph"/>
        <w:numPr>
          <w:ilvl w:val="0"/>
          <w:numId w:val="674"/>
        </w:numPr>
      </w:pPr>
      <w:r>
        <w:rPr>
          <w:rFonts w:ascii="Times New Roman"/>
          <w:sz w:val="14"/>
        </w:rPr>
        <w:t> </w:t>
      </w:r>
      <w:r>
        <w:t>l'établissement de l'étude de stabilité et les dessins d'exécution;</w:t>
      </w:r>
    </w:p>
    <w:p w14:paraId="50409D27" w14:textId="77777777" w:rsidR="00DF410E" w:rsidRDefault="00CE7F43">
      <w:pPr>
        <w:pStyle w:val="Author-eListParagraph"/>
        <w:numPr>
          <w:ilvl w:val="0"/>
          <w:numId w:val="674"/>
        </w:numPr>
      </w:pPr>
      <w:r>
        <w:rPr>
          <w:rFonts w:ascii="Times New Roman"/>
          <w:sz w:val="14"/>
        </w:rPr>
        <w:t> </w:t>
      </w:r>
      <w:r>
        <w:t>la préparation et l'usinage de l'acier en atelier (couper, plier, …), y compris tous les assemblages par soudure et boulonnage;</w:t>
      </w:r>
    </w:p>
    <w:p w14:paraId="59D9AF8B" w14:textId="77777777" w:rsidR="00DF410E" w:rsidRDefault="00CE7F43">
      <w:pPr>
        <w:pStyle w:val="Author-eListParagraph"/>
        <w:numPr>
          <w:ilvl w:val="0"/>
          <w:numId w:val="674"/>
        </w:numPr>
      </w:pPr>
      <w:r>
        <w:rPr>
          <w:rFonts w:ascii="Times New Roman"/>
          <w:sz w:val="14"/>
        </w:rPr>
        <w:t> </w:t>
      </w:r>
      <w:r>
        <w:t>la protection contre la corrosion, par métallisation, galvanisation à chaud et/ou systèmes de peinture antirouille ...</w:t>
      </w:r>
    </w:p>
    <w:p w14:paraId="0F304130" w14:textId="77777777" w:rsidR="00DF410E" w:rsidRDefault="00CE7F43">
      <w:pPr>
        <w:pStyle w:val="Author-eListParagraph"/>
        <w:numPr>
          <w:ilvl w:val="0"/>
          <w:numId w:val="674"/>
        </w:numPr>
      </w:pPr>
      <w:r>
        <w:rPr>
          <w:rFonts w:ascii="Times New Roman"/>
          <w:sz w:val="14"/>
        </w:rPr>
        <w:t> </w:t>
      </w:r>
      <w:r>
        <w:t>la fourniture et le montage des éléments de construction en acier sur chantier, y compris tous les dispositifs d'assemblage, d'appui et d'ancrage.</w:t>
      </w:r>
    </w:p>
    <w:p w14:paraId="4941922C" w14:textId="77777777" w:rsidR="00DF410E" w:rsidRDefault="00CE7F43">
      <w:r>
        <w:t>Les masses d’acier sont portées en compte moyennant les règles suivantes :</w:t>
      </w:r>
    </w:p>
    <w:p w14:paraId="7391839D" w14:textId="77777777" w:rsidR="00DF410E" w:rsidRDefault="00CE7F43">
      <w:pPr>
        <w:pStyle w:val="Author-eListParagraph"/>
        <w:numPr>
          <w:ilvl w:val="0"/>
          <w:numId w:val="675"/>
        </w:numPr>
      </w:pPr>
      <w:r>
        <w:rPr>
          <w:rFonts w:ascii="Times New Roman"/>
          <w:sz w:val="14"/>
        </w:rPr>
        <w:t> </w:t>
      </w:r>
      <w:r>
        <w:t>toute ouverture intérieure située en pleine tôle (ou dans l’âme de profilé) et inférieure à une surface de 0,2 m² n’est pas soustraite.</w:t>
      </w:r>
    </w:p>
    <w:p w14:paraId="307311E0" w14:textId="77777777" w:rsidR="00DF410E" w:rsidRDefault="00CE7F43">
      <w:pPr>
        <w:pStyle w:val="Author-eListParagraph"/>
        <w:numPr>
          <w:ilvl w:val="0"/>
          <w:numId w:val="675"/>
        </w:numPr>
      </w:pPr>
      <w:r>
        <w:rPr>
          <w:rFonts w:ascii="Times New Roman"/>
          <w:sz w:val="14"/>
        </w:rPr>
        <w:t> </w:t>
      </w:r>
      <w:r>
        <w:t>les petites découpes en quart ou demi-cercles évitant la rencontre des soudures ne sont pas déduites.</w:t>
      </w:r>
    </w:p>
    <w:p w14:paraId="49819152" w14:textId="77777777" w:rsidR="00DF410E" w:rsidRDefault="00CE7F43">
      <w:pPr>
        <w:pStyle w:val="Author-eListParagraph"/>
        <w:numPr>
          <w:ilvl w:val="0"/>
          <w:numId w:val="675"/>
        </w:numPr>
      </w:pPr>
      <w:r>
        <w:rPr>
          <w:rFonts w:ascii="Times New Roman"/>
          <w:sz w:val="14"/>
        </w:rPr>
        <w:t> </w:t>
      </w:r>
      <w:r>
        <w:t>aucun supplément de masse n’est pris en compte pour les pièces particulières, les soudures, les rivets, les boulons et les goujons.</w:t>
      </w:r>
    </w:p>
    <w:p w14:paraId="0AB0D38E" w14:textId="77777777" w:rsidR="00DF410E" w:rsidRDefault="00CE7F43">
      <w:pPr>
        <w:pStyle w:val="Author-eListParagraph"/>
        <w:numPr>
          <w:ilvl w:val="0"/>
          <w:numId w:val="675"/>
        </w:numPr>
      </w:pPr>
      <w:r>
        <w:rPr>
          <w:rFonts w:ascii="Times New Roman"/>
          <w:sz w:val="14"/>
        </w:rPr>
        <w:t> </w:t>
      </w:r>
      <w:r>
        <w:t>la masse volumique de l’acier est fixée à 7.850 kg/m³.</w:t>
      </w:r>
    </w:p>
    <w:p w14:paraId="3CB09D1E" w14:textId="77777777" w:rsidR="00DF410E" w:rsidRDefault="00CE7F43">
      <w:pPr>
        <w:jc w:val="both"/>
      </w:pPr>
      <w:r>
        <w:t xml:space="preserve">La gestion et l’évacuation des déchets de chantier est décrite et comptabilisée au « </w:t>
      </w:r>
      <w:hyperlink r:id="rId127" w:history="1" w:docLocation="116">
        <w:r>
          <w:t>07 Déchets, matériaux et éléments réemployables</w:t>
        </w:r>
      </w:hyperlink>
      <w:r>
        <w:t xml:space="preserve"> ».</w:t>
      </w:r>
    </w:p>
    <w:p w14:paraId="5E885A05" w14:textId="77777777" w:rsidR="00DF410E" w:rsidRDefault="00CE7F43">
      <w:pPr>
        <w:pStyle w:val="pheading"/>
      </w:pPr>
      <w:r>
        <w:t>- Remarques importantes</w:t>
      </w:r>
    </w:p>
    <w:p w14:paraId="2FF24EA7" w14:textId="77777777" w:rsidR="00DF410E" w:rsidRDefault="00DF410E"/>
    <w:p w14:paraId="7DC03887" w14:textId="77777777" w:rsidR="00DF410E" w:rsidRDefault="00DF410E"/>
    <w:p w14:paraId="52458768" w14:textId="77777777" w:rsidR="00DF410E" w:rsidRDefault="00CE7F43">
      <w:r>
        <w:t>L'entrepreneur exécute les travaux conformément aux règles de bonne pratique. En cas de controverse en ce qui concerne les critères de qualité ou les tolérances d'application, seules les normes les plus récentes sont contraignantes.</w:t>
      </w:r>
    </w:p>
    <w:p w14:paraId="50687E11" w14:textId="77777777" w:rsidR="00DF410E" w:rsidRDefault="00CE7F43">
      <w:r>
        <w:rPr>
          <w:u w:val="single"/>
        </w:rPr>
        <w:t>Attention</w:t>
      </w:r>
    </w:p>
    <w:p w14:paraId="53B9317C" w14:textId="77777777" w:rsidR="00DF410E" w:rsidRDefault="00CE7F43">
      <w:r>
        <w:t>Les éléments d'escalier, les balustrades ou les éléments de façade en acier sont décrits dans le tome 4 T4 Fermetures / Finitions extérieures.</w:t>
      </w:r>
    </w:p>
    <w:p w14:paraId="02AC3DB0" w14:textId="77777777" w:rsidR="00DF410E" w:rsidRDefault="00CE7F43">
      <w:pPr>
        <w:pStyle w:val="pheading"/>
      </w:pPr>
      <w:r>
        <w:t>MATÉRIAUX</w:t>
      </w:r>
    </w:p>
    <w:p w14:paraId="24C74209" w14:textId="77777777" w:rsidR="00DF410E" w:rsidRDefault="00CE7F43">
      <w:r>
        <w:rPr>
          <w:b/>
        </w:rPr>
        <w:t>NUANCE D'ACIER - catégories de qualité</w:t>
      </w:r>
    </w:p>
    <w:p w14:paraId="0B3D167C" w14:textId="77777777" w:rsidR="00DF410E" w:rsidRDefault="00CE7F43">
      <w:r>
        <w:t>L'acier satisfait aux prescriptions de la norme [NBN EN 1993 série].</w:t>
      </w:r>
    </w:p>
    <w:p w14:paraId="41945AE7" w14:textId="77777777" w:rsidR="00DF410E" w:rsidRDefault="00CE7F43">
      <w:r>
        <w:t>Le choix de la qualité d'acier se fait suivant les prescriptions de la norme [NBN EN 1993-1-10].</w:t>
      </w:r>
    </w:p>
    <w:p w14:paraId="7370312C" w14:textId="77777777" w:rsidR="00DF410E" w:rsidRDefault="00CE7F43">
      <w:r>
        <w:t>Acier pour construction métallique :</w:t>
      </w:r>
    </w:p>
    <w:p w14:paraId="321B5C59" w14:textId="77777777" w:rsidR="00DF410E" w:rsidRDefault="00CE7F43">
      <w:pPr>
        <w:pStyle w:val="Author-eListParagraph"/>
        <w:numPr>
          <w:ilvl w:val="0"/>
          <w:numId w:val="676"/>
        </w:numPr>
      </w:pPr>
      <w:r>
        <w:t> les aciers laminés pour ouvrages métalliques sont conformes aux [NBN EN 10025 série].</w:t>
      </w:r>
    </w:p>
    <w:p w14:paraId="5EB28371" w14:textId="77777777" w:rsidR="00DF410E" w:rsidRDefault="00CE7F43">
      <w:pPr>
        <w:pStyle w:val="Author-eListParagraph"/>
        <w:numPr>
          <w:ilvl w:val="0"/>
          <w:numId w:val="676"/>
        </w:numPr>
      </w:pPr>
      <w:r>
        <w:t> les aciers moulés sont conformes à la [NBN EN 10340]</w:t>
      </w:r>
    </w:p>
    <w:p w14:paraId="01698057" w14:textId="77777777" w:rsidR="00DF410E" w:rsidRDefault="00CE7F43">
      <w:pPr>
        <w:pStyle w:val="Author-eListParagraph"/>
        <w:numPr>
          <w:ilvl w:val="0"/>
          <w:numId w:val="676"/>
        </w:numPr>
      </w:pPr>
      <w:r>
        <w:t> les aciers inoxydables sont conformes aux [NBN EN 10088 série]</w:t>
      </w:r>
    </w:p>
    <w:p w14:paraId="476D2780" w14:textId="77777777" w:rsidR="00DF410E" w:rsidRDefault="00CE7F43">
      <w:pPr>
        <w:pStyle w:val="Author-eListParagraph"/>
        <w:numPr>
          <w:ilvl w:val="0"/>
          <w:numId w:val="676"/>
        </w:numPr>
      </w:pPr>
      <w:r>
        <w:t> Fontes:</w:t>
      </w:r>
    </w:p>
    <w:p w14:paraId="4191458C" w14:textId="77777777" w:rsidR="00DF410E" w:rsidRDefault="00CE7F43">
      <w:pPr>
        <w:pStyle w:val="Author-eListParagraph"/>
        <w:numPr>
          <w:ilvl w:val="1"/>
          <w:numId w:val="677"/>
        </w:numPr>
      </w:pPr>
      <w:r>
        <w:t> les fontes à graphite lamellaire sont conformes à la [NBN EN 1561:2023].</w:t>
      </w:r>
    </w:p>
    <w:p w14:paraId="7D25EE50" w14:textId="77777777" w:rsidR="00DF410E" w:rsidRDefault="00CE7F43">
      <w:pPr>
        <w:pStyle w:val="Author-eListParagraph"/>
        <w:numPr>
          <w:ilvl w:val="1"/>
          <w:numId w:val="677"/>
        </w:numPr>
      </w:pPr>
      <w:r>
        <w:t> les fontes à graphite sphéroïdal sont conformes à la [NBN EN 1563].</w:t>
      </w:r>
    </w:p>
    <w:p w14:paraId="333466D4" w14:textId="77777777" w:rsidR="00DF410E" w:rsidRDefault="00CE7F43">
      <w:r>
        <w:t>Les dimensions et tolérances des profils sont conformes à la série des normes référencées au §2.2 de la norme [NBN EN 10025-1]. Les profilés en acier laminés à chaud répondant à cette norme sont du type :</w:t>
      </w:r>
    </w:p>
    <w:p w14:paraId="7C599EEA" w14:textId="77777777" w:rsidR="00DF410E" w:rsidRDefault="00CE7F43">
      <w:pPr>
        <w:pStyle w:val="Author-eListParagraph"/>
        <w:numPr>
          <w:ilvl w:val="0"/>
          <w:numId w:val="678"/>
        </w:numPr>
      </w:pPr>
      <w:r>
        <w:t> Profils en I : IPE / IPN</w:t>
      </w:r>
    </w:p>
    <w:p w14:paraId="1532774A" w14:textId="77777777" w:rsidR="00DF410E" w:rsidRDefault="00CE7F43">
      <w:pPr>
        <w:pStyle w:val="Author-eListParagraph"/>
        <w:numPr>
          <w:ilvl w:val="0"/>
          <w:numId w:val="678"/>
        </w:numPr>
      </w:pPr>
      <w:r>
        <w:t> poutrelles ailes parallèles : HEA / HEB / HEM</w:t>
      </w:r>
    </w:p>
    <w:p w14:paraId="4C170429" w14:textId="77777777" w:rsidR="00DF410E" w:rsidRDefault="00CE7F43">
      <w:pPr>
        <w:pStyle w:val="Author-eListParagraph"/>
        <w:numPr>
          <w:ilvl w:val="0"/>
          <w:numId w:val="678"/>
        </w:numPr>
      </w:pPr>
      <w:r>
        <w:t> cornières : équilatérales / non-équilatérales</w:t>
      </w:r>
    </w:p>
    <w:p w14:paraId="2A076E2A" w14:textId="77777777" w:rsidR="00DF410E" w:rsidRDefault="00CE7F43">
      <w:pPr>
        <w:pStyle w:val="Author-eListParagraph"/>
        <w:numPr>
          <w:ilvl w:val="0"/>
          <w:numId w:val="678"/>
        </w:numPr>
      </w:pPr>
      <w:r>
        <w:t> profils en T : équilatéraux / non-équilatéraux</w:t>
      </w:r>
    </w:p>
    <w:p w14:paraId="7A1A0FDB" w14:textId="77777777" w:rsidR="00DF410E" w:rsidRDefault="00CE7F43">
      <w:pPr>
        <w:pStyle w:val="Author-eListParagraph"/>
        <w:numPr>
          <w:ilvl w:val="0"/>
          <w:numId w:val="678"/>
        </w:numPr>
      </w:pPr>
      <w:r>
        <w:t> profils en U</w:t>
      </w:r>
    </w:p>
    <w:p w14:paraId="54DF3327" w14:textId="77777777" w:rsidR="00DF410E" w:rsidRDefault="00CE7F43">
      <w:pPr>
        <w:pStyle w:val="Author-eListParagraph"/>
        <w:numPr>
          <w:ilvl w:val="0"/>
          <w:numId w:val="678"/>
        </w:numPr>
      </w:pPr>
      <w:r>
        <w:t> Barres pleines : barres rondes / barres carrées</w:t>
      </w:r>
    </w:p>
    <w:p w14:paraId="11BA3CE8" w14:textId="77777777" w:rsidR="00DF410E" w:rsidRDefault="00CE7F43">
      <w:pPr>
        <w:pStyle w:val="Author-eListParagraph"/>
        <w:numPr>
          <w:ilvl w:val="0"/>
          <w:numId w:val="678"/>
        </w:numPr>
      </w:pPr>
      <w:r>
        <w:t> Plats</w:t>
      </w:r>
    </w:p>
    <w:p w14:paraId="30BF4CAD" w14:textId="77777777" w:rsidR="00DF410E" w:rsidRDefault="00CE7F43">
      <w:pPr>
        <w:pStyle w:val="Author-eListParagraph"/>
        <w:numPr>
          <w:ilvl w:val="0"/>
          <w:numId w:val="678"/>
        </w:numPr>
      </w:pPr>
      <w:r>
        <w:rPr>
          <w:color w:val="FF0000"/>
        </w:rPr>
        <w:t> </w:t>
      </w:r>
      <w:r>
        <w:t>Tôles d'acier</w:t>
      </w:r>
    </w:p>
    <w:p w14:paraId="35ED4BC2" w14:textId="77777777" w:rsidR="00DF410E" w:rsidRDefault="00CE7F43">
      <w:r>
        <w:t>Les profilés tubulaires (tuyaux ronds sans soudures, tuyaux carrés, tuyaux rectangulaires) relèvent de la norme [NBN EN 10210 série].</w:t>
      </w:r>
    </w:p>
    <w:p w14:paraId="6B80332E" w14:textId="77777777" w:rsidR="00DF410E" w:rsidRDefault="00CE7F43">
      <w:r>
        <w:t>Les profilés en acier formés à froid (L, U, C, Z, Omega, tubulaires à bords rejoints,…) relèvent de la norme [NBN EN 10162].</w:t>
      </w:r>
    </w:p>
    <w:p w14:paraId="30386685" w14:textId="77777777" w:rsidR="00DF410E" w:rsidRDefault="00CE7F43">
      <w:r>
        <w:t>Caractéristiques principales :</w:t>
      </w:r>
    </w:p>
    <w:p w14:paraId="7EC1CB10" w14:textId="77777777" w:rsidR="00DF410E" w:rsidRDefault="00CE7F43">
      <w:pPr>
        <w:pStyle w:val="Author-eListParagraph"/>
        <w:numPr>
          <w:ilvl w:val="0"/>
          <w:numId w:val="679"/>
        </w:numPr>
      </w:pPr>
      <w:r>
        <w:t xml:space="preserve">Type de profilé: </w:t>
      </w:r>
      <w:r>
        <w:rPr>
          <w:rStyle w:val="optioncarChar"/>
        </w:rPr>
        <w:t>IPE / HEA</w:t>
      </w:r>
      <w:r>
        <w:t xml:space="preserve"> (par défaut) </w:t>
      </w:r>
      <w:r>
        <w:rPr>
          <w:rStyle w:val="optioncarChar"/>
        </w:rPr>
        <w:t>/ HEB / HEM / tube carré (SHS) / tube rectangulaire (RHS) / ***</w:t>
      </w:r>
      <w:r>
        <w:t>.</w:t>
      </w:r>
    </w:p>
    <w:p w14:paraId="6B982157" w14:textId="77777777" w:rsidR="00DF410E" w:rsidRDefault="00CE7F43">
      <w:pPr>
        <w:pStyle w:val="Author-eListParagraph"/>
        <w:numPr>
          <w:ilvl w:val="0"/>
          <w:numId w:val="679"/>
        </w:numPr>
      </w:pPr>
      <w:r>
        <w:t xml:space="preserve">Nuance d'acier : </w:t>
      </w:r>
      <w:r>
        <w:rPr>
          <w:rStyle w:val="optioncarChar"/>
        </w:rPr>
        <w:t>S235 / ***</w:t>
      </w:r>
      <w:r>
        <w:t xml:space="preserve"> (par défaut) </w:t>
      </w:r>
      <w:r>
        <w:rPr>
          <w:color w:val="FF0000"/>
        </w:rPr>
        <w:t xml:space="preserve">/ S 275 / S 355 / S 420 / S460 </w:t>
      </w:r>
      <w:r>
        <w:rPr>
          <w:i/>
        </w:rPr>
        <w:t>(selon la limite élastique en N/mm2 </w:t>
      </w:r>
      <w:r>
        <w:t>[NBN EN 10025 série]).</w:t>
      </w:r>
    </w:p>
    <w:p w14:paraId="4644029D" w14:textId="77777777" w:rsidR="00DF410E" w:rsidRDefault="00CE7F43">
      <w:pPr>
        <w:pStyle w:val="Author-eListParagraph"/>
        <w:numPr>
          <w:ilvl w:val="0"/>
          <w:numId w:val="679"/>
        </w:numPr>
      </w:pPr>
      <w:r>
        <w:t xml:space="preserve"> Qualité : désignation </w:t>
      </w:r>
      <w:r>
        <w:rPr>
          <w:rStyle w:val="optioncarChar"/>
        </w:rPr>
        <w:t>JR / J0</w:t>
      </w:r>
      <w:r>
        <w:t xml:space="preserve"> (par défaut) </w:t>
      </w:r>
      <w:r>
        <w:rPr>
          <w:rStyle w:val="optioncarChar"/>
        </w:rPr>
        <w:t>/ J2 / K2 / N / NL / M / ML / W / P / Q / QL / QL1</w:t>
      </w:r>
      <w:r>
        <w:t xml:space="preserve"> ([NBN EN 10025 série]) </w:t>
      </w:r>
      <w:r>
        <w:rPr>
          <w:rStyle w:val="optioncarChar"/>
        </w:rPr>
        <w:t>/ ***</w:t>
      </w:r>
      <w:r>
        <w:t>.</w:t>
      </w:r>
    </w:p>
    <w:p w14:paraId="3A250C30" w14:textId="77777777" w:rsidR="00DF410E" w:rsidRDefault="00CE7F43">
      <w:pPr>
        <w:pStyle w:val="Author-eListParagraph"/>
        <w:numPr>
          <w:ilvl w:val="0"/>
          <w:numId w:val="679"/>
        </w:numPr>
      </w:pPr>
      <w:r>
        <w:t xml:space="preserve"> Option pour arrachement lamellaire </w:t>
      </w:r>
      <w:r>
        <w:rPr>
          <w:rStyle w:val="optioncarChar"/>
        </w:rPr>
        <w:t>aucune / Z15 / Z25 / Z35</w:t>
      </w:r>
      <w:r>
        <w:t>.</w:t>
      </w:r>
    </w:p>
    <w:p w14:paraId="3A516E65" w14:textId="77777777" w:rsidR="00DF410E" w:rsidRDefault="00CE7F43">
      <w:r>
        <w:t>﻿</w:t>
      </w:r>
      <w:r>
        <w:rPr>
          <w:b/>
        </w:rPr>
        <w:t>Aluminium</w:t>
      </w:r>
    </w:p>
    <w:p w14:paraId="6104F42D" w14:textId="77777777" w:rsidR="00DF410E" w:rsidRDefault="00CE7F43">
      <w:r>
        <w:t>L'aluminium satisfait aux prescriptions de la norme [NBN EN 1999 série].</w:t>
      </w:r>
    </w:p>
    <w:p w14:paraId="16185A3C" w14:textId="77777777" w:rsidR="00DF410E" w:rsidRDefault="00CE7F43">
      <w:pPr>
        <w:pStyle w:val="pheading"/>
      </w:pPr>
      <w:r>
        <w:t>EXÉCUTION / MISE EN ŒUVRE</w:t>
      </w:r>
    </w:p>
    <w:p w14:paraId="3F4A7B40" w14:textId="77777777" w:rsidR="00DF410E" w:rsidRDefault="00DF410E"/>
    <w:p w14:paraId="27671CB8" w14:textId="77777777" w:rsidR="00DF410E" w:rsidRDefault="00CE7F43">
      <w:r>
        <w:t>Le constructeur est tenu de prendre, dans l'atelier et sur chantier, toutes les précautions nécessaires pour prévenir toute déformation des éléments pendant leur manutention. Il attache une importance particulière aux dimensions des éléments, à leur niveau et fléchissement ainsi qu'aux pénétrations pour les conduites et les fourreaux. Il faut absolument éviter de rectifier des éléments déjà assemblés. Au cours de leur production, les éléments sont pourvus des réservations ou des pénétrations nécessaires conformément aux indications sur les plans. On ne peut en aucun cas effectuer des perforations par forage, fraisages ou au chalumeau sans l'autorisation préalable de l'auteur de projet ou du bureau d'étude chargé de l'étude de stabilité. Pour les marquages provisoires, on utilise des peintures ou des marqueurs effaçables à l'eau. Les peintures à l'huile et autres ne sont pas autorisées, elles risquent de donner lieu à des défauts de galvanisation.</w:t>
      </w:r>
    </w:p>
    <w:p w14:paraId="39C589D9" w14:textId="77777777" w:rsidR="00DF410E" w:rsidRDefault="00DF410E"/>
    <w:p w14:paraId="6A461CDA" w14:textId="77777777" w:rsidR="00DF410E" w:rsidRDefault="00CE7F43">
      <w:r>
        <w:rPr>
          <w:b/>
        </w:rPr>
        <w:t>ÉTUDE</w:t>
      </w:r>
    </w:p>
    <w:p w14:paraId="1ECDBAED" w14:textId="77777777" w:rsidR="00DF410E" w:rsidRDefault="00CE7F43">
      <w:r>
        <w:t>Le cahier spécial des charges doit mentionner les modalités d'entreprise en ce qui concerne l'étude de stabilité et les détails :</w:t>
      </w:r>
    </w:p>
    <w:p w14:paraId="5588E6DF" w14:textId="77777777" w:rsidR="00DF410E" w:rsidRDefault="00CE7F43">
      <w:r>
        <w:t xml:space="preserve">Choix opéré : </w:t>
      </w:r>
      <w:r>
        <w:rPr>
          <w:rStyle w:val="optioncarChar"/>
        </w:rPr>
        <w:t xml:space="preserve">étude à charge du maître de l'ouvrage </w:t>
      </w:r>
      <w:r>
        <w:rPr>
          <w:rStyle w:val="optioncarChar"/>
          <w:color w:val="000000"/>
        </w:rPr>
        <w:t>(par défaut)</w:t>
      </w:r>
      <w:r>
        <w:rPr>
          <w:rStyle w:val="optioncarChar"/>
        </w:rPr>
        <w:t xml:space="preserve"> / étude à charge de l'entrepreneur / étude à charge du maître de l’ouvrage à l’exception des assemblages / ***</w:t>
      </w:r>
      <w:r>
        <w:rPr>
          <w:rStyle w:val="optioncarChar"/>
          <w:color w:val="000000"/>
        </w:rPr>
        <w:t>.</w:t>
      </w:r>
    </w:p>
    <w:p w14:paraId="000DCB83" w14:textId="77777777" w:rsidR="00DF410E" w:rsidRDefault="00CE7F43">
      <w:r>
        <w:rPr>
          <w:rStyle w:val="normalChar"/>
          <w:b/>
          <w:i/>
        </w:rPr>
        <w:t>(soit par défaut)</w:t>
      </w:r>
    </w:p>
    <w:p w14:paraId="2C45138B" w14:textId="77777777" w:rsidR="00DF410E" w:rsidRDefault="00CE7F43">
      <w:r>
        <w:rPr>
          <w:rStyle w:val="soitChar"/>
          <w:u w:val="single"/>
        </w:rPr>
        <w:t>étude à charge du maître de l'ouvrage :</w:t>
      </w:r>
      <w:r>
        <w:br/>
      </w:r>
      <w:r>
        <w:rPr>
          <w:rStyle w:val="soitChar"/>
        </w:rPr>
        <w:t xml:space="preserve"> Les éléments de structure en acier sont exécutés conformément aux documents de travail annexés au dossier d'adjudication (plans, cahiers des charges, bordereaux, dessins de détail). L'entrepreneur est toutefois tenu de vérifier s'il est possible d'exécuter les ouvrages conformément aux documents d'exécution et/ou s'il n'y a pas d'incompatibilités entre les différents documents. Avant de commencer les travaux, il met l'auteur de projet au courant de ses éventuelles remarques à ce sujet.</w:t>
      </w:r>
    </w:p>
    <w:p w14:paraId="710B82C0" w14:textId="77777777" w:rsidR="00DF410E" w:rsidRDefault="00CE7F43">
      <w:r>
        <w:rPr>
          <w:b/>
          <w:i/>
        </w:rPr>
        <w:t>(soit)</w:t>
      </w:r>
    </w:p>
    <w:p w14:paraId="61A4039F" w14:textId="77777777" w:rsidR="00DF410E" w:rsidRDefault="00CE7F43">
      <w:r>
        <w:rPr>
          <w:rStyle w:val="soitChar"/>
          <w:u w:val="single"/>
        </w:rPr>
        <w:t>étude à charge de l'entrepreneur :</w:t>
      </w:r>
      <w:r>
        <w:br/>
      </w:r>
      <w:r>
        <w:rPr>
          <w:rStyle w:val="soitChar"/>
        </w:rPr>
        <w:t xml:space="preserve"> Les frais pour la réalisation de l'étude des éléments de construction en acier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 et complétées par les prescriptions d'exécution définies dans la [NBN EN 1090 série] et l'Eurocode 3 [NBN EN 1993 série] et informations dans la série des normes [NBN A 24-3xx série].</w:t>
      </w:r>
    </w:p>
    <w:p w14:paraId="6C2BDEF9" w14:textId="77777777" w:rsidR="00DF410E" w:rsidRDefault="00CE7F43">
      <w:r>
        <w:rPr>
          <w:b/>
          <w:i/>
        </w:rPr>
        <w:t>(soit)</w:t>
      </w:r>
    </w:p>
    <w:p w14:paraId="6A15EC18" w14:textId="77777777" w:rsidR="00DF410E" w:rsidRDefault="00CE7F43">
      <w:r>
        <w:rPr>
          <w:rStyle w:val="soitChar"/>
          <w:u w:val="single"/>
        </w:rPr>
        <w:t>étude à charge du maître de l’ouvrage à l’exception des assemblages :</w:t>
      </w:r>
      <w:r>
        <w:br/>
      </w:r>
      <w:r>
        <w:rPr>
          <w:rStyle w:val="soitChar"/>
        </w:rPr>
        <w:t xml:space="preserve"> Le Maître de l’Ouvrage fournit à l’adjudication les plans de structure en acier en précisant tous les profilés et toutes les pièces mis en œuvre. Ces plans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660F3573" w14:textId="77777777" w:rsidR="00DF410E" w:rsidRDefault="00DF410E"/>
    <w:p w14:paraId="708269B8" w14:textId="77777777" w:rsidR="00DF410E" w:rsidRDefault="00CE7F43">
      <w:r>
        <w:t>MÉTHODE DE CALCUL</w:t>
      </w:r>
    </w:p>
    <w:p w14:paraId="561EBC17" w14:textId="77777777" w:rsidR="00DF410E" w:rsidRDefault="00CE7F43">
      <w:r>
        <w:t>Les calculs sont exécutés conformément aux Eurocodes et en particulier conformément aux différentes parties de l'Eurocodes 3 : Calcul des structures en acier [NBN EN 1993 série].</w:t>
      </w:r>
    </w:p>
    <w:p w14:paraId="7422AF1F" w14:textId="77777777" w:rsidR="00DF410E" w:rsidRDefault="00CE7F43">
      <w:r>
        <w:t>Les sollicitations à prendre en compte sont détaillées dans les différentes parties de l'Eurocode 1 : [NBN EN 1991 série].</w:t>
      </w:r>
    </w:p>
    <w:p w14:paraId="71A52042" w14:textId="77777777" w:rsidR="00DF410E" w:rsidRDefault="00CE7F43">
      <w:r>
        <w:t>Les flèches des éléments en acier sous l'action des charges sont limitées conformément à la [NBN B 03-003].</w:t>
      </w:r>
    </w:p>
    <w:p w14:paraId="66D388AC" w14:textId="77777777" w:rsidR="00DF410E" w:rsidRDefault="00CE7F43">
      <w:r>
        <w:rPr>
          <w:b/>
        </w:rPr>
        <w:t>MISE EN ŒUVRE</w:t>
      </w:r>
    </w:p>
    <w:p w14:paraId="5C2F22B2" w14:textId="77777777" w:rsidR="00DF410E" w:rsidRDefault="00DF410E"/>
    <w:p w14:paraId="1752FC4E" w14:textId="77777777" w:rsidR="00DF410E" w:rsidRDefault="00CE7F43">
      <w:r>
        <w:t>Avant l'exécution, le constructeur doit contrôler si les profils en acier sont parfaitement rectilignes afin d'éviter tout gauchissement ou déformation. Les découpes à l'oxycoupeur doivent être soigneusement parachevées (enlèvement des ébarbures, fraisage, etc.) afin d'obtenir une découpe parfaitement lisse. Les éléments sont débarrassés de toute saleté, huile, graisse et autres souillures ainsi que de la rouille non adhérente au moment de la mise en œuvre. Toutes les opérations telles que le planage et le dressage des pièces, le forgeage et le pliage à chaud, la mise à forme, le recuit, le découpage, tous les assemblages par soudures, boulons, vis, la préparation des trous, etc. doivent être exécutées en conformité avec la norme [NBN EN 1090 série].</w:t>
      </w:r>
    </w:p>
    <w:p w14:paraId="65A5F68E" w14:textId="77777777" w:rsidR="00DF410E" w:rsidRDefault="00CE7F43">
      <w:r>
        <w:t>ASSEMBLAGES</w:t>
      </w:r>
    </w:p>
    <w:p w14:paraId="2AF08499" w14:textId="77777777" w:rsidR="00DF410E" w:rsidRDefault="00CE7F43">
      <w:r>
        <w:t>Dans le cas où l’entrepreneur dimensionne les assemblages, celui-ci fournit au MO les calculs correspondants. Les calculs pour les assemblages sont effectués conformément aux prescriptions de la partie 8 de l'Eurocode 3 [NBN EN 1993-1-8].</w:t>
      </w:r>
    </w:p>
    <w:p w14:paraId="681BA158" w14:textId="77777777" w:rsidR="00DF410E" w:rsidRDefault="00CE7F43">
      <w:r>
        <w:t> </w:t>
      </w:r>
    </w:p>
    <w:p w14:paraId="07099CEA" w14:textId="77777777" w:rsidR="00DF410E" w:rsidRDefault="00CE7F43">
      <w:r>
        <w:t>Le mode d'exécution doit en outre satisfaire aux critères d'ordre général suivants :</w:t>
      </w:r>
    </w:p>
    <w:p w14:paraId="16D57EB9" w14:textId="77777777" w:rsidR="00DF410E" w:rsidRDefault="00DF410E"/>
    <w:p w14:paraId="176B3E26" w14:textId="77777777" w:rsidR="00DF410E" w:rsidRDefault="00CE7F43">
      <w:pPr>
        <w:pStyle w:val="Author-eListParagraph"/>
        <w:numPr>
          <w:ilvl w:val="0"/>
          <w:numId w:val="680"/>
        </w:numPr>
      </w:pPr>
      <w:r>
        <w:t> les systèmes d'assemblages appliqués sont parfaitement compatibles avec les autres éléments structurels, techniques et/ou de finition qui composent l'ouvrage de construction ;</w:t>
      </w:r>
    </w:p>
    <w:p w14:paraId="083C0177" w14:textId="77777777" w:rsidR="00DF410E" w:rsidRDefault="00CE7F43">
      <w:pPr>
        <w:pStyle w:val="Author-eListParagraph"/>
        <w:numPr>
          <w:ilvl w:val="0"/>
          <w:numId w:val="680"/>
        </w:numPr>
      </w:pPr>
      <w:r>
        <w:t> les éléments qui sont représentés en une seule pièce sur les plans ne peuvent pas être constitués de différentes pièces assemblées par soudure, ou tout autre mode d'assemblage, sans accord préalable du maître de l’ouvrage ;</w:t>
      </w:r>
    </w:p>
    <w:p w14:paraId="0110D48D" w14:textId="77777777" w:rsidR="00DF410E" w:rsidRDefault="00CE7F43">
      <w:pPr>
        <w:pStyle w:val="Author-eListParagraph"/>
        <w:numPr>
          <w:ilvl w:val="0"/>
          <w:numId w:val="680"/>
        </w:numPr>
      </w:pPr>
      <w:r>
        <w:t> toutes les faces qui se touchent sont parfaitement planes et dressées. L'aplanissement et le dressage sont effectués à la machine à dégauchir ou à la lamineuse à l'exclusion du martèlement ou du battage ;</w:t>
      </w:r>
    </w:p>
    <w:p w14:paraId="7DB6E00A" w14:textId="77777777" w:rsidR="00DF410E" w:rsidRDefault="00CE7F43">
      <w:pPr>
        <w:pStyle w:val="Author-eListParagraph"/>
        <w:numPr>
          <w:ilvl w:val="0"/>
          <w:numId w:val="680"/>
        </w:numPr>
      </w:pPr>
      <w:r>
        <w:t> les fourrures (sous renforts, sous cornières de fixation, sous goussets, etc.), les renforts, plaques de soudage, … sont coupées aux dimensions exactes et égalisées, à bords droits et bien jointifs. Le découpage ou le raccourcissement des éléments se fait sans provoquer de fissures, déchirures ou autres déformations du métal.</w:t>
      </w:r>
    </w:p>
    <w:p w14:paraId="6BBDD006" w14:textId="77777777" w:rsidR="00DF410E" w:rsidRDefault="00CE7F43">
      <w:r>
        <w:t>Sauf dispositions spécifiques sur les plans de détails ou au cahier spécial des charges,</w:t>
      </w:r>
    </w:p>
    <w:p w14:paraId="6BE26D3D" w14:textId="77777777" w:rsidR="00DF410E" w:rsidRDefault="00CE7F43">
      <w:pPr>
        <w:pStyle w:val="Author-eListParagraph"/>
        <w:numPr>
          <w:ilvl w:val="0"/>
          <w:numId w:val="681"/>
        </w:numPr>
      </w:pPr>
      <w:r>
        <w:t> les assemblages en ateliers sont proposés par l'entrepreneur et exécutés par boulons et/ou par soudure ;</w:t>
      </w:r>
    </w:p>
    <w:p w14:paraId="6885AF20" w14:textId="77777777" w:rsidR="00DF410E" w:rsidRDefault="00CE7F43">
      <w:pPr>
        <w:pStyle w:val="Author-eListParagraph"/>
        <w:numPr>
          <w:ilvl w:val="0"/>
          <w:numId w:val="681"/>
        </w:numPr>
      </w:pPr>
      <w:r>
        <w:t> les assemblages pour le montage sur chantier des éléments préfabriqués sont proposés par l'entrepreneur et exécutés par boulons et/ou par soudure.</w:t>
      </w:r>
    </w:p>
    <w:p w14:paraId="6B9C431A" w14:textId="77777777" w:rsidR="00DF410E" w:rsidRDefault="00CE7F43">
      <w:r>
        <w:rPr>
          <w:b/>
        </w:rPr>
        <w:t>A. Assemblages boulonnés</w:t>
      </w:r>
    </w:p>
    <w:p w14:paraId="64C72C89" w14:textId="77777777" w:rsidR="00DF410E" w:rsidRDefault="00CE7F43">
      <w:pPr>
        <w:ind w:left="283"/>
      </w:pPr>
      <w:r>
        <w:t xml:space="preserve">A.1 </w:t>
      </w:r>
      <w:r>
        <w:rPr>
          <w:u w:val="single"/>
        </w:rPr>
        <w:t>Spécifications</w:t>
      </w:r>
    </w:p>
    <w:p w14:paraId="480479C8" w14:textId="77777777" w:rsidR="00DF410E" w:rsidRDefault="00CE7F43">
      <w:r>
        <w:t>Les vis, écrous et rondelles en acier au carbone sont conformes aux exigences des normes du groupe 4 reprises au §1.2.4 de la norme [NBN EN 1993-1-8]. </w:t>
      </w:r>
    </w:p>
    <w:p w14:paraId="6EC0CAB7" w14:textId="77777777" w:rsidR="00DF410E" w:rsidRDefault="00DF410E"/>
    <w:p w14:paraId="752DBF3F" w14:textId="77777777" w:rsidR="00DF410E" w:rsidRDefault="00CE7F43">
      <w:r>
        <w:t>Les boulons en acier inoxydable sont conformes aux [NBN EN ISO 3506 série].</w:t>
      </w:r>
    </w:p>
    <w:p w14:paraId="770EBBF6" w14:textId="77777777" w:rsidR="00DF410E" w:rsidRDefault="00CE7F43">
      <w:r>
        <w:t xml:space="preserve">La classe des boulons est </w:t>
      </w:r>
      <w:r>
        <w:rPr>
          <w:rStyle w:val="optioncarChar"/>
        </w:rPr>
        <w:t>précisée sur les plans</w:t>
      </w:r>
      <w:r>
        <w:t xml:space="preserve"> (par défaut) </w:t>
      </w:r>
      <w:r>
        <w:rPr>
          <w:rStyle w:val="optioncarChar"/>
        </w:rPr>
        <w:t>/ 4.6 / 4.8 / 5.6 / 5.8 / 6.8 / 8.8 / 10.9 / ***</w:t>
      </w:r>
    </w:p>
    <w:p w14:paraId="0B4DB1C0" w14:textId="77777777" w:rsidR="00DF410E" w:rsidRDefault="00DF410E"/>
    <w:p w14:paraId="3EA8BD16" w14:textId="77777777" w:rsidR="00DF410E" w:rsidRDefault="00CE7F43">
      <w:pPr>
        <w:ind w:left="283"/>
      </w:pPr>
      <w:r>
        <w:t xml:space="preserve">A.2 </w:t>
      </w:r>
      <w:r>
        <w:rPr>
          <w:u w:val="single"/>
        </w:rPr>
        <w:t>Boulons précontraints</w:t>
      </w:r>
    </w:p>
    <w:p w14:paraId="6A6AC085" w14:textId="77777777" w:rsidR="00DF410E" w:rsidRDefault="00CE7F43">
      <w:r>
        <w:t>Les boulons précontraints sont serrés à l’aide d’une clé dynamométrique.</w:t>
      </w:r>
    </w:p>
    <w:p w14:paraId="1C688BC1" w14:textId="77777777" w:rsidR="00DF410E" w:rsidRDefault="00CE7F43">
      <w:r>
        <w:t>Ils peuvent être serrés avec une clé normale, à condition toutefois de respecter les règles pratiques suivantes :</w:t>
      </w:r>
    </w:p>
    <w:p w14:paraId="71C631FE" w14:textId="77777777" w:rsidR="00DF410E" w:rsidRDefault="00CE7F43">
      <w:pPr>
        <w:pStyle w:val="Author-eListParagraph"/>
        <w:numPr>
          <w:ilvl w:val="0"/>
          <w:numId w:val="682"/>
        </w:numPr>
      </w:pPr>
      <w:r>
        <w:t> serrage à moment limité pour mettre les éléments assemblés en contact; ce moment est comparable au moment obtenu à l'aide d'une clé à main et correspond au début du martèlement de la clé à choc.</w:t>
      </w:r>
    </w:p>
    <w:p w14:paraId="5B78D708" w14:textId="77777777" w:rsidR="00DF410E" w:rsidRDefault="00CE7F43">
      <w:pPr>
        <w:pStyle w:val="Author-eListParagraph"/>
        <w:numPr>
          <w:ilvl w:val="0"/>
          <w:numId w:val="682"/>
        </w:numPr>
      </w:pPr>
      <w:r>
        <w:t> le serrage définitif est obtenu ensuite par rotation supplémentaire, dans le cas du fil métrique A° = e+d+90° (où a°=angle de rotation, e= épaisseur totale des éléments serrés, d= diamètre du boulon en mm.)</w:t>
      </w:r>
    </w:p>
    <w:p w14:paraId="45DE2E30" w14:textId="77777777" w:rsidR="00DF410E" w:rsidRDefault="00CE7F43">
      <w:r>
        <w:t>Cette méthode permet d'utiliser aussi bien les clés à main que les clés à choc qui ne sont pas équipées d'un indicateur de la valeur du moment exercé.</w:t>
      </w:r>
    </w:p>
    <w:p w14:paraId="779ED0EF" w14:textId="77777777" w:rsidR="00DF410E" w:rsidRDefault="00CE7F43">
      <w:pPr>
        <w:ind w:left="283"/>
      </w:pPr>
      <w:r>
        <w:t xml:space="preserve">A.3 </w:t>
      </w:r>
      <w:r>
        <w:rPr>
          <w:u w:val="single"/>
        </w:rPr>
        <w:t>Options complémentaires</w:t>
      </w:r>
    </w:p>
    <w:p w14:paraId="22C25770" w14:textId="77777777" w:rsidR="00DF410E" w:rsidRDefault="00CE7F43">
      <w:pPr>
        <w:pStyle w:val="Author-eListParagraph"/>
        <w:numPr>
          <w:ilvl w:val="0"/>
          <w:numId w:val="683"/>
        </w:numPr>
      </w:pPr>
      <w:r>
        <w:t> Les boulons sont calibrés.</w:t>
      </w:r>
    </w:p>
    <w:p w14:paraId="14A12BD9" w14:textId="77777777" w:rsidR="00DF410E" w:rsidRDefault="00CE7F43">
      <w:pPr>
        <w:pStyle w:val="Author-eListParagraph"/>
        <w:numPr>
          <w:ilvl w:val="0"/>
          <w:numId w:val="683"/>
        </w:numPr>
      </w:pPr>
      <w:r>
        <w:t> Les boulons sont placés à serrage contrôlé.</w:t>
      </w:r>
    </w:p>
    <w:p w14:paraId="061BD43D" w14:textId="77777777" w:rsidR="00DF410E" w:rsidRDefault="00CE7F43">
      <w:pPr>
        <w:pStyle w:val="Author-eListParagraph"/>
        <w:numPr>
          <w:ilvl w:val="0"/>
          <w:numId w:val="683"/>
        </w:numPr>
      </w:pPr>
      <w:r>
        <w:t xml:space="preserve"> Les assemblages sur chantier se font à l'aide de boulons </w:t>
      </w:r>
      <w:r>
        <w:rPr>
          <w:rStyle w:val="optioncarChar"/>
        </w:rPr>
        <w:t>*en acier inoxydable </w:t>
      </w:r>
      <w:r>
        <w:t>(par défaut)</w:t>
      </w:r>
      <w:r>
        <w:rPr>
          <w:rStyle w:val="optioncarChar"/>
        </w:rPr>
        <w:t xml:space="preserve"> / en acier inoxydable à haute résistance / ***</w:t>
      </w:r>
      <w:r>
        <w:t>.</w:t>
      </w:r>
    </w:p>
    <w:p w14:paraId="74A9E8AC" w14:textId="77777777" w:rsidR="00DF410E" w:rsidRDefault="00CE7F43">
      <w:r>
        <w:rPr>
          <w:b/>
        </w:rPr>
        <w:t>B. Assemblages par soudure</w:t>
      </w:r>
    </w:p>
    <w:p w14:paraId="354FF763" w14:textId="77777777" w:rsidR="00DF410E" w:rsidRDefault="00CE7F43">
      <w:r>
        <w:t>Les assemblages par soudure se font, exclusivement à l’atelier, par un soudeur qualifié et dans les conditions prescrites par la norme [NBN EN 1090 série].</w:t>
      </w:r>
    </w:p>
    <w:p w14:paraId="57D24FD4" w14:textId="77777777" w:rsidR="00DF410E" w:rsidRDefault="00CE7F43">
      <w:r>
        <w:t>S’il est indispensable de souder sur chantier, ces opérations doivent être exécutées dans les conditions de protection prescrites par la norme, et après approbation du MO.</w:t>
      </w:r>
    </w:p>
    <w:p w14:paraId="3A4D6111" w14:textId="77777777" w:rsidR="00DF410E" w:rsidRDefault="00CE7F43">
      <w:r>
        <w:t>L'entrepreneur soumet son descriptif de mode opératoire de soudage à l'approbation du MO. Toutes les bavures de soudage, les éraflures et saillies sont soigneusement enlevées par brossage, aiguisage ou sablage et sont soigneusement poncées.</w:t>
      </w:r>
    </w:p>
    <w:p w14:paraId="459195FA" w14:textId="77777777" w:rsidR="00DF410E" w:rsidRDefault="00DF410E"/>
    <w:p w14:paraId="7D3378A0" w14:textId="77777777" w:rsidR="00DF410E" w:rsidRDefault="00CE7F43">
      <w:r>
        <w:t>TRAITEMENTS ET FINITIONS</w:t>
      </w:r>
    </w:p>
    <w:p w14:paraId="3AA7860A" w14:textId="77777777" w:rsidR="00DF410E" w:rsidRDefault="00CE7F43">
      <w:r>
        <w:rPr>
          <w:rStyle w:val="normalChar"/>
          <w:b/>
        </w:rPr>
        <w:t>A. Traitement contre la rouille</w:t>
      </w:r>
    </w:p>
    <w:p w14:paraId="47CE0779" w14:textId="77777777" w:rsidR="00DF410E" w:rsidRDefault="00CE7F43">
      <w:r>
        <w:t xml:space="preserve">Les éléments métalliques sont traités contre la rouille par : </w:t>
      </w:r>
      <w:r>
        <w:rPr>
          <w:rStyle w:val="optioncarChar"/>
        </w:rPr>
        <w:t xml:space="preserve">primaire antirouille </w:t>
      </w:r>
      <w:r>
        <w:t xml:space="preserve">(par défaut) / </w:t>
      </w:r>
      <w:r>
        <w:rPr>
          <w:rStyle w:val="optioncarChar"/>
        </w:rPr>
        <w:t>galvanisation à chaud / métallisation / pas de traitement (aspect brut) / ***</w:t>
      </w:r>
      <w:r>
        <w:t>.</w:t>
      </w:r>
    </w:p>
    <w:p w14:paraId="46017EA1" w14:textId="77777777" w:rsidR="00DF410E" w:rsidRDefault="00CE7F43">
      <w:r>
        <w:t xml:space="preserve">La description de ces différents traitements est reprise en </w:t>
      </w:r>
      <w:hyperlink w:anchor="174" w:history="1">
        <w:r>
          <w:t>23.7 Traitement, protection et finition des aciers</w:t>
        </w:r>
      </w:hyperlink>
      <w:r>
        <w:t>. </w:t>
      </w:r>
    </w:p>
    <w:p w14:paraId="4263BFE1" w14:textId="77777777" w:rsidR="00DF410E" w:rsidRDefault="00CE7F43">
      <w:r>
        <w:t>Ce traitement de finition contre la rouille est compris par défaut dans le travail, sauf contre-indication dans le cahier spécial des charges aux articles concernés.</w:t>
      </w:r>
    </w:p>
    <w:p w14:paraId="07C4E8F8" w14:textId="77777777" w:rsidR="00DF410E" w:rsidRDefault="00CE7F43">
      <w:r>
        <w:rPr>
          <w:b/>
        </w:rPr>
        <w:t>B. Finitions</w:t>
      </w:r>
    </w:p>
    <w:p w14:paraId="282A177C" w14:textId="77777777" w:rsidR="00DF410E" w:rsidRDefault="00CE7F43">
      <w:r>
        <w:t xml:space="preserve">Finition de l’acier : </w:t>
      </w:r>
      <w:r>
        <w:rPr>
          <w:rStyle w:val="optioncarChar"/>
        </w:rPr>
        <w:t xml:space="preserve">pas de finition </w:t>
      </w:r>
      <w:r>
        <w:t xml:space="preserve">(par défaut) </w:t>
      </w:r>
      <w:r>
        <w:rPr>
          <w:rStyle w:val="optioncarChar"/>
        </w:rPr>
        <w:t>/ peint / brut (verni) / Brut (verni à base de résine glycérophtalique) / ***</w:t>
      </w:r>
      <w:r>
        <w:t>.</w:t>
      </w:r>
    </w:p>
    <w:p w14:paraId="71D3BC05" w14:textId="77777777" w:rsidR="00DF410E" w:rsidRDefault="00CE7F43">
      <w:r>
        <w:t xml:space="preserve">La description de ces différents traitements est reprise en </w:t>
      </w:r>
      <w:hyperlink w:anchor="174" w:history="1">
        <w:r>
          <w:t>23.7 Traitement, protection et finition des aciers</w:t>
        </w:r>
      </w:hyperlink>
      <w:r>
        <w:t xml:space="preserve"> .</w:t>
      </w:r>
    </w:p>
    <w:p w14:paraId="62E1130F" w14:textId="77777777" w:rsidR="00DF410E" w:rsidRDefault="00CE7F43">
      <w:r>
        <w:t>Ce traitement de finition est compris par défaut dans le poste, sauf contre-indication dans le cahier spécial des charges aux articles concernés ci-dessus.</w:t>
      </w:r>
    </w:p>
    <w:p w14:paraId="6FA52167" w14:textId="77777777" w:rsidR="00DF410E" w:rsidRDefault="00CE7F43">
      <w:r>
        <w:rPr>
          <w:b/>
        </w:rPr>
        <w:t>C. Résistance au feu</w:t>
      </w:r>
    </w:p>
    <w:p w14:paraId="2CFF6F65" w14:textId="77777777" w:rsidR="00DF410E" w:rsidRDefault="00CE7F43">
      <w:r>
        <w:rPr>
          <w:rStyle w:val="normalChar"/>
        </w:rPr>
        <w:t xml:space="preserve">Les éléments porteurs structurels ont une résistance au feu </w:t>
      </w:r>
      <w:r>
        <w:rPr>
          <w:rStyle w:val="optioncarChar"/>
        </w:rPr>
        <w:t>R15 / R30 / R60</w:t>
      </w:r>
      <w:r>
        <w:rPr>
          <w:rStyle w:val="normalChar"/>
        </w:rPr>
        <w:t xml:space="preserve">(par défaut) </w:t>
      </w:r>
      <w:r>
        <w:rPr>
          <w:rStyle w:val="optioncarChar"/>
        </w:rPr>
        <w:t>/ R120 / R***</w:t>
      </w:r>
      <w:r>
        <w:rPr>
          <w:rStyle w:val="normalChar"/>
        </w:rPr>
        <w:t>selon la norme </w:t>
      </w:r>
      <w:r>
        <w:t>[NBN EN 13501-2](et les normes d’essais qui y sont référencées). La résistance au feu peut également se déterminer par calcul conformément à la [NBN EN 1993-1-2]. Les poutres, les éléments de charpentes, les colonnes,... en acier n’ont pas de fonction séparante EI.</w:t>
      </w:r>
    </w:p>
    <w:p w14:paraId="5E613CA6" w14:textId="77777777" w:rsidR="00DF410E" w:rsidRDefault="00CE7F43">
      <w:r>
        <w:t xml:space="preserve">Cette résistance au feu est atteinte </w:t>
      </w:r>
      <w:r>
        <w:rPr>
          <w:color w:val="3366FF"/>
        </w:rPr>
        <w:t>:</w:t>
      </w:r>
      <w:r>
        <w:rPr>
          <w:rStyle w:val="optioncarChar"/>
        </w:rPr>
        <w:t xml:space="preserve">sans traitement particulier </w:t>
      </w:r>
      <w:r>
        <w:t xml:space="preserve">(par défaut) </w:t>
      </w:r>
      <w:r>
        <w:rPr>
          <w:rStyle w:val="optioncarChar"/>
        </w:rPr>
        <w:t>/ à l’aide d’une peinture intumescente / par emballage / par flocage fibreux / par flocage pâteux / ***</w:t>
      </w:r>
      <w:r>
        <w:t>.</w:t>
      </w:r>
    </w:p>
    <w:p w14:paraId="536086AB" w14:textId="77777777" w:rsidR="00DF410E" w:rsidRDefault="00CE7F43">
      <w:r>
        <w:t>La description de ces différents traitements pour la résistance au feu est reprise en </w:t>
      </w:r>
      <w:hyperlink w:anchor="174" w:history="1">
        <w:r>
          <w:t>23.7 Traitement, protection et finition des aciers</w:t>
        </w:r>
      </w:hyperlink>
      <w:r>
        <w:t xml:space="preserve"> .</w:t>
      </w:r>
    </w:p>
    <w:p w14:paraId="391B2A35" w14:textId="77777777" w:rsidR="00DF410E" w:rsidRDefault="00CE7F43">
      <w:r>
        <w:rPr>
          <w:rStyle w:val="normalChar"/>
        </w:rPr>
        <w:t>Le traitement au feu n’est pas compris par défaut dans le poste, sauf contre-indication dans le cahier spécial des charges.</w:t>
      </w:r>
    </w:p>
    <w:p w14:paraId="622F1628" w14:textId="77777777" w:rsidR="00DF410E" w:rsidRDefault="00DF410E"/>
    <w:p w14:paraId="4371F3BE" w14:textId="77777777" w:rsidR="00DF410E" w:rsidRDefault="00CE7F43">
      <w:r>
        <w:t>SÉCURITÉ</w:t>
      </w:r>
    </w:p>
    <w:p w14:paraId="05A0997E" w14:textId="77777777" w:rsidR="00DF410E" w:rsidRDefault="00CE7F43">
      <w:r>
        <w:t>Outre les mesures de protection établies par le coordinateur-projet, il convient en outre de se référer aux normes suivantes concernant la sécurité des ouvriers :  </w:t>
      </w:r>
    </w:p>
    <w:p w14:paraId="7D2D259A" w14:textId="77777777" w:rsidR="00DF410E" w:rsidRDefault="00DF410E"/>
    <w:p w14:paraId="480872F1" w14:textId="77777777" w:rsidR="00DF410E" w:rsidRDefault="00CE7F43">
      <w:r>
        <w:t>[NBN EN ISO 10882-1, Hygiène et sécurité en soudage et techniques connexes - Échantillonnage des particules en suspension et des gaz dans la zone respiratoire des opérateurs - Partie 1: Échantillonnage des particules en suspension (ISO 10882-1:2011)]</w:t>
      </w:r>
    </w:p>
    <w:p w14:paraId="072E53E8" w14:textId="77777777" w:rsidR="00DF410E" w:rsidRDefault="00CE7F43">
      <w:r>
        <w:t>[NBN EN ISO 10882-2, Hygiène et sécurité en soudage et techniques connexes - Echantillonnage de particules en suspension et gaz dans la zone respiratoire des opérateurs - Partie 2: Echantillonnage des gaz (ISO 10882-2:2000)]</w:t>
      </w:r>
    </w:p>
    <w:p w14:paraId="1755A248" w14:textId="77777777" w:rsidR="00DF410E" w:rsidRDefault="00CE7F43">
      <w:r>
        <w:t>[NBN EN ISO 11611, Vêtements de protection utilisés pendant le soudage et les techniques connexes (ISO 11611:2015)]</w:t>
      </w:r>
    </w:p>
    <w:p w14:paraId="4B3F6412" w14:textId="77777777" w:rsidR="00DF410E" w:rsidRDefault="00CE7F43">
      <w:r>
        <w:t>[NBN EN ISO 16321-1, Protection des yeux et du visage à usage professionnel - Partie 1 : Exigences générales (ISO 16321-1:2021)]</w:t>
      </w:r>
    </w:p>
    <w:p w14:paraId="59EEDE0E" w14:textId="77777777" w:rsidR="00DF410E" w:rsidRDefault="00CE7F43">
      <w:pPr>
        <w:pStyle w:val="pheading"/>
      </w:pPr>
      <w:r>
        <w:t>CONTRÔLES</w:t>
      </w:r>
    </w:p>
    <w:p w14:paraId="3BC99EEB" w14:textId="77777777" w:rsidR="00DF410E" w:rsidRDefault="00DF410E"/>
    <w:p w14:paraId="40E2836C" w14:textId="77777777" w:rsidR="00DF410E" w:rsidRDefault="00DF410E"/>
    <w:p w14:paraId="4CD8AF35" w14:textId="77777777" w:rsidR="00DF410E" w:rsidRDefault="00CE7F43">
      <w:r>
        <w:t>L’entrepreneur fournit au Mo s’il le demande les certificats matière, DMOS, QMOS, ou tout autre document prévu par la norme.</w:t>
      </w:r>
    </w:p>
    <w:p w14:paraId="2FC67074" w14:textId="77777777" w:rsidR="00DF410E" w:rsidRDefault="00CE7F43">
      <w:r>
        <w:t>Les éléments qui présentent des défauts ou des dégradations non réparables des suites de la préfabrication, du transport et/ou de l'entreposage ne peuvent pas être mis en œuvre et sont évacués le plus rapidement possible aux frais de l'entrepreneur qui les remplace par de nouveaux éléments.</w:t>
      </w:r>
    </w:p>
    <w:p w14:paraId="6AD4D0B4" w14:textId="77777777" w:rsidR="00DF410E" w:rsidRDefault="00CE7F43">
      <w:pPr>
        <w:pStyle w:val="pheading"/>
      </w:pPr>
      <w:r>
        <w:t>DOCUMENTS DE RÉFÉRENCE</w:t>
      </w:r>
    </w:p>
    <w:p w14:paraId="01577CEF" w14:textId="77777777" w:rsidR="00DF410E" w:rsidRDefault="00CE7F43">
      <w:pPr>
        <w:pStyle w:val="pheading"/>
      </w:pPr>
      <w:r>
        <w:t>- Matériau</w:t>
      </w:r>
    </w:p>
    <w:p w14:paraId="146093E6" w14:textId="77777777" w:rsidR="00DF410E" w:rsidRDefault="00CE7F43">
      <w:pPr>
        <w:pStyle w:val="heading"/>
      </w:pPr>
      <w:r>
        <w:t>NORMES DE RÉFÉRENCE</w:t>
      </w:r>
    </w:p>
    <w:p w14:paraId="5816A570" w14:textId="77777777" w:rsidR="00DF410E" w:rsidRDefault="00CE7F43">
      <w:r>
        <w:t>[NBN EN 1990, Eurocodes structuraux - Eurocodes: Bases de calcul des structures]</w:t>
      </w:r>
    </w:p>
    <w:p w14:paraId="77D59895" w14:textId="77777777" w:rsidR="00DF410E" w:rsidRDefault="00CE7F43">
      <w:r>
        <w:t>[NBN EN 1991 série, Eurocode 1 : Actions sur les structures] </w:t>
      </w:r>
    </w:p>
    <w:p w14:paraId="584B7B06" w14:textId="77777777" w:rsidR="00DF410E" w:rsidRDefault="00CE7F43">
      <w:r>
        <w:t>[NBN EN 1993 série, Eurocode 3 – Calcul des structures en acier]</w:t>
      </w:r>
    </w:p>
    <w:p w14:paraId="62BB686C" w14:textId="77777777" w:rsidR="00DF410E" w:rsidRDefault="00CE7F43">
      <w:r>
        <w:t>[NBN EN 1999 série, Eurocode 9 : Calcul des structures en aluminium]</w:t>
      </w:r>
    </w:p>
    <w:p w14:paraId="4AA1EFDE" w14:textId="77777777" w:rsidR="00DF410E" w:rsidRDefault="00CE7F43">
      <w:r>
        <w:t>[NBN EN 10020, Définition et classification des nuances d'acier]</w:t>
      </w:r>
    </w:p>
    <w:p w14:paraId="417C026C" w14:textId="77777777" w:rsidR="00DF410E" w:rsidRDefault="00CE7F43">
      <w:r>
        <w:t>[NBN EN 10021, Conditions générales techniques de livraison des produits en acier]</w:t>
      </w:r>
    </w:p>
    <w:p w14:paraId="4D75BCDB" w14:textId="77777777" w:rsidR="00DF410E" w:rsidRDefault="00CE7F43">
      <w:r>
        <w:t>[NBN EN 10024, Poutrelles en I à ailes inclinées laminées à chaud - Tolérances de forme et de dimensions]</w:t>
      </w:r>
    </w:p>
    <w:p w14:paraId="38DAEC4F" w14:textId="77777777" w:rsidR="00DF410E" w:rsidRDefault="00CE7F43">
      <w:r>
        <w:t>[NBN EN 10025 série, Produits laminés à chaud en aciers de construction]</w:t>
      </w:r>
    </w:p>
    <w:p w14:paraId="41A868DE" w14:textId="77777777" w:rsidR="00DF410E" w:rsidRDefault="00CE7F43">
      <w:r>
        <w:t>[NBN EN 10029, Tôles en acier laminées à chaud, d'épaisseur égale ou supérieure à 3 mm - Tolérances sur les dimensions et la forme]</w:t>
      </w:r>
    </w:p>
    <w:p w14:paraId="74CBE224" w14:textId="77777777" w:rsidR="00DF410E" w:rsidRDefault="00CE7F43">
      <w:r>
        <w:t>[NBN EN 10027 série, Systèmes de désignation des aciers]</w:t>
      </w:r>
    </w:p>
    <w:p w14:paraId="4CAF6295" w14:textId="77777777" w:rsidR="00DF410E" w:rsidRDefault="00CE7F43">
      <w:r>
        <w:t>[NBN EN 10034, Poutrelles I et H en acier de construction - Tolérances de formes et de dimensions]</w:t>
      </w:r>
    </w:p>
    <w:p w14:paraId="7F65D05B" w14:textId="77777777" w:rsidR="00DF410E" w:rsidRDefault="00CE7F43">
      <w:r>
        <w:t>[NBN EN 10048, Feuillards laminés à chaud - Tolérances de dimensions et de forme]</w:t>
      </w:r>
    </w:p>
    <w:p w14:paraId="7FF73847" w14:textId="77777777" w:rsidR="00DF410E" w:rsidRDefault="00CE7F43">
      <w:r>
        <w:t>[NBN EN ISO 10052, Acoustique - Mesurages in situ de l'isolement aux bruits aériens et de la transmission des bruits de choc ainsi que du bruit des équipements - Méthode de contrôle (ISO 10052:2021)]</w:t>
      </w:r>
    </w:p>
    <w:p w14:paraId="4A36FA7F" w14:textId="77777777" w:rsidR="00DF410E" w:rsidRDefault="00CE7F43">
      <w:r>
        <w:t>[NBN EN 10055, Fers T en acier à ailes égales et à coins arrondis en acier laminés à chaud - Dimensions et tolérances sur la forme et les dimensions] </w:t>
      </w:r>
    </w:p>
    <w:p w14:paraId="3A34B9F8" w14:textId="77777777" w:rsidR="00DF410E" w:rsidRDefault="00CE7F43">
      <w:r>
        <w:t>[NBN EN 10056 série, Cornières à ailes égales et inégales en acier de construction]</w:t>
      </w:r>
    </w:p>
    <w:p w14:paraId="13CF4526" w14:textId="77777777" w:rsidR="00DF410E" w:rsidRDefault="00CE7F43">
      <w:r>
        <w:t>[NBN EN 10067, Plats à boudin laminés à chaud - Dimensions et tolérances sur la forme, les dimensions et la masse] </w:t>
      </w:r>
    </w:p>
    <w:p w14:paraId="119C856B" w14:textId="77777777" w:rsidR="00DF410E" w:rsidRDefault="00CE7F43">
      <w:r>
        <w:t>[NBN EN 10079, Définition des produits en acier] </w:t>
      </w:r>
    </w:p>
    <w:p w14:paraId="3CB71FB4" w14:textId="77777777" w:rsidR="00DF410E" w:rsidRDefault="00CE7F43">
      <w:r>
        <w:t>[NBN EN 10088 série, Aciers inoxydables] </w:t>
      </w:r>
    </w:p>
    <w:p w14:paraId="58482151" w14:textId="77777777" w:rsidR="00DF410E" w:rsidRDefault="00CE7F43">
      <w:r>
        <w:t>[NBN EN 10346, Produits plats en acier revêtus en continu par immersion à chaud pour formage à froid - Conditions techniques de livraison]</w:t>
      </w:r>
    </w:p>
    <w:p w14:paraId="623313F7" w14:textId="77777777" w:rsidR="00DF410E" w:rsidRDefault="00CE7F43">
      <w:r>
        <w:t>[NBN EN 10143, Tôles et bandes en acier revêtues en continu par immersion à chaud - Tolérances sur les dimensions et sur la forme]</w:t>
      </w:r>
    </w:p>
    <w:p w14:paraId="5C91C804" w14:textId="77777777" w:rsidR="00DF410E" w:rsidRDefault="00CE7F43">
      <w:r>
        <w:t>[NBN EN 10169, Produits plats en acier revêtus en continu de matières organiques (prélaqués) - Conditions techniques de livraison]</w:t>
      </w:r>
    </w:p>
    <w:p w14:paraId="5FB320C3" w14:textId="77777777" w:rsidR="00DF410E" w:rsidRDefault="00CE7F43">
      <w:r>
        <w:t>[NBN EN 10204, Produits métalliques - Types de documents de contrôle]</w:t>
      </w:r>
    </w:p>
    <w:p w14:paraId="75FCB479" w14:textId="77777777" w:rsidR="00DF410E" w:rsidRDefault="00CE7F43">
      <w:r>
        <w:t>[NBN EN 10210 série, Profils creux pour la construction finis à chaud en aciers de construction non alliés et à grains fins]</w:t>
      </w:r>
    </w:p>
    <w:p w14:paraId="7AA48BC7" w14:textId="77777777" w:rsidR="00DF410E" w:rsidRDefault="00CE7F43">
      <w:r>
        <w:t>[NBN EN 10218 série, Fils et produits tréfilés en acier - Généralités]</w:t>
      </w:r>
    </w:p>
    <w:p w14:paraId="15933B05" w14:textId="77777777" w:rsidR="00DF410E" w:rsidRDefault="00CE7F43">
      <w:r>
        <w:t>[NBN EN 10219 série, Profils creux pour la construction formés à froid en aciers de construction non alliés et à grains fins]</w:t>
      </w:r>
    </w:p>
    <w:p w14:paraId="4C4BEDAE" w14:textId="77777777" w:rsidR="00DF410E" w:rsidRDefault="00CE7F43">
      <w:r>
        <w:t>[NBN EN ISO 9443, Classes de qualité de surface des barres et fils-machine laminés à chaud (ISO 9443:2018)]</w:t>
      </w:r>
    </w:p>
    <w:p w14:paraId="17EA1543" w14:textId="77777777" w:rsidR="00DF410E" w:rsidRDefault="00CE7F43">
      <w:r>
        <w:t>[NBN EN 10228 série, Essais non destructifs des pièces forgées en acier]</w:t>
      </w:r>
    </w:p>
    <w:p w14:paraId="0A3E7825" w14:textId="77777777" w:rsidR="00DF410E" w:rsidRDefault="00CE7F43">
      <w:r>
        <w:t>[NBN EN 10229, Evaluation de la résistance des produits en acier à la fissuration induite par l'hydrogène (HIC)]</w:t>
      </w:r>
    </w:p>
    <w:p w14:paraId="1993DDE3" w14:textId="77777777" w:rsidR="00DF410E" w:rsidRDefault="00CE7F43">
      <w:r>
        <w:t>[NBN EN 10238, Éléments métalliques préfabriqués automatiquement et décapés automatiquement par projection d'abrasif]</w:t>
      </w:r>
    </w:p>
    <w:p w14:paraId="58B41B04" w14:textId="77777777" w:rsidR="00DF410E" w:rsidRDefault="00CE7F43">
      <w:r>
        <w:t>[NBN EN 10243 série, Pièces forgées par estampage en acier - Tolérances dimensionnelles]</w:t>
      </w:r>
    </w:p>
    <w:p w14:paraId="107D4238" w14:textId="77777777" w:rsidR="00DF410E" w:rsidRDefault="00CE7F43">
      <w:r>
        <w:t>[NBN EN 10250 série, Pièces forgées en acier pour usage général]</w:t>
      </w:r>
    </w:p>
    <w:p w14:paraId="3062290C" w14:textId="77777777" w:rsidR="00DF410E" w:rsidRDefault="00CE7F43">
      <w:r>
        <w:t>[NBN EN ISO 9445 série, Acier inoxydable laminé à froid en continu - Tolérances sur les dimensions et la forme]</w:t>
      </w:r>
    </w:p>
    <w:p w14:paraId="40CD8EDF" w14:textId="77777777" w:rsidR="00DF410E" w:rsidRDefault="00CE7F43">
      <w:r>
        <w:t>[NBN EN 10271, Produits plats en acier, revêtus de zinc-nickel (ZN) par voie électrolytique - Conditions techniques de livraison] </w:t>
      </w:r>
    </w:p>
    <w:p w14:paraId="28EECEDD" w14:textId="77777777" w:rsidR="00DF410E" w:rsidRDefault="00CE7F43">
      <w:r>
        <w:t>[NBN EN 10277, Produits en acier transformés à froid - Conditions techniques de livraison] </w:t>
      </w:r>
    </w:p>
    <w:p w14:paraId="6C82C38F" w14:textId="77777777" w:rsidR="00DF410E" w:rsidRDefault="00CE7F43">
      <w:r>
        <w:t>[NBN EN 10278:2023, Dimensions et tolérances des produits en acier transformés à froid à partir d’acier inoxydable et autres aciers spéciaux]</w:t>
      </w:r>
    </w:p>
    <w:p w14:paraId="6F952587" w14:textId="77777777" w:rsidR="00DF410E" w:rsidRDefault="00CE7F43">
      <w:r>
        <w:t>[NBN EN ISO 377, Acier et produits en acier - Position et préparation des échantillons et éprouvettes pour essais mécaniques (ISO 377:2017)]</w:t>
      </w:r>
    </w:p>
    <w:p w14:paraId="47CDB17D" w14:textId="77777777" w:rsidR="00DF410E" w:rsidRDefault="00CE7F43">
      <w:r>
        <w:t>[NBN EN ISO 7799, Matériaux métalliques - Tôles et feuillards d'épaisseur inférieure ou égale à 3 mm - Essai de pliage alterné (ISO 7799:1985)]</w:t>
      </w:r>
    </w:p>
    <w:p w14:paraId="391EF595" w14:textId="77777777" w:rsidR="00DF410E" w:rsidRDefault="00CE7F43">
      <w:r>
        <w:t>[NBN EN 10253 série, Raccords à souder bout à bout]</w:t>
      </w:r>
    </w:p>
    <w:p w14:paraId="73C0218E" w14:textId="77777777" w:rsidR="00DF410E" w:rsidRDefault="00CE7F43">
      <w:r>
        <w:t>[NBN EN ISO 544, Produits consommables pour le soudage - Conditions techniques de livraison des produits d'apport et des flux - Type de produits, dimensions, tolérances et marquage (ISO 544:2017)]</w:t>
      </w:r>
    </w:p>
    <w:p w14:paraId="2CD428EB" w14:textId="77777777" w:rsidR="00DF410E" w:rsidRDefault="00CE7F43">
      <w:r>
        <w:t>[NBN EN ISO 3580, Produits consommables pour le soudage - Électrodes enrobées pour le soudage manuel à l'arc des aciers résistant au fluage - Classification (ISO 3580:2017)]</w:t>
      </w:r>
    </w:p>
    <w:p w14:paraId="62327B3D" w14:textId="77777777" w:rsidR="00DF410E" w:rsidRDefault="00CE7F43">
      <w:r>
        <w:t>[NBN EN ISO 3581, Produits consommables pour le soudage - Électrodes enrobées pour le soudage manuel à l'arc des aciers inoxydables et résistant aux températures élevées - Classification (ISO 3581:2023)]</w:t>
      </w:r>
    </w:p>
    <w:p w14:paraId="45AEB205" w14:textId="77777777" w:rsidR="00DF410E" w:rsidRDefault="00CE7F43">
      <w:r>
        <w:t>[NBN EN ISO 21952, Produits consommables pour le soudage - Fils-électrodes, fils, baguettes et dépôts pour le soudage à l'arc sous gaz de protection des aciers résistant au fluage - Classification (ISO 21952:2012)]</w:t>
      </w:r>
    </w:p>
    <w:p w14:paraId="59F04201" w14:textId="77777777" w:rsidR="00DF410E" w:rsidRDefault="00CE7F43">
      <w:r>
        <w:t>[NBN EN ISO 17633, Produits consommables pour le soudage - Fils et baguettes fourrés pour le soudage à l'arc avec ou sans protection gazeuse des aciers inoxydables et des aciers résistant aux températures élevées - Classification (ISO 17633:2017)] </w:t>
      </w:r>
    </w:p>
    <w:p w14:paraId="7121188C" w14:textId="77777777" w:rsidR="00DF410E" w:rsidRDefault="00CE7F43">
      <w:r>
        <w:t>[NBN EN ISO 17634, Produits consommables pour le soudage - Fils-électrodes fourrés pour le soudage à l'arc avec gaz de protection des aciers résistant au fluage - Classification (ISO 17634:2015)]</w:t>
      </w:r>
    </w:p>
    <w:p w14:paraId="1DB79A30" w14:textId="77777777" w:rsidR="00DF410E" w:rsidRDefault="00CE7F43">
      <w:r>
        <w:t>[NBN EN ISO 14343, Produits consommables pour le soudage - Fils-électrodes, électrodes en feuillard, fils d'apport et baguettes de soudage pour le soudage à l'arc des aciers inoxydables et des aciers résistant aux températures élevées - Classification (ISO 14343:2017)]</w:t>
      </w:r>
    </w:p>
    <w:p w14:paraId="27A2E97F" w14:textId="77777777" w:rsidR="00DF410E" w:rsidRDefault="00CE7F43">
      <w:r>
        <w:t>[NBN EN ISO 16834, Produits consommables pour le soudage - Fils-électrodes, fils, baguettes et dépôts pour le soudage à l'arc sous flux gazeux des aciers à haute résistance - Classification (ISO 16834:2012)]</w:t>
      </w:r>
    </w:p>
    <w:p w14:paraId="2FE4809C" w14:textId="77777777" w:rsidR="00DF410E" w:rsidRDefault="00CE7F43">
      <w:r>
        <w:t>[NBN EN ISO 18276, Produits consommables pour le soudage - Fils-électrodes fourrés pour le soudage à l'arc avec ou sans gaz de protection des aciers à haute résistance - Classification (ISO 18276:2017)]</w:t>
      </w:r>
    </w:p>
    <w:p w14:paraId="6C26A17C" w14:textId="77777777" w:rsidR="00DF410E" w:rsidRDefault="00CE7F43">
      <w:r>
        <w:t>[NBN EN ISO 20378, Produits consommables pour le soudage - Baguettes pour le soudage aux gaz des aciers non alliés et des aciers résistant au fluage - Classification (ISO 20378:2017)] </w:t>
      </w:r>
    </w:p>
    <w:p w14:paraId="210DF075" w14:textId="77777777" w:rsidR="00DF410E" w:rsidRDefault="00CE7F43">
      <w:r>
        <w:t>[NBN EN 10278:2023, Dimensions et tolérances des produits en acier transformés à froid à partir d’acier inoxydable et autres aciers spéciaux]</w:t>
      </w:r>
    </w:p>
    <w:p w14:paraId="2ECE8D40" w14:textId="77777777" w:rsidR="00DF410E" w:rsidRDefault="00CE7F43">
      <w:pPr>
        <w:pStyle w:val="pheading"/>
      </w:pPr>
      <w:r>
        <w:t>- Exécution</w:t>
      </w:r>
    </w:p>
    <w:p w14:paraId="450D946F" w14:textId="77777777" w:rsidR="00DF410E" w:rsidRDefault="00DF410E"/>
    <w:p w14:paraId="35044B67" w14:textId="77777777" w:rsidR="00DF410E" w:rsidRDefault="00DF410E"/>
    <w:p w14:paraId="00CD8989" w14:textId="77777777" w:rsidR="00DF410E" w:rsidRDefault="00CE7F43">
      <w:pPr>
        <w:pStyle w:val="heading"/>
      </w:pPr>
      <w:r>
        <w:t>NORMES DE RÉFÉRENCE</w:t>
      </w:r>
    </w:p>
    <w:p w14:paraId="6821FB73" w14:textId="77777777" w:rsidR="00DF410E" w:rsidRDefault="00CE7F43">
      <w:r>
        <w:t>[NBN EN 1993 série, Eurocode 3 – Calcul des structures en acier]</w:t>
      </w:r>
    </w:p>
    <w:p w14:paraId="7AB84AD5" w14:textId="77777777" w:rsidR="00DF410E" w:rsidRDefault="00CE7F43">
      <w:r>
        <w:t>[NBN EN 1994 série, Eurocode 4 - Conception et dimensionnement des structures mixtes acier-béton]</w:t>
      </w:r>
    </w:p>
    <w:p w14:paraId="0B1BD3CE" w14:textId="77777777" w:rsidR="00DF410E" w:rsidRDefault="00CE7F43">
      <w:r>
        <w:t>[NBN EN 1090 série, Exécution des structures en acier et des structures en aluminium]</w:t>
      </w:r>
    </w:p>
    <w:p w14:paraId="45993437" w14:textId="77777777" w:rsidR="00DF410E" w:rsidRDefault="00CE7F43">
      <w:r>
        <w:t>[NBN EN ISO 9015 série, Essais destructifs des soudures sur matériaux métalliques - Essais de dureté]</w:t>
      </w:r>
    </w:p>
    <w:p w14:paraId="21750C88" w14:textId="77777777" w:rsidR="00DF410E" w:rsidRDefault="00CE7F43">
      <w:r>
        <w:t>[NBN EN 1792, Soudage - Liste multilingue de termes concernant le soudage et les techniques connexes]</w:t>
      </w:r>
    </w:p>
    <w:p w14:paraId="226E7C20" w14:textId="77777777" w:rsidR="00DF410E" w:rsidRDefault="00CE7F43">
      <w:r>
        <w:t>[NBN EN ISO 8249, Soudage - Détermination de l'indice de ferrite (FN) dans le métal fondu en acier inoxydable austénitique et duplex ferritique-austénitique au chrome-nickel (ISO 8249:2018)]</w:t>
      </w:r>
    </w:p>
    <w:p w14:paraId="039C8C61" w14:textId="77777777" w:rsidR="00DF410E" w:rsidRDefault="00CE7F43">
      <w:r>
        <w:t>[NBN EN ISO 9692-2, Soudage et techniques connexes - Préparation de joints - Partie 2: Soudage à l'arc sous flux en poudre des aciers (ISO 9692-2:1998) (+AC:1999)]</w:t>
      </w:r>
    </w:p>
    <w:p w14:paraId="27C213EC" w14:textId="77777777" w:rsidR="00DF410E" w:rsidRDefault="00CE7F43">
      <w:r>
        <w:t>[NBN EN 1011 série, Soudage - Recommandations pour le soudage des matériaux métalliques]</w:t>
      </w:r>
    </w:p>
    <w:p w14:paraId="5B82FE6E" w14:textId="77777777" w:rsidR="00DF410E" w:rsidRDefault="00CE7F43">
      <w:r>
        <w:t>[NBN EN 1708 série, Soudage - Descriptif de base des assemblages soudés en acier]</w:t>
      </w:r>
    </w:p>
    <w:p w14:paraId="4B67968E" w14:textId="77777777" w:rsidR="00DF410E" w:rsidRDefault="00CE7F43">
      <w:r>
        <w:t>[NBN EN ISO 5817, Soudage - Assemblages en acier, nickel, titane et leurs alliages soudés par fusion (soudage par faisceau exclu) - Niveaux de qualité par rapport aux défauts (ISO 5817:2014)]</w:t>
      </w:r>
    </w:p>
    <w:p w14:paraId="6007A232" w14:textId="77777777" w:rsidR="00DF410E" w:rsidRDefault="00CE7F43">
      <w:r>
        <w:t>[NBN EN ISO 15607, Descriptif et qualification d'un mode opératoire de soudage pour les matériaux métalliques - Règles générales (ISO 15607:2019)]</w:t>
      </w:r>
    </w:p>
    <w:p w14:paraId="1FE6457D" w14:textId="77777777" w:rsidR="00DF410E" w:rsidRDefault="00CE7F43">
      <w:r>
        <w:t>[NBN EN ISO 15609 série, Descriptif et qualification d'un mode opératoire de soudage pour les matériaux métalliques - Descriptif d'un mode opératoire de soudage ]</w:t>
      </w:r>
    </w:p>
    <w:p w14:paraId="60048069" w14:textId="77777777" w:rsidR="00DF410E" w:rsidRDefault="00CE7F43">
      <w:r>
        <w:t>[NBN EN ISO 15610, Descriptif et qualification d'un mode opératoire de soudage pour les matériaux métalliques - Qualification basée sur des produits consommables soumis à essais (ISO 15610:2023)]</w:t>
      </w:r>
    </w:p>
    <w:p w14:paraId="27BF183C" w14:textId="77777777" w:rsidR="00DF410E" w:rsidRDefault="00CE7F43">
      <w:r>
        <w:t>[NBN EN ISO 15611, Descriptif et qualification d'un mode opératoire de soudage pour les matériaux métalliques - Qualification sur la base de l'expérience en soudage (ISO 15611:2003)]</w:t>
      </w:r>
    </w:p>
    <w:p w14:paraId="69117256" w14:textId="77777777" w:rsidR="00DF410E" w:rsidRDefault="00CE7F43">
      <w:r>
        <w:t>[NBN EN ISO 15612, Descriptif et qualification d'un mode opératoire de soudage pour les matériaux métalliques - Qualification par référence à un mode opératoire de soudage standard (ISO 15612:2018)]</w:t>
      </w:r>
    </w:p>
    <w:p w14:paraId="5D5C4474" w14:textId="77777777" w:rsidR="00DF410E" w:rsidRDefault="00CE7F43">
      <w:r>
        <w:t>[NBN EN ISO 15614 série, Descriptif et qualification d'un mode opératoire de soudage pour les matériaux métalliques - Epreuve de qualification d'un mode opératoire de soudage]</w:t>
      </w:r>
    </w:p>
    <w:p w14:paraId="37BAEF9B" w14:textId="77777777" w:rsidR="00DF410E" w:rsidRDefault="00CE7F43">
      <w:r>
        <w:t>[NIT 238, L'application de systèmes de peinture intumescente sur structures en acier.]</w:t>
      </w:r>
    </w:p>
    <w:p w14:paraId="1986E281" w14:textId="77777777" w:rsidR="00DF410E" w:rsidRDefault="00CE7F43">
      <w:r>
        <w:t>[NBN EN 13501 série, Classement au feu des produits et éléments de construction]</w:t>
      </w:r>
    </w:p>
    <w:p w14:paraId="66AC367E" w14:textId="77777777" w:rsidR="00DF410E" w:rsidRDefault="00CE7F43">
      <w:r>
        <w:t>[NBN B 03-003, Déformation des structures - Valeurs limites de déformation - Bâtiments]</w:t>
      </w:r>
    </w:p>
    <w:p w14:paraId="77B3727C" w14:textId="77777777" w:rsidR="00DF410E" w:rsidRDefault="00CE7F43">
      <w:r>
        <w:t> </w:t>
      </w:r>
    </w:p>
    <w:p w14:paraId="3A3C02C6" w14:textId="77777777" w:rsidR="00DF410E" w:rsidRDefault="00CE7F43">
      <w:r>
        <w:t>[AM 2013-05-17, Arrêté ministériel relatif à l’utilisation des Eurocodes comme méthodes de calcul pour l’évaluation de la résistance au feu d’éléments de construction]</w:t>
      </w:r>
    </w:p>
    <w:p w14:paraId="2B4325FF" w14:textId="77777777" w:rsidR="00DF410E" w:rsidRDefault="00CE7F43">
      <w:pPr>
        <w:pStyle w:val="pheading"/>
      </w:pPr>
      <w:r>
        <w:t>AIDE</w:t>
      </w:r>
    </w:p>
    <w:p w14:paraId="4A1566BA" w14:textId="77777777" w:rsidR="00DF410E" w:rsidRDefault="00CE7F43">
      <w:r>
        <w:t>Note à l'attention de l'auteur de projet concernant les aciers (y compris l'acier inoxydable) : Les profilés sont habituellement laminés à chaud.  Les éléments de faible épaisseur ou les profils compliqués sont habituellement formés à froid.</w:t>
      </w:r>
    </w:p>
    <w:p w14:paraId="3212C52A" w14:textId="77777777" w:rsidR="00DF410E" w:rsidRDefault="00DF410E"/>
    <w:p w14:paraId="15229CB3" w14:textId="77777777" w:rsidR="00DF410E" w:rsidRDefault="00DF410E"/>
    <w:p w14:paraId="6BE23A98" w14:textId="77777777" w:rsidR="00DF410E" w:rsidRDefault="00CE7F43">
      <w:r>
        <w:rPr>
          <w:b/>
        </w:rPr>
        <w:t>Choix pour la résistance au feu</w:t>
      </w:r>
    </w:p>
    <w:p w14:paraId="60EEC291" w14:textId="77777777" w:rsidR="00DF410E" w:rsidRDefault="00CE7F43">
      <w:r>
        <w:t>Le fait de proposer une liste de choix courts ou de choix longs n’impose nullement au rédacteur du CSC de ne se limiter qu’à un seul choix.  Il peut tout à fait retenir plusieurs choix dans son CSC.</w:t>
      </w:r>
    </w:p>
    <w:p w14:paraId="42AB1D80" w14:textId="77777777" w:rsidR="00DF410E" w:rsidRDefault="00CE7F43">
      <w:pPr>
        <w:pStyle w:val="Author-eListParagraph"/>
        <w:numPr>
          <w:ilvl w:val="0"/>
          <w:numId w:val="684"/>
        </w:numPr>
      </w:pPr>
      <w:r>
        <w:rPr>
          <w:rFonts w:ascii="Times New Roman"/>
          <w:sz w:val="14"/>
        </w:rPr>
        <w:t> </w:t>
      </w:r>
      <w:r>
        <w:t>Soit pour laisser le choix à l’entrepreneur exécutant de choisir parmi les techniques autorisées par l’auteur de projet dans son CSC (ex : pour des poutres dans des espaces techniques : « Cette résistance au feu est atteinte : à l’aide d’une peinture intumescente / par flocage fibreux »)</w:t>
      </w:r>
    </w:p>
    <w:p w14:paraId="399795C3" w14:textId="77777777" w:rsidR="00DF410E" w:rsidRDefault="00CE7F43">
      <w:pPr>
        <w:pStyle w:val="Author-eListParagraph"/>
        <w:numPr>
          <w:ilvl w:val="0"/>
          <w:numId w:val="684"/>
        </w:numPr>
      </w:pPr>
      <w:r>
        <w:rPr>
          <w:rFonts w:ascii="Times New Roman"/>
          <w:sz w:val="14"/>
        </w:rPr>
        <w:t> </w:t>
      </w:r>
      <w:r>
        <w:t>Soit pour indiquer les différentes techniques à utiliser, en distinguant pour chacune son domaine d’application (ex : « Cette résistance au feu est atteinte : sans traitement particulier (pour les poutres HEM) / par flocage fibreux (pour les autres poutres dans les caves, parkings, locaux techniques et espaces non apparents comme dans les faux-plafonds) / par emballage (pour le solde des poutres).</w:t>
      </w:r>
    </w:p>
    <w:p w14:paraId="075920A7" w14:textId="77777777" w:rsidR="00DF410E" w:rsidRDefault="00CE7F43">
      <w:pPr>
        <w:pStyle w:val="Author-eSectionHeading3"/>
      </w:pPr>
      <w:bookmarkStart w:id="1128" w:name="_Toc178838257"/>
      <w:r>
        <w:t>23.1 Eléments de structures métalliques CCTB 01.07</w:t>
      </w:r>
      <w:bookmarkEnd w:id="1128"/>
    </w:p>
    <w:p w14:paraId="01464CBC" w14:textId="77777777" w:rsidR="00DF410E" w:rsidRDefault="00CE7F43">
      <w:pPr>
        <w:pStyle w:val="Author-eSectionHeading4"/>
      </w:pPr>
      <w:bookmarkStart w:id="1129" w:name="420"/>
      <w:bookmarkStart w:id="1130" w:name="_Toc178838258"/>
      <w:bookmarkEnd w:id="1129"/>
      <w:r>
        <w:t>23.11 Poutres métalliques CCTB 01.07</w:t>
      </w:r>
      <w:bookmarkEnd w:id="1130"/>
    </w:p>
    <w:p w14:paraId="00FA8644" w14:textId="77777777" w:rsidR="00DF410E" w:rsidRDefault="00CE7F43">
      <w:pPr>
        <w:pStyle w:val="pheading"/>
      </w:pPr>
      <w:bookmarkStart w:id="1131" w:name="587"/>
      <w:bookmarkEnd w:id="1131"/>
      <w:r>
        <w:t>DESCRIPTION</w:t>
      </w:r>
    </w:p>
    <w:p w14:paraId="25FD9A80" w14:textId="77777777" w:rsidR="00DF410E" w:rsidRDefault="00CE7F43">
      <w:pPr>
        <w:pStyle w:val="pheading"/>
      </w:pPr>
      <w:r>
        <w:t>- Définition / Comprend</w:t>
      </w:r>
    </w:p>
    <w:p w14:paraId="0D1CDD88" w14:textId="77777777" w:rsidR="00DF410E" w:rsidRDefault="00CE7F43">
      <w:r>
        <w:t>Il s'agit des poutrelles posées horizontalement et utilisées pour franchir des portées afin de supporter des cloisons, des planchers ou des éléments de toiture.</w:t>
      </w:r>
    </w:p>
    <w:p w14:paraId="276B5800" w14:textId="77777777" w:rsidR="00DF410E" w:rsidRDefault="00CE7F43">
      <w:pPr>
        <w:pStyle w:val="pheading"/>
      </w:pPr>
      <w:r>
        <w:t>MATÉRIAUX</w:t>
      </w:r>
    </w:p>
    <w:p w14:paraId="5C1BD2ED" w14:textId="77777777" w:rsidR="00DF410E" w:rsidRDefault="00CE7F43">
      <w:r>
        <w:t>Les types mentionnés dans le métré sont donnés à titre indicatif et sont uniquement appliqués avec l'approbation explicite de l'ingénieur. Il est toujours possible que des adaptations doivent être effectuées aux plans de stabilité.</w:t>
      </w:r>
    </w:p>
    <w:p w14:paraId="3277A4E7" w14:textId="77777777" w:rsidR="00DF410E" w:rsidRDefault="00CE7F43">
      <w:pPr>
        <w:pStyle w:val="pheading"/>
      </w:pPr>
      <w:r>
        <w:t>EXÉCUTION / MISE EN ŒUVRE</w:t>
      </w:r>
    </w:p>
    <w:p w14:paraId="32FE0923" w14:textId="77777777" w:rsidR="00DF410E" w:rsidRDefault="00DF410E"/>
    <w:p w14:paraId="56B147AC" w14:textId="77777777" w:rsidR="00DF410E" w:rsidRDefault="00DF410E"/>
    <w:p w14:paraId="6A178805" w14:textId="77777777" w:rsidR="00DF410E" w:rsidRDefault="00CE7F43">
      <w:pPr>
        <w:spacing w:line="256" w:lineRule="auto"/>
      </w:pPr>
      <w:r>
        <w:t>Les poutres sont exécutées dans les dimensions indiquées sur les plans d’exécution approuvés.</w:t>
      </w:r>
    </w:p>
    <w:p w14:paraId="23CA0F4B" w14:textId="77777777" w:rsidR="00DF410E" w:rsidRDefault="00CE7F43">
      <w:r>
        <w:t>L’entrepreneur est tenu de vérifier si elles peuvent effectivement être réalisées conformément aux plans soumis. Il y a lieu de tenir compte de la hauteur libre requise par rapport au niveau du sol.</w:t>
      </w:r>
    </w:p>
    <w:p w14:paraId="19B9842B" w14:textId="77777777" w:rsidR="00DF410E" w:rsidRDefault="00CE7F43">
      <w:r>
        <w:t>L’entrepreneur veille à ce que la répartition des charges à l’appui de la poutre soit uniforme et compatible avec le support. Les longueurs d’appui sont proportionnées à la portée, aux charges et au type de support suivant le calcul du bureau d’études.</w:t>
      </w:r>
    </w:p>
    <w:p w14:paraId="7D1029E1" w14:textId="77777777" w:rsidR="00DF410E" w:rsidRDefault="00CE7F43">
      <w:r>
        <w:t xml:space="preserve">Longueur d’appui minimum à chaque extrémité des poutres : </w:t>
      </w:r>
      <w:r>
        <w:rPr>
          <w:rStyle w:val="optioncarChar"/>
        </w:rPr>
        <w:t>20</w:t>
      </w:r>
      <w:r>
        <w:t xml:space="preserve"> (par défaut) </w:t>
      </w:r>
      <w:r>
        <w:rPr>
          <w:rStyle w:val="optioncarChar"/>
        </w:rPr>
        <w:t>/ *** cm</w:t>
      </w:r>
      <w:r>
        <w:t>.</w:t>
      </w:r>
    </w:p>
    <w:p w14:paraId="702388C8" w14:textId="77777777" w:rsidR="00DF410E" w:rsidRDefault="00CE7F43">
      <w:r>
        <w:rPr>
          <w:b/>
        </w:rPr>
        <w:t>Asselets</w:t>
      </w:r>
    </w:p>
    <w:p w14:paraId="1E435E2A" w14:textId="77777777" w:rsidR="00DF410E" w:rsidRDefault="00CE7F43">
      <w:r>
        <w:t xml:space="preserve">Les asselets nécessaires à la bonne répartition des charges sont décrits dans l’article </w:t>
      </w:r>
      <w:hyperlink w:anchor="165" w:history="1">
        <w:r>
          <w:t>21.85.3a Réalisations d'asselets en béton armé dans une maçonnerie existante </w:t>
        </w:r>
      </w:hyperlink>
      <w:r>
        <w:t xml:space="preserve">et le sous-titre </w:t>
      </w:r>
      <w:hyperlink w:anchor="497" w:history="1">
        <w:r>
          <w:t>22.42 pièces d’appui en béton</w:t>
        </w:r>
        <w:r>
          <w:rPr>
            <w:color w:val="000000"/>
          </w:rPr>
          <w:t xml:space="preserve"> et aux articles qui en découlent.</w:t>
        </w:r>
      </w:hyperlink>
    </w:p>
    <w:p w14:paraId="19802E54" w14:textId="77777777" w:rsidR="00DF410E" w:rsidRDefault="00CE7F43">
      <w:r>
        <w:t>Ils ne sont pas compris dans le présent article, sauf contre-indication dans le cahier spécial des charges aux articles concernés ci-dessus.</w:t>
      </w:r>
    </w:p>
    <w:p w14:paraId="657E016A" w14:textId="77777777" w:rsidR="00DF410E" w:rsidRDefault="00CE7F43">
      <w:pPr>
        <w:pStyle w:val="pheading"/>
      </w:pPr>
      <w:r>
        <w:t>AIDE</w:t>
      </w:r>
    </w:p>
    <w:p w14:paraId="2E09227D" w14:textId="77777777" w:rsidR="00DF410E" w:rsidRDefault="00CE7F43">
      <w:r>
        <w:rPr>
          <w:u w:val="single"/>
        </w:rPr>
        <w:t>Attention</w:t>
      </w:r>
    </w:p>
    <w:p w14:paraId="2F7CED3A" w14:textId="77777777" w:rsidR="00DF410E" w:rsidRDefault="00CE7F43">
      <w:r>
        <w:t>- Les linteaux, utilisés pour soutenir localement la maçonnerie au-dessus des baies de portes et fenêtres, sont repris sous une rubrique séparée.</w:t>
      </w:r>
    </w:p>
    <w:p w14:paraId="66A59F69" w14:textId="77777777" w:rsidR="00DF410E" w:rsidRDefault="00CE7F43">
      <w:pPr>
        <w:pStyle w:val="Author-eSectionHeading5"/>
      </w:pPr>
      <w:bookmarkStart w:id="1132" w:name="_Toc178838259"/>
      <w:r>
        <w:t>23.11.1 Poutres en acier laminées à chaud CCTB 01.04</w:t>
      </w:r>
      <w:bookmarkEnd w:id="1132"/>
    </w:p>
    <w:p w14:paraId="7AE17B13" w14:textId="77777777" w:rsidR="00DF410E" w:rsidRDefault="00CE7F43">
      <w:pPr>
        <w:pStyle w:val="Author-eSectionHeading6"/>
      </w:pPr>
      <w:bookmarkStart w:id="1133" w:name="490"/>
      <w:bookmarkStart w:id="1134" w:name="_Toc178838260"/>
      <w:bookmarkEnd w:id="1133"/>
      <w:r>
        <w:t>23.11.1a Poutres en profilés en acier laminés à chaud CCTB 01.11</w:t>
      </w:r>
      <w:bookmarkEnd w:id="1134"/>
    </w:p>
    <w:p w14:paraId="373B7260" w14:textId="77777777" w:rsidR="00DF410E" w:rsidRDefault="00CE7F43">
      <w:pPr>
        <w:pStyle w:val="pheading"/>
      </w:pPr>
      <w:bookmarkStart w:id="1135" w:name="173"/>
      <w:bookmarkEnd w:id="1135"/>
      <w:r>
        <w:t>DESCRIPTION</w:t>
      </w:r>
    </w:p>
    <w:p w14:paraId="7E9FAB0E" w14:textId="77777777" w:rsidR="00DF410E" w:rsidRDefault="00CE7F43">
      <w:pPr>
        <w:pStyle w:val="pheading"/>
      </w:pPr>
      <w:r>
        <w:t>- Définition / Comprend</w:t>
      </w:r>
    </w:p>
    <w:p w14:paraId="4E7244A7" w14:textId="77777777" w:rsidR="00DF410E" w:rsidRDefault="00CE7F43">
      <w:r>
        <w:t>Il s'agit de l’ensemble des  poutres en profilés en acier laminés à chaud conformes à la [NBN EN 10025 série]</w:t>
      </w:r>
    </w:p>
    <w:p w14:paraId="10C08B38" w14:textId="77777777" w:rsidR="00DF410E" w:rsidRDefault="00CE7F43">
      <w:pPr>
        <w:pStyle w:val="pheading"/>
      </w:pPr>
      <w:r>
        <w:t>- Localisation</w:t>
      </w:r>
    </w:p>
    <w:p w14:paraId="45A9A0EF" w14:textId="77777777" w:rsidR="00DF410E" w:rsidRDefault="00CE7F43">
      <w:r>
        <w:t xml:space="preserve">Les travaux sont localisés : </w:t>
      </w:r>
      <w:r>
        <w:rPr>
          <w:rStyle w:val="optioncarChar"/>
        </w:rPr>
        <w:t>Voir plans et métrés détaillés </w:t>
      </w:r>
      <w:r>
        <w:t>(par défaut)</w:t>
      </w:r>
      <w:r>
        <w:rPr>
          <w:rStyle w:val="optioncarChar"/>
        </w:rPr>
        <w:t xml:space="preserve"> / *** </w:t>
      </w:r>
      <w:r>
        <w:t>.</w:t>
      </w:r>
    </w:p>
    <w:p w14:paraId="178FD681" w14:textId="77777777" w:rsidR="00DF410E" w:rsidRDefault="00CE7F43">
      <w:pPr>
        <w:pStyle w:val="pheading"/>
      </w:pPr>
      <w:r>
        <w:t>EXÉCUTION / MISE EN ŒUVRE</w:t>
      </w:r>
    </w:p>
    <w:p w14:paraId="0424D900" w14:textId="77777777" w:rsidR="00DF410E" w:rsidRDefault="00CE7F43">
      <w:pPr>
        <w:pStyle w:val="pheading"/>
      </w:pPr>
      <w:r>
        <w:t>- Notes d’exécution complémentaires</w:t>
      </w:r>
    </w:p>
    <w:p w14:paraId="14A58914" w14:textId="77777777" w:rsidR="00DF410E" w:rsidRDefault="00CE7F43">
      <w:pPr>
        <w:jc w:val="both"/>
      </w:pPr>
      <w:r>
        <w:rPr>
          <w:rStyle w:val="facultChar"/>
        </w:rPr>
        <w:t>Le présent article comprend également des coupures thermiques : des dispositifs adéquats sont utilisés pour éviter tout pont thermique.</w:t>
      </w:r>
    </w:p>
    <w:p w14:paraId="2D8880F6" w14:textId="77777777" w:rsidR="00DF410E" w:rsidRDefault="00CE7F43">
      <w:pPr>
        <w:pStyle w:val="pheading"/>
      </w:pPr>
      <w:r>
        <w:t>MESURAGE</w:t>
      </w:r>
    </w:p>
    <w:p w14:paraId="68C815C9" w14:textId="77777777" w:rsidR="00DF410E" w:rsidRDefault="00CE7F43">
      <w:pPr>
        <w:pStyle w:val="pheading"/>
      </w:pPr>
      <w:r>
        <w:t>- unité de mesure:</w:t>
      </w:r>
    </w:p>
    <w:p w14:paraId="5EF8B79B" w14:textId="77777777" w:rsidR="00DF410E" w:rsidRDefault="00CE7F43">
      <w:r>
        <w:rPr>
          <w:b/>
        </w:rPr>
        <w:t>POUTRE</w:t>
      </w:r>
    </w:p>
    <w:p w14:paraId="06A88B41" w14:textId="77777777" w:rsidR="00DF410E" w:rsidRDefault="00CE7F43">
      <w:r>
        <w:rPr>
          <w:rStyle w:val="optioncarChar"/>
        </w:rPr>
        <w:t>kg </w:t>
      </w:r>
      <w:r>
        <w:t xml:space="preserve">(par défaut) </w:t>
      </w:r>
      <w:r>
        <w:rPr>
          <w:rStyle w:val="optioncarChar"/>
        </w:rPr>
        <w:t>/ m / pc.</w:t>
      </w:r>
    </w:p>
    <w:p w14:paraId="0AF2FD34" w14:textId="77777777" w:rsidR="00DF410E" w:rsidRDefault="00CE7F43">
      <w:r>
        <w:rPr>
          <w:b/>
          <w:i/>
        </w:rPr>
        <w:t>(Soit par défaut)</w:t>
      </w:r>
    </w:p>
    <w:p w14:paraId="26E87D66" w14:textId="77777777" w:rsidR="00DF410E" w:rsidRDefault="00CE7F43">
      <w:r>
        <w:rPr>
          <w:rStyle w:val="soitChar"/>
        </w:rPr>
        <w:t> 1. kg.</w:t>
      </w:r>
    </w:p>
    <w:p w14:paraId="401F6CCC" w14:textId="77777777" w:rsidR="00DF410E" w:rsidRDefault="00CE7F43">
      <w:r>
        <w:rPr>
          <w:b/>
          <w:i/>
        </w:rPr>
        <w:t>(Soit)</w:t>
      </w:r>
    </w:p>
    <w:p w14:paraId="109DB789" w14:textId="77777777" w:rsidR="00DF410E" w:rsidRDefault="00CE7F43">
      <w:r>
        <w:rPr>
          <w:rStyle w:val="soitChar"/>
        </w:rPr>
        <w:t>  2 ou 3. m</w:t>
      </w:r>
    </w:p>
    <w:p w14:paraId="0D96CC0E" w14:textId="77777777" w:rsidR="00DF410E" w:rsidRDefault="00CE7F43">
      <w:r>
        <w:rPr>
          <w:b/>
          <w:i/>
        </w:rPr>
        <w:t>(Soit)</w:t>
      </w:r>
    </w:p>
    <w:p w14:paraId="6D1EDAEC" w14:textId="77777777" w:rsidR="00DF410E" w:rsidRDefault="00CE7F43">
      <w:r>
        <w:rPr>
          <w:rStyle w:val="soitChar"/>
        </w:rPr>
        <w:t>  4 ou 5. pc</w:t>
      </w:r>
    </w:p>
    <w:p w14:paraId="53C18585" w14:textId="77777777" w:rsidR="00DF410E" w:rsidRDefault="00CE7F43">
      <w:r>
        <w:rPr>
          <w:rStyle w:val="soitChar"/>
        </w:rPr>
        <w:t> </w:t>
      </w:r>
    </w:p>
    <w:p w14:paraId="422C2DD6" w14:textId="77777777" w:rsidR="00DF410E" w:rsidRDefault="00CE7F43">
      <w:r>
        <w:rPr>
          <w:b/>
        </w:rPr>
        <w:t>FLOCAGE</w:t>
      </w:r>
    </w:p>
    <w:p w14:paraId="33E74183" w14:textId="77777777" w:rsidR="00DF410E" w:rsidRDefault="00CE7F43">
      <w:r>
        <w:t>Le traitement au feu par flocage est compté séparément et fait l’objet d’un (de) poste(s) supplémentaire(s) dans le présent article :</w:t>
      </w:r>
    </w:p>
    <w:p w14:paraId="49C8FF1A" w14:textId="77777777" w:rsidR="00DF410E" w:rsidRDefault="00CE7F43">
      <w:r>
        <w:rPr>
          <w:rStyle w:val="optioncarChar"/>
        </w:rPr>
        <w:t xml:space="preserve">m² </w:t>
      </w:r>
      <w:r>
        <w:t>(par défaut)</w:t>
      </w:r>
      <w:r>
        <w:rPr>
          <w:rStyle w:val="optioncarChar"/>
        </w:rPr>
        <w:t xml:space="preserve"> / m / pc.</w:t>
      </w:r>
    </w:p>
    <w:p w14:paraId="3EEF7158" w14:textId="77777777" w:rsidR="00DF410E" w:rsidRDefault="00CE7F43">
      <w:r>
        <w:rPr>
          <w:b/>
          <w:i/>
        </w:rPr>
        <w:t>(Soit par défaut)</w:t>
      </w:r>
    </w:p>
    <w:p w14:paraId="02DC2233" w14:textId="77777777" w:rsidR="00DF410E" w:rsidRDefault="00CE7F43">
      <w:r>
        <w:rPr>
          <w:rStyle w:val="soitChar"/>
        </w:rPr>
        <w:t> 1. m².</w:t>
      </w:r>
    </w:p>
    <w:p w14:paraId="5218C136" w14:textId="77777777" w:rsidR="00DF410E" w:rsidRDefault="00CE7F43">
      <w:r>
        <w:rPr>
          <w:b/>
          <w:i/>
        </w:rPr>
        <w:t>(Soit)</w:t>
      </w:r>
    </w:p>
    <w:p w14:paraId="1AB927C9" w14:textId="77777777" w:rsidR="00DF410E" w:rsidRDefault="00CE7F43">
      <w:r>
        <w:rPr>
          <w:rStyle w:val="soitChar"/>
        </w:rPr>
        <w:t> 2. m</w:t>
      </w:r>
    </w:p>
    <w:p w14:paraId="4C381B77" w14:textId="77777777" w:rsidR="00DF410E" w:rsidRDefault="00CE7F43">
      <w:r>
        <w:rPr>
          <w:b/>
          <w:i/>
        </w:rPr>
        <w:t>(Soit)</w:t>
      </w:r>
    </w:p>
    <w:p w14:paraId="1F828F15" w14:textId="77777777" w:rsidR="00DF410E" w:rsidRDefault="00CE7F43">
      <w:r>
        <w:rPr>
          <w:rStyle w:val="soitChar"/>
        </w:rPr>
        <w:t> 3. pc</w:t>
      </w:r>
    </w:p>
    <w:p w14:paraId="6EB7CCDA" w14:textId="77777777" w:rsidR="00DF410E" w:rsidRDefault="00DF410E"/>
    <w:p w14:paraId="1C3AB831" w14:textId="77777777" w:rsidR="00DF410E" w:rsidRDefault="00CE7F43">
      <w:r>
        <w:rPr>
          <w:b/>
        </w:rPr>
        <w:t>COUPURE THERMIQUE</w:t>
      </w:r>
    </w:p>
    <w:p w14:paraId="13B8DFFC" w14:textId="77777777" w:rsidR="00DF410E" w:rsidRDefault="00CE7F43">
      <w:r>
        <w:rPr>
          <w:rStyle w:val="optioncarChar"/>
        </w:rPr>
        <w:t>pièce</w:t>
      </w:r>
    </w:p>
    <w:p w14:paraId="36757228" w14:textId="77777777" w:rsidR="00DF410E" w:rsidRDefault="00CE7F43">
      <w:pPr>
        <w:pStyle w:val="pheading"/>
      </w:pPr>
      <w:r>
        <w:t>- code de mesurage:</w:t>
      </w:r>
    </w:p>
    <w:p w14:paraId="52A9376E" w14:textId="77777777" w:rsidR="00DF410E" w:rsidRDefault="00CE7F43">
      <w:r>
        <w:rPr>
          <w:b/>
        </w:rPr>
        <w:t>POUTRE</w:t>
      </w:r>
    </w:p>
    <w:p w14:paraId="40C05B11" w14:textId="77777777" w:rsidR="00DF410E" w:rsidRDefault="00CE7F43">
      <w:r>
        <w:t>Distinctions faites suivant les types de profilés, nuances et qualités d’acier.</w:t>
      </w:r>
    </w:p>
    <w:p w14:paraId="2E72686E" w14:textId="77777777" w:rsidR="00DF410E" w:rsidRDefault="00DF410E"/>
    <w:p w14:paraId="761D01D9" w14:textId="77777777" w:rsidR="00DF410E" w:rsidRDefault="00CE7F43">
      <w:r>
        <w:rPr>
          <w:rStyle w:val="optioncarChar"/>
        </w:rPr>
        <w:t xml:space="preserve">Masse </w:t>
      </w:r>
      <w:r>
        <w:t xml:space="preserve"> (par défaut) </w:t>
      </w:r>
      <w:r>
        <w:rPr>
          <w:rStyle w:val="optioncarChar"/>
        </w:rPr>
        <w:t>/ Longueur nette / Longueur nette d’exécution / Pièce nette / Pièce d’exécution</w:t>
      </w:r>
    </w:p>
    <w:p w14:paraId="51DCE362" w14:textId="77777777" w:rsidR="00DF410E" w:rsidRDefault="00CE7F43">
      <w:r>
        <w:rPr>
          <w:b/>
        </w:rPr>
        <w:t>(Soit par défaut)</w:t>
      </w:r>
    </w:p>
    <w:p w14:paraId="220C02B1"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 xml:space="preserve"> Masse d’acier pour toutes dimensions et types de profilés, distinction suivant les nuances et qualités d’acier. .</w:t>
      </w:r>
    </w:p>
    <w:p w14:paraId="41CFFCD8" w14:textId="77777777" w:rsidR="00DF410E" w:rsidRDefault="00CE7F43">
      <w:r>
        <w:rPr>
          <w:b/>
        </w:rPr>
        <w:t>(Soit)</w:t>
      </w:r>
    </w:p>
    <w:p w14:paraId="6323BB51"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 xml:space="preserve"> Longueur de la portée à mettre en œuvre, appuis non comptés.</w:t>
      </w:r>
    </w:p>
    <w:p w14:paraId="6CD5EBE3" w14:textId="77777777" w:rsidR="00DF410E" w:rsidRDefault="00CE7F43">
      <w:r>
        <w:rPr>
          <w:b/>
        </w:rPr>
        <w:t>(Soit)</w:t>
      </w:r>
    </w:p>
    <w:p w14:paraId="65C75F05" w14:textId="77777777" w:rsidR="00DF410E" w:rsidRDefault="00CE7F43">
      <w:r>
        <w:rPr>
          <w:rStyle w:val="soitChar"/>
        </w:rPr>
        <w:t>3.</w:t>
      </w:r>
      <w:r>
        <w:rPr>
          <w:rStyle w:val="soitChar"/>
          <w:u w:val="single"/>
        </w:rPr>
        <w:t xml:space="preserve"> Longueur d’exécution</w:t>
      </w:r>
      <w:r>
        <w:rPr>
          <w:rStyle w:val="soitChar"/>
        </w:rPr>
        <w:t xml:space="preserve"> :</w:t>
      </w:r>
    </w:p>
    <w:p w14:paraId="2C9530E3" w14:textId="77777777" w:rsidR="00DF410E" w:rsidRDefault="00CE7F43">
      <w:r>
        <w:rPr>
          <w:rStyle w:val="soitChar"/>
        </w:rPr>
        <w:t xml:space="preserve"> Longueur de la portée et longueurs d’appuis comprises.</w:t>
      </w:r>
    </w:p>
    <w:p w14:paraId="728147C8" w14:textId="77777777" w:rsidR="00DF410E" w:rsidRDefault="00CE7F43">
      <w:r>
        <w:rPr>
          <w:b/>
        </w:rPr>
        <w:t>(Soit)</w:t>
      </w:r>
    </w:p>
    <w:p w14:paraId="64ABC342"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 xml:space="preserve"> selon les dimensions de la portée à mettre en œuvre, appuis non comptés.</w:t>
      </w:r>
    </w:p>
    <w:p w14:paraId="2C6EA1B4" w14:textId="77777777" w:rsidR="00DF410E" w:rsidRDefault="00CE7F43">
      <w:r>
        <w:rPr>
          <w:b/>
        </w:rPr>
        <w:t>(Soit)</w:t>
      </w:r>
      <w:r>
        <w:br/>
      </w:r>
      <w:r>
        <w:rPr>
          <w:rStyle w:val="soitChar"/>
        </w:rPr>
        <w:t>5.</w:t>
      </w:r>
      <w:r>
        <w:rPr>
          <w:rStyle w:val="soitChar"/>
          <w:u w:val="single"/>
        </w:rPr>
        <w:t xml:space="preserve"> Pièce d’exécution</w:t>
      </w:r>
      <w:r>
        <w:rPr>
          <w:rStyle w:val="soitChar"/>
        </w:rPr>
        <w:t xml:space="preserve"> : </w:t>
      </w:r>
      <w:r>
        <w:br/>
      </w:r>
      <w:r>
        <w:rPr>
          <w:rStyle w:val="soitChar"/>
        </w:rPr>
        <w:t xml:space="preserve"> selon les dimensions de la portée et longueurs d’appuis comprises.</w:t>
      </w:r>
    </w:p>
    <w:p w14:paraId="2B3E515B" w14:textId="77777777" w:rsidR="00DF410E" w:rsidRDefault="00DF410E"/>
    <w:p w14:paraId="10C3D72B" w14:textId="77777777" w:rsidR="00DF410E" w:rsidRDefault="00CE7F43">
      <w:r>
        <w:rPr>
          <w:b/>
        </w:rPr>
        <w:t>FLOCAGE</w:t>
      </w:r>
    </w:p>
    <w:p w14:paraId="44224E8F"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32C97CB" w14:textId="77777777" w:rsidR="00DF410E" w:rsidRDefault="00CE7F43">
      <w:r>
        <w:rPr>
          <w:b/>
          <w:i/>
        </w:rPr>
        <w:t>(Soit par défaut)</w:t>
      </w:r>
    </w:p>
    <w:p w14:paraId="10C82A67"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 xml:space="preserve"> Surface nette à traiter.</w:t>
      </w:r>
    </w:p>
    <w:p w14:paraId="6A0F7B5F" w14:textId="77777777" w:rsidR="00DF410E" w:rsidRDefault="00CE7F43">
      <w:r>
        <w:rPr>
          <w:b/>
          <w:i/>
        </w:rPr>
        <w:t>(Soit)</w:t>
      </w:r>
    </w:p>
    <w:p w14:paraId="6EFCD010"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 xml:space="preserve"> Longueur nette à traiter.</w:t>
      </w:r>
    </w:p>
    <w:p w14:paraId="73C6ECDF" w14:textId="77777777" w:rsidR="00DF410E" w:rsidRDefault="00CE7F43">
      <w:r>
        <w:rPr>
          <w:b/>
          <w:i/>
        </w:rPr>
        <w:t>(Soit)</w:t>
      </w:r>
    </w:p>
    <w:p w14:paraId="317A18FB"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 xml:space="preserve"> Ventilée selon les dimensions et les sections des profilés.</w:t>
      </w:r>
    </w:p>
    <w:p w14:paraId="341D134D" w14:textId="77777777" w:rsidR="00DF410E" w:rsidRDefault="00DF410E"/>
    <w:p w14:paraId="5A7A3AB3" w14:textId="77777777" w:rsidR="00DF410E" w:rsidRDefault="00CE7F43">
      <w:pPr>
        <w:spacing w:after="0" w:line="256" w:lineRule="auto"/>
        <w:jc w:val="both"/>
      </w:pPr>
      <w:r>
        <w:rPr>
          <w:b/>
        </w:rPr>
        <w:t>COUPURE THERMIQUE</w:t>
      </w:r>
    </w:p>
    <w:p w14:paraId="1E2ADB0B" w14:textId="77777777" w:rsidR="00DF410E" w:rsidRDefault="00CE7F43">
      <w:r>
        <w:t>À la pièce, ventilée suivant les types d’éléments</w:t>
      </w:r>
    </w:p>
    <w:p w14:paraId="6D21EBB1" w14:textId="77777777" w:rsidR="00DF410E" w:rsidRDefault="00CE7F43">
      <w:pPr>
        <w:pStyle w:val="pheading"/>
      </w:pPr>
      <w:r>
        <w:t>- nature du marché:</w:t>
      </w:r>
    </w:p>
    <w:p w14:paraId="495BD611" w14:textId="77777777" w:rsidR="00DF410E" w:rsidRDefault="00CE7F43">
      <w:r>
        <w:rPr>
          <w:rStyle w:val="optioncarChar"/>
        </w:rPr>
        <w:t>QF</w:t>
      </w:r>
      <w:r>
        <w:t xml:space="preserve"> (par défaut) </w:t>
      </w:r>
      <w:r>
        <w:rPr>
          <w:rStyle w:val="optioncarChar"/>
        </w:rPr>
        <w:t>/ QP</w:t>
      </w:r>
    </w:p>
    <w:p w14:paraId="63303240" w14:textId="77777777" w:rsidR="00DF410E" w:rsidRDefault="00CE7F43">
      <w:r>
        <w:rPr>
          <w:rStyle w:val="normalChar"/>
          <w:b/>
          <w:i/>
          <w:color w:val="000000"/>
        </w:rPr>
        <w:t>(Soit par défaut)</w:t>
      </w:r>
    </w:p>
    <w:p w14:paraId="4B04A68D" w14:textId="77777777" w:rsidR="00DF410E" w:rsidRDefault="00DF410E"/>
    <w:p w14:paraId="0C765F3E" w14:textId="77777777" w:rsidR="00DF410E" w:rsidRDefault="00DF410E"/>
    <w:p w14:paraId="34309634" w14:textId="77777777" w:rsidR="00DF410E" w:rsidRDefault="00CE7F43">
      <w:r>
        <w:rPr>
          <w:rStyle w:val="soitChar"/>
        </w:rPr>
        <w:t xml:space="preserve">1. QF </w:t>
      </w:r>
      <w:r>
        <w:rPr>
          <w:b/>
          <w:i/>
        </w:rPr>
        <w:t>(Soit)</w:t>
      </w:r>
    </w:p>
    <w:p w14:paraId="46FF2A13" w14:textId="77777777" w:rsidR="00DF410E" w:rsidRDefault="00CE7F43">
      <w:r>
        <w:rPr>
          <w:rStyle w:val="soitChar"/>
        </w:rPr>
        <w:t xml:space="preserve">2. QP </w:t>
      </w:r>
    </w:p>
    <w:p w14:paraId="45FDE4EE" w14:textId="77777777" w:rsidR="00DF410E" w:rsidRDefault="00CE7F43">
      <w:pPr>
        <w:pStyle w:val="pheading"/>
      </w:pPr>
      <w:r>
        <w:t>AIDE</w:t>
      </w:r>
    </w:p>
    <w:p w14:paraId="384469FC" w14:textId="77777777" w:rsidR="00DF410E" w:rsidRDefault="00DF410E"/>
    <w:p w14:paraId="33A2B520" w14:textId="77777777" w:rsidR="00DF410E" w:rsidRDefault="00DF410E"/>
    <w:p w14:paraId="040B5888" w14:textId="77777777" w:rsidR="00DF410E" w:rsidRDefault="00CE7F43">
      <w:r>
        <w:t>Exemple pour métré :</w:t>
      </w:r>
    </w:p>
    <w:p w14:paraId="42500CF5" w14:textId="77777777" w:rsidR="00DF410E" w:rsidRDefault="00CE7F43">
      <w:r>
        <w:t>HEA 200          S235JR           Z15      galvanisé à chaud</w:t>
      </w:r>
    </w:p>
    <w:p w14:paraId="140DEBA6" w14:textId="77777777" w:rsidR="00DF410E" w:rsidRDefault="00CE7F43">
      <w:r>
        <w:t>IPE 360           S355J2                        primaire antirouille</w:t>
      </w:r>
    </w:p>
    <w:p w14:paraId="7515EE35" w14:textId="77777777" w:rsidR="00DF410E" w:rsidRDefault="00CE7F43">
      <w:pPr>
        <w:pStyle w:val="Author-eSectionHeading6"/>
      </w:pPr>
      <w:bookmarkStart w:id="1136" w:name="_Toc178838261"/>
      <w:r>
        <w:t>23.11.1b Poutres reconstituées soudées en acier CCTB 01.11</w:t>
      </w:r>
      <w:bookmarkEnd w:id="1136"/>
    </w:p>
    <w:p w14:paraId="65605C37" w14:textId="77777777" w:rsidR="00DF410E" w:rsidRDefault="00CE7F43">
      <w:pPr>
        <w:pStyle w:val="pheading"/>
      </w:pPr>
      <w:bookmarkStart w:id="1137" w:name="488"/>
      <w:bookmarkEnd w:id="1137"/>
      <w:r>
        <w:t>DESCRIPTION</w:t>
      </w:r>
    </w:p>
    <w:p w14:paraId="3CBE98A6" w14:textId="77777777" w:rsidR="00DF410E" w:rsidRDefault="00CE7F43">
      <w:pPr>
        <w:pStyle w:val="pheading"/>
      </w:pPr>
      <w:r>
        <w:t>- Définition / Comprend</w:t>
      </w:r>
    </w:p>
    <w:p w14:paraId="76F2FD01" w14:textId="77777777" w:rsidR="00DF410E" w:rsidRDefault="00CE7F43">
      <w:pPr>
        <w:jc w:val="both"/>
      </w:pPr>
      <w:r>
        <w:t>Il s'agit de la fourniture et de la pose de profilés non standards servant de poutres, préfabriqués en ateliers, constitués d’éléments linéaires en acier assemblés par soudage.</w:t>
      </w:r>
    </w:p>
    <w:p w14:paraId="62E1145C" w14:textId="77777777" w:rsidR="00DF410E" w:rsidRDefault="00CE7F43">
      <w:pPr>
        <w:jc w:val="both"/>
      </w:pPr>
      <w:r>
        <w:t>Les poutres reconstituées soudées en acier sont communément appelées en abrégé « PRS ». Cette abréviation est utilisée dans la suite de cet élément.</w:t>
      </w:r>
    </w:p>
    <w:p w14:paraId="6FD6F725" w14:textId="77777777" w:rsidR="00DF410E" w:rsidRDefault="00CE7F43">
      <w:pPr>
        <w:jc w:val="both"/>
      </w:pPr>
      <w:r>
        <w:t>Ce poste comprend notamment :</w:t>
      </w:r>
    </w:p>
    <w:p w14:paraId="24D42B99" w14:textId="77777777" w:rsidR="00DF410E" w:rsidRDefault="00CE7F43">
      <w:pPr>
        <w:pStyle w:val="Author-eListParagraph"/>
        <w:numPr>
          <w:ilvl w:val="0"/>
          <w:numId w:val="685"/>
        </w:numPr>
        <w:jc w:val="both"/>
      </w:pPr>
      <w:r>
        <w:t>le relevé sur place des dimensions exactes ;</w:t>
      </w:r>
    </w:p>
    <w:p w14:paraId="7A994872" w14:textId="77777777" w:rsidR="00DF410E" w:rsidRDefault="00CE7F43">
      <w:pPr>
        <w:pStyle w:val="Author-eListParagraph"/>
        <w:numPr>
          <w:ilvl w:val="0"/>
          <w:numId w:val="685"/>
        </w:numPr>
        <w:jc w:val="both"/>
      </w:pPr>
      <w:r>
        <w:t>l'établissement des dessins d'exécution ;</w:t>
      </w:r>
    </w:p>
    <w:p w14:paraId="657D42A2" w14:textId="77777777" w:rsidR="00DF410E" w:rsidRDefault="00CE7F43">
      <w:pPr>
        <w:pStyle w:val="Author-eListParagraph"/>
        <w:numPr>
          <w:ilvl w:val="0"/>
          <w:numId w:val="685"/>
        </w:numPr>
        <w:jc w:val="both"/>
      </w:pPr>
      <w:r>
        <w:t>le contrôle et la préparation des supports ;</w:t>
      </w:r>
    </w:p>
    <w:p w14:paraId="11723F8F" w14:textId="77777777" w:rsidR="00DF410E" w:rsidRDefault="00CE7F43">
      <w:pPr>
        <w:pStyle w:val="Author-eListParagraph"/>
        <w:numPr>
          <w:ilvl w:val="0"/>
          <w:numId w:val="685"/>
        </w:numPr>
        <w:jc w:val="both"/>
      </w:pPr>
      <w:r>
        <w:t>la préparation et l'usinage de l'acier en atelier (couper, plier, etc.), y compris tous les assemblages par soudure et boulonnage ;</w:t>
      </w:r>
    </w:p>
    <w:p w14:paraId="66FD0A58" w14:textId="77777777" w:rsidR="00DF410E" w:rsidRDefault="00CE7F43">
      <w:pPr>
        <w:pStyle w:val="Author-eListParagraph"/>
        <w:numPr>
          <w:ilvl w:val="0"/>
          <w:numId w:val="685"/>
        </w:numPr>
        <w:jc w:val="both"/>
      </w:pPr>
      <w:r>
        <w:t>la protection contre la corrosion;</w:t>
      </w:r>
    </w:p>
    <w:p w14:paraId="1482B10E" w14:textId="77777777" w:rsidR="00DF410E" w:rsidRDefault="00CE7F43">
      <w:pPr>
        <w:pStyle w:val="Author-eListParagraph"/>
        <w:numPr>
          <w:ilvl w:val="0"/>
          <w:numId w:val="685"/>
        </w:numPr>
        <w:jc w:val="both"/>
      </w:pPr>
      <w:r>
        <w:t>la fourniture et le montage des éléments de construction en acier sur chantier, y compris tous les dispositifs d'assemblage, d'appui et d'ancrage ;</w:t>
      </w:r>
    </w:p>
    <w:p w14:paraId="74CF2CD1" w14:textId="77777777" w:rsidR="00DF410E" w:rsidRDefault="00CE7F43">
      <w:pPr>
        <w:pStyle w:val="Author-eListParagraph"/>
        <w:numPr>
          <w:ilvl w:val="0"/>
          <w:numId w:val="685"/>
        </w:numPr>
        <w:jc w:val="both"/>
      </w:pPr>
      <w:r>
        <w:t>l’évacuation des déchets et le nettoyage du chantier.</w:t>
      </w:r>
    </w:p>
    <w:p w14:paraId="4AF739BF" w14:textId="77777777" w:rsidR="00DF410E" w:rsidRDefault="00CE7F43">
      <w:pPr>
        <w:pStyle w:val="pheading"/>
      </w:pPr>
      <w:r>
        <w:t>- Localisation</w:t>
      </w:r>
    </w:p>
    <w:p w14:paraId="096F3CEA" w14:textId="77777777" w:rsidR="00DF410E" w:rsidRDefault="00CE7F43">
      <w:r>
        <w:t xml:space="preserve">Les travaux sont localisés : </w:t>
      </w:r>
      <w:r>
        <w:rPr>
          <w:rStyle w:val="optioncarChar"/>
        </w:rPr>
        <w:t>***</w:t>
      </w:r>
      <w:r>
        <w:t>.</w:t>
      </w:r>
    </w:p>
    <w:p w14:paraId="0B809F66" w14:textId="77777777" w:rsidR="00DF410E" w:rsidRDefault="00CE7F43">
      <w:r>
        <w:t>Voir plans et métrés détaillés.</w:t>
      </w:r>
    </w:p>
    <w:p w14:paraId="606FBCFB" w14:textId="77777777" w:rsidR="00DF410E" w:rsidRDefault="00CE7F43">
      <w:pPr>
        <w:pStyle w:val="pheading"/>
      </w:pPr>
      <w:r>
        <w:t>MATÉRIAUX</w:t>
      </w:r>
    </w:p>
    <w:p w14:paraId="39B1DA7A" w14:textId="77777777" w:rsidR="00DF410E" w:rsidRDefault="00CE7F43">
      <w:pPr>
        <w:pStyle w:val="pheading"/>
      </w:pPr>
      <w:r>
        <w:t>- Caractéristiques générales</w:t>
      </w:r>
    </w:p>
    <w:p w14:paraId="7717465F" w14:textId="77777777" w:rsidR="00DF410E" w:rsidRDefault="00CE7F43">
      <w:r>
        <w:rPr>
          <w:b/>
          <w:u w:val="single"/>
        </w:rPr>
        <w:t>Acier laminé à chaud</w:t>
      </w:r>
    </w:p>
    <w:p w14:paraId="52F3925D" w14:textId="77777777" w:rsidR="00DF410E" w:rsidRDefault="00CE7F43">
      <w:pPr>
        <w:pStyle w:val="Author-eListParagraph"/>
        <w:numPr>
          <w:ilvl w:val="0"/>
          <w:numId w:val="686"/>
        </w:numPr>
      </w:pPr>
      <w:r>
        <w:t xml:space="preserve">Types de profilés : </w:t>
      </w:r>
      <w:r>
        <w:rPr>
          <w:rStyle w:val="optioncarChar"/>
        </w:rPr>
        <w:t xml:space="preserve">voir données mentionnées sur les plans </w:t>
      </w:r>
      <w:r>
        <w:t xml:space="preserve">(par défaut) </w:t>
      </w:r>
      <w:r>
        <w:rPr>
          <w:rStyle w:val="optioncarChar"/>
        </w:rPr>
        <w:t>/ ***</w:t>
      </w:r>
      <w:r>
        <w:t>.</w:t>
      </w:r>
    </w:p>
    <w:p w14:paraId="6542CA55" w14:textId="77777777" w:rsidR="00DF410E" w:rsidRDefault="00CE7F43">
      <w:pPr>
        <w:pStyle w:val="Author-eListParagraph"/>
        <w:numPr>
          <w:ilvl w:val="0"/>
          <w:numId w:val="686"/>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4E5902D5" w14:textId="77777777" w:rsidR="00DF410E" w:rsidRDefault="00CE7F43">
      <w:pPr>
        <w:pStyle w:val="Author-eListParagraph"/>
        <w:numPr>
          <w:ilvl w:val="0"/>
          <w:numId w:val="686"/>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14:paraId="47CE8B0E" w14:textId="77777777" w:rsidR="00DF410E" w:rsidRDefault="00CE7F43">
      <w:pPr>
        <w:pStyle w:val="Author-eListParagraph"/>
        <w:numPr>
          <w:ilvl w:val="0"/>
          <w:numId w:val="686"/>
        </w:numPr>
      </w:pPr>
      <w:r>
        <w:t xml:space="preserve">Flèche maximale [NBN B 03-003]: </w:t>
      </w:r>
      <w:r>
        <w:rPr>
          <w:rStyle w:val="optioncarChar"/>
        </w:rPr>
        <w:t xml:space="preserve">L/500 </w:t>
      </w:r>
      <w:r>
        <w:t xml:space="preserve">(par défaut) </w:t>
      </w:r>
      <w:r>
        <w:rPr>
          <w:rStyle w:val="optioncarChar"/>
        </w:rPr>
        <w:t>/ L/300 / ***</w:t>
      </w:r>
      <w:r>
        <w:t>.</w:t>
      </w:r>
    </w:p>
    <w:p w14:paraId="59B98495" w14:textId="77777777" w:rsidR="00DF410E" w:rsidRDefault="00CE7F43">
      <w:r>
        <w:t> </w:t>
      </w:r>
      <w:r>
        <w:br/>
      </w:r>
      <w:r>
        <w:rPr>
          <w:b/>
          <w:u w:val="single"/>
        </w:rPr>
        <w:t>Traitement anticorrosion</w:t>
      </w:r>
    </w:p>
    <w:p w14:paraId="3D202291" w14:textId="77777777" w:rsidR="00DF410E" w:rsidRDefault="00CE7F43">
      <w:r>
        <w:t xml:space="preserve">Les éléments métalliques sont traités contre la rouille par : </w:t>
      </w:r>
      <w:r>
        <w:rPr>
          <w:rStyle w:val="optioncarChar"/>
        </w:rPr>
        <w:t xml:space="preserve">primaire antirouille </w:t>
      </w:r>
      <w:r>
        <w:t xml:space="preserve">(par défaut) </w:t>
      </w:r>
      <w:r>
        <w:rPr>
          <w:rStyle w:val="optioncarChar"/>
        </w:rPr>
        <w:t>/ galvanisation à chaud / métallisation / pas de traitement (aspect brut)</w:t>
      </w:r>
      <w:r>
        <w:t>.</w:t>
      </w:r>
    </w:p>
    <w:p w14:paraId="14DAF7BC" w14:textId="77777777" w:rsidR="00DF410E" w:rsidRDefault="00CE7F43">
      <w:pPr>
        <w:ind w:left="567"/>
        <w:jc w:val="both"/>
      </w:pPr>
      <w:r>
        <w:rPr>
          <w:b/>
          <w:i/>
        </w:rPr>
        <w:t>(Soit par défaut)</w:t>
      </w:r>
    </w:p>
    <w:p w14:paraId="2F5E9FB8" w14:textId="77777777" w:rsidR="00DF410E" w:rsidRDefault="00CE7F43">
      <w:pPr>
        <w:ind w:left="567"/>
        <w:jc w:val="both"/>
      </w:pPr>
      <w:r>
        <w:rPr>
          <w:rStyle w:val="soitChar"/>
          <w:u w:val="single"/>
        </w:rPr>
        <w:t>Primaire antirouille</w:t>
      </w:r>
    </w:p>
    <w:p w14:paraId="5C222711" w14:textId="77777777" w:rsidR="00DF410E" w:rsidRDefault="00CE7F43">
      <w:pPr>
        <w:ind w:left="567"/>
        <w:jc w:val="both"/>
      </w:pPr>
      <w:r>
        <w:rPr>
          <w:rStyle w:val="soitChar"/>
        </w:rPr>
        <w:t xml:space="preserve">Conformément aux prescriptions des articles </w:t>
      </w:r>
      <w:hyperlink r:id="rId128" w:history="1" w:docLocation="503">
        <w:r>
          <w:rPr>
            <w:rStyle w:val="soitChar"/>
          </w:rPr>
          <w:t>« 81.31.3c Protections intérieures par primaire antirouille (en atelier ou sur chantier) des supports métalliques ferreux »</w:t>
        </w:r>
      </w:hyperlink>
      <w:r>
        <w:rPr>
          <w:rStyle w:val="soitChar"/>
        </w:rPr>
        <w:t xml:space="preserve"> ou </w:t>
      </w:r>
      <w:hyperlink r:id="rId129" w:history="1" w:docLocation="504">
        <w:r>
          <w:rPr>
            <w:rStyle w:val="soitChar"/>
          </w:rPr>
          <w:t>82.31.3c Protections extérieures par primaire antirouille des supports métalliques ferreux</w:t>
        </w:r>
      </w:hyperlink>
    </w:p>
    <w:p w14:paraId="25418D1F" w14:textId="77777777" w:rsidR="00DF410E" w:rsidRDefault="00CE7F43">
      <w:pPr>
        <w:ind w:left="567"/>
        <w:jc w:val="both"/>
      </w:pPr>
      <w:r>
        <w:rPr>
          <w:b/>
          <w:i/>
        </w:rPr>
        <w:t>(Soit)</w:t>
      </w:r>
    </w:p>
    <w:p w14:paraId="5ECF9ED9" w14:textId="77777777" w:rsidR="00DF410E" w:rsidRDefault="00CE7F43">
      <w:pPr>
        <w:ind w:left="567"/>
        <w:jc w:val="both"/>
      </w:pPr>
      <w:r>
        <w:rPr>
          <w:rStyle w:val="soitChar"/>
          <w:u w:val="single"/>
        </w:rPr>
        <w:t>Galvanisation à chaud</w:t>
      </w:r>
    </w:p>
    <w:p w14:paraId="5E0DDAB3" w14:textId="77777777" w:rsidR="00DF410E" w:rsidRDefault="00CE7F43">
      <w:pPr>
        <w:ind w:left="567"/>
        <w:jc w:val="both"/>
      </w:pPr>
      <w:r>
        <w:rPr>
          <w:rStyle w:val="soitChar"/>
        </w:rPr>
        <w:t xml:space="preserve">Conformément aux prescriptions des articles </w:t>
      </w:r>
      <w:hyperlink r:id="rId130" w:history="1" w:docLocation="505">
        <w:r>
          <w:rPr>
            <w:rStyle w:val="soitChar"/>
          </w:rPr>
          <w:t>81.31.3a Protections intérieures par galvanisation (en atelier) des supports métalliques ferreux</w:t>
        </w:r>
      </w:hyperlink>
      <w:r>
        <w:rPr>
          <w:rStyle w:val="soitChar"/>
        </w:rPr>
        <w:t xml:space="preserve"> ou </w:t>
      </w:r>
      <w:hyperlink r:id="rId131" w:history="1" w:docLocation="506">
        <w:r>
          <w:rPr>
            <w:rStyle w:val="soitChar"/>
          </w:rPr>
          <w:t>82.31.3a Protections extérieures par galvanisation de supports métalliques ferreux</w:t>
        </w:r>
      </w:hyperlink>
      <w:r>
        <w:rPr>
          <w:rStyle w:val="soitChar"/>
        </w:rPr>
        <w:t>.</w:t>
      </w:r>
    </w:p>
    <w:p w14:paraId="548BE622" w14:textId="77777777" w:rsidR="00DF410E" w:rsidRDefault="00CE7F43">
      <w:pPr>
        <w:ind w:left="567"/>
        <w:jc w:val="both"/>
      </w:pPr>
      <w:r>
        <w:rPr>
          <w:b/>
          <w:i/>
        </w:rPr>
        <w:t>(Soit)</w:t>
      </w:r>
    </w:p>
    <w:p w14:paraId="16088FC7" w14:textId="77777777" w:rsidR="00DF410E" w:rsidRDefault="00CE7F43">
      <w:pPr>
        <w:ind w:left="567"/>
        <w:jc w:val="both"/>
      </w:pPr>
      <w:r>
        <w:rPr>
          <w:rStyle w:val="soitChar"/>
          <w:u w:val="single"/>
        </w:rPr>
        <w:t>Métallisation</w:t>
      </w:r>
    </w:p>
    <w:p w14:paraId="61808E92" w14:textId="77777777" w:rsidR="00DF410E" w:rsidRDefault="00CE7F43">
      <w:pPr>
        <w:ind w:left="567"/>
        <w:jc w:val="both"/>
      </w:pPr>
      <w:r>
        <w:rPr>
          <w:rStyle w:val="soitChar"/>
        </w:rPr>
        <w:t xml:space="preserve">Conformément aux prescriptions des articles </w:t>
      </w:r>
      <w:hyperlink r:id="rId132" w:history="1" w:docLocation="507">
        <w:r>
          <w:rPr>
            <w:rStyle w:val="soitChar"/>
          </w:rPr>
          <w:t>81.31.3b Protections intérieures par métallisation (en atelier ou sur chantier) des supports métalliques ferreux</w:t>
        </w:r>
      </w:hyperlink>
      <w:r>
        <w:rPr>
          <w:rStyle w:val="soitChar"/>
        </w:rPr>
        <w:t xml:space="preserve"> ou </w:t>
      </w:r>
      <w:hyperlink r:id="rId133" w:history="1" w:docLocation="508">
        <w:r>
          <w:rPr>
            <w:rStyle w:val="soitChar"/>
          </w:rPr>
          <w:t>82.31.3b Protections extérieures par métallisation des supports métalliques ferreux</w:t>
        </w:r>
      </w:hyperlink>
      <w:r>
        <w:rPr>
          <w:rStyle w:val="soitChar"/>
        </w:rPr>
        <w:t>.</w:t>
      </w:r>
    </w:p>
    <w:p w14:paraId="1BEA699B" w14:textId="77777777" w:rsidR="00DF410E" w:rsidRDefault="00CE7F43">
      <w:pPr>
        <w:ind w:left="567"/>
        <w:jc w:val="both"/>
      </w:pPr>
      <w:r>
        <w:rPr>
          <w:b/>
          <w:i/>
        </w:rPr>
        <w:t>(Soit)</w:t>
      </w:r>
    </w:p>
    <w:p w14:paraId="0AE22EBC" w14:textId="77777777" w:rsidR="00DF410E" w:rsidRDefault="00CE7F43">
      <w:pPr>
        <w:ind w:left="567"/>
        <w:jc w:val="both"/>
      </w:pPr>
      <w:r>
        <w:rPr>
          <w:rStyle w:val="soitChar"/>
          <w:u w:val="single"/>
        </w:rPr>
        <w:t>Pas de traitement (aspect brut)</w:t>
      </w:r>
    </w:p>
    <w:p w14:paraId="2227AA74" w14:textId="77777777" w:rsidR="00DF410E" w:rsidRDefault="00CE7F43">
      <w:pPr>
        <w:ind w:left="567"/>
        <w:jc w:val="both"/>
      </w:pPr>
      <w:r>
        <w:rPr>
          <w:rStyle w:val="soitChar"/>
        </w:rPr>
        <w:t xml:space="preserve">L’acier reste « brut ». Il est simplement nettoyé, dégraissé et débarrassé de la rouille conformément aux chapitres </w:t>
      </w:r>
      <w:hyperlink r:id="rId134" w:history="1" w:docLocation="546">
        <w:r>
          <w:rPr>
            <w:rStyle w:val="soitChar"/>
          </w:rPr>
          <w:t>81.31.1 Nettoyage / Dégraissage</w:t>
        </w:r>
      </w:hyperlink>
      <w:r>
        <w:rPr>
          <w:rStyle w:val="soitChar"/>
        </w:rPr>
        <w:t xml:space="preserve">, </w:t>
      </w:r>
      <w:hyperlink r:id="rId135" w:history="1" w:docLocation="547">
        <w:r>
          <w:rPr>
            <w:rStyle w:val="soitChar"/>
          </w:rPr>
          <w:t>81.31.2 Grenaillage - Sablage / Ponçage / Dérouillage</w:t>
        </w:r>
      </w:hyperlink>
      <w:r>
        <w:rPr>
          <w:rStyle w:val="soitChar"/>
        </w:rPr>
        <w:t xml:space="preserve"> et articles qui en découlent.</w:t>
      </w:r>
    </w:p>
    <w:p w14:paraId="66C2FAE8" w14:textId="77777777" w:rsidR="00DF410E" w:rsidRDefault="00CE7F43">
      <w:pPr>
        <w:ind w:left="567"/>
        <w:jc w:val="both"/>
      </w:pPr>
      <w:r>
        <w:rPr>
          <w:rStyle w:val="soitChar"/>
        </w:rPr>
        <w:t>L’acier étant très sensible à la rouille dans cet état, il recevra le plus rapidement possible le traitement de finition.</w:t>
      </w:r>
    </w:p>
    <w:p w14:paraId="61207D28" w14:textId="77777777" w:rsidR="00DF410E" w:rsidRDefault="00CE7F43">
      <w:pPr>
        <w:jc w:val="both"/>
      </w:pPr>
      <w:r>
        <w:t> </w:t>
      </w:r>
    </w:p>
    <w:p w14:paraId="366E506F" w14:textId="77777777" w:rsidR="00DF410E" w:rsidRDefault="00CE7F43">
      <w:r>
        <w:t>Le traitement contre la rouille est comptabilisé au présent article.</w:t>
      </w:r>
    </w:p>
    <w:p w14:paraId="41107130" w14:textId="77777777" w:rsidR="00DF410E" w:rsidRDefault="00CE7F43">
      <w:pPr>
        <w:pStyle w:val="pheading"/>
      </w:pPr>
      <w:r>
        <w:t>- Finitions</w:t>
      </w:r>
    </w:p>
    <w:p w14:paraId="2ED3277D" w14:textId="77777777" w:rsidR="00DF410E" w:rsidRDefault="00CE7F43">
      <w:pPr>
        <w:jc w:val="both"/>
      </w:pPr>
      <w:r>
        <w:t xml:space="preserve">Finition de l’acier : </w:t>
      </w:r>
      <w:r>
        <w:rPr>
          <w:rStyle w:val="optioncarChar"/>
        </w:rPr>
        <w:t xml:space="preserve">pas de finition </w:t>
      </w:r>
      <w:r>
        <w:t>(par défaut)</w:t>
      </w:r>
      <w:r>
        <w:rPr>
          <w:rStyle w:val="optioncarChar"/>
        </w:rPr>
        <w:t xml:space="preserve"> / peint / brut (verni)</w:t>
      </w:r>
      <w:r>
        <w:t>.</w:t>
      </w:r>
    </w:p>
    <w:p w14:paraId="759EB335" w14:textId="77777777" w:rsidR="00DF410E" w:rsidRDefault="00CE7F43">
      <w:pPr>
        <w:ind w:left="567"/>
        <w:jc w:val="both"/>
      </w:pPr>
      <w:r>
        <w:rPr>
          <w:b/>
          <w:i/>
        </w:rPr>
        <w:t>(Soit par défaut)</w:t>
      </w:r>
    </w:p>
    <w:p w14:paraId="644DFF6C" w14:textId="77777777" w:rsidR="00DF410E" w:rsidRDefault="00CE7F43">
      <w:pPr>
        <w:ind w:left="567"/>
        <w:jc w:val="both"/>
      </w:pPr>
      <w:r>
        <w:rPr>
          <w:rStyle w:val="soitChar"/>
          <w:u w:val="single"/>
        </w:rPr>
        <w:t>Pas de finition</w:t>
      </w:r>
    </w:p>
    <w:p w14:paraId="1F4CC627" w14:textId="77777777" w:rsidR="00DF410E" w:rsidRDefault="00CE7F43">
      <w:pPr>
        <w:ind w:left="567"/>
        <w:jc w:val="both"/>
      </w:pPr>
      <w:r>
        <w:rPr>
          <w:rStyle w:val="soitChar"/>
        </w:rPr>
        <w:t>Pas de finition.</w:t>
      </w:r>
    </w:p>
    <w:p w14:paraId="5F5A7991" w14:textId="77777777" w:rsidR="00DF410E" w:rsidRDefault="00CE7F43">
      <w:pPr>
        <w:ind w:left="567"/>
        <w:jc w:val="both"/>
      </w:pPr>
      <w:r>
        <w:rPr>
          <w:b/>
          <w:i/>
        </w:rPr>
        <w:t>(Soit)</w:t>
      </w:r>
    </w:p>
    <w:p w14:paraId="2CF6A0BE" w14:textId="77777777" w:rsidR="00DF410E" w:rsidRDefault="00CE7F43">
      <w:pPr>
        <w:ind w:left="567"/>
        <w:jc w:val="both"/>
      </w:pPr>
      <w:r>
        <w:rPr>
          <w:rStyle w:val="soitChar"/>
          <w:u w:val="single"/>
        </w:rPr>
        <w:t>Peint</w:t>
      </w:r>
    </w:p>
    <w:p w14:paraId="0C81768A" w14:textId="77777777" w:rsidR="00DF410E" w:rsidRDefault="00CE7F43">
      <w:pPr>
        <w:ind w:left="567"/>
        <w:jc w:val="both"/>
      </w:pPr>
      <w:r>
        <w:rPr>
          <w:rStyle w:val="soitChar"/>
        </w:rPr>
        <w:t xml:space="preserve">Renvoi aux sous-titres </w:t>
      </w:r>
      <w:hyperlink r:id="rId136" w:history="1" w:docLocation="509">
        <w:r>
          <w:rPr>
            <w:rStyle w:val="soitChar"/>
          </w:rPr>
          <w:t>81.33 Finitions / décorations des métaux ferreux et non ferreux</w:t>
        </w:r>
      </w:hyperlink>
      <w:r>
        <w:rPr>
          <w:rStyle w:val="soitChar"/>
        </w:rPr>
        <w:t xml:space="preserve">(intérieure) ou </w:t>
      </w:r>
      <w:hyperlink r:id="rId137" w:history="1" w:docLocation="510">
        <w:r>
          <w:rPr>
            <w:rStyle w:val="soitChar"/>
          </w:rPr>
          <w:t>82.33 Finitions / décorations des métaux ferreux et non ferreux</w:t>
        </w:r>
      </w:hyperlink>
      <w:r>
        <w:rPr>
          <w:rStyle w:val="soitChar"/>
        </w:rPr>
        <w:t xml:space="preserve"> (extérieure), et articles qui en découlent.</w:t>
      </w:r>
    </w:p>
    <w:p w14:paraId="5DAD339E" w14:textId="77777777" w:rsidR="00DF410E" w:rsidRDefault="00CE7F43">
      <w:pPr>
        <w:ind w:left="567"/>
        <w:jc w:val="both"/>
      </w:pPr>
      <w:r>
        <w:rPr>
          <w:b/>
          <w:i/>
        </w:rPr>
        <w:t>(Soit)</w:t>
      </w:r>
    </w:p>
    <w:p w14:paraId="58A22A09" w14:textId="77777777" w:rsidR="00DF410E" w:rsidRDefault="00CE7F43">
      <w:pPr>
        <w:ind w:left="567"/>
        <w:jc w:val="both"/>
      </w:pPr>
      <w:r>
        <w:rPr>
          <w:rStyle w:val="soitChar"/>
          <w:u w:val="single"/>
        </w:rPr>
        <w:t>Brut (verni)</w:t>
      </w:r>
    </w:p>
    <w:p w14:paraId="60337BDA" w14:textId="77777777" w:rsidR="00DF410E" w:rsidRDefault="00CE7F43">
      <w:pPr>
        <w:ind w:left="567"/>
        <w:jc w:val="both"/>
      </w:pPr>
      <w:r>
        <w:rPr>
          <w:rStyle w:val="soitChar"/>
        </w:rPr>
        <w:t xml:space="preserve">L’acier est protégé à l’aide d’un verni incolore à base de </w:t>
      </w:r>
      <w:r>
        <w:rPr>
          <w:rStyle w:val="optioncarChar"/>
        </w:rPr>
        <w:t>résine glycérophtalique</w:t>
      </w:r>
      <w:r>
        <w:t xml:space="preserve"> (par défaut)</w:t>
      </w:r>
      <w:r>
        <w:rPr>
          <w:rStyle w:val="optioncarChar"/>
        </w:rPr>
        <w:t xml:space="preserve"> / ***.</w:t>
      </w:r>
    </w:p>
    <w:p w14:paraId="32233935" w14:textId="77777777" w:rsidR="00DF410E" w:rsidRDefault="00CE7F43">
      <w:pPr>
        <w:ind w:left="567"/>
        <w:jc w:val="both"/>
      </w:pPr>
      <w:r>
        <w:rPr>
          <w:rStyle w:val="soitChar"/>
        </w:rPr>
        <w:t xml:space="preserve">Pour la mise en œuvre, renvoi aux sous-titres </w:t>
      </w:r>
      <w:hyperlink r:id="rId138" w:history="1" w:docLocation="509">
        <w:r>
          <w:rPr>
            <w:rStyle w:val="soitChar"/>
          </w:rPr>
          <w:t>« 81.33 Finitions / décorations des métaux ferreux et non ferreux »</w:t>
        </w:r>
      </w:hyperlink>
      <w:r>
        <w:rPr>
          <w:rStyle w:val="soitChar"/>
        </w:rPr>
        <w:t xml:space="preserve"> (intérieure) ou </w:t>
      </w:r>
      <w:hyperlink r:id="rId139" w:history="1" w:docLocation="510">
        <w:r>
          <w:rPr>
            <w:rStyle w:val="soitChar"/>
          </w:rPr>
          <w:t>82.33 Finitions / décorations des métaux ferreux et non ferreux</w:t>
        </w:r>
      </w:hyperlink>
      <w:r>
        <w:rPr>
          <w:rStyle w:val="soitChar"/>
        </w:rPr>
        <w:t xml:space="preserve"> (extérieure), et articles qui en découlent.</w:t>
      </w:r>
    </w:p>
    <w:p w14:paraId="0C566605" w14:textId="77777777" w:rsidR="00DF410E" w:rsidRDefault="00CE7F43">
      <w:pPr>
        <w:jc w:val="both"/>
      </w:pPr>
      <w:r>
        <w:t> </w:t>
      </w:r>
    </w:p>
    <w:p w14:paraId="69949765" w14:textId="77777777" w:rsidR="00DF410E" w:rsidRDefault="00CE7F43">
      <w:pPr>
        <w:jc w:val="both"/>
      </w:pPr>
      <w:r>
        <w:t xml:space="preserve">Le traitement de finition est décrit et comptabilisé séparément aux articles du </w:t>
      </w:r>
      <w:hyperlink r:id="rId140" w:history="1" w:docLocation="47">
        <w:r>
          <w:t>8 T8 Travaux de peinture / Traitements de surface</w:t>
        </w:r>
      </w:hyperlink>
      <w:r>
        <w:t xml:space="preserve"> mentionnés ci-dessus.</w:t>
      </w:r>
    </w:p>
    <w:p w14:paraId="0480E5C5" w14:textId="77777777" w:rsidR="00DF410E" w:rsidRDefault="00CE7F43">
      <w:pPr>
        <w:pStyle w:val="pheading"/>
      </w:pPr>
      <w:r>
        <w:t>- Prescriptions complémentaires</w:t>
      </w:r>
    </w:p>
    <w:p w14:paraId="5FFB7581" w14:textId="77777777" w:rsidR="00DF410E" w:rsidRDefault="00CE7F43">
      <w:pPr>
        <w:jc w:val="both"/>
      </w:pPr>
      <w:r>
        <w:rPr>
          <w:rStyle w:val="facultChar"/>
        </w:rPr>
        <w:t>Résistance au feu :</w:t>
      </w:r>
      <w:r>
        <w:rPr>
          <w:rStyle w:val="optioncarChar"/>
        </w:rPr>
        <w:t xml:space="preserve">R30 / R60 </w:t>
      </w:r>
      <w:r>
        <w:t>(par défaut)</w:t>
      </w:r>
      <w:r>
        <w:rPr>
          <w:rStyle w:val="optioncarChar"/>
        </w:rPr>
        <w:t xml:space="preserve"> / R120 / R240 / ***</w:t>
      </w:r>
      <w:r>
        <w:rPr>
          <w:rStyle w:val="facultChar"/>
        </w:rPr>
        <w:t xml:space="preserve">, conformément aux prescriptions du titre </w:t>
      </w:r>
      <w:hyperlink w:anchor="420" w:history="1">
        <w:r>
          <w:rPr>
            <w:rStyle w:val="facultChar"/>
          </w:rPr>
          <w:t>23.1 Eléments de structures métalliques</w:t>
        </w:r>
      </w:hyperlink>
      <w:r>
        <w:rPr>
          <w:rStyle w:val="facultChar"/>
        </w:rPr>
        <w:t>.</w:t>
      </w:r>
    </w:p>
    <w:p w14:paraId="4CD7C5E1" w14:textId="77777777" w:rsidR="00DF410E" w:rsidRDefault="00DF410E">
      <w:pPr>
        <w:jc w:val="both"/>
      </w:pPr>
    </w:p>
    <w:p w14:paraId="0CCF37C9" w14:textId="77777777" w:rsidR="00DF410E" w:rsidRDefault="00CE7F43">
      <w:pPr>
        <w:jc w:val="both"/>
      </w:pPr>
      <w:r>
        <w:rPr>
          <w:rStyle w:val="facultChar"/>
        </w:rPr>
        <w:t>Cette résistance au feu est atteinte à l’aide :</w:t>
      </w:r>
      <w:r>
        <w:rPr>
          <w:rStyle w:val="optioncarChar"/>
        </w:rPr>
        <w:t xml:space="preserve">d’une peinture intumescente </w:t>
      </w:r>
      <w:r>
        <w:t>(par défaut)</w:t>
      </w:r>
      <w:r>
        <w:rPr>
          <w:rStyle w:val="optioncarChar"/>
        </w:rPr>
        <w:t xml:space="preserve"> / par emballage / par flocage fibreux / par flocage pâteux / sans traitement particulier</w:t>
      </w:r>
      <w:r>
        <w:t>.</w:t>
      </w:r>
    </w:p>
    <w:p w14:paraId="049BD4D8" w14:textId="77777777" w:rsidR="00DF410E" w:rsidRDefault="00CE7F43">
      <w:pPr>
        <w:ind w:left="567"/>
        <w:jc w:val="both"/>
      </w:pPr>
      <w:r>
        <w:rPr>
          <w:b/>
          <w:i/>
        </w:rPr>
        <w:t>(Soit par défaut)</w:t>
      </w:r>
    </w:p>
    <w:p w14:paraId="69410622" w14:textId="77777777" w:rsidR="00DF410E" w:rsidRDefault="00CE7F43">
      <w:pPr>
        <w:ind w:left="567"/>
        <w:jc w:val="both"/>
      </w:pPr>
      <w:r>
        <w:rPr>
          <w:rStyle w:val="soitChar"/>
          <w:u w:val="single"/>
        </w:rPr>
        <w:t>Peinture intumescente</w:t>
      </w:r>
    </w:p>
    <w:p w14:paraId="7E9531DF" w14:textId="77777777" w:rsidR="00DF410E" w:rsidRDefault="00CE7F43">
      <w:pPr>
        <w:ind w:left="567"/>
        <w:jc w:val="both"/>
      </w:pPr>
      <w:r>
        <w:rPr>
          <w:rStyle w:val="soitChar"/>
        </w:rPr>
        <w:t xml:space="preserve">Conformément à l’article </w:t>
      </w:r>
      <w:hyperlink r:id="rId141" w:history="1" w:docLocation="511">
        <w:r>
          <w:rPr>
            <w:rStyle w:val="soitChar"/>
          </w:rPr>
          <w:t>81.34.1b Peintures intérieures intumescentes sur supports métalliques ferreux et non ferreux</w:t>
        </w:r>
      </w:hyperlink>
      <w:r>
        <w:rPr>
          <w:rStyle w:val="soitChar"/>
        </w:rPr>
        <w:t>.</w:t>
      </w:r>
    </w:p>
    <w:p w14:paraId="3CA72AF4" w14:textId="77777777" w:rsidR="00DF410E" w:rsidRDefault="00CE7F43">
      <w:pPr>
        <w:ind w:left="567"/>
        <w:jc w:val="both"/>
      </w:pPr>
      <w:r>
        <w:rPr>
          <w:b/>
          <w:i/>
        </w:rPr>
        <w:t>(Soit)</w:t>
      </w:r>
    </w:p>
    <w:p w14:paraId="74279EB1" w14:textId="77777777" w:rsidR="00DF410E" w:rsidRDefault="00CE7F43">
      <w:pPr>
        <w:ind w:left="567"/>
        <w:jc w:val="both"/>
      </w:pPr>
      <w:r>
        <w:rPr>
          <w:rStyle w:val="soitChar"/>
          <w:u w:val="single"/>
        </w:rPr>
        <w:t>Emballage</w:t>
      </w:r>
    </w:p>
    <w:p w14:paraId="2EFFD427" w14:textId="77777777" w:rsidR="00DF410E" w:rsidRDefault="00CE7F43">
      <w:pPr>
        <w:ind w:left="567"/>
        <w:jc w:val="both"/>
      </w:pPr>
      <w:r>
        <w:rPr>
          <w:rStyle w:val="soitChar"/>
        </w:rPr>
        <w:t xml:space="preserve">Conformément à l’article </w:t>
      </w:r>
      <w:hyperlink r:id="rId142" w:history="1" w:docLocation="512">
        <w:r>
          <w:rPr>
            <w:rStyle w:val="soitChar"/>
          </w:rPr>
          <w:t>83.34.1a Doublage en plaques</w:t>
        </w:r>
      </w:hyperlink>
      <w:r>
        <w:rPr>
          <w:rStyle w:val="soitChar"/>
        </w:rPr>
        <w:t>.</w:t>
      </w:r>
    </w:p>
    <w:p w14:paraId="277AACB8" w14:textId="77777777" w:rsidR="00DF410E" w:rsidRDefault="00CE7F43">
      <w:pPr>
        <w:ind w:left="567"/>
        <w:jc w:val="both"/>
      </w:pPr>
      <w:r>
        <w:rPr>
          <w:b/>
          <w:i/>
        </w:rPr>
        <w:t>(Soit)</w:t>
      </w:r>
    </w:p>
    <w:p w14:paraId="2840CC70" w14:textId="77777777" w:rsidR="00DF410E" w:rsidRDefault="00CE7F43">
      <w:pPr>
        <w:ind w:left="567"/>
        <w:jc w:val="both"/>
      </w:pPr>
      <w:r>
        <w:rPr>
          <w:rStyle w:val="soitChar"/>
          <w:u w:val="single"/>
        </w:rPr>
        <w:t>Flocage fibreux</w:t>
      </w:r>
    </w:p>
    <w:p w14:paraId="58EFA400" w14:textId="77777777" w:rsidR="00DF410E" w:rsidRDefault="00CE7F43">
      <w:pPr>
        <w:ind w:left="567"/>
        <w:jc w:val="both"/>
      </w:pPr>
      <w:r>
        <w:rPr>
          <w:rStyle w:val="soitChar"/>
        </w:rPr>
        <w:t>Composé essentiellement de laine minérale, de liants minéraux inorganiques additionnés d’adjuvants spécifiques hydrauliques et synthétiques, non combustibles.</w:t>
      </w:r>
    </w:p>
    <w:p w14:paraId="7C73807E" w14:textId="77777777" w:rsidR="00DF410E" w:rsidRDefault="00CE7F43">
      <w:pPr>
        <w:ind w:left="567"/>
        <w:jc w:val="both"/>
      </w:pPr>
      <w:r>
        <w:rPr>
          <w:rStyle w:val="soitChar"/>
        </w:rPr>
        <w:t>Le produit est exempt d’amiante, de silice cristallisée, ou de tout autre produit nocif ou toxique.</w:t>
      </w:r>
    </w:p>
    <w:p w14:paraId="76156292" w14:textId="77777777" w:rsidR="00DF410E" w:rsidRDefault="00CE7F43">
      <w:pPr>
        <w:ind w:left="567"/>
        <w:jc w:val="both"/>
      </w:pPr>
      <w:r>
        <w:rPr>
          <w:rStyle w:val="soitChar"/>
        </w:rPr>
        <w:t>Le flocage est appliqué mécaniquement à l’aide de machines à projeter qui respectent la granulométrie et la masse volumique des produits.</w:t>
      </w:r>
    </w:p>
    <w:p w14:paraId="2D738489" w14:textId="77777777" w:rsidR="00DF410E" w:rsidRDefault="00CE7F43">
      <w:pPr>
        <w:ind w:left="567"/>
        <w:jc w:val="both"/>
      </w:pPr>
      <w:r>
        <w:rPr>
          <w:b/>
          <w:i/>
        </w:rPr>
        <w:t>(Soit)</w:t>
      </w:r>
    </w:p>
    <w:p w14:paraId="43B03B3C" w14:textId="77777777" w:rsidR="00DF410E" w:rsidRDefault="00CE7F43">
      <w:pPr>
        <w:ind w:left="567"/>
        <w:jc w:val="both"/>
      </w:pPr>
      <w:r>
        <w:rPr>
          <w:rStyle w:val="soitChar"/>
          <w:u w:val="single"/>
        </w:rPr>
        <w:t>Flocage pâteux</w:t>
      </w:r>
    </w:p>
    <w:p w14:paraId="5ADD40DD" w14:textId="77777777" w:rsidR="00DF410E" w:rsidRDefault="00CE7F43">
      <w:pPr>
        <w:ind w:left="567"/>
        <w:jc w:val="both"/>
      </w:pPr>
      <w:r>
        <w:rPr>
          <w:rStyle w:val="soitChar"/>
        </w:rPr>
        <w:t>A base de gypse ou vermiculite.</w:t>
      </w:r>
    </w:p>
    <w:p w14:paraId="750E56D8" w14:textId="77777777" w:rsidR="00DF410E" w:rsidRDefault="00CE7F43">
      <w:pPr>
        <w:ind w:left="567"/>
        <w:jc w:val="both"/>
      </w:pPr>
      <w:r>
        <w:rPr>
          <w:rStyle w:val="soitChar"/>
        </w:rPr>
        <w:t>Le produit est exempt d’amiante, de silice cristallisée, ou de tout autre produit nocif ou toxique.</w:t>
      </w:r>
    </w:p>
    <w:p w14:paraId="42268046" w14:textId="77777777" w:rsidR="00DF410E" w:rsidRDefault="00CE7F43">
      <w:pPr>
        <w:ind w:left="567"/>
        <w:jc w:val="both"/>
      </w:pPr>
      <w:r>
        <w:rPr>
          <w:rStyle w:val="soitChar"/>
        </w:rPr>
        <w:t>Le flocage est appliqué mécaniquement à l’aide de machines à projeter qui respectent la granulométrie et la masse volumique des produits.</w:t>
      </w:r>
    </w:p>
    <w:p w14:paraId="5A13D52B" w14:textId="77777777" w:rsidR="00DF410E" w:rsidRDefault="00CE7F43">
      <w:pPr>
        <w:ind w:left="567"/>
        <w:jc w:val="both"/>
      </w:pPr>
      <w:r>
        <w:rPr>
          <w:b/>
          <w:i/>
        </w:rPr>
        <w:t>(Soit)</w:t>
      </w:r>
    </w:p>
    <w:p w14:paraId="45E5C75C" w14:textId="77777777" w:rsidR="00DF410E" w:rsidRDefault="00CE7F43">
      <w:pPr>
        <w:ind w:left="567"/>
        <w:jc w:val="both"/>
      </w:pPr>
      <w:r>
        <w:rPr>
          <w:rStyle w:val="soitChar"/>
          <w:u w:val="single"/>
        </w:rPr>
        <w:t>Sans traitement particulier</w:t>
      </w:r>
    </w:p>
    <w:p w14:paraId="1B1DEE1D" w14:textId="77777777" w:rsidR="00DF410E" w:rsidRDefault="00CE7F43">
      <w:pPr>
        <w:ind w:left="567"/>
        <w:jc w:val="both"/>
      </w:pPr>
      <w:r>
        <w:rPr>
          <w:rStyle w:val="soitChar"/>
        </w:rPr>
        <w:t>La résistance au feu est démontrée par test au feu selon la [NBN EN 13501-2] ou par calcul selon les Eurocodes conformément à l’[AM 2013-05-17].</w:t>
      </w:r>
    </w:p>
    <w:p w14:paraId="66449245" w14:textId="77777777" w:rsidR="00DF410E" w:rsidRDefault="00CE7F43">
      <w:pPr>
        <w:jc w:val="both"/>
      </w:pPr>
      <w:r>
        <w:t> </w:t>
      </w:r>
    </w:p>
    <w:p w14:paraId="6FAC42B2" w14:textId="77777777" w:rsidR="00DF410E" w:rsidRDefault="00CE7F43">
      <w:pPr>
        <w:jc w:val="both"/>
      </w:pPr>
      <w:r>
        <w:t xml:space="preserve">Le traitement au feu est décrit et comptabilisé séparément aux articles du </w:t>
      </w:r>
      <w:hyperlink r:id="rId143" w:history="1" w:docLocation="47">
        <w:r>
          <w:t>8 T8 Travaux de peinture / Traitements de surface</w:t>
        </w:r>
      </w:hyperlink>
      <w:r>
        <w:t xml:space="preserve"> mentionnés ci-dessus, sauf pour le traitement par flocage (fibreux ou pâteux) qui est entièrement décrit et  comptabilisé au présent article.</w:t>
      </w:r>
    </w:p>
    <w:p w14:paraId="3E879A81" w14:textId="77777777" w:rsidR="00DF410E" w:rsidRDefault="00CE7F43">
      <w:pPr>
        <w:pStyle w:val="pheading"/>
      </w:pPr>
      <w:r>
        <w:t>EXÉCUTION / MISE EN ŒUVRE</w:t>
      </w:r>
    </w:p>
    <w:p w14:paraId="733F19CE" w14:textId="77777777" w:rsidR="00DF410E" w:rsidRDefault="00CE7F43">
      <w:pPr>
        <w:pStyle w:val="pheading"/>
      </w:pPr>
      <w:r>
        <w:t>- Prescriptions générales</w:t>
      </w:r>
    </w:p>
    <w:p w14:paraId="56CDF6F6" w14:textId="77777777" w:rsidR="00DF410E" w:rsidRDefault="00CE7F43">
      <w:pPr>
        <w:jc w:val="both"/>
      </w:pPr>
      <w:r>
        <w:t>Les PRS sont exécutées conformément aux formes indiquées sur les plans et les coupes, et selon les dessins de détail annexés au cahier spécial des charges.</w:t>
      </w:r>
    </w:p>
    <w:p w14:paraId="36881069" w14:textId="77777777" w:rsidR="00DF410E" w:rsidRDefault="00CE7F43">
      <w:pPr>
        <w:jc w:val="both"/>
      </w:pPr>
      <w:r>
        <w:t>Lorsque le dossier d'adjudication ne contient pas de dessins de détail spécifiques, la forme des poutres PRS et les dimensions de bases sont données à titre indicatif.</w:t>
      </w:r>
    </w:p>
    <w:p w14:paraId="1CEA6C34" w14:textId="77777777" w:rsidR="00DF410E" w:rsidRDefault="00CE7F43">
      <w:pPr>
        <w:jc w:val="both"/>
      </w:pPr>
      <w:r>
        <w:t>L'entrepreneur est tenu de contrôler les dimensions sur place et de vérifier si les PRS peuvent être exécutées selon les plans soumis. Il y a lieu de tenir compte de la hauteur libre requise par rapport au niveau du sol. Lorsque cela s'avère impossible, il en avertit l'auteur de projet ou le bureau d’étude le jour même.</w:t>
      </w:r>
    </w:p>
    <w:p w14:paraId="6845DB7C" w14:textId="77777777" w:rsidR="00DF410E" w:rsidRDefault="00CE7F43">
      <w:pPr>
        <w:jc w:val="both"/>
      </w:pPr>
      <w:r>
        <w:t>Dans tous les cas, l'entrepreneur est tenu de réaliser les dessins d'exécution et de les soumettre préalablement à l'approbation de l'auteur de projet ou du bureau d’études. Les PRS sont exécutées dans les dimensions indiquées sur les plans d’exécution approuvés.</w:t>
      </w:r>
    </w:p>
    <w:p w14:paraId="5B0200A8" w14:textId="77777777" w:rsidR="00DF410E" w:rsidRDefault="00CE7F43">
      <w:pPr>
        <w:jc w:val="both"/>
      </w:pPr>
      <w:r>
        <w:t>L’entrepreneur veille à ce que la répartition des charges à l’appui de la poutre soit uniforme et compatible avec le support. Les longueurs d’appui sont proportionnées à la portée, aux charges et au type de support suivant le calcul du bureau d’études.</w:t>
      </w:r>
    </w:p>
    <w:p w14:paraId="76E01A59" w14:textId="77777777" w:rsidR="00DF410E" w:rsidRDefault="00CE7F43">
      <w:pPr>
        <w:jc w:val="both"/>
      </w:pPr>
      <w:r>
        <w:t xml:space="preserve">Longueur d’appui minimum à chaque extrémité des poutres : </w:t>
      </w:r>
      <w:r>
        <w:rPr>
          <w:rStyle w:val="optioncarChar"/>
        </w:rPr>
        <w:t xml:space="preserve">20 </w:t>
      </w:r>
      <w:r>
        <w:t>(par défaut)</w:t>
      </w:r>
      <w:r>
        <w:rPr>
          <w:rStyle w:val="optioncarChar"/>
        </w:rPr>
        <w:t xml:space="preserve"> / ***</w:t>
      </w:r>
      <w:r>
        <w:t xml:space="preserve"> cm.</w:t>
      </w:r>
    </w:p>
    <w:p w14:paraId="0E5FC910" w14:textId="77777777" w:rsidR="00DF410E" w:rsidRDefault="00CE7F43">
      <w:pPr>
        <w:jc w:val="both"/>
      </w:pPr>
      <w:r>
        <w:rPr>
          <w:b/>
          <w:u w:val="single"/>
        </w:rPr>
        <w:t>Asselets</w:t>
      </w:r>
    </w:p>
    <w:p w14:paraId="0BB120B1" w14:textId="77777777" w:rsidR="00DF410E" w:rsidRDefault="00CE7F43">
      <w:pPr>
        <w:jc w:val="both"/>
      </w:pPr>
      <w:r>
        <w:t xml:space="preserve">Les asselets nécessaires à la bonne répartition des charges sont décrits dans l’élément </w:t>
      </w:r>
      <w:hyperlink w:anchor="165" w:history="1">
        <w:r>
          <w:t>21.85.3a Réalisations d'asselets en béton armé dans une maçonnerie existante</w:t>
        </w:r>
      </w:hyperlink>
      <w:r>
        <w:t xml:space="preserve"> et le sous-titre </w:t>
      </w:r>
      <w:hyperlink w:anchor="497" w:history="1">
        <w:r>
          <w:t>22.42 Pièces d'appui en béton</w:t>
        </w:r>
      </w:hyperlink>
      <w:r>
        <w:t xml:space="preserve"> et aux éléments et articles qui en découlent.</w:t>
      </w:r>
    </w:p>
    <w:p w14:paraId="253FCA6B" w14:textId="77777777" w:rsidR="00DF410E" w:rsidRDefault="00CE7F43">
      <w:pPr>
        <w:jc w:val="both"/>
      </w:pPr>
      <w:r>
        <w:t xml:space="preserve">Les asselets sont comptabilisés séparément aux articles du </w:t>
      </w:r>
      <w:hyperlink w:anchor="41" w:history="1">
        <w:r>
          <w:t>2 T2 Superstructures</w:t>
        </w:r>
      </w:hyperlink>
      <w:r>
        <w:t xml:space="preserve"> mentionnés ci-dessus.</w:t>
      </w:r>
    </w:p>
    <w:p w14:paraId="1B45337B" w14:textId="77777777" w:rsidR="00DF410E" w:rsidRDefault="00CE7F43">
      <w:pPr>
        <w:pStyle w:val="pheading"/>
      </w:pPr>
      <w:r>
        <w:t>- Notes d’exécution complémentaires</w:t>
      </w:r>
    </w:p>
    <w:p w14:paraId="48D4A989" w14:textId="77777777" w:rsidR="00DF410E" w:rsidRDefault="00CE7F43">
      <w:pPr>
        <w:spacing w:after="0" w:line="256" w:lineRule="auto"/>
      </w:pPr>
      <w:r>
        <w:rPr>
          <w:rStyle w:val="facultChar"/>
        </w:rPr>
        <w:t xml:space="preserve"> Le présent élément comprend également des coupures thermiques</w:t>
      </w:r>
      <w:r>
        <w:t xml:space="preserve"> : </w:t>
      </w:r>
      <w:r>
        <w:rPr>
          <w:rStyle w:val="optioncarChar"/>
        </w:rPr>
        <w:t>***</w:t>
      </w:r>
      <w:r>
        <w:t>.</w:t>
      </w:r>
    </w:p>
    <w:p w14:paraId="2178BAEC" w14:textId="77777777" w:rsidR="00DF410E" w:rsidRDefault="00CE7F43">
      <w:pPr>
        <w:pStyle w:val="pheading"/>
      </w:pPr>
      <w:r>
        <w:t>DOCUMENTS DE RÉFÉRENCE COMPLÉMENTAIRES</w:t>
      </w:r>
    </w:p>
    <w:p w14:paraId="2FA7B485" w14:textId="77777777" w:rsidR="00DF410E" w:rsidRDefault="00CE7F43">
      <w:pPr>
        <w:pStyle w:val="pheading"/>
      </w:pPr>
      <w:r>
        <w:t>- Matériau</w:t>
      </w:r>
    </w:p>
    <w:p w14:paraId="4FC5226A" w14:textId="77777777" w:rsidR="00DF410E" w:rsidRDefault="00CE7F43">
      <w:r>
        <w:t>[NBN EN 10025 série, Produits laminés à chaud en aciers de construction]</w:t>
      </w:r>
    </w:p>
    <w:p w14:paraId="58C61D04" w14:textId="77777777" w:rsidR="00DF410E" w:rsidRDefault="00CE7F43">
      <w:r>
        <w:t>[NBN B 03-003, Déformation des structures - Valeurs limites de déformation - Bâtiments]</w:t>
      </w:r>
    </w:p>
    <w:p w14:paraId="4353FA7E"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7BD9E07" w14:textId="77777777" w:rsidR="00DF410E" w:rsidRDefault="00CE7F43">
      <w:r>
        <w:t>[AM 2013-05-17, Arrêté ministériel relatif à l’utilisation des Eurocodes comme méthodes de calcul pour l’évaluation de la résistance au feu d’éléments de construction]</w:t>
      </w:r>
    </w:p>
    <w:p w14:paraId="10641563" w14:textId="77777777" w:rsidR="00DF410E" w:rsidRDefault="00CE7F43">
      <w:pPr>
        <w:pStyle w:val="pheading"/>
      </w:pPr>
      <w:r>
        <w:t>MESURAGE</w:t>
      </w:r>
    </w:p>
    <w:p w14:paraId="6A953C32" w14:textId="77777777" w:rsidR="00DF410E" w:rsidRDefault="00CE7F43">
      <w:pPr>
        <w:pStyle w:val="pheading"/>
      </w:pPr>
      <w:r>
        <w:t>- unité de mesure:</w:t>
      </w:r>
    </w:p>
    <w:p w14:paraId="7A334412" w14:textId="77777777" w:rsidR="00DF410E" w:rsidRDefault="00CE7F43">
      <w:r>
        <w:rPr>
          <w:b/>
        </w:rPr>
        <w:t>POUTRE PRS</w:t>
      </w:r>
    </w:p>
    <w:p w14:paraId="1BC754B0" w14:textId="77777777" w:rsidR="00DF410E" w:rsidRDefault="00CE7F43">
      <w:r>
        <w:rPr>
          <w:rStyle w:val="optioncarChar"/>
        </w:rPr>
        <w:t xml:space="preserve">m </w:t>
      </w:r>
      <w:r>
        <w:t>(par défaut)</w:t>
      </w:r>
      <w:r>
        <w:rPr>
          <w:rStyle w:val="optioncarChar"/>
        </w:rPr>
        <w:t xml:space="preserve"> / pc / kg</w:t>
      </w:r>
    </w:p>
    <w:p w14:paraId="49089803" w14:textId="77777777" w:rsidR="00DF410E" w:rsidRDefault="00CE7F43">
      <w:r>
        <w:rPr>
          <w:b/>
          <w:i/>
        </w:rPr>
        <w:t>(Soit par défaut)</w:t>
      </w:r>
    </w:p>
    <w:p w14:paraId="69BC8E25" w14:textId="77777777" w:rsidR="00DF410E" w:rsidRDefault="00CE7F43">
      <w:r>
        <w:rPr>
          <w:rStyle w:val="soitChar"/>
        </w:rPr>
        <w:t> 1 ou 2. m.</w:t>
      </w:r>
    </w:p>
    <w:p w14:paraId="01A6003B" w14:textId="77777777" w:rsidR="00DF410E" w:rsidRDefault="00CE7F43">
      <w:r>
        <w:rPr>
          <w:b/>
          <w:i/>
        </w:rPr>
        <w:t>(Soit)</w:t>
      </w:r>
    </w:p>
    <w:p w14:paraId="5863824B" w14:textId="77777777" w:rsidR="00DF410E" w:rsidRDefault="00CE7F43">
      <w:r>
        <w:rPr>
          <w:rStyle w:val="soitChar"/>
        </w:rPr>
        <w:t>  3 ou 4. pc</w:t>
      </w:r>
    </w:p>
    <w:p w14:paraId="7C8A4D30" w14:textId="77777777" w:rsidR="00DF410E" w:rsidRDefault="00CE7F43">
      <w:r>
        <w:rPr>
          <w:b/>
          <w:i/>
        </w:rPr>
        <w:t>(Soit)</w:t>
      </w:r>
    </w:p>
    <w:p w14:paraId="60C01CDA" w14:textId="77777777" w:rsidR="00DF410E" w:rsidRDefault="00CE7F43">
      <w:r>
        <w:rPr>
          <w:rStyle w:val="soitChar"/>
        </w:rPr>
        <w:t>  5. kg</w:t>
      </w:r>
    </w:p>
    <w:p w14:paraId="451FBF1F" w14:textId="77777777" w:rsidR="00DF410E" w:rsidRDefault="00CE7F43">
      <w:r>
        <w:t> </w:t>
      </w:r>
    </w:p>
    <w:p w14:paraId="6DF3DFA0" w14:textId="77777777" w:rsidR="00DF410E" w:rsidRDefault="00CE7F43">
      <w:r>
        <w:rPr>
          <w:b/>
        </w:rPr>
        <w:t>FLOCAGE</w:t>
      </w:r>
    </w:p>
    <w:p w14:paraId="3FD6F563" w14:textId="77777777" w:rsidR="00DF410E" w:rsidRDefault="00CE7F43">
      <w:r>
        <w:t>Le traitement au feu par flocage est compté séparément et fait l’objet d’un (de) poste(s) supplémentaire(s) dans le présent article :</w:t>
      </w:r>
    </w:p>
    <w:p w14:paraId="34909EF9" w14:textId="77777777" w:rsidR="00DF410E" w:rsidRDefault="00CE7F43">
      <w:r>
        <w:rPr>
          <w:rStyle w:val="optioncarChar"/>
        </w:rPr>
        <w:t xml:space="preserve">m² </w:t>
      </w:r>
      <w:r>
        <w:t>(par défaut)</w:t>
      </w:r>
      <w:r>
        <w:rPr>
          <w:rStyle w:val="optioncarChar"/>
        </w:rPr>
        <w:t xml:space="preserve"> / m / pc.</w:t>
      </w:r>
    </w:p>
    <w:p w14:paraId="2B2F7F4A" w14:textId="77777777" w:rsidR="00DF410E" w:rsidRDefault="00CE7F43">
      <w:r>
        <w:rPr>
          <w:b/>
          <w:i/>
        </w:rPr>
        <w:t>(Soit par défaut)</w:t>
      </w:r>
    </w:p>
    <w:p w14:paraId="583302A3" w14:textId="77777777" w:rsidR="00DF410E" w:rsidRDefault="00CE7F43">
      <w:r>
        <w:rPr>
          <w:rStyle w:val="soitChar"/>
        </w:rPr>
        <w:t> 1. m².</w:t>
      </w:r>
    </w:p>
    <w:p w14:paraId="37F90F5E" w14:textId="77777777" w:rsidR="00DF410E" w:rsidRDefault="00CE7F43">
      <w:r>
        <w:rPr>
          <w:b/>
          <w:i/>
        </w:rPr>
        <w:t>(Soit)</w:t>
      </w:r>
    </w:p>
    <w:p w14:paraId="68CF4F0E" w14:textId="77777777" w:rsidR="00DF410E" w:rsidRDefault="00CE7F43">
      <w:r>
        <w:rPr>
          <w:rStyle w:val="soitChar"/>
        </w:rPr>
        <w:t> 2. m</w:t>
      </w:r>
    </w:p>
    <w:p w14:paraId="7418B7FB" w14:textId="77777777" w:rsidR="00DF410E" w:rsidRDefault="00CE7F43">
      <w:r>
        <w:rPr>
          <w:b/>
          <w:i/>
        </w:rPr>
        <w:t>(Soit)</w:t>
      </w:r>
    </w:p>
    <w:p w14:paraId="73570799" w14:textId="77777777" w:rsidR="00DF410E" w:rsidRDefault="00CE7F43">
      <w:r>
        <w:rPr>
          <w:rStyle w:val="soitChar"/>
        </w:rPr>
        <w:t> 3. pc</w:t>
      </w:r>
    </w:p>
    <w:p w14:paraId="6CCB7CAE" w14:textId="77777777" w:rsidR="00DF410E" w:rsidRDefault="00CE7F43">
      <w:pPr>
        <w:pStyle w:val="pheading"/>
      </w:pPr>
      <w:r>
        <w:t>- code de mesurage:</w:t>
      </w:r>
    </w:p>
    <w:p w14:paraId="557B020A" w14:textId="77777777" w:rsidR="00DF410E" w:rsidRDefault="00CE7F43">
      <w:pPr>
        <w:jc w:val="both"/>
      </w:pPr>
      <w:r>
        <w:rPr>
          <w:b/>
        </w:rPr>
        <w:t>POUTRE PRS</w:t>
      </w:r>
    </w:p>
    <w:p w14:paraId="6B0A29F3" w14:textId="77777777" w:rsidR="00DF410E" w:rsidRDefault="00CE7F43">
      <w:pPr>
        <w:jc w:val="both"/>
      </w:pPr>
      <w:r>
        <w:t>Distinctions faites suivant les formes des PRS, nuances et qualités d’acier.</w:t>
      </w:r>
    </w:p>
    <w:p w14:paraId="7FF833D4" w14:textId="77777777" w:rsidR="00DF410E" w:rsidRDefault="00CE7F43">
      <w:pPr>
        <w:jc w:val="both"/>
      </w:pPr>
      <w:r>
        <w:rPr>
          <w:rStyle w:val="optioncarChar"/>
        </w:rPr>
        <w:t xml:space="preserve">Longueur nette </w:t>
      </w:r>
      <w:r>
        <w:t xml:space="preserve">(par défaut) </w:t>
      </w:r>
      <w:r>
        <w:rPr>
          <w:rStyle w:val="optioncarChar"/>
        </w:rPr>
        <w:t>/ Longueur  d’exécution / Quantité nette / Quantité d’exécution / Masse.</w:t>
      </w:r>
    </w:p>
    <w:p w14:paraId="6FE94339" w14:textId="77777777" w:rsidR="00DF410E" w:rsidRDefault="00CE7F43">
      <w:pPr>
        <w:jc w:val="both"/>
      </w:pPr>
      <w:r>
        <w:rPr>
          <w:b/>
          <w:i/>
        </w:rPr>
        <w:t>(Soit par défaut)</w:t>
      </w:r>
    </w:p>
    <w:p w14:paraId="62C4E19C" w14:textId="77777777" w:rsidR="00DF410E" w:rsidRDefault="00CE7F43">
      <w:pPr>
        <w:jc w:val="both"/>
      </w:pPr>
      <w:r>
        <w:rPr>
          <w:rStyle w:val="soitChar"/>
        </w:rPr>
        <w:t xml:space="preserve">1.     </w:t>
      </w:r>
      <w:r>
        <w:rPr>
          <w:rStyle w:val="soitChar"/>
          <w:u w:val="single"/>
        </w:rPr>
        <w:t>Longueur nette</w:t>
      </w:r>
      <w:r>
        <w:rPr>
          <w:rStyle w:val="soitChar"/>
        </w:rPr>
        <w:t xml:space="preserve"> : Longueur de la portée à mettre en œuvre, appuis non comptés.</w:t>
      </w:r>
    </w:p>
    <w:p w14:paraId="360FF9E9" w14:textId="77777777" w:rsidR="00DF410E" w:rsidRDefault="00CE7F43">
      <w:pPr>
        <w:jc w:val="both"/>
      </w:pPr>
      <w:r>
        <w:rPr>
          <w:b/>
          <w:i/>
        </w:rPr>
        <w:t>(Soit)</w:t>
      </w:r>
    </w:p>
    <w:p w14:paraId="1DF32A20" w14:textId="77777777" w:rsidR="00DF410E" w:rsidRDefault="00CE7F43">
      <w:pPr>
        <w:jc w:val="both"/>
      </w:pPr>
      <w:r>
        <w:rPr>
          <w:rStyle w:val="soitChar"/>
        </w:rPr>
        <w:t xml:space="preserve">2.     </w:t>
      </w:r>
      <w:r>
        <w:rPr>
          <w:rStyle w:val="soitChar"/>
          <w:u w:val="single"/>
        </w:rPr>
        <w:t>Longueur d’exécution</w:t>
      </w:r>
      <w:r>
        <w:rPr>
          <w:rStyle w:val="soitChar"/>
        </w:rPr>
        <w:t> : longueur de la portée et longueurs d’appuis comprises.</w:t>
      </w:r>
    </w:p>
    <w:p w14:paraId="14A3D63C" w14:textId="77777777" w:rsidR="00DF410E" w:rsidRDefault="00CE7F43">
      <w:pPr>
        <w:jc w:val="both"/>
      </w:pPr>
      <w:r>
        <w:rPr>
          <w:b/>
          <w:i/>
        </w:rPr>
        <w:t>(Soit)</w:t>
      </w:r>
    </w:p>
    <w:p w14:paraId="6C5E6FA5" w14:textId="77777777" w:rsidR="00DF410E" w:rsidRDefault="00CE7F43">
      <w:pPr>
        <w:jc w:val="both"/>
      </w:pPr>
      <w:r>
        <w:rPr>
          <w:rStyle w:val="soitChar"/>
        </w:rPr>
        <w:t xml:space="preserve">3.     </w:t>
      </w:r>
      <w:r>
        <w:rPr>
          <w:rStyle w:val="soitChar"/>
          <w:u w:val="single"/>
        </w:rPr>
        <w:t>Quantité nette</w:t>
      </w:r>
      <w:r>
        <w:rPr>
          <w:rStyle w:val="soitChar"/>
        </w:rPr>
        <w:t>, selon les dimensions de la portée à mettre en œuvre, appuis non comptés.</w:t>
      </w:r>
    </w:p>
    <w:p w14:paraId="7DEE0174" w14:textId="77777777" w:rsidR="00DF410E" w:rsidRDefault="00CE7F43">
      <w:pPr>
        <w:jc w:val="both"/>
      </w:pPr>
      <w:r>
        <w:rPr>
          <w:b/>
          <w:i/>
        </w:rPr>
        <w:t>(Soit)</w:t>
      </w:r>
    </w:p>
    <w:p w14:paraId="2EBAAA5D" w14:textId="77777777" w:rsidR="00DF410E" w:rsidRDefault="00CE7F43">
      <w:pPr>
        <w:jc w:val="both"/>
      </w:pPr>
      <w:r>
        <w:rPr>
          <w:rStyle w:val="soitChar"/>
        </w:rPr>
        <w:t xml:space="preserve">4.     </w:t>
      </w:r>
      <w:r>
        <w:rPr>
          <w:rStyle w:val="soitChar"/>
          <w:u w:val="single"/>
        </w:rPr>
        <w:t>Quantité d’exécution</w:t>
      </w:r>
      <w:r>
        <w:rPr>
          <w:rStyle w:val="soitChar"/>
        </w:rPr>
        <w:t>, selon les dimensions de la portée et longueurs d’appuis comprises.</w:t>
      </w:r>
    </w:p>
    <w:p w14:paraId="4A2688ED" w14:textId="77777777" w:rsidR="00DF410E" w:rsidRDefault="00CE7F43">
      <w:pPr>
        <w:jc w:val="both"/>
      </w:pPr>
      <w:r>
        <w:rPr>
          <w:b/>
          <w:i/>
        </w:rPr>
        <w:t>(Soit)</w:t>
      </w:r>
    </w:p>
    <w:p w14:paraId="435FCF74" w14:textId="77777777" w:rsidR="00DF410E" w:rsidRDefault="00CE7F43">
      <w:pPr>
        <w:jc w:val="both"/>
      </w:pPr>
      <w:r>
        <w:rPr>
          <w:rStyle w:val="soitChar"/>
        </w:rPr>
        <w:t xml:space="preserve">5.     </w:t>
      </w:r>
      <w:r>
        <w:rPr>
          <w:rStyle w:val="soitChar"/>
          <w:u w:val="single"/>
        </w:rPr>
        <w:t>Masse</w:t>
      </w:r>
      <w:r>
        <w:rPr>
          <w:rStyle w:val="soitChar"/>
        </w:rPr>
        <w:t> : masse d’acier pour toutes dimensions et types de profilés. Y compris les masses des pièces spéciales fixées aux poutres telles que pattes et autres accessoires de liaison.</w:t>
      </w:r>
    </w:p>
    <w:p w14:paraId="4DA6696F" w14:textId="77777777" w:rsidR="00DF410E" w:rsidRDefault="00CE7F43">
      <w:pPr>
        <w:jc w:val="both"/>
      </w:pPr>
      <w:r>
        <w:t> </w:t>
      </w:r>
    </w:p>
    <w:p w14:paraId="0427AE6E" w14:textId="77777777" w:rsidR="00DF410E" w:rsidRDefault="00CE7F43">
      <w:pPr>
        <w:jc w:val="both"/>
      </w:pPr>
      <w:r>
        <w:rPr>
          <w:b/>
        </w:rPr>
        <w:t>FLOCAGE</w:t>
      </w:r>
    </w:p>
    <w:p w14:paraId="015B630B" w14:textId="77777777" w:rsidR="00DF410E" w:rsidRDefault="00CE7F43">
      <w:pPr>
        <w:jc w:val="both"/>
      </w:pPr>
      <w:r>
        <w:rPr>
          <w:rStyle w:val="optioncarChar"/>
        </w:rPr>
        <w:t xml:space="preserve">Surface nette </w:t>
      </w:r>
      <w:r>
        <w:t xml:space="preserve">(par défaut) </w:t>
      </w:r>
      <w:r>
        <w:rPr>
          <w:rStyle w:val="optioncarChar"/>
        </w:rPr>
        <w:t>/ Longueur nette / Quantité nette.</w:t>
      </w:r>
    </w:p>
    <w:p w14:paraId="29F34F80" w14:textId="77777777" w:rsidR="00DF410E" w:rsidRDefault="00CE7F43">
      <w:pPr>
        <w:jc w:val="both"/>
      </w:pPr>
      <w:r>
        <w:rPr>
          <w:b/>
          <w:i/>
        </w:rPr>
        <w:t>(Soit par défaut)</w:t>
      </w:r>
    </w:p>
    <w:p w14:paraId="763DA54F" w14:textId="77777777" w:rsidR="00DF410E" w:rsidRDefault="00CE7F43">
      <w:pPr>
        <w:jc w:val="both"/>
      </w:pPr>
      <w:r>
        <w:rPr>
          <w:rStyle w:val="soitChar"/>
        </w:rPr>
        <w:t>1.    </w:t>
      </w:r>
      <w:r>
        <w:rPr>
          <w:rStyle w:val="soitChar"/>
          <w:u w:val="single"/>
        </w:rPr>
        <w:t xml:space="preserve"> Surface nette</w:t>
      </w:r>
      <w:r>
        <w:rPr>
          <w:rStyle w:val="soitChar"/>
        </w:rPr>
        <w:t xml:space="preserve"> à traiter.</w:t>
      </w:r>
    </w:p>
    <w:p w14:paraId="35FBBBCD" w14:textId="77777777" w:rsidR="00DF410E" w:rsidRDefault="00CE7F43">
      <w:pPr>
        <w:jc w:val="both"/>
      </w:pPr>
      <w:r>
        <w:rPr>
          <w:b/>
          <w:i/>
        </w:rPr>
        <w:t>(Soit)</w:t>
      </w:r>
    </w:p>
    <w:p w14:paraId="15607F84" w14:textId="77777777" w:rsidR="00DF410E" w:rsidRDefault="00CE7F43">
      <w:pPr>
        <w:jc w:val="both"/>
      </w:pPr>
      <w:r>
        <w:rPr>
          <w:rStyle w:val="soitChar"/>
        </w:rPr>
        <w:t>2.    </w:t>
      </w:r>
      <w:r>
        <w:rPr>
          <w:rStyle w:val="soitChar"/>
          <w:u w:val="single"/>
        </w:rPr>
        <w:t xml:space="preserve"> Longueur nette</w:t>
      </w:r>
      <w:r>
        <w:rPr>
          <w:rStyle w:val="soitChar"/>
        </w:rPr>
        <w:t xml:space="preserve"> à traiter.</w:t>
      </w:r>
    </w:p>
    <w:p w14:paraId="3208AED7" w14:textId="77777777" w:rsidR="00DF410E" w:rsidRDefault="00CE7F43">
      <w:pPr>
        <w:jc w:val="both"/>
      </w:pPr>
      <w:r>
        <w:rPr>
          <w:b/>
          <w:i/>
        </w:rPr>
        <w:t>(Soit)</w:t>
      </w:r>
    </w:p>
    <w:p w14:paraId="12283750" w14:textId="77777777" w:rsidR="00DF410E" w:rsidRDefault="00CE7F43">
      <w:pPr>
        <w:jc w:val="both"/>
      </w:pPr>
      <w:r>
        <w:rPr>
          <w:rStyle w:val="soitChar"/>
        </w:rPr>
        <w:t>3.    </w:t>
      </w:r>
      <w:r>
        <w:rPr>
          <w:rStyle w:val="soitChar"/>
          <w:u w:val="single"/>
        </w:rPr>
        <w:t xml:space="preserve"> Quantité nette</w:t>
      </w:r>
      <w:r>
        <w:rPr>
          <w:rStyle w:val="soitChar"/>
        </w:rPr>
        <w:t>, ventilée selon les dimensions et les sections des profilés.</w:t>
      </w:r>
    </w:p>
    <w:p w14:paraId="2BDEBD4C" w14:textId="77777777" w:rsidR="00DF410E" w:rsidRDefault="00CE7F43">
      <w:pPr>
        <w:pStyle w:val="pheading"/>
      </w:pPr>
      <w:r>
        <w:t>- nature du marché:</w:t>
      </w:r>
    </w:p>
    <w:p w14:paraId="1B10E028" w14:textId="77777777" w:rsidR="00DF410E" w:rsidRDefault="00CE7F43">
      <w:r>
        <w:rPr>
          <w:b/>
        </w:rPr>
        <w:t>POUTRE PRS</w:t>
      </w:r>
    </w:p>
    <w:p w14:paraId="7174264F" w14:textId="77777777" w:rsidR="00DF410E" w:rsidRDefault="00CE7F43">
      <w:r>
        <w:t>QF</w:t>
      </w:r>
    </w:p>
    <w:p w14:paraId="0FEEA55B" w14:textId="77777777" w:rsidR="00DF410E" w:rsidRDefault="00CE7F43">
      <w:r>
        <w:t> </w:t>
      </w:r>
    </w:p>
    <w:p w14:paraId="514A42E3" w14:textId="77777777" w:rsidR="00DF410E" w:rsidRDefault="00CE7F43">
      <w:r>
        <w:rPr>
          <w:b/>
        </w:rPr>
        <w:t>FLOCAGE</w:t>
      </w:r>
    </w:p>
    <w:p w14:paraId="28F4EC76" w14:textId="77777777" w:rsidR="00DF410E" w:rsidRDefault="00CE7F43">
      <w:r>
        <w:t>QF</w:t>
      </w:r>
    </w:p>
    <w:p w14:paraId="57203738" w14:textId="77777777" w:rsidR="00DF410E" w:rsidRDefault="00CE7F43">
      <w:pPr>
        <w:pStyle w:val="Author-eSectionHeading6"/>
      </w:pPr>
      <w:bookmarkStart w:id="1138" w:name="_Toc178838262"/>
      <w:r>
        <w:t>23.11.1c Poutres en treillis en acier CCTB 01.11</w:t>
      </w:r>
      <w:bookmarkEnd w:id="1138"/>
    </w:p>
    <w:p w14:paraId="09F33CB5" w14:textId="77777777" w:rsidR="00DF410E" w:rsidRDefault="00CE7F43">
      <w:pPr>
        <w:pStyle w:val="pheading"/>
      </w:pPr>
      <w:r>
        <w:t>DESCRIPTION</w:t>
      </w:r>
    </w:p>
    <w:p w14:paraId="536CABAB" w14:textId="77777777" w:rsidR="00DF410E" w:rsidRDefault="00CE7F43">
      <w:pPr>
        <w:pStyle w:val="pheading"/>
      </w:pPr>
      <w:r>
        <w:t>- Définition / Comprend</w:t>
      </w:r>
    </w:p>
    <w:p w14:paraId="0B0296A4" w14:textId="77777777" w:rsidR="00DF410E" w:rsidRDefault="00DF410E"/>
    <w:p w14:paraId="7D59CB0B" w14:textId="77777777" w:rsidR="00DF410E" w:rsidRDefault="00CE7F43">
      <w:r>
        <w:rPr>
          <w:rFonts w:ascii="Calibri"/>
          <w:sz w:val="22"/>
        </w:rPr>
        <w:t>Il s'agit de l</w:t>
      </w:r>
      <w:r>
        <w:rPr>
          <w:rFonts w:ascii="Calibri"/>
          <w:sz w:val="22"/>
        </w:rPr>
        <w:t>’</w:t>
      </w:r>
      <w:r>
        <w:rPr>
          <w:rFonts w:ascii="Calibri"/>
          <w:sz w:val="22"/>
        </w:rPr>
        <w:t>ensemble des poutres en treillis constitu</w:t>
      </w:r>
      <w:r>
        <w:rPr>
          <w:rFonts w:ascii="Calibri"/>
          <w:sz w:val="22"/>
        </w:rPr>
        <w:t>é</w:t>
      </w:r>
      <w:r>
        <w:rPr>
          <w:rFonts w:ascii="Calibri"/>
          <w:sz w:val="22"/>
        </w:rPr>
        <w:t>es d</w:t>
      </w:r>
      <w:r>
        <w:rPr>
          <w:rFonts w:ascii="Calibri"/>
          <w:sz w:val="22"/>
        </w:rPr>
        <w:t>’é</w:t>
      </w:r>
      <w:r>
        <w:rPr>
          <w:rFonts w:ascii="Calibri"/>
          <w:sz w:val="22"/>
        </w:rPr>
        <w:t>l</w:t>
      </w:r>
      <w:r>
        <w:rPr>
          <w:rFonts w:ascii="Calibri"/>
          <w:sz w:val="22"/>
        </w:rPr>
        <w:t>é</w:t>
      </w:r>
      <w:r>
        <w:rPr>
          <w:rFonts w:ascii="Calibri"/>
          <w:sz w:val="22"/>
        </w:rPr>
        <w:t>ments en acier lamin</w:t>
      </w:r>
      <w:r>
        <w:rPr>
          <w:rFonts w:ascii="Calibri"/>
          <w:sz w:val="22"/>
        </w:rPr>
        <w:t>é</w:t>
      </w:r>
      <w:r>
        <w:rPr>
          <w:rFonts w:ascii="Calibri"/>
          <w:sz w:val="22"/>
        </w:rPr>
        <w:t xml:space="preserve">s </w:t>
      </w:r>
      <w:r>
        <w:rPr>
          <w:rFonts w:ascii="Calibri"/>
          <w:sz w:val="22"/>
        </w:rPr>
        <w:t>à</w:t>
      </w:r>
      <w:r>
        <w:rPr>
          <w:rFonts w:ascii="Calibri"/>
          <w:sz w:val="22"/>
        </w:rPr>
        <w:t xml:space="preserve"> chaud conformes </w:t>
      </w:r>
      <w:r>
        <w:rPr>
          <w:rFonts w:ascii="Calibri"/>
          <w:sz w:val="22"/>
        </w:rPr>
        <w:t>à</w:t>
      </w:r>
      <w:r>
        <w:rPr>
          <w:rFonts w:ascii="Calibri"/>
          <w:sz w:val="22"/>
        </w:rPr>
        <w:t xml:space="preserve"> la</w:t>
      </w:r>
      <w:r>
        <w:rPr>
          <w:rFonts w:ascii="Calibri"/>
          <w:sz w:val="22"/>
        </w:rPr>
        <w:t> </w:t>
      </w:r>
      <w:r>
        <w:t>[NBN EN 10025 série]. </w:t>
      </w:r>
    </w:p>
    <w:p w14:paraId="78CF7169" w14:textId="77777777" w:rsidR="00DF410E" w:rsidRDefault="00CE7F43">
      <w:r>
        <w:t>Une poutre en treillis est formée d’éléments assemblés entre eux formant une triangulation. Cette poutre comprend deux membrures reliées par des éléments verticaux et/ou obliques (montants et/ou diagonales). La réalisation de cette poutre est conforme à la [NBN EN 1090-2]. </w:t>
      </w:r>
    </w:p>
    <w:p w14:paraId="493EB245" w14:textId="77777777" w:rsidR="00DF410E" w:rsidRDefault="00CE7F43">
      <w:pPr>
        <w:pStyle w:val="pheading"/>
      </w:pPr>
      <w:r>
        <w:t>- Localisation</w:t>
      </w:r>
    </w:p>
    <w:p w14:paraId="0549D4EA" w14:textId="77777777" w:rsidR="00DF410E" w:rsidRDefault="00DF410E"/>
    <w:p w14:paraId="7C79D24C"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w:t>
      </w:r>
      <w:r>
        <w:t>. </w:t>
      </w:r>
    </w:p>
    <w:p w14:paraId="68859DC6" w14:textId="77777777" w:rsidR="00DF410E" w:rsidRDefault="00CE7F43">
      <w:pPr>
        <w:pStyle w:val="pheading"/>
      </w:pPr>
      <w:r>
        <w:t>EXÉCUTION / MISE EN ŒUVRE</w:t>
      </w:r>
    </w:p>
    <w:p w14:paraId="6902B1FC" w14:textId="77777777" w:rsidR="00DF410E" w:rsidRDefault="00CE7F43">
      <w:pPr>
        <w:pStyle w:val="pheading"/>
      </w:pPr>
      <w:r>
        <w:t>- Notes d’exécution complémentaires</w:t>
      </w:r>
    </w:p>
    <w:p w14:paraId="2772F075" w14:textId="77777777" w:rsidR="00DF410E" w:rsidRDefault="00CE7F43">
      <w:r>
        <w:rPr>
          <w:rStyle w:val="facultChar"/>
        </w:rPr>
        <w:t xml:space="preserve"> Le présent article comprend également des coupures thermiques : des dispositifs adéquats sont utilisés pour éviter tout pont thermique. </w:t>
      </w:r>
    </w:p>
    <w:p w14:paraId="7F7F7F28" w14:textId="77777777" w:rsidR="00DF410E" w:rsidRDefault="00CE7F43">
      <w:pPr>
        <w:pStyle w:val="pheading"/>
      </w:pPr>
      <w:r>
        <w:t>MESURAGE</w:t>
      </w:r>
    </w:p>
    <w:p w14:paraId="593E2CBF" w14:textId="77777777" w:rsidR="00DF410E" w:rsidRDefault="00CE7F43">
      <w:pPr>
        <w:pStyle w:val="pheading"/>
      </w:pPr>
      <w:r>
        <w:t>- unité de mesure:</w:t>
      </w:r>
    </w:p>
    <w:p w14:paraId="4147881C" w14:textId="77777777" w:rsidR="00DF410E" w:rsidRDefault="00CE7F43">
      <w:r>
        <w:rPr>
          <w:b/>
        </w:rPr>
        <w:t>POUTRE</w:t>
      </w:r>
    </w:p>
    <w:p w14:paraId="703D6326" w14:textId="77777777" w:rsidR="00DF410E" w:rsidRDefault="00CE7F43">
      <w:r>
        <w:rPr>
          <w:rStyle w:val="optioncarChar"/>
        </w:rPr>
        <w:t>kg </w:t>
      </w:r>
      <w:r>
        <w:t xml:space="preserve">(par défaut) </w:t>
      </w:r>
      <w:r>
        <w:rPr>
          <w:rStyle w:val="optioncarChar"/>
        </w:rPr>
        <w:t>/ m / pc.</w:t>
      </w:r>
    </w:p>
    <w:p w14:paraId="7E11A5DB" w14:textId="77777777" w:rsidR="00DF410E" w:rsidRDefault="00DF410E"/>
    <w:p w14:paraId="0614C8E9" w14:textId="77777777" w:rsidR="00DF410E" w:rsidRDefault="00DF410E"/>
    <w:p w14:paraId="666C39FB" w14:textId="77777777" w:rsidR="00DF410E" w:rsidRDefault="00CE7F43">
      <w:r>
        <w:rPr>
          <w:b/>
          <w:i/>
        </w:rPr>
        <w:t>(Soit par défaut)</w:t>
      </w:r>
    </w:p>
    <w:p w14:paraId="60F939E2" w14:textId="77777777" w:rsidR="00DF410E" w:rsidRDefault="00CE7F43">
      <w:r>
        <w:rPr>
          <w:rStyle w:val="soitChar"/>
        </w:rPr>
        <w:t> 1. kg.</w:t>
      </w:r>
    </w:p>
    <w:p w14:paraId="542E7BED" w14:textId="77777777" w:rsidR="00DF410E" w:rsidRDefault="00CE7F43">
      <w:r>
        <w:rPr>
          <w:b/>
          <w:i/>
        </w:rPr>
        <w:t>(Soit)</w:t>
      </w:r>
    </w:p>
    <w:p w14:paraId="1655115C" w14:textId="77777777" w:rsidR="00DF410E" w:rsidRDefault="00CE7F43">
      <w:r>
        <w:rPr>
          <w:rStyle w:val="soitChar"/>
        </w:rPr>
        <w:t>  2 ou 3. m</w:t>
      </w:r>
    </w:p>
    <w:p w14:paraId="5887BD3A" w14:textId="77777777" w:rsidR="00DF410E" w:rsidRDefault="00CE7F43">
      <w:r>
        <w:rPr>
          <w:b/>
          <w:i/>
        </w:rPr>
        <w:t>(Soit)</w:t>
      </w:r>
    </w:p>
    <w:p w14:paraId="6A734CDC" w14:textId="77777777" w:rsidR="00DF410E" w:rsidRDefault="00CE7F43">
      <w:r>
        <w:rPr>
          <w:rStyle w:val="soitChar"/>
        </w:rPr>
        <w:t>  4 ou 5. pc</w:t>
      </w:r>
    </w:p>
    <w:p w14:paraId="64587840" w14:textId="77777777" w:rsidR="00DF410E" w:rsidRDefault="00CE7F43">
      <w:r>
        <w:rPr>
          <w:rStyle w:val="soitChar"/>
        </w:rPr>
        <w:t> </w:t>
      </w:r>
    </w:p>
    <w:p w14:paraId="310A1168" w14:textId="77777777" w:rsidR="00DF410E" w:rsidRDefault="00CE7F43">
      <w:r>
        <w:rPr>
          <w:b/>
        </w:rPr>
        <w:t>FLOCAGE</w:t>
      </w:r>
    </w:p>
    <w:p w14:paraId="6A4A9AAB" w14:textId="77777777" w:rsidR="00DF410E" w:rsidRDefault="00CE7F43">
      <w:r>
        <w:t>Le traitement au feu par flocage est compté séparément et fait l’objet d’un (de) poste(s) supplémentaire(s) dans le présent article :</w:t>
      </w:r>
    </w:p>
    <w:p w14:paraId="4B1C94CC" w14:textId="77777777" w:rsidR="00DF410E" w:rsidRDefault="00CE7F43">
      <w:r>
        <w:rPr>
          <w:rStyle w:val="optioncarChar"/>
        </w:rPr>
        <w:t xml:space="preserve">m² </w:t>
      </w:r>
      <w:r>
        <w:t>(par défaut)</w:t>
      </w:r>
      <w:r>
        <w:rPr>
          <w:rStyle w:val="optioncarChar"/>
        </w:rPr>
        <w:t xml:space="preserve"> / m / pc.</w:t>
      </w:r>
    </w:p>
    <w:p w14:paraId="2285278F" w14:textId="77777777" w:rsidR="00DF410E" w:rsidRDefault="00CE7F43">
      <w:r>
        <w:rPr>
          <w:b/>
          <w:i/>
        </w:rPr>
        <w:t>(Soit par défaut)</w:t>
      </w:r>
    </w:p>
    <w:p w14:paraId="694B5D6E" w14:textId="77777777" w:rsidR="00DF410E" w:rsidRDefault="00CE7F43">
      <w:r>
        <w:rPr>
          <w:rStyle w:val="soitChar"/>
        </w:rPr>
        <w:t> 1. m².</w:t>
      </w:r>
    </w:p>
    <w:p w14:paraId="0B4C45EB" w14:textId="77777777" w:rsidR="00DF410E" w:rsidRDefault="00CE7F43">
      <w:r>
        <w:rPr>
          <w:b/>
          <w:i/>
        </w:rPr>
        <w:t>(Soit)</w:t>
      </w:r>
    </w:p>
    <w:p w14:paraId="0822ECA4" w14:textId="77777777" w:rsidR="00DF410E" w:rsidRDefault="00CE7F43">
      <w:r>
        <w:rPr>
          <w:rStyle w:val="soitChar"/>
        </w:rPr>
        <w:t> 2. m</w:t>
      </w:r>
    </w:p>
    <w:p w14:paraId="3EDCFFC2" w14:textId="77777777" w:rsidR="00DF410E" w:rsidRDefault="00CE7F43">
      <w:r>
        <w:rPr>
          <w:b/>
          <w:i/>
        </w:rPr>
        <w:t>(Soit)</w:t>
      </w:r>
    </w:p>
    <w:p w14:paraId="3F4C8773" w14:textId="77777777" w:rsidR="00DF410E" w:rsidRDefault="00CE7F43">
      <w:r>
        <w:rPr>
          <w:rStyle w:val="soitChar"/>
        </w:rPr>
        <w:t> 3. pc</w:t>
      </w:r>
    </w:p>
    <w:p w14:paraId="75F515AD" w14:textId="77777777" w:rsidR="00DF410E" w:rsidRDefault="00DF410E"/>
    <w:p w14:paraId="564D71F3" w14:textId="77777777" w:rsidR="00DF410E" w:rsidRDefault="00CE7F43">
      <w:r>
        <w:rPr>
          <w:b/>
        </w:rPr>
        <w:t>COUPURE THERMIQUE</w:t>
      </w:r>
    </w:p>
    <w:p w14:paraId="74196AE4" w14:textId="77777777" w:rsidR="00DF410E" w:rsidRDefault="00CE7F43">
      <w:r>
        <w:rPr>
          <w:rStyle w:val="optioncarChar"/>
        </w:rPr>
        <w:t>pièce</w:t>
      </w:r>
    </w:p>
    <w:p w14:paraId="0E269116" w14:textId="77777777" w:rsidR="00DF410E" w:rsidRDefault="00CE7F43">
      <w:pPr>
        <w:pStyle w:val="pheading"/>
      </w:pPr>
      <w:r>
        <w:t>- code de mesurage:</w:t>
      </w:r>
    </w:p>
    <w:p w14:paraId="7898ADF7" w14:textId="77777777" w:rsidR="00DF410E" w:rsidRDefault="00DF410E"/>
    <w:p w14:paraId="1456C6AF" w14:textId="77777777" w:rsidR="00DF410E" w:rsidRDefault="00DF410E"/>
    <w:p w14:paraId="6010D50E" w14:textId="77777777" w:rsidR="00DF410E" w:rsidRDefault="00CE7F43">
      <w:r>
        <w:rPr>
          <w:b/>
        </w:rPr>
        <w:t>POUTRE</w:t>
      </w:r>
    </w:p>
    <w:p w14:paraId="00CA5DBF" w14:textId="77777777" w:rsidR="00DF410E" w:rsidRDefault="00CE7F43">
      <w:r>
        <w:t>Distinctions faites suivant les types de profilés, nuances et qualités d’acier.</w:t>
      </w:r>
    </w:p>
    <w:p w14:paraId="6E7B0BD3"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01819AA3" w14:textId="77777777" w:rsidR="00DF410E" w:rsidRDefault="00CE7F43">
      <w:r>
        <w:rPr>
          <w:b/>
          <w:i/>
        </w:rPr>
        <w:t>(Soit par défaut)</w:t>
      </w:r>
    </w:p>
    <w:p w14:paraId="64161D54"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F700F9C" w14:textId="77777777" w:rsidR="00DF410E" w:rsidRDefault="00CE7F43">
      <w:r>
        <w:rPr>
          <w:b/>
          <w:i/>
        </w:rPr>
        <w:t>(Soit)</w:t>
      </w:r>
    </w:p>
    <w:p w14:paraId="4913AEC9"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3252A11" w14:textId="77777777" w:rsidR="00DF410E" w:rsidRDefault="00CE7F43">
      <w:r>
        <w:rPr>
          <w:b/>
          <w:i/>
        </w:rPr>
        <w:t>(Soit)</w:t>
      </w:r>
    </w:p>
    <w:p w14:paraId="13CB87E0"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2284A9C" w14:textId="77777777" w:rsidR="00DF410E" w:rsidRDefault="00CE7F43">
      <w:r>
        <w:rPr>
          <w:b/>
          <w:i/>
        </w:rPr>
        <w:t>(Soit)</w:t>
      </w:r>
    </w:p>
    <w:p w14:paraId="5EC2F8EB"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8D43CB1" w14:textId="77777777" w:rsidR="00DF410E" w:rsidRDefault="00CE7F43">
      <w:r>
        <w:rPr>
          <w:b/>
          <w:i/>
        </w:rPr>
        <w:t>(Soit)</w:t>
      </w:r>
    </w:p>
    <w:p w14:paraId="012943AC"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2715CA38" w14:textId="77777777" w:rsidR="00DF410E" w:rsidRDefault="00DF410E"/>
    <w:p w14:paraId="09FB8AAF" w14:textId="77777777" w:rsidR="00DF410E" w:rsidRDefault="00CE7F43">
      <w:r>
        <w:rPr>
          <w:b/>
        </w:rPr>
        <w:t>FLOCAGE</w:t>
      </w:r>
    </w:p>
    <w:p w14:paraId="12040D5E"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0818A4E" w14:textId="77777777" w:rsidR="00DF410E" w:rsidRDefault="00CE7F43">
      <w:r>
        <w:rPr>
          <w:b/>
          <w:i/>
        </w:rPr>
        <w:t>(Soit par défaut)</w:t>
      </w:r>
    </w:p>
    <w:p w14:paraId="44A3A88A"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5585A254" w14:textId="77777777" w:rsidR="00DF410E" w:rsidRDefault="00CE7F43">
      <w:r>
        <w:rPr>
          <w:b/>
          <w:i/>
        </w:rPr>
        <w:t>(Soit)</w:t>
      </w:r>
    </w:p>
    <w:p w14:paraId="02B15573"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6827C397" w14:textId="77777777" w:rsidR="00DF410E" w:rsidRDefault="00CE7F43">
      <w:r>
        <w:rPr>
          <w:b/>
          <w:i/>
        </w:rPr>
        <w:t>(Soit)</w:t>
      </w:r>
    </w:p>
    <w:p w14:paraId="58875524"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5ADA3C63" w14:textId="77777777" w:rsidR="00DF410E" w:rsidRDefault="00DF410E"/>
    <w:p w14:paraId="014B9AE7" w14:textId="77777777" w:rsidR="00DF410E" w:rsidRDefault="00CE7F43">
      <w:pPr>
        <w:spacing w:after="0" w:line="256" w:lineRule="auto"/>
        <w:jc w:val="both"/>
      </w:pPr>
      <w:r>
        <w:rPr>
          <w:b/>
        </w:rPr>
        <w:t>COUPURE THERMIQUE</w:t>
      </w:r>
    </w:p>
    <w:p w14:paraId="4C8249D6" w14:textId="77777777" w:rsidR="00DF410E" w:rsidRDefault="00CE7F43">
      <w:r>
        <w:rPr>
          <w:rStyle w:val="optioncarChar"/>
        </w:rPr>
        <w:t>À la pièce, ventilée suivant les types d’éléments</w:t>
      </w:r>
    </w:p>
    <w:p w14:paraId="3D57803E" w14:textId="77777777" w:rsidR="00DF410E" w:rsidRDefault="00CE7F43">
      <w:pPr>
        <w:pStyle w:val="pheading"/>
      </w:pPr>
      <w:r>
        <w:t>- nature du marché:</w:t>
      </w:r>
    </w:p>
    <w:p w14:paraId="60DFA63C" w14:textId="77777777" w:rsidR="00DF410E" w:rsidRDefault="00DF410E"/>
    <w:p w14:paraId="7EF93238" w14:textId="77777777" w:rsidR="00DF410E" w:rsidRDefault="00DF410E"/>
    <w:p w14:paraId="39089A29" w14:textId="77777777" w:rsidR="00DF410E" w:rsidRDefault="00CE7F43">
      <w:r>
        <w:rPr>
          <w:rStyle w:val="optioncarChar"/>
        </w:rPr>
        <w:t>QF</w:t>
      </w:r>
      <w:r>
        <w:t xml:space="preserve"> (par défaut) </w:t>
      </w:r>
      <w:r>
        <w:rPr>
          <w:rStyle w:val="optioncarChar"/>
        </w:rPr>
        <w:t>/ QP</w:t>
      </w:r>
    </w:p>
    <w:p w14:paraId="1A0EEEA3" w14:textId="77777777" w:rsidR="00DF410E" w:rsidRDefault="00CE7F43">
      <w:pPr>
        <w:pStyle w:val="soit"/>
      </w:pPr>
      <w:r>
        <w:rPr>
          <w:rStyle w:val="normalChar"/>
          <w:b/>
          <w:i/>
          <w:color w:val="000000"/>
        </w:rPr>
        <w:t xml:space="preserve">(Soit par défaut) </w:t>
      </w:r>
    </w:p>
    <w:p w14:paraId="49E5B197" w14:textId="77777777" w:rsidR="00DF410E" w:rsidRDefault="00CE7F43">
      <w:r>
        <w:rPr>
          <w:rStyle w:val="soitChar"/>
        </w:rPr>
        <w:t xml:space="preserve">1. QF </w:t>
      </w:r>
    </w:p>
    <w:p w14:paraId="0BDAC78C" w14:textId="77777777" w:rsidR="00DF410E" w:rsidRDefault="00CE7F43">
      <w:r>
        <w:rPr>
          <w:b/>
          <w:i/>
        </w:rPr>
        <w:t>(Soit)</w:t>
      </w:r>
    </w:p>
    <w:p w14:paraId="63260998" w14:textId="77777777" w:rsidR="00DF410E" w:rsidRDefault="00CE7F43">
      <w:r>
        <w:rPr>
          <w:rStyle w:val="soitChar"/>
        </w:rPr>
        <w:t>2. QP</w:t>
      </w:r>
    </w:p>
    <w:p w14:paraId="454AEDDA" w14:textId="77777777" w:rsidR="00DF410E" w:rsidRDefault="00CE7F43">
      <w:pPr>
        <w:pStyle w:val="pheading"/>
      </w:pPr>
      <w:r>
        <w:t>AIDE</w:t>
      </w:r>
    </w:p>
    <w:p w14:paraId="669391AB" w14:textId="77777777" w:rsidR="00DF410E" w:rsidRDefault="00CE7F43">
      <w:r>
        <w:t>Exemple pour métré :</w:t>
      </w:r>
    </w:p>
    <w:p w14:paraId="46484648" w14:textId="77777777" w:rsidR="00DF410E" w:rsidRDefault="00DF410E"/>
    <w:p w14:paraId="5DBD06FB" w14:textId="77777777" w:rsidR="00DF410E" w:rsidRDefault="00DF410E"/>
    <w:p w14:paraId="37C1A852" w14:textId="77777777" w:rsidR="00DF410E" w:rsidRDefault="00CE7F43">
      <w:r>
        <w:t>Poutre treillis X             galvanisé à chaud       </w:t>
      </w:r>
    </w:p>
    <w:p w14:paraId="1B63232A" w14:textId="77777777" w:rsidR="00DF410E" w:rsidRDefault="00CE7F43">
      <w:r>
        <w:t>            Diagonales                   L80x80x8        S235J2           </w:t>
      </w:r>
    </w:p>
    <w:p w14:paraId="4548BFC6" w14:textId="77777777" w:rsidR="00DF410E" w:rsidRDefault="00CE7F43">
      <w:r>
        <w:t>            Membrures                   HEA 200          S355J2             Z15</w:t>
      </w:r>
    </w:p>
    <w:p w14:paraId="12F1EDA4" w14:textId="77777777" w:rsidR="00DF410E" w:rsidRDefault="00CE7F43">
      <w:pPr>
        <w:pStyle w:val="Author-eSectionHeading6"/>
      </w:pPr>
      <w:bookmarkStart w:id="1139" w:name="_Toc178838263"/>
      <w:r>
        <w:t>23.11.1d Poutres alvéolaires en acier CCTB 01.11</w:t>
      </w:r>
      <w:bookmarkEnd w:id="1139"/>
    </w:p>
    <w:p w14:paraId="663676D4" w14:textId="77777777" w:rsidR="00DF410E" w:rsidRDefault="00CE7F43">
      <w:pPr>
        <w:pStyle w:val="pheading"/>
      </w:pPr>
      <w:r>
        <w:t>DESCRIPTION</w:t>
      </w:r>
    </w:p>
    <w:p w14:paraId="5279A371" w14:textId="77777777" w:rsidR="00DF410E" w:rsidRDefault="00CE7F43">
      <w:pPr>
        <w:pStyle w:val="pheading"/>
      </w:pPr>
      <w:r>
        <w:t>- Définition / Comprend</w:t>
      </w:r>
    </w:p>
    <w:p w14:paraId="1F800CA1" w14:textId="77777777" w:rsidR="00DF410E" w:rsidRDefault="00DF410E"/>
    <w:p w14:paraId="0E714985" w14:textId="77777777" w:rsidR="00DF410E" w:rsidRDefault="00CE7F43">
      <w:r>
        <w:rPr>
          <w:rFonts w:ascii="Calibri"/>
          <w:sz w:val="22"/>
        </w:rPr>
        <w:t>Il s'agit de l</w:t>
      </w:r>
      <w:r>
        <w:rPr>
          <w:rFonts w:ascii="Calibri"/>
          <w:sz w:val="22"/>
        </w:rPr>
        <w:t>’</w:t>
      </w:r>
      <w:r>
        <w:rPr>
          <w:rFonts w:ascii="Calibri"/>
          <w:sz w:val="22"/>
        </w:rPr>
        <w:t>ensemble des poutres alv</w:t>
      </w:r>
      <w:r>
        <w:rPr>
          <w:rFonts w:ascii="Calibri"/>
          <w:sz w:val="22"/>
        </w:rPr>
        <w:t>é</w:t>
      </w:r>
      <w:r>
        <w:rPr>
          <w:rFonts w:ascii="Calibri"/>
          <w:sz w:val="22"/>
        </w:rPr>
        <w:t>olaires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de poutrelles en acier lamin</w:t>
      </w:r>
      <w:r>
        <w:rPr>
          <w:rFonts w:ascii="Calibri"/>
          <w:sz w:val="22"/>
        </w:rPr>
        <w:t>é</w:t>
      </w:r>
      <w:r>
        <w:rPr>
          <w:rFonts w:ascii="Calibri"/>
          <w:sz w:val="22"/>
        </w:rPr>
        <w:t xml:space="preserve">es </w:t>
      </w:r>
      <w:r>
        <w:rPr>
          <w:rFonts w:ascii="Calibri"/>
          <w:sz w:val="22"/>
        </w:rPr>
        <w:t>à</w:t>
      </w:r>
      <w:r>
        <w:rPr>
          <w:rFonts w:ascii="Calibri"/>
          <w:sz w:val="22"/>
        </w:rPr>
        <w:t xml:space="preserve"> chaud conformes </w:t>
      </w:r>
      <w:r>
        <w:rPr>
          <w:rFonts w:ascii="Calibri"/>
          <w:sz w:val="22"/>
        </w:rPr>
        <w:t>à</w:t>
      </w:r>
      <w:r>
        <w:rPr>
          <w:rFonts w:ascii="Calibri"/>
          <w:sz w:val="22"/>
        </w:rPr>
        <w:t xml:space="preserve"> la </w:t>
      </w:r>
      <w:r>
        <w:t>[NBN EN 10025 série]. </w:t>
      </w:r>
    </w:p>
    <w:p w14:paraId="2B1E1C4E" w14:textId="77777777" w:rsidR="00DF410E" w:rsidRDefault="00CE7F43">
      <w:r>
        <w:rPr>
          <w:rFonts w:ascii="Calibri"/>
          <w:sz w:val="22"/>
        </w:rPr>
        <w:t>Le soudage de ces poutrelles d</w:t>
      </w:r>
      <w:r>
        <w:rPr>
          <w:rFonts w:ascii="Calibri"/>
          <w:sz w:val="22"/>
        </w:rPr>
        <w:t>é</w:t>
      </w:r>
      <w:r>
        <w:rPr>
          <w:rFonts w:ascii="Calibri"/>
          <w:sz w:val="22"/>
        </w:rPr>
        <w:t>coup</w:t>
      </w:r>
      <w:r>
        <w:rPr>
          <w:rFonts w:ascii="Calibri"/>
          <w:sz w:val="22"/>
        </w:rPr>
        <w:t>é</w:t>
      </w:r>
      <w:r>
        <w:rPr>
          <w:rFonts w:ascii="Calibri"/>
          <w:sz w:val="22"/>
        </w:rPr>
        <w:t>es suivant une ligne sp</w:t>
      </w:r>
      <w:r>
        <w:rPr>
          <w:rFonts w:ascii="Calibri"/>
          <w:sz w:val="22"/>
        </w:rPr>
        <w:t>é</w:t>
      </w:r>
      <w:r>
        <w:rPr>
          <w:rFonts w:ascii="Calibri"/>
          <w:sz w:val="22"/>
        </w:rPr>
        <w:t xml:space="preserve">cifique est conforme </w:t>
      </w:r>
      <w:r>
        <w:rPr>
          <w:rFonts w:ascii="Calibri"/>
          <w:sz w:val="22"/>
        </w:rPr>
        <w:t>à</w:t>
      </w:r>
      <w:r>
        <w:rPr>
          <w:rFonts w:ascii="Calibri"/>
          <w:sz w:val="22"/>
        </w:rPr>
        <w:t xml:space="preserve"> la </w:t>
      </w:r>
      <w:r>
        <w:t>[NBN EN 1090-2]. </w:t>
      </w:r>
    </w:p>
    <w:p w14:paraId="3D309D86" w14:textId="77777777" w:rsidR="00DF410E" w:rsidRDefault="00CE7F43">
      <w:pPr>
        <w:pStyle w:val="pheading"/>
      </w:pPr>
      <w:r>
        <w:t>- Localisation</w:t>
      </w:r>
    </w:p>
    <w:p w14:paraId="0D17F892" w14:textId="77777777" w:rsidR="00DF410E" w:rsidRDefault="00DF410E"/>
    <w:p w14:paraId="6BA7B92D"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1C77DFC5" w14:textId="77777777" w:rsidR="00DF410E" w:rsidRDefault="00CE7F43">
      <w:pPr>
        <w:pStyle w:val="pheading"/>
      </w:pPr>
      <w:r>
        <w:t>EXÉCUTION / MISE EN ŒUVRE</w:t>
      </w:r>
    </w:p>
    <w:p w14:paraId="3DD05C1D" w14:textId="77777777" w:rsidR="00DF410E" w:rsidRDefault="00CE7F43">
      <w:pPr>
        <w:pStyle w:val="pheading"/>
      </w:pPr>
      <w:r>
        <w:t>- Notes d’exécution complémentaires</w:t>
      </w:r>
    </w:p>
    <w:p w14:paraId="7D6A8C50" w14:textId="77777777" w:rsidR="00DF410E" w:rsidRDefault="00CE7F43">
      <w:r>
        <w:rPr>
          <w:rStyle w:val="facultChar"/>
        </w:rPr>
        <w:t xml:space="preserve"> Le présent article comprend également des coupures thermiques :  des dispositifs adéquats sont utilisés pour éviter tout pont thermique. </w:t>
      </w:r>
    </w:p>
    <w:p w14:paraId="7B95D9B6" w14:textId="77777777" w:rsidR="00DF410E" w:rsidRDefault="00CE7F43">
      <w:pPr>
        <w:pStyle w:val="pheading"/>
      </w:pPr>
      <w:r>
        <w:t>MESURAGE</w:t>
      </w:r>
    </w:p>
    <w:p w14:paraId="3ECE16AD" w14:textId="77777777" w:rsidR="00DF410E" w:rsidRDefault="00CE7F43">
      <w:pPr>
        <w:pStyle w:val="pheading"/>
      </w:pPr>
      <w:r>
        <w:t>- unité de mesure:</w:t>
      </w:r>
    </w:p>
    <w:p w14:paraId="0348B28F" w14:textId="77777777" w:rsidR="00DF410E" w:rsidRDefault="00DF410E"/>
    <w:p w14:paraId="16F6C4E9" w14:textId="77777777" w:rsidR="00DF410E" w:rsidRDefault="00DF410E"/>
    <w:p w14:paraId="13ECD187" w14:textId="77777777" w:rsidR="00DF410E" w:rsidRDefault="00CE7F43">
      <w:r>
        <w:rPr>
          <w:b/>
        </w:rPr>
        <w:t>POUTRE</w:t>
      </w:r>
    </w:p>
    <w:p w14:paraId="7F2ED8F8" w14:textId="77777777" w:rsidR="00DF410E" w:rsidRDefault="00CE7F43">
      <w:r>
        <w:rPr>
          <w:rStyle w:val="optioncarChar"/>
        </w:rPr>
        <w:t>kg </w:t>
      </w:r>
      <w:r>
        <w:t xml:space="preserve">(par défaut) </w:t>
      </w:r>
      <w:r>
        <w:rPr>
          <w:rStyle w:val="optioncarChar"/>
        </w:rPr>
        <w:t>/ m / pc.</w:t>
      </w:r>
    </w:p>
    <w:p w14:paraId="43469363" w14:textId="77777777" w:rsidR="00DF410E" w:rsidRDefault="00CE7F43">
      <w:r>
        <w:rPr>
          <w:b/>
          <w:i/>
        </w:rPr>
        <w:t>(Soit par défaut)</w:t>
      </w:r>
    </w:p>
    <w:p w14:paraId="05910905" w14:textId="77777777" w:rsidR="00DF410E" w:rsidRDefault="00CE7F43">
      <w:r>
        <w:rPr>
          <w:rStyle w:val="soitChar"/>
        </w:rPr>
        <w:t> 1. kg.</w:t>
      </w:r>
    </w:p>
    <w:p w14:paraId="2813C64E" w14:textId="77777777" w:rsidR="00DF410E" w:rsidRDefault="00CE7F43">
      <w:r>
        <w:rPr>
          <w:b/>
          <w:i/>
        </w:rPr>
        <w:t>(Soit)</w:t>
      </w:r>
    </w:p>
    <w:p w14:paraId="19AB6EBD" w14:textId="77777777" w:rsidR="00DF410E" w:rsidRDefault="00CE7F43">
      <w:r>
        <w:rPr>
          <w:rStyle w:val="soitChar"/>
        </w:rPr>
        <w:t>  2 ou 3. m</w:t>
      </w:r>
    </w:p>
    <w:p w14:paraId="60C3F850" w14:textId="77777777" w:rsidR="00DF410E" w:rsidRDefault="00CE7F43">
      <w:r>
        <w:rPr>
          <w:b/>
          <w:i/>
        </w:rPr>
        <w:t>(Soit)</w:t>
      </w:r>
    </w:p>
    <w:p w14:paraId="591A02FB" w14:textId="77777777" w:rsidR="00DF410E" w:rsidRDefault="00CE7F43">
      <w:r>
        <w:rPr>
          <w:rStyle w:val="soitChar"/>
        </w:rPr>
        <w:t>  4 ou 5. pc</w:t>
      </w:r>
    </w:p>
    <w:p w14:paraId="55F142EE" w14:textId="77777777" w:rsidR="00DF410E" w:rsidRDefault="00CE7F43">
      <w:r>
        <w:rPr>
          <w:rStyle w:val="soitChar"/>
        </w:rPr>
        <w:t> </w:t>
      </w:r>
    </w:p>
    <w:p w14:paraId="23A185F2" w14:textId="77777777" w:rsidR="00DF410E" w:rsidRDefault="00CE7F43">
      <w:r>
        <w:rPr>
          <w:b/>
        </w:rPr>
        <w:t>FLOCAGE</w:t>
      </w:r>
    </w:p>
    <w:p w14:paraId="069C5475" w14:textId="77777777" w:rsidR="00DF410E" w:rsidRDefault="00CE7F43">
      <w:r>
        <w:t>Le traitement au feu par flocage est compté séparément et fait l’objet d’un (de) poste(s) supplémentaire(s) dans le présent article :</w:t>
      </w:r>
    </w:p>
    <w:p w14:paraId="3660C12E" w14:textId="77777777" w:rsidR="00DF410E" w:rsidRDefault="00CE7F43">
      <w:r>
        <w:rPr>
          <w:rStyle w:val="optioncarChar"/>
        </w:rPr>
        <w:t xml:space="preserve">m² </w:t>
      </w:r>
      <w:r>
        <w:t>(par défaut)</w:t>
      </w:r>
      <w:r>
        <w:rPr>
          <w:rStyle w:val="optioncarChar"/>
        </w:rPr>
        <w:t xml:space="preserve"> / m / pc.</w:t>
      </w:r>
    </w:p>
    <w:p w14:paraId="38DFCFC9" w14:textId="77777777" w:rsidR="00DF410E" w:rsidRDefault="00CE7F43">
      <w:r>
        <w:rPr>
          <w:b/>
          <w:i/>
        </w:rPr>
        <w:t>(Soit par défaut)</w:t>
      </w:r>
    </w:p>
    <w:p w14:paraId="7D333632" w14:textId="77777777" w:rsidR="00DF410E" w:rsidRDefault="00CE7F43">
      <w:r>
        <w:rPr>
          <w:rStyle w:val="soitChar"/>
        </w:rPr>
        <w:t> 1. m².</w:t>
      </w:r>
    </w:p>
    <w:p w14:paraId="30B316BF" w14:textId="77777777" w:rsidR="00DF410E" w:rsidRDefault="00CE7F43">
      <w:r>
        <w:rPr>
          <w:b/>
          <w:i/>
        </w:rPr>
        <w:t>(Soit)</w:t>
      </w:r>
    </w:p>
    <w:p w14:paraId="617C7D85" w14:textId="77777777" w:rsidR="00DF410E" w:rsidRDefault="00CE7F43">
      <w:r>
        <w:rPr>
          <w:rStyle w:val="soitChar"/>
        </w:rPr>
        <w:t> 2. m</w:t>
      </w:r>
    </w:p>
    <w:p w14:paraId="7FE832E0" w14:textId="77777777" w:rsidR="00DF410E" w:rsidRDefault="00CE7F43">
      <w:r>
        <w:rPr>
          <w:b/>
          <w:i/>
        </w:rPr>
        <w:t>(Soit)</w:t>
      </w:r>
    </w:p>
    <w:p w14:paraId="09F4BA3B" w14:textId="77777777" w:rsidR="00DF410E" w:rsidRDefault="00CE7F43">
      <w:r>
        <w:rPr>
          <w:rStyle w:val="soitChar"/>
        </w:rPr>
        <w:t> 3. pc</w:t>
      </w:r>
    </w:p>
    <w:p w14:paraId="0C9930D8" w14:textId="77777777" w:rsidR="00DF410E" w:rsidRDefault="00DF410E"/>
    <w:p w14:paraId="6BF385EA" w14:textId="77777777" w:rsidR="00DF410E" w:rsidRDefault="00CE7F43">
      <w:r>
        <w:rPr>
          <w:b/>
        </w:rPr>
        <w:t>COUPURE THERMIQUE</w:t>
      </w:r>
    </w:p>
    <w:p w14:paraId="78654BBB" w14:textId="77777777" w:rsidR="00DF410E" w:rsidRDefault="00CE7F43">
      <w:r>
        <w:rPr>
          <w:rStyle w:val="optioncarChar"/>
        </w:rPr>
        <w:t>pièce</w:t>
      </w:r>
    </w:p>
    <w:p w14:paraId="61172A29" w14:textId="77777777" w:rsidR="00DF410E" w:rsidRDefault="00CE7F43">
      <w:pPr>
        <w:pStyle w:val="pheading"/>
      </w:pPr>
      <w:r>
        <w:t>- code de mesurage:</w:t>
      </w:r>
    </w:p>
    <w:p w14:paraId="50B95005" w14:textId="77777777" w:rsidR="00DF410E" w:rsidRDefault="00DF410E"/>
    <w:p w14:paraId="703FA395" w14:textId="77777777" w:rsidR="00DF410E" w:rsidRDefault="00DF410E"/>
    <w:p w14:paraId="54738E2D" w14:textId="77777777" w:rsidR="00DF410E" w:rsidRDefault="00CE7F43">
      <w:r>
        <w:rPr>
          <w:b/>
        </w:rPr>
        <w:t>POUTRE</w:t>
      </w:r>
    </w:p>
    <w:p w14:paraId="702248B5" w14:textId="77777777" w:rsidR="00DF410E" w:rsidRDefault="00CE7F43">
      <w:r>
        <w:t>Distinctions faites suivant les types de profilés, nuances et qualités d’acier.</w:t>
      </w:r>
    </w:p>
    <w:p w14:paraId="6E4C4B53"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7FF2ADDA" w14:textId="77777777" w:rsidR="00DF410E" w:rsidRDefault="00CE7F43">
      <w:r>
        <w:rPr>
          <w:b/>
          <w:i/>
        </w:rPr>
        <w:t>(Soit par défaut)</w:t>
      </w:r>
    </w:p>
    <w:p w14:paraId="1C048A65"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53E0474" w14:textId="77777777" w:rsidR="00DF410E" w:rsidRDefault="00CE7F43">
      <w:r>
        <w:rPr>
          <w:b/>
          <w:i/>
        </w:rPr>
        <w:t>(Soit)</w:t>
      </w:r>
    </w:p>
    <w:p w14:paraId="673DC615"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7E4FBDB" w14:textId="77777777" w:rsidR="00DF410E" w:rsidRDefault="00CE7F43">
      <w:r>
        <w:rPr>
          <w:b/>
          <w:i/>
        </w:rPr>
        <w:t>(Soit)</w:t>
      </w:r>
    </w:p>
    <w:p w14:paraId="369ECD70"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53C031B" w14:textId="77777777" w:rsidR="00DF410E" w:rsidRDefault="00CE7F43">
      <w:r>
        <w:rPr>
          <w:b/>
          <w:i/>
        </w:rPr>
        <w:t>(Soit)</w:t>
      </w:r>
    </w:p>
    <w:p w14:paraId="6A4FC5DF"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1166FC84" w14:textId="77777777" w:rsidR="00DF410E" w:rsidRDefault="00CE7F43">
      <w:r>
        <w:rPr>
          <w:b/>
          <w:i/>
        </w:rPr>
        <w:t>(Soit)</w:t>
      </w:r>
    </w:p>
    <w:p w14:paraId="36F21B23"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0107D6A0" w14:textId="77777777" w:rsidR="00DF410E" w:rsidRDefault="00DF410E"/>
    <w:p w14:paraId="24C1617D" w14:textId="77777777" w:rsidR="00DF410E" w:rsidRDefault="00CE7F43">
      <w:r>
        <w:rPr>
          <w:b/>
        </w:rPr>
        <w:t>FLOCAGE</w:t>
      </w:r>
    </w:p>
    <w:p w14:paraId="29C5B614"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20E6EF0D" w14:textId="77777777" w:rsidR="00DF410E" w:rsidRDefault="00CE7F43">
      <w:r>
        <w:rPr>
          <w:b/>
          <w:i/>
        </w:rPr>
        <w:t>(Soit par défaut)</w:t>
      </w:r>
    </w:p>
    <w:p w14:paraId="566D9662"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452F08D4" w14:textId="77777777" w:rsidR="00DF410E" w:rsidRDefault="00CE7F43">
      <w:r>
        <w:rPr>
          <w:b/>
          <w:i/>
        </w:rPr>
        <w:t>(Soit)</w:t>
      </w:r>
    </w:p>
    <w:p w14:paraId="3872794B"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AA408A4" w14:textId="77777777" w:rsidR="00DF410E" w:rsidRDefault="00CE7F43">
      <w:r>
        <w:rPr>
          <w:b/>
          <w:i/>
        </w:rPr>
        <w:t>(Soit)</w:t>
      </w:r>
    </w:p>
    <w:p w14:paraId="21EC3F9D"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7F51412C" w14:textId="77777777" w:rsidR="00DF410E" w:rsidRDefault="00DF410E"/>
    <w:p w14:paraId="6B3E3EB3" w14:textId="77777777" w:rsidR="00DF410E" w:rsidRDefault="00CE7F43">
      <w:pPr>
        <w:spacing w:after="0" w:line="256" w:lineRule="auto"/>
        <w:jc w:val="both"/>
      </w:pPr>
      <w:r>
        <w:rPr>
          <w:b/>
        </w:rPr>
        <w:t>COUPURE THERMIQUE</w:t>
      </w:r>
    </w:p>
    <w:p w14:paraId="4DF853D6" w14:textId="77777777" w:rsidR="00DF410E" w:rsidRDefault="00CE7F43">
      <w:r>
        <w:rPr>
          <w:rStyle w:val="optioncarChar"/>
        </w:rPr>
        <w:t>À la pièce, ventilée suivant les types d’éléments</w:t>
      </w:r>
    </w:p>
    <w:p w14:paraId="4AB5077E" w14:textId="77777777" w:rsidR="00DF410E" w:rsidRDefault="00CE7F43">
      <w:pPr>
        <w:pStyle w:val="pheading"/>
      </w:pPr>
      <w:r>
        <w:t>- nature du marché:</w:t>
      </w:r>
    </w:p>
    <w:p w14:paraId="1DED42F2" w14:textId="77777777" w:rsidR="00DF410E" w:rsidRDefault="00DF410E"/>
    <w:p w14:paraId="322DED0C" w14:textId="77777777" w:rsidR="00DF410E" w:rsidRDefault="00DF410E"/>
    <w:p w14:paraId="26EBA281" w14:textId="77777777" w:rsidR="00DF410E" w:rsidRDefault="00CE7F43">
      <w:r>
        <w:rPr>
          <w:rStyle w:val="optioncarChar"/>
        </w:rPr>
        <w:t>QF</w:t>
      </w:r>
      <w:r>
        <w:t xml:space="preserve"> (par défaut) </w:t>
      </w:r>
      <w:r>
        <w:rPr>
          <w:rStyle w:val="optioncarChar"/>
        </w:rPr>
        <w:t>/ QP</w:t>
      </w:r>
    </w:p>
    <w:p w14:paraId="38C5EABB" w14:textId="77777777" w:rsidR="00DF410E" w:rsidRDefault="00CE7F43">
      <w:pPr>
        <w:pStyle w:val="soit"/>
      </w:pPr>
      <w:r>
        <w:rPr>
          <w:rStyle w:val="normalChar"/>
          <w:b/>
          <w:i/>
          <w:color w:val="000000"/>
        </w:rPr>
        <w:t xml:space="preserve">(Soit par défaut) </w:t>
      </w:r>
    </w:p>
    <w:p w14:paraId="1BCAE6CC" w14:textId="77777777" w:rsidR="00DF410E" w:rsidRDefault="00CE7F43">
      <w:r>
        <w:rPr>
          <w:rStyle w:val="soitChar"/>
        </w:rPr>
        <w:t xml:space="preserve">1. QF </w:t>
      </w:r>
    </w:p>
    <w:p w14:paraId="5204D1F0" w14:textId="77777777" w:rsidR="00DF410E" w:rsidRDefault="00CE7F43">
      <w:r>
        <w:rPr>
          <w:b/>
          <w:i/>
        </w:rPr>
        <w:t>(Soit)</w:t>
      </w:r>
    </w:p>
    <w:p w14:paraId="1DF6B603" w14:textId="77777777" w:rsidR="00DF410E" w:rsidRDefault="00CE7F43">
      <w:r>
        <w:rPr>
          <w:rStyle w:val="soitChar"/>
        </w:rPr>
        <w:t>2. QP</w:t>
      </w:r>
    </w:p>
    <w:p w14:paraId="1CB1520E" w14:textId="77777777" w:rsidR="00DF410E" w:rsidRDefault="00CE7F43">
      <w:pPr>
        <w:pStyle w:val="pheading"/>
      </w:pPr>
      <w:r>
        <w:t>AIDE</w:t>
      </w:r>
    </w:p>
    <w:p w14:paraId="59A5A911" w14:textId="77777777" w:rsidR="00DF410E" w:rsidRDefault="00DF410E"/>
    <w:p w14:paraId="4353E40A" w14:textId="77777777" w:rsidR="00DF410E" w:rsidRDefault="00DF410E"/>
    <w:p w14:paraId="04603EEF" w14:textId="77777777" w:rsidR="00DF410E" w:rsidRDefault="00CE7F43">
      <w:r>
        <w:t>Exemple pour métré :</w:t>
      </w:r>
    </w:p>
    <w:p w14:paraId="7B5B0E7E" w14:textId="77777777" w:rsidR="00DF410E" w:rsidRDefault="00CE7F43">
      <w:r>
        <w:t>Poutre X          S235JR           Z15      galvanisé à chaud</w:t>
      </w:r>
    </w:p>
    <w:p w14:paraId="6F47F666" w14:textId="77777777" w:rsidR="00DF410E" w:rsidRDefault="00CE7F43">
      <w:r>
        <w:t>Poutre Y          S355J2                        primaire antirouille</w:t>
      </w:r>
    </w:p>
    <w:p w14:paraId="36C4A65C" w14:textId="77777777" w:rsidR="00DF410E" w:rsidRDefault="00CE7F43">
      <w:pPr>
        <w:pStyle w:val="Author-eSectionHeading6"/>
      </w:pPr>
      <w:bookmarkStart w:id="1140" w:name="_Toc178838264"/>
      <w:r>
        <w:t>23.11.1e Poutres en éléments tubulaires en acier CCTB 01.04</w:t>
      </w:r>
      <w:bookmarkEnd w:id="1140"/>
    </w:p>
    <w:p w14:paraId="312EE247" w14:textId="77777777" w:rsidR="00DF410E" w:rsidRDefault="00CE7F43">
      <w:pPr>
        <w:pStyle w:val="Author-eSectionHeading5"/>
      </w:pPr>
      <w:bookmarkStart w:id="1141" w:name="_Toc178838265"/>
      <w:r>
        <w:t>23.11.2 Poutres en acier formées à froid CCTB 01.11</w:t>
      </w:r>
      <w:bookmarkEnd w:id="1141"/>
    </w:p>
    <w:p w14:paraId="6EAB82E0" w14:textId="77777777" w:rsidR="00DF410E" w:rsidRDefault="00CE7F43">
      <w:pPr>
        <w:pStyle w:val="pheading"/>
      </w:pPr>
      <w:r>
        <w:t>DESCRIPTION</w:t>
      </w:r>
    </w:p>
    <w:p w14:paraId="44C8B759" w14:textId="77777777" w:rsidR="00DF410E" w:rsidRDefault="00CE7F43">
      <w:pPr>
        <w:pStyle w:val="pheading"/>
      </w:pPr>
      <w:r>
        <w:t>- Définition / Comprend</w:t>
      </w:r>
    </w:p>
    <w:p w14:paraId="632EA16E" w14:textId="77777777" w:rsidR="00DF410E" w:rsidRDefault="00CE7F43">
      <w:r>
        <w:t>Les produits formés à froid sont des produits de formes diverses, dont la section droite ouverte ou à bords rejoints est constante sur toute leur longueur. Ils sont fabriqués à partir de produits plats laminés à chaud ou à froid (revêtus ou non), dont l'épaisseur n'est que très légèrement modifiée par les procédés de formage à froid (par exemple : profilage, étirage, formage à la presse, bordage, etc.).</w:t>
      </w:r>
    </w:p>
    <w:p w14:paraId="0EF3D979" w14:textId="77777777" w:rsidR="00DF410E" w:rsidRDefault="00CE7F43">
      <w:r>
        <w:t>On distingue :</w:t>
      </w:r>
    </w:p>
    <w:p w14:paraId="3BEAA8A3" w14:textId="77777777" w:rsidR="00DF410E" w:rsidRDefault="00CE7F43">
      <w:pPr>
        <w:pStyle w:val="Author-eListParagraph"/>
        <w:numPr>
          <w:ilvl w:val="0"/>
          <w:numId w:val="687"/>
        </w:numPr>
      </w:pPr>
      <w:r>
        <w:rPr>
          <w:rFonts w:ascii="Times New Roman"/>
          <w:sz w:val="14"/>
        </w:rPr>
        <w:t> </w:t>
      </w:r>
      <w:r>
        <w:rPr>
          <w:rStyle w:val="normalChar"/>
        </w:rPr>
        <w:t>des produits</w:t>
      </w:r>
      <w:r>
        <w:t xml:space="preserve"> d'usage courant ou standard : par exemple en forme de L, de U, de C, de Z ;</w:t>
      </w:r>
    </w:p>
    <w:p w14:paraId="3454391A" w14:textId="77777777" w:rsidR="00DF410E" w:rsidRDefault="00CE7F43">
      <w:pPr>
        <w:pStyle w:val="Author-eListParagraph"/>
        <w:numPr>
          <w:ilvl w:val="0"/>
          <w:numId w:val="687"/>
        </w:numPr>
      </w:pPr>
      <w:r>
        <w:t> des produits d'usage spécial : correspondant à une utilisation particulière, par exemple palplanches formées à froid, glissières de sécurité, profils d'ossature de bâtiments.</w:t>
      </w:r>
    </w:p>
    <w:p w14:paraId="1E1F63A7" w14:textId="77777777" w:rsidR="00DF410E" w:rsidRDefault="00CE7F43">
      <w:pPr>
        <w:pStyle w:val="Author-eSectionHeading6"/>
      </w:pPr>
      <w:bookmarkStart w:id="1142" w:name="_Toc178838266"/>
      <w:r>
        <w:t>23.11.2a Poutres en acier formées à froid CCTB 01.11</w:t>
      </w:r>
      <w:bookmarkEnd w:id="1142"/>
    </w:p>
    <w:p w14:paraId="353EC2E7" w14:textId="77777777" w:rsidR="00DF410E" w:rsidRDefault="00CE7F43">
      <w:pPr>
        <w:pStyle w:val="pheading"/>
      </w:pPr>
      <w:r>
        <w:t>DESCRIPTION</w:t>
      </w:r>
    </w:p>
    <w:p w14:paraId="43C7EB77" w14:textId="77777777" w:rsidR="00DF410E" w:rsidRDefault="00CE7F43">
      <w:pPr>
        <w:pStyle w:val="pheading"/>
      </w:pPr>
      <w:r>
        <w:t>- Définition / Comprend</w:t>
      </w:r>
    </w:p>
    <w:p w14:paraId="67A0FC02" w14:textId="77777777" w:rsidR="00DF410E" w:rsidRDefault="00DF410E"/>
    <w:p w14:paraId="25F0D961" w14:textId="77777777" w:rsidR="00DF410E" w:rsidRDefault="00CE7F43">
      <w:r>
        <w:rPr>
          <w:rFonts w:ascii="Calibri"/>
          <w:sz w:val="22"/>
        </w:rPr>
        <w:t>Il s'agit de l</w:t>
      </w:r>
      <w:r>
        <w:rPr>
          <w:rFonts w:ascii="Calibri"/>
          <w:sz w:val="22"/>
        </w:rPr>
        <w:t>’</w:t>
      </w:r>
      <w:r>
        <w:rPr>
          <w:rFonts w:ascii="Calibri"/>
          <w:sz w:val="22"/>
        </w:rPr>
        <w:t xml:space="preserve">ensemble des poutres en acier dont la mise en forme finale a </w:t>
      </w:r>
      <w:r>
        <w:rPr>
          <w:rFonts w:ascii="Calibri"/>
          <w:sz w:val="22"/>
        </w:rPr>
        <w:t>é</w:t>
      </w:r>
      <w:r>
        <w:rPr>
          <w:rFonts w:ascii="Calibri"/>
          <w:sz w:val="22"/>
        </w:rPr>
        <w:t>t</w:t>
      </w:r>
      <w:r>
        <w:rPr>
          <w:rFonts w:ascii="Calibri"/>
          <w:sz w:val="22"/>
        </w:rPr>
        <w:t>é</w:t>
      </w:r>
      <w:r>
        <w:rPr>
          <w:rFonts w:ascii="Calibri"/>
          <w:sz w:val="22"/>
        </w:rPr>
        <w:t xml:space="preserve"> r</w:t>
      </w:r>
      <w:r>
        <w:rPr>
          <w:rFonts w:ascii="Calibri"/>
          <w:sz w:val="22"/>
        </w:rPr>
        <w:t>é</w:t>
      </w:r>
      <w:r>
        <w:rPr>
          <w:rFonts w:ascii="Calibri"/>
          <w:sz w:val="22"/>
        </w:rPr>
        <w:t>alis</w:t>
      </w:r>
      <w:r>
        <w:rPr>
          <w:rFonts w:ascii="Calibri"/>
          <w:sz w:val="22"/>
        </w:rPr>
        <w:t>é</w:t>
      </w:r>
      <w:r>
        <w:rPr>
          <w:rFonts w:ascii="Calibri"/>
          <w:sz w:val="22"/>
        </w:rPr>
        <w:t xml:space="preserve">e </w:t>
      </w:r>
      <w:r>
        <w:rPr>
          <w:rFonts w:ascii="Calibri"/>
          <w:sz w:val="22"/>
        </w:rPr>
        <w:t>à</w:t>
      </w:r>
      <w:r>
        <w:rPr>
          <w:rFonts w:ascii="Calibri"/>
          <w:sz w:val="22"/>
        </w:rPr>
        <w:t xml:space="preserve"> froid. Les profil</w:t>
      </w:r>
      <w:r>
        <w:rPr>
          <w:rFonts w:ascii="Calibri"/>
          <w:sz w:val="22"/>
        </w:rPr>
        <w:t>é</w:t>
      </w:r>
      <w:r>
        <w:rPr>
          <w:rFonts w:ascii="Calibri"/>
          <w:sz w:val="22"/>
        </w:rPr>
        <w:t xml:space="preserve">s sont conformes </w:t>
      </w:r>
      <w:r>
        <w:rPr>
          <w:rFonts w:ascii="Calibri"/>
          <w:sz w:val="22"/>
        </w:rPr>
        <w:t>à</w:t>
      </w:r>
      <w:r>
        <w:rPr>
          <w:rFonts w:ascii="Calibri"/>
          <w:sz w:val="22"/>
        </w:rPr>
        <w:t xml:space="preserve"> la </w:t>
      </w:r>
      <w:r>
        <w:t>[NBN EN 10162] ; </w:t>
      </w:r>
      <w:r>
        <w:rPr>
          <w:rFonts w:ascii="Calibri"/>
          <w:sz w:val="22"/>
        </w:rPr>
        <w:t xml:space="preserve">les tubes sont conformes </w:t>
      </w:r>
      <w:r>
        <w:rPr>
          <w:rFonts w:ascii="Calibri"/>
          <w:sz w:val="22"/>
        </w:rPr>
        <w:t>à</w:t>
      </w:r>
      <w:r>
        <w:rPr>
          <w:rFonts w:ascii="Calibri"/>
          <w:sz w:val="22"/>
        </w:rPr>
        <w:t xml:space="preserve"> la </w:t>
      </w:r>
      <w:r>
        <w:t>[NBN EN 10219 série]. </w:t>
      </w:r>
    </w:p>
    <w:p w14:paraId="23D0335C" w14:textId="77777777" w:rsidR="00DF410E" w:rsidRDefault="00CE7F43">
      <w:pPr>
        <w:pStyle w:val="pheading"/>
      </w:pPr>
      <w:r>
        <w:t>- Localisation</w:t>
      </w:r>
    </w:p>
    <w:p w14:paraId="054F1117" w14:textId="77777777" w:rsidR="00DF410E" w:rsidRDefault="00DF410E"/>
    <w:p w14:paraId="454F4977" w14:textId="77777777" w:rsidR="00DF410E" w:rsidRDefault="00DF410E"/>
    <w:p w14:paraId="0DC23738" w14:textId="77777777" w:rsidR="00DF410E" w:rsidRDefault="00CE7F43">
      <w:r>
        <w:t xml:space="preserve">Les travaux sont localisés : </w:t>
      </w:r>
      <w:r>
        <w:rPr>
          <w:rStyle w:val="optioncarChar"/>
        </w:rPr>
        <w:t>Voir plans et métrés détaillés </w:t>
      </w:r>
      <w:r>
        <w:t>(par défaut)</w:t>
      </w:r>
      <w:r>
        <w:rPr>
          <w:rStyle w:val="optioncarChar"/>
        </w:rPr>
        <w:t xml:space="preserve"> / ***</w:t>
      </w:r>
      <w:r>
        <w:t> </w:t>
      </w:r>
      <w:r>
        <w:rPr>
          <w:rStyle w:val="optioncarChar"/>
        </w:rPr>
        <w:t>.</w:t>
      </w:r>
    </w:p>
    <w:p w14:paraId="6ECD22C7" w14:textId="77777777" w:rsidR="00DF410E" w:rsidRDefault="00CE7F43">
      <w:pPr>
        <w:pStyle w:val="pheading"/>
      </w:pPr>
      <w:r>
        <w:t>EXÉCUTION / MISE EN ŒUVRE</w:t>
      </w:r>
    </w:p>
    <w:p w14:paraId="4EBC186A" w14:textId="77777777" w:rsidR="00DF410E" w:rsidRDefault="00CE7F43">
      <w:pPr>
        <w:pStyle w:val="pheading"/>
      </w:pPr>
      <w:r>
        <w:t>- Notes d’exécution complémentaires</w:t>
      </w:r>
    </w:p>
    <w:p w14:paraId="2101788C" w14:textId="77777777" w:rsidR="00DF410E" w:rsidRDefault="00CE7F43">
      <w:r>
        <w:rPr>
          <w:rStyle w:val="facultChar"/>
        </w:rPr>
        <w:t xml:space="preserve"> Le présent article comprend également des coupures thermiques : Des dispositifs adéquats sont utilisés pour éviter tout pont thermique.</w:t>
      </w:r>
    </w:p>
    <w:p w14:paraId="507A44C3" w14:textId="77777777" w:rsidR="00DF410E" w:rsidRDefault="00CE7F43">
      <w:pPr>
        <w:pStyle w:val="pheading"/>
      </w:pPr>
      <w:r>
        <w:t>MESURAGE</w:t>
      </w:r>
    </w:p>
    <w:p w14:paraId="7DACC5A0" w14:textId="77777777" w:rsidR="00DF410E" w:rsidRDefault="00CE7F43">
      <w:pPr>
        <w:pStyle w:val="pheading"/>
      </w:pPr>
      <w:r>
        <w:t>- unité de mesure:</w:t>
      </w:r>
    </w:p>
    <w:p w14:paraId="682694B1" w14:textId="77777777" w:rsidR="00DF410E" w:rsidRDefault="00DF410E"/>
    <w:p w14:paraId="2B233706" w14:textId="77777777" w:rsidR="00DF410E" w:rsidRDefault="00DF410E"/>
    <w:p w14:paraId="0102AA2A" w14:textId="77777777" w:rsidR="00DF410E" w:rsidRDefault="00CE7F43">
      <w:r>
        <w:rPr>
          <w:b/>
        </w:rPr>
        <w:t>POUTRE</w:t>
      </w:r>
    </w:p>
    <w:p w14:paraId="5E46BD96" w14:textId="77777777" w:rsidR="00DF410E" w:rsidRDefault="00CE7F43">
      <w:r>
        <w:rPr>
          <w:rStyle w:val="optioncarChar"/>
        </w:rPr>
        <w:t>kg </w:t>
      </w:r>
      <w:r>
        <w:t xml:space="preserve">(par défaut) </w:t>
      </w:r>
      <w:r>
        <w:rPr>
          <w:rStyle w:val="optioncarChar"/>
        </w:rPr>
        <w:t>/ m / pc.</w:t>
      </w:r>
    </w:p>
    <w:p w14:paraId="5AE40366" w14:textId="77777777" w:rsidR="00DF410E" w:rsidRDefault="00CE7F43">
      <w:r>
        <w:rPr>
          <w:b/>
          <w:i/>
        </w:rPr>
        <w:t>(Soit par défaut)</w:t>
      </w:r>
    </w:p>
    <w:p w14:paraId="78635889" w14:textId="77777777" w:rsidR="00DF410E" w:rsidRDefault="00CE7F43">
      <w:r>
        <w:rPr>
          <w:rStyle w:val="soitChar"/>
        </w:rPr>
        <w:t> 1. kg.</w:t>
      </w:r>
    </w:p>
    <w:p w14:paraId="164882F9" w14:textId="77777777" w:rsidR="00DF410E" w:rsidRDefault="00CE7F43">
      <w:r>
        <w:rPr>
          <w:b/>
          <w:i/>
        </w:rPr>
        <w:t>(Soit)</w:t>
      </w:r>
    </w:p>
    <w:p w14:paraId="76D54007" w14:textId="77777777" w:rsidR="00DF410E" w:rsidRDefault="00CE7F43">
      <w:r>
        <w:rPr>
          <w:rStyle w:val="soitChar"/>
        </w:rPr>
        <w:t>  2 ou 3. m</w:t>
      </w:r>
    </w:p>
    <w:p w14:paraId="6E0647DF" w14:textId="77777777" w:rsidR="00DF410E" w:rsidRDefault="00CE7F43">
      <w:r>
        <w:rPr>
          <w:b/>
          <w:i/>
        </w:rPr>
        <w:t>(Soit)</w:t>
      </w:r>
    </w:p>
    <w:p w14:paraId="0200359E" w14:textId="77777777" w:rsidR="00DF410E" w:rsidRDefault="00CE7F43">
      <w:r>
        <w:rPr>
          <w:rStyle w:val="soitChar"/>
        </w:rPr>
        <w:t>  4 ou 5. pc</w:t>
      </w:r>
    </w:p>
    <w:p w14:paraId="5D15AEC3" w14:textId="77777777" w:rsidR="00DF410E" w:rsidRDefault="00CE7F43">
      <w:r>
        <w:rPr>
          <w:rStyle w:val="soitChar"/>
        </w:rPr>
        <w:t> </w:t>
      </w:r>
    </w:p>
    <w:p w14:paraId="23DE49CF" w14:textId="77777777" w:rsidR="00DF410E" w:rsidRDefault="00CE7F43">
      <w:r>
        <w:rPr>
          <w:b/>
        </w:rPr>
        <w:t>FLOCAGE</w:t>
      </w:r>
    </w:p>
    <w:p w14:paraId="21C241F3" w14:textId="77777777" w:rsidR="00DF410E" w:rsidRDefault="00CE7F43">
      <w:r>
        <w:t>Le traitement au feu par flocage est compté séparément et fait l’objet d’un (de) poste(s) supplémentaire(s) dans le présent article :</w:t>
      </w:r>
    </w:p>
    <w:p w14:paraId="3468C026" w14:textId="77777777" w:rsidR="00DF410E" w:rsidRDefault="00CE7F43">
      <w:r>
        <w:rPr>
          <w:rStyle w:val="optioncarChar"/>
        </w:rPr>
        <w:t xml:space="preserve">m² </w:t>
      </w:r>
      <w:r>
        <w:t>(par défaut)</w:t>
      </w:r>
      <w:r>
        <w:rPr>
          <w:rStyle w:val="optioncarChar"/>
        </w:rPr>
        <w:t xml:space="preserve"> / m / pc.</w:t>
      </w:r>
    </w:p>
    <w:p w14:paraId="31A0467A" w14:textId="77777777" w:rsidR="00DF410E" w:rsidRDefault="00CE7F43">
      <w:r>
        <w:rPr>
          <w:b/>
          <w:i/>
        </w:rPr>
        <w:t>(Soit par défaut)</w:t>
      </w:r>
    </w:p>
    <w:p w14:paraId="6CBC7389" w14:textId="77777777" w:rsidR="00DF410E" w:rsidRDefault="00CE7F43">
      <w:r>
        <w:rPr>
          <w:rStyle w:val="soitChar"/>
        </w:rPr>
        <w:t> 1. m².</w:t>
      </w:r>
    </w:p>
    <w:p w14:paraId="14A937F9" w14:textId="77777777" w:rsidR="00DF410E" w:rsidRDefault="00CE7F43">
      <w:r>
        <w:rPr>
          <w:b/>
          <w:i/>
        </w:rPr>
        <w:t>(Soit)</w:t>
      </w:r>
    </w:p>
    <w:p w14:paraId="3AD4FFD5" w14:textId="77777777" w:rsidR="00DF410E" w:rsidRDefault="00CE7F43">
      <w:r>
        <w:rPr>
          <w:rStyle w:val="soitChar"/>
        </w:rPr>
        <w:t> 2. m</w:t>
      </w:r>
    </w:p>
    <w:p w14:paraId="186766F2" w14:textId="77777777" w:rsidR="00DF410E" w:rsidRDefault="00CE7F43">
      <w:r>
        <w:rPr>
          <w:b/>
          <w:i/>
        </w:rPr>
        <w:t>(Soit)</w:t>
      </w:r>
    </w:p>
    <w:p w14:paraId="51E52037" w14:textId="77777777" w:rsidR="00DF410E" w:rsidRDefault="00CE7F43">
      <w:r>
        <w:rPr>
          <w:rStyle w:val="soitChar"/>
        </w:rPr>
        <w:t> 3. pc</w:t>
      </w:r>
    </w:p>
    <w:p w14:paraId="5E11B0B3" w14:textId="77777777" w:rsidR="00DF410E" w:rsidRDefault="00DF410E"/>
    <w:p w14:paraId="67B4B13F" w14:textId="77777777" w:rsidR="00DF410E" w:rsidRDefault="00CE7F43">
      <w:r>
        <w:rPr>
          <w:b/>
        </w:rPr>
        <w:t>COUPURE THERMIQUE</w:t>
      </w:r>
    </w:p>
    <w:p w14:paraId="1A009F25" w14:textId="77777777" w:rsidR="00DF410E" w:rsidRDefault="00CE7F43">
      <w:r>
        <w:rPr>
          <w:rStyle w:val="optioncarChar"/>
        </w:rPr>
        <w:t>pièce</w:t>
      </w:r>
    </w:p>
    <w:p w14:paraId="24E61F71" w14:textId="77777777" w:rsidR="00DF410E" w:rsidRDefault="00CE7F43">
      <w:pPr>
        <w:pStyle w:val="pheading"/>
      </w:pPr>
      <w:r>
        <w:t>- code de mesurage:</w:t>
      </w:r>
    </w:p>
    <w:p w14:paraId="2B50F317" w14:textId="77777777" w:rsidR="00DF410E" w:rsidRDefault="00DF410E"/>
    <w:p w14:paraId="5B8A864E" w14:textId="77777777" w:rsidR="00DF410E" w:rsidRDefault="00DF410E"/>
    <w:p w14:paraId="6C4F4D14" w14:textId="77777777" w:rsidR="00DF410E" w:rsidRDefault="00CE7F43">
      <w:r>
        <w:rPr>
          <w:b/>
        </w:rPr>
        <w:t>POUTRE</w:t>
      </w:r>
    </w:p>
    <w:p w14:paraId="394CE3F0" w14:textId="77777777" w:rsidR="00DF410E" w:rsidRDefault="00CE7F43">
      <w:r>
        <w:t>Distinctions faites suivant les types de profilés, nuances et qualités d’acier.</w:t>
      </w:r>
    </w:p>
    <w:p w14:paraId="55D148C6"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58E1C4EC" w14:textId="77777777" w:rsidR="00DF410E" w:rsidRDefault="00CE7F43">
      <w:r>
        <w:rPr>
          <w:b/>
          <w:i/>
        </w:rPr>
        <w:t>(Soit par défaut)</w:t>
      </w:r>
    </w:p>
    <w:p w14:paraId="684C6846"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56493DC3" w14:textId="77777777" w:rsidR="00DF410E" w:rsidRDefault="00CE7F43">
      <w:r>
        <w:rPr>
          <w:b/>
          <w:i/>
        </w:rPr>
        <w:t>(Soit)</w:t>
      </w:r>
    </w:p>
    <w:p w14:paraId="52D3571A"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0C1648D" w14:textId="77777777" w:rsidR="00DF410E" w:rsidRDefault="00CE7F43">
      <w:r>
        <w:rPr>
          <w:b/>
          <w:i/>
        </w:rPr>
        <w:t>(Soit)</w:t>
      </w:r>
    </w:p>
    <w:p w14:paraId="663B4279"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A720037" w14:textId="77777777" w:rsidR="00DF410E" w:rsidRDefault="00CE7F43">
      <w:r>
        <w:rPr>
          <w:b/>
          <w:i/>
        </w:rPr>
        <w:t>(Soit)</w:t>
      </w:r>
    </w:p>
    <w:p w14:paraId="527EF2CE"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B35A4D8" w14:textId="77777777" w:rsidR="00DF410E" w:rsidRDefault="00CE7F43">
      <w:r>
        <w:rPr>
          <w:b/>
          <w:i/>
        </w:rPr>
        <w:t>(Soit)</w:t>
      </w:r>
    </w:p>
    <w:p w14:paraId="0401F4C6"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A17FE9C" w14:textId="77777777" w:rsidR="00DF410E" w:rsidRDefault="00DF410E"/>
    <w:p w14:paraId="658F86BA" w14:textId="77777777" w:rsidR="00DF410E" w:rsidRDefault="00CE7F43">
      <w:r>
        <w:rPr>
          <w:b/>
        </w:rPr>
        <w:t>FLOCAGE</w:t>
      </w:r>
    </w:p>
    <w:p w14:paraId="4E308887"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36F27FA8" w14:textId="77777777" w:rsidR="00DF410E" w:rsidRDefault="00CE7F43">
      <w:r>
        <w:rPr>
          <w:b/>
          <w:i/>
        </w:rPr>
        <w:t>(Soit par défaut)</w:t>
      </w:r>
    </w:p>
    <w:p w14:paraId="101816FE"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0736C247" w14:textId="77777777" w:rsidR="00DF410E" w:rsidRDefault="00CE7F43">
      <w:r>
        <w:rPr>
          <w:b/>
          <w:i/>
        </w:rPr>
        <w:t>(Soit)</w:t>
      </w:r>
    </w:p>
    <w:p w14:paraId="5AC7D384"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3F0A51DC" w14:textId="77777777" w:rsidR="00DF410E" w:rsidRDefault="00CE7F43">
      <w:r>
        <w:rPr>
          <w:b/>
          <w:i/>
        </w:rPr>
        <w:t>(Soit)</w:t>
      </w:r>
    </w:p>
    <w:p w14:paraId="09F335C6"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5262A008" w14:textId="77777777" w:rsidR="00DF410E" w:rsidRDefault="00DF410E"/>
    <w:p w14:paraId="2CA2281A" w14:textId="77777777" w:rsidR="00DF410E" w:rsidRDefault="00CE7F43">
      <w:pPr>
        <w:spacing w:after="0" w:line="256" w:lineRule="auto"/>
        <w:jc w:val="both"/>
      </w:pPr>
      <w:r>
        <w:rPr>
          <w:b/>
        </w:rPr>
        <w:t>COUPURE THERMIQUE</w:t>
      </w:r>
    </w:p>
    <w:p w14:paraId="63E93513" w14:textId="77777777" w:rsidR="00DF410E" w:rsidRDefault="00CE7F43">
      <w:r>
        <w:rPr>
          <w:rStyle w:val="optioncarChar"/>
        </w:rPr>
        <w:t>À la pièce, ventilée suivant les types d’éléments</w:t>
      </w:r>
    </w:p>
    <w:p w14:paraId="04A60C9F" w14:textId="77777777" w:rsidR="00DF410E" w:rsidRDefault="00CE7F43">
      <w:pPr>
        <w:pStyle w:val="pheading"/>
      </w:pPr>
      <w:r>
        <w:t>- nature du marché:</w:t>
      </w:r>
    </w:p>
    <w:p w14:paraId="713EE6C2" w14:textId="77777777" w:rsidR="00DF410E" w:rsidRDefault="00DF410E"/>
    <w:p w14:paraId="152786C2" w14:textId="77777777" w:rsidR="00DF410E" w:rsidRDefault="00DF410E"/>
    <w:p w14:paraId="286971B5" w14:textId="77777777" w:rsidR="00DF410E" w:rsidRDefault="00CE7F43">
      <w:r>
        <w:rPr>
          <w:rStyle w:val="optioncarChar"/>
        </w:rPr>
        <w:t>QF</w:t>
      </w:r>
      <w:r>
        <w:t xml:space="preserve"> (par défaut) </w:t>
      </w:r>
      <w:r>
        <w:rPr>
          <w:rStyle w:val="optioncarChar"/>
        </w:rPr>
        <w:t>/ QP</w:t>
      </w:r>
    </w:p>
    <w:p w14:paraId="703BED31" w14:textId="77777777" w:rsidR="00DF410E" w:rsidRDefault="00CE7F43">
      <w:pPr>
        <w:pStyle w:val="soit"/>
      </w:pPr>
      <w:r>
        <w:rPr>
          <w:rStyle w:val="normalChar"/>
          <w:b/>
          <w:i/>
          <w:color w:val="000000"/>
        </w:rPr>
        <w:t xml:space="preserve">(Soit par défaut) </w:t>
      </w:r>
    </w:p>
    <w:p w14:paraId="460752BB" w14:textId="77777777" w:rsidR="00DF410E" w:rsidRDefault="00CE7F43">
      <w:r>
        <w:rPr>
          <w:rStyle w:val="soitChar"/>
        </w:rPr>
        <w:t xml:space="preserve">1. QF </w:t>
      </w:r>
    </w:p>
    <w:p w14:paraId="21FDB95C" w14:textId="77777777" w:rsidR="00DF410E" w:rsidRDefault="00CE7F43">
      <w:r>
        <w:rPr>
          <w:b/>
          <w:i/>
        </w:rPr>
        <w:t>(Soit)</w:t>
      </w:r>
    </w:p>
    <w:p w14:paraId="1DBCC7B4" w14:textId="77777777" w:rsidR="00DF410E" w:rsidRDefault="00CE7F43">
      <w:r>
        <w:rPr>
          <w:rStyle w:val="soitChar"/>
        </w:rPr>
        <w:t>2. QP</w:t>
      </w:r>
    </w:p>
    <w:p w14:paraId="6E461097" w14:textId="77777777" w:rsidR="00DF410E" w:rsidRDefault="00CE7F43">
      <w:pPr>
        <w:pStyle w:val="pheading"/>
      </w:pPr>
      <w:r>
        <w:t>AIDE</w:t>
      </w:r>
    </w:p>
    <w:p w14:paraId="10F766A5" w14:textId="77777777" w:rsidR="00DF410E" w:rsidRDefault="00CE7F43">
      <w:r>
        <w:t>Exemple pour métré :</w:t>
      </w:r>
    </w:p>
    <w:p w14:paraId="7E299018" w14:textId="77777777" w:rsidR="00DF410E" w:rsidRDefault="00CE7F43">
      <w:r>
        <w:t>Tube carré 140x140x5             S235JRH         galvanisé à chaud</w:t>
      </w:r>
    </w:p>
    <w:p w14:paraId="1B89E5DA" w14:textId="77777777" w:rsidR="00DF410E" w:rsidRDefault="00CE7F43">
      <w:pPr>
        <w:pStyle w:val="Author-eSectionHeading5"/>
      </w:pPr>
      <w:bookmarkStart w:id="1143" w:name="_Toc178838267"/>
      <w:r>
        <w:t>23.11.3 Poutres en acier inoxydable laminées à chaud CCTB 01.04</w:t>
      </w:r>
      <w:bookmarkEnd w:id="1143"/>
    </w:p>
    <w:p w14:paraId="14439CDD" w14:textId="77777777" w:rsidR="00DF410E" w:rsidRDefault="00CE7F43">
      <w:pPr>
        <w:pStyle w:val="Author-eSectionHeading6"/>
      </w:pPr>
      <w:bookmarkStart w:id="1144" w:name="_Toc178838268"/>
      <w:r>
        <w:t>23.11.3a Poutres en profilés en acier inoxydable laminés à chaud CCTB 01.11</w:t>
      </w:r>
      <w:bookmarkEnd w:id="1144"/>
    </w:p>
    <w:p w14:paraId="00E57466" w14:textId="77777777" w:rsidR="00DF410E" w:rsidRDefault="00CE7F43">
      <w:pPr>
        <w:pStyle w:val="pheading"/>
      </w:pPr>
      <w:r>
        <w:t>DESCRIPTION</w:t>
      </w:r>
    </w:p>
    <w:p w14:paraId="7DAF23AD" w14:textId="77777777" w:rsidR="00DF410E" w:rsidRDefault="00CE7F43">
      <w:pPr>
        <w:pStyle w:val="pheading"/>
      </w:pPr>
      <w:r>
        <w:t>- Définition / Comprend</w:t>
      </w:r>
    </w:p>
    <w:p w14:paraId="42F88DA6" w14:textId="77777777" w:rsidR="00DF410E" w:rsidRDefault="00CE7F43">
      <w:r>
        <w:t>Il s'agit de l’ensemble des poutres en profilés en acier inoxydable laminés à chaud conformes à la [NBN EN 10088 série]. </w:t>
      </w:r>
    </w:p>
    <w:p w14:paraId="545EEA9A" w14:textId="77777777" w:rsidR="00DF410E" w:rsidRDefault="00CE7F43">
      <w:pPr>
        <w:pStyle w:val="pheading"/>
      </w:pPr>
      <w:r>
        <w:t>- Localisation</w:t>
      </w:r>
    </w:p>
    <w:p w14:paraId="585AF2DB" w14:textId="77777777" w:rsidR="00DF410E" w:rsidRDefault="00CE7F43">
      <w:r>
        <w:t xml:space="preserve">Les travaux sont localisés : </w:t>
      </w:r>
      <w:r>
        <w:rPr>
          <w:rStyle w:val="optioncarChar"/>
        </w:rPr>
        <w:t>Voir plans et métrés détaillés </w:t>
      </w:r>
      <w:r>
        <w:t>(par défaut)</w:t>
      </w:r>
      <w:r>
        <w:rPr>
          <w:rStyle w:val="optioncarChar"/>
        </w:rPr>
        <w:t xml:space="preserve"> / ***</w:t>
      </w:r>
      <w:r>
        <w:t>.</w:t>
      </w:r>
    </w:p>
    <w:p w14:paraId="34239E64" w14:textId="77777777" w:rsidR="00DF410E" w:rsidRDefault="00CE7F43">
      <w:pPr>
        <w:pStyle w:val="pheading"/>
      </w:pPr>
      <w:r>
        <w:t>EXÉCUTION / MISE EN ŒUVRE</w:t>
      </w:r>
    </w:p>
    <w:p w14:paraId="55802C35" w14:textId="77777777" w:rsidR="00DF410E" w:rsidRDefault="00CE7F43">
      <w:pPr>
        <w:pStyle w:val="pheading"/>
      </w:pPr>
      <w:r>
        <w:t>- Notes d’exécution complémentaires</w:t>
      </w:r>
    </w:p>
    <w:p w14:paraId="312CCAD7" w14:textId="77777777" w:rsidR="00DF410E" w:rsidRDefault="00CE7F43">
      <w:r>
        <w:rPr>
          <w:rStyle w:val="facultChar"/>
        </w:rPr>
        <w:t xml:space="preserve"> Le présent article comprend également des coupures thermiques : Des dispositifs adéquats sont utilisés pour éviter tout pont thermique.</w:t>
      </w:r>
    </w:p>
    <w:p w14:paraId="1E6E6EED" w14:textId="77777777" w:rsidR="00DF410E" w:rsidRDefault="00CE7F43">
      <w:pPr>
        <w:pStyle w:val="pheading"/>
      </w:pPr>
      <w:r>
        <w:t>MESURAGE</w:t>
      </w:r>
    </w:p>
    <w:p w14:paraId="0DA24541" w14:textId="77777777" w:rsidR="00DF410E" w:rsidRDefault="00DF410E"/>
    <w:p w14:paraId="25478936" w14:textId="77777777" w:rsidR="00DF410E" w:rsidRDefault="00CE7F43">
      <w:pPr>
        <w:pStyle w:val="pheading"/>
      </w:pPr>
      <w:r>
        <w:t>- unité de mesure:</w:t>
      </w:r>
    </w:p>
    <w:p w14:paraId="446791BE" w14:textId="77777777" w:rsidR="00DF410E" w:rsidRDefault="00DF410E"/>
    <w:p w14:paraId="544EF78B" w14:textId="77777777" w:rsidR="00DF410E" w:rsidRDefault="00DF410E"/>
    <w:p w14:paraId="747B814F" w14:textId="77777777" w:rsidR="00DF410E" w:rsidRDefault="00CE7F43">
      <w:r>
        <w:rPr>
          <w:b/>
        </w:rPr>
        <w:t>POUTRE</w:t>
      </w:r>
    </w:p>
    <w:p w14:paraId="411CB088" w14:textId="77777777" w:rsidR="00DF410E" w:rsidRDefault="00CE7F43">
      <w:r>
        <w:rPr>
          <w:rStyle w:val="optioncarChar"/>
        </w:rPr>
        <w:t>kg </w:t>
      </w:r>
      <w:r>
        <w:t xml:space="preserve">(par défaut) </w:t>
      </w:r>
      <w:r>
        <w:rPr>
          <w:rStyle w:val="optioncarChar"/>
        </w:rPr>
        <w:t>/ m / pc.</w:t>
      </w:r>
    </w:p>
    <w:p w14:paraId="04AD1C90" w14:textId="77777777" w:rsidR="00DF410E" w:rsidRDefault="00CE7F43">
      <w:r>
        <w:rPr>
          <w:b/>
          <w:i/>
        </w:rPr>
        <w:t>(Soit par défaut)</w:t>
      </w:r>
    </w:p>
    <w:p w14:paraId="002D7AE9" w14:textId="77777777" w:rsidR="00DF410E" w:rsidRDefault="00CE7F43">
      <w:r>
        <w:rPr>
          <w:rStyle w:val="soitChar"/>
        </w:rPr>
        <w:t> 1. kg.</w:t>
      </w:r>
    </w:p>
    <w:p w14:paraId="6BD0F1C4" w14:textId="77777777" w:rsidR="00DF410E" w:rsidRDefault="00CE7F43">
      <w:r>
        <w:rPr>
          <w:b/>
          <w:i/>
        </w:rPr>
        <w:t>(Soit)</w:t>
      </w:r>
    </w:p>
    <w:p w14:paraId="49D7E417" w14:textId="77777777" w:rsidR="00DF410E" w:rsidRDefault="00CE7F43">
      <w:r>
        <w:rPr>
          <w:rStyle w:val="soitChar"/>
        </w:rPr>
        <w:t>  2 ou 3. m</w:t>
      </w:r>
    </w:p>
    <w:p w14:paraId="7A562031" w14:textId="77777777" w:rsidR="00DF410E" w:rsidRDefault="00CE7F43">
      <w:r>
        <w:rPr>
          <w:b/>
          <w:i/>
        </w:rPr>
        <w:t>(Soit)</w:t>
      </w:r>
    </w:p>
    <w:p w14:paraId="551DEFD6" w14:textId="77777777" w:rsidR="00DF410E" w:rsidRDefault="00CE7F43">
      <w:r>
        <w:rPr>
          <w:rStyle w:val="soitChar"/>
        </w:rPr>
        <w:t>  4 ou 5. pc</w:t>
      </w:r>
    </w:p>
    <w:p w14:paraId="7886BE47" w14:textId="77777777" w:rsidR="00DF410E" w:rsidRDefault="00CE7F43">
      <w:r>
        <w:rPr>
          <w:rStyle w:val="soitChar"/>
        </w:rPr>
        <w:t> </w:t>
      </w:r>
    </w:p>
    <w:p w14:paraId="643EAC51" w14:textId="77777777" w:rsidR="00DF410E" w:rsidRDefault="00CE7F43">
      <w:r>
        <w:rPr>
          <w:b/>
        </w:rPr>
        <w:t>FLOCAGE</w:t>
      </w:r>
    </w:p>
    <w:p w14:paraId="53658973" w14:textId="77777777" w:rsidR="00DF410E" w:rsidRDefault="00CE7F43">
      <w:r>
        <w:t>Le traitement au feu par flocage est compté séparément et fait l’objet d’un (de) poste(s) supplémentaire(s) dans le présent article :</w:t>
      </w:r>
    </w:p>
    <w:p w14:paraId="7956DB70" w14:textId="77777777" w:rsidR="00DF410E" w:rsidRDefault="00CE7F43">
      <w:r>
        <w:rPr>
          <w:rStyle w:val="optioncarChar"/>
        </w:rPr>
        <w:t xml:space="preserve">m² </w:t>
      </w:r>
      <w:r>
        <w:t>(par défaut)</w:t>
      </w:r>
      <w:r>
        <w:rPr>
          <w:rStyle w:val="optioncarChar"/>
        </w:rPr>
        <w:t xml:space="preserve"> / m / pc.</w:t>
      </w:r>
    </w:p>
    <w:p w14:paraId="142D4FA7" w14:textId="77777777" w:rsidR="00DF410E" w:rsidRDefault="00CE7F43">
      <w:r>
        <w:rPr>
          <w:b/>
          <w:i/>
        </w:rPr>
        <w:t>(Soit par défaut)</w:t>
      </w:r>
    </w:p>
    <w:p w14:paraId="295565CD" w14:textId="77777777" w:rsidR="00DF410E" w:rsidRDefault="00CE7F43">
      <w:r>
        <w:rPr>
          <w:rStyle w:val="soitChar"/>
        </w:rPr>
        <w:t> 1. m².</w:t>
      </w:r>
    </w:p>
    <w:p w14:paraId="4C2F42C9" w14:textId="77777777" w:rsidR="00DF410E" w:rsidRDefault="00CE7F43">
      <w:r>
        <w:rPr>
          <w:b/>
          <w:i/>
        </w:rPr>
        <w:t>(Soit)</w:t>
      </w:r>
    </w:p>
    <w:p w14:paraId="4C2206A4" w14:textId="77777777" w:rsidR="00DF410E" w:rsidRDefault="00CE7F43">
      <w:r>
        <w:rPr>
          <w:rStyle w:val="soitChar"/>
        </w:rPr>
        <w:t> 2. m</w:t>
      </w:r>
    </w:p>
    <w:p w14:paraId="50659173" w14:textId="77777777" w:rsidR="00DF410E" w:rsidRDefault="00CE7F43">
      <w:r>
        <w:rPr>
          <w:b/>
          <w:i/>
        </w:rPr>
        <w:t>(Soit)</w:t>
      </w:r>
    </w:p>
    <w:p w14:paraId="6389DABE" w14:textId="77777777" w:rsidR="00DF410E" w:rsidRDefault="00CE7F43">
      <w:r>
        <w:rPr>
          <w:rStyle w:val="soitChar"/>
        </w:rPr>
        <w:t> 3. pc</w:t>
      </w:r>
    </w:p>
    <w:p w14:paraId="3A998F6E" w14:textId="77777777" w:rsidR="00DF410E" w:rsidRDefault="00DF410E"/>
    <w:p w14:paraId="302031B9" w14:textId="77777777" w:rsidR="00DF410E" w:rsidRDefault="00CE7F43">
      <w:r>
        <w:rPr>
          <w:b/>
        </w:rPr>
        <w:t>COUPURE THERMIQUE</w:t>
      </w:r>
    </w:p>
    <w:p w14:paraId="5E2059FA" w14:textId="77777777" w:rsidR="00DF410E" w:rsidRDefault="00CE7F43">
      <w:r>
        <w:rPr>
          <w:rStyle w:val="optioncarChar"/>
        </w:rPr>
        <w:t>pièce</w:t>
      </w:r>
    </w:p>
    <w:p w14:paraId="1A28A882" w14:textId="77777777" w:rsidR="00DF410E" w:rsidRDefault="00CE7F43">
      <w:pPr>
        <w:pStyle w:val="pheading"/>
      </w:pPr>
      <w:r>
        <w:t>- code de mesurage:</w:t>
      </w:r>
    </w:p>
    <w:p w14:paraId="24D55127" w14:textId="77777777" w:rsidR="00DF410E" w:rsidRDefault="00DF410E"/>
    <w:p w14:paraId="26971B6A" w14:textId="77777777" w:rsidR="00DF410E" w:rsidRDefault="00DF410E"/>
    <w:p w14:paraId="0E03679C" w14:textId="77777777" w:rsidR="00DF410E" w:rsidRDefault="00CE7F43">
      <w:r>
        <w:rPr>
          <w:b/>
        </w:rPr>
        <w:t>POUTRE</w:t>
      </w:r>
    </w:p>
    <w:p w14:paraId="33AA84B2" w14:textId="77777777" w:rsidR="00DF410E" w:rsidRDefault="00CE7F43">
      <w:r>
        <w:t>Distinctions faites suivant les types de profilés, nuances et qualités d’acier.</w:t>
      </w:r>
    </w:p>
    <w:p w14:paraId="2FB15CE8"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42460B9E" w14:textId="77777777" w:rsidR="00DF410E" w:rsidRDefault="00CE7F43">
      <w:r>
        <w:rPr>
          <w:b/>
          <w:i/>
        </w:rPr>
        <w:t>(Soit par défaut)</w:t>
      </w:r>
    </w:p>
    <w:p w14:paraId="1438965A"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59ECA807" w14:textId="77777777" w:rsidR="00DF410E" w:rsidRDefault="00CE7F43">
      <w:r>
        <w:rPr>
          <w:b/>
          <w:i/>
        </w:rPr>
        <w:t>(Soit)</w:t>
      </w:r>
    </w:p>
    <w:p w14:paraId="66F6EA42"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2985DE63" w14:textId="77777777" w:rsidR="00DF410E" w:rsidRDefault="00CE7F43">
      <w:r>
        <w:rPr>
          <w:b/>
          <w:i/>
        </w:rPr>
        <w:t>(Soit)</w:t>
      </w:r>
    </w:p>
    <w:p w14:paraId="0FB151D6"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09D385D" w14:textId="77777777" w:rsidR="00DF410E" w:rsidRDefault="00CE7F43">
      <w:r>
        <w:rPr>
          <w:b/>
          <w:i/>
        </w:rPr>
        <w:t>(Soit)</w:t>
      </w:r>
    </w:p>
    <w:p w14:paraId="4A881569"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1AA3DE0" w14:textId="77777777" w:rsidR="00DF410E" w:rsidRDefault="00CE7F43">
      <w:r>
        <w:rPr>
          <w:b/>
          <w:i/>
        </w:rPr>
        <w:t>(Soit)</w:t>
      </w:r>
    </w:p>
    <w:p w14:paraId="5B14A752"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263D2AD" w14:textId="77777777" w:rsidR="00DF410E" w:rsidRDefault="00DF410E"/>
    <w:p w14:paraId="0A96012E" w14:textId="77777777" w:rsidR="00DF410E" w:rsidRDefault="00CE7F43">
      <w:r>
        <w:rPr>
          <w:b/>
        </w:rPr>
        <w:t>FLOCAGE</w:t>
      </w:r>
    </w:p>
    <w:p w14:paraId="37B7FC61"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2859F7B2" w14:textId="77777777" w:rsidR="00DF410E" w:rsidRDefault="00CE7F43">
      <w:r>
        <w:rPr>
          <w:b/>
          <w:i/>
        </w:rPr>
        <w:t>(Soit par défaut)</w:t>
      </w:r>
    </w:p>
    <w:p w14:paraId="1E803511"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37809901" w14:textId="77777777" w:rsidR="00DF410E" w:rsidRDefault="00CE7F43">
      <w:r>
        <w:rPr>
          <w:b/>
          <w:i/>
        </w:rPr>
        <w:t>(Soit)</w:t>
      </w:r>
    </w:p>
    <w:p w14:paraId="5B7A8E4F"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7B24977" w14:textId="77777777" w:rsidR="00DF410E" w:rsidRDefault="00CE7F43">
      <w:r>
        <w:rPr>
          <w:b/>
          <w:i/>
        </w:rPr>
        <w:t>(Soit)</w:t>
      </w:r>
    </w:p>
    <w:p w14:paraId="5DB908C2"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1E91F2F7" w14:textId="77777777" w:rsidR="00DF410E" w:rsidRDefault="00DF410E"/>
    <w:p w14:paraId="6022A434" w14:textId="77777777" w:rsidR="00DF410E" w:rsidRDefault="00CE7F43">
      <w:pPr>
        <w:spacing w:after="0" w:line="256" w:lineRule="auto"/>
        <w:jc w:val="both"/>
      </w:pPr>
      <w:r>
        <w:rPr>
          <w:b/>
        </w:rPr>
        <w:t>COUPURE THERMIQUE</w:t>
      </w:r>
    </w:p>
    <w:p w14:paraId="2C023AC1" w14:textId="77777777" w:rsidR="00DF410E" w:rsidRDefault="00CE7F43">
      <w:r>
        <w:rPr>
          <w:rStyle w:val="optioncarChar"/>
        </w:rPr>
        <w:t>À la pièce, ventilée suivant les types d’éléments</w:t>
      </w:r>
    </w:p>
    <w:p w14:paraId="6C94CC1C" w14:textId="77777777" w:rsidR="00DF410E" w:rsidRDefault="00CE7F43">
      <w:pPr>
        <w:pStyle w:val="pheading"/>
      </w:pPr>
      <w:r>
        <w:t>- nature du marché:</w:t>
      </w:r>
    </w:p>
    <w:p w14:paraId="236751BF" w14:textId="77777777" w:rsidR="00DF410E" w:rsidRDefault="00DF410E"/>
    <w:p w14:paraId="4DB7E4BA" w14:textId="77777777" w:rsidR="00DF410E" w:rsidRDefault="00DF410E"/>
    <w:p w14:paraId="22CE9355" w14:textId="77777777" w:rsidR="00DF410E" w:rsidRDefault="00CE7F43">
      <w:r>
        <w:rPr>
          <w:rStyle w:val="optioncarChar"/>
        </w:rPr>
        <w:t>QF</w:t>
      </w:r>
      <w:r>
        <w:t xml:space="preserve"> (par défaut) </w:t>
      </w:r>
      <w:r>
        <w:rPr>
          <w:rStyle w:val="optioncarChar"/>
        </w:rPr>
        <w:t>/ QP</w:t>
      </w:r>
    </w:p>
    <w:p w14:paraId="69F6DC99" w14:textId="77777777" w:rsidR="00DF410E" w:rsidRDefault="00CE7F43">
      <w:pPr>
        <w:pStyle w:val="soit"/>
      </w:pPr>
      <w:r>
        <w:rPr>
          <w:rStyle w:val="normalChar"/>
          <w:b/>
          <w:i/>
          <w:color w:val="000000"/>
        </w:rPr>
        <w:t xml:space="preserve">(Soit par défaut) </w:t>
      </w:r>
    </w:p>
    <w:p w14:paraId="3E79C6AE" w14:textId="77777777" w:rsidR="00DF410E" w:rsidRDefault="00CE7F43">
      <w:r>
        <w:rPr>
          <w:rStyle w:val="soitChar"/>
        </w:rPr>
        <w:t xml:space="preserve">1. QF </w:t>
      </w:r>
    </w:p>
    <w:p w14:paraId="60C7C6AB" w14:textId="77777777" w:rsidR="00DF410E" w:rsidRDefault="00CE7F43">
      <w:r>
        <w:rPr>
          <w:b/>
          <w:i/>
        </w:rPr>
        <w:t>(Soit)</w:t>
      </w:r>
    </w:p>
    <w:p w14:paraId="6B1D7692" w14:textId="77777777" w:rsidR="00DF410E" w:rsidRDefault="00CE7F43">
      <w:r>
        <w:rPr>
          <w:rStyle w:val="soitChar"/>
        </w:rPr>
        <w:t>2. QP</w:t>
      </w:r>
    </w:p>
    <w:p w14:paraId="645AA0D2" w14:textId="77777777" w:rsidR="00DF410E" w:rsidRDefault="00CE7F43">
      <w:pPr>
        <w:pStyle w:val="Author-eSectionHeading6"/>
      </w:pPr>
      <w:bookmarkStart w:id="1145" w:name="_Toc178838269"/>
      <w:r>
        <w:t>23.11.3b Poutres reconstituées soudées en acier inoxydable CCTB 01.11</w:t>
      </w:r>
      <w:bookmarkEnd w:id="1145"/>
    </w:p>
    <w:p w14:paraId="03D873C8" w14:textId="77777777" w:rsidR="00DF410E" w:rsidRDefault="00CE7F43">
      <w:pPr>
        <w:pStyle w:val="pheading"/>
      </w:pPr>
      <w:r>
        <w:t>DESCRIPTION</w:t>
      </w:r>
    </w:p>
    <w:p w14:paraId="21DE6AD1" w14:textId="77777777" w:rsidR="00DF410E" w:rsidRDefault="00CE7F43">
      <w:pPr>
        <w:pStyle w:val="pheading"/>
      </w:pPr>
      <w:r>
        <w:t>- Définition / Comprend</w:t>
      </w:r>
    </w:p>
    <w:p w14:paraId="6CB49F60" w14:textId="77777777" w:rsidR="00DF410E" w:rsidRDefault="00DF410E"/>
    <w:p w14:paraId="685322B4" w14:textId="77777777" w:rsidR="00DF410E" w:rsidRDefault="00CE7F43">
      <w:r>
        <w:rPr>
          <w:rFonts w:ascii="Calibri"/>
          <w:sz w:val="22"/>
        </w:rPr>
        <w:t>Il s'agit de l</w:t>
      </w:r>
      <w:r>
        <w:rPr>
          <w:rFonts w:ascii="Calibri"/>
          <w:sz w:val="22"/>
        </w:rPr>
        <w:t>’</w:t>
      </w:r>
      <w:r>
        <w:rPr>
          <w:rFonts w:ascii="Calibri"/>
          <w:sz w:val="22"/>
        </w:rPr>
        <w:t>ensemble des poutres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w:t>
      </w:r>
      <w:r>
        <w:rPr>
          <w:rFonts w:ascii="Calibri"/>
          <w:sz w:val="22"/>
        </w:rPr>
        <w:t>’é</w:t>
      </w:r>
      <w:r>
        <w:rPr>
          <w:rFonts w:ascii="Calibri"/>
          <w:sz w:val="22"/>
        </w:rPr>
        <w:t>l</w:t>
      </w:r>
      <w:r>
        <w:rPr>
          <w:rFonts w:ascii="Calibri"/>
          <w:sz w:val="22"/>
        </w:rPr>
        <w:t>é</w:t>
      </w:r>
      <w:r>
        <w:rPr>
          <w:rFonts w:ascii="Calibri"/>
          <w:sz w:val="22"/>
        </w:rPr>
        <w:t xml:space="preserve">ments en acier inoxydable conformes </w:t>
      </w:r>
      <w:r>
        <w:rPr>
          <w:rFonts w:ascii="Calibri"/>
          <w:sz w:val="22"/>
        </w:rPr>
        <w:t>à</w:t>
      </w:r>
      <w:r>
        <w:rPr>
          <w:rFonts w:ascii="Calibri"/>
          <w:sz w:val="22"/>
        </w:rPr>
        <w:t xml:space="preserve"> la </w:t>
      </w:r>
      <w:r>
        <w:t>[NBN EN 10088 série]. </w:t>
      </w:r>
      <w:r>
        <w:rPr>
          <w:rFonts w:ascii="Calibri"/>
          <w:sz w:val="22"/>
        </w:rPr>
        <w:t>L</w:t>
      </w:r>
      <w:r>
        <w:rPr>
          <w:rFonts w:ascii="Calibri"/>
          <w:sz w:val="22"/>
        </w:rPr>
        <w:t>’</w:t>
      </w:r>
      <w:r>
        <w:rPr>
          <w:rFonts w:ascii="Calibri"/>
          <w:sz w:val="22"/>
        </w:rPr>
        <w:t xml:space="preserve">assemblage de ces </w:t>
      </w:r>
      <w:r>
        <w:rPr>
          <w:rFonts w:ascii="Calibri"/>
          <w:sz w:val="22"/>
        </w:rPr>
        <w:t>é</w:t>
      </w:r>
      <w:r>
        <w:rPr>
          <w:rFonts w:ascii="Calibri"/>
          <w:sz w:val="22"/>
        </w:rPr>
        <w:t>l</w:t>
      </w:r>
      <w:r>
        <w:rPr>
          <w:rFonts w:ascii="Calibri"/>
          <w:sz w:val="22"/>
        </w:rPr>
        <w:t>é</w:t>
      </w:r>
      <w:r>
        <w:rPr>
          <w:rFonts w:ascii="Calibri"/>
          <w:sz w:val="22"/>
        </w:rPr>
        <w:t xml:space="preserve">ments est conforme </w:t>
      </w:r>
      <w:r>
        <w:rPr>
          <w:rFonts w:ascii="Calibri"/>
          <w:sz w:val="22"/>
        </w:rPr>
        <w:t>à</w:t>
      </w:r>
      <w:r>
        <w:rPr>
          <w:rFonts w:ascii="Calibri"/>
          <w:sz w:val="22"/>
        </w:rPr>
        <w:t xml:space="preserve"> la </w:t>
      </w:r>
      <w:r>
        <w:t>[NBN EN 1090-2]. </w:t>
      </w:r>
    </w:p>
    <w:p w14:paraId="586744E8" w14:textId="77777777" w:rsidR="00DF410E" w:rsidRDefault="00CE7F43">
      <w:pPr>
        <w:pStyle w:val="pheading"/>
      </w:pPr>
      <w:r>
        <w:t>- Localisation</w:t>
      </w:r>
    </w:p>
    <w:p w14:paraId="0CCB593E" w14:textId="77777777" w:rsidR="00DF410E" w:rsidRDefault="00DF410E"/>
    <w:p w14:paraId="702B54A5" w14:textId="77777777" w:rsidR="00DF410E" w:rsidRDefault="00DF410E"/>
    <w:p w14:paraId="495B35D4" w14:textId="77777777" w:rsidR="00DF410E" w:rsidRDefault="00CE7F43">
      <w:r>
        <w:t xml:space="preserve">Les travaux sont localisés : </w:t>
      </w:r>
      <w:r>
        <w:rPr>
          <w:rStyle w:val="optioncarChar"/>
        </w:rPr>
        <w:t>Voir plans et métrés détaillés </w:t>
      </w:r>
      <w:r>
        <w:t>(par défaut)</w:t>
      </w:r>
      <w:r>
        <w:rPr>
          <w:rStyle w:val="optioncarChar"/>
        </w:rPr>
        <w:t xml:space="preserve"> / ***. </w:t>
      </w:r>
    </w:p>
    <w:p w14:paraId="4B2CD178" w14:textId="77777777" w:rsidR="00DF410E" w:rsidRDefault="00CE7F43">
      <w:pPr>
        <w:pStyle w:val="pheading"/>
      </w:pPr>
      <w:r>
        <w:t>EXÉCUTION / MISE EN ŒUVRE</w:t>
      </w:r>
    </w:p>
    <w:p w14:paraId="116CBF10" w14:textId="77777777" w:rsidR="00DF410E" w:rsidRDefault="00CE7F43">
      <w:pPr>
        <w:pStyle w:val="pheading"/>
      </w:pPr>
      <w:r>
        <w:t>- Notes d’exécution complémentaires</w:t>
      </w:r>
    </w:p>
    <w:p w14:paraId="13EA93D2" w14:textId="77777777" w:rsidR="00DF410E" w:rsidRDefault="00CE7F43">
      <w:r>
        <w:rPr>
          <w:rStyle w:val="facultChar"/>
        </w:rPr>
        <w:t xml:space="preserve"> Le présent article comprend également des coupures thermiques : Des dispositifs adéquats sont utilisés pour éviter tout pont thermique.</w:t>
      </w:r>
    </w:p>
    <w:p w14:paraId="29358BF3" w14:textId="77777777" w:rsidR="00DF410E" w:rsidRDefault="00CE7F43">
      <w:pPr>
        <w:pStyle w:val="pheading"/>
      </w:pPr>
      <w:r>
        <w:t>MESURAGE</w:t>
      </w:r>
    </w:p>
    <w:p w14:paraId="0646A6A6" w14:textId="77777777" w:rsidR="00DF410E" w:rsidRDefault="00DF410E"/>
    <w:p w14:paraId="5F73D8B6" w14:textId="77777777" w:rsidR="00DF410E" w:rsidRDefault="00CE7F43">
      <w:pPr>
        <w:pStyle w:val="pheading"/>
      </w:pPr>
      <w:r>
        <w:t>- unité de mesure:</w:t>
      </w:r>
    </w:p>
    <w:p w14:paraId="7A4DB6F9" w14:textId="77777777" w:rsidR="00DF410E" w:rsidRDefault="00DF410E"/>
    <w:p w14:paraId="12716E23" w14:textId="77777777" w:rsidR="00DF410E" w:rsidRDefault="00DF410E"/>
    <w:p w14:paraId="249AFBF9" w14:textId="77777777" w:rsidR="00DF410E" w:rsidRDefault="00CE7F43">
      <w:r>
        <w:rPr>
          <w:b/>
        </w:rPr>
        <w:t>POUTRE</w:t>
      </w:r>
    </w:p>
    <w:p w14:paraId="68C14F54" w14:textId="77777777" w:rsidR="00DF410E" w:rsidRDefault="00CE7F43">
      <w:r>
        <w:rPr>
          <w:rStyle w:val="optioncarChar"/>
        </w:rPr>
        <w:t>kg </w:t>
      </w:r>
      <w:r>
        <w:t xml:space="preserve">(par défaut) </w:t>
      </w:r>
      <w:r>
        <w:rPr>
          <w:rStyle w:val="optioncarChar"/>
        </w:rPr>
        <w:t>/ m / pc.</w:t>
      </w:r>
    </w:p>
    <w:p w14:paraId="5B0D3B7B" w14:textId="77777777" w:rsidR="00DF410E" w:rsidRDefault="00CE7F43">
      <w:r>
        <w:rPr>
          <w:b/>
          <w:i/>
        </w:rPr>
        <w:t>(Soit par défaut)</w:t>
      </w:r>
    </w:p>
    <w:p w14:paraId="25AFC217" w14:textId="77777777" w:rsidR="00DF410E" w:rsidRDefault="00CE7F43">
      <w:r>
        <w:rPr>
          <w:rStyle w:val="soitChar"/>
        </w:rPr>
        <w:t> 1. kg.</w:t>
      </w:r>
    </w:p>
    <w:p w14:paraId="62B5AF1D" w14:textId="77777777" w:rsidR="00DF410E" w:rsidRDefault="00CE7F43">
      <w:r>
        <w:rPr>
          <w:b/>
          <w:i/>
        </w:rPr>
        <w:t>(Soit)</w:t>
      </w:r>
    </w:p>
    <w:p w14:paraId="6F0BE5AA" w14:textId="77777777" w:rsidR="00DF410E" w:rsidRDefault="00CE7F43">
      <w:r>
        <w:rPr>
          <w:rStyle w:val="soitChar"/>
        </w:rPr>
        <w:t>  2 ou 3. m</w:t>
      </w:r>
    </w:p>
    <w:p w14:paraId="3676ADCF" w14:textId="77777777" w:rsidR="00DF410E" w:rsidRDefault="00CE7F43">
      <w:r>
        <w:rPr>
          <w:b/>
          <w:i/>
        </w:rPr>
        <w:t>(Soit)</w:t>
      </w:r>
    </w:p>
    <w:p w14:paraId="01F6AC34" w14:textId="77777777" w:rsidR="00DF410E" w:rsidRDefault="00CE7F43">
      <w:r>
        <w:rPr>
          <w:rStyle w:val="soitChar"/>
        </w:rPr>
        <w:t>  4 ou 5. pc</w:t>
      </w:r>
    </w:p>
    <w:p w14:paraId="6F38FDBC" w14:textId="77777777" w:rsidR="00DF410E" w:rsidRDefault="00CE7F43">
      <w:r>
        <w:rPr>
          <w:rStyle w:val="soitChar"/>
        </w:rPr>
        <w:t> </w:t>
      </w:r>
    </w:p>
    <w:p w14:paraId="786B1400" w14:textId="77777777" w:rsidR="00DF410E" w:rsidRDefault="00CE7F43">
      <w:r>
        <w:rPr>
          <w:b/>
        </w:rPr>
        <w:t>FLOCAGE</w:t>
      </w:r>
    </w:p>
    <w:p w14:paraId="3EEB3AC3" w14:textId="77777777" w:rsidR="00DF410E" w:rsidRDefault="00CE7F43">
      <w:r>
        <w:t>Le traitement au feu par flocage est compté séparément et fait l’objet d’un (de) poste(s) supplémentaire(s) dans le présent article :</w:t>
      </w:r>
    </w:p>
    <w:p w14:paraId="613A20EE" w14:textId="77777777" w:rsidR="00DF410E" w:rsidRDefault="00CE7F43">
      <w:r>
        <w:rPr>
          <w:rStyle w:val="optioncarChar"/>
        </w:rPr>
        <w:t xml:space="preserve">m² </w:t>
      </w:r>
      <w:r>
        <w:t>(par défaut)</w:t>
      </w:r>
      <w:r>
        <w:rPr>
          <w:rStyle w:val="optioncarChar"/>
        </w:rPr>
        <w:t xml:space="preserve"> / m / pc.</w:t>
      </w:r>
    </w:p>
    <w:p w14:paraId="0E0E3F5A" w14:textId="77777777" w:rsidR="00DF410E" w:rsidRDefault="00CE7F43">
      <w:r>
        <w:rPr>
          <w:b/>
          <w:i/>
        </w:rPr>
        <w:t>(Soit par défaut)</w:t>
      </w:r>
    </w:p>
    <w:p w14:paraId="53A120F5" w14:textId="77777777" w:rsidR="00DF410E" w:rsidRDefault="00CE7F43">
      <w:r>
        <w:rPr>
          <w:rStyle w:val="soitChar"/>
        </w:rPr>
        <w:t> 1. m².</w:t>
      </w:r>
    </w:p>
    <w:p w14:paraId="677A38DC" w14:textId="77777777" w:rsidR="00DF410E" w:rsidRDefault="00CE7F43">
      <w:r>
        <w:rPr>
          <w:b/>
          <w:i/>
        </w:rPr>
        <w:t>(Soit)</w:t>
      </w:r>
    </w:p>
    <w:p w14:paraId="56E4324D" w14:textId="77777777" w:rsidR="00DF410E" w:rsidRDefault="00CE7F43">
      <w:r>
        <w:rPr>
          <w:rStyle w:val="soitChar"/>
        </w:rPr>
        <w:t> 2. m</w:t>
      </w:r>
    </w:p>
    <w:p w14:paraId="0B6AA0C6" w14:textId="77777777" w:rsidR="00DF410E" w:rsidRDefault="00CE7F43">
      <w:r>
        <w:rPr>
          <w:b/>
          <w:i/>
        </w:rPr>
        <w:t>(Soit)</w:t>
      </w:r>
    </w:p>
    <w:p w14:paraId="14A67585" w14:textId="77777777" w:rsidR="00DF410E" w:rsidRDefault="00CE7F43">
      <w:r>
        <w:rPr>
          <w:rStyle w:val="soitChar"/>
        </w:rPr>
        <w:t> 3. pc</w:t>
      </w:r>
    </w:p>
    <w:p w14:paraId="50F71B86" w14:textId="77777777" w:rsidR="00DF410E" w:rsidRDefault="00DF410E"/>
    <w:p w14:paraId="32E7C3F7" w14:textId="77777777" w:rsidR="00DF410E" w:rsidRDefault="00CE7F43">
      <w:r>
        <w:rPr>
          <w:b/>
        </w:rPr>
        <w:t>COUPURE THERMIQUE</w:t>
      </w:r>
    </w:p>
    <w:p w14:paraId="00559DDF" w14:textId="77777777" w:rsidR="00DF410E" w:rsidRDefault="00CE7F43">
      <w:r>
        <w:rPr>
          <w:rStyle w:val="optioncarChar"/>
        </w:rPr>
        <w:t>pièce</w:t>
      </w:r>
    </w:p>
    <w:p w14:paraId="6F961DE5" w14:textId="77777777" w:rsidR="00DF410E" w:rsidRDefault="00CE7F43">
      <w:pPr>
        <w:pStyle w:val="pheading"/>
      </w:pPr>
      <w:r>
        <w:t>- code de mesurage:</w:t>
      </w:r>
    </w:p>
    <w:p w14:paraId="6D05C8A2" w14:textId="77777777" w:rsidR="00DF410E" w:rsidRDefault="00DF410E"/>
    <w:p w14:paraId="11EEF367" w14:textId="77777777" w:rsidR="00DF410E" w:rsidRDefault="00DF410E"/>
    <w:p w14:paraId="16FC7656" w14:textId="77777777" w:rsidR="00DF410E" w:rsidRDefault="00CE7F43">
      <w:r>
        <w:rPr>
          <w:b/>
        </w:rPr>
        <w:t>POUTRE</w:t>
      </w:r>
    </w:p>
    <w:p w14:paraId="6E547265" w14:textId="77777777" w:rsidR="00DF410E" w:rsidRDefault="00CE7F43">
      <w:r>
        <w:t>Distinctions faites suivant les types de profilés, nuances et qualités d’acier.</w:t>
      </w:r>
    </w:p>
    <w:p w14:paraId="38B56C87"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231136CF" w14:textId="77777777" w:rsidR="00DF410E" w:rsidRDefault="00CE7F43">
      <w:r>
        <w:rPr>
          <w:b/>
          <w:i/>
        </w:rPr>
        <w:t>(Soit par défaut)</w:t>
      </w:r>
    </w:p>
    <w:p w14:paraId="66706CC7"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0209F65F" w14:textId="77777777" w:rsidR="00DF410E" w:rsidRDefault="00CE7F43">
      <w:r>
        <w:rPr>
          <w:b/>
          <w:i/>
        </w:rPr>
        <w:t>(Soit)</w:t>
      </w:r>
    </w:p>
    <w:p w14:paraId="533D5973"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39D80CB" w14:textId="77777777" w:rsidR="00DF410E" w:rsidRDefault="00CE7F43">
      <w:r>
        <w:rPr>
          <w:b/>
          <w:i/>
        </w:rPr>
        <w:t>(Soit)</w:t>
      </w:r>
    </w:p>
    <w:p w14:paraId="7C62F1CA"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7AE2D0EF" w14:textId="77777777" w:rsidR="00DF410E" w:rsidRDefault="00CE7F43">
      <w:r>
        <w:rPr>
          <w:b/>
          <w:i/>
        </w:rPr>
        <w:t>(Soit)</w:t>
      </w:r>
    </w:p>
    <w:p w14:paraId="6A765915"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594468FF" w14:textId="77777777" w:rsidR="00DF410E" w:rsidRDefault="00CE7F43">
      <w:r>
        <w:rPr>
          <w:b/>
          <w:i/>
        </w:rPr>
        <w:t>(Soit)</w:t>
      </w:r>
    </w:p>
    <w:p w14:paraId="307CEDD5"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3BCCD22" w14:textId="77777777" w:rsidR="00DF410E" w:rsidRDefault="00DF410E"/>
    <w:p w14:paraId="3D167981" w14:textId="77777777" w:rsidR="00DF410E" w:rsidRDefault="00CE7F43">
      <w:r>
        <w:rPr>
          <w:b/>
        </w:rPr>
        <w:t>FLOCAGE</w:t>
      </w:r>
    </w:p>
    <w:p w14:paraId="22400FC6"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0EA9E477" w14:textId="77777777" w:rsidR="00DF410E" w:rsidRDefault="00CE7F43">
      <w:r>
        <w:rPr>
          <w:b/>
          <w:i/>
        </w:rPr>
        <w:t>(Soit par défaut)</w:t>
      </w:r>
    </w:p>
    <w:p w14:paraId="26AE724A"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0D63382F" w14:textId="77777777" w:rsidR="00DF410E" w:rsidRDefault="00CE7F43">
      <w:r>
        <w:rPr>
          <w:b/>
          <w:i/>
        </w:rPr>
        <w:t>(Soit)</w:t>
      </w:r>
    </w:p>
    <w:p w14:paraId="326F1880"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6B0BAD88" w14:textId="77777777" w:rsidR="00DF410E" w:rsidRDefault="00CE7F43">
      <w:r>
        <w:rPr>
          <w:b/>
          <w:i/>
        </w:rPr>
        <w:t>(Soit)</w:t>
      </w:r>
    </w:p>
    <w:p w14:paraId="3A0D1BBD"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3EDF9B4" w14:textId="77777777" w:rsidR="00DF410E" w:rsidRDefault="00DF410E"/>
    <w:p w14:paraId="7B913246" w14:textId="77777777" w:rsidR="00DF410E" w:rsidRDefault="00CE7F43">
      <w:pPr>
        <w:spacing w:after="0" w:line="256" w:lineRule="auto"/>
        <w:jc w:val="both"/>
      </w:pPr>
      <w:r>
        <w:rPr>
          <w:b/>
        </w:rPr>
        <w:t>COUPURE THERMIQUE</w:t>
      </w:r>
    </w:p>
    <w:p w14:paraId="0C429700" w14:textId="77777777" w:rsidR="00DF410E" w:rsidRDefault="00CE7F43">
      <w:r>
        <w:rPr>
          <w:rStyle w:val="optioncarChar"/>
        </w:rPr>
        <w:t>À la pièce, ventilée suivant les types d’éléments</w:t>
      </w:r>
    </w:p>
    <w:p w14:paraId="71A7A04E" w14:textId="77777777" w:rsidR="00DF410E" w:rsidRDefault="00CE7F43">
      <w:pPr>
        <w:pStyle w:val="pheading"/>
      </w:pPr>
      <w:r>
        <w:t>- nature du marché:</w:t>
      </w:r>
    </w:p>
    <w:p w14:paraId="46BDD136" w14:textId="77777777" w:rsidR="00DF410E" w:rsidRDefault="00DF410E"/>
    <w:p w14:paraId="7B0FEEA3" w14:textId="77777777" w:rsidR="00DF410E" w:rsidRDefault="00DF410E"/>
    <w:p w14:paraId="2D42E43E" w14:textId="77777777" w:rsidR="00DF410E" w:rsidRDefault="00CE7F43">
      <w:r>
        <w:rPr>
          <w:rStyle w:val="optioncarChar"/>
        </w:rPr>
        <w:t>QF</w:t>
      </w:r>
      <w:r>
        <w:t xml:space="preserve"> (par défaut) </w:t>
      </w:r>
      <w:r>
        <w:rPr>
          <w:rStyle w:val="optioncarChar"/>
        </w:rPr>
        <w:t>/ QP</w:t>
      </w:r>
    </w:p>
    <w:p w14:paraId="7A3AF044" w14:textId="77777777" w:rsidR="00DF410E" w:rsidRDefault="00CE7F43">
      <w:pPr>
        <w:pStyle w:val="soit"/>
      </w:pPr>
      <w:r>
        <w:rPr>
          <w:rStyle w:val="normalChar"/>
          <w:b/>
          <w:i/>
          <w:color w:val="000000"/>
        </w:rPr>
        <w:t xml:space="preserve">(Soit par défaut) </w:t>
      </w:r>
    </w:p>
    <w:p w14:paraId="4220676D" w14:textId="77777777" w:rsidR="00DF410E" w:rsidRDefault="00CE7F43">
      <w:r>
        <w:rPr>
          <w:rStyle w:val="soitChar"/>
        </w:rPr>
        <w:t xml:space="preserve">1. QF </w:t>
      </w:r>
    </w:p>
    <w:p w14:paraId="702C8AD9" w14:textId="77777777" w:rsidR="00DF410E" w:rsidRDefault="00CE7F43">
      <w:r>
        <w:rPr>
          <w:b/>
          <w:i/>
        </w:rPr>
        <w:t>(Soit)</w:t>
      </w:r>
    </w:p>
    <w:p w14:paraId="77D7A742" w14:textId="77777777" w:rsidR="00DF410E" w:rsidRDefault="00CE7F43">
      <w:r>
        <w:rPr>
          <w:rStyle w:val="soitChar"/>
        </w:rPr>
        <w:t>2. QP</w:t>
      </w:r>
    </w:p>
    <w:p w14:paraId="273875B5" w14:textId="77777777" w:rsidR="00DF410E" w:rsidRDefault="00CE7F43">
      <w:pPr>
        <w:pStyle w:val="Author-eSectionHeading6"/>
      </w:pPr>
      <w:bookmarkStart w:id="1146" w:name="_Toc178838270"/>
      <w:r>
        <w:t>23.11.3c Poutres en treillis en acier inoxydable CCTB 01.11</w:t>
      </w:r>
      <w:bookmarkEnd w:id="1146"/>
    </w:p>
    <w:p w14:paraId="3C08556E" w14:textId="77777777" w:rsidR="00DF410E" w:rsidRDefault="00CE7F43">
      <w:pPr>
        <w:pStyle w:val="pheading"/>
      </w:pPr>
      <w:r>
        <w:t>DESCRIPTION</w:t>
      </w:r>
    </w:p>
    <w:p w14:paraId="26C22B0A" w14:textId="77777777" w:rsidR="00DF410E" w:rsidRDefault="00CE7F43">
      <w:pPr>
        <w:pStyle w:val="pheading"/>
      </w:pPr>
      <w:r>
        <w:t>- Définition / Comprend</w:t>
      </w:r>
    </w:p>
    <w:p w14:paraId="01F9DC74" w14:textId="77777777" w:rsidR="00DF410E" w:rsidRDefault="00DF410E"/>
    <w:p w14:paraId="698AFBFF" w14:textId="77777777" w:rsidR="00DF410E" w:rsidRDefault="00CE7F43">
      <w:r>
        <w:rPr>
          <w:rFonts w:ascii="Calibri"/>
          <w:sz w:val="22"/>
        </w:rPr>
        <w:t>Il s'agit de l</w:t>
      </w:r>
      <w:r>
        <w:rPr>
          <w:rFonts w:ascii="Calibri"/>
          <w:sz w:val="22"/>
        </w:rPr>
        <w:t>’</w:t>
      </w:r>
      <w:r>
        <w:rPr>
          <w:rFonts w:ascii="Calibri"/>
          <w:sz w:val="22"/>
        </w:rPr>
        <w:t>ensemble des poutres en treillis constitu</w:t>
      </w:r>
      <w:r>
        <w:rPr>
          <w:rFonts w:ascii="Calibri"/>
          <w:sz w:val="22"/>
        </w:rPr>
        <w:t>é</w:t>
      </w:r>
      <w:r>
        <w:rPr>
          <w:rFonts w:ascii="Calibri"/>
          <w:sz w:val="22"/>
        </w:rPr>
        <w:t>es d</w:t>
      </w:r>
      <w:r>
        <w:rPr>
          <w:rFonts w:ascii="Calibri"/>
          <w:sz w:val="22"/>
        </w:rPr>
        <w:t>’é</w:t>
      </w:r>
      <w:r>
        <w:rPr>
          <w:rFonts w:ascii="Calibri"/>
          <w:sz w:val="22"/>
        </w:rPr>
        <w:t>l</w:t>
      </w:r>
      <w:r>
        <w:rPr>
          <w:rFonts w:ascii="Calibri"/>
          <w:sz w:val="22"/>
        </w:rPr>
        <w:t>é</w:t>
      </w:r>
      <w:r>
        <w:rPr>
          <w:rFonts w:ascii="Calibri"/>
          <w:sz w:val="22"/>
        </w:rPr>
        <w:t xml:space="preserve">ments en acier inoxydable conformes </w:t>
      </w:r>
      <w:r>
        <w:rPr>
          <w:rFonts w:ascii="Calibri"/>
          <w:sz w:val="22"/>
        </w:rPr>
        <w:t>à</w:t>
      </w:r>
      <w:r>
        <w:rPr>
          <w:rFonts w:ascii="Calibri"/>
          <w:sz w:val="22"/>
        </w:rPr>
        <w:t xml:space="preserve"> la </w:t>
      </w:r>
      <w:r>
        <w:t>[NBN EN 10088 série]. </w:t>
      </w:r>
      <w:r>
        <w:rPr>
          <w:rStyle w:val="normalChar"/>
          <w:rFonts w:ascii="Calibri"/>
          <w:sz w:val="22"/>
        </w:rPr>
        <w:t>Une poutre en treillis est form</w:t>
      </w:r>
      <w:r>
        <w:rPr>
          <w:rStyle w:val="normalChar"/>
          <w:rFonts w:ascii="Calibri"/>
          <w:sz w:val="22"/>
        </w:rPr>
        <w:t>é</w:t>
      </w:r>
      <w:r>
        <w:rPr>
          <w:rStyle w:val="normalChar"/>
          <w:rFonts w:ascii="Calibri"/>
          <w:sz w:val="22"/>
        </w:rPr>
        <w:t>e d</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assembl</w:t>
      </w:r>
      <w:r>
        <w:rPr>
          <w:rStyle w:val="normalChar"/>
          <w:rFonts w:ascii="Calibri"/>
          <w:sz w:val="22"/>
        </w:rPr>
        <w:t>é</w:t>
      </w:r>
      <w:r>
        <w:rPr>
          <w:rStyle w:val="normalChar"/>
          <w:rFonts w:ascii="Calibri"/>
          <w:sz w:val="22"/>
        </w:rPr>
        <w:t>s entre eux formant une triangulation. Cette poutre comprend deux membrures reli</w:t>
      </w:r>
      <w:r>
        <w:rPr>
          <w:rStyle w:val="normalChar"/>
          <w:rFonts w:ascii="Calibri"/>
          <w:sz w:val="22"/>
        </w:rPr>
        <w:t>é</w:t>
      </w:r>
      <w:r>
        <w:rPr>
          <w:rStyle w:val="normalChar"/>
          <w:rFonts w:ascii="Calibri"/>
          <w:sz w:val="22"/>
        </w:rPr>
        <w:t xml:space="preserve">es par des </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verticaux et/ou obliques (montants et/ou diagonales).</w:t>
      </w:r>
      <w:r>
        <w:rPr>
          <w:rStyle w:val="normalChar"/>
          <w:rFonts w:ascii="Calibri"/>
          <w:sz w:val="22"/>
        </w:rPr>
        <w:t> </w:t>
      </w:r>
      <w:r>
        <w:rPr>
          <w:rStyle w:val="normalChar"/>
          <w:rFonts w:ascii="Calibri"/>
          <w:sz w:val="22"/>
        </w:rPr>
        <w:t xml:space="preserve"> La r</w:t>
      </w:r>
      <w:r>
        <w:rPr>
          <w:rStyle w:val="normalChar"/>
          <w:rFonts w:ascii="Calibri"/>
          <w:sz w:val="22"/>
        </w:rPr>
        <w:t>é</w:t>
      </w:r>
      <w:r>
        <w:rPr>
          <w:rStyle w:val="normalChar"/>
          <w:rFonts w:ascii="Calibri"/>
          <w:sz w:val="22"/>
        </w:rPr>
        <w:t xml:space="preserve">alisation de cette poutre est conforme </w:t>
      </w:r>
      <w:r>
        <w:rPr>
          <w:rStyle w:val="normalChar"/>
          <w:rFonts w:ascii="Calibri"/>
          <w:sz w:val="22"/>
        </w:rPr>
        <w:t>à</w:t>
      </w:r>
      <w:r>
        <w:rPr>
          <w:rStyle w:val="normalChar"/>
          <w:rFonts w:ascii="Calibri"/>
          <w:sz w:val="22"/>
        </w:rPr>
        <w:t xml:space="preserve"> la </w:t>
      </w:r>
      <w:r>
        <w:t>[NBN EN 1090-2]. </w:t>
      </w:r>
    </w:p>
    <w:p w14:paraId="13F245C6" w14:textId="77777777" w:rsidR="00DF410E" w:rsidRDefault="00CE7F43">
      <w:pPr>
        <w:pStyle w:val="pheading"/>
      </w:pPr>
      <w:r>
        <w:t>- Localisation</w:t>
      </w:r>
    </w:p>
    <w:p w14:paraId="506B8922" w14:textId="77777777" w:rsidR="00DF410E" w:rsidRDefault="00CE7F43">
      <w:r>
        <w:t xml:space="preserve">Les travaux sont localisés : </w:t>
      </w:r>
      <w:r>
        <w:rPr>
          <w:rStyle w:val="optioncarChar"/>
        </w:rPr>
        <w:t>Voir plans et métrés détaillés </w:t>
      </w:r>
      <w:r>
        <w:t>(par défaut)</w:t>
      </w:r>
      <w:r>
        <w:rPr>
          <w:rStyle w:val="optioncarChar"/>
        </w:rPr>
        <w:t xml:space="preserve"> / ***</w:t>
      </w:r>
      <w:r>
        <w:t>. </w:t>
      </w:r>
    </w:p>
    <w:p w14:paraId="4878ACC6" w14:textId="77777777" w:rsidR="00DF410E" w:rsidRDefault="00CE7F43">
      <w:pPr>
        <w:pStyle w:val="pheading"/>
      </w:pPr>
      <w:r>
        <w:t>EXÉCUTION / MISE EN ŒUVRE</w:t>
      </w:r>
    </w:p>
    <w:p w14:paraId="58891673" w14:textId="77777777" w:rsidR="00DF410E" w:rsidRDefault="00CE7F43">
      <w:pPr>
        <w:pStyle w:val="pheading"/>
      </w:pPr>
      <w:r>
        <w:t>- Notes d’exécution complémentaires</w:t>
      </w:r>
    </w:p>
    <w:p w14:paraId="1E2F108C" w14:textId="77777777" w:rsidR="00DF410E" w:rsidRDefault="00CE7F43">
      <w:r>
        <w:rPr>
          <w:rStyle w:val="facultChar"/>
        </w:rPr>
        <w:t xml:space="preserve"> Le présent article comprend également des coupures thermiques : Des dispositifs adéquats sont utilisés pour éviter tout pont thermique. </w:t>
      </w:r>
    </w:p>
    <w:p w14:paraId="0E9A8B60" w14:textId="77777777" w:rsidR="00DF410E" w:rsidRDefault="00CE7F43">
      <w:pPr>
        <w:pStyle w:val="pheading"/>
      </w:pPr>
      <w:r>
        <w:t>MESURAGE</w:t>
      </w:r>
    </w:p>
    <w:p w14:paraId="59E1A469" w14:textId="77777777" w:rsidR="00DF410E" w:rsidRDefault="00CE7F43">
      <w:pPr>
        <w:pStyle w:val="pheading"/>
      </w:pPr>
      <w:r>
        <w:t>- unité de mesure:</w:t>
      </w:r>
    </w:p>
    <w:p w14:paraId="406D355F" w14:textId="77777777" w:rsidR="00DF410E" w:rsidRDefault="00DF410E"/>
    <w:p w14:paraId="38A56690" w14:textId="77777777" w:rsidR="00DF410E" w:rsidRDefault="00DF410E"/>
    <w:p w14:paraId="3C5C6F1D" w14:textId="77777777" w:rsidR="00DF410E" w:rsidRDefault="00CE7F43">
      <w:r>
        <w:rPr>
          <w:b/>
        </w:rPr>
        <w:t>POUTRE</w:t>
      </w:r>
    </w:p>
    <w:p w14:paraId="411F8C58" w14:textId="77777777" w:rsidR="00DF410E" w:rsidRDefault="00CE7F43">
      <w:r>
        <w:rPr>
          <w:rStyle w:val="optioncarChar"/>
        </w:rPr>
        <w:t>kg </w:t>
      </w:r>
      <w:r>
        <w:t xml:space="preserve">(par défaut) </w:t>
      </w:r>
      <w:r>
        <w:rPr>
          <w:rStyle w:val="optioncarChar"/>
        </w:rPr>
        <w:t>/ m / pc.</w:t>
      </w:r>
    </w:p>
    <w:p w14:paraId="7257D984" w14:textId="77777777" w:rsidR="00DF410E" w:rsidRDefault="00CE7F43">
      <w:r>
        <w:rPr>
          <w:b/>
          <w:i/>
        </w:rPr>
        <w:t>(Soit par défaut)</w:t>
      </w:r>
    </w:p>
    <w:p w14:paraId="2F409D15" w14:textId="77777777" w:rsidR="00DF410E" w:rsidRDefault="00CE7F43">
      <w:r>
        <w:rPr>
          <w:rStyle w:val="soitChar"/>
        </w:rPr>
        <w:t> 1. kg.</w:t>
      </w:r>
    </w:p>
    <w:p w14:paraId="5CD6F97B" w14:textId="77777777" w:rsidR="00DF410E" w:rsidRDefault="00CE7F43">
      <w:r>
        <w:rPr>
          <w:b/>
          <w:i/>
        </w:rPr>
        <w:t>(Soit)</w:t>
      </w:r>
    </w:p>
    <w:p w14:paraId="3E2DCF22" w14:textId="77777777" w:rsidR="00DF410E" w:rsidRDefault="00CE7F43">
      <w:r>
        <w:rPr>
          <w:rStyle w:val="soitChar"/>
        </w:rPr>
        <w:t>  2 ou 3. m</w:t>
      </w:r>
    </w:p>
    <w:p w14:paraId="7E7010F5" w14:textId="77777777" w:rsidR="00DF410E" w:rsidRDefault="00CE7F43">
      <w:r>
        <w:rPr>
          <w:b/>
          <w:i/>
        </w:rPr>
        <w:t>(Soit)</w:t>
      </w:r>
    </w:p>
    <w:p w14:paraId="2C477D64" w14:textId="77777777" w:rsidR="00DF410E" w:rsidRDefault="00CE7F43">
      <w:r>
        <w:rPr>
          <w:rStyle w:val="soitChar"/>
        </w:rPr>
        <w:t>  4 ou 5. pc</w:t>
      </w:r>
    </w:p>
    <w:p w14:paraId="4DA23EDE" w14:textId="77777777" w:rsidR="00DF410E" w:rsidRDefault="00CE7F43">
      <w:r>
        <w:rPr>
          <w:rStyle w:val="soitChar"/>
        </w:rPr>
        <w:t> </w:t>
      </w:r>
    </w:p>
    <w:p w14:paraId="6452A6CF" w14:textId="77777777" w:rsidR="00DF410E" w:rsidRDefault="00CE7F43">
      <w:r>
        <w:rPr>
          <w:b/>
        </w:rPr>
        <w:t>FLOCAGE</w:t>
      </w:r>
    </w:p>
    <w:p w14:paraId="51D63D12" w14:textId="77777777" w:rsidR="00DF410E" w:rsidRDefault="00CE7F43">
      <w:r>
        <w:t>Le traitement au feu par flocage est compté séparément et fait l’objet d’un (de) poste(s) supplémentaire(s) dans le présent article :</w:t>
      </w:r>
    </w:p>
    <w:p w14:paraId="22F1CEA2" w14:textId="77777777" w:rsidR="00DF410E" w:rsidRDefault="00CE7F43">
      <w:r>
        <w:rPr>
          <w:rStyle w:val="optioncarChar"/>
        </w:rPr>
        <w:t xml:space="preserve">m² </w:t>
      </w:r>
      <w:r>
        <w:t>(par défaut)</w:t>
      </w:r>
      <w:r>
        <w:rPr>
          <w:rStyle w:val="optioncarChar"/>
        </w:rPr>
        <w:t xml:space="preserve"> / m / pc.</w:t>
      </w:r>
    </w:p>
    <w:p w14:paraId="3190D054" w14:textId="77777777" w:rsidR="00DF410E" w:rsidRDefault="00CE7F43">
      <w:r>
        <w:rPr>
          <w:b/>
          <w:i/>
        </w:rPr>
        <w:t>(Soit par défaut)</w:t>
      </w:r>
    </w:p>
    <w:p w14:paraId="1B94F831" w14:textId="77777777" w:rsidR="00DF410E" w:rsidRDefault="00CE7F43">
      <w:r>
        <w:rPr>
          <w:rStyle w:val="soitChar"/>
        </w:rPr>
        <w:t> 1. m².</w:t>
      </w:r>
    </w:p>
    <w:p w14:paraId="3D0222D4" w14:textId="77777777" w:rsidR="00DF410E" w:rsidRDefault="00CE7F43">
      <w:r>
        <w:rPr>
          <w:b/>
          <w:i/>
        </w:rPr>
        <w:t>(Soit)</w:t>
      </w:r>
    </w:p>
    <w:p w14:paraId="15FEED3E" w14:textId="77777777" w:rsidR="00DF410E" w:rsidRDefault="00CE7F43">
      <w:r>
        <w:rPr>
          <w:rStyle w:val="soitChar"/>
        </w:rPr>
        <w:t> 2. m</w:t>
      </w:r>
    </w:p>
    <w:p w14:paraId="6FE02F46" w14:textId="77777777" w:rsidR="00DF410E" w:rsidRDefault="00CE7F43">
      <w:r>
        <w:rPr>
          <w:b/>
          <w:i/>
        </w:rPr>
        <w:t>(Soit)</w:t>
      </w:r>
    </w:p>
    <w:p w14:paraId="068282C6" w14:textId="77777777" w:rsidR="00DF410E" w:rsidRDefault="00CE7F43">
      <w:r>
        <w:rPr>
          <w:rStyle w:val="soitChar"/>
        </w:rPr>
        <w:t> 3. pc</w:t>
      </w:r>
    </w:p>
    <w:p w14:paraId="57DFA099" w14:textId="77777777" w:rsidR="00DF410E" w:rsidRDefault="00DF410E"/>
    <w:p w14:paraId="3920F00A" w14:textId="77777777" w:rsidR="00DF410E" w:rsidRDefault="00CE7F43">
      <w:r>
        <w:rPr>
          <w:b/>
        </w:rPr>
        <w:t>COUPURE THERMIQUE</w:t>
      </w:r>
    </w:p>
    <w:p w14:paraId="3FA57D09" w14:textId="77777777" w:rsidR="00DF410E" w:rsidRDefault="00CE7F43">
      <w:r>
        <w:rPr>
          <w:rStyle w:val="optioncarChar"/>
        </w:rPr>
        <w:t>pièce</w:t>
      </w:r>
    </w:p>
    <w:p w14:paraId="4ABA8E19" w14:textId="77777777" w:rsidR="00DF410E" w:rsidRDefault="00CE7F43">
      <w:pPr>
        <w:pStyle w:val="pheading"/>
      </w:pPr>
      <w:r>
        <w:t>- code de mesurage:</w:t>
      </w:r>
    </w:p>
    <w:p w14:paraId="71EA2806" w14:textId="77777777" w:rsidR="00DF410E" w:rsidRDefault="00DF410E"/>
    <w:p w14:paraId="3F0E714E" w14:textId="77777777" w:rsidR="00DF410E" w:rsidRDefault="00DF410E"/>
    <w:p w14:paraId="281D9262" w14:textId="77777777" w:rsidR="00DF410E" w:rsidRDefault="00CE7F43">
      <w:r>
        <w:rPr>
          <w:b/>
        </w:rPr>
        <w:t>POUTRE</w:t>
      </w:r>
    </w:p>
    <w:p w14:paraId="1185734D" w14:textId="77777777" w:rsidR="00DF410E" w:rsidRDefault="00CE7F43">
      <w:r>
        <w:t>Distinctions faites suivant les types de profilés, nuances et qualités d’acier.</w:t>
      </w:r>
    </w:p>
    <w:p w14:paraId="47A4FF34"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1FDF4A81" w14:textId="77777777" w:rsidR="00DF410E" w:rsidRDefault="00CE7F43">
      <w:r>
        <w:rPr>
          <w:b/>
          <w:i/>
        </w:rPr>
        <w:t>(Soit par défaut)</w:t>
      </w:r>
    </w:p>
    <w:p w14:paraId="5439FDD2"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4FCB3BA7" w14:textId="77777777" w:rsidR="00DF410E" w:rsidRDefault="00CE7F43">
      <w:r>
        <w:rPr>
          <w:b/>
          <w:i/>
        </w:rPr>
        <w:t>(Soit)</w:t>
      </w:r>
    </w:p>
    <w:p w14:paraId="42BC51C1"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D993C05" w14:textId="77777777" w:rsidR="00DF410E" w:rsidRDefault="00CE7F43">
      <w:r>
        <w:rPr>
          <w:b/>
          <w:i/>
        </w:rPr>
        <w:t>(Soit)</w:t>
      </w:r>
    </w:p>
    <w:p w14:paraId="0AA05CAB"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450FBF39" w14:textId="77777777" w:rsidR="00DF410E" w:rsidRDefault="00CE7F43">
      <w:r>
        <w:rPr>
          <w:b/>
          <w:i/>
        </w:rPr>
        <w:t>(Soit)</w:t>
      </w:r>
    </w:p>
    <w:p w14:paraId="0827C2E7"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86CDF8C" w14:textId="77777777" w:rsidR="00DF410E" w:rsidRDefault="00CE7F43">
      <w:r>
        <w:rPr>
          <w:b/>
          <w:i/>
        </w:rPr>
        <w:t>(Soit)</w:t>
      </w:r>
    </w:p>
    <w:p w14:paraId="03C8F094"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EC214D6" w14:textId="77777777" w:rsidR="00DF410E" w:rsidRDefault="00DF410E"/>
    <w:p w14:paraId="06A642FE" w14:textId="77777777" w:rsidR="00DF410E" w:rsidRDefault="00CE7F43">
      <w:r>
        <w:rPr>
          <w:b/>
        </w:rPr>
        <w:t>FLOCAGE</w:t>
      </w:r>
    </w:p>
    <w:p w14:paraId="3364B74E"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39D90B8B" w14:textId="77777777" w:rsidR="00DF410E" w:rsidRDefault="00CE7F43">
      <w:r>
        <w:rPr>
          <w:b/>
          <w:i/>
        </w:rPr>
        <w:t>(Soit par défaut)</w:t>
      </w:r>
    </w:p>
    <w:p w14:paraId="569CB607"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54FFFEE9" w14:textId="77777777" w:rsidR="00DF410E" w:rsidRDefault="00CE7F43">
      <w:r>
        <w:rPr>
          <w:b/>
          <w:i/>
        </w:rPr>
        <w:t>(Soit)</w:t>
      </w:r>
    </w:p>
    <w:p w14:paraId="7BE31EB6"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531E25CD" w14:textId="77777777" w:rsidR="00DF410E" w:rsidRDefault="00CE7F43">
      <w:r>
        <w:rPr>
          <w:b/>
          <w:i/>
        </w:rPr>
        <w:t>(Soit)</w:t>
      </w:r>
    </w:p>
    <w:p w14:paraId="469D02B6"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107DE6C6" w14:textId="77777777" w:rsidR="00DF410E" w:rsidRDefault="00DF410E"/>
    <w:p w14:paraId="490AE790" w14:textId="77777777" w:rsidR="00DF410E" w:rsidRDefault="00CE7F43">
      <w:pPr>
        <w:spacing w:after="0" w:line="256" w:lineRule="auto"/>
        <w:jc w:val="both"/>
      </w:pPr>
      <w:r>
        <w:rPr>
          <w:b/>
        </w:rPr>
        <w:t>COUPURE THERMIQUE</w:t>
      </w:r>
    </w:p>
    <w:p w14:paraId="42624A8A" w14:textId="77777777" w:rsidR="00DF410E" w:rsidRDefault="00CE7F43">
      <w:r>
        <w:rPr>
          <w:rStyle w:val="optioncarChar"/>
        </w:rPr>
        <w:t>À la pièce, ventilée suivant les types d’éléments</w:t>
      </w:r>
    </w:p>
    <w:p w14:paraId="4FD2780F" w14:textId="77777777" w:rsidR="00DF410E" w:rsidRDefault="00CE7F43">
      <w:pPr>
        <w:pStyle w:val="pheading"/>
      </w:pPr>
      <w:r>
        <w:t>- nature du marché:</w:t>
      </w:r>
    </w:p>
    <w:p w14:paraId="5854AED0" w14:textId="77777777" w:rsidR="00DF410E" w:rsidRDefault="00DF410E"/>
    <w:p w14:paraId="43C359D3" w14:textId="77777777" w:rsidR="00DF410E" w:rsidRDefault="00DF410E"/>
    <w:p w14:paraId="3859BB96" w14:textId="77777777" w:rsidR="00DF410E" w:rsidRDefault="00CE7F43">
      <w:r>
        <w:rPr>
          <w:rStyle w:val="optioncarChar"/>
        </w:rPr>
        <w:t>QF</w:t>
      </w:r>
      <w:r>
        <w:t xml:space="preserve"> (par défaut) </w:t>
      </w:r>
      <w:r>
        <w:rPr>
          <w:rStyle w:val="optioncarChar"/>
        </w:rPr>
        <w:t>/ QP</w:t>
      </w:r>
    </w:p>
    <w:p w14:paraId="657E2B5A" w14:textId="77777777" w:rsidR="00DF410E" w:rsidRDefault="00CE7F43">
      <w:pPr>
        <w:pStyle w:val="soit"/>
      </w:pPr>
      <w:r>
        <w:rPr>
          <w:rStyle w:val="normalChar"/>
          <w:b/>
          <w:i/>
          <w:color w:val="000000"/>
        </w:rPr>
        <w:t xml:space="preserve">(Soit par défaut) </w:t>
      </w:r>
    </w:p>
    <w:p w14:paraId="34520EF0" w14:textId="77777777" w:rsidR="00DF410E" w:rsidRDefault="00CE7F43">
      <w:r>
        <w:rPr>
          <w:rStyle w:val="soitChar"/>
        </w:rPr>
        <w:t xml:space="preserve">1. QF </w:t>
      </w:r>
    </w:p>
    <w:p w14:paraId="4B13CE99" w14:textId="77777777" w:rsidR="00DF410E" w:rsidRDefault="00CE7F43">
      <w:r>
        <w:rPr>
          <w:b/>
          <w:i/>
        </w:rPr>
        <w:t>(Soit)</w:t>
      </w:r>
    </w:p>
    <w:p w14:paraId="51E9B360" w14:textId="77777777" w:rsidR="00DF410E" w:rsidRDefault="00CE7F43">
      <w:r>
        <w:rPr>
          <w:rStyle w:val="soitChar"/>
        </w:rPr>
        <w:t>2. QP</w:t>
      </w:r>
    </w:p>
    <w:p w14:paraId="0D934404" w14:textId="77777777" w:rsidR="00DF410E" w:rsidRDefault="00CE7F43">
      <w:pPr>
        <w:pStyle w:val="Author-eSectionHeading6"/>
      </w:pPr>
      <w:bookmarkStart w:id="1147" w:name="_Toc178838271"/>
      <w:r>
        <w:t>23.11.3d Poutres alvéolaires en acier inoxydable CCTB 01.11</w:t>
      </w:r>
      <w:bookmarkEnd w:id="1147"/>
    </w:p>
    <w:p w14:paraId="65A514A2" w14:textId="77777777" w:rsidR="00DF410E" w:rsidRDefault="00CE7F43">
      <w:pPr>
        <w:pStyle w:val="pheading"/>
      </w:pPr>
      <w:r>
        <w:t>DESCRIPTION</w:t>
      </w:r>
    </w:p>
    <w:p w14:paraId="09157A20" w14:textId="77777777" w:rsidR="00DF410E" w:rsidRDefault="00CE7F43">
      <w:pPr>
        <w:pStyle w:val="pheading"/>
      </w:pPr>
      <w:r>
        <w:t>- Définition / Comprend</w:t>
      </w:r>
    </w:p>
    <w:p w14:paraId="17FAC6FD" w14:textId="77777777" w:rsidR="00DF410E" w:rsidRDefault="00DF410E"/>
    <w:p w14:paraId="0AB09594" w14:textId="77777777" w:rsidR="00DF410E" w:rsidRDefault="00CE7F43">
      <w:r>
        <w:rPr>
          <w:rFonts w:ascii="Calibri"/>
          <w:sz w:val="22"/>
        </w:rPr>
        <w:t>Il s'agit de l</w:t>
      </w:r>
      <w:r>
        <w:rPr>
          <w:rFonts w:ascii="Calibri"/>
          <w:sz w:val="22"/>
        </w:rPr>
        <w:t>’</w:t>
      </w:r>
      <w:r>
        <w:rPr>
          <w:rFonts w:ascii="Calibri"/>
          <w:sz w:val="22"/>
        </w:rPr>
        <w:t>ensemble des poutres alv</w:t>
      </w:r>
      <w:r>
        <w:rPr>
          <w:rFonts w:ascii="Calibri"/>
          <w:sz w:val="22"/>
        </w:rPr>
        <w:t>é</w:t>
      </w:r>
      <w:r>
        <w:rPr>
          <w:rFonts w:ascii="Calibri"/>
          <w:sz w:val="22"/>
        </w:rPr>
        <w:t>olaires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de poutrelles en acier inoxydable conformes </w:t>
      </w:r>
      <w:r>
        <w:rPr>
          <w:rFonts w:ascii="Calibri"/>
          <w:sz w:val="22"/>
        </w:rPr>
        <w:t>à</w:t>
      </w:r>
      <w:r>
        <w:rPr>
          <w:rFonts w:ascii="Calibri"/>
          <w:sz w:val="22"/>
        </w:rPr>
        <w:t xml:space="preserve"> la </w:t>
      </w:r>
      <w:r>
        <w:t>[NBN EN 10088 série]. </w:t>
      </w:r>
      <w:r>
        <w:rPr>
          <w:rFonts w:ascii="Calibri"/>
          <w:sz w:val="22"/>
        </w:rPr>
        <w:t>Le soudage de ces poutrelles d</w:t>
      </w:r>
      <w:r>
        <w:rPr>
          <w:rFonts w:ascii="Calibri"/>
          <w:sz w:val="22"/>
        </w:rPr>
        <w:t>é</w:t>
      </w:r>
      <w:r>
        <w:rPr>
          <w:rFonts w:ascii="Calibri"/>
          <w:sz w:val="22"/>
        </w:rPr>
        <w:t>coup</w:t>
      </w:r>
      <w:r>
        <w:rPr>
          <w:rFonts w:ascii="Calibri"/>
          <w:sz w:val="22"/>
        </w:rPr>
        <w:t>é</w:t>
      </w:r>
      <w:r>
        <w:rPr>
          <w:rFonts w:ascii="Calibri"/>
          <w:sz w:val="22"/>
        </w:rPr>
        <w:t>es suivant une ligne sp</w:t>
      </w:r>
      <w:r>
        <w:rPr>
          <w:rFonts w:ascii="Calibri"/>
          <w:sz w:val="22"/>
        </w:rPr>
        <w:t>é</w:t>
      </w:r>
      <w:r>
        <w:rPr>
          <w:rFonts w:ascii="Calibri"/>
          <w:sz w:val="22"/>
        </w:rPr>
        <w:t xml:space="preserve">cifique est conforme </w:t>
      </w:r>
      <w:r>
        <w:rPr>
          <w:rFonts w:ascii="Calibri"/>
          <w:sz w:val="22"/>
        </w:rPr>
        <w:t>à</w:t>
      </w:r>
      <w:r>
        <w:rPr>
          <w:rFonts w:ascii="Calibri"/>
          <w:sz w:val="22"/>
        </w:rPr>
        <w:t xml:space="preserve"> la </w:t>
      </w:r>
      <w:r>
        <w:t>[NBN EN 1090-2]. </w:t>
      </w:r>
    </w:p>
    <w:p w14:paraId="3367150D" w14:textId="77777777" w:rsidR="00DF410E" w:rsidRDefault="00CE7F43">
      <w:pPr>
        <w:pStyle w:val="pheading"/>
      </w:pPr>
      <w:r>
        <w:t>- Localisation</w:t>
      </w:r>
    </w:p>
    <w:p w14:paraId="149F55BD" w14:textId="77777777" w:rsidR="00DF410E" w:rsidRDefault="00DF410E"/>
    <w:p w14:paraId="3FA8E81C" w14:textId="77777777" w:rsidR="00DF410E" w:rsidRDefault="00DF410E"/>
    <w:p w14:paraId="4DDD59B4" w14:textId="77777777" w:rsidR="00DF410E" w:rsidRDefault="00CE7F43">
      <w:r>
        <w:t xml:space="preserve">Les travaux sont localisés : </w:t>
      </w:r>
      <w:r>
        <w:rPr>
          <w:rStyle w:val="optioncarChar"/>
        </w:rPr>
        <w:t>Voir plans et métrés détaillés </w:t>
      </w:r>
      <w:r>
        <w:t>(par défaut)</w:t>
      </w:r>
      <w:r>
        <w:rPr>
          <w:rStyle w:val="optioncarChar"/>
        </w:rPr>
        <w:t xml:space="preserve"> / ***</w:t>
      </w:r>
      <w:r>
        <w:t>. </w:t>
      </w:r>
    </w:p>
    <w:p w14:paraId="3FC73EEF" w14:textId="77777777" w:rsidR="00DF410E" w:rsidRDefault="00CE7F43">
      <w:pPr>
        <w:pStyle w:val="pheading"/>
      </w:pPr>
      <w:r>
        <w:t>EXÉCUTION / MISE EN ŒUVRE</w:t>
      </w:r>
    </w:p>
    <w:p w14:paraId="59C629EB" w14:textId="77777777" w:rsidR="00DF410E" w:rsidRDefault="00CE7F43">
      <w:pPr>
        <w:pStyle w:val="pheading"/>
      </w:pPr>
      <w:r>
        <w:t>- Notes d’exécution complémentaires</w:t>
      </w:r>
    </w:p>
    <w:p w14:paraId="22430712" w14:textId="77777777" w:rsidR="00DF410E" w:rsidRDefault="00CE7F43">
      <w:r>
        <w:rPr>
          <w:rStyle w:val="facultChar"/>
        </w:rPr>
        <w:t xml:space="preserve"> Le présent article comprend également des coupures thermiques : Des dispositifs adéquats sont utilisés pour éviter tout pont thermique.</w:t>
      </w:r>
    </w:p>
    <w:p w14:paraId="00730A32" w14:textId="77777777" w:rsidR="00DF410E" w:rsidRDefault="00CE7F43">
      <w:pPr>
        <w:pStyle w:val="pheading"/>
      </w:pPr>
      <w:r>
        <w:t>MESURAGE</w:t>
      </w:r>
    </w:p>
    <w:p w14:paraId="585ACCAC" w14:textId="77777777" w:rsidR="00DF410E" w:rsidRDefault="00CE7F43">
      <w:pPr>
        <w:pStyle w:val="pheading"/>
      </w:pPr>
      <w:r>
        <w:t>- unité de mesure:</w:t>
      </w:r>
    </w:p>
    <w:p w14:paraId="2E6AB848" w14:textId="77777777" w:rsidR="00DF410E" w:rsidRDefault="00DF410E"/>
    <w:p w14:paraId="4F2C6045" w14:textId="77777777" w:rsidR="00DF410E" w:rsidRDefault="00DF410E"/>
    <w:p w14:paraId="74762728" w14:textId="77777777" w:rsidR="00DF410E" w:rsidRDefault="00CE7F43">
      <w:r>
        <w:rPr>
          <w:b/>
        </w:rPr>
        <w:t>POUTRE</w:t>
      </w:r>
    </w:p>
    <w:p w14:paraId="73C91F8A" w14:textId="77777777" w:rsidR="00DF410E" w:rsidRDefault="00CE7F43">
      <w:r>
        <w:rPr>
          <w:rStyle w:val="optioncarChar"/>
        </w:rPr>
        <w:t>kg </w:t>
      </w:r>
      <w:r>
        <w:t xml:space="preserve">(par défaut) </w:t>
      </w:r>
      <w:r>
        <w:rPr>
          <w:rStyle w:val="optioncarChar"/>
        </w:rPr>
        <w:t>/ m / pc.</w:t>
      </w:r>
    </w:p>
    <w:p w14:paraId="05CBF4A3" w14:textId="77777777" w:rsidR="00DF410E" w:rsidRDefault="00CE7F43">
      <w:r>
        <w:rPr>
          <w:b/>
          <w:i/>
        </w:rPr>
        <w:t>(Soit par défaut)</w:t>
      </w:r>
    </w:p>
    <w:p w14:paraId="7C74BC4C" w14:textId="77777777" w:rsidR="00DF410E" w:rsidRDefault="00CE7F43">
      <w:r>
        <w:rPr>
          <w:rStyle w:val="soitChar"/>
        </w:rPr>
        <w:t> 1. kg.</w:t>
      </w:r>
    </w:p>
    <w:p w14:paraId="25689A76" w14:textId="77777777" w:rsidR="00DF410E" w:rsidRDefault="00CE7F43">
      <w:r>
        <w:rPr>
          <w:b/>
          <w:i/>
        </w:rPr>
        <w:t>(Soit)</w:t>
      </w:r>
    </w:p>
    <w:p w14:paraId="38FA553E" w14:textId="77777777" w:rsidR="00DF410E" w:rsidRDefault="00CE7F43">
      <w:r>
        <w:rPr>
          <w:rStyle w:val="soitChar"/>
        </w:rPr>
        <w:t>  2 ou 3. m</w:t>
      </w:r>
    </w:p>
    <w:p w14:paraId="76A50416" w14:textId="77777777" w:rsidR="00DF410E" w:rsidRDefault="00CE7F43">
      <w:r>
        <w:rPr>
          <w:b/>
          <w:i/>
        </w:rPr>
        <w:t>(Soit)</w:t>
      </w:r>
    </w:p>
    <w:p w14:paraId="339AB4A8" w14:textId="77777777" w:rsidR="00DF410E" w:rsidRDefault="00CE7F43">
      <w:r>
        <w:rPr>
          <w:rStyle w:val="soitChar"/>
        </w:rPr>
        <w:t>  4 ou 5. pc</w:t>
      </w:r>
    </w:p>
    <w:p w14:paraId="511163D4" w14:textId="77777777" w:rsidR="00DF410E" w:rsidRDefault="00CE7F43">
      <w:r>
        <w:rPr>
          <w:rStyle w:val="soitChar"/>
        </w:rPr>
        <w:t> </w:t>
      </w:r>
    </w:p>
    <w:p w14:paraId="232F8AD8" w14:textId="77777777" w:rsidR="00DF410E" w:rsidRDefault="00CE7F43">
      <w:r>
        <w:rPr>
          <w:b/>
        </w:rPr>
        <w:t>FLOCAGE</w:t>
      </w:r>
    </w:p>
    <w:p w14:paraId="71EE373D" w14:textId="77777777" w:rsidR="00DF410E" w:rsidRDefault="00CE7F43">
      <w:r>
        <w:t>Le traitement au feu par flocage est compté séparément et fait l’objet d’un (de) poste(s) supplémentaire(s) dans le présent article :</w:t>
      </w:r>
    </w:p>
    <w:p w14:paraId="5ACA16E5" w14:textId="77777777" w:rsidR="00DF410E" w:rsidRDefault="00CE7F43">
      <w:r>
        <w:rPr>
          <w:rStyle w:val="optioncarChar"/>
        </w:rPr>
        <w:t xml:space="preserve">m² </w:t>
      </w:r>
      <w:r>
        <w:t>(par défaut)</w:t>
      </w:r>
      <w:r>
        <w:rPr>
          <w:rStyle w:val="optioncarChar"/>
        </w:rPr>
        <w:t xml:space="preserve"> / m / pc.</w:t>
      </w:r>
    </w:p>
    <w:p w14:paraId="15DD3339" w14:textId="77777777" w:rsidR="00DF410E" w:rsidRDefault="00CE7F43">
      <w:r>
        <w:rPr>
          <w:b/>
          <w:i/>
        </w:rPr>
        <w:t>(Soit par défaut)</w:t>
      </w:r>
    </w:p>
    <w:p w14:paraId="6202D7FD" w14:textId="77777777" w:rsidR="00DF410E" w:rsidRDefault="00CE7F43">
      <w:r>
        <w:rPr>
          <w:rStyle w:val="soitChar"/>
        </w:rPr>
        <w:t> 1. m².</w:t>
      </w:r>
    </w:p>
    <w:p w14:paraId="2224ED4A" w14:textId="77777777" w:rsidR="00DF410E" w:rsidRDefault="00CE7F43">
      <w:r>
        <w:rPr>
          <w:b/>
          <w:i/>
        </w:rPr>
        <w:t>(Soit)</w:t>
      </w:r>
    </w:p>
    <w:p w14:paraId="7DAFE454" w14:textId="77777777" w:rsidR="00DF410E" w:rsidRDefault="00CE7F43">
      <w:r>
        <w:rPr>
          <w:rStyle w:val="soitChar"/>
        </w:rPr>
        <w:t> 2. m</w:t>
      </w:r>
    </w:p>
    <w:p w14:paraId="5FD77069" w14:textId="77777777" w:rsidR="00DF410E" w:rsidRDefault="00CE7F43">
      <w:r>
        <w:rPr>
          <w:b/>
          <w:i/>
        </w:rPr>
        <w:t>(Soit)</w:t>
      </w:r>
    </w:p>
    <w:p w14:paraId="67005CC2" w14:textId="77777777" w:rsidR="00DF410E" w:rsidRDefault="00CE7F43">
      <w:r>
        <w:rPr>
          <w:rStyle w:val="soitChar"/>
        </w:rPr>
        <w:t> 3. pc</w:t>
      </w:r>
    </w:p>
    <w:p w14:paraId="13F37EE8" w14:textId="77777777" w:rsidR="00DF410E" w:rsidRDefault="00DF410E"/>
    <w:p w14:paraId="7F584A7E" w14:textId="77777777" w:rsidR="00DF410E" w:rsidRDefault="00CE7F43">
      <w:r>
        <w:rPr>
          <w:b/>
        </w:rPr>
        <w:t>COUPURE THERMIQUE</w:t>
      </w:r>
    </w:p>
    <w:p w14:paraId="792EB729" w14:textId="77777777" w:rsidR="00DF410E" w:rsidRDefault="00CE7F43">
      <w:r>
        <w:rPr>
          <w:rStyle w:val="optioncarChar"/>
        </w:rPr>
        <w:t>pièce</w:t>
      </w:r>
    </w:p>
    <w:p w14:paraId="1035959C" w14:textId="77777777" w:rsidR="00DF410E" w:rsidRDefault="00CE7F43">
      <w:pPr>
        <w:pStyle w:val="pheading"/>
      </w:pPr>
      <w:r>
        <w:t>- code de mesurage:</w:t>
      </w:r>
    </w:p>
    <w:p w14:paraId="72B942EF" w14:textId="77777777" w:rsidR="00DF410E" w:rsidRDefault="00DF410E"/>
    <w:p w14:paraId="4849ACAE" w14:textId="77777777" w:rsidR="00DF410E" w:rsidRDefault="00DF410E"/>
    <w:p w14:paraId="4D7271BE" w14:textId="77777777" w:rsidR="00DF410E" w:rsidRDefault="00CE7F43">
      <w:r>
        <w:rPr>
          <w:b/>
        </w:rPr>
        <w:t>POUTRE</w:t>
      </w:r>
    </w:p>
    <w:p w14:paraId="3A825A65" w14:textId="77777777" w:rsidR="00DF410E" w:rsidRDefault="00CE7F43">
      <w:r>
        <w:t>Distinctions faites suivant les types de profilés, nuances et qualités d’acier.</w:t>
      </w:r>
    </w:p>
    <w:p w14:paraId="35D29C66"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6BC6C85F" w14:textId="77777777" w:rsidR="00DF410E" w:rsidRDefault="00CE7F43">
      <w:r>
        <w:rPr>
          <w:b/>
          <w:i/>
        </w:rPr>
        <w:t>(Soit par défaut)</w:t>
      </w:r>
    </w:p>
    <w:p w14:paraId="4401E41D"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7991344" w14:textId="77777777" w:rsidR="00DF410E" w:rsidRDefault="00CE7F43">
      <w:r>
        <w:rPr>
          <w:b/>
          <w:i/>
        </w:rPr>
        <w:t>(Soit)</w:t>
      </w:r>
    </w:p>
    <w:p w14:paraId="6684CC4D"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0F9E9372" w14:textId="77777777" w:rsidR="00DF410E" w:rsidRDefault="00CE7F43">
      <w:r>
        <w:rPr>
          <w:b/>
          <w:i/>
        </w:rPr>
        <w:t>(Soit)</w:t>
      </w:r>
    </w:p>
    <w:p w14:paraId="518B3E5A"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5E3D68A" w14:textId="77777777" w:rsidR="00DF410E" w:rsidRDefault="00CE7F43">
      <w:r>
        <w:rPr>
          <w:b/>
          <w:i/>
        </w:rPr>
        <w:t>(Soit)</w:t>
      </w:r>
    </w:p>
    <w:p w14:paraId="70AA4FC9"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50C3C230" w14:textId="77777777" w:rsidR="00DF410E" w:rsidRDefault="00CE7F43">
      <w:r>
        <w:rPr>
          <w:b/>
          <w:i/>
        </w:rPr>
        <w:t>(Soit)</w:t>
      </w:r>
    </w:p>
    <w:p w14:paraId="00FD8222"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8760BE6" w14:textId="77777777" w:rsidR="00DF410E" w:rsidRDefault="00DF410E"/>
    <w:p w14:paraId="03B33D38" w14:textId="77777777" w:rsidR="00DF410E" w:rsidRDefault="00CE7F43">
      <w:r>
        <w:rPr>
          <w:b/>
        </w:rPr>
        <w:t>FLOCAGE</w:t>
      </w:r>
    </w:p>
    <w:p w14:paraId="0E4030FA"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FA39550" w14:textId="77777777" w:rsidR="00DF410E" w:rsidRDefault="00CE7F43">
      <w:r>
        <w:rPr>
          <w:b/>
          <w:i/>
        </w:rPr>
        <w:t>(Soit par défaut)</w:t>
      </w:r>
    </w:p>
    <w:p w14:paraId="51A3FFE1"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B9C4CC8" w14:textId="77777777" w:rsidR="00DF410E" w:rsidRDefault="00CE7F43">
      <w:r>
        <w:rPr>
          <w:b/>
          <w:i/>
        </w:rPr>
        <w:t>(Soit)</w:t>
      </w:r>
    </w:p>
    <w:p w14:paraId="563A59AA"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78EB3C4" w14:textId="77777777" w:rsidR="00DF410E" w:rsidRDefault="00CE7F43">
      <w:r>
        <w:rPr>
          <w:b/>
          <w:i/>
        </w:rPr>
        <w:t>(Soit)</w:t>
      </w:r>
    </w:p>
    <w:p w14:paraId="589313FC"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1D7283B7" w14:textId="77777777" w:rsidR="00DF410E" w:rsidRDefault="00DF410E"/>
    <w:p w14:paraId="4D33BCCD" w14:textId="77777777" w:rsidR="00DF410E" w:rsidRDefault="00CE7F43">
      <w:pPr>
        <w:spacing w:after="0" w:line="256" w:lineRule="auto"/>
        <w:jc w:val="both"/>
      </w:pPr>
      <w:r>
        <w:rPr>
          <w:b/>
        </w:rPr>
        <w:t>COUPURE THERMIQUE</w:t>
      </w:r>
    </w:p>
    <w:p w14:paraId="54DEDC96" w14:textId="77777777" w:rsidR="00DF410E" w:rsidRDefault="00CE7F43">
      <w:r>
        <w:rPr>
          <w:rStyle w:val="optioncarChar"/>
        </w:rPr>
        <w:t>À la pièce, ventilée suivant les types d’éléments</w:t>
      </w:r>
    </w:p>
    <w:p w14:paraId="04C157B6" w14:textId="77777777" w:rsidR="00DF410E" w:rsidRDefault="00CE7F43">
      <w:pPr>
        <w:pStyle w:val="pheading"/>
      </w:pPr>
      <w:r>
        <w:t>- nature du marché:</w:t>
      </w:r>
    </w:p>
    <w:p w14:paraId="084EA634" w14:textId="77777777" w:rsidR="00DF410E" w:rsidRDefault="00DF410E"/>
    <w:p w14:paraId="4C4ADE80" w14:textId="77777777" w:rsidR="00DF410E" w:rsidRDefault="00DF410E"/>
    <w:p w14:paraId="6F46A485" w14:textId="77777777" w:rsidR="00DF410E" w:rsidRDefault="00CE7F43">
      <w:r>
        <w:rPr>
          <w:rStyle w:val="optioncarChar"/>
        </w:rPr>
        <w:t>QF</w:t>
      </w:r>
      <w:r>
        <w:t xml:space="preserve"> (par défaut) </w:t>
      </w:r>
      <w:r>
        <w:rPr>
          <w:rStyle w:val="optioncarChar"/>
        </w:rPr>
        <w:t>/ QP</w:t>
      </w:r>
    </w:p>
    <w:p w14:paraId="04228239" w14:textId="77777777" w:rsidR="00DF410E" w:rsidRDefault="00CE7F43">
      <w:pPr>
        <w:pStyle w:val="soit"/>
      </w:pPr>
      <w:r>
        <w:rPr>
          <w:rStyle w:val="normalChar"/>
          <w:b/>
          <w:i/>
          <w:color w:val="000000"/>
        </w:rPr>
        <w:t xml:space="preserve">(Soit par défaut) </w:t>
      </w:r>
    </w:p>
    <w:p w14:paraId="3AEA7A95" w14:textId="77777777" w:rsidR="00DF410E" w:rsidRDefault="00CE7F43">
      <w:r>
        <w:rPr>
          <w:rStyle w:val="soitChar"/>
        </w:rPr>
        <w:t xml:space="preserve">1. QF </w:t>
      </w:r>
    </w:p>
    <w:p w14:paraId="506D709B" w14:textId="77777777" w:rsidR="00DF410E" w:rsidRDefault="00CE7F43">
      <w:r>
        <w:rPr>
          <w:b/>
          <w:i/>
        </w:rPr>
        <w:t>(Soit)</w:t>
      </w:r>
    </w:p>
    <w:p w14:paraId="1185D948" w14:textId="77777777" w:rsidR="00DF410E" w:rsidRDefault="00CE7F43">
      <w:r>
        <w:rPr>
          <w:rStyle w:val="soitChar"/>
        </w:rPr>
        <w:t>2. QP</w:t>
      </w:r>
    </w:p>
    <w:p w14:paraId="56ED5301" w14:textId="77777777" w:rsidR="00DF410E" w:rsidRDefault="00CE7F43">
      <w:pPr>
        <w:pStyle w:val="Author-eSectionHeading6"/>
      </w:pPr>
      <w:bookmarkStart w:id="1148" w:name="_Toc178838272"/>
      <w:r>
        <w:t>23.11.3e Poutres en éléments tubulaires en acier inoxydable CCTB 01.04</w:t>
      </w:r>
      <w:bookmarkEnd w:id="1148"/>
    </w:p>
    <w:p w14:paraId="699641E0" w14:textId="77777777" w:rsidR="00DF410E" w:rsidRDefault="00CE7F43">
      <w:pPr>
        <w:pStyle w:val="Author-eSectionHeading5"/>
      </w:pPr>
      <w:bookmarkStart w:id="1149" w:name="_Toc178838273"/>
      <w:r>
        <w:t>23.11.4 Poutres en acier inoxydable formées à froid CCTB 01.04</w:t>
      </w:r>
      <w:bookmarkEnd w:id="1149"/>
    </w:p>
    <w:p w14:paraId="446A1986" w14:textId="77777777" w:rsidR="00DF410E" w:rsidRDefault="00CE7F43">
      <w:pPr>
        <w:pStyle w:val="Author-eSectionHeading6"/>
      </w:pPr>
      <w:bookmarkStart w:id="1150" w:name="_Toc178838274"/>
      <w:r>
        <w:t>23.11.4a Poutres en acier inoxydable formées à froid CCTB 01.04</w:t>
      </w:r>
      <w:bookmarkEnd w:id="1150"/>
    </w:p>
    <w:p w14:paraId="3561F9C7" w14:textId="77777777" w:rsidR="00DF410E" w:rsidRDefault="00CE7F43">
      <w:pPr>
        <w:pStyle w:val="Author-eSectionHeading5"/>
      </w:pPr>
      <w:bookmarkStart w:id="1151" w:name="_Toc178838275"/>
      <w:r>
        <w:t>23.11.5 Poutres en aluminium CCTB 01.04</w:t>
      </w:r>
      <w:bookmarkEnd w:id="1151"/>
    </w:p>
    <w:p w14:paraId="0AB827CE" w14:textId="77777777" w:rsidR="00DF410E" w:rsidRDefault="00CE7F43">
      <w:pPr>
        <w:pStyle w:val="Author-eSectionHeading6"/>
      </w:pPr>
      <w:bookmarkStart w:id="1152" w:name="_Toc178838276"/>
      <w:r>
        <w:t>23.11.5a Poutres en aluminium CCTB 01.04</w:t>
      </w:r>
      <w:bookmarkEnd w:id="1152"/>
    </w:p>
    <w:p w14:paraId="55DBBB83" w14:textId="77777777" w:rsidR="00DF410E" w:rsidRDefault="00CE7F43">
      <w:pPr>
        <w:pStyle w:val="Author-eSectionHeading6"/>
      </w:pPr>
      <w:bookmarkStart w:id="1153" w:name="_Toc178838277"/>
      <w:r>
        <w:t>23.11.5b Poutres en treillis en aluminium CCTB 01.04</w:t>
      </w:r>
      <w:bookmarkEnd w:id="1153"/>
    </w:p>
    <w:p w14:paraId="69B57AD6" w14:textId="77777777" w:rsidR="00DF410E" w:rsidRDefault="00CE7F43">
      <w:pPr>
        <w:pStyle w:val="Author-eSectionHeading4"/>
      </w:pPr>
      <w:bookmarkStart w:id="1154" w:name="_Toc178838278"/>
      <w:r>
        <w:t>23.12 Eléments de charpentes de toiture métalliques CCTB 01.04</w:t>
      </w:r>
      <w:bookmarkEnd w:id="1154"/>
    </w:p>
    <w:p w14:paraId="7236534F" w14:textId="77777777" w:rsidR="00DF410E" w:rsidRDefault="00CE7F43">
      <w:pPr>
        <w:pStyle w:val="Author-eSectionHeading5"/>
      </w:pPr>
      <w:bookmarkStart w:id="1155" w:name="_Toc178838279"/>
      <w:r>
        <w:t>23.12.1 Eléments de charpente de toiture en acier laminés à chaud CCTB 01.04</w:t>
      </w:r>
      <w:bookmarkEnd w:id="1155"/>
    </w:p>
    <w:p w14:paraId="2926E94C" w14:textId="77777777" w:rsidR="00DF410E" w:rsidRDefault="00CE7F43">
      <w:pPr>
        <w:pStyle w:val="Author-eSectionHeading6"/>
      </w:pPr>
      <w:bookmarkStart w:id="1156" w:name="_Toc178838280"/>
      <w:r>
        <w:t>23.12.1a Sablières en acier laminées à chaud CCTB 01.04</w:t>
      </w:r>
      <w:bookmarkEnd w:id="1156"/>
    </w:p>
    <w:p w14:paraId="54D0DC27" w14:textId="77777777" w:rsidR="00DF410E" w:rsidRDefault="00CE7F43">
      <w:pPr>
        <w:pStyle w:val="Author-eSectionHeading6"/>
      </w:pPr>
      <w:bookmarkStart w:id="1157" w:name="_Toc178838281"/>
      <w:r>
        <w:t>23.12.1b Pannes en acier laminées à chaud CCTB 01.04</w:t>
      </w:r>
      <w:bookmarkEnd w:id="1157"/>
    </w:p>
    <w:p w14:paraId="6B9AB24F" w14:textId="77777777" w:rsidR="00DF410E" w:rsidRDefault="00CE7F43">
      <w:pPr>
        <w:pStyle w:val="Author-eSectionHeading6"/>
      </w:pPr>
      <w:bookmarkStart w:id="1158" w:name="_Toc178838282"/>
      <w:r>
        <w:t>23.12.1c Chevrons autoporteurs en acier laminés à chaud CCTB 01.04</w:t>
      </w:r>
      <w:bookmarkEnd w:id="1158"/>
    </w:p>
    <w:p w14:paraId="28B7815A" w14:textId="77777777" w:rsidR="00DF410E" w:rsidRDefault="00CE7F43">
      <w:pPr>
        <w:pStyle w:val="Author-eSectionHeading6"/>
      </w:pPr>
      <w:bookmarkStart w:id="1159" w:name="_Toc178838283"/>
      <w:r>
        <w:t>23.12.1d Faîtières en acier laminées à chaud CCTB 01.04</w:t>
      </w:r>
      <w:bookmarkEnd w:id="1159"/>
    </w:p>
    <w:p w14:paraId="22EA2EE4" w14:textId="77777777" w:rsidR="00DF410E" w:rsidRDefault="00CE7F43">
      <w:pPr>
        <w:pStyle w:val="Author-eSectionHeading6"/>
      </w:pPr>
      <w:bookmarkStart w:id="1160" w:name="_Toc178838284"/>
      <w:r>
        <w:t>23.12.1e Arbalétriers en acier laminés à chaud CCTB 01.04</w:t>
      </w:r>
      <w:bookmarkEnd w:id="1160"/>
    </w:p>
    <w:p w14:paraId="0D15A877" w14:textId="77777777" w:rsidR="00DF410E" w:rsidRDefault="00CE7F43">
      <w:pPr>
        <w:pStyle w:val="Author-eSectionHeading6"/>
      </w:pPr>
      <w:bookmarkStart w:id="1161" w:name="_Toc178838285"/>
      <w:r>
        <w:t>23.12.1f Entraits en acier laminés à chaud CCTB 01.04</w:t>
      </w:r>
      <w:bookmarkEnd w:id="1161"/>
    </w:p>
    <w:p w14:paraId="12EC8339" w14:textId="77777777" w:rsidR="00DF410E" w:rsidRDefault="00CE7F43">
      <w:pPr>
        <w:pStyle w:val="Author-eSectionHeading6"/>
      </w:pPr>
      <w:bookmarkStart w:id="1162" w:name="_Toc178838286"/>
      <w:r>
        <w:t>23.12.1g Chevêtres en acier laminés à chaud CCTB 01.04</w:t>
      </w:r>
      <w:bookmarkEnd w:id="1162"/>
    </w:p>
    <w:p w14:paraId="1672D8B5" w14:textId="77777777" w:rsidR="00DF410E" w:rsidRDefault="00CE7F43">
      <w:pPr>
        <w:pStyle w:val="Author-eSectionHeading6"/>
      </w:pPr>
      <w:bookmarkStart w:id="1163" w:name="_Toc178838287"/>
      <w:r>
        <w:t>23.12.1h Chevrons en acier laminés à chaud CCTB 01.04</w:t>
      </w:r>
      <w:bookmarkEnd w:id="1163"/>
    </w:p>
    <w:p w14:paraId="4EF057AB" w14:textId="77777777" w:rsidR="00DF410E" w:rsidRDefault="00CE7F43">
      <w:pPr>
        <w:pStyle w:val="pheading"/>
      </w:pPr>
      <w:r>
        <w:t>DESCRIPTION</w:t>
      </w:r>
    </w:p>
    <w:p w14:paraId="756012A2" w14:textId="77777777" w:rsidR="00DF410E" w:rsidRDefault="00CE7F43">
      <w:pPr>
        <w:pStyle w:val="pheading"/>
      </w:pPr>
      <w:r>
        <w:t>- Définition / Comprend</w:t>
      </w:r>
    </w:p>
    <w:p w14:paraId="01B7D70D" w14:textId="77777777" w:rsidR="00DF410E" w:rsidRDefault="00CE7F43">
      <w:r>
        <w:t xml:space="preserve">Renvoi au § </w:t>
      </w:r>
      <w:hyperlink r:id="rId144" w:history="1" w:docLocation="549">
        <w:r>
          <w:t>31.32 Eléments de support en bois</w:t>
        </w:r>
      </w:hyperlink>
    </w:p>
    <w:p w14:paraId="04C1CD7E" w14:textId="77777777" w:rsidR="00DF410E" w:rsidRDefault="00CE7F43">
      <w:pPr>
        <w:pStyle w:val="Author-eSectionHeading6"/>
      </w:pPr>
      <w:bookmarkStart w:id="1164" w:name="_Toc178838288"/>
      <w:r>
        <w:t>23.12.1i Voliges et panneaux en acier laminés à chaud CCTB 01.04</w:t>
      </w:r>
      <w:bookmarkEnd w:id="1164"/>
    </w:p>
    <w:p w14:paraId="19F4FDFF" w14:textId="77777777" w:rsidR="00DF410E" w:rsidRDefault="00CE7F43">
      <w:pPr>
        <w:pStyle w:val="pheading"/>
      </w:pPr>
      <w:r>
        <w:t>DESCRIPTION</w:t>
      </w:r>
    </w:p>
    <w:p w14:paraId="66C0D1FA" w14:textId="77777777" w:rsidR="00DF410E" w:rsidRDefault="00CE7F43">
      <w:pPr>
        <w:pStyle w:val="pheading"/>
      </w:pPr>
      <w:r>
        <w:t>- Définition / Comprend</w:t>
      </w:r>
    </w:p>
    <w:p w14:paraId="0E44572D" w14:textId="77777777" w:rsidR="00DF410E" w:rsidRDefault="00CE7F43">
      <w:r>
        <w:t xml:space="preserve">Renvoi au § </w:t>
      </w:r>
      <w:hyperlink r:id="rId145" w:history="1" w:docLocation="549">
        <w:r>
          <w:t>31.32 Eléments de support en bois</w:t>
        </w:r>
      </w:hyperlink>
    </w:p>
    <w:p w14:paraId="6ED111FE" w14:textId="77777777" w:rsidR="00DF410E" w:rsidRDefault="00CE7F43">
      <w:pPr>
        <w:pStyle w:val="Author-eSectionHeading5"/>
      </w:pPr>
      <w:bookmarkStart w:id="1165" w:name="_Toc178838289"/>
      <w:r>
        <w:t>23.12.2 Eléments de charpente de toiture en acier formés à froid CCTB 01.04</w:t>
      </w:r>
      <w:bookmarkEnd w:id="1165"/>
    </w:p>
    <w:p w14:paraId="65AC2366" w14:textId="77777777" w:rsidR="00DF410E" w:rsidRDefault="00CE7F43">
      <w:pPr>
        <w:pStyle w:val="Author-eSectionHeading6"/>
      </w:pPr>
      <w:bookmarkStart w:id="1166" w:name="_Toc178838290"/>
      <w:r>
        <w:t>23.12.2a Sablières en acier formées à froid CCTB 01.04</w:t>
      </w:r>
      <w:bookmarkEnd w:id="1166"/>
    </w:p>
    <w:p w14:paraId="17D6F013" w14:textId="77777777" w:rsidR="00DF410E" w:rsidRDefault="00CE7F43">
      <w:pPr>
        <w:pStyle w:val="Author-eSectionHeading6"/>
      </w:pPr>
      <w:bookmarkStart w:id="1167" w:name="_Toc178838291"/>
      <w:r>
        <w:t>23.12.2b Pannes en acier formées à froid CCTB 01.04</w:t>
      </w:r>
      <w:bookmarkEnd w:id="1167"/>
    </w:p>
    <w:p w14:paraId="2BC4D196" w14:textId="77777777" w:rsidR="00DF410E" w:rsidRDefault="00CE7F43">
      <w:pPr>
        <w:pStyle w:val="Author-eSectionHeading6"/>
      </w:pPr>
      <w:bookmarkStart w:id="1168" w:name="_Toc178838292"/>
      <w:r>
        <w:t>23.12.2c Chevrons autoporteurs en acier formés à froid CCTB 01.04</w:t>
      </w:r>
      <w:bookmarkEnd w:id="1168"/>
    </w:p>
    <w:p w14:paraId="38A92250" w14:textId="77777777" w:rsidR="00DF410E" w:rsidRDefault="00CE7F43">
      <w:pPr>
        <w:pStyle w:val="Author-eSectionHeading6"/>
      </w:pPr>
      <w:bookmarkStart w:id="1169" w:name="_Toc178838293"/>
      <w:r>
        <w:t>23.12.2d Faîtières en acier formées à froid CCTB 01.04</w:t>
      </w:r>
      <w:bookmarkEnd w:id="1169"/>
    </w:p>
    <w:p w14:paraId="4B962117" w14:textId="77777777" w:rsidR="00DF410E" w:rsidRDefault="00CE7F43">
      <w:pPr>
        <w:pStyle w:val="Author-eSectionHeading6"/>
      </w:pPr>
      <w:bookmarkStart w:id="1170" w:name="_Toc178838294"/>
      <w:r>
        <w:t>23.12.2e Arbalétriers en acier formés à froid CCTB 01.04</w:t>
      </w:r>
      <w:bookmarkEnd w:id="1170"/>
    </w:p>
    <w:p w14:paraId="59805AE0" w14:textId="77777777" w:rsidR="00DF410E" w:rsidRDefault="00CE7F43">
      <w:pPr>
        <w:pStyle w:val="Author-eSectionHeading6"/>
      </w:pPr>
      <w:bookmarkStart w:id="1171" w:name="_Toc178838295"/>
      <w:r>
        <w:t>23.12.2f Entraits en acier formés à froid CCTB 01.04</w:t>
      </w:r>
      <w:bookmarkEnd w:id="1171"/>
    </w:p>
    <w:p w14:paraId="2C2B3651" w14:textId="77777777" w:rsidR="00DF410E" w:rsidRDefault="00CE7F43">
      <w:pPr>
        <w:pStyle w:val="Author-eSectionHeading6"/>
      </w:pPr>
      <w:bookmarkStart w:id="1172" w:name="_Toc178838296"/>
      <w:r>
        <w:t>23.12.2g Chevêtres en acier formés à froid CCTB 01.04</w:t>
      </w:r>
      <w:bookmarkEnd w:id="1172"/>
    </w:p>
    <w:p w14:paraId="10CF8D55" w14:textId="77777777" w:rsidR="00DF410E" w:rsidRDefault="00CE7F43">
      <w:pPr>
        <w:pStyle w:val="Author-eSectionHeading6"/>
      </w:pPr>
      <w:bookmarkStart w:id="1173" w:name="_Toc178838297"/>
      <w:r>
        <w:t>23.12.2h Chevrons en acier formés à froid CCTB 01.04</w:t>
      </w:r>
      <w:bookmarkEnd w:id="1173"/>
    </w:p>
    <w:p w14:paraId="056DA96F" w14:textId="77777777" w:rsidR="00DF410E" w:rsidRDefault="00CE7F43">
      <w:pPr>
        <w:pStyle w:val="pheading"/>
      </w:pPr>
      <w:r>
        <w:t>DESCRIPTION</w:t>
      </w:r>
    </w:p>
    <w:p w14:paraId="5B09B99A" w14:textId="77777777" w:rsidR="00DF410E" w:rsidRDefault="00CE7F43">
      <w:pPr>
        <w:pStyle w:val="pheading"/>
      </w:pPr>
      <w:r>
        <w:t>- Définition / Comprend</w:t>
      </w:r>
    </w:p>
    <w:p w14:paraId="1F221E37" w14:textId="77777777" w:rsidR="00DF410E" w:rsidRDefault="00CE7F43">
      <w:r>
        <w:t xml:space="preserve">Renvoi au § </w:t>
      </w:r>
      <w:hyperlink r:id="rId146" w:history="1" w:docLocation="549">
        <w:r>
          <w:t>31.32 Eléments de support en bois</w:t>
        </w:r>
      </w:hyperlink>
    </w:p>
    <w:p w14:paraId="7AEDF294" w14:textId="77777777" w:rsidR="00DF410E" w:rsidRDefault="00CE7F43">
      <w:pPr>
        <w:pStyle w:val="Author-eSectionHeading6"/>
      </w:pPr>
      <w:bookmarkStart w:id="1174" w:name="_Toc178838298"/>
      <w:r>
        <w:t>23.12.2i Voliges et panneaux en acier formés à froid CCTB 01.04</w:t>
      </w:r>
      <w:bookmarkEnd w:id="1174"/>
    </w:p>
    <w:p w14:paraId="1580065D" w14:textId="77777777" w:rsidR="00DF410E" w:rsidRDefault="00CE7F43">
      <w:pPr>
        <w:pStyle w:val="pheading"/>
      </w:pPr>
      <w:r>
        <w:t>DESCRIPTION</w:t>
      </w:r>
    </w:p>
    <w:p w14:paraId="6B80D528" w14:textId="77777777" w:rsidR="00DF410E" w:rsidRDefault="00CE7F43">
      <w:pPr>
        <w:pStyle w:val="pheading"/>
      </w:pPr>
      <w:r>
        <w:t>- Définition / Comprend</w:t>
      </w:r>
    </w:p>
    <w:p w14:paraId="487E4249" w14:textId="77777777" w:rsidR="00DF410E" w:rsidRDefault="00CE7F43">
      <w:r>
        <w:t xml:space="preserve">Renvoi au § </w:t>
      </w:r>
      <w:hyperlink r:id="rId147" w:history="1" w:docLocation="549">
        <w:r>
          <w:t>31.32 Eléments de support en bois</w:t>
        </w:r>
      </w:hyperlink>
    </w:p>
    <w:p w14:paraId="2EC1D3F2" w14:textId="77777777" w:rsidR="00DF410E" w:rsidRDefault="00CE7F43">
      <w:pPr>
        <w:pStyle w:val="Author-eSectionHeading5"/>
      </w:pPr>
      <w:bookmarkStart w:id="1175" w:name="_Toc178838299"/>
      <w:r>
        <w:t>23.12.3 Eléments de charpente de toiture en acier inoxydable laminés à chaud CCTB 01.04</w:t>
      </w:r>
      <w:bookmarkEnd w:id="1175"/>
    </w:p>
    <w:p w14:paraId="5CECB431" w14:textId="77777777" w:rsidR="00DF410E" w:rsidRDefault="00CE7F43">
      <w:pPr>
        <w:pStyle w:val="Author-eSectionHeading6"/>
      </w:pPr>
      <w:bookmarkStart w:id="1176" w:name="_Toc178838300"/>
      <w:r>
        <w:t>23.12.3a Sablières en acier inoxydable laminées à chaud CCTB 01.04</w:t>
      </w:r>
      <w:bookmarkEnd w:id="1176"/>
    </w:p>
    <w:p w14:paraId="7FC9AE5D" w14:textId="77777777" w:rsidR="00DF410E" w:rsidRDefault="00CE7F43">
      <w:pPr>
        <w:pStyle w:val="Author-eSectionHeading6"/>
      </w:pPr>
      <w:bookmarkStart w:id="1177" w:name="_Toc178838301"/>
      <w:r>
        <w:t>23.12.3b Pannes en acier inoxydable laminées à chaud CCTB 01.04</w:t>
      </w:r>
      <w:bookmarkEnd w:id="1177"/>
    </w:p>
    <w:p w14:paraId="77331B92" w14:textId="77777777" w:rsidR="00DF410E" w:rsidRDefault="00CE7F43">
      <w:pPr>
        <w:pStyle w:val="Author-eSectionHeading6"/>
      </w:pPr>
      <w:bookmarkStart w:id="1178" w:name="_Toc178838302"/>
      <w:r>
        <w:t>23.12.3c Chevrons autoporteurs en acier inoxydable laminés à chaud CCTB 01.04</w:t>
      </w:r>
      <w:bookmarkEnd w:id="1178"/>
    </w:p>
    <w:p w14:paraId="7EB59E8E" w14:textId="77777777" w:rsidR="00DF410E" w:rsidRDefault="00CE7F43">
      <w:pPr>
        <w:pStyle w:val="Author-eSectionHeading6"/>
      </w:pPr>
      <w:bookmarkStart w:id="1179" w:name="_Toc178838303"/>
      <w:r>
        <w:t>23.12.3d Faîtières en acier inoxydable laminées à chaud CCTB 01.04</w:t>
      </w:r>
      <w:bookmarkEnd w:id="1179"/>
    </w:p>
    <w:p w14:paraId="1890AACB" w14:textId="77777777" w:rsidR="00DF410E" w:rsidRDefault="00CE7F43">
      <w:pPr>
        <w:pStyle w:val="Author-eSectionHeading6"/>
      </w:pPr>
      <w:bookmarkStart w:id="1180" w:name="_Toc178838304"/>
      <w:r>
        <w:t>23.12.3e Arbalétriers en acier inoxydable laminés à chaud CCTB 01.04</w:t>
      </w:r>
      <w:bookmarkEnd w:id="1180"/>
    </w:p>
    <w:p w14:paraId="00F4F54F" w14:textId="77777777" w:rsidR="00DF410E" w:rsidRDefault="00CE7F43">
      <w:pPr>
        <w:pStyle w:val="Author-eSectionHeading6"/>
      </w:pPr>
      <w:bookmarkStart w:id="1181" w:name="_Toc178838305"/>
      <w:r>
        <w:t>23.12.3f Entraits en acier inoxydable laminés à chaud CCTB 01.04</w:t>
      </w:r>
      <w:bookmarkEnd w:id="1181"/>
    </w:p>
    <w:p w14:paraId="507376B8" w14:textId="77777777" w:rsidR="00DF410E" w:rsidRDefault="00CE7F43">
      <w:pPr>
        <w:pStyle w:val="Author-eSectionHeading6"/>
      </w:pPr>
      <w:bookmarkStart w:id="1182" w:name="_Toc178838306"/>
      <w:r>
        <w:t>23.12.3g Chevêtres en acier inoxydable laminés à chaud CCTB 01.04</w:t>
      </w:r>
      <w:bookmarkEnd w:id="1182"/>
    </w:p>
    <w:p w14:paraId="789E5253" w14:textId="77777777" w:rsidR="00DF410E" w:rsidRDefault="00CE7F43">
      <w:pPr>
        <w:pStyle w:val="Author-eSectionHeading6"/>
      </w:pPr>
      <w:bookmarkStart w:id="1183" w:name="_Toc178838307"/>
      <w:r>
        <w:t>23.12.3h Chevrons en acier inoxydable laminés à chaud CCTB 01.04</w:t>
      </w:r>
      <w:bookmarkEnd w:id="1183"/>
    </w:p>
    <w:p w14:paraId="6CC92B84" w14:textId="77777777" w:rsidR="00DF410E" w:rsidRDefault="00CE7F43">
      <w:pPr>
        <w:pStyle w:val="pheading"/>
      </w:pPr>
      <w:r>
        <w:t>DESCRIPTION</w:t>
      </w:r>
    </w:p>
    <w:p w14:paraId="7C976069" w14:textId="77777777" w:rsidR="00DF410E" w:rsidRDefault="00CE7F43">
      <w:pPr>
        <w:pStyle w:val="pheading"/>
      </w:pPr>
      <w:r>
        <w:t>- Définition / Comprend</w:t>
      </w:r>
    </w:p>
    <w:p w14:paraId="565A86EB" w14:textId="77777777" w:rsidR="00DF410E" w:rsidRDefault="00CE7F43">
      <w:r>
        <w:t xml:space="preserve">Renvoi au § </w:t>
      </w:r>
      <w:hyperlink r:id="rId148" w:history="1" w:docLocation="549">
        <w:r>
          <w:t>31.32 Eléments de support en bois</w:t>
        </w:r>
      </w:hyperlink>
    </w:p>
    <w:p w14:paraId="69F6B910" w14:textId="77777777" w:rsidR="00DF410E" w:rsidRDefault="00CE7F43">
      <w:pPr>
        <w:pStyle w:val="Author-eSectionHeading6"/>
      </w:pPr>
      <w:bookmarkStart w:id="1184" w:name="_Toc178838308"/>
      <w:r>
        <w:t>23.12.3i Voliges et panneaux en acier inoxydable laminés à chaud CCTB 01.04</w:t>
      </w:r>
      <w:bookmarkEnd w:id="1184"/>
    </w:p>
    <w:p w14:paraId="392696E5" w14:textId="77777777" w:rsidR="00DF410E" w:rsidRDefault="00CE7F43">
      <w:pPr>
        <w:pStyle w:val="pheading"/>
      </w:pPr>
      <w:r>
        <w:t>DESCRIPTION</w:t>
      </w:r>
    </w:p>
    <w:p w14:paraId="1877A13E" w14:textId="77777777" w:rsidR="00DF410E" w:rsidRDefault="00CE7F43">
      <w:pPr>
        <w:pStyle w:val="pheading"/>
      </w:pPr>
      <w:r>
        <w:t>- Définition / Comprend</w:t>
      </w:r>
    </w:p>
    <w:p w14:paraId="40717707" w14:textId="77777777" w:rsidR="00DF410E" w:rsidRDefault="00CE7F43">
      <w:r>
        <w:t xml:space="preserve">Renvoi au § </w:t>
      </w:r>
      <w:hyperlink r:id="rId149" w:history="1" w:docLocation="549">
        <w:r>
          <w:t>31.32 Eléments de support en bois</w:t>
        </w:r>
      </w:hyperlink>
    </w:p>
    <w:p w14:paraId="5BF02786" w14:textId="77777777" w:rsidR="00DF410E" w:rsidRDefault="00CE7F43">
      <w:pPr>
        <w:pStyle w:val="Author-eSectionHeading5"/>
      </w:pPr>
      <w:bookmarkStart w:id="1185" w:name="_Toc178838309"/>
      <w:r>
        <w:t>23.12.4 Eléments de charpente de toiture en acier inoxydable formés à froid CCTB 01.04</w:t>
      </w:r>
      <w:bookmarkEnd w:id="1185"/>
    </w:p>
    <w:p w14:paraId="272933AC" w14:textId="77777777" w:rsidR="00DF410E" w:rsidRDefault="00CE7F43">
      <w:pPr>
        <w:pStyle w:val="Author-eSectionHeading6"/>
      </w:pPr>
      <w:bookmarkStart w:id="1186" w:name="_Toc178838310"/>
      <w:r>
        <w:t>23.12.4a Sablières en acier inoxydable formées à froid CCTB 01.04</w:t>
      </w:r>
      <w:bookmarkEnd w:id="1186"/>
    </w:p>
    <w:p w14:paraId="72B007DA" w14:textId="77777777" w:rsidR="00DF410E" w:rsidRDefault="00CE7F43">
      <w:pPr>
        <w:pStyle w:val="Author-eSectionHeading6"/>
      </w:pPr>
      <w:bookmarkStart w:id="1187" w:name="_Toc178838311"/>
      <w:r>
        <w:t>23.12.4b Pannes en acier inoxydable formées à froid CCTB 01.04</w:t>
      </w:r>
      <w:bookmarkEnd w:id="1187"/>
    </w:p>
    <w:p w14:paraId="662A2324" w14:textId="77777777" w:rsidR="00DF410E" w:rsidRDefault="00CE7F43">
      <w:pPr>
        <w:pStyle w:val="Author-eSectionHeading6"/>
      </w:pPr>
      <w:bookmarkStart w:id="1188" w:name="_Toc178838312"/>
      <w:r>
        <w:t>23.12.4c Chevrons autoporteurs en acier inoxydable formés à froid CCTB 01.04</w:t>
      </w:r>
      <w:bookmarkEnd w:id="1188"/>
    </w:p>
    <w:p w14:paraId="7992FA1C" w14:textId="77777777" w:rsidR="00DF410E" w:rsidRDefault="00CE7F43">
      <w:pPr>
        <w:pStyle w:val="Author-eSectionHeading6"/>
      </w:pPr>
      <w:bookmarkStart w:id="1189" w:name="_Toc178838313"/>
      <w:r>
        <w:t>23.12.4d Faîtières en acier inoxydable formées à froid CCTB 01.04</w:t>
      </w:r>
      <w:bookmarkEnd w:id="1189"/>
    </w:p>
    <w:p w14:paraId="169202CE" w14:textId="77777777" w:rsidR="00DF410E" w:rsidRDefault="00CE7F43">
      <w:pPr>
        <w:pStyle w:val="Author-eSectionHeading6"/>
      </w:pPr>
      <w:bookmarkStart w:id="1190" w:name="_Toc178838314"/>
      <w:r>
        <w:t>23.12.4e Arbalétriers en acier inoxydable formés à froid CCTB 01.04</w:t>
      </w:r>
      <w:bookmarkEnd w:id="1190"/>
    </w:p>
    <w:p w14:paraId="7A824B69" w14:textId="77777777" w:rsidR="00DF410E" w:rsidRDefault="00CE7F43">
      <w:pPr>
        <w:pStyle w:val="Author-eSectionHeading6"/>
      </w:pPr>
      <w:bookmarkStart w:id="1191" w:name="_Toc178838315"/>
      <w:r>
        <w:t>23.12.4f Entraits en acier inoxydable formés à froid CCTB 01.04</w:t>
      </w:r>
      <w:bookmarkEnd w:id="1191"/>
    </w:p>
    <w:p w14:paraId="7393EC49" w14:textId="77777777" w:rsidR="00DF410E" w:rsidRDefault="00CE7F43">
      <w:pPr>
        <w:pStyle w:val="Author-eSectionHeading6"/>
      </w:pPr>
      <w:bookmarkStart w:id="1192" w:name="_Toc178838316"/>
      <w:r>
        <w:t>23.12.4g Chevêtres en acier inoxydable formés à froid CCTB 01.04</w:t>
      </w:r>
      <w:bookmarkEnd w:id="1192"/>
    </w:p>
    <w:p w14:paraId="0CDC9127" w14:textId="77777777" w:rsidR="00DF410E" w:rsidRDefault="00CE7F43">
      <w:pPr>
        <w:pStyle w:val="Author-eSectionHeading6"/>
      </w:pPr>
      <w:bookmarkStart w:id="1193" w:name="_Toc178838317"/>
      <w:r>
        <w:t>23.12.4h Chevrons en acier inoxydable formés à froid CCTB 01.04</w:t>
      </w:r>
      <w:bookmarkEnd w:id="1193"/>
    </w:p>
    <w:p w14:paraId="04B9368D" w14:textId="77777777" w:rsidR="00DF410E" w:rsidRDefault="00CE7F43">
      <w:pPr>
        <w:pStyle w:val="pheading"/>
      </w:pPr>
      <w:r>
        <w:t>DESCRIPTION</w:t>
      </w:r>
    </w:p>
    <w:p w14:paraId="506E673C" w14:textId="77777777" w:rsidR="00DF410E" w:rsidRDefault="00CE7F43">
      <w:pPr>
        <w:pStyle w:val="pheading"/>
      </w:pPr>
      <w:r>
        <w:t>- Définition / Comprend</w:t>
      </w:r>
    </w:p>
    <w:p w14:paraId="367B427D" w14:textId="77777777" w:rsidR="00DF410E" w:rsidRDefault="00CE7F43">
      <w:r>
        <w:t xml:space="preserve">Renvoi au § </w:t>
      </w:r>
      <w:hyperlink r:id="rId150" w:history="1" w:docLocation="549">
        <w:r>
          <w:t>31.32 Eléments de support en bois</w:t>
        </w:r>
      </w:hyperlink>
    </w:p>
    <w:p w14:paraId="31B27926" w14:textId="77777777" w:rsidR="00DF410E" w:rsidRDefault="00CE7F43">
      <w:pPr>
        <w:pStyle w:val="Author-eSectionHeading6"/>
      </w:pPr>
      <w:bookmarkStart w:id="1194" w:name="_Toc178838318"/>
      <w:r>
        <w:t>23.12.4i Voliges et panneaux en acier inoxydable formés à froid CCTB 01.04</w:t>
      </w:r>
      <w:bookmarkEnd w:id="1194"/>
    </w:p>
    <w:p w14:paraId="26DE6213" w14:textId="77777777" w:rsidR="00DF410E" w:rsidRDefault="00CE7F43">
      <w:pPr>
        <w:pStyle w:val="pheading"/>
      </w:pPr>
      <w:r>
        <w:t>DESCRIPTION</w:t>
      </w:r>
    </w:p>
    <w:p w14:paraId="3C654061" w14:textId="77777777" w:rsidR="00DF410E" w:rsidRDefault="00CE7F43">
      <w:pPr>
        <w:pStyle w:val="pheading"/>
      </w:pPr>
      <w:r>
        <w:t>- Définition / Comprend</w:t>
      </w:r>
    </w:p>
    <w:p w14:paraId="13639C09" w14:textId="77777777" w:rsidR="00DF410E" w:rsidRDefault="00CE7F43">
      <w:r>
        <w:t xml:space="preserve">Renvoi au § </w:t>
      </w:r>
      <w:hyperlink r:id="rId151" w:history="1" w:docLocation="549">
        <w:r>
          <w:t>31.32 Eléments de support en bois</w:t>
        </w:r>
      </w:hyperlink>
    </w:p>
    <w:p w14:paraId="6F65D417" w14:textId="77777777" w:rsidR="00DF410E" w:rsidRDefault="00CE7F43">
      <w:pPr>
        <w:pStyle w:val="Author-eSectionHeading5"/>
      </w:pPr>
      <w:bookmarkStart w:id="1195" w:name="_Toc178838319"/>
      <w:r>
        <w:t>23.12.5 Eléments de charpente de toiture en aluminium CCTB 01.04</w:t>
      </w:r>
      <w:bookmarkEnd w:id="1195"/>
    </w:p>
    <w:p w14:paraId="308679DB" w14:textId="77777777" w:rsidR="00DF410E" w:rsidRDefault="00CE7F43">
      <w:pPr>
        <w:pStyle w:val="Author-eSectionHeading6"/>
      </w:pPr>
      <w:bookmarkStart w:id="1196" w:name="_Toc178838320"/>
      <w:r>
        <w:t>23.12.5a Sablières en aluminium CCTB 01.04</w:t>
      </w:r>
      <w:bookmarkEnd w:id="1196"/>
    </w:p>
    <w:p w14:paraId="31FD9802" w14:textId="77777777" w:rsidR="00DF410E" w:rsidRDefault="00CE7F43">
      <w:pPr>
        <w:pStyle w:val="Author-eSectionHeading6"/>
      </w:pPr>
      <w:bookmarkStart w:id="1197" w:name="_Toc178838321"/>
      <w:r>
        <w:t>23.12.5b Pannes en aluminium CCTB 01.04</w:t>
      </w:r>
      <w:bookmarkEnd w:id="1197"/>
    </w:p>
    <w:p w14:paraId="68BD4935" w14:textId="77777777" w:rsidR="00DF410E" w:rsidRDefault="00CE7F43">
      <w:pPr>
        <w:pStyle w:val="Author-eSectionHeading6"/>
      </w:pPr>
      <w:bookmarkStart w:id="1198" w:name="_Toc178838322"/>
      <w:r>
        <w:t>23.12.5c Chevrons autoporteurs en aluminium CCTB 01.04</w:t>
      </w:r>
      <w:bookmarkEnd w:id="1198"/>
    </w:p>
    <w:p w14:paraId="40AE7735" w14:textId="77777777" w:rsidR="00DF410E" w:rsidRDefault="00CE7F43">
      <w:pPr>
        <w:pStyle w:val="Author-eSectionHeading6"/>
      </w:pPr>
      <w:bookmarkStart w:id="1199" w:name="_Toc178838323"/>
      <w:r>
        <w:t>23.12.5d Faîtières en aluminium CCTB 01.04</w:t>
      </w:r>
      <w:bookmarkEnd w:id="1199"/>
    </w:p>
    <w:p w14:paraId="001FF6E3" w14:textId="77777777" w:rsidR="00DF410E" w:rsidRDefault="00CE7F43">
      <w:pPr>
        <w:pStyle w:val="Author-eSectionHeading6"/>
      </w:pPr>
      <w:bookmarkStart w:id="1200" w:name="_Toc178838324"/>
      <w:r>
        <w:t>23.12.5e Arbalétriers en aluminium CCTB 01.04</w:t>
      </w:r>
      <w:bookmarkEnd w:id="1200"/>
    </w:p>
    <w:p w14:paraId="654F12A4" w14:textId="77777777" w:rsidR="00DF410E" w:rsidRDefault="00CE7F43">
      <w:pPr>
        <w:pStyle w:val="Author-eSectionHeading6"/>
      </w:pPr>
      <w:bookmarkStart w:id="1201" w:name="_Toc178838325"/>
      <w:r>
        <w:t>23.12.5f Entraits en aluminium CCTB 01.04</w:t>
      </w:r>
      <w:bookmarkEnd w:id="1201"/>
    </w:p>
    <w:p w14:paraId="258B15EB" w14:textId="77777777" w:rsidR="00DF410E" w:rsidRDefault="00CE7F43">
      <w:pPr>
        <w:pStyle w:val="Author-eSectionHeading6"/>
      </w:pPr>
      <w:bookmarkStart w:id="1202" w:name="_Toc178838326"/>
      <w:r>
        <w:t>23.12.5g Chevêtres en aluminium CCTB 01.04</w:t>
      </w:r>
      <w:bookmarkEnd w:id="1202"/>
    </w:p>
    <w:p w14:paraId="63D48F4B" w14:textId="77777777" w:rsidR="00DF410E" w:rsidRDefault="00CE7F43">
      <w:pPr>
        <w:pStyle w:val="Author-eSectionHeading6"/>
      </w:pPr>
      <w:bookmarkStart w:id="1203" w:name="_Toc178838327"/>
      <w:r>
        <w:t>23.12.5h Chevrons en aluminium CCTB 01.04</w:t>
      </w:r>
      <w:bookmarkEnd w:id="1203"/>
    </w:p>
    <w:p w14:paraId="6C8A0F8D" w14:textId="77777777" w:rsidR="00DF410E" w:rsidRDefault="00CE7F43">
      <w:pPr>
        <w:pStyle w:val="pheading"/>
      </w:pPr>
      <w:r>
        <w:t>DESCRIPTION</w:t>
      </w:r>
    </w:p>
    <w:p w14:paraId="0783963A" w14:textId="77777777" w:rsidR="00DF410E" w:rsidRDefault="00CE7F43">
      <w:pPr>
        <w:pStyle w:val="pheading"/>
      </w:pPr>
      <w:r>
        <w:t>- Définition / Comprend</w:t>
      </w:r>
    </w:p>
    <w:p w14:paraId="5E26E83D" w14:textId="77777777" w:rsidR="00DF410E" w:rsidRDefault="00CE7F43">
      <w:r>
        <w:t xml:space="preserve">Renvoi au § </w:t>
      </w:r>
      <w:hyperlink r:id="rId152" w:history="1" w:docLocation="549">
        <w:r>
          <w:t>31.32 Eléments de support en bois</w:t>
        </w:r>
      </w:hyperlink>
    </w:p>
    <w:p w14:paraId="15A85CB5" w14:textId="77777777" w:rsidR="00DF410E" w:rsidRDefault="00CE7F43">
      <w:pPr>
        <w:pStyle w:val="Author-eSectionHeading6"/>
      </w:pPr>
      <w:bookmarkStart w:id="1204" w:name="_Toc178838328"/>
      <w:r>
        <w:t>23.12.5i Voliges et panneaux en aluminium CCTB 01.04</w:t>
      </w:r>
      <w:bookmarkEnd w:id="1204"/>
    </w:p>
    <w:p w14:paraId="76F9387C" w14:textId="77777777" w:rsidR="00DF410E" w:rsidRDefault="00CE7F43">
      <w:pPr>
        <w:pStyle w:val="pheading"/>
      </w:pPr>
      <w:r>
        <w:t>DESCRIPTION</w:t>
      </w:r>
    </w:p>
    <w:p w14:paraId="51F8D7BE" w14:textId="77777777" w:rsidR="00DF410E" w:rsidRDefault="00CE7F43">
      <w:pPr>
        <w:pStyle w:val="pheading"/>
      </w:pPr>
      <w:r>
        <w:t>- Définition / Comprend</w:t>
      </w:r>
    </w:p>
    <w:p w14:paraId="5279870A" w14:textId="77777777" w:rsidR="00DF410E" w:rsidRDefault="00CE7F43">
      <w:r>
        <w:t xml:space="preserve">Renvoi au § </w:t>
      </w:r>
      <w:hyperlink r:id="rId153" w:history="1" w:docLocation="549">
        <w:r>
          <w:t>31.32 Eléments de support en bois</w:t>
        </w:r>
      </w:hyperlink>
    </w:p>
    <w:p w14:paraId="1B3E5D82" w14:textId="77777777" w:rsidR="00DF410E" w:rsidRDefault="00CE7F43">
      <w:pPr>
        <w:pStyle w:val="Author-eSectionHeading4"/>
      </w:pPr>
      <w:bookmarkStart w:id="1205" w:name="_Toc178838329"/>
      <w:r>
        <w:t>23.13 Linteaux métalliques CCTB 01.11</w:t>
      </w:r>
      <w:bookmarkEnd w:id="1205"/>
    </w:p>
    <w:p w14:paraId="4295F3A8" w14:textId="77777777" w:rsidR="00DF410E" w:rsidRDefault="00CE7F43">
      <w:pPr>
        <w:pStyle w:val="pheading"/>
      </w:pPr>
      <w:bookmarkStart w:id="1206" w:name="401"/>
      <w:bookmarkEnd w:id="1206"/>
      <w:r>
        <w:t>DESCRIPTION</w:t>
      </w:r>
    </w:p>
    <w:p w14:paraId="0DB14D0D" w14:textId="77777777" w:rsidR="00DF410E" w:rsidRDefault="00CE7F43">
      <w:pPr>
        <w:pStyle w:val="pheading"/>
      </w:pPr>
      <w:r>
        <w:t>- Définition / Comprend</w:t>
      </w:r>
    </w:p>
    <w:p w14:paraId="65E5971B" w14:textId="77777777" w:rsidR="00DF410E" w:rsidRDefault="00CE7F43">
      <w:r>
        <w:t>Il s'agit des linteaux constitués de cornières en acier profilé, appliqués pour soutenir localement le parement au-dessus des baies de portes et fenêtres dans les murs des façades extérieures.</w:t>
      </w:r>
    </w:p>
    <w:p w14:paraId="33E2C72B" w14:textId="77777777" w:rsidR="00DF410E" w:rsidRDefault="00CE7F43">
      <w:pPr>
        <w:pStyle w:val="pheading"/>
      </w:pPr>
      <w:r>
        <w:t>MATÉRIAUX</w:t>
      </w:r>
    </w:p>
    <w:p w14:paraId="1DFF86BA" w14:textId="77777777" w:rsidR="00DF410E" w:rsidRDefault="00CE7F43">
      <w:pPr>
        <w:pStyle w:val="heading"/>
      </w:pPr>
      <w:r>
        <w:t>Spécifications</w:t>
      </w:r>
    </w:p>
    <w:p w14:paraId="6EE059B2" w14:textId="77777777" w:rsidR="00DF410E" w:rsidRDefault="00CE7F43">
      <w:r>
        <w:t>Forme et dimensions : cornières d'acier</w:t>
      </w:r>
    </w:p>
    <w:p w14:paraId="2FDDF07C" w14:textId="77777777" w:rsidR="00DF410E" w:rsidRDefault="00CE7F43">
      <w:r>
        <w:t>hauteur : minimum </w:t>
      </w:r>
      <w:r>
        <w:rPr>
          <w:rStyle w:val="optioncarChar"/>
        </w:rPr>
        <w:t xml:space="preserve">80 </w:t>
      </w:r>
      <w:r>
        <w:t>(par défaut) </w:t>
      </w:r>
      <w:r>
        <w:rPr>
          <w:rStyle w:val="optioncarChar"/>
        </w:rPr>
        <w:t>/ 150 / ***  </w:t>
      </w:r>
      <w:r>
        <w:t>mm / soit en fonction de la portée</w:t>
      </w:r>
    </w:p>
    <w:p w14:paraId="705F9165" w14:textId="77777777" w:rsidR="00DF410E" w:rsidRDefault="00CE7F43">
      <w:r>
        <w:t>largeur : minimum </w:t>
      </w:r>
      <w:r>
        <w:rPr>
          <w:rStyle w:val="optioncarChar"/>
        </w:rPr>
        <w:t xml:space="preserve">80 </w:t>
      </w:r>
      <w:r>
        <w:t>(par défaut) </w:t>
      </w:r>
      <w:r>
        <w:rPr>
          <w:rStyle w:val="optioncarChar"/>
        </w:rPr>
        <w:t>/ 150 / ***</w:t>
      </w:r>
      <w:r>
        <w:t xml:space="preserve"> mm / soit en fonction de la portée</w:t>
      </w:r>
    </w:p>
    <w:p w14:paraId="1D59D36B" w14:textId="77777777" w:rsidR="00DF410E" w:rsidRDefault="00CE7F43">
      <w:r>
        <w:t xml:space="preserve">épaisseur : minimum </w:t>
      </w:r>
      <w:r>
        <w:rPr>
          <w:rStyle w:val="optioncarChar"/>
        </w:rPr>
        <w:t>***</w:t>
      </w:r>
      <w:r>
        <w:t xml:space="preserve"> mm / soit en fonction de la portée</w:t>
      </w:r>
    </w:p>
    <w:p w14:paraId="1A106FF0" w14:textId="77777777" w:rsidR="00DF410E" w:rsidRDefault="00CE7F43">
      <w:pPr>
        <w:pStyle w:val="pheading"/>
      </w:pPr>
      <w:r>
        <w:t>EXÉCUTION / MISE EN ŒUVRE</w:t>
      </w:r>
    </w:p>
    <w:p w14:paraId="03A30948" w14:textId="77777777" w:rsidR="00DF410E" w:rsidRDefault="00CE7F43">
      <w:r>
        <w:t xml:space="preserve">L'appui latéral est d'au moins </w:t>
      </w:r>
      <w:r>
        <w:rPr>
          <w:rStyle w:val="optioncarChar"/>
        </w:rPr>
        <w:t>10 cm / 15 cm</w:t>
      </w:r>
      <w:r>
        <w:t>. Si nécessaire, les briques sont sciées.</w:t>
      </w:r>
    </w:p>
    <w:p w14:paraId="20A7C063" w14:textId="77777777" w:rsidR="00DF410E" w:rsidRDefault="00CE7F43">
      <w:r>
        <w:t>L'ancrage au gros-œuvre se fait:</w:t>
      </w:r>
    </w:p>
    <w:p w14:paraId="5E8C5667" w14:textId="77777777" w:rsidR="00DF410E" w:rsidRDefault="00CE7F43">
      <w:r>
        <w:rPr>
          <w:b/>
        </w:rPr>
        <w:t>Choix opéré:</w:t>
      </w:r>
      <w:r>
        <w:rPr>
          <w:rStyle w:val="optioncarChar"/>
        </w:rPr>
        <w:t>***/Option 1</w:t>
      </w:r>
      <w:r>
        <w:t xml:space="preserve"> (par défaut) </w:t>
      </w:r>
      <w:r>
        <w:rPr>
          <w:rStyle w:val="optioncarChar"/>
        </w:rPr>
        <w:t>/Option2/Option 3</w:t>
      </w:r>
    </w:p>
    <w:p w14:paraId="48DB8F59" w14:textId="77777777" w:rsidR="00DF410E" w:rsidRDefault="00CE7F43">
      <w:r>
        <w:rPr>
          <w:b/>
        </w:rPr>
        <w:t>***Option 1:</w:t>
      </w:r>
      <w:r>
        <w:t xml:space="preserve"> de manière portante sur l'ouvrage en maçonnerie juxtaposée</w:t>
      </w:r>
    </w:p>
    <w:p w14:paraId="2A1732AF" w14:textId="77777777" w:rsidR="00DF410E" w:rsidRDefault="00CE7F43">
      <w:r>
        <w:rPr>
          <w:b/>
        </w:rPr>
        <w:t>***Option 2:</w:t>
      </w:r>
      <w:r>
        <w:t xml:space="preserve"> à l'aide de goujons disposés avec un espacement maximal de 50 cm. Il est interdit de plier les goujons pendant la pose.</w:t>
      </w:r>
    </w:p>
    <w:p w14:paraId="570025E2" w14:textId="77777777" w:rsidR="00DF410E" w:rsidRDefault="00CE7F43">
      <w:r>
        <w:rPr>
          <w:b/>
        </w:rPr>
        <w:t>***Option 3:</w:t>
      </w:r>
      <w:r>
        <w:t xml:space="preserve"> à l'aide de boulons à cheville forés avec un espacement maximal de 50 cm.</w:t>
      </w:r>
    </w:p>
    <w:p w14:paraId="3BBA45CA" w14:textId="77777777" w:rsidR="00DF410E" w:rsidRDefault="00CE7F43">
      <w:r>
        <w:t>Les profils sont ancrés dans le béton attenant ou dans la maçonnerie au-dessus du linteau, à l'aide de barres d'acier soudées, diamètre 10 . Des ancrages sont prévus tous les 80 cm maximum. Les ancrages sont disposés de façon telle que les cornières soient suspendues au mur de contre-façade, dans ou au-dessus du linteau; l'ancrage doit empêcher que les cornières ne fléchissent. La face extérieure de l'aile debout des profils doit se situer dans le même plan que la face intérieure du mur de parement (s'il y a lieu, les briques doivent être sciées mécaniquement).</w:t>
      </w:r>
    </w:p>
    <w:p w14:paraId="7414256E" w14:textId="77777777" w:rsidR="00DF410E" w:rsidRDefault="00CE7F43">
      <w:pPr>
        <w:pStyle w:val="Author-eSectionHeading5"/>
      </w:pPr>
      <w:bookmarkStart w:id="1207" w:name="_Toc178838330"/>
      <w:r>
        <w:t>23.13.1 Linteaux en acier laminés à chaud CCTB 01.02</w:t>
      </w:r>
      <w:bookmarkEnd w:id="1207"/>
    </w:p>
    <w:p w14:paraId="43ECDF00" w14:textId="77777777" w:rsidR="00DF410E" w:rsidRDefault="00CE7F43">
      <w:pPr>
        <w:pStyle w:val="Author-eSectionHeading6"/>
      </w:pPr>
      <w:bookmarkStart w:id="1208" w:name="_Toc178838331"/>
      <w:r>
        <w:t>23.13.1a Linteaux en acier laminés à chaud CCTB 01.02</w:t>
      </w:r>
      <w:bookmarkEnd w:id="1208"/>
    </w:p>
    <w:p w14:paraId="7133EE85" w14:textId="77777777" w:rsidR="00DF410E" w:rsidRDefault="00CE7F43">
      <w:pPr>
        <w:pStyle w:val="Author-eSectionHeading5"/>
      </w:pPr>
      <w:bookmarkStart w:id="1209" w:name="_Toc178838332"/>
      <w:r>
        <w:t>23.13.2 Linteaux en acier formés à froid CCTB 01.10</w:t>
      </w:r>
      <w:bookmarkEnd w:id="1209"/>
    </w:p>
    <w:p w14:paraId="70525741" w14:textId="77777777" w:rsidR="00DF410E" w:rsidRDefault="00CE7F43">
      <w:pPr>
        <w:pStyle w:val="Author-eSectionHeading6"/>
      </w:pPr>
      <w:bookmarkStart w:id="1210" w:name="_Toc178838333"/>
      <w:r>
        <w:t>23.13.2a Linteaux en acier formés à froid CCTB 01.10</w:t>
      </w:r>
      <w:bookmarkEnd w:id="1210"/>
    </w:p>
    <w:p w14:paraId="21EA4B08" w14:textId="77777777" w:rsidR="00DF410E" w:rsidRDefault="00CE7F43">
      <w:pPr>
        <w:pStyle w:val="Author-eSectionHeading5"/>
      </w:pPr>
      <w:bookmarkStart w:id="1211" w:name="_Toc178838334"/>
      <w:r>
        <w:t>23.13.3 Linteaux en acier inoxydable laminés à chaud CCTB 01.10</w:t>
      </w:r>
      <w:bookmarkEnd w:id="1211"/>
    </w:p>
    <w:p w14:paraId="344D3378" w14:textId="77777777" w:rsidR="00DF410E" w:rsidRDefault="00CE7F43">
      <w:pPr>
        <w:pStyle w:val="Author-eSectionHeading6"/>
      </w:pPr>
      <w:bookmarkStart w:id="1212" w:name="_Toc178838335"/>
      <w:r>
        <w:t>23.13.3a Linteaux en acier inoxydable laminés à chaud CCTB 01.10</w:t>
      </w:r>
      <w:bookmarkEnd w:id="1212"/>
    </w:p>
    <w:p w14:paraId="10BC59F7" w14:textId="77777777" w:rsidR="00DF410E" w:rsidRDefault="00CE7F43">
      <w:pPr>
        <w:pStyle w:val="Author-eSectionHeading5"/>
      </w:pPr>
      <w:bookmarkStart w:id="1213" w:name="_Toc178838336"/>
      <w:r>
        <w:t>23.13.4 Linteaux en acier inoxydable formés à froid CCTB 01.10</w:t>
      </w:r>
      <w:bookmarkEnd w:id="1213"/>
    </w:p>
    <w:p w14:paraId="24D40444" w14:textId="77777777" w:rsidR="00DF410E" w:rsidRDefault="00CE7F43">
      <w:pPr>
        <w:pStyle w:val="Author-eSectionHeading6"/>
      </w:pPr>
      <w:bookmarkStart w:id="1214" w:name="_Toc178838337"/>
      <w:r>
        <w:t>23.13.4a Linteaux en acier inoxydable formés à froid CCTB 01.10</w:t>
      </w:r>
      <w:bookmarkEnd w:id="1214"/>
    </w:p>
    <w:p w14:paraId="74B46CA2" w14:textId="77777777" w:rsidR="00DF410E" w:rsidRDefault="00CE7F43">
      <w:pPr>
        <w:pStyle w:val="Author-eSectionHeading5"/>
      </w:pPr>
      <w:bookmarkStart w:id="1215" w:name="_Toc178838338"/>
      <w:r>
        <w:t>23.13.5 Linteaux en aluminium CCTB 01.10</w:t>
      </w:r>
      <w:bookmarkEnd w:id="1215"/>
    </w:p>
    <w:p w14:paraId="48B86B14" w14:textId="77777777" w:rsidR="00DF410E" w:rsidRDefault="00CE7F43">
      <w:pPr>
        <w:pStyle w:val="Author-eSectionHeading6"/>
      </w:pPr>
      <w:bookmarkStart w:id="1216" w:name="_Toc178838339"/>
      <w:r>
        <w:t>23.13.5a Linteaux en aluminium CCTB 01.10</w:t>
      </w:r>
      <w:bookmarkEnd w:id="1216"/>
    </w:p>
    <w:p w14:paraId="65F0AB37" w14:textId="77777777" w:rsidR="00DF410E" w:rsidRDefault="00CE7F43">
      <w:pPr>
        <w:pStyle w:val="Author-eSectionHeading5"/>
      </w:pPr>
      <w:bookmarkStart w:id="1217" w:name="_Toc178838340"/>
      <w:r>
        <w:t>23.13.6 Cornières de soutien de parement en profilés d'acier CCTB 01.02</w:t>
      </w:r>
      <w:bookmarkEnd w:id="1217"/>
    </w:p>
    <w:p w14:paraId="5CE54BB9" w14:textId="77777777" w:rsidR="00DF410E" w:rsidRDefault="00CE7F43">
      <w:pPr>
        <w:pStyle w:val="Author-eSectionHeading4"/>
      </w:pPr>
      <w:bookmarkStart w:id="1218" w:name="_Toc178838341"/>
      <w:r>
        <w:t>23.14 Colonnes métalliques CCTB 01.11</w:t>
      </w:r>
      <w:bookmarkEnd w:id="1218"/>
    </w:p>
    <w:p w14:paraId="6396E3E1" w14:textId="77777777" w:rsidR="00DF410E" w:rsidRDefault="00CE7F43">
      <w:pPr>
        <w:pStyle w:val="pheading"/>
      </w:pPr>
      <w:r>
        <w:t>DESCRIPTION</w:t>
      </w:r>
    </w:p>
    <w:p w14:paraId="2EB10941" w14:textId="77777777" w:rsidR="00DF410E" w:rsidRDefault="00CE7F43">
      <w:pPr>
        <w:pStyle w:val="pheading"/>
      </w:pPr>
      <w:r>
        <w:t>- Définition / Comprend</w:t>
      </w:r>
    </w:p>
    <w:p w14:paraId="58BCC646" w14:textId="77777777" w:rsidR="00DF410E" w:rsidRDefault="00CE7F43">
      <w:r>
        <w:t>Il s'agit des éléments verticaux, appliqués comme</w:t>
      </w:r>
      <w:r>
        <w:rPr>
          <w:rStyle w:val="optioncarChar"/>
        </w:rPr>
        <w:t xml:space="preserve"> colonnes porteuses </w:t>
      </w:r>
      <w:r>
        <w:t>(par défaut)</w:t>
      </w:r>
      <w:r>
        <w:rPr>
          <w:rStyle w:val="optioncarChar"/>
        </w:rPr>
        <w:t xml:space="preserve"> / ***</w:t>
      </w:r>
      <w:r>
        <w:t>. Ils sont préfabriqués en usine et assemblés sur chantier aux constructions déjà réalisées. Y compris l'assemblage par soudure des plaques de tête et de pied de colonne.</w:t>
      </w:r>
    </w:p>
    <w:p w14:paraId="5D0F4617" w14:textId="77777777" w:rsidR="00DF410E" w:rsidRDefault="00CE7F43">
      <w:pPr>
        <w:pStyle w:val="pheading"/>
      </w:pPr>
      <w:r>
        <w:t>MATÉRIAUX</w:t>
      </w:r>
    </w:p>
    <w:p w14:paraId="2E00D851" w14:textId="77777777" w:rsidR="00DF410E" w:rsidRDefault="00CE7F43">
      <w:r>
        <w:t>Les types mentionnés dans le métré sont donnés à titre indicatif et sont appliqués uniquement après approbation explicite de l'ingénieur. Il est toujours possible que d'éventuelles adaptations doivent être effectuées aux plans de stabilité.</w:t>
      </w:r>
    </w:p>
    <w:p w14:paraId="71776DD8" w14:textId="77777777" w:rsidR="00DF410E" w:rsidRDefault="00CE7F43">
      <w:pPr>
        <w:pStyle w:val="Author-eSectionHeading5"/>
      </w:pPr>
      <w:bookmarkStart w:id="1219" w:name="_Toc178838342"/>
      <w:r>
        <w:t>23.14.1 Colonnes en acier laminées à chaud CCTB 01.04</w:t>
      </w:r>
      <w:bookmarkEnd w:id="1219"/>
    </w:p>
    <w:p w14:paraId="0DBDF02E" w14:textId="77777777" w:rsidR="00DF410E" w:rsidRDefault="00CE7F43">
      <w:pPr>
        <w:pStyle w:val="Author-eSectionHeading6"/>
      </w:pPr>
      <w:bookmarkStart w:id="1220" w:name="492"/>
      <w:bookmarkStart w:id="1221" w:name="_Toc178838343"/>
      <w:bookmarkEnd w:id="1220"/>
      <w:r>
        <w:t>23.14.1a Colonnes en profilés en acier laminés à chaud CCTB 01.11</w:t>
      </w:r>
      <w:bookmarkEnd w:id="1221"/>
    </w:p>
    <w:p w14:paraId="4AB3E02A" w14:textId="77777777" w:rsidR="00DF410E" w:rsidRDefault="00CE7F43">
      <w:pPr>
        <w:pStyle w:val="pheading"/>
      </w:pPr>
      <w:bookmarkStart w:id="1222" w:name="493"/>
      <w:bookmarkEnd w:id="1222"/>
      <w:r>
        <w:t>DESCRIPTION</w:t>
      </w:r>
    </w:p>
    <w:p w14:paraId="71AB81B9" w14:textId="77777777" w:rsidR="00DF410E" w:rsidRDefault="00CE7F43">
      <w:pPr>
        <w:pStyle w:val="pheading"/>
      </w:pPr>
      <w:r>
        <w:t>- Définition / Comprend</w:t>
      </w:r>
    </w:p>
    <w:p w14:paraId="5B9C8792" w14:textId="77777777" w:rsidR="00DF410E" w:rsidRDefault="00DF410E"/>
    <w:p w14:paraId="1F09E580" w14:textId="77777777" w:rsidR="00DF410E" w:rsidRDefault="00DF410E"/>
    <w:p w14:paraId="59B623D5" w14:textId="77777777" w:rsidR="00DF410E" w:rsidRDefault="00CE7F43">
      <w:pPr>
        <w:spacing w:line="256" w:lineRule="auto"/>
      </w:pPr>
      <w:r>
        <w:t>Il s'agit de l’ensemble des colonnes en profilés en acier laminés à chaud conformes à la [NBN EN 10025 série].</w:t>
      </w:r>
    </w:p>
    <w:p w14:paraId="3B899565" w14:textId="77777777" w:rsidR="00DF410E" w:rsidRDefault="00CE7F43">
      <w:pPr>
        <w:pStyle w:val="pheading"/>
      </w:pPr>
      <w:r>
        <w:t>- Localisation</w:t>
      </w:r>
    </w:p>
    <w:p w14:paraId="28351690" w14:textId="77777777" w:rsidR="00DF410E" w:rsidRDefault="00CE7F43">
      <w:r>
        <w:rPr>
          <w:rStyle w:val="normalChar"/>
        </w:rPr>
        <w:t xml:space="preserve">Les travaux sont localisés : </w:t>
      </w:r>
      <w:r>
        <w:rPr>
          <w:rStyle w:val="optioncarChar"/>
        </w:rPr>
        <w:t>Voir plans et métrés détaillés </w:t>
      </w:r>
      <w:r>
        <w:t>(par défaut)</w:t>
      </w:r>
      <w:r>
        <w:rPr>
          <w:rStyle w:val="optioncarChar"/>
        </w:rPr>
        <w:t xml:space="preserve"> / ***</w:t>
      </w:r>
      <w:r>
        <w:rPr>
          <w:rStyle w:val="normalChar"/>
        </w:rPr>
        <w:t>. </w:t>
      </w:r>
    </w:p>
    <w:p w14:paraId="17AF681C" w14:textId="77777777" w:rsidR="00DF410E" w:rsidRDefault="00CE7F43">
      <w:pPr>
        <w:pStyle w:val="pheading"/>
      </w:pPr>
      <w:r>
        <w:t>EXÉCUTION / MISE EN ŒUVRE</w:t>
      </w:r>
    </w:p>
    <w:p w14:paraId="3F39ACD3" w14:textId="77777777" w:rsidR="00DF410E" w:rsidRDefault="00CE7F43">
      <w:pPr>
        <w:pStyle w:val="pheading"/>
      </w:pPr>
      <w:r>
        <w:t>- Notes d’exécution complémentaires</w:t>
      </w:r>
    </w:p>
    <w:p w14:paraId="22A7EC67" w14:textId="77777777" w:rsidR="00DF410E" w:rsidRDefault="00CE7F43">
      <w:r>
        <w:rPr>
          <w:rStyle w:val="facultChar"/>
        </w:rPr>
        <w:t>Le présent article comprend également des coupures thermiques : Des dispositifs adéquats sont utilisés pour éviter tout pont thermique.</w:t>
      </w:r>
    </w:p>
    <w:p w14:paraId="1F24E56A" w14:textId="77777777" w:rsidR="00DF410E" w:rsidRDefault="00CE7F43">
      <w:pPr>
        <w:pStyle w:val="pheading"/>
      </w:pPr>
      <w:r>
        <w:t>MESURAGE</w:t>
      </w:r>
    </w:p>
    <w:p w14:paraId="6581DD9C" w14:textId="77777777" w:rsidR="00DF410E" w:rsidRDefault="00CE7F43">
      <w:pPr>
        <w:pStyle w:val="pheading"/>
      </w:pPr>
      <w:r>
        <w:t>- unité de mesure:</w:t>
      </w:r>
    </w:p>
    <w:p w14:paraId="421F9C2A" w14:textId="77777777" w:rsidR="00DF410E" w:rsidRDefault="00CE7F43">
      <w:r>
        <w:rPr>
          <w:b/>
        </w:rPr>
        <w:t>COLONNE</w:t>
      </w:r>
    </w:p>
    <w:p w14:paraId="51B6BFB6" w14:textId="77777777" w:rsidR="00DF410E" w:rsidRDefault="00CE7F43">
      <w:r>
        <w:rPr>
          <w:rStyle w:val="optioncarChar"/>
        </w:rPr>
        <w:t>kg </w:t>
      </w:r>
      <w:r>
        <w:t xml:space="preserve">(par défaut) </w:t>
      </w:r>
      <w:r>
        <w:rPr>
          <w:rStyle w:val="optioncarChar"/>
        </w:rPr>
        <w:t>/ m / pc.</w:t>
      </w:r>
    </w:p>
    <w:p w14:paraId="6AE59BC1" w14:textId="77777777" w:rsidR="00DF410E" w:rsidRDefault="00CE7F43">
      <w:r>
        <w:rPr>
          <w:b/>
          <w:i/>
        </w:rPr>
        <w:t>(Soit par défaut)</w:t>
      </w:r>
    </w:p>
    <w:p w14:paraId="059537DF" w14:textId="77777777" w:rsidR="00DF410E" w:rsidRDefault="00CE7F43">
      <w:r>
        <w:rPr>
          <w:rStyle w:val="soitChar"/>
        </w:rPr>
        <w:t> 1. kg.</w:t>
      </w:r>
    </w:p>
    <w:p w14:paraId="488D2A1F" w14:textId="77777777" w:rsidR="00DF410E" w:rsidRDefault="00CE7F43">
      <w:r>
        <w:rPr>
          <w:b/>
          <w:i/>
        </w:rPr>
        <w:t>(Soit)</w:t>
      </w:r>
    </w:p>
    <w:p w14:paraId="6A95C55F" w14:textId="77777777" w:rsidR="00DF410E" w:rsidRDefault="00CE7F43">
      <w:r>
        <w:rPr>
          <w:rStyle w:val="soitChar"/>
        </w:rPr>
        <w:t>  2 ou 3. m</w:t>
      </w:r>
    </w:p>
    <w:p w14:paraId="0EC1ACC0" w14:textId="77777777" w:rsidR="00DF410E" w:rsidRDefault="00CE7F43">
      <w:r>
        <w:rPr>
          <w:b/>
          <w:i/>
        </w:rPr>
        <w:t>(Soit)</w:t>
      </w:r>
    </w:p>
    <w:p w14:paraId="370CF00E" w14:textId="77777777" w:rsidR="00DF410E" w:rsidRDefault="00CE7F43">
      <w:r>
        <w:rPr>
          <w:rStyle w:val="soitChar"/>
        </w:rPr>
        <w:t>  4 ou 5. pc</w:t>
      </w:r>
    </w:p>
    <w:p w14:paraId="06622CAB" w14:textId="77777777" w:rsidR="00DF410E" w:rsidRDefault="00CE7F43">
      <w:r>
        <w:rPr>
          <w:rStyle w:val="soitChar"/>
        </w:rPr>
        <w:t> </w:t>
      </w:r>
    </w:p>
    <w:p w14:paraId="7F585EF4" w14:textId="77777777" w:rsidR="00DF410E" w:rsidRDefault="00CE7F43">
      <w:r>
        <w:rPr>
          <w:b/>
        </w:rPr>
        <w:t>FLOCAGE</w:t>
      </w:r>
    </w:p>
    <w:p w14:paraId="7C3FB7BD" w14:textId="77777777" w:rsidR="00DF410E" w:rsidRDefault="00CE7F43">
      <w:r>
        <w:t>Le traitement au feu par flocage est compté séparément et fait l’objet d’un (de) poste(s) supplémentaire(s) dans le présent article :</w:t>
      </w:r>
    </w:p>
    <w:p w14:paraId="3378CCAA" w14:textId="77777777" w:rsidR="00DF410E" w:rsidRDefault="00CE7F43">
      <w:r>
        <w:rPr>
          <w:rStyle w:val="optioncarChar"/>
        </w:rPr>
        <w:t xml:space="preserve">m² </w:t>
      </w:r>
      <w:r>
        <w:t>(par défaut)</w:t>
      </w:r>
      <w:r>
        <w:rPr>
          <w:rStyle w:val="optioncarChar"/>
        </w:rPr>
        <w:t xml:space="preserve"> / m / pc.</w:t>
      </w:r>
    </w:p>
    <w:p w14:paraId="3C506B1A" w14:textId="77777777" w:rsidR="00DF410E" w:rsidRDefault="00CE7F43">
      <w:r>
        <w:rPr>
          <w:b/>
          <w:i/>
        </w:rPr>
        <w:t>(Soit par défaut)</w:t>
      </w:r>
    </w:p>
    <w:p w14:paraId="74299A03" w14:textId="77777777" w:rsidR="00DF410E" w:rsidRDefault="00CE7F43">
      <w:r>
        <w:rPr>
          <w:rStyle w:val="soitChar"/>
        </w:rPr>
        <w:t> 1. m².</w:t>
      </w:r>
    </w:p>
    <w:p w14:paraId="7B064F8F" w14:textId="77777777" w:rsidR="00DF410E" w:rsidRDefault="00CE7F43">
      <w:r>
        <w:rPr>
          <w:b/>
          <w:i/>
        </w:rPr>
        <w:t>(Soit)</w:t>
      </w:r>
    </w:p>
    <w:p w14:paraId="3C27257F" w14:textId="77777777" w:rsidR="00DF410E" w:rsidRDefault="00CE7F43">
      <w:r>
        <w:rPr>
          <w:rStyle w:val="soitChar"/>
        </w:rPr>
        <w:t> 2. m</w:t>
      </w:r>
    </w:p>
    <w:p w14:paraId="44D65F6A" w14:textId="77777777" w:rsidR="00DF410E" w:rsidRDefault="00CE7F43">
      <w:r>
        <w:rPr>
          <w:b/>
          <w:i/>
        </w:rPr>
        <w:t>(Soit)</w:t>
      </w:r>
    </w:p>
    <w:p w14:paraId="6F173D06" w14:textId="77777777" w:rsidR="00DF410E" w:rsidRDefault="00CE7F43">
      <w:r>
        <w:rPr>
          <w:rStyle w:val="soitChar"/>
        </w:rPr>
        <w:t> 3. pc</w:t>
      </w:r>
    </w:p>
    <w:p w14:paraId="698CEF03" w14:textId="77777777" w:rsidR="00DF410E" w:rsidRDefault="00DF410E"/>
    <w:p w14:paraId="5EBA2C37" w14:textId="77777777" w:rsidR="00DF410E" w:rsidRDefault="00CE7F43">
      <w:r>
        <w:rPr>
          <w:b/>
        </w:rPr>
        <w:t>COUPURE THERMIQUE</w:t>
      </w:r>
    </w:p>
    <w:p w14:paraId="273F29ED" w14:textId="77777777" w:rsidR="00DF410E" w:rsidRDefault="00CE7F43">
      <w:r>
        <w:rPr>
          <w:rStyle w:val="optioncarChar"/>
        </w:rPr>
        <w:t>pièce</w:t>
      </w:r>
    </w:p>
    <w:p w14:paraId="3D382ACF" w14:textId="77777777" w:rsidR="00DF410E" w:rsidRDefault="00CE7F43">
      <w:pPr>
        <w:pStyle w:val="pheading"/>
      </w:pPr>
      <w:r>
        <w:t>- code de mesurage:</w:t>
      </w:r>
    </w:p>
    <w:p w14:paraId="2ECF2C81" w14:textId="77777777" w:rsidR="00DF410E" w:rsidRDefault="00CE7F43">
      <w:r>
        <w:rPr>
          <w:b/>
        </w:rPr>
        <w:t>COLONNE</w:t>
      </w:r>
    </w:p>
    <w:p w14:paraId="5CEB1A84" w14:textId="77777777" w:rsidR="00DF410E" w:rsidRDefault="00CE7F43">
      <w:r>
        <w:t>Distinctions faites suivant les types de profilés, nuances et qualités d’acier.</w:t>
      </w:r>
    </w:p>
    <w:p w14:paraId="426528FF"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3DE29FD2" w14:textId="77777777" w:rsidR="00DF410E" w:rsidRDefault="00CE7F43">
      <w:r>
        <w:rPr>
          <w:b/>
          <w:i/>
        </w:rPr>
        <w:t>(Soit par défaut)</w:t>
      </w:r>
    </w:p>
    <w:p w14:paraId="3A1A0552"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34ADFF3" w14:textId="77777777" w:rsidR="00DF410E" w:rsidRDefault="00CE7F43">
      <w:r>
        <w:rPr>
          <w:b/>
          <w:i/>
        </w:rPr>
        <w:t>(Soit)</w:t>
      </w:r>
    </w:p>
    <w:p w14:paraId="3A7E39DB"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77E5277" w14:textId="77777777" w:rsidR="00DF410E" w:rsidRDefault="00CE7F43">
      <w:r>
        <w:rPr>
          <w:b/>
          <w:i/>
        </w:rPr>
        <w:t>(Soit)</w:t>
      </w:r>
    </w:p>
    <w:p w14:paraId="642E52C7"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02A9B4B" w14:textId="77777777" w:rsidR="00DF410E" w:rsidRDefault="00CE7F43">
      <w:r>
        <w:rPr>
          <w:b/>
          <w:i/>
        </w:rPr>
        <w:t>(Soit)</w:t>
      </w:r>
    </w:p>
    <w:p w14:paraId="5D9487E0"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262D9157" w14:textId="77777777" w:rsidR="00DF410E" w:rsidRDefault="00CE7F43">
      <w:r>
        <w:rPr>
          <w:b/>
          <w:i/>
        </w:rPr>
        <w:t>(Soit)</w:t>
      </w:r>
    </w:p>
    <w:p w14:paraId="3D2D7ED6"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567B57B" w14:textId="77777777" w:rsidR="00DF410E" w:rsidRDefault="00DF410E"/>
    <w:p w14:paraId="46A9EC13" w14:textId="77777777" w:rsidR="00DF410E" w:rsidRDefault="00CE7F43">
      <w:r>
        <w:rPr>
          <w:b/>
        </w:rPr>
        <w:t>FLOCAGE</w:t>
      </w:r>
    </w:p>
    <w:p w14:paraId="7FD27E2C"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93F660E" w14:textId="77777777" w:rsidR="00DF410E" w:rsidRDefault="00CE7F43">
      <w:r>
        <w:rPr>
          <w:b/>
          <w:i/>
        </w:rPr>
        <w:t>(Soit par défaut)</w:t>
      </w:r>
    </w:p>
    <w:p w14:paraId="203AFB88"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1D05F16" w14:textId="77777777" w:rsidR="00DF410E" w:rsidRDefault="00CE7F43">
      <w:r>
        <w:rPr>
          <w:b/>
          <w:i/>
        </w:rPr>
        <w:t>(Soit)</w:t>
      </w:r>
    </w:p>
    <w:p w14:paraId="01DC77D5"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1EDD9A2" w14:textId="77777777" w:rsidR="00DF410E" w:rsidRDefault="00CE7F43">
      <w:r>
        <w:rPr>
          <w:b/>
          <w:i/>
        </w:rPr>
        <w:t>(Soit)</w:t>
      </w:r>
    </w:p>
    <w:p w14:paraId="1CC2D8A0"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79FD2225" w14:textId="77777777" w:rsidR="00DF410E" w:rsidRDefault="00DF410E"/>
    <w:p w14:paraId="7F13EE8F" w14:textId="77777777" w:rsidR="00DF410E" w:rsidRDefault="00CE7F43">
      <w:pPr>
        <w:spacing w:after="0" w:line="256" w:lineRule="auto"/>
        <w:jc w:val="both"/>
      </w:pPr>
      <w:r>
        <w:rPr>
          <w:b/>
        </w:rPr>
        <w:t>COUPURE THERMIQUE</w:t>
      </w:r>
    </w:p>
    <w:p w14:paraId="3AB3CD60" w14:textId="77777777" w:rsidR="00DF410E" w:rsidRDefault="00CE7F43">
      <w:r>
        <w:rPr>
          <w:rStyle w:val="optioncarChar"/>
        </w:rPr>
        <w:t>À la pièce, ventilée suivant les types d’éléments</w:t>
      </w:r>
    </w:p>
    <w:p w14:paraId="1EDAA53B" w14:textId="77777777" w:rsidR="00DF410E" w:rsidRDefault="00CE7F43">
      <w:pPr>
        <w:pStyle w:val="pheading"/>
      </w:pPr>
      <w:r>
        <w:t>- nature du marché:</w:t>
      </w:r>
    </w:p>
    <w:p w14:paraId="45019B9B" w14:textId="77777777" w:rsidR="00DF410E" w:rsidRDefault="00DF410E"/>
    <w:p w14:paraId="69BB549C" w14:textId="77777777" w:rsidR="00DF410E" w:rsidRDefault="00DF410E"/>
    <w:p w14:paraId="52A9D391" w14:textId="77777777" w:rsidR="00DF410E" w:rsidRDefault="00CE7F43">
      <w:r>
        <w:rPr>
          <w:rStyle w:val="optioncarChar"/>
        </w:rPr>
        <w:t>QF</w:t>
      </w:r>
      <w:r>
        <w:t xml:space="preserve"> (par défaut) </w:t>
      </w:r>
      <w:r>
        <w:rPr>
          <w:rStyle w:val="optioncarChar"/>
        </w:rPr>
        <w:t>/ QP</w:t>
      </w:r>
    </w:p>
    <w:p w14:paraId="582634EC" w14:textId="77777777" w:rsidR="00DF410E" w:rsidRDefault="00CE7F43">
      <w:pPr>
        <w:pStyle w:val="soit"/>
      </w:pPr>
      <w:r>
        <w:rPr>
          <w:rStyle w:val="normalChar"/>
          <w:b/>
          <w:i/>
          <w:color w:val="000000"/>
        </w:rPr>
        <w:t xml:space="preserve">(Soit par défaut) </w:t>
      </w:r>
    </w:p>
    <w:p w14:paraId="4CC91401" w14:textId="77777777" w:rsidR="00DF410E" w:rsidRDefault="00CE7F43">
      <w:r>
        <w:rPr>
          <w:rStyle w:val="soitChar"/>
        </w:rPr>
        <w:t xml:space="preserve">1. QF </w:t>
      </w:r>
    </w:p>
    <w:p w14:paraId="59115523" w14:textId="77777777" w:rsidR="00DF410E" w:rsidRDefault="00CE7F43">
      <w:r>
        <w:rPr>
          <w:b/>
          <w:i/>
        </w:rPr>
        <w:t>(Soit)</w:t>
      </w:r>
    </w:p>
    <w:p w14:paraId="08FBF357" w14:textId="77777777" w:rsidR="00DF410E" w:rsidRDefault="00CE7F43">
      <w:r>
        <w:rPr>
          <w:rStyle w:val="soitChar"/>
        </w:rPr>
        <w:t>2. QP</w:t>
      </w:r>
    </w:p>
    <w:p w14:paraId="44B2F8FE" w14:textId="77777777" w:rsidR="00DF410E" w:rsidRDefault="00CE7F43">
      <w:pPr>
        <w:pStyle w:val="pheading"/>
      </w:pPr>
      <w:r>
        <w:t>AIDE</w:t>
      </w:r>
    </w:p>
    <w:p w14:paraId="2106FE71" w14:textId="77777777" w:rsidR="00DF410E" w:rsidRDefault="00DF410E"/>
    <w:p w14:paraId="245C0A8C" w14:textId="77777777" w:rsidR="00DF410E" w:rsidRDefault="00DF410E"/>
    <w:p w14:paraId="7A0D59FF" w14:textId="77777777" w:rsidR="00DF410E" w:rsidRDefault="00CE7F43">
      <w:pPr>
        <w:spacing w:line="256" w:lineRule="auto"/>
      </w:pPr>
      <w:r>
        <w:rPr>
          <w:sz w:val="24"/>
        </w:rPr>
        <w:t>Exemple pour métré :</w:t>
      </w:r>
    </w:p>
    <w:p w14:paraId="6D42943B" w14:textId="77777777" w:rsidR="00DF410E" w:rsidRDefault="00CE7F43">
      <w:pPr>
        <w:spacing w:line="256" w:lineRule="auto"/>
      </w:pPr>
      <w:r>
        <w:rPr>
          <w:sz w:val="24"/>
        </w:rPr>
        <w:t>HEA 200       S235JR         Z15     galvanisé à chaud</w:t>
      </w:r>
    </w:p>
    <w:p w14:paraId="2E3D7A5F" w14:textId="77777777" w:rsidR="00DF410E" w:rsidRDefault="00CE7F43">
      <w:pPr>
        <w:spacing w:line="259" w:lineRule="auto"/>
      </w:pPr>
      <w:r>
        <w:rPr>
          <w:sz w:val="24"/>
        </w:rPr>
        <w:t>IPE 360         S355J2                     primaire antirouille</w:t>
      </w:r>
    </w:p>
    <w:p w14:paraId="078C4763" w14:textId="77777777" w:rsidR="00DF410E" w:rsidRDefault="00CE7F43">
      <w:pPr>
        <w:pStyle w:val="Author-eSectionHeading6"/>
      </w:pPr>
      <w:bookmarkStart w:id="1223" w:name="_Toc178838344"/>
      <w:r>
        <w:t>23.14.1b Colonnes reconstituées en profilés d'acier CCTB 01.11</w:t>
      </w:r>
      <w:bookmarkEnd w:id="1223"/>
    </w:p>
    <w:p w14:paraId="2B9B4F46" w14:textId="77777777" w:rsidR="00DF410E" w:rsidRDefault="00CE7F43">
      <w:pPr>
        <w:pStyle w:val="pheading"/>
      </w:pPr>
      <w:bookmarkStart w:id="1224" w:name="494"/>
      <w:bookmarkEnd w:id="1224"/>
      <w:r>
        <w:t>DESCRIPTION</w:t>
      </w:r>
    </w:p>
    <w:p w14:paraId="003CEDA6" w14:textId="77777777" w:rsidR="00DF410E" w:rsidRDefault="00CE7F43">
      <w:pPr>
        <w:pStyle w:val="pheading"/>
      </w:pPr>
      <w:r>
        <w:t>- Définition / Comprend</w:t>
      </w:r>
    </w:p>
    <w:p w14:paraId="3C75BC24" w14:textId="77777777" w:rsidR="00DF410E" w:rsidRDefault="00DF410E"/>
    <w:p w14:paraId="0BBF8BD2" w14:textId="77777777" w:rsidR="00DF410E" w:rsidRDefault="00CE7F43">
      <w:r>
        <w:t>Il s'agit de l’ensemble des colonnes reconstituées soudées à partir d’éléments en acier laminés à chaud conformes à la [NBN EN 10025 série]. L’assemblage de ces éléments est conforme à la [NBN EN 1090-2]. </w:t>
      </w:r>
    </w:p>
    <w:p w14:paraId="4E63B7E0" w14:textId="77777777" w:rsidR="00DF410E" w:rsidRDefault="00CE7F43">
      <w:pPr>
        <w:pStyle w:val="pheading"/>
      </w:pPr>
      <w:r>
        <w:t>- Localisation</w:t>
      </w:r>
    </w:p>
    <w:p w14:paraId="6291FC3E" w14:textId="77777777" w:rsidR="00DF410E" w:rsidRDefault="00DF410E"/>
    <w:p w14:paraId="1586B7A2"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6C3F84E9" w14:textId="77777777" w:rsidR="00DF410E" w:rsidRDefault="00CE7F43">
      <w:pPr>
        <w:pStyle w:val="pheading"/>
      </w:pPr>
      <w:r>
        <w:t>EXÉCUTION / MISE EN ŒUVRE</w:t>
      </w:r>
    </w:p>
    <w:p w14:paraId="5BDACE49" w14:textId="77777777" w:rsidR="00DF410E" w:rsidRDefault="00CE7F43">
      <w:pPr>
        <w:pStyle w:val="pheading"/>
      </w:pPr>
      <w:r>
        <w:t>- Notes d’exécution complémentaires</w:t>
      </w:r>
    </w:p>
    <w:p w14:paraId="7428B93B" w14:textId="77777777" w:rsidR="00DF410E" w:rsidRDefault="00CE7F43">
      <w:r>
        <w:rPr>
          <w:rStyle w:val="facultChar"/>
        </w:rPr>
        <w:t xml:space="preserve"> Le présent article comprend également des coupures thermiques : Des dispositifs adéquats sont utilisés pour éviter tout pont thermique.</w:t>
      </w:r>
    </w:p>
    <w:p w14:paraId="59571028" w14:textId="77777777" w:rsidR="00DF410E" w:rsidRDefault="00CE7F43">
      <w:pPr>
        <w:pStyle w:val="pheading"/>
      </w:pPr>
      <w:r>
        <w:t>MESURAGE</w:t>
      </w:r>
    </w:p>
    <w:p w14:paraId="7C13B4F4" w14:textId="77777777" w:rsidR="00DF410E" w:rsidRDefault="00CE7F43">
      <w:pPr>
        <w:pStyle w:val="pheading"/>
      </w:pPr>
      <w:r>
        <w:t>- unité de mesure:</w:t>
      </w:r>
    </w:p>
    <w:p w14:paraId="1B120076" w14:textId="77777777" w:rsidR="00DF410E" w:rsidRDefault="00DF410E"/>
    <w:p w14:paraId="1CA8603F" w14:textId="77777777" w:rsidR="00DF410E" w:rsidRDefault="00DF410E"/>
    <w:p w14:paraId="02811F44" w14:textId="77777777" w:rsidR="00DF410E" w:rsidRDefault="00CE7F43">
      <w:r>
        <w:rPr>
          <w:b/>
        </w:rPr>
        <w:t>COLONNE</w:t>
      </w:r>
    </w:p>
    <w:p w14:paraId="2E992708" w14:textId="77777777" w:rsidR="00DF410E" w:rsidRDefault="00CE7F43">
      <w:r>
        <w:rPr>
          <w:rStyle w:val="optioncarChar"/>
        </w:rPr>
        <w:t>kg </w:t>
      </w:r>
      <w:r>
        <w:t xml:space="preserve">(par défaut) </w:t>
      </w:r>
      <w:r>
        <w:rPr>
          <w:rStyle w:val="optioncarChar"/>
        </w:rPr>
        <w:t>/ m / pc.</w:t>
      </w:r>
    </w:p>
    <w:p w14:paraId="447B21A5" w14:textId="77777777" w:rsidR="00DF410E" w:rsidRDefault="00CE7F43">
      <w:r>
        <w:rPr>
          <w:b/>
          <w:i/>
        </w:rPr>
        <w:t>(Soit par défaut)</w:t>
      </w:r>
    </w:p>
    <w:p w14:paraId="42C68936" w14:textId="77777777" w:rsidR="00DF410E" w:rsidRDefault="00CE7F43">
      <w:r>
        <w:rPr>
          <w:rStyle w:val="soitChar"/>
        </w:rPr>
        <w:t> 1. kg.</w:t>
      </w:r>
    </w:p>
    <w:p w14:paraId="558AC764" w14:textId="77777777" w:rsidR="00DF410E" w:rsidRDefault="00CE7F43">
      <w:r>
        <w:rPr>
          <w:b/>
          <w:i/>
        </w:rPr>
        <w:t>(Soit)</w:t>
      </w:r>
    </w:p>
    <w:p w14:paraId="48101AF3" w14:textId="77777777" w:rsidR="00DF410E" w:rsidRDefault="00CE7F43">
      <w:r>
        <w:rPr>
          <w:rStyle w:val="soitChar"/>
        </w:rPr>
        <w:t>  2 ou 3. m</w:t>
      </w:r>
    </w:p>
    <w:p w14:paraId="2CE6AB07" w14:textId="77777777" w:rsidR="00DF410E" w:rsidRDefault="00CE7F43">
      <w:r>
        <w:rPr>
          <w:b/>
          <w:i/>
        </w:rPr>
        <w:t>(Soit)</w:t>
      </w:r>
    </w:p>
    <w:p w14:paraId="283C01B6" w14:textId="77777777" w:rsidR="00DF410E" w:rsidRDefault="00CE7F43">
      <w:r>
        <w:rPr>
          <w:rStyle w:val="soitChar"/>
        </w:rPr>
        <w:t>  4 ou 5. pc</w:t>
      </w:r>
    </w:p>
    <w:p w14:paraId="211A789D" w14:textId="77777777" w:rsidR="00DF410E" w:rsidRDefault="00CE7F43">
      <w:r>
        <w:rPr>
          <w:rStyle w:val="soitChar"/>
        </w:rPr>
        <w:t> </w:t>
      </w:r>
    </w:p>
    <w:p w14:paraId="0F91DC2E" w14:textId="77777777" w:rsidR="00DF410E" w:rsidRDefault="00CE7F43">
      <w:r>
        <w:rPr>
          <w:b/>
        </w:rPr>
        <w:t>FLOCAGE</w:t>
      </w:r>
    </w:p>
    <w:p w14:paraId="69B88C94" w14:textId="77777777" w:rsidR="00DF410E" w:rsidRDefault="00CE7F43">
      <w:r>
        <w:t>Le traitement au feu par flocage est compté séparément et fait l’objet d’un (de) poste(s) supplémentaire(s) dans le présent article :</w:t>
      </w:r>
    </w:p>
    <w:p w14:paraId="67F5E89F" w14:textId="77777777" w:rsidR="00DF410E" w:rsidRDefault="00CE7F43">
      <w:r>
        <w:rPr>
          <w:rStyle w:val="optioncarChar"/>
        </w:rPr>
        <w:t xml:space="preserve">m² </w:t>
      </w:r>
      <w:r>
        <w:t>(par défaut)</w:t>
      </w:r>
      <w:r>
        <w:rPr>
          <w:rStyle w:val="optioncarChar"/>
        </w:rPr>
        <w:t xml:space="preserve"> / m / pc.</w:t>
      </w:r>
    </w:p>
    <w:p w14:paraId="5FEA1A50" w14:textId="77777777" w:rsidR="00DF410E" w:rsidRDefault="00CE7F43">
      <w:r>
        <w:rPr>
          <w:b/>
          <w:i/>
        </w:rPr>
        <w:t>(Soit par défaut)</w:t>
      </w:r>
    </w:p>
    <w:p w14:paraId="33006740" w14:textId="77777777" w:rsidR="00DF410E" w:rsidRDefault="00CE7F43">
      <w:r>
        <w:rPr>
          <w:rStyle w:val="soitChar"/>
        </w:rPr>
        <w:t> 1. m².</w:t>
      </w:r>
    </w:p>
    <w:p w14:paraId="3185C337" w14:textId="77777777" w:rsidR="00DF410E" w:rsidRDefault="00CE7F43">
      <w:r>
        <w:rPr>
          <w:b/>
          <w:i/>
        </w:rPr>
        <w:t>(Soit)</w:t>
      </w:r>
    </w:p>
    <w:p w14:paraId="739EDAF6" w14:textId="77777777" w:rsidR="00DF410E" w:rsidRDefault="00CE7F43">
      <w:r>
        <w:rPr>
          <w:rStyle w:val="soitChar"/>
        </w:rPr>
        <w:t> 2. m</w:t>
      </w:r>
    </w:p>
    <w:p w14:paraId="3043023C" w14:textId="77777777" w:rsidR="00DF410E" w:rsidRDefault="00CE7F43">
      <w:r>
        <w:rPr>
          <w:b/>
          <w:i/>
        </w:rPr>
        <w:t>(Soit)</w:t>
      </w:r>
    </w:p>
    <w:p w14:paraId="15B97CCF" w14:textId="77777777" w:rsidR="00DF410E" w:rsidRDefault="00CE7F43">
      <w:r>
        <w:rPr>
          <w:rStyle w:val="soitChar"/>
        </w:rPr>
        <w:t> 3. pc</w:t>
      </w:r>
    </w:p>
    <w:p w14:paraId="07F5CFD8" w14:textId="77777777" w:rsidR="00DF410E" w:rsidRDefault="00DF410E"/>
    <w:p w14:paraId="7C333F3F" w14:textId="77777777" w:rsidR="00DF410E" w:rsidRDefault="00CE7F43">
      <w:r>
        <w:rPr>
          <w:b/>
        </w:rPr>
        <w:t>COUPURE THERMIQUE</w:t>
      </w:r>
    </w:p>
    <w:p w14:paraId="550E536A" w14:textId="77777777" w:rsidR="00DF410E" w:rsidRDefault="00CE7F43">
      <w:r>
        <w:rPr>
          <w:rStyle w:val="optioncarChar"/>
        </w:rPr>
        <w:t>pièce</w:t>
      </w:r>
    </w:p>
    <w:p w14:paraId="21A2E958" w14:textId="77777777" w:rsidR="00DF410E" w:rsidRDefault="00CE7F43">
      <w:pPr>
        <w:pStyle w:val="pheading"/>
      </w:pPr>
      <w:r>
        <w:t>- code de mesurage:</w:t>
      </w:r>
    </w:p>
    <w:p w14:paraId="01DE94A9" w14:textId="77777777" w:rsidR="00DF410E" w:rsidRDefault="00DF410E"/>
    <w:p w14:paraId="52F9DA01" w14:textId="77777777" w:rsidR="00DF410E" w:rsidRDefault="00DF410E"/>
    <w:p w14:paraId="562D4490" w14:textId="77777777" w:rsidR="00DF410E" w:rsidRDefault="00CE7F43">
      <w:r>
        <w:rPr>
          <w:b/>
        </w:rPr>
        <w:t>COLONNE</w:t>
      </w:r>
    </w:p>
    <w:p w14:paraId="21AC1DE2" w14:textId="77777777" w:rsidR="00DF410E" w:rsidRDefault="00CE7F43">
      <w:r>
        <w:t>Distinctions faites suivant les types de profilés, nuances et qualités d’acier.</w:t>
      </w:r>
    </w:p>
    <w:p w14:paraId="63032B36"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0B9D94BB" w14:textId="77777777" w:rsidR="00DF410E" w:rsidRDefault="00CE7F43">
      <w:r>
        <w:rPr>
          <w:b/>
          <w:i/>
        </w:rPr>
        <w:t>(Soit par défaut)</w:t>
      </w:r>
    </w:p>
    <w:p w14:paraId="375F82CE"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6629ED81" w14:textId="77777777" w:rsidR="00DF410E" w:rsidRDefault="00CE7F43">
      <w:r>
        <w:rPr>
          <w:b/>
          <w:i/>
        </w:rPr>
        <w:t>(Soit)</w:t>
      </w:r>
    </w:p>
    <w:p w14:paraId="71895171"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C064540" w14:textId="77777777" w:rsidR="00DF410E" w:rsidRDefault="00CE7F43">
      <w:r>
        <w:rPr>
          <w:b/>
          <w:i/>
        </w:rPr>
        <w:t>(Soit)</w:t>
      </w:r>
    </w:p>
    <w:p w14:paraId="579B82FD"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3FCFC7B" w14:textId="77777777" w:rsidR="00DF410E" w:rsidRDefault="00CE7F43">
      <w:r>
        <w:rPr>
          <w:b/>
          <w:i/>
        </w:rPr>
        <w:t>(Soit)</w:t>
      </w:r>
    </w:p>
    <w:p w14:paraId="1B6EA29F"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E61807B" w14:textId="77777777" w:rsidR="00DF410E" w:rsidRDefault="00CE7F43">
      <w:r>
        <w:rPr>
          <w:b/>
          <w:i/>
        </w:rPr>
        <w:t>(Soit)</w:t>
      </w:r>
    </w:p>
    <w:p w14:paraId="7D8ADCE6"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3496B40" w14:textId="77777777" w:rsidR="00DF410E" w:rsidRDefault="00DF410E"/>
    <w:p w14:paraId="42A44E4A" w14:textId="77777777" w:rsidR="00DF410E" w:rsidRDefault="00CE7F43">
      <w:r>
        <w:rPr>
          <w:b/>
        </w:rPr>
        <w:t>FLOCAGE</w:t>
      </w:r>
    </w:p>
    <w:p w14:paraId="345C5722"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55877C8E" w14:textId="77777777" w:rsidR="00DF410E" w:rsidRDefault="00CE7F43">
      <w:r>
        <w:rPr>
          <w:b/>
          <w:i/>
        </w:rPr>
        <w:t>(Soit par défaut)</w:t>
      </w:r>
    </w:p>
    <w:p w14:paraId="49C23F2F"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3BFEC19F" w14:textId="77777777" w:rsidR="00DF410E" w:rsidRDefault="00CE7F43">
      <w:r>
        <w:rPr>
          <w:b/>
          <w:i/>
        </w:rPr>
        <w:t>(Soit)</w:t>
      </w:r>
    </w:p>
    <w:p w14:paraId="3756B88B"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4F286CA" w14:textId="77777777" w:rsidR="00DF410E" w:rsidRDefault="00CE7F43">
      <w:r>
        <w:rPr>
          <w:b/>
          <w:i/>
        </w:rPr>
        <w:t>(Soit)</w:t>
      </w:r>
    </w:p>
    <w:p w14:paraId="3729A224"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533DFFBE" w14:textId="77777777" w:rsidR="00DF410E" w:rsidRDefault="00DF410E"/>
    <w:p w14:paraId="0C88EC80" w14:textId="77777777" w:rsidR="00DF410E" w:rsidRDefault="00CE7F43">
      <w:pPr>
        <w:spacing w:after="0" w:line="256" w:lineRule="auto"/>
        <w:jc w:val="both"/>
      </w:pPr>
      <w:r>
        <w:rPr>
          <w:b/>
        </w:rPr>
        <w:t>COUPURE THERMIQUE</w:t>
      </w:r>
    </w:p>
    <w:p w14:paraId="7BE5A11F" w14:textId="77777777" w:rsidR="00DF410E" w:rsidRDefault="00CE7F43">
      <w:r>
        <w:rPr>
          <w:rStyle w:val="optioncarChar"/>
        </w:rPr>
        <w:t>À la pièce, ventilée suivant les types d’éléments</w:t>
      </w:r>
    </w:p>
    <w:p w14:paraId="33630C10" w14:textId="77777777" w:rsidR="00DF410E" w:rsidRDefault="00CE7F43">
      <w:pPr>
        <w:pStyle w:val="pheading"/>
      </w:pPr>
      <w:r>
        <w:t>- nature du marché:</w:t>
      </w:r>
    </w:p>
    <w:p w14:paraId="79D28791" w14:textId="77777777" w:rsidR="00DF410E" w:rsidRDefault="00DF410E"/>
    <w:p w14:paraId="1CA7CA00" w14:textId="77777777" w:rsidR="00DF410E" w:rsidRDefault="00DF410E"/>
    <w:p w14:paraId="6BFD3372" w14:textId="77777777" w:rsidR="00DF410E" w:rsidRDefault="00CE7F43">
      <w:r>
        <w:rPr>
          <w:rStyle w:val="optioncarChar"/>
        </w:rPr>
        <w:t>QF</w:t>
      </w:r>
      <w:r>
        <w:t xml:space="preserve"> (par défaut) </w:t>
      </w:r>
      <w:r>
        <w:rPr>
          <w:rStyle w:val="optioncarChar"/>
        </w:rPr>
        <w:t>/ QP</w:t>
      </w:r>
    </w:p>
    <w:p w14:paraId="6BAB8742" w14:textId="77777777" w:rsidR="00DF410E" w:rsidRDefault="00CE7F43">
      <w:pPr>
        <w:pStyle w:val="soit"/>
      </w:pPr>
      <w:r>
        <w:rPr>
          <w:rStyle w:val="normalChar"/>
          <w:b/>
          <w:i/>
          <w:color w:val="000000"/>
        </w:rPr>
        <w:t xml:space="preserve">(Soit par défaut) </w:t>
      </w:r>
    </w:p>
    <w:p w14:paraId="2E70F014" w14:textId="77777777" w:rsidR="00DF410E" w:rsidRDefault="00CE7F43">
      <w:r>
        <w:rPr>
          <w:rStyle w:val="soitChar"/>
        </w:rPr>
        <w:t xml:space="preserve">1. QF </w:t>
      </w:r>
    </w:p>
    <w:p w14:paraId="3DB707E8" w14:textId="77777777" w:rsidR="00DF410E" w:rsidRDefault="00CE7F43">
      <w:r>
        <w:rPr>
          <w:b/>
          <w:i/>
        </w:rPr>
        <w:t>(Soit)</w:t>
      </w:r>
    </w:p>
    <w:p w14:paraId="31B7248D" w14:textId="77777777" w:rsidR="00DF410E" w:rsidRDefault="00CE7F43">
      <w:r>
        <w:rPr>
          <w:rStyle w:val="soitChar"/>
        </w:rPr>
        <w:t>2. QP</w:t>
      </w:r>
    </w:p>
    <w:p w14:paraId="5A0203D2" w14:textId="77777777" w:rsidR="00DF410E" w:rsidRDefault="00CE7F43">
      <w:pPr>
        <w:pStyle w:val="Author-eSectionHeading6"/>
      </w:pPr>
      <w:bookmarkStart w:id="1225" w:name="_Toc178838345"/>
      <w:r>
        <w:t>23.14.1c Colonnes en treillis en acier CCTB 01.11</w:t>
      </w:r>
      <w:bookmarkEnd w:id="1225"/>
    </w:p>
    <w:p w14:paraId="1A597DE3" w14:textId="77777777" w:rsidR="00DF410E" w:rsidRDefault="00CE7F43">
      <w:pPr>
        <w:pStyle w:val="pheading"/>
      </w:pPr>
      <w:r>
        <w:t>DESCRIPTION</w:t>
      </w:r>
    </w:p>
    <w:p w14:paraId="763F24D5" w14:textId="77777777" w:rsidR="00DF410E" w:rsidRDefault="00CE7F43">
      <w:pPr>
        <w:pStyle w:val="pheading"/>
      </w:pPr>
      <w:r>
        <w:t>- Définition / Comprend</w:t>
      </w:r>
    </w:p>
    <w:p w14:paraId="6F75087F" w14:textId="77777777" w:rsidR="00DF410E" w:rsidRDefault="00DF410E"/>
    <w:p w14:paraId="77D3D98F" w14:textId="77777777" w:rsidR="00DF410E" w:rsidRDefault="00CE7F43">
      <w:r>
        <w:t>Il s'agit de l’ensemble des colonnes en treillis constituées d’éléments en acier laminés à chaud conformes à la [NBN EN 10025 série]. Une colonne en treillis est formée d’éléments assemblés entre eux formant une triangulation. Cette colonne comprend deux membrures reliées par des éléments horizontaux et/ou obliques (montants et/ou diagonales).  La réalisation de cette colonne est conforme à la [NBN EN 1090-2]. </w:t>
      </w:r>
    </w:p>
    <w:p w14:paraId="154E32AC" w14:textId="77777777" w:rsidR="00DF410E" w:rsidRDefault="00CE7F43">
      <w:pPr>
        <w:pStyle w:val="pheading"/>
      </w:pPr>
      <w:r>
        <w:t>- Localisation</w:t>
      </w:r>
    </w:p>
    <w:p w14:paraId="73FA9D5D" w14:textId="77777777" w:rsidR="00DF410E" w:rsidRDefault="00DF410E"/>
    <w:p w14:paraId="7073F16B"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2B0180CC" w14:textId="77777777" w:rsidR="00DF410E" w:rsidRDefault="00CE7F43">
      <w:pPr>
        <w:pStyle w:val="pheading"/>
      </w:pPr>
      <w:r>
        <w:t>EXÉCUTION / MISE EN ŒUVRE</w:t>
      </w:r>
    </w:p>
    <w:p w14:paraId="73B6CD60" w14:textId="77777777" w:rsidR="00DF410E" w:rsidRDefault="00CE7F43">
      <w:pPr>
        <w:pStyle w:val="pheading"/>
      </w:pPr>
      <w:r>
        <w:t>- Notes d’exécution complémentaires</w:t>
      </w:r>
    </w:p>
    <w:p w14:paraId="46F1CFB7" w14:textId="77777777" w:rsidR="00DF410E" w:rsidRDefault="00CE7F43">
      <w:r>
        <w:rPr>
          <w:rStyle w:val="facultChar"/>
        </w:rPr>
        <w:t xml:space="preserve"> Le présent article comprend également des coupures thermiques : Des dispositifs adéquats sont utilisés pour éviter tout pont thermique.</w:t>
      </w:r>
    </w:p>
    <w:p w14:paraId="45BA726D" w14:textId="77777777" w:rsidR="00DF410E" w:rsidRDefault="00CE7F43">
      <w:pPr>
        <w:pStyle w:val="pheading"/>
      </w:pPr>
      <w:r>
        <w:t>MESURAGE</w:t>
      </w:r>
    </w:p>
    <w:p w14:paraId="1CC49C5D" w14:textId="77777777" w:rsidR="00DF410E" w:rsidRDefault="00CE7F43">
      <w:pPr>
        <w:pStyle w:val="pheading"/>
      </w:pPr>
      <w:r>
        <w:t>- unité de mesure:</w:t>
      </w:r>
    </w:p>
    <w:p w14:paraId="3DAF4A51" w14:textId="77777777" w:rsidR="00DF410E" w:rsidRDefault="00DF410E"/>
    <w:p w14:paraId="08C2D78D" w14:textId="77777777" w:rsidR="00DF410E" w:rsidRDefault="00DF410E"/>
    <w:p w14:paraId="35D3F2B2" w14:textId="77777777" w:rsidR="00DF410E" w:rsidRDefault="00CE7F43">
      <w:r>
        <w:rPr>
          <w:b/>
        </w:rPr>
        <w:t>COLONNE</w:t>
      </w:r>
    </w:p>
    <w:p w14:paraId="1F127287" w14:textId="77777777" w:rsidR="00DF410E" w:rsidRDefault="00CE7F43">
      <w:r>
        <w:rPr>
          <w:rStyle w:val="optioncarChar"/>
        </w:rPr>
        <w:t>kg </w:t>
      </w:r>
      <w:r>
        <w:t xml:space="preserve">(par défaut) </w:t>
      </w:r>
      <w:r>
        <w:rPr>
          <w:rStyle w:val="optioncarChar"/>
        </w:rPr>
        <w:t>/ m / pc.</w:t>
      </w:r>
    </w:p>
    <w:p w14:paraId="21C0730C" w14:textId="77777777" w:rsidR="00DF410E" w:rsidRDefault="00CE7F43">
      <w:r>
        <w:rPr>
          <w:b/>
          <w:i/>
        </w:rPr>
        <w:t>(Soit par défaut)</w:t>
      </w:r>
    </w:p>
    <w:p w14:paraId="6F0A4A34" w14:textId="77777777" w:rsidR="00DF410E" w:rsidRDefault="00CE7F43">
      <w:r>
        <w:rPr>
          <w:rStyle w:val="soitChar"/>
        </w:rPr>
        <w:t> 1. kg.</w:t>
      </w:r>
    </w:p>
    <w:p w14:paraId="78CDAB97" w14:textId="77777777" w:rsidR="00DF410E" w:rsidRDefault="00CE7F43">
      <w:r>
        <w:rPr>
          <w:b/>
          <w:i/>
        </w:rPr>
        <w:t>(Soit)</w:t>
      </w:r>
    </w:p>
    <w:p w14:paraId="053CC60E" w14:textId="77777777" w:rsidR="00DF410E" w:rsidRDefault="00CE7F43">
      <w:r>
        <w:rPr>
          <w:rStyle w:val="soitChar"/>
        </w:rPr>
        <w:t>  2 ou 3. m</w:t>
      </w:r>
    </w:p>
    <w:p w14:paraId="0786C6DB" w14:textId="77777777" w:rsidR="00DF410E" w:rsidRDefault="00CE7F43">
      <w:r>
        <w:rPr>
          <w:b/>
          <w:i/>
        </w:rPr>
        <w:t>(Soit)</w:t>
      </w:r>
    </w:p>
    <w:p w14:paraId="588762C6" w14:textId="77777777" w:rsidR="00DF410E" w:rsidRDefault="00CE7F43">
      <w:r>
        <w:rPr>
          <w:rStyle w:val="soitChar"/>
        </w:rPr>
        <w:t>  4 ou 5. pc</w:t>
      </w:r>
    </w:p>
    <w:p w14:paraId="5CE52E01" w14:textId="77777777" w:rsidR="00DF410E" w:rsidRDefault="00CE7F43">
      <w:r>
        <w:rPr>
          <w:rStyle w:val="soitChar"/>
        </w:rPr>
        <w:t> </w:t>
      </w:r>
    </w:p>
    <w:p w14:paraId="5F22C1AA" w14:textId="77777777" w:rsidR="00DF410E" w:rsidRDefault="00CE7F43">
      <w:r>
        <w:rPr>
          <w:b/>
        </w:rPr>
        <w:t>FLOCAGE</w:t>
      </w:r>
    </w:p>
    <w:p w14:paraId="536C86C6" w14:textId="77777777" w:rsidR="00DF410E" w:rsidRDefault="00CE7F43">
      <w:r>
        <w:t>Le traitement au feu par flocage est compté séparément et fait l’objet d’un (de) poste(s) supplémentaire(s) dans le présent article :</w:t>
      </w:r>
    </w:p>
    <w:p w14:paraId="057B48FA" w14:textId="77777777" w:rsidR="00DF410E" w:rsidRDefault="00CE7F43">
      <w:r>
        <w:rPr>
          <w:rStyle w:val="optioncarChar"/>
        </w:rPr>
        <w:t xml:space="preserve">m² </w:t>
      </w:r>
      <w:r>
        <w:t>(par défaut)</w:t>
      </w:r>
      <w:r>
        <w:rPr>
          <w:rStyle w:val="optioncarChar"/>
        </w:rPr>
        <w:t xml:space="preserve"> / m / pc.</w:t>
      </w:r>
    </w:p>
    <w:p w14:paraId="65AB59A3" w14:textId="77777777" w:rsidR="00DF410E" w:rsidRDefault="00CE7F43">
      <w:r>
        <w:rPr>
          <w:b/>
          <w:i/>
        </w:rPr>
        <w:t>(Soit par défaut)</w:t>
      </w:r>
    </w:p>
    <w:p w14:paraId="799AB29B" w14:textId="77777777" w:rsidR="00DF410E" w:rsidRDefault="00CE7F43">
      <w:r>
        <w:rPr>
          <w:rStyle w:val="soitChar"/>
        </w:rPr>
        <w:t> 1. m².</w:t>
      </w:r>
    </w:p>
    <w:p w14:paraId="3EC2CFD5" w14:textId="77777777" w:rsidR="00DF410E" w:rsidRDefault="00CE7F43">
      <w:r>
        <w:rPr>
          <w:b/>
          <w:i/>
        </w:rPr>
        <w:t>(Soit)</w:t>
      </w:r>
    </w:p>
    <w:p w14:paraId="52ABEB08" w14:textId="77777777" w:rsidR="00DF410E" w:rsidRDefault="00CE7F43">
      <w:r>
        <w:rPr>
          <w:rStyle w:val="soitChar"/>
        </w:rPr>
        <w:t> 2. m</w:t>
      </w:r>
    </w:p>
    <w:p w14:paraId="286464C7" w14:textId="77777777" w:rsidR="00DF410E" w:rsidRDefault="00CE7F43">
      <w:r>
        <w:rPr>
          <w:b/>
          <w:i/>
        </w:rPr>
        <w:t>(Soit)</w:t>
      </w:r>
    </w:p>
    <w:p w14:paraId="2E7AFC16" w14:textId="77777777" w:rsidR="00DF410E" w:rsidRDefault="00CE7F43">
      <w:r>
        <w:rPr>
          <w:rStyle w:val="soitChar"/>
        </w:rPr>
        <w:t> 3. pc</w:t>
      </w:r>
    </w:p>
    <w:p w14:paraId="3F25B102" w14:textId="77777777" w:rsidR="00DF410E" w:rsidRDefault="00DF410E"/>
    <w:p w14:paraId="24046B7A" w14:textId="77777777" w:rsidR="00DF410E" w:rsidRDefault="00CE7F43">
      <w:r>
        <w:rPr>
          <w:b/>
        </w:rPr>
        <w:t>COUPURE THERMIQUE</w:t>
      </w:r>
    </w:p>
    <w:p w14:paraId="589BE150" w14:textId="77777777" w:rsidR="00DF410E" w:rsidRDefault="00CE7F43">
      <w:r>
        <w:rPr>
          <w:rStyle w:val="optioncarChar"/>
        </w:rPr>
        <w:t>pièce</w:t>
      </w:r>
    </w:p>
    <w:p w14:paraId="6F1FAA87" w14:textId="77777777" w:rsidR="00DF410E" w:rsidRDefault="00CE7F43">
      <w:pPr>
        <w:pStyle w:val="pheading"/>
      </w:pPr>
      <w:r>
        <w:t>- code de mesurage:</w:t>
      </w:r>
    </w:p>
    <w:p w14:paraId="2CDDEF89" w14:textId="77777777" w:rsidR="00DF410E" w:rsidRDefault="00DF410E"/>
    <w:p w14:paraId="593B2339" w14:textId="77777777" w:rsidR="00DF410E" w:rsidRDefault="00DF410E"/>
    <w:p w14:paraId="4CC33459" w14:textId="77777777" w:rsidR="00DF410E" w:rsidRDefault="00CE7F43">
      <w:r>
        <w:rPr>
          <w:b/>
        </w:rPr>
        <w:t>COLONNE</w:t>
      </w:r>
    </w:p>
    <w:p w14:paraId="77BC10B9" w14:textId="77777777" w:rsidR="00DF410E" w:rsidRDefault="00CE7F43">
      <w:r>
        <w:t>Distinctions faites suivant les types de profilés, nuances et qualités d’acier.</w:t>
      </w:r>
    </w:p>
    <w:p w14:paraId="04DA739C"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4B91D873" w14:textId="77777777" w:rsidR="00DF410E" w:rsidRDefault="00CE7F43">
      <w:r>
        <w:rPr>
          <w:b/>
          <w:i/>
        </w:rPr>
        <w:t>(Soit par défaut)</w:t>
      </w:r>
    </w:p>
    <w:p w14:paraId="35299722"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797C7A6" w14:textId="77777777" w:rsidR="00DF410E" w:rsidRDefault="00CE7F43">
      <w:r>
        <w:rPr>
          <w:b/>
          <w:i/>
        </w:rPr>
        <w:t>(Soit)</w:t>
      </w:r>
    </w:p>
    <w:p w14:paraId="34D2EC0B"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AB63971" w14:textId="77777777" w:rsidR="00DF410E" w:rsidRDefault="00CE7F43">
      <w:r>
        <w:rPr>
          <w:b/>
          <w:i/>
        </w:rPr>
        <w:t>(Soit)</w:t>
      </w:r>
    </w:p>
    <w:p w14:paraId="5BC6568D"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2F34965" w14:textId="77777777" w:rsidR="00DF410E" w:rsidRDefault="00CE7F43">
      <w:r>
        <w:rPr>
          <w:b/>
          <w:i/>
        </w:rPr>
        <w:t>(Soit)</w:t>
      </w:r>
    </w:p>
    <w:p w14:paraId="2A53904B"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2D35699" w14:textId="77777777" w:rsidR="00DF410E" w:rsidRDefault="00CE7F43">
      <w:r>
        <w:rPr>
          <w:b/>
          <w:i/>
        </w:rPr>
        <w:t>(Soit)</w:t>
      </w:r>
    </w:p>
    <w:p w14:paraId="60AE251D"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3D2BB34" w14:textId="77777777" w:rsidR="00DF410E" w:rsidRDefault="00DF410E"/>
    <w:p w14:paraId="1664826D" w14:textId="77777777" w:rsidR="00DF410E" w:rsidRDefault="00CE7F43">
      <w:r>
        <w:rPr>
          <w:b/>
        </w:rPr>
        <w:t>FLOCAGE</w:t>
      </w:r>
    </w:p>
    <w:p w14:paraId="28EC3C7B"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09D90CF5" w14:textId="77777777" w:rsidR="00DF410E" w:rsidRDefault="00CE7F43">
      <w:r>
        <w:rPr>
          <w:b/>
          <w:i/>
        </w:rPr>
        <w:t>(Soit par défaut)</w:t>
      </w:r>
    </w:p>
    <w:p w14:paraId="66D2D769"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419ED121" w14:textId="77777777" w:rsidR="00DF410E" w:rsidRDefault="00CE7F43">
      <w:r>
        <w:rPr>
          <w:b/>
          <w:i/>
        </w:rPr>
        <w:t>(Soit)</w:t>
      </w:r>
    </w:p>
    <w:p w14:paraId="04C9ADBE"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481B01D4" w14:textId="77777777" w:rsidR="00DF410E" w:rsidRDefault="00CE7F43">
      <w:r>
        <w:rPr>
          <w:b/>
          <w:i/>
        </w:rPr>
        <w:t>(Soit)</w:t>
      </w:r>
    </w:p>
    <w:p w14:paraId="4F21F782"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652119BB" w14:textId="77777777" w:rsidR="00DF410E" w:rsidRDefault="00DF410E"/>
    <w:p w14:paraId="41E4FD2A" w14:textId="77777777" w:rsidR="00DF410E" w:rsidRDefault="00CE7F43">
      <w:pPr>
        <w:spacing w:after="0" w:line="256" w:lineRule="auto"/>
        <w:jc w:val="both"/>
      </w:pPr>
      <w:r>
        <w:rPr>
          <w:b/>
        </w:rPr>
        <w:t>COUPURE THERMIQUE</w:t>
      </w:r>
    </w:p>
    <w:p w14:paraId="08D1131F" w14:textId="77777777" w:rsidR="00DF410E" w:rsidRDefault="00CE7F43">
      <w:r>
        <w:rPr>
          <w:rStyle w:val="optioncarChar"/>
        </w:rPr>
        <w:t>À la pièce, ventilée suivant les types d’éléments</w:t>
      </w:r>
    </w:p>
    <w:p w14:paraId="57D73E17" w14:textId="77777777" w:rsidR="00DF410E" w:rsidRDefault="00CE7F43">
      <w:pPr>
        <w:pStyle w:val="pheading"/>
      </w:pPr>
      <w:r>
        <w:t>- nature du marché:</w:t>
      </w:r>
    </w:p>
    <w:p w14:paraId="7775CA2D" w14:textId="77777777" w:rsidR="00DF410E" w:rsidRDefault="00DF410E"/>
    <w:p w14:paraId="7CDA07AC" w14:textId="77777777" w:rsidR="00DF410E" w:rsidRDefault="00DF410E"/>
    <w:p w14:paraId="53653DE8" w14:textId="77777777" w:rsidR="00DF410E" w:rsidRDefault="00CE7F43">
      <w:r>
        <w:rPr>
          <w:rStyle w:val="optioncarChar"/>
        </w:rPr>
        <w:t>QF</w:t>
      </w:r>
      <w:r>
        <w:t xml:space="preserve"> (par défaut) </w:t>
      </w:r>
      <w:r>
        <w:rPr>
          <w:rStyle w:val="optioncarChar"/>
        </w:rPr>
        <w:t>/ QP</w:t>
      </w:r>
    </w:p>
    <w:p w14:paraId="6E04C0D3" w14:textId="77777777" w:rsidR="00DF410E" w:rsidRDefault="00CE7F43">
      <w:pPr>
        <w:pStyle w:val="soit"/>
      </w:pPr>
      <w:r>
        <w:rPr>
          <w:rStyle w:val="normalChar"/>
          <w:b/>
          <w:i/>
          <w:color w:val="000000"/>
        </w:rPr>
        <w:t xml:space="preserve">(Soit par défaut) </w:t>
      </w:r>
    </w:p>
    <w:p w14:paraId="47664CCC" w14:textId="77777777" w:rsidR="00DF410E" w:rsidRDefault="00CE7F43">
      <w:r>
        <w:rPr>
          <w:rStyle w:val="soitChar"/>
        </w:rPr>
        <w:t xml:space="preserve">1. QF </w:t>
      </w:r>
    </w:p>
    <w:p w14:paraId="3A9D088C" w14:textId="77777777" w:rsidR="00DF410E" w:rsidRDefault="00CE7F43">
      <w:r>
        <w:rPr>
          <w:b/>
          <w:i/>
        </w:rPr>
        <w:t>(Soit)</w:t>
      </w:r>
    </w:p>
    <w:p w14:paraId="355DC5EA" w14:textId="77777777" w:rsidR="00DF410E" w:rsidRDefault="00CE7F43">
      <w:r>
        <w:rPr>
          <w:rStyle w:val="soitChar"/>
        </w:rPr>
        <w:t>2. QP</w:t>
      </w:r>
    </w:p>
    <w:p w14:paraId="697E80CA" w14:textId="77777777" w:rsidR="00DF410E" w:rsidRDefault="00CE7F43">
      <w:pPr>
        <w:pStyle w:val="Author-eSectionHeading6"/>
      </w:pPr>
      <w:bookmarkStart w:id="1226" w:name="_Toc178838346"/>
      <w:r>
        <w:t>23.14.1d Colonnes alvéolaires en acier CCTB 01.11</w:t>
      </w:r>
      <w:bookmarkEnd w:id="1226"/>
    </w:p>
    <w:p w14:paraId="351FBCF8" w14:textId="77777777" w:rsidR="00DF410E" w:rsidRDefault="00CE7F43">
      <w:pPr>
        <w:pStyle w:val="pheading"/>
      </w:pPr>
      <w:r>
        <w:t>DESCRIPTION</w:t>
      </w:r>
    </w:p>
    <w:p w14:paraId="1DA14C0A" w14:textId="77777777" w:rsidR="00DF410E" w:rsidRDefault="00CE7F43">
      <w:pPr>
        <w:pStyle w:val="pheading"/>
      </w:pPr>
      <w:r>
        <w:t>- Définition / Comprend</w:t>
      </w:r>
    </w:p>
    <w:p w14:paraId="4FEEDC38" w14:textId="77777777" w:rsidR="00DF410E" w:rsidRDefault="00DF410E"/>
    <w:p w14:paraId="19834037" w14:textId="77777777" w:rsidR="00DF410E" w:rsidRDefault="00CE7F43">
      <w:r>
        <w:t>Il s'agit de l’ensemble des colonnes alvéolaires reconstituées soudées à partir de poutrelles en acier laminées à chaud conformes à la [NBN EN 10025 série]. Le soudage de ces poutrelles découpées suivant une ligne spécifique est conforme à la [NBN EN 1090-2]. </w:t>
      </w:r>
    </w:p>
    <w:p w14:paraId="5B4338B9" w14:textId="77777777" w:rsidR="00DF410E" w:rsidRDefault="00CE7F43">
      <w:pPr>
        <w:pStyle w:val="pheading"/>
      </w:pPr>
      <w:r>
        <w:t>- Localisation</w:t>
      </w:r>
    </w:p>
    <w:p w14:paraId="3CE3FAA2" w14:textId="77777777" w:rsidR="00DF410E" w:rsidRDefault="00DF410E"/>
    <w:p w14:paraId="1112E222"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1C79FE8E" w14:textId="77777777" w:rsidR="00DF410E" w:rsidRDefault="00CE7F43">
      <w:pPr>
        <w:pStyle w:val="pheading"/>
      </w:pPr>
      <w:r>
        <w:t>EXÉCUTION / MISE EN ŒUVRE</w:t>
      </w:r>
    </w:p>
    <w:p w14:paraId="0F275D03" w14:textId="77777777" w:rsidR="00DF410E" w:rsidRDefault="00CE7F43">
      <w:pPr>
        <w:pStyle w:val="pheading"/>
      </w:pPr>
      <w:r>
        <w:t>- Notes d’exécution complémentaires</w:t>
      </w:r>
    </w:p>
    <w:p w14:paraId="7428043E" w14:textId="77777777" w:rsidR="00DF410E" w:rsidRDefault="00CE7F43">
      <w:r>
        <w:rPr>
          <w:rStyle w:val="facultChar"/>
        </w:rPr>
        <w:t xml:space="preserve"> Le présent article comprend également des coupures thermiques : Des dispositifs adéquats sont utilisés pour éviter tout pont thermique.</w:t>
      </w:r>
    </w:p>
    <w:p w14:paraId="3E37BBA7" w14:textId="77777777" w:rsidR="00DF410E" w:rsidRDefault="00CE7F43">
      <w:pPr>
        <w:pStyle w:val="pheading"/>
      </w:pPr>
      <w:r>
        <w:t>MESURAGE</w:t>
      </w:r>
    </w:p>
    <w:p w14:paraId="7B26DCB1" w14:textId="77777777" w:rsidR="00DF410E" w:rsidRDefault="00CE7F43">
      <w:pPr>
        <w:pStyle w:val="pheading"/>
      </w:pPr>
      <w:r>
        <w:t>- unité de mesure:</w:t>
      </w:r>
    </w:p>
    <w:p w14:paraId="1CED6924" w14:textId="77777777" w:rsidR="00DF410E" w:rsidRDefault="00DF410E"/>
    <w:p w14:paraId="5AE740D9" w14:textId="77777777" w:rsidR="00DF410E" w:rsidRDefault="00DF410E"/>
    <w:p w14:paraId="74AFBC91" w14:textId="77777777" w:rsidR="00DF410E" w:rsidRDefault="00CE7F43">
      <w:r>
        <w:rPr>
          <w:b/>
        </w:rPr>
        <w:t>COLONNE</w:t>
      </w:r>
    </w:p>
    <w:p w14:paraId="14E1EA8F" w14:textId="77777777" w:rsidR="00DF410E" w:rsidRDefault="00CE7F43">
      <w:r>
        <w:rPr>
          <w:rStyle w:val="optioncarChar"/>
        </w:rPr>
        <w:t>kg </w:t>
      </w:r>
      <w:r>
        <w:t xml:space="preserve">(par défaut) </w:t>
      </w:r>
      <w:r>
        <w:rPr>
          <w:rStyle w:val="optioncarChar"/>
        </w:rPr>
        <w:t>/ m / pc.</w:t>
      </w:r>
    </w:p>
    <w:p w14:paraId="39F0285F" w14:textId="77777777" w:rsidR="00DF410E" w:rsidRDefault="00CE7F43">
      <w:r>
        <w:rPr>
          <w:b/>
          <w:i/>
        </w:rPr>
        <w:t>(Soit par défaut)</w:t>
      </w:r>
    </w:p>
    <w:p w14:paraId="4D4995BC" w14:textId="77777777" w:rsidR="00DF410E" w:rsidRDefault="00CE7F43">
      <w:r>
        <w:rPr>
          <w:rStyle w:val="soitChar"/>
        </w:rPr>
        <w:t> 1. kg.</w:t>
      </w:r>
    </w:p>
    <w:p w14:paraId="1B02233E" w14:textId="77777777" w:rsidR="00DF410E" w:rsidRDefault="00CE7F43">
      <w:r>
        <w:rPr>
          <w:b/>
          <w:i/>
        </w:rPr>
        <w:t>(Soit)</w:t>
      </w:r>
    </w:p>
    <w:p w14:paraId="3C0EC21D" w14:textId="77777777" w:rsidR="00DF410E" w:rsidRDefault="00CE7F43">
      <w:r>
        <w:rPr>
          <w:rStyle w:val="soitChar"/>
        </w:rPr>
        <w:t>  2 ou 3. m</w:t>
      </w:r>
    </w:p>
    <w:p w14:paraId="1D399C0B" w14:textId="77777777" w:rsidR="00DF410E" w:rsidRDefault="00CE7F43">
      <w:r>
        <w:rPr>
          <w:b/>
          <w:i/>
        </w:rPr>
        <w:t>(Soit)</w:t>
      </w:r>
    </w:p>
    <w:p w14:paraId="46240CBD" w14:textId="77777777" w:rsidR="00DF410E" w:rsidRDefault="00CE7F43">
      <w:r>
        <w:rPr>
          <w:rStyle w:val="soitChar"/>
        </w:rPr>
        <w:t>  4 ou 5. pc</w:t>
      </w:r>
    </w:p>
    <w:p w14:paraId="70099815" w14:textId="77777777" w:rsidR="00DF410E" w:rsidRDefault="00CE7F43">
      <w:r>
        <w:rPr>
          <w:rStyle w:val="soitChar"/>
        </w:rPr>
        <w:t> </w:t>
      </w:r>
    </w:p>
    <w:p w14:paraId="3B1C4D46" w14:textId="77777777" w:rsidR="00DF410E" w:rsidRDefault="00CE7F43">
      <w:r>
        <w:rPr>
          <w:b/>
        </w:rPr>
        <w:t>FLOCAGE</w:t>
      </w:r>
    </w:p>
    <w:p w14:paraId="47CD42C8" w14:textId="77777777" w:rsidR="00DF410E" w:rsidRDefault="00CE7F43">
      <w:r>
        <w:t>Le traitement au feu par flocage est compté séparément et fait l’objet d’un (de) poste(s) supplémentaire(s) dans le présent article :</w:t>
      </w:r>
    </w:p>
    <w:p w14:paraId="2887D005" w14:textId="77777777" w:rsidR="00DF410E" w:rsidRDefault="00CE7F43">
      <w:r>
        <w:rPr>
          <w:rStyle w:val="optioncarChar"/>
        </w:rPr>
        <w:t xml:space="preserve">m² </w:t>
      </w:r>
      <w:r>
        <w:t>(par défaut)</w:t>
      </w:r>
      <w:r>
        <w:rPr>
          <w:rStyle w:val="optioncarChar"/>
        </w:rPr>
        <w:t xml:space="preserve"> / m / pc.</w:t>
      </w:r>
    </w:p>
    <w:p w14:paraId="7D440FBA" w14:textId="77777777" w:rsidR="00DF410E" w:rsidRDefault="00CE7F43">
      <w:r>
        <w:rPr>
          <w:b/>
          <w:i/>
        </w:rPr>
        <w:t>(Soit par défaut)</w:t>
      </w:r>
    </w:p>
    <w:p w14:paraId="371C5073" w14:textId="77777777" w:rsidR="00DF410E" w:rsidRDefault="00CE7F43">
      <w:r>
        <w:rPr>
          <w:rStyle w:val="soitChar"/>
        </w:rPr>
        <w:t> 1. m².</w:t>
      </w:r>
    </w:p>
    <w:p w14:paraId="54472B9C" w14:textId="77777777" w:rsidR="00DF410E" w:rsidRDefault="00CE7F43">
      <w:r>
        <w:rPr>
          <w:b/>
          <w:i/>
        </w:rPr>
        <w:t>(Soit)</w:t>
      </w:r>
    </w:p>
    <w:p w14:paraId="4960E5B9" w14:textId="77777777" w:rsidR="00DF410E" w:rsidRDefault="00CE7F43">
      <w:r>
        <w:rPr>
          <w:rStyle w:val="soitChar"/>
        </w:rPr>
        <w:t> 2. m</w:t>
      </w:r>
    </w:p>
    <w:p w14:paraId="2559D32F" w14:textId="77777777" w:rsidR="00DF410E" w:rsidRDefault="00CE7F43">
      <w:r>
        <w:rPr>
          <w:b/>
          <w:i/>
        </w:rPr>
        <w:t>(Soit)</w:t>
      </w:r>
    </w:p>
    <w:p w14:paraId="020777E9" w14:textId="77777777" w:rsidR="00DF410E" w:rsidRDefault="00CE7F43">
      <w:r>
        <w:rPr>
          <w:rStyle w:val="soitChar"/>
        </w:rPr>
        <w:t> 3. pc</w:t>
      </w:r>
    </w:p>
    <w:p w14:paraId="738FE435" w14:textId="77777777" w:rsidR="00DF410E" w:rsidRDefault="00DF410E"/>
    <w:p w14:paraId="7232B8CB" w14:textId="77777777" w:rsidR="00DF410E" w:rsidRDefault="00CE7F43">
      <w:r>
        <w:rPr>
          <w:b/>
        </w:rPr>
        <w:t>COUPURE THERMIQUE</w:t>
      </w:r>
    </w:p>
    <w:p w14:paraId="1EE8381D" w14:textId="77777777" w:rsidR="00DF410E" w:rsidRDefault="00CE7F43">
      <w:r>
        <w:rPr>
          <w:rStyle w:val="optioncarChar"/>
        </w:rPr>
        <w:t>pièce</w:t>
      </w:r>
    </w:p>
    <w:p w14:paraId="4DBD6775" w14:textId="77777777" w:rsidR="00DF410E" w:rsidRDefault="00CE7F43">
      <w:pPr>
        <w:pStyle w:val="pheading"/>
      </w:pPr>
      <w:r>
        <w:t>- code de mesurage:</w:t>
      </w:r>
    </w:p>
    <w:p w14:paraId="7636D2CF" w14:textId="77777777" w:rsidR="00DF410E" w:rsidRDefault="00DF410E"/>
    <w:p w14:paraId="30425133" w14:textId="77777777" w:rsidR="00DF410E" w:rsidRDefault="00DF410E"/>
    <w:p w14:paraId="7B31F10F" w14:textId="77777777" w:rsidR="00DF410E" w:rsidRDefault="00CE7F43">
      <w:r>
        <w:rPr>
          <w:b/>
        </w:rPr>
        <w:t>COLONNE</w:t>
      </w:r>
    </w:p>
    <w:p w14:paraId="45F9BCFE" w14:textId="77777777" w:rsidR="00DF410E" w:rsidRDefault="00CE7F43">
      <w:r>
        <w:t>Distinctions faites suivant les types de profilés, nuances et qualités d’acier.</w:t>
      </w:r>
    </w:p>
    <w:p w14:paraId="18D42F86"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1F2FD397" w14:textId="77777777" w:rsidR="00DF410E" w:rsidRDefault="00CE7F43">
      <w:r>
        <w:rPr>
          <w:b/>
          <w:i/>
        </w:rPr>
        <w:t>(Soit par défaut)</w:t>
      </w:r>
    </w:p>
    <w:p w14:paraId="08D50C45"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0446052" w14:textId="77777777" w:rsidR="00DF410E" w:rsidRDefault="00CE7F43">
      <w:r>
        <w:rPr>
          <w:b/>
          <w:i/>
        </w:rPr>
        <w:t>(Soit)</w:t>
      </w:r>
    </w:p>
    <w:p w14:paraId="0A301EE8"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31E5A28" w14:textId="77777777" w:rsidR="00DF410E" w:rsidRDefault="00CE7F43">
      <w:r>
        <w:rPr>
          <w:b/>
          <w:i/>
        </w:rPr>
        <w:t>(Soit)</w:t>
      </w:r>
    </w:p>
    <w:p w14:paraId="6E75B35B"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346E8998" w14:textId="77777777" w:rsidR="00DF410E" w:rsidRDefault="00CE7F43">
      <w:r>
        <w:rPr>
          <w:b/>
          <w:i/>
        </w:rPr>
        <w:t>(Soit)</w:t>
      </w:r>
    </w:p>
    <w:p w14:paraId="0FA1567A"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3B7F3A05" w14:textId="77777777" w:rsidR="00DF410E" w:rsidRDefault="00CE7F43">
      <w:r>
        <w:rPr>
          <w:b/>
          <w:i/>
        </w:rPr>
        <w:t>(Soit)</w:t>
      </w:r>
    </w:p>
    <w:p w14:paraId="1AE1B865"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606BC7B7" w14:textId="77777777" w:rsidR="00DF410E" w:rsidRDefault="00DF410E"/>
    <w:p w14:paraId="21D9AD32" w14:textId="77777777" w:rsidR="00DF410E" w:rsidRDefault="00CE7F43">
      <w:r>
        <w:rPr>
          <w:b/>
        </w:rPr>
        <w:t>FLOCAGE</w:t>
      </w:r>
    </w:p>
    <w:p w14:paraId="36D6185A"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E710F95" w14:textId="77777777" w:rsidR="00DF410E" w:rsidRDefault="00CE7F43">
      <w:r>
        <w:rPr>
          <w:b/>
          <w:i/>
        </w:rPr>
        <w:t>(Soit par défaut)</w:t>
      </w:r>
    </w:p>
    <w:p w14:paraId="626FADA1"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164E5E8" w14:textId="77777777" w:rsidR="00DF410E" w:rsidRDefault="00CE7F43">
      <w:r>
        <w:rPr>
          <w:b/>
          <w:i/>
        </w:rPr>
        <w:t>(Soit)</w:t>
      </w:r>
    </w:p>
    <w:p w14:paraId="46D4EF1D"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1E612DC" w14:textId="77777777" w:rsidR="00DF410E" w:rsidRDefault="00CE7F43">
      <w:r>
        <w:rPr>
          <w:b/>
          <w:i/>
        </w:rPr>
        <w:t>(Soit)</w:t>
      </w:r>
    </w:p>
    <w:p w14:paraId="226E6E45"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18919B9" w14:textId="77777777" w:rsidR="00DF410E" w:rsidRDefault="00DF410E"/>
    <w:p w14:paraId="03AC7AB8" w14:textId="77777777" w:rsidR="00DF410E" w:rsidRDefault="00CE7F43">
      <w:pPr>
        <w:spacing w:after="0" w:line="256" w:lineRule="auto"/>
        <w:jc w:val="both"/>
      </w:pPr>
      <w:r>
        <w:rPr>
          <w:b/>
        </w:rPr>
        <w:t>COUPURE THERMIQUE</w:t>
      </w:r>
    </w:p>
    <w:p w14:paraId="0AEC9447" w14:textId="77777777" w:rsidR="00DF410E" w:rsidRDefault="00CE7F43">
      <w:r>
        <w:rPr>
          <w:rStyle w:val="optioncarChar"/>
        </w:rPr>
        <w:t>À la pièce, ventilée suivant les types d’éléments</w:t>
      </w:r>
    </w:p>
    <w:p w14:paraId="310125F1" w14:textId="77777777" w:rsidR="00DF410E" w:rsidRDefault="00CE7F43">
      <w:pPr>
        <w:pStyle w:val="pheading"/>
      </w:pPr>
      <w:r>
        <w:t>- nature du marché:</w:t>
      </w:r>
    </w:p>
    <w:p w14:paraId="14196753" w14:textId="77777777" w:rsidR="00DF410E" w:rsidRDefault="00DF410E"/>
    <w:p w14:paraId="2D9D9FDD" w14:textId="77777777" w:rsidR="00DF410E" w:rsidRDefault="00DF410E"/>
    <w:p w14:paraId="130AAA6B" w14:textId="77777777" w:rsidR="00DF410E" w:rsidRDefault="00CE7F43">
      <w:r>
        <w:rPr>
          <w:rStyle w:val="optioncarChar"/>
        </w:rPr>
        <w:t>QF</w:t>
      </w:r>
      <w:r>
        <w:t xml:space="preserve"> (par défaut) </w:t>
      </w:r>
      <w:r>
        <w:rPr>
          <w:rStyle w:val="optioncarChar"/>
        </w:rPr>
        <w:t>/ QP</w:t>
      </w:r>
    </w:p>
    <w:p w14:paraId="1B388924" w14:textId="77777777" w:rsidR="00DF410E" w:rsidRDefault="00CE7F43">
      <w:pPr>
        <w:pStyle w:val="soit"/>
      </w:pPr>
      <w:r>
        <w:rPr>
          <w:rStyle w:val="normalChar"/>
          <w:b/>
          <w:i/>
          <w:color w:val="000000"/>
        </w:rPr>
        <w:t xml:space="preserve">(Soit par défaut) </w:t>
      </w:r>
    </w:p>
    <w:p w14:paraId="62F1DB61" w14:textId="77777777" w:rsidR="00DF410E" w:rsidRDefault="00CE7F43">
      <w:r>
        <w:rPr>
          <w:rStyle w:val="soitChar"/>
        </w:rPr>
        <w:t xml:space="preserve">1. QF </w:t>
      </w:r>
    </w:p>
    <w:p w14:paraId="737A0601" w14:textId="77777777" w:rsidR="00DF410E" w:rsidRDefault="00CE7F43">
      <w:r>
        <w:rPr>
          <w:b/>
          <w:i/>
        </w:rPr>
        <w:t>(Soit)</w:t>
      </w:r>
    </w:p>
    <w:p w14:paraId="2B45588A" w14:textId="77777777" w:rsidR="00DF410E" w:rsidRDefault="00CE7F43">
      <w:r>
        <w:rPr>
          <w:rStyle w:val="soitChar"/>
        </w:rPr>
        <w:t>2. QP</w:t>
      </w:r>
    </w:p>
    <w:p w14:paraId="1E62697F" w14:textId="77777777" w:rsidR="00DF410E" w:rsidRDefault="00CE7F43">
      <w:pPr>
        <w:pStyle w:val="Author-eSectionHeading6"/>
      </w:pPr>
      <w:bookmarkStart w:id="1227" w:name="_Toc178838347"/>
      <w:r>
        <w:t>23.14.1e Colonnes en éléments tubulaires en acier CCTB 01.04</w:t>
      </w:r>
      <w:bookmarkEnd w:id="1227"/>
    </w:p>
    <w:p w14:paraId="4075EBED" w14:textId="77777777" w:rsidR="00DF410E" w:rsidRDefault="00CE7F43">
      <w:pPr>
        <w:pStyle w:val="Author-eSectionHeading5"/>
      </w:pPr>
      <w:bookmarkStart w:id="1228" w:name="_Toc178838348"/>
      <w:r>
        <w:t>23.14.2 Colonnes en acier formées à froid CCTB 01.07</w:t>
      </w:r>
      <w:bookmarkEnd w:id="1228"/>
    </w:p>
    <w:p w14:paraId="06E8C52F" w14:textId="77777777" w:rsidR="00DF410E" w:rsidRDefault="00CE7F43">
      <w:pPr>
        <w:pStyle w:val="pheading"/>
      </w:pPr>
      <w:r>
        <w:t>DESCRIPTION</w:t>
      </w:r>
    </w:p>
    <w:p w14:paraId="2AE146A3" w14:textId="77777777" w:rsidR="00DF410E" w:rsidRDefault="00CE7F43">
      <w:pPr>
        <w:pStyle w:val="pheading"/>
      </w:pPr>
      <w:r>
        <w:t>- Définition / Comprend</w:t>
      </w:r>
    </w:p>
    <w:p w14:paraId="1F5F9549" w14:textId="77777777" w:rsidR="00DF410E" w:rsidRDefault="00DF410E"/>
    <w:p w14:paraId="30EEE298" w14:textId="77777777" w:rsidR="00DF410E" w:rsidRDefault="00DF410E"/>
    <w:p w14:paraId="5777A939" w14:textId="77777777" w:rsidR="00DF410E" w:rsidRDefault="00CE7F43">
      <w:pPr>
        <w:spacing w:line="259" w:lineRule="auto"/>
      </w:pPr>
      <w:r>
        <w:t>Les produits formés à froid sont des produits de formes diverses, dont la section droite ouverte ou à bords rejoints est constante sur toute leur longueur. Ils sont fabriqués à partir de produits plats laminés à chaud ou à froid (revêtus ou non), dont l'épaisseur n'est que très légèrement modifiée par les procédés de formage à froid (par exemple : profilage, étirage, formage à la presse, bordage, etc.).</w:t>
      </w:r>
    </w:p>
    <w:p w14:paraId="24A3DEE7" w14:textId="77777777" w:rsidR="00DF410E" w:rsidRDefault="00CE7F43">
      <w:pPr>
        <w:spacing w:line="259" w:lineRule="auto"/>
      </w:pPr>
      <w:r>
        <w:t>On distingue :</w:t>
      </w:r>
    </w:p>
    <w:p w14:paraId="3DAB0CAC" w14:textId="77777777" w:rsidR="00DF410E" w:rsidRDefault="00CE7F43">
      <w:pPr>
        <w:pStyle w:val="Author-eListParagraph"/>
        <w:numPr>
          <w:ilvl w:val="0"/>
          <w:numId w:val="688"/>
        </w:numPr>
        <w:spacing w:line="259" w:lineRule="auto"/>
      </w:pPr>
      <w:r>
        <w:t>Des produits d'usage courant ou standard : par exemple en forme de L, de U, de C, de Z.</w:t>
      </w:r>
    </w:p>
    <w:p w14:paraId="66120AA2" w14:textId="77777777" w:rsidR="00DF410E" w:rsidRDefault="00CE7F43">
      <w:pPr>
        <w:pStyle w:val="Author-eListParagraph"/>
        <w:numPr>
          <w:ilvl w:val="0"/>
          <w:numId w:val="688"/>
        </w:numPr>
        <w:spacing w:line="259" w:lineRule="auto"/>
      </w:pPr>
      <w:r>
        <w:t>Des produits d'usage spécial : correspondant à une utilisation particulière, par exemple palplanches formées à froid, glissières de sécurité, profils d'ossature de bâtiments</w:t>
      </w:r>
    </w:p>
    <w:p w14:paraId="5D2ED51F" w14:textId="77777777" w:rsidR="00DF410E" w:rsidRDefault="00CE7F43">
      <w:pPr>
        <w:pStyle w:val="Author-eSectionHeading6"/>
      </w:pPr>
      <w:bookmarkStart w:id="1229" w:name="_Toc178838349"/>
      <w:r>
        <w:t>23.14.2a Colonnes en acier formées à froid CCTB 01.11</w:t>
      </w:r>
      <w:bookmarkEnd w:id="1229"/>
    </w:p>
    <w:p w14:paraId="68B2F228" w14:textId="77777777" w:rsidR="00DF410E" w:rsidRDefault="00CE7F43">
      <w:pPr>
        <w:pStyle w:val="pheading"/>
      </w:pPr>
      <w:r>
        <w:t>DESCRIPTION</w:t>
      </w:r>
    </w:p>
    <w:p w14:paraId="3400D7F3" w14:textId="77777777" w:rsidR="00DF410E" w:rsidRDefault="00CE7F43">
      <w:pPr>
        <w:pStyle w:val="pheading"/>
      </w:pPr>
      <w:r>
        <w:t>- Définition / Comprend</w:t>
      </w:r>
    </w:p>
    <w:p w14:paraId="1F6962F1" w14:textId="77777777" w:rsidR="00DF410E" w:rsidRDefault="00DF410E"/>
    <w:p w14:paraId="29056CFA" w14:textId="77777777" w:rsidR="00DF410E" w:rsidRDefault="00CE7F43">
      <w:r>
        <w:t>Il s'agit de l’ensemble des colonnes en acier dont la mise en forme finale a été réalisée à froid. Les profilés sont conformes à la [NBN EN 10162] ; les tubes sont conformes à la [NBN EN 10219 série]. </w:t>
      </w:r>
    </w:p>
    <w:p w14:paraId="503279DA" w14:textId="77777777" w:rsidR="00DF410E" w:rsidRDefault="00CE7F43">
      <w:pPr>
        <w:pStyle w:val="pheading"/>
      </w:pPr>
      <w:r>
        <w:t>- Localisation</w:t>
      </w:r>
    </w:p>
    <w:p w14:paraId="3B798187" w14:textId="77777777" w:rsidR="00DF410E" w:rsidRDefault="00CE7F43">
      <w:r>
        <w:t xml:space="preserve">Les travaux sont localisés : </w:t>
      </w:r>
      <w:r>
        <w:rPr>
          <w:rStyle w:val="optioncarChar"/>
        </w:rPr>
        <w:t>Voir plans et métrés détaillés</w:t>
      </w:r>
      <w:r>
        <w:t> (par défaut)</w:t>
      </w:r>
      <w:r>
        <w:rPr>
          <w:rStyle w:val="optioncarChar"/>
        </w:rPr>
        <w:t xml:space="preserve"> / *** </w:t>
      </w:r>
      <w:r>
        <w:rPr>
          <w:color w:val="000000"/>
        </w:rPr>
        <w:t>.</w:t>
      </w:r>
    </w:p>
    <w:p w14:paraId="3F6AF002" w14:textId="77777777" w:rsidR="00DF410E" w:rsidRDefault="00CE7F43">
      <w:pPr>
        <w:pStyle w:val="pheading"/>
      </w:pPr>
      <w:r>
        <w:t>EXÉCUTION / MISE EN ŒUVRE</w:t>
      </w:r>
    </w:p>
    <w:p w14:paraId="04866003" w14:textId="77777777" w:rsidR="00DF410E" w:rsidRDefault="00CE7F43">
      <w:pPr>
        <w:pStyle w:val="pheading"/>
      </w:pPr>
      <w:r>
        <w:t>- Notes d’exécution complémentaires</w:t>
      </w:r>
    </w:p>
    <w:p w14:paraId="321DFA0E" w14:textId="77777777" w:rsidR="00DF410E" w:rsidRDefault="00CE7F43">
      <w:r>
        <w:rPr>
          <w:rStyle w:val="facultChar"/>
        </w:rPr>
        <w:t xml:space="preserve"> Le présent article comprend également des coupures thermiques : Des dispositifs adéquats sont utilisés pour éviter tout pont thermique.</w:t>
      </w:r>
    </w:p>
    <w:p w14:paraId="430EAFF2" w14:textId="77777777" w:rsidR="00DF410E" w:rsidRDefault="00CE7F43">
      <w:pPr>
        <w:pStyle w:val="pheading"/>
      </w:pPr>
      <w:r>
        <w:t>MESURAGE</w:t>
      </w:r>
    </w:p>
    <w:p w14:paraId="2580ADFC" w14:textId="77777777" w:rsidR="00DF410E" w:rsidRDefault="00CE7F43">
      <w:pPr>
        <w:pStyle w:val="pheading"/>
      </w:pPr>
      <w:r>
        <w:t>- unité de mesure:</w:t>
      </w:r>
    </w:p>
    <w:p w14:paraId="549F5292" w14:textId="77777777" w:rsidR="00DF410E" w:rsidRDefault="00DF410E"/>
    <w:p w14:paraId="7F2F8373" w14:textId="77777777" w:rsidR="00DF410E" w:rsidRDefault="00DF410E"/>
    <w:p w14:paraId="5CD2DFDE" w14:textId="77777777" w:rsidR="00DF410E" w:rsidRDefault="00CE7F43">
      <w:r>
        <w:rPr>
          <w:b/>
        </w:rPr>
        <w:t>COLONNE</w:t>
      </w:r>
    </w:p>
    <w:p w14:paraId="20E322B0" w14:textId="77777777" w:rsidR="00DF410E" w:rsidRDefault="00CE7F43">
      <w:r>
        <w:rPr>
          <w:rStyle w:val="optioncarChar"/>
        </w:rPr>
        <w:t>kg </w:t>
      </w:r>
      <w:r>
        <w:t xml:space="preserve">(par défaut) </w:t>
      </w:r>
      <w:r>
        <w:rPr>
          <w:rStyle w:val="optioncarChar"/>
        </w:rPr>
        <w:t>/ m / pc.</w:t>
      </w:r>
    </w:p>
    <w:p w14:paraId="44B68803" w14:textId="77777777" w:rsidR="00DF410E" w:rsidRDefault="00CE7F43">
      <w:r>
        <w:rPr>
          <w:b/>
          <w:i/>
        </w:rPr>
        <w:t>(Soit par défaut)</w:t>
      </w:r>
    </w:p>
    <w:p w14:paraId="298CBF45" w14:textId="77777777" w:rsidR="00DF410E" w:rsidRDefault="00CE7F43">
      <w:r>
        <w:rPr>
          <w:rStyle w:val="soitChar"/>
        </w:rPr>
        <w:t> 1. kg.</w:t>
      </w:r>
    </w:p>
    <w:p w14:paraId="17928E4A" w14:textId="77777777" w:rsidR="00DF410E" w:rsidRDefault="00CE7F43">
      <w:r>
        <w:rPr>
          <w:b/>
          <w:i/>
        </w:rPr>
        <w:t>(Soit)</w:t>
      </w:r>
    </w:p>
    <w:p w14:paraId="6C6966A6" w14:textId="77777777" w:rsidR="00DF410E" w:rsidRDefault="00CE7F43">
      <w:r>
        <w:rPr>
          <w:rStyle w:val="soitChar"/>
        </w:rPr>
        <w:t>  2 ou 3. m</w:t>
      </w:r>
    </w:p>
    <w:p w14:paraId="2293F03C" w14:textId="77777777" w:rsidR="00DF410E" w:rsidRDefault="00CE7F43">
      <w:r>
        <w:rPr>
          <w:b/>
          <w:i/>
        </w:rPr>
        <w:t>(Soit)</w:t>
      </w:r>
    </w:p>
    <w:p w14:paraId="2073E013" w14:textId="77777777" w:rsidR="00DF410E" w:rsidRDefault="00CE7F43">
      <w:r>
        <w:rPr>
          <w:rStyle w:val="soitChar"/>
        </w:rPr>
        <w:t>  4 ou 5. pc</w:t>
      </w:r>
    </w:p>
    <w:p w14:paraId="18680E2C" w14:textId="77777777" w:rsidR="00DF410E" w:rsidRDefault="00CE7F43">
      <w:r>
        <w:rPr>
          <w:rStyle w:val="soitChar"/>
        </w:rPr>
        <w:t> </w:t>
      </w:r>
    </w:p>
    <w:p w14:paraId="6AF47C95" w14:textId="77777777" w:rsidR="00DF410E" w:rsidRDefault="00CE7F43">
      <w:r>
        <w:rPr>
          <w:b/>
        </w:rPr>
        <w:t>FLOCAGE</w:t>
      </w:r>
    </w:p>
    <w:p w14:paraId="405C4EB9" w14:textId="77777777" w:rsidR="00DF410E" w:rsidRDefault="00CE7F43">
      <w:r>
        <w:t>Le traitement au feu par flocage est compté séparément et fait l’objet d’un (de) poste(s) supplémentaire(s) dans le présent article :</w:t>
      </w:r>
    </w:p>
    <w:p w14:paraId="3044ECF2" w14:textId="77777777" w:rsidR="00DF410E" w:rsidRDefault="00CE7F43">
      <w:r>
        <w:rPr>
          <w:rStyle w:val="optioncarChar"/>
        </w:rPr>
        <w:t xml:space="preserve">m² </w:t>
      </w:r>
      <w:r>
        <w:t>(par défaut)</w:t>
      </w:r>
      <w:r>
        <w:rPr>
          <w:rStyle w:val="optioncarChar"/>
        </w:rPr>
        <w:t xml:space="preserve"> / m / pc.</w:t>
      </w:r>
    </w:p>
    <w:p w14:paraId="5F42BC4E" w14:textId="77777777" w:rsidR="00DF410E" w:rsidRDefault="00CE7F43">
      <w:r>
        <w:rPr>
          <w:b/>
          <w:i/>
        </w:rPr>
        <w:t>(Soit par défaut)</w:t>
      </w:r>
    </w:p>
    <w:p w14:paraId="1E3EE59D" w14:textId="77777777" w:rsidR="00DF410E" w:rsidRDefault="00CE7F43">
      <w:r>
        <w:rPr>
          <w:rStyle w:val="soitChar"/>
        </w:rPr>
        <w:t> 1. m².</w:t>
      </w:r>
    </w:p>
    <w:p w14:paraId="6DFB7360" w14:textId="77777777" w:rsidR="00DF410E" w:rsidRDefault="00CE7F43">
      <w:r>
        <w:rPr>
          <w:b/>
          <w:i/>
        </w:rPr>
        <w:t>(Soit)</w:t>
      </w:r>
    </w:p>
    <w:p w14:paraId="628624AE" w14:textId="77777777" w:rsidR="00DF410E" w:rsidRDefault="00CE7F43">
      <w:r>
        <w:rPr>
          <w:rStyle w:val="soitChar"/>
        </w:rPr>
        <w:t> 2. m</w:t>
      </w:r>
    </w:p>
    <w:p w14:paraId="4F3A1C53" w14:textId="77777777" w:rsidR="00DF410E" w:rsidRDefault="00CE7F43">
      <w:r>
        <w:rPr>
          <w:b/>
          <w:i/>
        </w:rPr>
        <w:t>(Soit)</w:t>
      </w:r>
    </w:p>
    <w:p w14:paraId="035D7253" w14:textId="77777777" w:rsidR="00DF410E" w:rsidRDefault="00CE7F43">
      <w:r>
        <w:rPr>
          <w:rStyle w:val="soitChar"/>
        </w:rPr>
        <w:t> 3. pc</w:t>
      </w:r>
    </w:p>
    <w:p w14:paraId="32F78949" w14:textId="77777777" w:rsidR="00DF410E" w:rsidRDefault="00DF410E"/>
    <w:p w14:paraId="5D5A72A9" w14:textId="77777777" w:rsidR="00DF410E" w:rsidRDefault="00CE7F43">
      <w:r>
        <w:rPr>
          <w:b/>
        </w:rPr>
        <w:t>COUPURE THERMIQUE</w:t>
      </w:r>
    </w:p>
    <w:p w14:paraId="71ED9F9F" w14:textId="77777777" w:rsidR="00DF410E" w:rsidRDefault="00CE7F43">
      <w:r>
        <w:rPr>
          <w:rStyle w:val="optioncarChar"/>
        </w:rPr>
        <w:t>pièce</w:t>
      </w:r>
    </w:p>
    <w:p w14:paraId="44119BFC" w14:textId="77777777" w:rsidR="00DF410E" w:rsidRDefault="00CE7F43">
      <w:pPr>
        <w:pStyle w:val="pheading"/>
      </w:pPr>
      <w:r>
        <w:t>- code de mesurage:</w:t>
      </w:r>
    </w:p>
    <w:p w14:paraId="7299EAE2" w14:textId="77777777" w:rsidR="00DF410E" w:rsidRDefault="00DF410E"/>
    <w:p w14:paraId="15D4E63A" w14:textId="77777777" w:rsidR="00DF410E" w:rsidRDefault="00DF410E"/>
    <w:p w14:paraId="2390F7F1" w14:textId="77777777" w:rsidR="00DF410E" w:rsidRDefault="00CE7F43">
      <w:r>
        <w:rPr>
          <w:b/>
        </w:rPr>
        <w:t>COLONNE</w:t>
      </w:r>
    </w:p>
    <w:p w14:paraId="0B84AD39" w14:textId="77777777" w:rsidR="00DF410E" w:rsidRDefault="00CE7F43">
      <w:r>
        <w:t>Distinctions faites suivant les types de profilés, nuances et qualités d’acier.</w:t>
      </w:r>
    </w:p>
    <w:p w14:paraId="7BF620EC"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2C59E6EF" w14:textId="77777777" w:rsidR="00DF410E" w:rsidRDefault="00CE7F43">
      <w:r>
        <w:rPr>
          <w:b/>
          <w:i/>
        </w:rPr>
        <w:t>(Soit par défaut)</w:t>
      </w:r>
    </w:p>
    <w:p w14:paraId="0FFD3991"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009621E2" w14:textId="77777777" w:rsidR="00DF410E" w:rsidRDefault="00CE7F43">
      <w:r>
        <w:rPr>
          <w:b/>
          <w:i/>
        </w:rPr>
        <w:t>(Soit)</w:t>
      </w:r>
    </w:p>
    <w:p w14:paraId="1A9E830A"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E15E95B" w14:textId="77777777" w:rsidR="00DF410E" w:rsidRDefault="00CE7F43">
      <w:r>
        <w:rPr>
          <w:b/>
          <w:i/>
        </w:rPr>
        <w:t>(Soit)</w:t>
      </w:r>
    </w:p>
    <w:p w14:paraId="39A61B6B"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3476A174" w14:textId="77777777" w:rsidR="00DF410E" w:rsidRDefault="00CE7F43">
      <w:r>
        <w:rPr>
          <w:b/>
          <w:i/>
        </w:rPr>
        <w:t>(Soit)</w:t>
      </w:r>
    </w:p>
    <w:p w14:paraId="461CA0DA"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5353B07F" w14:textId="77777777" w:rsidR="00DF410E" w:rsidRDefault="00CE7F43">
      <w:r>
        <w:rPr>
          <w:b/>
          <w:i/>
        </w:rPr>
        <w:t>(Soit)</w:t>
      </w:r>
    </w:p>
    <w:p w14:paraId="4CA6E827"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3A250F36" w14:textId="77777777" w:rsidR="00DF410E" w:rsidRDefault="00DF410E"/>
    <w:p w14:paraId="3AC56BCD" w14:textId="77777777" w:rsidR="00DF410E" w:rsidRDefault="00CE7F43">
      <w:r>
        <w:rPr>
          <w:b/>
        </w:rPr>
        <w:t>FLOCAGE</w:t>
      </w:r>
    </w:p>
    <w:p w14:paraId="42C56181"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293A5706" w14:textId="77777777" w:rsidR="00DF410E" w:rsidRDefault="00CE7F43">
      <w:r>
        <w:rPr>
          <w:b/>
          <w:i/>
        </w:rPr>
        <w:t>(Soit par défaut)</w:t>
      </w:r>
    </w:p>
    <w:p w14:paraId="3E294DC2"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5198D761" w14:textId="77777777" w:rsidR="00DF410E" w:rsidRDefault="00CE7F43">
      <w:r>
        <w:rPr>
          <w:b/>
          <w:i/>
        </w:rPr>
        <w:t>(Soit)</w:t>
      </w:r>
    </w:p>
    <w:p w14:paraId="6F8B7E26"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557376CF" w14:textId="77777777" w:rsidR="00DF410E" w:rsidRDefault="00CE7F43">
      <w:r>
        <w:rPr>
          <w:b/>
          <w:i/>
        </w:rPr>
        <w:t>(Soit)</w:t>
      </w:r>
    </w:p>
    <w:p w14:paraId="49A1B88B"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5C318210" w14:textId="77777777" w:rsidR="00DF410E" w:rsidRDefault="00DF410E"/>
    <w:p w14:paraId="72578A48" w14:textId="77777777" w:rsidR="00DF410E" w:rsidRDefault="00CE7F43">
      <w:pPr>
        <w:spacing w:after="0" w:line="256" w:lineRule="auto"/>
        <w:jc w:val="both"/>
      </w:pPr>
      <w:r>
        <w:rPr>
          <w:b/>
        </w:rPr>
        <w:t>COUPURE THERMIQUE</w:t>
      </w:r>
    </w:p>
    <w:p w14:paraId="2360F0A2" w14:textId="77777777" w:rsidR="00DF410E" w:rsidRDefault="00CE7F43">
      <w:r>
        <w:rPr>
          <w:rStyle w:val="optioncarChar"/>
        </w:rPr>
        <w:t>À la pièce, ventilée suivant les types d’éléments</w:t>
      </w:r>
    </w:p>
    <w:p w14:paraId="58FC2FB9" w14:textId="77777777" w:rsidR="00DF410E" w:rsidRDefault="00CE7F43">
      <w:pPr>
        <w:pStyle w:val="pheading"/>
      </w:pPr>
      <w:r>
        <w:t>- nature du marché:</w:t>
      </w:r>
    </w:p>
    <w:p w14:paraId="5DBFA0E0" w14:textId="77777777" w:rsidR="00DF410E" w:rsidRDefault="00DF410E"/>
    <w:p w14:paraId="1B8B94F5" w14:textId="77777777" w:rsidR="00DF410E" w:rsidRDefault="00DF410E"/>
    <w:p w14:paraId="54DE3DD7" w14:textId="77777777" w:rsidR="00DF410E" w:rsidRDefault="00CE7F43">
      <w:r>
        <w:rPr>
          <w:rStyle w:val="optioncarChar"/>
        </w:rPr>
        <w:t>QF</w:t>
      </w:r>
      <w:r>
        <w:t xml:space="preserve"> (par défaut) </w:t>
      </w:r>
      <w:r>
        <w:rPr>
          <w:rStyle w:val="optioncarChar"/>
        </w:rPr>
        <w:t>/ QP</w:t>
      </w:r>
    </w:p>
    <w:p w14:paraId="6CF73BD7" w14:textId="77777777" w:rsidR="00DF410E" w:rsidRDefault="00CE7F43">
      <w:pPr>
        <w:pStyle w:val="soit"/>
      </w:pPr>
      <w:r>
        <w:rPr>
          <w:rStyle w:val="normalChar"/>
          <w:b/>
          <w:i/>
          <w:color w:val="000000"/>
        </w:rPr>
        <w:t xml:space="preserve">(Soit par défaut) </w:t>
      </w:r>
    </w:p>
    <w:p w14:paraId="63BFA608" w14:textId="77777777" w:rsidR="00DF410E" w:rsidRDefault="00CE7F43">
      <w:r>
        <w:rPr>
          <w:rStyle w:val="soitChar"/>
        </w:rPr>
        <w:t xml:space="preserve">1. QF </w:t>
      </w:r>
    </w:p>
    <w:p w14:paraId="4A5175B8" w14:textId="77777777" w:rsidR="00DF410E" w:rsidRDefault="00CE7F43">
      <w:r>
        <w:rPr>
          <w:b/>
          <w:i/>
        </w:rPr>
        <w:t>(Soit)</w:t>
      </w:r>
    </w:p>
    <w:p w14:paraId="321DF481" w14:textId="77777777" w:rsidR="00DF410E" w:rsidRDefault="00CE7F43">
      <w:r>
        <w:rPr>
          <w:rStyle w:val="soitChar"/>
        </w:rPr>
        <w:t>2. QP</w:t>
      </w:r>
    </w:p>
    <w:p w14:paraId="4239B87A" w14:textId="77777777" w:rsidR="00DF410E" w:rsidRDefault="00CE7F43">
      <w:pPr>
        <w:pStyle w:val="Author-eSectionHeading5"/>
      </w:pPr>
      <w:bookmarkStart w:id="1230" w:name="_Toc178838350"/>
      <w:r>
        <w:t>23.14.3 Colonnes en acier inoxydable laminées à chaud CCTB 01.04</w:t>
      </w:r>
      <w:bookmarkEnd w:id="1230"/>
    </w:p>
    <w:p w14:paraId="3B670254" w14:textId="77777777" w:rsidR="00DF410E" w:rsidRDefault="00CE7F43">
      <w:pPr>
        <w:pStyle w:val="Author-eSectionHeading6"/>
      </w:pPr>
      <w:bookmarkStart w:id="1231" w:name="_Toc178838351"/>
      <w:r>
        <w:t>23.14.3a Colonnes en profilés en acier inoxydable laminés à chaud CCTB 01.11</w:t>
      </w:r>
      <w:bookmarkEnd w:id="1231"/>
    </w:p>
    <w:p w14:paraId="79D11A77" w14:textId="77777777" w:rsidR="00DF410E" w:rsidRDefault="00CE7F43">
      <w:pPr>
        <w:pStyle w:val="pheading"/>
      </w:pPr>
      <w:r>
        <w:t>DESCRIPTION</w:t>
      </w:r>
    </w:p>
    <w:p w14:paraId="65F15225" w14:textId="77777777" w:rsidR="00DF410E" w:rsidRDefault="00CE7F43">
      <w:pPr>
        <w:pStyle w:val="pheading"/>
      </w:pPr>
      <w:r>
        <w:t>- Définition / Comprend</w:t>
      </w:r>
    </w:p>
    <w:p w14:paraId="75E94CA6" w14:textId="77777777" w:rsidR="00DF410E" w:rsidRDefault="00DF410E"/>
    <w:p w14:paraId="122E7C23" w14:textId="77777777" w:rsidR="00DF410E" w:rsidRDefault="00CE7F43">
      <w:r>
        <w:t>Il s'agit de l’ensemble des colonnes en profilés en acier inoxydable laminés à chaud conformes à la [NBN EN 10088 série]. </w:t>
      </w:r>
    </w:p>
    <w:p w14:paraId="1C5CF9B3" w14:textId="77777777" w:rsidR="00DF410E" w:rsidRDefault="00CE7F43">
      <w:pPr>
        <w:pStyle w:val="pheading"/>
      </w:pPr>
      <w:r>
        <w:t>- Localisation</w:t>
      </w:r>
    </w:p>
    <w:p w14:paraId="35E3F73C" w14:textId="77777777" w:rsidR="00DF410E" w:rsidRDefault="00DF410E"/>
    <w:p w14:paraId="05907CE9"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w:t>
      </w:r>
      <w:r>
        <w:t> (par défaut)</w:t>
      </w:r>
      <w:r>
        <w:rPr>
          <w:rStyle w:val="optioncarChar"/>
        </w:rPr>
        <w:t xml:space="preserve"> / ***</w:t>
      </w:r>
      <w:r>
        <w:rPr>
          <w:color w:val="000000"/>
        </w:rPr>
        <w:t>.</w:t>
      </w:r>
    </w:p>
    <w:p w14:paraId="1314AE65" w14:textId="77777777" w:rsidR="00DF410E" w:rsidRDefault="00CE7F43">
      <w:pPr>
        <w:pStyle w:val="pheading"/>
      </w:pPr>
      <w:r>
        <w:t>EXÉCUTION / MISE EN ŒUVRE</w:t>
      </w:r>
    </w:p>
    <w:p w14:paraId="1B731191" w14:textId="77777777" w:rsidR="00DF410E" w:rsidRDefault="00CE7F43">
      <w:pPr>
        <w:pStyle w:val="pheading"/>
      </w:pPr>
      <w:r>
        <w:t>- Notes d’exécution complémentaires</w:t>
      </w:r>
    </w:p>
    <w:p w14:paraId="287595FC" w14:textId="77777777" w:rsidR="00DF410E" w:rsidRDefault="00CE7F43">
      <w:r>
        <w:rPr>
          <w:rStyle w:val="facultChar"/>
        </w:rPr>
        <w:t>Le présent article comprend également  des coupures thermiques :  Des dispositifs adéquats sont utilisés pour éviter tout pont thermique.</w:t>
      </w:r>
    </w:p>
    <w:p w14:paraId="4207A1C3" w14:textId="77777777" w:rsidR="00DF410E" w:rsidRDefault="00CE7F43">
      <w:pPr>
        <w:pStyle w:val="pheading"/>
      </w:pPr>
      <w:r>
        <w:t>MESURAGE</w:t>
      </w:r>
    </w:p>
    <w:p w14:paraId="39D59F0A" w14:textId="77777777" w:rsidR="00DF410E" w:rsidRDefault="00CE7F43">
      <w:pPr>
        <w:pStyle w:val="pheading"/>
      </w:pPr>
      <w:r>
        <w:t>- unité de mesure:</w:t>
      </w:r>
    </w:p>
    <w:p w14:paraId="53431D5F" w14:textId="77777777" w:rsidR="00DF410E" w:rsidRDefault="00DF410E"/>
    <w:p w14:paraId="50CA9E14" w14:textId="77777777" w:rsidR="00DF410E" w:rsidRDefault="00DF410E"/>
    <w:p w14:paraId="081F3392" w14:textId="77777777" w:rsidR="00DF410E" w:rsidRDefault="00CE7F43">
      <w:r>
        <w:rPr>
          <w:b/>
        </w:rPr>
        <w:t>COLONNE</w:t>
      </w:r>
    </w:p>
    <w:p w14:paraId="300A1466" w14:textId="77777777" w:rsidR="00DF410E" w:rsidRDefault="00CE7F43">
      <w:r>
        <w:rPr>
          <w:rStyle w:val="optioncarChar"/>
        </w:rPr>
        <w:t>kg </w:t>
      </w:r>
      <w:r>
        <w:t xml:space="preserve">(par défaut) </w:t>
      </w:r>
      <w:r>
        <w:rPr>
          <w:rStyle w:val="optioncarChar"/>
        </w:rPr>
        <w:t>/ m / pc.</w:t>
      </w:r>
    </w:p>
    <w:p w14:paraId="0DBD54EA" w14:textId="77777777" w:rsidR="00DF410E" w:rsidRDefault="00CE7F43">
      <w:r>
        <w:rPr>
          <w:b/>
          <w:i/>
        </w:rPr>
        <w:t>(Soit par défaut)</w:t>
      </w:r>
    </w:p>
    <w:p w14:paraId="336F4FE7" w14:textId="77777777" w:rsidR="00DF410E" w:rsidRDefault="00CE7F43">
      <w:r>
        <w:rPr>
          <w:rStyle w:val="soitChar"/>
        </w:rPr>
        <w:t> 1. kg.</w:t>
      </w:r>
    </w:p>
    <w:p w14:paraId="505921EA" w14:textId="77777777" w:rsidR="00DF410E" w:rsidRDefault="00CE7F43">
      <w:r>
        <w:rPr>
          <w:b/>
          <w:i/>
        </w:rPr>
        <w:t>(Soit)</w:t>
      </w:r>
    </w:p>
    <w:p w14:paraId="0676F56A" w14:textId="77777777" w:rsidR="00DF410E" w:rsidRDefault="00CE7F43">
      <w:r>
        <w:rPr>
          <w:rStyle w:val="soitChar"/>
        </w:rPr>
        <w:t>  2 ou 3. m</w:t>
      </w:r>
    </w:p>
    <w:p w14:paraId="1CB18A19" w14:textId="77777777" w:rsidR="00DF410E" w:rsidRDefault="00CE7F43">
      <w:r>
        <w:rPr>
          <w:b/>
          <w:i/>
        </w:rPr>
        <w:t>(Soit)</w:t>
      </w:r>
    </w:p>
    <w:p w14:paraId="620BA976" w14:textId="77777777" w:rsidR="00DF410E" w:rsidRDefault="00CE7F43">
      <w:r>
        <w:rPr>
          <w:rStyle w:val="soitChar"/>
        </w:rPr>
        <w:t>  4 ou 5. pc</w:t>
      </w:r>
    </w:p>
    <w:p w14:paraId="7470FF89" w14:textId="77777777" w:rsidR="00DF410E" w:rsidRDefault="00CE7F43">
      <w:r>
        <w:rPr>
          <w:rStyle w:val="soitChar"/>
        </w:rPr>
        <w:t> </w:t>
      </w:r>
    </w:p>
    <w:p w14:paraId="2E082BA6" w14:textId="77777777" w:rsidR="00DF410E" w:rsidRDefault="00CE7F43">
      <w:r>
        <w:rPr>
          <w:b/>
        </w:rPr>
        <w:t>FLOCAGE</w:t>
      </w:r>
    </w:p>
    <w:p w14:paraId="0A7F42F8" w14:textId="77777777" w:rsidR="00DF410E" w:rsidRDefault="00CE7F43">
      <w:r>
        <w:t>Le traitement au feu par flocage est compté séparément et fait l’objet d’un (de) poste(s) supplémentaire(s) dans le présent article :</w:t>
      </w:r>
    </w:p>
    <w:p w14:paraId="4F38D865" w14:textId="77777777" w:rsidR="00DF410E" w:rsidRDefault="00CE7F43">
      <w:r>
        <w:rPr>
          <w:rStyle w:val="optioncarChar"/>
        </w:rPr>
        <w:t xml:space="preserve">m² </w:t>
      </w:r>
      <w:r>
        <w:t>(par défaut)</w:t>
      </w:r>
      <w:r>
        <w:rPr>
          <w:rStyle w:val="optioncarChar"/>
        </w:rPr>
        <w:t xml:space="preserve"> / m / pc.</w:t>
      </w:r>
    </w:p>
    <w:p w14:paraId="52D26C4A" w14:textId="77777777" w:rsidR="00DF410E" w:rsidRDefault="00CE7F43">
      <w:r>
        <w:rPr>
          <w:b/>
          <w:i/>
        </w:rPr>
        <w:t>(Soit par défaut)</w:t>
      </w:r>
    </w:p>
    <w:p w14:paraId="6D91254D" w14:textId="77777777" w:rsidR="00DF410E" w:rsidRDefault="00CE7F43">
      <w:r>
        <w:rPr>
          <w:rStyle w:val="soitChar"/>
        </w:rPr>
        <w:t> 1. m².</w:t>
      </w:r>
    </w:p>
    <w:p w14:paraId="7450F3AE" w14:textId="77777777" w:rsidR="00DF410E" w:rsidRDefault="00CE7F43">
      <w:r>
        <w:rPr>
          <w:b/>
          <w:i/>
        </w:rPr>
        <w:t>(Soit)</w:t>
      </w:r>
    </w:p>
    <w:p w14:paraId="60A14C06" w14:textId="77777777" w:rsidR="00DF410E" w:rsidRDefault="00CE7F43">
      <w:r>
        <w:rPr>
          <w:rStyle w:val="soitChar"/>
        </w:rPr>
        <w:t> 2. m</w:t>
      </w:r>
    </w:p>
    <w:p w14:paraId="26EE7F16" w14:textId="77777777" w:rsidR="00DF410E" w:rsidRDefault="00CE7F43">
      <w:r>
        <w:rPr>
          <w:b/>
          <w:i/>
        </w:rPr>
        <w:t>(Soit)</w:t>
      </w:r>
    </w:p>
    <w:p w14:paraId="268E40F7" w14:textId="77777777" w:rsidR="00DF410E" w:rsidRDefault="00CE7F43">
      <w:r>
        <w:rPr>
          <w:rStyle w:val="soitChar"/>
        </w:rPr>
        <w:t> 3. pc</w:t>
      </w:r>
    </w:p>
    <w:p w14:paraId="3A5F12A1" w14:textId="77777777" w:rsidR="00DF410E" w:rsidRDefault="00DF410E"/>
    <w:p w14:paraId="6C5A8E97" w14:textId="77777777" w:rsidR="00DF410E" w:rsidRDefault="00CE7F43">
      <w:r>
        <w:rPr>
          <w:b/>
        </w:rPr>
        <w:t>COUPURE THERMIQUE</w:t>
      </w:r>
    </w:p>
    <w:p w14:paraId="691D2A78" w14:textId="77777777" w:rsidR="00DF410E" w:rsidRDefault="00CE7F43">
      <w:r>
        <w:rPr>
          <w:rStyle w:val="optioncarChar"/>
        </w:rPr>
        <w:t>pièce</w:t>
      </w:r>
    </w:p>
    <w:p w14:paraId="1EF321ED" w14:textId="77777777" w:rsidR="00DF410E" w:rsidRDefault="00CE7F43">
      <w:pPr>
        <w:pStyle w:val="pheading"/>
      </w:pPr>
      <w:r>
        <w:t>- code de mesurage:</w:t>
      </w:r>
    </w:p>
    <w:p w14:paraId="70693CE3" w14:textId="77777777" w:rsidR="00DF410E" w:rsidRDefault="00DF410E"/>
    <w:p w14:paraId="1051CEB9" w14:textId="77777777" w:rsidR="00DF410E" w:rsidRDefault="00DF410E"/>
    <w:p w14:paraId="2D74453B" w14:textId="77777777" w:rsidR="00DF410E" w:rsidRDefault="00CE7F43">
      <w:r>
        <w:rPr>
          <w:b/>
        </w:rPr>
        <w:t>COLONNE</w:t>
      </w:r>
    </w:p>
    <w:p w14:paraId="6090C0D9" w14:textId="77777777" w:rsidR="00DF410E" w:rsidRDefault="00CE7F43">
      <w:r>
        <w:t>Distinctions faites suivant les types de profilés, nuances et qualités d’acier.</w:t>
      </w:r>
    </w:p>
    <w:p w14:paraId="2C432B8F"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27EAE7EA" w14:textId="77777777" w:rsidR="00DF410E" w:rsidRDefault="00CE7F43">
      <w:r>
        <w:rPr>
          <w:b/>
          <w:i/>
        </w:rPr>
        <w:t>(Soit par défaut)</w:t>
      </w:r>
    </w:p>
    <w:p w14:paraId="79CFC31D"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27D17D6" w14:textId="77777777" w:rsidR="00DF410E" w:rsidRDefault="00CE7F43">
      <w:r>
        <w:rPr>
          <w:b/>
          <w:i/>
        </w:rPr>
        <w:t>(Soit)</w:t>
      </w:r>
    </w:p>
    <w:p w14:paraId="04084097"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BA29E25" w14:textId="77777777" w:rsidR="00DF410E" w:rsidRDefault="00CE7F43">
      <w:r>
        <w:rPr>
          <w:b/>
          <w:i/>
        </w:rPr>
        <w:t>(Soit)</w:t>
      </w:r>
    </w:p>
    <w:p w14:paraId="3899E19C"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270F44B" w14:textId="77777777" w:rsidR="00DF410E" w:rsidRDefault="00CE7F43">
      <w:r>
        <w:rPr>
          <w:b/>
          <w:i/>
        </w:rPr>
        <w:t>(Soit)</w:t>
      </w:r>
    </w:p>
    <w:p w14:paraId="425893D3"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5B2BD06F" w14:textId="77777777" w:rsidR="00DF410E" w:rsidRDefault="00CE7F43">
      <w:r>
        <w:rPr>
          <w:b/>
          <w:i/>
        </w:rPr>
        <w:t>(Soit)</w:t>
      </w:r>
    </w:p>
    <w:p w14:paraId="3AE80772"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72726113" w14:textId="77777777" w:rsidR="00DF410E" w:rsidRDefault="00DF410E"/>
    <w:p w14:paraId="29030CBE" w14:textId="77777777" w:rsidR="00DF410E" w:rsidRDefault="00CE7F43">
      <w:r>
        <w:rPr>
          <w:b/>
        </w:rPr>
        <w:t>FLOCAGE</w:t>
      </w:r>
    </w:p>
    <w:p w14:paraId="750C8BCB"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D5BE27A" w14:textId="77777777" w:rsidR="00DF410E" w:rsidRDefault="00CE7F43">
      <w:r>
        <w:rPr>
          <w:b/>
          <w:i/>
        </w:rPr>
        <w:t>(Soit par défaut)</w:t>
      </w:r>
    </w:p>
    <w:p w14:paraId="490C6CB6"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CB36ED6" w14:textId="77777777" w:rsidR="00DF410E" w:rsidRDefault="00CE7F43">
      <w:r>
        <w:rPr>
          <w:b/>
          <w:i/>
        </w:rPr>
        <w:t>(Soit)</w:t>
      </w:r>
    </w:p>
    <w:p w14:paraId="0AAFF717"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BA6DDD6" w14:textId="77777777" w:rsidR="00DF410E" w:rsidRDefault="00CE7F43">
      <w:r>
        <w:rPr>
          <w:b/>
          <w:i/>
        </w:rPr>
        <w:t>(Soit)</w:t>
      </w:r>
    </w:p>
    <w:p w14:paraId="6B992239"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6CC2C97C" w14:textId="77777777" w:rsidR="00DF410E" w:rsidRDefault="00DF410E"/>
    <w:p w14:paraId="07B87FBA" w14:textId="77777777" w:rsidR="00DF410E" w:rsidRDefault="00CE7F43">
      <w:pPr>
        <w:spacing w:after="0" w:line="256" w:lineRule="auto"/>
        <w:jc w:val="both"/>
      </w:pPr>
      <w:r>
        <w:rPr>
          <w:b/>
        </w:rPr>
        <w:t>COUPURE THERMIQUE</w:t>
      </w:r>
    </w:p>
    <w:p w14:paraId="4C08C8C7" w14:textId="77777777" w:rsidR="00DF410E" w:rsidRDefault="00CE7F43">
      <w:r>
        <w:rPr>
          <w:rStyle w:val="optioncarChar"/>
        </w:rPr>
        <w:t>À la pièce, ventilée suivant les types d’éléments</w:t>
      </w:r>
    </w:p>
    <w:p w14:paraId="080B5BB4" w14:textId="77777777" w:rsidR="00DF410E" w:rsidRDefault="00CE7F43">
      <w:pPr>
        <w:pStyle w:val="pheading"/>
      </w:pPr>
      <w:r>
        <w:t>- nature du marché:</w:t>
      </w:r>
    </w:p>
    <w:p w14:paraId="36C9C0F6" w14:textId="77777777" w:rsidR="00DF410E" w:rsidRDefault="00DF410E"/>
    <w:p w14:paraId="74FC7C86" w14:textId="77777777" w:rsidR="00DF410E" w:rsidRDefault="00DF410E"/>
    <w:p w14:paraId="154214BF" w14:textId="77777777" w:rsidR="00DF410E" w:rsidRDefault="00CE7F43">
      <w:r>
        <w:rPr>
          <w:rStyle w:val="optioncarChar"/>
        </w:rPr>
        <w:t>QF</w:t>
      </w:r>
      <w:r>
        <w:t xml:space="preserve"> (par défaut) </w:t>
      </w:r>
      <w:r>
        <w:rPr>
          <w:rStyle w:val="optioncarChar"/>
        </w:rPr>
        <w:t>/ QP</w:t>
      </w:r>
    </w:p>
    <w:p w14:paraId="2322A4CD" w14:textId="77777777" w:rsidR="00DF410E" w:rsidRDefault="00CE7F43">
      <w:pPr>
        <w:pStyle w:val="soit"/>
      </w:pPr>
      <w:r>
        <w:rPr>
          <w:rStyle w:val="normalChar"/>
          <w:b/>
          <w:i/>
          <w:color w:val="000000"/>
        </w:rPr>
        <w:t xml:space="preserve">(Soit par défaut) </w:t>
      </w:r>
    </w:p>
    <w:p w14:paraId="031915E8" w14:textId="77777777" w:rsidR="00DF410E" w:rsidRDefault="00CE7F43">
      <w:r>
        <w:rPr>
          <w:rStyle w:val="soitChar"/>
        </w:rPr>
        <w:t xml:space="preserve">1. QF </w:t>
      </w:r>
    </w:p>
    <w:p w14:paraId="746A190E" w14:textId="77777777" w:rsidR="00DF410E" w:rsidRDefault="00CE7F43">
      <w:r>
        <w:rPr>
          <w:b/>
          <w:i/>
        </w:rPr>
        <w:t>(Soit)</w:t>
      </w:r>
    </w:p>
    <w:p w14:paraId="25501BA3" w14:textId="77777777" w:rsidR="00DF410E" w:rsidRDefault="00CE7F43">
      <w:r>
        <w:rPr>
          <w:rStyle w:val="soitChar"/>
        </w:rPr>
        <w:t>2. QP</w:t>
      </w:r>
    </w:p>
    <w:p w14:paraId="0D40F5D7" w14:textId="77777777" w:rsidR="00DF410E" w:rsidRDefault="00CE7F43">
      <w:pPr>
        <w:pStyle w:val="Author-eSectionHeading6"/>
      </w:pPr>
      <w:bookmarkStart w:id="1232" w:name="_Toc178838352"/>
      <w:r>
        <w:t>23.14.3b Colonnes reconstituées en profilés d'acier inoxydable CCTB 01.11</w:t>
      </w:r>
      <w:bookmarkEnd w:id="1232"/>
    </w:p>
    <w:p w14:paraId="1023E05F" w14:textId="77777777" w:rsidR="00DF410E" w:rsidRDefault="00CE7F43">
      <w:pPr>
        <w:pStyle w:val="pheading"/>
      </w:pPr>
      <w:r>
        <w:t>DESCRIPTION</w:t>
      </w:r>
    </w:p>
    <w:p w14:paraId="4B6356E1" w14:textId="77777777" w:rsidR="00DF410E" w:rsidRDefault="00CE7F43">
      <w:pPr>
        <w:pStyle w:val="pheading"/>
      </w:pPr>
      <w:r>
        <w:t>- Définition / Comprend</w:t>
      </w:r>
    </w:p>
    <w:p w14:paraId="3D08E2AF" w14:textId="77777777" w:rsidR="00DF410E" w:rsidRDefault="00DF410E"/>
    <w:p w14:paraId="18ED3176" w14:textId="77777777" w:rsidR="00DF410E" w:rsidRDefault="00CE7F43">
      <w:r>
        <w:t>Il s'agit de l’ensemble des colonnes reconstituées soudées à partir d’éléments en acier inoxydable conformes à la [NBN EN 10088 série]. L’assemblage de ces éléments est conforme à la [NBN EN 1090-2]. </w:t>
      </w:r>
    </w:p>
    <w:p w14:paraId="5E8F4632" w14:textId="77777777" w:rsidR="00DF410E" w:rsidRDefault="00CE7F43">
      <w:pPr>
        <w:pStyle w:val="pheading"/>
      </w:pPr>
      <w:r>
        <w:t>- Localisation</w:t>
      </w:r>
    </w:p>
    <w:p w14:paraId="3984CD32" w14:textId="77777777" w:rsidR="00DF410E" w:rsidRDefault="00DF410E"/>
    <w:p w14:paraId="36C0D99F"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w:t>
      </w:r>
      <w:r>
        <w:t> (par défaut)</w:t>
      </w:r>
      <w:r>
        <w:rPr>
          <w:rStyle w:val="optioncarChar"/>
        </w:rPr>
        <w:t xml:space="preserve"> / *** .</w:t>
      </w:r>
    </w:p>
    <w:p w14:paraId="1F69762A" w14:textId="77777777" w:rsidR="00DF410E" w:rsidRDefault="00CE7F43">
      <w:pPr>
        <w:pStyle w:val="pheading"/>
      </w:pPr>
      <w:r>
        <w:t>EXÉCUTION / MISE EN ŒUVRE</w:t>
      </w:r>
    </w:p>
    <w:p w14:paraId="2BE6F516" w14:textId="77777777" w:rsidR="00DF410E" w:rsidRDefault="00CE7F43">
      <w:pPr>
        <w:pStyle w:val="pheading"/>
      </w:pPr>
      <w:r>
        <w:t>- Notes d’exécution complémentaires</w:t>
      </w:r>
    </w:p>
    <w:p w14:paraId="56551FF0" w14:textId="77777777" w:rsidR="00DF410E" w:rsidRDefault="00CE7F43">
      <w:r>
        <w:rPr>
          <w:rStyle w:val="facultChar"/>
        </w:rPr>
        <w:t>Le présent article comprend également des coupures thermiques : Des dispositifs adéquats sont utilisés pour éviter tout pont thermique.</w:t>
      </w:r>
    </w:p>
    <w:p w14:paraId="1AB716F4" w14:textId="77777777" w:rsidR="00DF410E" w:rsidRDefault="00CE7F43">
      <w:pPr>
        <w:pStyle w:val="pheading"/>
      </w:pPr>
      <w:r>
        <w:t>MESURAGE</w:t>
      </w:r>
    </w:p>
    <w:p w14:paraId="7CF83D2B" w14:textId="77777777" w:rsidR="00DF410E" w:rsidRDefault="00CE7F43">
      <w:pPr>
        <w:pStyle w:val="pheading"/>
      </w:pPr>
      <w:r>
        <w:t>- unité de mesure:</w:t>
      </w:r>
    </w:p>
    <w:p w14:paraId="5A4F931B" w14:textId="77777777" w:rsidR="00DF410E" w:rsidRDefault="00DF410E"/>
    <w:p w14:paraId="39CB4FA5" w14:textId="77777777" w:rsidR="00DF410E" w:rsidRDefault="00DF410E"/>
    <w:p w14:paraId="47BB48CE" w14:textId="77777777" w:rsidR="00DF410E" w:rsidRDefault="00CE7F43">
      <w:r>
        <w:rPr>
          <w:b/>
        </w:rPr>
        <w:t>COLONNE</w:t>
      </w:r>
    </w:p>
    <w:p w14:paraId="76E4D4D5" w14:textId="77777777" w:rsidR="00DF410E" w:rsidRDefault="00CE7F43">
      <w:r>
        <w:rPr>
          <w:rStyle w:val="optioncarChar"/>
        </w:rPr>
        <w:t>kg </w:t>
      </w:r>
      <w:r>
        <w:t xml:space="preserve">(par défaut) </w:t>
      </w:r>
      <w:r>
        <w:rPr>
          <w:rStyle w:val="optioncarChar"/>
        </w:rPr>
        <w:t>/ m / pc.</w:t>
      </w:r>
    </w:p>
    <w:p w14:paraId="43C5F2F4" w14:textId="77777777" w:rsidR="00DF410E" w:rsidRDefault="00CE7F43">
      <w:r>
        <w:rPr>
          <w:b/>
          <w:i/>
        </w:rPr>
        <w:t>(Soit par défaut)</w:t>
      </w:r>
    </w:p>
    <w:p w14:paraId="1C0652FC" w14:textId="77777777" w:rsidR="00DF410E" w:rsidRDefault="00CE7F43">
      <w:r>
        <w:rPr>
          <w:rStyle w:val="soitChar"/>
        </w:rPr>
        <w:t> 1. kg.</w:t>
      </w:r>
    </w:p>
    <w:p w14:paraId="39AA46F1" w14:textId="77777777" w:rsidR="00DF410E" w:rsidRDefault="00CE7F43">
      <w:r>
        <w:rPr>
          <w:b/>
          <w:i/>
        </w:rPr>
        <w:t>(Soit)</w:t>
      </w:r>
    </w:p>
    <w:p w14:paraId="54706AA2" w14:textId="77777777" w:rsidR="00DF410E" w:rsidRDefault="00CE7F43">
      <w:r>
        <w:rPr>
          <w:rStyle w:val="soitChar"/>
        </w:rPr>
        <w:t>  2 ou 3. m</w:t>
      </w:r>
    </w:p>
    <w:p w14:paraId="77B7B5F2" w14:textId="77777777" w:rsidR="00DF410E" w:rsidRDefault="00CE7F43">
      <w:r>
        <w:rPr>
          <w:b/>
          <w:i/>
        </w:rPr>
        <w:t>(Soit)</w:t>
      </w:r>
    </w:p>
    <w:p w14:paraId="5DCBF0BC" w14:textId="77777777" w:rsidR="00DF410E" w:rsidRDefault="00CE7F43">
      <w:r>
        <w:rPr>
          <w:rStyle w:val="soitChar"/>
        </w:rPr>
        <w:t>  4 ou 5. pc</w:t>
      </w:r>
    </w:p>
    <w:p w14:paraId="73DF44D2" w14:textId="77777777" w:rsidR="00DF410E" w:rsidRDefault="00CE7F43">
      <w:r>
        <w:rPr>
          <w:rStyle w:val="soitChar"/>
        </w:rPr>
        <w:t> </w:t>
      </w:r>
    </w:p>
    <w:p w14:paraId="5760150A" w14:textId="77777777" w:rsidR="00DF410E" w:rsidRDefault="00CE7F43">
      <w:r>
        <w:rPr>
          <w:b/>
        </w:rPr>
        <w:t>FLOCAGE</w:t>
      </w:r>
    </w:p>
    <w:p w14:paraId="1C13F814" w14:textId="77777777" w:rsidR="00DF410E" w:rsidRDefault="00CE7F43">
      <w:r>
        <w:t>Le traitement au feu par flocage est compté séparément et fait l’objet d’un (de) poste(s) supplémentaire(s) dans le présent article :</w:t>
      </w:r>
    </w:p>
    <w:p w14:paraId="4520C9C4" w14:textId="77777777" w:rsidR="00DF410E" w:rsidRDefault="00CE7F43">
      <w:r>
        <w:rPr>
          <w:rStyle w:val="optioncarChar"/>
        </w:rPr>
        <w:t xml:space="preserve">m² </w:t>
      </w:r>
      <w:r>
        <w:t>(par défaut)</w:t>
      </w:r>
      <w:r>
        <w:rPr>
          <w:rStyle w:val="optioncarChar"/>
        </w:rPr>
        <w:t xml:space="preserve"> / m / pc.</w:t>
      </w:r>
    </w:p>
    <w:p w14:paraId="15E94E61" w14:textId="77777777" w:rsidR="00DF410E" w:rsidRDefault="00CE7F43">
      <w:r>
        <w:rPr>
          <w:b/>
          <w:i/>
        </w:rPr>
        <w:t>(Soit par défaut)</w:t>
      </w:r>
    </w:p>
    <w:p w14:paraId="3270A17A" w14:textId="77777777" w:rsidR="00DF410E" w:rsidRDefault="00CE7F43">
      <w:r>
        <w:rPr>
          <w:rStyle w:val="soitChar"/>
        </w:rPr>
        <w:t> 1. m².</w:t>
      </w:r>
    </w:p>
    <w:p w14:paraId="25EF8EAD" w14:textId="77777777" w:rsidR="00DF410E" w:rsidRDefault="00CE7F43">
      <w:r>
        <w:rPr>
          <w:b/>
          <w:i/>
        </w:rPr>
        <w:t>(Soit)</w:t>
      </w:r>
    </w:p>
    <w:p w14:paraId="72415604" w14:textId="77777777" w:rsidR="00DF410E" w:rsidRDefault="00CE7F43">
      <w:r>
        <w:rPr>
          <w:rStyle w:val="soitChar"/>
        </w:rPr>
        <w:t> 2. m</w:t>
      </w:r>
    </w:p>
    <w:p w14:paraId="4F8DC91E" w14:textId="77777777" w:rsidR="00DF410E" w:rsidRDefault="00CE7F43">
      <w:r>
        <w:rPr>
          <w:b/>
          <w:i/>
        </w:rPr>
        <w:t>(Soit)</w:t>
      </w:r>
    </w:p>
    <w:p w14:paraId="0D6972DF" w14:textId="77777777" w:rsidR="00DF410E" w:rsidRDefault="00CE7F43">
      <w:r>
        <w:rPr>
          <w:rStyle w:val="soitChar"/>
        </w:rPr>
        <w:t> 3. pc</w:t>
      </w:r>
    </w:p>
    <w:p w14:paraId="216888DD" w14:textId="77777777" w:rsidR="00DF410E" w:rsidRDefault="00DF410E"/>
    <w:p w14:paraId="42575470" w14:textId="77777777" w:rsidR="00DF410E" w:rsidRDefault="00CE7F43">
      <w:r>
        <w:rPr>
          <w:b/>
        </w:rPr>
        <w:t>COUPURE THERMIQUE</w:t>
      </w:r>
    </w:p>
    <w:p w14:paraId="2B4F1179" w14:textId="77777777" w:rsidR="00DF410E" w:rsidRDefault="00CE7F43">
      <w:r>
        <w:rPr>
          <w:rStyle w:val="optioncarChar"/>
        </w:rPr>
        <w:t>pièce</w:t>
      </w:r>
    </w:p>
    <w:p w14:paraId="135E1F0F" w14:textId="77777777" w:rsidR="00DF410E" w:rsidRDefault="00CE7F43">
      <w:pPr>
        <w:pStyle w:val="pheading"/>
      </w:pPr>
      <w:r>
        <w:t>- code de mesurage:</w:t>
      </w:r>
    </w:p>
    <w:p w14:paraId="1CDA3C99" w14:textId="77777777" w:rsidR="00DF410E" w:rsidRDefault="00DF410E"/>
    <w:p w14:paraId="7B536B42" w14:textId="77777777" w:rsidR="00DF410E" w:rsidRDefault="00DF410E"/>
    <w:p w14:paraId="4A46AD39" w14:textId="77777777" w:rsidR="00DF410E" w:rsidRDefault="00CE7F43">
      <w:r>
        <w:rPr>
          <w:b/>
        </w:rPr>
        <w:t>COLONNE</w:t>
      </w:r>
    </w:p>
    <w:p w14:paraId="1470536E" w14:textId="77777777" w:rsidR="00DF410E" w:rsidRDefault="00CE7F43">
      <w:r>
        <w:t>Distinctions faites suivant les types de profilés, nuances et qualités d’acier.</w:t>
      </w:r>
    </w:p>
    <w:p w14:paraId="343D4FC5"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2F2A03DF" w14:textId="77777777" w:rsidR="00DF410E" w:rsidRDefault="00CE7F43">
      <w:r>
        <w:rPr>
          <w:b/>
          <w:i/>
        </w:rPr>
        <w:t>(Soit par défaut)</w:t>
      </w:r>
    </w:p>
    <w:p w14:paraId="79E34A8A"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FAF89BE" w14:textId="77777777" w:rsidR="00DF410E" w:rsidRDefault="00CE7F43">
      <w:r>
        <w:rPr>
          <w:b/>
          <w:i/>
        </w:rPr>
        <w:t>(Soit)</w:t>
      </w:r>
    </w:p>
    <w:p w14:paraId="2C44105F"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A34D7E4" w14:textId="77777777" w:rsidR="00DF410E" w:rsidRDefault="00CE7F43">
      <w:r>
        <w:rPr>
          <w:b/>
          <w:i/>
        </w:rPr>
        <w:t>(Soit)</w:t>
      </w:r>
    </w:p>
    <w:p w14:paraId="684B1553"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37E06A4" w14:textId="77777777" w:rsidR="00DF410E" w:rsidRDefault="00CE7F43">
      <w:r>
        <w:rPr>
          <w:b/>
          <w:i/>
        </w:rPr>
        <w:t>(Soit)</w:t>
      </w:r>
    </w:p>
    <w:p w14:paraId="34D1943A"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73035F5" w14:textId="77777777" w:rsidR="00DF410E" w:rsidRDefault="00CE7F43">
      <w:r>
        <w:rPr>
          <w:b/>
          <w:i/>
        </w:rPr>
        <w:t>(Soit)</w:t>
      </w:r>
    </w:p>
    <w:p w14:paraId="3F92DD62"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0043C93B" w14:textId="77777777" w:rsidR="00DF410E" w:rsidRDefault="00DF410E"/>
    <w:p w14:paraId="438B7AA1" w14:textId="77777777" w:rsidR="00DF410E" w:rsidRDefault="00CE7F43">
      <w:r>
        <w:rPr>
          <w:b/>
        </w:rPr>
        <w:t>FLOCAGE</w:t>
      </w:r>
    </w:p>
    <w:p w14:paraId="58EC540C"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D612540" w14:textId="77777777" w:rsidR="00DF410E" w:rsidRDefault="00CE7F43">
      <w:r>
        <w:rPr>
          <w:b/>
          <w:i/>
        </w:rPr>
        <w:t>(Soit par défaut)</w:t>
      </w:r>
    </w:p>
    <w:p w14:paraId="12DF00BD"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102C0923" w14:textId="77777777" w:rsidR="00DF410E" w:rsidRDefault="00CE7F43">
      <w:r>
        <w:rPr>
          <w:b/>
          <w:i/>
        </w:rPr>
        <w:t>(Soit)</w:t>
      </w:r>
    </w:p>
    <w:p w14:paraId="04673938"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70AC0FC" w14:textId="77777777" w:rsidR="00DF410E" w:rsidRDefault="00CE7F43">
      <w:r>
        <w:rPr>
          <w:b/>
          <w:i/>
        </w:rPr>
        <w:t>(Soit)</w:t>
      </w:r>
    </w:p>
    <w:p w14:paraId="429A3A65"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1BF0D08" w14:textId="77777777" w:rsidR="00DF410E" w:rsidRDefault="00DF410E"/>
    <w:p w14:paraId="0963CBAB" w14:textId="77777777" w:rsidR="00DF410E" w:rsidRDefault="00CE7F43">
      <w:pPr>
        <w:spacing w:after="0" w:line="256" w:lineRule="auto"/>
        <w:jc w:val="both"/>
      </w:pPr>
      <w:r>
        <w:rPr>
          <w:b/>
        </w:rPr>
        <w:t>COUPURE THERMIQUE</w:t>
      </w:r>
    </w:p>
    <w:p w14:paraId="548917D7" w14:textId="77777777" w:rsidR="00DF410E" w:rsidRDefault="00CE7F43">
      <w:r>
        <w:rPr>
          <w:rStyle w:val="optioncarChar"/>
        </w:rPr>
        <w:t>À la pièce, ventilée suivant les types d’éléments</w:t>
      </w:r>
    </w:p>
    <w:p w14:paraId="2A648034" w14:textId="77777777" w:rsidR="00DF410E" w:rsidRDefault="00CE7F43">
      <w:pPr>
        <w:pStyle w:val="pheading"/>
      </w:pPr>
      <w:r>
        <w:t>- nature du marché:</w:t>
      </w:r>
    </w:p>
    <w:p w14:paraId="6C971059" w14:textId="77777777" w:rsidR="00DF410E" w:rsidRDefault="00DF410E"/>
    <w:p w14:paraId="7A5B0EC7" w14:textId="77777777" w:rsidR="00DF410E" w:rsidRDefault="00DF410E"/>
    <w:p w14:paraId="1252F097" w14:textId="77777777" w:rsidR="00DF410E" w:rsidRDefault="00CE7F43">
      <w:r>
        <w:rPr>
          <w:rStyle w:val="optioncarChar"/>
        </w:rPr>
        <w:t>QF</w:t>
      </w:r>
      <w:r>
        <w:t xml:space="preserve"> (par défaut) </w:t>
      </w:r>
      <w:r>
        <w:rPr>
          <w:rStyle w:val="optioncarChar"/>
        </w:rPr>
        <w:t>/ QP</w:t>
      </w:r>
    </w:p>
    <w:p w14:paraId="12E493EB" w14:textId="77777777" w:rsidR="00DF410E" w:rsidRDefault="00CE7F43">
      <w:pPr>
        <w:pStyle w:val="soit"/>
      </w:pPr>
      <w:r>
        <w:rPr>
          <w:rStyle w:val="normalChar"/>
          <w:b/>
          <w:i/>
          <w:color w:val="000000"/>
        </w:rPr>
        <w:t xml:space="preserve">(Soit par défaut) </w:t>
      </w:r>
    </w:p>
    <w:p w14:paraId="660B67A6" w14:textId="77777777" w:rsidR="00DF410E" w:rsidRDefault="00CE7F43">
      <w:r>
        <w:rPr>
          <w:rStyle w:val="soitChar"/>
        </w:rPr>
        <w:t xml:space="preserve">1. QF </w:t>
      </w:r>
    </w:p>
    <w:p w14:paraId="5E943DDE" w14:textId="77777777" w:rsidR="00DF410E" w:rsidRDefault="00CE7F43">
      <w:r>
        <w:rPr>
          <w:b/>
          <w:i/>
        </w:rPr>
        <w:t>(Soit)</w:t>
      </w:r>
    </w:p>
    <w:p w14:paraId="7816636F" w14:textId="77777777" w:rsidR="00DF410E" w:rsidRDefault="00CE7F43">
      <w:r>
        <w:rPr>
          <w:rStyle w:val="soitChar"/>
        </w:rPr>
        <w:t>2. QP</w:t>
      </w:r>
    </w:p>
    <w:p w14:paraId="0DF187D9" w14:textId="77777777" w:rsidR="00DF410E" w:rsidRDefault="00CE7F43">
      <w:pPr>
        <w:pStyle w:val="Author-eSectionHeading6"/>
      </w:pPr>
      <w:bookmarkStart w:id="1233" w:name="_Toc178838353"/>
      <w:r>
        <w:t>23.14.3c Colonnes en treillis en acier inoxydable CCTB 01.11</w:t>
      </w:r>
      <w:bookmarkEnd w:id="1233"/>
    </w:p>
    <w:p w14:paraId="05F54051" w14:textId="77777777" w:rsidR="00DF410E" w:rsidRDefault="00CE7F43">
      <w:pPr>
        <w:pStyle w:val="pheading"/>
      </w:pPr>
      <w:r>
        <w:t>DESCRIPTION</w:t>
      </w:r>
    </w:p>
    <w:p w14:paraId="2CB1048C" w14:textId="77777777" w:rsidR="00DF410E" w:rsidRDefault="00CE7F43">
      <w:pPr>
        <w:pStyle w:val="pheading"/>
      </w:pPr>
      <w:r>
        <w:t>- Définition / Comprend</w:t>
      </w:r>
    </w:p>
    <w:p w14:paraId="1E082D47" w14:textId="77777777" w:rsidR="00DF410E" w:rsidRDefault="00CE7F43">
      <w:r>
        <w:t>Il s'agit de l’ensemble des colonnes en treillis constituées d’éléments en acier inoxydable conformes à la [NBN EN 10088 série]. Une colonne en treillis est formée d’éléments assemblés entre eux formant une triangulation. Cette colonne comprend deux membrures reliées par des éléments horizontaux et/ou obliques (montants et/ou diagonales).  La réalisation de cette colonne est conforme à la [NBN EN 1090-2]. </w:t>
      </w:r>
    </w:p>
    <w:p w14:paraId="3ABDBC08" w14:textId="77777777" w:rsidR="00DF410E" w:rsidRDefault="00CE7F43">
      <w:pPr>
        <w:pStyle w:val="pheading"/>
      </w:pPr>
      <w:r>
        <w:t>- Localisation</w:t>
      </w:r>
    </w:p>
    <w:p w14:paraId="1BE36470" w14:textId="77777777" w:rsidR="00DF410E" w:rsidRDefault="00DF410E"/>
    <w:p w14:paraId="7D90D4E1"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14:paraId="3843C4C8" w14:textId="77777777" w:rsidR="00DF410E" w:rsidRDefault="00CE7F43">
      <w:pPr>
        <w:pStyle w:val="pheading"/>
      </w:pPr>
      <w:r>
        <w:t>EXÉCUTION / MISE EN ŒUVRE</w:t>
      </w:r>
    </w:p>
    <w:p w14:paraId="1AE10F0A" w14:textId="77777777" w:rsidR="00DF410E" w:rsidRDefault="00CE7F43">
      <w:pPr>
        <w:pStyle w:val="pheading"/>
      </w:pPr>
      <w:r>
        <w:t>- Notes d’exécution complémentaires</w:t>
      </w:r>
    </w:p>
    <w:p w14:paraId="470AB911" w14:textId="77777777" w:rsidR="00DF410E" w:rsidRDefault="00DF410E"/>
    <w:p w14:paraId="016A9121" w14:textId="77777777" w:rsidR="00DF410E" w:rsidRDefault="00DF410E"/>
    <w:p w14:paraId="704E4B31" w14:textId="77777777" w:rsidR="00DF410E" w:rsidRDefault="00CE7F43">
      <w:pPr>
        <w:spacing w:after="0" w:line="256" w:lineRule="auto"/>
      </w:pPr>
      <w:r>
        <w:rPr>
          <w:rStyle w:val="facultChar"/>
          <w:i/>
        </w:rPr>
        <w:t xml:space="preserve">Le présent article comprend également : </w:t>
      </w:r>
      <w:r>
        <w:rPr>
          <w:rStyle w:val="optioncarChar"/>
          <w:i/>
        </w:rPr>
        <w:t>des coupures thermiques</w:t>
      </w:r>
      <w:r>
        <w:rPr>
          <w:i/>
          <w:color w:val="FF0000"/>
        </w:rPr>
        <w:t>.</w:t>
      </w:r>
    </w:p>
    <w:p w14:paraId="06A79D74" w14:textId="77777777" w:rsidR="00DF410E" w:rsidRDefault="00CE7F43">
      <w:pPr>
        <w:pStyle w:val="Author-eListParagraph"/>
        <w:numPr>
          <w:ilvl w:val="0"/>
          <w:numId w:val="689"/>
        </w:numPr>
      </w:pPr>
      <w:r>
        <w:rPr>
          <w:rFonts w:ascii="Times New Roman"/>
          <w:color w:val="3366FF"/>
          <w:sz w:val="14"/>
        </w:rPr>
        <w:t> </w:t>
      </w:r>
      <w:r>
        <w:rPr>
          <w:rStyle w:val="facultChar"/>
          <w:i/>
          <w:u w:val="single"/>
        </w:rPr>
        <w:t>Coupures thermiques</w:t>
      </w:r>
    </w:p>
    <w:p w14:paraId="67501386" w14:textId="77777777" w:rsidR="00DF410E" w:rsidRDefault="00CE7F43">
      <w:pPr>
        <w:spacing w:line="256" w:lineRule="auto"/>
      </w:pPr>
      <w:r>
        <w:rPr>
          <w:rStyle w:val="facultChar"/>
          <w:i/>
        </w:rPr>
        <w:t>Des dispositifs adéquats sont utilisés pour éviter tout pont thermique.</w:t>
      </w:r>
    </w:p>
    <w:p w14:paraId="0609F837" w14:textId="77777777" w:rsidR="00DF410E" w:rsidRDefault="00CE7F43">
      <w:pPr>
        <w:pStyle w:val="pheading"/>
      </w:pPr>
      <w:r>
        <w:t>MESURAGE</w:t>
      </w:r>
    </w:p>
    <w:p w14:paraId="4784051C" w14:textId="77777777" w:rsidR="00DF410E" w:rsidRDefault="00CE7F43">
      <w:pPr>
        <w:pStyle w:val="pheading"/>
      </w:pPr>
      <w:r>
        <w:t>- unité de mesure:</w:t>
      </w:r>
    </w:p>
    <w:p w14:paraId="2EC4E6AE" w14:textId="77777777" w:rsidR="00DF410E" w:rsidRDefault="00DF410E"/>
    <w:p w14:paraId="52D25D14" w14:textId="77777777" w:rsidR="00DF410E" w:rsidRDefault="00DF410E"/>
    <w:p w14:paraId="6B49A71F" w14:textId="77777777" w:rsidR="00DF410E" w:rsidRDefault="00CE7F43">
      <w:r>
        <w:rPr>
          <w:b/>
        </w:rPr>
        <w:t>COLONNE</w:t>
      </w:r>
    </w:p>
    <w:p w14:paraId="039D4ED2" w14:textId="77777777" w:rsidR="00DF410E" w:rsidRDefault="00CE7F43">
      <w:r>
        <w:rPr>
          <w:rStyle w:val="optioncarChar"/>
        </w:rPr>
        <w:t>kg </w:t>
      </w:r>
      <w:r>
        <w:t xml:space="preserve">(par défaut) </w:t>
      </w:r>
      <w:r>
        <w:rPr>
          <w:rStyle w:val="optioncarChar"/>
        </w:rPr>
        <w:t>/ m / pc.</w:t>
      </w:r>
    </w:p>
    <w:p w14:paraId="44E579D3" w14:textId="77777777" w:rsidR="00DF410E" w:rsidRDefault="00CE7F43">
      <w:r>
        <w:rPr>
          <w:b/>
          <w:i/>
        </w:rPr>
        <w:t>(Soit par défaut)</w:t>
      </w:r>
    </w:p>
    <w:p w14:paraId="327F5B96" w14:textId="77777777" w:rsidR="00DF410E" w:rsidRDefault="00CE7F43">
      <w:r>
        <w:rPr>
          <w:rStyle w:val="soitChar"/>
        </w:rPr>
        <w:t> 1. kg.</w:t>
      </w:r>
    </w:p>
    <w:p w14:paraId="5AE94B5A" w14:textId="77777777" w:rsidR="00DF410E" w:rsidRDefault="00CE7F43">
      <w:r>
        <w:rPr>
          <w:b/>
          <w:i/>
        </w:rPr>
        <w:t>(Soit)</w:t>
      </w:r>
    </w:p>
    <w:p w14:paraId="42FCAEEF" w14:textId="77777777" w:rsidR="00DF410E" w:rsidRDefault="00CE7F43">
      <w:r>
        <w:rPr>
          <w:rStyle w:val="soitChar"/>
        </w:rPr>
        <w:t>  2 ou 3. m</w:t>
      </w:r>
    </w:p>
    <w:p w14:paraId="72CFEE99" w14:textId="77777777" w:rsidR="00DF410E" w:rsidRDefault="00CE7F43">
      <w:r>
        <w:rPr>
          <w:b/>
          <w:i/>
        </w:rPr>
        <w:t>(Soit)</w:t>
      </w:r>
    </w:p>
    <w:p w14:paraId="2E015360" w14:textId="77777777" w:rsidR="00DF410E" w:rsidRDefault="00CE7F43">
      <w:r>
        <w:rPr>
          <w:rStyle w:val="soitChar"/>
        </w:rPr>
        <w:t>  4 ou 5. pc</w:t>
      </w:r>
    </w:p>
    <w:p w14:paraId="03E86405" w14:textId="77777777" w:rsidR="00DF410E" w:rsidRDefault="00CE7F43">
      <w:r>
        <w:rPr>
          <w:rStyle w:val="soitChar"/>
        </w:rPr>
        <w:t> </w:t>
      </w:r>
    </w:p>
    <w:p w14:paraId="0551B4A4" w14:textId="77777777" w:rsidR="00DF410E" w:rsidRDefault="00CE7F43">
      <w:r>
        <w:rPr>
          <w:b/>
        </w:rPr>
        <w:t>FLOCAGE</w:t>
      </w:r>
    </w:p>
    <w:p w14:paraId="2A8B9A1F" w14:textId="77777777" w:rsidR="00DF410E" w:rsidRDefault="00CE7F43">
      <w:r>
        <w:t>Le traitement au feu par flocage est compté séparément et fait l’objet d’un (de) poste(s) supplémentaire(s) dans le présent article :</w:t>
      </w:r>
    </w:p>
    <w:p w14:paraId="48A466FC" w14:textId="77777777" w:rsidR="00DF410E" w:rsidRDefault="00CE7F43">
      <w:r>
        <w:rPr>
          <w:rStyle w:val="optioncarChar"/>
        </w:rPr>
        <w:t xml:space="preserve">m² </w:t>
      </w:r>
      <w:r>
        <w:t>(par défaut)</w:t>
      </w:r>
      <w:r>
        <w:rPr>
          <w:rStyle w:val="optioncarChar"/>
        </w:rPr>
        <w:t xml:space="preserve"> / m / pc.</w:t>
      </w:r>
    </w:p>
    <w:p w14:paraId="660FB593" w14:textId="77777777" w:rsidR="00DF410E" w:rsidRDefault="00CE7F43">
      <w:r>
        <w:rPr>
          <w:b/>
          <w:i/>
        </w:rPr>
        <w:t>(Soit par défaut)</w:t>
      </w:r>
    </w:p>
    <w:p w14:paraId="03B5B50D" w14:textId="77777777" w:rsidR="00DF410E" w:rsidRDefault="00CE7F43">
      <w:r>
        <w:rPr>
          <w:rStyle w:val="soitChar"/>
        </w:rPr>
        <w:t> 1. m².</w:t>
      </w:r>
    </w:p>
    <w:p w14:paraId="6CEF75BB" w14:textId="77777777" w:rsidR="00DF410E" w:rsidRDefault="00CE7F43">
      <w:r>
        <w:rPr>
          <w:b/>
          <w:i/>
        </w:rPr>
        <w:t>(Soit)</w:t>
      </w:r>
    </w:p>
    <w:p w14:paraId="3984881C" w14:textId="77777777" w:rsidR="00DF410E" w:rsidRDefault="00CE7F43">
      <w:r>
        <w:rPr>
          <w:rStyle w:val="soitChar"/>
        </w:rPr>
        <w:t> 2. m</w:t>
      </w:r>
    </w:p>
    <w:p w14:paraId="2C6679B5" w14:textId="77777777" w:rsidR="00DF410E" w:rsidRDefault="00CE7F43">
      <w:r>
        <w:rPr>
          <w:b/>
          <w:i/>
        </w:rPr>
        <w:t>(Soit)</w:t>
      </w:r>
    </w:p>
    <w:p w14:paraId="7257DEEE" w14:textId="77777777" w:rsidR="00DF410E" w:rsidRDefault="00CE7F43">
      <w:r>
        <w:rPr>
          <w:rStyle w:val="soitChar"/>
        </w:rPr>
        <w:t> 3. pc</w:t>
      </w:r>
    </w:p>
    <w:p w14:paraId="301049EC" w14:textId="77777777" w:rsidR="00DF410E" w:rsidRDefault="00DF410E"/>
    <w:p w14:paraId="7BF0A724" w14:textId="77777777" w:rsidR="00DF410E" w:rsidRDefault="00CE7F43">
      <w:r>
        <w:rPr>
          <w:b/>
        </w:rPr>
        <w:t>COUPURE THERMIQUE</w:t>
      </w:r>
    </w:p>
    <w:p w14:paraId="5A490A0F" w14:textId="77777777" w:rsidR="00DF410E" w:rsidRDefault="00CE7F43">
      <w:r>
        <w:rPr>
          <w:rStyle w:val="optioncarChar"/>
        </w:rPr>
        <w:t>pièce</w:t>
      </w:r>
    </w:p>
    <w:p w14:paraId="3F13D690" w14:textId="77777777" w:rsidR="00DF410E" w:rsidRDefault="00CE7F43">
      <w:pPr>
        <w:pStyle w:val="pheading"/>
      </w:pPr>
      <w:r>
        <w:t>- code de mesurage:</w:t>
      </w:r>
    </w:p>
    <w:p w14:paraId="771B287A" w14:textId="77777777" w:rsidR="00DF410E" w:rsidRDefault="00DF410E"/>
    <w:p w14:paraId="67ECCC2D" w14:textId="77777777" w:rsidR="00DF410E" w:rsidRDefault="00DF410E"/>
    <w:p w14:paraId="0261BDEE" w14:textId="77777777" w:rsidR="00DF410E" w:rsidRDefault="00CE7F43">
      <w:r>
        <w:rPr>
          <w:b/>
        </w:rPr>
        <w:t>COLONNE</w:t>
      </w:r>
    </w:p>
    <w:p w14:paraId="7AC0164B" w14:textId="77777777" w:rsidR="00DF410E" w:rsidRDefault="00CE7F43">
      <w:r>
        <w:t>Distinctions faites suivant les types de profilés, nuances et qualités d’acier.</w:t>
      </w:r>
    </w:p>
    <w:p w14:paraId="36243C5A"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272C11E7" w14:textId="77777777" w:rsidR="00DF410E" w:rsidRDefault="00CE7F43">
      <w:r>
        <w:rPr>
          <w:b/>
          <w:i/>
        </w:rPr>
        <w:t>(Soit par défaut)</w:t>
      </w:r>
    </w:p>
    <w:p w14:paraId="60B79026"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D21FBB6" w14:textId="77777777" w:rsidR="00DF410E" w:rsidRDefault="00CE7F43">
      <w:r>
        <w:rPr>
          <w:b/>
          <w:i/>
        </w:rPr>
        <w:t>(Soit)</w:t>
      </w:r>
    </w:p>
    <w:p w14:paraId="1BC26344"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0B66DBC8" w14:textId="77777777" w:rsidR="00DF410E" w:rsidRDefault="00CE7F43">
      <w:r>
        <w:rPr>
          <w:b/>
          <w:i/>
        </w:rPr>
        <w:t>(Soit)</w:t>
      </w:r>
    </w:p>
    <w:p w14:paraId="040A445A"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18ECE91E" w14:textId="77777777" w:rsidR="00DF410E" w:rsidRDefault="00CE7F43">
      <w:r>
        <w:rPr>
          <w:b/>
          <w:i/>
        </w:rPr>
        <w:t>(Soit)</w:t>
      </w:r>
    </w:p>
    <w:p w14:paraId="53B7F51F"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53437C34" w14:textId="77777777" w:rsidR="00DF410E" w:rsidRDefault="00CE7F43">
      <w:r>
        <w:rPr>
          <w:b/>
          <w:i/>
        </w:rPr>
        <w:t>(Soit)</w:t>
      </w:r>
    </w:p>
    <w:p w14:paraId="5F00BDD7"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3A7FD0F9" w14:textId="77777777" w:rsidR="00DF410E" w:rsidRDefault="00DF410E"/>
    <w:p w14:paraId="5480C190" w14:textId="77777777" w:rsidR="00DF410E" w:rsidRDefault="00CE7F43">
      <w:r>
        <w:rPr>
          <w:b/>
        </w:rPr>
        <w:t>FLOCAGE</w:t>
      </w:r>
    </w:p>
    <w:p w14:paraId="6A8E9ABC"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BD30DF0" w14:textId="77777777" w:rsidR="00DF410E" w:rsidRDefault="00CE7F43">
      <w:r>
        <w:rPr>
          <w:b/>
          <w:i/>
        </w:rPr>
        <w:t>(Soit par défaut)</w:t>
      </w:r>
    </w:p>
    <w:p w14:paraId="6ACAA2C0"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AD2959C" w14:textId="77777777" w:rsidR="00DF410E" w:rsidRDefault="00CE7F43">
      <w:r>
        <w:rPr>
          <w:b/>
          <w:i/>
        </w:rPr>
        <w:t>(Soit)</w:t>
      </w:r>
    </w:p>
    <w:p w14:paraId="7BC2773B"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6E65127C" w14:textId="77777777" w:rsidR="00DF410E" w:rsidRDefault="00CE7F43">
      <w:r>
        <w:rPr>
          <w:b/>
          <w:i/>
        </w:rPr>
        <w:t>(Soit)</w:t>
      </w:r>
    </w:p>
    <w:p w14:paraId="36830939"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5C059204" w14:textId="77777777" w:rsidR="00DF410E" w:rsidRDefault="00DF410E"/>
    <w:p w14:paraId="5CBF9A23" w14:textId="77777777" w:rsidR="00DF410E" w:rsidRDefault="00CE7F43">
      <w:pPr>
        <w:spacing w:after="0" w:line="256" w:lineRule="auto"/>
        <w:jc w:val="both"/>
      </w:pPr>
      <w:r>
        <w:rPr>
          <w:b/>
        </w:rPr>
        <w:t>COUPURE THERMIQUE</w:t>
      </w:r>
    </w:p>
    <w:p w14:paraId="3D892621" w14:textId="77777777" w:rsidR="00DF410E" w:rsidRDefault="00CE7F43">
      <w:r>
        <w:rPr>
          <w:rStyle w:val="optioncarChar"/>
        </w:rPr>
        <w:t>À la pièce, ventilée suivant les types d’éléments</w:t>
      </w:r>
    </w:p>
    <w:p w14:paraId="51888BAA" w14:textId="77777777" w:rsidR="00DF410E" w:rsidRDefault="00CE7F43">
      <w:pPr>
        <w:pStyle w:val="pheading"/>
      </w:pPr>
      <w:r>
        <w:t>- nature du marché:</w:t>
      </w:r>
    </w:p>
    <w:p w14:paraId="7E62E420" w14:textId="77777777" w:rsidR="00DF410E" w:rsidRDefault="00DF410E"/>
    <w:p w14:paraId="32D6AAFE" w14:textId="77777777" w:rsidR="00DF410E" w:rsidRDefault="00DF410E"/>
    <w:p w14:paraId="706AA66A" w14:textId="77777777" w:rsidR="00DF410E" w:rsidRDefault="00CE7F43">
      <w:r>
        <w:rPr>
          <w:rStyle w:val="optioncarChar"/>
        </w:rPr>
        <w:t>QF</w:t>
      </w:r>
      <w:r>
        <w:t xml:space="preserve"> (par défaut) </w:t>
      </w:r>
      <w:r>
        <w:rPr>
          <w:rStyle w:val="optioncarChar"/>
        </w:rPr>
        <w:t>/ QP</w:t>
      </w:r>
    </w:p>
    <w:p w14:paraId="467F3009" w14:textId="77777777" w:rsidR="00DF410E" w:rsidRDefault="00CE7F43">
      <w:pPr>
        <w:pStyle w:val="soit"/>
      </w:pPr>
      <w:r>
        <w:rPr>
          <w:rStyle w:val="normalChar"/>
          <w:b/>
          <w:i/>
          <w:color w:val="000000"/>
        </w:rPr>
        <w:t xml:space="preserve">(Soit par défaut) </w:t>
      </w:r>
    </w:p>
    <w:p w14:paraId="1862A91B" w14:textId="77777777" w:rsidR="00DF410E" w:rsidRDefault="00CE7F43">
      <w:r>
        <w:rPr>
          <w:rStyle w:val="soitChar"/>
        </w:rPr>
        <w:t xml:space="preserve">1. QF </w:t>
      </w:r>
    </w:p>
    <w:p w14:paraId="1BFE3080" w14:textId="77777777" w:rsidR="00DF410E" w:rsidRDefault="00CE7F43">
      <w:r>
        <w:rPr>
          <w:b/>
          <w:i/>
        </w:rPr>
        <w:t>(Soit)</w:t>
      </w:r>
    </w:p>
    <w:p w14:paraId="0197611E" w14:textId="77777777" w:rsidR="00DF410E" w:rsidRDefault="00CE7F43">
      <w:r>
        <w:rPr>
          <w:rStyle w:val="soitChar"/>
        </w:rPr>
        <w:t>2. QP</w:t>
      </w:r>
    </w:p>
    <w:p w14:paraId="27755B5F" w14:textId="77777777" w:rsidR="00DF410E" w:rsidRDefault="00CE7F43">
      <w:pPr>
        <w:pStyle w:val="Author-eSectionHeading6"/>
      </w:pPr>
      <w:bookmarkStart w:id="1234" w:name="_Toc178838354"/>
      <w:r>
        <w:t>23.14.3d Colonnes alvéolaires en acier inoxydable CCTB 01.11</w:t>
      </w:r>
      <w:bookmarkEnd w:id="1234"/>
    </w:p>
    <w:p w14:paraId="5C3F0A14" w14:textId="77777777" w:rsidR="00DF410E" w:rsidRDefault="00CE7F43">
      <w:pPr>
        <w:pStyle w:val="pheading"/>
      </w:pPr>
      <w:r>
        <w:t>DESCRIPTION</w:t>
      </w:r>
    </w:p>
    <w:p w14:paraId="797279F1" w14:textId="77777777" w:rsidR="00DF410E" w:rsidRDefault="00CE7F43">
      <w:pPr>
        <w:pStyle w:val="pheading"/>
      </w:pPr>
      <w:r>
        <w:t>- Définition / Comprend</w:t>
      </w:r>
    </w:p>
    <w:p w14:paraId="37BCFE73" w14:textId="77777777" w:rsidR="00DF410E" w:rsidRDefault="00DF410E"/>
    <w:p w14:paraId="687A4AD5" w14:textId="77777777" w:rsidR="00DF410E" w:rsidRDefault="00CE7F43">
      <w:r>
        <w:t>Il s'agit de l’ensemble des colonnes alvéolaires reconstituées soudées à partir de poutrelles en acier inoxydable conformes à la [NBN EN 10088 série]. Le soudage de ces poutrelles découpées suivant une ligne spécifique est conforme à la [NBN EN 1090-2]. </w:t>
      </w:r>
    </w:p>
    <w:p w14:paraId="3695AB0A" w14:textId="77777777" w:rsidR="00DF410E" w:rsidRDefault="00CE7F43">
      <w:pPr>
        <w:pStyle w:val="pheading"/>
      </w:pPr>
      <w:r>
        <w:t>- Localisation</w:t>
      </w:r>
    </w:p>
    <w:p w14:paraId="26CF7A6C" w14:textId="77777777" w:rsidR="00DF410E" w:rsidRDefault="00DF410E"/>
    <w:p w14:paraId="00984845" w14:textId="77777777" w:rsidR="00DF410E" w:rsidRDefault="00CE7F43">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 </w:t>
      </w:r>
      <w:r>
        <w:rPr>
          <w:rStyle w:val="optioncarChar"/>
        </w:rPr>
        <w:t>/ *** </w:t>
      </w:r>
      <w:r>
        <w:rPr>
          <w:color w:val="000000"/>
        </w:rPr>
        <w:t>.</w:t>
      </w:r>
    </w:p>
    <w:p w14:paraId="6D193A08" w14:textId="77777777" w:rsidR="00DF410E" w:rsidRDefault="00CE7F43">
      <w:pPr>
        <w:pStyle w:val="pheading"/>
      </w:pPr>
      <w:r>
        <w:t>EXÉCUTION / MISE EN ŒUVRE</w:t>
      </w:r>
    </w:p>
    <w:p w14:paraId="7BD4433C" w14:textId="77777777" w:rsidR="00DF410E" w:rsidRDefault="00CE7F43">
      <w:pPr>
        <w:pStyle w:val="pheading"/>
      </w:pPr>
      <w:r>
        <w:t>- Notes d’exécution complémentaires</w:t>
      </w:r>
    </w:p>
    <w:p w14:paraId="1924439E" w14:textId="77777777" w:rsidR="00DF410E" w:rsidRDefault="00CE7F43">
      <w:r>
        <w:rPr>
          <w:rStyle w:val="facultChar"/>
        </w:rPr>
        <w:t>Le présent article comprend également des coupures thermiques : Des dispositifs adéquats sont utilisés pour éviter tout pont thermique.</w:t>
      </w:r>
    </w:p>
    <w:p w14:paraId="1F42D0C1" w14:textId="77777777" w:rsidR="00DF410E" w:rsidRDefault="00CE7F43">
      <w:pPr>
        <w:pStyle w:val="pheading"/>
      </w:pPr>
      <w:r>
        <w:t>MESURAGE</w:t>
      </w:r>
    </w:p>
    <w:p w14:paraId="614F331C" w14:textId="77777777" w:rsidR="00DF410E" w:rsidRDefault="00CE7F43">
      <w:pPr>
        <w:pStyle w:val="pheading"/>
      </w:pPr>
      <w:r>
        <w:t>- unité de mesure:</w:t>
      </w:r>
    </w:p>
    <w:p w14:paraId="36689F73" w14:textId="77777777" w:rsidR="00DF410E" w:rsidRDefault="00DF410E"/>
    <w:p w14:paraId="66B9D64B" w14:textId="77777777" w:rsidR="00DF410E" w:rsidRDefault="00DF410E"/>
    <w:p w14:paraId="025EDB15" w14:textId="77777777" w:rsidR="00DF410E" w:rsidRDefault="00CE7F43">
      <w:r>
        <w:rPr>
          <w:b/>
        </w:rPr>
        <w:t>COLONNE</w:t>
      </w:r>
    </w:p>
    <w:p w14:paraId="0C077452" w14:textId="77777777" w:rsidR="00DF410E" w:rsidRDefault="00CE7F43">
      <w:r>
        <w:rPr>
          <w:rStyle w:val="optioncarChar"/>
        </w:rPr>
        <w:t>kg </w:t>
      </w:r>
      <w:r>
        <w:t xml:space="preserve">(par défaut) </w:t>
      </w:r>
      <w:r>
        <w:rPr>
          <w:rStyle w:val="optioncarChar"/>
        </w:rPr>
        <w:t>/ m / pc.</w:t>
      </w:r>
    </w:p>
    <w:p w14:paraId="15063068" w14:textId="77777777" w:rsidR="00DF410E" w:rsidRDefault="00CE7F43">
      <w:r>
        <w:rPr>
          <w:b/>
          <w:i/>
        </w:rPr>
        <w:t>(Soit par défaut)</w:t>
      </w:r>
    </w:p>
    <w:p w14:paraId="297BBC3F" w14:textId="77777777" w:rsidR="00DF410E" w:rsidRDefault="00CE7F43">
      <w:r>
        <w:rPr>
          <w:rStyle w:val="soitChar"/>
        </w:rPr>
        <w:t> 1. kg.</w:t>
      </w:r>
    </w:p>
    <w:p w14:paraId="0AF18981" w14:textId="77777777" w:rsidR="00DF410E" w:rsidRDefault="00CE7F43">
      <w:r>
        <w:rPr>
          <w:b/>
          <w:i/>
        </w:rPr>
        <w:t>(Soit)</w:t>
      </w:r>
    </w:p>
    <w:p w14:paraId="6F34D611" w14:textId="77777777" w:rsidR="00DF410E" w:rsidRDefault="00CE7F43">
      <w:r>
        <w:rPr>
          <w:rStyle w:val="soitChar"/>
        </w:rPr>
        <w:t>  2 ou 3. m</w:t>
      </w:r>
    </w:p>
    <w:p w14:paraId="59053536" w14:textId="77777777" w:rsidR="00DF410E" w:rsidRDefault="00CE7F43">
      <w:r>
        <w:rPr>
          <w:b/>
          <w:i/>
        </w:rPr>
        <w:t>(Soit)</w:t>
      </w:r>
    </w:p>
    <w:p w14:paraId="37D7318F" w14:textId="77777777" w:rsidR="00DF410E" w:rsidRDefault="00CE7F43">
      <w:r>
        <w:rPr>
          <w:rStyle w:val="soitChar"/>
        </w:rPr>
        <w:t>  4 ou 5. pc</w:t>
      </w:r>
    </w:p>
    <w:p w14:paraId="559505BA" w14:textId="77777777" w:rsidR="00DF410E" w:rsidRDefault="00CE7F43">
      <w:r>
        <w:rPr>
          <w:rStyle w:val="soitChar"/>
        </w:rPr>
        <w:t> </w:t>
      </w:r>
    </w:p>
    <w:p w14:paraId="5109950C" w14:textId="77777777" w:rsidR="00DF410E" w:rsidRDefault="00CE7F43">
      <w:r>
        <w:rPr>
          <w:b/>
        </w:rPr>
        <w:t>FLOCAGE</w:t>
      </w:r>
    </w:p>
    <w:p w14:paraId="77A7DD73" w14:textId="77777777" w:rsidR="00DF410E" w:rsidRDefault="00CE7F43">
      <w:r>
        <w:t>Le traitement au feu par flocage est compté séparément et fait l’objet d’un (de) poste(s) supplémentaire(s) dans le présent article :</w:t>
      </w:r>
    </w:p>
    <w:p w14:paraId="7DE77AC9" w14:textId="77777777" w:rsidR="00DF410E" w:rsidRDefault="00CE7F43">
      <w:r>
        <w:rPr>
          <w:rStyle w:val="optioncarChar"/>
        </w:rPr>
        <w:t xml:space="preserve">m² </w:t>
      </w:r>
      <w:r>
        <w:t>(par défaut)</w:t>
      </w:r>
      <w:r>
        <w:rPr>
          <w:rStyle w:val="optioncarChar"/>
        </w:rPr>
        <w:t xml:space="preserve"> / m / pc.</w:t>
      </w:r>
    </w:p>
    <w:p w14:paraId="345E7485" w14:textId="77777777" w:rsidR="00DF410E" w:rsidRDefault="00CE7F43">
      <w:r>
        <w:rPr>
          <w:b/>
          <w:i/>
        </w:rPr>
        <w:t>(Soit par défaut)</w:t>
      </w:r>
    </w:p>
    <w:p w14:paraId="26A8E3C4" w14:textId="77777777" w:rsidR="00DF410E" w:rsidRDefault="00CE7F43">
      <w:r>
        <w:rPr>
          <w:rStyle w:val="soitChar"/>
        </w:rPr>
        <w:t> 1. m².</w:t>
      </w:r>
    </w:p>
    <w:p w14:paraId="38369AB0" w14:textId="77777777" w:rsidR="00DF410E" w:rsidRDefault="00CE7F43">
      <w:r>
        <w:rPr>
          <w:b/>
          <w:i/>
        </w:rPr>
        <w:t>(Soit)</w:t>
      </w:r>
    </w:p>
    <w:p w14:paraId="21D92C87" w14:textId="77777777" w:rsidR="00DF410E" w:rsidRDefault="00CE7F43">
      <w:r>
        <w:rPr>
          <w:rStyle w:val="soitChar"/>
        </w:rPr>
        <w:t> 2. m</w:t>
      </w:r>
    </w:p>
    <w:p w14:paraId="238E01AC" w14:textId="77777777" w:rsidR="00DF410E" w:rsidRDefault="00CE7F43">
      <w:r>
        <w:rPr>
          <w:b/>
          <w:i/>
        </w:rPr>
        <w:t>(Soit)</w:t>
      </w:r>
    </w:p>
    <w:p w14:paraId="19E2FA07" w14:textId="77777777" w:rsidR="00DF410E" w:rsidRDefault="00CE7F43">
      <w:r>
        <w:rPr>
          <w:rStyle w:val="soitChar"/>
        </w:rPr>
        <w:t> 3. pc</w:t>
      </w:r>
    </w:p>
    <w:p w14:paraId="339EB084" w14:textId="77777777" w:rsidR="00DF410E" w:rsidRDefault="00DF410E"/>
    <w:p w14:paraId="69E686DA" w14:textId="77777777" w:rsidR="00DF410E" w:rsidRDefault="00CE7F43">
      <w:r>
        <w:rPr>
          <w:b/>
        </w:rPr>
        <w:t>COUPURE THERMIQUE</w:t>
      </w:r>
    </w:p>
    <w:p w14:paraId="4BD03D4D" w14:textId="77777777" w:rsidR="00DF410E" w:rsidRDefault="00CE7F43">
      <w:r>
        <w:rPr>
          <w:rStyle w:val="optioncarChar"/>
        </w:rPr>
        <w:t>pièce</w:t>
      </w:r>
    </w:p>
    <w:p w14:paraId="0ECC803A" w14:textId="77777777" w:rsidR="00DF410E" w:rsidRDefault="00CE7F43">
      <w:pPr>
        <w:pStyle w:val="pheading"/>
      </w:pPr>
      <w:r>
        <w:t>- code de mesurage:</w:t>
      </w:r>
    </w:p>
    <w:p w14:paraId="565FEEF6" w14:textId="77777777" w:rsidR="00DF410E" w:rsidRDefault="00DF410E"/>
    <w:p w14:paraId="395F2E8E" w14:textId="77777777" w:rsidR="00DF410E" w:rsidRDefault="00DF410E"/>
    <w:p w14:paraId="1389D99A" w14:textId="77777777" w:rsidR="00DF410E" w:rsidRDefault="00CE7F43">
      <w:r>
        <w:rPr>
          <w:b/>
        </w:rPr>
        <w:t>COLONNE</w:t>
      </w:r>
    </w:p>
    <w:p w14:paraId="2A6D9E85" w14:textId="77777777" w:rsidR="00DF410E" w:rsidRDefault="00CE7F43">
      <w:r>
        <w:t>Distinctions faites suivant les types de profilés, nuances et qualités d’acier.</w:t>
      </w:r>
    </w:p>
    <w:p w14:paraId="4A672949" w14:textId="77777777" w:rsidR="00DF410E" w:rsidRDefault="00CE7F43">
      <w:r>
        <w:rPr>
          <w:rStyle w:val="optioncarChar"/>
        </w:rPr>
        <w:t xml:space="preserve">Masse </w:t>
      </w:r>
      <w:r>
        <w:t xml:space="preserve">(par défaut) </w:t>
      </w:r>
      <w:r>
        <w:rPr>
          <w:rStyle w:val="optioncarChar"/>
        </w:rPr>
        <w:t>/ Longueur nette / Longueur nette d’exécution / Pièce nette / Pièce d’exécution</w:t>
      </w:r>
    </w:p>
    <w:p w14:paraId="72A7AE9B" w14:textId="77777777" w:rsidR="00DF410E" w:rsidRDefault="00CE7F43">
      <w:r>
        <w:rPr>
          <w:b/>
          <w:i/>
        </w:rPr>
        <w:t>(Soit par défaut)</w:t>
      </w:r>
    </w:p>
    <w:p w14:paraId="25E26F64" w14:textId="77777777" w:rsidR="00DF410E" w:rsidRDefault="00CE7F43">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AD80533" w14:textId="77777777" w:rsidR="00DF410E" w:rsidRDefault="00CE7F43">
      <w:r>
        <w:rPr>
          <w:b/>
          <w:i/>
        </w:rPr>
        <w:t>(Soit)</w:t>
      </w:r>
    </w:p>
    <w:p w14:paraId="4C4C665E" w14:textId="77777777" w:rsidR="00DF410E" w:rsidRDefault="00CE7F43">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2A001345" w14:textId="77777777" w:rsidR="00DF410E" w:rsidRDefault="00CE7F43">
      <w:r>
        <w:rPr>
          <w:b/>
          <w:i/>
        </w:rPr>
        <w:t>(Soit)</w:t>
      </w:r>
    </w:p>
    <w:p w14:paraId="5FEFFFDA" w14:textId="77777777" w:rsidR="00DF410E" w:rsidRDefault="00CE7F43">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15373A78" w14:textId="77777777" w:rsidR="00DF410E" w:rsidRDefault="00CE7F43">
      <w:r>
        <w:rPr>
          <w:b/>
          <w:i/>
        </w:rPr>
        <w:t>(Soit)</w:t>
      </w:r>
    </w:p>
    <w:p w14:paraId="02CAD322" w14:textId="77777777" w:rsidR="00DF410E" w:rsidRDefault="00CE7F43">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3A12620B" w14:textId="77777777" w:rsidR="00DF410E" w:rsidRDefault="00CE7F43">
      <w:r>
        <w:rPr>
          <w:b/>
          <w:i/>
        </w:rPr>
        <w:t>(Soit)</w:t>
      </w:r>
    </w:p>
    <w:p w14:paraId="6E481DA8" w14:textId="77777777" w:rsidR="00DF410E" w:rsidRDefault="00CE7F43">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FA6A8D2" w14:textId="77777777" w:rsidR="00DF410E" w:rsidRDefault="00DF410E"/>
    <w:p w14:paraId="17A7649F" w14:textId="77777777" w:rsidR="00DF410E" w:rsidRDefault="00CE7F43">
      <w:r>
        <w:rPr>
          <w:b/>
        </w:rPr>
        <w:t>FLOCAGE</w:t>
      </w:r>
    </w:p>
    <w:p w14:paraId="0BCBE38F" w14:textId="77777777" w:rsidR="00DF410E" w:rsidRDefault="00CE7F43">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27E5967B" w14:textId="77777777" w:rsidR="00DF410E" w:rsidRDefault="00CE7F43">
      <w:r>
        <w:rPr>
          <w:b/>
          <w:i/>
        </w:rPr>
        <w:t>(Soit par défaut)</w:t>
      </w:r>
    </w:p>
    <w:p w14:paraId="2DCAA2A2" w14:textId="77777777" w:rsidR="00DF410E" w:rsidRDefault="00CE7F43">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51CDF24C" w14:textId="77777777" w:rsidR="00DF410E" w:rsidRDefault="00CE7F43">
      <w:r>
        <w:rPr>
          <w:b/>
          <w:i/>
        </w:rPr>
        <w:t>(Soit)</w:t>
      </w:r>
    </w:p>
    <w:p w14:paraId="64D53875" w14:textId="77777777" w:rsidR="00DF410E" w:rsidRDefault="00CE7F43">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62E3BB17" w14:textId="77777777" w:rsidR="00DF410E" w:rsidRDefault="00CE7F43">
      <w:r>
        <w:rPr>
          <w:b/>
          <w:i/>
        </w:rPr>
        <w:t>(Soit)</w:t>
      </w:r>
    </w:p>
    <w:p w14:paraId="558D5259" w14:textId="77777777" w:rsidR="00DF410E" w:rsidRDefault="00CE7F43">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99CF6E0" w14:textId="77777777" w:rsidR="00DF410E" w:rsidRDefault="00DF410E"/>
    <w:p w14:paraId="05B7C15A" w14:textId="77777777" w:rsidR="00DF410E" w:rsidRDefault="00CE7F43">
      <w:pPr>
        <w:spacing w:after="0" w:line="256" w:lineRule="auto"/>
        <w:jc w:val="both"/>
      </w:pPr>
      <w:r>
        <w:rPr>
          <w:b/>
        </w:rPr>
        <w:t>COUPURE THERMIQUE</w:t>
      </w:r>
    </w:p>
    <w:p w14:paraId="7581423B" w14:textId="77777777" w:rsidR="00DF410E" w:rsidRDefault="00CE7F43">
      <w:r>
        <w:rPr>
          <w:rStyle w:val="optioncarChar"/>
        </w:rPr>
        <w:t>À la pièce, ventilée suivant les types d’éléments</w:t>
      </w:r>
    </w:p>
    <w:p w14:paraId="7AD6B589" w14:textId="77777777" w:rsidR="00DF410E" w:rsidRDefault="00CE7F43">
      <w:pPr>
        <w:pStyle w:val="pheading"/>
      </w:pPr>
      <w:r>
        <w:t>- nature du marché:</w:t>
      </w:r>
    </w:p>
    <w:p w14:paraId="19FF3C63" w14:textId="77777777" w:rsidR="00DF410E" w:rsidRDefault="00DF410E"/>
    <w:p w14:paraId="6FBC5FEE" w14:textId="77777777" w:rsidR="00DF410E" w:rsidRDefault="00DF410E"/>
    <w:p w14:paraId="28B90F9E" w14:textId="77777777" w:rsidR="00DF410E" w:rsidRDefault="00CE7F43">
      <w:r>
        <w:rPr>
          <w:rStyle w:val="optioncarChar"/>
        </w:rPr>
        <w:t>QF</w:t>
      </w:r>
      <w:r>
        <w:t xml:space="preserve"> (par défaut) </w:t>
      </w:r>
      <w:r>
        <w:rPr>
          <w:rStyle w:val="optioncarChar"/>
        </w:rPr>
        <w:t>/ QP</w:t>
      </w:r>
    </w:p>
    <w:p w14:paraId="5E98F870" w14:textId="77777777" w:rsidR="00DF410E" w:rsidRDefault="00CE7F43">
      <w:pPr>
        <w:pStyle w:val="soit"/>
      </w:pPr>
      <w:r>
        <w:rPr>
          <w:rStyle w:val="normalChar"/>
          <w:b/>
          <w:i/>
          <w:color w:val="000000"/>
        </w:rPr>
        <w:t xml:space="preserve">(Soit par défaut) </w:t>
      </w:r>
    </w:p>
    <w:p w14:paraId="2D7FCAF0" w14:textId="77777777" w:rsidR="00DF410E" w:rsidRDefault="00CE7F43">
      <w:r>
        <w:rPr>
          <w:rStyle w:val="soitChar"/>
        </w:rPr>
        <w:t xml:space="preserve">1. QF </w:t>
      </w:r>
    </w:p>
    <w:p w14:paraId="1A992265" w14:textId="77777777" w:rsidR="00DF410E" w:rsidRDefault="00CE7F43">
      <w:r>
        <w:rPr>
          <w:b/>
          <w:i/>
        </w:rPr>
        <w:t>(Soit)</w:t>
      </w:r>
    </w:p>
    <w:p w14:paraId="7FC941EC" w14:textId="77777777" w:rsidR="00DF410E" w:rsidRDefault="00CE7F43">
      <w:r>
        <w:rPr>
          <w:rStyle w:val="soitChar"/>
        </w:rPr>
        <w:t>2. QP</w:t>
      </w:r>
    </w:p>
    <w:p w14:paraId="66F2F4A4" w14:textId="77777777" w:rsidR="00DF410E" w:rsidRDefault="00CE7F43">
      <w:pPr>
        <w:pStyle w:val="Author-eSectionHeading6"/>
      </w:pPr>
      <w:bookmarkStart w:id="1235" w:name="_Toc178838355"/>
      <w:r>
        <w:t>23.14.3e Colonnes en éléments tubulaires en acier inoxydable CCTB 01.04</w:t>
      </w:r>
      <w:bookmarkEnd w:id="1235"/>
    </w:p>
    <w:p w14:paraId="11A025CD" w14:textId="77777777" w:rsidR="00DF410E" w:rsidRDefault="00CE7F43">
      <w:pPr>
        <w:pStyle w:val="Author-eSectionHeading5"/>
      </w:pPr>
      <w:bookmarkStart w:id="1236" w:name="_Toc178838356"/>
      <w:r>
        <w:t>23.14.4 Colonnes en acier inoxydable formées à froid CCTB 01.04</w:t>
      </w:r>
      <w:bookmarkEnd w:id="1236"/>
    </w:p>
    <w:p w14:paraId="47D6E45E" w14:textId="77777777" w:rsidR="00DF410E" w:rsidRDefault="00CE7F43">
      <w:pPr>
        <w:pStyle w:val="Author-eSectionHeading6"/>
      </w:pPr>
      <w:bookmarkStart w:id="1237" w:name="_Toc178838357"/>
      <w:r>
        <w:t>23.14.4a Colonnes en acier inoxydable formées à froid CCTB 01.04</w:t>
      </w:r>
      <w:bookmarkEnd w:id="1237"/>
    </w:p>
    <w:p w14:paraId="1A03BB26" w14:textId="77777777" w:rsidR="00DF410E" w:rsidRDefault="00CE7F43">
      <w:pPr>
        <w:pStyle w:val="Author-eSectionHeading5"/>
      </w:pPr>
      <w:bookmarkStart w:id="1238" w:name="_Toc178838358"/>
      <w:r>
        <w:t>23.14.5 Colonnes en aluminium CCTB 01.04</w:t>
      </w:r>
      <w:bookmarkEnd w:id="1238"/>
    </w:p>
    <w:p w14:paraId="1C2F61D8" w14:textId="77777777" w:rsidR="00DF410E" w:rsidRDefault="00CE7F43">
      <w:pPr>
        <w:pStyle w:val="Author-eSectionHeading6"/>
      </w:pPr>
      <w:bookmarkStart w:id="1239" w:name="_Toc178838359"/>
      <w:r>
        <w:t>23.14.5a Colonnes en aluminium CCTB 01.04</w:t>
      </w:r>
      <w:bookmarkEnd w:id="1239"/>
    </w:p>
    <w:p w14:paraId="60C9686B" w14:textId="77777777" w:rsidR="00DF410E" w:rsidRDefault="00CE7F43">
      <w:pPr>
        <w:pStyle w:val="Author-eSectionHeading5"/>
      </w:pPr>
      <w:bookmarkStart w:id="1240" w:name="_Toc178838360"/>
      <w:r>
        <w:t>23.14.6 Colonnes en fonte CCTB 01.04</w:t>
      </w:r>
      <w:bookmarkEnd w:id="1240"/>
    </w:p>
    <w:p w14:paraId="29B7BF9E" w14:textId="77777777" w:rsidR="00DF410E" w:rsidRDefault="00CE7F43">
      <w:pPr>
        <w:pStyle w:val="Author-eSectionHeading6"/>
      </w:pPr>
      <w:bookmarkStart w:id="1241" w:name="_Toc178838361"/>
      <w:r>
        <w:t>23.14.6a Colonnes en fonte CCTB 01.04</w:t>
      </w:r>
      <w:bookmarkEnd w:id="1241"/>
    </w:p>
    <w:p w14:paraId="093ED5B6" w14:textId="77777777" w:rsidR="00DF410E" w:rsidRDefault="00CE7F43">
      <w:pPr>
        <w:pStyle w:val="Author-eSectionHeading4"/>
      </w:pPr>
      <w:bookmarkStart w:id="1242" w:name="_Toc178838362"/>
      <w:r>
        <w:t>23.15 Eléments de planchers métalliques CCTB 01.02</w:t>
      </w:r>
      <w:bookmarkEnd w:id="1242"/>
    </w:p>
    <w:p w14:paraId="4A995B44" w14:textId="77777777" w:rsidR="00DF410E" w:rsidRDefault="00CE7F43">
      <w:pPr>
        <w:pStyle w:val="Author-eSectionHeading5"/>
      </w:pPr>
      <w:bookmarkStart w:id="1243" w:name="_Toc178838363"/>
      <w:r>
        <w:t>23.15.1 Eléments de planchers en acier CCTB 01.04</w:t>
      </w:r>
      <w:bookmarkEnd w:id="1243"/>
    </w:p>
    <w:p w14:paraId="784F29B9" w14:textId="77777777" w:rsidR="00DF410E" w:rsidRDefault="00CE7F43">
      <w:pPr>
        <w:pStyle w:val="Author-eSectionHeading6"/>
      </w:pPr>
      <w:bookmarkStart w:id="1244" w:name="_Toc178838364"/>
      <w:r>
        <w:t>23.15.1a Bacs en tôle profilée en acier formée à froid CCTB 01.04</w:t>
      </w:r>
      <w:bookmarkEnd w:id="1244"/>
    </w:p>
    <w:p w14:paraId="10009F3D" w14:textId="77777777" w:rsidR="00DF410E" w:rsidRDefault="00CE7F43">
      <w:pPr>
        <w:pStyle w:val="Author-eSectionHeading6"/>
      </w:pPr>
      <w:bookmarkStart w:id="1245" w:name="_Toc178838365"/>
      <w:r>
        <w:t>23.15.1b Platelage en tôle profilée en acier formée à froid CCTB 01.04</w:t>
      </w:r>
      <w:bookmarkEnd w:id="1245"/>
    </w:p>
    <w:p w14:paraId="02E9928C" w14:textId="77777777" w:rsidR="00DF410E" w:rsidRDefault="00CE7F43">
      <w:pPr>
        <w:pStyle w:val="Author-eSectionHeading6"/>
      </w:pPr>
      <w:bookmarkStart w:id="1246" w:name="_Toc178838366"/>
      <w:r>
        <w:t>23.15.1c Planchers en tôle en acier formée à froid CCTB 01.04</w:t>
      </w:r>
      <w:bookmarkEnd w:id="1246"/>
    </w:p>
    <w:p w14:paraId="55A7BEDA" w14:textId="77777777" w:rsidR="00DF410E" w:rsidRDefault="00CE7F43">
      <w:pPr>
        <w:pStyle w:val="Author-eSectionHeading6"/>
      </w:pPr>
      <w:bookmarkStart w:id="1247" w:name="_Toc178838367"/>
      <w:r>
        <w:t>23.15.1d Planchers en tôle larmée en acier formée à froid CCTB 01.04</w:t>
      </w:r>
      <w:bookmarkEnd w:id="1247"/>
    </w:p>
    <w:p w14:paraId="1F51A1AB" w14:textId="77777777" w:rsidR="00DF410E" w:rsidRDefault="00CE7F43">
      <w:pPr>
        <w:pStyle w:val="Author-eSectionHeading6"/>
      </w:pPr>
      <w:bookmarkStart w:id="1248" w:name="_Toc178838368"/>
      <w:r>
        <w:t>23.15.1e Planchers en tôle perforée en acier formée à froid CCTB 01.04</w:t>
      </w:r>
      <w:bookmarkEnd w:id="1248"/>
    </w:p>
    <w:p w14:paraId="19B3D9E4" w14:textId="77777777" w:rsidR="00DF410E" w:rsidRDefault="00CE7F43">
      <w:pPr>
        <w:pStyle w:val="Author-eSectionHeading6"/>
      </w:pPr>
      <w:bookmarkStart w:id="1249" w:name="_Toc178838369"/>
      <w:r>
        <w:t>23.15.1f Planchers en caillebotis en acier formé à froid CCTB 01.04</w:t>
      </w:r>
      <w:bookmarkEnd w:id="1249"/>
    </w:p>
    <w:p w14:paraId="23BABF38" w14:textId="77777777" w:rsidR="00DF410E" w:rsidRDefault="00CE7F43">
      <w:pPr>
        <w:pStyle w:val="Author-eSectionHeading6"/>
      </w:pPr>
      <w:bookmarkStart w:id="1250" w:name="_Toc178838370"/>
      <w:r>
        <w:t>23.15.1g Planchers en métal déployé en acier CCTB 01.04</w:t>
      </w:r>
      <w:bookmarkEnd w:id="1250"/>
    </w:p>
    <w:p w14:paraId="4E469472" w14:textId="77777777" w:rsidR="00DF410E" w:rsidRDefault="00CE7F43">
      <w:pPr>
        <w:pStyle w:val="Author-eSectionHeading5"/>
      </w:pPr>
      <w:bookmarkStart w:id="1251" w:name="_Toc178838371"/>
      <w:r>
        <w:t>23.15.2 Eléments de planchers en acier inoxydable CCTB 01.04</w:t>
      </w:r>
      <w:bookmarkEnd w:id="1251"/>
    </w:p>
    <w:p w14:paraId="04B9AFBC" w14:textId="77777777" w:rsidR="00DF410E" w:rsidRDefault="00CE7F43">
      <w:pPr>
        <w:pStyle w:val="Author-eSectionHeading6"/>
      </w:pPr>
      <w:bookmarkStart w:id="1252" w:name="_Toc178838372"/>
      <w:r>
        <w:t>23.15.2a Bacs en tôle profilée en acier inoxydable formée à froid CCTB 01.04</w:t>
      </w:r>
      <w:bookmarkEnd w:id="1252"/>
    </w:p>
    <w:p w14:paraId="62977C5D" w14:textId="77777777" w:rsidR="00DF410E" w:rsidRDefault="00CE7F43">
      <w:pPr>
        <w:pStyle w:val="Author-eSectionHeading6"/>
      </w:pPr>
      <w:bookmarkStart w:id="1253" w:name="_Toc178838373"/>
      <w:r>
        <w:t>23.15.2b Platelage en tôle profilée en acier inoxydable formée à froid CCTB 01.04</w:t>
      </w:r>
      <w:bookmarkEnd w:id="1253"/>
    </w:p>
    <w:p w14:paraId="688AD70C" w14:textId="77777777" w:rsidR="00DF410E" w:rsidRDefault="00CE7F43">
      <w:pPr>
        <w:pStyle w:val="Author-eSectionHeading6"/>
      </w:pPr>
      <w:bookmarkStart w:id="1254" w:name="_Toc178838374"/>
      <w:r>
        <w:t>23.15.2c Planchers en tôle en acier inoxydable formée à froid CCTB 01.04</w:t>
      </w:r>
      <w:bookmarkEnd w:id="1254"/>
    </w:p>
    <w:p w14:paraId="3168CA57" w14:textId="77777777" w:rsidR="00DF410E" w:rsidRDefault="00CE7F43">
      <w:pPr>
        <w:pStyle w:val="Author-eSectionHeading6"/>
      </w:pPr>
      <w:bookmarkStart w:id="1255" w:name="_Toc178838375"/>
      <w:r>
        <w:t>23.15.2d Planchers en tôle larmée en acier inoxydable formée à froid CCTB 01.04</w:t>
      </w:r>
      <w:bookmarkEnd w:id="1255"/>
    </w:p>
    <w:p w14:paraId="1C27436D" w14:textId="77777777" w:rsidR="00DF410E" w:rsidRDefault="00CE7F43">
      <w:pPr>
        <w:pStyle w:val="Author-eSectionHeading6"/>
      </w:pPr>
      <w:bookmarkStart w:id="1256" w:name="_Toc178838376"/>
      <w:r>
        <w:t>23.15.2e Planchers en tôle perforée en acier inoxydable formée à froid CCTB 01.04</w:t>
      </w:r>
      <w:bookmarkEnd w:id="1256"/>
    </w:p>
    <w:p w14:paraId="29525B94" w14:textId="77777777" w:rsidR="00DF410E" w:rsidRDefault="00CE7F43">
      <w:pPr>
        <w:pStyle w:val="Author-eSectionHeading6"/>
      </w:pPr>
      <w:bookmarkStart w:id="1257" w:name="_Toc178838377"/>
      <w:r>
        <w:t>23.15.2f Planchers en caillebotis en acier inoxydable formé à froid CCTB 01.04</w:t>
      </w:r>
      <w:bookmarkEnd w:id="1257"/>
    </w:p>
    <w:p w14:paraId="57901255" w14:textId="77777777" w:rsidR="00DF410E" w:rsidRDefault="00CE7F43">
      <w:pPr>
        <w:pStyle w:val="Author-eSectionHeading5"/>
      </w:pPr>
      <w:bookmarkStart w:id="1258" w:name="_Toc178838378"/>
      <w:r>
        <w:t>23.15.3 Eléments de planchers en aluminium CCTB 01.04</w:t>
      </w:r>
      <w:bookmarkEnd w:id="1258"/>
    </w:p>
    <w:p w14:paraId="4D1C315A" w14:textId="77777777" w:rsidR="00DF410E" w:rsidRDefault="00CE7F43">
      <w:pPr>
        <w:pStyle w:val="Author-eSectionHeading6"/>
      </w:pPr>
      <w:bookmarkStart w:id="1259" w:name="_Toc178838379"/>
      <w:r>
        <w:t>23.15.3a Bacs en tôle profilée en aluminium CCTB 01.04</w:t>
      </w:r>
      <w:bookmarkEnd w:id="1259"/>
    </w:p>
    <w:p w14:paraId="4D9E27CE" w14:textId="77777777" w:rsidR="00DF410E" w:rsidRDefault="00CE7F43">
      <w:pPr>
        <w:pStyle w:val="Author-eSectionHeading6"/>
      </w:pPr>
      <w:bookmarkStart w:id="1260" w:name="_Toc178838380"/>
      <w:r>
        <w:t>23.15.3b Platelage en tôle profilée en aluminium CCTB 01.04</w:t>
      </w:r>
      <w:bookmarkEnd w:id="1260"/>
    </w:p>
    <w:p w14:paraId="4769E912" w14:textId="77777777" w:rsidR="00DF410E" w:rsidRDefault="00CE7F43">
      <w:pPr>
        <w:pStyle w:val="Author-eSectionHeading6"/>
      </w:pPr>
      <w:bookmarkStart w:id="1261" w:name="_Toc178838381"/>
      <w:r>
        <w:t>23.15.3c Planchers en tôle en aluminium CCTB 01.04</w:t>
      </w:r>
      <w:bookmarkEnd w:id="1261"/>
    </w:p>
    <w:p w14:paraId="451F2C35" w14:textId="77777777" w:rsidR="00DF410E" w:rsidRDefault="00CE7F43">
      <w:pPr>
        <w:pStyle w:val="Author-eSectionHeading6"/>
      </w:pPr>
      <w:bookmarkStart w:id="1262" w:name="_Toc178838382"/>
      <w:r>
        <w:t>23.15.3d Planchers en tôle larmée en aluminium CCTB 01.04</w:t>
      </w:r>
      <w:bookmarkEnd w:id="1262"/>
    </w:p>
    <w:p w14:paraId="57EFD0D5" w14:textId="77777777" w:rsidR="00DF410E" w:rsidRDefault="00CE7F43">
      <w:pPr>
        <w:pStyle w:val="Author-eSectionHeading6"/>
      </w:pPr>
      <w:bookmarkStart w:id="1263" w:name="_Toc178838383"/>
      <w:r>
        <w:t>23.15.3e Planchers en tôle perforée en aluminium CCTB 01.04</w:t>
      </w:r>
      <w:bookmarkEnd w:id="1263"/>
    </w:p>
    <w:p w14:paraId="262B6495" w14:textId="77777777" w:rsidR="00DF410E" w:rsidRDefault="00CE7F43">
      <w:pPr>
        <w:pStyle w:val="Author-eSectionHeading4"/>
      </w:pPr>
      <w:bookmarkStart w:id="1264" w:name="_Toc178838384"/>
      <w:r>
        <w:t>23.16 Tôles, plats et grilles métalliques CCTB 01.04</w:t>
      </w:r>
      <w:bookmarkEnd w:id="1264"/>
    </w:p>
    <w:p w14:paraId="69BE5C80" w14:textId="77777777" w:rsidR="00DF410E" w:rsidRDefault="00CE7F43">
      <w:pPr>
        <w:pStyle w:val="Author-eSectionHeading5"/>
      </w:pPr>
      <w:bookmarkStart w:id="1265" w:name="_Toc178838385"/>
      <w:r>
        <w:t>23.16.1 Tôles, plats et grilles en acier CCTB 01.04</w:t>
      </w:r>
      <w:bookmarkEnd w:id="1265"/>
    </w:p>
    <w:p w14:paraId="46EF996E" w14:textId="77777777" w:rsidR="00DF410E" w:rsidRDefault="00CE7F43">
      <w:pPr>
        <w:pStyle w:val="Author-eSectionHeading6"/>
      </w:pPr>
      <w:bookmarkStart w:id="1266" w:name="_Toc178838386"/>
      <w:r>
        <w:t>23.16.1a Tôles en acier formées à froid CCTB 01.04</w:t>
      </w:r>
      <w:bookmarkEnd w:id="1266"/>
    </w:p>
    <w:p w14:paraId="70DDDF42" w14:textId="77777777" w:rsidR="00DF410E" w:rsidRDefault="00CE7F43">
      <w:pPr>
        <w:pStyle w:val="Author-eSectionHeading6"/>
      </w:pPr>
      <w:bookmarkStart w:id="1267" w:name="_Toc178838387"/>
      <w:r>
        <w:t>23.16.1b Tôles larmées en acier formées à froid CCTB 01.04</w:t>
      </w:r>
      <w:bookmarkEnd w:id="1267"/>
    </w:p>
    <w:p w14:paraId="0ACAE010" w14:textId="77777777" w:rsidR="00DF410E" w:rsidRDefault="00CE7F43">
      <w:pPr>
        <w:pStyle w:val="Author-eSectionHeading6"/>
      </w:pPr>
      <w:bookmarkStart w:id="1268" w:name="_Toc178838388"/>
      <w:r>
        <w:t>23.16.1c Tôles perforées en acier formées à froid CCTB 01.04</w:t>
      </w:r>
      <w:bookmarkEnd w:id="1268"/>
    </w:p>
    <w:p w14:paraId="24028DAC" w14:textId="77777777" w:rsidR="00DF410E" w:rsidRDefault="00CE7F43">
      <w:pPr>
        <w:pStyle w:val="Author-eSectionHeading6"/>
      </w:pPr>
      <w:bookmarkStart w:id="1269" w:name="_Toc178838389"/>
      <w:r>
        <w:t>23.16.1d Tôles en caillebotis en acier CCTB 01.04</w:t>
      </w:r>
      <w:bookmarkEnd w:id="1269"/>
    </w:p>
    <w:p w14:paraId="1101BA62" w14:textId="77777777" w:rsidR="00DF410E" w:rsidRDefault="00CE7F43">
      <w:pPr>
        <w:pStyle w:val="Author-eSectionHeading6"/>
      </w:pPr>
      <w:bookmarkStart w:id="1270" w:name="_Toc178838390"/>
      <w:r>
        <w:t>23.16.1e Tôles en métal déployé en acier CCTB 01.04</w:t>
      </w:r>
      <w:bookmarkEnd w:id="1270"/>
    </w:p>
    <w:p w14:paraId="0A57EC3D" w14:textId="77777777" w:rsidR="00DF410E" w:rsidRDefault="00CE7F43">
      <w:pPr>
        <w:pStyle w:val="Author-eSectionHeading6"/>
      </w:pPr>
      <w:bookmarkStart w:id="1271" w:name="_Toc178838391"/>
      <w:r>
        <w:t>23.16.1f Plats en acier laminés à chaud CCTB 01.04</w:t>
      </w:r>
      <w:bookmarkEnd w:id="1271"/>
    </w:p>
    <w:p w14:paraId="6A0EA132" w14:textId="77777777" w:rsidR="00DF410E" w:rsidRDefault="00CE7F43">
      <w:pPr>
        <w:pStyle w:val="Author-eSectionHeading6"/>
      </w:pPr>
      <w:bookmarkStart w:id="1272" w:name="_Toc178838392"/>
      <w:r>
        <w:t>23.16.1g Plats en acier formés à froid CCTB 01.04</w:t>
      </w:r>
      <w:bookmarkEnd w:id="1272"/>
    </w:p>
    <w:p w14:paraId="4E4AEE7A" w14:textId="77777777" w:rsidR="00DF410E" w:rsidRDefault="00CE7F43">
      <w:pPr>
        <w:pStyle w:val="Author-eSectionHeading6"/>
      </w:pPr>
      <w:bookmarkStart w:id="1273" w:name="_Toc178838393"/>
      <w:r>
        <w:t>23.16.1h Grilles en acier formées à froid CCTB 01.04</w:t>
      </w:r>
      <w:bookmarkEnd w:id="1273"/>
    </w:p>
    <w:p w14:paraId="2BABAD11" w14:textId="77777777" w:rsidR="00DF410E" w:rsidRDefault="00CE7F43">
      <w:pPr>
        <w:pStyle w:val="Author-eSectionHeading5"/>
      </w:pPr>
      <w:bookmarkStart w:id="1274" w:name="_Toc178838394"/>
      <w:r>
        <w:t>23.16.2 Tôles, plats et grilles en acier inoxydable CCTB 01.04</w:t>
      </w:r>
      <w:bookmarkEnd w:id="1274"/>
    </w:p>
    <w:p w14:paraId="741B2A7B" w14:textId="77777777" w:rsidR="00DF410E" w:rsidRDefault="00CE7F43">
      <w:pPr>
        <w:pStyle w:val="Author-eSectionHeading6"/>
      </w:pPr>
      <w:bookmarkStart w:id="1275" w:name="_Toc178838395"/>
      <w:r>
        <w:t>23.16.2a Tôles en acier inoxydable formées à froid CCTB 01.04</w:t>
      </w:r>
      <w:bookmarkEnd w:id="1275"/>
    </w:p>
    <w:p w14:paraId="5139B18F" w14:textId="77777777" w:rsidR="00DF410E" w:rsidRDefault="00CE7F43">
      <w:pPr>
        <w:pStyle w:val="Author-eSectionHeading6"/>
      </w:pPr>
      <w:bookmarkStart w:id="1276" w:name="_Toc178838396"/>
      <w:r>
        <w:t>23.16.2b Tôles larmées en acier inoxydable formées à froid CCTB 01.04</w:t>
      </w:r>
      <w:bookmarkEnd w:id="1276"/>
    </w:p>
    <w:p w14:paraId="2D5DA4F9" w14:textId="77777777" w:rsidR="00DF410E" w:rsidRDefault="00CE7F43">
      <w:pPr>
        <w:pStyle w:val="Author-eSectionHeading6"/>
      </w:pPr>
      <w:bookmarkStart w:id="1277" w:name="_Toc178838397"/>
      <w:r>
        <w:t>23.16.2c Tôles perforées en acier inoxydable formées à froid CCTB 01.04</w:t>
      </w:r>
      <w:bookmarkEnd w:id="1277"/>
    </w:p>
    <w:p w14:paraId="7C8EBF1E" w14:textId="77777777" w:rsidR="00DF410E" w:rsidRDefault="00CE7F43">
      <w:pPr>
        <w:pStyle w:val="Author-eSectionHeading6"/>
      </w:pPr>
      <w:bookmarkStart w:id="1278" w:name="_Toc178838398"/>
      <w:r>
        <w:t>23.16.2d Tôles en caillebotis en acier inoxydable CCTB 01.04</w:t>
      </w:r>
      <w:bookmarkEnd w:id="1278"/>
    </w:p>
    <w:p w14:paraId="0B46D9DD" w14:textId="77777777" w:rsidR="00DF410E" w:rsidRDefault="00CE7F43">
      <w:pPr>
        <w:pStyle w:val="Author-eSectionHeading6"/>
      </w:pPr>
      <w:bookmarkStart w:id="1279" w:name="_Toc178838399"/>
      <w:r>
        <w:t>23.16.2e Tôles en métal déployé en acier inoxydable CCTB 01.10</w:t>
      </w:r>
      <w:bookmarkEnd w:id="1279"/>
    </w:p>
    <w:p w14:paraId="38209F6B" w14:textId="77777777" w:rsidR="00DF410E" w:rsidRDefault="00CE7F43">
      <w:pPr>
        <w:pStyle w:val="Author-eSectionHeading6"/>
      </w:pPr>
      <w:bookmarkStart w:id="1280" w:name="_Toc178838400"/>
      <w:r>
        <w:t>23.16.2f Plats en acier inoxydable laminés à chaud CCTB 01.04</w:t>
      </w:r>
      <w:bookmarkEnd w:id="1280"/>
    </w:p>
    <w:p w14:paraId="5690A52F" w14:textId="77777777" w:rsidR="00DF410E" w:rsidRDefault="00CE7F43">
      <w:pPr>
        <w:pStyle w:val="Author-eSectionHeading6"/>
      </w:pPr>
      <w:bookmarkStart w:id="1281" w:name="_Toc178838401"/>
      <w:r>
        <w:t>23.16.2g Plats en acier inoxydable formés à froid CCTB 01.04</w:t>
      </w:r>
      <w:bookmarkEnd w:id="1281"/>
    </w:p>
    <w:p w14:paraId="061DE9B3" w14:textId="77777777" w:rsidR="00DF410E" w:rsidRDefault="00CE7F43">
      <w:pPr>
        <w:pStyle w:val="Author-eSectionHeading6"/>
      </w:pPr>
      <w:bookmarkStart w:id="1282" w:name="_Toc178838402"/>
      <w:r>
        <w:t>23.16.2h Grilles en acier inoxydable formées à froid CCTB 01.04</w:t>
      </w:r>
      <w:bookmarkEnd w:id="1282"/>
    </w:p>
    <w:p w14:paraId="449B218A" w14:textId="77777777" w:rsidR="00DF410E" w:rsidRDefault="00CE7F43">
      <w:pPr>
        <w:pStyle w:val="Author-eSectionHeading5"/>
      </w:pPr>
      <w:bookmarkStart w:id="1283" w:name="_Toc178838403"/>
      <w:r>
        <w:t>23.16.3 Tôles, plats et grilles en aluminium CCTB 01.04</w:t>
      </w:r>
      <w:bookmarkEnd w:id="1283"/>
    </w:p>
    <w:p w14:paraId="0E6276BD" w14:textId="77777777" w:rsidR="00DF410E" w:rsidRDefault="00CE7F43">
      <w:pPr>
        <w:pStyle w:val="Author-eSectionHeading6"/>
      </w:pPr>
      <w:bookmarkStart w:id="1284" w:name="_Toc178838404"/>
      <w:r>
        <w:t>23.16.3a Tôles en aluminium CCTB 01.02</w:t>
      </w:r>
      <w:bookmarkEnd w:id="1284"/>
    </w:p>
    <w:p w14:paraId="7271EEB3" w14:textId="77777777" w:rsidR="00DF410E" w:rsidRDefault="00CE7F43">
      <w:pPr>
        <w:pStyle w:val="Author-eSectionHeading6"/>
      </w:pPr>
      <w:bookmarkStart w:id="1285" w:name="_Toc178838405"/>
      <w:r>
        <w:t>23.16.3b Tôles larmées en aluminium CCTB 01.04</w:t>
      </w:r>
      <w:bookmarkEnd w:id="1285"/>
    </w:p>
    <w:p w14:paraId="17DF3228" w14:textId="77777777" w:rsidR="00DF410E" w:rsidRDefault="00CE7F43">
      <w:pPr>
        <w:pStyle w:val="Author-eSectionHeading6"/>
      </w:pPr>
      <w:bookmarkStart w:id="1286" w:name="_Toc178838406"/>
      <w:r>
        <w:t>23.16.3c Tôles perforées en aluminium CCTB 01.04</w:t>
      </w:r>
      <w:bookmarkEnd w:id="1286"/>
    </w:p>
    <w:p w14:paraId="6893D603" w14:textId="77777777" w:rsidR="00DF410E" w:rsidRDefault="00CE7F43">
      <w:pPr>
        <w:pStyle w:val="Author-eSectionHeading6"/>
      </w:pPr>
      <w:bookmarkStart w:id="1287" w:name="_Toc178838407"/>
      <w:r>
        <w:t>23.16.3d Plats en aluminium CCTB 01.04</w:t>
      </w:r>
      <w:bookmarkEnd w:id="1287"/>
    </w:p>
    <w:p w14:paraId="0A8614C0" w14:textId="77777777" w:rsidR="00DF410E" w:rsidRDefault="00CE7F43">
      <w:pPr>
        <w:pStyle w:val="Author-eSectionHeading6"/>
      </w:pPr>
      <w:bookmarkStart w:id="1288" w:name="_Toc178838408"/>
      <w:r>
        <w:t>23.16.3e Grilles en aluminium CCTB 01.04</w:t>
      </w:r>
      <w:bookmarkEnd w:id="1288"/>
    </w:p>
    <w:p w14:paraId="54D6AD31" w14:textId="77777777" w:rsidR="00DF410E" w:rsidRDefault="00CE7F43">
      <w:pPr>
        <w:pStyle w:val="Author-eSectionHeading3"/>
      </w:pPr>
      <w:bookmarkStart w:id="1289" w:name="_Toc178838409"/>
      <w:r>
        <w:t>23.2 Ensembles structuraux métalliques CCTB 01.11</w:t>
      </w:r>
      <w:bookmarkEnd w:id="1289"/>
    </w:p>
    <w:p w14:paraId="4ABF076B" w14:textId="77777777" w:rsidR="00DF410E" w:rsidRDefault="00CE7F43">
      <w:pPr>
        <w:pStyle w:val="pheading"/>
      </w:pPr>
      <w:bookmarkStart w:id="1290" w:name="555"/>
      <w:bookmarkEnd w:id="1290"/>
      <w:r>
        <w:t>EXÉCUTION / MISE EN ŒUVRE</w:t>
      </w:r>
    </w:p>
    <w:p w14:paraId="1D8C6CD0" w14:textId="77777777" w:rsidR="00DF410E" w:rsidRDefault="00CE7F43">
      <w:r>
        <w:rPr>
          <w:b/>
          <w:color w:val="000000"/>
          <w:u w:val="single"/>
        </w:rPr>
        <w:t>Critères de performance</w:t>
      </w:r>
    </w:p>
    <w:p w14:paraId="2F373258" w14:textId="77777777" w:rsidR="00DF410E" w:rsidRDefault="00CE7F43">
      <w:r>
        <w:t xml:space="preserve">Résistance au feu : pour les éléments porteurs structurels </w:t>
      </w:r>
      <w:r>
        <w:rPr>
          <w:rStyle w:val="optioncarChar"/>
        </w:rPr>
        <w:t>R 15 / R 30 </w:t>
      </w:r>
      <w:r>
        <w:t>(par défaut)</w:t>
      </w:r>
      <w:r>
        <w:rPr>
          <w:rStyle w:val="optioncarChar"/>
        </w:rPr>
        <w:t xml:space="preserve"> / R 60/ R 120 / R ***</w:t>
      </w:r>
      <w:r>
        <w:t xml:space="preserve"> selon la [NBN EN 13501-2] (et les normes d’essais qui y sont référencées). La résistance au feu peut également se déterminer par calcul conformément aux Eurocodes structuraux (la [NBN EN 1993-1-2] en l’occurrence). (rem. les ensembles structuraux poutres/colonnes en acier n’ont pas de fonction séparant EI)</w:t>
      </w:r>
    </w:p>
    <w:p w14:paraId="73931815" w14:textId="77777777" w:rsidR="00DF410E" w:rsidRDefault="00CE7F43">
      <w:pPr>
        <w:pStyle w:val="Author-eSectionHeading4"/>
      </w:pPr>
      <w:bookmarkStart w:id="1291" w:name="_Toc178838410"/>
      <w:r>
        <w:t>23.21 Structures métalliques (poutres/colonnes) CCTB 01.12</w:t>
      </w:r>
      <w:bookmarkEnd w:id="1291"/>
    </w:p>
    <w:p w14:paraId="6D0FCDB8" w14:textId="77777777" w:rsidR="00DF410E" w:rsidRDefault="00CE7F43">
      <w:pPr>
        <w:pStyle w:val="pheading"/>
      </w:pPr>
      <w:bookmarkStart w:id="1292" w:name="551"/>
      <w:bookmarkEnd w:id="1292"/>
      <w:r>
        <w:t>DESCRIPTION</w:t>
      </w:r>
    </w:p>
    <w:p w14:paraId="125401DC" w14:textId="77777777" w:rsidR="00DF410E" w:rsidRDefault="00CE7F43">
      <w:pPr>
        <w:pStyle w:val="pheading"/>
      </w:pPr>
      <w:r>
        <w:t>- Définition / Comprend</w:t>
      </w:r>
    </w:p>
    <w:p w14:paraId="3BD80BB2" w14:textId="77777777" w:rsidR="00DF410E" w:rsidRDefault="00CE7F43">
      <w:pPr>
        <w:jc w:val="both"/>
      </w:pPr>
      <w:r>
        <w:t>Il s’agit de la fourniture et de tous les travaux de pose de structures métalliques composées de poutres et colonnes en profilés d’acier linéaire, préfabriquées à l'atelier, montées et assemblées sur chantier aux ouvrages de construction déjà exécutés.</w:t>
      </w:r>
    </w:p>
    <w:p w14:paraId="6A457D09" w14:textId="77777777" w:rsidR="00DF410E" w:rsidRDefault="00CE7F43">
      <w:pPr>
        <w:jc w:val="both"/>
      </w:pPr>
      <w:r>
        <w:t>Les contreventements sont compris dans le prix unitaire de ces structures métalliques.</w:t>
      </w:r>
    </w:p>
    <w:p w14:paraId="06DAA627" w14:textId="77777777" w:rsidR="00DF410E" w:rsidRDefault="00CE7F43">
      <w:pPr>
        <w:jc w:val="both"/>
      </w:pPr>
      <w:r>
        <w:t>Les structures secondaires (pannes, lisses) posées sur les structures principales ne sont pas comprises dans le présent travail.</w:t>
      </w:r>
    </w:p>
    <w:p w14:paraId="0D24DE84" w14:textId="77777777" w:rsidR="00DF410E" w:rsidRDefault="00CE7F43">
      <w:pPr>
        <w:jc w:val="both"/>
      </w:pPr>
      <w:r>
        <w:t>Le travail comprend notamment :</w:t>
      </w:r>
    </w:p>
    <w:p w14:paraId="5A793835" w14:textId="77777777" w:rsidR="00DF410E" w:rsidRDefault="00CE7F43">
      <w:pPr>
        <w:pStyle w:val="Author-eListParagraph"/>
        <w:numPr>
          <w:ilvl w:val="0"/>
          <w:numId w:val="690"/>
        </w:numPr>
        <w:jc w:val="both"/>
      </w:pPr>
      <w:r>
        <w:t>le relevé sur place des dimensions exactes ;</w:t>
      </w:r>
    </w:p>
    <w:p w14:paraId="776E2351" w14:textId="77777777" w:rsidR="00DF410E" w:rsidRDefault="00CE7F43">
      <w:pPr>
        <w:pStyle w:val="Author-eListParagraph"/>
        <w:numPr>
          <w:ilvl w:val="0"/>
          <w:numId w:val="690"/>
        </w:numPr>
        <w:jc w:val="both"/>
      </w:pPr>
      <w:r>
        <w:t>le contrôle et la préparation des supports ;</w:t>
      </w:r>
    </w:p>
    <w:p w14:paraId="574DC100" w14:textId="77777777" w:rsidR="00DF410E" w:rsidRDefault="00CE7F43">
      <w:pPr>
        <w:pStyle w:val="Author-eListParagraph"/>
        <w:numPr>
          <w:ilvl w:val="0"/>
          <w:numId w:val="690"/>
        </w:numPr>
        <w:jc w:val="both"/>
      </w:pPr>
      <w:r>
        <w:t>le nettoyage du chantier.</w:t>
      </w:r>
    </w:p>
    <w:p w14:paraId="5CF21077" w14:textId="77777777" w:rsidR="00DF410E" w:rsidRDefault="00CE7F43">
      <w:pPr>
        <w:pStyle w:val="pheading"/>
      </w:pPr>
      <w:r>
        <w:t>EXÉCUTION / MISE EN ŒUVRE</w:t>
      </w:r>
    </w:p>
    <w:p w14:paraId="4D6E7B8C" w14:textId="77777777" w:rsidR="00DF410E" w:rsidRDefault="00CE7F43">
      <w:pPr>
        <w:jc w:val="both"/>
      </w:pPr>
      <w:r>
        <w:rPr>
          <w:b/>
        </w:rPr>
        <w:t>Timing - Influence de l'environnement - Mesures de protection</w:t>
      </w:r>
    </w:p>
    <w:p w14:paraId="22868D4B" w14:textId="77777777" w:rsidR="00DF410E" w:rsidRDefault="00CE7F43">
      <w:pPr>
        <w:jc w:val="both"/>
      </w:pPr>
      <w:r>
        <w:t>Les structures ne peuvent être placées que lorsque l'auteur de projet et l'installateur estiment, en concertation mutuelle, que les conditions de mise en œuvre sont favorables.</w:t>
      </w:r>
    </w:p>
    <w:p w14:paraId="1EE72B26" w14:textId="77777777" w:rsidR="00DF410E" w:rsidRDefault="00CE7F43">
      <w:pPr>
        <w:jc w:val="both"/>
      </w:pPr>
      <w:r>
        <w:t>Les structures et/ou les éléments qui les constituent sont autant que possible préfabriqués en atelier et acheminés en un seul lot sur le chantier. Lors du transport et de l’entreposage, les mesures nécessaires sont prises pour prévenir toute dégradation aux éléments proprement dits et au bâtiment. Ils sont immédiatement entreposés dans un endroit protégé et aéré. Si les éléments sont stockés à l’extérieur, ils sont protégés des influences atmosphériques, surtout pour un stockage de longue durée, afin d’éviter leur dégradation par la pluie.</w:t>
      </w:r>
    </w:p>
    <w:p w14:paraId="256F0D6C" w14:textId="77777777" w:rsidR="00DF410E" w:rsidRDefault="00CE7F43">
      <w:pPr>
        <w:jc w:val="both"/>
      </w:pPr>
      <w:r>
        <w:t>Que les éléments soient entreposés verticalement ou horizontalement, ils doivent être suffisamment soutenus pour ne pas subir de dommages ou déformations. Tout contact des éléments avec le sol ou la végétation est à éviter.</w:t>
      </w:r>
    </w:p>
    <w:p w14:paraId="3062C00D" w14:textId="77777777" w:rsidR="00DF410E" w:rsidRDefault="00CE7F43">
      <w:pPr>
        <w:jc w:val="both"/>
      </w:pPr>
      <w:r>
        <w:rPr>
          <w:b/>
        </w:rPr>
        <w:t>Dessin d'étude et d'exécution</w:t>
      </w:r>
    </w:p>
    <w:p w14:paraId="576E8811" w14:textId="77777777" w:rsidR="00DF410E" w:rsidRDefault="00CE7F43">
      <w:pPr>
        <w:jc w:val="both"/>
      </w:pPr>
      <w:r>
        <w:t xml:space="preserve">Etude et plans d'exécution : conformément aux prescriptions du « </w:t>
      </w:r>
      <w:hyperlink w:anchor="347" w:history="1">
        <w:r>
          <w:t>23 Superstructures métalliques</w:t>
        </w:r>
      </w:hyperlink>
      <w:r>
        <w:t xml:space="preserve"> ».</w:t>
      </w:r>
    </w:p>
    <w:p w14:paraId="4666C9BE" w14:textId="77777777" w:rsidR="00DF410E" w:rsidRDefault="00CE7F43">
      <w:pPr>
        <w:jc w:val="both"/>
      </w:pPr>
      <w:r>
        <w:t>Dans tous les cas, l'entrepreneur est tenu de contrôler les dimensions sur place et de vérifier si les structures ou les éléments peuvent être exécutés selon les plans soumis. Lorsque cela s'avère impossible, il en avertit l'auteur de projet ou le bureau d’étude le plus rapidement possible.</w:t>
      </w:r>
    </w:p>
    <w:p w14:paraId="7056687E" w14:textId="77777777" w:rsidR="00DF410E" w:rsidRDefault="00CE7F43">
      <w:pPr>
        <w:jc w:val="both"/>
      </w:pPr>
      <w:r>
        <w:t>Il est également tenu de réaliser les dessins d'exécution et de les soumettre préalablement à l'approbation de l'auteur de projet ou du bureau d’études afin de permettre sa fabrication, son acheminement sur site et son placement.</w:t>
      </w:r>
    </w:p>
    <w:p w14:paraId="3DF3AE3F" w14:textId="77777777" w:rsidR="00DF410E" w:rsidRDefault="00CE7F43">
      <w:pPr>
        <w:jc w:val="both"/>
      </w:pPr>
      <w:r>
        <w:rPr>
          <w:b/>
        </w:rPr>
        <w:t>Mise en œuvre</w:t>
      </w:r>
    </w:p>
    <w:p w14:paraId="4870861F" w14:textId="77777777" w:rsidR="00DF410E" w:rsidRDefault="00CE7F43">
      <w:pPr>
        <w:jc w:val="both"/>
      </w:pPr>
      <w:r>
        <w:t xml:space="preserve">Classe d’exécution EXC : </w:t>
      </w:r>
      <w:r>
        <w:rPr>
          <w:rStyle w:val="optioncarChar"/>
        </w:rPr>
        <w:t>1 / 2</w:t>
      </w:r>
      <w:r>
        <w:t xml:space="preserve"> (par défaut) </w:t>
      </w:r>
      <w:r>
        <w:rPr>
          <w:rStyle w:val="optioncarChar"/>
        </w:rPr>
        <w:t>/ 3 / 4</w:t>
      </w:r>
    </w:p>
    <w:p w14:paraId="1FD627EF" w14:textId="77777777" w:rsidR="00DF410E" w:rsidRDefault="00CE7F43">
      <w:pPr>
        <w:jc w:val="both"/>
      </w:pPr>
      <w:r>
        <w:t>Tous les travaux et fournitures nécessaires au montage, réglage, calage et scellement des structures métalliques sont compris.</w:t>
      </w:r>
    </w:p>
    <w:p w14:paraId="75C6B90A" w14:textId="77777777" w:rsidR="00DF410E" w:rsidRDefault="00CE7F43">
      <w:pPr>
        <w:jc w:val="both"/>
      </w:pPr>
      <w:r>
        <w:t>Le calage assure un contact convenable entre les éléments d’assise du gros-œuvre ou de la structure, et les éléments d’appui de la structure métallique.</w:t>
      </w:r>
    </w:p>
    <w:p w14:paraId="63B59DD5" w14:textId="77777777" w:rsidR="00DF410E" w:rsidRDefault="00CE7F43">
      <w:pPr>
        <w:jc w:val="both"/>
      </w:pPr>
      <w:r>
        <w:t>La structure est ancrée au gros-œuvre de façon à éviter tout déplacement causé par les actions auxquelles elle est soumise. Le dimensionnement des ancrages est déterminé par calcul ou par essais.</w:t>
      </w:r>
    </w:p>
    <w:p w14:paraId="4974CF1E" w14:textId="77777777" w:rsidR="00DF410E" w:rsidRDefault="00CE7F43">
      <w:pPr>
        <w:jc w:val="both"/>
      </w:pPr>
      <w:r>
        <w:t>Il est indispensable de prévoir des contreventements dans le plan de la toiture et dans les façades, En règle générale, les contreventements sont prévus par paire. La distance entre les parties pourvues d’un contreventement s’élève à 15m maximum, à moins que les calculs ne démontrent que ce n’est pas nécessaire.</w:t>
      </w:r>
    </w:p>
    <w:p w14:paraId="213A8A77" w14:textId="77777777" w:rsidR="00DF410E" w:rsidRDefault="00CE7F43">
      <w:pPr>
        <w:jc w:val="both"/>
      </w:pPr>
      <w:r>
        <w:t>L’entrepreneur organise l'ensemble de l'ouvrage de manière telle que, de tout temps et pendant toute la durée des manipulations nécessaires et possibles des divers éléments, la stabilité de l'ensemble et de chaque élément séparément soit garantie.</w:t>
      </w:r>
    </w:p>
    <w:p w14:paraId="5DDEC587" w14:textId="77777777" w:rsidR="00DF410E" w:rsidRDefault="00CE7F43">
      <w:pPr>
        <w:jc w:val="both"/>
      </w:pPr>
      <w:r>
        <w:t>Toutes les pièces sont solidement attachées ou ancrées aux ouvrages de construction attenants à l'aide de chevilles, ancrages chimiques ou mécaniques appropriés, de boulons, vis, écrous et contre-écrous, etc. afin d'obtenir un montage solide qui ne cède pas, même lors d'un usage intensif.</w:t>
      </w:r>
    </w:p>
    <w:p w14:paraId="464CC521" w14:textId="77777777" w:rsidR="00DF410E" w:rsidRDefault="00CE7F43">
      <w:pPr>
        <w:jc w:val="both"/>
      </w:pPr>
      <w:r>
        <w:t>Lorsque les éléments sont vissés dans des blocs de construction apparents, des briques ou des éléments en béton apparent, le forage est effectué avec toute la prudence qui s'impose pour ne pas endommager ni déchausser les briques ou les blocs.</w:t>
      </w:r>
    </w:p>
    <w:p w14:paraId="0A334AD9" w14:textId="77777777" w:rsidR="00DF410E" w:rsidRDefault="00CE7F43">
      <w:pPr>
        <w:jc w:val="both"/>
      </w:pPr>
      <w:r>
        <w:t>Les recommandations de l'auteur de projet en ce qui concerne la pose de membranes d'étanchéité ou d'isolation afin de prévenir les ponts d'humidité ou les ponts thermiques sont scrupuleusement respectées par l'entrepreneur. Lorsque ces recommandations ne sont pas mentionnées explicitement dans les documents d'exécution, l'entrepreneur s'informe avant de commencer ses travaux.</w:t>
      </w:r>
    </w:p>
    <w:p w14:paraId="6CCB21B9" w14:textId="77777777" w:rsidR="00DF410E" w:rsidRDefault="00CE7F43">
      <w:pPr>
        <w:jc w:val="both"/>
      </w:pPr>
      <w:r>
        <w:t>La structure est mise en œuvre conformément aux prescriptions de la norme [NBN EN 1090-2] pour les structures acier, ou la [NBN EN 1090-3] pour les structures aluminium.</w:t>
      </w:r>
    </w:p>
    <w:p w14:paraId="47D9AD91" w14:textId="77777777" w:rsidR="00DF410E" w:rsidRDefault="00CE7F43">
      <w:pPr>
        <w:jc w:val="both"/>
      </w:pPr>
      <w:r>
        <w:rPr>
          <w:b/>
        </w:rPr>
        <w:t>Pattes pour pannes</w:t>
      </w:r>
    </w:p>
    <w:p w14:paraId="04E47B28" w14:textId="77777777" w:rsidR="00DF410E" w:rsidRDefault="00CE7F43">
      <w:pPr>
        <w:jc w:val="both"/>
      </w:pPr>
      <w:r>
        <w:t>Les pattes qui servent à fixer les pannes et qui sont directement soudées sur les arbalétriers font partie intégrante de la structure.</w:t>
      </w:r>
    </w:p>
    <w:p w14:paraId="4C555B16" w14:textId="77777777" w:rsidR="00DF410E" w:rsidRDefault="00CE7F43">
      <w:pPr>
        <w:jc w:val="both"/>
      </w:pPr>
      <w:r>
        <w:t>Les pattes qui sont boulonnées par la suite lors de la pose de pannes sont décrites et comptabilisées avec les pannes, sauf contre-indication dans le cahier spécial des charges.</w:t>
      </w:r>
    </w:p>
    <w:p w14:paraId="0194459F" w14:textId="77777777" w:rsidR="00DF410E" w:rsidRDefault="00CE7F43">
      <w:pPr>
        <w:pStyle w:val="pheading"/>
      </w:pPr>
      <w:r>
        <w:t>CONTRÔLES</w:t>
      </w:r>
    </w:p>
    <w:p w14:paraId="303F8415" w14:textId="77777777" w:rsidR="00DF410E" w:rsidRDefault="00CE7F43">
      <w:pPr>
        <w:jc w:val="both"/>
      </w:pPr>
      <w:r>
        <w:rPr>
          <w:b/>
        </w:rPr>
        <w:t>Tolérances géométriques</w:t>
      </w:r>
    </w:p>
    <w:p w14:paraId="0FBAF0A0" w14:textId="77777777" w:rsidR="00DF410E" w:rsidRDefault="00CE7F43">
      <w:pPr>
        <w:jc w:val="both"/>
      </w:pPr>
      <w:r>
        <w:t xml:space="preserve">Les tolérances géométriques sont contrôlées en respectant les [NBN EN 1090-2] ou [NBN EN 1090-3]. Lorsqu’une même tolérance est reprise plusieurs fois dans des tableaux différents, la valeur la plus sévère est à respecter. </w:t>
      </w:r>
    </w:p>
    <w:p w14:paraId="11ADE4AF" w14:textId="77777777" w:rsidR="00DF410E" w:rsidRDefault="00CE7F43">
      <w:pPr>
        <w:jc w:val="both"/>
      </w:pPr>
      <w:r>
        <w:rPr>
          <w:b/>
        </w:rPr>
        <w:t>Assemblages</w:t>
      </w:r>
    </w:p>
    <w:p w14:paraId="572AD265" w14:textId="77777777" w:rsidR="00DF410E" w:rsidRDefault="00CE7F43">
      <w:pPr>
        <w:jc w:val="both"/>
      </w:pPr>
      <w:r>
        <w:t>Les assemblages réalisés sur chantier sont contrôlés en respectant les [NBN EN 1090-2] ou [NBN EN 1090-3].</w:t>
      </w:r>
    </w:p>
    <w:p w14:paraId="20D65375" w14:textId="77777777" w:rsidR="00DF410E" w:rsidRDefault="00CE7F43">
      <w:pPr>
        <w:pStyle w:val="Author-eSectionHeading5"/>
      </w:pPr>
      <w:bookmarkStart w:id="1293" w:name="_Toc178838411"/>
      <w:r>
        <w:t>23.21.1 Structures en profilés en acier laminés à chaud CCTB 01.11</w:t>
      </w:r>
      <w:bookmarkEnd w:id="1293"/>
    </w:p>
    <w:p w14:paraId="594C7ABB" w14:textId="77777777" w:rsidR="00DF410E" w:rsidRDefault="00CE7F43">
      <w:pPr>
        <w:pStyle w:val="pheading"/>
      </w:pPr>
      <w:r>
        <w:t>DESCRIPTION</w:t>
      </w:r>
    </w:p>
    <w:p w14:paraId="660D3FDB" w14:textId="77777777" w:rsidR="00DF410E" w:rsidRDefault="00CE7F43">
      <w:pPr>
        <w:pStyle w:val="pheading"/>
      </w:pPr>
      <w:r>
        <w:t>- Définition / Comprend</w:t>
      </w:r>
    </w:p>
    <w:p w14:paraId="2557B24A" w14:textId="77777777" w:rsidR="00DF410E" w:rsidRDefault="00CE7F43">
      <w:pPr>
        <w:jc w:val="both"/>
      </w:pPr>
      <w:r>
        <w:t>Il s’agit de la fourniture et de tous les travaux de pose de structures métalliques en profilés en acier laminés à chaud préfabriquées à l'atelier, montées et assemblées sur chantier aux ouvrages de construction déjà exécutés. Les éventuels contreventements sont compris dans le travail.</w:t>
      </w:r>
    </w:p>
    <w:p w14:paraId="305F92C8" w14:textId="77777777" w:rsidR="00DF410E" w:rsidRDefault="00CE7F43">
      <w:pPr>
        <w:pStyle w:val="pheading"/>
      </w:pPr>
      <w:r>
        <w:t>MATÉRIAUX</w:t>
      </w:r>
    </w:p>
    <w:p w14:paraId="5D8ECA96" w14:textId="77777777" w:rsidR="00DF410E" w:rsidRDefault="00CE7F43">
      <w:pPr>
        <w:jc w:val="both"/>
      </w:pPr>
      <w:r>
        <w:t>Acier laminé à chaud répondant aux prescriptions de la [NBN EN 10025 série].</w:t>
      </w:r>
    </w:p>
    <w:p w14:paraId="49FEC4B8" w14:textId="77777777" w:rsidR="00DF410E" w:rsidRDefault="00CE7F43">
      <w:pPr>
        <w:pStyle w:val="pheading"/>
      </w:pPr>
      <w:r>
        <w:t>EXÉCUTION / MISE EN ŒUVRE</w:t>
      </w:r>
    </w:p>
    <w:p w14:paraId="4DCD93B8" w14:textId="77777777" w:rsidR="00DF410E" w:rsidRDefault="00CE7F43">
      <w:pPr>
        <w:jc w:val="both"/>
      </w:pPr>
      <w:r>
        <w:t xml:space="preserve">Conformément au </w:t>
      </w:r>
      <w:hyperlink w:anchor="551" w:history="1">
        <w:r>
          <w:t>23.21 Structures métalliques (poutres/colonnes)</w:t>
        </w:r>
      </w:hyperlink>
      <w:r>
        <w:t>.</w:t>
      </w:r>
    </w:p>
    <w:p w14:paraId="62A8E19E" w14:textId="77777777" w:rsidR="00DF410E" w:rsidRDefault="00CE7F43">
      <w:pPr>
        <w:jc w:val="both"/>
      </w:pPr>
      <w:r>
        <w:rPr>
          <w:b/>
        </w:rPr>
        <w:t>Contreventement perpendiculaire au plan des structures</w:t>
      </w:r>
    </w:p>
    <w:p w14:paraId="03E45A32" w14:textId="77777777" w:rsidR="00DF410E" w:rsidRDefault="00CE7F43">
      <w:pPr>
        <w:jc w:val="both"/>
      </w:pPr>
      <w:r>
        <w:t xml:space="preserve">Contreventement vertical des structures, perpendiculairement à leur cadre : </w:t>
      </w:r>
      <w:r>
        <w:rPr>
          <w:rStyle w:val="optioncarChar"/>
        </w:rPr>
        <w:t xml:space="preserve">oui </w:t>
      </w:r>
      <w:r>
        <w:t>(par défaut)</w:t>
      </w:r>
      <w:r>
        <w:rPr>
          <w:rStyle w:val="optioncarChar"/>
        </w:rPr>
        <w:t xml:space="preserve"> / non</w:t>
      </w:r>
    </w:p>
    <w:p w14:paraId="6A64E3F0" w14:textId="77777777" w:rsidR="00DF410E" w:rsidRDefault="00CE7F43">
      <w:pPr>
        <w:jc w:val="both"/>
      </w:pPr>
      <w:r>
        <w:rPr>
          <w:b/>
        </w:rPr>
        <w:t>(soit par défaut)</w:t>
      </w:r>
    </w:p>
    <w:p w14:paraId="3B895BBC" w14:textId="77777777" w:rsidR="00DF410E" w:rsidRDefault="00CE7F43">
      <w:pPr>
        <w:jc w:val="both"/>
      </w:pPr>
      <w:r>
        <w:rPr>
          <w:rStyle w:val="soitChar"/>
          <w:u w:val="single"/>
        </w:rPr>
        <w:t>Oui :</w:t>
      </w:r>
    </w:p>
    <w:p w14:paraId="1F910434" w14:textId="77777777" w:rsidR="00DF410E" w:rsidRDefault="00CE7F43">
      <w:pPr>
        <w:jc w:val="both"/>
      </w:pPr>
      <w:r>
        <w:rPr>
          <w:rStyle w:val="soitChar"/>
        </w:rPr>
        <w:t>Les cadres de charpente sont contreventés perpendiculairement à leur plan. Chaque façade est contreventée.</w:t>
      </w:r>
    </w:p>
    <w:p w14:paraId="195B0E9E" w14:textId="77777777" w:rsidR="00DF410E" w:rsidRDefault="00CE7F43">
      <w:pPr>
        <w:jc w:val="both"/>
      </w:pPr>
      <w:r>
        <w:rPr>
          <w:rStyle w:val="soitChar"/>
        </w:rPr>
        <w:t>Des barres de transfert des efforts horizontaux sont placées entre les différents cadres. Elles sont soudées à des platines d’about, boulonnées aux colonnes des différentes charpentes.</w:t>
      </w:r>
    </w:p>
    <w:p w14:paraId="554C8110" w14:textId="77777777" w:rsidR="00DF410E" w:rsidRDefault="00CE7F43">
      <w:pPr>
        <w:jc w:val="both"/>
      </w:pPr>
      <w:r>
        <w:rPr>
          <w:rStyle w:val="soitChar"/>
        </w:rPr>
        <w:t xml:space="preserve">Une palée de stabilité est réalisée entre deux cadres de charpente, à l’aide : </w:t>
      </w:r>
      <w:r>
        <w:rPr>
          <w:rStyle w:val="optioncarChar"/>
        </w:rPr>
        <w:t>de diagonales de contreventement / de contrefiches (bracons)</w:t>
      </w:r>
      <w:r>
        <w:rPr>
          <w:rStyle w:val="soitChar"/>
        </w:rPr>
        <w:t>.</w:t>
      </w:r>
    </w:p>
    <w:p w14:paraId="73002F75" w14:textId="77777777" w:rsidR="00DF410E" w:rsidRDefault="00CE7F43">
      <w:pPr>
        <w:jc w:val="both"/>
      </w:pPr>
      <w:r>
        <w:rPr>
          <w:rStyle w:val="soitChar"/>
        </w:rPr>
        <w:t>Leur position est déterminée en fonction des façades du bâtiment.</w:t>
      </w:r>
    </w:p>
    <w:p w14:paraId="692983E0" w14:textId="77777777" w:rsidR="00DF410E" w:rsidRDefault="00CE7F43">
      <w:pPr>
        <w:jc w:val="both"/>
      </w:pPr>
      <w:r>
        <w:rPr>
          <w:rStyle w:val="soitChar"/>
        </w:rPr>
        <w:t>Le nombre de palées est conforme à l'étude de stabilité.</w:t>
      </w:r>
    </w:p>
    <w:p w14:paraId="78B529A0" w14:textId="77777777" w:rsidR="00DF410E" w:rsidRDefault="00CE7F43">
      <w:pPr>
        <w:jc w:val="both"/>
      </w:pPr>
      <w:r>
        <w:rPr>
          <w:b/>
        </w:rPr>
        <w:t>(soit)</w:t>
      </w:r>
    </w:p>
    <w:p w14:paraId="590AC5A0" w14:textId="77777777" w:rsidR="00DF410E" w:rsidRDefault="00CE7F43">
      <w:pPr>
        <w:jc w:val="both"/>
      </w:pPr>
      <w:r>
        <w:rPr>
          <w:rStyle w:val="soitChar"/>
          <w:u w:val="single"/>
        </w:rPr>
        <w:t>Non :</w:t>
      </w:r>
      <w:r>
        <w:rPr>
          <w:rStyle w:val="soitChar"/>
        </w:rPr>
        <w:t xml:space="preserve"> pas d’application.</w:t>
      </w:r>
    </w:p>
    <w:p w14:paraId="0D4C778D" w14:textId="77777777" w:rsidR="00DF410E" w:rsidRDefault="00CE7F43">
      <w:pPr>
        <w:jc w:val="both"/>
      </w:pPr>
      <w:r>
        <w:rPr>
          <w:b/>
        </w:rPr>
        <w:t>Poutre au vent entre les cadres des structures</w:t>
      </w:r>
    </w:p>
    <w:p w14:paraId="49930954" w14:textId="77777777" w:rsidR="00DF410E" w:rsidRDefault="00CE7F43">
      <w:pPr>
        <w:jc w:val="both"/>
      </w:pPr>
      <w:r>
        <w:t xml:space="preserve">Poutres au vent horizontales entre les cadres des structures : </w:t>
      </w:r>
      <w:r>
        <w:rPr>
          <w:rStyle w:val="optioncarChar"/>
        </w:rPr>
        <w:t xml:space="preserve">oui </w:t>
      </w:r>
      <w:r>
        <w:t xml:space="preserve">(par défaut) </w:t>
      </w:r>
      <w:r>
        <w:rPr>
          <w:rStyle w:val="optioncarChar"/>
        </w:rPr>
        <w:t>/ non</w:t>
      </w:r>
    </w:p>
    <w:p w14:paraId="28D9C2B2" w14:textId="77777777" w:rsidR="00DF410E" w:rsidRDefault="00CE7F43">
      <w:pPr>
        <w:jc w:val="both"/>
      </w:pPr>
      <w:r>
        <w:rPr>
          <w:b/>
        </w:rPr>
        <w:t>(soit par défaut)</w:t>
      </w:r>
    </w:p>
    <w:p w14:paraId="450EDEB6" w14:textId="77777777" w:rsidR="00DF410E" w:rsidRDefault="00CE7F43">
      <w:pPr>
        <w:jc w:val="both"/>
      </w:pPr>
      <w:r>
        <w:rPr>
          <w:rStyle w:val="soitChar"/>
          <w:u w:val="single"/>
        </w:rPr>
        <w:t>Oui :</w:t>
      </w:r>
    </w:p>
    <w:p w14:paraId="6682C0DC" w14:textId="77777777" w:rsidR="00DF410E" w:rsidRDefault="00CE7F43">
      <w:pPr>
        <w:jc w:val="both"/>
      </w:pPr>
      <w:r>
        <w:rPr>
          <w:rStyle w:val="soitChar"/>
        </w:rPr>
        <w:t>Les poutres au vent sont réalisées horizontalement entre deux cadres de charpente.</w:t>
      </w:r>
    </w:p>
    <w:p w14:paraId="412DA278" w14:textId="77777777" w:rsidR="00DF410E" w:rsidRDefault="00CE7F43">
      <w:pPr>
        <w:jc w:val="both"/>
      </w:pPr>
      <w:r>
        <w:rPr>
          <w:rStyle w:val="soitChar"/>
        </w:rPr>
        <w:t>Des barres de transfert des efforts horizontaux sont placées entre les différents cadres, dans l’épaisseur des poutres. Elles sont soudées à des platines d’about, boulonnés aux poutres des différentes charpentes.</w:t>
      </w:r>
    </w:p>
    <w:p w14:paraId="0EBEBAAD" w14:textId="77777777" w:rsidR="00DF410E" w:rsidRDefault="00CE7F43">
      <w:pPr>
        <w:jc w:val="both"/>
      </w:pPr>
      <w:r>
        <w:rPr>
          <w:rStyle w:val="soitChar"/>
        </w:rPr>
        <w:t>Une poutre au vent est réalisée entre deux poutres de charpente, à l’aide de diagonales de contreventement. Cette palée est réalisée de manière continue d’une façade à l’autre.</w:t>
      </w:r>
    </w:p>
    <w:p w14:paraId="460C3399" w14:textId="77777777" w:rsidR="00DF410E" w:rsidRDefault="00CE7F43">
      <w:pPr>
        <w:jc w:val="both"/>
      </w:pPr>
      <w:r>
        <w:rPr>
          <w:rStyle w:val="soitChar"/>
        </w:rPr>
        <w:t>Le nombre de palées est conforme à l'étude de stabilité.</w:t>
      </w:r>
    </w:p>
    <w:p w14:paraId="5D2449A0" w14:textId="77777777" w:rsidR="00DF410E" w:rsidRDefault="00CE7F43">
      <w:pPr>
        <w:jc w:val="both"/>
      </w:pPr>
      <w:r>
        <w:rPr>
          <w:b/>
        </w:rPr>
        <w:t>(soit)</w:t>
      </w:r>
    </w:p>
    <w:p w14:paraId="54295F2F" w14:textId="77777777" w:rsidR="00DF410E" w:rsidRDefault="00CE7F43">
      <w:pPr>
        <w:jc w:val="both"/>
      </w:pPr>
      <w:r>
        <w:rPr>
          <w:rStyle w:val="soitChar"/>
          <w:u w:val="single"/>
        </w:rPr>
        <w:t>Non :</w:t>
      </w:r>
      <w:r>
        <w:rPr>
          <w:rStyle w:val="soitChar"/>
        </w:rPr>
        <w:t xml:space="preserve"> pas d’application.</w:t>
      </w:r>
    </w:p>
    <w:p w14:paraId="523562AB" w14:textId="77777777" w:rsidR="00DF410E" w:rsidRDefault="00CE7F43">
      <w:pPr>
        <w:pStyle w:val="Author-eSectionHeading6"/>
      </w:pPr>
      <w:bookmarkStart w:id="1294" w:name="_Toc178838412"/>
      <w:r>
        <w:t>23.21.1a Charpentes en profilés en acier laminés à chaud CCTB 01.12</w:t>
      </w:r>
      <w:bookmarkEnd w:id="1294"/>
    </w:p>
    <w:p w14:paraId="651716BB" w14:textId="77777777" w:rsidR="00DF410E" w:rsidRDefault="00CE7F43">
      <w:pPr>
        <w:pStyle w:val="pheading"/>
      </w:pPr>
      <w:r>
        <w:t>DESCRIPTION</w:t>
      </w:r>
    </w:p>
    <w:p w14:paraId="41CFF141" w14:textId="77777777" w:rsidR="00DF410E" w:rsidRDefault="00CE7F43">
      <w:pPr>
        <w:pStyle w:val="pheading"/>
      </w:pPr>
      <w:r>
        <w:t>- Définition / Comprend</w:t>
      </w:r>
    </w:p>
    <w:p w14:paraId="616724FA" w14:textId="77777777" w:rsidR="00DF410E" w:rsidRDefault="00CE7F43">
      <w:pPr>
        <w:jc w:val="both"/>
      </w:pPr>
      <w:r>
        <w:t xml:space="preserve">Il s’agit de la fourniture et la pose de charpentes métalliques composées de poutres (ou arbalétriers) et colonnes en profilés en acier laminés à chaud, présentant des articulations à toutes ses jonctions principales, à l’inverse des portiques, qui sont décrits à l’article </w:t>
      </w:r>
      <w:hyperlink w:anchor="550" w:history="1">
        <w:r>
          <w:t>23.21.1b Portiques en profilés en acier laminés à chaud</w:t>
        </w:r>
      </w:hyperlink>
      <w:r>
        <w:t>.</w:t>
      </w:r>
    </w:p>
    <w:p w14:paraId="4D0266E8" w14:textId="77777777" w:rsidR="00DF410E" w:rsidRDefault="00CE7F43">
      <w:pPr>
        <w:jc w:val="both"/>
      </w:pPr>
      <w:r>
        <w:t>Elles sont contreventées dans leur plan par des éléments linéaires en acier. Ces contreventements sont compris dans le travail.</w:t>
      </w:r>
    </w:p>
    <w:p w14:paraId="7032B52F" w14:textId="77777777" w:rsidR="00DF410E" w:rsidRDefault="00CE7F43">
      <w:pPr>
        <w:jc w:val="both"/>
      </w:pPr>
      <w:r>
        <w:t>Ces structures sont préfabriquées à l'atelier, montées et assemblées sur chantier aux ouvrages de construction déjà exécutés.</w:t>
      </w:r>
    </w:p>
    <w:p w14:paraId="645DC349" w14:textId="77777777" w:rsidR="00DF410E" w:rsidRDefault="00CE7F43">
      <w:pPr>
        <w:jc w:val="both"/>
      </w:pPr>
      <w:r>
        <w:t>Les cadres sont placés à entraxe régulier.</w:t>
      </w:r>
    </w:p>
    <w:p w14:paraId="7C19A10E" w14:textId="77777777" w:rsidR="00DF410E" w:rsidRDefault="00CE7F43">
      <w:pPr>
        <w:pStyle w:val="pheading"/>
      </w:pPr>
      <w:r>
        <w:t>MATÉRIAUX</w:t>
      </w:r>
    </w:p>
    <w:p w14:paraId="7E44989C" w14:textId="77777777" w:rsidR="00DF410E" w:rsidRDefault="00CE7F43">
      <w:pPr>
        <w:pStyle w:val="pheading"/>
      </w:pPr>
      <w:r>
        <w:t>- Caractéristiques générales</w:t>
      </w:r>
    </w:p>
    <w:p w14:paraId="289F82B2" w14:textId="77777777" w:rsidR="00DF410E" w:rsidRDefault="00DF410E"/>
    <w:p w14:paraId="0A65C168" w14:textId="77777777" w:rsidR="00DF410E" w:rsidRDefault="00CE7F43">
      <w:pPr>
        <w:pStyle w:val="Author-eListParagraph"/>
        <w:numPr>
          <w:ilvl w:val="0"/>
          <w:numId w:val="691"/>
        </w:numPr>
        <w:jc w:val="both"/>
      </w:pPr>
      <w:r>
        <w:t>Flèche maximale admissible des poutres et colonnes, suivant la [NBN B 03-003] ≤ </w:t>
      </w:r>
      <w:r>
        <w:rPr>
          <w:rStyle w:val="optioncarChar"/>
        </w:rPr>
        <w:t>L/500 / L/300</w:t>
      </w:r>
      <w:r>
        <w:t> (par défaut)</w:t>
      </w:r>
      <w:r>
        <w:rPr>
          <w:rStyle w:val="optioncarChar"/>
        </w:rPr>
        <w:t> / ***</w:t>
      </w:r>
    </w:p>
    <w:p w14:paraId="7CB964FB" w14:textId="77777777" w:rsidR="00DF410E" w:rsidRDefault="00CE7F43">
      <w:pPr>
        <w:pStyle w:val="Author-eListParagraph"/>
        <w:numPr>
          <w:ilvl w:val="0"/>
          <w:numId w:val="691"/>
        </w:numPr>
        <w:jc w:val="both"/>
      </w:pPr>
      <w:r>
        <w:t>Déplacement admissible en tête de colonne, suivant la [NBN B 03-003] ≤</w:t>
      </w:r>
      <w:r>
        <w:rPr>
          <w:rStyle w:val="optioncarChar"/>
        </w:rPr>
        <w:t> h/150 / h/250 </w:t>
      </w:r>
      <w:r>
        <w:t>(par défaut)</w:t>
      </w:r>
      <w:r>
        <w:rPr>
          <w:rStyle w:val="optioncarChar"/>
        </w:rPr>
        <w:t> / h/500 / ***</w:t>
      </w:r>
    </w:p>
    <w:p w14:paraId="6F63E5D8" w14:textId="77777777" w:rsidR="00DF410E" w:rsidRDefault="00CE7F43">
      <w:pPr>
        <w:pStyle w:val="Author-eListParagraph"/>
        <w:numPr>
          <w:ilvl w:val="0"/>
          <w:numId w:val="691"/>
        </w:numPr>
        <w:jc w:val="both"/>
      </w:pPr>
      <w:r>
        <w:t>Nuance d'acier, selon la [NBN EN 10025 série] (limite élastique en N/mm2) : </w:t>
      </w:r>
      <w:r>
        <w:rPr>
          <w:rStyle w:val="optioncarChar"/>
        </w:rPr>
        <w:t>voir données mentionnées sur les plans </w:t>
      </w:r>
      <w:r>
        <w:t>(par défaut) </w:t>
      </w:r>
      <w:r>
        <w:rPr>
          <w:rStyle w:val="optioncarChar"/>
        </w:rPr>
        <w:t>/ S235 / S 275 / S 355 / S 420 / S460</w:t>
      </w:r>
    </w:p>
    <w:p w14:paraId="667588A0" w14:textId="77777777" w:rsidR="00DF410E" w:rsidRDefault="00CE7F43">
      <w:pPr>
        <w:pStyle w:val="Author-eListParagraph"/>
        <w:numPr>
          <w:ilvl w:val="0"/>
          <w:numId w:val="691"/>
        </w:numPr>
        <w:jc w:val="both"/>
      </w:pPr>
      <w:r>
        <w:t xml:space="preserve">Qualité d’acier selon la [NBN EN 10025 série] : </w:t>
      </w:r>
      <w:r>
        <w:rPr>
          <w:rStyle w:val="optioncarChar"/>
        </w:rPr>
        <w:t>voir données mentionnées sur les plans </w:t>
      </w:r>
      <w:r>
        <w:t xml:space="preserve">(par défaut) </w:t>
      </w:r>
      <w:r>
        <w:rPr>
          <w:rStyle w:val="optioncarChar"/>
        </w:rPr>
        <w:t>/ JR / J0 / J2 / KR / K0 / K2 / N / NL / M / ML / W / P / Q / QL / QL1</w:t>
      </w:r>
      <w:r>
        <w:t> .</w:t>
      </w:r>
    </w:p>
    <w:p w14:paraId="46075763" w14:textId="77777777" w:rsidR="00DF410E" w:rsidRDefault="00CE7F43">
      <w:pPr>
        <w:pStyle w:val="Author-eListParagraph"/>
        <w:numPr>
          <w:ilvl w:val="0"/>
          <w:numId w:val="691"/>
        </w:numPr>
        <w:jc w:val="both"/>
      </w:pPr>
      <w:r>
        <w:t xml:space="preserve">Arrachement lamellaire, selon la [NBN EN 10164:2018] : </w:t>
      </w:r>
      <w:r>
        <w:rPr>
          <w:rStyle w:val="optioncarChar"/>
        </w:rPr>
        <w:t>voir données mentionnées sur les plans</w:t>
      </w:r>
      <w:r>
        <w:t xml:space="preserve"> (par défaut) </w:t>
      </w:r>
      <w:r>
        <w:rPr>
          <w:rStyle w:val="optioncarChar"/>
        </w:rPr>
        <w:t>/ Z15 / Z25 / Z35</w:t>
      </w:r>
    </w:p>
    <w:p w14:paraId="22B05512" w14:textId="77777777" w:rsidR="00DF410E" w:rsidRDefault="00CE7F43">
      <w:pPr>
        <w:jc w:val="both"/>
      </w:pPr>
      <w:r>
        <w:t> </w:t>
      </w:r>
      <w:r>
        <w:rPr>
          <w:b/>
        </w:rPr>
        <w:t>Poutres / arbalétriers</w:t>
      </w:r>
    </w:p>
    <w:p w14:paraId="61BC60CA" w14:textId="77777777" w:rsidR="00DF410E" w:rsidRDefault="00CE7F43">
      <w:pPr>
        <w:pStyle w:val="Author-eListParagraph"/>
        <w:numPr>
          <w:ilvl w:val="0"/>
          <w:numId w:val="692"/>
        </w:numPr>
      </w:pPr>
      <w:r>
        <w:t>Types de profilés : </w:t>
      </w:r>
      <w:r>
        <w:rPr>
          <w:rStyle w:val="optioncarChar"/>
        </w:rPr>
        <w:t>voir données mentionnées sur les plans </w:t>
      </w:r>
      <w:r>
        <w:t>(par défaut)</w:t>
      </w:r>
      <w:r>
        <w:rPr>
          <w:rStyle w:val="optioncarChar"/>
        </w:rPr>
        <w:t> / IPE / HEA / HEB / HEM / tube carré (SHS) / tube rectangulaire (RHS) / tube circulaire (CHS) / ***</w:t>
      </w:r>
    </w:p>
    <w:p w14:paraId="12DA09A4" w14:textId="77777777" w:rsidR="00DF410E" w:rsidRDefault="00CE7F43">
      <w:pPr>
        <w:jc w:val="both"/>
      </w:pPr>
      <w:r>
        <w:t> </w:t>
      </w:r>
      <w:r>
        <w:rPr>
          <w:b/>
        </w:rPr>
        <w:t>Colonnes</w:t>
      </w:r>
    </w:p>
    <w:p w14:paraId="51B08D67" w14:textId="77777777" w:rsidR="00DF410E" w:rsidRDefault="00CE7F43">
      <w:pPr>
        <w:pStyle w:val="Author-eListParagraph"/>
        <w:numPr>
          <w:ilvl w:val="0"/>
          <w:numId w:val="693"/>
        </w:numPr>
      </w:pPr>
      <w:r>
        <w:t>Types de profilés : </w:t>
      </w:r>
      <w:r>
        <w:rPr>
          <w:rStyle w:val="optioncarChar"/>
        </w:rPr>
        <w:t>voir données mentionnées sur les plans </w:t>
      </w:r>
      <w:r>
        <w:t>(par défaut)</w:t>
      </w:r>
      <w:r>
        <w:rPr>
          <w:rStyle w:val="optioncarChar"/>
        </w:rPr>
        <w:t> / IPE / HEA / HEB / HEM / tube carré (SHS) / tube rectangulaire (RHS) / tube circulaire (CHS) / ***</w:t>
      </w:r>
    </w:p>
    <w:p w14:paraId="7D2D846D" w14:textId="77777777" w:rsidR="00DF410E" w:rsidRDefault="00CE7F43">
      <w:pPr>
        <w:jc w:val="both"/>
      </w:pPr>
      <w:r>
        <w:t> </w:t>
      </w:r>
      <w:r>
        <w:rPr>
          <w:b/>
        </w:rPr>
        <w:t>Barres de transfert des efforts horizontaux</w:t>
      </w:r>
    </w:p>
    <w:p w14:paraId="563E4BE6" w14:textId="77777777" w:rsidR="00DF410E" w:rsidRDefault="00CE7F43">
      <w:pPr>
        <w:pStyle w:val="Author-eListParagraph"/>
        <w:numPr>
          <w:ilvl w:val="0"/>
          <w:numId w:val="694"/>
        </w:numPr>
      </w:pPr>
      <w:r>
        <w:t>Types de profilés : </w:t>
      </w:r>
      <w:r>
        <w:rPr>
          <w:rStyle w:val="optioncarChar"/>
        </w:rPr>
        <w:t>voir données mentionnées sur les plans </w:t>
      </w:r>
      <w:r>
        <w:t>(par défaut)</w:t>
      </w:r>
      <w:r>
        <w:rPr>
          <w:rStyle w:val="optioncarChar"/>
        </w:rPr>
        <w:t> / tube carré (SHS) / tube rectangulaire (RHS) / tube circulaire (CHS) / ***</w:t>
      </w:r>
    </w:p>
    <w:p w14:paraId="2EF28B9A" w14:textId="77777777" w:rsidR="00DF410E" w:rsidRDefault="00CE7F43">
      <w:pPr>
        <w:jc w:val="both"/>
      </w:pPr>
      <w:r>
        <w:t> </w:t>
      </w:r>
      <w:r>
        <w:rPr>
          <w:b/>
        </w:rPr>
        <w:t>Contreventements</w:t>
      </w:r>
    </w:p>
    <w:p w14:paraId="29E24CA4" w14:textId="77777777" w:rsidR="00DF410E" w:rsidRDefault="00CE7F43">
      <w:pPr>
        <w:pStyle w:val="Author-eListParagraph"/>
        <w:numPr>
          <w:ilvl w:val="0"/>
          <w:numId w:val="695"/>
        </w:numPr>
        <w:jc w:val="both"/>
      </w:pPr>
      <w:r>
        <w:t xml:space="preserve">Types de profilés : </w:t>
      </w:r>
      <w:r>
        <w:rPr>
          <w:rStyle w:val="optioncarChar"/>
        </w:rPr>
        <w:t xml:space="preserve">voir données mentionnées sur les plans </w:t>
      </w:r>
      <w:r>
        <w:t>(par défaut)</w:t>
      </w:r>
      <w:r>
        <w:rPr>
          <w:rStyle w:val="optioncarChar"/>
        </w:rPr>
        <w:t xml:space="preserve"> / cornières à ailes égales / barres rondes / câbles / IPE / HEA / HEB / HEM / tube carré (SHS) / tube rectangulaire (RHS) / tube circulaire (CHS) / ***</w:t>
      </w:r>
    </w:p>
    <w:p w14:paraId="69A3042C" w14:textId="77777777" w:rsidR="00DF410E" w:rsidRDefault="00CE7F43">
      <w:pPr>
        <w:pStyle w:val="pheading"/>
      </w:pPr>
      <w:r>
        <w:t>- Finitions</w:t>
      </w:r>
    </w:p>
    <w:p w14:paraId="2DE3E899" w14:textId="77777777" w:rsidR="00DF410E" w:rsidRDefault="00CE7F43">
      <w:r>
        <w:rPr>
          <w:b/>
        </w:rPr>
        <w:t>Traitement contre la rouille</w:t>
      </w:r>
      <w:r>
        <w:br/>
        <w:t xml:space="preserve">Choix effectué au </w:t>
      </w:r>
      <w:hyperlink w:anchor="347" w:history="1">
        <w:r>
          <w:t>23 Superstructures métalliques</w:t>
        </w:r>
      </w:hyperlink>
      <w:r>
        <w:t>.</w:t>
      </w:r>
    </w:p>
    <w:p w14:paraId="1B5EFC8B" w14:textId="77777777" w:rsidR="00DF410E" w:rsidRDefault="00CE7F43">
      <w:r>
        <w:rPr>
          <w:b/>
        </w:rPr>
        <w:t>Finitions</w:t>
      </w:r>
      <w:r>
        <w:br/>
        <w:t>Choix effectué au </w:t>
      </w:r>
      <w:hyperlink w:anchor="347" w:history="1">
        <w:r>
          <w:t>23 Superstructures métalliques</w:t>
        </w:r>
      </w:hyperlink>
      <w:r>
        <w:t>.</w:t>
      </w:r>
    </w:p>
    <w:p w14:paraId="260B1480" w14:textId="77777777" w:rsidR="00DF410E" w:rsidRDefault="00CE7F43">
      <w:r>
        <w:rPr>
          <w:b/>
        </w:rPr>
        <w:t>Résistance au feu</w:t>
      </w:r>
      <w:r>
        <w:br/>
        <w:t>Choix effectué au </w:t>
      </w:r>
      <w:hyperlink w:anchor="347" w:history="1">
        <w:r>
          <w:t>23 Superstructures métalliques</w:t>
        </w:r>
      </w:hyperlink>
      <w:r>
        <w:t>.</w:t>
      </w:r>
    </w:p>
    <w:p w14:paraId="121E283A" w14:textId="77777777" w:rsidR="00DF410E" w:rsidRDefault="00CE7F43">
      <w:pPr>
        <w:pStyle w:val="pheading"/>
      </w:pPr>
      <w:r>
        <w:t>EXÉCUTION / MISE EN ŒUVRE</w:t>
      </w:r>
    </w:p>
    <w:p w14:paraId="29F9F59D" w14:textId="77777777" w:rsidR="00DF410E" w:rsidRDefault="00CE7F43">
      <w:pPr>
        <w:pStyle w:val="pheading"/>
      </w:pPr>
      <w:r>
        <w:t>- Prescriptions générales</w:t>
      </w:r>
    </w:p>
    <w:p w14:paraId="755058E1" w14:textId="77777777" w:rsidR="00DF410E" w:rsidRDefault="00CE7F43">
      <w:pPr>
        <w:jc w:val="both"/>
      </w:pPr>
      <w:r>
        <w:rPr>
          <w:b/>
        </w:rPr>
        <w:t>Etude</w:t>
      </w:r>
    </w:p>
    <w:p w14:paraId="266EAF91" w14:textId="77777777" w:rsidR="00DF410E" w:rsidRDefault="00CE7F43">
      <w:pPr>
        <w:jc w:val="both"/>
      </w:pPr>
      <w:r>
        <w:t>Choix effectué au </w:t>
      </w:r>
      <w:hyperlink w:anchor="347" w:history="1">
        <w:r>
          <w:t>23 Superstructures métalliques</w:t>
        </w:r>
      </w:hyperlink>
      <w:r>
        <w:t>.</w:t>
      </w:r>
    </w:p>
    <w:p w14:paraId="7F522304" w14:textId="77777777" w:rsidR="00DF410E" w:rsidRDefault="00CE7F43">
      <w:pPr>
        <w:jc w:val="both"/>
      </w:pPr>
      <w:r>
        <w:rPr>
          <w:b/>
        </w:rPr>
        <w:t>Mise en œuvre</w:t>
      </w:r>
    </w:p>
    <w:p w14:paraId="0D164C63" w14:textId="77777777" w:rsidR="00DF410E" w:rsidRDefault="00CE7F43">
      <w:pPr>
        <w:jc w:val="both"/>
      </w:pPr>
      <w:r>
        <w:rPr>
          <w:u w:val="single"/>
        </w:rPr>
        <w:t>Charpente</w:t>
      </w:r>
    </w:p>
    <w:p w14:paraId="2B7D363A" w14:textId="77777777" w:rsidR="00DF410E" w:rsidRDefault="00CE7F43">
      <w:pPr>
        <w:jc w:val="both"/>
      </w:pPr>
      <w:r>
        <w:t>Renvoi au </w:t>
      </w:r>
      <w:hyperlink w:anchor="551" w:history="1">
        <w:r>
          <w:t>23.21 Structures métalliques (poutres/colonnes)</w:t>
        </w:r>
      </w:hyperlink>
      <w:r>
        <w:t>.</w:t>
      </w:r>
    </w:p>
    <w:p w14:paraId="7D9614C0" w14:textId="77777777" w:rsidR="00DF410E" w:rsidRDefault="00CE7F43">
      <w:pPr>
        <w:jc w:val="both"/>
      </w:pPr>
      <w:r>
        <w:rPr>
          <w:u w:val="single"/>
        </w:rPr>
        <w:t>Contreventement dans le plan de la charpente</w:t>
      </w:r>
    </w:p>
    <w:p w14:paraId="01A7071C" w14:textId="77777777" w:rsidR="00DF410E" w:rsidRDefault="00CE7F43">
      <w:pPr>
        <w:jc w:val="both"/>
      </w:pPr>
      <w:r>
        <w:t xml:space="preserve">Le présent article comprend le contreventement vertical dans le plan des cadres : </w:t>
      </w:r>
      <w:r>
        <w:rPr>
          <w:rStyle w:val="optioncarChar"/>
        </w:rPr>
        <w:t>oui</w:t>
      </w:r>
      <w:r>
        <w:t xml:space="preserve"> (par défaut)</w:t>
      </w:r>
      <w:r>
        <w:rPr>
          <w:rStyle w:val="optioncarChar"/>
        </w:rPr>
        <w:t xml:space="preserve"> / non</w:t>
      </w:r>
    </w:p>
    <w:p w14:paraId="7FC86C4C" w14:textId="77777777" w:rsidR="00DF410E" w:rsidRDefault="00CE7F43">
      <w:pPr>
        <w:jc w:val="both"/>
      </w:pPr>
      <w:r>
        <w:rPr>
          <w:b/>
        </w:rPr>
        <w:t>(soit par défaut)</w:t>
      </w:r>
    </w:p>
    <w:p w14:paraId="46EFA97A" w14:textId="77777777" w:rsidR="00DF410E" w:rsidRDefault="00CE7F43">
      <w:pPr>
        <w:jc w:val="both"/>
      </w:pPr>
      <w:r>
        <w:rPr>
          <w:rStyle w:val="soitChar"/>
          <w:u w:val="single"/>
        </w:rPr>
        <w:t>Oui :</w:t>
      </w:r>
    </w:p>
    <w:p w14:paraId="73459B16" w14:textId="77777777" w:rsidR="00DF410E" w:rsidRDefault="00CE7F43">
      <w:pPr>
        <w:jc w:val="both"/>
      </w:pPr>
      <w:r>
        <w:rPr>
          <w:rStyle w:val="soitChar"/>
        </w:rPr>
        <w:t>Les contreventements sont situés dans l’épaisseur des cadres.</w:t>
      </w:r>
    </w:p>
    <w:p w14:paraId="505B9F2A" w14:textId="77777777" w:rsidR="00DF410E" w:rsidRDefault="00CE7F43">
      <w:pPr>
        <w:jc w:val="both"/>
      </w:pPr>
      <w:r>
        <w:rPr>
          <w:rStyle w:val="soitChar"/>
        </w:rPr>
        <w:t xml:space="preserve">Ils sont boulonnés sur des goussets </w:t>
      </w:r>
      <w:r>
        <w:rPr>
          <w:rStyle w:val="optioncarChar"/>
        </w:rPr>
        <w:t>boulonnés</w:t>
      </w:r>
      <w:r>
        <w:t xml:space="preserve"> (par défaut) </w:t>
      </w:r>
      <w:r>
        <w:rPr>
          <w:rStyle w:val="optioncarChar"/>
        </w:rPr>
        <w:t>/ soudés</w:t>
      </w:r>
      <w:r>
        <w:rPr>
          <w:rStyle w:val="soitChar"/>
        </w:rPr>
        <w:t xml:space="preserve"> à la charpente.</w:t>
      </w:r>
    </w:p>
    <w:p w14:paraId="65F5F7FB" w14:textId="77777777" w:rsidR="00DF410E" w:rsidRDefault="00CE7F43">
      <w:pPr>
        <w:jc w:val="both"/>
      </w:pPr>
      <w:r>
        <w:rPr>
          <w:rStyle w:val="soitChar"/>
        </w:rPr>
        <w:t>Des barres de transfert des efforts horizontaux sont placées entres les colonnes du cadre. A noter que les poutres peuvent jouer ce rôle en fonction de l’étude de stabilité.</w:t>
      </w:r>
    </w:p>
    <w:p w14:paraId="28373D57" w14:textId="77777777" w:rsidR="00DF410E" w:rsidRDefault="00CE7F43">
      <w:pPr>
        <w:jc w:val="both"/>
      </w:pPr>
      <w:r>
        <w:rPr>
          <w:rStyle w:val="soitChar"/>
        </w:rPr>
        <w:t xml:space="preserve">Une palée de stabilité est réalisée à l’aide de </w:t>
      </w:r>
      <w:r>
        <w:rPr>
          <w:rStyle w:val="optioncarChar"/>
        </w:rPr>
        <w:t>diagonales de contreventement / contrefiches (bracons)</w:t>
      </w:r>
      <w:r>
        <w:rPr>
          <w:rStyle w:val="soitChar"/>
        </w:rPr>
        <w:t>.</w:t>
      </w:r>
    </w:p>
    <w:p w14:paraId="6A38EE52" w14:textId="77777777" w:rsidR="00DF410E" w:rsidRDefault="00CE7F43">
      <w:pPr>
        <w:jc w:val="both"/>
      </w:pPr>
      <w:r>
        <w:rPr>
          <w:rStyle w:val="soitChar"/>
        </w:rPr>
        <w:t>Leur position est déterminée en fonction des façades du bâtiment. A noter que plusieurs palées de stabilité peuvent être nécessaires dans un plan en fonction de l’étude de stabilité.</w:t>
      </w:r>
    </w:p>
    <w:p w14:paraId="251BB714" w14:textId="77777777" w:rsidR="00DF410E" w:rsidRDefault="00CE7F43">
      <w:pPr>
        <w:jc w:val="both"/>
      </w:pPr>
      <w:r>
        <w:rPr>
          <w:b/>
        </w:rPr>
        <w:t>(soit)</w:t>
      </w:r>
    </w:p>
    <w:p w14:paraId="334B3456" w14:textId="77777777" w:rsidR="00DF410E" w:rsidRDefault="00CE7F43">
      <w:pPr>
        <w:jc w:val="both"/>
      </w:pPr>
      <w:r>
        <w:rPr>
          <w:rStyle w:val="soitChar"/>
          <w:u w:val="single"/>
        </w:rPr>
        <w:t>Non :</w:t>
      </w:r>
    </w:p>
    <w:p w14:paraId="67239850" w14:textId="77777777" w:rsidR="00DF410E" w:rsidRDefault="00CE7F43">
      <w:pPr>
        <w:jc w:val="both"/>
      </w:pPr>
      <w:r>
        <w:rPr>
          <w:rStyle w:val="soitChar"/>
        </w:rPr>
        <w:t>Le contreventement est réalisé par une autre méthode (par exemple voile béton ou maçonnerie), non comprise dans le présent travail.</w:t>
      </w:r>
    </w:p>
    <w:p w14:paraId="5B97236E" w14:textId="77777777" w:rsidR="00DF410E" w:rsidRDefault="00CE7F43">
      <w:pPr>
        <w:pStyle w:val="pheading"/>
      </w:pPr>
      <w:r>
        <w:t>MESURAGE</w:t>
      </w:r>
    </w:p>
    <w:p w14:paraId="50372227" w14:textId="77777777" w:rsidR="00DF410E" w:rsidRDefault="00CE7F43">
      <w:pPr>
        <w:pStyle w:val="pheading"/>
      </w:pPr>
      <w:r>
        <w:t>- unité de mesure:</w:t>
      </w:r>
    </w:p>
    <w:p w14:paraId="6E262149" w14:textId="77777777" w:rsidR="00DF410E" w:rsidRDefault="00CE7F43">
      <w:r>
        <w:rPr>
          <w:b/>
        </w:rPr>
        <w:t>Cadres</w:t>
      </w:r>
      <w:r>
        <w:br/>
      </w:r>
      <w:r>
        <w:rPr>
          <w:rStyle w:val="optioncarChar"/>
        </w:rPr>
        <w:t xml:space="preserve">fft </w:t>
      </w:r>
      <w:r>
        <w:t>(par défaut)</w:t>
      </w:r>
      <w:r>
        <w:rPr>
          <w:rStyle w:val="optioncarChar"/>
        </w:rPr>
        <w:t xml:space="preserve"> / kg ;m</w:t>
      </w:r>
    </w:p>
    <w:p w14:paraId="47D7D5AB" w14:textId="77777777" w:rsidR="00DF410E" w:rsidRDefault="00CE7F43">
      <w:r>
        <w:rPr>
          <w:b/>
        </w:rPr>
        <w:t>(soit par défaut)</w:t>
      </w:r>
      <w:r>
        <w:br/>
      </w:r>
      <w:r>
        <w:rPr>
          <w:rStyle w:val="soitChar"/>
        </w:rPr>
        <w:t>1. fft</w:t>
      </w:r>
      <w:r>
        <w:br/>
      </w:r>
      <w:r>
        <w:rPr>
          <w:b/>
        </w:rPr>
        <w:t>(soit)</w:t>
      </w:r>
      <w:r>
        <w:br/>
      </w:r>
      <w:r>
        <w:rPr>
          <w:rStyle w:val="soitChar"/>
        </w:rPr>
        <w:t>2. 3. kg ; m</w:t>
      </w:r>
    </w:p>
    <w:p w14:paraId="3E2CED8B" w14:textId="77777777" w:rsidR="00DF410E" w:rsidRDefault="00CE7F43">
      <w:r>
        <w:rPr>
          <w:b/>
        </w:rPr>
        <w:t>Flocage</w:t>
      </w:r>
      <w:r>
        <w:br/>
      </w:r>
      <w:r>
        <w:rPr>
          <w:rStyle w:val="optioncarChar"/>
        </w:rPr>
        <w:t xml:space="preserve">m² </w:t>
      </w:r>
      <w:r>
        <w:t>(par défaut)</w:t>
      </w:r>
      <w:r>
        <w:rPr>
          <w:rStyle w:val="optioncarChar"/>
        </w:rPr>
        <w:t xml:space="preserve"> / m / pc</w:t>
      </w:r>
    </w:p>
    <w:p w14:paraId="5CA1C0F7" w14:textId="77777777" w:rsidR="00DF410E" w:rsidRDefault="00CE7F43">
      <w:r>
        <w:rPr>
          <w:b/>
        </w:rPr>
        <w:t>(soit par défaut)</w:t>
      </w:r>
      <w:r>
        <w:br/>
      </w:r>
      <w:r>
        <w:rPr>
          <w:rStyle w:val="soitChar"/>
        </w:rPr>
        <w:t>1. m²</w:t>
      </w:r>
      <w:r>
        <w:br/>
      </w:r>
      <w:r>
        <w:rPr>
          <w:b/>
        </w:rPr>
        <w:t>(soit)</w:t>
      </w:r>
      <w:r>
        <w:br/>
      </w:r>
      <w:r>
        <w:rPr>
          <w:rStyle w:val="soitChar"/>
        </w:rPr>
        <w:t>2. m</w:t>
      </w:r>
      <w:r>
        <w:br/>
      </w:r>
      <w:r>
        <w:rPr>
          <w:b/>
        </w:rPr>
        <w:t>(soit)</w:t>
      </w:r>
      <w:r>
        <w:br/>
      </w:r>
      <w:r>
        <w:rPr>
          <w:rStyle w:val="soitChar"/>
        </w:rPr>
        <w:t>3. pc</w:t>
      </w:r>
    </w:p>
    <w:p w14:paraId="4474AAE8" w14:textId="77777777" w:rsidR="00DF410E" w:rsidRDefault="00CE7F43">
      <w:pPr>
        <w:pStyle w:val="pheading"/>
      </w:pPr>
      <w:r>
        <w:t>- code de mesurage:</w:t>
      </w:r>
    </w:p>
    <w:p w14:paraId="4ACD64B1" w14:textId="77777777" w:rsidR="00DF410E" w:rsidRDefault="00CE7F43">
      <w:pPr>
        <w:jc w:val="both"/>
      </w:pPr>
      <w:r>
        <w:rPr>
          <w:b/>
        </w:rPr>
        <w:t>Cadres</w:t>
      </w:r>
    </w:p>
    <w:p w14:paraId="449CAF0B" w14:textId="77777777" w:rsidR="00DF410E" w:rsidRDefault="00CE7F43">
      <w:pPr>
        <w:jc w:val="both"/>
      </w:pPr>
      <w:r>
        <w:rPr>
          <w:rStyle w:val="optioncarChar"/>
        </w:rPr>
        <w:t xml:space="preserve">Forfait </w:t>
      </w:r>
      <w:r>
        <w:t>(par défaut)</w:t>
      </w:r>
      <w:r>
        <w:rPr>
          <w:rStyle w:val="optioncarChar"/>
        </w:rPr>
        <w:t xml:space="preserve"> / Masse conventionnelle et longueur / Masse simplifiée et longueur</w:t>
      </w:r>
    </w:p>
    <w:p w14:paraId="49F4238B" w14:textId="77777777" w:rsidR="00DF410E" w:rsidRDefault="00CE7F43">
      <w:pPr>
        <w:jc w:val="both"/>
      </w:pPr>
      <w:r>
        <w:rPr>
          <w:b/>
        </w:rPr>
        <w:t>(soit par défaut)</w:t>
      </w:r>
    </w:p>
    <w:p w14:paraId="36047093" w14:textId="77777777" w:rsidR="00DF410E" w:rsidRDefault="00CE7F43">
      <w:pPr>
        <w:jc w:val="both"/>
      </w:pPr>
      <w:r>
        <w:rPr>
          <w:rStyle w:val="soitChar"/>
        </w:rPr>
        <w:t>1. </w:t>
      </w:r>
      <w:r>
        <w:rPr>
          <w:rStyle w:val="soitChar"/>
          <w:u w:val="single"/>
        </w:rPr>
        <w:t xml:space="preserve"> Forfait :</w:t>
      </w:r>
      <w:r>
        <w:rPr>
          <w:rStyle w:val="soitChar"/>
        </w:rPr>
        <w:t xml:space="preserve"> pour l’ensemble des cadres, par type de bâtiment.</w:t>
      </w:r>
    </w:p>
    <w:p w14:paraId="635F9283" w14:textId="77777777" w:rsidR="00DF410E" w:rsidRDefault="00CE7F43">
      <w:pPr>
        <w:jc w:val="both"/>
      </w:pPr>
      <w:r>
        <w:rPr>
          <w:b/>
        </w:rPr>
        <w:t>(soit)</w:t>
      </w:r>
    </w:p>
    <w:p w14:paraId="6484A6FF" w14:textId="77777777" w:rsidR="00DF410E" w:rsidRDefault="00CE7F43">
      <w:pPr>
        <w:jc w:val="both"/>
      </w:pPr>
      <w:r>
        <w:rPr>
          <w:rStyle w:val="soitChar"/>
        </w:rPr>
        <w:t xml:space="preserve">2. </w:t>
      </w:r>
      <w:r>
        <w:rPr>
          <w:rStyle w:val="soitChar"/>
          <w:u w:val="single"/>
        </w:rPr>
        <w:t>Masse conventionnelle et longueur :</w:t>
      </w:r>
      <w:r>
        <w:rPr>
          <w:rStyle w:val="soitChar"/>
        </w:rPr>
        <w:t xml:space="preserve"> masse d’acier théorique à mettre en œuvre pour toutes dimensions et types de profilés, distinction faite suivant les nuances et qualités d’acier.</w:t>
      </w:r>
    </w:p>
    <w:p w14:paraId="500764B2" w14:textId="77777777" w:rsidR="00DF410E" w:rsidRDefault="00CE7F43">
      <w:pPr>
        <w:jc w:val="both"/>
      </w:pPr>
      <w:r>
        <w:rPr>
          <w:rStyle w:val="soitChar"/>
        </w:rPr>
        <w:t>La masse d’acier théorique comprend les rivets, cordons de soudures, boulons, les, etc. Elle est obtenue en calculant les différents volumes des éléments (profils, barres, tubes, large plats, barres de contreventements), multiplié par la masse volumique théorique de l’acier de 7.850 kg/m³ (suivant [NBN B 06-001]). La valeur obtenue est alors majorée de 3%, pour obtenir la masse théorique.</w:t>
      </w:r>
    </w:p>
    <w:p w14:paraId="46AED542" w14:textId="77777777" w:rsidR="00DF410E" w:rsidRDefault="00CE7F43">
      <w:pPr>
        <w:jc w:val="both"/>
      </w:pPr>
      <w:r>
        <w:rPr>
          <w:rStyle w:val="soitChar"/>
        </w:rPr>
        <w:t>Cette masse théorique est arrondie à l’unité.</w:t>
      </w:r>
    </w:p>
    <w:p w14:paraId="3C382197" w14:textId="77777777" w:rsidR="00DF410E" w:rsidRDefault="00CE7F43">
      <w:pPr>
        <w:jc w:val="both"/>
      </w:pPr>
      <w:r>
        <w:rPr>
          <w:rStyle w:val="soitChar"/>
        </w:rPr>
        <w:t>Cette majoration couvre notamment, forfaitairement, les soudures, les rivets, les boulons, les goujons, la protection anticorrosion et les tolérances de laminage.</w:t>
      </w:r>
    </w:p>
    <w:p w14:paraId="506D64D0" w14:textId="77777777" w:rsidR="00DF410E" w:rsidRDefault="00CE7F43">
      <w:pPr>
        <w:jc w:val="both"/>
      </w:pPr>
      <w:r>
        <w:rPr>
          <w:rStyle w:val="soitChar"/>
        </w:rPr>
        <w:t>Le calcul se base sur la géométrie des pièces prévues sur les plans d’exécution du bureau d’études, arrondie au mm.</w:t>
      </w:r>
    </w:p>
    <w:p w14:paraId="0FC159EE" w14:textId="77777777" w:rsidR="00DF410E" w:rsidRDefault="00CE7F43">
      <w:pPr>
        <w:jc w:val="both"/>
      </w:pPr>
      <w:r>
        <w:rPr>
          <w:rStyle w:val="soitChar"/>
        </w:rPr>
        <w:t>Les découpes et ouvertures sont soustraites, à l’exception des trous pour les boulons, goujons, et des chanfreins pour les soudures ou ouvertures pour le passage des cordons de soudures. Les câbles sont mesurés au mètre, à l’axe, distinction faite suivant les nuances d’acier et les sections. Les longueurs d’ancrages aux extrémités sont prises en compte, mais pas au-delà des ancrages.</w:t>
      </w:r>
    </w:p>
    <w:p w14:paraId="07A3B530" w14:textId="77777777" w:rsidR="00DF410E" w:rsidRDefault="00CE7F43">
      <w:pPr>
        <w:jc w:val="both"/>
      </w:pPr>
      <w:r>
        <w:rPr>
          <w:b/>
        </w:rPr>
        <w:t>(soit)</w:t>
      </w:r>
    </w:p>
    <w:p w14:paraId="2E6AAEFB" w14:textId="77777777" w:rsidR="00DF410E" w:rsidRDefault="00CE7F43">
      <w:pPr>
        <w:jc w:val="both"/>
      </w:pPr>
      <w:r>
        <w:rPr>
          <w:rStyle w:val="soitChar"/>
        </w:rPr>
        <w:t xml:space="preserve">3.  </w:t>
      </w:r>
      <w:r>
        <w:rPr>
          <w:rStyle w:val="soitChar"/>
          <w:u w:val="single"/>
        </w:rPr>
        <w:t>Masse simplifiée et longueur :</w:t>
      </w:r>
      <w:r>
        <w:rPr>
          <w:rStyle w:val="soitChar"/>
        </w:rPr>
        <w:t xml:space="preserve"> masse d’acier théorique à mettre en œuvre pour toutes dimensions et types de profilés, distinction faite suivant les nuances et qualités d’acier.</w:t>
      </w:r>
    </w:p>
    <w:p w14:paraId="4DC7A408" w14:textId="77777777" w:rsidR="00DF410E" w:rsidRDefault="00CE7F43">
      <w:pPr>
        <w:jc w:val="both"/>
      </w:pPr>
      <w:r>
        <w:rPr>
          <w:rStyle w:val="soitChar"/>
        </w:rPr>
        <w:t>La masse d’acier théorique comprend les rivets, cordons de soudures, boulons, etc. Elle est obtenue en calculant les différents volumes des éléments (profils, barres, tubes et larges plats, barres de contreventements), à l’exclusion des plats et pattes d’assemblage, semelles et autres pièces rapportées, multiplié par la masse volumique théorique de l’acier de 7.850 kg/m³ (suivant [NBN B 06-001]). La valeur obtenue est alors majorée de 8%, pour obtenir la masse théorique.</w:t>
      </w:r>
    </w:p>
    <w:p w14:paraId="7EECA05E" w14:textId="77777777" w:rsidR="00DF410E" w:rsidRDefault="00CE7F43">
      <w:pPr>
        <w:jc w:val="both"/>
      </w:pPr>
      <w:r>
        <w:rPr>
          <w:rStyle w:val="soitChar"/>
        </w:rPr>
        <w:t>Cette masse théorique est arrondie à l’unité.</w:t>
      </w:r>
    </w:p>
    <w:p w14:paraId="56D131B4" w14:textId="77777777" w:rsidR="00DF410E" w:rsidRDefault="00CE7F43">
      <w:pPr>
        <w:jc w:val="both"/>
      </w:pPr>
      <w:r>
        <w:rPr>
          <w:rStyle w:val="soitChar"/>
        </w:rPr>
        <w:t>Cette majoration couvre notamment, forfaitairement, les soudures, les rivets, les boulons, les goujons, la protection anticorrosion et les tolérances de laminage ainsi que les plats et pattes d’assemblage, semelles et autres pièces rapportées.</w:t>
      </w:r>
    </w:p>
    <w:p w14:paraId="326CB476" w14:textId="77777777" w:rsidR="00DF410E" w:rsidRDefault="00CE7F43">
      <w:pPr>
        <w:jc w:val="both"/>
      </w:pPr>
      <w:r>
        <w:rPr>
          <w:rStyle w:val="soitChar"/>
        </w:rPr>
        <w:t>Le calcul se base sur la géométrie des pièces prévues sur les plans d’exécution du bureau d’études, arrondie au mm.</w:t>
      </w:r>
    </w:p>
    <w:p w14:paraId="0F53E631" w14:textId="77777777" w:rsidR="00DF410E" w:rsidRDefault="00CE7F43">
      <w:pPr>
        <w:jc w:val="both"/>
      </w:pPr>
      <w:r>
        <w:rPr>
          <w:rStyle w:val="soitChar"/>
        </w:rPr>
        <w:t>Les découpes et ouvertures sont soustraites, à l’exception des trous pour les boulons, goujons, et des chanfreins pour les soudures ou ouvertures pour le passage des cordons de soudures.</w:t>
      </w:r>
    </w:p>
    <w:p w14:paraId="20B298AE" w14:textId="77777777" w:rsidR="00DF410E" w:rsidRDefault="00CE7F43">
      <w:pPr>
        <w:jc w:val="both"/>
      </w:pPr>
      <w:r>
        <w:rPr>
          <w:rStyle w:val="soitChar"/>
        </w:rPr>
        <w:t>Les câbles sont mesurés au mètre, à l’axe, distinction faite suivant les nuances d’acier et les sections. Les longueurs d’ancrages aux extrémités sont prises en compte, mais pas au-delà des ancrages.</w:t>
      </w:r>
    </w:p>
    <w:p w14:paraId="7E980B7F" w14:textId="77777777" w:rsidR="00DF410E" w:rsidRDefault="00CE7F43">
      <w:pPr>
        <w:jc w:val="both"/>
      </w:pPr>
      <w:r>
        <w:rPr>
          <w:b/>
        </w:rPr>
        <w:t>Flocage</w:t>
      </w:r>
    </w:p>
    <w:p w14:paraId="29FE017F" w14:textId="77777777" w:rsidR="00DF410E" w:rsidRDefault="00CE7F43">
      <w:pPr>
        <w:jc w:val="both"/>
      </w:pPr>
      <w:r>
        <w:t>Le traitement au feu par flocage est compté séparément et fait l’objet d’un (de) poste(s) supplémentaire(s) dans le présent article :</w:t>
      </w:r>
    </w:p>
    <w:p w14:paraId="108C3071" w14:textId="77777777" w:rsidR="00DF410E" w:rsidRDefault="00CE7F43">
      <w:pPr>
        <w:jc w:val="both"/>
      </w:pPr>
      <w:r>
        <w:rPr>
          <w:rStyle w:val="optioncarChar"/>
        </w:rPr>
        <w:t xml:space="preserve">Surface nette </w:t>
      </w:r>
      <w:r>
        <w:t xml:space="preserve">(par défaut) </w:t>
      </w:r>
      <w:r>
        <w:rPr>
          <w:rStyle w:val="optioncarChar"/>
        </w:rPr>
        <w:t>/ Longueur nette / Quantité nette.</w:t>
      </w:r>
    </w:p>
    <w:p w14:paraId="6D2B2794" w14:textId="77777777" w:rsidR="00DF410E" w:rsidRDefault="00CE7F43">
      <w:pPr>
        <w:jc w:val="both"/>
      </w:pPr>
      <w:r>
        <w:rPr>
          <w:b/>
        </w:rPr>
        <w:t>(soit par défaut)</w:t>
      </w:r>
    </w:p>
    <w:p w14:paraId="2B9A5260" w14:textId="77777777" w:rsidR="00DF410E" w:rsidRDefault="00CE7F43">
      <w:pPr>
        <w:jc w:val="both"/>
      </w:pPr>
      <w:r>
        <w:rPr>
          <w:rStyle w:val="soitChar"/>
        </w:rPr>
        <w:t xml:space="preserve">1. </w:t>
      </w:r>
      <w:r>
        <w:rPr>
          <w:rStyle w:val="soitChar"/>
          <w:u w:val="single"/>
        </w:rPr>
        <w:t>Surface nette</w:t>
      </w:r>
      <w:r>
        <w:rPr>
          <w:rStyle w:val="soitChar"/>
        </w:rPr>
        <w:t xml:space="preserve"> à traiter.</w:t>
      </w:r>
    </w:p>
    <w:p w14:paraId="5A56FF38" w14:textId="77777777" w:rsidR="00DF410E" w:rsidRDefault="00CE7F43">
      <w:pPr>
        <w:jc w:val="both"/>
      </w:pPr>
      <w:r>
        <w:rPr>
          <w:b/>
        </w:rPr>
        <w:t>(soit)</w:t>
      </w:r>
    </w:p>
    <w:p w14:paraId="5689F915" w14:textId="77777777" w:rsidR="00DF410E" w:rsidRDefault="00CE7F43">
      <w:pPr>
        <w:jc w:val="both"/>
      </w:pPr>
      <w:r>
        <w:rPr>
          <w:rStyle w:val="soitChar"/>
        </w:rPr>
        <w:t xml:space="preserve">2. </w:t>
      </w:r>
      <w:r>
        <w:rPr>
          <w:rStyle w:val="soitChar"/>
          <w:u w:val="single"/>
        </w:rPr>
        <w:t>Longueur nette</w:t>
      </w:r>
      <w:r>
        <w:rPr>
          <w:rStyle w:val="soitChar"/>
        </w:rPr>
        <w:t xml:space="preserve"> à traiter, distinction faite suivant la section des profilés.</w:t>
      </w:r>
    </w:p>
    <w:p w14:paraId="0625907F" w14:textId="77777777" w:rsidR="00DF410E" w:rsidRDefault="00CE7F43">
      <w:pPr>
        <w:jc w:val="both"/>
      </w:pPr>
      <w:r>
        <w:rPr>
          <w:b/>
        </w:rPr>
        <w:t>(soit)</w:t>
      </w:r>
    </w:p>
    <w:p w14:paraId="6A2500E5" w14:textId="77777777" w:rsidR="00DF410E" w:rsidRDefault="00CE7F43">
      <w:pPr>
        <w:jc w:val="both"/>
      </w:pPr>
      <w:r>
        <w:rPr>
          <w:rStyle w:val="soitChar"/>
        </w:rPr>
        <w:t xml:space="preserve">3. </w:t>
      </w:r>
      <w:r>
        <w:rPr>
          <w:rStyle w:val="soitChar"/>
          <w:u w:val="single"/>
        </w:rPr>
        <w:t>Quantité nette</w:t>
      </w:r>
      <w:r>
        <w:rPr>
          <w:rStyle w:val="soitChar"/>
        </w:rPr>
        <w:t xml:space="preserve"> par cadre, distinction faite suivant les dimensions et les sections des profilés.</w:t>
      </w:r>
    </w:p>
    <w:p w14:paraId="28A04A34" w14:textId="77777777" w:rsidR="00DF410E" w:rsidRDefault="00CE7F43">
      <w:pPr>
        <w:pStyle w:val="pheading"/>
      </w:pPr>
      <w:r>
        <w:t>- nature du marché:</w:t>
      </w:r>
    </w:p>
    <w:p w14:paraId="284B6DC8" w14:textId="77777777" w:rsidR="00DF410E" w:rsidRDefault="00CE7F43">
      <w:r>
        <w:rPr>
          <w:b/>
        </w:rPr>
        <w:t>Charpente</w:t>
      </w:r>
      <w:r>
        <w:br/>
      </w:r>
      <w:r>
        <w:rPr>
          <w:rStyle w:val="optioncarChar"/>
        </w:rPr>
        <w:t xml:space="preserve">PG </w:t>
      </w:r>
      <w:r>
        <w:t xml:space="preserve">(par défaut) </w:t>
      </w:r>
      <w:r>
        <w:rPr>
          <w:rStyle w:val="optioncarChar"/>
        </w:rPr>
        <w:t>/ QF</w:t>
      </w:r>
    </w:p>
    <w:p w14:paraId="70BF50AB" w14:textId="77777777" w:rsidR="00DF410E" w:rsidRDefault="00CE7F43">
      <w:r>
        <w:rPr>
          <w:b/>
        </w:rPr>
        <w:t>(soit par défaut)</w:t>
      </w:r>
      <w:r>
        <w:br/>
      </w:r>
      <w:r>
        <w:rPr>
          <w:rStyle w:val="soitChar"/>
        </w:rPr>
        <w:t>1. PG</w:t>
      </w:r>
      <w:r>
        <w:br/>
      </w:r>
      <w:r>
        <w:rPr>
          <w:b/>
        </w:rPr>
        <w:t>(soit)</w:t>
      </w:r>
      <w:r>
        <w:br/>
      </w:r>
      <w:r>
        <w:rPr>
          <w:rStyle w:val="soitChar"/>
        </w:rPr>
        <w:t>2. 3. QF</w:t>
      </w:r>
    </w:p>
    <w:p w14:paraId="7686A71B" w14:textId="77777777" w:rsidR="00DF410E" w:rsidRDefault="00CE7F43">
      <w:r>
        <w:rPr>
          <w:b/>
        </w:rPr>
        <w:t>Flocage</w:t>
      </w:r>
      <w:r>
        <w:br/>
        <w:t>1. 2. 3. QF</w:t>
      </w:r>
    </w:p>
    <w:p w14:paraId="26C5A1BC" w14:textId="77777777" w:rsidR="00DF410E" w:rsidRDefault="00CE7F43">
      <w:pPr>
        <w:pStyle w:val="Author-eSectionHeading6"/>
      </w:pPr>
      <w:bookmarkStart w:id="1295" w:name="_Toc178838413"/>
      <w:r>
        <w:t>23.21.1b Portiques en profilés en acier laminés à chaud CCTB 01.04</w:t>
      </w:r>
      <w:bookmarkEnd w:id="1295"/>
    </w:p>
    <w:p w14:paraId="06DA6492" w14:textId="77777777" w:rsidR="00DF410E" w:rsidRDefault="00CE7F43">
      <w:pPr>
        <w:pStyle w:val="Author-eSectionHeading6"/>
      </w:pPr>
      <w:bookmarkStart w:id="1296" w:name="550"/>
      <w:bookmarkStart w:id="1297" w:name="_Toc178838414"/>
      <w:bookmarkEnd w:id="1296"/>
      <w:r>
        <w:t>23.21.1c Arcs en profilés en acier laminés à chaud CCTB 01.04</w:t>
      </w:r>
      <w:bookmarkEnd w:id="1297"/>
    </w:p>
    <w:p w14:paraId="0350DC28" w14:textId="77777777" w:rsidR="00DF410E" w:rsidRDefault="00CE7F43">
      <w:pPr>
        <w:pStyle w:val="pheading"/>
      </w:pPr>
      <w:r>
        <w:t>MESURAGE</w:t>
      </w:r>
    </w:p>
    <w:p w14:paraId="501A96F7" w14:textId="77777777" w:rsidR="00DF410E" w:rsidRDefault="00DF410E"/>
    <w:p w14:paraId="271E508F" w14:textId="77777777" w:rsidR="00DF410E" w:rsidRDefault="00CE7F43">
      <w:pPr>
        <w:pStyle w:val="Author-eSectionHeading6"/>
      </w:pPr>
      <w:bookmarkStart w:id="1298" w:name="_Toc178838415"/>
      <w:r>
        <w:t>23.21.1d Potences en profilés en acier laminés à chaud CCTB 01.04</w:t>
      </w:r>
      <w:bookmarkEnd w:id="1298"/>
    </w:p>
    <w:p w14:paraId="51054BB9" w14:textId="77777777" w:rsidR="00DF410E" w:rsidRDefault="00CE7F43">
      <w:pPr>
        <w:pStyle w:val="Author-eSectionHeading5"/>
      </w:pPr>
      <w:bookmarkStart w:id="1299" w:name="_Toc178838416"/>
      <w:r>
        <w:t>23.21.2 Structures en acier formées à froid CCTB 01.04</w:t>
      </w:r>
      <w:bookmarkEnd w:id="1299"/>
    </w:p>
    <w:p w14:paraId="5336E6E0" w14:textId="77777777" w:rsidR="00DF410E" w:rsidRDefault="00CE7F43">
      <w:pPr>
        <w:pStyle w:val="Author-eSectionHeading6"/>
      </w:pPr>
      <w:bookmarkStart w:id="1300" w:name="_Toc178838417"/>
      <w:r>
        <w:t>23.21.2a Charpentes en acier formées à froid CCTB 01.04</w:t>
      </w:r>
      <w:bookmarkEnd w:id="1300"/>
    </w:p>
    <w:p w14:paraId="7C440413" w14:textId="77777777" w:rsidR="00DF410E" w:rsidRDefault="00CE7F43">
      <w:pPr>
        <w:pStyle w:val="pheading"/>
      </w:pPr>
      <w:r>
        <w:t>MESURAGE</w:t>
      </w:r>
    </w:p>
    <w:p w14:paraId="585D51E6" w14:textId="77777777" w:rsidR="00DF410E" w:rsidRDefault="00DF410E"/>
    <w:p w14:paraId="0F1BCE48" w14:textId="77777777" w:rsidR="00DF410E" w:rsidRDefault="00CE7F43">
      <w:pPr>
        <w:pStyle w:val="Author-eSectionHeading6"/>
      </w:pPr>
      <w:bookmarkStart w:id="1301" w:name="_Toc178838418"/>
      <w:r>
        <w:t>23.21.2b Portiques en acier formés à froid CCTB 01.04</w:t>
      </w:r>
      <w:bookmarkEnd w:id="1301"/>
    </w:p>
    <w:p w14:paraId="38C55EF2" w14:textId="77777777" w:rsidR="00DF410E" w:rsidRDefault="00CE7F43">
      <w:pPr>
        <w:pStyle w:val="Author-eSectionHeading6"/>
      </w:pPr>
      <w:bookmarkStart w:id="1302" w:name="_Toc178838419"/>
      <w:r>
        <w:t>23.21.2c Arcs en acier formés à froid CCTB 01.04</w:t>
      </w:r>
      <w:bookmarkEnd w:id="1302"/>
    </w:p>
    <w:p w14:paraId="06D84C00" w14:textId="77777777" w:rsidR="00DF410E" w:rsidRDefault="00CE7F43">
      <w:pPr>
        <w:pStyle w:val="pheading"/>
      </w:pPr>
      <w:r>
        <w:t>MESURAGE</w:t>
      </w:r>
    </w:p>
    <w:p w14:paraId="32E8468F" w14:textId="77777777" w:rsidR="00DF410E" w:rsidRDefault="00DF410E"/>
    <w:p w14:paraId="13E7BC63" w14:textId="77777777" w:rsidR="00DF410E" w:rsidRDefault="00CE7F43">
      <w:pPr>
        <w:pStyle w:val="Author-eSectionHeading6"/>
      </w:pPr>
      <w:bookmarkStart w:id="1303" w:name="_Toc178838420"/>
      <w:r>
        <w:t>23.21.2d Potences en acier formées à froid CCTB 01.04</w:t>
      </w:r>
      <w:bookmarkEnd w:id="1303"/>
    </w:p>
    <w:p w14:paraId="3C32CCAD" w14:textId="77777777" w:rsidR="00DF410E" w:rsidRDefault="00CE7F43">
      <w:pPr>
        <w:pStyle w:val="Author-eSectionHeading5"/>
      </w:pPr>
      <w:bookmarkStart w:id="1304" w:name="_Toc178838421"/>
      <w:r>
        <w:t>23.21.3 Structures en acier inoxydable laminées à chaud CCTB 01.04</w:t>
      </w:r>
      <w:bookmarkEnd w:id="1304"/>
    </w:p>
    <w:p w14:paraId="03E2D0DC" w14:textId="77777777" w:rsidR="00DF410E" w:rsidRDefault="00CE7F43">
      <w:pPr>
        <w:pStyle w:val="Author-eSectionHeading6"/>
      </w:pPr>
      <w:bookmarkStart w:id="1305" w:name="_Toc178838422"/>
      <w:r>
        <w:t>23.21.3a Charpentes en acier inoxydable laminées à chaud CCTB 01.04</w:t>
      </w:r>
      <w:bookmarkEnd w:id="1305"/>
    </w:p>
    <w:p w14:paraId="2F732A64" w14:textId="77777777" w:rsidR="00DF410E" w:rsidRDefault="00CE7F43">
      <w:pPr>
        <w:pStyle w:val="pheading"/>
      </w:pPr>
      <w:r>
        <w:t>MESURAGE</w:t>
      </w:r>
    </w:p>
    <w:p w14:paraId="702E0715" w14:textId="77777777" w:rsidR="00DF410E" w:rsidRDefault="00DF410E"/>
    <w:p w14:paraId="30D298C8" w14:textId="77777777" w:rsidR="00DF410E" w:rsidRDefault="00CE7F43">
      <w:pPr>
        <w:pStyle w:val="Author-eSectionHeading6"/>
      </w:pPr>
      <w:bookmarkStart w:id="1306" w:name="_Toc178838423"/>
      <w:r>
        <w:t>23.21.3b Portiques en acier inoxydable laminés à chaud CCTB 01.04</w:t>
      </w:r>
      <w:bookmarkEnd w:id="1306"/>
    </w:p>
    <w:p w14:paraId="1A3BF6B8" w14:textId="77777777" w:rsidR="00DF410E" w:rsidRDefault="00CE7F43">
      <w:pPr>
        <w:pStyle w:val="Author-eSectionHeading6"/>
      </w:pPr>
      <w:bookmarkStart w:id="1307" w:name="_Toc178838424"/>
      <w:r>
        <w:t>23.21.3c Arcs en acier inoxydable laminés à chaud CCTB 01.04</w:t>
      </w:r>
      <w:bookmarkEnd w:id="1307"/>
    </w:p>
    <w:p w14:paraId="09749DF4" w14:textId="77777777" w:rsidR="00DF410E" w:rsidRDefault="00CE7F43">
      <w:pPr>
        <w:pStyle w:val="pheading"/>
      </w:pPr>
      <w:r>
        <w:t>MESURAGE</w:t>
      </w:r>
    </w:p>
    <w:p w14:paraId="59DC5A74" w14:textId="77777777" w:rsidR="00DF410E" w:rsidRDefault="00DF410E"/>
    <w:p w14:paraId="7586F28C" w14:textId="77777777" w:rsidR="00DF410E" w:rsidRDefault="00CE7F43">
      <w:pPr>
        <w:pStyle w:val="Author-eSectionHeading6"/>
      </w:pPr>
      <w:bookmarkStart w:id="1308" w:name="_Toc178838425"/>
      <w:r>
        <w:t>23.21.3d Potences en acier inoxydable laminées à chaud CCTB 01.04</w:t>
      </w:r>
      <w:bookmarkEnd w:id="1308"/>
    </w:p>
    <w:p w14:paraId="5513DFF7" w14:textId="77777777" w:rsidR="00DF410E" w:rsidRDefault="00CE7F43">
      <w:pPr>
        <w:pStyle w:val="Author-eSectionHeading5"/>
      </w:pPr>
      <w:bookmarkStart w:id="1309" w:name="_Toc178838426"/>
      <w:r>
        <w:t>23.21.4 Structures en acier inoxydable formées à froid CCTB 01.04</w:t>
      </w:r>
      <w:bookmarkEnd w:id="1309"/>
    </w:p>
    <w:p w14:paraId="7683F15A" w14:textId="77777777" w:rsidR="00DF410E" w:rsidRDefault="00CE7F43">
      <w:pPr>
        <w:pStyle w:val="Author-eSectionHeading6"/>
      </w:pPr>
      <w:bookmarkStart w:id="1310" w:name="_Toc178838427"/>
      <w:r>
        <w:t>23.21.4a Charpentes en acier inoxydable formées à froid CCTB 01.04</w:t>
      </w:r>
      <w:bookmarkEnd w:id="1310"/>
    </w:p>
    <w:p w14:paraId="3ECEF5BE" w14:textId="77777777" w:rsidR="00DF410E" w:rsidRDefault="00CE7F43">
      <w:pPr>
        <w:pStyle w:val="pheading"/>
      </w:pPr>
      <w:r>
        <w:t>MESURAGE</w:t>
      </w:r>
    </w:p>
    <w:p w14:paraId="24B6512B" w14:textId="77777777" w:rsidR="00DF410E" w:rsidRDefault="00DF410E"/>
    <w:p w14:paraId="01549B9E" w14:textId="77777777" w:rsidR="00DF410E" w:rsidRDefault="00CE7F43">
      <w:pPr>
        <w:pStyle w:val="Author-eSectionHeading6"/>
      </w:pPr>
      <w:bookmarkStart w:id="1311" w:name="_Toc178838428"/>
      <w:r>
        <w:t>23.21.4b Portiques en acier inoxydable formés à froid CCTB 01.04</w:t>
      </w:r>
      <w:bookmarkEnd w:id="1311"/>
    </w:p>
    <w:p w14:paraId="25E2AA55" w14:textId="77777777" w:rsidR="00DF410E" w:rsidRDefault="00CE7F43">
      <w:pPr>
        <w:pStyle w:val="Author-eSectionHeading6"/>
      </w:pPr>
      <w:bookmarkStart w:id="1312" w:name="_Toc178838429"/>
      <w:r>
        <w:t>23.21.4c Arcs en acier inoxydable formés à froid CCTB 01.04</w:t>
      </w:r>
      <w:bookmarkEnd w:id="1312"/>
    </w:p>
    <w:p w14:paraId="03AD3F9F" w14:textId="77777777" w:rsidR="00DF410E" w:rsidRDefault="00CE7F43">
      <w:pPr>
        <w:pStyle w:val="pheading"/>
      </w:pPr>
      <w:r>
        <w:t>MESURAGE</w:t>
      </w:r>
    </w:p>
    <w:p w14:paraId="286E7358" w14:textId="77777777" w:rsidR="00DF410E" w:rsidRDefault="00DF410E"/>
    <w:p w14:paraId="304BB81F" w14:textId="77777777" w:rsidR="00DF410E" w:rsidRDefault="00CE7F43">
      <w:pPr>
        <w:pStyle w:val="Author-eSectionHeading6"/>
      </w:pPr>
      <w:bookmarkStart w:id="1313" w:name="_Toc178838430"/>
      <w:r>
        <w:t>23.21.4d Potences en acier inoxydable formées à froid CCTB 01.04</w:t>
      </w:r>
      <w:bookmarkEnd w:id="1313"/>
    </w:p>
    <w:p w14:paraId="63E3417B" w14:textId="77777777" w:rsidR="00DF410E" w:rsidRDefault="00CE7F43">
      <w:pPr>
        <w:pStyle w:val="Author-eSectionHeading5"/>
      </w:pPr>
      <w:bookmarkStart w:id="1314" w:name="_Toc178838431"/>
      <w:r>
        <w:t>23.21.5 Structures en aluminium CCTB 01.04</w:t>
      </w:r>
      <w:bookmarkEnd w:id="1314"/>
    </w:p>
    <w:p w14:paraId="2054076E" w14:textId="77777777" w:rsidR="00DF410E" w:rsidRDefault="00CE7F43">
      <w:pPr>
        <w:pStyle w:val="Author-eSectionHeading6"/>
      </w:pPr>
      <w:bookmarkStart w:id="1315" w:name="_Toc178838432"/>
      <w:r>
        <w:t>23.21.5a Charpentes en aluminium CCTB 01.04</w:t>
      </w:r>
      <w:bookmarkEnd w:id="1315"/>
    </w:p>
    <w:p w14:paraId="52ADCCCB" w14:textId="77777777" w:rsidR="00DF410E" w:rsidRDefault="00CE7F43">
      <w:pPr>
        <w:pStyle w:val="pheading"/>
      </w:pPr>
      <w:r>
        <w:t>MESURAGE</w:t>
      </w:r>
    </w:p>
    <w:p w14:paraId="70966CAC" w14:textId="77777777" w:rsidR="00DF410E" w:rsidRDefault="00DF410E"/>
    <w:p w14:paraId="55D3F606" w14:textId="77777777" w:rsidR="00DF410E" w:rsidRDefault="00CE7F43">
      <w:pPr>
        <w:pStyle w:val="Author-eSectionHeading6"/>
      </w:pPr>
      <w:bookmarkStart w:id="1316" w:name="_Toc178838433"/>
      <w:r>
        <w:t>23.21.5b Portiques en aluminium CCTB 01.04</w:t>
      </w:r>
      <w:bookmarkEnd w:id="1316"/>
    </w:p>
    <w:p w14:paraId="3F92219E" w14:textId="77777777" w:rsidR="00DF410E" w:rsidRDefault="00CE7F43">
      <w:pPr>
        <w:pStyle w:val="Author-eSectionHeading6"/>
      </w:pPr>
      <w:bookmarkStart w:id="1317" w:name="_Toc178838434"/>
      <w:r>
        <w:t>23.21.5c Arcs en aluminium CCTB 01.04</w:t>
      </w:r>
      <w:bookmarkEnd w:id="1317"/>
    </w:p>
    <w:p w14:paraId="64207147" w14:textId="77777777" w:rsidR="00DF410E" w:rsidRDefault="00CE7F43">
      <w:pPr>
        <w:pStyle w:val="pheading"/>
      </w:pPr>
      <w:r>
        <w:t>MESURAGE</w:t>
      </w:r>
    </w:p>
    <w:p w14:paraId="4BA6AA8D" w14:textId="77777777" w:rsidR="00DF410E" w:rsidRDefault="00DF410E"/>
    <w:p w14:paraId="53E9C36E" w14:textId="77777777" w:rsidR="00DF410E" w:rsidRDefault="00CE7F43">
      <w:pPr>
        <w:pStyle w:val="Author-eSectionHeading6"/>
      </w:pPr>
      <w:bookmarkStart w:id="1318" w:name="_Toc178838435"/>
      <w:r>
        <w:t>23.21.5d Potences en aluminium CCTB 01.04</w:t>
      </w:r>
      <w:bookmarkEnd w:id="1318"/>
    </w:p>
    <w:p w14:paraId="49FB357E" w14:textId="77777777" w:rsidR="00DF410E" w:rsidRDefault="00CE7F43">
      <w:pPr>
        <w:pStyle w:val="Author-eSectionHeading4"/>
      </w:pPr>
      <w:bookmarkStart w:id="1319" w:name="_Toc178838436"/>
      <w:r>
        <w:t>23.22 Planchers métalliques CCTB 01.04</w:t>
      </w:r>
      <w:bookmarkEnd w:id="1319"/>
    </w:p>
    <w:p w14:paraId="453FF725" w14:textId="77777777" w:rsidR="00DF410E" w:rsidRDefault="00CE7F43">
      <w:pPr>
        <w:pStyle w:val="Author-eSectionHeading5"/>
      </w:pPr>
      <w:bookmarkStart w:id="1320" w:name="_Toc178838437"/>
      <w:r>
        <w:t>23.22.1 Planchers non collaborants métalliques CCTB 01.04</w:t>
      </w:r>
      <w:bookmarkEnd w:id="1320"/>
    </w:p>
    <w:p w14:paraId="41F90E26" w14:textId="77777777" w:rsidR="00DF410E" w:rsidRDefault="00CE7F43">
      <w:pPr>
        <w:pStyle w:val="Author-eSectionHeading6"/>
      </w:pPr>
      <w:bookmarkStart w:id="1321" w:name="_Toc178838438"/>
      <w:r>
        <w:t>23.22.1a Planchers non collaborants en acier CCTB 01.04</w:t>
      </w:r>
      <w:bookmarkEnd w:id="1321"/>
    </w:p>
    <w:p w14:paraId="0AA09B21" w14:textId="77777777" w:rsidR="00DF410E" w:rsidRDefault="00CE7F43">
      <w:pPr>
        <w:pStyle w:val="Author-eSectionHeading6"/>
      </w:pPr>
      <w:bookmarkStart w:id="1322" w:name="_Toc178838439"/>
      <w:r>
        <w:t>23.22.1b Planchers non collaborants en acier inoxydable CCTB 01.04</w:t>
      </w:r>
      <w:bookmarkEnd w:id="1322"/>
    </w:p>
    <w:p w14:paraId="4E6BF3DD" w14:textId="77777777" w:rsidR="00DF410E" w:rsidRDefault="00CE7F43">
      <w:pPr>
        <w:pStyle w:val="Author-eSectionHeading5"/>
      </w:pPr>
      <w:bookmarkStart w:id="1323" w:name="_Toc178838440"/>
      <w:r>
        <w:t>23.22.2 Planchers collaborants métalliques CCTB 01.04</w:t>
      </w:r>
      <w:bookmarkEnd w:id="1323"/>
    </w:p>
    <w:p w14:paraId="1E774BF0" w14:textId="77777777" w:rsidR="00DF410E" w:rsidRDefault="00CE7F43">
      <w:pPr>
        <w:pStyle w:val="Author-eSectionHeading6"/>
      </w:pPr>
      <w:bookmarkStart w:id="1324" w:name="_Toc178838441"/>
      <w:r>
        <w:t>23.22.2a Planchers collaborants en acier-béton CCTB 01.04</w:t>
      </w:r>
      <w:bookmarkEnd w:id="1324"/>
    </w:p>
    <w:p w14:paraId="61A90A2E" w14:textId="77777777" w:rsidR="00DF410E" w:rsidRDefault="00CE7F43">
      <w:pPr>
        <w:pStyle w:val="pheading"/>
      </w:pPr>
      <w:r>
        <w:t>DESCRIPTION</w:t>
      </w:r>
    </w:p>
    <w:p w14:paraId="2CF8784E" w14:textId="77777777" w:rsidR="00DF410E" w:rsidRDefault="00CE7F43">
      <w:pPr>
        <w:pStyle w:val="pheading"/>
      </w:pPr>
      <w:r>
        <w:t>- Définition / Comprend</w:t>
      </w:r>
    </w:p>
    <w:p w14:paraId="532C09E6" w14:textId="77777777" w:rsidR="00DF410E" w:rsidRDefault="00CE7F43">
      <w:r>
        <w:t xml:space="preserve">Renvoi au </w:t>
      </w:r>
      <w:hyperlink w:anchor="552" w:history="1">
        <w:r>
          <w:t>22.22.2b Planchers mixtes acier-béton avec plaques nervurées en acier</w:t>
        </w:r>
      </w:hyperlink>
    </w:p>
    <w:p w14:paraId="5B8493EB" w14:textId="77777777" w:rsidR="00DF410E" w:rsidRDefault="00CE7F43">
      <w:pPr>
        <w:pStyle w:val="Author-eSectionHeading5"/>
      </w:pPr>
      <w:bookmarkStart w:id="1325" w:name="_Toc178838442"/>
      <w:r>
        <w:t>23.22.3 Planchers à poutrelles en acier et entrevous CCTB 01.04</w:t>
      </w:r>
      <w:bookmarkEnd w:id="1325"/>
    </w:p>
    <w:p w14:paraId="082B96A2" w14:textId="77777777" w:rsidR="00DF410E" w:rsidRDefault="00CE7F43">
      <w:pPr>
        <w:pStyle w:val="Author-eSectionHeading6"/>
      </w:pPr>
      <w:bookmarkStart w:id="1326" w:name="_Toc178838443"/>
      <w:r>
        <w:t>23.22.3a Planchers à poutrelles en acier et entrevous en béton CCTB 01.04</w:t>
      </w:r>
      <w:bookmarkEnd w:id="1326"/>
    </w:p>
    <w:p w14:paraId="0B3E8CC9" w14:textId="77777777" w:rsidR="00DF410E" w:rsidRDefault="00CE7F43">
      <w:pPr>
        <w:pStyle w:val="Author-eSectionHeading6"/>
      </w:pPr>
      <w:bookmarkStart w:id="1327" w:name="_Toc178838444"/>
      <w:r>
        <w:t>23.22.3b Planchers à poutrelles en acier et entrevous en terre cuite CCTB 01.04</w:t>
      </w:r>
      <w:bookmarkEnd w:id="1327"/>
    </w:p>
    <w:p w14:paraId="79ABBCE1" w14:textId="77777777" w:rsidR="00DF410E" w:rsidRDefault="00CE7F43">
      <w:pPr>
        <w:pStyle w:val="Author-eSectionHeading6"/>
      </w:pPr>
      <w:bookmarkStart w:id="1328" w:name="_Toc178838445"/>
      <w:r>
        <w:t>23.22.3c Planchers à poutrelles en acier et entrevous en polystyrène CCTB 01.12</w:t>
      </w:r>
      <w:bookmarkEnd w:id="1328"/>
    </w:p>
    <w:p w14:paraId="4C79F6FA" w14:textId="77777777" w:rsidR="00DF410E" w:rsidRDefault="00CE7F43">
      <w:pPr>
        <w:pStyle w:val="pheading"/>
      </w:pPr>
      <w:r>
        <w:t>DESCRIPTION</w:t>
      </w:r>
    </w:p>
    <w:p w14:paraId="7E04BCBE" w14:textId="77777777" w:rsidR="00DF410E" w:rsidRDefault="00CE7F43">
      <w:pPr>
        <w:pStyle w:val="pheading"/>
      </w:pPr>
      <w:r>
        <w:t>- Définition / Comprend</w:t>
      </w:r>
    </w:p>
    <w:p w14:paraId="16C9C2C2" w14:textId="77777777" w:rsidR="00DF410E" w:rsidRDefault="00CE7F43">
      <w:pPr>
        <w:jc w:val="both"/>
      </w:pPr>
      <w:r>
        <w:t>Il s’agit de la fourniture et de la pose de plancher à poutrelles en treillis métallique dont la partie basse est enrobée dans un talon en mousse de polyuréthanne, protégées par une gaine en tôle d’acier galvanisée, d'entrevous en polystyrène et d'une couche de compression en béton armé coulée sur place.</w:t>
      </w:r>
    </w:p>
    <w:p w14:paraId="55413829" w14:textId="77777777" w:rsidR="00DF410E" w:rsidRDefault="00CE7F43">
      <w:pPr>
        <w:pStyle w:val="pheading"/>
      </w:pPr>
      <w:r>
        <w:t>- Localisation</w:t>
      </w:r>
    </w:p>
    <w:p w14:paraId="421452C3" w14:textId="77777777" w:rsidR="00DF410E" w:rsidRDefault="00CE7F43">
      <w:r>
        <w:t xml:space="preserve">Localisation des travaux : </w:t>
      </w:r>
      <w:r>
        <w:rPr>
          <w:rStyle w:val="optioncarChar"/>
        </w:rPr>
        <w:t>***</w:t>
      </w:r>
    </w:p>
    <w:p w14:paraId="20B7E2D3" w14:textId="77777777" w:rsidR="00DF410E" w:rsidRDefault="00CE7F43">
      <w:r>
        <w:t>Voir plans et métrés détaillés.</w:t>
      </w:r>
    </w:p>
    <w:p w14:paraId="49858647" w14:textId="77777777" w:rsidR="00DF410E" w:rsidRDefault="00CE7F43">
      <w:pPr>
        <w:pStyle w:val="pheading"/>
      </w:pPr>
      <w:r>
        <w:t>MATÉRIAUX</w:t>
      </w:r>
    </w:p>
    <w:p w14:paraId="227D3287" w14:textId="77777777" w:rsidR="00DF410E" w:rsidRDefault="00CE7F43">
      <w:pPr>
        <w:pStyle w:val="pheading"/>
      </w:pPr>
      <w:r>
        <w:t>- Caractéristiques générales</w:t>
      </w:r>
    </w:p>
    <w:p w14:paraId="38082BA0" w14:textId="77777777" w:rsidR="00DF410E" w:rsidRDefault="00CE7F43">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14:paraId="2C7E7703" w14:textId="77777777" w:rsidR="00DF410E" w:rsidRDefault="00CE7F43">
      <w:pPr>
        <w:jc w:val="both"/>
      </w:pPr>
      <w:r>
        <w:rPr>
          <w:b/>
        </w:rPr>
        <w:t>Poutrelles</w:t>
      </w:r>
    </w:p>
    <w:p w14:paraId="0AA8786C" w14:textId="77777777" w:rsidR="00DF410E" w:rsidRDefault="00CE7F43">
      <w:pPr>
        <w:jc w:val="both"/>
      </w:pPr>
      <w:r>
        <w:t xml:space="preserve">La mousse de PUR est réalisée suivant une formulation </w:t>
      </w:r>
      <w:r>
        <w:rPr>
          <w:rStyle w:val="optioncarChar"/>
        </w:rPr>
        <w:t>dite « standard » / bénéficiant d’un classement B-s3-d0</w:t>
      </w:r>
      <w:r>
        <w:t>.</w:t>
      </w:r>
    </w:p>
    <w:p w14:paraId="7C2081E6" w14:textId="77777777" w:rsidR="00DF410E" w:rsidRDefault="00CE7F43">
      <w:pPr>
        <w:jc w:val="both"/>
      </w:pPr>
      <w:r>
        <w:t>L'entraxe standard des poutrelles est de 60 cm et la hauteur des planchers varie de 12+5cm à 25+10cm suivant les charges et la portée.</w:t>
      </w:r>
    </w:p>
    <w:p w14:paraId="06245D61" w14:textId="77777777" w:rsidR="00DF410E" w:rsidRDefault="00CE7F43">
      <w:pPr>
        <w:jc w:val="both"/>
      </w:pPr>
      <w:r>
        <w:t>L’utilisation du procédé pour la réalisation de planchers largement ouverts sur l’extérieur (par exemple balcons et terrasse sur pilotis) est exclue.</w:t>
      </w:r>
    </w:p>
    <w:p w14:paraId="3C1EF96D" w14:textId="77777777" w:rsidR="00DF410E" w:rsidRDefault="00CE7F43">
      <w:pPr>
        <w:jc w:val="both"/>
      </w:pPr>
      <w:r>
        <w:t>Dans la mesure où la partie basse des poutrelles (enrobage du talon en mousse de polyuréthanne) n’est pas prévue pour contribuer à la stabilité en cas d’incendie, une protection rapportée bénéficiant d’un PV de résistance au feu doit obligatoirement être mise en œuvre pour assurer la résistance du plancher.</w:t>
      </w:r>
    </w:p>
    <w:p w14:paraId="0B53A45E" w14:textId="77777777" w:rsidR="00DF410E" w:rsidRDefault="00CE7F43">
      <w:pPr>
        <w:jc w:val="both"/>
      </w:pPr>
      <w:r>
        <w:t>Les poutrelles peuvent être renforcées par l’adjonction de ferraillage supplémentaire.</w:t>
      </w:r>
    </w:p>
    <w:p w14:paraId="22D54E7E" w14:textId="77777777" w:rsidR="00DF410E" w:rsidRDefault="00CE7F43">
      <w:pPr>
        <w:jc w:val="both"/>
      </w:pPr>
      <w:r>
        <w:rPr>
          <w:b/>
        </w:rPr>
        <w:t>Entrevous</w:t>
      </w:r>
    </w:p>
    <w:p w14:paraId="6C30EEEB" w14:textId="77777777" w:rsidR="00DF410E" w:rsidRDefault="00CE7F43">
      <w:pPr>
        <w:jc w:val="both"/>
      </w:pPr>
      <w:r>
        <w:t>Les entrevous en polystyrène sont fabriqués en matériaux légers constitués de polystyrène expansé (EPS) de qualité autoextinguible SE, suffisamment rigides pour résister aux déformations pendant le bétonnage et le durcissement. Ils ne peuvent pas contenir de matériaux qui risquent d'être attaqués par les insectes ou les micro-organismes. </w:t>
      </w:r>
    </w:p>
    <w:p w14:paraId="2C4AA196" w14:textId="77777777" w:rsidR="00DF410E" w:rsidRDefault="00CE7F43">
      <w:pPr>
        <w:jc w:val="both"/>
      </w:pPr>
      <w:r>
        <w:t>Les entrevous doivent être conforme à la [NBN EN 15037-4+A1].</w:t>
      </w:r>
    </w:p>
    <w:p w14:paraId="4625C6D7" w14:textId="77777777" w:rsidR="00DF410E" w:rsidRDefault="00CE7F43">
      <w:pPr>
        <w:jc w:val="both"/>
      </w:pPr>
      <w:r>
        <w:t xml:space="preserve">Type : </w:t>
      </w:r>
      <w:r>
        <w:rPr>
          <w:rStyle w:val="optioncarChar"/>
        </w:rPr>
        <w:t>plein monobloc / décaissé / avec semelle d’isolant complémentaire sous poutrelle</w:t>
      </w:r>
    </w:p>
    <w:p w14:paraId="324A0DA8" w14:textId="77777777" w:rsidR="00DF410E" w:rsidRDefault="00DF410E">
      <w:pPr>
        <w:jc w:val="both"/>
      </w:pPr>
    </w:p>
    <w:p w14:paraId="5DFAC0EB" w14:textId="77777777" w:rsidR="00DF410E" w:rsidRDefault="00CE7F43">
      <w:pPr>
        <w:jc w:val="both"/>
      </w:pPr>
      <w:r>
        <w:t>Classement au feu :</w:t>
      </w:r>
      <w:r>
        <w:rPr>
          <w:rStyle w:val="optioncarChar"/>
        </w:rPr>
        <w:t> E</w:t>
      </w:r>
      <w:r>
        <w:t> (par défaut)</w:t>
      </w:r>
      <w:r>
        <w:rPr>
          <w:rStyle w:val="optioncarChar"/>
        </w:rPr>
        <w:t xml:space="preserve"> / ***</w:t>
      </w:r>
    </w:p>
    <w:p w14:paraId="77C7DDDF" w14:textId="77777777" w:rsidR="00DF410E" w:rsidRDefault="00DF410E">
      <w:pPr>
        <w:jc w:val="both"/>
      </w:pPr>
    </w:p>
    <w:p w14:paraId="4997A06F" w14:textId="77777777" w:rsidR="00DF410E" w:rsidRDefault="00CE7F43">
      <w:pPr>
        <w:jc w:val="both"/>
      </w:pPr>
      <w:r>
        <w:t>Épaisseur : </w:t>
      </w:r>
      <w:r>
        <w:rPr>
          <w:rStyle w:val="optioncarChar"/>
        </w:rPr>
        <w:t>8 </w:t>
      </w:r>
      <w:r>
        <w:t>(par défaut) </w:t>
      </w:r>
      <w:r>
        <w:rPr>
          <w:rStyle w:val="optioncarChar"/>
        </w:rPr>
        <w:t>/ 12 / 16 / 20 / 25</w:t>
      </w:r>
      <w:r>
        <w:t> </w:t>
      </w:r>
      <w:r>
        <w:rPr>
          <w:rStyle w:val="optioncarChar"/>
        </w:rPr>
        <w:t>/ ***</w:t>
      </w:r>
      <w:r>
        <w:t xml:space="preserve"> cm.</w:t>
      </w:r>
    </w:p>
    <w:p w14:paraId="58F295DE" w14:textId="77777777" w:rsidR="00DF410E" w:rsidRDefault="00DF410E">
      <w:pPr>
        <w:jc w:val="both"/>
      </w:pPr>
    </w:p>
    <w:p w14:paraId="6D6C53CA" w14:textId="77777777" w:rsidR="00DF410E" w:rsidRDefault="00CE7F43">
      <w:pPr>
        <w:jc w:val="both"/>
      </w:pPr>
      <w:r>
        <w:t xml:space="preserve">Épaisseur minimale de la languette isolante sous poutrelle : </w:t>
      </w:r>
      <w:r>
        <w:rPr>
          <w:rStyle w:val="optioncarChar"/>
        </w:rPr>
        <w:t>0 / 3 / 6 / 9</w:t>
      </w:r>
      <w:r>
        <w:t xml:space="preserve"> (par défaut)</w:t>
      </w:r>
      <w:r>
        <w:rPr>
          <w:rStyle w:val="optioncarChar"/>
        </w:rPr>
        <w:t xml:space="preserve"> / 12 / 18 / ***</w:t>
      </w:r>
      <w:r>
        <w:t xml:space="preserve"> cm</w:t>
      </w:r>
    </w:p>
    <w:p w14:paraId="6FD76D08" w14:textId="77777777" w:rsidR="00DF410E" w:rsidRDefault="00CE7F43">
      <w:pPr>
        <w:jc w:val="both"/>
      </w:pPr>
      <w:r>
        <w:t xml:space="preserve">Résistance thermique du plancher  supérieure ou égale à : </w:t>
      </w:r>
      <w:r>
        <w:rPr>
          <w:rStyle w:val="optioncarChar"/>
        </w:rPr>
        <w:t>2 / 3 / 4</w:t>
      </w:r>
      <w:r>
        <w:t> (par défaut)</w:t>
      </w:r>
      <w:r>
        <w:rPr>
          <w:rStyle w:val="optioncarChar"/>
        </w:rPr>
        <w:t xml:space="preserve"> / ***</w:t>
      </w:r>
      <w:r>
        <w:t xml:space="preserve"> m²K/W. </w:t>
      </w:r>
    </w:p>
    <w:p w14:paraId="367EC777" w14:textId="77777777" w:rsidR="00DF410E" w:rsidRDefault="00CE7F43">
      <w:pPr>
        <w:jc w:val="both"/>
      </w:pPr>
      <w:r>
        <w:rPr>
          <w:b/>
        </w:rPr>
        <w:t>Couche de compression</w:t>
      </w:r>
    </w:p>
    <w:p w14:paraId="38B6E7F0" w14:textId="77777777" w:rsidR="00DF410E" w:rsidRDefault="00CE7F43">
      <w:pPr>
        <w:pStyle w:val="Author-eListParagraph"/>
        <w:numPr>
          <w:ilvl w:val="0"/>
          <w:numId w:val="696"/>
        </w:numPr>
      </w:pPr>
      <w:r>
        <w:t>Épaisseur de la couche de compression : supérieure ou égale à</w:t>
      </w:r>
      <w:r>
        <w:rPr>
          <w:rStyle w:val="optioncarChar"/>
        </w:rPr>
        <w:t xml:space="preserve"> 5 </w:t>
      </w:r>
      <w:r>
        <w:t xml:space="preserve">(par défaut) </w:t>
      </w:r>
      <w:r>
        <w:rPr>
          <w:rStyle w:val="optioncarChar"/>
        </w:rPr>
        <w:t>/ 6 / 7 / ***</w:t>
      </w:r>
      <w:r>
        <w:t xml:space="preserve"> cm au-dessus des entrevous.</w:t>
      </w:r>
    </w:p>
    <w:p w14:paraId="5BECB582" w14:textId="77777777" w:rsidR="00DF410E" w:rsidRDefault="00CE7F43">
      <w:pPr>
        <w:pStyle w:val="Author-eListParagraph"/>
        <w:numPr>
          <w:ilvl w:val="0"/>
          <w:numId w:val="696"/>
        </w:numPr>
      </w:pPr>
      <w:r>
        <w:t xml:space="preserve">La qualité du béton selon la [NBN EN 206:2013+A2] et [NBN B 15-001] est fonction de l'épaisseur de la couche de compression (voir également </w:t>
      </w:r>
      <w:hyperlink w:anchor="87" w:history="1">
        <w:r>
          <w:t>22 Superstructures en béton</w:t>
        </w:r>
      </w:hyperlink>
      <w:r>
        <w:t>).</w:t>
      </w:r>
    </w:p>
    <w:tbl>
      <w:tblPr>
        <w:tblStyle w:val="Author-eTableGrid"/>
        <w:tblW w:w="9030" w:type="dxa"/>
        <w:tblLayout w:type="fixed"/>
        <w:tblLook w:val="04A0" w:firstRow="1" w:lastRow="0" w:firstColumn="1" w:lastColumn="0" w:noHBand="0" w:noVBand="1"/>
      </w:tblPr>
      <w:tblGrid>
        <w:gridCol w:w="1130"/>
        <w:gridCol w:w="1357"/>
        <w:gridCol w:w="1749"/>
        <w:gridCol w:w="1462"/>
        <w:gridCol w:w="1523"/>
        <w:gridCol w:w="1809"/>
      </w:tblGrid>
      <w:tr w:rsidR="00DF410E" w14:paraId="128DFEAC" w14:textId="77777777">
        <w:tc>
          <w:tcPr>
            <w:tcW w:w="1125" w:type="dxa"/>
            <w:noWrap/>
          </w:tcPr>
          <w:p w14:paraId="22FC1578" w14:textId="77777777" w:rsidR="00DF410E" w:rsidRDefault="00CE7F43">
            <w:pPr>
              <w:jc w:val="center"/>
            </w:pPr>
            <w:r>
              <w:rPr>
                <w:b/>
              </w:rPr>
              <w:t>A</w:t>
            </w:r>
          </w:p>
        </w:tc>
        <w:tc>
          <w:tcPr>
            <w:tcW w:w="1350" w:type="dxa"/>
            <w:noWrap/>
          </w:tcPr>
          <w:p w14:paraId="3BD05CE2" w14:textId="77777777" w:rsidR="00DF410E" w:rsidRDefault="00CE7F43">
            <w:pPr>
              <w:jc w:val="center"/>
            </w:pPr>
            <w:r>
              <w:rPr>
                <w:b/>
              </w:rPr>
              <w:t>B1</w:t>
            </w:r>
          </w:p>
        </w:tc>
        <w:tc>
          <w:tcPr>
            <w:tcW w:w="1740" w:type="dxa"/>
            <w:noWrap/>
          </w:tcPr>
          <w:p w14:paraId="43881E19" w14:textId="77777777" w:rsidR="00DF410E" w:rsidRDefault="00CE7F43">
            <w:pPr>
              <w:jc w:val="center"/>
            </w:pPr>
            <w:r>
              <w:rPr>
                <w:b/>
              </w:rPr>
              <w:t>B2</w:t>
            </w:r>
          </w:p>
        </w:tc>
        <w:tc>
          <w:tcPr>
            <w:tcW w:w="1455" w:type="dxa"/>
            <w:noWrap/>
          </w:tcPr>
          <w:p w14:paraId="57F7704F" w14:textId="77777777" w:rsidR="00DF410E" w:rsidRDefault="00CE7F43">
            <w:pPr>
              <w:jc w:val="center"/>
            </w:pPr>
            <w:r>
              <w:rPr>
                <w:b/>
              </w:rPr>
              <w:t>C</w:t>
            </w:r>
          </w:p>
        </w:tc>
        <w:tc>
          <w:tcPr>
            <w:tcW w:w="1515" w:type="dxa"/>
            <w:noWrap/>
          </w:tcPr>
          <w:p w14:paraId="4A9C6EA0" w14:textId="77777777" w:rsidR="00DF410E" w:rsidRDefault="00CE7F43">
            <w:pPr>
              <w:jc w:val="center"/>
            </w:pPr>
            <w:r>
              <w:rPr>
                <w:b/>
              </w:rPr>
              <w:t>D</w:t>
            </w:r>
          </w:p>
        </w:tc>
        <w:tc>
          <w:tcPr>
            <w:tcW w:w="1800" w:type="dxa"/>
            <w:noWrap/>
          </w:tcPr>
          <w:p w14:paraId="6E4CC77D" w14:textId="77777777" w:rsidR="00DF410E" w:rsidRDefault="00CE7F43">
            <w:pPr>
              <w:jc w:val="center"/>
            </w:pPr>
            <w:r>
              <w:rPr>
                <w:b/>
              </w:rPr>
              <w:t>E</w:t>
            </w:r>
          </w:p>
        </w:tc>
      </w:tr>
      <w:tr w:rsidR="00DF410E" w14:paraId="0DB85198" w14:textId="77777777">
        <w:tc>
          <w:tcPr>
            <w:tcW w:w="1125" w:type="dxa"/>
            <w:noWrap/>
          </w:tcPr>
          <w:p w14:paraId="6C6FD47D" w14:textId="77777777" w:rsidR="00DF410E" w:rsidRDefault="00CE7F43">
            <w:pPr>
              <w:jc w:val="center"/>
            </w:pPr>
            <w:r>
              <w:rPr>
                <w:b/>
              </w:rPr>
              <w:t>Classe de résistance</w:t>
            </w:r>
          </w:p>
        </w:tc>
        <w:tc>
          <w:tcPr>
            <w:tcW w:w="1350" w:type="dxa"/>
            <w:noWrap/>
          </w:tcPr>
          <w:p w14:paraId="1937AE9B" w14:textId="77777777" w:rsidR="00DF410E" w:rsidRDefault="00CE7F43">
            <w:pPr>
              <w:jc w:val="center"/>
            </w:pPr>
            <w:r>
              <w:rPr>
                <w:b/>
              </w:rPr>
              <w:t>Domaine d’application</w:t>
            </w:r>
          </w:p>
        </w:tc>
        <w:tc>
          <w:tcPr>
            <w:tcW w:w="1740" w:type="dxa"/>
            <w:noWrap/>
          </w:tcPr>
          <w:p w14:paraId="08323911" w14:textId="77777777" w:rsidR="00DF410E" w:rsidRDefault="00CE7F43">
            <w:pPr>
              <w:jc w:val="center"/>
            </w:pPr>
            <w:r>
              <w:rPr>
                <w:b/>
              </w:rPr>
              <w:t>Classe d'environnement</w:t>
            </w:r>
          </w:p>
        </w:tc>
        <w:tc>
          <w:tcPr>
            <w:tcW w:w="1455" w:type="dxa"/>
            <w:noWrap/>
          </w:tcPr>
          <w:p w14:paraId="09C402F7" w14:textId="77777777" w:rsidR="00DF410E" w:rsidRDefault="00CE7F43">
            <w:pPr>
              <w:jc w:val="center"/>
            </w:pPr>
            <w:r>
              <w:rPr>
                <w:b/>
              </w:rPr>
              <w:t>Classe de consistance</w:t>
            </w:r>
          </w:p>
        </w:tc>
        <w:tc>
          <w:tcPr>
            <w:tcW w:w="1515" w:type="dxa"/>
            <w:noWrap/>
          </w:tcPr>
          <w:p w14:paraId="3FB283A4" w14:textId="77777777" w:rsidR="00DF410E" w:rsidRDefault="00CE7F43">
            <w:pPr>
              <w:jc w:val="center"/>
            </w:pPr>
            <w:r>
              <w:rPr>
                <w:b/>
              </w:rPr>
              <w:t>Granulométrie maximale</w:t>
            </w:r>
          </w:p>
        </w:tc>
        <w:tc>
          <w:tcPr>
            <w:tcW w:w="1800" w:type="dxa"/>
            <w:noWrap/>
          </w:tcPr>
          <w:p w14:paraId="3E70F01D" w14:textId="77777777" w:rsidR="00DF410E" w:rsidRDefault="00CE7F43">
            <w:pPr>
              <w:jc w:val="center"/>
            </w:pPr>
            <w:r>
              <w:rPr>
                <w:b/>
              </w:rPr>
              <w:t>Données complémentaires</w:t>
            </w:r>
          </w:p>
        </w:tc>
      </w:tr>
      <w:tr w:rsidR="00DF410E" w14:paraId="7BB6F021" w14:textId="77777777">
        <w:tc>
          <w:tcPr>
            <w:tcW w:w="1125" w:type="dxa"/>
            <w:noWrap/>
          </w:tcPr>
          <w:p w14:paraId="731EEB83" w14:textId="77777777" w:rsidR="00DF410E" w:rsidRDefault="00CE7F43">
            <w:pPr>
              <w:jc w:val="center"/>
            </w:pPr>
            <w:r>
              <w:rPr>
                <w:rStyle w:val="optioncarChar"/>
              </w:rPr>
              <w:t>C25/30 / C30/37 / C35/45 / C45/55 / C50/60 / C55/67 / C60/75 / C70/85 / C80/95 / C90/105</w:t>
            </w:r>
          </w:p>
        </w:tc>
        <w:tc>
          <w:tcPr>
            <w:tcW w:w="1350" w:type="dxa"/>
            <w:noWrap/>
          </w:tcPr>
          <w:p w14:paraId="043E02BF" w14:textId="77777777" w:rsidR="00DF410E" w:rsidRDefault="00DF410E"/>
          <w:p w14:paraId="59FBFA21" w14:textId="77777777" w:rsidR="00DF410E" w:rsidRDefault="00CE7F43">
            <w:pPr>
              <w:jc w:val="center"/>
            </w:pPr>
            <w:r>
              <w:t>Béton armé</w:t>
            </w:r>
          </w:p>
        </w:tc>
        <w:tc>
          <w:tcPr>
            <w:tcW w:w="1740" w:type="dxa"/>
            <w:noWrap/>
          </w:tcPr>
          <w:p w14:paraId="32B7AC4A" w14:textId="77777777" w:rsidR="00DF410E" w:rsidRDefault="00DF410E"/>
          <w:p w14:paraId="4B5966BA" w14:textId="77777777" w:rsidR="00DF410E" w:rsidRDefault="00CE7F43">
            <w:pPr>
              <w:jc w:val="center"/>
            </w:pPr>
            <w:r>
              <w:rPr>
                <w:rStyle w:val="optioncarChar"/>
              </w:rPr>
              <w:t>E0 / EI / EE1 / EE2 / EE3 / EE4 / ES1 / ES2 / ES3 / ES4 / EA1+*** / EA2+***/ EA3+***</w:t>
            </w:r>
          </w:p>
        </w:tc>
        <w:tc>
          <w:tcPr>
            <w:tcW w:w="1455" w:type="dxa"/>
            <w:noWrap/>
          </w:tcPr>
          <w:p w14:paraId="3FC6D13A" w14:textId="77777777" w:rsidR="00DF410E" w:rsidRDefault="00DF410E"/>
          <w:p w14:paraId="495567E0" w14:textId="77777777" w:rsidR="00DF410E" w:rsidRDefault="00CE7F43">
            <w:pPr>
              <w:jc w:val="center"/>
            </w:pPr>
            <w:r>
              <w:t>au choix de l'entrepreneur :</w:t>
            </w:r>
            <w:r>
              <w:br/>
            </w:r>
            <w:r>
              <w:br/>
            </w:r>
          </w:p>
          <w:p w14:paraId="6C7ED2FD" w14:textId="77777777" w:rsidR="00DF410E" w:rsidRDefault="00CE7F43">
            <w:pPr>
              <w:jc w:val="center"/>
            </w:pPr>
            <w:r>
              <w:rPr>
                <w:rStyle w:val="optioncarChar"/>
              </w:rPr>
              <w:t>S3 / S4 / S5 </w:t>
            </w:r>
          </w:p>
          <w:p w14:paraId="58713336" w14:textId="77777777" w:rsidR="00DF410E" w:rsidRDefault="00CE7F43">
            <w:pPr>
              <w:jc w:val="center"/>
            </w:pPr>
            <w:r>
              <w:br/>
            </w:r>
            <w:r>
              <w:rPr>
                <w:rStyle w:val="optioncarChar"/>
              </w:rPr>
              <w:t>F3 / F4 / F5 / F6</w:t>
            </w:r>
          </w:p>
        </w:tc>
        <w:tc>
          <w:tcPr>
            <w:tcW w:w="1515" w:type="dxa"/>
            <w:noWrap/>
          </w:tcPr>
          <w:p w14:paraId="09C68FD6" w14:textId="77777777" w:rsidR="00DF410E" w:rsidRDefault="00DF410E"/>
          <w:p w14:paraId="2188C9D4" w14:textId="77777777" w:rsidR="00DF410E" w:rsidRDefault="00CE7F43">
            <w:pPr>
              <w:jc w:val="center"/>
            </w:pPr>
            <w:r>
              <w:t>au choix de l'entrepreneur :</w:t>
            </w:r>
            <w:r>
              <w:br/>
            </w:r>
            <w:r>
              <w:br/>
            </w:r>
          </w:p>
          <w:p w14:paraId="17B38FA0" w14:textId="77777777" w:rsidR="00DF410E" w:rsidRDefault="00CE7F43">
            <w:pPr>
              <w:jc w:val="center"/>
            </w:pPr>
            <w:r>
              <w:rPr>
                <w:rStyle w:val="optioncarChar"/>
              </w:rPr>
              <w:t>6 / 8 / 10 / 11 / 12 / 14 / 16 / 20 / 22 / 32 </w:t>
            </w:r>
            <w:r>
              <w:t>mm</w:t>
            </w:r>
          </w:p>
        </w:tc>
        <w:tc>
          <w:tcPr>
            <w:tcW w:w="1800" w:type="dxa"/>
            <w:noWrap/>
          </w:tcPr>
          <w:p w14:paraId="5E99BD26" w14:textId="77777777" w:rsidR="00DF410E" w:rsidRDefault="00DF410E"/>
          <w:p w14:paraId="4AFA3458" w14:textId="77777777" w:rsidR="00DF410E" w:rsidRDefault="00CE7F43">
            <w:pPr>
              <w:jc w:val="center"/>
            </w:pPr>
            <w:r>
              <w:rPr>
                <w:rStyle w:val="optioncarChar"/>
              </w:rPr>
              <w:t>***</w:t>
            </w:r>
          </w:p>
        </w:tc>
      </w:tr>
    </w:tbl>
    <w:p w14:paraId="34270BDD" w14:textId="77777777" w:rsidR="00DF410E" w:rsidRDefault="00DF410E"/>
    <w:p w14:paraId="58FEEA16" w14:textId="77777777" w:rsidR="00DF410E" w:rsidRDefault="00DF410E">
      <w:pPr>
        <w:jc w:val="both"/>
      </w:pPr>
    </w:p>
    <w:p w14:paraId="46672ECD" w14:textId="77777777" w:rsidR="00DF410E" w:rsidRDefault="00CE7F43">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p>
    <w:p w14:paraId="7F7B3C05" w14:textId="77777777" w:rsidR="00DF410E" w:rsidRDefault="00CE7F43">
      <w:pPr>
        <w:jc w:val="both"/>
      </w:pPr>
      <w:r>
        <w:t>Données complémentaires propres au béton autoplaçant (E) :</w:t>
      </w:r>
    </w:p>
    <w:p w14:paraId="35BA8BF2" w14:textId="77777777" w:rsidR="00DF410E" w:rsidRDefault="00CE7F43">
      <w:pPr>
        <w:pStyle w:val="Author-eListParagraph"/>
        <w:numPr>
          <w:ilvl w:val="0"/>
          <w:numId w:val="697"/>
        </w:numPr>
      </w:pPr>
      <w:r>
        <w:t xml:space="preserve">Classe de viscosité apparente : </w:t>
      </w:r>
      <w:r>
        <w:rPr>
          <w:rStyle w:val="optioncarChar"/>
        </w:rPr>
        <w:t>VS1 / VS2</w:t>
      </w:r>
      <w:r>
        <w:t xml:space="preserve"> (selon la [NBN EN 12350-8])</w:t>
      </w:r>
    </w:p>
    <w:p w14:paraId="50978DC4" w14:textId="77777777" w:rsidR="00DF410E" w:rsidRDefault="00CE7F43">
      <w:pPr>
        <w:pStyle w:val="Author-eListParagraph"/>
        <w:numPr>
          <w:ilvl w:val="0"/>
          <w:numId w:val="697"/>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14:paraId="612683A6" w14:textId="77777777" w:rsidR="00DF410E" w:rsidRDefault="00CE7F43">
      <w:pPr>
        <w:pStyle w:val="Author-eListParagraph"/>
        <w:numPr>
          <w:ilvl w:val="0"/>
          <w:numId w:val="697"/>
        </w:numPr>
      </w:pPr>
      <w:r>
        <w:t xml:space="preserve">Classe de résistance à la ségrégation : </w:t>
      </w:r>
      <w:r>
        <w:rPr>
          <w:rStyle w:val="optioncarChar"/>
        </w:rPr>
        <w:t>SR1 / SR2</w:t>
      </w:r>
      <w:r>
        <w:t xml:space="preserve"> (selon la [NBN EN 12350-11])</w:t>
      </w:r>
    </w:p>
    <w:p w14:paraId="1D956347" w14:textId="77777777" w:rsidR="00DF410E" w:rsidRDefault="00CE7F43">
      <w:pPr>
        <w:jc w:val="both"/>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dimensions </w:t>
      </w:r>
      <w:r>
        <w:rPr>
          <w:rStyle w:val="optioncarChar"/>
        </w:rPr>
        <w:t>150 x 150 x 6 x 6 </w:t>
      </w:r>
      <w:r>
        <w:t>(par défaut)</w:t>
      </w:r>
      <w:r>
        <w:rPr>
          <w:rStyle w:val="optioncarChar"/>
        </w:rPr>
        <w:t xml:space="preserve"> / ***x***x***x***</w:t>
      </w:r>
      <w:r>
        <w:t xml:space="preserve"> mm Les armatures complémentaires sont des barres d'acier de qualité BE 500 S.</w:t>
      </w:r>
    </w:p>
    <w:p w14:paraId="070E6AD2" w14:textId="77777777" w:rsidR="00DF410E" w:rsidRDefault="00CE7F43">
      <w:pPr>
        <w:pStyle w:val="pheading"/>
      </w:pPr>
      <w:r>
        <w:t>- Prescriptions complémentaires</w:t>
      </w:r>
    </w:p>
    <w:p w14:paraId="4F24AD77" w14:textId="77777777" w:rsidR="00DF410E" w:rsidRDefault="00CE7F43">
      <w:pPr>
        <w:jc w:val="both"/>
      </w:pPr>
      <w:r>
        <w:rPr>
          <w:rStyle w:val="facultChar"/>
        </w:rPr>
        <w:t>Résistance au feu : pour les éléments porteurs et structuraux sans fonction séparant</w:t>
      </w:r>
      <w:r>
        <w:t xml:space="preserve">  </w:t>
      </w:r>
      <w:r>
        <w:rPr>
          <w:rStyle w:val="optioncarChar"/>
        </w:rPr>
        <w:t xml:space="preserve">R15 / R30 / R60 </w:t>
      </w:r>
      <w:r>
        <w:t>(par défaut)</w:t>
      </w:r>
      <w:r>
        <w:rPr>
          <w:rStyle w:val="optioncarChar"/>
        </w:rPr>
        <w:t xml:space="preserve"> / R120 / ***</w:t>
      </w:r>
      <w:r>
        <w:t> </w:t>
      </w:r>
      <w:r>
        <w:rPr>
          <w:rStyle w:val="facultChar"/>
        </w:rPr>
        <w:t>et pour les éléments porteurs et structuraux avec fonction séparant</w:t>
      </w:r>
      <w:r>
        <w:t> </w:t>
      </w:r>
      <w:r>
        <w:rPr>
          <w:rStyle w:val="optioncarChar"/>
        </w:rPr>
        <w:t xml:space="preserve">REI 30 / REI 60 </w:t>
      </w:r>
      <w:r>
        <w:t>(par défaut)</w:t>
      </w:r>
      <w:r>
        <w:rPr>
          <w:rStyle w:val="optioncarChar"/>
        </w:rPr>
        <w:t xml:space="preserve"> / REI 120 / *** </w:t>
      </w:r>
      <w:r>
        <w:rPr>
          <w:rStyle w:val="facultChar"/>
        </w:rP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4D1F8A64" w14:textId="77777777" w:rsidR="00DF410E" w:rsidRDefault="00CE7F43">
      <w:pPr>
        <w:pStyle w:val="pheading"/>
      </w:pPr>
      <w:r>
        <w:t>EXÉCUTION / MISE EN ŒUVRE</w:t>
      </w:r>
    </w:p>
    <w:p w14:paraId="4E0D0834" w14:textId="77777777" w:rsidR="00DF410E" w:rsidRDefault="00CE7F43">
      <w:pPr>
        <w:pStyle w:val="pheading"/>
      </w:pPr>
      <w:r>
        <w:t>- Prescriptions générales</w:t>
      </w:r>
    </w:p>
    <w:p w14:paraId="65007F9E" w14:textId="77777777" w:rsidR="00DF410E" w:rsidRDefault="00CE7F43">
      <w:pPr>
        <w:jc w:val="both"/>
      </w:pPr>
      <w:r>
        <w:t xml:space="preserve">L'étude de stabilité est réalisée conformément à la section </w:t>
      </w:r>
      <w:hyperlink w:anchor="87" w:history="1">
        <w: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14:paraId="5F2CAA3C" w14:textId="77777777" w:rsidR="00DF410E" w:rsidRDefault="00CE7F43">
      <w:pPr>
        <w:jc w:val="both"/>
      </w:pPr>
      <w:r>
        <w:t xml:space="preserve">Le plancher doit être calculé pour une charge d’exploitation particulière de </w:t>
      </w:r>
      <w:r>
        <w:rPr>
          <w:rStyle w:val="optioncarChar"/>
        </w:rPr>
        <w:t xml:space="preserve">3 </w:t>
      </w:r>
      <w:r>
        <w:t>(par défaut)</w:t>
      </w:r>
      <w:r>
        <w:rPr>
          <w:rStyle w:val="optioncarChar"/>
        </w:rPr>
        <w:t xml:space="preserve"> / 4 / 5 / ***</w:t>
      </w:r>
      <w:r>
        <w:t> kN/m².</w:t>
      </w:r>
    </w:p>
    <w:p w14:paraId="4F8BB7D5" w14:textId="77777777" w:rsidR="00DF410E" w:rsidRDefault="00CE7F43">
      <w:pPr>
        <w:pStyle w:val="Author-eListParagraph"/>
        <w:numPr>
          <w:ilvl w:val="0"/>
          <w:numId w:val="698"/>
        </w:numPr>
      </w:pPr>
      <w:r>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14:paraId="3E183FC5" w14:textId="77777777" w:rsidR="00DF410E" w:rsidRDefault="00CE7F43">
      <w:pPr>
        <w:pStyle w:val="Author-eListParagraph"/>
        <w:numPr>
          <w:ilvl w:val="0"/>
          <w:numId w:val="698"/>
        </w:numPr>
      </w:pPr>
      <w:r>
        <w:t>la face supérieure du plancher doit correspondre aux cotes de niveau et à l'épaisseur indiquées sur les plans d'architecture.</w:t>
      </w:r>
    </w:p>
    <w:p w14:paraId="435336CB" w14:textId="77777777" w:rsidR="00DF410E" w:rsidRDefault="00CE7F43">
      <w:pPr>
        <w:pStyle w:val="Author-eListParagraph"/>
        <w:numPr>
          <w:ilvl w:val="0"/>
          <w:numId w:val="698"/>
        </w:numPr>
      </w:pPr>
      <w:r>
        <w:t xml:space="preserve">l'écartement d'axe en axe entre les poutrelles est de maximum </w:t>
      </w:r>
      <w:r>
        <w:rPr>
          <w:rStyle w:val="optioncarChar"/>
        </w:rPr>
        <w:t xml:space="preserve">30 / 60 </w:t>
      </w:r>
      <w:r>
        <w:t>(par défaut)</w:t>
      </w:r>
      <w:r>
        <w:rPr>
          <w:rStyle w:val="optioncarChar"/>
        </w:rPr>
        <w:t xml:space="preserve"> / ***</w:t>
      </w:r>
      <w:r>
        <w:t xml:space="preserve"> cm.</w:t>
      </w:r>
      <w:r>
        <w:br/>
      </w:r>
    </w:p>
    <w:p w14:paraId="6A69D57F" w14:textId="77777777" w:rsidR="00DF410E" w:rsidRDefault="00CE7F43">
      <w:pPr>
        <w:jc w:val="both"/>
      </w:pPr>
      <w:r>
        <w:t>Chaque livraison de poutrelles est accompagnée d’un plan de pose et d’un cartouche donnant les détails importants pour la réalisation du plancher (volume béton, type de treillis soudé, de l’armature en chapeau, de renforts, etc.) ainsi que les hypothèses prises en compte pour le calcul (type de revêtement, charges, etc.). Le plan de pose indique les désignations des poutrelles et leur position.</w:t>
      </w:r>
    </w:p>
    <w:p w14:paraId="79305B79" w14:textId="77777777" w:rsidR="00DF410E" w:rsidRDefault="00CE7F43">
      <w:pPr>
        <w:jc w:val="both"/>
      </w:pPr>
      <w:r>
        <w:t>Le plan de pose indique le nombre et la disposition retenue des étais pour chaque travée.</w:t>
      </w:r>
    </w:p>
    <w:p w14:paraId="4F323834" w14:textId="77777777" w:rsidR="00DF410E" w:rsidRDefault="00CE7F43">
      <w:pPr>
        <w:jc w:val="both"/>
      </w:pPr>
      <w:r>
        <w:t>Après la pose des entrevous, il est procédé à la mise en place des ferraillages complémentaires : treillis soudé de la dalle, chainage et équerres, armature en chapeaux, renforts… Le bétonnage des nervures, de la dalle de compression et des chainages s’effectue en une seule opération. L’épaisseur minimale de la dalle de compression rapportée est de 5 cm au-dessus des entrevous.</w:t>
      </w:r>
    </w:p>
    <w:p w14:paraId="54A2F77C" w14:textId="77777777" w:rsidR="00DF410E" w:rsidRDefault="00CE7F43">
      <w:pPr>
        <w:jc w:val="both"/>
      </w:pPr>
      <w:r>
        <w:t>La profondeur de pénétration des entrevous sur le mur est supérieure ou égale à 15 mm. Les entrevous sont mis en contact de manière à assurer une bonne étanchéité au coulage.</w:t>
      </w:r>
    </w:p>
    <w:p w14:paraId="0AFD2CA9" w14:textId="77777777" w:rsidR="00DF410E" w:rsidRDefault="00CE7F43">
      <w:pPr>
        <w:jc w:val="both"/>
      </w:pPr>
      <w:r>
        <w:t xml:space="preserve">Pose de </w:t>
      </w:r>
      <w:r>
        <w:rPr>
          <w:rStyle w:val="optioncarChar"/>
        </w:rPr>
        <w:t xml:space="preserve">5 / 6 / 7 </w:t>
      </w:r>
      <w:r>
        <w:t xml:space="preserve">(par défaut) </w:t>
      </w:r>
      <w:r>
        <w:rPr>
          <w:rStyle w:val="optioncarChar"/>
        </w:rPr>
        <w:t>/ ***</w:t>
      </w:r>
      <w:r>
        <w:t xml:space="preserve"> cm minimum de la tôle d’embase des poutrelles sur le mur.</w:t>
      </w:r>
    </w:p>
    <w:p w14:paraId="2DA7165A" w14:textId="77777777" w:rsidR="00DF410E" w:rsidRDefault="00CE7F43">
      <w:pPr>
        <w:pStyle w:val="pheading"/>
      </w:pPr>
      <w:r>
        <w:t>- Notes d’exécution complémentaires</w:t>
      </w:r>
    </w:p>
    <w:p w14:paraId="7E11550E" w14:textId="77777777" w:rsidR="00DF410E" w:rsidRDefault="00CE7F43">
      <w:pPr>
        <w:jc w:val="both"/>
      </w:pPr>
      <w:r>
        <w:rPr>
          <w:rStyle w:val="facultChar"/>
        </w:rPr>
        <w:t>Placement d’une membrane de désolidarisation acoustique en périphérie du plancher : </w:t>
      </w:r>
      <w:r>
        <w:rPr>
          <w:rStyle w:val="optioncarChar"/>
        </w:rPr>
        <w:t>en position supérieure / en position inférieure / sans.</w:t>
      </w:r>
    </w:p>
    <w:p w14:paraId="79F8FC88" w14:textId="77777777" w:rsidR="00DF410E" w:rsidRDefault="00CE7F43">
      <w:pPr>
        <w:jc w:val="both"/>
      </w:pPr>
      <w:r>
        <w:rPr>
          <w:rStyle w:val="facultChar"/>
        </w:rPr>
        <w:t>Si les poutrelles restent apparentes, les semelles en acier doivent rester propres exemptes de coups, déformations, griffes apparentes à hauteur d’homme.</w:t>
      </w:r>
    </w:p>
    <w:p w14:paraId="5FFCF6C0" w14:textId="77777777" w:rsidR="00DF410E" w:rsidRDefault="00CE7F43">
      <w:pPr>
        <w:jc w:val="both"/>
      </w:pPr>
      <w:r>
        <w:rPr>
          <w:rStyle w:val="facultChar"/>
        </w:rPr>
        <w:t>Remarque : le plafond peut bénéficier d’une finition en plâtre projeté en interposant entre la sous face du plancher et le plâtre un treillis métallique fixé au talon des poutrelles.</w:t>
      </w:r>
    </w:p>
    <w:p w14:paraId="0692FBA5" w14:textId="77777777" w:rsidR="00DF410E" w:rsidRDefault="00CE7F43">
      <w:pPr>
        <w:pStyle w:val="pheading"/>
      </w:pPr>
      <w:r>
        <w:t>DOCUMENTS DE RÉFÉRENCE COMPLÉMENTAIRES</w:t>
      </w:r>
    </w:p>
    <w:p w14:paraId="4FCC9EE4" w14:textId="77777777" w:rsidR="00DF410E" w:rsidRDefault="00CE7F43">
      <w:pPr>
        <w:pStyle w:val="pheading"/>
      </w:pPr>
      <w:r>
        <w:t>- Matériau</w:t>
      </w:r>
    </w:p>
    <w:p w14:paraId="77F86246" w14:textId="77777777" w:rsidR="00DF410E" w:rsidRDefault="00CE7F43">
      <w:r>
        <w:t>[NBN EN 15037-4+A1, Produits préfabriqués en béton - Systèmes de planchers à poutrelles et entrevous - Partie 4: Entrevous en polystyrène expansé]</w:t>
      </w:r>
    </w:p>
    <w:p w14:paraId="0EDF0248" w14:textId="77777777" w:rsidR="00DF410E" w:rsidRDefault="00CE7F43">
      <w:r>
        <w:t>[NBN EN 206:2013+A2, Béton - Spécification, performances, production et conformité]</w:t>
      </w:r>
    </w:p>
    <w:p w14:paraId="1C673889" w14:textId="77777777" w:rsidR="00DF410E" w:rsidRDefault="00CE7F43">
      <w:r>
        <w:t>[NBN B 15-001, Béton - Spécification, performances, production et conformité - Complément national à la NBN EN 206:2013+A2:2021]</w:t>
      </w:r>
    </w:p>
    <w:p w14:paraId="3EF091F9" w14:textId="77777777" w:rsidR="00DF410E" w:rsidRDefault="00CE7F43">
      <w:r>
        <w:t>[NBN EN 12350-10, Essai pour béton frais - Partie 10: Béton autoplaçant - Essai à la boîte en L]</w:t>
      </w:r>
    </w:p>
    <w:p w14:paraId="2E1CCBC2" w14:textId="77777777" w:rsidR="00DF410E" w:rsidRDefault="00CE7F43">
      <w:r>
        <w:t>[NBN EN 12350-12, Essai pour béton frais - Partie 12 : Béton autoplaçant - Essai d'écoulement à l'anneau]</w:t>
      </w:r>
    </w:p>
    <w:p w14:paraId="21C1A433" w14:textId="77777777" w:rsidR="00DF410E" w:rsidRDefault="00CE7F43">
      <w:r>
        <w:t>[NBN EN 12350-11, Essai pour béton frais - Partie 11: Béton autoplaçant - Essai de stabilité au tamis]</w:t>
      </w:r>
    </w:p>
    <w:p w14:paraId="1CC50063"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4CAC90DC" w14:textId="77777777" w:rsidR="00DF410E" w:rsidRDefault="00CE7F43">
      <w:pPr>
        <w:pStyle w:val="pheading"/>
      </w:pPr>
      <w:r>
        <w:t>MESURAGE</w:t>
      </w:r>
    </w:p>
    <w:p w14:paraId="133E18EC" w14:textId="77777777" w:rsidR="00DF410E" w:rsidRDefault="00CE7F43">
      <w:pPr>
        <w:pStyle w:val="pheading"/>
      </w:pPr>
      <w:r>
        <w:t>- unité de mesure:</w:t>
      </w:r>
    </w:p>
    <w:p w14:paraId="504ED6C5" w14:textId="77777777" w:rsidR="00DF410E" w:rsidRDefault="00CE7F43">
      <w:pPr>
        <w:jc w:val="both"/>
      </w:pPr>
      <w:r>
        <w:rPr>
          <w:rStyle w:val="optioncarChar"/>
        </w:rPr>
        <w:t>m² </w:t>
      </w:r>
      <w:r>
        <w:t xml:space="preserve">(par défaut) </w:t>
      </w:r>
      <w:r>
        <w:rPr>
          <w:rStyle w:val="optioncarChar"/>
        </w:rPr>
        <w:t>/ selon bordereau / selon bordereau avec décompte final / m³ ; kg / m³ ; m³ ; kg ; à la pièce</w:t>
      </w:r>
    </w:p>
    <w:p w14:paraId="7B9236E1" w14:textId="77777777" w:rsidR="00DF410E" w:rsidRDefault="00CE7F43">
      <w:pPr>
        <w:jc w:val="both"/>
      </w:pPr>
      <w:r>
        <w:rPr>
          <w:b/>
          <w:i/>
        </w:rPr>
        <w:t>(Soit par défaut)</w:t>
      </w:r>
    </w:p>
    <w:p w14:paraId="3350447C" w14:textId="77777777" w:rsidR="00DF410E" w:rsidRDefault="00CE7F43">
      <w:pPr>
        <w:jc w:val="both"/>
      </w:pPr>
      <w:r>
        <w:rPr>
          <w:rStyle w:val="soitChar"/>
        </w:rPr>
        <w:t>1. m²</w:t>
      </w:r>
    </w:p>
    <w:p w14:paraId="29600E82" w14:textId="77777777" w:rsidR="00DF410E" w:rsidRDefault="00CE7F43">
      <w:pPr>
        <w:jc w:val="both"/>
      </w:pPr>
      <w:r>
        <w:rPr>
          <w:b/>
          <w:i/>
        </w:rPr>
        <w:t>(Soit)</w:t>
      </w:r>
    </w:p>
    <w:p w14:paraId="65195350" w14:textId="77777777" w:rsidR="00DF410E" w:rsidRDefault="00CE7F43">
      <w:pPr>
        <w:jc w:val="both"/>
      </w:pPr>
      <w:r>
        <w:rPr>
          <w:rStyle w:val="soitChar"/>
        </w:rPr>
        <w:t>2. Selon bordereau</w:t>
      </w:r>
    </w:p>
    <w:p w14:paraId="179E05D9" w14:textId="77777777" w:rsidR="00DF410E" w:rsidRDefault="00CE7F43">
      <w:pPr>
        <w:jc w:val="both"/>
      </w:pPr>
      <w:r>
        <w:rPr>
          <w:b/>
          <w:i/>
        </w:rPr>
        <w:t>(Soit)</w:t>
      </w:r>
    </w:p>
    <w:p w14:paraId="24530AE2" w14:textId="77777777" w:rsidR="00DF410E" w:rsidRDefault="00CE7F43">
      <w:pPr>
        <w:jc w:val="both"/>
      </w:pPr>
      <w:r>
        <w:rPr>
          <w:rStyle w:val="soitChar"/>
        </w:rPr>
        <w:t>3. Selon bordereau avec décompte final</w:t>
      </w:r>
    </w:p>
    <w:p w14:paraId="20D54AA8" w14:textId="77777777" w:rsidR="00DF410E" w:rsidRDefault="00CE7F43">
      <w:pPr>
        <w:jc w:val="both"/>
      </w:pPr>
      <w:r>
        <w:rPr>
          <w:b/>
          <w:i/>
        </w:rPr>
        <w:t>(Soit)</w:t>
      </w:r>
    </w:p>
    <w:p w14:paraId="319DDE9B" w14:textId="77777777" w:rsidR="00DF410E" w:rsidRDefault="00CE7F43">
      <w:pPr>
        <w:jc w:val="both"/>
      </w:pPr>
      <w:r>
        <w:rPr>
          <w:rStyle w:val="soitChar"/>
        </w:rPr>
        <w:t>4. m³; kg</w:t>
      </w:r>
    </w:p>
    <w:p w14:paraId="1071B668" w14:textId="77777777" w:rsidR="00DF410E" w:rsidRDefault="00CE7F43">
      <w:pPr>
        <w:jc w:val="both"/>
      </w:pPr>
      <w:r>
        <w:rPr>
          <w:b/>
          <w:i/>
        </w:rPr>
        <w:t>(Soit)</w:t>
      </w:r>
    </w:p>
    <w:p w14:paraId="756F5BF1" w14:textId="77777777" w:rsidR="00DF410E" w:rsidRDefault="00CE7F43">
      <w:pPr>
        <w:jc w:val="both"/>
      </w:pPr>
      <w:r>
        <w:rPr>
          <w:rStyle w:val="soitChar"/>
        </w:rPr>
        <w:t>5. m³; m³; kg; à la pièce</w:t>
      </w:r>
    </w:p>
    <w:p w14:paraId="4C27142D" w14:textId="77777777" w:rsidR="00DF410E" w:rsidRDefault="00CE7F43">
      <w:pPr>
        <w:pStyle w:val="pheading"/>
      </w:pPr>
      <w:r>
        <w:t>- code de mesurage:</w:t>
      </w:r>
    </w:p>
    <w:p w14:paraId="123DE448" w14:textId="77777777" w:rsidR="00DF410E" w:rsidRDefault="00CE7F43">
      <w:pPr>
        <w:jc w:val="both"/>
      </w:pPr>
      <w:r>
        <w:rPr>
          <w:rStyle w:val="optioncarChar"/>
        </w:rPr>
        <w:t xml:space="preserve">Surface nette </w:t>
      </w:r>
      <w:r>
        <w:t>(par défaut)</w:t>
      </w:r>
      <w:r>
        <w:rPr>
          <w:rStyle w:val="optioncarChar"/>
        </w:rPr>
        <w:t xml:space="preserve"> / selon bordereau / selon bordereau avec décompte / selon le volume de béton et le poids des armatures / selon le volume de béton de remplissage et de compression et le poids des armatures</w:t>
      </w:r>
      <w:r>
        <w:t>.</w:t>
      </w:r>
    </w:p>
    <w:p w14:paraId="6B6B6124" w14:textId="77777777" w:rsidR="00DF410E" w:rsidRDefault="00CE7F43">
      <w:pPr>
        <w:jc w:val="both"/>
      </w:pPr>
      <w:r>
        <w:rPr>
          <w:b/>
          <w:i/>
        </w:rPr>
        <w:t>(Soit par défaut)</w:t>
      </w:r>
    </w:p>
    <w:p w14:paraId="117A8AC2" w14:textId="77777777" w:rsidR="00DF410E" w:rsidRDefault="00CE7F43">
      <w:pPr>
        <w:jc w:val="both"/>
      </w:pPr>
      <w:r>
        <w:rPr>
          <w:rStyle w:val="soitChar"/>
          <w:b/>
        </w:rPr>
        <w:t>1. Surface nette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sont par conséquent, être déduites de la maçonnerie intérieure. Les vides, percements et feuillures supérieures à 0,50 m² sont déduits.</w:t>
      </w:r>
    </w:p>
    <w:p w14:paraId="2529DE83" w14:textId="77777777" w:rsidR="00DF410E" w:rsidRDefault="00CE7F43">
      <w:pPr>
        <w:jc w:val="both"/>
      </w:pPr>
      <w:r>
        <w:rPr>
          <w:rStyle w:val="soitChar"/>
        </w:rPr>
        <w:t>Pour l'ensemble ou, le cas échéant, ventilé en fonction de la nature, de l'épaisseur et/ou de la charge d’exploitation. Tous les éléments nécessaires, travaux et fournitures (coffrages, étançonnement, armatures et couches de compression prescrites) sont compris dans le prix unitaire.</w:t>
      </w:r>
    </w:p>
    <w:p w14:paraId="524A1D9B" w14:textId="77777777" w:rsidR="00DF410E" w:rsidRDefault="00CE7F43">
      <w:pPr>
        <w:jc w:val="both"/>
      </w:pPr>
      <w:r>
        <w:rPr>
          <w:b/>
          <w:i/>
        </w:rPr>
        <w:t>(Soit)</w:t>
      </w:r>
    </w:p>
    <w:p w14:paraId="005EB13C" w14:textId="77777777" w:rsidR="00DF410E" w:rsidRDefault="00CE7F43">
      <w:pPr>
        <w:jc w:val="both"/>
      </w:pPr>
      <w:r>
        <w:rPr>
          <w:rStyle w:val="soitChar"/>
          <w:b/>
        </w:rPr>
        <w:t>2. Selon bordereau</w:t>
      </w:r>
      <w:r>
        <w:rPr>
          <w:rStyle w:val="soitChar"/>
        </w:rPr>
        <w:t xml:space="preserve">  </w:t>
      </w:r>
      <w:r>
        <w:rPr>
          <w:rStyle w:val="soitChar"/>
          <w:b/>
        </w:rPr>
        <w:t>;</w:t>
      </w:r>
      <w:r>
        <w:rPr>
          <w:rStyle w:val="soitChar"/>
        </w:rPr>
        <w:t xml:space="preserve"> selon le bordereau spécifié dans l'étude de stabilité et repris dans le métré récapitulatif.</w:t>
      </w:r>
    </w:p>
    <w:p w14:paraId="4BC1E9D1" w14:textId="77777777" w:rsidR="00DF410E" w:rsidRDefault="00CE7F43">
      <w:pPr>
        <w:jc w:val="both"/>
      </w:pPr>
      <w:r>
        <w:rPr>
          <w:b/>
          <w:i/>
        </w:rPr>
        <w:t>(Soit)</w:t>
      </w:r>
    </w:p>
    <w:p w14:paraId="6933D868" w14:textId="77777777" w:rsidR="00DF410E" w:rsidRDefault="00CE7F43">
      <w:pPr>
        <w:jc w:val="both"/>
      </w:pPr>
      <w:r>
        <w:rPr>
          <w:rStyle w:val="soitChar"/>
          <w:b/>
        </w:rPr>
        <w:t>3. Selon bordereau avec décompte ;</w:t>
      </w:r>
      <w:r>
        <w:rPr>
          <w:rStyle w:val="soitChar"/>
        </w:rPr>
        <w:t xml:space="preserve"> selon le bordereau spécifié dans l'étude de stabilité et repris dans le métré récapitulatif mais les décomptes sont réalisés après travail. </w:t>
      </w:r>
    </w:p>
    <w:p w14:paraId="05020213" w14:textId="77777777" w:rsidR="00DF410E" w:rsidRDefault="00CE7F43">
      <w:pPr>
        <w:jc w:val="both"/>
      </w:pPr>
      <w:r>
        <w:rPr>
          <w:b/>
          <w:i/>
        </w:rPr>
        <w:t>(Soit)</w:t>
      </w:r>
    </w:p>
    <w:p w14:paraId="391642C8" w14:textId="77777777" w:rsidR="00DF410E" w:rsidRDefault="00CE7F43">
      <w:pPr>
        <w:jc w:val="both"/>
      </w:pPr>
      <w:r>
        <w:rPr>
          <w:rStyle w:val="soitChar"/>
          <w:b/>
        </w:rPr>
        <w:t>4. Selon le volume de béton et le poids des armatures</w:t>
      </w:r>
      <w:r>
        <w:rPr>
          <w:rStyle w:val="soitChar"/>
        </w:rPr>
        <w:t> </w:t>
      </w:r>
      <w:r>
        <w:rPr>
          <w:rStyle w:val="soitChar"/>
          <w:b/>
        </w:rPr>
        <w:t>;</w:t>
      </w:r>
    </w:p>
    <w:p w14:paraId="260CCF1F" w14:textId="77777777" w:rsidR="00DF410E" w:rsidRDefault="00CE7F43">
      <w:pPr>
        <w:pStyle w:val="Author-eListParagraph"/>
        <w:numPr>
          <w:ilvl w:val="0"/>
          <w:numId w:val="699"/>
        </w:numPr>
      </w:pPr>
      <w:r>
        <w:rPr>
          <w:rStyle w:val="soitChar"/>
        </w:rPr>
        <w:t xml:space="preserve">m³ pour le béton </w:t>
      </w:r>
    </w:p>
    <w:p w14:paraId="54729148" w14:textId="77777777" w:rsidR="00DF410E" w:rsidRDefault="00CE7F43">
      <w:pPr>
        <w:pStyle w:val="Author-eListParagraph"/>
        <w:numPr>
          <w:ilvl w:val="0"/>
          <w:numId w:val="699"/>
        </w:numPr>
      </w:pPr>
      <w:r>
        <w:rPr>
          <w:rStyle w:val="soitChar"/>
        </w:rPr>
        <w:t xml:space="preserve">kg pour les armatures </w:t>
      </w:r>
    </w:p>
    <w:p w14:paraId="4A3C59C3" w14:textId="77777777" w:rsidR="00DF410E" w:rsidRDefault="00CE7F43">
      <w:pPr>
        <w:pStyle w:val="Author-eListParagraph"/>
        <w:numPr>
          <w:ilvl w:val="0"/>
          <w:numId w:val="699"/>
        </w:numPr>
      </w:pPr>
      <w:r>
        <w:rPr>
          <w:rStyle w:val="soitChar"/>
        </w:rPr>
        <w:t>Tous les autres éléments, travaux et fournitures doivent être compris dans les prix unitaires respectifs pour les mesurages précités.</w:t>
      </w:r>
    </w:p>
    <w:p w14:paraId="084C692E" w14:textId="77777777" w:rsidR="00DF410E" w:rsidRDefault="00CE7F43">
      <w:pPr>
        <w:jc w:val="both"/>
      </w:pPr>
      <w:r>
        <w:rPr>
          <w:b/>
          <w:i/>
        </w:rPr>
        <w:t>(Soit)</w:t>
      </w:r>
    </w:p>
    <w:p w14:paraId="766BCD4B" w14:textId="77777777" w:rsidR="00DF410E" w:rsidRDefault="00CE7F43">
      <w:pPr>
        <w:jc w:val="both"/>
      </w:pPr>
      <w:r>
        <w:rPr>
          <w:rStyle w:val="soitChar"/>
          <w:b/>
        </w:rPr>
        <w:t>5. Selon le volume de béton de remplissage et de compression et le poids des armatures ;</w:t>
      </w:r>
    </w:p>
    <w:p w14:paraId="20AFB04E" w14:textId="77777777" w:rsidR="00DF410E" w:rsidRDefault="00CE7F43">
      <w:pPr>
        <w:pStyle w:val="Author-eListParagraph"/>
        <w:numPr>
          <w:ilvl w:val="0"/>
          <w:numId w:val="700"/>
        </w:numPr>
      </w:pPr>
      <w:r>
        <w:rPr>
          <w:rStyle w:val="soitChar"/>
        </w:rPr>
        <w:t xml:space="preserve">m³ pour le béton de remplissage </w:t>
      </w:r>
    </w:p>
    <w:p w14:paraId="0F0B7622" w14:textId="77777777" w:rsidR="00DF410E" w:rsidRDefault="00CE7F43">
      <w:pPr>
        <w:pStyle w:val="Author-eListParagraph"/>
        <w:numPr>
          <w:ilvl w:val="0"/>
          <w:numId w:val="700"/>
        </w:numPr>
      </w:pPr>
      <w:r>
        <w:rPr>
          <w:rStyle w:val="soitChar"/>
        </w:rPr>
        <w:t xml:space="preserve">m³ pour la couche de compression béton (en mentionnant l'épaisseur...) </w:t>
      </w:r>
    </w:p>
    <w:p w14:paraId="45BFA901" w14:textId="77777777" w:rsidR="00DF410E" w:rsidRDefault="00CE7F43">
      <w:pPr>
        <w:pStyle w:val="Author-eListParagraph"/>
        <w:numPr>
          <w:ilvl w:val="0"/>
          <w:numId w:val="700"/>
        </w:numPr>
      </w:pPr>
      <w:r>
        <w:rPr>
          <w:rStyle w:val="soitChar"/>
        </w:rPr>
        <w:t xml:space="preserve">kg pour les armatures </w:t>
      </w:r>
    </w:p>
    <w:p w14:paraId="64C35D1C" w14:textId="77777777" w:rsidR="00DF410E" w:rsidRDefault="00CE7F43">
      <w:pPr>
        <w:pStyle w:val="Author-eListParagraph"/>
        <w:numPr>
          <w:ilvl w:val="0"/>
          <w:numId w:val="700"/>
        </w:numPr>
      </w:pPr>
      <w:r>
        <w:rPr>
          <w:rStyle w:val="soitChar"/>
        </w:rPr>
        <w:t>Pièces divergentes et pièces spéciales : à la pièce (selon les dimensions identiques ou indications standards).</w:t>
      </w:r>
    </w:p>
    <w:p w14:paraId="35D7DB88" w14:textId="77777777" w:rsidR="00DF410E" w:rsidRDefault="00CE7F43">
      <w:pPr>
        <w:pStyle w:val="pheading"/>
      </w:pPr>
      <w:r>
        <w:t>- nature du marché:</w:t>
      </w:r>
    </w:p>
    <w:p w14:paraId="350DBA83" w14:textId="77777777" w:rsidR="00DF410E" w:rsidRDefault="00CE7F43">
      <w:r>
        <w:rPr>
          <w:rStyle w:val="optioncarChar"/>
        </w:rPr>
        <w:t>QF</w:t>
      </w:r>
      <w:r>
        <w:t xml:space="preserve"> (par défaut)</w:t>
      </w:r>
      <w:r>
        <w:rPr>
          <w:rStyle w:val="optioncarChar"/>
        </w:rPr>
        <w:t xml:space="preserve"> / QP</w:t>
      </w:r>
    </w:p>
    <w:p w14:paraId="6AB8FFB7" w14:textId="77777777" w:rsidR="00DF410E" w:rsidRDefault="00CE7F43">
      <w:r>
        <w:rPr>
          <w:b/>
          <w:i/>
        </w:rPr>
        <w:t>(Soit par défaut)</w:t>
      </w:r>
    </w:p>
    <w:p w14:paraId="5636FE4C" w14:textId="77777777" w:rsidR="00DF410E" w:rsidRDefault="00CE7F43">
      <w:r>
        <w:rPr>
          <w:rStyle w:val="soitChar"/>
        </w:rPr>
        <w:t>1.2.4.5. QF</w:t>
      </w:r>
    </w:p>
    <w:p w14:paraId="16C69C41" w14:textId="77777777" w:rsidR="00DF410E" w:rsidRDefault="00CE7F43">
      <w:r>
        <w:rPr>
          <w:b/>
          <w:i/>
        </w:rPr>
        <w:t>(Soit)</w:t>
      </w:r>
    </w:p>
    <w:p w14:paraId="5C6519A4" w14:textId="77777777" w:rsidR="00DF410E" w:rsidRDefault="00CE7F43">
      <w:r>
        <w:rPr>
          <w:rStyle w:val="soitChar"/>
        </w:rPr>
        <w:t>3. QP</w:t>
      </w:r>
    </w:p>
    <w:p w14:paraId="2D9592FA" w14:textId="77777777" w:rsidR="00DF410E" w:rsidRDefault="00CE7F43">
      <w:pPr>
        <w:pStyle w:val="Author-eSectionHeading6"/>
      </w:pPr>
      <w:bookmarkStart w:id="1329" w:name="_Toc178838446"/>
      <w:r>
        <w:t>23.22.3d Planchers à poutrelles en acier et entrevous en fibres de bois agglomérées de ciment CCTB 01.04</w:t>
      </w:r>
      <w:bookmarkEnd w:id="1329"/>
    </w:p>
    <w:p w14:paraId="5E3457F6" w14:textId="77777777" w:rsidR="00DF410E" w:rsidRDefault="00CE7F43">
      <w:pPr>
        <w:pStyle w:val="Author-eSectionHeading6"/>
      </w:pPr>
      <w:bookmarkStart w:id="1330" w:name="_Toc178838447"/>
      <w:r>
        <w:t>23.22.3e Planchers à poutrelles en acier et entrevous en copeaux de bois CCTB 01.12</w:t>
      </w:r>
      <w:bookmarkEnd w:id="1330"/>
    </w:p>
    <w:p w14:paraId="191F5BBA" w14:textId="77777777" w:rsidR="00DF410E" w:rsidRDefault="00CE7F43">
      <w:pPr>
        <w:pStyle w:val="pheading"/>
      </w:pPr>
      <w:r>
        <w:t>DESCRIPTION</w:t>
      </w:r>
    </w:p>
    <w:p w14:paraId="630E9C80" w14:textId="77777777" w:rsidR="00DF410E" w:rsidRDefault="00CE7F43">
      <w:pPr>
        <w:pStyle w:val="pheading"/>
      </w:pPr>
      <w:r>
        <w:t>- Définition / Comprend</w:t>
      </w:r>
    </w:p>
    <w:p w14:paraId="4296C19A" w14:textId="77777777" w:rsidR="00DF410E" w:rsidRDefault="00CE7F43">
      <w:pPr>
        <w:jc w:val="both"/>
      </w:pPr>
      <w:r>
        <w:t>Il s’agit de la fourniture et de la pose de plancher à poutrelles en treillis métallique dont la partie basse est enrobée dans un talon en mousse de polyuréthanne, protégées par une gaine en tôle d’acier galvanisée, d'entrevous en en copeaux de bois et d'une couche de compression armée coulée sur place.</w:t>
      </w:r>
    </w:p>
    <w:p w14:paraId="2C8E0863" w14:textId="77777777" w:rsidR="00DF410E" w:rsidRDefault="00CE7F43">
      <w:pPr>
        <w:pStyle w:val="pheading"/>
      </w:pPr>
      <w:r>
        <w:t>- Localisation</w:t>
      </w:r>
    </w:p>
    <w:p w14:paraId="5FE496D4" w14:textId="77777777" w:rsidR="00DF410E" w:rsidRDefault="00CE7F43">
      <w:r>
        <w:t xml:space="preserve">Localisation des travaux : </w:t>
      </w:r>
      <w:r>
        <w:rPr>
          <w:rStyle w:val="optioncarChar"/>
        </w:rPr>
        <w:t>***</w:t>
      </w:r>
    </w:p>
    <w:p w14:paraId="5F7B2D30" w14:textId="77777777" w:rsidR="00DF410E" w:rsidRDefault="00CE7F43">
      <w:r>
        <w:t>Voir plans et métrés détaillés.</w:t>
      </w:r>
    </w:p>
    <w:p w14:paraId="1381730A" w14:textId="77777777" w:rsidR="00DF410E" w:rsidRDefault="00CE7F43">
      <w:pPr>
        <w:pStyle w:val="pheading"/>
      </w:pPr>
      <w:r>
        <w:t>MATÉRIAUX</w:t>
      </w:r>
    </w:p>
    <w:p w14:paraId="68270FFC" w14:textId="77777777" w:rsidR="00DF410E" w:rsidRDefault="00CE7F43">
      <w:pPr>
        <w:pStyle w:val="pheading"/>
      </w:pPr>
      <w:r>
        <w:t>- Caractéristiques générales</w:t>
      </w:r>
    </w:p>
    <w:p w14:paraId="3D9D3015" w14:textId="77777777" w:rsidR="00DF410E" w:rsidRDefault="00CE7F43">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14:paraId="524A60EE" w14:textId="77777777" w:rsidR="00DF410E" w:rsidRDefault="00CE7F43">
      <w:pPr>
        <w:jc w:val="both"/>
      </w:pPr>
      <w:r>
        <w:rPr>
          <w:b/>
        </w:rPr>
        <w:t>Poutrelles</w:t>
      </w:r>
    </w:p>
    <w:p w14:paraId="0A75795C" w14:textId="77777777" w:rsidR="00DF410E" w:rsidRDefault="00CE7F43">
      <w:pPr>
        <w:jc w:val="both"/>
      </w:pPr>
      <w:r>
        <w:t xml:space="preserve">La mousse de PUR est réalisée suivant une formulation </w:t>
      </w:r>
      <w:r>
        <w:rPr>
          <w:rStyle w:val="optioncarChar"/>
        </w:rPr>
        <w:t>dite « standard » / bénéficiant d’un classement B-s3-d0.</w:t>
      </w:r>
    </w:p>
    <w:p w14:paraId="57BD6B4E" w14:textId="77777777" w:rsidR="00DF410E" w:rsidRDefault="00CE7F43">
      <w:pPr>
        <w:jc w:val="both"/>
      </w:pPr>
      <w:r>
        <w:t>L'entraxe standard des poutrelles est de 60 cm et la hauteur des planchers varie de 12+5cm à 25+10cm suivant les charges et la portée.</w:t>
      </w:r>
    </w:p>
    <w:p w14:paraId="18CA619C" w14:textId="77777777" w:rsidR="00DF410E" w:rsidRDefault="00CE7F43">
      <w:pPr>
        <w:jc w:val="both"/>
      </w:pPr>
      <w:r>
        <w:t>L’utilisation du procédé pour la réalisation de planchers largement ouverts sur l’extérieur (par exemple balcons et terrasse sur pilotis) est exclue.</w:t>
      </w:r>
    </w:p>
    <w:p w14:paraId="270F6215" w14:textId="77777777" w:rsidR="00DF410E" w:rsidRDefault="00CE7F43">
      <w:pPr>
        <w:jc w:val="both"/>
      </w:pPr>
      <w:r>
        <w:t>Dans la mesure où la partie basse des poutrelles (enrobage du talon en mousse de polyuréthanne) n’est pas prévue pour contribuer à la stabilité en cas d’incendie, une protection rapportée bénéficiant d’un PV de résistance au feu doit obligatoirement être mise en œuvre pour assurer la résistance du plancher.</w:t>
      </w:r>
    </w:p>
    <w:p w14:paraId="14329340" w14:textId="77777777" w:rsidR="00DF410E" w:rsidRDefault="00CE7F43">
      <w:pPr>
        <w:jc w:val="both"/>
      </w:pPr>
      <w:r>
        <w:t>Les poutrelles peuvent être renforcées par l’adjonction de ferraillage supplémentaire.</w:t>
      </w:r>
    </w:p>
    <w:p w14:paraId="7347CCFF" w14:textId="77777777" w:rsidR="00DF410E" w:rsidRDefault="00CE7F43">
      <w:pPr>
        <w:jc w:val="both"/>
      </w:pPr>
      <w:r>
        <w:rPr>
          <w:b/>
        </w:rPr>
        <w:t>Entrevous</w:t>
      </w:r>
    </w:p>
    <w:p w14:paraId="24904F2B" w14:textId="77777777" w:rsidR="00DF410E" w:rsidRDefault="00CE7F43">
      <w:pPr>
        <w:jc w:val="both"/>
      </w:pPr>
      <w:r>
        <w:t>Les entrevous sont en copeaux de bois moulés (EBM)</w:t>
      </w:r>
    </w:p>
    <w:p w14:paraId="4F39FA43" w14:textId="77777777" w:rsidR="00DF410E" w:rsidRDefault="00CE7F43">
      <w:pPr>
        <w:jc w:val="both"/>
      </w:pPr>
      <w:r>
        <w:t>Classement au feu Euroclasse E.</w:t>
      </w:r>
    </w:p>
    <w:p w14:paraId="7E42CDC7" w14:textId="77777777" w:rsidR="00DF410E" w:rsidRDefault="00CE7F43">
      <w:pPr>
        <w:jc w:val="both"/>
      </w:pPr>
      <w:r>
        <w:t>Épaisseur : </w:t>
      </w:r>
      <w:r>
        <w:rPr>
          <w:rStyle w:val="optioncarChar"/>
        </w:rPr>
        <w:t xml:space="preserve">13 </w:t>
      </w:r>
      <w:r>
        <w:t>(par défaut)</w:t>
      </w:r>
      <w:r>
        <w:rPr>
          <w:rStyle w:val="optioncarChar"/>
        </w:rPr>
        <w:t xml:space="preserve"> / 16 / 20 / *** </w:t>
      </w:r>
      <w:r>
        <w:t xml:space="preserve"> cm.</w:t>
      </w:r>
    </w:p>
    <w:p w14:paraId="63DD4BA5" w14:textId="77777777" w:rsidR="00DF410E" w:rsidRDefault="00CE7F43">
      <w:pPr>
        <w:jc w:val="both"/>
      </w:pPr>
      <w:r>
        <w:t xml:space="preserve">Complément d’isolation : </w:t>
      </w:r>
      <w:r>
        <w:rPr>
          <w:rStyle w:val="optioncarChar"/>
        </w:rPr>
        <w:t xml:space="preserve">sans </w:t>
      </w:r>
      <w:r>
        <w:t>(par défaut)</w:t>
      </w:r>
      <w:r>
        <w:rPr>
          <w:rStyle w:val="optioncarChar"/>
        </w:rPr>
        <w:t xml:space="preserve"> / ajout d’un complément isolant en polystyrène expansé(EPS) de qualité autoextinguible SE / ***</w:t>
      </w:r>
    </w:p>
    <w:p w14:paraId="3BABD8A0" w14:textId="77777777" w:rsidR="00DF410E" w:rsidRDefault="00CE7F43">
      <w:pPr>
        <w:jc w:val="both"/>
      </w:pPr>
      <w:r>
        <w:t xml:space="preserve">Résistance thermique du plancher en cas de pose d’un isolant complémentaire en EPS supérieure ou égale à : </w:t>
      </w:r>
      <w:r>
        <w:rPr>
          <w:rStyle w:val="optioncarChar"/>
        </w:rPr>
        <w:t>2 / 3 / 4</w:t>
      </w:r>
      <w:r>
        <w:t xml:space="preserve"> (par défaut)</w:t>
      </w:r>
      <w:r>
        <w:rPr>
          <w:rStyle w:val="optioncarChar"/>
        </w:rPr>
        <w:t xml:space="preserve"> / ***</w:t>
      </w:r>
      <w:r>
        <w:t xml:space="preserve"> m²K/W.</w:t>
      </w:r>
    </w:p>
    <w:p w14:paraId="4AA24A3E" w14:textId="77777777" w:rsidR="00DF410E" w:rsidRDefault="00CE7F43">
      <w:pPr>
        <w:jc w:val="both"/>
      </w:pPr>
      <w:r>
        <w:rPr>
          <w:b/>
        </w:rPr>
        <w:t>Couche de compression</w:t>
      </w:r>
    </w:p>
    <w:p w14:paraId="4F06F760" w14:textId="77777777" w:rsidR="00DF410E" w:rsidRDefault="00CE7F43">
      <w:pPr>
        <w:pStyle w:val="Author-eListParagraph"/>
        <w:numPr>
          <w:ilvl w:val="0"/>
          <w:numId w:val="701"/>
        </w:numPr>
      </w:pPr>
      <w:r>
        <w:t>Épaisseur de la couche de compression : supérieure ou égale à</w:t>
      </w:r>
      <w:r>
        <w:rPr>
          <w:rStyle w:val="optioncarChar"/>
        </w:rPr>
        <w:t xml:space="preserve"> 5 </w:t>
      </w:r>
      <w:r>
        <w:t xml:space="preserve">(par défaut) </w:t>
      </w:r>
      <w:r>
        <w:rPr>
          <w:rStyle w:val="optioncarChar"/>
        </w:rPr>
        <w:t>/ 6 / 7 / ***</w:t>
      </w:r>
      <w:r>
        <w:t xml:space="preserve"> cm au-dessus des entrevous.</w:t>
      </w:r>
    </w:p>
    <w:p w14:paraId="594D0952" w14:textId="77777777" w:rsidR="00DF410E" w:rsidRDefault="00CE7F43">
      <w:pPr>
        <w:pStyle w:val="Author-eListParagraph"/>
        <w:numPr>
          <w:ilvl w:val="0"/>
          <w:numId w:val="701"/>
        </w:numPr>
      </w:pPr>
      <w:r>
        <w:t xml:space="preserve">La qualité du béton selon la [NBN EN 206:2013+A2] et [NBN B 15-001] est fonction de l'épaisseur de la couche de compression (voir également </w:t>
      </w:r>
      <w:hyperlink w:anchor="87" w:history="1">
        <w:r>
          <w:t>22 Superstructures en béton</w:t>
        </w:r>
      </w:hyperlink>
      <w:r>
        <w:t>).</w:t>
      </w:r>
    </w:p>
    <w:tbl>
      <w:tblPr>
        <w:tblStyle w:val="Author-eTableGrid"/>
        <w:tblW w:w="9060" w:type="dxa"/>
        <w:tblLayout w:type="fixed"/>
        <w:tblLook w:val="04A0" w:firstRow="1" w:lastRow="0" w:firstColumn="1" w:lastColumn="0" w:noHBand="0" w:noVBand="1"/>
      </w:tblPr>
      <w:tblGrid>
        <w:gridCol w:w="1108"/>
        <w:gridCol w:w="1396"/>
        <w:gridCol w:w="1745"/>
        <w:gridCol w:w="1457"/>
        <w:gridCol w:w="1563"/>
        <w:gridCol w:w="1791"/>
      </w:tblGrid>
      <w:tr w:rsidR="00DF410E" w14:paraId="5C228920" w14:textId="77777777">
        <w:tc>
          <w:tcPr>
            <w:tcW w:w="1095" w:type="dxa"/>
            <w:noWrap/>
          </w:tcPr>
          <w:p w14:paraId="7B6B7AC2" w14:textId="77777777" w:rsidR="00DF410E" w:rsidRDefault="00CE7F43">
            <w:pPr>
              <w:jc w:val="center"/>
            </w:pPr>
            <w:r>
              <w:rPr>
                <w:b/>
              </w:rPr>
              <w:t>A</w:t>
            </w:r>
          </w:p>
        </w:tc>
        <w:tc>
          <w:tcPr>
            <w:tcW w:w="1380" w:type="dxa"/>
            <w:noWrap/>
          </w:tcPr>
          <w:p w14:paraId="65515ADC" w14:textId="77777777" w:rsidR="00DF410E" w:rsidRDefault="00CE7F43">
            <w:pPr>
              <w:jc w:val="center"/>
            </w:pPr>
            <w:r>
              <w:rPr>
                <w:b/>
              </w:rPr>
              <w:t>B1</w:t>
            </w:r>
          </w:p>
        </w:tc>
        <w:tc>
          <w:tcPr>
            <w:tcW w:w="1725" w:type="dxa"/>
            <w:noWrap/>
          </w:tcPr>
          <w:p w14:paraId="7D17A9D2" w14:textId="77777777" w:rsidR="00DF410E" w:rsidRDefault="00CE7F43">
            <w:pPr>
              <w:jc w:val="center"/>
            </w:pPr>
            <w:r>
              <w:rPr>
                <w:b/>
              </w:rPr>
              <w:t>B2</w:t>
            </w:r>
          </w:p>
        </w:tc>
        <w:tc>
          <w:tcPr>
            <w:tcW w:w="1440" w:type="dxa"/>
            <w:noWrap/>
          </w:tcPr>
          <w:p w14:paraId="0FDADFD1" w14:textId="77777777" w:rsidR="00DF410E" w:rsidRDefault="00CE7F43">
            <w:pPr>
              <w:jc w:val="center"/>
            </w:pPr>
            <w:r>
              <w:rPr>
                <w:b/>
              </w:rPr>
              <w:t>C</w:t>
            </w:r>
          </w:p>
        </w:tc>
        <w:tc>
          <w:tcPr>
            <w:tcW w:w="1545" w:type="dxa"/>
            <w:noWrap/>
          </w:tcPr>
          <w:p w14:paraId="5AC91896" w14:textId="77777777" w:rsidR="00DF410E" w:rsidRDefault="00CE7F43">
            <w:pPr>
              <w:jc w:val="center"/>
            </w:pPr>
            <w:r>
              <w:rPr>
                <w:b/>
              </w:rPr>
              <w:t>D</w:t>
            </w:r>
          </w:p>
        </w:tc>
        <w:tc>
          <w:tcPr>
            <w:tcW w:w="1770" w:type="dxa"/>
            <w:noWrap/>
          </w:tcPr>
          <w:p w14:paraId="6FC10D27" w14:textId="77777777" w:rsidR="00DF410E" w:rsidRDefault="00CE7F43">
            <w:pPr>
              <w:jc w:val="center"/>
            </w:pPr>
            <w:r>
              <w:rPr>
                <w:b/>
              </w:rPr>
              <w:t>E</w:t>
            </w:r>
          </w:p>
        </w:tc>
      </w:tr>
      <w:tr w:rsidR="00DF410E" w14:paraId="1107B199" w14:textId="77777777">
        <w:tc>
          <w:tcPr>
            <w:tcW w:w="1095" w:type="dxa"/>
            <w:noWrap/>
          </w:tcPr>
          <w:p w14:paraId="33F3897C" w14:textId="77777777" w:rsidR="00DF410E" w:rsidRDefault="00CE7F43">
            <w:pPr>
              <w:jc w:val="center"/>
            </w:pPr>
            <w:r>
              <w:rPr>
                <w:b/>
              </w:rPr>
              <w:t>Classe de résistance</w:t>
            </w:r>
          </w:p>
        </w:tc>
        <w:tc>
          <w:tcPr>
            <w:tcW w:w="1380" w:type="dxa"/>
            <w:noWrap/>
          </w:tcPr>
          <w:p w14:paraId="20EE335D" w14:textId="77777777" w:rsidR="00DF410E" w:rsidRDefault="00CE7F43">
            <w:pPr>
              <w:jc w:val="center"/>
            </w:pPr>
            <w:r>
              <w:rPr>
                <w:b/>
              </w:rPr>
              <w:t>Domaine d’application</w:t>
            </w:r>
          </w:p>
        </w:tc>
        <w:tc>
          <w:tcPr>
            <w:tcW w:w="1725" w:type="dxa"/>
            <w:noWrap/>
          </w:tcPr>
          <w:p w14:paraId="6D353E0A" w14:textId="77777777" w:rsidR="00DF410E" w:rsidRDefault="00CE7F43">
            <w:pPr>
              <w:jc w:val="center"/>
            </w:pPr>
            <w:r>
              <w:rPr>
                <w:b/>
              </w:rPr>
              <w:t>Classe d'environnement</w:t>
            </w:r>
          </w:p>
        </w:tc>
        <w:tc>
          <w:tcPr>
            <w:tcW w:w="1440" w:type="dxa"/>
            <w:noWrap/>
          </w:tcPr>
          <w:p w14:paraId="2E99FBDF" w14:textId="77777777" w:rsidR="00DF410E" w:rsidRDefault="00CE7F43">
            <w:pPr>
              <w:jc w:val="center"/>
            </w:pPr>
            <w:r>
              <w:rPr>
                <w:b/>
              </w:rPr>
              <w:t>Classe de consistance</w:t>
            </w:r>
          </w:p>
        </w:tc>
        <w:tc>
          <w:tcPr>
            <w:tcW w:w="1545" w:type="dxa"/>
            <w:noWrap/>
          </w:tcPr>
          <w:p w14:paraId="646065C3" w14:textId="77777777" w:rsidR="00DF410E" w:rsidRDefault="00CE7F43">
            <w:pPr>
              <w:jc w:val="center"/>
            </w:pPr>
            <w:r>
              <w:rPr>
                <w:b/>
              </w:rPr>
              <w:t>Granulométrie maximale</w:t>
            </w:r>
          </w:p>
        </w:tc>
        <w:tc>
          <w:tcPr>
            <w:tcW w:w="1770" w:type="dxa"/>
            <w:noWrap/>
          </w:tcPr>
          <w:p w14:paraId="612CDC2E" w14:textId="77777777" w:rsidR="00DF410E" w:rsidRDefault="00CE7F43">
            <w:pPr>
              <w:jc w:val="center"/>
            </w:pPr>
            <w:r>
              <w:rPr>
                <w:b/>
              </w:rPr>
              <w:t>Données complémentaires</w:t>
            </w:r>
          </w:p>
        </w:tc>
      </w:tr>
      <w:tr w:rsidR="00DF410E" w14:paraId="5E2D8609" w14:textId="77777777">
        <w:tc>
          <w:tcPr>
            <w:tcW w:w="1095" w:type="dxa"/>
            <w:noWrap/>
          </w:tcPr>
          <w:p w14:paraId="6F34E8BC" w14:textId="77777777" w:rsidR="00DF410E" w:rsidRDefault="00CE7F43">
            <w:pPr>
              <w:jc w:val="center"/>
            </w:pPr>
            <w:r>
              <w:rPr>
                <w:rStyle w:val="optioncarChar"/>
              </w:rPr>
              <w:t>C25/30 / C30/37 / C35/45 / C45/55 / C50/60 / C55/67 / C60/75 / C70/85 / C80/95 / C90/105</w:t>
            </w:r>
          </w:p>
        </w:tc>
        <w:tc>
          <w:tcPr>
            <w:tcW w:w="1380" w:type="dxa"/>
            <w:noWrap/>
          </w:tcPr>
          <w:p w14:paraId="5BD1704D" w14:textId="77777777" w:rsidR="00DF410E" w:rsidRDefault="00CE7F43">
            <w:pPr>
              <w:jc w:val="center"/>
            </w:pPr>
            <w:r>
              <w:br/>
              <w:t>Béton armé</w:t>
            </w:r>
          </w:p>
        </w:tc>
        <w:tc>
          <w:tcPr>
            <w:tcW w:w="1725" w:type="dxa"/>
            <w:noWrap/>
          </w:tcPr>
          <w:p w14:paraId="0CCE2B7E" w14:textId="77777777" w:rsidR="00DF410E" w:rsidRDefault="00DF410E"/>
          <w:p w14:paraId="5C673B5E" w14:textId="77777777" w:rsidR="00DF410E" w:rsidRDefault="00CE7F43">
            <w:pPr>
              <w:jc w:val="center"/>
            </w:pPr>
            <w:r>
              <w:rPr>
                <w:rStyle w:val="optioncarChar"/>
              </w:rPr>
              <w:t>E0 / EI / EE1 / EE2 / EE3 / EE4 / ES1 / ES2 / ES3 / ES4 / EA1+*** / EA2+***/ EA3+***</w:t>
            </w:r>
          </w:p>
        </w:tc>
        <w:tc>
          <w:tcPr>
            <w:tcW w:w="1440" w:type="dxa"/>
            <w:noWrap/>
          </w:tcPr>
          <w:p w14:paraId="7F5D60A2" w14:textId="77777777" w:rsidR="00DF410E" w:rsidRDefault="00DF410E"/>
          <w:p w14:paraId="3C511EBD" w14:textId="77777777" w:rsidR="00DF410E" w:rsidRDefault="00CE7F43">
            <w:pPr>
              <w:jc w:val="center"/>
            </w:pPr>
            <w:r>
              <w:t>au choix de l'entrepreneur :</w:t>
            </w:r>
          </w:p>
          <w:p w14:paraId="0F15041E" w14:textId="77777777" w:rsidR="00DF410E" w:rsidRDefault="00DF410E"/>
          <w:p w14:paraId="344BA301" w14:textId="77777777" w:rsidR="00DF410E" w:rsidRDefault="00CE7F43">
            <w:pPr>
              <w:jc w:val="center"/>
            </w:pPr>
            <w:r>
              <w:rPr>
                <w:rStyle w:val="optioncarChar"/>
              </w:rPr>
              <w:t>S3 / S4 / S5</w:t>
            </w:r>
          </w:p>
          <w:p w14:paraId="54B9285E" w14:textId="77777777" w:rsidR="00DF410E" w:rsidRDefault="00CE7F43">
            <w:pPr>
              <w:jc w:val="center"/>
            </w:pPr>
            <w:r>
              <w:br/>
            </w:r>
            <w:r>
              <w:rPr>
                <w:rStyle w:val="optioncarChar"/>
              </w:rPr>
              <w:t>F3 / F4 / F5 / F6</w:t>
            </w:r>
          </w:p>
        </w:tc>
        <w:tc>
          <w:tcPr>
            <w:tcW w:w="1545" w:type="dxa"/>
            <w:noWrap/>
          </w:tcPr>
          <w:p w14:paraId="5E4E712B" w14:textId="77777777" w:rsidR="00DF410E" w:rsidRDefault="00DF410E"/>
          <w:p w14:paraId="0258625B" w14:textId="77777777" w:rsidR="00DF410E" w:rsidRDefault="00CE7F43">
            <w:pPr>
              <w:jc w:val="center"/>
            </w:pPr>
            <w:r>
              <w:t>au choix de l'entrepreneur :</w:t>
            </w:r>
          </w:p>
          <w:p w14:paraId="13C1E779" w14:textId="77777777" w:rsidR="00DF410E" w:rsidRDefault="00DF410E"/>
          <w:p w14:paraId="10D9B918" w14:textId="77777777" w:rsidR="00DF410E" w:rsidRDefault="00CE7F43">
            <w:pPr>
              <w:jc w:val="center"/>
            </w:pPr>
            <w:r>
              <w:rPr>
                <w:rStyle w:val="optioncarChar"/>
              </w:rPr>
              <w:t>6 / 8 / 10 / 11 / 12 / 14 / 16 / 20 / 22 / 32</w:t>
            </w:r>
            <w:r>
              <w:t xml:space="preserve"> mm</w:t>
            </w:r>
          </w:p>
        </w:tc>
        <w:tc>
          <w:tcPr>
            <w:tcW w:w="1770" w:type="dxa"/>
            <w:noWrap/>
          </w:tcPr>
          <w:p w14:paraId="0B9E97AD" w14:textId="77777777" w:rsidR="00DF410E" w:rsidRDefault="00CE7F43">
            <w:pPr>
              <w:jc w:val="center"/>
            </w:pPr>
            <w:r>
              <w:br/>
            </w:r>
            <w:r>
              <w:rPr>
                <w:rStyle w:val="optioncarChar"/>
              </w:rPr>
              <w:t>***</w:t>
            </w:r>
          </w:p>
        </w:tc>
      </w:tr>
    </w:tbl>
    <w:p w14:paraId="137BFE55" w14:textId="77777777" w:rsidR="00DF410E" w:rsidRDefault="00DF410E"/>
    <w:p w14:paraId="16D8CE69" w14:textId="77777777" w:rsidR="00DF410E" w:rsidRDefault="00DF410E">
      <w:pPr>
        <w:jc w:val="both"/>
      </w:pPr>
    </w:p>
    <w:p w14:paraId="16734938" w14:textId="77777777" w:rsidR="00DF410E" w:rsidRDefault="00CE7F43">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p>
    <w:p w14:paraId="5FCCB039" w14:textId="77777777" w:rsidR="00DF410E" w:rsidRDefault="00CE7F43">
      <w:pPr>
        <w:jc w:val="both"/>
      </w:pPr>
      <w:r>
        <w:t>Données complémentaires propres au béton autoplaçant (E) :</w:t>
      </w:r>
    </w:p>
    <w:p w14:paraId="4A917477" w14:textId="77777777" w:rsidR="00DF410E" w:rsidRDefault="00CE7F43">
      <w:pPr>
        <w:pStyle w:val="Author-eListParagraph"/>
        <w:numPr>
          <w:ilvl w:val="0"/>
          <w:numId w:val="702"/>
        </w:numPr>
      </w:pPr>
      <w:r>
        <w:t xml:space="preserve">Classe de viscosité apparente : </w:t>
      </w:r>
      <w:r>
        <w:rPr>
          <w:rStyle w:val="optioncarChar"/>
        </w:rPr>
        <w:t>VS1 / VS2</w:t>
      </w:r>
      <w:r>
        <w:t xml:space="preserve"> (selon la [NBN EN 12350-8])</w:t>
      </w:r>
    </w:p>
    <w:p w14:paraId="492DD970" w14:textId="77777777" w:rsidR="00DF410E" w:rsidRDefault="00CE7F43">
      <w:pPr>
        <w:pStyle w:val="Author-eListParagraph"/>
        <w:numPr>
          <w:ilvl w:val="0"/>
          <w:numId w:val="702"/>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14:paraId="7EFB8037" w14:textId="77777777" w:rsidR="00DF410E" w:rsidRDefault="00CE7F43">
      <w:pPr>
        <w:pStyle w:val="Author-eListParagraph"/>
        <w:numPr>
          <w:ilvl w:val="0"/>
          <w:numId w:val="702"/>
        </w:numPr>
      </w:pPr>
      <w:r>
        <w:t xml:space="preserve">Classe de résistance à la ségrégation : </w:t>
      </w:r>
      <w:r>
        <w:rPr>
          <w:rStyle w:val="optioncarChar"/>
        </w:rPr>
        <w:t>SR1 / SR2</w:t>
      </w:r>
      <w:r>
        <w:t xml:space="preserve"> (selon la [NBN EN 12350-11])</w:t>
      </w:r>
    </w:p>
    <w:p w14:paraId="1172B8B7" w14:textId="77777777" w:rsidR="00DF410E" w:rsidRDefault="00CE7F43">
      <w:pPr>
        <w:jc w:val="both"/>
      </w:pPr>
      <w:r>
        <w:t xml:space="preserve">Les armatures de la couche de compression se composent au moins d'un treillis soudé, nuance d'acier </w:t>
      </w:r>
      <w:r>
        <w:rPr>
          <w:rStyle w:val="optioncarChar"/>
        </w:rPr>
        <w:t xml:space="preserve">DE 500 S </w:t>
      </w:r>
      <w:r>
        <w:t xml:space="preserve">(par défaut) </w:t>
      </w:r>
      <w:r>
        <w:rPr>
          <w:rStyle w:val="optioncarChar"/>
        </w:rPr>
        <w:t>/ BE 500 S</w:t>
      </w:r>
      <w:r>
        <w:t xml:space="preserve">, dimensions </w:t>
      </w:r>
      <w:r>
        <w:rPr>
          <w:rStyle w:val="optioncarChar"/>
        </w:rPr>
        <w:t>150 x 150 x 6 x 6</w:t>
      </w:r>
      <w:r>
        <w:t xml:space="preserve"> (par défaut)</w:t>
      </w:r>
      <w:r>
        <w:rPr>
          <w:rStyle w:val="optioncarChar"/>
        </w:rPr>
        <w:t> / ***x***x***x***</w:t>
      </w:r>
      <w:r>
        <w:t xml:space="preserve"> mm Les armatures complémentaires sont des barres d'acier de qualité BE 500 S.</w:t>
      </w:r>
    </w:p>
    <w:p w14:paraId="79250C55" w14:textId="77777777" w:rsidR="00DF410E" w:rsidRDefault="00CE7F43">
      <w:pPr>
        <w:pStyle w:val="pheading"/>
      </w:pPr>
      <w:r>
        <w:t>- Prescriptions complémentaires</w:t>
      </w:r>
    </w:p>
    <w:p w14:paraId="1D572080" w14:textId="77777777" w:rsidR="00DF410E" w:rsidRDefault="00CE7F43">
      <w:pPr>
        <w:jc w:val="both"/>
      </w:pPr>
      <w:r>
        <w:rPr>
          <w:rStyle w:val="facultChar"/>
        </w:rPr>
        <w:t xml:space="preserve">Résistance au feu : pour les éléments porteurs et structuraux sans fonction séparant </w:t>
      </w:r>
      <w:r>
        <w:rPr>
          <w:rStyle w:val="optioncarChar"/>
        </w:rPr>
        <w:t xml:space="preserve">R15 / R30 / R60 </w:t>
      </w:r>
      <w:r>
        <w:t>(par défaut)</w:t>
      </w:r>
      <w:r>
        <w:rPr>
          <w:rStyle w:val="optioncarChar"/>
        </w:rPr>
        <w:t xml:space="preserve"> / R120 / R ***</w:t>
      </w:r>
      <w:r>
        <w:rPr>
          <w:rStyle w:val="facultChar"/>
        </w:rPr>
        <w:t xml:space="preserve"> et pour les éléments porteurs et structuraux avec fonction séparant</w:t>
      </w:r>
      <w:r>
        <w:rPr>
          <w:rStyle w:val="optioncarChar"/>
        </w:rPr>
        <w:t xml:space="preserve"> REI 30 / REI 60 </w:t>
      </w:r>
      <w:r>
        <w:t>(par défaut)</w:t>
      </w:r>
      <w:r>
        <w:rPr>
          <w:rStyle w:val="optioncarChar"/>
        </w:rPr>
        <w:t xml:space="preserve"> / REI 120 / ***</w:t>
      </w:r>
      <w:r>
        <w:t> </w:t>
      </w:r>
      <w:r>
        <w:rPr>
          <w:rStyle w:val="facultChar"/>
        </w:rP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32869FA6" w14:textId="77777777" w:rsidR="00DF410E" w:rsidRDefault="00CE7F43">
      <w:pPr>
        <w:jc w:val="both"/>
      </w:pPr>
      <w:r>
        <w:rPr>
          <w:rStyle w:val="facultChar"/>
        </w:rPr>
        <w:t xml:space="preserve">Réaction au feu des entrevous EBM </w:t>
      </w:r>
      <w:r>
        <w:rPr>
          <w:rStyle w:val="optioncarChar"/>
        </w:rPr>
        <w:t>D : entrevous en bois moulé + béton </w:t>
      </w:r>
      <w:r>
        <w:t>(par défaut)</w:t>
      </w:r>
      <w:r>
        <w:rPr>
          <w:rStyle w:val="optioncarChar"/>
        </w:rPr>
        <w:t xml:space="preserve"> / E : entrevous en bois moulé + polystyrène expansé (EPS) de qualité autoextinguible SE (40 à 120 mm) + béton</w:t>
      </w:r>
      <w:r>
        <w:rPr>
          <w:rStyle w:val="facultChar"/>
        </w:rPr>
        <w:t>.</w:t>
      </w:r>
    </w:p>
    <w:p w14:paraId="71A77247" w14:textId="77777777" w:rsidR="00DF410E" w:rsidRDefault="00CE7F43">
      <w:pPr>
        <w:pStyle w:val="pheading"/>
      </w:pPr>
      <w:r>
        <w:t>EXÉCUTION / MISE EN ŒUVRE</w:t>
      </w:r>
    </w:p>
    <w:p w14:paraId="3FD7F8DE" w14:textId="77777777" w:rsidR="00DF410E" w:rsidRDefault="00CE7F43">
      <w:pPr>
        <w:pStyle w:val="pheading"/>
      </w:pPr>
      <w:r>
        <w:t>- Prescriptions générales</w:t>
      </w:r>
    </w:p>
    <w:p w14:paraId="5B7325DA" w14:textId="77777777" w:rsidR="00DF410E" w:rsidRDefault="00CE7F43">
      <w:pPr>
        <w:jc w:val="both"/>
      </w:pPr>
      <w:r>
        <w:t xml:space="preserve">L'étude de stabilité est réalisée conformément à la section </w:t>
      </w:r>
      <w:hyperlink w:anchor="87" w:history="1">
        <w: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14:paraId="6B8007CA" w14:textId="77777777" w:rsidR="00DF410E" w:rsidRDefault="00CE7F43">
      <w:pPr>
        <w:jc w:val="both"/>
      </w:pPr>
      <w:r>
        <w:t xml:space="preserve">Le plancher doit être calculé pour une charge d’exploitation particulière de </w:t>
      </w:r>
      <w:r>
        <w:rPr>
          <w:rStyle w:val="optioncarChar"/>
        </w:rPr>
        <w:t xml:space="preserve">3 </w:t>
      </w:r>
      <w:r>
        <w:t xml:space="preserve">(par défaut) </w:t>
      </w:r>
      <w:r>
        <w:rPr>
          <w:rStyle w:val="optioncarChar"/>
        </w:rPr>
        <w:t>/ 4 / 5 / ***</w:t>
      </w:r>
      <w:r>
        <w:t> kN/m².</w:t>
      </w:r>
    </w:p>
    <w:p w14:paraId="29B7CA4B" w14:textId="77777777" w:rsidR="00DF410E" w:rsidRDefault="00CE7F43">
      <w:pPr>
        <w:pStyle w:val="Author-eListParagraph"/>
        <w:numPr>
          <w:ilvl w:val="0"/>
          <w:numId w:val="703"/>
        </w:numPr>
      </w:pPr>
      <w:r>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14:paraId="0AD8671B" w14:textId="77777777" w:rsidR="00DF410E" w:rsidRDefault="00CE7F43">
      <w:pPr>
        <w:pStyle w:val="Author-eListParagraph"/>
        <w:numPr>
          <w:ilvl w:val="0"/>
          <w:numId w:val="703"/>
        </w:numPr>
      </w:pPr>
      <w:r>
        <w:t>la face supérieure du plancher doit correspondre aux cotes de niveau et à l'épaisseur indiquées sur les plans d'architecture.</w:t>
      </w:r>
    </w:p>
    <w:p w14:paraId="2AF831B4" w14:textId="77777777" w:rsidR="00DF410E" w:rsidRDefault="00CE7F43">
      <w:pPr>
        <w:pStyle w:val="Author-eListParagraph"/>
        <w:numPr>
          <w:ilvl w:val="0"/>
          <w:numId w:val="703"/>
        </w:numPr>
      </w:pPr>
      <w:r>
        <w:t xml:space="preserve">l'écartement d'axe en axe entre les poutrelles est de maximum </w:t>
      </w:r>
      <w:r>
        <w:rPr>
          <w:rStyle w:val="optioncarChar"/>
        </w:rPr>
        <w:t> 30 / 60 / ***</w:t>
      </w:r>
      <w:r>
        <w:t xml:space="preserve"> (par défaut) cm.</w:t>
      </w:r>
      <w:r>
        <w:br/>
      </w:r>
    </w:p>
    <w:p w14:paraId="0E979764" w14:textId="77777777" w:rsidR="00DF410E" w:rsidRDefault="00CE7F43">
      <w:pPr>
        <w:jc w:val="both"/>
      </w:pPr>
      <w:r>
        <w:t>Chaque livraison de poutrelles est accompagnée d’un plan de pose et d’un cartouche donnant les détails importants pour la réalisation du plancher (volume béton, type de treillis soudé, de chapeaux, de renforts, etc.) ainsi que les hypothèses prises en compte pour le calcul (type de revêtement, charges, etc.). Le plan de pose indique les désignations des poutrelles et leur position.</w:t>
      </w:r>
    </w:p>
    <w:p w14:paraId="6897985D" w14:textId="77777777" w:rsidR="00DF410E" w:rsidRDefault="00CE7F43">
      <w:pPr>
        <w:jc w:val="both"/>
      </w:pPr>
      <w:r>
        <w:t>Le plan de pose indique la disposition retenue des étais pour chaque travée.</w:t>
      </w:r>
    </w:p>
    <w:p w14:paraId="1ABD1B1A" w14:textId="77777777" w:rsidR="00DF410E" w:rsidRDefault="00CE7F43">
      <w:pPr>
        <w:jc w:val="both"/>
      </w:pPr>
      <w:r>
        <w:t>Après la pose des entrevous, il est procédé à la mise en place des ferraillages complémentaires : treillis soudé de la dalle, chainage et équerres, armature en chapeaux, renforts… Le bétonnage des nervures, de la dalle de compression et des chainages s’effectue en une seule opération. L’épaisseur minimale de la dalle de répartition rapportée est de 5cm au-dessus des entrevous</w:t>
      </w:r>
    </w:p>
    <w:p w14:paraId="63C57CD3" w14:textId="77777777" w:rsidR="00DF410E" w:rsidRDefault="00CE7F43">
      <w:pPr>
        <w:jc w:val="both"/>
      </w:pPr>
      <w:r>
        <w:t>La profondeur de pénétration des entrevous sur le mur est supérieure ou égale à 15 mm. Les entrevous sont mis en contact de manière à assurer une bonne étanchéité au coulage.</w:t>
      </w:r>
    </w:p>
    <w:p w14:paraId="2A529653" w14:textId="77777777" w:rsidR="00DF410E" w:rsidRDefault="00CE7F43">
      <w:pPr>
        <w:jc w:val="both"/>
      </w:pPr>
      <w:r>
        <w:t xml:space="preserve">Pose de </w:t>
      </w:r>
      <w:r>
        <w:rPr>
          <w:rStyle w:val="optioncarChar"/>
        </w:rPr>
        <w:t>5 / 6 / 7</w:t>
      </w:r>
      <w:r>
        <w:t xml:space="preserve"> (par défaut)</w:t>
      </w:r>
      <w:r>
        <w:rPr>
          <w:rStyle w:val="optioncarChar"/>
        </w:rPr>
        <w:t xml:space="preserve"> / ***</w:t>
      </w:r>
      <w:r>
        <w:t xml:space="preserve"> cm minimum de la tôle d’embase des poutrelles sur le mur.</w:t>
      </w:r>
    </w:p>
    <w:p w14:paraId="3D5DC8AB" w14:textId="77777777" w:rsidR="00DF410E" w:rsidRDefault="00CE7F43">
      <w:pPr>
        <w:pStyle w:val="pheading"/>
      </w:pPr>
      <w:r>
        <w:t>- Notes d’exécution complémentaires</w:t>
      </w:r>
    </w:p>
    <w:p w14:paraId="51E80BC8" w14:textId="77777777" w:rsidR="00DF410E" w:rsidRDefault="00CE7F43">
      <w:pPr>
        <w:jc w:val="both"/>
      </w:pPr>
      <w:r>
        <w:rPr>
          <w:rStyle w:val="facultChar"/>
        </w:rPr>
        <w:t xml:space="preserve">Placement d’une membrane de désolidarisation acoustique en périphérie du plancher : </w:t>
      </w:r>
      <w:r>
        <w:rPr>
          <w:rStyle w:val="optioncarChar"/>
        </w:rPr>
        <w:t>en position supérieure / en position inférieure / sans</w:t>
      </w:r>
    </w:p>
    <w:p w14:paraId="4E18D252" w14:textId="77777777" w:rsidR="00DF410E" w:rsidRDefault="00CE7F43">
      <w:pPr>
        <w:jc w:val="both"/>
      </w:pPr>
      <w:r>
        <w:rPr>
          <w:rStyle w:val="facultChar"/>
        </w:rPr>
        <w:t>Si les poutrelles restent apparentes, les semelles en acier doivent rester propres exemptes de coups, déformations, griffes apparentes à hauteur d’homme.</w:t>
      </w:r>
    </w:p>
    <w:p w14:paraId="29496563" w14:textId="77777777" w:rsidR="00DF410E" w:rsidRDefault="00CE7F43">
      <w:pPr>
        <w:jc w:val="both"/>
      </w:pPr>
      <w:r>
        <w:rPr>
          <w:rStyle w:val="facultChar"/>
        </w:rPr>
        <w:t>Remarque : le plafond peut bénéficier d’une finition en plâtre projeté en interposant entre la sous face du plancher et le plâtre un treillis métallique fixé au talon des poutrelles.</w:t>
      </w:r>
    </w:p>
    <w:p w14:paraId="7FC35962" w14:textId="77777777" w:rsidR="00DF410E" w:rsidRDefault="00CE7F43">
      <w:pPr>
        <w:pStyle w:val="pheading"/>
      </w:pPr>
      <w:r>
        <w:t>- Échantillons</w:t>
      </w:r>
    </w:p>
    <w:p w14:paraId="0448FD51" w14:textId="77777777" w:rsidR="00DF410E" w:rsidRDefault="00CE7F43">
      <w:pPr>
        <w:jc w:val="both"/>
      </w:pPr>
      <w:r>
        <w:t xml:space="preserve">Si les entrevous en copeaux de bois restent apparents, un exemplaire d’entrevous est présenté pour accord </w:t>
      </w:r>
      <w:r>
        <w:rPr>
          <w:rStyle w:val="optioncarChar"/>
        </w:rPr>
        <w:t>à l’architecte / au maître de l’ouvrage</w:t>
      </w:r>
      <w:r>
        <w:t>.</w:t>
      </w:r>
    </w:p>
    <w:p w14:paraId="7F2AB183" w14:textId="77777777" w:rsidR="00DF410E" w:rsidRDefault="00CE7F43">
      <w:pPr>
        <w:pStyle w:val="pheading"/>
      </w:pPr>
      <w:r>
        <w:t>DOCUMENTS DE RÉFÉRENCE COMPLÉMENTAIRES</w:t>
      </w:r>
    </w:p>
    <w:p w14:paraId="23E8EB6C" w14:textId="77777777" w:rsidR="00DF410E" w:rsidRDefault="00CE7F43">
      <w:pPr>
        <w:pStyle w:val="pheading"/>
      </w:pPr>
      <w:r>
        <w:t>- Matériau</w:t>
      </w:r>
    </w:p>
    <w:p w14:paraId="399C5963" w14:textId="77777777" w:rsidR="00DF410E" w:rsidRDefault="00CE7F43">
      <w:r>
        <w:t>[NBN EN 206:2013+A2, Béton - Spécification, performances, production et conformité] </w:t>
      </w:r>
    </w:p>
    <w:p w14:paraId="3E1E0BEC" w14:textId="77777777" w:rsidR="00DF410E" w:rsidRDefault="00CE7F43">
      <w:r>
        <w:t>[NBN B 15-001, Béton - Spécification, performances, production et conformité - Complément national à la NBN EN 206:2013+A2:2021]</w:t>
      </w:r>
    </w:p>
    <w:p w14:paraId="21BC3839" w14:textId="77777777" w:rsidR="00DF410E" w:rsidRDefault="00CE7F43">
      <w:r>
        <w:t>[NBN EN 12350-10, Essai pour béton frais - Partie 10: Béton autoplaçant - Essai à la boîte en L]</w:t>
      </w:r>
    </w:p>
    <w:p w14:paraId="4CC5B43B" w14:textId="77777777" w:rsidR="00DF410E" w:rsidRDefault="00CE7F43">
      <w:r>
        <w:t>[NBN EN 12350-12, Essai pour béton frais - Partie 12 : Béton autoplaçant - Essai d'écoulement à l'anneau]</w:t>
      </w:r>
    </w:p>
    <w:p w14:paraId="57A006E3" w14:textId="77777777" w:rsidR="00DF410E" w:rsidRDefault="00CE7F43">
      <w:r>
        <w:t>[NBN EN 12350-11, Essai pour béton frais - Partie 11: Béton autoplaçant - Essai de stabilité au tamis]</w:t>
      </w:r>
    </w:p>
    <w:p w14:paraId="313508EF"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5AA483D3" w14:textId="77777777" w:rsidR="00DF410E" w:rsidRDefault="00CE7F43">
      <w:pPr>
        <w:pStyle w:val="pheading"/>
      </w:pPr>
      <w:r>
        <w:t>MESURAGE</w:t>
      </w:r>
    </w:p>
    <w:p w14:paraId="74622F09" w14:textId="77777777" w:rsidR="00DF410E" w:rsidRDefault="00CE7F43">
      <w:pPr>
        <w:pStyle w:val="pheading"/>
      </w:pPr>
      <w:r>
        <w:t>- unité de mesure:</w:t>
      </w:r>
    </w:p>
    <w:p w14:paraId="75B34FFF" w14:textId="77777777" w:rsidR="00DF410E" w:rsidRDefault="00CE7F43">
      <w:r>
        <w:rPr>
          <w:rStyle w:val="optioncarChar"/>
        </w:rPr>
        <w:t>m² </w:t>
      </w:r>
      <w:r>
        <w:t>(par défaut)</w:t>
      </w:r>
      <w:r>
        <w:rPr>
          <w:rStyle w:val="optioncarChar"/>
        </w:rPr>
        <w:t xml:space="preserve"> / selon bordereau / selon bordereau avec décompte final / m³ ; kg / m³ ; m³ ; kg ; à la pièce</w:t>
      </w:r>
    </w:p>
    <w:p w14:paraId="7B10E0D8" w14:textId="77777777" w:rsidR="00DF410E" w:rsidRDefault="00CE7F43">
      <w:r>
        <w:rPr>
          <w:b/>
          <w:i/>
        </w:rPr>
        <w:t>(Soit par défaut)</w:t>
      </w:r>
    </w:p>
    <w:p w14:paraId="518EBE5F" w14:textId="77777777" w:rsidR="00DF410E" w:rsidRDefault="00CE7F43">
      <w:r>
        <w:rPr>
          <w:rStyle w:val="soitChar"/>
        </w:rPr>
        <w:t>1. m²</w:t>
      </w:r>
    </w:p>
    <w:p w14:paraId="6C2A1EBF" w14:textId="77777777" w:rsidR="00DF410E" w:rsidRDefault="00CE7F43">
      <w:r>
        <w:rPr>
          <w:b/>
          <w:i/>
        </w:rPr>
        <w:t>(Soit)</w:t>
      </w:r>
    </w:p>
    <w:p w14:paraId="26EA763B" w14:textId="77777777" w:rsidR="00DF410E" w:rsidRDefault="00CE7F43">
      <w:r>
        <w:rPr>
          <w:rStyle w:val="soitChar"/>
        </w:rPr>
        <w:t>2. Selon bordereau</w:t>
      </w:r>
    </w:p>
    <w:p w14:paraId="0BC67E31" w14:textId="77777777" w:rsidR="00DF410E" w:rsidRDefault="00CE7F43">
      <w:r>
        <w:rPr>
          <w:b/>
          <w:i/>
        </w:rPr>
        <w:t>(Soit)</w:t>
      </w:r>
    </w:p>
    <w:p w14:paraId="58E3DF96" w14:textId="77777777" w:rsidR="00DF410E" w:rsidRDefault="00CE7F43">
      <w:r>
        <w:rPr>
          <w:rStyle w:val="soitChar"/>
        </w:rPr>
        <w:t>3. Selon bordereau avec décompte final</w:t>
      </w:r>
    </w:p>
    <w:p w14:paraId="390569C4" w14:textId="77777777" w:rsidR="00DF410E" w:rsidRDefault="00CE7F43">
      <w:r>
        <w:rPr>
          <w:b/>
          <w:i/>
        </w:rPr>
        <w:t>(Soit)</w:t>
      </w:r>
    </w:p>
    <w:p w14:paraId="1FB749BD" w14:textId="77777777" w:rsidR="00DF410E" w:rsidRDefault="00CE7F43">
      <w:r>
        <w:rPr>
          <w:rStyle w:val="soitChar"/>
        </w:rPr>
        <w:t>4. m³ ; kg</w:t>
      </w:r>
    </w:p>
    <w:p w14:paraId="5594A0B7" w14:textId="77777777" w:rsidR="00DF410E" w:rsidRDefault="00CE7F43">
      <w:r>
        <w:rPr>
          <w:b/>
          <w:i/>
        </w:rPr>
        <w:t>(Soit)</w:t>
      </w:r>
    </w:p>
    <w:p w14:paraId="41E66A24" w14:textId="77777777" w:rsidR="00DF410E" w:rsidRDefault="00CE7F43">
      <w:r>
        <w:rPr>
          <w:rStyle w:val="soitChar"/>
        </w:rPr>
        <w:t>5. m³ ; m³ ; kg ; à la pièce</w:t>
      </w:r>
    </w:p>
    <w:p w14:paraId="3F82C2DE" w14:textId="77777777" w:rsidR="00DF410E" w:rsidRDefault="00CE7F43">
      <w:pPr>
        <w:pStyle w:val="pheading"/>
      </w:pPr>
      <w:r>
        <w:t>- code de mesurage:</w:t>
      </w:r>
    </w:p>
    <w:p w14:paraId="167A85AF" w14:textId="77777777" w:rsidR="00DF410E" w:rsidRDefault="00CE7F43">
      <w:pPr>
        <w:jc w:val="both"/>
      </w:pPr>
      <w:r>
        <w:rPr>
          <w:rStyle w:val="optioncarChar"/>
        </w:rPr>
        <w:t xml:space="preserve">Surface nette </w:t>
      </w:r>
      <w:r>
        <w:t xml:space="preserve">(par défaut) </w:t>
      </w:r>
      <w:r>
        <w:rPr>
          <w:rStyle w:val="optioncarChar"/>
        </w:rPr>
        <w:t>/ selon bordereau / selon bordereau avec décompte / selon le volume de béton et le poids des armatures / selon le volume de béton de remplissage et de compression et le poids des armatures.</w:t>
      </w:r>
    </w:p>
    <w:p w14:paraId="7567458A" w14:textId="77777777" w:rsidR="00DF410E" w:rsidRDefault="00CE7F43">
      <w:pPr>
        <w:jc w:val="both"/>
      </w:pPr>
      <w:r>
        <w:rPr>
          <w:b/>
          <w:i/>
        </w:rPr>
        <w:t>(Soit par défaut)</w:t>
      </w:r>
    </w:p>
    <w:p w14:paraId="15E3BD77" w14:textId="77777777" w:rsidR="00DF410E" w:rsidRDefault="00CE7F43">
      <w:pPr>
        <w:jc w:val="both"/>
      </w:pPr>
      <w:r>
        <w:rPr>
          <w:rStyle w:val="soitChar"/>
          <w:b/>
        </w:rPr>
        <w:t>1. Surface nette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sont par conséquent, être déduites de la maçonnerie intérieure. Les vides, percements et feuillures supérieures à 0,50 m² sont déduits.</w:t>
      </w:r>
    </w:p>
    <w:p w14:paraId="5CE83B4C" w14:textId="77777777" w:rsidR="00DF410E" w:rsidRDefault="00CE7F43">
      <w:pPr>
        <w:jc w:val="both"/>
      </w:pPr>
      <w:r>
        <w:rPr>
          <w:rStyle w:val="soitChar"/>
        </w:rPr>
        <w:t>Pour l'ensemble ou, le cas échéant, ventilé en fonction de la nature, de l'épaisseur et/ou de la charge d’exploitation. Tous les éléments nécessaires, travaux et fournitures (coffrages, étançonnement, armatures et couches de compression prescrites) sont compris dans le prix unitaire.</w:t>
      </w:r>
    </w:p>
    <w:p w14:paraId="5437ADDF" w14:textId="77777777" w:rsidR="00DF410E" w:rsidRDefault="00CE7F43">
      <w:pPr>
        <w:jc w:val="both"/>
      </w:pPr>
      <w:r>
        <w:rPr>
          <w:b/>
          <w:i/>
        </w:rPr>
        <w:t>(Soit)</w:t>
      </w:r>
    </w:p>
    <w:p w14:paraId="771626FD" w14:textId="77777777" w:rsidR="00DF410E" w:rsidRDefault="00CE7F43">
      <w:pPr>
        <w:jc w:val="both"/>
      </w:pPr>
      <w:r>
        <w:rPr>
          <w:rStyle w:val="soitChar"/>
          <w:b/>
        </w:rPr>
        <w:t>2. Selon bordereau</w:t>
      </w:r>
      <w:r>
        <w:rPr>
          <w:rStyle w:val="soitChar"/>
        </w:rPr>
        <w:t> ; selon le bordereau spécifié dans l'étude de stabilité et repris dans le métré récapitulatif.</w:t>
      </w:r>
    </w:p>
    <w:p w14:paraId="27E2B617" w14:textId="77777777" w:rsidR="00DF410E" w:rsidRDefault="00CE7F43">
      <w:pPr>
        <w:jc w:val="both"/>
      </w:pPr>
      <w:r>
        <w:rPr>
          <w:b/>
          <w:i/>
        </w:rPr>
        <w:t>(Soit)</w:t>
      </w:r>
    </w:p>
    <w:p w14:paraId="3F7065B3" w14:textId="77777777" w:rsidR="00DF410E" w:rsidRDefault="00CE7F43">
      <w:pPr>
        <w:jc w:val="both"/>
      </w:pPr>
      <w:r>
        <w:rPr>
          <w:rStyle w:val="soitChar"/>
          <w:b/>
        </w:rPr>
        <w:t>3. Selon bordereau avec décompte</w:t>
      </w:r>
      <w:r>
        <w:rPr>
          <w:rStyle w:val="soitChar"/>
        </w:rPr>
        <w:t> ; selon le bordereau spécifié dans l'étude de stabilité et repris dans le métré récapitulatif mais les décomptes sont réalisés après travail. </w:t>
      </w:r>
    </w:p>
    <w:p w14:paraId="55FA5998" w14:textId="77777777" w:rsidR="00DF410E" w:rsidRDefault="00CE7F43">
      <w:pPr>
        <w:jc w:val="both"/>
      </w:pPr>
      <w:r>
        <w:rPr>
          <w:b/>
          <w:i/>
        </w:rPr>
        <w:t>(Soit)</w:t>
      </w:r>
    </w:p>
    <w:p w14:paraId="004C06B2" w14:textId="77777777" w:rsidR="00DF410E" w:rsidRDefault="00CE7F43">
      <w:pPr>
        <w:jc w:val="both"/>
      </w:pPr>
      <w:r>
        <w:rPr>
          <w:rStyle w:val="soitChar"/>
          <w:b/>
        </w:rPr>
        <w:t>4. Selon le volume de béton et le poids des armatures ;</w:t>
      </w:r>
    </w:p>
    <w:p w14:paraId="7FA99268" w14:textId="77777777" w:rsidR="00DF410E" w:rsidRDefault="00CE7F43">
      <w:pPr>
        <w:pStyle w:val="Author-eListParagraph"/>
        <w:numPr>
          <w:ilvl w:val="0"/>
          <w:numId w:val="704"/>
        </w:numPr>
      </w:pPr>
      <w:r>
        <w:rPr>
          <w:rStyle w:val="soitChar"/>
        </w:rPr>
        <w:t>m³ pour le béton</w:t>
      </w:r>
    </w:p>
    <w:p w14:paraId="2762A562" w14:textId="77777777" w:rsidR="00DF410E" w:rsidRDefault="00CE7F43">
      <w:pPr>
        <w:pStyle w:val="Author-eListParagraph"/>
        <w:numPr>
          <w:ilvl w:val="0"/>
          <w:numId w:val="704"/>
        </w:numPr>
      </w:pPr>
      <w:r>
        <w:rPr>
          <w:rStyle w:val="soitChar"/>
        </w:rPr>
        <w:t>kg pour les armatures</w:t>
      </w:r>
    </w:p>
    <w:p w14:paraId="0E6F5D5F" w14:textId="77777777" w:rsidR="00DF410E" w:rsidRDefault="00CE7F43">
      <w:pPr>
        <w:pStyle w:val="Author-eListParagraph"/>
        <w:numPr>
          <w:ilvl w:val="0"/>
          <w:numId w:val="704"/>
        </w:numPr>
      </w:pPr>
      <w:r>
        <w:rPr>
          <w:rStyle w:val="soitChar"/>
        </w:rPr>
        <w:t>Tous les autres éléments, travaux et fournitures doivent être compris dans les prix unitaires respectifs pour les mesurages précités.</w:t>
      </w:r>
    </w:p>
    <w:p w14:paraId="615DC4E6" w14:textId="77777777" w:rsidR="00DF410E" w:rsidRDefault="00CE7F43">
      <w:pPr>
        <w:jc w:val="both"/>
      </w:pPr>
      <w:r>
        <w:rPr>
          <w:b/>
          <w:i/>
        </w:rPr>
        <w:t>(Soit)</w:t>
      </w:r>
    </w:p>
    <w:p w14:paraId="65579F04" w14:textId="77777777" w:rsidR="00DF410E" w:rsidRDefault="00CE7F43">
      <w:pPr>
        <w:jc w:val="both"/>
      </w:pPr>
      <w:r>
        <w:rPr>
          <w:rStyle w:val="soitChar"/>
          <w:b/>
        </w:rPr>
        <w:t>5. Selon le volume de béton de remplissage et de compression et le poids des armatures ;</w:t>
      </w:r>
    </w:p>
    <w:p w14:paraId="6D7C5922" w14:textId="77777777" w:rsidR="00DF410E" w:rsidRDefault="00CE7F43">
      <w:pPr>
        <w:pStyle w:val="Author-eListParagraph"/>
        <w:numPr>
          <w:ilvl w:val="0"/>
          <w:numId w:val="705"/>
        </w:numPr>
      </w:pPr>
      <w:r>
        <w:rPr>
          <w:rStyle w:val="soitChar"/>
        </w:rPr>
        <w:t>m³ pour le béton de remplissage</w:t>
      </w:r>
    </w:p>
    <w:p w14:paraId="567450C8" w14:textId="77777777" w:rsidR="00DF410E" w:rsidRDefault="00CE7F43">
      <w:pPr>
        <w:pStyle w:val="Author-eListParagraph"/>
        <w:numPr>
          <w:ilvl w:val="0"/>
          <w:numId w:val="705"/>
        </w:numPr>
      </w:pPr>
      <w:r>
        <w:rPr>
          <w:rStyle w:val="soitChar"/>
        </w:rPr>
        <w:t>m³ pour la couche de compression béton (en mentionnant l'épaisseur...)</w:t>
      </w:r>
    </w:p>
    <w:p w14:paraId="474BE3FE" w14:textId="77777777" w:rsidR="00DF410E" w:rsidRDefault="00CE7F43">
      <w:pPr>
        <w:pStyle w:val="Author-eListParagraph"/>
        <w:numPr>
          <w:ilvl w:val="0"/>
          <w:numId w:val="705"/>
        </w:numPr>
      </w:pPr>
      <w:r>
        <w:rPr>
          <w:rStyle w:val="soitChar"/>
        </w:rPr>
        <w:t>kg pour les armatures</w:t>
      </w:r>
    </w:p>
    <w:p w14:paraId="45767139" w14:textId="77777777" w:rsidR="00DF410E" w:rsidRDefault="00CE7F43">
      <w:pPr>
        <w:pStyle w:val="Author-eListParagraph"/>
        <w:numPr>
          <w:ilvl w:val="0"/>
          <w:numId w:val="705"/>
        </w:numPr>
      </w:pPr>
      <w:r>
        <w:rPr>
          <w:rStyle w:val="soitChar"/>
        </w:rPr>
        <w:t>Pièces divergentes et pièces spéciales : à la pièce (selon les dimensions identiques ou indications standards).</w:t>
      </w:r>
    </w:p>
    <w:p w14:paraId="6BE26B66" w14:textId="77777777" w:rsidR="00DF410E" w:rsidRDefault="00CE7F43">
      <w:pPr>
        <w:pStyle w:val="pheading"/>
      </w:pPr>
      <w:r>
        <w:t>- nature du marché:</w:t>
      </w:r>
    </w:p>
    <w:p w14:paraId="683F2422" w14:textId="77777777" w:rsidR="00DF410E" w:rsidRDefault="00CE7F43">
      <w:r>
        <w:rPr>
          <w:rStyle w:val="optioncarChar"/>
        </w:rPr>
        <w:t xml:space="preserve">QF </w:t>
      </w:r>
      <w:r>
        <w:t xml:space="preserve">(par défaut) </w:t>
      </w:r>
      <w:r>
        <w:rPr>
          <w:rStyle w:val="optioncarChar"/>
        </w:rPr>
        <w:t>/ QP</w:t>
      </w:r>
    </w:p>
    <w:p w14:paraId="595A24C3" w14:textId="77777777" w:rsidR="00DF410E" w:rsidRDefault="00CE7F43">
      <w:r>
        <w:rPr>
          <w:b/>
          <w:i/>
        </w:rPr>
        <w:t>(Soit par défaut)</w:t>
      </w:r>
    </w:p>
    <w:p w14:paraId="724122B4" w14:textId="77777777" w:rsidR="00DF410E" w:rsidRDefault="00CE7F43">
      <w:r>
        <w:rPr>
          <w:rStyle w:val="soitChar"/>
        </w:rPr>
        <w:t>1.2.4.5. QF</w:t>
      </w:r>
    </w:p>
    <w:p w14:paraId="47DD59BD" w14:textId="77777777" w:rsidR="00DF410E" w:rsidRDefault="00CE7F43">
      <w:r>
        <w:rPr>
          <w:b/>
          <w:i/>
        </w:rPr>
        <w:t>(Soit)</w:t>
      </w:r>
    </w:p>
    <w:p w14:paraId="11C8755D" w14:textId="77777777" w:rsidR="00DF410E" w:rsidRDefault="00CE7F43">
      <w:r>
        <w:rPr>
          <w:rStyle w:val="soitChar"/>
        </w:rPr>
        <w:t>3. QP</w:t>
      </w:r>
    </w:p>
    <w:p w14:paraId="524B321F" w14:textId="77777777" w:rsidR="00DF410E" w:rsidRDefault="00CE7F43">
      <w:pPr>
        <w:pStyle w:val="Author-eSectionHeading6"/>
      </w:pPr>
      <w:bookmarkStart w:id="1331" w:name="_Toc178838448"/>
      <w:r>
        <w:t>23.22.3f Planchers à poutrelles en acier et entrevous en maçonnerie CCTB 01.04</w:t>
      </w:r>
      <w:bookmarkEnd w:id="1331"/>
    </w:p>
    <w:p w14:paraId="29CEB817" w14:textId="77777777" w:rsidR="00DF410E" w:rsidRDefault="00CE7F43">
      <w:pPr>
        <w:pStyle w:val="Author-eSectionHeading6"/>
      </w:pPr>
      <w:bookmarkStart w:id="1332" w:name="_Toc178838449"/>
      <w:r>
        <w:t>23.22.3g Planchers à poutrelles en acier et entrevous en acier CCTB 01.04</w:t>
      </w:r>
      <w:bookmarkEnd w:id="1332"/>
    </w:p>
    <w:p w14:paraId="7A790240" w14:textId="77777777" w:rsidR="00DF410E" w:rsidRDefault="00CE7F43">
      <w:pPr>
        <w:pStyle w:val="Author-eSectionHeading4"/>
      </w:pPr>
      <w:bookmarkStart w:id="1333" w:name="_Toc178838450"/>
      <w:r>
        <w:t>23.23 Charpentes de toiture métalliques CCTB 01.04</w:t>
      </w:r>
      <w:bookmarkEnd w:id="1333"/>
    </w:p>
    <w:p w14:paraId="0F583E6C" w14:textId="77777777" w:rsidR="00DF410E" w:rsidRDefault="00CE7F43">
      <w:pPr>
        <w:pStyle w:val="Author-eSectionHeading5"/>
      </w:pPr>
      <w:bookmarkStart w:id="1334" w:name="_Toc178838451"/>
      <w:r>
        <w:t>23.23.1 Charpentes de toiture en acier laminé à chaud CCTB 01.12</w:t>
      </w:r>
      <w:bookmarkEnd w:id="1334"/>
    </w:p>
    <w:p w14:paraId="475F81BC" w14:textId="77777777" w:rsidR="00DF410E" w:rsidRDefault="00CE7F43">
      <w:pPr>
        <w:pStyle w:val="pheading"/>
      </w:pPr>
      <w:bookmarkStart w:id="1335" w:name="553"/>
      <w:bookmarkEnd w:id="1335"/>
      <w:r>
        <w:t>DESCRIPTION</w:t>
      </w:r>
    </w:p>
    <w:p w14:paraId="3600F498" w14:textId="77777777" w:rsidR="00DF410E" w:rsidRDefault="00CE7F43">
      <w:pPr>
        <w:pStyle w:val="pheading"/>
      </w:pPr>
      <w:r>
        <w:t>- Définition / Comprend</w:t>
      </w:r>
    </w:p>
    <w:p w14:paraId="5DB44941" w14:textId="77777777" w:rsidR="00DF410E" w:rsidRDefault="00CE7F43">
      <w:pPr>
        <w:jc w:val="both"/>
      </w:pPr>
      <w:r>
        <w:t>Il s’agit de tous les travaux et fournitures pour la réalisation des charpentes de toiture en acier, y compris tous les systèmes d'assemblage, l'exécution proprement dite, tous les boulonnages, le raccordement au gros-œuvre, les ancrages, les accessoires, la protection contre la corrosion, etc.</w:t>
      </w:r>
    </w:p>
    <w:p w14:paraId="686B1AE0" w14:textId="77777777" w:rsidR="00DF410E" w:rsidRDefault="00CE7F43">
      <w:pPr>
        <w:jc w:val="both"/>
      </w:pPr>
      <w:r>
        <w:t>Ce poste comprend notamment :</w:t>
      </w:r>
    </w:p>
    <w:p w14:paraId="6FF30287" w14:textId="77777777" w:rsidR="00DF410E" w:rsidRDefault="00CE7F43">
      <w:pPr>
        <w:pStyle w:val="Author-eListParagraph"/>
        <w:numPr>
          <w:ilvl w:val="0"/>
          <w:numId w:val="706"/>
        </w:numPr>
        <w:jc w:val="both"/>
      </w:pPr>
      <w:r>
        <w:t>le cas échéant, l'établissement de l'étude de stabilité et les dessins d'exécution ;</w:t>
      </w:r>
    </w:p>
    <w:p w14:paraId="58B4D83F" w14:textId="77777777" w:rsidR="00DF410E" w:rsidRDefault="00CE7F43">
      <w:pPr>
        <w:pStyle w:val="Author-eListParagraph"/>
        <w:numPr>
          <w:ilvl w:val="0"/>
          <w:numId w:val="706"/>
        </w:numPr>
        <w:jc w:val="both"/>
      </w:pPr>
      <w:r>
        <w:t>le relevé sur place des dimensions exactes ;</w:t>
      </w:r>
    </w:p>
    <w:p w14:paraId="2CD8D59C" w14:textId="77777777" w:rsidR="00DF410E" w:rsidRDefault="00CE7F43">
      <w:pPr>
        <w:pStyle w:val="Author-eListParagraph"/>
        <w:numPr>
          <w:ilvl w:val="0"/>
          <w:numId w:val="706"/>
        </w:numPr>
        <w:jc w:val="both"/>
      </w:pPr>
      <w:r>
        <w:t>le contrôle et la préparation des supports ;</w:t>
      </w:r>
    </w:p>
    <w:p w14:paraId="15878AA8" w14:textId="77777777" w:rsidR="00DF410E" w:rsidRDefault="00CE7F43">
      <w:pPr>
        <w:pStyle w:val="Author-eListParagraph"/>
        <w:numPr>
          <w:ilvl w:val="0"/>
          <w:numId w:val="706"/>
        </w:numPr>
        <w:jc w:val="both"/>
      </w:pPr>
      <w:r>
        <w:t>la préparation et l'usinage de l'acier en atelier (couper, plier, etc.), y compris tous les assemblages par soudure et boulonnage ;</w:t>
      </w:r>
    </w:p>
    <w:p w14:paraId="0BDEFF5D" w14:textId="77777777" w:rsidR="00DF410E" w:rsidRDefault="00CE7F43">
      <w:pPr>
        <w:pStyle w:val="Author-eListParagraph"/>
        <w:numPr>
          <w:ilvl w:val="0"/>
          <w:numId w:val="706"/>
        </w:numPr>
        <w:jc w:val="both"/>
      </w:pPr>
      <w:r>
        <w:t>la protection contre la corrosion;</w:t>
      </w:r>
    </w:p>
    <w:p w14:paraId="04F74C56" w14:textId="77777777" w:rsidR="00DF410E" w:rsidRDefault="00CE7F43">
      <w:pPr>
        <w:pStyle w:val="Author-eListParagraph"/>
        <w:numPr>
          <w:ilvl w:val="0"/>
          <w:numId w:val="706"/>
        </w:numPr>
        <w:jc w:val="both"/>
      </w:pPr>
      <w:r>
        <w:t>la fourniture et le montage des éléments de construction en acier sur chantier, y compris tous les dispositifs d'assemblage, d'appui, d'ancrage, de scellement etc. ;</w:t>
      </w:r>
    </w:p>
    <w:p w14:paraId="1E381F8A" w14:textId="77777777" w:rsidR="00DF410E" w:rsidRDefault="00CE7F43">
      <w:pPr>
        <w:pStyle w:val="Author-eListParagraph"/>
        <w:numPr>
          <w:ilvl w:val="0"/>
          <w:numId w:val="706"/>
        </w:numPr>
        <w:jc w:val="both"/>
      </w:pPr>
      <w:r>
        <w:t>l’évacuation des déchets et le nettoyage du chantier.</w:t>
      </w:r>
    </w:p>
    <w:p w14:paraId="6A1EAF9F" w14:textId="77777777" w:rsidR="00DF410E" w:rsidRDefault="00CE7F43">
      <w:pPr>
        <w:pStyle w:val="pheading"/>
      </w:pPr>
      <w:r>
        <w:t>- Remarques importantes</w:t>
      </w:r>
    </w:p>
    <w:p w14:paraId="36445355" w14:textId="77777777" w:rsidR="00DF410E" w:rsidRDefault="00CE7F43">
      <w:pPr>
        <w:jc w:val="both"/>
      </w:pPr>
      <w:r>
        <w:t>Le constructeur est tenu de prendre toutes les précautions nécessaires, dans l'atelier et sur chantier, pour prévenir toute déformation des éléments pendant leur manutention. Il attache une importance particulière aux dimensions des éléments, à leur niveau et fléchissement ainsi qu'aux pénétrations pour les conduites et les fourreaux. Il faut absolument éviter de rectifier des éléments déjà assemblés. Au cours de leur production, les éléments sont pourvus des réservations ou des pénétrations nécessaires conformément aux indications sur les plans. On ne peut en aucun cas effectuer des perforations par forage, fraisages ou au chalumeau sans l'autorisation préalable de l'auteur de projet ou du bureau d'étude chargé de l'étude de stabilité.</w:t>
      </w:r>
    </w:p>
    <w:p w14:paraId="763DC548" w14:textId="77777777" w:rsidR="00DF410E" w:rsidRDefault="00CE7F43">
      <w:pPr>
        <w:jc w:val="both"/>
      </w:pPr>
      <w:r>
        <w:t>Pour les marquages provisoires, des peintures ou des marqueurs effaçables à l'eau sont utilisés. Les peintures à l'huile et autres ne sont pas autorisées, elles risquent de donner lieu à des défauts de galvanisation.</w:t>
      </w:r>
    </w:p>
    <w:p w14:paraId="3AC66074" w14:textId="77777777" w:rsidR="00DF410E" w:rsidRDefault="00CE7F43">
      <w:pPr>
        <w:jc w:val="both"/>
      </w:pPr>
      <w:r>
        <w:t>L'entrepreneur exécute les travaux conformément aux règles de bonne pratique. En cas de controverse en ce qui concerne les critères de qualité ou les tolérances d'application, seules les normes les plus récentes sont d’application.</w:t>
      </w:r>
    </w:p>
    <w:p w14:paraId="676F215F" w14:textId="77777777" w:rsidR="00DF410E" w:rsidRDefault="00CE7F43">
      <w:pPr>
        <w:pStyle w:val="pheading"/>
      </w:pPr>
      <w:r>
        <w:t>MATÉRIAUX</w:t>
      </w:r>
    </w:p>
    <w:p w14:paraId="2D60348C" w14:textId="77777777" w:rsidR="00DF410E" w:rsidRDefault="00CE7F43">
      <w:r>
        <w:rPr>
          <w:b/>
          <w:u w:val="single"/>
        </w:rPr>
        <w:t>Acier laminé à chaud</w:t>
      </w:r>
    </w:p>
    <w:p w14:paraId="5ECC9C13" w14:textId="77777777" w:rsidR="00DF410E" w:rsidRDefault="00CE7F43">
      <w:r>
        <w:rPr>
          <w:i/>
        </w:rPr>
        <w:t>Caractéristiques</w:t>
      </w:r>
    </w:p>
    <w:p w14:paraId="6A8C6E19" w14:textId="77777777" w:rsidR="00DF410E" w:rsidRDefault="00CE7F43">
      <w:pPr>
        <w:pStyle w:val="Author-eListParagraph"/>
        <w:numPr>
          <w:ilvl w:val="0"/>
          <w:numId w:val="707"/>
        </w:numPr>
      </w:pPr>
      <w:r>
        <w:t xml:space="preserve">Nuance d'acier (selon la limite élastique en N/mm²) [NBN EN 10025 série] : </w:t>
      </w:r>
      <w:r>
        <w:rPr>
          <w:rStyle w:val="optioncarChar"/>
        </w:rPr>
        <w:t>S235</w:t>
      </w:r>
      <w:r>
        <w:t xml:space="preserve"> (par défaut) </w:t>
      </w:r>
      <w:r>
        <w:rPr>
          <w:rStyle w:val="optioncarChar"/>
        </w:rPr>
        <w:t>/ S 275 / S 355 / S 420 / S460 / ***</w:t>
      </w:r>
      <w:r>
        <w:t>.</w:t>
      </w:r>
    </w:p>
    <w:p w14:paraId="2868B62F" w14:textId="77777777" w:rsidR="00DF410E" w:rsidRDefault="00CE7F43">
      <w:pPr>
        <w:pStyle w:val="Author-eListParagraph"/>
        <w:numPr>
          <w:ilvl w:val="0"/>
          <w:numId w:val="707"/>
        </w:numPr>
      </w:pPr>
      <w:r>
        <w:t xml:space="preserve">Qualité d’acier [NBN EN 10025 série] : </w:t>
      </w:r>
      <w:r>
        <w:rPr>
          <w:rStyle w:val="optioncarChar"/>
        </w:rPr>
        <w:t xml:space="preserve">JR / J0 </w:t>
      </w:r>
      <w:r>
        <w:t xml:space="preserve">(par défaut) </w:t>
      </w:r>
      <w:r>
        <w:rPr>
          <w:rStyle w:val="optioncarChar"/>
        </w:rPr>
        <w:t>/ J2 / K2 / N / NL / M / ML / W / P / Q / QL / QL1 / ***</w:t>
      </w:r>
      <w:r>
        <w:t>.</w:t>
      </w:r>
    </w:p>
    <w:p w14:paraId="542201A3" w14:textId="77777777" w:rsidR="00DF410E" w:rsidRDefault="00CE7F43">
      <w:pPr>
        <w:pStyle w:val="Author-eListParagraph"/>
        <w:numPr>
          <w:ilvl w:val="0"/>
          <w:numId w:val="707"/>
        </w:numPr>
      </w:pPr>
      <w:r>
        <w:t xml:space="preserve">Flèche maximale : </w:t>
      </w:r>
      <w:r>
        <w:rPr>
          <w:rStyle w:val="optioncarChar"/>
        </w:rPr>
        <w:t>celle selon la</w:t>
      </w:r>
      <w:r>
        <w:t>  [NBN B 03-003] (par défaut) </w:t>
      </w:r>
      <w:r>
        <w:rPr>
          <w:rStyle w:val="optioncarChar"/>
        </w:rPr>
        <w:t>/ L/500 / L/300 / ***</w:t>
      </w:r>
      <w:r>
        <w:t>.</w:t>
      </w:r>
    </w:p>
    <w:p w14:paraId="37A5BEE1" w14:textId="77777777" w:rsidR="00DF410E" w:rsidRDefault="00CE7F43">
      <w:r>
        <w:rPr>
          <w:b/>
          <w:u w:val="single"/>
        </w:rPr>
        <w:t>Traitement contre rouille</w:t>
      </w:r>
    </w:p>
    <w:p w14:paraId="6C989075" w14:textId="77777777" w:rsidR="00DF410E" w:rsidRDefault="00CE7F43">
      <w:r>
        <w:t>Les éléments métalliques sont traités contre la rouille par : </w:t>
      </w:r>
      <w:r>
        <w:rPr>
          <w:rStyle w:val="optioncarChar"/>
        </w:rPr>
        <w:t>primaire antirouille </w:t>
      </w:r>
      <w:r>
        <w:t>(par défaut)</w:t>
      </w:r>
      <w:r>
        <w:rPr>
          <w:rStyle w:val="optioncarChar"/>
        </w:rPr>
        <w:t> / galvanisation à chaud / métallisation / pas de traitement (aspect brut)</w:t>
      </w:r>
      <w:r>
        <w:t>.</w:t>
      </w:r>
    </w:p>
    <w:p w14:paraId="33EAC6B9" w14:textId="77777777" w:rsidR="00DF410E" w:rsidRDefault="00CE7F43">
      <w:pPr>
        <w:ind w:left="567"/>
        <w:jc w:val="both"/>
      </w:pPr>
      <w:r>
        <w:rPr>
          <w:b/>
          <w:i/>
        </w:rPr>
        <w:t>(Soit par défaut)</w:t>
      </w:r>
    </w:p>
    <w:p w14:paraId="50D6888A" w14:textId="77777777" w:rsidR="00DF410E" w:rsidRDefault="00CE7F43">
      <w:pPr>
        <w:ind w:left="567"/>
        <w:jc w:val="both"/>
      </w:pPr>
      <w:r>
        <w:rPr>
          <w:rStyle w:val="soitChar"/>
          <w:u w:val="single"/>
        </w:rPr>
        <w:t>Primaire antirouille</w:t>
      </w:r>
      <w:r>
        <w:t> </w:t>
      </w:r>
    </w:p>
    <w:p w14:paraId="5140EE19" w14:textId="77777777" w:rsidR="00DF410E" w:rsidRDefault="00CE7F43">
      <w:pPr>
        <w:ind w:left="567"/>
        <w:jc w:val="both"/>
      </w:pPr>
      <w:r>
        <w:rPr>
          <w:rStyle w:val="soitChar"/>
        </w:rPr>
        <w:t>Conformément aux prescriptions des articles </w:t>
      </w:r>
      <w:hyperlink r:id="rId154" w:history="1" w:docLocation="503">
        <w:r>
          <w:rPr>
            <w:rStyle w:val="soitChar"/>
          </w:rPr>
          <w:t>81.31.3c Protections intérieures par primaire antirouille (en atelier ou sur chantier) des supports métalliques ferreux</w:t>
        </w:r>
      </w:hyperlink>
      <w:r>
        <w:rPr>
          <w:rStyle w:val="soitChar"/>
        </w:rPr>
        <w:t> ou </w:t>
      </w:r>
      <w:hyperlink r:id="rId155" w:history="1" w:docLocation="504">
        <w:r>
          <w:rPr>
            <w:rStyle w:val="soitChar"/>
          </w:rPr>
          <w:t>82.31.3c Protections extérieures par primaire antirouille des supports métalliques ferreux</w:t>
        </w:r>
      </w:hyperlink>
      <w:r>
        <w:rPr>
          <w:rStyle w:val="soitChar"/>
        </w:rPr>
        <w:t>.</w:t>
      </w:r>
    </w:p>
    <w:p w14:paraId="42FB185D" w14:textId="77777777" w:rsidR="00DF410E" w:rsidRDefault="00CE7F43">
      <w:pPr>
        <w:ind w:left="567"/>
        <w:jc w:val="both"/>
      </w:pPr>
      <w:r>
        <w:rPr>
          <w:b/>
          <w:i/>
        </w:rPr>
        <w:t>(Soit)</w:t>
      </w:r>
    </w:p>
    <w:p w14:paraId="35E2751D" w14:textId="77777777" w:rsidR="00DF410E" w:rsidRDefault="00CE7F43">
      <w:pPr>
        <w:ind w:left="567"/>
        <w:jc w:val="both"/>
      </w:pPr>
      <w:r>
        <w:rPr>
          <w:rStyle w:val="soitChar"/>
          <w:u w:val="single"/>
        </w:rPr>
        <w:t>Galvanisation</w:t>
      </w:r>
      <w:r>
        <w:t> </w:t>
      </w:r>
    </w:p>
    <w:p w14:paraId="4BB39E65" w14:textId="77777777" w:rsidR="00DF410E" w:rsidRDefault="00CE7F43">
      <w:pPr>
        <w:ind w:left="567"/>
        <w:jc w:val="both"/>
      </w:pPr>
      <w:r>
        <w:rPr>
          <w:rStyle w:val="soitChar"/>
        </w:rPr>
        <w:t>Conformément aux prescriptions des articles </w:t>
      </w:r>
      <w:hyperlink r:id="rId156" w:history="1" w:docLocation="505">
        <w:r>
          <w:rPr>
            <w:rStyle w:val="soitChar"/>
          </w:rPr>
          <w:t>81.31.3a Protections intérieures par galvanisation (en atelier) des supports métalliques ferreux</w:t>
        </w:r>
      </w:hyperlink>
      <w:r>
        <w:rPr>
          <w:rStyle w:val="soitChar"/>
        </w:rPr>
        <w:t> ou </w:t>
      </w:r>
      <w:hyperlink r:id="rId157" w:history="1" w:docLocation="506">
        <w:r>
          <w:rPr>
            <w:rStyle w:val="soitChar"/>
          </w:rPr>
          <w:t>82.31.3a Protections extérieures par galvanisation de supports métalliques ferreux</w:t>
        </w:r>
      </w:hyperlink>
      <w:r>
        <w:rPr>
          <w:rStyle w:val="soitChar"/>
        </w:rPr>
        <w:t>.</w:t>
      </w:r>
    </w:p>
    <w:p w14:paraId="44D05FC2" w14:textId="77777777" w:rsidR="00DF410E" w:rsidRDefault="00CE7F43">
      <w:pPr>
        <w:ind w:left="567"/>
        <w:jc w:val="both"/>
      </w:pPr>
      <w:r>
        <w:rPr>
          <w:b/>
          <w:i/>
        </w:rPr>
        <w:t>(Soit)</w:t>
      </w:r>
    </w:p>
    <w:p w14:paraId="08F671DE" w14:textId="77777777" w:rsidR="00DF410E" w:rsidRDefault="00CE7F43">
      <w:pPr>
        <w:ind w:left="567"/>
        <w:jc w:val="both"/>
      </w:pPr>
      <w:r>
        <w:rPr>
          <w:rStyle w:val="soitChar"/>
          <w:u w:val="single"/>
        </w:rPr>
        <w:t>Métallisation</w:t>
      </w:r>
      <w:r>
        <w:t> </w:t>
      </w:r>
    </w:p>
    <w:p w14:paraId="717B03B3" w14:textId="77777777" w:rsidR="00DF410E" w:rsidRDefault="00CE7F43">
      <w:pPr>
        <w:ind w:left="567"/>
        <w:jc w:val="both"/>
      </w:pPr>
      <w:r>
        <w:rPr>
          <w:rStyle w:val="soitChar"/>
        </w:rPr>
        <w:t>Conformément aux prescriptions des articles </w:t>
      </w:r>
      <w:hyperlink r:id="rId158" w:history="1" w:docLocation="507">
        <w:r>
          <w:rPr>
            <w:rStyle w:val="soitChar"/>
          </w:rPr>
          <w:t>81.31.3b Protections intérieures par métallisation (en atelier ou sur chantier) des supports métalliques ferreux</w:t>
        </w:r>
      </w:hyperlink>
      <w:r>
        <w:rPr>
          <w:rStyle w:val="soitChar"/>
        </w:rPr>
        <w:t> ou </w:t>
      </w:r>
      <w:hyperlink r:id="rId159" w:history="1" w:docLocation="508">
        <w:r>
          <w:rPr>
            <w:rStyle w:val="soitChar"/>
          </w:rPr>
          <w:t>82.31.3b Protections extérieures par métallisation des supports métalliques ferreux</w:t>
        </w:r>
      </w:hyperlink>
      <w:r>
        <w:rPr>
          <w:rStyle w:val="soitChar"/>
        </w:rPr>
        <w:t>.</w:t>
      </w:r>
    </w:p>
    <w:p w14:paraId="1749D0C2" w14:textId="77777777" w:rsidR="00DF410E" w:rsidRDefault="00CE7F43">
      <w:pPr>
        <w:ind w:left="567"/>
        <w:jc w:val="both"/>
      </w:pPr>
      <w:r>
        <w:rPr>
          <w:b/>
          <w:i/>
        </w:rPr>
        <w:t>(Soit)</w:t>
      </w:r>
    </w:p>
    <w:p w14:paraId="05DA5728" w14:textId="77777777" w:rsidR="00DF410E" w:rsidRDefault="00CE7F43">
      <w:pPr>
        <w:ind w:left="567"/>
        <w:jc w:val="both"/>
      </w:pPr>
      <w:r>
        <w:rPr>
          <w:rStyle w:val="soitChar"/>
          <w:u w:val="single"/>
        </w:rPr>
        <w:t>Pas de traitement</w:t>
      </w:r>
      <w:r>
        <w:t> </w:t>
      </w:r>
    </w:p>
    <w:p w14:paraId="244E413F" w14:textId="77777777" w:rsidR="00DF410E" w:rsidRDefault="00CE7F43">
      <w:pPr>
        <w:ind w:left="567"/>
        <w:jc w:val="both"/>
      </w:pPr>
      <w:r>
        <w:rPr>
          <w:rStyle w:val="soitChar"/>
        </w:rPr>
        <w:t>L’acier reste « brut ». Il est simplement nettoyé, dégraissé et débarrassé de la rouille par sablage et/ou ponçage conformément aux chapitres </w:t>
      </w:r>
      <w:hyperlink r:id="rId160" w:history="1" w:docLocation="546">
        <w:r>
          <w:rPr>
            <w:rStyle w:val="soitChar"/>
          </w:rPr>
          <w:t>81.31.1 Nettoyage / Dégraissage</w:t>
        </w:r>
      </w:hyperlink>
      <w:r>
        <w:rPr>
          <w:rStyle w:val="soitChar"/>
        </w:rPr>
        <w:t>, </w:t>
      </w:r>
      <w:hyperlink r:id="rId161" w:history="1" w:docLocation="547">
        <w:r>
          <w:rPr>
            <w:rStyle w:val="soitChar"/>
          </w:rPr>
          <w:t>81.31.2 Grenaillage - Sablage / Ponçage / Dérouillage</w:t>
        </w:r>
      </w:hyperlink>
      <w:r>
        <w:rPr>
          <w:rStyle w:val="soitChar"/>
        </w:rPr>
        <w:t> et articles qui en découlent.</w:t>
      </w:r>
    </w:p>
    <w:p w14:paraId="6929CBB3" w14:textId="77777777" w:rsidR="00DF410E" w:rsidRDefault="00CE7F43">
      <w:pPr>
        <w:ind w:left="567"/>
        <w:jc w:val="both"/>
      </w:pPr>
      <w:r>
        <w:rPr>
          <w:rStyle w:val="soitChar"/>
        </w:rPr>
        <w:t>L’acier étant très sensible à la rouille dans cet état, il reçoit le plus rapidement possible le traitement de finition.</w:t>
      </w:r>
    </w:p>
    <w:p w14:paraId="03788C9D" w14:textId="77777777" w:rsidR="00DF410E" w:rsidRDefault="00CE7F43">
      <w:r>
        <w:t>Ce traitement contre la rouille est compris par défaut dans le poste, sauf contre-indication dans le cahier spécial des charges, aux articles concernés ci-dessus. </w:t>
      </w:r>
    </w:p>
    <w:p w14:paraId="42B71CCE" w14:textId="77777777" w:rsidR="00DF410E" w:rsidRDefault="00CE7F43">
      <w:r>
        <w:rPr>
          <w:b/>
          <w:u w:val="single"/>
        </w:rPr>
        <w:t>Finition</w:t>
      </w:r>
    </w:p>
    <w:p w14:paraId="05D8E667" w14:textId="77777777" w:rsidR="00DF410E" w:rsidRDefault="00CE7F43">
      <w:pPr>
        <w:jc w:val="both"/>
      </w:pPr>
      <w:r>
        <w:t>Finition de l’acier : </w:t>
      </w:r>
      <w:r>
        <w:rPr>
          <w:rStyle w:val="optioncarChar"/>
        </w:rPr>
        <w:t>pas de finition </w:t>
      </w:r>
      <w:r>
        <w:t>(par défaut) </w:t>
      </w:r>
      <w:r>
        <w:rPr>
          <w:rStyle w:val="optioncarChar"/>
        </w:rPr>
        <w:t>/ peint / brut (verni)</w:t>
      </w:r>
      <w:r>
        <w:t>.</w:t>
      </w:r>
    </w:p>
    <w:p w14:paraId="6D0BAF8B" w14:textId="77777777" w:rsidR="00DF410E" w:rsidRDefault="00CE7F43">
      <w:pPr>
        <w:ind w:left="567"/>
        <w:jc w:val="both"/>
      </w:pPr>
      <w:r>
        <w:rPr>
          <w:b/>
          <w:i/>
        </w:rPr>
        <w:t>(Soit par défaut)</w:t>
      </w:r>
    </w:p>
    <w:p w14:paraId="745A5530" w14:textId="77777777" w:rsidR="00DF410E" w:rsidRDefault="00CE7F43">
      <w:pPr>
        <w:ind w:left="567"/>
        <w:jc w:val="both"/>
      </w:pPr>
      <w:r>
        <w:rPr>
          <w:rStyle w:val="soitChar"/>
          <w:u w:val="single"/>
        </w:rPr>
        <w:t>Pas de finition</w:t>
      </w:r>
    </w:p>
    <w:p w14:paraId="48830FA4" w14:textId="77777777" w:rsidR="00DF410E" w:rsidRDefault="00CE7F43">
      <w:pPr>
        <w:ind w:left="567"/>
        <w:jc w:val="both"/>
      </w:pPr>
      <w:r>
        <w:rPr>
          <w:rStyle w:val="soitChar"/>
        </w:rPr>
        <w:t>Pas de finition, destiné à recevoir un traitement résistant au feu.</w:t>
      </w:r>
    </w:p>
    <w:p w14:paraId="66FBF47F" w14:textId="77777777" w:rsidR="00DF410E" w:rsidRDefault="00CE7F43">
      <w:pPr>
        <w:ind w:left="567"/>
        <w:jc w:val="both"/>
      </w:pPr>
      <w:r>
        <w:rPr>
          <w:b/>
          <w:i/>
        </w:rPr>
        <w:t>(Soit)</w:t>
      </w:r>
    </w:p>
    <w:p w14:paraId="6ADF97E2" w14:textId="77777777" w:rsidR="00DF410E" w:rsidRDefault="00CE7F43">
      <w:pPr>
        <w:ind w:left="567"/>
        <w:jc w:val="both"/>
      </w:pPr>
      <w:r>
        <w:rPr>
          <w:rStyle w:val="soitChar"/>
          <w:u w:val="single"/>
        </w:rPr>
        <w:t>Peint</w:t>
      </w:r>
    </w:p>
    <w:p w14:paraId="1ED29A96" w14:textId="77777777" w:rsidR="00DF410E" w:rsidRDefault="00CE7F43">
      <w:pPr>
        <w:ind w:left="567"/>
        <w:jc w:val="both"/>
      </w:pPr>
      <w:r>
        <w:rPr>
          <w:rStyle w:val="soitChar"/>
        </w:rPr>
        <w:t>Renvoi aux sous-titres </w:t>
      </w:r>
      <w:hyperlink r:id="rId162" w:history="1" w:docLocation="509">
        <w:r>
          <w:rPr>
            <w:rStyle w:val="soitChar"/>
          </w:rPr>
          <w:t>81.33 Finitions / décorations des métaux ferreux et non ferreux</w:t>
        </w:r>
      </w:hyperlink>
      <w:r>
        <w:rPr>
          <w:rStyle w:val="soitChar"/>
        </w:rPr>
        <w:t>(intérieure) ou </w:t>
      </w:r>
      <w:hyperlink r:id="rId163" w:history="1" w:docLocation="510">
        <w:r>
          <w:rPr>
            <w:rStyle w:val="soitChar"/>
          </w:rPr>
          <w:t>82.33 Finitions / décorations des métaux ferreux et non ferreux</w:t>
        </w:r>
      </w:hyperlink>
      <w:r>
        <w:rPr>
          <w:rStyle w:val="soitChar"/>
        </w:rPr>
        <w:t> (extérieure), et articles qui en découlent.</w:t>
      </w:r>
    </w:p>
    <w:p w14:paraId="10812C1C" w14:textId="77777777" w:rsidR="00DF410E" w:rsidRDefault="00CE7F43">
      <w:pPr>
        <w:ind w:left="567"/>
        <w:jc w:val="both"/>
      </w:pPr>
      <w:r>
        <w:rPr>
          <w:b/>
          <w:i/>
        </w:rPr>
        <w:t>(Soit)</w:t>
      </w:r>
    </w:p>
    <w:p w14:paraId="4685E9D1" w14:textId="77777777" w:rsidR="00DF410E" w:rsidRDefault="00CE7F43">
      <w:pPr>
        <w:ind w:left="567"/>
        <w:jc w:val="both"/>
      </w:pPr>
      <w:r>
        <w:rPr>
          <w:rStyle w:val="soitChar"/>
          <w:u w:val="single"/>
        </w:rPr>
        <w:t>Brut (verni)</w:t>
      </w:r>
    </w:p>
    <w:p w14:paraId="1A67C0E2" w14:textId="77777777" w:rsidR="00DF410E" w:rsidRDefault="00CE7F43">
      <w:pPr>
        <w:ind w:left="567"/>
        <w:jc w:val="both"/>
      </w:pPr>
      <w:r>
        <w:rPr>
          <w:rStyle w:val="soitChar"/>
        </w:rPr>
        <w:t>L’acier est protégé à l’aide d’un verni incolore à base de </w:t>
      </w:r>
      <w:r>
        <w:rPr>
          <w:rStyle w:val="optioncarChar"/>
        </w:rPr>
        <w:t>résine glycérophtalique </w:t>
      </w:r>
      <w:r>
        <w:t>(par défaut)</w:t>
      </w:r>
      <w:r>
        <w:rPr>
          <w:rStyle w:val="optioncarChar"/>
        </w:rPr>
        <w:t> / ***</w:t>
      </w:r>
      <w:r>
        <w:rPr>
          <w:rStyle w:val="soitChar"/>
        </w:rPr>
        <w:t>.</w:t>
      </w:r>
    </w:p>
    <w:p w14:paraId="195F5C4B" w14:textId="77777777" w:rsidR="00DF410E" w:rsidRDefault="00CE7F43">
      <w:pPr>
        <w:ind w:left="567"/>
        <w:jc w:val="both"/>
      </w:pPr>
      <w:r>
        <w:rPr>
          <w:rStyle w:val="soitChar"/>
        </w:rPr>
        <w:t>Pour la mise en œuvre, renvoi aux sous-titres </w:t>
      </w:r>
      <w:hyperlink r:id="rId164" w:history="1" w:docLocation="509">
        <w:r>
          <w:rPr>
            <w:rStyle w:val="soitChar"/>
          </w:rPr>
          <w:t>81.33 Finitions / décorations des métaux ferreux et non ferreux</w:t>
        </w:r>
      </w:hyperlink>
      <w:r>
        <w:rPr>
          <w:rStyle w:val="soitChar"/>
        </w:rPr>
        <w:t> (intérieure) ou </w:t>
      </w:r>
      <w:hyperlink r:id="rId165" w:history="1" w:docLocation="510">
        <w:r>
          <w:rPr>
            <w:rStyle w:val="soitChar"/>
          </w:rPr>
          <w:t>82.33 Finitions / décorations des métaux ferreux et non ferreux</w:t>
        </w:r>
      </w:hyperlink>
      <w:r>
        <w:rPr>
          <w:rStyle w:val="soitChar"/>
        </w:rPr>
        <w:t> (extérieure), et articles qui en découlent.</w:t>
      </w:r>
    </w:p>
    <w:p w14:paraId="7A6479F1" w14:textId="77777777" w:rsidR="00DF410E" w:rsidRDefault="00CE7F43">
      <w:r>
        <w:t>Ce traitement de finition est compris par défaut dans le poste, sauf contre-indication dans le cahier spécial des charges aux articles concernés ci-dessus. </w:t>
      </w:r>
    </w:p>
    <w:p w14:paraId="7BA70470" w14:textId="77777777" w:rsidR="00DF410E" w:rsidRDefault="00CE7F43">
      <w:r>
        <w:rPr>
          <w:b/>
          <w:u w:val="single"/>
        </w:rPr>
        <w:t>Résistance au feu</w:t>
      </w:r>
    </w:p>
    <w:p w14:paraId="5162407C" w14:textId="77777777" w:rsidR="00DF410E" w:rsidRDefault="00CE7F43">
      <w:pPr>
        <w:jc w:val="both"/>
      </w:pPr>
      <w:r>
        <w:t>Résistance au feu : </w:t>
      </w:r>
      <w:r>
        <w:rPr>
          <w:rStyle w:val="optioncarChar"/>
        </w:rPr>
        <w:t>R30 / R60</w:t>
      </w:r>
      <w:r>
        <w:t> (par défaut) </w:t>
      </w:r>
      <w:r>
        <w:rPr>
          <w:rStyle w:val="optioncarChar"/>
        </w:rPr>
        <w:t>/ R120 / R240 / ***</w:t>
      </w:r>
      <w:r>
        <w:t xml:space="preserve">, conformément aux prescriptions du titre </w:t>
      </w:r>
      <w:hyperlink w:anchor="555" w:history="1">
        <w:r>
          <w:t>23.2 Ensembles structuraux métalliques</w:t>
        </w:r>
      </w:hyperlink>
      <w:r>
        <w:t>.</w:t>
      </w:r>
    </w:p>
    <w:p w14:paraId="4150C25E" w14:textId="77777777" w:rsidR="00DF410E" w:rsidRDefault="00CE7F43">
      <w:pPr>
        <w:jc w:val="both"/>
      </w:pPr>
      <w:r>
        <w:t>Cette résistance au feu est atteinte :</w:t>
      </w:r>
      <w:r>
        <w:rPr>
          <w:rStyle w:val="facultChar"/>
        </w:rPr>
        <w:t> </w:t>
      </w:r>
      <w:r>
        <w:rPr>
          <w:rStyle w:val="optioncarChar"/>
        </w:rPr>
        <w:t>sans traitement particulier </w:t>
      </w:r>
      <w:r>
        <w:t>(par défaut)</w:t>
      </w:r>
      <w:r>
        <w:rPr>
          <w:rStyle w:val="optioncarChar"/>
        </w:rPr>
        <w:t> / à l’aide d’une peinture intumescente / par emballage / par flocage fibreux / par flocage pâteux</w:t>
      </w:r>
      <w:r>
        <w:rPr>
          <w:rStyle w:val="facultChar"/>
        </w:rPr>
        <w:t>.</w:t>
      </w:r>
    </w:p>
    <w:p w14:paraId="523D6A83" w14:textId="77777777" w:rsidR="00DF410E" w:rsidRDefault="00CE7F43">
      <w:pPr>
        <w:ind w:left="567"/>
        <w:jc w:val="both"/>
      </w:pPr>
      <w:r>
        <w:rPr>
          <w:b/>
          <w:i/>
        </w:rPr>
        <w:t>(Soit par défaut)</w:t>
      </w:r>
    </w:p>
    <w:p w14:paraId="192BFFAE" w14:textId="77777777" w:rsidR="00DF410E" w:rsidRDefault="00CE7F43">
      <w:pPr>
        <w:ind w:left="567"/>
        <w:jc w:val="both"/>
      </w:pPr>
      <w:r>
        <w:rPr>
          <w:rStyle w:val="soitChar"/>
          <w:u w:val="single"/>
        </w:rPr>
        <w:t>Sans traitement particulier</w:t>
      </w:r>
    </w:p>
    <w:p w14:paraId="47FC72C1" w14:textId="77777777" w:rsidR="00DF410E" w:rsidRDefault="00CE7F43">
      <w:pPr>
        <w:ind w:left="567"/>
        <w:jc w:val="both"/>
      </w:pPr>
      <w:r>
        <w:rPr>
          <w:rStyle w:val="soitChar"/>
        </w:rPr>
        <w:t>La résistance au feu est démontrée par test au feu selon la [NBN EN 13501-2] ou par calcul selon les Eurocodes conformément à l’[AM 2013-05-17].</w:t>
      </w:r>
    </w:p>
    <w:p w14:paraId="3ACB26F6" w14:textId="77777777" w:rsidR="00DF410E" w:rsidRDefault="00CE7F43">
      <w:pPr>
        <w:ind w:left="567"/>
        <w:jc w:val="both"/>
      </w:pPr>
      <w:r>
        <w:rPr>
          <w:b/>
          <w:i/>
        </w:rPr>
        <w:t>(Soit)</w:t>
      </w:r>
    </w:p>
    <w:p w14:paraId="1EA284D5" w14:textId="77777777" w:rsidR="00DF410E" w:rsidRDefault="00CE7F43">
      <w:pPr>
        <w:ind w:left="567"/>
        <w:jc w:val="both"/>
      </w:pPr>
      <w:r>
        <w:rPr>
          <w:rStyle w:val="soitChar"/>
          <w:u w:val="single"/>
        </w:rPr>
        <w:t>Peinture intumescente</w:t>
      </w:r>
    </w:p>
    <w:p w14:paraId="5BCEB492" w14:textId="77777777" w:rsidR="00DF410E" w:rsidRDefault="00CE7F43">
      <w:pPr>
        <w:ind w:left="567"/>
        <w:jc w:val="both"/>
      </w:pPr>
      <w:r>
        <w:rPr>
          <w:rStyle w:val="soitChar"/>
        </w:rPr>
        <w:t>Conformément à l’article </w:t>
      </w:r>
      <w:hyperlink r:id="rId166" w:history="1" w:docLocation="511">
        <w:r>
          <w:rPr>
            <w:rStyle w:val="soitChar"/>
          </w:rPr>
          <w:t>81.34.1b Peintures intérieures intumescentes sur supports métalliques ferreux et non ferreux</w:t>
        </w:r>
      </w:hyperlink>
      <w:r>
        <w:rPr>
          <w:rStyle w:val="soitChar"/>
        </w:rPr>
        <w:t>.</w:t>
      </w:r>
    </w:p>
    <w:p w14:paraId="23F23309" w14:textId="77777777" w:rsidR="00DF410E" w:rsidRDefault="00CE7F43">
      <w:pPr>
        <w:ind w:left="567"/>
        <w:jc w:val="both"/>
      </w:pPr>
      <w:r>
        <w:rPr>
          <w:b/>
          <w:i/>
        </w:rPr>
        <w:t>(Soit)</w:t>
      </w:r>
    </w:p>
    <w:p w14:paraId="1D9CACA0" w14:textId="77777777" w:rsidR="00DF410E" w:rsidRDefault="00CE7F43">
      <w:pPr>
        <w:ind w:left="567"/>
        <w:jc w:val="both"/>
      </w:pPr>
      <w:r>
        <w:rPr>
          <w:rStyle w:val="soitChar"/>
          <w:u w:val="single"/>
        </w:rPr>
        <w:t>Emballage</w:t>
      </w:r>
    </w:p>
    <w:p w14:paraId="1E972D20" w14:textId="77777777" w:rsidR="00DF410E" w:rsidRDefault="00CE7F43">
      <w:pPr>
        <w:ind w:left="567"/>
        <w:jc w:val="both"/>
      </w:pPr>
      <w:r>
        <w:rPr>
          <w:rStyle w:val="soitChar"/>
        </w:rPr>
        <w:t>Conformément à l’article </w:t>
      </w:r>
      <w:hyperlink r:id="rId167" w:history="1" w:docLocation="512">
        <w:r>
          <w:rPr>
            <w:rStyle w:val="soitChar"/>
          </w:rPr>
          <w:t>83.34.1a Doublage en plaques</w:t>
        </w:r>
      </w:hyperlink>
      <w:r>
        <w:rPr>
          <w:rStyle w:val="soitChar"/>
        </w:rPr>
        <w:t>.</w:t>
      </w:r>
    </w:p>
    <w:p w14:paraId="28AAE48A" w14:textId="77777777" w:rsidR="00DF410E" w:rsidRDefault="00CE7F43">
      <w:pPr>
        <w:ind w:left="567"/>
        <w:jc w:val="both"/>
      </w:pPr>
      <w:r>
        <w:rPr>
          <w:b/>
          <w:i/>
        </w:rPr>
        <w:t>(Soit)</w:t>
      </w:r>
    </w:p>
    <w:p w14:paraId="3F0E59A6" w14:textId="77777777" w:rsidR="00DF410E" w:rsidRDefault="00CE7F43">
      <w:pPr>
        <w:ind w:left="567"/>
        <w:jc w:val="both"/>
      </w:pPr>
      <w:r>
        <w:rPr>
          <w:rStyle w:val="soitChar"/>
          <w:u w:val="single"/>
        </w:rPr>
        <w:t>Flocage fibreux</w:t>
      </w:r>
    </w:p>
    <w:p w14:paraId="24921524" w14:textId="77777777" w:rsidR="00DF410E" w:rsidRDefault="00CE7F43">
      <w:pPr>
        <w:ind w:left="567"/>
        <w:jc w:val="both"/>
      </w:pPr>
      <w:r>
        <w:rPr>
          <w:rStyle w:val="soitChar"/>
        </w:rPr>
        <w:t>Composé essentiellement de laine minérale, de liants minéraux inorganiques additionnés d’adjuvants spécifiques hydrauliques et synthétiques, non combustibles.</w:t>
      </w:r>
      <w:r>
        <w:t> </w:t>
      </w:r>
    </w:p>
    <w:p w14:paraId="1341C5C5" w14:textId="77777777" w:rsidR="00DF410E" w:rsidRDefault="00CE7F43">
      <w:pPr>
        <w:ind w:left="567"/>
        <w:jc w:val="both"/>
      </w:pPr>
      <w:r>
        <w:rPr>
          <w:rStyle w:val="soitChar"/>
        </w:rPr>
        <w:t>Le produit est exempt d’amiante, de silice cristallisée, ou de tout autre produit nocif ou toxique.</w:t>
      </w:r>
      <w:r>
        <w:t> </w:t>
      </w:r>
    </w:p>
    <w:p w14:paraId="5D4CD92D" w14:textId="77777777" w:rsidR="00DF410E" w:rsidRDefault="00CE7F43">
      <w:pPr>
        <w:ind w:left="567"/>
        <w:jc w:val="both"/>
      </w:pPr>
      <w:r>
        <w:rPr>
          <w:rStyle w:val="soitChar"/>
        </w:rPr>
        <w:t>Le flocage est appliqué mécaniquement à l’aide de machines à projeter qui respectent la granulométrie et la masse volumique des produits.</w:t>
      </w:r>
    </w:p>
    <w:p w14:paraId="68347F8B" w14:textId="77777777" w:rsidR="00DF410E" w:rsidRDefault="00CE7F43">
      <w:pPr>
        <w:ind w:left="567"/>
        <w:jc w:val="both"/>
      </w:pPr>
      <w:r>
        <w:rPr>
          <w:b/>
          <w:i/>
        </w:rPr>
        <w:t>(Soit)</w:t>
      </w:r>
    </w:p>
    <w:p w14:paraId="410DDC6D" w14:textId="77777777" w:rsidR="00DF410E" w:rsidRDefault="00CE7F43">
      <w:pPr>
        <w:ind w:left="567"/>
        <w:jc w:val="both"/>
      </w:pPr>
      <w:r>
        <w:rPr>
          <w:rStyle w:val="soitChar"/>
          <w:u w:val="single"/>
        </w:rPr>
        <w:t>Flocage pâteux</w:t>
      </w:r>
    </w:p>
    <w:p w14:paraId="4BCE0EC6" w14:textId="77777777" w:rsidR="00DF410E" w:rsidRDefault="00CE7F43">
      <w:pPr>
        <w:ind w:left="567"/>
        <w:jc w:val="both"/>
      </w:pPr>
      <w:r>
        <w:rPr>
          <w:rStyle w:val="soitChar"/>
        </w:rPr>
        <w:t>A base de gypse ou vermiculite.</w:t>
      </w:r>
      <w:r>
        <w:t> </w:t>
      </w:r>
    </w:p>
    <w:p w14:paraId="3B199F37" w14:textId="77777777" w:rsidR="00DF410E" w:rsidRDefault="00CE7F43">
      <w:pPr>
        <w:ind w:left="567"/>
        <w:jc w:val="both"/>
      </w:pPr>
      <w:r>
        <w:rPr>
          <w:rStyle w:val="soitChar"/>
        </w:rPr>
        <w:t>Le produit est exempt d’amiante, de silice cristallisée, ou de tout autre produit nocif ou toxique.</w:t>
      </w:r>
      <w:r>
        <w:t> </w:t>
      </w:r>
    </w:p>
    <w:p w14:paraId="60FDE04A" w14:textId="77777777" w:rsidR="00DF410E" w:rsidRDefault="00CE7F43">
      <w:pPr>
        <w:ind w:left="567"/>
        <w:jc w:val="both"/>
      </w:pPr>
      <w:r>
        <w:rPr>
          <w:rStyle w:val="soitChar"/>
        </w:rPr>
        <w:t>Le flocage est appliqué mécaniquement à l’aide de machines à projeter qui respectent la granulométrie et la masse volumique des produits.</w:t>
      </w:r>
    </w:p>
    <w:p w14:paraId="06925286" w14:textId="77777777" w:rsidR="00DF410E" w:rsidRDefault="00CE7F43">
      <w:pPr>
        <w:jc w:val="both"/>
      </w:pPr>
      <w:r>
        <w:t>Ce traitement au feu n’est pas compris par défaut dans le poste, sauf contre-indication dans le cahier spécial des charges, à l’article concerné ci-dessus. </w:t>
      </w:r>
    </w:p>
    <w:p w14:paraId="367497C7" w14:textId="77777777" w:rsidR="00DF410E" w:rsidRDefault="00CE7F43">
      <w:r>
        <w:rPr>
          <w:b/>
          <w:u w:val="single"/>
        </w:rPr>
        <w:t>Pannes</w:t>
      </w:r>
    </w:p>
    <w:p w14:paraId="31EF7081" w14:textId="77777777" w:rsidR="00DF410E" w:rsidRDefault="00CE7F43">
      <w:pPr>
        <w:jc w:val="both"/>
      </w:pPr>
      <w:r>
        <w:t>Les pannes ne sont pas comprises par défaut dans le poste, sauf contre-indication dans le cahier spécial des charges.</w:t>
      </w:r>
    </w:p>
    <w:p w14:paraId="49BBDC14" w14:textId="77777777" w:rsidR="00DF410E" w:rsidRDefault="00CE7F43">
      <w:pPr>
        <w:pStyle w:val="pheading"/>
      </w:pPr>
      <w:r>
        <w:t>EXÉCUTION / MISE EN ŒUVRE</w:t>
      </w:r>
    </w:p>
    <w:p w14:paraId="46F6D597" w14:textId="77777777" w:rsidR="00DF410E" w:rsidRDefault="00CE7F43">
      <w:pPr>
        <w:jc w:val="both"/>
      </w:pPr>
      <w:r>
        <w:rPr>
          <w:b/>
        </w:rPr>
        <w:t>Timing - Influence de l'environnement - Mesures de protection</w:t>
      </w:r>
    </w:p>
    <w:p w14:paraId="066CD208" w14:textId="77777777" w:rsidR="00DF410E" w:rsidRDefault="00CE7F43">
      <w:pPr>
        <w:jc w:val="both"/>
      </w:pPr>
      <w:r>
        <w:t>Les charpentes ne peuvent être placées que lorsque l'auteur de projet et l'installateur estiment, en concertation mutuelle, que les conditions de mise en œuvre sont favorables.</w:t>
      </w:r>
    </w:p>
    <w:p w14:paraId="17C23E06" w14:textId="77777777" w:rsidR="00DF410E" w:rsidRDefault="00CE7F43">
      <w:pPr>
        <w:jc w:val="both"/>
      </w:pPr>
      <w:r>
        <w:t>Les charpentes et/ou les éléments qui le constituent sont autant que possible préfabriqués en atelier et acheminés en un seul lot sur le chantier. Lors du transport et de l’entreposage, les mesures nécessaires sont prises pour prévenir toute dégradation aux éléments proprement dits et au bâtiment. Ils sont immédiatement entreposés dans un endroit protégé et aéré. Si les éléments sont stockés à l’extérieur, il est recommandé de les protéger des influences atmosphériques, surtout pour un stockage de longue durée, afin d’éviter leur dégradation par la pluie.</w:t>
      </w:r>
    </w:p>
    <w:p w14:paraId="11D219BD" w14:textId="77777777" w:rsidR="00DF410E" w:rsidRDefault="00CE7F43">
      <w:pPr>
        <w:jc w:val="both"/>
      </w:pPr>
      <w:r>
        <w:t>Que les éléments soient entreposés verticalement ou horizontalement, ils doivent être suffisamment soutenus afin de ne subir ni dommage ni déformation. En outre, il faut éviter tout contact des éléments avec le sol ou la végétation.</w:t>
      </w:r>
    </w:p>
    <w:p w14:paraId="44322BEB" w14:textId="77777777" w:rsidR="00DF410E" w:rsidRDefault="00CE7F43">
      <w:pPr>
        <w:jc w:val="both"/>
      </w:pPr>
      <w:r>
        <w:rPr>
          <w:b/>
        </w:rPr>
        <w:t>Dessin d'étude et d'exécution</w:t>
      </w:r>
    </w:p>
    <w:p w14:paraId="53CBC26B" w14:textId="77777777" w:rsidR="00DF410E" w:rsidRDefault="00CE7F43">
      <w:pPr>
        <w:jc w:val="both"/>
      </w:pPr>
      <w:r>
        <w:t xml:space="preserve">Etude et plans d'exécution : conformément aux prescriptions du titre </w:t>
      </w:r>
      <w:hyperlink w:anchor="420" w:history="1">
        <w:r>
          <w:t>23.1 Eléments de structures métalliques</w:t>
        </w:r>
      </w:hyperlink>
      <w:r>
        <w:t>.</w:t>
      </w:r>
    </w:p>
    <w:p w14:paraId="4AEE59DD" w14:textId="77777777" w:rsidR="00DF410E" w:rsidRDefault="00CE7F43">
      <w:pPr>
        <w:jc w:val="both"/>
      </w:pPr>
      <w:r>
        <w:t>La composition de la ferme, les sections, les entre-distances et les chaînages éventuels découlent des calculs de l’ingénieur en stabilité. Les plans mentionnent ces données.</w:t>
      </w:r>
    </w:p>
    <w:p w14:paraId="34FA48B4" w14:textId="77777777" w:rsidR="00DF410E" w:rsidRDefault="00CE7F43">
      <w:pPr>
        <w:jc w:val="both"/>
      </w:pPr>
      <w:r>
        <w:t>Les charpentes sont exécutées conformément aux formes indiquées sur les plans et les coupes et selon les dessins de détail annexés au cahier spécial des charges.</w:t>
      </w:r>
    </w:p>
    <w:p w14:paraId="00C3FDEE" w14:textId="77777777" w:rsidR="00DF410E" w:rsidRDefault="00CE7F43">
      <w:pPr>
        <w:jc w:val="both"/>
      </w:pPr>
      <w:r>
        <w:t>Lorsque le dossier d'adjudication ne contient pas de dessins de détail spécifiques, la forme et les dimensions de bases sont données à titre indicatif.</w:t>
      </w:r>
    </w:p>
    <w:p w14:paraId="79F15372" w14:textId="77777777" w:rsidR="00DF410E" w:rsidRDefault="00CE7F43">
      <w:pPr>
        <w:jc w:val="both"/>
      </w:pPr>
      <w:r>
        <w:t>L'entrepreneur est tenu de contrôler les dimensions sur place et de vérifier si les charpentes ou les éléments peuvent être exécutés selon les plans soumis. Lorsque cela s'avère impossible, il en avertit l'auteur de projet ou le bureau d’étude le plus rapidement possible.</w:t>
      </w:r>
    </w:p>
    <w:p w14:paraId="3A1B4144" w14:textId="77777777" w:rsidR="00DF410E" w:rsidRDefault="00CE7F43">
      <w:pPr>
        <w:jc w:val="both"/>
      </w:pPr>
      <w:r>
        <w:t>Dans tous les cas, l'entrepreneur est tenu de réaliser les dessins d'exécution et de les soumettre préalablement à l'approbation de l'auteur de projet ou du bureau d’études. Toutes les pièces sont profilées et fabriquées conformément aux dessins d'exécution approuvés.</w:t>
      </w:r>
    </w:p>
    <w:p w14:paraId="42A38EAB" w14:textId="77777777" w:rsidR="00DF410E" w:rsidRDefault="00CE7F43">
      <w:pPr>
        <w:jc w:val="both"/>
      </w:pPr>
      <w:r>
        <w:t>L’entrepreneur soumet à l’approbation de l’auteur de projet le plan des éventuelles coupes réalisées dans l’ouvrage afin de permettre sa fabrication, son acheminement sur site et son placement.</w:t>
      </w:r>
    </w:p>
    <w:p w14:paraId="17A4FC1B" w14:textId="77777777" w:rsidR="00DF410E" w:rsidRDefault="00CE7F43">
      <w:pPr>
        <w:jc w:val="both"/>
      </w:pPr>
      <w:r>
        <w:rPr>
          <w:b/>
        </w:rPr>
        <w:t>Mise en œuvre</w:t>
      </w:r>
    </w:p>
    <w:p w14:paraId="2F686450" w14:textId="77777777" w:rsidR="00DF410E" w:rsidRDefault="00CE7F43">
      <w:pPr>
        <w:jc w:val="both"/>
      </w:pPr>
      <w:r>
        <w:t>Le poste comprend tous les travaux et fournitures nécessaires au montage, réglage, calage et scellement de la charpente métallique.</w:t>
      </w:r>
    </w:p>
    <w:p w14:paraId="52DD15FF" w14:textId="77777777" w:rsidR="00DF410E" w:rsidRDefault="00CE7F43">
      <w:pPr>
        <w:jc w:val="both"/>
      </w:pPr>
      <w:r>
        <w:t>Le charpentier doit également veiller à ce que les structures en attente de scellement ou les maçonneries restent parfaitement stables après réglage.</w:t>
      </w:r>
    </w:p>
    <w:p w14:paraId="06A1B5AD" w14:textId="77777777" w:rsidR="00DF410E" w:rsidRDefault="00CE7F43">
      <w:pPr>
        <w:jc w:val="both"/>
      </w:pPr>
      <w:r>
        <w:t>Le calage doit assurer un contact convenable entre les éléments d’assise du gros-œuvre ou de la structure, et les éléments d’appui de la charpente.</w:t>
      </w:r>
    </w:p>
    <w:p w14:paraId="04C35FC1" w14:textId="77777777" w:rsidR="00DF410E" w:rsidRDefault="00CE7F43">
      <w:pPr>
        <w:jc w:val="both"/>
      </w:pPr>
      <w:r>
        <w:t>La charpente est ancrée au gros-œuvre  de façon à éviter tout déplacement causé par les actions auxquelles elle est soumise. Le dimensionnement des ancrages est déterminé par calcul ou par essais. Les organes d’ancrage comprennent : sabots, équerres, boulons ou tiges filetées, etc.</w:t>
      </w:r>
    </w:p>
    <w:p w14:paraId="563D218A" w14:textId="77777777" w:rsidR="00DF410E" w:rsidRDefault="00CE7F43">
      <w:pPr>
        <w:jc w:val="both"/>
      </w:pPr>
      <w:r>
        <w:t>Il est indispensable de prévoir un contreventement dans le plan de la toiture, qui assure également un rôle anti-voilement. En règle générale, les contreventements sont prévus par paire. La distance entre les parties pourvues d’un contreventement s’élève à 15m maximum, à moins que les calculs ne démontrent que ce n’est pas nécessaire.</w:t>
      </w:r>
    </w:p>
    <w:p w14:paraId="023C8E58" w14:textId="77777777" w:rsidR="00DF410E" w:rsidRDefault="00CE7F43">
      <w:pPr>
        <w:jc w:val="both"/>
      </w:pPr>
      <w:r>
        <w:t>L’entrepreneur organise l'ensemble de l'ouvrage de manière telle que, de tout temps et pendant toute la durée des manipulations nécessaires et possibles des divers éléments, la stabilité de l'ensemble et de chaque élément séparément soit garantie.</w:t>
      </w:r>
    </w:p>
    <w:p w14:paraId="682D65F6" w14:textId="77777777" w:rsidR="00DF410E" w:rsidRDefault="00CE7F43">
      <w:pPr>
        <w:jc w:val="both"/>
      </w:pPr>
      <w:r>
        <w:t>Toutes les pièces sont solidement attachées ou ancrées aux ouvrages de construction attenants à l'aide de chevilles, ancrages chimiques appropriés, de boulons, vis, écrous et contre-écrous, etc. ... afin d'obtenir un montage solide qui ne cède pas, même lors d'un usage intensif.</w:t>
      </w:r>
    </w:p>
    <w:p w14:paraId="30AD7DB7" w14:textId="77777777" w:rsidR="00DF410E" w:rsidRDefault="00CE7F43">
      <w:pPr>
        <w:jc w:val="both"/>
      </w:pPr>
      <w:r>
        <w:t>Lorsque les éléments doivent être vissés dans des blocs de construction apparents, des briques ou des éléments en béton apparent, le forage est effectué avec toute la prudence qui s'impose afin de ne pas endommager ni déchausser les briques ou les blocs.</w:t>
      </w:r>
    </w:p>
    <w:p w14:paraId="0ABC9CD1" w14:textId="77777777" w:rsidR="00DF410E" w:rsidRDefault="00CE7F43">
      <w:pPr>
        <w:jc w:val="both"/>
      </w:pPr>
      <w:r>
        <w:t>Les recommandations de l'auteur de projet en ce qui concerne la pose de membranes d'étanchéité ou d'isolation afin de prévenir les ponts d'humidité ou les ponts thermiques sont scrupuleusement respectées par l'entrepreneur. Lorsque ces recommandations ne sont pas mentionnées explicitement dans les documents d'exécution, l'entrepreneur s'informe avant de commencer ses travaux.</w:t>
      </w:r>
    </w:p>
    <w:p w14:paraId="00D8AE69" w14:textId="77777777" w:rsidR="00DF410E" w:rsidRDefault="00CE7F43">
      <w:pPr>
        <w:jc w:val="both"/>
      </w:pPr>
      <w:r>
        <w:t>Les tirants horizontaux de toutes les fermes doivent être parfaitement de niveau.</w:t>
      </w:r>
    </w:p>
    <w:p w14:paraId="13A79344" w14:textId="77777777" w:rsidR="00DF410E" w:rsidRDefault="00CE7F43">
      <w:pPr>
        <w:jc w:val="both"/>
      </w:pPr>
      <w:r>
        <w:t>La charpente est mise en œuvre conformément aux prescriptions de la section 9 de la [NBN EN 1090-2], notamment :</w:t>
      </w:r>
    </w:p>
    <w:p w14:paraId="1EC9561F" w14:textId="77777777" w:rsidR="00DF410E" w:rsidRDefault="00CE7F43">
      <w:pPr>
        <w:jc w:val="both"/>
      </w:pPr>
      <w:r>
        <w:rPr>
          <w:i/>
          <w:u w:val="single"/>
        </w:rPr>
        <w:t>Appuis</w:t>
      </w:r>
    </w:p>
    <w:p w14:paraId="2CF9AE01" w14:textId="77777777" w:rsidR="00DF410E" w:rsidRDefault="00CE7F43">
      <w:pPr>
        <w:jc w:val="both"/>
      </w:pPr>
      <w:r>
        <w:t>L'état et la position des appuis doivent être contrôlés à l'aide de moyens visuels et de mesure appropriés avant de commencer le montage.</w:t>
      </w:r>
    </w:p>
    <w:p w14:paraId="01952A2E" w14:textId="77777777" w:rsidR="00DF410E" w:rsidRDefault="00CE7F43">
      <w:pPr>
        <w:jc w:val="both"/>
      </w:pPr>
      <w:r>
        <w:t>Si les appuis sont inadaptés pour le montage, ils doivent être corrigés avant de commencer celui-ci.</w:t>
      </w:r>
    </w:p>
    <w:p w14:paraId="527FDF52" w14:textId="77777777" w:rsidR="00DF410E" w:rsidRDefault="00CE7F43">
      <w:pPr>
        <w:jc w:val="both"/>
      </w:pPr>
      <w:r>
        <w:t>En cas de non-conformités des appuis, l’entrepreneur avertit l'auteur de projet ou le bureau d’étude le plus rapidement possible.</w:t>
      </w:r>
    </w:p>
    <w:p w14:paraId="0EA71C41" w14:textId="77777777" w:rsidR="00DF410E" w:rsidRDefault="00CE7F43">
      <w:pPr>
        <w:jc w:val="both"/>
      </w:pPr>
      <w:r>
        <w:t>Toutes les tiges d'ancrage et autres appuis prévus pour recevoir la charpente métallique doivent être convenablement préparés.</w:t>
      </w:r>
    </w:p>
    <w:p w14:paraId="3BF3AD93" w14:textId="77777777" w:rsidR="00DF410E" w:rsidRDefault="00CE7F43">
      <w:pPr>
        <w:jc w:val="both"/>
      </w:pPr>
      <w:r>
        <w:t>Le montage ne doit pas commencer tant que la position et le niveau des appuis, des ancrages ou des appareils d'appui ne sont pas conformes, ou tant qu'une modification appropriée des exigences spécifiées n'a pas été établie.</w:t>
      </w:r>
    </w:p>
    <w:p w14:paraId="0E56B094" w14:textId="77777777" w:rsidR="00DF410E" w:rsidRDefault="00CE7F43">
      <w:pPr>
        <w:jc w:val="both"/>
      </w:pPr>
      <w:r>
        <w:t>L'étude de conformité utilisée pour vérifier l'implantation des appuis doit être consignée.</w:t>
      </w:r>
    </w:p>
    <w:p w14:paraId="2EC0DEE1" w14:textId="77777777" w:rsidR="00DF410E" w:rsidRDefault="00CE7F43">
      <w:pPr>
        <w:jc w:val="both"/>
      </w:pPr>
      <w:r>
        <w:t>Lorsque des tiges d'ancrage doivent être précontraintes, des dispositions doivent être prises pour que leurs parties supérieures sur 100 mm, au minimum, n'adhèrent pas au béton.</w:t>
      </w:r>
    </w:p>
    <w:p w14:paraId="383331A9" w14:textId="77777777" w:rsidR="00DF410E" w:rsidRDefault="00CE7F43">
      <w:pPr>
        <w:jc w:val="both"/>
      </w:pPr>
      <w:r>
        <w:t>Au cours du montage, les appuis destinés à la charpente doivent être conservés dans un état équivalent à l'état dans lequel ils étaient au début du montage.</w:t>
      </w:r>
    </w:p>
    <w:p w14:paraId="1F04E4A8" w14:textId="77777777" w:rsidR="00DF410E" w:rsidRDefault="00CE7F43">
      <w:pPr>
        <w:jc w:val="both"/>
      </w:pPr>
      <w:r>
        <w:t>Sauf spécification contraire, une compensation du tassement des appuis peut être acceptée. Elle doit être réalisée par scellement ou calage entre la charpente et l'appui.</w:t>
      </w:r>
    </w:p>
    <w:p w14:paraId="19C4C6B8" w14:textId="77777777" w:rsidR="00DF410E" w:rsidRDefault="00CE7F43">
      <w:pPr>
        <w:jc w:val="both"/>
      </w:pPr>
      <w:r>
        <w:rPr>
          <w:i/>
          <w:u w:val="single"/>
        </w:rPr>
        <w:t>Calages provisoires</w:t>
      </w:r>
    </w:p>
    <w:p w14:paraId="2D083179" w14:textId="77777777" w:rsidR="00DF410E" w:rsidRDefault="00CE7F43">
      <w:pPr>
        <w:jc w:val="both"/>
      </w:pPr>
      <w:r>
        <w:t>Les fourrures et autres dispositifs d'appui utilisés comme calages provisoires sous les plaques d'appui de la charpente doivent présenter une surface plane côté plaque, et être de dimensions, résistance et rigidité appropriées afin d'éviter l'écrasement local du béton de l’infrastructure ou de la maçonnerie.</w:t>
      </w:r>
    </w:p>
    <w:p w14:paraId="2E5EC460" w14:textId="77777777" w:rsidR="00DF410E" w:rsidRDefault="00CE7F43">
      <w:pPr>
        <w:jc w:val="both"/>
      </w:pPr>
      <w:r>
        <w:t>Si des calages sont destinés à être scellés ultérieurement, ils doivent être constitués de matériaux possédant la même durabilité que celle de la charpente, et ils doivent être positionnés de telle façon que le produit de scellement les englobe entièrement et les recouvre d'au moins 25 mm, sauf spécification contraire.</w:t>
      </w:r>
    </w:p>
    <w:p w14:paraId="04A0736A" w14:textId="77777777" w:rsidR="00DF410E" w:rsidRDefault="00CE7F43">
      <w:pPr>
        <w:jc w:val="both"/>
      </w:pPr>
      <w:r>
        <w:t>Lorsque la mise à niveau est obtenue à l'aide d'écrous de réglage installés sur les tiges d'ancrage sous la plaque d'appui, ces écrous peuvent être laissés en place, sauf spécification contraire. Les écrous doivent être choisis de manière à s'assurer qu'ils sont aptes à maintenir la stabilité de la structure partiellement montée, sans compromettre les performances de la tige d'ancrage en service.</w:t>
      </w:r>
    </w:p>
    <w:p w14:paraId="1A786980" w14:textId="77777777" w:rsidR="00DF410E" w:rsidRDefault="00CE7F43">
      <w:pPr>
        <w:jc w:val="both"/>
      </w:pPr>
      <w:r>
        <w:rPr>
          <w:i/>
          <w:u w:val="single"/>
        </w:rPr>
        <w:t>Scellement et remplissage</w:t>
      </w:r>
    </w:p>
    <w:p w14:paraId="18740BA0" w14:textId="77777777" w:rsidR="00DF410E" w:rsidRDefault="00CE7F43">
      <w:pPr>
        <w:jc w:val="both"/>
      </w:pPr>
      <w:r>
        <w:t>Si les espaces libres sous les plaques d'appui doivent être scellés, le matériau doit être utilisé conformément au paragraphe 5.9 de la [NBN EN 1090-2].</w:t>
      </w:r>
    </w:p>
    <w:p w14:paraId="36EEAE7A" w14:textId="77777777" w:rsidR="00DF410E" w:rsidRDefault="00CE7F43">
      <w:pPr>
        <w:jc w:val="both"/>
      </w:pPr>
      <w:r>
        <w:t>Immédiatement avant le remplissage, l'espace libre sous les plaques d'appui de la charpente doivent être exempt de liquides, glace, gravats et autres souillures.</w:t>
      </w:r>
    </w:p>
    <w:p w14:paraId="7DA83E61" w14:textId="77777777" w:rsidR="00DF410E" w:rsidRDefault="00CE7F43">
      <w:pPr>
        <w:jc w:val="both"/>
      </w:pPr>
      <w:r>
        <w:t>Le matériau de remplissage doit être utilisé de la manière suivante :</w:t>
      </w:r>
    </w:p>
    <w:p w14:paraId="3A6E1B0E" w14:textId="77777777" w:rsidR="00DF410E" w:rsidRDefault="00CE7F43">
      <w:pPr>
        <w:ind w:left="567"/>
        <w:jc w:val="both"/>
      </w:pPr>
      <w:r>
        <w:t>a) le matériau doit être gâché et utilisé conformément aux recommandations du fabricant du produit, notamment en ce qui concerne sa consistance lors de sa mise en œuvre  ; le matériau ne doit pas être gâché ni utilisé à une température inférieure à 5 °C, sauf si les instructions du fabricant l'autorisent ;</w:t>
      </w:r>
    </w:p>
    <w:p w14:paraId="2D10BFD4" w14:textId="77777777" w:rsidR="00DF410E" w:rsidRDefault="00CE7F43">
      <w:pPr>
        <w:ind w:left="567"/>
        <w:jc w:val="both"/>
      </w:pPr>
      <w:r>
        <w:t>b) le matériau doit être injecté sous une pression adéquate pour remplir totalement l'espace libre ;</w:t>
      </w:r>
    </w:p>
    <w:p w14:paraId="769BF663" w14:textId="77777777" w:rsidR="00DF410E" w:rsidRDefault="00CE7F43">
      <w:pPr>
        <w:ind w:left="567"/>
        <w:jc w:val="both"/>
      </w:pPr>
      <w:r>
        <w:t>c) un bourrage et un damage contre des parois prévues à cet effet doivent être effectués suivant les recommandations du fabricant du produit de scellement ;</w:t>
      </w:r>
    </w:p>
    <w:p w14:paraId="58483404" w14:textId="77777777" w:rsidR="00DF410E" w:rsidRDefault="00CE7F43">
      <w:pPr>
        <w:ind w:left="567"/>
        <w:jc w:val="both"/>
      </w:pPr>
      <w:r>
        <w:t>d) des trous d’évent autant que nécessaire doivent être prévus.</w:t>
      </w:r>
    </w:p>
    <w:p w14:paraId="650067A0" w14:textId="77777777" w:rsidR="00DF410E" w:rsidRDefault="00CE7F43">
      <w:pPr>
        <w:jc w:val="both"/>
      </w:pPr>
      <w:r>
        <w:t>L’entrepreneur veille à ce que la forme extérieure du remplissage permette à l'eau de s'évacuer du voisinage des éléments structuraux.</w:t>
      </w:r>
    </w:p>
    <w:p w14:paraId="5B944DB9" w14:textId="77777777" w:rsidR="00DF410E" w:rsidRDefault="00CE7F43">
      <w:pPr>
        <w:jc w:val="both"/>
      </w:pPr>
      <w:r>
        <w:rPr>
          <w:i/>
          <w:u w:val="single"/>
        </w:rPr>
        <w:t>Ancrage</w:t>
      </w:r>
    </w:p>
    <w:p w14:paraId="6376A1EC" w14:textId="77777777" w:rsidR="00DF410E" w:rsidRDefault="00CE7F43">
      <w:pPr>
        <w:jc w:val="both"/>
      </w:pPr>
      <w:r>
        <w:t>Les dispositifs d'ancrage dans les parties en béton de la structure ou dans des structures adjacentes doivent être mis en place conformément à leur spécification. Des mesures appropriées doivent être prises pour éviter toute dégradation afin d'obtenir la force d'ancrage nécessaire. </w:t>
      </w:r>
    </w:p>
    <w:p w14:paraId="592ED444" w14:textId="77777777" w:rsidR="00DF410E" w:rsidRDefault="00CE7F43">
      <w:pPr>
        <w:jc w:val="both"/>
      </w:pPr>
      <w:r>
        <w:rPr>
          <w:i/>
          <w:u w:val="single"/>
        </w:rPr>
        <w:t>Ajustement et alignement</w:t>
      </w:r>
    </w:p>
    <w:p w14:paraId="7492265E" w14:textId="77777777" w:rsidR="00DF410E" w:rsidRDefault="00CE7F43">
      <w:pPr>
        <w:jc w:val="both"/>
      </w:pPr>
      <w:r>
        <w:t>Une attention particulière est portée au fait qu'aucune partie de la charpente ne soit déformée de façon permanente ou surchargée au cours des opérations de montage.</w:t>
      </w:r>
    </w:p>
    <w:p w14:paraId="25D6D30B" w14:textId="77777777" w:rsidR="00DF410E" w:rsidRDefault="00CE7F43">
      <w:pPr>
        <w:jc w:val="both"/>
      </w:pPr>
      <w:r>
        <w:t>Chaque partie de la charpente doit être réglée dès que possible après montage, et l'assemblage final réalisé dès que possible.</w:t>
      </w:r>
    </w:p>
    <w:p w14:paraId="3D6B203E" w14:textId="77777777" w:rsidR="00DF410E" w:rsidRDefault="00CE7F43">
      <w:pPr>
        <w:jc w:val="both"/>
      </w:pPr>
      <w:r>
        <w:t>Aucun assemblage permanent entre éléments ne doit être réalisé avant qu'une partie suffisante de la charpente n’ait été alignée, mise de niveau, mise d'aplomb et assemblée provisoirement pour garantir les éléments contre tout déplacement au cours du montage ou de l'alignement ultérieur du reste de la charpente.</w:t>
      </w:r>
    </w:p>
    <w:p w14:paraId="51C0BCCB" w14:textId="77777777" w:rsidR="00DF410E" w:rsidRDefault="00CE7F43">
      <w:pPr>
        <w:jc w:val="both"/>
      </w:pPr>
      <w:r>
        <w:t>L'alignement de la charpente et les défauts d’accostage au sein des assemblages peuvent être réglés au moyen de cales. Celles-ci doivent être fixées lorsqu'elles risquent de se détacher.</w:t>
      </w:r>
    </w:p>
    <w:p w14:paraId="6A17A284" w14:textId="77777777" w:rsidR="00DF410E" w:rsidRDefault="00CE7F43">
      <w:pPr>
        <w:jc w:val="both"/>
      </w:pPr>
      <w:r>
        <w:t>Sauf spécification contraire, les cales doivent présenter une durabilité identique à celle de la charpente.</w:t>
      </w:r>
    </w:p>
    <w:p w14:paraId="27C29BF0" w14:textId="77777777" w:rsidR="00DF410E" w:rsidRDefault="00CE7F43">
      <w:pPr>
        <w:jc w:val="both"/>
      </w:pPr>
      <w:r>
        <w:t>Les jeux résiduels dans les assemblages avec boulons non précontraints, ou boulons précontraints avant application de la précontrainte, doivent respecter les prescriptions des paragraphes 8.3 et 8.5.1 de la [NBN EN 1090-2].</w:t>
      </w:r>
    </w:p>
    <w:p w14:paraId="6FE514EF" w14:textId="77777777" w:rsidR="00DF410E" w:rsidRDefault="00CE7F43">
      <w:pPr>
        <w:jc w:val="both"/>
      </w:pPr>
      <w:r>
        <w:t>Lorsqu'un un défaut d’accostage entre éléments montés ne peut être corrigé au moyen de cales, les éléments de la structure doivent être modifiés localement conformément aux méthodes spécifiées dans la [NBN EN 1090-2]. Les modifications ne doivent pas compromettre les performances de la charpente dans l'état provisoire ou permanent. Ces travaux peuvent être réalisés sur chantier. Si les modifications sont trop importantes, l’élément est refusé et retourne à l’atelier ou est remplacé.</w:t>
      </w:r>
    </w:p>
    <w:p w14:paraId="4261115B" w14:textId="77777777" w:rsidR="00DF410E" w:rsidRDefault="00CE7F43">
      <w:pPr>
        <w:jc w:val="both"/>
      </w:pPr>
      <w:r>
        <w:t>Le brochage peut être utilisé pour aligner les assemblages, sauf interdiction explicite par le bureau d’étude.</w:t>
      </w:r>
    </w:p>
    <w:p w14:paraId="20E3A5B4" w14:textId="77777777" w:rsidR="00DF410E" w:rsidRDefault="00CE7F43">
      <w:pPr>
        <w:jc w:val="both"/>
      </w:pPr>
      <w:r>
        <w:t>Les trous destinés aux boulons utilisés pour la transmission des efforts ne doivent pas être ovalisés au-delà des valeurs données au paragraphe 6.9 de la [NBN EN 1090-2].</w:t>
      </w:r>
    </w:p>
    <w:p w14:paraId="5858B578" w14:textId="77777777" w:rsidR="00DF410E" w:rsidRDefault="00CE7F43">
      <w:pPr>
        <w:jc w:val="both"/>
      </w:pPr>
      <w:r>
        <w:t>En cas d'alignement défectueux de trous destinés aux boulons, les corrections sont apportées suivant les prescriptions du paragraphe 12 de la [NBN EN 1090-2].</w:t>
      </w:r>
    </w:p>
    <w:p w14:paraId="5E369695" w14:textId="77777777" w:rsidR="00DF410E" w:rsidRDefault="00CE7F43">
      <w:pPr>
        <w:jc w:val="both"/>
      </w:pPr>
      <w:r>
        <w:t>La correction d'un alignement défectueux par alésage ou fraisage est préférable, mais lorsque l'utilisation d'autres méthodes de coupe est inévitable, la conformité aux prescriptions de la section 6 de la [NBN EN 1090-2] pour la finition interne de tous les trous réalisés par ces autres méthodes doit être spécifiquement vérifiée.</w:t>
      </w:r>
    </w:p>
    <w:p w14:paraId="6F3BB1BC" w14:textId="77777777" w:rsidR="00DF410E" w:rsidRDefault="00CE7F43">
      <w:pPr>
        <w:jc w:val="both"/>
      </w:pPr>
      <w:r>
        <w:t>Les trous réalignés doivent être conformes aux exigences concernant les trous oblongs ou surdimensionnés mentionnées au paragraphe 6.6 de la [NBN EN 1090-2], et est admise à condition qu'une vérification de la transmission des efforts ait été réalisée.</w:t>
      </w:r>
    </w:p>
    <w:p w14:paraId="601E70CE" w14:textId="77777777" w:rsidR="00DF410E" w:rsidRDefault="00CE7F43">
      <w:pPr>
        <w:jc w:val="both"/>
      </w:pPr>
      <w:r>
        <w:t>Les assemblages terminés réalisés sur chantier doivent être contrôlés conformément au paragraphe 12.5 de la [NBN EN 1090-2]. </w:t>
      </w:r>
    </w:p>
    <w:p w14:paraId="0ADA8441" w14:textId="77777777" w:rsidR="00DF410E" w:rsidRDefault="00CE7F43">
      <w:pPr>
        <w:jc w:val="both"/>
      </w:pPr>
      <w:r>
        <w:rPr>
          <w:b/>
        </w:rPr>
        <w:t>Pannes</w:t>
      </w:r>
    </w:p>
    <w:p w14:paraId="7C1056ED" w14:textId="77777777" w:rsidR="00DF410E" w:rsidRDefault="00CE7F43">
      <w:pPr>
        <w:jc w:val="both"/>
      </w:pPr>
      <w:r>
        <w:t>Les pattes qui servent à fixer les pannes et qui sont directement soudées sur les arbalétriers font partie intégrante de cet article. Les pattes qui sont boulonnées par la suite lors de la pose de pannes font partie de l’assemblage des pannes et ne sont pas reprises dans ce poste, sauf contre-indication dans le cahier spécial des charges.</w:t>
      </w:r>
    </w:p>
    <w:p w14:paraId="19E3AD79" w14:textId="77777777" w:rsidR="00DF410E" w:rsidRDefault="00CE7F43">
      <w:pPr>
        <w:pStyle w:val="pheading"/>
      </w:pPr>
      <w:r>
        <w:t>CONTRÔLES</w:t>
      </w:r>
    </w:p>
    <w:p w14:paraId="4E82B9AC" w14:textId="77777777" w:rsidR="00DF410E" w:rsidRDefault="00CE7F43">
      <w:pPr>
        <w:jc w:val="both"/>
      </w:pPr>
      <w:r>
        <w:t>Les faces inférieures des arbalétriers doivent toutes se situer dans un même plan.</w:t>
      </w:r>
    </w:p>
    <w:p w14:paraId="0819D69A" w14:textId="77777777" w:rsidR="00DF410E" w:rsidRDefault="00CE7F43">
      <w:pPr>
        <w:jc w:val="both"/>
      </w:pPr>
      <w:r>
        <w:rPr>
          <w:b/>
        </w:rPr>
        <w:t>Tolérances géométriques</w:t>
      </w:r>
    </w:p>
    <w:p w14:paraId="624A80A0" w14:textId="77777777" w:rsidR="00DF410E" w:rsidRDefault="00CE7F43">
      <w:pPr>
        <w:jc w:val="both"/>
      </w:pPr>
      <w:r>
        <w:t>Conformément à l’annexe B de la [NBN EN 1090-2]. La classe 1 est d’application.</w:t>
      </w:r>
    </w:p>
    <w:p w14:paraId="5F355A2E" w14:textId="77777777" w:rsidR="00DF410E" w:rsidRDefault="00CE7F43">
      <w:pPr>
        <w:jc w:val="both"/>
      </w:pPr>
      <w:r>
        <w:t>Lorsqu’une même tolérance est reprise plusieurs fois dans des tableaux différents, la valeur la plus sévère est à respecter.</w:t>
      </w:r>
    </w:p>
    <w:p w14:paraId="1CD191AC" w14:textId="77777777" w:rsidR="00DF410E" w:rsidRDefault="00CE7F43">
      <w:pPr>
        <w:jc w:val="both"/>
      </w:pPr>
      <w:r>
        <w:rPr>
          <w:b/>
        </w:rPr>
        <w:t>Assemblages</w:t>
      </w:r>
    </w:p>
    <w:p w14:paraId="2ECE29BC" w14:textId="77777777" w:rsidR="00DF410E" w:rsidRDefault="00CE7F43">
      <w:pPr>
        <w:jc w:val="both"/>
      </w:pPr>
      <w:r>
        <w:t>Les assemblages réalisés sur chantier doivent être contrôlés conformément au paragraphe 12.5 de la [NBN EN 1090-2].</w:t>
      </w:r>
    </w:p>
    <w:p w14:paraId="3623D841" w14:textId="77777777" w:rsidR="00DF410E" w:rsidRDefault="00CE7F43">
      <w:pPr>
        <w:pStyle w:val="pheading"/>
      </w:pPr>
      <w:r>
        <w:t>DOCUMENTS DE RÉFÉRENCE</w:t>
      </w:r>
    </w:p>
    <w:p w14:paraId="182C0FFB" w14:textId="77777777" w:rsidR="00DF410E" w:rsidRDefault="00CE7F43">
      <w:pPr>
        <w:pStyle w:val="pheading"/>
      </w:pPr>
      <w:r>
        <w:t>- Matériau</w:t>
      </w:r>
    </w:p>
    <w:p w14:paraId="6D6DC5E8" w14:textId="77777777" w:rsidR="00DF410E" w:rsidRDefault="00CE7F43">
      <w:r>
        <w:t>[NBN EN 10025 série, Produits laminés à chaud en aciers de construction]</w:t>
      </w:r>
    </w:p>
    <w:p w14:paraId="274E3830" w14:textId="77777777" w:rsidR="00DF410E" w:rsidRDefault="00CE7F43">
      <w:r>
        <w:t>[NBN B 03-003, Déformation des structures - Valeurs limites de déformation - Bâtiments]</w:t>
      </w:r>
    </w:p>
    <w:p w14:paraId="7ECE5A48"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4D6A7BFC" w14:textId="77777777" w:rsidR="00DF410E" w:rsidRDefault="00CE7F43">
      <w:r>
        <w:t>[AM 2013-05-17, Arrêté ministériel relatif à l’utilisation des Eurocodes comme méthodes de calcul pour l’évaluation de la résistance au feu d’éléments de construction]</w:t>
      </w:r>
    </w:p>
    <w:p w14:paraId="092347E5" w14:textId="77777777" w:rsidR="00DF410E" w:rsidRDefault="00CE7F43">
      <w:pPr>
        <w:pStyle w:val="pheading"/>
      </w:pPr>
      <w:r>
        <w:t>- Exécution</w:t>
      </w:r>
    </w:p>
    <w:p w14:paraId="2989CB66" w14:textId="77777777" w:rsidR="00DF410E" w:rsidRDefault="00CE7F43">
      <w:r>
        <w:t>[NBN EN 1090-2, Exécution des structures en acier et des structures en aluminium - Partie 2: Exigences techniques pour les structures en acier]</w:t>
      </w:r>
    </w:p>
    <w:p w14:paraId="264CCC2B" w14:textId="77777777" w:rsidR="00DF410E" w:rsidRDefault="00CE7F43">
      <w:pPr>
        <w:pStyle w:val="Author-eSectionHeading6"/>
      </w:pPr>
      <w:bookmarkStart w:id="1336" w:name="_Toc178838452"/>
      <w:r>
        <w:t>23.23.1a Fermes de toiture en acier laminé à chaud CCTB 01.11</w:t>
      </w:r>
      <w:bookmarkEnd w:id="1336"/>
    </w:p>
    <w:p w14:paraId="6B41455E" w14:textId="77777777" w:rsidR="00DF410E" w:rsidRDefault="00CE7F43">
      <w:pPr>
        <w:pStyle w:val="pheading"/>
      </w:pPr>
      <w:bookmarkStart w:id="1337" w:name="554"/>
      <w:bookmarkEnd w:id="1337"/>
      <w:r>
        <w:t>DESCRIPTION</w:t>
      </w:r>
    </w:p>
    <w:p w14:paraId="420F0662" w14:textId="77777777" w:rsidR="00DF410E" w:rsidRDefault="00CE7F43">
      <w:pPr>
        <w:pStyle w:val="pheading"/>
      </w:pPr>
      <w:r>
        <w:t>- Définition / Comprend</w:t>
      </w:r>
    </w:p>
    <w:p w14:paraId="5574B258" w14:textId="77777777" w:rsidR="00DF410E" w:rsidRDefault="00CE7F43">
      <w:pPr>
        <w:jc w:val="both"/>
      </w:pPr>
      <w:r>
        <w:t>Il s'agit de fermes de toiture constituées d'éléments linéaires en acier laminées à chaud, composant la structure portante de la toiture, préfabriquées à l'atelier, montées et assemblées sur chantier aux ouvrages de construction déjà exécutés. Ces fermes sont placées à distance régulière.</w:t>
      </w:r>
    </w:p>
    <w:p w14:paraId="78EAC483" w14:textId="77777777" w:rsidR="00DF410E" w:rsidRDefault="00CE7F43">
      <w:pPr>
        <w:jc w:val="both"/>
      </w:pPr>
      <w:r>
        <w:t xml:space="preserve">La portée des travaux est décrite au chapitre </w:t>
      </w:r>
      <w:hyperlink w:anchor="553" w:history="1">
        <w:r>
          <w:t>23.23.1 Charpentes de toiture en acier laminé à chaud</w:t>
        </w:r>
      </w:hyperlink>
      <w:r>
        <w:t>.</w:t>
      </w:r>
    </w:p>
    <w:p w14:paraId="6181E108" w14:textId="77777777" w:rsidR="00DF410E" w:rsidRDefault="00CE7F43">
      <w:pPr>
        <w:pStyle w:val="pheading"/>
      </w:pPr>
      <w:r>
        <w:t>- Localisation</w:t>
      </w:r>
    </w:p>
    <w:p w14:paraId="4EA2CB18" w14:textId="77777777" w:rsidR="00DF410E" w:rsidRDefault="00CE7F43">
      <w:r>
        <w:t>Les travaux sont localisés :</w:t>
      </w:r>
      <w:r>
        <w:rPr>
          <w:rStyle w:val="optioncarChar"/>
        </w:rPr>
        <w:t xml:space="preserve"> ***</w:t>
      </w:r>
      <w:r>
        <w:t>.</w:t>
      </w:r>
    </w:p>
    <w:p w14:paraId="565633BB" w14:textId="77777777" w:rsidR="00DF410E" w:rsidRDefault="00CE7F43">
      <w:r>
        <w:t>Voir plans et métrés détaillés.</w:t>
      </w:r>
    </w:p>
    <w:p w14:paraId="440B68DF" w14:textId="77777777" w:rsidR="00DF410E" w:rsidRDefault="00CE7F43">
      <w:pPr>
        <w:pStyle w:val="pheading"/>
      </w:pPr>
      <w:r>
        <w:t>MATÉRIAUX</w:t>
      </w:r>
    </w:p>
    <w:p w14:paraId="04C307FC" w14:textId="77777777" w:rsidR="00DF410E" w:rsidRDefault="00CE7F43">
      <w:pPr>
        <w:pStyle w:val="pheading"/>
      </w:pPr>
      <w:r>
        <w:t>- Caractéristiques générales</w:t>
      </w:r>
    </w:p>
    <w:p w14:paraId="49160146" w14:textId="77777777" w:rsidR="00DF410E" w:rsidRDefault="00CE7F43">
      <w:pPr>
        <w:jc w:val="both"/>
      </w:pPr>
      <w:r>
        <w:t xml:space="preserve">Types de profilés : </w:t>
      </w:r>
      <w:r>
        <w:rPr>
          <w:rStyle w:val="optioncarChar"/>
        </w:rPr>
        <w:t xml:space="preserve">voir données mentionnées sur les plans </w:t>
      </w:r>
      <w:r>
        <w:t xml:space="preserve">(par défaut) </w:t>
      </w:r>
      <w:r>
        <w:rPr>
          <w:rStyle w:val="optioncarChar"/>
        </w:rPr>
        <w:t>/ IPE / HEA / HEB / HEM / tube carré (SHS) / tube rectangulaire (RHS) / ***</w:t>
      </w:r>
      <w:r>
        <w:t>.</w:t>
      </w:r>
    </w:p>
    <w:p w14:paraId="6C3BB324" w14:textId="77777777" w:rsidR="00DF410E" w:rsidRDefault="00CE7F43">
      <w:pPr>
        <w:pStyle w:val="pheading"/>
      </w:pPr>
      <w:r>
        <w:t>EXÉCUTION / MISE EN ŒUVRE</w:t>
      </w:r>
    </w:p>
    <w:p w14:paraId="49546EAE" w14:textId="77777777" w:rsidR="00DF410E" w:rsidRDefault="00CE7F43">
      <w:pPr>
        <w:pStyle w:val="pheading"/>
      </w:pPr>
      <w:r>
        <w:t>- Prescriptions générales</w:t>
      </w:r>
    </w:p>
    <w:p w14:paraId="4726D3C4" w14:textId="77777777" w:rsidR="00DF410E" w:rsidRDefault="00CE7F43">
      <w:r>
        <w:rPr>
          <w:b/>
          <w:u w:val="single"/>
        </w:rPr>
        <w:t>Pannes</w:t>
      </w:r>
    </w:p>
    <w:p w14:paraId="3796D5C7" w14:textId="77777777" w:rsidR="00DF410E" w:rsidRDefault="00CE7F43">
      <w:r>
        <w:t xml:space="preserve">Position des pattes de fixation pour les pannes par rapport aux fermes : </w:t>
      </w:r>
      <w:r>
        <w:rPr>
          <w:rStyle w:val="optioncarChar"/>
        </w:rPr>
        <w:t xml:space="preserve">au-dessus des fermes </w:t>
      </w:r>
      <w:r>
        <w:t>(par défaut)</w:t>
      </w:r>
      <w:r>
        <w:rPr>
          <w:rStyle w:val="optioncarChar"/>
        </w:rPr>
        <w:t xml:space="preserve"> / entre les fermes / pas d’application.</w:t>
      </w:r>
    </w:p>
    <w:p w14:paraId="30940963" w14:textId="77777777" w:rsidR="00DF410E" w:rsidRDefault="00CE7F43">
      <w:pPr>
        <w:ind w:left="567"/>
      </w:pPr>
      <w:r>
        <w:rPr>
          <w:b/>
          <w:i/>
        </w:rPr>
        <w:t>(Soit par défaut)</w:t>
      </w:r>
      <w:r>
        <w:br/>
      </w:r>
      <w:r>
        <w:rPr>
          <w:rStyle w:val="soitChar"/>
          <w:u w:val="single"/>
        </w:rPr>
        <w:t>Au-dessus des fermes :</w:t>
      </w:r>
      <w:r>
        <w:br/>
      </w:r>
      <w:r>
        <w:rPr>
          <w:rStyle w:val="soitChar"/>
        </w:rPr>
        <w:t>Les pannes sont placées sur les arbalétriers des fermes. Elles sont fixées à l’aide de pattes, qui sont soudées sur la semelle extérieure des arbalétriers.</w:t>
      </w:r>
    </w:p>
    <w:p w14:paraId="3A38E97E" w14:textId="77777777" w:rsidR="00DF410E" w:rsidRDefault="00CE7F43">
      <w:pPr>
        <w:ind w:left="567"/>
      </w:pPr>
      <w:r>
        <w:rPr>
          <w:b/>
          <w:i/>
        </w:rPr>
        <w:t>(Soit)</w:t>
      </w:r>
      <w:r>
        <w:br/>
      </w:r>
      <w:r>
        <w:rPr>
          <w:rStyle w:val="soitChar"/>
          <w:u w:val="single"/>
        </w:rPr>
        <w:t>Entre les fermes : </w:t>
      </w:r>
      <w:r>
        <w:br/>
      </w:r>
      <w:r>
        <w:rPr>
          <w:rStyle w:val="soitChar"/>
        </w:rPr>
        <w:t>Les pannes sont placées entre les arbalétriers des fermes, dans leur épaisseur. Elles sont fixées à l’aide de pattes qui sont soudées dans l’âme des arbalétriers.</w:t>
      </w:r>
    </w:p>
    <w:p w14:paraId="34624809" w14:textId="77777777" w:rsidR="00DF410E" w:rsidRDefault="00CE7F43">
      <w:pPr>
        <w:ind w:left="567"/>
      </w:pPr>
      <w:r>
        <w:rPr>
          <w:b/>
          <w:i/>
        </w:rPr>
        <w:t>(Soit)</w:t>
      </w:r>
      <w:r>
        <w:br/>
      </w:r>
      <w:r>
        <w:rPr>
          <w:rStyle w:val="soitChar"/>
          <w:u w:val="single"/>
        </w:rPr>
        <w:t>Pas d’application : </w:t>
      </w:r>
      <w:r>
        <w:br/>
      </w:r>
      <w:r>
        <w:rPr>
          <w:rStyle w:val="soitChar"/>
        </w:rPr>
        <w:t>Les pattes de fixation des pannes sont boulonnées par la suite sur ou entre les arbalétriers, lors de la pose des pannes. Elles ne sont pas comprises dans ce poste. Néanmoins les trous sont compris dans ce poste.</w:t>
      </w:r>
    </w:p>
    <w:p w14:paraId="39726320" w14:textId="77777777" w:rsidR="00DF410E" w:rsidRDefault="00CE7F43">
      <w:pPr>
        <w:pStyle w:val="pheading"/>
      </w:pPr>
      <w:r>
        <w:t>MESURAGE</w:t>
      </w:r>
    </w:p>
    <w:p w14:paraId="7451A501" w14:textId="77777777" w:rsidR="00DF410E" w:rsidRDefault="00CE7F43">
      <w:pPr>
        <w:pStyle w:val="pheading"/>
      </w:pPr>
      <w:r>
        <w:t>- unité de mesure:</w:t>
      </w:r>
    </w:p>
    <w:p w14:paraId="7B340428" w14:textId="77777777" w:rsidR="00DF410E" w:rsidRDefault="00CE7F43">
      <w:r>
        <w:rPr>
          <w:b/>
        </w:rPr>
        <w:t>FERME</w:t>
      </w:r>
    </w:p>
    <w:p w14:paraId="159068D9" w14:textId="77777777" w:rsidR="00DF410E" w:rsidRDefault="00CE7F43">
      <w:r>
        <w:rPr>
          <w:rStyle w:val="optioncarChar"/>
        </w:rPr>
        <w:t xml:space="preserve">pc </w:t>
      </w:r>
      <w:r>
        <w:t>(par défaut)</w:t>
      </w:r>
      <w:r>
        <w:rPr>
          <w:rStyle w:val="optioncarChar"/>
        </w:rPr>
        <w:t xml:space="preserve"> / kg  ; m / kg  ; m.</w:t>
      </w:r>
    </w:p>
    <w:p w14:paraId="6012F91D" w14:textId="77777777" w:rsidR="00DF410E" w:rsidRDefault="00CE7F43">
      <w:r>
        <w:rPr>
          <w:b/>
          <w:i/>
        </w:rPr>
        <w:t>(Soit par défaut)</w:t>
      </w:r>
    </w:p>
    <w:p w14:paraId="52EBB4C9" w14:textId="77777777" w:rsidR="00DF410E" w:rsidRDefault="00CE7F43">
      <w:r>
        <w:rPr>
          <w:rStyle w:val="soitChar"/>
        </w:rPr>
        <w:t>  1. pc</w:t>
      </w:r>
    </w:p>
    <w:p w14:paraId="37836866" w14:textId="77777777" w:rsidR="00DF410E" w:rsidRDefault="00CE7F43">
      <w:r>
        <w:rPr>
          <w:b/>
          <w:i/>
        </w:rPr>
        <w:t>(Soit)</w:t>
      </w:r>
    </w:p>
    <w:p w14:paraId="4748E1AD" w14:textId="77777777" w:rsidR="00DF410E" w:rsidRDefault="00CE7F43">
      <w:r>
        <w:rPr>
          <w:rStyle w:val="soitChar"/>
        </w:rPr>
        <w:t>  2. et 3. kg  ; m</w:t>
      </w:r>
    </w:p>
    <w:p w14:paraId="520694C5" w14:textId="77777777" w:rsidR="00DF410E" w:rsidRDefault="00CE7F43">
      <w:r>
        <w:t> </w:t>
      </w:r>
    </w:p>
    <w:p w14:paraId="61862B1F" w14:textId="77777777" w:rsidR="00DF410E" w:rsidRDefault="00CE7F43">
      <w:r>
        <w:rPr>
          <w:b/>
        </w:rPr>
        <w:t>FLOCAGE</w:t>
      </w:r>
    </w:p>
    <w:p w14:paraId="73313121" w14:textId="77777777" w:rsidR="00DF410E" w:rsidRDefault="00CE7F43">
      <w:r>
        <w:rPr>
          <w:rStyle w:val="optioncarChar"/>
        </w:rPr>
        <w:t xml:space="preserve">m² </w:t>
      </w:r>
      <w:r>
        <w:t>(par défaut)</w:t>
      </w:r>
      <w:r>
        <w:rPr>
          <w:rStyle w:val="optioncarChar"/>
        </w:rPr>
        <w:t xml:space="preserve"> / m / pc.</w:t>
      </w:r>
    </w:p>
    <w:p w14:paraId="4136BC45" w14:textId="77777777" w:rsidR="00DF410E" w:rsidRDefault="00CE7F43">
      <w:r>
        <w:rPr>
          <w:b/>
          <w:i/>
        </w:rPr>
        <w:t>(Soit par défaut)</w:t>
      </w:r>
    </w:p>
    <w:p w14:paraId="6BE17184" w14:textId="77777777" w:rsidR="00DF410E" w:rsidRDefault="00CE7F43">
      <w:r>
        <w:rPr>
          <w:rStyle w:val="soitChar"/>
        </w:rPr>
        <w:t> 1. m²</w:t>
      </w:r>
    </w:p>
    <w:p w14:paraId="42CCB59C" w14:textId="77777777" w:rsidR="00DF410E" w:rsidRDefault="00CE7F43">
      <w:r>
        <w:rPr>
          <w:b/>
          <w:i/>
        </w:rPr>
        <w:t>(Soit)</w:t>
      </w:r>
    </w:p>
    <w:p w14:paraId="426007CD" w14:textId="77777777" w:rsidR="00DF410E" w:rsidRDefault="00CE7F43">
      <w:r>
        <w:rPr>
          <w:rStyle w:val="soitChar"/>
        </w:rPr>
        <w:t> 2. m</w:t>
      </w:r>
    </w:p>
    <w:p w14:paraId="79180D0D" w14:textId="77777777" w:rsidR="00DF410E" w:rsidRDefault="00CE7F43">
      <w:r>
        <w:rPr>
          <w:b/>
          <w:i/>
        </w:rPr>
        <w:t>(Soit)</w:t>
      </w:r>
    </w:p>
    <w:p w14:paraId="2AB993CD" w14:textId="77777777" w:rsidR="00DF410E" w:rsidRDefault="00CE7F43">
      <w:r>
        <w:rPr>
          <w:rStyle w:val="soitChar"/>
        </w:rPr>
        <w:t> 3. pc</w:t>
      </w:r>
    </w:p>
    <w:p w14:paraId="2C67DE7D" w14:textId="77777777" w:rsidR="00DF410E" w:rsidRDefault="00CE7F43">
      <w:pPr>
        <w:pStyle w:val="pheading"/>
      </w:pPr>
      <w:r>
        <w:t>- code de mesurage:</w:t>
      </w:r>
    </w:p>
    <w:p w14:paraId="27CF3209" w14:textId="77777777" w:rsidR="00DF410E" w:rsidRDefault="00CE7F43">
      <w:r>
        <w:rPr>
          <w:b/>
        </w:rPr>
        <w:t>FERME</w:t>
      </w:r>
    </w:p>
    <w:p w14:paraId="52BF47D4" w14:textId="77777777" w:rsidR="00DF410E" w:rsidRDefault="00CE7F43">
      <w:r>
        <w:rPr>
          <w:rStyle w:val="optioncarChar"/>
        </w:rPr>
        <w:t>Quantité nette</w:t>
      </w:r>
      <w:r>
        <w:t xml:space="preserve"> (par défaut)</w:t>
      </w:r>
      <w:r>
        <w:rPr>
          <w:rStyle w:val="optioncarChar"/>
        </w:rPr>
        <w:t xml:space="preserve"> / masse conventionnelle et longueur / masse simplifiée et longueur</w:t>
      </w:r>
      <w:r>
        <w:t>.</w:t>
      </w:r>
    </w:p>
    <w:p w14:paraId="0F337193" w14:textId="77777777" w:rsidR="00DF410E" w:rsidRDefault="00CE7F43">
      <w:pPr>
        <w:ind w:left="567"/>
      </w:pPr>
      <w:r>
        <w:rPr>
          <w:b/>
          <w:i/>
        </w:rPr>
        <w:t>(Soit par défaut)</w:t>
      </w:r>
      <w:r>
        <w:br/>
      </w:r>
      <w:r>
        <w:rPr>
          <w:rStyle w:val="soitChar"/>
          <w:u w:val="single"/>
        </w:rPr>
        <w:t>1.     Quantité nette</w:t>
      </w:r>
      <w:r>
        <w:rPr>
          <w:color w:val="33CCCC"/>
        </w:rPr>
        <w:t xml:space="preserve"> à mettre en œuvre, par type de ferme.</w:t>
      </w:r>
    </w:p>
    <w:p w14:paraId="4398DAE9" w14:textId="77777777" w:rsidR="00DF410E" w:rsidRDefault="00CE7F43">
      <w:pPr>
        <w:ind w:left="567"/>
        <w:jc w:val="both"/>
      </w:pPr>
      <w:r>
        <w:rPr>
          <w:b/>
          <w:i/>
        </w:rPr>
        <w:t>(Soit)</w:t>
      </w:r>
    </w:p>
    <w:p w14:paraId="5A12F38F" w14:textId="77777777" w:rsidR="00DF410E" w:rsidRDefault="00CE7F43">
      <w:pPr>
        <w:ind w:left="567"/>
        <w:jc w:val="both"/>
      </w:pPr>
      <w:r>
        <w:rPr>
          <w:rStyle w:val="soitChar"/>
          <w:u w:val="single"/>
        </w:rPr>
        <w:t>2.     Masse conventionnelle et longueur</w:t>
      </w:r>
      <w:r>
        <w:rPr>
          <w:rStyle w:val="soitChar"/>
        </w:rPr>
        <w:t> : masse d’acier théorique à mettre en œuvre pour toutes dimensions et types de profilés, distinction faite suivant les nuances et qualités d’acier.</w:t>
      </w:r>
    </w:p>
    <w:p w14:paraId="2416A9C4" w14:textId="77777777" w:rsidR="00DF410E" w:rsidRDefault="00CE7F43">
      <w:pPr>
        <w:ind w:left="567"/>
        <w:jc w:val="both"/>
      </w:pPr>
      <w:r>
        <w:rPr>
          <w:rStyle w:val="soitChar"/>
        </w:rPr>
        <w:t>La masse d’acier théorique comprend les rivets, cordons de soudures, boulons etc. Elle est obtenue en calculant les différents volumes des éléments (profils, barres, tubes et large plats), multiplié par la masse volumique théorique de l’acier de 7.850 kg/m³ (suivant [NBN B 06-001]). La valeur obtenue est alors majorée de 3%, pour obtenir la masse théorique.</w:t>
      </w:r>
    </w:p>
    <w:p w14:paraId="147B7E80" w14:textId="77777777" w:rsidR="00DF410E" w:rsidRDefault="00CE7F43">
      <w:pPr>
        <w:ind w:left="567"/>
        <w:jc w:val="both"/>
      </w:pPr>
      <w:r>
        <w:rPr>
          <w:rStyle w:val="soitChar"/>
        </w:rPr>
        <w:t>Cette masse théorique est arrondie à l’unité.</w:t>
      </w:r>
    </w:p>
    <w:p w14:paraId="60B0B41D" w14:textId="77777777" w:rsidR="00DF410E" w:rsidRDefault="00CE7F43">
      <w:pPr>
        <w:ind w:left="567"/>
        <w:jc w:val="both"/>
      </w:pPr>
      <w:r>
        <w:rPr>
          <w:rStyle w:val="soitChar"/>
        </w:rPr>
        <w:t>La majoration de 3% couvre notamment, forfaitairement, les soudures, les rivets, les boulons, les goujons, la protection anticorrosion et les tolérances de laminage.</w:t>
      </w:r>
    </w:p>
    <w:p w14:paraId="75FA9E8A" w14:textId="77777777" w:rsidR="00DF410E" w:rsidRDefault="00CE7F43">
      <w:pPr>
        <w:ind w:left="567"/>
        <w:jc w:val="both"/>
      </w:pPr>
      <w:r>
        <w:rPr>
          <w:rStyle w:val="soitChar"/>
        </w:rPr>
        <w:t>Le calcul se base sur la géométrie des pièces prévues sur les plans d’exécution du bureau d’études, arrondie au mm.</w:t>
      </w:r>
    </w:p>
    <w:p w14:paraId="2AA10474" w14:textId="77777777" w:rsidR="00DF410E" w:rsidRDefault="00CE7F43">
      <w:pPr>
        <w:ind w:left="567"/>
        <w:jc w:val="both"/>
      </w:pPr>
      <w:r>
        <w:rPr>
          <w:rStyle w:val="soitChar"/>
        </w:rPr>
        <w:t>Les découpes et ouvertures sont soustraites, à l’exception des trous pour les boulons, goujons, et des chanfreins pour les soudures ou ouvertures pour le passage des cordons de soudures.</w:t>
      </w:r>
    </w:p>
    <w:p w14:paraId="7E349467" w14:textId="77777777" w:rsidR="00DF410E" w:rsidRDefault="00CE7F43">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14:paraId="422E3173" w14:textId="77777777" w:rsidR="00DF410E" w:rsidRDefault="00CE7F43">
      <w:pPr>
        <w:ind w:left="567"/>
        <w:jc w:val="both"/>
      </w:pPr>
      <w:r>
        <w:rPr>
          <w:b/>
          <w:i/>
        </w:rPr>
        <w:t>(Soit)</w:t>
      </w:r>
    </w:p>
    <w:p w14:paraId="012BD057" w14:textId="77777777" w:rsidR="00DF410E" w:rsidRDefault="00CE7F43">
      <w:pPr>
        <w:ind w:left="567"/>
        <w:jc w:val="both"/>
      </w:pPr>
      <w:r>
        <w:rPr>
          <w:rStyle w:val="soitChar"/>
          <w:u w:val="single"/>
        </w:rPr>
        <w:t>3.     Masse simplifiée et longueur</w:t>
      </w:r>
      <w:r>
        <w:rPr>
          <w:rStyle w:val="soitChar"/>
        </w:rPr>
        <w:t> : masse d’acier théorique à mettre en œuvre pour toutes dimensions et types de profilés, distinction faite suivant les nuances et qualités d’acier.</w:t>
      </w:r>
    </w:p>
    <w:p w14:paraId="08E438A1" w14:textId="77777777" w:rsidR="00DF410E" w:rsidRDefault="00CE7F43">
      <w:pPr>
        <w:ind w:left="567"/>
        <w:jc w:val="both"/>
      </w:pPr>
      <w:r>
        <w:rPr>
          <w:rStyle w:val="soitChar"/>
        </w:rPr>
        <w:t>La masse d’acier théorique comprend les rivets, cordons de soudures, boulons etc. Elle est obtenue en calculant les différents volumes des éléments (profils, barres, tubes et larges plats), à l’exclusion des plats et pattes d’assemblage, semelles et autres pièces rapportées, multiplié par la masse volumique théorique de l’acier de 7.850 kg/m³ (suivant [NBN B 06-001]). La valeur obtenue est alors majorée de 8 %, pour obtenir la masse théorique.</w:t>
      </w:r>
    </w:p>
    <w:p w14:paraId="365D339C" w14:textId="77777777" w:rsidR="00DF410E" w:rsidRDefault="00CE7F43">
      <w:pPr>
        <w:ind w:left="567"/>
        <w:jc w:val="both"/>
      </w:pPr>
      <w:r>
        <w:rPr>
          <w:rStyle w:val="soitChar"/>
        </w:rPr>
        <w:t>Cette masse théorique est arrondie à l’unité.</w:t>
      </w:r>
    </w:p>
    <w:p w14:paraId="3091B2B7" w14:textId="77777777" w:rsidR="00DF410E" w:rsidRDefault="00CE7F43">
      <w:pPr>
        <w:ind w:left="567"/>
        <w:jc w:val="both"/>
      </w:pPr>
      <w:r>
        <w:rPr>
          <w:rStyle w:val="soitChar"/>
        </w:rPr>
        <w:t>La majoration de 5% couvre notamment, forfaitairement, les soudures, les rivets, les boulons, les goujons, la protection anticorrosion et les tolérances de laminage ainsi que les plats et pattes d’assemblage, semelles et autres pièces rapportées.</w:t>
      </w:r>
    </w:p>
    <w:p w14:paraId="6081D9C4" w14:textId="77777777" w:rsidR="00DF410E" w:rsidRDefault="00CE7F43">
      <w:pPr>
        <w:ind w:left="567"/>
        <w:jc w:val="both"/>
      </w:pPr>
      <w:r>
        <w:rPr>
          <w:rStyle w:val="soitChar"/>
        </w:rPr>
        <w:t>Le calcul se base sur la géométrie des pièces prévues sur les plans d’exécution du bureau d’études, arrondie au mm.</w:t>
      </w:r>
    </w:p>
    <w:p w14:paraId="708C1263" w14:textId="77777777" w:rsidR="00DF410E" w:rsidRDefault="00CE7F43">
      <w:pPr>
        <w:ind w:left="567"/>
        <w:jc w:val="both"/>
      </w:pPr>
      <w:r>
        <w:rPr>
          <w:rStyle w:val="soitChar"/>
        </w:rPr>
        <w:t>Les découpes et ouvertures sont soustraites, à l’exception des trous pour les boulons, goujons, et des chanfreins pour les soudures ou ouvertures pour le passage des cordons de soudures.</w:t>
      </w:r>
    </w:p>
    <w:p w14:paraId="48AA462B" w14:textId="77777777" w:rsidR="00DF410E" w:rsidRDefault="00CE7F43">
      <w:pPr>
        <w:ind w:left="567"/>
        <w:jc w:val="both"/>
      </w:pPr>
      <w:r>
        <w:rPr>
          <w:rStyle w:val="soitChar"/>
        </w:rPr>
        <w:t>Les câbles sont mesurés au mètre, à l’axe, distinction faite suivant les nuances d’acier et les sections. Les longueurs d’ancrages aux extrémités sont prises en compte, mais pas au-delà des ancrages.</w:t>
      </w:r>
      <w:r>
        <w:t> </w:t>
      </w:r>
    </w:p>
    <w:p w14:paraId="4752B02B" w14:textId="77777777" w:rsidR="00DF410E" w:rsidRDefault="00CE7F43">
      <w:pPr>
        <w:jc w:val="both"/>
      </w:pPr>
      <w:r>
        <w:rPr>
          <w:b/>
        </w:rPr>
        <w:t>FLOCAGE</w:t>
      </w:r>
    </w:p>
    <w:p w14:paraId="4A3D4593" w14:textId="77777777" w:rsidR="00DF410E" w:rsidRDefault="00CE7F43">
      <w:pPr>
        <w:jc w:val="both"/>
      </w:pPr>
      <w:r>
        <w:t>Le traitement au feu par flocage est compté séparément et fait l’objet d’un (de) poste(s) supplémentaire(s) dans le présent article :</w:t>
      </w:r>
    </w:p>
    <w:p w14:paraId="2BA2FE15" w14:textId="77777777" w:rsidR="00DF410E" w:rsidRDefault="00CE7F43">
      <w:pPr>
        <w:jc w:val="both"/>
      </w:pPr>
      <w:r>
        <w:rPr>
          <w:rStyle w:val="optioncarChar"/>
        </w:rPr>
        <w:t>Surface nette</w:t>
      </w:r>
      <w:r>
        <w:t xml:space="preserve"> (par défaut)</w:t>
      </w:r>
      <w:r>
        <w:rPr>
          <w:rStyle w:val="optioncarChar"/>
        </w:rPr>
        <w:t xml:space="preserve"> / longueur nette / quantité nette.</w:t>
      </w:r>
    </w:p>
    <w:p w14:paraId="26FA31C3" w14:textId="77777777" w:rsidR="00DF410E" w:rsidRDefault="00CE7F43">
      <w:pPr>
        <w:ind w:left="567"/>
        <w:jc w:val="both"/>
      </w:pPr>
      <w:r>
        <w:rPr>
          <w:b/>
          <w:i/>
        </w:rPr>
        <w:t>(Soit par défaut)</w:t>
      </w:r>
    </w:p>
    <w:p w14:paraId="6753E047" w14:textId="77777777" w:rsidR="00DF410E" w:rsidRDefault="00CE7F43">
      <w:pPr>
        <w:ind w:left="567"/>
        <w:jc w:val="both"/>
      </w:pPr>
      <w:r>
        <w:rPr>
          <w:rStyle w:val="soitChar"/>
          <w:u w:val="single"/>
        </w:rPr>
        <w:t>1.     Surface nette</w:t>
      </w:r>
      <w:r>
        <w:rPr>
          <w:color w:val="33CCCC"/>
        </w:rPr>
        <w:t xml:space="preserve"> à traiter.</w:t>
      </w:r>
    </w:p>
    <w:p w14:paraId="17CFE6DA" w14:textId="77777777" w:rsidR="00DF410E" w:rsidRDefault="00CE7F43">
      <w:pPr>
        <w:ind w:left="567"/>
        <w:jc w:val="both"/>
      </w:pPr>
      <w:r>
        <w:rPr>
          <w:b/>
          <w:i/>
        </w:rPr>
        <w:t>(Soit)</w:t>
      </w:r>
    </w:p>
    <w:p w14:paraId="1DD7F19E" w14:textId="77777777" w:rsidR="00DF410E" w:rsidRDefault="00CE7F43">
      <w:pPr>
        <w:ind w:left="567"/>
        <w:jc w:val="both"/>
      </w:pPr>
      <w:r>
        <w:rPr>
          <w:rStyle w:val="soitChar"/>
          <w:u w:val="single"/>
        </w:rPr>
        <w:t xml:space="preserve">2.     Longueur nette </w:t>
      </w:r>
      <w:r>
        <w:rPr>
          <w:color w:val="33CCCC"/>
        </w:rPr>
        <w:t xml:space="preserve"> à traiter, distinction faite suivant la section des profilés.</w:t>
      </w:r>
    </w:p>
    <w:p w14:paraId="005D0BA0" w14:textId="77777777" w:rsidR="00DF410E" w:rsidRDefault="00CE7F43">
      <w:pPr>
        <w:ind w:left="567"/>
        <w:jc w:val="both"/>
      </w:pPr>
      <w:r>
        <w:rPr>
          <w:b/>
          <w:i/>
        </w:rPr>
        <w:t>(Soit)</w:t>
      </w:r>
    </w:p>
    <w:p w14:paraId="0C93A8B5" w14:textId="77777777" w:rsidR="00DF410E" w:rsidRDefault="00CE7F43">
      <w:pPr>
        <w:ind w:left="567"/>
        <w:jc w:val="both"/>
      </w:pPr>
      <w:r>
        <w:rPr>
          <w:rStyle w:val="soitChar"/>
          <w:u w:val="single"/>
        </w:rPr>
        <w:t xml:space="preserve">3.     Quantité nette </w:t>
      </w:r>
      <w:r>
        <w:rPr>
          <w:rStyle w:val="soitChar"/>
        </w:rPr>
        <w:t>,</w:t>
      </w:r>
      <w:r>
        <w:rPr>
          <w:color w:val="33CCCC"/>
        </w:rPr>
        <w:t xml:space="preserve"> distinction faite suivant les dimensions et les sections des profilés.</w:t>
      </w:r>
    </w:p>
    <w:p w14:paraId="17BBE859" w14:textId="77777777" w:rsidR="00DF410E" w:rsidRDefault="00CE7F43">
      <w:pPr>
        <w:pStyle w:val="pheading"/>
      </w:pPr>
      <w:r>
        <w:t>- nature du marché:</w:t>
      </w:r>
    </w:p>
    <w:p w14:paraId="1ECD4FDA" w14:textId="77777777" w:rsidR="00DF410E" w:rsidRDefault="00CE7F43">
      <w:r>
        <w:rPr>
          <w:b/>
        </w:rPr>
        <w:t>FERME</w:t>
      </w:r>
    </w:p>
    <w:p w14:paraId="457D2B42" w14:textId="77777777" w:rsidR="00DF410E" w:rsidRDefault="00CE7F43">
      <w:r>
        <w:t>QF</w:t>
      </w:r>
    </w:p>
    <w:p w14:paraId="6DF168FD" w14:textId="77777777" w:rsidR="00DF410E" w:rsidRDefault="00CE7F43">
      <w:r>
        <w:t> </w:t>
      </w:r>
    </w:p>
    <w:p w14:paraId="6155AA8B" w14:textId="77777777" w:rsidR="00DF410E" w:rsidRDefault="00CE7F43">
      <w:r>
        <w:rPr>
          <w:b/>
        </w:rPr>
        <w:t>FLOCAGE</w:t>
      </w:r>
    </w:p>
    <w:p w14:paraId="2E7C816C" w14:textId="77777777" w:rsidR="00DF410E" w:rsidRDefault="00CE7F43">
      <w:r>
        <w:t>QF</w:t>
      </w:r>
    </w:p>
    <w:p w14:paraId="797DC76D" w14:textId="77777777" w:rsidR="00DF410E" w:rsidRDefault="00CE7F43">
      <w:pPr>
        <w:pStyle w:val="Author-eSectionHeading6"/>
      </w:pPr>
      <w:bookmarkStart w:id="1338" w:name="_Toc178838453"/>
      <w:r>
        <w:t>23.23.1b Charpentes de toiture en acier laminé à chaud CCTB 01.11</w:t>
      </w:r>
      <w:bookmarkEnd w:id="1338"/>
    </w:p>
    <w:p w14:paraId="69588D77" w14:textId="77777777" w:rsidR="00DF410E" w:rsidRDefault="00CE7F43">
      <w:pPr>
        <w:pStyle w:val="pheading"/>
      </w:pPr>
      <w:r>
        <w:t>DESCRIPTION</w:t>
      </w:r>
    </w:p>
    <w:p w14:paraId="05380B97" w14:textId="77777777" w:rsidR="00DF410E" w:rsidRDefault="00CE7F43">
      <w:pPr>
        <w:pStyle w:val="pheading"/>
      </w:pPr>
      <w:r>
        <w:t>- Définition / Comprend</w:t>
      </w:r>
    </w:p>
    <w:p w14:paraId="52214EE9" w14:textId="77777777" w:rsidR="00DF410E" w:rsidRDefault="00CE7F43">
      <w:pPr>
        <w:jc w:val="both"/>
      </w:pPr>
      <w:r>
        <w:t>Il s'agit de charpentes de toiture constituées de fermes réalisées en éléments linéaires en acier laminées à chaud, composant la structure portante de la toiture. Les fermes sont préfabriquées à l'atelier, montées et assemblées sur chantier aux ouvrages de construction déjà exécutés. Elles sont placées à distance régulière.</w:t>
      </w:r>
    </w:p>
    <w:p w14:paraId="62DD1D2E" w14:textId="77777777" w:rsidR="00DF410E" w:rsidRDefault="00CE7F43">
      <w:pPr>
        <w:jc w:val="both"/>
      </w:pPr>
      <w:r>
        <w:t xml:space="preserve">La portée des travaux est décrite au chapitre </w:t>
      </w:r>
      <w:hyperlink w:anchor="553" w:history="1">
        <w:r>
          <w:t>23.23.1 Charpentes de toiture en acier laminé à chaud</w:t>
        </w:r>
      </w:hyperlink>
      <w:r>
        <w:t>.</w:t>
      </w:r>
    </w:p>
    <w:p w14:paraId="57B55410" w14:textId="77777777" w:rsidR="00DF410E" w:rsidRDefault="00CE7F43">
      <w:pPr>
        <w:jc w:val="both"/>
      </w:pPr>
      <w:r>
        <w:t xml:space="preserve">Fermes : renvoi à l’article </w:t>
      </w:r>
      <w:hyperlink w:anchor="554" w:history="1">
        <w:r>
          <w:t>23.23.1a Fermes de toiture en acier laminé à chaud</w:t>
        </w:r>
      </w:hyperlink>
      <w:r>
        <w:t>.</w:t>
      </w:r>
    </w:p>
    <w:p w14:paraId="6266C84C" w14:textId="77777777" w:rsidR="00DF410E" w:rsidRDefault="00CE7F43">
      <w:pPr>
        <w:pStyle w:val="pheading"/>
      </w:pPr>
      <w:r>
        <w:t>- Localisation</w:t>
      </w:r>
    </w:p>
    <w:p w14:paraId="1C1EE753" w14:textId="77777777" w:rsidR="00DF410E" w:rsidRDefault="00CE7F43">
      <w:r>
        <w:t xml:space="preserve">Les travaux sont localisés : </w:t>
      </w:r>
      <w:r>
        <w:rPr>
          <w:rStyle w:val="optioncarChar"/>
        </w:rPr>
        <w:t>***</w:t>
      </w:r>
      <w:r>
        <w:t>.</w:t>
      </w:r>
    </w:p>
    <w:p w14:paraId="689D1B37" w14:textId="77777777" w:rsidR="00DF410E" w:rsidRDefault="00CE7F43">
      <w:r>
        <w:t>Voir plans et métrés détaillés.</w:t>
      </w:r>
    </w:p>
    <w:p w14:paraId="6E29F26E" w14:textId="77777777" w:rsidR="00DF410E" w:rsidRDefault="00CE7F43">
      <w:pPr>
        <w:pStyle w:val="pheading"/>
      </w:pPr>
      <w:r>
        <w:t>MATÉRIAUX</w:t>
      </w:r>
    </w:p>
    <w:p w14:paraId="5A4663EA" w14:textId="77777777" w:rsidR="00DF410E" w:rsidRDefault="00CE7F43">
      <w:pPr>
        <w:pStyle w:val="pheading"/>
      </w:pPr>
      <w:r>
        <w:t>- Caractéristiques générales</w:t>
      </w:r>
    </w:p>
    <w:p w14:paraId="5973EEE2" w14:textId="77777777" w:rsidR="00DF410E" w:rsidRDefault="00CE7F43">
      <w:r>
        <w:rPr>
          <w:b/>
        </w:rPr>
        <w:t>FERMES</w:t>
      </w:r>
    </w:p>
    <w:p w14:paraId="4FA03D00" w14:textId="77777777" w:rsidR="00DF410E" w:rsidRDefault="00CE7F43">
      <w:r>
        <w:t xml:space="preserve">Renvoi à l’article </w:t>
      </w:r>
      <w:hyperlink w:anchor="554" w:history="1">
        <w:r>
          <w:t>23.23.1a Fermes de toiture en acier laminé à chaud</w:t>
        </w:r>
      </w:hyperlink>
      <w:r>
        <w:t>.</w:t>
      </w:r>
    </w:p>
    <w:p w14:paraId="51510E3A" w14:textId="77777777" w:rsidR="00DF410E" w:rsidRDefault="00CE7F43">
      <w:r>
        <w:rPr>
          <w:b/>
        </w:rPr>
        <w:t>CONTREVENTEMENT</w:t>
      </w:r>
    </w:p>
    <w:p w14:paraId="2D9BB01F" w14:textId="77777777" w:rsidR="00DF410E" w:rsidRDefault="00CE7F43">
      <w:r>
        <w:t xml:space="preserve">Types de profilés : </w:t>
      </w:r>
      <w:r>
        <w:rPr>
          <w:rStyle w:val="optioncarChar"/>
        </w:rPr>
        <w:t xml:space="preserve">voir données mentionnées sur les plans </w:t>
      </w:r>
      <w:r>
        <w:t>(par défaut)</w:t>
      </w:r>
      <w:r>
        <w:rPr>
          <w:rStyle w:val="optioncarChar"/>
        </w:rPr>
        <w:t xml:space="preserve"> / cornières à ailes égales / tiges rondes / câbles / ***</w:t>
      </w:r>
      <w:r>
        <w:t>.</w:t>
      </w:r>
    </w:p>
    <w:p w14:paraId="48C06210" w14:textId="77777777" w:rsidR="00DF410E" w:rsidRDefault="00CE7F43">
      <w:pPr>
        <w:pStyle w:val="pheading"/>
      </w:pPr>
      <w:r>
        <w:t>- Prescriptions complémentaires</w:t>
      </w:r>
    </w:p>
    <w:p w14:paraId="177EE09F" w14:textId="77777777" w:rsidR="00DF410E" w:rsidRDefault="00CE7F43">
      <w:r>
        <w:rPr>
          <w:rStyle w:val="facultChar"/>
        </w:rPr>
        <w:t xml:space="preserve">Le présent article comprend également les poutres au vent :  Types de profilés des montants </w:t>
      </w:r>
      <w:r>
        <w:rPr>
          <w:rStyle w:val="optioncarChar"/>
        </w:rPr>
        <w:t>: voir données mentionnées sur les plans</w:t>
      </w:r>
      <w:r>
        <w:t xml:space="preserve"> (par défaut) </w:t>
      </w:r>
      <w:r>
        <w:rPr>
          <w:rStyle w:val="optioncarChar"/>
        </w:rPr>
        <w:t>/ tube circulaire (CHS) / tube carré (SHS) / tube rectangulaire (RHS) / H / I / ***.</w:t>
      </w:r>
    </w:p>
    <w:p w14:paraId="797C014F" w14:textId="77777777" w:rsidR="00DF410E" w:rsidRDefault="00CE7F43">
      <w:pPr>
        <w:pStyle w:val="pheading"/>
      </w:pPr>
      <w:r>
        <w:t>EXÉCUTION / MISE EN ŒUVRE</w:t>
      </w:r>
    </w:p>
    <w:p w14:paraId="254B33D4" w14:textId="77777777" w:rsidR="00DF410E" w:rsidRDefault="00CE7F43">
      <w:pPr>
        <w:pStyle w:val="pheading"/>
      </w:pPr>
      <w:r>
        <w:t>- Prescriptions générales</w:t>
      </w:r>
    </w:p>
    <w:p w14:paraId="511016DE" w14:textId="77777777" w:rsidR="00DF410E" w:rsidRDefault="00CE7F43">
      <w:pPr>
        <w:jc w:val="both"/>
      </w:pPr>
      <w:r>
        <w:rPr>
          <w:b/>
        </w:rPr>
        <w:t>FERMES</w:t>
      </w:r>
    </w:p>
    <w:p w14:paraId="714A2E18" w14:textId="77777777" w:rsidR="00DF410E" w:rsidRDefault="00CE7F43">
      <w:pPr>
        <w:jc w:val="both"/>
      </w:pPr>
      <w:r>
        <w:t xml:space="preserve">Renvoi à l’article </w:t>
      </w:r>
      <w:hyperlink w:anchor="554" w:history="1">
        <w:r>
          <w:t>23.23.1a Fermes de toiture en acier laminé à chaud</w:t>
        </w:r>
      </w:hyperlink>
      <w:r>
        <w:t>.</w:t>
      </w:r>
    </w:p>
    <w:p w14:paraId="45D73AB1" w14:textId="77777777" w:rsidR="00DF410E" w:rsidRDefault="00CE7F43">
      <w:pPr>
        <w:jc w:val="both"/>
      </w:pPr>
      <w:r>
        <w:rPr>
          <w:b/>
        </w:rPr>
        <w:t>CONTREVENTEMENT</w:t>
      </w:r>
    </w:p>
    <w:p w14:paraId="6CF36866" w14:textId="77777777" w:rsidR="00DF410E" w:rsidRDefault="00CE7F43">
      <w:pPr>
        <w:jc w:val="both"/>
      </w:pPr>
      <w:r>
        <w:t>Les contreventements sont situés dans l’épaisseur des arbalétriers.</w:t>
      </w:r>
    </w:p>
    <w:p w14:paraId="50F8F190" w14:textId="77777777" w:rsidR="00DF410E" w:rsidRDefault="00CE7F43">
      <w:pPr>
        <w:jc w:val="both"/>
      </w:pPr>
      <w:r>
        <w:t xml:space="preserve">Ils sont boulonnés sur des goussets </w:t>
      </w:r>
      <w:r>
        <w:rPr>
          <w:rStyle w:val="optioncarChar"/>
        </w:rPr>
        <w:t>soudés / boulonnés</w:t>
      </w:r>
      <w:r>
        <w:t xml:space="preserve"> (par défaut) aux fermes, compris dans le prix de ce poste.</w:t>
      </w:r>
    </w:p>
    <w:p w14:paraId="7957F95A" w14:textId="77777777" w:rsidR="00DF410E" w:rsidRDefault="00CE7F43">
      <w:pPr>
        <w:jc w:val="both"/>
      </w:pPr>
      <w:r>
        <w:rPr>
          <w:b/>
        </w:rPr>
        <w:t>PANNES</w:t>
      </w:r>
    </w:p>
    <w:p w14:paraId="3F05DBF2" w14:textId="77777777" w:rsidR="00DF410E" w:rsidRDefault="00CE7F43">
      <w:pPr>
        <w:jc w:val="both"/>
      </w:pPr>
      <w:r>
        <w:t xml:space="preserve">Position des pannes par rapport aux arbalétriers : </w:t>
      </w:r>
      <w:r>
        <w:rPr>
          <w:rStyle w:val="optioncarChar"/>
        </w:rPr>
        <w:t xml:space="preserve">au-dessus des arbalétriers </w:t>
      </w:r>
      <w:r>
        <w:t>(par défaut)</w:t>
      </w:r>
      <w:r>
        <w:rPr>
          <w:rStyle w:val="optioncarChar"/>
        </w:rPr>
        <w:t xml:space="preserve"> / entre les arbalétriers.</w:t>
      </w:r>
    </w:p>
    <w:p w14:paraId="5ED39C44" w14:textId="77777777" w:rsidR="00DF410E" w:rsidRDefault="00CE7F43">
      <w:pPr>
        <w:ind w:left="567"/>
        <w:jc w:val="both"/>
      </w:pPr>
      <w:r>
        <w:rPr>
          <w:b/>
          <w:i/>
        </w:rPr>
        <w:t>(Soit par défaut)</w:t>
      </w:r>
    </w:p>
    <w:p w14:paraId="771ED63C" w14:textId="77777777" w:rsidR="00DF410E" w:rsidRDefault="00CE7F43">
      <w:pPr>
        <w:ind w:left="567"/>
        <w:jc w:val="both"/>
      </w:pPr>
      <w:r>
        <w:rPr>
          <w:rStyle w:val="soitChar"/>
          <w:u w:val="single"/>
        </w:rPr>
        <w:t>Au-dessus des arbalétriers :</w:t>
      </w:r>
    </w:p>
    <w:p w14:paraId="750DAD76" w14:textId="77777777" w:rsidR="00DF410E" w:rsidRDefault="00CE7F43">
      <w:pPr>
        <w:ind w:left="567"/>
        <w:jc w:val="both"/>
      </w:pPr>
      <w:r>
        <w:rPr>
          <w:rStyle w:val="soitChar"/>
        </w:rPr>
        <w:t>Les pannes sont placées sur les arbalétriers. Elles sont assemblées entre elles avec des éclisses métalliques boulonnées pour réaliser un système de pannes continues. Elles sont boulonnées aux arbalétriers à l’aide d’échantignoles en acier galvanisé.</w:t>
      </w:r>
    </w:p>
    <w:p w14:paraId="28C476D6" w14:textId="77777777" w:rsidR="00DF410E" w:rsidRDefault="00CE7F43">
      <w:pPr>
        <w:ind w:left="567"/>
        <w:jc w:val="both"/>
      </w:pPr>
      <w:r>
        <w:rPr>
          <w:b/>
          <w:i/>
        </w:rPr>
        <w:t>(Soit)</w:t>
      </w:r>
    </w:p>
    <w:p w14:paraId="140FCA09" w14:textId="77777777" w:rsidR="00DF410E" w:rsidRDefault="00CE7F43">
      <w:pPr>
        <w:ind w:left="567"/>
        <w:jc w:val="both"/>
      </w:pPr>
      <w:r>
        <w:rPr>
          <w:rStyle w:val="soitChar"/>
          <w:u w:val="single"/>
        </w:rPr>
        <w:t>Entre les arbalétriers : </w:t>
      </w:r>
    </w:p>
    <w:p w14:paraId="3CC66A06" w14:textId="77777777" w:rsidR="00DF410E" w:rsidRDefault="00CE7F43">
      <w:pPr>
        <w:ind w:left="567"/>
        <w:jc w:val="both"/>
      </w:pPr>
      <w:r>
        <w:rPr>
          <w:rStyle w:val="soitChar"/>
        </w:rPr>
        <w:t>Les pannes sont placées entre les arbalétriers, dans leur épaisseur. Elles sont grugées ou découpées de façon à avoir leurs faces supérieures alignées avec celles des arbalétriers. Elles sont fixées à l’aide de pattes, dans l’âme des arbalétriers.</w:t>
      </w:r>
    </w:p>
    <w:p w14:paraId="22DE4F35" w14:textId="77777777" w:rsidR="00DF410E" w:rsidRDefault="00CE7F43">
      <w:pPr>
        <w:ind w:left="567"/>
        <w:jc w:val="both"/>
      </w:pPr>
      <w:r>
        <w:rPr>
          <w:rStyle w:val="soitChar"/>
        </w:rPr>
        <w:t>Ces pattes sont</w:t>
      </w:r>
      <w:r>
        <w:rPr>
          <w:rStyle w:val="optioncarChar"/>
        </w:rPr>
        <w:t xml:space="preserve"> soudées </w:t>
      </w:r>
      <w:r>
        <w:t xml:space="preserve">(par défaut) </w:t>
      </w:r>
      <w:r>
        <w:rPr>
          <w:rStyle w:val="optioncarChar"/>
        </w:rPr>
        <w:t>/ boulonnées.</w:t>
      </w:r>
    </w:p>
    <w:p w14:paraId="459174BA" w14:textId="77777777" w:rsidR="00DF410E" w:rsidRDefault="00CE7F43">
      <w:pPr>
        <w:pStyle w:val="pheading"/>
      </w:pPr>
      <w:r>
        <w:t>- Notes d’exécution complémentaires</w:t>
      </w:r>
    </w:p>
    <w:p w14:paraId="7837E08E" w14:textId="77777777" w:rsidR="00DF410E" w:rsidRDefault="00CE7F43">
      <w:pPr>
        <w:jc w:val="both"/>
      </w:pPr>
      <w:r>
        <w:rPr>
          <w:rStyle w:val="facultChar"/>
        </w:rPr>
        <w:t>Le présent article comprend également :  les poutres au vent.</w:t>
      </w:r>
    </w:p>
    <w:p w14:paraId="12AE9163" w14:textId="77777777" w:rsidR="00DF410E" w:rsidRDefault="00DF410E">
      <w:pPr>
        <w:jc w:val="both"/>
      </w:pPr>
    </w:p>
    <w:p w14:paraId="4E0C48B9" w14:textId="77777777" w:rsidR="00DF410E" w:rsidRDefault="00CE7F43">
      <w:pPr>
        <w:pStyle w:val="Author-eListParagraph"/>
        <w:numPr>
          <w:ilvl w:val="0"/>
          <w:numId w:val="708"/>
        </w:numPr>
      </w:pPr>
      <w:r>
        <w:rPr>
          <w:rStyle w:val="facultChar"/>
          <w:u w:val="single"/>
        </w:rPr>
        <w:t>Poutres au vent</w:t>
      </w:r>
    </w:p>
    <w:p w14:paraId="484EBF2B" w14:textId="77777777" w:rsidR="00DF410E" w:rsidRDefault="00CE7F43">
      <w:pPr>
        <w:ind w:left="567"/>
        <w:jc w:val="both"/>
      </w:pPr>
      <w:r>
        <w:rPr>
          <w:rStyle w:val="facultChar"/>
        </w:rPr>
        <w:t>Les montants pour réaliser une poutre au vent sont situés dans l’épaisseur des arbalétriers. Ils se terminent à leurs extrémités par des plats métalliques soudés qui sont boulonnés aux fermes.</w:t>
      </w:r>
    </w:p>
    <w:p w14:paraId="1008A5EC" w14:textId="77777777" w:rsidR="00DF410E" w:rsidRDefault="00CE7F43">
      <w:pPr>
        <w:ind w:left="567"/>
        <w:jc w:val="both"/>
      </w:pPr>
      <w:r>
        <w:rPr>
          <w:rStyle w:val="facultChar"/>
        </w:rPr>
        <w:t>Un contreventement est ensuite réalisé conformément au point précédent « contreventement ».</w:t>
      </w:r>
    </w:p>
    <w:p w14:paraId="36D20548" w14:textId="77777777" w:rsidR="00DF410E" w:rsidRDefault="00CE7F43">
      <w:pPr>
        <w:ind w:left="567"/>
        <w:jc w:val="both"/>
      </w:pPr>
      <w:r>
        <w:rPr>
          <w:rStyle w:val="facultChar"/>
        </w:rPr>
        <w:t>Les poutres au vent sont comprises dans ce poste.</w:t>
      </w:r>
    </w:p>
    <w:p w14:paraId="32217DFD" w14:textId="77777777" w:rsidR="00DF410E" w:rsidRDefault="00CE7F43">
      <w:pPr>
        <w:pStyle w:val="pheading"/>
      </w:pPr>
      <w:r>
        <w:t>MESURAGE</w:t>
      </w:r>
    </w:p>
    <w:p w14:paraId="49EB1CCA" w14:textId="77777777" w:rsidR="00DF410E" w:rsidRDefault="00CE7F43">
      <w:pPr>
        <w:pStyle w:val="pheading"/>
      </w:pPr>
      <w:r>
        <w:t>- unité de mesure:</w:t>
      </w:r>
    </w:p>
    <w:p w14:paraId="5BBC4EF8" w14:textId="77777777" w:rsidR="00DF410E" w:rsidRDefault="00CE7F43">
      <w:r>
        <w:rPr>
          <w:b/>
        </w:rPr>
        <w:t>CHARPENTE</w:t>
      </w:r>
    </w:p>
    <w:p w14:paraId="622E54E9" w14:textId="77777777" w:rsidR="00DF410E" w:rsidRDefault="00CE7F43">
      <w:r>
        <w:rPr>
          <w:rStyle w:val="optioncarChar"/>
        </w:rPr>
        <w:t>FFT </w:t>
      </w:r>
      <w:r>
        <w:t xml:space="preserve">(par défaut) </w:t>
      </w:r>
      <w:r>
        <w:rPr>
          <w:rStyle w:val="optioncarChar"/>
        </w:rPr>
        <w:t>/ kg  ; m / kg  ; m.</w:t>
      </w:r>
    </w:p>
    <w:p w14:paraId="267C602A" w14:textId="77777777" w:rsidR="00DF410E" w:rsidRDefault="00CE7F43">
      <w:r>
        <w:rPr>
          <w:b/>
          <w:i/>
        </w:rPr>
        <w:t>(Soit par défaut)</w:t>
      </w:r>
    </w:p>
    <w:p w14:paraId="0C81E5DB" w14:textId="77777777" w:rsidR="00DF410E" w:rsidRDefault="00CE7F43">
      <w:r>
        <w:rPr>
          <w:rStyle w:val="soitChar"/>
        </w:rPr>
        <w:t>  1. FFT</w:t>
      </w:r>
    </w:p>
    <w:p w14:paraId="6E5BB7AE" w14:textId="77777777" w:rsidR="00DF410E" w:rsidRDefault="00CE7F43">
      <w:r>
        <w:rPr>
          <w:b/>
          <w:i/>
        </w:rPr>
        <w:t>(Soit)</w:t>
      </w:r>
    </w:p>
    <w:p w14:paraId="4FA28618" w14:textId="77777777" w:rsidR="00DF410E" w:rsidRDefault="00CE7F43">
      <w:r>
        <w:rPr>
          <w:rStyle w:val="soitChar"/>
        </w:rPr>
        <w:t>  2. et 3. kg ; m</w:t>
      </w:r>
    </w:p>
    <w:p w14:paraId="28FF3889" w14:textId="77777777" w:rsidR="00DF410E" w:rsidRDefault="00CE7F43">
      <w:r>
        <w:t> </w:t>
      </w:r>
    </w:p>
    <w:p w14:paraId="6228B63C" w14:textId="77777777" w:rsidR="00DF410E" w:rsidRDefault="00CE7F43">
      <w:r>
        <w:rPr>
          <w:b/>
        </w:rPr>
        <w:t>FLOCAGE</w:t>
      </w:r>
    </w:p>
    <w:p w14:paraId="4EE40D2A" w14:textId="77777777" w:rsidR="00DF410E" w:rsidRDefault="00CE7F43">
      <w:r>
        <w:rPr>
          <w:rStyle w:val="optioncarChar"/>
        </w:rPr>
        <w:t xml:space="preserve">m² </w:t>
      </w:r>
      <w:r>
        <w:t xml:space="preserve">(par défaut) </w:t>
      </w:r>
      <w:r>
        <w:rPr>
          <w:rStyle w:val="optioncarChar"/>
        </w:rPr>
        <w:t>/ m / pc.</w:t>
      </w:r>
    </w:p>
    <w:p w14:paraId="1DD9D748" w14:textId="77777777" w:rsidR="00DF410E" w:rsidRDefault="00CE7F43">
      <w:r>
        <w:rPr>
          <w:b/>
          <w:i/>
        </w:rPr>
        <w:t>(Soit par défaut)</w:t>
      </w:r>
    </w:p>
    <w:p w14:paraId="4924A286" w14:textId="77777777" w:rsidR="00DF410E" w:rsidRDefault="00CE7F43">
      <w:r>
        <w:rPr>
          <w:rStyle w:val="soitChar"/>
        </w:rPr>
        <w:t> 1. m².</w:t>
      </w:r>
    </w:p>
    <w:p w14:paraId="1D7BBF74" w14:textId="77777777" w:rsidR="00DF410E" w:rsidRDefault="00CE7F43">
      <w:r>
        <w:rPr>
          <w:b/>
          <w:i/>
        </w:rPr>
        <w:t>(Soit)</w:t>
      </w:r>
    </w:p>
    <w:p w14:paraId="2F6C97A3" w14:textId="77777777" w:rsidR="00DF410E" w:rsidRDefault="00CE7F43">
      <w:r>
        <w:rPr>
          <w:rStyle w:val="soitChar"/>
        </w:rPr>
        <w:t> 2. m</w:t>
      </w:r>
    </w:p>
    <w:p w14:paraId="74022187" w14:textId="77777777" w:rsidR="00DF410E" w:rsidRDefault="00CE7F43">
      <w:r>
        <w:rPr>
          <w:b/>
          <w:i/>
        </w:rPr>
        <w:t>(Soit)</w:t>
      </w:r>
    </w:p>
    <w:p w14:paraId="10CD25AB" w14:textId="77777777" w:rsidR="00DF410E" w:rsidRDefault="00CE7F43">
      <w:r>
        <w:rPr>
          <w:rStyle w:val="soitChar"/>
        </w:rPr>
        <w:t> 3. pc</w:t>
      </w:r>
    </w:p>
    <w:p w14:paraId="292ABAB5" w14:textId="77777777" w:rsidR="00DF410E" w:rsidRDefault="00CE7F43">
      <w:pPr>
        <w:pStyle w:val="pheading"/>
      </w:pPr>
      <w:r>
        <w:t>- code de mesurage:</w:t>
      </w:r>
    </w:p>
    <w:p w14:paraId="67498453" w14:textId="77777777" w:rsidR="00DF410E" w:rsidRDefault="00CE7F43">
      <w:pPr>
        <w:jc w:val="both"/>
      </w:pPr>
      <w:r>
        <w:rPr>
          <w:b/>
        </w:rPr>
        <w:t>CHARPENTE</w:t>
      </w:r>
    </w:p>
    <w:p w14:paraId="0A664470" w14:textId="77777777" w:rsidR="00DF410E" w:rsidRDefault="00CE7F43">
      <w:pPr>
        <w:jc w:val="both"/>
      </w:pPr>
      <w:r>
        <w:rPr>
          <w:rStyle w:val="optioncarChar"/>
        </w:rPr>
        <w:t xml:space="preserve">Forfait </w:t>
      </w:r>
      <w:r>
        <w:t>(par défaut) /</w:t>
      </w:r>
      <w:r>
        <w:rPr>
          <w:rStyle w:val="optioncarChar"/>
        </w:rPr>
        <w:t xml:space="preserve"> masse conventionnelle et longueur / masse simplifiée et longueur.</w:t>
      </w:r>
    </w:p>
    <w:p w14:paraId="105C3FD4" w14:textId="77777777" w:rsidR="00DF410E" w:rsidRDefault="00CE7F43">
      <w:pPr>
        <w:ind w:left="567"/>
        <w:jc w:val="both"/>
      </w:pPr>
      <w:r>
        <w:rPr>
          <w:b/>
          <w:i/>
        </w:rPr>
        <w:t>(Soit par défaut)</w:t>
      </w:r>
    </w:p>
    <w:p w14:paraId="3E0951E7" w14:textId="77777777" w:rsidR="00DF410E" w:rsidRDefault="00CE7F43">
      <w:pPr>
        <w:ind w:left="567"/>
        <w:jc w:val="both"/>
      </w:pPr>
      <w:r>
        <w:rPr>
          <w:rStyle w:val="soitChar"/>
          <w:u w:val="single"/>
        </w:rPr>
        <w:t>1.     Forfait :</w:t>
      </w:r>
      <w:r>
        <w:rPr>
          <w:rStyle w:val="soitChar"/>
        </w:rPr>
        <w:t xml:space="preserve"> pour l’ensemble de la charpente, par type de bâtiment.</w:t>
      </w:r>
    </w:p>
    <w:p w14:paraId="0697D301" w14:textId="77777777" w:rsidR="00DF410E" w:rsidRDefault="00CE7F43">
      <w:pPr>
        <w:ind w:left="567"/>
        <w:jc w:val="both"/>
      </w:pPr>
      <w:r>
        <w:rPr>
          <w:b/>
          <w:i/>
        </w:rPr>
        <w:t>(Soit)</w:t>
      </w:r>
    </w:p>
    <w:p w14:paraId="098676CD" w14:textId="77777777" w:rsidR="00DF410E" w:rsidRDefault="00CE7F43">
      <w:pPr>
        <w:ind w:left="567"/>
        <w:jc w:val="both"/>
      </w:pPr>
      <w:r>
        <w:rPr>
          <w:rStyle w:val="soitChar"/>
          <w:u w:val="single"/>
        </w:rPr>
        <w:t>2.     Masse conventionnelle et longueur </w:t>
      </w:r>
      <w:r>
        <w:rPr>
          <w:rStyle w:val="soitChar"/>
        </w:rPr>
        <w:t>: masse d’acier théorique à mettre en œuvre pour toutes dimensions et types de profilés, distinction faite suivant les nuances et qualités d’acier.</w:t>
      </w:r>
    </w:p>
    <w:p w14:paraId="06885B1C" w14:textId="77777777" w:rsidR="00DF410E" w:rsidRDefault="00CE7F43">
      <w:pPr>
        <w:ind w:left="567"/>
        <w:jc w:val="both"/>
      </w:pPr>
      <w:r>
        <w:rPr>
          <w:rStyle w:val="soitChar"/>
        </w:rPr>
        <w:t>La masse d’acier théorique comprend les rivets, cordons de soudures, boulons etc. Elle est obtenue en calculant les différents volumes des éléments (profils, barres, tubes et large plats), multiplié par la masse volumique théorique de l’acier de 7.850 kg/m³ (suivant [NBN B 06-001]). La valeur obtenue est alors majorée de 3%, pour obtenir la masse théorique.</w:t>
      </w:r>
    </w:p>
    <w:p w14:paraId="381C0356" w14:textId="77777777" w:rsidR="00DF410E" w:rsidRDefault="00CE7F43">
      <w:pPr>
        <w:ind w:left="567"/>
        <w:jc w:val="both"/>
      </w:pPr>
      <w:r>
        <w:rPr>
          <w:rStyle w:val="soitChar"/>
        </w:rPr>
        <w:t>Cette masse théorique est arrondie à l’unité.</w:t>
      </w:r>
    </w:p>
    <w:p w14:paraId="25B8BCA1" w14:textId="77777777" w:rsidR="00DF410E" w:rsidRDefault="00CE7F43">
      <w:pPr>
        <w:ind w:left="567"/>
        <w:jc w:val="both"/>
      </w:pPr>
      <w:r>
        <w:rPr>
          <w:rStyle w:val="soitChar"/>
        </w:rPr>
        <w:t>La majoration de 3% couvre notamment, forfaitairement, les soudures, les rivets, les boulons, les goujons, la protection anticorrosion et les tolérances de laminage.</w:t>
      </w:r>
    </w:p>
    <w:p w14:paraId="3B2943C8" w14:textId="77777777" w:rsidR="00DF410E" w:rsidRDefault="00CE7F43">
      <w:pPr>
        <w:ind w:left="567"/>
        <w:jc w:val="both"/>
      </w:pPr>
      <w:r>
        <w:rPr>
          <w:rStyle w:val="soitChar"/>
        </w:rPr>
        <w:t>Le calcul se base sur la géométrie des pièces prévues sur les plans d’exécution du bureau d’études, arrondie au mm.</w:t>
      </w:r>
    </w:p>
    <w:p w14:paraId="391A1A96" w14:textId="77777777" w:rsidR="00DF410E" w:rsidRDefault="00CE7F43">
      <w:pPr>
        <w:ind w:left="567"/>
        <w:jc w:val="both"/>
      </w:pPr>
      <w:r>
        <w:rPr>
          <w:rStyle w:val="soitChar"/>
        </w:rPr>
        <w:t>Les découpes et ouvertures sont soustraites, à l’exception des trous pour les boulons, goujons, et des chanfreins pour les soudures ou ouvertures pour le passage des cordons de soudures.</w:t>
      </w:r>
    </w:p>
    <w:p w14:paraId="397AB88C" w14:textId="77777777" w:rsidR="00DF410E" w:rsidRDefault="00CE7F43">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14:paraId="34069459" w14:textId="77777777" w:rsidR="00DF410E" w:rsidRDefault="00CE7F43">
      <w:pPr>
        <w:ind w:left="567"/>
        <w:jc w:val="both"/>
      </w:pPr>
      <w:r>
        <w:rPr>
          <w:b/>
          <w:i/>
        </w:rPr>
        <w:t>(Soit)</w:t>
      </w:r>
    </w:p>
    <w:p w14:paraId="7B75EABA" w14:textId="77777777" w:rsidR="00DF410E" w:rsidRDefault="00CE7F43">
      <w:pPr>
        <w:ind w:left="567"/>
        <w:jc w:val="both"/>
      </w:pPr>
      <w:r>
        <w:rPr>
          <w:rStyle w:val="soitChar"/>
          <w:u w:val="single"/>
        </w:rPr>
        <w:t>3.     Masse simplifiée et longueur</w:t>
      </w:r>
      <w:r>
        <w:rPr>
          <w:rStyle w:val="soitChar"/>
        </w:rPr>
        <w:t> : masse d’acier théorique à mettre en œuvre pour toutes dimensions et types de profilés, distinction faite suivant les nuances et qualités d’acier.</w:t>
      </w:r>
    </w:p>
    <w:p w14:paraId="75BADDF3" w14:textId="77777777" w:rsidR="00DF410E" w:rsidRDefault="00CE7F43">
      <w:pPr>
        <w:ind w:left="567"/>
        <w:jc w:val="both"/>
      </w:pPr>
      <w:r>
        <w:rPr>
          <w:rStyle w:val="soitChar"/>
        </w:rPr>
        <w:t>La masse d’acier théorique comprend les rivets, cordons de soudures, boulons etc. Elle est obtenue en calculant les différents volumes des éléments (profils, barres, tubes et larges plats), à l’exclusion des plats et pattes d’assemblage, semelles et autres pièces rapportées, multiplié par la masse volumique théorique de l’acier de 7.850 kg/m³ (suivant [NBN B 06-001]). La valeur obtenue est alors majorée de 8 %, pour obtenir la masse théorique.</w:t>
      </w:r>
    </w:p>
    <w:p w14:paraId="1CE1A133" w14:textId="77777777" w:rsidR="00DF410E" w:rsidRDefault="00CE7F43">
      <w:pPr>
        <w:ind w:left="567"/>
        <w:jc w:val="both"/>
      </w:pPr>
      <w:r>
        <w:rPr>
          <w:rStyle w:val="soitChar"/>
        </w:rPr>
        <w:t>Cette masse théorique est arrondie à l’unité.</w:t>
      </w:r>
    </w:p>
    <w:p w14:paraId="16F1E6FD" w14:textId="77777777" w:rsidR="00DF410E" w:rsidRDefault="00CE7F43">
      <w:pPr>
        <w:ind w:left="567"/>
        <w:jc w:val="both"/>
      </w:pPr>
      <w:r>
        <w:rPr>
          <w:rStyle w:val="soitChar"/>
        </w:rPr>
        <w:t>La majoration de 5% couvre notamment, forfaitairement, les soudures, les rivets, les boulons, les goujons, la protection anticorrosion et les tolérances de laminage ainsi que les plats et pattes d’assemblage, semelles et autres pièces rapportées.</w:t>
      </w:r>
    </w:p>
    <w:p w14:paraId="593739FF" w14:textId="77777777" w:rsidR="00DF410E" w:rsidRDefault="00CE7F43">
      <w:pPr>
        <w:ind w:left="567"/>
        <w:jc w:val="both"/>
      </w:pPr>
      <w:r>
        <w:rPr>
          <w:rStyle w:val="soitChar"/>
        </w:rPr>
        <w:t>Le calcul se base sur la géométrie des pièces prévues sur les plans d’exécution du bureau d’études, arrondie au mm.</w:t>
      </w:r>
    </w:p>
    <w:p w14:paraId="36B8CD6B" w14:textId="77777777" w:rsidR="00DF410E" w:rsidRDefault="00CE7F43">
      <w:pPr>
        <w:ind w:left="567"/>
        <w:jc w:val="both"/>
      </w:pPr>
      <w:r>
        <w:rPr>
          <w:rStyle w:val="soitChar"/>
        </w:rPr>
        <w:t>Les découpes et ouvertures sont soustraites, à l’exception des trous pour les boulons, goujons, et des chanfreins pour les soudures ou ouvertures pour le passage des cordons de soudures.</w:t>
      </w:r>
    </w:p>
    <w:p w14:paraId="6AAD5D48" w14:textId="77777777" w:rsidR="00DF410E" w:rsidRDefault="00CE7F43">
      <w:pPr>
        <w:ind w:left="567"/>
        <w:jc w:val="both"/>
      </w:pPr>
      <w:r>
        <w:rPr>
          <w:rStyle w:val="soitChar"/>
        </w:rPr>
        <w:t>Les câbles sont mesurés au mètre, à l’axe, distinction faite suivant les nuances d’acier et les sections. Les longueurs d’ancrages aux extrémités sont prises en compte, mais pas au-delà des ancrages.</w:t>
      </w:r>
      <w:r>
        <w:t> </w:t>
      </w:r>
    </w:p>
    <w:p w14:paraId="17E08413" w14:textId="77777777" w:rsidR="00DF410E" w:rsidRDefault="00CE7F43">
      <w:pPr>
        <w:jc w:val="both"/>
      </w:pPr>
      <w:r>
        <w:rPr>
          <w:b/>
        </w:rPr>
        <w:t>FLOCAGE</w:t>
      </w:r>
    </w:p>
    <w:p w14:paraId="1B379C7B" w14:textId="77777777" w:rsidR="00DF410E" w:rsidRDefault="00CE7F43">
      <w:pPr>
        <w:jc w:val="both"/>
      </w:pPr>
      <w:r>
        <w:t>Le traitement au feu par flocage est compté séparément et fait l’objet d’un (de) poste(s) supplémentaire(s) dans le présent article :</w:t>
      </w:r>
    </w:p>
    <w:p w14:paraId="3F7ACA6A" w14:textId="77777777" w:rsidR="00DF410E" w:rsidRDefault="00CE7F43">
      <w:pPr>
        <w:jc w:val="both"/>
      </w:pPr>
      <w:r>
        <w:rPr>
          <w:rStyle w:val="optioncarChar"/>
        </w:rPr>
        <w:t xml:space="preserve">Surface nette </w:t>
      </w:r>
      <w:r>
        <w:t>(par défaut)</w:t>
      </w:r>
      <w:r>
        <w:rPr>
          <w:rStyle w:val="optioncarChar"/>
        </w:rPr>
        <w:t xml:space="preserve"> / Longueur nette / Quantité nette</w:t>
      </w:r>
      <w:r>
        <w:t>.</w:t>
      </w:r>
    </w:p>
    <w:p w14:paraId="64B41308" w14:textId="77777777" w:rsidR="00DF410E" w:rsidRDefault="00CE7F43">
      <w:pPr>
        <w:ind w:left="567"/>
        <w:jc w:val="both"/>
      </w:pPr>
      <w:r>
        <w:rPr>
          <w:b/>
          <w:i/>
        </w:rPr>
        <w:t>(Soit par défaut)</w:t>
      </w:r>
    </w:p>
    <w:p w14:paraId="6B4B0188" w14:textId="77777777" w:rsidR="00DF410E" w:rsidRDefault="00CE7F43">
      <w:pPr>
        <w:ind w:left="567"/>
        <w:jc w:val="both"/>
      </w:pPr>
      <w:r>
        <w:rPr>
          <w:rStyle w:val="soitChar"/>
          <w:u w:val="single"/>
        </w:rPr>
        <w:t>1.     Surface nette</w:t>
      </w:r>
      <w:r>
        <w:rPr>
          <w:rStyle w:val="soitChar"/>
        </w:rPr>
        <w:t xml:space="preserve"> à traiter.</w:t>
      </w:r>
    </w:p>
    <w:p w14:paraId="3786A043" w14:textId="77777777" w:rsidR="00DF410E" w:rsidRDefault="00CE7F43">
      <w:pPr>
        <w:ind w:left="567"/>
        <w:jc w:val="both"/>
      </w:pPr>
      <w:r>
        <w:rPr>
          <w:b/>
          <w:i/>
        </w:rPr>
        <w:t>(Soit)</w:t>
      </w:r>
    </w:p>
    <w:p w14:paraId="42BF0CDF" w14:textId="77777777" w:rsidR="00DF410E" w:rsidRDefault="00CE7F43">
      <w:pPr>
        <w:ind w:left="567"/>
        <w:jc w:val="both"/>
      </w:pPr>
      <w:r>
        <w:rPr>
          <w:rStyle w:val="soitChar"/>
          <w:u w:val="single"/>
        </w:rPr>
        <w:t>2.     Longueur nette</w:t>
      </w:r>
      <w:r>
        <w:rPr>
          <w:rStyle w:val="soitChar"/>
        </w:rPr>
        <w:t xml:space="preserve"> à traiter, distinction faite suivant la section des profilés.</w:t>
      </w:r>
    </w:p>
    <w:p w14:paraId="365D9B62" w14:textId="77777777" w:rsidR="00DF410E" w:rsidRDefault="00CE7F43">
      <w:pPr>
        <w:ind w:left="567"/>
        <w:jc w:val="both"/>
      </w:pPr>
      <w:r>
        <w:rPr>
          <w:b/>
          <w:i/>
        </w:rPr>
        <w:t>(Soit)</w:t>
      </w:r>
    </w:p>
    <w:p w14:paraId="401EC64F" w14:textId="77777777" w:rsidR="00DF410E" w:rsidRDefault="00CE7F43">
      <w:pPr>
        <w:ind w:left="567"/>
        <w:jc w:val="both"/>
      </w:pPr>
      <w:r>
        <w:rPr>
          <w:rStyle w:val="soitChar"/>
          <w:u w:val="single"/>
        </w:rPr>
        <w:t>3.     Quantité nette</w:t>
      </w:r>
      <w:r>
        <w:rPr>
          <w:rStyle w:val="soitChar"/>
        </w:rPr>
        <w:t>, distinction faite suivant les dimensions et les sections des profilés.</w:t>
      </w:r>
    </w:p>
    <w:p w14:paraId="77AA9804" w14:textId="77777777" w:rsidR="00DF410E" w:rsidRDefault="00CE7F43">
      <w:pPr>
        <w:pStyle w:val="pheading"/>
      </w:pPr>
      <w:r>
        <w:t>- nature du marché:</w:t>
      </w:r>
    </w:p>
    <w:p w14:paraId="6696D10E" w14:textId="77777777" w:rsidR="00DF410E" w:rsidRDefault="00CE7F43">
      <w:r>
        <w:rPr>
          <w:b/>
        </w:rPr>
        <w:t>CHARPENTE</w:t>
      </w:r>
    </w:p>
    <w:p w14:paraId="42DEECD0" w14:textId="77777777" w:rsidR="00DF410E" w:rsidRDefault="00CE7F43">
      <w:r>
        <w:rPr>
          <w:rStyle w:val="optioncarChar"/>
        </w:rPr>
        <w:t>PG</w:t>
      </w:r>
      <w:r>
        <w:t xml:space="preserve"> (par défaut) /</w:t>
      </w:r>
      <w:r>
        <w:rPr>
          <w:rStyle w:val="optioncarChar"/>
        </w:rPr>
        <w:t xml:space="preserve"> QF.</w:t>
      </w:r>
    </w:p>
    <w:p w14:paraId="7D2FC286" w14:textId="77777777" w:rsidR="00DF410E" w:rsidRDefault="00CE7F43">
      <w:r>
        <w:rPr>
          <w:b/>
          <w:i/>
        </w:rPr>
        <w:t>(Soit par défaut)</w:t>
      </w:r>
    </w:p>
    <w:p w14:paraId="2C467C27" w14:textId="77777777" w:rsidR="00DF410E" w:rsidRDefault="00CE7F43">
      <w:r>
        <w:rPr>
          <w:rStyle w:val="soitChar"/>
        </w:rPr>
        <w:t>1.     PG</w:t>
      </w:r>
    </w:p>
    <w:p w14:paraId="2715A62F" w14:textId="77777777" w:rsidR="00DF410E" w:rsidRDefault="00CE7F43">
      <w:r>
        <w:rPr>
          <w:b/>
          <w:i/>
        </w:rPr>
        <w:t>(Soit)</w:t>
      </w:r>
    </w:p>
    <w:p w14:paraId="04950D87" w14:textId="77777777" w:rsidR="00DF410E" w:rsidRDefault="00CE7F43">
      <w:r>
        <w:rPr>
          <w:rStyle w:val="soitChar"/>
        </w:rPr>
        <w:t>2. et 3. QF</w:t>
      </w:r>
    </w:p>
    <w:p w14:paraId="6534AD36" w14:textId="77777777" w:rsidR="00DF410E" w:rsidRDefault="00CE7F43">
      <w:r>
        <w:t> </w:t>
      </w:r>
    </w:p>
    <w:p w14:paraId="30E5E129" w14:textId="77777777" w:rsidR="00DF410E" w:rsidRDefault="00CE7F43">
      <w:r>
        <w:rPr>
          <w:b/>
        </w:rPr>
        <w:t>FLOCAGE</w:t>
      </w:r>
    </w:p>
    <w:p w14:paraId="7DFBB4FD" w14:textId="77777777" w:rsidR="00DF410E" w:rsidRDefault="00CE7F43">
      <w:r>
        <w:t>QF</w:t>
      </w:r>
    </w:p>
    <w:p w14:paraId="3C5B389C" w14:textId="77777777" w:rsidR="00DF410E" w:rsidRDefault="00CE7F43">
      <w:pPr>
        <w:pStyle w:val="Author-eSectionHeading5"/>
      </w:pPr>
      <w:bookmarkStart w:id="1339" w:name="_Toc178838454"/>
      <w:r>
        <w:t>23.23.2 Charpentes de toiture en acier formées à froid CCTB 01.04</w:t>
      </w:r>
      <w:bookmarkEnd w:id="1339"/>
    </w:p>
    <w:p w14:paraId="12978554" w14:textId="77777777" w:rsidR="00DF410E" w:rsidRDefault="00CE7F43">
      <w:pPr>
        <w:pStyle w:val="Author-eSectionHeading6"/>
      </w:pPr>
      <w:bookmarkStart w:id="1340" w:name="_Toc178838455"/>
      <w:r>
        <w:t>23.23.2a Fermes de toiture en acier formées à froid CCTB 01.04</w:t>
      </w:r>
      <w:bookmarkEnd w:id="1340"/>
    </w:p>
    <w:p w14:paraId="59E29406" w14:textId="77777777" w:rsidR="00DF410E" w:rsidRDefault="00CE7F43">
      <w:pPr>
        <w:pStyle w:val="Author-eSectionHeading6"/>
      </w:pPr>
      <w:bookmarkStart w:id="1341" w:name="_Toc178838456"/>
      <w:r>
        <w:t>23.23.2b Charpentes de toiture en acier formées à froid CCTB 01.04</w:t>
      </w:r>
      <w:bookmarkEnd w:id="1341"/>
    </w:p>
    <w:p w14:paraId="64557FF8" w14:textId="77777777" w:rsidR="00DF410E" w:rsidRDefault="00CE7F43">
      <w:pPr>
        <w:pStyle w:val="Author-eSectionHeading5"/>
      </w:pPr>
      <w:bookmarkStart w:id="1342" w:name="_Toc178838457"/>
      <w:r>
        <w:t>23.23.3 Charpentes de toiture en acier inoxydable laminées à chaud CCTB 01.04</w:t>
      </w:r>
      <w:bookmarkEnd w:id="1342"/>
    </w:p>
    <w:p w14:paraId="3F1B4C79" w14:textId="77777777" w:rsidR="00DF410E" w:rsidRDefault="00CE7F43">
      <w:pPr>
        <w:pStyle w:val="Author-eSectionHeading6"/>
      </w:pPr>
      <w:bookmarkStart w:id="1343" w:name="_Toc178838458"/>
      <w:r>
        <w:t>23.23.3a Fermes de toiture en acier inoxydable laminées à chaud CCTB 01.04</w:t>
      </w:r>
      <w:bookmarkEnd w:id="1343"/>
    </w:p>
    <w:p w14:paraId="15518FB5" w14:textId="77777777" w:rsidR="00DF410E" w:rsidRDefault="00CE7F43">
      <w:pPr>
        <w:pStyle w:val="Author-eSectionHeading6"/>
      </w:pPr>
      <w:bookmarkStart w:id="1344" w:name="_Toc178838459"/>
      <w:r>
        <w:t>23.23.3b Charpentes de toiture en acier inoxydable laminées à chaud CCTB 01.04</w:t>
      </w:r>
      <w:bookmarkEnd w:id="1344"/>
    </w:p>
    <w:p w14:paraId="7502CCBF" w14:textId="77777777" w:rsidR="00DF410E" w:rsidRDefault="00CE7F43">
      <w:pPr>
        <w:pStyle w:val="Author-eSectionHeading5"/>
      </w:pPr>
      <w:bookmarkStart w:id="1345" w:name="_Toc178838460"/>
      <w:r>
        <w:t>23.23.4 Charpentes de toiture en acier inoxydable formées à froid CCTB 01.04</w:t>
      </w:r>
      <w:bookmarkEnd w:id="1345"/>
    </w:p>
    <w:p w14:paraId="0775ABDC" w14:textId="77777777" w:rsidR="00DF410E" w:rsidRDefault="00CE7F43">
      <w:pPr>
        <w:pStyle w:val="Author-eSectionHeading6"/>
      </w:pPr>
      <w:bookmarkStart w:id="1346" w:name="_Toc178838461"/>
      <w:r>
        <w:t>23.23.4a Fermes de toiture en acier inoxydable formées à froid CCTB 01.04</w:t>
      </w:r>
      <w:bookmarkEnd w:id="1346"/>
    </w:p>
    <w:p w14:paraId="484EBCC3" w14:textId="77777777" w:rsidR="00DF410E" w:rsidRDefault="00CE7F43">
      <w:pPr>
        <w:pStyle w:val="Author-eSectionHeading6"/>
      </w:pPr>
      <w:bookmarkStart w:id="1347" w:name="_Toc178838462"/>
      <w:r>
        <w:t>23.23.4b Charpentes de toiture en acier inoxydable formées à froid CCTB 01.04</w:t>
      </w:r>
      <w:bookmarkEnd w:id="1347"/>
    </w:p>
    <w:p w14:paraId="0FAC5444" w14:textId="77777777" w:rsidR="00DF410E" w:rsidRDefault="00CE7F43">
      <w:pPr>
        <w:pStyle w:val="Author-eSectionHeading5"/>
      </w:pPr>
      <w:bookmarkStart w:id="1348" w:name="_Toc178838463"/>
      <w:r>
        <w:t>23.23.5 Charpentes de toiture en aluminium CCTB 01.04</w:t>
      </w:r>
      <w:bookmarkEnd w:id="1348"/>
    </w:p>
    <w:p w14:paraId="61297CDB" w14:textId="77777777" w:rsidR="00DF410E" w:rsidRDefault="00CE7F43">
      <w:pPr>
        <w:pStyle w:val="Author-eSectionHeading6"/>
      </w:pPr>
      <w:bookmarkStart w:id="1349" w:name="_Toc178838464"/>
      <w:r>
        <w:t>23.23.5a Fermes de toiture en aluminium CCTB 01.04</w:t>
      </w:r>
      <w:bookmarkEnd w:id="1349"/>
    </w:p>
    <w:p w14:paraId="0FA7DAB1" w14:textId="77777777" w:rsidR="00DF410E" w:rsidRDefault="00CE7F43">
      <w:pPr>
        <w:pStyle w:val="Author-eSectionHeading6"/>
      </w:pPr>
      <w:bookmarkStart w:id="1350" w:name="_Toc178838465"/>
      <w:r>
        <w:t>23.23.5b Charpentes de toiture en aluminium CCTB 01.04</w:t>
      </w:r>
      <w:bookmarkEnd w:id="1350"/>
    </w:p>
    <w:p w14:paraId="357D78D1" w14:textId="77777777" w:rsidR="00DF410E" w:rsidRDefault="00CE7F43">
      <w:pPr>
        <w:pStyle w:val="Author-eSectionHeading4"/>
      </w:pPr>
      <w:bookmarkStart w:id="1351" w:name="_Toc178838466"/>
      <w:r>
        <w:t>23.24 Structures particulières métalliques CCTB 01.11</w:t>
      </w:r>
      <w:bookmarkEnd w:id="1351"/>
    </w:p>
    <w:p w14:paraId="2990AC77" w14:textId="77777777" w:rsidR="00DF410E" w:rsidRDefault="00CE7F43">
      <w:pPr>
        <w:pStyle w:val="pheading"/>
      </w:pPr>
      <w:r>
        <w:t>DESCRIPTION</w:t>
      </w:r>
    </w:p>
    <w:p w14:paraId="2E351019" w14:textId="77777777" w:rsidR="00DF410E" w:rsidRDefault="00CE7F43">
      <w:pPr>
        <w:pStyle w:val="pheading"/>
      </w:pPr>
      <w:r>
        <w:t>- Définition / Comprend</w:t>
      </w:r>
    </w:p>
    <w:p w14:paraId="44B751C5" w14:textId="77777777" w:rsidR="00DF410E" w:rsidRDefault="00CE7F43">
      <w:r>
        <w:t>Il s'agit des structures tridimensionnelles composées d'éléments linéaires en acier, préfabriqués à l'atelier et montées et assemblées sur chantier aux ouvrages de construction déjà exécutés.</w:t>
      </w:r>
    </w:p>
    <w:p w14:paraId="47C8BF5E" w14:textId="77777777" w:rsidR="00DF410E" w:rsidRDefault="00CE7F43">
      <w:r>
        <w:t>Attention : Les pannes posées sur les structures tridimensionnelles ne sont pas comprises dans le prix unitaire.</w:t>
      </w:r>
    </w:p>
    <w:p w14:paraId="7B6259F4" w14:textId="77777777" w:rsidR="00DF410E" w:rsidRDefault="00CE7F43">
      <w:pPr>
        <w:pStyle w:val="pheading"/>
      </w:pPr>
      <w:r>
        <w:t>MATÉRIAUX</w:t>
      </w:r>
    </w:p>
    <w:p w14:paraId="0721D98F" w14:textId="77777777" w:rsidR="00DF410E" w:rsidRDefault="00CE7F43">
      <w:r>
        <w:t>La nuance et la qualité (soudabilité) de l'acier doivent être connues à l'avance.</w:t>
      </w:r>
    </w:p>
    <w:p w14:paraId="38A3F66D" w14:textId="77777777" w:rsidR="00DF410E" w:rsidRDefault="00CE7F43">
      <w:pPr>
        <w:pStyle w:val="heading"/>
      </w:pPr>
      <w:r>
        <w:t>Spécifications</w:t>
      </w:r>
    </w:p>
    <w:p w14:paraId="05318546" w14:textId="77777777" w:rsidR="00DF410E" w:rsidRDefault="00CE7F43">
      <w:r>
        <w:t xml:space="preserve">Nuance d'acier : </w:t>
      </w:r>
      <w:r>
        <w:rPr>
          <w:rStyle w:val="optioncarChar"/>
        </w:rPr>
        <w:t>S235 </w:t>
      </w:r>
      <w:r>
        <w:t>(par défaut)</w:t>
      </w:r>
      <w:r>
        <w:rPr>
          <w:rStyle w:val="optioncarChar"/>
        </w:rPr>
        <w:t xml:space="preserve"> / S 275 / S 355 / S 420 / S460/ proposé par l'entrepreneur / *** </w:t>
      </w:r>
      <w:r>
        <w:rPr>
          <w:i/>
        </w:rPr>
        <w:t>(selon la limite élastique en N/mm2 [NBN EN 10025 série])</w:t>
      </w:r>
    </w:p>
    <w:p w14:paraId="57D28174" w14:textId="77777777" w:rsidR="00DF410E" w:rsidRDefault="00CE7F43">
      <w:r>
        <w:rPr>
          <w:color w:val="000000"/>
        </w:rPr>
        <w:t xml:space="preserve"> Qualité : désignation </w:t>
      </w:r>
      <w:r>
        <w:rPr>
          <w:rStyle w:val="optioncarChar"/>
        </w:rPr>
        <w:t>JR </w:t>
      </w:r>
      <w:r>
        <w:t>(par défaut)</w:t>
      </w:r>
      <w:r>
        <w:rPr>
          <w:rStyle w:val="optioncarChar"/>
        </w:rPr>
        <w:t xml:space="preserve"> / J0 / J2 / K2 / N / NL / M / ML / W / P / Q /  QL / QL1 / ***</w:t>
      </w:r>
      <w:r>
        <w:rPr>
          <w:color w:val="000000"/>
        </w:rPr>
        <w:t xml:space="preserve"> (</w:t>
      </w:r>
      <w:r>
        <w:rPr>
          <w:i/>
        </w:rPr>
        <w:t>[NBN EN 10025 série]</w:t>
      </w:r>
      <w:r>
        <w:t>)</w:t>
      </w:r>
    </w:p>
    <w:p w14:paraId="41BD33BB" w14:textId="77777777" w:rsidR="00DF410E" w:rsidRDefault="00CE7F43">
      <w:r>
        <w:t>Les assemblages (chevilles ou boulons à fil métrique) sont en acier de haute qualité, de la classe 8.8 ou plus et conformes à la norme [NBN EN 1993-1-8]. </w:t>
      </w:r>
    </w:p>
    <w:p w14:paraId="127658B0" w14:textId="77777777" w:rsidR="00DF410E" w:rsidRDefault="00CE7F43">
      <w:pPr>
        <w:pStyle w:val="pheading"/>
      </w:pPr>
      <w:r>
        <w:t>EXÉCUTION / MISE EN ŒUVRE</w:t>
      </w:r>
    </w:p>
    <w:p w14:paraId="613523EA" w14:textId="77777777" w:rsidR="00DF410E" w:rsidRDefault="00CE7F43">
      <w:r>
        <w:t>Les déformations de la structure sont conformes à la [NBN B 03-003]. La structure tridimensionnelle se compose d’un treillis inférieur qui est relié par des diagonales à un treillis supérieur. Les lignes axiales des barres doivent se couper exactement dans le point central des nœuds d’assemblage.</w:t>
      </w:r>
    </w:p>
    <w:p w14:paraId="4EAFA8E4" w14:textId="77777777" w:rsidR="00DF410E" w:rsidRDefault="00CE7F43">
      <w:pPr>
        <w:pStyle w:val="Author-eListParagraph"/>
        <w:numPr>
          <w:ilvl w:val="0"/>
          <w:numId w:val="709"/>
        </w:numPr>
      </w:pPr>
      <w:r>
        <w:t xml:space="preserve">Hauteur de la structure tridimensionnelle, mesurée entre les axes des treillis supérieur et inférieur : </w:t>
      </w:r>
      <w:r>
        <w:rPr>
          <w:rStyle w:val="optioncarChar"/>
        </w:rPr>
        <w:t>***</w:t>
      </w:r>
      <w:r>
        <w:t xml:space="preserve"> m.</w:t>
      </w:r>
    </w:p>
    <w:p w14:paraId="43EF0759" w14:textId="77777777" w:rsidR="00DF410E" w:rsidRDefault="00CE7F43">
      <w:pPr>
        <w:pStyle w:val="Author-eListParagraph"/>
        <w:numPr>
          <w:ilvl w:val="0"/>
          <w:numId w:val="709"/>
        </w:numPr>
      </w:pPr>
      <w:r>
        <w:t xml:space="preserve">Le treillis de base </w:t>
      </w:r>
      <w:r>
        <w:rPr>
          <w:rStyle w:val="optioncarChar"/>
        </w:rPr>
        <w:t>de la surface inférieure</w:t>
      </w:r>
      <w:r>
        <w:t> </w:t>
      </w:r>
      <w:r>
        <w:rPr>
          <w:rStyle w:val="optioncarChar"/>
        </w:rPr>
        <w:t>/ de la surface supérieure / des surfaces inférieure et supérieure / ***</w:t>
      </w:r>
      <w:r>
        <w:t xml:space="preserve"> a la forme d’un </w:t>
      </w:r>
      <w:r>
        <w:rPr>
          <w:rStyle w:val="optioncarChar"/>
        </w:rPr>
        <w:t>triangle équilatéral / triangle rectangulaire / carré / rectangle / hexagone régulier / ***</w:t>
      </w:r>
      <w:r>
        <w:t>.</w:t>
      </w:r>
    </w:p>
    <w:p w14:paraId="43F9B6FA" w14:textId="77777777" w:rsidR="00DF410E" w:rsidRDefault="00CE7F43">
      <w:pPr>
        <w:pStyle w:val="Author-eListParagraph"/>
        <w:numPr>
          <w:ilvl w:val="0"/>
          <w:numId w:val="709"/>
        </w:numPr>
      </w:pPr>
      <w:r>
        <w:t>Les profilés utilisés </w:t>
      </w:r>
      <w:r>
        <w:rPr>
          <w:rStyle w:val="optioncarChar"/>
        </w:rPr>
        <w:t>du treillis inférieur / du treillis supérieur / des diagonales / ***</w:t>
      </w:r>
      <w:r>
        <w:t xml:space="preserve"> présentent les mêmes dimensions extérieures.</w:t>
      </w:r>
    </w:p>
    <w:p w14:paraId="5DED5FE6" w14:textId="77777777" w:rsidR="00DF410E" w:rsidRDefault="00CE7F43">
      <w:pPr>
        <w:pStyle w:val="Author-eListParagraph"/>
        <w:numPr>
          <w:ilvl w:val="0"/>
          <w:numId w:val="709"/>
        </w:numPr>
      </w:pPr>
      <w:r>
        <w:t>La hauteur des cases est : </w:t>
      </w:r>
      <w:r>
        <w:rPr>
          <w:rStyle w:val="optioncarChar"/>
        </w:rPr>
        <w:t>constante / variable / ***</w:t>
      </w:r>
    </w:p>
    <w:p w14:paraId="7684D48A" w14:textId="77777777" w:rsidR="00DF410E" w:rsidRDefault="00CE7F43">
      <w:pPr>
        <w:pStyle w:val="Author-eListParagraph"/>
        <w:numPr>
          <w:ilvl w:val="0"/>
          <w:numId w:val="709"/>
        </w:numPr>
      </w:pPr>
      <w:r>
        <w:t xml:space="preserve">La reprise des contraintes s’effectue par des </w:t>
      </w:r>
      <w:r>
        <w:rPr>
          <w:rStyle w:val="optioncarChar"/>
        </w:rPr>
        <w:t>épaisseurs d’acier différentes / nuances d’acier différentes / ***</w:t>
      </w:r>
      <w:r>
        <w:rPr>
          <w:color w:val="0000FF"/>
        </w:rPr>
        <w:t>.</w:t>
      </w:r>
    </w:p>
    <w:p w14:paraId="60DAB81A" w14:textId="77777777" w:rsidR="00DF410E" w:rsidRDefault="00CE7F43">
      <w:pPr>
        <w:pStyle w:val="Author-eListParagraph"/>
        <w:numPr>
          <w:ilvl w:val="0"/>
          <w:numId w:val="709"/>
        </w:numPr>
      </w:pPr>
      <w:r>
        <w:t>Le treillis supérieur se compose de : </w:t>
      </w:r>
      <w:r>
        <w:rPr>
          <w:rStyle w:val="optioncarChar"/>
        </w:rPr>
        <w:t>Profils en U / Profils en T / profils tubulaires / tubes circulaires / ***</w:t>
      </w:r>
    </w:p>
    <w:p w14:paraId="41D5B4F5" w14:textId="77777777" w:rsidR="00DF410E" w:rsidRDefault="00CE7F43">
      <w:pPr>
        <w:pStyle w:val="Author-eListParagraph"/>
        <w:numPr>
          <w:ilvl w:val="0"/>
          <w:numId w:val="709"/>
        </w:numPr>
      </w:pPr>
      <w:r>
        <w:t>Le treillis inférieur se compose de : </w:t>
      </w:r>
      <w:r>
        <w:rPr>
          <w:rStyle w:val="optioncarChar"/>
        </w:rPr>
        <w:t>Profils en U / Profils en T / profils tubulaires / tubes circulaires / ***</w:t>
      </w:r>
    </w:p>
    <w:p w14:paraId="3E8BE9FB" w14:textId="77777777" w:rsidR="00DF410E" w:rsidRDefault="00CE7F43">
      <w:pPr>
        <w:pStyle w:val="Author-eListParagraph"/>
        <w:numPr>
          <w:ilvl w:val="0"/>
          <w:numId w:val="709"/>
        </w:numPr>
      </w:pPr>
      <w:r>
        <w:t>Les diagonales se composent de : </w:t>
      </w:r>
      <w:r>
        <w:rPr>
          <w:rStyle w:val="optioncarChar"/>
        </w:rPr>
        <w:t>Profils en U / Profils en T / profils tubulaires / tubes circulaires / ***</w:t>
      </w:r>
    </w:p>
    <w:p w14:paraId="189C06E5" w14:textId="77777777" w:rsidR="00DF410E" w:rsidRDefault="00CE7F43">
      <w:pPr>
        <w:pStyle w:val="Author-eListParagraph"/>
        <w:numPr>
          <w:ilvl w:val="0"/>
          <w:numId w:val="709"/>
        </w:numPr>
      </w:pPr>
      <w:r>
        <w:t>Les nœuds d’assemblage sont : </w:t>
      </w:r>
      <w:r>
        <w:rPr>
          <w:rStyle w:val="optioncarChar"/>
        </w:rPr>
        <w:t>des éléments sphériques / des éléments polygonaux / des éléments sous forme de pelure / des éléments de plaque plans / des boulonnages / ***</w:t>
      </w:r>
      <w:r>
        <w:t xml:space="preserve"> .</w:t>
      </w:r>
    </w:p>
    <w:p w14:paraId="34C14853" w14:textId="77777777" w:rsidR="00DF410E" w:rsidRDefault="00CE7F43">
      <w:pPr>
        <w:pStyle w:val="pheading"/>
      </w:pPr>
      <w:r>
        <w:t>CONTRÔLES</w:t>
      </w:r>
    </w:p>
    <w:p w14:paraId="7600566A" w14:textId="77777777" w:rsidR="00DF410E" w:rsidRDefault="00CE7F43">
      <w:r>
        <w:t>Un essai de résistance est préalablement exécuté sur deux raccords à nœud complets, désignés par le bureau d'étude et / ou le maître de l'ouvrage et composés du nœud et des différents éléments qui y sont reliés avec leurs raccords respectifs.</w:t>
      </w:r>
    </w:p>
    <w:p w14:paraId="06001E8B" w14:textId="77777777" w:rsidR="00DF410E" w:rsidRDefault="00CE7F43">
      <w:pPr>
        <w:pStyle w:val="pheading"/>
      </w:pPr>
      <w:r>
        <w:t>AIDE</w:t>
      </w:r>
    </w:p>
    <w:p w14:paraId="4DA05BB0" w14:textId="77777777" w:rsidR="00DF410E" w:rsidRDefault="00CE7F43">
      <w:r>
        <w:rPr>
          <w:u w:val="single"/>
        </w:rPr>
        <w:t>À l'attention de l'auteur de projet</w:t>
      </w:r>
    </w:p>
    <w:p w14:paraId="1BEA5AB0" w14:textId="77777777" w:rsidR="00DF410E" w:rsidRDefault="00CE7F43">
      <w:r>
        <w:t>En général, la transmission des forces est basée sur la triangulation des éléments assemblés par assemblages à charnière et qui sont soumis à des efforts de compression ou de traction uniquement.</w:t>
      </w:r>
    </w:p>
    <w:p w14:paraId="08A5CD0F" w14:textId="77777777" w:rsidR="00DF410E" w:rsidRDefault="00CE7F43">
      <w:r>
        <w:t>Quelques types : structures tridimensionnelles Monié, Howe, Américaine, Neuville, en K, Croix de Saint-André, losange, Vierendeel,…</w:t>
      </w:r>
    </w:p>
    <w:p w14:paraId="5BB877FD" w14:textId="77777777" w:rsidR="00DF410E" w:rsidRDefault="00CE7F43">
      <w:pPr>
        <w:pStyle w:val="Author-eSectionHeading5"/>
      </w:pPr>
      <w:bookmarkStart w:id="1352" w:name="_Toc178838467"/>
      <w:r>
        <w:t>23.24.1 Structures particulières en acier laminées à chaud CCTB 01.04</w:t>
      </w:r>
      <w:bookmarkEnd w:id="1352"/>
    </w:p>
    <w:p w14:paraId="4EDFFFF3" w14:textId="77777777" w:rsidR="00DF410E" w:rsidRDefault="00CE7F43">
      <w:pPr>
        <w:pStyle w:val="Author-eSectionHeading6"/>
      </w:pPr>
      <w:bookmarkStart w:id="1353" w:name="_Toc178838468"/>
      <w:r>
        <w:t>23.24.1a Structures tridimensionnelles en acier laminées à chaud CCTB 01.11</w:t>
      </w:r>
      <w:bookmarkEnd w:id="1353"/>
    </w:p>
    <w:p w14:paraId="026ADB5B" w14:textId="77777777" w:rsidR="00DF410E" w:rsidRDefault="00CE7F43">
      <w:pPr>
        <w:pStyle w:val="pheading"/>
      </w:pPr>
      <w:r>
        <w:t>EXÉCUTION / MISE EN ŒUVRE</w:t>
      </w:r>
    </w:p>
    <w:p w14:paraId="586DEFE0" w14:textId="77777777" w:rsidR="00DF410E" w:rsidRDefault="00CE7F43">
      <w:pPr>
        <w:pStyle w:val="pheading"/>
      </w:pPr>
      <w:r>
        <w:t>- Notes d’exécution complémentaires</w:t>
      </w:r>
    </w:p>
    <w:p w14:paraId="0C98389A" w14:textId="77777777" w:rsidR="00DF410E" w:rsidRDefault="00CE7F43">
      <w:r>
        <w:t xml:space="preserve">• Une charge d'exploitation </w:t>
      </w:r>
      <w:r>
        <w:rPr>
          <w:color w:val="FF0000"/>
        </w:rPr>
        <w:t>spéciale</w:t>
      </w:r>
      <w:r>
        <w:t> (par défaut)</w:t>
      </w:r>
      <w:r>
        <w:rPr>
          <w:color w:val="FF0000"/>
        </w:rPr>
        <w:t xml:space="preserve"> / supplémentaire</w:t>
      </w:r>
      <w:r>
        <w:t xml:space="preserve"> de </w:t>
      </w:r>
      <w:r>
        <w:rPr>
          <w:color w:val="FF0000"/>
        </w:rPr>
        <w:t>***</w:t>
      </w:r>
      <w:r>
        <w:t>. kN/m2 est à prévoir.</w:t>
      </w:r>
    </w:p>
    <w:p w14:paraId="46C0165B" w14:textId="77777777" w:rsidR="00DF410E" w:rsidRDefault="00CE7F43">
      <w:r>
        <w:t>• Les éléments du treillis supérieur servent de pannes.</w:t>
      </w:r>
    </w:p>
    <w:p w14:paraId="5226738E" w14:textId="77777777" w:rsidR="00DF410E" w:rsidRDefault="00CE7F43">
      <w:pPr>
        <w:pStyle w:val="Author-eSectionHeading6"/>
      </w:pPr>
      <w:bookmarkStart w:id="1354" w:name="_Toc178838469"/>
      <w:r>
        <w:t>23.24.1b Ponts roulants en acier laminés à chaud CCTB 01.04</w:t>
      </w:r>
      <w:bookmarkEnd w:id="1354"/>
    </w:p>
    <w:p w14:paraId="282BE7E7" w14:textId="77777777" w:rsidR="00DF410E" w:rsidRDefault="00CE7F43">
      <w:pPr>
        <w:pStyle w:val="Author-eSectionHeading6"/>
      </w:pPr>
      <w:bookmarkStart w:id="1355" w:name="_Toc178838470"/>
      <w:r>
        <w:t>23.24.1c Mâts et pylônes en acier laminés à chaud CCTB 01.04</w:t>
      </w:r>
      <w:bookmarkEnd w:id="1355"/>
    </w:p>
    <w:p w14:paraId="376C502D" w14:textId="77777777" w:rsidR="00DF410E" w:rsidRDefault="00CE7F43">
      <w:pPr>
        <w:pStyle w:val="Author-eSectionHeading6"/>
      </w:pPr>
      <w:bookmarkStart w:id="1356" w:name="_Toc178838471"/>
      <w:r>
        <w:t>23.24.1d Tôles fortes en acier laminées à chaud CCTB 01.04</w:t>
      </w:r>
      <w:bookmarkEnd w:id="1356"/>
    </w:p>
    <w:p w14:paraId="514C9E38" w14:textId="77777777" w:rsidR="00DF410E" w:rsidRDefault="00CE7F43">
      <w:pPr>
        <w:pStyle w:val="Author-eSectionHeading5"/>
      </w:pPr>
      <w:bookmarkStart w:id="1357" w:name="_Toc178838472"/>
      <w:r>
        <w:t>23.24.2 Structures particulières en acier formées à froid CCTB 01.04</w:t>
      </w:r>
      <w:bookmarkEnd w:id="1357"/>
    </w:p>
    <w:p w14:paraId="035EBC50" w14:textId="77777777" w:rsidR="00DF410E" w:rsidRDefault="00CE7F43">
      <w:pPr>
        <w:pStyle w:val="Author-eSectionHeading6"/>
      </w:pPr>
      <w:bookmarkStart w:id="1358" w:name="_Toc178838473"/>
      <w:r>
        <w:t>23.24.2a Structures tridimensionnelles en acier formées à froid CCTB 01.11</w:t>
      </w:r>
      <w:bookmarkEnd w:id="1358"/>
    </w:p>
    <w:p w14:paraId="646B071A" w14:textId="77777777" w:rsidR="00DF410E" w:rsidRDefault="00CE7F43">
      <w:pPr>
        <w:pStyle w:val="pheading"/>
      </w:pPr>
      <w:r>
        <w:t>EXÉCUTION / MISE EN ŒUVRE</w:t>
      </w:r>
    </w:p>
    <w:p w14:paraId="78FC5991" w14:textId="77777777" w:rsidR="00DF410E" w:rsidRDefault="00CE7F43">
      <w:pPr>
        <w:pStyle w:val="pheading"/>
      </w:pPr>
      <w:r>
        <w:t>- Notes d’exécution complémentaires</w:t>
      </w:r>
    </w:p>
    <w:p w14:paraId="040509D0" w14:textId="77777777" w:rsidR="00DF410E" w:rsidRDefault="00CE7F43">
      <w:r>
        <w:t xml:space="preserve">• Une charge d'exploitation </w:t>
      </w:r>
      <w:r>
        <w:rPr>
          <w:color w:val="FF0000"/>
        </w:rPr>
        <w:t>spéciale / supplémentaire</w:t>
      </w:r>
      <w:r>
        <w:t xml:space="preserve"> de </w:t>
      </w:r>
      <w:r>
        <w:rPr>
          <w:color w:val="FF0000"/>
        </w:rPr>
        <w:t xml:space="preserve">*** </w:t>
      </w:r>
      <w:r>
        <w:t>kN/m</w:t>
      </w:r>
      <w:r>
        <w:rPr>
          <w:vertAlign w:val="superscript"/>
        </w:rPr>
        <w:t>2</w:t>
      </w:r>
      <w:r>
        <w:t xml:space="preserve"> est à prévoir.</w:t>
      </w:r>
    </w:p>
    <w:p w14:paraId="50562709" w14:textId="77777777" w:rsidR="00DF410E" w:rsidRDefault="00CE7F43">
      <w:r>
        <w:t>• Les éléments du treillis supérieur servent de pannes.</w:t>
      </w:r>
    </w:p>
    <w:p w14:paraId="14246022" w14:textId="77777777" w:rsidR="00DF410E" w:rsidRDefault="00CE7F43">
      <w:pPr>
        <w:pStyle w:val="Author-eSectionHeading6"/>
      </w:pPr>
      <w:bookmarkStart w:id="1359" w:name="_Toc178838474"/>
      <w:r>
        <w:t>23.24.2b Ponts roulants en acier formés à froid CCTB 01.04</w:t>
      </w:r>
      <w:bookmarkEnd w:id="1359"/>
    </w:p>
    <w:p w14:paraId="5288C65A" w14:textId="77777777" w:rsidR="00DF410E" w:rsidRDefault="00CE7F43">
      <w:pPr>
        <w:pStyle w:val="Author-eSectionHeading6"/>
      </w:pPr>
      <w:bookmarkStart w:id="1360" w:name="_Toc178838475"/>
      <w:r>
        <w:t>23.24.2c Mâts et pylônes en acier formés à froid CCTB 01.04</w:t>
      </w:r>
      <w:bookmarkEnd w:id="1360"/>
    </w:p>
    <w:p w14:paraId="642E47E7" w14:textId="77777777" w:rsidR="00DF410E" w:rsidRDefault="00CE7F43">
      <w:pPr>
        <w:pStyle w:val="Author-eSectionHeading5"/>
      </w:pPr>
      <w:bookmarkStart w:id="1361" w:name="_Toc178838476"/>
      <w:r>
        <w:t>23.24.3 Structures particulières en acier inoxydable laminées à chaud CCTB 01.04</w:t>
      </w:r>
      <w:bookmarkEnd w:id="1361"/>
    </w:p>
    <w:p w14:paraId="5E89679F" w14:textId="77777777" w:rsidR="00DF410E" w:rsidRDefault="00CE7F43">
      <w:pPr>
        <w:pStyle w:val="Author-eSectionHeading6"/>
      </w:pPr>
      <w:bookmarkStart w:id="1362" w:name="_Toc178838477"/>
      <w:r>
        <w:t>23.24.3a Structures tridimensionnelles en acier inoxydable laminées à chaud CCTB 01.11</w:t>
      </w:r>
      <w:bookmarkEnd w:id="1362"/>
    </w:p>
    <w:p w14:paraId="58591E85" w14:textId="77777777" w:rsidR="00DF410E" w:rsidRDefault="00CE7F43">
      <w:pPr>
        <w:pStyle w:val="pheading"/>
      </w:pPr>
      <w:r>
        <w:t>EXÉCUTION / MISE EN ŒUVRE</w:t>
      </w:r>
    </w:p>
    <w:p w14:paraId="6DF4B366" w14:textId="77777777" w:rsidR="00DF410E" w:rsidRDefault="00CE7F43">
      <w:pPr>
        <w:pStyle w:val="pheading"/>
      </w:pPr>
      <w:r>
        <w:t>- Notes d’exécution complémentaires</w:t>
      </w:r>
    </w:p>
    <w:p w14:paraId="5F933D26" w14:textId="77777777" w:rsidR="00DF410E" w:rsidRDefault="00CE7F43">
      <w:r>
        <w:t xml:space="preserve">• Une charge d'exploitation </w:t>
      </w:r>
      <w:r>
        <w:rPr>
          <w:color w:val="FF0000"/>
        </w:rPr>
        <w:t>spéciale </w:t>
      </w:r>
      <w:r>
        <w:t xml:space="preserve">(par défaut) </w:t>
      </w:r>
      <w:r>
        <w:rPr>
          <w:color w:val="FF0000"/>
        </w:rPr>
        <w:t>/ supplémentaire</w:t>
      </w:r>
      <w:r>
        <w:t xml:space="preserve"> de </w:t>
      </w:r>
      <w:r>
        <w:rPr>
          <w:color w:val="FF0000"/>
        </w:rPr>
        <w:t xml:space="preserve">*** </w:t>
      </w:r>
      <w:r>
        <w:t>kN/m2 est à prévoir.</w:t>
      </w:r>
    </w:p>
    <w:p w14:paraId="2E9DC6A1" w14:textId="77777777" w:rsidR="00DF410E" w:rsidRDefault="00CE7F43">
      <w:r>
        <w:t>• Les éléments du treillis supérieur servent de pannes.</w:t>
      </w:r>
    </w:p>
    <w:p w14:paraId="75D9D092" w14:textId="77777777" w:rsidR="00DF410E" w:rsidRDefault="00CE7F43">
      <w:pPr>
        <w:pStyle w:val="Author-eSectionHeading6"/>
      </w:pPr>
      <w:bookmarkStart w:id="1363" w:name="_Toc178838478"/>
      <w:r>
        <w:t>23.24.3b Ponts roulants en acier inoxydable laminés à chaud CCTB 01.04</w:t>
      </w:r>
      <w:bookmarkEnd w:id="1363"/>
    </w:p>
    <w:p w14:paraId="4023792F" w14:textId="77777777" w:rsidR="00DF410E" w:rsidRDefault="00CE7F43">
      <w:pPr>
        <w:pStyle w:val="Author-eSectionHeading6"/>
      </w:pPr>
      <w:bookmarkStart w:id="1364" w:name="_Toc178838479"/>
      <w:r>
        <w:t>23.24.3c Mâts et pylônes en acier inoxydable laminés à chaud CCTB 01.04</w:t>
      </w:r>
      <w:bookmarkEnd w:id="1364"/>
    </w:p>
    <w:p w14:paraId="2BECDB90" w14:textId="77777777" w:rsidR="00DF410E" w:rsidRDefault="00CE7F43">
      <w:pPr>
        <w:pStyle w:val="Author-eSectionHeading6"/>
      </w:pPr>
      <w:bookmarkStart w:id="1365" w:name="_Toc178838480"/>
      <w:r>
        <w:t>23.24.3d Tôles fortes en acier inoxydable laminées à chaud CCTB 01.04</w:t>
      </w:r>
      <w:bookmarkEnd w:id="1365"/>
    </w:p>
    <w:p w14:paraId="38AFF4D6" w14:textId="77777777" w:rsidR="00DF410E" w:rsidRDefault="00CE7F43">
      <w:pPr>
        <w:pStyle w:val="Author-eSectionHeading5"/>
      </w:pPr>
      <w:bookmarkStart w:id="1366" w:name="_Toc178838481"/>
      <w:r>
        <w:t>23.24.4 Structures particulières en acier inoxydable formées à froid CCTB 01.04</w:t>
      </w:r>
      <w:bookmarkEnd w:id="1366"/>
    </w:p>
    <w:p w14:paraId="51508132" w14:textId="77777777" w:rsidR="00DF410E" w:rsidRDefault="00CE7F43">
      <w:pPr>
        <w:pStyle w:val="Author-eSectionHeading6"/>
      </w:pPr>
      <w:bookmarkStart w:id="1367" w:name="_Toc178838482"/>
      <w:r>
        <w:t>23.24.4a Structures tridimensionnelles en acier inoxydable formées à froid CCTB 01.11</w:t>
      </w:r>
      <w:bookmarkEnd w:id="1367"/>
    </w:p>
    <w:p w14:paraId="187931A2" w14:textId="77777777" w:rsidR="00DF410E" w:rsidRDefault="00CE7F43">
      <w:pPr>
        <w:pStyle w:val="pheading"/>
      </w:pPr>
      <w:r>
        <w:t>EXÉCUTION / MISE EN ŒUVRE</w:t>
      </w:r>
    </w:p>
    <w:p w14:paraId="7C71DEDA" w14:textId="77777777" w:rsidR="00DF410E" w:rsidRDefault="00CE7F43">
      <w:pPr>
        <w:pStyle w:val="pheading"/>
      </w:pPr>
      <w:r>
        <w:t>- Notes d’exécution complémentaires</w:t>
      </w:r>
    </w:p>
    <w:p w14:paraId="377F4A94" w14:textId="77777777" w:rsidR="00DF410E" w:rsidRDefault="00CE7F43">
      <w:r>
        <w:t xml:space="preserve">• Une charge d'exploitation </w:t>
      </w:r>
      <w:r>
        <w:rPr>
          <w:color w:val="FF0000"/>
        </w:rPr>
        <w:t>spéciale </w:t>
      </w:r>
      <w:r>
        <w:t>(par défaut)</w:t>
      </w:r>
      <w:r>
        <w:rPr>
          <w:color w:val="FF0000"/>
        </w:rPr>
        <w:t xml:space="preserve"> / supplémentaire</w:t>
      </w:r>
      <w:r>
        <w:t xml:space="preserve"> de </w:t>
      </w:r>
      <w:r>
        <w:rPr>
          <w:color w:val="FF0000"/>
        </w:rPr>
        <w:t xml:space="preserve">*** </w:t>
      </w:r>
      <w:r>
        <w:t>kN/m</w:t>
      </w:r>
      <w:r>
        <w:rPr>
          <w:vertAlign w:val="superscript"/>
        </w:rPr>
        <w:t>2</w:t>
      </w:r>
      <w:r>
        <w:t xml:space="preserve"> est à prévoir.</w:t>
      </w:r>
    </w:p>
    <w:p w14:paraId="295CF37F" w14:textId="77777777" w:rsidR="00DF410E" w:rsidRDefault="00CE7F43">
      <w:r>
        <w:t>• Les éléments du treillis supérieur servent de pannes.</w:t>
      </w:r>
    </w:p>
    <w:p w14:paraId="6DF61FE8" w14:textId="77777777" w:rsidR="00DF410E" w:rsidRDefault="00CE7F43">
      <w:pPr>
        <w:pStyle w:val="Author-eSectionHeading6"/>
      </w:pPr>
      <w:bookmarkStart w:id="1368" w:name="_Toc178838483"/>
      <w:r>
        <w:t>23.24.4b Ponts roulants en acier inoxydable formés à froid CCTB 01.04</w:t>
      </w:r>
      <w:bookmarkEnd w:id="1368"/>
    </w:p>
    <w:p w14:paraId="16330025" w14:textId="77777777" w:rsidR="00DF410E" w:rsidRDefault="00CE7F43">
      <w:pPr>
        <w:pStyle w:val="Author-eSectionHeading6"/>
      </w:pPr>
      <w:bookmarkStart w:id="1369" w:name="_Toc178838484"/>
      <w:r>
        <w:t>23.24.4c Mâts et pylônes en acier inoxydable formés à froid CCTB 01.04</w:t>
      </w:r>
      <w:bookmarkEnd w:id="1369"/>
    </w:p>
    <w:p w14:paraId="3D993E78" w14:textId="77777777" w:rsidR="00DF410E" w:rsidRDefault="00CE7F43">
      <w:pPr>
        <w:pStyle w:val="Author-eSectionHeading5"/>
      </w:pPr>
      <w:bookmarkStart w:id="1370" w:name="_Toc178838485"/>
      <w:r>
        <w:t>23.24.5 Structures particulières en aluminium CCTB 01.02</w:t>
      </w:r>
      <w:bookmarkEnd w:id="1370"/>
    </w:p>
    <w:p w14:paraId="3AFE4FD2" w14:textId="77777777" w:rsidR="00DF410E" w:rsidRDefault="00CE7F43">
      <w:pPr>
        <w:pStyle w:val="Author-eSectionHeading6"/>
      </w:pPr>
      <w:bookmarkStart w:id="1371" w:name="_Toc178838486"/>
      <w:r>
        <w:t>23.24.5a Structures tridimensionnelles en aluminium CCTB 01.11</w:t>
      </w:r>
      <w:bookmarkEnd w:id="1371"/>
    </w:p>
    <w:p w14:paraId="4948F70B" w14:textId="77777777" w:rsidR="00DF410E" w:rsidRDefault="00CE7F43">
      <w:pPr>
        <w:pStyle w:val="pheading"/>
      </w:pPr>
      <w:r>
        <w:t>EXÉCUTION / MISE EN ŒUVRE</w:t>
      </w:r>
    </w:p>
    <w:p w14:paraId="0F3A2CFA" w14:textId="77777777" w:rsidR="00DF410E" w:rsidRDefault="00CE7F43">
      <w:pPr>
        <w:pStyle w:val="pheading"/>
      </w:pPr>
      <w:r>
        <w:t>- Notes d’exécution complémentaires</w:t>
      </w:r>
    </w:p>
    <w:p w14:paraId="45DC2D57" w14:textId="77777777" w:rsidR="00DF410E" w:rsidRDefault="00CE7F43">
      <w:r>
        <w:t xml:space="preserve">• Une charge d'exploitation </w:t>
      </w:r>
      <w:r>
        <w:rPr>
          <w:color w:val="FF0000"/>
        </w:rPr>
        <w:t xml:space="preserve">spéciale </w:t>
      </w:r>
      <w:r>
        <w:t>(par défaut) </w:t>
      </w:r>
      <w:r>
        <w:rPr>
          <w:color w:val="FF0000"/>
        </w:rPr>
        <w:t>/ supplémentaire</w:t>
      </w:r>
      <w:r>
        <w:t xml:space="preserve"> de </w:t>
      </w:r>
      <w:r>
        <w:rPr>
          <w:color w:val="FF0000"/>
        </w:rPr>
        <w:t xml:space="preserve">*** </w:t>
      </w:r>
      <w:r>
        <w:t>kN/m</w:t>
      </w:r>
      <w:r>
        <w:rPr>
          <w:vertAlign w:val="superscript"/>
        </w:rPr>
        <w:t>2</w:t>
      </w:r>
      <w:r>
        <w:t xml:space="preserve"> est à prévoir.</w:t>
      </w:r>
    </w:p>
    <w:p w14:paraId="2AC43720" w14:textId="77777777" w:rsidR="00DF410E" w:rsidRDefault="00CE7F43">
      <w:r>
        <w:t>• Les éléments du treillis supérieur servent de pannes.</w:t>
      </w:r>
    </w:p>
    <w:p w14:paraId="44839C45" w14:textId="77777777" w:rsidR="00DF410E" w:rsidRDefault="00CE7F43">
      <w:pPr>
        <w:pStyle w:val="Author-eSectionHeading6"/>
      </w:pPr>
      <w:bookmarkStart w:id="1372" w:name="_Toc178838487"/>
      <w:r>
        <w:t>23.24.5b Mâts et pylônes en aluminium CCTB 01.04</w:t>
      </w:r>
      <w:bookmarkEnd w:id="1372"/>
    </w:p>
    <w:p w14:paraId="080ECE26" w14:textId="77777777" w:rsidR="00DF410E" w:rsidRDefault="00CE7F43">
      <w:pPr>
        <w:pStyle w:val="Author-eSectionHeading4"/>
      </w:pPr>
      <w:bookmarkStart w:id="1373" w:name="_Toc178838488"/>
      <w:r>
        <w:t>23.25 Systèmes constructifs particuliers métalliques CCTB 01.04</w:t>
      </w:r>
      <w:bookmarkEnd w:id="1373"/>
    </w:p>
    <w:p w14:paraId="3B073B6E" w14:textId="77777777" w:rsidR="00DF410E" w:rsidRDefault="00CE7F43">
      <w:pPr>
        <w:pStyle w:val="Author-eSectionHeading5"/>
      </w:pPr>
      <w:bookmarkStart w:id="1374" w:name="_Toc178838489"/>
      <w:r>
        <w:t>23.25.1 Systèmes constructifs particuliers en acier laminés à chaud CCTB 01.04</w:t>
      </w:r>
      <w:bookmarkEnd w:id="1374"/>
    </w:p>
    <w:p w14:paraId="1F7FCA92" w14:textId="77777777" w:rsidR="00DF410E" w:rsidRDefault="00CE7F43">
      <w:pPr>
        <w:pStyle w:val="Author-eSectionHeading6"/>
      </w:pPr>
      <w:bookmarkStart w:id="1375" w:name="_Toc178838490"/>
      <w:r>
        <w:t>23.25.1a Systèmes constructifs particuliers en acier laminés à chaud CCTB 01.04</w:t>
      </w:r>
      <w:bookmarkEnd w:id="1375"/>
    </w:p>
    <w:p w14:paraId="048B1431" w14:textId="77777777" w:rsidR="00DF410E" w:rsidRDefault="00CE7F43">
      <w:pPr>
        <w:pStyle w:val="Author-eSectionHeading6"/>
      </w:pPr>
      <w:bookmarkStart w:id="1376" w:name="_Toc178838491"/>
      <w:r>
        <w:t>23.25.1b Ossatures modulaires préfabriquées en acier laminées à chaud CCTB 01.04</w:t>
      </w:r>
      <w:bookmarkEnd w:id="1376"/>
    </w:p>
    <w:p w14:paraId="66924469" w14:textId="77777777" w:rsidR="00DF410E" w:rsidRDefault="00CE7F43">
      <w:pPr>
        <w:pStyle w:val="Author-eSectionHeading6"/>
      </w:pPr>
      <w:bookmarkStart w:id="1377" w:name="_Toc178838492"/>
      <w:r>
        <w:t>23.25.1c Systèmes constructifs en coques raidies en acier laminées à chaud CCTB 01.04</w:t>
      </w:r>
      <w:bookmarkEnd w:id="1377"/>
    </w:p>
    <w:p w14:paraId="14575B38" w14:textId="77777777" w:rsidR="00DF410E" w:rsidRDefault="00CE7F43">
      <w:pPr>
        <w:pStyle w:val="Author-eSectionHeading5"/>
      </w:pPr>
      <w:bookmarkStart w:id="1378" w:name="_Toc178838493"/>
      <w:r>
        <w:t>23.25.2 Systèmes constructifs particuliers en acier formés à froid CCTB 01.04</w:t>
      </w:r>
      <w:bookmarkEnd w:id="1378"/>
    </w:p>
    <w:p w14:paraId="76533C79" w14:textId="77777777" w:rsidR="00DF410E" w:rsidRDefault="00CE7F43">
      <w:pPr>
        <w:pStyle w:val="Author-eSectionHeading6"/>
      </w:pPr>
      <w:bookmarkStart w:id="1379" w:name="_Toc178838494"/>
      <w:r>
        <w:t>23.25.2a Systèmes constructifs particuliers en acier formés à froid CCTB 01.04</w:t>
      </w:r>
      <w:bookmarkEnd w:id="1379"/>
    </w:p>
    <w:p w14:paraId="7243D295" w14:textId="77777777" w:rsidR="00DF410E" w:rsidRDefault="00CE7F43">
      <w:pPr>
        <w:pStyle w:val="Author-eSectionHeading6"/>
      </w:pPr>
      <w:bookmarkStart w:id="1380" w:name="_Toc178838495"/>
      <w:r>
        <w:t>23.25.2b Ossatures modulaires préfabriquées en acier formées à froid CCTB 01.04</w:t>
      </w:r>
      <w:bookmarkEnd w:id="1380"/>
    </w:p>
    <w:p w14:paraId="2EF29C3C" w14:textId="77777777" w:rsidR="00DF410E" w:rsidRDefault="00CE7F43">
      <w:pPr>
        <w:pStyle w:val="Author-eSectionHeading6"/>
      </w:pPr>
      <w:bookmarkStart w:id="1381" w:name="_Toc178838496"/>
      <w:r>
        <w:t>23.25.2c Systèmes constructifs en coques raidies en acier formées à froid CCTB 01.04</w:t>
      </w:r>
      <w:bookmarkEnd w:id="1381"/>
    </w:p>
    <w:p w14:paraId="2C607840" w14:textId="77777777" w:rsidR="00DF410E" w:rsidRDefault="00CE7F43">
      <w:pPr>
        <w:pStyle w:val="Author-eSectionHeading5"/>
      </w:pPr>
      <w:bookmarkStart w:id="1382" w:name="_Toc178838497"/>
      <w:r>
        <w:t>23.25.3 Systèmes constructifs particuliers en acier inoxydable laminés à chaud CCTB 01.04</w:t>
      </w:r>
      <w:bookmarkEnd w:id="1382"/>
    </w:p>
    <w:p w14:paraId="0BF1E98C" w14:textId="77777777" w:rsidR="00DF410E" w:rsidRDefault="00CE7F43">
      <w:pPr>
        <w:pStyle w:val="Author-eSectionHeading6"/>
      </w:pPr>
      <w:bookmarkStart w:id="1383" w:name="_Toc178838498"/>
      <w:r>
        <w:t>23.25.3a Systèmes constructifs particuliers en acier inoxydable laminés à chaud CCTB 01.04</w:t>
      </w:r>
      <w:bookmarkEnd w:id="1383"/>
    </w:p>
    <w:p w14:paraId="5A995F79" w14:textId="77777777" w:rsidR="00DF410E" w:rsidRDefault="00CE7F43">
      <w:pPr>
        <w:pStyle w:val="Author-eSectionHeading5"/>
      </w:pPr>
      <w:bookmarkStart w:id="1384" w:name="_Toc178838499"/>
      <w:r>
        <w:t>23.25.4 Systèmes constructifs particuliers en acier inoxydable formés à froid CCTB 01.04</w:t>
      </w:r>
      <w:bookmarkEnd w:id="1384"/>
    </w:p>
    <w:p w14:paraId="48F086F7" w14:textId="77777777" w:rsidR="00DF410E" w:rsidRDefault="00CE7F43">
      <w:pPr>
        <w:pStyle w:val="Author-eSectionHeading6"/>
      </w:pPr>
      <w:bookmarkStart w:id="1385" w:name="_Toc178838500"/>
      <w:r>
        <w:t>23.25.4a Systèmes constructifs particuliers en acier inoxydable formés à froid CCTB 01.04</w:t>
      </w:r>
      <w:bookmarkEnd w:id="1385"/>
    </w:p>
    <w:p w14:paraId="4E767BAF" w14:textId="77777777" w:rsidR="00DF410E" w:rsidRDefault="00CE7F43">
      <w:pPr>
        <w:pStyle w:val="Author-eSectionHeading5"/>
      </w:pPr>
      <w:bookmarkStart w:id="1386" w:name="_Toc178838501"/>
      <w:r>
        <w:t>23.25.5 Systèmes constructifs particuliers en aluminium CCTB 01.04</w:t>
      </w:r>
      <w:bookmarkEnd w:id="1386"/>
    </w:p>
    <w:p w14:paraId="3273CD21" w14:textId="77777777" w:rsidR="00DF410E" w:rsidRDefault="00CE7F43">
      <w:pPr>
        <w:pStyle w:val="Author-eSectionHeading6"/>
      </w:pPr>
      <w:bookmarkStart w:id="1387" w:name="_Toc178838502"/>
      <w:r>
        <w:t>23.25.5a Systèmes constructifs particuliers en aluminium CCTB 01.04</w:t>
      </w:r>
      <w:bookmarkEnd w:id="1387"/>
    </w:p>
    <w:p w14:paraId="1F913BB0" w14:textId="77777777" w:rsidR="00DF410E" w:rsidRDefault="00CE7F43">
      <w:pPr>
        <w:pStyle w:val="Author-eSectionHeading3"/>
      </w:pPr>
      <w:bookmarkStart w:id="1388" w:name="_Toc178838503"/>
      <w:r>
        <w:t>23.3 Eléments et structures secondaires métalliques CCTB 01.02</w:t>
      </w:r>
      <w:bookmarkEnd w:id="1388"/>
    </w:p>
    <w:p w14:paraId="21AB9A78" w14:textId="77777777" w:rsidR="00DF410E" w:rsidRDefault="00CE7F43">
      <w:pPr>
        <w:pStyle w:val="Author-eSectionHeading4"/>
      </w:pPr>
      <w:bookmarkStart w:id="1389" w:name="1387"/>
      <w:bookmarkStart w:id="1390" w:name="_Toc178838504"/>
      <w:bookmarkEnd w:id="1389"/>
      <w:r>
        <w:t>23.31 Escaliers métalliques CCTB 01.11</w:t>
      </w:r>
      <w:bookmarkEnd w:id="1390"/>
    </w:p>
    <w:p w14:paraId="4F51A4AA" w14:textId="77777777" w:rsidR="00DF410E" w:rsidRDefault="00CE7F43">
      <w:pPr>
        <w:pStyle w:val="pheading"/>
      </w:pPr>
      <w:bookmarkStart w:id="1391" w:name="556"/>
      <w:bookmarkEnd w:id="1391"/>
      <w:r>
        <w:t>DESCRIPTION</w:t>
      </w:r>
    </w:p>
    <w:p w14:paraId="0A26FB02" w14:textId="77777777" w:rsidR="00DF410E" w:rsidRDefault="00CE7F43">
      <w:pPr>
        <w:pStyle w:val="pheading"/>
      </w:pPr>
      <w:r>
        <w:t>- Définition / Comprend</w:t>
      </w:r>
    </w:p>
    <w:p w14:paraId="147828C3" w14:textId="77777777" w:rsidR="00DF410E" w:rsidRDefault="00CE7F43">
      <w:pPr>
        <w:jc w:val="both"/>
      </w:pPr>
      <w:r>
        <w:t>Il s’agit de la fourniture et la pose de tous les éléments d'escalier nécessaires pour obtenir un ensemble parfaitement fini, c'est-à-dire l'ensemble de toutes les composantes, y compris les paliers correspondants, la finition des bords, les moyens de fixation, etc.</w:t>
      </w:r>
    </w:p>
    <w:p w14:paraId="60C07AAF" w14:textId="77777777" w:rsidR="00DF410E" w:rsidRDefault="00CE7F43">
      <w:pPr>
        <w:jc w:val="both"/>
      </w:pPr>
      <w:r>
        <w:t>Ce poste comprend notamment :</w:t>
      </w:r>
    </w:p>
    <w:p w14:paraId="532F6E1B" w14:textId="77777777" w:rsidR="00DF410E" w:rsidRDefault="00CE7F43">
      <w:pPr>
        <w:pStyle w:val="Author-eListParagraph"/>
        <w:numPr>
          <w:ilvl w:val="0"/>
          <w:numId w:val="710"/>
        </w:numPr>
      </w:pPr>
      <w:r>
        <w:t>le relevé sur place des dimensions exactes ;</w:t>
      </w:r>
    </w:p>
    <w:p w14:paraId="5D9FD62D" w14:textId="77777777" w:rsidR="00DF410E" w:rsidRDefault="00CE7F43">
      <w:pPr>
        <w:pStyle w:val="Author-eListParagraph"/>
        <w:numPr>
          <w:ilvl w:val="0"/>
          <w:numId w:val="710"/>
        </w:numPr>
      </w:pPr>
      <w:r>
        <w:t>le contrôle et la préparation des supports ;</w:t>
      </w:r>
    </w:p>
    <w:p w14:paraId="57E86A6B" w14:textId="77777777" w:rsidR="00DF410E" w:rsidRDefault="00CE7F43">
      <w:pPr>
        <w:pStyle w:val="Author-eListParagraph"/>
        <w:numPr>
          <w:ilvl w:val="0"/>
          <w:numId w:val="710"/>
        </w:numPr>
      </w:pPr>
      <w:r>
        <w:t>la fabrication sur mesure, le transport et la mise en œuvre des éléments d'escalier, des marches, mains-courantes, rampes, etc. Y compris tous les moyens de fixation et de pose ;</w:t>
      </w:r>
    </w:p>
    <w:p w14:paraId="0A475E32" w14:textId="77777777" w:rsidR="00DF410E" w:rsidRDefault="00CE7F43">
      <w:pPr>
        <w:pStyle w:val="Author-eListParagraph"/>
        <w:numPr>
          <w:ilvl w:val="0"/>
          <w:numId w:val="710"/>
        </w:numPr>
      </w:pPr>
      <w:r>
        <w:t>la protection contre la corrosion ;</w:t>
      </w:r>
    </w:p>
    <w:p w14:paraId="6EF5570A" w14:textId="77777777" w:rsidR="00DF410E" w:rsidRDefault="00CE7F43">
      <w:pPr>
        <w:pStyle w:val="Author-eListParagraph"/>
        <w:numPr>
          <w:ilvl w:val="0"/>
          <w:numId w:val="710"/>
        </w:numPr>
      </w:pPr>
      <w:r>
        <w:t>l'exécution des assemblages et des éventuelles jonctions avec la structure de construction ;</w:t>
      </w:r>
    </w:p>
    <w:p w14:paraId="55190149" w14:textId="77777777" w:rsidR="00DF410E" w:rsidRDefault="00CE7F43">
      <w:pPr>
        <w:pStyle w:val="Author-eListParagraph"/>
        <w:numPr>
          <w:ilvl w:val="0"/>
          <w:numId w:val="710"/>
        </w:numPr>
      </w:pPr>
      <w:r>
        <w:t>la finition des bords, les raccordements avec les finitions de mur et de sol attenantes ;</w:t>
      </w:r>
    </w:p>
    <w:p w14:paraId="3B5321AA" w14:textId="77777777" w:rsidR="00DF410E" w:rsidRDefault="00CE7F43">
      <w:pPr>
        <w:pStyle w:val="Author-eListParagraph"/>
        <w:numPr>
          <w:ilvl w:val="0"/>
          <w:numId w:val="710"/>
        </w:numPr>
      </w:pPr>
      <w:r>
        <w:t>le nettoyage des marches, y compris l'enlèvement des taches de mortier ou de colle ;</w:t>
      </w:r>
    </w:p>
    <w:p w14:paraId="7F3F4FEB" w14:textId="77777777" w:rsidR="00DF410E" w:rsidRDefault="00CE7F43">
      <w:pPr>
        <w:pStyle w:val="Author-eListParagraph"/>
        <w:numPr>
          <w:ilvl w:val="0"/>
          <w:numId w:val="710"/>
        </w:numPr>
      </w:pPr>
      <w:r>
        <w:t>les mesures nécessaires, après la mise en œuvre, en vue de la protection de l'escalier contre toute dégradation et salissement pendant toute la durée des travaux ;</w:t>
      </w:r>
    </w:p>
    <w:p w14:paraId="3AE9F06B" w14:textId="77777777" w:rsidR="00DF410E" w:rsidRDefault="00CE7F43">
      <w:pPr>
        <w:pStyle w:val="Author-eListParagraph"/>
        <w:numPr>
          <w:ilvl w:val="0"/>
          <w:numId w:val="710"/>
        </w:numPr>
      </w:pPr>
      <w:r>
        <w:t>l’enlèvement des protections pour la réception provisoire ;</w:t>
      </w:r>
    </w:p>
    <w:p w14:paraId="3BB91110" w14:textId="77777777" w:rsidR="00DF410E" w:rsidRDefault="00CE7F43">
      <w:pPr>
        <w:pStyle w:val="Author-eListParagraph"/>
        <w:numPr>
          <w:ilvl w:val="0"/>
          <w:numId w:val="710"/>
        </w:numPr>
      </w:pPr>
      <w:r>
        <w:t>l’évacuation des déchets et le nettoyage du chantier.</w:t>
      </w:r>
    </w:p>
    <w:p w14:paraId="45D064A2" w14:textId="77777777" w:rsidR="00DF410E" w:rsidRDefault="00CE7F43">
      <w:pPr>
        <w:jc w:val="both"/>
      </w:pPr>
      <w:r>
        <w:t> </w:t>
      </w:r>
    </w:p>
    <w:p w14:paraId="66B1822D" w14:textId="77777777" w:rsidR="00DF410E" w:rsidRDefault="00CE7F43">
      <w:pPr>
        <w:jc w:val="both"/>
      </w:pPr>
      <w:r>
        <w:rPr>
          <w:b/>
        </w:rPr>
        <w:t>Composants – Terminologie</w:t>
      </w:r>
    </w:p>
    <w:p w14:paraId="42DBE4B2" w14:textId="77777777" w:rsidR="00DF410E" w:rsidRDefault="00CE7F43">
      <w:pPr>
        <w:jc w:val="both"/>
      </w:pPr>
      <w:r>
        <w:t>En fonction de leur conception, les ensembles d'escalier sont composés de volées, d'éventuels paliers intermédiaires et d'une balustrade continue. Les volées ordinaires sont composées de marches portées par des pièces latérales dénommées limons ou échiffres ; pour les escaliers fermés, les marches sont pourvues de contremarches.</w:t>
      </w:r>
    </w:p>
    <w:p w14:paraId="08E14D2B" w14:textId="77777777" w:rsidR="00DF410E" w:rsidRDefault="00CE7F43">
      <w:pPr>
        <w:jc w:val="both"/>
      </w:pPr>
      <w:r>
        <w:rPr>
          <w:i/>
          <w:u w:val="single"/>
        </w:rPr>
        <w:t>Structure portante.</w:t>
      </w:r>
    </w:p>
    <w:p w14:paraId="465A2F8E" w14:textId="77777777" w:rsidR="00DF410E" w:rsidRDefault="00CE7F43">
      <w:pPr>
        <w:jc w:val="both"/>
      </w:pPr>
      <w:r>
        <w:t>Les limons sont les éléments de structure (poutres) inclinés de l'escalier qui supportent les marches et reportent les charges sur les paliers.</w:t>
      </w:r>
    </w:p>
    <w:p w14:paraId="0CDF38A0" w14:textId="77777777" w:rsidR="00DF410E" w:rsidRDefault="00CE7F43">
      <w:pPr>
        <w:jc w:val="both"/>
      </w:pPr>
      <w:r>
        <w:t>Le limon de jour est situé du côté du vide ; le limon de nuit (ou limon de mur) est situé du côté de la paroi verticale. Lorsque le limon est contre un mur et soutenu directement par celui-ci, on parle de faux-limon. </w:t>
      </w:r>
    </w:p>
    <w:p w14:paraId="6A8C0406" w14:textId="77777777" w:rsidR="00DF410E" w:rsidRDefault="00CE7F43">
      <w:pPr>
        <w:jc w:val="both"/>
      </w:pPr>
      <w:r>
        <w:t>Les poteaux sont les pièces verticales entre lesquelles les limons sont insérés ou, pour les escaliers en colimaçon, les pièces dans lesquelles les marches sont insérées.</w:t>
      </w:r>
    </w:p>
    <w:p w14:paraId="18835956" w14:textId="77777777" w:rsidR="00DF410E" w:rsidRDefault="00CE7F43">
      <w:pPr>
        <w:jc w:val="both"/>
      </w:pPr>
      <w:r>
        <w:rPr>
          <w:i/>
          <w:u w:val="single"/>
        </w:rPr>
        <w:t>Marches</w:t>
      </w:r>
    </w:p>
    <w:p w14:paraId="0206F517" w14:textId="77777777" w:rsidR="00DF410E" w:rsidRDefault="00CE7F43">
      <w:pPr>
        <w:jc w:val="both"/>
      </w:pPr>
      <w:r>
        <w:t>Les marches sont les parties horizontales de l'escalier sur lesquelles les pieds sont posés pour monter ou descendre l'escalier. La structure portante peut éventuellement être combinée avec des marches dans un autre matériau, par exemple le bois, le verre, etc…</w:t>
      </w:r>
    </w:p>
    <w:p w14:paraId="5FF51359" w14:textId="77777777" w:rsidR="00DF410E" w:rsidRDefault="00CE7F43">
      <w:pPr>
        <w:pStyle w:val="Author-eListParagraph"/>
        <w:numPr>
          <w:ilvl w:val="0"/>
          <w:numId w:val="711"/>
        </w:numPr>
      </w:pPr>
      <w:r>
        <w:t>La contremarche est la partie verticale entre la surface de deux marches consécutives d'un escalier fermé. Elle réalise l'assemblage vertical entre deux marches successives.</w:t>
      </w:r>
    </w:p>
    <w:p w14:paraId="57F42CAD" w14:textId="77777777" w:rsidR="00DF410E" w:rsidRDefault="00CE7F43">
      <w:pPr>
        <w:pStyle w:val="Author-eListParagraph"/>
        <w:numPr>
          <w:ilvl w:val="0"/>
          <w:numId w:val="711"/>
        </w:numPr>
      </w:pPr>
      <w:r>
        <w:t>La ligne de foulée est la trajectoire la plus probable des pas d’une personne circulant sur un escalier.</w:t>
      </w:r>
    </w:p>
    <w:p w14:paraId="4D62D68B" w14:textId="77777777" w:rsidR="00DF410E" w:rsidRDefault="00CE7F43">
      <w:pPr>
        <w:pStyle w:val="Author-eListParagraph"/>
        <w:numPr>
          <w:ilvl w:val="0"/>
          <w:numId w:val="711"/>
        </w:numPr>
      </w:pPr>
      <w:r>
        <w:t>Le giron est la distance horizontale mesurée entre 2 contremarches successives ou entre le nez de deux marches successives. Il est mesuré sur la ligne de foulée.</w:t>
      </w:r>
    </w:p>
    <w:p w14:paraId="63CD6956" w14:textId="77777777" w:rsidR="00DF410E" w:rsidRDefault="00CE7F43">
      <w:pPr>
        <w:pStyle w:val="Author-eListParagraph"/>
        <w:numPr>
          <w:ilvl w:val="0"/>
          <w:numId w:val="711"/>
        </w:numPr>
      </w:pPr>
      <w:r>
        <w:t>Le nez est la distance horizontale entre l'avant de la marche et la face avant de la contremarche ou le bord arrière de la marche inférieure (en l'absence de contremarche). Le nez de la marche est mesuré perpendiculairement à l'avant de la marche.</w:t>
      </w:r>
    </w:p>
    <w:p w14:paraId="5A4EF616" w14:textId="77777777" w:rsidR="00DF410E" w:rsidRDefault="00CE7F43">
      <w:pPr>
        <w:pStyle w:val="Author-eListParagraph"/>
        <w:numPr>
          <w:ilvl w:val="0"/>
          <w:numId w:val="711"/>
        </w:numPr>
      </w:pPr>
      <w:r>
        <w:t>La marche palière ou plaquette d'arrivée est la dernière marche d'un escalier ou d'une volée d'escalier, dont la face supérieure se situe au même niveau que le plancher ou le palier.</w:t>
      </w:r>
    </w:p>
    <w:p w14:paraId="22438EC6" w14:textId="77777777" w:rsidR="00DF410E" w:rsidRDefault="00CE7F43">
      <w:pPr>
        <w:pStyle w:val="Author-eListParagraph"/>
        <w:numPr>
          <w:ilvl w:val="0"/>
          <w:numId w:val="711"/>
        </w:numPr>
      </w:pPr>
      <w:r>
        <w:t>Le garde-carreau est la pièce qui relie le bord du palier et la première contremarche de la volée montante suivante. La surface du garde-carreau se situe au même niveau que le palier.</w:t>
      </w:r>
    </w:p>
    <w:p w14:paraId="14C9012C" w14:textId="77777777" w:rsidR="00DF410E" w:rsidRDefault="00CE7F43">
      <w:pPr>
        <w:jc w:val="both"/>
      </w:pPr>
      <w:r>
        <w:rPr>
          <w:i/>
          <w:u w:val="single"/>
        </w:rPr>
        <w:t>Rampes - Balustrades</w:t>
      </w:r>
    </w:p>
    <w:p w14:paraId="7E3EB425" w14:textId="77777777" w:rsidR="00DF410E" w:rsidRDefault="00CE7F43">
      <w:pPr>
        <w:jc w:val="both"/>
      </w:pPr>
      <w:r>
        <w:t>La rampe (ou balustrade) offre un soutien pour gravir l'escalier et protège l'utilisateur contre les chutes. Une distinction est faite entre les rampes murales (ou mains-courantes) et la rampe principale qui se situe du côté ouvert de l'escalier. La rampe principale se compose d'une main-courante, reliée au limon à l'aide de montants (appelés balustres) disposés avec un écartement régulier entre d’éventuels poteaux principaux (les balustres peuvent éventuellement être remplacés par des panneaux).</w:t>
      </w:r>
    </w:p>
    <w:p w14:paraId="4691F45D" w14:textId="77777777" w:rsidR="00DF410E" w:rsidRDefault="00CE7F43">
      <w:pPr>
        <w:jc w:val="both"/>
      </w:pPr>
      <w:r>
        <w:t xml:space="preserve">Renvoi au sous-titre </w:t>
      </w:r>
      <w:hyperlink w:anchor="189" w:history="1">
        <w:r>
          <w:t>23.32 Garde-corps et rampes métalliques</w:t>
        </w:r>
      </w:hyperlink>
      <w:r>
        <w:t xml:space="preserve"> pour les rampes et mains courantes.</w:t>
      </w:r>
    </w:p>
    <w:p w14:paraId="6858769D" w14:textId="77777777" w:rsidR="00DF410E" w:rsidRDefault="00CE7F43">
      <w:pPr>
        <w:pStyle w:val="pheading"/>
      </w:pPr>
      <w:r>
        <w:t>MATÉRIAUX</w:t>
      </w:r>
    </w:p>
    <w:p w14:paraId="24CB5548" w14:textId="77777777" w:rsidR="00DF410E" w:rsidRDefault="00CE7F43">
      <w:pPr>
        <w:jc w:val="both"/>
      </w:pPr>
      <w:r>
        <w:rPr>
          <w:b/>
        </w:rPr>
        <w:t>Matériaux</w:t>
      </w:r>
    </w:p>
    <w:p w14:paraId="27936261" w14:textId="77777777" w:rsidR="00DF410E" w:rsidRDefault="00CE7F43">
      <w:pPr>
        <w:jc w:val="both"/>
      </w:pPr>
      <w:r>
        <w:t>Les éléments principaux (limon, rampes, etc.) qui composent l’escalier sont métalliques.</w:t>
      </w:r>
    </w:p>
    <w:p w14:paraId="5C31F80E" w14:textId="77777777" w:rsidR="00DF410E" w:rsidRDefault="00CE7F43">
      <w:pPr>
        <w:jc w:val="both"/>
      </w:pPr>
      <w:r>
        <w:rPr>
          <w:b/>
        </w:rPr>
        <w:t>Stabilité - sollicitations</w:t>
      </w:r>
    </w:p>
    <w:p w14:paraId="0406229B" w14:textId="77777777" w:rsidR="00DF410E" w:rsidRDefault="00CE7F43">
      <w:pPr>
        <w:jc w:val="both"/>
      </w:pPr>
      <w:r>
        <w:rPr>
          <w:i/>
          <w:u w:val="single"/>
        </w:rPr>
        <w:t>Escalier</w:t>
      </w:r>
    </w:p>
    <w:p w14:paraId="7A6A4EE6" w14:textId="77777777" w:rsidR="00DF410E" w:rsidRDefault="00CE7F43">
      <w:pPr>
        <w:jc w:val="both"/>
      </w:pPr>
      <w:r>
        <w:t>Conformément à l'Eurocode 1 [NBN EN 1991-1-1] et son annexe nationale [NBN EN 1991-1-1 ANB] :</w:t>
      </w:r>
    </w:p>
    <w:p w14:paraId="5B61CF67" w14:textId="77777777" w:rsidR="00DF410E" w:rsidRDefault="00CE7F43">
      <w:pPr>
        <w:pStyle w:val="Author-eListParagraph"/>
        <w:numPr>
          <w:ilvl w:val="0"/>
          <w:numId w:val="712"/>
        </w:numPr>
      </w:pPr>
      <w:r>
        <w:t>Charges uniformément réparties suivant la catégorie d’usage.</w:t>
      </w:r>
    </w:p>
    <w:p w14:paraId="525E9A61" w14:textId="77777777" w:rsidR="00DF410E" w:rsidRDefault="00CE7F43">
      <w:pPr>
        <w:pStyle w:val="Author-eListParagraph"/>
        <w:numPr>
          <w:ilvl w:val="0"/>
          <w:numId w:val="712"/>
        </w:numPr>
      </w:pPr>
      <w:r>
        <w:rPr>
          <w:u w:val="single"/>
        </w:rPr>
        <w:t>OU</w:t>
      </w:r>
      <w:r>
        <w:t xml:space="preserve"> Charges concentrées : suivant la catégorie d’usage, sur une superficie de 0,05 x 0,05 m, indépendamment des charges uniformément réparties.</w:t>
      </w:r>
    </w:p>
    <w:p w14:paraId="12554DAA" w14:textId="77777777" w:rsidR="00DF410E" w:rsidRDefault="00CE7F43">
      <w:pPr>
        <w:jc w:val="both"/>
      </w:pPr>
      <w:r>
        <w:t>Les choix sont précisés dans les articles, sous « catégorie d’usage ».</w:t>
      </w:r>
    </w:p>
    <w:p w14:paraId="6D911EBD" w14:textId="77777777" w:rsidR="00DF410E" w:rsidRDefault="00CE7F43">
      <w:pPr>
        <w:jc w:val="both"/>
      </w:pPr>
      <w:r>
        <w:rPr>
          <w:b/>
        </w:rPr>
        <w:t>Sécurité incendie</w:t>
      </w:r>
    </w:p>
    <w:p w14:paraId="73552A66" w14:textId="77777777" w:rsidR="00DF410E" w:rsidRDefault="00CE7F43">
      <w:pPr>
        <w:jc w:val="both"/>
      </w:pPr>
      <w:r>
        <w:t>En matière de sécurité incendie, les escaliers doivent satisfaire aux:</w:t>
      </w:r>
    </w:p>
    <w:p w14:paraId="25488112" w14:textId="77777777" w:rsidR="00DF410E" w:rsidRDefault="00CE7F43">
      <w:pPr>
        <w:pStyle w:val="Author-eListParagraph"/>
        <w:numPr>
          <w:ilvl w:val="0"/>
          <w:numId w:val="713"/>
        </w:numPr>
      </w:pPr>
      <w:r>
        <w:t>conditions prescrites dans l' [AR 1994-07-07] (et ses modificatifs), en fonction du type de bâtiment : R30 (bâtiment bas), R60 (bâtiment moyen ou élevé).</w:t>
      </w:r>
    </w:p>
    <w:p w14:paraId="698C464F" w14:textId="77777777" w:rsidR="00DF410E" w:rsidRDefault="00CE7F43">
      <w:pPr>
        <w:pStyle w:val="Author-eListParagraph"/>
        <w:numPr>
          <w:ilvl w:val="0"/>
          <w:numId w:val="713"/>
        </w:numPr>
      </w:pPr>
      <w:r>
        <w:t>prescriptions régionales ou communautaires.</w:t>
      </w:r>
    </w:p>
    <w:p w14:paraId="45723C6F" w14:textId="77777777" w:rsidR="00DF410E" w:rsidRDefault="00CE7F43">
      <w:pPr>
        <w:pStyle w:val="Author-eListParagraph"/>
        <w:numPr>
          <w:ilvl w:val="0"/>
          <w:numId w:val="713"/>
        </w:numPr>
      </w:pPr>
      <w:r>
        <w:t>prescriptions du corps de pompiers local.</w:t>
      </w:r>
    </w:p>
    <w:p w14:paraId="4A855234" w14:textId="77777777" w:rsidR="00DF410E" w:rsidRDefault="00CE7F43">
      <w:pPr>
        <w:jc w:val="both"/>
      </w:pPr>
      <w:r>
        <w:t>Suivant les prescriptions du [SWL GSI/T1/C] :</w:t>
      </w:r>
    </w:p>
    <w:p w14:paraId="77AF7399" w14:textId="77777777" w:rsidR="00DF410E" w:rsidRDefault="00CE7F43">
      <w:pPr>
        <w:pStyle w:val="Author-eListParagraph"/>
        <w:numPr>
          <w:ilvl w:val="0"/>
          <w:numId w:val="714"/>
        </w:numPr>
        <w:jc w:val="both"/>
      </w:pPr>
      <w:r>
        <w:t>Un escalier en acier doit rester en place sans subir de déformations excessives pendant le temps requis d’exposition au feu.</w:t>
      </w:r>
    </w:p>
    <w:p w14:paraId="20F2A534" w14:textId="77777777" w:rsidR="00DF410E" w:rsidRDefault="00CE7F43">
      <w:pPr>
        <w:pStyle w:val="Author-eListParagraph"/>
        <w:numPr>
          <w:ilvl w:val="0"/>
          <w:numId w:val="714"/>
        </w:numPr>
        <w:jc w:val="both"/>
      </w:pPr>
      <w:r>
        <w:t>Un escalier en aluminium ne présente pas de résistance au feu (l’aluminium fond à 600°C soit avant 30 minutes d’exposition au feu).</w:t>
      </w:r>
    </w:p>
    <w:p w14:paraId="17B86FAB" w14:textId="77777777" w:rsidR="00DF410E" w:rsidRDefault="00CE7F43">
      <w:pPr>
        <w:pStyle w:val="pheading"/>
      </w:pPr>
      <w:r>
        <w:t>EXÉCUTION / MISE EN ŒUVRE</w:t>
      </w:r>
    </w:p>
    <w:p w14:paraId="19A0BA4E" w14:textId="77777777" w:rsidR="00DF410E" w:rsidRDefault="00CE7F43">
      <w:pPr>
        <w:jc w:val="both"/>
      </w:pPr>
      <w:r>
        <w:rPr>
          <w:b/>
        </w:rPr>
        <w:t>Timing - Influence de l'environnement - Mesures de protection</w:t>
      </w:r>
    </w:p>
    <w:p w14:paraId="46180B3E" w14:textId="77777777" w:rsidR="00DF410E" w:rsidRDefault="00CE7F43">
      <w:pPr>
        <w:jc w:val="both"/>
      </w:pPr>
      <w:r>
        <w:t>Les escaliers ne peuvent être placés que lorsque l'auteur de projet et l'installateur de l'escalier estiment, en concertation mutuelle, que les conditions de mise en œuvre sont favorables.</w:t>
      </w:r>
    </w:p>
    <w:p w14:paraId="23741940" w14:textId="77777777" w:rsidR="00DF410E" w:rsidRDefault="00CE7F43">
      <w:pPr>
        <w:jc w:val="both"/>
      </w:pPr>
      <w:r>
        <w:t>Les escaliers et/ou les éléments qui le constituent sont autant que possible préfabriqués en atelier et acheminés en un seul lot sur le chantier. Lors du transport, les mesures nécessaires sont prises pour prévenir toute dégradation au bâtiment, aux escaliers ou aux éléments proprement dits. Ils sont immédiatement entreposés dans un endroit protégé et aéré.</w:t>
      </w:r>
    </w:p>
    <w:p w14:paraId="37F969EB" w14:textId="77777777" w:rsidR="00DF410E" w:rsidRDefault="00CE7F43">
      <w:pPr>
        <w:jc w:val="both"/>
      </w:pPr>
      <w:r>
        <w:t>L'entrepreneur veille à ce que, après leur mise en œuvre, les escaliers soient dûment protégés contre les dégradations et l'encrassement pendant la durée des travaux de construction.</w:t>
      </w:r>
    </w:p>
    <w:p w14:paraId="766122A7" w14:textId="77777777" w:rsidR="00DF410E" w:rsidRDefault="00CE7F43">
      <w:pPr>
        <w:jc w:val="both"/>
      </w:pPr>
      <w:r>
        <w:rPr>
          <w:b/>
        </w:rPr>
        <w:t>Dessin d'étude et d'exécution</w:t>
      </w:r>
    </w:p>
    <w:p w14:paraId="077B490C" w14:textId="77777777" w:rsidR="00DF410E" w:rsidRDefault="00CE7F43">
      <w:pPr>
        <w:jc w:val="both"/>
      </w:pPr>
      <w:r>
        <w:t>Les escaliers sont exécutés conformément aux formes indiquées sur les plans et les coupes (escaliers droits, escaliers droits avec palier à quartier tournant, escaliers à paliers droits, escaliers à quartier tournant, escaliers tournants, escaliers en colimaçon, etc.) et selon les dessins de détail annexés au cahier spécial des charges.</w:t>
      </w:r>
    </w:p>
    <w:p w14:paraId="1FAE05E3" w14:textId="77777777" w:rsidR="00DF410E" w:rsidRDefault="00CE7F43">
      <w:pPr>
        <w:jc w:val="both"/>
      </w:pPr>
      <w:r>
        <w:t>Lorsque le dossier d'adjudication ne contient pas de dessins de détail spécifiques, la forme de l'escalier et les dimensions de bases sont données à titre indicatif.</w:t>
      </w:r>
    </w:p>
    <w:p w14:paraId="7224959A" w14:textId="77777777" w:rsidR="00DF410E" w:rsidRDefault="00CE7F43">
      <w:pPr>
        <w:jc w:val="both"/>
      </w:pPr>
      <w:r>
        <w:t>L'entrepreneur est tenu de contrôler les dimensions sur place et de vérifier si les escaliers et/ou les éléments peuvent être exécutés selon les plans soumis. Lorsque cela s'avère impossible, il en avertit l'auteur de projet le plus rapidement possible.</w:t>
      </w:r>
    </w:p>
    <w:p w14:paraId="008C215F" w14:textId="77777777" w:rsidR="00DF410E" w:rsidRDefault="00CE7F43">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1AE8E6B2" w14:textId="77777777" w:rsidR="00DF410E" w:rsidRDefault="00CE7F43">
      <w:pPr>
        <w:jc w:val="both"/>
      </w:pPr>
      <w:r>
        <w:t>L’entrepreneur est responsable de la réalisation d'un module du pas ergonomique et du balancement correct des marches, conformément aux documents de référence des règles de bonne pratique.</w:t>
      </w:r>
    </w:p>
    <w:p w14:paraId="73E70272" w14:textId="77777777" w:rsidR="00DF410E" w:rsidRDefault="00CE7F43">
      <w:pPr>
        <w:jc w:val="both"/>
      </w:pPr>
      <w:r>
        <w:t>L’entrepreneur soumet à l’approbation de l’auteur de projet le plan des éventuelles coupes réalisées dans l’ouvrage afin de permettre sa fabrication, son acheminement sur site et son placement.</w:t>
      </w:r>
    </w:p>
    <w:p w14:paraId="0055B535" w14:textId="77777777" w:rsidR="00DF410E" w:rsidRDefault="00CE7F43">
      <w:pPr>
        <w:jc w:val="both"/>
      </w:pPr>
      <w:r>
        <w:rPr>
          <w:b/>
        </w:rPr>
        <w:t>Module du pas</w:t>
      </w:r>
    </w:p>
    <w:p w14:paraId="73156FC4" w14:textId="77777777" w:rsidR="00DF410E" w:rsidRDefault="00CE7F43">
      <w:pPr>
        <w:jc w:val="both"/>
      </w:pPr>
      <w:r>
        <w:t>Pour la conception des escaliers, il y a lieu de tenir compte des principes élémentaires du module du pas (M=570 à 630 mm) et ce, selon la formule M=2H+G, où G est le giron et H la hauteur </w:t>
      </w:r>
    </w:p>
    <w:p w14:paraId="186DB748" w14:textId="77777777" w:rsidR="00DF410E" w:rsidRDefault="00CE7F43">
      <w:pPr>
        <w:jc w:val="both"/>
      </w:pPr>
      <w:r>
        <w:t>Dans les habitations, les girons inférieurs à 220 mm ne sont pas admissibles (sauf pour les escaliers de cave ou de grenier) ; un giron de 225 à 250 mm est souhaitable en combinaison avec une hauteur de marche de 175 à 190 mm, suivant les rapports dans le tableau des escaliers de la [NIT 198].</w:t>
      </w:r>
    </w:p>
    <w:p w14:paraId="441CF76F" w14:textId="77777777" w:rsidR="00DF410E" w:rsidRDefault="00CE7F43">
      <w:pPr>
        <w:jc w:val="both"/>
      </w:pPr>
      <w:r>
        <w:t>Dans les bâtiments publics, les escaliers doivent satisfaire notamment aux conditions prescrites dans le [RGPT], le « code du bien-être au travail » ou l’[AR 1994-07-07], entre autres :</w:t>
      </w:r>
    </w:p>
    <w:p w14:paraId="264D3298" w14:textId="77777777" w:rsidR="00DF410E" w:rsidRDefault="00CE7F43">
      <w:pPr>
        <w:pStyle w:val="Author-eListParagraph"/>
        <w:numPr>
          <w:ilvl w:val="0"/>
          <w:numId w:val="715"/>
        </w:numPr>
      </w:pPr>
      <w:r>
        <w:t>Les escaliers ne contiennent pas de parties tournantes (pas d'escaliers en colimaçon ou tournants).</w:t>
      </w:r>
    </w:p>
    <w:p w14:paraId="7A9ABFD1" w14:textId="77777777" w:rsidR="00DF410E" w:rsidRDefault="00CE7F43">
      <w:pPr>
        <w:pStyle w:val="Author-eListParagraph"/>
        <w:numPr>
          <w:ilvl w:val="0"/>
          <w:numId w:val="715"/>
        </w:numPr>
      </w:pPr>
      <w:r>
        <w:t>Le nez est de maximum 50 mm.</w:t>
      </w:r>
    </w:p>
    <w:p w14:paraId="1DBDA386" w14:textId="77777777" w:rsidR="00DF410E" w:rsidRDefault="00CE7F43">
      <w:pPr>
        <w:pStyle w:val="Author-eListParagraph"/>
        <w:numPr>
          <w:ilvl w:val="0"/>
          <w:numId w:val="715"/>
        </w:numPr>
      </w:pPr>
      <w:r>
        <w:t>Les escaliers sont divisés par des paliers, de façon telle que chaque volée ne compte pas plus de 17 marches.</w:t>
      </w:r>
    </w:p>
    <w:p w14:paraId="0F37030E" w14:textId="77777777" w:rsidR="00DF410E" w:rsidRDefault="00CE7F43">
      <w:pPr>
        <w:pStyle w:val="Author-eListParagraph"/>
        <w:numPr>
          <w:ilvl w:val="0"/>
          <w:numId w:val="715"/>
        </w:numPr>
      </w:pPr>
      <w:r>
        <w:t>Les escaliers ont des contremarches pleines.</w:t>
      </w:r>
    </w:p>
    <w:p w14:paraId="4C7CEC7A" w14:textId="77777777" w:rsidR="00DF410E" w:rsidRDefault="00CE7F43">
      <w:pPr>
        <w:pStyle w:val="Author-eListParagraph"/>
        <w:numPr>
          <w:ilvl w:val="0"/>
          <w:numId w:val="715"/>
        </w:numPr>
      </w:pPr>
      <w:r>
        <w:t>Un giron de minimum 200 mm de profondeur en tout point.</w:t>
      </w:r>
    </w:p>
    <w:p w14:paraId="6F88ED98" w14:textId="77777777" w:rsidR="00DF410E" w:rsidRDefault="00CE7F43">
      <w:pPr>
        <w:pStyle w:val="Author-eListParagraph"/>
        <w:numPr>
          <w:ilvl w:val="0"/>
          <w:numId w:val="715"/>
        </w:numPr>
      </w:pPr>
      <w:r>
        <w:t>Une largeur utile d’au moins 80 cm et au moins la largeur utile calculée selon l'annexe technique 1 de l’[AR 1994-07-07] en fonction du nombre de personnes.</w:t>
      </w:r>
    </w:p>
    <w:p w14:paraId="730FC1EC" w14:textId="77777777" w:rsidR="00DF410E" w:rsidRDefault="00CE7F43">
      <w:pPr>
        <w:jc w:val="both"/>
      </w:pPr>
      <w:r>
        <w:rPr>
          <w:b/>
        </w:rPr>
        <w:t>Balancement des marches</w:t>
      </w:r>
    </w:p>
    <w:p w14:paraId="3E8F758B" w14:textId="77777777" w:rsidR="00DF410E" w:rsidRDefault="00CE7F43">
      <w:pPr>
        <w:jc w:val="both"/>
      </w:pPr>
      <w:r>
        <w:t>Le balancement des escaliers se fait selon les méthodes admissibles mentionnées dans la [NIT 198] § 5.2, en particulier :</w:t>
      </w:r>
    </w:p>
    <w:p w14:paraId="209D243F" w14:textId="77777777" w:rsidR="00DF410E" w:rsidRDefault="00CE7F43">
      <w:pPr>
        <w:pStyle w:val="Author-eListParagraph"/>
        <w:numPr>
          <w:ilvl w:val="0"/>
          <w:numId w:val="716"/>
        </w:numPr>
      </w:pPr>
      <w:r>
        <w:t>5.2.2.1 Escaliers en colimaçon ronds ou rectangulaires</w:t>
      </w:r>
    </w:p>
    <w:p w14:paraId="47845B0E" w14:textId="77777777" w:rsidR="00DF410E" w:rsidRDefault="00CE7F43">
      <w:pPr>
        <w:pStyle w:val="Author-eListParagraph"/>
        <w:numPr>
          <w:ilvl w:val="0"/>
          <w:numId w:val="716"/>
        </w:numPr>
      </w:pPr>
      <w:r>
        <w:t>5.2.3.1 Méthode de balancement des marches pour les escaliers à quartier tournant et les escaliers tournants.</w:t>
      </w:r>
    </w:p>
    <w:p w14:paraId="3BA5FD94" w14:textId="77777777" w:rsidR="00DF410E" w:rsidRDefault="00CE7F43">
      <w:pPr>
        <w:pStyle w:val="Author-eListParagraph"/>
        <w:numPr>
          <w:ilvl w:val="0"/>
          <w:numId w:val="716"/>
        </w:numPr>
      </w:pPr>
      <w:r>
        <w:t>5.2.3.4 Méthode pour obtenir un limon intérieur droit, les marches balancées se situant uniquement dans le premier ou dernier quartier.</w:t>
      </w:r>
    </w:p>
    <w:p w14:paraId="69FDFA45" w14:textId="77777777" w:rsidR="00DF410E" w:rsidRDefault="00CE7F43">
      <w:pPr>
        <w:pStyle w:val="Author-eListParagraph"/>
        <w:numPr>
          <w:ilvl w:val="0"/>
          <w:numId w:val="716"/>
        </w:numPr>
      </w:pPr>
      <w:r>
        <w:t>5.2.3.6 Méthode CE pour les escaliers à quartier tournant.</w:t>
      </w:r>
    </w:p>
    <w:p w14:paraId="4F770B4C" w14:textId="77777777" w:rsidR="00DF410E" w:rsidRDefault="00CE7F43">
      <w:pPr>
        <w:jc w:val="both"/>
      </w:pPr>
      <w:r>
        <w:rPr>
          <w:b/>
        </w:rPr>
        <w:t>Rampes - Mains-courantes</w:t>
      </w:r>
    </w:p>
    <w:p w14:paraId="24F94178" w14:textId="77777777" w:rsidR="00DF410E" w:rsidRDefault="00CE7F43">
      <w:pPr>
        <w:jc w:val="both"/>
      </w:pPr>
      <w:r>
        <w:t xml:space="preserve">Les rampes et mains-courantes sont décrits au sous-titre </w:t>
      </w:r>
      <w:hyperlink w:anchor="189" w:history="1">
        <w:r>
          <w:t>23.32 Garde-corps et rampes métalliques</w:t>
        </w:r>
      </w:hyperlink>
      <w:r>
        <w:t xml:space="preserve"> et articles qui en découlent.</w:t>
      </w:r>
    </w:p>
    <w:p w14:paraId="095170CA" w14:textId="77777777" w:rsidR="00DF410E" w:rsidRDefault="00CE7F43">
      <w:pPr>
        <w:jc w:val="both"/>
      </w:pPr>
      <w:r>
        <w:t>Elles ne sont pas comprises dans le présent article, sauf contre-indication dans le cahier spécial des charges aux articles concernés ci-dessus.</w:t>
      </w:r>
    </w:p>
    <w:p w14:paraId="1460A0D8" w14:textId="77777777" w:rsidR="00DF410E" w:rsidRDefault="00CE7F43">
      <w:pPr>
        <w:jc w:val="both"/>
      </w:pPr>
      <w:r>
        <w:rPr>
          <w:b/>
        </w:rPr>
        <w:t>Hauteur libre</w:t>
      </w:r>
    </w:p>
    <w:p w14:paraId="5A073F6E" w14:textId="77777777" w:rsidR="00DF410E" w:rsidRDefault="00CE7F43">
      <w:pPr>
        <w:jc w:val="both"/>
      </w:pPr>
      <w:r>
        <w:t>Une hauteur libre d'au moins 220 cm est respectée au-dessus d'un plan formé par deux lignes parallèles au nez des marches et situées à une distance d'au moins 150 mm, mesurée à l'horizontale.</w:t>
      </w:r>
    </w:p>
    <w:p w14:paraId="63194B4E" w14:textId="77777777" w:rsidR="00DF410E" w:rsidRDefault="00CE7F43">
      <w:pPr>
        <w:jc w:val="both"/>
      </w:pPr>
      <w:r>
        <w:t>Lorsqu'il est impossible de respecter cette hauteur libre, l'entrepreneur en avertit l'auteur de projet le plus rapidement possible. </w:t>
      </w:r>
    </w:p>
    <w:p w14:paraId="5C6AE233" w14:textId="77777777" w:rsidR="00DF410E" w:rsidRDefault="00CE7F43">
      <w:pPr>
        <w:jc w:val="both"/>
      </w:pPr>
      <w:r>
        <w:rPr>
          <w:b/>
        </w:rPr>
        <w:t>Accessibilité aux personnes à mobilité réduite (PMR)</w:t>
      </w:r>
    </w:p>
    <w:p w14:paraId="0B74A9D4" w14:textId="77777777" w:rsidR="00DF410E" w:rsidRDefault="00CE7F43">
      <w:pPr>
        <w:jc w:val="both"/>
      </w:pPr>
      <w:r>
        <w:t>Suivant prescriptions du guide [SWL CALA] et des normes [BS 8300] et [BS 8300]:</w:t>
      </w:r>
    </w:p>
    <w:p w14:paraId="15A3E1B1" w14:textId="77777777" w:rsidR="00DF410E" w:rsidRDefault="00CE7F43">
      <w:pPr>
        <w:jc w:val="both"/>
      </w:pPr>
      <w:r>
        <w:rPr>
          <w:i/>
          <w:u w:val="single"/>
        </w:rPr>
        <w:t>Général :</w:t>
      </w:r>
    </w:p>
    <w:p w14:paraId="4B15F534" w14:textId="77777777" w:rsidR="00DF410E" w:rsidRDefault="00CE7F43">
      <w:pPr>
        <w:pStyle w:val="Author-eListParagraph"/>
        <w:numPr>
          <w:ilvl w:val="0"/>
          <w:numId w:val="717"/>
        </w:numPr>
      </w:pPr>
      <w:r>
        <w:t>Pente [Buildwise Article Dossier (2004/4.06)] : entre 19° et 33°.</w:t>
      </w:r>
    </w:p>
    <w:p w14:paraId="246CA4AF" w14:textId="77777777" w:rsidR="00DF410E" w:rsidRDefault="00CE7F43">
      <w:pPr>
        <w:pStyle w:val="Author-eListParagraph"/>
        <w:numPr>
          <w:ilvl w:val="0"/>
          <w:numId w:val="717"/>
        </w:numPr>
      </w:pPr>
      <w:r>
        <w:t>Géométrie [Buildwise Article Dossier (2004/4.06)]: éviter les escaliers en colimaçon et l’utilisation de la méthode de balancement des marches et préférer à un escalier droit ou à un escalier à paliers intermédiaires.</w:t>
      </w:r>
    </w:p>
    <w:p w14:paraId="76F68A6A" w14:textId="77777777" w:rsidR="00DF410E" w:rsidRDefault="00CE7F43">
      <w:pPr>
        <w:pStyle w:val="Author-eListParagraph"/>
        <w:numPr>
          <w:ilvl w:val="0"/>
          <w:numId w:val="717"/>
        </w:numPr>
      </w:pPr>
      <w:r>
        <w:t>Echappée (= hauteur libre) : 220 cm minimum.</w:t>
      </w:r>
    </w:p>
    <w:p w14:paraId="6B28F13A" w14:textId="77777777" w:rsidR="00DF410E" w:rsidRDefault="00CE7F43">
      <w:pPr>
        <w:pStyle w:val="Author-eListParagraph"/>
        <w:numPr>
          <w:ilvl w:val="0"/>
          <w:numId w:val="717"/>
        </w:numPr>
      </w:pPr>
      <w:r>
        <w:t xml:space="preserve">Largeur de libre passage, en cas de : </w:t>
      </w:r>
    </w:p>
    <w:p w14:paraId="1CBB2D7E" w14:textId="77777777" w:rsidR="00DF410E" w:rsidRDefault="00CE7F43">
      <w:pPr>
        <w:pStyle w:val="Author-eListParagraph"/>
        <w:numPr>
          <w:ilvl w:val="1"/>
          <w:numId w:val="718"/>
        </w:numPr>
      </w:pPr>
      <w:r>
        <w:t>Installation d’un fauteuil monte-escalier : 70 cm minimum.</w:t>
      </w:r>
    </w:p>
    <w:p w14:paraId="53CCF225" w14:textId="77777777" w:rsidR="00DF410E" w:rsidRDefault="00CE7F43">
      <w:pPr>
        <w:pStyle w:val="Author-eListParagraph"/>
        <w:numPr>
          <w:ilvl w:val="1"/>
          <w:numId w:val="718"/>
        </w:numPr>
      </w:pPr>
      <w:r>
        <w:t>Installation d’une plateforme [Buildwise Article Dossier (2004/4.06)]: 90 cm minimum.</w:t>
      </w:r>
    </w:p>
    <w:p w14:paraId="78725832" w14:textId="77777777" w:rsidR="00DF410E" w:rsidRDefault="00CE7F43">
      <w:pPr>
        <w:pStyle w:val="Author-eListParagraph"/>
        <w:numPr>
          <w:ilvl w:val="1"/>
          <w:numId w:val="718"/>
        </w:numPr>
      </w:pPr>
      <w:r>
        <w:t>Evacuation manuelle [NFPA 101 Life Safety Code Handbook] : 122 cm minimum.</w:t>
      </w:r>
    </w:p>
    <w:p w14:paraId="55AE5F70" w14:textId="77777777" w:rsidR="00DF410E" w:rsidRDefault="00CE7F43">
      <w:pPr>
        <w:pStyle w:val="Author-eListParagraph"/>
        <w:numPr>
          <w:ilvl w:val="1"/>
          <w:numId w:val="718"/>
        </w:numPr>
      </w:pPr>
      <w:r>
        <w:t>Utilisation d’une chaise d’évacuation : à établir en fonction des dimensions de la chaise.</w:t>
      </w:r>
    </w:p>
    <w:p w14:paraId="1D902D79" w14:textId="77777777" w:rsidR="00DF410E" w:rsidRDefault="00CE7F43">
      <w:pPr>
        <w:jc w:val="both"/>
      </w:pPr>
      <w:r>
        <w:rPr>
          <w:i/>
          <w:u w:val="single"/>
        </w:rPr>
        <w:t>Marches et contremarches :</w:t>
      </w:r>
    </w:p>
    <w:p w14:paraId="3F2D3002" w14:textId="77777777" w:rsidR="00DF410E" w:rsidRDefault="00CE7F43">
      <w:pPr>
        <w:pStyle w:val="Author-eListParagraph"/>
        <w:numPr>
          <w:ilvl w:val="0"/>
          <w:numId w:val="719"/>
        </w:numPr>
      </w:pPr>
      <w:r>
        <w:t>Nombre de marches par volée : 15 à 20 maximum.</w:t>
      </w:r>
    </w:p>
    <w:p w14:paraId="43978748" w14:textId="77777777" w:rsidR="00DF410E" w:rsidRDefault="00CE7F43">
      <w:pPr>
        <w:pStyle w:val="Author-eListParagraph"/>
        <w:numPr>
          <w:ilvl w:val="0"/>
          <w:numId w:val="719"/>
        </w:numPr>
      </w:pPr>
      <w:r>
        <w:t>Hauteur des marches (H) : 18 cm maximum.</w:t>
      </w:r>
    </w:p>
    <w:p w14:paraId="272DA4BB" w14:textId="77777777" w:rsidR="00DF410E" w:rsidRDefault="00CE7F43">
      <w:pPr>
        <w:pStyle w:val="Author-eListParagraph"/>
        <w:numPr>
          <w:ilvl w:val="0"/>
          <w:numId w:val="719"/>
        </w:numPr>
      </w:pPr>
      <w:r>
        <w:t>Giron (G) : 25 cm minimum.</w:t>
      </w:r>
    </w:p>
    <w:p w14:paraId="1D157007" w14:textId="77777777" w:rsidR="00DF410E" w:rsidRDefault="00CE7F43">
      <w:pPr>
        <w:pStyle w:val="Author-eListParagraph"/>
        <w:numPr>
          <w:ilvl w:val="0"/>
          <w:numId w:val="719"/>
        </w:numPr>
      </w:pPr>
      <w:r>
        <w:t>Type de marches : pleines, antidérapantes.</w:t>
      </w:r>
    </w:p>
    <w:p w14:paraId="5A778B11" w14:textId="77777777" w:rsidR="00DF410E" w:rsidRDefault="00CE7F43">
      <w:pPr>
        <w:pStyle w:val="Author-eListParagraph"/>
        <w:numPr>
          <w:ilvl w:val="0"/>
          <w:numId w:val="719"/>
        </w:numPr>
      </w:pPr>
      <w:r>
        <w:t>Type de contremarches : pleines, profil oblique.</w:t>
      </w:r>
    </w:p>
    <w:p w14:paraId="371EF2CD" w14:textId="77777777" w:rsidR="00DF410E" w:rsidRDefault="00CE7F43">
      <w:pPr>
        <w:jc w:val="both"/>
      </w:pPr>
      <w:r>
        <w:rPr>
          <w:i/>
          <w:u w:val="single"/>
        </w:rPr>
        <w:t xml:space="preserve"> Nez de marches :</w:t>
      </w:r>
    </w:p>
    <w:p w14:paraId="39558454" w14:textId="77777777" w:rsidR="00DF410E" w:rsidRDefault="00CE7F43">
      <w:pPr>
        <w:pStyle w:val="Author-eListParagraph"/>
        <w:numPr>
          <w:ilvl w:val="0"/>
          <w:numId w:val="720"/>
        </w:numPr>
      </w:pPr>
      <w:r>
        <w:t>Forme : non saillants.</w:t>
      </w:r>
    </w:p>
    <w:p w14:paraId="20C26CE6" w14:textId="77777777" w:rsidR="00DF410E" w:rsidRDefault="00CE7F43">
      <w:pPr>
        <w:pStyle w:val="Author-eListParagraph"/>
        <w:numPr>
          <w:ilvl w:val="0"/>
          <w:numId w:val="720"/>
        </w:numPr>
      </w:pPr>
      <w:r>
        <w:t>Projection : 2,5 cm maximum.</w:t>
      </w:r>
    </w:p>
    <w:p w14:paraId="5DD879FC" w14:textId="77777777" w:rsidR="00DF410E" w:rsidRDefault="00CE7F43">
      <w:pPr>
        <w:pStyle w:val="Author-eListParagraph"/>
        <w:numPr>
          <w:ilvl w:val="0"/>
          <w:numId w:val="720"/>
        </w:numPr>
      </w:pPr>
      <w:r>
        <w:t xml:space="preserve">Indicateurs visuels sur les nez de marches : </w:t>
      </w:r>
    </w:p>
    <w:p w14:paraId="54CCAEDC" w14:textId="77777777" w:rsidR="00DF410E" w:rsidRDefault="00CE7F43">
      <w:pPr>
        <w:pStyle w:val="Author-eListParagraph"/>
        <w:numPr>
          <w:ilvl w:val="1"/>
          <w:numId w:val="721"/>
        </w:numPr>
      </w:pPr>
      <w:r>
        <w:t>Localisation : de préférence, sur chaque marche ; sinon, sur la première et la dernière marche de chaque volée.</w:t>
      </w:r>
    </w:p>
    <w:p w14:paraId="4B5D007E" w14:textId="77777777" w:rsidR="00DF410E" w:rsidRDefault="00CE7F43">
      <w:pPr>
        <w:pStyle w:val="Author-eListParagraph"/>
        <w:numPr>
          <w:ilvl w:val="1"/>
          <w:numId w:val="721"/>
        </w:numPr>
      </w:pPr>
      <w:r>
        <w:t>Largeur : continus sur toute la largeur des marches.</w:t>
      </w:r>
    </w:p>
    <w:p w14:paraId="49E8C20E" w14:textId="77777777" w:rsidR="00DF410E" w:rsidRDefault="00CE7F43">
      <w:pPr>
        <w:pStyle w:val="Author-eListParagraph"/>
        <w:numPr>
          <w:ilvl w:val="1"/>
          <w:numId w:val="721"/>
        </w:numPr>
      </w:pPr>
      <w:r>
        <w:t>Revêtement : antidérapants.</w:t>
      </w:r>
    </w:p>
    <w:p w14:paraId="01697C97" w14:textId="77777777" w:rsidR="00DF410E" w:rsidRDefault="00CE7F43">
      <w:pPr>
        <w:pStyle w:val="Author-eListParagraph"/>
        <w:numPr>
          <w:ilvl w:val="1"/>
          <w:numId w:val="721"/>
        </w:numPr>
      </w:pPr>
      <w:r>
        <w:t>Profondeur : 4 cm minimum sur la marche, peut redescendre sur la contremarche.</w:t>
      </w:r>
    </w:p>
    <w:p w14:paraId="46DD56BE" w14:textId="77777777" w:rsidR="00DF410E" w:rsidRDefault="00CE7F43">
      <w:pPr>
        <w:pStyle w:val="Author-eListParagraph"/>
        <w:numPr>
          <w:ilvl w:val="1"/>
          <w:numId w:val="721"/>
        </w:numPr>
      </w:pPr>
      <w:r>
        <w:t>Contraste : différence de coefficient de réflexion (LRV) entre les indicateurs et les marches de minimum 60%.</w:t>
      </w:r>
    </w:p>
    <w:p w14:paraId="34557F1B" w14:textId="77777777" w:rsidR="00DF410E" w:rsidRDefault="00CE7F43">
      <w:pPr>
        <w:jc w:val="both"/>
      </w:pPr>
      <w:r>
        <w:rPr>
          <w:i/>
          <w:u w:val="single"/>
        </w:rPr>
        <w:t> Paliers :</w:t>
      </w:r>
    </w:p>
    <w:p w14:paraId="4EFA0A12" w14:textId="77777777" w:rsidR="00DF410E" w:rsidRDefault="00CE7F43">
      <w:pPr>
        <w:pStyle w:val="Author-eListParagraph"/>
        <w:numPr>
          <w:ilvl w:val="0"/>
          <w:numId w:val="722"/>
        </w:numPr>
      </w:pPr>
      <w:r>
        <w:t>Contraste : différence de coefficient de réflexion (LRV) entre les paliers et les marches de minimum 60% .</w:t>
      </w:r>
    </w:p>
    <w:p w14:paraId="69613784" w14:textId="77777777" w:rsidR="00DF410E" w:rsidRDefault="00CE7F43">
      <w:pPr>
        <w:jc w:val="both"/>
      </w:pPr>
      <w:r>
        <w:rPr>
          <w:i/>
          <w:u w:val="single"/>
        </w:rPr>
        <w:t>Dalles d’éveil à la vigilance (ou dalles podotactiles) :</w:t>
      </w:r>
    </w:p>
    <w:p w14:paraId="519BC122" w14:textId="77777777" w:rsidR="00DF410E" w:rsidRDefault="00CE7F43">
      <w:pPr>
        <w:pStyle w:val="Author-eListParagraph"/>
        <w:numPr>
          <w:ilvl w:val="0"/>
          <w:numId w:val="723"/>
        </w:numPr>
      </w:pPr>
      <w:r>
        <w:t>Position : sur les paliers, au-dessus et en-dessous de chaque volée, à 50 cm du nez de la première et de la dernière marche.</w:t>
      </w:r>
    </w:p>
    <w:p w14:paraId="5F4D0AB1" w14:textId="77777777" w:rsidR="00DF410E" w:rsidRDefault="00CE7F43">
      <w:pPr>
        <w:pStyle w:val="Author-eListParagraph"/>
        <w:numPr>
          <w:ilvl w:val="0"/>
          <w:numId w:val="723"/>
        </w:numPr>
      </w:pPr>
      <w:r>
        <w:t>Largeur : sur toute la largeur de l’escalier.</w:t>
      </w:r>
    </w:p>
    <w:p w14:paraId="29A0243C" w14:textId="77777777" w:rsidR="00DF410E" w:rsidRDefault="00CE7F43">
      <w:pPr>
        <w:pStyle w:val="Author-eListParagraph"/>
        <w:numPr>
          <w:ilvl w:val="0"/>
          <w:numId w:val="723"/>
        </w:numPr>
      </w:pPr>
      <w:r>
        <w:t>Profondeur : 60 cm minimum.</w:t>
      </w:r>
    </w:p>
    <w:p w14:paraId="7F9AD5E7" w14:textId="77777777" w:rsidR="00DF410E" w:rsidRDefault="00CE7F43">
      <w:pPr>
        <w:jc w:val="both"/>
      </w:pPr>
      <w:r>
        <w:rPr>
          <w:b/>
        </w:rPr>
        <w:t>Assemblage - Scellement</w:t>
      </w:r>
    </w:p>
    <w:p w14:paraId="720D0363" w14:textId="77777777" w:rsidR="00DF410E" w:rsidRDefault="00CE7F43">
      <w:pPr>
        <w:jc w:val="both"/>
      </w:pPr>
      <w:r>
        <w:t>Les points d'appui et les éventuels éléments d'ancrage sont déterminés en concertation avec l'auteur de projet, l'ingénieur stabilité, l'entrepreneur et le fabricant.</w:t>
      </w:r>
    </w:p>
    <w:p w14:paraId="7847F28F" w14:textId="77777777" w:rsidR="00DF410E" w:rsidRDefault="00CE7F43">
      <w:pPr>
        <w:jc w:val="both"/>
      </w:pPr>
      <w:r>
        <w:rPr>
          <w:b/>
        </w:rPr>
        <w:t>Asselets</w:t>
      </w:r>
    </w:p>
    <w:p w14:paraId="7B31530E" w14:textId="77777777" w:rsidR="00DF410E" w:rsidRDefault="00CE7F43">
      <w:pPr>
        <w:jc w:val="both"/>
      </w:pPr>
      <w:r>
        <w:t xml:space="preserve">Les asselets nécessaires à la bonne répartition des charges sont décrits dans l’article </w:t>
      </w:r>
      <w:hyperlink w:anchor="165" w:history="1">
        <w:r>
          <w:t>21.85.3a Réalisations d'asselets en béton armé dans une maçonnerie existante</w:t>
        </w:r>
      </w:hyperlink>
      <w:r>
        <w:t xml:space="preserve"> et le sous-titre </w:t>
      </w:r>
      <w:hyperlink w:anchor="497" w:history="1">
        <w:r>
          <w:t>22.42 Pièces d'appui en béton</w:t>
        </w:r>
      </w:hyperlink>
      <w:r>
        <w:t xml:space="preserve"> et aux élément et articles qui en découlent.</w:t>
      </w:r>
    </w:p>
    <w:p w14:paraId="2E4C2AB6" w14:textId="77777777" w:rsidR="00DF410E" w:rsidRDefault="00CE7F43">
      <w:pPr>
        <w:jc w:val="both"/>
      </w:pPr>
      <w:r>
        <w:t>Ils ne sont pas compris dans le présent article, sauf contre-indication dans le cahier spécial des charges aux articles concernés ci-dessus.</w:t>
      </w:r>
    </w:p>
    <w:p w14:paraId="3B0F4DE0" w14:textId="77777777" w:rsidR="00DF410E" w:rsidRDefault="00CE7F43">
      <w:pPr>
        <w:jc w:val="both"/>
      </w:pPr>
      <w:r>
        <w:rPr>
          <w:b/>
        </w:rPr>
        <w:t>Sécurité</w:t>
      </w:r>
    </w:p>
    <w:p w14:paraId="552B6856" w14:textId="77777777" w:rsidR="00DF410E" w:rsidRDefault="00CE7F43">
      <w:pPr>
        <w:jc w:val="both"/>
      </w:pPr>
      <w:r>
        <w:t>Conformément à l'élément </w:t>
      </w:r>
      <w:hyperlink r:id="rId168" w:history="1" w:docLocation="561">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14:paraId="7D4E7C89" w14:textId="77777777" w:rsidR="00DF410E" w:rsidRDefault="00CE7F43">
      <w:pPr>
        <w:pStyle w:val="pheading"/>
      </w:pPr>
      <w:r>
        <w:t>CONTRÔLES</w:t>
      </w:r>
    </w:p>
    <w:p w14:paraId="470C970B" w14:textId="77777777" w:rsidR="00DF410E" w:rsidRDefault="00CE7F43">
      <w:pPr>
        <w:jc w:val="both"/>
      </w:pPr>
      <w:r>
        <w:rPr>
          <w:b/>
        </w:rPr>
        <w:t>Résistance au feu </w:t>
      </w:r>
    </w:p>
    <w:p w14:paraId="490B63D4" w14:textId="77777777" w:rsidR="00DF410E" w:rsidRDefault="00CE7F43">
      <w:pPr>
        <w:jc w:val="both"/>
      </w:pPr>
      <w:r>
        <w:t>Cette évaluation doit se faire sous poids propre, conformément à l’Eurocode [NBN EN 1993-1-2] et son annexe nationale [NBN EN 1993-1-2 ANB].</w:t>
      </w:r>
    </w:p>
    <w:p w14:paraId="550185E5" w14:textId="77777777" w:rsidR="00DF410E" w:rsidRDefault="00CE7F43">
      <w:pPr>
        <w:jc w:val="both"/>
      </w:pPr>
      <w:r>
        <w:rPr>
          <w:b/>
        </w:rPr>
        <w:t>Ecarts dimensionnels</w:t>
      </w:r>
    </w:p>
    <w:p w14:paraId="367A7FC7" w14:textId="77777777" w:rsidR="00DF410E" w:rsidRDefault="00CE7F43">
      <w:pPr>
        <w:jc w:val="both"/>
      </w:pPr>
      <w:r>
        <w:t>Toutes les marches présentent la même hauteur. Les éventuels écarts dimensionnels doivent être absorbés dans les dimensions de la marche inférieure et ne peuvent comporter plus de 6 mm. L'écart de hauteur entre deux marches successives ne peut pas être supérieur à 2 mm.</w:t>
      </w:r>
    </w:p>
    <w:p w14:paraId="1484CA1D" w14:textId="77777777" w:rsidR="00DF410E" w:rsidRDefault="00CE7F43">
      <w:pPr>
        <w:jc w:val="both"/>
      </w:pPr>
      <w:r>
        <w:rPr>
          <w:b/>
        </w:rPr>
        <w:t>Dégradations</w:t>
      </w:r>
    </w:p>
    <w:p w14:paraId="454A85B0" w14:textId="77777777" w:rsidR="00DF410E" w:rsidRDefault="00CE7F43">
      <w:pPr>
        <w:jc w:val="both"/>
      </w:pPr>
      <w:r>
        <w:t>Il est interdit d'utiliser un mastic de jointoiement, de la résine, etc.… pour cacher les défauts éventuels. Les éléments endommagés doivent être intégralement remplacés. Les éléments qui forment un ensemble ne peuvent pas présenter de différences de couleur.</w:t>
      </w:r>
    </w:p>
    <w:p w14:paraId="56F791E5" w14:textId="77777777" w:rsidR="00DF410E" w:rsidRDefault="00CE7F43">
      <w:pPr>
        <w:pStyle w:val="pheading"/>
      </w:pPr>
      <w:r>
        <w:t>DOCUMENTS DE RÉFÉRENCE</w:t>
      </w:r>
    </w:p>
    <w:p w14:paraId="72A4D9AD" w14:textId="77777777" w:rsidR="00DF410E" w:rsidRDefault="00CE7F43">
      <w:pPr>
        <w:pStyle w:val="pheading"/>
      </w:pPr>
      <w:r>
        <w:t>- Matériau</w:t>
      </w:r>
    </w:p>
    <w:p w14:paraId="393FB9BC" w14:textId="77777777" w:rsidR="00DF410E" w:rsidRDefault="00CE7F43">
      <w:r>
        <w:t>[NBN EN 1991-1-1, Eurocode 1: Actions sur les structures - Partie 1-1: Actions générales - Poids volumiques, poids propres, charges d'exploitation bâtiments (+ AC:2009)]</w:t>
      </w:r>
    </w:p>
    <w:p w14:paraId="5CC52CC0" w14:textId="77777777" w:rsidR="00DF410E" w:rsidRDefault="00CE7F43">
      <w:r>
        <w:t>[NBN EN 1991-1-1 ANB, Eurocode 1 - Actions sur les structures - Partie 1-1 : Actions générales - Poids volumiques, poids propre, charges d'exploitation pour les bâtiments]</w:t>
      </w:r>
    </w:p>
    <w:p w14:paraId="13529838" w14:textId="77777777" w:rsidR="00DF410E" w:rsidRDefault="00CE7F43">
      <w:r>
        <w:t>[AR 1994-07-07, Arrêté royal fixant les normes de base en matière de prévention contre l'incendie et l'explosion, auxquelles les bâtiments nouveaux doivent satisfaire]</w:t>
      </w:r>
    </w:p>
    <w:p w14:paraId="62A66758" w14:textId="77777777" w:rsidR="00DF410E" w:rsidRDefault="00CE7F43">
      <w:r>
        <w:t>[SWL GSI/T1/C, Guides sécurité incendie - Tome 1 Prévention passive - Guide C Résistance au feu]</w:t>
      </w:r>
    </w:p>
    <w:p w14:paraId="24D7945B" w14:textId="77777777" w:rsidR="00DF410E" w:rsidRDefault="00CE7F43">
      <w:r>
        <w:t>[NBN EN 1993-1-2, Eurocode 3 - Calcul des structures en acier - Partie 1-2 : Règles générales - Calcul du comportement au feu (+ AC:2009)]</w:t>
      </w:r>
    </w:p>
    <w:p w14:paraId="7D63246C" w14:textId="77777777" w:rsidR="00DF410E" w:rsidRDefault="00CE7F43">
      <w:r>
        <w:t>[NBN EN 1993-1-2 ANB, Eurocode 3 - Calcul des structures en acier - Partie 1-2 : Règles générales - Calcul du comportement au feu - Annexe nationale]</w:t>
      </w:r>
    </w:p>
    <w:p w14:paraId="5F793A5E" w14:textId="77777777" w:rsidR="00DF410E" w:rsidRDefault="00CE7F43">
      <w:pPr>
        <w:pStyle w:val="pheading"/>
      </w:pPr>
      <w:r>
        <w:t>- Exécution</w:t>
      </w:r>
    </w:p>
    <w:p w14:paraId="48C12128" w14:textId="77777777" w:rsidR="00DF410E" w:rsidRDefault="00CE7F43">
      <w:r>
        <w:t>[NIT 198, Les escaliers en bois.]</w:t>
      </w:r>
    </w:p>
    <w:p w14:paraId="3421E2C9" w14:textId="77777777" w:rsidR="00DF410E" w:rsidRDefault="00CE7F43">
      <w:r>
        <w:t>[RGPT, Règlement général pour la protection du travail]</w:t>
      </w:r>
    </w:p>
    <w:p w14:paraId="1305F80A" w14:textId="77777777" w:rsidR="00DF410E" w:rsidRDefault="00CE7F43">
      <w:r>
        <w:t>[AR 1994-07-07, Arrêté royal fixant les normes de base en matière de prévention contre l'incendie et l'explosion, auxquelles les bâtiments nouveaux doivent satisfaire]</w:t>
      </w:r>
    </w:p>
    <w:p w14:paraId="670941E4" w14:textId="77777777" w:rsidR="00DF410E" w:rsidRDefault="00CE7F43">
      <w:r>
        <w:t>[SWL CALA, Guide d’aide à la conception d’un logement adaptable]</w:t>
      </w:r>
    </w:p>
    <w:p w14:paraId="6931B2C0" w14:textId="77777777" w:rsidR="00DF410E" w:rsidRDefault="00CE7F43">
      <w:r>
        <w:t>[NBN ISO 21542, Construction immobilière — Accessibilité et facilité d'utilisation de l'environnement bâti (ISO 21542:2011)]</w:t>
      </w:r>
    </w:p>
    <w:p w14:paraId="32A3514F" w14:textId="77777777" w:rsidR="00DF410E" w:rsidRDefault="00CE7F43">
      <w:r>
        <w:t>[BS 8300, Design of buildings and their approaches to meet the needs of disabled people. Code of Practice]</w:t>
      </w:r>
    </w:p>
    <w:p w14:paraId="3E730A35" w14:textId="77777777" w:rsidR="00DF410E" w:rsidRDefault="00CE7F43">
      <w:r>
        <w:t>[Buildwise Article Dossier (2004/4.06), Accessibilité des escaliers : commentaire du § 2.4.2 de la NIT 198.]</w:t>
      </w:r>
    </w:p>
    <w:p w14:paraId="5E5B6A2B" w14:textId="77777777" w:rsidR="00DF410E" w:rsidRDefault="00CE7F43">
      <w:r>
        <w:t>[NFPA 101 Life Safety Code Handbook, NFPA Life Safety Code Handbook]</w:t>
      </w:r>
    </w:p>
    <w:p w14:paraId="7404E86E" w14:textId="77777777" w:rsidR="00DF410E" w:rsidRDefault="00CE7F43">
      <w:pPr>
        <w:pStyle w:val="Author-eSectionHeading5"/>
      </w:pPr>
      <w:bookmarkStart w:id="1392" w:name="_Toc178838505"/>
      <w:r>
        <w:t>23.31.1 Escaliers en acier CCTB 01.04</w:t>
      </w:r>
      <w:bookmarkEnd w:id="1392"/>
    </w:p>
    <w:p w14:paraId="7B55CAFA" w14:textId="77777777" w:rsidR="00DF410E" w:rsidRDefault="00CE7F43">
      <w:pPr>
        <w:pStyle w:val="Author-eSectionHeading6"/>
      </w:pPr>
      <w:bookmarkStart w:id="1393" w:name="_Toc178838506"/>
      <w:r>
        <w:t>23.31.1a Escaliers en acier CCTB 01.11</w:t>
      </w:r>
      <w:bookmarkEnd w:id="1393"/>
    </w:p>
    <w:p w14:paraId="2558E550" w14:textId="77777777" w:rsidR="00DF410E" w:rsidRDefault="00CE7F43">
      <w:pPr>
        <w:pStyle w:val="pheading"/>
      </w:pPr>
      <w:bookmarkStart w:id="1394" w:name="562"/>
      <w:bookmarkEnd w:id="1394"/>
      <w:r>
        <w:t>DESCRIPTION</w:t>
      </w:r>
    </w:p>
    <w:p w14:paraId="5E61F7B7" w14:textId="77777777" w:rsidR="00DF410E" w:rsidRDefault="00CE7F43">
      <w:pPr>
        <w:pStyle w:val="pheading"/>
      </w:pPr>
      <w:r>
        <w:t>- Définition / Comprend</w:t>
      </w:r>
    </w:p>
    <w:p w14:paraId="6F691686" w14:textId="77777777" w:rsidR="00DF410E" w:rsidRDefault="00CE7F43">
      <w:pPr>
        <w:jc w:val="both"/>
      </w:pPr>
      <w:r>
        <w:t>Il s'agit des escaliers en acier (escaliers droits, escaliers tournants avec ou sans paliers, escalier en colimaçon, etc.), dont les parties constructives doivent être fabriquées sur mesure.</w:t>
      </w:r>
    </w:p>
    <w:p w14:paraId="2D91F3DD" w14:textId="77777777" w:rsidR="00DF410E" w:rsidRDefault="00CE7F43">
      <w:pPr>
        <w:jc w:val="both"/>
      </w:pPr>
      <w:r>
        <w:t xml:space="preserve">Les caractéristiques principales des escaliers sont décrites au sous-titre </w:t>
      </w:r>
      <w:hyperlink w:anchor="556" w:history="1">
        <w:r>
          <w:t>23.31 Escaliers métalliques</w:t>
        </w:r>
      </w:hyperlink>
      <w:r>
        <w:t>.</w:t>
      </w:r>
    </w:p>
    <w:p w14:paraId="53452F63" w14:textId="77777777" w:rsidR="00DF410E" w:rsidRDefault="00CE7F43">
      <w:pPr>
        <w:jc w:val="both"/>
      </w:pPr>
      <w:r>
        <w:t xml:space="preserve">Les rampes et mains-courantes ne font pas partie du présent article et sont décrites séparément à l’article </w:t>
      </w:r>
      <w:hyperlink w:anchor="557" w:history="1">
        <w:r>
          <w:t>23.32.1a Garde-corps et rampes en acier</w:t>
        </w:r>
      </w:hyperlink>
      <w:r>
        <w:t>.</w:t>
      </w:r>
    </w:p>
    <w:p w14:paraId="2037DB75" w14:textId="77777777" w:rsidR="00DF410E" w:rsidRDefault="00CE7F43">
      <w:pPr>
        <w:pStyle w:val="pheading"/>
      </w:pPr>
      <w:r>
        <w:t>- Localisation</w:t>
      </w:r>
    </w:p>
    <w:p w14:paraId="19EADFF6" w14:textId="77777777" w:rsidR="00DF410E" w:rsidRDefault="00CE7F43">
      <w:r>
        <w:t>Les travaux sont localisés :</w:t>
      </w:r>
      <w:r>
        <w:rPr>
          <w:rStyle w:val="optioncarChar"/>
        </w:rPr>
        <w:t xml:space="preserve"> ***</w:t>
      </w:r>
      <w:r>
        <w:t>.</w:t>
      </w:r>
    </w:p>
    <w:p w14:paraId="629EACA4" w14:textId="77777777" w:rsidR="00DF410E" w:rsidRDefault="00CE7F43">
      <w:r>
        <w:t>Voir plans et métrés détaillés.</w:t>
      </w:r>
    </w:p>
    <w:p w14:paraId="7C520C55" w14:textId="77777777" w:rsidR="00DF410E" w:rsidRDefault="00CE7F43">
      <w:pPr>
        <w:pStyle w:val="pheading"/>
      </w:pPr>
      <w:r>
        <w:t>MATÉRIAUX</w:t>
      </w:r>
    </w:p>
    <w:p w14:paraId="72B00346" w14:textId="77777777" w:rsidR="00DF410E" w:rsidRDefault="00CE7F43">
      <w:pPr>
        <w:pStyle w:val="pheading"/>
      </w:pPr>
      <w:r>
        <w:t>- Caractéristiques générales</w:t>
      </w:r>
    </w:p>
    <w:p w14:paraId="657A91EF" w14:textId="77777777" w:rsidR="00DF410E" w:rsidRDefault="00CE7F43">
      <w:pPr>
        <w:jc w:val="both"/>
      </w:pPr>
      <w:r>
        <w:rPr>
          <w:b/>
        </w:rPr>
        <w:t>Stabilité - sollicitations</w:t>
      </w:r>
    </w:p>
    <w:p w14:paraId="2A3D6141" w14:textId="77777777" w:rsidR="00DF410E" w:rsidRDefault="00CE7F43">
      <w:pPr>
        <w:pStyle w:val="Author-eListParagraph"/>
        <w:numPr>
          <w:ilvl w:val="0"/>
          <w:numId w:val="724"/>
        </w:numPr>
      </w:pPr>
      <w:r>
        <w:t xml:space="preserve">Catégorie d’usage [NBN EN 1991-1-1] : </w:t>
      </w:r>
      <w:r>
        <w:rPr>
          <w:rStyle w:val="optioncarChar"/>
        </w:rPr>
        <w:t xml:space="preserve">A ou B (usage privé) / C3 (bâtiment public) </w:t>
      </w:r>
      <w:r>
        <w:t>(par défaut)</w:t>
      </w:r>
      <w:r>
        <w:rPr>
          <w:rStyle w:val="optioncarChar"/>
        </w:rPr>
        <w:t xml:space="preserve">  / C5 ou D (foule importante) / ***</w:t>
      </w:r>
      <w:r>
        <w:t>.</w:t>
      </w:r>
    </w:p>
    <w:p w14:paraId="0FC8D5E1" w14:textId="77777777" w:rsidR="00DF410E" w:rsidRDefault="00CE7F43">
      <w:pPr>
        <w:jc w:val="both"/>
      </w:pPr>
      <w:r>
        <w:rPr>
          <w:b/>
        </w:rPr>
        <w:t>Matériau</w:t>
      </w:r>
    </w:p>
    <w:p w14:paraId="26C1D55B" w14:textId="77777777" w:rsidR="00DF410E" w:rsidRDefault="00CE7F43">
      <w:pPr>
        <w:jc w:val="both"/>
      </w:pPr>
      <w:r>
        <w:t>La structure de l'escalier se compose d'éléments en acier. Toutes les parties visibles sont propres et débarrassées des ébarbures.</w:t>
      </w:r>
    </w:p>
    <w:p w14:paraId="7522DBDF" w14:textId="77777777" w:rsidR="00DF410E" w:rsidRDefault="00CE7F43">
      <w:pPr>
        <w:pStyle w:val="Author-eListParagraph"/>
        <w:numPr>
          <w:ilvl w:val="0"/>
          <w:numId w:val="725"/>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5559F5B8" w14:textId="77777777" w:rsidR="00DF410E" w:rsidRDefault="00CE7F43">
      <w:pPr>
        <w:pStyle w:val="Author-eListParagraph"/>
        <w:numPr>
          <w:ilvl w:val="0"/>
          <w:numId w:val="725"/>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14:paraId="7734697C" w14:textId="77777777" w:rsidR="00DF410E" w:rsidRDefault="00CE7F43">
      <w:pPr>
        <w:jc w:val="both"/>
      </w:pPr>
      <w:r>
        <w:t xml:space="preserve">Les marches et les paliers sont </w:t>
      </w:r>
      <w:r>
        <w:rPr>
          <w:rStyle w:val="optioncarChar"/>
        </w:rPr>
        <w:t xml:space="preserve">antidérapants </w:t>
      </w:r>
      <w:r>
        <w:t>(par défaut)</w:t>
      </w:r>
      <w:r>
        <w:rPr>
          <w:rStyle w:val="optioncarChar"/>
        </w:rPr>
        <w:t xml:space="preserve"> / ***</w:t>
      </w:r>
      <w:r>
        <w:t>.</w:t>
      </w:r>
    </w:p>
    <w:p w14:paraId="30BFAB7D" w14:textId="77777777" w:rsidR="00DF410E" w:rsidRDefault="00CE7F43">
      <w:pPr>
        <w:jc w:val="both"/>
      </w:pPr>
      <w:r>
        <w:t xml:space="preserve">Les marches, les contre marches éventuelles et les paliers sont en </w:t>
      </w:r>
      <w:r>
        <w:rPr>
          <w:rStyle w:val="optioncarChar"/>
        </w:rPr>
        <w:t>acier</w:t>
      </w:r>
      <w:r>
        <w:t xml:space="preserve"> (par défaut)</w:t>
      </w:r>
      <w:r>
        <w:rPr>
          <w:rStyle w:val="optioncarChar"/>
        </w:rPr>
        <w:t xml:space="preserve"> / bois / ***</w:t>
      </w:r>
      <w:r>
        <w:t>. </w:t>
      </w:r>
    </w:p>
    <w:p w14:paraId="4422B48D" w14:textId="77777777" w:rsidR="00DF410E" w:rsidRDefault="00CE7F43">
      <w:pPr>
        <w:ind w:left="567"/>
        <w:jc w:val="both"/>
      </w:pPr>
      <w:r>
        <w:rPr>
          <w:b/>
          <w:i/>
        </w:rPr>
        <w:t>(Soit par défaut)</w:t>
      </w:r>
    </w:p>
    <w:p w14:paraId="02754C69" w14:textId="77777777" w:rsidR="00DF410E" w:rsidRDefault="00CE7F43">
      <w:pPr>
        <w:ind w:left="567"/>
        <w:jc w:val="both"/>
      </w:pPr>
      <w:r>
        <w:rPr>
          <w:rStyle w:val="soitChar"/>
          <w:u w:val="single"/>
        </w:rPr>
        <w:t>Acier</w:t>
      </w:r>
    </w:p>
    <w:p w14:paraId="6900FAAF" w14:textId="77777777" w:rsidR="00DF410E" w:rsidRDefault="00CE7F43">
      <w:pPr>
        <w:ind w:left="567"/>
        <w:jc w:val="both"/>
      </w:pPr>
      <w:r>
        <w:rPr>
          <w:rStyle w:val="soitChar"/>
        </w:rPr>
        <w:t xml:space="preserve">Type : </w:t>
      </w:r>
      <w:r>
        <w:rPr>
          <w:rStyle w:val="optioncarChar"/>
        </w:rPr>
        <w:t xml:space="preserve">Tôles d’acier larmées ou gaufrées </w:t>
      </w:r>
      <w:r>
        <w:t>(par défaut)</w:t>
      </w:r>
      <w:r>
        <w:rPr>
          <w:rStyle w:val="optioncarChar"/>
        </w:rPr>
        <w:t xml:space="preserve"> / Tôles d’acier perforées (diam 9 / 14 / *** mm) / caillebotis (maille 30x30 / ***mm) / ***.</w:t>
      </w:r>
    </w:p>
    <w:p w14:paraId="659E01A9" w14:textId="77777777" w:rsidR="00DF410E" w:rsidRDefault="00CE7F43">
      <w:pPr>
        <w:ind w:left="567"/>
        <w:jc w:val="both"/>
      </w:pPr>
      <w:r>
        <w:rPr>
          <w:rStyle w:val="soitChar"/>
        </w:rPr>
        <w:t>Epaisseur minimum : tôle :</w:t>
      </w:r>
      <w:r>
        <w:rPr>
          <w:rStyle w:val="optioncarChar"/>
        </w:rPr>
        <w:t> 2,5 / 4</w:t>
      </w:r>
      <w:r>
        <w:t xml:space="preserve"> (par défaut) </w:t>
      </w:r>
      <w:r>
        <w:rPr>
          <w:rStyle w:val="optioncarChar"/>
        </w:rPr>
        <w:t>/ ***</w:t>
      </w:r>
      <w:r>
        <w:rPr>
          <w:rStyle w:val="soitChar"/>
        </w:rPr>
        <w:t xml:space="preserve"> / caillebotis :</w:t>
      </w:r>
      <w:r>
        <w:rPr>
          <w:rStyle w:val="optioncarChar"/>
        </w:rPr>
        <w:t xml:space="preserve"> 20 / 30 / 40 *** mm</w:t>
      </w:r>
      <w:r>
        <w:rPr>
          <w:rStyle w:val="soitChar"/>
        </w:rPr>
        <w:t>.</w:t>
      </w:r>
    </w:p>
    <w:p w14:paraId="79B2AB6C" w14:textId="77777777" w:rsidR="00DF410E" w:rsidRDefault="00CE7F43">
      <w:pPr>
        <w:ind w:left="567"/>
        <w:jc w:val="both"/>
      </w:pPr>
      <w:r>
        <w:rPr>
          <w:b/>
          <w:i/>
        </w:rPr>
        <w:t>(Soit)</w:t>
      </w:r>
    </w:p>
    <w:p w14:paraId="5667582D" w14:textId="77777777" w:rsidR="00DF410E" w:rsidRDefault="00CE7F43">
      <w:pPr>
        <w:ind w:left="567"/>
        <w:jc w:val="both"/>
      </w:pPr>
      <w:r>
        <w:rPr>
          <w:rStyle w:val="soitChar"/>
          <w:u w:val="single"/>
        </w:rPr>
        <w:t>Bois</w:t>
      </w:r>
    </w:p>
    <w:p w14:paraId="55AE9F9F" w14:textId="77777777" w:rsidR="00DF410E" w:rsidRDefault="00CE7F43">
      <w:pPr>
        <w:ind w:left="567"/>
        <w:jc w:val="both"/>
      </w:pPr>
      <w:r>
        <w:rPr>
          <w:rStyle w:val="soitChar"/>
        </w:rPr>
        <w:t xml:space="preserve">Essence : </w:t>
      </w:r>
      <w:r>
        <w:rPr>
          <w:rStyle w:val="optioncarChar"/>
        </w:rPr>
        <w:t>hêtre</w:t>
      </w:r>
      <w:r>
        <w:t xml:space="preserve"> (par défaut) </w:t>
      </w:r>
      <w:r>
        <w:rPr>
          <w:rStyle w:val="optioncarChar"/>
        </w:rPr>
        <w:t>/ méranti / merbau / ipe / itauba / frêne / mélèze / ***</w:t>
      </w:r>
      <w:r>
        <w:t>.</w:t>
      </w:r>
    </w:p>
    <w:p w14:paraId="272E7878" w14:textId="77777777" w:rsidR="00DF410E" w:rsidRDefault="00CE7F43">
      <w:pPr>
        <w:ind w:left="567"/>
        <w:jc w:val="both"/>
      </w:pPr>
      <w:r>
        <w:rPr>
          <w:rStyle w:val="soitChar"/>
        </w:rPr>
        <w:t xml:space="preserve">Epaisseur minimum des marches: </w:t>
      </w:r>
      <w:r>
        <w:rPr>
          <w:rStyle w:val="optioncarChar"/>
        </w:rPr>
        <w:t>30 / 35</w:t>
      </w:r>
      <w:r>
        <w:t xml:space="preserve"> (par défaut) </w:t>
      </w:r>
      <w:r>
        <w:rPr>
          <w:rStyle w:val="optioncarChar"/>
        </w:rPr>
        <w:t>/ *** mm</w:t>
      </w:r>
      <w:r>
        <w:t>.</w:t>
      </w:r>
    </w:p>
    <w:p w14:paraId="3CD0680A" w14:textId="77777777" w:rsidR="00DF410E" w:rsidRDefault="00CE7F43">
      <w:pPr>
        <w:ind w:left="567"/>
        <w:jc w:val="both"/>
      </w:pPr>
      <w:r>
        <w:rPr>
          <w:rStyle w:val="soitChar"/>
        </w:rPr>
        <w:t xml:space="preserve">Epaisseur minimum des contremarches: </w:t>
      </w:r>
      <w:r>
        <w:rPr>
          <w:rStyle w:val="optioncarChar"/>
        </w:rPr>
        <w:t>pas d’application / 15</w:t>
      </w:r>
      <w:r>
        <w:t xml:space="preserve"> (par défaut) </w:t>
      </w:r>
      <w:r>
        <w:rPr>
          <w:rStyle w:val="optioncarChar"/>
        </w:rPr>
        <w:t>/ 20 / *** mm</w:t>
      </w:r>
      <w:r>
        <w:t>.</w:t>
      </w:r>
    </w:p>
    <w:p w14:paraId="2234164F" w14:textId="77777777" w:rsidR="00DF410E" w:rsidRDefault="00CE7F43">
      <w:pPr>
        <w:pStyle w:val="pheading"/>
      </w:pPr>
      <w:r>
        <w:t>- Finitions</w:t>
      </w:r>
    </w:p>
    <w:p w14:paraId="4348A3E6" w14:textId="77777777" w:rsidR="00DF410E" w:rsidRDefault="00CE7F43">
      <w:r>
        <w:rPr>
          <w:u w:val="single"/>
        </w:rPr>
        <w:t>T</w:t>
      </w:r>
      <w:r>
        <w:rPr>
          <w:b/>
          <w:u w:val="single"/>
        </w:rPr>
        <w:t>raitement de l'acier</w:t>
      </w:r>
    </w:p>
    <w:p w14:paraId="54C4882B" w14:textId="77777777" w:rsidR="00DF410E" w:rsidRDefault="00CE7F43">
      <w:r>
        <w:t xml:space="preserve">Les éléments sont traités contre la rouille par : </w:t>
      </w:r>
      <w:r>
        <w:rPr>
          <w:rStyle w:val="optioncarChar"/>
        </w:rPr>
        <w:t>galvanisation à chaud</w:t>
      </w:r>
      <w:r>
        <w:t xml:space="preserve"> (par défaut) </w:t>
      </w:r>
      <w:r>
        <w:rPr>
          <w:rStyle w:val="optioncarChar"/>
        </w:rPr>
        <w:t>/ métallisation / primaire antirouille / pas de traitement (aspect brut)</w:t>
      </w:r>
      <w:r>
        <w:t>. </w:t>
      </w:r>
    </w:p>
    <w:p w14:paraId="12A8BCC1" w14:textId="77777777" w:rsidR="00DF410E" w:rsidRDefault="00CE7F43">
      <w:pPr>
        <w:ind w:left="567"/>
        <w:jc w:val="both"/>
      </w:pPr>
      <w:r>
        <w:rPr>
          <w:b/>
          <w:i/>
        </w:rPr>
        <w:t>(Soit par défaut)</w:t>
      </w:r>
    </w:p>
    <w:p w14:paraId="6E5DF780" w14:textId="77777777" w:rsidR="00DF410E" w:rsidRDefault="00CE7F43">
      <w:pPr>
        <w:ind w:left="567"/>
        <w:jc w:val="both"/>
      </w:pPr>
      <w:r>
        <w:rPr>
          <w:rStyle w:val="soitChar"/>
          <w:u w:val="single"/>
        </w:rPr>
        <w:t xml:space="preserve">Galvanisation </w:t>
      </w:r>
    </w:p>
    <w:p w14:paraId="25ECDCF7" w14:textId="77777777" w:rsidR="00DF410E" w:rsidRDefault="00CE7F43">
      <w:pPr>
        <w:ind w:left="567"/>
        <w:jc w:val="both"/>
      </w:pPr>
      <w:r>
        <w:rPr>
          <w:rStyle w:val="soitChar"/>
        </w:rPr>
        <w:t xml:space="preserve">Renvoi aux articles </w:t>
      </w:r>
      <w:hyperlink r:id="rId169" w:history="1" w:docLocation="505">
        <w:r>
          <w:rPr>
            <w:rStyle w:val="soitChar"/>
          </w:rPr>
          <w:t>81.31.3a Protections intérieures par galvanisation (en atelier) des supports métalliques ferreux</w:t>
        </w:r>
      </w:hyperlink>
      <w:r>
        <w:rPr>
          <w:rStyle w:val="soitChar"/>
        </w:rPr>
        <w:t xml:space="preserve"> ou </w:t>
      </w:r>
      <w:hyperlink r:id="rId170" w:history="1" w:docLocation="506">
        <w:r>
          <w:rPr>
            <w:rStyle w:val="soitChar"/>
          </w:rPr>
          <w:t>82.31.3a Protections extérieures par galvanisation de supports métalliques ferreux</w:t>
        </w:r>
      </w:hyperlink>
      <w:r>
        <w:rPr>
          <w:rStyle w:val="soitChar"/>
        </w:rPr>
        <w:t>.</w:t>
      </w:r>
    </w:p>
    <w:p w14:paraId="0AE5C620" w14:textId="77777777" w:rsidR="00DF410E" w:rsidRDefault="00CE7F43">
      <w:pPr>
        <w:ind w:left="567"/>
        <w:jc w:val="both"/>
      </w:pPr>
      <w:r>
        <w:rPr>
          <w:b/>
          <w:i/>
        </w:rPr>
        <w:t> (Soit)</w:t>
      </w:r>
    </w:p>
    <w:p w14:paraId="2BEE7DA9" w14:textId="77777777" w:rsidR="00DF410E" w:rsidRDefault="00CE7F43">
      <w:pPr>
        <w:ind w:left="567"/>
        <w:jc w:val="both"/>
      </w:pPr>
      <w:r>
        <w:rPr>
          <w:rStyle w:val="soitChar"/>
          <w:u w:val="single"/>
        </w:rPr>
        <w:t xml:space="preserve">Métallisation </w:t>
      </w:r>
    </w:p>
    <w:p w14:paraId="77579388" w14:textId="77777777" w:rsidR="00DF410E" w:rsidRDefault="00CE7F43">
      <w:pPr>
        <w:ind w:left="567"/>
        <w:jc w:val="both"/>
      </w:pPr>
      <w:r>
        <w:rPr>
          <w:rStyle w:val="soitChar"/>
        </w:rPr>
        <w:t xml:space="preserve">Renvoi aux articles </w:t>
      </w:r>
      <w:hyperlink r:id="rId171" w:history="1" w:docLocation="507">
        <w:r>
          <w:rPr>
            <w:rStyle w:val="soitChar"/>
          </w:rPr>
          <w:t>81.31.3b Protections intérieures par métallisation (en atelier ou sur chantier) des supports métalliques ferreux</w:t>
        </w:r>
      </w:hyperlink>
      <w:r>
        <w:rPr>
          <w:rStyle w:val="soitChar"/>
        </w:rPr>
        <w:t xml:space="preserve"> ou </w:t>
      </w:r>
      <w:hyperlink r:id="rId172" w:history="1" w:docLocation="508">
        <w:r>
          <w:rPr>
            <w:rStyle w:val="soitChar"/>
          </w:rPr>
          <w:t>82.31.3b Protections extérieures par métallisation des supports métalliques ferreux</w:t>
        </w:r>
      </w:hyperlink>
      <w:r>
        <w:rPr>
          <w:rStyle w:val="soitChar"/>
        </w:rPr>
        <w:t>.</w:t>
      </w:r>
    </w:p>
    <w:p w14:paraId="75C3D21F" w14:textId="77777777" w:rsidR="00DF410E" w:rsidRDefault="00CE7F43">
      <w:pPr>
        <w:ind w:left="567"/>
        <w:jc w:val="both"/>
      </w:pPr>
      <w:r>
        <w:rPr>
          <w:b/>
          <w:i/>
        </w:rPr>
        <w:t>(Soit)</w:t>
      </w:r>
    </w:p>
    <w:p w14:paraId="7460EA11" w14:textId="77777777" w:rsidR="00DF410E" w:rsidRDefault="00CE7F43">
      <w:pPr>
        <w:ind w:left="567"/>
        <w:jc w:val="both"/>
      </w:pPr>
      <w:r>
        <w:rPr>
          <w:rStyle w:val="soitChar"/>
          <w:u w:val="single"/>
        </w:rPr>
        <w:t xml:space="preserve">Peinture antirouille </w:t>
      </w:r>
    </w:p>
    <w:p w14:paraId="4500834A" w14:textId="77777777" w:rsidR="00DF410E" w:rsidRDefault="00CE7F43">
      <w:pPr>
        <w:ind w:left="567"/>
        <w:jc w:val="both"/>
      </w:pPr>
      <w:r>
        <w:rPr>
          <w:rStyle w:val="soitChar"/>
        </w:rPr>
        <w:t xml:space="preserve">Renvoi aux articles </w:t>
      </w:r>
      <w:hyperlink r:id="rId173" w:history="1" w:docLocation="503">
        <w:r>
          <w:rPr>
            <w:rStyle w:val="soitChar"/>
          </w:rPr>
          <w:t>81.31.3c Protections intérieures par primaire antirouille (en atelier ou sur chantier) des supports métalliques ferreux</w:t>
        </w:r>
      </w:hyperlink>
      <w:r>
        <w:rPr>
          <w:rStyle w:val="soitChar"/>
        </w:rPr>
        <w:t xml:space="preserve"> ou </w:t>
      </w:r>
      <w:hyperlink r:id="rId174" w:history="1" w:docLocation="504">
        <w:r>
          <w:rPr>
            <w:rStyle w:val="soitChar"/>
          </w:rPr>
          <w:t>82.31.3c Protections extérieures par primaire antirouille des supports métalliques ferreux</w:t>
        </w:r>
      </w:hyperlink>
      <w:r>
        <w:rPr>
          <w:rStyle w:val="soitChar"/>
        </w:rPr>
        <w:t>.</w:t>
      </w:r>
    </w:p>
    <w:p w14:paraId="3FB98420" w14:textId="77777777" w:rsidR="00DF410E" w:rsidRDefault="00CE7F43">
      <w:pPr>
        <w:ind w:left="567"/>
        <w:jc w:val="both"/>
      </w:pPr>
      <w:r>
        <w:rPr>
          <w:b/>
          <w:i/>
        </w:rPr>
        <w:t>(Soit)</w:t>
      </w:r>
    </w:p>
    <w:p w14:paraId="4B0E9C16" w14:textId="77777777" w:rsidR="00DF410E" w:rsidRDefault="00CE7F43">
      <w:pPr>
        <w:ind w:left="567"/>
        <w:jc w:val="both"/>
      </w:pPr>
      <w:r>
        <w:rPr>
          <w:rStyle w:val="soitChar"/>
          <w:u w:val="single"/>
        </w:rPr>
        <w:t xml:space="preserve">Pas de traitement </w:t>
      </w:r>
    </w:p>
    <w:p w14:paraId="0A86D761" w14:textId="77777777" w:rsidR="00DF410E" w:rsidRDefault="00CE7F43">
      <w:pPr>
        <w:ind w:left="567"/>
        <w:jc w:val="both"/>
      </w:pPr>
      <w:r>
        <w:rPr>
          <w:rStyle w:val="soitChar"/>
        </w:rPr>
        <w:t>L’acier reste « brut ». Il est simplement nettoyé, dégraissé et débarrassé de la rouille par sablage et/ou ponçage conformément aux chapitres </w:t>
      </w:r>
      <w:hyperlink r:id="rId175" w:history="1" w:docLocation="546">
        <w:r>
          <w:rPr>
            <w:rStyle w:val="soitChar"/>
          </w:rPr>
          <w:t>81.31.1 Nettoyage / Dégraissage</w:t>
        </w:r>
      </w:hyperlink>
      <w:r>
        <w:rPr>
          <w:rStyle w:val="soitChar"/>
        </w:rPr>
        <w:t xml:space="preserve">, </w:t>
      </w:r>
      <w:hyperlink r:id="rId176" w:history="1" w:docLocation="547">
        <w:r>
          <w:rPr>
            <w:rStyle w:val="soitChar"/>
          </w:rPr>
          <w:t>81.31.2 Grenaillage - Sablage / Ponçage / Dérouillage</w:t>
        </w:r>
      </w:hyperlink>
      <w:r>
        <w:rPr>
          <w:rStyle w:val="soitChar"/>
        </w:rPr>
        <w:t xml:space="preserve"> et articles qui en découlent.</w:t>
      </w:r>
    </w:p>
    <w:p w14:paraId="7201607A" w14:textId="77777777" w:rsidR="00DF410E" w:rsidRDefault="00CE7F43">
      <w:pPr>
        <w:jc w:val="both"/>
      </w:pPr>
      <w:r>
        <w:t>Ce traitement contre la rouille est compris par défaut dans le poste, sauf contre-indication dans le cahier spécial des charges aux articles concernés ci-dessus.</w:t>
      </w:r>
    </w:p>
    <w:p w14:paraId="39DF2A06" w14:textId="77777777" w:rsidR="00DF410E" w:rsidRDefault="00CE7F43">
      <w:pPr>
        <w:jc w:val="both"/>
      </w:pPr>
      <w:r>
        <w:rPr>
          <w:b/>
          <w:u w:val="single"/>
        </w:rPr>
        <w:t>Finition de l’acier</w:t>
      </w:r>
    </w:p>
    <w:p w14:paraId="415BEBD7" w14:textId="77777777" w:rsidR="00DF410E" w:rsidRDefault="00CE7F43">
      <w:pPr>
        <w:jc w:val="both"/>
      </w:pPr>
      <w:r>
        <w:t xml:space="preserve">Finition de l’acier : </w:t>
      </w:r>
      <w:r>
        <w:rPr>
          <w:rStyle w:val="optioncarChar"/>
        </w:rPr>
        <w:t xml:space="preserve">pas de finition </w:t>
      </w:r>
      <w:r>
        <w:t xml:space="preserve">(par défaut) </w:t>
      </w:r>
      <w:r>
        <w:rPr>
          <w:rStyle w:val="optioncarChar"/>
        </w:rPr>
        <w:t>/ peint / brut (verni)</w:t>
      </w:r>
      <w:r>
        <w:t>.</w:t>
      </w:r>
    </w:p>
    <w:p w14:paraId="7E7371C4" w14:textId="77777777" w:rsidR="00DF410E" w:rsidRDefault="00CE7F43">
      <w:pPr>
        <w:ind w:left="567"/>
        <w:jc w:val="both"/>
      </w:pPr>
      <w:r>
        <w:rPr>
          <w:b/>
          <w:i/>
        </w:rPr>
        <w:t>(Soit par défaut)</w:t>
      </w:r>
    </w:p>
    <w:p w14:paraId="2DE0642A" w14:textId="77777777" w:rsidR="00DF410E" w:rsidRDefault="00CE7F43">
      <w:pPr>
        <w:ind w:left="567"/>
        <w:jc w:val="both"/>
      </w:pPr>
      <w:r>
        <w:rPr>
          <w:rStyle w:val="soitChar"/>
          <w:u w:val="single"/>
        </w:rPr>
        <w:t>Pas de finition</w:t>
      </w:r>
    </w:p>
    <w:p w14:paraId="146F71C2" w14:textId="77777777" w:rsidR="00DF410E" w:rsidRDefault="00CE7F43">
      <w:pPr>
        <w:ind w:left="567"/>
        <w:jc w:val="both"/>
      </w:pPr>
      <w:r>
        <w:rPr>
          <w:rStyle w:val="soitChar"/>
        </w:rPr>
        <w:t>Pas de finition, le traitement contre la rouille reste apparent.</w:t>
      </w:r>
    </w:p>
    <w:p w14:paraId="126BD26E" w14:textId="77777777" w:rsidR="00DF410E" w:rsidRDefault="00CE7F43">
      <w:pPr>
        <w:ind w:left="567"/>
        <w:jc w:val="both"/>
      </w:pPr>
      <w:r>
        <w:rPr>
          <w:b/>
          <w:i/>
        </w:rPr>
        <w:t>(Soit)</w:t>
      </w:r>
    </w:p>
    <w:p w14:paraId="4D748D38" w14:textId="77777777" w:rsidR="00DF410E" w:rsidRDefault="00CE7F43">
      <w:pPr>
        <w:ind w:left="567"/>
        <w:jc w:val="both"/>
      </w:pPr>
      <w:r>
        <w:rPr>
          <w:rStyle w:val="soitChar"/>
          <w:u w:val="single"/>
        </w:rPr>
        <w:t>Peint</w:t>
      </w:r>
    </w:p>
    <w:p w14:paraId="0B5A6D39" w14:textId="77777777" w:rsidR="00DF410E" w:rsidRDefault="00CE7F43">
      <w:pPr>
        <w:ind w:left="567"/>
        <w:jc w:val="both"/>
      </w:pPr>
      <w:r>
        <w:rPr>
          <w:rStyle w:val="soitChar"/>
        </w:rPr>
        <w:t xml:space="preserve">Renvoi aux sous-titres </w:t>
      </w:r>
      <w:hyperlink r:id="rId177" w:history="1" w:docLocation="509">
        <w:r>
          <w:rPr>
            <w:rStyle w:val="soitChar"/>
          </w:rPr>
          <w:t>81.33 Finitions / décorations des métaux ferreux et non ferreux</w:t>
        </w:r>
      </w:hyperlink>
      <w:r>
        <w:rPr>
          <w:rStyle w:val="soitChar"/>
        </w:rPr>
        <w:t xml:space="preserve">(intérieure) ou </w:t>
      </w:r>
      <w:hyperlink r:id="rId178" w:history="1" w:docLocation="510">
        <w:r>
          <w:rPr>
            <w:rStyle w:val="soitChar"/>
          </w:rPr>
          <w:t>82.33 Finitions / décorations des métaux ferreux et non ferreux</w:t>
        </w:r>
      </w:hyperlink>
      <w:r>
        <w:rPr>
          <w:rStyle w:val="soitChar"/>
        </w:rPr>
        <w:t xml:space="preserve"> (extérieure), et articles qui en découlent.</w:t>
      </w:r>
    </w:p>
    <w:p w14:paraId="271CC8F3" w14:textId="77777777" w:rsidR="00DF410E" w:rsidRDefault="00CE7F43">
      <w:pPr>
        <w:ind w:left="567"/>
        <w:jc w:val="both"/>
      </w:pPr>
      <w:r>
        <w:rPr>
          <w:b/>
          <w:i/>
        </w:rPr>
        <w:t> (Soit)</w:t>
      </w:r>
    </w:p>
    <w:p w14:paraId="1655D052" w14:textId="77777777" w:rsidR="00DF410E" w:rsidRDefault="00CE7F43">
      <w:pPr>
        <w:ind w:left="567"/>
        <w:jc w:val="both"/>
      </w:pPr>
      <w:r>
        <w:rPr>
          <w:rStyle w:val="soitChar"/>
          <w:u w:val="single"/>
        </w:rPr>
        <w:t>Brut (verni)</w:t>
      </w:r>
    </w:p>
    <w:p w14:paraId="75259C8C" w14:textId="77777777" w:rsidR="00DF410E" w:rsidRDefault="00CE7F43">
      <w:pPr>
        <w:ind w:left="567"/>
        <w:jc w:val="both"/>
      </w:pPr>
      <w:r>
        <w:rPr>
          <w:rStyle w:val="soitChar"/>
        </w:rPr>
        <w:t xml:space="preserve">L’acier est protégé à l’aide d’un verni incolore à base de </w:t>
      </w:r>
      <w:r>
        <w:rPr>
          <w:rStyle w:val="optioncarChar"/>
        </w:rPr>
        <w:t xml:space="preserve">résine glycérophtalique </w:t>
      </w:r>
      <w:r>
        <w:t>(par défaut)</w:t>
      </w:r>
      <w:r>
        <w:rPr>
          <w:rStyle w:val="optioncarChar"/>
        </w:rPr>
        <w:t xml:space="preserve"> / ***</w:t>
      </w:r>
      <w:r>
        <w:rPr>
          <w:rStyle w:val="soitChar"/>
        </w:rPr>
        <w:t>.</w:t>
      </w:r>
    </w:p>
    <w:p w14:paraId="3EF3A0FE" w14:textId="77777777" w:rsidR="00DF410E" w:rsidRDefault="00CE7F43">
      <w:pPr>
        <w:ind w:left="567"/>
        <w:jc w:val="both"/>
      </w:pPr>
      <w:r>
        <w:rPr>
          <w:rStyle w:val="soitChar"/>
        </w:rPr>
        <w:t xml:space="preserve">Pour la mise en œuvre, renvoi aux sous-titres </w:t>
      </w:r>
      <w:hyperlink r:id="rId179" w:history="1" w:docLocation="509">
        <w:r>
          <w:rPr>
            <w:rStyle w:val="soitChar"/>
          </w:rPr>
          <w:t>81.33 Finitions / décorations des métaux ferreux et non ferreux</w:t>
        </w:r>
      </w:hyperlink>
      <w:r>
        <w:rPr>
          <w:rStyle w:val="soitChar"/>
        </w:rPr>
        <w:t xml:space="preserve"> (intérieure) ou </w:t>
      </w:r>
      <w:hyperlink r:id="rId180" w:history="1" w:docLocation="510">
        <w:r>
          <w:rPr>
            <w:rStyle w:val="soitChar"/>
          </w:rPr>
          <w:t>82.33 Finitions / décorations des métaux ferreux et non ferreux</w:t>
        </w:r>
      </w:hyperlink>
      <w:r>
        <w:rPr>
          <w:rStyle w:val="soitChar"/>
        </w:rPr>
        <w:t xml:space="preserve"> (extérieure), et articles qui en découlent.</w:t>
      </w:r>
    </w:p>
    <w:p w14:paraId="23740D1D" w14:textId="77777777" w:rsidR="00DF410E" w:rsidRDefault="00CE7F43">
      <w:pPr>
        <w:jc w:val="both"/>
      </w:pPr>
      <w:r>
        <w:t>Ce traitement de finition est compris par défaut dans le poste, sauf contre-indication dans le cahier spécial des charges aux articles concernés ci-dessus.</w:t>
      </w:r>
    </w:p>
    <w:p w14:paraId="3627C709" w14:textId="77777777" w:rsidR="00DF410E" w:rsidRDefault="00CE7F43">
      <w:pPr>
        <w:pStyle w:val="pheading"/>
      </w:pPr>
      <w:r>
        <w:t>- Prescriptions complémentaires</w:t>
      </w:r>
    </w:p>
    <w:p w14:paraId="2F0B7245" w14:textId="77777777" w:rsidR="00DF410E" w:rsidRDefault="00CE7F43">
      <w:pPr>
        <w:jc w:val="both"/>
      </w:pPr>
      <w:r>
        <w:rPr>
          <w:rStyle w:val="facultChar"/>
        </w:rPr>
        <w:t xml:space="preserve">Le présent article comprend également : </w:t>
      </w:r>
      <w:r>
        <w:rPr>
          <w:rStyle w:val="optioncarChar"/>
        </w:rPr>
        <w:t>la résistance au feu / la finition du bois</w:t>
      </w:r>
      <w:r>
        <w:rPr>
          <w:rStyle w:val="facultChar"/>
        </w:rPr>
        <w:t>.</w:t>
      </w:r>
    </w:p>
    <w:p w14:paraId="652B9E46" w14:textId="77777777" w:rsidR="00DF410E" w:rsidRDefault="00CE7F43">
      <w:pPr>
        <w:pStyle w:val="Author-eListParagraph"/>
        <w:numPr>
          <w:ilvl w:val="0"/>
          <w:numId w:val="726"/>
        </w:numPr>
      </w:pPr>
      <w:r>
        <w:rPr>
          <w:rStyle w:val="facultChar"/>
          <w:u w:val="single"/>
        </w:rPr>
        <w:t>Résistance au feu</w:t>
      </w:r>
      <w:r>
        <w:br/>
      </w:r>
      <w:r>
        <w:rPr>
          <w:rStyle w:val="facultChar"/>
        </w:rPr>
        <w:t xml:space="preserve">[NBN EN 13501-2] : </w:t>
      </w:r>
      <w:r>
        <w:rPr>
          <w:rStyle w:val="optioncarChar"/>
        </w:rPr>
        <w:t>R30 (bâtiment bas &lt;10 m) / R60 (≥10 m)</w:t>
      </w:r>
      <w:r>
        <w:rPr>
          <w:rStyle w:val="facultChar"/>
        </w:rPr>
        <w:t>.</w:t>
      </w:r>
    </w:p>
    <w:p w14:paraId="5563E222" w14:textId="77777777" w:rsidR="00DF410E" w:rsidRDefault="00CE7F43">
      <w:pPr>
        <w:ind w:left="567"/>
        <w:jc w:val="both"/>
      </w:pPr>
      <w:r>
        <w:rPr>
          <w:rStyle w:val="facultChar"/>
        </w:rPr>
        <w:t xml:space="preserve">Cette résistance au feu sera atteinte : </w:t>
      </w:r>
      <w:r>
        <w:rPr>
          <w:rStyle w:val="optioncarChar"/>
        </w:rPr>
        <w:t xml:space="preserve">sans traitement particulier </w:t>
      </w:r>
      <w:r>
        <w:t>(par défaut)</w:t>
      </w:r>
      <w:r>
        <w:rPr>
          <w:rStyle w:val="optioncarChar"/>
        </w:rPr>
        <w:t xml:space="preserve"> / à l’aide d’une peinture intumescente</w:t>
      </w:r>
      <w:r>
        <w:rPr>
          <w:rStyle w:val="facultChar"/>
        </w:rPr>
        <w:t>.</w:t>
      </w:r>
    </w:p>
    <w:p w14:paraId="73E7121B" w14:textId="77777777" w:rsidR="00DF410E" w:rsidRDefault="00CE7F43">
      <w:pPr>
        <w:ind w:left="1134"/>
        <w:jc w:val="both"/>
      </w:pPr>
      <w:r>
        <w:rPr>
          <w:b/>
          <w:i/>
        </w:rPr>
        <w:t>(Soit par défaut)</w:t>
      </w:r>
    </w:p>
    <w:p w14:paraId="02AE9B43" w14:textId="77777777" w:rsidR="00DF410E" w:rsidRDefault="00CE7F43">
      <w:pPr>
        <w:ind w:left="1134"/>
        <w:jc w:val="both"/>
      </w:pPr>
      <w:r>
        <w:rPr>
          <w:rStyle w:val="soitChar"/>
          <w:u w:val="single"/>
        </w:rPr>
        <w:t>Sans traitement particulier</w:t>
      </w:r>
    </w:p>
    <w:p w14:paraId="7F86F9C8" w14:textId="77777777" w:rsidR="00DF410E" w:rsidRDefault="00CE7F43">
      <w:pPr>
        <w:ind w:left="1134"/>
        <w:jc w:val="both"/>
      </w:pPr>
      <w:r>
        <w:rPr>
          <w:rStyle w:val="soitChar"/>
        </w:rPr>
        <w:t>La résistance au feu est démontrée par test au feu selon la [NBN EN 13501-2] ou par calcul selon les Eurocodes conformément à l’[AM 2013-05-17].</w:t>
      </w:r>
    </w:p>
    <w:p w14:paraId="78296072" w14:textId="77777777" w:rsidR="00DF410E" w:rsidRDefault="00CE7F43">
      <w:pPr>
        <w:ind w:left="1134"/>
        <w:jc w:val="both"/>
      </w:pPr>
      <w:r>
        <w:rPr>
          <w:b/>
          <w:i/>
        </w:rPr>
        <w:t>(Soit)</w:t>
      </w:r>
    </w:p>
    <w:p w14:paraId="6665F0D2" w14:textId="77777777" w:rsidR="00DF410E" w:rsidRDefault="00CE7F43">
      <w:pPr>
        <w:ind w:left="1134"/>
        <w:jc w:val="both"/>
      </w:pPr>
      <w:r>
        <w:rPr>
          <w:rStyle w:val="soitChar"/>
          <w:u w:val="single"/>
        </w:rPr>
        <w:t>Peinture intumescente</w:t>
      </w:r>
    </w:p>
    <w:p w14:paraId="6FD4886B" w14:textId="77777777" w:rsidR="00DF410E" w:rsidRDefault="00CE7F43">
      <w:pPr>
        <w:ind w:left="1134"/>
        <w:jc w:val="both"/>
      </w:pPr>
      <w:r>
        <w:rPr>
          <w:rStyle w:val="soitChar"/>
        </w:rPr>
        <w:t xml:space="preserve">Conformément à l’article </w:t>
      </w:r>
      <w:hyperlink r:id="rId181" w:history="1" w:docLocation="511">
        <w:r>
          <w:rPr>
            <w:rStyle w:val="soitChar"/>
          </w:rPr>
          <w:t>81.34.1b Peintures intérieures intumescentes sur supports métalliques ferreux et non ferreux</w:t>
        </w:r>
      </w:hyperlink>
      <w:r>
        <w:rPr>
          <w:rStyle w:val="soitChar"/>
        </w:rPr>
        <w:t>.</w:t>
      </w:r>
    </w:p>
    <w:p w14:paraId="478272CC" w14:textId="77777777" w:rsidR="00DF410E" w:rsidRDefault="00CE7F43">
      <w:pPr>
        <w:ind w:left="1134"/>
        <w:jc w:val="both"/>
      </w:pPr>
      <w:r>
        <w:rPr>
          <w:rStyle w:val="soitChar"/>
        </w:rPr>
        <w:t>Ce traitement est compris par défaut dans le poste, sauf contre-indication dans le cahier spécial des charges, à l’article concerné ci-dessus.</w:t>
      </w:r>
      <w:r>
        <w:rPr>
          <w:rStyle w:val="facultChar"/>
        </w:rPr>
        <w:t> </w:t>
      </w:r>
    </w:p>
    <w:p w14:paraId="727AD4BF" w14:textId="77777777" w:rsidR="00DF410E" w:rsidRDefault="00CE7F43">
      <w:pPr>
        <w:pStyle w:val="Author-eListParagraph"/>
        <w:numPr>
          <w:ilvl w:val="0"/>
          <w:numId w:val="727"/>
        </w:numPr>
        <w:jc w:val="both"/>
      </w:pPr>
      <w:r>
        <w:rPr>
          <w:rStyle w:val="facultChar"/>
          <w:u w:val="single"/>
        </w:rPr>
        <w:t>Finition du bois</w:t>
      </w:r>
    </w:p>
    <w:p w14:paraId="6D409F04" w14:textId="77777777" w:rsidR="00DF410E" w:rsidRDefault="00CE7F43">
      <w:pPr>
        <w:pStyle w:val="Author-eListParagraph"/>
        <w:numPr>
          <w:ilvl w:val="0"/>
          <w:numId w:val="727"/>
        </w:numPr>
        <w:jc w:val="both"/>
      </w:pPr>
      <w:r>
        <w:rPr>
          <w:rStyle w:val="facultChar"/>
        </w:rPr>
        <w:t xml:space="preserve">Toutes les parties en bois sont vernies en deux couches selon les titres </w:t>
      </w:r>
      <w:hyperlink r:id="rId182" w:history="1" w:docLocation="558">
        <w:r>
          <w:rPr>
            <w:rStyle w:val="facultChar"/>
          </w:rPr>
          <w:t>81.2 Peintures intérieures sur subjectiles en bois et dérivés du bois (feuillus, résineux, bois exotiques, panneaux)</w:t>
        </w:r>
      </w:hyperlink>
      <w:r>
        <w:rPr>
          <w:rStyle w:val="facultChar"/>
        </w:rPr>
        <w:t xml:space="preserve"> ou </w:t>
      </w:r>
      <w:hyperlink r:id="rId183" w:history="1" w:docLocation="559">
        <w:r>
          <w:rPr>
            <w:rStyle w:val="facultChar"/>
          </w:rPr>
          <w:t>82.2 Peintures extérieures sur subjectiles en bois et dérivés du bois (feuillus, résineux, bois exotiques, panneaux)</w:t>
        </w:r>
      </w:hyperlink>
      <w:r>
        <w:rPr>
          <w:rStyle w:val="facultChar"/>
        </w:rPr>
        <w:t xml:space="preserve"> et éléments et articles qui en découlent. </w:t>
      </w:r>
    </w:p>
    <w:p w14:paraId="63215190" w14:textId="77777777" w:rsidR="00DF410E" w:rsidRDefault="00CE7F43">
      <w:pPr>
        <w:pStyle w:val="Author-eListParagraph"/>
        <w:numPr>
          <w:ilvl w:val="0"/>
          <w:numId w:val="727"/>
        </w:numPr>
        <w:jc w:val="both"/>
      </w:pPr>
      <w:r>
        <w:rPr>
          <w:rStyle w:val="facultChar"/>
        </w:rPr>
        <w:t>Le traitement est compris dans le prix du poste. Le bois est protégé jusqu'à réception provisoire dans un emballage de protection évitant les chocs et rayures.</w:t>
      </w:r>
    </w:p>
    <w:p w14:paraId="1042FDEC" w14:textId="77777777" w:rsidR="00DF410E" w:rsidRDefault="00CE7F43">
      <w:pPr>
        <w:pStyle w:val="pheading"/>
      </w:pPr>
      <w:r>
        <w:t>EXÉCUTION / MISE EN ŒUVRE</w:t>
      </w:r>
    </w:p>
    <w:p w14:paraId="7513FCD4" w14:textId="77777777" w:rsidR="00DF410E" w:rsidRDefault="00CE7F43">
      <w:pPr>
        <w:pStyle w:val="pheading"/>
      </w:pPr>
      <w:r>
        <w:t>- Prescriptions générales</w:t>
      </w:r>
    </w:p>
    <w:p w14:paraId="1AD756C4" w14:textId="77777777" w:rsidR="00DF410E" w:rsidRDefault="00CE7F43">
      <w:pPr>
        <w:jc w:val="both"/>
      </w:pPr>
      <w:r>
        <w:t>Toutes les pièces sont profilées conformément aux plans d'adjudication et/ou aux dessins d'exécution. Ces dessins d'exécution sont soumis à l'approbation de l’auteur de projet.</w:t>
      </w:r>
    </w:p>
    <w:p w14:paraId="52285985" w14:textId="77777777" w:rsidR="00DF410E" w:rsidRDefault="00CE7F43">
      <w:pPr>
        <w:jc w:val="both"/>
      </w:pPr>
      <w:r>
        <w:t>Pour les escaliers à paliers, lors de l'établissement du dessin d'exécution, l’entrepreneur veille à respecter une ligne souple pour la main-courante. Dans la mesure du possible, l'escalier est préfabriqué en atelier et amené sur le chantier en une seule fois.</w:t>
      </w:r>
    </w:p>
    <w:p w14:paraId="70FF259F" w14:textId="77777777" w:rsidR="00DF410E" w:rsidRDefault="00CE7F43">
      <w:pPr>
        <w:jc w:val="both"/>
      </w:pPr>
      <w:r>
        <w:t xml:space="preserve">L'étude et les plans d'exécution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r>
        <w:t>.</w:t>
      </w:r>
    </w:p>
    <w:p w14:paraId="07532A98" w14:textId="77777777" w:rsidR="00DF410E" w:rsidRDefault="00CE7F43">
      <w:pPr>
        <w:jc w:val="both"/>
      </w:pPr>
      <w:r>
        <w:rPr>
          <w:b/>
          <w:u w:val="single"/>
        </w:rPr>
        <w:t>Etudes et dessins de détail annexés au dossier d'adjudication</w:t>
      </w:r>
    </w:p>
    <w:p w14:paraId="1C95B701" w14:textId="77777777" w:rsidR="00DF410E" w:rsidRDefault="00CE7F43">
      <w:pPr>
        <w:jc w:val="both"/>
      </w:pPr>
      <w:r>
        <w:t>Les dessins d’exécution sont réalisés selon l’étude des plans et des détails de l'auteur de projet annexés au dossier d'adjudication.</w:t>
      </w:r>
    </w:p>
    <w:p w14:paraId="369A542A" w14:textId="77777777" w:rsidR="00DF410E" w:rsidRDefault="00CE7F43">
      <w:pPr>
        <w:jc w:val="both"/>
      </w:pPr>
      <w:r>
        <w:rPr>
          <w:b/>
          <w:u w:val="single"/>
        </w:rPr>
        <w:t>Etudes et dessins à charge de l’entreprise</w:t>
      </w:r>
    </w:p>
    <w:p w14:paraId="599BAEF1" w14:textId="77777777" w:rsidR="00DF410E" w:rsidRDefault="00CE7F43">
      <w:pPr>
        <w:jc w:val="both"/>
      </w:pPr>
      <w:r>
        <w:t>Les études et les dessins d’exécution sont réalisés sur base des informations suivantes, complémentaires aux plans et coupes de soumission:</w:t>
      </w:r>
    </w:p>
    <w:p w14:paraId="44932BAB" w14:textId="77777777" w:rsidR="00DF410E" w:rsidRDefault="00CE7F43">
      <w:pPr>
        <w:jc w:val="both"/>
      </w:pPr>
      <w:r>
        <w:t xml:space="preserve">Conformément aux prescriptions du sous-titre </w:t>
      </w:r>
      <w:hyperlink w:anchor="556" w:history="1">
        <w:r>
          <w:t>23.31 Escaliers métalliques</w:t>
        </w:r>
      </w:hyperlink>
      <w:r>
        <w:t> :</w:t>
      </w:r>
    </w:p>
    <w:p w14:paraId="5CFF09F9" w14:textId="77777777" w:rsidR="00DF410E" w:rsidRDefault="00CE7F43">
      <w:pPr>
        <w:jc w:val="both"/>
      </w:pPr>
      <w:r>
        <w:rPr>
          <w:i/>
        </w:rPr>
        <w:t>Général</w:t>
      </w:r>
    </w:p>
    <w:p w14:paraId="3F2E80E8" w14:textId="77777777" w:rsidR="00DF410E" w:rsidRDefault="00CE7F43">
      <w:pPr>
        <w:pStyle w:val="Author-eListParagraph"/>
        <w:numPr>
          <w:ilvl w:val="0"/>
          <w:numId w:val="728"/>
        </w:numPr>
      </w:pPr>
      <w:r>
        <w:t xml:space="preserve">Module du pas : </w:t>
      </w:r>
      <w:r>
        <w:rPr>
          <w:rStyle w:val="optioncarChar"/>
        </w:rPr>
        <w:t xml:space="preserve">escalier privé </w:t>
      </w:r>
      <w:r>
        <w:t xml:space="preserve">(par défaut) </w:t>
      </w:r>
      <w:r>
        <w:rPr>
          <w:rStyle w:val="optioncarChar"/>
        </w:rPr>
        <w:t>/ escalier public</w:t>
      </w:r>
      <w:r>
        <w:t>.</w:t>
      </w:r>
    </w:p>
    <w:p w14:paraId="761409E3" w14:textId="77777777" w:rsidR="00DF410E" w:rsidRDefault="00CE7F43">
      <w:pPr>
        <w:pStyle w:val="Author-eListParagraph"/>
        <w:numPr>
          <w:ilvl w:val="0"/>
          <w:numId w:val="728"/>
        </w:numPr>
      </w:pPr>
      <w:r>
        <w:t xml:space="preserve">Escalier accessible aux PMR : </w:t>
      </w:r>
      <w:r>
        <w:rPr>
          <w:rStyle w:val="optioncarChar"/>
        </w:rPr>
        <w:t xml:space="preserve">oui </w:t>
      </w:r>
      <w:r>
        <w:t>(par défaut)</w:t>
      </w:r>
      <w:r>
        <w:rPr>
          <w:rStyle w:val="optioncarChar"/>
        </w:rPr>
        <w:t xml:space="preserve"> / non</w:t>
      </w:r>
      <w:r>
        <w:t>.</w:t>
      </w:r>
    </w:p>
    <w:p w14:paraId="79CC3FD9" w14:textId="77777777" w:rsidR="00DF410E" w:rsidRDefault="00CE7F43">
      <w:pPr>
        <w:jc w:val="both"/>
      </w:pPr>
      <w:r>
        <w:rPr>
          <w:i/>
        </w:rPr>
        <w:t>Limons</w:t>
      </w:r>
    </w:p>
    <w:p w14:paraId="2BBA67BC" w14:textId="77777777" w:rsidR="00DF410E" w:rsidRDefault="00CE7F43">
      <w:pPr>
        <w:jc w:val="both"/>
      </w:pPr>
      <w:r>
        <w:t xml:space="preserve">Les limons sont fixés dans les murs ou les paliers à l’aide d’ancrages chimiques suivant les prescriptions du sous-titre </w:t>
      </w:r>
      <w:hyperlink w:anchor="556" w:history="1">
        <w:r>
          <w:t>23.31 Escaliers métalliques</w:t>
        </w:r>
      </w:hyperlink>
      <w:r>
        <w:t>.</w:t>
      </w:r>
    </w:p>
    <w:p w14:paraId="292A7389" w14:textId="77777777" w:rsidR="00DF410E" w:rsidRDefault="00CE7F43">
      <w:pPr>
        <w:pStyle w:val="Author-eListParagraph"/>
        <w:numPr>
          <w:ilvl w:val="0"/>
          <w:numId w:val="729"/>
        </w:numPr>
      </w:pPr>
      <w:r>
        <w:t xml:space="preserve">Forme : </w:t>
      </w:r>
      <w:r>
        <w:rPr>
          <w:rStyle w:val="optioncarChar"/>
        </w:rPr>
        <w:t xml:space="preserve">deux limons </w:t>
      </w:r>
      <w:r>
        <w:t>(par défaut)</w:t>
      </w:r>
      <w:r>
        <w:rPr>
          <w:rStyle w:val="optioncarChar"/>
        </w:rPr>
        <w:t xml:space="preserve"> / un limon central / un tube central vertical (colimaçon) / ***</w:t>
      </w:r>
      <w:r>
        <w:t>.</w:t>
      </w:r>
    </w:p>
    <w:p w14:paraId="5C9F193F" w14:textId="77777777" w:rsidR="00DF410E" w:rsidRDefault="00CE7F43">
      <w:pPr>
        <w:pStyle w:val="Author-eListParagraph"/>
        <w:numPr>
          <w:ilvl w:val="0"/>
          <w:numId w:val="729"/>
        </w:numPr>
      </w:pPr>
      <w:r>
        <w:t xml:space="preserve">Type : </w:t>
      </w:r>
      <w:r>
        <w:rPr>
          <w:rStyle w:val="optioncarChar"/>
        </w:rPr>
        <w:t xml:space="preserve">linéaire continu </w:t>
      </w:r>
      <w:r>
        <w:t>(par défaut)</w:t>
      </w:r>
      <w:r>
        <w:rPr>
          <w:rStyle w:val="optioncarChar"/>
        </w:rPr>
        <w:t xml:space="preserve"> / à crémaillère / ***</w:t>
      </w:r>
      <w:r>
        <w:t>.</w:t>
      </w:r>
    </w:p>
    <w:p w14:paraId="5E9874DB" w14:textId="77777777" w:rsidR="00DF410E" w:rsidRDefault="00CE7F43">
      <w:pPr>
        <w:pStyle w:val="Author-eListParagraph"/>
        <w:numPr>
          <w:ilvl w:val="0"/>
          <w:numId w:val="729"/>
        </w:numPr>
      </w:pPr>
      <w:r>
        <w:t xml:space="preserve">Profil : </w:t>
      </w:r>
      <w:r>
        <w:rPr>
          <w:rStyle w:val="optioncarChar"/>
        </w:rPr>
        <w:t xml:space="preserve">UPN </w:t>
      </w:r>
      <w:r>
        <w:t>(par défaut)</w:t>
      </w:r>
      <w:r>
        <w:rPr>
          <w:rStyle w:val="optioncarChar"/>
        </w:rPr>
        <w:t xml:space="preserve"> / plat / IPE / tube rectangulaire (RHS) / tube circulaire (CHS) / ***</w:t>
      </w:r>
      <w:r>
        <w:t>.</w:t>
      </w:r>
    </w:p>
    <w:p w14:paraId="19C7CFC6" w14:textId="77777777" w:rsidR="00DF410E" w:rsidRDefault="00CE7F43">
      <w:pPr>
        <w:jc w:val="both"/>
      </w:pPr>
      <w:r>
        <w:rPr>
          <w:i/>
        </w:rPr>
        <w:t>Balancement</w:t>
      </w:r>
    </w:p>
    <w:p w14:paraId="217AAD15" w14:textId="77777777" w:rsidR="00DF410E" w:rsidRDefault="00CE7F43">
      <w:pPr>
        <w:pStyle w:val="Author-eListParagraph"/>
        <w:numPr>
          <w:ilvl w:val="0"/>
          <w:numId w:val="730"/>
        </w:numPr>
      </w:pPr>
      <w:r>
        <w:t xml:space="preserve">Type d’escalier : </w:t>
      </w:r>
      <w:r>
        <w:rPr>
          <w:rStyle w:val="optioncarChar"/>
        </w:rPr>
        <w:t>quart tournant / demi tournant</w:t>
      </w:r>
      <w:r>
        <w:t>.</w:t>
      </w:r>
    </w:p>
    <w:p w14:paraId="7A4EC369" w14:textId="77777777" w:rsidR="00DF410E" w:rsidRDefault="00CE7F43">
      <w:pPr>
        <w:pStyle w:val="Author-eListParagraph"/>
        <w:numPr>
          <w:ilvl w:val="0"/>
          <w:numId w:val="730"/>
        </w:numPr>
      </w:pPr>
      <w:r>
        <w:t>Position :</w:t>
      </w:r>
      <w:r>
        <w:rPr>
          <w:rStyle w:val="optioncarChar"/>
        </w:rPr>
        <w:t xml:space="preserve"> au début / à la fin / au début et à la fin / dans la volée / suivant méthode ci-dessous</w:t>
      </w:r>
      <w:r>
        <w:t xml:space="preserve"> (par défaut).</w:t>
      </w:r>
    </w:p>
    <w:p w14:paraId="3AAB899B" w14:textId="77777777" w:rsidR="00DF410E" w:rsidRDefault="00CE7F43">
      <w:pPr>
        <w:pStyle w:val="Author-eListParagraph"/>
        <w:numPr>
          <w:ilvl w:val="0"/>
          <w:numId w:val="730"/>
        </w:numPr>
      </w:pPr>
      <w:r>
        <w:t xml:space="preserve">Méthode de balancement [NIT 198] § 5.2: </w:t>
      </w:r>
      <w:r>
        <w:rPr>
          <w:rStyle w:val="optioncarChar"/>
        </w:rPr>
        <w:t xml:space="preserve">Escaliers en colimaçon ronds ou rectangulaires (5.2.2.1) / Méthode de balancement des marches pour les escaliers à quartier tournant et les escaliers tournants (5.2.3.1) </w:t>
      </w:r>
      <w:r>
        <w:t>(par défaut)</w:t>
      </w:r>
      <w:r>
        <w:rPr>
          <w:rStyle w:val="optioncarChar"/>
        </w:rPr>
        <w:t xml:space="preserve"> / méthode pour obtenir un limon intérieur droit, les marches balancées se situant uniquement dans le premier ou dernier quartier (5.2.3.4) / Méthode CE pour les escaliers à quartier tournant (5.2.3.6)</w:t>
      </w:r>
      <w:r>
        <w:t>.</w:t>
      </w:r>
    </w:p>
    <w:p w14:paraId="61CADFE4" w14:textId="77777777" w:rsidR="00DF410E" w:rsidRDefault="00CE7F43">
      <w:pPr>
        <w:jc w:val="both"/>
      </w:pPr>
      <w:r>
        <w:rPr>
          <w:i/>
        </w:rPr>
        <w:t>Marches</w:t>
      </w:r>
    </w:p>
    <w:p w14:paraId="3EFC0CD6" w14:textId="77777777" w:rsidR="00DF410E" w:rsidRDefault="00CE7F43">
      <w:pPr>
        <w:pStyle w:val="Author-eListParagraph"/>
        <w:numPr>
          <w:ilvl w:val="0"/>
          <w:numId w:val="731"/>
        </w:numPr>
      </w:pPr>
      <w:r>
        <w:t xml:space="preserve">Fixations des marches : </w:t>
      </w:r>
      <w:r>
        <w:rPr>
          <w:rStyle w:val="optioncarChar"/>
        </w:rPr>
        <w:t xml:space="preserve">latéralement aux limons </w:t>
      </w:r>
      <w:r>
        <w:t>(par défaut)</w:t>
      </w:r>
      <w:r>
        <w:rPr>
          <w:rStyle w:val="optioncarChar"/>
        </w:rPr>
        <w:t xml:space="preserve"> / posées sur le(s) limon(s) / ***</w:t>
      </w:r>
      <w:r>
        <w:t>.</w:t>
      </w:r>
    </w:p>
    <w:p w14:paraId="668553DE" w14:textId="77777777" w:rsidR="00DF410E" w:rsidRDefault="00CE7F43">
      <w:pPr>
        <w:pStyle w:val="Author-eListParagraph"/>
        <w:numPr>
          <w:ilvl w:val="0"/>
          <w:numId w:val="731"/>
        </w:numPr>
      </w:pPr>
      <w:r>
        <w:t xml:space="preserve">Type de fixation </w:t>
      </w:r>
      <w:r>
        <w:rPr>
          <w:rStyle w:val="optioncarChar"/>
        </w:rPr>
        <w:t xml:space="preserve">par soudure </w:t>
      </w:r>
      <w:r>
        <w:t>(par défaut)</w:t>
      </w:r>
      <w:r>
        <w:rPr>
          <w:rStyle w:val="optioncarChar"/>
        </w:rPr>
        <w:t xml:space="preserve"> / boulonnage</w:t>
      </w:r>
      <w:r>
        <w:t>.</w:t>
      </w:r>
    </w:p>
    <w:p w14:paraId="23EF5B98" w14:textId="77777777" w:rsidR="00DF410E" w:rsidRDefault="00CE7F43">
      <w:pPr>
        <w:pStyle w:val="Author-eListParagraph"/>
        <w:numPr>
          <w:ilvl w:val="0"/>
          <w:numId w:val="731"/>
        </w:numPr>
      </w:pPr>
      <w:r>
        <w:t xml:space="preserve">Marches palières :  </w:t>
      </w:r>
    </w:p>
    <w:p w14:paraId="309997EF" w14:textId="77777777" w:rsidR="00DF410E" w:rsidRDefault="00CE7F43">
      <w:pPr>
        <w:pStyle w:val="Author-eListParagraph"/>
        <w:numPr>
          <w:ilvl w:val="1"/>
          <w:numId w:val="732"/>
        </w:numPr>
      </w:pPr>
      <w:r>
        <w:t xml:space="preserve">Largeur : </w:t>
      </w:r>
      <w:r>
        <w:rPr>
          <w:rStyle w:val="optioncarChar"/>
        </w:rPr>
        <w:t xml:space="preserve">120 </w:t>
      </w:r>
      <w:r>
        <w:t>(par défaut)</w:t>
      </w:r>
      <w:r>
        <w:rPr>
          <w:rStyle w:val="optioncarChar"/>
        </w:rPr>
        <w:t xml:space="preserve"> / 150 / ***</w:t>
      </w:r>
      <w:r>
        <w:t xml:space="preserve"> mm.</w:t>
      </w:r>
    </w:p>
    <w:p w14:paraId="0F666AC4" w14:textId="77777777" w:rsidR="00DF410E" w:rsidRDefault="00CE7F43">
      <w:pPr>
        <w:pStyle w:val="Author-eListParagraph"/>
        <w:numPr>
          <w:ilvl w:val="1"/>
          <w:numId w:val="732"/>
        </w:numPr>
      </w:pPr>
      <w:r>
        <w:t>Forme :</w:t>
      </w:r>
      <w:r>
        <w:rPr>
          <w:rStyle w:val="optioncarChar"/>
        </w:rPr>
        <w:t xml:space="preserve"> droite</w:t>
      </w:r>
      <w:r>
        <w:t xml:space="preserve"> (par défaut)</w:t>
      </w:r>
      <w:r>
        <w:rPr>
          <w:rStyle w:val="optioncarChar"/>
        </w:rPr>
        <w:t xml:space="preserve"> / ***</w:t>
      </w:r>
      <w:r>
        <w:t>.</w:t>
      </w:r>
    </w:p>
    <w:p w14:paraId="671AAADB" w14:textId="77777777" w:rsidR="00DF410E" w:rsidRDefault="00CE7F43">
      <w:pPr>
        <w:pStyle w:val="Author-eListParagraph"/>
        <w:numPr>
          <w:ilvl w:val="0"/>
          <w:numId w:val="731"/>
        </w:numPr>
      </w:pPr>
      <w:r>
        <w:t xml:space="preserve">Contremarches :  </w:t>
      </w:r>
      <w:r>
        <w:rPr>
          <w:rStyle w:val="optioncarChar"/>
        </w:rPr>
        <w:t xml:space="preserve">oui </w:t>
      </w:r>
      <w:r>
        <w:t>(par défaut)</w:t>
      </w:r>
      <w:r>
        <w:rPr>
          <w:rStyle w:val="optioncarChar"/>
        </w:rPr>
        <w:t xml:space="preserve"> / non</w:t>
      </w:r>
      <w:r>
        <w:t>.</w:t>
      </w:r>
    </w:p>
    <w:p w14:paraId="0519829B" w14:textId="77777777" w:rsidR="00DF410E" w:rsidRDefault="00CE7F43">
      <w:pPr>
        <w:ind w:left="1134"/>
        <w:jc w:val="both"/>
      </w:pPr>
      <w:r>
        <w:rPr>
          <w:b/>
          <w:i/>
        </w:rPr>
        <w:t>(Soit par défaut)</w:t>
      </w:r>
    </w:p>
    <w:p w14:paraId="3EB42F21" w14:textId="77777777" w:rsidR="00DF410E" w:rsidRDefault="00CE7F43">
      <w:pPr>
        <w:ind w:left="1134"/>
        <w:jc w:val="both"/>
      </w:pPr>
      <w:r>
        <w:rPr>
          <w:rStyle w:val="soitChar"/>
          <w:u w:val="single"/>
        </w:rPr>
        <w:t>Oui</w:t>
      </w:r>
    </w:p>
    <w:p w14:paraId="2180CF05" w14:textId="77777777" w:rsidR="00DF410E" w:rsidRDefault="00CE7F43">
      <w:pPr>
        <w:pStyle w:val="Author-eListParagraph"/>
        <w:numPr>
          <w:ilvl w:val="0"/>
          <w:numId w:val="733"/>
        </w:numPr>
      </w:pPr>
      <w:r>
        <w:rPr>
          <w:rStyle w:val="soitChar"/>
        </w:rPr>
        <w:t xml:space="preserve">Type : </w:t>
      </w:r>
      <w:r>
        <w:rPr>
          <w:rStyle w:val="optioncarChar"/>
        </w:rPr>
        <w:t xml:space="preserve">pleines (PMR) </w:t>
      </w:r>
      <w:r>
        <w:t>(par défaut)</w:t>
      </w:r>
      <w:r>
        <w:rPr>
          <w:rStyle w:val="optioncarChar"/>
        </w:rPr>
        <w:t xml:space="preserve"> / perforées / ***</w:t>
      </w:r>
      <w:r>
        <w:rPr>
          <w:rStyle w:val="soitChar"/>
        </w:rPr>
        <w:t>.</w:t>
      </w:r>
    </w:p>
    <w:p w14:paraId="6592B7F9" w14:textId="77777777" w:rsidR="00DF410E" w:rsidRDefault="00CE7F43">
      <w:pPr>
        <w:pStyle w:val="Author-eListParagraph"/>
        <w:numPr>
          <w:ilvl w:val="0"/>
          <w:numId w:val="733"/>
        </w:numPr>
      </w:pPr>
      <w:r>
        <w:rPr>
          <w:rStyle w:val="soitChar"/>
        </w:rPr>
        <w:t xml:space="preserve">Forme : </w:t>
      </w:r>
      <w:r>
        <w:rPr>
          <w:rStyle w:val="optioncarChar"/>
        </w:rPr>
        <w:t xml:space="preserve">verticale / oblique (PMR) </w:t>
      </w:r>
      <w:r>
        <w:t xml:space="preserve">(par défaut) </w:t>
      </w:r>
      <w:r>
        <w:rPr>
          <w:rStyle w:val="optioncarChar"/>
        </w:rPr>
        <w:t>/ ***</w:t>
      </w:r>
      <w:r>
        <w:rPr>
          <w:rStyle w:val="soitChar"/>
        </w:rPr>
        <w:t>.</w:t>
      </w:r>
    </w:p>
    <w:p w14:paraId="48A8BE66" w14:textId="77777777" w:rsidR="00DF410E" w:rsidRDefault="00CE7F43">
      <w:pPr>
        <w:pStyle w:val="Author-eListParagraph"/>
        <w:numPr>
          <w:ilvl w:val="0"/>
          <w:numId w:val="733"/>
        </w:numPr>
      </w:pPr>
      <w:r>
        <w:rPr>
          <w:rStyle w:val="soitChar"/>
        </w:rPr>
        <w:t>Nez de marches :</w:t>
      </w:r>
    </w:p>
    <w:p w14:paraId="0C9D1AF6" w14:textId="77777777" w:rsidR="00DF410E" w:rsidRDefault="00CE7F43">
      <w:pPr>
        <w:pStyle w:val="Author-eListParagraph"/>
        <w:numPr>
          <w:ilvl w:val="1"/>
          <w:numId w:val="734"/>
        </w:numPr>
      </w:pPr>
      <w:r>
        <w:rPr>
          <w:rStyle w:val="soitChar"/>
        </w:rPr>
        <w:t xml:space="preserve">Dimensions des nez de marches : maximum </w:t>
      </w:r>
      <w:r>
        <w:rPr>
          <w:rStyle w:val="optioncarChar"/>
        </w:rPr>
        <w:t xml:space="preserve">25 (PMR) </w:t>
      </w:r>
      <w:r>
        <w:t>(par défaut)</w:t>
      </w:r>
      <w:r>
        <w:rPr>
          <w:rStyle w:val="optioncarChar"/>
        </w:rPr>
        <w:t xml:space="preserve"> / 30 / 40 / 50</w:t>
      </w:r>
      <w:r>
        <w:rPr>
          <w:rStyle w:val="soitChar"/>
        </w:rPr>
        <w:t> mm.</w:t>
      </w:r>
    </w:p>
    <w:p w14:paraId="022002EC" w14:textId="77777777" w:rsidR="00DF410E" w:rsidRDefault="00CE7F43">
      <w:pPr>
        <w:pStyle w:val="Author-eListParagraph"/>
        <w:numPr>
          <w:ilvl w:val="1"/>
          <w:numId w:val="734"/>
        </w:numPr>
      </w:pPr>
      <w:r>
        <w:rPr>
          <w:rStyle w:val="soitChar"/>
        </w:rPr>
        <w:t xml:space="preserve">Forme : </w:t>
      </w:r>
      <w:r>
        <w:rPr>
          <w:rStyle w:val="optioncarChar"/>
        </w:rPr>
        <w:t xml:space="preserve">non saillants (PMR) </w:t>
      </w:r>
      <w:r>
        <w:t xml:space="preserve">(par défaut) </w:t>
      </w:r>
      <w:r>
        <w:rPr>
          <w:rStyle w:val="optioncarChar"/>
        </w:rPr>
        <w:t>/ ***</w:t>
      </w:r>
      <w:r>
        <w:rPr>
          <w:rStyle w:val="soitChar"/>
        </w:rPr>
        <w:t>.</w:t>
      </w:r>
    </w:p>
    <w:p w14:paraId="211CCA03" w14:textId="77777777" w:rsidR="00DF410E" w:rsidRDefault="00CE7F43">
      <w:pPr>
        <w:pStyle w:val="Author-eListParagraph"/>
        <w:numPr>
          <w:ilvl w:val="1"/>
          <w:numId w:val="734"/>
        </w:numPr>
      </w:pPr>
      <w:r>
        <w:rPr>
          <w:rStyle w:val="soitChar"/>
        </w:rPr>
        <w:t xml:space="preserve">Rayon de courbure: </w:t>
      </w:r>
      <w:r>
        <w:rPr>
          <w:rStyle w:val="optioncarChar"/>
        </w:rPr>
        <w:t xml:space="preserve">3 à 8 mm </w:t>
      </w:r>
      <w:r>
        <w:t>(par défaut)</w:t>
      </w:r>
      <w:r>
        <w:rPr>
          <w:rStyle w:val="optioncarChar"/>
        </w:rPr>
        <w:t xml:space="preserve"> / les bords des nez de marches sont cassés / ***</w:t>
      </w:r>
      <w:r>
        <w:rPr>
          <w:rStyle w:val="soitChar"/>
        </w:rPr>
        <w:t>.</w:t>
      </w:r>
    </w:p>
    <w:p w14:paraId="687EAA5C" w14:textId="77777777" w:rsidR="00DF410E" w:rsidRDefault="00CE7F43">
      <w:pPr>
        <w:pStyle w:val="Author-eListParagraph"/>
        <w:numPr>
          <w:ilvl w:val="1"/>
          <w:numId w:val="734"/>
        </w:numPr>
      </w:pPr>
      <w:r>
        <w:rPr>
          <w:rStyle w:val="soitChar"/>
        </w:rPr>
        <w:t xml:space="preserve">Listels : </w:t>
      </w:r>
      <w:r>
        <w:rPr>
          <w:rStyle w:val="optioncarChar"/>
        </w:rPr>
        <w:t xml:space="preserve">non </w:t>
      </w:r>
      <w:r>
        <w:t>(par défaut)</w:t>
      </w:r>
      <w:r>
        <w:rPr>
          <w:rStyle w:val="optioncarChar"/>
        </w:rPr>
        <w:t xml:space="preserve"> / carré / quart-de-rond / ***</w:t>
      </w:r>
      <w:r>
        <w:rPr>
          <w:rStyle w:val="soitChar"/>
        </w:rPr>
        <w:t>.</w:t>
      </w:r>
    </w:p>
    <w:p w14:paraId="5E5A7106" w14:textId="77777777" w:rsidR="00DF410E" w:rsidRDefault="00CE7F43">
      <w:pPr>
        <w:ind w:left="1134"/>
        <w:jc w:val="both"/>
      </w:pPr>
      <w:r>
        <w:rPr>
          <w:b/>
          <w:i/>
        </w:rPr>
        <w:t>(Soit)</w:t>
      </w:r>
    </w:p>
    <w:p w14:paraId="4EAED8B5" w14:textId="77777777" w:rsidR="00DF410E" w:rsidRDefault="00CE7F43">
      <w:pPr>
        <w:ind w:left="1134"/>
        <w:jc w:val="both"/>
      </w:pPr>
      <w:r>
        <w:rPr>
          <w:rStyle w:val="soitChar"/>
          <w:u w:val="single"/>
        </w:rPr>
        <w:t>Non</w:t>
      </w:r>
    </w:p>
    <w:p w14:paraId="24BC7651" w14:textId="77777777" w:rsidR="00DF410E" w:rsidRDefault="00CE7F43">
      <w:pPr>
        <w:ind w:left="1134"/>
        <w:jc w:val="both"/>
      </w:pPr>
      <w:r>
        <w:rPr>
          <w:rStyle w:val="soitChar"/>
        </w:rPr>
        <w:t>Pas de contremarche.</w:t>
      </w:r>
    </w:p>
    <w:p w14:paraId="6D13BDBE" w14:textId="77777777" w:rsidR="00DF410E" w:rsidRDefault="00CE7F43">
      <w:pPr>
        <w:pStyle w:val="Author-eListParagraph"/>
        <w:numPr>
          <w:ilvl w:val="0"/>
          <w:numId w:val="735"/>
        </w:numPr>
      </w:pPr>
      <w:r>
        <w:t xml:space="preserve">Indicateurs visuels :  </w:t>
      </w:r>
      <w:r>
        <w:rPr>
          <w:rStyle w:val="optioncarChar"/>
        </w:rPr>
        <w:t xml:space="preserve">oui </w:t>
      </w:r>
      <w:r>
        <w:t>(par défaut)</w:t>
      </w:r>
      <w:r>
        <w:rPr>
          <w:rStyle w:val="optioncarChar"/>
        </w:rPr>
        <w:t xml:space="preserve"> / non.</w:t>
      </w:r>
    </w:p>
    <w:p w14:paraId="29630455" w14:textId="77777777" w:rsidR="00DF410E" w:rsidRDefault="00CE7F43">
      <w:pPr>
        <w:ind w:left="1134"/>
        <w:jc w:val="both"/>
      </w:pPr>
      <w:r>
        <w:rPr>
          <w:b/>
          <w:i/>
        </w:rPr>
        <w:t>(Soit par défaut)</w:t>
      </w:r>
    </w:p>
    <w:p w14:paraId="56A9F058" w14:textId="77777777" w:rsidR="00DF410E" w:rsidRDefault="00CE7F43">
      <w:pPr>
        <w:ind w:left="1134"/>
        <w:jc w:val="both"/>
      </w:pPr>
      <w:r>
        <w:rPr>
          <w:rStyle w:val="soitChar"/>
          <w:u w:val="single"/>
        </w:rPr>
        <w:t>Oui</w:t>
      </w:r>
    </w:p>
    <w:p w14:paraId="5076340A" w14:textId="77777777" w:rsidR="00DF410E" w:rsidRDefault="00CE7F43">
      <w:pPr>
        <w:pStyle w:val="Author-eListParagraph"/>
        <w:numPr>
          <w:ilvl w:val="0"/>
          <w:numId w:val="736"/>
        </w:numPr>
      </w:pPr>
      <w:r>
        <w:rPr>
          <w:rStyle w:val="soitChar"/>
        </w:rPr>
        <w:t>Localisation :</w:t>
      </w:r>
      <w:r>
        <w:rPr>
          <w:rStyle w:val="optioncarChar"/>
        </w:rPr>
        <w:t xml:space="preserve"> sur chaque marche (PMR)</w:t>
      </w:r>
      <w:r>
        <w:t xml:space="preserve"> (par défaut)</w:t>
      </w:r>
      <w:r>
        <w:rPr>
          <w:rStyle w:val="optioncarChar"/>
        </w:rPr>
        <w:t xml:space="preserve"> / sur la première et la dernière marche de chaque volée (PMR) / ***.</w:t>
      </w:r>
    </w:p>
    <w:p w14:paraId="61B735D4" w14:textId="77777777" w:rsidR="00DF410E" w:rsidRDefault="00CE7F43">
      <w:pPr>
        <w:pStyle w:val="Author-eListParagraph"/>
        <w:numPr>
          <w:ilvl w:val="0"/>
          <w:numId w:val="736"/>
        </w:numPr>
      </w:pPr>
      <w:r>
        <w:rPr>
          <w:rStyle w:val="soitChar"/>
        </w:rPr>
        <w:t xml:space="preserve">Largeur : </w:t>
      </w:r>
      <w:r>
        <w:rPr>
          <w:rStyle w:val="optioncarChar"/>
        </w:rPr>
        <w:t xml:space="preserve">continus sur toute la largeur des marches (PMR) </w:t>
      </w:r>
      <w:r>
        <w:t>(par défaut)</w:t>
      </w:r>
      <w:r>
        <w:rPr>
          <w:rStyle w:val="optioncarChar"/>
        </w:rPr>
        <w:t xml:space="preserve"> / ***.</w:t>
      </w:r>
    </w:p>
    <w:p w14:paraId="4C98E9D2" w14:textId="77777777" w:rsidR="00DF410E" w:rsidRDefault="00CE7F43">
      <w:pPr>
        <w:pStyle w:val="Author-eListParagraph"/>
        <w:numPr>
          <w:ilvl w:val="0"/>
          <w:numId w:val="736"/>
        </w:numPr>
      </w:pPr>
      <w:r>
        <w:rPr>
          <w:rStyle w:val="soitChar"/>
        </w:rPr>
        <w:t xml:space="preserve">Revêtement : </w:t>
      </w:r>
      <w:r>
        <w:rPr>
          <w:rStyle w:val="optioncarChar"/>
        </w:rPr>
        <w:t xml:space="preserve">antidérapant (PMR) </w:t>
      </w:r>
      <w:r>
        <w:t>(par défaut)</w:t>
      </w:r>
      <w:r>
        <w:rPr>
          <w:rStyle w:val="optioncarChar"/>
        </w:rPr>
        <w:t xml:space="preserve"> / ***.</w:t>
      </w:r>
    </w:p>
    <w:p w14:paraId="214EF508" w14:textId="77777777" w:rsidR="00DF410E" w:rsidRDefault="00CE7F43">
      <w:pPr>
        <w:pStyle w:val="Author-eListParagraph"/>
        <w:numPr>
          <w:ilvl w:val="0"/>
          <w:numId w:val="736"/>
        </w:numPr>
      </w:pPr>
      <w:r>
        <w:rPr>
          <w:rStyle w:val="soitChar"/>
        </w:rPr>
        <w:t xml:space="preserve">Profondeur : </w:t>
      </w:r>
      <w:r>
        <w:rPr>
          <w:rStyle w:val="optioncarChar"/>
        </w:rPr>
        <w:t>minimum 4 (PMR)</w:t>
      </w:r>
      <w:r>
        <w:t xml:space="preserve"> (par défaut) </w:t>
      </w:r>
      <w:r>
        <w:rPr>
          <w:rStyle w:val="optioncarChar"/>
        </w:rPr>
        <w:t>/ ***</w:t>
      </w:r>
      <w:r>
        <w:rPr>
          <w:rStyle w:val="soitChar"/>
        </w:rPr>
        <w:t> cm.</w:t>
      </w:r>
    </w:p>
    <w:p w14:paraId="6D1B0247" w14:textId="77777777" w:rsidR="00DF410E" w:rsidRDefault="00CE7F43">
      <w:pPr>
        <w:pStyle w:val="Author-eListParagraph"/>
        <w:numPr>
          <w:ilvl w:val="0"/>
          <w:numId w:val="736"/>
        </w:numPr>
      </w:pPr>
      <w:r>
        <w:rPr>
          <w:rStyle w:val="soitChar"/>
        </w:rPr>
        <w:t xml:space="preserve">Contraste : différence de LRV par rapport aux marches de minimum </w:t>
      </w:r>
      <w:r>
        <w:rPr>
          <w:rStyle w:val="optioncarChar"/>
        </w:rPr>
        <w:t>60 (PMR)</w:t>
      </w:r>
      <w:r>
        <w:t xml:space="preserve"> (par défaut)</w:t>
      </w:r>
      <w:r>
        <w:rPr>
          <w:rStyle w:val="optioncarChar"/>
        </w:rPr>
        <w:t xml:space="preserve"> / ***</w:t>
      </w:r>
      <w:r>
        <w:rPr>
          <w:rStyle w:val="soitChar"/>
        </w:rPr>
        <w:t xml:space="preserve"> %.</w:t>
      </w:r>
    </w:p>
    <w:p w14:paraId="40335DD9" w14:textId="77777777" w:rsidR="00DF410E" w:rsidRDefault="00CE7F43">
      <w:pPr>
        <w:ind w:left="1134"/>
        <w:jc w:val="both"/>
      </w:pPr>
      <w:r>
        <w:rPr>
          <w:b/>
          <w:i/>
        </w:rPr>
        <w:t>(Soit)</w:t>
      </w:r>
    </w:p>
    <w:p w14:paraId="0DA411A5" w14:textId="77777777" w:rsidR="00DF410E" w:rsidRDefault="00CE7F43">
      <w:pPr>
        <w:ind w:left="1134"/>
        <w:jc w:val="both"/>
      </w:pPr>
      <w:r>
        <w:rPr>
          <w:rStyle w:val="soitChar"/>
          <w:u w:val="single"/>
        </w:rPr>
        <w:t>Non</w:t>
      </w:r>
    </w:p>
    <w:p w14:paraId="6A45A92D" w14:textId="77777777" w:rsidR="00DF410E" w:rsidRDefault="00CE7F43">
      <w:pPr>
        <w:ind w:left="1134"/>
        <w:jc w:val="both"/>
      </w:pPr>
      <w:r>
        <w:rPr>
          <w:rStyle w:val="soitChar"/>
        </w:rPr>
        <w:t>Pas d’indicateurs visuels.</w:t>
      </w:r>
    </w:p>
    <w:p w14:paraId="0D781312" w14:textId="77777777" w:rsidR="00DF410E" w:rsidRDefault="00CE7F43">
      <w:pPr>
        <w:jc w:val="both"/>
      </w:pPr>
      <w:r>
        <w:rPr>
          <w:i/>
        </w:rPr>
        <w:t>Palier</w:t>
      </w:r>
    </w:p>
    <w:p w14:paraId="52804658" w14:textId="77777777" w:rsidR="00DF410E" w:rsidRDefault="00CE7F43">
      <w:pPr>
        <w:pStyle w:val="Author-eListParagraph"/>
        <w:numPr>
          <w:ilvl w:val="0"/>
          <w:numId w:val="737"/>
        </w:numPr>
      </w:pPr>
      <w:r>
        <w:t xml:space="preserve">Présence d’un palier : </w:t>
      </w:r>
      <w:r>
        <w:rPr>
          <w:rStyle w:val="optioncarChar"/>
        </w:rPr>
        <w:t>oui / non</w:t>
      </w:r>
      <w:r>
        <w:t xml:space="preserve"> (par défaut).</w:t>
      </w:r>
    </w:p>
    <w:p w14:paraId="1E178FA3" w14:textId="77777777" w:rsidR="00DF410E" w:rsidRDefault="00CE7F43">
      <w:pPr>
        <w:pStyle w:val="Author-eListParagraph"/>
        <w:numPr>
          <w:ilvl w:val="0"/>
          <w:numId w:val="737"/>
        </w:numPr>
      </w:pPr>
      <w:r>
        <w:t>Longueur : minimum</w:t>
      </w:r>
      <w:r>
        <w:rPr>
          <w:rStyle w:val="optioncarChar"/>
        </w:rPr>
        <w:t xml:space="preserve"> 2 hauteurs + 2 girons (2H+2G) </w:t>
      </w:r>
      <w:r>
        <w:t>(par défaut)</w:t>
      </w:r>
      <w:r>
        <w:rPr>
          <w:rStyle w:val="optioncarChar"/>
        </w:rPr>
        <w:t xml:space="preserve"> / ***</w:t>
      </w:r>
      <w:r>
        <w:t>.</w:t>
      </w:r>
    </w:p>
    <w:p w14:paraId="08EE28C0" w14:textId="77777777" w:rsidR="00DF410E" w:rsidRDefault="00CE7F43">
      <w:pPr>
        <w:jc w:val="both"/>
      </w:pPr>
      <w:r>
        <w:rPr>
          <w:i/>
        </w:rPr>
        <w:t>Rampe – main-courante</w:t>
      </w:r>
    </w:p>
    <w:p w14:paraId="339DFAA2" w14:textId="77777777" w:rsidR="00DF410E" w:rsidRDefault="00CE7F43">
      <w:pPr>
        <w:pStyle w:val="Author-eListParagraph"/>
        <w:numPr>
          <w:ilvl w:val="0"/>
          <w:numId w:val="738"/>
        </w:numPr>
      </w:pPr>
      <w:r>
        <w:t xml:space="preserve">Les rampes sont solidement boulonnées : </w:t>
      </w:r>
      <w:r>
        <w:rPr>
          <w:rStyle w:val="optioncarChar"/>
        </w:rPr>
        <w:t xml:space="preserve">aux limons périphériques </w:t>
      </w:r>
      <w:r>
        <w:t>(par défaut)</w:t>
      </w:r>
      <w:r>
        <w:rPr>
          <w:rStyle w:val="optioncarChar"/>
        </w:rPr>
        <w:t xml:space="preserve"> / aux marches.</w:t>
      </w:r>
    </w:p>
    <w:p w14:paraId="4EA4EB1F" w14:textId="77777777" w:rsidR="00DF410E" w:rsidRDefault="00CE7F43">
      <w:pPr>
        <w:pStyle w:val="Author-eListParagraph"/>
        <w:numPr>
          <w:ilvl w:val="0"/>
          <w:numId w:val="738"/>
        </w:numPr>
      </w:pPr>
      <w:r>
        <w:t xml:space="preserve">Les mains courantes sont solidement fixées: </w:t>
      </w:r>
      <w:r>
        <w:rPr>
          <w:rStyle w:val="optioncarChar"/>
        </w:rPr>
        <w:t>par ancrage chimique dans les parois</w:t>
      </w:r>
      <w:r>
        <w:t xml:space="preserve"> (par défaut) </w:t>
      </w:r>
      <w:r>
        <w:rPr>
          <w:rStyle w:val="optioncarChar"/>
        </w:rPr>
        <w:t>pas d’application.</w:t>
      </w:r>
    </w:p>
    <w:p w14:paraId="27DCEF09" w14:textId="77777777" w:rsidR="00DF410E" w:rsidRDefault="00CE7F43">
      <w:pPr>
        <w:pStyle w:val="pheading"/>
      </w:pPr>
      <w:r>
        <w:t>- Notes d’exécution complémentaires</w:t>
      </w:r>
    </w:p>
    <w:p w14:paraId="61CAFFE3" w14:textId="77777777" w:rsidR="00DF410E" w:rsidRDefault="00CE7F43">
      <w:pPr>
        <w:jc w:val="both"/>
      </w:pPr>
      <w:r>
        <w:rPr>
          <w:rStyle w:val="facultChar"/>
        </w:rPr>
        <w:t>Le présent article comprend également :</w:t>
      </w:r>
      <w:r>
        <w:rPr>
          <w:rStyle w:val="optioncarChar"/>
        </w:rPr>
        <w:t xml:space="preserve"> les recommandations PMR / les coupures thermiques</w:t>
      </w:r>
      <w:r>
        <w:rPr>
          <w:rStyle w:val="facultChar"/>
        </w:rPr>
        <w:t>.</w:t>
      </w:r>
    </w:p>
    <w:p w14:paraId="43C79C94" w14:textId="77777777" w:rsidR="00DF410E" w:rsidRDefault="00CE7F43">
      <w:pPr>
        <w:pStyle w:val="Author-eListParagraph"/>
        <w:numPr>
          <w:ilvl w:val="0"/>
          <w:numId w:val="739"/>
        </w:numPr>
      </w:pPr>
      <w:r>
        <w:rPr>
          <w:rStyle w:val="facultChar"/>
          <w:u w:val="single"/>
        </w:rPr>
        <w:t>Respect PMR</w:t>
      </w:r>
      <w:r>
        <w:br/>
      </w:r>
      <w:r>
        <w:rPr>
          <w:rStyle w:val="facultChar"/>
        </w:rPr>
        <w:t xml:space="preserve">Les recommandations pour les personnes à mobilité réduite (PMR) du sous-titre </w:t>
      </w:r>
      <w:hyperlink w:anchor="556" w:history="1">
        <w:r>
          <w:rPr>
            <w:rStyle w:val="facultChar"/>
          </w:rPr>
          <w:t>23.31 Escaliers métalliques</w:t>
        </w:r>
      </w:hyperlink>
      <w:r>
        <w:rPr>
          <w:rStyle w:val="facultChar"/>
        </w:rPr>
        <w:t xml:space="preserve"> doivent être respectées.</w:t>
      </w:r>
    </w:p>
    <w:p w14:paraId="5BCEAFEF" w14:textId="77777777" w:rsidR="00DF410E" w:rsidRDefault="00CE7F43">
      <w:pPr>
        <w:pStyle w:val="Author-eListParagraph"/>
        <w:numPr>
          <w:ilvl w:val="0"/>
          <w:numId w:val="740"/>
        </w:numPr>
      </w:pPr>
      <w:r>
        <w:rPr>
          <w:rStyle w:val="facultChar"/>
          <w:u w:val="single"/>
        </w:rPr>
        <w:t>Coupures thermiques</w:t>
      </w:r>
      <w:r>
        <w:br/>
      </w:r>
      <w:r>
        <w:rPr>
          <w:rStyle w:val="facultChar"/>
        </w:rPr>
        <w:t>Des dispositifs adéquats sont utilisés pour éviter tout pont thermique.</w:t>
      </w:r>
    </w:p>
    <w:p w14:paraId="23403952" w14:textId="77777777" w:rsidR="00DF410E" w:rsidRDefault="00CE7F43">
      <w:pPr>
        <w:pStyle w:val="pheading"/>
      </w:pPr>
      <w:r>
        <w:t>DOCUMENTS DE RÉFÉRENCE COMPLÉMENTAIRES</w:t>
      </w:r>
    </w:p>
    <w:p w14:paraId="71E3BBEE" w14:textId="77777777" w:rsidR="00DF410E" w:rsidRDefault="00CE7F43">
      <w:pPr>
        <w:pStyle w:val="pheading"/>
      </w:pPr>
      <w:r>
        <w:t>- Matériau</w:t>
      </w:r>
    </w:p>
    <w:p w14:paraId="48AD7BB1" w14:textId="77777777" w:rsidR="00DF410E" w:rsidRDefault="00CE7F43">
      <w:r>
        <w:t>[AM 2013-05-17, Arrêté ministériel relatif à l’utilisation des Eurocodes comme méthodes de calcul pour l’évaluation de la résistance au feu d’éléments de construction]</w:t>
      </w:r>
    </w:p>
    <w:p w14:paraId="426F143C"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A6820F5" w14:textId="77777777" w:rsidR="00DF410E" w:rsidRDefault="00CE7F43">
      <w:r>
        <w:t>[NBN EN 1991-1-1, Eurocode 1: Actions sur les structures - Partie 1-1: Actions générales - Poids volumiques, poids propres, charges d'exploitation bâtiments (+ AC:2009)]</w:t>
      </w:r>
    </w:p>
    <w:p w14:paraId="47C524B4" w14:textId="77777777" w:rsidR="00DF410E" w:rsidRDefault="00CE7F43">
      <w:r>
        <w:t>[NBN EN 10025 série, Produits laminés à chaud en aciers de construction]</w:t>
      </w:r>
    </w:p>
    <w:p w14:paraId="711DF517" w14:textId="77777777" w:rsidR="00DF410E" w:rsidRDefault="00CE7F43">
      <w:pPr>
        <w:pStyle w:val="pheading"/>
      </w:pPr>
      <w:r>
        <w:t>MESURAGE</w:t>
      </w:r>
    </w:p>
    <w:p w14:paraId="25505C2F" w14:textId="77777777" w:rsidR="00DF410E" w:rsidRDefault="00CE7F43">
      <w:pPr>
        <w:pStyle w:val="pheading"/>
      </w:pPr>
      <w:r>
        <w:t>- unité de mesure:</w:t>
      </w:r>
    </w:p>
    <w:p w14:paraId="16ED2F0C" w14:textId="77777777" w:rsidR="00DF410E" w:rsidRDefault="00CE7F43">
      <w:r>
        <w:rPr>
          <w:rStyle w:val="optioncarChar"/>
        </w:rPr>
        <w:t xml:space="preserve">pc </w:t>
      </w:r>
      <w:r>
        <w:t>(par défaut)</w:t>
      </w:r>
      <w:r>
        <w:rPr>
          <w:rStyle w:val="optioncarChar"/>
        </w:rPr>
        <w:t xml:space="preserve"> / m</w:t>
      </w:r>
    </w:p>
    <w:p w14:paraId="2432AD23" w14:textId="77777777" w:rsidR="00DF410E" w:rsidRDefault="00CE7F43">
      <w:r>
        <w:rPr>
          <w:b/>
          <w:i/>
        </w:rPr>
        <w:t>(Soit par défaut)</w:t>
      </w:r>
      <w:r>
        <w:br/>
      </w:r>
      <w:r>
        <w:br/>
      </w:r>
      <w:r>
        <w:rPr>
          <w:rStyle w:val="soitChar"/>
        </w:rPr>
        <w:t>1. pc</w:t>
      </w:r>
    </w:p>
    <w:p w14:paraId="4728E005" w14:textId="77777777" w:rsidR="00DF410E" w:rsidRDefault="00CE7F43">
      <w:r>
        <w:rPr>
          <w:b/>
          <w:i/>
        </w:rPr>
        <w:t>(Soit)</w:t>
      </w:r>
      <w:r>
        <w:br/>
      </w:r>
      <w:r>
        <w:br/>
      </w:r>
      <w:r>
        <w:rPr>
          <w:rStyle w:val="soitChar"/>
        </w:rPr>
        <w:t>2. m</w:t>
      </w:r>
    </w:p>
    <w:p w14:paraId="06270486" w14:textId="77777777" w:rsidR="00DF410E" w:rsidRDefault="00CE7F43">
      <w:pPr>
        <w:pStyle w:val="pheading"/>
      </w:pPr>
      <w:r>
        <w:t>- code de mesurage:</w:t>
      </w:r>
    </w:p>
    <w:p w14:paraId="21E540F4" w14:textId="77777777" w:rsidR="00DF410E" w:rsidRDefault="00CE7F43">
      <w:pPr>
        <w:jc w:val="both"/>
      </w:pPr>
      <w:r>
        <w:rPr>
          <w:rStyle w:val="optioncarChar"/>
        </w:rPr>
        <w:t xml:space="preserve">quantité nette </w:t>
      </w:r>
      <w:r>
        <w:t xml:space="preserve">(par défaut) </w:t>
      </w:r>
      <w:r>
        <w:rPr>
          <w:rStyle w:val="optioncarChar"/>
        </w:rPr>
        <w:t>/ longueur nette</w:t>
      </w:r>
    </w:p>
    <w:p w14:paraId="72F993EC" w14:textId="77777777" w:rsidR="00DF410E" w:rsidRDefault="00CE7F43">
      <w:pPr>
        <w:jc w:val="both"/>
      </w:pPr>
      <w:r>
        <w:rPr>
          <w:b/>
          <w:i/>
        </w:rPr>
        <w:t>(Soit par défaut)</w:t>
      </w:r>
    </w:p>
    <w:p w14:paraId="6BACC948" w14:textId="77777777" w:rsidR="00DF410E" w:rsidRDefault="00CE7F43">
      <w:pPr>
        <w:jc w:val="both"/>
      </w:pPr>
      <w:r>
        <w:rPr>
          <w:rStyle w:val="soitChar"/>
          <w:u w:val="single"/>
        </w:rPr>
        <w:t>1. quantité nette</w:t>
      </w:r>
      <w:r>
        <w:rPr>
          <w:rStyle w:val="soitChar"/>
        </w:rPr>
        <w:t xml:space="preserve"> à mettre en œuvre, ventilée selon la nature des éléments constitutifs et des dimensions.</w:t>
      </w:r>
    </w:p>
    <w:p w14:paraId="5EB2B56F" w14:textId="77777777" w:rsidR="00DF410E" w:rsidRDefault="00CE7F43">
      <w:pPr>
        <w:jc w:val="both"/>
      </w:pPr>
      <w:r>
        <w:rPr>
          <w:b/>
          <w:i/>
        </w:rPr>
        <w:t>(Soit)</w:t>
      </w:r>
    </w:p>
    <w:p w14:paraId="08E73AEB" w14:textId="77777777" w:rsidR="00DF410E" w:rsidRDefault="00CE7F43">
      <w:pPr>
        <w:jc w:val="both"/>
      </w:pPr>
      <w:r>
        <w:rPr>
          <w:rStyle w:val="soitChar"/>
          <w:u w:val="single"/>
        </w:rPr>
        <w:t>2. longueur nette</w:t>
      </w:r>
      <w:r>
        <w:rPr>
          <w:rStyle w:val="soitChar"/>
        </w:rPr>
        <w:t xml:space="preserve"> à mettre en œuvre calculée sur la ligne de foulée, ventilée selon la nature des éléments constitutifs.</w:t>
      </w:r>
    </w:p>
    <w:p w14:paraId="29CC09D0" w14:textId="77777777" w:rsidR="00DF410E" w:rsidRDefault="00CE7F43">
      <w:pPr>
        <w:pStyle w:val="pheading"/>
      </w:pPr>
      <w:r>
        <w:t>- nature du marché:</w:t>
      </w:r>
    </w:p>
    <w:p w14:paraId="13A12C22" w14:textId="77777777" w:rsidR="00DF410E" w:rsidRDefault="00CE7F43">
      <w:r>
        <w:t>QF</w:t>
      </w:r>
    </w:p>
    <w:p w14:paraId="2926D757" w14:textId="77777777" w:rsidR="00DF410E" w:rsidRDefault="00CE7F43">
      <w:pPr>
        <w:pStyle w:val="Author-eSectionHeading5"/>
      </w:pPr>
      <w:bookmarkStart w:id="1395" w:name="_Toc178838507"/>
      <w:r>
        <w:t>23.31.2 Escaliers en acier inoxydable CCTB 01.04</w:t>
      </w:r>
      <w:bookmarkEnd w:id="1395"/>
    </w:p>
    <w:p w14:paraId="521FE6EB" w14:textId="77777777" w:rsidR="00DF410E" w:rsidRDefault="00CE7F43">
      <w:pPr>
        <w:pStyle w:val="Author-eSectionHeading6"/>
      </w:pPr>
      <w:bookmarkStart w:id="1396" w:name="_Toc178838508"/>
      <w:r>
        <w:t>23.31.2a Escaliers en acier inoxydable CCTB 01.04</w:t>
      </w:r>
      <w:bookmarkEnd w:id="1396"/>
    </w:p>
    <w:p w14:paraId="2CEA95B2" w14:textId="77777777" w:rsidR="00DF410E" w:rsidRDefault="00CE7F43">
      <w:pPr>
        <w:pStyle w:val="Author-eSectionHeading5"/>
      </w:pPr>
      <w:bookmarkStart w:id="1397" w:name="_Toc178838509"/>
      <w:r>
        <w:t>23.31.3 Escaliers en aluminium CCTB 01.04</w:t>
      </w:r>
      <w:bookmarkEnd w:id="1397"/>
    </w:p>
    <w:p w14:paraId="3E7D9CB7" w14:textId="77777777" w:rsidR="00DF410E" w:rsidRDefault="00CE7F43">
      <w:pPr>
        <w:pStyle w:val="Author-eSectionHeading6"/>
      </w:pPr>
      <w:bookmarkStart w:id="1398" w:name="_Toc178838510"/>
      <w:r>
        <w:t>23.31.3a Escaliers en aluminium CCTB 01.04</w:t>
      </w:r>
      <w:bookmarkEnd w:id="1398"/>
    </w:p>
    <w:p w14:paraId="73F1E428" w14:textId="77777777" w:rsidR="00DF410E" w:rsidRDefault="00CE7F43">
      <w:pPr>
        <w:pStyle w:val="Author-eSectionHeading4"/>
      </w:pPr>
      <w:bookmarkStart w:id="1399" w:name="_Toc178838511"/>
      <w:r>
        <w:t>23.32 Garde-corps et rampes métalliques CCTB 01.11</w:t>
      </w:r>
      <w:bookmarkEnd w:id="1399"/>
    </w:p>
    <w:p w14:paraId="21CABDE8" w14:textId="77777777" w:rsidR="00DF410E" w:rsidRDefault="00CE7F43">
      <w:pPr>
        <w:pStyle w:val="pheading"/>
      </w:pPr>
      <w:bookmarkStart w:id="1400" w:name="189"/>
      <w:bookmarkEnd w:id="1400"/>
      <w:r>
        <w:t>DESCRIPTION</w:t>
      </w:r>
    </w:p>
    <w:p w14:paraId="79E42BFE" w14:textId="77777777" w:rsidR="00DF410E" w:rsidRDefault="00CE7F43">
      <w:pPr>
        <w:pStyle w:val="pheading"/>
      </w:pPr>
      <w:r>
        <w:t>- Définition / Comprend</w:t>
      </w:r>
    </w:p>
    <w:p w14:paraId="4178B0C0" w14:textId="77777777" w:rsidR="00DF410E" w:rsidRDefault="00CE7F43">
      <w:pPr>
        <w:jc w:val="both"/>
      </w:pPr>
      <w:r>
        <w:t>Il s'agit des garde-corps à prévoir autour des trémies d'escaliers, des vides, galeries, etc., y compris la structure portante, les éventuels éléments de remplissage, les moyens de fixation, etc.</w:t>
      </w:r>
    </w:p>
    <w:p w14:paraId="4E218ACB" w14:textId="77777777" w:rsidR="00DF410E" w:rsidRDefault="00CE7F43">
      <w:pPr>
        <w:jc w:val="both"/>
      </w:pPr>
      <w:r>
        <w:t>Ce poste comprend notamment :</w:t>
      </w:r>
    </w:p>
    <w:p w14:paraId="77D66DCD" w14:textId="77777777" w:rsidR="00DF410E" w:rsidRDefault="00CE7F43">
      <w:pPr>
        <w:pStyle w:val="Author-eListParagraph"/>
        <w:numPr>
          <w:ilvl w:val="0"/>
          <w:numId w:val="741"/>
        </w:numPr>
      </w:pPr>
      <w:r>
        <w:t>le relevé sur place des dimensions exactes ;</w:t>
      </w:r>
    </w:p>
    <w:p w14:paraId="783F4C6D" w14:textId="77777777" w:rsidR="00DF410E" w:rsidRDefault="00CE7F43">
      <w:pPr>
        <w:pStyle w:val="Author-eListParagraph"/>
        <w:numPr>
          <w:ilvl w:val="0"/>
          <w:numId w:val="741"/>
        </w:numPr>
      </w:pPr>
      <w:r>
        <w:t>le contrôle et la préparation des supports ;</w:t>
      </w:r>
    </w:p>
    <w:p w14:paraId="2F63F4A6" w14:textId="77777777" w:rsidR="00DF410E" w:rsidRDefault="00CE7F43">
      <w:pPr>
        <w:pStyle w:val="Author-eListParagraph"/>
        <w:numPr>
          <w:ilvl w:val="0"/>
          <w:numId w:val="741"/>
        </w:numPr>
      </w:pPr>
      <w:r>
        <w:t>la fabrication sur mesure, le transport et la mise en œuvre des éléments, y compris tous les moyens de fixation ou de pose ;</w:t>
      </w:r>
    </w:p>
    <w:p w14:paraId="28AD524F" w14:textId="77777777" w:rsidR="00DF410E" w:rsidRDefault="00CE7F43">
      <w:pPr>
        <w:pStyle w:val="Author-eListParagraph"/>
        <w:numPr>
          <w:ilvl w:val="0"/>
          <w:numId w:val="741"/>
        </w:numPr>
      </w:pPr>
      <w:r>
        <w:t>l'exécution des assemblages et des éventuelles jonctions avec la structure de construction ;</w:t>
      </w:r>
    </w:p>
    <w:p w14:paraId="1C3B578D" w14:textId="77777777" w:rsidR="00DF410E" w:rsidRDefault="00CE7F43">
      <w:pPr>
        <w:pStyle w:val="Author-eListParagraph"/>
        <w:numPr>
          <w:ilvl w:val="0"/>
          <w:numId w:val="741"/>
        </w:numPr>
      </w:pPr>
      <w:r>
        <w:t>la finition des bords, les raccordements avec les finitions de mur et de sol attenantes ;</w:t>
      </w:r>
    </w:p>
    <w:p w14:paraId="2B9A6E34" w14:textId="77777777" w:rsidR="00DF410E" w:rsidRDefault="00CE7F43">
      <w:pPr>
        <w:pStyle w:val="Author-eListParagraph"/>
        <w:numPr>
          <w:ilvl w:val="0"/>
          <w:numId w:val="741"/>
        </w:numPr>
      </w:pPr>
      <w:r>
        <w:t>le nettoyage des éléments, y compris l'enlèvement des taches de mortier ou de colle ;</w:t>
      </w:r>
    </w:p>
    <w:p w14:paraId="5E827A49" w14:textId="77777777" w:rsidR="00DF410E" w:rsidRDefault="00CE7F43">
      <w:pPr>
        <w:pStyle w:val="Author-eListParagraph"/>
        <w:numPr>
          <w:ilvl w:val="0"/>
          <w:numId w:val="741"/>
        </w:numPr>
      </w:pPr>
      <w:r>
        <w:t>les mesures nécessaires, après la mise en œuvre, en vue de la protection de l'escalier contre toute dégradation et salissement pendant toute la durée des travaux ;</w:t>
      </w:r>
    </w:p>
    <w:p w14:paraId="4E9A219A" w14:textId="77777777" w:rsidR="00DF410E" w:rsidRDefault="00CE7F43">
      <w:pPr>
        <w:pStyle w:val="Author-eListParagraph"/>
        <w:numPr>
          <w:ilvl w:val="0"/>
          <w:numId w:val="741"/>
        </w:numPr>
      </w:pPr>
      <w:r>
        <w:t>l’enlèvement des protections pour la réception provisoire ;</w:t>
      </w:r>
    </w:p>
    <w:p w14:paraId="0A07FE0B" w14:textId="77777777" w:rsidR="00DF410E" w:rsidRDefault="00CE7F43">
      <w:pPr>
        <w:pStyle w:val="Author-eListParagraph"/>
        <w:numPr>
          <w:ilvl w:val="0"/>
          <w:numId w:val="741"/>
        </w:numPr>
      </w:pPr>
      <w:r>
        <w:t>l’évacuation des déchets et le nettoyage du chantier.</w:t>
      </w:r>
    </w:p>
    <w:p w14:paraId="6FA9B174" w14:textId="77777777" w:rsidR="00DF410E" w:rsidRDefault="00CE7F43">
      <w:pPr>
        <w:jc w:val="both"/>
      </w:pPr>
      <w:r>
        <w:rPr>
          <w:b/>
        </w:rPr>
        <w:t>Composants – Terminologie</w:t>
      </w:r>
    </w:p>
    <w:p w14:paraId="5C099797" w14:textId="77777777" w:rsidR="00DF410E" w:rsidRDefault="00CE7F43">
      <w:pPr>
        <w:jc w:val="both"/>
      </w:pPr>
      <w:r>
        <w:t>Le garde-corps est un élément de construction destiné à assurer la protection contre le risque de chute fortuite dans le vide des personnes circulant ou stationnant à proximité de ce vide.</w:t>
      </w:r>
    </w:p>
    <w:p w14:paraId="77095DC9" w14:textId="77777777" w:rsidR="00DF410E" w:rsidRDefault="00CE7F43">
      <w:pPr>
        <w:jc w:val="both"/>
      </w:pPr>
      <w:r>
        <w:t>Il se compose d'une main-courante, reliée au support à l'aide de montants (appelés balustres) disposés avec un écartement régulier (ils peuvent éventuellement être remplacés par des panneaux). </w:t>
      </w:r>
    </w:p>
    <w:p w14:paraId="3D5FD15F" w14:textId="77777777" w:rsidR="00DF410E" w:rsidRDefault="00CE7F43">
      <w:pPr>
        <w:jc w:val="both"/>
      </w:pPr>
      <w:r>
        <w:t>Les garde-corps doivent être conformes aux prescriptions de la norme [NBN B 03-004].  </w:t>
      </w:r>
    </w:p>
    <w:p w14:paraId="1FEFEBFA" w14:textId="77777777" w:rsidR="00DF410E" w:rsidRDefault="00CE7F43">
      <w:pPr>
        <w:jc w:val="both"/>
      </w:pPr>
      <w:r>
        <w:t>Dans la suite de ce sous-titre, le terme « garde-corps » utilisé englobe par défaut les garde-corps et les rampes d’escalier, sauf mention spécifique.</w:t>
      </w:r>
    </w:p>
    <w:p w14:paraId="523C8DB7" w14:textId="77777777" w:rsidR="00DF410E" w:rsidRDefault="00CE7F43">
      <w:pPr>
        <w:pStyle w:val="pheading"/>
      </w:pPr>
      <w:r>
        <w:t>MATÉRIAUX</w:t>
      </w:r>
    </w:p>
    <w:p w14:paraId="781592A6" w14:textId="77777777" w:rsidR="00DF410E" w:rsidRDefault="00CE7F43">
      <w:pPr>
        <w:jc w:val="both"/>
      </w:pPr>
      <w:r>
        <w:rPr>
          <w:b/>
        </w:rPr>
        <w:t>Matériaux</w:t>
      </w:r>
    </w:p>
    <w:p w14:paraId="6EA7DD18" w14:textId="77777777" w:rsidR="00DF410E" w:rsidRDefault="00CE7F43">
      <w:pPr>
        <w:jc w:val="both"/>
      </w:pPr>
      <w:r>
        <w:t>Les éléments principaux qui composent le garde-corps sont métalliques.</w:t>
      </w:r>
    </w:p>
    <w:p w14:paraId="38D9C60C" w14:textId="77777777" w:rsidR="00DF410E" w:rsidRDefault="00CE7F43">
      <w:pPr>
        <w:jc w:val="both"/>
      </w:pPr>
      <w:r>
        <w:rPr>
          <w:b/>
        </w:rPr>
        <w:t>Stabilité - sollicitations</w:t>
      </w:r>
    </w:p>
    <w:p w14:paraId="158F9C98" w14:textId="77777777" w:rsidR="00DF410E" w:rsidRDefault="00CE7F43">
      <w:pPr>
        <w:jc w:val="both"/>
      </w:pPr>
      <w:r>
        <w:t>La résistance des garde-corps et leurs fixations doivent être conformes aux prescriptions de la section 6 de la norme [NBN B 03-004].</w:t>
      </w:r>
    </w:p>
    <w:p w14:paraId="41772BB7" w14:textId="77777777" w:rsidR="00DF410E" w:rsidRDefault="00CE7F43">
      <w:pPr>
        <w:pStyle w:val="pheading"/>
      </w:pPr>
      <w:r>
        <w:t>EXÉCUTION / MISE EN ŒUVRE</w:t>
      </w:r>
    </w:p>
    <w:p w14:paraId="13D4E3AD" w14:textId="77777777" w:rsidR="00DF410E" w:rsidRDefault="00CE7F43">
      <w:pPr>
        <w:jc w:val="both"/>
      </w:pPr>
      <w:r>
        <w:rPr>
          <w:b/>
        </w:rPr>
        <w:t>Timing - Influence de l'environnement - Mesures de protection</w:t>
      </w:r>
    </w:p>
    <w:p w14:paraId="692F0F4E" w14:textId="77777777" w:rsidR="00DF410E" w:rsidRDefault="00CE7F43">
      <w:pPr>
        <w:jc w:val="both"/>
      </w:pPr>
      <w:r>
        <w:t>Les garde-corps ne peuvent être placés que lorsque l'auteur de projet et l'installateur de garde-corps estiment, en concertation mutuelle, que les conditions de mise en œuvre sont favorables. </w:t>
      </w:r>
    </w:p>
    <w:p w14:paraId="4D6B0AA9" w14:textId="77777777" w:rsidR="00DF410E" w:rsidRDefault="00CE7F43">
      <w:pPr>
        <w:jc w:val="both"/>
      </w:pPr>
      <w:r>
        <w:t>Les garde-corps ou les éléments qui le constituent sont autant que possible préfabriqués en atelier et acheminés en un seul lot sur le chantier. Lors du transport, les mesures nécessaires sont prises pour prévenir toute dégradation au bâtiment, aux escaliers et aux éléments proprement dits. Ils sont immédiatement entreposés dans un endroit protégé et aéré.</w:t>
      </w:r>
    </w:p>
    <w:p w14:paraId="1E84E1BE" w14:textId="77777777" w:rsidR="00DF410E" w:rsidRDefault="00CE7F43">
      <w:pPr>
        <w:jc w:val="both"/>
      </w:pPr>
      <w:r>
        <w:t>L'entrepreneur veille à ce que, après leur mise en œuvre, les garde-corps soient dûment protégés contre les dégradations et l'encrassement pendant la durée des travaux de construction.</w:t>
      </w:r>
    </w:p>
    <w:p w14:paraId="6AD50286" w14:textId="77777777" w:rsidR="00DF410E" w:rsidRDefault="00CE7F43">
      <w:pPr>
        <w:jc w:val="both"/>
      </w:pPr>
      <w:r>
        <w:rPr>
          <w:b/>
        </w:rPr>
        <w:t>Dessin d'étude et d'exécution</w:t>
      </w:r>
    </w:p>
    <w:p w14:paraId="08CEB9FB" w14:textId="77777777" w:rsidR="00DF410E" w:rsidRDefault="00CE7F43">
      <w:pPr>
        <w:jc w:val="both"/>
      </w:pPr>
      <w:r>
        <w:t>Les garde-corps sont exécutés conformément aux formes indiquées sur les plans et les coupes et selon les dessins de détail annexés au cahier spécial des charges.</w:t>
      </w:r>
    </w:p>
    <w:p w14:paraId="7DC189DA" w14:textId="77777777" w:rsidR="00DF410E" w:rsidRDefault="00CE7F43">
      <w:pPr>
        <w:jc w:val="both"/>
      </w:pPr>
      <w:r>
        <w:t>Lorsque le dossier d'adjudication ne contient pas de dessins de détail spécifiques, la forme des garde-corps et les dimensions de bases sont données à titre indicatif.</w:t>
      </w:r>
    </w:p>
    <w:p w14:paraId="04D26ED4" w14:textId="77777777" w:rsidR="00DF410E" w:rsidRDefault="00CE7F43">
      <w:pPr>
        <w:jc w:val="both"/>
      </w:pPr>
      <w:r>
        <w:t>L'entrepreneur est tenu de contrôler les dimensions sur place et de vérifier si les garde-corps ou les éléments peuvent être exécutés selon les plans soumis. Lorsque cela s'avère impossible, il en avertit l'auteur de projet le plus rapidement possible.</w:t>
      </w:r>
    </w:p>
    <w:p w14:paraId="17F26D98" w14:textId="77777777" w:rsidR="00DF410E" w:rsidRDefault="00CE7F43">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4A632AFF" w14:textId="77777777" w:rsidR="00DF410E" w:rsidRDefault="00CE7F43">
      <w:pPr>
        <w:jc w:val="both"/>
      </w:pPr>
      <w:r>
        <w:t>Les garde-corps doivent être conçus en fonction de la sécurité des enfants (et ne peuvent donc pas servir d'espalier !), conformément à la norme [NBN B 03-004] :</w:t>
      </w:r>
    </w:p>
    <w:p w14:paraId="59755D1D" w14:textId="77777777" w:rsidR="00DF410E" w:rsidRDefault="00CE7F43">
      <w:pPr>
        <w:pStyle w:val="Author-eListParagraph"/>
        <w:numPr>
          <w:ilvl w:val="0"/>
          <w:numId w:val="742"/>
        </w:numPr>
      </w:pPr>
      <w:r>
        <w:t>Les hauteurs de garde-corps respectent les prescriptions du § 5.3.</w:t>
      </w:r>
    </w:p>
    <w:p w14:paraId="068211A2" w14:textId="77777777" w:rsidR="00DF410E" w:rsidRDefault="00CE7F43">
      <w:pPr>
        <w:pStyle w:val="Author-eListParagraph"/>
        <w:numPr>
          <w:ilvl w:val="0"/>
          <w:numId w:val="742"/>
        </w:numPr>
      </w:pPr>
      <w:r>
        <w:t>Les ouvertures entre les montants verticaux et horizontaux respectent les valeurs du § 5.4.</w:t>
      </w:r>
    </w:p>
    <w:p w14:paraId="46EB1D23" w14:textId="77777777" w:rsidR="00DF410E" w:rsidRDefault="00CE7F43">
      <w:r>
        <w:rPr>
          <w:b/>
        </w:rPr>
        <w:t>Accessibilité aux personnes à mobilité réduite (PMR)</w:t>
      </w:r>
    </w:p>
    <w:p w14:paraId="44C9A4C7" w14:textId="77777777" w:rsidR="00DF410E" w:rsidRDefault="00CE7F43">
      <w:pPr>
        <w:jc w:val="both"/>
      </w:pPr>
      <w:r>
        <w:t>Suivant prescriptions du guide [SWL CALA] et des normes [NBN ISO 21542], [BS 8300] :</w:t>
      </w:r>
    </w:p>
    <w:p w14:paraId="06C330B3" w14:textId="77777777" w:rsidR="00DF410E" w:rsidRDefault="00CE7F43">
      <w:pPr>
        <w:jc w:val="both"/>
      </w:pPr>
      <w:r>
        <w:rPr>
          <w:i/>
        </w:rPr>
        <w:t>Mains-courantes :</w:t>
      </w:r>
    </w:p>
    <w:p w14:paraId="093004AB" w14:textId="77777777" w:rsidR="00DF410E" w:rsidRDefault="00CE7F43">
      <w:pPr>
        <w:pStyle w:val="Author-eListParagraph"/>
        <w:numPr>
          <w:ilvl w:val="0"/>
          <w:numId w:val="743"/>
        </w:numPr>
      </w:pPr>
      <w:r>
        <w:t>Type : double (2 lisses).</w:t>
      </w:r>
    </w:p>
    <w:p w14:paraId="122FCC18" w14:textId="77777777" w:rsidR="00DF410E" w:rsidRDefault="00CE7F43">
      <w:pPr>
        <w:pStyle w:val="Author-eListParagraph"/>
        <w:numPr>
          <w:ilvl w:val="0"/>
          <w:numId w:val="743"/>
        </w:numPr>
      </w:pPr>
      <w:r>
        <w:t xml:space="preserve">Hauteur :  </w:t>
      </w:r>
    </w:p>
    <w:p w14:paraId="4EB5827E" w14:textId="77777777" w:rsidR="00DF410E" w:rsidRDefault="00CE7F43">
      <w:pPr>
        <w:pStyle w:val="Author-eListParagraph"/>
        <w:numPr>
          <w:ilvl w:val="1"/>
          <w:numId w:val="744"/>
        </w:numPr>
      </w:pPr>
      <w:r>
        <w:t>Main-courante principale : entre 85 et 100 cm par rapport au nez de marche</w:t>
      </w:r>
    </w:p>
    <w:p w14:paraId="245C0A72" w14:textId="77777777" w:rsidR="00DF410E" w:rsidRDefault="00CE7F43">
      <w:pPr>
        <w:pStyle w:val="Author-eListParagraph"/>
        <w:numPr>
          <w:ilvl w:val="1"/>
          <w:numId w:val="744"/>
        </w:numPr>
      </w:pPr>
      <w:r>
        <w:t>Main-courante secondaire : entre 60 et 75 cm par rapport au nez de marche</w:t>
      </w:r>
    </w:p>
    <w:p w14:paraId="7A0975C0" w14:textId="77777777" w:rsidR="00DF410E" w:rsidRDefault="00CE7F43">
      <w:pPr>
        <w:pStyle w:val="Author-eListParagraph"/>
        <w:numPr>
          <w:ilvl w:val="0"/>
          <w:numId w:val="743"/>
        </w:numPr>
      </w:pPr>
      <w:r>
        <w:t>Position : de chaque côté de l’escalier.</w:t>
      </w:r>
    </w:p>
    <w:p w14:paraId="57F74BBF" w14:textId="77777777" w:rsidR="00DF410E" w:rsidRDefault="00CE7F43">
      <w:pPr>
        <w:pStyle w:val="Author-eListParagraph"/>
        <w:numPr>
          <w:ilvl w:val="0"/>
          <w:numId w:val="743"/>
        </w:numPr>
      </w:pPr>
      <w:r>
        <w:t>Géométrie : solides et continues sur les paliers.</w:t>
      </w:r>
    </w:p>
    <w:p w14:paraId="4521C81C" w14:textId="77777777" w:rsidR="00DF410E" w:rsidRDefault="00CE7F43">
      <w:pPr>
        <w:pStyle w:val="Author-eListParagraph"/>
        <w:numPr>
          <w:ilvl w:val="0"/>
          <w:numId w:val="743"/>
        </w:numPr>
      </w:pPr>
      <w:r>
        <w:t xml:space="preserve">Prolongement : </w:t>
      </w:r>
    </w:p>
    <w:p w14:paraId="3C06BF53" w14:textId="77777777" w:rsidR="00DF410E" w:rsidRDefault="00CE7F43">
      <w:pPr>
        <w:pStyle w:val="Author-eListParagraph"/>
        <w:numPr>
          <w:ilvl w:val="1"/>
          <w:numId w:val="745"/>
        </w:numPr>
      </w:pPr>
      <w:r>
        <w:t>Côté mur : prolongement de 40 cm à l’origine et à l’extrémité de l’escalier</w:t>
      </w:r>
    </w:p>
    <w:p w14:paraId="69E6B53B" w14:textId="77777777" w:rsidR="00DF410E" w:rsidRDefault="00CE7F43">
      <w:pPr>
        <w:pStyle w:val="Author-eListParagraph"/>
        <w:numPr>
          <w:ilvl w:val="1"/>
          <w:numId w:val="745"/>
        </w:numPr>
      </w:pPr>
      <w:r>
        <w:t>Côté vide : prolongement jusqu’au sol, et de 40 cm à l’origine et à l’extrémité de l’escalier pour autant que ce prolongement ne représente aucun obstacle ni danger.</w:t>
      </w:r>
    </w:p>
    <w:p w14:paraId="52C38FB8" w14:textId="77777777" w:rsidR="00DF410E" w:rsidRDefault="00CE7F43">
      <w:pPr>
        <w:pStyle w:val="Author-eListParagraph"/>
        <w:numPr>
          <w:ilvl w:val="0"/>
          <w:numId w:val="743"/>
        </w:numPr>
      </w:pPr>
      <w:r>
        <w:t>Distance du mur : 4 cm minimum.</w:t>
      </w:r>
    </w:p>
    <w:p w14:paraId="336D6647" w14:textId="77777777" w:rsidR="00DF410E" w:rsidRDefault="00CE7F43">
      <w:pPr>
        <w:pStyle w:val="Author-eListParagraph"/>
        <w:numPr>
          <w:ilvl w:val="0"/>
          <w:numId w:val="743"/>
        </w:numPr>
      </w:pPr>
      <w:r>
        <w:t>Diamètre : entre 4 et 5 cm.</w:t>
      </w:r>
    </w:p>
    <w:p w14:paraId="06F982DF" w14:textId="77777777" w:rsidR="00DF410E" w:rsidRDefault="00CE7F43">
      <w:pPr>
        <w:pStyle w:val="Author-eListParagraph"/>
        <w:numPr>
          <w:ilvl w:val="0"/>
          <w:numId w:val="743"/>
        </w:numPr>
      </w:pPr>
      <w:r>
        <w:t>Contraste : différence de coefficient de réflexion (LRV) entre la main-courante et son support de minimum 30 %.</w:t>
      </w:r>
    </w:p>
    <w:p w14:paraId="2D1E46A8" w14:textId="77777777" w:rsidR="00DF410E" w:rsidRDefault="00CE7F43">
      <w:r>
        <w:rPr>
          <w:b/>
        </w:rPr>
        <w:t>Assemblage - Scellement</w:t>
      </w:r>
    </w:p>
    <w:p w14:paraId="7D8963DC" w14:textId="77777777" w:rsidR="00DF410E" w:rsidRDefault="00CE7F43">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1AC8DE0B" w14:textId="77777777" w:rsidR="00DF410E" w:rsidRDefault="00CE7F43">
      <w:pPr>
        <w:jc w:val="both"/>
      </w:pPr>
      <w:r>
        <w:t>Les garde-corps sont solidement fixés au support conformément aux prescriptions de la section 7 de la norme [NBN B 03-004].</w:t>
      </w:r>
    </w:p>
    <w:p w14:paraId="26FB0DDC" w14:textId="77777777" w:rsidR="00DF410E" w:rsidRDefault="00CE7F43">
      <w:pPr>
        <w:jc w:val="both"/>
      </w:pPr>
      <w:r>
        <w:rPr>
          <w:b/>
        </w:rPr>
        <w:t>Asselets</w:t>
      </w:r>
    </w:p>
    <w:p w14:paraId="084F7DCD" w14:textId="77777777" w:rsidR="00DF410E" w:rsidRDefault="00CE7F43">
      <w:pPr>
        <w:jc w:val="both"/>
      </w:pPr>
      <w:r>
        <w:t xml:space="preserve">Les asselets nécessaires à la bonne répartition des charges sont décrits dans l’article </w:t>
      </w:r>
      <w:hyperlink w:anchor="165" w:history="1">
        <w:r>
          <w:t>21.85.3a Réalisations d'asselets en béton armé dans une maçonnerie existante</w:t>
        </w:r>
      </w:hyperlink>
      <w:r>
        <w:t xml:space="preserve"> et le sous-titre </w:t>
      </w:r>
      <w:hyperlink w:anchor="497" w:history="1">
        <w:r>
          <w:t>22.42 Pièces d'appui en béton</w:t>
        </w:r>
      </w:hyperlink>
      <w:r>
        <w:t xml:space="preserve"> et aux éléments et articles qui en découlent.</w:t>
      </w:r>
    </w:p>
    <w:p w14:paraId="6C99E2E2" w14:textId="77777777" w:rsidR="00DF410E" w:rsidRDefault="00CE7F43">
      <w:pPr>
        <w:jc w:val="both"/>
      </w:pPr>
      <w:r>
        <w:t>Ils ne sont pas compris dans le présent article, sauf contre-indication dans le cahier spécial des charges aux articles concernés ci-dessus.</w:t>
      </w:r>
    </w:p>
    <w:p w14:paraId="66A1E7E4" w14:textId="77777777" w:rsidR="00DF410E" w:rsidRDefault="00CE7F43">
      <w:pPr>
        <w:jc w:val="both"/>
      </w:pPr>
      <w:r>
        <w:rPr>
          <w:b/>
        </w:rPr>
        <w:t>Sécurité</w:t>
      </w:r>
    </w:p>
    <w:p w14:paraId="6C4A1654" w14:textId="77777777" w:rsidR="00DF410E" w:rsidRDefault="00CE7F43">
      <w:pPr>
        <w:jc w:val="both"/>
      </w:pPr>
      <w:r>
        <w:t>Conformément à l'élément </w:t>
      </w:r>
      <w:hyperlink r:id="rId184" w:history="1" w:docLocation="561">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14:paraId="7147820F" w14:textId="77777777" w:rsidR="00DF410E" w:rsidRDefault="00CE7F43">
      <w:pPr>
        <w:pStyle w:val="pheading"/>
      </w:pPr>
      <w:r>
        <w:t>CONTRÔLES</w:t>
      </w:r>
    </w:p>
    <w:p w14:paraId="5F5568DE" w14:textId="77777777" w:rsidR="00DF410E" w:rsidRDefault="00CE7F43">
      <w:pPr>
        <w:jc w:val="both"/>
      </w:pPr>
      <w:r>
        <w:t>Les écarts admissibles pour les garde-corps sont définis dans les tableaux 2 et 3 du § 5.5 de la norme [NBN B 03-004], dont notamment : </w:t>
      </w:r>
    </w:p>
    <w:p w14:paraId="6AA4EA62" w14:textId="77777777" w:rsidR="00DF410E" w:rsidRDefault="00CE7F43">
      <w:pPr>
        <w:pStyle w:val="Author-eListParagraph"/>
        <w:numPr>
          <w:ilvl w:val="0"/>
          <w:numId w:val="746"/>
        </w:numPr>
      </w:pPr>
      <w:r>
        <w:t>hauteur de protection : -15 mm.</w:t>
      </w:r>
    </w:p>
    <w:p w14:paraId="53C0945B" w14:textId="77777777" w:rsidR="00DF410E" w:rsidRDefault="00CE7F43">
      <w:pPr>
        <w:pStyle w:val="Author-eListParagraph"/>
        <w:numPr>
          <w:ilvl w:val="0"/>
          <w:numId w:val="746"/>
        </w:numPr>
      </w:pPr>
      <w:r>
        <w:t>hauteur d'accessibilité (h=450mm) : +/-15 mm.</w:t>
      </w:r>
    </w:p>
    <w:p w14:paraId="1E085056" w14:textId="77777777" w:rsidR="00DF410E" w:rsidRDefault="00CE7F43">
      <w:pPr>
        <w:pStyle w:val="Author-eListParagraph"/>
        <w:numPr>
          <w:ilvl w:val="0"/>
          <w:numId w:val="746"/>
        </w:numPr>
      </w:pPr>
      <w:r>
        <w:t>espace en partie basse : +10 mm.</w:t>
      </w:r>
    </w:p>
    <w:p w14:paraId="3FFEAE96" w14:textId="77777777" w:rsidR="00DF410E" w:rsidRDefault="00CE7F43">
      <w:pPr>
        <w:pStyle w:val="Author-eListParagraph"/>
        <w:numPr>
          <w:ilvl w:val="0"/>
          <w:numId w:val="746"/>
        </w:numPr>
      </w:pPr>
      <w:r>
        <w:t>espace entre nez de marche et élément inférieur de la rampe : +10 mm.</w:t>
      </w:r>
    </w:p>
    <w:p w14:paraId="287C84F0" w14:textId="77777777" w:rsidR="00DF410E" w:rsidRDefault="00CE7F43">
      <w:pPr>
        <w:pStyle w:val="Author-eListParagraph"/>
        <w:numPr>
          <w:ilvl w:val="0"/>
          <w:numId w:val="746"/>
        </w:numPr>
      </w:pPr>
      <w:r>
        <w:t>espace entre limon et élément inférieur de la rampe : +10 mm.</w:t>
      </w:r>
    </w:p>
    <w:p w14:paraId="4C04B9DD" w14:textId="77777777" w:rsidR="00DF410E" w:rsidRDefault="00CE7F43">
      <w:pPr>
        <w:pStyle w:val="Author-eListParagraph"/>
        <w:numPr>
          <w:ilvl w:val="0"/>
          <w:numId w:val="746"/>
        </w:numPr>
      </w:pPr>
      <w:r>
        <w:t>espace entre barreaux verticaux : entre -3 et +3 mm.</w:t>
      </w:r>
    </w:p>
    <w:p w14:paraId="6C5B227B" w14:textId="77777777" w:rsidR="00DF410E" w:rsidRDefault="00CE7F43">
      <w:pPr>
        <w:pStyle w:val="Author-eListParagraph"/>
        <w:numPr>
          <w:ilvl w:val="0"/>
          <w:numId w:val="746"/>
        </w:numPr>
      </w:pPr>
      <w:r>
        <w:t>espace entre éléments horizontaux : entre -3 et +3 mm.</w:t>
      </w:r>
    </w:p>
    <w:p w14:paraId="7F46C8A8" w14:textId="77777777" w:rsidR="00DF410E" w:rsidRDefault="00CE7F43">
      <w:pPr>
        <w:pStyle w:val="Author-eListParagraph"/>
        <w:numPr>
          <w:ilvl w:val="0"/>
          <w:numId w:val="746"/>
        </w:numPr>
      </w:pPr>
      <w:r>
        <w:t>saillie des garde-corps : +10 mm.</w:t>
      </w:r>
    </w:p>
    <w:p w14:paraId="598CDE86" w14:textId="77777777" w:rsidR="00DF410E" w:rsidRDefault="00CE7F43">
      <w:pPr>
        <w:pStyle w:val="Author-eListParagraph"/>
        <w:numPr>
          <w:ilvl w:val="0"/>
          <w:numId w:val="746"/>
        </w:numPr>
      </w:pPr>
      <w:r>
        <w:t>saillie des rampes +10 mm.</w:t>
      </w:r>
      <w:r>
        <w:br/>
      </w:r>
    </w:p>
    <w:p w14:paraId="0C41A083" w14:textId="77777777" w:rsidR="00DF410E" w:rsidRDefault="00CE7F43">
      <w:pPr>
        <w:jc w:val="both"/>
      </w:pPr>
      <w:r>
        <w:rPr>
          <w:b/>
        </w:rPr>
        <w:t>Dégradations</w:t>
      </w:r>
    </w:p>
    <w:p w14:paraId="4CB76F4C" w14:textId="77777777" w:rsidR="00DF410E" w:rsidRDefault="00CE7F43">
      <w:pPr>
        <w:jc w:val="both"/>
      </w:pPr>
      <w:r>
        <w:t>Il est interdit d'utiliser un mastic de jointoiement, de la résine, etc...., pour cacher les défauts éventuels. Les éléments endommagés doivent être intégralement remplacés. Les éléments qui forment un ensemble ne peuvent pas présenter de différences de couleur.</w:t>
      </w:r>
    </w:p>
    <w:p w14:paraId="343588CF" w14:textId="77777777" w:rsidR="00DF410E" w:rsidRDefault="00CE7F43">
      <w:pPr>
        <w:pStyle w:val="pheading"/>
      </w:pPr>
      <w:r>
        <w:t>DOCUMENTS DE RÉFÉRENCE</w:t>
      </w:r>
    </w:p>
    <w:p w14:paraId="04CE2AA5" w14:textId="77777777" w:rsidR="00DF410E" w:rsidRDefault="00CE7F43">
      <w:pPr>
        <w:pStyle w:val="pheading"/>
      </w:pPr>
      <w:r>
        <w:t>- Matériau</w:t>
      </w:r>
    </w:p>
    <w:p w14:paraId="7446AD51" w14:textId="77777777" w:rsidR="00DF410E" w:rsidRDefault="00CE7F43">
      <w:r>
        <w:t>[NBN B 03-004, Garde-corps de bâtiments]</w:t>
      </w:r>
    </w:p>
    <w:p w14:paraId="5673F12A" w14:textId="77777777" w:rsidR="00DF410E" w:rsidRDefault="00CE7F43">
      <w:r>
        <w:t>[NBN ISO 21542, Construction immobilière — Accessibilité et facilité d'utilisation de l'environnement bâti (ISO 21542:2011)]</w:t>
      </w:r>
    </w:p>
    <w:p w14:paraId="38F7B219" w14:textId="77777777" w:rsidR="00DF410E" w:rsidRDefault="00CE7F43">
      <w:r>
        <w:t>[BS 8300, Design of buildings and their approaches to meet the needs of disabled people. Code of Practice]</w:t>
      </w:r>
    </w:p>
    <w:p w14:paraId="11783AC2" w14:textId="77777777" w:rsidR="00DF410E" w:rsidRDefault="00CE7F43">
      <w:pPr>
        <w:pStyle w:val="pheading"/>
      </w:pPr>
      <w:r>
        <w:t>- Exécution</w:t>
      </w:r>
    </w:p>
    <w:p w14:paraId="4C72D781" w14:textId="77777777" w:rsidR="00DF410E" w:rsidRDefault="00CE7F43">
      <w:r>
        <w:t>[NBN B 03-004, Garde-corps de bâtiments]</w:t>
      </w:r>
    </w:p>
    <w:p w14:paraId="6CC23E16" w14:textId="77777777" w:rsidR="00DF410E" w:rsidRDefault="00CE7F43">
      <w:r>
        <w:t>[SWL CALA, Guide d’aide à la conception d’un logement adaptable]</w:t>
      </w:r>
    </w:p>
    <w:p w14:paraId="72D4C41B" w14:textId="77777777" w:rsidR="00DF410E" w:rsidRDefault="00CE7F43">
      <w:r>
        <w:t>[RGPT, Règlement général pour la protection du travail]</w:t>
      </w:r>
    </w:p>
    <w:p w14:paraId="67743239" w14:textId="77777777" w:rsidR="00DF410E" w:rsidRDefault="00CE7F43">
      <w:r>
        <w:t>[NBN NEN 3509, Escaliers à l'intérieur d'habitations et d'immeubles d'habitation - Définitions et dimensions]</w:t>
      </w:r>
    </w:p>
    <w:p w14:paraId="6FB79CA1" w14:textId="77777777" w:rsidR="00DF410E" w:rsidRDefault="00CE7F43">
      <w:pPr>
        <w:pStyle w:val="pheading"/>
      </w:pPr>
      <w:r>
        <w:t>AIDE</w:t>
      </w:r>
    </w:p>
    <w:p w14:paraId="7200CA37" w14:textId="77777777" w:rsidR="00DF410E" w:rsidRDefault="00CE7F43">
      <w:pPr>
        <w:jc w:val="both"/>
      </w:pPr>
      <w:r>
        <w:t>Lors de la conception des escaliers, il importe de tenir compte de la hauteur de protection prescrite pour la rampe (la distance verticale entre le nez de marche et le dessus de la main-courante) selon le tableau 1 la norme [NBN B 03-004]. La hauteur de protection minimale est de 0,90 mètre. Lorsqu'une chute de plus de 12 mètres est possible dans la cage d'escalier, on prévoit une balustrade d'au moins 1,2 mètre.</w:t>
      </w:r>
    </w:p>
    <w:p w14:paraId="235A9864" w14:textId="77777777" w:rsidR="00DF410E" w:rsidRDefault="00CE7F43">
      <w:pPr>
        <w:pStyle w:val="Author-eSectionHeading5"/>
      </w:pPr>
      <w:bookmarkStart w:id="1401" w:name="_Toc178838512"/>
      <w:r>
        <w:t>23.32.1 Garde-corps et rampes en acier CCTB 01.04</w:t>
      </w:r>
      <w:bookmarkEnd w:id="1401"/>
    </w:p>
    <w:p w14:paraId="65950A45" w14:textId="77777777" w:rsidR="00DF410E" w:rsidRDefault="00CE7F43">
      <w:pPr>
        <w:pStyle w:val="Author-eSectionHeading6"/>
      </w:pPr>
      <w:bookmarkStart w:id="1402" w:name="_Toc178838513"/>
      <w:r>
        <w:t>23.32.1a Garde-corps et rampes en acier CCTB 01.11</w:t>
      </w:r>
      <w:bookmarkEnd w:id="1402"/>
    </w:p>
    <w:p w14:paraId="21B7E005" w14:textId="77777777" w:rsidR="00DF410E" w:rsidRDefault="00CE7F43">
      <w:pPr>
        <w:pStyle w:val="pheading"/>
      </w:pPr>
      <w:bookmarkStart w:id="1403" w:name="557"/>
      <w:bookmarkEnd w:id="1403"/>
      <w:r>
        <w:t>DESCRIPTION</w:t>
      </w:r>
    </w:p>
    <w:p w14:paraId="2619E953" w14:textId="77777777" w:rsidR="00DF410E" w:rsidRDefault="00CE7F43">
      <w:pPr>
        <w:pStyle w:val="pheading"/>
      </w:pPr>
      <w:r>
        <w:t>- Définition / Comprend</w:t>
      </w:r>
    </w:p>
    <w:p w14:paraId="4B18CFE5" w14:textId="77777777" w:rsidR="00DF410E" w:rsidRDefault="00CE7F43">
      <w:pPr>
        <w:jc w:val="both"/>
      </w:pPr>
      <w:r>
        <w:t>Il s'agit des garde-corps à prévoir autour des trémies d'escaliers, des passerelles, des vides, etc., et des rampes et mains-courantes qui accompagnent les escaliers, y compris la structure portante, les éventuels éléments de remplissage, les moyens de fixation, etc.</w:t>
      </w:r>
    </w:p>
    <w:p w14:paraId="11EC6D9E" w14:textId="77777777" w:rsidR="00DF410E" w:rsidRDefault="00CE7F43">
      <w:pPr>
        <w:jc w:val="both"/>
      </w:pPr>
      <w:r>
        <w:t xml:space="preserve">Leurs caractéristiques principales sont décrites au sous-titre </w:t>
      </w:r>
      <w:hyperlink w:anchor="189" w:history="1">
        <w:r>
          <w:t>23.32 Garde-corps et rampes métalliques</w:t>
        </w:r>
      </w:hyperlink>
      <w:r>
        <w:t xml:space="preserve"> et éléments et articles qui en découlent.</w:t>
      </w:r>
    </w:p>
    <w:p w14:paraId="36360FAE" w14:textId="77777777" w:rsidR="00DF410E" w:rsidRDefault="00CE7F43">
      <w:pPr>
        <w:jc w:val="both"/>
      </w:pPr>
      <w:r>
        <w:t xml:space="preserve">Concernant les rampes et mains courantes, renvoi aux articles </w:t>
      </w:r>
      <w:hyperlink w:anchor="562" w:history="1">
        <w:r>
          <w:t>23.31.1a Escaliers en acier</w:t>
        </w:r>
      </w:hyperlink>
      <w:r>
        <w:t xml:space="preserve"> ou </w:t>
      </w:r>
      <w:hyperlink w:anchor="563" w:history="1">
        <w:r>
          <w:t>23.34.1a Passerelles et coursives en acier</w:t>
        </w:r>
      </w:hyperlink>
      <w:r>
        <w:t xml:space="preserve"> pour savoir si ces éléments sont inclus dans ces postes.</w:t>
      </w:r>
    </w:p>
    <w:p w14:paraId="5304526A" w14:textId="77777777" w:rsidR="00DF410E" w:rsidRDefault="00CE7F43">
      <w:pPr>
        <w:jc w:val="both"/>
      </w:pPr>
      <w:r>
        <w:t>Dans la suite de cet article, le terme « garde-corps » utilisé englobe par défaut les garde-corps et les rampes d’escalier, sauf mention spécifique.</w:t>
      </w:r>
    </w:p>
    <w:p w14:paraId="67DA7BEE" w14:textId="77777777" w:rsidR="00DF410E" w:rsidRDefault="00CE7F43">
      <w:pPr>
        <w:pStyle w:val="pheading"/>
      </w:pPr>
      <w:r>
        <w:t>- Localisation</w:t>
      </w:r>
    </w:p>
    <w:p w14:paraId="43D147FB" w14:textId="77777777" w:rsidR="00DF410E" w:rsidRDefault="00CE7F43">
      <w:r>
        <w:t xml:space="preserve">Les travaux sont localisés : </w:t>
      </w:r>
      <w:r>
        <w:rPr>
          <w:rStyle w:val="optioncarChar"/>
        </w:rPr>
        <w:t>***</w:t>
      </w:r>
      <w:r>
        <w:t>.</w:t>
      </w:r>
    </w:p>
    <w:p w14:paraId="4EC33EF3" w14:textId="77777777" w:rsidR="00DF410E" w:rsidRDefault="00CE7F43">
      <w:r>
        <w:t>Voir plans et métrés détaillés.</w:t>
      </w:r>
    </w:p>
    <w:p w14:paraId="3352D728" w14:textId="77777777" w:rsidR="00DF410E" w:rsidRDefault="00CE7F43">
      <w:pPr>
        <w:pStyle w:val="pheading"/>
      </w:pPr>
      <w:r>
        <w:t>MATÉRIAUX</w:t>
      </w:r>
    </w:p>
    <w:p w14:paraId="0C14DC12" w14:textId="77777777" w:rsidR="00DF410E" w:rsidRDefault="00CE7F43">
      <w:pPr>
        <w:pStyle w:val="pheading"/>
      </w:pPr>
      <w:r>
        <w:t>- Caractéristiques générales</w:t>
      </w:r>
    </w:p>
    <w:p w14:paraId="174B5D68" w14:textId="77777777" w:rsidR="00DF410E" w:rsidRDefault="00CE7F43">
      <w:pPr>
        <w:jc w:val="both"/>
      </w:pPr>
      <w:r>
        <w:t>La structure des garde-corps se compose d'éléments en acier. Toutes les parties visibles sont propres et débarrassées des ébarbures.</w:t>
      </w:r>
    </w:p>
    <w:p w14:paraId="414B2178" w14:textId="77777777" w:rsidR="00DF410E" w:rsidRDefault="00CE7F43">
      <w:pPr>
        <w:pStyle w:val="Author-eListParagraph"/>
        <w:numPr>
          <w:ilvl w:val="0"/>
          <w:numId w:val="747"/>
        </w:numPr>
        <w:jc w:val="both"/>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7A4FC564" w14:textId="77777777" w:rsidR="00DF410E" w:rsidRDefault="00CE7F43">
      <w:pPr>
        <w:pStyle w:val="Author-eListParagraph"/>
        <w:numPr>
          <w:ilvl w:val="0"/>
          <w:numId w:val="747"/>
        </w:numPr>
        <w:jc w:val="both"/>
      </w:pPr>
      <w:r>
        <w:t xml:space="preserve">Qualité d’acier [NBN EN 10025 série] : </w:t>
      </w:r>
      <w:r>
        <w:rPr>
          <w:rStyle w:val="optioncarChar"/>
        </w:rPr>
        <w:t xml:space="preserve">JR / J0 </w:t>
      </w:r>
      <w:r>
        <w:t>(par défaut)</w:t>
      </w:r>
      <w:r>
        <w:rPr>
          <w:rStyle w:val="optioncarChar"/>
        </w:rPr>
        <w:t xml:space="preserve"> / J2 / K2 / N / NL / M / ML / W / P / Q / QL / QL1 / ***</w:t>
      </w:r>
      <w:r>
        <w:t>.</w:t>
      </w:r>
    </w:p>
    <w:p w14:paraId="6154947F" w14:textId="77777777" w:rsidR="00DF410E" w:rsidRDefault="00CE7F43">
      <w:pPr>
        <w:jc w:val="both"/>
      </w:pPr>
      <w:r>
        <w:t xml:space="preserve">Les mains-courantes sont fabriquées en </w:t>
      </w:r>
      <w:r>
        <w:rPr>
          <w:rStyle w:val="optioncarChar"/>
        </w:rPr>
        <w:t xml:space="preserve">acier </w:t>
      </w:r>
      <w:r>
        <w:t>(par défaut)</w:t>
      </w:r>
      <w:r>
        <w:rPr>
          <w:rStyle w:val="optioncarChar"/>
        </w:rPr>
        <w:t xml:space="preserve"> / bois / ***</w:t>
      </w:r>
      <w:r>
        <w:t>.</w:t>
      </w:r>
    </w:p>
    <w:p w14:paraId="04D1C00E" w14:textId="77777777" w:rsidR="00DF410E" w:rsidRDefault="00CE7F43">
      <w:pPr>
        <w:ind w:left="567"/>
        <w:jc w:val="both"/>
      </w:pPr>
      <w:r>
        <w:rPr>
          <w:b/>
          <w:i/>
        </w:rPr>
        <w:t>(Soit par défaut)</w:t>
      </w:r>
    </w:p>
    <w:p w14:paraId="7DC18C7C" w14:textId="77777777" w:rsidR="00DF410E" w:rsidRDefault="00CE7F43">
      <w:pPr>
        <w:ind w:left="567"/>
        <w:jc w:val="both"/>
      </w:pPr>
      <w:r>
        <w:rPr>
          <w:rStyle w:val="soitChar"/>
          <w:u w:val="single"/>
        </w:rPr>
        <w:t>Acier</w:t>
      </w:r>
    </w:p>
    <w:p w14:paraId="0537621E" w14:textId="77777777" w:rsidR="00DF410E" w:rsidRDefault="00CE7F43">
      <w:pPr>
        <w:ind w:left="567"/>
        <w:jc w:val="both"/>
      </w:pPr>
      <w:r>
        <w:rPr>
          <w:rStyle w:val="soitChar"/>
        </w:rPr>
        <w:t>Type :</w:t>
      </w:r>
      <w:r>
        <w:rPr>
          <w:rStyle w:val="optioncarChar"/>
        </w:rPr>
        <w:t>Tube creux circulaire (CHS)</w:t>
      </w:r>
      <w:r>
        <w:t xml:space="preserve"> (par défaut) </w:t>
      </w:r>
      <w:r>
        <w:rPr>
          <w:rStyle w:val="optioncarChar"/>
        </w:rPr>
        <w:t>/ tube creux rectangulaire (RHS) / plat / U / ***.</w:t>
      </w:r>
    </w:p>
    <w:p w14:paraId="38BBD01F" w14:textId="77777777" w:rsidR="00DF410E" w:rsidRDefault="00CE7F43">
      <w:pPr>
        <w:ind w:left="567"/>
        <w:jc w:val="both"/>
      </w:pPr>
      <w:r>
        <w:rPr>
          <w:b/>
          <w:i/>
        </w:rPr>
        <w:t>(Soit)</w:t>
      </w:r>
    </w:p>
    <w:p w14:paraId="182C0A15" w14:textId="77777777" w:rsidR="00DF410E" w:rsidRDefault="00CE7F43">
      <w:pPr>
        <w:ind w:left="567"/>
        <w:jc w:val="both"/>
      </w:pPr>
      <w:r>
        <w:rPr>
          <w:rStyle w:val="soitChar"/>
          <w:u w:val="single"/>
        </w:rPr>
        <w:t>Bois</w:t>
      </w:r>
    </w:p>
    <w:p w14:paraId="6C8B92C8" w14:textId="77777777" w:rsidR="00DF410E" w:rsidRDefault="00CE7F43">
      <w:pPr>
        <w:ind w:left="567"/>
        <w:jc w:val="both"/>
      </w:pPr>
      <w:r>
        <w:rPr>
          <w:rStyle w:val="soitChar"/>
        </w:rPr>
        <w:t>Essence :</w:t>
      </w:r>
      <w:r>
        <w:rPr>
          <w:rStyle w:val="optioncarChar"/>
        </w:rPr>
        <w:t xml:space="preserve">ipe </w:t>
      </w:r>
      <w:r>
        <w:t>(par défaut)</w:t>
      </w:r>
      <w:r>
        <w:rPr>
          <w:rStyle w:val="optioncarChar"/>
        </w:rPr>
        <w:t xml:space="preserve"> / itauba / frêne / mélèze / merbau / hêtre / méranti / ***</w:t>
      </w:r>
      <w:r>
        <w:t>.</w:t>
      </w:r>
    </w:p>
    <w:p w14:paraId="418AE39D" w14:textId="77777777" w:rsidR="00DF410E" w:rsidRDefault="00CE7F43">
      <w:pPr>
        <w:ind w:left="567"/>
        <w:jc w:val="both"/>
      </w:pPr>
      <w:r>
        <w:rPr>
          <w:b/>
          <w:i/>
        </w:rPr>
        <w:t>(Soit)</w:t>
      </w:r>
    </w:p>
    <w:p w14:paraId="084AD9AD" w14:textId="77777777" w:rsidR="00DF410E" w:rsidRDefault="00CE7F43">
      <w:pPr>
        <w:ind w:left="567"/>
        <w:jc w:val="both"/>
      </w:pPr>
      <w:r>
        <w:rPr>
          <w:rStyle w:val="optioncarChar"/>
        </w:rPr>
        <w:t>***</w:t>
      </w:r>
    </w:p>
    <w:p w14:paraId="3A8D7AF2" w14:textId="77777777" w:rsidR="00DF410E" w:rsidRDefault="00CE7F43">
      <w:pPr>
        <w:pStyle w:val="pheading"/>
      </w:pPr>
      <w:r>
        <w:t>- Finitions</w:t>
      </w:r>
    </w:p>
    <w:p w14:paraId="60B25920" w14:textId="77777777" w:rsidR="00DF410E" w:rsidRDefault="00CE7F43">
      <w:pPr>
        <w:jc w:val="both"/>
      </w:pPr>
      <w:r>
        <w:rPr>
          <w:b/>
        </w:rPr>
        <w:t>Traitement de l’acier</w:t>
      </w:r>
    </w:p>
    <w:p w14:paraId="3511F7D8" w14:textId="77777777" w:rsidR="00DF410E" w:rsidRDefault="00CE7F43">
      <w:pPr>
        <w:jc w:val="both"/>
      </w:pPr>
      <w:r>
        <w:t xml:space="preserve">Les éléments sont traités contre la rouille par : </w:t>
      </w:r>
      <w:r>
        <w:rPr>
          <w:rStyle w:val="optioncarChar"/>
        </w:rPr>
        <w:t xml:space="preserve">galvanisation à chaud </w:t>
      </w:r>
      <w:r>
        <w:t>(par défaut)</w:t>
      </w:r>
      <w:r>
        <w:rPr>
          <w:rStyle w:val="optioncarChar"/>
        </w:rPr>
        <w:t xml:space="preserve"> / métallisation / primaire antirouille / pas de traitement (aspect brut)</w:t>
      </w:r>
      <w:r>
        <w:t>.</w:t>
      </w:r>
    </w:p>
    <w:p w14:paraId="0D5DDD6F" w14:textId="77777777" w:rsidR="00DF410E" w:rsidRDefault="00CE7F43">
      <w:pPr>
        <w:ind w:left="567"/>
        <w:jc w:val="both"/>
      </w:pPr>
      <w:r>
        <w:rPr>
          <w:b/>
          <w:i/>
        </w:rPr>
        <w:t>(Soit par défaut)</w:t>
      </w:r>
    </w:p>
    <w:p w14:paraId="65049522" w14:textId="77777777" w:rsidR="00DF410E" w:rsidRDefault="00CE7F43">
      <w:pPr>
        <w:ind w:left="567"/>
        <w:jc w:val="both"/>
      </w:pPr>
      <w:r>
        <w:rPr>
          <w:rStyle w:val="soitChar"/>
          <w:u w:val="single"/>
        </w:rPr>
        <w:t>Galvanisation</w:t>
      </w:r>
    </w:p>
    <w:p w14:paraId="7BDA20D3" w14:textId="77777777" w:rsidR="00DF410E" w:rsidRDefault="00CE7F43">
      <w:pPr>
        <w:ind w:left="567"/>
        <w:jc w:val="both"/>
      </w:pPr>
      <w:r>
        <w:rPr>
          <w:rStyle w:val="soitChar"/>
        </w:rPr>
        <w:t xml:space="preserve">Renvoi aux articles </w:t>
      </w:r>
      <w:hyperlink r:id="rId185" w:history="1" w:docLocation="505">
        <w:r>
          <w:rPr>
            <w:rStyle w:val="soitChar"/>
          </w:rPr>
          <w:t>81.31.3a Protections intérieures par galvanisation (en atelier) des supports métalliques ferreux</w:t>
        </w:r>
      </w:hyperlink>
      <w:r>
        <w:rPr>
          <w:rStyle w:val="soitChar"/>
        </w:rPr>
        <w:t xml:space="preserve"> ou </w:t>
      </w:r>
      <w:hyperlink r:id="rId186" w:history="1" w:docLocation="506">
        <w:r>
          <w:rPr>
            <w:rStyle w:val="soitChar"/>
          </w:rPr>
          <w:t>82.31.3a Protections extérieures par galvanisation de supports métalliques ferreux</w:t>
        </w:r>
      </w:hyperlink>
      <w:r>
        <w:rPr>
          <w:rStyle w:val="soitChar"/>
        </w:rPr>
        <w:t>.</w:t>
      </w:r>
    </w:p>
    <w:p w14:paraId="7A2A38EF" w14:textId="77777777" w:rsidR="00DF410E" w:rsidRDefault="00CE7F43">
      <w:pPr>
        <w:ind w:left="567"/>
        <w:jc w:val="both"/>
      </w:pPr>
      <w:r>
        <w:rPr>
          <w:b/>
          <w:i/>
        </w:rPr>
        <w:t> (Soit)</w:t>
      </w:r>
    </w:p>
    <w:p w14:paraId="40D71373" w14:textId="77777777" w:rsidR="00DF410E" w:rsidRDefault="00CE7F43">
      <w:pPr>
        <w:ind w:left="567"/>
        <w:jc w:val="both"/>
      </w:pPr>
      <w:r>
        <w:rPr>
          <w:rStyle w:val="soitChar"/>
          <w:u w:val="single"/>
        </w:rPr>
        <w:t>Métallisation</w:t>
      </w:r>
    </w:p>
    <w:p w14:paraId="1611E88A" w14:textId="77777777" w:rsidR="00DF410E" w:rsidRDefault="00CE7F43">
      <w:pPr>
        <w:ind w:left="567"/>
        <w:jc w:val="both"/>
      </w:pPr>
      <w:r>
        <w:rPr>
          <w:rStyle w:val="soitChar"/>
        </w:rPr>
        <w:t xml:space="preserve">Renvoi aux articles </w:t>
      </w:r>
      <w:hyperlink r:id="rId187" w:history="1" w:docLocation="507">
        <w:r>
          <w:rPr>
            <w:rStyle w:val="soitChar"/>
          </w:rPr>
          <w:t>81.31.3b Protections intérieures par métallisation (en atelier ou sur chantier) des supports métalliques ferreux</w:t>
        </w:r>
      </w:hyperlink>
      <w:r>
        <w:rPr>
          <w:rStyle w:val="soitChar"/>
        </w:rPr>
        <w:t xml:space="preserve"> ou </w:t>
      </w:r>
      <w:hyperlink r:id="rId188" w:history="1" w:docLocation="508">
        <w:r>
          <w:rPr>
            <w:rStyle w:val="soitChar"/>
          </w:rPr>
          <w:t>82.31.3b Protections extérieures par métallisation des supports métalliques ferreux</w:t>
        </w:r>
      </w:hyperlink>
      <w:r>
        <w:rPr>
          <w:rStyle w:val="soitChar"/>
        </w:rPr>
        <w:t>.</w:t>
      </w:r>
    </w:p>
    <w:p w14:paraId="4812ADBB" w14:textId="77777777" w:rsidR="00DF410E" w:rsidRDefault="00CE7F43">
      <w:pPr>
        <w:ind w:left="567"/>
        <w:jc w:val="both"/>
      </w:pPr>
      <w:r>
        <w:rPr>
          <w:b/>
          <w:i/>
        </w:rPr>
        <w:t>(Soit)</w:t>
      </w:r>
    </w:p>
    <w:p w14:paraId="0F9FB03C" w14:textId="77777777" w:rsidR="00DF410E" w:rsidRDefault="00CE7F43">
      <w:pPr>
        <w:ind w:left="567"/>
        <w:jc w:val="both"/>
      </w:pPr>
      <w:r>
        <w:rPr>
          <w:rStyle w:val="soitChar"/>
          <w:u w:val="single"/>
        </w:rPr>
        <w:t>Peinture antirouille</w:t>
      </w:r>
    </w:p>
    <w:p w14:paraId="7C38A457" w14:textId="77777777" w:rsidR="00DF410E" w:rsidRDefault="00CE7F43">
      <w:pPr>
        <w:ind w:left="567"/>
        <w:jc w:val="both"/>
      </w:pPr>
      <w:r>
        <w:rPr>
          <w:rStyle w:val="soitChar"/>
        </w:rPr>
        <w:t xml:space="preserve">Renvoi aux articles </w:t>
      </w:r>
      <w:hyperlink r:id="rId189" w:history="1" w:docLocation="503">
        <w:r>
          <w:rPr>
            <w:rStyle w:val="soitChar"/>
          </w:rPr>
          <w:t>81.31.3c Protections intérieures par primaire antirouille (en atelier ou sur chantier) des supports métalliques ferreux</w:t>
        </w:r>
      </w:hyperlink>
      <w:r>
        <w:rPr>
          <w:rStyle w:val="soitChar"/>
        </w:rPr>
        <w:t xml:space="preserve"> ou </w:t>
      </w:r>
      <w:hyperlink r:id="rId190" w:history="1" w:docLocation="504">
        <w:r>
          <w:rPr>
            <w:rStyle w:val="soitChar"/>
          </w:rPr>
          <w:t>82.31.3c Protections extérieures par primaire antirouille des supports métalliques ferreux</w:t>
        </w:r>
      </w:hyperlink>
      <w:r>
        <w:rPr>
          <w:rStyle w:val="soitChar"/>
        </w:rPr>
        <w:t>.</w:t>
      </w:r>
    </w:p>
    <w:p w14:paraId="2405A6CD" w14:textId="77777777" w:rsidR="00DF410E" w:rsidRDefault="00CE7F43">
      <w:pPr>
        <w:ind w:left="567"/>
        <w:jc w:val="both"/>
      </w:pPr>
      <w:r>
        <w:rPr>
          <w:b/>
          <w:i/>
        </w:rPr>
        <w:t>(Soit)</w:t>
      </w:r>
    </w:p>
    <w:p w14:paraId="07DCD06E" w14:textId="77777777" w:rsidR="00DF410E" w:rsidRDefault="00CE7F43">
      <w:pPr>
        <w:ind w:left="567"/>
        <w:jc w:val="both"/>
      </w:pPr>
      <w:r>
        <w:rPr>
          <w:rStyle w:val="soitChar"/>
          <w:u w:val="single"/>
        </w:rPr>
        <w:t>Pas de traitement</w:t>
      </w:r>
    </w:p>
    <w:p w14:paraId="3D34CA27" w14:textId="77777777" w:rsidR="00DF410E" w:rsidRDefault="00CE7F43">
      <w:pPr>
        <w:ind w:left="567"/>
        <w:jc w:val="both"/>
      </w:pPr>
      <w:r>
        <w:rPr>
          <w:rStyle w:val="soitChar"/>
        </w:rPr>
        <w:t xml:space="preserve">L’acier reste « brut ». Il est simplement nettoyé, dégraissé et débarrassé de la rouille par sablage et/ou ponçage conformément aux chapitres </w:t>
      </w:r>
      <w:hyperlink r:id="rId191" w:history="1" w:docLocation="546">
        <w:r>
          <w:rPr>
            <w:rStyle w:val="soitChar"/>
          </w:rPr>
          <w:t>81.31.1 Nettoyage / Dégraissage</w:t>
        </w:r>
      </w:hyperlink>
      <w:r>
        <w:rPr>
          <w:rStyle w:val="soitChar"/>
        </w:rPr>
        <w:t xml:space="preserve">, </w:t>
      </w:r>
      <w:hyperlink r:id="rId192" w:history="1" w:docLocation="547">
        <w:r>
          <w:rPr>
            <w:rStyle w:val="soitChar"/>
          </w:rPr>
          <w:t>81.31.2 Grenaillage - Sablage / Ponçage / Dérouillage</w:t>
        </w:r>
      </w:hyperlink>
      <w:r>
        <w:rPr>
          <w:rStyle w:val="soitChar"/>
        </w:rPr>
        <w:t xml:space="preserve"> et articles qui en découlent. </w:t>
      </w:r>
    </w:p>
    <w:p w14:paraId="2D3C0ADE" w14:textId="77777777" w:rsidR="00DF410E" w:rsidRDefault="00CE7F43">
      <w:pPr>
        <w:jc w:val="both"/>
      </w:pPr>
      <w:r>
        <w:t>Ce traitement contre la rouille est compris par défaut dans le poste, sauf contre-indication dans le cahier spécial des charges aux articles concernés ci-dessus.</w:t>
      </w:r>
    </w:p>
    <w:p w14:paraId="7379B22C" w14:textId="77777777" w:rsidR="00DF410E" w:rsidRDefault="00CE7F43">
      <w:pPr>
        <w:jc w:val="both"/>
      </w:pPr>
      <w:r>
        <w:rPr>
          <w:b/>
        </w:rPr>
        <w:t>Finition de l’acier</w:t>
      </w:r>
    </w:p>
    <w:p w14:paraId="1EB545C9" w14:textId="77777777" w:rsidR="00DF410E" w:rsidRDefault="00CE7F43">
      <w:pPr>
        <w:jc w:val="both"/>
      </w:pPr>
      <w:r>
        <w:t xml:space="preserve">Finition de l’acier : </w:t>
      </w:r>
      <w:r>
        <w:rPr>
          <w:rStyle w:val="optioncarChar"/>
        </w:rPr>
        <w:t xml:space="preserve">pas de finition </w:t>
      </w:r>
      <w:r>
        <w:t>(par défaut)</w:t>
      </w:r>
      <w:r>
        <w:rPr>
          <w:rStyle w:val="optioncarChar"/>
        </w:rPr>
        <w:t xml:space="preserve"> / peint / brut (verni)</w:t>
      </w:r>
      <w:r>
        <w:t>.</w:t>
      </w:r>
    </w:p>
    <w:p w14:paraId="2B42F6FA" w14:textId="77777777" w:rsidR="00DF410E" w:rsidRDefault="00CE7F43">
      <w:pPr>
        <w:ind w:left="567"/>
        <w:jc w:val="both"/>
      </w:pPr>
      <w:r>
        <w:rPr>
          <w:b/>
          <w:i/>
        </w:rPr>
        <w:t>(Soit par défaut)</w:t>
      </w:r>
    </w:p>
    <w:p w14:paraId="4309AF2F" w14:textId="77777777" w:rsidR="00DF410E" w:rsidRDefault="00CE7F43">
      <w:pPr>
        <w:ind w:left="567"/>
        <w:jc w:val="both"/>
      </w:pPr>
      <w:r>
        <w:rPr>
          <w:rStyle w:val="soitChar"/>
          <w:u w:val="single"/>
        </w:rPr>
        <w:t>Pas de finition</w:t>
      </w:r>
    </w:p>
    <w:p w14:paraId="65927A29" w14:textId="77777777" w:rsidR="00DF410E" w:rsidRDefault="00CE7F43">
      <w:pPr>
        <w:ind w:left="567"/>
        <w:jc w:val="both"/>
      </w:pPr>
      <w:r>
        <w:rPr>
          <w:rStyle w:val="soitChar"/>
        </w:rPr>
        <w:t>Pas de finition, le traitement contre la rouille reste apparent.</w:t>
      </w:r>
    </w:p>
    <w:p w14:paraId="3F6559CD" w14:textId="77777777" w:rsidR="00DF410E" w:rsidRDefault="00CE7F43">
      <w:pPr>
        <w:ind w:left="567"/>
        <w:jc w:val="both"/>
      </w:pPr>
      <w:r>
        <w:rPr>
          <w:b/>
          <w:i/>
        </w:rPr>
        <w:t>(Soit)</w:t>
      </w:r>
    </w:p>
    <w:p w14:paraId="2E32DE52" w14:textId="77777777" w:rsidR="00DF410E" w:rsidRDefault="00CE7F43">
      <w:pPr>
        <w:ind w:left="567"/>
        <w:jc w:val="both"/>
      </w:pPr>
      <w:r>
        <w:rPr>
          <w:rStyle w:val="soitChar"/>
          <w:u w:val="single"/>
        </w:rPr>
        <w:t>Peint</w:t>
      </w:r>
    </w:p>
    <w:p w14:paraId="7087C940" w14:textId="77777777" w:rsidR="00DF410E" w:rsidRDefault="00CE7F43">
      <w:pPr>
        <w:ind w:left="567"/>
        <w:jc w:val="both"/>
      </w:pPr>
      <w:r>
        <w:rPr>
          <w:rStyle w:val="soitChar"/>
        </w:rPr>
        <w:t xml:space="preserve">Renvoi aux sous-titres </w:t>
      </w:r>
      <w:hyperlink r:id="rId193" w:history="1" w:docLocation="509">
        <w:r>
          <w:rPr>
            <w:rStyle w:val="soitChar"/>
          </w:rPr>
          <w:t>81.33 Finitions / décorations des métaux ferreux et non ferreux</w:t>
        </w:r>
      </w:hyperlink>
      <w:r>
        <w:rPr>
          <w:rStyle w:val="soitChar"/>
        </w:rPr>
        <w:t xml:space="preserve"> (intérieure) ou </w:t>
      </w:r>
      <w:hyperlink r:id="rId194" w:history="1" w:docLocation="510">
        <w:r>
          <w:rPr>
            <w:rStyle w:val="soitChar"/>
          </w:rPr>
          <w:t>82.33 Finitions / décorations des métaux ferreux et non ferreux</w:t>
        </w:r>
      </w:hyperlink>
      <w:r>
        <w:rPr>
          <w:rStyle w:val="soitChar"/>
        </w:rPr>
        <w:t xml:space="preserve"> (extérieure), et éléments et articles qui en découlent .</w:t>
      </w:r>
    </w:p>
    <w:p w14:paraId="244097CF" w14:textId="77777777" w:rsidR="00DF410E" w:rsidRDefault="00CE7F43">
      <w:pPr>
        <w:ind w:left="567"/>
        <w:jc w:val="both"/>
      </w:pPr>
      <w:r>
        <w:rPr>
          <w:b/>
          <w:i/>
        </w:rPr>
        <w:t> (Soit)</w:t>
      </w:r>
    </w:p>
    <w:p w14:paraId="5D0CA7E7" w14:textId="77777777" w:rsidR="00DF410E" w:rsidRDefault="00CE7F43">
      <w:pPr>
        <w:ind w:left="567"/>
        <w:jc w:val="both"/>
      </w:pPr>
      <w:r>
        <w:rPr>
          <w:rStyle w:val="soitChar"/>
          <w:u w:val="single"/>
        </w:rPr>
        <w:t>Brut (verni)</w:t>
      </w:r>
    </w:p>
    <w:p w14:paraId="4992429A" w14:textId="77777777" w:rsidR="00DF410E" w:rsidRDefault="00CE7F43">
      <w:pPr>
        <w:ind w:left="567"/>
        <w:jc w:val="both"/>
      </w:pPr>
      <w:r>
        <w:rPr>
          <w:rStyle w:val="soitChar"/>
        </w:rPr>
        <w:t xml:space="preserve">L’acier est protégé à l’aide d’un verni incolore à base de </w:t>
      </w:r>
      <w:r>
        <w:rPr>
          <w:rStyle w:val="optioncarChar"/>
        </w:rPr>
        <w:t xml:space="preserve">résine glycérophtalique </w:t>
      </w:r>
      <w:r>
        <w:t xml:space="preserve">(par défaut) </w:t>
      </w:r>
      <w:r>
        <w:rPr>
          <w:rStyle w:val="optioncarChar"/>
        </w:rPr>
        <w:t>/ ***.</w:t>
      </w:r>
    </w:p>
    <w:p w14:paraId="0B11E730" w14:textId="77777777" w:rsidR="00DF410E" w:rsidRDefault="00CE7F43">
      <w:pPr>
        <w:ind w:left="567"/>
        <w:jc w:val="both"/>
      </w:pPr>
      <w:r>
        <w:rPr>
          <w:rStyle w:val="soitChar"/>
        </w:rPr>
        <w:t xml:space="preserve">Pour la mise en œuvre, renvoi aux sous-titres </w:t>
      </w:r>
      <w:hyperlink r:id="rId195" w:history="1" w:docLocation="509">
        <w:r>
          <w:rPr>
            <w:rStyle w:val="soitChar"/>
          </w:rPr>
          <w:t>81.33 Finitions / décorations des métaux ferreux et non ferreux</w:t>
        </w:r>
      </w:hyperlink>
      <w:r>
        <w:rPr>
          <w:rStyle w:val="soitChar"/>
        </w:rPr>
        <w:t xml:space="preserve"> (intérieure) ou </w:t>
      </w:r>
      <w:hyperlink r:id="rId196" w:history="1" w:docLocation="510">
        <w:r>
          <w:rPr>
            <w:rStyle w:val="soitChar"/>
          </w:rPr>
          <w:t>82.33 Finitions / décorations des métaux ferreux et non ferreux</w:t>
        </w:r>
      </w:hyperlink>
      <w:r>
        <w:rPr>
          <w:rStyle w:val="soitChar"/>
        </w:rPr>
        <w:t xml:space="preserve"> (extérieure), et éléments et articles qui en découlent . </w:t>
      </w:r>
    </w:p>
    <w:p w14:paraId="48DEDCBA" w14:textId="77777777" w:rsidR="00DF410E" w:rsidRDefault="00CE7F43">
      <w:pPr>
        <w:jc w:val="both"/>
      </w:pPr>
      <w:r>
        <w:t>Ce traitement de finition est compris par défaut dans le poste, sauf contre-indication dans le cahier spécial des charges aux articles concernés ci-dessus. </w:t>
      </w:r>
    </w:p>
    <w:p w14:paraId="28C69F91" w14:textId="77777777" w:rsidR="00DF410E" w:rsidRDefault="00CE7F43">
      <w:pPr>
        <w:pStyle w:val="pheading"/>
      </w:pPr>
      <w:r>
        <w:t>- Prescriptions complémentaires</w:t>
      </w:r>
    </w:p>
    <w:p w14:paraId="66E448E7" w14:textId="77777777" w:rsidR="00DF410E" w:rsidRDefault="00CE7F43">
      <w:pPr>
        <w:jc w:val="both"/>
      </w:pPr>
      <w:r>
        <w:rPr>
          <w:rStyle w:val="facultChar"/>
        </w:rPr>
        <w:t>Le présent article comprend également la finition du bois.</w:t>
      </w:r>
    </w:p>
    <w:p w14:paraId="5ECDADD8" w14:textId="77777777" w:rsidR="00DF410E" w:rsidRDefault="00CE7F43">
      <w:pPr>
        <w:jc w:val="both"/>
      </w:pPr>
      <w:r>
        <w:rPr>
          <w:rStyle w:val="facultChar"/>
          <w:u w:val="single"/>
        </w:rPr>
        <w:t>Finition du bois </w:t>
      </w:r>
    </w:p>
    <w:p w14:paraId="13930ED7" w14:textId="77777777" w:rsidR="00DF410E" w:rsidRDefault="00CE7F43">
      <w:pPr>
        <w:jc w:val="both"/>
      </w:pPr>
      <w:r>
        <w:rPr>
          <w:rStyle w:val="facultChar"/>
        </w:rPr>
        <w:t xml:space="preserve">Toutes les parties en bois sont vernies en deux couches selon les titres </w:t>
      </w:r>
      <w:hyperlink r:id="rId197" w:history="1" w:docLocation="558">
        <w:r>
          <w:rPr>
            <w:rStyle w:val="facultChar"/>
          </w:rPr>
          <w:t>81.2 Peintures intérieures sur subjectiles en bois et dérivés du bois (feuillus, résineux, bois exotiques, panneaux)</w:t>
        </w:r>
      </w:hyperlink>
      <w:r>
        <w:rPr>
          <w:rStyle w:val="facultChar"/>
        </w:rPr>
        <w:t xml:space="preserve"> et </w:t>
      </w:r>
      <w:hyperlink r:id="rId198" w:history="1" w:docLocation="559">
        <w:r>
          <w:rPr>
            <w:rStyle w:val="facultChar"/>
          </w:rPr>
          <w:t>82.2 Peintures extérieures sur subjectiles en bois et dérivés du bois (feuillus, résineux, bois exotiques, panneaux)</w:t>
        </w:r>
      </w:hyperlink>
      <w:r>
        <w:rPr>
          <w:rStyle w:val="facultChar"/>
        </w:rPr>
        <w:t xml:space="preserve"> et éléments et articles qui en découlent.</w:t>
      </w:r>
    </w:p>
    <w:p w14:paraId="0BACF9A4" w14:textId="77777777" w:rsidR="00DF410E" w:rsidRDefault="00CE7F43">
      <w:pPr>
        <w:jc w:val="both"/>
      </w:pPr>
      <w:r>
        <w:rPr>
          <w:rStyle w:val="facultChar"/>
        </w:rPr>
        <w:t>Le traitement est compris dans le prix du poste. Le bois est protégé jusqu'à réception provisoire dans un emballage de protection évitant les chocs et rayures.</w:t>
      </w:r>
    </w:p>
    <w:p w14:paraId="05F1D083" w14:textId="77777777" w:rsidR="00DF410E" w:rsidRDefault="00CE7F43">
      <w:pPr>
        <w:pStyle w:val="pheading"/>
      </w:pPr>
      <w:r>
        <w:t>EXÉCUTION / MISE EN ŒUVRE</w:t>
      </w:r>
    </w:p>
    <w:p w14:paraId="28D8F374" w14:textId="77777777" w:rsidR="00DF410E" w:rsidRDefault="00CE7F43">
      <w:pPr>
        <w:pStyle w:val="pheading"/>
      </w:pPr>
      <w:r>
        <w:t>- Prescriptions générales</w:t>
      </w:r>
    </w:p>
    <w:p w14:paraId="26007605" w14:textId="77777777" w:rsidR="00DF410E" w:rsidRDefault="00CE7F43">
      <w:pPr>
        <w:jc w:val="both"/>
      </w:pPr>
      <w:r>
        <w:t>Toutes les pièces sont profilées conformément aux plans d'adjudication et/ou aux dessins d'exécution. Ces dessins d'exécution sont soumis à l'approbation de l’auteur de projet.</w:t>
      </w:r>
    </w:p>
    <w:p w14:paraId="7ABC5F3A" w14:textId="77777777" w:rsidR="00DF410E" w:rsidRDefault="00CE7F43">
      <w:pPr>
        <w:jc w:val="both"/>
      </w:pPr>
      <w:r>
        <w:t xml:space="preserve">L'étude et les plans d'exécution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p>
    <w:p w14:paraId="279E23DD" w14:textId="77777777" w:rsidR="00DF410E" w:rsidRDefault="00CE7F43">
      <w:pPr>
        <w:jc w:val="both"/>
      </w:pPr>
      <w:r>
        <w:rPr>
          <w:b/>
          <w:u w:val="single"/>
        </w:rPr>
        <w:t>Etudes et dessins de détail annexés au dossier d'adjudication</w:t>
      </w:r>
    </w:p>
    <w:p w14:paraId="78D2AF6C" w14:textId="77777777" w:rsidR="00DF410E" w:rsidRDefault="00CE7F43">
      <w:pPr>
        <w:jc w:val="both"/>
      </w:pPr>
      <w:r>
        <w:t>Les dessins d’exécution sont réalisés selon l’étude des plans et des détails de l'auteur de projet annexés au dossier d'adjudication.</w:t>
      </w:r>
    </w:p>
    <w:p w14:paraId="45A0AFC8" w14:textId="77777777" w:rsidR="00DF410E" w:rsidRDefault="00CE7F43">
      <w:pPr>
        <w:jc w:val="both"/>
      </w:pPr>
      <w:r>
        <w:rPr>
          <w:b/>
          <w:u w:val="single"/>
        </w:rPr>
        <w:t>Etudes et dessins à charge de l’entreprise</w:t>
      </w:r>
    </w:p>
    <w:p w14:paraId="408454B6" w14:textId="77777777" w:rsidR="00DF410E" w:rsidRDefault="00CE7F43">
      <w:pPr>
        <w:jc w:val="both"/>
      </w:pPr>
      <w:r>
        <w:t>Les études et les dessins d’exécution sont réalisés sur base des informations suivantes, complémentaires aux plans et coupes de soumission :</w:t>
      </w:r>
    </w:p>
    <w:p w14:paraId="2FB2A7C7" w14:textId="77777777" w:rsidR="00DF410E" w:rsidRDefault="00CE7F43">
      <w:pPr>
        <w:jc w:val="both"/>
      </w:pPr>
      <w:r>
        <w:rPr>
          <w:i/>
        </w:rPr>
        <w:t>Spécifications</w:t>
      </w:r>
    </w:p>
    <w:p w14:paraId="73DB5914" w14:textId="77777777" w:rsidR="00DF410E" w:rsidRDefault="00CE7F43">
      <w:pPr>
        <w:pStyle w:val="Author-eListParagraph"/>
        <w:numPr>
          <w:ilvl w:val="0"/>
          <w:numId w:val="748"/>
        </w:numPr>
      </w:pPr>
      <w:r>
        <w:t xml:space="preserve">Hauteur de protection (hauteur de la balustrade, y compris la main-courante) [NBN B 03-004] minimum : </w:t>
      </w:r>
    </w:p>
    <w:p w14:paraId="40F541A9" w14:textId="77777777" w:rsidR="00DF410E" w:rsidRDefault="00CE7F43">
      <w:pPr>
        <w:pStyle w:val="Author-eListParagraph"/>
        <w:numPr>
          <w:ilvl w:val="1"/>
          <w:numId w:val="749"/>
        </w:numPr>
      </w:pPr>
      <w:r>
        <w:t xml:space="preserve">Rampes : </w:t>
      </w:r>
      <w:r>
        <w:rPr>
          <w:rStyle w:val="optioncarChar"/>
        </w:rPr>
        <w:t xml:space="preserve">90 </w:t>
      </w:r>
      <w:r>
        <w:t xml:space="preserve">(par défaut) </w:t>
      </w:r>
      <w:r>
        <w:rPr>
          <w:rStyle w:val="optioncarChar"/>
        </w:rPr>
        <w:t>/ ***</w:t>
      </w:r>
      <w:r>
        <w:t xml:space="preserve"> cm.</w:t>
      </w:r>
    </w:p>
    <w:p w14:paraId="1BE4D1BB" w14:textId="77777777" w:rsidR="00DF410E" w:rsidRDefault="00CE7F43">
      <w:pPr>
        <w:pStyle w:val="Author-eListParagraph"/>
        <w:numPr>
          <w:ilvl w:val="1"/>
          <w:numId w:val="749"/>
        </w:numPr>
      </w:pPr>
      <w:r>
        <w:t>Paliers :</w:t>
      </w:r>
      <w:r>
        <w:rPr>
          <w:rStyle w:val="optioncarChar"/>
        </w:rPr>
        <w:t xml:space="preserve"> 100 </w:t>
      </w:r>
      <w:r>
        <w:t xml:space="preserve">(par défaut) </w:t>
      </w:r>
      <w:r>
        <w:rPr>
          <w:rStyle w:val="optioncarChar"/>
        </w:rPr>
        <w:t>/ ***</w:t>
      </w:r>
      <w:r>
        <w:t xml:space="preserve"> cm.</w:t>
      </w:r>
    </w:p>
    <w:p w14:paraId="344EA48A" w14:textId="77777777" w:rsidR="00DF410E" w:rsidRDefault="00CE7F43">
      <w:pPr>
        <w:pStyle w:val="Author-eListParagraph"/>
        <w:numPr>
          <w:ilvl w:val="1"/>
          <w:numId w:val="749"/>
        </w:numPr>
      </w:pPr>
      <w:r>
        <w:t>Garde-corps :</w:t>
      </w:r>
      <w:r>
        <w:rPr>
          <w:rStyle w:val="optioncarChar"/>
        </w:rPr>
        <w:t xml:space="preserve"> 110</w:t>
      </w:r>
      <w:r>
        <w:t xml:space="preserve"> (par défaut)</w:t>
      </w:r>
      <w:r>
        <w:rPr>
          <w:rStyle w:val="optioncarChar"/>
        </w:rPr>
        <w:t xml:space="preserve"> / ***</w:t>
      </w:r>
      <w:r>
        <w:t xml:space="preserve"> cm.</w:t>
      </w:r>
    </w:p>
    <w:p w14:paraId="480AFF0D" w14:textId="77777777" w:rsidR="00DF410E" w:rsidRDefault="00CE7F43">
      <w:pPr>
        <w:pStyle w:val="Author-eListParagraph"/>
        <w:numPr>
          <w:ilvl w:val="0"/>
          <w:numId w:val="748"/>
        </w:numPr>
      </w:pPr>
      <w:r>
        <w:t xml:space="preserve">Ouverture inférieure entre le support et la lisse inférieure : maximum </w:t>
      </w:r>
      <w:r>
        <w:rPr>
          <w:rStyle w:val="optioncarChar"/>
        </w:rPr>
        <w:t xml:space="preserve">11 cm (garde-corps) / 18 cm (rampe avec limon) / 5 cm (par rapport au nez pour les rampes sans limon) </w:t>
      </w:r>
      <w:r>
        <w:t>(par défaut). </w:t>
      </w:r>
    </w:p>
    <w:p w14:paraId="68E7630C" w14:textId="77777777" w:rsidR="00DF410E" w:rsidRDefault="00CE7F43">
      <w:pPr>
        <w:pStyle w:val="Author-eListParagraph"/>
        <w:numPr>
          <w:ilvl w:val="0"/>
          <w:numId w:val="748"/>
        </w:numPr>
      </w:pPr>
      <w:r>
        <w:t>Saillie du garde-corps : maximum 5 cm.</w:t>
      </w:r>
    </w:p>
    <w:p w14:paraId="0FCFAE96" w14:textId="77777777" w:rsidR="00DF410E" w:rsidRDefault="00CE7F43">
      <w:pPr>
        <w:pStyle w:val="Author-eListParagraph"/>
        <w:numPr>
          <w:ilvl w:val="0"/>
          <w:numId w:val="748"/>
        </w:numPr>
      </w:pPr>
      <w:r>
        <w:t>Forme des balustres :</w:t>
      </w:r>
      <w:r>
        <w:rPr>
          <w:rStyle w:val="optioncarChar"/>
        </w:rPr>
        <w:t xml:space="preserve"> rond </w:t>
      </w:r>
      <w:r>
        <w:t>(par défaut)</w:t>
      </w:r>
      <w:r>
        <w:rPr>
          <w:rStyle w:val="optioncarChar"/>
        </w:rPr>
        <w:t xml:space="preserve"> / rectangulaire / carré / plat / ***</w:t>
      </w:r>
      <w:r>
        <w:t>.</w:t>
      </w:r>
    </w:p>
    <w:p w14:paraId="2D696132" w14:textId="77777777" w:rsidR="00DF410E" w:rsidRDefault="00CE7F43">
      <w:pPr>
        <w:pStyle w:val="Author-eListParagraph"/>
        <w:numPr>
          <w:ilvl w:val="0"/>
          <w:numId w:val="748"/>
        </w:numPr>
      </w:pPr>
      <w:r>
        <w:t>Section des balustres :</w:t>
      </w:r>
      <w:r>
        <w:rPr>
          <w:rStyle w:val="optioncarChar"/>
        </w:rPr>
        <w:t xml:space="preserve"> au choix de l’entrepreneur, répondant aux prescriptions de résistance aux chocs de la section 6 de la norme [NBN B 03-004]</w:t>
      </w:r>
      <w:r>
        <w:t> (par défaut) / ***.</w:t>
      </w:r>
    </w:p>
    <w:p w14:paraId="3EC2978D" w14:textId="77777777" w:rsidR="00DF410E" w:rsidRDefault="00CE7F43">
      <w:pPr>
        <w:pStyle w:val="Author-eListParagraph"/>
        <w:numPr>
          <w:ilvl w:val="0"/>
          <w:numId w:val="748"/>
        </w:numPr>
      </w:pPr>
      <w:r>
        <w:t xml:space="preserve">Zone inférieure jusqu'à une hauteur de 450 mm : </w:t>
      </w:r>
      <w:r>
        <w:rPr>
          <w:rStyle w:val="optioncarChar"/>
        </w:rPr>
        <w:t>balustres verticaux</w:t>
      </w:r>
      <w:r>
        <w:t xml:space="preserve"> (par défaut)</w:t>
      </w:r>
      <w:r>
        <w:rPr>
          <w:rStyle w:val="optioncarChar"/>
        </w:rPr>
        <w:t xml:space="preserve"> / éléments de remplissage</w:t>
      </w:r>
      <w:r>
        <w:t>.</w:t>
      </w:r>
    </w:p>
    <w:p w14:paraId="4A3CD4A3" w14:textId="77777777" w:rsidR="00DF410E" w:rsidRDefault="00CE7F43">
      <w:pPr>
        <w:ind w:left="1134"/>
        <w:jc w:val="both"/>
      </w:pPr>
      <w:r>
        <w:rPr>
          <w:b/>
          <w:i/>
        </w:rPr>
        <w:t>(Soit par défaut)</w:t>
      </w:r>
    </w:p>
    <w:p w14:paraId="1AB657F2" w14:textId="77777777" w:rsidR="00DF410E" w:rsidRDefault="00CE7F43">
      <w:pPr>
        <w:ind w:left="1134"/>
        <w:jc w:val="both"/>
      </w:pPr>
      <w:r>
        <w:rPr>
          <w:rStyle w:val="soitChar"/>
          <w:u w:val="single"/>
        </w:rPr>
        <w:t>balustres verticaux</w:t>
      </w:r>
    </w:p>
    <w:p w14:paraId="60589383" w14:textId="77777777" w:rsidR="00DF410E" w:rsidRDefault="00CE7F43">
      <w:pPr>
        <w:ind w:left="1134"/>
        <w:jc w:val="both"/>
      </w:pPr>
      <w:r>
        <w:rPr>
          <w:rStyle w:val="soitChar"/>
        </w:rPr>
        <w:t>Le garde-corps se compose uniquement de balustres verticaux.</w:t>
      </w:r>
    </w:p>
    <w:p w14:paraId="411FF60F" w14:textId="77777777" w:rsidR="00DF410E" w:rsidRDefault="00CE7F43">
      <w:pPr>
        <w:ind w:left="1134"/>
        <w:jc w:val="both"/>
      </w:pPr>
      <w:r>
        <w:rPr>
          <w:b/>
          <w:i/>
        </w:rPr>
        <w:t>(Soit)</w:t>
      </w:r>
    </w:p>
    <w:p w14:paraId="022F85C1" w14:textId="77777777" w:rsidR="00DF410E" w:rsidRDefault="00CE7F43">
      <w:pPr>
        <w:ind w:left="1134"/>
        <w:jc w:val="both"/>
      </w:pPr>
      <w:r>
        <w:rPr>
          <w:rStyle w:val="soitChar"/>
          <w:u w:val="single"/>
        </w:rPr>
        <w:t>éléments de remplissage</w:t>
      </w:r>
    </w:p>
    <w:p w14:paraId="742AEA98" w14:textId="77777777" w:rsidR="00DF410E" w:rsidRDefault="00CE7F43">
      <w:pPr>
        <w:ind w:left="1134"/>
        <w:jc w:val="both"/>
      </w:pPr>
      <w:r>
        <w:rPr>
          <w:rStyle w:val="soitChar"/>
        </w:rPr>
        <w:t xml:space="preserve">Type de remplissage : </w:t>
      </w:r>
      <w:r>
        <w:rPr>
          <w:rStyle w:val="optioncarChar"/>
        </w:rPr>
        <w:t>tôle en acier perforé (épaisseur : 3 </w:t>
      </w:r>
      <w:r>
        <w:t>(par défaut)</w:t>
      </w:r>
      <w:r>
        <w:rPr>
          <w:rStyle w:val="optioncarChar"/>
        </w:rPr>
        <w:t xml:space="preserve"> / *** mm)</w:t>
      </w:r>
      <w:r>
        <w:t xml:space="preserve"> (par défaut) </w:t>
      </w:r>
      <w:r>
        <w:rPr>
          <w:rStyle w:val="optioncarChar"/>
        </w:rPr>
        <w:t>/ métal déployé / grillage à maille carrée section : *** x *** mm / verre feuilleté (44.2 </w:t>
      </w:r>
      <w:r>
        <w:t>(par défaut) </w:t>
      </w:r>
      <w:r>
        <w:rPr>
          <w:rStyle w:val="optioncarChar"/>
        </w:rPr>
        <w:t>/ ***) / ***</w:t>
      </w:r>
      <w:r>
        <w:rPr>
          <w:rStyle w:val="soitChar"/>
        </w:rPr>
        <w:t>.</w:t>
      </w:r>
    </w:p>
    <w:p w14:paraId="2D76ACE1" w14:textId="77777777" w:rsidR="00DF410E" w:rsidRDefault="00CE7F43">
      <w:pPr>
        <w:pStyle w:val="Author-eListParagraph"/>
        <w:numPr>
          <w:ilvl w:val="0"/>
          <w:numId w:val="750"/>
        </w:numPr>
      </w:pPr>
      <w:r>
        <w:t>Ecartement horizontal des balustres verticaux [NBN B 03-004]  : inférieur à 11 cm.</w:t>
      </w:r>
    </w:p>
    <w:p w14:paraId="3CD2EE42" w14:textId="77777777" w:rsidR="00DF410E" w:rsidRDefault="00CE7F43">
      <w:pPr>
        <w:pStyle w:val="Author-eListParagraph"/>
        <w:numPr>
          <w:ilvl w:val="0"/>
          <w:numId w:val="750"/>
        </w:numPr>
      </w:pPr>
      <w:r>
        <w:t>Ecartement vertical des balustres « horizontaux » (situées à plus de 450 mm de la partie inférieure du garde-corps) [NBN B 03-004] : maximum 18 cm.</w:t>
      </w:r>
    </w:p>
    <w:p w14:paraId="030B2E80" w14:textId="77777777" w:rsidR="00DF410E" w:rsidRDefault="00CE7F43">
      <w:pPr>
        <w:jc w:val="both"/>
      </w:pPr>
      <w:r>
        <w:rPr>
          <w:i/>
        </w:rPr>
        <w:t>Main courante</w:t>
      </w:r>
    </w:p>
    <w:p w14:paraId="5F0393C7" w14:textId="77777777" w:rsidR="00DF410E" w:rsidRDefault="00CE7F43">
      <w:pPr>
        <w:pStyle w:val="Author-eListParagraph"/>
        <w:numPr>
          <w:ilvl w:val="0"/>
          <w:numId w:val="751"/>
        </w:numPr>
        <w:jc w:val="both"/>
      </w:pPr>
      <w:r>
        <w:t xml:space="preserve">Forme des mains courantes : </w:t>
      </w:r>
      <w:r>
        <w:rPr>
          <w:rStyle w:val="optioncarChar"/>
        </w:rPr>
        <w:t>ronde</w:t>
      </w:r>
      <w:r>
        <w:t xml:space="preserve"> (par défaut) </w:t>
      </w:r>
      <w:r>
        <w:rPr>
          <w:rStyle w:val="optioncarChar"/>
        </w:rPr>
        <w:t>/ rectangulaire / U / ***</w:t>
      </w:r>
      <w:r>
        <w:t>.</w:t>
      </w:r>
    </w:p>
    <w:p w14:paraId="27492ABD" w14:textId="77777777" w:rsidR="00DF410E" w:rsidRDefault="00CE7F43">
      <w:pPr>
        <w:pStyle w:val="Author-eListParagraph"/>
        <w:numPr>
          <w:ilvl w:val="0"/>
          <w:numId w:val="751"/>
        </w:numPr>
        <w:jc w:val="both"/>
      </w:pPr>
      <w:r>
        <w:t xml:space="preserve">Section des mains courantes : </w:t>
      </w:r>
      <w:r>
        <w:rPr>
          <w:rStyle w:val="optioncarChar"/>
        </w:rPr>
        <w:t xml:space="preserve">diamètre 40 mm </w:t>
      </w:r>
      <w:r>
        <w:t>(par défaut)</w:t>
      </w:r>
      <w:r>
        <w:rPr>
          <w:rStyle w:val="optioncarChar"/>
        </w:rPr>
        <w:t xml:space="preserve"> / ***</w:t>
      </w:r>
      <w:r>
        <w:t>.</w:t>
      </w:r>
    </w:p>
    <w:p w14:paraId="3CF95F4A" w14:textId="77777777" w:rsidR="00DF410E" w:rsidRDefault="00CE7F43">
      <w:pPr>
        <w:pStyle w:val="pheading"/>
      </w:pPr>
      <w:r>
        <w:t>- Notes d’exécution complémentaires</w:t>
      </w:r>
    </w:p>
    <w:p w14:paraId="45C9706D" w14:textId="77777777" w:rsidR="00DF410E" w:rsidRDefault="00CE7F43">
      <w:pPr>
        <w:jc w:val="both"/>
      </w:pPr>
      <w:r>
        <w:rPr>
          <w:rStyle w:val="facultChar"/>
        </w:rPr>
        <w:t>Le présent article comprend également :</w:t>
      </w:r>
      <w:r>
        <w:rPr>
          <w:rStyle w:val="optioncarChar"/>
        </w:rPr>
        <w:t>les recommandations PMR / les limons de trémie / les coupures thermiques</w:t>
      </w:r>
      <w:r>
        <w:t>.</w:t>
      </w:r>
    </w:p>
    <w:p w14:paraId="5BEAD791" w14:textId="77777777" w:rsidR="00DF410E" w:rsidRDefault="00CE7F43">
      <w:pPr>
        <w:pStyle w:val="Author-eListParagraph"/>
        <w:numPr>
          <w:ilvl w:val="0"/>
          <w:numId w:val="752"/>
        </w:numPr>
      </w:pPr>
      <w:r>
        <w:rPr>
          <w:rStyle w:val="facultChar"/>
          <w:u w:val="single"/>
        </w:rPr>
        <w:t>Respect PMR</w:t>
      </w:r>
      <w:r>
        <w:br/>
      </w:r>
      <w:r>
        <w:rPr>
          <w:rStyle w:val="facultChar"/>
        </w:rPr>
        <w:t xml:space="preserve">Les recommandations pour les personnes à mobilité réduite (PMR) du sous-titre </w:t>
      </w:r>
      <w:hyperlink w:anchor="189" w:history="1">
        <w:r>
          <w:rPr>
            <w:rStyle w:val="facultChar"/>
          </w:rPr>
          <w:t>23.32 Garde-corps et rampes métalliques</w:t>
        </w:r>
      </w:hyperlink>
      <w:r>
        <w:rPr>
          <w:rStyle w:val="facultChar"/>
        </w:rPr>
        <w:t xml:space="preserve"> doivent être respectées.</w:t>
      </w:r>
    </w:p>
    <w:p w14:paraId="5B5CCAF0" w14:textId="77777777" w:rsidR="00DF410E" w:rsidRDefault="00CE7F43">
      <w:pPr>
        <w:pStyle w:val="Author-eListParagraph"/>
        <w:numPr>
          <w:ilvl w:val="0"/>
          <w:numId w:val="753"/>
        </w:numPr>
      </w:pPr>
      <w:r>
        <w:rPr>
          <w:rStyle w:val="facultChar"/>
          <w:u w:val="single"/>
        </w:rPr>
        <w:t>Limons de trémie</w:t>
      </w:r>
      <w:r>
        <w:br/>
      </w:r>
      <w:r>
        <w:rPr>
          <w:rStyle w:val="facultChar"/>
        </w:rPr>
        <w:t>Les jours des trémies doivent être revêtus d'un limon (Il n’est pas prévu de les enduire).</w:t>
      </w:r>
    </w:p>
    <w:p w14:paraId="11E23D4B" w14:textId="77777777" w:rsidR="00DF410E" w:rsidRDefault="00CE7F43">
      <w:pPr>
        <w:pStyle w:val="Author-eListParagraph"/>
        <w:numPr>
          <w:ilvl w:val="0"/>
          <w:numId w:val="754"/>
        </w:numPr>
        <w:jc w:val="both"/>
      </w:pPr>
      <w:r>
        <w:rPr>
          <w:rStyle w:val="facultChar"/>
          <w:u w:val="single"/>
        </w:rPr>
        <w:t>Coupures thermiques</w:t>
      </w:r>
    </w:p>
    <w:p w14:paraId="2F563380" w14:textId="77777777" w:rsidR="00DF410E" w:rsidRDefault="00CE7F43">
      <w:pPr>
        <w:pStyle w:val="Author-eListParagraph"/>
        <w:numPr>
          <w:ilvl w:val="0"/>
          <w:numId w:val="754"/>
        </w:numPr>
        <w:jc w:val="both"/>
      </w:pPr>
      <w:r>
        <w:rPr>
          <w:rStyle w:val="facultChar"/>
        </w:rPr>
        <w:t>Des dispositifs adéquats sont utilisés pour éviter tout pont thermique.</w:t>
      </w:r>
    </w:p>
    <w:p w14:paraId="19027365" w14:textId="77777777" w:rsidR="00DF410E" w:rsidRDefault="00CE7F43">
      <w:pPr>
        <w:pStyle w:val="pheading"/>
      </w:pPr>
      <w:r>
        <w:t>DOCUMENTS DE RÉFÉRENCE COMPLÉMENTAIRES</w:t>
      </w:r>
    </w:p>
    <w:p w14:paraId="0E119E85" w14:textId="77777777" w:rsidR="00DF410E" w:rsidRDefault="00CE7F43">
      <w:pPr>
        <w:pStyle w:val="pheading"/>
      </w:pPr>
      <w:r>
        <w:t>- Matériau</w:t>
      </w:r>
    </w:p>
    <w:p w14:paraId="54FB09F7" w14:textId="77777777" w:rsidR="00DF410E" w:rsidRDefault="00CE7F43">
      <w:r>
        <w:t>[NBN EN 10025 série, Produits laminés à chaud en aciers de construction]</w:t>
      </w:r>
    </w:p>
    <w:p w14:paraId="3DBA24AB" w14:textId="77777777" w:rsidR="00DF410E" w:rsidRDefault="00CE7F43">
      <w:r>
        <w:t>[NBN B 03-004, Garde-corps de bâtiments]</w:t>
      </w:r>
    </w:p>
    <w:p w14:paraId="291D8917" w14:textId="77777777" w:rsidR="00DF410E" w:rsidRDefault="00CE7F43">
      <w:pPr>
        <w:pStyle w:val="pheading"/>
      </w:pPr>
      <w:r>
        <w:t>- Exécution</w:t>
      </w:r>
    </w:p>
    <w:p w14:paraId="6D211071" w14:textId="77777777" w:rsidR="00DF410E" w:rsidRDefault="00CE7F43">
      <w:r>
        <w:t>[NBN B 03-004, Garde-corps de bâtiments]</w:t>
      </w:r>
    </w:p>
    <w:p w14:paraId="2880BE22" w14:textId="77777777" w:rsidR="00DF410E" w:rsidRDefault="00CE7F43">
      <w:pPr>
        <w:pStyle w:val="pheading"/>
      </w:pPr>
      <w:r>
        <w:t>MESURAGE</w:t>
      </w:r>
    </w:p>
    <w:p w14:paraId="6E0AD439" w14:textId="77777777" w:rsidR="00DF410E" w:rsidRDefault="00CE7F43">
      <w:pPr>
        <w:pStyle w:val="pheading"/>
      </w:pPr>
      <w:r>
        <w:t>- unité de mesure:</w:t>
      </w:r>
    </w:p>
    <w:p w14:paraId="307C7F8D" w14:textId="77777777" w:rsidR="00DF410E" w:rsidRDefault="00CE7F43">
      <w:r>
        <w:rPr>
          <w:rStyle w:val="optioncarChar"/>
        </w:rPr>
        <w:t xml:space="preserve">pc </w:t>
      </w:r>
      <w:r>
        <w:t>(par défaut)</w:t>
      </w:r>
      <w:r>
        <w:rPr>
          <w:rStyle w:val="optioncarChar"/>
        </w:rPr>
        <w:t xml:space="preserve"> / m</w:t>
      </w:r>
    </w:p>
    <w:p w14:paraId="33360CFB" w14:textId="77777777" w:rsidR="00DF410E" w:rsidRDefault="00CE7F43">
      <w:r>
        <w:rPr>
          <w:b/>
          <w:i/>
        </w:rPr>
        <w:t>(Soit par défaut)</w:t>
      </w:r>
    </w:p>
    <w:p w14:paraId="3B9CBAF9" w14:textId="77777777" w:rsidR="00DF410E" w:rsidRDefault="00CE7F43">
      <w:r>
        <w:rPr>
          <w:rStyle w:val="soitChar"/>
        </w:rPr>
        <w:t>1. pc</w:t>
      </w:r>
    </w:p>
    <w:p w14:paraId="06BDA85E" w14:textId="77777777" w:rsidR="00DF410E" w:rsidRDefault="00CE7F43">
      <w:r>
        <w:br/>
      </w:r>
      <w:r>
        <w:rPr>
          <w:b/>
          <w:i/>
        </w:rPr>
        <w:t>(Soit)</w:t>
      </w:r>
    </w:p>
    <w:p w14:paraId="34F0E3AF" w14:textId="77777777" w:rsidR="00DF410E" w:rsidRDefault="00CE7F43">
      <w:r>
        <w:rPr>
          <w:rStyle w:val="soitChar"/>
        </w:rPr>
        <w:t>2. m</w:t>
      </w:r>
    </w:p>
    <w:p w14:paraId="185B79A2" w14:textId="77777777" w:rsidR="00DF410E" w:rsidRDefault="00CE7F43">
      <w:pPr>
        <w:pStyle w:val="pheading"/>
      </w:pPr>
      <w:r>
        <w:t>- code de mesurage:</w:t>
      </w:r>
    </w:p>
    <w:p w14:paraId="0855F327" w14:textId="77777777" w:rsidR="00DF410E" w:rsidRDefault="00CE7F43">
      <w:r>
        <w:rPr>
          <w:rStyle w:val="optioncarChar"/>
        </w:rPr>
        <w:t xml:space="preserve"> quantité nette </w:t>
      </w:r>
      <w:r>
        <w:t>(par défaut)</w:t>
      </w:r>
      <w:r>
        <w:rPr>
          <w:rStyle w:val="optioncarChar"/>
        </w:rPr>
        <w:t xml:space="preserve"> / longueur nette</w:t>
      </w:r>
    </w:p>
    <w:p w14:paraId="645DD497" w14:textId="77777777" w:rsidR="00DF410E" w:rsidRDefault="00CE7F43">
      <w:r>
        <w:rPr>
          <w:b/>
          <w:i/>
        </w:rPr>
        <w:t>(Soit par défaut)</w:t>
      </w:r>
    </w:p>
    <w:p w14:paraId="7EB1923F" w14:textId="77777777" w:rsidR="00DF410E" w:rsidRDefault="00CE7F43">
      <w:r>
        <w:rPr>
          <w:rStyle w:val="soitChar"/>
          <w:u w:val="single"/>
        </w:rPr>
        <w:t>1. quantité nette</w:t>
      </w:r>
      <w:r>
        <w:rPr>
          <w:rStyle w:val="soitChar"/>
        </w:rPr>
        <w:t xml:space="preserve"> à mettre en œuvre, ventilée selon la nature des éléments constitutifs et des dimensions.</w:t>
      </w:r>
      <w:r>
        <w:br/>
      </w:r>
      <w:r>
        <w:rPr>
          <w:b/>
          <w:i/>
        </w:rPr>
        <w:t> (Soit)</w:t>
      </w:r>
    </w:p>
    <w:p w14:paraId="7D448294" w14:textId="77777777" w:rsidR="00DF410E" w:rsidRDefault="00CE7F43">
      <w:r>
        <w:rPr>
          <w:rStyle w:val="soitChar"/>
          <w:u w:val="single"/>
        </w:rPr>
        <w:t>2. longueur nette</w:t>
      </w:r>
      <w:r>
        <w:rPr>
          <w:rStyle w:val="soitChar"/>
        </w:rPr>
        <w:t xml:space="preserve"> à mettre en œuvre, ventilée selon la nature des éléments constitutifs.</w:t>
      </w:r>
    </w:p>
    <w:p w14:paraId="4852662B" w14:textId="77777777" w:rsidR="00DF410E" w:rsidRDefault="00CE7F43">
      <w:pPr>
        <w:pStyle w:val="pheading"/>
      </w:pPr>
      <w:r>
        <w:t>- nature du marché:</w:t>
      </w:r>
    </w:p>
    <w:p w14:paraId="1C2669F2" w14:textId="77777777" w:rsidR="00DF410E" w:rsidRDefault="00CE7F43">
      <w:r>
        <w:t>QF</w:t>
      </w:r>
    </w:p>
    <w:p w14:paraId="08BB3917" w14:textId="77777777" w:rsidR="00DF410E" w:rsidRDefault="00CE7F43">
      <w:pPr>
        <w:pStyle w:val="Author-eSectionHeading5"/>
      </w:pPr>
      <w:bookmarkStart w:id="1404" w:name="_Toc178838514"/>
      <w:r>
        <w:t>23.32.2 Garde-corps et rampes en acier inoxydable CCTB 01.04</w:t>
      </w:r>
      <w:bookmarkEnd w:id="1404"/>
    </w:p>
    <w:p w14:paraId="1189E879" w14:textId="77777777" w:rsidR="00DF410E" w:rsidRDefault="00CE7F43">
      <w:pPr>
        <w:pStyle w:val="Author-eSectionHeading6"/>
      </w:pPr>
      <w:bookmarkStart w:id="1405" w:name="_Toc178838515"/>
      <w:r>
        <w:t>23.32.2a Garde-corps et rampes en acier inoxydable CCTB 01.04</w:t>
      </w:r>
      <w:bookmarkEnd w:id="1405"/>
    </w:p>
    <w:p w14:paraId="72A81783" w14:textId="77777777" w:rsidR="00DF410E" w:rsidRDefault="00CE7F43">
      <w:pPr>
        <w:pStyle w:val="Author-eSectionHeading5"/>
      </w:pPr>
      <w:bookmarkStart w:id="1406" w:name="_Toc178838516"/>
      <w:r>
        <w:t>23.32.3 Garde-corps et rampes en aluminium CCTB 01.04</w:t>
      </w:r>
      <w:bookmarkEnd w:id="1406"/>
    </w:p>
    <w:p w14:paraId="359AE737" w14:textId="77777777" w:rsidR="00DF410E" w:rsidRDefault="00CE7F43">
      <w:pPr>
        <w:pStyle w:val="Author-eSectionHeading6"/>
      </w:pPr>
      <w:bookmarkStart w:id="1407" w:name="_Toc178838517"/>
      <w:r>
        <w:t>23.32.3a Garde-corps et rampes en aluminium CCTB 01.04</w:t>
      </w:r>
      <w:bookmarkEnd w:id="1407"/>
    </w:p>
    <w:p w14:paraId="12A4EEBE" w14:textId="77777777" w:rsidR="00DF410E" w:rsidRDefault="00CE7F43">
      <w:pPr>
        <w:pStyle w:val="Author-eSectionHeading4"/>
      </w:pPr>
      <w:bookmarkStart w:id="1408" w:name="_Toc178838518"/>
      <w:r>
        <w:t>23.33 Balcons et terrasses métalliques CCTB 01.02</w:t>
      </w:r>
      <w:bookmarkEnd w:id="1408"/>
    </w:p>
    <w:p w14:paraId="5C67A69E" w14:textId="77777777" w:rsidR="00DF410E" w:rsidRDefault="00CE7F43">
      <w:pPr>
        <w:pStyle w:val="Author-eSectionHeading5"/>
      </w:pPr>
      <w:bookmarkStart w:id="1409" w:name="_Toc178838519"/>
      <w:r>
        <w:t>23.33.1 Balcons et terrasses en acier CCTB 01.04</w:t>
      </w:r>
      <w:bookmarkEnd w:id="1409"/>
    </w:p>
    <w:p w14:paraId="0F6FF310" w14:textId="77777777" w:rsidR="00DF410E" w:rsidRDefault="00CE7F43">
      <w:pPr>
        <w:pStyle w:val="Author-eSectionHeading6"/>
      </w:pPr>
      <w:bookmarkStart w:id="1410" w:name="_Toc178838520"/>
      <w:r>
        <w:t>23.33.1a Balcons et terrasses en acier CCTB 01.04</w:t>
      </w:r>
      <w:bookmarkEnd w:id="1410"/>
    </w:p>
    <w:p w14:paraId="54CC635C" w14:textId="77777777" w:rsidR="00DF410E" w:rsidRDefault="00CE7F43">
      <w:pPr>
        <w:pStyle w:val="Author-eSectionHeading5"/>
      </w:pPr>
      <w:bookmarkStart w:id="1411" w:name="_Toc178838521"/>
      <w:r>
        <w:t>23.33.2 Balcons et terrasses en acier inoxydable CCTB 01.04</w:t>
      </w:r>
      <w:bookmarkEnd w:id="1411"/>
    </w:p>
    <w:p w14:paraId="400CA341" w14:textId="77777777" w:rsidR="00DF410E" w:rsidRDefault="00CE7F43">
      <w:pPr>
        <w:pStyle w:val="Author-eSectionHeading6"/>
      </w:pPr>
      <w:bookmarkStart w:id="1412" w:name="_Toc178838522"/>
      <w:r>
        <w:t>23.33.2a Balcons et terrasses en acier inoxydable CCTB 01.04</w:t>
      </w:r>
      <w:bookmarkEnd w:id="1412"/>
    </w:p>
    <w:p w14:paraId="3FDFBE7E" w14:textId="77777777" w:rsidR="00DF410E" w:rsidRDefault="00CE7F43">
      <w:pPr>
        <w:pStyle w:val="Author-eSectionHeading5"/>
      </w:pPr>
      <w:bookmarkStart w:id="1413" w:name="_Toc178838523"/>
      <w:r>
        <w:t>23.33.3 Balcons et terrasses en aluminium CCTB 01.04</w:t>
      </w:r>
      <w:bookmarkEnd w:id="1413"/>
    </w:p>
    <w:p w14:paraId="059BC55D" w14:textId="77777777" w:rsidR="00DF410E" w:rsidRDefault="00CE7F43">
      <w:pPr>
        <w:pStyle w:val="Author-eSectionHeading6"/>
      </w:pPr>
      <w:bookmarkStart w:id="1414" w:name="_Toc178838524"/>
      <w:r>
        <w:t>23.33.3a Balcons et terrasses en aluminium CCTB 01.04</w:t>
      </w:r>
      <w:bookmarkEnd w:id="1414"/>
    </w:p>
    <w:p w14:paraId="43EF2F3E" w14:textId="77777777" w:rsidR="00DF410E" w:rsidRDefault="00CE7F43">
      <w:pPr>
        <w:pStyle w:val="Author-eSectionHeading4"/>
      </w:pPr>
      <w:bookmarkStart w:id="1415" w:name="_Toc178838525"/>
      <w:r>
        <w:t>23.34 Passerelles et coursives métalliques CCTB 01.11</w:t>
      </w:r>
      <w:bookmarkEnd w:id="1415"/>
    </w:p>
    <w:p w14:paraId="49F428AD" w14:textId="77777777" w:rsidR="00DF410E" w:rsidRDefault="00CE7F43">
      <w:pPr>
        <w:pStyle w:val="pheading"/>
      </w:pPr>
      <w:bookmarkStart w:id="1416" w:name="564"/>
      <w:bookmarkEnd w:id="1416"/>
      <w:r>
        <w:t>DESCRIPTION</w:t>
      </w:r>
    </w:p>
    <w:p w14:paraId="36C955CE" w14:textId="77777777" w:rsidR="00DF410E" w:rsidRDefault="00CE7F43">
      <w:pPr>
        <w:pStyle w:val="pheading"/>
      </w:pPr>
      <w:r>
        <w:t>- Définition / Comprend</w:t>
      </w:r>
    </w:p>
    <w:p w14:paraId="64ED9B52" w14:textId="77777777" w:rsidR="00DF410E" w:rsidRDefault="00CE7F43">
      <w:pPr>
        <w:jc w:val="both"/>
      </w:pPr>
      <w:r>
        <w:t>Il s’agit de la fourniture et la pose de tous les éléments d’une passerelle ou coursive métallique nécessaires pour obtenir un ensemble parfaitement fini, c'est-à-dire l'ensemble de toutes les composantes, y compris la finition des bords, les moyens de fixation, etc.</w:t>
      </w:r>
    </w:p>
    <w:p w14:paraId="0A6C90AE" w14:textId="77777777" w:rsidR="00DF410E" w:rsidRDefault="00CE7F43">
      <w:pPr>
        <w:jc w:val="both"/>
      </w:pPr>
      <w:r>
        <w:t>Ce poste comprend notamment :</w:t>
      </w:r>
    </w:p>
    <w:p w14:paraId="01F7084E" w14:textId="77777777" w:rsidR="00DF410E" w:rsidRDefault="00CE7F43">
      <w:pPr>
        <w:pStyle w:val="Author-eListParagraph"/>
        <w:numPr>
          <w:ilvl w:val="0"/>
          <w:numId w:val="755"/>
        </w:numPr>
      </w:pPr>
      <w:r>
        <w:t>le relevé sur place des dimensions exactes ;</w:t>
      </w:r>
    </w:p>
    <w:p w14:paraId="7D064870" w14:textId="77777777" w:rsidR="00DF410E" w:rsidRDefault="00CE7F43">
      <w:pPr>
        <w:pStyle w:val="Author-eListParagraph"/>
        <w:numPr>
          <w:ilvl w:val="0"/>
          <w:numId w:val="755"/>
        </w:numPr>
      </w:pPr>
      <w:r>
        <w:t>le contrôle et la préparation des supports ;</w:t>
      </w:r>
    </w:p>
    <w:p w14:paraId="7515E20E" w14:textId="77777777" w:rsidR="00DF410E" w:rsidRDefault="00CE7F43">
      <w:pPr>
        <w:pStyle w:val="Author-eListParagraph"/>
        <w:numPr>
          <w:ilvl w:val="0"/>
          <w:numId w:val="755"/>
        </w:numPr>
      </w:pPr>
      <w:r>
        <w:t>la fabrication sur mesure, le transport et la mise en œuvre de tous les éléments y compris tous les moyens de fixation et/ou de pose ;</w:t>
      </w:r>
    </w:p>
    <w:p w14:paraId="638E1D1C" w14:textId="77777777" w:rsidR="00DF410E" w:rsidRDefault="00CE7F43">
      <w:pPr>
        <w:pStyle w:val="Author-eListParagraph"/>
        <w:numPr>
          <w:ilvl w:val="0"/>
          <w:numId w:val="755"/>
        </w:numPr>
      </w:pPr>
      <w:r>
        <w:t>l'exécution des assemblages et des éventuelles jonctions avec la structure de construction ;</w:t>
      </w:r>
    </w:p>
    <w:p w14:paraId="5DFF95E9" w14:textId="77777777" w:rsidR="00DF410E" w:rsidRDefault="00CE7F43">
      <w:pPr>
        <w:pStyle w:val="Author-eListParagraph"/>
        <w:numPr>
          <w:ilvl w:val="0"/>
          <w:numId w:val="755"/>
        </w:numPr>
      </w:pPr>
      <w:r>
        <w:t>la finition des bords, les raccordements avec les finitions de mur et de sol attenantes ;</w:t>
      </w:r>
    </w:p>
    <w:p w14:paraId="3126E436" w14:textId="77777777" w:rsidR="00DF410E" w:rsidRDefault="00CE7F43">
      <w:pPr>
        <w:pStyle w:val="Author-eListParagraph"/>
        <w:numPr>
          <w:ilvl w:val="0"/>
          <w:numId w:val="755"/>
        </w:numPr>
      </w:pPr>
      <w:r>
        <w:t>le nettoyage des éléments, y compris l'enlèvement des taches de mortier ou de colle ;</w:t>
      </w:r>
    </w:p>
    <w:p w14:paraId="3C0DB9EB" w14:textId="77777777" w:rsidR="00DF410E" w:rsidRDefault="00CE7F43">
      <w:pPr>
        <w:pStyle w:val="Author-eListParagraph"/>
        <w:numPr>
          <w:ilvl w:val="0"/>
          <w:numId w:val="755"/>
        </w:numPr>
      </w:pPr>
      <w:r>
        <w:t>les mesures nécessaires, après la mise en œuvre, en vue de la protection de l'escalier contre toute dégradation et salissement pendant toute la durée des travaux ;</w:t>
      </w:r>
    </w:p>
    <w:p w14:paraId="75A23F17" w14:textId="77777777" w:rsidR="00DF410E" w:rsidRDefault="00CE7F43">
      <w:pPr>
        <w:pStyle w:val="Author-eListParagraph"/>
        <w:numPr>
          <w:ilvl w:val="0"/>
          <w:numId w:val="755"/>
        </w:numPr>
      </w:pPr>
      <w:r>
        <w:t>l’enlèvement des protections pour la réception provisoire ;</w:t>
      </w:r>
    </w:p>
    <w:p w14:paraId="6C5B4393" w14:textId="77777777" w:rsidR="00DF410E" w:rsidRDefault="00CE7F43">
      <w:pPr>
        <w:pStyle w:val="Author-eListParagraph"/>
        <w:numPr>
          <w:ilvl w:val="0"/>
          <w:numId w:val="755"/>
        </w:numPr>
      </w:pPr>
      <w:r>
        <w:t>l’évacuation des déchets et le nettoyage du chantier.</w:t>
      </w:r>
      <w:r>
        <w:br/>
      </w:r>
    </w:p>
    <w:p w14:paraId="043C3FBD" w14:textId="77777777" w:rsidR="00DF410E" w:rsidRDefault="00CE7F43">
      <w:pPr>
        <w:jc w:val="both"/>
      </w:pPr>
      <w:r>
        <w:rPr>
          <w:b/>
        </w:rPr>
        <w:t>Composants – Terminologie</w:t>
      </w:r>
    </w:p>
    <w:p w14:paraId="1665E757" w14:textId="77777777" w:rsidR="00DF410E" w:rsidRDefault="00CE7F43">
      <w:pPr>
        <w:jc w:val="both"/>
      </w:pPr>
      <w:r>
        <w:rPr>
          <w:i/>
          <w:u w:val="single"/>
        </w:rPr>
        <w:t>Passerelle - coursive</w:t>
      </w:r>
    </w:p>
    <w:p w14:paraId="5E68B87D" w14:textId="77777777" w:rsidR="00DF410E" w:rsidRDefault="00CE7F43">
      <w:pPr>
        <w:jc w:val="both"/>
      </w:pPr>
      <w:r>
        <w:t>En fonction de leur conception, les passerelles ou coursives sont composées :</w:t>
      </w:r>
    </w:p>
    <w:p w14:paraId="727A82FA" w14:textId="77777777" w:rsidR="00DF410E" w:rsidRDefault="00CE7F43">
      <w:pPr>
        <w:pStyle w:val="Author-eListParagraph"/>
        <w:numPr>
          <w:ilvl w:val="0"/>
          <w:numId w:val="756"/>
        </w:numPr>
      </w:pPr>
      <w:r>
        <w:t>d’une structure portante (colonnes et/ou consoles fixées au mur) ;</w:t>
      </w:r>
    </w:p>
    <w:p w14:paraId="60FF9C6A" w14:textId="77777777" w:rsidR="00DF410E" w:rsidRDefault="00CE7F43">
      <w:pPr>
        <w:pStyle w:val="Author-eListParagraph"/>
        <w:numPr>
          <w:ilvl w:val="0"/>
          <w:numId w:val="756"/>
        </w:numPr>
      </w:pPr>
      <w:r>
        <w:t>d’une structure principale (poutres principales) ;</w:t>
      </w:r>
    </w:p>
    <w:p w14:paraId="4920886A" w14:textId="77777777" w:rsidR="00DF410E" w:rsidRDefault="00CE7F43">
      <w:pPr>
        <w:pStyle w:val="Author-eListParagraph"/>
        <w:numPr>
          <w:ilvl w:val="0"/>
          <w:numId w:val="756"/>
        </w:numPr>
      </w:pPr>
      <w:r>
        <w:t>d’une structure secondaire (traverses, contreventement, etc.) ;</w:t>
      </w:r>
    </w:p>
    <w:p w14:paraId="001E38A8" w14:textId="77777777" w:rsidR="00DF410E" w:rsidRDefault="00CE7F43">
      <w:pPr>
        <w:pStyle w:val="Author-eListParagraph"/>
        <w:numPr>
          <w:ilvl w:val="0"/>
          <w:numId w:val="756"/>
        </w:numPr>
      </w:pPr>
      <w:r>
        <w:t>d’un platelage ;</w:t>
      </w:r>
    </w:p>
    <w:p w14:paraId="227038F5" w14:textId="77777777" w:rsidR="00DF410E" w:rsidRDefault="00CE7F43">
      <w:pPr>
        <w:pStyle w:val="Author-eListParagraph"/>
        <w:numPr>
          <w:ilvl w:val="0"/>
          <w:numId w:val="756"/>
        </w:numPr>
      </w:pPr>
      <w:r>
        <w:t>de garde-corps.</w:t>
      </w:r>
    </w:p>
    <w:p w14:paraId="4645E420" w14:textId="77777777" w:rsidR="00DF410E" w:rsidRDefault="00CE7F43">
      <w:pPr>
        <w:jc w:val="both"/>
      </w:pPr>
      <w:r>
        <w:rPr>
          <w:i/>
          <w:u w:val="single"/>
        </w:rPr>
        <w:t>Garde- corps</w:t>
      </w:r>
    </w:p>
    <w:p w14:paraId="024D6EAE" w14:textId="77777777" w:rsidR="00DF410E" w:rsidRDefault="00CE7F43">
      <w:pPr>
        <w:jc w:val="both"/>
      </w:pPr>
      <w:r>
        <w:t xml:space="preserve">Renvoi au sous-titre </w:t>
      </w:r>
      <w:hyperlink w:anchor="189" w:history="1">
        <w:r>
          <w:t>23.32 Garde-corps et rampes métalliques</w:t>
        </w:r>
      </w:hyperlink>
      <w:r>
        <w:t xml:space="preserve"> et éléments et articles qui en découlent.</w:t>
      </w:r>
    </w:p>
    <w:p w14:paraId="6F9BAE86" w14:textId="77777777" w:rsidR="00DF410E" w:rsidRDefault="00CE7F43">
      <w:pPr>
        <w:jc w:val="both"/>
      </w:pPr>
      <w:r>
        <w:rPr>
          <w:i/>
          <w:u w:val="single"/>
        </w:rPr>
        <w:t>Escalier</w:t>
      </w:r>
    </w:p>
    <w:p w14:paraId="4283360E" w14:textId="77777777" w:rsidR="00DF410E" w:rsidRDefault="00CE7F43">
      <w:pPr>
        <w:jc w:val="both"/>
      </w:pPr>
      <w:r>
        <w:t>Les éventuels escaliers permettant d’accéder aux passerelles ne font pas partie du présent sous-titre et articles qui en découlent.</w:t>
      </w:r>
    </w:p>
    <w:p w14:paraId="3EBD8CBB" w14:textId="77777777" w:rsidR="00DF410E" w:rsidRDefault="00CE7F43">
      <w:pPr>
        <w:jc w:val="both"/>
      </w:pPr>
      <w:r>
        <w:t xml:space="preserve">Ils sont décrits séparément au sous-titre </w:t>
      </w:r>
      <w:hyperlink w:anchor="556" w:history="1">
        <w:r>
          <w:t>23.31 Escaliers métalliques</w:t>
        </w:r>
      </w:hyperlink>
      <w:r>
        <w:t xml:space="preserve"> et éléments et articles qui en découlent.</w:t>
      </w:r>
    </w:p>
    <w:p w14:paraId="08CCAD04" w14:textId="77777777" w:rsidR="00DF410E" w:rsidRDefault="00CE7F43">
      <w:pPr>
        <w:jc w:val="both"/>
      </w:pPr>
      <w:r>
        <w:t>Dans la suite de ce sous-titre, le terme « passerelle » utilisé englobe par défaut les passerelles et les coursives, sauf mention spécifique.</w:t>
      </w:r>
    </w:p>
    <w:p w14:paraId="2F162615" w14:textId="77777777" w:rsidR="00DF410E" w:rsidRDefault="00CE7F43">
      <w:pPr>
        <w:pStyle w:val="pheading"/>
      </w:pPr>
      <w:r>
        <w:t>MATÉRIAUX</w:t>
      </w:r>
    </w:p>
    <w:p w14:paraId="7FBFACDF" w14:textId="77777777" w:rsidR="00DF410E" w:rsidRDefault="00CE7F43">
      <w:pPr>
        <w:jc w:val="both"/>
      </w:pPr>
      <w:r>
        <w:rPr>
          <w:b/>
        </w:rPr>
        <w:t>Stabilité - sollicitations</w:t>
      </w:r>
    </w:p>
    <w:p w14:paraId="7757DE85" w14:textId="77777777" w:rsidR="00DF410E" w:rsidRDefault="00CE7F43">
      <w:pPr>
        <w:jc w:val="both"/>
      </w:pPr>
      <w:r>
        <w:t>Conformément aux actions sur les passerelles décrites dans la section 5 de l'Eurocode [NBN EN 1991-2] et son annexe nationale [NBN EN 1991-2 ANB] :</w:t>
      </w:r>
    </w:p>
    <w:p w14:paraId="010089BC" w14:textId="77777777" w:rsidR="00DF410E" w:rsidRDefault="00CE7F43">
      <w:pPr>
        <w:ind w:left="567"/>
        <w:jc w:val="both"/>
      </w:pPr>
      <w:r>
        <w:rPr>
          <w:i/>
        </w:rPr>
        <w:t>5.3 Modèles statiques pour les charges verticales – Valeurs caractéristiques :</w:t>
      </w:r>
    </w:p>
    <w:p w14:paraId="0CB096B1" w14:textId="77777777" w:rsidR="00DF410E" w:rsidRDefault="00CE7F43">
      <w:pPr>
        <w:ind w:left="1134"/>
        <w:jc w:val="both"/>
      </w:pPr>
      <w:r>
        <w:t xml:space="preserve">5.3.1 (2) Il convient, lorsqu'il y a lieu, de considérer </w:t>
      </w:r>
      <w:r>
        <w:rPr>
          <w:u w:val="single"/>
        </w:rPr>
        <w:t>séparément</w:t>
      </w:r>
      <w:r>
        <w:t xml:space="preserve"> trois modèles :</w:t>
      </w:r>
    </w:p>
    <w:p w14:paraId="6D91A9EA" w14:textId="77777777" w:rsidR="00DF410E" w:rsidRDefault="00CE7F43">
      <w:pPr>
        <w:pStyle w:val="Author-eListParagraph"/>
        <w:numPr>
          <w:ilvl w:val="2"/>
          <w:numId w:val="757"/>
        </w:numPr>
      </w:pPr>
      <w:r>
        <w:t>une charge uniformément répartie, qfk = 5 kN/m² ;</w:t>
      </w:r>
    </w:p>
    <w:p w14:paraId="08306265" w14:textId="77777777" w:rsidR="00DF410E" w:rsidRDefault="00CE7F43">
      <w:pPr>
        <w:pStyle w:val="Author-eListParagraph"/>
        <w:numPr>
          <w:ilvl w:val="2"/>
          <w:numId w:val="757"/>
        </w:numPr>
      </w:pPr>
      <w:r>
        <w:t>une charge concentrée Qfwk= 10 kN, agissant sur une surface carrée de 0,10 m de côté.</w:t>
      </w:r>
    </w:p>
    <w:p w14:paraId="433B799C" w14:textId="77777777" w:rsidR="00DF410E" w:rsidRDefault="00CE7F43">
      <w:pPr>
        <w:pStyle w:val="Author-eListParagraph"/>
        <w:numPr>
          <w:ilvl w:val="2"/>
          <w:numId w:val="757"/>
        </w:numPr>
      </w:pPr>
      <w:r>
        <w:t>Des charges représentant des véhicules de service, Qser : il est considéré dans le présent article qu’un véhicule de service ne peut accéder à la passerelle.</w:t>
      </w:r>
    </w:p>
    <w:p w14:paraId="5BB522FF" w14:textId="77777777" w:rsidR="00DF410E" w:rsidRDefault="00CE7F43">
      <w:pPr>
        <w:ind w:left="567"/>
        <w:jc w:val="both"/>
      </w:pPr>
      <w:r>
        <w:rPr>
          <w:i/>
        </w:rPr>
        <w:t>5.4 Modèles statiques pour les forces horizontales – Valeurs caractéristiques :</w:t>
      </w:r>
    </w:p>
    <w:p w14:paraId="4F0C7BDC" w14:textId="77777777" w:rsidR="00DF410E" w:rsidRDefault="00CE7F43">
      <w:pPr>
        <w:ind w:left="1134"/>
        <w:jc w:val="both"/>
      </w:pPr>
      <w:r>
        <w:t>Force horizontale égale à la plus grande des 2 valeurs suivantes :</w:t>
      </w:r>
    </w:p>
    <w:p w14:paraId="2CF87DFD" w14:textId="77777777" w:rsidR="00DF410E" w:rsidRDefault="00CE7F43">
      <w:pPr>
        <w:pStyle w:val="Author-eListParagraph"/>
        <w:numPr>
          <w:ilvl w:val="2"/>
          <w:numId w:val="758"/>
        </w:numPr>
      </w:pPr>
      <w:r>
        <w:t>10 % de la charge totale correspondant à la charge uniformément répartie ;</w:t>
      </w:r>
    </w:p>
    <w:p w14:paraId="54062F4C" w14:textId="77777777" w:rsidR="00DF410E" w:rsidRDefault="00CE7F43">
      <w:pPr>
        <w:pStyle w:val="Author-eListParagraph"/>
        <w:numPr>
          <w:ilvl w:val="2"/>
          <w:numId w:val="758"/>
        </w:numPr>
      </w:pPr>
      <w:r>
        <w:t>60 % du poids total du véhicule de service défini, s’il est considéré.</w:t>
      </w:r>
    </w:p>
    <w:p w14:paraId="0C514F07" w14:textId="77777777" w:rsidR="00DF410E" w:rsidRDefault="00CE7F43">
      <w:pPr>
        <w:ind w:left="567"/>
        <w:jc w:val="both"/>
      </w:pPr>
      <w:r>
        <w:rPr>
          <w:i/>
        </w:rPr>
        <w:t>5.7 Modèles dynamiques de charges dues aux piétons</w:t>
      </w:r>
    </w:p>
    <w:p w14:paraId="26517FE9" w14:textId="77777777" w:rsidR="00DF410E" w:rsidRDefault="00CE7F43">
      <w:pPr>
        <w:ind w:left="1134"/>
        <w:jc w:val="both"/>
      </w:pPr>
      <w:r>
        <w:t>Des modèles dynamiques de charges dues aux piétons et les critères de confort associés peuvent être définis par le projet individuel, selon la [NBN EN 1990] et [NBN EN 1990 ANB] (Annexe A2).</w:t>
      </w:r>
    </w:p>
    <w:p w14:paraId="1FA4C23F" w14:textId="77777777" w:rsidR="00DF410E" w:rsidRDefault="00CE7F43">
      <w:pPr>
        <w:ind w:left="1134"/>
        <w:jc w:val="both"/>
      </w:pPr>
      <w:r>
        <w:t>Le problème se pose uniquement pour des ouvrages relativement souples, dont les fréquences propres sont proches des valeurs données en 5.7(2) :</w:t>
      </w:r>
    </w:p>
    <w:p w14:paraId="0EBCB1FF" w14:textId="77777777" w:rsidR="00DF410E" w:rsidRDefault="00CE7F43">
      <w:pPr>
        <w:pStyle w:val="Author-eListParagraph"/>
        <w:numPr>
          <w:ilvl w:val="2"/>
          <w:numId w:val="759"/>
        </w:numPr>
      </w:pPr>
      <w:r>
        <w:t>selon la direction verticale, avec une gamme de fréquences allant de 1 à 3 Hz ; et</w:t>
      </w:r>
    </w:p>
    <w:p w14:paraId="78054592" w14:textId="77777777" w:rsidR="00DF410E" w:rsidRDefault="00CE7F43">
      <w:pPr>
        <w:pStyle w:val="Author-eListParagraph"/>
        <w:numPr>
          <w:ilvl w:val="2"/>
          <w:numId w:val="759"/>
        </w:numPr>
      </w:pPr>
      <w:r>
        <w:t>selon une direction horizontale, avec une gamme de fréquences allant de 0,5 à 1,5 Hz.</w:t>
      </w:r>
    </w:p>
    <w:p w14:paraId="7D4AEC3E" w14:textId="77777777" w:rsidR="00DF410E" w:rsidRDefault="00CE7F43">
      <w:pPr>
        <w:pStyle w:val="Author-eListParagraph"/>
        <w:numPr>
          <w:ilvl w:val="2"/>
          <w:numId w:val="759"/>
        </w:numPr>
      </w:pPr>
      <w:r>
        <w:t>des groupes de joggers peuvent franchir une passerelle avec une fréquence de 3 Hz.</w:t>
      </w:r>
    </w:p>
    <w:p w14:paraId="3E56109E" w14:textId="77777777" w:rsidR="00DF410E" w:rsidRDefault="00CE7F43">
      <w:pPr>
        <w:jc w:val="both"/>
      </w:pPr>
      <w:r>
        <w:rPr>
          <w:b/>
        </w:rPr>
        <w:t>Matériaux</w:t>
      </w:r>
    </w:p>
    <w:p w14:paraId="06C84E40" w14:textId="77777777" w:rsidR="00DF410E" w:rsidRDefault="00CE7F43">
      <w:pPr>
        <w:jc w:val="both"/>
      </w:pPr>
      <w:r>
        <w:t xml:space="preserve">Les éléments principaux qui composent la passerelle sont métalliques. La distinction (acier, inox, aluminium) est réalisée dans les articles qui en découlent : </w:t>
      </w:r>
      <w:hyperlink w:anchor="565" w:history="1">
        <w:r>
          <w:t>23.34.1 Passerelles et coursives en acier</w:t>
        </w:r>
      </w:hyperlink>
      <w:r>
        <w:t xml:space="preserve">, </w:t>
      </w:r>
      <w:hyperlink w:anchor="566" w:history="1">
        <w:r>
          <w:t>23.34.2a Passerelles et coursives en acier inoxydable</w:t>
        </w:r>
      </w:hyperlink>
      <w:r>
        <w:t xml:space="preserve">, </w:t>
      </w:r>
      <w:hyperlink w:anchor="567" w:history="1">
        <w:r>
          <w:t>23.34.3a Passerelles et coursives en aluminium</w:t>
        </w:r>
      </w:hyperlink>
      <w:r>
        <w:t>.</w:t>
      </w:r>
    </w:p>
    <w:p w14:paraId="4D6EA05A" w14:textId="77777777" w:rsidR="00DF410E" w:rsidRDefault="00CE7F43">
      <w:pPr>
        <w:pStyle w:val="pheading"/>
      </w:pPr>
      <w:r>
        <w:t>EXÉCUTION / MISE EN ŒUVRE</w:t>
      </w:r>
    </w:p>
    <w:p w14:paraId="280A71E4" w14:textId="77777777" w:rsidR="00DF410E" w:rsidRDefault="00CE7F43">
      <w:pPr>
        <w:jc w:val="both"/>
      </w:pPr>
      <w:r>
        <w:rPr>
          <w:b/>
        </w:rPr>
        <w:t>Timing - Influence de l'environnement - Mesures de protection</w:t>
      </w:r>
    </w:p>
    <w:p w14:paraId="33BFFF76" w14:textId="77777777" w:rsidR="00DF410E" w:rsidRDefault="00CE7F43">
      <w:pPr>
        <w:jc w:val="both"/>
      </w:pPr>
      <w:r>
        <w:t>Les passerelles ne peuvent être placées que lorsque l'auteur de projet et l'installateur estiment, en concertation mutuelle, que les conditions de mise en œuvre sont favorables.</w:t>
      </w:r>
    </w:p>
    <w:p w14:paraId="67B81E38" w14:textId="77777777" w:rsidR="00DF410E" w:rsidRDefault="00CE7F43">
      <w:pPr>
        <w:jc w:val="both"/>
      </w:pPr>
      <w:r>
        <w:t>Les éléments qui constituent la passerelle sont autant que possible préfabriqués en atelier et acheminés en un seul lot sur le chantier. Lors du transport, les mesures nécessaires sont prises pour prévenir toute dégradation au bâtiment, aux passerelles proprement dites ou aux éléments. Ils sont immédiatement entreposés dans un endroit protégé et aéré.</w:t>
      </w:r>
    </w:p>
    <w:p w14:paraId="1D6C27B5" w14:textId="77777777" w:rsidR="00DF410E" w:rsidRDefault="00CE7F43">
      <w:pPr>
        <w:jc w:val="both"/>
      </w:pPr>
      <w:r>
        <w:t>L'entrepreneur veille à ce que, après leur mise en œuvre, les passerelles soient dûment protégées contre les dégradations et l'encrassement pendant la durée des travaux de construction.</w:t>
      </w:r>
    </w:p>
    <w:p w14:paraId="593C0AAB" w14:textId="77777777" w:rsidR="00DF410E" w:rsidRDefault="00CE7F43">
      <w:pPr>
        <w:jc w:val="both"/>
      </w:pPr>
      <w:r>
        <w:rPr>
          <w:b/>
        </w:rPr>
        <w:t>Dessin d'étude et d'exécution</w:t>
      </w:r>
    </w:p>
    <w:p w14:paraId="6F7219A3" w14:textId="77777777" w:rsidR="00DF410E" w:rsidRDefault="00CE7F43">
      <w:pPr>
        <w:jc w:val="both"/>
      </w:pPr>
      <w:r>
        <w:t>Les passerelles sont exécutées conformément aux formes indiquées sur les plans et les coupes et selon les dessins de détail annexés au cahier spécial des charges.</w:t>
      </w:r>
    </w:p>
    <w:p w14:paraId="074E620D" w14:textId="77777777" w:rsidR="00DF410E" w:rsidRDefault="00CE7F43">
      <w:pPr>
        <w:jc w:val="both"/>
      </w:pPr>
      <w:r>
        <w:t>Lorsque le dossier d'adjudication ne contient pas de dessins de détail spécifiques, la forme des passerelles et les dimensions de bases sont données à titre indicatif.</w:t>
      </w:r>
    </w:p>
    <w:p w14:paraId="65144C7C" w14:textId="77777777" w:rsidR="00DF410E" w:rsidRDefault="00CE7F43">
      <w:pPr>
        <w:jc w:val="both"/>
      </w:pPr>
      <w:r>
        <w:t>L'entrepreneur est tenu de contrôler les dimensions sur place et de vérifier si les passerelles peuvent être exécutées selon les plans soumis. Lorsque cela s'avère impossible, il en avertit l'auteur de projet le plus rapidement possible.</w:t>
      </w:r>
    </w:p>
    <w:p w14:paraId="56C720FD" w14:textId="77777777" w:rsidR="00DF410E" w:rsidRDefault="00CE7F43">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304971FD" w14:textId="77777777" w:rsidR="00DF410E" w:rsidRDefault="00CE7F43">
      <w:pPr>
        <w:jc w:val="both"/>
      </w:pPr>
      <w:r>
        <w:rPr>
          <w:b/>
        </w:rPr>
        <w:t>Garde-corps - Mains-courantes</w:t>
      </w:r>
    </w:p>
    <w:p w14:paraId="0CA6B5DA" w14:textId="77777777" w:rsidR="00DF410E" w:rsidRDefault="00CE7F43">
      <w:pPr>
        <w:jc w:val="both"/>
      </w:pPr>
      <w:r>
        <w:t xml:space="preserve">Les garde-corps et mains courantes sont décrits au sous-titre </w:t>
      </w:r>
      <w:hyperlink w:anchor="189" w:history="1">
        <w:r>
          <w:t>23.32 Garde-corps et rampes métalliques</w:t>
        </w:r>
      </w:hyperlink>
      <w:r>
        <w:t xml:space="preserve"> et éléments et articles qui en découlent.</w:t>
      </w:r>
    </w:p>
    <w:p w14:paraId="729B35D9" w14:textId="77777777" w:rsidR="00DF410E" w:rsidRDefault="00CE7F43">
      <w:pPr>
        <w:jc w:val="both"/>
      </w:pPr>
      <w:r>
        <w:t>Ils ne sont pas compris dans le présent article, sauf contre-indication dans le cahier spécial des charges aux articles concernés ci-dessus.</w:t>
      </w:r>
    </w:p>
    <w:p w14:paraId="476DB4E0" w14:textId="77777777" w:rsidR="00DF410E" w:rsidRDefault="00CE7F43">
      <w:pPr>
        <w:jc w:val="both"/>
      </w:pPr>
      <w:r>
        <w:rPr>
          <w:b/>
        </w:rPr>
        <w:t>Accessibilité aux personnes à mobilité réduite (PMR)</w:t>
      </w:r>
    </w:p>
    <w:p w14:paraId="56C0D6B5" w14:textId="77777777" w:rsidR="00DF410E" w:rsidRDefault="00CE7F43">
      <w:pPr>
        <w:jc w:val="both"/>
      </w:pPr>
      <w:r>
        <w:t>Suivant prescriptions du guide [SWL CALA] et des normes [NBN ISO 21542] et [BS 8300] :</w:t>
      </w:r>
    </w:p>
    <w:p w14:paraId="3EF9B5B8" w14:textId="77777777" w:rsidR="00DF410E" w:rsidRDefault="00CE7F43">
      <w:pPr>
        <w:jc w:val="both"/>
      </w:pPr>
      <w:r>
        <w:rPr>
          <w:i/>
          <w:u w:val="single"/>
        </w:rPr>
        <w:t>Général :</w:t>
      </w:r>
    </w:p>
    <w:p w14:paraId="0CBD3721" w14:textId="77777777" w:rsidR="00DF410E" w:rsidRDefault="00CE7F43">
      <w:pPr>
        <w:pStyle w:val="Author-eListParagraph"/>
        <w:numPr>
          <w:ilvl w:val="0"/>
          <w:numId w:val="760"/>
        </w:numPr>
      </w:pPr>
      <w:r>
        <w:t xml:space="preserve">Largeur de libre passage : </w:t>
      </w:r>
    </w:p>
    <w:p w14:paraId="51F893F3" w14:textId="77777777" w:rsidR="00DF410E" w:rsidRDefault="00CE7F43">
      <w:pPr>
        <w:pStyle w:val="Author-eListParagraph"/>
        <w:numPr>
          <w:ilvl w:val="1"/>
          <w:numId w:val="761"/>
        </w:numPr>
      </w:pPr>
      <w:r>
        <w:t>Largeur minimum : 120 cm</w:t>
      </w:r>
    </w:p>
    <w:p w14:paraId="4850BC80" w14:textId="77777777" w:rsidR="00DF410E" w:rsidRDefault="00CE7F43">
      <w:pPr>
        <w:pStyle w:val="Author-eListParagraph"/>
        <w:numPr>
          <w:ilvl w:val="1"/>
          <w:numId w:val="761"/>
        </w:numPr>
      </w:pPr>
      <w:r>
        <w:t>Aires de rotation de 150 cm devant chaque porte ou changement de direction</w:t>
      </w:r>
    </w:p>
    <w:p w14:paraId="5C5C5191" w14:textId="77777777" w:rsidR="00DF410E" w:rsidRDefault="00CE7F43">
      <w:pPr>
        <w:jc w:val="both"/>
      </w:pPr>
      <w:r>
        <w:rPr>
          <w:b/>
        </w:rPr>
        <w:t>Assemblage - Scellement</w:t>
      </w:r>
    </w:p>
    <w:p w14:paraId="5CB20410" w14:textId="77777777" w:rsidR="00DF410E" w:rsidRDefault="00CE7F43">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3452B23B" w14:textId="77777777" w:rsidR="00DF410E" w:rsidRDefault="00CE7F43">
      <w:pPr>
        <w:jc w:val="both"/>
      </w:pPr>
      <w:r>
        <w:rPr>
          <w:b/>
        </w:rPr>
        <w:t>Asselets</w:t>
      </w:r>
    </w:p>
    <w:p w14:paraId="638C41CC" w14:textId="77777777" w:rsidR="00DF410E" w:rsidRDefault="00CE7F43">
      <w:pPr>
        <w:jc w:val="both"/>
      </w:pPr>
      <w:r>
        <w:t xml:space="preserve">Les asselets nécessaires à la bonne répartition des charges sont décrits dans l’article </w:t>
      </w:r>
      <w:hyperlink w:anchor="165" w:history="1">
        <w:r>
          <w:t>21.85.3a Réalisations d'asselets en béton armé dans une maçonnerie existante</w:t>
        </w:r>
      </w:hyperlink>
      <w:r>
        <w:t xml:space="preserve"> et le sous-titre </w:t>
      </w:r>
      <w:hyperlink w:anchor="497" w:history="1">
        <w:r>
          <w:t>22.42 Pièces d'appui en béton</w:t>
        </w:r>
      </w:hyperlink>
      <w:r>
        <w:t> et aux éléments et articles qui en découlent.</w:t>
      </w:r>
    </w:p>
    <w:p w14:paraId="16C50A13" w14:textId="77777777" w:rsidR="00DF410E" w:rsidRDefault="00CE7F43">
      <w:pPr>
        <w:jc w:val="both"/>
      </w:pPr>
      <w:r>
        <w:t>Ils ne sont pas compris dans le présent article, sauf contre-indication dans le cahier spécial des charges aux articles concernés ci-dessus.</w:t>
      </w:r>
    </w:p>
    <w:p w14:paraId="20204203" w14:textId="77777777" w:rsidR="00DF410E" w:rsidRDefault="00CE7F43">
      <w:pPr>
        <w:jc w:val="both"/>
      </w:pPr>
      <w:r>
        <w:rPr>
          <w:b/>
        </w:rPr>
        <w:t>Sécurité</w:t>
      </w:r>
    </w:p>
    <w:p w14:paraId="10912F08" w14:textId="77777777" w:rsidR="00DF410E" w:rsidRDefault="00CE7F43">
      <w:pPr>
        <w:jc w:val="both"/>
      </w:pPr>
      <w:r>
        <w:t>Conformément à l'élément </w:t>
      </w:r>
      <w:hyperlink r:id="rId199" w:history="1" w:docLocation="561">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14:paraId="2CC5F364" w14:textId="77777777" w:rsidR="00DF410E" w:rsidRDefault="00CE7F43">
      <w:pPr>
        <w:pStyle w:val="pheading"/>
      </w:pPr>
      <w:r>
        <w:t>CONTRÔLES</w:t>
      </w:r>
    </w:p>
    <w:p w14:paraId="4117009F" w14:textId="77777777" w:rsidR="00DF410E" w:rsidRDefault="00CE7F43">
      <w:pPr>
        <w:jc w:val="both"/>
      </w:pPr>
      <w:r>
        <w:rPr>
          <w:b/>
        </w:rPr>
        <w:t>Ecarts dimensionnels</w:t>
      </w:r>
    </w:p>
    <w:p w14:paraId="2A7F9D91" w14:textId="77777777" w:rsidR="00DF410E" w:rsidRDefault="00CE7F43">
      <w:pPr>
        <w:jc w:val="both"/>
      </w:pPr>
      <w:r>
        <w:t>Tous les éléments présentent la même hauteur. Les éventuels écarts dimensionnels doivent être absorbés dans les dimensions de l’ensemble et ne peuvent comporter plus de 6 mm. L'écart de hauteur entre deux éléments successifs ne peut pas être supérieur à 2 mm.</w:t>
      </w:r>
    </w:p>
    <w:p w14:paraId="7CCC9A4A" w14:textId="77777777" w:rsidR="00DF410E" w:rsidRDefault="00CE7F43">
      <w:pPr>
        <w:jc w:val="both"/>
      </w:pPr>
      <w:r>
        <w:rPr>
          <w:b/>
        </w:rPr>
        <w:t>Dégradations</w:t>
      </w:r>
    </w:p>
    <w:p w14:paraId="5048082F" w14:textId="77777777" w:rsidR="00DF410E" w:rsidRDefault="00CE7F43">
      <w:pPr>
        <w:jc w:val="both"/>
      </w:pPr>
      <w:r>
        <w:t>Il est interdit d'utiliser un mastic de jointoiement, de la résine, etc. … pour cacher les défauts éventuels. Les éléments endommagés doivent être intégralement remplacés. Les éléments qui forment un ensemble ne peuvent pas présenter de différences de couleur.</w:t>
      </w:r>
    </w:p>
    <w:p w14:paraId="766EE44A" w14:textId="77777777" w:rsidR="00DF410E" w:rsidRDefault="00CE7F43">
      <w:pPr>
        <w:pStyle w:val="pheading"/>
      </w:pPr>
      <w:r>
        <w:t>DOCUMENTS DE RÉFÉRENCE</w:t>
      </w:r>
    </w:p>
    <w:p w14:paraId="1738D655" w14:textId="77777777" w:rsidR="00DF410E" w:rsidRDefault="00CE7F43">
      <w:pPr>
        <w:pStyle w:val="pheading"/>
      </w:pPr>
      <w:r>
        <w:t>- Matériau</w:t>
      </w:r>
    </w:p>
    <w:p w14:paraId="7A8340A2" w14:textId="77777777" w:rsidR="00DF410E" w:rsidRDefault="00CE7F43">
      <w:r>
        <w:t>[NBN EN 1991-2, Eurocode 1: Actions sur les structures - Partie 2: Actions sur les ponts, dues au trafic (+ AC:2010)]</w:t>
      </w:r>
    </w:p>
    <w:p w14:paraId="18538B2D" w14:textId="77777777" w:rsidR="00DF410E" w:rsidRDefault="00CE7F43">
      <w:r>
        <w:t>[NBN EN 1991-2 ANB, Eurocode 1 : Actions sur les structures - Partie 2 : Actions sur les ponts, dues au trafic - Annexe nationale]</w:t>
      </w:r>
    </w:p>
    <w:p w14:paraId="580F0ECB" w14:textId="77777777" w:rsidR="00DF410E" w:rsidRDefault="00CE7F43">
      <w:r>
        <w:t>[NBN B 03-004, Garde-corps de bâtiments]</w:t>
      </w:r>
    </w:p>
    <w:p w14:paraId="54B76C98" w14:textId="77777777" w:rsidR="00DF410E" w:rsidRDefault="00CE7F43">
      <w:r>
        <w:t>[NBN EN 1990, Eurocodes structuraux - Eurocodes: Bases de calcul des structures]</w:t>
      </w:r>
    </w:p>
    <w:p w14:paraId="1BCDDDCF" w14:textId="77777777" w:rsidR="00DF410E" w:rsidRDefault="00CE7F43">
      <w:r>
        <w:t>[NBN EN 1990 ANB, Eurocode 0 - Bases de calcul des structures - Annexe nationale]</w:t>
      </w:r>
    </w:p>
    <w:p w14:paraId="43C318D4" w14:textId="77777777" w:rsidR="00DF410E" w:rsidRDefault="00CE7F43">
      <w:pPr>
        <w:pStyle w:val="pheading"/>
      </w:pPr>
      <w:r>
        <w:t>- Exécution</w:t>
      </w:r>
    </w:p>
    <w:p w14:paraId="2E9C538F" w14:textId="77777777" w:rsidR="00DF410E" w:rsidRDefault="00CE7F43">
      <w:r>
        <w:t>[RGPT, Règlement général pour la protection du travail]</w:t>
      </w:r>
    </w:p>
    <w:p w14:paraId="3E3E66EC" w14:textId="77777777" w:rsidR="00DF410E" w:rsidRDefault="00CE7F43">
      <w:r>
        <w:t>[SWL CALA, Guide d’aide à la conception d’un logement adaptable]</w:t>
      </w:r>
    </w:p>
    <w:p w14:paraId="7AFF3AA1" w14:textId="77777777" w:rsidR="00DF410E" w:rsidRDefault="00CE7F43">
      <w:r>
        <w:t>[NBN ISO 21542, Construction immobilière — Accessibilité et facilité d'utilisation de l'environnement bâti (ISO 21542:2011)]</w:t>
      </w:r>
    </w:p>
    <w:p w14:paraId="2C793CF5" w14:textId="77777777" w:rsidR="00DF410E" w:rsidRDefault="00CE7F43">
      <w:r>
        <w:t>[BS 8300, Design of buildings and their approaches to meet the needs of disabled people. Code of Practice]</w:t>
      </w:r>
    </w:p>
    <w:p w14:paraId="42245041" w14:textId="77777777" w:rsidR="00DF410E" w:rsidRDefault="00CE7F43">
      <w:pPr>
        <w:pStyle w:val="Author-eSectionHeading5"/>
      </w:pPr>
      <w:bookmarkStart w:id="1417" w:name="_Toc178838526"/>
      <w:r>
        <w:t>23.34.1 Passerelles et coursives en acier CCTB 01.04</w:t>
      </w:r>
      <w:bookmarkEnd w:id="1417"/>
    </w:p>
    <w:p w14:paraId="0627B1DF" w14:textId="77777777" w:rsidR="00DF410E" w:rsidRDefault="00CE7F43">
      <w:pPr>
        <w:pStyle w:val="Author-eSectionHeading6"/>
      </w:pPr>
      <w:bookmarkStart w:id="1418" w:name="565"/>
      <w:bookmarkStart w:id="1419" w:name="_Toc178838527"/>
      <w:bookmarkEnd w:id="1418"/>
      <w:r>
        <w:t>23.34.1a Passerelles et coursives en acier CCTB 01.12</w:t>
      </w:r>
      <w:bookmarkEnd w:id="1419"/>
    </w:p>
    <w:p w14:paraId="3BDF6CD6" w14:textId="77777777" w:rsidR="00DF410E" w:rsidRDefault="00CE7F43">
      <w:pPr>
        <w:pStyle w:val="pheading"/>
      </w:pPr>
      <w:bookmarkStart w:id="1420" w:name="563"/>
      <w:bookmarkEnd w:id="1420"/>
      <w:r>
        <w:t>DESCRIPTION</w:t>
      </w:r>
    </w:p>
    <w:p w14:paraId="055F29C2" w14:textId="77777777" w:rsidR="00DF410E" w:rsidRDefault="00CE7F43">
      <w:pPr>
        <w:pStyle w:val="pheading"/>
      </w:pPr>
      <w:r>
        <w:t>- Définition / Comprend</w:t>
      </w:r>
    </w:p>
    <w:p w14:paraId="2ED1AD0D" w14:textId="77777777" w:rsidR="00DF410E" w:rsidRDefault="00CE7F43">
      <w:pPr>
        <w:jc w:val="both"/>
      </w:pPr>
      <w:r>
        <w:t>Il s'agit des passerelles ou coursives en acier dont les parties constructives doivent être fabriquées sur mesure.</w:t>
      </w:r>
    </w:p>
    <w:p w14:paraId="3CE8A0B1" w14:textId="77777777" w:rsidR="00DF410E" w:rsidRDefault="00CE7F43">
      <w:pPr>
        <w:jc w:val="both"/>
      </w:pPr>
      <w:r>
        <w:t xml:space="preserve">Les caractéristiques principales des passerelles sont décrites au sous-titre </w:t>
      </w:r>
      <w:hyperlink w:anchor="564" w:history="1">
        <w:r>
          <w:t>23.34 Passerelles et coursives métalliques</w:t>
        </w:r>
      </w:hyperlink>
      <w:r>
        <w:t>.</w:t>
      </w:r>
    </w:p>
    <w:p w14:paraId="43697F64" w14:textId="77777777" w:rsidR="00DF410E" w:rsidRDefault="00CE7F43">
      <w:pPr>
        <w:jc w:val="both"/>
      </w:pPr>
      <w:r>
        <w:t xml:space="preserve">Les garde-corps et mains-courantes ne font pas partie du présent article et sont décrits séparément à l’article </w:t>
      </w:r>
      <w:hyperlink w:anchor="557" w:history="1">
        <w:r>
          <w:t>23.32.1a Garde-corps et rampes en acier</w:t>
        </w:r>
      </w:hyperlink>
      <w:r>
        <w:t>.</w:t>
      </w:r>
    </w:p>
    <w:p w14:paraId="4148F80B" w14:textId="77777777" w:rsidR="00DF410E" w:rsidRDefault="00CE7F43">
      <w:pPr>
        <w:jc w:val="both"/>
      </w:pPr>
      <w:r>
        <w:t>Dans la suite de cet article, le terme « passerelle » utilisé englobe par défaut les passerelles et les coursives, sauf mention spécifique.</w:t>
      </w:r>
    </w:p>
    <w:p w14:paraId="27609A3C" w14:textId="77777777" w:rsidR="00DF410E" w:rsidRDefault="00CE7F43">
      <w:pPr>
        <w:pStyle w:val="pheading"/>
      </w:pPr>
      <w:r>
        <w:t>- Localisation</w:t>
      </w:r>
    </w:p>
    <w:p w14:paraId="4009BA47" w14:textId="77777777" w:rsidR="00DF410E" w:rsidRDefault="00CE7F43">
      <w:r>
        <w:t xml:space="preserve">Les travaux sont localisés : </w:t>
      </w:r>
      <w:r>
        <w:rPr>
          <w:rStyle w:val="optioncarChar"/>
        </w:rPr>
        <w:t>***</w:t>
      </w:r>
      <w:r>
        <w:t>.</w:t>
      </w:r>
    </w:p>
    <w:p w14:paraId="503BFE66" w14:textId="77777777" w:rsidR="00DF410E" w:rsidRDefault="00CE7F43">
      <w:r>
        <w:t>Voir plans et métrés détaillés.</w:t>
      </w:r>
    </w:p>
    <w:p w14:paraId="289B6945" w14:textId="77777777" w:rsidR="00DF410E" w:rsidRDefault="00CE7F43">
      <w:pPr>
        <w:pStyle w:val="pheading"/>
      </w:pPr>
      <w:r>
        <w:t>MATÉRIAUX</w:t>
      </w:r>
    </w:p>
    <w:p w14:paraId="6D224A37" w14:textId="77777777" w:rsidR="00DF410E" w:rsidRDefault="00CE7F43">
      <w:pPr>
        <w:pStyle w:val="pheading"/>
      </w:pPr>
      <w:r>
        <w:t>- Caractéristiques générales</w:t>
      </w:r>
    </w:p>
    <w:p w14:paraId="57860B20" w14:textId="77777777" w:rsidR="00DF410E" w:rsidRDefault="00CE7F43">
      <w:r>
        <w:t>La structure de la passerelle se compose d'éléments en acier. Toutes les parties visibles sont propres et débarrassées des ébarbures.</w:t>
      </w:r>
    </w:p>
    <w:p w14:paraId="4C65C13C" w14:textId="77777777" w:rsidR="00DF410E" w:rsidRDefault="00CE7F43">
      <w:pPr>
        <w:pStyle w:val="Author-eListParagraph"/>
        <w:numPr>
          <w:ilvl w:val="0"/>
          <w:numId w:val="762"/>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76B3093D" w14:textId="77777777" w:rsidR="00DF410E" w:rsidRDefault="00CE7F43">
      <w:pPr>
        <w:pStyle w:val="Author-eListParagraph"/>
        <w:numPr>
          <w:ilvl w:val="0"/>
          <w:numId w:val="762"/>
        </w:numPr>
      </w:pPr>
      <w:r>
        <w:t xml:space="preserve">Qualité d’acier [NBN EN 10025 série]: </w:t>
      </w:r>
      <w:r>
        <w:rPr>
          <w:rStyle w:val="optioncarChar"/>
        </w:rPr>
        <w:t xml:space="preserve">JR / J0 </w:t>
      </w:r>
      <w:r>
        <w:t>(par défaut)</w:t>
      </w:r>
      <w:r>
        <w:rPr>
          <w:rStyle w:val="optioncarChar"/>
        </w:rPr>
        <w:t xml:space="preserve"> / J2 / K2 / N / NL / M / ML / W / P / Q / QL / QL1 / ***.</w:t>
      </w:r>
    </w:p>
    <w:p w14:paraId="4D765F52" w14:textId="77777777" w:rsidR="00DF410E" w:rsidRDefault="00CE7F43">
      <w:r>
        <w:t>Les platelages sont en</w:t>
      </w:r>
      <w:r>
        <w:rPr>
          <w:rStyle w:val="optioncarChar"/>
        </w:rPr>
        <w:t xml:space="preserve"> acier </w:t>
      </w:r>
      <w:r>
        <w:t>(par défaut)</w:t>
      </w:r>
      <w:r>
        <w:rPr>
          <w:rStyle w:val="optioncarChar"/>
        </w:rPr>
        <w:t xml:space="preserve"> / bois / ***</w:t>
      </w:r>
      <w:r>
        <w:t>. </w:t>
      </w:r>
    </w:p>
    <w:p w14:paraId="5133B7DC" w14:textId="77777777" w:rsidR="00DF410E" w:rsidRDefault="00CE7F43">
      <w:pPr>
        <w:ind w:left="567"/>
      </w:pPr>
      <w:r>
        <w:rPr>
          <w:b/>
          <w:i/>
        </w:rPr>
        <w:t>(Soit par défaut)</w:t>
      </w:r>
    </w:p>
    <w:p w14:paraId="4821626A" w14:textId="77777777" w:rsidR="00DF410E" w:rsidRDefault="00CE7F43">
      <w:pPr>
        <w:ind w:left="567"/>
      </w:pPr>
      <w:r>
        <w:rPr>
          <w:rStyle w:val="soitChar"/>
          <w:u w:val="single"/>
        </w:rPr>
        <w:t>Acier</w:t>
      </w:r>
      <w:r>
        <w:br/>
      </w:r>
      <w:r>
        <w:rPr>
          <w:rStyle w:val="soitChar"/>
        </w:rPr>
        <w:t>Type </w:t>
      </w:r>
      <w:r>
        <w:t xml:space="preserve">: </w:t>
      </w:r>
      <w:r>
        <w:rPr>
          <w:rStyle w:val="optioncarChar"/>
        </w:rPr>
        <w:t xml:space="preserve">Tôles d’acier larmées ou gaufrées </w:t>
      </w:r>
      <w:r>
        <w:t xml:space="preserve">(par défaut) </w:t>
      </w:r>
      <w:r>
        <w:rPr>
          <w:rStyle w:val="optioncarChar"/>
        </w:rPr>
        <w:t>/ Tôles d’acier perforées (diam 9 (</w:t>
      </w:r>
      <w:r>
        <w:t>par défaut)</w:t>
      </w:r>
      <w:r>
        <w:rPr>
          <w:rStyle w:val="optioncarChar"/>
        </w:rPr>
        <w:t> / 14 / *** mm) / caillebotis (maille 30x30 </w:t>
      </w:r>
      <w:r>
        <w:t>(par défaut) </w:t>
      </w:r>
      <w:r>
        <w:rPr>
          <w:rStyle w:val="optioncarChar"/>
        </w:rPr>
        <w:t>/ *** mm) / ***.</w:t>
      </w:r>
      <w:r>
        <w:br/>
      </w:r>
      <w:r>
        <w:rPr>
          <w:rStyle w:val="soitChar"/>
        </w:rPr>
        <w:t>Epaisseur minimum : tôle </w:t>
      </w:r>
      <w:r>
        <w:rPr>
          <w:rStyle w:val="optioncarChar"/>
        </w:rPr>
        <w:t>: 2,5 / 4</w:t>
      </w:r>
      <w:r>
        <w:t xml:space="preserve"> (par défaut) </w:t>
      </w:r>
      <w:r>
        <w:rPr>
          <w:rStyle w:val="optioncarChar"/>
        </w:rPr>
        <w:t>/ *** mm  /</w:t>
      </w:r>
      <w:r>
        <w:rPr>
          <w:rStyle w:val="soitChar"/>
        </w:rPr>
        <w:t> caillebotis :</w:t>
      </w:r>
      <w:r>
        <w:rPr>
          <w:rStyle w:val="optioncarChar"/>
        </w:rPr>
        <w:t xml:space="preserve"> 20</w:t>
      </w:r>
      <w:r>
        <w:t> (par défaut)</w:t>
      </w:r>
      <w:r>
        <w:rPr>
          <w:rStyle w:val="optioncarChar"/>
        </w:rPr>
        <w:t xml:space="preserve"> / 30 / 40 *** mm</w:t>
      </w:r>
      <w:r>
        <w:t>.</w:t>
      </w:r>
    </w:p>
    <w:p w14:paraId="43C96123" w14:textId="77777777" w:rsidR="00DF410E" w:rsidRDefault="00CE7F43">
      <w:pPr>
        <w:ind w:left="567"/>
      </w:pPr>
      <w:r>
        <w:rPr>
          <w:b/>
          <w:i/>
        </w:rPr>
        <w:t>(Soit)</w:t>
      </w:r>
    </w:p>
    <w:p w14:paraId="1FA05362" w14:textId="77777777" w:rsidR="00DF410E" w:rsidRDefault="00CE7F43">
      <w:pPr>
        <w:ind w:left="567"/>
      </w:pPr>
      <w:r>
        <w:rPr>
          <w:rStyle w:val="soitChar"/>
          <w:u w:val="single"/>
        </w:rPr>
        <w:t>Bois</w:t>
      </w:r>
      <w:r>
        <w:br/>
      </w:r>
      <w:r>
        <w:rPr>
          <w:rStyle w:val="soitChar"/>
        </w:rPr>
        <w:t>Essence :</w:t>
      </w:r>
      <w:r>
        <w:rPr>
          <w:rStyle w:val="optioncarChar"/>
        </w:rPr>
        <w:t xml:space="preserve"> hêtre</w:t>
      </w:r>
      <w:r>
        <w:t xml:space="preserve"> (par défaut) </w:t>
      </w:r>
      <w:r>
        <w:rPr>
          <w:rStyle w:val="optioncarChar"/>
        </w:rPr>
        <w:t>/ méranti / merbau / ipe / itauba / frêne / mélèze / ***.</w:t>
      </w:r>
      <w:r>
        <w:br/>
      </w:r>
      <w:r>
        <w:rPr>
          <w:rStyle w:val="soitChar"/>
        </w:rPr>
        <w:t>Epaisseur du platelage:</w:t>
      </w:r>
      <w:r>
        <w:rPr>
          <w:rStyle w:val="optioncarChar"/>
        </w:rPr>
        <w:t xml:space="preserve">30 / 35 </w:t>
      </w:r>
      <w:r>
        <w:t>(par défaut)</w:t>
      </w:r>
      <w:r>
        <w:rPr>
          <w:rStyle w:val="optioncarChar"/>
        </w:rPr>
        <w:t xml:space="preserve"> / *** mm</w:t>
      </w:r>
      <w:r>
        <w:t>.</w:t>
      </w:r>
    </w:p>
    <w:p w14:paraId="64AB9E02" w14:textId="77777777" w:rsidR="00DF410E" w:rsidRDefault="00CE7F43">
      <w:pPr>
        <w:ind w:left="567"/>
      </w:pPr>
      <w:r>
        <w:rPr>
          <w:b/>
          <w:i/>
        </w:rPr>
        <w:t>(Soit)</w:t>
      </w:r>
    </w:p>
    <w:p w14:paraId="26D9908A" w14:textId="77777777" w:rsidR="00DF410E" w:rsidRDefault="00CE7F43">
      <w:pPr>
        <w:ind w:left="567"/>
      </w:pPr>
      <w:r>
        <w:rPr>
          <w:rStyle w:val="optioncarChar"/>
        </w:rPr>
        <w:t>***</w:t>
      </w:r>
    </w:p>
    <w:p w14:paraId="038AC17F" w14:textId="77777777" w:rsidR="00DF410E" w:rsidRDefault="00CE7F43">
      <w:pPr>
        <w:pStyle w:val="pheading"/>
      </w:pPr>
      <w:r>
        <w:t>- Finitions</w:t>
      </w:r>
    </w:p>
    <w:p w14:paraId="7D2DE3EC" w14:textId="77777777" w:rsidR="00DF410E" w:rsidRDefault="00CE7F43">
      <w:pPr>
        <w:jc w:val="both"/>
      </w:pPr>
      <w:r>
        <w:rPr>
          <w:b/>
        </w:rPr>
        <w:t>Traitement de l’acier</w:t>
      </w:r>
    </w:p>
    <w:p w14:paraId="648DDD2D" w14:textId="77777777" w:rsidR="00DF410E" w:rsidRDefault="00CE7F43">
      <w:pPr>
        <w:jc w:val="both"/>
      </w:pPr>
      <w:r>
        <w:t>Les éléments sont traités contre la rouille par : </w:t>
      </w:r>
      <w:r>
        <w:rPr>
          <w:rStyle w:val="optioncarChar"/>
        </w:rPr>
        <w:t>galvanisation à chaud </w:t>
      </w:r>
      <w:r>
        <w:t>(par défaut)</w:t>
      </w:r>
      <w:r>
        <w:rPr>
          <w:rStyle w:val="optioncarChar"/>
        </w:rPr>
        <w:t> / métallisation / primaire antirouille / pas de traitement (aspect brut)</w:t>
      </w:r>
      <w:r>
        <w:t>.</w:t>
      </w:r>
    </w:p>
    <w:p w14:paraId="316AFEB6" w14:textId="77777777" w:rsidR="00DF410E" w:rsidRDefault="00CE7F43">
      <w:pPr>
        <w:ind w:left="567"/>
        <w:jc w:val="both"/>
      </w:pPr>
      <w:r>
        <w:rPr>
          <w:b/>
          <w:i/>
        </w:rPr>
        <w:t>(Soit par défaut)</w:t>
      </w:r>
    </w:p>
    <w:p w14:paraId="70BA4D27" w14:textId="77777777" w:rsidR="00DF410E" w:rsidRDefault="00CE7F43">
      <w:pPr>
        <w:ind w:left="567"/>
        <w:jc w:val="both"/>
      </w:pPr>
      <w:r>
        <w:rPr>
          <w:rStyle w:val="soitChar"/>
          <w:u w:val="single"/>
        </w:rPr>
        <w:t>Galvanisation</w:t>
      </w:r>
    </w:p>
    <w:p w14:paraId="362EC47C" w14:textId="77777777" w:rsidR="00DF410E" w:rsidRDefault="00CE7F43">
      <w:pPr>
        <w:ind w:left="567"/>
        <w:jc w:val="both"/>
      </w:pPr>
      <w:r>
        <w:rPr>
          <w:rStyle w:val="soitChar"/>
        </w:rPr>
        <w:t>Renvoi aux articles </w:t>
      </w:r>
      <w:hyperlink r:id="rId200" w:history="1" w:docLocation="505">
        <w:r>
          <w:rPr>
            <w:rStyle w:val="soitChar"/>
          </w:rPr>
          <w:t>81.31.3a Protections intérieures par galvanisation (en atelier) des supports métalliques ferreux</w:t>
        </w:r>
      </w:hyperlink>
      <w:r>
        <w:rPr>
          <w:rStyle w:val="soitChar"/>
        </w:rPr>
        <w:t> ou </w:t>
      </w:r>
      <w:hyperlink r:id="rId201" w:history="1" w:docLocation="506">
        <w:r>
          <w:rPr>
            <w:rStyle w:val="soitChar"/>
          </w:rPr>
          <w:t>82.31.3a Protections extérieures par galvanisation de supports métalliques ferreux</w:t>
        </w:r>
      </w:hyperlink>
      <w:r>
        <w:rPr>
          <w:rStyle w:val="soitChar"/>
        </w:rPr>
        <w:t>.</w:t>
      </w:r>
    </w:p>
    <w:p w14:paraId="3B349181" w14:textId="77777777" w:rsidR="00DF410E" w:rsidRDefault="00CE7F43">
      <w:pPr>
        <w:ind w:left="567"/>
        <w:jc w:val="both"/>
      </w:pPr>
      <w:r>
        <w:rPr>
          <w:b/>
          <w:i/>
        </w:rPr>
        <w:t> (Soit)</w:t>
      </w:r>
    </w:p>
    <w:p w14:paraId="6ABECE23" w14:textId="77777777" w:rsidR="00DF410E" w:rsidRDefault="00CE7F43">
      <w:pPr>
        <w:ind w:left="567"/>
        <w:jc w:val="both"/>
      </w:pPr>
      <w:r>
        <w:rPr>
          <w:rStyle w:val="soitChar"/>
          <w:u w:val="single"/>
        </w:rPr>
        <w:t>Métallisation</w:t>
      </w:r>
    </w:p>
    <w:p w14:paraId="34F71179" w14:textId="77777777" w:rsidR="00DF410E" w:rsidRDefault="00CE7F43">
      <w:pPr>
        <w:ind w:left="567"/>
        <w:jc w:val="both"/>
      </w:pPr>
      <w:r>
        <w:rPr>
          <w:rStyle w:val="soitChar"/>
        </w:rPr>
        <w:t>Renvoi aux articles </w:t>
      </w:r>
      <w:hyperlink r:id="rId202" w:history="1" w:docLocation="507">
        <w:r>
          <w:rPr>
            <w:rStyle w:val="soitChar"/>
          </w:rPr>
          <w:t>81.31.3b Protections intérieures par métallisation (en atelier ou sur chantier) des supports métalliques ferreux</w:t>
        </w:r>
      </w:hyperlink>
      <w:r>
        <w:rPr>
          <w:rStyle w:val="soitChar"/>
        </w:rPr>
        <w:t> ou </w:t>
      </w:r>
      <w:hyperlink r:id="rId203" w:history="1" w:docLocation="508">
        <w:r>
          <w:rPr>
            <w:rStyle w:val="soitChar"/>
          </w:rPr>
          <w:t>82.31.3b Protections extérieures par métallisation des supports métalliques ferreux</w:t>
        </w:r>
      </w:hyperlink>
      <w:r>
        <w:rPr>
          <w:rStyle w:val="soitChar"/>
        </w:rPr>
        <w:t>.</w:t>
      </w:r>
    </w:p>
    <w:p w14:paraId="056612FF" w14:textId="77777777" w:rsidR="00DF410E" w:rsidRDefault="00CE7F43">
      <w:pPr>
        <w:ind w:left="567"/>
        <w:jc w:val="both"/>
      </w:pPr>
      <w:r>
        <w:rPr>
          <w:b/>
          <w:i/>
        </w:rPr>
        <w:t>(Soit)</w:t>
      </w:r>
    </w:p>
    <w:p w14:paraId="37F3716A" w14:textId="77777777" w:rsidR="00DF410E" w:rsidRDefault="00CE7F43">
      <w:pPr>
        <w:ind w:left="567"/>
        <w:jc w:val="both"/>
      </w:pPr>
      <w:r>
        <w:rPr>
          <w:rStyle w:val="soitChar"/>
          <w:u w:val="single"/>
        </w:rPr>
        <w:t>Peinture antirouille</w:t>
      </w:r>
    </w:p>
    <w:p w14:paraId="1152D2DE" w14:textId="77777777" w:rsidR="00DF410E" w:rsidRDefault="00CE7F43">
      <w:pPr>
        <w:ind w:left="567"/>
        <w:jc w:val="both"/>
      </w:pPr>
      <w:r>
        <w:rPr>
          <w:rStyle w:val="soitChar"/>
        </w:rPr>
        <w:t>Renvoi aux articles </w:t>
      </w:r>
      <w:hyperlink r:id="rId204" w:history="1" w:docLocation="503">
        <w:r>
          <w:rPr>
            <w:rStyle w:val="soitChar"/>
          </w:rPr>
          <w:t>81.31.3c Protections intérieures par primaire antirouille (en atelier ou sur chantier) des supports métalliques ferreux</w:t>
        </w:r>
      </w:hyperlink>
      <w:r>
        <w:rPr>
          <w:rStyle w:val="soitChar"/>
        </w:rPr>
        <w:t> ou </w:t>
      </w:r>
      <w:hyperlink r:id="rId205" w:history="1" w:docLocation="504">
        <w:r>
          <w:rPr>
            <w:rStyle w:val="soitChar"/>
          </w:rPr>
          <w:t>82.31.3c Protections extérieures par primaire antirouille des supports métalliques ferreux</w:t>
        </w:r>
      </w:hyperlink>
      <w:r>
        <w:rPr>
          <w:rStyle w:val="soitChar"/>
        </w:rPr>
        <w:t>.</w:t>
      </w:r>
    </w:p>
    <w:p w14:paraId="31703C95" w14:textId="77777777" w:rsidR="00DF410E" w:rsidRDefault="00CE7F43">
      <w:pPr>
        <w:ind w:left="567"/>
        <w:jc w:val="both"/>
      </w:pPr>
      <w:r>
        <w:rPr>
          <w:b/>
          <w:i/>
        </w:rPr>
        <w:t>(Soit)</w:t>
      </w:r>
    </w:p>
    <w:p w14:paraId="39D0E0DE" w14:textId="77777777" w:rsidR="00DF410E" w:rsidRDefault="00CE7F43">
      <w:pPr>
        <w:ind w:left="567"/>
        <w:jc w:val="both"/>
      </w:pPr>
      <w:r>
        <w:rPr>
          <w:rStyle w:val="soitChar"/>
          <w:u w:val="single"/>
        </w:rPr>
        <w:t>Pas de traitement</w:t>
      </w:r>
    </w:p>
    <w:p w14:paraId="1D4F7C18" w14:textId="77777777" w:rsidR="00DF410E" w:rsidRDefault="00CE7F43">
      <w:pPr>
        <w:ind w:left="567"/>
        <w:jc w:val="both"/>
      </w:pPr>
      <w:r>
        <w:rPr>
          <w:rStyle w:val="soitChar"/>
        </w:rPr>
        <w:t>L’acier reste « brut ». Il est simplement nettoyé, dégraissé et débarrassé de la rouille par sablage et/ou ponçage conformément aux chapitres </w:t>
      </w:r>
      <w:hyperlink r:id="rId206" w:history="1" w:docLocation="546">
        <w:r>
          <w:rPr>
            <w:rStyle w:val="soitChar"/>
          </w:rPr>
          <w:t>81.31.1 Nettoyage / Dégraissage</w:t>
        </w:r>
      </w:hyperlink>
      <w:r>
        <w:rPr>
          <w:rStyle w:val="soitChar"/>
        </w:rPr>
        <w:t>, </w:t>
      </w:r>
      <w:hyperlink r:id="rId207" w:history="1" w:docLocation="547">
        <w:r>
          <w:rPr>
            <w:rStyle w:val="soitChar"/>
          </w:rPr>
          <w:t>81.31.2 Grenaillage - Sablage / Ponçage / Dérouillage</w:t>
        </w:r>
      </w:hyperlink>
      <w:r>
        <w:rPr>
          <w:rStyle w:val="soitChar"/>
        </w:rPr>
        <w:t> et articles qui en découlent. </w:t>
      </w:r>
    </w:p>
    <w:p w14:paraId="0D585739" w14:textId="77777777" w:rsidR="00DF410E" w:rsidRDefault="00CE7F43">
      <w:pPr>
        <w:jc w:val="both"/>
      </w:pPr>
      <w:r>
        <w:t>Ce traitement contre la rouille est compris par défaut dans le poste, sauf contre-indication dans le cahier spécial des charges aux articles concernés ci-dessus.</w:t>
      </w:r>
    </w:p>
    <w:p w14:paraId="1116E985" w14:textId="77777777" w:rsidR="00DF410E" w:rsidRDefault="00CE7F43">
      <w:pPr>
        <w:jc w:val="both"/>
      </w:pPr>
      <w:r>
        <w:rPr>
          <w:b/>
        </w:rPr>
        <w:t>Finition de l’acier</w:t>
      </w:r>
    </w:p>
    <w:p w14:paraId="3709558E" w14:textId="77777777" w:rsidR="00DF410E" w:rsidRDefault="00CE7F43">
      <w:pPr>
        <w:jc w:val="both"/>
      </w:pPr>
      <w:r>
        <w:t>Finition de l’acier : </w:t>
      </w:r>
      <w:r>
        <w:rPr>
          <w:rStyle w:val="optioncarChar"/>
        </w:rPr>
        <w:t>pas de finition </w:t>
      </w:r>
      <w:r>
        <w:t>(par défaut)</w:t>
      </w:r>
      <w:r>
        <w:rPr>
          <w:rStyle w:val="optioncarChar"/>
        </w:rPr>
        <w:t> / peint / brut (verni)</w:t>
      </w:r>
      <w:r>
        <w:t>.</w:t>
      </w:r>
    </w:p>
    <w:p w14:paraId="7C23F1F0" w14:textId="77777777" w:rsidR="00DF410E" w:rsidRDefault="00CE7F43">
      <w:pPr>
        <w:ind w:left="567"/>
        <w:jc w:val="both"/>
      </w:pPr>
      <w:r>
        <w:rPr>
          <w:b/>
          <w:i/>
        </w:rPr>
        <w:t>(Soit par défaut)</w:t>
      </w:r>
    </w:p>
    <w:p w14:paraId="0A057DBA" w14:textId="77777777" w:rsidR="00DF410E" w:rsidRDefault="00CE7F43">
      <w:pPr>
        <w:ind w:left="567"/>
        <w:jc w:val="both"/>
      </w:pPr>
      <w:r>
        <w:rPr>
          <w:rStyle w:val="soitChar"/>
          <w:u w:val="single"/>
        </w:rPr>
        <w:t>Pas de finition</w:t>
      </w:r>
    </w:p>
    <w:p w14:paraId="0FB4EDAA" w14:textId="77777777" w:rsidR="00DF410E" w:rsidRDefault="00CE7F43">
      <w:pPr>
        <w:ind w:left="567"/>
        <w:jc w:val="both"/>
      </w:pPr>
      <w:r>
        <w:rPr>
          <w:rStyle w:val="soitChar"/>
        </w:rPr>
        <w:t>Pas de finition, le traitement contre la rouille reste apparent.</w:t>
      </w:r>
    </w:p>
    <w:p w14:paraId="2B0E42DD" w14:textId="77777777" w:rsidR="00DF410E" w:rsidRDefault="00CE7F43">
      <w:pPr>
        <w:ind w:left="567"/>
        <w:jc w:val="both"/>
      </w:pPr>
      <w:r>
        <w:rPr>
          <w:b/>
          <w:i/>
        </w:rPr>
        <w:t>(Soit)</w:t>
      </w:r>
    </w:p>
    <w:p w14:paraId="5D27E349" w14:textId="77777777" w:rsidR="00DF410E" w:rsidRDefault="00CE7F43">
      <w:pPr>
        <w:ind w:left="567"/>
        <w:jc w:val="both"/>
      </w:pPr>
      <w:r>
        <w:rPr>
          <w:rStyle w:val="soitChar"/>
          <w:u w:val="single"/>
        </w:rPr>
        <w:t>Peint</w:t>
      </w:r>
    </w:p>
    <w:p w14:paraId="5E4760E7" w14:textId="77777777" w:rsidR="00DF410E" w:rsidRDefault="00CE7F43">
      <w:pPr>
        <w:ind w:left="567"/>
        <w:jc w:val="both"/>
      </w:pPr>
      <w:r>
        <w:rPr>
          <w:rStyle w:val="soitChar"/>
        </w:rPr>
        <w:t>Renvoi aux sous-titres </w:t>
      </w:r>
      <w:hyperlink r:id="rId208" w:history="1" w:docLocation="509">
        <w:r>
          <w:rPr>
            <w:rStyle w:val="soitChar"/>
          </w:rPr>
          <w:t>81.33 Finitions / décorations des métaux ferreux et non ferreux</w:t>
        </w:r>
      </w:hyperlink>
      <w:r>
        <w:rPr>
          <w:rStyle w:val="soitChar"/>
        </w:rPr>
        <w:t> (intérieure) ou </w:t>
      </w:r>
      <w:hyperlink r:id="rId209" w:history="1" w:docLocation="510">
        <w:r>
          <w:rPr>
            <w:rStyle w:val="soitChar"/>
          </w:rPr>
          <w:t>82.33 Finitions / décorations des métaux ferreux et non ferreux</w:t>
        </w:r>
      </w:hyperlink>
      <w:r>
        <w:rPr>
          <w:rStyle w:val="soitChar"/>
        </w:rPr>
        <w:t> (extérieure), et éléments et articles qui en découlent .</w:t>
      </w:r>
    </w:p>
    <w:p w14:paraId="735D61A5" w14:textId="77777777" w:rsidR="00DF410E" w:rsidRDefault="00CE7F43">
      <w:pPr>
        <w:ind w:left="567"/>
        <w:jc w:val="both"/>
      </w:pPr>
      <w:r>
        <w:rPr>
          <w:b/>
          <w:i/>
        </w:rPr>
        <w:t> (Soit)</w:t>
      </w:r>
    </w:p>
    <w:p w14:paraId="6077EE13" w14:textId="77777777" w:rsidR="00DF410E" w:rsidRDefault="00CE7F43">
      <w:pPr>
        <w:ind w:left="567"/>
        <w:jc w:val="both"/>
      </w:pPr>
      <w:r>
        <w:rPr>
          <w:rStyle w:val="soitChar"/>
          <w:u w:val="single"/>
        </w:rPr>
        <w:t>Brut (verni)</w:t>
      </w:r>
    </w:p>
    <w:p w14:paraId="73F547E9" w14:textId="77777777" w:rsidR="00DF410E" w:rsidRDefault="00CE7F43">
      <w:pPr>
        <w:ind w:left="567"/>
        <w:jc w:val="both"/>
      </w:pPr>
      <w:r>
        <w:rPr>
          <w:rStyle w:val="soitChar"/>
        </w:rPr>
        <w:t>L’acier est protégé à l’aide d’un verni incolore à base de </w:t>
      </w:r>
      <w:r>
        <w:rPr>
          <w:rStyle w:val="optioncarChar"/>
        </w:rPr>
        <w:t>résine glycérophtalique </w:t>
      </w:r>
      <w:r>
        <w:t>(par défaut) </w:t>
      </w:r>
      <w:r>
        <w:rPr>
          <w:rStyle w:val="optioncarChar"/>
        </w:rPr>
        <w:t>/ ***.</w:t>
      </w:r>
    </w:p>
    <w:p w14:paraId="23D49CE6" w14:textId="77777777" w:rsidR="00DF410E" w:rsidRDefault="00CE7F43">
      <w:pPr>
        <w:ind w:left="567"/>
        <w:jc w:val="both"/>
      </w:pPr>
      <w:r>
        <w:rPr>
          <w:rStyle w:val="soitChar"/>
        </w:rPr>
        <w:t>Pour la mise en œuvre, renvoi aux sous-titres </w:t>
      </w:r>
      <w:hyperlink r:id="rId210" w:history="1" w:docLocation="509">
        <w:r>
          <w:rPr>
            <w:rStyle w:val="soitChar"/>
          </w:rPr>
          <w:t>81.33 Finitions / décorations des métaux ferreux et non ferreux</w:t>
        </w:r>
      </w:hyperlink>
      <w:r>
        <w:rPr>
          <w:rStyle w:val="soitChar"/>
        </w:rPr>
        <w:t> (intérieure) ou </w:t>
      </w:r>
      <w:hyperlink r:id="rId211" w:history="1" w:docLocation="510">
        <w:r>
          <w:rPr>
            <w:rStyle w:val="soitChar"/>
          </w:rPr>
          <w:t>82.33 Finitions / décorations des métaux ferreux et non ferreux</w:t>
        </w:r>
      </w:hyperlink>
      <w:r>
        <w:rPr>
          <w:rStyle w:val="soitChar"/>
        </w:rPr>
        <w:t> (extérieure), et éléments et articles qui en découlent . </w:t>
      </w:r>
    </w:p>
    <w:p w14:paraId="2E93E2B8" w14:textId="77777777" w:rsidR="00DF410E" w:rsidRDefault="00CE7F43">
      <w:pPr>
        <w:jc w:val="both"/>
      </w:pPr>
      <w:r>
        <w:t>Ce traitement de finition est compris par défaut dans le poste, sauf contre-indication dans le cahier spécial des charges aux articles concernés ci-dessus.</w:t>
      </w:r>
    </w:p>
    <w:p w14:paraId="7A6D8B66" w14:textId="77777777" w:rsidR="00DF410E" w:rsidRDefault="00CE7F43">
      <w:pPr>
        <w:pStyle w:val="pheading"/>
      </w:pPr>
      <w:r>
        <w:t>- Prescriptions complémentaires</w:t>
      </w:r>
    </w:p>
    <w:p w14:paraId="5789D119" w14:textId="77777777" w:rsidR="00DF410E" w:rsidRDefault="00CE7F43">
      <w:pPr>
        <w:jc w:val="both"/>
      </w:pPr>
      <w:r>
        <w:rPr>
          <w:rStyle w:val="facultChar"/>
        </w:rPr>
        <w:t>Le présent article comprend également</w:t>
      </w:r>
      <w:r>
        <w:rPr>
          <w:rStyle w:val="optioncarChar"/>
        </w:rPr>
        <w:t xml:space="preserve"> : la résistance au feu / la finition du bois.</w:t>
      </w:r>
    </w:p>
    <w:p w14:paraId="5D278E76" w14:textId="77777777" w:rsidR="00DF410E" w:rsidRDefault="00CE7F43">
      <w:pPr>
        <w:pStyle w:val="Author-eListParagraph"/>
        <w:numPr>
          <w:ilvl w:val="0"/>
          <w:numId w:val="763"/>
        </w:numPr>
      </w:pPr>
      <w:r>
        <w:rPr>
          <w:rStyle w:val="facultChar"/>
          <w:u w:val="single"/>
        </w:rPr>
        <w:t>Résistance au feu</w:t>
      </w:r>
      <w:r>
        <w:br/>
      </w:r>
      <w:r>
        <w:rPr>
          <w:rStyle w:val="facultChar"/>
        </w:rPr>
        <w:t>Suivant la [NBN EN 13501-2] :</w:t>
      </w:r>
      <w:r>
        <w:rPr>
          <w:rStyle w:val="optioncarChar"/>
        </w:rPr>
        <w:t>R30 (bâtiment bas &lt;10 m) / R60 (≥10 m).</w:t>
      </w:r>
    </w:p>
    <w:p w14:paraId="519131AA" w14:textId="77777777" w:rsidR="00DF410E" w:rsidRDefault="00CE7F43">
      <w:pPr>
        <w:ind w:left="567"/>
        <w:jc w:val="both"/>
      </w:pPr>
      <w:r>
        <w:rPr>
          <w:rStyle w:val="facultChar"/>
        </w:rPr>
        <w:t>Cette résistance au feu est atteinte :</w:t>
      </w:r>
      <w:r>
        <w:rPr>
          <w:rStyle w:val="optioncarChar"/>
        </w:rPr>
        <w:t xml:space="preserve">sans traitement particulier </w:t>
      </w:r>
      <w:r>
        <w:t>(par défaut)</w:t>
      </w:r>
      <w:r>
        <w:rPr>
          <w:rStyle w:val="optioncarChar"/>
        </w:rPr>
        <w:t xml:space="preserve"> / à l’aide d’une peinture intumescente.</w:t>
      </w:r>
    </w:p>
    <w:p w14:paraId="4A2B16B5" w14:textId="77777777" w:rsidR="00DF410E" w:rsidRDefault="00CE7F43">
      <w:pPr>
        <w:ind w:left="1134"/>
        <w:jc w:val="both"/>
      </w:pPr>
      <w:r>
        <w:rPr>
          <w:b/>
          <w:i/>
        </w:rPr>
        <w:t>(Soit par défaut)</w:t>
      </w:r>
    </w:p>
    <w:p w14:paraId="7212F052" w14:textId="77777777" w:rsidR="00DF410E" w:rsidRDefault="00CE7F43">
      <w:pPr>
        <w:ind w:left="1134"/>
        <w:jc w:val="both"/>
      </w:pPr>
      <w:r>
        <w:rPr>
          <w:rStyle w:val="soitChar"/>
          <w:u w:val="single"/>
        </w:rPr>
        <w:t>Sans traitement particulier</w:t>
      </w:r>
    </w:p>
    <w:p w14:paraId="5B9A806F" w14:textId="77777777" w:rsidR="00DF410E" w:rsidRDefault="00CE7F43">
      <w:pPr>
        <w:ind w:left="1134"/>
        <w:jc w:val="both"/>
      </w:pPr>
      <w:r>
        <w:rPr>
          <w:rStyle w:val="soitChar"/>
        </w:rPr>
        <w:t>La résistance au feu est démontrée par test au feu selon la [NBN EN 13501-2] ou par calcul selon les Eurocodes conformément à l’[AM 2013-05-17].</w:t>
      </w:r>
    </w:p>
    <w:p w14:paraId="513E0BE6" w14:textId="77777777" w:rsidR="00DF410E" w:rsidRDefault="00CE7F43">
      <w:pPr>
        <w:ind w:left="1134"/>
        <w:jc w:val="both"/>
      </w:pPr>
      <w:r>
        <w:rPr>
          <w:b/>
          <w:i/>
        </w:rPr>
        <w:t>(Soit)</w:t>
      </w:r>
    </w:p>
    <w:p w14:paraId="545B4DC5" w14:textId="77777777" w:rsidR="00DF410E" w:rsidRDefault="00CE7F43">
      <w:pPr>
        <w:ind w:left="1134"/>
        <w:jc w:val="both"/>
      </w:pPr>
      <w:r>
        <w:rPr>
          <w:rStyle w:val="soitChar"/>
          <w:u w:val="single"/>
        </w:rPr>
        <w:t>Peinture intumescente</w:t>
      </w:r>
    </w:p>
    <w:p w14:paraId="4DC368E4" w14:textId="77777777" w:rsidR="00DF410E" w:rsidRDefault="00CE7F43">
      <w:pPr>
        <w:ind w:left="1134"/>
        <w:jc w:val="both"/>
      </w:pPr>
      <w:r>
        <w:rPr>
          <w:rStyle w:val="soitChar"/>
        </w:rPr>
        <w:t xml:space="preserve">Conformément à l’article </w:t>
      </w:r>
      <w:hyperlink r:id="rId212" w:history="1" w:docLocation="511">
        <w:r>
          <w:rPr>
            <w:rStyle w:val="soitChar"/>
          </w:rPr>
          <w:t>81.34.1b Peintures intérieures intumescentes sur supports métalliques ferreux et non ferreux</w:t>
        </w:r>
      </w:hyperlink>
      <w:r>
        <w:rPr>
          <w:rStyle w:val="soitChar"/>
        </w:rPr>
        <w:t>.</w:t>
      </w:r>
    </w:p>
    <w:p w14:paraId="5C9BC300" w14:textId="77777777" w:rsidR="00DF410E" w:rsidRDefault="00CE7F43">
      <w:pPr>
        <w:ind w:left="1134"/>
        <w:jc w:val="both"/>
      </w:pPr>
      <w:r>
        <w:rPr>
          <w:rStyle w:val="soitChar"/>
        </w:rPr>
        <w:t>Ce traitement est compris par défaut dans le poste, sauf contre-indication dans le cahier spécial des charges, à l’article concerné ci-dessus.</w:t>
      </w:r>
    </w:p>
    <w:p w14:paraId="5E94BE79" w14:textId="77777777" w:rsidR="00DF410E" w:rsidRDefault="00CE7F43">
      <w:pPr>
        <w:jc w:val="both"/>
      </w:pPr>
      <w:r>
        <w:t> </w:t>
      </w:r>
    </w:p>
    <w:p w14:paraId="0B5C223E" w14:textId="77777777" w:rsidR="00DF410E" w:rsidRDefault="00CE7F43">
      <w:pPr>
        <w:pStyle w:val="Author-eListParagraph"/>
        <w:numPr>
          <w:ilvl w:val="0"/>
          <w:numId w:val="764"/>
        </w:numPr>
        <w:jc w:val="both"/>
      </w:pPr>
      <w:r>
        <w:rPr>
          <w:rStyle w:val="facultChar"/>
          <w:u w:val="single"/>
        </w:rPr>
        <w:t>Finition du bois</w:t>
      </w:r>
    </w:p>
    <w:p w14:paraId="689A68C8" w14:textId="77777777" w:rsidR="00DF410E" w:rsidRDefault="00CE7F43">
      <w:pPr>
        <w:pStyle w:val="Author-eListParagraph"/>
        <w:numPr>
          <w:ilvl w:val="0"/>
          <w:numId w:val="764"/>
        </w:numPr>
        <w:jc w:val="both"/>
      </w:pPr>
      <w:r>
        <w:rPr>
          <w:rStyle w:val="facultChar"/>
        </w:rPr>
        <w:t xml:space="preserve">Toutes les parties en bois sont vernies en deux couches selon les titres </w:t>
      </w:r>
      <w:hyperlink r:id="rId213" w:history="1" w:docLocation="558">
        <w:r>
          <w:rPr>
            <w:rStyle w:val="facultChar"/>
          </w:rPr>
          <w:t>81.2 Peintures intérieures sur subjectiles en bois et dérivés du bois (feuillus, résineux, bois exotiques, panneaux)</w:t>
        </w:r>
      </w:hyperlink>
      <w:r>
        <w:rPr>
          <w:rStyle w:val="facultChar"/>
        </w:rPr>
        <w:t xml:space="preserve"> ou </w:t>
      </w:r>
      <w:hyperlink r:id="rId214" w:history="1" w:docLocation="559">
        <w:r>
          <w:rPr>
            <w:rStyle w:val="facultChar"/>
          </w:rPr>
          <w:t>82.2 Peintures extérieures sur subjectiles en bois et dérivés du bois (feuillus, résineux, bois exotiques, panneaux)</w:t>
        </w:r>
      </w:hyperlink>
      <w:r>
        <w:rPr>
          <w:rStyle w:val="facultChar"/>
        </w:rPr>
        <w:t xml:space="preserve"> et éléments et articles qui en découlent. </w:t>
      </w:r>
    </w:p>
    <w:p w14:paraId="06B2ACB5" w14:textId="77777777" w:rsidR="00DF410E" w:rsidRDefault="00CE7F43">
      <w:pPr>
        <w:pStyle w:val="Author-eListParagraph"/>
        <w:numPr>
          <w:ilvl w:val="0"/>
          <w:numId w:val="764"/>
        </w:numPr>
        <w:jc w:val="both"/>
      </w:pPr>
      <w:r>
        <w:rPr>
          <w:rStyle w:val="facultChar"/>
        </w:rPr>
        <w:t>Le traitement est compris dans le prix du poste. Le bois est protégé jusqu'à réception provisoire dans un emballage de protection évitant les chocs et rayures.</w:t>
      </w:r>
    </w:p>
    <w:p w14:paraId="0F984C63" w14:textId="77777777" w:rsidR="00DF410E" w:rsidRDefault="00CE7F43">
      <w:pPr>
        <w:pStyle w:val="pheading"/>
      </w:pPr>
      <w:r>
        <w:t>EXÉCUTION / MISE EN ŒUVRE</w:t>
      </w:r>
    </w:p>
    <w:p w14:paraId="60B72105" w14:textId="77777777" w:rsidR="00DF410E" w:rsidRDefault="00CE7F43">
      <w:pPr>
        <w:pStyle w:val="pheading"/>
      </w:pPr>
      <w:r>
        <w:t>- Prescriptions générales</w:t>
      </w:r>
    </w:p>
    <w:p w14:paraId="6C7A995A" w14:textId="77777777" w:rsidR="00DF410E" w:rsidRDefault="00CE7F43">
      <w:r>
        <w:t>Toutes les pièces sont profilées conformément aux plans d'adjudication et/ou aux dessins d'exécution. Ces dessins d'exécution sont soumis à l'approbation de l’auteur de projet.</w:t>
      </w:r>
    </w:p>
    <w:p w14:paraId="3659F80C" w14:textId="77777777" w:rsidR="00DF410E" w:rsidRDefault="00CE7F43">
      <w:r>
        <w:t xml:space="preserve">L'étude et les plans d'exécution sont réalisés sur base : </w:t>
      </w:r>
      <w:r>
        <w:rPr>
          <w:rStyle w:val="optioncarChar"/>
        </w:rPr>
        <w:t xml:space="preserve">des études et dessins de détail annexés au dossier d'adjudication </w:t>
      </w:r>
      <w:r>
        <w:t xml:space="preserve">(par défaut) </w:t>
      </w:r>
      <w:r>
        <w:rPr>
          <w:rStyle w:val="optioncarChar"/>
        </w:rPr>
        <w:t>/ à charge de l’entreprise</w:t>
      </w:r>
      <w:r>
        <w:t>.</w:t>
      </w:r>
    </w:p>
    <w:p w14:paraId="348DC2FF" w14:textId="77777777" w:rsidR="00DF410E" w:rsidRDefault="00CE7F43">
      <w:r>
        <w:rPr>
          <w:b/>
          <w:u w:val="single"/>
        </w:rPr>
        <w:t>Etudes et dessins de détail annexés au dossier d'adjudication</w:t>
      </w:r>
      <w:r>
        <w:br/>
        <w:t>Les dessins d’exécution sont réalisés selon l’étude des plans et des détails de l'auteur de projet annexés au dossier d'adjudication.</w:t>
      </w:r>
      <w:r>
        <w:rPr>
          <w:b/>
        </w:rPr>
        <w:t> </w:t>
      </w:r>
    </w:p>
    <w:p w14:paraId="3D7E73EC" w14:textId="77777777" w:rsidR="00DF410E" w:rsidRDefault="00CE7F43">
      <w:r>
        <w:rPr>
          <w:b/>
          <w:u w:val="single"/>
        </w:rPr>
        <w:t>Etudes et dessins à charge de l’entreprise</w:t>
      </w:r>
      <w:r>
        <w:br/>
        <w:t>Les études de stabilité et les dessins d’exécution sont réalisés sur base des informations suivantes, complémentaires aux plans et coupes de soumission:</w:t>
      </w:r>
    </w:p>
    <w:p w14:paraId="373202EC" w14:textId="77777777" w:rsidR="00DF410E" w:rsidRDefault="00CE7F43">
      <w:r>
        <w:rPr>
          <w:i/>
        </w:rPr>
        <w:t>Structure portante</w:t>
      </w:r>
    </w:p>
    <w:p w14:paraId="14A6D794" w14:textId="77777777" w:rsidR="00DF410E" w:rsidRDefault="00CE7F43">
      <w:pPr>
        <w:ind w:left="567"/>
      </w:pPr>
      <w:r>
        <w:t>La structure portante est appropriée pour obtenir la résistance nécessaire.</w:t>
      </w:r>
      <w:r>
        <w:br/>
        <w:t xml:space="preserve">Type de structure portante : </w:t>
      </w:r>
      <w:r>
        <w:rPr>
          <w:rStyle w:val="optioncarChar"/>
        </w:rPr>
        <w:t xml:space="preserve">colonnes </w:t>
      </w:r>
      <w:r>
        <w:t>(par défaut)</w:t>
      </w:r>
      <w:r>
        <w:rPr>
          <w:rStyle w:val="optioncarChar"/>
        </w:rPr>
        <w:t xml:space="preserve"> / consoles fixées au mur / ***.</w:t>
      </w:r>
    </w:p>
    <w:p w14:paraId="5FA8F2F3" w14:textId="77777777" w:rsidR="00DF410E" w:rsidRDefault="00CE7F43">
      <w:pPr>
        <w:ind w:left="1134"/>
      </w:pPr>
      <w:r>
        <w:rPr>
          <w:b/>
          <w:i/>
        </w:rPr>
        <w:t>(Soit par défaut)</w:t>
      </w:r>
    </w:p>
    <w:p w14:paraId="6F7D383B" w14:textId="77777777" w:rsidR="00DF410E" w:rsidRDefault="00CE7F43">
      <w:pPr>
        <w:ind w:left="1134"/>
      </w:pPr>
      <w:r>
        <w:rPr>
          <w:rStyle w:val="soitChar"/>
          <w:u w:val="single"/>
        </w:rPr>
        <w:t>Colonnes</w:t>
      </w:r>
      <w:r>
        <w:br/>
      </w:r>
      <w:r>
        <w:rPr>
          <w:rStyle w:val="soitChar"/>
        </w:rPr>
        <w:t>Profil :</w:t>
      </w:r>
      <w:r>
        <w:rPr>
          <w:rStyle w:val="optioncarChar"/>
        </w:rPr>
        <w:t xml:space="preserve">Tube circulaire (CHS) </w:t>
      </w:r>
      <w:r>
        <w:t xml:space="preserve">(par défaut) </w:t>
      </w:r>
      <w:r>
        <w:rPr>
          <w:rStyle w:val="optioncarChar"/>
        </w:rPr>
        <w:t>/ Tube carré (SHS) / Tube rectangulaire (RHS) / H / I / ***</w:t>
      </w:r>
      <w:r>
        <w:t>.</w:t>
      </w:r>
      <w:r>
        <w:br/>
      </w:r>
      <w:r>
        <w:rPr>
          <w:rStyle w:val="soitChar"/>
        </w:rPr>
        <w:t>Les colonnes reposent sur des fondations adéquates.</w:t>
      </w:r>
    </w:p>
    <w:p w14:paraId="31E3151D" w14:textId="77777777" w:rsidR="00DF410E" w:rsidRDefault="00CE7F43">
      <w:pPr>
        <w:ind w:left="1134"/>
      </w:pPr>
      <w:r>
        <w:rPr>
          <w:b/>
          <w:i/>
        </w:rPr>
        <w:t>(Soit)</w:t>
      </w:r>
    </w:p>
    <w:p w14:paraId="6FADBFBE" w14:textId="77777777" w:rsidR="00DF410E" w:rsidRDefault="00CE7F43">
      <w:pPr>
        <w:ind w:left="1134"/>
      </w:pPr>
      <w:r>
        <w:rPr>
          <w:rStyle w:val="soitChar"/>
          <w:u w:val="single"/>
        </w:rPr>
        <w:t>Consoles fixées au mur</w:t>
      </w:r>
      <w:r>
        <w:br/>
      </w:r>
      <w:r>
        <w:rPr>
          <w:rStyle w:val="soitChar"/>
        </w:rPr>
        <w:t>Profil :</w:t>
      </w:r>
      <w:r>
        <w:rPr>
          <w:rStyle w:val="optioncarChar"/>
        </w:rPr>
        <w:t xml:space="preserve">Tube circulaire (CHS) / Tube carré (SHS) / Tube rectangulaire (RHS) / H / I / U </w:t>
      </w:r>
      <w:r>
        <w:t>(par défaut)</w:t>
      </w:r>
      <w:r>
        <w:rPr>
          <w:rStyle w:val="optioncarChar"/>
        </w:rPr>
        <w:t xml:space="preserve"> / ***</w:t>
      </w:r>
      <w:r>
        <w:t>.</w:t>
      </w:r>
      <w:r>
        <w:br/>
      </w:r>
      <w:r>
        <w:rPr>
          <w:rStyle w:val="soitChar"/>
        </w:rPr>
        <w:t>Les consoles sont fixées au bâtiment par ancrages chimique en nombre et dimensions adéquats.</w:t>
      </w:r>
      <w:r>
        <w:br/>
      </w:r>
    </w:p>
    <w:p w14:paraId="77A1BD6D" w14:textId="77777777" w:rsidR="00DF410E" w:rsidRDefault="00CE7F43">
      <w:r>
        <w:rPr>
          <w:i/>
        </w:rPr>
        <w:t>Structure principale</w:t>
      </w:r>
    </w:p>
    <w:p w14:paraId="12ED03E6" w14:textId="77777777" w:rsidR="00DF410E" w:rsidRDefault="00CE7F43">
      <w:pPr>
        <w:ind w:left="567"/>
      </w:pPr>
      <w:r>
        <w:t xml:space="preserve">Profil de limons : </w:t>
      </w:r>
      <w:r>
        <w:rPr>
          <w:rStyle w:val="optioncarChar"/>
        </w:rPr>
        <w:t>Tube circulaire (CHS) / Tube carré (SHS) / Tube rectangulaire (RHS) / H / I / U</w:t>
      </w:r>
      <w:r>
        <w:t xml:space="preserve"> (par défaut) </w:t>
      </w:r>
      <w:r>
        <w:rPr>
          <w:rStyle w:val="optioncarChar"/>
        </w:rPr>
        <w:t>/ ***.</w:t>
      </w:r>
      <w:r>
        <w:br/>
        <w:t xml:space="preserve">Assemblages à la structure portante : </w:t>
      </w:r>
      <w:r>
        <w:rPr>
          <w:rStyle w:val="optioncarChar"/>
        </w:rPr>
        <w:t>soudés / boulonnés</w:t>
      </w:r>
      <w:r>
        <w:t xml:space="preserve"> (par défaut).</w:t>
      </w:r>
    </w:p>
    <w:p w14:paraId="29BB476D" w14:textId="77777777" w:rsidR="00DF410E" w:rsidRDefault="00CE7F43">
      <w:r>
        <w:rPr>
          <w:i/>
        </w:rPr>
        <w:t>Structure secondaire</w:t>
      </w:r>
    </w:p>
    <w:p w14:paraId="10AFF545" w14:textId="77777777" w:rsidR="00DF410E" w:rsidRDefault="00CE7F43">
      <w:pPr>
        <w:ind w:left="567"/>
      </w:pPr>
      <w:r>
        <w:t xml:space="preserve">Profil : </w:t>
      </w:r>
      <w:r>
        <w:rPr>
          <w:rStyle w:val="optioncarChar"/>
        </w:rPr>
        <w:t xml:space="preserve">Tube circulaire (CHS) / Tube carré (SHS) / Tube rectangulaire (RHS) / H / I / U / T </w:t>
      </w:r>
      <w:r>
        <w:t>(par défaut)</w:t>
      </w:r>
      <w:r>
        <w:rPr>
          <w:rStyle w:val="optioncarChar"/>
        </w:rPr>
        <w:t xml:space="preserve"> ***.</w:t>
      </w:r>
      <w:r>
        <w:br/>
        <w:t xml:space="preserve">Assemblages à la structure principale : </w:t>
      </w:r>
      <w:r>
        <w:rPr>
          <w:rStyle w:val="optioncarChar"/>
        </w:rPr>
        <w:t>soudés / boulonnés</w:t>
      </w:r>
      <w:r>
        <w:t xml:space="preserve"> (par défaut).</w:t>
      </w:r>
    </w:p>
    <w:p w14:paraId="49611548" w14:textId="77777777" w:rsidR="00DF410E" w:rsidRDefault="00CE7F43">
      <w:r>
        <w:rPr>
          <w:i/>
        </w:rPr>
        <w:t>Contreventements</w:t>
      </w:r>
    </w:p>
    <w:p w14:paraId="2C7A545B" w14:textId="77777777" w:rsidR="00DF410E" w:rsidRDefault="00CE7F43">
      <w:pPr>
        <w:ind w:left="567"/>
      </w:pPr>
      <w:r>
        <w:t xml:space="preserve">Profil : </w:t>
      </w:r>
      <w:r>
        <w:rPr>
          <w:rStyle w:val="optioncarChar"/>
        </w:rPr>
        <w:t xml:space="preserve">cornière L </w:t>
      </w:r>
      <w:r>
        <w:t>(par défaut)</w:t>
      </w:r>
      <w:r>
        <w:rPr>
          <w:rStyle w:val="optioncarChar"/>
        </w:rPr>
        <w:t xml:space="preserve"> / tiges rondes / câbles / ***</w:t>
      </w:r>
      <w:r>
        <w:t>.</w:t>
      </w:r>
      <w:r>
        <w:br/>
        <w:t>Assemblages à la structure : boulonnés sur des goussets</w:t>
      </w:r>
      <w:r>
        <w:rPr>
          <w:rStyle w:val="optioncarChar"/>
        </w:rPr>
        <w:t xml:space="preserve"> soudés / boulonnés </w:t>
      </w:r>
      <w:r>
        <w:t>(par défaut) à la structure.</w:t>
      </w:r>
    </w:p>
    <w:p w14:paraId="6C0301CB" w14:textId="77777777" w:rsidR="00DF410E" w:rsidRDefault="00CE7F43">
      <w:r>
        <w:rPr>
          <w:i/>
        </w:rPr>
        <w:t>Platelage</w:t>
      </w:r>
    </w:p>
    <w:p w14:paraId="4A68C7AD" w14:textId="77777777" w:rsidR="00DF410E" w:rsidRDefault="00CE7F43">
      <w:pPr>
        <w:ind w:left="567"/>
      </w:pPr>
      <w:r>
        <w:t xml:space="preserve">Le platelage est posé : </w:t>
      </w:r>
      <w:r>
        <w:rPr>
          <w:rStyle w:val="optioncarChar"/>
        </w:rPr>
        <w:t>en affleurement aux limons périphériques (pour que la face supérieure soit dans le même plan que le dessus des limons)</w:t>
      </w:r>
      <w:r>
        <w:t xml:space="preserve"> (par défaut) </w:t>
      </w:r>
      <w:r>
        <w:rPr>
          <w:rStyle w:val="optioncarChar"/>
        </w:rPr>
        <w:t>/ sur les limons</w:t>
      </w:r>
      <w:r>
        <w:t>.</w:t>
      </w:r>
    </w:p>
    <w:p w14:paraId="30C1064D" w14:textId="77777777" w:rsidR="00DF410E" w:rsidRDefault="00CE7F43">
      <w:r>
        <w:rPr>
          <w:i/>
        </w:rPr>
        <w:t>Garde-corps</w:t>
      </w:r>
    </w:p>
    <w:p w14:paraId="781B7244" w14:textId="77777777" w:rsidR="00DF410E" w:rsidRDefault="00CE7F43">
      <w:pPr>
        <w:ind w:left="567"/>
      </w:pPr>
      <w:r>
        <w:t>Les garde-corps sont boulonnés solidement aux limons périphériques.</w:t>
      </w:r>
    </w:p>
    <w:p w14:paraId="4FFB80AE" w14:textId="77777777" w:rsidR="00DF410E" w:rsidRDefault="00CE7F43">
      <w:pPr>
        <w:pStyle w:val="pheading"/>
      </w:pPr>
      <w:r>
        <w:t>- Notes d’exécution complémentaires</w:t>
      </w:r>
    </w:p>
    <w:p w14:paraId="7E84754A" w14:textId="77777777" w:rsidR="00DF410E" w:rsidRDefault="00CE7F43">
      <w:pPr>
        <w:jc w:val="both"/>
      </w:pPr>
      <w:r>
        <w:rPr>
          <w:rStyle w:val="facultChar"/>
        </w:rPr>
        <w:t xml:space="preserve">Le présent article comprend également : </w:t>
      </w:r>
      <w:r>
        <w:rPr>
          <w:rStyle w:val="optioncarChar"/>
        </w:rPr>
        <w:t>les recommandations PMR / les coupures thermiques</w:t>
      </w:r>
      <w:r>
        <w:rPr>
          <w:rStyle w:val="facultChar"/>
        </w:rPr>
        <w:t>.</w:t>
      </w:r>
    </w:p>
    <w:p w14:paraId="3A948F2B" w14:textId="77777777" w:rsidR="00DF410E" w:rsidRDefault="00CE7F43">
      <w:pPr>
        <w:pStyle w:val="Author-eListParagraph"/>
        <w:numPr>
          <w:ilvl w:val="0"/>
          <w:numId w:val="765"/>
        </w:numPr>
      </w:pPr>
      <w:r>
        <w:rPr>
          <w:rStyle w:val="facultChar"/>
          <w:u w:val="single"/>
        </w:rPr>
        <w:t>Respect PMR</w:t>
      </w:r>
      <w:r>
        <w:br/>
      </w:r>
      <w:r>
        <w:rPr>
          <w:rStyle w:val="facultChar"/>
        </w:rPr>
        <w:t xml:space="preserve">Les recommandations pour les personnes à mobilité réduite (PMR) du sous-titre </w:t>
      </w:r>
      <w:hyperlink w:anchor="564" w:history="1">
        <w:r>
          <w:rPr>
            <w:rStyle w:val="facultChar"/>
          </w:rPr>
          <w:t>23.34 Passerelles et coursives métalliques</w:t>
        </w:r>
      </w:hyperlink>
      <w:r>
        <w:rPr>
          <w:rStyle w:val="facultChar"/>
        </w:rPr>
        <w:t xml:space="preserve"> doivent être respectées.</w:t>
      </w:r>
    </w:p>
    <w:p w14:paraId="7045450D" w14:textId="77777777" w:rsidR="00DF410E" w:rsidRDefault="00CE7F43">
      <w:pPr>
        <w:pStyle w:val="Author-eListParagraph"/>
        <w:numPr>
          <w:ilvl w:val="0"/>
          <w:numId w:val="766"/>
        </w:numPr>
      </w:pPr>
      <w:r>
        <w:rPr>
          <w:rStyle w:val="facultChar"/>
          <w:u w:val="single"/>
        </w:rPr>
        <w:t>Coupures thermiques</w:t>
      </w:r>
      <w:r>
        <w:br/>
      </w:r>
      <w:r>
        <w:rPr>
          <w:rStyle w:val="facultChar"/>
        </w:rPr>
        <w:t>Des dispositifs adéquats sont utilisés pour éviter tout pont thermique.</w:t>
      </w:r>
    </w:p>
    <w:p w14:paraId="2C76FB29" w14:textId="77777777" w:rsidR="00DF410E" w:rsidRDefault="00CE7F43">
      <w:pPr>
        <w:pStyle w:val="pheading"/>
      </w:pPr>
      <w:r>
        <w:t>DOCUMENTS DE RÉFÉRENCE COMPLÉMENTAIRES</w:t>
      </w:r>
    </w:p>
    <w:p w14:paraId="6B8E1C0C" w14:textId="77777777" w:rsidR="00DF410E" w:rsidRDefault="00CE7F43">
      <w:pPr>
        <w:pStyle w:val="pheading"/>
      </w:pPr>
      <w:r>
        <w:t>- Matériau</w:t>
      </w:r>
    </w:p>
    <w:p w14:paraId="45D6F57D" w14:textId="77777777" w:rsidR="00DF410E" w:rsidRDefault="00CE7F43">
      <w:r>
        <w:t>[NBN EN 10025 série, Produits laminés à chaud en aciers de construction]</w:t>
      </w:r>
    </w:p>
    <w:p w14:paraId="6294A36F" w14:textId="77777777" w:rsidR="00DF410E" w:rsidRDefault="00CE7F43">
      <w:pPr>
        <w:pStyle w:val="pheading"/>
      </w:pPr>
      <w:r>
        <w:t>MESURAGE</w:t>
      </w:r>
    </w:p>
    <w:p w14:paraId="7B4ED028" w14:textId="77777777" w:rsidR="00DF410E" w:rsidRDefault="00CE7F43">
      <w:pPr>
        <w:pStyle w:val="pheading"/>
      </w:pPr>
      <w:r>
        <w:t>- unité de mesure:</w:t>
      </w:r>
    </w:p>
    <w:p w14:paraId="199491E2" w14:textId="77777777" w:rsidR="00DF410E" w:rsidRDefault="00CE7F43">
      <w:r>
        <w:rPr>
          <w:rStyle w:val="optioncarChar"/>
        </w:rPr>
        <w:t xml:space="preserve">pc </w:t>
      </w:r>
      <w:r>
        <w:t>(par défaut)</w:t>
      </w:r>
      <w:r>
        <w:rPr>
          <w:rStyle w:val="optioncarChar"/>
        </w:rPr>
        <w:t xml:space="preserve">  / m</w:t>
      </w:r>
    </w:p>
    <w:p w14:paraId="73AD4E9C" w14:textId="77777777" w:rsidR="00DF410E" w:rsidRDefault="00CE7F43">
      <w:r>
        <w:rPr>
          <w:b/>
          <w:i/>
        </w:rPr>
        <w:t>(Soit par défaut)</w:t>
      </w:r>
    </w:p>
    <w:p w14:paraId="5AADA9C3" w14:textId="77777777" w:rsidR="00DF410E" w:rsidRDefault="00CE7F43">
      <w:r>
        <w:rPr>
          <w:rStyle w:val="soitChar"/>
        </w:rPr>
        <w:t>1. pc</w:t>
      </w:r>
      <w:r>
        <w:br/>
      </w:r>
      <w:r>
        <w:rPr>
          <w:b/>
          <w:i/>
        </w:rPr>
        <w:t>(Soit)</w:t>
      </w:r>
    </w:p>
    <w:p w14:paraId="535677AE" w14:textId="77777777" w:rsidR="00DF410E" w:rsidRDefault="00CE7F43">
      <w:r>
        <w:rPr>
          <w:rStyle w:val="soitChar"/>
        </w:rPr>
        <w:t>2. m</w:t>
      </w:r>
    </w:p>
    <w:p w14:paraId="373A1FE2" w14:textId="77777777" w:rsidR="00DF410E" w:rsidRDefault="00CE7F43">
      <w:pPr>
        <w:pStyle w:val="pheading"/>
      </w:pPr>
      <w:r>
        <w:t>- code de mesurage:</w:t>
      </w:r>
    </w:p>
    <w:p w14:paraId="4BE5FA7E" w14:textId="77777777" w:rsidR="00DF410E" w:rsidRDefault="00CE7F43">
      <w:r>
        <w:rPr>
          <w:rStyle w:val="optioncarChar"/>
        </w:rPr>
        <w:t xml:space="preserve">quantité nette </w:t>
      </w:r>
      <w:r>
        <w:t>(par défaut)</w:t>
      </w:r>
      <w:r>
        <w:rPr>
          <w:rStyle w:val="optioncarChar"/>
        </w:rPr>
        <w:t xml:space="preserve"> / longueur nette</w:t>
      </w:r>
    </w:p>
    <w:p w14:paraId="50C781FF" w14:textId="77777777" w:rsidR="00DF410E" w:rsidRDefault="00CE7F43">
      <w:r>
        <w:rPr>
          <w:b/>
          <w:i/>
        </w:rPr>
        <w:t>(Soit par défaut)</w:t>
      </w:r>
    </w:p>
    <w:p w14:paraId="10D305C1" w14:textId="77777777" w:rsidR="00DF410E" w:rsidRDefault="00CE7F43">
      <w:r>
        <w:rPr>
          <w:rStyle w:val="soitChar"/>
          <w:u w:val="single"/>
        </w:rPr>
        <w:t>1. quantité nette</w:t>
      </w:r>
      <w:r>
        <w:rPr>
          <w:rStyle w:val="soitChar"/>
        </w:rPr>
        <w:t xml:space="preserve"> à mettre en œuvre, ventilée selon la nature des éléments constitutifs et des dimensions.</w:t>
      </w:r>
    </w:p>
    <w:p w14:paraId="0A908918" w14:textId="77777777" w:rsidR="00DF410E" w:rsidRDefault="00CE7F43">
      <w:r>
        <w:rPr>
          <w:b/>
          <w:i/>
        </w:rPr>
        <w:t>(Soit)</w:t>
      </w:r>
    </w:p>
    <w:p w14:paraId="65E8183C" w14:textId="77777777" w:rsidR="00DF410E" w:rsidRDefault="00CE7F43">
      <w:r>
        <w:rPr>
          <w:rStyle w:val="soitChar"/>
          <w:u w:val="single"/>
        </w:rPr>
        <w:t>2. longueur nette</w:t>
      </w:r>
      <w:r>
        <w:rPr>
          <w:rStyle w:val="soitChar"/>
        </w:rPr>
        <w:t xml:space="preserve"> à mettre en œuvre, ventilée selon la nature des éléments constitutifs.</w:t>
      </w:r>
    </w:p>
    <w:p w14:paraId="13F6B0AF" w14:textId="77777777" w:rsidR="00DF410E" w:rsidRDefault="00CE7F43">
      <w:pPr>
        <w:pStyle w:val="pheading"/>
      </w:pPr>
      <w:r>
        <w:t>- nature du marché:</w:t>
      </w:r>
    </w:p>
    <w:p w14:paraId="79E4D8DA" w14:textId="77777777" w:rsidR="00DF410E" w:rsidRDefault="00CE7F43">
      <w:r>
        <w:t>QF</w:t>
      </w:r>
    </w:p>
    <w:p w14:paraId="5B6014A3" w14:textId="77777777" w:rsidR="00DF410E" w:rsidRDefault="00CE7F43">
      <w:pPr>
        <w:pStyle w:val="Author-eSectionHeading5"/>
      </w:pPr>
      <w:bookmarkStart w:id="1421" w:name="_Toc178838528"/>
      <w:r>
        <w:t>23.34.2 Passerelles et coursives en acier inoxydable CCTB 01.04</w:t>
      </w:r>
      <w:bookmarkEnd w:id="1421"/>
    </w:p>
    <w:p w14:paraId="10048B5B" w14:textId="77777777" w:rsidR="00DF410E" w:rsidRDefault="00CE7F43">
      <w:pPr>
        <w:pStyle w:val="Author-eSectionHeading6"/>
      </w:pPr>
      <w:bookmarkStart w:id="1422" w:name="_Toc178838529"/>
      <w:r>
        <w:t>23.34.2a Passerelles et coursives en acier inoxydable CCTB 01.04</w:t>
      </w:r>
      <w:bookmarkEnd w:id="1422"/>
    </w:p>
    <w:p w14:paraId="1962E93E" w14:textId="77777777" w:rsidR="00DF410E" w:rsidRDefault="00CE7F43">
      <w:pPr>
        <w:pStyle w:val="Author-eSectionHeading5"/>
      </w:pPr>
      <w:bookmarkStart w:id="1423" w:name="566"/>
      <w:bookmarkStart w:id="1424" w:name="_Toc178838530"/>
      <w:bookmarkEnd w:id="1423"/>
      <w:r>
        <w:t>23.34.3 Passerelles et coursives en aluminium CCTB 01.04</w:t>
      </w:r>
      <w:bookmarkEnd w:id="1424"/>
    </w:p>
    <w:p w14:paraId="029AB86F" w14:textId="77777777" w:rsidR="00DF410E" w:rsidRDefault="00CE7F43">
      <w:pPr>
        <w:pStyle w:val="Author-eSectionHeading6"/>
      </w:pPr>
      <w:bookmarkStart w:id="1425" w:name="_Toc178838531"/>
      <w:r>
        <w:t>23.34.3a Passerelles et coursives en aluminium CCTB 01.04</w:t>
      </w:r>
      <w:bookmarkEnd w:id="1425"/>
    </w:p>
    <w:p w14:paraId="04A223B0" w14:textId="77777777" w:rsidR="00DF410E" w:rsidRDefault="00CE7F43">
      <w:pPr>
        <w:pStyle w:val="Author-eSectionHeading4"/>
      </w:pPr>
      <w:bookmarkStart w:id="1426" w:name="567"/>
      <w:bookmarkStart w:id="1427" w:name="_Toc178838532"/>
      <w:bookmarkEnd w:id="1426"/>
      <w:r>
        <w:t>23.35 Auvents métalliques CCTB 01.02</w:t>
      </w:r>
      <w:bookmarkEnd w:id="1427"/>
    </w:p>
    <w:p w14:paraId="5B3FD49B" w14:textId="77777777" w:rsidR="00DF410E" w:rsidRDefault="00CE7F43">
      <w:pPr>
        <w:pStyle w:val="Author-eSectionHeading5"/>
      </w:pPr>
      <w:bookmarkStart w:id="1428" w:name="_Toc178838533"/>
      <w:r>
        <w:t>23.35.1 Auvents métalliques en acier CCTB 01.04</w:t>
      </w:r>
      <w:bookmarkEnd w:id="1428"/>
    </w:p>
    <w:p w14:paraId="3ACC1B96" w14:textId="77777777" w:rsidR="00DF410E" w:rsidRDefault="00CE7F43">
      <w:pPr>
        <w:pStyle w:val="Author-eSectionHeading6"/>
      </w:pPr>
      <w:bookmarkStart w:id="1429" w:name="_Toc178838534"/>
      <w:r>
        <w:t>23.35.1a Auvents métalliques en acier CCTB 01.04</w:t>
      </w:r>
      <w:bookmarkEnd w:id="1429"/>
    </w:p>
    <w:p w14:paraId="434B1984" w14:textId="77777777" w:rsidR="00DF410E" w:rsidRDefault="00CE7F43">
      <w:pPr>
        <w:pStyle w:val="Author-eSectionHeading5"/>
      </w:pPr>
      <w:bookmarkStart w:id="1430" w:name="_Toc178838535"/>
      <w:r>
        <w:t>23.35.2 Auvents métalliques en acier inoxydable CCTB 01.04</w:t>
      </w:r>
      <w:bookmarkEnd w:id="1430"/>
    </w:p>
    <w:p w14:paraId="331EB67E" w14:textId="77777777" w:rsidR="00DF410E" w:rsidRDefault="00CE7F43">
      <w:pPr>
        <w:pStyle w:val="Author-eSectionHeading6"/>
      </w:pPr>
      <w:bookmarkStart w:id="1431" w:name="_Toc178838536"/>
      <w:r>
        <w:t>23.35.2a Auvents métalliques en acier inoxydable CCTB 01.04</w:t>
      </w:r>
      <w:bookmarkEnd w:id="1431"/>
    </w:p>
    <w:p w14:paraId="3C4BDBF0" w14:textId="77777777" w:rsidR="00DF410E" w:rsidRDefault="00CE7F43">
      <w:pPr>
        <w:pStyle w:val="Author-eSectionHeading5"/>
      </w:pPr>
      <w:bookmarkStart w:id="1432" w:name="_Toc178838537"/>
      <w:r>
        <w:t>23.35.3 Auvents métalliques en aluminium CCTB 01.04</w:t>
      </w:r>
      <w:bookmarkEnd w:id="1432"/>
    </w:p>
    <w:p w14:paraId="454149B3" w14:textId="77777777" w:rsidR="00DF410E" w:rsidRDefault="00CE7F43">
      <w:pPr>
        <w:pStyle w:val="Author-eSectionHeading6"/>
      </w:pPr>
      <w:bookmarkStart w:id="1433" w:name="_Toc178838538"/>
      <w:r>
        <w:t>23.35.3a Auvents métalliques en aluminium CCTB 01.04</w:t>
      </w:r>
      <w:bookmarkEnd w:id="1433"/>
    </w:p>
    <w:p w14:paraId="74B524C0" w14:textId="77777777" w:rsidR="00DF410E" w:rsidRDefault="00CE7F43">
      <w:pPr>
        <w:pStyle w:val="Author-eSectionHeading3"/>
      </w:pPr>
      <w:bookmarkStart w:id="1434" w:name="_Toc178838539"/>
      <w:r>
        <w:t>23.4 Eléments particuliers pour structures métalliques CCTB 01.04</w:t>
      </w:r>
      <w:bookmarkEnd w:id="1434"/>
    </w:p>
    <w:p w14:paraId="644FD9F3" w14:textId="77777777" w:rsidR="00DF410E" w:rsidRDefault="00CE7F43">
      <w:pPr>
        <w:pStyle w:val="Author-eSectionHeading4"/>
      </w:pPr>
      <w:bookmarkStart w:id="1435" w:name="_Toc178838540"/>
      <w:r>
        <w:t>23.41 Socles métalliques CCTB 01.04</w:t>
      </w:r>
      <w:bookmarkEnd w:id="1435"/>
    </w:p>
    <w:p w14:paraId="66693763" w14:textId="77777777" w:rsidR="00DF410E" w:rsidRDefault="00CE7F43">
      <w:pPr>
        <w:pStyle w:val="pheading"/>
      </w:pPr>
      <w:r>
        <w:t>DESCRIPTION</w:t>
      </w:r>
    </w:p>
    <w:p w14:paraId="6D7EB152" w14:textId="77777777" w:rsidR="00DF410E" w:rsidRDefault="00CE7F43">
      <w:pPr>
        <w:pStyle w:val="pheading"/>
      </w:pPr>
      <w:r>
        <w:t>- Définition / Comprend</w:t>
      </w:r>
    </w:p>
    <w:p w14:paraId="30658742" w14:textId="77777777" w:rsidR="00DF410E" w:rsidRDefault="00DF410E"/>
    <w:p w14:paraId="4202BB2E" w14:textId="77777777" w:rsidR="00DF410E" w:rsidRDefault="00CE7F43">
      <w:pPr>
        <w:pStyle w:val="Author-eSectionHeading5"/>
      </w:pPr>
      <w:bookmarkStart w:id="1436" w:name="_Toc178838541"/>
      <w:r>
        <w:t>23.41.1 Socles en acier CCTB 01.02</w:t>
      </w:r>
      <w:bookmarkEnd w:id="1436"/>
    </w:p>
    <w:p w14:paraId="7DD3A322" w14:textId="77777777" w:rsidR="00DF410E" w:rsidRDefault="00CE7F43">
      <w:pPr>
        <w:pStyle w:val="Author-eSectionHeading6"/>
      </w:pPr>
      <w:bookmarkStart w:id="1437" w:name="_Toc178838542"/>
      <w:r>
        <w:t>23.41.1a Socles en acier CCTB 01.02</w:t>
      </w:r>
      <w:bookmarkEnd w:id="1437"/>
    </w:p>
    <w:p w14:paraId="3B263DDF" w14:textId="77777777" w:rsidR="00DF410E" w:rsidRDefault="00CE7F43">
      <w:pPr>
        <w:pStyle w:val="Author-eSectionHeading5"/>
      </w:pPr>
      <w:bookmarkStart w:id="1438" w:name="_Toc178838543"/>
      <w:r>
        <w:t>23.41.2 Socles en acier inoxydable CCTB 01.04</w:t>
      </w:r>
      <w:bookmarkEnd w:id="1438"/>
    </w:p>
    <w:p w14:paraId="45206ADB" w14:textId="77777777" w:rsidR="00DF410E" w:rsidRDefault="00CE7F43">
      <w:pPr>
        <w:pStyle w:val="Author-eSectionHeading6"/>
      </w:pPr>
      <w:bookmarkStart w:id="1439" w:name="_Toc178838544"/>
      <w:r>
        <w:t>23.41.2a Socles en acier inoxydable CCTB 01.04</w:t>
      </w:r>
      <w:bookmarkEnd w:id="1439"/>
    </w:p>
    <w:p w14:paraId="07B01B0B" w14:textId="77777777" w:rsidR="00DF410E" w:rsidRDefault="00CE7F43">
      <w:pPr>
        <w:pStyle w:val="Author-eSectionHeading5"/>
      </w:pPr>
      <w:bookmarkStart w:id="1440" w:name="_Toc178838545"/>
      <w:r>
        <w:t>23.41.3 Socles en aluminium CCTB 01.04</w:t>
      </w:r>
      <w:bookmarkEnd w:id="1440"/>
    </w:p>
    <w:p w14:paraId="0A0A336A" w14:textId="77777777" w:rsidR="00DF410E" w:rsidRDefault="00CE7F43">
      <w:pPr>
        <w:pStyle w:val="Author-eSectionHeading6"/>
      </w:pPr>
      <w:bookmarkStart w:id="1441" w:name="_Toc178838546"/>
      <w:r>
        <w:t>23.41.3a Socles en aluminium CCTB 01.04</w:t>
      </w:r>
      <w:bookmarkEnd w:id="1441"/>
    </w:p>
    <w:p w14:paraId="446328BF" w14:textId="77777777" w:rsidR="00DF410E" w:rsidRDefault="00CE7F43">
      <w:pPr>
        <w:pStyle w:val="Author-eSectionHeading4"/>
      </w:pPr>
      <w:bookmarkStart w:id="1442" w:name="_Toc178838547"/>
      <w:r>
        <w:t>23.42 Pièces d'appui métalliques CCTB 01.04</w:t>
      </w:r>
      <w:bookmarkEnd w:id="1442"/>
    </w:p>
    <w:p w14:paraId="2B1F0CEB" w14:textId="77777777" w:rsidR="00DF410E" w:rsidRDefault="00CE7F43">
      <w:pPr>
        <w:pStyle w:val="pheading"/>
      </w:pPr>
      <w:r>
        <w:t>DESCRIPTION</w:t>
      </w:r>
    </w:p>
    <w:p w14:paraId="613F4B91" w14:textId="77777777" w:rsidR="00DF410E" w:rsidRDefault="00CE7F43">
      <w:pPr>
        <w:pStyle w:val="pheading"/>
      </w:pPr>
      <w:r>
        <w:t>- Définition / Comprend</w:t>
      </w:r>
    </w:p>
    <w:p w14:paraId="5442DC5B" w14:textId="77777777" w:rsidR="00DF410E" w:rsidRDefault="00DF410E"/>
    <w:p w14:paraId="240C715E" w14:textId="77777777" w:rsidR="00DF410E" w:rsidRDefault="00CE7F43">
      <w:pPr>
        <w:pStyle w:val="Author-eSectionHeading5"/>
      </w:pPr>
      <w:bookmarkStart w:id="1443" w:name="_Toc178838548"/>
      <w:r>
        <w:t>23.42.1 Pièces d'appui en acier CCTB 01.02</w:t>
      </w:r>
      <w:bookmarkEnd w:id="1443"/>
    </w:p>
    <w:p w14:paraId="0C65E29E" w14:textId="77777777" w:rsidR="00DF410E" w:rsidRDefault="00CE7F43">
      <w:pPr>
        <w:pStyle w:val="Author-eSectionHeading6"/>
      </w:pPr>
      <w:bookmarkStart w:id="1444" w:name="_Toc178838549"/>
      <w:r>
        <w:t>23.42.1a Consoles en acier CCTB 01.02</w:t>
      </w:r>
      <w:bookmarkEnd w:id="1444"/>
    </w:p>
    <w:p w14:paraId="3BB3751B" w14:textId="77777777" w:rsidR="00DF410E" w:rsidRDefault="00CE7F43">
      <w:pPr>
        <w:pStyle w:val="Author-eSectionHeading6"/>
      </w:pPr>
      <w:bookmarkStart w:id="1445" w:name="_Toc178838550"/>
      <w:r>
        <w:t>23.42.1b Potelets en acier CCTB 01.02</w:t>
      </w:r>
      <w:bookmarkEnd w:id="1445"/>
    </w:p>
    <w:p w14:paraId="6EA05F01" w14:textId="77777777" w:rsidR="00DF410E" w:rsidRDefault="00CE7F43">
      <w:pPr>
        <w:pStyle w:val="Author-eSectionHeading5"/>
      </w:pPr>
      <w:bookmarkStart w:id="1446" w:name="_Toc178838551"/>
      <w:r>
        <w:t>23.42.2 Pièces d'appui en acier inoxydable CCTB 01.04</w:t>
      </w:r>
      <w:bookmarkEnd w:id="1446"/>
    </w:p>
    <w:p w14:paraId="19698D2C" w14:textId="77777777" w:rsidR="00DF410E" w:rsidRDefault="00CE7F43">
      <w:pPr>
        <w:pStyle w:val="Author-eSectionHeading6"/>
      </w:pPr>
      <w:bookmarkStart w:id="1447" w:name="_Toc178838552"/>
      <w:r>
        <w:t>23.42.2a Consoles en acier inoxydable CCTB 01.04</w:t>
      </w:r>
      <w:bookmarkEnd w:id="1447"/>
    </w:p>
    <w:p w14:paraId="0159825E" w14:textId="77777777" w:rsidR="00DF410E" w:rsidRDefault="00CE7F43">
      <w:pPr>
        <w:pStyle w:val="Author-eSectionHeading6"/>
      </w:pPr>
      <w:bookmarkStart w:id="1448" w:name="_Toc178838553"/>
      <w:r>
        <w:t>23.42.2b Potelets en acier inoxydable CCTB 01.04</w:t>
      </w:r>
      <w:bookmarkEnd w:id="1448"/>
    </w:p>
    <w:p w14:paraId="61EAF829" w14:textId="77777777" w:rsidR="00DF410E" w:rsidRDefault="00CE7F43">
      <w:pPr>
        <w:pStyle w:val="Author-eSectionHeading5"/>
      </w:pPr>
      <w:bookmarkStart w:id="1449" w:name="_Toc178838554"/>
      <w:r>
        <w:t>23.42.3 Pièces d'appui en aluminium CCTB 01.04</w:t>
      </w:r>
      <w:bookmarkEnd w:id="1449"/>
    </w:p>
    <w:p w14:paraId="0E3F1697" w14:textId="77777777" w:rsidR="00DF410E" w:rsidRDefault="00CE7F43">
      <w:pPr>
        <w:pStyle w:val="Author-eSectionHeading6"/>
      </w:pPr>
      <w:bookmarkStart w:id="1450" w:name="_Toc178838555"/>
      <w:r>
        <w:t>23.42.3a Consoles en aluminium CCTB 01.04</w:t>
      </w:r>
      <w:bookmarkEnd w:id="1450"/>
    </w:p>
    <w:p w14:paraId="255247B1" w14:textId="77777777" w:rsidR="00DF410E" w:rsidRDefault="00CE7F43">
      <w:pPr>
        <w:pStyle w:val="Author-eSectionHeading6"/>
      </w:pPr>
      <w:bookmarkStart w:id="1451" w:name="_Toc178838556"/>
      <w:r>
        <w:t>23.42.3b Potelets en aluminium CCTB 01.04</w:t>
      </w:r>
      <w:bookmarkEnd w:id="1451"/>
    </w:p>
    <w:p w14:paraId="60952AEA" w14:textId="77777777" w:rsidR="00DF410E" w:rsidRDefault="00CE7F43">
      <w:pPr>
        <w:pStyle w:val="Author-eSectionHeading4"/>
      </w:pPr>
      <w:bookmarkStart w:id="1452" w:name="_Toc178838557"/>
      <w:r>
        <w:t>23.43 Pièces d'appui non métalliques CCTB 01.04</w:t>
      </w:r>
      <w:bookmarkEnd w:id="1452"/>
    </w:p>
    <w:p w14:paraId="559C3623" w14:textId="77777777" w:rsidR="00DF410E" w:rsidRDefault="00CE7F43">
      <w:pPr>
        <w:pStyle w:val="Author-eSectionHeading5"/>
      </w:pPr>
      <w:bookmarkStart w:id="1453" w:name="_Toc178838558"/>
      <w:r>
        <w:t>23.43.1 Pièces d'appui synthétiques CCTB 01.04</w:t>
      </w:r>
      <w:bookmarkEnd w:id="1453"/>
    </w:p>
    <w:p w14:paraId="64D5C277" w14:textId="77777777" w:rsidR="00DF410E" w:rsidRDefault="00CE7F43">
      <w:pPr>
        <w:pStyle w:val="Author-eSectionHeading6"/>
      </w:pPr>
      <w:bookmarkStart w:id="1454" w:name="_Toc178838559"/>
      <w:r>
        <w:t>23.43.1a Pièces d'appui néoprène CCTB 01.04</w:t>
      </w:r>
      <w:bookmarkEnd w:id="1454"/>
    </w:p>
    <w:p w14:paraId="779242B1" w14:textId="77777777" w:rsidR="00DF410E" w:rsidRDefault="00CE7F43">
      <w:pPr>
        <w:pStyle w:val="Author-eSectionHeading4"/>
      </w:pPr>
      <w:bookmarkStart w:id="1455" w:name="_Toc178838560"/>
      <w:r>
        <w:t>23.44 Ancrages de structures métalliques CCTB 01.04</w:t>
      </w:r>
      <w:bookmarkEnd w:id="1455"/>
    </w:p>
    <w:p w14:paraId="41157CFB" w14:textId="77777777" w:rsidR="00DF410E" w:rsidRDefault="00CE7F43">
      <w:pPr>
        <w:pStyle w:val="Author-eSectionHeading5"/>
      </w:pPr>
      <w:bookmarkStart w:id="1456" w:name="_Toc178838561"/>
      <w:r>
        <w:t>23.44.1 Ancrages de structures en acier CCTB 01.02</w:t>
      </w:r>
      <w:bookmarkEnd w:id="1456"/>
    </w:p>
    <w:p w14:paraId="70688C9C" w14:textId="77777777" w:rsidR="00DF410E" w:rsidRDefault="00CE7F43">
      <w:pPr>
        <w:pStyle w:val="Author-eSectionHeading6"/>
      </w:pPr>
      <w:bookmarkStart w:id="1457" w:name="_Toc178838562"/>
      <w:r>
        <w:t>23.44.1a Ancrages de structures en acier CCTB 01.02</w:t>
      </w:r>
      <w:bookmarkEnd w:id="1457"/>
    </w:p>
    <w:p w14:paraId="75E73E4B" w14:textId="77777777" w:rsidR="00DF410E" w:rsidRDefault="00CE7F43">
      <w:pPr>
        <w:pStyle w:val="Author-eSectionHeading5"/>
      </w:pPr>
      <w:bookmarkStart w:id="1458" w:name="_Toc178838563"/>
      <w:r>
        <w:t>23.44.2 Ancrages de structures en acier inoxydable CCTB 01.04</w:t>
      </w:r>
      <w:bookmarkEnd w:id="1458"/>
    </w:p>
    <w:p w14:paraId="434DCCBD" w14:textId="77777777" w:rsidR="00DF410E" w:rsidRDefault="00CE7F43">
      <w:pPr>
        <w:pStyle w:val="Author-eSectionHeading6"/>
      </w:pPr>
      <w:bookmarkStart w:id="1459" w:name="_Toc178838564"/>
      <w:r>
        <w:t>23.44.2a Ancrages de structures en acier inoxydable CCTB 01.04</w:t>
      </w:r>
      <w:bookmarkEnd w:id="1459"/>
    </w:p>
    <w:p w14:paraId="1AB4547E" w14:textId="77777777" w:rsidR="00DF410E" w:rsidRDefault="00CE7F43">
      <w:pPr>
        <w:pStyle w:val="Author-eSectionHeading5"/>
      </w:pPr>
      <w:bookmarkStart w:id="1460" w:name="_Toc178838565"/>
      <w:r>
        <w:t>23.44.3 Ancrages de structures en aluminium CCTB 01.04</w:t>
      </w:r>
      <w:bookmarkEnd w:id="1460"/>
    </w:p>
    <w:p w14:paraId="131A137C" w14:textId="77777777" w:rsidR="00DF410E" w:rsidRDefault="00CE7F43">
      <w:pPr>
        <w:pStyle w:val="Author-eSectionHeading6"/>
      </w:pPr>
      <w:bookmarkStart w:id="1461" w:name="_Toc178838566"/>
      <w:r>
        <w:t>23.44.3a Ancrages de structures en aluminium CCTB 01.04</w:t>
      </w:r>
      <w:bookmarkEnd w:id="1461"/>
    </w:p>
    <w:p w14:paraId="6A6A27E1" w14:textId="77777777" w:rsidR="00DF410E" w:rsidRDefault="00CE7F43">
      <w:pPr>
        <w:pStyle w:val="Author-eSectionHeading4"/>
      </w:pPr>
      <w:bookmarkStart w:id="1462" w:name="_Toc178838567"/>
      <w:r>
        <w:t>23.45 Contreventements de structures métalliques CCTB 01.04</w:t>
      </w:r>
      <w:bookmarkEnd w:id="1462"/>
    </w:p>
    <w:p w14:paraId="0588C68C" w14:textId="77777777" w:rsidR="00DF410E" w:rsidRDefault="00CE7F43">
      <w:pPr>
        <w:pStyle w:val="Author-eSectionHeading5"/>
      </w:pPr>
      <w:bookmarkStart w:id="1463" w:name="_Toc178838568"/>
      <w:r>
        <w:t>23.45.1 Contreventements en acier CCTB 01.02</w:t>
      </w:r>
      <w:bookmarkEnd w:id="1463"/>
    </w:p>
    <w:p w14:paraId="6B359A3C" w14:textId="77777777" w:rsidR="00DF410E" w:rsidRDefault="00CE7F43">
      <w:pPr>
        <w:pStyle w:val="Author-eSectionHeading6"/>
      </w:pPr>
      <w:bookmarkStart w:id="1464" w:name="_Toc178838569"/>
      <w:r>
        <w:t>23.45.1a Contreventements en acier - profilés CCTB 01.02</w:t>
      </w:r>
      <w:bookmarkEnd w:id="1464"/>
    </w:p>
    <w:p w14:paraId="026AE48A" w14:textId="77777777" w:rsidR="00DF410E" w:rsidRDefault="00CE7F43">
      <w:pPr>
        <w:pStyle w:val="Author-eSectionHeading6"/>
      </w:pPr>
      <w:bookmarkStart w:id="1465" w:name="_Toc178838570"/>
      <w:r>
        <w:t>23.45.1b Contreventements en acier - câbles tendeurs CCTB 01.02</w:t>
      </w:r>
      <w:bookmarkEnd w:id="1465"/>
    </w:p>
    <w:p w14:paraId="59CE359B" w14:textId="77777777" w:rsidR="00DF410E" w:rsidRDefault="00CE7F43">
      <w:pPr>
        <w:pStyle w:val="Author-eSectionHeading5"/>
      </w:pPr>
      <w:bookmarkStart w:id="1466" w:name="_Toc178838571"/>
      <w:r>
        <w:t>23.45.2 Contreventements en acier inoxydable CCTB 01.04</w:t>
      </w:r>
      <w:bookmarkEnd w:id="1466"/>
    </w:p>
    <w:p w14:paraId="56EB7358" w14:textId="77777777" w:rsidR="00DF410E" w:rsidRDefault="00CE7F43">
      <w:pPr>
        <w:pStyle w:val="Author-eSectionHeading6"/>
      </w:pPr>
      <w:bookmarkStart w:id="1467" w:name="_Toc178838572"/>
      <w:r>
        <w:t>23.45.2a Contreventements en acier inoxydable - profilés CCTB 01.04</w:t>
      </w:r>
      <w:bookmarkEnd w:id="1467"/>
    </w:p>
    <w:p w14:paraId="21B4E75D" w14:textId="77777777" w:rsidR="00DF410E" w:rsidRDefault="00CE7F43">
      <w:pPr>
        <w:pStyle w:val="Author-eSectionHeading6"/>
      </w:pPr>
      <w:bookmarkStart w:id="1468" w:name="_Toc178838573"/>
      <w:r>
        <w:t>23.45.2b Contreventements en acier inoxydable - câbles tendeurs CCTB 01.04</w:t>
      </w:r>
      <w:bookmarkEnd w:id="1468"/>
    </w:p>
    <w:p w14:paraId="341C9FF2" w14:textId="77777777" w:rsidR="00DF410E" w:rsidRDefault="00CE7F43">
      <w:pPr>
        <w:pStyle w:val="Author-eSectionHeading4"/>
      </w:pPr>
      <w:bookmarkStart w:id="1469" w:name="_Toc178838574"/>
      <w:r>
        <w:t>23.46 Câbles, barres et chaînes métalliques CCTB 01.11</w:t>
      </w:r>
      <w:bookmarkEnd w:id="1469"/>
    </w:p>
    <w:p w14:paraId="4930D37E" w14:textId="77777777" w:rsidR="00DF410E" w:rsidRDefault="00CE7F43">
      <w:pPr>
        <w:pStyle w:val="pheading"/>
      </w:pPr>
      <w:r>
        <w:t>DESCRIPTION</w:t>
      </w:r>
    </w:p>
    <w:p w14:paraId="712E54AC" w14:textId="77777777" w:rsidR="00DF410E" w:rsidRDefault="00CE7F43">
      <w:pPr>
        <w:pStyle w:val="pheading"/>
      </w:pPr>
      <w:r>
        <w:t>- Définition / Comprend</w:t>
      </w:r>
    </w:p>
    <w:p w14:paraId="19734AC4" w14:textId="77777777" w:rsidR="00DF410E" w:rsidRDefault="00CE7F43">
      <w:r>
        <w:t>Il s'agit :</w:t>
      </w:r>
    </w:p>
    <w:p w14:paraId="7707F37A" w14:textId="77777777" w:rsidR="00DF410E" w:rsidRDefault="00CE7F43">
      <w:r>
        <w:t xml:space="preserve">- des câbles tendeurs, composés de fils d'acier </w:t>
      </w:r>
      <w:r>
        <w:rPr>
          <w:rStyle w:val="optioncarChar"/>
        </w:rPr>
        <w:t>tressés </w:t>
      </w:r>
      <w:r>
        <w:t>(par défaut)</w:t>
      </w:r>
      <w:r>
        <w:rPr>
          <w:rStyle w:val="optioncarChar"/>
        </w:rPr>
        <w:t xml:space="preserve"> / ***</w:t>
      </w:r>
      <w:r>
        <w:t>, répondant à la norme [NBN I 04-001/A1].</w:t>
      </w:r>
    </w:p>
    <w:p w14:paraId="07148AF5" w14:textId="77777777" w:rsidR="00DF410E" w:rsidRDefault="00CE7F43">
      <w:r>
        <w:t>- des barres plates, carrées, rondes et hexagonales répondant respectivement aux normes [NBN EN 10058], [NBN EN 10059], [NBN EN 10060] et [NBN EN 10061]</w:t>
      </w:r>
    </w:p>
    <w:p w14:paraId="3A238164" w14:textId="77777777" w:rsidR="00DF410E" w:rsidRDefault="00CE7F43">
      <w:r>
        <w:t>- des chaînes à maillot courts repris dans la série des normes [NBN EN 818 série]</w:t>
      </w:r>
    </w:p>
    <w:p w14:paraId="7F27AF7E" w14:textId="77777777" w:rsidR="00DF410E" w:rsidRDefault="00CE7F43">
      <w:r>
        <w:t>Ils sont préfabriqués en usine et reliés sur chantier aux constructions déjà exécutées. Ils sont uniquement destinés à reprendre les tractions dans les constructions mises sous tension en diagonale ou dans les constructions à charnière (par ex. les contreventements)</w:t>
      </w:r>
    </w:p>
    <w:p w14:paraId="308470A2" w14:textId="77777777" w:rsidR="00DF410E" w:rsidRDefault="00CE7F43">
      <w:pPr>
        <w:pStyle w:val="pheading"/>
      </w:pPr>
      <w:r>
        <w:t>MATÉRIAUX</w:t>
      </w:r>
    </w:p>
    <w:p w14:paraId="63E1B411" w14:textId="77777777" w:rsidR="00DF410E" w:rsidRDefault="00CE7F43">
      <w:pPr>
        <w:pStyle w:val="heading"/>
      </w:pPr>
      <w:r>
        <w:t>Spécifications</w:t>
      </w:r>
    </w:p>
    <w:p w14:paraId="64C5D960" w14:textId="77777777" w:rsidR="00DF410E" w:rsidRDefault="00CE7F43">
      <w:r>
        <w:t xml:space="preserve">Nuance d'acier :  </w:t>
      </w:r>
      <w:r>
        <w:rPr>
          <w:rStyle w:val="optioncarChar"/>
        </w:rPr>
        <w:t>***</w:t>
      </w:r>
    </w:p>
    <w:p w14:paraId="1531129E" w14:textId="77777777" w:rsidR="00DF410E" w:rsidRDefault="00CE7F43">
      <w:r>
        <w:t xml:space="preserve">Composition : </w:t>
      </w:r>
      <w:r>
        <w:rPr>
          <w:rStyle w:val="optioncarChar"/>
        </w:rPr>
        <w:t>***</w:t>
      </w:r>
    </w:p>
    <w:p w14:paraId="16A3E99A" w14:textId="77777777" w:rsidR="00DF410E" w:rsidRDefault="00CE7F43">
      <w:r>
        <w:t xml:space="preserve">Qualité (soudabilité) : </w:t>
      </w:r>
      <w:r>
        <w:rPr>
          <w:rStyle w:val="optioncarChar"/>
        </w:rPr>
        <w:t>***</w:t>
      </w:r>
    </w:p>
    <w:p w14:paraId="2945873F" w14:textId="77777777" w:rsidR="00DF410E" w:rsidRDefault="00CE7F43">
      <w:r>
        <w:t>Diamètre :</w:t>
      </w:r>
      <w:r>
        <w:rPr>
          <w:rStyle w:val="optioncarChar"/>
        </w:rPr>
        <w:t>M 10 </w:t>
      </w:r>
      <w:r>
        <w:t>(par défaut)</w:t>
      </w:r>
      <w:r>
        <w:rPr>
          <w:rStyle w:val="optioncarChar"/>
        </w:rPr>
        <w:t xml:space="preserve"> / M 12 / M 16 / M 20 / M 24 / M 27 / M 30 / M 36 / M42 / M 52 / ***</w:t>
      </w:r>
    </w:p>
    <w:p w14:paraId="6B624E9B" w14:textId="77777777" w:rsidR="00DF410E" w:rsidRDefault="00CE7F43">
      <w:pPr>
        <w:pStyle w:val="pheading"/>
      </w:pPr>
      <w:r>
        <w:t>EXÉCUTION / MISE EN ŒUVRE</w:t>
      </w:r>
    </w:p>
    <w:p w14:paraId="356E7E87" w14:textId="77777777" w:rsidR="00DF410E" w:rsidRDefault="00CE7F43">
      <w:r>
        <w:t>Etude de stabilité : </w:t>
      </w:r>
      <w:r>
        <w:rPr>
          <w:rStyle w:val="optioncarChar"/>
        </w:rPr>
        <w:t xml:space="preserve">à charge de l'entrepreneur </w:t>
      </w:r>
      <w:r>
        <w:t>(par défaut) </w:t>
      </w:r>
      <w:r>
        <w:rPr>
          <w:rStyle w:val="optioncarChar"/>
        </w:rPr>
        <w:t>/ selon l'étude annexée aux documents d'exécution / ***</w:t>
      </w:r>
      <w:r>
        <w:t xml:space="preserve"> .</w:t>
      </w:r>
    </w:p>
    <w:p w14:paraId="6AF8E25F" w14:textId="77777777" w:rsidR="00DF410E" w:rsidRDefault="00CE7F43">
      <w:pPr>
        <w:pStyle w:val="Author-eSectionHeading5"/>
      </w:pPr>
      <w:bookmarkStart w:id="1470" w:name="_Toc178838575"/>
      <w:r>
        <w:t>23.46.1 Câbles en acier CCTB 01.02</w:t>
      </w:r>
      <w:bookmarkEnd w:id="1470"/>
    </w:p>
    <w:p w14:paraId="691154D7" w14:textId="77777777" w:rsidR="00DF410E" w:rsidRDefault="00CE7F43">
      <w:pPr>
        <w:pStyle w:val="Author-eSectionHeading6"/>
      </w:pPr>
      <w:bookmarkStart w:id="1471" w:name="517"/>
      <w:bookmarkStart w:id="1472" w:name="_Toc178838576"/>
      <w:bookmarkEnd w:id="1471"/>
      <w:r>
        <w:t>23.46.1a Câbles en acier CCTB 01.04</w:t>
      </w:r>
      <w:bookmarkEnd w:id="1472"/>
    </w:p>
    <w:p w14:paraId="58F09F89" w14:textId="77777777" w:rsidR="00DF410E" w:rsidRDefault="00CE7F43">
      <w:pPr>
        <w:pStyle w:val="Author-eSectionHeading5"/>
      </w:pPr>
      <w:bookmarkStart w:id="1473" w:name="_Toc178838577"/>
      <w:r>
        <w:t>23.46.2 Câbles en acier inoxydable CCTB 01.04</w:t>
      </w:r>
      <w:bookmarkEnd w:id="1473"/>
    </w:p>
    <w:p w14:paraId="22252609" w14:textId="77777777" w:rsidR="00DF410E" w:rsidRDefault="00CE7F43">
      <w:pPr>
        <w:pStyle w:val="Author-eSectionHeading6"/>
      </w:pPr>
      <w:bookmarkStart w:id="1474" w:name="_Toc178838578"/>
      <w:r>
        <w:t>23.46.2a Câbles en acier inoxydable CCTB 01.04</w:t>
      </w:r>
      <w:bookmarkEnd w:id="1474"/>
    </w:p>
    <w:p w14:paraId="0630E3E4" w14:textId="77777777" w:rsidR="00DF410E" w:rsidRDefault="00CE7F43">
      <w:pPr>
        <w:pStyle w:val="Author-eSectionHeading5"/>
      </w:pPr>
      <w:bookmarkStart w:id="1475" w:name="_Toc178838579"/>
      <w:r>
        <w:t>23.46.3 Barres en acier CCTB 01.02</w:t>
      </w:r>
      <w:bookmarkEnd w:id="1475"/>
    </w:p>
    <w:p w14:paraId="1CA35349" w14:textId="77777777" w:rsidR="00DF410E" w:rsidRDefault="00CE7F43">
      <w:pPr>
        <w:pStyle w:val="Author-eSectionHeading6"/>
      </w:pPr>
      <w:bookmarkStart w:id="1476" w:name="518"/>
      <w:bookmarkStart w:id="1477" w:name="_Toc178838580"/>
      <w:bookmarkEnd w:id="1476"/>
      <w:r>
        <w:t>23.46.3a Barres en acier CCTB 01.02</w:t>
      </w:r>
      <w:bookmarkEnd w:id="1477"/>
    </w:p>
    <w:p w14:paraId="40BEC680" w14:textId="77777777" w:rsidR="00DF410E" w:rsidRDefault="00CE7F43">
      <w:pPr>
        <w:pStyle w:val="Author-eSectionHeading5"/>
      </w:pPr>
      <w:bookmarkStart w:id="1478" w:name="_Toc178838581"/>
      <w:r>
        <w:t>23.46.4 Barres en acier inoxydable CCTB 01.04</w:t>
      </w:r>
      <w:bookmarkEnd w:id="1478"/>
    </w:p>
    <w:p w14:paraId="71D1F211" w14:textId="77777777" w:rsidR="00DF410E" w:rsidRDefault="00CE7F43">
      <w:pPr>
        <w:pStyle w:val="Author-eSectionHeading6"/>
      </w:pPr>
      <w:bookmarkStart w:id="1479" w:name="_Toc178838582"/>
      <w:r>
        <w:t>23.46.4a Barres en acier inoxydable CCTB 01.04</w:t>
      </w:r>
      <w:bookmarkEnd w:id="1479"/>
    </w:p>
    <w:p w14:paraId="1E4060A7" w14:textId="77777777" w:rsidR="00DF410E" w:rsidRDefault="00CE7F43">
      <w:pPr>
        <w:pStyle w:val="Author-eSectionHeading5"/>
      </w:pPr>
      <w:bookmarkStart w:id="1480" w:name="_Toc178838583"/>
      <w:r>
        <w:t>23.46.5 Barres en aluminium CCTB 01.04</w:t>
      </w:r>
      <w:bookmarkEnd w:id="1480"/>
    </w:p>
    <w:p w14:paraId="26C89E7E" w14:textId="77777777" w:rsidR="00DF410E" w:rsidRDefault="00CE7F43">
      <w:pPr>
        <w:pStyle w:val="Author-eSectionHeading6"/>
      </w:pPr>
      <w:bookmarkStart w:id="1481" w:name="_Toc178838584"/>
      <w:r>
        <w:t>23.46.5a Barres en aluminium CCTB 01.04</w:t>
      </w:r>
      <w:bookmarkEnd w:id="1481"/>
    </w:p>
    <w:p w14:paraId="7975079C" w14:textId="77777777" w:rsidR="00DF410E" w:rsidRDefault="00CE7F43">
      <w:pPr>
        <w:pStyle w:val="Author-eSectionHeading5"/>
      </w:pPr>
      <w:bookmarkStart w:id="1482" w:name="_Toc178838585"/>
      <w:r>
        <w:t>23.46.6 Chaînes en acier CCTB 01.04</w:t>
      </w:r>
      <w:bookmarkEnd w:id="1482"/>
    </w:p>
    <w:p w14:paraId="19B1E296" w14:textId="77777777" w:rsidR="00DF410E" w:rsidRDefault="00CE7F43">
      <w:pPr>
        <w:pStyle w:val="Author-eSectionHeading6"/>
      </w:pPr>
      <w:bookmarkStart w:id="1483" w:name="_Toc178838586"/>
      <w:r>
        <w:t>23.46.6a Chaînes en acier inoxydable CCTB 01.04</w:t>
      </w:r>
      <w:bookmarkEnd w:id="1483"/>
    </w:p>
    <w:p w14:paraId="584E5228" w14:textId="77777777" w:rsidR="00DF410E" w:rsidRDefault="00CE7F43">
      <w:pPr>
        <w:pStyle w:val="Author-eSectionHeading4"/>
      </w:pPr>
      <w:bookmarkStart w:id="1484" w:name="_Toc178838587"/>
      <w:r>
        <w:t>23.47 Rails métalliques CCTB 01.04</w:t>
      </w:r>
      <w:bookmarkEnd w:id="1484"/>
    </w:p>
    <w:p w14:paraId="4FB2B52D" w14:textId="77777777" w:rsidR="00DF410E" w:rsidRDefault="00CE7F43">
      <w:pPr>
        <w:pStyle w:val="Author-eSectionHeading5"/>
      </w:pPr>
      <w:bookmarkStart w:id="1485" w:name="_Toc178838588"/>
      <w:r>
        <w:t>23.47.1 Rails en acier CCTB 01.02</w:t>
      </w:r>
      <w:bookmarkEnd w:id="1485"/>
    </w:p>
    <w:p w14:paraId="15DD67BA" w14:textId="77777777" w:rsidR="00DF410E" w:rsidRDefault="00CE7F43">
      <w:pPr>
        <w:pStyle w:val="Author-eSectionHeading6"/>
      </w:pPr>
      <w:bookmarkStart w:id="1486" w:name="_Toc178838589"/>
      <w:r>
        <w:t>23.47.1a Rails en acier CCTB 01.02</w:t>
      </w:r>
      <w:bookmarkEnd w:id="1486"/>
    </w:p>
    <w:p w14:paraId="69E0FF05" w14:textId="77777777" w:rsidR="00DF410E" w:rsidRDefault="00CE7F43">
      <w:pPr>
        <w:pStyle w:val="Author-eSectionHeading5"/>
      </w:pPr>
      <w:bookmarkStart w:id="1487" w:name="_Toc178838590"/>
      <w:r>
        <w:t>23.47.2 Rails en acier inoxydable CCTB 01.04</w:t>
      </w:r>
      <w:bookmarkEnd w:id="1487"/>
    </w:p>
    <w:p w14:paraId="77A44259" w14:textId="77777777" w:rsidR="00DF410E" w:rsidRDefault="00CE7F43">
      <w:pPr>
        <w:pStyle w:val="Author-eSectionHeading6"/>
      </w:pPr>
      <w:bookmarkStart w:id="1488" w:name="_Toc178838591"/>
      <w:r>
        <w:t>23.47.2a Rails en acier inoxydable CCTB 01.04</w:t>
      </w:r>
      <w:bookmarkEnd w:id="1488"/>
    </w:p>
    <w:p w14:paraId="739240DF" w14:textId="77777777" w:rsidR="00DF410E" w:rsidRDefault="00CE7F43">
      <w:pPr>
        <w:pStyle w:val="Author-eSectionHeading5"/>
      </w:pPr>
      <w:bookmarkStart w:id="1489" w:name="_Toc178838592"/>
      <w:r>
        <w:t>23.47.3 Rails en aluminium CCTB 01.04</w:t>
      </w:r>
      <w:bookmarkEnd w:id="1489"/>
    </w:p>
    <w:p w14:paraId="4CCFA49F" w14:textId="77777777" w:rsidR="00DF410E" w:rsidRDefault="00CE7F43">
      <w:pPr>
        <w:pStyle w:val="Author-eSectionHeading6"/>
      </w:pPr>
      <w:bookmarkStart w:id="1490" w:name="_Toc178838593"/>
      <w:r>
        <w:t>23.47.3a Rails en aluminium CCTB 01.04</w:t>
      </w:r>
      <w:bookmarkEnd w:id="1490"/>
    </w:p>
    <w:p w14:paraId="54EB3A1B" w14:textId="77777777" w:rsidR="00DF410E" w:rsidRDefault="00CE7F43">
      <w:pPr>
        <w:pStyle w:val="Author-eSectionHeading4"/>
      </w:pPr>
      <w:bookmarkStart w:id="1491" w:name="_Toc178838594"/>
      <w:r>
        <w:t>23.48 Encadrements de baies métalliques CCTB 01.04</w:t>
      </w:r>
      <w:bookmarkEnd w:id="1491"/>
    </w:p>
    <w:p w14:paraId="5F210F8C" w14:textId="77777777" w:rsidR="00DF410E" w:rsidRDefault="00CE7F43">
      <w:pPr>
        <w:pStyle w:val="Author-eSectionHeading5"/>
      </w:pPr>
      <w:bookmarkStart w:id="1492" w:name="_Toc178838595"/>
      <w:r>
        <w:t>23.48.1 Encadrements de baies métalliques CCTB 01.04</w:t>
      </w:r>
      <w:bookmarkEnd w:id="1492"/>
    </w:p>
    <w:p w14:paraId="125E63BA" w14:textId="77777777" w:rsidR="00DF410E" w:rsidRDefault="00CE7F43">
      <w:pPr>
        <w:pStyle w:val="Author-eSectionHeading6"/>
      </w:pPr>
      <w:bookmarkStart w:id="1493" w:name="_Toc178838596"/>
      <w:r>
        <w:t>23.48.1a Encadrements de baies métalliques CCTB 01.04</w:t>
      </w:r>
      <w:bookmarkEnd w:id="1493"/>
    </w:p>
    <w:p w14:paraId="4A247F55" w14:textId="77777777" w:rsidR="00DF410E" w:rsidRDefault="00CE7F43">
      <w:pPr>
        <w:pStyle w:val="Author-eSectionHeading3"/>
      </w:pPr>
      <w:bookmarkStart w:id="1494" w:name="_Toc178838597"/>
      <w:r>
        <w:t>23.5 (titre réservé) CCTB 01.04</w:t>
      </w:r>
      <w:bookmarkEnd w:id="1494"/>
    </w:p>
    <w:p w14:paraId="7535B286" w14:textId="77777777" w:rsidR="00DF410E" w:rsidRDefault="00CE7F43">
      <w:pPr>
        <w:pStyle w:val="Author-eSectionHeading3"/>
      </w:pPr>
      <w:bookmarkStart w:id="1495" w:name="_Toc178838598"/>
      <w:r>
        <w:t>23.6 Ouvrages de raccord et finitions CCTB 01.02</w:t>
      </w:r>
      <w:bookmarkEnd w:id="1495"/>
    </w:p>
    <w:p w14:paraId="280EA5EF" w14:textId="77777777" w:rsidR="00DF410E" w:rsidRDefault="00CE7F43">
      <w:pPr>
        <w:pStyle w:val="Author-eSectionHeading4"/>
      </w:pPr>
      <w:bookmarkStart w:id="1496" w:name="_Toc178838599"/>
      <w:r>
        <w:t>23.61 Réalisation de joints CCTB 01.02</w:t>
      </w:r>
      <w:bookmarkEnd w:id="1496"/>
    </w:p>
    <w:p w14:paraId="550080FD" w14:textId="77777777" w:rsidR="00DF410E" w:rsidRDefault="00CE7F43">
      <w:pPr>
        <w:pStyle w:val="Author-eSectionHeading5"/>
      </w:pPr>
      <w:bookmarkStart w:id="1497" w:name="_Toc178838600"/>
      <w:r>
        <w:t>23.61.1 Joints particuliers CCTB 01.02</w:t>
      </w:r>
      <w:bookmarkEnd w:id="1497"/>
    </w:p>
    <w:p w14:paraId="0F614879" w14:textId="77777777" w:rsidR="00DF410E" w:rsidRDefault="00CE7F43">
      <w:pPr>
        <w:pStyle w:val="Author-eSectionHeading6"/>
      </w:pPr>
      <w:bookmarkStart w:id="1498" w:name="_Toc178838601"/>
      <w:r>
        <w:t>23.61.1a Joints particuliers CCTB 01.02</w:t>
      </w:r>
      <w:bookmarkEnd w:id="1498"/>
    </w:p>
    <w:p w14:paraId="22260647" w14:textId="77777777" w:rsidR="00DF410E" w:rsidRDefault="00CE7F43">
      <w:pPr>
        <w:pStyle w:val="Author-eSectionHeading4"/>
      </w:pPr>
      <w:bookmarkStart w:id="1499" w:name="_Toc178838602"/>
      <w:r>
        <w:t>23.62 Etanchéisation de joints CCTB 01.04</w:t>
      </w:r>
      <w:bookmarkEnd w:id="1499"/>
    </w:p>
    <w:p w14:paraId="27CB8DBD" w14:textId="77777777" w:rsidR="00DF410E" w:rsidRDefault="00CE7F43">
      <w:pPr>
        <w:pStyle w:val="pheading"/>
      </w:pPr>
      <w:r>
        <w:t>DESCRIPTION</w:t>
      </w:r>
    </w:p>
    <w:p w14:paraId="47094B20" w14:textId="77777777" w:rsidR="00DF410E" w:rsidRDefault="00CE7F43">
      <w:pPr>
        <w:pStyle w:val="pheading"/>
      </w:pPr>
      <w:r>
        <w:t>- Définition / Comprend</w:t>
      </w:r>
    </w:p>
    <w:p w14:paraId="4A93DEB2" w14:textId="77777777" w:rsidR="00DF410E" w:rsidRDefault="00CE7F43">
      <w:r>
        <w:t xml:space="preserve">Renvoi au § </w:t>
      </w:r>
      <w:hyperlink w:anchor="477" w:history="1">
        <w:r>
          <w:t>26 Etanchéisation et isolation</w:t>
        </w:r>
      </w:hyperlink>
    </w:p>
    <w:p w14:paraId="25D324DD" w14:textId="77777777" w:rsidR="00DF410E" w:rsidRDefault="00CE7F43">
      <w:pPr>
        <w:pStyle w:val="Author-eSectionHeading3"/>
      </w:pPr>
      <w:bookmarkStart w:id="1500" w:name="_Toc178838603"/>
      <w:r>
        <w:t>23.7 Traitement, protection et finition des aciers CCTB 01.11</w:t>
      </w:r>
      <w:bookmarkEnd w:id="1500"/>
    </w:p>
    <w:p w14:paraId="3039EFBA" w14:textId="77777777" w:rsidR="00DF410E" w:rsidRDefault="00CE7F43">
      <w:pPr>
        <w:pStyle w:val="pheading"/>
      </w:pPr>
      <w:bookmarkStart w:id="1501" w:name="174"/>
      <w:bookmarkEnd w:id="1501"/>
      <w:r>
        <w:t>DESCRIPTION</w:t>
      </w:r>
    </w:p>
    <w:p w14:paraId="39AE8A50" w14:textId="77777777" w:rsidR="00DF410E" w:rsidRDefault="00CE7F43">
      <w:pPr>
        <w:pStyle w:val="pheading"/>
      </w:pPr>
      <w:r>
        <w:t>- Définition / Comprend</w:t>
      </w:r>
    </w:p>
    <w:p w14:paraId="77FCED6F" w14:textId="77777777" w:rsidR="00DF410E" w:rsidRDefault="00CE7F43">
      <w:r>
        <w:t>Renvoi aux titres </w:t>
      </w:r>
      <w:hyperlink r:id="rId215" w:history="1" w:docLocation="568">
        <w:r>
          <w:t>81.3 Peintures intérieures sur subjectiles métalliques</w:t>
        </w:r>
        <w:r>
          <w:rPr>
            <w:rStyle w:val="normalChar"/>
            <w:color w:val="000000"/>
          </w:rPr>
          <w:t xml:space="preserve"> , </w:t>
        </w:r>
      </w:hyperlink>
      <w:hyperlink r:id="rId216" w:history="1" w:docLocation="569">
        <w:r>
          <w:t>82.3 Peintures extérieures sur subjectiles métalliques</w:t>
        </w:r>
        <w:r>
          <w:rPr>
            <w:rStyle w:val="normalChar"/>
            <w:color w:val="000000"/>
          </w:rPr>
          <w:t xml:space="preserve"> et </w:t>
        </w:r>
      </w:hyperlink>
      <w:hyperlink r:id="rId217" w:history="1" w:docLocation="570">
        <w:r>
          <w:t>83.3 Subjectiles métalliques</w:t>
        </w:r>
      </w:hyperlink>
    </w:p>
    <w:p w14:paraId="3D2DBB61" w14:textId="77777777" w:rsidR="00DF410E" w:rsidRDefault="00CE7F43">
      <w:pPr>
        <w:pStyle w:val="pheading"/>
      </w:pPr>
      <w:r>
        <w:t>EXÉCUTION / MISE EN ŒUVRE</w:t>
      </w:r>
    </w:p>
    <w:p w14:paraId="1E7A3C0D" w14:textId="77777777" w:rsidR="00DF410E" w:rsidRDefault="00CE7F43">
      <w:r>
        <w:t>TRAITEMENT CONTRE LA ROUILLE</w:t>
      </w:r>
    </w:p>
    <w:p w14:paraId="525E80F5" w14:textId="77777777" w:rsidR="00DF410E" w:rsidRDefault="00CE7F43">
      <w:pPr>
        <w:spacing w:line="259" w:lineRule="auto"/>
      </w:pPr>
      <w:r>
        <w:t>Les différents traitements des éléments métalliques contre la rouille sont les suivants :</w:t>
      </w:r>
    </w:p>
    <w:p w14:paraId="0E8626BA" w14:textId="77777777" w:rsidR="00DF410E" w:rsidRDefault="00CE7F43">
      <w:pPr>
        <w:spacing w:line="256" w:lineRule="auto"/>
      </w:pPr>
      <w:r>
        <w:rPr>
          <w:b/>
        </w:rPr>
        <w:t>Primaire antirouille</w:t>
      </w:r>
    </w:p>
    <w:p w14:paraId="4B885A61" w14:textId="77777777" w:rsidR="00DF410E" w:rsidRDefault="00CE7F43">
      <w:r>
        <w:t xml:space="preserve">Conformément aux prescriptions des articles </w:t>
      </w:r>
      <w:hyperlink r:id="rId218" w:history="1" w:docLocation="503">
        <w:r>
          <w:t>81.31.3c Protections intérieures par primaire antirouille (en atelier ou sur chantier) des supports métalliques ferreux</w:t>
        </w:r>
        <w:r>
          <w:rPr>
            <w:color w:val="000000"/>
          </w:rPr>
          <w:t xml:space="preserve"> ou </w:t>
        </w:r>
      </w:hyperlink>
      <w:hyperlink r:id="rId219" w:history="1" w:docLocation="504">
        <w:r>
          <w:rPr>
            <w:rStyle w:val="normalChar"/>
          </w:rPr>
          <w:t>82.31.3c Protections extérieures par primaire antirouille des supports métalliques ferreux.</w:t>
        </w:r>
      </w:hyperlink>
    </w:p>
    <w:p w14:paraId="4900068A" w14:textId="77777777" w:rsidR="00DF410E" w:rsidRDefault="00CE7F43">
      <w:r>
        <w:rPr>
          <w:b/>
        </w:rPr>
        <w:t>Galvanisation</w:t>
      </w:r>
    </w:p>
    <w:p w14:paraId="2107CB07" w14:textId="77777777" w:rsidR="00DF410E" w:rsidRDefault="00CE7F43">
      <w:pPr>
        <w:spacing w:line="259" w:lineRule="auto"/>
      </w:pPr>
      <w:r>
        <w:t xml:space="preserve">Conformément aux prescriptions des articles </w:t>
      </w:r>
      <w:hyperlink r:id="rId220" w:history="1" w:docLocation="505">
        <w:r>
          <w:t>81.31.3a Protections intérieures par galvanisation (en atelier) des supports métalliques ferreux</w:t>
        </w:r>
        <w:r>
          <w:rPr>
            <w:color w:val="000000"/>
          </w:rPr>
          <w:t xml:space="preserve"> ou </w:t>
        </w:r>
      </w:hyperlink>
      <w:hyperlink r:id="rId221" w:history="1" w:docLocation="506">
        <w:r>
          <w:t>82.31.3a Protections extérieures par galvanisation de supports métalliques ferreux</w:t>
        </w:r>
      </w:hyperlink>
    </w:p>
    <w:p w14:paraId="43049ECA" w14:textId="77777777" w:rsidR="00DF410E" w:rsidRDefault="00CE7F43">
      <w:pPr>
        <w:spacing w:line="259" w:lineRule="auto"/>
      </w:pPr>
      <w:r>
        <w:rPr>
          <w:b/>
        </w:rPr>
        <w:t>Métallisation</w:t>
      </w:r>
    </w:p>
    <w:p w14:paraId="234C7DA8" w14:textId="77777777" w:rsidR="00DF410E" w:rsidRDefault="00CE7F43">
      <w:r>
        <w:t xml:space="preserve">Conformément aux prescriptions des articles </w:t>
      </w:r>
      <w:hyperlink r:id="rId222" w:history="1" w:docLocation="507">
        <w:r>
          <w:t>81.31.3b Protections intérieures par métallisation (en atelier ou sur chantier) des supports métalliques ferreux</w:t>
        </w:r>
        <w:r>
          <w:rPr>
            <w:rStyle w:val="normalChar"/>
            <w:color w:val="000000"/>
          </w:rPr>
          <w:t xml:space="preserve"> ou </w:t>
        </w:r>
      </w:hyperlink>
      <w:hyperlink r:id="rId223" w:history="1" w:docLocation="508">
        <w:r>
          <w:t>82.31.3b Protections extérieures par métallisation des supports métalliques ferreux</w:t>
        </w:r>
      </w:hyperlink>
    </w:p>
    <w:p w14:paraId="487D5A71" w14:textId="77777777" w:rsidR="00DF410E" w:rsidRDefault="00CE7F43">
      <w:pPr>
        <w:spacing w:line="259" w:lineRule="auto"/>
      </w:pPr>
      <w:r>
        <w:rPr>
          <w:b/>
        </w:rPr>
        <w:t>Pas de traitement</w:t>
      </w:r>
    </w:p>
    <w:p w14:paraId="0C0374AD" w14:textId="77777777" w:rsidR="00DF410E" w:rsidRDefault="00CE7F43">
      <w:r>
        <w:t xml:space="preserve">L’acier reste « brut ». Il est simplement nettoyé, dégraissé et débarrassé de la rouille par sablage et/ou ponçage conformément aux chapitres </w:t>
      </w:r>
      <w:hyperlink r:id="rId224" w:history="1" w:docLocation="546">
        <w:r>
          <w:t>81.31.1 Nettoyage / Dégraissage</w:t>
        </w:r>
        <w:r>
          <w:rPr>
            <w:color w:val="000000"/>
          </w:rPr>
          <w:t xml:space="preserve"> , </w:t>
        </w:r>
      </w:hyperlink>
      <w:hyperlink r:id="rId225" w:history="1" w:docLocation="547">
        <w:r>
          <w:t>81.31.2 Grenaillage - Sablage / Ponçage / Dérouillage</w:t>
        </w:r>
        <w:r>
          <w:rPr>
            <w:color w:val="000000"/>
          </w:rPr>
          <w:t xml:space="preserve"> et aux articles qui en découlent.</w:t>
        </w:r>
      </w:hyperlink>
    </w:p>
    <w:p w14:paraId="7B9FB93B" w14:textId="77777777" w:rsidR="00DF410E" w:rsidRDefault="00CE7F43">
      <w:r>
        <w:t>L’acier étant très sensible à la rouille dans cet état, il reçoit le plus rapidement possible le traitement de finition.</w:t>
      </w:r>
    </w:p>
    <w:p w14:paraId="399208F7" w14:textId="77777777" w:rsidR="00DF410E" w:rsidRDefault="00DF410E"/>
    <w:p w14:paraId="326EC160" w14:textId="77777777" w:rsidR="00DF410E" w:rsidRDefault="00CE7F43">
      <w:pPr>
        <w:spacing w:line="259" w:lineRule="auto"/>
      </w:pPr>
      <w:r>
        <w:t>FINITION</w:t>
      </w:r>
    </w:p>
    <w:p w14:paraId="5DFD4AF4" w14:textId="77777777" w:rsidR="00DF410E" w:rsidRDefault="00CE7F43">
      <w:pPr>
        <w:spacing w:line="259" w:lineRule="auto"/>
      </w:pPr>
      <w:r>
        <w:t>Les différents traitements de finition des éléments métalliques sont les suivants :</w:t>
      </w:r>
    </w:p>
    <w:p w14:paraId="59314CA1" w14:textId="77777777" w:rsidR="00DF410E" w:rsidRDefault="00CE7F43">
      <w:pPr>
        <w:spacing w:line="259" w:lineRule="auto"/>
      </w:pPr>
      <w:r>
        <w:rPr>
          <w:b/>
        </w:rPr>
        <w:t>Pas de finition</w:t>
      </w:r>
    </w:p>
    <w:p w14:paraId="53559C19" w14:textId="77777777" w:rsidR="00DF410E" w:rsidRDefault="00CE7F43">
      <w:pPr>
        <w:spacing w:line="259" w:lineRule="auto"/>
      </w:pPr>
      <w:r>
        <w:t>Pas de finition, destiné à recevoir un traitement résistant au feu.</w:t>
      </w:r>
    </w:p>
    <w:p w14:paraId="16523C3B" w14:textId="77777777" w:rsidR="00DF410E" w:rsidRDefault="00CE7F43">
      <w:pPr>
        <w:spacing w:line="259" w:lineRule="auto"/>
      </w:pPr>
      <w:r>
        <w:rPr>
          <w:b/>
        </w:rPr>
        <w:t>Peint</w:t>
      </w:r>
    </w:p>
    <w:p w14:paraId="6BDD7268" w14:textId="77777777" w:rsidR="00DF410E" w:rsidRDefault="00CE7F43">
      <w:pPr>
        <w:spacing w:line="259" w:lineRule="auto"/>
      </w:pPr>
      <w:r>
        <w:t xml:space="preserve">Renvoi aux sous-titres </w:t>
      </w:r>
      <w:hyperlink r:id="rId226" w:history="1" w:docLocation="509">
        <w:r>
          <w:t>81.33 Finitions / décorations des métaux ferreux et non ferreux</w:t>
        </w:r>
        <w:r>
          <w:rPr>
            <w:rStyle w:val="normalChar"/>
            <w:color w:val="000000"/>
          </w:rPr>
          <w:t xml:space="preserve"> (intérieure) ou </w:t>
        </w:r>
      </w:hyperlink>
      <w:hyperlink r:id="rId227" w:history="1" w:docLocation="510">
        <w:r>
          <w:t>82.33 Finitions / décorations des métaux ferreux et non ferreux</w:t>
        </w:r>
        <w:r>
          <w:rPr>
            <w:rStyle w:val="normalChar"/>
            <w:color w:val="000000"/>
          </w:rPr>
          <w:t xml:space="preserve"> (extérieure), et aux articles qui en découlent.</w:t>
        </w:r>
      </w:hyperlink>
    </w:p>
    <w:p w14:paraId="297AEADB" w14:textId="77777777" w:rsidR="00DF410E" w:rsidRDefault="00CE7F43">
      <w:r>
        <w:rPr>
          <w:b/>
        </w:rPr>
        <w:t>Brut (verni)</w:t>
      </w:r>
    </w:p>
    <w:p w14:paraId="6B909CC3" w14:textId="77777777" w:rsidR="00DF410E" w:rsidRDefault="00CE7F43">
      <w:pPr>
        <w:spacing w:line="259" w:lineRule="auto"/>
      </w:pPr>
      <w:r>
        <w:t>L’acier est protégé à l’aide d’un verni incolore à base de résine glycérophtalique (par défaut) ou autre.</w:t>
      </w:r>
    </w:p>
    <w:p w14:paraId="25DAD070" w14:textId="77777777" w:rsidR="00DF410E" w:rsidRDefault="00CE7F43">
      <w:r>
        <w:t xml:space="preserve">Pour la mise en œuvre, renvoi aux sous-titres </w:t>
      </w:r>
      <w:hyperlink r:id="rId228" w:history="1" w:docLocation="509">
        <w:r>
          <w:t>81.33 Finitions / décorations des métaux ferreux et non ferreux</w:t>
        </w:r>
        <w:r>
          <w:rPr>
            <w:rStyle w:val="normalChar"/>
            <w:color w:val="000000"/>
          </w:rPr>
          <w:t xml:space="preserve"> (intérieure) ou </w:t>
        </w:r>
      </w:hyperlink>
      <w:hyperlink r:id="rId229" w:history="1" w:docLocation="510">
        <w:r>
          <w:t>82.33 Finitions / décorations des métaux ferreux et non ferreux</w:t>
        </w:r>
        <w:r>
          <w:rPr>
            <w:rStyle w:val="normalChar"/>
            <w:color w:val="000000"/>
          </w:rPr>
          <w:t xml:space="preserve"> (extérieure), et articles qui en découlent.</w:t>
        </w:r>
      </w:hyperlink>
    </w:p>
    <w:p w14:paraId="567B2C3B" w14:textId="77777777" w:rsidR="00DF410E" w:rsidRDefault="00DF410E"/>
    <w:p w14:paraId="4E5CC194" w14:textId="77777777" w:rsidR="00DF410E" w:rsidRDefault="00CE7F43">
      <w:pPr>
        <w:spacing w:line="259" w:lineRule="auto"/>
      </w:pPr>
      <w:r>
        <w:t>TRAITEMENT POUR PROTECTION AU FEU</w:t>
      </w:r>
    </w:p>
    <w:p w14:paraId="577B250E" w14:textId="77777777" w:rsidR="00DF410E" w:rsidRDefault="00CE7F43">
      <w:pPr>
        <w:spacing w:line="259" w:lineRule="auto"/>
      </w:pPr>
      <w:r>
        <w:t>Les différents traitements pour la protection au feu des éléments métalliques sont les suivants :</w:t>
      </w:r>
    </w:p>
    <w:p w14:paraId="2A495F35" w14:textId="77777777" w:rsidR="00DF410E" w:rsidRDefault="00CE7F43">
      <w:pPr>
        <w:spacing w:line="259" w:lineRule="auto"/>
      </w:pPr>
      <w:r>
        <w:rPr>
          <w:b/>
        </w:rPr>
        <w:t>Sans traitement particulier</w:t>
      </w:r>
    </w:p>
    <w:p w14:paraId="5BD634EA" w14:textId="77777777" w:rsidR="00DF410E" w:rsidRDefault="00CE7F43">
      <w:r>
        <w:t>La résistance au feu est démontrée par test au feu selon la [NBN EN 13501-2] ou par calcul selon les Eurocodes conformément à l’[AM 2013-05-17]. </w:t>
      </w:r>
    </w:p>
    <w:p w14:paraId="43B8EBD8" w14:textId="77777777" w:rsidR="00DF410E" w:rsidRDefault="00CE7F43">
      <w:r>
        <w:rPr>
          <w:b/>
        </w:rPr>
        <w:t>Peinture intumescente</w:t>
      </w:r>
    </w:p>
    <w:p w14:paraId="283C9A75" w14:textId="77777777" w:rsidR="00DF410E" w:rsidRDefault="00CE7F43">
      <w:pPr>
        <w:spacing w:line="259" w:lineRule="auto"/>
      </w:pPr>
      <w:r>
        <w:t xml:space="preserve">Conformément à l’article </w:t>
      </w:r>
      <w:hyperlink r:id="rId230" w:history="1" w:docLocation="511">
        <w:r>
          <w:t>81.34.1b Peintures intérieures intumescentes sur supports métalliques ferreux et non ferreux</w:t>
        </w:r>
      </w:hyperlink>
    </w:p>
    <w:p w14:paraId="37FE3DF1" w14:textId="77777777" w:rsidR="00DF410E" w:rsidRDefault="00CE7F43">
      <w:pPr>
        <w:spacing w:line="259" w:lineRule="auto"/>
      </w:pPr>
      <w:r>
        <w:rPr>
          <w:b/>
        </w:rPr>
        <w:t>Emballage</w:t>
      </w:r>
    </w:p>
    <w:p w14:paraId="2F9B0C4F" w14:textId="77777777" w:rsidR="00DF410E" w:rsidRDefault="00CE7F43">
      <w:pPr>
        <w:spacing w:line="259" w:lineRule="auto"/>
      </w:pPr>
      <w:r>
        <w:t xml:space="preserve">Conformément à l’article </w:t>
      </w:r>
      <w:hyperlink r:id="rId231" w:history="1" w:docLocation="512">
        <w:r>
          <w:t>83.34.1a Doublage en plaques</w:t>
        </w:r>
      </w:hyperlink>
    </w:p>
    <w:p w14:paraId="6A3410A8" w14:textId="77777777" w:rsidR="00DF410E" w:rsidRDefault="00CE7F43">
      <w:r>
        <w:rPr>
          <w:b/>
        </w:rPr>
        <w:t>Flocage fibreux</w:t>
      </w:r>
    </w:p>
    <w:p w14:paraId="6A6FF4B1" w14:textId="77777777" w:rsidR="00DF410E" w:rsidRDefault="00CE7F43">
      <w:pPr>
        <w:spacing w:line="259" w:lineRule="auto"/>
      </w:pPr>
      <w:r>
        <w:t xml:space="preserve">Composé essentiellement de laine minérale, de liants minéraux inorganiques additionnés d’adjuvants spécifiques hydrauliques et synthétiques, non combustibles. </w:t>
      </w:r>
    </w:p>
    <w:p w14:paraId="640B0736" w14:textId="77777777" w:rsidR="00DF410E" w:rsidRDefault="00CE7F43">
      <w:pPr>
        <w:spacing w:line="259" w:lineRule="auto"/>
      </w:pPr>
      <w:r>
        <w:t xml:space="preserve">Le produit est exempt d’amiante, de silice cristallisée, ou de tout autre produit nocif ou toxique. </w:t>
      </w:r>
    </w:p>
    <w:p w14:paraId="16208573" w14:textId="77777777" w:rsidR="00DF410E" w:rsidRDefault="00CE7F43">
      <w:pPr>
        <w:spacing w:line="259" w:lineRule="auto"/>
      </w:pPr>
      <w:r>
        <w:t>Le flocage est appliqué mécaniquement à l’aide de machines à projeter qui respectent la granulométrie et la masse volumique des produits.</w:t>
      </w:r>
    </w:p>
    <w:p w14:paraId="78AC56A7" w14:textId="77777777" w:rsidR="00DF410E" w:rsidRDefault="00CE7F43">
      <w:r>
        <w:rPr>
          <w:b/>
        </w:rPr>
        <w:t>Flocage pâteux</w:t>
      </w:r>
    </w:p>
    <w:p w14:paraId="0685489F" w14:textId="77777777" w:rsidR="00DF410E" w:rsidRDefault="00CE7F43">
      <w:pPr>
        <w:spacing w:line="259" w:lineRule="auto"/>
      </w:pPr>
      <w:r>
        <w:t xml:space="preserve">A base de gypse ou vermiculite. </w:t>
      </w:r>
    </w:p>
    <w:p w14:paraId="423FAA4B" w14:textId="77777777" w:rsidR="00DF410E" w:rsidRDefault="00CE7F43">
      <w:pPr>
        <w:spacing w:line="259" w:lineRule="auto"/>
      </w:pPr>
      <w:r>
        <w:t xml:space="preserve">Le produit est exempt d’amiante, de silice cristallisée, ou de tout autre produit nocif ou toxique. </w:t>
      </w:r>
    </w:p>
    <w:p w14:paraId="1F74D15F" w14:textId="77777777" w:rsidR="00DF410E" w:rsidRDefault="00CE7F43">
      <w:pPr>
        <w:spacing w:line="259" w:lineRule="auto"/>
      </w:pPr>
      <w:r>
        <w:t>Le flocage est appliqué mécaniquement à l’aide de machines à projeter qui respectent la granulométrie et la masse volumique des produits.</w:t>
      </w:r>
    </w:p>
    <w:p w14:paraId="5F90DFFC" w14:textId="77777777" w:rsidR="00DF410E" w:rsidRDefault="00CE7F43">
      <w:pPr>
        <w:pStyle w:val="Author-eSectionHeading3"/>
      </w:pPr>
      <w:bookmarkStart w:id="1502" w:name="_Toc178838604"/>
      <w:r>
        <w:t>23.8 Superstructures métalliques - Rénovation CCTB 01.04</w:t>
      </w:r>
      <w:bookmarkEnd w:id="1502"/>
    </w:p>
    <w:p w14:paraId="53EDA268" w14:textId="77777777" w:rsidR="00DF410E" w:rsidRDefault="00CE7F43">
      <w:pPr>
        <w:pStyle w:val="Author-eSectionHeading4"/>
      </w:pPr>
      <w:bookmarkStart w:id="1503" w:name="_Toc178838605"/>
      <w:r>
        <w:t>23.81 Etudes / essais préliminaires CCTB 01.04</w:t>
      </w:r>
      <w:bookmarkEnd w:id="1503"/>
    </w:p>
    <w:p w14:paraId="5E7C6425" w14:textId="77777777" w:rsidR="00DF410E" w:rsidRDefault="00CE7F43">
      <w:pPr>
        <w:pStyle w:val="pheading"/>
      </w:pPr>
      <w:r>
        <w:t>DESCRIPTION</w:t>
      </w:r>
    </w:p>
    <w:p w14:paraId="651ABCA6" w14:textId="77777777" w:rsidR="00DF410E" w:rsidRDefault="00CE7F43">
      <w:pPr>
        <w:pStyle w:val="pheading"/>
      </w:pPr>
      <w:r>
        <w:t>- Définition / Comprend</w:t>
      </w:r>
    </w:p>
    <w:p w14:paraId="4DC42B02" w14:textId="77777777" w:rsidR="00DF410E" w:rsidRDefault="00CE7F43">
      <w:r>
        <w:t xml:space="preserve">Renvoi au § </w:t>
      </w:r>
      <w:hyperlink r:id="rId232" w:history="1" w:docLocation="85">
        <w:r>
          <w:t>03 Études, essais et contrôles en cours de chantier</w:t>
        </w:r>
      </w:hyperlink>
    </w:p>
    <w:p w14:paraId="79B2CB7B" w14:textId="77777777" w:rsidR="00DF410E" w:rsidRDefault="00CE7F43">
      <w:pPr>
        <w:pStyle w:val="Author-eSectionHeading4"/>
      </w:pPr>
      <w:bookmarkStart w:id="1504" w:name="_Toc178838606"/>
      <w:r>
        <w:t>23.82 Déposes / démontages / percements / déconstructions-démolitions CCTB 01.02</w:t>
      </w:r>
      <w:bookmarkEnd w:id="1504"/>
    </w:p>
    <w:p w14:paraId="5B353321" w14:textId="77777777" w:rsidR="00DF410E" w:rsidRDefault="00CE7F43">
      <w:pPr>
        <w:pStyle w:val="Author-eSectionHeading5"/>
      </w:pPr>
      <w:bookmarkStart w:id="1505" w:name="_Toc178838607"/>
      <w:r>
        <w:t>23.82.1 Travaux de stabilisation CCTB 01.04</w:t>
      </w:r>
      <w:bookmarkEnd w:id="1505"/>
    </w:p>
    <w:p w14:paraId="22F76629" w14:textId="77777777" w:rsidR="00DF410E" w:rsidRDefault="00CE7F43">
      <w:pPr>
        <w:pStyle w:val="pheading"/>
      </w:pPr>
      <w:r>
        <w:t>DESCRIPTION</w:t>
      </w:r>
    </w:p>
    <w:p w14:paraId="0816FF53" w14:textId="77777777" w:rsidR="00DF410E" w:rsidRDefault="00CE7F43">
      <w:pPr>
        <w:pStyle w:val="pheading"/>
      </w:pPr>
      <w:r>
        <w:t>- Définition / Comprend</w:t>
      </w:r>
    </w:p>
    <w:p w14:paraId="754DD11D" w14:textId="77777777" w:rsidR="00DF410E" w:rsidRDefault="00CE7F43">
      <w:r>
        <w:t xml:space="preserve">Renvoi à </w:t>
      </w:r>
      <w:hyperlink r:id="rId233" w:history="1" w:docLocation="113">
        <w:r>
          <w:t>06.11 Stabilisations de la structure</w:t>
        </w:r>
      </w:hyperlink>
    </w:p>
    <w:p w14:paraId="455C4E0E" w14:textId="77777777" w:rsidR="00DF410E" w:rsidRDefault="00CE7F43">
      <w:pPr>
        <w:pStyle w:val="Author-eSectionHeading5"/>
      </w:pPr>
      <w:bookmarkStart w:id="1506" w:name="_Toc178838608"/>
      <w:r>
        <w:t>23.82.2 Déposes d'éléments (pour repose ultérieure) CCTB 01.04</w:t>
      </w:r>
      <w:bookmarkEnd w:id="1506"/>
    </w:p>
    <w:p w14:paraId="012B4721" w14:textId="77777777" w:rsidR="00DF410E" w:rsidRDefault="00CE7F43">
      <w:pPr>
        <w:pStyle w:val="pheading"/>
      </w:pPr>
      <w:r>
        <w:t>DESCRIPTION</w:t>
      </w:r>
    </w:p>
    <w:p w14:paraId="745480DF" w14:textId="77777777" w:rsidR="00DF410E" w:rsidRDefault="00CE7F43">
      <w:pPr>
        <w:pStyle w:val="pheading"/>
      </w:pPr>
      <w:r>
        <w:t>- Définition / Comprend</w:t>
      </w:r>
    </w:p>
    <w:p w14:paraId="68E0DA94" w14:textId="77777777" w:rsidR="00DF410E" w:rsidRDefault="00CE7F43">
      <w:r>
        <w:t xml:space="preserve">Renvoi au § </w:t>
      </w:r>
      <w:hyperlink r:id="rId234" w:history="1" w:docLocation="179">
        <w:r>
          <w:t>06.4 Déposes / démontages d'éléments pour récupération, stockage sur chantier et repose ultérieure</w:t>
        </w:r>
      </w:hyperlink>
    </w:p>
    <w:p w14:paraId="152E56FB" w14:textId="77777777" w:rsidR="00DF410E" w:rsidRDefault="00CE7F43">
      <w:pPr>
        <w:pStyle w:val="Author-eSectionHeading5"/>
      </w:pPr>
      <w:bookmarkStart w:id="1507" w:name="_Toc178838609"/>
      <w:r>
        <w:t>23.82.3 Démontages d'éléments (pour récupération) CCTB 01.04</w:t>
      </w:r>
      <w:bookmarkEnd w:id="1507"/>
    </w:p>
    <w:p w14:paraId="2DCB8E49" w14:textId="77777777" w:rsidR="00DF410E" w:rsidRDefault="00CE7F43">
      <w:pPr>
        <w:pStyle w:val="pheading"/>
      </w:pPr>
      <w:r>
        <w:t>DESCRIPTION</w:t>
      </w:r>
    </w:p>
    <w:p w14:paraId="751E5BB6" w14:textId="77777777" w:rsidR="00DF410E" w:rsidRDefault="00CE7F43">
      <w:pPr>
        <w:pStyle w:val="pheading"/>
      </w:pPr>
      <w:r>
        <w:t>- Définition / Comprend</w:t>
      </w:r>
    </w:p>
    <w:p w14:paraId="28B1431D" w14:textId="77777777" w:rsidR="00DF410E" w:rsidRDefault="00CE7F43">
      <w:r>
        <w:t xml:space="preserve">Renvoi au § </w:t>
      </w:r>
      <w:hyperlink r:id="rId235" w:history="1" w:docLocation="572">
        <w:r>
          <w:t>06.37.5 Démontages d'éléments de structures en acier</w:t>
        </w:r>
      </w:hyperlink>
    </w:p>
    <w:p w14:paraId="33687BE3" w14:textId="77777777" w:rsidR="00DF410E" w:rsidRDefault="00CE7F43">
      <w:pPr>
        <w:pStyle w:val="Author-eSectionHeading5"/>
      </w:pPr>
      <w:bookmarkStart w:id="1508" w:name="_Toc178838610"/>
      <w:r>
        <w:t>23.82.4 Décapages / déjointoiements (pour évacuation) CCTB 01.04</w:t>
      </w:r>
      <w:bookmarkEnd w:id="1508"/>
    </w:p>
    <w:p w14:paraId="4A6590D3" w14:textId="77777777" w:rsidR="00DF410E" w:rsidRDefault="00CE7F43">
      <w:pPr>
        <w:pStyle w:val="pheading"/>
      </w:pPr>
      <w:r>
        <w:t>DESCRIPTION</w:t>
      </w:r>
    </w:p>
    <w:p w14:paraId="3571D4EE" w14:textId="77777777" w:rsidR="00DF410E" w:rsidRDefault="00CE7F43">
      <w:pPr>
        <w:pStyle w:val="pheading"/>
      </w:pPr>
      <w:r>
        <w:t>- Définition / Comprend</w:t>
      </w:r>
    </w:p>
    <w:p w14:paraId="6B0285FA" w14:textId="77777777" w:rsidR="00DF410E" w:rsidRDefault="00CE7F43">
      <w:r>
        <w:t xml:space="preserve">Renvoi au § </w:t>
      </w:r>
      <w:hyperlink r:id="rId236" w:history="1" w:docLocation="535">
        <w:r>
          <w:t>06.7 Décapages / déjointoiements (pour évacuation)</w:t>
        </w:r>
      </w:hyperlink>
    </w:p>
    <w:p w14:paraId="5ADAA7A7"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237" w:history="1" w:docLocation="116">
        <w:r>
          <w:t>07 –Déchets : Préventions, tris sélectifs sur chantier, stockages, transports et traitements des déchets</w:t>
        </w:r>
      </w:hyperlink>
      <w:r>
        <w:t>.</w:t>
      </w:r>
    </w:p>
    <w:p w14:paraId="115E97CC" w14:textId="77777777" w:rsidR="00DF410E" w:rsidRDefault="00CE7F43">
      <w:pPr>
        <w:pStyle w:val="Author-eSectionHeading5"/>
      </w:pPr>
      <w:bookmarkStart w:id="1509" w:name="_Toc178838611"/>
      <w:r>
        <w:t>23.82.5 Percements / carottages CCTB 01.04</w:t>
      </w:r>
      <w:bookmarkEnd w:id="1509"/>
    </w:p>
    <w:p w14:paraId="74F236B0" w14:textId="77777777" w:rsidR="00DF410E" w:rsidRDefault="00CE7F43">
      <w:pPr>
        <w:pStyle w:val="pheading"/>
      </w:pPr>
      <w:r>
        <w:t>DESCRIPTION</w:t>
      </w:r>
    </w:p>
    <w:p w14:paraId="0B28E604" w14:textId="77777777" w:rsidR="00DF410E" w:rsidRDefault="00CE7F43">
      <w:pPr>
        <w:pStyle w:val="pheading"/>
      </w:pPr>
      <w:r>
        <w:t>- Définition / Comprend</w:t>
      </w:r>
    </w:p>
    <w:p w14:paraId="3B0CE678" w14:textId="77777777" w:rsidR="00DF410E" w:rsidRDefault="00CE7F43">
      <w:r>
        <w:t xml:space="preserve">Renvoi au § </w:t>
      </w:r>
      <w:hyperlink r:id="rId238" w:history="1" w:docLocation="438">
        <w:r>
          <w:t>06.8 Percements / carottages</w:t>
        </w:r>
      </w:hyperlink>
    </w:p>
    <w:p w14:paraId="78F25A37" w14:textId="77777777" w:rsidR="00DF410E" w:rsidRDefault="00CE7F43">
      <w:pPr>
        <w:pStyle w:val="Author-eSectionHeading5"/>
      </w:pPr>
      <w:bookmarkStart w:id="1510" w:name="_Toc178838612"/>
      <w:r>
        <w:t>23.82.6 Déconstructions / démolitions (pour évacuation) CCTB 01.04</w:t>
      </w:r>
      <w:bookmarkEnd w:id="1510"/>
    </w:p>
    <w:p w14:paraId="047BDAE8" w14:textId="77777777" w:rsidR="00DF410E" w:rsidRDefault="00CE7F43">
      <w:pPr>
        <w:pStyle w:val="pheading"/>
      </w:pPr>
      <w:r>
        <w:t>DESCRIPTION</w:t>
      </w:r>
    </w:p>
    <w:p w14:paraId="1E89B18D" w14:textId="77777777" w:rsidR="00DF410E" w:rsidRDefault="00CE7F43">
      <w:pPr>
        <w:pStyle w:val="pheading"/>
      </w:pPr>
      <w:r>
        <w:t>- Définition / Comprend</w:t>
      </w:r>
    </w:p>
    <w:p w14:paraId="236D3BB3" w14:textId="77777777" w:rsidR="00DF410E" w:rsidRDefault="00CE7F43">
      <w:r>
        <w:t xml:space="preserve">Renvoi au § </w:t>
      </w:r>
      <w:hyperlink r:id="rId239" w:history="1" w:docLocation="573">
        <w:r>
          <w:t>06.27.3 Démolitions d'éléments de structures en acier</w:t>
        </w:r>
      </w:hyperlink>
    </w:p>
    <w:p w14:paraId="309814D3"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240" w:history="1" w:docLocation="116">
        <w:r>
          <w:t>07 –Déchets : Préventions, tris sélectifs sur chantier, stockages, transports et traitements des déchets</w:t>
        </w:r>
      </w:hyperlink>
      <w:r>
        <w:t>.</w:t>
      </w:r>
    </w:p>
    <w:p w14:paraId="5563B17A" w14:textId="77777777" w:rsidR="00DF410E" w:rsidRDefault="00CE7F43">
      <w:pPr>
        <w:pStyle w:val="Author-eSectionHeading4"/>
      </w:pPr>
      <w:bookmarkStart w:id="1511" w:name="_Toc178838613"/>
      <w:r>
        <w:t>23.83 Réparations / ragréages / rénovations CCTB 01.02</w:t>
      </w:r>
      <w:bookmarkEnd w:id="1511"/>
    </w:p>
    <w:p w14:paraId="6C9C7274" w14:textId="77777777" w:rsidR="00DF410E" w:rsidRDefault="00CE7F43">
      <w:pPr>
        <w:pStyle w:val="Author-eSectionHeading5"/>
      </w:pPr>
      <w:bookmarkStart w:id="1512" w:name="_Toc178838614"/>
      <w:r>
        <w:t>23.83.1 Réparations d'éléments défectueux par soudure CCTB 01.04</w:t>
      </w:r>
      <w:bookmarkEnd w:id="1512"/>
    </w:p>
    <w:p w14:paraId="48DFC3E0" w14:textId="77777777" w:rsidR="00DF410E" w:rsidRDefault="00CE7F43">
      <w:pPr>
        <w:pStyle w:val="Author-eSectionHeading6"/>
      </w:pPr>
      <w:bookmarkStart w:id="1513" w:name="_Toc178838615"/>
      <w:r>
        <w:t>23.83.1a Réparations d'éléments défectueux par soudure CCTB 01.04</w:t>
      </w:r>
      <w:bookmarkEnd w:id="1513"/>
    </w:p>
    <w:p w14:paraId="4B6A4C67" w14:textId="77777777" w:rsidR="00DF410E" w:rsidRDefault="00CE7F43">
      <w:pPr>
        <w:pStyle w:val="Author-eSectionHeading4"/>
      </w:pPr>
      <w:bookmarkStart w:id="1514" w:name="_Toc178838616"/>
      <w:r>
        <w:t>23.84 Renforcements CCTB 01.02</w:t>
      </w:r>
      <w:bookmarkEnd w:id="1514"/>
    </w:p>
    <w:p w14:paraId="4801F810" w14:textId="77777777" w:rsidR="00DF410E" w:rsidRDefault="00CE7F43">
      <w:pPr>
        <w:pStyle w:val="Author-eSectionHeading5"/>
      </w:pPr>
      <w:bookmarkStart w:id="1515" w:name="_Toc178838617"/>
      <w:r>
        <w:t>23.84.1 Renforcements de profils par augmentation de la section d'acier CCTB 01.02</w:t>
      </w:r>
      <w:bookmarkEnd w:id="1515"/>
    </w:p>
    <w:p w14:paraId="0E966631" w14:textId="77777777" w:rsidR="00DF410E" w:rsidRDefault="00CE7F43">
      <w:pPr>
        <w:pStyle w:val="Author-eSectionHeading6"/>
      </w:pPr>
      <w:bookmarkStart w:id="1516" w:name="_Toc178838618"/>
      <w:r>
        <w:t>23.84.1a Renforcements par ajout de plats / profils soudés CCTB 01.02</w:t>
      </w:r>
      <w:bookmarkEnd w:id="1516"/>
    </w:p>
    <w:p w14:paraId="3ADB1A40" w14:textId="77777777" w:rsidR="00DF410E" w:rsidRDefault="00CE7F43">
      <w:pPr>
        <w:pStyle w:val="Author-eSectionHeading6"/>
      </w:pPr>
      <w:bookmarkStart w:id="1517" w:name="_Toc178838619"/>
      <w:r>
        <w:t>23.84.1b Renforcements par ajout de plats / profils boulonnés / rivetés CCTB 01.02</w:t>
      </w:r>
      <w:bookmarkEnd w:id="1517"/>
    </w:p>
    <w:p w14:paraId="028AE8CA" w14:textId="77777777" w:rsidR="00DF410E" w:rsidRDefault="00CE7F43">
      <w:pPr>
        <w:pStyle w:val="Author-eSectionHeading6"/>
      </w:pPr>
      <w:bookmarkStart w:id="1518" w:name="_Toc178838620"/>
      <w:r>
        <w:t>23.84.1c Renforcements par ajout de plats / profils collés CCTB 01.02</w:t>
      </w:r>
      <w:bookmarkEnd w:id="1518"/>
    </w:p>
    <w:p w14:paraId="26113133" w14:textId="77777777" w:rsidR="00DF410E" w:rsidRDefault="00CE7F43">
      <w:pPr>
        <w:pStyle w:val="Author-eSectionHeading5"/>
      </w:pPr>
      <w:bookmarkStart w:id="1519" w:name="_Toc178838621"/>
      <w:r>
        <w:t>23.84.2 Renforcements par ajout de profils à la structure existante CCTB 01.02</w:t>
      </w:r>
      <w:bookmarkEnd w:id="1519"/>
    </w:p>
    <w:p w14:paraId="7C99449F" w14:textId="77777777" w:rsidR="00DF410E" w:rsidRDefault="00CE7F43">
      <w:pPr>
        <w:pStyle w:val="Author-eSectionHeading6"/>
      </w:pPr>
      <w:bookmarkStart w:id="1520" w:name="_Toc178838622"/>
      <w:r>
        <w:t>23.84.2a Ajouts de profils soudés CCTB 01.02</w:t>
      </w:r>
      <w:bookmarkEnd w:id="1520"/>
    </w:p>
    <w:p w14:paraId="1EEA8977" w14:textId="77777777" w:rsidR="00DF410E" w:rsidRDefault="00CE7F43">
      <w:pPr>
        <w:pStyle w:val="Author-eSectionHeading6"/>
      </w:pPr>
      <w:bookmarkStart w:id="1521" w:name="_Toc178838623"/>
      <w:r>
        <w:t>23.84.2b Ajouts de profils collés CCTB 01.02</w:t>
      </w:r>
      <w:bookmarkEnd w:id="1521"/>
    </w:p>
    <w:p w14:paraId="26A85DE5" w14:textId="77777777" w:rsidR="00DF410E" w:rsidRDefault="00CE7F43">
      <w:pPr>
        <w:pStyle w:val="Author-eSectionHeading6"/>
      </w:pPr>
      <w:bookmarkStart w:id="1522" w:name="_Toc178838624"/>
      <w:r>
        <w:t>23.84.2c Ajouts de profils boulonnés CCTB 01.02</w:t>
      </w:r>
      <w:bookmarkEnd w:id="1522"/>
    </w:p>
    <w:p w14:paraId="2426CE7E" w14:textId="77777777" w:rsidR="00DF410E" w:rsidRDefault="00CE7F43">
      <w:pPr>
        <w:pStyle w:val="Author-eSectionHeading6"/>
      </w:pPr>
      <w:bookmarkStart w:id="1523" w:name="_Toc178838625"/>
      <w:r>
        <w:t>23.84.2d Ajouts de profils rivetés CCTB 01.02</w:t>
      </w:r>
      <w:bookmarkEnd w:id="1523"/>
    </w:p>
    <w:p w14:paraId="7FCC895E" w14:textId="77777777" w:rsidR="00DF410E" w:rsidRDefault="00CE7F43">
      <w:pPr>
        <w:pStyle w:val="Author-eSectionHeading5"/>
      </w:pPr>
      <w:bookmarkStart w:id="1524" w:name="_Toc178838626"/>
      <w:r>
        <w:t>23.84.3 Renforcements par ajout d'éléments structuraux externes à la structure CCTB 01.04</w:t>
      </w:r>
      <w:bookmarkEnd w:id="1524"/>
    </w:p>
    <w:p w14:paraId="64BED3EE" w14:textId="77777777" w:rsidR="00DF410E" w:rsidRDefault="00CE7F43">
      <w:pPr>
        <w:pStyle w:val="Author-eSectionHeading6"/>
      </w:pPr>
      <w:bookmarkStart w:id="1525" w:name="_Toc178838627"/>
      <w:r>
        <w:t>23.84.3a Ajouts de tirants métalliques externes CCTB 01.02</w:t>
      </w:r>
      <w:bookmarkEnd w:id="1525"/>
    </w:p>
    <w:p w14:paraId="07D54A2D" w14:textId="77777777" w:rsidR="00DF410E" w:rsidRDefault="00CE7F43">
      <w:pPr>
        <w:pStyle w:val="Author-eSectionHeading6"/>
      </w:pPr>
      <w:bookmarkStart w:id="1526" w:name="_Toc178838628"/>
      <w:r>
        <w:t>23.84.3b Structures de délestage autour d'une structure existante CCTB 01.02</w:t>
      </w:r>
      <w:bookmarkEnd w:id="1526"/>
    </w:p>
    <w:p w14:paraId="1C8B455D" w14:textId="77777777" w:rsidR="00DF410E" w:rsidRDefault="00CE7F43">
      <w:pPr>
        <w:pStyle w:val="Author-eSectionHeading5"/>
      </w:pPr>
      <w:bookmarkStart w:id="1527" w:name="_Toc178838629"/>
      <w:r>
        <w:t>23.84.4 Renforcements de fixations / assemblages de structure existantes CCTB 01.02</w:t>
      </w:r>
      <w:bookmarkEnd w:id="1527"/>
    </w:p>
    <w:p w14:paraId="25F0D049" w14:textId="77777777" w:rsidR="00DF410E" w:rsidRDefault="00CE7F43">
      <w:pPr>
        <w:pStyle w:val="Author-eSectionHeading6"/>
      </w:pPr>
      <w:bookmarkStart w:id="1528" w:name="_Toc178838630"/>
      <w:r>
        <w:t>23.84.4a Opérations de soudure complémentaires CCTB 01.02</w:t>
      </w:r>
      <w:bookmarkEnd w:id="1528"/>
    </w:p>
    <w:p w14:paraId="22734FA5" w14:textId="77777777" w:rsidR="00DF410E" w:rsidRDefault="00CE7F43">
      <w:pPr>
        <w:pStyle w:val="Author-eSectionHeading6"/>
      </w:pPr>
      <w:bookmarkStart w:id="1529" w:name="_Toc178838631"/>
      <w:r>
        <w:t>23.84.4b Ajouts de raidisseurs soudés CCTB 01.04</w:t>
      </w:r>
      <w:bookmarkEnd w:id="1529"/>
    </w:p>
    <w:p w14:paraId="3CC33F96" w14:textId="77777777" w:rsidR="00DF410E" w:rsidRDefault="00CE7F43">
      <w:pPr>
        <w:pStyle w:val="Author-eSectionHeading6"/>
      </w:pPr>
      <w:bookmarkStart w:id="1530" w:name="_Toc178838632"/>
      <w:r>
        <w:t>23.84.4c Ajouts de raidisseurs fixés mécaniquement CCTB 01.04</w:t>
      </w:r>
      <w:bookmarkEnd w:id="1530"/>
    </w:p>
    <w:p w14:paraId="296B44BF" w14:textId="77777777" w:rsidR="00DF410E" w:rsidRDefault="00CE7F43">
      <w:pPr>
        <w:pStyle w:val="Author-eSectionHeading4"/>
      </w:pPr>
      <w:bookmarkStart w:id="1531" w:name="_Toc178838633"/>
      <w:r>
        <w:t>23.85 Adaptations CCTB 01.02</w:t>
      </w:r>
      <w:bookmarkEnd w:id="1531"/>
    </w:p>
    <w:p w14:paraId="13391268" w14:textId="77777777" w:rsidR="00DF410E" w:rsidRDefault="00CE7F43">
      <w:pPr>
        <w:pStyle w:val="Author-eSectionHeading5"/>
      </w:pPr>
      <w:bookmarkStart w:id="1532" w:name="_Toc178838634"/>
      <w:r>
        <w:t>23.85.1 Adaptations de charpentes métalliques pour baies / passages CCTB 01.02</w:t>
      </w:r>
      <w:bookmarkEnd w:id="1532"/>
    </w:p>
    <w:p w14:paraId="0F83CA0B" w14:textId="77777777" w:rsidR="00DF410E" w:rsidRDefault="00CE7F43">
      <w:pPr>
        <w:pStyle w:val="Author-eSectionHeading6"/>
      </w:pPr>
      <w:bookmarkStart w:id="1533" w:name="_Toc178838635"/>
      <w:r>
        <w:t>23.85.1a Créations de baies dans structures métalliques CCTB 01.04</w:t>
      </w:r>
      <w:bookmarkEnd w:id="1533"/>
    </w:p>
    <w:p w14:paraId="4DEACC8E" w14:textId="77777777" w:rsidR="00DF410E" w:rsidRDefault="00CE7F43">
      <w:pPr>
        <w:pStyle w:val="pheading"/>
      </w:pPr>
      <w:r>
        <w:t>DESCRIPTION</w:t>
      </w:r>
    </w:p>
    <w:p w14:paraId="43B64525" w14:textId="77777777" w:rsidR="00DF410E" w:rsidRDefault="00CE7F43">
      <w:pPr>
        <w:pStyle w:val="pheading"/>
      </w:pPr>
      <w:r>
        <w:t>- Définition / Comprend</w:t>
      </w:r>
    </w:p>
    <w:p w14:paraId="428762F3" w14:textId="77777777" w:rsidR="00DF410E" w:rsidRDefault="00CE7F43">
      <w:r>
        <w:t xml:space="preserve">Renvoi à </w:t>
      </w:r>
      <w:hyperlink r:id="rId241" w:history="1" w:docLocation="574">
        <w:r>
          <w:t>06.82.2d Créations de baies dans éléments de structures en acier</w:t>
        </w:r>
      </w:hyperlink>
    </w:p>
    <w:p w14:paraId="5EEBDB31" w14:textId="77777777" w:rsidR="00DF410E" w:rsidRDefault="00CE7F43">
      <w:pPr>
        <w:pStyle w:val="Author-eSectionHeading6"/>
      </w:pPr>
      <w:bookmarkStart w:id="1534" w:name="_Toc178838636"/>
      <w:r>
        <w:t>23.85.1b Adaptations dimensionnelles de baies existantes dans structures métalliques CCTB 01.04</w:t>
      </w:r>
      <w:bookmarkEnd w:id="1534"/>
    </w:p>
    <w:p w14:paraId="1944DB9E" w14:textId="77777777" w:rsidR="00DF410E" w:rsidRDefault="00CE7F43">
      <w:pPr>
        <w:pStyle w:val="pheading"/>
      </w:pPr>
      <w:r>
        <w:t>DESCRIPTION</w:t>
      </w:r>
    </w:p>
    <w:p w14:paraId="01A9F6B2" w14:textId="77777777" w:rsidR="00DF410E" w:rsidRDefault="00CE7F43">
      <w:pPr>
        <w:pStyle w:val="pheading"/>
      </w:pPr>
      <w:r>
        <w:t>- Définition / Comprend</w:t>
      </w:r>
    </w:p>
    <w:p w14:paraId="7069CA47" w14:textId="77777777" w:rsidR="00DF410E" w:rsidRDefault="00CE7F43">
      <w:r>
        <w:t xml:space="preserve">Renvoi à </w:t>
      </w:r>
      <w:hyperlink r:id="rId242" w:history="1" w:docLocation="575">
        <w:r>
          <w:t>06.82.3d Adaptations dimensionnelles de baies, avec reprise de charges, dans éléments de structures en acier</w:t>
        </w:r>
      </w:hyperlink>
      <w:r>
        <w:t xml:space="preserve"> et </w:t>
      </w:r>
      <w:hyperlink r:id="rId243" w:history="1" w:docLocation="576">
        <w:r>
          <w:t>06.82.4d Adaptations dimensionnelles de baies, sans reprise de charges, dans éléments de structures en acier</w:t>
        </w:r>
      </w:hyperlink>
    </w:p>
    <w:p w14:paraId="2581E7CD" w14:textId="77777777" w:rsidR="00DF410E" w:rsidRDefault="00CE7F43">
      <w:pPr>
        <w:pStyle w:val="Author-eSectionHeading6"/>
      </w:pPr>
      <w:bookmarkStart w:id="1535" w:name="_Toc178838637"/>
      <w:r>
        <w:t>23.85.1c Obturations de baies existantes dans structures métalliques CCTB 01.02</w:t>
      </w:r>
      <w:bookmarkEnd w:id="1535"/>
    </w:p>
    <w:p w14:paraId="03A678F8" w14:textId="77777777" w:rsidR="00DF410E" w:rsidRDefault="00CE7F43">
      <w:pPr>
        <w:pStyle w:val="Author-eSectionHeading4"/>
      </w:pPr>
      <w:bookmarkStart w:id="1536" w:name="_Toc178838638"/>
      <w:r>
        <w:t>23.86 Reposes / remplacements (à l'identique) CCTB 01.02</w:t>
      </w:r>
      <w:bookmarkEnd w:id="1536"/>
    </w:p>
    <w:p w14:paraId="247B7F3D" w14:textId="77777777" w:rsidR="00DF410E" w:rsidRDefault="00CE7F43">
      <w:pPr>
        <w:pStyle w:val="Author-eSectionHeading5"/>
      </w:pPr>
      <w:bookmarkStart w:id="1537" w:name="_Toc178838639"/>
      <w:r>
        <w:t>23.86.1 Reposes d'éléments de structures métalliques récupérés CCTB 01.04</w:t>
      </w:r>
      <w:bookmarkEnd w:id="1537"/>
    </w:p>
    <w:p w14:paraId="30CD0307" w14:textId="77777777" w:rsidR="00DF410E" w:rsidRDefault="00CE7F43">
      <w:pPr>
        <w:pStyle w:val="Author-eSectionHeading6"/>
      </w:pPr>
      <w:bookmarkStart w:id="1538" w:name="_Toc178838640"/>
      <w:r>
        <w:t>23.86.1a Reposes d'éléments de structures métalliques récupérés CCTB 01.04</w:t>
      </w:r>
      <w:bookmarkEnd w:id="1538"/>
    </w:p>
    <w:p w14:paraId="43FA0267" w14:textId="77777777" w:rsidR="00DF410E" w:rsidRDefault="00CE7F43">
      <w:pPr>
        <w:pStyle w:val="Author-eSectionHeading5"/>
      </w:pPr>
      <w:bookmarkStart w:id="1539" w:name="_Toc178838641"/>
      <w:r>
        <w:t>23.86.2 Remplacements complets à l'identique de structures métalliques CCTB 01.04</w:t>
      </w:r>
      <w:bookmarkEnd w:id="1539"/>
    </w:p>
    <w:p w14:paraId="693B019B" w14:textId="77777777" w:rsidR="00DF410E" w:rsidRDefault="00CE7F43">
      <w:pPr>
        <w:pStyle w:val="pheading"/>
      </w:pPr>
      <w:r>
        <w:t>DESCRIPTION</w:t>
      </w:r>
    </w:p>
    <w:p w14:paraId="17B98F7F" w14:textId="77777777" w:rsidR="00DF410E" w:rsidRDefault="00CE7F43">
      <w:pPr>
        <w:pStyle w:val="pheading"/>
      </w:pPr>
      <w:r>
        <w:t>- Définition / Comprend</w:t>
      </w:r>
    </w:p>
    <w:p w14:paraId="44C2BC19" w14:textId="77777777" w:rsidR="00DF410E" w:rsidRDefault="00CE7F43">
      <w:r>
        <w:t xml:space="preserve">Renvoi au § </w:t>
      </w:r>
      <w:hyperlink w:anchor="347" w:history="1">
        <w:r>
          <w:t>23 Superstructures métalliques</w:t>
        </w:r>
      </w:hyperlink>
    </w:p>
    <w:p w14:paraId="7DB6F76D" w14:textId="77777777" w:rsidR="00DF410E" w:rsidRDefault="00CE7F43">
      <w:pPr>
        <w:pStyle w:val="Author-eSectionHeading5"/>
      </w:pPr>
      <w:bookmarkStart w:id="1540" w:name="_Toc178838642"/>
      <w:r>
        <w:t>23.86.3 Remplacements complets de profils métalliques CCTB 01.02</w:t>
      </w:r>
      <w:bookmarkEnd w:id="1540"/>
    </w:p>
    <w:p w14:paraId="6F3F0376" w14:textId="77777777" w:rsidR="00DF410E" w:rsidRDefault="00CE7F43">
      <w:pPr>
        <w:pStyle w:val="Author-eSectionHeading6"/>
      </w:pPr>
      <w:bookmarkStart w:id="1541" w:name="_Toc178838643"/>
      <w:r>
        <w:t>23.86.3a Remplacements de profils métalliques isolés CCTB 01.02</w:t>
      </w:r>
      <w:bookmarkEnd w:id="1541"/>
    </w:p>
    <w:p w14:paraId="5F74B13D" w14:textId="77777777" w:rsidR="00DF410E" w:rsidRDefault="00CE7F43">
      <w:pPr>
        <w:pStyle w:val="Author-eSectionHeading6"/>
      </w:pPr>
      <w:bookmarkStart w:id="1542" w:name="_Toc178838644"/>
      <w:r>
        <w:t>23.86.3b Remplacements de profils métalliques faisant partie d'une structure / charpente CCTB 01.02</w:t>
      </w:r>
      <w:bookmarkEnd w:id="1542"/>
    </w:p>
    <w:p w14:paraId="1AC0563E" w14:textId="77777777" w:rsidR="00DF410E" w:rsidRDefault="00CE7F43">
      <w:pPr>
        <w:pStyle w:val="Author-eSectionHeading5"/>
      </w:pPr>
      <w:bookmarkStart w:id="1543" w:name="_Toc178838645"/>
      <w:r>
        <w:t>23.86.4 Remplacements partiels de profils métalliques CCTB 01.02</w:t>
      </w:r>
      <w:bookmarkEnd w:id="1543"/>
    </w:p>
    <w:p w14:paraId="5FB93D45" w14:textId="77777777" w:rsidR="00DF410E" w:rsidRDefault="00CE7F43">
      <w:pPr>
        <w:pStyle w:val="Author-eSectionHeading6"/>
      </w:pPr>
      <w:bookmarkStart w:id="1544" w:name="_Toc178838646"/>
      <w:r>
        <w:t>23.86.4a Remplacements de pieds de structures métalliques défectueux CCTB 01.02</w:t>
      </w:r>
      <w:bookmarkEnd w:id="1544"/>
    </w:p>
    <w:p w14:paraId="60707B79" w14:textId="77777777" w:rsidR="00DF410E" w:rsidRDefault="00CE7F43">
      <w:pPr>
        <w:pStyle w:val="Author-eSectionHeading6"/>
      </w:pPr>
      <w:bookmarkStart w:id="1545" w:name="_Toc178838647"/>
      <w:r>
        <w:t>23.86.4b Remplacements de parties de profils métalliques défectueuses CCTB 01.02</w:t>
      </w:r>
      <w:bookmarkEnd w:id="1545"/>
    </w:p>
    <w:p w14:paraId="563DB104" w14:textId="77777777" w:rsidR="00DF410E" w:rsidRDefault="00CE7F43">
      <w:pPr>
        <w:pStyle w:val="Author-eSectionHeading5"/>
      </w:pPr>
      <w:bookmarkStart w:id="1546" w:name="_Toc178838648"/>
      <w:r>
        <w:t>23.86.5 Remplacements d'éléments de fixation / assemblage métallique CCTB 01.02</w:t>
      </w:r>
      <w:bookmarkEnd w:id="1546"/>
    </w:p>
    <w:p w14:paraId="17BCBB0D" w14:textId="77777777" w:rsidR="00DF410E" w:rsidRDefault="00CE7F43">
      <w:pPr>
        <w:pStyle w:val="Author-eSectionHeading6"/>
      </w:pPr>
      <w:bookmarkStart w:id="1547" w:name="_Toc178838649"/>
      <w:r>
        <w:t>23.86.5a Remplacements de rivets défectueux CCTB 01.02</w:t>
      </w:r>
      <w:bookmarkEnd w:id="1547"/>
    </w:p>
    <w:p w14:paraId="3E6097F9" w14:textId="77777777" w:rsidR="00DF410E" w:rsidRDefault="00CE7F43">
      <w:pPr>
        <w:pStyle w:val="Author-eSectionHeading6"/>
      </w:pPr>
      <w:bookmarkStart w:id="1548" w:name="_Toc178838650"/>
      <w:r>
        <w:t>23.86.5b Remplacements de boulons défectueux CCTB 01.02</w:t>
      </w:r>
      <w:bookmarkEnd w:id="1548"/>
    </w:p>
    <w:p w14:paraId="1AB2F26B" w14:textId="77777777" w:rsidR="00DF410E" w:rsidRDefault="00CE7F43">
      <w:pPr>
        <w:pStyle w:val="Author-eSectionHeading6"/>
      </w:pPr>
      <w:bookmarkStart w:id="1549" w:name="_Toc178838651"/>
      <w:r>
        <w:t>23.86.5c Remplacements de cordons de soudure défectueux CCTB 01.10</w:t>
      </w:r>
      <w:bookmarkEnd w:id="1549"/>
    </w:p>
    <w:p w14:paraId="5E0AA6DF" w14:textId="77777777" w:rsidR="00DF410E" w:rsidRDefault="00CE7F43">
      <w:pPr>
        <w:pStyle w:val="Author-eSectionHeading4"/>
      </w:pPr>
      <w:bookmarkStart w:id="1550" w:name="_Toc178838652"/>
      <w:r>
        <w:t>23.87 Nettoyages / préparations de surface CCTB 01.04</w:t>
      </w:r>
      <w:bookmarkEnd w:id="1550"/>
    </w:p>
    <w:p w14:paraId="59B09519" w14:textId="77777777" w:rsidR="00DF410E" w:rsidRDefault="00CE7F43">
      <w:pPr>
        <w:pStyle w:val="pheading"/>
      </w:pPr>
      <w:r>
        <w:t>DESCRIPTION</w:t>
      </w:r>
    </w:p>
    <w:p w14:paraId="6654C2FC" w14:textId="77777777" w:rsidR="00DF410E" w:rsidRDefault="00CE7F43">
      <w:pPr>
        <w:pStyle w:val="pheading"/>
      </w:pPr>
      <w:r>
        <w:t>- Définition / Comprend</w:t>
      </w:r>
    </w:p>
    <w:p w14:paraId="5CC934C2" w14:textId="77777777" w:rsidR="00DF410E" w:rsidRDefault="00CE7F43">
      <w:r>
        <w:t xml:space="preserve">Renvoi au § </w:t>
      </w:r>
      <w:hyperlink r:id="rId244" w:history="1" w:docLocation="577">
        <w:r>
          <w:t>83.31 Nettoyage / préparation de surface</w:t>
        </w:r>
      </w:hyperlink>
    </w:p>
    <w:p w14:paraId="2DF9CFF1" w14:textId="77777777" w:rsidR="00DF410E" w:rsidRDefault="00CE7F43">
      <w:pPr>
        <w:pStyle w:val="Author-eSectionHeading4"/>
      </w:pPr>
      <w:bookmarkStart w:id="1551" w:name="_Toc178838653"/>
      <w:r>
        <w:t>23.88 Traitements et protections CCTB 01.04</w:t>
      </w:r>
      <w:bookmarkEnd w:id="1551"/>
    </w:p>
    <w:p w14:paraId="63AB25BE" w14:textId="77777777" w:rsidR="00DF410E" w:rsidRDefault="00CE7F43">
      <w:pPr>
        <w:pStyle w:val="pheading"/>
      </w:pPr>
      <w:r>
        <w:t>DESCRIPTION</w:t>
      </w:r>
    </w:p>
    <w:p w14:paraId="37D3D805" w14:textId="77777777" w:rsidR="00DF410E" w:rsidRDefault="00CE7F43">
      <w:pPr>
        <w:pStyle w:val="pheading"/>
      </w:pPr>
      <w:r>
        <w:t>- Définition / Comprend</w:t>
      </w:r>
    </w:p>
    <w:p w14:paraId="5513042B" w14:textId="77777777" w:rsidR="00DF410E" w:rsidRDefault="00CE7F43">
      <w:r>
        <w:t xml:space="preserve">Renvoi au § </w:t>
      </w:r>
      <w:hyperlink r:id="rId245" w:history="1" w:docLocation="570">
        <w:r>
          <w:t>83.3 Subjectiles métalliques</w:t>
        </w:r>
      </w:hyperlink>
    </w:p>
    <w:p w14:paraId="5593C2FB" w14:textId="77777777" w:rsidR="00DF410E" w:rsidRDefault="00CE7F43">
      <w:pPr>
        <w:pStyle w:val="Author-eSectionHeading2"/>
      </w:pPr>
      <w:bookmarkStart w:id="1552" w:name="_Toc178838654"/>
      <w:r>
        <w:t>24 Superstructures en bois CCTB 01.12</w:t>
      </w:r>
      <w:bookmarkEnd w:id="1552"/>
    </w:p>
    <w:p w14:paraId="20ABFD77" w14:textId="77777777" w:rsidR="00DF410E" w:rsidRDefault="00CE7F43">
      <w:pPr>
        <w:pStyle w:val="pheading"/>
      </w:pPr>
      <w:bookmarkStart w:id="1553" w:name="89"/>
      <w:bookmarkEnd w:id="1553"/>
      <w:r>
        <w:t>DESCRIPTION</w:t>
      </w:r>
    </w:p>
    <w:p w14:paraId="01276F63" w14:textId="77777777" w:rsidR="00DF410E" w:rsidRDefault="00CE7F43">
      <w:pPr>
        <w:pStyle w:val="pheading"/>
      </w:pPr>
      <w:r>
        <w:t>- Définition / Comprend</w:t>
      </w:r>
    </w:p>
    <w:p w14:paraId="60E8E26F" w14:textId="77777777" w:rsidR="00DF410E" w:rsidRDefault="00CE7F43">
      <w:pPr>
        <w:jc w:val="both"/>
      </w:pPr>
      <w:r>
        <w:t>Il s’agit des composants en bois exerçant une fonction mécanique et des éléments qui leur sont directement associés.</w:t>
      </w:r>
    </w:p>
    <w:p w14:paraId="6143A260" w14:textId="77777777" w:rsidR="00DF410E" w:rsidRDefault="00CE7F43">
      <w:pPr>
        <w:jc w:val="both"/>
      </w:pPr>
      <w:r>
        <w:t>Sauf mention contraire au cahier spécial des charges, le travail comprend notamment :</w:t>
      </w:r>
    </w:p>
    <w:p w14:paraId="7AB9314F" w14:textId="77777777" w:rsidR="00DF410E" w:rsidRDefault="00CE7F43">
      <w:pPr>
        <w:pStyle w:val="Author-eListParagraph"/>
        <w:numPr>
          <w:ilvl w:val="0"/>
          <w:numId w:val="767"/>
        </w:numPr>
      </w:pPr>
      <w:r>
        <w:t>le dressage et la fourniture des plans d'exécution à établir par l’entrepreneur et pour approbation par le maître de l’ouvrage ;</w:t>
      </w:r>
    </w:p>
    <w:p w14:paraId="2DA5AE3E" w14:textId="77777777" w:rsidR="00DF410E" w:rsidRDefault="00CE7F43">
      <w:pPr>
        <w:pStyle w:val="Author-eListParagraph"/>
        <w:numPr>
          <w:ilvl w:val="0"/>
          <w:numId w:val="768"/>
        </w:numPr>
      </w:pPr>
      <w:r>
        <w:t>la fabrication et la fourniture des éléments telles que définies sur les plans avec pentes, courbures, cintrages, façonnages (découpes et entailles, forages et pré forages, défonçages), ferrures, sabots, connecteurs (vis, tirefonds, boulons, broches, crampons, rondelles, etc.), colles, bouchons, tiges filetées, organes métalliques divers, accessoires éventuels, scellements, ancrages, remplissages, calages, etc. ;</w:t>
      </w:r>
    </w:p>
    <w:p w14:paraId="481A54D1" w14:textId="77777777" w:rsidR="00DF410E" w:rsidRDefault="00CE7F43">
      <w:pPr>
        <w:pStyle w:val="Author-eListParagraph"/>
        <w:numPr>
          <w:ilvl w:val="0"/>
          <w:numId w:val="769"/>
        </w:numPr>
      </w:pPr>
      <w:r>
        <w:t>la préservation ;</w:t>
      </w:r>
    </w:p>
    <w:p w14:paraId="3534BD07" w14:textId="77777777" w:rsidR="00DF410E" w:rsidRDefault="00CE7F43">
      <w:pPr>
        <w:pStyle w:val="Author-eListParagraph"/>
        <w:numPr>
          <w:ilvl w:val="0"/>
          <w:numId w:val="770"/>
        </w:numPr>
      </w:pPr>
      <w:r>
        <w:t>la préparation des surfaces, les traitements et produits de finition (essais et nombre de couches nécessaires) ;</w:t>
      </w:r>
    </w:p>
    <w:p w14:paraId="43448CFC" w14:textId="77777777" w:rsidR="00DF410E" w:rsidRDefault="00CE7F43">
      <w:pPr>
        <w:pStyle w:val="Author-eListParagraph"/>
        <w:numPr>
          <w:ilvl w:val="0"/>
          <w:numId w:val="771"/>
        </w:numPr>
      </w:pPr>
      <w:r>
        <w:t>les échantillons demandés par le maître de l’ouvrage ;</w:t>
      </w:r>
    </w:p>
    <w:p w14:paraId="37E1786A" w14:textId="77777777" w:rsidR="00DF410E" w:rsidRDefault="00CE7F43">
      <w:pPr>
        <w:pStyle w:val="Author-eListParagraph"/>
        <w:numPr>
          <w:ilvl w:val="0"/>
          <w:numId w:val="772"/>
        </w:numPr>
      </w:pPr>
      <w:r>
        <w:t>la réalisation de toutes les réservations et ouvertures ;</w:t>
      </w:r>
    </w:p>
    <w:p w14:paraId="5FD53E51" w14:textId="77777777" w:rsidR="00DF410E" w:rsidRDefault="00CE7F43">
      <w:pPr>
        <w:pStyle w:val="Author-eListParagraph"/>
        <w:numPr>
          <w:ilvl w:val="0"/>
          <w:numId w:val="773"/>
        </w:numPr>
      </w:pPr>
      <w:r>
        <w:t>la pose des éléments avec leur mise à niveau et le montage (assemblages, etc.) ;</w:t>
      </w:r>
    </w:p>
    <w:p w14:paraId="12C49207" w14:textId="77777777" w:rsidR="00DF410E" w:rsidRDefault="00CE7F43">
      <w:pPr>
        <w:pStyle w:val="Author-eListParagraph"/>
        <w:numPr>
          <w:ilvl w:val="0"/>
          <w:numId w:val="774"/>
        </w:numPr>
      </w:pPr>
      <w:r>
        <w:t>la protection face aux intempéries lors du transport, stockage et montage jusqu’à la protection définitive des éléments en bois ;</w:t>
      </w:r>
    </w:p>
    <w:p w14:paraId="1A22DFE7" w14:textId="77777777" w:rsidR="00DF410E" w:rsidRDefault="00CE7F43">
      <w:pPr>
        <w:pStyle w:val="Author-eListParagraph"/>
        <w:numPr>
          <w:ilvl w:val="0"/>
          <w:numId w:val="775"/>
        </w:numPr>
        <w:jc w:val="both"/>
      </w:pPr>
      <w:r>
        <w:t>toute sujétion relative aux travaux décrits.</w:t>
      </w:r>
    </w:p>
    <w:p w14:paraId="46F44DBA" w14:textId="77777777" w:rsidR="00DF410E" w:rsidRDefault="00CE7F43">
      <w:pPr>
        <w:pStyle w:val="pheading"/>
      </w:pPr>
      <w:r>
        <w:t>MATÉRIAUX</w:t>
      </w:r>
    </w:p>
    <w:p w14:paraId="2556A3E0" w14:textId="77777777" w:rsidR="00DF410E" w:rsidRDefault="00CE7F43">
      <w:pPr>
        <w:pStyle w:val="heading"/>
        <w:jc w:val="both"/>
      </w:pPr>
      <w:r>
        <w:rPr>
          <w:rStyle w:val="headingChar"/>
        </w:rPr>
        <w:t>PRODUCTION DES ELEMENT</w:t>
      </w:r>
      <w:r>
        <w:t>S</w:t>
      </w:r>
    </w:p>
    <w:p w14:paraId="07D990E9" w14:textId="77777777" w:rsidR="00DF410E" w:rsidRDefault="00CE7F43">
      <w:pPr>
        <w:ind w:left="567"/>
      </w:pPr>
      <w:r>
        <w:rPr>
          <w:b/>
        </w:rPr>
        <w:t>PROVENANCE DES BOIS</w:t>
      </w:r>
    </w:p>
    <w:p w14:paraId="4098E787" w14:textId="77777777" w:rsidR="00DF410E" w:rsidRDefault="00CE7F43">
      <w:pPr>
        <w:jc w:val="both"/>
      </w:pPr>
      <w:r>
        <w:t xml:space="preserve">Conformément au chapitre </w:t>
      </w:r>
      <w:hyperlink r:id="rId246" w:history="1" w:docLocation="637">
        <w:r>
          <w:t>02.42.4 Bois provenant de forêts gérées durablement</w:t>
        </w:r>
      </w:hyperlink>
      <w:r>
        <w:t>, le bois utilisé dispose de documents prouvant qu’il provient de forêts gérées durablement.</w:t>
      </w:r>
    </w:p>
    <w:p w14:paraId="44F6F850" w14:textId="77777777" w:rsidR="00DF410E" w:rsidRDefault="00CE7F43">
      <w:pPr>
        <w:ind w:left="567"/>
        <w:jc w:val="both"/>
      </w:pPr>
      <w:r>
        <w:rPr>
          <w:b/>
        </w:rPr>
        <w:t xml:space="preserve">COLLES </w:t>
      </w:r>
    </w:p>
    <w:p w14:paraId="51A0FFD6" w14:textId="77777777" w:rsidR="00DF410E" w:rsidRDefault="00CE7F43">
      <w:pPr>
        <w:jc w:val="both"/>
      </w:pPr>
      <w:r>
        <w:t>Les colles utilisées pour la fabrication d’éléments de structure à base de bois respectent une des normes suivantes :</w:t>
      </w:r>
    </w:p>
    <w:p w14:paraId="2883885D" w14:textId="77777777" w:rsidR="00DF410E" w:rsidRDefault="00CE7F43">
      <w:pPr>
        <w:jc w:val="both"/>
      </w:pPr>
      <w:r>
        <w:t>Pour les usages structuraux :</w:t>
      </w:r>
    </w:p>
    <w:p w14:paraId="59132689" w14:textId="77777777" w:rsidR="00DF410E" w:rsidRDefault="00CE7F43">
      <w:pPr>
        <w:pStyle w:val="Author-eListParagraph"/>
        <w:numPr>
          <w:ilvl w:val="0"/>
          <w:numId w:val="776"/>
        </w:numPr>
      </w:pPr>
      <w:r>
        <w:t>la [NBN EN 301], concernant les adhésifs de nature phénolique et aminoplaste ;</w:t>
      </w:r>
    </w:p>
    <w:p w14:paraId="4EBA2BF0" w14:textId="77777777" w:rsidR="00DF410E" w:rsidRDefault="00CE7F43">
      <w:pPr>
        <w:pStyle w:val="Author-eListParagraph"/>
        <w:numPr>
          <w:ilvl w:val="0"/>
          <w:numId w:val="776"/>
        </w:numPr>
      </w:pPr>
      <w:r>
        <w:t>la [NBN EN 15425], concernant les adhésifs polyuréthane monocomposants ;</w:t>
      </w:r>
    </w:p>
    <w:p w14:paraId="57346BAE" w14:textId="77777777" w:rsidR="00DF410E" w:rsidRDefault="00CE7F43">
      <w:pPr>
        <w:pStyle w:val="Author-eListParagraph"/>
        <w:numPr>
          <w:ilvl w:val="0"/>
          <w:numId w:val="776"/>
        </w:numPr>
      </w:pPr>
      <w:r>
        <w:t>la [NBN EN 16254:2013+A1], concernant les adhésifs isocyanate polymérisé en émulsion (EPI) ;</w:t>
      </w:r>
    </w:p>
    <w:p w14:paraId="1113D5B8" w14:textId="77777777" w:rsidR="00DF410E" w:rsidRDefault="00CE7F43">
      <w:pPr>
        <w:pStyle w:val="Author-eListParagraph"/>
        <w:numPr>
          <w:ilvl w:val="0"/>
          <w:numId w:val="776"/>
        </w:numPr>
      </w:pPr>
      <w:r>
        <w:t>la [NBN EN 12436], concernant les adhésifs à base de caséine.</w:t>
      </w:r>
    </w:p>
    <w:p w14:paraId="40FAAFB6" w14:textId="77777777" w:rsidR="00DF410E" w:rsidRDefault="00CE7F43">
      <w:pPr>
        <w:jc w:val="both"/>
      </w:pPr>
      <w:r>
        <w:t>Pour les usages non structuraux :</w:t>
      </w:r>
    </w:p>
    <w:p w14:paraId="6C33B7F9" w14:textId="77777777" w:rsidR="00DF410E" w:rsidRDefault="00CE7F43">
      <w:pPr>
        <w:pStyle w:val="Author-eListParagraph"/>
        <w:numPr>
          <w:ilvl w:val="0"/>
          <w:numId w:val="777"/>
        </w:numPr>
      </w:pPr>
      <w:r>
        <w:t>la [NBN EN 204], concernant les colles thermoplastiques ;</w:t>
      </w:r>
    </w:p>
    <w:p w14:paraId="1725CA04" w14:textId="77777777" w:rsidR="00DF410E" w:rsidRDefault="00CE7F43">
      <w:pPr>
        <w:pStyle w:val="Author-eListParagraph"/>
        <w:numPr>
          <w:ilvl w:val="0"/>
          <w:numId w:val="777"/>
        </w:numPr>
      </w:pPr>
      <w:r>
        <w:t>la [NBN EN 12765], concernant les colles thermodurcissables.</w:t>
      </w:r>
    </w:p>
    <w:p w14:paraId="1FC3A6FD" w14:textId="77777777" w:rsidR="00DF410E" w:rsidRDefault="00CE7F43">
      <w:pPr>
        <w:jc w:val="both"/>
      </w:pPr>
      <w:r>
        <w:t>Le choix de la colle et de son type sont déterminés par la classe d’emploi.</w:t>
      </w:r>
    </w:p>
    <w:p w14:paraId="2FE9FFD8" w14:textId="77777777" w:rsidR="00DF410E" w:rsidRDefault="00CE7F43">
      <w:pPr>
        <w:ind w:left="567"/>
        <w:jc w:val="both"/>
      </w:pPr>
      <w:r>
        <w:rPr>
          <w:b/>
        </w:rPr>
        <w:t>EMISSION DE FORMALDEHYDE</w:t>
      </w:r>
    </w:p>
    <w:p w14:paraId="3F08C355" w14:textId="77777777" w:rsidR="00DF410E" w:rsidRDefault="00CE7F43">
      <w:pPr>
        <w:jc w:val="both"/>
      </w:pPr>
      <w:r>
        <w:t>Lorsqu’une colle entre dans la composition d’un produit à base de bois, une classe d’émission de formaldéhyde est attribuée à celui-ci. Si la colle ne contient pas de formaldéhyde, la classe d’émission E1 est automatiquement attribuée.</w:t>
      </w:r>
    </w:p>
    <w:p w14:paraId="4E3A60C1" w14:textId="77777777" w:rsidR="00DF410E" w:rsidRDefault="00CE7F43">
      <w:pPr>
        <w:jc w:val="both"/>
      </w:pPr>
      <w:r>
        <w:t>La classe d’émission est renseignée sur les documents accompagnant le marquage CE. Si le matériau n’est pas marqué CE, un essai suivant la [NBN EN ISO 12460-3] doit être réalisé par un laboratoire accrédité.</w:t>
      </w:r>
    </w:p>
    <w:p w14:paraId="309EB3E4" w14:textId="77777777" w:rsidR="00DF410E" w:rsidRDefault="00CE7F43">
      <w:pPr>
        <w:jc w:val="both"/>
      </w:pPr>
      <w:r>
        <w:t>L’[AR 2014-05-08] établissant les niveaux seuils pour les émissions dans l’environnement intérieur de produits de construction pour certains usages prévus et ses éventuelles modifications sont d’application.</w:t>
      </w:r>
    </w:p>
    <w:p w14:paraId="5367FB42" w14:textId="77777777" w:rsidR="00DF410E" w:rsidRDefault="00CE7F43">
      <w:pPr>
        <w:ind w:left="567"/>
        <w:jc w:val="both"/>
      </w:pPr>
      <w:r>
        <w:rPr>
          <w:b/>
        </w:rPr>
        <w:t>TOLERANCES SUR LES DIMENSIONS DES PRODUITS FINIS</w:t>
      </w:r>
    </w:p>
    <w:p w14:paraId="571EED1D" w14:textId="77777777" w:rsidR="00DF410E" w:rsidRDefault="00CE7F43">
      <w:pPr>
        <w:jc w:val="both"/>
      </w:pPr>
      <w:r>
        <w:t>Les dimensions sont toujours données pour une teneur en humidité du bois de référence. Lorsque la mesure des dimensions est effectuée à une teneur en humidité différente de la référence, des corrections sur les valeurs mesurées doivent être apportées. Ces valeurs de référence et les corrections à apporter sont précisées dans les normes produits.</w:t>
      </w:r>
    </w:p>
    <w:p w14:paraId="587B5F14" w14:textId="77777777" w:rsidR="00DF410E" w:rsidRDefault="00CE7F43">
      <w:pPr>
        <w:jc w:val="both"/>
      </w:pPr>
      <w:r>
        <w:t>A moins que des tolérances plus strictes ne soient précisées dans le cahier spécial des charges, tous les éléments structuraux en bois massif, aboutés ou non, satisfont à la classe de tolérance 2 de la [NBN EN 336] et à la [NBN EN 1313 série].</w:t>
      </w:r>
    </w:p>
    <w:p w14:paraId="0FFB718A" w14:textId="77777777" w:rsidR="00DF410E" w:rsidRDefault="00CE7F43">
      <w:pPr>
        <w:jc w:val="both"/>
      </w:pPr>
      <w:r>
        <w:t>Pour les produits en bois lamellés collés, les exigences précisées dans la [NBN EN 14080] sont d’application.</w:t>
      </w:r>
    </w:p>
    <w:p w14:paraId="3C3F647E" w14:textId="77777777" w:rsidR="00DF410E" w:rsidRDefault="00CE7F43">
      <w:pPr>
        <w:jc w:val="both"/>
      </w:pPr>
      <w:r>
        <w:t>Pour les produits en bois lamellés croisés, les exigences précisées dans la [NBN EN 16351] sont d’application.</w:t>
      </w:r>
    </w:p>
    <w:p w14:paraId="66FF19CD" w14:textId="77777777" w:rsidR="00DF410E" w:rsidRDefault="00CE7F43">
      <w:pPr>
        <w:jc w:val="both"/>
      </w:pPr>
      <w:r>
        <w:t>Pour le lamibois (LVL), les exigences précisées dans la [NBN EN 14374] sont d’application.</w:t>
      </w:r>
    </w:p>
    <w:p w14:paraId="638DBA1E" w14:textId="77777777" w:rsidR="00DF410E" w:rsidRDefault="00CE7F43">
      <w:pPr>
        <w:jc w:val="both"/>
      </w:pPr>
      <w:r>
        <w:t>Pour les panneaux contreplaqués, les exigences précisées dans la [NBN EN 315] sont d’application.</w:t>
      </w:r>
    </w:p>
    <w:p w14:paraId="4F29F946" w14:textId="77777777" w:rsidR="00DF410E" w:rsidRDefault="00CE7F43">
      <w:pPr>
        <w:jc w:val="both"/>
      </w:pPr>
      <w:r>
        <w:t>Pour les panneaux de particules, les exigences précisées dans la [NBN EN 312] sont d’application.</w:t>
      </w:r>
    </w:p>
    <w:p w14:paraId="184CCD3F" w14:textId="77777777" w:rsidR="00DF410E" w:rsidRDefault="00CE7F43">
      <w:pPr>
        <w:jc w:val="both"/>
      </w:pPr>
      <w:r>
        <w:t>Pour les panneaux de fibres, les exigences précisées dans la [NBN EN 622 série] sont d’application.</w:t>
      </w:r>
    </w:p>
    <w:p w14:paraId="556AA30E" w14:textId="77777777" w:rsidR="00DF410E" w:rsidRDefault="00CE7F43">
      <w:pPr>
        <w:jc w:val="both"/>
      </w:pPr>
      <w:r>
        <w:t>Pour les panneaux OSB, les exigences précisées dans la [NBN EN 300] sont d’application.</w:t>
      </w:r>
    </w:p>
    <w:p w14:paraId="76FE40A0" w14:textId="77777777" w:rsidR="00DF410E" w:rsidRDefault="00DF410E"/>
    <w:p w14:paraId="13023396" w14:textId="77777777" w:rsidR="00DF410E" w:rsidRDefault="00CE7F43">
      <w:pPr>
        <w:ind w:left="567"/>
        <w:jc w:val="both"/>
      </w:pPr>
      <w:r>
        <w:rPr>
          <w:b/>
        </w:rPr>
        <w:t>MARQUAGE QUALITE DES ELEMENTS</w:t>
      </w:r>
    </w:p>
    <w:p w14:paraId="5681C5E7" w14:textId="77777777" w:rsidR="00DF410E" w:rsidRDefault="00CE7F43">
      <w:pPr>
        <w:jc w:val="both"/>
      </w:pPr>
      <w:r>
        <w:t xml:space="preserve">Les critères d’acceptabilité d’un matériau sont décrits au chapitre </w:t>
      </w:r>
      <w:hyperlink r:id="rId247" w:history="1" w:docLocation="68">
        <w:r>
          <w:t>02.42.1 Critères d'acceptabilité</w:t>
        </w:r>
      </w:hyperlink>
      <w:r>
        <w:t xml:space="preserve"> du présent cahier des charges. Les modalités concernant les réceptions techniques sont décrites au sous-titre </w:t>
      </w:r>
      <w:hyperlink r:id="rId248" w:history="1" w:docLocation="24">
        <w:r>
          <w:t>A4.62 Modes de réceptions techniques</w:t>
        </w:r>
      </w:hyperlink>
      <w:r>
        <w:t>.</w:t>
      </w:r>
    </w:p>
    <w:p w14:paraId="4B92028A" w14:textId="77777777" w:rsidR="00DF410E" w:rsidRDefault="00CE7F43">
      <w:pPr>
        <w:jc w:val="both"/>
      </w:pPr>
      <w:r>
        <w:t>Le marquage CE d’un produit de construction est obligatoire si celui-ci entre dans le champ d’application d’une norme harmonisée.</w:t>
      </w:r>
    </w:p>
    <w:p w14:paraId="3B7836E2" w14:textId="77777777" w:rsidR="00DF410E" w:rsidRDefault="00CE7F43">
      <w:pPr>
        <w:jc w:val="both"/>
      </w:pPr>
      <w:r>
        <w:t>Si ce n’est pas le cas, un marquage peut être apposé sur base volontaire sur base d’un document d’évaluation européen (EAD).</w:t>
      </w:r>
    </w:p>
    <w:p w14:paraId="0DDE5246" w14:textId="77777777" w:rsidR="00DF410E" w:rsidRDefault="00CE7F43">
      <w:pPr>
        <w:jc w:val="both"/>
      </w:pPr>
      <w:r>
        <w:t xml:space="preserve">Si le produit n’a pas encore fait l’objet d’un marquage CE, et qu’il ne satisfait pas les critères du chapitre </w:t>
      </w:r>
      <w:hyperlink r:id="rId249" w:history="1" w:docLocation="68">
        <w:r>
          <w:t>02.42.1 Critères d'acceptabilité</w:t>
        </w:r>
      </w:hyperlink>
      <w:r>
        <w:t>, il est validé par le maître d’ouvrage sur base d’un résultat d’essai et/ou une note de calculs fourni par un organisme compétent.</w:t>
      </w:r>
    </w:p>
    <w:p w14:paraId="2506F690" w14:textId="77777777" w:rsidR="00DF410E" w:rsidRDefault="00DF410E"/>
    <w:p w14:paraId="172DAF75" w14:textId="77777777" w:rsidR="00DF410E" w:rsidRDefault="00CE7F43">
      <w:pPr>
        <w:jc w:val="both"/>
      </w:pPr>
      <w:r>
        <w:rPr>
          <w:rStyle w:val="headingChar"/>
        </w:rPr>
        <w:t>Comportement DES ELEMENTS</w:t>
      </w:r>
    </w:p>
    <w:p w14:paraId="4EB0D75F" w14:textId="77777777" w:rsidR="00DF410E" w:rsidRDefault="00CE7F43">
      <w:pPr>
        <w:ind w:left="567"/>
        <w:jc w:val="both"/>
      </w:pPr>
      <w:r>
        <w:rPr>
          <w:b/>
        </w:rPr>
        <w:t>CLASSE D’EMPLOI</w:t>
      </w:r>
    </w:p>
    <w:p w14:paraId="7143365E" w14:textId="77777777" w:rsidR="00DF410E" w:rsidRDefault="00CE7F43">
      <w:pPr>
        <w:jc w:val="both"/>
      </w:pPr>
      <w:r>
        <w:t xml:space="preserve">Pour chaque élément de structure en bois ou en matériau à base de bois, une classe d’emploi est déterminée. </w:t>
      </w:r>
    </w:p>
    <w:p w14:paraId="3A89B2B4" w14:textId="77777777" w:rsidR="00DF410E" w:rsidRDefault="00CE7F43">
      <w:pPr>
        <w:jc w:val="both"/>
      </w:pPr>
      <w:r>
        <w:t>Les classes d’emploi sont fonction du risque de dégradation auquel l’élément est soumis. La classe d’emploi d’un élément est déterminée suivant la [NBN EN 335].</w:t>
      </w:r>
    </w:p>
    <w:p w14:paraId="4F997549" w14:textId="77777777" w:rsidR="00DF410E" w:rsidRDefault="00CE7F43">
      <w:pPr>
        <w:jc w:val="both"/>
      </w:pPr>
      <w:r>
        <w:t>Le tableau ci-dessous résume les différentes classes d’emploi et les risques qui leur sont associés.</w:t>
      </w:r>
    </w:p>
    <w:tbl>
      <w:tblPr>
        <w:tblStyle w:val="Author-eTableGrid"/>
        <w:tblW w:w="9060" w:type="dxa"/>
        <w:tblLayout w:type="fixed"/>
        <w:tblLook w:val="04A0" w:firstRow="1" w:lastRow="0" w:firstColumn="1" w:lastColumn="0" w:noHBand="0" w:noVBand="1"/>
      </w:tblPr>
      <w:tblGrid>
        <w:gridCol w:w="816"/>
        <w:gridCol w:w="816"/>
        <w:gridCol w:w="1706"/>
        <w:gridCol w:w="1706"/>
        <w:gridCol w:w="815"/>
        <w:gridCol w:w="815"/>
        <w:gridCol w:w="1193"/>
        <w:gridCol w:w="1193"/>
      </w:tblGrid>
      <w:tr w:rsidR="00DF410E" w14:paraId="501EFFA9" w14:textId="77777777">
        <w:tc>
          <w:tcPr>
            <w:tcW w:w="1620" w:type="dxa"/>
            <w:gridSpan w:val="2"/>
            <w:vMerge w:val="restart"/>
            <w:noWrap/>
          </w:tcPr>
          <w:p w14:paraId="4D355FD0" w14:textId="77777777" w:rsidR="00DF410E" w:rsidRDefault="00DF410E"/>
          <w:p w14:paraId="13A996CA" w14:textId="77777777" w:rsidR="00DF410E" w:rsidRDefault="00DF410E"/>
          <w:p w14:paraId="6C0A9042" w14:textId="77777777" w:rsidR="00DF410E" w:rsidRDefault="00CE7F43">
            <w:pPr>
              <w:jc w:val="center"/>
            </w:pPr>
            <w:r>
              <w:rPr>
                <w:b/>
              </w:rPr>
              <w:t>Classe d'emploi</w:t>
            </w:r>
          </w:p>
          <w:p w14:paraId="6C4D1BC0" w14:textId="77777777" w:rsidR="00DF410E" w:rsidRDefault="00CE7F43">
            <w:r>
              <w:br/>
            </w:r>
          </w:p>
          <w:p w14:paraId="652E849E" w14:textId="77777777" w:rsidR="00DF410E" w:rsidRDefault="00DF410E"/>
        </w:tc>
        <w:tc>
          <w:tcPr>
            <w:tcW w:w="1695" w:type="dxa"/>
            <w:vMerge w:val="restart"/>
            <w:noWrap/>
            <w:vAlign w:val="center"/>
          </w:tcPr>
          <w:p w14:paraId="44A28295" w14:textId="77777777" w:rsidR="00DF410E" w:rsidRDefault="00CE7F43">
            <w:pPr>
              <w:jc w:val="center"/>
            </w:pPr>
            <w:r>
              <w:rPr>
                <w:b/>
              </w:rPr>
              <w:t>Conditions</w:t>
            </w:r>
          </w:p>
        </w:tc>
        <w:tc>
          <w:tcPr>
            <w:tcW w:w="1695" w:type="dxa"/>
            <w:vMerge w:val="restart"/>
            <w:noWrap/>
            <w:vAlign w:val="center"/>
          </w:tcPr>
          <w:p w14:paraId="29785829" w14:textId="77777777" w:rsidR="00DF410E" w:rsidRDefault="00CE7F43">
            <w:pPr>
              <w:jc w:val="center"/>
            </w:pPr>
            <w:r>
              <w:rPr>
                <w:b/>
              </w:rPr>
              <w:t>Exemple</w:t>
            </w:r>
          </w:p>
        </w:tc>
        <w:tc>
          <w:tcPr>
            <w:tcW w:w="3990" w:type="dxa"/>
            <w:gridSpan w:val="4"/>
            <w:noWrap/>
            <w:vAlign w:val="center"/>
          </w:tcPr>
          <w:p w14:paraId="08DAE20F" w14:textId="77777777" w:rsidR="00DF410E" w:rsidRDefault="00CE7F43">
            <w:pPr>
              <w:jc w:val="center"/>
            </w:pPr>
            <w:r>
              <w:rPr>
                <w:b/>
              </w:rPr>
              <w:t>Risques</w:t>
            </w:r>
          </w:p>
        </w:tc>
      </w:tr>
      <w:tr w:rsidR="00DF410E" w14:paraId="0722D076" w14:textId="77777777">
        <w:tc>
          <w:tcPr>
            <w:tcW w:w="1620" w:type="dxa"/>
            <w:gridSpan w:val="2"/>
            <w:vMerge/>
            <w:noWrap/>
          </w:tcPr>
          <w:p w14:paraId="5042E8A9" w14:textId="77777777" w:rsidR="00DF410E" w:rsidRDefault="00DF410E"/>
        </w:tc>
        <w:tc>
          <w:tcPr>
            <w:tcW w:w="1695" w:type="dxa"/>
            <w:vMerge/>
            <w:noWrap/>
          </w:tcPr>
          <w:p w14:paraId="31E4754F" w14:textId="77777777" w:rsidR="00DF410E" w:rsidRDefault="00DF410E"/>
        </w:tc>
        <w:tc>
          <w:tcPr>
            <w:tcW w:w="1695" w:type="dxa"/>
            <w:vMerge/>
            <w:noWrap/>
          </w:tcPr>
          <w:p w14:paraId="24753057" w14:textId="77777777" w:rsidR="00DF410E" w:rsidRDefault="00DF410E"/>
        </w:tc>
        <w:tc>
          <w:tcPr>
            <w:tcW w:w="810" w:type="dxa"/>
            <w:vMerge w:val="restart"/>
            <w:noWrap/>
            <w:vAlign w:val="center"/>
          </w:tcPr>
          <w:p w14:paraId="3ECC4EE0" w14:textId="77777777" w:rsidR="00DF410E" w:rsidRDefault="00CE7F43">
            <w:r>
              <w:rPr>
                <w:b/>
              </w:rPr>
              <w:t>Champignons</w:t>
            </w:r>
          </w:p>
        </w:tc>
        <w:tc>
          <w:tcPr>
            <w:tcW w:w="1995" w:type="dxa"/>
            <w:gridSpan w:val="2"/>
            <w:noWrap/>
            <w:vAlign w:val="center"/>
          </w:tcPr>
          <w:p w14:paraId="3EFAB5FA" w14:textId="77777777" w:rsidR="00DF410E" w:rsidRDefault="00CE7F43">
            <w:r>
              <w:rPr>
                <w:b/>
              </w:rPr>
              <w:t>Insectes</w:t>
            </w:r>
          </w:p>
        </w:tc>
        <w:tc>
          <w:tcPr>
            <w:tcW w:w="1185" w:type="dxa"/>
            <w:vMerge w:val="restart"/>
            <w:noWrap/>
            <w:vAlign w:val="center"/>
          </w:tcPr>
          <w:p w14:paraId="3324000D" w14:textId="77777777" w:rsidR="00DF410E" w:rsidRDefault="00CE7F43">
            <w:r>
              <w:rPr>
                <w:b/>
              </w:rPr>
              <w:t>Térébrants marins</w:t>
            </w:r>
          </w:p>
        </w:tc>
      </w:tr>
      <w:tr w:rsidR="00DF410E" w14:paraId="48759879" w14:textId="77777777">
        <w:tc>
          <w:tcPr>
            <w:tcW w:w="1620" w:type="dxa"/>
            <w:gridSpan w:val="2"/>
            <w:vMerge/>
            <w:noWrap/>
          </w:tcPr>
          <w:p w14:paraId="5DA3FB42" w14:textId="77777777" w:rsidR="00DF410E" w:rsidRDefault="00DF410E"/>
        </w:tc>
        <w:tc>
          <w:tcPr>
            <w:tcW w:w="1695" w:type="dxa"/>
            <w:vMerge/>
            <w:noWrap/>
          </w:tcPr>
          <w:p w14:paraId="76EAFC3F" w14:textId="77777777" w:rsidR="00DF410E" w:rsidRDefault="00DF410E"/>
        </w:tc>
        <w:tc>
          <w:tcPr>
            <w:tcW w:w="1695" w:type="dxa"/>
            <w:vMerge/>
            <w:noWrap/>
          </w:tcPr>
          <w:p w14:paraId="2FDC04F5" w14:textId="77777777" w:rsidR="00DF410E" w:rsidRDefault="00DF410E"/>
        </w:tc>
        <w:tc>
          <w:tcPr>
            <w:tcW w:w="810" w:type="dxa"/>
            <w:vMerge/>
            <w:noWrap/>
          </w:tcPr>
          <w:p w14:paraId="26B6FF73" w14:textId="77777777" w:rsidR="00DF410E" w:rsidRDefault="00DF410E"/>
        </w:tc>
        <w:tc>
          <w:tcPr>
            <w:tcW w:w="810" w:type="dxa"/>
            <w:noWrap/>
            <w:vAlign w:val="center"/>
          </w:tcPr>
          <w:p w14:paraId="5572AD73" w14:textId="77777777" w:rsidR="00DF410E" w:rsidRDefault="00CE7F43">
            <w:r>
              <w:rPr>
                <w:b/>
              </w:rPr>
              <w:t>à larves xylophages</w:t>
            </w:r>
          </w:p>
        </w:tc>
        <w:tc>
          <w:tcPr>
            <w:tcW w:w="1185" w:type="dxa"/>
            <w:noWrap/>
            <w:vAlign w:val="center"/>
          </w:tcPr>
          <w:p w14:paraId="2B750A57" w14:textId="77777777" w:rsidR="00DF410E" w:rsidRDefault="00CE7F43">
            <w:r>
              <w:rPr>
                <w:b/>
              </w:rPr>
              <w:t>Termites</w:t>
            </w:r>
          </w:p>
        </w:tc>
        <w:tc>
          <w:tcPr>
            <w:tcW w:w="1185" w:type="dxa"/>
            <w:vMerge/>
            <w:noWrap/>
          </w:tcPr>
          <w:p w14:paraId="441A8538" w14:textId="77777777" w:rsidR="00DF410E" w:rsidRDefault="00DF410E"/>
        </w:tc>
      </w:tr>
      <w:tr w:rsidR="00DF410E" w14:paraId="761FC7E9" w14:textId="77777777">
        <w:tc>
          <w:tcPr>
            <w:tcW w:w="1620" w:type="dxa"/>
            <w:gridSpan w:val="2"/>
            <w:noWrap/>
            <w:vAlign w:val="center"/>
          </w:tcPr>
          <w:p w14:paraId="62673FB5" w14:textId="77777777" w:rsidR="00DF410E" w:rsidRDefault="00CE7F43">
            <w:r>
              <w:rPr>
                <w:b/>
              </w:rPr>
              <w:t>Classe 1</w:t>
            </w:r>
          </w:p>
        </w:tc>
        <w:tc>
          <w:tcPr>
            <w:tcW w:w="1695" w:type="dxa"/>
            <w:noWrap/>
            <w:vAlign w:val="center"/>
          </w:tcPr>
          <w:p w14:paraId="2E03F638" w14:textId="77777777" w:rsidR="00DF410E" w:rsidRDefault="00CE7F43">
            <w:r>
              <w:t>Bois situé à l'intérieur, pas d'humidification possible</w:t>
            </w:r>
          </w:p>
        </w:tc>
        <w:tc>
          <w:tcPr>
            <w:tcW w:w="1695" w:type="dxa"/>
            <w:noWrap/>
            <w:vAlign w:val="center"/>
          </w:tcPr>
          <w:p w14:paraId="690998A9" w14:textId="77777777" w:rsidR="00DF410E" w:rsidRDefault="00CE7F43">
            <w:r>
              <w:t>Charpente apparente, plancher, escalier intérieur</w:t>
            </w:r>
          </w:p>
        </w:tc>
        <w:tc>
          <w:tcPr>
            <w:tcW w:w="810" w:type="dxa"/>
            <w:noWrap/>
            <w:vAlign w:val="center"/>
          </w:tcPr>
          <w:p w14:paraId="30326ED3" w14:textId="77777777" w:rsidR="00DF410E" w:rsidRDefault="00CE7F43">
            <w:pPr>
              <w:jc w:val="center"/>
            </w:pPr>
            <w:r>
              <w:t>Non</w:t>
            </w:r>
          </w:p>
        </w:tc>
        <w:tc>
          <w:tcPr>
            <w:tcW w:w="810" w:type="dxa"/>
            <w:noWrap/>
            <w:vAlign w:val="center"/>
          </w:tcPr>
          <w:p w14:paraId="19D26FEB" w14:textId="77777777" w:rsidR="00DF410E" w:rsidRDefault="00CE7F43">
            <w:pPr>
              <w:jc w:val="center"/>
            </w:pPr>
            <w:r>
              <w:t>Oui</w:t>
            </w:r>
          </w:p>
        </w:tc>
        <w:tc>
          <w:tcPr>
            <w:tcW w:w="1185" w:type="dxa"/>
            <w:noWrap/>
            <w:vAlign w:val="center"/>
          </w:tcPr>
          <w:p w14:paraId="391C46FD" w14:textId="77777777" w:rsidR="00DF410E" w:rsidRDefault="00CE7F43">
            <w:r>
              <w:t>Localement</w:t>
            </w:r>
          </w:p>
        </w:tc>
        <w:tc>
          <w:tcPr>
            <w:tcW w:w="1185" w:type="dxa"/>
            <w:noWrap/>
            <w:vAlign w:val="center"/>
          </w:tcPr>
          <w:p w14:paraId="0CDC2FBB" w14:textId="77777777" w:rsidR="00DF410E" w:rsidRDefault="00CE7F43">
            <w:pPr>
              <w:jc w:val="center"/>
            </w:pPr>
            <w:r>
              <w:t>Non</w:t>
            </w:r>
          </w:p>
        </w:tc>
      </w:tr>
      <w:tr w:rsidR="00DF410E" w14:paraId="14678EE7" w14:textId="77777777">
        <w:tc>
          <w:tcPr>
            <w:tcW w:w="1620" w:type="dxa"/>
            <w:gridSpan w:val="2"/>
            <w:noWrap/>
            <w:vAlign w:val="center"/>
          </w:tcPr>
          <w:p w14:paraId="3C453194" w14:textId="77777777" w:rsidR="00DF410E" w:rsidRDefault="00CE7F43">
            <w:r>
              <w:rPr>
                <w:b/>
              </w:rPr>
              <w:t>Classe 2</w:t>
            </w:r>
          </w:p>
        </w:tc>
        <w:tc>
          <w:tcPr>
            <w:tcW w:w="1695" w:type="dxa"/>
            <w:noWrap/>
            <w:vAlign w:val="center"/>
          </w:tcPr>
          <w:p w14:paraId="458BBF06" w14:textId="77777777" w:rsidR="00DF410E" w:rsidRDefault="00CE7F43">
            <w:r>
              <w:t>Bois abrité des intempéries. Des humidifications sont possibles</w:t>
            </w:r>
          </w:p>
        </w:tc>
        <w:tc>
          <w:tcPr>
            <w:tcW w:w="1695" w:type="dxa"/>
            <w:noWrap/>
            <w:vAlign w:val="center"/>
          </w:tcPr>
          <w:p w14:paraId="1D2C353B" w14:textId="77777777" w:rsidR="00DF410E" w:rsidRDefault="00CE7F43">
            <w:r>
              <w:t>Charpente non-apparente</w:t>
            </w:r>
          </w:p>
        </w:tc>
        <w:tc>
          <w:tcPr>
            <w:tcW w:w="810" w:type="dxa"/>
            <w:noWrap/>
            <w:vAlign w:val="center"/>
          </w:tcPr>
          <w:p w14:paraId="4402C910" w14:textId="77777777" w:rsidR="00DF410E" w:rsidRDefault="00CE7F43">
            <w:pPr>
              <w:jc w:val="center"/>
            </w:pPr>
            <w:r>
              <w:t>Oui</w:t>
            </w:r>
          </w:p>
        </w:tc>
        <w:tc>
          <w:tcPr>
            <w:tcW w:w="810" w:type="dxa"/>
            <w:noWrap/>
            <w:vAlign w:val="center"/>
          </w:tcPr>
          <w:p w14:paraId="39E8403B" w14:textId="77777777" w:rsidR="00DF410E" w:rsidRDefault="00CE7F43">
            <w:pPr>
              <w:jc w:val="center"/>
            </w:pPr>
            <w:r>
              <w:t>Oui</w:t>
            </w:r>
          </w:p>
        </w:tc>
        <w:tc>
          <w:tcPr>
            <w:tcW w:w="1185" w:type="dxa"/>
            <w:noWrap/>
            <w:vAlign w:val="center"/>
          </w:tcPr>
          <w:p w14:paraId="1DF4F3F9" w14:textId="77777777" w:rsidR="00DF410E" w:rsidRDefault="00CE7F43">
            <w:r>
              <w:t>Localement</w:t>
            </w:r>
          </w:p>
        </w:tc>
        <w:tc>
          <w:tcPr>
            <w:tcW w:w="1185" w:type="dxa"/>
            <w:noWrap/>
            <w:vAlign w:val="center"/>
          </w:tcPr>
          <w:p w14:paraId="59405772" w14:textId="77777777" w:rsidR="00DF410E" w:rsidRDefault="00CE7F43">
            <w:pPr>
              <w:jc w:val="center"/>
            </w:pPr>
            <w:r>
              <w:t>Non</w:t>
            </w:r>
          </w:p>
        </w:tc>
      </w:tr>
      <w:tr w:rsidR="00DF410E" w14:paraId="7FF75111" w14:textId="77777777">
        <w:tc>
          <w:tcPr>
            <w:tcW w:w="810" w:type="dxa"/>
            <w:vMerge w:val="restart"/>
            <w:noWrap/>
            <w:vAlign w:val="center"/>
          </w:tcPr>
          <w:p w14:paraId="63E1E944" w14:textId="77777777" w:rsidR="00DF410E" w:rsidRDefault="00CE7F43">
            <w:r>
              <w:rPr>
                <w:b/>
              </w:rPr>
              <w:t>Classe 3</w:t>
            </w:r>
          </w:p>
        </w:tc>
        <w:tc>
          <w:tcPr>
            <w:tcW w:w="810" w:type="dxa"/>
            <w:noWrap/>
            <w:vAlign w:val="center"/>
          </w:tcPr>
          <w:p w14:paraId="6CBEBC21" w14:textId="77777777" w:rsidR="00DF410E" w:rsidRDefault="00CE7F43">
            <w:r>
              <w:rPr>
                <w:b/>
              </w:rPr>
              <w:t>Classe 3-1</w:t>
            </w:r>
          </w:p>
        </w:tc>
        <w:tc>
          <w:tcPr>
            <w:tcW w:w="1695" w:type="dxa"/>
            <w:noWrap/>
            <w:vAlign w:val="center"/>
          </w:tcPr>
          <w:p w14:paraId="6C442370" w14:textId="77777777" w:rsidR="00DF410E" w:rsidRDefault="00CE7F43">
            <w:r>
              <w:t>Bois soumis aux intempéries. Pas d'accumulation d'eau.</w:t>
            </w:r>
          </w:p>
        </w:tc>
        <w:tc>
          <w:tcPr>
            <w:tcW w:w="1695" w:type="dxa"/>
            <w:noWrap/>
            <w:vAlign w:val="center"/>
          </w:tcPr>
          <w:p w14:paraId="0D107DCC" w14:textId="77777777" w:rsidR="00DF410E" w:rsidRDefault="00CE7F43">
            <w:r>
              <w:t>Bardage, poteau extérieur sans contact avec le sol</w:t>
            </w:r>
          </w:p>
        </w:tc>
        <w:tc>
          <w:tcPr>
            <w:tcW w:w="810" w:type="dxa"/>
            <w:noWrap/>
            <w:vAlign w:val="center"/>
          </w:tcPr>
          <w:p w14:paraId="4CB6A332" w14:textId="77777777" w:rsidR="00DF410E" w:rsidRDefault="00CE7F43">
            <w:pPr>
              <w:jc w:val="center"/>
            </w:pPr>
            <w:r>
              <w:t>Oui</w:t>
            </w:r>
          </w:p>
        </w:tc>
        <w:tc>
          <w:tcPr>
            <w:tcW w:w="810" w:type="dxa"/>
            <w:noWrap/>
            <w:vAlign w:val="center"/>
          </w:tcPr>
          <w:p w14:paraId="159F95D3" w14:textId="77777777" w:rsidR="00DF410E" w:rsidRDefault="00CE7F43">
            <w:pPr>
              <w:jc w:val="center"/>
            </w:pPr>
            <w:r>
              <w:t>Oui</w:t>
            </w:r>
          </w:p>
        </w:tc>
        <w:tc>
          <w:tcPr>
            <w:tcW w:w="1185" w:type="dxa"/>
            <w:noWrap/>
            <w:vAlign w:val="center"/>
          </w:tcPr>
          <w:p w14:paraId="26437F45" w14:textId="77777777" w:rsidR="00DF410E" w:rsidRDefault="00CE7F43">
            <w:r>
              <w:t>Localement</w:t>
            </w:r>
          </w:p>
        </w:tc>
        <w:tc>
          <w:tcPr>
            <w:tcW w:w="1185" w:type="dxa"/>
            <w:noWrap/>
            <w:vAlign w:val="center"/>
          </w:tcPr>
          <w:p w14:paraId="067635B7" w14:textId="77777777" w:rsidR="00DF410E" w:rsidRDefault="00CE7F43">
            <w:pPr>
              <w:jc w:val="center"/>
            </w:pPr>
            <w:r>
              <w:t>Non</w:t>
            </w:r>
          </w:p>
        </w:tc>
      </w:tr>
      <w:tr w:rsidR="00DF410E" w14:paraId="5EDB295D" w14:textId="77777777">
        <w:tc>
          <w:tcPr>
            <w:tcW w:w="810" w:type="dxa"/>
            <w:vMerge/>
            <w:noWrap/>
          </w:tcPr>
          <w:p w14:paraId="4DEE0418" w14:textId="77777777" w:rsidR="00DF410E" w:rsidRDefault="00DF410E"/>
        </w:tc>
        <w:tc>
          <w:tcPr>
            <w:tcW w:w="810" w:type="dxa"/>
            <w:noWrap/>
            <w:vAlign w:val="center"/>
          </w:tcPr>
          <w:p w14:paraId="3F1FDD91" w14:textId="77777777" w:rsidR="00DF410E" w:rsidRDefault="00CE7F43">
            <w:r>
              <w:rPr>
                <w:b/>
              </w:rPr>
              <w:t>Classe 3-2</w:t>
            </w:r>
          </w:p>
        </w:tc>
        <w:tc>
          <w:tcPr>
            <w:tcW w:w="1695" w:type="dxa"/>
            <w:noWrap/>
            <w:vAlign w:val="center"/>
          </w:tcPr>
          <w:p w14:paraId="4483DD24" w14:textId="77777777" w:rsidR="00DF410E" w:rsidRDefault="00CE7F43">
            <w:r>
              <w:t>Bois soumis aux intempéries. Accumulation d'eau possible.</w:t>
            </w:r>
          </w:p>
        </w:tc>
        <w:tc>
          <w:tcPr>
            <w:tcW w:w="1695" w:type="dxa"/>
            <w:noWrap/>
            <w:vAlign w:val="center"/>
          </w:tcPr>
          <w:p w14:paraId="11C78346" w14:textId="77777777" w:rsidR="00DF410E" w:rsidRDefault="00CE7F43">
            <w:r>
              <w:t>Lame de terrasse, poutre extérieure</w:t>
            </w:r>
          </w:p>
        </w:tc>
        <w:tc>
          <w:tcPr>
            <w:tcW w:w="810" w:type="dxa"/>
            <w:noWrap/>
            <w:vAlign w:val="center"/>
          </w:tcPr>
          <w:p w14:paraId="2E03DC10" w14:textId="77777777" w:rsidR="00DF410E" w:rsidRDefault="00CE7F43">
            <w:pPr>
              <w:jc w:val="center"/>
            </w:pPr>
            <w:r>
              <w:t>Oui</w:t>
            </w:r>
          </w:p>
        </w:tc>
        <w:tc>
          <w:tcPr>
            <w:tcW w:w="810" w:type="dxa"/>
            <w:noWrap/>
            <w:vAlign w:val="center"/>
          </w:tcPr>
          <w:p w14:paraId="651E1E2A" w14:textId="77777777" w:rsidR="00DF410E" w:rsidRDefault="00CE7F43">
            <w:pPr>
              <w:jc w:val="center"/>
            </w:pPr>
            <w:r>
              <w:t>Oui</w:t>
            </w:r>
          </w:p>
        </w:tc>
        <w:tc>
          <w:tcPr>
            <w:tcW w:w="1185" w:type="dxa"/>
            <w:noWrap/>
            <w:vAlign w:val="center"/>
          </w:tcPr>
          <w:p w14:paraId="4F780E9E" w14:textId="77777777" w:rsidR="00DF410E" w:rsidRDefault="00CE7F43">
            <w:pPr>
              <w:jc w:val="center"/>
            </w:pPr>
            <w:r>
              <w:t>Localement</w:t>
            </w:r>
          </w:p>
        </w:tc>
        <w:tc>
          <w:tcPr>
            <w:tcW w:w="1185" w:type="dxa"/>
            <w:noWrap/>
            <w:vAlign w:val="center"/>
          </w:tcPr>
          <w:p w14:paraId="4BD5A9AD" w14:textId="77777777" w:rsidR="00DF410E" w:rsidRDefault="00CE7F43">
            <w:pPr>
              <w:jc w:val="center"/>
            </w:pPr>
            <w:r>
              <w:t>Non</w:t>
            </w:r>
          </w:p>
        </w:tc>
      </w:tr>
      <w:tr w:rsidR="00DF410E" w14:paraId="0FADEA62" w14:textId="77777777">
        <w:tc>
          <w:tcPr>
            <w:tcW w:w="1620" w:type="dxa"/>
            <w:gridSpan w:val="2"/>
            <w:noWrap/>
            <w:vAlign w:val="center"/>
          </w:tcPr>
          <w:p w14:paraId="18CEB49F" w14:textId="77777777" w:rsidR="00DF410E" w:rsidRDefault="00CE7F43">
            <w:r>
              <w:rPr>
                <w:b/>
              </w:rPr>
              <w:t>Classe 4</w:t>
            </w:r>
          </w:p>
        </w:tc>
        <w:tc>
          <w:tcPr>
            <w:tcW w:w="1695" w:type="dxa"/>
            <w:noWrap/>
            <w:vAlign w:val="center"/>
          </w:tcPr>
          <w:p w14:paraId="4CF3F773" w14:textId="77777777" w:rsidR="00DF410E" w:rsidRDefault="00CE7F43">
            <w:r>
              <w:t>bois en contact direct avec le sol et/ou avec de l'eau douce</w:t>
            </w:r>
          </w:p>
        </w:tc>
        <w:tc>
          <w:tcPr>
            <w:tcW w:w="1695" w:type="dxa"/>
            <w:noWrap/>
            <w:vAlign w:val="center"/>
          </w:tcPr>
          <w:p w14:paraId="4668DFC0" w14:textId="77777777" w:rsidR="00DF410E" w:rsidRDefault="00CE7F43">
            <w:r>
              <w:t>Poteau en contact avec le sol</w:t>
            </w:r>
          </w:p>
        </w:tc>
        <w:tc>
          <w:tcPr>
            <w:tcW w:w="810" w:type="dxa"/>
            <w:noWrap/>
            <w:vAlign w:val="center"/>
          </w:tcPr>
          <w:p w14:paraId="405CB4F2" w14:textId="77777777" w:rsidR="00DF410E" w:rsidRDefault="00CE7F43">
            <w:pPr>
              <w:jc w:val="center"/>
            </w:pPr>
            <w:r>
              <w:t>Oui</w:t>
            </w:r>
          </w:p>
        </w:tc>
        <w:tc>
          <w:tcPr>
            <w:tcW w:w="810" w:type="dxa"/>
            <w:noWrap/>
            <w:vAlign w:val="center"/>
          </w:tcPr>
          <w:p w14:paraId="3F968CD8" w14:textId="77777777" w:rsidR="00DF410E" w:rsidRDefault="00CE7F43">
            <w:pPr>
              <w:jc w:val="center"/>
            </w:pPr>
            <w:r>
              <w:t>Oui</w:t>
            </w:r>
          </w:p>
        </w:tc>
        <w:tc>
          <w:tcPr>
            <w:tcW w:w="1185" w:type="dxa"/>
            <w:noWrap/>
            <w:vAlign w:val="center"/>
          </w:tcPr>
          <w:p w14:paraId="0DA607A6" w14:textId="77777777" w:rsidR="00DF410E" w:rsidRDefault="00CE7F43">
            <w:r>
              <w:t>Localement</w:t>
            </w:r>
          </w:p>
        </w:tc>
        <w:tc>
          <w:tcPr>
            <w:tcW w:w="1185" w:type="dxa"/>
            <w:noWrap/>
            <w:vAlign w:val="center"/>
          </w:tcPr>
          <w:p w14:paraId="3580223A" w14:textId="77777777" w:rsidR="00DF410E" w:rsidRDefault="00CE7F43">
            <w:pPr>
              <w:jc w:val="center"/>
            </w:pPr>
            <w:r>
              <w:t>Non</w:t>
            </w:r>
          </w:p>
        </w:tc>
      </w:tr>
      <w:tr w:rsidR="00DF410E" w14:paraId="421099F1" w14:textId="77777777">
        <w:tc>
          <w:tcPr>
            <w:tcW w:w="1620" w:type="dxa"/>
            <w:gridSpan w:val="2"/>
            <w:noWrap/>
            <w:vAlign w:val="center"/>
          </w:tcPr>
          <w:p w14:paraId="1E0566E1" w14:textId="77777777" w:rsidR="00DF410E" w:rsidRDefault="00CE7F43">
            <w:r>
              <w:rPr>
                <w:b/>
              </w:rPr>
              <w:t>Classe 5</w:t>
            </w:r>
          </w:p>
        </w:tc>
        <w:tc>
          <w:tcPr>
            <w:tcW w:w="1695" w:type="dxa"/>
            <w:noWrap/>
            <w:vAlign w:val="center"/>
          </w:tcPr>
          <w:p w14:paraId="50487ED5" w14:textId="77777777" w:rsidR="00DF410E" w:rsidRDefault="00CE7F43">
            <w:r>
              <w:t>Bois en contact direct avec de l'eau salée</w:t>
            </w:r>
          </w:p>
        </w:tc>
        <w:tc>
          <w:tcPr>
            <w:tcW w:w="1695" w:type="dxa"/>
            <w:noWrap/>
            <w:vAlign w:val="center"/>
          </w:tcPr>
          <w:p w14:paraId="08369AF5" w14:textId="77777777" w:rsidR="00DF410E" w:rsidRDefault="00CE7F43">
            <w:r>
              <w:t>Ponton Maritime</w:t>
            </w:r>
          </w:p>
        </w:tc>
        <w:tc>
          <w:tcPr>
            <w:tcW w:w="810" w:type="dxa"/>
            <w:noWrap/>
            <w:vAlign w:val="center"/>
          </w:tcPr>
          <w:p w14:paraId="31E359DC" w14:textId="77777777" w:rsidR="00DF410E" w:rsidRDefault="00CE7F43">
            <w:pPr>
              <w:jc w:val="center"/>
            </w:pPr>
            <w:r>
              <w:t>Oui</w:t>
            </w:r>
          </w:p>
        </w:tc>
        <w:tc>
          <w:tcPr>
            <w:tcW w:w="810" w:type="dxa"/>
            <w:noWrap/>
            <w:vAlign w:val="center"/>
          </w:tcPr>
          <w:p w14:paraId="79FB10E1" w14:textId="77777777" w:rsidR="00DF410E" w:rsidRDefault="00CE7F43">
            <w:pPr>
              <w:jc w:val="center"/>
            </w:pPr>
            <w:r>
              <w:t>Oui</w:t>
            </w:r>
          </w:p>
        </w:tc>
        <w:tc>
          <w:tcPr>
            <w:tcW w:w="1185" w:type="dxa"/>
            <w:noWrap/>
            <w:vAlign w:val="center"/>
          </w:tcPr>
          <w:p w14:paraId="2FC37E47" w14:textId="77777777" w:rsidR="00DF410E" w:rsidRDefault="00CE7F43">
            <w:r>
              <w:t>Localement</w:t>
            </w:r>
          </w:p>
        </w:tc>
        <w:tc>
          <w:tcPr>
            <w:tcW w:w="1185" w:type="dxa"/>
            <w:noWrap/>
            <w:vAlign w:val="center"/>
          </w:tcPr>
          <w:p w14:paraId="79D02B0D" w14:textId="77777777" w:rsidR="00DF410E" w:rsidRDefault="00CE7F43">
            <w:pPr>
              <w:jc w:val="center"/>
            </w:pPr>
            <w:r>
              <w:t>Oui</w:t>
            </w:r>
          </w:p>
        </w:tc>
      </w:tr>
    </w:tbl>
    <w:p w14:paraId="11EE9516" w14:textId="77777777" w:rsidR="00DF410E" w:rsidRDefault="00DF410E"/>
    <w:p w14:paraId="08DA1B00" w14:textId="77777777" w:rsidR="00DF410E" w:rsidRDefault="00CE7F43">
      <w:pPr>
        <w:jc w:val="both"/>
      </w:pPr>
      <w:r>
        <w:rPr>
          <w:noProof/>
        </w:rPr>
        <w:drawing>
          <wp:inline distT="0" distB="0" distL="0" distR="0" wp14:anchorId="05FBD8DA" wp14:editId="29BAD9E5">
            <wp:extent cx="5715000" cy="2733675"/>
            <wp:effectExtent l="0" t="0" r="0" b="0"/>
            <wp:docPr id="3" name="GT Bois classe d'emploi 18.png" descr="GT Bois classe d'emploi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113" descr=" "/>
                    <pic:cNvPicPr>
                      <a:picLocks noChangeAspect="1" noChangeArrowheads="1"/>
                    </pic:cNvPicPr>
                  </pic:nvPicPr>
                  <pic:blipFill>
                    <a:blip r:embed="rId250"/>
                    <a:srcRect/>
                    <a:stretch>
                      <a:fillRect/>
                    </a:stretch>
                  </pic:blipFill>
                  <pic:spPr bwMode="auto">
                    <a:xfrm>
                      <a:off x="0" y="0"/>
                      <a:ext cx="5715000" cy="2733675"/>
                    </a:xfrm>
                    <a:prstGeom prst="rect">
                      <a:avLst/>
                    </a:prstGeom>
                  </pic:spPr>
                </pic:pic>
              </a:graphicData>
            </a:graphic>
          </wp:inline>
        </w:drawing>
      </w:r>
    </w:p>
    <w:tbl>
      <w:tblPr>
        <w:tblStyle w:val="Author-eTableGrid"/>
        <w:tblW w:w="9060" w:type="dxa"/>
        <w:tblLayout w:type="fixed"/>
        <w:tblLook w:val="04A0" w:firstRow="1" w:lastRow="0" w:firstColumn="1" w:lastColumn="0" w:noHBand="0" w:noVBand="1"/>
      </w:tblPr>
      <w:tblGrid>
        <w:gridCol w:w="7359"/>
        <w:gridCol w:w="1701"/>
      </w:tblGrid>
      <w:tr w:rsidR="00DF410E" w14:paraId="5DF2BF24" w14:textId="77777777">
        <w:tc>
          <w:tcPr>
            <w:tcW w:w="7335" w:type="dxa"/>
            <w:noWrap/>
          </w:tcPr>
          <w:p w14:paraId="324A96B5" w14:textId="77777777" w:rsidR="00DF410E" w:rsidRDefault="00CE7F43">
            <w:pPr>
              <w:jc w:val="center"/>
            </w:pPr>
            <w:r>
              <w:rPr>
                <w:b/>
              </w:rPr>
              <w:t>Elément de construction</w:t>
            </w:r>
          </w:p>
        </w:tc>
        <w:tc>
          <w:tcPr>
            <w:tcW w:w="1695" w:type="dxa"/>
            <w:noWrap/>
          </w:tcPr>
          <w:p w14:paraId="72847112" w14:textId="77777777" w:rsidR="00DF410E" w:rsidRDefault="00CE7F43">
            <w:pPr>
              <w:jc w:val="center"/>
            </w:pPr>
            <w:r>
              <w:rPr>
                <w:b/>
              </w:rPr>
              <w:t>Classe d'emploi</w:t>
            </w:r>
          </w:p>
        </w:tc>
      </w:tr>
      <w:tr w:rsidR="00DF410E" w14:paraId="17355295" w14:textId="77777777">
        <w:tc>
          <w:tcPr>
            <w:tcW w:w="7335" w:type="dxa"/>
            <w:noWrap/>
          </w:tcPr>
          <w:p w14:paraId="449BAECE" w14:textId="77777777" w:rsidR="00DF410E" w:rsidRDefault="00CE7F43">
            <w:r>
              <w:t>Charpente</w:t>
            </w:r>
          </w:p>
        </w:tc>
        <w:tc>
          <w:tcPr>
            <w:tcW w:w="1695" w:type="dxa"/>
            <w:noWrap/>
          </w:tcPr>
          <w:p w14:paraId="238DEFCD" w14:textId="77777777" w:rsidR="00DF410E" w:rsidRDefault="00CE7F43">
            <w:pPr>
              <w:jc w:val="center"/>
            </w:pPr>
            <w:r>
              <w:t>2</w:t>
            </w:r>
          </w:p>
        </w:tc>
      </w:tr>
      <w:tr w:rsidR="00DF410E" w14:paraId="09C8638D" w14:textId="77777777">
        <w:tc>
          <w:tcPr>
            <w:tcW w:w="7335" w:type="dxa"/>
            <w:noWrap/>
          </w:tcPr>
          <w:p w14:paraId="73ADE010" w14:textId="77777777" w:rsidR="00DF410E" w:rsidRDefault="00CE7F43">
            <w:r>
              <w:t>Semelle d'assise</w:t>
            </w:r>
          </w:p>
        </w:tc>
        <w:tc>
          <w:tcPr>
            <w:tcW w:w="1695" w:type="dxa"/>
            <w:noWrap/>
          </w:tcPr>
          <w:p w14:paraId="7079C005" w14:textId="77777777" w:rsidR="00DF410E" w:rsidRDefault="00CE7F43">
            <w:pPr>
              <w:jc w:val="center"/>
            </w:pPr>
            <w:r>
              <w:t>3</w:t>
            </w:r>
          </w:p>
        </w:tc>
      </w:tr>
      <w:tr w:rsidR="00DF410E" w14:paraId="743A0089" w14:textId="77777777">
        <w:tc>
          <w:tcPr>
            <w:tcW w:w="7335" w:type="dxa"/>
            <w:noWrap/>
          </w:tcPr>
          <w:p w14:paraId="679FC2B4" w14:textId="77777777" w:rsidR="00DF410E" w:rsidRDefault="00CE7F43">
            <w:r>
              <w:t>Montant et traverses de l'ossature</w:t>
            </w:r>
          </w:p>
        </w:tc>
        <w:tc>
          <w:tcPr>
            <w:tcW w:w="1695" w:type="dxa"/>
            <w:noWrap/>
          </w:tcPr>
          <w:p w14:paraId="76FD7337" w14:textId="77777777" w:rsidR="00DF410E" w:rsidRDefault="00CE7F43">
            <w:pPr>
              <w:jc w:val="center"/>
            </w:pPr>
            <w:r>
              <w:t>2</w:t>
            </w:r>
          </w:p>
        </w:tc>
      </w:tr>
      <w:tr w:rsidR="00DF410E" w14:paraId="0AE6EAC9" w14:textId="77777777">
        <w:tc>
          <w:tcPr>
            <w:tcW w:w="7335" w:type="dxa"/>
            <w:noWrap/>
          </w:tcPr>
          <w:p w14:paraId="703375D6" w14:textId="77777777" w:rsidR="00DF410E" w:rsidRDefault="00CE7F43">
            <w:r>
              <w:t>Solives pour plancher </w:t>
            </w:r>
          </w:p>
        </w:tc>
        <w:tc>
          <w:tcPr>
            <w:tcW w:w="1695" w:type="dxa"/>
            <w:noWrap/>
          </w:tcPr>
          <w:p w14:paraId="013C8C81" w14:textId="77777777" w:rsidR="00DF410E" w:rsidRDefault="00CE7F43">
            <w:pPr>
              <w:jc w:val="center"/>
            </w:pPr>
            <w:r>
              <w:t>1</w:t>
            </w:r>
          </w:p>
        </w:tc>
      </w:tr>
      <w:tr w:rsidR="00DF410E" w14:paraId="245602C3" w14:textId="77777777">
        <w:tc>
          <w:tcPr>
            <w:tcW w:w="7335" w:type="dxa"/>
            <w:noWrap/>
          </w:tcPr>
          <w:p w14:paraId="57C9E428" w14:textId="77777777" w:rsidR="00DF410E" w:rsidRDefault="00CE7F43">
            <w:r>
              <w:t>Dalle bois</w:t>
            </w:r>
          </w:p>
          <w:p w14:paraId="7742AE47" w14:textId="77777777" w:rsidR="00DF410E" w:rsidRDefault="00CE7F43">
            <w:r>
              <w:t>Les bois doivent avoir une durabilité naturelle ou conférée correspondant à une classe d'emploi 3 </w:t>
            </w:r>
          </w:p>
        </w:tc>
        <w:tc>
          <w:tcPr>
            <w:tcW w:w="1695" w:type="dxa"/>
            <w:noWrap/>
          </w:tcPr>
          <w:p w14:paraId="5424D6EC" w14:textId="77777777" w:rsidR="00DF410E" w:rsidRDefault="00CE7F43">
            <w:pPr>
              <w:jc w:val="center"/>
            </w:pPr>
            <w:r>
              <w:t>3</w:t>
            </w:r>
          </w:p>
        </w:tc>
      </w:tr>
      <w:tr w:rsidR="00DF410E" w14:paraId="44560328" w14:textId="77777777">
        <w:tc>
          <w:tcPr>
            <w:tcW w:w="7335" w:type="dxa"/>
            <w:noWrap/>
          </w:tcPr>
          <w:p w14:paraId="12B4C351" w14:textId="77777777" w:rsidR="00DF410E" w:rsidRDefault="00CE7F43">
            <w:r>
              <w:t>Bardage extérieur</w:t>
            </w:r>
          </w:p>
        </w:tc>
        <w:tc>
          <w:tcPr>
            <w:tcW w:w="1695" w:type="dxa"/>
            <w:noWrap/>
          </w:tcPr>
          <w:p w14:paraId="3BB5B10D" w14:textId="77777777" w:rsidR="00DF410E" w:rsidRDefault="00CE7F43">
            <w:pPr>
              <w:jc w:val="center"/>
            </w:pPr>
            <w:r>
              <w:t>3b</w:t>
            </w:r>
          </w:p>
        </w:tc>
      </w:tr>
      <w:tr w:rsidR="00DF410E" w14:paraId="67628EC9" w14:textId="77777777">
        <w:tc>
          <w:tcPr>
            <w:tcW w:w="7335" w:type="dxa"/>
            <w:noWrap/>
          </w:tcPr>
          <w:p w14:paraId="32C401A7" w14:textId="77777777" w:rsidR="00DF410E" w:rsidRDefault="00CE7F43">
            <w:r>
              <w:t>Lattage pour bardage</w:t>
            </w:r>
          </w:p>
        </w:tc>
        <w:tc>
          <w:tcPr>
            <w:tcW w:w="1695" w:type="dxa"/>
            <w:noWrap/>
          </w:tcPr>
          <w:p w14:paraId="248041A1" w14:textId="77777777" w:rsidR="00DF410E" w:rsidRDefault="00CE7F43">
            <w:pPr>
              <w:jc w:val="center"/>
            </w:pPr>
            <w:r>
              <w:t>3a</w:t>
            </w:r>
          </w:p>
        </w:tc>
      </w:tr>
      <w:tr w:rsidR="00DF410E" w14:paraId="13941921" w14:textId="77777777">
        <w:tc>
          <w:tcPr>
            <w:tcW w:w="7335" w:type="dxa"/>
            <w:noWrap/>
          </w:tcPr>
          <w:p w14:paraId="4B0C91EE" w14:textId="77777777" w:rsidR="00DF410E" w:rsidRDefault="00CE7F43">
            <w:r>
              <w:t>Menuiseries extérieures</w:t>
            </w:r>
          </w:p>
        </w:tc>
        <w:tc>
          <w:tcPr>
            <w:tcW w:w="1695" w:type="dxa"/>
            <w:noWrap/>
          </w:tcPr>
          <w:p w14:paraId="3C473A4B" w14:textId="77777777" w:rsidR="00DF410E" w:rsidRDefault="00CE7F43">
            <w:pPr>
              <w:jc w:val="center"/>
            </w:pPr>
            <w:r>
              <w:t>3a</w:t>
            </w:r>
          </w:p>
        </w:tc>
      </w:tr>
    </w:tbl>
    <w:p w14:paraId="3394BE36" w14:textId="77777777" w:rsidR="00DF410E" w:rsidRDefault="00CE7F43">
      <w:pPr>
        <w:ind w:left="567"/>
        <w:jc w:val="both"/>
      </w:pPr>
      <w:r>
        <w:t>Tableau Classe d'emploi de certains éléments de construction</w:t>
      </w:r>
    </w:p>
    <w:p w14:paraId="6C51F26F" w14:textId="77777777" w:rsidR="00DF410E" w:rsidRDefault="00DF410E"/>
    <w:p w14:paraId="1ECE7DD8" w14:textId="77777777" w:rsidR="00DF410E" w:rsidRDefault="00CE7F43">
      <w:pPr>
        <w:ind w:left="567"/>
        <w:jc w:val="both"/>
      </w:pPr>
      <w:r>
        <w:rPr>
          <w:b/>
        </w:rPr>
        <w:t>CLASSE DE DURABILITE</w:t>
      </w:r>
    </w:p>
    <w:p w14:paraId="72BE8223" w14:textId="77777777" w:rsidR="00DF410E" w:rsidRDefault="00CE7F43">
      <w:pPr>
        <w:jc w:val="both"/>
      </w:pPr>
      <w:r>
        <w:t>La durabilité d’un bois ou d’un matériau à base de bois est la capacité de celui-ci à résister aux agents de dégradation biologiques.</w:t>
      </w:r>
    </w:p>
    <w:p w14:paraId="11935B2C" w14:textId="77777777" w:rsidR="00DF410E" w:rsidRDefault="00CE7F43">
      <w:pPr>
        <w:jc w:val="both"/>
      </w:pPr>
      <w:r>
        <w:t>La durabilité peut être naturelle ou conférée par un traitement adapté du bois ou de l’élément à base de bois.</w:t>
      </w:r>
    </w:p>
    <w:p w14:paraId="5D1D7489" w14:textId="77777777" w:rsidR="00DF410E" w:rsidRDefault="00CE7F43">
      <w:pPr>
        <w:jc w:val="both"/>
      </w:pPr>
      <w:r>
        <w:t>La durabilité est exprimée suivant différentes échelles en fonction du risque. La norme [NBN EN 350] définit 4 échelles différentes :</w:t>
      </w:r>
    </w:p>
    <w:p w14:paraId="4E0C8588" w14:textId="77777777" w:rsidR="00DF410E" w:rsidRDefault="00CE7F43">
      <w:pPr>
        <w:pStyle w:val="Author-eListParagraph"/>
        <w:numPr>
          <w:ilvl w:val="0"/>
          <w:numId w:val="778"/>
        </w:numPr>
      </w:pPr>
      <w:r>
        <w:t>vis-à-vis du risque lié aux champignons, sur 5 niveaux : de 1 (très durable) à 5 (non durable) ;</w:t>
      </w:r>
    </w:p>
    <w:p w14:paraId="516BA379" w14:textId="77777777" w:rsidR="00DF410E" w:rsidRDefault="00CE7F43">
      <w:pPr>
        <w:pStyle w:val="Author-eListParagraph"/>
        <w:numPr>
          <w:ilvl w:val="0"/>
          <w:numId w:val="779"/>
        </w:numPr>
      </w:pPr>
      <w:r>
        <w:t>vis-à-vis du risque lié aux attaques d’insectes à larves xylophages, sur 2 niveaux : D (durable) ou S (non durable) ;</w:t>
      </w:r>
    </w:p>
    <w:p w14:paraId="296B3678" w14:textId="77777777" w:rsidR="00DF410E" w:rsidRDefault="00CE7F43">
      <w:pPr>
        <w:pStyle w:val="Author-eListParagraph"/>
        <w:numPr>
          <w:ilvl w:val="0"/>
          <w:numId w:val="780"/>
        </w:numPr>
      </w:pPr>
      <w:r>
        <w:t>vis-à-vis du risque lié aux termites, sur trois niveaux : D (durable), M (moyennement durable) ou S (non durable) ;</w:t>
      </w:r>
    </w:p>
    <w:p w14:paraId="11156773" w14:textId="77777777" w:rsidR="00DF410E" w:rsidRDefault="00CE7F43">
      <w:pPr>
        <w:pStyle w:val="Author-eListParagraph"/>
        <w:numPr>
          <w:ilvl w:val="0"/>
          <w:numId w:val="781"/>
        </w:numPr>
      </w:pPr>
      <w:r>
        <w:t>vis-à-vis du risque lié aux térébrants marins, sur trois niveaux : D (durable), M (moyennement durable) ou S (non durable) ;</w:t>
      </w:r>
    </w:p>
    <w:p w14:paraId="7D2E4FAF" w14:textId="77777777" w:rsidR="00DF410E" w:rsidRDefault="00CE7F43">
      <w:pPr>
        <w:jc w:val="both"/>
      </w:pPr>
      <w:r>
        <w:t>Un tableau reprenant les classes de durabilité naturelle du duramen des différentes essences de bois est disponible dans la norme [NBN EN 350]. Le tableau ci-dessous présente les principales essences locales :</w:t>
      </w:r>
    </w:p>
    <w:p w14:paraId="74B3F384" w14:textId="77777777" w:rsidR="00DF410E" w:rsidRDefault="00CE7F43">
      <w:pPr>
        <w:jc w:val="both"/>
      </w:pPr>
      <w:r>
        <w:rPr>
          <w:noProof/>
        </w:rPr>
        <w:drawing>
          <wp:inline distT="0" distB="0" distL="0" distR="0" wp14:anchorId="0045F099" wp14:editId="162BDF39">
            <wp:extent cx="5715000" cy="2647950"/>
            <wp:effectExtent l="0" t="0" r="0" b="0"/>
            <wp:docPr id="4" name="durabilié.png" descr="durabili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28" descr=" "/>
                    <pic:cNvPicPr>
                      <a:picLocks noChangeAspect="1" noChangeArrowheads="1"/>
                    </pic:cNvPicPr>
                  </pic:nvPicPr>
                  <pic:blipFill>
                    <a:blip r:embed="rId251"/>
                    <a:srcRect/>
                    <a:stretch>
                      <a:fillRect/>
                    </a:stretch>
                  </pic:blipFill>
                  <pic:spPr bwMode="auto">
                    <a:xfrm>
                      <a:off x="0" y="0"/>
                      <a:ext cx="5715000" cy="2647950"/>
                    </a:xfrm>
                    <a:prstGeom prst="rect">
                      <a:avLst/>
                    </a:prstGeom>
                  </pic:spPr>
                </pic:pic>
              </a:graphicData>
            </a:graphic>
          </wp:inline>
        </w:drawing>
      </w:r>
    </w:p>
    <w:p w14:paraId="36921467" w14:textId="77777777" w:rsidR="00DF410E" w:rsidRDefault="00CE7F43">
      <w:pPr>
        <w:jc w:val="both"/>
      </w:pPr>
      <w:r>
        <w:t>*Le chêne peut être considéré en classe de durabilité 2, sauf s'il est en contact avec le sol. Dans ce cas, la classe de durabilité 4 doit être considérée.</w:t>
      </w:r>
    </w:p>
    <w:p w14:paraId="1D257A3A" w14:textId="77777777" w:rsidR="00DF410E" w:rsidRDefault="00DF410E">
      <w:pPr>
        <w:jc w:val="both"/>
      </w:pPr>
    </w:p>
    <w:p w14:paraId="41CECF7F" w14:textId="77777777" w:rsidR="00DF410E" w:rsidRDefault="00CE7F43">
      <w:pPr>
        <w:jc w:val="both"/>
      </w:pPr>
      <w:r>
        <w:t>Le tableau suivant provient de la [NBN EN 460] et est utilisé pour voir si la durabilité naturelle d’un bois vis-à-vis des attaques de champignons lignivores est suffisante en fonction de la classe d’emploi de l’élément (anciennement appelée classe de risque).</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DF410E" w14:paraId="6D7C7FDA" w14:textId="77777777">
        <w:tc>
          <w:tcPr>
            <w:tcW w:w="1500" w:type="dxa"/>
            <w:vMerge w:val="restart"/>
            <w:shd w:val="clear" w:color="auto" w:fill="C0C0C0"/>
            <w:noWrap/>
          </w:tcPr>
          <w:p w14:paraId="35FB1F77" w14:textId="77777777" w:rsidR="00DF410E" w:rsidRDefault="00CE7F43">
            <w:pPr>
              <w:jc w:val="center"/>
            </w:pPr>
            <w:r>
              <w:rPr>
                <w:b/>
              </w:rPr>
              <w:t>Classe d'emploi</w:t>
            </w:r>
          </w:p>
        </w:tc>
        <w:tc>
          <w:tcPr>
            <w:tcW w:w="7500" w:type="dxa"/>
            <w:gridSpan w:val="5"/>
            <w:shd w:val="clear" w:color="auto" w:fill="C0C0C0"/>
            <w:noWrap/>
          </w:tcPr>
          <w:p w14:paraId="7DF2FA62" w14:textId="77777777" w:rsidR="00DF410E" w:rsidRDefault="00CE7F43">
            <w:pPr>
              <w:jc w:val="center"/>
            </w:pPr>
            <w:r>
              <w:rPr>
                <w:b/>
              </w:rPr>
              <w:t>Classe de durabilité naturelle vis-vis des attaques de champignons lignivores</w:t>
            </w:r>
          </w:p>
        </w:tc>
      </w:tr>
      <w:tr w:rsidR="00DF410E" w14:paraId="385F4242" w14:textId="77777777">
        <w:tc>
          <w:tcPr>
            <w:tcW w:w="1500" w:type="dxa"/>
            <w:vMerge/>
            <w:noWrap/>
          </w:tcPr>
          <w:p w14:paraId="5C41D0F2" w14:textId="77777777" w:rsidR="00DF410E" w:rsidRDefault="00DF410E"/>
        </w:tc>
        <w:tc>
          <w:tcPr>
            <w:tcW w:w="1500" w:type="dxa"/>
            <w:shd w:val="clear" w:color="auto" w:fill="C0C0C0"/>
            <w:noWrap/>
          </w:tcPr>
          <w:p w14:paraId="63F9AC67" w14:textId="77777777" w:rsidR="00DF410E" w:rsidRDefault="00CE7F43">
            <w:pPr>
              <w:jc w:val="center"/>
            </w:pPr>
            <w:r>
              <w:rPr>
                <w:b/>
              </w:rPr>
              <w:t>1</w:t>
            </w:r>
          </w:p>
        </w:tc>
        <w:tc>
          <w:tcPr>
            <w:tcW w:w="1500" w:type="dxa"/>
            <w:shd w:val="clear" w:color="auto" w:fill="C0C0C0"/>
            <w:noWrap/>
          </w:tcPr>
          <w:p w14:paraId="7C57D91C" w14:textId="77777777" w:rsidR="00DF410E" w:rsidRDefault="00CE7F43">
            <w:pPr>
              <w:jc w:val="center"/>
            </w:pPr>
            <w:r>
              <w:rPr>
                <w:b/>
              </w:rPr>
              <w:t>2</w:t>
            </w:r>
          </w:p>
        </w:tc>
        <w:tc>
          <w:tcPr>
            <w:tcW w:w="1500" w:type="dxa"/>
            <w:shd w:val="clear" w:color="auto" w:fill="C0C0C0"/>
            <w:noWrap/>
          </w:tcPr>
          <w:p w14:paraId="51310460" w14:textId="77777777" w:rsidR="00DF410E" w:rsidRDefault="00CE7F43">
            <w:pPr>
              <w:jc w:val="center"/>
            </w:pPr>
            <w:r>
              <w:rPr>
                <w:b/>
              </w:rPr>
              <w:t>3</w:t>
            </w:r>
          </w:p>
        </w:tc>
        <w:tc>
          <w:tcPr>
            <w:tcW w:w="1500" w:type="dxa"/>
            <w:shd w:val="clear" w:color="auto" w:fill="C0C0C0"/>
            <w:noWrap/>
          </w:tcPr>
          <w:p w14:paraId="6081C4CB" w14:textId="77777777" w:rsidR="00DF410E" w:rsidRDefault="00CE7F43">
            <w:pPr>
              <w:jc w:val="center"/>
            </w:pPr>
            <w:r>
              <w:rPr>
                <w:b/>
              </w:rPr>
              <w:t>4</w:t>
            </w:r>
          </w:p>
        </w:tc>
        <w:tc>
          <w:tcPr>
            <w:tcW w:w="1500" w:type="dxa"/>
            <w:shd w:val="clear" w:color="auto" w:fill="C0C0C0"/>
            <w:noWrap/>
          </w:tcPr>
          <w:p w14:paraId="6D678B7E" w14:textId="77777777" w:rsidR="00DF410E" w:rsidRDefault="00CE7F43">
            <w:pPr>
              <w:jc w:val="center"/>
            </w:pPr>
            <w:r>
              <w:rPr>
                <w:b/>
              </w:rPr>
              <w:t>5</w:t>
            </w:r>
          </w:p>
        </w:tc>
      </w:tr>
      <w:tr w:rsidR="00DF410E" w14:paraId="33ACF578" w14:textId="77777777">
        <w:tc>
          <w:tcPr>
            <w:tcW w:w="1500" w:type="dxa"/>
            <w:shd w:val="clear" w:color="auto" w:fill="C0C0C0"/>
            <w:noWrap/>
          </w:tcPr>
          <w:p w14:paraId="397D9D97" w14:textId="77777777" w:rsidR="00DF410E" w:rsidRDefault="00CE7F43">
            <w:pPr>
              <w:jc w:val="center"/>
            </w:pPr>
            <w:r>
              <w:rPr>
                <w:b/>
              </w:rPr>
              <w:t>1</w:t>
            </w:r>
          </w:p>
        </w:tc>
        <w:tc>
          <w:tcPr>
            <w:tcW w:w="1500" w:type="dxa"/>
            <w:noWrap/>
          </w:tcPr>
          <w:p w14:paraId="23138BDD" w14:textId="77777777" w:rsidR="00DF410E" w:rsidRDefault="00CE7F43">
            <w:pPr>
              <w:jc w:val="center"/>
            </w:pPr>
            <w:r>
              <w:t>0</w:t>
            </w:r>
          </w:p>
        </w:tc>
        <w:tc>
          <w:tcPr>
            <w:tcW w:w="1500" w:type="dxa"/>
            <w:noWrap/>
          </w:tcPr>
          <w:p w14:paraId="3FE9673D" w14:textId="77777777" w:rsidR="00DF410E" w:rsidRDefault="00CE7F43">
            <w:pPr>
              <w:jc w:val="center"/>
            </w:pPr>
            <w:r>
              <w:t>0</w:t>
            </w:r>
          </w:p>
        </w:tc>
        <w:tc>
          <w:tcPr>
            <w:tcW w:w="1500" w:type="dxa"/>
            <w:noWrap/>
          </w:tcPr>
          <w:p w14:paraId="782A73B6" w14:textId="77777777" w:rsidR="00DF410E" w:rsidRDefault="00CE7F43">
            <w:pPr>
              <w:jc w:val="center"/>
            </w:pPr>
            <w:r>
              <w:t>0</w:t>
            </w:r>
          </w:p>
        </w:tc>
        <w:tc>
          <w:tcPr>
            <w:tcW w:w="1500" w:type="dxa"/>
            <w:noWrap/>
          </w:tcPr>
          <w:p w14:paraId="0FA6042E" w14:textId="77777777" w:rsidR="00DF410E" w:rsidRDefault="00CE7F43">
            <w:pPr>
              <w:jc w:val="center"/>
            </w:pPr>
            <w:r>
              <w:t>0</w:t>
            </w:r>
          </w:p>
        </w:tc>
        <w:tc>
          <w:tcPr>
            <w:tcW w:w="1500" w:type="dxa"/>
            <w:noWrap/>
          </w:tcPr>
          <w:p w14:paraId="6EFB2450" w14:textId="77777777" w:rsidR="00DF410E" w:rsidRDefault="00CE7F43">
            <w:pPr>
              <w:jc w:val="center"/>
            </w:pPr>
            <w:r>
              <w:t>0</w:t>
            </w:r>
          </w:p>
        </w:tc>
      </w:tr>
      <w:tr w:rsidR="00DF410E" w14:paraId="3DBF1084" w14:textId="77777777">
        <w:tc>
          <w:tcPr>
            <w:tcW w:w="1500" w:type="dxa"/>
            <w:shd w:val="clear" w:color="auto" w:fill="C0C0C0"/>
            <w:noWrap/>
          </w:tcPr>
          <w:p w14:paraId="0D51BF5C" w14:textId="77777777" w:rsidR="00DF410E" w:rsidRDefault="00CE7F43">
            <w:pPr>
              <w:jc w:val="center"/>
            </w:pPr>
            <w:r>
              <w:rPr>
                <w:b/>
              </w:rPr>
              <w:t>2</w:t>
            </w:r>
          </w:p>
        </w:tc>
        <w:tc>
          <w:tcPr>
            <w:tcW w:w="1500" w:type="dxa"/>
            <w:noWrap/>
          </w:tcPr>
          <w:p w14:paraId="1426D9D5" w14:textId="77777777" w:rsidR="00DF410E" w:rsidRDefault="00CE7F43">
            <w:pPr>
              <w:jc w:val="center"/>
            </w:pPr>
            <w:r>
              <w:t>0</w:t>
            </w:r>
          </w:p>
        </w:tc>
        <w:tc>
          <w:tcPr>
            <w:tcW w:w="1500" w:type="dxa"/>
            <w:noWrap/>
          </w:tcPr>
          <w:p w14:paraId="317F76B4" w14:textId="77777777" w:rsidR="00DF410E" w:rsidRDefault="00CE7F43">
            <w:pPr>
              <w:jc w:val="center"/>
            </w:pPr>
            <w:r>
              <w:t>0</w:t>
            </w:r>
          </w:p>
        </w:tc>
        <w:tc>
          <w:tcPr>
            <w:tcW w:w="1500" w:type="dxa"/>
            <w:noWrap/>
          </w:tcPr>
          <w:p w14:paraId="01F9A552" w14:textId="77777777" w:rsidR="00DF410E" w:rsidRDefault="00CE7F43">
            <w:pPr>
              <w:jc w:val="center"/>
            </w:pPr>
            <w:r>
              <w:t>0</w:t>
            </w:r>
          </w:p>
        </w:tc>
        <w:tc>
          <w:tcPr>
            <w:tcW w:w="1500" w:type="dxa"/>
            <w:noWrap/>
          </w:tcPr>
          <w:p w14:paraId="6147EAAB" w14:textId="77777777" w:rsidR="00DF410E" w:rsidRDefault="00CE7F43">
            <w:pPr>
              <w:jc w:val="center"/>
            </w:pPr>
            <w:r>
              <w:t>(0)</w:t>
            </w:r>
          </w:p>
        </w:tc>
        <w:tc>
          <w:tcPr>
            <w:tcW w:w="1500" w:type="dxa"/>
            <w:noWrap/>
          </w:tcPr>
          <w:p w14:paraId="1F027E96" w14:textId="77777777" w:rsidR="00DF410E" w:rsidRDefault="00CE7F43">
            <w:pPr>
              <w:jc w:val="center"/>
            </w:pPr>
            <w:r>
              <w:t>(0)</w:t>
            </w:r>
          </w:p>
        </w:tc>
      </w:tr>
      <w:tr w:rsidR="00DF410E" w14:paraId="423AF453" w14:textId="77777777">
        <w:tc>
          <w:tcPr>
            <w:tcW w:w="1500" w:type="dxa"/>
            <w:shd w:val="clear" w:color="auto" w:fill="C0C0C0"/>
            <w:noWrap/>
          </w:tcPr>
          <w:p w14:paraId="65E9717E" w14:textId="77777777" w:rsidR="00DF410E" w:rsidRDefault="00CE7F43">
            <w:pPr>
              <w:jc w:val="center"/>
            </w:pPr>
            <w:r>
              <w:rPr>
                <w:b/>
              </w:rPr>
              <w:t>3</w:t>
            </w:r>
          </w:p>
        </w:tc>
        <w:tc>
          <w:tcPr>
            <w:tcW w:w="1500" w:type="dxa"/>
            <w:noWrap/>
          </w:tcPr>
          <w:p w14:paraId="47B3CAEF" w14:textId="77777777" w:rsidR="00DF410E" w:rsidRDefault="00CE7F43">
            <w:pPr>
              <w:jc w:val="center"/>
            </w:pPr>
            <w:r>
              <w:t>0</w:t>
            </w:r>
          </w:p>
        </w:tc>
        <w:tc>
          <w:tcPr>
            <w:tcW w:w="1500" w:type="dxa"/>
            <w:noWrap/>
          </w:tcPr>
          <w:p w14:paraId="577D1CB2" w14:textId="77777777" w:rsidR="00DF410E" w:rsidRDefault="00CE7F43">
            <w:pPr>
              <w:jc w:val="center"/>
            </w:pPr>
            <w:r>
              <w:t>0</w:t>
            </w:r>
          </w:p>
        </w:tc>
        <w:tc>
          <w:tcPr>
            <w:tcW w:w="1500" w:type="dxa"/>
            <w:noWrap/>
          </w:tcPr>
          <w:p w14:paraId="75C2CBC0" w14:textId="77777777" w:rsidR="00DF410E" w:rsidRDefault="00CE7F43">
            <w:pPr>
              <w:jc w:val="center"/>
            </w:pPr>
            <w:r>
              <w:t>(0)</w:t>
            </w:r>
          </w:p>
        </w:tc>
        <w:tc>
          <w:tcPr>
            <w:tcW w:w="1500" w:type="dxa"/>
            <w:noWrap/>
          </w:tcPr>
          <w:p w14:paraId="4D0F84F4" w14:textId="77777777" w:rsidR="00DF410E" w:rsidRDefault="00CE7F43">
            <w:pPr>
              <w:jc w:val="center"/>
            </w:pPr>
            <w:r>
              <w:t>(0)-(x)</w:t>
            </w:r>
          </w:p>
        </w:tc>
        <w:tc>
          <w:tcPr>
            <w:tcW w:w="1500" w:type="dxa"/>
            <w:noWrap/>
          </w:tcPr>
          <w:p w14:paraId="676C5663" w14:textId="77777777" w:rsidR="00DF410E" w:rsidRDefault="00CE7F43">
            <w:pPr>
              <w:jc w:val="center"/>
            </w:pPr>
            <w:r>
              <w:t>(0)-(x)</w:t>
            </w:r>
          </w:p>
        </w:tc>
      </w:tr>
      <w:tr w:rsidR="00DF410E" w14:paraId="3C08D98C" w14:textId="77777777">
        <w:tc>
          <w:tcPr>
            <w:tcW w:w="1500" w:type="dxa"/>
            <w:shd w:val="clear" w:color="auto" w:fill="C0C0C0"/>
            <w:noWrap/>
          </w:tcPr>
          <w:p w14:paraId="6ABBDE41" w14:textId="77777777" w:rsidR="00DF410E" w:rsidRDefault="00CE7F43">
            <w:pPr>
              <w:jc w:val="center"/>
            </w:pPr>
            <w:r>
              <w:rPr>
                <w:b/>
              </w:rPr>
              <w:t>4</w:t>
            </w:r>
          </w:p>
        </w:tc>
        <w:tc>
          <w:tcPr>
            <w:tcW w:w="1500" w:type="dxa"/>
            <w:noWrap/>
          </w:tcPr>
          <w:p w14:paraId="444A561B" w14:textId="77777777" w:rsidR="00DF410E" w:rsidRDefault="00CE7F43">
            <w:pPr>
              <w:jc w:val="center"/>
            </w:pPr>
            <w:r>
              <w:t>0</w:t>
            </w:r>
          </w:p>
        </w:tc>
        <w:tc>
          <w:tcPr>
            <w:tcW w:w="1500" w:type="dxa"/>
            <w:noWrap/>
          </w:tcPr>
          <w:p w14:paraId="72D61243" w14:textId="77777777" w:rsidR="00DF410E" w:rsidRDefault="00CE7F43">
            <w:pPr>
              <w:jc w:val="center"/>
            </w:pPr>
            <w:r>
              <w:t>(0)</w:t>
            </w:r>
          </w:p>
        </w:tc>
        <w:tc>
          <w:tcPr>
            <w:tcW w:w="1500" w:type="dxa"/>
            <w:noWrap/>
          </w:tcPr>
          <w:p w14:paraId="198786FC" w14:textId="77777777" w:rsidR="00DF410E" w:rsidRDefault="00CE7F43">
            <w:pPr>
              <w:jc w:val="center"/>
            </w:pPr>
            <w:r>
              <w:t>(x)</w:t>
            </w:r>
          </w:p>
        </w:tc>
        <w:tc>
          <w:tcPr>
            <w:tcW w:w="1500" w:type="dxa"/>
            <w:noWrap/>
          </w:tcPr>
          <w:p w14:paraId="7F5221B9" w14:textId="77777777" w:rsidR="00DF410E" w:rsidRDefault="00CE7F43">
            <w:pPr>
              <w:jc w:val="center"/>
            </w:pPr>
            <w:r>
              <w:t>x</w:t>
            </w:r>
          </w:p>
        </w:tc>
        <w:tc>
          <w:tcPr>
            <w:tcW w:w="1500" w:type="dxa"/>
            <w:noWrap/>
          </w:tcPr>
          <w:p w14:paraId="0CE4AE8C" w14:textId="77777777" w:rsidR="00DF410E" w:rsidRDefault="00CE7F43">
            <w:pPr>
              <w:jc w:val="center"/>
            </w:pPr>
            <w:r>
              <w:t>x</w:t>
            </w:r>
          </w:p>
        </w:tc>
      </w:tr>
      <w:tr w:rsidR="00DF410E" w14:paraId="3D502D89" w14:textId="77777777">
        <w:tc>
          <w:tcPr>
            <w:tcW w:w="1500" w:type="dxa"/>
            <w:shd w:val="clear" w:color="auto" w:fill="C0C0C0"/>
            <w:noWrap/>
          </w:tcPr>
          <w:p w14:paraId="3A8E9B8A" w14:textId="77777777" w:rsidR="00DF410E" w:rsidRDefault="00CE7F43">
            <w:pPr>
              <w:jc w:val="center"/>
            </w:pPr>
            <w:r>
              <w:rPr>
                <w:b/>
              </w:rPr>
              <w:t>5</w:t>
            </w:r>
          </w:p>
        </w:tc>
        <w:tc>
          <w:tcPr>
            <w:tcW w:w="1500" w:type="dxa"/>
            <w:noWrap/>
          </w:tcPr>
          <w:p w14:paraId="0BF1C225" w14:textId="77777777" w:rsidR="00DF410E" w:rsidRDefault="00CE7F43">
            <w:pPr>
              <w:jc w:val="center"/>
            </w:pPr>
            <w:r>
              <w:t>0</w:t>
            </w:r>
          </w:p>
        </w:tc>
        <w:tc>
          <w:tcPr>
            <w:tcW w:w="1500" w:type="dxa"/>
            <w:noWrap/>
          </w:tcPr>
          <w:p w14:paraId="54B1C415" w14:textId="77777777" w:rsidR="00DF410E" w:rsidRDefault="00CE7F43">
            <w:pPr>
              <w:jc w:val="center"/>
            </w:pPr>
            <w:r>
              <w:t>(x)</w:t>
            </w:r>
          </w:p>
        </w:tc>
        <w:tc>
          <w:tcPr>
            <w:tcW w:w="1500" w:type="dxa"/>
            <w:noWrap/>
          </w:tcPr>
          <w:p w14:paraId="42BC2DC6" w14:textId="77777777" w:rsidR="00DF410E" w:rsidRDefault="00CE7F43">
            <w:pPr>
              <w:jc w:val="center"/>
            </w:pPr>
            <w:r>
              <w:t>(x)</w:t>
            </w:r>
          </w:p>
        </w:tc>
        <w:tc>
          <w:tcPr>
            <w:tcW w:w="1500" w:type="dxa"/>
            <w:noWrap/>
          </w:tcPr>
          <w:p w14:paraId="4834DE18" w14:textId="77777777" w:rsidR="00DF410E" w:rsidRDefault="00CE7F43">
            <w:pPr>
              <w:jc w:val="center"/>
            </w:pPr>
            <w:r>
              <w:t>x</w:t>
            </w:r>
          </w:p>
        </w:tc>
        <w:tc>
          <w:tcPr>
            <w:tcW w:w="1500" w:type="dxa"/>
            <w:noWrap/>
          </w:tcPr>
          <w:p w14:paraId="2F391E67" w14:textId="77777777" w:rsidR="00DF410E" w:rsidRDefault="00CE7F43">
            <w:pPr>
              <w:jc w:val="center"/>
            </w:pPr>
            <w:r>
              <w:t>x</w:t>
            </w:r>
          </w:p>
        </w:tc>
      </w:tr>
      <w:tr w:rsidR="00DF410E" w14:paraId="5097DE35" w14:textId="77777777">
        <w:tc>
          <w:tcPr>
            <w:tcW w:w="9000" w:type="dxa"/>
            <w:gridSpan w:val="6"/>
            <w:noWrap/>
          </w:tcPr>
          <w:p w14:paraId="47EFAB9F" w14:textId="77777777" w:rsidR="00DF410E" w:rsidRDefault="00CE7F43">
            <w:r>
              <w:rPr>
                <w:b/>
              </w:rPr>
              <w:t>Légende:</w:t>
            </w:r>
          </w:p>
        </w:tc>
      </w:tr>
      <w:tr w:rsidR="00DF410E" w14:paraId="129B1819" w14:textId="77777777">
        <w:tc>
          <w:tcPr>
            <w:tcW w:w="9000" w:type="dxa"/>
            <w:gridSpan w:val="6"/>
            <w:noWrap/>
          </w:tcPr>
          <w:p w14:paraId="6D348339" w14:textId="77777777" w:rsidR="00DF410E" w:rsidRDefault="00CE7F43">
            <w:r>
              <w:t>0            durabilité naturelle suffisante (vis-à-vis des champignons lignivores)</w:t>
            </w:r>
          </w:p>
        </w:tc>
      </w:tr>
      <w:tr w:rsidR="00DF410E" w14:paraId="657A0223" w14:textId="77777777">
        <w:tc>
          <w:tcPr>
            <w:tcW w:w="9000" w:type="dxa"/>
            <w:gridSpan w:val="6"/>
            <w:noWrap/>
          </w:tcPr>
          <w:p w14:paraId="62F82A42" w14:textId="77777777" w:rsidR="00DF410E" w:rsidRDefault="00CE7F43">
            <w:r>
              <w:t>(0)         durabilité naturelle normalement suffisante, mais pour certains emplois un traitement de préservation peut être recommandé (voir annexe A de [NBN EN 460])</w:t>
            </w:r>
          </w:p>
        </w:tc>
      </w:tr>
      <w:tr w:rsidR="00DF410E" w14:paraId="60F18795" w14:textId="77777777">
        <w:tc>
          <w:tcPr>
            <w:tcW w:w="9000" w:type="dxa"/>
            <w:gridSpan w:val="6"/>
            <w:noWrap/>
          </w:tcPr>
          <w:p w14:paraId="14B0E297" w14:textId="77777777" w:rsidR="00DF410E" w:rsidRDefault="00CE7F43">
            <w:r>
              <w:t>(0)-(x)    la durabilité naturelle peut être suffisante, mais en fonction de l'essence de bois, de sa  perméabilité (voir 6.1 de [NBN EN 460]) et de son emploi final (voir annexe A de [NBN EN 460]), un traitement de préservation peut s'avérer nécessaire</w:t>
            </w:r>
          </w:p>
        </w:tc>
      </w:tr>
      <w:tr w:rsidR="00DF410E" w14:paraId="56F553C4" w14:textId="77777777">
        <w:tc>
          <w:tcPr>
            <w:tcW w:w="9000" w:type="dxa"/>
            <w:gridSpan w:val="6"/>
            <w:noWrap/>
          </w:tcPr>
          <w:p w14:paraId="2CEB38F8" w14:textId="77777777" w:rsidR="00DF410E" w:rsidRDefault="00CE7F43">
            <w:r>
              <w:t>(x)         le traitement de préservation est normalement recommandé, mais pour certains emplois la durabilité naturelle peut être suffisante (voir annexe A de [NBN EN 460])</w:t>
            </w:r>
          </w:p>
        </w:tc>
      </w:tr>
      <w:tr w:rsidR="00DF410E" w14:paraId="0FAF1872" w14:textId="77777777">
        <w:tc>
          <w:tcPr>
            <w:tcW w:w="9000" w:type="dxa"/>
            <w:gridSpan w:val="6"/>
            <w:noWrap/>
          </w:tcPr>
          <w:p w14:paraId="1C9B5F98" w14:textId="77777777" w:rsidR="00DF410E" w:rsidRDefault="00CE7F43">
            <w:r>
              <w:t>x            traitement de préservation nécessaire </w:t>
            </w:r>
          </w:p>
        </w:tc>
      </w:tr>
    </w:tbl>
    <w:p w14:paraId="4B49992B" w14:textId="77777777" w:rsidR="00DF410E" w:rsidRDefault="00CE7F43">
      <w:pPr>
        <w:jc w:val="both"/>
      </w:pPr>
      <w:r>
        <w:rPr>
          <w:vertAlign w:val="superscript"/>
        </w:rPr>
        <w:t>Note: Il convient de considérer l'aubier de toutes les essences de bois comme ayant la classe de durabilité 5</w:t>
      </w:r>
    </w:p>
    <w:p w14:paraId="6185D299" w14:textId="77777777" w:rsidR="00DF410E" w:rsidRDefault="00DF410E"/>
    <w:p w14:paraId="65ED1876" w14:textId="77777777" w:rsidR="00DF410E" w:rsidRDefault="00CE7F43">
      <w:pPr>
        <w:jc w:val="both"/>
      </w:pPr>
      <w:r>
        <w:t>De manière générale aucune stagnation d’eau n’est tolérée. Il faut veiller à une bonne ventilation des éléments et particulièrement des zones d’assemblages.</w:t>
      </w:r>
    </w:p>
    <w:p w14:paraId="53D061C0" w14:textId="77777777" w:rsidR="00DF410E" w:rsidRDefault="00CE7F43">
      <w:pPr>
        <w:ind w:left="567"/>
        <w:jc w:val="both"/>
      </w:pPr>
      <w:r>
        <w:rPr>
          <w:b/>
        </w:rPr>
        <w:t>PRESERVATION</w:t>
      </w:r>
    </w:p>
    <w:p w14:paraId="7C42D864" w14:textId="77777777" w:rsidR="00DF410E" w:rsidRDefault="00CE7F43">
      <w:pPr>
        <w:jc w:val="both"/>
      </w:pPr>
      <w:r>
        <w:t>Le traitement de préservation des bois est d’application lorsque la durabilité naturelle du bois n’est pas suffisante par rapport aux exigences de la classe d’emploi dans laquelle il est utilisé.</w:t>
      </w:r>
    </w:p>
    <w:p w14:paraId="2B7465C5" w14:textId="77777777" w:rsidR="00DF410E" w:rsidRDefault="00CE7F43">
      <w:pPr>
        <w:jc w:val="both"/>
      </w:pPr>
      <w:r>
        <w:t>Toutes les zones préalablement traitées ayant subi des entailles et/ou découpes doivent être traitées de nouveau pour atteindre la durabilité exigée ou prévoir une disposition constructive qui permet de ramener localement la classe d’emplois en adéquation avec la classe de durabilité locale.</w:t>
      </w:r>
    </w:p>
    <w:p w14:paraId="2B7110B5" w14:textId="77777777" w:rsidR="00DF410E" w:rsidRDefault="00CE7F43">
      <w:pPr>
        <w:jc w:val="both"/>
      </w:pPr>
      <w:r>
        <w:t>La durabilité des éléments est fortement influencée par la conception du projet, la mise en œuvre et l’entretien de l’ouvrage.</w:t>
      </w:r>
    </w:p>
    <w:p w14:paraId="2B9AB6F0" w14:textId="77777777" w:rsidR="00DF410E" w:rsidRDefault="00CE7F43">
      <w:pPr>
        <w:jc w:val="both"/>
      </w:pPr>
      <w:r>
        <w:t>Les traitements, protection et finition des bois sont décrits dans l'élément </w:t>
      </w:r>
      <w:hyperlink w:anchor="600" w:history="1">
        <w:r>
          <w:t>24.7 Traitements, protection et finition des bois</w:t>
        </w:r>
      </w:hyperlink>
      <w:r>
        <w:t xml:space="preserve"> du présent cahier des charges et dans la [STS 04.3].</w:t>
      </w:r>
    </w:p>
    <w:p w14:paraId="6968DE17" w14:textId="77777777" w:rsidR="00DF410E" w:rsidRDefault="00CE7F43">
      <w:pPr>
        <w:jc w:val="both"/>
      </w:pPr>
      <w:r>
        <w:t xml:space="preserve">Le traitement de préservation utilisé est compatible avec d’autres composants (traitement ignifuge, collage, finitions). </w:t>
      </w:r>
    </w:p>
    <w:p w14:paraId="771D0E70" w14:textId="77777777" w:rsidR="00DF410E" w:rsidRDefault="00CE7F43">
      <w:pPr>
        <w:jc w:val="both"/>
      </w:pPr>
      <w:r>
        <w:t>Lorsqu’un traitement de finition est prescrit, l’entretien des finitions est décrit dans le dossier d’intervention ultérieur.</w:t>
      </w:r>
    </w:p>
    <w:p w14:paraId="30BFE915" w14:textId="77777777" w:rsidR="00DF410E" w:rsidRDefault="00CE7F43">
      <w:pPr>
        <w:ind w:left="567"/>
        <w:jc w:val="both"/>
      </w:pPr>
      <w:r>
        <w:rPr>
          <w:b/>
        </w:rPr>
        <w:t>MAITRISE DE L’HUMIDITE</w:t>
      </w:r>
    </w:p>
    <w:p w14:paraId="4D5D90FC" w14:textId="77777777" w:rsidR="00DF410E" w:rsidRDefault="00CE7F43">
      <w:pPr>
        <w:jc w:val="both"/>
      </w:pPr>
      <w:r>
        <w:t xml:space="preserve">La teneur en humidité du bois est définie dans la [NBN EN 844] comme étant la masse d’eau contenue dans un bois exprimée en pourcentage de la masse anhydre du bois. Cette notion est aussi appelée « teneur en eau », « taux d’humidité », « taux d’humidité relatif » ou « humidité » du bois. </w:t>
      </w:r>
    </w:p>
    <w:p w14:paraId="199002E5" w14:textId="77777777" w:rsidR="00DF410E" w:rsidRDefault="00CE7F43">
      <w:pPr>
        <w:jc w:val="both"/>
      </w:pPr>
      <w:r>
        <w:t xml:space="preserve">Les différentes méthodes de mesure de la teneur en humidité sont décrites à l’article </w:t>
      </w:r>
      <w:hyperlink r:id="rId252" w:history="1" w:docLocation="589">
        <w:r>
          <w:t>03.41.1b Mesures du taux d'humidité dans le bois</w:t>
        </w:r>
      </w:hyperlink>
      <w:r>
        <w:t>.</w:t>
      </w:r>
    </w:p>
    <w:p w14:paraId="44CBBB85" w14:textId="77777777" w:rsidR="00DF410E" w:rsidRDefault="00CE7F43">
      <w:pPr>
        <w:jc w:val="both"/>
      </w:pPr>
      <w:r>
        <w:t>La maitrise de la teneur en humidité du bois est nécessaire pour différentes raisons :</w:t>
      </w:r>
    </w:p>
    <w:p w14:paraId="56E5BD39" w14:textId="77777777" w:rsidR="00DF410E" w:rsidRDefault="00CE7F43">
      <w:pPr>
        <w:pStyle w:val="Author-eListParagraph"/>
        <w:numPr>
          <w:ilvl w:val="0"/>
          <w:numId w:val="782"/>
        </w:numPr>
      </w:pPr>
      <w:r>
        <w:t>éviter les attaques de champignons,</w:t>
      </w:r>
    </w:p>
    <w:p w14:paraId="469920BA" w14:textId="77777777" w:rsidR="00DF410E" w:rsidRDefault="00CE7F43">
      <w:pPr>
        <w:pStyle w:val="Author-eListParagraph"/>
        <w:numPr>
          <w:ilvl w:val="0"/>
          <w:numId w:val="783"/>
        </w:numPr>
      </w:pPr>
      <w:r>
        <w:t>éviter les désordres liés aux mouvement (retrait-gonflement) du bois,</w:t>
      </w:r>
    </w:p>
    <w:p w14:paraId="7B89646C" w14:textId="77777777" w:rsidR="00DF410E" w:rsidRDefault="00CE7F43">
      <w:pPr>
        <w:pStyle w:val="Author-eListParagraph"/>
        <w:numPr>
          <w:ilvl w:val="0"/>
          <w:numId w:val="784"/>
        </w:numPr>
      </w:pPr>
      <w:r>
        <w:t>garantir des propriétés mécaniques conformes à celles attendues,</w:t>
      </w:r>
    </w:p>
    <w:p w14:paraId="60DE6FCE" w14:textId="77777777" w:rsidR="00DF410E" w:rsidRDefault="00CE7F43">
      <w:pPr>
        <w:pStyle w:val="Author-eListParagraph"/>
        <w:numPr>
          <w:ilvl w:val="0"/>
          <w:numId w:val="785"/>
        </w:numPr>
      </w:pPr>
      <w:r>
        <w:t>assurer la bonne adhésion des colles et des couches de finition.</w:t>
      </w:r>
    </w:p>
    <w:p w14:paraId="50741351" w14:textId="77777777" w:rsidR="00DF410E" w:rsidRDefault="00CE7F43">
      <w:pPr>
        <w:jc w:val="both"/>
      </w:pPr>
      <w:r>
        <w:t xml:space="preserve">Il convient que le bois soit séché pour atteindre l'humidité d'équilibre qu'il a en usage. Il est nécessaire que les composants en bois et à base de bois ne soient en aucune manière exposés à des conditions climatiques plus sévères que celles pour lesquelles ils ont été conçus. </w:t>
      </w:r>
    </w:p>
    <w:p w14:paraId="1015F055" w14:textId="77777777" w:rsidR="00DF410E" w:rsidRDefault="00CE7F43">
      <w:pPr>
        <w:jc w:val="both"/>
      </w:pPr>
      <w:r>
        <w:t xml:space="preserve">Le contrôle de la qualité du séchage d’un lot de bois scié se fait selon la [NBN EN 14298]. </w:t>
      </w:r>
    </w:p>
    <w:p w14:paraId="34B1A18E" w14:textId="77777777" w:rsidR="00DF410E" w:rsidRDefault="00CE7F43">
      <w:pPr>
        <w:jc w:val="both"/>
      </w:pPr>
      <w:r>
        <w:t>Sauf mention contraire au cahier spécial des charges, la teneur en humidité prescrite est la teneur en humidité cible selon la [NBN EN 14298].</w:t>
      </w:r>
    </w:p>
    <w:p w14:paraId="1D8F92AA" w14:textId="77777777" w:rsidR="00DF410E" w:rsidRDefault="00CE7F43">
      <w:pPr>
        <w:jc w:val="both"/>
      </w:pPr>
      <w:r>
        <w:t>Les éléments suivants sont indiqués au tableau ci-dessous, en fonction de la teneur en humidité cible :</w:t>
      </w:r>
    </w:p>
    <w:p w14:paraId="27FA4193" w14:textId="77777777" w:rsidR="00DF410E" w:rsidRDefault="00CE7F43">
      <w:pPr>
        <w:pStyle w:val="Author-eListParagraph"/>
        <w:numPr>
          <w:ilvl w:val="0"/>
          <w:numId w:val="786"/>
        </w:numPr>
      </w:pPr>
      <w:r>
        <w:t>étendue admissible de la teneur en humidité moyenne par rapport à la teneur en humidité cible ;</w:t>
      </w:r>
    </w:p>
    <w:p w14:paraId="46B2789F" w14:textId="77777777" w:rsidR="00DF410E" w:rsidRDefault="00CE7F43">
      <w:pPr>
        <w:pStyle w:val="Author-eListParagraph"/>
        <w:numPr>
          <w:ilvl w:val="0"/>
          <w:numId w:val="787"/>
        </w:numPr>
      </w:pPr>
      <w:r>
        <w:t>limites inférieure et supérieure de teneur en humidité admissible pour les pièces individuelles ;</w:t>
      </w:r>
    </w:p>
    <w:p w14:paraId="47CA4BE5" w14:textId="77777777" w:rsidR="00DF410E" w:rsidRDefault="00CE7F43">
      <w:pPr>
        <w:jc w:val="both"/>
      </w:pPr>
      <w:r>
        <w:t>Le niveau de qualité acceptable (NQA – AQL en anglais) est, sauf mention contraire au cahier spécial des charges, à 6.5%.</w:t>
      </w:r>
    </w:p>
    <w:p w14:paraId="36CE6BC1" w14:textId="77777777" w:rsidR="00DF410E" w:rsidRDefault="00CE7F43">
      <w:pPr>
        <w:jc w:val="both"/>
      </w:pPr>
      <w:r>
        <w:rPr>
          <w:noProof/>
        </w:rPr>
        <w:drawing>
          <wp:inline distT="0" distB="0" distL="0" distR="0" wp14:anchorId="2C1F45AE" wp14:editId="46C1005B">
            <wp:extent cx="5715000" cy="3552825"/>
            <wp:effectExtent l="0" t="0" r="0" b="0"/>
            <wp:docPr id="5" name="image_tableau_24.jpg" descr="image_tableau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2553" descr=" "/>
                    <pic:cNvPicPr>
                      <a:picLocks noChangeAspect="1" noChangeArrowheads="1"/>
                    </pic:cNvPicPr>
                  </pic:nvPicPr>
                  <pic:blipFill>
                    <a:blip r:embed="rId253"/>
                    <a:srcRect/>
                    <a:stretch>
                      <a:fillRect/>
                    </a:stretch>
                  </pic:blipFill>
                  <pic:spPr bwMode="auto">
                    <a:xfrm>
                      <a:off x="0" y="0"/>
                      <a:ext cx="5715000" cy="3552825"/>
                    </a:xfrm>
                    <a:prstGeom prst="rect">
                      <a:avLst/>
                    </a:prstGeom>
                  </pic:spPr>
                </pic:pic>
              </a:graphicData>
            </a:graphic>
          </wp:inline>
        </w:drawing>
      </w:r>
    </w:p>
    <w:p w14:paraId="2808A39B" w14:textId="77777777" w:rsidR="00DF410E" w:rsidRDefault="00CE7F43">
      <w:pPr>
        <w:jc w:val="both"/>
      </w:pPr>
      <w:r>
        <w:t xml:space="preserve">Les courbes présentées ci-dessous donnent une approximation de la teneur en humidité d’équilibre d’une pièce de bois massif en fonction des conditions d’ambiance dans lesquelles elle est placée. </w:t>
      </w:r>
    </w:p>
    <w:p w14:paraId="6E7938A3" w14:textId="77777777" w:rsidR="00DF410E" w:rsidRDefault="00DF410E">
      <w:pPr>
        <w:jc w:val="both"/>
      </w:pPr>
    </w:p>
    <w:p w14:paraId="3B7EC26C" w14:textId="77777777" w:rsidR="00DF410E" w:rsidRDefault="00CE7F43">
      <w:pPr>
        <w:jc w:val="both"/>
      </w:pPr>
      <w:r>
        <w:t>En règle générale, les pièces en bois massif reconstitué par collage ont une teneur en humidité d’équilibre légèrement inférieure à celle du bois massif.</w:t>
      </w:r>
    </w:p>
    <w:p w14:paraId="08F570CB" w14:textId="77777777" w:rsidR="00DF410E" w:rsidRDefault="00CE7F43">
      <w:pPr>
        <w:jc w:val="both"/>
      </w:pPr>
      <w:r>
        <w:rPr>
          <w:noProof/>
        </w:rPr>
        <w:drawing>
          <wp:inline distT="0" distB="0" distL="0" distR="0" wp14:anchorId="75376E6F" wp14:editId="6A948E2F">
            <wp:extent cx="3209925" cy="4705350"/>
            <wp:effectExtent l="0" t="0" r="0" b="0"/>
            <wp:docPr id="6" name="equilibre hygroscopique.png" descr="equilibre hygroscop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05" descr=" "/>
                    <pic:cNvPicPr>
                      <a:picLocks noChangeAspect="1" noChangeArrowheads="1"/>
                    </pic:cNvPicPr>
                  </pic:nvPicPr>
                  <pic:blipFill>
                    <a:blip r:embed="rId254"/>
                    <a:srcRect/>
                    <a:stretch>
                      <a:fillRect/>
                    </a:stretch>
                  </pic:blipFill>
                  <pic:spPr bwMode="auto">
                    <a:xfrm>
                      <a:off x="0" y="0"/>
                      <a:ext cx="3209925" cy="4705350"/>
                    </a:xfrm>
                    <a:prstGeom prst="rect">
                      <a:avLst/>
                    </a:prstGeom>
                  </pic:spPr>
                </pic:pic>
              </a:graphicData>
            </a:graphic>
          </wp:inline>
        </w:drawing>
      </w:r>
    </w:p>
    <w:p w14:paraId="4AF4E121" w14:textId="77777777" w:rsidR="00DF410E" w:rsidRDefault="00CE7F43">
      <w:pPr>
        <w:ind w:left="567"/>
        <w:jc w:val="both"/>
      </w:pPr>
      <w:r>
        <w:rPr>
          <w:b/>
        </w:rPr>
        <w:t>RECYCLAGE/REUTILISATION</w:t>
      </w:r>
    </w:p>
    <w:p w14:paraId="2F6D9079" w14:textId="77777777" w:rsidR="00DF410E" w:rsidRDefault="00CE7F43">
      <w:pPr>
        <w:jc w:val="both"/>
      </w:pPr>
      <w:r>
        <w:t>Les impositions générales concernant les préventions, le tri sélectif sur chantier, le stockage, le transport et le traitement des déchets sont décrites à la section </w:t>
      </w:r>
      <w:hyperlink r:id="rId255" w:history="1" w:docLocation="116">
        <w:r>
          <w:t>07 Déchets, matériaux et éléments réemployables</w:t>
        </w:r>
      </w:hyperlink>
      <w:r>
        <w:t xml:space="preserve"> du présent cahier des charges type.</w:t>
      </w:r>
    </w:p>
    <w:p w14:paraId="194C3180" w14:textId="77777777" w:rsidR="00DF410E" w:rsidRDefault="00CE7F43">
      <w:pPr>
        <w:ind w:left="567"/>
        <w:jc w:val="both"/>
      </w:pPr>
      <w:r>
        <w:rPr>
          <w:b/>
        </w:rPr>
        <w:t>COMPORTEMENT AU FEU DES ELEMENTS EN BOIS</w:t>
      </w:r>
    </w:p>
    <w:p w14:paraId="1B13B02D" w14:textId="77777777" w:rsidR="00DF410E" w:rsidRDefault="00CE7F43">
      <w:pPr>
        <w:jc w:val="both"/>
      </w:pPr>
      <w:r>
        <w:t>Les exigences auxquelles les bâtiments doivent répondre en termes de sécurité incendie sont décrites dans la législation en vigueur et sont notamment fonction du type de bâtiment, de sa destination, de sa localisation, de ses occupants, etc.</w:t>
      </w:r>
    </w:p>
    <w:p w14:paraId="5D5A7C6C" w14:textId="77777777" w:rsidR="00DF410E" w:rsidRDefault="00CE7F43">
      <w:pPr>
        <w:jc w:val="both"/>
      </w:pPr>
      <w:r>
        <w:t>Le document de base pour la législation incendie en Belgique est l’[AR 1994-07-07] et ses modifications fixant les normes de base en matière de prévention contre l’incendie et l’explosion, auxquelles les bâtiments doivent satisfaire.</w:t>
      </w:r>
    </w:p>
    <w:p w14:paraId="73641F69" w14:textId="77777777" w:rsidR="00DF410E" w:rsidRDefault="00CE7F43">
      <w:pPr>
        <w:pStyle w:val="Author-eListParagraph"/>
        <w:numPr>
          <w:ilvl w:val="0"/>
          <w:numId w:val="788"/>
        </w:numPr>
      </w:pPr>
      <w:r>
        <w:t>Réaction au feu :</w:t>
      </w:r>
    </w:p>
    <w:p w14:paraId="6315F9BA" w14:textId="77777777" w:rsidR="00DF410E" w:rsidRDefault="00CE7F43">
      <w:pPr>
        <w:jc w:val="both"/>
      </w:pPr>
      <w:r>
        <w:t>Pour attester de la classe de réaction au feu, un essai selon la [NBN EN 13501-1] est effectué par un laboratoire accrédité. Pour certains produits et dans certaines conditions, une décision européenne permet d’attribuer la classe de réaction au feu D-s2,d0 sans essai supplémentaire. Ces décisions et les produits auxquels elles se rapportent sont listés ci-dessous :</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DF410E" w14:paraId="31C71C6B" w14:textId="77777777">
        <w:tc>
          <w:tcPr>
            <w:tcW w:w="2250" w:type="dxa"/>
            <w:noWrap/>
          </w:tcPr>
          <w:p w14:paraId="5D1A34B4" w14:textId="77777777" w:rsidR="00DF410E" w:rsidRDefault="00CE7F43">
            <w:r>
              <w:t>Produit</w:t>
            </w:r>
          </w:p>
        </w:tc>
        <w:tc>
          <w:tcPr>
            <w:tcW w:w="2250" w:type="dxa"/>
            <w:noWrap/>
          </w:tcPr>
          <w:p w14:paraId="5164B8F4" w14:textId="77777777" w:rsidR="00DF410E" w:rsidRDefault="00CE7F43">
            <w:r>
              <w:t>Masse Volumique minimale</w:t>
            </w:r>
          </w:p>
        </w:tc>
        <w:tc>
          <w:tcPr>
            <w:tcW w:w="2250" w:type="dxa"/>
            <w:noWrap/>
          </w:tcPr>
          <w:p w14:paraId="20184122" w14:textId="77777777" w:rsidR="00DF410E" w:rsidRDefault="00CE7F43">
            <w:r>
              <w:t>Epaisseur minimale</w:t>
            </w:r>
          </w:p>
        </w:tc>
        <w:tc>
          <w:tcPr>
            <w:tcW w:w="2250" w:type="dxa"/>
            <w:noWrap/>
          </w:tcPr>
          <w:p w14:paraId="5D877CAF" w14:textId="77777777" w:rsidR="00DF410E" w:rsidRDefault="00CE7F43">
            <w:r>
              <w:t>Référence de la décision européenne</w:t>
            </w:r>
          </w:p>
        </w:tc>
      </w:tr>
      <w:tr w:rsidR="00DF410E" w14:paraId="21D76DE2" w14:textId="77777777">
        <w:tc>
          <w:tcPr>
            <w:tcW w:w="2250" w:type="dxa"/>
            <w:noWrap/>
          </w:tcPr>
          <w:p w14:paraId="3E99FC5A" w14:textId="77777777" w:rsidR="00DF410E" w:rsidRDefault="00CE7F43">
            <w:r>
              <w:t>Bois Massif</w:t>
            </w:r>
          </w:p>
        </w:tc>
        <w:tc>
          <w:tcPr>
            <w:tcW w:w="2250" w:type="dxa"/>
            <w:noWrap/>
          </w:tcPr>
          <w:p w14:paraId="3472ED7A" w14:textId="77777777" w:rsidR="00DF410E" w:rsidRDefault="00CE7F43">
            <w:r>
              <w:t>350 kg/m³</w:t>
            </w:r>
          </w:p>
        </w:tc>
        <w:tc>
          <w:tcPr>
            <w:tcW w:w="2250" w:type="dxa"/>
            <w:noWrap/>
          </w:tcPr>
          <w:p w14:paraId="380D2090" w14:textId="77777777" w:rsidR="00DF410E" w:rsidRDefault="00CE7F43">
            <w:r>
              <w:t>22mm</w:t>
            </w:r>
          </w:p>
        </w:tc>
        <w:tc>
          <w:tcPr>
            <w:tcW w:w="2250" w:type="dxa"/>
            <w:noWrap/>
          </w:tcPr>
          <w:p w14:paraId="6AA6F37A" w14:textId="77777777" w:rsidR="00DF410E" w:rsidRDefault="00CE7F43">
            <w:r>
              <w:t>2003/593/CE</w:t>
            </w:r>
          </w:p>
        </w:tc>
      </w:tr>
      <w:tr w:rsidR="00DF410E" w14:paraId="170AE312" w14:textId="77777777">
        <w:tc>
          <w:tcPr>
            <w:tcW w:w="2250" w:type="dxa"/>
            <w:noWrap/>
          </w:tcPr>
          <w:p w14:paraId="609F336B" w14:textId="77777777" w:rsidR="00DF410E" w:rsidRDefault="00CE7F43">
            <w:r>
              <w:t>Bois massif abouté</w:t>
            </w:r>
          </w:p>
        </w:tc>
        <w:tc>
          <w:tcPr>
            <w:tcW w:w="2250" w:type="dxa"/>
            <w:noWrap/>
          </w:tcPr>
          <w:p w14:paraId="5684722D" w14:textId="77777777" w:rsidR="00DF410E" w:rsidRDefault="00CE7F43">
            <w:r>
              <w:t>380 kg/m³</w:t>
            </w:r>
          </w:p>
        </w:tc>
        <w:tc>
          <w:tcPr>
            <w:tcW w:w="2250" w:type="dxa"/>
            <w:noWrap/>
          </w:tcPr>
          <w:p w14:paraId="321D0E2D" w14:textId="77777777" w:rsidR="00DF410E" w:rsidRDefault="00CE7F43">
            <w:r>
              <w:t>22mm</w:t>
            </w:r>
          </w:p>
        </w:tc>
        <w:tc>
          <w:tcPr>
            <w:tcW w:w="2250" w:type="dxa"/>
            <w:noWrap/>
          </w:tcPr>
          <w:p w14:paraId="1FB5A86B" w14:textId="77777777" w:rsidR="00DF410E" w:rsidRDefault="00CE7F43">
            <w:r>
              <w:t>C/2017/5389</w:t>
            </w:r>
          </w:p>
        </w:tc>
      </w:tr>
      <w:tr w:rsidR="00DF410E" w14:paraId="1BCA3F1E" w14:textId="77777777">
        <w:tc>
          <w:tcPr>
            <w:tcW w:w="2250" w:type="dxa"/>
            <w:noWrap/>
          </w:tcPr>
          <w:p w14:paraId="17B5E6FC" w14:textId="77777777" w:rsidR="00DF410E" w:rsidRDefault="00CE7F43">
            <w:r>
              <w:t>Bois lamellé collé, BMR</w:t>
            </w:r>
          </w:p>
        </w:tc>
        <w:tc>
          <w:tcPr>
            <w:tcW w:w="2250" w:type="dxa"/>
            <w:noWrap/>
          </w:tcPr>
          <w:p w14:paraId="386B02ED" w14:textId="77777777" w:rsidR="00DF410E" w:rsidRDefault="00CE7F43">
            <w:r>
              <w:t>380 kg/m³</w:t>
            </w:r>
          </w:p>
        </w:tc>
        <w:tc>
          <w:tcPr>
            <w:tcW w:w="2250" w:type="dxa"/>
            <w:noWrap/>
          </w:tcPr>
          <w:p w14:paraId="7C5C0C78" w14:textId="77777777" w:rsidR="00DF410E" w:rsidRDefault="00CE7F43">
            <w:r>
              <w:t>22mm</w:t>
            </w:r>
          </w:p>
        </w:tc>
        <w:tc>
          <w:tcPr>
            <w:tcW w:w="2250" w:type="dxa"/>
            <w:noWrap/>
          </w:tcPr>
          <w:p w14:paraId="725757A5" w14:textId="77777777" w:rsidR="00DF410E" w:rsidRDefault="00CE7F43">
            <w:r>
              <w:t>C/2017/1702</w:t>
            </w:r>
          </w:p>
        </w:tc>
      </w:tr>
      <w:tr w:rsidR="00DF410E" w14:paraId="5389F523" w14:textId="77777777">
        <w:tc>
          <w:tcPr>
            <w:tcW w:w="2250" w:type="dxa"/>
            <w:noWrap/>
          </w:tcPr>
          <w:p w14:paraId="38E42436" w14:textId="77777777" w:rsidR="00DF410E" w:rsidRDefault="00CE7F43">
            <w:r>
              <w:t>CLT (épaisseur de couche min. : 18mm)</w:t>
            </w:r>
          </w:p>
        </w:tc>
        <w:tc>
          <w:tcPr>
            <w:tcW w:w="2250" w:type="dxa"/>
            <w:noWrap/>
          </w:tcPr>
          <w:p w14:paraId="234DFBF1" w14:textId="77777777" w:rsidR="00DF410E" w:rsidRDefault="00CE7F43">
            <w:r>
              <w:t>350 kg/m³</w:t>
            </w:r>
          </w:p>
        </w:tc>
        <w:tc>
          <w:tcPr>
            <w:tcW w:w="2250" w:type="dxa"/>
            <w:noWrap/>
          </w:tcPr>
          <w:p w14:paraId="01C71B9B" w14:textId="77777777" w:rsidR="00DF410E" w:rsidRDefault="00CE7F43">
            <w:r>
              <w:t>54mm</w:t>
            </w:r>
          </w:p>
        </w:tc>
        <w:tc>
          <w:tcPr>
            <w:tcW w:w="2250" w:type="dxa"/>
            <w:noWrap/>
          </w:tcPr>
          <w:p w14:paraId="4E7AAE9F" w14:textId="77777777" w:rsidR="00DF410E" w:rsidRDefault="00CE7F43">
            <w:r>
              <w:t>C/2017/5389</w:t>
            </w:r>
          </w:p>
        </w:tc>
      </w:tr>
      <w:tr w:rsidR="00DF410E" w14:paraId="40BD04BF" w14:textId="77777777">
        <w:tc>
          <w:tcPr>
            <w:tcW w:w="2250" w:type="dxa"/>
            <w:noWrap/>
          </w:tcPr>
          <w:p w14:paraId="6E8E155B" w14:textId="77777777" w:rsidR="00DF410E" w:rsidRDefault="00CE7F43">
            <w:r>
              <w:t>LVL (épaisseur des placages min. : 3mm)</w:t>
            </w:r>
          </w:p>
        </w:tc>
        <w:tc>
          <w:tcPr>
            <w:tcW w:w="2250" w:type="dxa"/>
            <w:noWrap/>
          </w:tcPr>
          <w:p w14:paraId="5BD63580" w14:textId="77777777" w:rsidR="00DF410E" w:rsidRDefault="00CE7F43">
            <w:r>
              <w:t>400 kg/m³</w:t>
            </w:r>
          </w:p>
        </w:tc>
        <w:tc>
          <w:tcPr>
            <w:tcW w:w="2250" w:type="dxa"/>
            <w:noWrap/>
          </w:tcPr>
          <w:p w14:paraId="43CF49A4" w14:textId="77777777" w:rsidR="00DF410E" w:rsidRDefault="00CE7F43">
            <w:r>
              <w:t>18mm</w:t>
            </w:r>
          </w:p>
        </w:tc>
        <w:tc>
          <w:tcPr>
            <w:tcW w:w="2250" w:type="dxa"/>
            <w:noWrap/>
          </w:tcPr>
          <w:p w14:paraId="0248DFC4" w14:textId="77777777" w:rsidR="00DF410E" w:rsidRDefault="00CE7F43">
            <w:r>
              <w:t>C/2017/5389</w:t>
            </w:r>
          </w:p>
        </w:tc>
      </w:tr>
    </w:tbl>
    <w:p w14:paraId="2E6BE31D" w14:textId="77777777" w:rsidR="00DF410E" w:rsidRDefault="00DF410E"/>
    <w:p w14:paraId="7BF4A433" w14:textId="77777777" w:rsidR="00DF410E" w:rsidRDefault="00CE7F43">
      <w:pPr>
        <w:jc w:val="both"/>
      </w:pPr>
      <w:r>
        <w:t>NOTE : pour les bois massifs aboutés, les bois massifs reconstitués et les bois lamellés-collés, un tableau de classe de réaction est disponible dans leur norme produit respective mais a été modifié par la décision européenne renseignée dans le tableau ci-dessus.</w:t>
      </w:r>
    </w:p>
    <w:p w14:paraId="734C4278" w14:textId="77777777" w:rsidR="00DF410E" w:rsidRDefault="00CE7F43">
      <w:pPr>
        <w:pStyle w:val="Author-eListParagraph"/>
        <w:numPr>
          <w:ilvl w:val="0"/>
          <w:numId w:val="789"/>
        </w:numPr>
      </w:pPr>
      <w:r>
        <w:t>Résistance au feu :</w:t>
      </w:r>
    </w:p>
    <w:p w14:paraId="4F9EDEDE" w14:textId="77777777" w:rsidR="00DF410E" w:rsidRDefault="00CE7F43">
      <w:pPr>
        <w:jc w:val="both"/>
      </w:pPr>
      <w:r>
        <w:t xml:space="preserve">La performance de résistance au feu des éléments en bois et de ses assemblages doit être attestée soit par un rapport de classification selon la norme [NBN EN 13501-2], sur base d’un ou plusieurs essais en laboratoire, soit par un calcul selon la partie feu de l’Eurocode 5 ([NBN EN 1995-1-2] et son annexe nationale). </w:t>
      </w:r>
    </w:p>
    <w:p w14:paraId="1CD8CC6F" w14:textId="77777777" w:rsidR="00DF410E" w:rsidRDefault="00CE7F43">
      <w:pPr>
        <w:jc w:val="both"/>
      </w:pPr>
      <w:r>
        <w:t>Pour chaque poste faisant l’objet d’une exigence de résistance au feu définie dans le cahier spécial des charges, cette exigence s'applique à tous les éléments qui leurs sont directement associés (par exemple : plats métalliques, assemblages, etc.).</w:t>
      </w:r>
    </w:p>
    <w:p w14:paraId="44277360" w14:textId="77777777" w:rsidR="00DF410E" w:rsidRDefault="00DF410E"/>
    <w:p w14:paraId="3881F46E" w14:textId="77777777" w:rsidR="00DF410E" w:rsidRDefault="00CE7F43">
      <w:pPr>
        <w:jc w:val="both"/>
      </w:pPr>
      <w:r>
        <w:rPr>
          <w:rStyle w:val="headingChar"/>
        </w:rPr>
        <w:t>Bois Et Produits D'ingénierie En Bois</w:t>
      </w:r>
    </w:p>
    <w:p w14:paraId="6C8AEF88" w14:textId="77777777" w:rsidR="00DF410E" w:rsidRDefault="00CE7F43">
      <w:pPr>
        <w:jc w:val="both"/>
      </w:pPr>
      <w:r>
        <w:t>Il existe toute une gamme de produits en bois à la disposition du constructeur. On peut les diviser en quatre familles :</w:t>
      </w:r>
    </w:p>
    <w:p w14:paraId="291430DD" w14:textId="77777777" w:rsidR="00DF410E" w:rsidRDefault="00CE7F43">
      <w:pPr>
        <w:pStyle w:val="Author-eListParagraph"/>
        <w:numPr>
          <w:ilvl w:val="0"/>
          <w:numId w:val="790"/>
        </w:numPr>
      </w:pPr>
      <w:r>
        <w:t>Les produits à base de bois massif qui comprennent les bois massifs, les bois massifs aboutés, les bois massifs reconstitués, les bois lamellés-collés, les bois lamellés-collés en bloc et les bois lamellés-croisés.</w:t>
      </w:r>
    </w:p>
    <w:p w14:paraId="06A35CE4" w14:textId="77777777" w:rsidR="00DF410E" w:rsidRDefault="00CE7F43">
      <w:pPr>
        <w:pStyle w:val="Author-eListParagraph"/>
        <w:numPr>
          <w:ilvl w:val="0"/>
          <w:numId w:val="791"/>
        </w:numPr>
      </w:pPr>
      <w:r>
        <w:t>Les produits à base de placages qui comprennent les LVL, les PSL, les LSL et les panneaux contreplaqués.</w:t>
      </w:r>
    </w:p>
    <w:p w14:paraId="442F38B2" w14:textId="77777777" w:rsidR="00DF410E" w:rsidRDefault="00CE7F43">
      <w:pPr>
        <w:pStyle w:val="Author-eListParagraph"/>
        <w:numPr>
          <w:ilvl w:val="0"/>
          <w:numId w:val="792"/>
        </w:numPr>
      </w:pPr>
      <w:r>
        <w:t>Les produits issus de la trituration qui comprennent les panneaux OSB, les panneaux de particules et les panneaux MDF.</w:t>
      </w:r>
    </w:p>
    <w:p w14:paraId="629EE266" w14:textId="77777777" w:rsidR="00DF410E" w:rsidRDefault="00CE7F43">
      <w:pPr>
        <w:pStyle w:val="Author-eListParagraph"/>
        <w:numPr>
          <w:ilvl w:val="0"/>
          <w:numId w:val="793"/>
        </w:numPr>
      </w:pPr>
      <w:r>
        <w:t>Les produits à sections recomposées du type poutres en I, etc.</w:t>
      </w:r>
    </w:p>
    <w:p w14:paraId="046045D0" w14:textId="77777777" w:rsidR="00DF410E" w:rsidRDefault="00DF410E"/>
    <w:p w14:paraId="7C62FF78" w14:textId="77777777" w:rsidR="00DF410E" w:rsidRDefault="00CE7F43">
      <w:pPr>
        <w:jc w:val="both"/>
      </w:pPr>
      <w:r>
        <w:t>Le schéma ci-dessous montre les produits à base de bois massif :</w:t>
      </w:r>
    </w:p>
    <w:p w14:paraId="7CEFA6A9" w14:textId="77777777" w:rsidR="00DF410E" w:rsidRDefault="00CE7F43">
      <w:pPr>
        <w:jc w:val="both"/>
      </w:pPr>
      <w:r>
        <w:rPr>
          <w:noProof/>
        </w:rPr>
        <w:drawing>
          <wp:anchor distT="0" distB="0" distL="0" distR="0" simplePos="0" relativeHeight="251653632" behindDoc="0" locked="0" layoutInCell="1" allowOverlap="0" wp14:anchorId="601F96A3" wp14:editId="36E2C4D4">
            <wp:simplePos x="0" y="0"/>
            <wp:positionH relativeFrom="column">
              <wp:align>center</wp:align>
            </wp:positionH>
            <wp:positionV relativeFrom="line">
              <wp:align>top</wp:align>
            </wp:positionV>
            <wp:extent cx="4762500" cy="2524125"/>
            <wp:effectExtent l="0" t="0" r="0" b="0"/>
            <wp:wrapTopAndBottom/>
            <wp:docPr id="7" name="24.png"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52" descr="24.png"/>
                    <pic:cNvPicPr>
                      <a:picLocks noChangeAspect="1" noChangeArrowheads="1"/>
                    </pic:cNvPicPr>
                  </pic:nvPicPr>
                  <pic:blipFill>
                    <a:blip r:embed="rId256"/>
                    <a:srcRect/>
                    <a:stretch>
                      <a:fillRect/>
                    </a:stretch>
                  </pic:blipFill>
                  <pic:spPr bwMode="auto">
                    <a:xfrm>
                      <a:off x="0" y="0"/>
                      <a:ext cx="4762500" cy="2524125"/>
                    </a:xfrm>
                    <a:prstGeom prst="rect">
                      <a:avLst/>
                    </a:prstGeom>
                  </pic:spPr>
                </pic:pic>
              </a:graphicData>
            </a:graphic>
          </wp:anchor>
        </w:drawing>
      </w:r>
    </w:p>
    <w:p w14:paraId="10D99C35" w14:textId="77777777" w:rsidR="00DF410E" w:rsidRDefault="00CE7F43">
      <w:pPr>
        <w:ind w:left="567"/>
        <w:jc w:val="both"/>
      </w:pPr>
      <w:r>
        <w:rPr>
          <w:b/>
        </w:rPr>
        <w:t>BOIS MASSIFS</w:t>
      </w:r>
    </w:p>
    <w:p w14:paraId="074A45A5" w14:textId="77777777" w:rsidR="00DF410E" w:rsidRDefault="00CE7F43">
      <w:pPr>
        <w:pStyle w:val="Author-eListParagraph"/>
        <w:numPr>
          <w:ilvl w:val="0"/>
          <w:numId w:val="794"/>
        </w:numPr>
      </w:pPr>
      <w:r>
        <w:rPr>
          <w:u w:val="single"/>
        </w:rPr>
        <w:t>Description</w:t>
      </w:r>
    </w:p>
    <w:p w14:paraId="475E7ABF" w14:textId="77777777" w:rsidR="00DF410E" w:rsidRDefault="00DF410E"/>
    <w:p w14:paraId="0E97C6E2" w14:textId="77777777" w:rsidR="00DF410E" w:rsidRDefault="00CE7F43">
      <w:pPr>
        <w:jc w:val="both"/>
      </w:pPr>
      <w:r>
        <w:t xml:space="preserve">Bois massif est un terme générique comprenant les sciés et les bois ronds. </w:t>
      </w:r>
    </w:p>
    <w:p w14:paraId="6FB5893E" w14:textId="77777777" w:rsidR="00DF410E" w:rsidRDefault="00CE7F43">
      <w:pPr>
        <w:jc w:val="both"/>
      </w:pPr>
      <w:r>
        <w:t xml:space="preserve">Les bois sciés sont obtenus à partir de grumes ou de pièces de bois de plus fortes dimensions. </w:t>
      </w:r>
    </w:p>
    <w:p w14:paraId="225EF1C2" w14:textId="77777777" w:rsidR="00DF410E" w:rsidRDefault="00CE7F43">
      <w:pPr>
        <w:jc w:val="both"/>
      </w:pPr>
      <w:r>
        <w:t>Les bois ronds sont des bois abattus, ébranchés, écimés et éventuellement fraisés.</w:t>
      </w:r>
    </w:p>
    <w:p w14:paraId="2F6D580C" w14:textId="77777777" w:rsidR="00DF410E" w:rsidRDefault="00CE7F43">
      <w:pPr>
        <w:jc w:val="both"/>
      </w:pPr>
      <w:r>
        <w:t>Les éléments peuvent éventuellement comporter des aboutages à entures multiples. Ils sont alors appelés bois massifs aboutés.</w:t>
      </w:r>
    </w:p>
    <w:p w14:paraId="10D7A386" w14:textId="77777777" w:rsidR="00DF410E" w:rsidRDefault="00CE7F43">
      <w:pPr>
        <w:pStyle w:val="Author-eListParagraph"/>
        <w:numPr>
          <w:ilvl w:val="0"/>
          <w:numId w:val="795"/>
        </w:numPr>
      </w:pPr>
      <w:r>
        <w:rPr>
          <w:u w:val="single"/>
        </w:rPr>
        <w:t>Normes</w:t>
      </w:r>
    </w:p>
    <w:p w14:paraId="3BA8F305" w14:textId="77777777" w:rsidR="00DF410E" w:rsidRDefault="00CE7F43">
      <w:pPr>
        <w:jc w:val="both"/>
      </w:pPr>
      <w:r>
        <w:t>La norme [NBN EN 14081 série] est d’application pour les bois massifs, non aboutés, de section rectangulaire. Le marquage CE des produits rentrant dans son champ d’application est obligatoire.</w:t>
      </w:r>
    </w:p>
    <w:p w14:paraId="5B7FC827" w14:textId="77777777" w:rsidR="00DF410E" w:rsidRDefault="00CE7F43">
      <w:pPr>
        <w:jc w:val="both"/>
      </w:pPr>
      <w:r>
        <w:t>Les bois massifs peuvent être aboutés, on parle alors de bois massifs aboutés. Dans ce cas, les pièces constitutives du produit fini doivent être classées selon la  [NBN EN 14081 série] et les produits finis doivent être marqués selon la [NBN EN 15497].</w:t>
      </w:r>
    </w:p>
    <w:p w14:paraId="502E68FE" w14:textId="77777777" w:rsidR="00DF410E" w:rsidRDefault="00CE7F43">
      <w:pPr>
        <w:pStyle w:val="Author-eListParagraph"/>
        <w:numPr>
          <w:ilvl w:val="0"/>
          <w:numId w:val="796"/>
        </w:numPr>
      </w:pPr>
      <w:r>
        <w:rPr>
          <w:u w:val="single"/>
        </w:rPr>
        <w:t>Caractéristiques mécaniques</w:t>
      </w:r>
    </w:p>
    <w:p w14:paraId="1F7EB689" w14:textId="77777777" w:rsidR="00DF410E" w:rsidRDefault="00CE7F43">
      <w:pPr>
        <w:jc w:val="both"/>
      </w:pPr>
      <w:r>
        <w:t>Tous les bois massifs structuraux doivent être classés.</w:t>
      </w:r>
    </w:p>
    <w:p w14:paraId="5B2D6C93" w14:textId="77777777" w:rsidR="00DF410E" w:rsidRDefault="00CE7F43">
      <w:pPr>
        <w:jc w:val="both"/>
      </w:pPr>
      <w:r>
        <w:t>Les bois massifs structuraux, aboutés ou non, de section rectangulaire appartiennent à une classe de résistance selon la [NBN EN 338]. Les classe de résistance Cxx sont réservées pour les résineux et quelques feuillus assimilés aux résineux, par exemple le châtaigner. Pour les autres feuillus, les classes de résistance Dxx sont utilisées.</w:t>
      </w:r>
    </w:p>
    <w:p w14:paraId="78AB3630" w14:textId="77777777" w:rsidR="00DF410E" w:rsidRDefault="00CE7F43">
      <w:pPr>
        <w:pStyle w:val="Author-eListParagraph"/>
        <w:numPr>
          <w:ilvl w:val="0"/>
          <w:numId w:val="797"/>
        </w:numPr>
      </w:pPr>
      <w:r>
        <w:rPr>
          <w:u w:val="single"/>
        </w:rPr>
        <w:t>Teneur en humidité</w:t>
      </w:r>
    </w:p>
    <w:p w14:paraId="5B4ADA21" w14:textId="77777777" w:rsidR="00DF410E" w:rsidRDefault="00CE7F43">
      <w:pPr>
        <w:jc w:val="both"/>
      </w:pPr>
      <w:r>
        <w:t xml:space="preserve">La teneur en humidité cible à prescrire dépend de la teneur en humidité d’équilibre qu’aura l’élément en usage. </w:t>
      </w:r>
    </w:p>
    <w:p w14:paraId="619F0638" w14:textId="77777777" w:rsidR="00DF410E" w:rsidRDefault="00CE7F43">
      <w:pPr>
        <w:jc w:val="both"/>
      </w:pPr>
      <w:r>
        <w:t>La teneur en humidité cible maximale des bois massifs dépend de la classe d’emploi. Cependant, certains bois sèchent difficilement à cause de leur section ou de l’essence. Malgré que ce soit fortement déconseillé, il est envisageable de les mettre en œuvre à une teneur en humidité plus élevée. Dans ce cas, des dispositions particulières sont prises pour pallier les déformations (flèches, gauchissement, tuilage), les retraits et les fentes qui vont apparaitre, en particulier dans les locaux chauffés ou fortement ventilés. Ces éléments ne sont pas confinés afin de permettre le séchage.</w:t>
      </w:r>
    </w:p>
    <w:p w14:paraId="2CBE7134" w14:textId="77777777" w:rsidR="00DF410E" w:rsidRDefault="00CE7F43">
      <w:pPr>
        <w:jc w:val="both"/>
      </w:pPr>
      <w:r>
        <w:t>Lorsque les bois sont classés humides (marquage CE), il est probable que des fentes apparaissent lors du séchage. L’entrepreneur veille à ce que celles-ci ne réduisent pas la résistance des éléments (par exemple fentes dans les zones d’assemblages ou fentes traversantes trop importantes).</w:t>
      </w:r>
    </w:p>
    <w:p w14:paraId="2109B015" w14:textId="77777777" w:rsidR="00DF410E" w:rsidRDefault="00DF410E">
      <w:pPr>
        <w:jc w:val="both"/>
      </w:pPr>
    </w:p>
    <w:p w14:paraId="0BB4E774" w14:textId="77777777" w:rsidR="00DF410E" w:rsidRDefault="00CE7F43">
      <w:pPr>
        <w:jc w:val="both"/>
      </w:pPr>
      <w:r>
        <w:t>Sauf indication contraire au cahier des charges, la teneur en humidité cible maximale des bois massifs est donnée dans le tableau ci-dessous :</w:t>
      </w:r>
    </w:p>
    <w:tbl>
      <w:tblPr>
        <w:tblStyle w:val="Author-eTableGrid"/>
        <w:tblW w:w="9060" w:type="dxa"/>
        <w:tblLayout w:type="fixed"/>
        <w:tblLook w:val="04A0" w:firstRow="1" w:lastRow="0" w:firstColumn="1" w:lastColumn="0" w:noHBand="0" w:noVBand="1"/>
      </w:tblPr>
      <w:tblGrid>
        <w:gridCol w:w="4530"/>
        <w:gridCol w:w="4530"/>
      </w:tblGrid>
      <w:tr w:rsidR="00DF410E" w14:paraId="0ACE2340" w14:textId="77777777">
        <w:tc>
          <w:tcPr>
            <w:tcW w:w="4515" w:type="dxa"/>
            <w:noWrap/>
          </w:tcPr>
          <w:p w14:paraId="36200E1B" w14:textId="77777777" w:rsidR="00DF410E" w:rsidRDefault="00CE7F43">
            <w:r>
              <w:t>Classe d’emploi</w:t>
            </w:r>
          </w:p>
        </w:tc>
        <w:tc>
          <w:tcPr>
            <w:tcW w:w="4515" w:type="dxa"/>
            <w:noWrap/>
          </w:tcPr>
          <w:p w14:paraId="06C9E7CC" w14:textId="77777777" w:rsidR="00DF410E" w:rsidRDefault="00CE7F43">
            <w:r>
              <w:t> Teneur en humidité cible du bois</w:t>
            </w:r>
          </w:p>
        </w:tc>
      </w:tr>
      <w:tr w:rsidR="00DF410E" w14:paraId="6ABB9A6F" w14:textId="77777777">
        <w:tc>
          <w:tcPr>
            <w:tcW w:w="4515" w:type="dxa"/>
            <w:noWrap/>
          </w:tcPr>
          <w:p w14:paraId="212B1330" w14:textId="77777777" w:rsidR="00DF410E" w:rsidRDefault="00CE7F43">
            <w:r>
              <w:t>1</w:t>
            </w:r>
          </w:p>
        </w:tc>
        <w:tc>
          <w:tcPr>
            <w:tcW w:w="4515" w:type="dxa"/>
            <w:noWrap/>
          </w:tcPr>
          <w:p w14:paraId="0C8BD01D" w14:textId="77777777" w:rsidR="00DF410E" w:rsidRDefault="00CE7F43">
            <w:r>
              <w:t>&lt; 12%</w:t>
            </w:r>
          </w:p>
        </w:tc>
      </w:tr>
      <w:tr w:rsidR="00DF410E" w14:paraId="72F00B66" w14:textId="77777777">
        <w:tc>
          <w:tcPr>
            <w:tcW w:w="4515" w:type="dxa"/>
            <w:noWrap/>
          </w:tcPr>
          <w:p w14:paraId="3A20937A" w14:textId="77777777" w:rsidR="00DF410E" w:rsidRDefault="00CE7F43">
            <w:r>
              <w:t>2</w:t>
            </w:r>
          </w:p>
        </w:tc>
        <w:tc>
          <w:tcPr>
            <w:tcW w:w="4515" w:type="dxa"/>
            <w:noWrap/>
          </w:tcPr>
          <w:p w14:paraId="0EC69287" w14:textId="77777777" w:rsidR="00DF410E" w:rsidRDefault="00CE7F43">
            <w:r>
              <w:t>&lt; 17%</w:t>
            </w:r>
          </w:p>
        </w:tc>
      </w:tr>
      <w:tr w:rsidR="00DF410E" w14:paraId="5FC8B11C" w14:textId="77777777">
        <w:tc>
          <w:tcPr>
            <w:tcW w:w="4515" w:type="dxa"/>
            <w:noWrap/>
          </w:tcPr>
          <w:p w14:paraId="7DF23765" w14:textId="77777777" w:rsidR="00DF410E" w:rsidRDefault="00CE7F43">
            <w:r>
              <w:t>3</w:t>
            </w:r>
          </w:p>
        </w:tc>
        <w:tc>
          <w:tcPr>
            <w:tcW w:w="4515" w:type="dxa"/>
            <w:noWrap/>
          </w:tcPr>
          <w:p w14:paraId="50441AE5" w14:textId="77777777" w:rsidR="00DF410E" w:rsidRDefault="00CE7F43">
            <w:r>
              <w:t>&lt; 22%</w:t>
            </w:r>
          </w:p>
        </w:tc>
      </w:tr>
      <w:tr w:rsidR="00DF410E" w14:paraId="5FAC311E" w14:textId="77777777">
        <w:tc>
          <w:tcPr>
            <w:tcW w:w="4515" w:type="dxa"/>
            <w:noWrap/>
          </w:tcPr>
          <w:p w14:paraId="313F6AEC" w14:textId="77777777" w:rsidR="00DF410E" w:rsidRDefault="00CE7F43">
            <w:r>
              <w:t>4</w:t>
            </w:r>
          </w:p>
        </w:tc>
        <w:tc>
          <w:tcPr>
            <w:tcW w:w="4515" w:type="dxa"/>
            <w:vMerge w:val="restart"/>
            <w:noWrap/>
          </w:tcPr>
          <w:p w14:paraId="68F59ADA" w14:textId="77777777" w:rsidR="00DF410E" w:rsidRDefault="00DF410E"/>
          <w:p w14:paraId="31428319" w14:textId="77777777" w:rsidR="00DF410E" w:rsidRDefault="00CE7F43">
            <w:r>
              <w:t>&gt; 25%</w:t>
            </w:r>
          </w:p>
        </w:tc>
      </w:tr>
      <w:tr w:rsidR="00DF410E" w14:paraId="7E438E86" w14:textId="77777777">
        <w:tc>
          <w:tcPr>
            <w:tcW w:w="4515" w:type="dxa"/>
            <w:noWrap/>
          </w:tcPr>
          <w:p w14:paraId="6BE54056" w14:textId="77777777" w:rsidR="00DF410E" w:rsidRDefault="00CE7F43">
            <w:r>
              <w:t>5</w:t>
            </w:r>
          </w:p>
        </w:tc>
        <w:tc>
          <w:tcPr>
            <w:tcW w:w="4515" w:type="dxa"/>
            <w:vMerge/>
            <w:noWrap/>
          </w:tcPr>
          <w:p w14:paraId="54E2076C" w14:textId="77777777" w:rsidR="00DF410E" w:rsidRDefault="00DF410E"/>
        </w:tc>
      </w:tr>
    </w:tbl>
    <w:p w14:paraId="00BFB826" w14:textId="77777777" w:rsidR="00DF410E" w:rsidRDefault="00DF410E"/>
    <w:p w14:paraId="56083AE2" w14:textId="77777777" w:rsidR="00DF410E" w:rsidRDefault="00DF410E">
      <w:pPr>
        <w:ind w:left="567"/>
        <w:jc w:val="both"/>
      </w:pPr>
    </w:p>
    <w:p w14:paraId="14C7C8F8" w14:textId="77777777" w:rsidR="00DF410E" w:rsidRDefault="00CE7F43">
      <w:pPr>
        <w:ind w:left="567"/>
        <w:jc w:val="both"/>
      </w:pPr>
      <w:r>
        <w:rPr>
          <w:b/>
        </w:rPr>
        <w:t>BOIS LAMELLE COLLE</w:t>
      </w:r>
    </w:p>
    <w:p w14:paraId="4F75A15E" w14:textId="77777777" w:rsidR="00DF410E" w:rsidRDefault="00CE7F43">
      <w:pPr>
        <w:pStyle w:val="Author-eListParagraph"/>
        <w:numPr>
          <w:ilvl w:val="0"/>
          <w:numId w:val="798"/>
        </w:numPr>
      </w:pPr>
      <w:r>
        <w:rPr>
          <w:u w:val="single"/>
        </w:rPr>
        <w:t>Description</w:t>
      </w:r>
    </w:p>
    <w:p w14:paraId="6EBC73BA" w14:textId="77777777" w:rsidR="00DF410E" w:rsidRDefault="00CE7F43">
      <w:pPr>
        <w:jc w:val="both"/>
      </w:pPr>
      <w:r>
        <w:t>Les bois lamellés collés sont composés à partir de planches de bois massifs qui sont aboutées pour obtenir les lamelles. Ensuite ces lamelles sont superposées et solidarisées entre elles, généralement par collage.</w:t>
      </w:r>
    </w:p>
    <w:p w14:paraId="4EB0ABF1" w14:textId="77777777" w:rsidR="00DF410E" w:rsidRDefault="00CE7F43">
      <w:pPr>
        <w:jc w:val="both"/>
      </w:pPr>
      <w:r>
        <w:t>Les bois lamellés collés sont composés de minimum deux lamelles. L’épaisseur des lamelles est comprise entre 6 et 45 mm (inclus).</w:t>
      </w:r>
    </w:p>
    <w:p w14:paraId="6AC122AD" w14:textId="77777777" w:rsidR="00DF410E" w:rsidRDefault="00CE7F43">
      <w:pPr>
        <w:jc w:val="both"/>
      </w:pPr>
      <w:r>
        <w:t>Les bois massifs reconstitués sont compris dans les bois lamellés collés. Un bois massifs reconstitué est composé de 2 à 5 lamelles. Ces lamelles sont d’une épaisseur comprise entre 45mm et 85mm.</w:t>
      </w:r>
    </w:p>
    <w:p w14:paraId="0E5C36CB" w14:textId="77777777" w:rsidR="00DF410E" w:rsidRDefault="00CE7F43">
      <w:pPr>
        <w:pStyle w:val="Author-eListParagraph"/>
        <w:numPr>
          <w:ilvl w:val="0"/>
          <w:numId w:val="799"/>
        </w:numPr>
      </w:pPr>
      <w:r>
        <w:rPr>
          <w:u w:val="single"/>
        </w:rPr>
        <w:t>Normes</w:t>
      </w:r>
    </w:p>
    <w:p w14:paraId="02AECB76" w14:textId="77777777" w:rsidR="00DF410E" w:rsidRDefault="00CE7F43">
      <w:pPr>
        <w:jc w:val="both"/>
      </w:pPr>
      <w:r>
        <w:t xml:space="preserve">La norme [NBN EN 14080] est d’application pour les éléments en bois lamellé collé. </w:t>
      </w:r>
    </w:p>
    <w:p w14:paraId="06C02CD0" w14:textId="77777777" w:rsidR="00DF410E" w:rsidRDefault="00CE7F43">
      <w:pPr>
        <w:jc w:val="both"/>
      </w:pPr>
      <w:r>
        <w:t>Lorsque les éléments sont fabriqués à partir d’essences résineuses ou de peuplier, ils disposent du marquage CE conformément à l’annexe ZA de cette norme.</w:t>
      </w:r>
    </w:p>
    <w:p w14:paraId="1583CADC" w14:textId="77777777" w:rsidR="00DF410E" w:rsidRDefault="00DF410E">
      <w:pPr>
        <w:jc w:val="both"/>
      </w:pPr>
    </w:p>
    <w:p w14:paraId="7C0A133B" w14:textId="77777777" w:rsidR="00DF410E" w:rsidRDefault="00CE7F43">
      <w:pPr>
        <w:jc w:val="both"/>
      </w:pPr>
      <w:r>
        <w:t>Il n’existe à l’heure actuelle aucune norme couvrant les bois lamellés collés en essences feuillues autres que le peuplier, en lamellé cloués, lamellés collés-cloués ou lamellés chevillés. Leurs caractéristiques essentielles doivent donc être prouvées par une autre méthode.</w:t>
      </w:r>
    </w:p>
    <w:p w14:paraId="2990ADAB" w14:textId="77777777" w:rsidR="00DF410E" w:rsidRDefault="00CE7F43">
      <w:pPr>
        <w:pStyle w:val="Author-eListParagraph"/>
        <w:numPr>
          <w:ilvl w:val="0"/>
          <w:numId w:val="800"/>
        </w:numPr>
      </w:pPr>
      <w:r>
        <w:rPr>
          <w:u w:val="single"/>
        </w:rPr>
        <w:t>Caractéristiques mécaniques</w:t>
      </w:r>
    </w:p>
    <w:p w14:paraId="2E63324B" w14:textId="77777777" w:rsidR="00DF410E" w:rsidRDefault="00CE7F43">
      <w:pPr>
        <w:jc w:val="both"/>
      </w:pPr>
      <w:r>
        <w:t>Les planches sont classées selon leur résistance dans une classe décrite à la [NBN EN 338].</w:t>
      </w:r>
    </w:p>
    <w:p w14:paraId="2E8D316D" w14:textId="77777777" w:rsidR="00DF410E" w:rsidRDefault="00CE7F43">
      <w:pPr>
        <w:jc w:val="both"/>
      </w:pPr>
      <w:r>
        <w:t>Les bois lamellés collés sont dits homogènes s’ils sont composés de planches appartenant à la même classe de résistance. La classe de résistance du lamellé collé est alors noté « GL xx h ».</w:t>
      </w:r>
    </w:p>
    <w:p w14:paraId="79ADF5B1" w14:textId="77777777" w:rsidR="00DF410E" w:rsidRDefault="00CE7F43">
      <w:pPr>
        <w:jc w:val="both"/>
      </w:pPr>
      <w:r>
        <w:t>Il est possible d’utiliser, pour les lamelles centrales, des planches de classe inférieure à celles des lamelles extérieures. Le bois lamellé-collé est dit panaché et sa classe de résistance est alors notée « GL xx c ».</w:t>
      </w:r>
    </w:p>
    <w:p w14:paraId="21B77200" w14:textId="77777777" w:rsidR="00DF410E" w:rsidRDefault="00CE7F43">
      <w:pPr>
        <w:pStyle w:val="Author-eListParagraph"/>
        <w:numPr>
          <w:ilvl w:val="0"/>
          <w:numId w:val="801"/>
        </w:numPr>
      </w:pPr>
      <w:r>
        <w:rPr>
          <w:u w:val="single"/>
        </w:rPr>
        <w:t>Essences utilisées</w:t>
      </w:r>
    </w:p>
    <w:p w14:paraId="159D36A8" w14:textId="77777777" w:rsidR="00DF410E" w:rsidRDefault="00CE7F43">
      <w:pPr>
        <w:jc w:val="both"/>
      </w:pPr>
      <w:r>
        <w:t>Les bois lamellés collés sont réalisés à partir d’une seule et même essence (épicéa et sapin peuvent être considérés comme étant la même essence). La norme [NBN EN 14080] ne couvre que les produits fabriqués à partir de certaines essences, toutes résineuses à l’exception du peuplier. Les principales essences locales couvertes sont les suivantes :</w:t>
      </w:r>
    </w:p>
    <w:p w14:paraId="4B46778A" w14:textId="77777777" w:rsidR="00DF410E" w:rsidRDefault="00CE7F43">
      <w:pPr>
        <w:pStyle w:val="Author-eListParagraph"/>
        <w:numPr>
          <w:ilvl w:val="0"/>
          <w:numId w:val="802"/>
        </w:numPr>
      </w:pPr>
      <w:r>
        <w:t>sapin/épicéa</w:t>
      </w:r>
    </w:p>
    <w:p w14:paraId="6964BEEC" w14:textId="77777777" w:rsidR="00DF410E" w:rsidRDefault="00CE7F43">
      <w:pPr>
        <w:pStyle w:val="Author-eListParagraph"/>
        <w:numPr>
          <w:ilvl w:val="0"/>
          <w:numId w:val="802"/>
        </w:numPr>
      </w:pPr>
      <w:r>
        <w:t>pin sylvestre</w:t>
      </w:r>
    </w:p>
    <w:p w14:paraId="58FD631C" w14:textId="77777777" w:rsidR="00DF410E" w:rsidRDefault="00CE7F43">
      <w:pPr>
        <w:pStyle w:val="Author-eListParagraph"/>
        <w:numPr>
          <w:ilvl w:val="0"/>
          <w:numId w:val="802"/>
        </w:numPr>
      </w:pPr>
      <w:r>
        <w:t>douglas</w:t>
      </w:r>
    </w:p>
    <w:p w14:paraId="0BD02149" w14:textId="77777777" w:rsidR="00DF410E" w:rsidRDefault="00CE7F43">
      <w:pPr>
        <w:pStyle w:val="Author-eListParagraph"/>
        <w:numPr>
          <w:ilvl w:val="0"/>
          <w:numId w:val="802"/>
        </w:numPr>
      </w:pPr>
      <w:r>
        <w:t>mélèze</w:t>
      </w:r>
    </w:p>
    <w:p w14:paraId="4A99A784" w14:textId="77777777" w:rsidR="00DF410E" w:rsidRDefault="00CE7F43">
      <w:pPr>
        <w:pStyle w:val="Author-eListParagraph"/>
        <w:numPr>
          <w:ilvl w:val="0"/>
          <w:numId w:val="802"/>
        </w:numPr>
      </w:pPr>
      <w:r>
        <w:t>peuplier</w:t>
      </w:r>
    </w:p>
    <w:p w14:paraId="03BC3D10" w14:textId="77777777" w:rsidR="00DF410E" w:rsidRDefault="00CE7F43">
      <w:pPr>
        <w:pStyle w:val="Author-eListParagraph"/>
        <w:numPr>
          <w:ilvl w:val="0"/>
          <w:numId w:val="803"/>
        </w:numPr>
      </w:pPr>
      <w:r>
        <w:rPr>
          <w:u w:val="single"/>
        </w:rPr>
        <w:t>Durabilité des lamellés collés</w:t>
      </w:r>
    </w:p>
    <w:p w14:paraId="677F3493" w14:textId="77777777" w:rsidR="00DF410E" w:rsidRDefault="00CE7F43">
      <w:pPr>
        <w:jc w:val="both"/>
      </w:pPr>
      <w:r>
        <w:t>Il est préférable de concevoir avec du bois lamellé collé en privilégiant les classes d’emploi 1 et 2, mais une utilisation en classe d’emploi 3 ou 4 sera possible avec une étude au cas par cas et seulement sous conditions particulières.</w:t>
      </w:r>
    </w:p>
    <w:p w14:paraId="1610DA39" w14:textId="77777777" w:rsidR="00DF410E" w:rsidRDefault="00CE7F43">
      <w:pPr>
        <w:jc w:val="both"/>
      </w:pPr>
      <w:r>
        <w:t>Le traitement de préservation doit être compatible avec la colle utilisée pour la fabrication de l’élément.</w:t>
      </w:r>
    </w:p>
    <w:p w14:paraId="1F9088FD" w14:textId="77777777" w:rsidR="00DF410E" w:rsidRDefault="00DF410E"/>
    <w:p w14:paraId="06E401F1" w14:textId="77777777" w:rsidR="00DF410E" w:rsidRDefault="00CE7F43">
      <w:pPr>
        <w:ind w:left="567"/>
        <w:jc w:val="both"/>
      </w:pPr>
      <w:r>
        <w:rPr>
          <w:b/>
        </w:rPr>
        <w:t>BOIS LAMELLE COLLE EN BLOC</w:t>
      </w:r>
    </w:p>
    <w:p w14:paraId="742B3E95" w14:textId="77777777" w:rsidR="00DF410E" w:rsidRDefault="00CE7F43">
      <w:pPr>
        <w:pStyle w:val="Author-eListParagraph"/>
        <w:numPr>
          <w:ilvl w:val="0"/>
          <w:numId w:val="804"/>
        </w:numPr>
      </w:pPr>
      <w:r>
        <w:rPr>
          <w:u w:val="single"/>
        </w:rPr>
        <w:t>Description</w:t>
      </w:r>
    </w:p>
    <w:p w14:paraId="3A0CD7A2" w14:textId="77777777" w:rsidR="00DF410E" w:rsidRDefault="00CE7F43">
      <w:pPr>
        <w:jc w:val="both"/>
      </w:pPr>
      <w:r>
        <w:t>Il s’agit d’éléments de structure ayant une section transversale massive, fabriqué à partir d’au moins deux composants en bois lamellé-collé assemblés par collage à l'aide d'un adhésif pour joint épais.</w:t>
      </w:r>
    </w:p>
    <w:p w14:paraId="19B94549" w14:textId="77777777" w:rsidR="00DF410E" w:rsidRDefault="00CE7F43">
      <w:pPr>
        <w:jc w:val="both"/>
      </w:pPr>
      <w:r>
        <w:t>Les prescriptions pour le bois lamellé-collé sont d’application.</w:t>
      </w:r>
    </w:p>
    <w:p w14:paraId="73A3B66B" w14:textId="77777777" w:rsidR="00DF410E" w:rsidRDefault="00CE7F43">
      <w:pPr>
        <w:pStyle w:val="Author-eListParagraph"/>
        <w:numPr>
          <w:ilvl w:val="0"/>
          <w:numId w:val="805"/>
        </w:numPr>
      </w:pPr>
      <w:r>
        <w:rPr>
          <w:u w:val="single"/>
        </w:rPr>
        <w:t>Normes</w:t>
      </w:r>
    </w:p>
    <w:p w14:paraId="6A9A09D9" w14:textId="77777777" w:rsidR="00DF410E" w:rsidRDefault="00CE7F43">
      <w:pPr>
        <w:jc w:val="both"/>
      </w:pPr>
      <w:r>
        <w:t>La norme [NBN EN 14080] couvre les bois lamellés-collés en bloc. Ceux-ci disposent du marquage CE conformément à l’annexe ZA de la norme.</w:t>
      </w:r>
    </w:p>
    <w:p w14:paraId="3278C816" w14:textId="77777777" w:rsidR="00DF410E" w:rsidRDefault="00DF410E"/>
    <w:p w14:paraId="5EA0D04D" w14:textId="77777777" w:rsidR="00DF410E" w:rsidRDefault="00CE7F43">
      <w:pPr>
        <w:ind w:left="567"/>
        <w:jc w:val="both"/>
      </w:pPr>
      <w:r>
        <w:rPr>
          <w:b/>
        </w:rPr>
        <w:t>CLT</w:t>
      </w:r>
    </w:p>
    <w:p w14:paraId="5A6411C8" w14:textId="77777777" w:rsidR="00DF410E" w:rsidRDefault="00CE7F43">
      <w:pPr>
        <w:pStyle w:val="Author-eListParagraph"/>
        <w:numPr>
          <w:ilvl w:val="0"/>
          <w:numId w:val="806"/>
        </w:numPr>
      </w:pPr>
      <w:r>
        <w:rPr>
          <w:u w:val="single"/>
        </w:rPr>
        <w:t>Description</w:t>
      </w:r>
    </w:p>
    <w:p w14:paraId="4C0B1081" w14:textId="77777777" w:rsidR="00DF410E" w:rsidRDefault="00CE7F43">
      <w:pPr>
        <w:jc w:val="both"/>
      </w:pPr>
      <w:r>
        <w:t>Le CLT (Cross Laminated Timber, bois lamellé croisé) est un panneau structurel de grande dimension et constitué d’aux moins trois couches dont au moins trois sont collées orthogonalement, comprenant toujours des couches de bois et pouvant également comprendre des couches en panneaux à base de bois.</w:t>
      </w:r>
    </w:p>
    <w:p w14:paraId="5F84FF73" w14:textId="77777777" w:rsidR="00DF410E" w:rsidRDefault="00CE7F43">
      <w:pPr>
        <w:jc w:val="both"/>
      </w:pPr>
      <w:r>
        <w:t>Les panneaux sont symétriques par rapport à leur plan central.</w:t>
      </w:r>
    </w:p>
    <w:p w14:paraId="0C48CFC6" w14:textId="77777777" w:rsidR="00DF410E" w:rsidRDefault="00DF410E">
      <w:pPr>
        <w:jc w:val="both"/>
      </w:pPr>
    </w:p>
    <w:p w14:paraId="60578F1B" w14:textId="77777777" w:rsidR="00DF410E" w:rsidRDefault="00CE7F43">
      <w:pPr>
        <w:jc w:val="both"/>
      </w:pPr>
      <w:r>
        <w:t>Il existe aussi des CLT cloués et des CLT chevillés. Sauf prescription contraire au cahier spécial des charges, ceux-ci ne sont pas développés.</w:t>
      </w:r>
    </w:p>
    <w:p w14:paraId="1A19F725" w14:textId="77777777" w:rsidR="00DF410E" w:rsidRDefault="00CE7F43">
      <w:pPr>
        <w:pStyle w:val="Author-eListParagraph"/>
        <w:numPr>
          <w:ilvl w:val="0"/>
          <w:numId w:val="807"/>
        </w:numPr>
      </w:pPr>
      <w:r>
        <w:rPr>
          <w:u w:val="single"/>
        </w:rPr>
        <w:t>Normes</w:t>
      </w:r>
    </w:p>
    <w:p w14:paraId="712B1557" w14:textId="77777777" w:rsidR="00DF410E" w:rsidRDefault="00CE7F43">
      <w:pPr>
        <w:jc w:val="both"/>
      </w:pPr>
      <w:r>
        <w:t>La norme [NBN EN 16351] est d’application, celle-ci définit les exigences concernant le CLT.</w:t>
      </w:r>
    </w:p>
    <w:p w14:paraId="1CDE8EB6" w14:textId="77777777" w:rsidR="00DF410E" w:rsidRDefault="00CE7F43">
      <w:pPr>
        <w:jc w:val="both"/>
      </w:pPr>
      <w:r>
        <w:t>Bien qu’elle comporte l’annexe ZA, il n’est pas possible d’effectuer le marquage CE sur base de celle-ci tant qu’elle n’a pas été publiée au journal officiel de l’union européenne.</w:t>
      </w:r>
    </w:p>
    <w:p w14:paraId="2115A95F" w14:textId="77777777" w:rsidR="00DF410E" w:rsidRDefault="00DF410E">
      <w:pPr>
        <w:jc w:val="both"/>
      </w:pPr>
    </w:p>
    <w:p w14:paraId="570F5F67" w14:textId="77777777" w:rsidR="00DF410E" w:rsidRDefault="00CE7F43">
      <w:pPr>
        <w:jc w:val="both"/>
      </w:pPr>
      <w:r>
        <w:t>Le CLT collé est couvert par le document d’évaluation européen [EAD 130005-00-0304].</w:t>
      </w:r>
    </w:p>
    <w:p w14:paraId="03CBCD9C" w14:textId="77777777" w:rsidR="00DF410E" w:rsidRDefault="00CE7F43">
      <w:pPr>
        <w:pStyle w:val="Author-eListParagraph"/>
        <w:numPr>
          <w:ilvl w:val="0"/>
          <w:numId w:val="808"/>
        </w:numPr>
      </w:pPr>
      <w:r>
        <w:rPr>
          <w:u w:val="single"/>
        </w:rPr>
        <w:t>Caractéristiques mécaniques</w:t>
      </w:r>
    </w:p>
    <w:p w14:paraId="3C9B8F52" w14:textId="77777777" w:rsidR="00DF410E" w:rsidRDefault="00CE7F43">
      <w:pPr>
        <w:jc w:val="both"/>
      </w:pPr>
      <w:r>
        <w:t>Les caractéristiques mécaniques des CLT sont déclarées par le fabricant et attestées par un organisme notifié.</w:t>
      </w:r>
    </w:p>
    <w:p w14:paraId="36D618BA" w14:textId="77777777" w:rsidR="00DF410E" w:rsidRDefault="00CE7F43">
      <w:pPr>
        <w:pStyle w:val="Author-eListParagraph"/>
        <w:numPr>
          <w:ilvl w:val="0"/>
          <w:numId w:val="809"/>
        </w:numPr>
      </w:pPr>
      <w:r>
        <w:rPr>
          <w:u w:val="single"/>
        </w:rPr>
        <w:t>Essences utilisées</w:t>
      </w:r>
    </w:p>
    <w:p w14:paraId="4E7F6C8A" w14:textId="77777777" w:rsidR="00DF410E" w:rsidRDefault="00CE7F43">
      <w:pPr>
        <w:jc w:val="both"/>
      </w:pPr>
      <w:r>
        <w:t>Généralement, les bois lamellés croisés sont réalisés à partir d’essences résineuses ou de peuplier.</w:t>
      </w:r>
    </w:p>
    <w:p w14:paraId="0973C33A" w14:textId="77777777" w:rsidR="00DF410E" w:rsidRDefault="00CE7F43">
      <w:pPr>
        <w:pStyle w:val="Author-eListParagraph"/>
        <w:numPr>
          <w:ilvl w:val="0"/>
          <w:numId w:val="810"/>
        </w:numPr>
      </w:pPr>
      <w:r>
        <w:rPr>
          <w:u w:val="single"/>
        </w:rPr>
        <w:t>Durabilité du CLT</w:t>
      </w:r>
    </w:p>
    <w:p w14:paraId="39153A6C" w14:textId="77777777" w:rsidR="00DF410E" w:rsidRDefault="00CE7F43">
      <w:pPr>
        <w:jc w:val="both"/>
      </w:pPr>
      <w:r>
        <w:t>Il est conseillé de se limiter aux classes d’emploi 1 ou 2 pour le bois lamellé croisé.</w:t>
      </w:r>
    </w:p>
    <w:p w14:paraId="7E6F1D78" w14:textId="77777777" w:rsidR="00DF410E" w:rsidRDefault="00CE7F43">
      <w:pPr>
        <w:pStyle w:val="Author-eListParagraph"/>
        <w:numPr>
          <w:ilvl w:val="0"/>
          <w:numId w:val="811"/>
        </w:numPr>
      </w:pPr>
      <w:r>
        <w:rPr>
          <w:u w:val="single"/>
        </w:rPr>
        <w:t>Exigences d’aspect</w:t>
      </w:r>
    </w:p>
    <w:p w14:paraId="07CA7571" w14:textId="77777777" w:rsidR="00DF410E" w:rsidRDefault="00CE7F43">
      <w:pPr>
        <w:jc w:val="both"/>
      </w:pPr>
      <w:r>
        <w:t>L’esthétique d’un élément s’entend comme étant l’aspect de ses faces visibles. Il faut donc toujours préciser la qualité visible souhaitée pour les deux faces de l’élément.</w:t>
      </w:r>
    </w:p>
    <w:p w14:paraId="7D081271" w14:textId="77777777" w:rsidR="00DF410E" w:rsidRDefault="00CE7F43">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39B86134" w14:textId="77777777" w:rsidR="00DF410E" w:rsidRDefault="00DF410E">
      <w:pPr>
        <w:jc w:val="both"/>
      </w:pPr>
    </w:p>
    <w:p w14:paraId="7175CDF2" w14:textId="77777777" w:rsidR="00DF410E" w:rsidRDefault="00CE7F43">
      <w:pPr>
        <w:jc w:val="both"/>
      </w:pPr>
      <w:r>
        <w:t>Les qualités d’aspect ne sont actuellement pas encore normalisées. Généralement, les critères d’aspect pris en compte par les fabricants sont :</w:t>
      </w:r>
    </w:p>
    <w:p w14:paraId="4F6AB6BF" w14:textId="77777777" w:rsidR="00DF410E" w:rsidRDefault="00CE7F43">
      <w:pPr>
        <w:jc w:val="both"/>
      </w:pPr>
      <w:r>
        <w:t xml:space="preserve"> - Quantité de nœuds ;</w:t>
      </w:r>
    </w:p>
    <w:p w14:paraId="4BF1A4B6" w14:textId="77777777" w:rsidR="00DF410E" w:rsidRDefault="00CE7F43">
      <w:pPr>
        <w:jc w:val="both"/>
      </w:pPr>
      <w:r>
        <w:t xml:space="preserve"> - Type de nœuds (adhérents, non-adhérents, …) ;</w:t>
      </w:r>
    </w:p>
    <w:p w14:paraId="1048C677" w14:textId="77777777" w:rsidR="00DF410E" w:rsidRDefault="00CE7F43">
      <w:pPr>
        <w:jc w:val="both"/>
      </w:pPr>
      <w:r>
        <w:t xml:space="preserve"> - bleuissement, échauffure ;</w:t>
      </w:r>
    </w:p>
    <w:p w14:paraId="52F28FBB" w14:textId="77777777" w:rsidR="00DF410E" w:rsidRDefault="00CE7F43">
      <w:pPr>
        <w:jc w:val="both"/>
      </w:pPr>
      <w:r>
        <w:t xml:space="preserve"> - collage ou non des chants ;</w:t>
      </w:r>
    </w:p>
    <w:p w14:paraId="3E80E43B" w14:textId="77777777" w:rsidR="00DF410E" w:rsidRDefault="00CE7F43">
      <w:pPr>
        <w:jc w:val="both"/>
      </w:pPr>
      <w:r>
        <w:t xml:space="preserve"> - état de surface (poncée/non-poncée) ;</w:t>
      </w:r>
    </w:p>
    <w:p w14:paraId="71C08977" w14:textId="77777777" w:rsidR="00DF410E" w:rsidRDefault="00CE7F43">
      <w:pPr>
        <w:jc w:val="both"/>
      </w:pPr>
      <w:r>
        <w:t xml:space="preserve"> - dépassement de colle ;</w:t>
      </w:r>
    </w:p>
    <w:p w14:paraId="026698DD" w14:textId="77777777" w:rsidR="00DF410E" w:rsidRDefault="00CE7F43">
      <w:pPr>
        <w:jc w:val="both"/>
      </w:pPr>
      <w:r>
        <w:t xml:space="preserve"> - …</w:t>
      </w:r>
    </w:p>
    <w:p w14:paraId="350308DD" w14:textId="77777777" w:rsidR="00DF410E" w:rsidRDefault="00CE7F43">
      <w:pPr>
        <w:jc w:val="both"/>
      </w:pPr>
      <w:r>
        <w:t>Des classes visuelles couramment utilisées sont définies ci-dessous. Elles tendent à être communément reconnues bien qu’elles ne soient pas normalisées.</w:t>
      </w:r>
    </w:p>
    <w:p w14:paraId="5077D111" w14:textId="77777777" w:rsidR="00DF410E" w:rsidRDefault="00CE7F43">
      <w:pPr>
        <w:jc w:val="both"/>
      </w:pPr>
      <w:r>
        <w:rPr>
          <w:u w:val="single"/>
        </w:rPr>
        <w:t xml:space="preserve"> Non-visible :</w:t>
      </w:r>
    </w:p>
    <w:p w14:paraId="1F9C4E4C" w14:textId="77777777" w:rsidR="00DF410E" w:rsidRDefault="00CE7F43">
      <w:pPr>
        <w:jc w:val="both"/>
      </w:pPr>
      <w:r>
        <w:t>-Présence de nœuds sautés, de bords non jointifs, etc. sans altération des caractéristiques mécaniques.</w:t>
      </w:r>
    </w:p>
    <w:p w14:paraId="4A747A46" w14:textId="77777777" w:rsidR="00DF410E" w:rsidRDefault="00CE7F43">
      <w:pPr>
        <w:jc w:val="both"/>
      </w:pPr>
      <w:r>
        <w:rPr>
          <w:u w:val="single"/>
        </w:rPr>
        <w:t>Visible industrielle :</w:t>
      </w:r>
    </w:p>
    <w:p w14:paraId="71839FE6" w14:textId="77777777" w:rsidR="00DF410E" w:rsidRDefault="00CE7F43">
      <w:pPr>
        <w:jc w:val="both"/>
      </w:pPr>
      <w:r>
        <w:t>-La qualité de bois de la surface correspond à un aspect B selon la norme [NBN EN 13017-1]. Selon l’orientation de la surface, les lamelles peuvent être aboutées selon les cas</w:t>
      </w:r>
    </w:p>
    <w:p w14:paraId="619A3DE7" w14:textId="77777777" w:rsidR="00DF410E" w:rsidRDefault="00CE7F43">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7545B0CA" w14:textId="77777777" w:rsidR="00DF410E" w:rsidRDefault="00CE7F43">
      <w:pPr>
        <w:jc w:val="both"/>
      </w:pPr>
      <w:r>
        <w:t>-Avec une humidité de bois de 12% (+/-2%), la largeur maximale du joint est de 4mm. Le choix de la largeur des lamelles appartient au fabricant.</w:t>
      </w:r>
    </w:p>
    <w:p w14:paraId="0D9C287A" w14:textId="77777777" w:rsidR="00DF410E" w:rsidRDefault="00CE7F43">
      <w:pPr>
        <w:jc w:val="both"/>
      </w:pPr>
      <w:r>
        <w:rPr>
          <w:u w:val="single"/>
        </w:rPr>
        <w:t>Visible habitat :</w:t>
      </w:r>
    </w:p>
    <w:p w14:paraId="3AC983CC" w14:textId="77777777" w:rsidR="00DF410E" w:rsidRDefault="00CE7F43">
      <w:pPr>
        <w:jc w:val="both"/>
      </w:pPr>
      <w:r>
        <w:t>-La qualité de bois de la surface correspond à un aspect AB selon la norme [NBN EN 13017-1],</w:t>
      </w:r>
    </w:p>
    <w:p w14:paraId="5FD1FAC8" w14:textId="77777777" w:rsidR="00DF410E" w:rsidRDefault="00CE7F43">
      <w:pPr>
        <w:jc w:val="both"/>
      </w:pPr>
      <w:r>
        <w:t>-La surface est rabotée et polie,</w:t>
      </w:r>
    </w:p>
    <w:p w14:paraId="158EA40C" w14:textId="77777777" w:rsidR="00DF410E" w:rsidRDefault="00CE7F43">
      <w:pPr>
        <w:jc w:val="both"/>
      </w:pPr>
      <w:r>
        <w:t>- Avec une humidité de bois de 12% (+/-2%), la largeur maximale du joint est de 2mm,</w:t>
      </w:r>
    </w:p>
    <w:p w14:paraId="1C382E96" w14:textId="77777777" w:rsidR="00DF410E" w:rsidRDefault="00CE7F43">
      <w:pPr>
        <w:jc w:val="both"/>
      </w:pPr>
      <w:r>
        <w:t>-Lors de la découpe, l’ensemble des jointures est chanfreiné au niveau des raccords de panneaux dans la largeur.</w:t>
      </w:r>
    </w:p>
    <w:p w14:paraId="325FFC3F" w14:textId="77777777" w:rsidR="00DF410E" w:rsidRDefault="00DF410E"/>
    <w:p w14:paraId="275CC8DE" w14:textId="77777777" w:rsidR="00DF410E" w:rsidRDefault="00CE7F43">
      <w:pPr>
        <w:ind w:left="567"/>
        <w:jc w:val="both"/>
      </w:pPr>
      <w:r>
        <w:rPr>
          <w:b/>
        </w:rPr>
        <w:t>LVL</w:t>
      </w:r>
    </w:p>
    <w:p w14:paraId="2D92A72B" w14:textId="77777777" w:rsidR="00DF410E" w:rsidRDefault="00CE7F43">
      <w:pPr>
        <w:pStyle w:val="Author-eListParagraph"/>
        <w:numPr>
          <w:ilvl w:val="0"/>
          <w:numId w:val="812"/>
        </w:numPr>
      </w:pPr>
      <w:r>
        <w:rPr>
          <w:u w:val="single"/>
        </w:rPr>
        <w:t>Description</w:t>
      </w:r>
    </w:p>
    <w:p w14:paraId="6E23F123" w14:textId="77777777" w:rsidR="00DF410E" w:rsidRDefault="00CE7F43">
      <w:pPr>
        <w:jc w:val="both"/>
      </w:pPr>
      <w:r>
        <w:t>Le LVL (Laminated Veneer Lumber, bois de placage stratifié ou lamibois) est un matériau à base de placages de bois avec les fibres du bois orientées majoritairement dans la même direction. Les placages ont une épaisseur maximale de 6mm.</w:t>
      </w:r>
    </w:p>
    <w:p w14:paraId="73E6C7B8" w14:textId="77777777" w:rsidR="00DF410E" w:rsidRDefault="00CE7F43">
      <w:pPr>
        <w:pStyle w:val="Author-eListParagraph"/>
        <w:numPr>
          <w:ilvl w:val="0"/>
          <w:numId w:val="813"/>
        </w:numPr>
      </w:pPr>
      <w:r>
        <w:rPr>
          <w:u w:val="single"/>
        </w:rPr>
        <w:t>Normes</w:t>
      </w:r>
    </w:p>
    <w:p w14:paraId="7788CF5B" w14:textId="77777777" w:rsidR="00DF410E" w:rsidRDefault="00CE7F43">
      <w:pPr>
        <w:jc w:val="both"/>
      </w:pPr>
      <w:r>
        <w:t>Deux normes traitent directement du LVL en structure.</w:t>
      </w:r>
    </w:p>
    <w:p w14:paraId="5687DD74" w14:textId="77777777" w:rsidR="00DF410E" w:rsidRDefault="00DF410E">
      <w:pPr>
        <w:jc w:val="both"/>
      </w:pPr>
    </w:p>
    <w:p w14:paraId="35478DAC" w14:textId="77777777" w:rsidR="00DF410E" w:rsidRDefault="00CE7F43">
      <w:pPr>
        <w:jc w:val="both"/>
      </w:pPr>
      <w:r>
        <w:t>La [NBN EN 14374] concerne les LVL utilisés en structure. Elle a le statut de norme harmonisée et sert de base au marquage CE des éléments.</w:t>
      </w:r>
    </w:p>
    <w:p w14:paraId="1512D3DB" w14:textId="77777777" w:rsidR="00DF410E" w:rsidRDefault="00DF410E">
      <w:pPr>
        <w:jc w:val="both"/>
      </w:pPr>
    </w:p>
    <w:p w14:paraId="0E564045" w14:textId="77777777" w:rsidR="00DF410E" w:rsidRDefault="00CE7F43">
      <w:pPr>
        <w:jc w:val="both"/>
      </w:pPr>
      <w:r>
        <w:t>La [NBN EN 14279+A1] concerne aussi le LVL mais n’est pas spécifique pour son usage en structure. Il est possible de marquer CE les panneaux en LVL sur base de la norme [NBN EN 13986+A1], qui se base elle-même sur la [NBN EN 14279+A1].</w:t>
      </w:r>
    </w:p>
    <w:p w14:paraId="1DEC4407" w14:textId="77777777" w:rsidR="00DF410E" w:rsidRDefault="00DF410E">
      <w:pPr>
        <w:jc w:val="both"/>
      </w:pPr>
    </w:p>
    <w:p w14:paraId="0BFA736C" w14:textId="77777777" w:rsidR="00DF410E" w:rsidRDefault="00CE7F43">
      <w:pPr>
        <w:jc w:val="both"/>
      </w:pPr>
      <w:r>
        <w:t>Les domaines d’application des deux normes se chevauchent.</w:t>
      </w:r>
    </w:p>
    <w:p w14:paraId="222AB686" w14:textId="77777777" w:rsidR="00DF410E" w:rsidRDefault="00CE7F43">
      <w:pPr>
        <w:pStyle w:val="Author-eListParagraph"/>
        <w:numPr>
          <w:ilvl w:val="0"/>
          <w:numId w:val="814"/>
        </w:numPr>
      </w:pPr>
      <w:r>
        <w:rPr>
          <w:u w:val="single"/>
        </w:rPr>
        <w:t>Types de LVL</w:t>
      </w:r>
    </w:p>
    <w:p w14:paraId="5BA906AC" w14:textId="77777777" w:rsidR="00DF410E" w:rsidRDefault="00CE7F43">
      <w:pPr>
        <w:jc w:val="both"/>
      </w:pPr>
      <w:r>
        <w:t>La norme [NBN EN 14374] classe les LVL en deux types, suivant l’orientation des placages :</w:t>
      </w:r>
    </w:p>
    <w:p w14:paraId="7E71E612" w14:textId="77777777" w:rsidR="00DF410E" w:rsidRDefault="00CE7F43">
      <w:pPr>
        <w:jc w:val="both"/>
      </w:pPr>
      <w:r>
        <w:t>- LVL « S » lorsque toutes les fibres sont orientées dans la direction longitudinale,</w:t>
      </w:r>
    </w:p>
    <w:p w14:paraId="72944ED3" w14:textId="77777777" w:rsidR="00DF410E" w:rsidRDefault="00CE7F43">
      <w:pPr>
        <w:jc w:val="both"/>
      </w:pPr>
      <w:r>
        <w:t>- LVL « Q » lorsque environs 20% des fibres sont orientées dans la direction transversale, les 80% restantes étant orientées longitudinalement, ce qui permet entre autres au LVL Q d’être dimensionnellement stable tant longitudinalement que transversalement.</w:t>
      </w:r>
    </w:p>
    <w:p w14:paraId="3EA0F275" w14:textId="77777777" w:rsidR="00DF410E" w:rsidRDefault="00CE7F43">
      <w:pPr>
        <w:pStyle w:val="Author-eListParagraph"/>
        <w:numPr>
          <w:ilvl w:val="0"/>
          <w:numId w:val="815"/>
        </w:numPr>
      </w:pPr>
      <w:r>
        <w:rPr>
          <w:u w:val="single"/>
        </w:rPr>
        <w:t>Caractéristiques mécaniques</w:t>
      </w:r>
    </w:p>
    <w:p w14:paraId="3F824B72" w14:textId="77777777" w:rsidR="00DF410E" w:rsidRDefault="00CE7F43">
      <w:pPr>
        <w:jc w:val="both"/>
      </w:pPr>
      <w:r>
        <w:t>Le fabricant du LVL déclare les valeurs de résistance et de rigidité caractéristiques correspondant au fractile à 5% d’exclusion inférieur.</w:t>
      </w:r>
    </w:p>
    <w:p w14:paraId="04951F32" w14:textId="77777777" w:rsidR="00DF410E" w:rsidRDefault="00CE7F43">
      <w:pPr>
        <w:pStyle w:val="Author-eListParagraph"/>
        <w:numPr>
          <w:ilvl w:val="0"/>
          <w:numId w:val="816"/>
        </w:numPr>
      </w:pPr>
      <w:r>
        <w:rPr>
          <w:u w:val="single"/>
        </w:rPr>
        <w:t>Durabilité du LVL</w:t>
      </w:r>
    </w:p>
    <w:p w14:paraId="67DA7F47" w14:textId="77777777" w:rsidR="00DF410E" w:rsidRDefault="00CE7F43">
      <w:pPr>
        <w:jc w:val="both"/>
      </w:pPr>
      <w:r>
        <w:t>Le fabricant déclare la classe de durabilité du LVL.</w:t>
      </w:r>
    </w:p>
    <w:p w14:paraId="4451B6E3" w14:textId="77777777" w:rsidR="00DF410E" w:rsidRDefault="00CE7F43">
      <w:pPr>
        <w:jc w:val="both"/>
      </w:pPr>
      <w:r>
        <w:t>La norme [NBN EN 14279+A1] définit trois LVL différents en fonction de la classe d’emploi maximale dans laquelle ils peuvent être utilisés :</w:t>
      </w:r>
    </w:p>
    <w:p w14:paraId="0DE1F21E" w14:textId="77777777" w:rsidR="00DF410E" w:rsidRDefault="00CE7F43">
      <w:pPr>
        <w:jc w:val="both"/>
      </w:pPr>
      <w:r>
        <w:t>- LVL/1 pour usage en classe d’emploi 1,</w:t>
      </w:r>
    </w:p>
    <w:p w14:paraId="30121F99" w14:textId="77777777" w:rsidR="00DF410E" w:rsidRDefault="00CE7F43">
      <w:pPr>
        <w:jc w:val="both"/>
      </w:pPr>
      <w:r>
        <w:t>- LVL/2 pour usage en classe d’emploi 1 ou 2,</w:t>
      </w:r>
    </w:p>
    <w:p w14:paraId="4252FAFC" w14:textId="77777777" w:rsidR="00DF410E" w:rsidRDefault="00CE7F43">
      <w:pPr>
        <w:jc w:val="both"/>
      </w:pPr>
      <w:r>
        <w:t>- LVL/3 pour usage en classe d’emploi 1, 2 ou 3.</w:t>
      </w:r>
    </w:p>
    <w:p w14:paraId="04737D8D" w14:textId="77777777" w:rsidR="00DF410E" w:rsidRDefault="00CE7F43">
      <w:pPr>
        <w:jc w:val="both"/>
      </w:pPr>
      <w:r>
        <w:t>L’utilisation des LVL n’est pas autorisée en classe d’emploi 4 ou 5.</w:t>
      </w:r>
    </w:p>
    <w:p w14:paraId="5DA44231" w14:textId="77777777" w:rsidR="00DF410E" w:rsidRDefault="00CE7F43">
      <w:pPr>
        <w:pStyle w:val="Author-eListParagraph"/>
        <w:numPr>
          <w:ilvl w:val="0"/>
          <w:numId w:val="817"/>
        </w:numPr>
      </w:pPr>
      <w:r>
        <w:rPr>
          <w:u w:val="single"/>
        </w:rPr>
        <w:t>Prescriptions esthétiques</w:t>
      </w:r>
    </w:p>
    <w:p w14:paraId="018C45F2" w14:textId="77777777" w:rsidR="00DF410E" w:rsidRDefault="00CE7F43">
      <w:pPr>
        <w:jc w:val="both"/>
      </w:pPr>
      <w:r>
        <w:t>Les panneaux sont disponibles en deux qualités esthétiques : « poncés » et « non poncés ». La face d’un panneau LVL, même en qualité poncée, peut contenir des traces visibles de joint de colle brun foncé (au droit des scarfs = zone où un déroulage se termine et un suivant recommence). Afin de palier à ce problème, il est envisageable chez certains fournisseurs de demander de coller le dernier pli avec une colle claire. Cela doit alors être clairement prescrit au cahier spécial des charges.</w:t>
      </w:r>
    </w:p>
    <w:p w14:paraId="7D63F6DA" w14:textId="77777777" w:rsidR="00DF410E" w:rsidRDefault="00DF410E"/>
    <w:p w14:paraId="7F021443" w14:textId="77777777" w:rsidR="00DF410E" w:rsidRDefault="00CE7F43">
      <w:pPr>
        <w:ind w:left="567"/>
        <w:jc w:val="both"/>
      </w:pPr>
      <w:r>
        <w:rPr>
          <w:b/>
        </w:rPr>
        <w:t>LSL</w:t>
      </w:r>
    </w:p>
    <w:p w14:paraId="0DD03884" w14:textId="77777777" w:rsidR="00DF410E" w:rsidRDefault="00CE7F43">
      <w:pPr>
        <w:pStyle w:val="Author-eListParagraph"/>
        <w:numPr>
          <w:ilvl w:val="0"/>
          <w:numId w:val="818"/>
        </w:numPr>
      </w:pPr>
      <w:r>
        <w:rPr>
          <w:u w:val="single"/>
        </w:rPr>
        <w:t>Description</w:t>
      </w:r>
    </w:p>
    <w:p w14:paraId="0814E245" w14:textId="77777777" w:rsidR="00DF410E" w:rsidRDefault="00CE7F43">
      <w:pPr>
        <w:jc w:val="both"/>
      </w:pPr>
      <w:r>
        <w:t>Le LSL (Laminated Strand Lumber, bandes de bois stratifiées) est un matériau à base de bandes de placages de bois relativement étroites et courtes (environs 3x30x300mm) disposées à fils parallèles, encollées et pressées.</w:t>
      </w:r>
    </w:p>
    <w:p w14:paraId="24391B07" w14:textId="77777777" w:rsidR="00DF410E" w:rsidRDefault="00CE7F43">
      <w:pPr>
        <w:pStyle w:val="Author-eListParagraph"/>
        <w:numPr>
          <w:ilvl w:val="0"/>
          <w:numId w:val="819"/>
        </w:numPr>
      </w:pPr>
      <w:r>
        <w:rPr>
          <w:u w:val="single"/>
        </w:rPr>
        <w:t>Normes</w:t>
      </w:r>
    </w:p>
    <w:p w14:paraId="3DCEAA98" w14:textId="77777777" w:rsidR="00DF410E" w:rsidRDefault="00CE7F43">
      <w:pPr>
        <w:jc w:val="both"/>
      </w:pPr>
      <w:r>
        <w:t>Il n’existe aucune norme européenne décrivant le LSL.</w:t>
      </w:r>
    </w:p>
    <w:p w14:paraId="3C7354E6" w14:textId="77777777" w:rsidR="00DF410E" w:rsidRDefault="00CE7F43">
      <w:pPr>
        <w:pStyle w:val="Author-eListParagraph"/>
        <w:numPr>
          <w:ilvl w:val="0"/>
          <w:numId w:val="820"/>
        </w:numPr>
      </w:pPr>
      <w:r>
        <w:rPr>
          <w:u w:val="single"/>
        </w:rPr>
        <w:t>Caractéristiques mécaniques</w:t>
      </w:r>
    </w:p>
    <w:p w14:paraId="2F8CC091" w14:textId="77777777" w:rsidR="00DF410E" w:rsidRDefault="00CE7F43">
      <w:pPr>
        <w:jc w:val="both"/>
      </w:pPr>
      <w:r>
        <w:t>Le fabricant du LSL déclare les valeurs de résistance et de rigidité caractéristiques correspondant au fractile à 5% d’exclusion inférieur.</w:t>
      </w:r>
    </w:p>
    <w:p w14:paraId="45C43951" w14:textId="77777777" w:rsidR="00DF410E" w:rsidRDefault="00CE7F43">
      <w:pPr>
        <w:pStyle w:val="Author-eListParagraph"/>
        <w:numPr>
          <w:ilvl w:val="0"/>
          <w:numId w:val="821"/>
        </w:numPr>
      </w:pPr>
      <w:r>
        <w:rPr>
          <w:u w:val="single"/>
        </w:rPr>
        <w:t>Durabilité du LSL</w:t>
      </w:r>
    </w:p>
    <w:p w14:paraId="13D7AC93" w14:textId="77777777" w:rsidR="00DF410E" w:rsidRDefault="00CE7F43">
      <w:pPr>
        <w:jc w:val="both"/>
      </w:pPr>
      <w:r>
        <w:t>Le fabricant déclare la classe de durabilité du LSL.</w:t>
      </w:r>
    </w:p>
    <w:p w14:paraId="54043634" w14:textId="77777777" w:rsidR="00DF410E" w:rsidRDefault="00DF410E"/>
    <w:p w14:paraId="40A04893" w14:textId="77777777" w:rsidR="00DF410E" w:rsidRDefault="00CE7F43">
      <w:pPr>
        <w:jc w:val="both"/>
      </w:pPr>
      <w:r>
        <w:rPr>
          <w:b/>
        </w:rPr>
        <w:t>        PSL</w:t>
      </w:r>
    </w:p>
    <w:p w14:paraId="600D0784" w14:textId="77777777" w:rsidR="00DF410E" w:rsidRDefault="00CE7F43">
      <w:pPr>
        <w:pStyle w:val="Author-eListParagraph"/>
        <w:numPr>
          <w:ilvl w:val="0"/>
          <w:numId w:val="822"/>
        </w:numPr>
      </w:pPr>
      <w:r>
        <w:rPr>
          <w:u w:val="single"/>
        </w:rPr>
        <w:t>Description</w:t>
      </w:r>
    </w:p>
    <w:p w14:paraId="6EE6442B" w14:textId="77777777" w:rsidR="00DF410E" w:rsidRDefault="00CE7F43">
      <w:pPr>
        <w:jc w:val="both"/>
      </w:pPr>
      <w:r>
        <w:t>Le PSL (Parralel Strand Lumber, bandes de bois parallèles) est un matériau à base de bandes de placages de bois relativement étroites et longues (jusqu’à 3x2400mm) disposées à fils parallèles, encollées et pressées.</w:t>
      </w:r>
    </w:p>
    <w:p w14:paraId="12D21112" w14:textId="77777777" w:rsidR="00DF410E" w:rsidRDefault="00CE7F43">
      <w:pPr>
        <w:pStyle w:val="Author-eListParagraph"/>
        <w:numPr>
          <w:ilvl w:val="0"/>
          <w:numId w:val="823"/>
        </w:numPr>
      </w:pPr>
      <w:r>
        <w:rPr>
          <w:u w:val="single"/>
        </w:rPr>
        <w:t>Normes</w:t>
      </w:r>
    </w:p>
    <w:p w14:paraId="1FE5A54D" w14:textId="77777777" w:rsidR="00DF410E" w:rsidRDefault="00CE7F43">
      <w:pPr>
        <w:jc w:val="both"/>
      </w:pPr>
      <w:r>
        <w:t>Il n’existe aucune norme européenne décrivant le PSL.</w:t>
      </w:r>
    </w:p>
    <w:p w14:paraId="48033292" w14:textId="77777777" w:rsidR="00DF410E" w:rsidRDefault="00CE7F43">
      <w:pPr>
        <w:pStyle w:val="Author-eListParagraph"/>
        <w:numPr>
          <w:ilvl w:val="0"/>
          <w:numId w:val="824"/>
        </w:numPr>
      </w:pPr>
      <w:r>
        <w:rPr>
          <w:u w:val="single"/>
        </w:rPr>
        <w:t>Caractéristiques mécaniques</w:t>
      </w:r>
    </w:p>
    <w:p w14:paraId="3DB7DC56" w14:textId="77777777" w:rsidR="00DF410E" w:rsidRDefault="00CE7F43">
      <w:r>
        <w:t>Le fabricant du PSL déclare les valeurs de résistances et de rigidités caractéristiques correspondant au fractile à 5% d’exclusion inférieur.</w:t>
      </w:r>
    </w:p>
    <w:p w14:paraId="518CAC27" w14:textId="77777777" w:rsidR="00DF410E" w:rsidRDefault="00CE7F43">
      <w:pPr>
        <w:pStyle w:val="Author-eListParagraph"/>
        <w:numPr>
          <w:ilvl w:val="0"/>
          <w:numId w:val="825"/>
        </w:numPr>
      </w:pPr>
      <w:r>
        <w:rPr>
          <w:u w:val="single"/>
        </w:rPr>
        <w:t>Durabilité du PSL</w:t>
      </w:r>
    </w:p>
    <w:p w14:paraId="1CB53700" w14:textId="77777777" w:rsidR="00DF410E" w:rsidRDefault="00CE7F43">
      <w:pPr>
        <w:jc w:val="both"/>
      </w:pPr>
      <w:r>
        <w:t>Le fabricant déclare la classe de durabilité du PSL.</w:t>
      </w:r>
    </w:p>
    <w:p w14:paraId="6F0BC4E0" w14:textId="77777777" w:rsidR="00DF410E" w:rsidRDefault="00DF410E">
      <w:pPr>
        <w:jc w:val="both"/>
      </w:pPr>
    </w:p>
    <w:p w14:paraId="318CC953" w14:textId="77777777" w:rsidR="00DF410E" w:rsidRDefault="00DF410E">
      <w:pPr>
        <w:jc w:val="both"/>
      </w:pPr>
    </w:p>
    <w:p w14:paraId="01144A0D" w14:textId="77777777" w:rsidR="00DF410E" w:rsidRDefault="00CE7F43">
      <w:pPr>
        <w:ind w:left="567"/>
        <w:jc w:val="both"/>
      </w:pPr>
      <w:r>
        <w:rPr>
          <w:b/>
        </w:rPr>
        <w:t>PROFILES EN I A AME EN BOIS</w:t>
      </w:r>
    </w:p>
    <w:p w14:paraId="0269807C" w14:textId="77777777" w:rsidR="00DF410E" w:rsidRDefault="00CE7F43">
      <w:pPr>
        <w:pStyle w:val="Author-eListParagraph"/>
        <w:numPr>
          <w:ilvl w:val="0"/>
          <w:numId w:val="826"/>
        </w:numPr>
      </w:pPr>
      <w:r>
        <w:rPr>
          <w:u w:val="single"/>
        </w:rPr>
        <w:t>Description</w:t>
      </w:r>
    </w:p>
    <w:p w14:paraId="2472CB86" w14:textId="77777777" w:rsidR="00DF410E" w:rsidRDefault="00CE7F43">
      <w:pPr>
        <w:jc w:val="both"/>
      </w:pPr>
      <w:r>
        <w:t>Les profilés en I à âme en bois sont composés de deux ailes reliées par un panneau mince à base de bois.</w:t>
      </w:r>
    </w:p>
    <w:p w14:paraId="62F694AD" w14:textId="77777777" w:rsidR="00DF410E" w:rsidRDefault="00CE7F43">
      <w:pPr>
        <w:pStyle w:val="Author-eListParagraph"/>
        <w:numPr>
          <w:ilvl w:val="0"/>
          <w:numId w:val="827"/>
        </w:numPr>
      </w:pPr>
      <w:r>
        <w:rPr>
          <w:u w:val="single"/>
        </w:rPr>
        <w:t>Normes</w:t>
      </w:r>
    </w:p>
    <w:p w14:paraId="28B29CDC" w14:textId="77777777" w:rsidR="00DF410E" w:rsidRDefault="00CE7F43">
      <w:pPr>
        <w:jc w:val="both"/>
      </w:pPr>
      <w:r>
        <w:t>Il n’existe aucune norme européenne décrivant les profilés en I à âme en bois. Les éléments qui composent le profilé sont couverts par des normes harmonisées.</w:t>
      </w:r>
    </w:p>
    <w:p w14:paraId="67386435" w14:textId="77777777" w:rsidR="00DF410E" w:rsidRDefault="00CE7F43">
      <w:pPr>
        <w:pStyle w:val="Author-eListParagraph"/>
        <w:numPr>
          <w:ilvl w:val="0"/>
          <w:numId w:val="828"/>
        </w:numPr>
      </w:pPr>
      <w:r>
        <w:rPr>
          <w:u w:val="single"/>
        </w:rPr>
        <w:t>Compositions</w:t>
      </w:r>
    </w:p>
    <w:p w14:paraId="79693F9C" w14:textId="77777777" w:rsidR="00DF410E" w:rsidRDefault="00CE7F43">
      <w:pPr>
        <w:jc w:val="both"/>
      </w:pPr>
      <w:r>
        <w:t xml:space="preserve">Les membrures sont généralement en bois massif aboutés ou en LVL. </w:t>
      </w:r>
    </w:p>
    <w:p w14:paraId="55BA3543" w14:textId="77777777" w:rsidR="00DF410E" w:rsidRDefault="00CE7F43">
      <w:pPr>
        <w:jc w:val="both"/>
      </w:pPr>
      <w:r>
        <w:t>L’âme est généralement réalisée par un panneau OSB ou un contreplaqué.</w:t>
      </w:r>
    </w:p>
    <w:p w14:paraId="639A3343" w14:textId="77777777" w:rsidR="00DF410E" w:rsidRDefault="00CE7F43">
      <w:pPr>
        <w:jc w:val="both"/>
      </w:pPr>
      <w:r>
        <w:t>Les deux éléments sont assemblés par collage.</w:t>
      </w:r>
    </w:p>
    <w:p w14:paraId="2DAD8F12" w14:textId="77777777" w:rsidR="00DF410E" w:rsidRDefault="00CE7F43">
      <w:pPr>
        <w:pStyle w:val="Author-eListParagraph"/>
        <w:numPr>
          <w:ilvl w:val="0"/>
          <w:numId w:val="829"/>
        </w:numPr>
      </w:pPr>
      <w:r>
        <w:rPr>
          <w:u w:val="single"/>
        </w:rPr>
        <w:t>Caractéristiques mécaniques</w:t>
      </w:r>
    </w:p>
    <w:p w14:paraId="7656776F" w14:textId="77777777" w:rsidR="00DF410E" w:rsidRDefault="00CE7F43">
      <w:r>
        <w:t>Le fabricant des profilés déclare les valeurs de résistances et de rigidités caractéristiques correspondant au fractile à 5% d’exclusion inférieur.</w:t>
      </w:r>
    </w:p>
    <w:p w14:paraId="6E30CB9E" w14:textId="77777777" w:rsidR="00DF410E" w:rsidRDefault="00CE7F43">
      <w:pPr>
        <w:pStyle w:val="Author-eListParagraph"/>
        <w:numPr>
          <w:ilvl w:val="0"/>
          <w:numId w:val="830"/>
        </w:numPr>
      </w:pPr>
      <w:r>
        <w:rPr>
          <w:u w:val="single"/>
        </w:rPr>
        <w:t>Durabilité</w:t>
      </w:r>
    </w:p>
    <w:p w14:paraId="6100549F" w14:textId="77777777" w:rsidR="00DF410E" w:rsidRDefault="00CE7F43">
      <w:pPr>
        <w:jc w:val="both"/>
      </w:pPr>
      <w:r>
        <w:t>Le fabricant déclare la classe d’emploi maximale dans laquelle le profilé peut être installé. Les membrures, l’âme et le joint de collage entre ceux-ci sont adapté à cette classe d’emploi.</w:t>
      </w:r>
    </w:p>
    <w:p w14:paraId="64BB4B13" w14:textId="77777777" w:rsidR="00DF410E" w:rsidRDefault="00DF410E"/>
    <w:p w14:paraId="003C06A7" w14:textId="77777777" w:rsidR="00DF410E" w:rsidRDefault="00CE7F43">
      <w:pPr>
        <w:ind w:left="567"/>
        <w:jc w:val="both"/>
      </w:pPr>
      <w:r>
        <w:rPr>
          <w:b/>
        </w:rPr>
        <w:t>PROFILES EN I A AME EN METAL</w:t>
      </w:r>
    </w:p>
    <w:p w14:paraId="19D7D39E" w14:textId="77777777" w:rsidR="00DF410E" w:rsidRDefault="00CE7F43">
      <w:pPr>
        <w:pStyle w:val="Author-eListParagraph"/>
        <w:numPr>
          <w:ilvl w:val="0"/>
          <w:numId w:val="831"/>
        </w:numPr>
      </w:pPr>
      <w:r>
        <w:rPr>
          <w:u w:val="single"/>
        </w:rPr>
        <w:t>Description</w:t>
      </w:r>
    </w:p>
    <w:p w14:paraId="07DE088E" w14:textId="77777777" w:rsidR="00DF410E" w:rsidRDefault="00CE7F43">
      <w:pPr>
        <w:jc w:val="both"/>
      </w:pPr>
      <w:r>
        <w:t>Les profilés en I à âme en métal sont composés de deux ailes reliées par une tôle métallique.</w:t>
      </w:r>
    </w:p>
    <w:p w14:paraId="6BFADB3F" w14:textId="77777777" w:rsidR="00DF410E" w:rsidRDefault="00CE7F43">
      <w:pPr>
        <w:pStyle w:val="Author-eListParagraph"/>
        <w:numPr>
          <w:ilvl w:val="0"/>
          <w:numId w:val="832"/>
        </w:numPr>
      </w:pPr>
      <w:r>
        <w:rPr>
          <w:u w:val="single"/>
        </w:rPr>
        <w:t>Normes</w:t>
      </w:r>
    </w:p>
    <w:p w14:paraId="11BA03F8" w14:textId="77777777" w:rsidR="00DF410E" w:rsidRDefault="00CE7F43">
      <w:pPr>
        <w:jc w:val="both"/>
      </w:pPr>
      <w:r>
        <w:t>Il n’existe aucune norme européenne décrivant les profilés en I à âme en métal.</w:t>
      </w:r>
    </w:p>
    <w:p w14:paraId="2837055B" w14:textId="77777777" w:rsidR="00DF410E" w:rsidRDefault="00CE7F43">
      <w:pPr>
        <w:pStyle w:val="Author-eListParagraph"/>
        <w:numPr>
          <w:ilvl w:val="0"/>
          <w:numId w:val="833"/>
        </w:numPr>
      </w:pPr>
      <w:r>
        <w:rPr>
          <w:u w:val="single"/>
        </w:rPr>
        <w:t>Compositions</w:t>
      </w:r>
    </w:p>
    <w:p w14:paraId="61D539BD" w14:textId="77777777" w:rsidR="00DF410E" w:rsidRDefault="00CE7F43">
      <w:pPr>
        <w:jc w:val="both"/>
      </w:pPr>
      <w:r>
        <w:t xml:space="preserve">Les ailes sont généralement en bois massif aboutés ou en LVL. </w:t>
      </w:r>
    </w:p>
    <w:p w14:paraId="4C150504" w14:textId="77777777" w:rsidR="00DF410E" w:rsidRDefault="00CE7F43">
      <w:pPr>
        <w:jc w:val="both"/>
      </w:pPr>
      <w:r>
        <w:t>L’âme est généralement réalisée tôle d’acier.</w:t>
      </w:r>
    </w:p>
    <w:p w14:paraId="5D6E3FDF" w14:textId="77777777" w:rsidR="00DF410E" w:rsidRDefault="00CE7F43">
      <w:pPr>
        <w:jc w:val="both"/>
      </w:pPr>
      <w:r>
        <w:t>Les deux éléments sont assemblés par collage.</w:t>
      </w:r>
    </w:p>
    <w:p w14:paraId="69952A8C" w14:textId="77777777" w:rsidR="00DF410E" w:rsidRDefault="00CE7F43">
      <w:pPr>
        <w:pStyle w:val="Author-eListParagraph"/>
        <w:numPr>
          <w:ilvl w:val="0"/>
          <w:numId w:val="834"/>
        </w:numPr>
      </w:pPr>
      <w:r>
        <w:rPr>
          <w:u w:val="single"/>
        </w:rPr>
        <w:t>Caractéristiques mécaniques</w:t>
      </w:r>
    </w:p>
    <w:p w14:paraId="1A8E2337" w14:textId="77777777" w:rsidR="00DF410E" w:rsidRDefault="00CE7F43">
      <w:pPr>
        <w:jc w:val="both"/>
      </w:pPr>
      <w:r>
        <w:t>Le fabricant des profilés déclare les valeurs de résistances et de rigidités caractéristiques correspondant au fractile à 5% d’exclusion inférieur.</w:t>
      </w:r>
    </w:p>
    <w:p w14:paraId="59E9AD1A" w14:textId="77777777" w:rsidR="00DF410E" w:rsidRDefault="00CE7F43">
      <w:pPr>
        <w:pStyle w:val="Author-eListParagraph"/>
        <w:numPr>
          <w:ilvl w:val="0"/>
          <w:numId w:val="835"/>
        </w:numPr>
      </w:pPr>
      <w:r>
        <w:rPr>
          <w:u w:val="single"/>
        </w:rPr>
        <w:t>Durabilité</w:t>
      </w:r>
    </w:p>
    <w:p w14:paraId="74A29A28" w14:textId="77777777" w:rsidR="00DF410E" w:rsidRDefault="00CE7F43">
      <w:pPr>
        <w:jc w:val="both"/>
      </w:pPr>
      <w:r>
        <w:t>Le fabricant déclare la classe d’emploi maximale dans laquelle le profilé peut être installé. Les ailes, l’âme et le joint de collage entre ceux-ci sont adapté à cette classe d’emploi.</w:t>
      </w:r>
    </w:p>
    <w:p w14:paraId="1D00D6F6" w14:textId="77777777" w:rsidR="00DF410E" w:rsidRDefault="00DF410E"/>
    <w:p w14:paraId="44435A88" w14:textId="77777777" w:rsidR="00DF410E" w:rsidRDefault="00CE7F43">
      <w:pPr>
        <w:ind w:left="567"/>
        <w:jc w:val="both"/>
      </w:pPr>
      <w:r>
        <w:rPr>
          <w:b/>
        </w:rPr>
        <w:t>PROFILES EN TREILLIS A MEMBRURES EN BOIS</w:t>
      </w:r>
    </w:p>
    <w:p w14:paraId="66F4F1F7" w14:textId="77777777" w:rsidR="00DF410E" w:rsidRDefault="00CE7F43">
      <w:pPr>
        <w:pStyle w:val="Author-eListParagraph"/>
        <w:numPr>
          <w:ilvl w:val="0"/>
          <w:numId w:val="836"/>
        </w:numPr>
      </w:pPr>
      <w:r>
        <w:rPr>
          <w:u w:val="single"/>
        </w:rPr>
        <w:t>Description</w:t>
      </w:r>
    </w:p>
    <w:p w14:paraId="5DF37369" w14:textId="77777777" w:rsidR="00DF410E" w:rsidRDefault="00CE7F43">
      <w:pPr>
        <w:jc w:val="both"/>
      </w:pPr>
      <w:r>
        <w:t>Les profilés en treillis à membrures en bois sont composés de deux ailes reliées par des diagonales et des montants en bois.</w:t>
      </w:r>
    </w:p>
    <w:p w14:paraId="5F9F6573" w14:textId="77777777" w:rsidR="00DF410E" w:rsidRDefault="00CE7F43">
      <w:pPr>
        <w:pStyle w:val="Author-eListParagraph"/>
        <w:numPr>
          <w:ilvl w:val="0"/>
          <w:numId w:val="837"/>
        </w:numPr>
      </w:pPr>
      <w:r>
        <w:rPr>
          <w:u w:val="single"/>
        </w:rPr>
        <w:t>Normes</w:t>
      </w:r>
    </w:p>
    <w:p w14:paraId="0103D29C" w14:textId="77777777" w:rsidR="00DF410E" w:rsidRDefault="00CE7F43">
      <w:pPr>
        <w:jc w:val="both"/>
      </w:pPr>
      <w:r>
        <w:t>Il n’existe aucune norme européenne décrivant les profilés en I à âme en bois. Les éléments qui composent le profilé sont couverts par des normes harmonisées.</w:t>
      </w:r>
    </w:p>
    <w:p w14:paraId="0AB35862" w14:textId="77777777" w:rsidR="00DF410E" w:rsidRDefault="00CE7F43">
      <w:pPr>
        <w:pStyle w:val="Author-eListParagraph"/>
        <w:numPr>
          <w:ilvl w:val="0"/>
          <w:numId w:val="838"/>
        </w:numPr>
      </w:pPr>
      <w:r>
        <w:rPr>
          <w:u w:val="single"/>
        </w:rPr>
        <w:t>Compositions</w:t>
      </w:r>
    </w:p>
    <w:p w14:paraId="1D525370" w14:textId="77777777" w:rsidR="00DF410E" w:rsidRDefault="00CE7F43">
      <w:pPr>
        <w:jc w:val="both"/>
      </w:pPr>
      <w:r>
        <w:t xml:space="preserve">Les ailes sont généralement en bois massif aboutés ou en LVL. </w:t>
      </w:r>
    </w:p>
    <w:p w14:paraId="7A57B8A1" w14:textId="77777777" w:rsidR="00DF410E" w:rsidRDefault="00CE7F43">
      <w:pPr>
        <w:jc w:val="both"/>
      </w:pPr>
      <w:r>
        <w:t>Les diagonales et les montants sont généralement en bois massif.</w:t>
      </w:r>
    </w:p>
    <w:p w14:paraId="1252DEE2" w14:textId="77777777" w:rsidR="00DF410E" w:rsidRDefault="00CE7F43">
      <w:pPr>
        <w:jc w:val="both"/>
      </w:pPr>
      <w:r>
        <w:t>Les deux éléments sont assemblés par collage sur entures.</w:t>
      </w:r>
    </w:p>
    <w:p w14:paraId="103D2CA4" w14:textId="77777777" w:rsidR="00DF410E" w:rsidRDefault="00CE7F43">
      <w:pPr>
        <w:pStyle w:val="Author-eListParagraph"/>
        <w:numPr>
          <w:ilvl w:val="0"/>
          <w:numId w:val="839"/>
        </w:numPr>
      </w:pPr>
      <w:r>
        <w:rPr>
          <w:u w:val="single"/>
        </w:rPr>
        <w:t>Caractéristiques mécaniques</w:t>
      </w:r>
    </w:p>
    <w:p w14:paraId="15E64D52" w14:textId="77777777" w:rsidR="00DF410E" w:rsidRDefault="00CE7F43">
      <w:pPr>
        <w:jc w:val="both"/>
      </w:pPr>
      <w:r>
        <w:t>Le fabricant des profilés déclare les valeurs de résistances et de rigidités caractéristiques correspondant au fractile à 5% d’exclusion inférieur.</w:t>
      </w:r>
    </w:p>
    <w:p w14:paraId="3F31100A" w14:textId="77777777" w:rsidR="00DF410E" w:rsidRDefault="00CE7F43">
      <w:pPr>
        <w:pStyle w:val="Author-eListParagraph"/>
        <w:numPr>
          <w:ilvl w:val="0"/>
          <w:numId w:val="840"/>
        </w:numPr>
      </w:pPr>
      <w:r>
        <w:rPr>
          <w:u w:val="single"/>
        </w:rPr>
        <w:t>Durabilité</w:t>
      </w:r>
    </w:p>
    <w:p w14:paraId="584133E3" w14:textId="77777777" w:rsidR="00DF410E" w:rsidRDefault="00CE7F43">
      <w:pPr>
        <w:jc w:val="both"/>
      </w:pPr>
      <w:r>
        <w:t>Le fabricant déclare la classe d’emploi maximale dans laquelle le profilé peut être installé. Les ailes, les diagonales, les montants et le joint de collage entre ceux-ci sont adaptés à cette classe d’emploi.</w:t>
      </w:r>
    </w:p>
    <w:p w14:paraId="587066A7" w14:textId="77777777" w:rsidR="00DF410E" w:rsidRDefault="00CE7F43">
      <w:pPr>
        <w:ind w:left="567"/>
        <w:jc w:val="both"/>
      </w:pPr>
      <w:r>
        <w:rPr>
          <w:b/>
        </w:rPr>
        <w:t>PROFILES EN TREILLIS A DIAGONALES EN METAL</w:t>
      </w:r>
    </w:p>
    <w:p w14:paraId="6B1EF0AD" w14:textId="77777777" w:rsidR="00DF410E" w:rsidRDefault="00CE7F43">
      <w:pPr>
        <w:pStyle w:val="Author-eListParagraph"/>
        <w:numPr>
          <w:ilvl w:val="0"/>
          <w:numId w:val="841"/>
        </w:numPr>
      </w:pPr>
      <w:r>
        <w:rPr>
          <w:u w:val="single"/>
        </w:rPr>
        <w:t>Description</w:t>
      </w:r>
    </w:p>
    <w:p w14:paraId="1D041F27" w14:textId="77777777" w:rsidR="00DF410E" w:rsidRDefault="00CE7F43">
      <w:pPr>
        <w:jc w:val="both"/>
      </w:pPr>
      <w:r>
        <w:t>Les profilés en treillis à diagonales en métal sont composés de deux ailes reliées par des diagonales en métal.</w:t>
      </w:r>
    </w:p>
    <w:p w14:paraId="422BC9D9" w14:textId="77777777" w:rsidR="00DF410E" w:rsidRDefault="00CE7F43">
      <w:pPr>
        <w:pStyle w:val="Author-eListParagraph"/>
        <w:numPr>
          <w:ilvl w:val="0"/>
          <w:numId w:val="842"/>
        </w:numPr>
      </w:pPr>
      <w:r>
        <w:rPr>
          <w:u w:val="single"/>
        </w:rPr>
        <w:t>Normes</w:t>
      </w:r>
    </w:p>
    <w:p w14:paraId="24EB69E4" w14:textId="77777777" w:rsidR="00DF410E" w:rsidRDefault="00CE7F43">
      <w:pPr>
        <w:jc w:val="both"/>
      </w:pPr>
      <w:r>
        <w:t>Il n’existe aucune norme européenne décrivant les profilés en I à âme en bois. Les éléments qui composent le profilé sont couverts par des normes harmonisées.</w:t>
      </w:r>
    </w:p>
    <w:p w14:paraId="764A246B" w14:textId="77777777" w:rsidR="00DF410E" w:rsidRDefault="00CE7F43">
      <w:pPr>
        <w:pStyle w:val="Author-eListParagraph"/>
        <w:numPr>
          <w:ilvl w:val="0"/>
          <w:numId w:val="843"/>
        </w:numPr>
      </w:pPr>
      <w:r>
        <w:rPr>
          <w:u w:val="single"/>
        </w:rPr>
        <w:t>Compositions</w:t>
      </w:r>
    </w:p>
    <w:p w14:paraId="15641FD9" w14:textId="77777777" w:rsidR="00DF410E" w:rsidRDefault="00CE7F43">
      <w:pPr>
        <w:jc w:val="both"/>
      </w:pPr>
      <w:r>
        <w:t xml:space="preserve">Les ailes sont généralement en bois massif aboutés ou en LVL. </w:t>
      </w:r>
    </w:p>
    <w:p w14:paraId="3D268ECA" w14:textId="77777777" w:rsidR="00DF410E" w:rsidRDefault="00CE7F43">
      <w:pPr>
        <w:jc w:val="both"/>
      </w:pPr>
      <w:r>
        <w:t>Les diagonales et les montants sont généralement en bois massif.</w:t>
      </w:r>
    </w:p>
    <w:p w14:paraId="0B40B5C0" w14:textId="77777777" w:rsidR="00DF410E" w:rsidRDefault="00CE7F43">
      <w:pPr>
        <w:jc w:val="both"/>
      </w:pPr>
      <w:r>
        <w:t>Les deux éléments sont généralement assemblés par plaques métalliques embouties.</w:t>
      </w:r>
    </w:p>
    <w:p w14:paraId="4C893C79" w14:textId="77777777" w:rsidR="00DF410E" w:rsidRDefault="00CE7F43">
      <w:pPr>
        <w:pStyle w:val="Author-eListParagraph"/>
        <w:numPr>
          <w:ilvl w:val="0"/>
          <w:numId w:val="844"/>
        </w:numPr>
      </w:pPr>
      <w:r>
        <w:rPr>
          <w:u w:val="single"/>
        </w:rPr>
        <w:t>Caractéristiques mécaniques</w:t>
      </w:r>
    </w:p>
    <w:p w14:paraId="47E1D0DD" w14:textId="77777777" w:rsidR="00DF410E" w:rsidRDefault="00CE7F43">
      <w:pPr>
        <w:jc w:val="both"/>
      </w:pPr>
      <w:r>
        <w:t>Le fabricant des profilés déclare les valeurs de résistances et de rigidités caractéristiques correspondant au fractile à 5% d’exclusion inférieur.</w:t>
      </w:r>
    </w:p>
    <w:p w14:paraId="3D167F22" w14:textId="77777777" w:rsidR="00DF410E" w:rsidRDefault="00CE7F43">
      <w:pPr>
        <w:pStyle w:val="Author-eListParagraph"/>
        <w:numPr>
          <w:ilvl w:val="0"/>
          <w:numId w:val="845"/>
        </w:numPr>
      </w:pPr>
      <w:r>
        <w:rPr>
          <w:u w:val="single"/>
        </w:rPr>
        <w:t>Durabilité</w:t>
      </w:r>
    </w:p>
    <w:p w14:paraId="231814D1" w14:textId="77777777" w:rsidR="00DF410E" w:rsidRDefault="00CE7F43">
      <w:pPr>
        <w:jc w:val="both"/>
      </w:pPr>
      <w:r>
        <w:t>Le fabricant déclare la classe d’emploi maximale dans laquelle le profilé peut être installé. Les ailes, les diagonales et les assemblages entre ceux-ci sont adaptés à cette classe d’emploi.</w:t>
      </w:r>
    </w:p>
    <w:p w14:paraId="6DE36B1E" w14:textId="77777777" w:rsidR="00DF410E" w:rsidRDefault="00DF410E"/>
    <w:p w14:paraId="48914BE5" w14:textId="77777777" w:rsidR="00DF410E" w:rsidRDefault="00CE7F43">
      <w:r>
        <w:t> </w:t>
      </w:r>
    </w:p>
    <w:p w14:paraId="09195C8C" w14:textId="77777777" w:rsidR="00DF410E" w:rsidRDefault="00CE7F43">
      <w:pPr>
        <w:pStyle w:val="pheading"/>
      </w:pPr>
      <w:r>
        <w:t>EXÉCUTION / MISE EN ŒUVRE</w:t>
      </w:r>
    </w:p>
    <w:p w14:paraId="2D001DDC" w14:textId="77777777" w:rsidR="00DF410E" w:rsidRDefault="00CE7F43">
      <w:pPr>
        <w:jc w:val="both"/>
      </w:pPr>
      <w:r>
        <w:rPr>
          <w:rStyle w:val="headingChar"/>
        </w:rPr>
        <w:t>CALCULS</w:t>
      </w:r>
    </w:p>
    <w:p w14:paraId="788640D5" w14:textId="77777777" w:rsidR="00DF410E" w:rsidRDefault="00CE7F43">
      <w:pPr>
        <w:jc w:val="both"/>
      </w:pPr>
      <w:r>
        <w:t xml:space="preserve">Le calcul de la structure en bois est à charge du </w:t>
      </w:r>
      <w:r>
        <w:rPr>
          <w:rStyle w:val="optioncarChar"/>
        </w:rPr>
        <w:t>maître d'ouvrage / de l'entrepreneur / du bureau d'étude </w:t>
      </w:r>
    </w:p>
    <w:p w14:paraId="51722942" w14:textId="77777777" w:rsidR="00DF410E" w:rsidRDefault="00CE7F43">
      <w:pPr>
        <w:jc w:val="both"/>
      </w:pPr>
      <w:r>
        <w:t>Les charges à prendre en compte sont détaillées dans les différentes parties de l'Eurocode 1 [NBN EN 1991 série] et les combinaisons de ces charges dans la [NBN EN 1990], complétés par leur annexe nationale.</w:t>
      </w:r>
    </w:p>
    <w:p w14:paraId="23A5A8D0" w14:textId="77777777" w:rsidR="00DF410E" w:rsidRDefault="00CE7F43">
      <w:pPr>
        <w:jc w:val="both"/>
      </w:pPr>
      <w:r>
        <w:t>Les flèches des éléments en bois sous l'action des charges sont limitées conformément à la [NBN B 03-003].</w:t>
      </w:r>
    </w:p>
    <w:p w14:paraId="2549F341" w14:textId="77777777" w:rsidR="00DF410E" w:rsidRDefault="00CE7F43">
      <w:pPr>
        <w:jc w:val="both"/>
      </w:pPr>
      <w:r>
        <w:rPr>
          <w:rStyle w:val="headingChar"/>
        </w:rPr>
        <w:t>Livraison, STOCKAGE ET MONTAGE</w:t>
      </w:r>
    </w:p>
    <w:p w14:paraId="2105C73A" w14:textId="77777777" w:rsidR="00DF410E" w:rsidRDefault="00DF410E">
      <w:pPr>
        <w:jc w:val="both"/>
      </w:pPr>
    </w:p>
    <w:p w14:paraId="75B8C1E7" w14:textId="77777777" w:rsidR="00DF410E" w:rsidRDefault="00CE7F43">
      <w:pPr>
        <w:jc w:val="both"/>
      </w:pPr>
      <w:r>
        <w:t>Les matériaux sont livrés sur chantier à un taux d’humidité conforme au cahier spécial des charges. Ils sont stockés sur le chantier de façon à être protégés contre les influences extérieures telles que le soleil, la pluie, le contact avec le sol, la végétation etc.</w:t>
      </w:r>
    </w:p>
    <w:p w14:paraId="4BF39FD9" w14:textId="77777777" w:rsidR="00DF410E" w:rsidRDefault="00CE7F43">
      <w:pPr>
        <w:jc w:val="both"/>
      </w:pPr>
      <w:r>
        <w:t>Il convient d’éviter les sur-contraintes pour les éléments au cours du transport, stockage et du montage. Dans le cas où la structure est chargée ou appuyée d’une manière différente, lors d’une de ces étapes, de celle qui est effective dans le bâtiment définitif, il convient de vérifier l’élément suivant les conditions temporaires comme un cas de charge, en incluant toutes les actions dynamiques potentielles. Les études et calculs liées à ces conditions temporaires sont à charge du soumissionnaire. Dans le cas d’ossatures structurales, par exemple d’arcs, portiques, il convient de porter une attention particulière afin d’éviter les distorsions pouvant survenir lors du levage à partir de la position horizontale jusqu’à la position verticale.</w:t>
      </w:r>
    </w:p>
    <w:p w14:paraId="5C481515" w14:textId="77777777" w:rsidR="00DF410E" w:rsidRDefault="00CE7F43">
      <w:pPr>
        <w:jc w:val="both"/>
      </w:pPr>
      <w:r>
        <w:t xml:space="preserve">Si la sensibilité de l’élément aux conditions climatiques le justifie, il peut s’avérer nécessaire de protéger les éléments à l’aide d’une bâche en toile, en matière plastique ou autre, tout en prêtant attention à bien ventiler les éléments. Le soumissionnaire fournit au maître d’ouvrage un dossier reprenant l’organisation du stockage et les principes de montage permettant de respecter les prescriptions du présent paragraphe. </w:t>
      </w:r>
    </w:p>
    <w:p w14:paraId="545DAAE2" w14:textId="77777777" w:rsidR="00DF410E" w:rsidRDefault="00CE7F43">
      <w:pPr>
        <w:jc w:val="both"/>
      </w:pPr>
      <w:r>
        <w:t xml:space="preserve">Les mesures de protections sont spécifiées au titre </w:t>
      </w:r>
      <w:hyperlink r:id="rId257" w:history="1" w:docLocation="109">
        <w:r>
          <w:t>04.4</w:t>
        </w:r>
      </w:hyperlink>
      <w:r>
        <w:t>.</w:t>
      </w:r>
    </w:p>
    <w:p w14:paraId="28717B4B" w14:textId="77777777" w:rsidR="00DF410E" w:rsidRDefault="00DF410E">
      <w:pPr>
        <w:jc w:val="both"/>
      </w:pPr>
    </w:p>
    <w:p w14:paraId="2493A1E6" w14:textId="77777777" w:rsidR="00DF410E" w:rsidRDefault="00CE7F43">
      <w:pPr>
        <w:jc w:val="both"/>
      </w:pPr>
      <w:r>
        <w:t>Durant toute la période allant de la livraison des éléments jusqu’à la réception définitive des travaux, l’entreprise veille à ce que ceux-ci ne soient pas exposés à des conditions plus sévères que celles pour lesquelles ils ont été conçus. Si toutefois cela devait arriver, l’entreprise prend les mesures pour rendre aux éléments toutes leurs caractéristiques d’origine, et notamment leur classe d’aspect s’ils sont visibles, leur résistance aux attaques biologique et leur teneur en humidité prescrite. Si cela s’avère impossible, les éléments endommagés sont remplacés aux frais de l’entreprise.</w:t>
      </w:r>
    </w:p>
    <w:p w14:paraId="4EB6AA21" w14:textId="77777777" w:rsidR="00DF410E" w:rsidRDefault="00CE7F43">
      <w:pPr>
        <w:jc w:val="both"/>
      </w:pPr>
      <w:r>
        <w:rPr>
          <w:rStyle w:val="headingChar"/>
        </w:rPr>
        <w:t>ASSEMBLAGES</w:t>
      </w:r>
    </w:p>
    <w:p w14:paraId="50A988F5" w14:textId="77777777" w:rsidR="00DF410E" w:rsidRDefault="00CE7F43">
      <w:pPr>
        <w:jc w:val="both"/>
      </w:pPr>
      <w:r>
        <w:t xml:space="preserve">Les assemblages sont détaillés au titre </w:t>
      </w:r>
      <w:hyperlink w:anchor="583" w:history="1">
        <w:r>
          <w:t>24.4</w:t>
        </w:r>
      </w:hyperlink>
      <w:r>
        <w:t xml:space="preserve">. </w:t>
      </w:r>
    </w:p>
    <w:p w14:paraId="12F7F819" w14:textId="77777777" w:rsidR="00DF410E" w:rsidRDefault="00CE7F43">
      <w:pPr>
        <w:jc w:val="both"/>
      </w:pPr>
      <w:r>
        <w:t>Lorsque le type d’assemblage n’est précisé ni au cahier spécial des charges ni dans les plans, le soumissionnaire se charge du choix de l’assemblage et de son dimensionnement. Il présente une note de calcul au maître d’ouvrage pour approbation. Les coûts correspondants sont compris dans l’article ou le poste des éléments à assembler.</w:t>
      </w:r>
    </w:p>
    <w:p w14:paraId="4DF5896F" w14:textId="77777777" w:rsidR="00DF410E" w:rsidRDefault="00CE7F43">
      <w:pPr>
        <w:jc w:val="both"/>
      </w:pPr>
      <w:r>
        <w:t>Un assemblage ou une connexion est qualifié de « technologique » lorsqu’il n’est pas structurel mais qu’il est nécessaire pour garantir le bon fonctionnement de la structure.</w:t>
      </w:r>
    </w:p>
    <w:p w14:paraId="5FA6438F" w14:textId="77777777" w:rsidR="00DF410E" w:rsidRDefault="00CE7F43">
      <w:pPr>
        <w:ind w:left="567"/>
      </w:pPr>
      <w:r>
        <w:rPr>
          <w:b/>
        </w:rPr>
        <w:t xml:space="preserve"> ASSEMBLAGES MÉCANIQUES </w:t>
      </w:r>
    </w:p>
    <w:p w14:paraId="087AB5CC" w14:textId="77777777" w:rsidR="00DF410E" w:rsidRDefault="00CE7F43">
      <w:pPr>
        <w:jc w:val="both"/>
      </w:pPr>
      <w:r>
        <w:t>Tous les assemblages mécaniques structuraux sont dimensionnés selon les principes de l’Eurocode 5 [NBN EN 1995-1-1] et de sa partie feu [NBN EN 1995-1-2].</w:t>
      </w:r>
    </w:p>
    <w:p w14:paraId="669CF559" w14:textId="77777777" w:rsidR="00DF410E" w:rsidRDefault="00CE7F43">
      <w:pPr>
        <w:jc w:val="both"/>
      </w:pPr>
      <w:r>
        <w:t>Les exigences de mises en œuvre dictées dans l’Eurocode 5, dans les autres normes européennes et/ou autres documents faisant référence (tel que NIT, STS ou équivalent) sont respectées, notamment en ce qui concerne la pénétration minimale dans la dernière pièce, le pré-perçage éventuel et les distances minimales à respecter.</w:t>
      </w:r>
    </w:p>
    <w:p w14:paraId="2E7D57E9" w14:textId="77777777" w:rsidR="00DF410E" w:rsidRDefault="00CE7F43">
      <w:pPr>
        <w:jc w:val="both"/>
      </w:pPr>
      <w:r>
        <w:t>Les défauts du bois dans la zone d’assemblage sont limités de telle sorte que la capacité résistante de l’assemblage ne soit pas réduite.</w:t>
      </w:r>
    </w:p>
    <w:p w14:paraId="19A253CC" w14:textId="77777777" w:rsidR="00DF410E" w:rsidRDefault="00CE7F43">
      <w:pPr>
        <w:ind w:left="567"/>
      </w:pPr>
      <w:r>
        <w:br/>
      </w:r>
      <w:r>
        <w:rPr>
          <w:b/>
        </w:rPr>
        <w:t xml:space="preserve">ASSEMBLAGES COLLÉS </w:t>
      </w:r>
    </w:p>
    <w:p w14:paraId="03757DE6" w14:textId="77777777" w:rsidR="00DF410E" w:rsidRDefault="00CE7F43">
      <w:pPr>
        <w:jc w:val="both"/>
      </w:pPr>
      <w:r>
        <w:t>Le type de colle utilisé est compatible avec la classe de service des éléments. Pour les assemblages structuraux, la colle utilisée répond à une des normes suivantes :</w:t>
      </w:r>
    </w:p>
    <w:p w14:paraId="4D6B8A4A" w14:textId="77777777" w:rsidR="00DF410E" w:rsidRDefault="00CE7F43">
      <w:pPr>
        <w:jc w:val="both"/>
      </w:pPr>
      <w:r>
        <w:t xml:space="preserve"> la [NBN EN 301], la [NBN EN 15425], la [NBN EN 16254:2013+A1] et la [NBN EN 12436] .</w:t>
      </w:r>
    </w:p>
    <w:p w14:paraId="31A51964" w14:textId="77777777" w:rsidR="00DF410E" w:rsidRDefault="00CE7F43">
      <w:pPr>
        <w:jc w:val="both"/>
      </w:pPr>
      <w:r>
        <w:t>En plus des exigences de la norme correspondante, toutes les recommandations du fabricant de l’adhésif sont respectées, notamment en ce qui concerne le mixage, les conditions d’environnement, la préparation des surfaces de collage, la teneur en humidité des éléments, la pression de collage, la durée pendant laquelle celle-ci est appliquée ou tout autre facteur considéré comme d’importance pour une utilisation adéquate de l’adhésif.</w:t>
      </w:r>
    </w:p>
    <w:p w14:paraId="25CBE95F" w14:textId="77777777" w:rsidR="00DF410E" w:rsidRDefault="00CE7F43">
      <w:pPr>
        <w:jc w:val="both"/>
      </w:pPr>
      <w:r>
        <w:t>Lorsque la résistance du joint de collage est une exigence pour les calculs aux états limites ultimes selon l’Eurocode 5 [NBN EN 1995 série], la fabrication des assemblages par collage est sujette à un contrôle qualité.</w:t>
      </w:r>
    </w:p>
    <w:p w14:paraId="1AC4A566" w14:textId="77777777" w:rsidR="00DF410E" w:rsidRDefault="00CE7F43">
      <w:pPr>
        <w:jc w:val="both"/>
      </w:pPr>
      <w:r>
        <w:t>Tous les assemblages par collage sont réalisés dans un atelier où l’ambiance peut être maitrisée plus aisément.</w:t>
      </w:r>
    </w:p>
    <w:p w14:paraId="050A0343" w14:textId="77777777" w:rsidR="00DF410E" w:rsidRDefault="00DF410E">
      <w:pPr>
        <w:jc w:val="both"/>
      </w:pPr>
    </w:p>
    <w:p w14:paraId="6C2BE692" w14:textId="77777777" w:rsidR="00DF410E" w:rsidRDefault="00CE7F43">
      <w:pPr>
        <w:jc w:val="both"/>
      </w:pPr>
      <w:r>
        <w:rPr>
          <w:rStyle w:val="headingChar"/>
        </w:rPr>
        <w:t>TOLERANCES DE MISE EN OEUVRE</w:t>
      </w:r>
    </w:p>
    <w:p w14:paraId="6B3968F2" w14:textId="77777777" w:rsidR="00DF410E" w:rsidRDefault="00DF410E">
      <w:pPr>
        <w:jc w:val="both"/>
      </w:pPr>
    </w:p>
    <w:p w14:paraId="147BFA23" w14:textId="77777777" w:rsidR="00DF410E" w:rsidRDefault="00CE7F43">
      <w:pPr>
        <w:jc w:val="both"/>
      </w:pPr>
      <w:r>
        <w:t xml:space="preserve">Sauf indication contraire au cahier spécial des charges, tous les bâtiments ou parties de bâtiments construits en bois doivent respecter les tolérances de mise en œuvre énoncées dans la [STS 31]. </w:t>
      </w:r>
    </w:p>
    <w:p w14:paraId="7337CBAE" w14:textId="77777777" w:rsidR="00DF410E" w:rsidRDefault="00CE7F43">
      <w:pPr>
        <w:jc w:val="both"/>
      </w:pPr>
      <w:r>
        <w:t>Dans le cas d’un bâtiment bas (H&lt;10) en ossature bois, les tolérances de mise en œuvre listées dans la [STS 23-1] sont aussi être respectées.</w:t>
      </w:r>
    </w:p>
    <w:p w14:paraId="3E8DD08A" w14:textId="77777777" w:rsidR="00DF410E" w:rsidRDefault="00CE7F43">
      <w:pPr>
        <w:jc w:val="both"/>
      </w:pPr>
      <w:r>
        <w:t>Dans le cas où aucune tolérance de mise en œuvre n'est prescrite dans les documents de référence européens (Eurocodes, normes EN) ou belge (NIT, STS), les exigences des DTU françaises sont d’application, et notamment les [NF DTU 31.1] et [NF DTU 31.2].</w:t>
      </w:r>
    </w:p>
    <w:p w14:paraId="61862190" w14:textId="77777777" w:rsidR="00DF410E" w:rsidRDefault="00CE7F43">
      <w:pPr>
        <w:pStyle w:val="pheading"/>
      </w:pPr>
      <w:r>
        <w:t>CONTRÔLES</w:t>
      </w:r>
    </w:p>
    <w:p w14:paraId="71C26C93" w14:textId="77777777" w:rsidR="00DF410E" w:rsidRDefault="00CE7F43">
      <w:pPr>
        <w:jc w:val="both"/>
      </w:pPr>
      <w:r>
        <w:t>Les éléments en bois sont livrés en conformité avec les Critères d'acceptabilité (</w:t>
      </w:r>
      <w:hyperlink r:id="rId258" w:history="1" w:docLocation="68">
        <w:r>
          <w:t>02.42.1 Critères d'acceptabilité</w:t>
        </w:r>
      </w:hyperlink>
      <w:r>
        <w:t>)</w:t>
      </w:r>
    </w:p>
    <w:p w14:paraId="4ACC2662" w14:textId="77777777" w:rsidR="00DF410E" w:rsidRDefault="00CE7F43">
      <w:pPr>
        <w:jc w:val="both"/>
      </w:pPr>
      <w:r>
        <w:t xml:space="preserve">Dans le cas contraire, le maître de l’ouvrage se réserve le droit de faire procéder aux frais de l’entrepreneur à tous les contrôles nécessaires dans le cadre de la réception technique préalable suivant </w:t>
      </w:r>
      <w:hyperlink r:id="rId259" w:history="1" w:docLocation="25">
        <w:r>
          <w:t>A4.62.1 Réception technique préalable</w:t>
        </w:r>
      </w:hyperlink>
      <w:r>
        <w:t>.</w:t>
      </w:r>
    </w:p>
    <w:p w14:paraId="14E9557F" w14:textId="77777777" w:rsidR="00DF410E" w:rsidRDefault="00CE7F43">
      <w:pPr>
        <w:jc w:val="both"/>
      </w:pPr>
      <w:r>
        <w:rPr>
          <w:rStyle w:val="headingChar"/>
        </w:rPr>
        <w:t>Teneur En Humidité</w:t>
      </w:r>
    </w:p>
    <w:p w14:paraId="56819F16" w14:textId="77777777" w:rsidR="00DF410E" w:rsidRDefault="00CE7F43">
      <w:pPr>
        <w:jc w:val="both"/>
      </w:pPr>
      <w:r>
        <w:t>Le contrôle de la teneur en humidité se fait par lot. Sur un lot, un échantillonnage est effectué suivant les principes décrits dans la [NBN CEN/TS 12169], en excluant autant que possible les pièces des couches extérieures (dessus, fond, côtés).</w:t>
      </w:r>
    </w:p>
    <w:p w14:paraId="45C0E070" w14:textId="77777777" w:rsidR="00DF410E" w:rsidRDefault="00CE7F43">
      <w:pPr>
        <w:jc w:val="both"/>
      </w:pPr>
      <w:r>
        <w:t xml:space="preserve">La mesure de la teneur en humidité se fait conformément à l’article </w:t>
      </w:r>
      <w:hyperlink r:id="rId260" w:history="1" w:docLocation="639">
        <w:r>
          <w:t>03.41.1 Mesures d'humidité</w:t>
        </w:r>
      </w:hyperlink>
      <w:r>
        <w:t xml:space="preserve"> du présent cahier des charges type.</w:t>
      </w:r>
    </w:p>
    <w:p w14:paraId="136F138A" w14:textId="77777777" w:rsidR="00DF410E" w:rsidRDefault="00DF410E"/>
    <w:p w14:paraId="274D495C" w14:textId="77777777" w:rsidR="00DF410E" w:rsidRDefault="00CE7F43">
      <w:r>
        <w:t> </w:t>
      </w:r>
    </w:p>
    <w:p w14:paraId="5B04190D" w14:textId="77777777" w:rsidR="00DF410E" w:rsidRDefault="00CE7F43">
      <w:pPr>
        <w:pStyle w:val="pheading"/>
      </w:pPr>
      <w:r>
        <w:t>DOCUMENTS DE RÉFÉRENCE</w:t>
      </w:r>
    </w:p>
    <w:p w14:paraId="4741DE44" w14:textId="77777777" w:rsidR="00DF410E" w:rsidRDefault="00CE7F43">
      <w:pPr>
        <w:pStyle w:val="pheading"/>
      </w:pPr>
      <w:r>
        <w:t>- Matériau</w:t>
      </w:r>
    </w:p>
    <w:p w14:paraId="44F8A8AD" w14:textId="77777777" w:rsidR="00DF410E" w:rsidRDefault="00CE7F43">
      <w:r>
        <w:t>[AR 1994-07-07, Arrêté royal fixant les normes de base en matière de prévention contre l'incendie et l'explosion, auxquelles les bâtiments nouveaux doivent satisfaire]</w:t>
      </w:r>
    </w:p>
    <w:p w14:paraId="126BC3C0" w14:textId="77777777" w:rsidR="00DF410E" w:rsidRDefault="00CE7F43">
      <w:r>
        <w:t>[NBN CEN/TS 12169, Critères de vérification de la conformité d'un lot de bois scié]</w:t>
      </w:r>
    </w:p>
    <w:p w14:paraId="4B415A7E" w14:textId="77777777" w:rsidR="00DF410E" w:rsidRDefault="00CE7F43">
      <w:r>
        <w:t>[NBN B 06-001, Mesurage dans le bâtiment - Méthodes de mesurage de quantités]</w:t>
      </w:r>
    </w:p>
    <w:p w14:paraId="25396107" w14:textId="77777777" w:rsidR="00DF410E" w:rsidRDefault="00CE7F43">
      <w:r>
        <w:t>[NBN B 16-520, Classement visuel du bois de structure à section rectangulaire]</w:t>
      </w:r>
    </w:p>
    <w:p w14:paraId="254C0770" w14:textId="77777777" w:rsidR="00DF410E" w:rsidRDefault="00CE7F43">
      <w:r>
        <w:t>[NBN EN 204, Classification des colles thermoplastiques pour bois à usages non structuraux]</w:t>
      </w:r>
    </w:p>
    <w:p w14:paraId="70C60882" w14:textId="77777777" w:rsidR="00DF410E" w:rsidRDefault="00CE7F43">
      <w:r>
        <w:t>[NBN EN 300, Panneaux de lamelles minces, longues et orientées (OSB) - Définitions, classification et exigences]</w:t>
      </w:r>
    </w:p>
    <w:p w14:paraId="78416599" w14:textId="77777777" w:rsidR="00DF410E" w:rsidRDefault="00CE7F43">
      <w:r>
        <w:t>[NBN EN 301, Adhésifs de nature phénolique et aminoplaste, pour structures portantes en bois - Classification et exigences de performance]</w:t>
      </w:r>
    </w:p>
    <w:p w14:paraId="7FE3A0E1" w14:textId="77777777" w:rsidR="00DF410E" w:rsidRDefault="00CE7F43">
      <w:r>
        <w:t>[NBN EN 312, Panneaux de particules - Exigences]</w:t>
      </w:r>
    </w:p>
    <w:p w14:paraId="5A9FD325" w14:textId="77777777" w:rsidR="00DF410E" w:rsidRDefault="00CE7F43">
      <w:r>
        <w:t>[NBN EN 313-1, Contreplaqué - Classification et terminologie - Partie 1: Classification]</w:t>
      </w:r>
    </w:p>
    <w:p w14:paraId="40741293" w14:textId="77777777" w:rsidR="00DF410E" w:rsidRDefault="00CE7F43">
      <w:r>
        <w:t>[NBN EN 313-2, Contreplaqué - Classification et terminologie - Partie 2 : Terminologie]</w:t>
      </w:r>
    </w:p>
    <w:p w14:paraId="3FF96CF7" w14:textId="77777777" w:rsidR="00DF410E" w:rsidRDefault="00CE7F43">
      <w:r>
        <w:t>[NBN EN 315, Contreplaqué - Tolérances sur dimensions]</w:t>
      </w:r>
    </w:p>
    <w:p w14:paraId="5ED61838" w14:textId="77777777" w:rsidR="00DF410E" w:rsidRDefault="00CE7F43">
      <w:r>
        <w:t>[NBN EN 335, Durabilité du bois et des matériaux à base de bois - Classes d'emploi: définitions, application au bois massif et aux matériaux à base de bois]</w:t>
      </w:r>
    </w:p>
    <w:p w14:paraId="566C0A0A" w14:textId="77777777" w:rsidR="00DF410E" w:rsidRDefault="00CE7F43">
      <w:r>
        <w:t>[NBN EN 336, Bois de structure - Dimensions, écarts admissibles]</w:t>
      </w:r>
    </w:p>
    <w:p w14:paraId="09C9F87A" w14:textId="77777777" w:rsidR="00DF410E" w:rsidRDefault="00CE7F43">
      <w:r>
        <w:t>[NBN EN 338, Bois de structure - Classes de résistance]</w:t>
      </w:r>
    </w:p>
    <w:p w14:paraId="244E27CE" w14:textId="77777777" w:rsidR="00DF410E" w:rsidRDefault="00CE7F43">
      <w:r>
        <w:t>[NBN EN 350, Durabilité du bois et des matériaux dérivés du bois - Méthodes d'essai et de classification de la durabilité vis-à-vis des agents biologiques du bois et des matériaux dérivés du bois]</w:t>
      </w:r>
    </w:p>
    <w:p w14:paraId="6559C840" w14:textId="77777777" w:rsidR="00DF410E" w:rsidRDefault="00CE7F43">
      <w:r>
        <w:t>[NBN EN 351 série, Durabilité du bois et des matériaux dérivés du bois - Durabilité naturelle du bois massif]</w:t>
      </w:r>
    </w:p>
    <w:p w14:paraId="406424DA" w14:textId="77777777" w:rsidR="00DF410E" w:rsidRDefault="00CE7F43">
      <w:r>
        <w:t>[NBN EN 384:2016+A2, Bois de structure - Détermination des valeurs caractéristiques des propriétés mécaniques et de la masse volumique]</w:t>
      </w:r>
    </w:p>
    <w:p w14:paraId="5CE6A4B9" w14:textId="77777777" w:rsidR="00DF410E" w:rsidRDefault="00CE7F43">
      <w:r>
        <w:t>[NBN EN 408+A1, Structures en bois - Bois de structure et bois lamellé-collé - Détermination de certaines propriétés physiques et mécaniques]</w:t>
      </w:r>
    </w:p>
    <w:p w14:paraId="174A2BC5" w14:textId="77777777" w:rsidR="00DF410E" w:rsidRDefault="00CE7F43">
      <w:r>
        <w:t>[NBN EN 460, Durabilité du bois et des matériaux dérivés du bois - Durabilité naturelle du bois massif - Guide d'exigences de durabilité du bois pour son utilisation selon les classes de risque]</w:t>
      </w:r>
    </w:p>
    <w:p w14:paraId="137DE0E3" w14:textId="77777777" w:rsidR="00DF410E" w:rsidRDefault="00CE7F43">
      <w:r>
        <w:t>[NBN EN 595, Structures en bois - Méthodes d'essai - Essais des fermes pour la détermination de la résistance et de la rigidité]</w:t>
      </w:r>
    </w:p>
    <w:p w14:paraId="5F292068" w14:textId="77777777" w:rsidR="00DF410E" w:rsidRDefault="00CE7F43">
      <w:r>
        <w:t>[NBN EN 622 série, Panneaux de fibres – Exigences]</w:t>
      </w:r>
    </w:p>
    <w:p w14:paraId="47CD1B9C" w14:textId="77777777" w:rsidR="00DF410E" w:rsidRDefault="00CE7F43">
      <w:r>
        <w:t>[NBN EN 635 série, Contreplaqué - Classification selon l'aspect des faces]</w:t>
      </w:r>
    </w:p>
    <w:p w14:paraId="22A903BE" w14:textId="77777777" w:rsidR="00DF410E" w:rsidRDefault="00CE7F43">
      <w:r>
        <w:t>[NBN EN 636+A1, Contreplaqué - Exigences]</w:t>
      </w:r>
    </w:p>
    <w:p w14:paraId="49016238" w14:textId="77777777" w:rsidR="00DF410E" w:rsidRDefault="00CE7F43">
      <w:r>
        <w:t>[NBN EN 717-1, Panneaux à base de bois - Détermination du dégagement de formaldéhyde - Partie 1 : Emission de formaldéhyde par la méthode à la chambre]</w:t>
      </w:r>
    </w:p>
    <w:p w14:paraId="5521E226" w14:textId="77777777" w:rsidR="00DF410E" w:rsidRDefault="00CE7F43">
      <w:r>
        <w:t>[NBN EN 844 série, Bois ronds et bois sciés - Terminologie]</w:t>
      </w:r>
    </w:p>
    <w:p w14:paraId="0FEDA38D" w14:textId="77777777" w:rsidR="00DF410E" w:rsidRDefault="00CE7F43">
      <w:r>
        <w:t>[NBN EN 912, Organes d'assemblage pour le bois - Spécifications des assembleurs pour bois]</w:t>
      </w:r>
    </w:p>
    <w:p w14:paraId="2AA8003C" w14:textId="77777777" w:rsidR="00DF410E" w:rsidRDefault="00CE7F43">
      <w:r>
        <w:t>[NBN EN 975-1, Bois sciés - Classement d'aspect des bois feuillus - Partie 1: Chêne et hêtre]</w:t>
      </w:r>
    </w:p>
    <w:p w14:paraId="0A1DD77D" w14:textId="77777777" w:rsidR="00DF410E" w:rsidRDefault="00CE7F43">
      <w:r>
        <w:t>[NBN EN 1611-1, Bois sciés - Classement d'aspect des bois résineux - Partie 1: Epicéas, sapins, pins et Douglas Européens]</w:t>
      </w:r>
    </w:p>
    <w:p w14:paraId="35E09A25" w14:textId="77777777" w:rsidR="00DF410E" w:rsidRDefault="00CE7F43">
      <w:r>
        <w:t>[NBN EN 1990, Eurocodes structuraux - Eurocodes: Bases de calcul des structures]</w:t>
      </w:r>
    </w:p>
    <w:p w14:paraId="04865F14" w14:textId="77777777" w:rsidR="00DF410E" w:rsidRDefault="00CE7F43">
      <w:r>
        <w:t>[NBN EN 1991 série, Eurocode 1 : Actions sur les structures]</w:t>
      </w:r>
    </w:p>
    <w:p w14:paraId="31FA2961" w14:textId="77777777" w:rsidR="00DF410E" w:rsidRDefault="00CE7F43">
      <w:r>
        <w:t>[NBN EN 1995 série, Eurocode 5: Conception et calcul des structures en bois]</w:t>
      </w:r>
    </w:p>
    <w:p w14:paraId="65124108" w14:textId="77777777" w:rsidR="00DF410E" w:rsidRDefault="00CE7F43">
      <w:r>
        <w:t>[NBN EN 12436, Colles pour structures portantes en bois - Colles caséine - Classification et exigences de performance]</w:t>
      </w:r>
    </w:p>
    <w:p w14:paraId="0855C519" w14:textId="77777777" w:rsidR="00DF410E" w:rsidRDefault="00CE7F43">
      <w:r>
        <w:t>[NBN EN 12765, Classification des colles thermodurcissables pour bois à usages non structuraux]</w:t>
      </w:r>
    </w:p>
    <w:p w14:paraId="5D7706DA" w14:textId="77777777" w:rsidR="00DF410E" w:rsidRDefault="00CE7F43">
      <w:r>
        <w:t>[NBN EN 13183-1, Teneur en humidité d'une pièce de bois scié - Partie 1: Détermination par la méthode par dessiccation]</w:t>
      </w:r>
    </w:p>
    <w:p w14:paraId="3A4ED0EE" w14:textId="77777777" w:rsidR="00DF410E" w:rsidRDefault="00CE7F43">
      <w:r>
        <w:t>[NBN EN 13501 série, Classement au feu des produits et éléments de construction]</w:t>
      </w:r>
    </w:p>
    <w:p w14:paraId="7CB21E56" w14:textId="77777777" w:rsidR="00DF410E" w:rsidRDefault="00CE7F43">
      <w:r>
        <w:t>[NBN EN 13556, Bois ronds et bois sciés - Nomenclature des bois utilisés en Europe]</w:t>
      </w:r>
    </w:p>
    <w:p w14:paraId="5842CE50" w14:textId="77777777" w:rsidR="00DF410E" w:rsidRDefault="00CE7F43">
      <w:r>
        <w:t>[NBN EN 14080, Structures en bois - Bois lamellé collé et bois massif reconstitué - Exigences]</w:t>
      </w:r>
    </w:p>
    <w:p w14:paraId="15F1C3AF" w14:textId="77777777" w:rsidR="00DF410E" w:rsidRDefault="00CE7F43">
      <w:r>
        <w:t>[NBN EN 14081 série, Structures en bois - Bois de structure à section rectangulaire classé pour sa résistance]</w:t>
      </w:r>
    </w:p>
    <w:p w14:paraId="76ECC446" w14:textId="77777777" w:rsidR="00DF410E" w:rsidRDefault="00CE7F43">
      <w:r>
        <w:t>[NBN EN 14250, Structure en bois - Exigences de produit relatives aux éléments de structures préfabriqués utilisant des connecteurs à plaque métallique emboutie]</w:t>
      </w:r>
    </w:p>
    <w:p w14:paraId="74329801" w14:textId="77777777" w:rsidR="00DF410E" w:rsidRDefault="00CE7F43">
      <w:r>
        <w:t>[NBN EN 14251, Bois de structure rond - Méthodes d'essai]</w:t>
      </w:r>
    </w:p>
    <w:p w14:paraId="53FE51D4" w14:textId="77777777" w:rsidR="00DF410E" w:rsidRDefault="00CE7F43">
      <w:r>
        <w:t>[NBN EN 14279+A1, Lamibois (LVL) - Définitions, classification et spécifications]</w:t>
      </w:r>
    </w:p>
    <w:p w14:paraId="5E960868" w14:textId="77777777" w:rsidR="00DF410E" w:rsidRDefault="00CE7F43">
      <w:r>
        <w:t>[NBN EN 14298, Bois scié - Estimation de la qualité du séchage]</w:t>
      </w:r>
    </w:p>
    <w:p w14:paraId="3CCD682E" w14:textId="77777777" w:rsidR="00DF410E" w:rsidRDefault="00CE7F43">
      <w:r>
        <w:t>[NBN EN 14322, Panneaux à base de bois - Panneaux surfacés mélaminés pour usages intérieurs - Définition, exigences et classification]</w:t>
      </w:r>
    </w:p>
    <w:p w14:paraId="2F2283DB" w14:textId="77777777" w:rsidR="00DF410E" w:rsidRDefault="00CE7F43">
      <w:r>
        <w:t>[NBN EN 14358, Structures en bois - Détermination et vérification des valeurs caractéristiques]</w:t>
      </w:r>
    </w:p>
    <w:p w14:paraId="5A29258D" w14:textId="77777777" w:rsidR="00DF410E" w:rsidRDefault="00CE7F43">
      <w:r>
        <w:t>[NBN EN 14374, Structures en bois - LVL (Lamibois) - Exigences]</w:t>
      </w:r>
    </w:p>
    <w:p w14:paraId="77926684" w14:textId="77777777" w:rsidR="00DF410E" w:rsidRDefault="00CE7F43">
      <w:r>
        <w:t>[NBN EN 14545, Structures en bois - Connecteurs - Exigences]</w:t>
      </w:r>
    </w:p>
    <w:p w14:paraId="4673BD0E" w14:textId="77777777" w:rsidR="00DF410E" w:rsidRDefault="00CE7F43">
      <w:r>
        <w:t>[NBN EN 14755, Panneaux de particules extrudés - Exigences]</w:t>
      </w:r>
    </w:p>
    <w:p w14:paraId="61289987" w14:textId="77777777" w:rsidR="00DF410E" w:rsidRDefault="00CE7F43">
      <w:r>
        <w:t>[NBN EN 15425, Adhésifs - Adhésifs polyuréthane monocomposants (PUR) pour structures portantes en bois - Classification et exigences de performance]</w:t>
      </w:r>
    </w:p>
    <w:p w14:paraId="6D96A8E8" w14:textId="77777777" w:rsidR="00DF410E" w:rsidRDefault="00CE7F43">
      <w:r>
        <w:t>[NBN EN 15497, Bois massif de structure à entures multiples - Exigences de performances et exigences minimales de fabrication]</w:t>
      </w:r>
    </w:p>
    <w:p w14:paraId="47DAB674" w14:textId="77777777" w:rsidR="00DF410E" w:rsidRDefault="00CE7F43">
      <w:r>
        <w:t>[NBN EN 16254:2013+A1, Adhésifs - Isocyanate polymérisé en émulsion (EPI) pour structures portantes en bois - Classification et exigences de performance]</w:t>
      </w:r>
    </w:p>
    <w:p w14:paraId="2C9668D1" w14:textId="77777777" w:rsidR="00DF410E" w:rsidRDefault="00CE7F43">
      <w:r>
        <w:t>[NBN EN 16351, Structures en bois - Bois lamellé croisé - Exigences]</w:t>
      </w:r>
    </w:p>
    <w:p w14:paraId="213FEA40" w14:textId="77777777" w:rsidR="00DF410E" w:rsidRDefault="00CE7F43">
      <w:r>
        <w:t>[NBN EN 13381-7, Méthodes d'essai pour déterminer la contribution à la résistance au feu des éléments de construction - Partie 7 : Protection appliquée aux éléments en bois]</w:t>
      </w:r>
    </w:p>
    <w:p w14:paraId="2C0A684D" w14:textId="77777777" w:rsidR="00DF410E" w:rsidRDefault="00CE7F43">
      <w:r>
        <w:t>[ETAG 011, Poutres et colonnes composites légères à base de bois ]</w:t>
      </w:r>
    </w:p>
    <w:p w14:paraId="26501DA7" w14:textId="77777777" w:rsidR="00DF410E" w:rsidRDefault="00CE7F43">
      <w:r>
        <w:t>[Règlement 305/2011/UE, Règlement du Parlement européen et du Conseil établissant des conditions harmonisées de commercialisation pour les produits de construction et abrogeant la directive 89/106/CEE du Conseil]</w:t>
      </w:r>
    </w:p>
    <w:p w14:paraId="6A8E54AD" w14:textId="77777777" w:rsidR="00DF410E" w:rsidRDefault="00CE7F43">
      <w:r>
        <w:t>[STS 04 série, Bois et panneaux à base de bois]</w:t>
      </w:r>
    </w:p>
    <w:p w14:paraId="715355D9" w14:textId="77777777" w:rsidR="00DF410E" w:rsidRDefault="00CE7F43">
      <w:r>
        <w:t>[STS 23, Structures en bois]</w:t>
      </w:r>
    </w:p>
    <w:p w14:paraId="25116057" w14:textId="77777777" w:rsidR="00DF410E" w:rsidRDefault="00CE7F43">
      <w:r>
        <w:t>[STS 23-1, Constructions en ossature bois]</w:t>
      </w:r>
    </w:p>
    <w:p w14:paraId="26A9C2D9" w14:textId="77777777" w:rsidR="00DF410E" w:rsidRDefault="00CE7F43">
      <w:r>
        <w:t>[STS 31, Charpenterie]</w:t>
      </w:r>
    </w:p>
    <w:p w14:paraId="59A4BF1F" w14:textId="77777777" w:rsidR="00DF410E" w:rsidRDefault="00CE7F43">
      <w:r>
        <w:t>[CEN/TS 16368, Panneaux de particules légers - Spécifications]</w:t>
      </w:r>
    </w:p>
    <w:p w14:paraId="2044DC42" w14:textId="77777777" w:rsidR="00DF410E" w:rsidRDefault="00CE7F43">
      <w:r>
        <w:t>[NBN EN 633, Panneaux de particules liées au ciment - Définition et classification]</w:t>
      </w:r>
    </w:p>
    <w:p w14:paraId="0CC29B35" w14:textId="77777777" w:rsidR="00DF410E" w:rsidRDefault="00CE7F43">
      <w:pPr>
        <w:pStyle w:val="pheading"/>
      </w:pPr>
      <w:r>
        <w:t>- Exécution</w:t>
      </w:r>
    </w:p>
    <w:p w14:paraId="20C901D2" w14:textId="77777777" w:rsidR="00DF410E" w:rsidRDefault="00CE7F43">
      <w:r>
        <w:t>[NBN B 03-003, Déformation des structures - Valeurs limites de déformation - Bâtiments]</w:t>
      </w:r>
    </w:p>
    <w:p w14:paraId="5A57864A" w14:textId="77777777" w:rsidR="00DF410E" w:rsidRDefault="00CE7F43">
      <w:r>
        <w:t>[NBN EN 336, Bois de structure - Dimensions, écarts admissibles]</w:t>
      </w:r>
    </w:p>
    <w:p w14:paraId="6AC7BD24" w14:textId="77777777" w:rsidR="00DF410E" w:rsidRDefault="00CE7F43">
      <w:r>
        <w:t>[NBN EN 14080, Structures en bois - Bois lamellé collé et bois massif reconstitué - Exigences]</w:t>
      </w:r>
    </w:p>
    <w:p w14:paraId="0BAFFC60" w14:textId="77777777" w:rsidR="00DF410E" w:rsidRDefault="00CE7F43">
      <w:r>
        <w:t>[NBN EN 1990, Eurocodes structuraux - Eurocodes: Bases de calcul des structures]</w:t>
      </w:r>
    </w:p>
    <w:p w14:paraId="7971B0BC" w14:textId="77777777" w:rsidR="00DF410E" w:rsidRDefault="00CE7F43">
      <w:r>
        <w:t>[NBN EN 1991 série, Eurocode 1 : Actions sur les structures]</w:t>
      </w:r>
    </w:p>
    <w:p w14:paraId="19960F8A" w14:textId="77777777" w:rsidR="00DF410E" w:rsidRDefault="00CE7F43">
      <w:r>
        <w:t>[NBN EN 1995 série, Eurocode 5: Conception et calcul des structures en bois]</w:t>
      </w:r>
    </w:p>
    <w:p w14:paraId="2CDEE2B2" w14:textId="77777777" w:rsidR="00DF410E" w:rsidRDefault="00CE7F43">
      <w:r>
        <w:t>[NBN EN 14250, Structure en bois - Exigences de produit relatives aux éléments de structures préfabriqués utilisant des connecteurs à plaque métallique emboutie]</w:t>
      </w:r>
    </w:p>
    <w:p w14:paraId="7DAB9E07" w14:textId="77777777" w:rsidR="00DF410E" w:rsidRDefault="00CE7F43">
      <w:r>
        <w:t>[STS 23, Structures en bois]</w:t>
      </w:r>
    </w:p>
    <w:p w14:paraId="3BDA6ACE" w14:textId="77777777" w:rsidR="00DF410E" w:rsidRDefault="00CE7F43">
      <w:r>
        <w:t>[STS 23:ad.1, Structures en bois : addendum et commentaires]</w:t>
      </w:r>
    </w:p>
    <w:p w14:paraId="454028D8" w14:textId="77777777" w:rsidR="00DF410E" w:rsidRDefault="00CE7F43">
      <w:r>
        <w:t>[STS 31, Charpenterie]</w:t>
      </w:r>
    </w:p>
    <w:p w14:paraId="496BAF4C" w14:textId="77777777" w:rsidR="00DF410E" w:rsidRDefault="00CE7F43">
      <w:r>
        <w:t>[Buildwise Article Dossier (2011/4.06), Dimensionnement des charpentes en bois.]</w:t>
      </w:r>
    </w:p>
    <w:p w14:paraId="4330E5BA" w14:textId="77777777" w:rsidR="00DF410E" w:rsidRDefault="00CE7F43">
      <w:pPr>
        <w:pStyle w:val="pheading"/>
      </w:pPr>
      <w:r>
        <w:t>AIDE</w:t>
      </w:r>
    </w:p>
    <w:p w14:paraId="45E9F8B8" w14:textId="77777777" w:rsidR="00DF410E" w:rsidRDefault="00CE7F43">
      <w:pPr>
        <w:jc w:val="both"/>
      </w:pPr>
      <w:r>
        <w:rPr>
          <w:b/>
        </w:rPr>
        <w:t>MESURES DE PROTECTION DE CHANTIER</w:t>
      </w:r>
    </w:p>
    <w:p w14:paraId="3BF7971E" w14:textId="77777777" w:rsidR="00DF410E" w:rsidRDefault="00CE7F43">
      <w:pPr>
        <w:jc w:val="both"/>
      </w:pPr>
      <w:r>
        <w:t xml:space="preserve">Il est vivement conseillé à l’auteur de projet de prévoir un poste lié aux mesures de protection contre les conditions climatiques des éléments sur chantier qui sont spécifiées au titre </w:t>
      </w:r>
      <w:hyperlink r:id="rId261" w:history="1" w:docLocation="109">
        <w:r>
          <w:t>04.4 Mesures de protection</w:t>
        </w:r>
      </w:hyperlink>
      <w:r>
        <w:t>.</w:t>
      </w:r>
    </w:p>
    <w:p w14:paraId="246D1F6F" w14:textId="77777777" w:rsidR="00DF410E" w:rsidRDefault="00CE7F43">
      <w:pPr>
        <w:jc w:val="both"/>
      </w:pPr>
      <w:r>
        <w:rPr>
          <w:b/>
        </w:rPr>
        <w:t>CHOIX DE LA TENEUR EN HUMIDITE DES ELEMENTS A PRESCRIRE</w:t>
      </w:r>
    </w:p>
    <w:p w14:paraId="095BAE62" w14:textId="77777777" w:rsidR="00DF410E" w:rsidRDefault="00DF410E">
      <w:pPr>
        <w:jc w:val="both"/>
      </w:pPr>
    </w:p>
    <w:p w14:paraId="1D3D9CE7" w14:textId="77777777" w:rsidR="00DF410E" w:rsidRDefault="00CE7F43">
      <w:pPr>
        <w:jc w:val="both"/>
      </w:pPr>
      <w:r>
        <w:t xml:space="preserve">Le tableau ci-dessous permet de déterminer la teneur en humidité cible à prescrire pour certains éléments </w:t>
      </w:r>
      <w:r>
        <w:rPr>
          <w:u w:val="single"/>
        </w:rPr>
        <w:t>dans leurs conditions habituelles d’utilisation.</w:t>
      </w:r>
    </w:p>
    <w:tbl>
      <w:tblPr>
        <w:tblStyle w:val="Author-eTableGrid"/>
        <w:tblW w:w="9030" w:type="dxa"/>
        <w:tblLayout w:type="fixed"/>
        <w:tblLook w:val="04A0" w:firstRow="1" w:lastRow="0" w:firstColumn="1" w:lastColumn="0" w:noHBand="0" w:noVBand="1"/>
      </w:tblPr>
      <w:tblGrid>
        <w:gridCol w:w="3010"/>
        <w:gridCol w:w="3010"/>
        <w:gridCol w:w="3010"/>
      </w:tblGrid>
      <w:tr w:rsidR="00DF410E" w14:paraId="26C03BD9" w14:textId="77777777">
        <w:tc>
          <w:tcPr>
            <w:tcW w:w="3000" w:type="dxa"/>
            <w:shd w:val="clear" w:color="auto" w:fill="C0C0C0"/>
            <w:noWrap/>
          </w:tcPr>
          <w:p w14:paraId="5FB8FF57" w14:textId="77777777" w:rsidR="00DF410E" w:rsidRDefault="00CE7F43">
            <w:pPr>
              <w:jc w:val="center"/>
            </w:pPr>
            <w:r>
              <w:rPr>
                <w:b/>
              </w:rPr>
              <w:t>Application</w:t>
            </w:r>
          </w:p>
        </w:tc>
        <w:tc>
          <w:tcPr>
            <w:tcW w:w="3000" w:type="dxa"/>
            <w:shd w:val="clear" w:color="auto" w:fill="C0C0C0"/>
            <w:noWrap/>
          </w:tcPr>
          <w:p w14:paraId="57289A00" w14:textId="77777777" w:rsidR="00DF410E" w:rsidRDefault="00CE7F43">
            <w:pPr>
              <w:jc w:val="center"/>
            </w:pPr>
            <w:r>
              <w:rPr>
                <w:b/>
              </w:rPr>
              <w:t>Classe d'emploi habituelle</w:t>
            </w:r>
          </w:p>
        </w:tc>
        <w:tc>
          <w:tcPr>
            <w:tcW w:w="3000" w:type="dxa"/>
            <w:shd w:val="clear" w:color="auto" w:fill="C0C0C0"/>
            <w:noWrap/>
          </w:tcPr>
          <w:p w14:paraId="4BA8D355" w14:textId="77777777" w:rsidR="00DF410E" w:rsidRDefault="00CE7F43">
            <w:pPr>
              <w:jc w:val="center"/>
            </w:pPr>
            <w:r>
              <w:rPr>
                <w:b/>
              </w:rPr>
              <w:t>Teneur en humidité cible</w:t>
            </w:r>
          </w:p>
        </w:tc>
      </w:tr>
      <w:tr w:rsidR="00DF410E" w14:paraId="03BBAFD7" w14:textId="77777777">
        <w:tc>
          <w:tcPr>
            <w:tcW w:w="3000" w:type="dxa"/>
            <w:noWrap/>
          </w:tcPr>
          <w:p w14:paraId="37C4B0C0" w14:textId="77777777" w:rsidR="00DF410E" w:rsidRDefault="00CE7F43">
            <w:r>
              <w:t>Charpente en bois massif</w:t>
            </w:r>
          </w:p>
        </w:tc>
        <w:tc>
          <w:tcPr>
            <w:tcW w:w="3000" w:type="dxa"/>
            <w:noWrap/>
          </w:tcPr>
          <w:p w14:paraId="0FBD8314" w14:textId="77777777" w:rsidR="00DF410E" w:rsidRDefault="00CE7F43">
            <w:pPr>
              <w:jc w:val="center"/>
            </w:pPr>
            <w:r>
              <w:t>2 ou 3</w:t>
            </w:r>
          </w:p>
        </w:tc>
        <w:tc>
          <w:tcPr>
            <w:tcW w:w="3000" w:type="dxa"/>
            <w:noWrap/>
          </w:tcPr>
          <w:p w14:paraId="4966B1B1" w14:textId="77777777" w:rsidR="00DF410E" w:rsidRDefault="00CE7F43">
            <w:pPr>
              <w:jc w:val="center"/>
            </w:pPr>
            <w:r>
              <w:t>18%</w:t>
            </w:r>
          </w:p>
        </w:tc>
      </w:tr>
      <w:tr w:rsidR="00DF410E" w14:paraId="34546E60" w14:textId="77777777">
        <w:tc>
          <w:tcPr>
            <w:tcW w:w="3000" w:type="dxa"/>
            <w:noWrap/>
          </w:tcPr>
          <w:p w14:paraId="52558B18" w14:textId="77777777" w:rsidR="00DF410E" w:rsidRDefault="00CE7F43">
            <w:r>
              <w:t>Lamellé-collé</w:t>
            </w:r>
          </w:p>
        </w:tc>
        <w:tc>
          <w:tcPr>
            <w:tcW w:w="3000" w:type="dxa"/>
            <w:noWrap/>
          </w:tcPr>
          <w:p w14:paraId="36C5F634" w14:textId="77777777" w:rsidR="00DF410E" w:rsidRDefault="00CE7F43">
            <w:pPr>
              <w:jc w:val="center"/>
            </w:pPr>
            <w:r>
              <w:t>1 ou 2</w:t>
            </w:r>
          </w:p>
        </w:tc>
        <w:tc>
          <w:tcPr>
            <w:tcW w:w="3000" w:type="dxa"/>
            <w:noWrap/>
          </w:tcPr>
          <w:p w14:paraId="6383049A" w14:textId="77777777" w:rsidR="00DF410E" w:rsidRDefault="00CE7F43">
            <w:pPr>
              <w:jc w:val="center"/>
            </w:pPr>
            <w:r>
              <w:t>12%</w:t>
            </w:r>
          </w:p>
        </w:tc>
      </w:tr>
      <w:tr w:rsidR="00DF410E" w14:paraId="1BBD58CA" w14:textId="77777777">
        <w:tc>
          <w:tcPr>
            <w:tcW w:w="3000" w:type="dxa"/>
            <w:noWrap/>
          </w:tcPr>
          <w:p w14:paraId="261B17F7" w14:textId="77777777" w:rsidR="00DF410E" w:rsidRDefault="00CE7F43">
            <w:r>
              <w:t>CLT</w:t>
            </w:r>
          </w:p>
        </w:tc>
        <w:tc>
          <w:tcPr>
            <w:tcW w:w="3000" w:type="dxa"/>
            <w:noWrap/>
          </w:tcPr>
          <w:p w14:paraId="78733652" w14:textId="77777777" w:rsidR="00DF410E" w:rsidRDefault="00CE7F43">
            <w:pPr>
              <w:jc w:val="center"/>
            </w:pPr>
            <w:r>
              <w:t>1 ou 2</w:t>
            </w:r>
          </w:p>
        </w:tc>
        <w:tc>
          <w:tcPr>
            <w:tcW w:w="3000" w:type="dxa"/>
            <w:noWrap/>
          </w:tcPr>
          <w:p w14:paraId="76F7CE96" w14:textId="77777777" w:rsidR="00DF410E" w:rsidRDefault="00CE7F43">
            <w:pPr>
              <w:jc w:val="center"/>
            </w:pPr>
            <w:r>
              <w:t>12%</w:t>
            </w:r>
          </w:p>
        </w:tc>
      </w:tr>
      <w:tr w:rsidR="00DF410E" w14:paraId="5FC1FA12" w14:textId="77777777">
        <w:tc>
          <w:tcPr>
            <w:tcW w:w="3000" w:type="dxa"/>
            <w:noWrap/>
          </w:tcPr>
          <w:p w14:paraId="4A040071" w14:textId="77777777" w:rsidR="00DF410E" w:rsidRDefault="00CE7F43">
            <w:r>
              <w:t>LVL</w:t>
            </w:r>
          </w:p>
        </w:tc>
        <w:tc>
          <w:tcPr>
            <w:tcW w:w="3000" w:type="dxa"/>
            <w:noWrap/>
          </w:tcPr>
          <w:p w14:paraId="1691DEB2" w14:textId="77777777" w:rsidR="00DF410E" w:rsidRDefault="00CE7F43">
            <w:pPr>
              <w:jc w:val="center"/>
            </w:pPr>
            <w:r>
              <w:t>1 ou 2</w:t>
            </w:r>
          </w:p>
        </w:tc>
        <w:tc>
          <w:tcPr>
            <w:tcW w:w="3000" w:type="dxa"/>
            <w:noWrap/>
          </w:tcPr>
          <w:p w14:paraId="75191EDD" w14:textId="77777777" w:rsidR="00DF410E" w:rsidRDefault="00CE7F43">
            <w:pPr>
              <w:jc w:val="center"/>
            </w:pPr>
            <w:r>
              <w:t>12%</w:t>
            </w:r>
          </w:p>
        </w:tc>
      </w:tr>
      <w:tr w:rsidR="00DF410E" w14:paraId="4A535375" w14:textId="77777777">
        <w:tc>
          <w:tcPr>
            <w:tcW w:w="3000" w:type="dxa"/>
            <w:noWrap/>
          </w:tcPr>
          <w:p w14:paraId="2FA3730F" w14:textId="77777777" w:rsidR="00DF410E" w:rsidRDefault="00CE7F43">
            <w:r>
              <w:t>Elément d'ossature bois</w:t>
            </w:r>
          </w:p>
        </w:tc>
        <w:tc>
          <w:tcPr>
            <w:tcW w:w="3000" w:type="dxa"/>
            <w:noWrap/>
          </w:tcPr>
          <w:p w14:paraId="2C81DD38" w14:textId="77777777" w:rsidR="00DF410E" w:rsidRDefault="00CE7F43">
            <w:pPr>
              <w:jc w:val="center"/>
            </w:pPr>
            <w:r>
              <w:t>1 ou 2</w:t>
            </w:r>
          </w:p>
        </w:tc>
        <w:tc>
          <w:tcPr>
            <w:tcW w:w="3000" w:type="dxa"/>
            <w:noWrap/>
          </w:tcPr>
          <w:p w14:paraId="0D106DDC" w14:textId="77777777" w:rsidR="00DF410E" w:rsidRDefault="00CE7F43">
            <w:pPr>
              <w:jc w:val="center"/>
            </w:pPr>
            <w:r>
              <w:t>17%</w:t>
            </w:r>
          </w:p>
        </w:tc>
      </w:tr>
      <w:tr w:rsidR="00DF410E" w14:paraId="52E308E1" w14:textId="77777777">
        <w:tc>
          <w:tcPr>
            <w:tcW w:w="3000" w:type="dxa"/>
            <w:noWrap/>
          </w:tcPr>
          <w:p w14:paraId="79B594BB" w14:textId="77777777" w:rsidR="00DF410E" w:rsidRDefault="00CE7F43">
            <w:r>
              <w:t>Charpente préfabriquée</w:t>
            </w:r>
          </w:p>
        </w:tc>
        <w:tc>
          <w:tcPr>
            <w:tcW w:w="3000" w:type="dxa"/>
            <w:noWrap/>
          </w:tcPr>
          <w:p w14:paraId="4617B2FC" w14:textId="77777777" w:rsidR="00DF410E" w:rsidRDefault="00CE7F43">
            <w:pPr>
              <w:jc w:val="center"/>
            </w:pPr>
            <w:r>
              <w:t>2 ou 3</w:t>
            </w:r>
          </w:p>
        </w:tc>
        <w:tc>
          <w:tcPr>
            <w:tcW w:w="3000" w:type="dxa"/>
            <w:noWrap/>
          </w:tcPr>
          <w:p w14:paraId="163A3A80" w14:textId="77777777" w:rsidR="00DF410E" w:rsidRDefault="00CE7F43">
            <w:pPr>
              <w:jc w:val="center"/>
            </w:pPr>
            <w:r>
              <w:t>20%</w:t>
            </w:r>
          </w:p>
        </w:tc>
      </w:tr>
    </w:tbl>
    <w:p w14:paraId="6AD88B68" w14:textId="77777777" w:rsidR="00DF410E" w:rsidRDefault="00CE7F43">
      <w:pPr>
        <w:jc w:val="both"/>
      </w:pPr>
      <w:r>
        <w:t> </w:t>
      </w:r>
    </w:p>
    <w:p w14:paraId="106915A9" w14:textId="77777777" w:rsidR="00DF410E" w:rsidRDefault="00CE7F43">
      <w:pPr>
        <w:jc w:val="both"/>
      </w:pPr>
      <w:r>
        <w:t>Si l’élément n’est pas repris dans la liste ou si les conditions d’ambiance de l’élément sont particulières, il convient de réfléchir à la teneur en humidité à prescrire en fonction des paramètres suivants :</w:t>
      </w:r>
    </w:p>
    <w:p w14:paraId="2A70B80E" w14:textId="77777777" w:rsidR="00DF410E" w:rsidRDefault="00CE7F43">
      <w:pPr>
        <w:pStyle w:val="Author-eListParagraph"/>
        <w:numPr>
          <w:ilvl w:val="0"/>
          <w:numId w:val="846"/>
        </w:numPr>
      </w:pPr>
      <w:r>
        <w:t>teneur en humidité d’équilibre moyenne dans l’ambiance,</w:t>
      </w:r>
    </w:p>
    <w:p w14:paraId="4151CBC0" w14:textId="77777777" w:rsidR="00DF410E" w:rsidRDefault="00CE7F43">
      <w:pPr>
        <w:pStyle w:val="Author-eListParagraph"/>
        <w:numPr>
          <w:ilvl w:val="0"/>
          <w:numId w:val="846"/>
        </w:numPr>
      </w:pPr>
      <w:r>
        <w:t>type de bois (essence, bois massifs, bois massifs collés, …),</w:t>
      </w:r>
    </w:p>
    <w:p w14:paraId="7A025658" w14:textId="77777777" w:rsidR="00DF410E" w:rsidRDefault="00CE7F43">
      <w:pPr>
        <w:pStyle w:val="Author-eListParagraph"/>
        <w:numPr>
          <w:ilvl w:val="0"/>
          <w:numId w:val="846"/>
        </w:numPr>
      </w:pPr>
      <w:r>
        <w:t>variation éventuelle des conditions d’ambiance (en fonction des saisons, de la finition du bois, de l’exposition, etc.),</w:t>
      </w:r>
    </w:p>
    <w:p w14:paraId="46B766C1" w14:textId="77777777" w:rsidR="00DF410E" w:rsidRDefault="00CE7F43">
      <w:pPr>
        <w:pStyle w:val="Author-eListParagraph"/>
        <w:numPr>
          <w:ilvl w:val="0"/>
          <w:numId w:val="846"/>
        </w:numPr>
      </w:pPr>
      <w:r>
        <w:t>éventuellement, période de mise en œuvre de l’élément.</w:t>
      </w:r>
      <w:r>
        <w:br/>
      </w:r>
    </w:p>
    <w:p w14:paraId="04EDCC77" w14:textId="77777777" w:rsidR="00DF410E" w:rsidRDefault="00CE7F43">
      <w:pPr>
        <w:jc w:val="both"/>
      </w:pPr>
      <w:r>
        <w:t>La teneur en humidité des éléments en bois varie en fonction de la saison et de l’exposition de l’élément aux conditions climatiques. Le tableau ci-dessous donne un ordre de grandeur de ces variations :</w:t>
      </w:r>
    </w:p>
    <w:tbl>
      <w:tblPr>
        <w:tblStyle w:val="Author-eTableGrid"/>
        <w:tblW w:w="9030" w:type="dxa"/>
        <w:tblLayout w:type="fixed"/>
        <w:tblLook w:val="04A0" w:firstRow="1" w:lastRow="0" w:firstColumn="1" w:lastColumn="0" w:noHBand="0" w:noVBand="1"/>
      </w:tblPr>
      <w:tblGrid>
        <w:gridCol w:w="4515"/>
        <w:gridCol w:w="4515"/>
      </w:tblGrid>
      <w:tr w:rsidR="00DF410E" w14:paraId="14B5AB18" w14:textId="77777777">
        <w:tc>
          <w:tcPr>
            <w:tcW w:w="4515" w:type="dxa"/>
            <w:shd w:val="clear" w:color="auto" w:fill="C0C0C0"/>
            <w:noWrap/>
          </w:tcPr>
          <w:p w14:paraId="31C9963F" w14:textId="77777777" w:rsidR="00DF410E" w:rsidRDefault="00CE7F43">
            <w:pPr>
              <w:jc w:val="center"/>
            </w:pPr>
            <w:r>
              <w:rPr>
                <w:b/>
              </w:rPr>
              <w:t>Classe d'emploi</w:t>
            </w:r>
          </w:p>
        </w:tc>
        <w:tc>
          <w:tcPr>
            <w:tcW w:w="4515" w:type="dxa"/>
            <w:shd w:val="clear" w:color="auto" w:fill="C0C0C0"/>
            <w:noWrap/>
          </w:tcPr>
          <w:p w14:paraId="1D95BE63" w14:textId="77777777" w:rsidR="00DF410E" w:rsidRDefault="00CE7F43">
            <w:pPr>
              <w:jc w:val="center"/>
            </w:pPr>
            <w:r>
              <w:rPr>
                <w:b/>
              </w:rPr>
              <w:t>Variation potentielle</w:t>
            </w:r>
          </w:p>
        </w:tc>
      </w:tr>
      <w:tr w:rsidR="00DF410E" w14:paraId="5CEBEBA0" w14:textId="77777777">
        <w:tc>
          <w:tcPr>
            <w:tcW w:w="4515" w:type="dxa"/>
            <w:noWrap/>
          </w:tcPr>
          <w:p w14:paraId="18716401" w14:textId="77777777" w:rsidR="00DF410E" w:rsidRDefault="00CE7F43">
            <w:pPr>
              <w:jc w:val="center"/>
            </w:pPr>
            <w:r>
              <w:t>1</w:t>
            </w:r>
          </w:p>
        </w:tc>
        <w:tc>
          <w:tcPr>
            <w:tcW w:w="4515" w:type="dxa"/>
            <w:noWrap/>
          </w:tcPr>
          <w:p w14:paraId="51163B40" w14:textId="77777777" w:rsidR="00DF410E" w:rsidRDefault="00CE7F43">
            <w:pPr>
              <w:jc w:val="center"/>
            </w:pPr>
            <w:r>
              <w:t>6% - 11%</w:t>
            </w:r>
          </w:p>
        </w:tc>
      </w:tr>
      <w:tr w:rsidR="00DF410E" w14:paraId="30B7D347" w14:textId="77777777">
        <w:tc>
          <w:tcPr>
            <w:tcW w:w="4515" w:type="dxa"/>
            <w:noWrap/>
          </w:tcPr>
          <w:p w14:paraId="61BB501C" w14:textId="77777777" w:rsidR="00DF410E" w:rsidRDefault="00CE7F43">
            <w:pPr>
              <w:jc w:val="center"/>
            </w:pPr>
            <w:r>
              <w:t>2</w:t>
            </w:r>
          </w:p>
        </w:tc>
        <w:tc>
          <w:tcPr>
            <w:tcW w:w="4515" w:type="dxa"/>
            <w:noWrap/>
          </w:tcPr>
          <w:p w14:paraId="69FD2D18" w14:textId="77777777" w:rsidR="00DF410E" w:rsidRDefault="00CE7F43">
            <w:pPr>
              <w:jc w:val="center"/>
            </w:pPr>
            <w:r>
              <w:t>6% - 20%</w:t>
            </w:r>
          </w:p>
        </w:tc>
      </w:tr>
      <w:tr w:rsidR="00DF410E" w14:paraId="2F5D3248" w14:textId="77777777">
        <w:tc>
          <w:tcPr>
            <w:tcW w:w="4515" w:type="dxa"/>
            <w:noWrap/>
          </w:tcPr>
          <w:p w14:paraId="1731114E" w14:textId="77777777" w:rsidR="00DF410E" w:rsidRDefault="00CE7F43">
            <w:pPr>
              <w:jc w:val="center"/>
            </w:pPr>
            <w:r>
              <w:t>3</w:t>
            </w:r>
          </w:p>
        </w:tc>
        <w:tc>
          <w:tcPr>
            <w:tcW w:w="4515" w:type="dxa"/>
            <w:noWrap/>
          </w:tcPr>
          <w:p w14:paraId="50718DE4" w14:textId="77777777" w:rsidR="00DF410E" w:rsidRDefault="00CE7F43">
            <w:pPr>
              <w:jc w:val="center"/>
            </w:pPr>
            <w:r>
              <w:t>11% - 20%</w:t>
            </w:r>
          </w:p>
        </w:tc>
      </w:tr>
    </w:tbl>
    <w:p w14:paraId="255EAE74" w14:textId="77777777" w:rsidR="00DF410E" w:rsidRDefault="00DF410E"/>
    <w:p w14:paraId="3C5757C1" w14:textId="77777777" w:rsidR="00DF410E" w:rsidRDefault="00CE7F43">
      <w:pPr>
        <w:jc w:val="both"/>
      </w:pPr>
      <w:r>
        <w:t>Lorsque dans une section en bois massif les deux dimensions sont supérieures à 80mm, il est difficile de trouver des bois séchés artificiellement. Des mesures au niveau de la conception doivent être prévues afin d’éviter les problèmes de fissuration lors du séchage (entailles de retrait, etc.).</w:t>
      </w:r>
    </w:p>
    <w:p w14:paraId="7DCE691E" w14:textId="77777777" w:rsidR="00DF410E" w:rsidRDefault="00CE7F43">
      <w:pPr>
        <w:jc w:val="both"/>
      </w:pPr>
      <w:r>
        <w:t>Le tableau suivant, provenant du volume 13 du traité de génie civil de l’école polytechnique fédérale de Lausanne, traitant de la construction bois permet d’estimer l’amplitude des variations de la teneur en humidité que les éléments subissent durant leur durée de vie.</w:t>
      </w:r>
    </w:p>
    <w:p w14:paraId="72A39437" w14:textId="77777777" w:rsidR="00DF410E" w:rsidRDefault="00CE7F43">
      <w:pPr>
        <w:jc w:val="both"/>
      </w:pPr>
      <w:r>
        <w:rPr>
          <w:noProof/>
        </w:rPr>
        <w:drawing>
          <wp:inline distT="0" distB="0" distL="0" distR="0" wp14:anchorId="34A5DC26" wp14:editId="59FB5D31">
            <wp:extent cx="5715000" cy="4552950"/>
            <wp:effectExtent l="0" t="0" r="0" b="0"/>
            <wp:docPr id="895301764" name="tableau 2.18 section 24.jpg" descr="tableau 2.18 sectio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27" descr=" "/>
                    <pic:cNvPicPr>
                      <a:picLocks noChangeAspect="1" noChangeArrowheads="1"/>
                    </pic:cNvPicPr>
                  </pic:nvPicPr>
                  <pic:blipFill>
                    <a:blip r:embed="rId262"/>
                    <a:srcRect/>
                    <a:stretch>
                      <a:fillRect/>
                    </a:stretch>
                  </pic:blipFill>
                  <pic:spPr bwMode="auto">
                    <a:xfrm>
                      <a:off x="0" y="0"/>
                      <a:ext cx="5715000" cy="4552950"/>
                    </a:xfrm>
                    <a:prstGeom prst="rect">
                      <a:avLst/>
                    </a:prstGeom>
                  </pic:spPr>
                </pic:pic>
              </a:graphicData>
            </a:graphic>
          </wp:inline>
        </w:drawing>
      </w:r>
    </w:p>
    <w:p w14:paraId="0879E69D" w14:textId="77777777" w:rsidR="00DF410E" w:rsidRDefault="00CE7F43">
      <w:pPr>
        <w:pStyle w:val="Author-eSectionHeading3"/>
      </w:pPr>
      <w:bookmarkStart w:id="1554" w:name="_Toc178838655"/>
      <w:r>
        <w:t>24.1 Eléments de structures en bois CCTB 01.07</w:t>
      </w:r>
      <w:bookmarkEnd w:id="1554"/>
    </w:p>
    <w:p w14:paraId="4790C66A" w14:textId="77777777" w:rsidR="00DF410E" w:rsidRDefault="00CE7F43">
      <w:pPr>
        <w:pStyle w:val="pheading"/>
      </w:pPr>
      <w:bookmarkStart w:id="1555" w:name="592"/>
      <w:bookmarkEnd w:id="1555"/>
      <w:r>
        <w:t>DESCRIPTION</w:t>
      </w:r>
    </w:p>
    <w:p w14:paraId="18189EE3" w14:textId="77777777" w:rsidR="00DF410E" w:rsidRDefault="00CE7F43">
      <w:pPr>
        <w:pStyle w:val="pheading"/>
      </w:pPr>
      <w:r>
        <w:t>- Définition / Comprend</w:t>
      </w:r>
    </w:p>
    <w:p w14:paraId="03941DCB" w14:textId="77777777" w:rsidR="00DF410E" w:rsidRDefault="00CE7F43">
      <w:pPr>
        <w:jc w:val="both"/>
      </w:pPr>
      <w:r>
        <w:t>Dans cet élément sont repris les éléments individuels en bois ou à base de bois.</w:t>
      </w:r>
    </w:p>
    <w:p w14:paraId="6447B87B" w14:textId="77777777" w:rsidR="00DF410E" w:rsidRDefault="00CE7F43">
      <w:pPr>
        <w:jc w:val="both"/>
      </w:pPr>
      <w:r>
        <w:t>Les travaux comprennent notamment :</w:t>
      </w:r>
    </w:p>
    <w:p w14:paraId="2E7D2851" w14:textId="77777777" w:rsidR="00DF410E" w:rsidRDefault="00CE7F43">
      <w:pPr>
        <w:pStyle w:val="Author-eListParagraph"/>
        <w:numPr>
          <w:ilvl w:val="0"/>
          <w:numId w:val="847"/>
        </w:numPr>
        <w:jc w:val="both"/>
      </w:pPr>
      <w:r>
        <w:t>les plans de fabrication</w:t>
      </w:r>
    </w:p>
    <w:p w14:paraId="128078E8" w14:textId="77777777" w:rsidR="00DF410E" w:rsidRDefault="00CE7F43">
      <w:pPr>
        <w:pStyle w:val="Author-eListParagraph"/>
        <w:numPr>
          <w:ilvl w:val="0"/>
          <w:numId w:val="847"/>
        </w:numPr>
        <w:jc w:val="both"/>
      </w:pPr>
      <w:r>
        <w:t>la fabrication des éléments, leur séchage à la teneur en humidité prescrite et leur traitement éventuel ;</w:t>
      </w:r>
    </w:p>
    <w:p w14:paraId="65AB08B6" w14:textId="77777777" w:rsidR="00DF410E" w:rsidRDefault="00CE7F43">
      <w:pPr>
        <w:pStyle w:val="Author-eListParagraph"/>
        <w:numPr>
          <w:ilvl w:val="0"/>
          <w:numId w:val="847"/>
        </w:numPr>
        <w:jc w:val="both"/>
      </w:pPr>
      <w:r>
        <w:t>la finition des surfaces prescrites ;</w:t>
      </w:r>
    </w:p>
    <w:p w14:paraId="6D7A234D" w14:textId="77777777" w:rsidR="00DF410E" w:rsidRDefault="00CE7F43">
      <w:pPr>
        <w:pStyle w:val="Author-eListParagraph"/>
        <w:numPr>
          <w:ilvl w:val="0"/>
          <w:numId w:val="847"/>
        </w:numPr>
        <w:jc w:val="both"/>
      </w:pPr>
      <w:r>
        <w:t>la livraison des éléments jusqu’au chantier ;</w:t>
      </w:r>
    </w:p>
    <w:p w14:paraId="01A9447A" w14:textId="77777777" w:rsidR="00DF410E" w:rsidRDefault="00CE7F43">
      <w:pPr>
        <w:pStyle w:val="Author-eListParagraph"/>
        <w:numPr>
          <w:ilvl w:val="0"/>
          <w:numId w:val="847"/>
        </w:numPr>
        <w:jc w:val="both"/>
      </w:pPr>
      <w:r>
        <w:t>le stockage éventuel des éléments sur le chantier de construction et les mesures de protection éventuellement nécessaires afin qu’ils conservent leurs propriétés durant le stockage ;</w:t>
      </w:r>
    </w:p>
    <w:p w14:paraId="55B4A767" w14:textId="77777777" w:rsidR="00DF410E" w:rsidRDefault="00CE7F43">
      <w:pPr>
        <w:pStyle w:val="Author-eListParagraph"/>
        <w:numPr>
          <w:ilvl w:val="0"/>
          <w:numId w:val="847"/>
        </w:numPr>
        <w:jc w:val="both"/>
      </w:pPr>
      <w:r>
        <w:t>l’installation des éléments dans leurs positions définitives et les mesures de protection éventuellement nécessaires afin qu’ils conservent leurs propriétés durant toute la phase chantier ;</w:t>
      </w:r>
    </w:p>
    <w:p w14:paraId="0E870545" w14:textId="77777777" w:rsidR="00DF410E" w:rsidRDefault="00CE7F43">
      <w:pPr>
        <w:pStyle w:val="Author-eListParagraph"/>
        <w:numPr>
          <w:ilvl w:val="0"/>
          <w:numId w:val="847"/>
        </w:numPr>
        <w:jc w:val="both"/>
      </w:pPr>
      <w:r>
        <w:t xml:space="preserve">les moyens d’assemblage de l’élément à l’exception des moyens d’assemblage spécifiques qui sont prescrits dans l’élément </w:t>
      </w:r>
      <w:hyperlink w:anchor="583" w:history="1">
        <w:r>
          <w:t>24.4 Assemblages</w:t>
        </w:r>
      </w:hyperlink>
      <w:r>
        <w:t>.</w:t>
      </w:r>
    </w:p>
    <w:p w14:paraId="6CE1E7C1" w14:textId="77777777" w:rsidR="00DF410E" w:rsidRDefault="00CE7F43">
      <w:pPr>
        <w:pStyle w:val="pheading"/>
      </w:pPr>
      <w:r>
        <w:t>MATÉRIAUX</w:t>
      </w:r>
    </w:p>
    <w:p w14:paraId="3184C017" w14:textId="77777777" w:rsidR="00DF410E" w:rsidRDefault="00CE7F43">
      <w:r>
        <w:t>Les abréviations suivantes sont utilisées pour décrire les matériaux :</w:t>
      </w:r>
    </w:p>
    <w:tbl>
      <w:tblPr>
        <w:tblStyle w:val="Author-eTableGrid"/>
        <w:tblW w:w="9030" w:type="dxa"/>
        <w:tblLayout w:type="fixed"/>
        <w:tblLook w:val="04A0" w:firstRow="1" w:lastRow="0" w:firstColumn="1" w:lastColumn="0" w:noHBand="0" w:noVBand="1"/>
      </w:tblPr>
      <w:tblGrid>
        <w:gridCol w:w="4515"/>
        <w:gridCol w:w="4515"/>
      </w:tblGrid>
      <w:tr w:rsidR="00DF410E" w14:paraId="499D0337" w14:textId="77777777">
        <w:tc>
          <w:tcPr>
            <w:tcW w:w="4515" w:type="dxa"/>
            <w:noWrap/>
          </w:tcPr>
          <w:p w14:paraId="4CC9F843" w14:textId="77777777" w:rsidR="00DF410E" w:rsidRDefault="00CE7F43">
            <w:r>
              <w:t>BM</w:t>
            </w:r>
          </w:p>
        </w:tc>
        <w:tc>
          <w:tcPr>
            <w:tcW w:w="4515" w:type="dxa"/>
            <w:noWrap/>
          </w:tcPr>
          <w:p w14:paraId="7B460E3C" w14:textId="77777777" w:rsidR="00DF410E" w:rsidRDefault="00CE7F43">
            <w:r>
              <w:t>Bois massif</w:t>
            </w:r>
          </w:p>
        </w:tc>
      </w:tr>
      <w:tr w:rsidR="00DF410E" w14:paraId="055EDC13" w14:textId="77777777">
        <w:tc>
          <w:tcPr>
            <w:tcW w:w="4515" w:type="dxa"/>
            <w:noWrap/>
          </w:tcPr>
          <w:p w14:paraId="279132B8" w14:textId="77777777" w:rsidR="00DF410E" w:rsidRDefault="00CE7F43">
            <w:r>
              <w:t>BLC</w:t>
            </w:r>
          </w:p>
        </w:tc>
        <w:tc>
          <w:tcPr>
            <w:tcW w:w="4515" w:type="dxa"/>
            <w:noWrap/>
          </w:tcPr>
          <w:p w14:paraId="0853793D" w14:textId="77777777" w:rsidR="00DF410E" w:rsidRDefault="00CE7F43">
            <w:r>
              <w:t>Bois lamellé-collé</w:t>
            </w:r>
          </w:p>
        </w:tc>
      </w:tr>
      <w:tr w:rsidR="00DF410E" w14:paraId="76A81C8D" w14:textId="77777777">
        <w:tc>
          <w:tcPr>
            <w:tcW w:w="4515" w:type="dxa"/>
            <w:noWrap/>
          </w:tcPr>
          <w:p w14:paraId="232D803F" w14:textId="77777777" w:rsidR="00DF410E" w:rsidRDefault="00CE7F43">
            <w:r>
              <w:t>BLC-B</w:t>
            </w:r>
          </w:p>
        </w:tc>
        <w:tc>
          <w:tcPr>
            <w:tcW w:w="4515" w:type="dxa"/>
            <w:noWrap/>
          </w:tcPr>
          <w:p w14:paraId="239DC555" w14:textId="77777777" w:rsidR="00DF410E" w:rsidRDefault="00CE7F43">
            <w:r>
              <w:t>Bois lamellé-collé en bloc</w:t>
            </w:r>
          </w:p>
        </w:tc>
      </w:tr>
      <w:tr w:rsidR="00DF410E" w14:paraId="77BDF3D9" w14:textId="77777777">
        <w:tc>
          <w:tcPr>
            <w:tcW w:w="4515" w:type="dxa"/>
            <w:noWrap/>
          </w:tcPr>
          <w:p w14:paraId="2A5C42C9" w14:textId="77777777" w:rsidR="00DF410E" w:rsidRDefault="00CE7F43">
            <w:r>
              <w:t>CLT</w:t>
            </w:r>
          </w:p>
        </w:tc>
        <w:tc>
          <w:tcPr>
            <w:tcW w:w="4515" w:type="dxa"/>
            <w:noWrap/>
          </w:tcPr>
          <w:p w14:paraId="307AF2B6" w14:textId="77777777" w:rsidR="00DF410E" w:rsidRDefault="00CE7F43">
            <w:r>
              <w:t>CLT (bois lamellé-croisé)</w:t>
            </w:r>
          </w:p>
        </w:tc>
      </w:tr>
      <w:tr w:rsidR="00DF410E" w14:paraId="08AC4972" w14:textId="77777777">
        <w:tc>
          <w:tcPr>
            <w:tcW w:w="4515" w:type="dxa"/>
            <w:noWrap/>
          </w:tcPr>
          <w:p w14:paraId="4D40D3D4" w14:textId="77777777" w:rsidR="00DF410E" w:rsidRDefault="00CE7F43">
            <w:r>
              <w:t>LVL</w:t>
            </w:r>
          </w:p>
        </w:tc>
        <w:tc>
          <w:tcPr>
            <w:tcW w:w="4515" w:type="dxa"/>
            <w:noWrap/>
          </w:tcPr>
          <w:p w14:paraId="4B0B3991" w14:textId="77777777" w:rsidR="00DF410E" w:rsidRDefault="00CE7F43">
            <w:r>
              <w:t>LVL (Lamibois)</w:t>
            </w:r>
          </w:p>
        </w:tc>
      </w:tr>
    </w:tbl>
    <w:p w14:paraId="548A3EC1" w14:textId="77777777" w:rsidR="00DF410E" w:rsidRDefault="00CE7F43">
      <w:r>
        <w:br/>
        <w:t xml:space="preserve">Les différents matériaux sont définis au </w:t>
      </w:r>
      <w:hyperlink w:anchor="89" w:history="1">
        <w:r>
          <w:t>24 Superstructures en bois</w:t>
        </w:r>
      </w:hyperlink>
      <w:r>
        <w:t>.</w:t>
      </w:r>
    </w:p>
    <w:p w14:paraId="56964F9F" w14:textId="77777777" w:rsidR="00DF410E" w:rsidRDefault="00CE7F43">
      <w:pPr>
        <w:pStyle w:val="Author-eSectionHeading4"/>
      </w:pPr>
      <w:bookmarkStart w:id="1556" w:name="_Toc178838656"/>
      <w:r>
        <w:t>24.11 Eléments d'assise en bois CCTB 01.04</w:t>
      </w:r>
      <w:bookmarkEnd w:id="1556"/>
    </w:p>
    <w:p w14:paraId="5F797AF9" w14:textId="77777777" w:rsidR="00DF410E" w:rsidRDefault="00CE7F43">
      <w:pPr>
        <w:pStyle w:val="Author-eSectionHeading5"/>
      </w:pPr>
      <w:bookmarkStart w:id="1557" w:name="619"/>
      <w:bookmarkStart w:id="1558" w:name="_Toc178838657"/>
      <w:bookmarkEnd w:id="1557"/>
      <w:r>
        <w:t>24.11.1 Lisses de pose CCTB 01.07</w:t>
      </w:r>
      <w:bookmarkEnd w:id="1558"/>
    </w:p>
    <w:p w14:paraId="526F9818" w14:textId="77777777" w:rsidR="00DF410E" w:rsidRDefault="00CE7F43">
      <w:pPr>
        <w:pStyle w:val="Author-eSectionHeading6"/>
      </w:pPr>
      <w:bookmarkStart w:id="1559" w:name="_Toc178838658"/>
      <w:r>
        <w:t>24.11.1a Lisses de pose en bois massif CCTB 01.12</w:t>
      </w:r>
      <w:bookmarkEnd w:id="1559"/>
    </w:p>
    <w:p w14:paraId="1E2AB14E" w14:textId="77777777" w:rsidR="00DF410E" w:rsidRDefault="00CE7F43">
      <w:pPr>
        <w:pStyle w:val="pheading"/>
      </w:pPr>
      <w:bookmarkStart w:id="1560" w:name="590"/>
      <w:bookmarkEnd w:id="1560"/>
      <w:r>
        <w:t>DESCRIPTION</w:t>
      </w:r>
    </w:p>
    <w:p w14:paraId="66E0B5FB" w14:textId="77777777" w:rsidR="00DF410E" w:rsidRDefault="00CE7F43">
      <w:pPr>
        <w:pStyle w:val="pheading"/>
      </w:pPr>
      <w:r>
        <w:t>- Définition / Comprend</w:t>
      </w:r>
    </w:p>
    <w:p w14:paraId="55B2444F" w14:textId="77777777" w:rsidR="00DF410E" w:rsidRDefault="00CE7F43">
      <w:pPr>
        <w:jc w:val="both"/>
      </w:pPr>
      <w:r>
        <w:t>Il s'agit d’éléments linéaires en bois ancrés dans une dalle en béton (dalle de fondation ou dalle d’étage) aux droits des futurs murs à dresser. Les lisses de pose permettent de passer de la précision du béton (de l’ordre du cm) à celle d’une structure en bois (de l’ordre du mm).</w:t>
      </w:r>
    </w:p>
    <w:p w14:paraId="32F37AA5" w14:textId="77777777" w:rsidR="00DF410E" w:rsidRDefault="00CE7F43">
      <w:pPr>
        <w:pStyle w:val="pheading"/>
      </w:pPr>
      <w:r>
        <w:t>MATÉRIAUX</w:t>
      </w:r>
    </w:p>
    <w:p w14:paraId="41B4CDA7" w14:textId="77777777" w:rsidR="00DF410E" w:rsidRDefault="00CE7F43">
      <w:pPr>
        <w:pStyle w:val="pheading"/>
      </w:pPr>
      <w:r>
        <w:t>- Caractéristiques générales</w:t>
      </w:r>
    </w:p>
    <w:p w14:paraId="504264F8" w14:textId="77777777" w:rsidR="00DF410E" w:rsidRDefault="00CE7F43">
      <w:pPr>
        <w:jc w:val="both"/>
      </w:pPr>
      <w:r>
        <w:t xml:space="preserve">Classe de résistance : </w:t>
      </w:r>
      <w:r>
        <w:rPr>
          <w:rStyle w:val="optioncarChar"/>
        </w:rPr>
        <w:t xml:space="preserve">C18 </w:t>
      </w:r>
      <w:r>
        <w:t xml:space="preserve">(par défaut) </w:t>
      </w:r>
      <w:r>
        <w:rPr>
          <w:rStyle w:val="optioncarChar"/>
        </w:rPr>
        <w:t>/ D18 / C24 / D24 / ***</w:t>
      </w:r>
    </w:p>
    <w:p w14:paraId="1E286E1D" w14:textId="77777777" w:rsidR="00DF410E" w:rsidRDefault="00CE7F43">
      <w:pPr>
        <w:jc w:val="both"/>
      </w:pPr>
      <w:r>
        <w:t xml:space="preserve">Epaisseur : </w:t>
      </w:r>
      <w:r>
        <w:rPr>
          <w:rStyle w:val="optioncarChar"/>
        </w:rPr>
        <w:t xml:space="preserve">Voir plans </w:t>
      </w:r>
      <w:r>
        <w:t>(par défaut)</w:t>
      </w:r>
      <w:r>
        <w:rPr>
          <w:rStyle w:val="optioncarChar"/>
        </w:rPr>
        <w:t xml:space="preserve"> / ***</w:t>
      </w:r>
    </w:p>
    <w:p w14:paraId="10151738" w14:textId="77777777" w:rsidR="00DF410E" w:rsidRDefault="00CE7F43">
      <w:pPr>
        <w:jc w:val="both"/>
      </w:pPr>
      <w:r>
        <w:t xml:space="preserve">Largeur : </w:t>
      </w:r>
      <w:r>
        <w:rPr>
          <w:rStyle w:val="optioncarChar"/>
        </w:rPr>
        <w:t xml:space="preserve">Voir plans </w:t>
      </w:r>
      <w:r>
        <w:t>(par défaut)</w:t>
      </w:r>
      <w:r>
        <w:rPr>
          <w:rStyle w:val="optioncarChar"/>
        </w:rPr>
        <w:t xml:space="preserve"> / ***</w:t>
      </w:r>
    </w:p>
    <w:p w14:paraId="14287A2A"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6FE36749" w14:textId="77777777" w:rsidR="00DF410E" w:rsidRDefault="00CE7F43">
      <w:pPr>
        <w:jc w:val="both"/>
      </w:pPr>
      <w:r>
        <w:t xml:space="preserve">Classe d’emploi : </w:t>
      </w:r>
      <w:r>
        <w:rPr>
          <w:rStyle w:val="optioncarChar"/>
        </w:rPr>
        <w:t xml:space="preserve">3 </w:t>
      </w:r>
      <w:r>
        <w:t xml:space="preserve">(par défaut) </w:t>
      </w:r>
      <w:r>
        <w:rPr>
          <w:rStyle w:val="optioncarChar"/>
        </w:rPr>
        <w:t>/ 4</w:t>
      </w:r>
    </w:p>
    <w:p w14:paraId="01FE470C" w14:textId="77777777" w:rsidR="00DF410E" w:rsidRDefault="00CE7F43">
      <w:pPr>
        <w:ind w:left="567"/>
        <w:jc w:val="both"/>
      </w:pPr>
      <w:r>
        <w:t>Par défaut, la lisse de pose est considérée en classe d’emploi 3. Si des conditions particulières et défavorables à la durabilité du bois risquent de se produire, la classe d’emploi 4 est considérée.</w:t>
      </w:r>
    </w:p>
    <w:p w14:paraId="12F83DA7" w14:textId="77777777" w:rsidR="00DF410E" w:rsidRDefault="00CE7F43">
      <w:pPr>
        <w:jc w:val="both"/>
      </w:pPr>
      <w:r>
        <w:t xml:space="preserve">La durabilité des lisses de pose, en fonction de leur classe d’emploi, est assurée de la manière suivante : </w:t>
      </w:r>
      <w:r>
        <w:rPr>
          <w:rStyle w:val="optioncarChar"/>
        </w:rPr>
        <w:t>bois hors aubier / traitement A2.1 / traitement A3</w:t>
      </w:r>
      <w:r>
        <w:t xml:space="preserve"> (par défaut) </w:t>
      </w:r>
      <w:r>
        <w:rPr>
          <w:rStyle w:val="optioncarChar"/>
        </w:rPr>
        <w:t>/ traitement A4 / ***</w:t>
      </w:r>
    </w:p>
    <w:p w14:paraId="5861DC2D" w14:textId="77777777" w:rsidR="00DF410E" w:rsidRDefault="00CE7F43">
      <w:pPr>
        <w:ind w:left="567"/>
        <w:jc w:val="both"/>
      </w:pPr>
      <w:r>
        <w:rPr>
          <w:b/>
          <w:i/>
        </w:rPr>
        <w:t>(Soit)</w:t>
      </w:r>
    </w:p>
    <w:p w14:paraId="3D489725" w14:textId="77777777" w:rsidR="00DF410E" w:rsidRDefault="00CE7F43">
      <w:pPr>
        <w:ind w:left="567"/>
        <w:jc w:val="both"/>
      </w:pPr>
      <w:r>
        <w:rPr>
          <w:rStyle w:val="soitChar"/>
          <w:u w:val="single"/>
        </w:rPr>
        <w:t>Bois hors aubier</w:t>
      </w:r>
    </w:p>
    <w:p w14:paraId="24DB3664" w14:textId="77777777" w:rsidR="00DF410E" w:rsidRDefault="00CE7F43">
      <w:pPr>
        <w:ind w:left="567"/>
        <w:jc w:val="both"/>
      </w:pPr>
      <w:r>
        <w:rPr>
          <w:rStyle w:val="soitChar"/>
        </w:rPr>
        <w:t>La durabilité naturelle de l’essence utilisée est suffisante.</w:t>
      </w:r>
    </w:p>
    <w:p w14:paraId="08C26CE7" w14:textId="77777777" w:rsidR="00DF410E" w:rsidRDefault="00CE7F43">
      <w:pPr>
        <w:ind w:left="567"/>
        <w:jc w:val="both"/>
      </w:pPr>
      <w:r>
        <w:rPr>
          <w:b/>
          <w:i/>
        </w:rPr>
        <w:t>(Soit)</w:t>
      </w:r>
    </w:p>
    <w:p w14:paraId="25D893D7" w14:textId="77777777" w:rsidR="00DF410E" w:rsidRDefault="00CE7F43">
      <w:pPr>
        <w:ind w:left="567"/>
        <w:jc w:val="both"/>
      </w:pPr>
      <w:r>
        <w:rPr>
          <w:rStyle w:val="soitChar"/>
          <w:u w:val="single"/>
        </w:rPr>
        <w:t>Traitement A2.1</w:t>
      </w:r>
    </w:p>
    <w:p w14:paraId="00AC623F" w14:textId="77777777" w:rsidR="00DF410E" w:rsidRDefault="00CE7F43">
      <w:pPr>
        <w:ind w:left="567"/>
        <w:jc w:val="both"/>
      </w:pPr>
      <w:r>
        <w:rPr>
          <w:rStyle w:val="soitChar"/>
        </w:rPr>
        <w:t>Le bois est traité selon un procédé A2.1 décrit dans la [STS 04.3].</w:t>
      </w:r>
    </w:p>
    <w:p w14:paraId="7041B4C5" w14:textId="77777777" w:rsidR="00DF410E" w:rsidRDefault="00CE7F43">
      <w:pPr>
        <w:ind w:left="567"/>
        <w:jc w:val="both"/>
      </w:pPr>
      <w:r>
        <w:rPr>
          <w:b/>
          <w:i/>
        </w:rPr>
        <w:t>(Soit par défaut)</w:t>
      </w:r>
    </w:p>
    <w:p w14:paraId="23C0D804" w14:textId="77777777" w:rsidR="00DF410E" w:rsidRDefault="00CE7F43">
      <w:pPr>
        <w:ind w:left="567"/>
        <w:jc w:val="both"/>
      </w:pPr>
      <w:r>
        <w:rPr>
          <w:rStyle w:val="soitChar"/>
          <w:u w:val="single"/>
        </w:rPr>
        <w:t>Traitement A3</w:t>
      </w:r>
    </w:p>
    <w:p w14:paraId="382BC66E" w14:textId="77777777" w:rsidR="00DF410E" w:rsidRDefault="00CE7F43">
      <w:pPr>
        <w:ind w:left="567"/>
        <w:jc w:val="both"/>
      </w:pPr>
      <w:r>
        <w:rPr>
          <w:rStyle w:val="soitChar"/>
        </w:rPr>
        <w:t>Le bois est traité selon un procédé A3 décrit dans la [STS 04.3].</w:t>
      </w:r>
    </w:p>
    <w:p w14:paraId="02682D8D" w14:textId="77777777" w:rsidR="00DF410E" w:rsidRDefault="00CE7F43">
      <w:pPr>
        <w:ind w:left="567"/>
        <w:jc w:val="both"/>
      </w:pPr>
      <w:r>
        <w:rPr>
          <w:b/>
          <w:i/>
        </w:rPr>
        <w:t>(Soit)</w:t>
      </w:r>
    </w:p>
    <w:p w14:paraId="71A8278D" w14:textId="77777777" w:rsidR="00DF410E" w:rsidRDefault="00CE7F43">
      <w:pPr>
        <w:ind w:left="567"/>
        <w:jc w:val="both"/>
      </w:pPr>
      <w:r>
        <w:rPr>
          <w:rStyle w:val="soitChar"/>
          <w:u w:val="single"/>
        </w:rPr>
        <w:t>Traitement A4</w:t>
      </w:r>
    </w:p>
    <w:p w14:paraId="5B02484E" w14:textId="77777777" w:rsidR="00DF410E" w:rsidRDefault="00CE7F43">
      <w:pPr>
        <w:ind w:left="567"/>
        <w:jc w:val="both"/>
      </w:pPr>
      <w:r>
        <w:rPr>
          <w:rStyle w:val="soitChar"/>
        </w:rPr>
        <w:t>Le bois est traité selon un procédé A4 décrit dans la [STS 04.3].</w:t>
      </w:r>
    </w:p>
    <w:p w14:paraId="019CC177" w14:textId="77777777" w:rsidR="00DF410E" w:rsidRDefault="00CE7F43">
      <w:pPr>
        <w:ind w:left="567"/>
        <w:jc w:val="both"/>
      </w:pPr>
      <w:r>
        <w:rPr>
          <w:b/>
          <w:i/>
        </w:rPr>
        <w:t>(Soit)</w:t>
      </w:r>
    </w:p>
    <w:p w14:paraId="75B69FA2" w14:textId="77777777" w:rsidR="00DF410E" w:rsidRDefault="00CE7F43">
      <w:pPr>
        <w:ind w:left="567"/>
        <w:jc w:val="both"/>
      </w:pPr>
      <w:r>
        <w:rPr>
          <w:rStyle w:val="optioncarChar"/>
        </w:rPr>
        <w:t> ***</w:t>
      </w:r>
    </w:p>
    <w:p w14:paraId="7A170CE6" w14:textId="77777777" w:rsidR="00DF410E" w:rsidRDefault="00CE7F43">
      <w:pPr>
        <w:jc w:val="both"/>
      </w:pPr>
      <w:r>
        <w:t xml:space="preserve">La résistance au feu des lisses de pose se résume à la capacité portante (R). Celle-ci est obtenue par </w:t>
      </w:r>
      <w:r>
        <w:rPr>
          <w:rStyle w:val="optioncarChar"/>
        </w:rPr>
        <w:t>dimensionnement au feu</w:t>
      </w:r>
      <w:r>
        <w:t xml:space="preserve"> (par défaut) </w:t>
      </w:r>
      <w:r>
        <w:rPr>
          <w:rStyle w:val="optioncarChar"/>
        </w:rPr>
        <w:t>/ protection physique / traitement / ***</w:t>
      </w:r>
    </w:p>
    <w:p w14:paraId="6156D375" w14:textId="77777777" w:rsidR="00DF410E" w:rsidRDefault="00CE7F43">
      <w:pPr>
        <w:ind w:left="567"/>
        <w:jc w:val="both"/>
      </w:pPr>
      <w:r>
        <w:rPr>
          <w:b/>
          <w:i/>
        </w:rPr>
        <w:t>(Soit par défaut)</w:t>
      </w:r>
    </w:p>
    <w:p w14:paraId="5AFB0BBD" w14:textId="77777777" w:rsidR="00DF410E" w:rsidRDefault="00CE7F43">
      <w:pPr>
        <w:ind w:left="567"/>
        <w:jc w:val="both"/>
      </w:pPr>
      <w:r>
        <w:rPr>
          <w:rStyle w:val="soitChar"/>
          <w:u w:val="single"/>
        </w:rPr>
        <w:t>Dimensionnement au feu</w:t>
      </w:r>
    </w:p>
    <w:p w14:paraId="6BFE4280" w14:textId="77777777" w:rsidR="00DF410E" w:rsidRDefault="00CE7F43">
      <w:pPr>
        <w:ind w:left="567"/>
        <w:jc w:val="both"/>
      </w:pPr>
      <w:r>
        <w:rPr>
          <w:rStyle w:val="soitChar"/>
        </w:rPr>
        <w:t>Le dimensionnement au feu de la section est réalisé pour atteindre la capacité portante (R). Ce dimensionnement veille également à valider la capacité portante au niveau de l’assemblage.</w:t>
      </w:r>
    </w:p>
    <w:p w14:paraId="144A1779" w14:textId="77777777" w:rsidR="00DF410E" w:rsidRDefault="00CE7F43">
      <w:pPr>
        <w:ind w:left="567"/>
        <w:jc w:val="both"/>
      </w:pPr>
      <w:r>
        <w:rPr>
          <w:b/>
          <w:i/>
        </w:rPr>
        <w:t>(Soit)</w:t>
      </w:r>
    </w:p>
    <w:p w14:paraId="797330E1" w14:textId="77777777" w:rsidR="00DF410E" w:rsidRDefault="00CE7F43">
      <w:pPr>
        <w:ind w:left="567"/>
        <w:jc w:val="both"/>
      </w:pPr>
      <w:r>
        <w:rPr>
          <w:rStyle w:val="soitChar"/>
          <w:u w:val="single"/>
        </w:rPr>
        <w:t>Protection physique</w:t>
      </w:r>
    </w:p>
    <w:p w14:paraId="53272338" w14:textId="77777777" w:rsidR="00DF410E" w:rsidRDefault="00CE7F43">
      <w:pPr>
        <w:ind w:left="567"/>
        <w:jc w:val="both"/>
      </w:pPr>
      <w:r>
        <w:rPr>
          <w:rStyle w:val="soitChar"/>
        </w:rPr>
        <w:t xml:space="preserve">Les protections sont de type </w:t>
      </w:r>
      <w:r>
        <w:rPr>
          <w:rStyle w:val="optioncarChar"/>
        </w:rPr>
        <w:t>plaques de plâtre </w:t>
      </w:r>
      <w:r>
        <w:t>(par défaut)</w:t>
      </w:r>
      <w:r>
        <w:rPr>
          <w:rStyle w:val="optioncarChar"/>
        </w:rPr>
        <w:t xml:space="preserve"> / ***</w:t>
      </w:r>
      <w:r>
        <w:rPr>
          <w:rStyle w:val="soitChar"/>
        </w:rPr>
        <w:t>. La validation de la solution de protection est conforme aux solutions types développées dans la norme [NBN EN 1995-1-2] ou validées suivant les procédures d’essais décrites dans la [NBN EN 13501-2].</w:t>
      </w:r>
    </w:p>
    <w:p w14:paraId="1F7F025F" w14:textId="77777777" w:rsidR="00DF410E" w:rsidRDefault="00CE7F43">
      <w:pPr>
        <w:ind w:left="567"/>
        <w:jc w:val="both"/>
      </w:pPr>
      <w:r>
        <w:rPr>
          <w:b/>
          <w:i/>
        </w:rPr>
        <w:t>(Soit)</w:t>
      </w:r>
    </w:p>
    <w:p w14:paraId="668AC6FC" w14:textId="77777777" w:rsidR="00DF410E" w:rsidRDefault="00CE7F43">
      <w:pPr>
        <w:ind w:left="567"/>
        <w:jc w:val="both"/>
      </w:pPr>
      <w:r>
        <w:rPr>
          <w:rStyle w:val="soitChar"/>
          <w:u w:val="single"/>
        </w:rPr>
        <w:t>Traitement</w:t>
      </w:r>
    </w:p>
    <w:p w14:paraId="75008E88" w14:textId="77777777" w:rsidR="00DF410E" w:rsidRDefault="00CE7F43">
      <w:pPr>
        <w:ind w:left="567"/>
        <w:jc w:val="both"/>
      </w:pPr>
      <w:r>
        <w:rPr>
          <w:rStyle w:val="soitChar"/>
        </w:rPr>
        <w:t>Le traitement de protection du bois est validé par les essais décrits dans la [NBN EN 13501-2]. Cette protection par traitement est combinée à un dimensionnement au feu tenant compte de la vitesse de combustion réduite conférée par le traitement.</w:t>
      </w:r>
    </w:p>
    <w:p w14:paraId="3168E135" w14:textId="77777777" w:rsidR="00DF410E" w:rsidRDefault="00CE7F43">
      <w:pPr>
        <w:ind w:left="567"/>
        <w:jc w:val="both"/>
      </w:pPr>
      <w:r>
        <w:rPr>
          <w:b/>
          <w:i/>
        </w:rPr>
        <w:t>(Soit)</w:t>
      </w:r>
    </w:p>
    <w:p w14:paraId="1F947404" w14:textId="77777777" w:rsidR="00DF410E" w:rsidRDefault="00CE7F43">
      <w:pPr>
        <w:ind w:left="567"/>
        <w:jc w:val="both"/>
      </w:pPr>
      <w:r>
        <w:rPr>
          <w:rStyle w:val="optioncarChar"/>
        </w:rPr>
        <w:t> ***</w:t>
      </w:r>
    </w:p>
    <w:p w14:paraId="1D33750D" w14:textId="77777777" w:rsidR="00DF410E" w:rsidRDefault="00CE7F43">
      <w:pPr>
        <w:pStyle w:val="pheading"/>
      </w:pPr>
      <w:r>
        <w:t>- Finitions</w:t>
      </w:r>
    </w:p>
    <w:p w14:paraId="5A1E4505" w14:textId="77777777" w:rsidR="00DF410E" w:rsidRDefault="00CE7F43">
      <w:r>
        <w:t xml:space="preserve">Les lisses basses sont </w:t>
      </w:r>
      <w:r>
        <w:rPr>
          <w:rStyle w:val="optioncarChar"/>
        </w:rPr>
        <w:t>rabotées</w:t>
      </w:r>
      <w:r>
        <w:t xml:space="preserve"> (par défaut) / </w:t>
      </w:r>
      <w:r>
        <w:rPr>
          <w:rStyle w:val="optioncarChar"/>
        </w:rPr>
        <w:t xml:space="preserve">brutes de sciage /  *** </w:t>
      </w:r>
      <w:r>
        <w:t xml:space="preserve">sur </w:t>
      </w:r>
      <w:r>
        <w:rPr>
          <w:rStyle w:val="optioncarChar"/>
        </w:rPr>
        <w:t xml:space="preserve">1 / 2 / 3 / 4 </w:t>
      </w:r>
      <w:r>
        <w:t>faces</w:t>
      </w:r>
    </w:p>
    <w:p w14:paraId="564AADBA" w14:textId="77777777" w:rsidR="00DF410E" w:rsidRDefault="00CE7F43">
      <w:pPr>
        <w:pStyle w:val="pheading"/>
      </w:pPr>
      <w:r>
        <w:t>EXÉCUTION / MISE EN ŒUVRE</w:t>
      </w:r>
    </w:p>
    <w:p w14:paraId="09F79B68" w14:textId="77777777" w:rsidR="00DF410E" w:rsidRDefault="00CE7F43">
      <w:pPr>
        <w:pStyle w:val="pheading"/>
      </w:pPr>
      <w:r>
        <w:t>- Prescriptions générales</w:t>
      </w:r>
    </w:p>
    <w:p w14:paraId="7B11884B" w14:textId="77777777" w:rsidR="00DF410E" w:rsidRDefault="00CE7F43">
      <w:pPr>
        <w:jc w:val="both"/>
      </w:pPr>
      <w:r>
        <w:t>Une attention particulière est apportée à l’installation des lisses de pose, en particulier en ce qui concerne la fixation à la structure sous-jacente et les tolérances, notamment la planéité.</w:t>
      </w:r>
    </w:p>
    <w:p w14:paraId="6AA6A931" w14:textId="77777777" w:rsidR="00DF410E" w:rsidRDefault="00CE7F43">
      <w:pPr>
        <w:jc w:val="both"/>
      </w:pPr>
      <w:r>
        <w:t xml:space="preserve">L’ancrage des lisses de pose à la structure sous-jacente est réalisé par </w:t>
      </w:r>
      <w:r>
        <w:rPr>
          <w:rStyle w:val="optioncarChar"/>
        </w:rPr>
        <w:t>tire-fonds</w:t>
      </w:r>
      <w:r>
        <w:t> (par défaut)</w:t>
      </w:r>
      <w:r>
        <w:rPr>
          <w:rStyle w:val="optioncarChar"/>
        </w:rPr>
        <w:t xml:space="preserve"> / vis à bois / des ancrages chimiques / des ancrages mécaniques / *** .</w:t>
      </w:r>
    </w:p>
    <w:p w14:paraId="16B5B810" w14:textId="77777777" w:rsidR="00DF410E" w:rsidRDefault="00CE7F43">
      <w:pPr>
        <w:ind w:left="567"/>
        <w:jc w:val="both"/>
      </w:pPr>
      <w:r>
        <w:rPr>
          <w:b/>
          <w:i/>
        </w:rPr>
        <w:t>(Soit)</w:t>
      </w:r>
    </w:p>
    <w:p w14:paraId="5462E992" w14:textId="77777777" w:rsidR="00DF410E" w:rsidRDefault="00CE7F43">
      <w:pPr>
        <w:ind w:left="567"/>
        <w:jc w:val="both"/>
      </w:pPr>
      <w:r>
        <w:rPr>
          <w:rStyle w:val="soitChar"/>
          <w:u w:val="single"/>
        </w:rPr>
        <w:t>Tire-fonds</w:t>
      </w:r>
    </w:p>
    <w:p w14:paraId="71A762DF" w14:textId="77777777" w:rsidR="00DF410E" w:rsidRDefault="00CE7F43">
      <w:pPr>
        <w:ind w:left="567"/>
        <w:jc w:val="both"/>
      </w:pPr>
      <w:r>
        <w:rPr>
          <w:rStyle w:val="soitChar"/>
        </w:rPr>
        <w:t xml:space="preserve">Les tire-fonds sont décrits à l’article </w:t>
      </w:r>
      <w:hyperlink w:anchor="579" w:history="1">
        <w:r>
          <w:rPr>
            <w:rStyle w:val="soitChar"/>
          </w:rPr>
          <w:t>24.42.1e Assemblages par tiges - tire-fonds</w:t>
        </w:r>
      </w:hyperlink>
      <w:r>
        <w:rPr>
          <w:rStyle w:val="soitChar"/>
        </w:rPr>
        <w:t>. Ils sont installés tous les </w:t>
      </w:r>
      <w:r>
        <w:rPr>
          <w:rStyle w:val="optioncarChar"/>
        </w:rPr>
        <w:t xml:space="preserve">voir note de calcul </w:t>
      </w:r>
      <w:r>
        <w:t xml:space="preserve">(par défaut) </w:t>
      </w:r>
      <w:r>
        <w:rPr>
          <w:rStyle w:val="optioncarChar"/>
        </w:rPr>
        <w:t>/ *** cm</w:t>
      </w:r>
      <w:r>
        <w:t>   </w:t>
      </w:r>
      <w:r>
        <w:rPr>
          <w:rStyle w:val="soitChar"/>
        </w:rPr>
        <w:t>avec un tirefond à chaque extrémité de chaque lisse de pose.</w:t>
      </w:r>
    </w:p>
    <w:p w14:paraId="3D89073D" w14:textId="77777777" w:rsidR="00DF410E" w:rsidRDefault="00CE7F43">
      <w:pPr>
        <w:ind w:left="567"/>
        <w:jc w:val="both"/>
      </w:pPr>
      <w:r>
        <w:rPr>
          <w:b/>
          <w:i/>
        </w:rPr>
        <w:t>(Soit)</w:t>
      </w:r>
    </w:p>
    <w:p w14:paraId="4CE77D4F" w14:textId="77777777" w:rsidR="00DF410E" w:rsidRDefault="00CE7F43">
      <w:pPr>
        <w:ind w:left="567"/>
        <w:jc w:val="both"/>
      </w:pPr>
      <w:r>
        <w:rPr>
          <w:rStyle w:val="soitChar"/>
          <w:u w:val="single"/>
        </w:rPr>
        <w:t>Vis à bois</w:t>
      </w:r>
    </w:p>
    <w:p w14:paraId="67BF2AD8" w14:textId="77777777" w:rsidR="00DF410E" w:rsidRDefault="00CE7F43">
      <w:pPr>
        <w:ind w:left="567"/>
        <w:jc w:val="both"/>
      </w:pPr>
      <w:r>
        <w:rPr>
          <w:rStyle w:val="soitChar"/>
        </w:rPr>
        <w:t xml:space="preserve">Les vis à bois sont décrites à l’article </w:t>
      </w:r>
      <w:hyperlink w:anchor="580" w:history="1">
        <w:r>
          <w:rPr>
            <w:rStyle w:val="soitChar"/>
          </w:rPr>
          <w:t>24.42.1d Assemblages par tiges - vis</w:t>
        </w:r>
      </w:hyperlink>
      <w:r>
        <w:rPr>
          <w:rStyle w:val="soitChar"/>
        </w:rPr>
        <w:t>. Elles sont installées tous les</w:t>
      </w:r>
      <w:r>
        <w:rPr>
          <w:rStyle w:val="optioncarChar"/>
        </w:rPr>
        <w:t xml:space="preserve"> voir note de calcul </w:t>
      </w:r>
      <w:r>
        <w:t xml:space="preserve">(par défaut) </w:t>
      </w:r>
      <w:r>
        <w:rPr>
          <w:rStyle w:val="optioncarChar"/>
        </w:rPr>
        <w:t>/ *** cm</w:t>
      </w:r>
      <w:r>
        <w:t>   </w:t>
      </w:r>
      <w:r>
        <w:rPr>
          <w:rStyle w:val="soitChar"/>
        </w:rPr>
        <w:t>avec une vis à bois à chaque extrémité de chaque lisse de pose.</w:t>
      </w:r>
    </w:p>
    <w:p w14:paraId="2BDB96EF" w14:textId="77777777" w:rsidR="00DF410E" w:rsidRDefault="00CE7F43">
      <w:pPr>
        <w:ind w:left="567"/>
        <w:jc w:val="both"/>
      </w:pPr>
      <w:r>
        <w:rPr>
          <w:b/>
          <w:i/>
        </w:rPr>
        <w:t> (Soit)</w:t>
      </w:r>
    </w:p>
    <w:p w14:paraId="223A08F9" w14:textId="77777777" w:rsidR="00DF410E" w:rsidRDefault="00CE7F43">
      <w:pPr>
        <w:ind w:left="567"/>
        <w:jc w:val="both"/>
      </w:pPr>
      <w:r>
        <w:rPr>
          <w:rStyle w:val="soitChar"/>
          <w:u w:val="single"/>
        </w:rPr>
        <w:t>Ancrages chimiques</w:t>
      </w:r>
    </w:p>
    <w:p w14:paraId="2776EA23" w14:textId="77777777" w:rsidR="00DF410E" w:rsidRDefault="00CE7F43">
      <w:pPr>
        <w:ind w:left="567"/>
        <w:jc w:val="both"/>
      </w:pPr>
      <w:r>
        <w:rPr>
          <w:rStyle w:val="soitChar"/>
        </w:rPr>
        <w:t xml:space="preserve">Les ancrages chimiques sont décrits à l’article </w:t>
      </w:r>
      <w:hyperlink w:anchor="581" w:history="1">
        <w:r>
          <w:rPr>
            <w:rStyle w:val="soitChar"/>
          </w:rPr>
          <w:t>24.44.2a Ancrages chimiques pour structures en bois</w:t>
        </w:r>
      </w:hyperlink>
      <w:r>
        <w:rPr>
          <w:rStyle w:val="soitChar"/>
        </w:rPr>
        <w:t>. Ils sont installés tous les </w:t>
      </w:r>
      <w:r>
        <w:rPr>
          <w:rStyle w:val="optioncarChar"/>
        </w:rPr>
        <w:t>voir note de calcul </w:t>
      </w:r>
      <w:r>
        <w:t xml:space="preserve">(par défaut) </w:t>
      </w:r>
      <w:r>
        <w:rPr>
          <w:rStyle w:val="optioncarChar"/>
        </w:rPr>
        <w:t>/ *** cm</w:t>
      </w:r>
      <w:r>
        <w:t>  </w:t>
      </w:r>
      <w:r>
        <w:rPr>
          <w:rStyle w:val="soitChar"/>
        </w:rPr>
        <w:t>avec un ancrage chaque extrémité de chaque lisse de pose.</w:t>
      </w:r>
    </w:p>
    <w:p w14:paraId="1801049A" w14:textId="77777777" w:rsidR="00DF410E" w:rsidRDefault="00CE7F43">
      <w:pPr>
        <w:ind w:left="567"/>
        <w:jc w:val="both"/>
      </w:pPr>
      <w:r>
        <w:rPr>
          <w:b/>
          <w:i/>
        </w:rPr>
        <w:t> (Soit)</w:t>
      </w:r>
    </w:p>
    <w:p w14:paraId="7A1A5126" w14:textId="77777777" w:rsidR="00DF410E" w:rsidRDefault="00CE7F43">
      <w:pPr>
        <w:ind w:left="567"/>
        <w:jc w:val="both"/>
      </w:pPr>
      <w:r>
        <w:rPr>
          <w:rStyle w:val="soitChar"/>
          <w:u w:val="single"/>
        </w:rPr>
        <w:t>Ancrages mécaniques</w:t>
      </w:r>
    </w:p>
    <w:p w14:paraId="5EA80A66" w14:textId="77777777" w:rsidR="00DF410E" w:rsidRDefault="00CE7F43">
      <w:pPr>
        <w:ind w:left="567"/>
        <w:jc w:val="both"/>
      </w:pPr>
      <w:r>
        <w:rPr>
          <w:rStyle w:val="soitChar"/>
        </w:rPr>
        <w:t xml:space="preserve">Les ancrages mécaniques sont décrits à l’article </w:t>
      </w:r>
      <w:hyperlink w:anchor="582" w:history="1">
        <w:r>
          <w:rPr>
            <w:rStyle w:val="soitChar"/>
          </w:rPr>
          <w:t>24.44.1a Ancrages mécaniques pour structures en bois</w:t>
        </w:r>
      </w:hyperlink>
      <w:r>
        <w:rPr>
          <w:rStyle w:val="soitChar"/>
        </w:rPr>
        <w:t>. Ils sont installés tous lesles </w:t>
      </w:r>
      <w:r>
        <w:rPr>
          <w:rStyle w:val="optioncarChar"/>
        </w:rPr>
        <w:t>voir note de calcul </w:t>
      </w:r>
      <w:r>
        <w:t>(par défaut)</w:t>
      </w:r>
      <w:r>
        <w:rPr>
          <w:rStyle w:val="optioncarChar"/>
        </w:rPr>
        <w:t xml:space="preserve"> / *** cm</w:t>
      </w:r>
      <w:r>
        <w:t>  </w:t>
      </w:r>
      <w:r>
        <w:rPr>
          <w:rStyle w:val="soitChar"/>
        </w:rPr>
        <w:t>avec un ancrage chaque extrémité de chaque lisse de pose.</w:t>
      </w:r>
    </w:p>
    <w:p w14:paraId="6FA3E4F6" w14:textId="77777777" w:rsidR="00DF410E" w:rsidRDefault="00CE7F43">
      <w:pPr>
        <w:ind w:left="567"/>
        <w:jc w:val="both"/>
      </w:pPr>
      <w:r>
        <w:rPr>
          <w:b/>
          <w:i/>
        </w:rPr>
        <w:t>(Soit)</w:t>
      </w:r>
    </w:p>
    <w:p w14:paraId="7D939F82" w14:textId="77777777" w:rsidR="00DF410E" w:rsidRDefault="00CE7F43">
      <w:pPr>
        <w:ind w:left="567"/>
        <w:jc w:val="both"/>
      </w:pPr>
      <w:r>
        <w:rPr>
          <w:rStyle w:val="optioncarChar"/>
        </w:rPr>
        <w:t> ***</w:t>
      </w:r>
    </w:p>
    <w:p w14:paraId="235B3F08" w14:textId="77777777" w:rsidR="00DF410E" w:rsidRDefault="00CE7F43">
      <w:pPr>
        <w:jc w:val="both"/>
      </w:pPr>
      <w:r>
        <w:t>Un mortier sans retrait est coulé sous toute la surface inférieure de la lisse de pose afin d’assurer une transmission des efforts continue entre le mur et la dalle.</w:t>
      </w:r>
    </w:p>
    <w:p w14:paraId="7E8DD2AB" w14:textId="77777777" w:rsidR="00DF410E" w:rsidRDefault="00CE7F43">
      <w:pPr>
        <w:jc w:val="both"/>
      </w:pPr>
      <w:r>
        <w:t>Le dispositif de coulage du mortier doit permettre le contrôle de son bon remplissage.</w:t>
      </w:r>
    </w:p>
    <w:p w14:paraId="21D7F63D" w14:textId="77777777" w:rsidR="00DF410E" w:rsidRDefault="00CE7F43">
      <w:pPr>
        <w:jc w:val="both"/>
      </w:pPr>
      <w:r>
        <w:t>Lorsque l’espace à remplir entre la dalle et la lisse de pose est plus élevé que 3 cm, le bureau d’études en est informé et une solution particulière doit être trouvée.</w:t>
      </w:r>
    </w:p>
    <w:p w14:paraId="750E4F69" w14:textId="77777777" w:rsidR="00DF410E" w:rsidRDefault="00CE7F43">
      <w:pPr>
        <w:jc w:val="both"/>
      </w:pPr>
      <w:r>
        <w:t>Une lisse de pose travaille par définition en compression perpendiculaire aux fibres. Lorsque les efforts, ponctuels ou linéaires, sont trop élevés la lisse est interrompue.</w:t>
      </w:r>
    </w:p>
    <w:p w14:paraId="41095366" w14:textId="77777777" w:rsidR="00DF410E" w:rsidRDefault="00CE7F43">
      <w:pPr>
        <w:jc w:val="both"/>
      </w:pPr>
      <w:r>
        <w:t>La lisse de pose éloigne l’élément mur de la dalle. Cet écart créé une excentricité qui doit être prise en compte dans les moyens d’assemblage, pour la transmission des efforts horizontaux en pied de murs.</w:t>
      </w:r>
    </w:p>
    <w:p w14:paraId="1DD14B65" w14:textId="77777777" w:rsidR="00DF410E" w:rsidRDefault="00CE7F43">
      <w:pPr>
        <w:jc w:val="both"/>
      </w:pPr>
      <w:r>
        <w:t>Les tolérances d’installation des lisses de pose sont les suivantes :</w:t>
      </w:r>
    </w:p>
    <w:p w14:paraId="01462548" w14:textId="77777777" w:rsidR="00DF410E" w:rsidRDefault="00CE7F43">
      <w:pPr>
        <w:jc w:val="both"/>
      </w:pPr>
      <w:r>
        <w:t xml:space="preserve">Une membrane anticapillaire est disposée sous les lisses. Cette membrane est en </w:t>
      </w:r>
      <w:r>
        <w:rPr>
          <w:rStyle w:val="optioncarChar"/>
        </w:rPr>
        <w:t xml:space="preserve">EPDM </w:t>
      </w:r>
      <w:r>
        <w:t xml:space="preserve">(par défaut) </w:t>
      </w:r>
      <w:r>
        <w:rPr>
          <w:rStyle w:val="optioncarChar"/>
        </w:rPr>
        <w:t>/ feutre bitumé / ***</w:t>
      </w:r>
      <w:r>
        <w:t xml:space="preserve">, est d’une largeur de </w:t>
      </w:r>
      <w:r>
        <w:rPr>
          <w:rStyle w:val="optioncarChar"/>
        </w:rPr>
        <w:t>100 mm </w:t>
      </w:r>
      <w:r>
        <w:t>(par défaut)</w:t>
      </w:r>
      <w:r>
        <w:rPr>
          <w:rStyle w:val="optioncarChar"/>
        </w:rPr>
        <w:t xml:space="preserve"> / 250 mm / ***</w:t>
      </w:r>
      <w:r>
        <w:t>.</w:t>
      </w:r>
    </w:p>
    <w:p w14:paraId="7B10E87C" w14:textId="77777777" w:rsidR="00DF410E" w:rsidRDefault="00CE7F43">
      <w:pPr>
        <w:jc w:val="both"/>
      </w:pPr>
      <w:r>
        <w:t>Les lisses de poses sont situées au minimum 200mm plus haut que le terrain naturel.</w:t>
      </w:r>
    </w:p>
    <w:p w14:paraId="52B3D921" w14:textId="77777777" w:rsidR="00DF410E" w:rsidRDefault="00CE7F43">
      <w:pPr>
        <w:jc w:val="both"/>
      </w:pPr>
      <w:r>
        <w:t xml:space="preserve">Dispositif permettant d’assurer l’étanchéité à l’air et/ou une coupure acoustique : </w:t>
      </w:r>
      <w:r>
        <w:rPr>
          <w:rStyle w:val="optioncarChar"/>
        </w:rPr>
        <w:t>ruban en mousse PUR </w:t>
      </w:r>
      <w:r>
        <w:t>(par défaut)</w:t>
      </w:r>
      <w:r>
        <w:rPr>
          <w:rStyle w:val="optioncarChar"/>
        </w:rPr>
        <w:t xml:space="preserve"> / ***</w:t>
      </w:r>
    </w:p>
    <w:p w14:paraId="589DA493" w14:textId="77777777" w:rsidR="00DF410E" w:rsidRDefault="00CE7F43">
      <w:pPr>
        <w:pStyle w:val="pheading"/>
      </w:pPr>
      <w:r>
        <w:t>MESURAGE</w:t>
      </w:r>
    </w:p>
    <w:p w14:paraId="32BF7039" w14:textId="77777777" w:rsidR="00DF410E" w:rsidRDefault="00CE7F43">
      <w:pPr>
        <w:pStyle w:val="pheading"/>
      </w:pPr>
      <w:r>
        <w:t>- unité de mesure:</w:t>
      </w:r>
    </w:p>
    <w:p w14:paraId="754105DB" w14:textId="77777777" w:rsidR="00DF410E" w:rsidRDefault="00CE7F43">
      <w:r>
        <w:rPr>
          <w:rStyle w:val="optioncarChar"/>
        </w:rPr>
        <w:t xml:space="preserve">m³ </w:t>
      </w:r>
      <w:r>
        <w:t>(par défaut)</w:t>
      </w:r>
      <w:r>
        <w:rPr>
          <w:rStyle w:val="optioncarChar"/>
        </w:rPr>
        <w:t xml:space="preserve"> / m / pc</w:t>
      </w:r>
    </w:p>
    <w:p w14:paraId="5A8AA9E1" w14:textId="77777777" w:rsidR="00DF410E" w:rsidRDefault="00CE7F43">
      <w:r>
        <w:rPr>
          <w:b/>
          <w:i/>
        </w:rPr>
        <w:t>(Soit par défaut)</w:t>
      </w:r>
    </w:p>
    <w:p w14:paraId="14A3F861" w14:textId="77777777" w:rsidR="00DF410E" w:rsidRDefault="00CE7F43">
      <w:r>
        <w:rPr>
          <w:rStyle w:val="soitChar"/>
        </w:rPr>
        <w:t>1.    m³ </w:t>
      </w:r>
    </w:p>
    <w:p w14:paraId="717C5A55" w14:textId="77777777" w:rsidR="00DF410E" w:rsidRDefault="00CE7F43">
      <w:r>
        <w:rPr>
          <w:b/>
          <w:i/>
        </w:rPr>
        <w:t>(Soit)</w:t>
      </w:r>
    </w:p>
    <w:p w14:paraId="4AA25874" w14:textId="77777777" w:rsidR="00DF410E" w:rsidRDefault="00CE7F43">
      <w:r>
        <w:rPr>
          <w:rStyle w:val="soitChar"/>
        </w:rPr>
        <w:t>2.    m </w:t>
      </w:r>
    </w:p>
    <w:p w14:paraId="5128316E" w14:textId="77777777" w:rsidR="00DF410E" w:rsidRDefault="00CE7F43">
      <w:r>
        <w:rPr>
          <w:b/>
          <w:i/>
        </w:rPr>
        <w:t>(Soit)</w:t>
      </w:r>
    </w:p>
    <w:p w14:paraId="0DFD3A42" w14:textId="77777777" w:rsidR="00DF410E" w:rsidRDefault="00CE7F43">
      <w:r>
        <w:rPr>
          <w:rStyle w:val="soitChar"/>
        </w:rPr>
        <w:t>3.    pc</w:t>
      </w:r>
    </w:p>
    <w:p w14:paraId="46B09BAA" w14:textId="77777777" w:rsidR="00DF410E" w:rsidRDefault="00CE7F43">
      <w:pPr>
        <w:pStyle w:val="pheading"/>
      </w:pPr>
      <w:r>
        <w:t>- code de mesurage:</w:t>
      </w:r>
    </w:p>
    <w:p w14:paraId="0050B09D" w14:textId="77777777" w:rsidR="00DF410E" w:rsidRDefault="00CE7F43">
      <w:pPr>
        <w:jc w:val="both"/>
      </w:pPr>
      <w:r>
        <w:rPr>
          <w:rStyle w:val="optioncarChar"/>
        </w:rPr>
        <w:t xml:space="preserve"> Volume brut </w:t>
      </w:r>
      <w:r>
        <w:t xml:space="preserve">(par défaut) </w:t>
      </w:r>
      <w:r>
        <w:rPr>
          <w:rStyle w:val="optioncarChar"/>
        </w:rPr>
        <w:t>/ longueur brute / quantité nette</w:t>
      </w:r>
    </w:p>
    <w:p w14:paraId="32942112" w14:textId="77777777" w:rsidR="00DF410E" w:rsidRDefault="00CE7F43">
      <w:pPr>
        <w:jc w:val="both"/>
      </w:pPr>
      <w:r>
        <w:rPr>
          <w:b/>
          <w:i/>
        </w:rPr>
        <w:t>(Soit par défaut)</w:t>
      </w:r>
    </w:p>
    <w:p w14:paraId="77C5858E" w14:textId="77777777" w:rsidR="00DF410E" w:rsidRDefault="00CE7F43">
      <w:pPr>
        <w:jc w:val="both"/>
      </w:pPr>
      <w:r>
        <w:rPr>
          <w:rStyle w:val="soitChar"/>
        </w:rPr>
        <w:t>1.   </w:t>
      </w:r>
      <w:r>
        <w:rPr>
          <w:rStyle w:val="soitChar"/>
          <w:u w:val="single"/>
        </w:rPr>
        <w:t xml:space="preserve"> Volume brut :</w:t>
      </w:r>
    </w:p>
    <w:p w14:paraId="6FA194E4" w14:textId="77777777" w:rsidR="00DF410E" w:rsidRDefault="00CE7F43">
      <w:pPr>
        <w:jc w:val="both"/>
      </w:pPr>
      <w:r>
        <w:rPr>
          <w:rStyle w:val="soitChar"/>
        </w:rPr>
        <w:t>Le volume brut d’une lisse est calculé suivant le volume du plus petit parallélépipède rectangle pouvant inclure l’élément.</w:t>
      </w:r>
    </w:p>
    <w:p w14:paraId="24D9D5DB" w14:textId="77777777" w:rsidR="00DF410E" w:rsidRDefault="00CE7F43">
      <w:pPr>
        <w:jc w:val="both"/>
      </w:pPr>
      <w:r>
        <w:rPr>
          <w:b/>
          <w:i/>
        </w:rPr>
        <w:t> (Soit)</w:t>
      </w:r>
    </w:p>
    <w:p w14:paraId="53EE031B" w14:textId="77777777" w:rsidR="00DF410E" w:rsidRDefault="00CE7F43">
      <w:pPr>
        <w:jc w:val="both"/>
      </w:pPr>
      <w:r>
        <w:rPr>
          <w:rStyle w:val="soitChar"/>
        </w:rPr>
        <w:t>2.   </w:t>
      </w:r>
      <w:r>
        <w:rPr>
          <w:rStyle w:val="soitChar"/>
          <w:u w:val="single"/>
        </w:rPr>
        <w:t xml:space="preserve"> Longueur brute :</w:t>
      </w:r>
    </w:p>
    <w:p w14:paraId="6CFA06C3" w14:textId="77777777" w:rsidR="00DF410E" w:rsidRDefault="00CE7F43">
      <w:pPr>
        <w:jc w:val="both"/>
      </w:pPr>
      <w:r>
        <w:rPr>
          <w:rStyle w:val="soitChar"/>
        </w:rPr>
        <w:t>La longueur brute d’un élément est la cote maximale dans la direction longitudinale, longueur de bois utile pour l’assemblage comprise.</w:t>
      </w:r>
    </w:p>
    <w:p w14:paraId="4EE24C84" w14:textId="77777777" w:rsidR="00DF410E" w:rsidRDefault="00CE7F43">
      <w:pPr>
        <w:jc w:val="both"/>
      </w:pPr>
      <w:r>
        <w:rPr>
          <w:rStyle w:val="soitChar"/>
        </w:rPr>
        <w:t>La longueur totale des lisses ayant la même section et les mêmes caractéristiques est comptabilisée.</w:t>
      </w:r>
    </w:p>
    <w:p w14:paraId="5A9E5086" w14:textId="77777777" w:rsidR="00DF410E" w:rsidRDefault="00CE7F43">
      <w:pPr>
        <w:jc w:val="both"/>
      </w:pPr>
      <w:r>
        <w:rPr>
          <w:b/>
          <w:i/>
        </w:rPr>
        <w:t> (Soit)</w:t>
      </w:r>
    </w:p>
    <w:p w14:paraId="06840617" w14:textId="77777777" w:rsidR="00DF410E" w:rsidRDefault="00CE7F43">
      <w:pPr>
        <w:jc w:val="both"/>
      </w:pPr>
      <w:r>
        <w:rPr>
          <w:rStyle w:val="soitChar"/>
        </w:rPr>
        <w:t>3.    </w:t>
      </w:r>
      <w:r>
        <w:rPr>
          <w:rStyle w:val="soitChar"/>
          <w:u w:val="single"/>
        </w:rPr>
        <w:t>Quantité nette :</w:t>
      </w:r>
    </w:p>
    <w:p w14:paraId="11EA58EE" w14:textId="77777777" w:rsidR="00DF410E" w:rsidRDefault="00CE7F43">
      <w:pPr>
        <w:jc w:val="both"/>
      </w:pPr>
      <w:r>
        <w:rPr>
          <w:rStyle w:val="soitChar"/>
        </w:rPr>
        <w:t>Le nombre de lisses ayant les mêmes dimensions et les mêmes caractéristiques est compatibilisé.</w:t>
      </w:r>
    </w:p>
    <w:p w14:paraId="66625B41" w14:textId="77777777" w:rsidR="00DF410E" w:rsidRDefault="00CE7F43">
      <w:pPr>
        <w:pStyle w:val="pheading"/>
      </w:pPr>
      <w:r>
        <w:t>- nature du marché:</w:t>
      </w:r>
    </w:p>
    <w:p w14:paraId="6653C0AD" w14:textId="77777777" w:rsidR="00DF410E" w:rsidRDefault="00CE7F43">
      <w:r>
        <w:rPr>
          <w:rStyle w:val="optioncarChar"/>
        </w:rPr>
        <w:t xml:space="preserve">QF </w:t>
      </w:r>
      <w:r>
        <w:t xml:space="preserve">(par défaut) </w:t>
      </w:r>
      <w:r>
        <w:rPr>
          <w:rStyle w:val="optioncarChar"/>
        </w:rPr>
        <w:t>/ QP</w:t>
      </w:r>
    </w:p>
    <w:p w14:paraId="3613948D" w14:textId="77777777" w:rsidR="00DF410E" w:rsidRDefault="00CE7F43">
      <w:r>
        <w:rPr>
          <w:b/>
          <w:i/>
        </w:rPr>
        <w:t>(Soit par défaut)</w:t>
      </w:r>
    </w:p>
    <w:p w14:paraId="2836A7B0" w14:textId="77777777" w:rsidR="00DF410E" w:rsidRDefault="00CE7F43">
      <w:r>
        <w:rPr>
          <w:rStyle w:val="soitChar"/>
        </w:rPr>
        <w:t>1.2.3      QF</w:t>
      </w:r>
    </w:p>
    <w:p w14:paraId="53CBC2D5" w14:textId="77777777" w:rsidR="00DF410E" w:rsidRDefault="00CE7F43">
      <w:r>
        <w:rPr>
          <w:b/>
          <w:i/>
        </w:rPr>
        <w:t>(Soit)</w:t>
      </w:r>
    </w:p>
    <w:p w14:paraId="4AFE528D" w14:textId="77777777" w:rsidR="00DF410E" w:rsidRDefault="00CE7F43">
      <w:r>
        <w:rPr>
          <w:rStyle w:val="soitChar"/>
        </w:rPr>
        <w:t>1.2.3      QP</w:t>
      </w:r>
    </w:p>
    <w:p w14:paraId="19B1B7A7" w14:textId="77777777" w:rsidR="00DF410E" w:rsidRDefault="00CE7F43">
      <w:pPr>
        <w:pStyle w:val="Author-eSectionHeading5"/>
      </w:pPr>
      <w:bookmarkStart w:id="1561" w:name="_Toc178838659"/>
      <w:r>
        <w:t>24.11.2 Sablières CCTB 01.07</w:t>
      </w:r>
      <w:bookmarkEnd w:id="1561"/>
    </w:p>
    <w:p w14:paraId="51DF3FA2" w14:textId="77777777" w:rsidR="00DF410E" w:rsidRDefault="00CE7F43">
      <w:pPr>
        <w:pStyle w:val="Author-eSectionHeading6"/>
      </w:pPr>
      <w:bookmarkStart w:id="1562" w:name="_Toc178838660"/>
      <w:r>
        <w:t>24.11.2a Sablières CCTB 01.12</w:t>
      </w:r>
      <w:bookmarkEnd w:id="1562"/>
    </w:p>
    <w:p w14:paraId="7C990C01" w14:textId="77777777" w:rsidR="00DF410E" w:rsidRDefault="00CE7F43">
      <w:pPr>
        <w:pStyle w:val="pheading"/>
      </w:pPr>
      <w:bookmarkStart w:id="1563" w:name="603"/>
      <w:bookmarkEnd w:id="1563"/>
      <w:r>
        <w:t>DESCRIPTION</w:t>
      </w:r>
    </w:p>
    <w:p w14:paraId="166E809F" w14:textId="77777777" w:rsidR="00DF410E" w:rsidRDefault="00CE7F43">
      <w:pPr>
        <w:pStyle w:val="pheading"/>
      </w:pPr>
      <w:r>
        <w:t>- Définition / Comprend</w:t>
      </w:r>
    </w:p>
    <w:p w14:paraId="284909C9" w14:textId="77777777" w:rsidR="00DF410E" w:rsidRDefault="00CE7F43">
      <w:pPr>
        <w:jc w:val="both"/>
      </w:pPr>
      <w:r>
        <w:t>Il s'agit d’une poutre placée horizontalement à la base des versants de la toiture, sur le mur de façade.</w:t>
      </w:r>
    </w:p>
    <w:p w14:paraId="15093C70" w14:textId="77777777" w:rsidR="00DF410E" w:rsidRDefault="00CE7F43">
      <w:pPr>
        <w:jc w:val="both"/>
      </w:pPr>
      <w:r>
        <w:t>Les travaux comprennent notamment :</w:t>
      </w:r>
    </w:p>
    <w:p w14:paraId="1E60550E" w14:textId="77777777" w:rsidR="00DF410E" w:rsidRDefault="00CE7F43">
      <w:pPr>
        <w:pStyle w:val="Author-eListParagraph"/>
        <w:numPr>
          <w:ilvl w:val="0"/>
          <w:numId w:val="848"/>
        </w:numPr>
        <w:jc w:val="both"/>
      </w:pPr>
      <w:r>
        <w:t>la fabrication des éléments, leur séchage à la teneur en humidité prescrite et leur traitement éventuel ;</w:t>
      </w:r>
    </w:p>
    <w:p w14:paraId="70ABAEAF" w14:textId="77777777" w:rsidR="00DF410E" w:rsidRDefault="00CE7F43">
      <w:pPr>
        <w:pStyle w:val="Author-eListParagraph"/>
        <w:numPr>
          <w:ilvl w:val="0"/>
          <w:numId w:val="848"/>
        </w:numPr>
        <w:jc w:val="both"/>
      </w:pPr>
      <w:r>
        <w:t>la finition des surfaces prescrites ;</w:t>
      </w:r>
    </w:p>
    <w:p w14:paraId="05595D0C" w14:textId="77777777" w:rsidR="00DF410E" w:rsidRDefault="00CE7F43">
      <w:pPr>
        <w:pStyle w:val="Author-eListParagraph"/>
        <w:numPr>
          <w:ilvl w:val="0"/>
          <w:numId w:val="848"/>
        </w:numPr>
        <w:jc w:val="both"/>
      </w:pPr>
      <w:r>
        <w:t>la livraison des éléments jusqu’au chantier ;</w:t>
      </w:r>
    </w:p>
    <w:p w14:paraId="5053575F" w14:textId="77777777" w:rsidR="00DF410E" w:rsidRDefault="00CE7F43">
      <w:pPr>
        <w:pStyle w:val="Author-eListParagraph"/>
        <w:numPr>
          <w:ilvl w:val="0"/>
          <w:numId w:val="848"/>
        </w:numPr>
        <w:jc w:val="both"/>
      </w:pPr>
      <w:r>
        <w:t>le stockage éventuel des éléments sur le chantier de construction et les mesures de protection éventuellement nécessaires afin qu’ils conservent leurs propriétés durant le stockage ;</w:t>
      </w:r>
    </w:p>
    <w:p w14:paraId="284BB254" w14:textId="77777777" w:rsidR="00DF410E" w:rsidRDefault="00CE7F43">
      <w:pPr>
        <w:pStyle w:val="Author-eListParagraph"/>
        <w:numPr>
          <w:ilvl w:val="0"/>
          <w:numId w:val="848"/>
        </w:numPr>
        <w:jc w:val="both"/>
      </w:pPr>
      <w:r>
        <w:t>l’installation des éléments dans leurs positions définitives et les mesures de protection éventuellement nécessaires afin qu’ils conservent leurs propriétés durant toute la phase chantier ;</w:t>
      </w:r>
    </w:p>
    <w:p w14:paraId="7B04F9AF" w14:textId="77777777" w:rsidR="00DF410E" w:rsidRDefault="00CE7F43">
      <w:pPr>
        <w:pStyle w:val="Author-eListParagraph"/>
        <w:numPr>
          <w:ilvl w:val="0"/>
          <w:numId w:val="848"/>
        </w:numPr>
        <w:jc w:val="both"/>
      </w:pPr>
      <w:r>
        <w:t xml:space="preserve">les moyens d’assemblage de l’élément à l’exception des moyens d’assemblage spécifiques qui sont prescrits dans l’élément </w:t>
      </w:r>
      <w:hyperlink w:anchor="583" w:history="1">
        <w:r>
          <w:t>24.4 Assemblages</w:t>
        </w:r>
      </w:hyperlink>
      <w:r>
        <w:t>.</w:t>
      </w:r>
    </w:p>
    <w:p w14:paraId="08EB9F1F" w14:textId="77777777" w:rsidR="00DF410E" w:rsidRDefault="00CE7F43">
      <w:pPr>
        <w:pStyle w:val="pheading"/>
      </w:pPr>
      <w:r>
        <w:t>MATÉRIAUX</w:t>
      </w:r>
    </w:p>
    <w:p w14:paraId="52441525" w14:textId="77777777" w:rsidR="00DF410E" w:rsidRDefault="00CE7F43">
      <w:pPr>
        <w:pStyle w:val="pheading"/>
      </w:pPr>
      <w:r>
        <w:t>- Caractéristiques générales</w:t>
      </w:r>
    </w:p>
    <w:p w14:paraId="18EBFEB7" w14:textId="77777777" w:rsidR="00DF410E" w:rsidRDefault="00CE7F43">
      <w:pPr>
        <w:jc w:val="both"/>
      </w:pPr>
      <w:r>
        <w:t xml:space="preserve">Classe de résistance : </w:t>
      </w:r>
      <w:r>
        <w:rPr>
          <w:rStyle w:val="optioncarChar"/>
        </w:rPr>
        <w:t>C18</w:t>
      </w:r>
      <w:r>
        <w:t xml:space="preserve"> (par défaut) </w:t>
      </w:r>
      <w:r>
        <w:rPr>
          <w:rStyle w:val="optioncarChar"/>
        </w:rPr>
        <w:t>/ D18 / C24 / D24 / ***</w:t>
      </w:r>
    </w:p>
    <w:p w14:paraId="309776E4" w14:textId="77777777" w:rsidR="00DF410E" w:rsidRDefault="00CE7F43">
      <w:pPr>
        <w:jc w:val="both"/>
      </w:pPr>
      <w:r>
        <w:t xml:space="preserve">Epaisseur : </w:t>
      </w:r>
      <w:r>
        <w:rPr>
          <w:rStyle w:val="optioncarChar"/>
        </w:rPr>
        <w:t>Voir plans</w:t>
      </w:r>
      <w:r>
        <w:t xml:space="preserve"> (par défaut) </w:t>
      </w:r>
      <w:r>
        <w:rPr>
          <w:rStyle w:val="optioncarChar"/>
        </w:rPr>
        <w:t>/ ***</w:t>
      </w:r>
    </w:p>
    <w:p w14:paraId="3DB8DC73" w14:textId="77777777" w:rsidR="00DF410E" w:rsidRDefault="00CE7F43">
      <w:pPr>
        <w:jc w:val="both"/>
      </w:pPr>
      <w:r>
        <w:t xml:space="preserve">Largeur : </w:t>
      </w:r>
      <w:r>
        <w:rPr>
          <w:rStyle w:val="optioncarChar"/>
        </w:rPr>
        <w:t xml:space="preserve">Voir plans </w:t>
      </w:r>
      <w:r>
        <w:t xml:space="preserve">(par défaut) </w:t>
      </w:r>
      <w:r>
        <w:rPr>
          <w:rStyle w:val="optioncarChar"/>
        </w:rPr>
        <w:t>/ ***</w:t>
      </w:r>
    </w:p>
    <w:p w14:paraId="77EDF686" w14:textId="77777777" w:rsidR="00DF410E" w:rsidRDefault="00CE7F43">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7F176F35" w14:textId="77777777" w:rsidR="00DF410E" w:rsidRDefault="00CE7F43">
      <w:pPr>
        <w:jc w:val="both"/>
      </w:pPr>
      <w:r>
        <w:t>Classe d’emploi :</w:t>
      </w:r>
      <w:r>
        <w:rPr>
          <w:rStyle w:val="optioncarChar"/>
        </w:rPr>
        <w:t xml:space="preserve"> 2 / 3 </w:t>
      </w:r>
      <w:r>
        <w:t>(par défaut)</w:t>
      </w:r>
    </w:p>
    <w:p w14:paraId="41124043" w14:textId="77777777" w:rsidR="00DF410E" w:rsidRDefault="00CE7F43">
      <w:pPr>
        <w:ind w:left="567"/>
        <w:jc w:val="both"/>
      </w:pPr>
      <w:r>
        <w:t>Par défaut, les sablières sont considérées en classe d’emploi 3 lorsqu’elles sont posées sur du béton ou des maçonneries et 2 si elles sont posées sur du bois.</w:t>
      </w:r>
    </w:p>
    <w:p w14:paraId="7438157D" w14:textId="77777777" w:rsidR="00DF410E" w:rsidRDefault="00CE7F43">
      <w:pPr>
        <w:jc w:val="both"/>
      </w:pPr>
      <w:r>
        <w:t xml:space="preserve">La durabilité des sablières, en fonction de leur classe d’emploi, est assurée de la manière suivante : </w:t>
      </w:r>
      <w:r>
        <w:rPr>
          <w:rStyle w:val="optioncarChar"/>
        </w:rPr>
        <w:t>bois hors aubier / traitement A2.1 / traitement A3</w:t>
      </w:r>
      <w:r>
        <w:t xml:space="preserve"> (par défaut) </w:t>
      </w:r>
      <w:r>
        <w:rPr>
          <w:rStyle w:val="optioncarChar"/>
        </w:rPr>
        <w:t>/ ***</w:t>
      </w:r>
    </w:p>
    <w:p w14:paraId="269D63BC" w14:textId="77777777" w:rsidR="00DF410E" w:rsidRDefault="00CE7F43">
      <w:pPr>
        <w:ind w:left="567"/>
        <w:jc w:val="both"/>
      </w:pPr>
      <w:r>
        <w:rPr>
          <w:b/>
          <w:i/>
        </w:rPr>
        <w:t>(Soit)</w:t>
      </w:r>
    </w:p>
    <w:p w14:paraId="7F07D891" w14:textId="77777777" w:rsidR="00DF410E" w:rsidRDefault="00CE7F43">
      <w:pPr>
        <w:ind w:left="567"/>
        <w:jc w:val="both"/>
      </w:pPr>
      <w:r>
        <w:rPr>
          <w:rStyle w:val="soitChar"/>
          <w:u w:val="single"/>
        </w:rPr>
        <w:t>Bois hors aubier</w:t>
      </w:r>
    </w:p>
    <w:p w14:paraId="6B0C387F" w14:textId="77777777" w:rsidR="00DF410E" w:rsidRDefault="00CE7F43">
      <w:pPr>
        <w:ind w:left="567"/>
        <w:jc w:val="both"/>
      </w:pPr>
      <w:r>
        <w:rPr>
          <w:rStyle w:val="soitChar"/>
        </w:rPr>
        <w:t>La durabilité naturelle de l’essence utilisée est suffisante pour la classe d’emploi envisagée.</w:t>
      </w:r>
    </w:p>
    <w:p w14:paraId="4EE049DC" w14:textId="77777777" w:rsidR="00DF410E" w:rsidRDefault="00CE7F43">
      <w:pPr>
        <w:ind w:left="567"/>
        <w:jc w:val="both"/>
      </w:pPr>
      <w:r>
        <w:rPr>
          <w:b/>
          <w:i/>
        </w:rPr>
        <w:t>(Soit)</w:t>
      </w:r>
    </w:p>
    <w:p w14:paraId="0D7E6227" w14:textId="77777777" w:rsidR="00DF410E" w:rsidRDefault="00CE7F43">
      <w:pPr>
        <w:ind w:left="567"/>
        <w:jc w:val="both"/>
      </w:pPr>
      <w:r>
        <w:rPr>
          <w:rStyle w:val="soitChar"/>
          <w:u w:val="single"/>
        </w:rPr>
        <w:t>Traitement A2.1</w:t>
      </w:r>
    </w:p>
    <w:p w14:paraId="448834DB" w14:textId="77777777" w:rsidR="00DF410E" w:rsidRDefault="00CE7F43">
      <w:pPr>
        <w:ind w:left="567"/>
        <w:jc w:val="both"/>
      </w:pPr>
      <w:r>
        <w:rPr>
          <w:rStyle w:val="soitChar"/>
        </w:rPr>
        <w:t>Le bois est traité selon un procédé A2.1 décrit dans la [STS 04.3].</w:t>
      </w:r>
    </w:p>
    <w:p w14:paraId="3860825C" w14:textId="77777777" w:rsidR="00DF410E" w:rsidRDefault="00CE7F43">
      <w:pPr>
        <w:ind w:left="567"/>
        <w:jc w:val="both"/>
      </w:pPr>
      <w:r>
        <w:rPr>
          <w:b/>
          <w:i/>
        </w:rPr>
        <w:t> (Soit par défaut)</w:t>
      </w:r>
    </w:p>
    <w:p w14:paraId="6975E43A" w14:textId="77777777" w:rsidR="00DF410E" w:rsidRDefault="00CE7F43">
      <w:pPr>
        <w:ind w:left="567"/>
        <w:jc w:val="both"/>
      </w:pPr>
      <w:r>
        <w:rPr>
          <w:rStyle w:val="soitChar"/>
          <w:u w:val="single"/>
        </w:rPr>
        <w:t>Traitement A3</w:t>
      </w:r>
    </w:p>
    <w:p w14:paraId="6AC178FB" w14:textId="77777777" w:rsidR="00DF410E" w:rsidRDefault="00CE7F43">
      <w:pPr>
        <w:ind w:left="567"/>
        <w:jc w:val="both"/>
      </w:pPr>
      <w:r>
        <w:rPr>
          <w:rStyle w:val="soitChar"/>
        </w:rPr>
        <w:t>Le bois est traité selon un procédé A3 décrit dans la [STS 04.3].</w:t>
      </w:r>
    </w:p>
    <w:p w14:paraId="1B4B3550" w14:textId="77777777" w:rsidR="00DF410E" w:rsidRDefault="00CE7F43">
      <w:pPr>
        <w:ind w:left="567"/>
        <w:jc w:val="both"/>
      </w:pPr>
      <w:r>
        <w:rPr>
          <w:b/>
          <w:i/>
        </w:rPr>
        <w:t>(Soit)</w:t>
      </w:r>
    </w:p>
    <w:p w14:paraId="2F4908C4" w14:textId="77777777" w:rsidR="00DF410E" w:rsidRDefault="00CE7F43">
      <w:pPr>
        <w:ind w:left="567"/>
        <w:jc w:val="both"/>
      </w:pPr>
      <w:r>
        <w:rPr>
          <w:rStyle w:val="optioncarChar"/>
        </w:rPr>
        <w:t>***</w:t>
      </w:r>
    </w:p>
    <w:p w14:paraId="1FE224B7" w14:textId="77777777" w:rsidR="00DF410E" w:rsidRDefault="00CE7F43">
      <w:pPr>
        <w:jc w:val="both"/>
      </w:pPr>
      <w:r>
        <w:t xml:space="preserve">La résistance au feu des sablières se résume à la capacité portante (R). Celle-ci est obtenue par </w:t>
      </w:r>
      <w:r>
        <w:rPr>
          <w:rStyle w:val="optioncarChar"/>
        </w:rPr>
        <w:t>dimensionnement au feu</w:t>
      </w:r>
      <w:r>
        <w:t xml:space="preserve"> (par défaut)</w:t>
      </w:r>
      <w:r>
        <w:rPr>
          <w:rStyle w:val="optioncarChar"/>
        </w:rPr>
        <w:t xml:space="preserve"> / protection physique / traitement / ***</w:t>
      </w:r>
    </w:p>
    <w:p w14:paraId="41A74E55" w14:textId="77777777" w:rsidR="00DF410E" w:rsidRDefault="00CE7F43">
      <w:pPr>
        <w:ind w:left="567"/>
        <w:jc w:val="both"/>
      </w:pPr>
      <w:r>
        <w:rPr>
          <w:b/>
          <w:i/>
        </w:rPr>
        <w:t>(Soit par défaut)</w:t>
      </w:r>
    </w:p>
    <w:p w14:paraId="4A74E227" w14:textId="77777777" w:rsidR="00DF410E" w:rsidRDefault="00CE7F43">
      <w:pPr>
        <w:ind w:left="567"/>
        <w:jc w:val="both"/>
      </w:pPr>
      <w:r>
        <w:rPr>
          <w:rStyle w:val="soitChar"/>
          <w:u w:val="single"/>
        </w:rPr>
        <w:t>Dimensionnement au feu</w:t>
      </w:r>
    </w:p>
    <w:p w14:paraId="0114D2C1" w14:textId="77777777" w:rsidR="00DF410E" w:rsidRDefault="00CE7F43">
      <w:pPr>
        <w:ind w:left="567"/>
        <w:jc w:val="both"/>
      </w:pPr>
      <w:r>
        <w:rPr>
          <w:rStyle w:val="soitChar"/>
        </w:rPr>
        <w:t>Le dimensionnement au feu de la section est réalisé pour atteindre la capacité portante (R). Ce dimensionnement veille également à valider la capacité portante au niveau de l’assemblage.</w:t>
      </w:r>
    </w:p>
    <w:p w14:paraId="16E5EEC3" w14:textId="77777777" w:rsidR="00DF410E" w:rsidRDefault="00CE7F43">
      <w:pPr>
        <w:ind w:left="567"/>
        <w:jc w:val="both"/>
      </w:pPr>
      <w:r>
        <w:rPr>
          <w:b/>
          <w:i/>
        </w:rPr>
        <w:t>(Soit)</w:t>
      </w:r>
    </w:p>
    <w:p w14:paraId="0E056E9C" w14:textId="77777777" w:rsidR="00DF410E" w:rsidRDefault="00CE7F43">
      <w:pPr>
        <w:ind w:left="567"/>
        <w:jc w:val="both"/>
      </w:pPr>
      <w:r>
        <w:rPr>
          <w:rStyle w:val="soitChar"/>
          <w:u w:val="single"/>
        </w:rPr>
        <w:t>Protection physique</w:t>
      </w:r>
    </w:p>
    <w:p w14:paraId="01710565" w14:textId="77777777" w:rsidR="00DF410E" w:rsidRDefault="00CE7F43">
      <w:pPr>
        <w:ind w:left="567"/>
        <w:jc w:val="both"/>
      </w:pPr>
      <w:r>
        <w:rPr>
          <w:rStyle w:val="soitChar"/>
        </w:rPr>
        <w:t xml:space="preserve">Les protections sont de type </w:t>
      </w:r>
      <w:r>
        <w:rPr>
          <w:rStyle w:val="optioncarChar"/>
        </w:rPr>
        <w:t>plaques de plâtre </w:t>
      </w:r>
      <w:r>
        <w:t>(par défaut)</w:t>
      </w:r>
      <w:r>
        <w:rPr>
          <w:rStyle w:val="optioncarChar"/>
        </w:rPr>
        <w:t xml:space="preserve"> / ***</w:t>
      </w:r>
      <w:r>
        <w:rPr>
          <w:rStyle w:val="soitChar"/>
        </w:rPr>
        <w:t>. La validation de la solution de protection est conforme aux solutions types développées dans la norme [NBN EN 1995-1-2] ou validées suivant les procédures d’essais décrites dans la [NBN EN 13501-2].</w:t>
      </w:r>
    </w:p>
    <w:p w14:paraId="67E89DB0" w14:textId="77777777" w:rsidR="00DF410E" w:rsidRDefault="00CE7F43">
      <w:pPr>
        <w:ind w:left="567"/>
        <w:jc w:val="both"/>
      </w:pPr>
      <w:r>
        <w:rPr>
          <w:b/>
          <w:i/>
        </w:rPr>
        <w:t>(Soit)</w:t>
      </w:r>
    </w:p>
    <w:p w14:paraId="61F64EA7" w14:textId="77777777" w:rsidR="00DF410E" w:rsidRDefault="00CE7F43">
      <w:pPr>
        <w:ind w:left="567"/>
        <w:jc w:val="both"/>
      </w:pPr>
      <w:r>
        <w:rPr>
          <w:rStyle w:val="soitChar"/>
          <w:u w:val="single"/>
        </w:rPr>
        <w:t>Traitement</w:t>
      </w:r>
    </w:p>
    <w:p w14:paraId="413444F8" w14:textId="77777777" w:rsidR="00DF410E" w:rsidRDefault="00CE7F43">
      <w:pPr>
        <w:ind w:left="567"/>
        <w:jc w:val="both"/>
      </w:pPr>
      <w:r>
        <w:rPr>
          <w:rStyle w:val="soitChar"/>
        </w:rPr>
        <w:t>Le traitement de protection du bois est validé par les essais décrits dans la [NBN EN 13501-2]. Cette protection par traitement est combinée à un dimensionnement au feu tenant compte de la vitesse de combustion réduite conférée par le traitement.</w:t>
      </w:r>
    </w:p>
    <w:p w14:paraId="0D46B1F1" w14:textId="77777777" w:rsidR="00DF410E" w:rsidRDefault="00CE7F43">
      <w:pPr>
        <w:ind w:left="567"/>
        <w:jc w:val="both"/>
      </w:pPr>
      <w:r>
        <w:rPr>
          <w:b/>
          <w:i/>
        </w:rPr>
        <w:t>(Soit)</w:t>
      </w:r>
    </w:p>
    <w:p w14:paraId="6C2527D7" w14:textId="77777777" w:rsidR="00DF410E" w:rsidRDefault="00CE7F43">
      <w:pPr>
        <w:ind w:left="567"/>
        <w:jc w:val="both"/>
      </w:pPr>
      <w:r>
        <w:rPr>
          <w:rStyle w:val="optioncarChar"/>
        </w:rPr>
        <w:t> ***</w:t>
      </w:r>
    </w:p>
    <w:p w14:paraId="68765345" w14:textId="77777777" w:rsidR="00DF410E" w:rsidRDefault="00CE7F43">
      <w:pPr>
        <w:jc w:val="both"/>
      </w:pPr>
      <w:r>
        <w:t>S’il existe des critères d’étanchéité au feu et d’isolation durant l’incendie (les critères EI),</w:t>
      </w:r>
    </w:p>
    <w:p w14:paraId="1E657B20" w14:textId="77777777" w:rsidR="00DF410E" w:rsidRDefault="00CE7F43">
      <w:pPr>
        <w:pStyle w:val="pheading"/>
      </w:pPr>
      <w:r>
        <w:t>- Finitions</w:t>
      </w:r>
    </w:p>
    <w:p w14:paraId="3631342C" w14:textId="77777777" w:rsidR="00DF410E" w:rsidRDefault="00CE7F43">
      <w:r>
        <w:t xml:space="preserve">Les sablières sont </w:t>
      </w:r>
      <w:r>
        <w:rPr>
          <w:rStyle w:val="optioncarChar"/>
        </w:rPr>
        <w:t>rabotées</w:t>
      </w:r>
      <w:r>
        <w:t xml:space="preserve"> (par défaut)</w:t>
      </w:r>
      <w:r>
        <w:rPr>
          <w:rStyle w:val="optioncarChar"/>
        </w:rPr>
        <w:t xml:space="preserve"> / brutes de sciage / *** </w:t>
      </w:r>
      <w:r>
        <w:t>sur </w:t>
      </w:r>
      <w:r>
        <w:rPr>
          <w:rStyle w:val="optioncarChar"/>
        </w:rPr>
        <w:t>1 / 2 / 3 / 4 </w:t>
      </w:r>
      <w:r>
        <w:t>faces</w:t>
      </w:r>
    </w:p>
    <w:p w14:paraId="18AB42A5" w14:textId="77777777" w:rsidR="00DF410E" w:rsidRDefault="00CE7F43">
      <w:pPr>
        <w:pStyle w:val="pheading"/>
      </w:pPr>
      <w:r>
        <w:t>EXÉCUTION / MISE EN ŒUVRE</w:t>
      </w:r>
    </w:p>
    <w:p w14:paraId="7D28726E" w14:textId="77777777" w:rsidR="00DF410E" w:rsidRDefault="00CE7F43">
      <w:pPr>
        <w:pStyle w:val="pheading"/>
      </w:pPr>
      <w:r>
        <w:t>- Prescriptions générales</w:t>
      </w:r>
    </w:p>
    <w:p w14:paraId="13BAD289" w14:textId="77777777" w:rsidR="00DF410E" w:rsidRDefault="00CE7F43">
      <w:pPr>
        <w:jc w:val="both"/>
      </w:pPr>
      <w:r>
        <w:t>Une attention particulière est apportée à l’installation des sablières, en particulier en ce qui concerne la fixation à la structure sous-jacente et les tolérances, notamment la planéité.</w:t>
      </w:r>
    </w:p>
    <w:p w14:paraId="012B8CE4" w14:textId="77777777" w:rsidR="00DF410E" w:rsidRDefault="00CE7F43">
      <w:pPr>
        <w:jc w:val="both"/>
      </w:pPr>
      <w:r>
        <w:t>L’ancrage des sablières à la structure sous-jacente est réalisé par </w:t>
      </w:r>
      <w:r>
        <w:rPr>
          <w:rStyle w:val="optioncarChar"/>
        </w:rPr>
        <w:t>tire-fonds / vis à bois / des ancrages chimiques / des ancrages mécaniques / ***</w:t>
      </w:r>
    </w:p>
    <w:p w14:paraId="7EC8C65D" w14:textId="77777777" w:rsidR="00DF410E" w:rsidRDefault="00CE7F43">
      <w:pPr>
        <w:ind w:left="567"/>
        <w:jc w:val="both"/>
      </w:pPr>
      <w:r>
        <w:rPr>
          <w:b/>
          <w:i/>
        </w:rPr>
        <w:t>(Soit)</w:t>
      </w:r>
    </w:p>
    <w:p w14:paraId="776EDF2F" w14:textId="77777777" w:rsidR="00DF410E" w:rsidRDefault="00CE7F43">
      <w:pPr>
        <w:ind w:left="567"/>
        <w:jc w:val="both"/>
      </w:pPr>
      <w:r>
        <w:rPr>
          <w:rStyle w:val="soitChar"/>
          <w:u w:val="single"/>
        </w:rPr>
        <w:t>Tire-fonds</w:t>
      </w:r>
      <w:r>
        <w:t> </w:t>
      </w:r>
    </w:p>
    <w:p w14:paraId="73750E20" w14:textId="77777777" w:rsidR="00DF410E" w:rsidRDefault="00CE7F43">
      <w:pPr>
        <w:ind w:left="567"/>
        <w:jc w:val="both"/>
      </w:pPr>
      <w:r>
        <w:rPr>
          <w:rStyle w:val="soitChar"/>
        </w:rPr>
        <w:t>Les tire-fonds sont décrits à l’article </w:t>
      </w:r>
      <w:hyperlink w:anchor="579" w:history="1">
        <w:r>
          <w:rPr>
            <w:rStyle w:val="soitChar"/>
          </w:rPr>
          <w:t>24.42.1e Assemblages par tiges - tire-fonds</w:t>
        </w:r>
      </w:hyperlink>
      <w:r>
        <w:rPr>
          <w:rStyle w:val="soitChar"/>
        </w:rPr>
        <w:t>. Ils sont installés tous les</w:t>
      </w:r>
      <w:r>
        <w:t> </w:t>
      </w:r>
      <w:r>
        <w:rPr>
          <w:rStyle w:val="optioncarChar"/>
        </w:rPr>
        <w:t>voir note de calcul </w:t>
      </w:r>
      <w:r>
        <w:t>(par défaut) </w:t>
      </w:r>
      <w:r>
        <w:rPr>
          <w:rStyle w:val="optioncarChar"/>
        </w:rPr>
        <w:t>/ ***cm </w:t>
      </w:r>
      <w:r>
        <w:rPr>
          <w:rStyle w:val="soitChar"/>
        </w:rPr>
        <w:t>avec un tirefond à chaque extrémité de chaque sablière.</w:t>
      </w:r>
    </w:p>
    <w:p w14:paraId="6CABCBCC" w14:textId="77777777" w:rsidR="00DF410E" w:rsidRDefault="00CE7F43">
      <w:pPr>
        <w:ind w:left="567"/>
        <w:jc w:val="both"/>
      </w:pPr>
      <w:r>
        <w:rPr>
          <w:b/>
          <w:i/>
        </w:rPr>
        <w:t>(Soit)</w:t>
      </w:r>
    </w:p>
    <w:p w14:paraId="15B639CA" w14:textId="77777777" w:rsidR="00DF410E" w:rsidRDefault="00CE7F43">
      <w:pPr>
        <w:ind w:left="567"/>
        <w:jc w:val="both"/>
      </w:pPr>
      <w:r>
        <w:rPr>
          <w:rStyle w:val="soitChar"/>
          <w:u w:val="single"/>
        </w:rPr>
        <w:t>Vis à bois</w:t>
      </w:r>
      <w:r>
        <w:t> </w:t>
      </w:r>
    </w:p>
    <w:p w14:paraId="0AD3A46C" w14:textId="77777777" w:rsidR="00DF410E" w:rsidRDefault="00CE7F43">
      <w:pPr>
        <w:ind w:left="567"/>
        <w:jc w:val="both"/>
      </w:pPr>
      <w:r>
        <w:rPr>
          <w:rStyle w:val="soitChar"/>
        </w:rPr>
        <w:t>Les vis à bois sont décrites à l’article </w:t>
      </w:r>
      <w:hyperlink w:anchor="580" w:history="1">
        <w:r>
          <w:rPr>
            <w:rStyle w:val="soitChar"/>
          </w:rPr>
          <w:t>24.42.1d Assemblages par tiges - vis</w:t>
        </w:r>
      </w:hyperlink>
      <w:r>
        <w:rPr>
          <w:rStyle w:val="soitChar"/>
        </w:rPr>
        <w:t>. Elles sont installées tous les</w:t>
      </w:r>
      <w:r>
        <w:t> </w:t>
      </w:r>
      <w:r>
        <w:rPr>
          <w:rStyle w:val="optioncarChar"/>
        </w:rPr>
        <w:t>voir note de calcul </w:t>
      </w:r>
      <w:r>
        <w:t>(par défaut) </w:t>
      </w:r>
      <w:r>
        <w:rPr>
          <w:rStyle w:val="optioncarChar"/>
        </w:rPr>
        <w:t>/ *** cm </w:t>
      </w:r>
      <w:r>
        <w:rPr>
          <w:rStyle w:val="soitChar"/>
        </w:rPr>
        <w:t>avec une vis à bois à chaque extrémité de chaque sablière.</w:t>
      </w:r>
    </w:p>
    <w:p w14:paraId="745772E3" w14:textId="77777777" w:rsidR="00DF410E" w:rsidRDefault="00CE7F43">
      <w:pPr>
        <w:ind w:left="567"/>
        <w:jc w:val="both"/>
      </w:pPr>
      <w:r>
        <w:rPr>
          <w:b/>
          <w:i/>
        </w:rPr>
        <w:t> (Soit)</w:t>
      </w:r>
    </w:p>
    <w:p w14:paraId="59DF5C62" w14:textId="77777777" w:rsidR="00DF410E" w:rsidRDefault="00CE7F43">
      <w:pPr>
        <w:ind w:left="567"/>
        <w:jc w:val="both"/>
      </w:pPr>
      <w:r>
        <w:rPr>
          <w:rStyle w:val="soitChar"/>
          <w:u w:val="single"/>
        </w:rPr>
        <w:t>Ancrages chimiques</w:t>
      </w:r>
      <w:r>
        <w:t> </w:t>
      </w:r>
    </w:p>
    <w:p w14:paraId="68E8076C" w14:textId="77777777" w:rsidR="00DF410E" w:rsidRDefault="00CE7F43">
      <w:pPr>
        <w:ind w:left="567"/>
        <w:jc w:val="both"/>
      </w:pPr>
      <w:r>
        <w:rPr>
          <w:rStyle w:val="soitChar"/>
        </w:rPr>
        <w:t xml:space="preserve">Les ancrages chimiques sont décrits à l’article </w:t>
      </w:r>
      <w:hyperlink w:anchor="581" w:history="1">
        <w:r>
          <w:rPr>
            <w:rStyle w:val="soitChar"/>
          </w:rPr>
          <w:t>24.44.2a Ancrages chimiques pour structures en bois</w:t>
        </w:r>
      </w:hyperlink>
      <w:r>
        <w:rPr>
          <w:rStyle w:val="soitChar"/>
        </w:rPr>
        <w:t>. Ils sont installés tous les</w:t>
      </w:r>
      <w:r>
        <w:t> </w:t>
      </w:r>
      <w:r>
        <w:rPr>
          <w:rStyle w:val="optioncarChar"/>
        </w:rPr>
        <w:t>voir note de calcul </w:t>
      </w:r>
      <w:r>
        <w:t>(par défaut) </w:t>
      </w:r>
      <w:r>
        <w:rPr>
          <w:rStyle w:val="optioncarChar"/>
        </w:rPr>
        <w:t>/ *** cm </w:t>
      </w:r>
      <w:r>
        <w:rPr>
          <w:rStyle w:val="soitChar"/>
        </w:rPr>
        <w:t>avec un ancrage chaque extrémité de chaque sablière.</w:t>
      </w:r>
    </w:p>
    <w:p w14:paraId="2871A2B0" w14:textId="77777777" w:rsidR="00DF410E" w:rsidRDefault="00CE7F43">
      <w:pPr>
        <w:ind w:left="567"/>
        <w:jc w:val="both"/>
      </w:pPr>
      <w:r>
        <w:rPr>
          <w:b/>
          <w:i/>
        </w:rPr>
        <w:t> (Soit)</w:t>
      </w:r>
    </w:p>
    <w:p w14:paraId="2A7AF55B" w14:textId="77777777" w:rsidR="00DF410E" w:rsidRDefault="00CE7F43">
      <w:pPr>
        <w:ind w:left="567"/>
        <w:jc w:val="both"/>
      </w:pPr>
      <w:r>
        <w:rPr>
          <w:rStyle w:val="soitChar"/>
          <w:u w:val="single"/>
        </w:rPr>
        <w:t>Ancrages mécaniques</w:t>
      </w:r>
      <w:r>
        <w:t> </w:t>
      </w:r>
    </w:p>
    <w:p w14:paraId="4A237F79" w14:textId="77777777" w:rsidR="00DF410E" w:rsidRDefault="00CE7F43">
      <w:pPr>
        <w:ind w:left="567"/>
        <w:jc w:val="both"/>
      </w:pPr>
      <w:r>
        <w:rPr>
          <w:rStyle w:val="soitChar"/>
        </w:rPr>
        <w:t xml:space="preserve">Les ancrages mécaniques sont décrits à l’article </w:t>
      </w:r>
      <w:hyperlink w:anchor="582" w:history="1">
        <w:r>
          <w:rPr>
            <w:rStyle w:val="soitChar"/>
          </w:rPr>
          <w:t>24.44.1a Ancrages mécaniques pour structures en bois</w:t>
        </w:r>
      </w:hyperlink>
      <w:r>
        <w:rPr>
          <w:rStyle w:val="soitChar"/>
        </w:rPr>
        <w:t>. Ils sont installés tous les</w:t>
      </w:r>
      <w:r>
        <w:t> </w:t>
      </w:r>
      <w:r>
        <w:rPr>
          <w:rStyle w:val="optioncarChar"/>
        </w:rPr>
        <w:t>voir note de calcul </w:t>
      </w:r>
      <w:r>
        <w:t>(par défaut)</w:t>
      </w:r>
      <w:r>
        <w:rPr>
          <w:rStyle w:val="optioncarChar"/>
        </w:rPr>
        <w:t> / *** cm</w:t>
      </w:r>
    </w:p>
    <w:p w14:paraId="4EDE0F83" w14:textId="77777777" w:rsidR="00DF410E" w:rsidRDefault="00CE7F43">
      <w:pPr>
        <w:ind w:left="567"/>
        <w:jc w:val="both"/>
      </w:pPr>
      <w:r>
        <w:rPr>
          <w:rStyle w:val="optioncarChar"/>
        </w:rPr>
        <w:t> </w:t>
      </w:r>
    </w:p>
    <w:p w14:paraId="3805E42A" w14:textId="77777777" w:rsidR="00DF410E" w:rsidRDefault="00DF410E"/>
    <w:p w14:paraId="550EF559" w14:textId="77777777" w:rsidR="00DF410E" w:rsidRDefault="00CE7F43">
      <w:pPr>
        <w:jc w:val="both"/>
      </w:pPr>
      <w:r>
        <w:t>Les tolérances d’installation des sablières sont les suivantes :</w:t>
      </w:r>
    </w:p>
    <w:p w14:paraId="39E74C39" w14:textId="77777777" w:rsidR="00DF410E" w:rsidRDefault="00CE7F43">
      <w:r>
        <w:t xml:space="preserve">Lorsque la structure sous-jacente est en béton ou en maçonnerie, une membrane anticapillaire est disposée sous les sablières. Cette membrane est en </w:t>
      </w:r>
      <w:r>
        <w:rPr>
          <w:rStyle w:val="optioncarChar"/>
        </w:rPr>
        <w:t>EPDM</w:t>
      </w:r>
      <w:r>
        <w:t xml:space="preserve"> (par défaut)</w:t>
      </w:r>
      <w:r>
        <w:rPr>
          <w:rStyle w:val="optioncarChar"/>
        </w:rPr>
        <w:t xml:space="preserve"> / feutre bitumé / ***</w:t>
      </w:r>
      <w:r>
        <w:t xml:space="preserve">, est d’une largeur de </w:t>
      </w:r>
      <w:r>
        <w:rPr>
          <w:rStyle w:val="optioncarChar"/>
        </w:rPr>
        <w:t xml:space="preserve">100 mm </w:t>
      </w:r>
      <w:r>
        <w:t>(par défaut) </w:t>
      </w:r>
      <w:r>
        <w:rPr>
          <w:rStyle w:val="optioncarChar"/>
        </w:rPr>
        <w:t>/ 250 mm / ***</w:t>
      </w:r>
      <w:r>
        <w:t>.</w:t>
      </w:r>
    </w:p>
    <w:p w14:paraId="7963E7F7" w14:textId="77777777" w:rsidR="00DF410E" w:rsidRDefault="00CE7F43">
      <w:r>
        <w:t>Le coin supérieur côté extérieur des sablières peut être délardé pour permettre la fixation du chevron sur la sablière .</w:t>
      </w:r>
    </w:p>
    <w:p w14:paraId="08C6F6F4" w14:textId="77777777" w:rsidR="00DF410E" w:rsidRDefault="00CE7F43">
      <w:pPr>
        <w:jc w:val="both"/>
      </w:pPr>
      <w:r>
        <w:t>Dispositif permettant d’assurer l’étanchéité à l’air et/ou une coupure acoustique : </w:t>
      </w:r>
      <w:r>
        <w:rPr>
          <w:rStyle w:val="optioncarChar"/>
        </w:rPr>
        <w:t xml:space="preserve">ruban en mousse PUR </w:t>
      </w:r>
      <w:r>
        <w:t>(par défaut) </w:t>
      </w:r>
      <w:r>
        <w:rPr>
          <w:rStyle w:val="optioncarChar"/>
        </w:rPr>
        <w:t>/ ***</w:t>
      </w:r>
      <w:r>
        <w:t xml:space="preserve"> .</w:t>
      </w:r>
    </w:p>
    <w:p w14:paraId="53FCAACF" w14:textId="77777777" w:rsidR="00DF410E" w:rsidRDefault="00CE7F43">
      <w:pPr>
        <w:pStyle w:val="pheading"/>
      </w:pPr>
      <w:r>
        <w:t>MESURAGE</w:t>
      </w:r>
    </w:p>
    <w:p w14:paraId="1F319B92" w14:textId="77777777" w:rsidR="00DF410E" w:rsidRDefault="00CE7F43">
      <w:pPr>
        <w:pStyle w:val="pheading"/>
      </w:pPr>
      <w:r>
        <w:t>- unité de mesure:</w:t>
      </w:r>
    </w:p>
    <w:p w14:paraId="4D29F7BF" w14:textId="77777777" w:rsidR="00DF410E" w:rsidRDefault="00CE7F43">
      <w:r>
        <w:rPr>
          <w:rStyle w:val="optioncarChar"/>
        </w:rPr>
        <w:t>m³ </w:t>
      </w:r>
      <w:r>
        <w:t>(par défaut)</w:t>
      </w:r>
      <w:r>
        <w:rPr>
          <w:rStyle w:val="optioncarChar"/>
        </w:rPr>
        <w:t> / m / pc</w:t>
      </w:r>
    </w:p>
    <w:p w14:paraId="5E122DB5" w14:textId="77777777" w:rsidR="00DF410E" w:rsidRDefault="00CE7F43">
      <w:r>
        <w:rPr>
          <w:b/>
          <w:i/>
        </w:rPr>
        <w:t>(Soit par défaut)</w:t>
      </w:r>
    </w:p>
    <w:p w14:paraId="7A7051FE" w14:textId="77777777" w:rsidR="00DF410E" w:rsidRDefault="00CE7F43">
      <w:r>
        <w:rPr>
          <w:rStyle w:val="soitChar"/>
        </w:rPr>
        <w:t>1.    m³ </w:t>
      </w:r>
    </w:p>
    <w:p w14:paraId="420663ED" w14:textId="77777777" w:rsidR="00DF410E" w:rsidRDefault="00CE7F43">
      <w:r>
        <w:rPr>
          <w:b/>
          <w:i/>
        </w:rPr>
        <w:t>(Soit)</w:t>
      </w:r>
    </w:p>
    <w:p w14:paraId="0A344F3F" w14:textId="77777777" w:rsidR="00DF410E" w:rsidRDefault="00CE7F43">
      <w:r>
        <w:rPr>
          <w:rStyle w:val="soitChar"/>
        </w:rPr>
        <w:t>2.    m </w:t>
      </w:r>
    </w:p>
    <w:p w14:paraId="13D0D6B1" w14:textId="77777777" w:rsidR="00DF410E" w:rsidRDefault="00CE7F43">
      <w:r>
        <w:rPr>
          <w:b/>
          <w:i/>
        </w:rPr>
        <w:t>(Soit)</w:t>
      </w:r>
    </w:p>
    <w:p w14:paraId="4DC8FD9F" w14:textId="77777777" w:rsidR="00DF410E" w:rsidRDefault="00CE7F43">
      <w:r>
        <w:rPr>
          <w:rStyle w:val="soitChar"/>
        </w:rPr>
        <w:t>3.    pc</w:t>
      </w:r>
    </w:p>
    <w:p w14:paraId="32B694E1" w14:textId="77777777" w:rsidR="00DF410E" w:rsidRDefault="00CE7F43">
      <w:pPr>
        <w:pStyle w:val="pheading"/>
      </w:pPr>
      <w:r>
        <w:t>- code de mesurage:</w:t>
      </w:r>
    </w:p>
    <w:p w14:paraId="217A4698" w14:textId="77777777" w:rsidR="00DF410E" w:rsidRDefault="00CE7F43">
      <w:pPr>
        <w:jc w:val="both"/>
      </w:pPr>
      <w:r>
        <w:rPr>
          <w:rStyle w:val="optioncarChar"/>
        </w:rPr>
        <w:t> Volume brut </w:t>
      </w:r>
      <w:r>
        <w:t>(par défaut) </w:t>
      </w:r>
      <w:r>
        <w:rPr>
          <w:rStyle w:val="optioncarChar"/>
        </w:rPr>
        <w:t>/ longueur brute / quantité nette</w:t>
      </w:r>
    </w:p>
    <w:p w14:paraId="6AF2FA4D" w14:textId="77777777" w:rsidR="00DF410E" w:rsidRDefault="00CE7F43">
      <w:pPr>
        <w:jc w:val="both"/>
      </w:pPr>
      <w:r>
        <w:rPr>
          <w:b/>
          <w:i/>
        </w:rPr>
        <w:t>(Soit par défaut)</w:t>
      </w:r>
    </w:p>
    <w:p w14:paraId="067947F3" w14:textId="77777777" w:rsidR="00DF410E" w:rsidRDefault="00CE7F43">
      <w:pPr>
        <w:jc w:val="both"/>
      </w:pPr>
      <w:r>
        <w:rPr>
          <w:rStyle w:val="soitChar"/>
        </w:rPr>
        <w:t>1.   </w:t>
      </w:r>
      <w:r>
        <w:rPr>
          <w:rStyle w:val="soitChar"/>
          <w:u w:val="single"/>
        </w:rPr>
        <w:t> Volume brut :</w:t>
      </w:r>
    </w:p>
    <w:p w14:paraId="75C9DF02" w14:textId="77777777" w:rsidR="00DF410E" w:rsidRDefault="00CE7F43">
      <w:pPr>
        <w:jc w:val="both"/>
      </w:pPr>
      <w:r>
        <w:rPr>
          <w:rStyle w:val="soitChar"/>
        </w:rPr>
        <w:t>Le volume brut d’une sablière est calculé suivant le volume du plus petit parallélépipède rectangle pouvant inclure l’élément.</w:t>
      </w:r>
    </w:p>
    <w:p w14:paraId="5C7D5699" w14:textId="77777777" w:rsidR="00DF410E" w:rsidRDefault="00CE7F43">
      <w:pPr>
        <w:jc w:val="both"/>
      </w:pPr>
      <w:r>
        <w:rPr>
          <w:b/>
          <w:i/>
        </w:rPr>
        <w:t> (Soit)</w:t>
      </w:r>
    </w:p>
    <w:p w14:paraId="4F70039F" w14:textId="77777777" w:rsidR="00DF410E" w:rsidRDefault="00CE7F43">
      <w:pPr>
        <w:jc w:val="both"/>
      </w:pPr>
      <w:r>
        <w:rPr>
          <w:rStyle w:val="soitChar"/>
        </w:rPr>
        <w:t>2.   </w:t>
      </w:r>
      <w:r>
        <w:rPr>
          <w:rStyle w:val="soitChar"/>
          <w:u w:val="single"/>
        </w:rPr>
        <w:t> Longueur brute :</w:t>
      </w:r>
    </w:p>
    <w:p w14:paraId="1747D503"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39C39D4C" w14:textId="77777777" w:rsidR="00DF410E" w:rsidRDefault="00CE7F43">
      <w:pPr>
        <w:jc w:val="both"/>
      </w:pPr>
      <w:r>
        <w:rPr>
          <w:rStyle w:val="soitChar"/>
        </w:rPr>
        <w:t>La longueur totale des sablières ayant la même section et les mêmes caractéristiques est comptabilisée.</w:t>
      </w:r>
    </w:p>
    <w:p w14:paraId="207631D8" w14:textId="77777777" w:rsidR="00DF410E" w:rsidRDefault="00CE7F43">
      <w:pPr>
        <w:jc w:val="both"/>
      </w:pPr>
      <w:r>
        <w:rPr>
          <w:b/>
          <w:i/>
        </w:rPr>
        <w:t> (Soit)</w:t>
      </w:r>
    </w:p>
    <w:p w14:paraId="7162FF03" w14:textId="77777777" w:rsidR="00DF410E" w:rsidRDefault="00CE7F43">
      <w:pPr>
        <w:jc w:val="both"/>
      </w:pPr>
      <w:r>
        <w:rPr>
          <w:rStyle w:val="soitChar"/>
        </w:rPr>
        <w:t>3.    </w:t>
      </w:r>
      <w:r>
        <w:rPr>
          <w:rStyle w:val="soitChar"/>
          <w:u w:val="single"/>
        </w:rPr>
        <w:t>Quantité nette :</w:t>
      </w:r>
    </w:p>
    <w:p w14:paraId="7DDE043B" w14:textId="77777777" w:rsidR="00DF410E" w:rsidRDefault="00CE7F43">
      <w:pPr>
        <w:jc w:val="both"/>
      </w:pPr>
      <w:r>
        <w:rPr>
          <w:rStyle w:val="soitChar"/>
        </w:rPr>
        <w:t>Le nombre de sablières ayant les mêmes dimensions et les mêmes caractéristiques est compatibilisé.</w:t>
      </w:r>
    </w:p>
    <w:p w14:paraId="49554C3C" w14:textId="77777777" w:rsidR="00DF410E" w:rsidRDefault="00CE7F43">
      <w:pPr>
        <w:pStyle w:val="pheading"/>
      </w:pPr>
      <w:r>
        <w:t>- nature du marché:</w:t>
      </w:r>
    </w:p>
    <w:p w14:paraId="685A7CED" w14:textId="77777777" w:rsidR="00DF410E" w:rsidRDefault="00CE7F43">
      <w:r>
        <w:rPr>
          <w:rStyle w:val="optioncarChar"/>
        </w:rPr>
        <w:t>QF </w:t>
      </w:r>
      <w:r>
        <w:t>(par défaut) </w:t>
      </w:r>
      <w:r>
        <w:rPr>
          <w:rStyle w:val="optioncarChar"/>
        </w:rPr>
        <w:t>/ QP</w:t>
      </w:r>
    </w:p>
    <w:p w14:paraId="727775D9" w14:textId="77777777" w:rsidR="00DF410E" w:rsidRDefault="00CE7F43">
      <w:r>
        <w:rPr>
          <w:b/>
          <w:i/>
        </w:rPr>
        <w:t>(Soit par défaut)</w:t>
      </w:r>
    </w:p>
    <w:p w14:paraId="6BF0F94B" w14:textId="77777777" w:rsidR="00DF410E" w:rsidRDefault="00CE7F43">
      <w:r>
        <w:rPr>
          <w:rStyle w:val="soitChar"/>
        </w:rPr>
        <w:t>1.2.3      QF</w:t>
      </w:r>
    </w:p>
    <w:p w14:paraId="1698AF01" w14:textId="77777777" w:rsidR="00DF410E" w:rsidRDefault="00CE7F43">
      <w:r>
        <w:rPr>
          <w:b/>
          <w:i/>
        </w:rPr>
        <w:t>(Soit)</w:t>
      </w:r>
    </w:p>
    <w:p w14:paraId="7A7E7D78" w14:textId="77777777" w:rsidR="00DF410E" w:rsidRDefault="00CE7F43">
      <w:r>
        <w:rPr>
          <w:rStyle w:val="soitChar"/>
        </w:rPr>
        <w:t>1.2.3      QP</w:t>
      </w:r>
    </w:p>
    <w:p w14:paraId="61A06911" w14:textId="77777777" w:rsidR="00DF410E" w:rsidRDefault="00CE7F43">
      <w:pPr>
        <w:pStyle w:val="Author-eSectionHeading4"/>
      </w:pPr>
      <w:bookmarkStart w:id="1564" w:name="_Toc178838661"/>
      <w:r>
        <w:t>24.12 Colonnes en bois CCTB 01.07</w:t>
      </w:r>
      <w:bookmarkEnd w:id="1564"/>
    </w:p>
    <w:p w14:paraId="61EB9068" w14:textId="77777777" w:rsidR="00DF410E" w:rsidRDefault="00CE7F43">
      <w:pPr>
        <w:pStyle w:val="pheading"/>
      </w:pPr>
      <w:bookmarkStart w:id="1565" w:name="625"/>
      <w:bookmarkEnd w:id="1565"/>
      <w:r>
        <w:t>DESCRIPTION</w:t>
      </w:r>
    </w:p>
    <w:p w14:paraId="250FE0D1" w14:textId="77777777" w:rsidR="00DF410E" w:rsidRDefault="00CE7F43">
      <w:pPr>
        <w:pStyle w:val="pheading"/>
      </w:pPr>
      <w:r>
        <w:t>- Définition / Comprend</w:t>
      </w:r>
    </w:p>
    <w:p w14:paraId="6D306F24" w14:textId="77777777" w:rsidR="00DF410E" w:rsidRDefault="00CE7F43">
      <w:pPr>
        <w:jc w:val="both"/>
      </w:pPr>
      <w:r>
        <w:t>Les colonnes en bois sont des éléments structuraux verticaux destinés à une descente de charges ponctuelles au niveau inférieur. Elles peuvent être constituées d’une ou plusieurs pièces assemblées.</w:t>
      </w:r>
    </w:p>
    <w:p w14:paraId="7624A146" w14:textId="77777777" w:rsidR="00DF410E" w:rsidRDefault="00CE7F43">
      <w:pPr>
        <w:jc w:val="both"/>
      </w:pPr>
      <w:r>
        <w:t>Cet élément comprend notamment :</w:t>
      </w:r>
    </w:p>
    <w:p w14:paraId="764BFB87" w14:textId="77777777" w:rsidR="00DF410E" w:rsidRDefault="00CE7F43">
      <w:pPr>
        <w:pStyle w:val="Author-eListParagraph"/>
        <w:numPr>
          <w:ilvl w:val="0"/>
          <w:numId w:val="849"/>
        </w:numPr>
      </w:pPr>
      <w:r>
        <w:t>Les colonnes présentes dans les systèmes poteaux-poutres</w:t>
      </w:r>
    </w:p>
    <w:p w14:paraId="5BFD690C" w14:textId="77777777" w:rsidR="00DF410E" w:rsidRDefault="00CE7F43">
      <w:pPr>
        <w:pStyle w:val="Author-eListParagraph"/>
        <w:numPr>
          <w:ilvl w:val="0"/>
          <w:numId w:val="849"/>
        </w:numPr>
      </w:pPr>
      <w:r>
        <w:t>Les colonnes insérées dans une paroi ossature bois.</w:t>
      </w:r>
    </w:p>
    <w:p w14:paraId="23B3C6B4" w14:textId="77777777" w:rsidR="00DF410E" w:rsidRDefault="00CE7F43">
      <w:pPr>
        <w:jc w:val="both"/>
      </w:pPr>
      <w:r>
        <w:t>Et ne comprend pas :</w:t>
      </w:r>
    </w:p>
    <w:p w14:paraId="42DABCF5" w14:textId="77777777" w:rsidR="00DF410E" w:rsidRDefault="00CE7F43">
      <w:pPr>
        <w:pStyle w:val="Author-eListParagraph"/>
        <w:numPr>
          <w:ilvl w:val="0"/>
          <w:numId w:val="850"/>
        </w:numPr>
        <w:jc w:val="both"/>
      </w:pPr>
      <w:r>
        <w:t xml:space="preserve">Les montants individuels d’une paroi en ossature bois. Ceux-ci sont traités au </w:t>
      </w:r>
      <w:hyperlink w:anchor="402" w:history="1">
        <w:r>
          <w:t>24.13 Poutres et barres en bois</w:t>
        </w:r>
      </w:hyperlink>
      <w:r>
        <w:t>.</w:t>
      </w:r>
    </w:p>
    <w:p w14:paraId="5C8FED7A" w14:textId="77777777" w:rsidR="00DF410E" w:rsidRDefault="00CE7F43">
      <w:pPr>
        <w:pStyle w:val="Author-eListParagraph"/>
        <w:numPr>
          <w:ilvl w:val="0"/>
          <w:numId w:val="850"/>
        </w:numPr>
        <w:jc w:val="both"/>
      </w:pPr>
      <w:r>
        <w:t xml:space="preserve">Les jambes de forces, aisseliers, contrefiches, etc. Ceux-ci sont traités au </w:t>
      </w:r>
      <w:hyperlink w:anchor="402" w:history="1">
        <w:r>
          <w:t>24.13 Poutres et barres en bois</w:t>
        </w:r>
      </w:hyperlink>
      <w:r>
        <w:t>.</w:t>
      </w:r>
    </w:p>
    <w:p w14:paraId="18963F6F" w14:textId="77777777" w:rsidR="00DF410E" w:rsidRDefault="00CE7F43">
      <w:pPr>
        <w:pStyle w:val="pheading"/>
      </w:pPr>
      <w:r>
        <w:t>EXÉCUTION / MISE EN ŒUVRE</w:t>
      </w:r>
    </w:p>
    <w:p w14:paraId="570C3E32" w14:textId="77777777" w:rsidR="00DF410E" w:rsidRDefault="00CE7F43">
      <w:pPr>
        <w:jc w:val="both"/>
      </w:pPr>
      <w:r>
        <w:t>Lors du montage des colonnes en bois, un étançonnement provisoire est prévu pour assurer la stabilité de celles-ci. Si les colonnes sont visibles, les assemblages provisoires sont réalisés sans endommager l’état de surface des colonnes.</w:t>
      </w:r>
    </w:p>
    <w:p w14:paraId="0BBAD8D6" w14:textId="77777777" w:rsidR="00DF410E" w:rsidRDefault="00CE7F43">
      <w:pPr>
        <w:jc w:val="both"/>
      </w:pPr>
      <w:r>
        <w:t> </w:t>
      </w:r>
    </w:p>
    <w:p w14:paraId="1A1D46F6" w14:textId="77777777" w:rsidR="00DF410E" w:rsidRDefault="00CE7F43">
      <w:pPr>
        <w:jc w:val="both"/>
      </w:pPr>
      <w:r>
        <w:t>Lorsque les colonnes sont posées sur des matériaux humides ou humidifiables, les assemblages sont conçus de façon à éviter l’absorption par capillarité.</w:t>
      </w:r>
    </w:p>
    <w:p w14:paraId="70380E33" w14:textId="77777777" w:rsidR="00DF410E" w:rsidRDefault="00CE7F43">
      <w:pPr>
        <w:jc w:val="both"/>
      </w:pPr>
      <w:r>
        <w:t>Si les colonnes sont situées à l’intérieur, une protection contre l’humidité est prévue (type membranes bitumineuses, EPDM ou équivalent) sous les colonnes pour éviter les remontées capillaires.</w:t>
      </w:r>
    </w:p>
    <w:p w14:paraId="3185BBA1" w14:textId="77777777" w:rsidR="00DF410E" w:rsidRDefault="00CE7F43">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727BE820" w14:textId="77777777" w:rsidR="00DF410E" w:rsidRDefault="00CE7F43">
      <w:pPr>
        <w:jc w:val="both"/>
      </w:pPr>
      <w:r>
        <w:t> </w:t>
      </w:r>
    </w:p>
    <w:p w14:paraId="16850F42" w14:textId="77777777" w:rsidR="00DF410E" w:rsidRDefault="00CE7F43">
      <w:pPr>
        <w:jc w:val="both"/>
      </w:pPr>
      <w:r>
        <w:t>En cas de face apparente en situation définitive, le soumissionnaire prend toutes les dispositions afin de maintenir leur aspect esthétique tel qu’en sortie de production.</w:t>
      </w:r>
    </w:p>
    <w:p w14:paraId="09A725BB" w14:textId="77777777" w:rsidR="00DF410E" w:rsidRDefault="00CE7F43">
      <w:pPr>
        <w:pStyle w:val="Author-eSectionHeading5"/>
      </w:pPr>
      <w:bookmarkStart w:id="1566" w:name="_Toc178838662"/>
      <w:r>
        <w:t>24.12.1 Colonnes en bois massif CCTB 01.07</w:t>
      </w:r>
      <w:bookmarkEnd w:id="1566"/>
    </w:p>
    <w:p w14:paraId="6C5F26BC" w14:textId="77777777" w:rsidR="00DF410E" w:rsidRDefault="00CE7F43">
      <w:pPr>
        <w:pStyle w:val="pheading"/>
      </w:pPr>
      <w:r>
        <w:t>DESCRIPTION</w:t>
      </w:r>
    </w:p>
    <w:p w14:paraId="195DF628" w14:textId="77777777" w:rsidR="00DF410E" w:rsidRDefault="00CE7F43">
      <w:pPr>
        <w:pStyle w:val="pheading"/>
      </w:pPr>
      <w:r>
        <w:t>- Définition / Comprend</w:t>
      </w:r>
    </w:p>
    <w:p w14:paraId="44B919BF" w14:textId="77777777" w:rsidR="00DF410E" w:rsidRDefault="00CE7F43">
      <w:r>
        <w:t xml:space="preserve">Il s’agit des colonnes en bois massif. La notion de bois massif est expliquée au </w:t>
      </w:r>
      <w:hyperlink w:anchor="89" w:history="1">
        <w:r>
          <w:t>24 Superstructures en bois</w:t>
        </w:r>
      </w:hyperlink>
      <w:r>
        <w:t>.</w:t>
      </w:r>
    </w:p>
    <w:p w14:paraId="0C1D9D97" w14:textId="77777777" w:rsidR="00DF410E" w:rsidRDefault="00CE7F43">
      <w:pPr>
        <w:pStyle w:val="pheading"/>
      </w:pPr>
      <w:r>
        <w:t>EXÉCUTION / MISE EN ŒUVRE</w:t>
      </w:r>
    </w:p>
    <w:p w14:paraId="67335E3A" w14:textId="77777777" w:rsidR="00DF410E" w:rsidRDefault="00CE7F43">
      <w:pPr>
        <w:jc w:val="both"/>
      </w:pPr>
      <w:r>
        <w:t>Dans le cas des colonnes en bois massif avec cœur, il existe un risque de fissuration traversante. Une analyse de risque de flambement est effectuée par un bureau d’études.</w:t>
      </w:r>
    </w:p>
    <w:p w14:paraId="38B2D600" w14:textId="77777777" w:rsidR="00DF410E" w:rsidRDefault="00CE7F43">
      <w:pPr>
        <w:pStyle w:val="Author-eSectionHeading6"/>
      </w:pPr>
      <w:bookmarkStart w:id="1567" w:name="_Toc178838663"/>
      <w:r>
        <w:t>24.12.1a Colonnes en bois massif à section rectangulaire CCTB 01.11</w:t>
      </w:r>
      <w:bookmarkEnd w:id="1567"/>
    </w:p>
    <w:p w14:paraId="3FC88C4D" w14:textId="77777777" w:rsidR="00DF410E" w:rsidRDefault="00CE7F43">
      <w:pPr>
        <w:pStyle w:val="pheading"/>
      </w:pPr>
      <w:r>
        <w:t>DESCRIPTION</w:t>
      </w:r>
    </w:p>
    <w:p w14:paraId="0BBB38B2" w14:textId="77777777" w:rsidR="00DF410E" w:rsidRDefault="00CE7F43">
      <w:pPr>
        <w:pStyle w:val="pheading"/>
      </w:pPr>
      <w:r>
        <w:t>- Définition / Comprend</w:t>
      </w:r>
    </w:p>
    <w:p w14:paraId="287ACC86" w14:textId="77777777" w:rsidR="00DF410E" w:rsidRDefault="00CE7F43">
      <w:r>
        <w:t>Il s'agit de l’ensemble des colonnes en bois à section rectangulaire.</w:t>
      </w:r>
    </w:p>
    <w:p w14:paraId="0A04EB94" w14:textId="77777777" w:rsidR="00DF410E" w:rsidRDefault="00CE7F43">
      <w:pPr>
        <w:pStyle w:val="pheading"/>
      </w:pPr>
      <w:r>
        <w:t>MATÉRIAUX</w:t>
      </w:r>
    </w:p>
    <w:p w14:paraId="79CE3766" w14:textId="77777777" w:rsidR="00DF410E" w:rsidRDefault="00CE7F43">
      <w:pPr>
        <w:pStyle w:val="pheading"/>
      </w:pPr>
      <w:r>
        <w:t>- Caractéristiques générales</w:t>
      </w:r>
    </w:p>
    <w:p w14:paraId="77302B74" w14:textId="77777777" w:rsidR="00DF410E" w:rsidRDefault="00CE7F43">
      <w:pPr>
        <w:jc w:val="both"/>
      </w:pPr>
      <w:r>
        <w:t xml:space="preserve">Les colonnes en bois massif sont composées de </w:t>
      </w:r>
      <w:r>
        <w:rPr>
          <w:rStyle w:val="optioncarChar"/>
        </w:rPr>
        <w:t xml:space="preserve">1 </w:t>
      </w:r>
      <w:r>
        <w:t>(par défaut)</w:t>
      </w:r>
      <w:r>
        <w:rPr>
          <w:rStyle w:val="optioncarChar"/>
        </w:rPr>
        <w:t xml:space="preserve"> / 2 / ***</w:t>
      </w:r>
      <w:r>
        <w:t xml:space="preserve"> éléments.</w:t>
      </w:r>
    </w:p>
    <w:p w14:paraId="0DFFF475" w14:textId="77777777" w:rsidR="00DF410E" w:rsidRDefault="00CE7F43">
      <w:pPr>
        <w:jc w:val="both"/>
      </w:pPr>
      <w:r>
        <w:t xml:space="preserve">Classe de résistance : </w:t>
      </w:r>
      <w:r>
        <w:rPr>
          <w:rStyle w:val="optioncarChar"/>
        </w:rPr>
        <w:t>C18</w:t>
      </w:r>
      <w:r>
        <w:t xml:space="preserve"> (par défaut)</w:t>
      </w:r>
      <w:r>
        <w:rPr>
          <w:rStyle w:val="optioncarChar"/>
        </w:rPr>
        <w:t> / D18 / C24 / D24 / C30 / D30 / ***</w:t>
      </w:r>
    </w:p>
    <w:p w14:paraId="2F51F4F6" w14:textId="77777777" w:rsidR="00DF410E" w:rsidRDefault="00CE7F43">
      <w:pPr>
        <w:jc w:val="both"/>
      </w:pPr>
      <w:r>
        <w:t>Dimensions de la section :</w:t>
      </w:r>
      <w:r>
        <w:rPr>
          <w:rStyle w:val="optioncarChar"/>
        </w:rPr>
        <w:t xml:space="preserve"> Voir plans </w:t>
      </w:r>
      <w:r>
        <w:t xml:space="preserve">(par défaut) </w:t>
      </w:r>
      <w:r>
        <w:rPr>
          <w:rStyle w:val="optioncarChar"/>
        </w:rPr>
        <w:t>/ *** x *** mm²</w:t>
      </w:r>
    </w:p>
    <w:p w14:paraId="762F4DA4"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0FC28956" w14:textId="77777777" w:rsidR="00DF410E" w:rsidRDefault="00CE7F43">
      <w:pPr>
        <w:jc w:val="both"/>
      </w:pPr>
      <w:r>
        <w:t xml:space="preserve">Classe d’emploi : </w:t>
      </w:r>
      <w:r>
        <w:rPr>
          <w:rStyle w:val="optioncarChar"/>
        </w:rPr>
        <w:t>1 / 2 / 3 / 4 / 5</w:t>
      </w:r>
    </w:p>
    <w:p w14:paraId="351B6C5A" w14:textId="77777777" w:rsidR="00DF410E" w:rsidRDefault="00CE7F43">
      <w:pPr>
        <w:jc w:val="both"/>
      </w:pPr>
      <w:r>
        <w:t xml:space="preserve">La durabilité des colonnes,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A2.1 / ***</w:t>
      </w:r>
    </w:p>
    <w:p w14:paraId="781896CD" w14:textId="77777777" w:rsidR="00DF410E" w:rsidRDefault="00CE7F43">
      <w:pPr>
        <w:pStyle w:val="pheading"/>
      </w:pPr>
      <w:r>
        <w:t>- Finitions</w:t>
      </w:r>
    </w:p>
    <w:p w14:paraId="625E3C11" w14:textId="77777777" w:rsidR="00DF410E" w:rsidRDefault="00CE7F43">
      <w:pPr>
        <w:jc w:val="both"/>
      </w:pPr>
      <w:r>
        <w:t>Les colonnes en bois massif à section rectangulaire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54335348" w14:textId="77777777" w:rsidR="00DF410E" w:rsidRDefault="00CE7F43">
      <w:pPr>
        <w:jc w:val="both"/>
      </w:pPr>
      <w:r>
        <w:t xml:space="preserve">Les arrêtes sont </w:t>
      </w:r>
      <w:r>
        <w:rPr>
          <w:rStyle w:val="optioncarChar"/>
        </w:rPr>
        <w:t>vives</w:t>
      </w:r>
      <w:r>
        <w:t xml:space="preserve"> (par défaut) </w:t>
      </w:r>
      <w:r>
        <w:rPr>
          <w:rStyle w:val="optioncarChar"/>
        </w:rPr>
        <w:t>/ chanfreinées / ***</w:t>
      </w:r>
    </w:p>
    <w:p w14:paraId="500EDBB4" w14:textId="77777777" w:rsidR="00DF410E" w:rsidRDefault="00CE7F43">
      <w:pPr>
        <w:jc w:val="both"/>
      </w:pPr>
      <w:r>
        <w:t xml:space="preserve">Les colonnes en bois massif sont </w:t>
      </w:r>
      <w:r>
        <w:rPr>
          <w:rStyle w:val="optioncarChar"/>
        </w:rPr>
        <w:t>sans finitions</w:t>
      </w:r>
      <w:r>
        <w:t xml:space="preserve"> (par défaut)</w:t>
      </w:r>
      <w:r>
        <w:rPr>
          <w:rStyle w:val="optioncarChar"/>
        </w:rPr>
        <w:t xml:space="preserve"> / huilées / vernies / lasurées / peintes / ***</w:t>
      </w:r>
      <w:r>
        <w:t xml:space="preserve"> avant mise en œuvre.</w:t>
      </w:r>
    </w:p>
    <w:p w14:paraId="650F6D78" w14:textId="77777777" w:rsidR="00DF410E" w:rsidRDefault="00CE7F43">
      <w:pPr>
        <w:pStyle w:val="pheading"/>
      </w:pPr>
      <w:r>
        <w:t>- Prescriptions complémentaires</w:t>
      </w:r>
    </w:p>
    <w:p w14:paraId="1BE76FB6" w14:textId="77777777" w:rsidR="00DF410E" w:rsidRDefault="00CE7F43">
      <w:pPr>
        <w:jc w:val="both"/>
      </w:pPr>
      <w:r>
        <w:rPr>
          <w:rStyle w:val="facultChar"/>
        </w:rPr>
        <w:t>Le classement d’aspect des colonnes en bois massif se fait selon la [NBN EN 1611-1] pour les essences résineuses européennes (épicéas, pins, sapins et douglas), selon la [NBN EN 975-1] pour le chêne et le hêtre et selon la [NBN EN 975-2] pour le peuplier.</w:t>
      </w:r>
    </w:p>
    <w:p w14:paraId="18B547CD" w14:textId="77777777" w:rsidR="00DF410E" w:rsidRDefault="00CE7F43">
      <w:pPr>
        <w:jc w:val="both"/>
      </w:pPr>
      <w:r>
        <w:rPr>
          <w:rStyle w:val="facultChar"/>
        </w:rPr>
        <w:t>Le classement d’aspect doit être dissocié du classement mécanique. Des exigences sur le classement d’aspect peuvent influencer le classement mécanique ou le dimensionnement des pièces et donc la disponibilité.</w:t>
      </w:r>
    </w:p>
    <w:p w14:paraId="7D903D2A" w14:textId="77777777" w:rsidR="00DF410E" w:rsidRDefault="00CE7F43">
      <w:pPr>
        <w:jc w:val="both"/>
      </w:pPr>
      <w:r>
        <w:rPr>
          <w:rStyle w:val="facultChar"/>
          <w:u w:val="single"/>
        </w:rPr>
        <w:t>Classe d’aspect si essence résineuse :</w:t>
      </w:r>
    </w:p>
    <w:p w14:paraId="21876F38" w14:textId="77777777" w:rsidR="00DF410E" w:rsidRDefault="00CE7F43">
      <w:pPr>
        <w:jc w:val="both"/>
      </w:pPr>
      <w:r>
        <w:rPr>
          <w:rStyle w:val="facultChar"/>
        </w:rPr>
        <w:t>Classement sur 2 faces selon [NBN EN 1611-1] :</w:t>
      </w:r>
      <w:r>
        <w:rPr>
          <w:rStyle w:val="optioncarChar"/>
        </w:rPr>
        <w:t>G2-0 / G2-1 / G2-2 / G2-3 / G2-4 </w:t>
      </w:r>
    </w:p>
    <w:p w14:paraId="63C26DAA" w14:textId="77777777" w:rsidR="00DF410E" w:rsidRDefault="00CE7F43">
      <w:pPr>
        <w:jc w:val="both"/>
      </w:pPr>
      <w:r>
        <w:rPr>
          <w:rStyle w:val="facultChar"/>
        </w:rPr>
        <w:t>Classement sur 4 faces [NBN EN 1611-1] :</w:t>
      </w:r>
      <w:r>
        <w:rPr>
          <w:rStyle w:val="optioncarChar"/>
        </w:rPr>
        <w:t>G4-0 / G4-1 / G4-2 / G4-3 / G4-4</w:t>
      </w:r>
    </w:p>
    <w:p w14:paraId="34F6070C" w14:textId="77777777" w:rsidR="00DF410E" w:rsidRDefault="00CE7F43">
      <w:pPr>
        <w:jc w:val="both"/>
      </w:pPr>
      <w:r>
        <w:rPr>
          <w:rStyle w:val="facultChar"/>
          <w:u w:val="single"/>
        </w:rPr>
        <w:t>Classe d’aspect si essence feuillue :</w:t>
      </w:r>
    </w:p>
    <w:p w14:paraId="5D792D9A" w14:textId="77777777" w:rsidR="00DF410E" w:rsidRDefault="00CE7F43">
      <w:pPr>
        <w:jc w:val="both"/>
      </w:pPr>
      <w:r>
        <w:rPr>
          <w:rStyle w:val="facultChar"/>
        </w:rPr>
        <w:t>Classement du chêne selon [NBN EN 975-1]:</w:t>
      </w:r>
      <w:r>
        <w:rPr>
          <w:rStyle w:val="optioncarChar"/>
        </w:rPr>
        <w:t>Q-P A / Q-P 1 / Q-P 2</w:t>
      </w:r>
    </w:p>
    <w:p w14:paraId="0CD74969" w14:textId="77777777" w:rsidR="00DF410E" w:rsidRDefault="00CE7F43">
      <w:pPr>
        <w:jc w:val="both"/>
      </w:pPr>
      <w:r>
        <w:rPr>
          <w:rStyle w:val="facultChar"/>
        </w:rPr>
        <w:t>Classement du hêtre selon [NBN EN 975-1] :</w:t>
      </w:r>
      <w:r>
        <w:rPr>
          <w:rStyle w:val="optioncarChar"/>
        </w:rPr>
        <w:t>F-D A / F-D 1 / F-D 2</w:t>
      </w:r>
    </w:p>
    <w:p w14:paraId="3A27FA2A" w14:textId="77777777" w:rsidR="00DF410E" w:rsidRDefault="00CE7F43">
      <w:pPr>
        <w:jc w:val="both"/>
      </w:pPr>
      <w:r>
        <w:rPr>
          <w:rStyle w:val="facultChar"/>
        </w:rPr>
        <w:t>Classement du peuplier selon [NBN EN 975-2] :</w:t>
      </w:r>
      <w:r>
        <w:rPr>
          <w:rStyle w:val="optioncarChar"/>
        </w:rPr>
        <w:t xml:space="preserve"> choix 1 / choix 2 / choix 3 / choix 4</w:t>
      </w:r>
    </w:p>
    <w:p w14:paraId="2AB4FFDD" w14:textId="77777777" w:rsidR="00DF410E" w:rsidRDefault="00CE7F43">
      <w:pPr>
        <w:pStyle w:val="pheading"/>
      </w:pPr>
      <w:r>
        <w:t>EXÉCUTION / MISE EN ŒUVRE</w:t>
      </w:r>
    </w:p>
    <w:p w14:paraId="7CC89C9F" w14:textId="77777777" w:rsidR="00DF410E" w:rsidRDefault="00CE7F43">
      <w:pPr>
        <w:pStyle w:val="pheading"/>
      </w:pPr>
      <w:r>
        <w:t>- Prescriptions générales</w:t>
      </w:r>
    </w:p>
    <w:p w14:paraId="372D69B6" w14:textId="77777777" w:rsidR="00DF410E" w:rsidRDefault="00CE7F43">
      <w:r>
        <w:t xml:space="preserve">Un dispositif casse-goutte est </w:t>
      </w:r>
      <w:r>
        <w:rPr>
          <w:rStyle w:val="optioncarChar"/>
        </w:rPr>
        <w:t xml:space="preserve">prévu </w:t>
      </w:r>
      <w:r>
        <w:t xml:space="preserve">(par défaut) </w:t>
      </w:r>
      <w:r>
        <w:rPr>
          <w:rStyle w:val="optioncarChar"/>
        </w:rPr>
        <w:t>/ ***</w:t>
      </w:r>
      <w:r>
        <w:t xml:space="preserve"> au pied des colonnes extérieures.</w:t>
      </w:r>
    </w:p>
    <w:p w14:paraId="643D3EF6" w14:textId="77777777" w:rsidR="00DF410E" w:rsidRDefault="00CE7F43">
      <w:pPr>
        <w:pStyle w:val="pheading"/>
      </w:pPr>
      <w:r>
        <w:t>DOCUMENTS DE RÉFÉRENCE COMPLÉMENTAIRES</w:t>
      </w:r>
    </w:p>
    <w:p w14:paraId="1CA54706" w14:textId="77777777" w:rsidR="00DF410E" w:rsidRDefault="00CE7F43">
      <w:pPr>
        <w:pStyle w:val="pheading"/>
      </w:pPr>
      <w:r>
        <w:t>- Matériau</w:t>
      </w:r>
    </w:p>
    <w:p w14:paraId="0BA27AFD" w14:textId="77777777" w:rsidR="00DF410E" w:rsidRDefault="00CE7F43">
      <w:r>
        <w:t>[NBN EN 1611-1, Bois sciés - Classement d'aspect des bois résineux - Partie 1: Epicéas, sapins, pins et Douglas Européens]</w:t>
      </w:r>
    </w:p>
    <w:p w14:paraId="7354EC29" w14:textId="77777777" w:rsidR="00DF410E" w:rsidRDefault="00CE7F43">
      <w:r>
        <w:t>[NBN EN 975-1, Bois sciés - Classement d'aspect des bois feuillus - Partie 1: Chêne et hêtre]</w:t>
      </w:r>
    </w:p>
    <w:p w14:paraId="1BF4E033" w14:textId="77777777" w:rsidR="00DF410E" w:rsidRDefault="00CE7F43">
      <w:r>
        <w:t>[NBN EN 975-2, Bois sciés - Classement d'aspect des bois feuillus - Partie 2: Peuplier]</w:t>
      </w:r>
    </w:p>
    <w:p w14:paraId="1C49CF62" w14:textId="77777777" w:rsidR="00DF410E" w:rsidRDefault="00CE7F43">
      <w:pPr>
        <w:pStyle w:val="pheading"/>
      </w:pPr>
      <w:r>
        <w:t>MESURAGE</w:t>
      </w:r>
    </w:p>
    <w:p w14:paraId="56A5A7AF" w14:textId="77777777" w:rsidR="00DF410E" w:rsidRDefault="00CE7F43">
      <w:pPr>
        <w:pStyle w:val="pheading"/>
      </w:pPr>
      <w:r>
        <w:t>- unité de mesure:</w:t>
      </w:r>
    </w:p>
    <w:p w14:paraId="2C1ED08C" w14:textId="77777777" w:rsidR="00DF410E" w:rsidRDefault="00CE7F43">
      <w:r>
        <w:rPr>
          <w:rStyle w:val="optioncarChar"/>
        </w:rPr>
        <w:t>m³ </w:t>
      </w:r>
      <w:r>
        <w:t>(par défaut)</w:t>
      </w:r>
      <w:r>
        <w:rPr>
          <w:rStyle w:val="optioncarChar"/>
        </w:rPr>
        <w:t> / m / pc</w:t>
      </w:r>
    </w:p>
    <w:p w14:paraId="35335AE2" w14:textId="77777777" w:rsidR="00DF410E" w:rsidRDefault="00CE7F43">
      <w:r>
        <w:rPr>
          <w:b/>
          <w:i/>
        </w:rPr>
        <w:t>(Soit par défaut)</w:t>
      </w:r>
    </w:p>
    <w:p w14:paraId="0E3269A5" w14:textId="77777777" w:rsidR="00DF410E" w:rsidRDefault="00CE7F43">
      <w:r>
        <w:rPr>
          <w:rStyle w:val="soitChar"/>
        </w:rPr>
        <w:t>1.    m³ </w:t>
      </w:r>
    </w:p>
    <w:p w14:paraId="3F0B94BE" w14:textId="77777777" w:rsidR="00DF410E" w:rsidRDefault="00CE7F43">
      <w:r>
        <w:rPr>
          <w:b/>
          <w:i/>
        </w:rPr>
        <w:t>(Soit)</w:t>
      </w:r>
    </w:p>
    <w:p w14:paraId="3A560089" w14:textId="77777777" w:rsidR="00DF410E" w:rsidRDefault="00CE7F43">
      <w:r>
        <w:rPr>
          <w:rStyle w:val="soitChar"/>
        </w:rPr>
        <w:t>2.    m </w:t>
      </w:r>
    </w:p>
    <w:p w14:paraId="105F5480" w14:textId="77777777" w:rsidR="00DF410E" w:rsidRDefault="00CE7F43">
      <w:r>
        <w:rPr>
          <w:b/>
          <w:i/>
        </w:rPr>
        <w:t>(Soit)</w:t>
      </w:r>
    </w:p>
    <w:p w14:paraId="343965FA" w14:textId="77777777" w:rsidR="00DF410E" w:rsidRDefault="00CE7F43">
      <w:r>
        <w:rPr>
          <w:rStyle w:val="soitChar"/>
        </w:rPr>
        <w:t>3.    pc</w:t>
      </w:r>
    </w:p>
    <w:p w14:paraId="1909F97F" w14:textId="77777777" w:rsidR="00DF410E" w:rsidRDefault="00CE7F43">
      <w:pPr>
        <w:pStyle w:val="pheading"/>
      </w:pPr>
      <w:r>
        <w:t>- code de mesurage:</w:t>
      </w:r>
    </w:p>
    <w:p w14:paraId="2EB5302A" w14:textId="77777777" w:rsidR="00DF410E" w:rsidRDefault="00CE7F43">
      <w:pPr>
        <w:jc w:val="both"/>
      </w:pPr>
      <w:r>
        <w:rPr>
          <w:rStyle w:val="optioncarChar"/>
        </w:rPr>
        <w:t> Volume brut </w:t>
      </w:r>
      <w:r>
        <w:t>(par défaut) </w:t>
      </w:r>
      <w:r>
        <w:rPr>
          <w:rStyle w:val="optioncarChar"/>
        </w:rPr>
        <w:t>/ longueur brute / quantité nette</w:t>
      </w:r>
    </w:p>
    <w:p w14:paraId="7805897B" w14:textId="77777777" w:rsidR="00DF410E" w:rsidRDefault="00CE7F43">
      <w:pPr>
        <w:jc w:val="both"/>
      </w:pPr>
      <w:r>
        <w:rPr>
          <w:b/>
          <w:i/>
        </w:rPr>
        <w:t>(Soit par défaut)</w:t>
      </w:r>
    </w:p>
    <w:p w14:paraId="077825CE" w14:textId="77777777" w:rsidR="00DF410E" w:rsidRDefault="00CE7F43">
      <w:pPr>
        <w:jc w:val="both"/>
      </w:pPr>
      <w:r>
        <w:rPr>
          <w:rStyle w:val="soitChar"/>
        </w:rPr>
        <w:t>1.   </w:t>
      </w:r>
      <w:r>
        <w:rPr>
          <w:rStyle w:val="soitChar"/>
          <w:u w:val="single"/>
        </w:rPr>
        <w:t> Volume brut :</w:t>
      </w:r>
    </w:p>
    <w:p w14:paraId="274EF587" w14:textId="77777777" w:rsidR="00DF410E" w:rsidRDefault="00CE7F43">
      <w:pPr>
        <w:jc w:val="both"/>
      </w:pPr>
      <w:r>
        <w:rPr>
          <w:rStyle w:val="soitChar"/>
        </w:rPr>
        <w:t>Le volume brut d’une colonne est calculé suivant le volume du plus petit parallélépipède rectangle pouvant inclure l’élément.</w:t>
      </w:r>
    </w:p>
    <w:p w14:paraId="1B2DFD88" w14:textId="77777777" w:rsidR="00DF410E" w:rsidRDefault="00CE7F43">
      <w:pPr>
        <w:jc w:val="both"/>
      </w:pPr>
      <w:r>
        <w:rPr>
          <w:b/>
          <w:i/>
        </w:rPr>
        <w:t> (Soit)</w:t>
      </w:r>
    </w:p>
    <w:p w14:paraId="4E641ACE" w14:textId="77777777" w:rsidR="00DF410E" w:rsidRDefault="00CE7F43">
      <w:pPr>
        <w:jc w:val="both"/>
      </w:pPr>
      <w:r>
        <w:rPr>
          <w:rStyle w:val="soitChar"/>
        </w:rPr>
        <w:t>2.   </w:t>
      </w:r>
      <w:r>
        <w:rPr>
          <w:rStyle w:val="soitChar"/>
          <w:u w:val="single"/>
        </w:rPr>
        <w:t> Longueur brute :</w:t>
      </w:r>
    </w:p>
    <w:p w14:paraId="716526DA"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5090671D" w14:textId="77777777" w:rsidR="00DF410E" w:rsidRDefault="00CE7F43">
      <w:pPr>
        <w:jc w:val="both"/>
      </w:pPr>
      <w:r>
        <w:rPr>
          <w:rStyle w:val="soitChar"/>
        </w:rPr>
        <w:t>La longueur totale des colonnes ayant la même section et les mêmes caractéristiques est comptabilisée.</w:t>
      </w:r>
    </w:p>
    <w:p w14:paraId="4ED0AF5B" w14:textId="77777777" w:rsidR="00DF410E" w:rsidRDefault="00CE7F43">
      <w:pPr>
        <w:jc w:val="both"/>
      </w:pPr>
      <w:r>
        <w:rPr>
          <w:b/>
          <w:i/>
        </w:rPr>
        <w:t> (Soit)</w:t>
      </w:r>
    </w:p>
    <w:p w14:paraId="36E41E82" w14:textId="77777777" w:rsidR="00DF410E" w:rsidRDefault="00CE7F43">
      <w:pPr>
        <w:jc w:val="both"/>
      </w:pPr>
      <w:r>
        <w:rPr>
          <w:rStyle w:val="soitChar"/>
        </w:rPr>
        <w:t>3.    </w:t>
      </w:r>
      <w:r>
        <w:rPr>
          <w:rStyle w:val="soitChar"/>
          <w:u w:val="single"/>
        </w:rPr>
        <w:t>Quantité nette :</w:t>
      </w:r>
    </w:p>
    <w:p w14:paraId="68734301" w14:textId="77777777" w:rsidR="00DF410E" w:rsidRDefault="00CE7F43">
      <w:pPr>
        <w:jc w:val="both"/>
      </w:pPr>
      <w:r>
        <w:rPr>
          <w:rStyle w:val="soitChar"/>
        </w:rPr>
        <w:t>Le nombre de colonnes ayant les mêmes dimensions et les mêmes caractéristiques est compatibilisé.</w:t>
      </w:r>
    </w:p>
    <w:p w14:paraId="28DE7F24" w14:textId="77777777" w:rsidR="00DF410E" w:rsidRDefault="00CE7F43">
      <w:pPr>
        <w:pStyle w:val="pheading"/>
      </w:pPr>
      <w:r>
        <w:t>- nature du marché:</w:t>
      </w:r>
    </w:p>
    <w:p w14:paraId="7AC052A1" w14:textId="77777777" w:rsidR="00DF410E" w:rsidRDefault="00CE7F43">
      <w:r>
        <w:rPr>
          <w:rStyle w:val="optioncarChar"/>
        </w:rPr>
        <w:t>QF </w:t>
      </w:r>
      <w:r>
        <w:t>(par défaut) </w:t>
      </w:r>
      <w:r>
        <w:rPr>
          <w:rStyle w:val="optioncarChar"/>
        </w:rPr>
        <w:t>/ QP</w:t>
      </w:r>
    </w:p>
    <w:p w14:paraId="3F2EE06D" w14:textId="77777777" w:rsidR="00DF410E" w:rsidRDefault="00CE7F43">
      <w:r>
        <w:rPr>
          <w:b/>
          <w:i/>
        </w:rPr>
        <w:t>(Soit par défaut)</w:t>
      </w:r>
    </w:p>
    <w:p w14:paraId="04648BD8" w14:textId="77777777" w:rsidR="00DF410E" w:rsidRDefault="00CE7F43">
      <w:r>
        <w:rPr>
          <w:rStyle w:val="soitChar"/>
        </w:rPr>
        <w:t>1.2.3      QF</w:t>
      </w:r>
    </w:p>
    <w:p w14:paraId="20559392" w14:textId="77777777" w:rsidR="00DF410E" w:rsidRDefault="00CE7F43">
      <w:r>
        <w:rPr>
          <w:b/>
          <w:i/>
        </w:rPr>
        <w:t>(Soit)</w:t>
      </w:r>
    </w:p>
    <w:p w14:paraId="0E0B0110" w14:textId="77777777" w:rsidR="00DF410E" w:rsidRDefault="00CE7F43">
      <w:r>
        <w:rPr>
          <w:rStyle w:val="soitChar"/>
        </w:rPr>
        <w:t>1.2.3      QP</w:t>
      </w:r>
    </w:p>
    <w:p w14:paraId="57347F0E" w14:textId="77777777" w:rsidR="00DF410E" w:rsidRDefault="00CE7F43">
      <w:pPr>
        <w:pStyle w:val="pheading"/>
      </w:pPr>
      <w:r>
        <w:t>AIDE</w:t>
      </w:r>
    </w:p>
    <w:p w14:paraId="13FB176D" w14:textId="77777777" w:rsidR="00DF410E" w:rsidRDefault="00CE7F43">
      <w:pPr>
        <w:jc w:val="both"/>
      </w:pPr>
      <w:r>
        <w:t>Le code suivant peut être utilisé pour la dénomination du poste :</w:t>
      </w:r>
    </w:p>
    <w:p w14:paraId="22BE742F" w14:textId="77777777" w:rsidR="00DF410E" w:rsidRDefault="00CE7F43">
      <w:pPr>
        <w:jc w:val="both"/>
      </w:pPr>
      <w:r>
        <w:t>BM 1 / 2 / 3 / 4 / 5</w:t>
      </w:r>
    </w:p>
    <w:p w14:paraId="7F7C02C4" w14:textId="77777777" w:rsidR="00DF410E" w:rsidRDefault="00CE7F43">
      <w:pPr>
        <w:jc w:val="both"/>
      </w:pPr>
      <w:r>
        <w:t>Avec :</w:t>
      </w:r>
    </w:p>
    <w:p w14:paraId="53831549" w14:textId="77777777" w:rsidR="00DF410E" w:rsidRDefault="00CE7F43">
      <w:pPr>
        <w:jc w:val="both"/>
      </w:pPr>
      <w:r>
        <w:t>BM pour bois massif</w:t>
      </w:r>
    </w:p>
    <w:p w14:paraId="66D46390" w14:textId="77777777" w:rsidR="00DF410E" w:rsidRDefault="00CE7F43">
      <w:pPr>
        <w:jc w:val="both"/>
      </w:pPr>
      <w:r>
        <w:t>1 : la classe de résistance des colonnes</w:t>
      </w:r>
    </w:p>
    <w:p w14:paraId="7CFC878A" w14:textId="77777777" w:rsidR="00DF410E" w:rsidRDefault="00CE7F43">
      <w:pPr>
        <w:jc w:val="both"/>
      </w:pPr>
      <w:r>
        <w:t>2 : la section</w:t>
      </w:r>
    </w:p>
    <w:p w14:paraId="7EE8BF7A" w14:textId="77777777" w:rsidR="00DF410E" w:rsidRDefault="00CE7F43">
      <w:pPr>
        <w:jc w:val="both"/>
      </w:pPr>
      <w:r>
        <w:t>3 : l’essence de bois</w:t>
      </w:r>
    </w:p>
    <w:p w14:paraId="42069F62" w14:textId="77777777" w:rsidR="00DF410E" w:rsidRDefault="00CE7F43">
      <w:pPr>
        <w:jc w:val="both"/>
      </w:pPr>
      <w:r>
        <w:t>4 : la classe d’emploi des colonnes</w:t>
      </w:r>
    </w:p>
    <w:p w14:paraId="131D5A61" w14:textId="77777777" w:rsidR="00DF410E" w:rsidRDefault="00CE7F43">
      <w:pPr>
        <w:jc w:val="both"/>
      </w:pPr>
      <w:r>
        <w:t>5 : la méthode utilisée pour garantir la durabilité des colonnes</w:t>
      </w:r>
    </w:p>
    <w:p w14:paraId="682104AA" w14:textId="77777777" w:rsidR="00DF410E" w:rsidRDefault="00CE7F43">
      <w:pPr>
        <w:jc w:val="both"/>
      </w:pPr>
      <w:r>
        <w:t>Ce qui donne, par exemple :</w:t>
      </w:r>
    </w:p>
    <w:p w14:paraId="55BCEE42" w14:textId="77777777" w:rsidR="00DF410E" w:rsidRDefault="00CE7F43">
      <w:pPr>
        <w:jc w:val="both"/>
      </w:pPr>
      <w:r>
        <w:t>BM C18 / 175x225 / Douglas / 2 / sans aubier.</w:t>
      </w:r>
    </w:p>
    <w:p w14:paraId="4C0D4785" w14:textId="77777777" w:rsidR="00DF410E" w:rsidRDefault="00CE7F43">
      <w:pPr>
        <w:pStyle w:val="Author-eSectionHeading6"/>
      </w:pPr>
      <w:bookmarkStart w:id="1568" w:name="_Toc178838664"/>
      <w:r>
        <w:t>24.12.1b Colonnes en bois massif à section circulaire CCTB 01.11</w:t>
      </w:r>
      <w:bookmarkEnd w:id="1568"/>
    </w:p>
    <w:p w14:paraId="347DA896" w14:textId="77777777" w:rsidR="00DF410E" w:rsidRDefault="00CE7F43">
      <w:pPr>
        <w:pStyle w:val="pheading"/>
      </w:pPr>
      <w:r>
        <w:t>DESCRIPTION</w:t>
      </w:r>
    </w:p>
    <w:p w14:paraId="53B95237" w14:textId="77777777" w:rsidR="00DF410E" w:rsidRDefault="00CE7F43">
      <w:pPr>
        <w:pStyle w:val="pheading"/>
      </w:pPr>
      <w:r>
        <w:t>- Définition / Comprend</w:t>
      </w:r>
    </w:p>
    <w:p w14:paraId="0793EC03" w14:textId="77777777" w:rsidR="00DF410E" w:rsidRDefault="00CE7F43">
      <w:r>
        <w:t>Il s'agit de l’ensemble des colonnes en bois à section circulaire.</w:t>
      </w:r>
    </w:p>
    <w:p w14:paraId="50D1F55F" w14:textId="77777777" w:rsidR="00DF410E" w:rsidRDefault="00CE7F43">
      <w:pPr>
        <w:pStyle w:val="pheading"/>
      </w:pPr>
      <w:r>
        <w:t>MATÉRIAUX</w:t>
      </w:r>
    </w:p>
    <w:p w14:paraId="21BF25E4" w14:textId="77777777" w:rsidR="00DF410E" w:rsidRDefault="00CE7F43">
      <w:pPr>
        <w:pStyle w:val="pheading"/>
      </w:pPr>
      <w:r>
        <w:t>- Caractéristiques générales</w:t>
      </w:r>
    </w:p>
    <w:p w14:paraId="3D1D5047" w14:textId="77777777" w:rsidR="00DF410E" w:rsidRDefault="00CE7F43">
      <w:pPr>
        <w:jc w:val="both"/>
      </w:pPr>
      <w:r>
        <w:t>A l’heure actuelle, il n’est pas possible de classer les bois ronds en termes de résistance selon les normes européennes. La norme [DIN 4074-2] est utilisée.</w:t>
      </w:r>
    </w:p>
    <w:p w14:paraId="289D9354" w14:textId="77777777" w:rsidR="00DF410E" w:rsidRDefault="00CE7F43">
      <w:pPr>
        <w:jc w:val="both"/>
      </w:pPr>
      <w:r>
        <w:t xml:space="preserve">Classe de résistance selon la [DIN 4074-2] : </w:t>
      </w:r>
      <w:r>
        <w:rPr>
          <w:rStyle w:val="optioncarChar"/>
        </w:rPr>
        <w:t>***</w:t>
      </w:r>
    </w:p>
    <w:p w14:paraId="4029C7B2" w14:textId="77777777" w:rsidR="00DF410E" w:rsidRDefault="00CE7F43">
      <w:pPr>
        <w:jc w:val="both"/>
      </w:pPr>
      <w:r>
        <w:t xml:space="preserve">Conicité maximale des colonnes : </w:t>
      </w:r>
      <w:r>
        <w:rPr>
          <w:rStyle w:val="optioncarChar"/>
        </w:rPr>
        <w:t>non-autorisée </w:t>
      </w:r>
      <w:r>
        <w:t>(par défaut)</w:t>
      </w:r>
      <w:r>
        <w:rPr>
          <w:rStyle w:val="optioncarChar"/>
        </w:rPr>
        <w:t xml:space="preserve"> / 5mm/m / 10 mm/m / ***</w:t>
      </w:r>
    </w:p>
    <w:p w14:paraId="1DDECAC3" w14:textId="77777777" w:rsidR="00DF410E" w:rsidRDefault="00CE7F43">
      <w:pPr>
        <w:jc w:val="both"/>
      </w:pPr>
      <w:r>
        <w:t xml:space="preserve">Diamètre de la section : </w:t>
      </w:r>
      <w:r>
        <w:rPr>
          <w:rStyle w:val="optioncarChar"/>
        </w:rPr>
        <w:t xml:space="preserve">Voir plans </w:t>
      </w:r>
      <w:r>
        <w:t xml:space="preserve">(par défaut) </w:t>
      </w:r>
      <w:r>
        <w:rPr>
          <w:rStyle w:val="optioncarChar"/>
        </w:rPr>
        <w:t>/ *** mm</w:t>
      </w:r>
    </w:p>
    <w:p w14:paraId="07155F2E" w14:textId="77777777" w:rsidR="00DF410E" w:rsidRDefault="00CE7F43">
      <w:pPr>
        <w:jc w:val="both"/>
      </w:pPr>
      <w:r>
        <w:t>Lorsqu’une conicité est autorisée, le diamètre prescrit est celui de la plus petite section.</w:t>
      </w:r>
    </w:p>
    <w:p w14:paraId="59F10DFF"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0FB2E8E0" w14:textId="77777777" w:rsidR="00DF410E" w:rsidRDefault="00CE7F43">
      <w:pPr>
        <w:jc w:val="both"/>
      </w:pPr>
      <w:r>
        <w:t xml:space="preserve">Classe d’emploi : </w:t>
      </w:r>
      <w:r>
        <w:rPr>
          <w:rStyle w:val="optioncarChar"/>
        </w:rPr>
        <w:t>1 / 2 / 3 / 4 / 5</w:t>
      </w:r>
    </w:p>
    <w:p w14:paraId="5D9C88CE" w14:textId="77777777" w:rsidR="00DF410E" w:rsidRDefault="00CE7F43">
      <w:pPr>
        <w:jc w:val="both"/>
      </w:pPr>
      <w:r>
        <w:t xml:space="preserve">La durabilité de la colonne, en fonction de sa classe d’emploi, est assurée par la mesure suivante : </w:t>
      </w:r>
      <w:r>
        <w:rPr>
          <w:rStyle w:val="optioncarChar"/>
        </w:rPr>
        <w:t xml:space="preserve">aucune mesure n’est nécessaire / bois hors aubier </w:t>
      </w:r>
      <w:r>
        <w:t>(par défaut) </w:t>
      </w:r>
      <w:r>
        <w:rPr>
          <w:rStyle w:val="optioncarChar"/>
        </w:rPr>
        <w:t>/ traitement A1 / traitement A2.1 / traitement A3 / ***</w:t>
      </w:r>
    </w:p>
    <w:p w14:paraId="59391FD9" w14:textId="77777777" w:rsidR="00DF410E" w:rsidRDefault="00CE7F43">
      <w:pPr>
        <w:pStyle w:val="pheading"/>
      </w:pPr>
      <w:r>
        <w:t>- Finitions</w:t>
      </w:r>
    </w:p>
    <w:p w14:paraId="7F87BFF0" w14:textId="77777777" w:rsidR="00DF410E" w:rsidRDefault="00CE7F43">
      <w:pPr>
        <w:jc w:val="both"/>
      </w:pPr>
      <w:r>
        <w:t xml:space="preserve">Les colonnes en bois massif à section circulaire sont </w:t>
      </w:r>
      <w:r>
        <w:rPr>
          <w:rStyle w:val="optioncarChar"/>
        </w:rPr>
        <w:t>rabotées</w:t>
      </w:r>
      <w:r>
        <w:t xml:space="preserve"> (par défaut)</w:t>
      </w:r>
      <w:r>
        <w:rPr>
          <w:rStyle w:val="optioncarChar"/>
        </w:rPr>
        <w:t xml:space="preserve"> / brutes de sciage / poncées / ***</w:t>
      </w:r>
    </w:p>
    <w:p w14:paraId="15DB60E9" w14:textId="77777777" w:rsidR="00DF410E" w:rsidRDefault="00CE7F43">
      <w:pPr>
        <w:jc w:val="both"/>
      </w:pPr>
      <w:r>
        <w:t xml:space="preserve">Les colonnes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1C2194E7" w14:textId="77777777" w:rsidR="00DF410E" w:rsidRDefault="00CE7F43">
      <w:pPr>
        <w:pStyle w:val="pheading"/>
      </w:pPr>
      <w:r>
        <w:t>EXÉCUTION / MISE EN ŒUVRE</w:t>
      </w:r>
    </w:p>
    <w:p w14:paraId="4F5A159E" w14:textId="77777777" w:rsidR="00DF410E" w:rsidRDefault="00CE7F43">
      <w:pPr>
        <w:pStyle w:val="pheading"/>
      </w:pPr>
      <w:r>
        <w:t>- Prescriptions générales</w:t>
      </w:r>
    </w:p>
    <w:p w14:paraId="4DFC34FA" w14:textId="77777777" w:rsidR="00DF410E" w:rsidRDefault="00CE7F43">
      <w:r>
        <w:t xml:space="preserve">Un dispositif casse-goutte est </w:t>
      </w:r>
      <w:r>
        <w:rPr>
          <w:rStyle w:val="optioncarChar"/>
        </w:rPr>
        <w:t>prévu</w:t>
      </w:r>
      <w:r>
        <w:t xml:space="preserve"> (par défaut) </w:t>
      </w:r>
      <w:r>
        <w:rPr>
          <w:rStyle w:val="optioncarChar"/>
        </w:rPr>
        <w:t>/ ***</w:t>
      </w:r>
      <w:r>
        <w:t xml:space="preserve"> au pied des colonnes extérieures.</w:t>
      </w:r>
    </w:p>
    <w:p w14:paraId="5F8927D8" w14:textId="77777777" w:rsidR="00DF410E" w:rsidRDefault="00CE7F43">
      <w:pPr>
        <w:pStyle w:val="pheading"/>
      </w:pPr>
      <w:r>
        <w:t>MESURAGE</w:t>
      </w:r>
    </w:p>
    <w:p w14:paraId="2BCA7F2F" w14:textId="77777777" w:rsidR="00DF410E" w:rsidRDefault="00CE7F43">
      <w:pPr>
        <w:pStyle w:val="pheading"/>
      </w:pPr>
      <w:r>
        <w:t>- unité de mesure:</w:t>
      </w:r>
    </w:p>
    <w:p w14:paraId="127DEF44" w14:textId="77777777" w:rsidR="00DF410E" w:rsidRDefault="00CE7F43">
      <w:r>
        <w:rPr>
          <w:rStyle w:val="optioncarChar"/>
        </w:rPr>
        <w:t>m³ </w:t>
      </w:r>
      <w:r>
        <w:t>(par défaut)</w:t>
      </w:r>
      <w:r>
        <w:rPr>
          <w:rStyle w:val="optioncarChar"/>
        </w:rPr>
        <w:t> / m / pc</w:t>
      </w:r>
    </w:p>
    <w:p w14:paraId="0450B83B" w14:textId="77777777" w:rsidR="00DF410E" w:rsidRDefault="00CE7F43">
      <w:r>
        <w:rPr>
          <w:b/>
          <w:i/>
        </w:rPr>
        <w:t>(Soit par défaut)</w:t>
      </w:r>
    </w:p>
    <w:p w14:paraId="27B86F93" w14:textId="77777777" w:rsidR="00DF410E" w:rsidRDefault="00CE7F43">
      <w:r>
        <w:rPr>
          <w:rStyle w:val="soitChar"/>
        </w:rPr>
        <w:t>1.    m³ </w:t>
      </w:r>
    </w:p>
    <w:p w14:paraId="699D2075" w14:textId="77777777" w:rsidR="00DF410E" w:rsidRDefault="00CE7F43">
      <w:r>
        <w:rPr>
          <w:b/>
          <w:i/>
        </w:rPr>
        <w:t>(Soit)</w:t>
      </w:r>
    </w:p>
    <w:p w14:paraId="4BF32256" w14:textId="77777777" w:rsidR="00DF410E" w:rsidRDefault="00CE7F43">
      <w:r>
        <w:rPr>
          <w:rStyle w:val="soitChar"/>
        </w:rPr>
        <w:t>2.    m </w:t>
      </w:r>
    </w:p>
    <w:p w14:paraId="4979246B" w14:textId="77777777" w:rsidR="00DF410E" w:rsidRDefault="00CE7F43">
      <w:r>
        <w:rPr>
          <w:b/>
          <w:i/>
        </w:rPr>
        <w:t>(Soit)</w:t>
      </w:r>
    </w:p>
    <w:p w14:paraId="4776FB48" w14:textId="77777777" w:rsidR="00DF410E" w:rsidRDefault="00CE7F43">
      <w:r>
        <w:rPr>
          <w:rStyle w:val="soitChar"/>
        </w:rPr>
        <w:t>3.    pc</w:t>
      </w:r>
    </w:p>
    <w:p w14:paraId="3A92CDE7" w14:textId="77777777" w:rsidR="00DF410E" w:rsidRDefault="00CE7F43">
      <w:pPr>
        <w:pStyle w:val="pheading"/>
      </w:pPr>
      <w:r>
        <w:t>- code de mesurage:</w:t>
      </w:r>
    </w:p>
    <w:p w14:paraId="2CF1DB1B" w14:textId="77777777" w:rsidR="00DF410E" w:rsidRDefault="00CE7F43">
      <w:pPr>
        <w:jc w:val="both"/>
      </w:pPr>
      <w:r>
        <w:rPr>
          <w:rStyle w:val="optioncarChar"/>
        </w:rPr>
        <w:t> Volume brut </w:t>
      </w:r>
      <w:r>
        <w:t>(par défaut) </w:t>
      </w:r>
      <w:r>
        <w:rPr>
          <w:rStyle w:val="optioncarChar"/>
        </w:rPr>
        <w:t>/ longueur brute / quantité nette</w:t>
      </w:r>
    </w:p>
    <w:p w14:paraId="556F5986" w14:textId="77777777" w:rsidR="00DF410E" w:rsidRDefault="00CE7F43">
      <w:pPr>
        <w:jc w:val="both"/>
      </w:pPr>
      <w:r>
        <w:rPr>
          <w:b/>
          <w:i/>
        </w:rPr>
        <w:t>(Soit par défaut)</w:t>
      </w:r>
    </w:p>
    <w:p w14:paraId="2BCA44CB" w14:textId="77777777" w:rsidR="00DF410E" w:rsidRDefault="00CE7F43">
      <w:pPr>
        <w:jc w:val="both"/>
      </w:pPr>
      <w:r>
        <w:rPr>
          <w:rStyle w:val="soitChar"/>
        </w:rPr>
        <w:t>1.   </w:t>
      </w:r>
      <w:r>
        <w:rPr>
          <w:rStyle w:val="soitChar"/>
          <w:u w:val="single"/>
        </w:rPr>
        <w:t> Volume brut :</w:t>
      </w:r>
    </w:p>
    <w:p w14:paraId="09BDF4CB" w14:textId="77777777" w:rsidR="00DF410E" w:rsidRDefault="00CE7F43">
      <w:pPr>
        <w:jc w:val="both"/>
      </w:pPr>
      <w:r>
        <w:rPr>
          <w:rStyle w:val="soitChar"/>
        </w:rPr>
        <w:t>Le volume brut d’une colonne est calculé suivant le volume du plus petit parallélépipède rectangle pouvant inclure l’élément.</w:t>
      </w:r>
    </w:p>
    <w:p w14:paraId="5764C971" w14:textId="77777777" w:rsidR="00DF410E" w:rsidRDefault="00CE7F43">
      <w:pPr>
        <w:jc w:val="both"/>
      </w:pPr>
      <w:r>
        <w:rPr>
          <w:b/>
          <w:i/>
        </w:rPr>
        <w:t> (Soit)</w:t>
      </w:r>
    </w:p>
    <w:p w14:paraId="5090C8A5" w14:textId="77777777" w:rsidR="00DF410E" w:rsidRDefault="00CE7F43">
      <w:pPr>
        <w:jc w:val="both"/>
      </w:pPr>
      <w:r>
        <w:rPr>
          <w:rStyle w:val="soitChar"/>
        </w:rPr>
        <w:t>2.   </w:t>
      </w:r>
      <w:r>
        <w:rPr>
          <w:rStyle w:val="soitChar"/>
          <w:u w:val="single"/>
        </w:rPr>
        <w:t> Longueur brute :</w:t>
      </w:r>
    </w:p>
    <w:p w14:paraId="5D6E3E8D"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6962948A" w14:textId="77777777" w:rsidR="00DF410E" w:rsidRDefault="00CE7F43">
      <w:pPr>
        <w:jc w:val="both"/>
      </w:pPr>
      <w:r>
        <w:rPr>
          <w:rStyle w:val="soitChar"/>
        </w:rPr>
        <w:t>La longueur totale des colonnes ayant la même section et les mêmes caractéristiques est comptabilisée.</w:t>
      </w:r>
    </w:p>
    <w:p w14:paraId="05E972DD" w14:textId="77777777" w:rsidR="00DF410E" w:rsidRDefault="00CE7F43">
      <w:pPr>
        <w:jc w:val="both"/>
      </w:pPr>
      <w:r>
        <w:rPr>
          <w:b/>
          <w:i/>
        </w:rPr>
        <w:t> (Soit)</w:t>
      </w:r>
    </w:p>
    <w:p w14:paraId="67E83E02" w14:textId="77777777" w:rsidR="00DF410E" w:rsidRDefault="00CE7F43">
      <w:pPr>
        <w:jc w:val="both"/>
      </w:pPr>
      <w:r>
        <w:rPr>
          <w:rStyle w:val="soitChar"/>
        </w:rPr>
        <w:t>3.    </w:t>
      </w:r>
      <w:r>
        <w:rPr>
          <w:rStyle w:val="soitChar"/>
          <w:u w:val="single"/>
        </w:rPr>
        <w:t>Quantité nette :</w:t>
      </w:r>
    </w:p>
    <w:p w14:paraId="539FB5A2" w14:textId="77777777" w:rsidR="00DF410E" w:rsidRDefault="00CE7F43">
      <w:pPr>
        <w:jc w:val="both"/>
      </w:pPr>
      <w:r>
        <w:rPr>
          <w:rStyle w:val="soitChar"/>
        </w:rPr>
        <w:t>Le nombre de colonnes ayant les mêmes dimensions et les mêmes caractéristiques est compatibilisé.</w:t>
      </w:r>
    </w:p>
    <w:p w14:paraId="3107D8B3" w14:textId="77777777" w:rsidR="00DF410E" w:rsidRDefault="00CE7F43">
      <w:pPr>
        <w:pStyle w:val="pheading"/>
      </w:pPr>
      <w:r>
        <w:t>- nature du marché:</w:t>
      </w:r>
    </w:p>
    <w:p w14:paraId="1511247F" w14:textId="77777777" w:rsidR="00DF410E" w:rsidRDefault="00CE7F43">
      <w:r>
        <w:rPr>
          <w:rStyle w:val="optioncarChar"/>
        </w:rPr>
        <w:t>QF </w:t>
      </w:r>
      <w:r>
        <w:t>(par défaut) </w:t>
      </w:r>
      <w:r>
        <w:rPr>
          <w:rStyle w:val="optioncarChar"/>
        </w:rPr>
        <w:t>/ QP</w:t>
      </w:r>
    </w:p>
    <w:p w14:paraId="4DB1CAF7" w14:textId="77777777" w:rsidR="00DF410E" w:rsidRDefault="00CE7F43">
      <w:r>
        <w:rPr>
          <w:b/>
          <w:i/>
        </w:rPr>
        <w:t>(Soit par défaut)</w:t>
      </w:r>
    </w:p>
    <w:p w14:paraId="38C453BA" w14:textId="77777777" w:rsidR="00DF410E" w:rsidRDefault="00CE7F43">
      <w:r>
        <w:rPr>
          <w:rStyle w:val="soitChar"/>
        </w:rPr>
        <w:t>1.2.3      QF</w:t>
      </w:r>
    </w:p>
    <w:p w14:paraId="5ECCD2EC" w14:textId="77777777" w:rsidR="00DF410E" w:rsidRDefault="00CE7F43">
      <w:r>
        <w:rPr>
          <w:b/>
          <w:i/>
        </w:rPr>
        <w:t>(Soit)</w:t>
      </w:r>
    </w:p>
    <w:p w14:paraId="72C48518" w14:textId="77777777" w:rsidR="00DF410E" w:rsidRDefault="00CE7F43">
      <w:r>
        <w:rPr>
          <w:rStyle w:val="soitChar"/>
        </w:rPr>
        <w:t>1.2.3      QP</w:t>
      </w:r>
    </w:p>
    <w:p w14:paraId="7832CFFE" w14:textId="77777777" w:rsidR="00DF410E" w:rsidRDefault="00CE7F43">
      <w:pPr>
        <w:pStyle w:val="pheading"/>
      </w:pPr>
      <w:r>
        <w:t>AIDE</w:t>
      </w:r>
    </w:p>
    <w:p w14:paraId="5062413A" w14:textId="77777777" w:rsidR="00DF410E" w:rsidRDefault="00CE7F43">
      <w:pPr>
        <w:jc w:val="both"/>
      </w:pPr>
      <w:r>
        <w:t>Le code suivant peut être utilisé pour la dénomination du poste :</w:t>
      </w:r>
    </w:p>
    <w:p w14:paraId="646D34F2" w14:textId="77777777" w:rsidR="00DF410E" w:rsidRDefault="00CE7F43">
      <w:pPr>
        <w:jc w:val="both"/>
      </w:pPr>
      <w:r>
        <w:t>BM 1 / 2 / 3 / 4</w:t>
      </w:r>
    </w:p>
    <w:p w14:paraId="4C9510D0" w14:textId="77777777" w:rsidR="00DF410E" w:rsidRDefault="00CE7F43">
      <w:pPr>
        <w:jc w:val="both"/>
      </w:pPr>
      <w:r>
        <w:t>Avec :</w:t>
      </w:r>
    </w:p>
    <w:p w14:paraId="0DB2E0CB" w14:textId="77777777" w:rsidR="00DF410E" w:rsidRDefault="00CE7F43">
      <w:pPr>
        <w:jc w:val="both"/>
      </w:pPr>
      <w:r>
        <w:t>BM pour bois massif</w:t>
      </w:r>
    </w:p>
    <w:p w14:paraId="22668E6F" w14:textId="77777777" w:rsidR="00DF410E" w:rsidRDefault="00CE7F43">
      <w:pPr>
        <w:jc w:val="both"/>
      </w:pPr>
      <w:r>
        <w:t>1 : le diamètre</w:t>
      </w:r>
    </w:p>
    <w:p w14:paraId="53730520" w14:textId="77777777" w:rsidR="00DF410E" w:rsidRDefault="00CE7F43">
      <w:pPr>
        <w:jc w:val="both"/>
      </w:pPr>
      <w:r>
        <w:t>2 : l’essence de bois</w:t>
      </w:r>
    </w:p>
    <w:p w14:paraId="7E987D6E" w14:textId="77777777" w:rsidR="00DF410E" w:rsidRDefault="00CE7F43">
      <w:pPr>
        <w:jc w:val="both"/>
      </w:pPr>
      <w:r>
        <w:t>3 : la classe d’emploi de l’élément</w:t>
      </w:r>
    </w:p>
    <w:p w14:paraId="3B10D8E0" w14:textId="77777777" w:rsidR="00DF410E" w:rsidRDefault="00CE7F43">
      <w:pPr>
        <w:jc w:val="both"/>
      </w:pPr>
      <w:r>
        <w:t>4 : la méthode utilisée pour garantir la durabilité de l’élément</w:t>
      </w:r>
    </w:p>
    <w:p w14:paraId="105CE338" w14:textId="77777777" w:rsidR="00DF410E" w:rsidRDefault="00CE7F43">
      <w:pPr>
        <w:jc w:val="both"/>
      </w:pPr>
      <w:r>
        <w:t> </w:t>
      </w:r>
    </w:p>
    <w:p w14:paraId="568586A7" w14:textId="77777777" w:rsidR="00DF410E" w:rsidRDefault="00CE7F43">
      <w:pPr>
        <w:jc w:val="both"/>
      </w:pPr>
      <w:r>
        <w:t>Ce qui donne, par exemple :</w:t>
      </w:r>
    </w:p>
    <w:p w14:paraId="5B8B8E0E" w14:textId="77777777" w:rsidR="00DF410E" w:rsidRDefault="00CE7F43">
      <w:pPr>
        <w:jc w:val="both"/>
      </w:pPr>
      <w:r>
        <w:t>BM 200 / Douglas / 2 / sans aubier</w:t>
      </w:r>
    </w:p>
    <w:p w14:paraId="13D5A3AD" w14:textId="77777777" w:rsidR="00DF410E" w:rsidRDefault="00CE7F43">
      <w:pPr>
        <w:pStyle w:val="Author-eSectionHeading5"/>
      </w:pPr>
      <w:bookmarkStart w:id="1569" w:name="_Toc178838665"/>
      <w:r>
        <w:t>24.12.2 Colonnes en bois lamellé collé CCTB 01.07</w:t>
      </w:r>
      <w:bookmarkEnd w:id="1569"/>
    </w:p>
    <w:p w14:paraId="05F4EF9B" w14:textId="77777777" w:rsidR="00DF410E" w:rsidRDefault="00CE7F43">
      <w:pPr>
        <w:pStyle w:val="pheading"/>
      </w:pPr>
      <w:r>
        <w:t>DESCRIPTION</w:t>
      </w:r>
    </w:p>
    <w:p w14:paraId="2098B2ED" w14:textId="77777777" w:rsidR="00DF410E" w:rsidRDefault="00CE7F43">
      <w:pPr>
        <w:pStyle w:val="pheading"/>
      </w:pPr>
      <w:r>
        <w:t>- Définition / Comprend</w:t>
      </w:r>
    </w:p>
    <w:p w14:paraId="1D14E89E" w14:textId="77777777" w:rsidR="00DF410E" w:rsidRDefault="00CE7F43">
      <w:r>
        <w:t xml:space="preserve">Il s’agit des colonnes en bois lamellé collé. La notion de bois lamellé collé est expliquée au </w:t>
      </w:r>
      <w:hyperlink w:anchor="89" w:history="1">
        <w:r>
          <w:t>24 Superstructures en bois</w:t>
        </w:r>
      </w:hyperlink>
      <w:r>
        <w:t>.</w:t>
      </w:r>
    </w:p>
    <w:p w14:paraId="462CC9EB" w14:textId="77777777" w:rsidR="00DF410E" w:rsidRDefault="00CE7F43">
      <w:pPr>
        <w:pStyle w:val="Author-eSectionHeading6"/>
      </w:pPr>
      <w:bookmarkStart w:id="1570" w:name="_Toc178838666"/>
      <w:r>
        <w:t>24.12.2a Colonnes en lamellé collé à inertie constante CCTB 01.11</w:t>
      </w:r>
      <w:bookmarkEnd w:id="1570"/>
    </w:p>
    <w:p w14:paraId="3F4B1204" w14:textId="77777777" w:rsidR="00DF410E" w:rsidRDefault="00CE7F43">
      <w:pPr>
        <w:pStyle w:val="pheading"/>
      </w:pPr>
      <w:r>
        <w:t>DESCRIPTION</w:t>
      </w:r>
    </w:p>
    <w:p w14:paraId="3DFEEE88" w14:textId="77777777" w:rsidR="00DF410E" w:rsidRDefault="00CE7F43">
      <w:pPr>
        <w:pStyle w:val="pheading"/>
      </w:pPr>
      <w:r>
        <w:t>- Définition / Comprend</w:t>
      </w:r>
    </w:p>
    <w:p w14:paraId="7811B164" w14:textId="77777777" w:rsidR="00DF410E" w:rsidRDefault="00CE7F43">
      <w:r>
        <w:t>Il s'agit de l’ensemble des colonnes en bois lamellé collé à inertie constante.</w:t>
      </w:r>
    </w:p>
    <w:p w14:paraId="59CF4F4C" w14:textId="77777777" w:rsidR="00DF410E" w:rsidRDefault="00CE7F43">
      <w:pPr>
        <w:pStyle w:val="pheading"/>
      </w:pPr>
      <w:r>
        <w:t>MATÉRIAUX</w:t>
      </w:r>
    </w:p>
    <w:p w14:paraId="01220E20" w14:textId="77777777" w:rsidR="00DF410E" w:rsidRDefault="00CE7F43">
      <w:pPr>
        <w:pStyle w:val="pheading"/>
      </w:pPr>
      <w:r>
        <w:t>- Caractéristiques générales</w:t>
      </w:r>
    </w:p>
    <w:p w14:paraId="12848A3D" w14:textId="77777777" w:rsidR="00DF410E" w:rsidRDefault="00CE7F43">
      <w:pPr>
        <w:jc w:val="both"/>
      </w:pPr>
      <w:r>
        <w:t xml:space="preserve">Classe de résistance : </w:t>
      </w:r>
      <w:r>
        <w:rPr>
          <w:rStyle w:val="optioncarChar"/>
        </w:rPr>
        <w:t>GL24h</w:t>
      </w:r>
      <w:r>
        <w:t> (par défaut)</w:t>
      </w:r>
      <w:r>
        <w:rPr>
          <w:rStyle w:val="optioncarChar"/>
        </w:rPr>
        <w:t xml:space="preserve"> / GL24c / GL28h / GL28c / ***</w:t>
      </w:r>
    </w:p>
    <w:p w14:paraId="01B80AE0" w14:textId="77777777" w:rsidR="00DF410E" w:rsidRDefault="00CE7F43">
      <w:pPr>
        <w:jc w:val="both"/>
      </w:pPr>
      <w:r>
        <w:t>Dimensions de la section :</w:t>
      </w:r>
      <w:r>
        <w:rPr>
          <w:rStyle w:val="optioncarChar"/>
        </w:rPr>
        <w:t xml:space="preserve"> Voir plans </w:t>
      </w:r>
      <w:r>
        <w:t>(par défaut)</w:t>
      </w:r>
      <w:r>
        <w:rPr>
          <w:rStyle w:val="optioncarChar"/>
        </w:rPr>
        <w:t xml:space="preserve"> / *** x *** mm²</w:t>
      </w:r>
    </w:p>
    <w:p w14:paraId="0C85E1A6"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072E43DD" w14:textId="77777777" w:rsidR="00DF410E" w:rsidRDefault="00CE7F43">
      <w:pPr>
        <w:jc w:val="both"/>
      </w:pPr>
      <w:r>
        <w:t xml:space="preserve">Classe d’emploi : </w:t>
      </w:r>
      <w:r>
        <w:rPr>
          <w:rStyle w:val="optioncarChar"/>
        </w:rPr>
        <w:t>1 / 2 / 3 / 4 / 5</w:t>
      </w:r>
    </w:p>
    <w:p w14:paraId="14EE17A2" w14:textId="77777777" w:rsidR="00DF410E" w:rsidRDefault="00CE7F43">
      <w:pPr>
        <w:jc w:val="both"/>
      </w:pPr>
      <w:r>
        <w:t xml:space="preserve">Classe d’émission de formaldéhyde : </w:t>
      </w:r>
      <w:r>
        <w:rPr>
          <w:rStyle w:val="optioncarChar"/>
        </w:rPr>
        <w:t xml:space="preserve">E1 </w:t>
      </w:r>
      <w:r>
        <w:t xml:space="preserve">(par défaut) </w:t>
      </w:r>
      <w:r>
        <w:rPr>
          <w:rStyle w:val="optioncarChar"/>
        </w:rPr>
        <w:t>/ E2</w:t>
      </w:r>
    </w:p>
    <w:p w14:paraId="0D0D6415" w14:textId="77777777" w:rsidR="00DF410E" w:rsidRDefault="00CE7F43">
      <w:pPr>
        <w:jc w:val="both"/>
      </w:pPr>
      <w:r>
        <w:t xml:space="preserve">La durabilité des colonnes,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traitement A3 / ***</w:t>
      </w:r>
    </w:p>
    <w:p w14:paraId="55C533BC" w14:textId="77777777" w:rsidR="00DF410E" w:rsidRDefault="00CE7F43">
      <w:pPr>
        <w:pStyle w:val="pheading"/>
      </w:pPr>
      <w:r>
        <w:t>- Finitions</w:t>
      </w:r>
    </w:p>
    <w:p w14:paraId="095E9B0A" w14:textId="77777777" w:rsidR="00DF410E" w:rsidRDefault="00CE7F43">
      <w:r>
        <w:t xml:space="preserve">Les colonnes en bois lamellé collé sont </w:t>
      </w:r>
      <w:r>
        <w:rPr>
          <w:rStyle w:val="optioncarChar"/>
        </w:rPr>
        <w:t>rabotées</w:t>
      </w:r>
      <w:r>
        <w:t xml:space="preserve"> (par défaut)</w:t>
      </w:r>
      <w:r>
        <w:rPr>
          <w:rStyle w:val="optioncarChar"/>
        </w:rPr>
        <w:t xml:space="preserve"> /</w:t>
      </w:r>
      <w:r>
        <w:t> </w:t>
      </w:r>
      <w:r>
        <w:rPr>
          <w:rStyle w:val="optioncarChar"/>
        </w:rPr>
        <w:t>brutes de sciage / poncées / *** </w:t>
      </w:r>
      <w:r>
        <w:t>sur </w:t>
      </w:r>
      <w:r>
        <w:rPr>
          <w:rStyle w:val="optioncarChar"/>
        </w:rPr>
        <w:t>1 / 2 / 3 / 4 </w:t>
      </w:r>
      <w:r>
        <w:t>faces</w:t>
      </w:r>
    </w:p>
    <w:p w14:paraId="0D6E8170" w14:textId="77777777" w:rsidR="00DF410E" w:rsidRDefault="00CE7F43">
      <w:r>
        <w:t xml:space="preserve">Les arrêtes sont </w:t>
      </w:r>
      <w:r>
        <w:rPr>
          <w:rStyle w:val="optioncarChar"/>
        </w:rPr>
        <w:t>vives</w:t>
      </w:r>
      <w:r>
        <w:t xml:space="preserve"> (par défaut)</w:t>
      </w:r>
      <w:r>
        <w:rPr>
          <w:rStyle w:val="optioncarChar"/>
        </w:rPr>
        <w:t xml:space="preserve"> / chanfreinées / ***</w:t>
      </w:r>
    </w:p>
    <w:p w14:paraId="63685F01" w14:textId="77777777" w:rsidR="00DF410E" w:rsidRDefault="00CE7F43">
      <w:r>
        <w:t xml:space="preserve">Les colonnes en bois lamellé collé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3611A7D8" w14:textId="77777777" w:rsidR="00DF410E" w:rsidRDefault="00CE7F43">
      <w:pPr>
        <w:pStyle w:val="pheading"/>
      </w:pPr>
      <w:r>
        <w:t>- Prescriptions complémentaires</w:t>
      </w:r>
    </w:p>
    <w:p w14:paraId="5E60D452" w14:textId="77777777" w:rsidR="00DF410E" w:rsidRDefault="00CE7F43">
      <w:r>
        <w:rPr>
          <w:rStyle w:val="facultChar"/>
        </w:rPr>
        <w:t>La qualité esthétique des colonnes en bois lamellé collé est</w:t>
      </w:r>
      <w:r>
        <w:t xml:space="preserve">  </w:t>
      </w:r>
      <w:r>
        <w:rPr>
          <w:rStyle w:val="optioncarChar"/>
        </w:rPr>
        <w:t>non-visible / visible industrielle / visible habitation</w:t>
      </w:r>
    </w:p>
    <w:p w14:paraId="43BE393D" w14:textId="77777777" w:rsidR="00DF410E" w:rsidRDefault="00CE7F43">
      <w:pPr>
        <w:pStyle w:val="pheading"/>
      </w:pPr>
      <w:r>
        <w:t>EXÉCUTION / MISE EN ŒUVRE</w:t>
      </w:r>
    </w:p>
    <w:p w14:paraId="73A69EC4" w14:textId="77777777" w:rsidR="00DF410E" w:rsidRDefault="00CE7F43">
      <w:pPr>
        <w:pStyle w:val="pheading"/>
      </w:pPr>
      <w:r>
        <w:t>- Prescriptions générales</w:t>
      </w:r>
    </w:p>
    <w:p w14:paraId="5A25BB97" w14:textId="77777777" w:rsidR="00DF410E" w:rsidRDefault="00CE7F43">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en bois lamellé collé extérieures.</w:t>
      </w:r>
    </w:p>
    <w:p w14:paraId="749A6964" w14:textId="77777777" w:rsidR="00DF410E" w:rsidRDefault="00CE7F43">
      <w:pPr>
        <w:pStyle w:val="pheading"/>
      </w:pPr>
      <w:r>
        <w:t>MESURAGE</w:t>
      </w:r>
    </w:p>
    <w:p w14:paraId="62CA23DA" w14:textId="77777777" w:rsidR="00DF410E" w:rsidRDefault="00CE7F43">
      <w:pPr>
        <w:pStyle w:val="pheading"/>
      </w:pPr>
      <w:r>
        <w:t>- unité de mesure:</w:t>
      </w:r>
    </w:p>
    <w:p w14:paraId="7FCE4C37" w14:textId="77777777" w:rsidR="00DF410E" w:rsidRDefault="00CE7F43">
      <w:r>
        <w:rPr>
          <w:rStyle w:val="optioncarChar"/>
        </w:rPr>
        <w:t>m³ </w:t>
      </w:r>
      <w:r>
        <w:t>(par défaut)</w:t>
      </w:r>
      <w:r>
        <w:rPr>
          <w:rStyle w:val="optioncarChar"/>
        </w:rPr>
        <w:t> / m / pc</w:t>
      </w:r>
    </w:p>
    <w:p w14:paraId="284EDB02" w14:textId="77777777" w:rsidR="00DF410E" w:rsidRDefault="00CE7F43">
      <w:r>
        <w:rPr>
          <w:b/>
          <w:i/>
        </w:rPr>
        <w:t>(Soit par défaut)</w:t>
      </w:r>
    </w:p>
    <w:p w14:paraId="7434AD78" w14:textId="77777777" w:rsidR="00DF410E" w:rsidRDefault="00CE7F43">
      <w:r>
        <w:rPr>
          <w:rStyle w:val="soitChar"/>
        </w:rPr>
        <w:t>1.    m³ </w:t>
      </w:r>
    </w:p>
    <w:p w14:paraId="23EFDB51" w14:textId="77777777" w:rsidR="00DF410E" w:rsidRDefault="00CE7F43">
      <w:r>
        <w:rPr>
          <w:b/>
          <w:i/>
        </w:rPr>
        <w:t>(Soit)</w:t>
      </w:r>
    </w:p>
    <w:p w14:paraId="43BD7CAE" w14:textId="77777777" w:rsidR="00DF410E" w:rsidRDefault="00CE7F43">
      <w:r>
        <w:rPr>
          <w:rStyle w:val="soitChar"/>
        </w:rPr>
        <w:t>2.    m </w:t>
      </w:r>
    </w:p>
    <w:p w14:paraId="5764F946" w14:textId="77777777" w:rsidR="00DF410E" w:rsidRDefault="00CE7F43">
      <w:r>
        <w:rPr>
          <w:b/>
          <w:i/>
        </w:rPr>
        <w:t>(Soit)</w:t>
      </w:r>
    </w:p>
    <w:p w14:paraId="57BBD901" w14:textId="77777777" w:rsidR="00DF410E" w:rsidRDefault="00CE7F43">
      <w:r>
        <w:rPr>
          <w:rStyle w:val="soitChar"/>
        </w:rPr>
        <w:t>3.    pc</w:t>
      </w:r>
    </w:p>
    <w:p w14:paraId="5C80EEC0" w14:textId="77777777" w:rsidR="00DF410E" w:rsidRDefault="00CE7F43">
      <w:pPr>
        <w:pStyle w:val="pheading"/>
      </w:pPr>
      <w:r>
        <w:t>- code de mesurage:</w:t>
      </w:r>
    </w:p>
    <w:p w14:paraId="59543176" w14:textId="77777777" w:rsidR="00DF410E" w:rsidRDefault="00CE7F43">
      <w:pPr>
        <w:jc w:val="both"/>
      </w:pPr>
      <w:r>
        <w:rPr>
          <w:rStyle w:val="optioncarChar"/>
        </w:rPr>
        <w:t> Volume brut </w:t>
      </w:r>
      <w:r>
        <w:t>(par défaut) </w:t>
      </w:r>
      <w:r>
        <w:rPr>
          <w:rStyle w:val="optioncarChar"/>
        </w:rPr>
        <w:t>/ longueur brute / quantité nette</w:t>
      </w:r>
    </w:p>
    <w:p w14:paraId="0DFA636C" w14:textId="77777777" w:rsidR="00DF410E" w:rsidRDefault="00CE7F43">
      <w:pPr>
        <w:jc w:val="both"/>
      </w:pPr>
      <w:r>
        <w:rPr>
          <w:b/>
          <w:i/>
        </w:rPr>
        <w:t>(Soit par défaut)</w:t>
      </w:r>
    </w:p>
    <w:p w14:paraId="59C4DAC2" w14:textId="77777777" w:rsidR="00DF410E" w:rsidRDefault="00CE7F43">
      <w:pPr>
        <w:jc w:val="both"/>
      </w:pPr>
      <w:r>
        <w:rPr>
          <w:rStyle w:val="soitChar"/>
        </w:rPr>
        <w:t>1.   </w:t>
      </w:r>
      <w:r>
        <w:rPr>
          <w:rStyle w:val="soitChar"/>
          <w:u w:val="single"/>
        </w:rPr>
        <w:t> Volume brut :</w:t>
      </w:r>
    </w:p>
    <w:p w14:paraId="70092AFA" w14:textId="77777777" w:rsidR="00DF410E" w:rsidRDefault="00CE7F43">
      <w:pPr>
        <w:jc w:val="both"/>
      </w:pPr>
      <w:r>
        <w:rPr>
          <w:rStyle w:val="soitChar"/>
        </w:rPr>
        <w:t>Le volume brut d’une colonne en bois lamellé collé est calculé suivant le volume du plus petit parallélépipède rectangle pouvant inclure l’élément.</w:t>
      </w:r>
    </w:p>
    <w:p w14:paraId="2AC2A53E" w14:textId="77777777" w:rsidR="00DF410E" w:rsidRDefault="00CE7F43">
      <w:pPr>
        <w:jc w:val="both"/>
      </w:pPr>
      <w:r>
        <w:rPr>
          <w:b/>
          <w:i/>
        </w:rPr>
        <w:t> (Soit)</w:t>
      </w:r>
    </w:p>
    <w:p w14:paraId="084A0F12" w14:textId="77777777" w:rsidR="00DF410E" w:rsidRDefault="00CE7F43">
      <w:pPr>
        <w:jc w:val="both"/>
      </w:pPr>
      <w:r>
        <w:rPr>
          <w:rStyle w:val="soitChar"/>
        </w:rPr>
        <w:t>2.   </w:t>
      </w:r>
      <w:r>
        <w:rPr>
          <w:rStyle w:val="soitChar"/>
          <w:u w:val="single"/>
        </w:rPr>
        <w:t> Longueur brute :</w:t>
      </w:r>
    </w:p>
    <w:p w14:paraId="1C30ED53"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1C0D3D15" w14:textId="77777777" w:rsidR="00DF410E" w:rsidRDefault="00CE7F43">
      <w:pPr>
        <w:jc w:val="both"/>
      </w:pPr>
      <w:r>
        <w:rPr>
          <w:rStyle w:val="soitChar"/>
        </w:rPr>
        <w:t>La longueur totale des colonnes en bois lamellé collé ayant la même section et les mêmes caractéristiques est comptabilisée.</w:t>
      </w:r>
    </w:p>
    <w:p w14:paraId="42ECFD62" w14:textId="77777777" w:rsidR="00DF410E" w:rsidRDefault="00CE7F43">
      <w:pPr>
        <w:jc w:val="both"/>
      </w:pPr>
      <w:r>
        <w:rPr>
          <w:b/>
          <w:i/>
        </w:rPr>
        <w:t> (Soit)</w:t>
      </w:r>
    </w:p>
    <w:p w14:paraId="18C17FA1" w14:textId="77777777" w:rsidR="00DF410E" w:rsidRDefault="00CE7F43">
      <w:pPr>
        <w:jc w:val="both"/>
      </w:pPr>
      <w:r>
        <w:rPr>
          <w:rStyle w:val="soitChar"/>
        </w:rPr>
        <w:t>3.    </w:t>
      </w:r>
      <w:r>
        <w:rPr>
          <w:rStyle w:val="soitChar"/>
          <w:u w:val="single"/>
        </w:rPr>
        <w:t>Quantité nette :</w:t>
      </w:r>
    </w:p>
    <w:p w14:paraId="524A13F6" w14:textId="77777777" w:rsidR="00DF410E" w:rsidRDefault="00CE7F43">
      <w:pPr>
        <w:jc w:val="both"/>
      </w:pPr>
      <w:r>
        <w:rPr>
          <w:rStyle w:val="soitChar"/>
        </w:rPr>
        <w:t>Le nombre de colonnes en bois lamellé collé ayant les mêmes dimensions et les mêmes caractéristiques est compatibilisé.</w:t>
      </w:r>
    </w:p>
    <w:p w14:paraId="7EECA15A" w14:textId="77777777" w:rsidR="00DF410E" w:rsidRDefault="00CE7F43">
      <w:pPr>
        <w:pStyle w:val="pheading"/>
      </w:pPr>
      <w:r>
        <w:t>- nature du marché:</w:t>
      </w:r>
    </w:p>
    <w:p w14:paraId="56F6E37E" w14:textId="77777777" w:rsidR="00DF410E" w:rsidRDefault="00CE7F43">
      <w:r>
        <w:rPr>
          <w:rStyle w:val="optioncarChar"/>
        </w:rPr>
        <w:t>QF </w:t>
      </w:r>
      <w:r>
        <w:t>(par défaut) </w:t>
      </w:r>
      <w:r>
        <w:rPr>
          <w:rStyle w:val="optioncarChar"/>
        </w:rPr>
        <w:t>/ QP</w:t>
      </w:r>
    </w:p>
    <w:p w14:paraId="588244E5" w14:textId="77777777" w:rsidR="00DF410E" w:rsidRDefault="00CE7F43">
      <w:r>
        <w:rPr>
          <w:b/>
          <w:i/>
        </w:rPr>
        <w:t>(Soit par défaut)</w:t>
      </w:r>
    </w:p>
    <w:p w14:paraId="1899E327" w14:textId="77777777" w:rsidR="00DF410E" w:rsidRDefault="00CE7F43">
      <w:r>
        <w:rPr>
          <w:rStyle w:val="soitChar"/>
        </w:rPr>
        <w:t>1.2.3      QF</w:t>
      </w:r>
    </w:p>
    <w:p w14:paraId="62AC2077" w14:textId="77777777" w:rsidR="00DF410E" w:rsidRDefault="00CE7F43">
      <w:r>
        <w:rPr>
          <w:b/>
          <w:i/>
        </w:rPr>
        <w:t>(Soit)</w:t>
      </w:r>
    </w:p>
    <w:p w14:paraId="00665225" w14:textId="77777777" w:rsidR="00DF410E" w:rsidRDefault="00CE7F43">
      <w:r>
        <w:rPr>
          <w:rStyle w:val="soitChar"/>
        </w:rPr>
        <w:t>1.2.3      QP</w:t>
      </w:r>
    </w:p>
    <w:p w14:paraId="706A11E8" w14:textId="77777777" w:rsidR="00DF410E" w:rsidRDefault="00CE7F43">
      <w:pPr>
        <w:pStyle w:val="pheading"/>
      </w:pPr>
      <w:r>
        <w:t>AIDE</w:t>
      </w:r>
    </w:p>
    <w:p w14:paraId="303DE187" w14:textId="77777777" w:rsidR="00DF410E" w:rsidRDefault="00CE7F43">
      <w:pPr>
        <w:jc w:val="both"/>
      </w:pPr>
      <w:r>
        <w:t>Le code suivant peut être utilisé pour la dénomination du poste :</w:t>
      </w:r>
    </w:p>
    <w:p w14:paraId="5101BDA7" w14:textId="77777777" w:rsidR="00DF410E" w:rsidRDefault="00CE7F43">
      <w:pPr>
        <w:jc w:val="both"/>
      </w:pPr>
      <w:r>
        <w:t>BLC 1 / 2 / 3 / 4 / 5</w:t>
      </w:r>
    </w:p>
    <w:p w14:paraId="4AD57FB1" w14:textId="77777777" w:rsidR="00DF410E" w:rsidRDefault="00CE7F43">
      <w:pPr>
        <w:jc w:val="both"/>
      </w:pPr>
      <w:r>
        <w:t>Avec :</w:t>
      </w:r>
    </w:p>
    <w:p w14:paraId="7B9082D6" w14:textId="77777777" w:rsidR="00DF410E" w:rsidRDefault="00CE7F43">
      <w:pPr>
        <w:jc w:val="both"/>
      </w:pPr>
      <w:r>
        <w:t>BLC pour bois lamellé collé</w:t>
      </w:r>
    </w:p>
    <w:p w14:paraId="71F84E44" w14:textId="77777777" w:rsidR="00DF410E" w:rsidRDefault="00CE7F43">
      <w:pPr>
        <w:jc w:val="both"/>
      </w:pPr>
      <w:r>
        <w:t>1 : la classe de résistance des colonnes</w:t>
      </w:r>
    </w:p>
    <w:p w14:paraId="5DDF70BA" w14:textId="77777777" w:rsidR="00DF410E" w:rsidRDefault="00CE7F43">
      <w:pPr>
        <w:jc w:val="both"/>
      </w:pPr>
      <w:r>
        <w:t>2 : la section</w:t>
      </w:r>
    </w:p>
    <w:p w14:paraId="5FF46A4F" w14:textId="77777777" w:rsidR="00DF410E" w:rsidRDefault="00CE7F43">
      <w:pPr>
        <w:jc w:val="both"/>
      </w:pPr>
      <w:r>
        <w:t>3 : l’essence de bois</w:t>
      </w:r>
    </w:p>
    <w:p w14:paraId="3E9F3144" w14:textId="77777777" w:rsidR="00DF410E" w:rsidRDefault="00CE7F43">
      <w:pPr>
        <w:jc w:val="both"/>
      </w:pPr>
      <w:r>
        <w:t>4 : la classe d’emploi des colonnes</w:t>
      </w:r>
    </w:p>
    <w:p w14:paraId="7C31CC00" w14:textId="77777777" w:rsidR="00DF410E" w:rsidRDefault="00CE7F43">
      <w:pPr>
        <w:jc w:val="both"/>
      </w:pPr>
      <w:r>
        <w:t>5 : la méthode utilisée pour garantir la durabilité des colonnes</w:t>
      </w:r>
    </w:p>
    <w:p w14:paraId="1D6C1516" w14:textId="77777777" w:rsidR="00DF410E" w:rsidRDefault="00CE7F43">
      <w:pPr>
        <w:jc w:val="both"/>
      </w:pPr>
      <w:r>
        <w:t>Ce qui donne, par exemple :</w:t>
      </w:r>
    </w:p>
    <w:p w14:paraId="5671B4D9" w14:textId="77777777" w:rsidR="00DF410E" w:rsidRDefault="00CE7F43">
      <w:pPr>
        <w:jc w:val="both"/>
      </w:pPr>
      <w:r>
        <w:t>BLC GL24c / 120x200 / épicéa / 2 / A2.2</w:t>
      </w:r>
    </w:p>
    <w:p w14:paraId="6333CA16" w14:textId="77777777" w:rsidR="00DF410E" w:rsidRDefault="00CE7F43">
      <w:pPr>
        <w:pStyle w:val="Author-eSectionHeading6"/>
      </w:pPr>
      <w:bookmarkStart w:id="1571" w:name="_Toc178838667"/>
      <w:r>
        <w:t>24.12.2b Colonnes en bois lamellé collé à inertie variable CCTB 01.11</w:t>
      </w:r>
      <w:bookmarkEnd w:id="1571"/>
    </w:p>
    <w:p w14:paraId="54DCA55A" w14:textId="77777777" w:rsidR="00DF410E" w:rsidRDefault="00CE7F43">
      <w:pPr>
        <w:pStyle w:val="pheading"/>
      </w:pPr>
      <w:r>
        <w:t>DESCRIPTION</w:t>
      </w:r>
    </w:p>
    <w:p w14:paraId="2FC05519" w14:textId="77777777" w:rsidR="00DF410E" w:rsidRDefault="00CE7F43">
      <w:pPr>
        <w:pStyle w:val="pheading"/>
      </w:pPr>
      <w:r>
        <w:t>- Définition / Comprend</w:t>
      </w:r>
    </w:p>
    <w:p w14:paraId="008D6D0A" w14:textId="77777777" w:rsidR="00DF410E" w:rsidRDefault="00CE7F43">
      <w:r>
        <w:t>Il s'agit de l’ensemble des colonnes en bois lamellé collé et à inertie variable.</w:t>
      </w:r>
    </w:p>
    <w:p w14:paraId="4C9CBAA6" w14:textId="77777777" w:rsidR="00DF410E" w:rsidRDefault="00CE7F43">
      <w:pPr>
        <w:pStyle w:val="pheading"/>
      </w:pPr>
      <w:r>
        <w:t>MATÉRIAUX</w:t>
      </w:r>
    </w:p>
    <w:p w14:paraId="33B15DFB" w14:textId="77777777" w:rsidR="00DF410E" w:rsidRDefault="00CE7F43">
      <w:pPr>
        <w:pStyle w:val="pheading"/>
      </w:pPr>
      <w:r>
        <w:t>- Caractéristiques générales</w:t>
      </w:r>
    </w:p>
    <w:p w14:paraId="366F25CC" w14:textId="77777777" w:rsidR="00DF410E" w:rsidRDefault="00CE7F43">
      <w:pPr>
        <w:jc w:val="both"/>
      </w:pPr>
      <w:r>
        <w:t xml:space="preserve">Classe de résistance : </w:t>
      </w:r>
      <w:r>
        <w:rPr>
          <w:rStyle w:val="optioncarChar"/>
        </w:rPr>
        <w:t>GL24h </w:t>
      </w:r>
      <w:r>
        <w:t xml:space="preserve">(par défaut) </w:t>
      </w:r>
      <w:r>
        <w:rPr>
          <w:rStyle w:val="optioncarChar"/>
        </w:rPr>
        <w:t>/ GL24c / GL28h / GL28c / ***</w:t>
      </w:r>
    </w:p>
    <w:p w14:paraId="6109E51D" w14:textId="77777777" w:rsidR="00DF410E" w:rsidRDefault="00CE7F43">
      <w:pPr>
        <w:jc w:val="both"/>
      </w:pPr>
      <w:r>
        <w:t>La géométrie des colonnes est décrite dans les plans.</w:t>
      </w:r>
    </w:p>
    <w:p w14:paraId="53A779DA"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5AFA84BF" w14:textId="77777777" w:rsidR="00DF410E" w:rsidRDefault="00CE7F43">
      <w:pPr>
        <w:jc w:val="both"/>
      </w:pPr>
      <w:r>
        <w:t xml:space="preserve">Classe d’emploi : </w:t>
      </w:r>
      <w:r>
        <w:rPr>
          <w:rStyle w:val="optioncarChar"/>
        </w:rPr>
        <w:t>1 / 2 / 3 / 4 / 5</w:t>
      </w:r>
    </w:p>
    <w:p w14:paraId="57C38A72" w14:textId="77777777" w:rsidR="00DF410E" w:rsidRDefault="00CE7F43">
      <w:pPr>
        <w:jc w:val="both"/>
      </w:pPr>
      <w:r>
        <w:t xml:space="preserve">Classe d’émission de formaldéhyde : </w:t>
      </w:r>
      <w:r>
        <w:rPr>
          <w:rStyle w:val="optioncarChar"/>
        </w:rPr>
        <w:t xml:space="preserve">E1 </w:t>
      </w:r>
      <w:r>
        <w:t>(par défaut)</w:t>
      </w:r>
      <w:r>
        <w:rPr>
          <w:rStyle w:val="optioncarChar"/>
        </w:rPr>
        <w:t xml:space="preserve"> / E2</w:t>
      </w:r>
    </w:p>
    <w:p w14:paraId="03A3294F" w14:textId="77777777" w:rsidR="00DF410E" w:rsidRDefault="00CE7F43">
      <w:pPr>
        <w:jc w:val="both"/>
      </w:pPr>
      <w:r>
        <w:t xml:space="preserve">La durabilité des colonnes en bois lamellé collé à inertie variable, en fonction de leur classe d’emploi, est assurée par la mesure suivante : </w:t>
      </w:r>
      <w:r>
        <w:rPr>
          <w:rStyle w:val="optioncarChar"/>
        </w:rPr>
        <w:t>aucune mesure n’est nécessaire / bois hors aubier</w:t>
      </w:r>
      <w:r>
        <w:t xml:space="preserve"> (par défaut)</w:t>
      </w:r>
      <w:r>
        <w:rPr>
          <w:rStyle w:val="optioncarChar"/>
        </w:rPr>
        <w:t> / traitement A1 / traitement A2.2 / traitement A3 / ***</w:t>
      </w:r>
    </w:p>
    <w:p w14:paraId="257472C6" w14:textId="77777777" w:rsidR="00DF410E" w:rsidRDefault="00CE7F43">
      <w:pPr>
        <w:pStyle w:val="pheading"/>
      </w:pPr>
      <w:r>
        <w:t>- Finitions</w:t>
      </w:r>
    </w:p>
    <w:p w14:paraId="7F63DCCF" w14:textId="77777777" w:rsidR="00DF410E" w:rsidRDefault="00CE7F43">
      <w:pPr>
        <w:jc w:val="both"/>
      </w:pPr>
      <w:r>
        <w:t xml:space="preserve">Les colonnes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351AEAF5" w14:textId="77777777" w:rsidR="00DF410E" w:rsidRDefault="00CE7F43">
      <w:pPr>
        <w:jc w:val="both"/>
      </w:pPr>
      <w:r>
        <w:t xml:space="preserve">Les arrêtes sont </w:t>
      </w:r>
      <w:r>
        <w:rPr>
          <w:rStyle w:val="optioncarChar"/>
        </w:rPr>
        <w:t xml:space="preserve">vives </w:t>
      </w:r>
      <w:r>
        <w:t xml:space="preserve">(par défaut) </w:t>
      </w:r>
      <w:r>
        <w:rPr>
          <w:rStyle w:val="optioncarChar"/>
        </w:rPr>
        <w:t>/ chanfreinées / ***</w:t>
      </w:r>
    </w:p>
    <w:p w14:paraId="64B49949" w14:textId="77777777" w:rsidR="00DF410E" w:rsidRDefault="00CE7F43">
      <w:pPr>
        <w:jc w:val="both"/>
      </w:pPr>
      <w:r>
        <w:t xml:space="preserve">Les colonnes en bois lamellé collé sont </w:t>
      </w:r>
      <w:r>
        <w:rPr>
          <w:rStyle w:val="optioncarChar"/>
        </w:rPr>
        <w:t>sans finitions</w:t>
      </w:r>
      <w:r>
        <w:t xml:space="preserve"> (par défaut) </w:t>
      </w:r>
      <w:r>
        <w:rPr>
          <w:rStyle w:val="optioncarChar"/>
        </w:rPr>
        <w:t>/ huilées / vernies / lasurées / peintes / ***</w:t>
      </w:r>
      <w:r>
        <w:t xml:space="preserve"> avant mise en œuvre.</w:t>
      </w:r>
    </w:p>
    <w:p w14:paraId="7F696F04" w14:textId="77777777" w:rsidR="00DF410E" w:rsidRDefault="00CE7F43">
      <w:pPr>
        <w:pStyle w:val="pheading"/>
      </w:pPr>
      <w:r>
        <w:t>- Prescriptions complémentaires</w:t>
      </w:r>
    </w:p>
    <w:p w14:paraId="0AD4E311" w14:textId="77777777" w:rsidR="00DF410E" w:rsidRDefault="00CE7F43">
      <w:r>
        <w:rPr>
          <w:rStyle w:val="facultChar"/>
        </w:rPr>
        <w:t>La qualité esthétique des colonnes est</w:t>
      </w:r>
      <w:r>
        <w:t xml:space="preserve">  </w:t>
      </w:r>
      <w:r>
        <w:rPr>
          <w:rStyle w:val="optioncarChar"/>
        </w:rPr>
        <w:t>non-visible / visible industrielle / visible habitation</w:t>
      </w:r>
    </w:p>
    <w:p w14:paraId="2417CB55" w14:textId="77777777" w:rsidR="00DF410E" w:rsidRDefault="00CE7F43">
      <w:pPr>
        <w:pStyle w:val="pheading"/>
      </w:pPr>
      <w:r>
        <w:t>EXÉCUTION / MISE EN ŒUVRE</w:t>
      </w:r>
    </w:p>
    <w:p w14:paraId="3FE052A5" w14:textId="77777777" w:rsidR="00DF410E" w:rsidRDefault="00CE7F43">
      <w:pPr>
        <w:pStyle w:val="pheading"/>
      </w:pPr>
      <w:r>
        <w:t>- Prescriptions générales</w:t>
      </w:r>
    </w:p>
    <w:p w14:paraId="1BCF6AD2" w14:textId="77777777" w:rsidR="00DF410E" w:rsidRDefault="00CE7F43">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7F41BCD2" w14:textId="77777777" w:rsidR="00DF410E" w:rsidRDefault="00CE7F43">
      <w:pPr>
        <w:pStyle w:val="pheading"/>
      </w:pPr>
      <w:r>
        <w:t>MESURAGE</w:t>
      </w:r>
    </w:p>
    <w:p w14:paraId="17F5CFE2" w14:textId="77777777" w:rsidR="00DF410E" w:rsidRDefault="00CE7F43">
      <w:pPr>
        <w:pStyle w:val="pheading"/>
      </w:pPr>
      <w:r>
        <w:t>- unité de mesure:</w:t>
      </w:r>
    </w:p>
    <w:p w14:paraId="4C34D3DD" w14:textId="77777777" w:rsidR="00DF410E" w:rsidRDefault="00CE7F43">
      <w:r>
        <w:rPr>
          <w:rStyle w:val="optioncarChar"/>
        </w:rPr>
        <w:t>m³ </w:t>
      </w:r>
      <w:r>
        <w:t>(par défaut)</w:t>
      </w:r>
      <w:r>
        <w:rPr>
          <w:rStyle w:val="optioncarChar"/>
        </w:rPr>
        <w:t> / m / pc</w:t>
      </w:r>
    </w:p>
    <w:p w14:paraId="21B0990F" w14:textId="77777777" w:rsidR="00DF410E" w:rsidRDefault="00CE7F43">
      <w:r>
        <w:rPr>
          <w:b/>
          <w:i/>
        </w:rPr>
        <w:t>(Soit par défaut)</w:t>
      </w:r>
    </w:p>
    <w:p w14:paraId="0EEC8AC7" w14:textId="77777777" w:rsidR="00DF410E" w:rsidRDefault="00CE7F43">
      <w:r>
        <w:rPr>
          <w:rStyle w:val="soitChar"/>
        </w:rPr>
        <w:t>1.    m³ </w:t>
      </w:r>
    </w:p>
    <w:p w14:paraId="23949BDB" w14:textId="77777777" w:rsidR="00DF410E" w:rsidRDefault="00CE7F43">
      <w:r>
        <w:rPr>
          <w:b/>
          <w:i/>
        </w:rPr>
        <w:t>(Soit)</w:t>
      </w:r>
    </w:p>
    <w:p w14:paraId="172BF6CE" w14:textId="77777777" w:rsidR="00DF410E" w:rsidRDefault="00CE7F43">
      <w:r>
        <w:rPr>
          <w:rStyle w:val="soitChar"/>
        </w:rPr>
        <w:t>2.    m </w:t>
      </w:r>
    </w:p>
    <w:p w14:paraId="0CA7F2F0" w14:textId="77777777" w:rsidR="00DF410E" w:rsidRDefault="00CE7F43">
      <w:r>
        <w:rPr>
          <w:b/>
          <w:i/>
        </w:rPr>
        <w:t>(Soit)</w:t>
      </w:r>
    </w:p>
    <w:p w14:paraId="221F9A36" w14:textId="77777777" w:rsidR="00DF410E" w:rsidRDefault="00CE7F43">
      <w:r>
        <w:rPr>
          <w:rStyle w:val="soitChar"/>
        </w:rPr>
        <w:t>3.    pc</w:t>
      </w:r>
    </w:p>
    <w:p w14:paraId="316BC5DC" w14:textId="77777777" w:rsidR="00DF410E" w:rsidRDefault="00CE7F43">
      <w:pPr>
        <w:pStyle w:val="pheading"/>
      </w:pPr>
      <w:r>
        <w:t>- code de mesurage:</w:t>
      </w:r>
    </w:p>
    <w:p w14:paraId="0E926443" w14:textId="77777777" w:rsidR="00DF410E" w:rsidRDefault="00CE7F43">
      <w:pPr>
        <w:jc w:val="both"/>
      </w:pPr>
      <w:r>
        <w:rPr>
          <w:rStyle w:val="optioncarChar"/>
        </w:rPr>
        <w:t> Volume brut </w:t>
      </w:r>
      <w:r>
        <w:t>(par défaut) </w:t>
      </w:r>
      <w:r>
        <w:rPr>
          <w:rStyle w:val="optioncarChar"/>
        </w:rPr>
        <w:t>/ longueur brute / quantité nette</w:t>
      </w:r>
    </w:p>
    <w:p w14:paraId="211D21ED" w14:textId="77777777" w:rsidR="00DF410E" w:rsidRDefault="00CE7F43">
      <w:pPr>
        <w:jc w:val="both"/>
      </w:pPr>
      <w:r>
        <w:rPr>
          <w:b/>
          <w:i/>
        </w:rPr>
        <w:t>(Soit par défaut)</w:t>
      </w:r>
    </w:p>
    <w:p w14:paraId="75AB54CA" w14:textId="77777777" w:rsidR="00DF410E" w:rsidRDefault="00CE7F43">
      <w:pPr>
        <w:jc w:val="both"/>
      </w:pPr>
      <w:r>
        <w:rPr>
          <w:rStyle w:val="soitChar"/>
        </w:rPr>
        <w:t>1.   </w:t>
      </w:r>
      <w:r>
        <w:rPr>
          <w:rStyle w:val="soitChar"/>
          <w:u w:val="single"/>
        </w:rPr>
        <w:t> Volume brut :</w:t>
      </w:r>
    </w:p>
    <w:p w14:paraId="48E0C577" w14:textId="77777777" w:rsidR="00DF410E" w:rsidRDefault="00CE7F43">
      <w:pPr>
        <w:jc w:val="both"/>
      </w:pPr>
      <w:r>
        <w:rPr>
          <w:rStyle w:val="soitChar"/>
        </w:rPr>
        <w:t>Le volume brut d’une colonne en bois lamellé collé est calculé suivant le volume du plus petit parallélépipède rectangle pouvant inclure l’élément.</w:t>
      </w:r>
    </w:p>
    <w:p w14:paraId="72043846" w14:textId="77777777" w:rsidR="00DF410E" w:rsidRDefault="00CE7F43">
      <w:pPr>
        <w:jc w:val="both"/>
      </w:pPr>
      <w:r>
        <w:rPr>
          <w:b/>
          <w:i/>
        </w:rPr>
        <w:t> (Soit)</w:t>
      </w:r>
    </w:p>
    <w:p w14:paraId="26EFD1AA" w14:textId="77777777" w:rsidR="00DF410E" w:rsidRDefault="00CE7F43">
      <w:pPr>
        <w:jc w:val="both"/>
      </w:pPr>
      <w:r>
        <w:rPr>
          <w:rStyle w:val="soitChar"/>
        </w:rPr>
        <w:t>2.   </w:t>
      </w:r>
      <w:r>
        <w:rPr>
          <w:rStyle w:val="soitChar"/>
          <w:u w:val="single"/>
        </w:rPr>
        <w:t> Longueur brute :</w:t>
      </w:r>
    </w:p>
    <w:p w14:paraId="594B2087"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322BB69B" w14:textId="77777777" w:rsidR="00DF410E" w:rsidRDefault="00CE7F43">
      <w:pPr>
        <w:jc w:val="both"/>
      </w:pPr>
      <w:r>
        <w:rPr>
          <w:rStyle w:val="soitChar"/>
        </w:rPr>
        <w:t>La longueur totale des colonnes en bois lamellé collé ayant la même section et les mêmes caractéristiques est comptabilisée.</w:t>
      </w:r>
    </w:p>
    <w:p w14:paraId="520930CC" w14:textId="77777777" w:rsidR="00DF410E" w:rsidRDefault="00CE7F43">
      <w:pPr>
        <w:jc w:val="both"/>
      </w:pPr>
      <w:r>
        <w:rPr>
          <w:b/>
          <w:i/>
        </w:rPr>
        <w:t> (Soit)</w:t>
      </w:r>
    </w:p>
    <w:p w14:paraId="45A1EFCE" w14:textId="77777777" w:rsidR="00DF410E" w:rsidRDefault="00CE7F43">
      <w:pPr>
        <w:jc w:val="both"/>
      </w:pPr>
      <w:r>
        <w:rPr>
          <w:rStyle w:val="soitChar"/>
        </w:rPr>
        <w:t>3.    </w:t>
      </w:r>
      <w:r>
        <w:rPr>
          <w:rStyle w:val="soitChar"/>
          <w:u w:val="single"/>
        </w:rPr>
        <w:t>Quantité nette :</w:t>
      </w:r>
    </w:p>
    <w:p w14:paraId="707988AD" w14:textId="77777777" w:rsidR="00DF410E" w:rsidRDefault="00CE7F43">
      <w:pPr>
        <w:jc w:val="both"/>
      </w:pPr>
      <w:r>
        <w:rPr>
          <w:rStyle w:val="soitChar"/>
        </w:rPr>
        <w:t>Le nombre de colonnes en bois lamellé collé ayant les mêmes dimensions et les mêmes caractéristiques est compatibilisé.</w:t>
      </w:r>
    </w:p>
    <w:p w14:paraId="017D42B2" w14:textId="77777777" w:rsidR="00DF410E" w:rsidRDefault="00CE7F43">
      <w:pPr>
        <w:pStyle w:val="pheading"/>
      </w:pPr>
      <w:r>
        <w:t>- nature du marché:</w:t>
      </w:r>
    </w:p>
    <w:p w14:paraId="3D74653B" w14:textId="77777777" w:rsidR="00DF410E" w:rsidRDefault="00CE7F43">
      <w:r>
        <w:rPr>
          <w:rStyle w:val="optioncarChar"/>
        </w:rPr>
        <w:t>QF </w:t>
      </w:r>
      <w:r>
        <w:t>(par défaut) </w:t>
      </w:r>
      <w:r>
        <w:rPr>
          <w:rStyle w:val="optioncarChar"/>
        </w:rPr>
        <w:t>/ QP</w:t>
      </w:r>
    </w:p>
    <w:p w14:paraId="355C559D" w14:textId="77777777" w:rsidR="00DF410E" w:rsidRDefault="00CE7F43">
      <w:r>
        <w:rPr>
          <w:b/>
          <w:i/>
        </w:rPr>
        <w:t>(Soit par défaut)</w:t>
      </w:r>
    </w:p>
    <w:p w14:paraId="324D2A6C" w14:textId="77777777" w:rsidR="00DF410E" w:rsidRDefault="00CE7F43">
      <w:r>
        <w:rPr>
          <w:rStyle w:val="soitChar"/>
        </w:rPr>
        <w:t>1.2.3      QF</w:t>
      </w:r>
    </w:p>
    <w:p w14:paraId="55614886" w14:textId="77777777" w:rsidR="00DF410E" w:rsidRDefault="00CE7F43">
      <w:r>
        <w:rPr>
          <w:b/>
          <w:i/>
        </w:rPr>
        <w:t>(Soit)</w:t>
      </w:r>
    </w:p>
    <w:p w14:paraId="10282DF9" w14:textId="77777777" w:rsidR="00DF410E" w:rsidRDefault="00CE7F43">
      <w:r>
        <w:rPr>
          <w:rStyle w:val="soitChar"/>
        </w:rPr>
        <w:t>1.2.3      QP</w:t>
      </w:r>
    </w:p>
    <w:p w14:paraId="70787582" w14:textId="77777777" w:rsidR="00DF410E" w:rsidRDefault="00CE7F43">
      <w:pPr>
        <w:pStyle w:val="pheading"/>
      </w:pPr>
      <w:r>
        <w:t>AIDE</w:t>
      </w:r>
    </w:p>
    <w:p w14:paraId="5840E413" w14:textId="77777777" w:rsidR="00DF410E" w:rsidRDefault="00CE7F43">
      <w:pPr>
        <w:jc w:val="both"/>
      </w:pPr>
      <w:r>
        <w:t>Le code suivant peut être utilisé pour la dénomination du poste :</w:t>
      </w:r>
    </w:p>
    <w:p w14:paraId="4C7AA3D0" w14:textId="77777777" w:rsidR="00DF410E" w:rsidRDefault="00CE7F43">
      <w:pPr>
        <w:jc w:val="both"/>
      </w:pPr>
      <w:r>
        <w:t>BLC 1 / 2 / 3 / 4 / 5</w:t>
      </w:r>
    </w:p>
    <w:p w14:paraId="17EB4685" w14:textId="77777777" w:rsidR="00DF410E" w:rsidRDefault="00CE7F43">
      <w:pPr>
        <w:jc w:val="both"/>
      </w:pPr>
      <w:r>
        <w:t>Avec :</w:t>
      </w:r>
    </w:p>
    <w:p w14:paraId="37FD1BA2" w14:textId="77777777" w:rsidR="00DF410E" w:rsidRDefault="00CE7F43">
      <w:pPr>
        <w:jc w:val="both"/>
      </w:pPr>
      <w:r>
        <w:t>BLC pour bois lamellé collé</w:t>
      </w:r>
    </w:p>
    <w:p w14:paraId="0419DBFD" w14:textId="77777777" w:rsidR="00DF410E" w:rsidRDefault="00CE7F43">
      <w:pPr>
        <w:jc w:val="both"/>
      </w:pPr>
      <w:r>
        <w:t>1 : la classe de résistance des colonnes</w:t>
      </w:r>
    </w:p>
    <w:p w14:paraId="6F192CFC" w14:textId="77777777" w:rsidR="00DF410E" w:rsidRDefault="00CE7F43">
      <w:pPr>
        <w:jc w:val="both"/>
      </w:pPr>
      <w:r>
        <w:t>2 : la section – ici : variable</w:t>
      </w:r>
    </w:p>
    <w:p w14:paraId="33DFA29A" w14:textId="77777777" w:rsidR="00DF410E" w:rsidRDefault="00CE7F43">
      <w:pPr>
        <w:jc w:val="both"/>
      </w:pPr>
      <w:r>
        <w:t>3 : l’essence de bois</w:t>
      </w:r>
    </w:p>
    <w:p w14:paraId="256DCCE2" w14:textId="77777777" w:rsidR="00DF410E" w:rsidRDefault="00CE7F43">
      <w:pPr>
        <w:jc w:val="both"/>
      </w:pPr>
      <w:r>
        <w:t>4 : la classe d’emploi des colonnes</w:t>
      </w:r>
    </w:p>
    <w:p w14:paraId="0059B2E7" w14:textId="77777777" w:rsidR="00DF410E" w:rsidRDefault="00CE7F43">
      <w:pPr>
        <w:jc w:val="both"/>
      </w:pPr>
      <w:r>
        <w:t>5 : la méthode utilisée pour garantir la durabilité des colonnes</w:t>
      </w:r>
    </w:p>
    <w:p w14:paraId="0C30EF42" w14:textId="77777777" w:rsidR="00DF410E" w:rsidRDefault="00CE7F43">
      <w:pPr>
        <w:jc w:val="both"/>
      </w:pPr>
      <w:r>
        <w:t>Ce qui donne, par exemple :</w:t>
      </w:r>
    </w:p>
    <w:p w14:paraId="4C577851" w14:textId="77777777" w:rsidR="00DF410E" w:rsidRDefault="00CE7F43">
      <w:pPr>
        <w:jc w:val="both"/>
      </w:pPr>
      <w:r>
        <w:t>BLC GL24c / variable / épicéa / 2 / A2.2</w:t>
      </w:r>
    </w:p>
    <w:p w14:paraId="52AF8C43" w14:textId="77777777" w:rsidR="00DF410E" w:rsidRDefault="00CE7F43">
      <w:pPr>
        <w:pStyle w:val="Author-eSectionHeading5"/>
      </w:pPr>
      <w:bookmarkStart w:id="1572" w:name="_Toc178838668"/>
      <w:r>
        <w:t>24.12.3 Colonnes en bois lamellé collé en bloc CCTB 01.07</w:t>
      </w:r>
      <w:bookmarkEnd w:id="1572"/>
    </w:p>
    <w:p w14:paraId="33A4D6E2" w14:textId="77777777" w:rsidR="00DF410E" w:rsidRDefault="00CE7F43">
      <w:pPr>
        <w:pStyle w:val="pheading"/>
      </w:pPr>
      <w:r>
        <w:t>DESCRIPTION</w:t>
      </w:r>
    </w:p>
    <w:p w14:paraId="55D46F32" w14:textId="77777777" w:rsidR="00DF410E" w:rsidRDefault="00CE7F43">
      <w:pPr>
        <w:pStyle w:val="pheading"/>
      </w:pPr>
      <w:r>
        <w:t>- Définition / Comprend</w:t>
      </w:r>
    </w:p>
    <w:p w14:paraId="51BABBDC" w14:textId="77777777" w:rsidR="00DF410E" w:rsidRDefault="00CE7F43">
      <w:pPr>
        <w:jc w:val="both"/>
      </w:pPr>
      <w:r>
        <w:t xml:space="preserve">Il s’agit des colonnes en bois lamellé collé en bloc. La notion de bois lamellé collé en bloc est expliquée au </w:t>
      </w:r>
      <w:hyperlink w:anchor="89" w:history="1">
        <w:r>
          <w:t>24 Superstructures en bois</w:t>
        </w:r>
      </w:hyperlink>
      <w:r>
        <w:t>.</w:t>
      </w:r>
    </w:p>
    <w:p w14:paraId="03C5D9F1" w14:textId="77777777" w:rsidR="00DF410E" w:rsidRDefault="00CE7F43">
      <w:pPr>
        <w:pStyle w:val="Author-eSectionHeading6"/>
      </w:pPr>
      <w:bookmarkStart w:id="1573" w:name="_Toc178838669"/>
      <w:r>
        <w:t>24.12.3a Colonnes en lamellé collé en bloc à inertie constante CCTB 01.11</w:t>
      </w:r>
      <w:bookmarkEnd w:id="1573"/>
    </w:p>
    <w:p w14:paraId="58469F0F" w14:textId="77777777" w:rsidR="00DF410E" w:rsidRDefault="00CE7F43">
      <w:pPr>
        <w:pStyle w:val="pheading"/>
      </w:pPr>
      <w:r>
        <w:t>DESCRIPTION</w:t>
      </w:r>
    </w:p>
    <w:p w14:paraId="2850D83E" w14:textId="77777777" w:rsidR="00DF410E" w:rsidRDefault="00CE7F43">
      <w:pPr>
        <w:pStyle w:val="pheading"/>
      </w:pPr>
      <w:r>
        <w:t>- Définition / Comprend</w:t>
      </w:r>
    </w:p>
    <w:p w14:paraId="40849B8A" w14:textId="77777777" w:rsidR="00DF410E" w:rsidRDefault="00CE7F43">
      <w:r>
        <w:t>Il s'agit de l’ensemble des colonnes en bois lamellé collé à inertie constante.</w:t>
      </w:r>
    </w:p>
    <w:p w14:paraId="3A4FCEE1" w14:textId="77777777" w:rsidR="00DF410E" w:rsidRDefault="00CE7F43">
      <w:pPr>
        <w:pStyle w:val="pheading"/>
      </w:pPr>
      <w:r>
        <w:t>MATÉRIAUX</w:t>
      </w:r>
    </w:p>
    <w:p w14:paraId="22C06E19" w14:textId="77777777" w:rsidR="00DF410E" w:rsidRDefault="00CE7F43">
      <w:pPr>
        <w:pStyle w:val="pheading"/>
      </w:pPr>
      <w:r>
        <w:t>- Caractéristiques générales</w:t>
      </w:r>
    </w:p>
    <w:p w14:paraId="4B4C7F30" w14:textId="77777777" w:rsidR="00DF410E" w:rsidRDefault="00CE7F43">
      <w:pPr>
        <w:jc w:val="both"/>
      </w:pPr>
      <w:r>
        <w:t xml:space="preserve">Classe de résistance : </w:t>
      </w:r>
      <w:r>
        <w:rPr>
          <w:rStyle w:val="optioncarChar"/>
        </w:rPr>
        <w:t>GL24h </w:t>
      </w:r>
      <w:r>
        <w:t>(par défaut)</w:t>
      </w:r>
      <w:r>
        <w:rPr>
          <w:rStyle w:val="optioncarChar"/>
        </w:rPr>
        <w:t xml:space="preserve"> / GL24c / GL28h / GL28c / ***</w:t>
      </w:r>
    </w:p>
    <w:p w14:paraId="50B82090" w14:textId="77777777" w:rsidR="00DF410E" w:rsidRDefault="00CE7F43">
      <w:pPr>
        <w:jc w:val="both"/>
      </w:pPr>
      <w:r>
        <w:t xml:space="preserve">Dimensions de la section : </w:t>
      </w:r>
      <w:r>
        <w:rPr>
          <w:rStyle w:val="optioncarChar"/>
        </w:rPr>
        <w:t>Voir plans</w:t>
      </w:r>
      <w:r>
        <w:t xml:space="preserve"> (par défaut) </w:t>
      </w:r>
      <w:r>
        <w:rPr>
          <w:rStyle w:val="optioncarChar"/>
        </w:rPr>
        <w:t>/ *** x *** mm²</w:t>
      </w:r>
    </w:p>
    <w:p w14:paraId="42C62322" w14:textId="77777777" w:rsidR="00DF410E" w:rsidRDefault="00CE7F43">
      <w:pPr>
        <w:jc w:val="both"/>
      </w:pPr>
      <w:r>
        <w:t xml:space="preserve">Essence : </w:t>
      </w:r>
      <w:r>
        <w:rPr>
          <w:rStyle w:val="optioncarChar"/>
        </w:rPr>
        <w:t>Résineuse</w:t>
      </w:r>
      <w:r>
        <w:t xml:space="preserve"> (par défaut) </w:t>
      </w:r>
      <w:r>
        <w:rPr>
          <w:rStyle w:val="optioncarChar"/>
        </w:rPr>
        <w:t>/ feuillue / épicéa / douglas / chêne / hêtre / ***</w:t>
      </w:r>
    </w:p>
    <w:p w14:paraId="463E9BA1" w14:textId="77777777" w:rsidR="00DF410E" w:rsidRDefault="00CE7F43">
      <w:pPr>
        <w:jc w:val="both"/>
      </w:pPr>
      <w:r>
        <w:t xml:space="preserve">Classe d’emploi : </w:t>
      </w:r>
      <w:r>
        <w:rPr>
          <w:rStyle w:val="optioncarChar"/>
        </w:rPr>
        <w:t>1 / 2 / 3 / 4 / 5</w:t>
      </w:r>
    </w:p>
    <w:p w14:paraId="6AE545E1" w14:textId="77777777" w:rsidR="00DF410E" w:rsidRDefault="00CE7F43">
      <w:pPr>
        <w:jc w:val="both"/>
      </w:pPr>
      <w:r>
        <w:t xml:space="preserve">Classe d’émission de formaldéhyde : </w:t>
      </w:r>
      <w:r>
        <w:rPr>
          <w:rStyle w:val="optioncarChar"/>
        </w:rPr>
        <w:t xml:space="preserve">E1 </w:t>
      </w:r>
      <w:r>
        <w:t xml:space="preserve">(par défaut) </w:t>
      </w:r>
      <w:r>
        <w:rPr>
          <w:rStyle w:val="optioncarChar"/>
        </w:rPr>
        <w:t>/ E2</w:t>
      </w:r>
    </w:p>
    <w:p w14:paraId="78B6B322" w14:textId="77777777" w:rsidR="00DF410E" w:rsidRDefault="00CE7F43">
      <w:pPr>
        <w:jc w:val="both"/>
      </w:pPr>
      <w:r>
        <w:t xml:space="preserve">La durabilité des colonnes, en fonction de leur classe d’emploi, est assurée par la mesure suivante : </w:t>
      </w:r>
      <w:r>
        <w:rPr>
          <w:rStyle w:val="optioncarChar"/>
        </w:rPr>
        <w:t xml:space="preserve">aucune mesure n’est nécessaire / bois hors aubier </w:t>
      </w:r>
      <w:r>
        <w:t>(par défaut) </w:t>
      </w:r>
      <w:r>
        <w:rPr>
          <w:rStyle w:val="optioncarChar"/>
        </w:rPr>
        <w:t>/ traitement A1 / traitement A2.2 / traitement A3 / ***</w:t>
      </w:r>
    </w:p>
    <w:p w14:paraId="14031CDC" w14:textId="77777777" w:rsidR="00DF410E" w:rsidRDefault="00CE7F43">
      <w:pPr>
        <w:pStyle w:val="pheading"/>
      </w:pPr>
      <w:r>
        <w:t>- Finitions</w:t>
      </w:r>
    </w:p>
    <w:p w14:paraId="5676E0FD" w14:textId="77777777" w:rsidR="00DF410E" w:rsidRDefault="00CE7F43">
      <w:pPr>
        <w:jc w:val="both"/>
      </w:pPr>
      <w:r>
        <w:t xml:space="preserve">Les colonnes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29A2252D" w14:textId="77777777" w:rsidR="00DF410E" w:rsidRDefault="00CE7F43">
      <w:pPr>
        <w:jc w:val="both"/>
      </w:pPr>
      <w:r>
        <w:t xml:space="preserve">Les arrêtes sont </w:t>
      </w:r>
      <w:r>
        <w:rPr>
          <w:rStyle w:val="optioncarChar"/>
        </w:rPr>
        <w:t xml:space="preserve">vives </w:t>
      </w:r>
      <w:r>
        <w:t>(par défaut)</w:t>
      </w:r>
      <w:r>
        <w:rPr>
          <w:rStyle w:val="optioncarChar"/>
        </w:rPr>
        <w:t xml:space="preserve"> / chanfreinées / ***</w:t>
      </w:r>
    </w:p>
    <w:p w14:paraId="4C78EBF7" w14:textId="77777777" w:rsidR="00DF410E" w:rsidRDefault="00CE7F43">
      <w:pPr>
        <w:jc w:val="both"/>
      </w:pPr>
      <w:r>
        <w:t xml:space="preserve">Les colonnes en bois lamellé collé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56013A8C" w14:textId="77777777" w:rsidR="00DF410E" w:rsidRDefault="00CE7F43">
      <w:pPr>
        <w:pStyle w:val="pheading"/>
      </w:pPr>
      <w:r>
        <w:t>- Prescriptions complémentaires</w:t>
      </w:r>
    </w:p>
    <w:p w14:paraId="082FE235" w14:textId="77777777" w:rsidR="00DF410E" w:rsidRDefault="00CE7F43">
      <w:r>
        <w:rPr>
          <w:rStyle w:val="facultChar"/>
        </w:rPr>
        <w:t>La qualité esthétique des colonnes est</w:t>
      </w:r>
      <w:r>
        <w:t>  </w:t>
      </w:r>
      <w:r>
        <w:rPr>
          <w:rStyle w:val="optioncarChar"/>
        </w:rPr>
        <w:t>non-visible / visible industrielle / visible habitation</w:t>
      </w:r>
    </w:p>
    <w:p w14:paraId="3005BA76" w14:textId="77777777" w:rsidR="00DF410E" w:rsidRDefault="00CE7F43">
      <w:pPr>
        <w:pStyle w:val="pheading"/>
      </w:pPr>
      <w:r>
        <w:t>EXÉCUTION / MISE EN ŒUVRE</w:t>
      </w:r>
    </w:p>
    <w:p w14:paraId="66CF04FA" w14:textId="77777777" w:rsidR="00DF410E" w:rsidRDefault="00CE7F43">
      <w:pPr>
        <w:pStyle w:val="pheading"/>
      </w:pPr>
      <w:r>
        <w:t>- Prescriptions générales</w:t>
      </w:r>
    </w:p>
    <w:p w14:paraId="2EFEC8EE" w14:textId="77777777" w:rsidR="00DF410E" w:rsidRDefault="00CE7F43">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14:paraId="7F6F31B1" w14:textId="77777777" w:rsidR="00DF410E" w:rsidRDefault="00CE7F43">
      <w:pPr>
        <w:pStyle w:val="pheading"/>
      </w:pPr>
      <w:r>
        <w:t>MESURAGE</w:t>
      </w:r>
    </w:p>
    <w:p w14:paraId="67D24E55" w14:textId="77777777" w:rsidR="00DF410E" w:rsidRDefault="00CE7F43">
      <w:pPr>
        <w:pStyle w:val="pheading"/>
      </w:pPr>
      <w:r>
        <w:t>- unité de mesure:</w:t>
      </w:r>
    </w:p>
    <w:p w14:paraId="0A13F69D" w14:textId="77777777" w:rsidR="00DF410E" w:rsidRDefault="00CE7F43">
      <w:r>
        <w:rPr>
          <w:rStyle w:val="optioncarChar"/>
        </w:rPr>
        <w:t>m³ </w:t>
      </w:r>
      <w:r>
        <w:t>(par défaut)</w:t>
      </w:r>
      <w:r>
        <w:rPr>
          <w:rStyle w:val="optioncarChar"/>
        </w:rPr>
        <w:t> / m / pc</w:t>
      </w:r>
    </w:p>
    <w:p w14:paraId="3AE88F72" w14:textId="77777777" w:rsidR="00DF410E" w:rsidRDefault="00CE7F43">
      <w:r>
        <w:rPr>
          <w:b/>
          <w:i/>
        </w:rPr>
        <w:t>(Soit par défaut)</w:t>
      </w:r>
    </w:p>
    <w:p w14:paraId="06D3DAEA" w14:textId="77777777" w:rsidR="00DF410E" w:rsidRDefault="00CE7F43">
      <w:r>
        <w:rPr>
          <w:rStyle w:val="soitChar"/>
        </w:rPr>
        <w:t>1.    m³ </w:t>
      </w:r>
    </w:p>
    <w:p w14:paraId="0881F5F6" w14:textId="77777777" w:rsidR="00DF410E" w:rsidRDefault="00CE7F43">
      <w:r>
        <w:rPr>
          <w:b/>
          <w:i/>
        </w:rPr>
        <w:t>(Soit)</w:t>
      </w:r>
    </w:p>
    <w:p w14:paraId="7CC5A59F" w14:textId="77777777" w:rsidR="00DF410E" w:rsidRDefault="00CE7F43">
      <w:r>
        <w:rPr>
          <w:rStyle w:val="soitChar"/>
        </w:rPr>
        <w:t>2.    m </w:t>
      </w:r>
    </w:p>
    <w:p w14:paraId="456FBB00" w14:textId="77777777" w:rsidR="00DF410E" w:rsidRDefault="00CE7F43">
      <w:r>
        <w:rPr>
          <w:b/>
          <w:i/>
        </w:rPr>
        <w:t>(Soit)</w:t>
      </w:r>
    </w:p>
    <w:p w14:paraId="6A65BAC0" w14:textId="77777777" w:rsidR="00DF410E" w:rsidRDefault="00CE7F43">
      <w:r>
        <w:rPr>
          <w:rStyle w:val="soitChar"/>
        </w:rPr>
        <w:t>3.    pc</w:t>
      </w:r>
    </w:p>
    <w:p w14:paraId="5BBA4A17" w14:textId="77777777" w:rsidR="00DF410E" w:rsidRDefault="00CE7F43">
      <w:pPr>
        <w:pStyle w:val="pheading"/>
      </w:pPr>
      <w:r>
        <w:t>- code de mesurage:</w:t>
      </w:r>
    </w:p>
    <w:p w14:paraId="14B9353E" w14:textId="77777777" w:rsidR="00DF410E" w:rsidRDefault="00CE7F43">
      <w:pPr>
        <w:jc w:val="both"/>
      </w:pPr>
      <w:r>
        <w:rPr>
          <w:rStyle w:val="optioncarChar"/>
        </w:rPr>
        <w:t> Volume brut </w:t>
      </w:r>
      <w:r>
        <w:t>(par défaut) </w:t>
      </w:r>
      <w:r>
        <w:rPr>
          <w:rStyle w:val="optioncarChar"/>
        </w:rPr>
        <w:t>/ longueur brute / quantité nette</w:t>
      </w:r>
    </w:p>
    <w:p w14:paraId="203C39AE" w14:textId="77777777" w:rsidR="00DF410E" w:rsidRDefault="00CE7F43">
      <w:pPr>
        <w:jc w:val="both"/>
      </w:pPr>
      <w:r>
        <w:rPr>
          <w:b/>
          <w:i/>
        </w:rPr>
        <w:t>(Soit par défaut)</w:t>
      </w:r>
    </w:p>
    <w:p w14:paraId="417D9DDB" w14:textId="77777777" w:rsidR="00DF410E" w:rsidRDefault="00CE7F43">
      <w:pPr>
        <w:jc w:val="both"/>
      </w:pPr>
      <w:r>
        <w:rPr>
          <w:rStyle w:val="soitChar"/>
        </w:rPr>
        <w:t>1.   </w:t>
      </w:r>
      <w:r>
        <w:rPr>
          <w:rStyle w:val="soitChar"/>
          <w:u w:val="single"/>
        </w:rPr>
        <w:t> Volume brut :</w:t>
      </w:r>
    </w:p>
    <w:p w14:paraId="0B1DA5A4" w14:textId="77777777" w:rsidR="00DF410E" w:rsidRDefault="00CE7F43">
      <w:pPr>
        <w:jc w:val="both"/>
      </w:pPr>
      <w:r>
        <w:rPr>
          <w:rStyle w:val="soitChar"/>
        </w:rPr>
        <w:t>Le volume brut d’une colonne est calculé suivant le volume du plus petit parallélépipède rectangle pouvant inclure l’élément.</w:t>
      </w:r>
    </w:p>
    <w:p w14:paraId="0B683835" w14:textId="77777777" w:rsidR="00DF410E" w:rsidRDefault="00CE7F43">
      <w:pPr>
        <w:jc w:val="both"/>
      </w:pPr>
      <w:r>
        <w:rPr>
          <w:b/>
          <w:i/>
        </w:rPr>
        <w:t> (Soit)</w:t>
      </w:r>
    </w:p>
    <w:p w14:paraId="38410280" w14:textId="77777777" w:rsidR="00DF410E" w:rsidRDefault="00CE7F43">
      <w:pPr>
        <w:jc w:val="both"/>
      </w:pPr>
      <w:r>
        <w:rPr>
          <w:rStyle w:val="soitChar"/>
        </w:rPr>
        <w:t>2.   </w:t>
      </w:r>
      <w:r>
        <w:rPr>
          <w:rStyle w:val="soitChar"/>
          <w:u w:val="single"/>
        </w:rPr>
        <w:t> Longueur brute :</w:t>
      </w:r>
    </w:p>
    <w:p w14:paraId="3109B9A6"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5D23E447" w14:textId="77777777" w:rsidR="00DF410E" w:rsidRDefault="00CE7F43">
      <w:pPr>
        <w:jc w:val="both"/>
      </w:pPr>
      <w:r>
        <w:rPr>
          <w:rStyle w:val="soitChar"/>
        </w:rPr>
        <w:t>La longueur totale des colonnes ayant la même section et les mêmes caractéristiques est comptabilisée.</w:t>
      </w:r>
    </w:p>
    <w:p w14:paraId="44F962DE" w14:textId="77777777" w:rsidR="00DF410E" w:rsidRDefault="00CE7F43">
      <w:pPr>
        <w:jc w:val="both"/>
      </w:pPr>
      <w:r>
        <w:rPr>
          <w:b/>
          <w:i/>
        </w:rPr>
        <w:t> (Soit)</w:t>
      </w:r>
    </w:p>
    <w:p w14:paraId="2E52A7C8" w14:textId="77777777" w:rsidR="00DF410E" w:rsidRDefault="00CE7F43">
      <w:pPr>
        <w:jc w:val="both"/>
      </w:pPr>
      <w:r>
        <w:rPr>
          <w:rStyle w:val="soitChar"/>
        </w:rPr>
        <w:t>3.    </w:t>
      </w:r>
      <w:r>
        <w:rPr>
          <w:rStyle w:val="soitChar"/>
          <w:u w:val="single"/>
        </w:rPr>
        <w:t>Quantité nette :</w:t>
      </w:r>
    </w:p>
    <w:p w14:paraId="33FB61EC" w14:textId="77777777" w:rsidR="00DF410E" w:rsidRDefault="00CE7F43">
      <w:pPr>
        <w:jc w:val="both"/>
      </w:pPr>
      <w:r>
        <w:rPr>
          <w:rStyle w:val="soitChar"/>
        </w:rPr>
        <w:t>Le nombre de colonnes ayant les mêmes dimensions et les mêmes caractéristiques est compatibilisé.</w:t>
      </w:r>
    </w:p>
    <w:p w14:paraId="4DE87266" w14:textId="77777777" w:rsidR="00DF410E" w:rsidRDefault="00CE7F43">
      <w:pPr>
        <w:pStyle w:val="pheading"/>
      </w:pPr>
      <w:r>
        <w:t>- nature du marché:</w:t>
      </w:r>
    </w:p>
    <w:p w14:paraId="6979A0D3" w14:textId="77777777" w:rsidR="00DF410E" w:rsidRDefault="00CE7F43">
      <w:r>
        <w:rPr>
          <w:rStyle w:val="optioncarChar"/>
        </w:rPr>
        <w:t>QF </w:t>
      </w:r>
      <w:r>
        <w:t>(par défaut) </w:t>
      </w:r>
      <w:r>
        <w:rPr>
          <w:rStyle w:val="optioncarChar"/>
        </w:rPr>
        <w:t>/ QP</w:t>
      </w:r>
    </w:p>
    <w:p w14:paraId="7A1B9C76" w14:textId="77777777" w:rsidR="00DF410E" w:rsidRDefault="00CE7F43">
      <w:r>
        <w:rPr>
          <w:b/>
          <w:i/>
        </w:rPr>
        <w:t>(Soit par défaut)</w:t>
      </w:r>
    </w:p>
    <w:p w14:paraId="104E4498" w14:textId="77777777" w:rsidR="00DF410E" w:rsidRDefault="00CE7F43">
      <w:r>
        <w:rPr>
          <w:rStyle w:val="soitChar"/>
        </w:rPr>
        <w:t>1.2.3      QF</w:t>
      </w:r>
    </w:p>
    <w:p w14:paraId="25AA3A16" w14:textId="77777777" w:rsidR="00DF410E" w:rsidRDefault="00CE7F43">
      <w:r>
        <w:rPr>
          <w:b/>
          <w:i/>
        </w:rPr>
        <w:t>(Soit)</w:t>
      </w:r>
    </w:p>
    <w:p w14:paraId="0E8320AF" w14:textId="77777777" w:rsidR="00DF410E" w:rsidRDefault="00CE7F43">
      <w:r>
        <w:rPr>
          <w:rStyle w:val="soitChar"/>
        </w:rPr>
        <w:t>1.2.3      QP</w:t>
      </w:r>
    </w:p>
    <w:p w14:paraId="57898003" w14:textId="77777777" w:rsidR="00DF410E" w:rsidRDefault="00CE7F43">
      <w:pPr>
        <w:pStyle w:val="pheading"/>
      </w:pPr>
      <w:r>
        <w:t>AIDE</w:t>
      </w:r>
    </w:p>
    <w:p w14:paraId="5100D3E5" w14:textId="77777777" w:rsidR="00DF410E" w:rsidRDefault="00CE7F43">
      <w:pPr>
        <w:jc w:val="both"/>
      </w:pPr>
      <w:r>
        <w:t>Le code suivant peut être utilisé pour la dénomination du poste :</w:t>
      </w:r>
    </w:p>
    <w:p w14:paraId="27CDEC1B" w14:textId="77777777" w:rsidR="00DF410E" w:rsidRDefault="00CE7F43">
      <w:pPr>
        <w:jc w:val="both"/>
      </w:pPr>
      <w:r>
        <w:t>BLC-B 1 / 2 / 3 / 4 / 5</w:t>
      </w:r>
    </w:p>
    <w:p w14:paraId="21E7A193" w14:textId="77777777" w:rsidR="00DF410E" w:rsidRDefault="00CE7F43">
      <w:pPr>
        <w:jc w:val="both"/>
      </w:pPr>
      <w:r>
        <w:t>Avec :</w:t>
      </w:r>
    </w:p>
    <w:p w14:paraId="4E2E4F1B" w14:textId="77777777" w:rsidR="00DF410E" w:rsidRDefault="00CE7F43">
      <w:pPr>
        <w:jc w:val="both"/>
      </w:pPr>
      <w:r>
        <w:t>BLC-B pour bois lamellé collé en bloc</w:t>
      </w:r>
    </w:p>
    <w:p w14:paraId="619D9C51" w14:textId="77777777" w:rsidR="00DF410E" w:rsidRDefault="00CE7F43">
      <w:pPr>
        <w:jc w:val="both"/>
      </w:pPr>
      <w:r>
        <w:t>1 : la classe de résistance des colonnes</w:t>
      </w:r>
    </w:p>
    <w:p w14:paraId="7682C3A3" w14:textId="77777777" w:rsidR="00DF410E" w:rsidRDefault="00CE7F43">
      <w:pPr>
        <w:jc w:val="both"/>
      </w:pPr>
      <w:r>
        <w:t>2 : la section</w:t>
      </w:r>
    </w:p>
    <w:p w14:paraId="119839DB" w14:textId="77777777" w:rsidR="00DF410E" w:rsidRDefault="00CE7F43">
      <w:pPr>
        <w:jc w:val="both"/>
      </w:pPr>
      <w:r>
        <w:t>3 : l’essence de bois</w:t>
      </w:r>
    </w:p>
    <w:p w14:paraId="17F040EE" w14:textId="77777777" w:rsidR="00DF410E" w:rsidRDefault="00CE7F43">
      <w:pPr>
        <w:jc w:val="both"/>
      </w:pPr>
      <w:r>
        <w:t>4 : la classe d’emploi des colonnes</w:t>
      </w:r>
    </w:p>
    <w:p w14:paraId="76F7B10A" w14:textId="77777777" w:rsidR="00DF410E" w:rsidRDefault="00CE7F43">
      <w:pPr>
        <w:jc w:val="both"/>
      </w:pPr>
      <w:r>
        <w:t>5 : la méthode utilisée pour garantir la durabilité des colonnes</w:t>
      </w:r>
    </w:p>
    <w:p w14:paraId="174FD0E2" w14:textId="77777777" w:rsidR="00DF410E" w:rsidRDefault="00CE7F43">
      <w:pPr>
        <w:jc w:val="both"/>
      </w:pPr>
      <w:r>
        <w:t> </w:t>
      </w:r>
    </w:p>
    <w:p w14:paraId="6C0D3881" w14:textId="77777777" w:rsidR="00DF410E" w:rsidRDefault="00CE7F43">
      <w:pPr>
        <w:jc w:val="both"/>
      </w:pPr>
      <w:r>
        <w:t>Ce qui donne, par exemple :</w:t>
      </w:r>
    </w:p>
    <w:p w14:paraId="523D94DD" w14:textId="77777777" w:rsidR="00DF410E" w:rsidRDefault="00CE7F43">
      <w:pPr>
        <w:jc w:val="both"/>
      </w:pPr>
      <w:r>
        <w:t>BLC-B GL24c / 120x200 / épicéa / 2 / A2.2</w:t>
      </w:r>
    </w:p>
    <w:p w14:paraId="1F84C09F" w14:textId="77777777" w:rsidR="00DF410E" w:rsidRDefault="00CE7F43">
      <w:pPr>
        <w:pStyle w:val="Author-eSectionHeading6"/>
      </w:pPr>
      <w:bookmarkStart w:id="1574" w:name="_Toc178838670"/>
      <w:r>
        <w:t>24.12.3b Colonnes en bois lamellé collé en bloc à inertie variable CCTB 01.11</w:t>
      </w:r>
      <w:bookmarkEnd w:id="1574"/>
    </w:p>
    <w:p w14:paraId="42DE618A" w14:textId="77777777" w:rsidR="00DF410E" w:rsidRDefault="00CE7F43">
      <w:pPr>
        <w:pStyle w:val="pheading"/>
      </w:pPr>
      <w:r>
        <w:t>DESCRIPTION</w:t>
      </w:r>
    </w:p>
    <w:p w14:paraId="6850B370" w14:textId="77777777" w:rsidR="00DF410E" w:rsidRDefault="00CE7F43">
      <w:pPr>
        <w:pStyle w:val="pheading"/>
      </w:pPr>
      <w:r>
        <w:t>- Définition / Comprend</w:t>
      </w:r>
    </w:p>
    <w:p w14:paraId="7B00B463" w14:textId="77777777" w:rsidR="00DF410E" w:rsidRDefault="00CE7F43">
      <w:r>
        <w:t>Il s'agit de l’ensemble des colonnes en bois lamellé collé en bloc et à inertie variable.</w:t>
      </w:r>
    </w:p>
    <w:p w14:paraId="65153EF6" w14:textId="77777777" w:rsidR="00DF410E" w:rsidRDefault="00CE7F43">
      <w:pPr>
        <w:pStyle w:val="pheading"/>
      </w:pPr>
      <w:r>
        <w:t>MATÉRIAUX</w:t>
      </w:r>
    </w:p>
    <w:p w14:paraId="7B1D4D16" w14:textId="77777777" w:rsidR="00DF410E" w:rsidRDefault="00CE7F43">
      <w:pPr>
        <w:pStyle w:val="pheading"/>
      </w:pPr>
      <w:r>
        <w:t>- Caractéristiques générales</w:t>
      </w:r>
    </w:p>
    <w:p w14:paraId="2E235083" w14:textId="77777777" w:rsidR="00DF410E" w:rsidRDefault="00CE7F43">
      <w:pPr>
        <w:jc w:val="both"/>
      </w:pPr>
      <w:r>
        <w:t xml:space="preserve">Classe de résistance : </w:t>
      </w:r>
      <w:r>
        <w:rPr>
          <w:rStyle w:val="optioncarChar"/>
        </w:rPr>
        <w:t>GL24h </w:t>
      </w:r>
      <w:r>
        <w:t>(par défaut)</w:t>
      </w:r>
      <w:r>
        <w:rPr>
          <w:rStyle w:val="optioncarChar"/>
        </w:rPr>
        <w:t xml:space="preserve"> / GL24c / GL28h / GL28c / ***</w:t>
      </w:r>
    </w:p>
    <w:p w14:paraId="1BD46D76" w14:textId="77777777" w:rsidR="00DF410E" w:rsidRDefault="00CE7F43">
      <w:pPr>
        <w:jc w:val="both"/>
      </w:pPr>
      <w:r>
        <w:t>La géométrie des colonnes est décrite dans les plans.</w:t>
      </w:r>
    </w:p>
    <w:p w14:paraId="3F78005D" w14:textId="77777777" w:rsidR="00DF410E" w:rsidRDefault="00CE7F43">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79B2C7F9" w14:textId="77777777" w:rsidR="00DF410E" w:rsidRDefault="00CE7F43">
      <w:pPr>
        <w:jc w:val="both"/>
      </w:pPr>
      <w:r>
        <w:t>Classe d’emploi :</w:t>
      </w:r>
      <w:r>
        <w:rPr>
          <w:rStyle w:val="optioncarChar"/>
        </w:rPr>
        <w:t xml:space="preserve"> 1 / 2 / 3 / 4 / 5</w:t>
      </w:r>
    </w:p>
    <w:p w14:paraId="5AAE93A4" w14:textId="77777777" w:rsidR="00DF410E" w:rsidRDefault="00CE7F43">
      <w:pPr>
        <w:jc w:val="both"/>
      </w:pPr>
      <w:r>
        <w:t xml:space="preserve">Classe d’émission de formaldéhyde : </w:t>
      </w:r>
      <w:r>
        <w:rPr>
          <w:rStyle w:val="optioncarChar"/>
        </w:rPr>
        <w:t xml:space="preserve">E1 </w:t>
      </w:r>
      <w:r>
        <w:t>(par défaut)</w:t>
      </w:r>
      <w:r>
        <w:rPr>
          <w:rStyle w:val="optioncarChar"/>
        </w:rPr>
        <w:t xml:space="preserve"> / E2</w:t>
      </w:r>
    </w:p>
    <w:p w14:paraId="7662E1E7" w14:textId="77777777" w:rsidR="00DF410E" w:rsidRDefault="00CE7F43">
      <w:pPr>
        <w:jc w:val="both"/>
      </w:pPr>
      <w:r>
        <w:t xml:space="preserve">La durabilité des colonnes,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A2.2 / traitement A3 / ***</w:t>
      </w:r>
    </w:p>
    <w:p w14:paraId="4A814744" w14:textId="77777777" w:rsidR="00DF410E" w:rsidRDefault="00CE7F43">
      <w:pPr>
        <w:pStyle w:val="pheading"/>
      </w:pPr>
      <w:r>
        <w:t>- Finitions</w:t>
      </w:r>
    </w:p>
    <w:p w14:paraId="5C97C85A" w14:textId="77777777" w:rsidR="00DF410E" w:rsidRDefault="00CE7F43">
      <w:pPr>
        <w:jc w:val="both"/>
      </w:pPr>
      <w:r>
        <w:t xml:space="preserve">Les colonnes en bois lamellé collé en bloc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45EE1DEE" w14:textId="77777777" w:rsidR="00DF410E" w:rsidRDefault="00CE7F43">
      <w:pPr>
        <w:jc w:val="both"/>
      </w:pPr>
      <w:r>
        <w:t xml:space="preserve">Les arrêtes sont </w:t>
      </w:r>
      <w:r>
        <w:rPr>
          <w:rStyle w:val="optioncarChar"/>
        </w:rPr>
        <w:t>vives</w:t>
      </w:r>
      <w:r>
        <w:t xml:space="preserve"> (par défaut) </w:t>
      </w:r>
      <w:r>
        <w:rPr>
          <w:rStyle w:val="optioncarChar"/>
        </w:rPr>
        <w:t>/ chanfreinées / ***</w:t>
      </w:r>
    </w:p>
    <w:p w14:paraId="5AFF0941" w14:textId="77777777" w:rsidR="00DF410E" w:rsidRDefault="00CE7F43">
      <w:pPr>
        <w:jc w:val="both"/>
      </w:pPr>
      <w:r>
        <w:t xml:space="preserve">Les colonnes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0512DBA2" w14:textId="77777777" w:rsidR="00DF410E" w:rsidRDefault="00CE7F43">
      <w:pPr>
        <w:pStyle w:val="pheading"/>
      </w:pPr>
      <w:r>
        <w:t>- Prescriptions complémentaires</w:t>
      </w:r>
    </w:p>
    <w:p w14:paraId="3F80813C" w14:textId="77777777" w:rsidR="00DF410E" w:rsidRDefault="00CE7F43">
      <w:r>
        <w:rPr>
          <w:rStyle w:val="facultChar"/>
        </w:rPr>
        <w:t>La qualité esthétique des colonnes est</w:t>
      </w:r>
      <w:r>
        <w:t>  </w:t>
      </w:r>
      <w:r>
        <w:rPr>
          <w:rStyle w:val="optioncarChar"/>
        </w:rPr>
        <w:t>non-visible / visible industrielle / visible habitation</w:t>
      </w:r>
    </w:p>
    <w:p w14:paraId="3FEABB28" w14:textId="77777777" w:rsidR="00DF410E" w:rsidRDefault="00CE7F43">
      <w:pPr>
        <w:pStyle w:val="pheading"/>
      </w:pPr>
      <w:r>
        <w:t>EXÉCUTION / MISE EN ŒUVRE</w:t>
      </w:r>
    </w:p>
    <w:p w14:paraId="2B1AB7A3" w14:textId="77777777" w:rsidR="00DF410E" w:rsidRDefault="00CE7F43">
      <w:pPr>
        <w:pStyle w:val="pheading"/>
      </w:pPr>
      <w:r>
        <w:t>- Prescriptions générales</w:t>
      </w:r>
    </w:p>
    <w:p w14:paraId="3B03B458" w14:textId="77777777" w:rsidR="00DF410E" w:rsidRDefault="00CE7F43">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182A5C6D" w14:textId="77777777" w:rsidR="00DF410E" w:rsidRDefault="00CE7F43">
      <w:pPr>
        <w:pStyle w:val="pheading"/>
      </w:pPr>
      <w:r>
        <w:t>MESURAGE</w:t>
      </w:r>
    </w:p>
    <w:p w14:paraId="2C288DE0" w14:textId="77777777" w:rsidR="00DF410E" w:rsidRDefault="00CE7F43">
      <w:pPr>
        <w:pStyle w:val="pheading"/>
      </w:pPr>
      <w:r>
        <w:t>- unité de mesure:</w:t>
      </w:r>
    </w:p>
    <w:p w14:paraId="2AD7A0C5" w14:textId="77777777" w:rsidR="00DF410E" w:rsidRDefault="00CE7F43">
      <w:r>
        <w:rPr>
          <w:rStyle w:val="optioncarChar"/>
        </w:rPr>
        <w:t>m³ </w:t>
      </w:r>
      <w:r>
        <w:t>(par défaut)</w:t>
      </w:r>
      <w:r>
        <w:rPr>
          <w:rStyle w:val="optioncarChar"/>
        </w:rPr>
        <w:t> / m / pc</w:t>
      </w:r>
    </w:p>
    <w:p w14:paraId="2D3F699A" w14:textId="77777777" w:rsidR="00DF410E" w:rsidRDefault="00CE7F43">
      <w:r>
        <w:rPr>
          <w:b/>
          <w:i/>
        </w:rPr>
        <w:t>(Soit par défaut)</w:t>
      </w:r>
    </w:p>
    <w:p w14:paraId="74C31016" w14:textId="77777777" w:rsidR="00DF410E" w:rsidRDefault="00CE7F43">
      <w:r>
        <w:rPr>
          <w:rStyle w:val="soitChar"/>
        </w:rPr>
        <w:t>1.    m³ </w:t>
      </w:r>
    </w:p>
    <w:p w14:paraId="7A4CFF58" w14:textId="77777777" w:rsidR="00DF410E" w:rsidRDefault="00CE7F43">
      <w:r>
        <w:rPr>
          <w:b/>
          <w:i/>
        </w:rPr>
        <w:t>(Soit)</w:t>
      </w:r>
    </w:p>
    <w:p w14:paraId="76ECCDC6" w14:textId="77777777" w:rsidR="00DF410E" w:rsidRDefault="00CE7F43">
      <w:r>
        <w:rPr>
          <w:rStyle w:val="soitChar"/>
        </w:rPr>
        <w:t>2.    m </w:t>
      </w:r>
    </w:p>
    <w:p w14:paraId="759F1A0A" w14:textId="77777777" w:rsidR="00DF410E" w:rsidRDefault="00CE7F43">
      <w:r>
        <w:rPr>
          <w:b/>
          <w:i/>
        </w:rPr>
        <w:t>(Soit)</w:t>
      </w:r>
    </w:p>
    <w:p w14:paraId="73B6EE3C" w14:textId="77777777" w:rsidR="00DF410E" w:rsidRDefault="00CE7F43">
      <w:r>
        <w:rPr>
          <w:rStyle w:val="soitChar"/>
        </w:rPr>
        <w:t>3.    pc</w:t>
      </w:r>
    </w:p>
    <w:p w14:paraId="4BDE76B2" w14:textId="77777777" w:rsidR="00DF410E" w:rsidRDefault="00CE7F43">
      <w:pPr>
        <w:pStyle w:val="pheading"/>
      </w:pPr>
      <w:r>
        <w:t>- code de mesurage:</w:t>
      </w:r>
    </w:p>
    <w:p w14:paraId="307C7118" w14:textId="77777777" w:rsidR="00DF410E" w:rsidRDefault="00CE7F43">
      <w:pPr>
        <w:jc w:val="both"/>
      </w:pPr>
      <w:r>
        <w:rPr>
          <w:rStyle w:val="optioncarChar"/>
        </w:rPr>
        <w:t> Volume brut </w:t>
      </w:r>
      <w:r>
        <w:t>(par défaut) </w:t>
      </w:r>
      <w:r>
        <w:rPr>
          <w:rStyle w:val="optioncarChar"/>
        </w:rPr>
        <w:t>/ longueur brute / quantité nette</w:t>
      </w:r>
    </w:p>
    <w:p w14:paraId="310B64CF" w14:textId="77777777" w:rsidR="00DF410E" w:rsidRDefault="00CE7F43">
      <w:pPr>
        <w:jc w:val="both"/>
      </w:pPr>
      <w:r>
        <w:rPr>
          <w:b/>
          <w:i/>
        </w:rPr>
        <w:t>(Soit par défaut)</w:t>
      </w:r>
    </w:p>
    <w:p w14:paraId="1D2730CB" w14:textId="77777777" w:rsidR="00DF410E" w:rsidRDefault="00CE7F43">
      <w:pPr>
        <w:jc w:val="both"/>
      </w:pPr>
      <w:r>
        <w:rPr>
          <w:rStyle w:val="soitChar"/>
        </w:rPr>
        <w:t>1.   </w:t>
      </w:r>
      <w:r>
        <w:rPr>
          <w:rStyle w:val="soitChar"/>
          <w:u w:val="single"/>
        </w:rPr>
        <w:t> Volume brut :</w:t>
      </w:r>
    </w:p>
    <w:p w14:paraId="03879C30" w14:textId="77777777" w:rsidR="00DF410E" w:rsidRDefault="00CE7F43">
      <w:pPr>
        <w:jc w:val="both"/>
      </w:pPr>
      <w:r>
        <w:rPr>
          <w:rStyle w:val="soitChar"/>
        </w:rPr>
        <w:t>Le volume brut d’une colonne est calculé suivant le volume du plus petit parallélépipède rectangle pouvant inclure l’élément.</w:t>
      </w:r>
    </w:p>
    <w:p w14:paraId="047F9902" w14:textId="77777777" w:rsidR="00DF410E" w:rsidRDefault="00CE7F43">
      <w:pPr>
        <w:jc w:val="both"/>
      </w:pPr>
      <w:r>
        <w:rPr>
          <w:b/>
          <w:i/>
        </w:rPr>
        <w:t> (Soit)</w:t>
      </w:r>
    </w:p>
    <w:p w14:paraId="2E1DA4B7" w14:textId="77777777" w:rsidR="00DF410E" w:rsidRDefault="00CE7F43">
      <w:pPr>
        <w:jc w:val="both"/>
      </w:pPr>
      <w:r>
        <w:rPr>
          <w:rStyle w:val="soitChar"/>
        </w:rPr>
        <w:t>2.   </w:t>
      </w:r>
      <w:r>
        <w:rPr>
          <w:rStyle w:val="soitChar"/>
          <w:u w:val="single"/>
        </w:rPr>
        <w:t> Longueur brute :</w:t>
      </w:r>
    </w:p>
    <w:p w14:paraId="4244C2CB"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62F1B611" w14:textId="77777777" w:rsidR="00DF410E" w:rsidRDefault="00CE7F43">
      <w:pPr>
        <w:jc w:val="both"/>
      </w:pPr>
      <w:r>
        <w:rPr>
          <w:rStyle w:val="soitChar"/>
        </w:rPr>
        <w:t>La longueur totale des colonnes ayant la même section et les mêmes caractéristiques est comptabilisée.</w:t>
      </w:r>
    </w:p>
    <w:p w14:paraId="6DE29F96" w14:textId="77777777" w:rsidR="00DF410E" w:rsidRDefault="00CE7F43">
      <w:pPr>
        <w:jc w:val="both"/>
      </w:pPr>
      <w:r>
        <w:rPr>
          <w:b/>
          <w:i/>
        </w:rPr>
        <w:t> (Soit)</w:t>
      </w:r>
    </w:p>
    <w:p w14:paraId="2A112F89" w14:textId="77777777" w:rsidR="00DF410E" w:rsidRDefault="00CE7F43">
      <w:pPr>
        <w:jc w:val="both"/>
      </w:pPr>
      <w:r>
        <w:rPr>
          <w:rStyle w:val="soitChar"/>
        </w:rPr>
        <w:t>3.    </w:t>
      </w:r>
      <w:r>
        <w:rPr>
          <w:rStyle w:val="soitChar"/>
          <w:u w:val="single"/>
        </w:rPr>
        <w:t>Quantité nette :</w:t>
      </w:r>
    </w:p>
    <w:p w14:paraId="70595FED" w14:textId="77777777" w:rsidR="00DF410E" w:rsidRDefault="00CE7F43">
      <w:pPr>
        <w:jc w:val="both"/>
      </w:pPr>
      <w:r>
        <w:rPr>
          <w:rStyle w:val="soitChar"/>
        </w:rPr>
        <w:t>Le nombre de colonnes ayant les mêmes dimensions et les mêmes caractéristiques est compatibilisé.</w:t>
      </w:r>
    </w:p>
    <w:p w14:paraId="2FC1FA0A" w14:textId="77777777" w:rsidR="00DF410E" w:rsidRDefault="00CE7F43">
      <w:pPr>
        <w:pStyle w:val="pheading"/>
      </w:pPr>
      <w:r>
        <w:t>- nature du marché:</w:t>
      </w:r>
    </w:p>
    <w:p w14:paraId="3FA21DAF" w14:textId="77777777" w:rsidR="00DF410E" w:rsidRDefault="00CE7F43">
      <w:r>
        <w:rPr>
          <w:rStyle w:val="optioncarChar"/>
        </w:rPr>
        <w:t>QF </w:t>
      </w:r>
      <w:r>
        <w:t>(par défaut) </w:t>
      </w:r>
      <w:r>
        <w:rPr>
          <w:rStyle w:val="optioncarChar"/>
        </w:rPr>
        <w:t>/ QP</w:t>
      </w:r>
    </w:p>
    <w:p w14:paraId="4959AA6D" w14:textId="77777777" w:rsidR="00DF410E" w:rsidRDefault="00CE7F43">
      <w:r>
        <w:rPr>
          <w:b/>
          <w:i/>
        </w:rPr>
        <w:t>(Soit par défaut)</w:t>
      </w:r>
    </w:p>
    <w:p w14:paraId="0FEBE800" w14:textId="77777777" w:rsidR="00DF410E" w:rsidRDefault="00CE7F43">
      <w:r>
        <w:rPr>
          <w:rStyle w:val="soitChar"/>
        </w:rPr>
        <w:t>1.2.3      QF</w:t>
      </w:r>
    </w:p>
    <w:p w14:paraId="682FF7A7" w14:textId="77777777" w:rsidR="00DF410E" w:rsidRDefault="00CE7F43">
      <w:r>
        <w:rPr>
          <w:b/>
          <w:i/>
        </w:rPr>
        <w:t>(Soit)</w:t>
      </w:r>
    </w:p>
    <w:p w14:paraId="133CAF97" w14:textId="77777777" w:rsidR="00DF410E" w:rsidRDefault="00CE7F43">
      <w:r>
        <w:rPr>
          <w:rStyle w:val="soitChar"/>
        </w:rPr>
        <w:t>1.2.3      QP</w:t>
      </w:r>
    </w:p>
    <w:p w14:paraId="1A28F93E" w14:textId="77777777" w:rsidR="00DF410E" w:rsidRDefault="00CE7F43">
      <w:pPr>
        <w:pStyle w:val="pheading"/>
      </w:pPr>
      <w:r>
        <w:t>AIDE</w:t>
      </w:r>
    </w:p>
    <w:p w14:paraId="30EE7AA5" w14:textId="77777777" w:rsidR="00DF410E" w:rsidRDefault="00CE7F43">
      <w:pPr>
        <w:jc w:val="both"/>
      </w:pPr>
      <w:r>
        <w:t>Le code suivant peut être utilisé pour la dénomination du poste :</w:t>
      </w:r>
    </w:p>
    <w:p w14:paraId="47E3CB7B" w14:textId="77777777" w:rsidR="00DF410E" w:rsidRDefault="00CE7F43">
      <w:pPr>
        <w:jc w:val="both"/>
      </w:pPr>
      <w:r>
        <w:t>BLC-B 1 / 2 / 3 / 4 / 5</w:t>
      </w:r>
    </w:p>
    <w:p w14:paraId="090208BA" w14:textId="77777777" w:rsidR="00DF410E" w:rsidRDefault="00CE7F43">
      <w:pPr>
        <w:jc w:val="both"/>
      </w:pPr>
      <w:r>
        <w:t>Avec :</w:t>
      </w:r>
    </w:p>
    <w:p w14:paraId="2E156F49" w14:textId="77777777" w:rsidR="00DF410E" w:rsidRDefault="00CE7F43">
      <w:pPr>
        <w:jc w:val="both"/>
      </w:pPr>
      <w:r>
        <w:t>BLC-B pour bois lamellé collé en bloc</w:t>
      </w:r>
    </w:p>
    <w:p w14:paraId="075B0157" w14:textId="77777777" w:rsidR="00DF410E" w:rsidRDefault="00CE7F43">
      <w:pPr>
        <w:jc w:val="both"/>
      </w:pPr>
      <w:r>
        <w:t>1 : la classe de résistance des colonnes</w:t>
      </w:r>
    </w:p>
    <w:p w14:paraId="494F1476" w14:textId="77777777" w:rsidR="00DF410E" w:rsidRDefault="00CE7F43">
      <w:pPr>
        <w:jc w:val="both"/>
      </w:pPr>
      <w:r>
        <w:t>2 : la section – ici : variable</w:t>
      </w:r>
    </w:p>
    <w:p w14:paraId="79D0D2FF" w14:textId="77777777" w:rsidR="00DF410E" w:rsidRDefault="00CE7F43">
      <w:pPr>
        <w:jc w:val="both"/>
      </w:pPr>
      <w:r>
        <w:t>3 : l’essence de bois</w:t>
      </w:r>
    </w:p>
    <w:p w14:paraId="5B3B8290" w14:textId="77777777" w:rsidR="00DF410E" w:rsidRDefault="00CE7F43">
      <w:pPr>
        <w:jc w:val="both"/>
      </w:pPr>
      <w:r>
        <w:t>4 : la classe d’emploi des colonnes</w:t>
      </w:r>
    </w:p>
    <w:p w14:paraId="150CA6F5" w14:textId="77777777" w:rsidR="00DF410E" w:rsidRDefault="00CE7F43">
      <w:pPr>
        <w:jc w:val="both"/>
      </w:pPr>
      <w:r>
        <w:t>5 : la méthode utilisée pour garantir la durabilité des colonnes</w:t>
      </w:r>
    </w:p>
    <w:p w14:paraId="216DB3E9" w14:textId="77777777" w:rsidR="00DF410E" w:rsidRDefault="00CE7F43">
      <w:pPr>
        <w:jc w:val="both"/>
      </w:pPr>
      <w:r>
        <w:t> </w:t>
      </w:r>
    </w:p>
    <w:p w14:paraId="089BC03F" w14:textId="77777777" w:rsidR="00DF410E" w:rsidRDefault="00CE7F43">
      <w:pPr>
        <w:jc w:val="both"/>
      </w:pPr>
      <w:r>
        <w:t>Ce qui donne, par exemple :</w:t>
      </w:r>
    </w:p>
    <w:p w14:paraId="5A2AF91E" w14:textId="77777777" w:rsidR="00DF410E" w:rsidRDefault="00CE7F43">
      <w:pPr>
        <w:jc w:val="both"/>
      </w:pPr>
      <w:r>
        <w:t>BLC-B GL24c / variable / épicéa / 2 / A2.2</w:t>
      </w:r>
    </w:p>
    <w:p w14:paraId="3DA3D1A2" w14:textId="77777777" w:rsidR="00DF410E" w:rsidRDefault="00CE7F43">
      <w:pPr>
        <w:pStyle w:val="Author-eSectionHeading5"/>
      </w:pPr>
      <w:bookmarkStart w:id="1575" w:name="_Toc178838671"/>
      <w:r>
        <w:t>24.12.4 Colonnes en LVL CCTB 01.07</w:t>
      </w:r>
      <w:bookmarkEnd w:id="1575"/>
    </w:p>
    <w:p w14:paraId="50AE169B" w14:textId="77777777" w:rsidR="00DF410E" w:rsidRDefault="00CE7F43">
      <w:pPr>
        <w:pStyle w:val="pheading"/>
      </w:pPr>
      <w:r>
        <w:t>DESCRIPTION</w:t>
      </w:r>
    </w:p>
    <w:p w14:paraId="41A62195" w14:textId="77777777" w:rsidR="00DF410E" w:rsidRDefault="00CE7F43">
      <w:pPr>
        <w:pStyle w:val="pheading"/>
      </w:pPr>
      <w:r>
        <w:t>- Définition / Comprend</w:t>
      </w:r>
    </w:p>
    <w:p w14:paraId="1D6332D6" w14:textId="77777777" w:rsidR="00DF410E" w:rsidRDefault="00CE7F43">
      <w:r>
        <w:t xml:space="preserve">Il s’agit des colonnes en LVL. La notion de LVL est expliquée au </w:t>
      </w:r>
      <w:hyperlink w:anchor="89" w:history="1">
        <w:r>
          <w:t>24 Superstructures en bois</w:t>
        </w:r>
      </w:hyperlink>
      <w:r>
        <w:t>.</w:t>
      </w:r>
    </w:p>
    <w:p w14:paraId="01A21031" w14:textId="77777777" w:rsidR="00DF410E" w:rsidRDefault="00CE7F43">
      <w:pPr>
        <w:pStyle w:val="pheading"/>
      </w:pPr>
      <w:r>
        <w:t>EXÉCUTION / MISE EN ŒUVRE</w:t>
      </w:r>
    </w:p>
    <w:p w14:paraId="4153D01D" w14:textId="77777777" w:rsidR="00DF410E" w:rsidRDefault="00CE7F43">
      <w:pPr>
        <w:jc w:val="both"/>
      </w:pPr>
      <w:r>
        <w:t>Lorsque les colonnes sont posées sur des matériaux humides ou humidifiables, les assemblages sont conçus de façon à éviter l’absorption par capillarité.</w:t>
      </w:r>
    </w:p>
    <w:p w14:paraId="4763B7BC" w14:textId="77777777" w:rsidR="00DF410E" w:rsidRDefault="00CE7F43">
      <w:pPr>
        <w:jc w:val="both"/>
      </w:pPr>
      <w:r>
        <w:t>Si les colonnes sont situées à l’intérieur, une protection contre l’humidité est prévue (type membranes bitumineuses, EPDM ou équivalent) sous les colonnes pour éviter les remontées capillaires.</w:t>
      </w:r>
    </w:p>
    <w:p w14:paraId="578C8C60" w14:textId="77777777" w:rsidR="00DF410E" w:rsidRDefault="00CE7F43">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45F219FD" w14:textId="77777777" w:rsidR="00DF410E" w:rsidRDefault="00CE7F43">
      <w:pPr>
        <w:pStyle w:val="Author-eSectionHeading6"/>
      </w:pPr>
      <w:bookmarkStart w:id="1576" w:name="_Toc178838672"/>
      <w:r>
        <w:t>24.12.4a Colonnes en LVL à inertie constante CCTB 01.11</w:t>
      </w:r>
      <w:bookmarkEnd w:id="1576"/>
    </w:p>
    <w:p w14:paraId="73DBD3F3" w14:textId="77777777" w:rsidR="00DF410E" w:rsidRDefault="00CE7F43">
      <w:pPr>
        <w:pStyle w:val="pheading"/>
      </w:pPr>
      <w:r>
        <w:t>DESCRIPTION</w:t>
      </w:r>
    </w:p>
    <w:p w14:paraId="535F17B3" w14:textId="77777777" w:rsidR="00DF410E" w:rsidRDefault="00CE7F43">
      <w:pPr>
        <w:pStyle w:val="pheading"/>
      </w:pPr>
      <w:r>
        <w:t>- Définition / Comprend</w:t>
      </w:r>
    </w:p>
    <w:p w14:paraId="021D02C6" w14:textId="77777777" w:rsidR="00DF410E" w:rsidRDefault="00CE7F43">
      <w:r>
        <w:t>Il s'agit de l’ensemble des colonnes en LVL et à inertie constante.</w:t>
      </w:r>
    </w:p>
    <w:p w14:paraId="2E002A1E" w14:textId="77777777" w:rsidR="00DF410E" w:rsidRDefault="00CE7F43">
      <w:pPr>
        <w:pStyle w:val="pheading"/>
      </w:pPr>
      <w:r>
        <w:t>MATÉRIAUX</w:t>
      </w:r>
    </w:p>
    <w:p w14:paraId="575C7F9D" w14:textId="77777777" w:rsidR="00DF410E" w:rsidRDefault="00CE7F43">
      <w:pPr>
        <w:pStyle w:val="pheading"/>
      </w:pPr>
      <w:r>
        <w:t>- Caractéristiques générales</w:t>
      </w:r>
    </w:p>
    <w:p w14:paraId="12989C27" w14:textId="77777777" w:rsidR="00DF410E" w:rsidRDefault="00CE7F43">
      <w:pPr>
        <w:jc w:val="both"/>
      </w:pPr>
      <w:r>
        <w:t xml:space="preserve">Dimensions de la section : </w:t>
      </w:r>
      <w:r>
        <w:rPr>
          <w:rStyle w:val="optioncarChar"/>
        </w:rPr>
        <w:t xml:space="preserve">Voir plans </w:t>
      </w:r>
      <w:r>
        <w:t>(par défaut)</w:t>
      </w:r>
      <w:r>
        <w:rPr>
          <w:rStyle w:val="optioncarChar"/>
        </w:rPr>
        <w:t xml:space="preserve"> / *** x *** mm²</w:t>
      </w:r>
    </w:p>
    <w:p w14:paraId="03AB5026" w14:textId="77777777" w:rsidR="00DF410E" w:rsidRDefault="00CE7F43">
      <w:pPr>
        <w:jc w:val="both"/>
      </w:pPr>
      <w:r>
        <w:t xml:space="preserve">Type de LVL : </w:t>
      </w:r>
      <w:r>
        <w:rPr>
          <w:rStyle w:val="optioncarChar"/>
        </w:rPr>
        <w:t xml:space="preserve">S </w:t>
      </w:r>
      <w:r>
        <w:t xml:space="preserve">(par défaut) </w:t>
      </w:r>
      <w:r>
        <w:rPr>
          <w:rStyle w:val="optioncarChar"/>
        </w:rPr>
        <w:t>/ Q</w:t>
      </w:r>
    </w:p>
    <w:p w14:paraId="5E2E7C52" w14:textId="77777777" w:rsidR="00DF410E" w:rsidRDefault="00CE7F43">
      <w:pPr>
        <w:jc w:val="both"/>
      </w:pPr>
      <w:r>
        <w:t> </w:t>
      </w:r>
    </w:p>
    <w:p w14:paraId="386450AC" w14:textId="77777777" w:rsidR="00DF410E" w:rsidRDefault="00CE7F43">
      <w:pPr>
        <w:jc w:val="both"/>
      </w:pPr>
      <w:r>
        <w:t>Caractéristiques mécaniques :</w:t>
      </w:r>
    </w:p>
    <w:p w14:paraId="7B77AC20" w14:textId="77777777" w:rsidR="00DF410E" w:rsidRDefault="00CE7F43">
      <w:pPr>
        <w:pStyle w:val="Author-eListParagraph"/>
        <w:numPr>
          <w:ilvl w:val="0"/>
          <w:numId w:val="851"/>
        </w:numPr>
      </w:pPr>
      <w:r>
        <w:t>Résistance minimale en flexion à chant :</w:t>
      </w:r>
      <w:r>
        <w:rPr>
          <w:rStyle w:val="optioncarChar"/>
        </w:rPr>
        <w:t xml:space="preserve"> 40 MPa</w:t>
      </w:r>
      <w:r>
        <w:t xml:space="preserve"> (par défaut)</w:t>
      </w:r>
      <w:r>
        <w:rPr>
          <w:rStyle w:val="optioncarChar"/>
        </w:rPr>
        <w:t> / ***</w:t>
      </w:r>
    </w:p>
    <w:p w14:paraId="39133911" w14:textId="77777777" w:rsidR="00DF410E" w:rsidRDefault="00CE7F43">
      <w:pPr>
        <w:pStyle w:val="Author-eListParagraph"/>
        <w:numPr>
          <w:ilvl w:val="0"/>
          <w:numId w:val="851"/>
        </w:numPr>
      </w:pPr>
      <w:r>
        <w:t xml:space="preserve">Résistance minimale en flexion à plat : </w:t>
      </w:r>
      <w:r>
        <w:rPr>
          <w:rStyle w:val="optioncarChar"/>
        </w:rPr>
        <w:t>40 MPa </w:t>
      </w:r>
      <w:r>
        <w:t>(par défaut) </w:t>
      </w:r>
      <w:r>
        <w:rPr>
          <w:rStyle w:val="optioncarChar"/>
        </w:rPr>
        <w:t>/ ***</w:t>
      </w:r>
    </w:p>
    <w:p w14:paraId="31811B51" w14:textId="77777777" w:rsidR="00DF410E" w:rsidRDefault="00CE7F43">
      <w:pPr>
        <w:pStyle w:val="Author-eListParagraph"/>
        <w:numPr>
          <w:ilvl w:val="0"/>
          <w:numId w:val="851"/>
        </w:numPr>
      </w:pPr>
      <w:r>
        <w:t xml:space="preserve">Résistance minimale en traction parallèle au fil du bois : </w:t>
      </w:r>
      <w:r>
        <w:rPr>
          <w:rStyle w:val="optioncarChar"/>
        </w:rPr>
        <w:t>30 MPa </w:t>
      </w:r>
      <w:r>
        <w:t>(par défaut)</w:t>
      </w:r>
      <w:r>
        <w:rPr>
          <w:rStyle w:val="optioncarChar"/>
        </w:rPr>
        <w:t xml:space="preserve"> / ***</w:t>
      </w:r>
    </w:p>
    <w:p w14:paraId="4101B99C" w14:textId="77777777" w:rsidR="00DF410E" w:rsidRDefault="00CE7F43">
      <w:pPr>
        <w:pStyle w:val="Author-eListParagraph"/>
        <w:numPr>
          <w:ilvl w:val="0"/>
          <w:numId w:val="851"/>
        </w:numPr>
      </w:pPr>
      <w:r>
        <w:t xml:space="preserve">Résistance minimale en compression parallèle au fil du bois : </w:t>
      </w:r>
      <w:r>
        <w:rPr>
          <w:rStyle w:val="optioncarChar"/>
        </w:rPr>
        <w:t>30 MPa </w:t>
      </w:r>
      <w:r>
        <w:t>(par défaut)</w:t>
      </w:r>
      <w:r>
        <w:rPr>
          <w:rStyle w:val="optioncarChar"/>
        </w:rPr>
        <w:t xml:space="preserve"> / ***</w:t>
      </w:r>
    </w:p>
    <w:p w14:paraId="7A3A5E93" w14:textId="77777777" w:rsidR="00DF410E" w:rsidRDefault="00CE7F43">
      <w:pPr>
        <w:pStyle w:val="Author-eListParagraph"/>
        <w:numPr>
          <w:ilvl w:val="0"/>
          <w:numId w:val="851"/>
        </w:numPr>
      </w:pPr>
      <w:r>
        <w:t>Résistance minimale en cisaillement à chant :</w:t>
      </w:r>
      <w:r>
        <w:rPr>
          <w:rStyle w:val="optioncarChar"/>
        </w:rPr>
        <w:t xml:space="preserve"> 5 MPa </w:t>
      </w:r>
      <w:r>
        <w:t>(par défaut)</w:t>
      </w:r>
      <w:r>
        <w:rPr>
          <w:rStyle w:val="optioncarChar"/>
        </w:rPr>
        <w:t xml:space="preserve"> / ***</w:t>
      </w:r>
    </w:p>
    <w:p w14:paraId="2C4B237E" w14:textId="77777777" w:rsidR="00DF410E" w:rsidRDefault="00CE7F43">
      <w:pPr>
        <w:pStyle w:val="Author-eListParagraph"/>
        <w:numPr>
          <w:ilvl w:val="0"/>
          <w:numId w:val="851"/>
        </w:numPr>
      </w:pPr>
      <w:r>
        <w:t xml:space="preserve">Résistance minimale en cisaillement à plat : </w:t>
      </w:r>
      <w:r>
        <w:rPr>
          <w:rStyle w:val="optioncarChar"/>
        </w:rPr>
        <w:t>4 MPa </w:t>
      </w:r>
      <w:r>
        <w:t>(par défaut)</w:t>
      </w:r>
      <w:r>
        <w:rPr>
          <w:rStyle w:val="optioncarChar"/>
        </w:rPr>
        <w:t xml:space="preserve"> / ***</w:t>
      </w:r>
    </w:p>
    <w:p w14:paraId="599D5670" w14:textId="77777777" w:rsidR="00DF410E" w:rsidRDefault="00CE7F43">
      <w:pPr>
        <w:pStyle w:val="Author-eListParagraph"/>
        <w:numPr>
          <w:ilvl w:val="0"/>
          <w:numId w:val="851"/>
        </w:numPr>
      </w:pPr>
      <w:r>
        <w:t xml:space="preserve">Module d’élasticité minimum parallèle au fil du bois (au fractile 5%) : </w:t>
      </w:r>
      <w:r>
        <w:rPr>
          <w:rStyle w:val="optioncarChar"/>
        </w:rPr>
        <w:t>9 GPa </w:t>
      </w:r>
      <w:r>
        <w:t>(par défaut)</w:t>
      </w:r>
      <w:r>
        <w:rPr>
          <w:rStyle w:val="optioncarChar"/>
        </w:rPr>
        <w:t xml:space="preserve"> / ***</w:t>
      </w:r>
    </w:p>
    <w:p w14:paraId="0409F356" w14:textId="77777777" w:rsidR="00DF410E" w:rsidRDefault="00CE7F43">
      <w:pPr>
        <w:pStyle w:val="Author-eListParagraph"/>
        <w:numPr>
          <w:ilvl w:val="0"/>
          <w:numId w:val="851"/>
        </w:numPr>
      </w:pPr>
      <w:r>
        <w:t xml:space="preserve">Module de cisaillement à chant : </w:t>
      </w:r>
      <w:r>
        <w:rPr>
          <w:rStyle w:val="optioncarChar"/>
        </w:rPr>
        <w:t>600 MPa </w:t>
      </w:r>
      <w:r>
        <w:t>(par défaut)</w:t>
      </w:r>
      <w:r>
        <w:rPr>
          <w:rStyle w:val="optioncarChar"/>
        </w:rPr>
        <w:t xml:space="preserve"> / ***</w:t>
      </w:r>
    </w:p>
    <w:p w14:paraId="0CC8EC42" w14:textId="77777777" w:rsidR="00DF410E" w:rsidRDefault="00CE7F43">
      <w:pPr>
        <w:pStyle w:val="Author-eListParagraph"/>
        <w:numPr>
          <w:ilvl w:val="0"/>
          <w:numId w:val="851"/>
        </w:numPr>
      </w:pPr>
      <w:r>
        <w:t>Module de cisaillement à plat :</w:t>
      </w:r>
      <w:r>
        <w:rPr>
          <w:rStyle w:val="optioncarChar"/>
        </w:rPr>
        <w:t xml:space="preserve"> 400 MPa </w:t>
      </w:r>
      <w:r>
        <w:t>(par défaut)</w:t>
      </w:r>
      <w:r>
        <w:rPr>
          <w:rStyle w:val="optioncarChar"/>
        </w:rPr>
        <w:t xml:space="preserve"> / ***</w:t>
      </w:r>
    </w:p>
    <w:p w14:paraId="131C546E" w14:textId="77777777" w:rsidR="00DF410E" w:rsidRDefault="00CE7F43">
      <w:pPr>
        <w:jc w:val="both"/>
      </w:pPr>
      <w:r>
        <w:t xml:space="preserve">Courbure des colonnes : </w:t>
      </w:r>
      <w:r>
        <w:rPr>
          <w:rStyle w:val="optioncarChar"/>
        </w:rPr>
        <w:t xml:space="preserve">aucune </w:t>
      </w:r>
      <w:r>
        <w:t>(par défaut)</w:t>
      </w:r>
      <w:r>
        <w:rPr>
          <w:rStyle w:val="optioncarChar"/>
        </w:rPr>
        <w:t xml:space="preserve"> / voir plan / ***</w:t>
      </w:r>
    </w:p>
    <w:p w14:paraId="40DFB922"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pin / douglas / bouleau / hêtre / ***</w:t>
      </w:r>
    </w:p>
    <w:p w14:paraId="61CE1787" w14:textId="77777777" w:rsidR="00DF410E" w:rsidRDefault="00CE7F43">
      <w:pPr>
        <w:jc w:val="both"/>
      </w:pPr>
      <w:r>
        <w:t xml:space="preserve">Classe d’emploi : </w:t>
      </w:r>
      <w:r>
        <w:rPr>
          <w:rStyle w:val="optioncarChar"/>
        </w:rPr>
        <w:t>1 / 2 / 3</w:t>
      </w:r>
    </w:p>
    <w:p w14:paraId="3A698F81" w14:textId="77777777" w:rsidR="00DF410E" w:rsidRDefault="00CE7F43">
      <w:pPr>
        <w:jc w:val="both"/>
      </w:pPr>
      <w:r>
        <w:t>La classe de durabilité minimale des colonnes en LVL est directement liée à la classe d’emploi.</w:t>
      </w:r>
    </w:p>
    <w:p w14:paraId="7EB30C32" w14:textId="77777777" w:rsidR="00DF410E" w:rsidRDefault="00CE7F43">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35E7CD2E" w14:textId="77777777" w:rsidR="00DF410E" w:rsidRDefault="00CE7F43">
      <w:pPr>
        <w:jc w:val="both"/>
      </w:pPr>
      <w:r>
        <w:t xml:space="preserve">Classe d’émission de formaldéhyde : </w:t>
      </w:r>
      <w:r>
        <w:rPr>
          <w:rStyle w:val="optioncarChar"/>
        </w:rPr>
        <w:t>E1</w:t>
      </w:r>
      <w:r>
        <w:t xml:space="preserve"> (par défaut) </w:t>
      </w:r>
      <w:r>
        <w:rPr>
          <w:rStyle w:val="optioncarChar"/>
        </w:rPr>
        <w:t>/ E2</w:t>
      </w:r>
    </w:p>
    <w:p w14:paraId="18B730A9" w14:textId="77777777" w:rsidR="00DF410E" w:rsidRDefault="00CE7F43">
      <w:pPr>
        <w:pStyle w:val="pheading"/>
      </w:pPr>
      <w:r>
        <w:t>- Finitions</w:t>
      </w:r>
    </w:p>
    <w:p w14:paraId="46D279CB" w14:textId="77777777" w:rsidR="00DF410E" w:rsidRDefault="00CE7F43">
      <w:pPr>
        <w:jc w:val="both"/>
      </w:pPr>
      <w:r>
        <w:t xml:space="preserve">Les colonnes en LVL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139735A5" w14:textId="77777777" w:rsidR="00DF410E" w:rsidRDefault="00CE7F43">
      <w:pPr>
        <w:jc w:val="both"/>
      </w:pPr>
      <w:r>
        <w:t xml:space="preserve">Les arrêtes sont </w:t>
      </w:r>
      <w:r>
        <w:rPr>
          <w:rStyle w:val="optioncarChar"/>
        </w:rPr>
        <w:t xml:space="preserve">vives </w:t>
      </w:r>
      <w:r>
        <w:t>(par défaut)</w:t>
      </w:r>
      <w:r>
        <w:rPr>
          <w:rStyle w:val="optioncarChar"/>
        </w:rPr>
        <w:t xml:space="preserve"> / chanfreinées / ***</w:t>
      </w:r>
    </w:p>
    <w:p w14:paraId="2AF1A6B3" w14:textId="77777777" w:rsidR="00DF410E" w:rsidRDefault="00CE7F43">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1394FDDE" w14:textId="77777777" w:rsidR="00DF410E" w:rsidRDefault="00CE7F43">
      <w:pPr>
        <w:pStyle w:val="pheading"/>
      </w:pPr>
      <w:r>
        <w:t>EXÉCUTION / MISE EN ŒUVRE</w:t>
      </w:r>
    </w:p>
    <w:p w14:paraId="55DBE325" w14:textId="77777777" w:rsidR="00DF410E" w:rsidRDefault="00CE7F43">
      <w:pPr>
        <w:pStyle w:val="pheading"/>
      </w:pPr>
      <w:r>
        <w:t>- Prescriptions générales</w:t>
      </w:r>
    </w:p>
    <w:p w14:paraId="6FA5F6CD" w14:textId="77777777" w:rsidR="00DF410E" w:rsidRDefault="00CE7F43">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4CFA1A0C" w14:textId="77777777" w:rsidR="00DF410E" w:rsidRDefault="00CE7F43">
      <w:pPr>
        <w:pStyle w:val="pheading"/>
      </w:pPr>
      <w:r>
        <w:t>MESURAGE</w:t>
      </w:r>
    </w:p>
    <w:p w14:paraId="31C616B3" w14:textId="77777777" w:rsidR="00DF410E" w:rsidRDefault="00CE7F43">
      <w:pPr>
        <w:pStyle w:val="pheading"/>
      </w:pPr>
      <w:r>
        <w:t>- unité de mesure:</w:t>
      </w:r>
    </w:p>
    <w:p w14:paraId="1761B0CA" w14:textId="77777777" w:rsidR="00DF410E" w:rsidRDefault="00CE7F43">
      <w:r>
        <w:rPr>
          <w:rStyle w:val="optioncarChar"/>
        </w:rPr>
        <w:t>m³ </w:t>
      </w:r>
      <w:r>
        <w:t>(par défaut)</w:t>
      </w:r>
      <w:r>
        <w:rPr>
          <w:rStyle w:val="optioncarChar"/>
        </w:rPr>
        <w:t> / m / pc</w:t>
      </w:r>
    </w:p>
    <w:p w14:paraId="19C7EE1B" w14:textId="77777777" w:rsidR="00DF410E" w:rsidRDefault="00CE7F43">
      <w:r>
        <w:rPr>
          <w:b/>
          <w:i/>
        </w:rPr>
        <w:t>(Soit par défaut)</w:t>
      </w:r>
    </w:p>
    <w:p w14:paraId="2606488B" w14:textId="77777777" w:rsidR="00DF410E" w:rsidRDefault="00CE7F43">
      <w:r>
        <w:rPr>
          <w:rStyle w:val="soitChar"/>
        </w:rPr>
        <w:t>1.    m³ </w:t>
      </w:r>
    </w:p>
    <w:p w14:paraId="5A19C1F4" w14:textId="77777777" w:rsidR="00DF410E" w:rsidRDefault="00CE7F43">
      <w:r>
        <w:rPr>
          <w:b/>
          <w:i/>
        </w:rPr>
        <w:t>(Soit)</w:t>
      </w:r>
    </w:p>
    <w:p w14:paraId="29329618" w14:textId="77777777" w:rsidR="00DF410E" w:rsidRDefault="00CE7F43">
      <w:r>
        <w:rPr>
          <w:rStyle w:val="soitChar"/>
        </w:rPr>
        <w:t>2.    m </w:t>
      </w:r>
    </w:p>
    <w:p w14:paraId="14B4D224" w14:textId="77777777" w:rsidR="00DF410E" w:rsidRDefault="00CE7F43">
      <w:r>
        <w:rPr>
          <w:b/>
          <w:i/>
        </w:rPr>
        <w:t>(Soit)</w:t>
      </w:r>
    </w:p>
    <w:p w14:paraId="77EE6420" w14:textId="77777777" w:rsidR="00DF410E" w:rsidRDefault="00CE7F43">
      <w:r>
        <w:rPr>
          <w:rStyle w:val="soitChar"/>
        </w:rPr>
        <w:t>3.    pc</w:t>
      </w:r>
    </w:p>
    <w:p w14:paraId="0F84108C" w14:textId="77777777" w:rsidR="00DF410E" w:rsidRDefault="00CE7F43">
      <w:pPr>
        <w:pStyle w:val="pheading"/>
      </w:pPr>
      <w:r>
        <w:t>- code de mesurage:</w:t>
      </w:r>
    </w:p>
    <w:p w14:paraId="587B7425" w14:textId="77777777" w:rsidR="00DF410E" w:rsidRDefault="00CE7F43">
      <w:pPr>
        <w:jc w:val="both"/>
      </w:pPr>
      <w:r>
        <w:rPr>
          <w:rStyle w:val="optioncarChar"/>
        </w:rPr>
        <w:t> Volume brut </w:t>
      </w:r>
      <w:r>
        <w:t>(par défaut) </w:t>
      </w:r>
      <w:r>
        <w:rPr>
          <w:rStyle w:val="optioncarChar"/>
        </w:rPr>
        <w:t>/ longueur brute / quantité nette</w:t>
      </w:r>
    </w:p>
    <w:p w14:paraId="13238C81" w14:textId="77777777" w:rsidR="00DF410E" w:rsidRDefault="00CE7F43">
      <w:pPr>
        <w:jc w:val="both"/>
      </w:pPr>
      <w:r>
        <w:rPr>
          <w:b/>
          <w:i/>
        </w:rPr>
        <w:t>(Soit par défaut)</w:t>
      </w:r>
    </w:p>
    <w:p w14:paraId="55D1FB44" w14:textId="77777777" w:rsidR="00DF410E" w:rsidRDefault="00CE7F43">
      <w:pPr>
        <w:jc w:val="both"/>
      </w:pPr>
      <w:r>
        <w:rPr>
          <w:rStyle w:val="soitChar"/>
        </w:rPr>
        <w:t>1.   </w:t>
      </w:r>
      <w:r>
        <w:rPr>
          <w:rStyle w:val="soitChar"/>
          <w:u w:val="single"/>
        </w:rPr>
        <w:t> Volume brut :</w:t>
      </w:r>
    </w:p>
    <w:p w14:paraId="73A147B3" w14:textId="77777777" w:rsidR="00DF410E" w:rsidRDefault="00CE7F43">
      <w:pPr>
        <w:jc w:val="both"/>
      </w:pPr>
      <w:r>
        <w:rPr>
          <w:rStyle w:val="soitChar"/>
        </w:rPr>
        <w:t>Le volume brut d’une colonne est calculé suivant l'épaisseur prescrite au cahier spécial des charges.</w:t>
      </w:r>
    </w:p>
    <w:p w14:paraId="0D48A2BB" w14:textId="77777777" w:rsidR="00DF410E" w:rsidRDefault="00CE7F43">
      <w:pPr>
        <w:jc w:val="both"/>
      </w:pPr>
      <w:r>
        <w:rPr>
          <w:b/>
          <w:i/>
        </w:rPr>
        <w:t> (Soit)</w:t>
      </w:r>
    </w:p>
    <w:p w14:paraId="3697876C" w14:textId="77777777" w:rsidR="00DF410E" w:rsidRDefault="00CE7F43">
      <w:pPr>
        <w:jc w:val="both"/>
      </w:pPr>
      <w:r>
        <w:rPr>
          <w:rStyle w:val="soitChar"/>
        </w:rPr>
        <w:t>2.   </w:t>
      </w:r>
      <w:r>
        <w:rPr>
          <w:rStyle w:val="soitChar"/>
          <w:u w:val="single"/>
        </w:rPr>
        <w:t> Longueur brute :</w:t>
      </w:r>
    </w:p>
    <w:p w14:paraId="6E330982"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3700A0CF" w14:textId="77777777" w:rsidR="00DF410E" w:rsidRDefault="00CE7F43">
      <w:pPr>
        <w:jc w:val="both"/>
      </w:pPr>
      <w:r>
        <w:rPr>
          <w:rStyle w:val="soitChar"/>
        </w:rPr>
        <w:t>La longueur totale des colonnes ayant la même section et les mêmes caractéristiques est comptabilisée.</w:t>
      </w:r>
    </w:p>
    <w:p w14:paraId="2E260449" w14:textId="77777777" w:rsidR="00DF410E" w:rsidRDefault="00CE7F43">
      <w:pPr>
        <w:jc w:val="both"/>
      </w:pPr>
      <w:r>
        <w:rPr>
          <w:b/>
          <w:i/>
        </w:rPr>
        <w:t> (Soit)</w:t>
      </w:r>
    </w:p>
    <w:p w14:paraId="037F2B42" w14:textId="77777777" w:rsidR="00DF410E" w:rsidRDefault="00CE7F43">
      <w:pPr>
        <w:jc w:val="both"/>
      </w:pPr>
      <w:r>
        <w:rPr>
          <w:rStyle w:val="soitChar"/>
        </w:rPr>
        <w:t>3.    </w:t>
      </w:r>
      <w:r>
        <w:rPr>
          <w:rStyle w:val="soitChar"/>
          <w:u w:val="single"/>
        </w:rPr>
        <w:t>Quantité nette :</w:t>
      </w:r>
    </w:p>
    <w:p w14:paraId="40AB2212" w14:textId="77777777" w:rsidR="00DF410E" w:rsidRDefault="00CE7F43">
      <w:pPr>
        <w:jc w:val="both"/>
      </w:pPr>
      <w:r>
        <w:rPr>
          <w:rStyle w:val="soitChar"/>
        </w:rPr>
        <w:t>Le nombre de colonnes ayant les mêmes dimensions et les mêmes caractéristiques est compatibilisé.</w:t>
      </w:r>
    </w:p>
    <w:p w14:paraId="0046F4FE" w14:textId="77777777" w:rsidR="00DF410E" w:rsidRDefault="00CE7F43">
      <w:pPr>
        <w:pStyle w:val="pheading"/>
      </w:pPr>
      <w:r>
        <w:t>- nature du marché:</w:t>
      </w:r>
    </w:p>
    <w:p w14:paraId="3D316FB1" w14:textId="77777777" w:rsidR="00DF410E" w:rsidRDefault="00CE7F43">
      <w:r>
        <w:rPr>
          <w:rStyle w:val="optioncarChar"/>
        </w:rPr>
        <w:t>QF </w:t>
      </w:r>
      <w:r>
        <w:t>(par défaut) </w:t>
      </w:r>
      <w:r>
        <w:rPr>
          <w:rStyle w:val="optioncarChar"/>
        </w:rPr>
        <w:t>/ QP</w:t>
      </w:r>
    </w:p>
    <w:p w14:paraId="2C96B4B7" w14:textId="77777777" w:rsidR="00DF410E" w:rsidRDefault="00CE7F43">
      <w:r>
        <w:rPr>
          <w:b/>
          <w:i/>
        </w:rPr>
        <w:t>(Soit par défaut)</w:t>
      </w:r>
    </w:p>
    <w:p w14:paraId="2C9FA96C" w14:textId="77777777" w:rsidR="00DF410E" w:rsidRDefault="00CE7F43">
      <w:r>
        <w:rPr>
          <w:rStyle w:val="soitChar"/>
        </w:rPr>
        <w:t>1.2.3      QF</w:t>
      </w:r>
    </w:p>
    <w:p w14:paraId="04335F04" w14:textId="77777777" w:rsidR="00DF410E" w:rsidRDefault="00CE7F43">
      <w:r>
        <w:rPr>
          <w:b/>
          <w:i/>
        </w:rPr>
        <w:t>(Soit)</w:t>
      </w:r>
    </w:p>
    <w:p w14:paraId="41D0DA92" w14:textId="77777777" w:rsidR="00DF410E" w:rsidRDefault="00CE7F43">
      <w:r>
        <w:rPr>
          <w:rStyle w:val="soitChar"/>
        </w:rPr>
        <w:t>1.2.3      QP</w:t>
      </w:r>
    </w:p>
    <w:p w14:paraId="045DDCC6" w14:textId="77777777" w:rsidR="00DF410E" w:rsidRDefault="00CE7F43">
      <w:pPr>
        <w:pStyle w:val="pheading"/>
      </w:pPr>
      <w:r>
        <w:t>AIDE</w:t>
      </w:r>
    </w:p>
    <w:p w14:paraId="1FEB4138" w14:textId="77777777" w:rsidR="00DF410E" w:rsidRDefault="00CE7F43">
      <w:pPr>
        <w:jc w:val="both"/>
      </w:pPr>
      <w:r>
        <w:t>Le code suivant peut être utilisé pour la dénomination du poste :</w:t>
      </w:r>
    </w:p>
    <w:p w14:paraId="1F31B80B" w14:textId="77777777" w:rsidR="00DF410E" w:rsidRDefault="00CE7F43">
      <w:pPr>
        <w:jc w:val="both"/>
      </w:pPr>
      <w:r>
        <w:t>LVL 1 / 2 / 3 / 4 / 5</w:t>
      </w:r>
    </w:p>
    <w:p w14:paraId="516E4866" w14:textId="77777777" w:rsidR="00DF410E" w:rsidRDefault="00CE7F43">
      <w:pPr>
        <w:jc w:val="both"/>
      </w:pPr>
      <w:r>
        <w:t>Avec :</w:t>
      </w:r>
    </w:p>
    <w:p w14:paraId="0EDC590F" w14:textId="77777777" w:rsidR="00DF410E" w:rsidRDefault="00CE7F43">
      <w:pPr>
        <w:jc w:val="both"/>
      </w:pPr>
      <w:r>
        <w:t>LVL pour bois laminated veneer lumber</w:t>
      </w:r>
    </w:p>
    <w:p w14:paraId="36514C6C" w14:textId="77777777" w:rsidR="00DF410E" w:rsidRDefault="00CE7F43">
      <w:pPr>
        <w:jc w:val="both"/>
      </w:pPr>
      <w:r>
        <w:t>1 : Type de LVL</w:t>
      </w:r>
    </w:p>
    <w:p w14:paraId="67ED9902" w14:textId="77777777" w:rsidR="00DF410E" w:rsidRDefault="00CE7F43">
      <w:pPr>
        <w:jc w:val="both"/>
      </w:pPr>
      <w:r>
        <w:t>2 : section de la colonne</w:t>
      </w:r>
    </w:p>
    <w:p w14:paraId="2113D066" w14:textId="77777777" w:rsidR="00DF410E" w:rsidRDefault="00CE7F43">
      <w:pPr>
        <w:jc w:val="both"/>
      </w:pPr>
      <w:r>
        <w:t>3 : L’essence utilisée</w:t>
      </w:r>
    </w:p>
    <w:p w14:paraId="102E9766" w14:textId="77777777" w:rsidR="00DF410E" w:rsidRDefault="00CE7F43">
      <w:pPr>
        <w:jc w:val="both"/>
      </w:pPr>
      <w:r>
        <w:t>4 : la classe d’emploi des colonnes</w:t>
      </w:r>
    </w:p>
    <w:p w14:paraId="6672DC53" w14:textId="77777777" w:rsidR="00DF410E" w:rsidRDefault="00CE7F43">
      <w:pPr>
        <w:jc w:val="both"/>
      </w:pPr>
      <w:r>
        <w:t>5 : la méthode utilisée pour garantir la durabilité des colonnes </w:t>
      </w:r>
    </w:p>
    <w:p w14:paraId="5F7B45CD" w14:textId="77777777" w:rsidR="00DF410E" w:rsidRDefault="00CE7F43">
      <w:pPr>
        <w:jc w:val="both"/>
      </w:pPr>
      <w:r>
        <w:t>Ce qui donne, par exemple :</w:t>
      </w:r>
    </w:p>
    <w:p w14:paraId="1731A7A9" w14:textId="77777777" w:rsidR="00DF410E" w:rsidRDefault="00CE7F43">
      <w:pPr>
        <w:jc w:val="both"/>
      </w:pPr>
      <w:r>
        <w:t>LVL S / 200 x 90 / épicéa / 2 / A2.2</w:t>
      </w:r>
    </w:p>
    <w:p w14:paraId="66F9BE3B" w14:textId="77777777" w:rsidR="00DF410E" w:rsidRDefault="00CE7F43">
      <w:pPr>
        <w:pStyle w:val="Author-eSectionHeading6"/>
      </w:pPr>
      <w:bookmarkStart w:id="1577" w:name="_Toc178838673"/>
      <w:r>
        <w:t>24.12.4b Colonnes en LVL à inertie variable CCTB 01.11</w:t>
      </w:r>
      <w:bookmarkEnd w:id="1577"/>
    </w:p>
    <w:p w14:paraId="1603D459" w14:textId="77777777" w:rsidR="00DF410E" w:rsidRDefault="00CE7F43">
      <w:pPr>
        <w:pStyle w:val="pheading"/>
      </w:pPr>
      <w:r>
        <w:t>DESCRIPTION</w:t>
      </w:r>
    </w:p>
    <w:p w14:paraId="2BF617ED" w14:textId="77777777" w:rsidR="00DF410E" w:rsidRDefault="00CE7F43">
      <w:pPr>
        <w:pStyle w:val="pheading"/>
      </w:pPr>
      <w:r>
        <w:t>- Définition / Comprend</w:t>
      </w:r>
    </w:p>
    <w:p w14:paraId="1B009E6A" w14:textId="77777777" w:rsidR="00DF410E" w:rsidRDefault="00CE7F43">
      <w:r>
        <w:t>Il s'agit de l’ensemble des colonnes en LVL et à inertie variable.</w:t>
      </w:r>
    </w:p>
    <w:p w14:paraId="01CA0EA5" w14:textId="77777777" w:rsidR="00DF410E" w:rsidRDefault="00CE7F43">
      <w:pPr>
        <w:pStyle w:val="pheading"/>
      </w:pPr>
      <w:r>
        <w:t>MATÉRIAUX</w:t>
      </w:r>
    </w:p>
    <w:p w14:paraId="3FA08404" w14:textId="77777777" w:rsidR="00DF410E" w:rsidRDefault="00CE7F43">
      <w:pPr>
        <w:pStyle w:val="pheading"/>
      </w:pPr>
      <w:r>
        <w:t>- Caractéristiques générales</w:t>
      </w:r>
    </w:p>
    <w:p w14:paraId="0BF57084" w14:textId="77777777" w:rsidR="00DF410E" w:rsidRDefault="00CE7F43">
      <w:pPr>
        <w:jc w:val="both"/>
      </w:pPr>
      <w:r>
        <w:t xml:space="preserve">Type de LVL : </w:t>
      </w:r>
      <w:r>
        <w:rPr>
          <w:rStyle w:val="optioncarChar"/>
        </w:rPr>
        <w:t xml:space="preserve">S </w:t>
      </w:r>
      <w:r>
        <w:t xml:space="preserve">(par défaut) </w:t>
      </w:r>
      <w:r>
        <w:rPr>
          <w:rStyle w:val="optioncarChar"/>
        </w:rPr>
        <w:t>/ Q</w:t>
      </w:r>
    </w:p>
    <w:p w14:paraId="61EA2103" w14:textId="77777777" w:rsidR="00DF410E" w:rsidRDefault="00CE7F43">
      <w:pPr>
        <w:jc w:val="both"/>
      </w:pPr>
      <w:r>
        <w:t>Caractéristiques mécaniques :</w:t>
      </w:r>
    </w:p>
    <w:p w14:paraId="6E015E9B" w14:textId="77777777" w:rsidR="00DF410E" w:rsidRDefault="00CE7F43">
      <w:pPr>
        <w:pStyle w:val="Author-eListParagraph"/>
        <w:numPr>
          <w:ilvl w:val="0"/>
          <w:numId w:val="852"/>
        </w:numPr>
      </w:pPr>
      <w:r>
        <w:t>Résistance minimale en flexion à chant :</w:t>
      </w:r>
      <w:r>
        <w:rPr>
          <w:rStyle w:val="optioncarChar"/>
        </w:rPr>
        <w:t> 40 MPa</w:t>
      </w:r>
      <w:r>
        <w:t> (par défaut)</w:t>
      </w:r>
      <w:r>
        <w:rPr>
          <w:rStyle w:val="optioncarChar"/>
        </w:rPr>
        <w:t> / ***</w:t>
      </w:r>
    </w:p>
    <w:p w14:paraId="45975D70" w14:textId="77777777" w:rsidR="00DF410E" w:rsidRDefault="00CE7F43">
      <w:pPr>
        <w:pStyle w:val="Author-eListParagraph"/>
        <w:numPr>
          <w:ilvl w:val="0"/>
          <w:numId w:val="852"/>
        </w:numPr>
      </w:pPr>
      <w:r>
        <w:t>Résistance minimale en flexion à plat : </w:t>
      </w:r>
      <w:r>
        <w:rPr>
          <w:rStyle w:val="optioncarChar"/>
        </w:rPr>
        <w:t>40 MPa </w:t>
      </w:r>
      <w:r>
        <w:t>(par défaut) </w:t>
      </w:r>
      <w:r>
        <w:rPr>
          <w:rStyle w:val="optioncarChar"/>
        </w:rPr>
        <w:t>/ ***</w:t>
      </w:r>
    </w:p>
    <w:p w14:paraId="5AE878B6" w14:textId="77777777" w:rsidR="00DF410E" w:rsidRDefault="00CE7F43">
      <w:pPr>
        <w:pStyle w:val="Author-eListParagraph"/>
        <w:numPr>
          <w:ilvl w:val="0"/>
          <w:numId w:val="852"/>
        </w:numPr>
      </w:pPr>
      <w:r>
        <w:t>Résistance minimale en traction parallèle au fil du bois : </w:t>
      </w:r>
      <w:r>
        <w:rPr>
          <w:rStyle w:val="optioncarChar"/>
        </w:rPr>
        <w:t>30 MPa </w:t>
      </w:r>
      <w:r>
        <w:t>(par défaut)</w:t>
      </w:r>
      <w:r>
        <w:rPr>
          <w:rStyle w:val="optioncarChar"/>
        </w:rPr>
        <w:t> / ***</w:t>
      </w:r>
    </w:p>
    <w:p w14:paraId="236BD4F5" w14:textId="77777777" w:rsidR="00DF410E" w:rsidRDefault="00CE7F43">
      <w:pPr>
        <w:pStyle w:val="Author-eListParagraph"/>
        <w:numPr>
          <w:ilvl w:val="0"/>
          <w:numId w:val="852"/>
        </w:numPr>
      </w:pPr>
      <w:r>
        <w:t>Résistance minimale en compression parallèle au fil du bois : </w:t>
      </w:r>
      <w:r>
        <w:rPr>
          <w:rStyle w:val="optioncarChar"/>
        </w:rPr>
        <w:t>30 MPa </w:t>
      </w:r>
      <w:r>
        <w:t>(par défaut)</w:t>
      </w:r>
      <w:r>
        <w:rPr>
          <w:rStyle w:val="optioncarChar"/>
        </w:rPr>
        <w:t> / ***</w:t>
      </w:r>
    </w:p>
    <w:p w14:paraId="7AD571A0" w14:textId="77777777" w:rsidR="00DF410E" w:rsidRDefault="00CE7F43">
      <w:pPr>
        <w:pStyle w:val="Author-eListParagraph"/>
        <w:numPr>
          <w:ilvl w:val="0"/>
          <w:numId w:val="852"/>
        </w:numPr>
      </w:pPr>
      <w:r>
        <w:t>Résistance minimale en cisaillement à chant :</w:t>
      </w:r>
      <w:r>
        <w:rPr>
          <w:rStyle w:val="optioncarChar"/>
        </w:rPr>
        <w:t> 5 MPa </w:t>
      </w:r>
      <w:r>
        <w:t>(par défaut)</w:t>
      </w:r>
      <w:r>
        <w:rPr>
          <w:rStyle w:val="optioncarChar"/>
        </w:rPr>
        <w:t> / ***</w:t>
      </w:r>
    </w:p>
    <w:p w14:paraId="6974F0EC" w14:textId="77777777" w:rsidR="00DF410E" w:rsidRDefault="00CE7F43">
      <w:pPr>
        <w:pStyle w:val="Author-eListParagraph"/>
        <w:numPr>
          <w:ilvl w:val="0"/>
          <w:numId w:val="852"/>
        </w:numPr>
      </w:pPr>
      <w:r>
        <w:t>Résistance minimale en cisaillement à plat : </w:t>
      </w:r>
      <w:r>
        <w:rPr>
          <w:rStyle w:val="optioncarChar"/>
        </w:rPr>
        <w:t>4 MPa </w:t>
      </w:r>
      <w:r>
        <w:t>(par défaut)</w:t>
      </w:r>
      <w:r>
        <w:rPr>
          <w:rStyle w:val="optioncarChar"/>
        </w:rPr>
        <w:t> / ***</w:t>
      </w:r>
    </w:p>
    <w:p w14:paraId="464B79DB" w14:textId="77777777" w:rsidR="00DF410E" w:rsidRDefault="00CE7F43">
      <w:pPr>
        <w:pStyle w:val="Author-eListParagraph"/>
        <w:numPr>
          <w:ilvl w:val="0"/>
          <w:numId w:val="852"/>
        </w:numPr>
      </w:pPr>
      <w:r>
        <w:t>Module d’élasticité minimum parallèle au fil du bois (au fractile 5%) : </w:t>
      </w:r>
      <w:r>
        <w:rPr>
          <w:rStyle w:val="optioncarChar"/>
        </w:rPr>
        <w:t>9 GPa </w:t>
      </w:r>
      <w:r>
        <w:t>(par défaut)</w:t>
      </w:r>
      <w:r>
        <w:rPr>
          <w:rStyle w:val="optioncarChar"/>
        </w:rPr>
        <w:t> / ***</w:t>
      </w:r>
    </w:p>
    <w:p w14:paraId="588EA484" w14:textId="77777777" w:rsidR="00DF410E" w:rsidRDefault="00CE7F43">
      <w:pPr>
        <w:pStyle w:val="Author-eListParagraph"/>
        <w:numPr>
          <w:ilvl w:val="0"/>
          <w:numId w:val="852"/>
        </w:numPr>
      </w:pPr>
      <w:r>
        <w:t>Module de cisaillement à chant : </w:t>
      </w:r>
      <w:r>
        <w:rPr>
          <w:rStyle w:val="optioncarChar"/>
        </w:rPr>
        <w:t>600 MPa </w:t>
      </w:r>
      <w:r>
        <w:t>(par défaut)</w:t>
      </w:r>
      <w:r>
        <w:rPr>
          <w:rStyle w:val="optioncarChar"/>
        </w:rPr>
        <w:t> / ***</w:t>
      </w:r>
    </w:p>
    <w:p w14:paraId="734A539C" w14:textId="77777777" w:rsidR="00DF410E" w:rsidRDefault="00CE7F43">
      <w:pPr>
        <w:pStyle w:val="Author-eListParagraph"/>
        <w:numPr>
          <w:ilvl w:val="0"/>
          <w:numId w:val="852"/>
        </w:numPr>
      </w:pPr>
      <w:r>
        <w:t>Module de cisaillement à plat :</w:t>
      </w:r>
      <w:r>
        <w:rPr>
          <w:rStyle w:val="optioncarChar"/>
        </w:rPr>
        <w:t> 400 MPa </w:t>
      </w:r>
      <w:r>
        <w:t>(par défaut)</w:t>
      </w:r>
      <w:r>
        <w:rPr>
          <w:rStyle w:val="optioncarChar"/>
        </w:rPr>
        <w:t> / ***</w:t>
      </w:r>
    </w:p>
    <w:p w14:paraId="05768AF3" w14:textId="77777777" w:rsidR="00DF410E" w:rsidRDefault="00CE7F43">
      <w:pPr>
        <w:jc w:val="both"/>
      </w:pPr>
      <w:r>
        <w:t> La géométrie des colonnes est décrite dans les plans.</w:t>
      </w:r>
    </w:p>
    <w:p w14:paraId="2FBD48BF" w14:textId="77777777" w:rsidR="00DF410E" w:rsidRDefault="00CE7F43">
      <w:pPr>
        <w:jc w:val="both"/>
      </w:pPr>
      <w:r>
        <w:t xml:space="preserve">Essence : </w:t>
      </w:r>
      <w:r>
        <w:rPr>
          <w:rStyle w:val="optioncarChar"/>
        </w:rPr>
        <w:t>Résineuse</w:t>
      </w:r>
      <w:r>
        <w:t xml:space="preserve"> (par défaut) </w:t>
      </w:r>
      <w:r>
        <w:rPr>
          <w:rStyle w:val="optioncarChar"/>
        </w:rPr>
        <w:t>/ feuillue / épicéa / douglas / hêtre / ***</w:t>
      </w:r>
    </w:p>
    <w:p w14:paraId="0B9C9145" w14:textId="77777777" w:rsidR="00DF410E" w:rsidRDefault="00CE7F43">
      <w:pPr>
        <w:jc w:val="both"/>
      </w:pPr>
      <w:r>
        <w:t>Section des colonnes :</w:t>
      </w:r>
      <w:r>
        <w:rPr>
          <w:rStyle w:val="optioncarChar"/>
        </w:rPr>
        <w:t xml:space="preserve"> ***</w:t>
      </w:r>
    </w:p>
    <w:p w14:paraId="107DBB4B" w14:textId="77777777" w:rsidR="00DF410E" w:rsidRDefault="00CE7F43">
      <w:pPr>
        <w:jc w:val="both"/>
      </w:pPr>
      <w:r>
        <w:t>Classe d’emploi :</w:t>
      </w:r>
      <w:r>
        <w:rPr>
          <w:rStyle w:val="optioncarChar"/>
        </w:rPr>
        <w:t xml:space="preserve"> 1 / 2 / 3</w:t>
      </w:r>
    </w:p>
    <w:p w14:paraId="4286DAB4" w14:textId="77777777" w:rsidR="00DF410E" w:rsidRDefault="00CE7F43">
      <w:pPr>
        <w:jc w:val="both"/>
      </w:pPr>
      <w:r>
        <w:t>La classe de durabilité minimale des colonnes en LVL est directement liée à la classe d’emploi.</w:t>
      </w:r>
    </w:p>
    <w:p w14:paraId="4A80F68B" w14:textId="77777777" w:rsidR="00DF410E" w:rsidRDefault="00CE7F43">
      <w:pPr>
        <w:jc w:val="both"/>
      </w:pPr>
      <w:r>
        <w:t xml:space="preserve">Classe d’émission de formaldéhyde : </w:t>
      </w:r>
      <w:r>
        <w:rPr>
          <w:rStyle w:val="optioncarChar"/>
        </w:rPr>
        <w:t xml:space="preserve">E1 </w:t>
      </w:r>
      <w:r>
        <w:t xml:space="preserve">(par défaut) </w:t>
      </w:r>
      <w:r>
        <w:rPr>
          <w:rStyle w:val="optioncarChar"/>
        </w:rPr>
        <w:t>/ E2</w:t>
      </w:r>
    </w:p>
    <w:p w14:paraId="507F1374" w14:textId="77777777" w:rsidR="00DF410E" w:rsidRDefault="00CE7F43">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361A24A1" w14:textId="77777777" w:rsidR="00DF410E" w:rsidRDefault="00CE7F43">
      <w:pPr>
        <w:pStyle w:val="pheading"/>
      </w:pPr>
      <w:r>
        <w:t>- Finitions</w:t>
      </w:r>
    </w:p>
    <w:p w14:paraId="23FC0603" w14:textId="77777777" w:rsidR="00DF410E" w:rsidRDefault="00CE7F43">
      <w:pPr>
        <w:jc w:val="both"/>
      </w:pPr>
      <w:r>
        <w:t xml:space="preserve">Les colonnes en LVL sont </w:t>
      </w:r>
      <w:r>
        <w:rPr>
          <w:rStyle w:val="optioncarChar"/>
        </w:rPr>
        <w:t>rabotées</w:t>
      </w:r>
      <w:r>
        <w:t xml:space="preserve"> (par défaut)</w:t>
      </w:r>
      <w:r>
        <w:rPr>
          <w:rStyle w:val="optioncarChar"/>
        </w:rPr>
        <w:t xml:space="preserve"> / poncées / ***</w:t>
      </w:r>
      <w:r>
        <w:t xml:space="preserve"> sur </w:t>
      </w:r>
      <w:r>
        <w:rPr>
          <w:rStyle w:val="optioncarChar"/>
        </w:rPr>
        <w:t>1 / 2</w:t>
      </w:r>
      <w:r>
        <w:t xml:space="preserve"> (par défaut) faces</w:t>
      </w:r>
    </w:p>
    <w:p w14:paraId="167F6C8C" w14:textId="77777777" w:rsidR="00DF410E" w:rsidRDefault="00CE7F43">
      <w:pPr>
        <w:jc w:val="both"/>
      </w:pPr>
      <w:r>
        <w:t>Les arrêtes sont</w:t>
      </w:r>
      <w:r>
        <w:rPr>
          <w:rStyle w:val="optioncarChar"/>
        </w:rPr>
        <w:t xml:space="preserve"> vives </w:t>
      </w:r>
      <w:r>
        <w:t>(par défaut)</w:t>
      </w:r>
      <w:r>
        <w:rPr>
          <w:rStyle w:val="optioncarChar"/>
        </w:rPr>
        <w:t xml:space="preserve"> / chanfreinées / ***</w:t>
      </w:r>
    </w:p>
    <w:p w14:paraId="3173E6F7" w14:textId="77777777" w:rsidR="00DF410E" w:rsidRDefault="00CE7F43">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46705CBC" w14:textId="77777777" w:rsidR="00DF410E" w:rsidRDefault="00CE7F43">
      <w:pPr>
        <w:pStyle w:val="pheading"/>
      </w:pPr>
      <w:r>
        <w:t>EXÉCUTION / MISE EN ŒUVRE</w:t>
      </w:r>
    </w:p>
    <w:p w14:paraId="5FA26B51" w14:textId="77777777" w:rsidR="00DF410E" w:rsidRDefault="00CE7F43">
      <w:pPr>
        <w:pStyle w:val="pheading"/>
      </w:pPr>
      <w:r>
        <w:t>- Prescriptions générales</w:t>
      </w:r>
    </w:p>
    <w:p w14:paraId="74FBE627" w14:textId="77777777" w:rsidR="00DF410E" w:rsidRDefault="00CE7F43">
      <w:r>
        <w:t xml:space="preserve">Un dispositif casse-goutte </w:t>
      </w:r>
      <w:r>
        <w:rPr>
          <w:rStyle w:val="optioncarChar"/>
        </w:rPr>
        <w:t>est prévu</w:t>
      </w:r>
      <w:r>
        <w:t xml:space="preserve"> (par défaut) </w:t>
      </w:r>
      <w:r>
        <w:rPr>
          <w:rStyle w:val="optioncarChar"/>
        </w:rPr>
        <w:t>/ ***</w:t>
      </w:r>
      <w:r>
        <w:t xml:space="preserve"> au pied des colonnes extérieures.</w:t>
      </w:r>
    </w:p>
    <w:p w14:paraId="7EB95D4D" w14:textId="77777777" w:rsidR="00DF410E" w:rsidRDefault="00CE7F43">
      <w:pPr>
        <w:pStyle w:val="pheading"/>
      </w:pPr>
      <w:r>
        <w:t>MESURAGE</w:t>
      </w:r>
    </w:p>
    <w:p w14:paraId="283D4BFC" w14:textId="77777777" w:rsidR="00DF410E" w:rsidRDefault="00CE7F43">
      <w:pPr>
        <w:pStyle w:val="pheading"/>
      </w:pPr>
      <w:r>
        <w:t>- unité de mesure:</w:t>
      </w:r>
    </w:p>
    <w:p w14:paraId="5298C382" w14:textId="77777777" w:rsidR="00DF410E" w:rsidRDefault="00CE7F43">
      <w:r>
        <w:rPr>
          <w:rStyle w:val="optioncarChar"/>
        </w:rPr>
        <w:t>m³ </w:t>
      </w:r>
      <w:r>
        <w:t>(par défaut)</w:t>
      </w:r>
      <w:r>
        <w:rPr>
          <w:rStyle w:val="optioncarChar"/>
        </w:rPr>
        <w:t> / m / pc</w:t>
      </w:r>
    </w:p>
    <w:p w14:paraId="49913E93" w14:textId="77777777" w:rsidR="00DF410E" w:rsidRDefault="00CE7F43">
      <w:r>
        <w:rPr>
          <w:b/>
          <w:i/>
        </w:rPr>
        <w:t>(Soit par défaut)</w:t>
      </w:r>
    </w:p>
    <w:p w14:paraId="641A59E7" w14:textId="77777777" w:rsidR="00DF410E" w:rsidRDefault="00CE7F43">
      <w:r>
        <w:rPr>
          <w:rStyle w:val="soitChar"/>
        </w:rPr>
        <w:t>1.    m³ </w:t>
      </w:r>
    </w:p>
    <w:p w14:paraId="61F7DE37" w14:textId="77777777" w:rsidR="00DF410E" w:rsidRDefault="00CE7F43">
      <w:r>
        <w:rPr>
          <w:b/>
          <w:i/>
        </w:rPr>
        <w:t>(Soit)</w:t>
      </w:r>
    </w:p>
    <w:p w14:paraId="7D14C203" w14:textId="77777777" w:rsidR="00DF410E" w:rsidRDefault="00CE7F43">
      <w:r>
        <w:rPr>
          <w:rStyle w:val="soitChar"/>
        </w:rPr>
        <w:t>2.    m </w:t>
      </w:r>
    </w:p>
    <w:p w14:paraId="2063EBB9" w14:textId="77777777" w:rsidR="00DF410E" w:rsidRDefault="00CE7F43">
      <w:r>
        <w:rPr>
          <w:b/>
          <w:i/>
        </w:rPr>
        <w:t>(Soit)</w:t>
      </w:r>
    </w:p>
    <w:p w14:paraId="3456CAC9" w14:textId="77777777" w:rsidR="00DF410E" w:rsidRDefault="00CE7F43">
      <w:r>
        <w:rPr>
          <w:rStyle w:val="soitChar"/>
        </w:rPr>
        <w:t>3.    pc</w:t>
      </w:r>
    </w:p>
    <w:p w14:paraId="00AE4BCD" w14:textId="77777777" w:rsidR="00DF410E" w:rsidRDefault="00CE7F43">
      <w:pPr>
        <w:pStyle w:val="pheading"/>
      </w:pPr>
      <w:r>
        <w:t>- code de mesurage:</w:t>
      </w:r>
    </w:p>
    <w:p w14:paraId="399EB597" w14:textId="77777777" w:rsidR="00DF410E" w:rsidRDefault="00CE7F43">
      <w:pPr>
        <w:jc w:val="both"/>
      </w:pPr>
      <w:r>
        <w:rPr>
          <w:rStyle w:val="optioncarChar"/>
        </w:rPr>
        <w:t> Volume brut </w:t>
      </w:r>
      <w:r>
        <w:t>(par défaut) </w:t>
      </w:r>
      <w:r>
        <w:rPr>
          <w:rStyle w:val="optioncarChar"/>
        </w:rPr>
        <w:t>/ longueur brute / quantité nette</w:t>
      </w:r>
    </w:p>
    <w:p w14:paraId="18A92B97" w14:textId="77777777" w:rsidR="00DF410E" w:rsidRDefault="00CE7F43">
      <w:pPr>
        <w:jc w:val="both"/>
      </w:pPr>
      <w:r>
        <w:rPr>
          <w:b/>
          <w:i/>
        </w:rPr>
        <w:t>(Soit par défaut)</w:t>
      </w:r>
    </w:p>
    <w:p w14:paraId="2CF9F49B" w14:textId="77777777" w:rsidR="00DF410E" w:rsidRDefault="00CE7F43">
      <w:pPr>
        <w:jc w:val="both"/>
      </w:pPr>
      <w:r>
        <w:rPr>
          <w:rStyle w:val="soitChar"/>
        </w:rPr>
        <w:t>1.   </w:t>
      </w:r>
      <w:r>
        <w:rPr>
          <w:rStyle w:val="soitChar"/>
          <w:u w:val="single"/>
        </w:rPr>
        <w:t> Volume brut :</w:t>
      </w:r>
    </w:p>
    <w:p w14:paraId="0C29B35B" w14:textId="77777777" w:rsidR="00DF410E" w:rsidRDefault="00CE7F43">
      <w:pPr>
        <w:jc w:val="both"/>
      </w:pPr>
      <w:r>
        <w:rPr>
          <w:rStyle w:val="soitChar"/>
        </w:rPr>
        <w:t>Le volume brut d’une colonne est calculé suivant le volume du plus petit parallélépipède rectangle pouvant inclure l’élément.</w:t>
      </w:r>
    </w:p>
    <w:p w14:paraId="36D263C1" w14:textId="77777777" w:rsidR="00DF410E" w:rsidRDefault="00CE7F43">
      <w:pPr>
        <w:jc w:val="both"/>
      </w:pPr>
      <w:r>
        <w:rPr>
          <w:b/>
          <w:i/>
        </w:rPr>
        <w:t> (Soit)</w:t>
      </w:r>
    </w:p>
    <w:p w14:paraId="4049B7B5" w14:textId="77777777" w:rsidR="00DF410E" w:rsidRDefault="00CE7F43">
      <w:pPr>
        <w:jc w:val="both"/>
      </w:pPr>
      <w:r>
        <w:rPr>
          <w:rStyle w:val="soitChar"/>
        </w:rPr>
        <w:t>2.   </w:t>
      </w:r>
      <w:r>
        <w:rPr>
          <w:rStyle w:val="soitChar"/>
          <w:u w:val="single"/>
        </w:rPr>
        <w:t> Longueur brute :</w:t>
      </w:r>
    </w:p>
    <w:p w14:paraId="6719775D"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5705181B" w14:textId="77777777" w:rsidR="00DF410E" w:rsidRDefault="00CE7F43">
      <w:pPr>
        <w:jc w:val="both"/>
      </w:pPr>
      <w:r>
        <w:rPr>
          <w:rStyle w:val="soitChar"/>
        </w:rPr>
        <w:t>La longueur totale des colonnes ayant la même section et les mêmes caractéristiques est comptabilisée.</w:t>
      </w:r>
    </w:p>
    <w:p w14:paraId="797A9E2B" w14:textId="77777777" w:rsidR="00DF410E" w:rsidRDefault="00CE7F43">
      <w:pPr>
        <w:jc w:val="both"/>
      </w:pPr>
      <w:r>
        <w:rPr>
          <w:b/>
          <w:i/>
        </w:rPr>
        <w:t> (Soit)</w:t>
      </w:r>
    </w:p>
    <w:p w14:paraId="7012DA12" w14:textId="77777777" w:rsidR="00DF410E" w:rsidRDefault="00CE7F43">
      <w:pPr>
        <w:jc w:val="both"/>
      </w:pPr>
      <w:r>
        <w:rPr>
          <w:rStyle w:val="soitChar"/>
        </w:rPr>
        <w:t>3.    </w:t>
      </w:r>
      <w:r>
        <w:rPr>
          <w:rStyle w:val="soitChar"/>
          <w:u w:val="single"/>
        </w:rPr>
        <w:t>Quantité nette :</w:t>
      </w:r>
    </w:p>
    <w:p w14:paraId="1E44C786" w14:textId="77777777" w:rsidR="00DF410E" w:rsidRDefault="00CE7F43">
      <w:pPr>
        <w:jc w:val="both"/>
      </w:pPr>
      <w:r>
        <w:rPr>
          <w:rStyle w:val="soitChar"/>
        </w:rPr>
        <w:t>Le nombre de colonnes ayant les mêmes dimensions et les mêmes caractéristiques est compatibilisé.</w:t>
      </w:r>
    </w:p>
    <w:p w14:paraId="4FA71135" w14:textId="77777777" w:rsidR="00DF410E" w:rsidRDefault="00CE7F43">
      <w:pPr>
        <w:pStyle w:val="pheading"/>
      </w:pPr>
      <w:r>
        <w:t>- nature du marché:</w:t>
      </w:r>
    </w:p>
    <w:p w14:paraId="574BFA91" w14:textId="77777777" w:rsidR="00DF410E" w:rsidRDefault="00CE7F43">
      <w:r>
        <w:rPr>
          <w:rStyle w:val="optioncarChar"/>
        </w:rPr>
        <w:t>QF </w:t>
      </w:r>
      <w:r>
        <w:t>(par défaut) </w:t>
      </w:r>
      <w:r>
        <w:rPr>
          <w:rStyle w:val="optioncarChar"/>
        </w:rPr>
        <w:t>/ QP</w:t>
      </w:r>
    </w:p>
    <w:p w14:paraId="18D85E20" w14:textId="77777777" w:rsidR="00DF410E" w:rsidRDefault="00CE7F43">
      <w:r>
        <w:rPr>
          <w:b/>
          <w:i/>
        </w:rPr>
        <w:t>(Soit par défaut)</w:t>
      </w:r>
    </w:p>
    <w:p w14:paraId="3F9FB61C" w14:textId="77777777" w:rsidR="00DF410E" w:rsidRDefault="00CE7F43">
      <w:r>
        <w:rPr>
          <w:rStyle w:val="soitChar"/>
        </w:rPr>
        <w:t>1.2.3      QF</w:t>
      </w:r>
    </w:p>
    <w:p w14:paraId="6D1A2AC2" w14:textId="77777777" w:rsidR="00DF410E" w:rsidRDefault="00CE7F43">
      <w:r>
        <w:rPr>
          <w:b/>
          <w:i/>
        </w:rPr>
        <w:t>(Soit)</w:t>
      </w:r>
    </w:p>
    <w:p w14:paraId="1FE74579" w14:textId="77777777" w:rsidR="00DF410E" w:rsidRDefault="00CE7F43">
      <w:r>
        <w:rPr>
          <w:rStyle w:val="soitChar"/>
        </w:rPr>
        <w:t>1.2.3      QP</w:t>
      </w:r>
    </w:p>
    <w:p w14:paraId="0660E324" w14:textId="77777777" w:rsidR="00DF410E" w:rsidRDefault="00CE7F43">
      <w:pPr>
        <w:pStyle w:val="pheading"/>
      </w:pPr>
      <w:r>
        <w:t>AIDE</w:t>
      </w:r>
    </w:p>
    <w:p w14:paraId="4DF687B0" w14:textId="77777777" w:rsidR="00DF410E" w:rsidRDefault="00CE7F43">
      <w:pPr>
        <w:jc w:val="both"/>
      </w:pPr>
      <w:r>
        <w:t>Le code suivant peut être utilisé pour la dénomination du poste :</w:t>
      </w:r>
    </w:p>
    <w:p w14:paraId="05C039D7" w14:textId="77777777" w:rsidR="00DF410E" w:rsidRDefault="00CE7F43">
      <w:pPr>
        <w:jc w:val="both"/>
      </w:pPr>
      <w:r>
        <w:t>LVL 1 / 2 / 3 / 4 / 5</w:t>
      </w:r>
    </w:p>
    <w:p w14:paraId="3A77AAD9" w14:textId="77777777" w:rsidR="00DF410E" w:rsidRDefault="00CE7F43">
      <w:pPr>
        <w:jc w:val="both"/>
      </w:pPr>
      <w:r>
        <w:t>Avec :</w:t>
      </w:r>
    </w:p>
    <w:p w14:paraId="1BE21416" w14:textId="77777777" w:rsidR="00DF410E" w:rsidRDefault="00CE7F43">
      <w:pPr>
        <w:jc w:val="both"/>
      </w:pPr>
      <w:r>
        <w:t>LVL pour bois Laminated Veneer Lumber</w:t>
      </w:r>
    </w:p>
    <w:p w14:paraId="4B294DE2" w14:textId="77777777" w:rsidR="00DF410E" w:rsidRDefault="00CE7F43">
      <w:pPr>
        <w:jc w:val="both"/>
      </w:pPr>
      <w:r>
        <w:t>1 : Type de LVL</w:t>
      </w:r>
    </w:p>
    <w:p w14:paraId="0A9DB24B" w14:textId="77777777" w:rsidR="00DF410E" w:rsidRDefault="00CE7F43">
      <w:pPr>
        <w:jc w:val="both"/>
      </w:pPr>
      <w:r>
        <w:t>2 : section de la colonne</w:t>
      </w:r>
    </w:p>
    <w:p w14:paraId="5ECD9CE5" w14:textId="77777777" w:rsidR="00DF410E" w:rsidRDefault="00CE7F43">
      <w:pPr>
        <w:jc w:val="both"/>
      </w:pPr>
      <w:r>
        <w:t>3 : L’essence utilisée</w:t>
      </w:r>
    </w:p>
    <w:p w14:paraId="1108D922" w14:textId="77777777" w:rsidR="00DF410E" w:rsidRDefault="00CE7F43">
      <w:pPr>
        <w:jc w:val="both"/>
      </w:pPr>
      <w:r>
        <w:t>4 : la classe d’emploi des colonnes</w:t>
      </w:r>
    </w:p>
    <w:p w14:paraId="1B7E9BF6" w14:textId="77777777" w:rsidR="00DF410E" w:rsidRDefault="00CE7F43">
      <w:pPr>
        <w:jc w:val="both"/>
      </w:pPr>
      <w:r>
        <w:t>5 : la méthode utilisée pour garantir la durabilité des colonnes</w:t>
      </w:r>
    </w:p>
    <w:p w14:paraId="6331DF18" w14:textId="77777777" w:rsidR="00DF410E" w:rsidRDefault="00CE7F43">
      <w:pPr>
        <w:jc w:val="both"/>
      </w:pPr>
      <w:r>
        <w:t>Ce qui donne, par exemple :</w:t>
      </w:r>
    </w:p>
    <w:p w14:paraId="0B487470" w14:textId="77777777" w:rsidR="00DF410E" w:rsidRDefault="00CE7F43">
      <w:pPr>
        <w:jc w:val="both"/>
      </w:pPr>
      <w:r>
        <w:t>LVL S / voir plan / épicéa / 2 / A2.2</w:t>
      </w:r>
    </w:p>
    <w:p w14:paraId="75A7A28F" w14:textId="77777777" w:rsidR="00DF410E" w:rsidRDefault="00CE7F43">
      <w:pPr>
        <w:pStyle w:val="Author-eSectionHeading5"/>
      </w:pPr>
      <w:bookmarkStart w:id="1578" w:name="_Toc178838674"/>
      <w:r>
        <w:t>24.12.5 Colonnes en LSL CCTB 01.07</w:t>
      </w:r>
      <w:bookmarkEnd w:id="1578"/>
    </w:p>
    <w:p w14:paraId="3B1438CB" w14:textId="77777777" w:rsidR="00DF410E" w:rsidRDefault="00CE7F43">
      <w:pPr>
        <w:pStyle w:val="pheading"/>
      </w:pPr>
      <w:r>
        <w:t>DESCRIPTION</w:t>
      </w:r>
    </w:p>
    <w:p w14:paraId="11D38C81" w14:textId="77777777" w:rsidR="00DF410E" w:rsidRDefault="00CE7F43">
      <w:pPr>
        <w:pStyle w:val="pheading"/>
      </w:pPr>
      <w:r>
        <w:t>- Définition / Comprend</w:t>
      </w:r>
    </w:p>
    <w:p w14:paraId="7BC1F2A6" w14:textId="77777777" w:rsidR="00DF410E" w:rsidRDefault="00CE7F43">
      <w:r>
        <w:t xml:space="preserve">Il s’agit des colonnes en LSL. La notion de LSL est expliquée au </w:t>
      </w:r>
      <w:hyperlink w:anchor="89" w:history="1">
        <w:r>
          <w:t>24 Superstructures en bois</w:t>
        </w:r>
      </w:hyperlink>
      <w:r>
        <w:t>.</w:t>
      </w:r>
    </w:p>
    <w:p w14:paraId="5A86B693" w14:textId="77777777" w:rsidR="00DF410E" w:rsidRDefault="00CE7F43">
      <w:pPr>
        <w:pStyle w:val="Author-eSectionHeading6"/>
      </w:pPr>
      <w:bookmarkStart w:id="1579" w:name="_Toc178838675"/>
      <w:r>
        <w:t>24.12.5a Colonnes en LSL à inertie constante CCTB 01.11</w:t>
      </w:r>
      <w:bookmarkEnd w:id="1579"/>
    </w:p>
    <w:p w14:paraId="7D17115F" w14:textId="77777777" w:rsidR="00DF410E" w:rsidRDefault="00CE7F43">
      <w:pPr>
        <w:pStyle w:val="pheading"/>
      </w:pPr>
      <w:r>
        <w:t>DESCRIPTION</w:t>
      </w:r>
    </w:p>
    <w:p w14:paraId="79025FE5" w14:textId="77777777" w:rsidR="00DF410E" w:rsidRDefault="00CE7F43">
      <w:pPr>
        <w:pStyle w:val="pheading"/>
      </w:pPr>
      <w:r>
        <w:t>- Définition / Comprend</w:t>
      </w:r>
    </w:p>
    <w:p w14:paraId="6B25D417" w14:textId="77777777" w:rsidR="00DF410E" w:rsidRDefault="00CE7F43">
      <w:r>
        <w:t>Il s'agit de l’ensemble des colonnes en LSL et à inertie constante.</w:t>
      </w:r>
    </w:p>
    <w:p w14:paraId="254678F5" w14:textId="77777777" w:rsidR="00DF410E" w:rsidRDefault="00CE7F43">
      <w:pPr>
        <w:pStyle w:val="pheading"/>
      </w:pPr>
      <w:r>
        <w:t>MATÉRIAUX</w:t>
      </w:r>
    </w:p>
    <w:p w14:paraId="1B9B198F" w14:textId="77777777" w:rsidR="00DF410E" w:rsidRDefault="00CE7F43">
      <w:pPr>
        <w:pStyle w:val="pheading"/>
      </w:pPr>
      <w:r>
        <w:t>- Caractéristiques générales</w:t>
      </w:r>
    </w:p>
    <w:p w14:paraId="28305286" w14:textId="77777777" w:rsidR="00DF410E" w:rsidRDefault="00CE7F43">
      <w:pPr>
        <w:jc w:val="both"/>
      </w:pPr>
      <w:r>
        <w:t xml:space="preserve">Dimensions de la section : </w:t>
      </w:r>
      <w:r>
        <w:rPr>
          <w:rStyle w:val="optioncarChar"/>
        </w:rPr>
        <w:t>Voir plans</w:t>
      </w:r>
      <w:r>
        <w:t xml:space="preserve"> (par défaut)</w:t>
      </w:r>
      <w:r>
        <w:rPr>
          <w:rStyle w:val="optioncarChar"/>
        </w:rPr>
        <w:t xml:space="preserve"> / *** x *** mm²</w:t>
      </w:r>
    </w:p>
    <w:p w14:paraId="60DAB4C5" w14:textId="77777777" w:rsidR="00DF410E" w:rsidRDefault="00CE7F43">
      <w:pPr>
        <w:jc w:val="both"/>
      </w:pPr>
      <w:r>
        <w:t>Type de LSL :</w:t>
      </w:r>
      <w:r>
        <w:rPr>
          <w:rStyle w:val="optioncarChar"/>
        </w:rPr>
        <w:t xml:space="preserve"> S </w:t>
      </w:r>
      <w:r>
        <w:t>(par défaut)</w:t>
      </w:r>
      <w:r>
        <w:rPr>
          <w:rStyle w:val="optioncarChar"/>
        </w:rPr>
        <w:t xml:space="preserve"> / Q</w:t>
      </w:r>
    </w:p>
    <w:p w14:paraId="4155DE74" w14:textId="77777777" w:rsidR="00DF410E" w:rsidRDefault="00DF410E">
      <w:pPr>
        <w:jc w:val="both"/>
      </w:pPr>
    </w:p>
    <w:p w14:paraId="1643EFC5" w14:textId="77777777" w:rsidR="00DF410E" w:rsidRDefault="00CE7F43">
      <w:pPr>
        <w:jc w:val="both"/>
      </w:pPr>
      <w:r>
        <w:t>Caractéristiques mécaniques :</w:t>
      </w:r>
    </w:p>
    <w:p w14:paraId="4752140F" w14:textId="77777777" w:rsidR="00DF410E" w:rsidRDefault="00CE7F43">
      <w:pPr>
        <w:pStyle w:val="Author-eListParagraph"/>
        <w:numPr>
          <w:ilvl w:val="0"/>
          <w:numId w:val="853"/>
        </w:numPr>
      </w:pPr>
      <w:r>
        <w:t>Résistance minimale en flexion à chant :</w:t>
      </w:r>
      <w:r>
        <w:rPr>
          <w:rStyle w:val="optioncarChar"/>
        </w:rPr>
        <w:t> 40 MPa</w:t>
      </w:r>
      <w:r>
        <w:t> (par défaut)</w:t>
      </w:r>
      <w:r>
        <w:rPr>
          <w:rStyle w:val="optioncarChar"/>
        </w:rPr>
        <w:t> / ***</w:t>
      </w:r>
    </w:p>
    <w:p w14:paraId="32D865D5" w14:textId="77777777" w:rsidR="00DF410E" w:rsidRDefault="00CE7F43">
      <w:pPr>
        <w:pStyle w:val="Author-eListParagraph"/>
        <w:numPr>
          <w:ilvl w:val="0"/>
          <w:numId w:val="853"/>
        </w:numPr>
      </w:pPr>
      <w:r>
        <w:t>Résistance minimale en flexion à plat : </w:t>
      </w:r>
      <w:r>
        <w:rPr>
          <w:rStyle w:val="optioncarChar"/>
        </w:rPr>
        <w:t>40 MPa </w:t>
      </w:r>
      <w:r>
        <w:t>(par défaut) </w:t>
      </w:r>
      <w:r>
        <w:rPr>
          <w:rStyle w:val="optioncarChar"/>
        </w:rPr>
        <w:t>/ ***</w:t>
      </w:r>
    </w:p>
    <w:p w14:paraId="32C762D0" w14:textId="77777777" w:rsidR="00DF410E" w:rsidRDefault="00CE7F43">
      <w:pPr>
        <w:pStyle w:val="Author-eListParagraph"/>
        <w:numPr>
          <w:ilvl w:val="0"/>
          <w:numId w:val="853"/>
        </w:numPr>
      </w:pPr>
      <w:r>
        <w:t>Résistance minimale en traction parallèle au fil du bois : </w:t>
      </w:r>
      <w:r>
        <w:rPr>
          <w:rStyle w:val="optioncarChar"/>
        </w:rPr>
        <w:t>30 MPa </w:t>
      </w:r>
      <w:r>
        <w:t>(par défaut)</w:t>
      </w:r>
      <w:r>
        <w:rPr>
          <w:rStyle w:val="optioncarChar"/>
        </w:rPr>
        <w:t> / ***</w:t>
      </w:r>
    </w:p>
    <w:p w14:paraId="26269583" w14:textId="77777777" w:rsidR="00DF410E" w:rsidRDefault="00CE7F43">
      <w:pPr>
        <w:pStyle w:val="Author-eListParagraph"/>
        <w:numPr>
          <w:ilvl w:val="0"/>
          <w:numId w:val="853"/>
        </w:numPr>
      </w:pPr>
      <w:r>
        <w:t>Résistance minimale en compression parallèle au fil du bois : </w:t>
      </w:r>
      <w:r>
        <w:rPr>
          <w:rStyle w:val="optioncarChar"/>
        </w:rPr>
        <w:t>30 MPa </w:t>
      </w:r>
      <w:r>
        <w:t>(par défaut)</w:t>
      </w:r>
      <w:r>
        <w:rPr>
          <w:rStyle w:val="optioncarChar"/>
        </w:rPr>
        <w:t> / ***</w:t>
      </w:r>
    </w:p>
    <w:p w14:paraId="31429529" w14:textId="77777777" w:rsidR="00DF410E" w:rsidRDefault="00CE7F43">
      <w:pPr>
        <w:pStyle w:val="Author-eListParagraph"/>
        <w:numPr>
          <w:ilvl w:val="0"/>
          <w:numId w:val="853"/>
        </w:numPr>
      </w:pPr>
      <w:r>
        <w:t>Résistance minimale en cisaillement à chant :</w:t>
      </w:r>
      <w:r>
        <w:rPr>
          <w:rStyle w:val="optioncarChar"/>
        </w:rPr>
        <w:t> 5 MPa </w:t>
      </w:r>
      <w:r>
        <w:t>(par défaut)</w:t>
      </w:r>
      <w:r>
        <w:rPr>
          <w:rStyle w:val="optioncarChar"/>
        </w:rPr>
        <w:t> / ***</w:t>
      </w:r>
    </w:p>
    <w:p w14:paraId="6261262D" w14:textId="77777777" w:rsidR="00DF410E" w:rsidRDefault="00CE7F43">
      <w:pPr>
        <w:pStyle w:val="Author-eListParagraph"/>
        <w:numPr>
          <w:ilvl w:val="0"/>
          <w:numId w:val="853"/>
        </w:numPr>
      </w:pPr>
      <w:r>
        <w:t>Résistance minimale en cisaillement à plat : </w:t>
      </w:r>
      <w:r>
        <w:rPr>
          <w:rStyle w:val="optioncarChar"/>
        </w:rPr>
        <w:t>4 MPa </w:t>
      </w:r>
      <w:r>
        <w:t>(par défaut)</w:t>
      </w:r>
      <w:r>
        <w:rPr>
          <w:rStyle w:val="optioncarChar"/>
        </w:rPr>
        <w:t> / ***</w:t>
      </w:r>
    </w:p>
    <w:p w14:paraId="440275D9" w14:textId="77777777" w:rsidR="00DF410E" w:rsidRDefault="00CE7F43">
      <w:pPr>
        <w:pStyle w:val="Author-eListParagraph"/>
        <w:numPr>
          <w:ilvl w:val="0"/>
          <w:numId w:val="853"/>
        </w:numPr>
      </w:pPr>
      <w:r>
        <w:t>Module d’élasticité minimum parallèle au fil du bois (au fractile 5%) : </w:t>
      </w:r>
      <w:r>
        <w:rPr>
          <w:rStyle w:val="optioncarChar"/>
        </w:rPr>
        <w:t>9 GPa </w:t>
      </w:r>
      <w:r>
        <w:t>(par défaut)</w:t>
      </w:r>
      <w:r>
        <w:rPr>
          <w:rStyle w:val="optioncarChar"/>
        </w:rPr>
        <w:t> / ***</w:t>
      </w:r>
    </w:p>
    <w:p w14:paraId="2D6FD615" w14:textId="77777777" w:rsidR="00DF410E" w:rsidRDefault="00CE7F43">
      <w:pPr>
        <w:pStyle w:val="Author-eListParagraph"/>
        <w:numPr>
          <w:ilvl w:val="0"/>
          <w:numId w:val="853"/>
        </w:numPr>
      </w:pPr>
      <w:r>
        <w:t>Module de cisaillement à chant : </w:t>
      </w:r>
      <w:r>
        <w:rPr>
          <w:rStyle w:val="optioncarChar"/>
        </w:rPr>
        <w:t>600 MPa </w:t>
      </w:r>
      <w:r>
        <w:t>(par défaut)</w:t>
      </w:r>
      <w:r>
        <w:rPr>
          <w:rStyle w:val="optioncarChar"/>
        </w:rPr>
        <w:t> / ***</w:t>
      </w:r>
    </w:p>
    <w:p w14:paraId="3674ABB6" w14:textId="77777777" w:rsidR="00DF410E" w:rsidRDefault="00CE7F43">
      <w:pPr>
        <w:pStyle w:val="Author-eListParagraph"/>
        <w:numPr>
          <w:ilvl w:val="0"/>
          <w:numId w:val="853"/>
        </w:numPr>
      </w:pPr>
      <w:r>
        <w:t>Module de cisaillement à plat :</w:t>
      </w:r>
      <w:r>
        <w:rPr>
          <w:rStyle w:val="optioncarChar"/>
        </w:rPr>
        <w:t> 400 MPa </w:t>
      </w:r>
      <w:r>
        <w:t>(par défaut)</w:t>
      </w:r>
      <w:r>
        <w:rPr>
          <w:rStyle w:val="optioncarChar"/>
        </w:rPr>
        <w:t> / ***</w:t>
      </w:r>
    </w:p>
    <w:p w14:paraId="34EC34EB" w14:textId="77777777" w:rsidR="00DF410E" w:rsidRDefault="00CE7F43">
      <w:pPr>
        <w:jc w:val="both"/>
      </w:pPr>
      <w:r>
        <w:t>Courbure des colonnes :</w:t>
      </w:r>
      <w:r>
        <w:rPr>
          <w:rStyle w:val="optioncarChar"/>
        </w:rPr>
        <w:t xml:space="preserve"> aucune </w:t>
      </w:r>
      <w:r>
        <w:t>(par défaut)</w:t>
      </w:r>
      <w:r>
        <w:rPr>
          <w:rStyle w:val="optioncarChar"/>
        </w:rPr>
        <w:t xml:space="preserve"> / voir plan / ***</w:t>
      </w:r>
    </w:p>
    <w:p w14:paraId="64B6E001" w14:textId="77777777" w:rsidR="00DF410E" w:rsidRDefault="00CE7F43">
      <w:pPr>
        <w:jc w:val="both"/>
      </w:pPr>
      <w:r>
        <w:t xml:space="preserve">Essence : </w:t>
      </w:r>
      <w:r>
        <w:rPr>
          <w:rStyle w:val="optioncarChar"/>
        </w:rPr>
        <w:t xml:space="preserve">Résineuse </w:t>
      </w:r>
      <w:r>
        <w:t>(par défaut)</w:t>
      </w:r>
      <w:r>
        <w:rPr>
          <w:rStyle w:val="optioncarChar"/>
        </w:rPr>
        <w:t xml:space="preserve"> / feuillue / épicéa / douglas / hêtre / ***</w:t>
      </w:r>
    </w:p>
    <w:p w14:paraId="56BC6EE3" w14:textId="77777777" w:rsidR="00DF410E" w:rsidRDefault="00CE7F43">
      <w:pPr>
        <w:jc w:val="both"/>
      </w:pPr>
      <w:r>
        <w:t xml:space="preserve">Classe d’emploi : </w:t>
      </w:r>
      <w:r>
        <w:rPr>
          <w:rStyle w:val="optioncarChar"/>
        </w:rPr>
        <w:t>1 / 2 / 3</w:t>
      </w:r>
    </w:p>
    <w:p w14:paraId="15F6E338" w14:textId="77777777" w:rsidR="00DF410E" w:rsidRDefault="00CE7F43">
      <w:pPr>
        <w:jc w:val="both"/>
      </w:pPr>
      <w:r>
        <w:t>La classe de durabilité minimale des colonnes en LSL est directement liée à la classe d’emploi.</w:t>
      </w:r>
    </w:p>
    <w:p w14:paraId="3B778C46" w14:textId="77777777" w:rsidR="00DF410E" w:rsidRDefault="00CE7F43">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14:paraId="744D245B" w14:textId="77777777" w:rsidR="00DF410E" w:rsidRDefault="00CE7F43">
      <w:pPr>
        <w:jc w:val="both"/>
      </w:pPr>
      <w:r>
        <w:t xml:space="preserve">Classe d’émission de formaldéhyde : </w:t>
      </w:r>
      <w:r>
        <w:rPr>
          <w:rStyle w:val="optioncarChar"/>
        </w:rPr>
        <w:t>E1</w:t>
      </w:r>
      <w:r>
        <w:t xml:space="preserve"> (par défaut) </w:t>
      </w:r>
      <w:r>
        <w:rPr>
          <w:rStyle w:val="optioncarChar"/>
        </w:rPr>
        <w:t>/ E2</w:t>
      </w:r>
    </w:p>
    <w:p w14:paraId="4E78A979" w14:textId="77777777" w:rsidR="00DF410E" w:rsidRDefault="00CE7F43">
      <w:pPr>
        <w:pStyle w:val="pheading"/>
      </w:pPr>
      <w:r>
        <w:t>- Finitions</w:t>
      </w:r>
    </w:p>
    <w:p w14:paraId="060A6EE3" w14:textId="77777777" w:rsidR="00DF410E" w:rsidRDefault="00CE7F43">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 </w:t>
      </w:r>
    </w:p>
    <w:p w14:paraId="594CAB77" w14:textId="77777777" w:rsidR="00DF410E" w:rsidRDefault="00CE7F43">
      <w:pPr>
        <w:jc w:val="both"/>
      </w:pPr>
      <w:r>
        <w:t xml:space="preserve">Les arrêtes sont </w:t>
      </w:r>
      <w:r>
        <w:rPr>
          <w:rStyle w:val="optioncarChar"/>
        </w:rPr>
        <w:t xml:space="preserve">vives </w:t>
      </w:r>
      <w:r>
        <w:t>(par défaut)</w:t>
      </w:r>
      <w:r>
        <w:rPr>
          <w:rStyle w:val="optioncarChar"/>
        </w:rPr>
        <w:t xml:space="preserve"> / chanfreinées / ***</w:t>
      </w:r>
    </w:p>
    <w:p w14:paraId="6D5AEC7D" w14:textId="77777777" w:rsidR="00DF410E" w:rsidRDefault="00CE7F43">
      <w:pPr>
        <w:jc w:val="both"/>
      </w:pPr>
      <w:r>
        <w:t xml:space="preserve">Les colonnes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542F65B4" w14:textId="77777777" w:rsidR="00DF410E" w:rsidRDefault="00CE7F43">
      <w:pPr>
        <w:pStyle w:val="pheading"/>
      </w:pPr>
      <w:r>
        <w:t>EXÉCUTION / MISE EN ŒUVRE</w:t>
      </w:r>
    </w:p>
    <w:p w14:paraId="395D929E" w14:textId="77777777" w:rsidR="00DF410E" w:rsidRDefault="00CE7F43">
      <w:pPr>
        <w:pStyle w:val="pheading"/>
      </w:pPr>
      <w:r>
        <w:t>- Prescriptions générales</w:t>
      </w:r>
    </w:p>
    <w:p w14:paraId="55CE8446"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6EB55934" w14:textId="77777777" w:rsidR="00DF410E" w:rsidRDefault="00CE7F43">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3E2C0FAF" w14:textId="77777777" w:rsidR="00DF410E" w:rsidRDefault="00CE7F43">
      <w:pPr>
        <w:pStyle w:val="pheading"/>
      </w:pPr>
      <w:r>
        <w:t>MESURAGE</w:t>
      </w:r>
    </w:p>
    <w:p w14:paraId="3B6286B7" w14:textId="77777777" w:rsidR="00DF410E" w:rsidRDefault="00CE7F43">
      <w:pPr>
        <w:pStyle w:val="pheading"/>
      </w:pPr>
      <w:r>
        <w:t>- unité de mesure:</w:t>
      </w:r>
    </w:p>
    <w:p w14:paraId="4DD6E1A9" w14:textId="77777777" w:rsidR="00DF410E" w:rsidRDefault="00CE7F43">
      <w:r>
        <w:rPr>
          <w:rStyle w:val="optioncarChar"/>
        </w:rPr>
        <w:t>m³ </w:t>
      </w:r>
      <w:r>
        <w:t>(par défaut)</w:t>
      </w:r>
      <w:r>
        <w:rPr>
          <w:rStyle w:val="optioncarChar"/>
        </w:rPr>
        <w:t> / m / pc</w:t>
      </w:r>
    </w:p>
    <w:p w14:paraId="479BFFAA" w14:textId="77777777" w:rsidR="00DF410E" w:rsidRDefault="00CE7F43">
      <w:r>
        <w:rPr>
          <w:b/>
          <w:i/>
        </w:rPr>
        <w:t>(Soit par défaut)</w:t>
      </w:r>
    </w:p>
    <w:p w14:paraId="46ABEC7B" w14:textId="77777777" w:rsidR="00DF410E" w:rsidRDefault="00CE7F43">
      <w:r>
        <w:rPr>
          <w:rStyle w:val="soitChar"/>
        </w:rPr>
        <w:t>1.    m³ </w:t>
      </w:r>
    </w:p>
    <w:p w14:paraId="4C9C0EB6" w14:textId="77777777" w:rsidR="00DF410E" w:rsidRDefault="00CE7F43">
      <w:r>
        <w:rPr>
          <w:b/>
          <w:i/>
        </w:rPr>
        <w:t>(Soit)</w:t>
      </w:r>
    </w:p>
    <w:p w14:paraId="19ED48C4" w14:textId="77777777" w:rsidR="00DF410E" w:rsidRDefault="00CE7F43">
      <w:r>
        <w:rPr>
          <w:rStyle w:val="soitChar"/>
        </w:rPr>
        <w:t>2.    m </w:t>
      </w:r>
    </w:p>
    <w:p w14:paraId="3F0D4937" w14:textId="77777777" w:rsidR="00DF410E" w:rsidRDefault="00CE7F43">
      <w:r>
        <w:rPr>
          <w:b/>
          <w:i/>
        </w:rPr>
        <w:t>(Soit)</w:t>
      </w:r>
    </w:p>
    <w:p w14:paraId="7BBE9DCA" w14:textId="77777777" w:rsidR="00DF410E" w:rsidRDefault="00CE7F43">
      <w:r>
        <w:rPr>
          <w:rStyle w:val="soitChar"/>
        </w:rPr>
        <w:t>3.    pc</w:t>
      </w:r>
    </w:p>
    <w:p w14:paraId="5AB85447" w14:textId="77777777" w:rsidR="00DF410E" w:rsidRDefault="00CE7F43">
      <w:pPr>
        <w:pStyle w:val="pheading"/>
      </w:pPr>
      <w:r>
        <w:t>- code de mesurage:</w:t>
      </w:r>
    </w:p>
    <w:p w14:paraId="6C861868" w14:textId="77777777" w:rsidR="00DF410E" w:rsidRDefault="00CE7F43">
      <w:pPr>
        <w:jc w:val="both"/>
      </w:pPr>
      <w:r>
        <w:rPr>
          <w:rStyle w:val="optioncarChar"/>
        </w:rPr>
        <w:t> Volume brut </w:t>
      </w:r>
      <w:r>
        <w:t>(par défaut) </w:t>
      </w:r>
      <w:r>
        <w:rPr>
          <w:rStyle w:val="optioncarChar"/>
        </w:rPr>
        <w:t>/ longueur brute / quantité nette</w:t>
      </w:r>
    </w:p>
    <w:p w14:paraId="6F634E35" w14:textId="77777777" w:rsidR="00DF410E" w:rsidRDefault="00CE7F43">
      <w:pPr>
        <w:jc w:val="both"/>
      </w:pPr>
      <w:r>
        <w:rPr>
          <w:b/>
          <w:i/>
        </w:rPr>
        <w:t>(Soit par défaut)</w:t>
      </w:r>
    </w:p>
    <w:p w14:paraId="4FBC2DFB" w14:textId="77777777" w:rsidR="00DF410E" w:rsidRDefault="00CE7F43">
      <w:pPr>
        <w:jc w:val="both"/>
      </w:pPr>
      <w:r>
        <w:rPr>
          <w:rStyle w:val="soitChar"/>
        </w:rPr>
        <w:t>1.   </w:t>
      </w:r>
      <w:r>
        <w:rPr>
          <w:rStyle w:val="soitChar"/>
          <w:u w:val="single"/>
        </w:rPr>
        <w:t> Volume brut :</w:t>
      </w:r>
    </w:p>
    <w:p w14:paraId="013CD13A" w14:textId="77777777" w:rsidR="00DF410E" w:rsidRDefault="00CE7F43">
      <w:pPr>
        <w:jc w:val="both"/>
      </w:pPr>
      <w:r>
        <w:rPr>
          <w:rStyle w:val="soitChar"/>
        </w:rPr>
        <w:t>Le volume brut d’une colonne est calculé suivant l'épaisseur prescrite au cahier spécial des charges.</w:t>
      </w:r>
    </w:p>
    <w:p w14:paraId="153345C9" w14:textId="77777777" w:rsidR="00DF410E" w:rsidRDefault="00CE7F43">
      <w:pPr>
        <w:jc w:val="both"/>
      </w:pPr>
      <w:r>
        <w:rPr>
          <w:b/>
          <w:i/>
        </w:rPr>
        <w:t> (Soit)</w:t>
      </w:r>
    </w:p>
    <w:p w14:paraId="6B08EDD6" w14:textId="77777777" w:rsidR="00DF410E" w:rsidRDefault="00CE7F43">
      <w:pPr>
        <w:jc w:val="both"/>
      </w:pPr>
      <w:r>
        <w:rPr>
          <w:rStyle w:val="soitChar"/>
        </w:rPr>
        <w:t>2.   </w:t>
      </w:r>
      <w:r>
        <w:rPr>
          <w:rStyle w:val="soitChar"/>
          <w:u w:val="single"/>
        </w:rPr>
        <w:t> Longueur brute :</w:t>
      </w:r>
    </w:p>
    <w:p w14:paraId="50990A76"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1A333FB0" w14:textId="77777777" w:rsidR="00DF410E" w:rsidRDefault="00CE7F43">
      <w:pPr>
        <w:jc w:val="both"/>
      </w:pPr>
      <w:r>
        <w:rPr>
          <w:rStyle w:val="soitChar"/>
        </w:rPr>
        <w:t>La longueur totale des colonnes ayant la même section et les mêmes caractéristiques est comptabilisée.</w:t>
      </w:r>
    </w:p>
    <w:p w14:paraId="3B1F0F37" w14:textId="77777777" w:rsidR="00DF410E" w:rsidRDefault="00CE7F43">
      <w:pPr>
        <w:jc w:val="both"/>
      </w:pPr>
      <w:r>
        <w:rPr>
          <w:b/>
          <w:i/>
        </w:rPr>
        <w:t> (Soit)</w:t>
      </w:r>
    </w:p>
    <w:p w14:paraId="31978760" w14:textId="77777777" w:rsidR="00DF410E" w:rsidRDefault="00CE7F43">
      <w:pPr>
        <w:jc w:val="both"/>
      </w:pPr>
      <w:r>
        <w:rPr>
          <w:rStyle w:val="soitChar"/>
        </w:rPr>
        <w:t>3.    </w:t>
      </w:r>
      <w:r>
        <w:rPr>
          <w:rStyle w:val="soitChar"/>
          <w:u w:val="single"/>
        </w:rPr>
        <w:t>Quantité nette :</w:t>
      </w:r>
    </w:p>
    <w:p w14:paraId="1D3131EA" w14:textId="77777777" w:rsidR="00DF410E" w:rsidRDefault="00CE7F43">
      <w:pPr>
        <w:jc w:val="both"/>
      </w:pPr>
      <w:r>
        <w:rPr>
          <w:rStyle w:val="soitChar"/>
        </w:rPr>
        <w:t>Le nombre de colonnes ayant les mêmes dimensions et les mêmes caractéristiques est compatibilisé.</w:t>
      </w:r>
    </w:p>
    <w:p w14:paraId="03548ECA" w14:textId="77777777" w:rsidR="00DF410E" w:rsidRDefault="00CE7F43">
      <w:pPr>
        <w:pStyle w:val="pheading"/>
      </w:pPr>
      <w:r>
        <w:t>- nature du marché:</w:t>
      </w:r>
    </w:p>
    <w:p w14:paraId="5DF6985F" w14:textId="77777777" w:rsidR="00DF410E" w:rsidRDefault="00CE7F43">
      <w:r>
        <w:rPr>
          <w:rStyle w:val="optioncarChar"/>
        </w:rPr>
        <w:t>QF </w:t>
      </w:r>
      <w:r>
        <w:t>(par défaut) </w:t>
      </w:r>
      <w:r>
        <w:rPr>
          <w:rStyle w:val="optioncarChar"/>
        </w:rPr>
        <w:t>/ QP</w:t>
      </w:r>
    </w:p>
    <w:p w14:paraId="58406F2C" w14:textId="77777777" w:rsidR="00DF410E" w:rsidRDefault="00CE7F43">
      <w:r>
        <w:rPr>
          <w:b/>
          <w:i/>
        </w:rPr>
        <w:t>(Soit par défaut)</w:t>
      </w:r>
    </w:p>
    <w:p w14:paraId="3AF5C2BA" w14:textId="77777777" w:rsidR="00DF410E" w:rsidRDefault="00CE7F43">
      <w:r>
        <w:rPr>
          <w:rStyle w:val="soitChar"/>
        </w:rPr>
        <w:t>1.2.3      QF</w:t>
      </w:r>
    </w:p>
    <w:p w14:paraId="013C27F3" w14:textId="77777777" w:rsidR="00DF410E" w:rsidRDefault="00CE7F43">
      <w:r>
        <w:rPr>
          <w:b/>
          <w:i/>
        </w:rPr>
        <w:t>(Soit)</w:t>
      </w:r>
    </w:p>
    <w:p w14:paraId="7BD5489A" w14:textId="77777777" w:rsidR="00DF410E" w:rsidRDefault="00CE7F43">
      <w:r>
        <w:rPr>
          <w:rStyle w:val="soitChar"/>
        </w:rPr>
        <w:t>1.2.3      QP</w:t>
      </w:r>
    </w:p>
    <w:p w14:paraId="404F260C" w14:textId="77777777" w:rsidR="00DF410E" w:rsidRDefault="00CE7F43">
      <w:pPr>
        <w:pStyle w:val="pheading"/>
      </w:pPr>
      <w:r>
        <w:t>AIDE</w:t>
      </w:r>
    </w:p>
    <w:p w14:paraId="3773612B" w14:textId="77777777" w:rsidR="00DF410E" w:rsidRDefault="00CE7F43">
      <w:pPr>
        <w:jc w:val="both"/>
      </w:pPr>
      <w:r>
        <w:t>Le code suivant peut être utilisé pour la dénomination du poste :</w:t>
      </w:r>
    </w:p>
    <w:p w14:paraId="60637B0C" w14:textId="77777777" w:rsidR="00DF410E" w:rsidRDefault="00CE7F43">
      <w:pPr>
        <w:jc w:val="both"/>
      </w:pPr>
      <w:r>
        <w:t>LSL 1 / 2 / 3 / 4 / 5</w:t>
      </w:r>
    </w:p>
    <w:p w14:paraId="63745FB0" w14:textId="77777777" w:rsidR="00DF410E" w:rsidRDefault="00CE7F43">
      <w:pPr>
        <w:jc w:val="both"/>
      </w:pPr>
      <w:r>
        <w:t>Avec :</w:t>
      </w:r>
    </w:p>
    <w:p w14:paraId="0287C519" w14:textId="77777777" w:rsidR="00DF410E" w:rsidRDefault="00CE7F43">
      <w:pPr>
        <w:jc w:val="both"/>
      </w:pPr>
      <w:r>
        <w:t>LSL pour bois laminated veneer lumber</w:t>
      </w:r>
    </w:p>
    <w:p w14:paraId="2DA1019C" w14:textId="77777777" w:rsidR="00DF410E" w:rsidRDefault="00CE7F43">
      <w:pPr>
        <w:jc w:val="both"/>
      </w:pPr>
      <w:r>
        <w:t>1 : Type de LSL</w:t>
      </w:r>
    </w:p>
    <w:p w14:paraId="14C799FD" w14:textId="77777777" w:rsidR="00DF410E" w:rsidRDefault="00CE7F43">
      <w:pPr>
        <w:jc w:val="both"/>
      </w:pPr>
      <w:r>
        <w:t>2 : section de la colonne</w:t>
      </w:r>
    </w:p>
    <w:p w14:paraId="486B40FF" w14:textId="77777777" w:rsidR="00DF410E" w:rsidRDefault="00CE7F43">
      <w:pPr>
        <w:jc w:val="both"/>
      </w:pPr>
      <w:r>
        <w:t>3 : L’essence utilisée</w:t>
      </w:r>
    </w:p>
    <w:p w14:paraId="55A9586B" w14:textId="77777777" w:rsidR="00DF410E" w:rsidRDefault="00CE7F43">
      <w:pPr>
        <w:jc w:val="both"/>
      </w:pPr>
      <w:r>
        <w:t>4 : la classe d’emploi des colonnes</w:t>
      </w:r>
    </w:p>
    <w:p w14:paraId="5CB1DC48" w14:textId="77777777" w:rsidR="00DF410E" w:rsidRDefault="00CE7F43">
      <w:pPr>
        <w:jc w:val="both"/>
      </w:pPr>
      <w:r>
        <w:t>5 : la méthode utilisée pour garantir la durabilité des colonnes</w:t>
      </w:r>
    </w:p>
    <w:p w14:paraId="2E5CA713" w14:textId="77777777" w:rsidR="00DF410E" w:rsidRDefault="00CE7F43">
      <w:pPr>
        <w:jc w:val="both"/>
      </w:pPr>
      <w:r>
        <w:t> </w:t>
      </w:r>
    </w:p>
    <w:p w14:paraId="3382537A" w14:textId="77777777" w:rsidR="00DF410E" w:rsidRDefault="00CE7F43">
      <w:pPr>
        <w:jc w:val="both"/>
      </w:pPr>
      <w:r>
        <w:t>Ce qui donne, par exemple :</w:t>
      </w:r>
    </w:p>
    <w:p w14:paraId="29C9456A" w14:textId="77777777" w:rsidR="00DF410E" w:rsidRDefault="00CE7F43">
      <w:pPr>
        <w:jc w:val="both"/>
      </w:pPr>
      <w:r>
        <w:t>LSL S / 200 x 90 / épicéa / 2 / A2.2</w:t>
      </w:r>
    </w:p>
    <w:p w14:paraId="2978C209" w14:textId="77777777" w:rsidR="00DF410E" w:rsidRDefault="00CE7F43">
      <w:pPr>
        <w:pStyle w:val="Author-eSectionHeading6"/>
      </w:pPr>
      <w:bookmarkStart w:id="1580" w:name="_Toc178838676"/>
      <w:r>
        <w:t>24.12.5b Colonnes en LSL à inertie variable CCTB 01.11</w:t>
      </w:r>
      <w:bookmarkEnd w:id="1580"/>
    </w:p>
    <w:p w14:paraId="18B89489" w14:textId="77777777" w:rsidR="00DF410E" w:rsidRDefault="00CE7F43">
      <w:pPr>
        <w:pStyle w:val="pheading"/>
      </w:pPr>
      <w:r>
        <w:t>DESCRIPTION</w:t>
      </w:r>
    </w:p>
    <w:p w14:paraId="7C270742" w14:textId="77777777" w:rsidR="00DF410E" w:rsidRDefault="00CE7F43">
      <w:pPr>
        <w:pStyle w:val="pheading"/>
      </w:pPr>
      <w:r>
        <w:t>- Définition / Comprend</w:t>
      </w:r>
    </w:p>
    <w:p w14:paraId="004E77BA" w14:textId="77777777" w:rsidR="00DF410E" w:rsidRDefault="00CE7F43">
      <w:r>
        <w:t>Il s'agit de l’ensemble des colonnes en LSL et à inertie variable.</w:t>
      </w:r>
    </w:p>
    <w:p w14:paraId="5D53BAB7" w14:textId="77777777" w:rsidR="00DF410E" w:rsidRDefault="00CE7F43">
      <w:pPr>
        <w:pStyle w:val="pheading"/>
      </w:pPr>
      <w:r>
        <w:t>MATÉRIAUX</w:t>
      </w:r>
    </w:p>
    <w:p w14:paraId="702ED565" w14:textId="77777777" w:rsidR="00DF410E" w:rsidRDefault="00CE7F43">
      <w:pPr>
        <w:pStyle w:val="pheading"/>
      </w:pPr>
      <w:r>
        <w:t>- Caractéristiques générales</w:t>
      </w:r>
    </w:p>
    <w:p w14:paraId="4FBD86E4" w14:textId="77777777" w:rsidR="00DF410E" w:rsidRDefault="00CE7F43">
      <w:pPr>
        <w:jc w:val="both"/>
      </w:pPr>
      <w:r>
        <w:t>Type de LSL :</w:t>
      </w:r>
      <w:r>
        <w:rPr>
          <w:rStyle w:val="optioncarChar"/>
        </w:rPr>
        <w:t xml:space="preserve"> S </w:t>
      </w:r>
      <w:r>
        <w:t>(par défaut)</w:t>
      </w:r>
      <w:r>
        <w:rPr>
          <w:rStyle w:val="optioncarChar"/>
        </w:rPr>
        <w:t xml:space="preserve"> / Q</w:t>
      </w:r>
    </w:p>
    <w:p w14:paraId="34ECB4C4" w14:textId="77777777" w:rsidR="00DF410E" w:rsidRDefault="00CE7F43">
      <w:pPr>
        <w:jc w:val="both"/>
      </w:pPr>
      <w:r>
        <w:t>Caractéristiques mécaniques :</w:t>
      </w:r>
    </w:p>
    <w:p w14:paraId="77DF982B" w14:textId="77777777" w:rsidR="00DF410E" w:rsidRDefault="00CE7F43">
      <w:pPr>
        <w:pStyle w:val="Author-eListParagraph"/>
        <w:numPr>
          <w:ilvl w:val="0"/>
          <w:numId w:val="854"/>
        </w:numPr>
      </w:pPr>
      <w:r>
        <w:t>Résistance minimale en flexion à chant :</w:t>
      </w:r>
      <w:r>
        <w:rPr>
          <w:rStyle w:val="optioncarChar"/>
        </w:rPr>
        <w:t> 40 MPa</w:t>
      </w:r>
      <w:r>
        <w:t> (par défaut)</w:t>
      </w:r>
      <w:r>
        <w:rPr>
          <w:rStyle w:val="optioncarChar"/>
        </w:rPr>
        <w:t> / ***</w:t>
      </w:r>
    </w:p>
    <w:p w14:paraId="57DDA913" w14:textId="77777777" w:rsidR="00DF410E" w:rsidRDefault="00CE7F43">
      <w:pPr>
        <w:pStyle w:val="Author-eListParagraph"/>
        <w:numPr>
          <w:ilvl w:val="0"/>
          <w:numId w:val="854"/>
        </w:numPr>
      </w:pPr>
      <w:r>
        <w:t>Résistance minimale en flexion à plat : </w:t>
      </w:r>
      <w:r>
        <w:rPr>
          <w:rStyle w:val="optioncarChar"/>
        </w:rPr>
        <w:t>40 MPa </w:t>
      </w:r>
      <w:r>
        <w:t>(par défaut) </w:t>
      </w:r>
      <w:r>
        <w:rPr>
          <w:rStyle w:val="optioncarChar"/>
        </w:rPr>
        <w:t>/ ***</w:t>
      </w:r>
    </w:p>
    <w:p w14:paraId="6DAC16B1" w14:textId="77777777" w:rsidR="00DF410E" w:rsidRDefault="00CE7F43">
      <w:pPr>
        <w:pStyle w:val="Author-eListParagraph"/>
        <w:numPr>
          <w:ilvl w:val="0"/>
          <w:numId w:val="854"/>
        </w:numPr>
      </w:pPr>
      <w:r>
        <w:t>Résistance minimale en traction parallèle au fil du bois : </w:t>
      </w:r>
      <w:r>
        <w:rPr>
          <w:rStyle w:val="optioncarChar"/>
        </w:rPr>
        <w:t>30 MPa </w:t>
      </w:r>
      <w:r>
        <w:t>(par défaut)</w:t>
      </w:r>
      <w:r>
        <w:rPr>
          <w:rStyle w:val="optioncarChar"/>
        </w:rPr>
        <w:t> / ***</w:t>
      </w:r>
    </w:p>
    <w:p w14:paraId="7DEF6781" w14:textId="77777777" w:rsidR="00DF410E" w:rsidRDefault="00CE7F43">
      <w:pPr>
        <w:pStyle w:val="Author-eListParagraph"/>
        <w:numPr>
          <w:ilvl w:val="0"/>
          <w:numId w:val="854"/>
        </w:numPr>
      </w:pPr>
      <w:r>
        <w:t>Résistance minimale en compression parallèle au fil du bois : </w:t>
      </w:r>
      <w:r>
        <w:rPr>
          <w:rStyle w:val="optioncarChar"/>
        </w:rPr>
        <w:t>30 MPa </w:t>
      </w:r>
      <w:r>
        <w:t>(par défaut)</w:t>
      </w:r>
      <w:r>
        <w:rPr>
          <w:rStyle w:val="optioncarChar"/>
        </w:rPr>
        <w:t> / ***</w:t>
      </w:r>
    </w:p>
    <w:p w14:paraId="6462AC95" w14:textId="77777777" w:rsidR="00DF410E" w:rsidRDefault="00CE7F43">
      <w:pPr>
        <w:pStyle w:val="Author-eListParagraph"/>
        <w:numPr>
          <w:ilvl w:val="0"/>
          <w:numId w:val="854"/>
        </w:numPr>
      </w:pPr>
      <w:r>
        <w:t>Résistance minimale en cisaillement à chant :</w:t>
      </w:r>
      <w:r>
        <w:rPr>
          <w:rStyle w:val="optioncarChar"/>
        </w:rPr>
        <w:t> 5 MPa </w:t>
      </w:r>
      <w:r>
        <w:t>(par défaut)</w:t>
      </w:r>
      <w:r>
        <w:rPr>
          <w:rStyle w:val="optioncarChar"/>
        </w:rPr>
        <w:t> / ***</w:t>
      </w:r>
    </w:p>
    <w:p w14:paraId="3883BF8C" w14:textId="77777777" w:rsidR="00DF410E" w:rsidRDefault="00CE7F43">
      <w:pPr>
        <w:pStyle w:val="Author-eListParagraph"/>
        <w:numPr>
          <w:ilvl w:val="0"/>
          <w:numId w:val="854"/>
        </w:numPr>
      </w:pPr>
      <w:r>
        <w:t>Résistance minimale en cisaillement à plat : </w:t>
      </w:r>
      <w:r>
        <w:rPr>
          <w:rStyle w:val="optioncarChar"/>
        </w:rPr>
        <w:t>4 MPa </w:t>
      </w:r>
      <w:r>
        <w:t>(par défaut)</w:t>
      </w:r>
      <w:r>
        <w:rPr>
          <w:rStyle w:val="optioncarChar"/>
        </w:rPr>
        <w:t> / ***</w:t>
      </w:r>
    </w:p>
    <w:p w14:paraId="31583B85" w14:textId="77777777" w:rsidR="00DF410E" w:rsidRDefault="00CE7F43">
      <w:pPr>
        <w:pStyle w:val="Author-eListParagraph"/>
        <w:numPr>
          <w:ilvl w:val="0"/>
          <w:numId w:val="854"/>
        </w:numPr>
      </w:pPr>
      <w:r>
        <w:t>Module d’élasticité minimum parallèle au fil du bois (au fractile 5%) : </w:t>
      </w:r>
      <w:r>
        <w:rPr>
          <w:rStyle w:val="optioncarChar"/>
        </w:rPr>
        <w:t>9 GPa </w:t>
      </w:r>
      <w:r>
        <w:t>(par défaut)</w:t>
      </w:r>
      <w:r>
        <w:rPr>
          <w:rStyle w:val="optioncarChar"/>
        </w:rPr>
        <w:t> / ***</w:t>
      </w:r>
    </w:p>
    <w:p w14:paraId="20F0391B" w14:textId="77777777" w:rsidR="00DF410E" w:rsidRDefault="00CE7F43">
      <w:pPr>
        <w:pStyle w:val="Author-eListParagraph"/>
        <w:numPr>
          <w:ilvl w:val="0"/>
          <w:numId w:val="854"/>
        </w:numPr>
      </w:pPr>
      <w:r>
        <w:t>Module de cisaillement à chant : </w:t>
      </w:r>
      <w:r>
        <w:rPr>
          <w:rStyle w:val="optioncarChar"/>
        </w:rPr>
        <w:t>600 MPa </w:t>
      </w:r>
      <w:r>
        <w:t>(par défaut)</w:t>
      </w:r>
      <w:r>
        <w:rPr>
          <w:rStyle w:val="optioncarChar"/>
        </w:rPr>
        <w:t> / ***</w:t>
      </w:r>
    </w:p>
    <w:p w14:paraId="3ACB87D7" w14:textId="77777777" w:rsidR="00DF410E" w:rsidRDefault="00CE7F43">
      <w:pPr>
        <w:pStyle w:val="Author-eListParagraph"/>
        <w:numPr>
          <w:ilvl w:val="0"/>
          <w:numId w:val="854"/>
        </w:numPr>
      </w:pPr>
      <w:r>
        <w:t>Module de cisaillement à plat :</w:t>
      </w:r>
      <w:r>
        <w:rPr>
          <w:rStyle w:val="optioncarChar"/>
        </w:rPr>
        <w:t> 400 MPa </w:t>
      </w:r>
      <w:r>
        <w:t>(par défaut)</w:t>
      </w:r>
      <w:r>
        <w:rPr>
          <w:rStyle w:val="optioncarChar"/>
        </w:rPr>
        <w:t> / ***</w:t>
      </w:r>
    </w:p>
    <w:p w14:paraId="2D272470" w14:textId="77777777" w:rsidR="00DF410E" w:rsidRDefault="00CE7F43">
      <w:pPr>
        <w:jc w:val="both"/>
      </w:pPr>
      <w:r>
        <w:t>La géométrie des colonnes est décrite dans les plans.</w:t>
      </w:r>
    </w:p>
    <w:p w14:paraId="51ADB4A7" w14:textId="77777777" w:rsidR="00DF410E" w:rsidRDefault="00CE7F43">
      <w:pPr>
        <w:jc w:val="both"/>
      </w:pPr>
      <w:r>
        <w:t xml:space="preserve">Essence : </w:t>
      </w:r>
      <w:r>
        <w:rPr>
          <w:rStyle w:val="optioncarChar"/>
        </w:rPr>
        <w:t xml:space="preserve">Résineuse </w:t>
      </w:r>
      <w:r>
        <w:t>(par défaut)</w:t>
      </w:r>
      <w:r>
        <w:rPr>
          <w:rStyle w:val="optioncarChar"/>
        </w:rPr>
        <w:t xml:space="preserve"> / feuillue / épicéa / douglas / hêtre / ***</w:t>
      </w:r>
    </w:p>
    <w:p w14:paraId="0FF84DF4" w14:textId="77777777" w:rsidR="00DF410E" w:rsidRDefault="00CE7F43">
      <w:pPr>
        <w:jc w:val="both"/>
      </w:pPr>
      <w:r>
        <w:t>Section des colonnes :</w:t>
      </w:r>
      <w:r>
        <w:rPr>
          <w:rStyle w:val="optioncarChar"/>
        </w:rPr>
        <w:t xml:space="preserve"> ***</w:t>
      </w:r>
    </w:p>
    <w:p w14:paraId="43D3309A" w14:textId="77777777" w:rsidR="00DF410E" w:rsidRDefault="00CE7F43">
      <w:pPr>
        <w:jc w:val="both"/>
      </w:pPr>
      <w:r>
        <w:t>Classe d’emploi :</w:t>
      </w:r>
      <w:r>
        <w:rPr>
          <w:rStyle w:val="optioncarChar"/>
        </w:rPr>
        <w:t xml:space="preserve"> 1 / 2 / 3</w:t>
      </w:r>
    </w:p>
    <w:p w14:paraId="17FC6F2C" w14:textId="77777777" w:rsidR="00DF410E" w:rsidRDefault="00CE7F43">
      <w:pPr>
        <w:jc w:val="both"/>
      </w:pPr>
      <w:r>
        <w:t>La classe de durabilité minimale des colonnes en LSL est directement liée à la classe d’emploi.</w:t>
      </w:r>
    </w:p>
    <w:p w14:paraId="4A419BB0" w14:textId="77777777" w:rsidR="00DF410E" w:rsidRDefault="00CE7F43">
      <w:pPr>
        <w:jc w:val="both"/>
      </w:pPr>
      <w:r>
        <w:t xml:space="preserve">Classe d’émission de formaldéhyde : </w:t>
      </w:r>
      <w:r>
        <w:rPr>
          <w:rStyle w:val="optioncarChar"/>
        </w:rPr>
        <w:t>E1</w:t>
      </w:r>
      <w:r>
        <w:t xml:space="preserve"> (par défaut)</w:t>
      </w:r>
      <w:r>
        <w:rPr>
          <w:rStyle w:val="optioncarChar"/>
        </w:rPr>
        <w:t xml:space="preserve"> / E2</w:t>
      </w:r>
    </w:p>
    <w:p w14:paraId="51FE8B53" w14:textId="77777777" w:rsidR="00DF410E" w:rsidRDefault="00CE7F43">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2D33C792" w14:textId="77777777" w:rsidR="00DF410E" w:rsidRDefault="00CE7F43">
      <w:pPr>
        <w:pStyle w:val="pheading"/>
      </w:pPr>
      <w:r>
        <w:t>- Finitions</w:t>
      </w:r>
    </w:p>
    <w:p w14:paraId="367BEC67" w14:textId="77777777" w:rsidR="00DF410E" w:rsidRDefault="00CE7F43">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14:paraId="4B290661" w14:textId="77777777" w:rsidR="00DF410E" w:rsidRDefault="00CE7F43">
      <w:pPr>
        <w:jc w:val="both"/>
      </w:pPr>
      <w:r>
        <w:t>Les arrêtes sont</w:t>
      </w:r>
      <w:r>
        <w:rPr>
          <w:rStyle w:val="optioncarChar"/>
        </w:rPr>
        <w:t xml:space="preserve"> vives </w:t>
      </w:r>
      <w:r>
        <w:t>(par défaut)</w:t>
      </w:r>
      <w:r>
        <w:rPr>
          <w:rStyle w:val="optioncarChar"/>
        </w:rPr>
        <w:t xml:space="preserve"> / chanfreinées / ***</w:t>
      </w:r>
    </w:p>
    <w:p w14:paraId="7FE6A4B4" w14:textId="77777777" w:rsidR="00DF410E" w:rsidRDefault="00CE7F43">
      <w:pPr>
        <w:jc w:val="both"/>
      </w:pPr>
      <w:r>
        <w:t xml:space="preserve">Les colonnes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4E499C0E" w14:textId="77777777" w:rsidR="00DF410E" w:rsidRDefault="00CE7F43">
      <w:pPr>
        <w:pStyle w:val="pheading"/>
      </w:pPr>
      <w:r>
        <w:t>EXÉCUTION / MISE EN ŒUVRE</w:t>
      </w:r>
    </w:p>
    <w:p w14:paraId="78F498ED" w14:textId="77777777" w:rsidR="00DF410E" w:rsidRDefault="00CE7F43">
      <w:pPr>
        <w:pStyle w:val="pheading"/>
      </w:pPr>
      <w:r>
        <w:t>- Prescriptions générales</w:t>
      </w:r>
    </w:p>
    <w:p w14:paraId="5A9BC61D"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250C36DB" w14:textId="77777777" w:rsidR="00DF410E" w:rsidRDefault="00CE7F43">
      <w:pPr>
        <w:jc w:val="both"/>
      </w:pPr>
      <w:r>
        <w:t xml:space="preserve">Un dispositif casse-goutte </w:t>
      </w:r>
      <w:r>
        <w:rPr>
          <w:rStyle w:val="optioncarChar"/>
        </w:rPr>
        <w:t>est prévu</w:t>
      </w:r>
      <w:r>
        <w:t xml:space="preserve"> (par défaut)</w:t>
      </w:r>
      <w:r>
        <w:rPr>
          <w:rStyle w:val="optioncarChar"/>
        </w:rPr>
        <w:t xml:space="preserve"> / ***</w:t>
      </w:r>
      <w:r>
        <w:t xml:space="preserve"> au pied des colonnes extérieures.</w:t>
      </w:r>
    </w:p>
    <w:p w14:paraId="60A12DBF" w14:textId="77777777" w:rsidR="00DF410E" w:rsidRDefault="00CE7F43">
      <w:pPr>
        <w:pStyle w:val="pheading"/>
      </w:pPr>
      <w:r>
        <w:t>MESURAGE</w:t>
      </w:r>
    </w:p>
    <w:p w14:paraId="2264EF73" w14:textId="77777777" w:rsidR="00DF410E" w:rsidRDefault="00CE7F43">
      <w:pPr>
        <w:pStyle w:val="pheading"/>
      </w:pPr>
      <w:r>
        <w:t>- unité de mesure:</w:t>
      </w:r>
    </w:p>
    <w:p w14:paraId="1542DA4F" w14:textId="77777777" w:rsidR="00DF410E" w:rsidRDefault="00CE7F43">
      <w:r>
        <w:rPr>
          <w:rStyle w:val="optioncarChar"/>
        </w:rPr>
        <w:t>m³ </w:t>
      </w:r>
      <w:r>
        <w:t>(par défaut)</w:t>
      </w:r>
      <w:r>
        <w:rPr>
          <w:rStyle w:val="optioncarChar"/>
        </w:rPr>
        <w:t> / m / pc</w:t>
      </w:r>
    </w:p>
    <w:p w14:paraId="40BDBFC6" w14:textId="77777777" w:rsidR="00DF410E" w:rsidRDefault="00CE7F43">
      <w:r>
        <w:rPr>
          <w:b/>
          <w:i/>
        </w:rPr>
        <w:t>(Soit par défaut)</w:t>
      </w:r>
    </w:p>
    <w:p w14:paraId="4A72D5D0" w14:textId="77777777" w:rsidR="00DF410E" w:rsidRDefault="00CE7F43">
      <w:r>
        <w:rPr>
          <w:rStyle w:val="soitChar"/>
        </w:rPr>
        <w:t>1.    m³ </w:t>
      </w:r>
    </w:p>
    <w:p w14:paraId="32815FF5" w14:textId="77777777" w:rsidR="00DF410E" w:rsidRDefault="00CE7F43">
      <w:r>
        <w:rPr>
          <w:b/>
          <w:i/>
        </w:rPr>
        <w:t>(Soit)</w:t>
      </w:r>
    </w:p>
    <w:p w14:paraId="284B1A37" w14:textId="77777777" w:rsidR="00DF410E" w:rsidRDefault="00CE7F43">
      <w:r>
        <w:rPr>
          <w:rStyle w:val="soitChar"/>
        </w:rPr>
        <w:t>2.    m </w:t>
      </w:r>
    </w:p>
    <w:p w14:paraId="64396C25" w14:textId="77777777" w:rsidR="00DF410E" w:rsidRDefault="00CE7F43">
      <w:r>
        <w:rPr>
          <w:b/>
          <w:i/>
        </w:rPr>
        <w:t>(Soit)</w:t>
      </w:r>
    </w:p>
    <w:p w14:paraId="09F6C22D" w14:textId="77777777" w:rsidR="00DF410E" w:rsidRDefault="00CE7F43">
      <w:r>
        <w:rPr>
          <w:rStyle w:val="soitChar"/>
        </w:rPr>
        <w:t>3.    pc</w:t>
      </w:r>
    </w:p>
    <w:p w14:paraId="5A84000E" w14:textId="77777777" w:rsidR="00DF410E" w:rsidRDefault="00CE7F43">
      <w:pPr>
        <w:pStyle w:val="pheading"/>
      </w:pPr>
      <w:r>
        <w:t>- code de mesurage:</w:t>
      </w:r>
    </w:p>
    <w:p w14:paraId="1502EC69" w14:textId="77777777" w:rsidR="00DF410E" w:rsidRDefault="00CE7F43">
      <w:pPr>
        <w:jc w:val="both"/>
      </w:pPr>
      <w:r>
        <w:rPr>
          <w:rStyle w:val="optioncarChar"/>
        </w:rPr>
        <w:t> Volume brut </w:t>
      </w:r>
      <w:r>
        <w:t>(par défaut) </w:t>
      </w:r>
      <w:r>
        <w:rPr>
          <w:rStyle w:val="optioncarChar"/>
        </w:rPr>
        <w:t>/ longueur brute / quantité nette</w:t>
      </w:r>
    </w:p>
    <w:p w14:paraId="2C342B06" w14:textId="77777777" w:rsidR="00DF410E" w:rsidRDefault="00CE7F43">
      <w:pPr>
        <w:jc w:val="both"/>
      </w:pPr>
      <w:r>
        <w:rPr>
          <w:b/>
          <w:i/>
        </w:rPr>
        <w:t>(Soit par défaut)</w:t>
      </w:r>
    </w:p>
    <w:p w14:paraId="68634577" w14:textId="77777777" w:rsidR="00DF410E" w:rsidRDefault="00CE7F43">
      <w:pPr>
        <w:jc w:val="both"/>
      </w:pPr>
      <w:r>
        <w:rPr>
          <w:rStyle w:val="soitChar"/>
        </w:rPr>
        <w:t>1.   </w:t>
      </w:r>
      <w:r>
        <w:rPr>
          <w:rStyle w:val="soitChar"/>
          <w:u w:val="single"/>
        </w:rPr>
        <w:t> Volume brut :</w:t>
      </w:r>
    </w:p>
    <w:p w14:paraId="436CE097" w14:textId="77777777" w:rsidR="00DF410E" w:rsidRDefault="00CE7F43">
      <w:pPr>
        <w:jc w:val="both"/>
      </w:pPr>
      <w:r>
        <w:rPr>
          <w:rStyle w:val="soitChar"/>
        </w:rPr>
        <w:t>Le volume brut d’une colonne est calculé suivant le volume du plus petit parallélépipède rectangle pouvant inclure l’élément.</w:t>
      </w:r>
    </w:p>
    <w:p w14:paraId="42F0CC15" w14:textId="77777777" w:rsidR="00DF410E" w:rsidRDefault="00CE7F43">
      <w:pPr>
        <w:jc w:val="both"/>
      </w:pPr>
      <w:r>
        <w:rPr>
          <w:b/>
          <w:i/>
        </w:rPr>
        <w:t> (Soit)</w:t>
      </w:r>
    </w:p>
    <w:p w14:paraId="2AD2298E" w14:textId="77777777" w:rsidR="00DF410E" w:rsidRDefault="00CE7F43">
      <w:pPr>
        <w:jc w:val="both"/>
      </w:pPr>
      <w:r>
        <w:rPr>
          <w:rStyle w:val="soitChar"/>
        </w:rPr>
        <w:t>2.   </w:t>
      </w:r>
      <w:r>
        <w:rPr>
          <w:rStyle w:val="soitChar"/>
          <w:u w:val="single"/>
        </w:rPr>
        <w:t> Longueur brute :</w:t>
      </w:r>
    </w:p>
    <w:p w14:paraId="5B9103F3"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65517989" w14:textId="77777777" w:rsidR="00DF410E" w:rsidRDefault="00CE7F43">
      <w:pPr>
        <w:jc w:val="both"/>
      </w:pPr>
      <w:r>
        <w:rPr>
          <w:rStyle w:val="soitChar"/>
        </w:rPr>
        <w:t>La longueur totale des colonnes ayant la même section et les mêmes caractéristiques est comptabilisée.</w:t>
      </w:r>
    </w:p>
    <w:p w14:paraId="01B06B11" w14:textId="77777777" w:rsidR="00DF410E" w:rsidRDefault="00CE7F43">
      <w:pPr>
        <w:jc w:val="both"/>
      </w:pPr>
      <w:r>
        <w:rPr>
          <w:b/>
          <w:i/>
        </w:rPr>
        <w:t> (Soit)</w:t>
      </w:r>
    </w:p>
    <w:p w14:paraId="68082D09" w14:textId="77777777" w:rsidR="00DF410E" w:rsidRDefault="00CE7F43">
      <w:pPr>
        <w:jc w:val="both"/>
      </w:pPr>
      <w:r>
        <w:rPr>
          <w:rStyle w:val="soitChar"/>
        </w:rPr>
        <w:t>3.    </w:t>
      </w:r>
      <w:r>
        <w:rPr>
          <w:rStyle w:val="soitChar"/>
          <w:u w:val="single"/>
        </w:rPr>
        <w:t>Quantité nette :</w:t>
      </w:r>
    </w:p>
    <w:p w14:paraId="1CB4A584" w14:textId="77777777" w:rsidR="00DF410E" w:rsidRDefault="00CE7F43">
      <w:pPr>
        <w:jc w:val="both"/>
      </w:pPr>
      <w:r>
        <w:rPr>
          <w:rStyle w:val="soitChar"/>
        </w:rPr>
        <w:t>Le nombre de colonnes ayant les mêmes dimensions et les mêmes caractéristiques est compatibilisé.</w:t>
      </w:r>
    </w:p>
    <w:p w14:paraId="593E6B01" w14:textId="77777777" w:rsidR="00DF410E" w:rsidRDefault="00CE7F43">
      <w:pPr>
        <w:pStyle w:val="pheading"/>
      </w:pPr>
      <w:r>
        <w:t>- nature du marché:</w:t>
      </w:r>
    </w:p>
    <w:p w14:paraId="4A9BEC17" w14:textId="77777777" w:rsidR="00DF410E" w:rsidRDefault="00CE7F43">
      <w:r>
        <w:rPr>
          <w:rStyle w:val="optioncarChar"/>
        </w:rPr>
        <w:t>QF </w:t>
      </w:r>
      <w:r>
        <w:t>(par défaut) </w:t>
      </w:r>
      <w:r>
        <w:rPr>
          <w:rStyle w:val="optioncarChar"/>
        </w:rPr>
        <w:t>/ QP</w:t>
      </w:r>
    </w:p>
    <w:p w14:paraId="5ABD0951" w14:textId="77777777" w:rsidR="00DF410E" w:rsidRDefault="00CE7F43">
      <w:r>
        <w:rPr>
          <w:b/>
          <w:i/>
        </w:rPr>
        <w:t>(Soit par défaut)</w:t>
      </w:r>
    </w:p>
    <w:p w14:paraId="211B55E6" w14:textId="77777777" w:rsidR="00DF410E" w:rsidRDefault="00CE7F43">
      <w:r>
        <w:rPr>
          <w:rStyle w:val="soitChar"/>
        </w:rPr>
        <w:t>1.2.3      QF</w:t>
      </w:r>
    </w:p>
    <w:p w14:paraId="30BB1A7E" w14:textId="77777777" w:rsidR="00DF410E" w:rsidRDefault="00CE7F43">
      <w:r>
        <w:rPr>
          <w:b/>
          <w:i/>
        </w:rPr>
        <w:t>(Soit)</w:t>
      </w:r>
    </w:p>
    <w:p w14:paraId="14F4279F" w14:textId="77777777" w:rsidR="00DF410E" w:rsidRDefault="00CE7F43">
      <w:r>
        <w:rPr>
          <w:rStyle w:val="soitChar"/>
        </w:rPr>
        <w:t>1.2.3      QP</w:t>
      </w:r>
    </w:p>
    <w:p w14:paraId="75A0BC0D" w14:textId="77777777" w:rsidR="00DF410E" w:rsidRDefault="00CE7F43">
      <w:pPr>
        <w:pStyle w:val="pheading"/>
      </w:pPr>
      <w:r>
        <w:t>AIDE</w:t>
      </w:r>
    </w:p>
    <w:p w14:paraId="325B2EE4" w14:textId="77777777" w:rsidR="00DF410E" w:rsidRDefault="00CE7F43">
      <w:pPr>
        <w:jc w:val="both"/>
      </w:pPr>
      <w:r>
        <w:t>Le code suivant peut être utilisé pour la dénomination du poste :</w:t>
      </w:r>
    </w:p>
    <w:p w14:paraId="6F22B785" w14:textId="77777777" w:rsidR="00DF410E" w:rsidRDefault="00CE7F43">
      <w:pPr>
        <w:jc w:val="both"/>
      </w:pPr>
      <w:r>
        <w:t>LSL 1 / 2 / 3 / 4 / 5</w:t>
      </w:r>
    </w:p>
    <w:p w14:paraId="21E7493A" w14:textId="77777777" w:rsidR="00DF410E" w:rsidRDefault="00CE7F43">
      <w:pPr>
        <w:jc w:val="both"/>
      </w:pPr>
      <w:r>
        <w:t>Avec :</w:t>
      </w:r>
    </w:p>
    <w:p w14:paraId="40F0FCBA" w14:textId="77777777" w:rsidR="00DF410E" w:rsidRDefault="00CE7F43">
      <w:pPr>
        <w:jc w:val="both"/>
      </w:pPr>
      <w:r>
        <w:t>LSL pour bois laminated veneer lumber</w:t>
      </w:r>
    </w:p>
    <w:p w14:paraId="781C506C" w14:textId="77777777" w:rsidR="00DF410E" w:rsidRDefault="00CE7F43">
      <w:pPr>
        <w:jc w:val="both"/>
      </w:pPr>
      <w:r>
        <w:t>1 : Type de LSL</w:t>
      </w:r>
    </w:p>
    <w:p w14:paraId="71462BCE" w14:textId="77777777" w:rsidR="00DF410E" w:rsidRDefault="00CE7F43">
      <w:pPr>
        <w:jc w:val="both"/>
      </w:pPr>
      <w:r>
        <w:t>2 : section de la colonne</w:t>
      </w:r>
    </w:p>
    <w:p w14:paraId="2C0B5F52" w14:textId="77777777" w:rsidR="00DF410E" w:rsidRDefault="00CE7F43">
      <w:pPr>
        <w:jc w:val="both"/>
      </w:pPr>
      <w:r>
        <w:t>3 : L’essence utilisée</w:t>
      </w:r>
    </w:p>
    <w:p w14:paraId="4B548C67" w14:textId="77777777" w:rsidR="00DF410E" w:rsidRDefault="00CE7F43">
      <w:pPr>
        <w:jc w:val="both"/>
      </w:pPr>
      <w:r>
        <w:t>4 : la classe d’emploi des colonnes</w:t>
      </w:r>
    </w:p>
    <w:p w14:paraId="059B2D6E" w14:textId="77777777" w:rsidR="00DF410E" w:rsidRDefault="00CE7F43">
      <w:pPr>
        <w:jc w:val="both"/>
      </w:pPr>
      <w:r>
        <w:t>5 : la méthode utilisée pour garantir la durabilité des colonnes</w:t>
      </w:r>
    </w:p>
    <w:p w14:paraId="2D2A788E" w14:textId="77777777" w:rsidR="00DF410E" w:rsidRDefault="00CE7F43">
      <w:pPr>
        <w:jc w:val="both"/>
      </w:pPr>
      <w:r>
        <w:t>Ce qui donne, par exemple :</w:t>
      </w:r>
    </w:p>
    <w:p w14:paraId="515F9DC7" w14:textId="77777777" w:rsidR="00DF410E" w:rsidRDefault="00CE7F43">
      <w:pPr>
        <w:jc w:val="both"/>
      </w:pPr>
      <w:r>
        <w:t>LSL S / voir plan / épicéa / 2 / A2.2</w:t>
      </w:r>
    </w:p>
    <w:p w14:paraId="5C34ABFD" w14:textId="77777777" w:rsidR="00DF410E" w:rsidRDefault="00CE7F43">
      <w:pPr>
        <w:pStyle w:val="Author-eSectionHeading5"/>
      </w:pPr>
      <w:bookmarkStart w:id="1581" w:name="_Toc178838677"/>
      <w:r>
        <w:t>24.12.6 Colonnes en PSL CCTB 01.07</w:t>
      </w:r>
      <w:bookmarkEnd w:id="1581"/>
    </w:p>
    <w:p w14:paraId="6BB6FACC" w14:textId="77777777" w:rsidR="00DF410E" w:rsidRDefault="00CE7F43">
      <w:pPr>
        <w:pStyle w:val="pheading"/>
      </w:pPr>
      <w:r>
        <w:t>DESCRIPTION</w:t>
      </w:r>
    </w:p>
    <w:p w14:paraId="65C067E8" w14:textId="77777777" w:rsidR="00DF410E" w:rsidRDefault="00CE7F43">
      <w:pPr>
        <w:pStyle w:val="pheading"/>
      </w:pPr>
      <w:r>
        <w:t>- Définition / Comprend</w:t>
      </w:r>
    </w:p>
    <w:p w14:paraId="215F1C9B" w14:textId="77777777" w:rsidR="00DF410E" w:rsidRDefault="00CE7F43">
      <w:r>
        <w:t xml:space="preserve">Il s’agit des colonnes en PSL. La notion de PSL est expliquée au </w:t>
      </w:r>
      <w:hyperlink w:anchor="89" w:history="1">
        <w:r>
          <w:t>24 Superstructures en bois</w:t>
        </w:r>
      </w:hyperlink>
      <w:r>
        <w:t>.</w:t>
      </w:r>
    </w:p>
    <w:p w14:paraId="58D91A4F" w14:textId="77777777" w:rsidR="00DF410E" w:rsidRDefault="00CE7F43">
      <w:pPr>
        <w:pStyle w:val="pheading"/>
      </w:pPr>
      <w:r>
        <w:t>EXÉCUTION / MISE EN ŒUVRE</w:t>
      </w:r>
    </w:p>
    <w:p w14:paraId="1BD324CA" w14:textId="77777777" w:rsidR="00DF410E" w:rsidRDefault="00CE7F43">
      <w:pPr>
        <w:jc w:val="both"/>
      </w:pPr>
      <w:r>
        <w:t>Lorsque les colonnes sont posées sur des matériaux humides ou humidifiables, les assemblages sont conçus de façon à éviter l’absorption par capillarité.</w:t>
      </w:r>
    </w:p>
    <w:p w14:paraId="0E3715EE" w14:textId="77777777" w:rsidR="00DF410E" w:rsidRDefault="00CE7F43">
      <w:pPr>
        <w:jc w:val="both"/>
      </w:pPr>
      <w:r>
        <w:t>Si les colonnes sont situées à l’intérieur, une protection contre l’humidité est prévue (type membranes bitumineuses, EPDM ou équivalent) sous les colonnes pour éviter les remontées capillaires.</w:t>
      </w:r>
    </w:p>
    <w:p w14:paraId="7250F5F1" w14:textId="77777777" w:rsidR="00DF410E" w:rsidRDefault="00CE7F43">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26F81E61" w14:textId="77777777" w:rsidR="00DF410E" w:rsidRDefault="00CE7F43">
      <w:pPr>
        <w:pStyle w:val="Author-eSectionHeading6"/>
      </w:pPr>
      <w:bookmarkStart w:id="1582" w:name="_Toc178838678"/>
      <w:r>
        <w:t>24.12.6a Colonnes en PSL à inertie constante CCTB 01.11</w:t>
      </w:r>
      <w:bookmarkEnd w:id="1582"/>
    </w:p>
    <w:p w14:paraId="17B24496" w14:textId="77777777" w:rsidR="00DF410E" w:rsidRDefault="00CE7F43">
      <w:pPr>
        <w:pStyle w:val="pheading"/>
      </w:pPr>
      <w:r>
        <w:t>DESCRIPTION</w:t>
      </w:r>
    </w:p>
    <w:p w14:paraId="2CFDDDB3" w14:textId="77777777" w:rsidR="00DF410E" w:rsidRDefault="00CE7F43">
      <w:pPr>
        <w:pStyle w:val="pheading"/>
      </w:pPr>
      <w:r>
        <w:t>- Définition / Comprend</w:t>
      </w:r>
    </w:p>
    <w:p w14:paraId="222EE024" w14:textId="77777777" w:rsidR="00DF410E" w:rsidRDefault="00CE7F43">
      <w:r>
        <w:t>Il s'agit de l’ensemble des colonnes en PSL et à inertie constante.</w:t>
      </w:r>
    </w:p>
    <w:p w14:paraId="7B597CD2" w14:textId="77777777" w:rsidR="00DF410E" w:rsidRDefault="00CE7F43">
      <w:pPr>
        <w:pStyle w:val="pheading"/>
      </w:pPr>
      <w:r>
        <w:t>MATÉRIAUX</w:t>
      </w:r>
    </w:p>
    <w:p w14:paraId="331689E3" w14:textId="77777777" w:rsidR="00DF410E" w:rsidRDefault="00CE7F43">
      <w:pPr>
        <w:pStyle w:val="pheading"/>
      </w:pPr>
      <w:r>
        <w:t>- Caractéristiques générales</w:t>
      </w:r>
    </w:p>
    <w:p w14:paraId="02B49E36" w14:textId="77777777" w:rsidR="00DF410E" w:rsidRDefault="00CE7F43">
      <w:pPr>
        <w:jc w:val="both"/>
      </w:pPr>
      <w:r>
        <w:t xml:space="preserve">Dimensions de la section : </w:t>
      </w:r>
      <w:r>
        <w:rPr>
          <w:rStyle w:val="optioncarChar"/>
        </w:rPr>
        <w:t xml:space="preserve">Voir plans </w:t>
      </w:r>
      <w:r>
        <w:t>(par défaut)</w:t>
      </w:r>
      <w:r>
        <w:rPr>
          <w:rStyle w:val="optioncarChar"/>
        </w:rPr>
        <w:t xml:space="preserve"> / *** x *** mm²</w:t>
      </w:r>
    </w:p>
    <w:p w14:paraId="662641CD" w14:textId="77777777" w:rsidR="00DF410E" w:rsidRDefault="00CE7F43">
      <w:pPr>
        <w:jc w:val="both"/>
      </w:pPr>
      <w:r>
        <w:t>Type de PSL :</w:t>
      </w:r>
      <w:r>
        <w:rPr>
          <w:rStyle w:val="optioncarChar"/>
        </w:rPr>
        <w:t xml:space="preserve"> S </w:t>
      </w:r>
      <w:r>
        <w:t>(par défaut)</w:t>
      </w:r>
      <w:r>
        <w:rPr>
          <w:rStyle w:val="optioncarChar"/>
        </w:rPr>
        <w:t xml:space="preserve"> / Q</w:t>
      </w:r>
    </w:p>
    <w:p w14:paraId="64B73A8D" w14:textId="77777777" w:rsidR="00DF410E" w:rsidRDefault="00CE7F43">
      <w:pPr>
        <w:jc w:val="both"/>
      </w:pPr>
      <w:r>
        <w:t>Caractéristiques mécaniques :</w:t>
      </w:r>
    </w:p>
    <w:p w14:paraId="644E2556" w14:textId="77777777" w:rsidR="00DF410E" w:rsidRDefault="00CE7F43">
      <w:pPr>
        <w:pStyle w:val="Author-eListParagraph"/>
        <w:numPr>
          <w:ilvl w:val="0"/>
          <w:numId w:val="855"/>
        </w:numPr>
      </w:pPr>
      <w:r>
        <w:t>Résistance minimale en flexion à chant :</w:t>
      </w:r>
      <w:r>
        <w:rPr>
          <w:rStyle w:val="optioncarChar"/>
        </w:rPr>
        <w:t> 40 MPa</w:t>
      </w:r>
      <w:r>
        <w:t> (par défaut)</w:t>
      </w:r>
      <w:r>
        <w:rPr>
          <w:rStyle w:val="optioncarChar"/>
        </w:rPr>
        <w:t> / ***</w:t>
      </w:r>
    </w:p>
    <w:p w14:paraId="24FB4696" w14:textId="77777777" w:rsidR="00DF410E" w:rsidRDefault="00CE7F43">
      <w:pPr>
        <w:pStyle w:val="Author-eListParagraph"/>
        <w:numPr>
          <w:ilvl w:val="0"/>
          <w:numId w:val="855"/>
        </w:numPr>
      </w:pPr>
      <w:r>
        <w:t>Résistance minimale en flexion à plat : </w:t>
      </w:r>
      <w:r>
        <w:rPr>
          <w:rStyle w:val="optioncarChar"/>
        </w:rPr>
        <w:t>40 MPa </w:t>
      </w:r>
      <w:r>
        <w:t>(par défaut) </w:t>
      </w:r>
      <w:r>
        <w:rPr>
          <w:rStyle w:val="optioncarChar"/>
        </w:rPr>
        <w:t>/ ***</w:t>
      </w:r>
    </w:p>
    <w:p w14:paraId="56CFA303" w14:textId="77777777" w:rsidR="00DF410E" w:rsidRDefault="00CE7F43">
      <w:pPr>
        <w:pStyle w:val="Author-eListParagraph"/>
        <w:numPr>
          <w:ilvl w:val="0"/>
          <w:numId w:val="855"/>
        </w:numPr>
      </w:pPr>
      <w:r>
        <w:t>Résistance minimale en traction parallèle au fil du bois : </w:t>
      </w:r>
      <w:r>
        <w:rPr>
          <w:rStyle w:val="optioncarChar"/>
        </w:rPr>
        <w:t>30 MPa </w:t>
      </w:r>
      <w:r>
        <w:t>(par défaut)</w:t>
      </w:r>
      <w:r>
        <w:rPr>
          <w:rStyle w:val="optioncarChar"/>
        </w:rPr>
        <w:t> / ***</w:t>
      </w:r>
    </w:p>
    <w:p w14:paraId="76AD7E9B" w14:textId="77777777" w:rsidR="00DF410E" w:rsidRDefault="00CE7F43">
      <w:pPr>
        <w:pStyle w:val="Author-eListParagraph"/>
        <w:numPr>
          <w:ilvl w:val="0"/>
          <w:numId w:val="855"/>
        </w:numPr>
      </w:pPr>
      <w:r>
        <w:t>Résistance minimale en compression parallèle au fil du bois : </w:t>
      </w:r>
      <w:r>
        <w:rPr>
          <w:rStyle w:val="optioncarChar"/>
        </w:rPr>
        <w:t>30 MPa </w:t>
      </w:r>
      <w:r>
        <w:t>(par défaut)</w:t>
      </w:r>
      <w:r>
        <w:rPr>
          <w:rStyle w:val="optioncarChar"/>
        </w:rPr>
        <w:t> / ***</w:t>
      </w:r>
    </w:p>
    <w:p w14:paraId="78DEFC50" w14:textId="77777777" w:rsidR="00DF410E" w:rsidRDefault="00CE7F43">
      <w:pPr>
        <w:pStyle w:val="Author-eListParagraph"/>
        <w:numPr>
          <w:ilvl w:val="0"/>
          <w:numId w:val="855"/>
        </w:numPr>
      </w:pPr>
      <w:r>
        <w:t>Résistance minimale en cisaillement à chant :</w:t>
      </w:r>
      <w:r>
        <w:rPr>
          <w:rStyle w:val="optioncarChar"/>
        </w:rPr>
        <w:t> 5 MPa </w:t>
      </w:r>
      <w:r>
        <w:t>(par défaut)</w:t>
      </w:r>
      <w:r>
        <w:rPr>
          <w:rStyle w:val="optioncarChar"/>
        </w:rPr>
        <w:t> / ***</w:t>
      </w:r>
    </w:p>
    <w:p w14:paraId="1D827A95" w14:textId="77777777" w:rsidR="00DF410E" w:rsidRDefault="00CE7F43">
      <w:pPr>
        <w:pStyle w:val="Author-eListParagraph"/>
        <w:numPr>
          <w:ilvl w:val="0"/>
          <w:numId w:val="855"/>
        </w:numPr>
      </w:pPr>
      <w:r>
        <w:t>Résistance minimale en cisaillement à plat : </w:t>
      </w:r>
      <w:r>
        <w:rPr>
          <w:rStyle w:val="optioncarChar"/>
        </w:rPr>
        <w:t>4 MPa </w:t>
      </w:r>
      <w:r>
        <w:t>(par défaut)</w:t>
      </w:r>
      <w:r>
        <w:rPr>
          <w:rStyle w:val="optioncarChar"/>
        </w:rPr>
        <w:t> / ***</w:t>
      </w:r>
    </w:p>
    <w:p w14:paraId="31A560CD" w14:textId="77777777" w:rsidR="00DF410E" w:rsidRDefault="00CE7F43">
      <w:pPr>
        <w:pStyle w:val="Author-eListParagraph"/>
        <w:numPr>
          <w:ilvl w:val="0"/>
          <w:numId w:val="855"/>
        </w:numPr>
      </w:pPr>
      <w:r>
        <w:t>Module d’élasticité minimum parallèle au fil du bois (au fractile 5%) : </w:t>
      </w:r>
      <w:r>
        <w:rPr>
          <w:rStyle w:val="optioncarChar"/>
        </w:rPr>
        <w:t>9 GPa </w:t>
      </w:r>
      <w:r>
        <w:t>(par défaut)</w:t>
      </w:r>
      <w:r>
        <w:rPr>
          <w:rStyle w:val="optioncarChar"/>
        </w:rPr>
        <w:t> / ***</w:t>
      </w:r>
    </w:p>
    <w:p w14:paraId="307F5491" w14:textId="77777777" w:rsidR="00DF410E" w:rsidRDefault="00CE7F43">
      <w:pPr>
        <w:pStyle w:val="Author-eListParagraph"/>
        <w:numPr>
          <w:ilvl w:val="0"/>
          <w:numId w:val="855"/>
        </w:numPr>
      </w:pPr>
      <w:r>
        <w:t>Module de cisaillement à chant : </w:t>
      </w:r>
      <w:r>
        <w:rPr>
          <w:rStyle w:val="optioncarChar"/>
        </w:rPr>
        <w:t>600 MPa </w:t>
      </w:r>
      <w:r>
        <w:t>(par défaut)</w:t>
      </w:r>
      <w:r>
        <w:rPr>
          <w:rStyle w:val="optioncarChar"/>
        </w:rPr>
        <w:t> / ***</w:t>
      </w:r>
    </w:p>
    <w:p w14:paraId="1FDC0C14" w14:textId="77777777" w:rsidR="00DF410E" w:rsidRDefault="00CE7F43">
      <w:pPr>
        <w:pStyle w:val="Author-eListParagraph"/>
        <w:numPr>
          <w:ilvl w:val="0"/>
          <w:numId w:val="855"/>
        </w:numPr>
      </w:pPr>
      <w:r>
        <w:t>Module de cisaillement à plat :</w:t>
      </w:r>
      <w:r>
        <w:rPr>
          <w:rStyle w:val="optioncarChar"/>
        </w:rPr>
        <w:t> 400 MPa </w:t>
      </w:r>
      <w:r>
        <w:t>(par défaut)</w:t>
      </w:r>
      <w:r>
        <w:rPr>
          <w:rStyle w:val="optioncarChar"/>
        </w:rPr>
        <w:t> / ***</w:t>
      </w:r>
    </w:p>
    <w:p w14:paraId="57C82718" w14:textId="77777777" w:rsidR="00DF410E" w:rsidRDefault="00CE7F43">
      <w:pPr>
        <w:jc w:val="both"/>
      </w:pPr>
      <w:r>
        <w:t> Courbure des colonnes :</w:t>
      </w:r>
      <w:r>
        <w:rPr>
          <w:rStyle w:val="optioncarChar"/>
        </w:rPr>
        <w:t xml:space="preserve"> aucune </w:t>
      </w:r>
      <w:r>
        <w:t xml:space="preserve">(par défaut) </w:t>
      </w:r>
      <w:r>
        <w:rPr>
          <w:rStyle w:val="optioncarChar"/>
        </w:rPr>
        <w:t>/ voir plan / ***</w:t>
      </w:r>
    </w:p>
    <w:p w14:paraId="349096AA" w14:textId="77777777" w:rsidR="00DF410E" w:rsidRDefault="00CE7F43">
      <w:pPr>
        <w:jc w:val="both"/>
      </w:pPr>
      <w:r>
        <w:t xml:space="preserve">Essence : </w:t>
      </w:r>
      <w:r>
        <w:rPr>
          <w:rStyle w:val="optioncarChar"/>
        </w:rPr>
        <w:t xml:space="preserve">Résineuse </w:t>
      </w:r>
      <w:r>
        <w:t>(par défaut)</w:t>
      </w:r>
      <w:r>
        <w:rPr>
          <w:rStyle w:val="optioncarChar"/>
        </w:rPr>
        <w:t xml:space="preserve"> / feuillue / épicéa / douglas / hêtre / ***</w:t>
      </w:r>
    </w:p>
    <w:p w14:paraId="29F0D485" w14:textId="77777777" w:rsidR="00DF410E" w:rsidRDefault="00CE7F43">
      <w:pPr>
        <w:jc w:val="both"/>
      </w:pPr>
      <w:r>
        <w:t xml:space="preserve">Classe d’emploi : </w:t>
      </w:r>
      <w:r>
        <w:rPr>
          <w:rStyle w:val="optioncarChar"/>
        </w:rPr>
        <w:t>1 / 2 / 3</w:t>
      </w:r>
    </w:p>
    <w:p w14:paraId="1715C737" w14:textId="77777777" w:rsidR="00DF410E" w:rsidRDefault="00CE7F43">
      <w:pPr>
        <w:jc w:val="both"/>
      </w:pPr>
      <w:r>
        <w:t>La classe de durabilité minimale des colonnes en PSL est directement liée à la classe d’emploi.</w:t>
      </w:r>
    </w:p>
    <w:p w14:paraId="398834BD" w14:textId="77777777" w:rsidR="00DF410E" w:rsidRDefault="00CE7F43">
      <w:pPr>
        <w:jc w:val="both"/>
      </w:pPr>
      <w:r>
        <w:t xml:space="preserve">Teneur en humidité cible à la livraison et à l’installation des éléments : </w:t>
      </w:r>
      <w:r>
        <w:rPr>
          <w:rStyle w:val="optioncarChar"/>
        </w:rPr>
        <w:t>12 %</w:t>
      </w:r>
      <w:r>
        <w:t xml:space="preserve"> (par défaut) </w:t>
      </w:r>
      <w:r>
        <w:rPr>
          <w:rStyle w:val="optioncarChar"/>
        </w:rPr>
        <w:t>/ 17 % / ***</w:t>
      </w:r>
    </w:p>
    <w:p w14:paraId="395C137F" w14:textId="77777777" w:rsidR="00DF410E" w:rsidRDefault="00CE7F43">
      <w:pPr>
        <w:jc w:val="both"/>
      </w:pPr>
      <w:r>
        <w:t xml:space="preserve">Classe d’émission de formaldéhyde : </w:t>
      </w:r>
      <w:r>
        <w:rPr>
          <w:rStyle w:val="optioncarChar"/>
        </w:rPr>
        <w:t xml:space="preserve">E1 </w:t>
      </w:r>
      <w:r>
        <w:t>(par défaut)</w:t>
      </w:r>
      <w:r>
        <w:rPr>
          <w:rStyle w:val="optioncarChar"/>
        </w:rPr>
        <w:t xml:space="preserve"> / E2</w:t>
      </w:r>
    </w:p>
    <w:p w14:paraId="1C64CB00" w14:textId="77777777" w:rsidR="00DF410E" w:rsidRDefault="00CE7F43">
      <w:pPr>
        <w:pStyle w:val="pheading"/>
      </w:pPr>
      <w:r>
        <w:t>- Finitions</w:t>
      </w:r>
    </w:p>
    <w:p w14:paraId="61CC8D00" w14:textId="77777777" w:rsidR="00DF410E" w:rsidRDefault="00CE7F43">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7F4A1635" w14:textId="77777777" w:rsidR="00DF410E" w:rsidRDefault="00CE7F43">
      <w:pPr>
        <w:jc w:val="both"/>
      </w:pPr>
      <w:r>
        <w:t xml:space="preserve">Les arrêtes sont </w:t>
      </w:r>
      <w:r>
        <w:rPr>
          <w:rStyle w:val="optioncarChar"/>
        </w:rPr>
        <w:t xml:space="preserve">vives </w:t>
      </w:r>
      <w:r>
        <w:t>(par défaut)</w:t>
      </w:r>
      <w:r>
        <w:rPr>
          <w:rStyle w:val="optioncarChar"/>
        </w:rPr>
        <w:t xml:space="preserve"> / chanfreinées / ***</w:t>
      </w:r>
    </w:p>
    <w:p w14:paraId="5842EDF5" w14:textId="77777777" w:rsidR="00DF410E" w:rsidRDefault="00CE7F43">
      <w:pPr>
        <w:jc w:val="both"/>
      </w:pPr>
      <w:r>
        <w:t xml:space="preserve">Les colonnes en PSL sont </w:t>
      </w:r>
      <w:r>
        <w:rPr>
          <w:rStyle w:val="optioncarChar"/>
        </w:rPr>
        <w:t>sans finitions</w:t>
      </w:r>
      <w:r>
        <w:t xml:space="preserve"> (par défaut)</w:t>
      </w:r>
      <w:r>
        <w:rPr>
          <w:rStyle w:val="optioncarChar"/>
        </w:rPr>
        <w:t xml:space="preserve"> / huilées / vernies / lasurées / peintes / ***</w:t>
      </w:r>
      <w:r>
        <w:t xml:space="preserve"> avant mise en œuvre.</w:t>
      </w:r>
    </w:p>
    <w:p w14:paraId="1AAFAFD7" w14:textId="77777777" w:rsidR="00DF410E" w:rsidRDefault="00CE7F43">
      <w:pPr>
        <w:pStyle w:val="pheading"/>
      </w:pPr>
      <w:r>
        <w:t>EXÉCUTION / MISE EN ŒUVRE</w:t>
      </w:r>
    </w:p>
    <w:p w14:paraId="60F98ACB" w14:textId="77777777" w:rsidR="00DF410E" w:rsidRDefault="00CE7F43">
      <w:pPr>
        <w:pStyle w:val="pheading"/>
      </w:pPr>
      <w:r>
        <w:t>- Prescriptions générales</w:t>
      </w:r>
    </w:p>
    <w:p w14:paraId="604E76B8"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3D2D5D0A" w14:textId="77777777" w:rsidR="00DF410E" w:rsidRDefault="00CE7F43">
      <w:pPr>
        <w:jc w:val="both"/>
      </w:pPr>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14:paraId="10572D91" w14:textId="77777777" w:rsidR="00DF410E" w:rsidRDefault="00CE7F43">
      <w:pPr>
        <w:pStyle w:val="pheading"/>
      </w:pPr>
      <w:r>
        <w:t>MESURAGE</w:t>
      </w:r>
    </w:p>
    <w:p w14:paraId="7B7BBA7C" w14:textId="77777777" w:rsidR="00DF410E" w:rsidRDefault="00CE7F43">
      <w:pPr>
        <w:pStyle w:val="pheading"/>
      </w:pPr>
      <w:r>
        <w:t>- unité de mesure:</w:t>
      </w:r>
    </w:p>
    <w:p w14:paraId="54AE2AB2" w14:textId="77777777" w:rsidR="00DF410E" w:rsidRDefault="00CE7F43">
      <w:r>
        <w:rPr>
          <w:rStyle w:val="optioncarChar"/>
        </w:rPr>
        <w:t>m³ </w:t>
      </w:r>
      <w:r>
        <w:t>(par défaut)</w:t>
      </w:r>
      <w:r>
        <w:rPr>
          <w:rStyle w:val="optioncarChar"/>
        </w:rPr>
        <w:t> / m / pc</w:t>
      </w:r>
    </w:p>
    <w:p w14:paraId="38A8CE0C" w14:textId="77777777" w:rsidR="00DF410E" w:rsidRDefault="00CE7F43">
      <w:r>
        <w:rPr>
          <w:b/>
          <w:i/>
        </w:rPr>
        <w:t>(Soit par défaut)</w:t>
      </w:r>
    </w:p>
    <w:p w14:paraId="3EF584F7" w14:textId="77777777" w:rsidR="00DF410E" w:rsidRDefault="00CE7F43">
      <w:r>
        <w:rPr>
          <w:rStyle w:val="soitChar"/>
        </w:rPr>
        <w:t>1.    m³ </w:t>
      </w:r>
    </w:p>
    <w:p w14:paraId="6BFAD311" w14:textId="77777777" w:rsidR="00DF410E" w:rsidRDefault="00CE7F43">
      <w:r>
        <w:rPr>
          <w:b/>
          <w:i/>
        </w:rPr>
        <w:t>(Soit)</w:t>
      </w:r>
    </w:p>
    <w:p w14:paraId="10801D21" w14:textId="77777777" w:rsidR="00DF410E" w:rsidRDefault="00CE7F43">
      <w:r>
        <w:rPr>
          <w:rStyle w:val="soitChar"/>
        </w:rPr>
        <w:t>2.    m </w:t>
      </w:r>
    </w:p>
    <w:p w14:paraId="1DEA2879" w14:textId="77777777" w:rsidR="00DF410E" w:rsidRDefault="00CE7F43">
      <w:r>
        <w:rPr>
          <w:b/>
          <w:i/>
        </w:rPr>
        <w:t>(Soit)</w:t>
      </w:r>
    </w:p>
    <w:p w14:paraId="3B1F6740" w14:textId="77777777" w:rsidR="00DF410E" w:rsidRDefault="00CE7F43">
      <w:r>
        <w:rPr>
          <w:rStyle w:val="soitChar"/>
        </w:rPr>
        <w:t>3.    pc</w:t>
      </w:r>
    </w:p>
    <w:p w14:paraId="3EC8CC0E" w14:textId="77777777" w:rsidR="00DF410E" w:rsidRDefault="00CE7F43">
      <w:pPr>
        <w:pStyle w:val="pheading"/>
      </w:pPr>
      <w:r>
        <w:t>- code de mesurage:</w:t>
      </w:r>
    </w:p>
    <w:p w14:paraId="38490BB4" w14:textId="77777777" w:rsidR="00DF410E" w:rsidRDefault="00CE7F43">
      <w:pPr>
        <w:jc w:val="both"/>
      </w:pPr>
      <w:r>
        <w:rPr>
          <w:rStyle w:val="optioncarChar"/>
        </w:rPr>
        <w:t> Volume brut </w:t>
      </w:r>
      <w:r>
        <w:t>(par défaut) </w:t>
      </w:r>
      <w:r>
        <w:rPr>
          <w:rStyle w:val="optioncarChar"/>
        </w:rPr>
        <w:t>/ longueur brute / quantité nette</w:t>
      </w:r>
    </w:p>
    <w:p w14:paraId="6552D154" w14:textId="77777777" w:rsidR="00DF410E" w:rsidRDefault="00CE7F43">
      <w:pPr>
        <w:jc w:val="both"/>
      </w:pPr>
      <w:r>
        <w:rPr>
          <w:b/>
          <w:i/>
        </w:rPr>
        <w:t>(Soit par défaut)</w:t>
      </w:r>
    </w:p>
    <w:p w14:paraId="353574A9" w14:textId="77777777" w:rsidR="00DF410E" w:rsidRDefault="00CE7F43">
      <w:pPr>
        <w:jc w:val="both"/>
      </w:pPr>
      <w:r>
        <w:rPr>
          <w:rStyle w:val="soitChar"/>
        </w:rPr>
        <w:t>1.   </w:t>
      </w:r>
      <w:r>
        <w:rPr>
          <w:rStyle w:val="soitChar"/>
          <w:u w:val="single"/>
        </w:rPr>
        <w:t> Volume brut :</w:t>
      </w:r>
    </w:p>
    <w:p w14:paraId="5EC93582" w14:textId="77777777" w:rsidR="00DF410E" w:rsidRDefault="00CE7F43">
      <w:pPr>
        <w:jc w:val="both"/>
      </w:pPr>
      <w:r>
        <w:rPr>
          <w:rStyle w:val="soitChar"/>
        </w:rPr>
        <w:t>Le volume brut d’une colonne est calculé suivant l'épaisseur prescrite au cahier spécial des charges.</w:t>
      </w:r>
    </w:p>
    <w:p w14:paraId="6816AC51" w14:textId="77777777" w:rsidR="00DF410E" w:rsidRDefault="00CE7F43">
      <w:pPr>
        <w:jc w:val="both"/>
      </w:pPr>
      <w:r>
        <w:rPr>
          <w:b/>
          <w:i/>
        </w:rPr>
        <w:t> (Soit)</w:t>
      </w:r>
    </w:p>
    <w:p w14:paraId="48DD9570" w14:textId="77777777" w:rsidR="00DF410E" w:rsidRDefault="00CE7F43">
      <w:pPr>
        <w:jc w:val="both"/>
      </w:pPr>
      <w:r>
        <w:rPr>
          <w:rStyle w:val="soitChar"/>
        </w:rPr>
        <w:t>2.   </w:t>
      </w:r>
      <w:r>
        <w:rPr>
          <w:rStyle w:val="soitChar"/>
          <w:u w:val="single"/>
        </w:rPr>
        <w:t> Longueur brute :</w:t>
      </w:r>
    </w:p>
    <w:p w14:paraId="77BAC6BF"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53677E27" w14:textId="77777777" w:rsidR="00DF410E" w:rsidRDefault="00CE7F43">
      <w:pPr>
        <w:jc w:val="both"/>
      </w:pPr>
      <w:r>
        <w:rPr>
          <w:rStyle w:val="soitChar"/>
        </w:rPr>
        <w:t>La longueur totale des colonnes ayant la même section et les mêmes caractéristiques est comptabilisée.</w:t>
      </w:r>
    </w:p>
    <w:p w14:paraId="445F863E" w14:textId="77777777" w:rsidR="00DF410E" w:rsidRDefault="00CE7F43">
      <w:pPr>
        <w:jc w:val="both"/>
      </w:pPr>
      <w:r>
        <w:rPr>
          <w:b/>
          <w:i/>
        </w:rPr>
        <w:t> (Soit)</w:t>
      </w:r>
    </w:p>
    <w:p w14:paraId="1FADDDD4" w14:textId="77777777" w:rsidR="00DF410E" w:rsidRDefault="00CE7F43">
      <w:pPr>
        <w:jc w:val="both"/>
      </w:pPr>
      <w:r>
        <w:rPr>
          <w:rStyle w:val="soitChar"/>
        </w:rPr>
        <w:t>3.    </w:t>
      </w:r>
      <w:r>
        <w:rPr>
          <w:rStyle w:val="soitChar"/>
          <w:u w:val="single"/>
        </w:rPr>
        <w:t>Quantité nette :</w:t>
      </w:r>
    </w:p>
    <w:p w14:paraId="6C23D7AB" w14:textId="77777777" w:rsidR="00DF410E" w:rsidRDefault="00CE7F43">
      <w:pPr>
        <w:jc w:val="both"/>
      </w:pPr>
      <w:r>
        <w:rPr>
          <w:rStyle w:val="soitChar"/>
        </w:rPr>
        <w:t>Le nombre de colonnes ayant les mêmes dimensions et les mêmes caractéristiques est compatibilisé.</w:t>
      </w:r>
    </w:p>
    <w:p w14:paraId="3615AA2A" w14:textId="77777777" w:rsidR="00DF410E" w:rsidRDefault="00CE7F43">
      <w:pPr>
        <w:pStyle w:val="pheading"/>
      </w:pPr>
      <w:r>
        <w:t>- nature du marché:</w:t>
      </w:r>
    </w:p>
    <w:p w14:paraId="782DEE96" w14:textId="77777777" w:rsidR="00DF410E" w:rsidRDefault="00CE7F43">
      <w:r>
        <w:rPr>
          <w:rStyle w:val="optioncarChar"/>
        </w:rPr>
        <w:t>QF </w:t>
      </w:r>
      <w:r>
        <w:t>(par défaut) </w:t>
      </w:r>
      <w:r>
        <w:rPr>
          <w:rStyle w:val="optioncarChar"/>
        </w:rPr>
        <w:t>/ QP</w:t>
      </w:r>
    </w:p>
    <w:p w14:paraId="1526EED3" w14:textId="77777777" w:rsidR="00DF410E" w:rsidRDefault="00CE7F43">
      <w:r>
        <w:rPr>
          <w:b/>
          <w:i/>
        </w:rPr>
        <w:t>(Soit par défaut)</w:t>
      </w:r>
    </w:p>
    <w:p w14:paraId="11A4D1B9" w14:textId="77777777" w:rsidR="00DF410E" w:rsidRDefault="00CE7F43">
      <w:r>
        <w:rPr>
          <w:rStyle w:val="soitChar"/>
        </w:rPr>
        <w:t>1.2.3      QF</w:t>
      </w:r>
    </w:p>
    <w:p w14:paraId="7B0E5B1A" w14:textId="77777777" w:rsidR="00DF410E" w:rsidRDefault="00CE7F43">
      <w:r>
        <w:rPr>
          <w:b/>
          <w:i/>
        </w:rPr>
        <w:t>(Soit)</w:t>
      </w:r>
    </w:p>
    <w:p w14:paraId="70C9FDC9" w14:textId="77777777" w:rsidR="00DF410E" w:rsidRDefault="00CE7F43">
      <w:r>
        <w:rPr>
          <w:rStyle w:val="soitChar"/>
        </w:rPr>
        <w:t>1.2.3      QP</w:t>
      </w:r>
    </w:p>
    <w:p w14:paraId="101A0647" w14:textId="77777777" w:rsidR="00DF410E" w:rsidRDefault="00CE7F43">
      <w:pPr>
        <w:pStyle w:val="pheading"/>
      </w:pPr>
      <w:r>
        <w:t>AIDE</w:t>
      </w:r>
    </w:p>
    <w:p w14:paraId="516F87D1" w14:textId="77777777" w:rsidR="00DF410E" w:rsidRDefault="00CE7F43">
      <w:pPr>
        <w:jc w:val="both"/>
      </w:pPr>
      <w:r>
        <w:t>Le code suivant peut être utilisé pour la dénomination du poste :</w:t>
      </w:r>
    </w:p>
    <w:p w14:paraId="3EBA3557" w14:textId="77777777" w:rsidR="00DF410E" w:rsidRDefault="00CE7F43">
      <w:pPr>
        <w:jc w:val="both"/>
      </w:pPr>
      <w:r>
        <w:t>PSL 1 / 2 / 3 / 4 / 5</w:t>
      </w:r>
    </w:p>
    <w:p w14:paraId="089D3156" w14:textId="77777777" w:rsidR="00DF410E" w:rsidRDefault="00CE7F43">
      <w:pPr>
        <w:jc w:val="both"/>
      </w:pPr>
      <w:r>
        <w:t>Avec :</w:t>
      </w:r>
    </w:p>
    <w:p w14:paraId="117A64D8" w14:textId="77777777" w:rsidR="00DF410E" w:rsidRDefault="00CE7F43">
      <w:pPr>
        <w:jc w:val="both"/>
      </w:pPr>
      <w:r>
        <w:t>PSL pour bois Parallel strand lumber</w:t>
      </w:r>
    </w:p>
    <w:p w14:paraId="1F7B7994" w14:textId="77777777" w:rsidR="00DF410E" w:rsidRDefault="00CE7F43">
      <w:pPr>
        <w:jc w:val="both"/>
      </w:pPr>
      <w:r>
        <w:t>1 : Type de PSL</w:t>
      </w:r>
    </w:p>
    <w:p w14:paraId="5EF3E4B3" w14:textId="77777777" w:rsidR="00DF410E" w:rsidRDefault="00CE7F43">
      <w:pPr>
        <w:jc w:val="both"/>
      </w:pPr>
      <w:r>
        <w:t>2 : section de la colonne</w:t>
      </w:r>
    </w:p>
    <w:p w14:paraId="4D99A13C" w14:textId="77777777" w:rsidR="00DF410E" w:rsidRDefault="00CE7F43">
      <w:pPr>
        <w:jc w:val="both"/>
      </w:pPr>
      <w:r>
        <w:t>3 : L’essence utilisée</w:t>
      </w:r>
    </w:p>
    <w:p w14:paraId="19CB5E74" w14:textId="77777777" w:rsidR="00DF410E" w:rsidRDefault="00CE7F43">
      <w:pPr>
        <w:jc w:val="both"/>
      </w:pPr>
      <w:r>
        <w:t>4 : la classe d’emploi des colonnes</w:t>
      </w:r>
    </w:p>
    <w:p w14:paraId="29F351F2" w14:textId="77777777" w:rsidR="00DF410E" w:rsidRDefault="00CE7F43">
      <w:pPr>
        <w:jc w:val="both"/>
      </w:pPr>
      <w:r>
        <w:t>5 : la méthode utilisée pour garantir la durabilité des colonnes </w:t>
      </w:r>
    </w:p>
    <w:p w14:paraId="769B8787" w14:textId="77777777" w:rsidR="00DF410E" w:rsidRDefault="00DF410E">
      <w:pPr>
        <w:jc w:val="both"/>
      </w:pPr>
    </w:p>
    <w:p w14:paraId="47AB4559" w14:textId="77777777" w:rsidR="00DF410E" w:rsidRDefault="00CE7F43">
      <w:pPr>
        <w:jc w:val="both"/>
      </w:pPr>
      <w:r>
        <w:t>Ce qui donne, par exemple :</w:t>
      </w:r>
    </w:p>
    <w:p w14:paraId="10903230" w14:textId="77777777" w:rsidR="00DF410E" w:rsidRDefault="00CE7F43">
      <w:pPr>
        <w:jc w:val="both"/>
      </w:pPr>
      <w:r>
        <w:t>PSL S / 200 x 90 / épicéa / 2 / A2.2</w:t>
      </w:r>
    </w:p>
    <w:p w14:paraId="06E22086" w14:textId="77777777" w:rsidR="00DF410E" w:rsidRDefault="00CE7F43">
      <w:pPr>
        <w:pStyle w:val="Author-eSectionHeading6"/>
      </w:pPr>
      <w:bookmarkStart w:id="1583" w:name="_Toc178838679"/>
      <w:r>
        <w:t>24.12.6b Colonnes en PSL à inertie variable CCTB 01.11</w:t>
      </w:r>
      <w:bookmarkEnd w:id="1583"/>
    </w:p>
    <w:p w14:paraId="2C067A4A" w14:textId="77777777" w:rsidR="00DF410E" w:rsidRDefault="00CE7F43">
      <w:pPr>
        <w:pStyle w:val="pheading"/>
      </w:pPr>
      <w:r>
        <w:t>DESCRIPTION</w:t>
      </w:r>
    </w:p>
    <w:p w14:paraId="0F8E38E9" w14:textId="77777777" w:rsidR="00DF410E" w:rsidRDefault="00CE7F43">
      <w:pPr>
        <w:pStyle w:val="pheading"/>
      </w:pPr>
      <w:r>
        <w:t>- Définition / Comprend</w:t>
      </w:r>
    </w:p>
    <w:p w14:paraId="5E29F5D2" w14:textId="77777777" w:rsidR="00DF410E" w:rsidRDefault="00CE7F43">
      <w:r>
        <w:t>Il s'agit de l’ensemble des colonnes en PSL et à inertie variable.</w:t>
      </w:r>
    </w:p>
    <w:p w14:paraId="0AC85574" w14:textId="77777777" w:rsidR="00DF410E" w:rsidRDefault="00CE7F43">
      <w:pPr>
        <w:pStyle w:val="pheading"/>
      </w:pPr>
      <w:r>
        <w:t>MATÉRIAUX</w:t>
      </w:r>
    </w:p>
    <w:p w14:paraId="428306A7" w14:textId="77777777" w:rsidR="00DF410E" w:rsidRDefault="00CE7F43">
      <w:pPr>
        <w:pStyle w:val="pheading"/>
      </w:pPr>
      <w:r>
        <w:t>- Caractéristiques générales</w:t>
      </w:r>
    </w:p>
    <w:p w14:paraId="37A30165" w14:textId="77777777" w:rsidR="00DF410E" w:rsidRDefault="00CE7F43">
      <w:pPr>
        <w:jc w:val="both"/>
      </w:pPr>
      <w:r>
        <w:t>Type de PSL :</w:t>
      </w:r>
      <w:r>
        <w:rPr>
          <w:rStyle w:val="optioncarChar"/>
        </w:rPr>
        <w:t xml:space="preserve"> S </w:t>
      </w:r>
      <w:r>
        <w:t>(par défaut)</w:t>
      </w:r>
      <w:r>
        <w:rPr>
          <w:rStyle w:val="optioncarChar"/>
        </w:rPr>
        <w:t xml:space="preserve"> / Q</w:t>
      </w:r>
    </w:p>
    <w:p w14:paraId="03795989" w14:textId="77777777" w:rsidR="00DF410E" w:rsidRDefault="00CE7F43">
      <w:pPr>
        <w:jc w:val="both"/>
      </w:pPr>
      <w:r>
        <w:t>Caractéristiques mécaniques :</w:t>
      </w:r>
    </w:p>
    <w:p w14:paraId="616C8814" w14:textId="77777777" w:rsidR="00DF410E" w:rsidRDefault="00CE7F43">
      <w:pPr>
        <w:pStyle w:val="Author-eListParagraph"/>
        <w:numPr>
          <w:ilvl w:val="0"/>
          <w:numId w:val="856"/>
        </w:numPr>
      </w:pPr>
      <w:r>
        <w:t>Résistance minimale en flexion à chant :</w:t>
      </w:r>
      <w:r>
        <w:rPr>
          <w:rStyle w:val="optioncarChar"/>
        </w:rPr>
        <w:t> 40 MPa</w:t>
      </w:r>
      <w:r>
        <w:t> (par défaut)</w:t>
      </w:r>
      <w:r>
        <w:rPr>
          <w:rStyle w:val="optioncarChar"/>
        </w:rPr>
        <w:t> / ***</w:t>
      </w:r>
    </w:p>
    <w:p w14:paraId="1BAD40A8" w14:textId="77777777" w:rsidR="00DF410E" w:rsidRDefault="00CE7F43">
      <w:pPr>
        <w:pStyle w:val="Author-eListParagraph"/>
        <w:numPr>
          <w:ilvl w:val="0"/>
          <w:numId w:val="856"/>
        </w:numPr>
      </w:pPr>
      <w:r>
        <w:t>Résistance minimale en flexion à plat : </w:t>
      </w:r>
      <w:r>
        <w:rPr>
          <w:rStyle w:val="optioncarChar"/>
        </w:rPr>
        <w:t>40 MPa </w:t>
      </w:r>
      <w:r>
        <w:t>(par défaut) </w:t>
      </w:r>
      <w:r>
        <w:rPr>
          <w:rStyle w:val="optioncarChar"/>
        </w:rPr>
        <w:t>/ ***</w:t>
      </w:r>
    </w:p>
    <w:p w14:paraId="60963B41" w14:textId="77777777" w:rsidR="00DF410E" w:rsidRDefault="00CE7F43">
      <w:pPr>
        <w:pStyle w:val="Author-eListParagraph"/>
        <w:numPr>
          <w:ilvl w:val="0"/>
          <w:numId w:val="856"/>
        </w:numPr>
      </w:pPr>
      <w:r>
        <w:t>Résistance minimale en traction parallèle au fil du bois : </w:t>
      </w:r>
      <w:r>
        <w:rPr>
          <w:rStyle w:val="optioncarChar"/>
        </w:rPr>
        <w:t>30 MPa </w:t>
      </w:r>
      <w:r>
        <w:t>(par défaut)</w:t>
      </w:r>
      <w:r>
        <w:rPr>
          <w:rStyle w:val="optioncarChar"/>
        </w:rPr>
        <w:t> / ***</w:t>
      </w:r>
    </w:p>
    <w:p w14:paraId="7E6C1EBA" w14:textId="77777777" w:rsidR="00DF410E" w:rsidRDefault="00CE7F43">
      <w:pPr>
        <w:pStyle w:val="Author-eListParagraph"/>
        <w:numPr>
          <w:ilvl w:val="0"/>
          <w:numId w:val="856"/>
        </w:numPr>
      </w:pPr>
      <w:r>
        <w:t>Résistance minimale en compression parallèle au fil du bois : </w:t>
      </w:r>
      <w:r>
        <w:rPr>
          <w:rStyle w:val="optioncarChar"/>
        </w:rPr>
        <w:t>30 MPa </w:t>
      </w:r>
      <w:r>
        <w:t>(par défaut)</w:t>
      </w:r>
      <w:r>
        <w:rPr>
          <w:rStyle w:val="optioncarChar"/>
        </w:rPr>
        <w:t> / ***</w:t>
      </w:r>
    </w:p>
    <w:p w14:paraId="14E3B7EA" w14:textId="77777777" w:rsidR="00DF410E" w:rsidRDefault="00CE7F43">
      <w:pPr>
        <w:pStyle w:val="Author-eListParagraph"/>
        <w:numPr>
          <w:ilvl w:val="0"/>
          <w:numId w:val="856"/>
        </w:numPr>
      </w:pPr>
      <w:r>
        <w:t>Résistance minimale en cisaillement à chant :</w:t>
      </w:r>
      <w:r>
        <w:rPr>
          <w:rStyle w:val="optioncarChar"/>
        </w:rPr>
        <w:t> 5 MPa </w:t>
      </w:r>
      <w:r>
        <w:t>(par défaut)</w:t>
      </w:r>
      <w:r>
        <w:rPr>
          <w:rStyle w:val="optioncarChar"/>
        </w:rPr>
        <w:t> / ***</w:t>
      </w:r>
    </w:p>
    <w:p w14:paraId="7F1346AC" w14:textId="77777777" w:rsidR="00DF410E" w:rsidRDefault="00CE7F43">
      <w:pPr>
        <w:pStyle w:val="Author-eListParagraph"/>
        <w:numPr>
          <w:ilvl w:val="0"/>
          <w:numId w:val="856"/>
        </w:numPr>
      </w:pPr>
      <w:r>
        <w:t>Résistance minimale en cisaillement à plat : </w:t>
      </w:r>
      <w:r>
        <w:rPr>
          <w:rStyle w:val="optioncarChar"/>
        </w:rPr>
        <w:t>4 MPa </w:t>
      </w:r>
      <w:r>
        <w:t>(par défaut)</w:t>
      </w:r>
      <w:r>
        <w:rPr>
          <w:rStyle w:val="optioncarChar"/>
        </w:rPr>
        <w:t> / ***</w:t>
      </w:r>
    </w:p>
    <w:p w14:paraId="218B3D4E" w14:textId="77777777" w:rsidR="00DF410E" w:rsidRDefault="00CE7F43">
      <w:pPr>
        <w:pStyle w:val="Author-eListParagraph"/>
        <w:numPr>
          <w:ilvl w:val="0"/>
          <w:numId w:val="856"/>
        </w:numPr>
      </w:pPr>
      <w:r>
        <w:t>Module d’élasticité minimum parallèle au fil du bois (au fractile 5%) : </w:t>
      </w:r>
      <w:r>
        <w:rPr>
          <w:rStyle w:val="optioncarChar"/>
        </w:rPr>
        <w:t>9 GPa </w:t>
      </w:r>
      <w:r>
        <w:t>(par défaut)</w:t>
      </w:r>
      <w:r>
        <w:rPr>
          <w:rStyle w:val="optioncarChar"/>
        </w:rPr>
        <w:t> / ***</w:t>
      </w:r>
    </w:p>
    <w:p w14:paraId="75BBA6E2" w14:textId="77777777" w:rsidR="00DF410E" w:rsidRDefault="00CE7F43">
      <w:pPr>
        <w:pStyle w:val="Author-eListParagraph"/>
        <w:numPr>
          <w:ilvl w:val="0"/>
          <w:numId w:val="856"/>
        </w:numPr>
      </w:pPr>
      <w:r>
        <w:t>Module de cisaillement à chant : </w:t>
      </w:r>
      <w:r>
        <w:rPr>
          <w:rStyle w:val="optioncarChar"/>
        </w:rPr>
        <w:t>600 MPa </w:t>
      </w:r>
      <w:r>
        <w:t>(par défaut)</w:t>
      </w:r>
      <w:r>
        <w:rPr>
          <w:rStyle w:val="optioncarChar"/>
        </w:rPr>
        <w:t> / ***</w:t>
      </w:r>
    </w:p>
    <w:p w14:paraId="3AFE2C3B" w14:textId="77777777" w:rsidR="00DF410E" w:rsidRDefault="00CE7F43">
      <w:pPr>
        <w:pStyle w:val="Author-eListParagraph"/>
        <w:numPr>
          <w:ilvl w:val="0"/>
          <w:numId w:val="856"/>
        </w:numPr>
      </w:pPr>
      <w:r>
        <w:t>Module de cisaillement à plat :</w:t>
      </w:r>
      <w:r>
        <w:rPr>
          <w:rStyle w:val="optioncarChar"/>
        </w:rPr>
        <w:t> 400 MPa </w:t>
      </w:r>
      <w:r>
        <w:t>(par défaut)</w:t>
      </w:r>
      <w:r>
        <w:rPr>
          <w:rStyle w:val="optioncarChar"/>
        </w:rPr>
        <w:t> / ***</w:t>
      </w:r>
    </w:p>
    <w:p w14:paraId="43F39E49" w14:textId="77777777" w:rsidR="00DF410E" w:rsidRDefault="00CE7F43">
      <w:pPr>
        <w:jc w:val="both"/>
      </w:pPr>
      <w:r>
        <w:t>La géométrie des colonnes est décrite dans les plans.</w:t>
      </w:r>
    </w:p>
    <w:p w14:paraId="740C41F7" w14:textId="77777777" w:rsidR="00DF410E" w:rsidRDefault="00CE7F43">
      <w:pPr>
        <w:jc w:val="both"/>
      </w:pPr>
      <w:r>
        <w:t>Essence :</w:t>
      </w:r>
      <w:r>
        <w:rPr>
          <w:rStyle w:val="optioncarChar"/>
        </w:rPr>
        <w:t xml:space="preserve"> Résineuse</w:t>
      </w:r>
      <w:r>
        <w:t xml:space="preserve"> (par défaut)</w:t>
      </w:r>
      <w:r>
        <w:rPr>
          <w:rStyle w:val="optioncarChar"/>
        </w:rPr>
        <w:t xml:space="preserve"> / feuillue / épicéa / douglas / hêtre / ***</w:t>
      </w:r>
    </w:p>
    <w:p w14:paraId="154B8CB4" w14:textId="77777777" w:rsidR="00DF410E" w:rsidRDefault="00CE7F43">
      <w:pPr>
        <w:jc w:val="both"/>
      </w:pPr>
      <w:r>
        <w:t xml:space="preserve">Section des colonnes : </w:t>
      </w:r>
      <w:r>
        <w:rPr>
          <w:rStyle w:val="optioncarChar"/>
        </w:rPr>
        <w:t>***</w:t>
      </w:r>
    </w:p>
    <w:p w14:paraId="0E61A57E" w14:textId="77777777" w:rsidR="00DF410E" w:rsidRDefault="00CE7F43">
      <w:pPr>
        <w:jc w:val="both"/>
      </w:pPr>
      <w:r>
        <w:t>Classe d’emploi :</w:t>
      </w:r>
      <w:r>
        <w:rPr>
          <w:rStyle w:val="optioncarChar"/>
        </w:rPr>
        <w:t xml:space="preserve"> 1 / 2 / 3</w:t>
      </w:r>
    </w:p>
    <w:p w14:paraId="53168CEB" w14:textId="77777777" w:rsidR="00DF410E" w:rsidRDefault="00CE7F43">
      <w:pPr>
        <w:jc w:val="both"/>
      </w:pPr>
      <w:r>
        <w:t>La classe de durabilité minimale des colonnes en PSL est directement liée à la classe d’emploi.</w:t>
      </w:r>
    </w:p>
    <w:p w14:paraId="2328EB6A" w14:textId="77777777" w:rsidR="00DF410E" w:rsidRDefault="00CE7F43">
      <w:pPr>
        <w:jc w:val="both"/>
      </w:pPr>
      <w:r>
        <w:t>Classe d’émission de formaldéhyde : </w:t>
      </w:r>
      <w:r>
        <w:rPr>
          <w:rStyle w:val="optioncarChar"/>
        </w:rPr>
        <w:t xml:space="preserve">E1 </w:t>
      </w:r>
      <w:r>
        <w:t xml:space="preserve">(par défaut) </w:t>
      </w:r>
      <w:r>
        <w:rPr>
          <w:rStyle w:val="optioncarChar"/>
        </w:rPr>
        <w:t>/ E2</w:t>
      </w:r>
    </w:p>
    <w:p w14:paraId="73DC0564" w14:textId="77777777" w:rsidR="00DF410E" w:rsidRDefault="00CE7F43">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5AC7BCE5" w14:textId="77777777" w:rsidR="00DF410E" w:rsidRDefault="00CE7F43">
      <w:pPr>
        <w:pStyle w:val="pheading"/>
      </w:pPr>
      <w:r>
        <w:t>- Finitions</w:t>
      </w:r>
    </w:p>
    <w:p w14:paraId="3BA688DD" w14:textId="77777777" w:rsidR="00DF410E" w:rsidRDefault="00CE7F43">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14:paraId="7EDD60CC" w14:textId="77777777" w:rsidR="00DF410E" w:rsidRDefault="00CE7F43">
      <w:pPr>
        <w:jc w:val="both"/>
      </w:pPr>
      <w:r>
        <w:t>Les arrêtes sont</w:t>
      </w:r>
      <w:r>
        <w:rPr>
          <w:rStyle w:val="optioncarChar"/>
        </w:rPr>
        <w:t xml:space="preserve"> vives </w:t>
      </w:r>
      <w:r>
        <w:t>(par défaut)</w:t>
      </w:r>
      <w:r>
        <w:rPr>
          <w:rStyle w:val="optioncarChar"/>
        </w:rPr>
        <w:t xml:space="preserve"> / chanfreinées / ***</w:t>
      </w:r>
    </w:p>
    <w:p w14:paraId="0DD75C23" w14:textId="77777777" w:rsidR="00DF410E" w:rsidRDefault="00CE7F43">
      <w:pPr>
        <w:jc w:val="both"/>
      </w:pPr>
      <w:r>
        <w:t xml:space="preserve">Les colonnes en PSL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19F65F18" w14:textId="77777777" w:rsidR="00DF410E" w:rsidRDefault="00CE7F43">
      <w:pPr>
        <w:pStyle w:val="pheading"/>
      </w:pPr>
      <w:r>
        <w:t>EXÉCUTION / MISE EN ŒUVRE</w:t>
      </w:r>
    </w:p>
    <w:p w14:paraId="1BAACDEC" w14:textId="77777777" w:rsidR="00DF410E" w:rsidRDefault="00CE7F43">
      <w:pPr>
        <w:pStyle w:val="pheading"/>
      </w:pPr>
      <w:r>
        <w:t>- Prescriptions générales</w:t>
      </w:r>
    </w:p>
    <w:p w14:paraId="02AAA50A"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678A1CFD" w14:textId="77777777" w:rsidR="00DF410E" w:rsidRDefault="00CE7F43">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38870422" w14:textId="77777777" w:rsidR="00DF410E" w:rsidRDefault="00CE7F43">
      <w:pPr>
        <w:pStyle w:val="pheading"/>
      </w:pPr>
      <w:r>
        <w:t>MESURAGE</w:t>
      </w:r>
    </w:p>
    <w:p w14:paraId="2EB65E40" w14:textId="77777777" w:rsidR="00DF410E" w:rsidRDefault="00CE7F43">
      <w:pPr>
        <w:pStyle w:val="pheading"/>
      </w:pPr>
      <w:r>
        <w:t>- unité de mesure:</w:t>
      </w:r>
    </w:p>
    <w:p w14:paraId="254A852F" w14:textId="77777777" w:rsidR="00DF410E" w:rsidRDefault="00CE7F43">
      <w:r>
        <w:rPr>
          <w:rStyle w:val="optioncarChar"/>
        </w:rPr>
        <w:t>m³ </w:t>
      </w:r>
      <w:r>
        <w:t>(par défaut)</w:t>
      </w:r>
      <w:r>
        <w:rPr>
          <w:rStyle w:val="optioncarChar"/>
        </w:rPr>
        <w:t> / m / pc</w:t>
      </w:r>
    </w:p>
    <w:p w14:paraId="36E41DF0" w14:textId="77777777" w:rsidR="00DF410E" w:rsidRDefault="00CE7F43">
      <w:r>
        <w:rPr>
          <w:b/>
          <w:i/>
        </w:rPr>
        <w:t>(Soit par défaut)</w:t>
      </w:r>
    </w:p>
    <w:p w14:paraId="685D4D10" w14:textId="77777777" w:rsidR="00DF410E" w:rsidRDefault="00CE7F43">
      <w:r>
        <w:rPr>
          <w:rStyle w:val="soitChar"/>
        </w:rPr>
        <w:t>1.    m³ </w:t>
      </w:r>
    </w:p>
    <w:p w14:paraId="5E624696" w14:textId="77777777" w:rsidR="00DF410E" w:rsidRDefault="00CE7F43">
      <w:r>
        <w:rPr>
          <w:b/>
          <w:i/>
        </w:rPr>
        <w:t>(Soit)</w:t>
      </w:r>
    </w:p>
    <w:p w14:paraId="7B3AD848" w14:textId="77777777" w:rsidR="00DF410E" w:rsidRDefault="00CE7F43">
      <w:r>
        <w:rPr>
          <w:rStyle w:val="soitChar"/>
        </w:rPr>
        <w:t>2.    m </w:t>
      </w:r>
    </w:p>
    <w:p w14:paraId="1B8842A9" w14:textId="77777777" w:rsidR="00DF410E" w:rsidRDefault="00CE7F43">
      <w:r>
        <w:rPr>
          <w:b/>
          <w:i/>
        </w:rPr>
        <w:t>(Soit)</w:t>
      </w:r>
    </w:p>
    <w:p w14:paraId="557214A6" w14:textId="77777777" w:rsidR="00DF410E" w:rsidRDefault="00CE7F43">
      <w:r>
        <w:rPr>
          <w:rStyle w:val="soitChar"/>
        </w:rPr>
        <w:t>3.    pc</w:t>
      </w:r>
    </w:p>
    <w:p w14:paraId="148F1A8B" w14:textId="77777777" w:rsidR="00DF410E" w:rsidRDefault="00CE7F43">
      <w:pPr>
        <w:pStyle w:val="pheading"/>
      </w:pPr>
      <w:r>
        <w:t>- code de mesurage:</w:t>
      </w:r>
    </w:p>
    <w:p w14:paraId="50FA1219" w14:textId="77777777" w:rsidR="00DF410E" w:rsidRDefault="00CE7F43">
      <w:pPr>
        <w:jc w:val="both"/>
      </w:pPr>
      <w:r>
        <w:rPr>
          <w:rStyle w:val="optioncarChar"/>
        </w:rPr>
        <w:t> Volume brut </w:t>
      </w:r>
      <w:r>
        <w:t>(par défaut) </w:t>
      </w:r>
      <w:r>
        <w:rPr>
          <w:rStyle w:val="optioncarChar"/>
        </w:rPr>
        <w:t>/ longueur brute / quantité nette</w:t>
      </w:r>
    </w:p>
    <w:p w14:paraId="24952D7D" w14:textId="77777777" w:rsidR="00DF410E" w:rsidRDefault="00CE7F43">
      <w:pPr>
        <w:jc w:val="both"/>
      </w:pPr>
      <w:r>
        <w:rPr>
          <w:b/>
          <w:i/>
        </w:rPr>
        <w:t>(Soit par défaut)</w:t>
      </w:r>
    </w:p>
    <w:p w14:paraId="09FED72D" w14:textId="77777777" w:rsidR="00DF410E" w:rsidRDefault="00CE7F43">
      <w:pPr>
        <w:jc w:val="both"/>
      </w:pPr>
      <w:r>
        <w:rPr>
          <w:rStyle w:val="soitChar"/>
        </w:rPr>
        <w:t>1.   </w:t>
      </w:r>
      <w:r>
        <w:rPr>
          <w:rStyle w:val="soitChar"/>
          <w:u w:val="single"/>
        </w:rPr>
        <w:t> Volume brut :</w:t>
      </w:r>
    </w:p>
    <w:p w14:paraId="109186C2" w14:textId="77777777" w:rsidR="00DF410E" w:rsidRDefault="00CE7F43">
      <w:pPr>
        <w:jc w:val="both"/>
      </w:pPr>
      <w:r>
        <w:rPr>
          <w:rStyle w:val="soitChar"/>
        </w:rPr>
        <w:t>Le volume brut d’une colonne est calculé suivant le volume du plus petit parallélépipède rectangle pouvant inclure l’élément.</w:t>
      </w:r>
    </w:p>
    <w:p w14:paraId="39EB76CD" w14:textId="77777777" w:rsidR="00DF410E" w:rsidRDefault="00CE7F43">
      <w:pPr>
        <w:jc w:val="both"/>
      </w:pPr>
      <w:r>
        <w:rPr>
          <w:b/>
          <w:i/>
        </w:rPr>
        <w:t> (Soit)</w:t>
      </w:r>
    </w:p>
    <w:p w14:paraId="19396467" w14:textId="77777777" w:rsidR="00DF410E" w:rsidRDefault="00CE7F43">
      <w:pPr>
        <w:jc w:val="both"/>
      </w:pPr>
      <w:r>
        <w:rPr>
          <w:rStyle w:val="soitChar"/>
        </w:rPr>
        <w:t>2.   </w:t>
      </w:r>
      <w:r>
        <w:rPr>
          <w:rStyle w:val="soitChar"/>
          <w:u w:val="single"/>
        </w:rPr>
        <w:t> Longueur brute :</w:t>
      </w:r>
    </w:p>
    <w:p w14:paraId="49CD734C"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69CD0712" w14:textId="77777777" w:rsidR="00DF410E" w:rsidRDefault="00CE7F43">
      <w:pPr>
        <w:jc w:val="both"/>
      </w:pPr>
      <w:r>
        <w:rPr>
          <w:rStyle w:val="soitChar"/>
        </w:rPr>
        <w:t>La longueur totale des colonnes ayant la même section et les mêmes caractéristiques est comptabilisée.</w:t>
      </w:r>
    </w:p>
    <w:p w14:paraId="79951CEB" w14:textId="77777777" w:rsidR="00DF410E" w:rsidRDefault="00CE7F43">
      <w:pPr>
        <w:jc w:val="both"/>
      </w:pPr>
      <w:r>
        <w:rPr>
          <w:b/>
          <w:i/>
        </w:rPr>
        <w:t> (Soit)</w:t>
      </w:r>
    </w:p>
    <w:p w14:paraId="68836C56" w14:textId="77777777" w:rsidR="00DF410E" w:rsidRDefault="00CE7F43">
      <w:pPr>
        <w:jc w:val="both"/>
      </w:pPr>
      <w:r>
        <w:rPr>
          <w:rStyle w:val="soitChar"/>
        </w:rPr>
        <w:t>3.    </w:t>
      </w:r>
      <w:r>
        <w:rPr>
          <w:rStyle w:val="soitChar"/>
          <w:u w:val="single"/>
        </w:rPr>
        <w:t>Quantité nette :</w:t>
      </w:r>
    </w:p>
    <w:p w14:paraId="14E020F2" w14:textId="77777777" w:rsidR="00DF410E" w:rsidRDefault="00CE7F43">
      <w:pPr>
        <w:jc w:val="both"/>
      </w:pPr>
      <w:r>
        <w:rPr>
          <w:rStyle w:val="soitChar"/>
        </w:rPr>
        <w:t>Le nombre de colonnes ayant les mêmes dimensions et les mêmes caractéristiques est compatibilisé.</w:t>
      </w:r>
    </w:p>
    <w:p w14:paraId="755CA77F" w14:textId="77777777" w:rsidR="00DF410E" w:rsidRDefault="00CE7F43">
      <w:pPr>
        <w:pStyle w:val="pheading"/>
      </w:pPr>
      <w:r>
        <w:t>- nature du marché:</w:t>
      </w:r>
    </w:p>
    <w:p w14:paraId="7E92AD31" w14:textId="77777777" w:rsidR="00DF410E" w:rsidRDefault="00CE7F43">
      <w:r>
        <w:rPr>
          <w:rStyle w:val="optioncarChar"/>
        </w:rPr>
        <w:t>QF </w:t>
      </w:r>
      <w:r>
        <w:t>(par défaut)</w:t>
      </w:r>
      <w:r>
        <w:rPr>
          <w:rStyle w:val="optioncarChar"/>
        </w:rPr>
        <w:t> / QP</w:t>
      </w:r>
    </w:p>
    <w:p w14:paraId="5C0B2CF5" w14:textId="77777777" w:rsidR="00DF410E" w:rsidRDefault="00CE7F43">
      <w:r>
        <w:rPr>
          <w:b/>
          <w:i/>
        </w:rPr>
        <w:t>(Soit par défaut)</w:t>
      </w:r>
    </w:p>
    <w:p w14:paraId="33C88C18" w14:textId="77777777" w:rsidR="00DF410E" w:rsidRDefault="00CE7F43">
      <w:r>
        <w:rPr>
          <w:rStyle w:val="soitChar"/>
        </w:rPr>
        <w:t>1.2.3      QF</w:t>
      </w:r>
    </w:p>
    <w:p w14:paraId="2FB34D6F" w14:textId="77777777" w:rsidR="00DF410E" w:rsidRDefault="00CE7F43">
      <w:r>
        <w:rPr>
          <w:b/>
          <w:i/>
        </w:rPr>
        <w:t>(Soit)</w:t>
      </w:r>
    </w:p>
    <w:p w14:paraId="0CAE7790" w14:textId="77777777" w:rsidR="00DF410E" w:rsidRDefault="00CE7F43">
      <w:r>
        <w:rPr>
          <w:rStyle w:val="soitChar"/>
        </w:rPr>
        <w:t>1.2.3      QP</w:t>
      </w:r>
    </w:p>
    <w:p w14:paraId="1C2D99CB" w14:textId="77777777" w:rsidR="00DF410E" w:rsidRDefault="00CE7F43">
      <w:pPr>
        <w:pStyle w:val="pheading"/>
      </w:pPr>
      <w:r>
        <w:t>AIDE</w:t>
      </w:r>
    </w:p>
    <w:p w14:paraId="1C71C95B" w14:textId="77777777" w:rsidR="00DF410E" w:rsidRDefault="00CE7F43">
      <w:pPr>
        <w:jc w:val="both"/>
      </w:pPr>
      <w:r>
        <w:t>Le code suivant peut être utilisé pour la dénomination du poste :</w:t>
      </w:r>
    </w:p>
    <w:p w14:paraId="54465BE8" w14:textId="77777777" w:rsidR="00DF410E" w:rsidRDefault="00CE7F43">
      <w:pPr>
        <w:jc w:val="both"/>
      </w:pPr>
      <w:r>
        <w:t>PSL 1 / 2 / 3 / 4 / 5</w:t>
      </w:r>
    </w:p>
    <w:p w14:paraId="2A40C7CC" w14:textId="77777777" w:rsidR="00DF410E" w:rsidRDefault="00CE7F43">
      <w:pPr>
        <w:jc w:val="both"/>
      </w:pPr>
      <w:r>
        <w:t>Avec :</w:t>
      </w:r>
    </w:p>
    <w:p w14:paraId="123DA1E6" w14:textId="77777777" w:rsidR="00DF410E" w:rsidRDefault="00CE7F43">
      <w:pPr>
        <w:jc w:val="both"/>
      </w:pPr>
      <w:r>
        <w:t>PSL pour bois laminated veneer lumber</w:t>
      </w:r>
    </w:p>
    <w:p w14:paraId="61789E4A" w14:textId="77777777" w:rsidR="00DF410E" w:rsidRDefault="00CE7F43">
      <w:pPr>
        <w:jc w:val="both"/>
      </w:pPr>
      <w:r>
        <w:t>1 : Type de PSL</w:t>
      </w:r>
    </w:p>
    <w:p w14:paraId="6B5D5D63" w14:textId="77777777" w:rsidR="00DF410E" w:rsidRDefault="00CE7F43">
      <w:pPr>
        <w:jc w:val="both"/>
      </w:pPr>
      <w:r>
        <w:t>2 : section de la colonne</w:t>
      </w:r>
    </w:p>
    <w:p w14:paraId="77D49D5E" w14:textId="77777777" w:rsidR="00DF410E" w:rsidRDefault="00CE7F43">
      <w:pPr>
        <w:jc w:val="both"/>
      </w:pPr>
      <w:r>
        <w:t>3 : L’essence utilisée</w:t>
      </w:r>
    </w:p>
    <w:p w14:paraId="32A60979" w14:textId="77777777" w:rsidR="00DF410E" w:rsidRDefault="00CE7F43">
      <w:pPr>
        <w:jc w:val="both"/>
      </w:pPr>
      <w:r>
        <w:t>4 : la classe d’emploi des colonnes</w:t>
      </w:r>
    </w:p>
    <w:p w14:paraId="26C63735" w14:textId="77777777" w:rsidR="00DF410E" w:rsidRDefault="00CE7F43">
      <w:pPr>
        <w:jc w:val="both"/>
      </w:pPr>
      <w:r>
        <w:t>5 : la méthode utilisée pour garantir la durabilité des colonnes</w:t>
      </w:r>
    </w:p>
    <w:p w14:paraId="1D40B456" w14:textId="77777777" w:rsidR="00DF410E" w:rsidRDefault="00CE7F43">
      <w:pPr>
        <w:jc w:val="both"/>
      </w:pPr>
      <w:r>
        <w:t> </w:t>
      </w:r>
    </w:p>
    <w:p w14:paraId="5653170A" w14:textId="77777777" w:rsidR="00DF410E" w:rsidRDefault="00CE7F43">
      <w:pPr>
        <w:jc w:val="both"/>
      </w:pPr>
      <w:r>
        <w:t>Ce qui donne, par exemple :</w:t>
      </w:r>
    </w:p>
    <w:p w14:paraId="4CA7C5A1" w14:textId="77777777" w:rsidR="00DF410E" w:rsidRDefault="00CE7F43">
      <w:pPr>
        <w:jc w:val="both"/>
      </w:pPr>
      <w:r>
        <w:t>PSL S / voir plan / épicéa / 2 / A2.2</w:t>
      </w:r>
    </w:p>
    <w:p w14:paraId="5B559A03" w14:textId="77777777" w:rsidR="00DF410E" w:rsidRDefault="00CE7F43">
      <w:pPr>
        <w:pStyle w:val="Author-eSectionHeading5"/>
      </w:pPr>
      <w:bookmarkStart w:id="1584" w:name="_Toc178838680"/>
      <w:r>
        <w:t>24.12.7 Colonnes faites de produits manufacturés en bois CCTB 01.07</w:t>
      </w:r>
      <w:bookmarkEnd w:id="1584"/>
    </w:p>
    <w:p w14:paraId="7E024DD6" w14:textId="77777777" w:rsidR="00DF410E" w:rsidRDefault="00CE7F43">
      <w:pPr>
        <w:pStyle w:val="Author-eSectionHeading6"/>
      </w:pPr>
      <w:bookmarkStart w:id="1585" w:name="_Toc178838681"/>
      <w:r>
        <w:t>24.12.7a Colonnes faites de profilés en I à âme en bois CCTB 01.07</w:t>
      </w:r>
      <w:bookmarkEnd w:id="1585"/>
    </w:p>
    <w:p w14:paraId="39710866" w14:textId="77777777" w:rsidR="00DF410E" w:rsidRDefault="00CE7F43">
      <w:pPr>
        <w:pStyle w:val="pheading"/>
      </w:pPr>
      <w:r>
        <w:t>MESURAGE</w:t>
      </w:r>
    </w:p>
    <w:p w14:paraId="405BFC0F" w14:textId="77777777" w:rsidR="00DF410E" w:rsidRDefault="00CE7F43">
      <w:pPr>
        <w:pStyle w:val="pheading"/>
      </w:pPr>
      <w:r>
        <w:t>- unité de mesure:</w:t>
      </w:r>
    </w:p>
    <w:p w14:paraId="23E19E79" w14:textId="77777777" w:rsidR="00DF410E" w:rsidRDefault="00CE7F43">
      <w:r>
        <w:rPr>
          <w:rStyle w:val="optioncarChar"/>
        </w:rPr>
        <w:t xml:space="preserve">m </w:t>
      </w:r>
      <w:r>
        <w:t xml:space="preserve">(par défaut) </w:t>
      </w:r>
      <w:r>
        <w:rPr>
          <w:rStyle w:val="optioncarChar"/>
        </w:rPr>
        <w:t>/ pc</w:t>
      </w:r>
    </w:p>
    <w:p w14:paraId="21894553" w14:textId="77777777" w:rsidR="00DF410E" w:rsidRDefault="00CE7F43">
      <w:r>
        <w:rPr>
          <w:b/>
          <w:i/>
        </w:rPr>
        <w:t>(Soit par défaut)</w:t>
      </w:r>
    </w:p>
    <w:p w14:paraId="2A3551ED" w14:textId="77777777" w:rsidR="00DF410E" w:rsidRDefault="00CE7F43">
      <w:r>
        <w:rPr>
          <w:rStyle w:val="soitChar"/>
        </w:rPr>
        <w:t>1.    m </w:t>
      </w:r>
    </w:p>
    <w:p w14:paraId="5A94C398" w14:textId="77777777" w:rsidR="00DF410E" w:rsidRDefault="00CE7F43">
      <w:r>
        <w:rPr>
          <w:b/>
          <w:i/>
        </w:rPr>
        <w:t>(Soit)</w:t>
      </w:r>
    </w:p>
    <w:p w14:paraId="18207789" w14:textId="77777777" w:rsidR="00DF410E" w:rsidRDefault="00CE7F43">
      <w:r>
        <w:rPr>
          <w:rStyle w:val="soitChar"/>
        </w:rPr>
        <w:t>2.    pc</w:t>
      </w:r>
    </w:p>
    <w:p w14:paraId="30968A07" w14:textId="77777777" w:rsidR="00DF410E" w:rsidRDefault="00CE7F43">
      <w:pPr>
        <w:pStyle w:val="pheading"/>
      </w:pPr>
      <w:r>
        <w:t>- code de mesurage:</w:t>
      </w:r>
    </w:p>
    <w:p w14:paraId="1A39FE6B" w14:textId="77777777" w:rsidR="00DF410E" w:rsidRDefault="00CE7F43">
      <w:pPr>
        <w:jc w:val="both"/>
      </w:pPr>
      <w:r>
        <w:rPr>
          <w:rStyle w:val="optioncarChar"/>
        </w:rPr>
        <w:t xml:space="preserve">Longueur brute </w:t>
      </w:r>
      <w:r>
        <w:t>(par défaut)</w:t>
      </w:r>
      <w:r>
        <w:rPr>
          <w:rStyle w:val="optioncarChar"/>
        </w:rPr>
        <w:t xml:space="preserve"> / Quantité nette</w:t>
      </w:r>
    </w:p>
    <w:p w14:paraId="3DE21A79" w14:textId="77777777" w:rsidR="00DF410E" w:rsidRDefault="00CE7F43">
      <w:pPr>
        <w:jc w:val="both"/>
      </w:pPr>
      <w:r>
        <w:rPr>
          <w:b/>
          <w:i/>
        </w:rPr>
        <w:t>(Soit par défaut)</w:t>
      </w:r>
    </w:p>
    <w:p w14:paraId="261E785D" w14:textId="77777777" w:rsidR="00DF410E" w:rsidRDefault="00CE7F43">
      <w:pPr>
        <w:jc w:val="both"/>
      </w:pPr>
      <w:r>
        <w:rPr>
          <w:rStyle w:val="soitChar"/>
        </w:rPr>
        <w:t xml:space="preserve">1.    </w:t>
      </w:r>
      <w:r>
        <w:rPr>
          <w:rStyle w:val="soitChar"/>
          <w:u w:val="single"/>
        </w:rPr>
        <w:t>Longueur brute :</w:t>
      </w:r>
    </w:p>
    <w:p w14:paraId="79FC4A8B" w14:textId="77777777" w:rsidR="00DF410E" w:rsidRDefault="00CE7F43">
      <w:pPr>
        <w:jc w:val="both"/>
      </w:pPr>
      <w:r>
        <w:rPr>
          <w:rStyle w:val="soitChar"/>
        </w:rPr>
        <w:t>La longueur brute d’un élément est la cote maximale dans la direction longitudinale, longueur de bois utile pour l’assemblage comprise.</w:t>
      </w:r>
    </w:p>
    <w:p w14:paraId="5EC4B0A1" w14:textId="77777777" w:rsidR="00DF410E" w:rsidRDefault="00CE7F43">
      <w:pPr>
        <w:jc w:val="both"/>
      </w:pPr>
      <w:r>
        <w:rPr>
          <w:rStyle w:val="soitChar"/>
        </w:rPr>
        <w:t>La longueur totale des colonnes ayant la même section et les mêmes caractéristiques est comptabilisée.</w:t>
      </w:r>
    </w:p>
    <w:p w14:paraId="3AB8ED53" w14:textId="77777777" w:rsidR="00DF410E" w:rsidRDefault="00CE7F43">
      <w:pPr>
        <w:jc w:val="both"/>
      </w:pPr>
      <w:r>
        <w:rPr>
          <w:b/>
          <w:i/>
        </w:rPr>
        <w:t> (Soit)</w:t>
      </w:r>
    </w:p>
    <w:p w14:paraId="63756503" w14:textId="77777777" w:rsidR="00DF410E" w:rsidRDefault="00CE7F43">
      <w:pPr>
        <w:jc w:val="both"/>
      </w:pPr>
      <w:r>
        <w:rPr>
          <w:rStyle w:val="soitChar"/>
        </w:rPr>
        <w:t xml:space="preserve">2.    </w:t>
      </w:r>
      <w:r>
        <w:rPr>
          <w:rStyle w:val="soitChar"/>
          <w:u w:val="single"/>
        </w:rPr>
        <w:t>Quantité nette :</w:t>
      </w:r>
    </w:p>
    <w:p w14:paraId="29B11875" w14:textId="77777777" w:rsidR="00DF410E" w:rsidRDefault="00CE7F43">
      <w:pPr>
        <w:jc w:val="both"/>
      </w:pPr>
      <w:r>
        <w:rPr>
          <w:rStyle w:val="soitChar"/>
        </w:rPr>
        <w:t>Le nombre de colonnes ayant les mêmes dimensions et les mêmes caractéristiques est compatibilisé.</w:t>
      </w:r>
    </w:p>
    <w:p w14:paraId="0A03F75B" w14:textId="77777777" w:rsidR="00DF410E" w:rsidRDefault="00CE7F43">
      <w:pPr>
        <w:pStyle w:val="pheading"/>
      </w:pPr>
      <w:r>
        <w:t>- nature du marché:</w:t>
      </w:r>
    </w:p>
    <w:p w14:paraId="55351009" w14:textId="77777777" w:rsidR="00DF410E" w:rsidRDefault="00CE7F43">
      <w:r>
        <w:rPr>
          <w:rStyle w:val="optioncarChar"/>
        </w:rPr>
        <w:t xml:space="preserve">QF </w:t>
      </w:r>
      <w:r>
        <w:t xml:space="preserve">(par défaut) </w:t>
      </w:r>
      <w:r>
        <w:rPr>
          <w:rStyle w:val="optioncarChar"/>
        </w:rPr>
        <w:t>/ QP</w:t>
      </w:r>
    </w:p>
    <w:p w14:paraId="6FB50906" w14:textId="77777777" w:rsidR="00DF410E" w:rsidRDefault="00CE7F43">
      <w:r>
        <w:rPr>
          <w:b/>
          <w:i/>
        </w:rPr>
        <w:t>(Soit par défaut)</w:t>
      </w:r>
    </w:p>
    <w:p w14:paraId="0F2830A1" w14:textId="77777777" w:rsidR="00DF410E" w:rsidRDefault="00CE7F43">
      <w:r>
        <w:rPr>
          <w:rStyle w:val="soitChar"/>
        </w:rPr>
        <w:t>1.2      QF</w:t>
      </w:r>
    </w:p>
    <w:p w14:paraId="13DE574C" w14:textId="77777777" w:rsidR="00DF410E" w:rsidRDefault="00CE7F43">
      <w:r>
        <w:rPr>
          <w:b/>
          <w:i/>
        </w:rPr>
        <w:t>(Soit)</w:t>
      </w:r>
    </w:p>
    <w:p w14:paraId="53C7CB09" w14:textId="77777777" w:rsidR="00DF410E" w:rsidRDefault="00CE7F43">
      <w:r>
        <w:rPr>
          <w:rStyle w:val="soitChar"/>
        </w:rPr>
        <w:t>1.2      QP</w:t>
      </w:r>
    </w:p>
    <w:p w14:paraId="32C4FC9A" w14:textId="77777777" w:rsidR="00DF410E" w:rsidRDefault="00CE7F43">
      <w:pPr>
        <w:pStyle w:val="Author-eSectionHeading6"/>
      </w:pPr>
      <w:bookmarkStart w:id="1586" w:name="_Toc178838682"/>
      <w:r>
        <w:t>24.12.7b Colonnes faites de profilés en I à âme métallique CCTB 01.07</w:t>
      </w:r>
      <w:bookmarkEnd w:id="1586"/>
    </w:p>
    <w:p w14:paraId="4A1B5BBD" w14:textId="77777777" w:rsidR="00DF410E" w:rsidRDefault="00CE7F43">
      <w:pPr>
        <w:pStyle w:val="pheading"/>
      </w:pPr>
      <w:r>
        <w:t>MESURAGE</w:t>
      </w:r>
    </w:p>
    <w:p w14:paraId="169B398E" w14:textId="77777777" w:rsidR="00DF410E" w:rsidRDefault="00CE7F43">
      <w:pPr>
        <w:pStyle w:val="pheading"/>
      </w:pPr>
      <w:r>
        <w:t>- unité de mesure:</w:t>
      </w:r>
    </w:p>
    <w:p w14:paraId="5BFBB288" w14:textId="77777777" w:rsidR="00DF410E" w:rsidRDefault="00CE7F43">
      <w:r>
        <w:rPr>
          <w:rStyle w:val="optioncarChar"/>
        </w:rPr>
        <w:t>m </w:t>
      </w:r>
      <w:r>
        <w:t>(par défaut) </w:t>
      </w:r>
      <w:r>
        <w:rPr>
          <w:rStyle w:val="optioncarChar"/>
        </w:rPr>
        <w:t>/ pc</w:t>
      </w:r>
    </w:p>
    <w:p w14:paraId="61FD0337" w14:textId="77777777" w:rsidR="00DF410E" w:rsidRDefault="00CE7F43">
      <w:r>
        <w:rPr>
          <w:b/>
          <w:i/>
        </w:rPr>
        <w:t>(Soit par défaut)</w:t>
      </w:r>
    </w:p>
    <w:p w14:paraId="42713FD4" w14:textId="77777777" w:rsidR="00DF410E" w:rsidRDefault="00CE7F43">
      <w:r>
        <w:rPr>
          <w:rStyle w:val="soitChar"/>
        </w:rPr>
        <w:t>1.    m </w:t>
      </w:r>
    </w:p>
    <w:p w14:paraId="0DAA829B" w14:textId="77777777" w:rsidR="00DF410E" w:rsidRDefault="00CE7F43">
      <w:r>
        <w:rPr>
          <w:b/>
          <w:i/>
        </w:rPr>
        <w:t>(Soit)</w:t>
      </w:r>
    </w:p>
    <w:p w14:paraId="61613EEF" w14:textId="77777777" w:rsidR="00DF410E" w:rsidRDefault="00CE7F43">
      <w:r>
        <w:rPr>
          <w:rStyle w:val="soitChar"/>
        </w:rPr>
        <w:t>2.    pc</w:t>
      </w:r>
    </w:p>
    <w:p w14:paraId="6AB853BA" w14:textId="77777777" w:rsidR="00DF410E" w:rsidRDefault="00CE7F43">
      <w:pPr>
        <w:pStyle w:val="pheading"/>
      </w:pPr>
      <w:r>
        <w:t>- code de mesurage:</w:t>
      </w:r>
    </w:p>
    <w:p w14:paraId="3C70FEE8" w14:textId="77777777" w:rsidR="00DF410E" w:rsidRDefault="00CE7F43">
      <w:r>
        <w:rPr>
          <w:rStyle w:val="optioncarChar"/>
        </w:rPr>
        <w:t>Longueur brute</w:t>
      </w:r>
      <w:r>
        <w:t> (par défaut) </w:t>
      </w:r>
      <w:r>
        <w:rPr>
          <w:rStyle w:val="optioncarChar"/>
        </w:rPr>
        <w:t>/ Quantité nette</w:t>
      </w:r>
    </w:p>
    <w:p w14:paraId="55EFD92E" w14:textId="77777777" w:rsidR="00DF410E" w:rsidRDefault="00CE7F43">
      <w:r>
        <w:rPr>
          <w:b/>
          <w:i/>
        </w:rPr>
        <w:t>(Soit par défaut)</w:t>
      </w:r>
    </w:p>
    <w:p w14:paraId="6D6B9DD0" w14:textId="77777777" w:rsidR="00DF410E" w:rsidRDefault="00CE7F43">
      <w:r>
        <w:rPr>
          <w:rStyle w:val="soitChar"/>
        </w:rPr>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5492282D" w14:textId="77777777" w:rsidR="00DF410E" w:rsidRDefault="00CE7F43">
      <w:r>
        <w:rPr>
          <w:b/>
          <w:i/>
        </w:rPr>
        <w:t> (Soit)</w:t>
      </w:r>
    </w:p>
    <w:p w14:paraId="061C2AAE" w14:textId="77777777" w:rsidR="00DF410E" w:rsidRDefault="00CE7F43">
      <w:r>
        <w:rPr>
          <w:rStyle w:val="soitChar"/>
        </w:rPr>
        <w:t>2.   </w:t>
      </w:r>
      <w:r>
        <w:rPr>
          <w:rStyle w:val="soitChar"/>
          <w:u w:val="single"/>
        </w:rPr>
        <w:t> Quantité nette :</w:t>
      </w:r>
      <w:r>
        <w:br/>
      </w:r>
      <w:r>
        <w:rPr>
          <w:rStyle w:val="soitChar"/>
        </w:rPr>
        <w:t>Le nombre de colonnes ayant les mêmes dimensions et les mêmes caractéristiques est compatibilisé.</w:t>
      </w:r>
    </w:p>
    <w:p w14:paraId="019E1102" w14:textId="77777777" w:rsidR="00DF410E" w:rsidRDefault="00CE7F43">
      <w:pPr>
        <w:pStyle w:val="pheading"/>
      </w:pPr>
      <w:r>
        <w:t>- nature du marché:</w:t>
      </w:r>
    </w:p>
    <w:p w14:paraId="27FF2B42" w14:textId="77777777" w:rsidR="00DF410E" w:rsidRDefault="00CE7F43">
      <w:r>
        <w:rPr>
          <w:rStyle w:val="optioncarChar"/>
        </w:rPr>
        <w:t>QF </w:t>
      </w:r>
      <w:r>
        <w:t>(par défaut) </w:t>
      </w:r>
      <w:r>
        <w:rPr>
          <w:rStyle w:val="optioncarChar"/>
        </w:rPr>
        <w:t>/ QP</w:t>
      </w:r>
    </w:p>
    <w:p w14:paraId="032B38EE" w14:textId="77777777" w:rsidR="00DF410E" w:rsidRDefault="00CE7F43">
      <w:r>
        <w:rPr>
          <w:b/>
          <w:i/>
        </w:rPr>
        <w:t>(Soit par défaut)</w:t>
      </w:r>
    </w:p>
    <w:p w14:paraId="2C33B90C" w14:textId="77777777" w:rsidR="00DF410E" w:rsidRDefault="00CE7F43">
      <w:r>
        <w:rPr>
          <w:rStyle w:val="soitChar"/>
        </w:rPr>
        <w:t>1.2      QF</w:t>
      </w:r>
    </w:p>
    <w:p w14:paraId="574ED47E" w14:textId="77777777" w:rsidR="00DF410E" w:rsidRDefault="00CE7F43">
      <w:r>
        <w:rPr>
          <w:b/>
          <w:i/>
        </w:rPr>
        <w:t>(Soit)</w:t>
      </w:r>
    </w:p>
    <w:p w14:paraId="063AD7C8" w14:textId="77777777" w:rsidR="00DF410E" w:rsidRDefault="00CE7F43">
      <w:r>
        <w:rPr>
          <w:rStyle w:val="soitChar"/>
        </w:rPr>
        <w:t>1.2      QP</w:t>
      </w:r>
    </w:p>
    <w:p w14:paraId="1A74C1F7" w14:textId="77777777" w:rsidR="00DF410E" w:rsidRDefault="00CE7F43">
      <w:pPr>
        <w:pStyle w:val="Author-eSectionHeading6"/>
      </w:pPr>
      <w:bookmarkStart w:id="1587" w:name="_Toc178838683"/>
      <w:r>
        <w:t>24.12.7c Colonnes faites de treillis avec diagonales en bois CCTB 01.07</w:t>
      </w:r>
      <w:bookmarkEnd w:id="1587"/>
    </w:p>
    <w:p w14:paraId="0C41DDF3" w14:textId="77777777" w:rsidR="00DF410E" w:rsidRDefault="00CE7F43">
      <w:pPr>
        <w:pStyle w:val="pheading"/>
      </w:pPr>
      <w:r>
        <w:t>MESURAGE</w:t>
      </w:r>
    </w:p>
    <w:p w14:paraId="55EC761D" w14:textId="77777777" w:rsidR="00DF410E" w:rsidRDefault="00CE7F43">
      <w:pPr>
        <w:pStyle w:val="pheading"/>
      </w:pPr>
      <w:r>
        <w:t>- unité de mesure:</w:t>
      </w:r>
    </w:p>
    <w:p w14:paraId="6B7C1145" w14:textId="77777777" w:rsidR="00DF410E" w:rsidRDefault="00CE7F43">
      <w:r>
        <w:rPr>
          <w:rStyle w:val="optioncarChar"/>
        </w:rPr>
        <w:t>m </w:t>
      </w:r>
      <w:r>
        <w:t>(par défaut)</w:t>
      </w:r>
      <w:r>
        <w:rPr>
          <w:rStyle w:val="optioncarChar"/>
        </w:rPr>
        <w:t> / pc</w:t>
      </w:r>
    </w:p>
    <w:p w14:paraId="11AF8300" w14:textId="77777777" w:rsidR="00DF410E" w:rsidRDefault="00CE7F43">
      <w:r>
        <w:rPr>
          <w:b/>
          <w:i/>
        </w:rPr>
        <w:t>(Soit par défaut)</w:t>
      </w:r>
    </w:p>
    <w:p w14:paraId="15413F17" w14:textId="77777777" w:rsidR="00DF410E" w:rsidRDefault="00CE7F43">
      <w:r>
        <w:rPr>
          <w:rStyle w:val="soitChar"/>
        </w:rPr>
        <w:t>1.    m </w:t>
      </w:r>
    </w:p>
    <w:p w14:paraId="031E0FA7" w14:textId="77777777" w:rsidR="00DF410E" w:rsidRDefault="00CE7F43">
      <w:r>
        <w:rPr>
          <w:b/>
          <w:i/>
        </w:rPr>
        <w:t>(Soit)</w:t>
      </w:r>
    </w:p>
    <w:p w14:paraId="334B3948" w14:textId="77777777" w:rsidR="00DF410E" w:rsidRDefault="00CE7F43">
      <w:r>
        <w:rPr>
          <w:rStyle w:val="soitChar"/>
        </w:rPr>
        <w:t>2.    pc</w:t>
      </w:r>
    </w:p>
    <w:p w14:paraId="67E1612A" w14:textId="77777777" w:rsidR="00DF410E" w:rsidRDefault="00CE7F43">
      <w:pPr>
        <w:pStyle w:val="pheading"/>
      </w:pPr>
      <w:r>
        <w:t>- code de mesurage:</w:t>
      </w:r>
    </w:p>
    <w:p w14:paraId="4C596937" w14:textId="77777777" w:rsidR="00DF410E" w:rsidRDefault="00CE7F43">
      <w:r>
        <w:rPr>
          <w:rStyle w:val="optioncarChar"/>
        </w:rPr>
        <w:t>Longueur brute </w:t>
      </w:r>
      <w:r>
        <w:t>(par défaut) </w:t>
      </w:r>
      <w:r>
        <w:rPr>
          <w:rStyle w:val="optioncarChar"/>
        </w:rPr>
        <w:t>/ Quantité nette</w:t>
      </w:r>
    </w:p>
    <w:p w14:paraId="1D263E78" w14:textId="77777777" w:rsidR="00DF410E" w:rsidRDefault="00CE7F43">
      <w:r>
        <w:rPr>
          <w:b/>
          <w:i/>
        </w:rPr>
        <w:t>(Soit par défaut)</w:t>
      </w:r>
    </w:p>
    <w:p w14:paraId="5F37531D" w14:textId="77777777" w:rsidR="00DF410E" w:rsidRDefault="00CE7F43">
      <w:r>
        <w:rPr>
          <w:rStyle w:val="soitChar"/>
        </w:rPr>
        <w:t>1.   </w:t>
      </w:r>
      <w:r>
        <w:rPr>
          <w:rStyle w:val="soitChar"/>
          <w:u w:val="single"/>
        </w:rPr>
        <w:t> 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687C7159" w14:textId="77777777" w:rsidR="00DF410E" w:rsidRDefault="00CE7F43">
      <w:r>
        <w:rPr>
          <w:b/>
          <w:i/>
        </w:rPr>
        <w:t> (Soit)</w:t>
      </w:r>
    </w:p>
    <w:p w14:paraId="0915602B" w14:textId="77777777" w:rsidR="00DF410E" w:rsidRDefault="00CE7F43">
      <w:r>
        <w:rPr>
          <w:rStyle w:val="soitChar"/>
        </w:rPr>
        <w:t xml:space="preserve">2.  </w:t>
      </w:r>
      <w:r>
        <w:rPr>
          <w:rStyle w:val="soitChar"/>
          <w:u w:val="single"/>
        </w:rPr>
        <w:t>  Quantité nette :</w:t>
      </w:r>
      <w:r>
        <w:br/>
      </w:r>
      <w:r>
        <w:rPr>
          <w:rStyle w:val="soitChar"/>
        </w:rPr>
        <w:t>Le nombre de colonnes ayant les mêmes dimensions et les mêmes caractéristiques est compatibilisé.</w:t>
      </w:r>
    </w:p>
    <w:p w14:paraId="1416F644" w14:textId="77777777" w:rsidR="00DF410E" w:rsidRDefault="00CE7F43">
      <w:pPr>
        <w:pStyle w:val="pheading"/>
      </w:pPr>
      <w:r>
        <w:t>- nature du marché:</w:t>
      </w:r>
    </w:p>
    <w:p w14:paraId="4FF23B5C" w14:textId="77777777" w:rsidR="00DF410E" w:rsidRDefault="00CE7F43">
      <w:r>
        <w:rPr>
          <w:rStyle w:val="optioncarChar"/>
        </w:rPr>
        <w:t>QF </w:t>
      </w:r>
      <w:r>
        <w:t>(par défaut) </w:t>
      </w:r>
      <w:r>
        <w:rPr>
          <w:rStyle w:val="optioncarChar"/>
        </w:rPr>
        <w:t>/ QP</w:t>
      </w:r>
    </w:p>
    <w:p w14:paraId="1ADC1C27" w14:textId="77777777" w:rsidR="00DF410E" w:rsidRDefault="00CE7F43">
      <w:r>
        <w:rPr>
          <w:b/>
          <w:i/>
        </w:rPr>
        <w:t>(Soit par défaut)</w:t>
      </w:r>
    </w:p>
    <w:p w14:paraId="0930D4F2" w14:textId="77777777" w:rsidR="00DF410E" w:rsidRDefault="00CE7F43">
      <w:r>
        <w:rPr>
          <w:rStyle w:val="soitChar"/>
        </w:rPr>
        <w:t>1.2      QF</w:t>
      </w:r>
    </w:p>
    <w:p w14:paraId="3165F40C" w14:textId="77777777" w:rsidR="00DF410E" w:rsidRDefault="00CE7F43">
      <w:r>
        <w:rPr>
          <w:b/>
          <w:i/>
        </w:rPr>
        <w:t>(Soit)</w:t>
      </w:r>
    </w:p>
    <w:p w14:paraId="2F5049AD" w14:textId="77777777" w:rsidR="00DF410E" w:rsidRDefault="00CE7F43">
      <w:r>
        <w:rPr>
          <w:rStyle w:val="soitChar"/>
        </w:rPr>
        <w:t>1.2      QP</w:t>
      </w:r>
    </w:p>
    <w:p w14:paraId="3627391B" w14:textId="77777777" w:rsidR="00DF410E" w:rsidRDefault="00CE7F43">
      <w:pPr>
        <w:pStyle w:val="Author-eSectionHeading6"/>
      </w:pPr>
      <w:bookmarkStart w:id="1588" w:name="_Toc178838684"/>
      <w:r>
        <w:t>24.12.7d Colonnes faites de treillis avec diagonales en métal CCTB 01.07</w:t>
      </w:r>
      <w:bookmarkEnd w:id="1588"/>
    </w:p>
    <w:p w14:paraId="19C690AF" w14:textId="77777777" w:rsidR="00DF410E" w:rsidRDefault="00CE7F43">
      <w:pPr>
        <w:pStyle w:val="pheading"/>
      </w:pPr>
      <w:r>
        <w:t>MESURAGE</w:t>
      </w:r>
    </w:p>
    <w:p w14:paraId="71A9552D" w14:textId="77777777" w:rsidR="00DF410E" w:rsidRDefault="00CE7F43">
      <w:pPr>
        <w:pStyle w:val="pheading"/>
      </w:pPr>
      <w:r>
        <w:t>- unité de mesure:</w:t>
      </w:r>
    </w:p>
    <w:p w14:paraId="083583C1" w14:textId="77777777" w:rsidR="00DF410E" w:rsidRDefault="00CE7F43">
      <w:r>
        <w:rPr>
          <w:rStyle w:val="optioncarChar"/>
        </w:rPr>
        <w:t>m </w:t>
      </w:r>
      <w:r>
        <w:t>(par défaut) </w:t>
      </w:r>
      <w:r>
        <w:rPr>
          <w:rStyle w:val="optioncarChar"/>
        </w:rPr>
        <w:t>/ pc</w:t>
      </w:r>
    </w:p>
    <w:p w14:paraId="080C45E1" w14:textId="77777777" w:rsidR="00DF410E" w:rsidRDefault="00CE7F43">
      <w:r>
        <w:rPr>
          <w:b/>
          <w:i/>
        </w:rPr>
        <w:t>(Soit par défaut)</w:t>
      </w:r>
    </w:p>
    <w:p w14:paraId="59E17625" w14:textId="77777777" w:rsidR="00DF410E" w:rsidRDefault="00CE7F43">
      <w:r>
        <w:rPr>
          <w:rStyle w:val="soitChar"/>
        </w:rPr>
        <w:t>1.    m </w:t>
      </w:r>
    </w:p>
    <w:p w14:paraId="397E4621" w14:textId="77777777" w:rsidR="00DF410E" w:rsidRDefault="00CE7F43">
      <w:r>
        <w:rPr>
          <w:b/>
          <w:i/>
        </w:rPr>
        <w:t>(Soit)</w:t>
      </w:r>
    </w:p>
    <w:p w14:paraId="3C552DEA" w14:textId="77777777" w:rsidR="00DF410E" w:rsidRDefault="00CE7F43">
      <w:r>
        <w:rPr>
          <w:rStyle w:val="soitChar"/>
        </w:rPr>
        <w:t>2.    pc</w:t>
      </w:r>
    </w:p>
    <w:p w14:paraId="2ACF4040" w14:textId="77777777" w:rsidR="00DF410E" w:rsidRDefault="00CE7F43">
      <w:pPr>
        <w:pStyle w:val="pheading"/>
      </w:pPr>
      <w:r>
        <w:t>- code de mesurage:</w:t>
      </w:r>
    </w:p>
    <w:p w14:paraId="6BE0B3B6" w14:textId="77777777" w:rsidR="00DF410E" w:rsidRDefault="00CE7F43">
      <w:r>
        <w:rPr>
          <w:rStyle w:val="optioncarChar"/>
        </w:rPr>
        <w:t>Longueur brute </w:t>
      </w:r>
      <w:r>
        <w:t>(par défaut) </w:t>
      </w:r>
      <w:r>
        <w:rPr>
          <w:rStyle w:val="optioncarChar"/>
        </w:rPr>
        <w:t>/ Quantité nette</w:t>
      </w:r>
    </w:p>
    <w:p w14:paraId="265B2C81" w14:textId="77777777" w:rsidR="00DF410E" w:rsidRDefault="00CE7F43">
      <w:r>
        <w:rPr>
          <w:b/>
          <w:i/>
        </w:rPr>
        <w:t>(Soit par défaut)</w:t>
      </w:r>
    </w:p>
    <w:p w14:paraId="12C70D2F" w14:textId="77777777" w:rsidR="00DF410E" w:rsidRDefault="00CE7F43">
      <w:r>
        <w:rPr>
          <w:rStyle w:val="soitChar"/>
        </w:rPr>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79518004" w14:textId="77777777" w:rsidR="00DF410E" w:rsidRDefault="00CE7F43">
      <w:r>
        <w:rPr>
          <w:b/>
          <w:i/>
        </w:rPr>
        <w:t> (Soit)</w:t>
      </w:r>
    </w:p>
    <w:p w14:paraId="46A8FF48" w14:textId="77777777" w:rsidR="00DF410E" w:rsidRDefault="00CE7F43">
      <w:r>
        <w:rPr>
          <w:rStyle w:val="soitChar"/>
        </w:rPr>
        <w:t>2.    </w:t>
      </w:r>
      <w:r>
        <w:rPr>
          <w:rStyle w:val="soitChar"/>
          <w:u w:val="single"/>
        </w:rPr>
        <w:t>Quantité nette :</w:t>
      </w:r>
      <w:r>
        <w:br/>
      </w:r>
      <w:r>
        <w:rPr>
          <w:rStyle w:val="soitChar"/>
        </w:rPr>
        <w:t>Le nombre de colonnes ayant les mêmes dimensions et les mêmes caractéristiques est compatibilisé.</w:t>
      </w:r>
    </w:p>
    <w:p w14:paraId="5C56414D" w14:textId="77777777" w:rsidR="00DF410E" w:rsidRDefault="00CE7F43">
      <w:pPr>
        <w:pStyle w:val="pheading"/>
      </w:pPr>
      <w:r>
        <w:t>- nature du marché:</w:t>
      </w:r>
    </w:p>
    <w:p w14:paraId="74140022" w14:textId="77777777" w:rsidR="00DF410E" w:rsidRDefault="00CE7F43">
      <w:r>
        <w:rPr>
          <w:rStyle w:val="optioncarChar"/>
        </w:rPr>
        <w:t>QF </w:t>
      </w:r>
      <w:r>
        <w:t>(par défaut) </w:t>
      </w:r>
      <w:r>
        <w:rPr>
          <w:rStyle w:val="optioncarChar"/>
        </w:rPr>
        <w:t>/ QP</w:t>
      </w:r>
    </w:p>
    <w:p w14:paraId="3E561E66" w14:textId="77777777" w:rsidR="00DF410E" w:rsidRDefault="00CE7F43">
      <w:r>
        <w:rPr>
          <w:b/>
          <w:i/>
        </w:rPr>
        <w:t>(Soit par défaut)</w:t>
      </w:r>
    </w:p>
    <w:p w14:paraId="08D90740" w14:textId="77777777" w:rsidR="00DF410E" w:rsidRDefault="00CE7F43">
      <w:r>
        <w:rPr>
          <w:rStyle w:val="soitChar"/>
        </w:rPr>
        <w:t>1.2      QF</w:t>
      </w:r>
    </w:p>
    <w:p w14:paraId="08F7CDB6" w14:textId="77777777" w:rsidR="00DF410E" w:rsidRDefault="00CE7F43">
      <w:r>
        <w:rPr>
          <w:b/>
          <w:i/>
        </w:rPr>
        <w:t>(Soit)</w:t>
      </w:r>
    </w:p>
    <w:p w14:paraId="259B8015" w14:textId="77777777" w:rsidR="00DF410E" w:rsidRDefault="00CE7F43">
      <w:r>
        <w:rPr>
          <w:rStyle w:val="soitChar"/>
        </w:rPr>
        <w:t>1.2      QP</w:t>
      </w:r>
    </w:p>
    <w:p w14:paraId="598D6B9C" w14:textId="77777777" w:rsidR="00DF410E" w:rsidRDefault="00CE7F43">
      <w:pPr>
        <w:pStyle w:val="Author-eSectionHeading4"/>
      </w:pPr>
      <w:bookmarkStart w:id="1589" w:name="_Toc178838685"/>
      <w:r>
        <w:t>24.13 Poutres et barres en bois CCTB 01.07</w:t>
      </w:r>
      <w:bookmarkEnd w:id="1589"/>
    </w:p>
    <w:p w14:paraId="2166328A" w14:textId="77777777" w:rsidR="00DF410E" w:rsidRDefault="00CE7F43">
      <w:pPr>
        <w:pStyle w:val="pheading"/>
      </w:pPr>
      <w:bookmarkStart w:id="1590" w:name="402"/>
      <w:bookmarkEnd w:id="1590"/>
      <w:r>
        <w:t>DESCRIPTION</w:t>
      </w:r>
    </w:p>
    <w:p w14:paraId="68AD9D11" w14:textId="77777777" w:rsidR="00DF410E" w:rsidRDefault="00CE7F43">
      <w:pPr>
        <w:pStyle w:val="pheading"/>
      </w:pPr>
      <w:r>
        <w:t>- Définition / Comprend</w:t>
      </w:r>
    </w:p>
    <w:p w14:paraId="676F7335" w14:textId="77777777" w:rsidR="00DF410E" w:rsidRDefault="00CE7F43">
      <w:pPr>
        <w:jc w:val="both"/>
      </w:pPr>
      <w:r>
        <w:t>Les poutres et barres en bois sont des éléments structuraux horizontaux ou diagonaux destinés à transférer des charges. Elles peuvent être constituées d’une ou plusieurs pièces assemblées.</w:t>
      </w:r>
    </w:p>
    <w:p w14:paraId="39A3B6E2" w14:textId="77777777" w:rsidR="00DF410E" w:rsidRDefault="00CE7F43">
      <w:pPr>
        <w:jc w:val="both"/>
      </w:pPr>
      <w:r>
        <w:t>Cet élément comprend notamment :</w:t>
      </w:r>
    </w:p>
    <w:p w14:paraId="58ABD4E4" w14:textId="77777777" w:rsidR="00DF410E" w:rsidRDefault="00CE7F43">
      <w:pPr>
        <w:pStyle w:val="Author-eListParagraph"/>
        <w:numPr>
          <w:ilvl w:val="0"/>
          <w:numId w:val="857"/>
        </w:numPr>
      </w:pPr>
      <w:r>
        <w:t>Les montants individuels d’une paroi en ossature bois.</w:t>
      </w:r>
    </w:p>
    <w:p w14:paraId="53131208" w14:textId="77777777" w:rsidR="00DF410E" w:rsidRDefault="00CE7F43">
      <w:pPr>
        <w:pStyle w:val="Author-eListParagraph"/>
        <w:numPr>
          <w:ilvl w:val="0"/>
          <w:numId w:val="857"/>
        </w:numPr>
      </w:pPr>
      <w:r>
        <w:t>Les éléments qui constituent une charpente de toiture traditionnelle, tel que faîtière, pannes, etc.</w:t>
      </w:r>
    </w:p>
    <w:p w14:paraId="1DA7A9A1" w14:textId="77777777" w:rsidR="00DF410E" w:rsidRDefault="00CE7F43">
      <w:pPr>
        <w:pStyle w:val="Author-eListParagraph"/>
        <w:numPr>
          <w:ilvl w:val="0"/>
          <w:numId w:val="857"/>
        </w:numPr>
      </w:pPr>
      <w:r>
        <w:t>Les jambes de forces, aisseliers, contrefiches, etc.</w:t>
      </w:r>
    </w:p>
    <w:p w14:paraId="44234E78" w14:textId="77777777" w:rsidR="00DF410E" w:rsidRDefault="00CE7F43">
      <w:pPr>
        <w:jc w:val="both"/>
      </w:pPr>
      <w:r>
        <w:t>Et ne comprend pas :</w:t>
      </w:r>
    </w:p>
    <w:p w14:paraId="1986284A" w14:textId="77777777" w:rsidR="00DF410E" w:rsidRDefault="00CE7F43">
      <w:pPr>
        <w:pStyle w:val="Author-eListParagraph"/>
        <w:numPr>
          <w:ilvl w:val="0"/>
          <w:numId w:val="858"/>
        </w:numPr>
        <w:jc w:val="both"/>
      </w:pPr>
      <w:r>
        <w:t>Les lisses de poses et les muralières. Ceux-ci sont traités au 24.43 Contreventements pour structures en bois.</w:t>
      </w:r>
    </w:p>
    <w:p w14:paraId="4AC4586D" w14:textId="77777777" w:rsidR="00DF410E" w:rsidRDefault="00CE7F43">
      <w:pPr>
        <w:pStyle w:val="pheading"/>
      </w:pPr>
      <w:r>
        <w:t>EXÉCUTION / MISE EN ŒUVRE</w:t>
      </w:r>
    </w:p>
    <w:p w14:paraId="69813A9E" w14:textId="77777777" w:rsidR="00DF410E" w:rsidRDefault="00CE7F43">
      <w:pPr>
        <w:jc w:val="both"/>
      </w:pPr>
      <w:r>
        <w:t>Lors du montage des poutres et barres en bois, un étançonnement provisoire est prévu pour assurer la stabilité de celles-ci. Si les poutres et barres sont visibles, les assemblages provisoires sont réalisés sans endommager l’état de surface des poutres et barres.</w:t>
      </w:r>
    </w:p>
    <w:p w14:paraId="1DB2A441" w14:textId="77777777" w:rsidR="00DF410E" w:rsidRDefault="00DF410E">
      <w:pPr>
        <w:jc w:val="both"/>
      </w:pPr>
    </w:p>
    <w:p w14:paraId="695417D2" w14:textId="77777777" w:rsidR="00DF410E" w:rsidRDefault="00DF410E">
      <w:pPr>
        <w:jc w:val="both"/>
      </w:pPr>
    </w:p>
    <w:p w14:paraId="5A22B4B2" w14:textId="77777777" w:rsidR="00DF410E" w:rsidRDefault="00CE7F43">
      <w:pPr>
        <w:jc w:val="both"/>
      </w:pPr>
      <w:r>
        <w:t>Lorsque les poutres et barres sont posées sur des matériaux humides ou humidifiables, des mesures de protection sont prises pour empêcher l’absorption par capillarité.</w:t>
      </w:r>
    </w:p>
    <w:p w14:paraId="007AEF9A" w14:textId="77777777" w:rsidR="00DF410E" w:rsidRDefault="00CE7F43">
      <w:pPr>
        <w:pStyle w:val="Author-eSectionHeading5"/>
      </w:pPr>
      <w:bookmarkStart w:id="1591" w:name="_Toc178838686"/>
      <w:r>
        <w:t>24.13.1 Poutres et barres en bois massif CCTB 01.07</w:t>
      </w:r>
      <w:bookmarkEnd w:id="1591"/>
    </w:p>
    <w:p w14:paraId="07469FBF" w14:textId="77777777" w:rsidR="00DF410E" w:rsidRDefault="00CE7F43">
      <w:pPr>
        <w:pStyle w:val="pheading"/>
      </w:pPr>
      <w:r>
        <w:t>DESCRIPTION</w:t>
      </w:r>
    </w:p>
    <w:p w14:paraId="3B6B09BA" w14:textId="77777777" w:rsidR="00DF410E" w:rsidRDefault="00CE7F43">
      <w:pPr>
        <w:pStyle w:val="pheading"/>
      </w:pPr>
      <w:r>
        <w:t>- Définition / Comprend</w:t>
      </w:r>
    </w:p>
    <w:p w14:paraId="1460F16A" w14:textId="77777777" w:rsidR="00DF410E" w:rsidRDefault="00CE7F43">
      <w:r>
        <w:t xml:space="preserve">Il s’agit des poutres et barres en bois massif. La notion de bois massif est expliquée au </w:t>
      </w:r>
      <w:hyperlink w:anchor="89" w:history="1">
        <w:r>
          <w:t>24 Superstructures en bois</w:t>
        </w:r>
      </w:hyperlink>
      <w:r>
        <w:t>.</w:t>
      </w:r>
    </w:p>
    <w:p w14:paraId="661A1A37" w14:textId="77777777" w:rsidR="00DF410E" w:rsidRDefault="00CE7F43">
      <w:pPr>
        <w:pStyle w:val="pheading"/>
      </w:pPr>
      <w:r>
        <w:t>EXÉCUTION / MISE EN ŒUVRE</w:t>
      </w:r>
    </w:p>
    <w:p w14:paraId="126C9E5A" w14:textId="77777777" w:rsidR="00DF410E" w:rsidRDefault="00CE7F43">
      <w:pPr>
        <w:jc w:val="both"/>
      </w:pPr>
      <w:r>
        <w:t>Dans le cas des poutres et barres en bois massif avec cœur, il existe un risque de fissuration traversante. Dans les cas d’élément horizontaux, des mesures sont prises pour éviter la stagnation d’eau en fond des. Ces méthodes peuvent être par exemple de pratiquer une entaille de retrait à un endroit choisis judicieusement dans le but d’éviter la fissuration de l’élément dans une zone critique.</w:t>
      </w:r>
    </w:p>
    <w:p w14:paraId="6C03AB86" w14:textId="77777777" w:rsidR="00DF410E" w:rsidRDefault="00CE7F43">
      <w:pPr>
        <w:jc w:val="both"/>
      </w:pPr>
      <w:r>
        <w:t>Lorsqu’elles sont sollicitées en compression, une analyse de risque de flambement est effectuée par un bureau d’études.</w:t>
      </w:r>
    </w:p>
    <w:p w14:paraId="63D822CC" w14:textId="77777777" w:rsidR="00DF410E" w:rsidRDefault="00CE7F43">
      <w:pPr>
        <w:pStyle w:val="Author-eSectionHeading6"/>
      </w:pPr>
      <w:bookmarkStart w:id="1592" w:name="_Toc178838687"/>
      <w:r>
        <w:t>24.13.1a Poutres et barres en bois massif à section rectangulaire CCTB 01.11</w:t>
      </w:r>
      <w:bookmarkEnd w:id="1592"/>
    </w:p>
    <w:p w14:paraId="75BBD455" w14:textId="77777777" w:rsidR="00DF410E" w:rsidRDefault="00CE7F43">
      <w:pPr>
        <w:pStyle w:val="pheading"/>
      </w:pPr>
      <w:bookmarkStart w:id="1593" w:name="586"/>
      <w:bookmarkEnd w:id="1593"/>
      <w:r>
        <w:t>DESCRIPTION</w:t>
      </w:r>
    </w:p>
    <w:p w14:paraId="41CDB41E" w14:textId="77777777" w:rsidR="00DF410E" w:rsidRDefault="00CE7F43">
      <w:pPr>
        <w:pStyle w:val="pheading"/>
      </w:pPr>
      <w:r>
        <w:t>- Définition / Comprend</w:t>
      </w:r>
    </w:p>
    <w:p w14:paraId="0B83CAD4" w14:textId="77777777" w:rsidR="00DF410E" w:rsidRDefault="00CE7F43">
      <w:r>
        <w:t>Il s'agit de l’ensemble des poutres et barres en bois à section rectangulaire.</w:t>
      </w:r>
    </w:p>
    <w:p w14:paraId="5A08D804" w14:textId="77777777" w:rsidR="00DF410E" w:rsidRDefault="00CE7F43">
      <w:pPr>
        <w:pStyle w:val="pheading"/>
      </w:pPr>
      <w:r>
        <w:t>MATÉRIAUX</w:t>
      </w:r>
    </w:p>
    <w:p w14:paraId="205409B7" w14:textId="77777777" w:rsidR="00DF410E" w:rsidRDefault="00CE7F43">
      <w:pPr>
        <w:pStyle w:val="pheading"/>
      </w:pPr>
      <w:r>
        <w:t>- Caractéristiques générales</w:t>
      </w:r>
    </w:p>
    <w:p w14:paraId="53057969" w14:textId="77777777" w:rsidR="00DF410E" w:rsidRDefault="00CE7F43">
      <w:pPr>
        <w:jc w:val="both"/>
      </w:pPr>
      <w:r>
        <w:t xml:space="preserve">Classe de résistance : </w:t>
      </w:r>
      <w:r>
        <w:rPr>
          <w:rStyle w:val="optioncarChar"/>
        </w:rPr>
        <w:t>C18 </w:t>
      </w:r>
      <w:r>
        <w:t>(par défaut)</w:t>
      </w:r>
      <w:r>
        <w:rPr>
          <w:rStyle w:val="optioncarChar"/>
        </w:rPr>
        <w:t xml:space="preserve"> / D18 / C24 / D24 / C30 / D30 / ***</w:t>
      </w:r>
    </w:p>
    <w:p w14:paraId="140F995F" w14:textId="77777777" w:rsidR="00DF410E" w:rsidRDefault="00CE7F43">
      <w:pPr>
        <w:jc w:val="both"/>
      </w:pPr>
      <w:r>
        <w:t xml:space="preserve">Dimensions de la section : </w:t>
      </w:r>
      <w:r>
        <w:rPr>
          <w:rStyle w:val="optioncarChar"/>
        </w:rPr>
        <w:t xml:space="preserve">Voir plans </w:t>
      </w:r>
      <w:r>
        <w:t>(par défaut)</w:t>
      </w:r>
      <w:r>
        <w:rPr>
          <w:rStyle w:val="optioncarChar"/>
        </w:rPr>
        <w:t xml:space="preserve"> / *** x *** mm²</w:t>
      </w:r>
    </w:p>
    <w:p w14:paraId="357B9E64"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627823BD" w14:textId="77777777" w:rsidR="00DF410E" w:rsidRDefault="00CE7F43">
      <w:pPr>
        <w:jc w:val="both"/>
      </w:pPr>
      <w:r>
        <w:t>Classe d’emploi :</w:t>
      </w:r>
      <w:r>
        <w:rPr>
          <w:rStyle w:val="optioncarChar"/>
        </w:rPr>
        <w:t xml:space="preserve"> 1 / 2 / 3 / 4 / 5</w:t>
      </w:r>
    </w:p>
    <w:p w14:paraId="35FFF974" w14:textId="77777777" w:rsidR="00DF410E" w:rsidRDefault="00CE7F43">
      <w:pPr>
        <w:jc w:val="both"/>
      </w:pPr>
      <w:r>
        <w:t xml:space="preserve">La durabilité des poutres et barres,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A2.1 / ***</w:t>
      </w:r>
    </w:p>
    <w:p w14:paraId="3811B148" w14:textId="77777777" w:rsidR="00DF410E" w:rsidRDefault="00CE7F43">
      <w:pPr>
        <w:pStyle w:val="pheading"/>
      </w:pPr>
      <w:r>
        <w:t>- Finitions</w:t>
      </w:r>
    </w:p>
    <w:p w14:paraId="19CADE57" w14:textId="77777777" w:rsidR="00DF410E" w:rsidRDefault="00CE7F43">
      <w:pPr>
        <w:jc w:val="both"/>
      </w:pPr>
      <w:r>
        <w:t xml:space="preserve">Les poutres et barres en bois massif à section rectangulaire sont </w:t>
      </w:r>
      <w:r>
        <w:rPr>
          <w:rStyle w:val="optioncarChar"/>
        </w:rPr>
        <w:t>rabotées</w:t>
      </w:r>
      <w:r>
        <w:t xml:space="preserve"> (par défaut) </w:t>
      </w:r>
      <w:r>
        <w:rPr>
          <w:rStyle w:val="optioncarChar"/>
        </w:rPr>
        <w:t>/ brutes de sciage / poncées / ***</w:t>
      </w:r>
      <w:r>
        <w:t> sur </w:t>
      </w:r>
      <w:r>
        <w:rPr>
          <w:rStyle w:val="optioncarChar"/>
        </w:rPr>
        <w:t>1 / 2 / 3 / 4</w:t>
      </w:r>
      <w:r>
        <w:t> faces.</w:t>
      </w:r>
    </w:p>
    <w:p w14:paraId="16C07883" w14:textId="77777777" w:rsidR="00DF410E" w:rsidRDefault="00CE7F43">
      <w:pPr>
        <w:jc w:val="both"/>
      </w:pPr>
      <w:r>
        <w:t xml:space="preserve">Les arrêtes sont </w:t>
      </w:r>
      <w:r>
        <w:rPr>
          <w:rStyle w:val="optioncarChar"/>
        </w:rPr>
        <w:t>vives</w:t>
      </w:r>
      <w:r>
        <w:t xml:space="preserve"> (par défaut)</w:t>
      </w:r>
      <w:r>
        <w:rPr>
          <w:rStyle w:val="optioncarChar"/>
        </w:rPr>
        <w:t xml:space="preserve"> / chanfreinées / ***</w:t>
      </w:r>
    </w:p>
    <w:p w14:paraId="70DC0950" w14:textId="77777777" w:rsidR="00DF410E" w:rsidRDefault="00CE7F43">
      <w:pPr>
        <w:jc w:val="both"/>
      </w:pPr>
      <w:r>
        <w:t xml:space="preserve">Les poutres et barres en bois massif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445E2618" w14:textId="77777777" w:rsidR="00DF410E" w:rsidRDefault="00CE7F43">
      <w:pPr>
        <w:pStyle w:val="pheading"/>
      </w:pPr>
      <w:r>
        <w:t>- Prescriptions complémentaires</w:t>
      </w:r>
    </w:p>
    <w:p w14:paraId="6AE82D13" w14:textId="77777777" w:rsidR="00DF410E" w:rsidRDefault="00CE7F43">
      <w:pPr>
        <w:jc w:val="both"/>
      </w:pPr>
      <w:r>
        <w:rPr>
          <w:rStyle w:val="facultChar"/>
        </w:rPr>
        <w:t>Le classement d’aspect des poutres et barres en bois massif se fait selon la [NBN EN 1611-1] pour les essences résineuses européennes (épicéas, pins, sapins et douglas), selon la [NBN EN 975-1] pour le chêne et le hêtre et selon la [NBN EN 975-2] pour le peuplier.</w:t>
      </w:r>
    </w:p>
    <w:p w14:paraId="6816213E" w14:textId="77777777" w:rsidR="00DF410E" w:rsidRDefault="00CE7F43">
      <w:pPr>
        <w:jc w:val="both"/>
      </w:pPr>
      <w:r>
        <w:rPr>
          <w:rStyle w:val="facultChar"/>
        </w:rPr>
        <w:t>Le classement d’aspect doit être dissocié du classement mécanique. Des exigences sur le classement d’aspect peuvent influencer le classement mécanique ou le dimensionnement des pièces et donc la disponibilité.</w:t>
      </w:r>
    </w:p>
    <w:p w14:paraId="340644BB" w14:textId="77777777" w:rsidR="00DF410E" w:rsidRDefault="00CE7F43">
      <w:pPr>
        <w:jc w:val="both"/>
      </w:pPr>
      <w:r>
        <w:rPr>
          <w:rStyle w:val="facultChar"/>
          <w:u w:val="single"/>
        </w:rPr>
        <w:t>Classe d’aspect si essence résineuse :</w:t>
      </w:r>
    </w:p>
    <w:p w14:paraId="6F87816A" w14:textId="77777777" w:rsidR="00DF410E" w:rsidRDefault="00CE7F43">
      <w:pPr>
        <w:jc w:val="both"/>
      </w:pPr>
      <w:r>
        <w:rPr>
          <w:rStyle w:val="facultChar"/>
        </w:rPr>
        <w:t xml:space="preserve">Classement sur 2 faces selon [NBN EN 1611-1] : </w:t>
      </w:r>
      <w:r>
        <w:rPr>
          <w:rStyle w:val="optioncarChar"/>
        </w:rPr>
        <w:t>G2-0 / G2-1 / G2-2 / G2-3 / G2-4</w:t>
      </w:r>
    </w:p>
    <w:p w14:paraId="3C7CA449" w14:textId="77777777" w:rsidR="00DF410E" w:rsidRDefault="00CE7F43">
      <w:pPr>
        <w:jc w:val="both"/>
      </w:pPr>
      <w:r>
        <w:rPr>
          <w:rStyle w:val="facultChar"/>
        </w:rPr>
        <w:t xml:space="preserve">Classement sur 4 faces selon [NBN EN 1611-1] : </w:t>
      </w:r>
      <w:r>
        <w:rPr>
          <w:rStyle w:val="optioncarChar"/>
        </w:rPr>
        <w:t>G4-0 / G4-1 / G4-2 / G4-3 / G4-4</w:t>
      </w:r>
    </w:p>
    <w:p w14:paraId="14B76A33" w14:textId="77777777" w:rsidR="00DF410E" w:rsidRDefault="00CE7F43">
      <w:pPr>
        <w:jc w:val="both"/>
      </w:pPr>
      <w:r>
        <w:rPr>
          <w:rStyle w:val="facultChar"/>
          <w:u w:val="single"/>
        </w:rPr>
        <w:t>Classe d’aspect si essence feuillue :</w:t>
      </w:r>
    </w:p>
    <w:p w14:paraId="5B71ECA9" w14:textId="77777777" w:rsidR="00DF410E" w:rsidRDefault="00CE7F43">
      <w:pPr>
        <w:jc w:val="both"/>
      </w:pPr>
      <w:r>
        <w:rPr>
          <w:rStyle w:val="facultChar"/>
        </w:rPr>
        <w:t xml:space="preserve">Classement du chêne selon [NBN EN 975-1] : </w:t>
      </w:r>
      <w:r>
        <w:rPr>
          <w:rStyle w:val="optioncarChar"/>
        </w:rPr>
        <w:t>Q-P A / Q-P 1 / Q-P 2</w:t>
      </w:r>
    </w:p>
    <w:p w14:paraId="3C90E9D5" w14:textId="77777777" w:rsidR="00DF410E" w:rsidRDefault="00CE7F43">
      <w:pPr>
        <w:jc w:val="both"/>
      </w:pPr>
      <w:r>
        <w:rPr>
          <w:rStyle w:val="facultChar"/>
        </w:rPr>
        <w:t xml:space="preserve">Classement du hêtre selon [NBN EN 975-1] : </w:t>
      </w:r>
      <w:r>
        <w:rPr>
          <w:rStyle w:val="optioncarChar"/>
        </w:rPr>
        <w:t>F-D A / F-D 1 / F-D 2</w:t>
      </w:r>
    </w:p>
    <w:p w14:paraId="1E677370" w14:textId="77777777" w:rsidR="00DF410E" w:rsidRDefault="00CE7F43">
      <w:pPr>
        <w:jc w:val="both"/>
      </w:pPr>
      <w:r>
        <w:rPr>
          <w:rStyle w:val="facultChar"/>
        </w:rPr>
        <w:t xml:space="preserve">Classement du peuplier selon [NBN EN 975-2] : </w:t>
      </w:r>
      <w:r>
        <w:rPr>
          <w:rStyle w:val="optioncarChar"/>
        </w:rPr>
        <w:t>choix 1 / choix 2 / choix 3 / choix 4</w:t>
      </w:r>
    </w:p>
    <w:p w14:paraId="01C4481D" w14:textId="77777777" w:rsidR="00DF410E" w:rsidRDefault="00CE7F43">
      <w:pPr>
        <w:pStyle w:val="pheading"/>
      </w:pPr>
      <w:r>
        <w:t>EXÉCUTION / MISE EN ŒUVRE</w:t>
      </w:r>
    </w:p>
    <w:p w14:paraId="620F2B64" w14:textId="77777777" w:rsidR="00DF410E" w:rsidRDefault="00CE7F43">
      <w:pPr>
        <w:pStyle w:val="pheading"/>
      </w:pPr>
      <w:r>
        <w:t>- Prescriptions générales</w:t>
      </w:r>
    </w:p>
    <w:p w14:paraId="7B0097A2" w14:textId="77777777" w:rsidR="00DF410E" w:rsidRDefault="00CE7F43">
      <w:r>
        <w:t xml:space="preserve">Une entaille de retrait </w:t>
      </w:r>
      <w:r>
        <w:rPr>
          <w:rStyle w:val="optioncarChar"/>
        </w:rPr>
        <w:t>est prévue </w:t>
      </w:r>
      <w:r>
        <w:t>(par défaut)</w:t>
      </w:r>
      <w:r>
        <w:rPr>
          <w:rStyle w:val="optioncarChar"/>
        </w:rPr>
        <w:t xml:space="preserve"> / ***</w:t>
      </w:r>
      <w:r>
        <w:t xml:space="preserve"> sur la face inférieure des poutres et barres en bois massif extérieures.</w:t>
      </w:r>
    </w:p>
    <w:p w14:paraId="60C61FCE" w14:textId="77777777" w:rsidR="00DF410E" w:rsidRDefault="00CE7F43">
      <w:pPr>
        <w:pStyle w:val="pheading"/>
      </w:pPr>
      <w:r>
        <w:t>DOCUMENTS DE RÉFÉRENCE COMPLÉMENTAIRES</w:t>
      </w:r>
    </w:p>
    <w:p w14:paraId="2BBF08B7" w14:textId="77777777" w:rsidR="00DF410E" w:rsidRDefault="00CE7F43">
      <w:pPr>
        <w:pStyle w:val="pheading"/>
      </w:pPr>
      <w:r>
        <w:t>- Matériau</w:t>
      </w:r>
    </w:p>
    <w:p w14:paraId="5ABE1704" w14:textId="77777777" w:rsidR="00DF410E" w:rsidRDefault="00CE7F43">
      <w:r>
        <w:t>[NBN EN 1611-1, Bois sciés - Classement d'aspect des bois résineux - Partie 1: Epicéas, sapins, pins et Douglas Européens]</w:t>
      </w:r>
    </w:p>
    <w:p w14:paraId="4985D9AE" w14:textId="77777777" w:rsidR="00DF410E" w:rsidRDefault="00CE7F43">
      <w:r>
        <w:t>[NBN EN 975-1, Bois sciés - Classement d'aspect des bois feuillus - Partie 1: Chêne et hêtre]</w:t>
      </w:r>
    </w:p>
    <w:p w14:paraId="2EFCD143" w14:textId="77777777" w:rsidR="00DF410E" w:rsidRDefault="00CE7F43">
      <w:r>
        <w:t>[NBN EN 975-2, Bois sciés - Classement d'aspect des bois feuillus - Partie 2: Peuplier]</w:t>
      </w:r>
    </w:p>
    <w:p w14:paraId="33F4C424" w14:textId="77777777" w:rsidR="00DF410E" w:rsidRDefault="00CE7F43">
      <w:pPr>
        <w:pStyle w:val="pheading"/>
      </w:pPr>
      <w:r>
        <w:t>MESURAGE</w:t>
      </w:r>
    </w:p>
    <w:p w14:paraId="501579E3" w14:textId="77777777" w:rsidR="00DF410E" w:rsidRDefault="00CE7F43">
      <w:pPr>
        <w:pStyle w:val="pheading"/>
      </w:pPr>
      <w:r>
        <w:t>- unité de mesure:</w:t>
      </w:r>
    </w:p>
    <w:p w14:paraId="62F1C704" w14:textId="77777777" w:rsidR="00DF410E" w:rsidRDefault="00CE7F43">
      <w:r>
        <w:rPr>
          <w:rStyle w:val="optioncarChar"/>
        </w:rPr>
        <w:t xml:space="preserve">m³ </w:t>
      </w:r>
      <w:r>
        <w:t>(par défaut)</w:t>
      </w:r>
      <w:r>
        <w:rPr>
          <w:rStyle w:val="optioncarChar"/>
        </w:rPr>
        <w:t xml:space="preserve"> / m / pc</w:t>
      </w:r>
    </w:p>
    <w:p w14:paraId="706CBE37" w14:textId="77777777" w:rsidR="00DF410E" w:rsidRDefault="00CE7F43">
      <w:r>
        <w:rPr>
          <w:b/>
          <w:i/>
        </w:rPr>
        <w:t>(Soit par défaut)</w:t>
      </w:r>
    </w:p>
    <w:p w14:paraId="16CA350D" w14:textId="77777777" w:rsidR="00DF410E" w:rsidRDefault="00CE7F43">
      <w:r>
        <w:rPr>
          <w:rStyle w:val="soitChar"/>
        </w:rPr>
        <w:t>1.    m³ </w:t>
      </w:r>
    </w:p>
    <w:p w14:paraId="6661EAF1" w14:textId="77777777" w:rsidR="00DF410E" w:rsidRDefault="00CE7F43">
      <w:r>
        <w:rPr>
          <w:b/>
          <w:i/>
        </w:rPr>
        <w:t>(Soit)</w:t>
      </w:r>
    </w:p>
    <w:p w14:paraId="557F1ABB" w14:textId="77777777" w:rsidR="00DF410E" w:rsidRDefault="00CE7F43">
      <w:r>
        <w:rPr>
          <w:rStyle w:val="soitChar"/>
        </w:rPr>
        <w:t>2.    m </w:t>
      </w:r>
    </w:p>
    <w:p w14:paraId="08316974" w14:textId="77777777" w:rsidR="00DF410E" w:rsidRDefault="00CE7F43">
      <w:r>
        <w:rPr>
          <w:b/>
          <w:i/>
        </w:rPr>
        <w:t>(Soit)</w:t>
      </w:r>
    </w:p>
    <w:p w14:paraId="6AA741BB" w14:textId="77777777" w:rsidR="00DF410E" w:rsidRDefault="00CE7F43">
      <w:r>
        <w:rPr>
          <w:rStyle w:val="soitChar"/>
        </w:rPr>
        <w:t>3.    pc</w:t>
      </w:r>
    </w:p>
    <w:p w14:paraId="2D91A4C9" w14:textId="77777777" w:rsidR="00DF410E" w:rsidRDefault="00CE7F43">
      <w:pPr>
        <w:pStyle w:val="pheading"/>
      </w:pPr>
      <w:r>
        <w:t>- code de mesurage:</w:t>
      </w:r>
    </w:p>
    <w:p w14:paraId="476B848B" w14:textId="77777777" w:rsidR="00DF410E" w:rsidRDefault="00CE7F43">
      <w:pPr>
        <w:jc w:val="both"/>
      </w:pPr>
      <w:r>
        <w:rPr>
          <w:rStyle w:val="optioncarChar"/>
        </w:rPr>
        <w:t xml:space="preserve"> Volume brut </w:t>
      </w:r>
      <w:r>
        <w:t>(par défaut)</w:t>
      </w:r>
      <w:r>
        <w:rPr>
          <w:rStyle w:val="optioncarChar"/>
        </w:rPr>
        <w:t xml:space="preserve"> / Longueur brute / Quantité nette</w:t>
      </w:r>
    </w:p>
    <w:p w14:paraId="02C893F4" w14:textId="77777777" w:rsidR="00DF410E" w:rsidRDefault="00CE7F43">
      <w:pPr>
        <w:jc w:val="both"/>
      </w:pPr>
      <w:r>
        <w:rPr>
          <w:b/>
          <w:i/>
        </w:rPr>
        <w:t>(Soit par défaut)</w:t>
      </w:r>
    </w:p>
    <w:p w14:paraId="63E0A7BE" w14:textId="77777777" w:rsidR="00DF410E" w:rsidRDefault="00CE7F43">
      <w:pPr>
        <w:jc w:val="both"/>
      </w:pPr>
      <w:r>
        <w:rPr>
          <w:rStyle w:val="soitChar"/>
        </w:rPr>
        <w:t xml:space="preserve">1.    </w:t>
      </w:r>
      <w:r>
        <w:rPr>
          <w:rStyle w:val="soitChar"/>
          <w:u w:val="single"/>
        </w:rPr>
        <w:t>Volume brut :</w:t>
      </w:r>
    </w:p>
    <w:p w14:paraId="3C901565" w14:textId="77777777" w:rsidR="00DF410E" w:rsidRDefault="00CE7F43">
      <w:pPr>
        <w:jc w:val="both"/>
      </w:pPr>
      <w:r>
        <w:rPr>
          <w:rStyle w:val="soitChar"/>
        </w:rPr>
        <w:t>Le volume brut d’une poutre/barre est calculé suivant le volume du plus petit parallélépipède rectangle pouvant inclure l’élément.</w:t>
      </w:r>
    </w:p>
    <w:p w14:paraId="7E918759" w14:textId="77777777" w:rsidR="00DF410E" w:rsidRDefault="00CE7F43">
      <w:pPr>
        <w:jc w:val="both"/>
      </w:pPr>
      <w:r>
        <w:rPr>
          <w:b/>
          <w:i/>
        </w:rPr>
        <w:t> (Soit)</w:t>
      </w:r>
    </w:p>
    <w:p w14:paraId="3002625C" w14:textId="77777777" w:rsidR="00DF410E" w:rsidRDefault="00CE7F43">
      <w:pPr>
        <w:jc w:val="both"/>
      </w:pPr>
      <w:r>
        <w:rPr>
          <w:rStyle w:val="soitChar"/>
        </w:rPr>
        <w:t>2.   </w:t>
      </w:r>
      <w:r>
        <w:rPr>
          <w:rStyle w:val="soitChar"/>
          <w:u w:val="single"/>
        </w:rPr>
        <w:t xml:space="preserve"> Longueur brute :</w:t>
      </w:r>
    </w:p>
    <w:p w14:paraId="6684352B" w14:textId="77777777" w:rsidR="00DF410E" w:rsidRDefault="00CE7F43">
      <w:pPr>
        <w:jc w:val="both"/>
      </w:pPr>
      <w:r>
        <w:rPr>
          <w:rStyle w:val="soitChar"/>
        </w:rPr>
        <w:t>La longueur brute d’un élément est la cote maximale dans la direction longitudinale, longueur de bois utile pour l’assemblage comprise.</w:t>
      </w:r>
    </w:p>
    <w:p w14:paraId="78F892FA" w14:textId="77777777" w:rsidR="00DF410E" w:rsidRDefault="00CE7F43">
      <w:pPr>
        <w:jc w:val="both"/>
      </w:pPr>
      <w:r>
        <w:rPr>
          <w:rStyle w:val="soitChar"/>
        </w:rPr>
        <w:t>La longueur totale des poutres et barres ayant la même section et les mêmes caractéristiques est comptabilisée.</w:t>
      </w:r>
    </w:p>
    <w:p w14:paraId="732B7149" w14:textId="77777777" w:rsidR="00DF410E" w:rsidRDefault="00CE7F43">
      <w:pPr>
        <w:jc w:val="both"/>
      </w:pPr>
      <w:r>
        <w:rPr>
          <w:b/>
          <w:i/>
        </w:rPr>
        <w:t> (Soit)</w:t>
      </w:r>
    </w:p>
    <w:p w14:paraId="64A5F015" w14:textId="77777777" w:rsidR="00DF410E" w:rsidRDefault="00CE7F43">
      <w:pPr>
        <w:jc w:val="both"/>
      </w:pPr>
      <w:r>
        <w:rPr>
          <w:rStyle w:val="soitChar"/>
        </w:rPr>
        <w:t>3.   </w:t>
      </w:r>
      <w:r>
        <w:rPr>
          <w:rStyle w:val="soitChar"/>
          <w:u w:val="single"/>
        </w:rPr>
        <w:t xml:space="preserve"> Quantité nette :</w:t>
      </w:r>
    </w:p>
    <w:p w14:paraId="4CF84B7E" w14:textId="77777777" w:rsidR="00DF410E" w:rsidRDefault="00CE7F43">
      <w:pPr>
        <w:jc w:val="both"/>
      </w:pPr>
      <w:r>
        <w:rPr>
          <w:rStyle w:val="soitChar"/>
        </w:rPr>
        <w:t>Le nombre de poutres et barres ayant les mêmes dimensions et les mêmes caractéristiques est compatibilisé.</w:t>
      </w:r>
    </w:p>
    <w:p w14:paraId="6C74EFE5" w14:textId="77777777" w:rsidR="00DF410E" w:rsidRDefault="00CE7F43">
      <w:pPr>
        <w:pStyle w:val="pheading"/>
      </w:pPr>
      <w:r>
        <w:t>- nature du marché:</w:t>
      </w:r>
    </w:p>
    <w:p w14:paraId="5D241D33" w14:textId="77777777" w:rsidR="00DF410E" w:rsidRDefault="00CE7F43">
      <w:r>
        <w:rPr>
          <w:rStyle w:val="optioncarChar"/>
        </w:rPr>
        <w:t xml:space="preserve">QF </w:t>
      </w:r>
      <w:r>
        <w:t xml:space="preserve">(par défaut) </w:t>
      </w:r>
      <w:r>
        <w:rPr>
          <w:rStyle w:val="optioncarChar"/>
        </w:rPr>
        <w:t>/ QP</w:t>
      </w:r>
    </w:p>
    <w:p w14:paraId="4D8114DA" w14:textId="77777777" w:rsidR="00DF410E" w:rsidRDefault="00CE7F43">
      <w:r>
        <w:rPr>
          <w:b/>
          <w:i/>
        </w:rPr>
        <w:t>(Soit par défaut)</w:t>
      </w:r>
    </w:p>
    <w:p w14:paraId="6C09DB8A" w14:textId="77777777" w:rsidR="00DF410E" w:rsidRDefault="00CE7F43">
      <w:r>
        <w:rPr>
          <w:rStyle w:val="soitChar"/>
        </w:rPr>
        <w:t>1.2.3     QF</w:t>
      </w:r>
    </w:p>
    <w:p w14:paraId="51382FFF" w14:textId="77777777" w:rsidR="00DF410E" w:rsidRDefault="00CE7F43">
      <w:r>
        <w:rPr>
          <w:b/>
          <w:i/>
        </w:rPr>
        <w:t>(Soit)</w:t>
      </w:r>
    </w:p>
    <w:p w14:paraId="73963502" w14:textId="77777777" w:rsidR="00DF410E" w:rsidRDefault="00CE7F43">
      <w:r>
        <w:rPr>
          <w:rStyle w:val="soitChar"/>
        </w:rPr>
        <w:t>1.2.3     QP</w:t>
      </w:r>
    </w:p>
    <w:p w14:paraId="647C72BA" w14:textId="77777777" w:rsidR="00DF410E" w:rsidRDefault="00CE7F43">
      <w:pPr>
        <w:pStyle w:val="pheading"/>
      </w:pPr>
      <w:r>
        <w:t>AIDE</w:t>
      </w:r>
    </w:p>
    <w:p w14:paraId="154A4415" w14:textId="77777777" w:rsidR="00DF410E" w:rsidRDefault="00CE7F43">
      <w:pPr>
        <w:jc w:val="both"/>
      </w:pPr>
      <w:r>
        <w:t>Le code suivant peut être utilisé pour la dénomination du poste :</w:t>
      </w:r>
    </w:p>
    <w:p w14:paraId="5D228C6E" w14:textId="77777777" w:rsidR="00DF410E" w:rsidRDefault="00CE7F43">
      <w:pPr>
        <w:jc w:val="both"/>
      </w:pPr>
      <w:r>
        <w:t>BM 1 / 2 / 3 / 4 / 5</w:t>
      </w:r>
    </w:p>
    <w:p w14:paraId="117237A6" w14:textId="77777777" w:rsidR="00DF410E" w:rsidRDefault="00CE7F43">
      <w:pPr>
        <w:jc w:val="both"/>
      </w:pPr>
      <w:r>
        <w:t>Avec :</w:t>
      </w:r>
    </w:p>
    <w:p w14:paraId="65CD8D0E" w14:textId="77777777" w:rsidR="00DF410E" w:rsidRDefault="00CE7F43">
      <w:pPr>
        <w:jc w:val="both"/>
      </w:pPr>
      <w:r>
        <w:t>BM pour bois massif</w:t>
      </w:r>
    </w:p>
    <w:p w14:paraId="19A9434E" w14:textId="77777777" w:rsidR="00DF410E" w:rsidRDefault="00CE7F43">
      <w:pPr>
        <w:jc w:val="both"/>
      </w:pPr>
      <w:r>
        <w:t>1 : la classe de résistance des poutres et barres</w:t>
      </w:r>
    </w:p>
    <w:p w14:paraId="0D87CC6C" w14:textId="77777777" w:rsidR="00DF410E" w:rsidRDefault="00CE7F43">
      <w:pPr>
        <w:jc w:val="both"/>
      </w:pPr>
      <w:r>
        <w:t>2 : la section</w:t>
      </w:r>
    </w:p>
    <w:p w14:paraId="2DBA10D8" w14:textId="77777777" w:rsidR="00DF410E" w:rsidRDefault="00CE7F43">
      <w:pPr>
        <w:jc w:val="both"/>
      </w:pPr>
      <w:r>
        <w:t>3 : l’essence de bois</w:t>
      </w:r>
    </w:p>
    <w:p w14:paraId="5624FE7E" w14:textId="77777777" w:rsidR="00DF410E" w:rsidRDefault="00CE7F43">
      <w:pPr>
        <w:jc w:val="both"/>
      </w:pPr>
      <w:r>
        <w:t>4 : la classe d’emploi des poutres et barres</w:t>
      </w:r>
    </w:p>
    <w:p w14:paraId="64440150" w14:textId="77777777" w:rsidR="00DF410E" w:rsidRDefault="00CE7F43">
      <w:pPr>
        <w:jc w:val="both"/>
      </w:pPr>
      <w:r>
        <w:t>5 : la méthode utilisée pour garantir la durabilité des poutres et barres</w:t>
      </w:r>
    </w:p>
    <w:p w14:paraId="1FF3363A" w14:textId="77777777" w:rsidR="00DF410E" w:rsidRDefault="00CE7F43">
      <w:pPr>
        <w:jc w:val="both"/>
      </w:pPr>
      <w:r>
        <w:t>Ce qui donne, par exemple :</w:t>
      </w:r>
    </w:p>
    <w:p w14:paraId="50741294" w14:textId="77777777" w:rsidR="00DF410E" w:rsidRDefault="00CE7F43">
      <w:pPr>
        <w:jc w:val="both"/>
      </w:pPr>
      <w:r>
        <w:t>BM C18 / 175x225 / Douglas / 2 / sans aubier</w:t>
      </w:r>
    </w:p>
    <w:p w14:paraId="0FF9AADC" w14:textId="77777777" w:rsidR="00DF410E" w:rsidRDefault="00CE7F43">
      <w:pPr>
        <w:pStyle w:val="Author-eSectionHeading6"/>
      </w:pPr>
      <w:bookmarkStart w:id="1594" w:name="_Toc178838688"/>
      <w:r>
        <w:t>24.13.1b Poutres et barres en bois massif à section circulaire CCTB 01.11</w:t>
      </w:r>
      <w:bookmarkEnd w:id="1594"/>
    </w:p>
    <w:p w14:paraId="781C6D65" w14:textId="77777777" w:rsidR="00DF410E" w:rsidRDefault="00CE7F43">
      <w:pPr>
        <w:pStyle w:val="pheading"/>
      </w:pPr>
      <w:r>
        <w:t>DESCRIPTION</w:t>
      </w:r>
    </w:p>
    <w:p w14:paraId="759DB3B9" w14:textId="77777777" w:rsidR="00DF410E" w:rsidRDefault="00CE7F43">
      <w:pPr>
        <w:pStyle w:val="pheading"/>
      </w:pPr>
      <w:r>
        <w:t>- Définition / Comprend</w:t>
      </w:r>
    </w:p>
    <w:p w14:paraId="3E04C01C" w14:textId="77777777" w:rsidR="00DF410E" w:rsidRDefault="00CE7F43">
      <w:r>
        <w:t>Il s'agit de l’ensemble des poutres et barres en bois à section circulaire.</w:t>
      </w:r>
    </w:p>
    <w:p w14:paraId="574ACE68" w14:textId="77777777" w:rsidR="00DF410E" w:rsidRDefault="00CE7F43">
      <w:pPr>
        <w:pStyle w:val="pheading"/>
      </w:pPr>
      <w:r>
        <w:t>MATÉRIAUX</w:t>
      </w:r>
    </w:p>
    <w:p w14:paraId="6BDD5C9F" w14:textId="77777777" w:rsidR="00DF410E" w:rsidRDefault="00CE7F43">
      <w:pPr>
        <w:pStyle w:val="pheading"/>
      </w:pPr>
      <w:r>
        <w:t>- Caractéristiques générales</w:t>
      </w:r>
    </w:p>
    <w:p w14:paraId="26372EBC" w14:textId="77777777" w:rsidR="00DF410E" w:rsidRDefault="00CE7F43">
      <w:pPr>
        <w:jc w:val="both"/>
      </w:pPr>
      <w:r>
        <w:t>A l’heure actuelle, il n’est pas possible de classer les bois ronds en termes de résistance.</w:t>
      </w:r>
    </w:p>
    <w:p w14:paraId="2E089639" w14:textId="77777777" w:rsidR="00DF410E" w:rsidRDefault="00CE7F43">
      <w:pPr>
        <w:jc w:val="both"/>
      </w:pPr>
      <w:r>
        <w:t xml:space="preserve">Conicité maximale des poutres et barres : </w:t>
      </w:r>
      <w:r>
        <w:rPr>
          <w:rStyle w:val="optioncarChar"/>
        </w:rPr>
        <w:t>non-autorisée </w:t>
      </w:r>
      <w:r>
        <w:t xml:space="preserve">(par défaut) </w:t>
      </w:r>
      <w:r>
        <w:rPr>
          <w:rStyle w:val="optioncarChar"/>
        </w:rPr>
        <w:t>/ 5mm/m / 10 mm/m / ***</w:t>
      </w:r>
    </w:p>
    <w:p w14:paraId="1A77DDD4" w14:textId="77777777" w:rsidR="00DF410E" w:rsidRDefault="00CE7F43">
      <w:pPr>
        <w:jc w:val="both"/>
      </w:pPr>
      <w:r>
        <w:t xml:space="preserve">Diamètre de la section : </w:t>
      </w:r>
      <w:r>
        <w:rPr>
          <w:rStyle w:val="optioncarChar"/>
        </w:rPr>
        <w:t>Voir plans</w:t>
      </w:r>
      <w:r>
        <w:t xml:space="preserve"> (par défaut)</w:t>
      </w:r>
      <w:r>
        <w:rPr>
          <w:rStyle w:val="optioncarChar"/>
        </w:rPr>
        <w:t xml:space="preserve"> / *** mm</w:t>
      </w:r>
    </w:p>
    <w:p w14:paraId="0385CEAF" w14:textId="77777777" w:rsidR="00DF410E" w:rsidRDefault="00CE7F43">
      <w:pPr>
        <w:jc w:val="both"/>
      </w:pPr>
      <w:r>
        <w:t>Lorsqu’une conicité est autorisée, le diamètre prescrit est celui de la plus petite section.</w:t>
      </w:r>
    </w:p>
    <w:p w14:paraId="3F56B9AF"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7D1E4B8F" w14:textId="77777777" w:rsidR="00DF410E" w:rsidRDefault="00CE7F43">
      <w:pPr>
        <w:jc w:val="both"/>
      </w:pPr>
      <w:r>
        <w:t xml:space="preserve">Classe d’emploi : </w:t>
      </w:r>
      <w:r>
        <w:rPr>
          <w:rStyle w:val="optioncarChar"/>
        </w:rPr>
        <w:t>1 / 2 / 3 / 4 / 5</w:t>
      </w:r>
    </w:p>
    <w:p w14:paraId="0E4596C0" w14:textId="77777777" w:rsidR="00DF410E" w:rsidRDefault="00CE7F43">
      <w:pPr>
        <w:jc w:val="both"/>
      </w:pPr>
      <w:r>
        <w:t xml:space="preserve">La durabilité des éléments,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A2.1 / ***</w:t>
      </w:r>
    </w:p>
    <w:p w14:paraId="1EB50983" w14:textId="77777777" w:rsidR="00DF410E" w:rsidRDefault="00CE7F43">
      <w:pPr>
        <w:pStyle w:val="pheading"/>
      </w:pPr>
      <w:r>
        <w:t>- Finitions</w:t>
      </w:r>
    </w:p>
    <w:p w14:paraId="223A9E30" w14:textId="77777777" w:rsidR="00DF410E" w:rsidRDefault="00CE7F43">
      <w:pPr>
        <w:jc w:val="both"/>
      </w:pPr>
      <w:r>
        <w:t xml:space="preserve">Les poutres et barres en bois massif à section circulaire sont </w:t>
      </w:r>
      <w:r>
        <w:rPr>
          <w:rStyle w:val="optioncarChar"/>
        </w:rPr>
        <w:t xml:space="preserve">rabotées </w:t>
      </w:r>
      <w:r>
        <w:t>(par défaut)</w:t>
      </w:r>
      <w:r>
        <w:rPr>
          <w:rStyle w:val="optioncarChar"/>
        </w:rPr>
        <w:t xml:space="preserve"> / brutes de sciage / poncées / ***.</w:t>
      </w:r>
    </w:p>
    <w:p w14:paraId="3DD368BC" w14:textId="77777777" w:rsidR="00DF410E" w:rsidRDefault="00CE7F43">
      <w:pPr>
        <w:jc w:val="both"/>
      </w:pPr>
      <w:r>
        <w:t xml:space="preserve">Les poutres et barres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7265D135" w14:textId="77777777" w:rsidR="00DF410E" w:rsidRDefault="00CE7F43">
      <w:pPr>
        <w:pStyle w:val="pheading"/>
      </w:pPr>
      <w:r>
        <w:t>EXÉCUTION / MISE EN ŒUVRE</w:t>
      </w:r>
    </w:p>
    <w:p w14:paraId="4717C116" w14:textId="77777777" w:rsidR="00DF410E" w:rsidRDefault="00CE7F43">
      <w:pPr>
        <w:pStyle w:val="pheading"/>
      </w:pPr>
      <w:r>
        <w:t>- Prescriptions générales</w:t>
      </w:r>
    </w:p>
    <w:p w14:paraId="755732F2" w14:textId="77777777" w:rsidR="00DF410E" w:rsidRDefault="00CE7F43">
      <w:pPr>
        <w:jc w:val="both"/>
      </w:pPr>
      <w:r>
        <w:t xml:space="preserve">Une entaille de retrait </w:t>
      </w:r>
      <w:r>
        <w:rPr>
          <w:rStyle w:val="optioncarChar"/>
        </w:rPr>
        <w:t xml:space="preserve">est prévue </w:t>
      </w:r>
      <w:r>
        <w:t>(par défaut)</w:t>
      </w:r>
      <w:r>
        <w:rPr>
          <w:rStyle w:val="optioncarChar"/>
        </w:rPr>
        <w:t xml:space="preserve"> / ***</w:t>
      </w:r>
      <w:r>
        <w:t xml:space="preserve"> sur la face inférieure des poutres et barres en bois massif extérieures.</w:t>
      </w:r>
    </w:p>
    <w:p w14:paraId="2D4A5278" w14:textId="77777777" w:rsidR="00DF410E" w:rsidRDefault="00CE7F43">
      <w:pPr>
        <w:pStyle w:val="pheading"/>
      </w:pPr>
      <w:r>
        <w:t>MESURAGE</w:t>
      </w:r>
    </w:p>
    <w:p w14:paraId="174A9672" w14:textId="77777777" w:rsidR="00DF410E" w:rsidRDefault="00CE7F43">
      <w:pPr>
        <w:pStyle w:val="pheading"/>
      </w:pPr>
      <w:r>
        <w:t>- unité de mesure:</w:t>
      </w:r>
    </w:p>
    <w:p w14:paraId="237A4684" w14:textId="77777777" w:rsidR="00DF410E" w:rsidRDefault="00CE7F43">
      <w:r>
        <w:rPr>
          <w:rStyle w:val="optioncarChar"/>
        </w:rPr>
        <w:t>m³ </w:t>
      </w:r>
      <w:r>
        <w:t>(par défaut)</w:t>
      </w:r>
      <w:r>
        <w:rPr>
          <w:rStyle w:val="optioncarChar"/>
        </w:rPr>
        <w:t> / m / pc</w:t>
      </w:r>
    </w:p>
    <w:p w14:paraId="24F00B26" w14:textId="77777777" w:rsidR="00DF410E" w:rsidRDefault="00CE7F43">
      <w:r>
        <w:rPr>
          <w:b/>
          <w:i/>
        </w:rPr>
        <w:t>(Soit par défaut)</w:t>
      </w:r>
    </w:p>
    <w:p w14:paraId="27E87870" w14:textId="77777777" w:rsidR="00DF410E" w:rsidRDefault="00CE7F43">
      <w:r>
        <w:rPr>
          <w:rStyle w:val="soitChar"/>
        </w:rPr>
        <w:t>1.    m³ </w:t>
      </w:r>
    </w:p>
    <w:p w14:paraId="1C612D0B" w14:textId="77777777" w:rsidR="00DF410E" w:rsidRDefault="00CE7F43">
      <w:r>
        <w:rPr>
          <w:b/>
          <w:i/>
        </w:rPr>
        <w:t>(Soit)</w:t>
      </w:r>
    </w:p>
    <w:p w14:paraId="5709B5FE" w14:textId="77777777" w:rsidR="00DF410E" w:rsidRDefault="00CE7F43">
      <w:r>
        <w:rPr>
          <w:rStyle w:val="soitChar"/>
        </w:rPr>
        <w:t>2.    m </w:t>
      </w:r>
    </w:p>
    <w:p w14:paraId="2A97B78D" w14:textId="77777777" w:rsidR="00DF410E" w:rsidRDefault="00CE7F43">
      <w:r>
        <w:rPr>
          <w:b/>
          <w:i/>
        </w:rPr>
        <w:t>(Soit)</w:t>
      </w:r>
    </w:p>
    <w:p w14:paraId="196973BE" w14:textId="77777777" w:rsidR="00DF410E" w:rsidRDefault="00CE7F43">
      <w:r>
        <w:rPr>
          <w:rStyle w:val="soitChar"/>
        </w:rPr>
        <w:t>3.    pc</w:t>
      </w:r>
    </w:p>
    <w:p w14:paraId="7D89F97D" w14:textId="77777777" w:rsidR="00DF410E" w:rsidRDefault="00CE7F43">
      <w:pPr>
        <w:pStyle w:val="pheading"/>
      </w:pPr>
      <w:r>
        <w:t>- code de mesurage:</w:t>
      </w:r>
    </w:p>
    <w:p w14:paraId="31353CD4" w14:textId="77777777" w:rsidR="00DF410E" w:rsidRDefault="00CE7F43">
      <w:pPr>
        <w:jc w:val="both"/>
      </w:pPr>
      <w:r>
        <w:rPr>
          <w:rStyle w:val="optioncarChar"/>
        </w:rPr>
        <w:t> Volume brut </w:t>
      </w:r>
      <w:r>
        <w:t>(par défaut)</w:t>
      </w:r>
      <w:r>
        <w:rPr>
          <w:rStyle w:val="optioncarChar"/>
        </w:rPr>
        <w:t> / Longueur brute / Quantité nette</w:t>
      </w:r>
    </w:p>
    <w:p w14:paraId="626B53C6" w14:textId="77777777" w:rsidR="00DF410E" w:rsidRDefault="00CE7F43">
      <w:pPr>
        <w:jc w:val="both"/>
      </w:pPr>
      <w:r>
        <w:rPr>
          <w:b/>
          <w:i/>
        </w:rPr>
        <w:t>(Soit par défaut)</w:t>
      </w:r>
    </w:p>
    <w:p w14:paraId="4A79CD10" w14:textId="77777777" w:rsidR="00DF410E" w:rsidRDefault="00CE7F43">
      <w:pPr>
        <w:jc w:val="both"/>
      </w:pPr>
      <w:r>
        <w:rPr>
          <w:rStyle w:val="soitChar"/>
        </w:rPr>
        <w:t>1.    </w:t>
      </w:r>
      <w:r>
        <w:rPr>
          <w:rStyle w:val="soitChar"/>
          <w:u w:val="single"/>
        </w:rPr>
        <w:t>Volume brut :</w:t>
      </w:r>
    </w:p>
    <w:p w14:paraId="3DBCBB80" w14:textId="77777777" w:rsidR="00DF410E" w:rsidRDefault="00CE7F43">
      <w:pPr>
        <w:jc w:val="both"/>
      </w:pPr>
      <w:r>
        <w:rPr>
          <w:rStyle w:val="soitChar"/>
        </w:rPr>
        <w:t>Le volume brut d’une poutre/barre est calculé suivant le volume du plus petit parallélépipède rectangle pouvant inclure l’élément.</w:t>
      </w:r>
    </w:p>
    <w:p w14:paraId="0C71EB6E" w14:textId="77777777" w:rsidR="00DF410E" w:rsidRDefault="00CE7F43">
      <w:pPr>
        <w:jc w:val="both"/>
      </w:pPr>
      <w:r>
        <w:rPr>
          <w:b/>
          <w:i/>
        </w:rPr>
        <w:t> (Soit)</w:t>
      </w:r>
    </w:p>
    <w:p w14:paraId="09618AD8" w14:textId="77777777" w:rsidR="00DF410E" w:rsidRDefault="00CE7F43">
      <w:pPr>
        <w:jc w:val="both"/>
      </w:pPr>
      <w:r>
        <w:rPr>
          <w:rStyle w:val="soitChar"/>
        </w:rPr>
        <w:t>2.   </w:t>
      </w:r>
      <w:r>
        <w:rPr>
          <w:rStyle w:val="soitChar"/>
          <w:u w:val="single"/>
        </w:rPr>
        <w:t> Longueur brute :</w:t>
      </w:r>
    </w:p>
    <w:p w14:paraId="7E183690" w14:textId="77777777" w:rsidR="00DF410E" w:rsidRDefault="00CE7F43">
      <w:pPr>
        <w:jc w:val="both"/>
      </w:pPr>
      <w:r>
        <w:rPr>
          <w:rStyle w:val="soitChar"/>
        </w:rPr>
        <w:t>La longueur brute d’un élément est la cote maximale dans la direction longitudinale, longueur de bois utile pour l’assemblage comprise.</w:t>
      </w:r>
      <w:r>
        <w:t> </w:t>
      </w:r>
    </w:p>
    <w:p w14:paraId="01F23810" w14:textId="77777777" w:rsidR="00DF410E" w:rsidRDefault="00CE7F43">
      <w:pPr>
        <w:jc w:val="both"/>
      </w:pPr>
      <w:r>
        <w:rPr>
          <w:rStyle w:val="soitChar"/>
        </w:rPr>
        <w:t>La longueur totale des poutres et barres ayant la même section et les mêmes caractéristiques est comptabilisée.</w:t>
      </w:r>
    </w:p>
    <w:p w14:paraId="445D7A21" w14:textId="77777777" w:rsidR="00DF410E" w:rsidRDefault="00CE7F43">
      <w:pPr>
        <w:jc w:val="both"/>
      </w:pPr>
      <w:r>
        <w:rPr>
          <w:b/>
          <w:i/>
        </w:rPr>
        <w:t> (Soit)</w:t>
      </w:r>
    </w:p>
    <w:p w14:paraId="5123264C" w14:textId="77777777" w:rsidR="00DF410E" w:rsidRDefault="00CE7F43">
      <w:pPr>
        <w:jc w:val="both"/>
      </w:pPr>
      <w:r>
        <w:rPr>
          <w:rStyle w:val="soitChar"/>
        </w:rPr>
        <w:t>3.   </w:t>
      </w:r>
      <w:r>
        <w:rPr>
          <w:rStyle w:val="soitChar"/>
          <w:u w:val="single"/>
        </w:rPr>
        <w:t> Quantité nette :</w:t>
      </w:r>
    </w:p>
    <w:p w14:paraId="4C810814" w14:textId="77777777" w:rsidR="00DF410E" w:rsidRDefault="00CE7F43">
      <w:pPr>
        <w:jc w:val="both"/>
      </w:pPr>
      <w:r>
        <w:rPr>
          <w:rStyle w:val="soitChar"/>
        </w:rPr>
        <w:t>Le nombre de poutres et barres ayant les mêmes dimensions et les mêmes caractéristiques est compatibilisé.</w:t>
      </w:r>
    </w:p>
    <w:p w14:paraId="0D1FB246" w14:textId="77777777" w:rsidR="00DF410E" w:rsidRDefault="00CE7F43">
      <w:pPr>
        <w:pStyle w:val="pheading"/>
      </w:pPr>
      <w:r>
        <w:t>- nature du marché:</w:t>
      </w:r>
    </w:p>
    <w:p w14:paraId="1406D417" w14:textId="77777777" w:rsidR="00DF410E" w:rsidRDefault="00CE7F43">
      <w:r>
        <w:rPr>
          <w:rStyle w:val="optioncarChar"/>
        </w:rPr>
        <w:t>QF </w:t>
      </w:r>
      <w:r>
        <w:t>(par défaut) </w:t>
      </w:r>
      <w:r>
        <w:rPr>
          <w:rStyle w:val="optioncarChar"/>
        </w:rPr>
        <w:t>/ QP</w:t>
      </w:r>
    </w:p>
    <w:p w14:paraId="650333B8" w14:textId="77777777" w:rsidR="00DF410E" w:rsidRDefault="00CE7F43">
      <w:r>
        <w:rPr>
          <w:b/>
          <w:i/>
        </w:rPr>
        <w:t>(Soit par défaut)</w:t>
      </w:r>
    </w:p>
    <w:p w14:paraId="46E410FB" w14:textId="77777777" w:rsidR="00DF410E" w:rsidRDefault="00CE7F43">
      <w:r>
        <w:rPr>
          <w:rStyle w:val="soitChar"/>
        </w:rPr>
        <w:t>1.2.3     QF</w:t>
      </w:r>
    </w:p>
    <w:p w14:paraId="366C3FAE" w14:textId="77777777" w:rsidR="00DF410E" w:rsidRDefault="00CE7F43">
      <w:r>
        <w:rPr>
          <w:b/>
          <w:i/>
        </w:rPr>
        <w:t>(Soit)</w:t>
      </w:r>
    </w:p>
    <w:p w14:paraId="71D3CF86" w14:textId="77777777" w:rsidR="00DF410E" w:rsidRDefault="00CE7F43">
      <w:r>
        <w:rPr>
          <w:rStyle w:val="soitChar"/>
        </w:rPr>
        <w:t>1.2.3     QP</w:t>
      </w:r>
    </w:p>
    <w:p w14:paraId="65CD354C" w14:textId="77777777" w:rsidR="00DF410E" w:rsidRDefault="00CE7F43">
      <w:pPr>
        <w:pStyle w:val="pheading"/>
      </w:pPr>
      <w:r>
        <w:t>AIDE</w:t>
      </w:r>
    </w:p>
    <w:p w14:paraId="0C829AED" w14:textId="77777777" w:rsidR="00DF410E" w:rsidRDefault="00CE7F43">
      <w:pPr>
        <w:jc w:val="both"/>
      </w:pPr>
      <w:r>
        <w:t>Le code suivant peut être utilisé pour la dénomination du poste :</w:t>
      </w:r>
    </w:p>
    <w:p w14:paraId="097E224F" w14:textId="77777777" w:rsidR="00DF410E" w:rsidRDefault="00CE7F43">
      <w:pPr>
        <w:jc w:val="both"/>
      </w:pPr>
      <w:r>
        <w:t>BM 1 / 2 / 3 / 4</w:t>
      </w:r>
    </w:p>
    <w:p w14:paraId="46F6EA9E" w14:textId="77777777" w:rsidR="00DF410E" w:rsidRDefault="00CE7F43">
      <w:pPr>
        <w:jc w:val="both"/>
      </w:pPr>
      <w:r>
        <w:t>Avec :</w:t>
      </w:r>
    </w:p>
    <w:p w14:paraId="099398E7" w14:textId="77777777" w:rsidR="00DF410E" w:rsidRDefault="00CE7F43">
      <w:pPr>
        <w:jc w:val="both"/>
      </w:pPr>
      <w:r>
        <w:t>BM pour bois massif</w:t>
      </w:r>
    </w:p>
    <w:p w14:paraId="7E5D7FCD" w14:textId="77777777" w:rsidR="00DF410E" w:rsidRDefault="00CE7F43">
      <w:pPr>
        <w:jc w:val="both"/>
      </w:pPr>
      <w:r>
        <w:t>1 : le diamètre</w:t>
      </w:r>
    </w:p>
    <w:p w14:paraId="63FCC9EA" w14:textId="77777777" w:rsidR="00DF410E" w:rsidRDefault="00CE7F43">
      <w:pPr>
        <w:jc w:val="both"/>
      </w:pPr>
      <w:r>
        <w:t>2 : l’essence de bois</w:t>
      </w:r>
    </w:p>
    <w:p w14:paraId="73DB0C51" w14:textId="77777777" w:rsidR="00DF410E" w:rsidRDefault="00CE7F43">
      <w:pPr>
        <w:jc w:val="both"/>
      </w:pPr>
      <w:r>
        <w:t>3 : la classe d’emploi de l’élément</w:t>
      </w:r>
    </w:p>
    <w:p w14:paraId="3574785C" w14:textId="77777777" w:rsidR="00DF410E" w:rsidRDefault="00CE7F43">
      <w:pPr>
        <w:jc w:val="both"/>
      </w:pPr>
      <w:r>
        <w:t>4 : la méthode utilisée pour garantir la durabilité de l’élément</w:t>
      </w:r>
    </w:p>
    <w:p w14:paraId="503A41DB" w14:textId="77777777" w:rsidR="00DF410E" w:rsidRDefault="00CE7F43">
      <w:pPr>
        <w:jc w:val="both"/>
      </w:pPr>
      <w:r>
        <w:t> </w:t>
      </w:r>
    </w:p>
    <w:p w14:paraId="65FD3FA1" w14:textId="77777777" w:rsidR="00DF410E" w:rsidRDefault="00CE7F43">
      <w:pPr>
        <w:jc w:val="both"/>
      </w:pPr>
      <w:r>
        <w:t>Ce qui donne, par exemple :</w:t>
      </w:r>
    </w:p>
    <w:p w14:paraId="3F7EF1DC" w14:textId="77777777" w:rsidR="00DF410E" w:rsidRDefault="00CE7F43">
      <w:pPr>
        <w:jc w:val="both"/>
      </w:pPr>
      <w:r>
        <w:t>BM D200 / Douglas / 2 / sans aubier</w:t>
      </w:r>
    </w:p>
    <w:p w14:paraId="04114DC2" w14:textId="77777777" w:rsidR="00DF410E" w:rsidRDefault="00CE7F43">
      <w:pPr>
        <w:pStyle w:val="Author-eSectionHeading5"/>
      </w:pPr>
      <w:bookmarkStart w:id="1595" w:name="_Toc178838689"/>
      <w:r>
        <w:t>24.13.2 Poutres et barres en bois lamellé collé CCTB 01.07</w:t>
      </w:r>
      <w:bookmarkEnd w:id="1595"/>
    </w:p>
    <w:p w14:paraId="26E0ADDF" w14:textId="77777777" w:rsidR="00DF410E" w:rsidRDefault="00CE7F43">
      <w:pPr>
        <w:pStyle w:val="pheading"/>
      </w:pPr>
      <w:r>
        <w:t>DESCRIPTION</w:t>
      </w:r>
    </w:p>
    <w:p w14:paraId="147B05CD" w14:textId="77777777" w:rsidR="00DF410E" w:rsidRDefault="00CE7F43">
      <w:pPr>
        <w:pStyle w:val="pheading"/>
      </w:pPr>
      <w:r>
        <w:t>- Définition / Comprend</w:t>
      </w:r>
    </w:p>
    <w:p w14:paraId="4E9A4F61" w14:textId="77777777" w:rsidR="00DF410E" w:rsidRDefault="00CE7F43">
      <w:r>
        <w:t xml:space="preserve">Il s’agit des poutres et barres en bois lamellé collé. La notion de bois lamellé collé est expliquée au </w:t>
      </w:r>
      <w:hyperlink w:anchor="89" w:history="1">
        <w:r>
          <w:t>24 Superstructures en bois</w:t>
        </w:r>
      </w:hyperlink>
      <w:r>
        <w:t>.</w:t>
      </w:r>
    </w:p>
    <w:p w14:paraId="10E42823" w14:textId="77777777" w:rsidR="00DF410E" w:rsidRDefault="00CE7F43">
      <w:pPr>
        <w:pStyle w:val="Author-eSectionHeading6"/>
      </w:pPr>
      <w:bookmarkStart w:id="1596" w:name="_Toc178838690"/>
      <w:r>
        <w:t>24.13.2a Poutres et barres en lamellé-collé à inertie constante CCTB 01.11</w:t>
      </w:r>
      <w:bookmarkEnd w:id="1596"/>
    </w:p>
    <w:p w14:paraId="1BE48FC6" w14:textId="77777777" w:rsidR="00DF410E" w:rsidRDefault="00CE7F43">
      <w:pPr>
        <w:pStyle w:val="pheading"/>
      </w:pPr>
      <w:r>
        <w:t>DESCRIPTION</w:t>
      </w:r>
    </w:p>
    <w:p w14:paraId="2A6C563A" w14:textId="77777777" w:rsidR="00DF410E" w:rsidRDefault="00CE7F43">
      <w:pPr>
        <w:pStyle w:val="pheading"/>
      </w:pPr>
      <w:r>
        <w:t>- Définition / Comprend</w:t>
      </w:r>
    </w:p>
    <w:p w14:paraId="1934CADC" w14:textId="77777777" w:rsidR="00DF410E" w:rsidRDefault="00CE7F43">
      <w:r>
        <w:t>Il s'agit de l’ensemble des poutres et barres en bois lamellé collé à inertie constante.</w:t>
      </w:r>
    </w:p>
    <w:p w14:paraId="195720F5" w14:textId="77777777" w:rsidR="00DF410E" w:rsidRDefault="00CE7F43">
      <w:pPr>
        <w:pStyle w:val="pheading"/>
      </w:pPr>
      <w:r>
        <w:t>MATÉRIAUX</w:t>
      </w:r>
    </w:p>
    <w:p w14:paraId="3E9811F9" w14:textId="77777777" w:rsidR="00DF410E" w:rsidRDefault="00CE7F43">
      <w:pPr>
        <w:pStyle w:val="pheading"/>
      </w:pPr>
      <w:r>
        <w:t>- Caractéristiques générales</w:t>
      </w:r>
    </w:p>
    <w:p w14:paraId="6AF6556C" w14:textId="77777777" w:rsidR="00DF410E" w:rsidRDefault="00CE7F43">
      <w:pPr>
        <w:jc w:val="both"/>
      </w:pPr>
      <w:r>
        <w:t xml:space="preserve">Classe de résistance : </w:t>
      </w:r>
      <w:r>
        <w:rPr>
          <w:rStyle w:val="optioncarChar"/>
        </w:rPr>
        <w:t>GL24h </w:t>
      </w:r>
      <w:r>
        <w:t>(par défaut)</w:t>
      </w:r>
      <w:r>
        <w:rPr>
          <w:rStyle w:val="optioncarChar"/>
        </w:rPr>
        <w:t xml:space="preserve"> / GL24c / GL28h / GL28c / ***</w:t>
      </w:r>
    </w:p>
    <w:p w14:paraId="0737F385" w14:textId="77777777" w:rsidR="00DF410E" w:rsidRDefault="00CE7F43">
      <w:pPr>
        <w:jc w:val="both"/>
      </w:pPr>
      <w:r>
        <w:t xml:space="preserve">Dimensions de la section : </w:t>
      </w:r>
      <w:r>
        <w:rPr>
          <w:rStyle w:val="optioncarChar"/>
        </w:rPr>
        <w:t xml:space="preserve">Voir plans </w:t>
      </w:r>
      <w:r>
        <w:t>(par défaut)</w:t>
      </w:r>
      <w:r>
        <w:rPr>
          <w:rStyle w:val="optioncarChar"/>
        </w:rPr>
        <w:t xml:space="preserve"> / *** x *** mm²</w:t>
      </w:r>
    </w:p>
    <w:p w14:paraId="0885DC5C" w14:textId="77777777" w:rsidR="00DF410E" w:rsidRDefault="00CE7F43">
      <w:pPr>
        <w:jc w:val="both"/>
      </w:pPr>
      <w:r>
        <w:t>Essence :</w:t>
      </w:r>
      <w:r>
        <w:rPr>
          <w:rStyle w:val="optioncarChar"/>
        </w:rPr>
        <w:t xml:space="preserve"> Résineuse </w:t>
      </w:r>
      <w:r>
        <w:t>(par défaut)</w:t>
      </w:r>
      <w:r>
        <w:rPr>
          <w:rStyle w:val="optioncarChar"/>
        </w:rPr>
        <w:t xml:space="preserve"> / feuillue / épicéa / douglas / chêne / hêtre / ***</w:t>
      </w:r>
    </w:p>
    <w:p w14:paraId="12635AE4" w14:textId="77777777" w:rsidR="00DF410E" w:rsidRDefault="00CE7F43">
      <w:pPr>
        <w:jc w:val="both"/>
      </w:pPr>
      <w:r>
        <w:t xml:space="preserve">Classe d’emploi : </w:t>
      </w:r>
      <w:r>
        <w:rPr>
          <w:rStyle w:val="optioncarChar"/>
        </w:rPr>
        <w:t>1 / 2 / 3 / 4 / 5</w:t>
      </w:r>
    </w:p>
    <w:p w14:paraId="08A2896A" w14:textId="77777777" w:rsidR="00DF410E" w:rsidRDefault="00CE7F43">
      <w:pPr>
        <w:jc w:val="both"/>
      </w:pPr>
      <w:r>
        <w:t>Classe d’émission de formaldéhyde :</w:t>
      </w:r>
      <w:r>
        <w:rPr>
          <w:rStyle w:val="optioncarChar"/>
        </w:rPr>
        <w:t xml:space="preserve"> E1 </w:t>
      </w:r>
      <w:r>
        <w:t xml:space="preserve">(par défaut) </w:t>
      </w:r>
      <w:r>
        <w:rPr>
          <w:rStyle w:val="optioncarChar"/>
        </w:rPr>
        <w:t>/ E2</w:t>
      </w:r>
    </w:p>
    <w:p w14:paraId="5E7E5DE7" w14:textId="77777777" w:rsidR="00DF410E" w:rsidRDefault="00CE7F43">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30E5622D" w14:textId="77777777" w:rsidR="00DF410E" w:rsidRDefault="00CE7F43">
      <w:pPr>
        <w:pStyle w:val="pheading"/>
      </w:pPr>
      <w:r>
        <w:t>- Finitions</w:t>
      </w:r>
    </w:p>
    <w:p w14:paraId="6AF42A77" w14:textId="77777777" w:rsidR="00DF410E" w:rsidRDefault="00CE7F43">
      <w:pPr>
        <w:jc w:val="both"/>
      </w:pPr>
      <w:r>
        <w:t>Les poutres et barres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340E1A6E" w14:textId="77777777" w:rsidR="00DF410E" w:rsidRDefault="00CE7F43">
      <w:pPr>
        <w:jc w:val="both"/>
      </w:pPr>
      <w:r>
        <w:t xml:space="preserve">Les arrêtes sont </w:t>
      </w:r>
      <w:r>
        <w:rPr>
          <w:rStyle w:val="optioncarChar"/>
        </w:rPr>
        <w:t xml:space="preserve">vives </w:t>
      </w:r>
      <w:r>
        <w:t>(par défaut)</w:t>
      </w:r>
      <w:r>
        <w:rPr>
          <w:rStyle w:val="optioncarChar"/>
        </w:rPr>
        <w:t xml:space="preserve"> / chanfreinées / ***</w:t>
      </w:r>
    </w:p>
    <w:p w14:paraId="1C18C9E7" w14:textId="77777777" w:rsidR="00DF410E" w:rsidRDefault="00CE7F43">
      <w:pPr>
        <w:jc w:val="both"/>
      </w:pPr>
      <w:r>
        <w:t xml:space="preserve">Les poutres et barres en bois lamellé collé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7E065185" w14:textId="77777777" w:rsidR="00DF410E" w:rsidRDefault="00CE7F43">
      <w:pPr>
        <w:pStyle w:val="pheading"/>
      </w:pPr>
      <w:r>
        <w:t>- Prescriptions complémentaires</w:t>
      </w:r>
    </w:p>
    <w:p w14:paraId="53725AC5" w14:textId="77777777" w:rsidR="00DF410E" w:rsidRDefault="00CE7F43">
      <w:pPr>
        <w:jc w:val="both"/>
      </w:pPr>
      <w:r>
        <w:rPr>
          <w:rStyle w:val="facultChar"/>
        </w:rPr>
        <w:t>La qualité esthétique des poutres et barres est</w:t>
      </w:r>
      <w:r>
        <w:t>  </w:t>
      </w:r>
      <w:r>
        <w:rPr>
          <w:rStyle w:val="optioncarChar"/>
        </w:rPr>
        <w:t>non-visible / visible industrielle / visible habitation</w:t>
      </w:r>
    </w:p>
    <w:p w14:paraId="6511105B" w14:textId="77777777" w:rsidR="00DF410E" w:rsidRDefault="00CE7F43">
      <w:pPr>
        <w:pStyle w:val="pheading"/>
      </w:pPr>
      <w:r>
        <w:t>MESURAGE</w:t>
      </w:r>
    </w:p>
    <w:p w14:paraId="5AAD5643" w14:textId="77777777" w:rsidR="00DF410E" w:rsidRDefault="00CE7F43">
      <w:pPr>
        <w:pStyle w:val="pheading"/>
      </w:pPr>
      <w:r>
        <w:t>- unité de mesure:</w:t>
      </w:r>
    </w:p>
    <w:p w14:paraId="46D33510" w14:textId="77777777" w:rsidR="00DF410E" w:rsidRDefault="00CE7F43">
      <w:r>
        <w:rPr>
          <w:rStyle w:val="optioncarChar"/>
        </w:rPr>
        <w:t>m³ </w:t>
      </w:r>
      <w:r>
        <w:t>(par défaut)</w:t>
      </w:r>
      <w:r>
        <w:rPr>
          <w:rStyle w:val="optioncarChar"/>
        </w:rPr>
        <w:t> / m / pc</w:t>
      </w:r>
    </w:p>
    <w:p w14:paraId="2FA76FCB" w14:textId="77777777" w:rsidR="00DF410E" w:rsidRDefault="00CE7F43">
      <w:r>
        <w:rPr>
          <w:b/>
          <w:i/>
        </w:rPr>
        <w:t>(Soit par défaut)</w:t>
      </w:r>
    </w:p>
    <w:p w14:paraId="45789570" w14:textId="77777777" w:rsidR="00DF410E" w:rsidRDefault="00CE7F43">
      <w:r>
        <w:rPr>
          <w:rStyle w:val="soitChar"/>
        </w:rPr>
        <w:t>1.    m³ </w:t>
      </w:r>
    </w:p>
    <w:p w14:paraId="3E09C999" w14:textId="77777777" w:rsidR="00DF410E" w:rsidRDefault="00CE7F43">
      <w:r>
        <w:rPr>
          <w:b/>
          <w:i/>
        </w:rPr>
        <w:t>(Soit)</w:t>
      </w:r>
    </w:p>
    <w:p w14:paraId="1887B93E" w14:textId="77777777" w:rsidR="00DF410E" w:rsidRDefault="00CE7F43">
      <w:r>
        <w:rPr>
          <w:rStyle w:val="soitChar"/>
        </w:rPr>
        <w:t>2.    m </w:t>
      </w:r>
    </w:p>
    <w:p w14:paraId="29DA3E04" w14:textId="77777777" w:rsidR="00DF410E" w:rsidRDefault="00CE7F43">
      <w:r>
        <w:rPr>
          <w:b/>
          <w:i/>
        </w:rPr>
        <w:t>(Soit)</w:t>
      </w:r>
    </w:p>
    <w:p w14:paraId="3489E5A9" w14:textId="77777777" w:rsidR="00DF410E" w:rsidRDefault="00CE7F43">
      <w:r>
        <w:rPr>
          <w:rStyle w:val="soitChar"/>
        </w:rPr>
        <w:t>3.    pc</w:t>
      </w:r>
    </w:p>
    <w:p w14:paraId="293C65CE" w14:textId="77777777" w:rsidR="00DF410E" w:rsidRDefault="00CE7F43">
      <w:pPr>
        <w:pStyle w:val="pheading"/>
      </w:pPr>
      <w:r>
        <w:t>- code de mesurage:</w:t>
      </w:r>
    </w:p>
    <w:p w14:paraId="0D1A4869" w14:textId="77777777" w:rsidR="00DF410E" w:rsidRDefault="00CE7F43">
      <w:r>
        <w:rPr>
          <w:rStyle w:val="optioncarChar"/>
        </w:rPr>
        <w:t> Volume brut </w:t>
      </w:r>
      <w:r>
        <w:t>(par défaut)</w:t>
      </w:r>
      <w:r>
        <w:rPr>
          <w:rStyle w:val="optioncarChar"/>
        </w:rPr>
        <w:t> / Longueur brute / Quantité nette</w:t>
      </w:r>
    </w:p>
    <w:p w14:paraId="44589CF1" w14:textId="77777777" w:rsidR="00DF410E" w:rsidRDefault="00CE7F43">
      <w:r>
        <w:rPr>
          <w:b/>
          <w:i/>
        </w:rPr>
        <w:t>(Soit par défaut)</w:t>
      </w:r>
    </w:p>
    <w:p w14:paraId="16899741" w14:textId="77777777" w:rsidR="00DF410E" w:rsidRDefault="00CE7F43">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377C59F4" w14:textId="77777777" w:rsidR="00DF410E" w:rsidRDefault="00CE7F43">
      <w:r>
        <w:rPr>
          <w:b/>
          <w:i/>
        </w:rPr>
        <w:t> (Soit)</w:t>
      </w:r>
    </w:p>
    <w:p w14:paraId="3893A81A" w14:textId="77777777" w:rsidR="00DF410E" w:rsidRDefault="00CE7F43">
      <w:r>
        <w:rPr>
          <w:rStyle w:val="soitChar"/>
        </w:rPr>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13A4CBB5" w14:textId="77777777" w:rsidR="00DF410E" w:rsidRDefault="00CE7F43">
      <w:r>
        <w:rPr>
          <w:b/>
          <w:i/>
        </w:rPr>
        <w:t> (Soit)</w:t>
      </w:r>
    </w:p>
    <w:p w14:paraId="3427A590" w14:textId="77777777" w:rsidR="00DF410E" w:rsidRDefault="00CE7F43">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14:paraId="700751BD" w14:textId="77777777" w:rsidR="00DF410E" w:rsidRDefault="00CE7F43">
      <w:pPr>
        <w:pStyle w:val="pheading"/>
      </w:pPr>
      <w:r>
        <w:t>- nature du marché:</w:t>
      </w:r>
    </w:p>
    <w:p w14:paraId="63D7A3FD" w14:textId="77777777" w:rsidR="00DF410E" w:rsidRDefault="00CE7F43">
      <w:r>
        <w:rPr>
          <w:rStyle w:val="optioncarChar"/>
        </w:rPr>
        <w:t>QF</w:t>
      </w:r>
      <w:r>
        <w:t> (par défaut)</w:t>
      </w:r>
      <w:r>
        <w:rPr>
          <w:rStyle w:val="optioncarChar"/>
        </w:rPr>
        <w:t> / QP</w:t>
      </w:r>
    </w:p>
    <w:p w14:paraId="62BB0324" w14:textId="77777777" w:rsidR="00DF410E" w:rsidRDefault="00CE7F43">
      <w:r>
        <w:rPr>
          <w:b/>
          <w:i/>
        </w:rPr>
        <w:t>(Soit par défaut)</w:t>
      </w:r>
    </w:p>
    <w:p w14:paraId="3B745AF0" w14:textId="77777777" w:rsidR="00DF410E" w:rsidRDefault="00CE7F43">
      <w:r>
        <w:rPr>
          <w:rStyle w:val="soitChar"/>
        </w:rPr>
        <w:t>1.2.3     QF</w:t>
      </w:r>
    </w:p>
    <w:p w14:paraId="79D18160" w14:textId="77777777" w:rsidR="00DF410E" w:rsidRDefault="00CE7F43">
      <w:r>
        <w:rPr>
          <w:b/>
          <w:i/>
        </w:rPr>
        <w:t>(Soit)</w:t>
      </w:r>
    </w:p>
    <w:p w14:paraId="755D380F" w14:textId="77777777" w:rsidR="00DF410E" w:rsidRDefault="00CE7F43">
      <w:r>
        <w:rPr>
          <w:rStyle w:val="soitChar"/>
        </w:rPr>
        <w:t>1.2.3     QP</w:t>
      </w:r>
    </w:p>
    <w:p w14:paraId="143C7EC7" w14:textId="77777777" w:rsidR="00DF410E" w:rsidRDefault="00CE7F43">
      <w:pPr>
        <w:pStyle w:val="pheading"/>
      </w:pPr>
      <w:r>
        <w:t>AIDE</w:t>
      </w:r>
    </w:p>
    <w:p w14:paraId="6FD85E59" w14:textId="77777777" w:rsidR="00DF410E" w:rsidRDefault="00CE7F43">
      <w:pPr>
        <w:jc w:val="both"/>
      </w:pPr>
      <w:r>
        <w:t>Le code suivant peut être utilisé pour la dénomination du poste :</w:t>
      </w:r>
    </w:p>
    <w:p w14:paraId="5AA8762A" w14:textId="77777777" w:rsidR="00DF410E" w:rsidRDefault="00CE7F43">
      <w:pPr>
        <w:jc w:val="both"/>
      </w:pPr>
      <w:r>
        <w:t>BLC 1 / 2 / 3 / 4 / 5</w:t>
      </w:r>
    </w:p>
    <w:p w14:paraId="0BCA1096" w14:textId="77777777" w:rsidR="00DF410E" w:rsidRDefault="00CE7F43">
      <w:pPr>
        <w:jc w:val="both"/>
      </w:pPr>
      <w:r>
        <w:t>Avec :</w:t>
      </w:r>
    </w:p>
    <w:p w14:paraId="61EB1079" w14:textId="77777777" w:rsidR="00DF410E" w:rsidRDefault="00CE7F43">
      <w:pPr>
        <w:jc w:val="both"/>
      </w:pPr>
      <w:r>
        <w:t>BLC pour bois lamellé collé</w:t>
      </w:r>
    </w:p>
    <w:p w14:paraId="11E3E4D3" w14:textId="77777777" w:rsidR="00DF410E" w:rsidRDefault="00CE7F43">
      <w:pPr>
        <w:jc w:val="both"/>
      </w:pPr>
      <w:r>
        <w:t>1 : la classe de résistance des poutres et barres</w:t>
      </w:r>
    </w:p>
    <w:p w14:paraId="6ECE3795" w14:textId="77777777" w:rsidR="00DF410E" w:rsidRDefault="00CE7F43">
      <w:pPr>
        <w:jc w:val="both"/>
      </w:pPr>
      <w:r>
        <w:t>2 : la section</w:t>
      </w:r>
    </w:p>
    <w:p w14:paraId="78375386" w14:textId="77777777" w:rsidR="00DF410E" w:rsidRDefault="00CE7F43">
      <w:pPr>
        <w:jc w:val="both"/>
      </w:pPr>
      <w:r>
        <w:t>3 : l’essence de bois</w:t>
      </w:r>
    </w:p>
    <w:p w14:paraId="7D8C3A61" w14:textId="77777777" w:rsidR="00DF410E" w:rsidRDefault="00CE7F43">
      <w:pPr>
        <w:jc w:val="both"/>
      </w:pPr>
      <w:r>
        <w:t>4 : la classe d’emploi des poutres et barres</w:t>
      </w:r>
    </w:p>
    <w:p w14:paraId="07A8A170" w14:textId="77777777" w:rsidR="00DF410E" w:rsidRDefault="00CE7F43">
      <w:pPr>
        <w:jc w:val="both"/>
      </w:pPr>
      <w:r>
        <w:t>5 : la méthode utilisée pour garantir la durabilité des poutres et barres</w:t>
      </w:r>
    </w:p>
    <w:p w14:paraId="6B460573" w14:textId="77777777" w:rsidR="00DF410E" w:rsidRDefault="00CE7F43">
      <w:pPr>
        <w:jc w:val="both"/>
      </w:pPr>
      <w:r>
        <w:t> </w:t>
      </w:r>
    </w:p>
    <w:p w14:paraId="784BFCB8" w14:textId="77777777" w:rsidR="00DF410E" w:rsidRDefault="00CE7F43">
      <w:pPr>
        <w:jc w:val="both"/>
      </w:pPr>
      <w:r>
        <w:t>Ce qui donne, par exemple :</w:t>
      </w:r>
    </w:p>
    <w:p w14:paraId="162B0712" w14:textId="77777777" w:rsidR="00DF410E" w:rsidRDefault="00CE7F43">
      <w:pPr>
        <w:jc w:val="both"/>
      </w:pPr>
      <w:r>
        <w:t>BLC GL24c / 120x200 / épicéa / 2 / A2.2</w:t>
      </w:r>
    </w:p>
    <w:p w14:paraId="0BBB0A7E" w14:textId="77777777" w:rsidR="00DF410E" w:rsidRDefault="00CE7F43">
      <w:pPr>
        <w:pStyle w:val="Author-eSectionHeading6"/>
      </w:pPr>
      <w:bookmarkStart w:id="1597" w:name="_Toc178838691"/>
      <w:r>
        <w:t>24.13.2b Poutres et barres en lamellé-collé à inertie variable CCTB 01.11</w:t>
      </w:r>
      <w:bookmarkEnd w:id="1597"/>
    </w:p>
    <w:p w14:paraId="218E4C28" w14:textId="77777777" w:rsidR="00DF410E" w:rsidRDefault="00CE7F43">
      <w:pPr>
        <w:pStyle w:val="pheading"/>
      </w:pPr>
      <w:r>
        <w:t>DESCRIPTION</w:t>
      </w:r>
    </w:p>
    <w:p w14:paraId="6B0C5FD6" w14:textId="77777777" w:rsidR="00DF410E" w:rsidRDefault="00CE7F43">
      <w:pPr>
        <w:pStyle w:val="pheading"/>
      </w:pPr>
      <w:r>
        <w:t>- Définition / Comprend</w:t>
      </w:r>
    </w:p>
    <w:p w14:paraId="54C5959E" w14:textId="77777777" w:rsidR="00DF410E" w:rsidRDefault="00CE7F43">
      <w:r>
        <w:t>Il s'agit de l’ensemble des poutres et barres en bois lamellé collé et à inertie variable.</w:t>
      </w:r>
    </w:p>
    <w:p w14:paraId="3B09B86C" w14:textId="77777777" w:rsidR="00DF410E" w:rsidRDefault="00CE7F43">
      <w:pPr>
        <w:pStyle w:val="pheading"/>
      </w:pPr>
      <w:r>
        <w:t>MATÉRIAUX</w:t>
      </w:r>
    </w:p>
    <w:p w14:paraId="7EF4E1E5" w14:textId="77777777" w:rsidR="00DF410E" w:rsidRDefault="00CE7F43">
      <w:pPr>
        <w:pStyle w:val="pheading"/>
      </w:pPr>
      <w:r>
        <w:t>- Caractéristiques générales</w:t>
      </w:r>
    </w:p>
    <w:p w14:paraId="138B0628" w14:textId="77777777" w:rsidR="00DF410E" w:rsidRDefault="00CE7F43">
      <w:pPr>
        <w:jc w:val="both"/>
      </w:pPr>
      <w:r>
        <w:t xml:space="preserve">Classe de résistance : </w:t>
      </w:r>
      <w:r>
        <w:rPr>
          <w:rStyle w:val="optioncarChar"/>
        </w:rPr>
        <w:t>GL24h </w:t>
      </w:r>
      <w:r>
        <w:t xml:space="preserve">(par défaut) </w:t>
      </w:r>
      <w:r>
        <w:rPr>
          <w:rStyle w:val="optioncarChar"/>
        </w:rPr>
        <w:t>/ GL24c / GL28h / GL28c / ***</w:t>
      </w:r>
    </w:p>
    <w:p w14:paraId="5777D8AA" w14:textId="77777777" w:rsidR="00DF410E" w:rsidRDefault="00CE7F43">
      <w:pPr>
        <w:jc w:val="both"/>
      </w:pPr>
      <w:r>
        <w:t>La géométrie des poutres et barres est décrite dans les plans.</w:t>
      </w:r>
    </w:p>
    <w:p w14:paraId="2BBFCB13" w14:textId="77777777" w:rsidR="00DF410E" w:rsidRDefault="00CE7F43">
      <w:pPr>
        <w:jc w:val="both"/>
      </w:pPr>
      <w:r>
        <w:t xml:space="preserve">Essence : </w:t>
      </w:r>
      <w:r>
        <w:rPr>
          <w:rStyle w:val="optioncarChar"/>
        </w:rPr>
        <w:t>Résineuse (par défaut) / feuillue / épicéa / douglas / chêne / hêtre / ***</w:t>
      </w:r>
    </w:p>
    <w:p w14:paraId="77DE5F28" w14:textId="77777777" w:rsidR="00DF410E" w:rsidRDefault="00CE7F43">
      <w:pPr>
        <w:jc w:val="both"/>
      </w:pPr>
      <w:r>
        <w:t>Classe d’emploi :</w:t>
      </w:r>
      <w:r>
        <w:rPr>
          <w:rStyle w:val="optioncarChar"/>
        </w:rPr>
        <w:t xml:space="preserve"> 1 / 2 / 3 / 4 / 5</w:t>
      </w:r>
    </w:p>
    <w:p w14:paraId="28F577C5" w14:textId="77777777" w:rsidR="00DF410E" w:rsidRDefault="00CE7F43">
      <w:pPr>
        <w:jc w:val="both"/>
      </w:pPr>
      <w:r>
        <w:t>Classe d’émission de formaldéhyde :</w:t>
      </w:r>
      <w:r>
        <w:rPr>
          <w:rStyle w:val="optioncarChar"/>
        </w:rPr>
        <w:t xml:space="preserve"> E1 </w:t>
      </w:r>
      <w:r>
        <w:t>(par défaut)</w:t>
      </w:r>
      <w:r>
        <w:rPr>
          <w:rStyle w:val="optioncarChar"/>
        </w:rPr>
        <w:t xml:space="preserve"> / E2</w:t>
      </w:r>
    </w:p>
    <w:p w14:paraId="6C008C51" w14:textId="77777777" w:rsidR="00DF410E" w:rsidRDefault="00CE7F43">
      <w:pPr>
        <w:jc w:val="both"/>
      </w:pPr>
      <w:r>
        <w:t xml:space="preserve">La durabilité des poutres et barres,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w:t>
      </w:r>
    </w:p>
    <w:p w14:paraId="6C13F1C4" w14:textId="77777777" w:rsidR="00DF410E" w:rsidRDefault="00CE7F43">
      <w:pPr>
        <w:pStyle w:val="pheading"/>
      </w:pPr>
      <w:r>
        <w:t>- Finitions</w:t>
      </w:r>
    </w:p>
    <w:p w14:paraId="542ECD3C" w14:textId="77777777" w:rsidR="00DF410E" w:rsidRDefault="00CE7F43">
      <w:pPr>
        <w:jc w:val="both"/>
      </w:pPr>
      <w:r>
        <w:t xml:space="preserve">Les poutres et barres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22845954" w14:textId="77777777" w:rsidR="00DF410E" w:rsidRDefault="00CE7F43">
      <w:pPr>
        <w:jc w:val="both"/>
      </w:pPr>
      <w:r>
        <w:t xml:space="preserve">Les arrêtes sont </w:t>
      </w:r>
      <w:r>
        <w:rPr>
          <w:rStyle w:val="optioncarChar"/>
        </w:rPr>
        <w:t xml:space="preserve">vives </w:t>
      </w:r>
      <w:r>
        <w:t>(par défaut)</w:t>
      </w:r>
      <w:r>
        <w:rPr>
          <w:rStyle w:val="optioncarChar"/>
        </w:rPr>
        <w:t xml:space="preserve"> / chanfreinées / ***</w:t>
      </w:r>
    </w:p>
    <w:p w14:paraId="4A63BFE2" w14:textId="77777777" w:rsidR="00DF410E" w:rsidRDefault="00CE7F43">
      <w:pPr>
        <w:jc w:val="both"/>
      </w:pPr>
      <w:r>
        <w:t xml:space="preserve">Les poutres et barres en bois lamellé collé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6FC52F2B" w14:textId="77777777" w:rsidR="00DF410E" w:rsidRDefault="00CE7F43">
      <w:pPr>
        <w:pStyle w:val="pheading"/>
      </w:pPr>
      <w:r>
        <w:t>- Prescriptions complémentaires</w:t>
      </w:r>
    </w:p>
    <w:p w14:paraId="7AAF7E4D" w14:textId="77777777" w:rsidR="00DF410E" w:rsidRDefault="00CE7F43">
      <w:r>
        <w:rPr>
          <w:rStyle w:val="facultChar"/>
        </w:rPr>
        <w:t>La qualité esthétique des poutres et barres est</w:t>
      </w:r>
      <w:r>
        <w:t>  </w:t>
      </w:r>
      <w:r>
        <w:rPr>
          <w:rStyle w:val="optioncarChar"/>
        </w:rPr>
        <w:t>non-visible / visible industrielle / visible habitation</w:t>
      </w:r>
    </w:p>
    <w:p w14:paraId="398D4F94" w14:textId="77777777" w:rsidR="00DF410E" w:rsidRDefault="00CE7F43">
      <w:pPr>
        <w:pStyle w:val="pheading"/>
      </w:pPr>
      <w:r>
        <w:t>MESURAGE</w:t>
      </w:r>
    </w:p>
    <w:p w14:paraId="7D32A120" w14:textId="77777777" w:rsidR="00DF410E" w:rsidRDefault="00CE7F43">
      <w:pPr>
        <w:pStyle w:val="pheading"/>
      </w:pPr>
      <w:r>
        <w:t>- unité de mesure:</w:t>
      </w:r>
    </w:p>
    <w:p w14:paraId="1A5C49F4" w14:textId="77777777" w:rsidR="00DF410E" w:rsidRDefault="00CE7F43">
      <w:r>
        <w:rPr>
          <w:rStyle w:val="optioncarChar"/>
        </w:rPr>
        <w:t>m³ </w:t>
      </w:r>
      <w:r>
        <w:t>(par défaut)</w:t>
      </w:r>
      <w:r>
        <w:rPr>
          <w:rStyle w:val="optioncarChar"/>
        </w:rPr>
        <w:t> / m / pc</w:t>
      </w:r>
    </w:p>
    <w:p w14:paraId="618DDCE5" w14:textId="77777777" w:rsidR="00DF410E" w:rsidRDefault="00CE7F43">
      <w:r>
        <w:rPr>
          <w:b/>
          <w:i/>
        </w:rPr>
        <w:t>(Soit par défaut)</w:t>
      </w:r>
    </w:p>
    <w:p w14:paraId="1A60336E" w14:textId="77777777" w:rsidR="00DF410E" w:rsidRDefault="00CE7F43">
      <w:r>
        <w:rPr>
          <w:rStyle w:val="soitChar"/>
        </w:rPr>
        <w:t>1.    m³ </w:t>
      </w:r>
    </w:p>
    <w:p w14:paraId="77A1CE8F" w14:textId="77777777" w:rsidR="00DF410E" w:rsidRDefault="00CE7F43">
      <w:r>
        <w:rPr>
          <w:b/>
          <w:i/>
        </w:rPr>
        <w:t>(Soit)</w:t>
      </w:r>
    </w:p>
    <w:p w14:paraId="157E4EB8" w14:textId="77777777" w:rsidR="00DF410E" w:rsidRDefault="00CE7F43">
      <w:r>
        <w:rPr>
          <w:rStyle w:val="soitChar"/>
        </w:rPr>
        <w:t>2.    m </w:t>
      </w:r>
    </w:p>
    <w:p w14:paraId="299EAB9B" w14:textId="77777777" w:rsidR="00DF410E" w:rsidRDefault="00CE7F43">
      <w:r>
        <w:rPr>
          <w:b/>
          <w:i/>
        </w:rPr>
        <w:t>(Soit)</w:t>
      </w:r>
    </w:p>
    <w:p w14:paraId="472A2D14" w14:textId="77777777" w:rsidR="00DF410E" w:rsidRDefault="00CE7F43">
      <w:r>
        <w:rPr>
          <w:rStyle w:val="soitChar"/>
        </w:rPr>
        <w:t>3.    pc</w:t>
      </w:r>
    </w:p>
    <w:p w14:paraId="381034F4" w14:textId="77777777" w:rsidR="00DF410E" w:rsidRDefault="00CE7F43">
      <w:pPr>
        <w:pStyle w:val="pheading"/>
      </w:pPr>
      <w:r>
        <w:t>- code de mesurage:</w:t>
      </w:r>
    </w:p>
    <w:p w14:paraId="60CC4290" w14:textId="77777777" w:rsidR="00DF410E" w:rsidRDefault="00CE7F43">
      <w:r>
        <w:rPr>
          <w:rStyle w:val="optioncarChar"/>
        </w:rPr>
        <w:t> Volume brut </w:t>
      </w:r>
      <w:r>
        <w:t>(par défaut) </w:t>
      </w:r>
      <w:r>
        <w:rPr>
          <w:rStyle w:val="optioncarChar"/>
        </w:rPr>
        <w:t>/ Longueur brute / Quantité nette</w:t>
      </w:r>
    </w:p>
    <w:p w14:paraId="17228AEC" w14:textId="77777777" w:rsidR="00DF410E" w:rsidRDefault="00CE7F43">
      <w:r>
        <w:rPr>
          <w:b/>
          <w:i/>
        </w:rPr>
        <w:t>(Soit par défaut)</w:t>
      </w:r>
    </w:p>
    <w:p w14:paraId="233835D6" w14:textId="77777777" w:rsidR="00DF410E" w:rsidRDefault="00CE7F43">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3E760BC3" w14:textId="77777777" w:rsidR="00DF410E" w:rsidRDefault="00CE7F43">
      <w:r>
        <w:rPr>
          <w:b/>
          <w:i/>
        </w:rPr>
        <w:t> (Soit)</w:t>
      </w:r>
    </w:p>
    <w:p w14:paraId="51AE1A72" w14:textId="77777777" w:rsidR="00DF410E" w:rsidRDefault="00CE7F43">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comptabilisée.</w:t>
      </w:r>
    </w:p>
    <w:p w14:paraId="1F3962C1" w14:textId="77777777" w:rsidR="00DF410E" w:rsidRDefault="00CE7F43">
      <w:r>
        <w:rPr>
          <w:b/>
          <w:i/>
        </w:rPr>
        <w:t> (Soit)</w:t>
      </w:r>
    </w:p>
    <w:p w14:paraId="778E49B2" w14:textId="77777777" w:rsidR="00DF410E" w:rsidRDefault="00CE7F43">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14:paraId="28AE2BB9" w14:textId="77777777" w:rsidR="00DF410E" w:rsidRDefault="00CE7F43">
      <w:pPr>
        <w:pStyle w:val="pheading"/>
      </w:pPr>
      <w:r>
        <w:t>- nature du marché:</w:t>
      </w:r>
    </w:p>
    <w:p w14:paraId="3CD02E00" w14:textId="77777777" w:rsidR="00DF410E" w:rsidRDefault="00CE7F43">
      <w:r>
        <w:rPr>
          <w:rStyle w:val="optioncarChar"/>
        </w:rPr>
        <w:t>QF</w:t>
      </w:r>
      <w:r>
        <w:t> (par défaut) </w:t>
      </w:r>
      <w:r>
        <w:rPr>
          <w:rStyle w:val="optioncarChar"/>
        </w:rPr>
        <w:t>/ QP</w:t>
      </w:r>
    </w:p>
    <w:p w14:paraId="19818F04" w14:textId="77777777" w:rsidR="00DF410E" w:rsidRDefault="00CE7F43">
      <w:r>
        <w:rPr>
          <w:b/>
          <w:i/>
        </w:rPr>
        <w:t>(Soit par défaut)</w:t>
      </w:r>
    </w:p>
    <w:p w14:paraId="1A585E34" w14:textId="77777777" w:rsidR="00DF410E" w:rsidRDefault="00CE7F43">
      <w:r>
        <w:rPr>
          <w:rStyle w:val="soitChar"/>
        </w:rPr>
        <w:t>1.2.3     QF</w:t>
      </w:r>
    </w:p>
    <w:p w14:paraId="4B22AAE3" w14:textId="77777777" w:rsidR="00DF410E" w:rsidRDefault="00CE7F43">
      <w:r>
        <w:rPr>
          <w:b/>
          <w:i/>
        </w:rPr>
        <w:t>(Soit)</w:t>
      </w:r>
    </w:p>
    <w:p w14:paraId="0C029093" w14:textId="77777777" w:rsidR="00DF410E" w:rsidRDefault="00CE7F43">
      <w:r>
        <w:rPr>
          <w:rStyle w:val="soitChar"/>
        </w:rPr>
        <w:t>1.2.3     QP</w:t>
      </w:r>
    </w:p>
    <w:p w14:paraId="5970FD2A" w14:textId="77777777" w:rsidR="00DF410E" w:rsidRDefault="00CE7F43">
      <w:pPr>
        <w:pStyle w:val="pheading"/>
      </w:pPr>
      <w:r>
        <w:t>AIDE</w:t>
      </w:r>
    </w:p>
    <w:p w14:paraId="5EAD2313" w14:textId="77777777" w:rsidR="00DF410E" w:rsidRDefault="00CE7F43">
      <w:pPr>
        <w:jc w:val="both"/>
      </w:pPr>
      <w:r>
        <w:t>Le code suivant peut être utilisé pour la dénomination du poste :</w:t>
      </w:r>
    </w:p>
    <w:p w14:paraId="3327828B" w14:textId="77777777" w:rsidR="00DF410E" w:rsidRDefault="00CE7F43">
      <w:pPr>
        <w:jc w:val="both"/>
      </w:pPr>
      <w:r>
        <w:t>BLC 1 / 2 / 3 / 4 / 5</w:t>
      </w:r>
    </w:p>
    <w:p w14:paraId="0DC7E4E4" w14:textId="77777777" w:rsidR="00DF410E" w:rsidRDefault="00CE7F43">
      <w:pPr>
        <w:jc w:val="both"/>
      </w:pPr>
      <w:r>
        <w:t>Avec :</w:t>
      </w:r>
    </w:p>
    <w:p w14:paraId="48A4C2DD" w14:textId="77777777" w:rsidR="00DF410E" w:rsidRDefault="00CE7F43">
      <w:pPr>
        <w:jc w:val="both"/>
      </w:pPr>
      <w:r>
        <w:t>BLC pour bois lamellé collé</w:t>
      </w:r>
    </w:p>
    <w:p w14:paraId="73D46F6D" w14:textId="77777777" w:rsidR="00DF410E" w:rsidRDefault="00CE7F43">
      <w:pPr>
        <w:jc w:val="both"/>
      </w:pPr>
      <w:r>
        <w:t>1 : la classe de résistance des poutres et barres</w:t>
      </w:r>
    </w:p>
    <w:p w14:paraId="37C38BF4" w14:textId="77777777" w:rsidR="00DF410E" w:rsidRDefault="00CE7F43">
      <w:pPr>
        <w:jc w:val="both"/>
      </w:pPr>
      <w:r>
        <w:t>2 : la section – ici : variable</w:t>
      </w:r>
    </w:p>
    <w:p w14:paraId="63DCE415" w14:textId="77777777" w:rsidR="00DF410E" w:rsidRDefault="00CE7F43">
      <w:pPr>
        <w:jc w:val="both"/>
      </w:pPr>
      <w:r>
        <w:t>3 : l’essence de bois</w:t>
      </w:r>
    </w:p>
    <w:p w14:paraId="2C26EEAB" w14:textId="77777777" w:rsidR="00DF410E" w:rsidRDefault="00CE7F43">
      <w:pPr>
        <w:jc w:val="both"/>
      </w:pPr>
      <w:r>
        <w:t>4 : la classe d’emploi des poutres et barres</w:t>
      </w:r>
    </w:p>
    <w:p w14:paraId="6C9EE551" w14:textId="77777777" w:rsidR="00DF410E" w:rsidRDefault="00CE7F43">
      <w:pPr>
        <w:jc w:val="both"/>
      </w:pPr>
      <w:r>
        <w:t>5 : la méthode utilisée pour garantir la durabilité des poutres et barres</w:t>
      </w:r>
    </w:p>
    <w:p w14:paraId="26D05468" w14:textId="77777777" w:rsidR="00DF410E" w:rsidRDefault="00CE7F43">
      <w:pPr>
        <w:jc w:val="both"/>
      </w:pPr>
      <w:r>
        <w:t>Ce qui donne, par exemple :</w:t>
      </w:r>
    </w:p>
    <w:p w14:paraId="2142D68D" w14:textId="77777777" w:rsidR="00DF410E" w:rsidRDefault="00CE7F43">
      <w:pPr>
        <w:jc w:val="both"/>
      </w:pPr>
      <w:r>
        <w:t>BLC GL24c / variable / épicéa / 2 / A2.2</w:t>
      </w:r>
    </w:p>
    <w:p w14:paraId="1C2D9E9D" w14:textId="77777777" w:rsidR="00DF410E" w:rsidRDefault="00CE7F43">
      <w:pPr>
        <w:pStyle w:val="Author-eSectionHeading5"/>
      </w:pPr>
      <w:bookmarkStart w:id="1598" w:name="_Toc178838692"/>
      <w:r>
        <w:t>24.13.3 Poutres et barres en bois lamellé collé en bloc CCTB 01.07</w:t>
      </w:r>
      <w:bookmarkEnd w:id="1598"/>
    </w:p>
    <w:p w14:paraId="1D2ABA24" w14:textId="77777777" w:rsidR="00DF410E" w:rsidRDefault="00CE7F43">
      <w:pPr>
        <w:pStyle w:val="pheading"/>
      </w:pPr>
      <w:r>
        <w:t>DESCRIPTION</w:t>
      </w:r>
    </w:p>
    <w:p w14:paraId="0B33A709" w14:textId="77777777" w:rsidR="00DF410E" w:rsidRDefault="00CE7F43">
      <w:pPr>
        <w:pStyle w:val="pheading"/>
      </w:pPr>
      <w:r>
        <w:t>- Définition / Comprend</w:t>
      </w:r>
    </w:p>
    <w:p w14:paraId="579BC156" w14:textId="77777777" w:rsidR="00DF410E" w:rsidRDefault="00CE7F43">
      <w:r>
        <w:t xml:space="preserve">Il s’agit des poutres et barres en bois lamellé collé en bloc. La notion de bois lamellé collé bloc est expliquée au </w:t>
      </w:r>
      <w:hyperlink w:anchor="89" w:history="1">
        <w:r>
          <w:t>24 Superstructures en bois</w:t>
        </w:r>
      </w:hyperlink>
      <w:r>
        <w:t>.</w:t>
      </w:r>
    </w:p>
    <w:p w14:paraId="0D54DB82" w14:textId="77777777" w:rsidR="00DF410E" w:rsidRDefault="00CE7F43">
      <w:pPr>
        <w:pStyle w:val="Author-eSectionHeading6"/>
      </w:pPr>
      <w:bookmarkStart w:id="1599" w:name="_Toc178838693"/>
      <w:r>
        <w:t>24.13.3a Poutres et barres en bois lamellé collé en bloc à inertie constante CCTB 01.11</w:t>
      </w:r>
      <w:bookmarkEnd w:id="1599"/>
    </w:p>
    <w:p w14:paraId="0B75C6D9" w14:textId="77777777" w:rsidR="00DF410E" w:rsidRDefault="00CE7F43">
      <w:pPr>
        <w:pStyle w:val="pheading"/>
      </w:pPr>
      <w:r>
        <w:t>DESCRIPTION</w:t>
      </w:r>
    </w:p>
    <w:p w14:paraId="405A2449" w14:textId="77777777" w:rsidR="00DF410E" w:rsidRDefault="00CE7F43">
      <w:pPr>
        <w:pStyle w:val="pheading"/>
      </w:pPr>
      <w:r>
        <w:t>- Définition / Comprend</w:t>
      </w:r>
    </w:p>
    <w:p w14:paraId="5D2ED9DD" w14:textId="77777777" w:rsidR="00DF410E" w:rsidRDefault="00CE7F43">
      <w:r>
        <w:t>Il s'agit de l’ensemble des poutres et barres en bois lamellé collé en bloc à inertie constante.</w:t>
      </w:r>
    </w:p>
    <w:p w14:paraId="6968C8DA" w14:textId="77777777" w:rsidR="00DF410E" w:rsidRDefault="00CE7F43">
      <w:pPr>
        <w:pStyle w:val="pheading"/>
      </w:pPr>
      <w:r>
        <w:t>MATÉRIAUX</w:t>
      </w:r>
    </w:p>
    <w:p w14:paraId="73EE3DAA" w14:textId="77777777" w:rsidR="00DF410E" w:rsidRDefault="00CE7F43">
      <w:pPr>
        <w:pStyle w:val="pheading"/>
      </w:pPr>
      <w:r>
        <w:t>- Caractéristiques générales</w:t>
      </w:r>
    </w:p>
    <w:p w14:paraId="15C0A73C" w14:textId="77777777" w:rsidR="00DF410E" w:rsidRDefault="00CE7F43">
      <w:pPr>
        <w:jc w:val="both"/>
      </w:pPr>
      <w:r>
        <w:t xml:space="preserve">Classe de résistance : </w:t>
      </w:r>
      <w:r>
        <w:rPr>
          <w:rStyle w:val="optioncarChar"/>
        </w:rPr>
        <w:t>GL24h</w:t>
      </w:r>
      <w:r>
        <w:t xml:space="preserve"> (par défaut)</w:t>
      </w:r>
      <w:r>
        <w:rPr>
          <w:rStyle w:val="optioncarChar"/>
        </w:rPr>
        <w:t> / GL24c / GL28h / GL28c / ***</w:t>
      </w:r>
    </w:p>
    <w:p w14:paraId="1ADC61AC" w14:textId="77777777" w:rsidR="00DF410E" w:rsidRDefault="00CE7F43">
      <w:pPr>
        <w:jc w:val="both"/>
      </w:pPr>
      <w:r>
        <w:t xml:space="preserve">Dimensions de la section : </w:t>
      </w:r>
      <w:r>
        <w:rPr>
          <w:rStyle w:val="optioncarChar"/>
        </w:rPr>
        <w:t xml:space="preserve">Voir plans </w:t>
      </w:r>
      <w:r>
        <w:t xml:space="preserve">(par défaut) </w:t>
      </w:r>
      <w:r>
        <w:rPr>
          <w:rStyle w:val="optioncarChar"/>
        </w:rPr>
        <w:t>/ *** x *** mm²</w:t>
      </w:r>
    </w:p>
    <w:p w14:paraId="139BB1CB" w14:textId="77777777" w:rsidR="00DF410E" w:rsidRDefault="00CE7F43">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570075F6" w14:textId="77777777" w:rsidR="00DF410E" w:rsidRDefault="00CE7F43">
      <w:pPr>
        <w:jc w:val="both"/>
      </w:pPr>
      <w:r>
        <w:t xml:space="preserve">Classe d’emploi : </w:t>
      </w:r>
      <w:r>
        <w:rPr>
          <w:rStyle w:val="optioncarChar"/>
        </w:rPr>
        <w:t>1 / 2 / 3 / 4 / 5</w:t>
      </w:r>
    </w:p>
    <w:p w14:paraId="47BA4791" w14:textId="77777777" w:rsidR="00DF410E" w:rsidRDefault="00CE7F43">
      <w:pPr>
        <w:jc w:val="both"/>
      </w:pPr>
      <w:r>
        <w:t>Classe d’émission de formaldéhyde :</w:t>
      </w:r>
      <w:r>
        <w:rPr>
          <w:rStyle w:val="optioncarChar"/>
        </w:rPr>
        <w:t xml:space="preserve"> E1 </w:t>
      </w:r>
      <w:r>
        <w:t xml:space="preserve">(par défaut) </w:t>
      </w:r>
      <w:r>
        <w:rPr>
          <w:rStyle w:val="optioncarChar"/>
        </w:rPr>
        <w:t>/ E2</w:t>
      </w:r>
    </w:p>
    <w:p w14:paraId="5058606A" w14:textId="77777777" w:rsidR="00DF410E" w:rsidRDefault="00CE7F43">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69779B12" w14:textId="77777777" w:rsidR="00DF410E" w:rsidRDefault="00CE7F43">
      <w:pPr>
        <w:pStyle w:val="pheading"/>
      </w:pPr>
      <w:r>
        <w:t>- Finitions</w:t>
      </w:r>
    </w:p>
    <w:p w14:paraId="2C84F634" w14:textId="77777777" w:rsidR="00DF410E" w:rsidRDefault="00CE7F43">
      <w:pPr>
        <w:jc w:val="both"/>
      </w:pPr>
      <w:r>
        <w:t xml:space="preserve">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w:t>
      </w:r>
      <w:r>
        <w:t> faces.</w:t>
      </w:r>
    </w:p>
    <w:p w14:paraId="03E5FB9E" w14:textId="77777777" w:rsidR="00DF410E" w:rsidRDefault="00CE7F43">
      <w:pPr>
        <w:jc w:val="both"/>
      </w:pPr>
      <w:r>
        <w:t xml:space="preserve">Les arrêtes sont </w:t>
      </w:r>
      <w:r>
        <w:rPr>
          <w:rStyle w:val="optioncarChar"/>
        </w:rPr>
        <w:t xml:space="preserve">vives </w:t>
      </w:r>
      <w:r>
        <w:t xml:space="preserve">(par défaut) </w:t>
      </w:r>
      <w:r>
        <w:rPr>
          <w:rStyle w:val="optioncarChar"/>
        </w:rPr>
        <w:t>/ chanfreinées / ***</w:t>
      </w:r>
    </w:p>
    <w:p w14:paraId="28F27DE5" w14:textId="77777777" w:rsidR="00DF410E" w:rsidRDefault="00CE7F43">
      <w:pPr>
        <w:jc w:val="both"/>
      </w:pPr>
      <w:r>
        <w:t xml:space="preserve">Les poutres et barres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79D47515" w14:textId="77777777" w:rsidR="00DF410E" w:rsidRDefault="00CE7F43">
      <w:pPr>
        <w:pStyle w:val="pheading"/>
      </w:pPr>
      <w:r>
        <w:t>- Prescriptions complémentaires</w:t>
      </w:r>
    </w:p>
    <w:p w14:paraId="669C9DFD" w14:textId="77777777" w:rsidR="00DF410E" w:rsidRDefault="00CE7F43">
      <w:r>
        <w:rPr>
          <w:rStyle w:val="facultChar"/>
        </w:rPr>
        <w:t>La qualité esthétique des poutres et barres est</w:t>
      </w:r>
      <w:r>
        <w:t xml:space="preserve">  </w:t>
      </w:r>
      <w:r>
        <w:rPr>
          <w:rStyle w:val="optioncarChar"/>
        </w:rPr>
        <w:t>non-visible / visible industrielle / visible habitation</w:t>
      </w:r>
    </w:p>
    <w:p w14:paraId="2165DA63" w14:textId="77777777" w:rsidR="00DF410E" w:rsidRDefault="00CE7F43">
      <w:pPr>
        <w:pStyle w:val="pheading"/>
      </w:pPr>
      <w:r>
        <w:t>MESURAGE</w:t>
      </w:r>
    </w:p>
    <w:p w14:paraId="5B77DBE2" w14:textId="77777777" w:rsidR="00DF410E" w:rsidRDefault="00CE7F43">
      <w:pPr>
        <w:pStyle w:val="pheading"/>
      </w:pPr>
      <w:r>
        <w:t>- unité de mesure:</w:t>
      </w:r>
    </w:p>
    <w:p w14:paraId="203B57BA" w14:textId="77777777" w:rsidR="00DF410E" w:rsidRDefault="00CE7F43">
      <w:r>
        <w:rPr>
          <w:rStyle w:val="optioncarChar"/>
        </w:rPr>
        <w:t>m³ </w:t>
      </w:r>
      <w:r>
        <w:t>(par défaut)</w:t>
      </w:r>
      <w:r>
        <w:rPr>
          <w:rStyle w:val="optioncarChar"/>
        </w:rPr>
        <w:t> / m / pc</w:t>
      </w:r>
    </w:p>
    <w:p w14:paraId="1FA14042" w14:textId="77777777" w:rsidR="00DF410E" w:rsidRDefault="00CE7F43">
      <w:r>
        <w:rPr>
          <w:b/>
          <w:i/>
        </w:rPr>
        <w:t>(Soit par défaut)</w:t>
      </w:r>
    </w:p>
    <w:p w14:paraId="082AD49C" w14:textId="77777777" w:rsidR="00DF410E" w:rsidRDefault="00CE7F43">
      <w:r>
        <w:rPr>
          <w:rStyle w:val="soitChar"/>
        </w:rPr>
        <w:t>1.    m³ </w:t>
      </w:r>
    </w:p>
    <w:p w14:paraId="6E2B13B9" w14:textId="77777777" w:rsidR="00DF410E" w:rsidRDefault="00CE7F43">
      <w:r>
        <w:rPr>
          <w:b/>
          <w:i/>
        </w:rPr>
        <w:t>(Soit)</w:t>
      </w:r>
    </w:p>
    <w:p w14:paraId="05A0A31C" w14:textId="77777777" w:rsidR="00DF410E" w:rsidRDefault="00CE7F43">
      <w:r>
        <w:rPr>
          <w:rStyle w:val="soitChar"/>
        </w:rPr>
        <w:t>2.    m </w:t>
      </w:r>
    </w:p>
    <w:p w14:paraId="7E9E293B" w14:textId="77777777" w:rsidR="00DF410E" w:rsidRDefault="00CE7F43">
      <w:r>
        <w:rPr>
          <w:b/>
          <w:i/>
        </w:rPr>
        <w:t>(Soit)</w:t>
      </w:r>
    </w:p>
    <w:p w14:paraId="14A0C841" w14:textId="77777777" w:rsidR="00DF410E" w:rsidRDefault="00CE7F43">
      <w:r>
        <w:rPr>
          <w:rStyle w:val="soitChar"/>
        </w:rPr>
        <w:t>3.    pc</w:t>
      </w:r>
    </w:p>
    <w:p w14:paraId="772F16FD" w14:textId="77777777" w:rsidR="00DF410E" w:rsidRDefault="00CE7F43">
      <w:pPr>
        <w:pStyle w:val="pheading"/>
      </w:pPr>
      <w:r>
        <w:t>- code de mesurage:</w:t>
      </w:r>
    </w:p>
    <w:p w14:paraId="6491DCA6" w14:textId="77777777" w:rsidR="00DF410E" w:rsidRDefault="00CE7F43">
      <w:r>
        <w:rPr>
          <w:rStyle w:val="optioncarChar"/>
        </w:rPr>
        <w:t> Volume brut </w:t>
      </w:r>
      <w:r>
        <w:t>(par défaut) </w:t>
      </w:r>
      <w:r>
        <w:rPr>
          <w:rStyle w:val="optioncarChar"/>
        </w:rPr>
        <w:t>/ Longueur brute / Quantité nette</w:t>
      </w:r>
    </w:p>
    <w:p w14:paraId="4ACAA625" w14:textId="77777777" w:rsidR="00DF410E" w:rsidRDefault="00CE7F43">
      <w:r>
        <w:rPr>
          <w:b/>
          <w:i/>
        </w:rPr>
        <w:t>(Soit par défaut)</w:t>
      </w:r>
    </w:p>
    <w:p w14:paraId="5B54AB1D" w14:textId="77777777" w:rsidR="00DF410E" w:rsidRDefault="00CE7F43">
      <w:r>
        <w:rPr>
          <w:rStyle w:val="soitChar"/>
        </w:rPr>
        <w:t xml:space="preserve">1.  </w:t>
      </w:r>
      <w:r>
        <w:rPr>
          <w:rStyle w:val="soitChar"/>
          <w:u w:val="single"/>
        </w:rPr>
        <w:t>  Volume brut :</w:t>
      </w:r>
      <w:r>
        <w:br/>
      </w:r>
      <w:r>
        <w:rPr>
          <w:rStyle w:val="soitChar"/>
        </w:rPr>
        <w:t>Le volume brut d’une poutre/barre est calculé suivant le volume du plus petit parallélépipède rectangle pouvant inclure l’élément.</w:t>
      </w:r>
    </w:p>
    <w:p w14:paraId="5A3550EC" w14:textId="77777777" w:rsidR="00DF410E" w:rsidRDefault="00CE7F43">
      <w:r>
        <w:rPr>
          <w:b/>
          <w:i/>
        </w:rPr>
        <w:t> (Soit)</w:t>
      </w:r>
    </w:p>
    <w:p w14:paraId="4A6E6253" w14:textId="77777777" w:rsidR="00DF410E" w:rsidRDefault="00CE7F43">
      <w:r>
        <w:rPr>
          <w:rStyle w:val="soitChar"/>
        </w:rPr>
        <w:t>2.   </w:t>
      </w:r>
      <w:r>
        <w:rPr>
          <w:rStyle w:val="soitChar"/>
          <w:u w:val="single"/>
        </w:rPr>
        <w:t> 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07BED5E9" w14:textId="77777777" w:rsidR="00DF410E" w:rsidRDefault="00CE7F43">
      <w:r>
        <w:rPr>
          <w:b/>
          <w:i/>
        </w:rPr>
        <w:t> (Soit)</w:t>
      </w:r>
    </w:p>
    <w:p w14:paraId="3F20F142" w14:textId="77777777" w:rsidR="00DF410E" w:rsidRDefault="00CE7F43">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14:paraId="6DD451DB" w14:textId="77777777" w:rsidR="00DF410E" w:rsidRDefault="00CE7F43">
      <w:pPr>
        <w:pStyle w:val="pheading"/>
      </w:pPr>
      <w:r>
        <w:t>- nature du marché:</w:t>
      </w:r>
    </w:p>
    <w:p w14:paraId="05553972" w14:textId="77777777" w:rsidR="00DF410E" w:rsidRDefault="00CE7F43">
      <w:r>
        <w:rPr>
          <w:rStyle w:val="optioncarChar"/>
        </w:rPr>
        <w:t>QF </w:t>
      </w:r>
      <w:r>
        <w:t>(par défaut) </w:t>
      </w:r>
      <w:r>
        <w:rPr>
          <w:rStyle w:val="optioncarChar"/>
        </w:rPr>
        <w:t>/ QP</w:t>
      </w:r>
    </w:p>
    <w:p w14:paraId="318979B2" w14:textId="77777777" w:rsidR="00DF410E" w:rsidRDefault="00CE7F43">
      <w:r>
        <w:rPr>
          <w:b/>
          <w:i/>
        </w:rPr>
        <w:t>(Soit par défaut)</w:t>
      </w:r>
    </w:p>
    <w:p w14:paraId="020E6CBF" w14:textId="77777777" w:rsidR="00DF410E" w:rsidRDefault="00CE7F43">
      <w:r>
        <w:rPr>
          <w:rStyle w:val="soitChar"/>
        </w:rPr>
        <w:t>1.2.3     QF</w:t>
      </w:r>
    </w:p>
    <w:p w14:paraId="7E6E8F02" w14:textId="77777777" w:rsidR="00DF410E" w:rsidRDefault="00CE7F43">
      <w:r>
        <w:rPr>
          <w:b/>
          <w:i/>
        </w:rPr>
        <w:t>(Soit)</w:t>
      </w:r>
    </w:p>
    <w:p w14:paraId="727145B3" w14:textId="77777777" w:rsidR="00DF410E" w:rsidRDefault="00CE7F43">
      <w:r>
        <w:rPr>
          <w:rStyle w:val="soitChar"/>
        </w:rPr>
        <w:t>1.2.3     QP</w:t>
      </w:r>
    </w:p>
    <w:p w14:paraId="7E8BCC40" w14:textId="77777777" w:rsidR="00DF410E" w:rsidRDefault="00CE7F43">
      <w:pPr>
        <w:pStyle w:val="pheading"/>
      </w:pPr>
      <w:r>
        <w:t>AIDE</w:t>
      </w:r>
    </w:p>
    <w:p w14:paraId="5427A690" w14:textId="77777777" w:rsidR="00DF410E" w:rsidRDefault="00CE7F43">
      <w:pPr>
        <w:jc w:val="both"/>
      </w:pPr>
      <w:r>
        <w:t>Le code suivant peut être utilisé pour la dénomination du poste :</w:t>
      </w:r>
    </w:p>
    <w:p w14:paraId="102DD122" w14:textId="77777777" w:rsidR="00DF410E" w:rsidRDefault="00CE7F43">
      <w:pPr>
        <w:jc w:val="both"/>
      </w:pPr>
      <w:r>
        <w:t>BLCb 1 / 2 / 3 / 4 / 5</w:t>
      </w:r>
    </w:p>
    <w:p w14:paraId="48BCD1A1" w14:textId="77777777" w:rsidR="00DF410E" w:rsidRDefault="00CE7F43">
      <w:pPr>
        <w:jc w:val="both"/>
      </w:pPr>
      <w:r>
        <w:t>Avec :</w:t>
      </w:r>
    </w:p>
    <w:p w14:paraId="0EC2E3E2" w14:textId="77777777" w:rsidR="00DF410E" w:rsidRDefault="00CE7F43">
      <w:pPr>
        <w:jc w:val="both"/>
      </w:pPr>
      <w:r>
        <w:t>BLCb pour bois lamellé collé en bloc</w:t>
      </w:r>
    </w:p>
    <w:p w14:paraId="65AD1922" w14:textId="77777777" w:rsidR="00DF410E" w:rsidRDefault="00CE7F43">
      <w:pPr>
        <w:jc w:val="both"/>
      </w:pPr>
      <w:r>
        <w:t>1 : la classe de résistance des poutres et barres</w:t>
      </w:r>
    </w:p>
    <w:p w14:paraId="3CAA2ADB" w14:textId="77777777" w:rsidR="00DF410E" w:rsidRDefault="00CE7F43">
      <w:pPr>
        <w:jc w:val="both"/>
      </w:pPr>
      <w:r>
        <w:t>2 : la section</w:t>
      </w:r>
    </w:p>
    <w:p w14:paraId="673AF6E9" w14:textId="77777777" w:rsidR="00DF410E" w:rsidRDefault="00CE7F43">
      <w:pPr>
        <w:jc w:val="both"/>
      </w:pPr>
      <w:r>
        <w:t>3 : l’essence de bois</w:t>
      </w:r>
    </w:p>
    <w:p w14:paraId="5C1F434D" w14:textId="77777777" w:rsidR="00DF410E" w:rsidRDefault="00CE7F43">
      <w:pPr>
        <w:jc w:val="both"/>
      </w:pPr>
      <w:r>
        <w:t>4 : la classe d’emploi des poutres et barres</w:t>
      </w:r>
    </w:p>
    <w:p w14:paraId="3665C813" w14:textId="77777777" w:rsidR="00DF410E" w:rsidRDefault="00CE7F43">
      <w:pPr>
        <w:jc w:val="both"/>
      </w:pPr>
      <w:r>
        <w:t>5 : la méthode utilisée pour garantir la durabilité des poutres et barres</w:t>
      </w:r>
    </w:p>
    <w:p w14:paraId="79B95857" w14:textId="77777777" w:rsidR="00DF410E" w:rsidRDefault="00CE7F43">
      <w:pPr>
        <w:jc w:val="both"/>
      </w:pPr>
      <w:r>
        <w:t> </w:t>
      </w:r>
    </w:p>
    <w:p w14:paraId="567F00D5" w14:textId="77777777" w:rsidR="00DF410E" w:rsidRDefault="00CE7F43">
      <w:pPr>
        <w:jc w:val="both"/>
      </w:pPr>
      <w:r>
        <w:t>Ce qui donne, par exemple :</w:t>
      </w:r>
    </w:p>
    <w:p w14:paraId="614FD5B3" w14:textId="77777777" w:rsidR="00DF410E" w:rsidRDefault="00CE7F43">
      <w:pPr>
        <w:jc w:val="both"/>
      </w:pPr>
      <w:r>
        <w:t>BLCb GL24c / 120x200 / épicéa / 2 / A2.2</w:t>
      </w:r>
    </w:p>
    <w:p w14:paraId="4EC62A90" w14:textId="77777777" w:rsidR="00DF410E" w:rsidRDefault="00CE7F43">
      <w:pPr>
        <w:pStyle w:val="Author-eSectionHeading6"/>
      </w:pPr>
      <w:bookmarkStart w:id="1600" w:name="_Toc178838694"/>
      <w:r>
        <w:t>24.13.3b Poutres et barres en bois lamellé collé en bloc à inertie variable CCTB 01.11</w:t>
      </w:r>
      <w:bookmarkEnd w:id="1600"/>
    </w:p>
    <w:p w14:paraId="235BBDCA" w14:textId="77777777" w:rsidR="00DF410E" w:rsidRDefault="00CE7F43">
      <w:pPr>
        <w:pStyle w:val="pheading"/>
      </w:pPr>
      <w:r>
        <w:t>DESCRIPTION</w:t>
      </w:r>
    </w:p>
    <w:p w14:paraId="118CC24E" w14:textId="77777777" w:rsidR="00DF410E" w:rsidRDefault="00CE7F43">
      <w:pPr>
        <w:pStyle w:val="pheading"/>
      </w:pPr>
      <w:r>
        <w:t>- Définition / Comprend</w:t>
      </w:r>
    </w:p>
    <w:p w14:paraId="6006EE98" w14:textId="77777777" w:rsidR="00DF410E" w:rsidRDefault="00CE7F43">
      <w:r>
        <w:t>Il s'agit de l’ensemble des poutres et barres en bois lamellé collé en bloc et à inertie variable.</w:t>
      </w:r>
    </w:p>
    <w:p w14:paraId="04FC2945" w14:textId="77777777" w:rsidR="00DF410E" w:rsidRDefault="00CE7F43">
      <w:pPr>
        <w:pStyle w:val="pheading"/>
      </w:pPr>
      <w:r>
        <w:t>MATÉRIAUX</w:t>
      </w:r>
    </w:p>
    <w:p w14:paraId="58C7ECB2" w14:textId="77777777" w:rsidR="00DF410E" w:rsidRDefault="00CE7F43">
      <w:pPr>
        <w:pStyle w:val="pheading"/>
      </w:pPr>
      <w:r>
        <w:t>- Caractéristiques générales</w:t>
      </w:r>
    </w:p>
    <w:p w14:paraId="08D03E16" w14:textId="77777777" w:rsidR="00DF410E" w:rsidRDefault="00CE7F43">
      <w:pPr>
        <w:jc w:val="both"/>
      </w:pPr>
      <w:r>
        <w:t>Classe de résistance :</w:t>
      </w:r>
      <w:r>
        <w:rPr>
          <w:rStyle w:val="optioncarChar"/>
        </w:rPr>
        <w:t xml:space="preserve"> GL24h </w:t>
      </w:r>
      <w:r>
        <w:t>(par défaut)</w:t>
      </w:r>
      <w:r>
        <w:rPr>
          <w:rStyle w:val="optioncarChar"/>
        </w:rPr>
        <w:t xml:space="preserve"> / GL24c / GL28h / GL28c / ***</w:t>
      </w:r>
    </w:p>
    <w:p w14:paraId="37EA882B" w14:textId="77777777" w:rsidR="00DF410E" w:rsidRDefault="00CE7F43">
      <w:pPr>
        <w:jc w:val="both"/>
      </w:pPr>
      <w:r>
        <w:t>La géométrie des poutres et barres est décrite dans les plans.</w:t>
      </w:r>
    </w:p>
    <w:p w14:paraId="3B76999C" w14:textId="77777777" w:rsidR="00DF410E" w:rsidRDefault="00CE7F43">
      <w:pPr>
        <w:jc w:val="both"/>
      </w:pPr>
      <w:r>
        <w:t xml:space="preserve">Essence : </w:t>
      </w:r>
      <w:r>
        <w:rPr>
          <w:rStyle w:val="optioncarChar"/>
        </w:rPr>
        <w:t>Résineuse</w:t>
      </w:r>
      <w:r>
        <w:t xml:space="preserve"> (par défaut)</w:t>
      </w:r>
      <w:r>
        <w:rPr>
          <w:rStyle w:val="optioncarChar"/>
        </w:rPr>
        <w:t xml:space="preserve"> / feuillue / épicéa / douglas / chêne / hêtre / ***</w:t>
      </w:r>
    </w:p>
    <w:p w14:paraId="4FEFD428" w14:textId="77777777" w:rsidR="00DF410E" w:rsidRDefault="00CE7F43">
      <w:pPr>
        <w:jc w:val="both"/>
      </w:pPr>
      <w:r>
        <w:t xml:space="preserve">Classe d’emploi : </w:t>
      </w:r>
      <w:r>
        <w:rPr>
          <w:rStyle w:val="optioncarChar"/>
        </w:rPr>
        <w:t>1 / 2 / 3 / 4 / 5</w:t>
      </w:r>
    </w:p>
    <w:p w14:paraId="3EAADE3E" w14:textId="77777777" w:rsidR="00DF410E" w:rsidRDefault="00CE7F43">
      <w:pPr>
        <w:jc w:val="both"/>
      </w:pPr>
      <w:r>
        <w:t>Classe d’émission de formaldéhyde :</w:t>
      </w:r>
      <w:r>
        <w:rPr>
          <w:rStyle w:val="optioncarChar"/>
        </w:rPr>
        <w:t xml:space="preserve"> E1 </w:t>
      </w:r>
      <w:r>
        <w:t xml:space="preserve">(par défaut) </w:t>
      </w:r>
      <w:r>
        <w:rPr>
          <w:rStyle w:val="optioncarChar"/>
        </w:rPr>
        <w:t>/ E2</w:t>
      </w:r>
    </w:p>
    <w:p w14:paraId="3C1CD6F3" w14:textId="77777777" w:rsidR="00DF410E" w:rsidRDefault="00CE7F43">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396F0DBB" w14:textId="77777777" w:rsidR="00DF410E" w:rsidRDefault="00CE7F43">
      <w:pPr>
        <w:pStyle w:val="pheading"/>
      </w:pPr>
      <w:r>
        <w:t>- Finitions</w:t>
      </w:r>
    </w:p>
    <w:p w14:paraId="746E9686" w14:textId="77777777" w:rsidR="00DF410E" w:rsidRDefault="00CE7F43">
      <w:pPr>
        <w:jc w:val="both"/>
      </w:pPr>
      <w:r>
        <w:t xml:space="preserve">Les poutres et barres en bois lamellé collé en bloc sont </w:t>
      </w:r>
      <w:r>
        <w:rPr>
          <w:rStyle w:val="optioncarChar"/>
        </w:rPr>
        <w:t>rabotées</w:t>
      </w:r>
      <w:r>
        <w:t xml:space="preserve"> (par défaut) </w:t>
      </w:r>
      <w:r>
        <w:rPr>
          <w:rStyle w:val="optioncarChar"/>
        </w:rPr>
        <w:t>/ brutes de sciage /  poncées / *** </w:t>
      </w:r>
      <w:r>
        <w:t>sur </w:t>
      </w:r>
      <w:r>
        <w:rPr>
          <w:rStyle w:val="optioncarChar"/>
        </w:rPr>
        <w:t>1 / 2 / 3 / 4 </w:t>
      </w:r>
      <w:r>
        <w:t>faces.</w:t>
      </w:r>
    </w:p>
    <w:p w14:paraId="5191797B" w14:textId="77777777" w:rsidR="00DF410E" w:rsidRDefault="00CE7F43">
      <w:pPr>
        <w:jc w:val="both"/>
      </w:pPr>
      <w:r>
        <w:t>Les arrêtes sont</w:t>
      </w:r>
      <w:r>
        <w:rPr>
          <w:rStyle w:val="optioncarChar"/>
        </w:rPr>
        <w:t xml:space="preserve"> vives </w:t>
      </w:r>
      <w:r>
        <w:t xml:space="preserve">(par défaut) </w:t>
      </w:r>
      <w:r>
        <w:rPr>
          <w:rStyle w:val="optioncarChar"/>
        </w:rPr>
        <w:t>/ chanfreinées / ***</w:t>
      </w:r>
    </w:p>
    <w:p w14:paraId="54EE459D" w14:textId="77777777" w:rsidR="00DF410E" w:rsidRDefault="00CE7F43">
      <w:pPr>
        <w:jc w:val="both"/>
      </w:pPr>
      <w:r>
        <w:t xml:space="preserve">Les poutres et barres en bois lamellé collé en bloc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53F18162" w14:textId="77777777" w:rsidR="00DF410E" w:rsidRDefault="00CE7F43">
      <w:pPr>
        <w:pStyle w:val="pheading"/>
      </w:pPr>
      <w:r>
        <w:t>- Prescriptions complémentaires</w:t>
      </w:r>
    </w:p>
    <w:p w14:paraId="72FD7546" w14:textId="77777777" w:rsidR="00DF410E" w:rsidRDefault="00CE7F43">
      <w:r>
        <w:rPr>
          <w:rStyle w:val="facultChar"/>
        </w:rPr>
        <w:t>La qualité esthétique des poutres et barres est</w:t>
      </w:r>
      <w:r>
        <w:t>  </w:t>
      </w:r>
      <w:r>
        <w:rPr>
          <w:rStyle w:val="optioncarChar"/>
        </w:rPr>
        <w:t>non-visible / visible industrielle / visible habitation</w:t>
      </w:r>
    </w:p>
    <w:p w14:paraId="0088F51F" w14:textId="77777777" w:rsidR="00DF410E" w:rsidRDefault="00CE7F43">
      <w:pPr>
        <w:pStyle w:val="pheading"/>
      </w:pPr>
      <w:r>
        <w:t>MESURAGE</w:t>
      </w:r>
    </w:p>
    <w:p w14:paraId="21304EF3" w14:textId="77777777" w:rsidR="00DF410E" w:rsidRDefault="00CE7F43">
      <w:pPr>
        <w:pStyle w:val="pheading"/>
      </w:pPr>
      <w:r>
        <w:t>- unité de mesure:</w:t>
      </w:r>
    </w:p>
    <w:p w14:paraId="55518BF5" w14:textId="77777777" w:rsidR="00DF410E" w:rsidRDefault="00CE7F43">
      <w:r>
        <w:rPr>
          <w:rStyle w:val="optioncarChar"/>
        </w:rPr>
        <w:t>m³ </w:t>
      </w:r>
      <w:r>
        <w:t>(par défaut)</w:t>
      </w:r>
      <w:r>
        <w:rPr>
          <w:rStyle w:val="optioncarChar"/>
        </w:rPr>
        <w:t> / m / pc</w:t>
      </w:r>
    </w:p>
    <w:p w14:paraId="34730684" w14:textId="77777777" w:rsidR="00DF410E" w:rsidRDefault="00CE7F43">
      <w:r>
        <w:rPr>
          <w:b/>
          <w:i/>
        </w:rPr>
        <w:t>(Soit par défaut)</w:t>
      </w:r>
    </w:p>
    <w:p w14:paraId="3BCDC348" w14:textId="77777777" w:rsidR="00DF410E" w:rsidRDefault="00CE7F43">
      <w:r>
        <w:rPr>
          <w:rStyle w:val="soitChar"/>
        </w:rPr>
        <w:t>1.    m³ </w:t>
      </w:r>
    </w:p>
    <w:p w14:paraId="5FC96604" w14:textId="77777777" w:rsidR="00DF410E" w:rsidRDefault="00CE7F43">
      <w:r>
        <w:rPr>
          <w:b/>
          <w:i/>
        </w:rPr>
        <w:t>(Soit)</w:t>
      </w:r>
    </w:p>
    <w:p w14:paraId="4C5B7E85" w14:textId="77777777" w:rsidR="00DF410E" w:rsidRDefault="00CE7F43">
      <w:r>
        <w:rPr>
          <w:rStyle w:val="soitChar"/>
        </w:rPr>
        <w:t>2.    m </w:t>
      </w:r>
    </w:p>
    <w:p w14:paraId="6D1190B3" w14:textId="77777777" w:rsidR="00DF410E" w:rsidRDefault="00CE7F43">
      <w:r>
        <w:rPr>
          <w:b/>
          <w:i/>
        </w:rPr>
        <w:t>(Soit)</w:t>
      </w:r>
    </w:p>
    <w:p w14:paraId="55E921CE" w14:textId="77777777" w:rsidR="00DF410E" w:rsidRDefault="00CE7F43">
      <w:r>
        <w:rPr>
          <w:rStyle w:val="soitChar"/>
        </w:rPr>
        <w:t>3.    pc</w:t>
      </w:r>
    </w:p>
    <w:p w14:paraId="6BC2C28F" w14:textId="77777777" w:rsidR="00DF410E" w:rsidRDefault="00CE7F43">
      <w:pPr>
        <w:pStyle w:val="pheading"/>
      </w:pPr>
      <w:r>
        <w:t>- code de mesurage:</w:t>
      </w:r>
    </w:p>
    <w:p w14:paraId="29AEE947" w14:textId="77777777" w:rsidR="00DF410E" w:rsidRDefault="00CE7F43">
      <w:pPr>
        <w:jc w:val="both"/>
      </w:pPr>
      <w:r>
        <w:rPr>
          <w:rStyle w:val="optioncarChar"/>
        </w:rPr>
        <w:t> Volume brut </w:t>
      </w:r>
      <w:r>
        <w:t>(par défaut) </w:t>
      </w:r>
      <w:r>
        <w:rPr>
          <w:rStyle w:val="optioncarChar"/>
        </w:rPr>
        <w:t>/ Longueur brute / Quantité nette</w:t>
      </w:r>
    </w:p>
    <w:p w14:paraId="3638100D" w14:textId="77777777" w:rsidR="00DF410E" w:rsidRDefault="00CE7F43">
      <w:pPr>
        <w:jc w:val="both"/>
      </w:pPr>
      <w:r>
        <w:rPr>
          <w:b/>
          <w:i/>
        </w:rPr>
        <w:t>(Soit par défaut)</w:t>
      </w:r>
    </w:p>
    <w:p w14:paraId="1FCC9299" w14:textId="77777777" w:rsidR="00DF410E" w:rsidRDefault="00CE7F43">
      <w:pPr>
        <w:jc w:val="both"/>
      </w:pPr>
      <w:r>
        <w:rPr>
          <w:rStyle w:val="soitChar"/>
        </w:rPr>
        <w:t>1.    </w:t>
      </w:r>
      <w:r>
        <w:rPr>
          <w:rStyle w:val="soitChar"/>
          <w:u w:val="single"/>
        </w:rPr>
        <w:t>Volume brut :</w:t>
      </w:r>
    </w:p>
    <w:p w14:paraId="0620C330" w14:textId="77777777" w:rsidR="00DF410E" w:rsidRDefault="00CE7F43">
      <w:pPr>
        <w:jc w:val="both"/>
      </w:pPr>
      <w:r>
        <w:rPr>
          <w:rStyle w:val="soitChar"/>
        </w:rPr>
        <w:t>Le volume brut d’une poutre/barre est calculé suivant le volume du plus petit parallélépipède rectangle pouvant inclure l’élément.</w:t>
      </w:r>
    </w:p>
    <w:p w14:paraId="31ECC67B" w14:textId="77777777" w:rsidR="00DF410E" w:rsidRDefault="00CE7F43">
      <w:pPr>
        <w:jc w:val="both"/>
      </w:pPr>
      <w:r>
        <w:rPr>
          <w:b/>
          <w:i/>
        </w:rPr>
        <w:t> (Soit)</w:t>
      </w:r>
    </w:p>
    <w:p w14:paraId="63871F71" w14:textId="77777777" w:rsidR="00DF410E" w:rsidRDefault="00CE7F43">
      <w:pPr>
        <w:jc w:val="both"/>
      </w:pPr>
      <w:r>
        <w:rPr>
          <w:rStyle w:val="soitChar"/>
        </w:rPr>
        <w:t>2.    </w:t>
      </w:r>
      <w:r>
        <w:rPr>
          <w:rStyle w:val="soitChar"/>
          <w:u w:val="single"/>
        </w:rPr>
        <w:t>Longueur brute :</w:t>
      </w:r>
    </w:p>
    <w:p w14:paraId="51CE2C2F" w14:textId="77777777" w:rsidR="00DF410E" w:rsidRDefault="00CE7F43">
      <w:pPr>
        <w:jc w:val="both"/>
      </w:pPr>
      <w:r>
        <w:rPr>
          <w:rStyle w:val="soitChar"/>
        </w:rPr>
        <w:t>La longueur brute d’un élément est la cote maximale dans la direction longitudinale de la développée de l'élément, longueur de bois utile pour l’assemblage comprise. </w:t>
      </w:r>
    </w:p>
    <w:p w14:paraId="6D81E3C2" w14:textId="77777777" w:rsidR="00DF410E" w:rsidRDefault="00CE7F43">
      <w:pPr>
        <w:jc w:val="both"/>
      </w:pPr>
      <w:r>
        <w:rPr>
          <w:rStyle w:val="soitChar"/>
        </w:rPr>
        <w:t>La longueur totale des poutres et barres ayant la même section et les mêmes caractéristiques est comptabilisée.</w:t>
      </w:r>
    </w:p>
    <w:p w14:paraId="2B0B7DC4" w14:textId="77777777" w:rsidR="00DF410E" w:rsidRDefault="00CE7F43">
      <w:pPr>
        <w:jc w:val="both"/>
      </w:pPr>
      <w:r>
        <w:rPr>
          <w:b/>
          <w:i/>
        </w:rPr>
        <w:t> (Soit)</w:t>
      </w:r>
    </w:p>
    <w:p w14:paraId="72E49E71" w14:textId="77777777" w:rsidR="00DF410E" w:rsidRDefault="00CE7F43">
      <w:pPr>
        <w:jc w:val="both"/>
      </w:pPr>
      <w:r>
        <w:rPr>
          <w:rStyle w:val="soitChar"/>
        </w:rPr>
        <w:t>3.   </w:t>
      </w:r>
      <w:r>
        <w:rPr>
          <w:rStyle w:val="soitChar"/>
          <w:u w:val="single"/>
        </w:rPr>
        <w:t> Quantité nette :</w:t>
      </w:r>
    </w:p>
    <w:p w14:paraId="479F57E0" w14:textId="77777777" w:rsidR="00DF410E" w:rsidRDefault="00CE7F43">
      <w:pPr>
        <w:jc w:val="both"/>
      </w:pPr>
      <w:r>
        <w:rPr>
          <w:rStyle w:val="soitChar"/>
        </w:rPr>
        <w:t>Le nombre de poutres et barres ayant les mêmes dimensions et les mêmes caractéristiques est compatibilisé.</w:t>
      </w:r>
    </w:p>
    <w:p w14:paraId="46FB0BE9" w14:textId="77777777" w:rsidR="00DF410E" w:rsidRDefault="00CE7F43">
      <w:pPr>
        <w:pStyle w:val="pheading"/>
      </w:pPr>
      <w:r>
        <w:t>- nature du marché:</w:t>
      </w:r>
    </w:p>
    <w:p w14:paraId="2804B3D3" w14:textId="77777777" w:rsidR="00DF410E" w:rsidRDefault="00CE7F43">
      <w:r>
        <w:rPr>
          <w:rStyle w:val="optioncarChar"/>
        </w:rPr>
        <w:t>QF</w:t>
      </w:r>
      <w:r>
        <w:t> (par défaut) </w:t>
      </w:r>
      <w:r>
        <w:rPr>
          <w:rStyle w:val="optioncarChar"/>
        </w:rPr>
        <w:t>/ QP</w:t>
      </w:r>
    </w:p>
    <w:p w14:paraId="577378BF" w14:textId="77777777" w:rsidR="00DF410E" w:rsidRDefault="00CE7F43">
      <w:r>
        <w:rPr>
          <w:b/>
          <w:i/>
        </w:rPr>
        <w:t>(Soit par défaut)</w:t>
      </w:r>
    </w:p>
    <w:p w14:paraId="03EC2217" w14:textId="77777777" w:rsidR="00DF410E" w:rsidRDefault="00CE7F43">
      <w:r>
        <w:rPr>
          <w:rStyle w:val="soitChar"/>
        </w:rPr>
        <w:t>1.2.3     QF</w:t>
      </w:r>
    </w:p>
    <w:p w14:paraId="14E472A6" w14:textId="77777777" w:rsidR="00DF410E" w:rsidRDefault="00CE7F43">
      <w:r>
        <w:rPr>
          <w:b/>
          <w:i/>
        </w:rPr>
        <w:t>(Soit)</w:t>
      </w:r>
    </w:p>
    <w:p w14:paraId="1B0EF6D1" w14:textId="77777777" w:rsidR="00DF410E" w:rsidRDefault="00CE7F43">
      <w:r>
        <w:rPr>
          <w:rStyle w:val="soitChar"/>
        </w:rPr>
        <w:t>1.2.3     QP</w:t>
      </w:r>
    </w:p>
    <w:p w14:paraId="281F5F5B" w14:textId="77777777" w:rsidR="00DF410E" w:rsidRDefault="00CE7F43">
      <w:pPr>
        <w:pStyle w:val="pheading"/>
      </w:pPr>
      <w:r>
        <w:t>AIDE</w:t>
      </w:r>
    </w:p>
    <w:p w14:paraId="5699FF13" w14:textId="77777777" w:rsidR="00DF410E" w:rsidRDefault="00CE7F43">
      <w:pPr>
        <w:jc w:val="both"/>
      </w:pPr>
      <w:r>
        <w:t>Le code suivant peut être utilisé pour la dénomination du poste :</w:t>
      </w:r>
    </w:p>
    <w:p w14:paraId="6CDB4DA6" w14:textId="77777777" w:rsidR="00DF410E" w:rsidRDefault="00CE7F43">
      <w:pPr>
        <w:jc w:val="both"/>
      </w:pPr>
      <w:r>
        <w:t>BLCb 1 / 2 / 3 / 4 / 5</w:t>
      </w:r>
    </w:p>
    <w:p w14:paraId="343EB9AA" w14:textId="77777777" w:rsidR="00DF410E" w:rsidRDefault="00CE7F43">
      <w:pPr>
        <w:jc w:val="both"/>
      </w:pPr>
      <w:r>
        <w:t>Avec :</w:t>
      </w:r>
    </w:p>
    <w:p w14:paraId="65657903" w14:textId="77777777" w:rsidR="00DF410E" w:rsidRDefault="00CE7F43">
      <w:pPr>
        <w:jc w:val="both"/>
      </w:pPr>
      <w:r>
        <w:t>BLCb pour bois lamellé collé en bloc</w:t>
      </w:r>
    </w:p>
    <w:p w14:paraId="00E04228" w14:textId="77777777" w:rsidR="00DF410E" w:rsidRDefault="00CE7F43">
      <w:pPr>
        <w:jc w:val="both"/>
      </w:pPr>
      <w:r>
        <w:t>1 : la classe de résistance des poutres et barres</w:t>
      </w:r>
    </w:p>
    <w:p w14:paraId="3656B8BF" w14:textId="77777777" w:rsidR="00DF410E" w:rsidRDefault="00CE7F43">
      <w:pPr>
        <w:jc w:val="both"/>
      </w:pPr>
      <w:r>
        <w:t>2 : la section – ici : variable, voir plan</w:t>
      </w:r>
    </w:p>
    <w:p w14:paraId="37FA446A" w14:textId="77777777" w:rsidR="00DF410E" w:rsidRDefault="00CE7F43">
      <w:pPr>
        <w:jc w:val="both"/>
      </w:pPr>
      <w:r>
        <w:t>3 : l’essence de bois</w:t>
      </w:r>
    </w:p>
    <w:p w14:paraId="171F7153" w14:textId="77777777" w:rsidR="00DF410E" w:rsidRDefault="00CE7F43">
      <w:pPr>
        <w:jc w:val="both"/>
      </w:pPr>
      <w:r>
        <w:t>4 : la classe d’emploi des poutres et barres</w:t>
      </w:r>
    </w:p>
    <w:p w14:paraId="2C4B3653" w14:textId="77777777" w:rsidR="00DF410E" w:rsidRDefault="00CE7F43">
      <w:pPr>
        <w:jc w:val="both"/>
      </w:pPr>
      <w:r>
        <w:t>5 : la méthode utilisée pour garantir la durabilité des poutres et barres</w:t>
      </w:r>
    </w:p>
    <w:p w14:paraId="5C6FD854" w14:textId="77777777" w:rsidR="00DF410E" w:rsidRDefault="00CE7F43">
      <w:pPr>
        <w:jc w:val="both"/>
      </w:pPr>
      <w:r>
        <w:t> </w:t>
      </w:r>
    </w:p>
    <w:p w14:paraId="49CB07F9" w14:textId="77777777" w:rsidR="00DF410E" w:rsidRDefault="00CE7F43">
      <w:pPr>
        <w:jc w:val="both"/>
      </w:pPr>
      <w:r>
        <w:t>Ce qui donne, par exemple :</w:t>
      </w:r>
    </w:p>
    <w:p w14:paraId="0CFDC629" w14:textId="77777777" w:rsidR="00DF410E" w:rsidRDefault="00CE7F43">
      <w:pPr>
        <w:jc w:val="both"/>
      </w:pPr>
      <w:r>
        <w:t>BLC GL24c / variable, voir plan / épicéa / 2 / A2.2</w:t>
      </w:r>
    </w:p>
    <w:p w14:paraId="7EA7B92E" w14:textId="77777777" w:rsidR="00DF410E" w:rsidRDefault="00CE7F43">
      <w:pPr>
        <w:pStyle w:val="Author-eSectionHeading5"/>
      </w:pPr>
      <w:bookmarkStart w:id="1601" w:name="_Toc178838695"/>
      <w:r>
        <w:t>24.13.4 Poutres et barres en CLT CCTB 01.07</w:t>
      </w:r>
      <w:bookmarkEnd w:id="1601"/>
    </w:p>
    <w:p w14:paraId="037812F3" w14:textId="77777777" w:rsidR="00DF410E" w:rsidRDefault="00CE7F43">
      <w:pPr>
        <w:pStyle w:val="pheading"/>
      </w:pPr>
      <w:r>
        <w:t>DESCRIPTION</w:t>
      </w:r>
    </w:p>
    <w:p w14:paraId="307BA3DC" w14:textId="77777777" w:rsidR="00DF410E" w:rsidRDefault="00CE7F43">
      <w:pPr>
        <w:pStyle w:val="pheading"/>
      </w:pPr>
      <w:r>
        <w:t>- Définition / Comprend</w:t>
      </w:r>
    </w:p>
    <w:p w14:paraId="1249EF83" w14:textId="77777777" w:rsidR="00DF410E" w:rsidRDefault="00CE7F43">
      <w:r>
        <w:t xml:space="preserve">Il s’agit des poutres et barres en CLT. La notion de CLT est expliquée au </w:t>
      </w:r>
      <w:hyperlink w:anchor="89" w:history="1">
        <w:r>
          <w:t>24 Superstructures en bois</w:t>
        </w:r>
      </w:hyperlink>
      <w:r>
        <w:t>.</w:t>
      </w:r>
    </w:p>
    <w:p w14:paraId="39763E18" w14:textId="77777777" w:rsidR="00DF410E" w:rsidRDefault="00CE7F43">
      <w:pPr>
        <w:pStyle w:val="Author-eSectionHeading6"/>
      </w:pPr>
      <w:bookmarkStart w:id="1602" w:name="_Toc178838696"/>
      <w:r>
        <w:t>24.13.4a Poutres et barres en CLT à inertie constante CCTB 01.11</w:t>
      </w:r>
      <w:bookmarkEnd w:id="1602"/>
    </w:p>
    <w:p w14:paraId="0838FFD4" w14:textId="77777777" w:rsidR="00DF410E" w:rsidRDefault="00CE7F43">
      <w:pPr>
        <w:pStyle w:val="pheading"/>
      </w:pPr>
      <w:r>
        <w:t>DESCRIPTION</w:t>
      </w:r>
    </w:p>
    <w:p w14:paraId="0DBB2B14" w14:textId="77777777" w:rsidR="00DF410E" w:rsidRDefault="00CE7F43">
      <w:pPr>
        <w:pStyle w:val="pheading"/>
      </w:pPr>
      <w:r>
        <w:t>- Définition / Comprend</w:t>
      </w:r>
    </w:p>
    <w:p w14:paraId="6070678B" w14:textId="77777777" w:rsidR="00DF410E" w:rsidRDefault="00CE7F43">
      <w:r>
        <w:t>Il s'agit de l’ensemble des poutres et barres en CLT et à inertie constante.</w:t>
      </w:r>
    </w:p>
    <w:p w14:paraId="53413210" w14:textId="77777777" w:rsidR="00DF410E" w:rsidRDefault="00CE7F43">
      <w:pPr>
        <w:pStyle w:val="pheading"/>
      </w:pPr>
      <w:r>
        <w:t>MATÉRIAUX</w:t>
      </w:r>
    </w:p>
    <w:p w14:paraId="072A5F3E" w14:textId="77777777" w:rsidR="00DF410E" w:rsidRDefault="00CE7F43">
      <w:pPr>
        <w:pStyle w:val="pheading"/>
      </w:pPr>
      <w:r>
        <w:t>- Caractéristiques générales</w:t>
      </w:r>
    </w:p>
    <w:p w14:paraId="7F946F50" w14:textId="77777777" w:rsidR="00DF410E" w:rsidRDefault="00CE7F43">
      <w:pPr>
        <w:jc w:val="both"/>
      </w:pPr>
      <w:r>
        <w:t xml:space="preserve">Classe de résistance des lamelles : </w:t>
      </w:r>
      <w:r>
        <w:rPr>
          <w:rStyle w:val="optioncarChar"/>
        </w:rPr>
        <w:t>C18 </w:t>
      </w:r>
      <w:r>
        <w:t>(par défaut)</w:t>
      </w:r>
      <w:r>
        <w:rPr>
          <w:rStyle w:val="optioncarChar"/>
        </w:rPr>
        <w:t xml:space="preserve"> / C24 / ***</w:t>
      </w:r>
    </w:p>
    <w:p w14:paraId="7C7F4D30" w14:textId="77777777" w:rsidR="00DF410E" w:rsidRDefault="00CE7F43">
      <w:pPr>
        <w:jc w:val="both"/>
      </w:pPr>
      <w:r>
        <w:t>Dimensions de la section :</w:t>
      </w:r>
      <w:r>
        <w:rPr>
          <w:rStyle w:val="optioncarChar"/>
        </w:rPr>
        <w:t xml:space="preserve"> Voir plans</w:t>
      </w:r>
      <w:r>
        <w:t xml:space="preserve"> (par défaut)</w:t>
      </w:r>
      <w:r>
        <w:rPr>
          <w:rStyle w:val="optioncarChar"/>
        </w:rPr>
        <w:t xml:space="preserve"> / *** x *** mm²</w:t>
      </w:r>
    </w:p>
    <w:p w14:paraId="3AC137D4" w14:textId="77777777" w:rsidR="00DF410E" w:rsidRDefault="00CE7F43">
      <w:pPr>
        <w:jc w:val="both"/>
      </w:pPr>
      <w:r>
        <w:t>Composition du CLT :</w:t>
      </w:r>
    </w:p>
    <w:p w14:paraId="21879091" w14:textId="77777777" w:rsidR="00DF410E" w:rsidRDefault="00CE7F43">
      <w:pPr>
        <w:jc w:val="both"/>
      </w:pPr>
      <w:r>
        <w:t xml:space="preserve">            Nombre de plis : </w:t>
      </w:r>
      <w:r>
        <w:rPr>
          <w:rStyle w:val="optioncarChar"/>
        </w:rPr>
        <w:t xml:space="preserve">3 </w:t>
      </w:r>
      <w:r>
        <w:t>(par défaut) </w:t>
      </w:r>
      <w:r>
        <w:rPr>
          <w:rStyle w:val="optioncarChar"/>
        </w:rPr>
        <w:t>/ 5 / ***</w:t>
      </w:r>
    </w:p>
    <w:p w14:paraId="68C1C844" w14:textId="77777777" w:rsidR="00DF410E" w:rsidRDefault="00CE7F43">
      <w:pPr>
        <w:ind w:left="567"/>
        <w:jc w:val="both"/>
      </w:pPr>
      <w:r>
        <w:t>Les épaisseurs de poutres et barres et les configurations de plis ne sont pas standardisées entre les différents fabricants. L’épaisseur réelle, proposée par le soumissionnaire, peut donc varier par rapport à l’épaisseur reprise au cahier spécial des charges, pour autant que les propriétés (la rigidité EI dans les deux directions) de la solution proposée soient égales ou supérieures à celles de la situation initiale. L’épaisseur proposée fait l’objet d’une demande d’approbation au maître d’ouvrage. En cas d’avis favorable, le maître d’ouvrage précise au soumissionnaire comment intégrer les modifications dans ses plans de fabrication. En aucun cas la modification de l’épaisseur ni ses conséquences (modification des plans, etc.) ne fait l’objet d’une demande de supplément par le soumissionnaire.</w:t>
      </w:r>
    </w:p>
    <w:p w14:paraId="6D2CBE61"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68907BBB" w14:textId="77777777" w:rsidR="00DF410E" w:rsidRDefault="00CE7F43">
      <w:pPr>
        <w:jc w:val="both"/>
      </w:pPr>
      <w:r>
        <w:t xml:space="preserve">Classe d’emploi : </w:t>
      </w:r>
      <w:r>
        <w:rPr>
          <w:rStyle w:val="optioncarChar"/>
        </w:rPr>
        <w:t>1 / 2 / 3 / 4 / 5</w:t>
      </w:r>
    </w:p>
    <w:p w14:paraId="09E7B5BD" w14:textId="77777777" w:rsidR="00DF410E" w:rsidRDefault="00CE7F43">
      <w:pPr>
        <w:jc w:val="both"/>
      </w:pPr>
      <w:r>
        <w:t xml:space="preserve">Classe d’émission de formaldéhyde : </w:t>
      </w:r>
      <w:r>
        <w:rPr>
          <w:rStyle w:val="optioncarChar"/>
        </w:rPr>
        <w:t xml:space="preserve">E1 </w:t>
      </w:r>
      <w:r>
        <w:t xml:space="preserve">(par défaut) </w:t>
      </w:r>
      <w:r>
        <w:rPr>
          <w:rStyle w:val="optioncarChar"/>
        </w:rPr>
        <w:t>/ E2</w:t>
      </w:r>
    </w:p>
    <w:p w14:paraId="1933D05B" w14:textId="77777777" w:rsidR="00DF410E" w:rsidRDefault="00CE7F43">
      <w:pPr>
        <w:jc w:val="both"/>
      </w:pPr>
      <w:r>
        <w:t xml:space="preserve">La durabilité des poutres et barres,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A2.2 / ***</w:t>
      </w:r>
    </w:p>
    <w:p w14:paraId="73CCEB7A" w14:textId="77777777" w:rsidR="00DF410E" w:rsidRDefault="00CE7F43">
      <w:pPr>
        <w:pStyle w:val="pheading"/>
      </w:pPr>
      <w:r>
        <w:t>- Finitions</w:t>
      </w:r>
    </w:p>
    <w:p w14:paraId="17729EE9" w14:textId="77777777" w:rsidR="00DF410E" w:rsidRDefault="00CE7F43">
      <w:pPr>
        <w:jc w:val="both"/>
      </w:pPr>
      <w:r>
        <w:t xml:space="preserve">Les poutres et barres en CLT sont </w:t>
      </w:r>
      <w:r>
        <w:rPr>
          <w:rStyle w:val="optioncarChar"/>
        </w:rPr>
        <w:t>rabotées</w:t>
      </w:r>
      <w:r>
        <w:t xml:space="preserve"> (par défaut)</w:t>
      </w:r>
      <w:r>
        <w:rPr>
          <w:rStyle w:val="optioncarChar"/>
        </w:rPr>
        <w:t xml:space="preserve"> / brutes de sciage / poncées / *** </w:t>
      </w:r>
      <w:r>
        <w:t>sur </w:t>
      </w:r>
      <w:r>
        <w:rPr>
          <w:rStyle w:val="optioncarChar"/>
        </w:rPr>
        <w:t>1 / 2 / 3 / 4</w:t>
      </w:r>
      <w:r>
        <w:t> faces.</w:t>
      </w:r>
    </w:p>
    <w:p w14:paraId="2347003A" w14:textId="77777777" w:rsidR="00DF410E" w:rsidRDefault="00CE7F43">
      <w:pPr>
        <w:jc w:val="both"/>
      </w:pPr>
      <w:r>
        <w:t xml:space="preserve">Les arrêtes sont </w:t>
      </w:r>
      <w:r>
        <w:rPr>
          <w:rStyle w:val="optioncarChar"/>
        </w:rPr>
        <w:t xml:space="preserve">vives </w:t>
      </w:r>
      <w:r>
        <w:t xml:space="preserve">(par défaut) </w:t>
      </w:r>
      <w:r>
        <w:rPr>
          <w:rStyle w:val="optioncarChar"/>
        </w:rPr>
        <w:t>/ chanfreinées / ***</w:t>
      </w:r>
    </w:p>
    <w:p w14:paraId="75E071A8" w14:textId="77777777" w:rsidR="00DF410E" w:rsidRDefault="00CE7F43">
      <w:pPr>
        <w:jc w:val="both"/>
      </w:pPr>
      <w:r>
        <w:t xml:space="preserve">Les poutres et barres en CLT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3E7529E6" w14:textId="77777777" w:rsidR="00DF410E" w:rsidRDefault="00CE7F43">
      <w:pPr>
        <w:pStyle w:val="pheading"/>
      </w:pPr>
      <w:r>
        <w:t>- Prescriptions complémentaires</w:t>
      </w:r>
    </w:p>
    <w:p w14:paraId="2FD53DBD" w14:textId="77777777" w:rsidR="00DF410E" w:rsidRDefault="00CE7F43">
      <w:pPr>
        <w:jc w:val="both"/>
      </w:pPr>
      <w:r>
        <w:rPr>
          <w:rStyle w:val="facultChar"/>
        </w:rPr>
        <w:t xml:space="preserve">La qualité esthétique des poutres et barres est </w:t>
      </w:r>
      <w:r>
        <w:rPr>
          <w:rStyle w:val="optioncarChar"/>
        </w:rPr>
        <w:t>non-visible / visible industrielle / visible habitation</w:t>
      </w:r>
    </w:p>
    <w:p w14:paraId="22AE45B1" w14:textId="77777777" w:rsidR="00DF410E" w:rsidRDefault="00CE7F43">
      <w:pPr>
        <w:jc w:val="both"/>
      </w:pPr>
      <w:r>
        <w:rPr>
          <w:rStyle w:val="facultChar"/>
        </w:rPr>
        <w:t xml:space="preserve">Les qualités esthétiques sont définies au </w:t>
      </w:r>
      <w:hyperlink w:anchor="89" w:history="1">
        <w:r>
          <w:rPr>
            <w:rStyle w:val="facultChar"/>
          </w:rPr>
          <w:t>24 Superstructures en bois</w:t>
        </w:r>
      </w:hyperlink>
    </w:p>
    <w:p w14:paraId="12B45C76" w14:textId="77777777" w:rsidR="00DF410E" w:rsidRDefault="00CE7F43">
      <w:pPr>
        <w:pStyle w:val="pheading"/>
      </w:pPr>
      <w:r>
        <w:t>EXÉCUTION / MISE EN ŒUVRE</w:t>
      </w:r>
    </w:p>
    <w:p w14:paraId="2C4BE772" w14:textId="77777777" w:rsidR="00DF410E" w:rsidRDefault="00CE7F43">
      <w:pPr>
        <w:pStyle w:val="pheading"/>
      </w:pPr>
      <w:r>
        <w:t>- Prescriptions générales</w:t>
      </w:r>
    </w:p>
    <w:p w14:paraId="76FACC50" w14:textId="77777777" w:rsidR="00DF410E" w:rsidRDefault="00CE7F43">
      <w:pPr>
        <w:jc w:val="both"/>
      </w:pPr>
      <w:r>
        <w:t>L’orientation du fil des couches extérieures indiqués sur les plans doit être scrupuleusement respecté. En cas d’information manquante, incomplète, de contradiction et de manque de clarté, le soumissionnaire s’adresse au maître d’ouvrage qui lui indique l’orientation qui doit être mise en œuvre.</w:t>
      </w:r>
    </w:p>
    <w:p w14:paraId="0E7D1958"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7041F73E" w14:textId="77777777" w:rsidR="00DF410E" w:rsidRDefault="00CE7F43">
      <w:pPr>
        <w:pStyle w:val="pheading"/>
      </w:pPr>
      <w:r>
        <w:t>MESURAGE</w:t>
      </w:r>
    </w:p>
    <w:p w14:paraId="2DB70128" w14:textId="77777777" w:rsidR="00DF410E" w:rsidRDefault="00CE7F43">
      <w:pPr>
        <w:pStyle w:val="pheading"/>
      </w:pPr>
      <w:r>
        <w:t>- unité de mesure:</w:t>
      </w:r>
    </w:p>
    <w:p w14:paraId="60B42A47" w14:textId="77777777" w:rsidR="00DF410E" w:rsidRDefault="00CE7F43">
      <w:r>
        <w:rPr>
          <w:rStyle w:val="optioncarChar"/>
        </w:rPr>
        <w:t>m³ </w:t>
      </w:r>
      <w:r>
        <w:t>(par défaut)</w:t>
      </w:r>
      <w:r>
        <w:rPr>
          <w:rStyle w:val="optioncarChar"/>
        </w:rPr>
        <w:t> / m / pc</w:t>
      </w:r>
    </w:p>
    <w:p w14:paraId="7AC6E252" w14:textId="77777777" w:rsidR="00DF410E" w:rsidRDefault="00CE7F43">
      <w:r>
        <w:rPr>
          <w:b/>
          <w:i/>
        </w:rPr>
        <w:t>(Soit par défaut)</w:t>
      </w:r>
    </w:p>
    <w:p w14:paraId="3AE55FA5" w14:textId="77777777" w:rsidR="00DF410E" w:rsidRDefault="00CE7F43">
      <w:r>
        <w:rPr>
          <w:rStyle w:val="soitChar"/>
        </w:rPr>
        <w:t>1.    m³ </w:t>
      </w:r>
    </w:p>
    <w:p w14:paraId="0C932086" w14:textId="77777777" w:rsidR="00DF410E" w:rsidRDefault="00CE7F43">
      <w:r>
        <w:rPr>
          <w:b/>
          <w:i/>
        </w:rPr>
        <w:t>(Soit)</w:t>
      </w:r>
    </w:p>
    <w:p w14:paraId="03537785" w14:textId="77777777" w:rsidR="00DF410E" w:rsidRDefault="00CE7F43">
      <w:r>
        <w:rPr>
          <w:rStyle w:val="soitChar"/>
        </w:rPr>
        <w:t>2.    m </w:t>
      </w:r>
    </w:p>
    <w:p w14:paraId="341CDDB1" w14:textId="77777777" w:rsidR="00DF410E" w:rsidRDefault="00CE7F43">
      <w:r>
        <w:rPr>
          <w:b/>
          <w:i/>
        </w:rPr>
        <w:t>(Soit)</w:t>
      </w:r>
    </w:p>
    <w:p w14:paraId="5271A7DE" w14:textId="77777777" w:rsidR="00DF410E" w:rsidRDefault="00CE7F43">
      <w:r>
        <w:rPr>
          <w:rStyle w:val="soitChar"/>
        </w:rPr>
        <w:t>3.    pc</w:t>
      </w:r>
    </w:p>
    <w:p w14:paraId="6D41D4F3" w14:textId="77777777" w:rsidR="00DF410E" w:rsidRDefault="00CE7F43">
      <w:pPr>
        <w:pStyle w:val="pheading"/>
      </w:pPr>
      <w:r>
        <w:t>- code de mesurage:</w:t>
      </w:r>
    </w:p>
    <w:p w14:paraId="11935E4C" w14:textId="77777777" w:rsidR="00DF410E" w:rsidRDefault="00CE7F43">
      <w:r>
        <w:rPr>
          <w:rStyle w:val="optioncarChar"/>
        </w:rPr>
        <w:t> Volume brut </w:t>
      </w:r>
      <w:r>
        <w:t>(par défaut) </w:t>
      </w:r>
      <w:r>
        <w:rPr>
          <w:rStyle w:val="optioncarChar"/>
        </w:rPr>
        <w:t>/ Longueur brute / Quantité nette</w:t>
      </w:r>
    </w:p>
    <w:p w14:paraId="5D95525D" w14:textId="77777777" w:rsidR="00DF410E" w:rsidRDefault="00CE7F43">
      <w:r>
        <w:rPr>
          <w:b/>
          <w:i/>
        </w:rPr>
        <w:t>(Soit par défaut)</w:t>
      </w:r>
    </w:p>
    <w:p w14:paraId="4485A1EF" w14:textId="77777777" w:rsidR="00DF410E" w:rsidRDefault="00CE7F43">
      <w:r>
        <w:rPr>
          <w:rStyle w:val="soitChar"/>
        </w:rPr>
        <w:t>1.    </w:t>
      </w:r>
      <w:r>
        <w:rPr>
          <w:rStyle w:val="soitChar"/>
          <w:u w:val="single"/>
        </w:rPr>
        <w:t>Volume brut :</w:t>
      </w:r>
      <w:r>
        <w:br/>
      </w:r>
      <w:r>
        <w:rPr>
          <w:rStyle w:val="soitChar"/>
        </w:rPr>
        <w:t>Le volume brut d’une poutre/barre est calculé suivant l'épaisseur prescrite au cahier spécial des charges.</w:t>
      </w:r>
    </w:p>
    <w:p w14:paraId="55A23A18" w14:textId="77777777" w:rsidR="00DF410E" w:rsidRDefault="00CE7F43">
      <w:r>
        <w:rPr>
          <w:b/>
          <w:i/>
        </w:rPr>
        <w:t> (Soit)</w:t>
      </w:r>
    </w:p>
    <w:p w14:paraId="4B9B969D" w14:textId="77777777" w:rsidR="00DF410E" w:rsidRDefault="00CE7F43">
      <w:r>
        <w:rPr>
          <w:rStyle w:val="soitChar"/>
        </w:rPr>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2AEDF475" w14:textId="77777777" w:rsidR="00DF410E" w:rsidRDefault="00CE7F43">
      <w:r>
        <w:rPr>
          <w:b/>
          <w:i/>
        </w:rPr>
        <w:t> (Soit)</w:t>
      </w:r>
    </w:p>
    <w:p w14:paraId="05C7E3CE" w14:textId="77777777" w:rsidR="00DF410E" w:rsidRDefault="00CE7F43">
      <w:r>
        <w:rPr>
          <w:rStyle w:val="soitChar"/>
        </w:rPr>
        <w:t xml:space="preserve">3.  </w:t>
      </w:r>
      <w:r>
        <w:rPr>
          <w:rStyle w:val="soitChar"/>
          <w:u w:val="single"/>
        </w:rPr>
        <w:t>  Quantité nette :</w:t>
      </w:r>
      <w:r>
        <w:br/>
      </w:r>
      <w:r>
        <w:rPr>
          <w:rStyle w:val="soitChar"/>
        </w:rPr>
        <w:t>Le nombre de poutres et barres ayant les mêmes dimensions et les mêmes caractéristiques est compatibilisé.</w:t>
      </w:r>
    </w:p>
    <w:p w14:paraId="607B0B42" w14:textId="77777777" w:rsidR="00DF410E" w:rsidRDefault="00CE7F43">
      <w:pPr>
        <w:pStyle w:val="pheading"/>
      </w:pPr>
      <w:r>
        <w:t>- nature du marché:</w:t>
      </w:r>
    </w:p>
    <w:p w14:paraId="6B6BD05F" w14:textId="77777777" w:rsidR="00DF410E" w:rsidRDefault="00CE7F43">
      <w:r>
        <w:rPr>
          <w:rStyle w:val="optioncarChar"/>
        </w:rPr>
        <w:t>QF</w:t>
      </w:r>
      <w:r>
        <w:t> (par défaut)</w:t>
      </w:r>
      <w:r>
        <w:rPr>
          <w:rStyle w:val="optioncarChar"/>
        </w:rPr>
        <w:t> / QP</w:t>
      </w:r>
    </w:p>
    <w:p w14:paraId="2225ADD9" w14:textId="77777777" w:rsidR="00DF410E" w:rsidRDefault="00CE7F43">
      <w:r>
        <w:rPr>
          <w:b/>
          <w:i/>
        </w:rPr>
        <w:t>(Soit par défaut)</w:t>
      </w:r>
    </w:p>
    <w:p w14:paraId="1A8B0F83" w14:textId="77777777" w:rsidR="00DF410E" w:rsidRDefault="00CE7F43">
      <w:r>
        <w:rPr>
          <w:rStyle w:val="soitChar"/>
        </w:rPr>
        <w:t>1.2.3     QF</w:t>
      </w:r>
    </w:p>
    <w:p w14:paraId="63DED879" w14:textId="77777777" w:rsidR="00DF410E" w:rsidRDefault="00CE7F43">
      <w:r>
        <w:rPr>
          <w:b/>
          <w:i/>
        </w:rPr>
        <w:t>(Soit)</w:t>
      </w:r>
    </w:p>
    <w:p w14:paraId="77238986" w14:textId="77777777" w:rsidR="00DF410E" w:rsidRDefault="00CE7F43">
      <w:r>
        <w:rPr>
          <w:rStyle w:val="soitChar"/>
        </w:rPr>
        <w:t>1.2.3     QP</w:t>
      </w:r>
    </w:p>
    <w:p w14:paraId="295FC547" w14:textId="77777777" w:rsidR="00DF410E" w:rsidRDefault="00CE7F43">
      <w:pPr>
        <w:pStyle w:val="pheading"/>
      </w:pPr>
      <w:r>
        <w:t>AIDE</w:t>
      </w:r>
    </w:p>
    <w:p w14:paraId="5A200856" w14:textId="77777777" w:rsidR="00DF410E" w:rsidRDefault="00CE7F43">
      <w:pPr>
        <w:jc w:val="both"/>
      </w:pPr>
      <w:r>
        <w:t>Le code suivant peut être utilisé pour la dénomination du poste :</w:t>
      </w:r>
    </w:p>
    <w:p w14:paraId="19ECB964" w14:textId="77777777" w:rsidR="00DF410E" w:rsidRDefault="00CE7F43">
      <w:pPr>
        <w:jc w:val="both"/>
      </w:pPr>
      <w:r>
        <w:t>CLT 1 / 2 / 3 / 4 / 5</w:t>
      </w:r>
    </w:p>
    <w:p w14:paraId="2990E541" w14:textId="77777777" w:rsidR="00DF410E" w:rsidRDefault="00CE7F43">
      <w:pPr>
        <w:jc w:val="both"/>
      </w:pPr>
      <w:r>
        <w:t>Avec :</w:t>
      </w:r>
    </w:p>
    <w:p w14:paraId="36B7C3BC" w14:textId="77777777" w:rsidR="00DF410E" w:rsidRDefault="00CE7F43">
      <w:pPr>
        <w:jc w:val="both"/>
      </w:pPr>
      <w:r>
        <w:t>CLT pour bois lamellé collé en bloc</w:t>
      </w:r>
    </w:p>
    <w:p w14:paraId="42DCC3F6" w14:textId="77777777" w:rsidR="00DF410E" w:rsidRDefault="00CE7F43">
      <w:pPr>
        <w:jc w:val="both"/>
      </w:pPr>
      <w:r>
        <w:t>1 : section et nombre de plis</w:t>
      </w:r>
    </w:p>
    <w:p w14:paraId="2A5684D8" w14:textId="77777777" w:rsidR="00DF410E" w:rsidRDefault="00CE7F43">
      <w:pPr>
        <w:jc w:val="both"/>
      </w:pPr>
      <w:r>
        <w:t>2 : qualité esthétique</w:t>
      </w:r>
    </w:p>
    <w:p w14:paraId="54330917" w14:textId="77777777" w:rsidR="00DF410E" w:rsidRDefault="00CE7F43">
      <w:pPr>
        <w:jc w:val="both"/>
      </w:pPr>
      <w:r>
        <w:t>3 : L’essence utilisée</w:t>
      </w:r>
    </w:p>
    <w:p w14:paraId="44F0A127" w14:textId="77777777" w:rsidR="00DF410E" w:rsidRDefault="00CE7F43">
      <w:pPr>
        <w:jc w:val="both"/>
      </w:pPr>
      <w:r>
        <w:t>4 : la classe d’emploi des poutres et barres</w:t>
      </w:r>
    </w:p>
    <w:p w14:paraId="5E63414A" w14:textId="77777777" w:rsidR="00DF410E" w:rsidRDefault="00CE7F43">
      <w:pPr>
        <w:jc w:val="both"/>
      </w:pPr>
      <w:r>
        <w:t>5 : la méthode utilisée pour garantir la durabilité des poutres et barres</w:t>
      </w:r>
    </w:p>
    <w:p w14:paraId="20CC91D8" w14:textId="77777777" w:rsidR="00DF410E" w:rsidRDefault="00CE7F43">
      <w:pPr>
        <w:jc w:val="both"/>
      </w:pPr>
      <w:r>
        <w:t>Ce qui donne, par exemple :</w:t>
      </w:r>
    </w:p>
    <w:p w14:paraId="6303DCC4" w14:textId="77777777" w:rsidR="00DF410E" w:rsidRDefault="00CE7F43">
      <w:pPr>
        <w:jc w:val="both"/>
      </w:pPr>
      <w:r>
        <w:t>CLT 150x80-5s / non-visible / épicéa / 2 / A2.2</w:t>
      </w:r>
    </w:p>
    <w:p w14:paraId="2639281E" w14:textId="77777777" w:rsidR="00DF410E" w:rsidRDefault="00CE7F43">
      <w:pPr>
        <w:pStyle w:val="Author-eSectionHeading6"/>
      </w:pPr>
      <w:bookmarkStart w:id="1603" w:name="_Toc178838697"/>
      <w:r>
        <w:t>24.13.4b Poutres et barres en CLT à inertie variable CCTB 01.11</w:t>
      </w:r>
      <w:bookmarkEnd w:id="1603"/>
    </w:p>
    <w:p w14:paraId="79C4C35D" w14:textId="77777777" w:rsidR="00DF410E" w:rsidRDefault="00CE7F43">
      <w:pPr>
        <w:pStyle w:val="pheading"/>
      </w:pPr>
      <w:r>
        <w:t>DESCRIPTION</w:t>
      </w:r>
    </w:p>
    <w:p w14:paraId="0C87B708" w14:textId="77777777" w:rsidR="00DF410E" w:rsidRDefault="00CE7F43">
      <w:pPr>
        <w:pStyle w:val="pheading"/>
      </w:pPr>
      <w:r>
        <w:t>- Définition / Comprend</w:t>
      </w:r>
    </w:p>
    <w:p w14:paraId="4D856547" w14:textId="77777777" w:rsidR="00DF410E" w:rsidRDefault="00CE7F43">
      <w:r>
        <w:t>Il s'agit de l’ensemble des poutres et barres en CLT et à inertie variable.</w:t>
      </w:r>
    </w:p>
    <w:p w14:paraId="118B378D" w14:textId="77777777" w:rsidR="00DF410E" w:rsidRDefault="00CE7F43">
      <w:pPr>
        <w:pStyle w:val="pheading"/>
      </w:pPr>
      <w:r>
        <w:t>MATÉRIAUX</w:t>
      </w:r>
    </w:p>
    <w:p w14:paraId="24DEDF23" w14:textId="77777777" w:rsidR="00DF410E" w:rsidRDefault="00CE7F43">
      <w:pPr>
        <w:pStyle w:val="pheading"/>
      </w:pPr>
      <w:r>
        <w:t>- Caractéristiques générales</w:t>
      </w:r>
    </w:p>
    <w:p w14:paraId="1522FD10" w14:textId="77777777" w:rsidR="00DF410E" w:rsidRDefault="00CE7F43">
      <w:pPr>
        <w:jc w:val="both"/>
      </w:pPr>
      <w:r>
        <w:t xml:space="preserve">Classe de résistance des lamelles : </w:t>
      </w:r>
      <w:r>
        <w:rPr>
          <w:rStyle w:val="optioncarChar"/>
        </w:rPr>
        <w:t>C18</w:t>
      </w:r>
      <w:r>
        <w:t xml:space="preserve"> (par défaut) </w:t>
      </w:r>
      <w:r>
        <w:rPr>
          <w:rStyle w:val="optioncarChar"/>
        </w:rPr>
        <w:t>/ C24 / ***</w:t>
      </w:r>
    </w:p>
    <w:p w14:paraId="7A52FCE4" w14:textId="77777777" w:rsidR="00DF410E" w:rsidRDefault="00CE7F43">
      <w:pPr>
        <w:jc w:val="both"/>
      </w:pPr>
      <w:r>
        <w:t>La géométrie des poutres et barres en CLT à inertie variable est décrite dans les plans.</w:t>
      </w:r>
    </w:p>
    <w:p w14:paraId="5CBCABDD" w14:textId="77777777" w:rsidR="00DF410E" w:rsidRDefault="00CE7F43">
      <w:pPr>
        <w:jc w:val="both"/>
      </w:pPr>
      <w:r>
        <w:t>Essence :</w:t>
      </w:r>
      <w:r>
        <w:rPr>
          <w:rStyle w:val="optioncarChar"/>
        </w:rPr>
        <w:t xml:space="preserve"> Résineuse </w:t>
      </w:r>
      <w:r>
        <w:t xml:space="preserve">(par défaut) </w:t>
      </w:r>
      <w:r>
        <w:rPr>
          <w:rStyle w:val="optioncarChar"/>
        </w:rPr>
        <w:t>/ feuillue / épicéa / douglas / chêne / hêtre / ***</w:t>
      </w:r>
    </w:p>
    <w:p w14:paraId="4D1A32FF" w14:textId="77777777" w:rsidR="00DF410E" w:rsidRDefault="00CE7F43">
      <w:pPr>
        <w:jc w:val="both"/>
      </w:pPr>
      <w:r>
        <w:t>Composition du CLT :</w:t>
      </w:r>
    </w:p>
    <w:p w14:paraId="01234831" w14:textId="77777777" w:rsidR="00DF410E" w:rsidRDefault="00CE7F43">
      <w:pPr>
        <w:jc w:val="both"/>
      </w:pPr>
      <w:r>
        <w:t xml:space="preserve">            Epaisseur : </w:t>
      </w:r>
      <w:r>
        <w:rPr>
          <w:rStyle w:val="optioncarChar"/>
        </w:rPr>
        <w:t>***</w:t>
      </w:r>
    </w:p>
    <w:p w14:paraId="41953453" w14:textId="77777777" w:rsidR="00DF410E" w:rsidRDefault="00CE7F43">
      <w:pPr>
        <w:jc w:val="both"/>
      </w:pPr>
      <w:r>
        <w:t xml:space="preserve">            Nombre de plis : </w:t>
      </w:r>
      <w:r>
        <w:rPr>
          <w:rStyle w:val="optioncarChar"/>
        </w:rPr>
        <w:t>3</w:t>
      </w:r>
      <w:r>
        <w:t> (par défaut)</w:t>
      </w:r>
      <w:r>
        <w:rPr>
          <w:rStyle w:val="optioncarChar"/>
        </w:rPr>
        <w:t xml:space="preserve"> / 5 / ***</w:t>
      </w:r>
    </w:p>
    <w:p w14:paraId="14053AA9" w14:textId="77777777" w:rsidR="00DF410E" w:rsidRDefault="00CE7F43">
      <w:pPr>
        <w:ind w:left="567"/>
        <w:jc w:val="both"/>
      </w:pPr>
      <w:r>
        <w:t>Les épaisseurs de poutres et barres et les configurations de plis ne sont pas standardisées entre les différents fabricants. L’épaisseur réelle, proposée par le soumissionnaire, peut donc varier par rapport à l’épaisseur reprise au cahier spécial des charges, pour autant que les propriétés (la rigidité EI dans les deux directions) de la solution proposée soient égales ou supérieures à celles de la situation initiale. L’épaisseur proposée fait l’objet d’une demande d’approbation au maître d’ouvrage. En cas d’avis favorable, le maître d’ouvrage précise au soumissionnaire comment intégrer les modifications dans ses plans de fabrication. En aucun cas la modification de l’épaisseur ni ses conséquences (modification des plans, etc.) ne fait l’objet d’une demande de supplément par le soumissionnaire.</w:t>
      </w:r>
    </w:p>
    <w:p w14:paraId="27A8108E" w14:textId="77777777" w:rsidR="00DF410E" w:rsidRDefault="00CE7F43">
      <w:pPr>
        <w:jc w:val="both"/>
      </w:pPr>
      <w:r>
        <w:t xml:space="preserve">Classe d’emploi : </w:t>
      </w:r>
      <w:r>
        <w:rPr>
          <w:rStyle w:val="optioncarChar"/>
        </w:rPr>
        <w:t>1 / 2 / 3 / 4 / 5</w:t>
      </w:r>
    </w:p>
    <w:p w14:paraId="758FE309" w14:textId="77777777" w:rsidR="00DF410E" w:rsidRDefault="00CE7F43">
      <w:pPr>
        <w:jc w:val="both"/>
      </w:pPr>
      <w:r>
        <w:t>Classe d’émission de formaldéhyde :</w:t>
      </w:r>
      <w:r>
        <w:rPr>
          <w:rStyle w:val="optioncarChar"/>
        </w:rPr>
        <w:t xml:space="preserve"> E1 </w:t>
      </w:r>
      <w:r>
        <w:t>(par défaut)</w:t>
      </w:r>
      <w:r>
        <w:rPr>
          <w:rStyle w:val="optioncarChar"/>
        </w:rPr>
        <w:t xml:space="preserve"> / E2</w:t>
      </w:r>
    </w:p>
    <w:p w14:paraId="2C05CD1A" w14:textId="77777777" w:rsidR="00DF410E" w:rsidRDefault="00CE7F43">
      <w:pPr>
        <w:jc w:val="both"/>
      </w:pPr>
      <w:r>
        <w:t xml:space="preserve">La durabilité des poutres et barres, en fonction de leur classe d’emploi, est assurée par la mesure suivante : </w:t>
      </w:r>
      <w:r>
        <w:rPr>
          <w:rStyle w:val="optioncarChar"/>
        </w:rPr>
        <w:t xml:space="preserve">aucune mesure n’est nécessaire / bois hors aubier </w:t>
      </w:r>
      <w:r>
        <w:t>(par défaut) </w:t>
      </w:r>
      <w:r>
        <w:rPr>
          <w:rStyle w:val="optioncarChar"/>
        </w:rPr>
        <w:t>/ traitement A1 / traitement A2.2 / ***</w:t>
      </w:r>
    </w:p>
    <w:p w14:paraId="759A2998" w14:textId="77777777" w:rsidR="00DF410E" w:rsidRDefault="00CE7F43">
      <w:pPr>
        <w:pStyle w:val="pheading"/>
      </w:pPr>
      <w:r>
        <w:t>- Finitions</w:t>
      </w:r>
    </w:p>
    <w:p w14:paraId="363AB38A" w14:textId="77777777" w:rsidR="00DF410E" w:rsidRDefault="00CE7F43">
      <w:pPr>
        <w:jc w:val="both"/>
      </w:pPr>
      <w:r>
        <w:t>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050690C6" w14:textId="77777777" w:rsidR="00DF410E" w:rsidRDefault="00CE7F43">
      <w:pPr>
        <w:jc w:val="both"/>
      </w:pPr>
      <w:r>
        <w:t xml:space="preserve">Les arrêtes sont </w:t>
      </w:r>
      <w:r>
        <w:rPr>
          <w:rStyle w:val="optioncarChar"/>
        </w:rPr>
        <w:t xml:space="preserve">vives </w:t>
      </w:r>
      <w:r>
        <w:t>(par défaut)</w:t>
      </w:r>
      <w:r>
        <w:rPr>
          <w:rStyle w:val="optioncarChar"/>
        </w:rPr>
        <w:t xml:space="preserve"> / chanfreinées / ***</w:t>
      </w:r>
    </w:p>
    <w:p w14:paraId="67ECB506" w14:textId="77777777" w:rsidR="00DF410E" w:rsidRDefault="00CE7F43">
      <w:pPr>
        <w:jc w:val="both"/>
      </w:pPr>
      <w:r>
        <w:t xml:space="preserve">Les poutres et barres en bois lamellé collé en bloc sont </w:t>
      </w:r>
      <w:r>
        <w:rPr>
          <w:rStyle w:val="optioncarChar"/>
        </w:rPr>
        <w:t>sans finitions</w:t>
      </w:r>
      <w:r>
        <w:t xml:space="preserve"> (par défaut) </w:t>
      </w:r>
      <w:r>
        <w:rPr>
          <w:rStyle w:val="optioncarChar"/>
        </w:rPr>
        <w:t>/ huilées / vernies / lasurées / peintes / ***</w:t>
      </w:r>
      <w:r>
        <w:t xml:space="preserve"> avant mise en œuvre.</w:t>
      </w:r>
    </w:p>
    <w:p w14:paraId="7EE990C0" w14:textId="77777777" w:rsidR="00DF410E" w:rsidRDefault="00CE7F43">
      <w:pPr>
        <w:pStyle w:val="pheading"/>
      </w:pPr>
      <w:r>
        <w:t>- Prescriptions complémentaires</w:t>
      </w:r>
    </w:p>
    <w:p w14:paraId="61631354" w14:textId="77777777" w:rsidR="00DF410E" w:rsidRDefault="00CE7F43">
      <w:pPr>
        <w:jc w:val="both"/>
      </w:pPr>
      <w:r>
        <w:rPr>
          <w:rStyle w:val="facultChar"/>
        </w:rPr>
        <w:t xml:space="preserve">La qualité esthétique des poutres et barres est </w:t>
      </w:r>
      <w:r>
        <w:rPr>
          <w:rStyle w:val="optioncarChar"/>
        </w:rPr>
        <w:t>non-visible / visible industrielle / visible habitation</w:t>
      </w:r>
    </w:p>
    <w:p w14:paraId="30E967D7" w14:textId="77777777" w:rsidR="00DF410E" w:rsidRDefault="00CE7F43">
      <w:pPr>
        <w:jc w:val="both"/>
      </w:pPr>
      <w:r>
        <w:rPr>
          <w:rStyle w:val="facultChar"/>
        </w:rPr>
        <w:t xml:space="preserve">Les définitions des différentes qualités esthétiques se trouvent au </w:t>
      </w:r>
      <w:hyperlink w:anchor="89" w:history="1">
        <w:r>
          <w:rPr>
            <w:rStyle w:val="facultChar"/>
          </w:rPr>
          <w:t>24 Superstructures en bois</w:t>
        </w:r>
      </w:hyperlink>
    </w:p>
    <w:p w14:paraId="05417348" w14:textId="77777777" w:rsidR="00DF410E" w:rsidRDefault="00CE7F43">
      <w:pPr>
        <w:pStyle w:val="pheading"/>
      </w:pPr>
      <w:r>
        <w:t>EXÉCUTION / MISE EN ŒUVRE</w:t>
      </w:r>
    </w:p>
    <w:p w14:paraId="3AF05245" w14:textId="77777777" w:rsidR="00DF410E" w:rsidRDefault="00CE7F43">
      <w:pPr>
        <w:pStyle w:val="pheading"/>
      </w:pPr>
      <w:r>
        <w:t>- Prescriptions générales</w:t>
      </w:r>
    </w:p>
    <w:p w14:paraId="3090F4FD" w14:textId="77777777" w:rsidR="00DF410E" w:rsidRDefault="00CE7F43">
      <w:pPr>
        <w:jc w:val="both"/>
      </w:pPr>
      <w:r>
        <w:t>L’orientation du fil des couches extérieures indiqués sur les plans doit être scrupuleusement respecté. En cas d’information manquante, incomplète, de contradiction et de manque de clarté, le soumissionnaire s’adresse au maître d’ouvrage qui lui indique l’orientation qui doit être mise en œuvre.</w:t>
      </w:r>
    </w:p>
    <w:p w14:paraId="4413522B"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344427AB" w14:textId="77777777" w:rsidR="00DF410E" w:rsidRDefault="00CE7F43">
      <w:pPr>
        <w:pStyle w:val="pheading"/>
      </w:pPr>
      <w:r>
        <w:t>MESURAGE</w:t>
      </w:r>
    </w:p>
    <w:p w14:paraId="35B2A21D" w14:textId="77777777" w:rsidR="00DF410E" w:rsidRDefault="00CE7F43">
      <w:pPr>
        <w:pStyle w:val="pheading"/>
      </w:pPr>
      <w:r>
        <w:t>- unité de mesure:</w:t>
      </w:r>
    </w:p>
    <w:p w14:paraId="210207F5" w14:textId="77777777" w:rsidR="00DF410E" w:rsidRDefault="00CE7F43">
      <w:r>
        <w:rPr>
          <w:rStyle w:val="optioncarChar"/>
        </w:rPr>
        <w:t>m³ </w:t>
      </w:r>
      <w:r>
        <w:t>(par défaut)</w:t>
      </w:r>
      <w:r>
        <w:rPr>
          <w:rStyle w:val="optioncarChar"/>
        </w:rPr>
        <w:t> / m / pc</w:t>
      </w:r>
    </w:p>
    <w:p w14:paraId="65F7F82D" w14:textId="77777777" w:rsidR="00DF410E" w:rsidRDefault="00CE7F43">
      <w:r>
        <w:rPr>
          <w:b/>
          <w:i/>
        </w:rPr>
        <w:t>(Soit par défaut)</w:t>
      </w:r>
    </w:p>
    <w:p w14:paraId="74F8BCB2" w14:textId="77777777" w:rsidR="00DF410E" w:rsidRDefault="00CE7F43">
      <w:r>
        <w:rPr>
          <w:rStyle w:val="soitChar"/>
        </w:rPr>
        <w:t>1.    m³ </w:t>
      </w:r>
    </w:p>
    <w:p w14:paraId="056BFD84" w14:textId="77777777" w:rsidR="00DF410E" w:rsidRDefault="00CE7F43">
      <w:r>
        <w:rPr>
          <w:b/>
          <w:i/>
        </w:rPr>
        <w:t>(Soit)</w:t>
      </w:r>
    </w:p>
    <w:p w14:paraId="1AE96661" w14:textId="77777777" w:rsidR="00DF410E" w:rsidRDefault="00CE7F43">
      <w:r>
        <w:rPr>
          <w:rStyle w:val="soitChar"/>
        </w:rPr>
        <w:t>2.    m </w:t>
      </w:r>
    </w:p>
    <w:p w14:paraId="07095E46" w14:textId="77777777" w:rsidR="00DF410E" w:rsidRDefault="00CE7F43">
      <w:r>
        <w:rPr>
          <w:b/>
          <w:i/>
        </w:rPr>
        <w:t>(Soit)</w:t>
      </w:r>
    </w:p>
    <w:p w14:paraId="0D725E67" w14:textId="77777777" w:rsidR="00DF410E" w:rsidRDefault="00CE7F43">
      <w:r>
        <w:rPr>
          <w:rStyle w:val="soitChar"/>
        </w:rPr>
        <w:t>3.    pc</w:t>
      </w:r>
    </w:p>
    <w:p w14:paraId="779C4704" w14:textId="77777777" w:rsidR="00DF410E" w:rsidRDefault="00CE7F43">
      <w:pPr>
        <w:pStyle w:val="pheading"/>
      </w:pPr>
      <w:r>
        <w:t>- code de mesurage:</w:t>
      </w:r>
    </w:p>
    <w:p w14:paraId="415D6E19" w14:textId="77777777" w:rsidR="00DF410E" w:rsidRDefault="00CE7F43">
      <w:r>
        <w:rPr>
          <w:rStyle w:val="optioncarChar"/>
        </w:rPr>
        <w:t> Volume brut </w:t>
      </w:r>
      <w:r>
        <w:t>(par défaut) </w:t>
      </w:r>
      <w:r>
        <w:rPr>
          <w:rStyle w:val="optioncarChar"/>
        </w:rPr>
        <w:t>/ Longueur brute / Quantité nette</w:t>
      </w:r>
    </w:p>
    <w:p w14:paraId="3855827C" w14:textId="77777777" w:rsidR="00DF410E" w:rsidRDefault="00CE7F43">
      <w:r>
        <w:rPr>
          <w:b/>
          <w:i/>
        </w:rPr>
        <w:t>(Soit par défaut)</w:t>
      </w:r>
    </w:p>
    <w:p w14:paraId="437B9AE0" w14:textId="77777777" w:rsidR="00DF410E" w:rsidRDefault="00CE7F43">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77F15651" w14:textId="77777777" w:rsidR="00DF410E" w:rsidRDefault="00CE7F43">
      <w:r>
        <w:rPr>
          <w:b/>
          <w:i/>
        </w:rPr>
        <w:t> (Soit)</w:t>
      </w:r>
    </w:p>
    <w:p w14:paraId="0089648E" w14:textId="77777777" w:rsidR="00DF410E" w:rsidRDefault="00CE7F43">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comptabilisée.</w:t>
      </w:r>
    </w:p>
    <w:p w14:paraId="31E34A44" w14:textId="77777777" w:rsidR="00DF410E" w:rsidRDefault="00CE7F43">
      <w:r>
        <w:rPr>
          <w:b/>
          <w:i/>
        </w:rPr>
        <w:t> (Soit)</w:t>
      </w:r>
    </w:p>
    <w:p w14:paraId="77A4F2C2" w14:textId="77777777" w:rsidR="00DF410E" w:rsidRDefault="00CE7F43">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14:paraId="0E0202F0" w14:textId="77777777" w:rsidR="00DF410E" w:rsidRDefault="00CE7F43">
      <w:pPr>
        <w:pStyle w:val="pheading"/>
      </w:pPr>
      <w:r>
        <w:t>- nature du marché:</w:t>
      </w:r>
    </w:p>
    <w:p w14:paraId="7E377631" w14:textId="77777777" w:rsidR="00DF410E" w:rsidRDefault="00CE7F43">
      <w:r>
        <w:rPr>
          <w:rStyle w:val="optioncarChar"/>
        </w:rPr>
        <w:t>QF </w:t>
      </w:r>
      <w:r>
        <w:t>(par défaut) </w:t>
      </w:r>
      <w:r>
        <w:rPr>
          <w:rStyle w:val="optioncarChar"/>
        </w:rPr>
        <w:t>/ QP</w:t>
      </w:r>
    </w:p>
    <w:p w14:paraId="30BE412B" w14:textId="77777777" w:rsidR="00DF410E" w:rsidRDefault="00CE7F43">
      <w:r>
        <w:rPr>
          <w:b/>
          <w:i/>
        </w:rPr>
        <w:t>(Soit par défaut)</w:t>
      </w:r>
    </w:p>
    <w:p w14:paraId="0DD6E2C5" w14:textId="77777777" w:rsidR="00DF410E" w:rsidRDefault="00CE7F43">
      <w:r>
        <w:rPr>
          <w:rStyle w:val="soitChar"/>
        </w:rPr>
        <w:t>1.2.3     QF</w:t>
      </w:r>
    </w:p>
    <w:p w14:paraId="07C6525F" w14:textId="77777777" w:rsidR="00DF410E" w:rsidRDefault="00CE7F43">
      <w:r>
        <w:rPr>
          <w:b/>
          <w:i/>
        </w:rPr>
        <w:t>(Soit)</w:t>
      </w:r>
    </w:p>
    <w:p w14:paraId="5E52BFD5" w14:textId="77777777" w:rsidR="00DF410E" w:rsidRDefault="00CE7F43">
      <w:r>
        <w:rPr>
          <w:rStyle w:val="soitChar"/>
        </w:rPr>
        <w:t>1.2.3     QP</w:t>
      </w:r>
    </w:p>
    <w:p w14:paraId="2796267F" w14:textId="77777777" w:rsidR="00DF410E" w:rsidRDefault="00CE7F43">
      <w:pPr>
        <w:pStyle w:val="pheading"/>
      </w:pPr>
      <w:r>
        <w:t>AIDE</w:t>
      </w:r>
    </w:p>
    <w:p w14:paraId="464FA0FD" w14:textId="77777777" w:rsidR="00DF410E" w:rsidRDefault="00CE7F43">
      <w:pPr>
        <w:jc w:val="both"/>
      </w:pPr>
      <w:r>
        <w:t>Le code suivant peut être utilisé pour la dénomination du poste :</w:t>
      </w:r>
    </w:p>
    <w:p w14:paraId="77DFF55B" w14:textId="77777777" w:rsidR="00DF410E" w:rsidRDefault="00CE7F43">
      <w:pPr>
        <w:jc w:val="both"/>
      </w:pPr>
      <w:r>
        <w:t>CLT 1 / 2 / 3 / 4 / 5</w:t>
      </w:r>
    </w:p>
    <w:p w14:paraId="65D49007" w14:textId="77777777" w:rsidR="00DF410E" w:rsidRDefault="00CE7F43">
      <w:pPr>
        <w:jc w:val="both"/>
      </w:pPr>
      <w:r>
        <w:t>Avec :</w:t>
      </w:r>
    </w:p>
    <w:p w14:paraId="26A65302" w14:textId="77777777" w:rsidR="00DF410E" w:rsidRDefault="00CE7F43">
      <w:pPr>
        <w:jc w:val="both"/>
      </w:pPr>
      <w:r>
        <w:t>CLT pour bois lamellé collé en bloc</w:t>
      </w:r>
    </w:p>
    <w:p w14:paraId="55CB2DDF" w14:textId="77777777" w:rsidR="00DF410E" w:rsidRDefault="00CE7F43">
      <w:pPr>
        <w:jc w:val="both"/>
      </w:pPr>
      <w:r>
        <w:t>1 : nombre de plis</w:t>
      </w:r>
    </w:p>
    <w:p w14:paraId="6EAB9C0D" w14:textId="77777777" w:rsidR="00DF410E" w:rsidRDefault="00CE7F43">
      <w:pPr>
        <w:jc w:val="both"/>
      </w:pPr>
      <w:r>
        <w:t>2 : qualité esthétique</w:t>
      </w:r>
    </w:p>
    <w:p w14:paraId="488E88F9" w14:textId="77777777" w:rsidR="00DF410E" w:rsidRDefault="00CE7F43">
      <w:pPr>
        <w:jc w:val="both"/>
      </w:pPr>
      <w:r>
        <w:t>3 : L’essence utilisée</w:t>
      </w:r>
    </w:p>
    <w:p w14:paraId="1F2981D0" w14:textId="77777777" w:rsidR="00DF410E" w:rsidRDefault="00CE7F43">
      <w:pPr>
        <w:jc w:val="both"/>
      </w:pPr>
      <w:r>
        <w:t>4 : la classe d’emploi des poutres et barres</w:t>
      </w:r>
    </w:p>
    <w:p w14:paraId="1665DBBC" w14:textId="77777777" w:rsidR="00DF410E" w:rsidRDefault="00CE7F43">
      <w:pPr>
        <w:jc w:val="both"/>
      </w:pPr>
      <w:r>
        <w:t>5 : la méthode utilisée pour garantir la durabilité des poutres et barres</w:t>
      </w:r>
    </w:p>
    <w:p w14:paraId="5CAB8699" w14:textId="77777777" w:rsidR="00DF410E" w:rsidRDefault="00CE7F43">
      <w:pPr>
        <w:jc w:val="both"/>
      </w:pPr>
      <w:r>
        <w:t>Ce qui donne, par exemple :</w:t>
      </w:r>
    </w:p>
    <w:p w14:paraId="3B578A7A" w14:textId="77777777" w:rsidR="00DF410E" w:rsidRDefault="00CE7F43">
      <w:pPr>
        <w:jc w:val="both"/>
      </w:pPr>
      <w:r>
        <w:t>CLT 5s / non-visible / épicéa / 2 / A2.2</w:t>
      </w:r>
    </w:p>
    <w:p w14:paraId="28683D91" w14:textId="77777777" w:rsidR="00DF410E" w:rsidRDefault="00CE7F43">
      <w:pPr>
        <w:pStyle w:val="Author-eSectionHeading5"/>
      </w:pPr>
      <w:bookmarkStart w:id="1604" w:name="_Toc178838698"/>
      <w:r>
        <w:t>24.13.5 Poutres et barres en LVL CCTB 01.07</w:t>
      </w:r>
      <w:bookmarkEnd w:id="1604"/>
    </w:p>
    <w:p w14:paraId="420EB5F2" w14:textId="77777777" w:rsidR="00DF410E" w:rsidRDefault="00CE7F43">
      <w:pPr>
        <w:pStyle w:val="pheading"/>
      </w:pPr>
      <w:r>
        <w:t>DESCRIPTION</w:t>
      </w:r>
    </w:p>
    <w:p w14:paraId="4966EFB0" w14:textId="77777777" w:rsidR="00DF410E" w:rsidRDefault="00CE7F43">
      <w:pPr>
        <w:pStyle w:val="pheading"/>
      </w:pPr>
      <w:r>
        <w:t>- Définition / Comprend</w:t>
      </w:r>
    </w:p>
    <w:p w14:paraId="0D060690" w14:textId="77777777" w:rsidR="00DF410E" w:rsidRDefault="00CE7F43">
      <w:r>
        <w:t xml:space="preserve">Il s’agit des poutres et barres en LVL. La notion de LVL est expliquée au </w:t>
      </w:r>
      <w:hyperlink w:anchor="89" w:history="1">
        <w:r>
          <w:t>24 Superstructures en bois</w:t>
        </w:r>
      </w:hyperlink>
      <w:r>
        <w:t>.</w:t>
      </w:r>
    </w:p>
    <w:p w14:paraId="3B366AB3" w14:textId="77777777" w:rsidR="00DF410E" w:rsidRDefault="00CE7F43">
      <w:pPr>
        <w:pStyle w:val="Author-eSectionHeading6"/>
      </w:pPr>
      <w:bookmarkStart w:id="1605" w:name="_Toc178838699"/>
      <w:r>
        <w:t>24.13.5a Poutres et barres en LVL à inertie constante CCTB 01.11</w:t>
      </w:r>
      <w:bookmarkEnd w:id="1605"/>
    </w:p>
    <w:p w14:paraId="31A82B32" w14:textId="77777777" w:rsidR="00DF410E" w:rsidRDefault="00CE7F43">
      <w:pPr>
        <w:pStyle w:val="pheading"/>
      </w:pPr>
      <w:r>
        <w:t>DESCRIPTION</w:t>
      </w:r>
    </w:p>
    <w:p w14:paraId="1B8DF2A9" w14:textId="77777777" w:rsidR="00DF410E" w:rsidRDefault="00CE7F43">
      <w:pPr>
        <w:pStyle w:val="pheading"/>
      </w:pPr>
      <w:r>
        <w:t>- Définition / Comprend</w:t>
      </w:r>
    </w:p>
    <w:p w14:paraId="2FA2FA8A" w14:textId="77777777" w:rsidR="00DF410E" w:rsidRDefault="00CE7F43">
      <w:r>
        <w:t>Il s'agit de l’ensemble des poutres et barres en LVL et à inertie constante.</w:t>
      </w:r>
    </w:p>
    <w:p w14:paraId="1A723C01" w14:textId="77777777" w:rsidR="00DF410E" w:rsidRDefault="00CE7F43">
      <w:pPr>
        <w:pStyle w:val="pheading"/>
      </w:pPr>
      <w:r>
        <w:t>MATÉRIAUX</w:t>
      </w:r>
    </w:p>
    <w:p w14:paraId="2B74AADC" w14:textId="77777777" w:rsidR="00DF410E" w:rsidRDefault="00CE7F43">
      <w:pPr>
        <w:pStyle w:val="pheading"/>
      </w:pPr>
      <w:r>
        <w:t>- Caractéristiques générales</w:t>
      </w:r>
    </w:p>
    <w:p w14:paraId="35CB921D" w14:textId="77777777" w:rsidR="00DF410E" w:rsidRDefault="00CE7F43">
      <w:pPr>
        <w:jc w:val="both"/>
      </w:pPr>
      <w:r>
        <w:t>Dimensions de la section :</w:t>
      </w:r>
      <w:r>
        <w:rPr>
          <w:rStyle w:val="optioncarChar"/>
        </w:rPr>
        <w:t xml:space="preserve"> Voir plans </w:t>
      </w:r>
      <w:r>
        <w:t xml:space="preserve">(par défaut) </w:t>
      </w:r>
      <w:r>
        <w:rPr>
          <w:rStyle w:val="optioncarChar"/>
        </w:rPr>
        <w:t>/ *** x *** mm²</w:t>
      </w:r>
    </w:p>
    <w:p w14:paraId="5DB1345B" w14:textId="77777777" w:rsidR="00DF410E" w:rsidRDefault="00CE7F43">
      <w:pPr>
        <w:jc w:val="both"/>
      </w:pPr>
      <w:r>
        <w:t xml:space="preserve">Type de LVL : </w:t>
      </w:r>
      <w:r>
        <w:rPr>
          <w:rStyle w:val="optioncarChar"/>
        </w:rPr>
        <w:t>S</w:t>
      </w:r>
      <w:r>
        <w:t xml:space="preserve"> (par défaut) </w:t>
      </w:r>
      <w:r>
        <w:rPr>
          <w:rStyle w:val="optioncarChar"/>
        </w:rPr>
        <w:t>/ Q</w:t>
      </w:r>
    </w:p>
    <w:p w14:paraId="72326E62" w14:textId="77777777" w:rsidR="00DF410E" w:rsidRDefault="00CE7F43">
      <w:pPr>
        <w:jc w:val="both"/>
      </w:pPr>
      <w:r>
        <w:t>Caractéristiques mécaniques :</w:t>
      </w:r>
    </w:p>
    <w:p w14:paraId="13C191F3" w14:textId="77777777" w:rsidR="00DF410E" w:rsidRDefault="00CE7F43">
      <w:pPr>
        <w:pStyle w:val="Author-eListParagraph"/>
        <w:numPr>
          <w:ilvl w:val="0"/>
          <w:numId w:val="859"/>
        </w:numPr>
      </w:pPr>
      <w:r>
        <w:t>Résistance minimale en flexion à chant :</w:t>
      </w:r>
      <w:r>
        <w:rPr>
          <w:rStyle w:val="optioncarChar"/>
        </w:rPr>
        <w:t> 40 MPa</w:t>
      </w:r>
      <w:r>
        <w:t> (par défaut)</w:t>
      </w:r>
      <w:r>
        <w:rPr>
          <w:rStyle w:val="optioncarChar"/>
        </w:rPr>
        <w:t> / ***</w:t>
      </w:r>
    </w:p>
    <w:p w14:paraId="0408E3EF" w14:textId="77777777" w:rsidR="00DF410E" w:rsidRDefault="00CE7F43">
      <w:pPr>
        <w:pStyle w:val="Author-eListParagraph"/>
        <w:numPr>
          <w:ilvl w:val="0"/>
          <w:numId w:val="859"/>
        </w:numPr>
      </w:pPr>
      <w:r>
        <w:t>Résistance minimale en flexion à plat : </w:t>
      </w:r>
      <w:r>
        <w:rPr>
          <w:rStyle w:val="optioncarChar"/>
        </w:rPr>
        <w:t>40 MPa </w:t>
      </w:r>
      <w:r>
        <w:t>(par défaut) </w:t>
      </w:r>
      <w:r>
        <w:rPr>
          <w:rStyle w:val="optioncarChar"/>
        </w:rPr>
        <w:t>/ ***</w:t>
      </w:r>
    </w:p>
    <w:p w14:paraId="641CF454" w14:textId="77777777" w:rsidR="00DF410E" w:rsidRDefault="00CE7F43">
      <w:pPr>
        <w:pStyle w:val="Author-eListParagraph"/>
        <w:numPr>
          <w:ilvl w:val="0"/>
          <w:numId w:val="859"/>
        </w:numPr>
      </w:pPr>
      <w:r>
        <w:t>Résistance minimale en traction parallèle au fil du bois : </w:t>
      </w:r>
      <w:r>
        <w:rPr>
          <w:rStyle w:val="optioncarChar"/>
        </w:rPr>
        <w:t>30 MPa </w:t>
      </w:r>
      <w:r>
        <w:t>(par défaut)</w:t>
      </w:r>
      <w:r>
        <w:rPr>
          <w:rStyle w:val="optioncarChar"/>
        </w:rPr>
        <w:t> / ***</w:t>
      </w:r>
    </w:p>
    <w:p w14:paraId="45D636AC" w14:textId="77777777" w:rsidR="00DF410E" w:rsidRDefault="00CE7F43">
      <w:pPr>
        <w:pStyle w:val="Author-eListParagraph"/>
        <w:numPr>
          <w:ilvl w:val="0"/>
          <w:numId w:val="859"/>
        </w:numPr>
      </w:pPr>
      <w:r>
        <w:t>Résistance minimale en compression parallèle au fil du bois : </w:t>
      </w:r>
      <w:r>
        <w:rPr>
          <w:rStyle w:val="optioncarChar"/>
        </w:rPr>
        <w:t>30 MPa </w:t>
      </w:r>
      <w:r>
        <w:t>(par défaut)</w:t>
      </w:r>
      <w:r>
        <w:rPr>
          <w:rStyle w:val="optioncarChar"/>
        </w:rPr>
        <w:t> / ***</w:t>
      </w:r>
    </w:p>
    <w:p w14:paraId="45FC3D80" w14:textId="77777777" w:rsidR="00DF410E" w:rsidRDefault="00CE7F43">
      <w:pPr>
        <w:pStyle w:val="Author-eListParagraph"/>
        <w:numPr>
          <w:ilvl w:val="0"/>
          <w:numId w:val="859"/>
        </w:numPr>
      </w:pPr>
      <w:r>
        <w:t>Résistance minimale en cisaillement à chant :</w:t>
      </w:r>
      <w:r>
        <w:rPr>
          <w:rStyle w:val="optioncarChar"/>
        </w:rPr>
        <w:t> 5 MPa </w:t>
      </w:r>
      <w:r>
        <w:t>(par défaut)</w:t>
      </w:r>
      <w:r>
        <w:rPr>
          <w:rStyle w:val="optioncarChar"/>
        </w:rPr>
        <w:t> / ***</w:t>
      </w:r>
    </w:p>
    <w:p w14:paraId="78D0293E" w14:textId="77777777" w:rsidR="00DF410E" w:rsidRDefault="00CE7F43">
      <w:pPr>
        <w:pStyle w:val="Author-eListParagraph"/>
        <w:numPr>
          <w:ilvl w:val="0"/>
          <w:numId w:val="859"/>
        </w:numPr>
      </w:pPr>
      <w:r>
        <w:t>Résistance minimale en cisaillement à plat : </w:t>
      </w:r>
      <w:r>
        <w:rPr>
          <w:rStyle w:val="optioncarChar"/>
        </w:rPr>
        <w:t>4 MPa </w:t>
      </w:r>
      <w:r>
        <w:t>(par défaut)</w:t>
      </w:r>
      <w:r>
        <w:rPr>
          <w:rStyle w:val="optioncarChar"/>
        </w:rPr>
        <w:t> / ***</w:t>
      </w:r>
    </w:p>
    <w:p w14:paraId="64CB363E" w14:textId="77777777" w:rsidR="00DF410E" w:rsidRDefault="00CE7F43">
      <w:pPr>
        <w:pStyle w:val="Author-eListParagraph"/>
        <w:numPr>
          <w:ilvl w:val="0"/>
          <w:numId w:val="859"/>
        </w:numPr>
      </w:pPr>
      <w:r>
        <w:t>Module d’élasticité minimum parallèle au fil du bois (au fractile 5%) : </w:t>
      </w:r>
      <w:r>
        <w:rPr>
          <w:rStyle w:val="optioncarChar"/>
        </w:rPr>
        <w:t>9 GPa </w:t>
      </w:r>
      <w:r>
        <w:t>(par défaut)</w:t>
      </w:r>
      <w:r>
        <w:rPr>
          <w:rStyle w:val="optioncarChar"/>
        </w:rPr>
        <w:t> / ***</w:t>
      </w:r>
    </w:p>
    <w:p w14:paraId="62ECD924" w14:textId="77777777" w:rsidR="00DF410E" w:rsidRDefault="00CE7F43">
      <w:pPr>
        <w:pStyle w:val="Author-eListParagraph"/>
        <w:numPr>
          <w:ilvl w:val="0"/>
          <w:numId w:val="859"/>
        </w:numPr>
      </w:pPr>
      <w:r>
        <w:t>Module de cisaillement à chant : </w:t>
      </w:r>
      <w:r>
        <w:rPr>
          <w:rStyle w:val="optioncarChar"/>
        </w:rPr>
        <w:t>600 MPa </w:t>
      </w:r>
      <w:r>
        <w:t>(par défaut)</w:t>
      </w:r>
      <w:r>
        <w:rPr>
          <w:rStyle w:val="optioncarChar"/>
        </w:rPr>
        <w:t> / ***</w:t>
      </w:r>
    </w:p>
    <w:p w14:paraId="33531425" w14:textId="77777777" w:rsidR="00DF410E" w:rsidRDefault="00CE7F43">
      <w:pPr>
        <w:pStyle w:val="Author-eListParagraph"/>
        <w:numPr>
          <w:ilvl w:val="0"/>
          <w:numId w:val="859"/>
        </w:numPr>
      </w:pPr>
      <w:r>
        <w:t>Module de cisaillement à plat :</w:t>
      </w:r>
      <w:r>
        <w:rPr>
          <w:rStyle w:val="optioncarChar"/>
        </w:rPr>
        <w:t> 400 MPa </w:t>
      </w:r>
      <w:r>
        <w:t>(par défaut)</w:t>
      </w:r>
      <w:r>
        <w:rPr>
          <w:rStyle w:val="optioncarChar"/>
        </w:rPr>
        <w:t> / ***</w:t>
      </w:r>
    </w:p>
    <w:p w14:paraId="15388FA8" w14:textId="77777777" w:rsidR="00DF410E" w:rsidRDefault="00CE7F43">
      <w:pPr>
        <w:jc w:val="both"/>
      </w:pPr>
      <w:r>
        <w:t xml:space="preserve">Courbure des poutres et barres : </w:t>
      </w:r>
      <w:r>
        <w:rPr>
          <w:rStyle w:val="optioncarChar"/>
        </w:rPr>
        <w:t>aucune</w:t>
      </w:r>
      <w:r>
        <w:t xml:space="preserve"> (par défaut) </w:t>
      </w:r>
      <w:r>
        <w:rPr>
          <w:rStyle w:val="optioncarChar"/>
        </w:rPr>
        <w:t>/ voir plan / ***</w:t>
      </w:r>
    </w:p>
    <w:p w14:paraId="35EBED0F"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hêtre / ***</w:t>
      </w:r>
    </w:p>
    <w:p w14:paraId="36F227CD" w14:textId="77777777" w:rsidR="00DF410E" w:rsidRDefault="00CE7F43">
      <w:pPr>
        <w:jc w:val="both"/>
      </w:pPr>
      <w:r>
        <w:t xml:space="preserve">Classe d’emploi : </w:t>
      </w:r>
      <w:r>
        <w:rPr>
          <w:rStyle w:val="optioncarChar"/>
        </w:rPr>
        <w:t>1 / 2 / 3</w:t>
      </w:r>
    </w:p>
    <w:p w14:paraId="02EDA4AA" w14:textId="77777777" w:rsidR="00DF410E" w:rsidRDefault="00CE7F43">
      <w:pPr>
        <w:jc w:val="both"/>
      </w:pPr>
      <w:r>
        <w:t>Le fournisseur de la poutre/barre en LVL déclare la classe d’emploi maximale dans laquelle l’élément peut être mis en œuvre. Celle-ci est au minimum égale à la classe d’emploi prescrite.</w:t>
      </w:r>
    </w:p>
    <w:p w14:paraId="71D2C248" w14:textId="77777777" w:rsidR="00DF410E" w:rsidRDefault="00CE7F43">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3D742AA9" w14:textId="77777777" w:rsidR="00DF410E" w:rsidRDefault="00CE7F43">
      <w:pPr>
        <w:jc w:val="both"/>
      </w:pPr>
      <w:r>
        <w:t xml:space="preserve">Classe d’émission de formaldéhyde : </w:t>
      </w:r>
      <w:r>
        <w:rPr>
          <w:rStyle w:val="optioncarChar"/>
        </w:rPr>
        <w:t xml:space="preserve">E1 </w:t>
      </w:r>
      <w:r>
        <w:t xml:space="preserve">(par défaut) </w:t>
      </w:r>
      <w:r>
        <w:rPr>
          <w:rStyle w:val="optioncarChar"/>
        </w:rPr>
        <w:t>/ E2</w:t>
      </w:r>
    </w:p>
    <w:p w14:paraId="2C957288" w14:textId="77777777" w:rsidR="00DF410E" w:rsidRDefault="00CE7F43">
      <w:pPr>
        <w:pStyle w:val="pheading"/>
      </w:pPr>
      <w:r>
        <w:t>- Finitions</w:t>
      </w:r>
    </w:p>
    <w:p w14:paraId="7C579CC6" w14:textId="77777777" w:rsidR="00DF410E" w:rsidRDefault="00CE7F43">
      <w:pPr>
        <w:jc w:val="both"/>
      </w:pPr>
      <w:r>
        <w:t xml:space="preserve">Les poutres et barres en LVL sont </w:t>
      </w:r>
      <w:r>
        <w:rPr>
          <w:rStyle w:val="optioncarChar"/>
        </w:rPr>
        <w:t xml:space="preserve">non-poncées </w:t>
      </w:r>
      <w:r>
        <w:t xml:space="preserve">(par défaut) </w:t>
      </w:r>
      <w:r>
        <w:rPr>
          <w:rStyle w:val="optioncarChar"/>
        </w:rPr>
        <w:t>/ poncées / ***</w:t>
      </w:r>
      <w:r>
        <w:t xml:space="preserve"> sur </w:t>
      </w:r>
      <w:r>
        <w:rPr>
          <w:rStyle w:val="optioncarChar"/>
        </w:rPr>
        <w:t>1 / 2 / 3 / 4</w:t>
      </w:r>
      <w:r>
        <w:t xml:space="preserve"> faces</w:t>
      </w:r>
    </w:p>
    <w:p w14:paraId="4826622C" w14:textId="77777777" w:rsidR="00DF410E" w:rsidRDefault="00CE7F43">
      <w:pPr>
        <w:jc w:val="both"/>
      </w:pPr>
      <w:r>
        <w:t xml:space="preserve">Les arrêtes sont </w:t>
      </w:r>
      <w:r>
        <w:rPr>
          <w:rStyle w:val="optioncarChar"/>
        </w:rPr>
        <w:t xml:space="preserve">vives </w:t>
      </w:r>
      <w:r>
        <w:t>(par défaut)</w:t>
      </w:r>
      <w:r>
        <w:rPr>
          <w:rStyle w:val="optioncarChar"/>
        </w:rPr>
        <w:t xml:space="preserve"> / chanfreinées / ***</w:t>
      </w:r>
    </w:p>
    <w:p w14:paraId="039110C6" w14:textId="77777777" w:rsidR="00DF410E" w:rsidRDefault="00CE7F43">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6F3D26C9" w14:textId="77777777" w:rsidR="00DF410E" w:rsidRDefault="00CE7F43">
      <w:pPr>
        <w:pStyle w:val="pheading"/>
      </w:pPr>
      <w:r>
        <w:t>EXÉCUTION / MISE EN ŒUVRE</w:t>
      </w:r>
    </w:p>
    <w:p w14:paraId="1805E954" w14:textId="77777777" w:rsidR="00DF410E" w:rsidRDefault="00CE7F43">
      <w:pPr>
        <w:pStyle w:val="pheading"/>
      </w:pPr>
      <w:r>
        <w:t>- Prescriptions générales</w:t>
      </w:r>
    </w:p>
    <w:p w14:paraId="35D4FC2E"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46DB412F" w14:textId="77777777" w:rsidR="00DF410E" w:rsidRDefault="00CE7F43">
      <w:pPr>
        <w:pStyle w:val="pheading"/>
      </w:pPr>
      <w:r>
        <w:t>MESURAGE</w:t>
      </w:r>
    </w:p>
    <w:p w14:paraId="6460850F" w14:textId="77777777" w:rsidR="00DF410E" w:rsidRDefault="00CE7F43">
      <w:pPr>
        <w:pStyle w:val="pheading"/>
      </w:pPr>
      <w:r>
        <w:t>- unité de mesure:</w:t>
      </w:r>
    </w:p>
    <w:p w14:paraId="65DD7A3F" w14:textId="77777777" w:rsidR="00DF410E" w:rsidRDefault="00CE7F43">
      <w:r>
        <w:rPr>
          <w:rStyle w:val="optioncarChar"/>
        </w:rPr>
        <w:t>m³ </w:t>
      </w:r>
      <w:r>
        <w:t>(par défaut)</w:t>
      </w:r>
      <w:r>
        <w:rPr>
          <w:rStyle w:val="optioncarChar"/>
        </w:rPr>
        <w:t> / m / pc</w:t>
      </w:r>
    </w:p>
    <w:p w14:paraId="7CA7AF01" w14:textId="77777777" w:rsidR="00DF410E" w:rsidRDefault="00CE7F43">
      <w:r>
        <w:rPr>
          <w:b/>
          <w:i/>
        </w:rPr>
        <w:t>(Soit par défaut)</w:t>
      </w:r>
    </w:p>
    <w:p w14:paraId="47F1BDB0" w14:textId="77777777" w:rsidR="00DF410E" w:rsidRDefault="00CE7F43">
      <w:r>
        <w:rPr>
          <w:rStyle w:val="soitChar"/>
        </w:rPr>
        <w:t>1.    m³ </w:t>
      </w:r>
    </w:p>
    <w:p w14:paraId="2006DA63" w14:textId="77777777" w:rsidR="00DF410E" w:rsidRDefault="00CE7F43">
      <w:r>
        <w:rPr>
          <w:b/>
          <w:i/>
        </w:rPr>
        <w:t>(Soit)</w:t>
      </w:r>
    </w:p>
    <w:p w14:paraId="41F4CC73" w14:textId="77777777" w:rsidR="00DF410E" w:rsidRDefault="00CE7F43">
      <w:r>
        <w:rPr>
          <w:rStyle w:val="soitChar"/>
        </w:rPr>
        <w:t>2.    m </w:t>
      </w:r>
    </w:p>
    <w:p w14:paraId="6754325D" w14:textId="77777777" w:rsidR="00DF410E" w:rsidRDefault="00CE7F43">
      <w:r>
        <w:rPr>
          <w:b/>
          <w:i/>
        </w:rPr>
        <w:t>(Soit)</w:t>
      </w:r>
    </w:p>
    <w:p w14:paraId="241D0AC7" w14:textId="77777777" w:rsidR="00DF410E" w:rsidRDefault="00CE7F43">
      <w:r>
        <w:rPr>
          <w:rStyle w:val="soitChar"/>
        </w:rPr>
        <w:t>3.    pc</w:t>
      </w:r>
    </w:p>
    <w:p w14:paraId="09334AD7" w14:textId="77777777" w:rsidR="00DF410E" w:rsidRDefault="00CE7F43">
      <w:pPr>
        <w:pStyle w:val="pheading"/>
      </w:pPr>
      <w:r>
        <w:t>- code de mesurage:</w:t>
      </w:r>
    </w:p>
    <w:p w14:paraId="0FCAC5B8" w14:textId="77777777" w:rsidR="00DF410E" w:rsidRDefault="00CE7F43">
      <w:pPr>
        <w:jc w:val="both"/>
      </w:pPr>
      <w:r>
        <w:rPr>
          <w:rStyle w:val="optioncarChar"/>
        </w:rPr>
        <w:t> Volume brut</w:t>
      </w:r>
      <w:r>
        <w:t> (par défaut) </w:t>
      </w:r>
      <w:r>
        <w:rPr>
          <w:rStyle w:val="optioncarChar"/>
        </w:rPr>
        <w:t>/ Longueur brute / Quantité nette</w:t>
      </w:r>
    </w:p>
    <w:p w14:paraId="710FCC61" w14:textId="77777777" w:rsidR="00DF410E" w:rsidRDefault="00CE7F43">
      <w:pPr>
        <w:jc w:val="both"/>
      </w:pPr>
      <w:r>
        <w:rPr>
          <w:b/>
          <w:i/>
        </w:rPr>
        <w:t>(Soit par défaut)</w:t>
      </w:r>
    </w:p>
    <w:p w14:paraId="06208959" w14:textId="77777777" w:rsidR="00DF410E" w:rsidRDefault="00CE7F43">
      <w:pPr>
        <w:jc w:val="both"/>
      </w:pPr>
      <w:r>
        <w:rPr>
          <w:rStyle w:val="soitChar"/>
        </w:rPr>
        <w:t>1.   </w:t>
      </w:r>
      <w:r>
        <w:rPr>
          <w:rStyle w:val="soitChar"/>
          <w:u w:val="single"/>
        </w:rPr>
        <w:t> Volume brut :</w:t>
      </w:r>
    </w:p>
    <w:p w14:paraId="2941C239" w14:textId="77777777" w:rsidR="00DF410E" w:rsidRDefault="00CE7F43">
      <w:pPr>
        <w:jc w:val="both"/>
      </w:pPr>
      <w:r>
        <w:rPr>
          <w:rStyle w:val="soitChar"/>
        </w:rPr>
        <w:t>Le volume brut d’une poutre/barre est calculé suivant l'épaisseur prescrite au cahier spécial des charges.</w:t>
      </w:r>
    </w:p>
    <w:p w14:paraId="5AC4C299" w14:textId="77777777" w:rsidR="00DF410E" w:rsidRDefault="00CE7F43">
      <w:pPr>
        <w:jc w:val="both"/>
      </w:pPr>
      <w:r>
        <w:rPr>
          <w:b/>
          <w:i/>
        </w:rPr>
        <w:t> (Soit)</w:t>
      </w:r>
    </w:p>
    <w:p w14:paraId="496A42C5" w14:textId="77777777" w:rsidR="00DF410E" w:rsidRDefault="00CE7F43">
      <w:pPr>
        <w:jc w:val="both"/>
      </w:pPr>
      <w:r>
        <w:rPr>
          <w:rStyle w:val="soitChar"/>
        </w:rPr>
        <w:t>2.    </w:t>
      </w:r>
      <w:r>
        <w:rPr>
          <w:rStyle w:val="soitChar"/>
          <w:u w:val="single"/>
        </w:rPr>
        <w:t>Longueur brute :</w:t>
      </w:r>
    </w:p>
    <w:p w14:paraId="0C905B95" w14:textId="77777777" w:rsidR="00DF410E" w:rsidRDefault="00CE7F43">
      <w:pPr>
        <w:jc w:val="both"/>
      </w:pPr>
      <w:r>
        <w:rPr>
          <w:rStyle w:val="soitChar"/>
        </w:rPr>
        <w:t>La longueur brute d’un élément est la cote maximale dans la direction longitudinale, longueur de bois utile pour l’assemblage comprise. </w:t>
      </w:r>
    </w:p>
    <w:p w14:paraId="191618B5" w14:textId="77777777" w:rsidR="00DF410E" w:rsidRDefault="00CE7F43">
      <w:pPr>
        <w:jc w:val="both"/>
      </w:pPr>
      <w:r>
        <w:rPr>
          <w:rStyle w:val="soitChar"/>
        </w:rPr>
        <w:t>La longueur totale des poutres et barres ayant la même section et les mêmes caractéristiques est comptabilisée.</w:t>
      </w:r>
    </w:p>
    <w:p w14:paraId="7FBE865B" w14:textId="77777777" w:rsidR="00DF410E" w:rsidRDefault="00CE7F43">
      <w:pPr>
        <w:jc w:val="both"/>
      </w:pPr>
      <w:r>
        <w:rPr>
          <w:b/>
          <w:i/>
        </w:rPr>
        <w:t> (Soit)</w:t>
      </w:r>
    </w:p>
    <w:p w14:paraId="4B355083" w14:textId="77777777" w:rsidR="00DF410E" w:rsidRDefault="00CE7F43">
      <w:pPr>
        <w:jc w:val="both"/>
      </w:pPr>
      <w:r>
        <w:rPr>
          <w:rStyle w:val="soitChar"/>
        </w:rPr>
        <w:t>3.    </w:t>
      </w:r>
      <w:r>
        <w:rPr>
          <w:rStyle w:val="soitChar"/>
          <w:u w:val="single"/>
        </w:rPr>
        <w:t>Quantité nette :</w:t>
      </w:r>
    </w:p>
    <w:p w14:paraId="575E8A61" w14:textId="77777777" w:rsidR="00DF410E" w:rsidRDefault="00CE7F43">
      <w:pPr>
        <w:jc w:val="both"/>
      </w:pPr>
      <w:r>
        <w:rPr>
          <w:rStyle w:val="soitChar"/>
        </w:rPr>
        <w:t>Le nombre de poutres et barres ayant les mêmes dimensions et les mêmes caractéristiques est compatibilisé.</w:t>
      </w:r>
    </w:p>
    <w:p w14:paraId="60EF8E71" w14:textId="77777777" w:rsidR="00DF410E" w:rsidRDefault="00CE7F43">
      <w:pPr>
        <w:pStyle w:val="pheading"/>
      </w:pPr>
      <w:r>
        <w:t>- nature du marché:</w:t>
      </w:r>
    </w:p>
    <w:p w14:paraId="613871C5" w14:textId="77777777" w:rsidR="00DF410E" w:rsidRDefault="00CE7F43">
      <w:r>
        <w:rPr>
          <w:rStyle w:val="optioncarChar"/>
        </w:rPr>
        <w:t>QF</w:t>
      </w:r>
      <w:r>
        <w:t> (par défaut)</w:t>
      </w:r>
      <w:r>
        <w:rPr>
          <w:rStyle w:val="optioncarChar"/>
        </w:rPr>
        <w:t> / QP</w:t>
      </w:r>
    </w:p>
    <w:p w14:paraId="4D7181E9" w14:textId="77777777" w:rsidR="00DF410E" w:rsidRDefault="00CE7F43">
      <w:r>
        <w:rPr>
          <w:b/>
          <w:i/>
        </w:rPr>
        <w:t>(Soit par défaut)</w:t>
      </w:r>
    </w:p>
    <w:p w14:paraId="16919E57" w14:textId="77777777" w:rsidR="00DF410E" w:rsidRDefault="00CE7F43">
      <w:r>
        <w:rPr>
          <w:rStyle w:val="soitChar"/>
        </w:rPr>
        <w:t>1.2.3     QF</w:t>
      </w:r>
    </w:p>
    <w:p w14:paraId="6B742926" w14:textId="77777777" w:rsidR="00DF410E" w:rsidRDefault="00CE7F43">
      <w:r>
        <w:rPr>
          <w:b/>
          <w:i/>
        </w:rPr>
        <w:t>(Soit)</w:t>
      </w:r>
    </w:p>
    <w:p w14:paraId="625B83D3" w14:textId="77777777" w:rsidR="00DF410E" w:rsidRDefault="00CE7F43">
      <w:r>
        <w:rPr>
          <w:rStyle w:val="soitChar"/>
        </w:rPr>
        <w:t>1.2.3     QP</w:t>
      </w:r>
    </w:p>
    <w:p w14:paraId="6BDD1A94" w14:textId="77777777" w:rsidR="00DF410E" w:rsidRDefault="00CE7F43">
      <w:pPr>
        <w:pStyle w:val="pheading"/>
      </w:pPr>
      <w:r>
        <w:t>AIDE</w:t>
      </w:r>
    </w:p>
    <w:p w14:paraId="1C51934F" w14:textId="77777777" w:rsidR="00DF410E" w:rsidRDefault="00CE7F43">
      <w:pPr>
        <w:jc w:val="both"/>
      </w:pPr>
      <w:r>
        <w:t>Le code suivant peut être utilisé pour la dénomination du poste :</w:t>
      </w:r>
    </w:p>
    <w:p w14:paraId="008CF4C7" w14:textId="77777777" w:rsidR="00DF410E" w:rsidRDefault="00CE7F43">
      <w:pPr>
        <w:jc w:val="both"/>
      </w:pPr>
      <w:r>
        <w:t>LVL 1 / 2 / 3 / 4 / 5</w:t>
      </w:r>
    </w:p>
    <w:p w14:paraId="3A9716D0" w14:textId="77777777" w:rsidR="00DF410E" w:rsidRDefault="00CE7F43">
      <w:pPr>
        <w:jc w:val="both"/>
      </w:pPr>
      <w:r>
        <w:t>Avec :</w:t>
      </w:r>
    </w:p>
    <w:p w14:paraId="5152FCF5" w14:textId="77777777" w:rsidR="00DF410E" w:rsidRDefault="00CE7F43">
      <w:pPr>
        <w:jc w:val="both"/>
      </w:pPr>
      <w:r>
        <w:t>LVL pour bois laminated veneer lumber</w:t>
      </w:r>
    </w:p>
    <w:p w14:paraId="77BF2EAC" w14:textId="77777777" w:rsidR="00DF410E" w:rsidRDefault="00CE7F43">
      <w:pPr>
        <w:jc w:val="both"/>
      </w:pPr>
      <w:r>
        <w:t>1 : Type de LVL</w:t>
      </w:r>
    </w:p>
    <w:p w14:paraId="7C6E7D5C" w14:textId="77777777" w:rsidR="00DF410E" w:rsidRDefault="00CE7F43">
      <w:pPr>
        <w:jc w:val="both"/>
      </w:pPr>
      <w:r>
        <w:t>2 : section</w:t>
      </w:r>
    </w:p>
    <w:p w14:paraId="35CC1C72" w14:textId="77777777" w:rsidR="00DF410E" w:rsidRDefault="00CE7F43">
      <w:pPr>
        <w:jc w:val="both"/>
      </w:pPr>
      <w:r>
        <w:t>3 : L’essence utilisée</w:t>
      </w:r>
    </w:p>
    <w:p w14:paraId="726C1C26" w14:textId="77777777" w:rsidR="00DF410E" w:rsidRDefault="00CE7F43">
      <w:pPr>
        <w:jc w:val="both"/>
      </w:pPr>
      <w:r>
        <w:t>4 : la classe d’emploi des poutres et barres</w:t>
      </w:r>
    </w:p>
    <w:p w14:paraId="3880DCBC" w14:textId="77777777" w:rsidR="00DF410E" w:rsidRDefault="00CE7F43">
      <w:pPr>
        <w:jc w:val="both"/>
      </w:pPr>
      <w:r>
        <w:t>5 : la méthode utilisée pour garantir la durabilité des poutres et barres</w:t>
      </w:r>
    </w:p>
    <w:p w14:paraId="42A0E6BF" w14:textId="77777777" w:rsidR="00DF410E" w:rsidRDefault="00CE7F43">
      <w:pPr>
        <w:jc w:val="both"/>
      </w:pPr>
      <w:r>
        <w:t>Ce qui donne, par exemple :</w:t>
      </w:r>
    </w:p>
    <w:p w14:paraId="31C10E0C" w14:textId="77777777" w:rsidR="00DF410E" w:rsidRDefault="00CE7F43">
      <w:pPr>
        <w:jc w:val="both"/>
      </w:pPr>
      <w:r>
        <w:t>LVL S / 200 x 90 / épicéa / 2 / A2.2</w:t>
      </w:r>
    </w:p>
    <w:p w14:paraId="5644A1F9" w14:textId="77777777" w:rsidR="00DF410E" w:rsidRDefault="00CE7F43">
      <w:pPr>
        <w:pStyle w:val="Author-eSectionHeading6"/>
      </w:pPr>
      <w:bookmarkStart w:id="1606" w:name="_Toc178838700"/>
      <w:r>
        <w:t>24.13.5b Poutres et barres en LVL à inertie variable CCTB 01.11</w:t>
      </w:r>
      <w:bookmarkEnd w:id="1606"/>
    </w:p>
    <w:p w14:paraId="2206AF77" w14:textId="77777777" w:rsidR="00DF410E" w:rsidRDefault="00CE7F43">
      <w:pPr>
        <w:pStyle w:val="pheading"/>
      </w:pPr>
      <w:r>
        <w:t>DESCRIPTION</w:t>
      </w:r>
    </w:p>
    <w:p w14:paraId="7586322F" w14:textId="77777777" w:rsidR="00DF410E" w:rsidRDefault="00CE7F43">
      <w:pPr>
        <w:pStyle w:val="pheading"/>
      </w:pPr>
      <w:r>
        <w:t>- Définition / Comprend</w:t>
      </w:r>
    </w:p>
    <w:p w14:paraId="384019A1" w14:textId="77777777" w:rsidR="00DF410E" w:rsidRDefault="00CE7F43">
      <w:r>
        <w:t>Il s'agit de l’ensemble des poutres et barres en LVL et à inertie variable.</w:t>
      </w:r>
    </w:p>
    <w:p w14:paraId="0E240657" w14:textId="77777777" w:rsidR="00DF410E" w:rsidRDefault="00CE7F43">
      <w:pPr>
        <w:pStyle w:val="pheading"/>
      </w:pPr>
      <w:r>
        <w:t>MATÉRIAUX</w:t>
      </w:r>
    </w:p>
    <w:p w14:paraId="1713EAB6" w14:textId="77777777" w:rsidR="00DF410E" w:rsidRDefault="00CE7F43">
      <w:pPr>
        <w:pStyle w:val="pheading"/>
      </w:pPr>
      <w:r>
        <w:t>- Caractéristiques générales</w:t>
      </w:r>
    </w:p>
    <w:p w14:paraId="721FF6F2" w14:textId="77777777" w:rsidR="00DF410E" w:rsidRDefault="00CE7F43">
      <w:pPr>
        <w:jc w:val="both"/>
      </w:pPr>
      <w:r>
        <w:t xml:space="preserve">Type de LVL : </w:t>
      </w:r>
      <w:r>
        <w:rPr>
          <w:rStyle w:val="optioncarChar"/>
        </w:rPr>
        <w:t xml:space="preserve">S </w:t>
      </w:r>
      <w:r>
        <w:t>(par défaut)</w:t>
      </w:r>
      <w:r>
        <w:rPr>
          <w:rStyle w:val="optioncarChar"/>
        </w:rPr>
        <w:t xml:space="preserve"> / Q</w:t>
      </w:r>
    </w:p>
    <w:p w14:paraId="4F518FE8" w14:textId="77777777" w:rsidR="00DF410E" w:rsidRDefault="00CE7F43">
      <w:pPr>
        <w:jc w:val="both"/>
      </w:pPr>
      <w:r>
        <w:t>Caractéristiques mécaniques :</w:t>
      </w:r>
    </w:p>
    <w:p w14:paraId="070AAA00" w14:textId="77777777" w:rsidR="00DF410E" w:rsidRDefault="00CE7F43">
      <w:pPr>
        <w:pStyle w:val="Author-eListParagraph"/>
        <w:numPr>
          <w:ilvl w:val="0"/>
          <w:numId w:val="860"/>
        </w:numPr>
      </w:pPr>
      <w:r>
        <w:t>Résistance minimale en flexion à chant :</w:t>
      </w:r>
      <w:r>
        <w:rPr>
          <w:rStyle w:val="optioncarChar"/>
        </w:rPr>
        <w:t> 40 MPa</w:t>
      </w:r>
      <w:r>
        <w:t> (par défaut)</w:t>
      </w:r>
      <w:r>
        <w:rPr>
          <w:rStyle w:val="optioncarChar"/>
        </w:rPr>
        <w:t> / ***</w:t>
      </w:r>
    </w:p>
    <w:p w14:paraId="3F2878FF" w14:textId="77777777" w:rsidR="00DF410E" w:rsidRDefault="00CE7F43">
      <w:pPr>
        <w:pStyle w:val="Author-eListParagraph"/>
        <w:numPr>
          <w:ilvl w:val="0"/>
          <w:numId w:val="860"/>
        </w:numPr>
      </w:pPr>
      <w:r>
        <w:t>Résistance minimale en flexion à plat : </w:t>
      </w:r>
      <w:r>
        <w:rPr>
          <w:rStyle w:val="optioncarChar"/>
        </w:rPr>
        <w:t>40 MPa </w:t>
      </w:r>
      <w:r>
        <w:t>(par défaut) </w:t>
      </w:r>
      <w:r>
        <w:rPr>
          <w:rStyle w:val="optioncarChar"/>
        </w:rPr>
        <w:t>/ ***</w:t>
      </w:r>
    </w:p>
    <w:p w14:paraId="0EB6B4EB" w14:textId="77777777" w:rsidR="00DF410E" w:rsidRDefault="00CE7F43">
      <w:pPr>
        <w:pStyle w:val="Author-eListParagraph"/>
        <w:numPr>
          <w:ilvl w:val="0"/>
          <w:numId w:val="860"/>
        </w:numPr>
      </w:pPr>
      <w:r>
        <w:t>Résistance minimale en traction parallèle au fil du bois : </w:t>
      </w:r>
      <w:r>
        <w:rPr>
          <w:rStyle w:val="optioncarChar"/>
        </w:rPr>
        <w:t>30 MPa </w:t>
      </w:r>
      <w:r>
        <w:t>(par défaut)</w:t>
      </w:r>
      <w:r>
        <w:rPr>
          <w:rStyle w:val="optioncarChar"/>
        </w:rPr>
        <w:t> / ***</w:t>
      </w:r>
    </w:p>
    <w:p w14:paraId="12474C87" w14:textId="77777777" w:rsidR="00DF410E" w:rsidRDefault="00CE7F43">
      <w:pPr>
        <w:pStyle w:val="Author-eListParagraph"/>
        <w:numPr>
          <w:ilvl w:val="0"/>
          <w:numId w:val="860"/>
        </w:numPr>
      </w:pPr>
      <w:r>
        <w:t>Résistance minimale en compression parallèle au fil du bois : </w:t>
      </w:r>
      <w:r>
        <w:rPr>
          <w:rStyle w:val="optioncarChar"/>
        </w:rPr>
        <w:t>30 MPa </w:t>
      </w:r>
      <w:r>
        <w:t>(par défaut)</w:t>
      </w:r>
      <w:r>
        <w:rPr>
          <w:rStyle w:val="optioncarChar"/>
        </w:rPr>
        <w:t> / ***</w:t>
      </w:r>
    </w:p>
    <w:p w14:paraId="544F9083" w14:textId="77777777" w:rsidR="00DF410E" w:rsidRDefault="00CE7F43">
      <w:pPr>
        <w:pStyle w:val="Author-eListParagraph"/>
        <w:numPr>
          <w:ilvl w:val="0"/>
          <w:numId w:val="860"/>
        </w:numPr>
      </w:pPr>
      <w:r>
        <w:t>Résistance minimale en cisaillement à chant :</w:t>
      </w:r>
      <w:r>
        <w:rPr>
          <w:rStyle w:val="optioncarChar"/>
        </w:rPr>
        <w:t> 5 MPa </w:t>
      </w:r>
      <w:r>
        <w:t>(par défaut)</w:t>
      </w:r>
      <w:r>
        <w:rPr>
          <w:rStyle w:val="optioncarChar"/>
        </w:rPr>
        <w:t> / ***</w:t>
      </w:r>
    </w:p>
    <w:p w14:paraId="0B67D7A5" w14:textId="77777777" w:rsidR="00DF410E" w:rsidRDefault="00CE7F43">
      <w:pPr>
        <w:pStyle w:val="Author-eListParagraph"/>
        <w:numPr>
          <w:ilvl w:val="0"/>
          <w:numId w:val="860"/>
        </w:numPr>
      </w:pPr>
      <w:r>
        <w:t>Résistance minimale en cisaillement à plat : </w:t>
      </w:r>
      <w:r>
        <w:rPr>
          <w:rStyle w:val="optioncarChar"/>
        </w:rPr>
        <w:t>4 MPa </w:t>
      </w:r>
      <w:r>
        <w:t>(par défaut)</w:t>
      </w:r>
      <w:r>
        <w:rPr>
          <w:rStyle w:val="optioncarChar"/>
        </w:rPr>
        <w:t> / ***</w:t>
      </w:r>
    </w:p>
    <w:p w14:paraId="29C8978E" w14:textId="77777777" w:rsidR="00DF410E" w:rsidRDefault="00CE7F43">
      <w:pPr>
        <w:pStyle w:val="Author-eListParagraph"/>
        <w:numPr>
          <w:ilvl w:val="0"/>
          <w:numId w:val="860"/>
        </w:numPr>
      </w:pPr>
      <w:r>
        <w:t>Module d’élasticité minimum parallèle au fil du bois (au fractile 5%) : </w:t>
      </w:r>
      <w:r>
        <w:rPr>
          <w:rStyle w:val="optioncarChar"/>
        </w:rPr>
        <w:t>9 GPa </w:t>
      </w:r>
      <w:r>
        <w:t>(par défaut)</w:t>
      </w:r>
      <w:r>
        <w:rPr>
          <w:rStyle w:val="optioncarChar"/>
        </w:rPr>
        <w:t> / ***</w:t>
      </w:r>
    </w:p>
    <w:p w14:paraId="0F6AE86C" w14:textId="77777777" w:rsidR="00DF410E" w:rsidRDefault="00CE7F43">
      <w:pPr>
        <w:pStyle w:val="Author-eListParagraph"/>
        <w:numPr>
          <w:ilvl w:val="0"/>
          <w:numId w:val="860"/>
        </w:numPr>
      </w:pPr>
      <w:r>
        <w:t>Module de cisaillement à chant : </w:t>
      </w:r>
      <w:r>
        <w:rPr>
          <w:rStyle w:val="optioncarChar"/>
        </w:rPr>
        <w:t>600 MPa </w:t>
      </w:r>
      <w:r>
        <w:t>(par défaut)</w:t>
      </w:r>
      <w:r>
        <w:rPr>
          <w:rStyle w:val="optioncarChar"/>
        </w:rPr>
        <w:t> / ***</w:t>
      </w:r>
    </w:p>
    <w:p w14:paraId="136335CD" w14:textId="77777777" w:rsidR="00DF410E" w:rsidRDefault="00CE7F43">
      <w:pPr>
        <w:pStyle w:val="Author-eListParagraph"/>
        <w:numPr>
          <w:ilvl w:val="0"/>
          <w:numId w:val="860"/>
        </w:numPr>
      </w:pPr>
      <w:r>
        <w:t>Module de cisaillement à plat :</w:t>
      </w:r>
      <w:r>
        <w:rPr>
          <w:rStyle w:val="optioncarChar"/>
        </w:rPr>
        <w:t> 400 MPa </w:t>
      </w:r>
      <w:r>
        <w:t>(par défaut)</w:t>
      </w:r>
      <w:r>
        <w:rPr>
          <w:rStyle w:val="optioncarChar"/>
        </w:rPr>
        <w:t> / ***</w:t>
      </w:r>
    </w:p>
    <w:p w14:paraId="6013C6A6" w14:textId="77777777" w:rsidR="00DF410E" w:rsidRDefault="00CE7F43">
      <w:pPr>
        <w:jc w:val="both"/>
      </w:pPr>
      <w:r>
        <w:t>La géométrie des poutres et barres est décrite dans les plans.</w:t>
      </w:r>
    </w:p>
    <w:p w14:paraId="71B8AB96" w14:textId="77777777" w:rsidR="00DF410E" w:rsidRDefault="00CE7F43">
      <w:pPr>
        <w:jc w:val="both"/>
      </w:pPr>
      <w:r>
        <w:t xml:space="preserve">Essence : </w:t>
      </w:r>
      <w:r>
        <w:rPr>
          <w:rStyle w:val="optioncarChar"/>
        </w:rPr>
        <w:t xml:space="preserve">Résineuse </w:t>
      </w:r>
      <w:r>
        <w:t>(par défaut)</w:t>
      </w:r>
      <w:r>
        <w:rPr>
          <w:rStyle w:val="optioncarChar"/>
        </w:rPr>
        <w:t xml:space="preserve"> / feuillue / épicéa / douglas / hêtre / ***</w:t>
      </w:r>
    </w:p>
    <w:p w14:paraId="549B9F2A" w14:textId="77777777" w:rsidR="00DF410E" w:rsidRDefault="00CE7F43">
      <w:pPr>
        <w:jc w:val="both"/>
      </w:pPr>
      <w:r>
        <w:t xml:space="preserve">Classe d’emploi : </w:t>
      </w:r>
      <w:r>
        <w:rPr>
          <w:rStyle w:val="optioncarChar"/>
        </w:rPr>
        <w:t>1 / 2 / 3</w:t>
      </w:r>
    </w:p>
    <w:p w14:paraId="7135E9E4" w14:textId="77777777" w:rsidR="00DF410E" w:rsidRDefault="00CE7F43">
      <w:pPr>
        <w:jc w:val="both"/>
      </w:pPr>
      <w:r>
        <w:t>Le fournisseur de la poutre/barre en LVL déclare la classe d’emploi maximale dans laquelle l’élément peut être mis en œuvre. Celle-ci est au minimum égale à la classe d’emploi prescrite.</w:t>
      </w:r>
    </w:p>
    <w:p w14:paraId="3C5AD5A7" w14:textId="77777777" w:rsidR="00DF410E" w:rsidRDefault="00CE7F43">
      <w:pPr>
        <w:jc w:val="both"/>
      </w:pPr>
      <w:r>
        <w:t xml:space="preserve">Classe d’émission de formaldéhyde : </w:t>
      </w:r>
      <w:r>
        <w:rPr>
          <w:rStyle w:val="optioncarChar"/>
        </w:rPr>
        <w:t xml:space="preserve">E1 </w:t>
      </w:r>
      <w:r>
        <w:t xml:space="preserve">(par défaut) </w:t>
      </w:r>
      <w:r>
        <w:rPr>
          <w:rStyle w:val="optioncarChar"/>
        </w:rPr>
        <w:t>/ E2</w:t>
      </w:r>
    </w:p>
    <w:p w14:paraId="03C32B08" w14:textId="77777777" w:rsidR="00DF410E" w:rsidRDefault="00CE7F43">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14:paraId="715690B2" w14:textId="77777777" w:rsidR="00DF410E" w:rsidRDefault="00CE7F43">
      <w:pPr>
        <w:pStyle w:val="pheading"/>
      </w:pPr>
      <w:r>
        <w:t>- Finitions</w:t>
      </w:r>
    </w:p>
    <w:p w14:paraId="20F9DEBF" w14:textId="77777777" w:rsidR="00DF410E" w:rsidRDefault="00CE7F43">
      <w:pPr>
        <w:jc w:val="both"/>
      </w:pPr>
      <w:r>
        <w:t xml:space="preserve">Les poutres et barres en LVL sont </w:t>
      </w:r>
      <w:r>
        <w:rPr>
          <w:rStyle w:val="optioncarChar"/>
        </w:rPr>
        <w:t>non-poncées</w:t>
      </w:r>
      <w:r>
        <w:t xml:space="preserve"> (par défaut)</w:t>
      </w:r>
      <w:r>
        <w:rPr>
          <w:rStyle w:val="optioncarChar"/>
        </w:rPr>
        <w:t xml:space="preserve"> / poncées / ***</w:t>
      </w:r>
      <w:r>
        <w:t xml:space="preserve"> sur </w:t>
      </w:r>
      <w:r>
        <w:rPr>
          <w:rStyle w:val="optioncarChar"/>
        </w:rPr>
        <w:t>1 / 2</w:t>
      </w:r>
      <w:r>
        <w:t xml:space="preserve"> (par défaut) faces</w:t>
      </w:r>
    </w:p>
    <w:p w14:paraId="2CE31663" w14:textId="77777777" w:rsidR="00DF410E" w:rsidRDefault="00CE7F43">
      <w:pPr>
        <w:jc w:val="both"/>
      </w:pPr>
      <w:r>
        <w:t xml:space="preserve">Les arrêtes sont </w:t>
      </w:r>
      <w:r>
        <w:rPr>
          <w:rStyle w:val="optioncarChar"/>
        </w:rPr>
        <w:t xml:space="preserve">vives </w:t>
      </w:r>
      <w:r>
        <w:t xml:space="preserve">(par défaut) </w:t>
      </w:r>
      <w:r>
        <w:rPr>
          <w:rStyle w:val="optioncarChar"/>
        </w:rPr>
        <w:t>/ chanfreinées / ***</w:t>
      </w:r>
    </w:p>
    <w:p w14:paraId="1EDE9501" w14:textId="77777777" w:rsidR="00DF410E" w:rsidRDefault="00CE7F43">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5C071450" w14:textId="77777777" w:rsidR="00DF410E" w:rsidRDefault="00CE7F43">
      <w:pPr>
        <w:pStyle w:val="pheading"/>
      </w:pPr>
      <w:r>
        <w:t>EXÉCUTION / MISE EN ŒUVRE</w:t>
      </w:r>
    </w:p>
    <w:p w14:paraId="16A32FCF" w14:textId="77777777" w:rsidR="00DF410E" w:rsidRDefault="00CE7F43">
      <w:pPr>
        <w:pStyle w:val="pheading"/>
      </w:pPr>
      <w:r>
        <w:t>- Prescriptions générales</w:t>
      </w:r>
    </w:p>
    <w:p w14:paraId="0D6DDD83"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4AD79EBD" w14:textId="77777777" w:rsidR="00DF410E" w:rsidRDefault="00CE7F43">
      <w:pPr>
        <w:pStyle w:val="pheading"/>
      </w:pPr>
      <w:r>
        <w:t>MESURAGE</w:t>
      </w:r>
    </w:p>
    <w:p w14:paraId="4CF1A2AF" w14:textId="77777777" w:rsidR="00DF410E" w:rsidRDefault="00CE7F43">
      <w:pPr>
        <w:pStyle w:val="pheading"/>
      </w:pPr>
      <w:r>
        <w:t>- unité de mesure:</w:t>
      </w:r>
    </w:p>
    <w:p w14:paraId="6CFAEE3C" w14:textId="77777777" w:rsidR="00DF410E" w:rsidRDefault="00CE7F43">
      <w:r>
        <w:rPr>
          <w:rStyle w:val="optioncarChar"/>
        </w:rPr>
        <w:t>m³ </w:t>
      </w:r>
      <w:r>
        <w:t>(par défaut)</w:t>
      </w:r>
      <w:r>
        <w:rPr>
          <w:rStyle w:val="optioncarChar"/>
        </w:rPr>
        <w:t> / m / pc</w:t>
      </w:r>
    </w:p>
    <w:p w14:paraId="71926BC1" w14:textId="77777777" w:rsidR="00DF410E" w:rsidRDefault="00CE7F43">
      <w:r>
        <w:rPr>
          <w:b/>
          <w:i/>
        </w:rPr>
        <w:t>(Soit par défaut)</w:t>
      </w:r>
    </w:p>
    <w:p w14:paraId="193CC3FA" w14:textId="77777777" w:rsidR="00DF410E" w:rsidRDefault="00CE7F43">
      <w:r>
        <w:rPr>
          <w:rStyle w:val="soitChar"/>
        </w:rPr>
        <w:t>1.    m³ </w:t>
      </w:r>
    </w:p>
    <w:p w14:paraId="4B3700D9" w14:textId="77777777" w:rsidR="00DF410E" w:rsidRDefault="00CE7F43">
      <w:r>
        <w:rPr>
          <w:b/>
          <w:i/>
        </w:rPr>
        <w:t>(Soit)</w:t>
      </w:r>
    </w:p>
    <w:p w14:paraId="1828530F" w14:textId="77777777" w:rsidR="00DF410E" w:rsidRDefault="00CE7F43">
      <w:r>
        <w:rPr>
          <w:rStyle w:val="soitChar"/>
        </w:rPr>
        <w:t>2.    m </w:t>
      </w:r>
    </w:p>
    <w:p w14:paraId="5E073233" w14:textId="77777777" w:rsidR="00DF410E" w:rsidRDefault="00CE7F43">
      <w:r>
        <w:rPr>
          <w:b/>
          <w:i/>
        </w:rPr>
        <w:t>(Soit)</w:t>
      </w:r>
    </w:p>
    <w:p w14:paraId="551DC0DE" w14:textId="77777777" w:rsidR="00DF410E" w:rsidRDefault="00CE7F43">
      <w:r>
        <w:rPr>
          <w:rStyle w:val="soitChar"/>
        </w:rPr>
        <w:t>3.    pc</w:t>
      </w:r>
    </w:p>
    <w:p w14:paraId="717CE587" w14:textId="77777777" w:rsidR="00DF410E" w:rsidRDefault="00CE7F43">
      <w:pPr>
        <w:pStyle w:val="pheading"/>
      </w:pPr>
      <w:r>
        <w:t>- code de mesurage:</w:t>
      </w:r>
    </w:p>
    <w:p w14:paraId="5F7E66EC" w14:textId="77777777" w:rsidR="00DF410E" w:rsidRDefault="00CE7F43">
      <w:pPr>
        <w:jc w:val="both"/>
      </w:pPr>
      <w:r>
        <w:rPr>
          <w:rStyle w:val="optioncarChar"/>
        </w:rPr>
        <w:t> Volume brut</w:t>
      </w:r>
      <w:r>
        <w:t> (par défaut)</w:t>
      </w:r>
      <w:r>
        <w:rPr>
          <w:rStyle w:val="optioncarChar"/>
        </w:rPr>
        <w:t> / Longueur brute / Quantité nette</w:t>
      </w:r>
    </w:p>
    <w:p w14:paraId="0F3F67BE" w14:textId="77777777" w:rsidR="00DF410E" w:rsidRDefault="00CE7F43">
      <w:pPr>
        <w:jc w:val="both"/>
      </w:pPr>
      <w:r>
        <w:rPr>
          <w:b/>
          <w:i/>
        </w:rPr>
        <w:t>(Soit par défaut)</w:t>
      </w:r>
    </w:p>
    <w:p w14:paraId="0E7BAF1B" w14:textId="77777777" w:rsidR="00DF410E" w:rsidRDefault="00CE7F43">
      <w:pPr>
        <w:jc w:val="both"/>
      </w:pPr>
      <w:r>
        <w:rPr>
          <w:rStyle w:val="soitChar"/>
        </w:rPr>
        <w:t>1.    </w:t>
      </w:r>
      <w:r>
        <w:rPr>
          <w:rStyle w:val="soitChar"/>
          <w:u w:val="single"/>
        </w:rPr>
        <w:t>Volume brut :</w:t>
      </w:r>
    </w:p>
    <w:p w14:paraId="39F9526F" w14:textId="77777777" w:rsidR="00DF410E" w:rsidRDefault="00CE7F43">
      <w:pPr>
        <w:jc w:val="both"/>
      </w:pPr>
      <w:r>
        <w:rPr>
          <w:rStyle w:val="soitChar"/>
        </w:rPr>
        <w:t>Le volume brut d’une poutre/barre est calculé suivant le volume du plus petit parallélépipède rectangle pouvant inclure l’élément.</w:t>
      </w:r>
    </w:p>
    <w:p w14:paraId="2CDC4BEF" w14:textId="77777777" w:rsidR="00DF410E" w:rsidRDefault="00CE7F43">
      <w:pPr>
        <w:jc w:val="both"/>
      </w:pPr>
      <w:r>
        <w:rPr>
          <w:b/>
          <w:i/>
        </w:rPr>
        <w:t> (Soit)</w:t>
      </w:r>
    </w:p>
    <w:p w14:paraId="1A59E0F9" w14:textId="77777777" w:rsidR="00DF410E" w:rsidRDefault="00CE7F43">
      <w:pPr>
        <w:jc w:val="both"/>
      </w:pPr>
      <w:r>
        <w:rPr>
          <w:rStyle w:val="soitChar"/>
        </w:rPr>
        <w:t>2.    </w:t>
      </w:r>
      <w:r>
        <w:rPr>
          <w:rStyle w:val="soitChar"/>
          <w:u w:val="single"/>
        </w:rPr>
        <w:t>Longueur brute :</w:t>
      </w:r>
    </w:p>
    <w:p w14:paraId="05187F6F" w14:textId="77777777" w:rsidR="00DF410E" w:rsidRDefault="00CE7F43">
      <w:pPr>
        <w:jc w:val="both"/>
      </w:pPr>
      <w:r>
        <w:rPr>
          <w:rStyle w:val="soitChar"/>
        </w:rPr>
        <w:t>La longueur brute d’un élément est la cote maximale dans la direction longitudinale de la développée de l'élément, longueur de bois utile pour l’assemblage comprise. </w:t>
      </w:r>
    </w:p>
    <w:p w14:paraId="17DD8A09" w14:textId="77777777" w:rsidR="00DF410E" w:rsidRDefault="00CE7F43">
      <w:pPr>
        <w:jc w:val="both"/>
      </w:pPr>
      <w:r>
        <w:rPr>
          <w:rStyle w:val="soitChar"/>
        </w:rPr>
        <w:t>La longueur totale des poutres et barres ayant la même section et les mêmes caractéristiques est comptabilisée.</w:t>
      </w:r>
    </w:p>
    <w:p w14:paraId="29054467" w14:textId="77777777" w:rsidR="00DF410E" w:rsidRDefault="00CE7F43">
      <w:pPr>
        <w:jc w:val="both"/>
      </w:pPr>
      <w:r>
        <w:rPr>
          <w:b/>
          <w:i/>
        </w:rPr>
        <w:t> (Soit)</w:t>
      </w:r>
    </w:p>
    <w:p w14:paraId="4A1DE1AF" w14:textId="77777777" w:rsidR="00DF410E" w:rsidRDefault="00CE7F43">
      <w:pPr>
        <w:jc w:val="both"/>
      </w:pPr>
      <w:r>
        <w:rPr>
          <w:rStyle w:val="soitChar"/>
        </w:rPr>
        <w:t>3.    </w:t>
      </w:r>
      <w:r>
        <w:rPr>
          <w:rStyle w:val="soitChar"/>
          <w:u w:val="single"/>
        </w:rPr>
        <w:t>Quantité nette :</w:t>
      </w:r>
    </w:p>
    <w:p w14:paraId="7767CE3D" w14:textId="77777777" w:rsidR="00DF410E" w:rsidRDefault="00CE7F43">
      <w:pPr>
        <w:jc w:val="both"/>
      </w:pPr>
      <w:r>
        <w:rPr>
          <w:rStyle w:val="soitChar"/>
        </w:rPr>
        <w:t>Le nombre de poutres et barres ayant les mêmes dimensions et les mêmes caractéristiques est compatibilisé.</w:t>
      </w:r>
    </w:p>
    <w:p w14:paraId="645FE7EE" w14:textId="77777777" w:rsidR="00DF410E" w:rsidRDefault="00CE7F43">
      <w:pPr>
        <w:pStyle w:val="pheading"/>
      </w:pPr>
      <w:r>
        <w:t>- nature du marché:</w:t>
      </w:r>
    </w:p>
    <w:p w14:paraId="4E517358" w14:textId="77777777" w:rsidR="00DF410E" w:rsidRDefault="00CE7F43">
      <w:r>
        <w:rPr>
          <w:rStyle w:val="optioncarChar"/>
        </w:rPr>
        <w:t>QF </w:t>
      </w:r>
      <w:r>
        <w:t>(par défaut) </w:t>
      </w:r>
      <w:r>
        <w:rPr>
          <w:rStyle w:val="optioncarChar"/>
        </w:rPr>
        <w:t>/ QP</w:t>
      </w:r>
    </w:p>
    <w:p w14:paraId="25C2E7AA" w14:textId="77777777" w:rsidR="00DF410E" w:rsidRDefault="00CE7F43">
      <w:r>
        <w:rPr>
          <w:b/>
          <w:i/>
        </w:rPr>
        <w:t>(Soit par défaut)</w:t>
      </w:r>
    </w:p>
    <w:p w14:paraId="413E1F6D" w14:textId="77777777" w:rsidR="00DF410E" w:rsidRDefault="00CE7F43">
      <w:r>
        <w:rPr>
          <w:rStyle w:val="soitChar"/>
        </w:rPr>
        <w:t>1.2.3     QF</w:t>
      </w:r>
    </w:p>
    <w:p w14:paraId="07487B0F" w14:textId="77777777" w:rsidR="00DF410E" w:rsidRDefault="00CE7F43">
      <w:r>
        <w:rPr>
          <w:b/>
          <w:i/>
        </w:rPr>
        <w:t>(Soit)</w:t>
      </w:r>
    </w:p>
    <w:p w14:paraId="02A5957E" w14:textId="77777777" w:rsidR="00DF410E" w:rsidRDefault="00CE7F43">
      <w:r>
        <w:rPr>
          <w:rStyle w:val="soitChar"/>
        </w:rPr>
        <w:t>1.2.3     QP</w:t>
      </w:r>
    </w:p>
    <w:p w14:paraId="2564A83D" w14:textId="77777777" w:rsidR="00DF410E" w:rsidRDefault="00CE7F43">
      <w:pPr>
        <w:pStyle w:val="pheading"/>
      </w:pPr>
      <w:r>
        <w:t>AIDE</w:t>
      </w:r>
    </w:p>
    <w:p w14:paraId="2196FF1C" w14:textId="77777777" w:rsidR="00DF410E" w:rsidRDefault="00CE7F43">
      <w:r>
        <w:t>Le code suivant peut être utilisé pour la dénomination du poste :</w:t>
      </w:r>
    </w:p>
    <w:p w14:paraId="38C5A293" w14:textId="77777777" w:rsidR="00DF410E" w:rsidRDefault="00CE7F43">
      <w:r>
        <w:t>LVL 1 / 2 / 3 / 4 / 5</w:t>
      </w:r>
    </w:p>
    <w:p w14:paraId="10FAAD3C" w14:textId="77777777" w:rsidR="00DF410E" w:rsidRDefault="00CE7F43">
      <w:r>
        <w:t>Avec :</w:t>
      </w:r>
    </w:p>
    <w:p w14:paraId="7BD48360" w14:textId="77777777" w:rsidR="00DF410E" w:rsidRDefault="00CE7F43">
      <w:r>
        <w:t>LVL pour bois laminated veneer lumber</w:t>
      </w:r>
    </w:p>
    <w:p w14:paraId="22C0FD00" w14:textId="77777777" w:rsidR="00DF410E" w:rsidRDefault="00CE7F43">
      <w:r>
        <w:t>1 : Type de LVL</w:t>
      </w:r>
      <w:r>
        <w:br/>
        <w:t>2 : section de la colonne</w:t>
      </w:r>
      <w:r>
        <w:br/>
        <w:t>3 : L’essence utilisée</w:t>
      </w:r>
      <w:r>
        <w:br/>
        <w:t>4 : la classe d’emploi des poutres et barres</w:t>
      </w:r>
      <w:r>
        <w:br/>
        <w:t>5 : la méthode utilisée pour garantir la durabilité des poutres et barres</w:t>
      </w:r>
      <w:r>
        <w:br/>
        <w:t> </w:t>
      </w:r>
    </w:p>
    <w:p w14:paraId="60B6BE0B" w14:textId="77777777" w:rsidR="00DF410E" w:rsidRDefault="00CE7F43">
      <w:r>
        <w:t>Ce qui donne, par exemple :</w:t>
      </w:r>
    </w:p>
    <w:p w14:paraId="5DA58C0D" w14:textId="77777777" w:rsidR="00DF410E" w:rsidRDefault="00CE7F43">
      <w:r>
        <w:t>LVL S / voir plan / épicéa / 2 / A2.2</w:t>
      </w:r>
    </w:p>
    <w:p w14:paraId="32FAC9AE" w14:textId="77777777" w:rsidR="00DF410E" w:rsidRDefault="00CE7F43">
      <w:pPr>
        <w:pStyle w:val="Author-eSectionHeading5"/>
      </w:pPr>
      <w:bookmarkStart w:id="1607" w:name="_Toc178838701"/>
      <w:r>
        <w:t>24.13.6 Poutres et barres en LSL CCTB 01.07</w:t>
      </w:r>
      <w:bookmarkEnd w:id="1607"/>
    </w:p>
    <w:p w14:paraId="5A17F4D2" w14:textId="77777777" w:rsidR="00DF410E" w:rsidRDefault="00CE7F43">
      <w:pPr>
        <w:pStyle w:val="pheading"/>
      </w:pPr>
      <w:r>
        <w:t>DESCRIPTION</w:t>
      </w:r>
    </w:p>
    <w:p w14:paraId="6418099C" w14:textId="77777777" w:rsidR="00DF410E" w:rsidRDefault="00CE7F43">
      <w:pPr>
        <w:pStyle w:val="pheading"/>
      </w:pPr>
      <w:r>
        <w:t>- Définition / Comprend</w:t>
      </w:r>
    </w:p>
    <w:p w14:paraId="0935800A" w14:textId="77777777" w:rsidR="00DF410E" w:rsidRDefault="00CE7F43">
      <w:r>
        <w:t xml:space="preserve">Il s’agit des poutres et barres en LSL. La notion de LSL est expliquée au </w:t>
      </w:r>
      <w:hyperlink w:anchor="89" w:history="1">
        <w:r>
          <w:t>24 Superstructures en bois</w:t>
        </w:r>
      </w:hyperlink>
      <w:r>
        <w:t>.</w:t>
      </w:r>
    </w:p>
    <w:p w14:paraId="647DB55B" w14:textId="77777777" w:rsidR="00DF410E" w:rsidRDefault="00CE7F43">
      <w:pPr>
        <w:pStyle w:val="pheading"/>
      </w:pPr>
      <w:r>
        <w:t>- Remarques importantes</w:t>
      </w:r>
    </w:p>
    <w:p w14:paraId="45A346F7" w14:textId="77777777" w:rsidR="00DF410E" w:rsidRDefault="00CE7F43">
      <w:pPr>
        <w:jc w:val="both"/>
      </w:pPr>
      <w:r>
        <w:t>Aucune norme harmonisée n’existe pour le LSL. Les performances prescrites au cahier spécial des charges sont garanties par le fournisseur de l’élément et sont prouvées par une certification acceptée ou des tests effectuées par un laboratoire accrédité.</w:t>
      </w:r>
    </w:p>
    <w:p w14:paraId="23E64295" w14:textId="77777777" w:rsidR="00DF410E" w:rsidRDefault="00CE7F43">
      <w:pPr>
        <w:pStyle w:val="Author-eSectionHeading6"/>
      </w:pPr>
      <w:bookmarkStart w:id="1608" w:name="_Toc178838702"/>
      <w:r>
        <w:t>24.13.6a Poutres et barres en LSL à inertie constante CCTB 01.11</w:t>
      </w:r>
      <w:bookmarkEnd w:id="1608"/>
    </w:p>
    <w:p w14:paraId="5395013B" w14:textId="77777777" w:rsidR="00DF410E" w:rsidRDefault="00CE7F43">
      <w:pPr>
        <w:pStyle w:val="pheading"/>
      </w:pPr>
      <w:r>
        <w:t>DESCRIPTION</w:t>
      </w:r>
    </w:p>
    <w:p w14:paraId="165D09A1" w14:textId="77777777" w:rsidR="00DF410E" w:rsidRDefault="00CE7F43">
      <w:pPr>
        <w:pStyle w:val="pheading"/>
      </w:pPr>
      <w:r>
        <w:t>- Définition / Comprend</w:t>
      </w:r>
    </w:p>
    <w:p w14:paraId="0A472D20" w14:textId="77777777" w:rsidR="00DF410E" w:rsidRDefault="00CE7F43">
      <w:r>
        <w:t>Il s'agit de l’ensemble des poutres et barres en LSL et à inertie constante.</w:t>
      </w:r>
    </w:p>
    <w:p w14:paraId="679ACA9D" w14:textId="77777777" w:rsidR="00DF410E" w:rsidRDefault="00CE7F43">
      <w:pPr>
        <w:pStyle w:val="pheading"/>
      </w:pPr>
      <w:r>
        <w:t>MATÉRIAUX</w:t>
      </w:r>
    </w:p>
    <w:p w14:paraId="385BC666" w14:textId="77777777" w:rsidR="00DF410E" w:rsidRDefault="00CE7F43">
      <w:pPr>
        <w:pStyle w:val="pheading"/>
      </w:pPr>
      <w:r>
        <w:t>- Caractéristiques générales</w:t>
      </w:r>
    </w:p>
    <w:p w14:paraId="33D6F6F8" w14:textId="77777777" w:rsidR="00DF410E" w:rsidRDefault="00CE7F43">
      <w:pPr>
        <w:jc w:val="both"/>
      </w:pPr>
      <w:r>
        <w:t xml:space="preserve">Dimensions de la section : </w:t>
      </w:r>
      <w:r>
        <w:rPr>
          <w:rStyle w:val="optioncarChar"/>
        </w:rPr>
        <w:t xml:space="preserve">Voir plans </w:t>
      </w:r>
      <w:r>
        <w:t xml:space="preserve">(par défaut) </w:t>
      </w:r>
      <w:r>
        <w:rPr>
          <w:rStyle w:val="optioncarChar"/>
        </w:rPr>
        <w:t>/ *** x *** mm²</w:t>
      </w:r>
    </w:p>
    <w:p w14:paraId="58CD5F9C" w14:textId="77777777" w:rsidR="00DF410E" w:rsidRDefault="00CE7F43">
      <w:pPr>
        <w:jc w:val="both"/>
      </w:pPr>
      <w:r>
        <w:t>Caractéristiques mécaniques :</w:t>
      </w:r>
    </w:p>
    <w:p w14:paraId="59D9C381" w14:textId="77777777" w:rsidR="00DF410E" w:rsidRDefault="00CE7F43">
      <w:pPr>
        <w:pStyle w:val="Author-eListParagraph"/>
        <w:numPr>
          <w:ilvl w:val="0"/>
          <w:numId w:val="861"/>
        </w:numPr>
      </w:pPr>
      <w:r>
        <w:t>Résistance minimale en flexion à chant :</w:t>
      </w:r>
      <w:r>
        <w:rPr>
          <w:rStyle w:val="optioncarChar"/>
        </w:rPr>
        <w:t> 40 MPa</w:t>
      </w:r>
      <w:r>
        <w:t> (par défaut)</w:t>
      </w:r>
      <w:r>
        <w:rPr>
          <w:rStyle w:val="optioncarChar"/>
        </w:rPr>
        <w:t> / ***</w:t>
      </w:r>
    </w:p>
    <w:p w14:paraId="122E11EB" w14:textId="77777777" w:rsidR="00DF410E" w:rsidRDefault="00CE7F43">
      <w:pPr>
        <w:pStyle w:val="Author-eListParagraph"/>
        <w:numPr>
          <w:ilvl w:val="0"/>
          <w:numId w:val="861"/>
        </w:numPr>
      </w:pPr>
      <w:r>
        <w:t>Résistance minimale en flexion à plat : </w:t>
      </w:r>
      <w:r>
        <w:rPr>
          <w:rStyle w:val="optioncarChar"/>
        </w:rPr>
        <w:t>40 MPa </w:t>
      </w:r>
      <w:r>
        <w:t>(par défaut) </w:t>
      </w:r>
      <w:r>
        <w:rPr>
          <w:rStyle w:val="optioncarChar"/>
        </w:rPr>
        <w:t>/ ***</w:t>
      </w:r>
    </w:p>
    <w:p w14:paraId="0C7226FC" w14:textId="77777777" w:rsidR="00DF410E" w:rsidRDefault="00CE7F43">
      <w:pPr>
        <w:pStyle w:val="Author-eListParagraph"/>
        <w:numPr>
          <w:ilvl w:val="0"/>
          <w:numId w:val="861"/>
        </w:numPr>
      </w:pPr>
      <w:r>
        <w:t>Résistance minimale en traction parallèle au fil du bois : </w:t>
      </w:r>
      <w:r>
        <w:rPr>
          <w:rStyle w:val="optioncarChar"/>
        </w:rPr>
        <w:t>30 MPa </w:t>
      </w:r>
      <w:r>
        <w:t>(par défaut)</w:t>
      </w:r>
      <w:r>
        <w:rPr>
          <w:rStyle w:val="optioncarChar"/>
        </w:rPr>
        <w:t> / ***</w:t>
      </w:r>
    </w:p>
    <w:p w14:paraId="124E5762" w14:textId="77777777" w:rsidR="00DF410E" w:rsidRDefault="00CE7F43">
      <w:pPr>
        <w:pStyle w:val="Author-eListParagraph"/>
        <w:numPr>
          <w:ilvl w:val="0"/>
          <w:numId w:val="861"/>
        </w:numPr>
      </w:pPr>
      <w:r>
        <w:t>Résistance minimale en compression parallèle au fil du bois : </w:t>
      </w:r>
      <w:r>
        <w:rPr>
          <w:rStyle w:val="optioncarChar"/>
        </w:rPr>
        <w:t>30 MPa </w:t>
      </w:r>
      <w:r>
        <w:t>(par défaut)</w:t>
      </w:r>
      <w:r>
        <w:rPr>
          <w:rStyle w:val="optioncarChar"/>
        </w:rPr>
        <w:t> / ***</w:t>
      </w:r>
    </w:p>
    <w:p w14:paraId="627B092A" w14:textId="77777777" w:rsidR="00DF410E" w:rsidRDefault="00CE7F43">
      <w:pPr>
        <w:pStyle w:val="Author-eListParagraph"/>
        <w:numPr>
          <w:ilvl w:val="0"/>
          <w:numId w:val="861"/>
        </w:numPr>
      </w:pPr>
      <w:r>
        <w:t>Résistance minimale en cisaillement à chant :</w:t>
      </w:r>
      <w:r>
        <w:rPr>
          <w:rStyle w:val="optioncarChar"/>
        </w:rPr>
        <w:t> 5 MPa </w:t>
      </w:r>
      <w:r>
        <w:t>(par défaut)</w:t>
      </w:r>
      <w:r>
        <w:rPr>
          <w:rStyle w:val="optioncarChar"/>
        </w:rPr>
        <w:t> / ***</w:t>
      </w:r>
    </w:p>
    <w:p w14:paraId="251B83CD" w14:textId="77777777" w:rsidR="00DF410E" w:rsidRDefault="00CE7F43">
      <w:pPr>
        <w:pStyle w:val="Author-eListParagraph"/>
        <w:numPr>
          <w:ilvl w:val="0"/>
          <w:numId w:val="861"/>
        </w:numPr>
      </w:pPr>
      <w:r>
        <w:t>Résistance minimale en cisaillement à plat : </w:t>
      </w:r>
      <w:r>
        <w:rPr>
          <w:rStyle w:val="optioncarChar"/>
        </w:rPr>
        <w:t>4 MPa </w:t>
      </w:r>
      <w:r>
        <w:t>(par défaut)</w:t>
      </w:r>
      <w:r>
        <w:rPr>
          <w:rStyle w:val="optioncarChar"/>
        </w:rPr>
        <w:t> / ***</w:t>
      </w:r>
    </w:p>
    <w:p w14:paraId="2B9C0666" w14:textId="77777777" w:rsidR="00DF410E" w:rsidRDefault="00CE7F43">
      <w:pPr>
        <w:pStyle w:val="Author-eListParagraph"/>
        <w:numPr>
          <w:ilvl w:val="0"/>
          <w:numId w:val="861"/>
        </w:numPr>
      </w:pPr>
      <w:r>
        <w:t>Module d’élasticité minimum parallèle au fil du bois (au fractile 5%) : </w:t>
      </w:r>
      <w:r>
        <w:rPr>
          <w:rStyle w:val="optioncarChar"/>
        </w:rPr>
        <w:t>9 GPa </w:t>
      </w:r>
      <w:r>
        <w:t>(par défaut)</w:t>
      </w:r>
      <w:r>
        <w:rPr>
          <w:rStyle w:val="optioncarChar"/>
        </w:rPr>
        <w:t> / ***</w:t>
      </w:r>
    </w:p>
    <w:p w14:paraId="1BAE3001" w14:textId="77777777" w:rsidR="00DF410E" w:rsidRDefault="00CE7F43">
      <w:pPr>
        <w:pStyle w:val="Author-eListParagraph"/>
        <w:numPr>
          <w:ilvl w:val="0"/>
          <w:numId w:val="861"/>
        </w:numPr>
      </w:pPr>
      <w:r>
        <w:t>Module de cisaillement à chant : </w:t>
      </w:r>
      <w:r>
        <w:rPr>
          <w:rStyle w:val="optioncarChar"/>
        </w:rPr>
        <w:t>600 MPa </w:t>
      </w:r>
      <w:r>
        <w:t>(par défaut)</w:t>
      </w:r>
      <w:r>
        <w:rPr>
          <w:rStyle w:val="optioncarChar"/>
        </w:rPr>
        <w:t> / ***</w:t>
      </w:r>
    </w:p>
    <w:p w14:paraId="04744BA4" w14:textId="77777777" w:rsidR="00DF410E" w:rsidRDefault="00CE7F43">
      <w:pPr>
        <w:pStyle w:val="Author-eListParagraph"/>
        <w:numPr>
          <w:ilvl w:val="0"/>
          <w:numId w:val="861"/>
        </w:numPr>
      </w:pPr>
      <w:r>
        <w:t>Module de cisaillement à plat :</w:t>
      </w:r>
      <w:r>
        <w:rPr>
          <w:rStyle w:val="optioncarChar"/>
        </w:rPr>
        <w:t> 400 MPa </w:t>
      </w:r>
      <w:r>
        <w:t>(par défaut)</w:t>
      </w:r>
      <w:r>
        <w:rPr>
          <w:rStyle w:val="optioncarChar"/>
        </w:rPr>
        <w:t> / ***</w:t>
      </w:r>
    </w:p>
    <w:p w14:paraId="7C868BAC" w14:textId="77777777" w:rsidR="00DF410E" w:rsidRDefault="00CE7F43">
      <w:pPr>
        <w:jc w:val="both"/>
      </w:pPr>
      <w:r>
        <w:t>Courbure des poutres et barres :</w:t>
      </w:r>
      <w:r>
        <w:rPr>
          <w:rStyle w:val="optioncarChar"/>
        </w:rPr>
        <w:t xml:space="preserve"> aucune</w:t>
      </w:r>
      <w:r>
        <w:t xml:space="preserve"> (par défaut) </w:t>
      </w:r>
      <w:r>
        <w:rPr>
          <w:rStyle w:val="optioncarChar"/>
        </w:rPr>
        <w:t>/ voir plan / ***</w:t>
      </w:r>
    </w:p>
    <w:p w14:paraId="50A92F0F" w14:textId="77777777" w:rsidR="00DF410E" w:rsidRDefault="00CE7F43">
      <w:pPr>
        <w:jc w:val="both"/>
      </w:pPr>
      <w:r>
        <w:t>Essence :</w:t>
      </w:r>
      <w:r>
        <w:rPr>
          <w:rStyle w:val="optioncarChar"/>
        </w:rPr>
        <w:t xml:space="preserve"> Résineuse </w:t>
      </w:r>
      <w:r>
        <w:t xml:space="preserve">(par défaut) </w:t>
      </w:r>
      <w:r>
        <w:rPr>
          <w:rStyle w:val="optioncarChar"/>
        </w:rPr>
        <w:t>/ feuillue / épicéa / douglas / hêtre / ***</w:t>
      </w:r>
    </w:p>
    <w:p w14:paraId="057F29BF" w14:textId="77777777" w:rsidR="00DF410E" w:rsidRDefault="00CE7F43">
      <w:pPr>
        <w:jc w:val="both"/>
      </w:pPr>
      <w:r>
        <w:t>Classe d’emploi :</w:t>
      </w:r>
      <w:r>
        <w:rPr>
          <w:rStyle w:val="optioncarChar"/>
        </w:rPr>
        <w:t xml:space="preserve"> 1 / 2 / 3</w:t>
      </w:r>
    </w:p>
    <w:p w14:paraId="7A7128F3" w14:textId="77777777" w:rsidR="00DF410E" w:rsidRDefault="00CE7F43">
      <w:pPr>
        <w:jc w:val="both"/>
      </w:pPr>
      <w:r>
        <w:t>Le fabricant de l’élément déclare la classe d’emploi maximale dans laquelle celui-ci peut être mis en œuvre. Celle-ci sera au minimum celle prescrite au cahier spécial des charges.</w:t>
      </w:r>
    </w:p>
    <w:p w14:paraId="623CE4B1" w14:textId="77777777" w:rsidR="00DF410E" w:rsidRDefault="00CE7F43">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551E423A" w14:textId="77777777" w:rsidR="00DF410E" w:rsidRDefault="00CE7F43">
      <w:pPr>
        <w:jc w:val="both"/>
      </w:pPr>
      <w:r>
        <w:t xml:space="preserve">Classe d’émission de formaldéhyde : </w:t>
      </w:r>
      <w:r>
        <w:rPr>
          <w:rStyle w:val="optioncarChar"/>
        </w:rPr>
        <w:t xml:space="preserve">E1 </w:t>
      </w:r>
      <w:r>
        <w:t xml:space="preserve">(par défaut) </w:t>
      </w:r>
      <w:r>
        <w:rPr>
          <w:rStyle w:val="optioncarChar"/>
        </w:rPr>
        <w:t>/ E2</w:t>
      </w:r>
    </w:p>
    <w:p w14:paraId="04DF8271" w14:textId="77777777" w:rsidR="00DF410E" w:rsidRDefault="00CE7F43">
      <w:pPr>
        <w:pStyle w:val="pheading"/>
      </w:pPr>
      <w:r>
        <w:t>- Finitions</w:t>
      </w:r>
    </w:p>
    <w:p w14:paraId="0D9BD496" w14:textId="77777777" w:rsidR="00DF410E" w:rsidRDefault="00CE7F43">
      <w:pPr>
        <w:jc w:val="both"/>
      </w:pPr>
      <w:r>
        <w:t xml:space="preserve">Les poutres et barres en LSL sont </w:t>
      </w:r>
      <w:r>
        <w:rPr>
          <w:rStyle w:val="optioncarChar"/>
        </w:rPr>
        <w:t>non-poncées</w:t>
      </w:r>
      <w:r>
        <w:t xml:space="preserve"> (par défaut)</w:t>
      </w:r>
      <w:r>
        <w:rPr>
          <w:rStyle w:val="optioncarChar"/>
        </w:rPr>
        <w:t xml:space="preserve"> / poncées / ***</w:t>
      </w:r>
      <w:r>
        <w:t xml:space="preserve"> sur </w:t>
      </w:r>
      <w:r>
        <w:rPr>
          <w:rStyle w:val="optioncarChar"/>
        </w:rPr>
        <w:t>1 / 2 / 3 / 4</w:t>
      </w:r>
      <w:r>
        <w:t xml:space="preserve"> faces</w:t>
      </w:r>
    </w:p>
    <w:p w14:paraId="2E37466D" w14:textId="77777777" w:rsidR="00DF410E" w:rsidRDefault="00CE7F43">
      <w:pPr>
        <w:jc w:val="both"/>
      </w:pPr>
      <w:r>
        <w:t>Les arrêtes sont</w:t>
      </w:r>
      <w:r>
        <w:rPr>
          <w:rStyle w:val="optioncarChar"/>
        </w:rPr>
        <w:t xml:space="preserve"> vives </w:t>
      </w:r>
      <w:r>
        <w:t xml:space="preserve">(par défaut) </w:t>
      </w:r>
      <w:r>
        <w:rPr>
          <w:rStyle w:val="optioncarChar"/>
        </w:rPr>
        <w:t>/ chanfreinées / ***</w:t>
      </w:r>
    </w:p>
    <w:p w14:paraId="19958576" w14:textId="77777777" w:rsidR="00DF410E" w:rsidRDefault="00CE7F43">
      <w:pPr>
        <w:jc w:val="both"/>
      </w:pPr>
      <w:r>
        <w:t xml:space="preserve">Les poutres et barres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182DCCBF" w14:textId="77777777" w:rsidR="00DF410E" w:rsidRDefault="00CE7F43">
      <w:pPr>
        <w:pStyle w:val="pheading"/>
      </w:pPr>
      <w:r>
        <w:t>EXÉCUTION / MISE EN ŒUVRE</w:t>
      </w:r>
    </w:p>
    <w:p w14:paraId="30147CCD" w14:textId="77777777" w:rsidR="00DF410E" w:rsidRDefault="00CE7F43">
      <w:pPr>
        <w:pStyle w:val="pheading"/>
      </w:pPr>
      <w:r>
        <w:t>- Prescriptions générales</w:t>
      </w:r>
    </w:p>
    <w:p w14:paraId="1D048DE8"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52C4B10E" w14:textId="77777777" w:rsidR="00DF410E" w:rsidRDefault="00CE7F43">
      <w:pPr>
        <w:pStyle w:val="pheading"/>
      </w:pPr>
      <w:r>
        <w:t>MESURAGE</w:t>
      </w:r>
    </w:p>
    <w:p w14:paraId="5EC953A1" w14:textId="77777777" w:rsidR="00DF410E" w:rsidRDefault="00CE7F43">
      <w:pPr>
        <w:pStyle w:val="pheading"/>
      </w:pPr>
      <w:r>
        <w:t>- unité de mesure:</w:t>
      </w:r>
    </w:p>
    <w:p w14:paraId="6C9A36C1" w14:textId="77777777" w:rsidR="00DF410E" w:rsidRDefault="00CE7F43">
      <w:r>
        <w:rPr>
          <w:rStyle w:val="optioncarChar"/>
        </w:rPr>
        <w:t>m³ </w:t>
      </w:r>
      <w:r>
        <w:t>(par défaut)</w:t>
      </w:r>
      <w:r>
        <w:rPr>
          <w:rStyle w:val="optioncarChar"/>
        </w:rPr>
        <w:t> / m / pc</w:t>
      </w:r>
    </w:p>
    <w:p w14:paraId="73338033" w14:textId="77777777" w:rsidR="00DF410E" w:rsidRDefault="00CE7F43">
      <w:r>
        <w:rPr>
          <w:b/>
          <w:i/>
        </w:rPr>
        <w:t>(Soit par défaut)</w:t>
      </w:r>
    </w:p>
    <w:p w14:paraId="19CA088F" w14:textId="77777777" w:rsidR="00DF410E" w:rsidRDefault="00CE7F43">
      <w:r>
        <w:rPr>
          <w:rStyle w:val="soitChar"/>
        </w:rPr>
        <w:t>1.    m³ </w:t>
      </w:r>
    </w:p>
    <w:p w14:paraId="76B71C4E" w14:textId="77777777" w:rsidR="00DF410E" w:rsidRDefault="00CE7F43">
      <w:r>
        <w:rPr>
          <w:b/>
          <w:i/>
        </w:rPr>
        <w:t>(Soit)</w:t>
      </w:r>
    </w:p>
    <w:p w14:paraId="69C5CBAD" w14:textId="77777777" w:rsidR="00DF410E" w:rsidRDefault="00CE7F43">
      <w:r>
        <w:rPr>
          <w:rStyle w:val="soitChar"/>
        </w:rPr>
        <w:t>2.    m </w:t>
      </w:r>
    </w:p>
    <w:p w14:paraId="6423A90D" w14:textId="77777777" w:rsidR="00DF410E" w:rsidRDefault="00CE7F43">
      <w:r>
        <w:rPr>
          <w:b/>
          <w:i/>
        </w:rPr>
        <w:t>(Soit)</w:t>
      </w:r>
    </w:p>
    <w:p w14:paraId="47194591" w14:textId="77777777" w:rsidR="00DF410E" w:rsidRDefault="00CE7F43">
      <w:r>
        <w:rPr>
          <w:rStyle w:val="soitChar"/>
        </w:rPr>
        <w:t>3.    pc</w:t>
      </w:r>
    </w:p>
    <w:p w14:paraId="2F8EB075" w14:textId="77777777" w:rsidR="00DF410E" w:rsidRDefault="00CE7F43">
      <w:pPr>
        <w:pStyle w:val="pheading"/>
      </w:pPr>
      <w:r>
        <w:t>- code de mesurage:</w:t>
      </w:r>
    </w:p>
    <w:p w14:paraId="101437BF" w14:textId="77777777" w:rsidR="00DF410E" w:rsidRDefault="00CE7F43">
      <w:pPr>
        <w:jc w:val="both"/>
      </w:pPr>
      <w:r>
        <w:rPr>
          <w:rStyle w:val="optioncarChar"/>
        </w:rPr>
        <w:t> Volume brut </w:t>
      </w:r>
      <w:r>
        <w:t>(par défaut) </w:t>
      </w:r>
      <w:r>
        <w:rPr>
          <w:rStyle w:val="optioncarChar"/>
        </w:rPr>
        <w:t>/ Longueur brute / Quantité nette</w:t>
      </w:r>
    </w:p>
    <w:p w14:paraId="72AB598C" w14:textId="77777777" w:rsidR="00DF410E" w:rsidRDefault="00CE7F43">
      <w:pPr>
        <w:jc w:val="both"/>
      </w:pPr>
      <w:r>
        <w:rPr>
          <w:b/>
          <w:i/>
        </w:rPr>
        <w:t>(Soit par défaut)</w:t>
      </w:r>
    </w:p>
    <w:p w14:paraId="329754C9" w14:textId="77777777" w:rsidR="00DF410E" w:rsidRDefault="00CE7F43">
      <w:pPr>
        <w:jc w:val="both"/>
      </w:pPr>
      <w:r>
        <w:rPr>
          <w:rStyle w:val="soitChar"/>
        </w:rPr>
        <w:t>1.   </w:t>
      </w:r>
      <w:r>
        <w:rPr>
          <w:rStyle w:val="soitChar"/>
          <w:u w:val="single"/>
        </w:rPr>
        <w:t> Volume brut :</w:t>
      </w:r>
    </w:p>
    <w:p w14:paraId="729C5F7C" w14:textId="77777777" w:rsidR="00DF410E" w:rsidRDefault="00CE7F43">
      <w:pPr>
        <w:jc w:val="both"/>
      </w:pPr>
      <w:r>
        <w:rPr>
          <w:rStyle w:val="soitChar"/>
        </w:rPr>
        <w:t>Le volume brut d’une poutre/barre est calculé suivant l'épaisseur prescrite au cahier spécial des charges.</w:t>
      </w:r>
    </w:p>
    <w:p w14:paraId="74080849" w14:textId="77777777" w:rsidR="00DF410E" w:rsidRDefault="00CE7F43">
      <w:pPr>
        <w:jc w:val="both"/>
      </w:pPr>
      <w:r>
        <w:rPr>
          <w:b/>
          <w:i/>
        </w:rPr>
        <w:t> (Soit)</w:t>
      </w:r>
    </w:p>
    <w:p w14:paraId="7332DC9E" w14:textId="77777777" w:rsidR="00DF410E" w:rsidRDefault="00CE7F43">
      <w:pPr>
        <w:jc w:val="both"/>
      </w:pPr>
      <w:r>
        <w:rPr>
          <w:rStyle w:val="soitChar"/>
        </w:rPr>
        <w:t>2.    </w:t>
      </w:r>
      <w:r>
        <w:rPr>
          <w:rStyle w:val="soitChar"/>
          <w:u w:val="single"/>
        </w:rPr>
        <w:t>Longueur brute :</w:t>
      </w:r>
    </w:p>
    <w:p w14:paraId="01467C3C" w14:textId="77777777" w:rsidR="00DF410E" w:rsidRDefault="00CE7F43">
      <w:pPr>
        <w:jc w:val="both"/>
      </w:pPr>
      <w:r>
        <w:rPr>
          <w:rStyle w:val="soitChar"/>
        </w:rPr>
        <w:t>La longueur brute d’un élément est la cote maximale dans la direction longitudinale, longueur de bois utile pour l’assemblage comprise. </w:t>
      </w:r>
    </w:p>
    <w:p w14:paraId="0818AD64" w14:textId="77777777" w:rsidR="00DF410E" w:rsidRDefault="00CE7F43">
      <w:pPr>
        <w:jc w:val="both"/>
      </w:pPr>
      <w:r>
        <w:rPr>
          <w:rStyle w:val="soitChar"/>
        </w:rPr>
        <w:t>La longueur totale des poutres et barres ayant la même section et les mêmes caractéristiques est comptabilisée.</w:t>
      </w:r>
    </w:p>
    <w:p w14:paraId="35C09385" w14:textId="77777777" w:rsidR="00DF410E" w:rsidRDefault="00CE7F43">
      <w:pPr>
        <w:jc w:val="both"/>
      </w:pPr>
      <w:r>
        <w:rPr>
          <w:b/>
          <w:i/>
        </w:rPr>
        <w:t> (Soit)</w:t>
      </w:r>
    </w:p>
    <w:p w14:paraId="37E83184" w14:textId="77777777" w:rsidR="00DF410E" w:rsidRDefault="00CE7F43">
      <w:pPr>
        <w:jc w:val="both"/>
      </w:pPr>
      <w:r>
        <w:rPr>
          <w:rStyle w:val="soitChar"/>
        </w:rPr>
        <w:t>3.    </w:t>
      </w:r>
      <w:r>
        <w:rPr>
          <w:rStyle w:val="soitChar"/>
          <w:u w:val="single"/>
        </w:rPr>
        <w:t>Quantité nette :</w:t>
      </w:r>
    </w:p>
    <w:p w14:paraId="61C06F2A" w14:textId="77777777" w:rsidR="00DF410E" w:rsidRDefault="00CE7F43">
      <w:pPr>
        <w:jc w:val="both"/>
      </w:pPr>
      <w:r>
        <w:rPr>
          <w:rStyle w:val="soitChar"/>
        </w:rPr>
        <w:t>Le nombre de poutres et barres ayant les mêmes dimensions et les mêmes caractéristiques est compatibilisé.</w:t>
      </w:r>
    </w:p>
    <w:p w14:paraId="2E7592C6" w14:textId="77777777" w:rsidR="00DF410E" w:rsidRDefault="00CE7F43">
      <w:pPr>
        <w:pStyle w:val="pheading"/>
      </w:pPr>
      <w:r>
        <w:t>- nature du marché:</w:t>
      </w:r>
    </w:p>
    <w:p w14:paraId="6F8C7AB6" w14:textId="77777777" w:rsidR="00DF410E" w:rsidRDefault="00CE7F43">
      <w:r>
        <w:rPr>
          <w:rStyle w:val="optioncarChar"/>
        </w:rPr>
        <w:t>QF </w:t>
      </w:r>
      <w:r>
        <w:t>(par défaut)</w:t>
      </w:r>
      <w:r>
        <w:rPr>
          <w:rStyle w:val="optioncarChar"/>
        </w:rPr>
        <w:t> / QP</w:t>
      </w:r>
    </w:p>
    <w:p w14:paraId="7B4C8E93" w14:textId="77777777" w:rsidR="00DF410E" w:rsidRDefault="00CE7F43">
      <w:r>
        <w:rPr>
          <w:b/>
          <w:i/>
        </w:rPr>
        <w:t>(Soit par défaut)</w:t>
      </w:r>
    </w:p>
    <w:p w14:paraId="4306A459" w14:textId="77777777" w:rsidR="00DF410E" w:rsidRDefault="00CE7F43">
      <w:r>
        <w:rPr>
          <w:rStyle w:val="soitChar"/>
        </w:rPr>
        <w:t>1.2.3     QF</w:t>
      </w:r>
    </w:p>
    <w:p w14:paraId="70DBC96A" w14:textId="77777777" w:rsidR="00DF410E" w:rsidRDefault="00CE7F43">
      <w:r>
        <w:rPr>
          <w:b/>
          <w:i/>
        </w:rPr>
        <w:t>(Soit)</w:t>
      </w:r>
    </w:p>
    <w:p w14:paraId="3ACAD49B" w14:textId="77777777" w:rsidR="00DF410E" w:rsidRDefault="00CE7F43">
      <w:r>
        <w:rPr>
          <w:rStyle w:val="soitChar"/>
        </w:rPr>
        <w:t>1.2.3     QP</w:t>
      </w:r>
    </w:p>
    <w:p w14:paraId="124B03C5" w14:textId="77777777" w:rsidR="00DF410E" w:rsidRDefault="00CE7F43">
      <w:pPr>
        <w:pStyle w:val="pheading"/>
      </w:pPr>
      <w:r>
        <w:t>AIDE</w:t>
      </w:r>
    </w:p>
    <w:p w14:paraId="62DC5EA7" w14:textId="77777777" w:rsidR="00DF410E" w:rsidRDefault="00CE7F43">
      <w:pPr>
        <w:jc w:val="both"/>
      </w:pPr>
      <w:r>
        <w:t>Le code suivant peut être utilisé pour la dénomination du poste :</w:t>
      </w:r>
    </w:p>
    <w:p w14:paraId="3B280E73" w14:textId="77777777" w:rsidR="00DF410E" w:rsidRDefault="00CE7F43">
      <w:pPr>
        <w:jc w:val="both"/>
      </w:pPr>
      <w:r>
        <w:t>LSL 1 / 2 / 3 / 4 / 5</w:t>
      </w:r>
    </w:p>
    <w:p w14:paraId="0ABF2D32" w14:textId="77777777" w:rsidR="00DF410E" w:rsidRDefault="00CE7F43">
      <w:pPr>
        <w:jc w:val="both"/>
      </w:pPr>
      <w:r>
        <w:t>Avec :</w:t>
      </w:r>
    </w:p>
    <w:p w14:paraId="63357B5A" w14:textId="77777777" w:rsidR="00DF410E" w:rsidRDefault="00CE7F43">
      <w:pPr>
        <w:jc w:val="both"/>
      </w:pPr>
      <w:r>
        <w:t>LSL pour bois laminated veneer lumber</w:t>
      </w:r>
    </w:p>
    <w:p w14:paraId="15CA21A3" w14:textId="77777777" w:rsidR="00DF410E" w:rsidRDefault="00CE7F43">
      <w:pPr>
        <w:jc w:val="both"/>
      </w:pPr>
      <w:r>
        <w:t>1 : Type de LSL</w:t>
      </w:r>
    </w:p>
    <w:p w14:paraId="067919F3" w14:textId="77777777" w:rsidR="00DF410E" w:rsidRDefault="00CE7F43">
      <w:pPr>
        <w:jc w:val="both"/>
      </w:pPr>
      <w:r>
        <w:t>2 : section de la colonne</w:t>
      </w:r>
    </w:p>
    <w:p w14:paraId="6EE52770" w14:textId="77777777" w:rsidR="00DF410E" w:rsidRDefault="00CE7F43">
      <w:pPr>
        <w:jc w:val="both"/>
      </w:pPr>
      <w:r>
        <w:t>3 : L’essence utilisée</w:t>
      </w:r>
    </w:p>
    <w:p w14:paraId="6826DB50" w14:textId="77777777" w:rsidR="00DF410E" w:rsidRDefault="00CE7F43">
      <w:pPr>
        <w:jc w:val="both"/>
      </w:pPr>
      <w:r>
        <w:t>4 : la classe d’emploi des poutres et barres</w:t>
      </w:r>
    </w:p>
    <w:p w14:paraId="35B86DFF" w14:textId="77777777" w:rsidR="00DF410E" w:rsidRDefault="00CE7F43">
      <w:pPr>
        <w:jc w:val="both"/>
      </w:pPr>
      <w:r>
        <w:t>5 : la méthode utilisée pour garantir la durabilité des poutres et barres</w:t>
      </w:r>
    </w:p>
    <w:p w14:paraId="7F60929E" w14:textId="77777777" w:rsidR="00DF410E" w:rsidRDefault="00CE7F43">
      <w:pPr>
        <w:jc w:val="both"/>
      </w:pPr>
      <w:r>
        <w:t> </w:t>
      </w:r>
    </w:p>
    <w:p w14:paraId="36E5C670" w14:textId="77777777" w:rsidR="00DF410E" w:rsidRDefault="00CE7F43">
      <w:pPr>
        <w:jc w:val="both"/>
      </w:pPr>
      <w:r>
        <w:t>Ce qui donne, par exemple :</w:t>
      </w:r>
    </w:p>
    <w:p w14:paraId="27FA8716" w14:textId="77777777" w:rsidR="00DF410E" w:rsidRDefault="00CE7F43">
      <w:pPr>
        <w:jc w:val="both"/>
      </w:pPr>
      <w:r>
        <w:t>LSL S / 200 x 90 / épicéa / 2 / A2.2</w:t>
      </w:r>
    </w:p>
    <w:p w14:paraId="511D2D02" w14:textId="77777777" w:rsidR="00DF410E" w:rsidRDefault="00CE7F43">
      <w:pPr>
        <w:pStyle w:val="Author-eSectionHeading6"/>
      </w:pPr>
      <w:bookmarkStart w:id="1609" w:name="_Toc178838703"/>
      <w:r>
        <w:t>24.13.6b Poutres et barres en LSL à inertie variable CCTB 01.11</w:t>
      </w:r>
      <w:bookmarkEnd w:id="1609"/>
    </w:p>
    <w:p w14:paraId="675493A5" w14:textId="77777777" w:rsidR="00DF410E" w:rsidRDefault="00CE7F43">
      <w:pPr>
        <w:pStyle w:val="pheading"/>
      </w:pPr>
      <w:r>
        <w:t>DESCRIPTION</w:t>
      </w:r>
    </w:p>
    <w:p w14:paraId="32B10CB0" w14:textId="77777777" w:rsidR="00DF410E" w:rsidRDefault="00CE7F43">
      <w:pPr>
        <w:pStyle w:val="pheading"/>
      </w:pPr>
      <w:r>
        <w:t>- Définition / Comprend</w:t>
      </w:r>
    </w:p>
    <w:p w14:paraId="4D409D6B" w14:textId="77777777" w:rsidR="00DF410E" w:rsidRDefault="00CE7F43">
      <w:r>
        <w:t>Il s'agit de l’ensemble des poutres et barres en LSL et à inertie variable.</w:t>
      </w:r>
    </w:p>
    <w:p w14:paraId="42E3F7C6" w14:textId="77777777" w:rsidR="00DF410E" w:rsidRDefault="00CE7F43">
      <w:pPr>
        <w:pStyle w:val="pheading"/>
      </w:pPr>
      <w:r>
        <w:t>MATÉRIAUX</w:t>
      </w:r>
    </w:p>
    <w:p w14:paraId="3EA541F8" w14:textId="77777777" w:rsidR="00DF410E" w:rsidRDefault="00CE7F43">
      <w:pPr>
        <w:pStyle w:val="pheading"/>
      </w:pPr>
      <w:r>
        <w:t>- Caractéristiques générales</w:t>
      </w:r>
    </w:p>
    <w:p w14:paraId="64E0952B" w14:textId="77777777" w:rsidR="00DF410E" w:rsidRDefault="00CE7F43">
      <w:pPr>
        <w:jc w:val="both"/>
      </w:pPr>
      <w:r>
        <w:t>Caractéristiques mécaniques :</w:t>
      </w:r>
    </w:p>
    <w:p w14:paraId="16C776CE" w14:textId="77777777" w:rsidR="00DF410E" w:rsidRDefault="00CE7F43">
      <w:pPr>
        <w:pStyle w:val="Author-eListParagraph"/>
        <w:numPr>
          <w:ilvl w:val="0"/>
          <w:numId w:val="862"/>
        </w:numPr>
      </w:pPr>
      <w:r>
        <w:t>Résistance minimale en flexion à chant :</w:t>
      </w:r>
      <w:r>
        <w:rPr>
          <w:rStyle w:val="optioncarChar"/>
        </w:rPr>
        <w:t> 40 MPa</w:t>
      </w:r>
      <w:r>
        <w:t> (par défaut)</w:t>
      </w:r>
      <w:r>
        <w:rPr>
          <w:rStyle w:val="optioncarChar"/>
        </w:rPr>
        <w:t> / ***</w:t>
      </w:r>
    </w:p>
    <w:p w14:paraId="7D256AB0" w14:textId="77777777" w:rsidR="00DF410E" w:rsidRDefault="00CE7F43">
      <w:pPr>
        <w:pStyle w:val="Author-eListParagraph"/>
        <w:numPr>
          <w:ilvl w:val="0"/>
          <w:numId w:val="862"/>
        </w:numPr>
      </w:pPr>
      <w:r>
        <w:t>Résistance minimale en flexion à plat : </w:t>
      </w:r>
      <w:r>
        <w:rPr>
          <w:rStyle w:val="optioncarChar"/>
        </w:rPr>
        <w:t>40 MPa </w:t>
      </w:r>
      <w:r>
        <w:t>(par défaut) </w:t>
      </w:r>
      <w:r>
        <w:rPr>
          <w:rStyle w:val="optioncarChar"/>
        </w:rPr>
        <w:t>/ ***</w:t>
      </w:r>
    </w:p>
    <w:p w14:paraId="1F7AE870" w14:textId="77777777" w:rsidR="00DF410E" w:rsidRDefault="00CE7F43">
      <w:pPr>
        <w:pStyle w:val="Author-eListParagraph"/>
        <w:numPr>
          <w:ilvl w:val="0"/>
          <w:numId w:val="862"/>
        </w:numPr>
      </w:pPr>
      <w:r>
        <w:t>Résistance minimale en traction parallèle au fil du bois : </w:t>
      </w:r>
      <w:r>
        <w:rPr>
          <w:rStyle w:val="optioncarChar"/>
        </w:rPr>
        <w:t>30 MPa </w:t>
      </w:r>
      <w:r>
        <w:t>(par défaut)</w:t>
      </w:r>
      <w:r>
        <w:rPr>
          <w:rStyle w:val="optioncarChar"/>
        </w:rPr>
        <w:t> / ***</w:t>
      </w:r>
    </w:p>
    <w:p w14:paraId="4933C5F6" w14:textId="77777777" w:rsidR="00DF410E" w:rsidRDefault="00CE7F43">
      <w:pPr>
        <w:pStyle w:val="Author-eListParagraph"/>
        <w:numPr>
          <w:ilvl w:val="0"/>
          <w:numId w:val="862"/>
        </w:numPr>
      </w:pPr>
      <w:r>
        <w:t>Résistance minimale en compression parallèle au fil du bois : </w:t>
      </w:r>
      <w:r>
        <w:rPr>
          <w:rStyle w:val="optioncarChar"/>
        </w:rPr>
        <w:t>30 MPa </w:t>
      </w:r>
      <w:r>
        <w:t>(par défaut)</w:t>
      </w:r>
      <w:r>
        <w:rPr>
          <w:rStyle w:val="optioncarChar"/>
        </w:rPr>
        <w:t> / ***</w:t>
      </w:r>
    </w:p>
    <w:p w14:paraId="623E4DD3" w14:textId="77777777" w:rsidR="00DF410E" w:rsidRDefault="00CE7F43">
      <w:pPr>
        <w:pStyle w:val="Author-eListParagraph"/>
        <w:numPr>
          <w:ilvl w:val="0"/>
          <w:numId w:val="862"/>
        </w:numPr>
      </w:pPr>
      <w:r>
        <w:t>Résistance minimale en cisaillement à chant :</w:t>
      </w:r>
      <w:r>
        <w:rPr>
          <w:rStyle w:val="optioncarChar"/>
        </w:rPr>
        <w:t> 5 MPa </w:t>
      </w:r>
      <w:r>
        <w:t>(par défaut)</w:t>
      </w:r>
      <w:r>
        <w:rPr>
          <w:rStyle w:val="optioncarChar"/>
        </w:rPr>
        <w:t> / ***</w:t>
      </w:r>
    </w:p>
    <w:p w14:paraId="0B3C813B" w14:textId="77777777" w:rsidR="00DF410E" w:rsidRDefault="00CE7F43">
      <w:pPr>
        <w:pStyle w:val="Author-eListParagraph"/>
        <w:numPr>
          <w:ilvl w:val="0"/>
          <w:numId w:val="862"/>
        </w:numPr>
      </w:pPr>
      <w:r>
        <w:t>Résistance minimale en cisaillement à plat : </w:t>
      </w:r>
      <w:r>
        <w:rPr>
          <w:rStyle w:val="optioncarChar"/>
        </w:rPr>
        <w:t>4 MPa </w:t>
      </w:r>
      <w:r>
        <w:t>(par défaut)</w:t>
      </w:r>
      <w:r>
        <w:rPr>
          <w:rStyle w:val="optioncarChar"/>
        </w:rPr>
        <w:t> / ***</w:t>
      </w:r>
    </w:p>
    <w:p w14:paraId="2B36654A" w14:textId="77777777" w:rsidR="00DF410E" w:rsidRDefault="00CE7F43">
      <w:pPr>
        <w:pStyle w:val="Author-eListParagraph"/>
        <w:numPr>
          <w:ilvl w:val="0"/>
          <w:numId w:val="862"/>
        </w:numPr>
      </w:pPr>
      <w:r>
        <w:t>Module d’élasticité minimum parallèle au fil du bois (au fractile 5%) : </w:t>
      </w:r>
      <w:r>
        <w:rPr>
          <w:rStyle w:val="optioncarChar"/>
        </w:rPr>
        <w:t>9 GPa </w:t>
      </w:r>
      <w:r>
        <w:t>(par défaut)</w:t>
      </w:r>
      <w:r>
        <w:rPr>
          <w:rStyle w:val="optioncarChar"/>
        </w:rPr>
        <w:t> / ***</w:t>
      </w:r>
    </w:p>
    <w:p w14:paraId="60D88BD7" w14:textId="77777777" w:rsidR="00DF410E" w:rsidRDefault="00CE7F43">
      <w:pPr>
        <w:pStyle w:val="Author-eListParagraph"/>
        <w:numPr>
          <w:ilvl w:val="0"/>
          <w:numId w:val="862"/>
        </w:numPr>
      </w:pPr>
      <w:r>
        <w:t>Module de cisaillement à chant : </w:t>
      </w:r>
      <w:r>
        <w:rPr>
          <w:rStyle w:val="optioncarChar"/>
        </w:rPr>
        <w:t>600 MPa </w:t>
      </w:r>
      <w:r>
        <w:t>(par défaut)</w:t>
      </w:r>
      <w:r>
        <w:rPr>
          <w:rStyle w:val="optioncarChar"/>
        </w:rPr>
        <w:t> / ***</w:t>
      </w:r>
    </w:p>
    <w:p w14:paraId="6E79ADA4" w14:textId="77777777" w:rsidR="00DF410E" w:rsidRDefault="00CE7F43">
      <w:pPr>
        <w:pStyle w:val="Author-eListParagraph"/>
        <w:numPr>
          <w:ilvl w:val="0"/>
          <w:numId w:val="862"/>
        </w:numPr>
      </w:pPr>
      <w:r>
        <w:t>Module de cisaillement à plat :</w:t>
      </w:r>
      <w:r>
        <w:rPr>
          <w:rStyle w:val="optioncarChar"/>
        </w:rPr>
        <w:t> 400 MPa </w:t>
      </w:r>
      <w:r>
        <w:t>(par défaut)</w:t>
      </w:r>
      <w:r>
        <w:rPr>
          <w:rStyle w:val="optioncarChar"/>
        </w:rPr>
        <w:t> / ***</w:t>
      </w:r>
    </w:p>
    <w:p w14:paraId="4D07540E" w14:textId="77777777" w:rsidR="00DF410E" w:rsidRDefault="00CE7F43">
      <w:pPr>
        <w:jc w:val="both"/>
      </w:pPr>
      <w:r>
        <w:t>La géométrie des poutres et barres est décrite dans les plans.</w:t>
      </w:r>
    </w:p>
    <w:p w14:paraId="2D307115"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hêtre / ***</w:t>
      </w:r>
    </w:p>
    <w:p w14:paraId="366EFDDC" w14:textId="77777777" w:rsidR="00DF410E" w:rsidRDefault="00CE7F43">
      <w:pPr>
        <w:jc w:val="both"/>
      </w:pPr>
      <w:r>
        <w:t>Classe d’emploi :</w:t>
      </w:r>
      <w:r>
        <w:rPr>
          <w:rStyle w:val="optioncarChar"/>
        </w:rPr>
        <w:t>1 / 2 / 3</w:t>
      </w:r>
    </w:p>
    <w:p w14:paraId="5B0DA27C" w14:textId="77777777" w:rsidR="00DF410E" w:rsidRDefault="00CE7F43">
      <w:pPr>
        <w:jc w:val="both"/>
      </w:pPr>
      <w:r>
        <w:t>Le fabricant de l’élément déclare la classe d’emploi maximale dans laquelle celui-ci peut être mis en œuvre. Celle-ci est au minimum celle prescrite au cahier spécial des charges.</w:t>
      </w:r>
    </w:p>
    <w:p w14:paraId="351F466A" w14:textId="77777777" w:rsidR="00DF410E" w:rsidRDefault="00CE7F43">
      <w:pPr>
        <w:jc w:val="both"/>
      </w:pPr>
      <w:r>
        <w:t>Classe d’émission de formaldéhyde :</w:t>
      </w:r>
      <w:r>
        <w:rPr>
          <w:rStyle w:val="optioncarChar"/>
        </w:rPr>
        <w:t xml:space="preserve"> E1 </w:t>
      </w:r>
      <w:r>
        <w:t xml:space="preserve">(par défaut) </w:t>
      </w:r>
      <w:r>
        <w:rPr>
          <w:rStyle w:val="optioncarChar"/>
        </w:rPr>
        <w:t>/ E2</w:t>
      </w:r>
    </w:p>
    <w:p w14:paraId="0BDD2268" w14:textId="77777777" w:rsidR="00DF410E" w:rsidRDefault="00CE7F43">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3D7DB7B7" w14:textId="77777777" w:rsidR="00DF410E" w:rsidRDefault="00CE7F43">
      <w:pPr>
        <w:pStyle w:val="pheading"/>
      </w:pPr>
      <w:r>
        <w:t>- Finitions</w:t>
      </w:r>
    </w:p>
    <w:p w14:paraId="1AFDA958" w14:textId="77777777" w:rsidR="00DF410E" w:rsidRDefault="00CE7F43">
      <w:pPr>
        <w:jc w:val="both"/>
      </w:pPr>
      <w:r>
        <w:t xml:space="preserve">Les poutres et barres en LSL sont </w:t>
      </w:r>
      <w:r>
        <w:rPr>
          <w:rStyle w:val="optioncarChar"/>
        </w:rPr>
        <w:t>non-poncées</w:t>
      </w:r>
      <w:r>
        <w:t xml:space="preserve"> (par défaut) </w:t>
      </w:r>
      <w:r>
        <w:rPr>
          <w:rStyle w:val="optioncarChar"/>
        </w:rPr>
        <w:t>/ poncées / ***</w:t>
      </w:r>
      <w:r>
        <w:t xml:space="preserve"> sur </w:t>
      </w:r>
      <w:r>
        <w:rPr>
          <w:rStyle w:val="optioncarChar"/>
        </w:rPr>
        <w:t>1 / 2</w:t>
      </w:r>
      <w:r>
        <w:t xml:space="preserve"> (par défaut) faces</w:t>
      </w:r>
    </w:p>
    <w:p w14:paraId="105661D9" w14:textId="77777777" w:rsidR="00DF410E" w:rsidRDefault="00CE7F43">
      <w:pPr>
        <w:jc w:val="both"/>
      </w:pPr>
      <w:r>
        <w:t xml:space="preserve">Les arrêtes sont </w:t>
      </w:r>
      <w:r>
        <w:rPr>
          <w:rStyle w:val="optioncarChar"/>
        </w:rPr>
        <w:t xml:space="preserve">vives </w:t>
      </w:r>
      <w:r>
        <w:t xml:space="preserve">(par défaut) </w:t>
      </w:r>
      <w:r>
        <w:rPr>
          <w:rStyle w:val="optioncarChar"/>
        </w:rPr>
        <w:t>/ chanfreinées / ***</w:t>
      </w:r>
    </w:p>
    <w:p w14:paraId="5CF4833E" w14:textId="77777777" w:rsidR="00DF410E" w:rsidRDefault="00CE7F43">
      <w:pPr>
        <w:jc w:val="both"/>
      </w:pPr>
      <w:r>
        <w:t xml:space="preserve">Les poutres et barres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2B5BD151" w14:textId="77777777" w:rsidR="00DF410E" w:rsidRDefault="00CE7F43">
      <w:pPr>
        <w:pStyle w:val="pheading"/>
      </w:pPr>
      <w:r>
        <w:t>EXÉCUTION / MISE EN ŒUVRE</w:t>
      </w:r>
    </w:p>
    <w:p w14:paraId="7C79EA90" w14:textId="77777777" w:rsidR="00DF410E" w:rsidRDefault="00CE7F43">
      <w:pPr>
        <w:pStyle w:val="pheading"/>
      </w:pPr>
      <w:r>
        <w:t>- Prescriptions générales</w:t>
      </w:r>
    </w:p>
    <w:p w14:paraId="6C2883DB"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695757FA" w14:textId="77777777" w:rsidR="00DF410E" w:rsidRDefault="00CE7F43">
      <w:pPr>
        <w:pStyle w:val="pheading"/>
      </w:pPr>
      <w:r>
        <w:t>MESURAGE</w:t>
      </w:r>
    </w:p>
    <w:p w14:paraId="56D6EF8E" w14:textId="77777777" w:rsidR="00DF410E" w:rsidRDefault="00CE7F43">
      <w:pPr>
        <w:pStyle w:val="pheading"/>
      </w:pPr>
      <w:r>
        <w:t>- unité de mesure:</w:t>
      </w:r>
    </w:p>
    <w:p w14:paraId="0EB0FD58" w14:textId="77777777" w:rsidR="00DF410E" w:rsidRDefault="00CE7F43">
      <w:r>
        <w:rPr>
          <w:rStyle w:val="optioncarChar"/>
        </w:rPr>
        <w:t>m³ </w:t>
      </w:r>
      <w:r>
        <w:t>(par défaut) </w:t>
      </w:r>
      <w:r>
        <w:rPr>
          <w:rStyle w:val="optioncarChar"/>
        </w:rPr>
        <w:t>/ m / pc</w:t>
      </w:r>
    </w:p>
    <w:p w14:paraId="36F3DBE1" w14:textId="77777777" w:rsidR="00DF410E" w:rsidRDefault="00CE7F43">
      <w:r>
        <w:rPr>
          <w:b/>
          <w:i/>
        </w:rPr>
        <w:t>(Soit par défaut)</w:t>
      </w:r>
    </w:p>
    <w:p w14:paraId="44472872" w14:textId="77777777" w:rsidR="00DF410E" w:rsidRDefault="00CE7F43">
      <w:r>
        <w:rPr>
          <w:rStyle w:val="soitChar"/>
        </w:rPr>
        <w:t>1.    m³ </w:t>
      </w:r>
    </w:p>
    <w:p w14:paraId="78E771DB" w14:textId="77777777" w:rsidR="00DF410E" w:rsidRDefault="00CE7F43">
      <w:r>
        <w:rPr>
          <w:b/>
          <w:i/>
        </w:rPr>
        <w:t>(Soit)</w:t>
      </w:r>
    </w:p>
    <w:p w14:paraId="6207D398" w14:textId="77777777" w:rsidR="00DF410E" w:rsidRDefault="00CE7F43">
      <w:r>
        <w:rPr>
          <w:rStyle w:val="soitChar"/>
        </w:rPr>
        <w:t>2.    m </w:t>
      </w:r>
    </w:p>
    <w:p w14:paraId="614D63EE" w14:textId="77777777" w:rsidR="00DF410E" w:rsidRDefault="00CE7F43">
      <w:r>
        <w:rPr>
          <w:b/>
          <w:i/>
        </w:rPr>
        <w:t>(Soit)</w:t>
      </w:r>
    </w:p>
    <w:p w14:paraId="70FF8902" w14:textId="77777777" w:rsidR="00DF410E" w:rsidRDefault="00CE7F43">
      <w:r>
        <w:rPr>
          <w:rStyle w:val="soitChar"/>
        </w:rPr>
        <w:t>3.    pc</w:t>
      </w:r>
    </w:p>
    <w:p w14:paraId="163812FB" w14:textId="77777777" w:rsidR="00DF410E" w:rsidRDefault="00CE7F43">
      <w:pPr>
        <w:pStyle w:val="pheading"/>
      </w:pPr>
      <w:r>
        <w:t>- code de mesurage:</w:t>
      </w:r>
    </w:p>
    <w:p w14:paraId="003CE767" w14:textId="77777777" w:rsidR="00DF410E" w:rsidRDefault="00CE7F43">
      <w:pPr>
        <w:jc w:val="both"/>
      </w:pPr>
      <w:r>
        <w:rPr>
          <w:rStyle w:val="optioncarChar"/>
        </w:rPr>
        <w:t> Volume brut</w:t>
      </w:r>
      <w:r>
        <w:t> (par défaut) </w:t>
      </w:r>
      <w:r>
        <w:rPr>
          <w:rStyle w:val="optioncarChar"/>
        </w:rPr>
        <w:t>/ Longueur brute / Quantité nette</w:t>
      </w:r>
    </w:p>
    <w:p w14:paraId="3B860115" w14:textId="77777777" w:rsidR="00DF410E" w:rsidRDefault="00CE7F43">
      <w:pPr>
        <w:jc w:val="both"/>
      </w:pPr>
      <w:r>
        <w:rPr>
          <w:b/>
          <w:i/>
        </w:rPr>
        <w:t>(Soit par défaut)</w:t>
      </w:r>
    </w:p>
    <w:p w14:paraId="1EE451FB" w14:textId="77777777" w:rsidR="00DF410E" w:rsidRDefault="00CE7F43">
      <w:pPr>
        <w:jc w:val="both"/>
      </w:pPr>
      <w:r>
        <w:rPr>
          <w:rStyle w:val="soitChar"/>
        </w:rPr>
        <w:t>1.   </w:t>
      </w:r>
      <w:r>
        <w:rPr>
          <w:rStyle w:val="soitChar"/>
          <w:u w:val="single"/>
        </w:rPr>
        <w:t> Volume brut :</w:t>
      </w:r>
    </w:p>
    <w:p w14:paraId="3829D9C2" w14:textId="77777777" w:rsidR="00DF410E" w:rsidRDefault="00CE7F43">
      <w:pPr>
        <w:jc w:val="both"/>
      </w:pPr>
      <w:r>
        <w:rPr>
          <w:rStyle w:val="soitChar"/>
        </w:rPr>
        <w:t>Le volume brut d’une poutre/barre est calculé suivant le volume du plus petit parallélépipède rectangle pouvant inclure l’élément.</w:t>
      </w:r>
    </w:p>
    <w:p w14:paraId="3893BD92" w14:textId="77777777" w:rsidR="00DF410E" w:rsidRDefault="00CE7F43">
      <w:pPr>
        <w:jc w:val="both"/>
      </w:pPr>
      <w:r>
        <w:rPr>
          <w:b/>
          <w:i/>
        </w:rPr>
        <w:t> (Soit)</w:t>
      </w:r>
    </w:p>
    <w:p w14:paraId="16DC5891" w14:textId="77777777" w:rsidR="00DF410E" w:rsidRDefault="00CE7F43">
      <w:pPr>
        <w:jc w:val="both"/>
      </w:pPr>
      <w:r>
        <w:rPr>
          <w:rStyle w:val="soitChar"/>
        </w:rPr>
        <w:t>2.   </w:t>
      </w:r>
      <w:r>
        <w:rPr>
          <w:rStyle w:val="soitChar"/>
          <w:u w:val="single"/>
        </w:rPr>
        <w:t> Longueur brute :</w:t>
      </w:r>
    </w:p>
    <w:p w14:paraId="1E3E73F1" w14:textId="77777777" w:rsidR="00DF410E" w:rsidRDefault="00CE7F43">
      <w:pPr>
        <w:jc w:val="both"/>
      </w:pPr>
      <w:r>
        <w:rPr>
          <w:rStyle w:val="soitChar"/>
        </w:rPr>
        <w:t>La longueur brute d’un élément est la cote maximale dans la direction longitudinale de la développée de l'élément, longueur de bois utile pour l’assemblage comprise. </w:t>
      </w:r>
    </w:p>
    <w:p w14:paraId="5CF2A00B" w14:textId="77777777" w:rsidR="00DF410E" w:rsidRDefault="00CE7F43">
      <w:pPr>
        <w:jc w:val="both"/>
      </w:pPr>
      <w:r>
        <w:rPr>
          <w:rStyle w:val="soitChar"/>
        </w:rPr>
        <w:t>La longueur totale des poutres et barres ayant la même section et les mêmes caractéristiques est comptabilisée.</w:t>
      </w:r>
    </w:p>
    <w:p w14:paraId="62F2A860" w14:textId="77777777" w:rsidR="00DF410E" w:rsidRDefault="00CE7F43">
      <w:pPr>
        <w:jc w:val="both"/>
      </w:pPr>
      <w:r>
        <w:rPr>
          <w:b/>
          <w:i/>
        </w:rPr>
        <w:t> (Soit)</w:t>
      </w:r>
    </w:p>
    <w:p w14:paraId="123257AD" w14:textId="77777777" w:rsidR="00DF410E" w:rsidRDefault="00CE7F43">
      <w:pPr>
        <w:jc w:val="both"/>
      </w:pPr>
      <w:r>
        <w:rPr>
          <w:rStyle w:val="soitChar"/>
        </w:rPr>
        <w:t>3.    </w:t>
      </w:r>
      <w:r>
        <w:rPr>
          <w:rStyle w:val="soitChar"/>
          <w:u w:val="single"/>
        </w:rPr>
        <w:t>Quantité nette :</w:t>
      </w:r>
    </w:p>
    <w:p w14:paraId="305A316F" w14:textId="77777777" w:rsidR="00DF410E" w:rsidRDefault="00CE7F43">
      <w:pPr>
        <w:jc w:val="both"/>
      </w:pPr>
      <w:r>
        <w:rPr>
          <w:rStyle w:val="soitChar"/>
        </w:rPr>
        <w:t>Le nombre de poutres et barres ayant les mêmes dimensions et les mêmes caractéristiques est compatibilisé.</w:t>
      </w:r>
    </w:p>
    <w:p w14:paraId="0F2741E6" w14:textId="77777777" w:rsidR="00DF410E" w:rsidRDefault="00CE7F43">
      <w:pPr>
        <w:pStyle w:val="pheading"/>
      </w:pPr>
      <w:r>
        <w:t>- nature du marché:</w:t>
      </w:r>
    </w:p>
    <w:p w14:paraId="7017CE79" w14:textId="77777777" w:rsidR="00DF410E" w:rsidRDefault="00CE7F43">
      <w:r>
        <w:rPr>
          <w:rStyle w:val="optioncarChar"/>
        </w:rPr>
        <w:t>QF</w:t>
      </w:r>
      <w:r>
        <w:t> (par défaut)</w:t>
      </w:r>
      <w:r>
        <w:rPr>
          <w:rStyle w:val="optioncarChar"/>
        </w:rPr>
        <w:t> / QP</w:t>
      </w:r>
    </w:p>
    <w:p w14:paraId="5C58E174" w14:textId="77777777" w:rsidR="00DF410E" w:rsidRDefault="00CE7F43">
      <w:r>
        <w:rPr>
          <w:b/>
          <w:i/>
        </w:rPr>
        <w:t>(Soit par défaut)</w:t>
      </w:r>
    </w:p>
    <w:p w14:paraId="58CE15C0" w14:textId="77777777" w:rsidR="00DF410E" w:rsidRDefault="00CE7F43">
      <w:r>
        <w:rPr>
          <w:rStyle w:val="soitChar"/>
        </w:rPr>
        <w:t>1.2.3     QF</w:t>
      </w:r>
    </w:p>
    <w:p w14:paraId="75255531" w14:textId="77777777" w:rsidR="00DF410E" w:rsidRDefault="00CE7F43">
      <w:r>
        <w:rPr>
          <w:b/>
          <w:i/>
        </w:rPr>
        <w:t>(Soit)</w:t>
      </w:r>
    </w:p>
    <w:p w14:paraId="34422EF7" w14:textId="77777777" w:rsidR="00DF410E" w:rsidRDefault="00CE7F43">
      <w:r>
        <w:rPr>
          <w:rStyle w:val="soitChar"/>
        </w:rPr>
        <w:t>1.2.3     QP</w:t>
      </w:r>
    </w:p>
    <w:p w14:paraId="6A107E70" w14:textId="77777777" w:rsidR="00DF410E" w:rsidRDefault="00CE7F43">
      <w:pPr>
        <w:pStyle w:val="pheading"/>
      </w:pPr>
      <w:r>
        <w:t>AIDE</w:t>
      </w:r>
    </w:p>
    <w:p w14:paraId="15CF7E2F" w14:textId="77777777" w:rsidR="00DF410E" w:rsidRDefault="00CE7F43">
      <w:pPr>
        <w:jc w:val="both"/>
      </w:pPr>
      <w:r>
        <w:t>Le code suivant peut être utilisé pour la dénomination du poste :</w:t>
      </w:r>
    </w:p>
    <w:p w14:paraId="54288F57" w14:textId="77777777" w:rsidR="00DF410E" w:rsidRDefault="00CE7F43">
      <w:pPr>
        <w:jc w:val="both"/>
      </w:pPr>
      <w:r>
        <w:t>LSL 1 / 2 / 3 / 4 / 5</w:t>
      </w:r>
    </w:p>
    <w:p w14:paraId="330FD446" w14:textId="77777777" w:rsidR="00DF410E" w:rsidRDefault="00CE7F43">
      <w:pPr>
        <w:jc w:val="both"/>
      </w:pPr>
      <w:r>
        <w:t>Avec :</w:t>
      </w:r>
    </w:p>
    <w:p w14:paraId="014F48D7" w14:textId="77777777" w:rsidR="00DF410E" w:rsidRDefault="00CE7F43">
      <w:pPr>
        <w:jc w:val="both"/>
      </w:pPr>
      <w:r>
        <w:t>LSL pour bois laminated veneer lumber</w:t>
      </w:r>
    </w:p>
    <w:p w14:paraId="59AA178D" w14:textId="77777777" w:rsidR="00DF410E" w:rsidRDefault="00CE7F43">
      <w:pPr>
        <w:jc w:val="both"/>
      </w:pPr>
      <w:r>
        <w:t>1 : Type de LSL</w:t>
      </w:r>
    </w:p>
    <w:p w14:paraId="6D5665F2" w14:textId="77777777" w:rsidR="00DF410E" w:rsidRDefault="00CE7F43">
      <w:pPr>
        <w:jc w:val="both"/>
      </w:pPr>
      <w:r>
        <w:t>2 : section de la colonne</w:t>
      </w:r>
    </w:p>
    <w:p w14:paraId="2691E588" w14:textId="77777777" w:rsidR="00DF410E" w:rsidRDefault="00CE7F43">
      <w:pPr>
        <w:jc w:val="both"/>
      </w:pPr>
      <w:r>
        <w:t>3 : L’essence utilisée</w:t>
      </w:r>
    </w:p>
    <w:p w14:paraId="461F6C8C" w14:textId="77777777" w:rsidR="00DF410E" w:rsidRDefault="00CE7F43">
      <w:pPr>
        <w:jc w:val="both"/>
      </w:pPr>
      <w:r>
        <w:t>4 : la classe d’emploi des poutres et barres</w:t>
      </w:r>
    </w:p>
    <w:p w14:paraId="3E93FE0B" w14:textId="77777777" w:rsidR="00DF410E" w:rsidRDefault="00CE7F43">
      <w:pPr>
        <w:jc w:val="both"/>
      </w:pPr>
      <w:r>
        <w:t>5 : la méthode utilisée pour garantir la durabilité des poutres et barres</w:t>
      </w:r>
    </w:p>
    <w:p w14:paraId="4E85B4E7" w14:textId="77777777" w:rsidR="00DF410E" w:rsidRDefault="00CE7F43">
      <w:pPr>
        <w:jc w:val="both"/>
      </w:pPr>
      <w:r>
        <w:t> </w:t>
      </w:r>
    </w:p>
    <w:p w14:paraId="7A79D1A3" w14:textId="77777777" w:rsidR="00DF410E" w:rsidRDefault="00CE7F43">
      <w:pPr>
        <w:jc w:val="both"/>
      </w:pPr>
      <w:r>
        <w:t>Ce qui donne, par exemple :</w:t>
      </w:r>
    </w:p>
    <w:p w14:paraId="2E6C649C" w14:textId="77777777" w:rsidR="00DF410E" w:rsidRDefault="00CE7F43">
      <w:pPr>
        <w:jc w:val="both"/>
      </w:pPr>
      <w:r>
        <w:t>LSL S / voir plan / épicéa / 2 / A2.2</w:t>
      </w:r>
    </w:p>
    <w:p w14:paraId="0F5C7B08" w14:textId="77777777" w:rsidR="00DF410E" w:rsidRDefault="00CE7F43">
      <w:pPr>
        <w:pStyle w:val="Author-eSectionHeading5"/>
      </w:pPr>
      <w:bookmarkStart w:id="1610" w:name="_Toc178838704"/>
      <w:r>
        <w:t>24.13.7 Poutres et barres en PSL CCTB 01.07</w:t>
      </w:r>
      <w:bookmarkEnd w:id="1610"/>
    </w:p>
    <w:p w14:paraId="69E8AAE2" w14:textId="77777777" w:rsidR="00DF410E" w:rsidRDefault="00CE7F43">
      <w:pPr>
        <w:pStyle w:val="pheading"/>
      </w:pPr>
      <w:r>
        <w:t>DESCRIPTION</w:t>
      </w:r>
    </w:p>
    <w:p w14:paraId="1DF09D29" w14:textId="77777777" w:rsidR="00DF410E" w:rsidRDefault="00CE7F43">
      <w:pPr>
        <w:pStyle w:val="pheading"/>
      </w:pPr>
      <w:r>
        <w:t>- Définition / Comprend</w:t>
      </w:r>
    </w:p>
    <w:p w14:paraId="32C9E771" w14:textId="77777777" w:rsidR="00DF410E" w:rsidRDefault="00CE7F43">
      <w:r>
        <w:t xml:space="preserve">Il s’agit des poutres et barres en PSL. La notion de PSL est expliquée au </w:t>
      </w:r>
      <w:hyperlink w:anchor="89" w:history="1">
        <w:r>
          <w:t>24 Superstructures en bois</w:t>
        </w:r>
      </w:hyperlink>
      <w:r>
        <w:t>.</w:t>
      </w:r>
    </w:p>
    <w:p w14:paraId="06C0A0B6" w14:textId="77777777" w:rsidR="00DF410E" w:rsidRDefault="00CE7F43">
      <w:pPr>
        <w:pStyle w:val="Author-eSectionHeading6"/>
      </w:pPr>
      <w:bookmarkStart w:id="1611" w:name="_Toc178838705"/>
      <w:r>
        <w:t>24.13.7a Poutres et barres en PSL à inertie constante CCTB 01.11</w:t>
      </w:r>
      <w:bookmarkEnd w:id="1611"/>
    </w:p>
    <w:p w14:paraId="26E2249C" w14:textId="77777777" w:rsidR="00DF410E" w:rsidRDefault="00CE7F43">
      <w:pPr>
        <w:pStyle w:val="pheading"/>
      </w:pPr>
      <w:r>
        <w:t>DESCRIPTION</w:t>
      </w:r>
    </w:p>
    <w:p w14:paraId="4CA33AE1" w14:textId="77777777" w:rsidR="00DF410E" w:rsidRDefault="00CE7F43">
      <w:pPr>
        <w:pStyle w:val="pheading"/>
      </w:pPr>
      <w:r>
        <w:t>- Définition / Comprend</w:t>
      </w:r>
    </w:p>
    <w:p w14:paraId="2D16AB26" w14:textId="77777777" w:rsidR="00DF410E" w:rsidRDefault="00CE7F43">
      <w:r>
        <w:t>Il s'agit de l’ensemble des poutres et barres en PSL et à inertie constante.</w:t>
      </w:r>
    </w:p>
    <w:p w14:paraId="59B08960" w14:textId="77777777" w:rsidR="00DF410E" w:rsidRDefault="00CE7F43">
      <w:pPr>
        <w:pStyle w:val="pheading"/>
      </w:pPr>
      <w:r>
        <w:t>MATÉRIAUX</w:t>
      </w:r>
    </w:p>
    <w:p w14:paraId="64930708" w14:textId="77777777" w:rsidR="00DF410E" w:rsidRDefault="00CE7F43">
      <w:pPr>
        <w:pStyle w:val="pheading"/>
      </w:pPr>
      <w:r>
        <w:t>- Caractéristiques générales</w:t>
      </w:r>
    </w:p>
    <w:p w14:paraId="7781B1F8" w14:textId="77777777" w:rsidR="00DF410E" w:rsidRDefault="00CE7F43">
      <w:pPr>
        <w:jc w:val="both"/>
      </w:pPr>
      <w:r>
        <w:t xml:space="preserve">Dimensions de la section : </w:t>
      </w:r>
      <w:r>
        <w:rPr>
          <w:rStyle w:val="optioncarChar"/>
        </w:rPr>
        <w:t>Voir plans</w:t>
      </w:r>
      <w:r>
        <w:t xml:space="preserve"> (par défaut) </w:t>
      </w:r>
      <w:r>
        <w:rPr>
          <w:rStyle w:val="optioncarChar"/>
        </w:rPr>
        <w:t>/ *** x *** mm²</w:t>
      </w:r>
    </w:p>
    <w:p w14:paraId="45955ECB" w14:textId="77777777" w:rsidR="00DF410E" w:rsidRDefault="00CE7F43">
      <w:pPr>
        <w:jc w:val="both"/>
      </w:pPr>
      <w:r>
        <w:t>Caractéristiques mécaniques :</w:t>
      </w:r>
    </w:p>
    <w:p w14:paraId="0E627A93" w14:textId="77777777" w:rsidR="00DF410E" w:rsidRDefault="00CE7F43">
      <w:pPr>
        <w:pStyle w:val="Author-eListParagraph"/>
        <w:numPr>
          <w:ilvl w:val="0"/>
          <w:numId w:val="863"/>
        </w:numPr>
      </w:pPr>
      <w:r>
        <w:t>Résistance minimale en flexion à chant :</w:t>
      </w:r>
      <w:r>
        <w:rPr>
          <w:rStyle w:val="optioncarChar"/>
        </w:rPr>
        <w:t> 40 MPa</w:t>
      </w:r>
      <w:r>
        <w:t> (par défaut)</w:t>
      </w:r>
      <w:r>
        <w:rPr>
          <w:rStyle w:val="optioncarChar"/>
        </w:rPr>
        <w:t> / ***</w:t>
      </w:r>
    </w:p>
    <w:p w14:paraId="7305114C" w14:textId="77777777" w:rsidR="00DF410E" w:rsidRDefault="00CE7F43">
      <w:pPr>
        <w:pStyle w:val="Author-eListParagraph"/>
        <w:numPr>
          <w:ilvl w:val="0"/>
          <w:numId w:val="863"/>
        </w:numPr>
      </w:pPr>
      <w:r>
        <w:t>Résistance minimale en flexion à plat : </w:t>
      </w:r>
      <w:r>
        <w:rPr>
          <w:rStyle w:val="optioncarChar"/>
        </w:rPr>
        <w:t>40 MPa </w:t>
      </w:r>
      <w:r>
        <w:t>(par défaut) </w:t>
      </w:r>
      <w:r>
        <w:rPr>
          <w:rStyle w:val="optioncarChar"/>
        </w:rPr>
        <w:t>/ ***</w:t>
      </w:r>
    </w:p>
    <w:p w14:paraId="24757DC8" w14:textId="77777777" w:rsidR="00DF410E" w:rsidRDefault="00CE7F43">
      <w:pPr>
        <w:pStyle w:val="Author-eListParagraph"/>
        <w:numPr>
          <w:ilvl w:val="0"/>
          <w:numId w:val="863"/>
        </w:numPr>
      </w:pPr>
      <w:r>
        <w:t>Résistance minimale en traction parallèle au fil du bois : </w:t>
      </w:r>
      <w:r>
        <w:rPr>
          <w:rStyle w:val="optioncarChar"/>
        </w:rPr>
        <w:t>30 MPa </w:t>
      </w:r>
      <w:r>
        <w:t>(par défaut)</w:t>
      </w:r>
      <w:r>
        <w:rPr>
          <w:rStyle w:val="optioncarChar"/>
        </w:rPr>
        <w:t> / ***</w:t>
      </w:r>
    </w:p>
    <w:p w14:paraId="4A672E28" w14:textId="77777777" w:rsidR="00DF410E" w:rsidRDefault="00CE7F43">
      <w:pPr>
        <w:pStyle w:val="Author-eListParagraph"/>
        <w:numPr>
          <w:ilvl w:val="0"/>
          <w:numId w:val="863"/>
        </w:numPr>
      </w:pPr>
      <w:r>
        <w:t>Résistance minimale en compression parallèle au fil du bois : </w:t>
      </w:r>
      <w:r>
        <w:rPr>
          <w:rStyle w:val="optioncarChar"/>
        </w:rPr>
        <w:t>30 MPa </w:t>
      </w:r>
      <w:r>
        <w:t>(par défaut)</w:t>
      </w:r>
      <w:r>
        <w:rPr>
          <w:rStyle w:val="optioncarChar"/>
        </w:rPr>
        <w:t> / ***</w:t>
      </w:r>
    </w:p>
    <w:p w14:paraId="73629FD3" w14:textId="77777777" w:rsidR="00DF410E" w:rsidRDefault="00CE7F43">
      <w:pPr>
        <w:pStyle w:val="Author-eListParagraph"/>
        <w:numPr>
          <w:ilvl w:val="0"/>
          <w:numId w:val="863"/>
        </w:numPr>
      </w:pPr>
      <w:r>
        <w:t>Résistance minimale en cisaillement à chant :</w:t>
      </w:r>
      <w:r>
        <w:rPr>
          <w:rStyle w:val="optioncarChar"/>
        </w:rPr>
        <w:t> 5 MPa </w:t>
      </w:r>
      <w:r>
        <w:t>(par défaut)</w:t>
      </w:r>
      <w:r>
        <w:rPr>
          <w:rStyle w:val="optioncarChar"/>
        </w:rPr>
        <w:t> / ***</w:t>
      </w:r>
    </w:p>
    <w:p w14:paraId="299A660D" w14:textId="77777777" w:rsidR="00DF410E" w:rsidRDefault="00CE7F43">
      <w:pPr>
        <w:pStyle w:val="Author-eListParagraph"/>
        <w:numPr>
          <w:ilvl w:val="0"/>
          <w:numId w:val="863"/>
        </w:numPr>
      </w:pPr>
      <w:r>
        <w:t>Résistance minimale en cisaillement à plat : </w:t>
      </w:r>
      <w:r>
        <w:rPr>
          <w:rStyle w:val="optioncarChar"/>
        </w:rPr>
        <w:t>4 MPa </w:t>
      </w:r>
      <w:r>
        <w:t>(par défaut)</w:t>
      </w:r>
      <w:r>
        <w:rPr>
          <w:rStyle w:val="optioncarChar"/>
        </w:rPr>
        <w:t> / ***</w:t>
      </w:r>
    </w:p>
    <w:p w14:paraId="2349D911" w14:textId="77777777" w:rsidR="00DF410E" w:rsidRDefault="00CE7F43">
      <w:pPr>
        <w:pStyle w:val="Author-eListParagraph"/>
        <w:numPr>
          <w:ilvl w:val="0"/>
          <w:numId w:val="863"/>
        </w:numPr>
      </w:pPr>
      <w:r>
        <w:t>Module d’élasticité minimum parallèle au fil du bois (au fractile 5%) : </w:t>
      </w:r>
      <w:r>
        <w:rPr>
          <w:rStyle w:val="optioncarChar"/>
        </w:rPr>
        <w:t>9 GPa </w:t>
      </w:r>
      <w:r>
        <w:t>(par défaut)</w:t>
      </w:r>
      <w:r>
        <w:rPr>
          <w:rStyle w:val="optioncarChar"/>
        </w:rPr>
        <w:t> / ***</w:t>
      </w:r>
    </w:p>
    <w:p w14:paraId="63191A92" w14:textId="77777777" w:rsidR="00DF410E" w:rsidRDefault="00CE7F43">
      <w:pPr>
        <w:pStyle w:val="Author-eListParagraph"/>
        <w:numPr>
          <w:ilvl w:val="0"/>
          <w:numId w:val="863"/>
        </w:numPr>
      </w:pPr>
      <w:r>
        <w:t>Module de cisaillement à chant : </w:t>
      </w:r>
      <w:r>
        <w:rPr>
          <w:rStyle w:val="optioncarChar"/>
        </w:rPr>
        <w:t>600 MPa </w:t>
      </w:r>
      <w:r>
        <w:t>(par défaut)</w:t>
      </w:r>
      <w:r>
        <w:rPr>
          <w:rStyle w:val="optioncarChar"/>
        </w:rPr>
        <w:t> / ***</w:t>
      </w:r>
    </w:p>
    <w:p w14:paraId="551D321F" w14:textId="77777777" w:rsidR="00DF410E" w:rsidRDefault="00CE7F43">
      <w:pPr>
        <w:pStyle w:val="Author-eListParagraph"/>
        <w:numPr>
          <w:ilvl w:val="0"/>
          <w:numId w:val="863"/>
        </w:numPr>
      </w:pPr>
      <w:r>
        <w:t>Module de cisaillement à plat :</w:t>
      </w:r>
      <w:r>
        <w:rPr>
          <w:rStyle w:val="optioncarChar"/>
        </w:rPr>
        <w:t> 400 MPa </w:t>
      </w:r>
      <w:r>
        <w:t>(par défaut)</w:t>
      </w:r>
      <w:r>
        <w:rPr>
          <w:rStyle w:val="optioncarChar"/>
        </w:rPr>
        <w:t> / ***</w:t>
      </w:r>
    </w:p>
    <w:p w14:paraId="5C18BC5B" w14:textId="77777777" w:rsidR="00DF410E" w:rsidRDefault="00CE7F43">
      <w:pPr>
        <w:jc w:val="both"/>
      </w:pPr>
      <w:r>
        <w:t xml:space="preserve">Courbure des poutres et barres : </w:t>
      </w:r>
      <w:r>
        <w:rPr>
          <w:rStyle w:val="optioncarChar"/>
        </w:rPr>
        <w:t>aucune (</w:t>
      </w:r>
      <w:r>
        <w:t xml:space="preserve">par défaut) </w:t>
      </w:r>
      <w:r>
        <w:rPr>
          <w:rStyle w:val="optioncarChar"/>
        </w:rPr>
        <w:t>/ voir plan / ***</w:t>
      </w:r>
    </w:p>
    <w:p w14:paraId="3BFEDAE2" w14:textId="77777777" w:rsidR="00DF410E" w:rsidRDefault="00CE7F43">
      <w:pPr>
        <w:jc w:val="both"/>
      </w:pPr>
      <w:r>
        <w:t xml:space="preserve">Essence : </w:t>
      </w:r>
      <w:r>
        <w:rPr>
          <w:rStyle w:val="optioncarChar"/>
        </w:rPr>
        <w:t xml:space="preserve">Résineuse </w:t>
      </w:r>
      <w:r>
        <w:t xml:space="preserve">(par défaut) </w:t>
      </w:r>
      <w:r>
        <w:rPr>
          <w:rStyle w:val="optioncarChar"/>
        </w:rPr>
        <w:t>/ feuillue / épicéa / douglas / hêtre / ***</w:t>
      </w:r>
    </w:p>
    <w:p w14:paraId="3B1FD230" w14:textId="77777777" w:rsidR="00DF410E" w:rsidRDefault="00CE7F43">
      <w:pPr>
        <w:jc w:val="both"/>
      </w:pPr>
      <w:r>
        <w:t>Classe d’emploi :</w:t>
      </w:r>
      <w:r>
        <w:rPr>
          <w:rStyle w:val="optioncarChar"/>
        </w:rPr>
        <w:t xml:space="preserve"> 1 / 2 / 3</w:t>
      </w:r>
    </w:p>
    <w:p w14:paraId="4ECF5D38" w14:textId="77777777" w:rsidR="00DF410E" w:rsidRDefault="00CE7F43">
      <w:pPr>
        <w:jc w:val="both"/>
      </w:pPr>
      <w:r>
        <w:t>Le fabricant de l’élément déclare la classe d’emploi maximale dans laquelle celui-ci peut être mis en œuvre. Celle-ci est au minimum celle prescrite au cahier spécial des charges.</w:t>
      </w:r>
    </w:p>
    <w:p w14:paraId="043808C3" w14:textId="77777777" w:rsidR="00DF410E" w:rsidRDefault="00CE7F43">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74B4C507" w14:textId="77777777" w:rsidR="00DF410E" w:rsidRDefault="00CE7F43">
      <w:pPr>
        <w:jc w:val="both"/>
      </w:pPr>
      <w:r>
        <w:t xml:space="preserve">Classe d’émission de formaldéhyde : </w:t>
      </w:r>
      <w:r>
        <w:rPr>
          <w:rStyle w:val="optioncarChar"/>
        </w:rPr>
        <w:t>E1</w:t>
      </w:r>
      <w:r>
        <w:t xml:space="preserve"> (par défaut)</w:t>
      </w:r>
      <w:r>
        <w:rPr>
          <w:rStyle w:val="optioncarChar"/>
        </w:rPr>
        <w:t xml:space="preserve"> / E2</w:t>
      </w:r>
    </w:p>
    <w:p w14:paraId="55F7937B" w14:textId="77777777" w:rsidR="00DF410E" w:rsidRDefault="00CE7F43">
      <w:pPr>
        <w:pStyle w:val="pheading"/>
      </w:pPr>
      <w:r>
        <w:t>- Finitions</w:t>
      </w:r>
    </w:p>
    <w:p w14:paraId="15E1ABEE" w14:textId="77777777" w:rsidR="00DF410E" w:rsidRDefault="00CE7F43">
      <w:pPr>
        <w:jc w:val="both"/>
      </w:pPr>
      <w:r>
        <w:t xml:space="preserve">Les poutres et barres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0D8D7F90" w14:textId="77777777" w:rsidR="00DF410E" w:rsidRDefault="00CE7F43">
      <w:pPr>
        <w:jc w:val="both"/>
      </w:pPr>
      <w:r>
        <w:t>Les arrêtes sont</w:t>
      </w:r>
      <w:r>
        <w:rPr>
          <w:rStyle w:val="optioncarChar"/>
        </w:rPr>
        <w:t xml:space="preserve"> vives</w:t>
      </w:r>
      <w:r>
        <w:t xml:space="preserve"> (par défaut) </w:t>
      </w:r>
      <w:r>
        <w:rPr>
          <w:rStyle w:val="optioncarChar"/>
        </w:rPr>
        <w:t>/ chanfreinées / ***</w:t>
      </w:r>
    </w:p>
    <w:p w14:paraId="08637056" w14:textId="77777777" w:rsidR="00DF410E" w:rsidRDefault="00CE7F43">
      <w:pPr>
        <w:jc w:val="both"/>
      </w:pPr>
      <w:r>
        <w:t xml:space="preserve">Les poutres et barres en PSL sont </w:t>
      </w:r>
      <w:r>
        <w:rPr>
          <w:rStyle w:val="optioncarChar"/>
        </w:rPr>
        <w:t>sans finitions</w:t>
      </w:r>
      <w:r>
        <w:t xml:space="preserve"> (par défaut) </w:t>
      </w:r>
      <w:r>
        <w:rPr>
          <w:rStyle w:val="optioncarChar"/>
        </w:rPr>
        <w:t>/ huilées / vernies / lasurées / peintes / ***</w:t>
      </w:r>
      <w:r>
        <w:t xml:space="preserve"> avant mise en œuvre.</w:t>
      </w:r>
    </w:p>
    <w:p w14:paraId="69D94F7B" w14:textId="77777777" w:rsidR="00DF410E" w:rsidRDefault="00CE7F43">
      <w:pPr>
        <w:pStyle w:val="pheading"/>
      </w:pPr>
      <w:r>
        <w:t>EXÉCUTION / MISE EN ŒUVRE</w:t>
      </w:r>
    </w:p>
    <w:p w14:paraId="50CB2362" w14:textId="77777777" w:rsidR="00DF410E" w:rsidRDefault="00CE7F43">
      <w:pPr>
        <w:pStyle w:val="pheading"/>
      </w:pPr>
      <w:r>
        <w:t>- Prescriptions générales</w:t>
      </w:r>
    </w:p>
    <w:p w14:paraId="1C19508D"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123404EC" w14:textId="77777777" w:rsidR="00DF410E" w:rsidRDefault="00CE7F43">
      <w:pPr>
        <w:pStyle w:val="pheading"/>
      </w:pPr>
      <w:r>
        <w:t>MESURAGE</w:t>
      </w:r>
    </w:p>
    <w:p w14:paraId="70AD8116" w14:textId="77777777" w:rsidR="00DF410E" w:rsidRDefault="00CE7F43">
      <w:pPr>
        <w:pStyle w:val="pheading"/>
      </w:pPr>
      <w:r>
        <w:t>- unité de mesure:</w:t>
      </w:r>
    </w:p>
    <w:p w14:paraId="4B3E2167" w14:textId="77777777" w:rsidR="00DF410E" w:rsidRDefault="00CE7F43">
      <w:r>
        <w:rPr>
          <w:rStyle w:val="optioncarChar"/>
        </w:rPr>
        <w:t>m³ </w:t>
      </w:r>
      <w:r>
        <w:t>(par défaut)</w:t>
      </w:r>
      <w:r>
        <w:rPr>
          <w:rStyle w:val="optioncarChar"/>
        </w:rPr>
        <w:t> / m / pc</w:t>
      </w:r>
    </w:p>
    <w:p w14:paraId="2994425D" w14:textId="77777777" w:rsidR="00DF410E" w:rsidRDefault="00CE7F43">
      <w:r>
        <w:rPr>
          <w:b/>
          <w:i/>
        </w:rPr>
        <w:t>(Soit par défaut)</w:t>
      </w:r>
    </w:p>
    <w:p w14:paraId="37C2AA60" w14:textId="77777777" w:rsidR="00DF410E" w:rsidRDefault="00CE7F43">
      <w:r>
        <w:rPr>
          <w:rStyle w:val="soitChar"/>
        </w:rPr>
        <w:t>1.    m³ </w:t>
      </w:r>
    </w:p>
    <w:p w14:paraId="420EEE61" w14:textId="77777777" w:rsidR="00DF410E" w:rsidRDefault="00CE7F43">
      <w:r>
        <w:rPr>
          <w:b/>
          <w:i/>
        </w:rPr>
        <w:t>(Soit)</w:t>
      </w:r>
    </w:p>
    <w:p w14:paraId="51DBE058" w14:textId="77777777" w:rsidR="00DF410E" w:rsidRDefault="00CE7F43">
      <w:r>
        <w:rPr>
          <w:rStyle w:val="soitChar"/>
        </w:rPr>
        <w:t>2.    m </w:t>
      </w:r>
    </w:p>
    <w:p w14:paraId="7B3A7964" w14:textId="77777777" w:rsidR="00DF410E" w:rsidRDefault="00CE7F43">
      <w:r>
        <w:rPr>
          <w:b/>
          <w:i/>
        </w:rPr>
        <w:t>(Soit)</w:t>
      </w:r>
    </w:p>
    <w:p w14:paraId="0D4FE0FA" w14:textId="77777777" w:rsidR="00DF410E" w:rsidRDefault="00CE7F43">
      <w:r>
        <w:rPr>
          <w:rStyle w:val="soitChar"/>
        </w:rPr>
        <w:t>3.    pc</w:t>
      </w:r>
    </w:p>
    <w:p w14:paraId="4C767CCF" w14:textId="77777777" w:rsidR="00DF410E" w:rsidRDefault="00CE7F43">
      <w:pPr>
        <w:pStyle w:val="pheading"/>
      </w:pPr>
      <w:r>
        <w:t>- code de mesurage:</w:t>
      </w:r>
    </w:p>
    <w:p w14:paraId="789EEE8F" w14:textId="77777777" w:rsidR="00DF410E" w:rsidRDefault="00CE7F43">
      <w:pPr>
        <w:jc w:val="both"/>
      </w:pPr>
      <w:r>
        <w:rPr>
          <w:rStyle w:val="optioncarChar"/>
        </w:rPr>
        <w:t> Volume brut </w:t>
      </w:r>
      <w:r>
        <w:t>(par défaut) </w:t>
      </w:r>
      <w:r>
        <w:rPr>
          <w:rStyle w:val="optioncarChar"/>
        </w:rPr>
        <w:t>/ Longueur brute / Quantité nette</w:t>
      </w:r>
    </w:p>
    <w:p w14:paraId="0432CA3B" w14:textId="77777777" w:rsidR="00DF410E" w:rsidRDefault="00CE7F43">
      <w:pPr>
        <w:jc w:val="both"/>
      </w:pPr>
      <w:r>
        <w:rPr>
          <w:b/>
          <w:i/>
        </w:rPr>
        <w:t>(Soit par défaut)</w:t>
      </w:r>
    </w:p>
    <w:p w14:paraId="2B84EAAA" w14:textId="77777777" w:rsidR="00DF410E" w:rsidRDefault="00CE7F43">
      <w:pPr>
        <w:jc w:val="both"/>
      </w:pPr>
      <w:r>
        <w:rPr>
          <w:rStyle w:val="soitChar"/>
        </w:rPr>
        <w:t>1.    </w:t>
      </w:r>
      <w:r>
        <w:rPr>
          <w:rStyle w:val="soitChar"/>
          <w:u w:val="single"/>
        </w:rPr>
        <w:t>Volume brut :</w:t>
      </w:r>
    </w:p>
    <w:p w14:paraId="252B3C33" w14:textId="77777777" w:rsidR="00DF410E" w:rsidRDefault="00CE7F43">
      <w:pPr>
        <w:jc w:val="both"/>
      </w:pPr>
      <w:r>
        <w:rPr>
          <w:rStyle w:val="soitChar"/>
        </w:rPr>
        <w:t>Le volume brut d’une poutre/barre est calculé suivant le volume du plus petit parallélépipède rectangle pouvant inclure l’élément.</w:t>
      </w:r>
    </w:p>
    <w:p w14:paraId="06B12C19" w14:textId="77777777" w:rsidR="00DF410E" w:rsidRDefault="00CE7F43">
      <w:pPr>
        <w:jc w:val="both"/>
      </w:pPr>
      <w:r>
        <w:rPr>
          <w:b/>
          <w:i/>
        </w:rPr>
        <w:t> (Soit)</w:t>
      </w:r>
    </w:p>
    <w:p w14:paraId="55F57E11" w14:textId="77777777" w:rsidR="00DF410E" w:rsidRDefault="00CE7F43">
      <w:pPr>
        <w:jc w:val="both"/>
      </w:pPr>
      <w:r>
        <w:rPr>
          <w:rStyle w:val="soitChar"/>
        </w:rPr>
        <w:t>2.    </w:t>
      </w:r>
      <w:r>
        <w:rPr>
          <w:rStyle w:val="soitChar"/>
          <w:u w:val="single"/>
        </w:rPr>
        <w:t>Longueur brute :</w:t>
      </w:r>
    </w:p>
    <w:p w14:paraId="45F23ADA" w14:textId="77777777" w:rsidR="00DF410E" w:rsidRDefault="00CE7F43">
      <w:pPr>
        <w:jc w:val="both"/>
      </w:pPr>
      <w:r>
        <w:rPr>
          <w:rStyle w:val="soitChar"/>
        </w:rPr>
        <w:t>La longueur brute d’un élément est la cote maximale dans la direction longitudinale, longueur de bois utile pour l’assemblage comprise. </w:t>
      </w:r>
    </w:p>
    <w:p w14:paraId="78C88D84" w14:textId="77777777" w:rsidR="00DF410E" w:rsidRDefault="00CE7F43">
      <w:pPr>
        <w:jc w:val="both"/>
      </w:pPr>
      <w:r>
        <w:rPr>
          <w:rStyle w:val="soitChar"/>
        </w:rPr>
        <w:t>La longueur totale des poutres et barres ayant la même section et les mêmes caractéristiques est comptabilisée.</w:t>
      </w:r>
    </w:p>
    <w:p w14:paraId="40E9F65E" w14:textId="77777777" w:rsidR="00DF410E" w:rsidRDefault="00CE7F43">
      <w:pPr>
        <w:jc w:val="both"/>
      </w:pPr>
      <w:r>
        <w:rPr>
          <w:b/>
          <w:i/>
        </w:rPr>
        <w:t> (Soit)</w:t>
      </w:r>
    </w:p>
    <w:p w14:paraId="6A9D3FE6" w14:textId="77777777" w:rsidR="00DF410E" w:rsidRDefault="00CE7F43">
      <w:pPr>
        <w:jc w:val="both"/>
      </w:pPr>
      <w:r>
        <w:rPr>
          <w:rStyle w:val="soitChar"/>
        </w:rPr>
        <w:t>3.    </w:t>
      </w:r>
      <w:r>
        <w:rPr>
          <w:rStyle w:val="soitChar"/>
          <w:u w:val="single"/>
        </w:rPr>
        <w:t>Quantité nette :</w:t>
      </w:r>
    </w:p>
    <w:p w14:paraId="2DA94CE6" w14:textId="77777777" w:rsidR="00DF410E" w:rsidRDefault="00CE7F43">
      <w:pPr>
        <w:jc w:val="both"/>
      </w:pPr>
      <w:r>
        <w:rPr>
          <w:rStyle w:val="soitChar"/>
        </w:rPr>
        <w:t>Le nombre de poutres et barres ayant les mêmes dimensions et les mêmes caractéristiques est compatibilisé.</w:t>
      </w:r>
    </w:p>
    <w:p w14:paraId="52F7CE13" w14:textId="77777777" w:rsidR="00DF410E" w:rsidRDefault="00CE7F43">
      <w:pPr>
        <w:pStyle w:val="pheading"/>
      </w:pPr>
      <w:r>
        <w:t>- nature du marché:</w:t>
      </w:r>
    </w:p>
    <w:p w14:paraId="07A9836D" w14:textId="77777777" w:rsidR="00DF410E" w:rsidRDefault="00CE7F43">
      <w:r>
        <w:rPr>
          <w:rStyle w:val="optioncarChar"/>
        </w:rPr>
        <w:t>QF</w:t>
      </w:r>
      <w:r>
        <w:t> (par défaut) </w:t>
      </w:r>
      <w:r>
        <w:rPr>
          <w:rStyle w:val="optioncarChar"/>
        </w:rPr>
        <w:t>/ QP</w:t>
      </w:r>
    </w:p>
    <w:p w14:paraId="0D239BE1" w14:textId="77777777" w:rsidR="00DF410E" w:rsidRDefault="00CE7F43">
      <w:r>
        <w:rPr>
          <w:b/>
          <w:i/>
        </w:rPr>
        <w:t>(Soit par défaut)</w:t>
      </w:r>
    </w:p>
    <w:p w14:paraId="2A1FD1D1" w14:textId="77777777" w:rsidR="00DF410E" w:rsidRDefault="00CE7F43">
      <w:r>
        <w:rPr>
          <w:rStyle w:val="soitChar"/>
        </w:rPr>
        <w:t>1.2.3     QF</w:t>
      </w:r>
    </w:p>
    <w:p w14:paraId="21C118EB" w14:textId="77777777" w:rsidR="00DF410E" w:rsidRDefault="00CE7F43">
      <w:r>
        <w:rPr>
          <w:b/>
          <w:i/>
        </w:rPr>
        <w:t>(Soit)</w:t>
      </w:r>
    </w:p>
    <w:p w14:paraId="07E5A89F" w14:textId="77777777" w:rsidR="00DF410E" w:rsidRDefault="00CE7F43">
      <w:r>
        <w:rPr>
          <w:rStyle w:val="soitChar"/>
        </w:rPr>
        <w:t>1.2.3     QP</w:t>
      </w:r>
    </w:p>
    <w:p w14:paraId="1082868D" w14:textId="77777777" w:rsidR="00DF410E" w:rsidRDefault="00CE7F43">
      <w:pPr>
        <w:pStyle w:val="pheading"/>
      </w:pPr>
      <w:r>
        <w:t>AIDE</w:t>
      </w:r>
    </w:p>
    <w:p w14:paraId="7A7077D5" w14:textId="77777777" w:rsidR="00DF410E" w:rsidRDefault="00CE7F43">
      <w:pPr>
        <w:jc w:val="both"/>
      </w:pPr>
      <w:r>
        <w:t>Le code suivant peut être utilisé pour la dénomination du poste :</w:t>
      </w:r>
    </w:p>
    <w:p w14:paraId="47B21174" w14:textId="77777777" w:rsidR="00DF410E" w:rsidRDefault="00CE7F43">
      <w:pPr>
        <w:jc w:val="both"/>
      </w:pPr>
      <w:r>
        <w:t>PSL 1 / 2 / 3 / 4 </w:t>
      </w:r>
    </w:p>
    <w:p w14:paraId="15545859" w14:textId="77777777" w:rsidR="00DF410E" w:rsidRDefault="00CE7F43">
      <w:pPr>
        <w:jc w:val="both"/>
      </w:pPr>
      <w:r>
        <w:t>Avec :</w:t>
      </w:r>
    </w:p>
    <w:p w14:paraId="5FCE1390" w14:textId="77777777" w:rsidR="00DF410E" w:rsidRDefault="00CE7F43">
      <w:pPr>
        <w:jc w:val="both"/>
      </w:pPr>
      <w:r>
        <w:t>PSL pour bois laminated veneer lumber</w:t>
      </w:r>
    </w:p>
    <w:p w14:paraId="7FD17538" w14:textId="77777777" w:rsidR="00DF410E" w:rsidRDefault="00CE7F43">
      <w:pPr>
        <w:jc w:val="both"/>
      </w:pPr>
      <w:r>
        <w:t>1 : section de la colonne</w:t>
      </w:r>
    </w:p>
    <w:p w14:paraId="218AD37E" w14:textId="77777777" w:rsidR="00DF410E" w:rsidRDefault="00CE7F43">
      <w:pPr>
        <w:jc w:val="both"/>
      </w:pPr>
      <w:r>
        <w:t>2 : L’essence utilisée</w:t>
      </w:r>
    </w:p>
    <w:p w14:paraId="65E03CD9" w14:textId="77777777" w:rsidR="00DF410E" w:rsidRDefault="00CE7F43">
      <w:pPr>
        <w:jc w:val="both"/>
      </w:pPr>
      <w:r>
        <w:t>3 : la classe d’emploi des poutres et barres</w:t>
      </w:r>
    </w:p>
    <w:p w14:paraId="668B33E3" w14:textId="77777777" w:rsidR="00DF410E" w:rsidRDefault="00CE7F43">
      <w:pPr>
        <w:jc w:val="both"/>
      </w:pPr>
      <w:r>
        <w:t>4 : la méthode utilisée pour garantir la durabilité des poutres et barres</w:t>
      </w:r>
    </w:p>
    <w:p w14:paraId="05526A41" w14:textId="77777777" w:rsidR="00DF410E" w:rsidRDefault="00CE7F43">
      <w:pPr>
        <w:jc w:val="both"/>
      </w:pPr>
      <w:r>
        <w:t> </w:t>
      </w:r>
    </w:p>
    <w:p w14:paraId="45C2EA79" w14:textId="77777777" w:rsidR="00DF410E" w:rsidRDefault="00CE7F43">
      <w:pPr>
        <w:jc w:val="both"/>
      </w:pPr>
      <w:r>
        <w:t>Ce qui donne, par exemple :</w:t>
      </w:r>
    </w:p>
    <w:p w14:paraId="61A9F9E6" w14:textId="77777777" w:rsidR="00DF410E" w:rsidRDefault="00CE7F43">
      <w:pPr>
        <w:jc w:val="both"/>
      </w:pPr>
      <w:r>
        <w:t>PSL 200 x 90 / épicéa / 2 / A2.2</w:t>
      </w:r>
    </w:p>
    <w:p w14:paraId="50E4D381" w14:textId="77777777" w:rsidR="00DF410E" w:rsidRDefault="00CE7F43">
      <w:pPr>
        <w:pStyle w:val="Author-eSectionHeading6"/>
      </w:pPr>
      <w:bookmarkStart w:id="1612" w:name="_Toc178838706"/>
      <w:r>
        <w:t>24.13.7b Poutres et barres en PSL à inertie variable CCTB 01.11</w:t>
      </w:r>
      <w:bookmarkEnd w:id="1612"/>
    </w:p>
    <w:p w14:paraId="7592EBBA" w14:textId="77777777" w:rsidR="00DF410E" w:rsidRDefault="00CE7F43">
      <w:pPr>
        <w:pStyle w:val="pheading"/>
      </w:pPr>
      <w:r>
        <w:t>DESCRIPTION</w:t>
      </w:r>
    </w:p>
    <w:p w14:paraId="206A460B" w14:textId="77777777" w:rsidR="00DF410E" w:rsidRDefault="00CE7F43">
      <w:pPr>
        <w:pStyle w:val="pheading"/>
      </w:pPr>
      <w:r>
        <w:t>- Définition / Comprend</w:t>
      </w:r>
    </w:p>
    <w:p w14:paraId="280DD70F" w14:textId="77777777" w:rsidR="00DF410E" w:rsidRDefault="00CE7F43">
      <w:r>
        <w:t>Il s'agit de l’ensemble des poutres et barres en PSL et à inertie variable.</w:t>
      </w:r>
    </w:p>
    <w:p w14:paraId="360023BB" w14:textId="77777777" w:rsidR="00DF410E" w:rsidRDefault="00CE7F43">
      <w:pPr>
        <w:pStyle w:val="pheading"/>
      </w:pPr>
      <w:r>
        <w:t>MATÉRIAUX</w:t>
      </w:r>
    </w:p>
    <w:p w14:paraId="3E678923" w14:textId="77777777" w:rsidR="00DF410E" w:rsidRDefault="00CE7F43">
      <w:pPr>
        <w:pStyle w:val="pheading"/>
      </w:pPr>
      <w:r>
        <w:t>- Caractéristiques générales</w:t>
      </w:r>
    </w:p>
    <w:p w14:paraId="2504D324" w14:textId="77777777" w:rsidR="00DF410E" w:rsidRDefault="00CE7F43">
      <w:pPr>
        <w:jc w:val="both"/>
      </w:pPr>
      <w:r>
        <w:t>Caractéristiques mécaniques :</w:t>
      </w:r>
    </w:p>
    <w:p w14:paraId="4524D43C" w14:textId="77777777" w:rsidR="00DF410E" w:rsidRDefault="00CE7F43">
      <w:pPr>
        <w:pStyle w:val="Author-eListParagraph"/>
        <w:numPr>
          <w:ilvl w:val="0"/>
          <w:numId w:val="864"/>
        </w:numPr>
      </w:pPr>
      <w:r>
        <w:t>Résistance minimale en flexion à chant :</w:t>
      </w:r>
      <w:r>
        <w:rPr>
          <w:rStyle w:val="optioncarChar"/>
        </w:rPr>
        <w:t> 40 MPa</w:t>
      </w:r>
      <w:r>
        <w:t> (par défaut)</w:t>
      </w:r>
      <w:r>
        <w:rPr>
          <w:rStyle w:val="optioncarChar"/>
        </w:rPr>
        <w:t> / ***</w:t>
      </w:r>
    </w:p>
    <w:p w14:paraId="30EED891" w14:textId="77777777" w:rsidR="00DF410E" w:rsidRDefault="00CE7F43">
      <w:pPr>
        <w:pStyle w:val="Author-eListParagraph"/>
        <w:numPr>
          <w:ilvl w:val="0"/>
          <w:numId w:val="864"/>
        </w:numPr>
      </w:pPr>
      <w:r>
        <w:t>Résistance minimale en flexion à plat : </w:t>
      </w:r>
      <w:r>
        <w:rPr>
          <w:rStyle w:val="optioncarChar"/>
        </w:rPr>
        <w:t>40 MPa </w:t>
      </w:r>
      <w:r>
        <w:t>(par défaut) </w:t>
      </w:r>
      <w:r>
        <w:rPr>
          <w:rStyle w:val="optioncarChar"/>
        </w:rPr>
        <w:t>/ ***</w:t>
      </w:r>
    </w:p>
    <w:p w14:paraId="55F6F330" w14:textId="77777777" w:rsidR="00DF410E" w:rsidRDefault="00CE7F43">
      <w:pPr>
        <w:pStyle w:val="Author-eListParagraph"/>
        <w:numPr>
          <w:ilvl w:val="0"/>
          <w:numId w:val="864"/>
        </w:numPr>
      </w:pPr>
      <w:r>
        <w:t>Résistance minimale en traction parallèle au fil du bois : </w:t>
      </w:r>
      <w:r>
        <w:rPr>
          <w:rStyle w:val="optioncarChar"/>
        </w:rPr>
        <w:t>30 MPa </w:t>
      </w:r>
      <w:r>
        <w:t>(par défaut)</w:t>
      </w:r>
      <w:r>
        <w:rPr>
          <w:rStyle w:val="optioncarChar"/>
        </w:rPr>
        <w:t> / ***</w:t>
      </w:r>
    </w:p>
    <w:p w14:paraId="7DDC6155" w14:textId="77777777" w:rsidR="00DF410E" w:rsidRDefault="00CE7F43">
      <w:pPr>
        <w:pStyle w:val="Author-eListParagraph"/>
        <w:numPr>
          <w:ilvl w:val="0"/>
          <w:numId w:val="864"/>
        </w:numPr>
      </w:pPr>
      <w:r>
        <w:t>Résistance minimale en compression parallèle au fil du bois : </w:t>
      </w:r>
      <w:r>
        <w:rPr>
          <w:rStyle w:val="optioncarChar"/>
        </w:rPr>
        <w:t>30 MPa </w:t>
      </w:r>
      <w:r>
        <w:t>(par défaut)</w:t>
      </w:r>
      <w:r>
        <w:rPr>
          <w:rStyle w:val="optioncarChar"/>
        </w:rPr>
        <w:t> / ***</w:t>
      </w:r>
    </w:p>
    <w:p w14:paraId="0A8F0579" w14:textId="77777777" w:rsidR="00DF410E" w:rsidRDefault="00CE7F43">
      <w:pPr>
        <w:pStyle w:val="Author-eListParagraph"/>
        <w:numPr>
          <w:ilvl w:val="0"/>
          <w:numId w:val="864"/>
        </w:numPr>
      </w:pPr>
      <w:r>
        <w:t>Résistance minimale en cisaillement à chant :</w:t>
      </w:r>
      <w:r>
        <w:rPr>
          <w:rStyle w:val="optioncarChar"/>
        </w:rPr>
        <w:t> 5 MPa </w:t>
      </w:r>
      <w:r>
        <w:t>(par défaut)</w:t>
      </w:r>
      <w:r>
        <w:rPr>
          <w:rStyle w:val="optioncarChar"/>
        </w:rPr>
        <w:t> / ***</w:t>
      </w:r>
    </w:p>
    <w:p w14:paraId="2BD1B5B8" w14:textId="77777777" w:rsidR="00DF410E" w:rsidRDefault="00CE7F43">
      <w:pPr>
        <w:pStyle w:val="Author-eListParagraph"/>
        <w:numPr>
          <w:ilvl w:val="0"/>
          <w:numId w:val="864"/>
        </w:numPr>
      </w:pPr>
      <w:r>
        <w:t>Résistance minimale en cisaillement à plat : </w:t>
      </w:r>
      <w:r>
        <w:rPr>
          <w:rStyle w:val="optioncarChar"/>
        </w:rPr>
        <w:t>4 MPa </w:t>
      </w:r>
      <w:r>
        <w:t>(par défaut)</w:t>
      </w:r>
      <w:r>
        <w:rPr>
          <w:rStyle w:val="optioncarChar"/>
        </w:rPr>
        <w:t> / ***</w:t>
      </w:r>
    </w:p>
    <w:p w14:paraId="2735279E" w14:textId="77777777" w:rsidR="00DF410E" w:rsidRDefault="00CE7F43">
      <w:pPr>
        <w:pStyle w:val="Author-eListParagraph"/>
        <w:numPr>
          <w:ilvl w:val="0"/>
          <w:numId w:val="864"/>
        </w:numPr>
      </w:pPr>
      <w:r>
        <w:t>Module d’élasticité minimum parallèle au fil du bois (au fractile 5%) : </w:t>
      </w:r>
      <w:r>
        <w:rPr>
          <w:rStyle w:val="optioncarChar"/>
        </w:rPr>
        <w:t>9 GPa </w:t>
      </w:r>
      <w:r>
        <w:t>(par défaut)</w:t>
      </w:r>
      <w:r>
        <w:rPr>
          <w:rStyle w:val="optioncarChar"/>
        </w:rPr>
        <w:t> / ***</w:t>
      </w:r>
    </w:p>
    <w:p w14:paraId="3D3D8EB9" w14:textId="77777777" w:rsidR="00DF410E" w:rsidRDefault="00CE7F43">
      <w:pPr>
        <w:pStyle w:val="Author-eListParagraph"/>
        <w:numPr>
          <w:ilvl w:val="0"/>
          <w:numId w:val="864"/>
        </w:numPr>
      </w:pPr>
      <w:r>
        <w:t>Module de cisaillement à chant : </w:t>
      </w:r>
      <w:r>
        <w:rPr>
          <w:rStyle w:val="optioncarChar"/>
        </w:rPr>
        <w:t>600 MPa </w:t>
      </w:r>
      <w:r>
        <w:t>(par défaut)</w:t>
      </w:r>
      <w:r>
        <w:rPr>
          <w:rStyle w:val="optioncarChar"/>
        </w:rPr>
        <w:t> / ***</w:t>
      </w:r>
    </w:p>
    <w:p w14:paraId="7D991D21" w14:textId="77777777" w:rsidR="00DF410E" w:rsidRDefault="00CE7F43">
      <w:pPr>
        <w:pStyle w:val="Author-eListParagraph"/>
        <w:numPr>
          <w:ilvl w:val="0"/>
          <w:numId w:val="864"/>
        </w:numPr>
      </w:pPr>
      <w:r>
        <w:t>Module de cisaillement à plat :</w:t>
      </w:r>
      <w:r>
        <w:rPr>
          <w:rStyle w:val="optioncarChar"/>
        </w:rPr>
        <w:t> 400 MPa </w:t>
      </w:r>
      <w:r>
        <w:t>(par défaut)</w:t>
      </w:r>
      <w:r>
        <w:rPr>
          <w:rStyle w:val="optioncarChar"/>
        </w:rPr>
        <w:t> / ***</w:t>
      </w:r>
    </w:p>
    <w:p w14:paraId="75FF7797" w14:textId="77777777" w:rsidR="00DF410E" w:rsidRDefault="00CE7F43">
      <w:pPr>
        <w:jc w:val="both"/>
      </w:pPr>
      <w:r>
        <w:t>La géométrie des poutres et barres est décrite dans les plans.</w:t>
      </w:r>
    </w:p>
    <w:p w14:paraId="649BDEC1" w14:textId="77777777" w:rsidR="00DF410E" w:rsidRDefault="00CE7F43">
      <w:pPr>
        <w:jc w:val="both"/>
      </w:pPr>
      <w:r>
        <w:t xml:space="preserve">Essence : </w:t>
      </w:r>
      <w:r>
        <w:rPr>
          <w:rStyle w:val="optioncarChar"/>
        </w:rPr>
        <w:t>Résineuse</w:t>
      </w:r>
      <w:r>
        <w:t xml:space="preserve"> (par défaut)</w:t>
      </w:r>
      <w:r>
        <w:rPr>
          <w:rStyle w:val="optioncarChar"/>
        </w:rPr>
        <w:t xml:space="preserve"> / feuillue / épicéa / douglas / hêtre / ***</w:t>
      </w:r>
    </w:p>
    <w:p w14:paraId="4ABD788A" w14:textId="77777777" w:rsidR="00DF410E" w:rsidRDefault="00CE7F43">
      <w:pPr>
        <w:jc w:val="both"/>
      </w:pPr>
      <w:r>
        <w:t xml:space="preserve">Classe d’emploi : </w:t>
      </w:r>
      <w:r>
        <w:rPr>
          <w:rStyle w:val="optioncarChar"/>
        </w:rPr>
        <w:t>1 / 2 / 3</w:t>
      </w:r>
    </w:p>
    <w:p w14:paraId="61C62B95" w14:textId="77777777" w:rsidR="00DF410E" w:rsidRDefault="00CE7F43">
      <w:pPr>
        <w:jc w:val="both"/>
      </w:pPr>
      <w:r>
        <w:t>Le fabricant de l’élément déclare la classe d’emploi maximale dans laquelle celui-ci peut être mis en œuvre. Celle-ci est au minimum celle prescrite au cahier spécial des charges.</w:t>
      </w:r>
    </w:p>
    <w:p w14:paraId="0A82F116" w14:textId="77777777" w:rsidR="00DF410E" w:rsidRDefault="00CE7F43">
      <w:pPr>
        <w:jc w:val="both"/>
      </w:pPr>
      <w:r>
        <w:t xml:space="preserve">Classe d’émission de formaldéhyde : </w:t>
      </w:r>
      <w:r>
        <w:rPr>
          <w:rStyle w:val="optioncarChar"/>
        </w:rPr>
        <w:t xml:space="preserve">E1 </w:t>
      </w:r>
      <w:r>
        <w:t>(par défaut)</w:t>
      </w:r>
      <w:r>
        <w:rPr>
          <w:rStyle w:val="optioncarChar"/>
        </w:rPr>
        <w:t xml:space="preserve"> / E2</w:t>
      </w:r>
    </w:p>
    <w:p w14:paraId="5C67996E" w14:textId="77777777" w:rsidR="00DF410E" w:rsidRDefault="00CE7F43">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0D75F2E5" w14:textId="77777777" w:rsidR="00DF410E" w:rsidRDefault="00CE7F43">
      <w:pPr>
        <w:pStyle w:val="pheading"/>
      </w:pPr>
      <w:r>
        <w:t>- Finitions</w:t>
      </w:r>
    </w:p>
    <w:p w14:paraId="00F3FE2E" w14:textId="77777777" w:rsidR="00DF410E" w:rsidRDefault="00CE7F43">
      <w:pPr>
        <w:jc w:val="both"/>
      </w:pPr>
      <w:r>
        <w:t>Les poutres et barres en PSL sont</w:t>
      </w:r>
      <w:r>
        <w:rPr>
          <w:rStyle w:val="optioncarChar"/>
        </w:rPr>
        <w:t xml:space="preserve"> rabotées </w:t>
      </w:r>
      <w:r>
        <w:t>(par défaut)</w:t>
      </w:r>
      <w:r>
        <w:rPr>
          <w:rStyle w:val="optioncarChar"/>
        </w:rPr>
        <w:t xml:space="preserve"> / poncées / ***</w:t>
      </w:r>
      <w:r>
        <w:t xml:space="preserve"> sur </w:t>
      </w:r>
      <w:r>
        <w:rPr>
          <w:rStyle w:val="optioncarChar"/>
        </w:rPr>
        <w:t>1 / 2</w:t>
      </w:r>
      <w:r>
        <w:t xml:space="preserve"> (par défaut) faces</w:t>
      </w:r>
    </w:p>
    <w:p w14:paraId="2B6AED06" w14:textId="77777777" w:rsidR="00DF410E" w:rsidRDefault="00CE7F43">
      <w:pPr>
        <w:jc w:val="both"/>
      </w:pPr>
      <w:r>
        <w:t>Les arrêtes sont</w:t>
      </w:r>
      <w:r>
        <w:rPr>
          <w:rStyle w:val="optioncarChar"/>
        </w:rPr>
        <w:t xml:space="preserve"> vives</w:t>
      </w:r>
      <w:r>
        <w:t xml:space="preserve"> (par défaut)</w:t>
      </w:r>
      <w:r>
        <w:rPr>
          <w:rStyle w:val="optioncarChar"/>
        </w:rPr>
        <w:t xml:space="preserve"> / chanfreinées / ***</w:t>
      </w:r>
    </w:p>
    <w:p w14:paraId="4013CF81" w14:textId="77777777" w:rsidR="00DF410E" w:rsidRDefault="00CE7F43">
      <w:pPr>
        <w:jc w:val="both"/>
      </w:pPr>
      <w:r>
        <w:t xml:space="preserve">Les poutres et barres en PSL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530C626A" w14:textId="77777777" w:rsidR="00DF410E" w:rsidRDefault="00CE7F43">
      <w:pPr>
        <w:pStyle w:val="pheading"/>
      </w:pPr>
      <w:r>
        <w:t>EXÉCUTION / MISE EN ŒUVRE</w:t>
      </w:r>
    </w:p>
    <w:p w14:paraId="1D2856E0" w14:textId="77777777" w:rsidR="00DF410E" w:rsidRDefault="00CE7F43">
      <w:pPr>
        <w:pStyle w:val="pheading"/>
      </w:pPr>
      <w:r>
        <w:t>- Prescriptions générales</w:t>
      </w:r>
    </w:p>
    <w:p w14:paraId="2F99851A" w14:textId="77777777" w:rsidR="00DF410E" w:rsidRDefault="00CE7F43">
      <w:pPr>
        <w:jc w:val="both"/>
      </w:pPr>
      <w:r>
        <w:t>En cas de face apparente en situation définitive, le soumissionnaire prend toutes les dispositions afin de garantir la conservation esthétique de ces faces telles qu’obtenues en sortie d’usine.</w:t>
      </w:r>
    </w:p>
    <w:p w14:paraId="2F93F2FD" w14:textId="77777777" w:rsidR="00DF410E" w:rsidRDefault="00CE7F43">
      <w:pPr>
        <w:pStyle w:val="pheading"/>
      </w:pPr>
      <w:r>
        <w:t>MESURAGE</w:t>
      </w:r>
    </w:p>
    <w:p w14:paraId="59DDA4C2" w14:textId="77777777" w:rsidR="00DF410E" w:rsidRDefault="00CE7F43">
      <w:pPr>
        <w:pStyle w:val="pheading"/>
      </w:pPr>
      <w:r>
        <w:t>- unité de mesure:</w:t>
      </w:r>
    </w:p>
    <w:p w14:paraId="27067FF1" w14:textId="77777777" w:rsidR="00DF410E" w:rsidRDefault="00CE7F43">
      <w:r>
        <w:rPr>
          <w:rStyle w:val="optioncarChar"/>
        </w:rPr>
        <w:t>m³ </w:t>
      </w:r>
      <w:r>
        <w:t>(par défaut)</w:t>
      </w:r>
      <w:r>
        <w:rPr>
          <w:rStyle w:val="optioncarChar"/>
        </w:rPr>
        <w:t> / m / pc</w:t>
      </w:r>
    </w:p>
    <w:p w14:paraId="3F6715BF" w14:textId="77777777" w:rsidR="00DF410E" w:rsidRDefault="00CE7F43">
      <w:r>
        <w:rPr>
          <w:b/>
          <w:i/>
        </w:rPr>
        <w:t>(Soit par défaut)</w:t>
      </w:r>
    </w:p>
    <w:p w14:paraId="70BA0804" w14:textId="77777777" w:rsidR="00DF410E" w:rsidRDefault="00CE7F43">
      <w:r>
        <w:rPr>
          <w:rStyle w:val="soitChar"/>
        </w:rPr>
        <w:t>1.    m³ </w:t>
      </w:r>
    </w:p>
    <w:p w14:paraId="2BD2742B" w14:textId="77777777" w:rsidR="00DF410E" w:rsidRDefault="00CE7F43">
      <w:r>
        <w:rPr>
          <w:b/>
          <w:i/>
        </w:rPr>
        <w:t>(Soit)</w:t>
      </w:r>
    </w:p>
    <w:p w14:paraId="43BF730F" w14:textId="77777777" w:rsidR="00DF410E" w:rsidRDefault="00CE7F43">
      <w:r>
        <w:rPr>
          <w:rStyle w:val="soitChar"/>
        </w:rPr>
        <w:t>2.    m </w:t>
      </w:r>
    </w:p>
    <w:p w14:paraId="22ADCD55" w14:textId="77777777" w:rsidR="00DF410E" w:rsidRDefault="00CE7F43">
      <w:r>
        <w:rPr>
          <w:b/>
          <w:i/>
        </w:rPr>
        <w:t>(Soit)</w:t>
      </w:r>
    </w:p>
    <w:p w14:paraId="00AB0947" w14:textId="77777777" w:rsidR="00DF410E" w:rsidRDefault="00CE7F43">
      <w:r>
        <w:rPr>
          <w:rStyle w:val="soitChar"/>
        </w:rPr>
        <w:t>3.    pc</w:t>
      </w:r>
    </w:p>
    <w:p w14:paraId="3C8FA2A3" w14:textId="77777777" w:rsidR="00DF410E" w:rsidRDefault="00CE7F43">
      <w:pPr>
        <w:pStyle w:val="pheading"/>
      </w:pPr>
      <w:r>
        <w:t>- code de mesurage:</w:t>
      </w:r>
    </w:p>
    <w:p w14:paraId="6D5F29BF" w14:textId="77777777" w:rsidR="00DF410E" w:rsidRDefault="00CE7F43">
      <w:pPr>
        <w:jc w:val="both"/>
      </w:pPr>
      <w:r>
        <w:rPr>
          <w:rStyle w:val="optioncarChar"/>
        </w:rPr>
        <w:t> Volume brut </w:t>
      </w:r>
      <w:r>
        <w:t>(par défaut)</w:t>
      </w:r>
      <w:r>
        <w:rPr>
          <w:rStyle w:val="optioncarChar"/>
        </w:rPr>
        <w:t> / Longueur brute / Quantité nette</w:t>
      </w:r>
    </w:p>
    <w:p w14:paraId="76D16438" w14:textId="77777777" w:rsidR="00DF410E" w:rsidRDefault="00CE7F43">
      <w:pPr>
        <w:jc w:val="both"/>
      </w:pPr>
      <w:r>
        <w:rPr>
          <w:b/>
          <w:i/>
        </w:rPr>
        <w:t>(Soit par défaut)</w:t>
      </w:r>
    </w:p>
    <w:p w14:paraId="59FE9E78" w14:textId="77777777" w:rsidR="00DF410E" w:rsidRDefault="00CE7F43">
      <w:pPr>
        <w:jc w:val="both"/>
      </w:pPr>
      <w:r>
        <w:rPr>
          <w:rStyle w:val="soitChar"/>
        </w:rPr>
        <w:t>1.   </w:t>
      </w:r>
      <w:r>
        <w:rPr>
          <w:rStyle w:val="soitChar"/>
          <w:u w:val="single"/>
        </w:rPr>
        <w:t> Volume brut :</w:t>
      </w:r>
    </w:p>
    <w:p w14:paraId="1812519D" w14:textId="77777777" w:rsidR="00DF410E" w:rsidRDefault="00CE7F43">
      <w:pPr>
        <w:jc w:val="both"/>
      </w:pPr>
      <w:r>
        <w:rPr>
          <w:rStyle w:val="soitChar"/>
        </w:rPr>
        <w:t>Le volume brut d’une poutre/barre est calculé suivant le volume du plus petit parallélépipède rectangle pouvant inclure l’élément.</w:t>
      </w:r>
    </w:p>
    <w:p w14:paraId="11D1BCB8" w14:textId="77777777" w:rsidR="00DF410E" w:rsidRDefault="00CE7F43">
      <w:pPr>
        <w:jc w:val="both"/>
      </w:pPr>
      <w:r>
        <w:rPr>
          <w:b/>
          <w:i/>
        </w:rPr>
        <w:t> (Soit)</w:t>
      </w:r>
    </w:p>
    <w:p w14:paraId="364199AA" w14:textId="77777777" w:rsidR="00DF410E" w:rsidRDefault="00CE7F43">
      <w:pPr>
        <w:jc w:val="both"/>
      </w:pPr>
      <w:r>
        <w:rPr>
          <w:rStyle w:val="soitChar"/>
        </w:rPr>
        <w:t>2.   </w:t>
      </w:r>
      <w:r>
        <w:rPr>
          <w:rStyle w:val="soitChar"/>
          <w:u w:val="single"/>
        </w:rPr>
        <w:t> Longueur brute :</w:t>
      </w:r>
    </w:p>
    <w:p w14:paraId="0DB0D8CA" w14:textId="77777777" w:rsidR="00DF410E" w:rsidRDefault="00CE7F43">
      <w:pPr>
        <w:jc w:val="both"/>
      </w:pPr>
      <w:r>
        <w:rPr>
          <w:rStyle w:val="soitChar"/>
        </w:rPr>
        <w:t>La longueur brute d’un élément est la cote maximale dans la direction longitudinale de la développée de l'élément, longueur de bois utile pour l’assemblage comprise. </w:t>
      </w:r>
    </w:p>
    <w:p w14:paraId="5479828A" w14:textId="77777777" w:rsidR="00DF410E" w:rsidRDefault="00CE7F43">
      <w:pPr>
        <w:jc w:val="both"/>
      </w:pPr>
      <w:r>
        <w:rPr>
          <w:rStyle w:val="soitChar"/>
        </w:rPr>
        <w:t>La longueur totale des poutres et barres ayant la même section et les mêmes caractéristiques est comptabilisée.</w:t>
      </w:r>
    </w:p>
    <w:p w14:paraId="5491DB12" w14:textId="77777777" w:rsidR="00DF410E" w:rsidRDefault="00CE7F43">
      <w:pPr>
        <w:jc w:val="both"/>
      </w:pPr>
      <w:r>
        <w:rPr>
          <w:b/>
          <w:i/>
        </w:rPr>
        <w:t> (Soit)</w:t>
      </w:r>
    </w:p>
    <w:p w14:paraId="7A8E33CD" w14:textId="77777777" w:rsidR="00DF410E" w:rsidRDefault="00CE7F43">
      <w:pPr>
        <w:jc w:val="both"/>
      </w:pPr>
      <w:r>
        <w:rPr>
          <w:rStyle w:val="soitChar"/>
        </w:rPr>
        <w:t>3.    </w:t>
      </w:r>
      <w:r>
        <w:rPr>
          <w:rStyle w:val="soitChar"/>
          <w:u w:val="single"/>
        </w:rPr>
        <w:t>Quantité nette :</w:t>
      </w:r>
    </w:p>
    <w:p w14:paraId="3C663FC0" w14:textId="77777777" w:rsidR="00DF410E" w:rsidRDefault="00CE7F43">
      <w:pPr>
        <w:jc w:val="both"/>
      </w:pPr>
      <w:r>
        <w:rPr>
          <w:rStyle w:val="soitChar"/>
        </w:rPr>
        <w:t>Le nombre de poutres et barres ayant les mêmes dimensions et les mêmes caractéristiques est compatibilisé.</w:t>
      </w:r>
    </w:p>
    <w:p w14:paraId="39A88164" w14:textId="77777777" w:rsidR="00DF410E" w:rsidRDefault="00CE7F43">
      <w:pPr>
        <w:pStyle w:val="pheading"/>
      </w:pPr>
      <w:r>
        <w:t>- nature du marché:</w:t>
      </w:r>
    </w:p>
    <w:p w14:paraId="1078AE9A" w14:textId="77777777" w:rsidR="00DF410E" w:rsidRDefault="00CE7F43">
      <w:r>
        <w:rPr>
          <w:rStyle w:val="optioncarChar"/>
        </w:rPr>
        <w:t>QF</w:t>
      </w:r>
      <w:r>
        <w:t> (par défaut) </w:t>
      </w:r>
      <w:r>
        <w:rPr>
          <w:rStyle w:val="optioncarChar"/>
        </w:rPr>
        <w:t>/ QP</w:t>
      </w:r>
    </w:p>
    <w:p w14:paraId="00CEF230" w14:textId="77777777" w:rsidR="00DF410E" w:rsidRDefault="00CE7F43">
      <w:r>
        <w:rPr>
          <w:b/>
          <w:i/>
        </w:rPr>
        <w:t>(Soit par défaut)</w:t>
      </w:r>
    </w:p>
    <w:p w14:paraId="1E2DBD4F" w14:textId="77777777" w:rsidR="00DF410E" w:rsidRDefault="00CE7F43">
      <w:r>
        <w:rPr>
          <w:rStyle w:val="soitChar"/>
        </w:rPr>
        <w:t>1.2.3     QF</w:t>
      </w:r>
    </w:p>
    <w:p w14:paraId="5BC43712" w14:textId="77777777" w:rsidR="00DF410E" w:rsidRDefault="00CE7F43">
      <w:r>
        <w:rPr>
          <w:b/>
          <w:i/>
        </w:rPr>
        <w:t>(Soit)</w:t>
      </w:r>
    </w:p>
    <w:p w14:paraId="11819BCD" w14:textId="77777777" w:rsidR="00DF410E" w:rsidRDefault="00CE7F43">
      <w:r>
        <w:rPr>
          <w:rStyle w:val="soitChar"/>
        </w:rPr>
        <w:t>1.2.3     QP</w:t>
      </w:r>
    </w:p>
    <w:p w14:paraId="3442B2A2" w14:textId="77777777" w:rsidR="00DF410E" w:rsidRDefault="00CE7F43">
      <w:pPr>
        <w:pStyle w:val="pheading"/>
      </w:pPr>
      <w:r>
        <w:t>AIDE</w:t>
      </w:r>
    </w:p>
    <w:p w14:paraId="7DCBBC4D" w14:textId="77777777" w:rsidR="00DF410E" w:rsidRDefault="00CE7F43">
      <w:pPr>
        <w:jc w:val="both"/>
      </w:pPr>
      <w:r>
        <w:t>Le code suivant peut être utilisé pour la dénomination du poste :</w:t>
      </w:r>
    </w:p>
    <w:p w14:paraId="0C03D2CF" w14:textId="77777777" w:rsidR="00DF410E" w:rsidRDefault="00CE7F43">
      <w:pPr>
        <w:jc w:val="both"/>
      </w:pPr>
      <w:r>
        <w:t>PSL 1 / 2 / 3 / 4 </w:t>
      </w:r>
    </w:p>
    <w:p w14:paraId="09BAF3FE" w14:textId="77777777" w:rsidR="00DF410E" w:rsidRDefault="00CE7F43">
      <w:pPr>
        <w:jc w:val="both"/>
      </w:pPr>
      <w:r>
        <w:t>Avec :</w:t>
      </w:r>
    </w:p>
    <w:p w14:paraId="642F11DE" w14:textId="77777777" w:rsidR="00DF410E" w:rsidRDefault="00CE7F43">
      <w:pPr>
        <w:jc w:val="both"/>
      </w:pPr>
      <w:r>
        <w:t>PSL pour bois laminated veneer lumber</w:t>
      </w:r>
    </w:p>
    <w:p w14:paraId="7CCD4D22" w14:textId="77777777" w:rsidR="00DF410E" w:rsidRDefault="00CE7F43">
      <w:pPr>
        <w:jc w:val="both"/>
      </w:pPr>
      <w:r>
        <w:t>1 : section de la colonne</w:t>
      </w:r>
    </w:p>
    <w:p w14:paraId="6B15093C" w14:textId="77777777" w:rsidR="00DF410E" w:rsidRDefault="00CE7F43">
      <w:pPr>
        <w:jc w:val="both"/>
      </w:pPr>
      <w:r>
        <w:t>2 : L’essence utilisée</w:t>
      </w:r>
    </w:p>
    <w:p w14:paraId="2110349D" w14:textId="77777777" w:rsidR="00DF410E" w:rsidRDefault="00CE7F43">
      <w:pPr>
        <w:jc w:val="both"/>
      </w:pPr>
      <w:r>
        <w:t>3 : la classe d’emploi des poutres et barres</w:t>
      </w:r>
    </w:p>
    <w:p w14:paraId="05BF4195" w14:textId="77777777" w:rsidR="00DF410E" w:rsidRDefault="00CE7F43">
      <w:pPr>
        <w:jc w:val="both"/>
      </w:pPr>
      <w:r>
        <w:t>4 : la méthode utilisée pour garantir la durabilité des poutres et barres</w:t>
      </w:r>
    </w:p>
    <w:p w14:paraId="15439CBD" w14:textId="77777777" w:rsidR="00DF410E" w:rsidRDefault="00CE7F43">
      <w:pPr>
        <w:jc w:val="both"/>
      </w:pPr>
      <w:r>
        <w:t> </w:t>
      </w:r>
    </w:p>
    <w:p w14:paraId="5DE0CD8F" w14:textId="77777777" w:rsidR="00DF410E" w:rsidRDefault="00CE7F43">
      <w:pPr>
        <w:jc w:val="both"/>
      </w:pPr>
      <w:r>
        <w:t>Ce qui donne, par exemple :</w:t>
      </w:r>
    </w:p>
    <w:p w14:paraId="143ACB0E" w14:textId="77777777" w:rsidR="00DF410E" w:rsidRDefault="00CE7F43">
      <w:pPr>
        <w:jc w:val="both"/>
      </w:pPr>
      <w:r>
        <w:t>PSL voir plan / épicéa / 2 / A2.2</w:t>
      </w:r>
    </w:p>
    <w:p w14:paraId="2E8CA557" w14:textId="77777777" w:rsidR="00DF410E" w:rsidRDefault="00CE7F43">
      <w:pPr>
        <w:pStyle w:val="Author-eSectionHeading5"/>
      </w:pPr>
      <w:bookmarkStart w:id="1613" w:name="_Toc178838707"/>
      <w:r>
        <w:t>24.13.8 Poutres et barres faites de produits manufacturés en bois CCTB 01.07</w:t>
      </w:r>
      <w:bookmarkEnd w:id="1613"/>
    </w:p>
    <w:p w14:paraId="64AFB87F" w14:textId="77777777" w:rsidR="00DF410E" w:rsidRDefault="00CE7F43">
      <w:pPr>
        <w:pStyle w:val="Author-eSectionHeading6"/>
      </w:pPr>
      <w:bookmarkStart w:id="1614" w:name="_Toc178838708"/>
      <w:r>
        <w:t>24.13.8a Poutres et barres faites de profilés en I à âme en bois CCTB 01.07</w:t>
      </w:r>
      <w:bookmarkEnd w:id="1614"/>
    </w:p>
    <w:p w14:paraId="4445BB53" w14:textId="77777777" w:rsidR="00DF410E" w:rsidRDefault="00CE7F43">
      <w:pPr>
        <w:pStyle w:val="pheading"/>
      </w:pPr>
      <w:r>
        <w:t>MESURAGE</w:t>
      </w:r>
    </w:p>
    <w:p w14:paraId="42303B2A" w14:textId="77777777" w:rsidR="00DF410E" w:rsidRDefault="00CE7F43">
      <w:pPr>
        <w:pStyle w:val="pheading"/>
      </w:pPr>
      <w:r>
        <w:t>- unité de mesure:</w:t>
      </w:r>
    </w:p>
    <w:p w14:paraId="4F5A9632" w14:textId="77777777" w:rsidR="00DF410E" w:rsidRDefault="00CE7F43">
      <w:r>
        <w:rPr>
          <w:rStyle w:val="optioncarChar"/>
        </w:rPr>
        <w:t xml:space="preserve">m </w:t>
      </w:r>
      <w:r>
        <w:t>(par défaut)</w:t>
      </w:r>
      <w:r>
        <w:rPr>
          <w:rStyle w:val="optioncarChar"/>
        </w:rPr>
        <w:t xml:space="preserve"> / pc</w:t>
      </w:r>
    </w:p>
    <w:p w14:paraId="6140D122" w14:textId="77777777" w:rsidR="00DF410E" w:rsidRDefault="00CE7F43">
      <w:r>
        <w:rPr>
          <w:b/>
          <w:i/>
        </w:rPr>
        <w:t>(Soit par défaut)</w:t>
      </w:r>
    </w:p>
    <w:p w14:paraId="0EA3DE72" w14:textId="77777777" w:rsidR="00DF410E" w:rsidRDefault="00CE7F43">
      <w:r>
        <w:rPr>
          <w:rStyle w:val="soitChar"/>
        </w:rPr>
        <w:t>1.    m </w:t>
      </w:r>
    </w:p>
    <w:p w14:paraId="3F996DC4" w14:textId="77777777" w:rsidR="00DF410E" w:rsidRDefault="00CE7F43">
      <w:r>
        <w:rPr>
          <w:b/>
          <w:i/>
        </w:rPr>
        <w:t>(Soit)</w:t>
      </w:r>
    </w:p>
    <w:p w14:paraId="7C14D470" w14:textId="77777777" w:rsidR="00DF410E" w:rsidRDefault="00CE7F43">
      <w:r>
        <w:rPr>
          <w:rStyle w:val="soitChar"/>
        </w:rPr>
        <w:t>2.    pc</w:t>
      </w:r>
    </w:p>
    <w:p w14:paraId="4626BD88" w14:textId="77777777" w:rsidR="00DF410E" w:rsidRDefault="00CE7F43">
      <w:pPr>
        <w:pStyle w:val="pheading"/>
      </w:pPr>
      <w:r>
        <w:t>- code de mesurage:</w:t>
      </w:r>
    </w:p>
    <w:p w14:paraId="5741D329" w14:textId="77777777" w:rsidR="00DF410E" w:rsidRDefault="00CE7F43">
      <w:pPr>
        <w:jc w:val="both"/>
      </w:pPr>
      <w:r>
        <w:rPr>
          <w:rStyle w:val="optioncarChar"/>
        </w:rPr>
        <w:t xml:space="preserve">Longueur brute </w:t>
      </w:r>
      <w:r>
        <w:t>(par défaut)</w:t>
      </w:r>
      <w:r>
        <w:rPr>
          <w:rStyle w:val="optioncarChar"/>
        </w:rPr>
        <w:t xml:space="preserve"> / Quantité nette</w:t>
      </w:r>
    </w:p>
    <w:p w14:paraId="134EB40C" w14:textId="77777777" w:rsidR="00DF410E" w:rsidRDefault="00CE7F43">
      <w:pPr>
        <w:jc w:val="both"/>
      </w:pPr>
      <w:r>
        <w:rPr>
          <w:b/>
          <w:i/>
        </w:rPr>
        <w:t>(Soit par défaut)</w:t>
      </w:r>
    </w:p>
    <w:p w14:paraId="4D5DF644" w14:textId="77777777" w:rsidR="00DF410E" w:rsidRDefault="00CE7F43">
      <w:pPr>
        <w:jc w:val="both"/>
      </w:pPr>
      <w:r>
        <w:rPr>
          <w:rStyle w:val="soitChar"/>
        </w:rPr>
        <w:t xml:space="preserve">1.    </w:t>
      </w:r>
      <w:r>
        <w:rPr>
          <w:rStyle w:val="soitChar"/>
          <w:u w:val="single"/>
        </w:rPr>
        <w:t>Longueur brute :</w:t>
      </w:r>
    </w:p>
    <w:p w14:paraId="28BD7A9A" w14:textId="77777777" w:rsidR="00DF410E" w:rsidRDefault="00CE7F43">
      <w:pPr>
        <w:jc w:val="both"/>
      </w:pPr>
      <w:r>
        <w:rPr>
          <w:rStyle w:val="soitChar"/>
        </w:rPr>
        <w:t>La longueur brute d’un élément est la cote maximale dans la direction longitudinale, longueur de bois utile pour l’assemblage comprise.</w:t>
      </w:r>
    </w:p>
    <w:p w14:paraId="08152F01" w14:textId="77777777" w:rsidR="00DF410E" w:rsidRDefault="00CE7F43">
      <w:pPr>
        <w:jc w:val="both"/>
      </w:pPr>
      <w:r>
        <w:rPr>
          <w:rStyle w:val="soitChar"/>
        </w:rPr>
        <w:t>La longueur totale des poutres et barres ayant la même section et les mêmes caractéristiques est comptabilisée.</w:t>
      </w:r>
    </w:p>
    <w:p w14:paraId="2FB8F0A9" w14:textId="77777777" w:rsidR="00DF410E" w:rsidRDefault="00CE7F43">
      <w:pPr>
        <w:jc w:val="both"/>
      </w:pPr>
      <w:r>
        <w:rPr>
          <w:b/>
          <w:i/>
        </w:rPr>
        <w:t> (Soit)</w:t>
      </w:r>
    </w:p>
    <w:p w14:paraId="64F55F2E" w14:textId="77777777" w:rsidR="00DF410E" w:rsidRDefault="00CE7F43">
      <w:pPr>
        <w:jc w:val="both"/>
      </w:pPr>
      <w:r>
        <w:rPr>
          <w:rStyle w:val="soitChar"/>
        </w:rPr>
        <w:t>2.   </w:t>
      </w:r>
      <w:r>
        <w:rPr>
          <w:rStyle w:val="soitChar"/>
          <w:u w:val="single"/>
        </w:rPr>
        <w:t xml:space="preserve"> Quantité nette :</w:t>
      </w:r>
    </w:p>
    <w:p w14:paraId="3451551B" w14:textId="77777777" w:rsidR="00DF410E" w:rsidRDefault="00CE7F43">
      <w:pPr>
        <w:jc w:val="both"/>
      </w:pPr>
      <w:r>
        <w:rPr>
          <w:rStyle w:val="soitChar"/>
        </w:rPr>
        <w:t>Le nombre de poutres et barres ayant les mêmes dimensions et les mêmes caractéristiques est compatibilisé.</w:t>
      </w:r>
    </w:p>
    <w:p w14:paraId="2F3ACE24" w14:textId="77777777" w:rsidR="00DF410E" w:rsidRDefault="00CE7F43">
      <w:pPr>
        <w:pStyle w:val="pheading"/>
      </w:pPr>
      <w:r>
        <w:t>- nature du marché:</w:t>
      </w:r>
    </w:p>
    <w:p w14:paraId="7E03130A" w14:textId="77777777" w:rsidR="00DF410E" w:rsidRDefault="00CE7F43">
      <w:r>
        <w:rPr>
          <w:rStyle w:val="optioncarChar"/>
        </w:rPr>
        <w:t xml:space="preserve">QF </w:t>
      </w:r>
      <w:r>
        <w:t xml:space="preserve">(par défaut) </w:t>
      </w:r>
      <w:r>
        <w:rPr>
          <w:rStyle w:val="optioncarChar"/>
        </w:rPr>
        <w:t>/ QP</w:t>
      </w:r>
    </w:p>
    <w:p w14:paraId="56FE7046" w14:textId="77777777" w:rsidR="00DF410E" w:rsidRDefault="00CE7F43">
      <w:r>
        <w:rPr>
          <w:b/>
          <w:i/>
        </w:rPr>
        <w:t>(Soit par défaut)</w:t>
      </w:r>
    </w:p>
    <w:p w14:paraId="7A262131" w14:textId="77777777" w:rsidR="00DF410E" w:rsidRDefault="00CE7F43">
      <w:r>
        <w:rPr>
          <w:rStyle w:val="soitChar"/>
        </w:rPr>
        <w:t>1.     QF</w:t>
      </w:r>
    </w:p>
    <w:p w14:paraId="23D446FE" w14:textId="77777777" w:rsidR="00DF410E" w:rsidRDefault="00CE7F43">
      <w:r>
        <w:rPr>
          <w:b/>
          <w:i/>
        </w:rPr>
        <w:t>(Soit)</w:t>
      </w:r>
    </w:p>
    <w:p w14:paraId="21B45139" w14:textId="77777777" w:rsidR="00DF410E" w:rsidRDefault="00CE7F43">
      <w:r>
        <w:rPr>
          <w:rStyle w:val="soitChar"/>
        </w:rPr>
        <w:t>2.     QP</w:t>
      </w:r>
    </w:p>
    <w:p w14:paraId="1D9CAE1B" w14:textId="77777777" w:rsidR="00DF410E" w:rsidRDefault="00CE7F43">
      <w:pPr>
        <w:pStyle w:val="Author-eSectionHeading6"/>
      </w:pPr>
      <w:bookmarkStart w:id="1615" w:name="_Toc178838709"/>
      <w:r>
        <w:t>24.13.8b Poutres et barres faites de profilés en I à âmes en métal CCTB 01.07</w:t>
      </w:r>
      <w:bookmarkEnd w:id="1615"/>
    </w:p>
    <w:p w14:paraId="1ED016B4" w14:textId="77777777" w:rsidR="00DF410E" w:rsidRDefault="00CE7F43">
      <w:pPr>
        <w:pStyle w:val="pheading"/>
      </w:pPr>
      <w:r>
        <w:t>MESURAGE</w:t>
      </w:r>
    </w:p>
    <w:p w14:paraId="3003C983" w14:textId="77777777" w:rsidR="00DF410E" w:rsidRDefault="00CE7F43">
      <w:pPr>
        <w:pStyle w:val="pheading"/>
      </w:pPr>
      <w:r>
        <w:t>- unité de mesure:</w:t>
      </w:r>
    </w:p>
    <w:p w14:paraId="1C56836E" w14:textId="77777777" w:rsidR="00DF410E" w:rsidRDefault="00CE7F43">
      <w:r>
        <w:rPr>
          <w:rStyle w:val="optioncarChar"/>
        </w:rPr>
        <w:t>m </w:t>
      </w:r>
      <w:r>
        <w:t>(par défaut) </w:t>
      </w:r>
      <w:r>
        <w:rPr>
          <w:rStyle w:val="optioncarChar"/>
        </w:rPr>
        <w:t>/ pc</w:t>
      </w:r>
    </w:p>
    <w:p w14:paraId="3DFCC876" w14:textId="77777777" w:rsidR="00DF410E" w:rsidRDefault="00CE7F43">
      <w:r>
        <w:rPr>
          <w:b/>
          <w:i/>
        </w:rPr>
        <w:t>(Soit par défaut)</w:t>
      </w:r>
    </w:p>
    <w:p w14:paraId="25A324DF" w14:textId="77777777" w:rsidR="00DF410E" w:rsidRDefault="00CE7F43">
      <w:r>
        <w:rPr>
          <w:rStyle w:val="soitChar"/>
        </w:rPr>
        <w:t>1.    m </w:t>
      </w:r>
    </w:p>
    <w:p w14:paraId="7ECA35DB" w14:textId="77777777" w:rsidR="00DF410E" w:rsidRDefault="00CE7F43">
      <w:r>
        <w:rPr>
          <w:b/>
          <w:i/>
        </w:rPr>
        <w:t>(Soit)</w:t>
      </w:r>
    </w:p>
    <w:p w14:paraId="2E811144" w14:textId="77777777" w:rsidR="00DF410E" w:rsidRDefault="00CE7F43">
      <w:r>
        <w:rPr>
          <w:rStyle w:val="soitChar"/>
        </w:rPr>
        <w:t>2.    pc</w:t>
      </w:r>
    </w:p>
    <w:p w14:paraId="2880172D" w14:textId="77777777" w:rsidR="00DF410E" w:rsidRDefault="00CE7F43">
      <w:pPr>
        <w:pStyle w:val="pheading"/>
      </w:pPr>
      <w:r>
        <w:t>- code de mesurage:</w:t>
      </w:r>
    </w:p>
    <w:p w14:paraId="5505D909" w14:textId="77777777" w:rsidR="00DF410E" w:rsidRDefault="00CE7F43">
      <w:pPr>
        <w:jc w:val="both"/>
      </w:pPr>
      <w:r>
        <w:rPr>
          <w:rStyle w:val="optioncarChar"/>
        </w:rPr>
        <w:t>Longueur brute</w:t>
      </w:r>
      <w:r>
        <w:t> (par défaut) </w:t>
      </w:r>
      <w:r>
        <w:rPr>
          <w:rStyle w:val="optioncarChar"/>
        </w:rPr>
        <w:t>/ Quantité nette</w:t>
      </w:r>
    </w:p>
    <w:p w14:paraId="5C64173E" w14:textId="77777777" w:rsidR="00DF410E" w:rsidRDefault="00CE7F43">
      <w:pPr>
        <w:jc w:val="both"/>
      </w:pPr>
      <w:r>
        <w:rPr>
          <w:b/>
          <w:i/>
        </w:rPr>
        <w:t>(Soit par défaut)</w:t>
      </w:r>
    </w:p>
    <w:p w14:paraId="06DC91B9" w14:textId="77777777" w:rsidR="00DF410E" w:rsidRDefault="00CE7F43">
      <w:pPr>
        <w:jc w:val="both"/>
      </w:pPr>
      <w:r>
        <w:rPr>
          <w:rStyle w:val="soitChar"/>
        </w:rPr>
        <w:t>1.   </w:t>
      </w:r>
      <w:r>
        <w:rPr>
          <w:rStyle w:val="soitChar"/>
          <w:u w:val="single"/>
        </w:rPr>
        <w:t> Longueur brute :</w:t>
      </w:r>
    </w:p>
    <w:p w14:paraId="56CF24C5" w14:textId="77777777" w:rsidR="00DF410E" w:rsidRDefault="00CE7F43">
      <w:pPr>
        <w:jc w:val="both"/>
      </w:pPr>
      <w:r>
        <w:rPr>
          <w:rStyle w:val="soitChar"/>
        </w:rPr>
        <w:t>La longueur brute d’un élément est la cote maximale dans la direction longitudinale, longueur de bois utile pour l’assemblage comprise.</w:t>
      </w:r>
    </w:p>
    <w:p w14:paraId="63C28D1B" w14:textId="77777777" w:rsidR="00DF410E" w:rsidRDefault="00CE7F43">
      <w:pPr>
        <w:jc w:val="both"/>
      </w:pPr>
      <w:r>
        <w:rPr>
          <w:rStyle w:val="soitChar"/>
        </w:rPr>
        <w:t>La longueur totale des poutres et barres ayant la même section et les mêmes caractéristiques est comptabilisée.</w:t>
      </w:r>
    </w:p>
    <w:p w14:paraId="39AC2218" w14:textId="77777777" w:rsidR="00DF410E" w:rsidRDefault="00CE7F43">
      <w:pPr>
        <w:jc w:val="both"/>
      </w:pPr>
      <w:r>
        <w:rPr>
          <w:b/>
          <w:i/>
        </w:rPr>
        <w:t> (Soit)</w:t>
      </w:r>
    </w:p>
    <w:p w14:paraId="1BA4D208" w14:textId="77777777" w:rsidR="00DF410E" w:rsidRDefault="00CE7F43">
      <w:pPr>
        <w:jc w:val="both"/>
      </w:pPr>
      <w:r>
        <w:rPr>
          <w:rStyle w:val="soitChar"/>
        </w:rPr>
        <w:t>2.    </w:t>
      </w:r>
      <w:r>
        <w:rPr>
          <w:rStyle w:val="soitChar"/>
          <w:u w:val="single"/>
        </w:rPr>
        <w:t>Quantité nette :</w:t>
      </w:r>
    </w:p>
    <w:p w14:paraId="1D1A322F" w14:textId="77777777" w:rsidR="00DF410E" w:rsidRDefault="00CE7F43">
      <w:pPr>
        <w:jc w:val="both"/>
      </w:pPr>
      <w:r>
        <w:rPr>
          <w:rStyle w:val="soitChar"/>
        </w:rPr>
        <w:t>Le nombre de poutres et barres ayant les mêmes dimensions et les mêmes caractéristiques est compatibilisé.</w:t>
      </w:r>
    </w:p>
    <w:p w14:paraId="1103EE2C" w14:textId="77777777" w:rsidR="00DF410E" w:rsidRDefault="00CE7F43">
      <w:pPr>
        <w:pStyle w:val="pheading"/>
      </w:pPr>
      <w:r>
        <w:t>- nature du marché:</w:t>
      </w:r>
    </w:p>
    <w:p w14:paraId="5ED4D132" w14:textId="77777777" w:rsidR="00DF410E" w:rsidRDefault="00CE7F43">
      <w:r>
        <w:rPr>
          <w:rStyle w:val="optioncarChar"/>
        </w:rPr>
        <w:t>QF </w:t>
      </w:r>
      <w:r>
        <w:t>(par défaut)</w:t>
      </w:r>
      <w:r>
        <w:rPr>
          <w:rStyle w:val="optioncarChar"/>
        </w:rPr>
        <w:t> / QP</w:t>
      </w:r>
    </w:p>
    <w:p w14:paraId="256A4262" w14:textId="77777777" w:rsidR="00DF410E" w:rsidRDefault="00CE7F43">
      <w:r>
        <w:rPr>
          <w:b/>
          <w:i/>
        </w:rPr>
        <w:t>(Soit par défaut)</w:t>
      </w:r>
    </w:p>
    <w:p w14:paraId="78816D8F" w14:textId="77777777" w:rsidR="00DF410E" w:rsidRDefault="00CE7F43">
      <w:r>
        <w:rPr>
          <w:rStyle w:val="soitChar"/>
        </w:rPr>
        <w:t>1.     QF</w:t>
      </w:r>
    </w:p>
    <w:p w14:paraId="1854FD7D" w14:textId="77777777" w:rsidR="00DF410E" w:rsidRDefault="00CE7F43">
      <w:r>
        <w:rPr>
          <w:b/>
          <w:i/>
        </w:rPr>
        <w:t>(Soit)</w:t>
      </w:r>
    </w:p>
    <w:p w14:paraId="0F8D65AD" w14:textId="77777777" w:rsidR="00DF410E" w:rsidRDefault="00CE7F43">
      <w:r>
        <w:rPr>
          <w:rStyle w:val="soitChar"/>
        </w:rPr>
        <w:t>2.     QP</w:t>
      </w:r>
    </w:p>
    <w:p w14:paraId="3E825957" w14:textId="77777777" w:rsidR="00DF410E" w:rsidRDefault="00CE7F43">
      <w:pPr>
        <w:pStyle w:val="Author-eSectionHeading6"/>
      </w:pPr>
      <w:bookmarkStart w:id="1616" w:name="_Toc178838710"/>
      <w:r>
        <w:t>24.13.8c Poutres et barres faites de profilés en treillis à diagonales en bois CCTB 01.07</w:t>
      </w:r>
      <w:bookmarkEnd w:id="1616"/>
    </w:p>
    <w:p w14:paraId="29AA40FD" w14:textId="77777777" w:rsidR="00DF410E" w:rsidRDefault="00CE7F43">
      <w:pPr>
        <w:pStyle w:val="pheading"/>
      </w:pPr>
      <w:r>
        <w:t>MESURAGE</w:t>
      </w:r>
    </w:p>
    <w:p w14:paraId="038BF059" w14:textId="77777777" w:rsidR="00DF410E" w:rsidRDefault="00CE7F43">
      <w:pPr>
        <w:pStyle w:val="pheading"/>
      </w:pPr>
      <w:r>
        <w:t>- unité de mesure:</w:t>
      </w:r>
    </w:p>
    <w:p w14:paraId="2A902FEB" w14:textId="77777777" w:rsidR="00DF410E" w:rsidRDefault="00CE7F43">
      <w:r>
        <w:rPr>
          <w:rStyle w:val="optioncarChar"/>
        </w:rPr>
        <w:t>m </w:t>
      </w:r>
      <w:r>
        <w:t>(par défaut) </w:t>
      </w:r>
      <w:r>
        <w:rPr>
          <w:rStyle w:val="optioncarChar"/>
        </w:rPr>
        <w:t>/ pc</w:t>
      </w:r>
    </w:p>
    <w:p w14:paraId="788B1CF0" w14:textId="77777777" w:rsidR="00DF410E" w:rsidRDefault="00CE7F43">
      <w:r>
        <w:rPr>
          <w:b/>
          <w:i/>
        </w:rPr>
        <w:t>(Soit par défaut)</w:t>
      </w:r>
    </w:p>
    <w:p w14:paraId="0BE229D6" w14:textId="77777777" w:rsidR="00DF410E" w:rsidRDefault="00CE7F43">
      <w:r>
        <w:rPr>
          <w:rStyle w:val="soitChar"/>
        </w:rPr>
        <w:t>1.    m </w:t>
      </w:r>
    </w:p>
    <w:p w14:paraId="7E6BB9F3" w14:textId="77777777" w:rsidR="00DF410E" w:rsidRDefault="00CE7F43">
      <w:r>
        <w:rPr>
          <w:b/>
          <w:i/>
        </w:rPr>
        <w:t>(Soit)</w:t>
      </w:r>
    </w:p>
    <w:p w14:paraId="05C99CDC" w14:textId="77777777" w:rsidR="00DF410E" w:rsidRDefault="00CE7F43">
      <w:r>
        <w:rPr>
          <w:rStyle w:val="soitChar"/>
        </w:rPr>
        <w:t>2.    pc</w:t>
      </w:r>
    </w:p>
    <w:p w14:paraId="229367E2" w14:textId="77777777" w:rsidR="00DF410E" w:rsidRDefault="00CE7F43">
      <w:pPr>
        <w:pStyle w:val="pheading"/>
      </w:pPr>
      <w:r>
        <w:t>- code de mesurage:</w:t>
      </w:r>
    </w:p>
    <w:p w14:paraId="0C051947" w14:textId="77777777" w:rsidR="00DF410E" w:rsidRDefault="00CE7F43">
      <w:pPr>
        <w:jc w:val="both"/>
      </w:pPr>
      <w:r>
        <w:rPr>
          <w:rStyle w:val="optioncarChar"/>
        </w:rPr>
        <w:t>Longueur brute </w:t>
      </w:r>
      <w:r>
        <w:t>(par défaut)</w:t>
      </w:r>
      <w:r>
        <w:rPr>
          <w:rStyle w:val="optioncarChar"/>
        </w:rPr>
        <w:t> / Quantité nette</w:t>
      </w:r>
    </w:p>
    <w:p w14:paraId="3AA779E8" w14:textId="77777777" w:rsidR="00DF410E" w:rsidRDefault="00CE7F43">
      <w:pPr>
        <w:jc w:val="both"/>
      </w:pPr>
      <w:r>
        <w:rPr>
          <w:b/>
          <w:i/>
        </w:rPr>
        <w:t>(Soit par défaut)</w:t>
      </w:r>
    </w:p>
    <w:p w14:paraId="45FC8D33" w14:textId="77777777" w:rsidR="00DF410E" w:rsidRDefault="00CE7F43">
      <w:pPr>
        <w:jc w:val="both"/>
      </w:pPr>
      <w:r>
        <w:rPr>
          <w:rStyle w:val="soitChar"/>
        </w:rPr>
        <w:t>1.    </w:t>
      </w:r>
      <w:r>
        <w:rPr>
          <w:rStyle w:val="soitChar"/>
          <w:u w:val="single"/>
        </w:rPr>
        <w:t>Longueur brute :</w:t>
      </w:r>
    </w:p>
    <w:p w14:paraId="04C1C827" w14:textId="77777777" w:rsidR="00DF410E" w:rsidRDefault="00CE7F43">
      <w:pPr>
        <w:jc w:val="both"/>
      </w:pPr>
      <w:r>
        <w:rPr>
          <w:rStyle w:val="soitChar"/>
        </w:rPr>
        <w:t>La longueur brute d’un élément est la cote maximale dans la direction longitudinale, longueur de bois utile pour l’assemblage comprise.</w:t>
      </w:r>
    </w:p>
    <w:p w14:paraId="192845DB" w14:textId="77777777" w:rsidR="00DF410E" w:rsidRDefault="00CE7F43">
      <w:pPr>
        <w:jc w:val="both"/>
      </w:pPr>
      <w:r>
        <w:rPr>
          <w:rStyle w:val="soitChar"/>
        </w:rPr>
        <w:t>La longueur totale des poutres et barres ayant la même section et les mêmes caractéristiques est comptabilisée.</w:t>
      </w:r>
    </w:p>
    <w:p w14:paraId="390C9330" w14:textId="77777777" w:rsidR="00DF410E" w:rsidRDefault="00CE7F43">
      <w:pPr>
        <w:jc w:val="both"/>
      </w:pPr>
      <w:r>
        <w:rPr>
          <w:b/>
          <w:i/>
        </w:rPr>
        <w:t> (Soit)</w:t>
      </w:r>
    </w:p>
    <w:p w14:paraId="32776DDB" w14:textId="77777777" w:rsidR="00DF410E" w:rsidRDefault="00CE7F43">
      <w:pPr>
        <w:jc w:val="both"/>
      </w:pPr>
      <w:r>
        <w:rPr>
          <w:rStyle w:val="soitChar"/>
        </w:rPr>
        <w:t>2.    </w:t>
      </w:r>
      <w:r>
        <w:rPr>
          <w:rStyle w:val="soitChar"/>
          <w:u w:val="single"/>
        </w:rPr>
        <w:t>Quantité nette :</w:t>
      </w:r>
    </w:p>
    <w:p w14:paraId="2ABE4719" w14:textId="77777777" w:rsidR="00DF410E" w:rsidRDefault="00CE7F43">
      <w:pPr>
        <w:jc w:val="both"/>
      </w:pPr>
      <w:r>
        <w:rPr>
          <w:rStyle w:val="soitChar"/>
        </w:rPr>
        <w:t>Le nombre de poutres et barres ayant les mêmes dimensions et les mêmes caractéristiques est compatibilisé.</w:t>
      </w:r>
    </w:p>
    <w:p w14:paraId="60BA4A12" w14:textId="77777777" w:rsidR="00DF410E" w:rsidRDefault="00CE7F43">
      <w:pPr>
        <w:pStyle w:val="pheading"/>
      </w:pPr>
      <w:r>
        <w:t>- nature du marché:</w:t>
      </w:r>
    </w:p>
    <w:p w14:paraId="65B87306" w14:textId="77777777" w:rsidR="00DF410E" w:rsidRDefault="00CE7F43">
      <w:r>
        <w:rPr>
          <w:rStyle w:val="optioncarChar"/>
        </w:rPr>
        <w:t>QF</w:t>
      </w:r>
      <w:r>
        <w:t> (par défaut)</w:t>
      </w:r>
      <w:r>
        <w:rPr>
          <w:rStyle w:val="optioncarChar"/>
        </w:rPr>
        <w:t> / QP</w:t>
      </w:r>
    </w:p>
    <w:p w14:paraId="702188E4" w14:textId="77777777" w:rsidR="00DF410E" w:rsidRDefault="00CE7F43">
      <w:r>
        <w:rPr>
          <w:b/>
          <w:i/>
        </w:rPr>
        <w:t>(Soit par défaut)</w:t>
      </w:r>
    </w:p>
    <w:p w14:paraId="518D7941" w14:textId="77777777" w:rsidR="00DF410E" w:rsidRDefault="00CE7F43">
      <w:r>
        <w:rPr>
          <w:rStyle w:val="soitChar"/>
        </w:rPr>
        <w:t>1.     QF</w:t>
      </w:r>
    </w:p>
    <w:p w14:paraId="3B719824" w14:textId="77777777" w:rsidR="00DF410E" w:rsidRDefault="00CE7F43">
      <w:r>
        <w:rPr>
          <w:b/>
          <w:i/>
        </w:rPr>
        <w:t>(Soit)</w:t>
      </w:r>
    </w:p>
    <w:p w14:paraId="0FE67BA4" w14:textId="77777777" w:rsidR="00DF410E" w:rsidRDefault="00CE7F43">
      <w:r>
        <w:rPr>
          <w:rStyle w:val="soitChar"/>
        </w:rPr>
        <w:t>2.     QP</w:t>
      </w:r>
    </w:p>
    <w:p w14:paraId="1821FEE6" w14:textId="77777777" w:rsidR="00DF410E" w:rsidRDefault="00CE7F43">
      <w:pPr>
        <w:pStyle w:val="Author-eSectionHeading6"/>
      </w:pPr>
      <w:bookmarkStart w:id="1617" w:name="_Toc178838711"/>
      <w:r>
        <w:t>24.13.8d Poutres et barres faites de profilés en treillis à diagonales métalliques CCTB 01.07</w:t>
      </w:r>
      <w:bookmarkEnd w:id="1617"/>
    </w:p>
    <w:p w14:paraId="6B3C797F" w14:textId="77777777" w:rsidR="00DF410E" w:rsidRDefault="00CE7F43">
      <w:pPr>
        <w:pStyle w:val="pheading"/>
      </w:pPr>
      <w:r>
        <w:t>MESURAGE</w:t>
      </w:r>
    </w:p>
    <w:p w14:paraId="0A0DE2F8" w14:textId="77777777" w:rsidR="00DF410E" w:rsidRDefault="00CE7F43">
      <w:pPr>
        <w:pStyle w:val="pheading"/>
      </w:pPr>
      <w:r>
        <w:t>- unité de mesure:</w:t>
      </w:r>
    </w:p>
    <w:p w14:paraId="51C8F1E0" w14:textId="77777777" w:rsidR="00DF410E" w:rsidRDefault="00CE7F43">
      <w:r>
        <w:rPr>
          <w:rStyle w:val="optioncarChar"/>
        </w:rPr>
        <w:t>m </w:t>
      </w:r>
      <w:r>
        <w:t>(par défaut) </w:t>
      </w:r>
      <w:r>
        <w:rPr>
          <w:rStyle w:val="optioncarChar"/>
        </w:rPr>
        <w:t>/ pc</w:t>
      </w:r>
    </w:p>
    <w:p w14:paraId="24F3F78B" w14:textId="77777777" w:rsidR="00DF410E" w:rsidRDefault="00CE7F43">
      <w:r>
        <w:rPr>
          <w:b/>
          <w:i/>
        </w:rPr>
        <w:t>(Soit par défaut)</w:t>
      </w:r>
    </w:p>
    <w:p w14:paraId="3E6C48D1" w14:textId="77777777" w:rsidR="00DF410E" w:rsidRDefault="00CE7F43">
      <w:r>
        <w:rPr>
          <w:rStyle w:val="soitChar"/>
        </w:rPr>
        <w:t>1.    m </w:t>
      </w:r>
    </w:p>
    <w:p w14:paraId="5B32520A" w14:textId="77777777" w:rsidR="00DF410E" w:rsidRDefault="00CE7F43">
      <w:r>
        <w:rPr>
          <w:b/>
          <w:i/>
        </w:rPr>
        <w:t>(Soit)</w:t>
      </w:r>
    </w:p>
    <w:p w14:paraId="34823ADA" w14:textId="77777777" w:rsidR="00DF410E" w:rsidRDefault="00CE7F43">
      <w:r>
        <w:rPr>
          <w:rStyle w:val="soitChar"/>
        </w:rPr>
        <w:t>2.    pc</w:t>
      </w:r>
    </w:p>
    <w:p w14:paraId="03188249" w14:textId="77777777" w:rsidR="00DF410E" w:rsidRDefault="00CE7F43">
      <w:pPr>
        <w:pStyle w:val="pheading"/>
      </w:pPr>
      <w:r>
        <w:t>- code de mesurage:</w:t>
      </w:r>
    </w:p>
    <w:p w14:paraId="5E4AC9C3" w14:textId="77777777" w:rsidR="00DF410E" w:rsidRDefault="00CE7F43">
      <w:pPr>
        <w:jc w:val="both"/>
      </w:pPr>
      <w:r>
        <w:rPr>
          <w:rStyle w:val="optioncarChar"/>
        </w:rPr>
        <w:t>Longueur brute </w:t>
      </w:r>
      <w:r>
        <w:t>(par défaut) </w:t>
      </w:r>
      <w:r>
        <w:rPr>
          <w:rStyle w:val="optioncarChar"/>
        </w:rPr>
        <w:t>/ Quantité nette</w:t>
      </w:r>
    </w:p>
    <w:p w14:paraId="762B343A" w14:textId="77777777" w:rsidR="00DF410E" w:rsidRDefault="00CE7F43">
      <w:pPr>
        <w:jc w:val="both"/>
      </w:pPr>
      <w:r>
        <w:rPr>
          <w:b/>
          <w:i/>
        </w:rPr>
        <w:t>(Soit par défaut)</w:t>
      </w:r>
    </w:p>
    <w:p w14:paraId="727F859C" w14:textId="77777777" w:rsidR="00DF410E" w:rsidRDefault="00CE7F43">
      <w:pPr>
        <w:jc w:val="both"/>
      </w:pPr>
      <w:r>
        <w:rPr>
          <w:rStyle w:val="soitChar"/>
        </w:rPr>
        <w:t>1.   </w:t>
      </w:r>
      <w:r>
        <w:rPr>
          <w:rStyle w:val="soitChar"/>
          <w:u w:val="single"/>
        </w:rPr>
        <w:t> Longueur brute :</w:t>
      </w:r>
    </w:p>
    <w:p w14:paraId="2135AB48" w14:textId="77777777" w:rsidR="00DF410E" w:rsidRDefault="00CE7F43">
      <w:pPr>
        <w:jc w:val="both"/>
      </w:pPr>
      <w:r>
        <w:rPr>
          <w:rStyle w:val="soitChar"/>
        </w:rPr>
        <w:t>La longueur brute d’un élément est la cote maximale dans la direction longitudinale, longueur de bois utile pour l’assemblage comprise.</w:t>
      </w:r>
    </w:p>
    <w:p w14:paraId="22F8BB81" w14:textId="77777777" w:rsidR="00DF410E" w:rsidRDefault="00CE7F43">
      <w:pPr>
        <w:jc w:val="both"/>
      </w:pPr>
      <w:r>
        <w:rPr>
          <w:rStyle w:val="soitChar"/>
        </w:rPr>
        <w:t>La longueur totale des poutres et barres ayant la même section et les mêmes caractéristiques est comptabilisée.</w:t>
      </w:r>
    </w:p>
    <w:p w14:paraId="3B3E0F3E" w14:textId="77777777" w:rsidR="00DF410E" w:rsidRDefault="00CE7F43">
      <w:pPr>
        <w:jc w:val="both"/>
      </w:pPr>
      <w:r>
        <w:rPr>
          <w:b/>
          <w:i/>
        </w:rPr>
        <w:t> (Soit)</w:t>
      </w:r>
    </w:p>
    <w:p w14:paraId="56DB8D05" w14:textId="77777777" w:rsidR="00DF410E" w:rsidRDefault="00CE7F43">
      <w:pPr>
        <w:jc w:val="both"/>
      </w:pPr>
      <w:r>
        <w:rPr>
          <w:rStyle w:val="soitChar"/>
        </w:rPr>
        <w:t>2.    </w:t>
      </w:r>
      <w:r>
        <w:rPr>
          <w:rStyle w:val="soitChar"/>
          <w:u w:val="single"/>
        </w:rPr>
        <w:t>Quantité nette :</w:t>
      </w:r>
    </w:p>
    <w:p w14:paraId="3FBDEE4E" w14:textId="77777777" w:rsidR="00DF410E" w:rsidRDefault="00CE7F43">
      <w:pPr>
        <w:jc w:val="both"/>
      </w:pPr>
      <w:r>
        <w:rPr>
          <w:rStyle w:val="soitChar"/>
        </w:rPr>
        <w:t>Le nombre de poutres et barres ayant les mêmes dimensions et les mêmes caractéristiques est compatibilisé.</w:t>
      </w:r>
    </w:p>
    <w:p w14:paraId="746BF8FB" w14:textId="77777777" w:rsidR="00DF410E" w:rsidRDefault="00CE7F43">
      <w:pPr>
        <w:pStyle w:val="pheading"/>
      </w:pPr>
      <w:r>
        <w:t>- nature du marché:</w:t>
      </w:r>
    </w:p>
    <w:p w14:paraId="6D3B9C6F" w14:textId="77777777" w:rsidR="00DF410E" w:rsidRDefault="00CE7F43">
      <w:r>
        <w:rPr>
          <w:rStyle w:val="optioncarChar"/>
        </w:rPr>
        <w:t>QF</w:t>
      </w:r>
      <w:r>
        <w:t> (par défaut)</w:t>
      </w:r>
      <w:r>
        <w:rPr>
          <w:rStyle w:val="optioncarChar"/>
        </w:rPr>
        <w:t> / QP</w:t>
      </w:r>
    </w:p>
    <w:p w14:paraId="22ED33DB" w14:textId="77777777" w:rsidR="00DF410E" w:rsidRDefault="00CE7F43">
      <w:r>
        <w:rPr>
          <w:b/>
          <w:i/>
        </w:rPr>
        <w:t>(Soit par défaut)</w:t>
      </w:r>
    </w:p>
    <w:p w14:paraId="00EB10D5" w14:textId="77777777" w:rsidR="00DF410E" w:rsidRDefault="00CE7F43">
      <w:r>
        <w:rPr>
          <w:rStyle w:val="soitChar"/>
        </w:rPr>
        <w:t>1.     QF</w:t>
      </w:r>
    </w:p>
    <w:p w14:paraId="54F17EAA" w14:textId="77777777" w:rsidR="00DF410E" w:rsidRDefault="00CE7F43">
      <w:r>
        <w:rPr>
          <w:b/>
          <w:i/>
        </w:rPr>
        <w:t>(Soit)</w:t>
      </w:r>
    </w:p>
    <w:p w14:paraId="4F951DF1" w14:textId="77777777" w:rsidR="00DF410E" w:rsidRDefault="00CE7F43">
      <w:r>
        <w:rPr>
          <w:rStyle w:val="soitChar"/>
        </w:rPr>
        <w:t>2.     QP</w:t>
      </w:r>
    </w:p>
    <w:p w14:paraId="26AA9838" w14:textId="77777777" w:rsidR="00DF410E" w:rsidRDefault="00CE7F43">
      <w:pPr>
        <w:pStyle w:val="Author-eSectionHeading4"/>
      </w:pPr>
      <w:bookmarkStart w:id="1618" w:name="_Toc178838712"/>
      <w:r>
        <w:t>24.14 Planchers en bois CCTB 01.11</w:t>
      </w:r>
      <w:bookmarkEnd w:id="1618"/>
    </w:p>
    <w:p w14:paraId="799E64DF" w14:textId="77777777" w:rsidR="00DF410E" w:rsidRDefault="00CE7F43">
      <w:pPr>
        <w:pStyle w:val="pheading"/>
      </w:pPr>
      <w:r>
        <w:t>MATÉRIAUX</w:t>
      </w:r>
    </w:p>
    <w:p w14:paraId="4C90B89F" w14:textId="77777777" w:rsidR="00DF410E" w:rsidRDefault="00CE7F43">
      <w:pPr>
        <w:jc w:val="both"/>
      </w:pPr>
      <w:r>
        <w:rPr>
          <w:b/>
          <w:u w:val="single"/>
        </w:rPr>
        <w:t>Sécurité en cas d’incendie</w:t>
      </w:r>
    </w:p>
    <w:p w14:paraId="67077E1B" w14:textId="77777777" w:rsidR="00DF410E" w:rsidRDefault="00CE7F43">
      <w:pPr>
        <w:jc w:val="both"/>
      </w:pPr>
      <w:r>
        <w:t>Les exigences de réaction au feu et de résistance au feu des planchers en bois sont conformes aux lois, réglementations (fédérales, communautaires, régionales, communales) et dispositions administratives, applicables à l’utilisation finale.</w:t>
      </w:r>
    </w:p>
    <w:p w14:paraId="257DC38D" w14:textId="77777777" w:rsidR="00DF410E" w:rsidRDefault="00CE7F43">
      <w:pPr>
        <w:jc w:val="both"/>
      </w:pPr>
      <w:r>
        <w:t>Note : Certaines dispositions réglementaires contiennent d’autres exigences que celles relatives à la résistance ou la réaction au feu.</w:t>
      </w:r>
    </w:p>
    <w:p w14:paraId="64C3C7B8" w14:textId="77777777" w:rsidR="00DF410E" w:rsidRDefault="00CE7F43">
      <w:pPr>
        <w:pStyle w:val="Author-eListParagraph"/>
        <w:numPr>
          <w:ilvl w:val="0"/>
          <w:numId w:val="865"/>
        </w:numPr>
      </w:pPr>
      <w:r>
        <w:rPr>
          <w:b/>
        </w:rPr>
        <w:t>La réaction au feu</w:t>
      </w:r>
    </w:p>
    <w:p w14:paraId="45D1D355" w14:textId="77777777" w:rsidR="00DF410E" w:rsidRDefault="00CE7F43">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14:paraId="1DA53687" w14:textId="77777777" w:rsidR="00DF410E" w:rsidRDefault="00CE7F43">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14:paraId="662999EE" w14:textId="77777777" w:rsidR="00DF410E" w:rsidRDefault="00CE7F43">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63" w:history="1">
        <w:r>
          <w:t>www.besafe.be</w:t>
        </w:r>
      </w:hyperlink>
      <w:r>
        <w:t>) et le site de l’Antenne-Normes Prévention incendie de Buildwise (</w:t>
      </w:r>
      <w:hyperlink r:id="rId264" w:history="1">
        <w:r>
          <w:t>www.normes.be/feu</w:t>
        </w:r>
      </w:hyperlink>
      <w:r>
        <w:t>) peuvent être consultés.</w:t>
      </w:r>
    </w:p>
    <w:p w14:paraId="650324D6" w14:textId="77777777" w:rsidR="00DF410E" w:rsidRDefault="00CE7F43">
      <w:pPr>
        <w:jc w:val="both"/>
      </w:pPr>
      <w:r>
        <w:t>Notes :</w:t>
      </w:r>
    </w:p>
    <w:p w14:paraId="44A91CBA" w14:textId="77777777" w:rsidR="00DF410E" w:rsidRDefault="00CE7F43">
      <w:pPr>
        <w:pStyle w:val="Author-eListParagraph"/>
        <w:numPr>
          <w:ilvl w:val="0"/>
          <w:numId w:val="866"/>
        </w:numPr>
      </w:pPr>
      <w:r>
        <w:t>Lorsque des exigences sont reprises dans les règlements officiels nationaux, régionaux ou autres, elles sont rendues obligatoires (= loi)</w:t>
      </w:r>
    </w:p>
    <w:p w14:paraId="26BFF67F" w14:textId="77777777" w:rsidR="00DF410E" w:rsidRDefault="00CE7F43">
      <w:pPr>
        <w:pStyle w:val="Author-eListParagraph"/>
        <w:numPr>
          <w:ilvl w:val="0"/>
          <w:numId w:val="866"/>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14:paraId="2D602155" w14:textId="77777777" w:rsidR="00DF410E" w:rsidRDefault="00CE7F43">
      <w:pPr>
        <w:jc w:val="both"/>
      </w:pPr>
      <w:r>
        <w:rPr>
          <w:i/>
        </w:rPr>
        <w:t>Pour améliorer la classe de réaction au feu, un traitement ignifuge peut être appliqué. L’entrepreneur informe le maître d’ouvrage de l’entretien nécessaire à exécuter pour assurer la performance du matériau.</w:t>
      </w:r>
    </w:p>
    <w:p w14:paraId="5BEB8063" w14:textId="77777777" w:rsidR="00DF410E" w:rsidRDefault="00CE7F43">
      <w:pPr>
        <w:pStyle w:val="Author-eListParagraph"/>
        <w:numPr>
          <w:ilvl w:val="0"/>
          <w:numId w:val="867"/>
        </w:numPr>
      </w:pPr>
      <w:r>
        <w:rPr>
          <w:b/>
        </w:rPr>
        <w:t>La résistance au feu</w:t>
      </w:r>
    </w:p>
    <w:p w14:paraId="74A92CE1" w14:textId="77777777" w:rsidR="00DF410E" w:rsidRDefault="00CE7F43">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192BA88E" w14:textId="77777777" w:rsidR="00DF410E" w:rsidRDefault="00CE7F43">
      <w:pPr>
        <w:jc w:val="both"/>
      </w:pPr>
      <w:r>
        <w:t>La référence principale est la [NBN EN 13501-2]. La performance doit être attestée suivant les modalités spécifiées dans l’arrêté royal.</w:t>
      </w:r>
    </w:p>
    <w:p w14:paraId="3AEE09F5" w14:textId="77777777" w:rsidR="00DF410E" w:rsidRDefault="00CE7F43">
      <w:pPr>
        <w:jc w:val="both"/>
      </w:pPr>
      <w:r>
        <w:t>La résistance au feu est soit soumise à essai et déclarée conformément à la [NBN EN 13501-2] ou déterminée par calcul selon la [NBN EN 1995-1-2].</w:t>
      </w:r>
    </w:p>
    <w:p w14:paraId="5900C296" w14:textId="77777777" w:rsidR="00DF410E" w:rsidRDefault="00CE7F43">
      <w:pPr>
        <w:jc w:val="both"/>
      </w:pPr>
      <w:r>
        <w:rPr>
          <w:b/>
          <w:u w:val="single"/>
        </w:rPr>
        <w:t>L’étanchéité à l’air</w:t>
      </w:r>
    </w:p>
    <w:p w14:paraId="0D35D261" w14:textId="77777777" w:rsidR="00DF410E" w:rsidRDefault="00CE7F43">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14:paraId="64D49D91" w14:textId="77777777" w:rsidR="00DF410E" w:rsidRDefault="00CE7F43">
      <w:pPr>
        <w:jc w:val="both"/>
      </w:pPr>
      <w:r>
        <w:rPr>
          <w:b/>
          <w:u w:val="single"/>
        </w:rPr>
        <w:t>Durabilité</w:t>
      </w:r>
    </w:p>
    <w:p w14:paraId="4BADA4B5" w14:textId="77777777" w:rsidR="00DF410E" w:rsidRDefault="00CE7F43">
      <w:pPr>
        <w:jc w:val="both"/>
      </w:pPr>
      <w:r>
        <w:t>La durabilité biologique des éléments de planchers en bois est garantie par :</w:t>
      </w:r>
    </w:p>
    <w:p w14:paraId="5F949635" w14:textId="77777777" w:rsidR="00DF410E" w:rsidRDefault="00CE7F43">
      <w:pPr>
        <w:pStyle w:val="Author-eListParagraph"/>
        <w:numPr>
          <w:ilvl w:val="0"/>
          <w:numId w:val="868"/>
        </w:numPr>
      </w:pPr>
      <w:r>
        <w:t>Soit par sa durabilité naturelle donnée conformément à la [NBN EN 350-2], Cette classe inclut la présence d’aubier.</w:t>
      </w:r>
    </w:p>
    <w:p w14:paraId="62536304" w14:textId="77777777" w:rsidR="00DF410E" w:rsidRDefault="00CE7F43">
      <w:pPr>
        <w:pStyle w:val="Author-eListParagraph"/>
        <w:numPr>
          <w:ilvl w:val="0"/>
          <w:numId w:val="868"/>
        </w:numPr>
      </w:pPr>
      <w:r>
        <w:t>Soit par traitement de préservation. Le traitement de préservation utilisé est conforme à la [NBN EN 15228]. Le traitement est appliqué sur chaque lame ou sur la paroi complète.</w:t>
      </w:r>
    </w:p>
    <w:p w14:paraId="340A82A5" w14:textId="77777777" w:rsidR="00DF410E" w:rsidRDefault="00CE7F43">
      <w:pPr>
        <w:jc w:val="both"/>
      </w:pPr>
      <w:r>
        <w:t>La durabilité des éléments de plancher à base de bois est déterminée conformément à la [NBN EN 13986+A1].</w:t>
      </w:r>
    </w:p>
    <w:p w14:paraId="1242C6E4" w14:textId="77777777" w:rsidR="00DF410E" w:rsidRDefault="00DF410E"/>
    <w:p w14:paraId="26D4CF3A" w14:textId="77777777" w:rsidR="00DF410E" w:rsidRDefault="00CE7F43">
      <w:r>
        <w:t> </w:t>
      </w:r>
    </w:p>
    <w:p w14:paraId="4D1EB8F7" w14:textId="77777777" w:rsidR="00DF410E" w:rsidRDefault="00CE7F43">
      <w:pPr>
        <w:pStyle w:val="Author-eSectionHeading5"/>
      </w:pPr>
      <w:bookmarkStart w:id="1619" w:name="_Toc178838713"/>
      <w:r>
        <w:t>24.14.1 Planchers en CLT CCTB 01.11</w:t>
      </w:r>
      <w:bookmarkEnd w:id="1619"/>
    </w:p>
    <w:p w14:paraId="2EAAADDA" w14:textId="77777777" w:rsidR="00DF410E" w:rsidRDefault="00CE7F43">
      <w:pPr>
        <w:pStyle w:val="pheading"/>
      </w:pPr>
      <w:r>
        <w:t>DESCRIPTION</w:t>
      </w:r>
    </w:p>
    <w:p w14:paraId="64DC6108" w14:textId="77777777" w:rsidR="00DF410E" w:rsidRDefault="00CE7F43">
      <w:pPr>
        <w:pStyle w:val="pheading"/>
      </w:pPr>
      <w:r>
        <w:t>- Définition / Comprend</w:t>
      </w:r>
    </w:p>
    <w:p w14:paraId="75834BC4" w14:textId="77777777" w:rsidR="00DF410E" w:rsidRDefault="00CE7F43">
      <w:pPr>
        <w:jc w:val="both"/>
      </w:pPr>
      <w:r>
        <w:t>Il s’agit de la fourniture et la pose de tous les éléments constitués de panneaux lamellés croisés en bois ou à base de bois constituant les systèmes de construction CLT portants et non portants, y compris toutes les pièces qui en font intrinsèquement partie (permettant notamment la pose des panneaux).</w:t>
      </w:r>
    </w:p>
    <w:p w14:paraId="48FE9291" w14:textId="77777777" w:rsidR="00DF410E" w:rsidRDefault="00CE7F43">
      <w:pPr>
        <w:jc w:val="both"/>
      </w:pPr>
      <w:r>
        <w:t>Les panneaux sont composés de plusieurs plis (couches) des lamelles bois. Chaque couche est croisée avec un angle variant de 45 à 90°. Certains plis peuvent être composés de panneaux en bois ou à base de bois. </w:t>
      </w:r>
    </w:p>
    <w:p w14:paraId="6949A1F6" w14:textId="77777777" w:rsidR="00DF410E" w:rsidRDefault="00CE7F43">
      <w:pPr>
        <w:jc w:val="both"/>
      </w:pPr>
      <w:r>
        <w:t>On distingue les panneaux CLT par leurs méthodes d’assemblage des plis (lamelles).</w:t>
      </w:r>
    </w:p>
    <w:p w14:paraId="48D739AD" w14:textId="77777777" w:rsidR="00DF410E" w:rsidRDefault="00CE7F43">
      <w:pPr>
        <w:pStyle w:val="pheading"/>
      </w:pPr>
      <w:r>
        <w:t>- Remarques importantes</w:t>
      </w:r>
    </w:p>
    <w:p w14:paraId="03CC7D7D" w14:textId="77777777" w:rsidR="00DF410E" w:rsidRDefault="00CE7F43">
      <w:pPr>
        <w:jc w:val="both"/>
      </w:pPr>
      <w:r>
        <w:t>Seuls les panneaux lamellés croisés collés en résineux ou peuplier disposent d’un marquage de produit.</w:t>
      </w:r>
    </w:p>
    <w:p w14:paraId="56F6DD81" w14:textId="77777777" w:rsidR="00DF410E" w:rsidRDefault="00CE7F43">
      <w:pPr>
        <w:pStyle w:val="pheading"/>
      </w:pPr>
      <w:r>
        <w:t>MATÉRIAUX</w:t>
      </w:r>
    </w:p>
    <w:p w14:paraId="579C8770" w14:textId="77777777" w:rsidR="00DF410E" w:rsidRDefault="00CE7F43">
      <w:pPr>
        <w:jc w:val="both"/>
      </w:pPr>
      <w:r>
        <w:t>Les lames composant les panneaux sont définies conformément aux exigences de la [NBN EN 14081-1:2016+A1].</w:t>
      </w:r>
    </w:p>
    <w:p w14:paraId="2B04AAE8" w14:textId="77777777" w:rsidR="00DF410E" w:rsidRDefault="00CE7F43">
      <w:pPr>
        <w:jc w:val="both"/>
      </w:pPr>
      <w:r>
        <w:t>Les panneaux de particules composant les panneaux CLT sont définis conformément à la [NBN EN 312].</w:t>
      </w:r>
    </w:p>
    <w:p w14:paraId="6D1D4A3D" w14:textId="77777777" w:rsidR="00DF410E" w:rsidRDefault="00CE7F43">
      <w:pPr>
        <w:jc w:val="both"/>
      </w:pPr>
      <w:r>
        <w:t>Les panneaux de contreplaqué composant les panneaux CLT sont définis conformément à la [NBN EN 636+A1].</w:t>
      </w:r>
    </w:p>
    <w:p w14:paraId="17B5FCB3" w14:textId="77777777" w:rsidR="00DF410E" w:rsidRDefault="00CE7F43">
      <w:pPr>
        <w:jc w:val="both"/>
      </w:pPr>
      <w:r>
        <w:t>Les panneaux de fibres composant les panneaux CLT sont définis conformément à la [NBN EN 622-5].</w:t>
      </w:r>
    </w:p>
    <w:p w14:paraId="3BAC204A" w14:textId="77777777" w:rsidR="00DF410E" w:rsidRDefault="00CE7F43">
      <w:pPr>
        <w:jc w:val="both"/>
      </w:pPr>
      <w:r>
        <w:t>Les panneaux d’OSB composant les panneaux CLT sont définis conformément à la [NBN EN 300].</w:t>
      </w:r>
    </w:p>
    <w:p w14:paraId="555F98BD" w14:textId="77777777" w:rsidR="00DF410E" w:rsidRDefault="00CE7F43">
      <w:pPr>
        <w:jc w:val="both"/>
      </w:pPr>
      <w:r>
        <w:t>Les exigences des lames de bois sont déterminées sur base de contrôles visuels conformément à la [NBN EN 338] ou par essais de type initiaux conformément aux [NBN EN 14081-2:2018+A1] et [NBN EN 14081-3].</w:t>
      </w:r>
    </w:p>
    <w:p w14:paraId="4F736D0A" w14:textId="77777777" w:rsidR="00DF410E" w:rsidRDefault="00CE7F43">
      <w:pPr>
        <w:jc w:val="both"/>
      </w:pPr>
      <w:r>
        <w:t>Chaque pli (couche)- de lames de bois dans les panneaux CLT est constitué de lamelles d'une seule classe de résistance</w:t>
      </w:r>
    </w:p>
    <w:p w14:paraId="1A2B056E" w14:textId="77777777" w:rsidR="00DF410E" w:rsidRDefault="00CE7F43">
      <w:pPr>
        <w:jc w:val="both"/>
      </w:pPr>
      <w:r>
        <w:rPr>
          <w:b/>
          <w:u w:val="single"/>
        </w:rPr>
        <w:t>L’esthétique</w:t>
      </w:r>
    </w:p>
    <w:p w14:paraId="7F7C1CE8" w14:textId="77777777" w:rsidR="00DF410E" w:rsidRDefault="00CE7F43">
      <w:pPr>
        <w:jc w:val="both"/>
      </w:pPr>
      <w:r>
        <w:t>L’esthétique d’un élément s’entend comme étant l’aspect de ses faces visibles. Il faut donc toujours préciser la qualité visible souhaitée pour les deux faces de l’élément.</w:t>
      </w:r>
    </w:p>
    <w:p w14:paraId="576DE937" w14:textId="77777777" w:rsidR="00DF410E" w:rsidRDefault="00CE7F43">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2E98C36A" w14:textId="77777777" w:rsidR="00DF410E" w:rsidRDefault="00CE7F43">
      <w:pPr>
        <w:jc w:val="both"/>
      </w:pPr>
      <w:r>
        <w:t>Les critères d’aspect pris en compte par les fabricants sont :</w:t>
      </w:r>
    </w:p>
    <w:p w14:paraId="358D8A95" w14:textId="77777777" w:rsidR="00DF410E" w:rsidRDefault="00CE7F43">
      <w:pPr>
        <w:pStyle w:val="Author-eListParagraph"/>
        <w:numPr>
          <w:ilvl w:val="0"/>
          <w:numId w:val="869"/>
        </w:numPr>
      </w:pPr>
      <w:r>
        <w:t>Quantité de nœuds ;</w:t>
      </w:r>
    </w:p>
    <w:p w14:paraId="120A3E23" w14:textId="77777777" w:rsidR="00DF410E" w:rsidRDefault="00CE7F43">
      <w:pPr>
        <w:pStyle w:val="Author-eListParagraph"/>
        <w:numPr>
          <w:ilvl w:val="0"/>
          <w:numId w:val="869"/>
        </w:numPr>
      </w:pPr>
      <w:r>
        <w:t>Type de nœuds (adhérents, non-adhérents, …) ;</w:t>
      </w:r>
    </w:p>
    <w:p w14:paraId="2DFE8D8C" w14:textId="77777777" w:rsidR="00DF410E" w:rsidRDefault="00CE7F43">
      <w:pPr>
        <w:pStyle w:val="Author-eListParagraph"/>
        <w:numPr>
          <w:ilvl w:val="0"/>
          <w:numId w:val="869"/>
        </w:numPr>
      </w:pPr>
      <w:r>
        <w:t>Bleuissement, échauffure ;</w:t>
      </w:r>
    </w:p>
    <w:p w14:paraId="1988FC9E" w14:textId="77777777" w:rsidR="00DF410E" w:rsidRDefault="00CE7F43">
      <w:pPr>
        <w:pStyle w:val="Author-eListParagraph"/>
        <w:numPr>
          <w:ilvl w:val="0"/>
          <w:numId w:val="869"/>
        </w:numPr>
      </w:pPr>
      <w:r>
        <w:t>Collage ou non des chants ;</w:t>
      </w:r>
    </w:p>
    <w:p w14:paraId="374FFB30" w14:textId="77777777" w:rsidR="00DF410E" w:rsidRDefault="00CE7F43">
      <w:pPr>
        <w:pStyle w:val="Author-eListParagraph"/>
        <w:numPr>
          <w:ilvl w:val="0"/>
          <w:numId w:val="869"/>
        </w:numPr>
      </w:pPr>
      <w:r>
        <w:t>Etat de surface (poncée/non-poncée) ;</w:t>
      </w:r>
    </w:p>
    <w:p w14:paraId="12642659" w14:textId="77777777" w:rsidR="00DF410E" w:rsidRDefault="00CE7F43">
      <w:pPr>
        <w:pStyle w:val="Author-eListParagraph"/>
        <w:numPr>
          <w:ilvl w:val="0"/>
          <w:numId w:val="869"/>
        </w:numPr>
      </w:pPr>
      <w:r>
        <w:t>Dépassement de colle ;</w:t>
      </w:r>
    </w:p>
    <w:p w14:paraId="271FE9DE" w14:textId="77777777" w:rsidR="00DF410E" w:rsidRDefault="00CE7F43">
      <w:pPr>
        <w:pStyle w:val="Author-eListParagraph"/>
        <w:numPr>
          <w:ilvl w:val="0"/>
          <w:numId w:val="869"/>
        </w:numPr>
      </w:pPr>
      <w:r>
        <w:t>…</w:t>
      </w:r>
    </w:p>
    <w:p w14:paraId="0E5BB2B5" w14:textId="77777777" w:rsidR="00DF410E" w:rsidRDefault="00CE7F43">
      <w:pPr>
        <w:jc w:val="both"/>
      </w:pPr>
      <w:r>
        <w:t>Des classes visuelles couramment utilisées sont définies ci-dessous.</w:t>
      </w:r>
    </w:p>
    <w:p w14:paraId="6EE3810C" w14:textId="77777777" w:rsidR="00DF410E" w:rsidRDefault="00CE7F43">
      <w:pPr>
        <w:jc w:val="both"/>
      </w:pPr>
      <w:r>
        <w:rPr>
          <w:u w:val="single"/>
        </w:rPr>
        <w:t>Non-visible</w:t>
      </w:r>
    </w:p>
    <w:p w14:paraId="28DAAB83" w14:textId="77777777" w:rsidR="00DF410E" w:rsidRDefault="00CE7F43">
      <w:pPr>
        <w:jc w:val="both"/>
      </w:pPr>
      <w:r>
        <w:t>Présence de nœuds sautés, de bords non jointifs, etc. sans altération des caractéristiques mécaniques.</w:t>
      </w:r>
    </w:p>
    <w:p w14:paraId="67F287B2" w14:textId="77777777" w:rsidR="00DF410E" w:rsidRDefault="00CE7F43">
      <w:pPr>
        <w:jc w:val="both"/>
      </w:pPr>
      <w:r>
        <w:t>Les critères suivants sont respectés :</w:t>
      </w:r>
    </w:p>
    <w:p w14:paraId="5E4C9FF6" w14:textId="77777777" w:rsidR="00DF410E" w:rsidRDefault="00CE7F43">
      <w:pPr>
        <w:pStyle w:val="Author-eListParagraph"/>
        <w:numPr>
          <w:ilvl w:val="0"/>
          <w:numId w:val="870"/>
        </w:numPr>
      </w:pPr>
      <w:r>
        <w:t>Joints ouverts ≤3mm</w:t>
      </w:r>
    </w:p>
    <w:p w14:paraId="3CA19A93" w14:textId="77777777" w:rsidR="00DF410E" w:rsidRDefault="00CE7F43">
      <w:pPr>
        <w:pStyle w:val="Author-eListParagraph"/>
        <w:numPr>
          <w:ilvl w:val="0"/>
          <w:numId w:val="870"/>
        </w:numPr>
      </w:pPr>
      <w:r>
        <w:t>Bleuissement, poche de résine admis</w:t>
      </w:r>
    </w:p>
    <w:p w14:paraId="1EB3DD0F" w14:textId="77777777" w:rsidR="00DF410E" w:rsidRDefault="00CE7F43">
      <w:pPr>
        <w:pStyle w:val="Author-eListParagraph"/>
        <w:numPr>
          <w:ilvl w:val="0"/>
          <w:numId w:val="870"/>
        </w:numPr>
      </w:pPr>
      <w:r>
        <w:t>Gerces admises</w:t>
      </w:r>
    </w:p>
    <w:p w14:paraId="75345240" w14:textId="77777777" w:rsidR="00DF410E" w:rsidRDefault="00CE7F43">
      <w:pPr>
        <w:pStyle w:val="Author-eListParagraph"/>
        <w:numPr>
          <w:ilvl w:val="0"/>
          <w:numId w:val="870"/>
        </w:numPr>
      </w:pPr>
      <w:r>
        <w:t>Nœuds sains, noirs admis</w:t>
      </w:r>
    </w:p>
    <w:p w14:paraId="73445E3A" w14:textId="77777777" w:rsidR="00DF410E" w:rsidRDefault="00CE7F43">
      <w:pPr>
        <w:pStyle w:val="Author-eListParagraph"/>
        <w:numPr>
          <w:ilvl w:val="0"/>
          <w:numId w:val="870"/>
        </w:numPr>
      </w:pPr>
      <w:r>
        <w:t>Lames ayant fait l’objet d’attaque d’insecte avant composition de panneau non admis</w:t>
      </w:r>
    </w:p>
    <w:p w14:paraId="20DFD660" w14:textId="77777777" w:rsidR="00DF410E" w:rsidRDefault="00CE7F43">
      <w:pPr>
        <w:pStyle w:val="Author-eListParagraph"/>
        <w:numPr>
          <w:ilvl w:val="0"/>
          <w:numId w:val="870"/>
        </w:numPr>
      </w:pPr>
      <w:r>
        <w:t>Flaches ≤ 2 x 50 cm admis</w:t>
      </w:r>
    </w:p>
    <w:p w14:paraId="462FEBBA" w14:textId="77777777" w:rsidR="00DF410E" w:rsidRDefault="00CE7F43">
      <w:pPr>
        <w:jc w:val="both"/>
      </w:pPr>
      <w:r>
        <w:rPr>
          <w:u w:val="single"/>
        </w:rPr>
        <w:t>Visible industrielle</w:t>
      </w:r>
    </w:p>
    <w:p w14:paraId="37732A05" w14:textId="77777777" w:rsidR="00DF410E" w:rsidRDefault="00CE7F43">
      <w:pPr>
        <w:jc w:val="both"/>
      </w:pPr>
      <w:r>
        <w:t>La qualité de bois de la surface correspond à un aspect B selon la [NBN EN 13017-1]. Selon l’orientation de la surface, les lamelles peuvent être aboutées selon les cas.</w:t>
      </w:r>
    </w:p>
    <w:p w14:paraId="581FC76C" w14:textId="77777777" w:rsidR="00DF410E" w:rsidRDefault="00CE7F43">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5632709F" w14:textId="77777777" w:rsidR="00DF410E" w:rsidRDefault="00CE7F43">
      <w:pPr>
        <w:jc w:val="both"/>
      </w:pPr>
      <w:r>
        <w:t>Avec une humidité de bois de 12% (+/-2%), la largeur maximale du joint est de 4mm. Le choix de la largeur des lamelles appartient au fabricant.</w:t>
      </w:r>
    </w:p>
    <w:p w14:paraId="68175D4D" w14:textId="77777777" w:rsidR="00DF410E" w:rsidRDefault="00CE7F43">
      <w:pPr>
        <w:jc w:val="both"/>
      </w:pPr>
      <w:r>
        <w:t>Les critères suivants sont respectés :</w:t>
      </w:r>
    </w:p>
    <w:p w14:paraId="63632F22" w14:textId="77777777" w:rsidR="00DF410E" w:rsidRDefault="00CE7F43">
      <w:pPr>
        <w:pStyle w:val="Author-eListParagraph"/>
        <w:numPr>
          <w:ilvl w:val="0"/>
          <w:numId w:val="871"/>
        </w:numPr>
      </w:pPr>
      <w:r>
        <w:t>Joints ouverts ≤2mm</w:t>
      </w:r>
    </w:p>
    <w:p w14:paraId="6F141539" w14:textId="77777777" w:rsidR="00DF410E" w:rsidRDefault="00CE7F43">
      <w:pPr>
        <w:pStyle w:val="Author-eListParagraph"/>
        <w:numPr>
          <w:ilvl w:val="0"/>
          <w:numId w:val="871"/>
        </w:numPr>
      </w:pPr>
      <w:r>
        <w:t>Léger bleuissement</w:t>
      </w:r>
    </w:p>
    <w:p w14:paraId="707F1ECB" w14:textId="77777777" w:rsidR="00DF410E" w:rsidRDefault="00CE7F43">
      <w:pPr>
        <w:pStyle w:val="Author-eListParagraph"/>
        <w:numPr>
          <w:ilvl w:val="0"/>
          <w:numId w:val="871"/>
        </w:numPr>
      </w:pPr>
      <w:r>
        <w:t>Poches de résine max 10x 90mm</w:t>
      </w:r>
    </w:p>
    <w:p w14:paraId="57CD51F3" w14:textId="77777777" w:rsidR="00DF410E" w:rsidRDefault="00CE7F43">
      <w:pPr>
        <w:pStyle w:val="Author-eListParagraph"/>
        <w:numPr>
          <w:ilvl w:val="0"/>
          <w:numId w:val="871"/>
        </w:numPr>
      </w:pPr>
      <w:r>
        <w:t>Gerces admises</w:t>
      </w:r>
    </w:p>
    <w:p w14:paraId="7ACDA905" w14:textId="77777777" w:rsidR="00DF410E" w:rsidRDefault="00CE7F43">
      <w:pPr>
        <w:pStyle w:val="Author-eListParagraph"/>
        <w:numPr>
          <w:ilvl w:val="0"/>
          <w:numId w:val="871"/>
        </w:numPr>
      </w:pPr>
      <w:r>
        <w:t>Nœuds sains admis nœuds noirs ≤ 3 cm admis</w:t>
      </w:r>
    </w:p>
    <w:p w14:paraId="3EDA2B8A" w14:textId="77777777" w:rsidR="00DF410E" w:rsidRDefault="00CE7F43">
      <w:pPr>
        <w:pStyle w:val="Author-eListParagraph"/>
        <w:numPr>
          <w:ilvl w:val="0"/>
          <w:numId w:val="871"/>
        </w:numPr>
      </w:pPr>
      <w:r>
        <w:t>Lames ayant fait l’objet d’attaque d’insecte avant composition de panneau non admis</w:t>
      </w:r>
    </w:p>
    <w:p w14:paraId="52C51763" w14:textId="77777777" w:rsidR="00DF410E" w:rsidRDefault="00CE7F43">
      <w:pPr>
        <w:pStyle w:val="Author-eListParagraph"/>
        <w:numPr>
          <w:ilvl w:val="0"/>
          <w:numId w:val="871"/>
        </w:numPr>
      </w:pPr>
      <w:r>
        <w:t>Flaches non admises</w:t>
      </w:r>
    </w:p>
    <w:p w14:paraId="6E1F0B07" w14:textId="77777777" w:rsidR="00DF410E" w:rsidRDefault="00CE7F43">
      <w:pPr>
        <w:jc w:val="both"/>
      </w:pPr>
      <w:r>
        <w:rPr>
          <w:u w:val="single"/>
        </w:rPr>
        <w:t>Visible habitat (visible cat. A au sens [NBN EN 1991 série])</w:t>
      </w:r>
    </w:p>
    <w:p w14:paraId="37F6F21F" w14:textId="77777777" w:rsidR="00DF410E" w:rsidRDefault="00CE7F43">
      <w:pPr>
        <w:jc w:val="both"/>
      </w:pPr>
      <w:r>
        <w:t>La qualité de bois de la surface correspond à un aspect AB selon la [NBN EN 13017-1] ou [NBN EN 13017-2].</w:t>
      </w:r>
    </w:p>
    <w:p w14:paraId="17B35C5E" w14:textId="77777777" w:rsidR="00DF410E" w:rsidRDefault="00CE7F43">
      <w:pPr>
        <w:jc w:val="both"/>
      </w:pPr>
      <w:r>
        <w:t>La surface est rabotée et polie.</w:t>
      </w:r>
    </w:p>
    <w:p w14:paraId="56EB321A" w14:textId="77777777" w:rsidR="00DF410E" w:rsidRDefault="00CE7F43">
      <w:pPr>
        <w:jc w:val="both"/>
      </w:pPr>
      <w:r>
        <w:t>Avec une humidité de bois de 12% (+/-2%), la largeur maximale du joint est de 2mm.</w:t>
      </w:r>
    </w:p>
    <w:p w14:paraId="17EDF2E1" w14:textId="77777777" w:rsidR="00DF410E" w:rsidRDefault="00CE7F43">
      <w:pPr>
        <w:jc w:val="both"/>
      </w:pPr>
      <w:r>
        <w:t>Lors de la découpe, l’ensemble des jointures est chanfreiné au niveau des raccords de panneaux dans la largeur.</w:t>
      </w:r>
    </w:p>
    <w:p w14:paraId="1E8B56A4" w14:textId="77777777" w:rsidR="00DF410E" w:rsidRDefault="00CE7F43">
      <w:pPr>
        <w:jc w:val="both"/>
      </w:pPr>
      <w:r>
        <w:t>Les critères suivants sont respectés</w:t>
      </w:r>
    </w:p>
    <w:p w14:paraId="62878E31" w14:textId="77777777" w:rsidR="00DF410E" w:rsidRDefault="00CE7F43">
      <w:pPr>
        <w:pStyle w:val="Author-eListParagraph"/>
        <w:numPr>
          <w:ilvl w:val="0"/>
          <w:numId w:val="872"/>
        </w:numPr>
      </w:pPr>
      <w:r>
        <w:t>Joints ouverts ≤1mm</w:t>
      </w:r>
    </w:p>
    <w:p w14:paraId="0566EBFC" w14:textId="77777777" w:rsidR="00DF410E" w:rsidRDefault="00CE7F43">
      <w:pPr>
        <w:pStyle w:val="Author-eListParagraph"/>
        <w:numPr>
          <w:ilvl w:val="0"/>
          <w:numId w:val="872"/>
        </w:numPr>
      </w:pPr>
      <w:r>
        <w:t>Pas de bleuissement</w:t>
      </w:r>
    </w:p>
    <w:p w14:paraId="5877D187" w14:textId="77777777" w:rsidR="00DF410E" w:rsidRDefault="00CE7F43">
      <w:pPr>
        <w:pStyle w:val="Author-eListParagraph"/>
        <w:numPr>
          <w:ilvl w:val="0"/>
          <w:numId w:val="872"/>
        </w:numPr>
      </w:pPr>
      <w:r>
        <w:t>Gerces, cœurs-Moelles isolées admises</w:t>
      </w:r>
    </w:p>
    <w:p w14:paraId="07ADFD9D" w14:textId="77777777" w:rsidR="00DF410E" w:rsidRDefault="00CE7F43">
      <w:pPr>
        <w:pStyle w:val="Author-eListParagraph"/>
        <w:numPr>
          <w:ilvl w:val="0"/>
          <w:numId w:val="872"/>
        </w:numPr>
      </w:pPr>
      <w:r>
        <w:t>Pas d’accumulation de poches de résine max 5x50 mm</w:t>
      </w:r>
    </w:p>
    <w:p w14:paraId="38E73425" w14:textId="77777777" w:rsidR="00DF410E" w:rsidRDefault="00CE7F43">
      <w:pPr>
        <w:pStyle w:val="Author-eListParagraph"/>
        <w:numPr>
          <w:ilvl w:val="0"/>
          <w:numId w:val="872"/>
        </w:numPr>
      </w:pPr>
      <w:r>
        <w:t>Lames ayant fait l’objet d’attaque d’insecte avant ou après composition de panneau non admis</w:t>
      </w:r>
    </w:p>
    <w:p w14:paraId="18C84D8E" w14:textId="77777777" w:rsidR="00DF410E" w:rsidRDefault="00CE7F43">
      <w:pPr>
        <w:pStyle w:val="Author-eListParagraph"/>
        <w:numPr>
          <w:ilvl w:val="0"/>
          <w:numId w:val="872"/>
        </w:numPr>
      </w:pPr>
      <w:r>
        <w:t>Nœuds sains admis</w:t>
      </w:r>
    </w:p>
    <w:p w14:paraId="5753F975" w14:textId="77777777" w:rsidR="00DF410E" w:rsidRDefault="00CE7F43">
      <w:pPr>
        <w:pStyle w:val="Author-eListParagraph"/>
        <w:numPr>
          <w:ilvl w:val="0"/>
          <w:numId w:val="872"/>
        </w:numPr>
      </w:pPr>
      <w:r>
        <w:t>Nœuds noirs ≤ 1.5 cm ; admis</w:t>
      </w:r>
    </w:p>
    <w:p w14:paraId="4B95D22C" w14:textId="77777777" w:rsidR="00DF410E" w:rsidRDefault="00CE7F43">
      <w:pPr>
        <w:pStyle w:val="Author-eListParagraph"/>
        <w:numPr>
          <w:ilvl w:val="0"/>
          <w:numId w:val="872"/>
        </w:numPr>
      </w:pPr>
      <w:r>
        <w:t>Flaches non admises</w:t>
      </w:r>
    </w:p>
    <w:p w14:paraId="4DACC590" w14:textId="77777777" w:rsidR="00DF410E" w:rsidRDefault="00CE7F43">
      <w:pPr>
        <w:pStyle w:val="pheading"/>
      </w:pPr>
      <w:r>
        <w:t>EXÉCUTION / MISE EN ŒUVRE</w:t>
      </w:r>
    </w:p>
    <w:p w14:paraId="78240E82" w14:textId="77777777" w:rsidR="00DF410E" w:rsidRDefault="00CE7F43">
      <w:pPr>
        <w:jc w:val="both"/>
      </w:pPr>
      <w:r>
        <w:t>La teneur en humidité du bois est mesurée conformément à l’annexe D de la [NBN EN 16351] lors de la fabrication. Sur chantier, la teneur en humidité est mesurée conformément à l’article </w:t>
      </w:r>
      <w:hyperlink r:id="rId265" w:history="1" w:docLocation="589">
        <w:r>
          <w:t>03.41.1b Mesures du taux d'humidité dans le bois</w:t>
        </w:r>
      </w:hyperlink>
      <w:r>
        <w:t xml:space="preserve"> est comprise entre 10 et 15 %.</w:t>
      </w:r>
    </w:p>
    <w:p w14:paraId="1A4D9255" w14:textId="77777777" w:rsidR="00DF410E" w:rsidRDefault="00CE7F43">
      <w:pPr>
        <w:jc w:val="both"/>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manutention et au placement des éléments.</w:t>
      </w:r>
    </w:p>
    <w:p w14:paraId="2CF37928" w14:textId="77777777" w:rsidR="00DF410E" w:rsidRDefault="00CE7F43">
      <w:pPr>
        <w:jc w:val="both"/>
      </w:pPr>
      <w:r>
        <w:t>L’entrepreneur fournit au moins 7 jours avant livraison un document relatif à la sécurité lors de la mise en œuvre en tenant compte du stockage éventuel, la manutention, les dispositifs provisoires de stabilité des panneaux ainsi que les autres dispositions nécessaires.</w:t>
      </w:r>
    </w:p>
    <w:p w14:paraId="137BC8CD" w14:textId="77777777" w:rsidR="00DF410E" w:rsidRDefault="00CE7F43">
      <w:pPr>
        <w:jc w:val="both"/>
      </w:pPr>
      <w:r>
        <w:rPr>
          <w:b/>
        </w:rPr>
        <w:t>Livraison - Entreposage</w:t>
      </w:r>
    </w:p>
    <w:p w14:paraId="0ED32F13" w14:textId="77777777" w:rsidR="00DF410E" w:rsidRDefault="00CE7F43">
      <w:pPr>
        <w:pStyle w:val="Author-eListParagraph"/>
        <w:numPr>
          <w:ilvl w:val="0"/>
          <w:numId w:val="873"/>
        </w:numPr>
      </w:pPr>
      <w:r>
        <w:t>Les panneaux CLT ainsi que leurs accessoires doivent être transportés dans des circonstances qui protègent les matériaux de toute dégradation et tout contact avec l’eau. Ils sont soigneusement amarrés. L'entreposage sur le chantier doit être limité au minimum et surtout ne pas excéder une semaine. Les éléments sont stockés et transportés verticalement ou horizontalement, protégés et espacés les uns des autres (ventilés).</w:t>
      </w:r>
    </w:p>
    <w:p w14:paraId="56C1B422" w14:textId="77777777" w:rsidR="00DF410E" w:rsidRDefault="00CE7F43">
      <w:pPr>
        <w:pStyle w:val="Author-eListParagraph"/>
        <w:numPr>
          <w:ilvl w:val="0"/>
          <w:numId w:val="873"/>
        </w:numPr>
      </w:pPr>
      <w:r>
        <w:t>Les protections éventuelles appliquées sur les profils ne peuvent pas être enlevées avant autorisation écrite de l’auteur de projet.</w:t>
      </w:r>
    </w:p>
    <w:p w14:paraId="60285A16" w14:textId="77777777" w:rsidR="00DF410E" w:rsidRDefault="00CE7F43">
      <w:pPr>
        <w:jc w:val="both"/>
      </w:pPr>
      <w:r>
        <w:rPr>
          <w:b/>
        </w:rPr>
        <w:t>Jonction avec les autres éléments du gros œuvre</w:t>
      </w:r>
    </w:p>
    <w:p w14:paraId="0714E0C0" w14:textId="77777777" w:rsidR="00DF410E" w:rsidRDefault="00CE7F43">
      <w:pPr>
        <w:jc w:val="both"/>
      </w:pPr>
      <w:r>
        <w:t>Les possibilités présentées par le gros œuvre pour les dispositifs de fixation des panneaux CLT doivent faire l’objet d’indications précises.</w:t>
      </w:r>
    </w:p>
    <w:p w14:paraId="46FEE8A9" w14:textId="77777777" w:rsidR="00DF410E" w:rsidRDefault="00CE7F43">
      <w:pPr>
        <w:jc w:val="both"/>
      </w:pPr>
      <w:r>
        <w:t>La transmission des charges des panneaux CLT sur le gros œuvre est à communiquer avant bétonnage pour un dimensionnement et un positionnement correct des armatures de bord.</w:t>
      </w:r>
    </w:p>
    <w:p w14:paraId="3C307D1A" w14:textId="77777777" w:rsidR="00DF410E" w:rsidRDefault="00CE7F43">
      <w:pPr>
        <w:jc w:val="both"/>
      </w:pPr>
      <w:r>
        <w:t>Si tel n'est pas le cas, les dispositifs de fixations sont adaptés aux dispositifs mis en place lors du bétonnage.</w:t>
      </w:r>
    </w:p>
    <w:p w14:paraId="2B3C22E4" w14:textId="77777777" w:rsidR="00DF410E" w:rsidRDefault="00CE7F43">
      <w:pPr>
        <w:jc w:val="both"/>
      </w:pPr>
      <w:r>
        <w:t>Les axes d'implantation et les tolérances sur ces dispositifs doivent être coordonnés entre les différents intervenants à un stade précoce.</w:t>
      </w:r>
    </w:p>
    <w:p w14:paraId="3D135381" w14:textId="77777777" w:rsidR="00DF410E" w:rsidRDefault="00CE7F43">
      <w:pPr>
        <w:jc w:val="both"/>
      </w:pPr>
      <w:r>
        <w:t>Le cas échéant, les mouvements que les panneaux CLT doivent pouvoir accepter sont déterminés en fonction des déformations que le gros œuvre peut subir sous l’effet de chacune des sollicitations prévisibles auxquelles il est soumis.</w:t>
      </w:r>
    </w:p>
    <w:p w14:paraId="29774B10" w14:textId="77777777" w:rsidR="00DF410E" w:rsidRDefault="00CE7F43">
      <w:pPr>
        <w:jc w:val="both"/>
      </w:pPr>
      <w:r>
        <w:t>Les actions, leurs combinaisons, les caractéristiques de conception des matériaux et les critères d'états limites sont conformes à la [NBN EN 1991 série].</w:t>
      </w:r>
    </w:p>
    <w:p w14:paraId="60877E6D" w14:textId="77777777" w:rsidR="00DF410E" w:rsidRDefault="00CE7F43">
      <w:pPr>
        <w:jc w:val="both"/>
      </w:pPr>
      <w:r>
        <w:t>Les dispositifs d’ancrages des panneaux CLT font l’objet d’une note de calcul spécifique si la charge à reprendre dépasse les 2 kN.</w:t>
      </w:r>
    </w:p>
    <w:p w14:paraId="4909FEBA" w14:textId="77777777" w:rsidR="00DF410E" w:rsidRDefault="00CE7F43">
      <w:pPr>
        <w:jc w:val="both"/>
      </w:pPr>
      <w:r>
        <w:t>Lors des phases de montages, les panneaux sont maintenus par jambes de forces ou tous dispositifs dont la fixation n’altère pas la qualité de finition des panneaux.</w:t>
      </w:r>
    </w:p>
    <w:p w14:paraId="1F7E0B53" w14:textId="77777777" w:rsidR="00DF410E" w:rsidRDefault="00CE7F43">
      <w:pPr>
        <w:pStyle w:val="pheading"/>
      </w:pPr>
      <w:r>
        <w:t>CONTRÔLES</w:t>
      </w:r>
    </w:p>
    <w:p w14:paraId="41853C41" w14:textId="77777777" w:rsidR="00DF410E" w:rsidRDefault="00CE7F43">
      <w:pPr>
        <w:jc w:val="both"/>
      </w:pPr>
      <w:r>
        <w:t>Les panneaux CLT ou leurs composants sont soumis à contrôle visuels avant la pose. Ceux qui sont endommagés de même que ceux qui présentent des déformations anormales ou seraient endommagés par des conditions de stockage inappropriées ne peuvent pas être mis en œuvre.</w:t>
      </w:r>
    </w:p>
    <w:p w14:paraId="2F655FEF" w14:textId="77777777" w:rsidR="00DF410E" w:rsidRDefault="00CE7F43">
      <w:pPr>
        <w:jc w:val="both"/>
      </w:pPr>
      <w:r>
        <w:t>Les documents relatifs au marquage CE (ou déclaration d’aptitude du matériau) ou aux performances exigées dans le cahier spécial des charges doivent être préalablement remis à l'architecte.</w:t>
      </w:r>
    </w:p>
    <w:p w14:paraId="5F1E10E4" w14:textId="77777777" w:rsidR="00DF410E" w:rsidRDefault="00CE7F43">
      <w:pPr>
        <w:jc w:val="both"/>
      </w:pPr>
      <w:r>
        <w:rPr>
          <w:b/>
        </w:rPr>
        <w:t>Essais</w:t>
      </w:r>
    </w:p>
    <w:p w14:paraId="1F7AD618" w14:textId="77777777" w:rsidR="00DF410E" w:rsidRDefault="00CE7F43">
      <w:pPr>
        <w:jc w:val="both"/>
      </w:pPr>
      <w:r>
        <w:t>Si le marquage du produit (déclaration d’aptitude du matériau) ne spécifie pas les performances requises, des essais sont systématiquement exigés. Si les panneaux CLT ne satisfont pas aux essais, l’auteur de projet est en droit d'imposer une nouvelle série d'essais jusqu’à obtention des performances requises.</w:t>
      </w:r>
    </w:p>
    <w:p w14:paraId="46741356" w14:textId="77777777" w:rsidR="00DF410E" w:rsidRDefault="00CE7F43">
      <w:pPr>
        <w:jc w:val="both"/>
      </w:pPr>
      <w:r>
        <w:t>Les essais sont exécutés par un laboratoire indépendant. </w:t>
      </w:r>
    </w:p>
    <w:p w14:paraId="6E16A20E" w14:textId="77777777" w:rsidR="00DF410E" w:rsidRDefault="00CE7F43">
      <w:pPr>
        <w:jc w:val="both"/>
      </w:pPr>
      <w:r>
        <w:rPr>
          <w:b/>
        </w:rPr>
        <w:t>Tolérances</w:t>
      </w:r>
    </w:p>
    <w:p w14:paraId="7553EECA" w14:textId="77777777" w:rsidR="00DF410E" w:rsidRDefault="00CE7F43">
      <w:pPr>
        <w:jc w:val="both"/>
      </w:pPr>
      <w:r>
        <w:t xml:space="preserve">Les tolérances de la section </w:t>
      </w:r>
      <w:hyperlink w:anchor="89" w:history="1">
        <w:r>
          <w:t>24 Superstructures en bois</w:t>
        </w:r>
      </w:hyperlink>
      <w:r>
        <w:t xml:space="preserve"> s’appliquent aux panneaux CLT.</w:t>
      </w:r>
    </w:p>
    <w:p w14:paraId="2FFCB764" w14:textId="77777777" w:rsidR="00DF410E" w:rsidRDefault="00CE7F43">
      <w:pPr>
        <w:pStyle w:val="pheading"/>
      </w:pPr>
      <w:r>
        <w:t>DOCUMENTS DE RÉFÉRENCE</w:t>
      </w:r>
    </w:p>
    <w:p w14:paraId="0D14427C" w14:textId="77777777" w:rsidR="00DF410E" w:rsidRDefault="00CE7F43">
      <w:pPr>
        <w:pStyle w:val="pheading"/>
      </w:pPr>
      <w:r>
        <w:t>- Matériau</w:t>
      </w:r>
    </w:p>
    <w:p w14:paraId="5D4749A4" w14:textId="77777777" w:rsidR="00DF410E" w:rsidRDefault="00CE7F43">
      <w:r>
        <w:t>[NBN EN 300, Panneaux de lamelles minces, longues et orientées (OSB) - Définitions, classification et exigences]</w:t>
      </w:r>
    </w:p>
    <w:p w14:paraId="12E0F412" w14:textId="77777777" w:rsidR="00DF410E" w:rsidRDefault="00CE7F43">
      <w:r>
        <w:t>[NBN EN 312, Panneaux de particules - Exigences]</w:t>
      </w:r>
    </w:p>
    <w:p w14:paraId="5B0001B2" w14:textId="77777777" w:rsidR="00DF410E" w:rsidRDefault="00CE7F43">
      <w:r>
        <w:t>[NBN EN 338, Bois de structure - Classes de résistance]</w:t>
      </w:r>
    </w:p>
    <w:p w14:paraId="2A4DFB7B" w14:textId="77777777" w:rsidR="00DF410E" w:rsidRDefault="00CE7F43">
      <w:r>
        <w:t>[NBN EN 622-5, Panneaux de fibres - Exigences - Partie 5 : Exigences pour panneaux obtenus par procédé à sec (MDF)]</w:t>
      </w:r>
    </w:p>
    <w:p w14:paraId="0CB57428" w14:textId="77777777" w:rsidR="00DF410E" w:rsidRDefault="00CE7F43">
      <w:r>
        <w:t>[NBN EN 636+A1, Contreplaqué - Exigences]</w:t>
      </w:r>
    </w:p>
    <w:p w14:paraId="2835C72C" w14:textId="77777777" w:rsidR="00DF410E" w:rsidRDefault="00CE7F43">
      <w:r>
        <w:t>[NBN EN 1991 série, Eurocode 1 : Actions sur les structures]</w:t>
      </w:r>
    </w:p>
    <w:p w14:paraId="3226B602" w14:textId="77777777" w:rsidR="00DF410E" w:rsidRDefault="00CE7F43">
      <w:r>
        <w:t>[NBN EN 1995 série, Eurocode 5: Conception et calcul des structures en bois]</w:t>
      </w:r>
    </w:p>
    <w:p w14:paraId="12212819" w14:textId="77777777" w:rsidR="00DF410E" w:rsidRDefault="00CE7F43">
      <w:r>
        <w:t>[NBN EN 12114, Performance thermique de bâtiments - Perméabilité à l'air des composants et parois de bâtiments - Méthode d'essai en laboratoire]</w:t>
      </w:r>
    </w:p>
    <w:p w14:paraId="1D0BF17E" w14:textId="77777777" w:rsidR="00DF410E" w:rsidRDefault="00CE7F43">
      <w:r>
        <w:t>[NBN EN 13017-1, Bois panneautés - Classification selon l'aspect des faces - Partie 1 : Bois résineux]</w:t>
      </w:r>
    </w:p>
    <w:p w14:paraId="6E3C4144" w14:textId="77777777" w:rsidR="00DF410E" w:rsidRDefault="00CE7F43">
      <w:r>
        <w:t>[NBN EN 13017-2, Bois panneautés - Classification selon l'aspect des faces -Partie 2: Bois feuillus]</w:t>
      </w:r>
    </w:p>
    <w:p w14:paraId="18A0CD62" w14:textId="77777777" w:rsidR="00DF410E" w:rsidRDefault="00CE7F43">
      <w:r>
        <w:t>[NBN EN 13501-1, Classement au feu des produits et éléments de construction - Partie 1: Classement à partir des données d'essais de réaction au feu]</w:t>
      </w:r>
    </w:p>
    <w:p w14:paraId="6BF3EFDB"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8459ACD" w14:textId="77777777" w:rsidR="00DF410E" w:rsidRDefault="00CE7F43">
      <w:r>
        <w:t>[NBN EN 13986+A1, Panneaux à base de bois destinés à la construction - Caractéristiques, évaluation de conformité et marquage]</w:t>
      </w:r>
    </w:p>
    <w:p w14:paraId="71504FDC" w14:textId="77777777" w:rsidR="00DF410E" w:rsidRDefault="00CE7F43">
      <w:r>
        <w:t>[NBN EN 14081-1:2016+A1, Structures en bois - Bois de structure à section rectangulaire classé pour sa résistance - Partie 1 : Exigences générales]</w:t>
      </w:r>
    </w:p>
    <w:p w14:paraId="31149D44" w14:textId="77777777" w:rsidR="00DF410E" w:rsidRDefault="00CE7F43">
      <w:r>
        <w:t>[NBN EN 14081-2:2018+A1, Structures en bois - Bois de structure à section rectangulaire classé pour sa résistance - Partie 2 : Classement mécanique par machine; exigences supplémentaires concernant les essais de type]</w:t>
      </w:r>
    </w:p>
    <w:p w14:paraId="7EE1F45E" w14:textId="77777777" w:rsidR="00DF410E" w:rsidRDefault="00CE7F43">
      <w:r>
        <w:t>[NBN EN 14081-3, Structures en bois - Bois de structure à section rectangulaire classé pour sa résistance - Partie 3: Classement mécanique - Exigences complémentaires relatives au contrôle de la production en usine]</w:t>
      </w:r>
    </w:p>
    <w:p w14:paraId="3D68C2F8" w14:textId="77777777" w:rsidR="00DF410E" w:rsidRDefault="00CE7F43">
      <w:r>
        <w:t>[NBN EN 15228, Bois de structure - Bois de structure traité avec un produit de préservation contre les attaques biologiques]</w:t>
      </w:r>
    </w:p>
    <w:p w14:paraId="770C71A4" w14:textId="77777777" w:rsidR="00DF410E" w:rsidRDefault="00CE7F43">
      <w:r>
        <w:t>[NBN EN 16351, Structures en bois - Bois lamellé croisé - Exigences]</w:t>
      </w:r>
    </w:p>
    <w:p w14:paraId="3370A0B5" w14:textId="77777777" w:rsidR="00DF410E" w:rsidRDefault="00CE7F43">
      <w:r>
        <w:t>[AR 1994-07-07, Arrêté royal fixant les normes de base en matière de prévention contre l'incendie et l'explosion, auxquelles les bâtiments nouveaux doivent satisfaire]</w:t>
      </w:r>
    </w:p>
    <w:p w14:paraId="02D20A9D" w14:textId="77777777" w:rsidR="00DF410E" w:rsidRDefault="00CE7F43">
      <w:pPr>
        <w:pStyle w:val="Author-eSectionHeading6"/>
      </w:pPr>
      <w:bookmarkStart w:id="1620" w:name="_Toc178838714"/>
      <w:r>
        <w:t>24.14.1a Planchers massifs en CLT collés CCTB 01.11</w:t>
      </w:r>
      <w:bookmarkEnd w:id="1620"/>
    </w:p>
    <w:p w14:paraId="4EEDC7C1" w14:textId="77777777" w:rsidR="00DF410E" w:rsidRDefault="00CE7F43">
      <w:pPr>
        <w:pStyle w:val="pheading"/>
      </w:pPr>
      <w:r>
        <w:t>DESCRIPTION</w:t>
      </w:r>
    </w:p>
    <w:p w14:paraId="13152317" w14:textId="77777777" w:rsidR="00DF410E" w:rsidRDefault="00CE7F43">
      <w:pPr>
        <w:pStyle w:val="pheading"/>
      </w:pPr>
      <w:r>
        <w:t>- Définition / Comprend</w:t>
      </w:r>
    </w:p>
    <w:p w14:paraId="2CEFEA05" w14:textId="77777777" w:rsidR="00DF410E" w:rsidRDefault="00CE7F43">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0AF1924B" w14:textId="77777777" w:rsidR="00DF410E" w:rsidRDefault="00CE7F43">
      <w:pPr>
        <w:jc w:val="both"/>
      </w:pPr>
      <w:r>
        <w:t>Les panneaux s’appliquant aux classes de service 1 ou 2 (selon la [NBN EN 1995-1-1]) constitués d’au moins 3 couches d’essences résineuses ou en peuplier dont les couches ont une épaisseur entre 6 et 47 mm et d’épaisseur totale jusqu’à 500 mm sont couverts par la norme produit [NBN EN 16351].</w:t>
      </w:r>
    </w:p>
    <w:p w14:paraId="7085FDDE" w14:textId="77777777" w:rsidR="00DF410E" w:rsidRDefault="00CE7F43">
      <w:pPr>
        <w:pStyle w:val="pheading"/>
      </w:pPr>
      <w:r>
        <w:t>- Localisation</w:t>
      </w:r>
    </w:p>
    <w:p w14:paraId="5F691772" w14:textId="77777777" w:rsidR="00DF410E" w:rsidRDefault="00CE7F43">
      <w:r>
        <w:t xml:space="preserve">Localisation des travaux : </w:t>
      </w:r>
      <w:r>
        <w:rPr>
          <w:rStyle w:val="optioncarChar"/>
        </w:rPr>
        <w:t>***</w:t>
      </w:r>
      <w:r>
        <w:t>.</w:t>
      </w:r>
    </w:p>
    <w:p w14:paraId="5DB55C89" w14:textId="77777777" w:rsidR="00DF410E" w:rsidRDefault="00CE7F43">
      <w:r>
        <w:t>Voir plans et métrés détaillés.</w:t>
      </w:r>
    </w:p>
    <w:p w14:paraId="11ABD1BC" w14:textId="77777777" w:rsidR="00DF410E" w:rsidRDefault="00CE7F43">
      <w:pPr>
        <w:pStyle w:val="pheading"/>
      </w:pPr>
      <w:r>
        <w:t>MATÉRIAUX</w:t>
      </w:r>
    </w:p>
    <w:p w14:paraId="0799C43C" w14:textId="77777777" w:rsidR="00DF410E" w:rsidRDefault="00CE7F43">
      <w:pPr>
        <w:pStyle w:val="pheading"/>
      </w:pPr>
      <w:r>
        <w:t>- Caractéristiques générales</w:t>
      </w:r>
    </w:p>
    <w:p w14:paraId="3109E859" w14:textId="77777777" w:rsidR="00DF410E" w:rsidRDefault="00CE7F43">
      <w:pPr>
        <w:jc w:val="both"/>
      </w:pPr>
      <w:r>
        <w:t xml:space="preserve">Épaisseur totale du panneau CLT : </w:t>
      </w:r>
      <w:r>
        <w:rPr>
          <w:rStyle w:val="optioncarChar"/>
        </w:rPr>
        <w:t>***</w:t>
      </w:r>
      <w:r>
        <w:t xml:space="preserve"> mm.</w:t>
      </w:r>
    </w:p>
    <w:p w14:paraId="64235ACC" w14:textId="77777777" w:rsidR="00DF410E" w:rsidRDefault="00CE7F43">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Mélèzes (Larix spp) / Peupliers (Populus spp) / Pin maritime (Pinus pinaster, PNPN) / Hêtre / ***</w:t>
      </w:r>
      <w:r>
        <w:t>.</w:t>
      </w:r>
    </w:p>
    <w:p w14:paraId="3B5F345A" w14:textId="77777777" w:rsidR="00DF410E" w:rsidRDefault="00CE7F43">
      <w:pPr>
        <w:jc w:val="both"/>
      </w:pPr>
      <w:r>
        <w:t xml:space="preserve">Classe de résistance : </w:t>
      </w:r>
      <w:r>
        <w:rPr>
          <w:rStyle w:val="optioncarChar"/>
        </w:rPr>
        <w:t>C18 </w:t>
      </w:r>
      <w:r>
        <w:t>(par défaut)</w:t>
      </w:r>
      <w:r>
        <w:rPr>
          <w:rStyle w:val="optioncarChar"/>
        </w:rPr>
        <w:t xml:space="preserve"> / D18 / C24 / D24 / C30 / D30 / ***</w:t>
      </w:r>
    </w:p>
    <w:p w14:paraId="4E683E48" w14:textId="77777777" w:rsidR="00DF410E" w:rsidRDefault="00CE7F43">
      <w:pPr>
        <w:jc w:val="both"/>
      </w:pPr>
      <w:r>
        <w:t xml:space="preserve">Les panneaux sont composés de </w:t>
      </w:r>
      <w:r>
        <w:rPr>
          <w:rStyle w:val="optioncarChar"/>
        </w:rPr>
        <w:t>3 / 5</w:t>
      </w:r>
      <w:r>
        <w:t xml:space="preserve"> (par défaut)</w:t>
      </w:r>
      <w:r>
        <w:rPr>
          <w:rStyle w:val="optioncarChar"/>
        </w:rPr>
        <w:t xml:space="preserve"> / 7 / *** </w:t>
      </w:r>
      <w:r>
        <w:t>couches (plis). Les couches sont composées</w:t>
      </w:r>
      <w:r>
        <w:rPr>
          <w:rStyle w:val="optioncarChar"/>
        </w:rPr>
        <w:t xml:space="preserve"> 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p>
    <w:p w14:paraId="102A24FA" w14:textId="77777777" w:rsidR="00DF410E" w:rsidRDefault="00CE7F43">
      <w:pPr>
        <w:jc w:val="both"/>
      </w:pPr>
      <w:r>
        <w:t xml:space="preserve">L’épaisseur des lames </w:t>
      </w:r>
      <w:r>
        <w:rPr>
          <w:rStyle w:val="optioncarChar"/>
        </w:rPr>
        <w:t>est</w:t>
      </w:r>
      <w:r>
        <w:t xml:space="preserve"> (par défaut)</w:t>
      </w:r>
      <w:r>
        <w:rPr>
          <w:rStyle w:val="optioncarChar"/>
        </w:rPr>
        <w:t xml:space="preserve"> / n’est pas</w:t>
      </w:r>
      <w:r>
        <w:t xml:space="preserve"> constante sur tous les plis. La composition des épaisseurs des plis est: </w:t>
      </w:r>
      <w:r>
        <w:rPr>
          <w:rStyle w:val="optioncarChar"/>
        </w:rPr>
        <w:t xml:space="preserve">30-30-30 / 30-40-30 / 40/-40-40 / 20-20-20-20-20 </w:t>
      </w:r>
      <w:r>
        <w:t xml:space="preserve">(par défaut) </w:t>
      </w:r>
      <w:r>
        <w:rPr>
          <w:rStyle w:val="optioncarChar"/>
        </w:rPr>
        <w:t>/  20-30-20-30 / 40-20-20-20-40 / ***</w:t>
      </w:r>
      <w:r>
        <w:t xml:space="preserve"> mm</w:t>
      </w:r>
    </w:p>
    <w:p w14:paraId="3BD955F9" w14:textId="77777777" w:rsidR="00DF410E" w:rsidRDefault="00CE7F43">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14:paraId="1BC4126B" w14:textId="77777777" w:rsidR="00DF410E" w:rsidRDefault="00CE7F43">
      <w:pPr>
        <w:jc w:val="both"/>
      </w:pPr>
      <w:r>
        <w:t xml:space="preserve">La réaction au feu est de classe </w:t>
      </w:r>
      <w:r>
        <w:rPr>
          <w:rStyle w:val="optioncarChar"/>
        </w:rPr>
        <w:t xml:space="preserve">D-s2, d0 </w:t>
      </w:r>
      <w:r>
        <w:t xml:space="preserve">(par défaut) </w:t>
      </w:r>
      <w:r>
        <w:rPr>
          <w:rStyle w:val="optioncarChar"/>
        </w:rPr>
        <w:t>/ ***.</w:t>
      </w:r>
    </w:p>
    <w:p w14:paraId="4C0347FF" w14:textId="77777777" w:rsidR="00DF410E" w:rsidRDefault="00CE7F43">
      <w:pPr>
        <w:jc w:val="both"/>
      </w:pPr>
      <w:r>
        <w:t>La résistance au feu déclarée de la paroi:</w:t>
      </w:r>
      <w:r>
        <w:rPr>
          <w:rStyle w:val="optioncarChar"/>
        </w:rPr>
        <w:t xml:space="preserve"> pas d’exigences </w:t>
      </w:r>
      <w:r>
        <w:t xml:space="preserve">(par défaut) </w:t>
      </w:r>
      <w:r>
        <w:rPr>
          <w:rStyle w:val="optioncarChar"/>
        </w:rPr>
        <w:t>/ REI 30 / EI30 / REI 60 / EI 60 / ***.</w:t>
      </w:r>
    </w:p>
    <w:p w14:paraId="34EDD329" w14:textId="77777777" w:rsidR="00DF410E" w:rsidRDefault="00CE7F43">
      <w:pPr>
        <w:jc w:val="both"/>
      </w:pPr>
      <w:r>
        <w:t>L’étanchéité à l’air est Q</w:t>
      </w:r>
      <w:r>
        <w:rPr>
          <w:vertAlign w:val="subscript"/>
        </w:rPr>
        <w:t>50</w:t>
      </w:r>
      <w:r>
        <w:t xml:space="preserve"> ≤ </w:t>
      </w:r>
      <w:r>
        <w:rPr>
          <w:rStyle w:val="optioncarChar"/>
        </w:rPr>
        <w:t>0.1</w:t>
      </w:r>
      <w:r>
        <w:t xml:space="preserve"> (par défaut)</w:t>
      </w:r>
      <w:r>
        <w:rPr>
          <w:rStyle w:val="optioncarChar"/>
        </w:rPr>
        <w:t xml:space="preserve"> / 0.2 / ***</w:t>
      </w:r>
      <w:r>
        <w:t xml:space="preserve"> m³/hm².</w:t>
      </w:r>
    </w:p>
    <w:p w14:paraId="22CA9759" w14:textId="77777777" w:rsidR="00DF410E" w:rsidRDefault="00CE7F43">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511D07CC" w14:textId="77777777" w:rsidR="00DF410E" w:rsidRDefault="00CE7F43">
      <w:pPr>
        <w:jc w:val="both"/>
      </w:pPr>
      <w:r>
        <w:t>Le coefficient de résistance à la diffusion de vapeur d’eau – valeur μ pour un taux d’humidité du bois de 11 % (selon [NBN EN 12086]): </w:t>
      </w:r>
      <w:r>
        <w:rPr>
          <w:rStyle w:val="optioncarChar"/>
        </w:rPr>
        <w:t xml:space="preserve">≥ 50 </w:t>
      </w:r>
      <w:r>
        <w:t xml:space="preserve">(par défaut) </w:t>
      </w:r>
      <w:r>
        <w:rPr>
          <w:rStyle w:val="optioncarChar"/>
        </w:rPr>
        <w:t>/ ≥ 30  / ≤ 100 / ***.</w:t>
      </w:r>
    </w:p>
    <w:p w14:paraId="61C10E79" w14:textId="77777777" w:rsidR="00DF410E" w:rsidRDefault="00CE7F43">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thermiquement / bois hors aubier / ***.</w:t>
      </w:r>
    </w:p>
    <w:p w14:paraId="46553157" w14:textId="77777777" w:rsidR="00DF410E" w:rsidRDefault="00CE7F43">
      <w:pPr>
        <w:jc w:val="both"/>
      </w:pPr>
      <w:r>
        <w:t> </w:t>
      </w:r>
    </w:p>
    <w:p w14:paraId="4D52BA56" w14:textId="77777777" w:rsidR="00DF410E" w:rsidRDefault="00CE7F43">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79C34603" w14:textId="77777777" w:rsidR="00DF410E" w:rsidRDefault="00CE7F43">
      <w:pPr>
        <w:ind w:left="567"/>
        <w:jc w:val="both"/>
      </w:pPr>
      <w:r>
        <w:rPr>
          <w:b/>
          <w:i/>
        </w:rPr>
        <w:t>(Soit par défaut)</w:t>
      </w:r>
    </w:p>
    <w:p w14:paraId="5361D9F3" w14:textId="77777777" w:rsidR="00DF410E" w:rsidRDefault="00CE7F43">
      <w:pPr>
        <w:ind w:left="567"/>
        <w:jc w:val="both"/>
      </w:pPr>
      <w:r>
        <w:rPr>
          <w:rStyle w:val="soitChar"/>
          <w:u w:val="single"/>
        </w:rPr>
        <w:t>Les spécifications du fabricant</w:t>
      </w:r>
    </w:p>
    <w:p w14:paraId="6BF318AA" w14:textId="77777777" w:rsidR="00DF410E" w:rsidRDefault="00CE7F43">
      <w:pPr>
        <w:ind w:left="567"/>
        <w:jc w:val="both"/>
      </w:pPr>
      <w:r>
        <w:rPr>
          <w:b/>
          <w:i/>
        </w:rPr>
        <w:t>(Soit)</w:t>
      </w:r>
    </w:p>
    <w:p w14:paraId="68062658" w14:textId="77777777" w:rsidR="00DF410E" w:rsidRDefault="00CE7F43">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4EF9F015" w14:textId="77777777" w:rsidR="00DF410E" w:rsidRDefault="00CE7F43">
      <w:pPr>
        <w:ind w:left="567"/>
        <w:jc w:val="both"/>
      </w:pPr>
      <w:r>
        <w:rPr>
          <w:b/>
          <w:i/>
        </w:rPr>
        <w:t>(Soit)</w:t>
      </w:r>
    </w:p>
    <w:p w14:paraId="657C47F8" w14:textId="77777777" w:rsidR="00DF410E" w:rsidRDefault="00CE7F43">
      <w:pPr>
        <w:ind w:left="567"/>
        <w:jc w:val="both"/>
      </w:pPr>
      <w:r>
        <w:rPr>
          <w:rStyle w:val="soitChar"/>
          <w:u w:val="single"/>
        </w:rPr>
        <w:t>MF, MUF, PRF, UF</w:t>
      </w:r>
      <w:r>
        <w:rPr>
          <w:rStyle w:val="soitChar"/>
        </w:rPr>
        <w:t xml:space="preserve"> : Les caractéristiques des collages des adhésifs de nature phénolique et aminoplaste sont déterminées conformément à la [NBN EN 302-6] et satisfont aux exigences conformes à la [NBN EN 301]. </w:t>
      </w:r>
    </w:p>
    <w:p w14:paraId="6BE1D5F9" w14:textId="77777777" w:rsidR="00DF410E" w:rsidRDefault="00CE7F43">
      <w:pPr>
        <w:ind w:left="567"/>
        <w:jc w:val="both"/>
      </w:pPr>
      <w:r>
        <w:rPr>
          <w:b/>
          <w:i/>
        </w:rPr>
        <w:t>(Soit)</w:t>
      </w:r>
    </w:p>
    <w:p w14:paraId="51DAAC57" w14:textId="77777777" w:rsidR="00DF410E" w:rsidRDefault="00CE7F43">
      <w:pPr>
        <w:ind w:left="567"/>
        <w:jc w:val="both"/>
      </w:pPr>
      <w:r>
        <w:rPr>
          <w:rStyle w:val="soitChar"/>
          <w:u w:val="single"/>
        </w:rPr>
        <w:t>EPI </w:t>
      </w:r>
      <w:r>
        <w:rPr>
          <w:rStyle w:val="soitChar"/>
        </w:rPr>
        <w:t>: Les adhésifs à base d’isocyanate et de polymère en émulsion satisfont aux exigences de la [NBN EN 15425].</w:t>
      </w:r>
    </w:p>
    <w:p w14:paraId="4D125B3F" w14:textId="77777777" w:rsidR="00DF410E" w:rsidRDefault="00CE7F43">
      <w:pPr>
        <w:jc w:val="both"/>
      </w:pPr>
      <w:r>
        <w:t> </w:t>
      </w:r>
    </w:p>
    <w:p w14:paraId="54437154" w14:textId="77777777" w:rsidR="00DF410E" w:rsidRDefault="00CE7F43">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3A5F7D81" w14:textId="77777777" w:rsidR="00DF410E" w:rsidRDefault="00CE7F43">
      <w:pPr>
        <w:jc w:val="both"/>
      </w:pPr>
      <w:r>
        <w:t>La résistance mécanique des panneaux lamellés croisés est déterminée conformément à la [NBN EN 16351] sur base de calcul conformément à la [NBN EN 1995 série] et [NBN EN 14358] ou par essais conformes à la [NBN EN 408+A1].</w:t>
      </w:r>
    </w:p>
    <w:p w14:paraId="7C5E9D78" w14:textId="77777777" w:rsidR="00DF410E" w:rsidRDefault="00CE7F43">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14:paraId="54CBFC1A" w14:textId="77777777" w:rsidR="00DF410E" w:rsidRDefault="00CE7F43">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14:paraId="309366DC" w14:textId="77777777" w:rsidR="00DF410E" w:rsidRDefault="00CE7F43">
      <w:pPr>
        <w:jc w:val="both"/>
      </w:pPr>
      <w:r>
        <w:t>La résistance du collage des aboutages est conforme à la [NBN EN 16351] annexe B et est vérifiée par essais de flexion conformes à la [NBN EN 16351] §5.2</w:t>
      </w:r>
    </w:p>
    <w:p w14:paraId="21DDD19A" w14:textId="77777777" w:rsidR="00DF410E" w:rsidRDefault="00CE7F43">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55BEC5F4" w14:textId="77777777" w:rsidR="00DF410E" w:rsidRDefault="00CE7F43">
      <w:pPr>
        <w:pStyle w:val="pheading"/>
      </w:pPr>
      <w:r>
        <w:t>- Finitions</w:t>
      </w:r>
    </w:p>
    <w:p w14:paraId="12BD06A6" w14:textId="77777777" w:rsidR="00DF410E" w:rsidRDefault="00CE7F43">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p>
    <w:p w14:paraId="78B4BC15" w14:textId="77777777" w:rsidR="00DF410E" w:rsidRDefault="00CE7F43">
      <w:pPr>
        <w:jc w:val="both"/>
      </w:pPr>
      <w:r>
        <w:t xml:space="preserve">Les panneaux </w:t>
      </w:r>
      <w:r>
        <w:rPr>
          <w:rStyle w:val="optioncarChar"/>
        </w:rPr>
        <w:t>sont / ne sont pas</w:t>
      </w:r>
      <w:r>
        <w:t xml:space="preserve"> (par défaut) munis de gaines (rainures) techniques et blochets intégrés non traversantes.</w:t>
      </w:r>
    </w:p>
    <w:p w14:paraId="48A07128" w14:textId="77777777" w:rsidR="00DF410E" w:rsidRDefault="00CE7F43">
      <w:pPr>
        <w:pStyle w:val="pheading"/>
      </w:pPr>
      <w:r>
        <w:t>- Prescriptions complémentaires</w:t>
      </w:r>
    </w:p>
    <w:p w14:paraId="4E21EB5D" w14:textId="77777777" w:rsidR="00DF410E" w:rsidRDefault="00CE7F43">
      <w:r>
        <w:rPr>
          <w:rStyle w:val="facultChar"/>
        </w:rPr>
        <w:t>Capacité thermique :</w:t>
      </w:r>
      <w:r>
        <w:t>  </w:t>
      </w:r>
      <w:r>
        <w:rPr>
          <w:rStyle w:val="optioncarChar"/>
        </w:rPr>
        <w:t>&gt; 2</w:t>
      </w:r>
      <w:r>
        <w:t xml:space="preserve"> (par défaut)</w:t>
      </w:r>
      <w:r>
        <w:rPr>
          <w:rStyle w:val="optioncarChar"/>
        </w:rPr>
        <w:t xml:space="preserve"> / *** </w:t>
      </w:r>
      <w:r>
        <w:rPr>
          <w:rStyle w:val="facultChar"/>
        </w:rPr>
        <w:t>kJ/kg.K</w:t>
      </w:r>
    </w:p>
    <w:p w14:paraId="064F34D7" w14:textId="77777777" w:rsidR="00DF410E" w:rsidRDefault="00CE7F43">
      <w:pPr>
        <w:pStyle w:val="pheading"/>
      </w:pPr>
      <w:r>
        <w:t>EXÉCUTION / MISE EN ŒUVRE</w:t>
      </w:r>
    </w:p>
    <w:p w14:paraId="27AADEB8" w14:textId="77777777" w:rsidR="00DF410E" w:rsidRDefault="00CE7F43">
      <w:pPr>
        <w:pStyle w:val="pheading"/>
      </w:pPr>
      <w:r>
        <w:t>- Prescriptions générales</w:t>
      </w:r>
    </w:p>
    <w:p w14:paraId="612EFEAD" w14:textId="77777777" w:rsidR="00DF410E" w:rsidRDefault="00CE7F43">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62ED17C6" w14:textId="77777777" w:rsidR="00DF410E" w:rsidRDefault="00CE7F43">
      <w:pPr>
        <w:jc w:val="both"/>
      </w:pPr>
      <w:r>
        <w:t xml:space="preserve">L’étanchéité à l’air est assurée </w:t>
      </w:r>
      <w:r>
        <w:rPr>
          <w:rStyle w:val="optioncarChar"/>
        </w:rPr>
        <w:t xml:space="preserve">par membrane continue / par bandes d’étanchéité aux jonctions de panneaux </w:t>
      </w:r>
      <w:r>
        <w:t>(par défaut)</w:t>
      </w:r>
      <w:r>
        <w:rPr>
          <w:rStyle w:val="optioncarChar"/>
        </w:rPr>
        <w:t xml:space="preserve"> / par joints d’étanchéité dans l’épaisseur des panneaux</w:t>
      </w:r>
      <w:r>
        <w:t>. </w:t>
      </w:r>
    </w:p>
    <w:p w14:paraId="3CB5FA78" w14:textId="77777777" w:rsidR="00DF410E" w:rsidRDefault="00CE7F43">
      <w:pPr>
        <w:jc w:val="both"/>
      </w:pPr>
      <w:r>
        <w:rPr>
          <w:b/>
          <w:i/>
        </w:rPr>
        <w:t>Assemblage Plancher sur Mur</w:t>
      </w:r>
    </w:p>
    <w:p w14:paraId="2C56AAE2" w14:textId="77777777" w:rsidR="00DF410E" w:rsidRDefault="00CE7F43">
      <w:pPr>
        <w:jc w:val="both"/>
      </w:pPr>
      <w:r>
        <w:t xml:space="preserve">Le plancher CLT est assemblé par </w:t>
      </w:r>
      <w:r>
        <w:rPr>
          <w:rStyle w:val="optioncarChar"/>
        </w:rPr>
        <w:t xml:space="preserve">pose sur le mur porteur </w:t>
      </w:r>
      <w:r>
        <w:t>(par défaut)</w:t>
      </w:r>
      <w:r>
        <w:rPr>
          <w:rStyle w:val="optioncarChar"/>
        </w:rPr>
        <w:t xml:space="preserve"> / dispositifs d’ancrage ponctuels sur le gros œuvre existant / pose sur traverse portante appliquée sur parois / ***.</w:t>
      </w:r>
    </w:p>
    <w:p w14:paraId="13E6590D" w14:textId="77777777" w:rsidR="00DF410E" w:rsidRDefault="00CE7F43">
      <w:pPr>
        <w:ind w:left="567"/>
        <w:jc w:val="both"/>
      </w:pPr>
      <w:r>
        <w:rPr>
          <w:b/>
          <w:i/>
        </w:rPr>
        <w:t>(Soit par défaut)</w:t>
      </w:r>
    </w:p>
    <w:p w14:paraId="06F2FD00" w14:textId="77777777" w:rsidR="00DF410E" w:rsidRDefault="00CE7F43">
      <w:pPr>
        <w:ind w:left="567"/>
        <w:jc w:val="both"/>
      </w:pPr>
      <w:r>
        <w:rPr>
          <w:rStyle w:val="soitChar"/>
          <w:u w:val="single"/>
        </w:rPr>
        <w:t>Pose sur Mur porteur :</w:t>
      </w:r>
      <w:r>
        <w:rPr>
          <w:rStyle w:val="soitChar"/>
        </w:rPr>
        <w:t xml:space="preserve"> Après pose du plancher en CLT, l’assemblage est effectué par</w:t>
      </w:r>
      <w:r>
        <w:t>  </w:t>
      </w:r>
      <w:r>
        <w:rPr>
          <w:rStyle w:val="optioncarChar"/>
        </w:rPr>
        <w:t xml:space="preserve">tire-fond et appliquée sur le pli central intérieur du panneau à assembler ou par fixations inclines </w:t>
      </w:r>
      <w:r>
        <w:t>(par défaut)</w:t>
      </w:r>
      <w:r>
        <w:rPr>
          <w:rStyle w:val="optioncarChar"/>
        </w:rPr>
        <w:t xml:space="preserve"> / plats métallique / ***</w:t>
      </w:r>
      <w:r>
        <w:t xml:space="preserve">. </w:t>
      </w:r>
      <w:r>
        <w:rPr>
          <w:rStyle w:val="soitChar"/>
        </w:rPr>
        <w:t>Le nombre de fixations et les sections répondent au dimensionnement selon la [NBN EN 1995 série].</w:t>
      </w:r>
    </w:p>
    <w:p w14:paraId="32E0A219" w14:textId="77777777" w:rsidR="00DF410E" w:rsidRDefault="00CE7F43">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décente de charge suivant [NBN EN 1991 série]. </w:t>
      </w:r>
    </w:p>
    <w:p w14:paraId="6EB75C4A" w14:textId="77777777" w:rsidR="00DF410E" w:rsidRDefault="00CE7F43">
      <w:pPr>
        <w:ind w:left="567"/>
        <w:jc w:val="both"/>
      </w:pPr>
      <w:r>
        <w:rPr>
          <w:b/>
          <w:i/>
        </w:rPr>
        <w:t>(Soit)</w:t>
      </w:r>
    </w:p>
    <w:p w14:paraId="0B5C8077" w14:textId="77777777" w:rsidR="00DF410E" w:rsidRDefault="00CE7F43">
      <w:pPr>
        <w:ind w:left="567"/>
        <w:jc w:val="both"/>
      </w:pPr>
      <w:r>
        <w:rPr>
          <w:rStyle w:val="soitChar"/>
          <w:u w:val="single"/>
        </w:rPr>
        <w:t>Dispositifs d’ancrage ponctuels :</w:t>
      </w:r>
      <w:r>
        <w:rPr>
          <w:rStyle w:val="soitChar"/>
        </w:rPr>
        <w:t xml:space="preserve"> Les dispositifs de fixation sont des</w:t>
      </w:r>
      <w:r>
        <w:t xml:space="preserve">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t>.  </w:t>
      </w:r>
      <w:r>
        <w:rPr>
          <w:rStyle w:val="soitChar"/>
        </w:rPr>
        <w:t>Les dispositifs d’ancrages reprennent le panneaux CLT par tire-fond (par défaut) / tige filetée à une distance supérieure à </w:t>
      </w:r>
      <w:r>
        <w:rPr>
          <w:rStyle w:val="optioncarChar"/>
        </w:rPr>
        <w:t>50</w:t>
      </w:r>
      <w:r>
        <w:t xml:space="preserve"> (par défaut)</w:t>
      </w:r>
      <w:r>
        <w:rPr>
          <w:rStyle w:val="optioncarChar"/>
        </w:rPr>
        <w:t xml:space="preserve"> / *** </w:t>
      </w:r>
      <w:r>
        <w:rPr>
          <w:rStyle w:val="soitChar"/>
        </w:rPr>
        <w:t>mm de bord du panneau. </w:t>
      </w:r>
    </w:p>
    <w:p w14:paraId="76B91930" w14:textId="77777777" w:rsidR="00DF410E" w:rsidRDefault="00CE7F43">
      <w:pPr>
        <w:ind w:left="567"/>
        <w:jc w:val="both"/>
      </w:pPr>
      <w:r>
        <w:rPr>
          <w:rStyle w:val="soitChar"/>
        </w:rPr>
        <w:t>L’assemblage </w:t>
      </w:r>
      <w:r>
        <w:rPr>
          <w:rStyle w:val="optioncarChar"/>
        </w:rPr>
        <w:t xml:space="preserve">est </w:t>
      </w:r>
      <w:r>
        <w:t>(par défaut)</w:t>
      </w:r>
      <w:r>
        <w:rPr>
          <w:rStyle w:val="optioncarChar"/>
        </w:rPr>
        <w:t xml:space="preserve"> / n’est pas </w:t>
      </w:r>
      <w:r>
        <w:rPr>
          <w:rStyle w:val="soitChar"/>
        </w:rPr>
        <w:t>réalisé via un produit résilient. Le choix du produit résilient est effectué sur base du calcul de descente de charge suivant [NBN EN 1991 série].</w:t>
      </w:r>
    </w:p>
    <w:p w14:paraId="36083CFA" w14:textId="77777777" w:rsidR="00DF410E" w:rsidRDefault="00CE7F43">
      <w:pPr>
        <w:ind w:left="567"/>
        <w:jc w:val="both"/>
      </w:pPr>
      <w:r>
        <w:rPr>
          <w:b/>
          <w:i/>
        </w:rPr>
        <w:t>(Soit)</w:t>
      </w:r>
    </w:p>
    <w:p w14:paraId="75180414" w14:textId="77777777" w:rsidR="00DF410E" w:rsidRDefault="00CE7F43">
      <w:pPr>
        <w:ind w:left="567"/>
        <w:jc w:val="both"/>
      </w:pPr>
      <w:r>
        <w:rPr>
          <w:rStyle w:val="soitChar"/>
          <w:u w:val="single"/>
        </w:rPr>
        <w:t>Pose sur traverse :</w:t>
      </w:r>
      <w:r>
        <w:rPr>
          <w:rStyle w:val="soitChar"/>
        </w:rPr>
        <w:t xml:space="preserve"> La traverse est composée d’une poutre en</w:t>
      </w:r>
      <w:r>
        <w:t xml:space="preserve">  </w:t>
      </w:r>
      <w:r>
        <w:rPr>
          <w:rStyle w:val="optioncarChar"/>
        </w:rPr>
        <w:t>bois</w:t>
      </w:r>
      <w:r>
        <w:t xml:space="preserve"> (par défaut)</w:t>
      </w:r>
      <w:r>
        <w:rPr>
          <w:rStyle w:val="optioncarChar"/>
        </w:rPr>
        <w:t xml:space="preserve"> / acier / ***. </w:t>
      </w:r>
      <w:r>
        <w:rPr>
          <w:rStyle w:val="soitChar"/>
        </w:rPr>
        <w:t>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t xml:space="preserve">. </w:t>
      </w:r>
      <w:r>
        <w:rPr>
          <w:rStyle w:val="soitChar"/>
        </w:rPr>
        <w:t xml:space="preserve">La poutre en bois est décrite dans l’article </w:t>
      </w:r>
      <w:hyperlink w:anchor="586" w:history="1">
        <w:r>
          <w:rPr>
            <w:rStyle w:val="soitChar"/>
          </w:rPr>
          <w:t>24.13.1a Poutres et barres en bois massif à section rectangulaire</w:t>
        </w:r>
      </w:hyperlink>
      <w:r>
        <w:rPr>
          <w:rStyle w:val="soitChar"/>
        </w:rPr>
        <w:t xml:space="preserve">. La poutre en acier est décrite dans le sous-titre </w:t>
      </w:r>
      <w:hyperlink w:anchor="587" w:history="1">
        <w:r>
          <w:rPr>
            <w:rStyle w:val="soitChar"/>
          </w:rPr>
          <w:t>23.11 Poutres métalliques</w:t>
        </w:r>
      </w:hyperlink>
      <w:r>
        <w:rPr>
          <w:rStyle w:val="soitChar"/>
        </w:rPr>
        <w:t>.</w:t>
      </w:r>
    </w:p>
    <w:p w14:paraId="35617B7C" w14:textId="77777777" w:rsidR="00DF410E" w:rsidRDefault="00CE7F43">
      <w:pPr>
        <w:ind w:left="567"/>
        <w:jc w:val="both"/>
      </w:pPr>
      <w:r>
        <w:rPr>
          <w:rStyle w:val="soitChar"/>
        </w:rPr>
        <w:t>La dalle est fixée sur la poutre par l’intermédiaire de </w:t>
      </w:r>
      <w:r>
        <w:rPr>
          <w:rStyle w:val="optioncarChar"/>
        </w:rPr>
        <w:t xml:space="preserve">chevilles métalliques </w:t>
      </w:r>
      <w:r>
        <w:t xml:space="preserve">(par défaut) </w:t>
      </w:r>
      <w:r>
        <w:rPr>
          <w:rStyle w:val="optioncarChar"/>
        </w:rPr>
        <w:t>/ tiges filetées / équerres de fixation / ***.</w:t>
      </w:r>
    </w:p>
    <w:p w14:paraId="77CB2693" w14:textId="77777777" w:rsidR="00DF410E" w:rsidRDefault="00CE7F43">
      <w:pPr>
        <w:ind w:left="567"/>
        <w:jc w:val="both"/>
      </w:pPr>
      <w:r>
        <w:rPr>
          <w:b/>
          <w:i/>
        </w:rPr>
        <w:t>(Soit)</w:t>
      </w:r>
    </w:p>
    <w:p w14:paraId="4793D022" w14:textId="77777777" w:rsidR="00DF410E" w:rsidRDefault="00CE7F43">
      <w:pPr>
        <w:ind w:left="567"/>
        <w:jc w:val="both"/>
      </w:pPr>
      <w:r>
        <w:rPr>
          <w:rStyle w:val="optioncarChar"/>
        </w:rPr>
        <w:t>***</w:t>
      </w:r>
      <w:r>
        <w:t> </w:t>
      </w:r>
    </w:p>
    <w:p w14:paraId="0CA49693" w14:textId="77777777" w:rsidR="00DF410E" w:rsidRDefault="00DF410E"/>
    <w:p w14:paraId="2131404C" w14:textId="77777777" w:rsidR="00DF410E" w:rsidRDefault="00CE7F43">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797C749B" w14:textId="77777777" w:rsidR="00DF410E" w:rsidRDefault="00CE7F43">
      <w:pPr>
        <w:jc w:val="both"/>
      </w:pPr>
      <w:r>
        <w:t xml:space="preserve">Les fixations, pointes ou vis, des panneaux sont effectuées sur </w:t>
      </w:r>
      <w:r>
        <w:rPr>
          <w:rStyle w:val="optioncarChar"/>
        </w:rPr>
        <w:t>2 / 3</w:t>
      </w:r>
      <w:r>
        <w:t xml:space="preserve"> (par défaut) </w:t>
      </w:r>
      <w:r>
        <w:rPr>
          <w:rStyle w:val="optioncarChar"/>
        </w:rPr>
        <w:t>/ ***</w:t>
      </w:r>
      <w:r>
        <w:t xml:space="preserve"> de l’épaisseur du panneau.</w:t>
      </w:r>
    </w:p>
    <w:p w14:paraId="369245B6" w14:textId="77777777" w:rsidR="00DF410E" w:rsidRDefault="00CE7F43">
      <w:pPr>
        <w:jc w:val="both"/>
      </w:pPr>
      <w:r>
        <w:t xml:space="preserve">Les dispositifs d’ancrage sont décrits dans les éléments du </w:t>
      </w:r>
      <w:hyperlink w:anchor="583" w:history="1">
        <w:r>
          <w:t>24.4 Assemblages</w:t>
        </w:r>
      </w:hyperlink>
      <w:r>
        <w:t>.</w:t>
      </w:r>
    </w:p>
    <w:p w14:paraId="24892412" w14:textId="77777777" w:rsidR="00DF410E" w:rsidRDefault="00CE7F43">
      <w:pPr>
        <w:pStyle w:val="pheading"/>
      </w:pPr>
      <w:r>
        <w:t>DOCUMENTS DE RÉFÉRENCE COMPLÉMENTAIRES</w:t>
      </w:r>
    </w:p>
    <w:p w14:paraId="3C398EEC" w14:textId="77777777" w:rsidR="00DF410E" w:rsidRDefault="00CE7F43">
      <w:pPr>
        <w:pStyle w:val="pheading"/>
      </w:pPr>
      <w:r>
        <w:t>- Matériau</w:t>
      </w:r>
    </w:p>
    <w:p w14:paraId="072CB90C" w14:textId="77777777" w:rsidR="00DF410E" w:rsidRDefault="00CE7F43">
      <w:r>
        <w:t>[NBN EN 301, Adhésifs de nature phénolique et aminoplaste, pour structures portantes en bois - Classification et exigences de performance]</w:t>
      </w:r>
    </w:p>
    <w:p w14:paraId="59C3B582" w14:textId="77777777" w:rsidR="00DF410E" w:rsidRDefault="00CE7F43">
      <w:r>
        <w:t>[NBN EN 302-2, Adhésifs pour structures portantes en bois - Méthodes d'essais - Partie 2 : Détermination de la résistance à la délamination]</w:t>
      </w:r>
    </w:p>
    <w:p w14:paraId="44172640" w14:textId="77777777" w:rsidR="00DF410E" w:rsidRDefault="00CE7F43">
      <w:r>
        <w:t>[NBN EN 408+A1, Structures en bois - Bois de structure et bois lamellé-collé - Détermination de certaines propriétés physiques et mécaniques]</w:t>
      </w:r>
    </w:p>
    <w:p w14:paraId="47233FEA" w14:textId="77777777" w:rsidR="00DF410E" w:rsidRDefault="00CE7F43">
      <w:r>
        <w:t>[NBN EN 1991 série, Eurocode 1 : Actions sur les structures]</w:t>
      </w:r>
    </w:p>
    <w:p w14:paraId="2E57C59B" w14:textId="77777777" w:rsidR="00DF410E" w:rsidRDefault="00CE7F43">
      <w:r>
        <w:t>[NBN EN 1995 série, Eurocode 5: Conception et calcul des structures en bois]</w:t>
      </w:r>
    </w:p>
    <w:p w14:paraId="78449DBA"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7B63E147" w14:textId="77777777" w:rsidR="00DF410E" w:rsidRDefault="00CE7F43">
      <w:r>
        <w:t>[NBN EN 13556, Bois ronds et bois sciés - Nomenclature des bois utilisés en Europe]</w:t>
      </w:r>
    </w:p>
    <w:p w14:paraId="41C6529C" w14:textId="77777777" w:rsidR="00DF410E" w:rsidRDefault="00CE7F43">
      <w:r>
        <w:t>[NBN EN 14358, Structures en bois - Détermination et vérification des valeurs caractéristiques]</w:t>
      </w:r>
    </w:p>
    <w:p w14:paraId="705C0136" w14:textId="77777777" w:rsidR="00DF410E" w:rsidRDefault="00CE7F43">
      <w:r>
        <w:t>[NBN EN 15425, Adhésifs - Adhésifs polyuréthane monocomposants (PUR) pour structures portantes en bois - Classification et exigences de performance]</w:t>
      </w:r>
    </w:p>
    <w:p w14:paraId="14A76CF4" w14:textId="77777777" w:rsidR="00DF410E" w:rsidRDefault="00CE7F43">
      <w:r>
        <w:t>[NBN EN 16351, Structures en bois - Bois lamellé croisé - Exigences]</w:t>
      </w:r>
    </w:p>
    <w:p w14:paraId="760B9BB0" w14:textId="77777777" w:rsidR="00DF410E" w:rsidRDefault="00CE7F43">
      <w:pPr>
        <w:pStyle w:val="pheading"/>
      </w:pPr>
      <w:r>
        <w:t>MESURAGE</w:t>
      </w:r>
    </w:p>
    <w:p w14:paraId="3660A0FB" w14:textId="77777777" w:rsidR="00DF410E" w:rsidRDefault="00CE7F43">
      <w:pPr>
        <w:pStyle w:val="pheading"/>
      </w:pPr>
      <w:r>
        <w:t>- unité de mesure:</w:t>
      </w:r>
    </w:p>
    <w:p w14:paraId="340C8258" w14:textId="77777777" w:rsidR="00DF410E" w:rsidRDefault="00CE7F43">
      <w:r>
        <w:rPr>
          <w:rStyle w:val="optioncarChar"/>
        </w:rPr>
        <w:t>m² </w:t>
      </w:r>
      <w:r>
        <w:t xml:space="preserve">(par défaut) </w:t>
      </w:r>
      <w:r>
        <w:rPr>
          <w:rStyle w:val="optioncarChar"/>
        </w:rPr>
        <w:t>/ m³</w:t>
      </w:r>
    </w:p>
    <w:p w14:paraId="5EF1368B" w14:textId="77777777" w:rsidR="00DF410E" w:rsidRDefault="00CE7F43">
      <w:r>
        <w:rPr>
          <w:b/>
          <w:i/>
        </w:rPr>
        <w:t>(Soit par défaut)</w:t>
      </w:r>
    </w:p>
    <w:p w14:paraId="66C664C2" w14:textId="77777777" w:rsidR="00DF410E" w:rsidRDefault="00CE7F43">
      <w:r>
        <w:rPr>
          <w:rStyle w:val="soitChar"/>
        </w:rPr>
        <w:t>1. m²</w:t>
      </w:r>
    </w:p>
    <w:p w14:paraId="641466C0" w14:textId="77777777" w:rsidR="00DF410E" w:rsidRDefault="00CE7F43">
      <w:r>
        <w:rPr>
          <w:b/>
          <w:i/>
        </w:rPr>
        <w:t>(Soit)</w:t>
      </w:r>
    </w:p>
    <w:p w14:paraId="7DB6D2C0" w14:textId="77777777" w:rsidR="00DF410E" w:rsidRDefault="00CE7F43">
      <w:r>
        <w:rPr>
          <w:rStyle w:val="soitChar"/>
        </w:rPr>
        <w:t>2. m³</w:t>
      </w:r>
    </w:p>
    <w:p w14:paraId="69C00B61" w14:textId="77777777" w:rsidR="00DF410E" w:rsidRDefault="00CE7F43">
      <w:pPr>
        <w:pStyle w:val="pheading"/>
      </w:pPr>
      <w:r>
        <w:t>- code de mesurage:</w:t>
      </w:r>
    </w:p>
    <w:p w14:paraId="07817D5B" w14:textId="77777777" w:rsidR="00DF410E" w:rsidRDefault="00CE7F43">
      <w:pPr>
        <w:jc w:val="both"/>
      </w:pPr>
      <w:r>
        <w:rPr>
          <w:rStyle w:val="optioncarChar"/>
        </w:rPr>
        <w:t xml:space="preserve">Surface nette </w:t>
      </w:r>
      <w:r>
        <w:t xml:space="preserve">(par défaut) </w:t>
      </w:r>
      <w:r>
        <w:rPr>
          <w:rStyle w:val="optioncarChar"/>
        </w:rPr>
        <w:t>/ Volume net</w:t>
      </w:r>
    </w:p>
    <w:p w14:paraId="0DB2BBDE" w14:textId="77777777" w:rsidR="00DF410E" w:rsidRDefault="00CE7F43">
      <w:pPr>
        <w:jc w:val="both"/>
      </w:pPr>
      <w:r>
        <w:rPr>
          <w:b/>
          <w:i/>
        </w:rPr>
        <w:t>(Soit par défaut)</w:t>
      </w:r>
    </w:p>
    <w:p w14:paraId="1CDDE2C8" w14:textId="77777777" w:rsidR="00DF410E" w:rsidRDefault="00CE7F43">
      <w:pPr>
        <w:jc w:val="both"/>
      </w:pPr>
      <w:r>
        <w:rPr>
          <w:rStyle w:val="soitChar"/>
          <w:b/>
        </w:rPr>
        <w:t>1.</w:t>
      </w:r>
      <w:r>
        <w:rPr>
          <w:rStyle w:val="soitChar"/>
          <w:u w:val="single"/>
        </w:rPr>
        <w:t xml:space="preserve"> Surface nette </w:t>
      </w:r>
      <w:r>
        <w:rPr>
          <w:rStyle w:val="soitChar"/>
        </w:rPr>
        <w:t xml:space="preserve"> à mettre en œuvre. Les réservations inférieures à 2 m² ne sont pas déduites. Distinction faite suivant l'épaisseur.</w:t>
      </w:r>
    </w:p>
    <w:p w14:paraId="0751CFCD" w14:textId="77777777" w:rsidR="00DF410E" w:rsidRDefault="00CE7F43">
      <w:pPr>
        <w:jc w:val="both"/>
      </w:pPr>
      <w:r>
        <w:rPr>
          <w:b/>
          <w:i/>
        </w:rPr>
        <w:t>(Soit)</w:t>
      </w:r>
    </w:p>
    <w:p w14:paraId="689DA757" w14:textId="77777777" w:rsidR="00DF410E" w:rsidRDefault="00CE7F43">
      <w:pPr>
        <w:jc w:val="both"/>
      </w:pPr>
      <w:r>
        <w:rPr>
          <w:rStyle w:val="soitChar"/>
          <w:b/>
        </w:rPr>
        <w:t>2.</w:t>
      </w:r>
      <w:r>
        <w:rPr>
          <w:rStyle w:val="soitChar"/>
          <w:u w:val="single"/>
        </w:rPr>
        <w:t xml:space="preserve"> Volume net </w:t>
      </w:r>
      <w:r>
        <w:rPr>
          <w:rStyle w:val="soitChar"/>
        </w:rPr>
        <w:t xml:space="preserve"> à mettre en œuvre. Les ouvertures supérieures à 2 m² multipliées par l’épaisseur à réaliser sont déduites. Distinction faite suivant l’épaisseur. </w:t>
      </w:r>
    </w:p>
    <w:p w14:paraId="03299378" w14:textId="77777777" w:rsidR="00DF410E" w:rsidRDefault="00CE7F43">
      <w:pPr>
        <w:pStyle w:val="pheading"/>
      </w:pPr>
      <w:r>
        <w:t>- nature du marché:</w:t>
      </w:r>
    </w:p>
    <w:p w14:paraId="6D0B146B" w14:textId="77777777" w:rsidR="00DF410E" w:rsidRDefault="00CE7F43">
      <w:r>
        <w:t>QF</w:t>
      </w:r>
    </w:p>
    <w:p w14:paraId="5D1B450F" w14:textId="77777777" w:rsidR="00DF410E" w:rsidRDefault="00CE7F43">
      <w:pPr>
        <w:pStyle w:val="Author-eSectionHeading6"/>
      </w:pPr>
      <w:bookmarkStart w:id="1621" w:name="_Toc178838715"/>
      <w:r>
        <w:t>24.14.1b Planchers massifs en CLT cloués collés CCTB 01.11</w:t>
      </w:r>
      <w:bookmarkEnd w:id="1621"/>
    </w:p>
    <w:p w14:paraId="7A35287D" w14:textId="77777777" w:rsidR="00DF410E" w:rsidRDefault="00CE7F43">
      <w:pPr>
        <w:pStyle w:val="pheading"/>
      </w:pPr>
      <w:bookmarkStart w:id="1622" w:name="588"/>
      <w:bookmarkEnd w:id="1622"/>
      <w:r>
        <w:t>DESCRIPTION</w:t>
      </w:r>
    </w:p>
    <w:p w14:paraId="645F2DA8" w14:textId="77777777" w:rsidR="00DF410E" w:rsidRDefault="00CE7F43">
      <w:pPr>
        <w:pStyle w:val="pheading"/>
      </w:pPr>
      <w:r>
        <w:t>- Définition / Comprend</w:t>
      </w:r>
    </w:p>
    <w:p w14:paraId="326775C0" w14:textId="77777777" w:rsidR="00DF410E" w:rsidRDefault="00CE7F43">
      <w:pPr>
        <w:jc w:val="both"/>
      </w:pPr>
      <w:r>
        <w:t>Il s’agit de la fourniture et la pose de tous les éléments constitués de panneaux lamellés croisés cloués collés en bois ou à base de bois constituant les systèmes de construction CLT portants et non portants quel que soit le type d’aboutage, y compris toutes les pièces qui en font intrinsèquement partie (notamment les dispositifs d’assemblage).</w:t>
      </w:r>
    </w:p>
    <w:p w14:paraId="461D19EC" w14:textId="77777777" w:rsidR="00DF410E" w:rsidRDefault="00CE7F43">
      <w:pPr>
        <w:pStyle w:val="pheading"/>
      </w:pPr>
      <w:r>
        <w:t>- Localisation</w:t>
      </w:r>
    </w:p>
    <w:p w14:paraId="65783E09" w14:textId="77777777" w:rsidR="00DF410E" w:rsidRDefault="00CE7F43">
      <w:r>
        <w:t xml:space="preserve">Localisation des travaux : </w:t>
      </w:r>
      <w:r>
        <w:rPr>
          <w:rStyle w:val="optioncarChar"/>
        </w:rPr>
        <w:t>***</w:t>
      </w:r>
      <w:r>
        <w:t>.</w:t>
      </w:r>
    </w:p>
    <w:p w14:paraId="50F0CE2A" w14:textId="77777777" w:rsidR="00DF410E" w:rsidRDefault="00CE7F43">
      <w:r>
        <w:t>Voir plans et métrés détaillés.</w:t>
      </w:r>
    </w:p>
    <w:p w14:paraId="4121F481" w14:textId="77777777" w:rsidR="00DF410E" w:rsidRDefault="00CE7F43">
      <w:pPr>
        <w:pStyle w:val="pheading"/>
      </w:pPr>
      <w:r>
        <w:t>MATÉRIAUX</w:t>
      </w:r>
    </w:p>
    <w:p w14:paraId="4EADCB22" w14:textId="77777777" w:rsidR="00DF410E" w:rsidRDefault="00CE7F43">
      <w:pPr>
        <w:pStyle w:val="pheading"/>
      </w:pPr>
      <w:r>
        <w:t>- Caractéristiques générales</w:t>
      </w:r>
    </w:p>
    <w:p w14:paraId="7C56C21F" w14:textId="77777777" w:rsidR="00DF410E" w:rsidRDefault="00CE7F43">
      <w:pPr>
        <w:jc w:val="both"/>
      </w:pPr>
      <w:r>
        <w:t>Épaisseur totale du panneau CLT : </w:t>
      </w:r>
      <w:r>
        <w:rPr>
          <w:rStyle w:val="optioncarChar"/>
        </w:rPr>
        <w:t>***</w:t>
      </w:r>
      <w:r>
        <w:t> mm.</w:t>
      </w:r>
    </w:p>
    <w:p w14:paraId="2762193F" w14:textId="77777777" w:rsidR="00DF410E" w:rsidRDefault="00CE7F43">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Mélèzes (Larix spp) / Peupliers (Populus spp) / Pin maritime (Pinus pinaster, PNPN) / Hêtre / ***</w:t>
      </w:r>
      <w:r>
        <w:t>.</w:t>
      </w:r>
    </w:p>
    <w:p w14:paraId="796F54A2" w14:textId="77777777" w:rsidR="00DF410E" w:rsidRDefault="00CE7F43">
      <w:pPr>
        <w:jc w:val="both"/>
      </w:pPr>
      <w:r>
        <w:t>Classe de résistance : </w:t>
      </w:r>
      <w:r>
        <w:rPr>
          <w:rStyle w:val="optioncarChar"/>
        </w:rPr>
        <w:t>C18 </w:t>
      </w:r>
      <w:r>
        <w:t>(par défaut) </w:t>
      </w:r>
      <w:r>
        <w:rPr>
          <w:rStyle w:val="optioncarChar"/>
        </w:rPr>
        <w:t>/ D18 / C24 / D24 / C30 / D30 / ***</w:t>
      </w:r>
    </w:p>
    <w:p w14:paraId="3F0EC762" w14:textId="77777777" w:rsidR="00DF410E" w:rsidRDefault="00CE7F43">
      <w:pPr>
        <w:jc w:val="both"/>
      </w:pPr>
      <w:r>
        <w:t>Les panneaux sont composés de </w:t>
      </w:r>
      <w:r>
        <w:rPr>
          <w:rStyle w:val="optioncarChar"/>
        </w:rPr>
        <w:t>3 / 5</w:t>
      </w:r>
      <w:r>
        <w:t> (par défaut)</w:t>
      </w:r>
      <w:r>
        <w:rPr>
          <w:rStyle w:val="optioncarChar"/>
        </w:rPr>
        <w:t> / 7 / *** </w:t>
      </w:r>
      <w:r>
        <w:t>couches (plis). Les couches sont composées</w:t>
      </w:r>
      <w:r>
        <w:rPr>
          <w:rStyle w:val="optioncarChar"/>
        </w:rPr>
        <w:t> de lames de bois de même essence et de même classe de résistance</w:t>
      </w:r>
      <w:r>
        <w:t> (par défaut)</w:t>
      </w:r>
      <w:r>
        <w:rPr>
          <w:rStyle w:val="optioncarChar"/>
        </w:rPr>
        <w:t> / de couches intérieures en épicéa C 16 / de lames en bois sur les couches extérieures et panneaux de type MDF (classe MDFLA) en plis centraux / ***.</w:t>
      </w:r>
    </w:p>
    <w:p w14:paraId="3503D03F" w14:textId="77777777" w:rsidR="00DF410E" w:rsidRDefault="00CE7F43">
      <w:pPr>
        <w:jc w:val="both"/>
      </w:pPr>
      <w:r>
        <w:t>L’épaisseur des lames </w:t>
      </w:r>
      <w:r>
        <w:rPr>
          <w:rStyle w:val="optioncarChar"/>
        </w:rPr>
        <w:t>est</w:t>
      </w:r>
      <w:r>
        <w:t> (par défaut)</w:t>
      </w:r>
      <w:r>
        <w:rPr>
          <w:rStyle w:val="optioncarChar"/>
        </w:rPr>
        <w:t> / n’est pas</w:t>
      </w:r>
      <w:r>
        <w:t> constante sur tous les plis. La composition des épaisseurs des plis est: </w:t>
      </w:r>
      <w:r>
        <w:rPr>
          <w:rStyle w:val="optioncarChar"/>
        </w:rPr>
        <w:t>30-30-30 / 30-40-30 / 40/-40-40 / 20-20-20-20-20 </w:t>
      </w:r>
      <w:r>
        <w:t>(par défaut) </w:t>
      </w:r>
      <w:r>
        <w:rPr>
          <w:rStyle w:val="optioncarChar"/>
        </w:rPr>
        <w:t>/  20-30-20-30 / 40-20-20-20-40 / ***</w:t>
      </w:r>
      <w:r>
        <w:t> mm</w:t>
      </w:r>
    </w:p>
    <w:p w14:paraId="6E58CBF6" w14:textId="77777777" w:rsidR="00DF410E" w:rsidRDefault="00CE7F43">
      <w:pPr>
        <w:jc w:val="both"/>
      </w:pPr>
      <w:r>
        <w:t>Les lames </w:t>
      </w:r>
      <w:r>
        <w:rPr>
          <w:rStyle w:val="optioncarChar"/>
        </w:rPr>
        <w:t>ne sont pas </w:t>
      </w:r>
      <w:r>
        <w:t>(par défaut)</w:t>
      </w:r>
      <w:r>
        <w:rPr>
          <w:rStyle w:val="optioncarChar"/>
        </w:rPr>
        <w:t> / sont</w:t>
      </w:r>
      <w:r>
        <w:t> munies de fente (rainures) de soulagement.</w:t>
      </w:r>
    </w:p>
    <w:p w14:paraId="5F959CB8" w14:textId="77777777" w:rsidR="00DF410E" w:rsidRDefault="00CE7F43">
      <w:pPr>
        <w:jc w:val="both"/>
      </w:pPr>
      <w:r>
        <w:t>La réaction au feu est de classe </w:t>
      </w:r>
      <w:r>
        <w:rPr>
          <w:rStyle w:val="optioncarChar"/>
        </w:rPr>
        <w:t>D-s2, d0 </w:t>
      </w:r>
      <w:r>
        <w:t>(par défaut) </w:t>
      </w:r>
      <w:r>
        <w:rPr>
          <w:rStyle w:val="optioncarChar"/>
        </w:rPr>
        <w:t>/ ***.</w:t>
      </w:r>
    </w:p>
    <w:p w14:paraId="09AA1E88" w14:textId="77777777" w:rsidR="00DF410E" w:rsidRDefault="00CE7F43">
      <w:pPr>
        <w:jc w:val="both"/>
      </w:pPr>
      <w:r>
        <w:t>La résistance au feu déclarée de la paroi:</w:t>
      </w:r>
      <w:r>
        <w:rPr>
          <w:rStyle w:val="optioncarChar"/>
        </w:rPr>
        <w:t> pas d’exigences </w:t>
      </w:r>
      <w:r>
        <w:t>(par défaut) </w:t>
      </w:r>
      <w:r>
        <w:rPr>
          <w:rStyle w:val="optioncarChar"/>
        </w:rPr>
        <w:t>/ REI 30 / EI30 / REI 60 / EI 60 / ***.</w:t>
      </w:r>
    </w:p>
    <w:p w14:paraId="5E61F928" w14:textId="77777777" w:rsidR="00DF410E" w:rsidRDefault="00CE7F43">
      <w:pPr>
        <w:jc w:val="both"/>
      </w:pPr>
      <w:r>
        <w:t>L’étanchéité à l’air est Q</w:t>
      </w:r>
      <w:r>
        <w:rPr>
          <w:vertAlign w:val="subscript"/>
        </w:rPr>
        <w:t>50</w:t>
      </w:r>
      <w:r>
        <w:t> ≤ </w:t>
      </w:r>
      <w:r>
        <w:rPr>
          <w:rStyle w:val="optioncarChar"/>
        </w:rPr>
        <w:t>0.1</w:t>
      </w:r>
      <w:r>
        <w:t> (par défaut)</w:t>
      </w:r>
      <w:r>
        <w:rPr>
          <w:rStyle w:val="optioncarChar"/>
        </w:rPr>
        <w:t> / 0.2 / ***</w:t>
      </w:r>
      <w:r>
        <w:t> m³/hm².</w:t>
      </w:r>
    </w:p>
    <w:p w14:paraId="6FA064BF" w14:textId="77777777" w:rsidR="00DF410E" w:rsidRDefault="00CE7F43">
      <w:pPr>
        <w:jc w:val="both"/>
      </w:pPr>
      <w:r>
        <w:t>La conductivité thermique des lames de bois déclarée (selon [NBN EN 12667]) ≤ </w:t>
      </w:r>
      <w:r>
        <w:rPr>
          <w:rStyle w:val="optioncarChar"/>
        </w:rPr>
        <w:t>0.11 / 0.13 </w:t>
      </w:r>
      <w:r>
        <w:t>(par défaut)</w:t>
      </w:r>
      <w:r>
        <w:rPr>
          <w:rStyle w:val="optioncarChar"/>
        </w:rPr>
        <w:t> / 0.2 / ***</w:t>
      </w:r>
      <w:r>
        <w:t> W/mK.</w:t>
      </w:r>
    </w:p>
    <w:p w14:paraId="7745DED5" w14:textId="77777777" w:rsidR="00DF410E" w:rsidRDefault="00CE7F43">
      <w:pPr>
        <w:jc w:val="both"/>
      </w:pPr>
      <w:r>
        <w:t>Le coefficient de résistance à la diffusion de vapeur d’eau – valeur μ pour un taux d’humidité du bois de 11 % (selon [NBN EN 12086]): </w:t>
      </w:r>
      <w:r>
        <w:rPr>
          <w:rStyle w:val="optioncarChar"/>
        </w:rPr>
        <w:t>≥ 50 </w:t>
      </w:r>
      <w:r>
        <w:t>(par défaut) </w:t>
      </w:r>
      <w:r>
        <w:rPr>
          <w:rStyle w:val="optioncarChar"/>
        </w:rPr>
        <w:t>/ ≥ 30  / ≤ 100 / ***.</w:t>
      </w:r>
    </w:p>
    <w:p w14:paraId="4E827D80" w14:textId="77777777" w:rsidR="00DF410E" w:rsidRDefault="00CE7F43">
      <w:pPr>
        <w:jc w:val="both"/>
      </w:pPr>
      <w:r>
        <w:t>La durabilité des panneaux en fonction de leur classe d’emploi, est assurée par la mesure suivante : </w:t>
      </w:r>
      <w:r>
        <w:rPr>
          <w:rStyle w:val="optioncarChar"/>
        </w:rPr>
        <w:t>traitement A1</w:t>
      </w:r>
      <w:r>
        <w:t> (par défaut)</w:t>
      </w:r>
      <w:r>
        <w:rPr>
          <w:rStyle w:val="optioncarChar"/>
        </w:rPr>
        <w:t> / traitement A2.2 / bois modifié thermiquement / bois hors aubier / ***.</w:t>
      </w:r>
    </w:p>
    <w:p w14:paraId="7F157588" w14:textId="77777777" w:rsidR="00DF410E" w:rsidRDefault="00CE7F43">
      <w:pPr>
        <w:jc w:val="both"/>
      </w:pPr>
      <w:r>
        <w:t> </w:t>
      </w:r>
    </w:p>
    <w:p w14:paraId="754AE108" w14:textId="77777777" w:rsidR="00DF410E" w:rsidRDefault="00CE7F43">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aminoplaste (par exemple MF, MUF, PRF, UF) / adhésifs à base d'isocyanate et de polymère en émulsion (EPI).</w:t>
      </w:r>
    </w:p>
    <w:p w14:paraId="54A7EF35" w14:textId="77777777" w:rsidR="00DF410E" w:rsidRDefault="00CE7F43">
      <w:pPr>
        <w:ind w:left="567"/>
        <w:jc w:val="both"/>
      </w:pPr>
      <w:r>
        <w:rPr>
          <w:b/>
          <w:i/>
        </w:rPr>
        <w:t>(Soit par défaut)</w:t>
      </w:r>
    </w:p>
    <w:p w14:paraId="4990B578" w14:textId="77777777" w:rsidR="00DF410E" w:rsidRDefault="00CE7F43">
      <w:pPr>
        <w:ind w:left="567"/>
        <w:jc w:val="both"/>
      </w:pPr>
      <w:r>
        <w:rPr>
          <w:rStyle w:val="soitChar"/>
          <w:u w:val="single"/>
        </w:rPr>
        <w:t>Les spécifications du fabricant</w:t>
      </w:r>
    </w:p>
    <w:p w14:paraId="4F8EA80A" w14:textId="77777777" w:rsidR="00DF410E" w:rsidRDefault="00CE7F43">
      <w:pPr>
        <w:ind w:left="567"/>
        <w:jc w:val="both"/>
      </w:pPr>
      <w:r>
        <w:rPr>
          <w:b/>
          <w:i/>
        </w:rPr>
        <w:t>(Soit)</w:t>
      </w:r>
    </w:p>
    <w:p w14:paraId="2ED1739B" w14:textId="77777777" w:rsidR="00DF410E" w:rsidRDefault="00CE7F43">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344CD155" w14:textId="77777777" w:rsidR="00DF410E" w:rsidRDefault="00CE7F43">
      <w:pPr>
        <w:ind w:left="567"/>
        <w:jc w:val="both"/>
      </w:pPr>
      <w:r>
        <w:rPr>
          <w:b/>
          <w:i/>
        </w:rPr>
        <w:t>(Soit)</w:t>
      </w:r>
    </w:p>
    <w:p w14:paraId="0207836C" w14:textId="77777777" w:rsidR="00DF410E" w:rsidRDefault="00CE7F43">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w:t>
      </w:r>
    </w:p>
    <w:p w14:paraId="75497C08" w14:textId="77777777" w:rsidR="00DF410E" w:rsidRDefault="00CE7F43">
      <w:pPr>
        <w:ind w:left="567"/>
        <w:jc w:val="both"/>
      </w:pPr>
      <w:r>
        <w:rPr>
          <w:b/>
          <w:i/>
        </w:rPr>
        <w:t>(Soit)</w:t>
      </w:r>
    </w:p>
    <w:p w14:paraId="1F2828C9" w14:textId="77777777" w:rsidR="00DF410E" w:rsidRDefault="00CE7F43">
      <w:pPr>
        <w:ind w:left="567"/>
        <w:jc w:val="both"/>
      </w:pPr>
      <w:r>
        <w:rPr>
          <w:rStyle w:val="soitChar"/>
          <w:u w:val="single"/>
        </w:rPr>
        <w:t>EPI </w:t>
      </w:r>
      <w:r>
        <w:rPr>
          <w:rStyle w:val="soitChar"/>
        </w:rPr>
        <w:t>: Les adhésifs à base d’isocyanate et de polymère en émulsion satisfont aux exigences de la [NBN EN 15425].</w:t>
      </w:r>
    </w:p>
    <w:p w14:paraId="62B16462" w14:textId="77777777" w:rsidR="00DF410E" w:rsidRDefault="00CE7F43">
      <w:pPr>
        <w:jc w:val="both"/>
      </w:pPr>
      <w:r>
        <w:t> </w:t>
      </w:r>
    </w:p>
    <w:p w14:paraId="4A64FABD" w14:textId="77777777" w:rsidR="00DF410E" w:rsidRDefault="00CE7F43">
      <w:pPr>
        <w:jc w:val="both"/>
      </w:pPr>
      <w:r>
        <w:t xml:space="preserve">L’assemblage des plis est réalisé par </w:t>
      </w:r>
      <w:r>
        <w:rPr>
          <w:rStyle w:val="optioncarChar"/>
        </w:rPr>
        <w:t>clous en aluminium</w:t>
      </w:r>
      <w:r>
        <w:t xml:space="preserve"> (par défaut)</w:t>
      </w:r>
      <w:r>
        <w:rPr>
          <w:rStyle w:val="optioncarChar"/>
        </w:rPr>
        <w:t xml:space="preserve"> / acier /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14:paraId="1EF3F729" w14:textId="77777777" w:rsidR="00DF410E" w:rsidRDefault="00CE7F43">
      <w:pPr>
        <w:jc w:val="both"/>
      </w:pPr>
      <w:r>
        <w:t>En l’absence de méthode de calcul de stabilité harmonisée sur ce produit, les performances mécaniques sont déterminées par essais pour répondre aux exigences déterminées dans l’étude de stabilité.</w:t>
      </w:r>
    </w:p>
    <w:p w14:paraId="105D92D9" w14:textId="77777777" w:rsidR="00DF410E" w:rsidRDefault="00CE7F43">
      <w:pPr>
        <w:jc w:val="both"/>
      </w:pPr>
      <w:r>
        <w:t>Pour une application de plancher, le rapport comprend les essais de flexion selon les deux directions du plan du panneau, de cisaillement ainsi que les modules de glissement.</w:t>
      </w:r>
    </w:p>
    <w:p w14:paraId="70D75616" w14:textId="77777777" w:rsidR="00DF410E" w:rsidRDefault="00CE7F43">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100E803B" w14:textId="77777777" w:rsidR="00DF410E" w:rsidRDefault="00CE7F43">
      <w:pPr>
        <w:jc w:val="both"/>
      </w:pPr>
      <w:r>
        <w:t>La résistance mécanique des panneaux lamellés croisés est déterminée conformément à la [NBN EN 16351] sur base de calcul conformément à la [NBN EN 1995 série] et [NBN EN 14358] ou par essais conformes à la [NBN EN 408+A1].</w:t>
      </w:r>
    </w:p>
    <w:p w14:paraId="175A2330" w14:textId="77777777" w:rsidR="00DF410E" w:rsidRDefault="00CE7F43">
      <w:pPr>
        <w:jc w:val="both"/>
      </w:pPr>
      <w:r>
        <w:t>Les rainures et chant des lamelles </w:t>
      </w:r>
      <w:r>
        <w:rPr>
          <w:rStyle w:val="optioncarChar"/>
        </w:rPr>
        <w:t>ne sont pas </w:t>
      </w:r>
      <w:r>
        <w:t>(par défaut)</w:t>
      </w:r>
      <w:r>
        <w:rPr>
          <w:rStyle w:val="optioncarChar"/>
        </w:rPr>
        <w:t> / sont</w:t>
      </w:r>
      <w:r>
        <w:t> collées.</w:t>
      </w:r>
    </w:p>
    <w:p w14:paraId="7804B469" w14:textId="77777777" w:rsidR="00DF410E" w:rsidRDefault="00CE7F43">
      <w:pPr>
        <w:jc w:val="both"/>
      </w:pPr>
      <w:r>
        <w:t>Un jeu de </w:t>
      </w:r>
      <w:r>
        <w:rPr>
          <w:rStyle w:val="optioncarChar"/>
        </w:rPr>
        <w:t>0</w:t>
      </w:r>
      <w:r>
        <w:t> (par défaut)</w:t>
      </w:r>
      <w:r>
        <w:rPr>
          <w:rStyle w:val="optioncarChar"/>
        </w:rPr>
        <w:t> / 2 / 5 / ***</w:t>
      </w:r>
      <w:r>
        <w:t> mm est réservé entre les lamelles.</w:t>
      </w:r>
    </w:p>
    <w:p w14:paraId="678A2763" w14:textId="77777777" w:rsidR="00DF410E" w:rsidRDefault="00CE7F43">
      <w:pPr>
        <w:jc w:val="both"/>
      </w:pPr>
      <w:r>
        <w:t>La résistance du collage des aboutages est conforme à la [NBN EN 16351] annexe B et est vérifiée par essais de flexion conformes à la [NBN EN 16351] §5.2</w:t>
      </w:r>
    </w:p>
    <w:p w14:paraId="3A15FBEC" w14:textId="77777777" w:rsidR="00DF410E" w:rsidRDefault="00CE7F43">
      <w:pPr>
        <w:jc w:val="both"/>
      </w:pPr>
      <w:r>
        <w:t>Le dégagement de formaldéhyde est déclaré conformément la [NBN EN 16351] §4.6 et de classe </w:t>
      </w:r>
      <w:r>
        <w:rPr>
          <w:rStyle w:val="optioncarChar"/>
        </w:rPr>
        <w:t>E1 </w:t>
      </w:r>
      <w:r>
        <w:t>(par défaut)</w:t>
      </w:r>
      <w:r>
        <w:rPr>
          <w:rStyle w:val="optioncarChar"/>
        </w:rPr>
        <w:t> / E2.</w:t>
      </w:r>
    </w:p>
    <w:p w14:paraId="786E6958" w14:textId="77777777" w:rsidR="00DF410E" w:rsidRDefault="00CE7F43">
      <w:pPr>
        <w:pStyle w:val="pheading"/>
      </w:pPr>
      <w:r>
        <w:t>- Finitions</w:t>
      </w:r>
    </w:p>
    <w:p w14:paraId="3ECC424A" w14:textId="77777777" w:rsidR="00DF410E" w:rsidRDefault="00CE7F43">
      <w:pPr>
        <w:jc w:val="both"/>
      </w:pPr>
      <w:r>
        <w:t xml:space="preserve">Exigences d’aspect : </w:t>
      </w:r>
      <w:r>
        <w:rPr>
          <w:rStyle w:val="optioncarChar"/>
        </w:rPr>
        <w:t>non-visible / visible industriel / visible habitat sur 1 face.</w:t>
      </w:r>
    </w:p>
    <w:p w14:paraId="3D17EB52" w14:textId="77777777" w:rsidR="00DF410E" w:rsidRDefault="00CE7F43">
      <w:pPr>
        <w:jc w:val="both"/>
      </w:pPr>
      <w:r>
        <w:t xml:space="preserve">Les panneaux </w:t>
      </w:r>
      <w:r>
        <w:rPr>
          <w:rStyle w:val="optioncarChar"/>
        </w:rPr>
        <w:t>sont / ne sont pas</w:t>
      </w:r>
      <w:r>
        <w:t xml:space="preserve"> (par défaut) munis de gaines (rainures) techniques et blochets intégrés non traversantes.</w:t>
      </w:r>
    </w:p>
    <w:p w14:paraId="59AB8BD8" w14:textId="77777777" w:rsidR="00DF410E" w:rsidRDefault="00CE7F43">
      <w:pPr>
        <w:pStyle w:val="pheading"/>
      </w:pPr>
      <w:r>
        <w:t>- Prescriptions complémentaires</w:t>
      </w:r>
    </w:p>
    <w:p w14:paraId="2520BC41" w14:textId="77777777" w:rsidR="00DF410E" w:rsidRDefault="00CE7F43">
      <w:r>
        <w:rPr>
          <w:rStyle w:val="facultChar"/>
        </w:rPr>
        <w:t>Capacité thermique :</w:t>
      </w:r>
      <w:r>
        <w:t xml:space="preserve">  </w:t>
      </w:r>
      <w:r>
        <w:rPr>
          <w:rStyle w:val="optioncarChar"/>
        </w:rPr>
        <w:t xml:space="preserve">&gt; 2 </w:t>
      </w:r>
      <w:r>
        <w:t>(par défaut)</w:t>
      </w:r>
      <w:r>
        <w:rPr>
          <w:rStyle w:val="optioncarChar"/>
        </w:rPr>
        <w:t xml:space="preserve"> / ***</w:t>
      </w:r>
      <w:r>
        <w:t>  </w:t>
      </w:r>
      <w:r>
        <w:rPr>
          <w:rStyle w:val="facultChar"/>
        </w:rPr>
        <w:t>kJ/kg.K</w:t>
      </w:r>
    </w:p>
    <w:p w14:paraId="73E2DAD5" w14:textId="77777777" w:rsidR="00DF410E" w:rsidRDefault="00CE7F43">
      <w:pPr>
        <w:pStyle w:val="pheading"/>
      </w:pPr>
      <w:r>
        <w:t>EXÉCUTION / MISE EN ŒUVRE</w:t>
      </w:r>
    </w:p>
    <w:p w14:paraId="60F219AF" w14:textId="77777777" w:rsidR="00DF410E" w:rsidRDefault="00CE7F43">
      <w:pPr>
        <w:pStyle w:val="pheading"/>
      </w:pPr>
      <w:r>
        <w:t>- Prescriptions générales</w:t>
      </w:r>
    </w:p>
    <w:p w14:paraId="42D0359A" w14:textId="77777777" w:rsidR="00DF410E" w:rsidRDefault="00CE7F43">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48A5256B" w14:textId="77777777" w:rsidR="00DF410E" w:rsidRDefault="00CE7F43">
      <w:pPr>
        <w:jc w:val="both"/>
      </w:pPr>
      <w:r>
        <w:t xml:space="preserve">L’étanchéité à l’air est assurée par </w:t>
      </w:r>
      <w:r>
        <w:rPr>
          <w:rStyle w:val="optioncarChar"/>
        </w:rPr>
        <w:t>membrane continue / par bandes d’étanchéité aux jonctions de panneaux</w:t>
      </w:r>
      <w:r>
        <w:t xml:space="preserve"> (par défaut)</w:t>
      </w:r>
      <w:r>
        <w:rPr>
          <w:rStyle w:val="optioncarChar"/>
        </w:rPr>
        <w:t xml:space="preserve"> / par joints d’étanchéité dans l’épaisseur des panneaux</w:t>
      </w:r>
      <w:r>
        <w:t>.</w:t>
      </w:r>
    </w:p>
    <w:p w14:paraId="029956DC" w14:textId="77777777" w:rsidR="00DF410E" w:rsidRDefault="00CE7F43">
      <w:pPr>
        <w:jc w:val="both"/>
      </w:pPr>
      <w:r>
        <w:rPr>
          <w:b/>
          <w:i/>
        </w:rPr>
        <w:t>Assemblage Plancher sur Mur</w:t>
      </w:r>
    </w:p>
    <w:p w14:paraId="4FA5F95B" w14:textId="77777777" w:rsidR="00DF410E" w:rsidRDefault="00CE7F43">
      <w:pPr>
        <w:jc w:val="both"/>
      </w:pPr>
      <w:r>
        <w:t xml:space="preserve">L’angle entre deux panneaux CLT est assemblé </w:t>
      </w:r>
      <w:r>
        <w:rPr>
          <w:rStyle w:val="optioncarChar"/>
        </w:rPr>
        <w:t>par pose sur le mur porteur</w:t>
      </w:r>
      <w:r>
        <w:t xml:space="preserve"> (par défaut)</w:t>
      </w:r>
      <w:r>
        <w:rPr>
          <w:rStyle w:val="optioncarChar"/>
        </w:rPr>
        <w:t xml:space="preserve"> / par dispositifs d’ancrage ponctuels sur le gros œuvre existant / pose sur traverse portante appliquée sur parois / ***.</w:t>
      </w:r>
    </w:p>
    <w:p w14:paraId="2D5C042F" w14:textId="77777777" w:rsidR="00DF410E" w:rsidRDefault="00CE7F43">
      <w:pPr>
        <w:ind w:left="567"/>
        <w:jc w:val="both"/>
      </w:pPr>
      <w:r>
        <w:rPr>
          <w:b/>
          <w:i/>
        </w:rPr>
        <w:t>(Soit par défaut)</w:t>
      </w:r>
    </w:p>
    <w:p w14:paraId="3E194DAD" w14:textId="77777777" w:rsidR="00DF410E" w:rsidRDefault="00CE7F43">
      <w:pPr>
        <w:ind w:left="567"/>
        <w:jc w:val="both"/>
      </w:pPr>
      <w:r>
        <w:rPr>
          <w:rStyle w:val="soitChar"/>
          <w:u w:val="single"/>
        </w:rPr>
        <w:t>Pose sur Mur porteur :</w:t>
      </w:r>
      <w:r>
        <w:rPr>
          <w:rStyle w:val="soitChar"/>
        </w:rPr>
        <w:t xml:space="preserve"> Après pose du plancher en CLT, l’assemblage est effectué </w:t>
      </w:r>
      <w:r>
        <w:rPr>
          <w:rStyle w:val="optioncarChar"/>
        </w:rPr>
        <w:t xml:space="preserve">par tire-fond et appliqué sur le pli central intérieur du panneau à assembler ou par fixations inclinées </w:t>
      </w:r>
      <w:r>
        <w:t>(par défaut)</w:t>
      </w:r>
      <w:r>
        <w:rPr>
          <w:rStyle w:val="optioncarChar"/>
        </w:rPr>
        <w:t xml:space="preserve"> / plats métallique / ***</w:t>
      </w:r>
      <w:r>
        <w:rPr>
          <w:rStyle w:val="soitChar"/>
        </w:rPr>
        <w:t>. Le nombre de fixations et les sections répondent au dimensionnement selon la [NBN EN 1995 série].</w:t>
      </w:r>
    </w:p>
    <w:p w14:paraId="6BC5AE14" w14:textId="77777777" w:rsidR="00DF410E" w:rsidRDefault="00CE7F43">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19B41301" w14:textId="77777777" w:rsidR="00DF410E" w:rsidRDefault="00CE7F43">
      <w:pPr>
        <w:ind w:left="567"/>
        <w:jc w:val="both"/>
      </w:pPr>
      <w:r>
        <w:rPr>
          <w:b/>
          <w:i/>
        </w:rPr>
        <w:t>(Soit)</w:t>
      </w:r>
    </w:p>
    <w:p w14:paraId="2C49C9D5" w14:textId="77777777" w:rsidR="00DF410E" w:rsidRDefault="00CE7F43">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 </w:t>
      </w:r>
      <w:r>
        <w:rPr>
          <w:rStyle w:val="soitChar"/>
        </w:rPr>
        <w:t>à une distance supérieure à</w:t>
      </w:r>
      <w:r>
        <w:rPr>
          <w:rStyle w:val="optioncarChar"/>
        </w:rPr>
        <w:t xml:space="preserve"> 50 </w:t>
      </w:r>
      <w:r>
        <w:t xml:space="preserve">(par défaut) </w:t>
      </w:r>
      <w:r>
        <w:rPr>
          <w:rStyle w:val="optioncarChar"/>
        </w:rPr>
        <w:t>/ ***</w:t>
      </w:r>
      <w:r>
        <w:rPr>
          <w:rStyle w:val="soitChar"/>
        </w:rPr>
        <w:t xml:space="preserve"> mm du bord du panneau. </w:t>
      </w:r>
    </w:p>
    <w:p w14:paraId="25D0BA43" w14:textId="77777777" w:rsidR="00DF410E" w:rsidRDefault="00CE7F43">
      <w:pPr>
        <w:ind w:left="567"/>
        <w:jc w:val="both"/>
      </w:pPr>
      <w:r>
        <w:rPr>
          <w:rStyle w:val="soitChar"/>
        </w:rPr>
        <w:t xml:space="preserve">L’assemblage </w:t>
      </w:r>
      <w:r>
        <w:rPr>
          <w:rStyle w:val="optioncarChar"/>
        </w:rPr>
        <w:t>est</w:t>
      </w:r>
      <w:r>
        <w:t xml:space="preserve"> (par défaut) </w:t>
      </w:r>
      <w:r>
        <w:rPr>
          <w:rStyle w:val="optioncarChar"/>
        </w:rPr>
        <w:t>/ n’est pas</w:t>
      </w:r>
      <w:r>
        <w:rPr>
          <w:rStyle w:val="soitChar"/>
        </w:rPr>
        <w:t xml:space="preserve"> réalisé via un produit résilient. Le choix du produit résilient est effectué sur base du calcul de descente de charge suivant [NBN EN 1991 série].</w:t>
      </w:r>
    </w:p>
    <w:p w14:paraId="53865390" w14:textId="77777777" w:rsidR="00DF410E" w:rsidRDefault="00CE7F43">
      <w:pPr>
        <w:ind w:left="567"/>
        <w:jc w:val="both"/>
      </w:pPr>
      <w:r>
        <w:rPr>
          <w:b/>
          <w:i/>
        </w:rPr>
        <w:t>(Soit)</w:t>
      </w:r>
    </w:p>
    <w:p w14:paraId="63409021" w14:textId="77777777" w:rsidR="00DF410E" w:rsidRDefault="00CE7F43">
      <w:pPr>
        <w:ind w:left="567"/>
        <w:jc w:val="both"/>
      </w:pPr>
      <w:r>
        <w:rPr>
          <w:rStyle w:val="soitChar"/>
          <w:u w:val="single"/>
        </w:rPr>
        <w:t>Pose sur traverse :</w:t>
      </w:r>
      <w:r>
        <w:rPr>
          <w:rStyle w:val="soitChar"/>
        </w:rPr>
        <w:t xml:space="preserve"> La traverse est composée d’une poutre en </w:t>
      </w:r>
      <w:r>
        <w:rPr>
          <w:rStyle w:val="optioncarChar"/>
        </w:rPr>
        <w:t>bois</w:t>
      </w:r>
      <w:r>
        <w:t xml:space="preserve"> (par défaut) </w:t>
      </w:r>
      <w:r>
        <w:rPr>
          <w:rStyle w:val="optioncarChar"/>
        </w:rPr>
        <w:t>/ acier / ***.</w:t>
      </w:r>
      <w:r>
        <w:rPr>
          <w:rStyle w:val="soitChar"/>
        </w:rPr>
        <w:t xml:space="preserve"> La poutre est fixée sur le mur porteur par l’intermédiaire de </w:t>
      </w:r>
      <w:r>
        <w:rPr>
          <w:rStyle w:val="optioncarChar"/>
        </w:rPr>
        <w:t>chevilles métalliques</w:t>
      </w:r>
      <w:r>
        <w:t xml:space="preserve"> (par défaut)</w:t>
      </w:r>
      <w:r>
        <w:rPr>
          <w:rStyle w:val="optioncarChar"/>
        </w:rPr>
        <w:t xml:space="preserve"> / tiges filetées / équerres de fixation / ***</w:t>
      </w:r>
      <w:r>
        <w:rPr>
          <w:rStyle w:val="soitChar"/>
        </w:rPr>
        <w:t xml:space="preserve">. La poutre en bois est décrite dans l’article </w:t>
      </w:r>
      <w:hyperlink w:anchor="586" w:history="1">
        <w:r>
          <w:rPr>
            <w:rStyle w:val="soitChar"/>
          </w:rPr>
          <w:t>24.13.1a Poutres et barres en bois massif à section rectangulaire</w:t>
        </w:r>
      </w:hyperlink>
      <w:r>
        <w:rPr>
          <w:rStyle w:val="soitChar"/>
        </w:rPr>
        <w:t xml:space="preserve">.  La poutre en acier est décrite dans le sous-titre </w:t>
      </w:r>
      <w:hyperlink w:anchor="587" w:history="1">
        <w:r>
          <w:rPr>
            <w:rStyle w:val="soitChar"/>
          </w:rPr>
          <w:t>23.11 Poutres métalliques</w:t>
        </w:r>
      </w:hyperlink>
      <w:r>
        <w:rPr>
          <w:rStyle w:val="soitChar"/>
        </w:rPr>
        <w:t>.</w:t>
      </w:r>
    </w:p>
    <w:p w14:paraId="3EE63381" w14:textId="77777777" w:rsidR="00DF410E" w:rsidRDefault="00CE7F43">
      <w:pPr>
        <w:ind w:left="567"/>
        <w:jc w:val="both"/>
      </w:pPr>
      <w:r>
        <w:rPr>
          <w:rStyle w:val="soitChar"/>
        </w:rPr>
        <w:t xml:space="preserve">La 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14:paraId="2052BCD3" w14:textId="77777777" w:rsidR="00DF410E" w:rsidRDefault="00CE7F43">
      <w:pPr>
        <w:ind w:left="567"/>
        <w:jc w:val="both"/>
      </w:pPr>
      <w:r>
        <w:rPr>
          <w:b/>
          <w:i/>
        </w:rPr>
        <w:t>(Soit)</w:t>
      </w:r>
    </w:p>
    <w:p w14:paraId="21229FC7" w14:textId="77777777" w:rsidR="00DF410E" w:rsidRDefault="00CE7F43">
      <w:pPr>
        <w:ind w:left="567"/>
        <w:jc w:val="both"/>
      </w:pPr>
      <w:r>
        <w:rPr>
          <w:rStyle w:val="optioncarChar"/>
        </w:rPr>
        <w:t>***</w:t>
      </w:r>
    </w:p>
    <w:p w14:paraId="485866D1" w14:textId="77777777" w:rsidR="00DF410E" w:rsidRDefault="00CE7F43">
      <w:pPr>
        <w:ind w:left="567"/>
        <w:jc w:val="both"/>
      </w:pPr>
      <w:r>
        <w:t> </w:t>
      </w:r>
    </w:p>
    <w:p w14:paraId="026D2B62" w14:textId="77777777" w:rsidR="00DF410E" w:rsidRDefault="00CE7F43">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14:paraId="3125FEB5" w14:textId="77777777" w:rsidR="00DF410E" w:rsidRDefault="00CE7F43">
      <w:pPr>
        <w:jc w:val="both"/>
      </w:pPr>
      <w:r>
        <w:t xml:space="preserve">Les fixations, pointes ou vis, des panneaux sont effectuées sur </w:t>
      </w:r>
      <w:r>
        <w:rPr>
          <w:rStyle w:val="optioncarChar"/>
        </w:rPr>
        <w:t>2/3</w:t>
      </w:r>
      <w:r>
        <w:t xml:space="preserve"> (par défaut)</w:t>
      </w:r>
      <w:r>
        <w:rPr>
          <w:rStyle w:val="optioncarChar"/>
        </w:rPr>
        <w:t xml:space="preserve"> / ***</w:t>
      </w:r>
      <w:r>
        <w:t xml:space="preserve"> de l’épaisseur du panneau.</w:t>
      </w:r>
    </w:p>
    <w:p w14:paraId="19A930C3" w14:textId="77777777" w:rsidR="00DF410E" w:rsidRDefault="00CE7F43">
      <w:pPr>
        <w:jc w:val="both"/>
      </w:pPr>
      <w:r>
        <w:t xml:space="preserve">Les dispositifs d’ancrage sont décrits dans les éléments du </w:t>
      </w:r>
      <w:hyperlink w:anchor="583" w:history="1">
        <w:r>
          <w:t>24.4 Assemblages</w:t>
        </w:r>
      </w:hyperlink>
      <w:r>
        <w:t>.</w:t>
      </w:r>
    </w:p>
    <w:p w14:paraId="0AC06C81" w14:textId="77777777" w:rsidR="00DF410E" w:rsidRDefault="00CE7F43">
      <w:pPr>
        <w:pStyle w:val="pheading"/>
      </w:pPr>
      <w:r>
        <w:t>DOCUMENTS DE RÉFÉRENCE COMPLÉMENTAIRES</w:t>
      </w:r>
    </w:p>
    <w:p w14:paraId="130F452B" w14:textId="77777777" w:rsidR="00DF410E" w:rsidRDefault="00CE7F43">
      <w:pPr>
        <w:pStyle w:val="pheading"/>
      </w:pPr>
      <w:r>
        <w:t>- Matériau</w:t>
      </w:r>
    </w:p>
    <w:p w14:paraId="4BDD2DDB" w14:textId="77777777" w:rsidR="00DF410E" w:rsidRDefault="00CE7F43">
      <w:r>
        <w:t>[NBN EN 301, Adhésifs de nature phénolique et aminoplaste, pour structures portantes en bois - Classification et exigences de performance]</w:t>
      </w:r>
    </w:p>
    <w:p w14:paraId="7F34FCFA" w14:textId="77777777" w:rsidR="00DF410E" w:rsidRDefault="00CE7F43">
      <w:r>
        <w:t>[NBN EN 302-2, Adhésifs pour structures portantes en bois - Méthodes d'essais - Partie 2 : Détermination de la résistance à la délamination]</w:t>
      </w:r>
    </w:p>
    <w:p w14:paraId="2ED9FB88" w14:textId="77777777" w:rsidR="00DF410E" w:rsidRDefault="00CE7F43">
      <w:r>
        <w:t>[NBN EN 408+A1, Structures en bois - Bois de structure et bois lamellé-collé - Détermination de certaines propriétés physiques et mécaniques]</w:t>
      </w:r>
    </w:p>
    <w:p w14:paraId="7B935BDB" w14:textId="77777777" w:rsidR="00DF410E" w:rsidRDefault="00CE7F43">
      <w:r>
        <w:t>[NBN EN 1991 série, Eurocode 1 : Actions sur les structures]</w:t>
      </w:r>
    </w:p>
    <w:p w14:paraId="5F37DD63" w14:textId="77777777" w:rsidR="00DF410E" w:rsidRDefault="00CE7F43">
      <w:r>
        <w:t>[NBN EN 1995 série, Eurocode 5: Conception et calcul des structures en bois]</w:t>
      </w:r>
    </w:p>
    <w:p w14:paraId="7D35107A"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77C61FA3" w14:textId="77777777" w:rsidR="00DF410E" w:rsidRDefault="00CE7F43">
      <w:r>
        <w:t>[NBN EN 13556, Bois ronds et bois sciés - Nomenclature des bois utilisés en Europe]</w:t>
      </w:r>
    </w:p>
    <w:p w14:paraId="06B8B238" w14:textId="77777777" w:rsidR="00DF410E" w:rsidRDefault="00CE7F43">
      <w:r>
        <w:t>[NBN EN 14358, Structures en bois - Détermination et vérification des valeurs caractéristiques]</w:t>
      </w:r>
    </w:p>
    <w:p w14:paraId="7699C783" w14:textId="77777777" w:rsidR="00DF410E" w:rsidRDefault="00CE7F43">
      <w:r>
        <w:t>[NBN EN 15425, Adhésifs - Adhésifs polyuréthane monocomposants (PUR) pour structures portantes en bois - Classification et exigences de performance]</w:t>
      </w:r>
    </w:p>
    <w:p w14:paraId="0487DD23" w14:textId="77777777" w:rsidR="00DF410E" w:rsidRDefault="00CE7F43">
      <w:r>
        <w:t>[NBN EN 16351, Structures en bois - Bois lamellé croisé - Exigences]</w:t>
      </w:r>
    </w:p>
    <w:p w14:paraId="6B3B3498" w14:textId="77777777" w:rsidR="00DF410E" w:rsidRDefault="00CE7F43">
      <w:pPr>
        <w:pStyle w:val="pheading"/>
      </w:pPr>
      <w:r>
        <w:t>MESURAGE</w:t>
      </w:r>
    </w:p>
    <w:p w14:paraId="595DA3DA" w14:textId="77777777" w:rsidR="00DF410E" w:rsidRDefault="00CE7F43">
      <w:pPr>
        <w:pStyle w:val="pheading"/>
      </w:pPr>
      <w:r>
        <w:t>- unité de mesure:</w:t>
      </w:r>
    </w:p>
    <w:p w14:paraId="7863CD1D" w14:textId="77777777" w:rsidR="00DF410E" w:rsidRDefault="00CE7F43">
      <w:r>
        <w:rPr>
          <w:rStyle w:val="optioncarChar"/>
        </w:rPr>
        <w:t>m² </w:t>
      </w:r>
      <w:r>
        <w:t xml:space="preserve">(par défaut) </w:t>
      </w:r>
      <w:r>
        <w:rPr>
          <w:rStyle w:val="optioncarChar"/>
        </w:rPr>
        <w:t>/ m³</w:t>
      </w:r>
    </w:p>
    <w:p w14:paraId="27C0D975" w14:textId="77777777" w:rsidR="00DF410E" w:rsidRDefault="00CE7F43">
      <w:r>
        <w:rPr>
          <w:b/>
          <w:i/>
        </w:rPr>
        <w:t>(Soit par défaut)</w:t>
      </w:r>
    </w:p>
    <w:p w14:paraId="2C63242A" w14:textId="77777777" w:rsidR="00DF410E" w:rsidRDefault="00CE7F43">
      <w:r>
        <w:rPr>
          <w:rStyle w:val="soitChar"/>
        </w:rPr>
        <w:t>1. m²</w:t>
      </w:r>
    </w:p>
    <w:p w14:paraId="726F1DBF" w14:textId="77777777" w:rsidR="00DF410E" w:rsidRDefault="00CE7F43">
      <w:r>
        <w:rPr>
          <w:b/>
          <w:i/>
        </w:rPr>
        <w:t>(Soit)</w:t>
      </w:r>
    </w:p>
    <w:p w14:paraId="2BD514F6" w14:textId="77777777" w:rsidR="00DF410E" w:rsidRDefault="00CE7F43">
      <w:r>
        <w:rPr>
          <w:rStyle w:val="soitChar"/>
        </w:rPr>
        <w:t>2. m³</w:t>
      </w:r>
    </w:p>
    <w:p w14:paraId="2891DC7D" w14:textId="77777777" w:rsidR="00DF410E" w:rsidRDefault="00CE7F43">
      <w:pPr>
        <w:pStyle w:val="pheading"/>
      </w:pPr>
      <w:r>
        <w:t>- code de mesurage:</w:t>
      </w:r>
    </w:p>
    <w:p w14:paraId="7EC466F2" w14:textId="77777777" w:rsidR="00DF410E" w:rsidRDefault="00CE7F43">
      <w:pPr>
        <w:jc w:val="both"/>
      </w:pPr>
      <w:r>
        <w:rPr>
          <w:rStyle w:val="optioncarChar"/>
        </w:rPr>
        <w:t xml:space="preserve">Surface nette </w:t>
      </w:r>
      <w:r>
        <w:t>(par défaut)</w:t>
      </w:r>
      <w:r>
        <w:rPr>
          <w:rStyle w:val="optioncarChar"/>
        </w:rPr>
        <w:t xml:space="preserve"> / Volume net</w:t>
      </w:r>
    </w:p>
    <w:p w14:paraId="4FAE5351" w14:textId="77777777" w:rsidR="00DF410E" w:rsidRDefault="00CE7F43">
      <w:pPr>
        <w:jc w:val="both"/>
      </w:pPr>
      <w:r>
        <w:rPr>
          <w:b/>
          <w:i/>
        </w:rPr>
        <w:t>(Soit par défaut)</w:t>
      </w:r>
    </w:p>
    <w:p w14:paraId="6DBF1893" w14:textId="77777777" w:rsidR="00DF410E" w:rsidRDefault="00CE7F43">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571EAA8C" w14:textId="77777777" w:rsidR="00DF410E" w:rsidRDefault="00CE7F43">
      <w:pPr>
        <w:jc w:val="both"/>
      </w:pPr>
      <w:r>
        <w:rPr>
          <w:b/>
          <w:i/>
        </w:rPr>
        <w:t>(Soit)</w:t>
      </w:r>
    </w:p>
    <w:p w14:paraId="4E81B378" w14:textId="77777777" w:rsidR="00DF410E" w:rsidRDefault="00CE7F43">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60CEF109" w14:textId="77777777" w:rsidR="00DF410E" w:rsidRDefault="00CE7F43">
      <w:pPr>
        <w:pStyle w:val="pheading"/>
      </w:pPr>
      <w:r>
        <w:t>- nature du marché:</w:t>
      </w:r>
    </w:p>
    <w:p w14:paraId="7E01DC6E" w14:textId="77777777" w:rsidR="00DF410E" w:rsidRDefault="00CE7F43">
      <w:r>
        <w:t>QF</w:t>
      </w:r>
    </w:p>
    <w:p w14:paraId="287252F6" w14:textId="77777777" w:rsidR="00DF410E" w:rsidRDefault="00CE7F43">
      <w:pPr>
        <w:pStyle w:val="Author-eSectionHeading6"/>
      </w:pPr>
      <w:bookmarkStart w:id="1623" w:name="_Toc178838716"/>
      <w:r>
        <w:t>24.14.1c Planchers massifs en CLT chevillés CCTB 01.11</w:t>
      </w:r>
      <w:bookmarkEnd w:id="1623"/>
    </w:p>
    <w:p w14:paraId="44E56987" w14:textId="77777777" w:rsidR="00DF410E" w:rsidRDefault="00CE7F43">
      <w:pPr>
        <w:pStyle w:val="pheading"/>
      </w:pPr>
      <w:r>
        <w:t>DESCRIPTION</w:t>
      </w:r>
    </w:p>
    <w:p w14:paraId="300E48CB" w14:textId="77777777" w:rsidR="00DF410E" w:rsidRDefault="00CE7F43">
      <w:pPr>
        <w:pStyle w:val="pheading"/>
      </w:pPr>
      <w:r>
        <w:t>- Définition / Comprend</w:t>
      </w:r>
    </w:p>
    <w:p w14:paraId="2F0B6B0A" w14:textId="77777777" w:rsidR="00DF410E" w:rsidRDefault="00CE7F43">
      <w:pPr>
        <w:jc w:val="both"/>
      </w:pPr>
      <w:r>
        <w:t>Il s’agit de la fourniture et la pose de tous les éléments constitués de panneaux lamellés croisés chevillés en bois ou à base de bois constituant les systèmes de construction CLT portants et non portants y compris toutes les pièces qui en font intrinsèquement partie (notamment les dispositifs d’assemblage).</w:t>
      </w:r>
    </w:p>
    <w:p w14:paraId="6416298F" w14:textId="77777777" w:rsidR="00DF410E" w:rsidRDefault="00CE7F43">
      <w:pPr>
        <w:jc w:val="both"/>
      </w:pPr>
      <w:r>
        <w:t xml:space="preserve"> Les panneaux CLT chevillés ne contiennent pas de colle. Les panneaux CLT chevillés collés sont couverts par l’article </w:t>
      </w:r>
      <w:hyperlink w:anchor="588" w:history="1">
        <w:r>
          <w:t>24.14.1b Planchers massifs en CLT cloués collés</w:t>
        </w:r>
      </w:hyperlink>
      <w:r>
        <w:t>.</w:t>
      </w:r>
    </w:p>
    <w:p w14:paraId="4145455D" w14:textId="77777777" w:rsidR="00DF410E" w:rsidRDefault="00CE7F43">
      <w:pPr>
        <w:pStyle w:val="pheading"/>
      </w:pPr>
      <w:r>
        <w:t>- Localisation</w:t>
      </w:r>
    </w:p>
    <w:p w14:paraId="1982E8A3" w14:textId="77777777" w:rsidR="00DF410E" w:rsidRDefault="00CE7F43">
      <w:r>
        <w:t xml:space="preserve">Localisation des travaux : </w:t>
      </w:r>
      <w:r>
        <w:rPr>
          <w:rStyle w:val="optioncarChar"/>
        </w:rPr>
        <w:t>***</w:t>
      </w:r>
      <w:r>
        <w:t>.</w:t>
      </w:r>
    </w:p>
    <w:p w14:paraId="4E23859D" w14:textId="77777777" w:rsidR="00DF410E" w:rsidRDefault="00CE7F43">
      <w:r>
        <w:t>Voir plans et métrés détaillés.</w:t>
      </w:r>
    </w:p>
    <w:p w14:paraId="43C9AE0E" w14:textId="77777777" w:rsidR="00DF410E" w:rsidRDefault="00CE7F43">
      <w:pPr>
        <w:pStyle w:val="pheading"/>
      </w:pPr>
      <w:r>
        <w:t>MATÉRIAUX</w:t>
      </w:r>
    </w:p>
    <w:p w14:paraId="2B2716A5" w14:textId="77777777" w:rsidR="00DF410E" w:rsidRDefault="00CE7F43">
      <w:pPr>
        <w:pStyle w:val="pheading"/>
      </w:pPr>
      <w:r>
        <w:t>- Caractéristiques générales</w:t>
      </w:r>
    </w:p>
    <w:p w14:paraId="159C7D54" w14:textId="77777777" w:rsidR="00DF410E" w:rsidRDefault="00CE7F43">
      <w:pPr>
        <w:jc w:val="both"/>
      </w:pPr>
      <w:r>
        <w:t xml:space="preserve">Épaisseur totale du panneau CLT  chevillé : </w:t>
      </w:r>
      <w:r>
        <w:rPr>
          <w:rStyle w:val="optioncarChar"/>
        </w:rPr>
        <w:t>***</w:t>
      </w:r>
      <w:r>
        <w:t xml:space="preserve"> mm.</w:t>
      </w:r>
    </w:p>
    <w:p w14:paraId="2F80BAA3" w14:textId="77777777" w:rsidR="00DF410E" w:rsidRDefault="00CE7F43">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r>
        <w:t xml:space="preserve"> .</w:t>
      </w:r>
    </w:p>
    <w:p w14:paraId="7884BEC0" w14:textId="77777777" w:rsidR="00DF410E" w:rsidRDefault="00CE7F43">
      <w:pPr>
        <w:jc w:val="both"/>
      </w:pPr>
      <w:r>
        <w:t xml:space="preserve">Classe de résistance : </w:t>
      </w:r>
      <w:r>
        <w:rPr>
          <w:rStyle w:val="optioncarChar"/>
        </w:rPr>
        <w:t xml:space="preserve">C18 </w:t>
      </w:r>
      <w:r>
        <w:t>(par défaut) </w:t>
      </w:r>
      <w:r>
        <w:rPr>
          <w:rStyle w:val="optioncarChar"/>
        </w:rPr>
        <w:t>/ D18 / C24 / D24 / C30 / D30 / ***</w:t>
      </w:r>
    </w:p>
    <w:p w14:paraId="1796CD27" w14:textId="77777777" w:rsidR="00DF410E" w:rsidRDefault="00CE7F43">
      <w:pPr>
        <w:jc w:val="both"/>
      </w:pPr>
      <w:r>
        <w:t xml:space="preserve">Les panneaux sont composés de </w:t>
      </w:r>
      <w:r>
        <w:rPr>
          <w:rStyle w:val="optioncarChar"/>
        </w:rPr>
        <w:t>3 / 5</w:t>
      </w:r>
      <w:r>
        <w:t xml:space="preserve"> (par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14:paraId="0F491F52" w14:textId="77777777" w:rsidR="00DF410E" w:rsidRDefault="00CE7F43">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w:t>
      </w:r>
      <w:r>
        <w:rPr>
          <w:rStyle w:val="optioncarChar"/>
        </w:rPr>
        <w:t xml:space="preserve">22-40-22 / 30-30-30 / 30-40-30 </w:t>
      </w:r>
      <w:r>
        <w:t>(par défaut)</w:t>
      </w:r>
      <w:r>
        <w:rPr>
          <w:rStyle w:val="optioncarChar"/>
        </w:rPr>
        <w:t xml:space="preserve"> / 40-40-40 / 22-30-22-30 / 40-22-22-22-40 / ***</w:t>
      </w:r>
      <w:r>
        <w:t xml:space="preserve"> mm.</w:t>
      </w:r>
    </w:p>
    <w:p w14:paraId="03435194" w14:textId="77777777" w:rsidR="00DF410E" w:rsidRDefault="00CE7F43">
      <w:pPr>
        <w:jc w:val="both"/>
      </w:pPr>
      <w:r>
        <w:t xml:space="preserve">Les lames </w:t>
      </w:r>
      <w:r>
        <w:rPr>
          <w:rStyle w:val="optioncarChar"/>
        </w:rPr>
        <w:t xml:space="preserve">ne sont pas </w:t>
      </w:r>
      <w:r>
        <w:t xml:space="preserve">(par défaut) </w:t>
      </w:r>
      <w:r>
        <w:rPr>
          <w:rStyle w:val="optioncarChar"/>
        </w:rPr>
        <w:t>/ sont munies</w:t>
      </w:r>
      <w:r>
        <w:t xml:space="preserve"> de fente (rainures) de soulagement.</w:t>
      </w:r>
    </w:p>
    <w:p w14:paraId="489D4480" w14:textId="77777777" w:rsidR="00DF410E" w:rsidRDefault="00CE7F43">
      <w:pPr>
        <w:jc w:val="both"/>
      </w:pPr>
      <w:r>
        <w:t xml:space="preserve">Les chevilles ont une tête </w:t>
      </w:r>
      <w:r>
        <w:rPr>
          <w:rStyle w:val="optioncarChar"/>
        </w:rPr>
        <w:t>ronde</w:t>
      </w:r>
      <w:r>
        <w:t xml:space="preserve"> (par défaut)</w:t>
      </w:r>
      <w:r>
        <w:rPr>
          <w:rStyle w:val="optioncarChar"/>
        </w:rPr>
        <w:t xml:space="preserve"> / carrée / octogonale / ***.</w:t>
      </w:r>
    </w:p>
    <w:p w14:paraId="5459C302" w14:textId="77777777" w:rsidR="00DF410E" w:rsidRDefault="00CE7F43">
      <w:pPr>
        <w:jc w:val="both"/>
      </w:pPr>
      <w:r>
        <w:t xml:space="preserve">La section est de </w:t>
      </w:r>
      <w:r>
        <w:rPr>
          <w:rStyle w:val="optioncarChar"/>
        </w:rPr>
        <w:t>diamètre 18 mm</w:t>
      </w:r>
      <w:r>
        <w:t xml:space="preserve"> (par défaut)</w:t>
      </w:r>
      <w:r>
        <w:rPr>
          <w:rStyle w:val="optioncarChar"/>
        </w:rPr>
        <w:t xml:space="preserve"> / 20 mm de côté / ***</w:t>
      </w:r>
      <w:r>
        <w:t>.</w:t>
      </w:r>
    </w:p>
    <w:p w14:paraId="129B12C6" w14:textId="77777777" w:rsidR="00DF410E" w:rsidRDefault="00CE7F43">
      <w:pPr>
        <w:jc w:val="both"/>
      </w:pPr>
      <w:r>
        <w:t>Les panneaux CLT chevillés sont assemblés lorsque les chevilles ont un taux d’humidité du bois inférieure à 6% .</w:t>
      </w:r>
    </w:p>
    <w:p w14:paraId="622BF0BF" w14:textId="77777777" w:rsidR="00DF410E" w:rsidRDefault="00CE7F43">
      <w:pPr>
        <w:jc w:val="both"/>
      </w:pPr>
      <w:r>
        <w:t xml:space="preserve">La réaction au feu est de classe </w:t>
      </w:r>
      <w:r>
        <w:rPr>
          <w:rStyle w:val="optioncarChar"/>
        </w:rPr>
        <w:t>D-s2, d0</w:t>
      </w:r>
      <w:r>
        <w:t xml:space="preserve"> (par défaut) </w:t>
      </w:r>
      <w:r>
        <w:rPr>
          <w:rStyle w:val="optioncarChar"/>
        </w:rPr>
        <w:t>/ ***.</w:t>
      </w:r>
    </w:p>
    <w:p w14:paraId="4ABFBFC7" w14:textId="77777777" w:rsidR="00DF410E" w:rsidRDefault="00CE7F43">
      <w:pPr>
        <w:jc w:val="both"/>
      </w:pPr>
      <w:r>
        <w:t xml:space="preserve">La résistance au feu déclarée de la paroi: </w:t>
      </w:r>
      <w:r>
        <w:rPr>
          <w:rStyle w:val="optioncarChar"/>
        </w:rPr>
        <w:t xml:space="preserve">pas d’exigences </w:t>
      </w:r>
      <w:r>
        <w:t>(par défaut)</w:t>
      </w:r>
      <w:r>
        <w:rPr>
          <w:rStyle w:val="optioncarChar"/>
        </w:rPr>
        <w:t xml:space="preserve"> REI 30 / EI30 / REI 60 / EI 60 / ***.</w:t>
      </w:r>
    </w:p>
    <w:p w14:paraId="392D20D1" w14:textId="77777777" w:rsidR="00DF410E" w:rsidRDefault="00CE7F43">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1350BE81" w14:textId="77777777" w:rsidR="00DF410E" w:rsidRDefault="00CE7F43">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1BA926C5" w14:textId="77777777" w:rsidR="00DF410E" w:rsidRDefault="00CE7F43">
      <w:pPr>
        <w:jc w:val="both"/>
      </w:pPr>
      <w:r>
        <w:t>Le coefficient de résistance à la diffusion de vapeur d’eau – valeur μ pour un taux d’humidité du bois de 11 % (selon [NBN EN 12086]): </w:t>
      </w:r>
      <w:r>
        <w:rPr>
          <w:rStyle w:val="optioncarChar"/>
        </w:rPr>
        <w:t xml:space="preserve">≥ 50 </w:t>
      </w:r>
      <w:r>
        <w:t>(par défaut)</w:t>
      </w:r>
      <w:r>
        <w:rPr>
          <w:rStyle w:val="optioncarChar"/>
        </w:rPr>
        <w:t xml:space="preserve"> / ≥ 30  / ≤ 100 / ***.</w:t>
      </w:r>
    </w:p>
    <w:p w14:paraId="4341071E" w14:textId="77777777" w:rsidR="00DF410E" w:rsidRDefault="00CE7F43">
      <w:pPr>
        <w:jc w:val="both"/>
      </w:pPr>
      <w:r>
        <w:t xml:space="preserve">La durabilité des panneaux en fonction de leur classe d’emploi, est assurée par la mesure suivante : </w:t>
      </w:r>
      <w:r>
        <w:rPr>
          <w:rStyle w:val="optioncarChar"/>
        </w:rPr>
        <w:t xml:space="preserve">traitement A1 </w:t>
      </w:r>
      <w:r>
        <w:t>(par défaut)</w:t>
      </w:r>
      <w:r>
        <w:rPr>
          <w:rStyle w:val="optioncarChar"/>
        </w:rPr>
        <w:t xml:space="preserve"> / traitement A2.2 / bois modifié thermiquement / bois hors aubier / ***</w:t>
      </w:r>
    </w:p>
    <w:p w14:paraId="30BAE28A" w14:textId="77777777" w:rsidR="00DF410E" w:rsidRDefault="00CE7F43">
      <w:pPr>
        <w:jc w:val="both"/>
      </w:pPr>
      <w:r>
        <w:t xml:space="preserve">Le nombre de fixation est de min </w:t>
      </w:r>
      <w:r>
        <w:rPr>
          <w:rStyle w:val="optioncarChar"/>
        </w:rPr>
        <w:t xml:space="preserve">60 </w:t>
      </w:r>
      <w:r>
        <w:t>(par défaut)</w:t>
      </w:r>
      <w:r>
        <w:rPr>
          <w:rStyle w:val="optioncarChar"/>
        </w:rPr>
        <w:t xml:space="preserve"> / ***</w:t>
      </w:r>
      <w:r>
        <w:t xml:space="preserve"> chevilles par m².</w:t>
      </w:r>
    </w:p>
    <w:p w14:paraId="0C919D68" w14:textId="77777777" w:rsidR="00DF410E" w:rsidRDefault="00CE7F43">
      <w:pPr>
        <w:jc w:val="both"/>
      </w:pPr>
      <w:r>
        <w:t>En l’absence de méthode de calcul de stabilité harmonisée sur ce produit, les performances mécaniques sont déterminées par essais pour répondre aux exigences déterminées dans l’étude de stabilité.</w:t>
      </w:r>
    </w:p>
    <w:p w14:paraId="49504704" w14:textId="77777777" w:rsidR="00DF410E" w:rsidRDefault="00CE7F43">
      <w:pPr>
        <w:jc w:val="both"/>
      </w:pPr>
      <w:r>
        <w:t>Pour une application de plancher, le rapport comprend les essais de flexion selon les deux directions du plan du panneau, de cisaillement ainsi que les modules de glissement.</w:t>
      </w:r>
    </w:p>
    <w:p w14:paraId="27C1530D" w14:textId="77777777" w:rsidR="00DF410E" w:rsidRDefault="00CE7F43">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3E9BD118" w14:textId="77777777" w:rsidR="00DF410E" w:rsidRDefault="00CE7F43">
      <w:pPr>
        <w:jc w:val="both"/>
      </w:pPr>
      <w:r>
        <w:t xml:space="preserve">Un jeu de </w:t>
      </w:r>
      <w:r>
        <w:rPr>
          <w:rStyle w:val="optioncarChar"/>
        </w:rPr>
        <w:t xml:space="preserve">0 </w:t>
      </w:r>
      <w:r>
        <w:t>(par défaut)</w:t>
      </w:r>
      <w:r>
        <w:rPr>
          <w:rStyle w:val="optioncarChar"/>
        </w:rPr>
        <w:t xml:space="preserve"> / 2 / 5 / ***</w:t>
      </w:r>
      <w:r>
        <w:t xml:space="preserve"> mm est réservé entre les lamelles</w:t>
      </w:r>
    </w:p>
    <w:p w14:paraId="7AB16879" w14:textId="77777777" w:rsidR="00DF410E" w:rsidRDefault="00CE7F43">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0301D33C" w14:textId="77777777" w:rsidR="00DF410E" w:rsidRDefault="00CE7F43">
      <w:pPr>
        <w:pStyle w:val="pheading"/>
      </w:pPr>
      <w:r>
        <w:t>- Finitions</w:t>
      </w:r>
    </w:p>
    <w:p w14:paraId="78116036" w14:textId="77777777" w:rsidR="00DF410E" w:rsidRDefault="00CE7F43">
      <w:pPr>
        <w:jc w:val="both"/>
      </w:pPr>
      <w:r>
        <w:t xml:space="preserve">Exigences d’aspect : </w:t>
      </w:r>
      <w:r>
        <w:rPr>
          <w:rStyle w:val="optioncarChar"/>
        </w:rPr>
        <w:t>non-visible / visible industriel / visible habitat sur 1 face</w:t>
      </w:r>
      <w:r>
        <w:t> </w:t>
      </w:r>
    </w:p>
    <w:p w14:paraId="4DA4F965" w14:textId="77777777" w:rsidR="00DF410E" w:rsidRDefault="00CE7F43">
      <w:pPr>
        <w:jc w:val="both"/>
      </w:pPr>
      <w:r>
        <w:t xml:space="preserve">Les panneaux </w:t>
      </w:r>
      <w:r>
        <w:rPr>
          <w:rStyle w:val="optioncarChar"/>
        </w:rPr>
        <w:t>sont / ne sont pas</w:t>
      </w:r>
      <w:r>
        <w:t xml:space="preserve"> (par défaut) munis de gaines (rainures) techniques et blochets intégrés non traversantes.</w:t>
      </w:r>
    </w:p>
    <w:p w14:paraId="4D007953" w14:textId="77777777" w:rsidR="00DF410E" w:rsidRDefault="00CE7F43">
      <w:pPr>
        <w:pStyle w:val="pheading"/>
      </w:pPr>
      <w:r>
        <w:t>- Prescriptions complémentaires</w:t>
      </w:r>
    </w:p>
    <w:p w14:paraId="263B32A1" w14:textId="77777777" w:rsidR="00DF410E" w:rsidRDefault="00CE7F43">
      <w:r>
        <w:rPr>
          <w:rStyle w:val="facultChar"/>
        </w:rPr>
        <w:t>Capacité thermique :</w:t>
      </w:r>
      <w:r>
        <w:rPr>
          <w:rStyle w:val="optioncarChar"/>
        </w:rPr>
        <w:t xml:space="preserve">supérieure à 2 </w:t>
      </w:r>
      <w:r>
        <w:t>(par défaut)</w:t>
      </w:r>
      <w:r>
        <w:rPr>
          <w:rStyle w:val="optioncarChar"/>
        </w:rPr>
        <w:t xml:space="preserve"> / ***</w:t>
      </w:r>
      <w:r>
        <w:rPr>
          <w:rStyle w:val="facultChar"/>
        </w:rPr>
        <w:t>kJ/kg.K</w:t>
      </w:r>
    </w:p>
    <w:p w14:paraId="48121D49" w14:textId="77777777" w:rsidR="00DF410E" w:rsidRDefault="00CE7F43">
      <w:pPr>
        <w:pStyle w:val="pheading"/>
      </w:pPr>
      <w:r>
        <w:t>EXÉCUTION / MISE EN ŒUVRE</w:t>
      </w:r>
    </w:p>
    <w:p w14:paraId="79FA4857" w14:textId="77777777" w:rsidR="00DF410E" w:rsidRDefault="00CE7F43">
      <w:pPr>
        <w:pStyle w:val="pheading"/>
      </w:pPr>
      <w:r>
        <w:t>- Prescriptions générales</w:t>
      </w:r>
    </w:p>
    <w:p w14:paraId="11B6351C" w14:textId="77777777" w:rsidR="00DF410E" w:rsidRDefault="00CE7F43">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16201E42" w14:textId="77777777" w:rsidR="00DF410E" w:rsidRDefault="00CE7F43">
      <w:pPr>
        <w:jc w:val="both"/>
      </w:pPr>
      <w:r>
        <w:t xml:space="preserve">L’étanchéité à l’air est assurée par </w:t>
      </w:r>
      <w:r>
        <w:rPr>
          <w:rStyle w:val="optioncarChar"/>
        </w:rPr>
        <w:t xml:space="preserve">membrane continue / par bandes d’étanchéité aux jonctions de panneaux </w:t>
      </w:r>
      <w:r>
        <w:t xml:space="preserve">(par défaut) </w:t>
      </w:r>
      <w:r>
        <w:rPr>
          <w:rStyle w:val="optioncarChar"/>
        </w:rPr>
        <w:t>/ par joints d’étanchéité dans l’épaisseur des panneaux</w:t>
      </w:r>
      <w:r>
        <w:t>.</w:t>
      </w:r>
    </w:p>
    <w:p w14:paraId="69358E75" w14:textId="77777777" w:rsidR="00DF410E" w:rsidRDefault="00CE7F43">
      <w:pPr>
        <w:jc w:val="both"/>
      </w:pPr>
      <w:r>
        <w:rPr>
          <w:b/>
          <w:i/>
        </w:rPr>
        <w:t>Assemblage Plancher sur Mur</w:t>
      </w:r>
    </w:p>
    <w:p w14:paraId="46A71F75" w14:textId="77777777" w:rsidR="00DF410E" w:rsidRDefault="00CE7F43">
      <w:pPr>
        <w:jc w:val="both"/>
      </w:pPr>
      <w:r>
        <w:t xml:space="preserve">L’angle entre deux panneaux CLT est assemblé </w:t>
      </w:r>
      <w:r>
        <w:rPr>
          <w:rStyle w:val="optioncarChar"/>
        </w:rPr>
        <w:t xml:space="preserve">par pose sur le mur porteur </w:t>
      </w:r>
      <w:r>
        <w:t>(par défaut)</w:t>
      </w:r>
      <w:r>
        <w:rPr>
          <w:rStyle w:val="optioncarChar"/>
        </w:rPr>
        <w:t xml:space="preserve"> / par dispositifs d’ancrage ponctuels sur le gros œuvre existant / par pose sur traverse portante appliquée sur parois / ***.</w:t>
      </w:r>
    </w:p>
    <w:p w14:paraId="146E9623" w14:textId="77777777" w:rsidR="00DF410E" w:rsidRDefault="00CE7F43">
      <w:pPr>
        <w:ind w:left="567"/>
        <w:jc w:val="both"/>
      </w:pPr>
      <w:r>
        <w:rPr>
          <w:b/>
          <w:i/>
        </w:rPr>
        <w:t>(Soit par défaut)</w:t>
      </w:r>
    </w:p>
    <w:p w14:paraId="71826CE4" w14:textId="77777777" w:rsidR="00DF410E" w:rsidRDefault="00CE7F43">
      <w:pPr>
        <w:ind w:left="567"/>
        <w:jc w:val="both"/>
      </w:pPr>
      <w:r>
        <w:rPr>
          <w:rStyle w:val="soitChar"/>
          <w:u w:val="single"/>
        </w:rPr>
        <w:t>Pose sur mur porteur</w:t>
      </w:r>
      <w:r>
        <w:rPr>
          <w:rStyle w:val="soitChar"/>
        </w:rPr>
        <w:t xml:space="preserve"> :  Après pose du plancher en CLT, l’assemblage est effectué </w:t>
      </w:r>
      <w:r>
        <w:rPr>
          <w:rStyle w:val="optioncarChar"/>
        </w:rPr>
        <w:t>par tire-fond et appliqué sur le pli central intérieur du panneau à assembler ou par fixations inclinées</w:t>
      </w:r>
      <w:r>
        <w:t xml:space="preserve"> (par défaut)</w:t>
      </w:r>
      <w:r>
        <w:rPr>
          <w:rStyle w:val="optioncarChar"/>
        </w:rPr>
        <w:t xml:space="preserve"> / plats métallique / ***</w:t>
      </w:r>
      <w:r>
        <w:rPr>
          <w:rStyle w:val="soitChar"/>
        </w:rPr>
        <w:t>. Le nombre de fixations et les sections répondent au dimensionnement selon la [NBN EN 1995 série].</w:t>
      </w:r>
    </w:p>
    <w:p w14:paraId="33985F2A" w14:textId="77777777" w:rsidR="00DF410E" w:rsidRDefault="00CE7F43">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77879D4E" w14:textId="77777777" w:rsidR="00DF410E" w:rsidRDefault="00CE7F43">
      <w:pPr>
        <w:ind w:left="567"/>
        <w:jc w:val="both"/>
      </w:pPr>
      <w:r>
        <w:t> </w:t>
      </w:r>
      <w:r>
        <w:rPr>
          <w:b/>
          <w:i/>
        </w:rPr>
        <w:t>(Soit)</w:t>
      </w:r>
    </w:p>
    <w:p w14:paraId="28AAAB61" w14:textId="77777777" w:rsidR="00DF410E" w:rsidRDefault="00CE7F43">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du bord du panneau. </w:t>
      </w:r>
    </w:p>
    <w:p w14:paraId="367D6D66" w14:textId="77777777" w:rsidR="00DF410E" w:rsidRDefault="00CE7F43">
      <w:pPr>
        <w:ind w:left="567"/>
        <w:jc w:val="both"/>
      </w:pPr>
      <w:r>
        <w:rPr>
          <w:rStyle w:val="soitChar"/>
        </w:rPr>
        <w:t xml:space="preserve">L’assemblage </w:t>
      </w:r>
      <w:r>
        <w:rPr>
          <w:rStyle w:val="optioncarChar"/>
        </w:rPr>
        <w:t xml:space="preserve">est </w:t>
      </w:r>
      <w:r>
        <w:t>(par défaut)</w:t>
      </w:r>
      <w:r>
        <w:rPr>
          <w:rStyle w:val="optioncarChar"/>
        </w:rPr>
        <w:t xml:space="preserve"> / n’est pas</w:t>
      </w:r>
      <w:r>
        <w:rPr>
          <w:rStyle w:val="soitChar"/>
        </w:rPr>
        <w:t xml:space="preserve"> réalisé via un produit résilient. Le choix du produit résilient est effectué sur base du calcul de  descente de charge suivant [NBN EN 1991 série].</w:t>
      </w:r>
    </w:p>
    <w:p w14:paraId="04DAAEA3" w14:textId="77777777" w:rsidR="00DF410E" w:rsidRDefault="00CE7F43">
      <w:pPr>
        <w:ind w:left="567"/>
        <w:jc w:val="both"/>
      </w:pPr>
      <w:r>
        <w:t> </w:t>
      </w:r>
      <w:r>
        <w:rPr>
          <w:b/>
          <w:i/>
        </w:rPr>
        <w:t>(Soit)</w:t>
      </w:r>
    </w:p>
    <w:p w14:paraId="546A48C1" w14:textId="77777777" w:rsidR="00DF410E" w:rsidRDefault="00CE7F43">
      <w:pPr>
        <w:ind w:left="567"/>
        <w:jc w:val="both"/>
      </w:pPr>
      <w:r>
        <w:rPr>
          <w:rStyle w:val="soitChar"/>
          <w:u w:val="single"/>
        </w:rPr>
        <w:t>Pose sur traverse</w:t>
      </w:r>
      <w:r>
        <w:rPr>
          <w:rStyle w:val="soitChar"/>
        </w:rPr>
        <w:t xml:space="preserve"> : La traverse est composée d’une poutre en </w:t>
      </w:r>
      <w:r>
        <w:rPr>
          <w:rStyle w:val="optioncarChar"/>
        </w:rPr>
        <w:t xml:space="preserve">bois </w:t>
      </w:r>
      <w:r>
        <w:t>(par défaut)</w:t>
      </w:r>
      <w:r>
        <w:rPr>
          <w:rStyle w:val="optioncarChar"/>
        </w:rPr>
        <w:t xml:space="preserve"> / acier / ***</w:t>
      </w:r>
      <w:r>
        <w:rPr>
          <w:rStyle w:val="soitChar"/>
        </w:rPr>
        <w:t xml:space="preserve">. 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rPr>
          <w:rStyle w:val="soitChar"/>
        </w:rPr>
        <w:t xml:space="preserve"> La poutre en bois est décrite dans l’article </w:t>
      </w:r>
      <w:hyperlink w:anchor="586" w:history="1">
        <w:r>
          <w:rPr>
            <w:rStyle w:val="soitChar"/>
          </w:rPr>
          <w:t>24.13.1a Poutres et barres en bois massif à section rectangulaire</w:t>
        </w:r>
      </w:hyperlink>
      <w:r>
        <w:rPr>
          <w:rStyle w:val="soitChar"/>
        </w:rPr>
        <w:t xml:space="preserve"> .  La poutre en acier est décrite dans le sous-titre </w:t>
      </w:r>
      <w:hyperlink w:anchor="587" w:history="1">
        <w:r>
          <w:rPr>
            <w:rStyle w:val="soitChar"/>
          </w:rPr>
          <w:t>23.11 Poutres métalliques</w:t>
        </w:r>
      </w:hyperlink>
      <w:r>
        <w:rPr>
          <w:rStyle w:val="soitChar"/>
        </w:rPr>
        <w:t>.</w:t>
      </w:r>
    </w:p>
    <w:p w14:paraId="0C75EE08" w14:textId="77777777" w:rsidR="00DF410E" w:rsidRDefault="00CE7F43">
      <w:pPr>
        <w:ind w:left="567"/>
        <w:jc w:val="both"/>
      </w:pPr>
      <w:r>
        <w:rPr>
          <w:rStyle w:val="soitChar"/>
        </w:rPr>
        <w:t xml:space="preserve">La 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14:paraId="23395B2F" w14:textId="77777777" w:rsidR="00DF410E" w:rsidRDefault="00CE7F43">
      <w:pPr>
        <w:ind w:left="567"/>
        <w:jc w:val="both"/>
      </w:pPr>
      <w:r>
        <w:rPr>
          <w:b/>
          <w:i/>
        </w:rPr>
        <w:t>(Soit)</w:t>
      </w:r>
    </w:p>
    <w:p w14:paraId="6A6BEF57" w14:textId="77777777" w:rsidR="00DF410E" w:rsidRDefault="00CE7F43">
      <w:pPr>
        <w:ind w:left="567"/>
        <w:jc w:val="both"/>
      </w:pPr>
      <w:r>
        <w:rPr>
          <w:rStyle w:val="optioncarChar"/>
        </w:rPr>
        <w:t>***</w:t>
      </w:r>
    </w:p>
    <w:p w14:paraId="49C9D191" w14:textId="77777777" w:rsidR="00DF410E" w:rsidRDefault="00CE7F43">
      <w:pPr>
        <w:jc w:val="both"/>
      </w:pPr>
      <w:r>
        <w:t> </w:t>
      </w:r>
    </w:p>
    <w:p w14:paraId="5E799645" w14:textId="77777777" w:rsidR="00DF410E" w:rsidRDefault="00CE7F43">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7986B2CC" w14:textId="77777777" w:rsidR="00DF410E" w:rsidRDefault="00CE7F43">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3F86453A" w14:textId="77777777" w:rsidR="00DF410E" w:rsidRDefault="00CE7F43">
      <w:pPr>
        <w:jc w:val="both"/>
      </w:pPr>
      <w:r>
        <w:t xml:space="preserve">Les dispositifs d’ancrages sont décrits dans les éléments du </w:t>
      </w:r>
      <w:hyperlink w:anchor="583" w:history="1">
        <w:r>
          <w:t>24.4 Assemblages</w:t>
        </w:r>
      </w:hyperlink>
      <w:r>
        <w:t>.</w:t>
      </w:r>
    </w:p>
    <w:p w14:paraId="1D1AAB7F" w14:textId="77777777" w:rsidR="00DF410E" w:rsidRDefault="00CE7F43">
      <w:pPr>
        <w:pStyle w:val="pheading"/>
      </w:pPr>
      <w:r>
        <w:t>DOCUMENTS DE RÉFÉRENCE COMPLÉMENTAIRES</w:t>
      </w:r>
    </w:p>
    <w:p w14:paraId="2331F06B" w14:textId="77777777" w:rsidR="00DF410E" w:rsidRDefault="00CE7F43">
      <w:pPr>
        <w:pStyle w:val="pheading"/>
      </w:pPr>
      <w:r>
        <w:t>- Matériau</w:t>
      </w:r>
    </w:p>
    <w:p w14:paraId="4DE10513" w14:textId="77777777" w:rsidR="00DF410E" w:rsidRDefault="00CE7F43">
      <w:r>
        <w:t>[NBN EN 408+A1, Structures en bois - Bois de structure et bois lamellé-collé - Détermination de certaines propriétés physiques et mécaniques] </w:t>
      </w:r>
    </w:p>
    <w:p w14:paraId="4C8C7953" w14:textId="77777777" w:rsidR="00DF410E" w:rsidRDefault="00CE7F43">
      <w:r>
        <w:t>[NBN EN 594, Structures en bois - Méthodes d'essai - Essai de raideur et résistance au contreventement des murs à ossature en bois]</w:t>
      </w:r>
    </w:p>
    <w:p w14:paraId="441753AC" w14:textId="77777777" w:rsidR="00DF410E" w:rsidRDefault="00CE7F43">
      <w:r>
        <w:t>[NBN EN 1991 série, Eurocode 1 : Actions sur les structures]</w:t>
      </w:r>
    </w:p>
    <w:p w14:paraId="4DF1C440" w14:textId="77777777" w:rsidR="00DF410E" w:rsidRDefault="00CE7F43">
      <w:r>
        <w:t>[NBN EN 1995 série, Eurocode 5: Conception et calcul des structures en bois]</w:t>
      </w:r>
    </w:p>
    <w:p w14:paraId="4F02B220"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35785E87" w14:textId="77777777" w:rsidR="00DF410E" w:rsidRDefault="00CE7F43">
      <w:r>
        <w:t>[NBN EN 13556, Bois ronds et bois sciés - Nomenclature des bois utilisés en Europe]</w:t>
      </w:r>
    </w:p>
    <w:p w14:paraId="65CF1FE8" w14:textId="77777777" w:rsidR="00DF410E" w:rsidRDefault="00CE7F43">
      <w:r>
        <w:t>[NBN EN 14358, Structures en bois - Détermination et vérification des valeurs caractéristiques]</w:t>
      </w:r>
    </w:p>
    <w:p w14:paraId="5607F054" w14:textId="77777777" w:rsidR="00DF410E" w:rsidRDefault="00CE7F43">
      <w:r>
        <w:t>[NBN EN 16351, Structures en bois - Bois lamellé croisé - Exigences]</w:t>
      </w:r>
    </w:p>
    <w:p w14:paraId="099BB9AF" w14:textId="77777777" w:rsidR="00DF410E" w:rsidRDefault="00CE7F43">
      <w:pPr>
        <w:pStyle w:val="pheading"/>
      </w:pPr>
      <w:r>
        <w:t>MESURAGE</w:t>
      </w:r>
    </w:p>
    <w:p w14:paraId="362F2905" w14:textId="77777777" w:rsidR="00DF410E" w:rsidRDefault="00CE7F43">
      <w:pPr>
        <w:pStyle w:val="pheading"/>
      </w:pPr>
      <w:r>
        <w:t>- unité de mesure:</w:t>
      </w:r>
    </w:p>
    <w:p w14:paraId="4A45725E" w14:textId="77777777" w:rsidR="00DF410E" w:rsidRDefault="00CE7F43">
      <w:r>
        <w:rPr>
          <w:rStyle w:val="optioncarChar"/>
        </w:rPr>
        <w:t>m² </w:t>
      </w:r>
      <w:r>
        <w:t xml:space="preserve">(par défaut) </w:t>
      </w:r>
      <w:r>
        <w:rPr>
          <w:rStyle w:val="optioncarChar"/>
        </w:rPr>
        <w:t>/ m³</w:t>
      </w:r>
    </w:p>
    <w:p w14:paraId="654159E9" w14:textId="77777777" w:rsidR="00DF410E" w:rsidRDefault="00CE7F43">
      <w:r>
        <w:rPr>
          <w:b/>
          <w:i/>
        </w:rPr>
        <w:t>(Soit par défaut)</w:t>
      </w:r>
    </w:p>
    <w:p w14:paraId="172330B7" w14:textId="77777777" w:rsidR="00DF410E" w:rsidRDefault="00CE7F43">
      <w:r>
        <w:rPr>
          <w:rStyle w:val="soitChar"/>
        </w:rPr>
        <w:t>1. m²</w:t>
      </w:r>
    </w:p>
    <w:p w14:paraId="3C1093A1" w14:textId="77777777" w:rsidR="00DF410E" w:rsidRDefault="00CE7F43">
      <w:r>
        <w:rPr>
          <w:b/>
          <w:i/>
        </w:rPr>
        <w:t>(Soit)</w:t>
      </w:r>
    </w:p>
    <w:p w14:paraId="62FC5556" w14:textId="77777777" w:rsidR="00DF410E" w:rsidRDefault="00CE7F43">
      <w:r>
        <w:rPr>
          <w:rStyle w:val="soitChar"/>
        </w:rPr>
        <w:t>2. m³</w:t>
      </w:r>
    </w:p>
    <w:p w14:paraId="0562B9E2" w14:textId="77777777" w:rsidR="00DF410E" w:rsidRDefault="00CE7F43">
      <w:pPr>
        <w:pStyle w:val="pheading"/>
      </w:pPr>
      <w:r>
        <w:t>- code de mesurage:</w:t>
      </w:r>
    </w:p>
    <w:p w14:paraId="3781CD52" w14:textId="77777777" w:rsidR="00DF410E" w:rsidRDefault="00CE7F43">
      <w:pPr>
        <w:jc w:val="both"/>
      </w:pPr>
      <w:r>
        <w:rPr>
          <w:rStyle w:val="optioncarChar"/>
        </w:rPr>
        <w:t xml:space="preserve">Surface nette </w:t>
      </w:r>
      <w:r>
        <w:t xml:space="preserve">(par défaut) </w:t>
      </w:r>
      <w:r>
        <w:rPr>
          <w:rStyle w:val="optioncarChar"/>
        </w:rPr>
        <w:t>/ Volume net</w:t>
      </w:r>
    </w:p>
    <w:p w14:paraId="09AEA1CD" w14:textId="77777777" w:rsidR="00DF410E" w:rsidRDefault="00CE7F43">
      <w:pPr>
        <w:jc w:val="both"/>
      </w:pPr>
      <w:r>
        <w:rPr>
          <w:b/>
          <w:i/>
        </w:rPr>
        <w:t>(Soit par défaut)</w:t>
      </w:r>
    </w:p>
    <w:p w14:paraId="0B81F53D" w14:textId="77777777" w:rsidR="00DF410E" w:rsidRDefault="00CE7F43">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13A9EEBE" w14:textId="77777777" w:rsidR="00DF410E" w:rsidRDefault="00CE7F43">
      <w:pPr>
        <w:jc w:val="both"/>
      </w:pPr>
      <w:r>
        <w:rPr>
          <w:b/>
          <w:i/>
        </w:rPr>
        <w:t>(Soit)</w:t>
      </w:r>
    </w:p>
    <w:p w14:paraId="7938B0BB" w14:textId="77777777" w:rsidR="00DF410E" w:rsidRDefault="00CE7F43">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0EE1019A" w14:textId="77777777" w:rsidR="00DF410E" w:rsidRDefault="00DF410E"/>
    <w:p w14:paraId="69073A99" w14:textId="77777777" w:rsidR="00DF410E" w:rsidRDefault="00CE7F43">
      <w:pPr>
        <w:pStyle w:val="pheading"/>
      </w:pPr>
      <w:r>
        <w:t>- nature du marché:</w:t>
      </w:r>
    </w:p>
    <w:p w14:paraId="555FEEA0" w14:textId="77777777" w:rsidR="00DF410E" w:rsidRDefault="00CE7F43">
      <w:r>
        <w:t>QF</w:t>
      </w:r>
    </w:p>
    <w:p w14:paraId="5C52514E" w14:textId="77777777" w:rsidR="00DF410E" w:rsidRDefault="00CE7F43">
      <w:pPr>
        <w:pStyle w:val="Author-eSectionHeading5"/>
      </w:pPr>
      <w:bookmarkStart w:id="1624" w:name="_Toc178838717"/>
      <w:r>
        <w:t>24.14.2 Planchers en LVL CCTB 01.10</w:t>
      </w:r>
      <w:bookmarkEnd w:id="1624"/>
    </w:p>
    <w:p w14:paraId="5D060DBA" w14:textId="77777777" w:rsidR="00DF410E" w:rsidRDefault="00CE7F43">
      <w:pPr>
        <w:pStyle w:val="Author-eSectionHeading6"/>
      </w:pPr>
      <w:bookmarkStart w:id="1625" w:name="_Toc178838718"/>
      <w:r>
        <w:t>24.14.2a Planchers en LVL CCTB 01.11</w:t>
      </w:r>
      <w:bookmarkEnd w:id="1625"/>
    </w:p>
    <w:p w14:paraId="4C498418" w14:textId="77777777" w:rsidR="00DF410E" w:rsidRDefault="00CE7F43">
      <w:pPr>
        <w:pStyle w:val="pheading"/>
      </w:pPr>
      <w:r>
        <w:t>DESCRIPTION</w:t>
      </w:r>
    </w:p>
    <w:p w14:paraId="3B5D594C" w14:textId="77777777" w:rsidR="00DF410E" w:rsidRDefault="00CE7F43">
      <w:pPr>
        <w:pStyle w:val="pheading"/>
      </w:pPr>
      <w:r>
        <w:t>- Définition / Comprend</w:t>
      </w:r>
    </w:p>
    <w:p w14:paraId="07378484" w14:textId="77777777" w:rsidR="00DF410E" w:rsidRDefault="00CE7F43">
      <w:r>
        <w:t>Il s'agit de panneaux monolithiques fait de LVL et utilisés en plancher.</w:t>
      </w:r>
    </w:p>
    <w:p w14:paraId="77E36F80" w14:textId="77777777" w:rsidR="00DF410E" w:rsidRDefault="00CE7F43">
      <w:r>
        <w:t xml:space="preserve">Le matériau LVL est défini dans au </w:t>
      </w:r>
      <w:hyperlink w:anchor="89" w:history="1">
        <w:r>
          <w:t>24 Superstructures en bois</w:t>
        </w:r>
      </w:hyperlink>
    </w:p>
    <w:p w14:paraId="6B398080" w14:textId="77777777" w:rsidR="00DF410E" w:rsidRDefault="00CE7F43">
      <w:pPr>
        <w:pStyle w:val="pheading"/>
      </w:pPr>
      <w:r>
        <w:t>MATÉRIAUX</w:t>
      </w:r>
    </w:p>
    <w:p w14:paraId="1803AA36" w14:textId="77777777" w:rsidR="00DF410E" w:rsidRDefault="00CE7F43">
      <w:pPr>
        <w:pStyle w:val="pheading"/>
      </w:pPr>
      <w:r>
        <w:t>- Caractéristiques générales</w:t>
      </w:r>
    </w:p>
    <w:p w14:paraId="5FA588E5" w14:textId="77777777" w:rsidR="00DF410E" w:rsidRDefault="00CE7F43">
      <w:r>
        <w:t xml:space="preserve">Classe d’emploi : </w:t>
      </w:r>
      <w:r>
        <w:rPr>
          <w:rStyle w:val="optioncarChar"/>
        </w:rPr>
        <w:t xml:space="preserve">1 </w:t>
      </w:r>
      <w:r>
        <w:t xml:space="preserve">(par défaut) </w:t>
      </w:r>
      <w:r>
        <w:rPr>
          <w:rStyle w:val="optioncarChar"/>
        </w:rPr>
        <w:t>/ 2 / ***</w:t>
      </w:r>
    </w:p>
    <w:p w14:paraId="6C81AAA1" w14:textId="77777777" w:rsidR="00DF410E" w:rsidRDefault="00CE7F43">
      <w:r>
        <w:t>Teneur en humidité cible maximale des panneaux de LVL :</w:t>
      </w:r>
      <w:r>
        <w:rPr>
          <w:rStyle w:val="optioncarChar"/>
        </w:rPr>
        <w:t xml:space="preserve"> 12 % </w:t>
      </w:r>
      <w:r>
        <w:t>(par défaut)</w:t>
      </w:r>
      <w:r>
        <w:rPr>
          <w:rStyle w:val="optioncarChar"/>
        </w:rPr>
        <w:t xml:space="preserve"> / ***</w:t>
      </w:r>
    </w:p>
    <w:p w14:paraId="457BE2D7" w14:textId="77777777" w:rsidR="00DF410E" w:rsidRDefault="00CE7F43">
      <w:r>
        <w:t xml:space="preserve">Durabilité des LVL : </w:t>
      </w:r>
      <w:r>
        <w:rPr>
          <w:rStyle w:val="optioncarChar"/>
        </w:rPr>
        <w:t>LVL/1</w:t>
      </w:r>
      <w:r>
        <w:t xml:space="preserve"> (par défaut) </w:t>
      </w:r>
      <w:r>
        <w:rPr>
          <w:rStyle w:val="optioncarChar"/>
        </w:rPr>
        <w:t>/ LVL/2 / LVL/3</w:t>
      </w:r>
    </w:p>
    <w:p w14:paraId="3CBA31CA" w14:textId="77777777" w:rsidR="00DF410E" w:rsidRDefault="00CE7F43">
      <w:r>
        <w:t xml:space="preserve">Essence des bois : </w:t>
      </w:r>
      <w:r>
        <w:rPr>
          <w:rStyle w:val="optioncarChar"/>
        </w:rPr>
        <w:t>résineuse</w:t>
      </w:r>
      <w:r>
        <w:t xml:space="preserve"> (par défaut)</w:t>
      </w:r>
      <w:r>
        <w:rPr>
          <w:rStyle w:val="optioncarChar"/>
        </w:rPr>
        <w:t xml:space="preserve"> / feuillue / épicéa / douglas / bouleau / peuplier / ***</w:t>
      </w:r>
    </w:p>
    <w:p w14:paraId="4E14EA7F" w14:textId="77777777" w:rsidR="00DF410E" w:rsidRDefault="00CE7F43">
      <w:r>
        <w:t xml:space="preserve">Type de LVL : </w:t>
      </w:r>
      <w:r>
        <w:rPr>
          <w:rStyle w:val="optioncarChar"/>
        </w:rPr>
        <w:t xml:space="preserve">LVL Q </w:t>
      </w:r>
      <w:r>
        <w:t xml:space="preserve">(par défaut) </w:t>
      </w:r>
      <w:r>
        <w:rPr>
          <w:rStyle w:val="optioncarChar"/>
        </w:rPr>
        <w:t>/ LVL S </w:t>
      </w:r>
    </w:p>
    <w:p w14:paraId="1374FB5B" w14:textId="77777777" w:rsidR="00DF410E" w:rsidRDefault="00CE7F43">
      <w:r>
        <w:t xml:space="preserve">Épaisseur du panneau : </w:t>
      </w:r>
      <w:r>
        <w:rPr>
          <w:rStyle w:val="optioncarChar"/>
        </w:rPr>
        <w:t>25</w:t>
      </w:r>
      <w:r>
        <w:t xml:space="preserve"> (par défaut)</w:t>
      </w:r>
      <w:r>
        <w:rPr>
          <w:rStyle w:val="optioncarChar"/>
        </w:rPr>
        <w:t> / 30 / 40 / 50 / 60 / 75 / ***</w:t>
      </w:r>
    </w:p>
    <w:p w14:paraId="09DB9725" w14:textId="77777777" w:rsidR="00DF410E" w:rsidRDefault="00CE7F43">
      <w:r>
        <w:t xml:space="preserve">Surface des planchers : </w:t>
      </w:r>
      <w:r>
        <w:rPr>
          <w:rStyle w:val="optioncarChar"/>
        </w:rPr>
        <w:t xml:space="preserve">voir plan </w:t>
      </w:r>
      <w:r>
        <w:t xml:space="preserve">(par défaut) </w:t>
      </w:r>
      <w:r>
        <w:rPr>
          <w:rStyle w:val="optioncarChar"/>
        </w:rPr>
        <w:t>/ ***</w:t>
      </w:r>
    </w:p>
    <w:p w14:paraId="48422C0D" w14:textId="77777777" w:rsidR="00DF410E" w:rsidRDefault="00CE7F43">
      <w:r>
        <w:t>Caractéristiques mécaniques :</w:t>
      </w:r>
    </w:p>
    <w:p w14:paraId="2DA0BEBF" w14:textId="77777777" w:rsidR="00DF410E" w:rsidRDefault="00CE7F43">
      <w:pPr>
        <w:pStyle w:val="Author-eListParagraph"/>
        <w:numPr>
          <w:ilvl w:val="0"/>
          <w:numId w:val="874"/>
        </w:numPr>
        <w:jc w:val="both"/>
      </w:pPr>
      <w:r>
        <w:t xml:space="preserve">Résistance minimale en flexion à plat, fil parallèle : </w:t>
      </w:r>
      <w:r>
        <w:rPr>
          <w:rStyle w:val="optioncarChar"/>
        </w:rPr>
        <w:t>32 MPa </w:t>
      </w:r>
      <w:r>
        <w:t>(par défaut)</w:t>
      </w:r>
      <w:r>
        <w:rPr>
          <w:rStyle w:val="optioncarChar"/>
        </w:rPr>
        <w:t xml:space="preserve"> / 36 MPa / ***</w:t>
      </w:r>
    </w:p>
    <w:p w14:paraId="0AC27EEE" w14:textId="77777777" w:rsidR="00DF410E" w:rsidRDefault="00CE7F43">
      <w:pPr>
        <w:pStyle w:val="Author-eListParagraph"/>
        <w:numPr>
          <w:ilvl w:val="0"/>
          <w:numId w:val="874"/>
        </w:numPr>
        <w:jc w:val="both"/>
      </w:pPr>
      <w:r>
        <w:t>Résistance minimale en traction parallèle au fil du bois :</w:t>
      </w:r>
      <w:r>
        <w:rPr>
          <w:rStyle w:val="optioncarChar"/>
        </w:rPr>
        <w:t xml:space="preserve"> 18 MPa </w:t>
      </w:r>
      <w:r>
        <w:t>(par défaut)</w:t>
      </w:r>
      <w:r>
        <w:rPr>
          <w:rStyle w:val="optioncarChar"/>
        </w:rPr>
        <w:t xml:space="preserve"> / ***</w:t>
      </w:r>
    </w:p>
    <w:p w14:paraId="628C2642" w14:textId="77777777" w:rsidR="00DF410E" w:rsidRDefault="00CE7F43">
      <w:pPr>
        <w:pStyle w:val="Author-eListParagraph"/>
        <w:numPr>
          <w:ilvl w:val="0"/>
          <w:numId w:val="874"/>
        </w:numPr>
        <w:jc w:val="both"/>
      </w:pPr>
      <w:r>
        <w:t xml:space="preserve">Résistance minimale en compression parallèle au fil du bois : </w:t>
      </w:r>
      <w:r>
        <w:rPr>
          <w:rStyle w:val="optioncarChar"/>
        </w:rPr>
        <w:t>30 MPa</w:t>
      </w:r>
      <w:r>
        <w:t> (par défaut)</w:t>
      </w:r>
      <w:r>
        <w:rPr>
          <w:rStyle w:val="optioncarChar"/>
        </w:rPr>
        <w:t xml:space="preserve"> / ***</w:t>
      </w:r>
    </w:p>
    <w:p w14:paraId="35A49BDA" w14:textId="77777777" w:rsidR="00DF410E" w:rsidRDefault="00CE7F43">
      <w:pPr>
        <w:pStyle w:val="Author-eListParagraph"/>
        <w:numPr>
          <w:ilvl w:val="0"/>
          <w:numId w:val="874"/>
        </w:numPr>
        <w:jc w:val="both"/>
      </w:pPr>
      <w:r>
        <w:t xml:space="preserve">Résistance minimale en cisaillement à plat : </w:t>
      </w:r>
      <w:r>
        <w:rPr>
          <w:rStyle w:val="optioncarChar"/>
        </w:rPr>
        <w:t>2 MPa </w:t>
      </w:r>
      <w:r>
        <w:t>(par défaut)</w:t>
      </w:r>
      <w:r>
        <w:rPr>
          <w:rStyle w:val="optioncarChar"/>
        </w:rPr>
        <w:t xml:space="preserve"> / ***</w:t>
      </w:r>
    </w:p>
    <w:p w14:paraId="06FBC6ED" w14:textId="77777777" w:rsidR="00DF410E" w:rsidRDefault="00CE7F43">
      <w:pPr>
        <w:pStyle w:val="Author-eListParagraph"/>
        <w:numPr>
          <w:ilvl w:val="0"/>
          <w:numId w:val="874"/>
        </w:numPr>
        <w:jc w:val="both"/>
      </w:pPr>
      <w:r>
        <w:t xml:space="preserve">Module d’élasticité minimum parallèle au fil du bois (au fractile 5%) : </w:t>
      </w:r>
      <w:r>
        <w:rPr>
          <w:rStyle w:val="optioncarChar"/>
        </w:rPr>
        <w:t>9 GPa</w:t>
      </w:r>
      <w:r>
        <w:t> (par défaut)</w:t>
      </w:r>
      <w:r>
        <w:rPr>
          <w:rStyle w:val="optioncarChar"/>
        </w:rPr>
        <w:t xml:space="preserve"> / ***</w:t>
      </w:r>
    </w:p>
    <w:p w14:paraId="040B2594" w14:textId="77777777" w:rsidR="00DF410E" w:rsidRDefault="00CE7F43">
      <w:pPr>
        <w:pStyle w:val="Author-eListParagraph"/>
        <w:numPr>
          <w:ilvl w:val="0"/>
          <w:numId w:val="874"/>
        </w:numPr>
        <w:jc w:val="both"/>
      </w:pPr>
      <w:r>
        <w:t xml:space="preserve">Module de cisaillement à plat : </w:t>
      </w:r>
      <w:r>
        <w:rPr>
          <w:rStyle w:val="optioncarChar"/>
        </w:rPr>
        <w:t>130 MPa </w:t>
      </w:r>
      <w:r>
        <w:t xml:space="preserve">(par défaut) </w:t>
      </w:r>
      <w:r>
        <w:rPr>
          <w:rStyle w:val="optioncarChar"/>
        </w:rPr>
        <w:t>/ ***</w:t>
      </w:r>
    </w:p>
    <w:p w14:paraId="3AAD4A13" w14:textId="77777777" w:rsidR="00DF410E" w:rsidRDefault="00CE7F43">
      <w:r>
        <w:t xml:space="preserve">Exigences d’aspect : </w:t>
      </w:r>
      <w:r>
        <w:rPr>
          <w:rStyle w:val="optioncarChar"/>
        </w:rPr>
        <w:t>non-visible</w:t>
      </w:r>
      <w:r>
        <w:t xml:space="preserve"> (par défaut)</w:t>
      </w:r>
      <w:r>
        <w:rPr>
          <w:rStyle w:val="optioncarChar"/>
        </w:rPr>
        <w:t xml:space="preserve"> / visible industriel / visible habitat</w:t>
      </w:r>
      <w:r>
        <w:t xml:space="preserve"> sur </w:t>
      </w:r>
      <w:r>
        <w:rPr>
          <w:rStyle w:val="optioncarChar"/>
        </w:rPr>
        <w:t>1</w:t>
      </w:r>
      <w:r>
        <w:t xml:space="preserve"> (par défaut)</w:t>
      </w:r>
      <w:r>
        <w:rPr>
          <w:rStyle w:val="optioncarChar"/>
        </w:rPr>
        <w:t xml:space="preserve"> / 2</w:t>
      </w:r>
      <w:r>
        <w:t xml:space="preserve"> face(s)</w:t>
      </w:r>
    </w:p>
    <w:p w14:paraId="24FF944B" w14:textId="77777777" w:rsidR="00DF410E" w:rsidRDefault="00CE7F43">
      <w:r>
        <w:t xml:space="preserve">Classe d’émission de formaldéhyde : </w:t>
      </w:r>
      <w:r>
        <w:rPr>
          <w:rStyle w:val="optioncarChar"/>
        </w:rPr>
        <w:t xml:space="preserve">E1 </w:t>
      </w:r>
      <w:r>
        <w:t xml:space="preserve">(par défaut) </w:t>
      </w:r>
      <w:r>
        <w:rPr>
          <w:rStyle w:val="optioncarChar"/>
        </w:rPr>
        <w:t>/ E2</w:t>
      </w:r>
    </w:p>
    <w:p w14:paraId="7BE8CF78" w14:textId="77777777" w:rsidR="00DF410E" w:rsidRDefault="00CE7F43">
      <w:pPr>
        <w:pStyle w:val="pheading"/>
      </w:pPr>
      <w:r>
        <w:t>MESURAGE</w:t>
      </w:r>
    </w:p>
    <w:p w14:paraId="2D6C20B6" w14:textId="77777777" w:rsidR="00DF410E" w:rsidRDefault="00CE7F43">
      <w:pPr>
        <w:pStyle w:val="pheading"/>
      </w:pPr>
      <w:r>
        <w:t>- unité de mesure:</w:t>
      </w:r>
    </w:p>
    <w:p w14:paraId="282FB22C" w14:textId="77777777" w:rsidR="00DF410E" w:rsidRDefault="00CE7F43">
      <w:r>
        <w:rPr>
          <w:rStyle w:val="optioncarChar"/>
        </w:rPr>
        <w:t>m³</w:t>
      </w:r>
      <w:r>
        <w:t xml:space="preserve"> (par défaut)</w:t>
      </w:r>
      <w:r>
        <w:rPr>
          <w:rStyle w:val="optioncarChar"/>
        </w:rPr>
        <w:t xml:space="preserve"> / m³</w:t>
      </w:r>
    </w:p>
    <w:p w14:paraId="48D30379" w14:textId="77777777" w:rsidR="00DF410E" w:rsidRDefault="00CE7F43">
      <w:r>
        <w:rPr>
          <w:b/>
          <w:i/>
        </w:rPr>
        <w:t>(Soit par défaut)</w:t>
      </w:r>
    </w:p>
    <w:p w14:paraId="6239095A" w14:textId="77777777" w:rsidR="00DF410E" w:rsidRDefault="00CE7F43">
      <w:r>
        <w:rPr>
          <w:rStyle w:val="soitChar"/>
        </w:rPr>
        <w:t>1. m³</w:t>
      </w:r>
    </w:p>
    <w:p w14:paraId="4128BE14" w14:textId="77777777" w:rsidR="00DF410E" w:rsidRDefault="00CE7F43">
      <w:r>
        <w:rPr>
          <w:b/>
          <w:i/>
        </w:rPr>
        <w:t>(Soit)</w:t>
      </w:r>
    </w:p>
    <w:p w14:paraId="5310CCD2" w14:textId="77777777" w:rsidR="00DF410E" w:rsidRDefault="00CE7F43">
      <w:r>
        <w:rPr>
          <w:rStyle w:val="soitChar"/>
        </w:rPr>
        <w:t>2. m²</w:t>
      </w:r>
    </w:p>
    <w:p w14:paraId="468E8009" w14:textId="77777777" w:rsidR="00DF410E" w:rsidRDefault="00CE7F43">
      <w:pPr>
        <w:pStyle w:val="pheading"/>
      </w:pPr>
      <w:r>
        <w:t>- code de mesurage:</w:t>
      </w:r>
    </w:p>
    <w:p w14:paraId="63D2BAC0" w14:textId="77777777" w:rsidR="00DF410E" w:rsidRDefault="00CE7F43">
      <w:pPr>
        <w:jc w:val="both"/>
      </w:pPr>
      <w:r>
        <w:rPr>
          <w:rStyle w:val="optioncarChar"/>
        </w:rPr>
        <w:t> Volume brut </w:t>
      </w:r>
      <w:r>
        <w:t>(par défaut) </w:t>
      </w:r>
      <w:r>
        <w:rPr>
          <w:rStyle w:val="optioncarChar"/>
        </w:rPr>
        <w:t>/ Surface nette</w:t>
      </w:r>
    </w:p>
    <w:p w14:paraId="26533DA8" w14:textId="77777777" w:rsidR="00DF410E" w:rsidRDefault="00CE7F43">
      <w:pPr>
        <w:jc w:val="both"/>
      </w:pPr>
      <w:r>
        <w:rPr>
          <w:b/>
          <w:i/>
        </w:rPr>
        <w:t>(Soit par défaut)</w:t>
      </w:r>
    </w:p>
    <w:p w14:paraId="62710AB4" w14:textId="77777777" w:rsidR="00DF410E" w:rsidRDefault="00CE7F43">
      <w:pPr>
        <w:jc w:val="both"/>
      </w:pPr>
      <w:r>
        <w:rPr>
          <w:rStyle w:val="soitChar"/>
        </w:rPr>
        <w:t>1.    </w:t>
      </w:r>
      <w:r>
        <w:rPr>
          <w:rStyle w:val="soitChar"/>
          <w:u w:val="single"/>
        </w:rPr>
        <w:t>Volume brut :</w:t>
      </w:r>
      <w:r>
        <w:t>   </w:t>
      </w:r>
    </w:p>
    <w:p w14:paraId="25B48FD5" w14:textId="77777777" w:rsidR="00DF410E" w:rsidRDefault="00CE7F43">
      <w:pPr>
        <w:jc w:val="both"/>
      </w:pPr>
      <w:r>
        <w:rPr>
          <w:rStyle w:val="soitChar"/>
        </w:rPr>
        <w:t>Le volume brut d'un plancher est calculé suivant le volume du plus petit parallélépipède rectangle pouvant inclure l’élément.</w:t>
      </w:r>
    </w:p>
    <w:p w14:paraId="1AFE9C33" w14:textId="77777777" w:rsidR="00DF410E" w:rsidRDefault="00CE7F43">
      <w:pPr>
        <w:jc w:val="both"/>
      </w:pPr>
      <w:r>
        <w:rPr>
          <w:b/>
          <w:i/>
        </w:rPr>
        <w:t>(Soit)</w:t>
      </w:r>
    </w:p>
    <w:p w14:paraId="34BAFE62" w14:textId="77777777" w:rsidR="00DF410E" w:rsidRDefault="00CE7F43">
      <w:pPr>
        <w:jc w:val="both"/>
      </w:pPr>
      <w:r>
        <w:rPr>
          <w:rStyle w:val="soitChar"/>
        </w:rPr>
        <w:t>2. </w:t>
      </w:r>
      <w:r>
        <w:rPr>
          <w:rStyle w:val="soitChar"/>
          <w:u w:val="single"/>
        </w:rPr>
        <w:t>Surface nette:</w:t>
      </w:r>
      <w:r>
        <w:t> </w:t>
      </w:r>
    </w:p>
    <w:p w14:paraId="04BDD5BD" w14:textId="77777777" w:rsidR="00DF410E" w:rsidRDefault="00CE7F43">
      <w:pPr>
        <w:jc w:val="both"/>
      </w:pPr>
      <w:r>
        <w:rPr>
          <w:rStyle w:val="soitChar"/>
        </w:rPr>
        <w:t>La surface nette des planchers ayant la même épaisseur et les mêmes caractéristiques est calculée. Les ouvertures inférieures à 0,5m² ne sont pas déduites.</w:t>
      </w:r>
    </w:p>
    <w:p w14:paraId="01BD68DD" w14:textId="77777777" w:rsidR="00DF410E" w:rsidRDefault="00CE7F43">
      <w:pPr>
        <w:pStyle w:val="pheading"/>
      </w:pPr>
      <w:r>
        <w:t>- nature du marché:</w:t>
      </w:r>
    </w:p>
    <w:p w14:paraId="5A6C9869" w14:textId="77777777" w:rsidR="00DF410E" w:rsidRDefault="00CE7F43">
      <w:r>
        <w:rPr>
          <w:rStyle w:val="optioncarChar"/>
        </w:rPr>
        <w:t xml:space="preserve">QF </w:t>
      </w:r>
      <w:r>
        <w:t xml:space="preserve">(par défaut) </w:t>
      </w:r>
      <w:r>
        <w:rPr>
          <w:rStyle w:val="optioncarChar"/>
        </w:rPr>
        <w:t>/ QP</w:t>
      </w:r>
    </w:p>
    <w:p w14:paraId="131FE1D8" w14:textId="77777777" w:rsidR="00DF410E" w:rsidRDefault="00CE7F43">
      <w:r>
        <w:rPr>
          <w:b/>
          <w:i/>
        </w:rPr>
        <w:t>(Soit par défaut)</w:t>
      </w:r>
    </w:p>
    <w:p w14:paraId="4927E2F3" w14:textId="77777777" w:rsidR="00DF410E" w:rsidRDefault="00CE7F43">
      <w:r>
        <w:rPr>
          <w:rStyle w:val="soitChar"/>
        </w:rPr>
        <w:t>1.2.     QF</w:t>
      </w:r>
    </w:p>
    <w:p w14:paraId="1A3A690F" w14:textId="77777777" w:rsidR="00DF410E" w:rsidRDefault="00CE7F43">
      <w:r>
        <w:rPr>
          <w:b/>
          <w:i/>
        </w:rPr>
        <w:t>(Soit)</w:t>
      </w:r>
    </w:p>
    <w:p w14:paraId="4DDD23B0" w14:textId="77777777" w:rsidR="00DF410E" w:rsidRDefault="00CE7F43">
      <w:r>
        <w:rPr>
          <w:rStyle w:val="soitChar"/>
        </w:rPr>
        <w:t>1.2.     QP</w:t>
      </w:r>
    </w:p>
    <w:p w14:paraId="37AEFC77" w14:textId="77777777" w:rsidR="00DF410E" w:rsidRDefault="00CE7F43">
      <w:pPr>
        <w:pStyle w:val="pheading"/>
      </w:pPr>
      <w:r>
        <w:t>AIDE</w:t>
      </w:r>
    </w:p>
    <w:p w14:paraId="4F183FCA" w14:textId="77777777" w:rsidR="00DF410E" w:rsidRDefault="00CE7F43">
      <w:pPr>
        <w:jc w:val="both"/>
      </w:pPr>
      <w:r>
        <w:t>Le code suivant peut être utilisé pour la dénomination du poste :</w:t>
      </w:r>
    </w:p>
    <w:p w14:paraId="70540B10" w14:textId="77777777" w:rsidR="00DF410E" w:rsidRDefault="00CE7F43">
      <w:pPr>
        <w:jc w:val="both"/>
      </w:pPr>
      <w:r>
        <w:t>LVL 1 / 2 / 3 / 4 / 5</w:t>
      </w:r>
    </w:p>
    <w:p w14:paraId="6339471E" w14:textId="77777777" w:rsidR="00DF410E" w:rsidRDefault="00CE7F43">
      <w:pPr>
        <w:jc w:val="both"/>
      </w:pPr>
      <w:r>
        <w:t>Avec :</w:t>
      </w:r>
    </w:p>
    <w:p w14:paraId="276A2FBA" w14:textId="77777777" w:rsidR="00DF410E" w:rsidRDefault="00CE7F43">
      <w:pPr>
        <w:jc w:val="both"/>
      </w:pPr>
      <w:r>
        <w:t>LVL pour bois laminated veneer lumber</w:t>
      </w:r>
    </w:p>
    <w:p w14:paraId="2FB5C6A4" w14:textId="77777777" w:rsidR="00DF410E" w:rsidRDefault="00CE7F43">
      <w:pPr>
        <w:jc w:val="both"/>
      </w:pPr>
      <w:r>
        <w:t>1 : Type de LVL</w:t>
      </w:r>
    </w:p>
    <w:p w14:paraId="6B9253C6" w14:textId="77777777" w:rsidR="00DF410E" w:rsidRDefault="00CE7F43">
      <w:pPr>
        <w:jc w:val="both"/>
      </w:pPr>
      <w:r>
        <w:t>2 : épaisseur du plancher</w:t>
      </w:r>
    </w:p>
    <w:p w14:paraId="67A4B6BB" w14:textId="77777777" w:rsidR="00DF410E" w:rsidRDefault="00CE7F43">
      <w:pPr>
        <w:jc w:val="both"/>
      </w:pPr>
      <w:r>
        <w:t>3 : exigence d’aspect (+ nombre de face)</w:t>
      </w:r>
    </w:p>
    <w:p w14:paraId="3503220A" w14:textId="77777777" w:rsidR="00DF410E" w:rsidRDefault="00CE7F43">
      <w:pPr>
        <w:jc w:val="both"/>
      </w:pPr>
      <w:r>
        <w:t>4 : la classe d’emploi des planchers</w:t>
      </w:r>
    </w:p>
    <w:p w14:paraId="543DA802" w14:textId="77777777" w:rsidR="00DF410E" w:rsidRDefault="00CE7F43">
      <w:pPr>
        <w:jc w:val="both"/>
      </w:pPr>
      <w:r>
        <w:t>5 : la méthode utilisée pour garantir la durabilité des planchers</w:t>
      </w:r>
    </w:p>
    <w:p w14:paraId="5C632E6A" w14:textId="77777777" w:rsidR="00DF410E" w:rsidRDefault="00DF410E">
      <w:pPr>
        <w:jc w:val="both"/>
      </w:pPr>
    </w:p>
    <w:p w14:paraId="63F8829B" w14:textId="77777777" w:rsidR="00DF410E" w:rsidRDefault="00CE7F43">
      <w:pPr>
        <w:jc w:val="both"/>
      </w:pPr>
      <w:r>
        <w:t>Ce qui donne par exemple:</w:t>
      </w:r>
    </w:p>
    <w:p w14:paraId="4FB755F1" w14:textId="77777777" w:rsidR="00DF410E" w:rsidRDefault="00CE7F43">
      <w:pPr>
        <w:jc w:val="both"/>
      </w:pPr>
      <w:r>
        <w:t>LVL S / 45 / Poncé – 1 face / 1 / naturelle</w:t>
      </w:r>
    </w:p>
    <w:p w14:paraId="4768CC07" w14:textId="77777777" w:rsidR="00DF410E" w:rsidRDefault="00CE7F43">
      <w:pPr>
        <w:pStyle w:val="Author-eSectionHeading4"/>
      </w:pPr>
      <w:bookmarkStart w:id="1626" w:name="_Toc178838719"/>
      <w:r>
        <w:t>24.15 Voiles en bois CCTB 01.11</w:t>
      </w:r>
      <w:bookmarkEnd w:id="1626"/>
    </w:p>
    <w:p w14:paraId="1A67FB57" w14:textId="77777777" w:rsidR="00DF410E" w:rsidRDefault="00CE7F43">
      <w:pPr>
        <w:pStyle w:val="pheading"/>
      </w:pPr>
      <w:r>
        <w:t>DESCRIPTION</w:t>
      </w:r>
    </w:p>
    <w:p w14:paraId="2222076F" w14:textId="77777777" w:rsidR="00DF410E" w:rsidRDefault="00CE7F43">
      <w:pPr>
        <w:pStyle w:val="pheading"/>
      </w:pPr>
      <w:r>
        <w:t>- Définition / Comprend</w:t>
      </w:r>
    </w:p>
    <w:p w14:paraId="0E83E41A" w14:textId="77777777" w:rsidR="00DF410E" w:rsidRDefault="00CE7F43">
      <w:pPr>
        <w:jc w:val="both"/>
      </w:pPr>
      <w:r>
        <w:t>Il s’agit d’un élément massif de structure dont une des dimensions est largement inférieure aux deux autres. Un voile s’étend sur un plan vertical et supporte des charges principalement verticales et horizontales parallèles à son plan.</w:t>
      </w:r>
    </w:p>
    <w:p w14:paraId="74D26474" w14:textId="77777777" w:rsidR="00DF410E" w:rsidRDefault="00CE7F43">
      <w:pPr>
        <w:jc w:val="both"/>
      </w:pPr>
      <w:r>
        <w:t>Les voiles servent aussi régulièrement comme élément de contreventement et/ou comme élément de maintien entre eux.</w:t>
      </w:r>
    </w:p>
    <w:p w14:paraId="46649A05" w14:textId="77777777" w:rsidR="00DF410E" w:rsidRDefault="00CE7F43">
      <w:pPr>
        <w:pStyle w:val="pheading"/>
      </w:pPr>
      <w:r>
        <w:t>MATÉRIAUX</w:t>
      </w:r>
    </w:p>
    <w:p w14:paraId="1C75909A" w14:textId="77777777" w:rsidR="00DF410E" w:rsidRDefault="00CE7F43">
      <w:pPr>
        <w:jc w:val="both"/>
      </w:pPr>
      <w:r>
        <w:rPr>
          <w:b/>
          <w:u w:val="single"/>
        </w:rPr>
        <w:t>Sécurité en cas d’incendie</w:t>
      </w:r>
    </w:p>
    <w:p w14:paraId="6539352A" w14:textId="77777777" w:rsidR="00DF410E" w:rsidRDefault="00CE7F43">
      <w:pPr>
        <w:jc w:val="both"/>
      </w:pPr>
      <w:r>
        <w:t>Les exigences de réaction au feu et de résistance au feu des voiles en bois sont conformes aux lois, réglementations (fédérales, communautaires, régionales, communales) et dispositions administratives, applicables à l’utilisation finale.</w:t>
      </w:r>
    </w:p>
    <w:p w14:paraId="5EB98890" w14:textId="77777777" w:rsidR="00DF410E" w:rsidRDefault="00CE7F43">
      <w:pPr>
        <w:jc w:val="both"/>
      </w:pPr>
      <w:r>
        <w:t>Note : Certaines dispositions réglementaires contiennent d’autres exigences que celles relatives à la résistance ou la réaction au feu.</w:t>
      </w:r>
    </w:p>
    <w:p w14:paraId="0EB8E344" w14:textId="77777777" w:rsidR="00DF410E" w:rsidRDefault="00CE7F43">
      <w:pPr>
        <w:pStyle w:val="Author-eListParagraph"/>
        <w:numPr>
          <w:ilvl w:val="0"/>
          <w:numId w:val="875"/>
        </w:numPr>
      </w:pPr>
      <w:r>
        <w:rPr>
          <w:b/>
        </w:rPr>
        <w:t>La réaction au feu</w:t>
      </w:r>
    </w:p>
    <w:p w14:paraId="65F37135" w14:textId="77777777" w:rsidR="00DF410E" w:rsidRDefault="00CE7F43">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14:paraId="474ADF5C" w14:textId="77777777" w:rsidR="00DF410E" w:rsidRDefault="00CE7F43">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14:paraId="1E67B5D9" w14:textId="77777777" w:rsidR="00DF410E" w:rsidRDefault="00CE7F43">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66" w:history="1">
        <w:r>
          <w:t>www.besafe.be</w:t>
        </w:r>
      </w:hyperlink>
      <w:r>
        <w:t>) et le site de l’Antenne-Normes Prévention incendie de Buildwise (</w:t>
      </w:r>
      <w:hyperlink r:id="rId267" w:history="1">
        <w:r>
          <w:t>www.normes.be/feu</w:t>
        </w:r>
      </w:hyperlink>
      <w:r>
        <w:t>) peuvent être consultés.</w:t>
      </w:r>
    </w:p>
    <w:p w14:paraId="0BB80F1E" w14:textId="77777777" w:rsidR="00DF410E" w:rsidRDefault="00CE7F43">
      <w:pPr>
        <w:jc w:val="both"/>
      </w:pPr>
      <w:r>
        <w:t>Notes :</w:t>
      </w:r>
    </w:p>
    <w:p w14:paraId="2F2897BD" w14:textId="77777777" w:rsidR="00DF410E" w:rsidRDefault="00CE7F43">
      <w:pPr>
        <w:pStyle w:val="Author-eListParagraph"/>
        <w:numPr>
          <w:ilvl w:val="0"/>
          <w:numId w:val="876"/>
        </w:numPr>
      </w:pPr>
      <w:r>
        <w:t>Lorsque des exigences sont reprises dans les règlements officiels nationaux, régionaux ou autres, elles sont rendues obligatoires (= loi)</w:t>
      </w:r>
    </w:p>
    <w:p w14:paraId="4351FD16" w14:textId="77777777" w:rsidR="00DF410E" w:rsidRDefault="00CE7F43">
      <w:pPr>
        <w:pStyle w:val="Author-eListParagraph"/>
        <w:numPr>
          <w:ilvl w:val="0"/>
          <w:numId w:val="876"/>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14:paraId="3B66FD26" w14:textId="77777777" w:rsidR="00DF410E" w:rsidRDefault="00CE7F43">
      <w:pPr>
        <w:jc w:val="both"/>
      </w:pPr>
      <w:r>
        <w:rPr>
          <w:i/>
        </w:rPr>
        <w:t>Pour améliorer la classe de réaction au feu, un traitement ignifuge peut être appliqué. L’entrepreneur informe le maître d’ouvrage de l’entretien nécessaire à exécuter pour assurer la performance du matériau.</w:t>
      </w:r>
    </w:p>
    <w:p w14:paraId="790A7192" w14:textId="77777777" w:rsidR="00DF410E" w:rsidRDefault="00CE7F43">
      <w:pPr>
        <w:pStyle w:val="Author-eListParagraph"/>
        <w:numPr>
          <w:ilvl w:val="0"/>
          <w:numId w:val="877"/>
        </w:numPr>
      </w:pPr>
      <w:r>
        <w:rPr>
          <w:b/>
        </w:rPr>
        <w:t>La résistance au feu</w:t>
      </w:r>
    </w:p>
    <w:p w14:paraId="20B3D4EB" w14:textId="77777777" w:rsidR="00DF410E" w:rsidRDefault="00CE7F43">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2DFBFDFC" w14:textId="77777777" w:rsidR="00DF410E" w:rsidRDefault="00CE7F43">
      <w:pPr>
        <w:jc w:val="both"/>
      </w:pPr>
      <w:r>
        <w:t>La référence principale est la [NBN EN 13501-2]. La performance doit être attestée suivant les modalités spécifiées dans l’arrêté royal.</w:t>
      </w:r>
    </w:p>
    <w:p w14:paraId="374B7262" w14:textId="77777777" w:rsidR="00DF410E" w:rsidRDefault="00CE7F43">
      <w:pPr>
        <w:jc w:val="both"/>
      </w:pPr>
      <w:r>
        <w:t>La résistance au feu est soit soumise à essai et déclarée conformément à la [NBN EN 13501-2] ou déterminée par calcul selon la [NBN EN 1995-1-2].</w:t>
      </w:r>
    </w:p>
    <w:p w14:paraId="646FD82A" w14:textId="77777777" w:rsidR="00DF410E" w:rsidRDefault="00CE7F43">
      <w:pPr>
        <w:jc w:val="both"/>
      </w:pPr>
      <w:r>
        <w:t> </w:t>
      </w:r>
    </w:p>
    <w:p w14:paraId="31C4B6CC" w14:textId="77777777" w:rsidR="00DF410E" w:rsidRDefault="00CE7F43">
      <w:pPr>
        <w:jc w:val="both"/>
      </w:pPr>
      <w:r>
        <w:rPr>
          <w:b/>
          <w:u w:val="single"/>
        </w:rPr>
        <w:t>L’étanchéité à l’air</w:t>
      </w:r>
    </w:p>
    <w:p w14:paraId="62A58D65" w14:textId="77777777" w:rsidR="00DF410E" w:rsidRDefault="00CE7F43">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14:paraId="042E3B01" w14:textId="77777777" w:rsidR="00DF410E" w:rsidRDefault="00CE7F43">
      <w:pPr>
        <w:jc w:val="both"/>
      </w:pPr>
      <w:r>
        <w:t> </w:t>
      </w:r>
    </w:p>
    <w:p w14:paraId="7C9A4AA2" w14:textId="77777777" w:rsidR="00DF410E" w:rsidRDefault="00CE7F43">
      <w:pPr>
        <w:jc w:val="both"/>
      </w:pPr>
      <w:r>
        <w:rPr>
          <w:b/>
          <w:u w:val="single"/>
        </w:rPr>
        <w:t>Durabilité</w:t>
      </w:r>
    </w:p>
    <w:p w14:paraId="462E2EAC" w14:textId="77777777" w:rsidR="00DF410E" w:rsidRDefault="00CE7F43">
      <w:pPr>
        <w:jc w:val="both"/>
      </w:pPr>
      <w:r>
        <w:t>La durabilité biologique des éléments de voiles en bois est garantie par :</w:t>
      </w:r>
    </w:p>
    <w:p w14:paraId="74C16635" w14:textId="77777777" w:rsidR="00DF410E" w:rsidRDefault="00CE7F43">
      <w:pPr>
        <w:pStyle w:val="Author-eListParagraph"/>
        <w:numPr>
          <w:ilvl w:val="0"/>
          <w:numId w:val="878"/>
        </w:numPr>
      </w:pPr>
      <w:r>
        <w:t>Soit par sa durabilité naturelle donnée conformément à la [NBN EN 350-2]. Cette classe inclut la présence d’aubier</w:t>
      </w:r>
    </w:p>
    <w:p w14:paraId="3A7AE468" w14:textId="77777777" w:rsidR="00DF410E" w:rsidRDefault="00CE7F43">
      <w:pPr>
        <w:pStyle w:val="Author-eListParagraph"/>
        <w:numPr>
          <w:ilvl w:val="0"/>
          <w:numId w:val="878"/>
        </w:numPr>
      </w:pPr>
      <w:r>
        <w:t>Soit par traitement de préservation. Le traitement de préservation utilisé est conforme à la [NBN EN 15228]. Le traitement est appliqué sur chaque lame ou sur la paroi complète.</w:t>
      </w:r>
    </w:p>
    <w:p w14:paraId="17994C04" w14:textId="77777777" w:rsidR="00DF410E" w:rsidRDefault="00CE7F43">
      <w:pPr>
        <w:jc w:val="both"/>
      </w:pPr>
      <w:r>
        <w:t>La durabilité des éléments de voiles à base de bois est déterminée conformément à la [NBN EN 13986+A1].</w:t>
      </w:r>
    </w:p>
    <w:p w14:paraId="6F05EDF2" w14:textId="77777777" w:rsidR="00DF410E" w:rsidRDefault="00DF410E"/>
    <w:p w14:paraId="51865B78" w14:textId="77777777" w:rsidR="00DF410E" w:rsidRDefault="00CE7F43">
      <w:r>
        <w:t> </w:t>
      </w:r>
    </w:p>
    <w:p w14:paraId="2A6FDC7E" w14:textId="77777777" w:rsidR="00DF410E" w:rsidRDefault="00CE7F43">
      <w:pPr>
        <w:pStyle w:val="pheading"/>
      </w:pPr>
      <w:r>
        <w:t>EXÉCUTION / MISE EN ŒUVRE</w:t>
      </w:r>
    </w:p>
    <w:p w14:paraId="206A95B5" w14:textId="77777777" w:rsidR="00DF410E" w:rsidRDefault="00CE7F43">
      <w:pPr>
        <w:jc w:val="both"/>
      </w:pPr>
      <w:r>
        <w:t>Lors du montage des voiles en bois, un étançonnement provisoire est prévu pour assurer la stabilité de ceux-ci. Si une face des voiles est visible, les assemblages provisoires sont réalisés sans endommager l’état de surface de celle-ci.</w:t>
      </w:r>
    </w:p>
    <w:p w14:paraId="33FE029E" w14:textId="77777777" w:rsidR="00DF410E" w:rsidRDefault="00CE7F43">
      <w:pPr>
        <w:pStyle w:val="Author-eSectionHeading5"/>
      </w:pPr>
      <w:bookmarkStart w:id="1627" w:name="_Toc178838720"/>
      <w:r>
        <w:t>24.15.1 Voiles en CLT CCTB 01.11</w:t>
      </w:r>
      <w:bookmarkEnd w:id="1627"/>
    </w:p>
    <w:p w14:paraId="32B73447" w14:textId="77777777" w:rsidR="00DF410E" w:rsidRDefault="00CE7F43">
      <w:pPr>
        <w:pStyle w:val="pheading"/>
      </w:pPr>
      <w:r>
        <w:t>DESCRIPTION</w:t>
      </w:r>
    </w:p>
    <w:p w14:paraId="395D4935" w14:textId="77777777" w:rsidR="00DF410E" w:rsidRDefault="00CE7F43">
      <w:pPr>
        <w:pStyle w:val="pheading"/>
      </w:pPr>
      <w:r>
        <w:t>- Définition / Comprend</w:t>
      </w:r>
    </w:p>
    <w:p w14:paraId="4ACE3FAF" w14:textId="77777777" w:rsidR="00DF410E" w:rsidRDefault="00CE7F43">
      <w:pPr>
        <w:jc w:val="both"/>
      </w:pPr>
      <w:r>
        <w:t>Il s’agit de la fourniture et la pose de tous les éléments constitués de panneaux lamellés croisés en bois ou à base de bois constituant les systèmes de construction CLT portants et non portants, y compris toutes les pièces qui en font intrinsèquement partie (permettant notamment la pose des panneaux).</w:t>
      </w:r>
    </w:p>
    <w:p w14:paraId="656DF6B6" w14:textId="77777777" w:rsidR="00DF410E" w:rsidRDefault="00CE7F43">
      <w:pPr>
        <w:jc w:val="both"/>
      </w:pPr>
      <w:r>
        <w:t>Les panneaux sont composés de plusieurs plis (couches) des lamelles bois. Chaque couche est croisée avec un angle variant de 45 à 90°. Certains plis peuvent être composés de panneaux en bois ou à base de bois. </w:t>
      </w:r>
    </w:p>
    <w:p w14:paraId="469E91AA" w14:textId="77777777" w:rsidR="00DF410E" w:rsidRDefault="00CE7F43">
      <w:pPr>
        <w:jc w:val="both"/>
      </w:pPr>
      <w:r>
        <w:t>On distingue les panneaux CLT par leurs méthodes d’assemblage des plis (lamelles).</w:t>
      </w:r>
    </w:p>
    <w:p w14:paraId="4C46EFAA" w14:textId="77777777" w:rsidR="00DF410E" w:rsidRDefault="00CE7F43">
      <w:pPr>
        <w:pStyle w:val="pheading"/>
      </w:pPr>
      <w:r>
        <w:t>- Remarques importantes</w:t>
      </w:r>
    </w:p>
    <w:p w14:paraId="58651C7B" w14:textId="77777777" w:rsidR="00DF410E" w:rsidRDefault="00CE7F43">
      <w:pPr>
        <w:jc w:val="both"/>
      </w:pPr>
      <w:r>
        <w:t>Seuls les panneaux lamellés croisés collés en résineux ou peuplier disposent d’un marquage de produit.</w:t>
      </w:r>
    </w:p>
    <w:p w14:paraId="3A027EB7" w14:textId="77777777" w:rsidR="00DF410E" w:rsidRDefault="00CE7F43">
      <w:pPr>
        <w:pStyle w:val="pheading"/>
      </w:pPr>
      <w:r>
        <w:t>MATÉRIAUX</w:t>
      </w:r>
    </w:p>
    <w:p w14:paraId="0CC3F8C4" w14:textId="77777777" w:rsidR="00DF410E" w:rsidRDefault="00CE7F43">
      <w:pPr>
        <w:jc w:val="both"/>
      </w:pPr>
      <w:r>
        <w:t>Les lames composant les panneaux sont définies conformément aux exigences de la [NBN EN 14081-1:2016+A1].</w:t>
      </w:r>
    </w:p>
    <w:p w14:paraId="552B3937" w14:textId="77777777" w:rsidR="00DF410E" w:rsidRDefault="00CE7F43">
      <w:pPr>
        <w:jc w:val="both"/>
      </w:pPr>
      <w:r>
        <w:t>Les panneaux de particules composant les panneaux CLT sont définis conformément à la [NBN EN 312].</w:t>
      </w:r>
    </w:p>
    <w:p w14:paraId="763ECDCA" w14:textId="77777777" w:rsidR="00DF410E" w:rsidRDefault="00CE7F43">
      <w:pPr>
        <w:jc w:val="both"/>
      </w:pPr>
      <w:r>
        <w:t>Les panneaux de contreplaqué composant les panneaux CLT sont définis conformément à la [NBN EN 636+A1].</w:t>
      </w:r>
    </w:p>
    <w:p w14:paraId="6269C447" w14:textId="77777777" w:rsidR="00DF410E" w:rsidRDefault="00CE7F43">
      <w:pPr>
        <w:jc w:val="both"/>
      </w:pPr>
      <w:r>
        <w:t>Les panneaux de fibres composant les panneaux CLT sont définis conformément à la [NBN EN 622-5].</w:t>
      </w:r>
    </w:p>
    <w:p w14:paraId="0E9BC86A" w14:textId="77777777" w:rsidR="00DF410E" w:rsidRDefault="00CE7F43">
      <w:pPr>
        <w:jc w:val="both"/>
      </w:pPr>
      <w:r>
        <w:t>Les panneaux d’OSB composant les panneaux CLT sont définis conformément à la [NBN EN 300].</w:t>
      </w:r>
    </w:p>
    <w:p w14:paraId="09643E36" w14:textId="77777777" w:rsidR="00DF410E" w:rsidRDefault="00CE7F43">
      <w:pPr>
        <w:jc w:val="both"/>
      </w:pPr>
      <w:r>
        <w:t>Les exigences des lames de bois sont déterminées sur base de contrôles visuels conformément à la [NBN EN 338] ou par essais de type initiaux conformément aux [NBN EN 14081-2:2018+A1] et [NBN EN 14081-3].</w:t>
      </w:r>
    </w:p>
    <w:p w14:paraId="65B35DD4" w14:textId="77777777" w:rsidR="00DF410E" w:rsidRDefault="00CE7F43">
      <w:pPr>
        <w:jc w:val="both"/>
      </w:pPr>
      <w:r>
        <w:t>Chaque pli (couche)- de lames de bois dans les panneaux CLT est constitué de lamelles d'une seule classe de résistance.</w:t>
      </w:r>
    </w:p>
    <w:p w14:paraId="2D238168" w14:textId="77777777" w:rsidR="00DF410E" w:rsidRDefault="00CE7F43">
      <w:pPr>
        <w:jc w:val="both"/>
      </w:pPr>
      <w:r>
        <w:rPr>
          <w:b/>
          <w:u w:val="single"/>
        </w:rPr>
        <w:t>Sécurité en cas d’incendie</w:t>
      </w:r>
    </w:p>
    <w:p w14:paraId="46284221" w14:textId="77777777" w:rsidR="00DF410E" w:rsidRDefault="00CE7F43">
      <w:pPr>
        <w:jc w:val="both"/>
      </w:pPr>
      <w:r>
        <w:t>Les exigences de réaction au feu et de résistance au feu des parois CLT sont conformes aux lois, réglementations (fédérales, communautaires, régionales, communales) et dispositions administratives, applicables à l’utilisation finale.</w:t>
      </w:r>
    </w:p>
    <w:p w14:paraId="117DD38B" w14:textId="77777777" w:rsidR="00DF410E" w:rsidRDefault="00CE7F43">
      <w:pPr>
        <w:jc w:val="both"/>
      </w:pPr>
      <w:r>
        <w:t>Note : Certaines dispositions réglementaires contiennent d’autres exigences que celles relatives à la résistance ou la réaction au feu.</w:t>
      </w:r>
    </w:p>
    <w:p w14:paraId="23293006" w14:textId="77777777" w:rsidR="00DF410E" w:rsidRDefault="00CE7F43">
      <w:pPr>
        <w:pStyle w:val="Author-eListParagraph"/>
        <w:numPr>
          <w:ilvl w:val="0"/>
          <w:numId w:val="879"/>
        </w:numPr>
      </w:pPr>
      <w:r>
        <w:rPr>
          <w:b/>
        </w:rPr>
        <w:t>La réaction au feu</w:t>
      </w:r>
    </w:p>
    <w:p w14:paraId="7E241651" w14:textId="77777777" w:rsidR="00DF410E" w:rsidRDefault="00CE7F43">
      <w:pPr>
        <w:jc w:val="both"/>
      </w:pPr>
      <w:r>
        <w:t>Selon l'[AR 1994-07-07], les revêtements de façades doivent présenter les classes de réaction au feu suivantes conformément à la [NBN EN 13501-1] en fonction de l’accessibilité et de la hauteur du bâtiment.</w:t>
      </w:r>
    </w:p>
    <w:p w14:paraId="49790DD9" w14:textId="77777777" w:rsidR="00DF410E" w:rsidRDefault="00CE7F43">
      <w:pPr>
        <w:jc w:val="both"/>
      </w:pPr>
      <w:r>
        <w:t>La performance doit être attestée suivant les modalités spécifiées dans l’arrêté royal.</w:t>
      </w:r>
    </w:p>
    <w:p w14:paraId="44151161" w14:textId="77777777" w:rsidR="00DF410E" w:rsidRDefault="00CE7F43">
      <w:pPr>
        <w:jc w:val="both"/>
      </w:pPr>
      <w:r>
        <w:t>Un maximum de 5% de la surface visible des façades n’est pas soumis à cette exigence.</w:t>
      </w:r>
    </w:p>
    <w:p w14:paraId="77487E04" w14:textId="77777777" w:rsidR="00DF410E" w:rsidRDefault="00CE7F43">
      <w:pPr>
        <w:jc w:val="both"/>
      </w:pPr>
      <w:r>
        <w:t> </w:t>
      </w:r>
    </w:p>
    <w:p w14:paraId="3317601B" w14:textId="77777777" w:rsidR="00DF410E" w:rsidRDefault="00CE7F43">
      <w:pPr>
        <w:jc w:val="both"/>
      </w:pPr>
      <w:r>
        <w:rPr>
          <w:b/>
          <w:u w:val="single"/>
        </w:rPr>
        <w:t>L’esthétique</w:t>
      </w:r>
    </w:p>
    <w:p w14:paraId="22CEC101" w14:textId="77777777" w:rsidR="00DF410E" w:rsidRDefault="00CE7F43">
      <w:pPr>
        <w:jc w:val="both"/>
      </w:pPr>
      <w:r>
        <w:t>L’esthétique d’un élément s’entend comme étant l’aspect de ses faces visibles. Il faut donc toujours préciser la qualité visible souhaitée pour les deux faces de l’élément.</w:t>
      </w:r>
    </w:p>
    <w:p w14:paraId="70CF0AFE" w14:textId="77777777" w:rsidR="00DF410E" w:rsidRDefault="00CE7F43">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51E5A4FD" w14:textId="77777777" w:rsidR="00DF410E" w:rsidRDefault="00CE7F43">
      <w:pPr>
        <w:jc w:val="both"/>
      </w:pPr>
      <w:r>
        <w:t>Les qualités d’aspect ne sont actuellement pas encore normalisées. Les critères d’aspect pris en compte par les fabricants sont :</w:t>
      </w:r>
    </w:p>
    <w:p w14:paraId="71F75B58" w14:textId="77777777" w:rsidR="00DF410E" w:rsidRDefault="00CE7F43">
      <w:pPr>
        <w:pStyle w:val="Author-eListParagraph"/>
        <w:numPr>
          <w:ilvl w:val="0"/>
          <w:numId w:val="880"/>
        </w:numPr>
      </w:pPr>
      <w:r>
        <w:t> Quantité de nœuds ;</w:t>
      </w:r>
    </w:p>
    <w:p w14:paraId="39782C37" w14:textId="77777777" w:rsidR="00DF410E" w:rsidRDefault="00CE7F43">
      <w:pPr>
        <w:pStyle w:val="Author-eListParagraph"/>
        <w:numPr>
          <w:ilvl w:val="0"/>
          <w:numId w:val="880"/>
        </w:numPr>
      </w:pPr>
      <w:r>
        <w:t> Type de nœuds (adhérents, non-adhérents, …) ;</w:t>
      </w:r>
    </w:p>
    <w:p w14:paraId="52450D86" w14:textId="77777777" w:rsidR="00DF410E" w:rsidRDefault="00CE7F43">
      <w:pPr>
        <w:pStyle w:val="Author-eListParagraph"/>
        <w:numPr>
          <w:ilvl w:val="0"/>
          <w:numId w:val="880"/>
        </w:numPr>
      </w:pPr>
      <w:r>
        <w:t> Bleuissement, échauffure ;</w:t>
      </w:r>
    </w:p>
    <w:p w14:paraId="3E24BBD3" w14:textId="77777777" w:rsidR="00DF410E" w:rsidRDefault="00CE7F43">
      <w:pPr>
        <w:pStyle w:val="Author-eListParagraph"/>
        <w:numPr>
          <w:ilvl w:val="0"/>
          <w:numId w:val="880"/>
        </w:numPr>
      </w:pPr>
      <w:r>
        <w:t> Collage ou non des chants ;</w:t>
      </w:r>
    </w:p>
    <w:p w14:paraId="224667F1" w14:textId="77777777" w:rsidR="00DF410E" w:rsidRDefault="00CE7F43">
      <w:pPr>
        <w:pStyle w:val="Author-eListParagraph"/>
        <w:numPr>
          <w:ilvl w:val="0"/>
          <w:numId w:val="880"/>
        </w:numPr>
      </w:pPr>
      <w:r>
        <w:t> Etat de surface (poncée/non-poncée) ;</w:t>
      </w:r>
    </w:p>
    <w:p w14:paraId="020E5DAC" w14:textId="77777777" w:rsidR="00DF410E" w:rsidRDefault="00CE7F43">
      <w:pPr>
        <w:pStyle w:val="Author-eListParagraph"/>
        <w:numPr>
          <w:ilvl w:val="0"/>
          <w:numId w:val="880"/>
        </w:numPr>
      </w:pPr>
      <w:r>
        <w:t> Dépassement de colle ;</w:t>
      </w:r>
    </w:p>
    <w:p w14:paraId="7C2C5025" w14:textId="77777777" w:rsidR="00DF410E" w:rsidRDefault="00CE7F43">
      <w:pPr>
        <w:pStyle w:val="Author-eListParagraph"/>
        <w:numPr>
          <w:ilvl w:val="0"/>
          <w:numId w:val="880"/>
        </w:numPr>
      </w:pPr>
      <w:r>
        <w:t> …</w:t>
      </w:r>
    </w:p>
    <w:p w14:paraId="4B0B9248" w14:textId="77777777" w:rsidR="00DF410E" w:rsidRDefault="00CE7F43">
      <w:pPr>
        <w:jc w:val="both"/>
      </w:pPr>
      <w:r>
        <w:t>Des classes visuelles couramment utilisées sont définies ci-dessous.</w:t>
      </w:r>
    </w:p>
    <w:p w14:paraId="15F7A1DC" w14:textId="77777777" w:rsidR="00DF410E" w:rsidRDefault="00CE7F43">
      <w:pPr>
        <w:jc w:val="both"/>
      </w:pPr>
      <w:r>
        <w:rPr>
          <w:u w:val="single"/>
        </w:rPr>
        <w:t>Non-visible :</w:t>
      </w:r>
    </w:p>
    <w:p w14:paraId="58093642" w14:textId="77777777" w:rsidR="00DF410E" w:rsidRDefault="00CE7F43">
      <w:pPr>
        <w:jc w:val="both"/>
      </w:pPr>
      <w:r>
        <w:t>Présence de nœuds sautés, de bords non jointifs, etc. sans altération des caractéristiques mécaniques.</w:t>
      </w:r>
    </w:p>
    <w:p w14:paraId="74736ACC" w14:textId="77777777" w:rsidR="00DF410E" w:rsidRDefault="00CE7F43">
      <w:pPr>
        <w:jc w:val="both"/>
      </w:pPr>
      <w:r>
        <w:t>Les critères suivants sont respectés :</w:t>
      </w:r>
    </w:p>
    <w:p w14:paraId="0AD518BC" w14:textId="77777777" w:rsidR="00DF410E" w:rsidRDefault="00CE7F43">
      <w:pPr>
        <w:pStyle w:val="Author-eListParagraph"/>
        <w:numPr>
          <w:ilvl w:val="0"/>
          <w:numId w:val="881"/>
        </w:numPr>
      </w:pPr>
      <w:r>
        <w:t>Joints ouverts ≤3mm</w:t>
      </w:r>
    </w:p>
    <w:p w14:paraId="2C22AB41" w14:textId="77777777" w:rsidR="00DF410E" w:rsidRDefault="00CE7F43">
      <w:pPr>
        <w:pStyle w:val="Author-eListParagraph"/>
        <w:numPr>
          <w:ilvl w:val="0"/>
          <w:numId w:val="881"/>
        </w:numPr>
      </w:pPr>
      <w:r>
        <w:t>Bleuissement, poche de résine admis</w:t>
      </w:r>
    </w:p>
    <w:p w14:paraId="4910B6FA" w14:textId="77777777" w:rsidR="00DF410E" w:rsidRDefault="00CE7F43">
      <w:pPr>
        <w:pStyle w:val="Author-eListParagraph"/>
        <w:numPr>
          <w:ilvl w:val="0"/>
          <w:numId w:val="881"/>
        </w:numPr>
      </w:pPr>
      <w:r>
        <w:t>Gerces admises</w:t>
      </w:r>
    </w:p>
    <w:p w14:paraId="214870E9" w14:textId="77777777" w:rsidR="00DF410E" w:rsidRDefault="00CE7F43">
      <w:pPr>
        <w:pStyle w:val="Author-eListParagraph"/>
        <w:numPr>
          <w:ilvl w:val="0"/>
          <w:numId w:val="881"/>
        </w:numPr>
      </w:pPr>
      <w:r>
        <w:t>Nœuds sains, noirs admis</w:t>
      </w:r>
    </w:p>
    <w:p w14:paraId="7320572F" w14:textId="77777777" w:rsidR="00DF410E" w:rsidRDefault="00CE7F43">
      <w:pPr>
        <w:pStyle w:val="Author-eListParagraph"/>
        <w:numPr>
          <w:ilvl w:val="0"/>
          <w:numId w:val="881"/>
        </w:numPr>
      </w:pPr>
      <w:r>
        <w:t>Lames ayant fait l’objet d’attaque d’insecte avant composition de panneau non admis</w:t>
      </w:r>
    </w:p>
    <w:p w14:paraId="3ABD9D49" w14:textId="77777777" w:rsidR="00DF410E" w:rsidRDefault="00CE7F43">
      <w:pPr>
        <w:pStyle w:val="Author-eListParagraph"/>
        <w:numPr>
          <w:ilvl w:val="0"/>
          <w:numId w:val="881"/>
        </w:numPr>
      </w:pPr>
      <w:r>
        <w:t>Flaches ≤ 2 x 50 cm admis</w:t>
      </w:r>
    </w:p>
    <w:p w14:paraId="1747D310" w14:textId="77777777" w:rsidR="00DF410E" w:rsidRDefault="00CE7F43">
      <w:pPr>
        <w:jc w:val="both"/>
      </w:pPr>
      <w:r>
        <w:rPr>
          <w:u w:val="single"/>
        </w:rPr>
        <w:t>Visible industrielle :</w:t>
      </w:r>
    </w:p>
    <w:p w14:paraId="3978C29D" w14:textId="77777777" w:rsidR="00DF410E" w:rsidRDefault="00CE7F43">
      <w:pPr>
        <w:jc w:val="both"/>
      </w:pPr>
      <w:r>
        <w:t>La qualité de bois de la surface correspond à un aspect B selon la [NBN EN 13017-1]. Selon l’orientation de la surface, les lamelles peuvent être aboutées selon les cas</w:t>
      </w:r>
    </w:p>
    <w:p w14:paraId="68CEC48B" w14:textId="77777777" w:rsidR="00DF410E" w:rsidRDefault="00CE7F43">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5F56FB96" w14:textId="77777777" w:rsidR="00DF410E" w:rsidRDefault="00CE7F43">
      <w:pPr>
        <w:jc w:val="both"/>
      </w:pPr>
      <w:r>
        <w:t>Avec une humidité de bois de 12% (+/-2%), la largeur maximale du joint est de 4mm. Le choix de la largeur des lamelles appartient au fabricant.</w:t>
      </w:r>
    </w:p>
    <w:p w14:paraId="26FE8355" w14:textId="77777777" w:rsidR="00DF410E" w:rsidRDefault="00CE7F43">
      <w:pPr>
        <w:jc w:val="both"/>
      </w:pPr>
      <w:r>
        <w:t>Les critères suivants sont respectés :</w:t>
      </w:r>
    </w:p>
    <w:p w14:paraId="0D01258E" w14:textId="77777777" w:rsidR="00DF410E" w:rsidRDefault="00CE7F43">
      <w:pPr>
        <w:pStyle w:val="Author-eListParagraph"/>
        <w:numPr>
          <w:ilvl w:val="0"/>
          <w:numId w:val="882"/>
        </w:numPr>
      </w:pPr>
      <w:r>
        <w:t>Joints ouverts ≤2mm</w:t>
      </w:r>
    </w:p>
    <w:p w14:paraId="000A6B9E" w14:textId="77777777" w:rsidR="00DF410E" w:rsidRDefault="00CE7F43">
      <w:pPr>
        <w:pStyle w:val="Author-eListParagraph"/>
        <w:numPr>
          <w:ilvl w:val="0"/>
          <w:numId w:val="882"/>
        </w:numPr>
      </w:pPr>
      <w:r>
        <w:t>Léger bleuissement</w:t>
      </w:r>
    </w:p>
    <w:p w14:paraId="2ACF3443" w14:textId="77777777" w:rsidR="00DF410E" w:rsidRDefault="00CE7F43">
      <w:pPr>
        <w:pStyle w:val="Author-eListParagraph"/>
        <w:numPr>
          <w:ilvl w:val="0"/>
          <w:numId w:val="882"/>
        </w:numPr>
      </w:pPr>
      <w:r>
        <w:t>Poches de résine max 10x 90mm</w:t>
      </w:r>
    </w:p>
    <w:p w14:paraId="6A14BA17" w14:textId="77777777" w:rsidR="00DF410E" w:rsidRDefault="00CE7F43">
      <w:pPr>
        <w:pStyle w:val="Author-eListParagraph"/>
        <w:numPr>
          <w:ilvl w:val="0"/>
          <w:numId w:val="882"/>
        </w:numPr>
      </w:pPr>
      <w:r>
        <w:t>Gerces admises</w:t>
      </w:r>
    </w:p>
    <w:p w14:paraId="38340455" w14:textId="77777777" w:rsidR="00DF410E" w:rsidRDefault="00CE7F43">
      <w:pPr>
        <w:pStyle w:val="Author-eListParagraph"/>
        <w:numPr>
          <w:ilvl w:val="0"/>
          <w:numId w:val="882"/>
        </w:numPr>
      </w:pPr>
      <w:r>
        <w:t>Nœuds sains admis nœuds noirs ≤ 3 cm admis</w:t>
      </w:r>
    </w:p>
    <w:p w14:paraId="3E971402" w14:textId="77777777" w:rsidR="00DF410E" w:rsidRDefault="00CE7F43">
      <w:pPr>
        <w:pStyle w:val="Author-eListParagraph"/>
        <w:numPr>
          <w:ilvl w:val="0"/>
          <w:numId w:val="882"/>
        </w:numPr>
      </w:pPr>
      <w:r>
        <w:t>Lames ayant fait l’objet d’attaque d’insecte avant composition de panneau non admis</w:t>
      </w:r>
    </w:p>
    <w:p w14:paraId="44E7767B" w14:textId="77777777" w:rsidR="00DF410E" w:rsidRDefault="00CE7F43">
      <w:pPr>
        <w:pStyle w:val="Author-eListParagraph"/>
        <w:numPr>
          <w:ilvl w:val="0"/>
          <w:numId w:val="882"/>
        </w:numPr>
      </w:pPr>
      <w:r>
        <w:t>Flaches non admises</w:t>
      </w:r>
    </w:p>
    <w:p w14:paraId="7EB919C8" w14:textId="77777777" w:rsidR="00DF410E" w:rsidRDefault="00CE7F43">
      <w:pPr>
        <w:jc w:val="both"/>
      </w:pPr>
      <w:r>
        <w:rPr>
          <w:u w:val="single"/>
        </w:rPr>
        <w:t>Visible habitat (visible cat. A au sens [NBN EN 1991 série]):</w:t>
      </w:r>
    </w:p>
    <w:p w14:paraId="1E1F0A57" w14:textId="77777777" w:rsidR="00DF410E" w:rsidRDefault="00CE7F43">
      <w:pPr>
        <w:jc w:val="both"/>
      </w:pPr>
      <w:r>
        <w:t>La qualité de bois de la surface correspond à un aspect AB selon la [NBN EN 13017-1] ou [NBN EN 13017-2].</w:t>
      </w:r>
    </w:p>
    <w:p w14:paraId="27DC68AD" w14:textId="77777777" w:rsidR="00DF410E" w:rsidRDefault="00CE7F43">
      <w:pPr>
        <w:jc w:val="both"/>
      </w:pPr>
      <w:r>
        <w:t>La surface est rabotée et polie.</w:t>
      </w:r>
    </w:p>
    <w:p w14:paraId="4DA869BF" w14:textId="77777777" w:rsidR="00DF410E" w:rsidRDefault="00CE7F43">
      <w:pPr>
        <w:jc w:val="both"/>
      </w:pPr>
      <w:r>
        <w:t>Avec une humidité de bois de 12% (+/-2%), la largeur maximale du joint est de 2mm.</w:t>
      </w:r>
    </w:p>
    <w:p w14:paraId="50EDA75E" w14:textId="77777777" w:rsidR="00DF410E" w:rsidRDefault="00CE7F43">
      <w:pPr>
        <w:jc w:val="both"/>
      </w:pPr>
      <w:r>
        <w:t>Lors de la découpe, l’ensemble des jointures est chanfreiné au niveau des raccords de panneaux dans la largeur.</w:t>
      </w:r>
    </w:p>
    <w:p w14:paraId="483A98F7" w14:textId="77777777" w:rsidR="00DF410E" w:rsidRDefault="00CE7F43">
      <w:pPr>
        <w:jc w:val="both"/>
      </w:pPr>
      <w:r>
        <w:t>Les critères suivants sont respectés</w:t>
      </w:r>
    </w:p>
    <w:p w14:paraId="0B0B1114" w14:textId="77777777" w:rsidR="00DF410E" w:rsidRDefault="00CE7F43">
      <w:pPr>
        <w:pStyle w:val="Author-eListParagraph"/>
        <w:numPr>
          <w:ilvl w:val="0"/>
          <w:numId w:val="883"/>
        </w:numPr>
      </w:pPr>
      <w:r>
        <w:t>Joints ouverts ≤1mm</w:t>
      </w:r>
    </w:p>
    <w:p w14:paraId="429ADB78" w14:textId="77777777" w:rsidR="00DF410E" w:rsidRDefault="00CE7F43">
      <w:pPr>
        <w:pStyle w:val="Author-eListParagraph"/>
        <w:numPr>
          <w:ilvl w:val="0"/>
          <w:numId w:val="883"/>
        </w:numPr>
      </w:pPr>
      <w:r>
        <w:t>Pas de bleuissement</w:t>
      </w:r>
    </w:p>
    <w:p w14:paraId="49E27511" w14:textId="77777777" w:rsidR="00DF410E" w:rsidRDefault="00CE7F43">
      <w:pPr>
        <w:pStyle w:val="Author-eListParagraph"/>
        <w:numPr>
          <w:ilvl w:val="0"/>
          <w:numId w:val="883"/>
        </w:numPr>
      </w:pPr>
      <w:r>
        <w:t>Gerces, cœurs-Moelles isolées admises</w:t>
      </w:r>
    </w:p>
    <w:p w14:paraId="0FB1EB4A" w14:textId="77777777" w:rsidR="00DF410E" w:rsidRDefault="00CE7F43">
      <w:pPr>
        <w:pStyle w:val="Author-eListParagraph"/>
        <w:numPr>
          <w:ilvl w:val="0"/>
          <w:numId w:val="883"/>
        </w:numPr>
      </w:pPr>
      <w:r>
        <w:t>Pas d’accumulation de poches de résine max 5x50 mm</w:t>
      </w:r>
    </w:p>
    <w:p w14:paraId="379C2EC1" w14:textId="77777777" w:rsidR="00DF410E" w:rsidRDefault="00CE7F43">
      <w:pPr>
        <w:pStyle w:val="Author-eListParagraph"/>
        <w:numPr>
          <w:ilvl w:val="0"/>
          <w:numId w:val="883"/>
        </w:numPr>
      </w:pPr>
      <w:r>
        <w:t>Lames ayant fait l’objet d’attaque d’insecte avant ou après composition de panneau non admis</w:t>
      </w:r>
    </w:p>
    <w:p w14:paraId="7DBA76C7" w14:textId="77777777" w:rsidR="00DF410E" w:rsidRDefault="00CE7F43">
      <w:pPr>
        <w:pStyle w:val="Author-eListParagraph"/>
        <w:numPr>
          <w:ilvl w:val="0"/>
          <w:numId w:val="883"/>
        </w:numPr>
      </w:pPr>
      <w:r>
        <w:t>Nœuds sains admis</w:t>
      </w:r>
    </w:p>
    <w:p w14:paraId="756BBA3C" w14:textId="77777777" w:rsidR="00DF410E" w:rsidRDefault="00CE7F43">
      <w:pPr>
        <w:pStyle w:val="Author-eListParagraph"/>
        <w:numPr>
          <w:ilvl w:val="0"/>
          <w:numId w:val="883"/>
        </w:numPr>
      </w:pPr>
      <w:r>
        <w:t>Nœuds noirs ≤ 1.5 cm ; admis</w:t>
      </w:r>
    </w:p>
    <w:p w14:paraId="40D47912" w14:textId="77777777" w:rsidR="00DF410E" w:rsidRDefault="00CE7F43">
      <w:pPr>
        <w:pStyle w:val="Author-eListParagraph"/>
        <w:numPr>
          <w:ilvl w:val="0"/>
          <w:numId w:val="883"/>
        </w:numPr>
      </w:pPr>
      <w:r>
        <w:t>Flaches non admises</w:t>
      </w:r>
    </w:p>
    <w:p w14:paraId="32358952" w14:textId="77777777" w:rsidR="00DF410E" w:rsidRDefault="00DF410E"/>
    <w:p w14:paraId="4AE1EA34" w14:textId="77777777" w:rsidR="00DF410E" w:rsidRDefault="00CE7F43">
      <w:pPr>
        <w:pStyle w:val="pheading"/>
      </w:pPr>
      <w:r>
        <w:t>EXÉCUTION / MISE EN ŒUVRE</w:t>
      </w:r>
    </w:p>
    <w:p w14:paraId="57E29771" w14:textId="77777777" w:rsidR="00DF410E" w:rsidRDefault="00CE7F43">
      <w:pPr>
        <w:jc w:val="both"/>
      </w:pPr>
      <w:r>
        <w:t xml:space="preserve">La teneur en humidité du bois est mesurée conformément à l’annexe D de la [NBN EN 16351] lors de la fabrication. Sur chantier, la teneur en humidité est mesurée conformément à l’article </w:t>
      </w:r>
      <w:hyperlink r:id="rId268" w:history="1" w:docLocation="589">
        <w:r>
          <w:t>03.41.1b Mesures du taux d'humidité dans le bois</w:t>
        </w:r>
      </w:hyperlink>
      <w:r>
        <w:t xml:space="preserve"> est comprise entre 10 et 15 %.</w:t>
      </w:r>
    </w:p>
    <w:p w14:paraId="2AD8BFFD" w14:textId="77777777" w:rsidR="00DF410E" w:rsidRDefault="00CE7F43">
      <w:pPr>
        <w:pStyle w:val="Author-eListParagraph"/>
        <w:numPr>
          <w:ilvl w:val="0"/>
          <w:numId w:val="884"/>
        </w:numPr>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manutention et au placement des éléments.</w:t>
      </w:r>
    </w:p>
    <w:p w14:paraId="584A2300" w14:textId="77777777" w:rsidR="00DF410E" w:rsidRDefault="00CE7F43">
      <w:pPr>
        <w:pStyle w:val="Author-eListParagraph"/>
        <w:numPr>
          <w:ilvl w:val="0"/>
          <w:numId w:val="884"/>
        </w:numPr>
      </w:pPr>
      <w:r>
        <w:t>L’entrepreneur fournit au moins 7 jours avant livraison un document relatif à la sécurité lors de la mise en œuvre en tenant compte du stockage éventuel, la manutention, les dispositifs provisoires de stabilité des panneaux ainsi que les autres dispositions nécessaires. </w:t>
      </w:r>
      <w:r>
        <w:br/>
      </w:r>
    </w:p>
    <w:p w14:paraId="2F2DABE4" w14:textId="77777777" w:rsidR="00DF410E" w:rsidRDefault="00CE7F43">
      <w:pPr>
        <w:jc w:val="both"/>
      </w:pPr>
      <w:r>
        <w:rPr>
          <w:b/>
          <w:u w:val="single"/>
        </w:rPr>
        <w:t>Livraison - Entreposage</w:t>
      </w:r>
    </w:p>
    <w:p w14:paraId="06280B18" w14:textId="77777777" w:rsidR="00DF410E" w:rsidRDefault="00CE7F43">
      <w:pPr>
        <w:pStyle w:val="Author-eListParagraph"/>
        <w:numPr>
          <w:ilvl w:val="0"/>
          <w:numId w:val="885"/>
        </w:numPr>
      </w:pPr>
      <w:r>
        <w:t>Les panneaux CLT ainsi que leurs accessoires doivent être transportés dans des circonstances qui protègent les matériaux de toute dégradation et tout contact avec l’eau. Ils sont soigneusement amarrés. L'entreposage sur le chantier doit être limité au minimum et surtout ne pas excéder une semaine. Les éléments sont stockés et transportés verticalement ou horizontalement, protégés et espacés les uns des autres (ventilés).</w:t>
      </w:r>
    </w:p>
    <w:p w14:paraId="493E5336" w14:textId="77777777" w:rsidR="00DF410E" w:rsidRDefault="00CE7F43">
      <w:pPr>
        <w:pStyle w:val="Author-eListParagraph"/>
        <w:numPr>
          <w:ilvl w:val="0"/>
          <w:numId w:val="885"/>
        </w:numPr>
      </w:pPr>
      <w:r>
        <w:t>Les protections éventuelles appliquées sur les profils ne peuvent pas être enlevées avant autorisation écrite de l’auteur de projet.</w:t>
      </w:r>
      <w:r>
        <w:br/>
      </w:r>
    </w:p>
    <w:p w14:paraId="770B20FF" w14:textId="77777777" w:rsidR="00DF410E" w:rsidRDefault="00CE7F43">
      <w:pPr>
        <w:jc w:val="both"/>
      </w:pPr>
      <w:r>
        <w:rPr>
          <w:b/>
          <w:u w:val="single"/>
        </w:rPr>
        <w:t>Jonction avec les autres éléments du gros œuvre</w:t>
      </w:r>
    </w:p>
    <w:p w14:paraId="00FDC370" w14:textId="77777777" w:rsidR="00DF410E" w:rsidRDefault="00CE7F43">
      <w:pPr>
        <w:jc w:val="both"/>
      </w:pPr>
      <w:r>
        <w:t>Les possibilités présentées par le gros œuvre pour les dispositifs de fixation des panneaux CLT doivent faire l’objet d’indications précises.</w:t>
      </w:r>
    </w:p>
    <w:p w14:paraId="223F4946" w14:textId="77777777" w:rsidR="00DF410E" w:rsidRDefault="00CE7F43">
      <w:pPr>
        <w:jc w:val="both"/>
      </w:pPr>
      <w:r>
        <w:t>La transmission des charges des panneaux CLT sur le gros œuvre est à communiquer avant bétonnage pour un dimensionnement et un positionnement correct des armatures de bord.</w:t>
      </w:r>
    </w:p>
    <w:p w14:paraId="70EAD500" w14:textId="77777777" w:rsidR="00DF410E" w:rsidRDefault="00CE7F43">
      <w:pPr>
        <w:jc w:val="both"/>
      </w:pPr>
      <w:r>
        <w:t>Si tel n'est pas le cas, les dispositifs de fixations sont adaptés aux dispositifs mis en place lors du bétonnage.</w:t>
      </w:r>
    </w:p>
    <w:p w14:paraId="7BFA4CC8" w14:textId="77777777" w:rsidR="00DF410E" w:rsidRDefault="00CE7F43">
      <w:pPr>
        <w:jc w:val="both"/>
      </w:pPr>
      <w:r>
        <w:t>Les axes d'implantation et les tolérances sur ces dispositifs doivent être coordonnés entre les différents intervenants à un stade précoce.</w:t>
      </w:r>
    </w:p>
    <w:p w14:paraId="4C608CEA" w14:textId="77777777" w:rsidR="00DF410E" w:rsidRDefault="00CE7F43">
      <w:pPr>
        <w:jc w:val="both"/>
      </w:pPr>
      <w:r>
        <w:t>Le cas échéant, les mouvements que les panneaux CLT doivent pouvoir accepter sont déterminés en fonction des déformations que le gros œuvre peut subir sous l’effet de chacune des sollicitations prévisibles auxquelles il est soumis.</w:t>
      </w:r>
    </w:p>
    <w:p w14:paraId="2F0ADB61" w14:textId="77777777" w:rsidR="00DF410E" w:rsidRDefault="00CE7F43">
      <w:pPr>
        <w:jc w:val="both"/>
      </w:pPr>
      <w:r>
        <w:t>Les actions, leurs combinaisons, les caractéristiques de conception des matériaux et les critères d'états limites sont conformes aux normes [NBN EN 1991 série].</w:t>
      </w:r>
    </w:p>
    <w:p w14:paraId="4E8EE111" w14:textId="77777777" w:rsidR="00DF410E" w:rsidRDefault="00CE7F43">
      <w:pPr>
        <w:jc w:val="both"/>
      </w:pPr>
      <w:r>
        <w:t>Les dispositifs d’ancrages des panneaux CLT font l’objet d’une note de calcul spécifique si la charge à reprendre dépasse les 2 kN.</w:t>
      </w:r>
    </w:p>
    <w:p w14:paraId="5A5D384B" w14:textId="77777777" w:rsidR="00DF410E" w:rsidRDefault="00CE7F43">
      <w:pPr>
        <w:jc w:val="both"/>
      </w:pPr>
      <w:r>
        <w:t> </w:t>
      </w:r>
    </w:p>
    <w:p w14:paraId="45457D65" w14:textId="77777777" w:rsidR="00DF410E" w:rsidRDefault="00CE7F43">
      <w:pPr>
        <w:jc w:val="both"/>
      </w:pPr>
      <w:r>
        <w:t>Lors des phases de montages, les panneaux sont maintenus par jambes de forces ou tous dispositifs dont la fixation n’altère pas la qualité de finition des panneaux.</w:t>
      </w:r>
    </w:p>
    <w:p w14:paraId="15E877F7" w14:textId="77777777" w:rsidR="00DF410E" w:rsidRDefault="00CE7F43">
      <w:pPr>
        <w:pStyle w:val="pheading"/>
      </w:pPr>
      <w:r>
        <w:t>CONTRÔLES</w:t>
      </w:r>
    </w:p>
    <w:p w14:paraId="124F0444" w14:textId="77777777" w:rsidR="00DF410E" w:rsidRDefault="00CE7F43">
      <w:pPr>
        <w:jc w:val="both"/>
      </w:pPr>
      <w:r>
        <w:t>Les panneaux CLT ou leurs composants sont soumis à contrôle visuels avant la pose. Ceux qui sont endommagés de même que ceux qui présentent des déformations anormales ou sont endommagés par des conditions de stockage inappropriées ne peuvent pas être mis en œuvre.</w:t>
      </w:r>
    </w:p>
    <w:p w14:paraId="7C636DC1" w14:textId="77777777" w:rsidR="00DF410E" w:rsidRDefault="00CE7F43">
      <w:pPr>
        <w:jc w:val="both"/>
      </w:pPr>
      <w:r>
        <w:t>Les documents relatifs au marquage CE (ou déclaration d’aptitude du matériau) ou aux performances exigées dans le cahier spécial des charges doivent être préalablement remis à l'architecte.</w:t>
      </w:r>
    </w:p>
    <w:p w14:paraId="0D768924" w14:textId="77777777" w:rsidR="00DF410E" w:rsidRDefault="00CE7F43">
      <w:pPr>
        <w:jc w:val="both"/>
      </w:pPr>
      <w:r>
        <w:t> </w:t>
      </w:r>
      <w:r>
        <w:rPr>
          <w:b/>
          <w:u w:val="single"/>
        </w:rPr>
        <w:t>Essais</w:t>
      </w:r>
    </w:p>
    <w:p w14:paraId="1777DFA8" w14:textId="77777777" w:rsidR="00DF410E" w:rsidRDefault="00CE7F43">
      <w:pPr>
        <w:pStyle w:val="Author-eListParagraph"/>
        <w:numPr>
          <w:ilvl w:val="0"/>
          <w:numId w:val="886"/>
        </w:numPr>
        <w:jc w:val="both"/>
      </w:pPr>
      <w:r>
        <w:t>Si le marquage du produit (déclaration d’aptitude du matériau) ne spécifie pas les performances requises, des essais sont systématiquement exigés. Si les panneaux CLT ne satisfont pas aux essais, l’auteur de projet est en droit d'imposer une nouvelle série d'essais jusqu’à obtention des performances requises.</w:t>
      </w:r>
    </w:p>
    <w:p w14:paraId="6CCBDEA2" w14:textId="77777777" w:rsidR="00DF410E" w:rsidRDefault="00CE7F43">
      <w:pPr>
        <w:pStyle w:val="Author-eListParagraph"/>
        <w:numPr>
          <w:ilvl w:val="0"/>
          <w:numId w:val="886"/>
        </w:numPr>
        <w:jc w:val="both"/>
      </w:pPr>
      <w:r>
        <w:t>Les essais sont exécutés par un laboratoire indépendant. </w:t>
      </w:r>
    </w:p>
    <w:p w14:paraId="6428EC4D" w14:textId="77777777" w:rsidR="00DF410E" w:rsidRDefault="00CE7F43">
      <w:pPr>
        <w:jc w:val="both"/>
      </w:pPr>
      <w:r>
        <w:rPr>
          <w:b/>
          <w:u w:val="single"/>
        </w:rPr>
        <w:t>Tolérances</w:t>
      </w:r>
    </w:p>
    <w:p w14:paraId="10FE4521" w14:textId="77777777" w:rsidR="00DF410E" w:rsidRDefault="00CE7F43">
      <w:pPr>
        <w:jc w:val="both"/>
      </w:pPr>
      <w:r>
        <w:t xml:space="preserve">Les tolérances de la section </w:t>
      </w:r>
      <w:hyperlink w:anchor="89" w:history="1">
        <w:r>
          <w:t>24 Superstructures en bois</w:t>
        </w:r>
      </w:hyperlink>
      <w:r>
        <w:t xml:space="preserve"> s’appliquent aux panneaux CLT.</w:t>
      </w:r>
    </w:p>
    <w:p w14:paraId="05AEBFD5" w14:textId="77777777" w:rsidR="00DF410E" w:rsidRDefault="00CE7F43">
      <w:pPr>
        <w:pStyle w:val="pheading"/>
      </w:pPr>
      <w:r>
        <w:t>DOCUMENTS DE RÉFÉRENCE</w:t>
      </w:r>
    </w:p>
    <w:p w14:paraId="1C0214BD" w14:textId="77777777" w:rsidR="00DF410E" w:rsidRDefault="00CE7F43">
      <w:pPr>
        <w:pStyle w:val="pheading"/>
      </w:pPr>
      <w:r>
        <w:t>- Matériau</w:t>
      </w:r>
    </w:p>
    <w:p w14:paraId="16E25FA5" w14:textId="77777777" w:rsidR="00DF410E" w:rsidRDefault="00CE7F43">
      <w:r>
        <w:t>[NBN EN 300, Panneaux de lamelles minces, longues et orientées (OSB) - Définitions, classification et exigences]</w:t>
      </w:r>
    </w:p>
    <w:p w14:paraId="057BED46" w14:textId="77777777" w:rsidR="00DF410E" w:rsidRDefault="00CE7F43">
      <w:r>
        <w:t>[NBN EN 312, Panneaux de particules - Exigences]</w:t>
      </w:r>
    </w:p>
    <w:p w14:paraId="7E4A4FF9" w14:textId="77777777" w:rsidR="00DF410E" w:rsidRDefault="00CE7F43">
      <w:r>
        <w:t>[NBN EN 338, Bois de structure - Classes de résistance]</w:t>
      </w:r>
    </w:p>
    <w:p w14:paraId="03EAF07B" w14:textId="77777777" w:rsidR="00DF410E" w:rsidRDefault="00CE7F43">
      <w:r>
        <w:t>[NBN EN 622-5, Panneaux de fibres - Exigences - Partie 5 : Exigences pour panneaux obtenus par procédé à sec (MDF)]</w:t>
      </w:r>
    </w:p>
    <w:p w14:paraId="67185D3F" w14:textId="77777777" w:rsidR="00DF410E" w:rsidRDefault="00CE7F43">
      <w:r>
        <w:t>[NBN EN 636+A1, Contreplaqué - Exigences]</w:t>
      </w:r>
    </w:p>
    <w:p w14:paraId="2CBE2D6D" w14:textId="77777777" w:rsidR="00DF410E" w:rsidRDefault="00CE7F43">
      <w:r>
        <w:t>[NBN EN 1991 série, Eurocode 1 : Actions sur les structures]</w:t>
      </w:r>
    </w:p>
    <w:p w14:paraId="16E18BE3" w14:textId="77777777" w:rsidR="00DF410E" w:rsidRDefault="00CE7F43">
      <w:r>
        <w:t>[NBN EN 1995 série, Eurocode 5: Conception et calcul des structures en bois]</w:t>
      </w:r>
    </w:p>
    <w:p w14:paraId="65C03C69" w14:textId="77777777" w:rsidR="00DF410E" w:rsidRDefault="00CE7F43">
      <w:r>
        <w:t>[NBN EN 12114, Performance thermique de bâtiments - Perméabilité à l'air des composants et parois de bâtiments - Méthode d'essai en laboratoire]</w:t>
      </w:r>
    </w:p>
    <w:p w14:paraId="1ADA63C9" w14:textId="77777777" w:rsidR="00DF410E" w:rsidRDefault="00CE7F43">
      <w:r>
        <w:t>[NBN EN 13017-1, Bois panneautés - Classification selon l'aspect des faces - Partie 1 : Bois résineux]</w:t>
      </w:r>
    </w:p>
    <w:p w14:paraId="4732CF1D" w14:textId="77777777" w:rsidR="00DF410E" w:rsidRDefault="00CE7F43">
      <w:r>
        <w:t>[NBN EN 13017-2, Bois panneautés - Classification selon l'aspect des faces -Partie 2: Bois feuillus]</w:t>
      </w:r>
    </w:p>
    <w:p w14:paraId="0340751D" w14:textId="77777777" w:rsidR="00DF410E" w:rsidRDefault="00CE7F43">
      <w:r>
        <w:t>[NBN EN 13501-1, Classement au feu des produits et éléments de construction - Partie 1: Classement à partir des données d'essais de réaction au feu]</w:t>
      </w:r>
    </w:p>
    <w:p w14:paraId="5AD98A63"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669EE24A" w14:textId="77777777" w:rsidR="00DF410E" w:rsidRDefault="00CE7F43">
      <w:r>
        <w:t>[NBN EN 13986+A1, Panneaux à base de bois destinés à la construction - Caractéristiques, évaluation de conformité et marquage] </w:t>
      </w:r>
    </w:p>
    <w:p w14:paraId="785C180E" w14:textId="77777777" w:rsidR="00DF410E" w:rsidRDefault="00CE7F43">
      <w:r>
        <w:t>[NBN EN 14081-1:2016+A1, Structures en bois - Bois de structure à section rectangulaire classé pour sa résistance - Partie 1 : Exigences générales]</w:t>
      </w:r>
    </w:p>
    <w:p w14:paraId="0013D5DD" w14:textId="77777777" w:rsidR="00DF410E" w:rsidRDefault="00CE7F43">
      <w:r>
        <w:t>[NBN EN 14081-2:2018+A1, Structures en bois - Bois de structure à section rectangulaire classé pour sa résistance - Partie 2 : Classement mécanique par machine; exigences supplémentaires concernant les essais de type]</w:t>
      </w:r>
    </w:p>
    <w:p w14:paraId="14002DAB" w14:textId="77777777" w:rsidR="00DF410E" w:rsidRDefault="00CE7F43">
      <w:r>
        <w:t>[NBN EN 14081-3, Structures en bois - Bois de structure à section rectangulaire classé pour sa résistance - Partie 3: Classement mécanique - Exigences complémentaires relatives au contrôle de la production en usine]</w:t>
      </w:r>
    </w:p>
    <w:p w14:paraId="65E4BD4E" w14:textId="77777777" w:rsidR="00DF410E" w:rsidRDefault="00CE7F43">
      <w:r>
        <w:t>[NBN EN 15228, Bois de structure - Bois de structure traité avec un produit de préservation contre les attaques biologiques]</w:t>
      </w:r>
    </w:p>
    <w:p w14:paraId="133F4C13" w14:textId="77777777" w:rsidR="00DF410E" w:rsidRDefault="00CE7F43">
      <w:r>
        <w:t>[NBN EN 16351, Structures en bois - Bois lamellé croisé - Exigences]</w:t>
      </w:r>
    </w:p>
    <w:p w14:paraId="7E562407" w14:textId="77777777" w:rsidR="00DF410E" w:rsidRDefault="00CE7F43">
      <w:r>
        <w:t>[AR 1994-07-07, Arrêté royal fixant les normes de base en matière de prévention contre l'incendie et l'explosion, auxquelles les bâtiments nouveaux doivent satisfaire]</w:t>
      </w:r>
    </w:p>
    <w:p w14:paraId="49B12A69" w14:textId="77777777" w:rsidR="00DF410E" w:rsidRDefault="00CE7F43">
      <w:pPr>
        <w:pStyle w:val="Author-eSectionHeading6"/>
      </w:pPr>
      <w:bookmarkStart w:id="1628" w:name="_Toc178838721"/>
      <w:r>
        <w:t>24.15.1a Voiles massifs en CLT collés CCTB 01.11</w:t>
      </w:r>
      <w:bookmarkEnd w:id="1628"/>
    </w:p>
    <w:p w14:paraId="2CB4E061" w14:textId="77777777" w:rsidR="00DF410E" w:rsidRDefault="00CE7F43">
      <w:pPr>
        <w:pStyle w:val="pheading"/>
      </w:pPr>
      <w:r>
        <w:t>DESCRIPTION</w:t>
      </w:r>
    </w:p>
    <w:p w14:paraId="3210A1BC" w14:textId="77777777" w:rsidR="00DF410E" w:rsidRDefault="00CE7F43">
      <w:pPr>
        <w:pStyle w:val="pheading"/>
      </w:pPr>
      <w:r>
        <w:t>- Définition / Comprend</w:t>
      </w:r>
    </w:p>
    <w:p w14:paraId="4319817D" w14:textId="77777777" w:rsidR="00DF410E" w:rsidRDefault="00CE7F43">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44896A3B" w14:textId="77777777" w:rsidR="00DF410E" w:rsidRDefault="00CE7F43">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66BD40C2" w14:textId="77777777" w:rsidR="00DF410E" w:rsidRDefault="00CE7F43">
      <w:pPr>
        <w:pStyle w:val="pheading"/>
      </w:pPr>
      <w:r>
        <w:t>- Localisation</w:t>
      </w:r>
    </w:p>
    <w:p w14:paraId="056A3ED4" w14:textId="77777777" w:rsidR="00DF410E" w:rsidRDefault="00CE7F43">
      <w:r>
        <w:t xml:space="preserve">Localisation des travaux : </w:t>
      </w:r>
      <w:r>
        <w:rPr>
          <w:rStyle w:val="optioncarChar"/>
        </w:rPr>
        <w:t>***</w:t>
      </w:r>
      <w:r>
        <w:t>.</w:t>
      </w:r>
    </w:p>
    <w:p w14:paraId="57F8F127" w14:textId="77777777" w:rsidR="00DF410E" w:rsidRDefault="00CE7F43">
      <w:r>
        <w:t>Voir plans et métrés détaillés.</w:t>
      </w:r>
    </w:p>
    <w:p w14:paraId="04485078" w14:textId="77777777" w:rsidR="00DF410E" w:rsidRDefault="00CE7F43">
      <w:pPr>
        <w:pStyle w:val="pheading"/>
      </w:pPr>
      <w:r>
        <w:t>MATÉRIAUX</w:t>
      </w:r>
    </w:p>
    <w:p w14:paraId="6543C343" w14:textId="77777777" w:rsidR="00DF410E" w:rsidRDefault="00CE7F43">
      <w:pPr>
        <w:pStyle w:val="pheading"/>
      </w:pPr>
      <w:r>
        <w:t>- Caractéristiques générales</w:t>
      </w:r>
    </w:p>
    <w:p w14:paraId="73A6DFF7" w14:textId="77777777" w:rsidR="00DF410E" w:rsidRDefault="00CE7F43">
      <w:pPr>
        <w:jc w:val="both"/>
      </w:pPr>
      <w:r>
        <w:t xml:space="preserve">Épaisseur totale du panneau CLT : </w:t>
      </w:r>
      <w:r>
        <w:rPr>
          <w:rStyle w:val="optioncarChar"/>
        </w:rPr>
        <w:t>***</w:t>
      </w:r>
      <w:r>
        <w:t xml:space="preserve"> mm.</w:t>
      </w:r>
    </w:p>
    <w:p w14:paraId="63EB05E2" w14:textId="77777777" w:rsidR="00DF410E" w:rsidRDefault="00CE7F43">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p>
    <w:p w14:paraId="4A4D9262" w14:textId="77777777" w:rsidR="00DF410E" w:rsidRDefault="00CE7F43">
      <w:pPr>
        <w:jc w:val="both"/>
      </w:pPr>
      <w:r>
        <w:t>Classe de résistance :</w:t>
      </w:r>
      <w:r>
        <w:rPr>
          <w:rStyle w:val="optioncarChar"/>
        </w:rPr>
        <w:t xml:space="preserve"> C18 </w:t>
      </w:r>
      <w:r>
        <w:t>(par défaut)</w:t>
      </w:r>
      <w:r>
        <w:rPr>
          <w:rStyle w:val="optioncarChar"/>
        </w:rPr>
        <w:t xml:space="preserve"> / D18 / C24 / D24 / C30 / D30 / ***.</w:t>
      </w:r>
    </w:p>
    <w:p w14:paraId="1CF586EE" w14:textId="77777777" w:rsidR="00DF410E" w:rsidRDefault="00CE7F43">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14:paraId="12461D53" w14:textId="77777777" w:rsidR="00DF410E" w:rsidRDefault="00CE7F43">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 </w:t>
      </w:r>
      <w:r>
        <w:rPr>
          <w:rStyle w:val="optioncarChar"/>
        </w:rPr>
        <w:t xml:space="preserve">20-20-20 / 20-40-20 / 30-30-30 / 30-40-30 / 40/-40-40 / 20-20-20-20-20 </w:t>
      </w:r>
      <w:r>
        <w:t>(par défaut)</w:t>
      </w:r>
      <w:r>
        <w:rPr>
          <w:rStyle w:val="optioncarChar"/>
        </w:rPr>
        <w:t xml:space="preserve"> /  20-30-20-30 / 40-20-20-20-40 / ***</w:t>
      </w:r>
      <w:r>
        <w:t xml:space="preserve"> mm.</w:t>
      </w:r>
    </w:p>
    <w:p w14:paraId="26DFA9DC" w14:textId="77777777" w:rsidR="00DF410E" w:rsidRDefault="00CE7F43">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14:paraId="6D8412F1" w14:textId="77777777" w:rsidR="00DF410E" w:rsidRDefault="00CE7F43">
      <w:pPr>
        <w:jc w:val="both"/>
      </w:pPr>
      <w:r>
        <w:t xml:space="preserve">La réaction au feu est de classe </w:t>
      </w:r>
      <w:r>
        <w:rPr>
          <w:rStyle w:val="optioncarChar"/>
        </w:rPr>
        <w:t>D-s2, d0</w:t>
      </w:r>
      <w:r>
        <w:t xml:space="preserve"> (par défaut)</w:t>
      </w:r>
      <w:r>
        <w:rPr>
          <w:rStyle w:val="optioncarChar"/>
        </w:rPr>
        <w:t xml:space="preserve"> / ***.</w:t>
      </w:r>
    </w:p>
    <w:p w14:paraId="7ED7A653" w14:textId="77777777" w:rsidR="00DF410E" w:rsidRDefault="00CE7F43">
      <w:pPr>
        <w:jc w:val="both"/>
      </w:pPr>
      <w:r>
        <w:t xml:space="preserve">La résistance au feu déclarée de la paroi : </w:t>
      </w:r>
      <w:r>
        <w:rPr>
          <w:rStyle w:val="optioncarChar"/>
        </w:rPr>
        <w:t xml:space="preserve">pas d’exigences </w:t>
      </w:r>
      <w:r>
        <w:t xml:space="preserve">(par défaut) </w:t>
      </w:r>
      <w:r>
        <w:rPr>
          <w:rStyle w:val="optioncarChar"/>
        </w:rPr>
        <w:t>/ REI 30 / EI30 / REI 60 / EI 60 / ***.</w:t>
      </w:r>
    </w:p>
    <w:p w14:paraId="3214CB3E" w14:textId="77777777" w:rsidR="00DF410E" w:rsidRDefault="00CE7F43">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14:paraId="62C5E48F" w14:textId="77777777" w:rsidR="00DF410E" w:rsidRDefault="00CE7F43">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5CDE3663" w14:textId="77777777" w:rsidR="00DF410E" w:rsidRDefault="00CE7F43">
      <w:pPr>
        <w:jc w:val="both"/>
      </w:pPr>
      <w:r>
        <w:t>Le coefficient de résistance à la diffusion de vapeur d’eau – valeur μ pour un taux d’humidité du bois de 11 % (selon [NBN EN 12086]) : </w:t>
      </w:r>
      <w:r>
        <w:rPr>
          <w:rStyle w:val="optioncarChar"/>
        </w:rPr>
        <w:t xml:space="preserve">≥ 50 </w:t>
      </w:r>
      <w:r>
        <w:t>(par défaut)</w:t>
      </w:r>
      <w:r>
        <w:rPr>
          <w:rStyle w:val="optioncarChar"/>
        </w:rPr>
        <w:t xml:space="preserve"> / ≥ 30  / ≤ 100 / ***</w:t>
      </w:r>
      <w:r>
        <w:t>.</w:t>
      </w:r>
    </w:p>
    <w:p w14:paraId="53D95825" w14:textId="77777777" w:rsidR="00DF410E" w:rsidRDefault="00CE7F43">
      <w:pPr>
        <w:jc w:val="both"/>
      </w:pPr>
      <w:r>
        <w:t xml:space="preserve">La durabilité des panneaux en fonction de leur classe d’emploi, est assurée par la mesure suivante : </w:t>
      </w:r>
      <w:r>
        <w:rPr>
          <w:rStyle w:val="optioncarChar"/>
        </w:rPr>
        <w:t>traitement A1</w:t>
      </w:r>
      <w:r>
        <w:t xml:space="preserve"> (par défaut) </w:t>
      </w:r>
      <w:r>
        <w:rPr>
          <w:rStyle w:val="optioncarChar"/>
        </w:rPr>
        <w:t>/ traitement A2.2 / bois modifié thermiquement / bois hors aubier / ***</w:t>
      </w:r>
      <w:r>
        <w:t>.</w:t>
      </w:r>
    </w:p>
    <w:p w14:paraId="541757A9" w14:textId="77777777" w:rsidR="00DF410E" w:rsidRDefault="00CE7F43">
      <w:pPr>
        <w:jc w:val="both"/>
      </w:pPr>
      <w:r>
        <w:t> </w:t>
      </w:r>
    </w:p>
    <w:p w14:paraId="1E8ACE88" w14:textId="77777777" w:rsidR="00DF410E" w:rsidRDefault="00CE7F43">
      <w:pPr>
        <w:jc w:val="both"/>
      </w:pPr>
      <w:r>
        <w:t xml:space="preserve">Le collage des plis est assuré par </w:t>
      </w:r>
      <w:r>
        <w:rPr>
          <w:rStyle w:val="optioncarChar"/>
        </w:rPr>
        <w:t xml:space="preserve">les spécifications du fabricant </w:t>
      </w:r>
      <w:r>
        <w:t xml:space="preserve">(par défaut) </w:t>
      </w:r>
      <w:r>
        <w:rPr>
          <w:rStyle w:val="optioncarChar"/>
        </w:rPr>
        <w:t>adhésifs polyuréthane monocomposants durcissant à l'humidité (PUR) / adhésifs de nature phénolique et aminoplaste (par exemple MF, MUF, PRF, UF) / adhésifs à base d'isocyanate et de polymère en émulsion (EPI).</w:t>
      </w:r>
    </w:p>
    <w:p w14:paraId="4E21EC9B" w14:textId="77777777" w:rsidR="00DF410E" w:rsidRDefault="00CE7F43">
      <w:pPr>
        <w:ind w:left="567"/>
        <w:jc w:val="both"/>
      </w:pPr>
      <w:r>
        <w:rPr>
          <w:b/>
          <w:i/>
        </w:rPr>
        <w:t>(Soit par défaut)</w:t>
      </w:r>
    </w:p>
    <w:p w14:paraId="067ECECE" w14:textId="77777777" w:rsidR="00DF410E" w:rsidRDefault="00CE7F43">
      <w:pPr>
        <w:ind w:left="567"/>
        <w:jc w:val="both"/>
      </w:pPr>
      <w:r>
        <w:rPr>
          <w:rStyle w:val="soitChar"/>
          <w:u w:val="single"/>
        </w:rPr>
        <w:t>Les spécifications du fabricant</w:t>
      </w:r>
    </w:p>
    <w:p w14:paraId="49D055CE" w14:textId="77777777" w:rsidR="00DF410E" w:rsidRDefault="00CE7F43">
      <w:pPr>
        <w:ind w:left="567"/>
        <w:jc w:val="both"/>
      </w:pPr>
      <w:r>
        <w:rPr>
          <w:b/>
          <w:i/>
        </w:rPr>
        <w:t>(Soit)</w:t>
      </w:r>
    </w:p>
    <w:p w14:paraId="587896AD" w14:textId="77777777" w:rsidR="00DF410E" w:rsidRDefault="00CE7F43">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253958B2" w14:textId="77777777" w:rsidR="00DF410E" w:rsidRDefault="00CE7F43">
      <w:pPr>
        <w:ind w:left="567"/>
        <w:jc w:val="both"/>
      </w:pPr>
      <w:r>
        <w:rPr>
          <w:b/>
          <w:i/>
        </w:rPr>
        <w:t>(Soit)</w:t>
      </w:r>
    </w:p>
    <w:p w14:paraId="240C6315" w14:textId="77777777" w:rsidR="00DF410E" w:rsidRDefault="00CE7F43">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14:paraId="0A41DBDF" w14:textId="77777777" w:rsidR="00DF410E" w:rsidRDefault="00CE7F43">
      <w:pPr>
        <w:ind w:left="567"/>
        <w:jc w:val="both"/>
      </w:pPr>
      <w:r>
        <w:rPr>
          <w:b/>
          <w:i/>
        </w:rPr>
        <w:t>(Soit)</w:t>
      </w:r>
    </w:p>
    <w:p w14:paraId="1B9CB92E" w14:textId="77777777" w:rsidR="00DF410E" w:rsidRDefault="00CE7F43">
      <w:pPr>
        <w:ind w:left="567"/>
        <w:jc w:val="both"/>
      </w:pPr>
      <w:r>
        <w:rPr>
          <w:rStyle w:val="soitChar"/>
          <w:u w:val="single"/>
        </w:rPr>
        <w:t>EPI </w:t>
      </w:r>
      <w:r>
        <w:rPr>
          <w:rStyle w:val="soitChar"/>
        </w:rPr>
        <w:t>: Les adhésifs à base d’isocyanate et de polymère en émulsion satisfont aux exigences de la [NBN EN 15425].</w:t>
      </w:r>
    </w:p>
    <w:p w14:paraId="6678D1E8" w14:textId="77777777" w:rsidR="00DF410E" w:rsidRDefault="00CE7F43">
      <w:pPr>
        <w:jc w:val="both"/>
      </w:pPr>
      <w:r>
        <w:t> </w:t>
      </w:r>
    </w:p>
    <w:p w14:paraId="441993F6" w14:textId="77777777" w:rsidR="00DF410E" w:rsidRDefault="00CE7F43">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244E26AD" w14:textId="77777777" w:rsidR="00DF410E" w:rsidRDefault="00CE7F43">
      <w:pPr>
        <w:jc w:val="both"/>
      </w:pPr>
      <w:r>
        <w:t>La résistance mécanique des panneaux lamellés croisés est déterminée conformément à la [NBN EN 16351] sur base de calcul conformément à la [NBN EN 1995 série] et [NBN EN 14358] ou par essais conformes à la [NBN EN 408+A1].</w:t>
      </w:r>
    </w:p>
    <w:p w14:paraId="652E7A4F" w14:textId="77777777" w:rsidR="00DF410E" w:rsidRDefault="00CE7F43">
      <w:pPr>
        <w:jc w:val="both"/>
      </w:pPr>
      <w:r>
        <w:t> </w:t>
      </w:r>
    </w:p>
    <w:p w14:paraId="43172322" w14:textId="77777777" w:rsidR="00DF410E" w:rsidRDefault="00CE7F43">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14:paraId="69ABA18C" w14:textId="77777777" w:rsidR="00DF410E" w:rsidRDefault="00CE7F43">
      <w:pPr>
        <w:jc w:val="both"/>
      </w:pPr>
      <w:r>
        <w:t xml:space="preserve">Un jeu de </w:t>
      </w:r>
      <w:r>
        <w:rPr>
          <w:rStyle w:val="optioncarChar"/>
        </w:rPr>
        <w:t xml:space="preserve">0 </w:t>
      </w:r>
      <w:r>
        <w:t xml:space="preserve">(par défaut) </w:t>
      </w:r>
      <w:r>
        <w:rPr>
          <w:rStyle w:val="optioncarChar"/>
        </w:rPr>
        <w:t>/ 2 / 5 / *** mm</w:t>
      </w:r>
      <w:r>
        <w:t xml:space="preserve"> est réservé entre les lamelles.</w:t>
      </w:r>
    </w:p>
    <w:p w14:paraId="78615BA9" w14:textId="77777777" w:rsidR="00DF410E" w:rsidRDefault="00CE7F43">
      <w:pPr>
        <w:jc w:val="both"/>
      </w:pPr>
      <w:r>
        <w:t>La résistance du collage des aboutages est conforme à la [NBN EN 16351] annexe B et est vérifiée par essais de flexion conformes à la [NBN EN 16351] §5.2.</w:t>
      </w:r>
    </w:p>
    <w:p w14:paraId="4A066080" w14:textId="77777777" w:rsidR="00DF410E" w:rsidRDefault="00CE7F43">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71B0DCF2" w14:textId="77777777" w:rsidR="00DF410E" w:rsidRDefault="00CE7F43">
      <w:pPr>
        <w:pStyle w:val="pheading"/>
      </w:pPr>
      <w:r>
        <w:t>- Finitions</w:t>
      </w:r>
    </w:p>
    <w:p w14:paraId="291936F0" w14:textId="77777777" w:rsidR="00DF410E" w:rsidRDefault="00CE7F43">
      <w:pPr>
        <w:jc w:val="both"/>
      </w:pPr>
      <w:r>
        <w:t xml:space="preserve">Exigences d’aspect : </w:t>
      </w:r>
      <w:r>
        <w:rPr>
          <w:rStyle w:val="optioncarChar"/>
        </w:rPr>
        <w:t>non-visible  /  visible industriel  /  visible habitat</w:t>
      </w:r>
      <w:r>
        <w:t> </w:t>
      </w:r>
      <w:r>
        <w:rPr>
          <w:rStyle w:val="optioncarChar"/>
        </w:rPr>
        <w:t>sur</w:t>
      </w:r>
      <w:r>
        <w:t> </w:t>
      </w:r>
      <w:r>
        <w:rPr>
          <w:rStyle w:val="optioncarChar"/>
        </w:rPr>
        <w:t xml:space="preserve">1 </w:t>
      </w:r>
      <w:r>
        <w:t>(par défaut)</w:t>
      </w:r>
      <w:r>
        <w:rPr>
          <w:rStyle w:val="optioncarChar"/>
        </w:rPr>
        <w:t xml:space="preserve"> / 2 face(s) / ***</w:t>
      </w:r>
      <w:r>
        <w:t>.</w:t>
      </w:r>
    </w:p>
    <w:p w14:paraId="475D54F4" w14:textId="77777777" w:rsidR="00DF410E" w:rsidRDefault="00CE7F43">
      <w:pPr>
        <w:jc w:val="both"/>
      </w:pPr>
      <w:r>
        <w:t xml:space="preserve">Les panneaux </w:t>
      </w:r>
      <w:r>
        <w:rPr>
          <w:rStyle w:val="optioncarChar"/>
        </w:rPr>
        <w:t>sont / ne sont pas</w:t>
      </w:r>
      <w:r>
        <w:t xml:space="preserve"> (par défaut) munis de gaines (rainures) techniques et blochets intégrés non traversantes.</w:t>
      </w:r>
    </w:p>
    <w:p w14:paraId="6290DE38" w14:textId="77777777" w:rsidR="00DF410E" w:rsidRDefault="00CE7F43">
      <w:pPr>
        <w:pStyle w:val="pheading"/>
      </w:pPr>
      <w:r>
        <w:t>- Prescriptions complémentaires</w:t>
      </w:r>
    </w:p>
    <w:p w14:paraId="6AA9F26B" w14:textId="77777777" w:rsidR="00DF410E" w:rsidRDefault="00CE7F43">
      <w:r>
        <w:rPr>
          <w:rStyle w:val="facultChar"/>
        </w:rPr>
        <w:t>Capacité thermique :</w:t>
      </w:r>
      <w:r>
        <w:rPr>
          <w:rStyle w:val="optioncarChar"/>
        </w:rPr>
        <w:t xml:space="preserve">&gt; 2 </w:t>
      </w:r>
      <w:r>
        <w:t xml:space="preserve">(par défaut) </w:t>
      </w:r>
      <w:r>
        <w:rPr>
          <w:rStyle w:val="optioncarChar"/>
        </w:rPr>
        <w:t>/ ***</w:t>
      </w:r>
      <w:r>
        <w:rPr>
          <w:rStyle w:val="facultChar"/>
        </w:rPr>
        <w:t>kJ/kg.K</w:t>
      </w:r>
    </w:p>
    <w:p w14:paraId="14C5D82D" w14:textId="77777777" w:rsidR="00DF410E" w:rsidRDefault="00CE7F43">
      <w:pPr>
        <w:pStyle w:val="pheading"/>
      </w:pPr>
      <w:r>
        <w:t>EXÉCUTION / MISE EN ŒUVRE</w:t>
      </w:r>
    </w:p>
    <w:p w14:paraId="05030002" w14:textId="77777777" w:rsidR="00DF410E" w:rsidRDefault="00CE7F43">
      <w:pPr>
        <w:pStyle w:val="pheading"/>
      </w:pPr>
      <w:r>
        <w:t>- Prescriptions générales</w:t>
      </w:r>
    </w:p>
    <w:p w14:paraId="5F23EF0B" w14:textId="77777777" w:rsidR="00DF410E" w:rsidRDefault="00CE7F43">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00965A2F" w14:textId="77777777" w:rsidR="00DF410E" w:rsidRDefault="00CE7F43">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p>
    <w:p w14:paraId="230E60BE" w14:textId="77777777" w:rsidR="00DF410E" w:rsidRDefault="00CE7F43">
      <w:pPr>
        <w:jc w:val="both"/>
      </w:pPr>
      <w:r>
        <w:rPr>
          <w:b/>
          <w:i/>
        </w:rPr>
        <w:t>Fixation en pied de mur</w:t>
      </w:r>
    </w:p>
    <w:p w14:paraId="79A21E2E" w14:textId="77777777" w:rsidR="00DF410E" w:rsidRDefault="00CE7F43">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p>
    <w:p w14:paraId="5B6CC927" w14:textId="77777777" w:rsidR="00DF410E" w:rsidRDefault="00CE7F43">
      <w:pPr>
        <w:ind w:left="567"/>
        <w:jc w:val="both"/>
      </w:pPr>
      <w:r>
        <w:rPr>
          <w:b/>
          <w:i/>
        </w:rPr>
        <w:t>(Soit par défaut)</w:t>
      </w:r>
    </w:p>
    <w:p w14:paraId="776DB7C1" w14:textId="77777777" w:rsidR="00DF410E" w:rsidRDefault="00CE7F43">
      <w:pPr>
        <w:ind w:left="567"/>
        <w:jc w:val="both"/>
      </w:pPr>
      <w:r>
        <w:rPr>
          <w:rStyle w:val="soitChar"/>
          <w:u w:val="single"/>
        </w:rPr>
        <w:t>La lisse basse</w:t>
      </w:r>
      <w:r>
        <w:rPr>
          <w:rStyle w:val="soitChar"/>
        </w:rPr>
        <w:t xml:space="preserve"> est fixée par </w:t>
      </w:r>
      <w:r>
        <w:rPr>
          <w:rStyle w:val="optioncarChar"/>
        </w:rPr>
        <w:t>chevilles métalliques</w:t>
      </w:r>
      <w:r>
        <w:t xml:space="preserve">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590" w:history="1">
        <w:r>
          <w:rPr>
            <w:rStyle w:val="soitChar"/>
          </w:rPr>
          <w:t>24.11.1a Lisses de pose en bois massif</w:t>
        </w:r>
      </w:hyperlink>
      <w:r>
        <w:rPr>
          <w:rStyle w:val="soitChar"/>
        </w:rPr>
        <w:t xml:space="preserve"> .</w:t>
      </w:r>
    </w:p>
    <w:p w14:paraId="472F581B" w14:textId="77777777" w:rsidR="00DF410E" w:rsidRDefault="00CE7F43">
      <w:pPr>
        <w:ind w:left="567"/>
        <w:jc w:val="both"/>
      </w:pPr>
      <w:r>
        <w:rPr>
          <w:b/>
          <w:i/>
        </w:rPr>
        <w:t>(Soit)</w:t>
      </w:r>
    </w:p>
    <w:p w14:paraId="7E53DA59" w14:textId="77777777" w:rsidR="00DF410E" w:rsidRDefault="00CE7F43">
      <w:pPr>
        <w:ind w:left="567"/>
        <w:jc w:val="both"/>
      </w:pPr>
      <w:r>
        <w:rPr>
          <w:rStyle w:val="soitChar"/>
          <w:u w:val="single"/>
        </w:rPr>
        <w:t>Dispositifs d’ancrage ponctuels</w:t>
      </w:r>
      <w:r>
        <w:rPr>
          <w:rStyle w:val="soitChar"/>
        </w:rPr>
        <w:t> : Les dispositifs de fixation sont des</w:t>
      </w:r>
      <w:r>
        <w:rPr>
          <w:rStyle w:val="optioncarChar"/>
        </w:rPr>
        <w:t xml:space="preserve"> 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de bord du panneau.</w:t>
      </w:r>
      <w:r>
        <w:t> </w:t>
      </w:r>
    </w:p>
    <w:p w14:paraId="71EC80AA" w14:textId="77777777" w:rsidR="00DF410E" w:rsidRDefault="00CE7F43">
      <w:pPr>
        <w:ind w:left="567"/>
        <w:jc w:val="both"/>
      </w:pPr>
      <w:r>
        <w:rPr>
          <w:b/>
          <w:i/>
        </w:rPr>
        <w:t>(Soit)</w:t>
      </w:r>
    </w:p>
    <w:p w14:paraId="1910EF2C" w14:textId="77777777" w:rsidR="00DF410E" w:rsidRDefault="00CE7F43">
      <w:pPr>
        <w:ind w:left="567"/>
        <w:jc w:val="both"/>
      </w:pPr>
      <w:r>
        <w:rPr>
          <w:rStyle w:val="optioncarChar"/>
        </w:rPr>
        <w:t>***</w:t>
      </w:r>
    </w:p>
    <w:p w14:paraId="39B436BD" w14:textId="77777777" w:rsidR="00DF410E" w:rsidRDefault="00DF410E">
      <w:pPr>
        <w:ind w:left="567"/>
        <w:jc w:val="both"/>
      </w:pPr>
    </w:p>
    <w:p w14:paraId="51A4BCA3" w14:textId="77777777" w:rsidR="00DF410E" w:rsidRDefault="00CE7F43">
      <w:pPr>
        <w:jc w:val="both"/>
      </w:pPr>
      <w:r>
        <w:t xml:space="preserve">L’assemblage de pied de paroi est muni d’une bande d’arase en </w:t>
      </w:r>
      <w:r>
        <w:rPr>
          <w:rStyle w:val="optioncarChar"/>
        </w:rPr>
        <w:t>membrane élastomère</w:t>
      </w:r>
      <w:r>
        <w:t xml:space="preserve"> (par défaut)</w:t>
      </w:r>
      <w:r>
        <w:rPr>
          <w:rStyle w:val="optioncarChar"/>
        </w:rPr>
        <w:t xml:space="preserve"> / membrane bitumineuse / membrane à base butyle / membrane polypropylène / ***.</w:t>
      </w:r>
    </w:p>
    <w:p w14:paraId="37E59A19" w14:textId="77777777" w:rsidR="00DF410E" w:rsidRDefault="00CE7F43">
      <w:pPr>
        <w:jc w:val="both"/>
      </w:pPr>
      <w:r>
        <w:t> </w:t>
      </w:r>
    </w:p>
    <w:p w14:paraId="7E558599" w14:textId="77777777" w:rsidR="00DF410E" w:rsidRDefault="00CE7F43">
      <w:pPr>
        <w:jc w:val="both"/>
      </w:pPr>
      <w:r>
        <w:rPr>
          <w:b/>
          <w:i/>
        </w:rPr>
        <w:t>Fixation entre panneaux de même plan</w:t>
      </w:r>
    </w:p>
    <w:p w14:paraId="31F33A97" w14:textId="77777777" w:rsidR="00DF410E" w:rsidRDefault="00CE7F43">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14:paraId="5B1B7E02" w14:textId="77777777" w:rsidR="00DF410E" w:rsidRDefault="00CE7F43">
      <w:pPr>
        <w:jc w:val="both"/>
      </w:pPr>
      <w:r>
        <w:rPr>
          <w:b/>
          <w:i/>
        </w:rPr>
        <w:t>Assemblage d’angles</w:t>
      </w:r>
    </w:p>
    <w:p w14:paraId="48BDF3AF" w14:textId="77777777" w:rsidR="00DF410E" w:rsidRDefault="00CE7F43">
      <w:pPr>
        <w:jc w:val="both"/>
      </w:pPr>
      <w:r>
        <w:t xml:space="preserve">L’angle entre deux panneaux CLT est assemblé </w:t>
      </w:r>
      <w:r>
        <w:rPr>
          <w:rStyle w:val="optioncarChar"/>
        </w:rPr>
        <w:t>par l’intermédiaire de vis traversantes</w:t>
      </w:r>
      <w:r>
        <w:t xml:space="preserve"> (par défaut)</w:t>
      </w:r>
      <w:r>
        <w:rPr>
          <w:rStyle w:val="optioncarChar"/>
        </w:rPr>
        <w:t xml:space="preserve"> / par dispositifs d’ancrage ponctuels sur le gros œuvre existant / ***.</w:t>
      </w:r>
    </w:p>
    <w:p w14:paraId="3A3A5C10" w14:textId="77777777" w:rsidR="00DF410E" w:rsidRDefault="00CE7F43">
      <w:pPr>
        <w:ind w:left="567"/>
        <w:jc w:val="both"/>
      </w:pPr>
      <w:r>
        <w:rPr>
          <w:b/>
          <w:i/>
        </w:rPr>
        <w:t>(Soit par défaut)</w:t>
      </w:r>
    </w:p>
    <w:p w14:paraId="6BEAA355" w14:textId="77777777" w:rsidR="00DF410E" w:rsidRDefault="00CE7F43">
      <w:pPr>
        <w:ind w:left="567"/>
        <w:jc w:val="both"/>
      </w:pPr>
      <w:r>
        <w:rPr>
          <w:rStyle w:val="soitChar"/>
          <w:u w:val="single"/>
        </w:rPr>
        <w:t>Vis traversante :</w:t>
      </w:r>
      <w:r>
        <w:rPr>
          <w:rStyle w:val="soitChar"/>
        </w:rPr>
        <w:t xml:space="preserve"> La fixation de type tire-fond et appliquée sur le pli central intérieur du panneau à assembler ou par fixations inclinées. Le nombre de fixations et les sections répondent au dimensionnement selon la [NBN EN 1995 série].</w:t>
      </w:r>
    </w:p>
    <w:p w14:paraId="2388E5B2" w14:textId="77777777" w:rsidR="00DF410E" w:rsidRDefault="00CE7F43">
      <w:pPr>
        <w:ind w:left="567"/>
        <w:jc w:val="both"/>
      </w:pPr>
      <w:r>
        <w:rPr>
          <w:b/>
          <w:i/>
        </w:rPr>
        <w:t>(Soit)</w:t>
      </w:r>
    </w:p>
    <w:p w14:paraId="55E0B435" w14:textId="77777777" w:rsidR="00DF410E" w:rsidRDefault="00CE7F43">
      <w:pPr>
        <w:ind w:left="567"/>
        <w:jc w:val="both"/>
      </w:pPr>
      <w:r>
        <w:rPr>
          <w:rStyle w:val="soitChar"/>
          <w:u w:val="single"/>
        </w:rPr>
        <w:t xml:space="preserve">Dispositifs d’ancrage ponctuels : </w:t>
      </w:r>
      <w:r>
        <w:rPr>
          <w:rStyle w:val="soitChar"/>
        </w:rPr>
        <w:t xml:space="preserve">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panneau. </w:t>
      </w:r>
    </w:p>
    <w:p w14:paraId="286E273A" w14:textId="77777777" w:rsidR="00DF410E" w:rsidRDefault="00CE7F43">
      <w:pPr>
        <w:ind w:left="567"/>
        <w:jc w:val="both"/>
      </w:pPr>
      <w:r>
        <w:rPr>
          <w:b/>
          <w:i/>
        </w:rPr>
        <w:t>(Soit)</w:t>
      </w:r>
    </w:p>
    <w:p w14:paraId="24E3AAF9" w14:textId="77777777" w:rsidR="00DF410E" w:rsidRDefault="00CE7F43">
      <w:pPr>
        <w:ind w:left="567"/>
        <w:jc w:val="both"/>
      </w:pPr>
      <w:r>
        <w:rPr>
          <w:rStyle w:val="optioncarChar"/>
        </w:rPr>
        <w:t>***</w:t>
      </w:r>
    </w:p>
    <w:p w14:paraId="4D22D033" w14:textId="77777777" w:rsidR="00DF410E" w:rsidRDefault="00CE7F43">
      <w:pPr>
        <w:jc w:val="both"/>
      </w:pPr>
      <w:r>
        <w:t> </w:t>
      </w:r>
    </w:p>
    <w:p w14:paraId="4B9A01C7" w14:textId="77777777" w:rsidR="00DF410E" w:rsidRDefault="00CE7F43">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6E43138B" w14:textId="77777777" w:rsidR="00DF410E" w:rsidRDefault="00CE7F43">
      <w:pPr>
        <w:jc w:val="both"/>
      </w:pPr>
      <w:r>
        <w:t>Les fixations, pointes ou vis, des panneaux sont effectuées sur</w:t>
      </w:r>
      <w:r>
        <w:rPr>
          <w:rStyle w:val="optioncarChar"/>
        </w:rPr>
        <w:t xml:space="preserve"> 2/3 </w:t>
      </w:r>
      <w:r>
        <w:t>(par défaut)</w:t>
      </w:r>
      <w:r>
        <w:rPr>
          <w:rStyle w:val="optioncarChar"/>
        </w:rPr>
        <w:t xml:space="preserve"> / ***</w:t>
      </w:r>
      <w:r>
        <w:t xml:space="preserve"> de l’épaisseur du panneau.</w:t>
      </w:r>
    </w:p>
    <w:p w14:paraId="1E51BD0D" w14:textId="77777777" w:rsidR="00DF410E" w:rsidRDefault="00CE7F43">
      <w:pPr>
        <w:jc w:val="both"/>
      </w:pPr>
      <w:r>
        <w:t xml:space="preserve">Les dispositifs d’ancrage sont décrits dans les éléments du </w:t>
      </w:r>
      <w:hyperlink w:anchor="583" w:history="1">
        <w:r>
          <w:t>24.4 Assemblages</w:t>
        </w:r>
      </w:hyperlink>
      <w:r>
        <w:t>.</w:t>
      </w:r>
    </w:p>
    <w:p w14:paraId="40CE5172" w14:textId="77777777" w:rsidR="00DF410E" w:rsidRDefault="00CE7F43">
      <w:pPr>
        <w:pStyle w:val="pheading"/>
      </w:pPr>
      <w:r>
        <w:t>DOCUMENTS DE RÉFÉRENCE COMPLÉMENTAIRES</w:t>
      </w:r>
    </w:p>
    <w:p w14:paraId="46176552" w14:textId="77777777" w:rsidR="00DF410E" w:rsidRDefault="00CE7F43">
      <w:pPr>
        <w:pStyle w:val="pheading"/>
      </w:pPr>
      <w:r>
        <w:t>- Matériau</w:t>
      </w:r>
    </w:p>
    <w:p w14:paraId="0A96CBA4" w14:textId="77777777" w:rsidR="00DF410E" w:rsidRDefault="00CE7F43">
      <w:r>
        <w:t>[NBN EN 301, Adhésifs de nature phénolique et aminoplaste, pour structures portantes en bois - Classification et exigences de performance]</w:t>
      </w:r>
    </w:p>
    <w:p w14:paraId="560F05AE" w14:textId="77777777" w:rsidR="00DF410E" w:rsidRDefault="00CE7F43">
      <w:r>
        <w:t>[NBN EN 302-2, Adhésifs pour structures portantes en bois - Méthodes d'essais - Partie 2 : Détermination de la résistance à la délamination]</w:t>
      </w:r>
    </w:p>
    <w:p w14:paraId="1959B968" w14:textId="77777777" w:rsidR="00DF410E" w:rsidRDefault="00CE7F43">
      <w:r>
        <w:t>[NBN EN 408+A1, Structures en bois - Bois de structure et bois lamellé-collé - Détermination de certaines propriétés physiques et mécaniques]</w:t>
      </w:r>
    </w:p>
    <w:p w14:paraId="222A926A" w14:textId="77777777" w:rsidR="00DF410E" w:rsidRDefault="00CE7F43">
      <w:r>
        <w:t>[NBN EN 1991 série, Eurocode 1 : Actions sur les structures]</w:t>
      </w:r>
    </w:p>
    <w:p w14:paraId="563FB8DC" w14:textId="77777777" w:rsidR="00DF410E" w:rsidRDefault="00CE7F43">
      <w:r>
        <w:t>[NBN EN 1995 série, Eurocode 5: Conception et calcul des structures en bois]</w:t>
      </w:r>
    </w:p>
    <w:p w14:paraId="65A3AD48"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533B896F" w14:textId="77777777" w:rsidR="00DF410E" w:rsidRDefault="00CE7F43">
      <w:r>
        <w:t>[NBN EN 13556, Bois ronds et bois sciés - Nomenclature des bois utilisés en Europe]</w:t>
      </w:r>
    </w:p>
    <w:p w14:paraId="2E143ED8" w14:textId="77777777" w:rsidR="00DF410E" w:rsidRDefault="00CE7F43">
      <w:r>
        <w:t>[NBN EN 14358, Structures en bois - Détermination et vérification des valeurs caractéristiques]</w:t>
      </w:r>
    </w:p>
    <w:p w14:paraId="59BB9DF0" w14:textId="77777777" w:rsidR="00DF410E" w:rsidRDefault="00CE7F43">
      <w:r>
        <w:t>[NBN EN 15425, Adhésifs - Adhésifs polyuréthane monocomposants (PUR) pour structures portantes en bois - Classification et exigences de performance]</w:t>
      </w:r>
    </w:p>
    <w:p w14:paraId="0DA6E63E" w14:textId="77777777" w:rsidR="00DF410E" w:rsidRDefault="00CE7F43">
      <w:r>
        <w:t>[NBN EN 16351, Structures en bois - Bois lamellé croisé - Exigences] </w:t>
      </w:r>
    </w:p>
    <w:p w14:paraId="56DB9B22" w14:textId="77777777" w:rsidR="00DF410E" w:rsidRDefault="00CE7F43">
      <w:pPr>
        <w:pStyle w:val="pheading"/>
      </w:pPr>
      <w:r>
        <w:t>MESURAGE</w:t>
      </w:r>
    </w:p>
    <w:p w14:paraId="41DB538C" w14:textId="77777777" w:rsidR="00DF410E" w:rsidRDefault="00CE7F43">
      <w:pPr>
        <w:pStyle w:val="pheading"/>
      </w:pPr>
      <w:r>
        <w:t>- unité de mesure:</w:t>
      </w:r>
    </w:p>
    <w:p w14:paraId="162106CA" w14:textId="77777777" w:rsidR="00DF410E" w:rsidRDefault="00CE7F43">
      <w:r>
        <w:rPr>
          <w:rStyle w:val="optioncarChar"/>
        </w:rPr>
        <w:t>m² </w:t>
      </w:r>
      <w:r>
        <w:t>(par défaut)</w:t>
      </w:r>
      <w:r>
        <w:rPr>
          <w:rStyle w:val="optioncarChar"/>
        </w:rPr>
        <w:t xml:space="preserve"> / m³ </w:t>
      </w:r>
    </w:p>
    <w:p w14:paraId="0C0E4090" w14:textId="77777777" w:rsidR="00DF410E" w:rsidRDefault="00CE7F43">
      <w:r>
        <w:rPr>
          <w:b/>
          <w:i/>
        </w:rPr>
        <w:t>(Soit par défaut)</w:t>
      </w:r>
    </w:p>
    <w:p w14:paraId="19CF8B3D" w14:textId="77777777" w:rsidR="00DF410E" w:rsidRDefault="00CE7F43">
      <w:r>
        <w:rPr>
          <w:rStyle w:val="soitChar"/>
        </w:rPr>
        <w:t>1.     m²</w:t>
      </w:r>
    </w:p>
    <w:p w14:paraId="4A1D5C1B" w14:textId="77777777" w:rsidR="00DF410E" w:rsidRDefault="00CE7F43">
      <w:r>
        <w:rPr>
          <w:b/>
          <w:i/>
        </w:rPr>
        <w:t>(Soit)</w:t>
      </w:r>
    </w:p>
    <w:p w14:paraId="63635372" w14:textId="77777777" w:rsidR="00DF410E" w:rsidRDefault="00CE7F43">
      <w:r>
        <w:rPr>
          <w:rStyle w:val="soitChar"/>
        </w:rPr>
        <w:t>2.     m³</w:t>
      </w:r>
    </w:p>
    <w:p w14:paraId="74851BDF" w14:textId="77777777" w:rsidR="00DF410E" w:rsidRDefault="00CE7F43">
      <w:pPr>
        <w:pStyle w:val="pheading"/>
      </w:pPr>
      <w:r>
        <w:t>- code de mesurage:</w:t>
      </w:r>
    </w:p>
    <w:p w14:paraId="318B2396" w14:textId="77777777" w:rsidR="00DF410E" w:rsidRDefault="00CE7F43">
      <w:pPr>
        <w:jc w:val="both"/>
      </w:pPr>
      <w:r>
        <w:rPr>
          <w:rStyle w:val="optioncarChar"/>
        </w:rPr>
        <w:t xml:space="preserve">Surface nette </w:t>
      </w:r>
      <w:r>
        <w:t xml:space="preserve">(par défaut) </w:t>
      </w:r>
      <w:r>
        <w:rPr>
          <w:rStyle w:val="optioncarChar"/>
        </w:rPr>
        <w:t>/ Volume net</w:t>
      </w:r>
    </w:p>
    <w:p w14:paraId="41E108C9" w14:textId="77777777" w:rsidR="00DF410E" w:rsidRDefault="00CE7F43">
      <w:pPr>
        <w:jc w:val="both"/>
      </w:pPr>
      <w:r>
        <w:rPr>
          <w:b/>
          <w:i/>
        </w:rPr>
        <w:t>(Soit par défaut)</w:t>
      </w:r>
    </w:p>
    <w:p w14:paraId="711AD1F2" w14:textId="77777777" w:rsidR="00DF410E" w:rsidRDefault="00CE7F43">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2CF52355" w14:textId="77777777" w:rsidR="00DF410E" w:rsidRDefault="00CE7F43">
      <w:pPr>
        <w:jc w:val="both"/>
      </w:pPr>
      <w:r>
        <w:rPr>
          <w:b/>
          <w:i/>
        </w:rPr>
        <w:t>(Soit)</w:t>
      </w:r>
    </w:p>
    <w:p w14:paraId="53593571" w14:textId="77777777" w:rsidR="00DF410E" w:rsidRDefault="00CE7F43">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2064076B" w14:textId="77777777" w:rsidR="00DF410E" w:rsidRDefault="00CE7F43">
      <w:pPr>
        <w:pStyle w:val="pheading"/>
      </w:pPr>
      <w:r>
        <w:t>- nature du marché:</w:t>
      </w:r>
    </w:p>
    <w:p w14:paraId="387D65C5" w14:textId="77777777" w:rsidR="00DF410E" w:rsidRDefault="00CE7F43">
      <w:r>
        <w:t>QF</w:t>
      </w:r>
    </w:p>
    <w:p w14:paraId="3DB5FE7F" w14:textId="77777777" w:rsidR="00DF410E" w:rsidRDefault="00CE7F43">
      <w:pPr>
        <w:pStyle w:val="Author-eSectionHeading6"/>
      </w:pPr>
      <w:bookmarkStart w:id="1629" w:name="_Toc178838722"/>
      <w:r>
        <w:t>24.15.1b Voiles massifs en CLT cloués CCTB 01.12</w:t>
      </w:r>
      <w:bookmarkEnd w:id="1629"/>
    </w:p>
    <w:p w14:paraId="09F1365E" w14:textId="77777777" w:rsidR="00DF410E" w:rsidRDefault="00CE7F43">
      <w:pPr>
        <w:pStyle w:val="pheading"/>
      </w:pPr>
      <w:r>
        <w:t>DESCRIPTION</w:t>
      </w:r>
    </w:p>
    <w:p w14:paraId="05BF5AAA" w14:textId="77777777" w:rsidR="00DF410E" w:rsidRDefault="00CE7F43">
      <w:pPr>
        <w:pStyle w:val="pheading"/>
      </w:pPr>
      <w:r>
        <w:t>- Définition / Comprend</w:t>
      </w:r>
    </w:p>
    <w:p w14:paraId="1905ED2C" w14:textId="77777777" w:rsidR="00DF410E" w:rsidRDefault="00CE7F43">
      <w:pPr>
        <w:jc w:val="both"/>
      </w:pPr>
      <w:r>
        <w:t>Il s’agit de la fourniture et la pose de tous les éléments constitués de panneaux lamellés croisés cloués en bois ou à base de bois constituant les systèmes de construction CLT portants et non portants y compris toutes les pièces qui en font intrinsèquement partie (notamment les dispositifs d’assemblage).</w:t>
      </w:r>
    </w:p>
    <w:p w14:paraId="13687A6B" w14:textId="77777777" w:rsidR="00DF410E" w:rsidRDefault="00CE7F43">
      <w:pPr>
        <w:pStyle w:val="pheading"/>
      </w:pPr>
      <w:r>
        <w:t>- Localisation</w:t>
      </w:r>
    </w:p>
    <w:p w14:paraId="2A2D0EA6" w14:textId="77777777" w:rsidR="00DF410E" w:rsidRDefault="00CE7F43">
      <w:r>
        <w:t>Localisation des travaux :</w:t>
      </w:r>
      <w:r>
        <w:rPr>
          <w:rStyle w:val="optioncarChar"/>
        </w:rPr>
        <w:t xml:space="preserve"> ***</w:t>
      </w:r>
      <w:r>
        <w:t>.</w:t>
      </w:r>
    </w:p>
    <w:p w14:paraId="1D97BD7D" w14:textId="77777777" w:rsidR="00DF410E" w:rsidRDefault="00CE7F43">
      <w:r>
        <w:t>Voir plans et métrés détaillés.</w:t>
      </w:r>
    </w:p>
    <w:p w14:paraId="614D2D50" w14:textId="77777777" w:rsidR="00DF410E" w:rsidRDefault="00CE7F43">
      <w:pPr>
        <w:pStyle w:val="pheading"/>
      </w:pPr>
      <w:r>
        <w:t>MATÉRIAUX</w:t>
      </w:r>
    </w:p>
    <w:p w14:paraId="68D04C26" w14:textId="77777777" w:rsidR="00DF410E" w:rsidRDefault="00CE7F43">
      <w:pPr>
        <w:pStyle w:val="pheading"/>
      </w:pPr>
      <w:r>
        <w:t>- Caractéristiques générales</w:t>
      </w:r>
    </w:p>
    <w:p w14:paraId="1A0631D6" w14:textId="77777777" w:rsidR="00DF410E" w:rsidRDefault="00CE7F43">
      <w:pPr>
        <w:jc w:val="both"/>
      </w:pPr>
      <w:r>
        <w:t>Épaisseur totale du panneau CLT cloué : </w:t>
      </w:r>
      <w:r>
        <w:rPr>
          <w:rStyle w:val="optioncarChar"/>
        </w:rPr>
        <w:t>***</w:t>
      </w:r>
      <w:r>
        <w:t> mm.</w:t>
      </w:r>
    </w:p>
    <w:p w14:paraId="7AB2A506" w14:textId="77777777" w:rsidR="00DF410E" w:rsidRDefault="00CE7F43">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3271BF8E" w14:textId="77777777" w:rsidR="00DF410E" w:rsidRDefault="00CE7F43">
      <w:pPr>
        <w:jc w:val="both"/>
      </w:pPr>
      <w:r>
        <w:t>Classe de résistance :</w:t>
      </w:r>
      <w:r>
        <w:rPr>
          <w:rStyle w:val="optioncarChar"/>
        </w:rPr>
        <w:t> C18 </w:t>
      </w:r>
      <w:r>
        <w:t>(par défaut)</w:t>
      </w:r>
      <w:r>
        <w:rPr>
          <w:rStyle w:val="optioncarChar"/>
        </w:rPr>
        <w:t xml:space="preserve"> / D18 / C24 / D24 / C30 / D30 / ***.</w:t>
      </w:r>
    </w:p>
    <w:p w14:paraId="50CE8579" w14:textId="77777777" w:rsidR="00DF410E" w:rsidRDefault="00CE7F43">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1DE35976" w14:textId="77777777" w:rsidR="00DF410E" w:rsidRDefault="00CE7F43">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40/-40-40 / 22-22-22-22-22 </w:t>
      </w:r>
      <w:r>
        <w:t>(par défaut)</w:t>
      </w:r>
      <w:r>
        <w:rPr>
          <w:rStyle w:val="optioncarChar"/>
        </w:rPr>
        <w:t> /  22-30-22-30 / 40-22-22-22-40 / ***</w:t>
      </w:r>
      <w:r>
        <w:t> mm.</w:t>
      </w:r>
    </w:p>
    <w:p w14:paraId="35EBC9ED" w14:textId="77777777" w:rsidR="00DF410E" w:rsidRDefault="00CE7F43">
      <w:pPr>
        <w:jc w:val="both"/>
      </w:pPr>
      <w:r>
        <w:t>Les lames </w:t>
      </w:r>
      <w:r>
        <w:rPr>
          <w:rStyle w:val="optioncarChar"/>
        </w:rPr>
        <w:t xml:space="preserve">sont </w:t>
      </w:r>
      <w:r>
        <w:t>(par défaut)</w:t>
      </w:r>
      <w:r>
        <w:rPr>
          <w:rStyle w:val="optioncarChar"/>
        </w:rPr>
        <w:t> / ne sont pas</w:t>
      </w:r>
      <w:r>
        <w:t> munies de fente (rainures) de soulagement.</w:t>
      </w:r>
    </w:p>
    <w:p w14:paraId="31AE5C92" w14:textId="77777777" w:rsidR="00DF410E" w:rsidRDefault="00CE7F43">
      <w:pPr>
        <w:jc w:val="both"/>
      </w:pPr>
      <w:r>
        <w:t>La réaction au feu est de classe </w:t>
      </w:r>
      <w:r>
        <w:rPr>
          <w:rStyle w:val="optioncarChar"/>
        </w:rPr>
        <w:t>D-s2, d0</w:t>
      </w:r>
      <w:r>
        <w:t> (par défaut)</w:t>
      </w:r>
      <w:r>
        <w:rPr>
          <w:rStyle w:val="optioncarChar"/>
        </w:rPr>
        <w:t> / ***.</w:t>
      </w:r>
    </w:p>
    <w:p w14:paraId="09220DDB" w14:textId="77777777" w:rsidR="00DF410E" w:rsidRDefault="00CE7F43">
      <w:pPr>
        <w:jc w:val="both"/>
      </w:pPr>
      <w:r>
        <w:t>La résistance au feu déclarée de la paroi : </w:t>
      </w:r>
      <w:r>
        <w:rPr>
          <w:rStyle w:val="optioncarChar"/>
        </w:rPr>
        <w:t>pas d’exigences </w:t>
      </w:r>
      <w:r>
        <w:t>(par défaut) </w:t>
      </w:r>
      <w:r>
        <w:rPr>
          <w:rStyle w:val="optioncarChar"/>
        </w:rPr>
        <w:t>/ REI 30 / EI30 / REI 60 / EI 60 / ***.</w:t>
      </w:r>
    </w:p>
    <w:p w14:paraId="7A7A429A" w14:textId="77777777" w:rsidR="00DF410E" w:rsidRDefault="00CE7F43">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3F5A090E" w14:textId="77777777" w:rsidR="00DF410E" w:rsidRDefault="00CE7F43">
      <w:pPr>
        <w:jc w:val="both"/>
      </w:pPr>
      <w:r>
        <w:t>La conductivité thermique des lames de bois déclarée (selon [NBN EN 12667]) ≤ </w:t>
      </w:r>
      <w:r>
        <w:rPr>
          <w:rStyle w:val="optioncarChar"/>
        </w:rPr>
        <w:t>0.11 / 0.13 </w:t>
      </w:r>
      <w:r>
        <w:t>(par défaut)</w:t>
      </w:r>
      <w:r>
        <w:rPr>
          <w:rStyle w:val="optioncarChar"/>
        </w:rPr>
        <w:t> / 0.2 / ***</w:t>
      </w:r>
      <w:r>
        <w:t> W/mK.</w:t>
      </w:r>
    </w:p>
    <w:p w14:paraId="7C1A2258" w14:textId="77777777" w:rsidR="00DF410E" w:rsidRDefault="00CE7F43">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11A47605" w14:textId="77777777" w:rsidR="00DF410E" w:rsidRDefault="00CE7F43">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6D504E98" w14:textId="77777777" w:rsidR="00DF410E" w:rsidRDefault="00CE7F43">
      <w:pPr>
        <w:jc w:val="both"/>
      </w:pPr>
      <w:r>
        <w:t xml:space="preserve">L’assemblage des plis est réalisé par </w:t>
      </w:r>
      <w:r>
        <w:rPr>
          <w:rStyle w:val="optioncarChar"/>
        </w:rPr>
        <w:t>clous en aluminium</w:t>
      </w:r>
      <w:r>
        <w:t xml:space="preserve"> (par défaut) </w:t>
      </w:r>
      <w:r>
        <w:rPr>
          <w:rStyle w:val="optioncarChar"/>
        </w:rPr>
        <w:t>/ acier / ***</w:t>
      </w:r>
      <w:r>
        <w:t xml:space="preserve">. Le nombre de fixations est de min </w:t>
      </w:r>
      <w:r>
        <w:rPr>
          <w:rStyle w:val="optioncarChar"/>
        </w:rPr>
        <w:t xml:space="preserve">60 </w:t>
      </w:r>
      <w:r>
        <w:t>(par défaut)</w:t>
      </w:r>
      <w:r>
        <w:rPr>
          <w:rStyle w:val="optioncarChar"/>
        </w:rPr>
        <w:t xml:space="preserve"> / ***</w:t>
      </w:r>
      <w:r>
        <w:t xml:space="preserve"> clous par m² par pli.</w:t>
      </w:r>
    </w:p>
    <w:p w14:paraId="3CE40093" w14:textId="77777777" w:rsidR="00DF410E" w:rsidRDefault="00CE7F43">
      <w:pPr>
        <w:jc w:val="both"/>
      </w:pPr>
      <w:r>
        <w:t>En l’absence de méthode de calcul de stabilité harmonisée sur ce produit, les performances mécaniques sont déterminées par essais pour répondre aux exigences déterminées dans l’étude de stabilité.</w:t>
      </w:r>
    </w:p>
    <w:p w14:paraId="11F6DBDA" w14:textId="77777777" w:rsidR="00DF410E" w:rsidRDefault="00CE7F43">
      <w:pPr>
        <w:jc w:val="both"/>
      </w:pPr>
      <w:r>
        <w:t>Pour une application de plancher, le rapport comprend les essais de flexion selon les deux directions du plan du panneau, de cisaillement ainsi que les modules de glissement.</w:t>
      </w:r>
    </w:p>
    <w:p w14:paraId="465CE282" w14:textId="77777777" w:rsidR="00DF410E" w:rsidRDefault="00CE7F43">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746A646C" w14:textId="77777777" w:rsidR="00DF410E" w:rsidRDefault="00CE7F43">
      <w:pPr>
        <w:jc w:val="both"/>
      </w:pPr>
      <w:r>
        <w:t>Un jeu de </w:t>
      </w:r>
      <w:r>
        <w:rPr>
          <w:rStyle w:val="optioncarChar"/>
        </w:rPr>
        <w:t>0 </w:t>
      </w:r>
      <w:r>
        <w:t>(par défaut) </w:t>
      </w:r>
      <w:r>
        <w:rPr>
          <w:rStyle w:val="optioncarChar"/>
        </w:rPr>
        <w:t>/ 2 / 5 / *** mm</w:t>
      </w:r>
      <w:r>
        <w:t> est réservé entre les lamelles.</w:t>
      </w:r>
    </w:p>
    <w:p w14:paraId="309B8337" w14:textId="77777777" w:rsidR="00DF410E" w:rsidRDefault="00CE7F43">
      <w:pPr>
        <w:jc w:val="both"/>
      </w:pPr>
      <w:r>
        <w:t>Le dégagement de formaldéhyde est déclaré conformément la [NBN EN 16351] §4.6 et de classe </w:t>
      </w:r>
      <w:r>
        <w:rPr>
          <w:rStyle w:val="optioncarChar"/>
        </w:rPr>
        <w:t>E1 </w:t>
      </w:r>
      <w:r>
        <w:t>(par défaut)</w:t>
      </w:r>
      <w:r>
        <w:rPr>
          <w:rStyle w:val="optioncarChar"/>
        </w:rPr>
        <w:t> / E2.</w:t>
      </w:r>
    </w:p>
    <w:p w14:paraId="590591BF" w14:textId="77777777" w:rsidR="00DF410E" w:rsidRDefault="00CE7F43">
      <w:pPr>
        <w:pStyle w:val="pheading"/>
      </w:pPr>
      <w:r>
        <w:t>- Finitions</w:t>
      </w:r>
    </w:p>
    <w:p w14:paraId="45B53224" w14:textId="77777777" w:rsidR="00DF410E" w:rsidRDefault="00CE7F43">
      <w:pPr>
        <w:jc w:val="both"/>
      </w:pPr>
      <w:r>
        <w:t>Exigences d’aspect : </w:t>
      </w:r>
      <w:r>
        <w:rPr>
          <w:rStyle w:val="optioncarChar"/>
        </w:rPr>
        <w:t>non-visible / visible industriel</w:t>
      </w:r>
      <w:r>
        <w:t xml:space="preserve"> (par défaut) </w:t>
      </w:r>
      <w:r>
        <w:rPr>
          <w:rStyle w:val="optioncarChar"/>
        </w:rPr>
        <w:t>/ visible habitat sur 1 face.</w:t>
      </w:r>
    </w:p>
    <w:p w14:paraId="53515C2E" w14:textId="77777777" w:rsidR="00DF410E" w:rsidRDefault="00CE7F43">
      <w:pPr>
        <w:jc w:val="both"/>
      </w:pPr>
      <w:r>
        <w:t>Les panneaux </w:t>
      </w:r>
      <w:r>
        <w:rPr>
          <w:rStyle w:val="optioncarChar"/>
        </w:rPr>
        <w:t>sont / ne sont pas</w:t>
      </w:r>
      <w:r>
        <w:t> (par défaut) munis de gaines (rainures) techniques et blochets intégrés non traversantes.</w:t>
      </w:r>
    </w:p>
    <w:p w14:paraId="734A2707" w14:textId="77777777" w:rsidR="00DF410E" w:rsidRDefault="00CE7F43">
      <w:pPr>
        <w:pStyle w:val="pheading"/>
      </w:pPr>
      <w:r>
        <w:t>- Prescriptions complémentaires</w:t>
      </w:r>
    </w:p>
    <w:p w14:paraId="7EC81AF8" w14:textId="77777777" w:rsidR="00DF410E" w:rsidRDefault="00CE7F43">
      <w:r>
        <w:rPr>
          <w:rStyle w:val="facultChar"/>
        </w:rPr>
        <w:t>Capacité thermique :</w:t>
      </w:r>
      <w:r>
        <w:t>   </w:t>
      </w:r>
      <w:r>
        <w:rPr>
          <w:rStyle w:val="optioncarChar"/>
        </w:rPr>
        <w:t>&gt; 2</w:t>
      </w:r>
      <w:r>
        <w:t xml:space="preserve"> (par défaut)</w:t>
      </w:r>
      <w:r>
        <w:rPr>
          <w:rStyle w:val="optioncarChar"/>
        </w:rPr>
        <w:t xml:space="preserve"> / ***</w:t>
      </w:r>
      <w:r>
        <w:t>  </w:t>
      </w:r>
      <w:r>
        <w:rPr>
          <w:rStyle w:val="facultChar"/>
        </w:rPr>
        <w:t>kJ/kg.K</w:t>
      </w:r>
    </w:p>
    <w:p w14:paraId="5DBF9DCB" w14:textId="77777777" w:rsidR="00DF410E" w:rsidRDefault="00CE7F43">
      <w:pPr>
        <w:pStyle w:val="pheading"/>
      </w:pPr>
      <w:r>
        <w:t>EXÉCUTION / MISE EN ŒUVRE</w:t>
      </w:r>
    </w:p>
    <w:p w14:paraId="1B155EC6" w14:textId="77777777" w:rsidR="00DF410E" w:rsidRDefault="00CE7F43">
      <w:pPr>
        <w:pStyle w:val="pheading"/>
      </w:pPr>
      <w:r>
        <w:t>- Prescriptions générales</w:t>
      </w:r>
    </w:p>
    <w:p w14:paraId="1DE1863B" w14:textId="77777777" w:rsidR="00DF410E" w:rsidRDefault="00CE7F43">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6FE75707" w14:textId="77777777" w:rsidR="00DF410E" w:rsidRDefault="00CE7F43">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1902A054" w14:textId="77777777" w:rsidR="00DF410E" w:rsidRDefault="00CE7F43">
      <w:pPr>
        <w:jc w:val="both"/>
      </w:pPr>
      <w:r>
        <w:t> </w:t>
      </w:r>
    </w:p>
    <w:p w14:paraId="14CD88DD" w14:textId="77777777" w:rsidR="00DF410E" w:rsidRDefault="00CE7F43">
      <w:pPr>
        <w:jc w:val="both"/>
      </w:pPr>
      <w:r>
        <w:rPr>
          <w:b/>
          <w:i/>
        </w:rPr>
        <w:t>Fixation en pied de mur</w:t>
      </w:r>
    </w:p>
    <w:p w14:paraId="2C0851AA" w14:textId="77777777" w:rsidR="00DF410E" w:rsidRDefault="00CE7F43">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5631B641" w14:textId="77777777" w:rsidR="00DF410E" w:rsidRDefault="00CE7F43">
      <w:pPr>
        <w:ind w:left="567"/>
        <w:jc w:val="both"/>
      </w:pPr>
      <w:r>
        <w:rPr>
          <w:b/>
          <w:i/>
        </w:rPr>
        <w:t>(Soit par défaut)</w:t>
      </w:r>
    </w:p>
    <w:p w14:paraId="4C29D11A" w14:textId="77777777" w:rsidR="00DF410E" w:rsidRDefault="00CE7F43">
      <w:pPr>
        <w:ind w:left="567"/>
        <w:jc w:val="both"/>
      </w:pPr>
      <w:r>
        <w:rPr>
          <w:rStyle w:val="soitChar"/>
          <w:u w:val="single"/>
        </w:rPr>
        <w:t>La lisse basse</w:t>
      </w:r>
      <w:r>
        <w:rPr>
          <w:rStyle w:val="soitChar"/>
        </w:rPr>
        <w:t xml:space="preserve"> est fixée par </w:t>
      </w:r>
      <w:r>
        <w:rPr>
          <w:rStyle w:val="optioncarChar"/>
        </w:rPr>
        <w:t>chevilles métalliques</w:t>
      </w:r>
      <w:r>
        <w:t>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590" w:history="1">
        <w:r>
          <w:rPr>
            <w:rStyle w:val="soitChar"/>
          </w:rPr>
          <w:t>24.11.1a Lisses de pose en bois massif</w:t>
        </w:r>
      </w:hyperlink>
      <w:r>
        <w:rPr>
          <w:rStyle w:val="soitChar"/>
        </w:rPr>
        <w:t>.</w:t>
      </w:r>
    </w:p>
    <w:p w14:paraId="7B47A517" w14:textId="77777777" w:rsidR="00DF410E" w:rsidRDefault="00CE7F43">
      <w:pPr>
        <w:ind w:left="567"/>
        <w:jc w:val="both"/>
      </w:pPr>
      <w:r>
        <w:rPr>
          <w:b/>
          <w:i/>
        </w:rPr>
        <w:t>(Soit)</w:t>
      </w:r>
    </w:p>
    <w:p w14:paraId="06954A9C" w14:textId="77777777" w:rsidR="00DF410E" w:rsidRDefault="00CE7F43">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50</w:t>
      </w:r>
      <w:r>
        <w:t> (par défaut)</w:t>
      </w:r>
      <w:r>
        <w:rPr>
          <w:rStyle w:val="optioncarChar"/>
        </w:rPr>
        <w:t> / ***</w:t>
      </w:r>
      <w:r>
        <w:rPr>
          <w:rStyle w:val="soitChar"/>
        </w:rPr>
        <w:t> mm du bord du panneau.</w:t>
      </w:r>
      <w:r>
        <w:t> </w:t>
      </w:r>
    </w:p>
    <w:p w14:paraId="285C01D7" w14:textId="77777777" w:rsidR="00DF410E" w:rsidRDefault="00CE7F43">
      <w:pPr>
        <w:ind w:left="567"/>
        <w:jc w:val="both"/>
      </w:pPr>
      <w:r>
        <w:rPr>
          <w:b/>
          <w:i/>
        </w:rPr>
        <w:t>(Soit)</w:t>
      </w:r>
    </w:p>
    <w:p w14:paraId="6CBF4D4D" w14:textId="77777777" w:rsidR="00DF410E" w:rsidRDefault="00CE7F43">
      <w:pPr>
        <w:ind w:left="567"/>
        <w:jc w:val="both"/>
      </w:pPr>
      <w:r>
        <w:rPr>
          <w:rStyle w:val="optioncarChar"/>
        </w:rPr>
        <w:t>***</w:t>
      </w:r>
    </w:p>
    <w:p w14:paraId="020565A8" w14:textId="77777777" w:rsidR="00DF410E" w:rsidRDefault="00DF410E">
      <w:pPr>
        <w:ind w:left="567"/>
        <w:jc w:val="both"/>
      </w:pPr>
    </w:p>
    <w:p w14:paraId="24199A0D" w14:textId="77777777" w:rsidR="00DF410E" w:rsidRDefault="00CE7F43">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0537AB29" w14:textId="77777777" w:rsidR="00DF410E" w:rsidRDefault="00CE7F43">
      <w:pPr>
        <w:jc w:val="both"/>
      </w:pPr>
      <w:r>
        <w:rPr>
          <w:b/>
          <w:i/>
        </w:rPr>
        <w:t>Fixation entre panneaux de même plan</w:t>
      </w:r>
    </w:p>
    <w:p w14:paraId="43AE047C" w14:textId="77777777" w:rsidR="00DF410E" w:rsidRDefault="00CE7F43">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05EED28E" w14:textId="77777777" w:rsidR="00DF410E" w:rsidRDefault="00CE7F43">
      <w:pPr>
        <w:jc w:val="both"/>
      </w:pPr>
      <w:r>
        <w:rPr>
          <w:b/>
          <w:i/>
        </w:rPr>
        <w:t>Assemblage d’angles</w:t>
      </w:r>
    </w:p>
    <w:p w14:paraId="36104C55" w14:textId="77777777" w:rsidR="00DF410E" w:rsidRDefault="00CE7F43">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2A4D1BF1" w14:textId="77777777" w:rsidR="00DF410E" w:rsidRDefault="00CE7F43">
      <w:pPr>
        <w:ind w:left="567"/>
        <w:jc w:val="both"/>
      </w:pPr>
      <w:r>
        <w:rPr>
          <w:b/>
          <w:i/>
        </w:rPr>
        <w:t>(Soit par défaut)</w:t>
      </w:r>
    </w:p>
    <w:p w14:paraId="6B35B5D4" w14:textId="77777777" w:rsidR="00DF410E" w:rsidRDefault="00CE7F43">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068D7896" w14:textId="77777777" w:rsidR="00DF410E" w:rsidRDefault="00CE7F43">
      <w:pPr>
        <w:ind w:left="567"/>
        <w:jc w:val="both"/>
      </w:pPr>
      <w:r>
        <w:rPr>
          <w:b/>
          <w:i/>
        </w:rPr>
        <w:t>(Soit)</w:t>
      </w:r>
    </w:p>
    <w:p w14:paraId="7C57BBA0" w14:textId="77777777" w:rsidR="00DF410E" w:rsidRDefault="00CE7F43">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50 </w:t>
      </w:r>
      <w:r>
        <w:t>(par défaut) </w:t>
      </w:r>
      <w:r>
        <w:rPr>
          <w:rStyle w:val="optioncarChar"/>
        </w:rPr>
        <w:t>/ ***</w:t>
      </w:r>
      <w:r>
        <w:rPr>
          <w:rStyle w:val="soitChar"/>
        </w:rPr>
        <w:t> mm du bord du panneau. </w:t>
      </w:r>
    </w:p>
    <w:p w14:paraId="4CC5DE9D" w14:textId="77777777" w:rsidR="00DF410E" w:rsidRDefault="00CE7F43">
      <w:pPr>
        <w:ind w:left="567"/>
        <w:jc w:val="both"/>
      </w:pPr>
      <w:r>
        <w:rPr>
          <w:b/>
          <w:i/>
        </w:rPr>
        <w:t>(Soit)</w:t>
      </w:r>
    </w:p>
    <w:p w14:paraId="5DF9FFAE" w14:textId="77777777" w:rsidR="00DF410E" w:rsidRDefault="00CE7F43">
      <w:pPr>
        <w:ind w:left="567"/>
        <w:jc w:val="both"/>
      </w:pPr>
      <w:r>
        <w:rPr>
          <w:rStyle w:val="optioncarChar"/>
        </w:rPr>
        <w:t>***</w:t>
      </w:r>
    </w:p>
    <w:p w14:paraId="5AD29D76" w14:textId="77777777" w:rsidR="00DF410E" w:rsidRDefault="00CE7F43">
      <w:pPr>
        <w:jc w:val="both"/>
      </w:pPr>
      <w:r>
        <w:t> </w:t>
      </w:r>
    </w:p>
    <w:p w14:paraId="5CEF9D3E" w14:textId="77777777" w:rsidR="00DF410E" w:rsidRDefault="00CE7F43">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6F704A82" w14:textId="77777777" w:rsidR="00DF410E" w:rsidRDefault="00CE7F43">
      <w:pPr>
        <w:jc w:val="both"/>
      </w:pPr>
      <w:r>
        <w:t>Les fixations, pointes ou vis, des panneaux sont effectuées sur</w:t>
      </w:r>
      <w:r>
        <w:rPr>
          <w:rStyle w:val="optioncarChar"/>
        </w:rPr>
        <w:t> 2/3 </w:t>
      </w:r>
      <w:r>
        <w:t>(par défaut)</w:t>
      </w:r>
      <w:r>
        <w:rPr>
          <w:rStyle w:val="optioncarChar"/>
        </w:rPr>
        <w:t> / ***</w:t>
      </w:r>
      <w:r>
        <w:t> de l’épaisseur du panneau.</w:t>
      </w:r>
    </w:p>
    <w:p w14:paraId="41E74826" w14:textId="77777777" w:rsidR="00DF410E" w:rsidRDefault="00CE7F43">
      <w:pPr>
        <w:jc w:val="both"/>
      </w:pPr>
      <w:r>
        <w:t>Les dispositifs d’ancrage sont décrits dans les éléments du </w:t>
      </w:r>
      <w:hyperlink w:anchor="583" w:history="1">
        <w:r>
          <w:t>24.4 Assemblages</w:t>
        </w:r>
      </w:hyperlink>
      <w:r>
        <w:t>.</w:t>
      </w:r>
    </w:p>
    <w:p w14:paraId="60C7BB6F" w14:textId="77777777" w:rsidR="00DF410E" w:rsidRDefault="00CE7F43">
      <w:pPr>
        <w:pStyle w:val="pheading"/>
      </w:pPr>
      <w:r>
        <w:t>DOCUMENTS DE RÉFÉRENCE COMPLÉMENTAIRES</w:t>
      </w:r>
    </w:p>
    <w:p w14:paraId="696E8529" w14:textId="77777777" w:rsidR="00DF410E" w:rsidRDefault="00CE7F43">
      <w:pPr>
        <w:pStyle w:val="pheading"/>
      </w:pPr>
      <w:r>
        <w:t>- Matériau</w:t>
      </w:r>
    </w:p>
    <w:p w14:paraId="4FF76F0E" w14:textId="77777777" w:rsidR="00DF410E" w:rsidRDefault="00CE7F43">
      <w:r>
        <w:t>[NBN EN 408+A1, Structures en bois - Bois de structure et bois lamellé-collé - Détermination de certaines propriétés physiques et mécaniques] </w:t>
      </w:r>
    </w:p>
    <w:p w14:paraId="626C3AE9" w14:textId="77777777" w:rsidR="00DF410E" w:rsidRDefault="00CE7F43">
      <w:r>
        <w:t>[NBN EN 594, Structures en bois - Méthodes d'essai - Essai de raideur et résistance au contreventement des murs à ossature en bois]</w:t>
      </w:r>
    </w:p>
    <w:p w14:paraId="6D1CD9C7" w14:textId="77777777" w:rsidR="00DF410E" w:rsidRDefault="00CE7F43">
      <w:r>
        <w:t>[NBN EN 1991 série, Eurocode 1 : Actions sur les structures]</w:t>
      </w:r>
    </w:p>
    <w:p w14:paraId="06DB9F08" w14:textId="77777777" w:rsidR="00DF410E" w:rsidRDefault="00CE7F43">
      <w:r>
        <w:t>[NBN EN 1995 série, Eurocode 5: Conception et calcul des structures en bois]</w:t>
      </w:r>
    </w:p>
    <w:p w14:paraId="3270B393"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28A5D4B0" w14:textId="77777777" w:rsidR="00DF410E" w:rsidRDefault="00CE7F43">
      <w:r>
        <w:t>[NBN EN 13556, Bois ronds et bois sciés - Nomenclature des bois utilisés en Europe]</w:t>
      </w:r>
    </w:p>
    <w:p w14:paraId="7CDD25F2" w14:textId="77777777" w:rsidR="00DF410E" w:rsidRDefault="00CE7F43">
      <w:r>
        <w:t>[NBN EN 14358, Structures en bois - Détermination et vérification des valeurs caractéristiques]</w:t>
      </w:r>
    </w:p>
    <w:p w14:paraId="4B05B617" w14:textId="77777777" w:rsidR="00DF410E" w:rsidRDefault="00CE7F43">
      <w:r>
        <w:t>[NBN EN 16351, Structures en bois - Bois lamellé croisé - Exigences]</w:t>
      </w:r>
    </w:p>
    <w:p w14:paraId="35276FE4" w14:textId="77777777" w:rsidR="00DF410E" w:rsidRDefault="00CE7F43">
      <w:pPr>
        <w:pStyle w:val="pheading"/>
      </w:pPr>
      <w:r>
        <w:t>MESURAGE</w:t>
      </w:r>
    </w:p>
    <w:p w14:paraId="44FC4802" w14:textId="77777777" w:rsidR="00DF410E" w:rsidRDefault="00CE7F43">
      <w:pPr>
        <w:pStyle w:val="pheading"/>
      </w:pPr>
      <w:r>
        <w:t>- unité de mesure:</w:t>
      </w:r>
    </w:p>
    <w:p w14:paraId="1D6347D3" w14:textId="77777777" w:rsidR="00DF410E" w:rsidRDefault="00CE7F43">
      <w:r>
        <w:rPr>
          <w:rStyle w:val="optioncarChar"/>
        </w:rPr>
        <w:t>m² </w:t>
      </w:r>
      <w:r>
        <w:t>(par défaut)</w:t>
      </w:r>
      <w:r>
        <w:rPr>
          <w:rStyle w:val="optioncarChar"/>
        </w:rPr>
        <w:t xml:space="preserve"> / m³ </w:t>
      </w:r>
    </w:p>
    <w:p w14:paraId="04C72DFE" w14:textId="77777777" w:rsidR="00DF410E" w:rsidRDefault="00CE7F43">
      <w:r>
        <w:rPr>
          <w:b/>
          <w:i/>
        </w:rPr>
        <w:t>(Soit par défaut)</w:t>
      </w:r>
    </w:p>
    <w:p w14:paraId="683C0F8F" w14:textId="77777777" w:rsidR="00DF410E" w:rsidRDefault="00CE7F43">
      <w:r>
        <w:rPr>
          <w:rStyle w:val="soitChar"/>
        </w:rPr>
        <w:t>1.     m²</w:t>
      </w:r>
    </w:p>
    <w:p w14:paraId="632DDA2E" w14:textId="77777777" w:rsidR="00DF410E" w:rsidRDefault="00CE7F43">
      <w:r>
        <w:rPr>
          <w:b/>
          <w:i/>
        </w:rPr>
        <w:t>(Soit)</w:t>
      </w:r>
    </w:p>
    <w:p w14:paraId="711812DD" w14:textId="77777777" w:rsidR="00DF410E" w:rsidRDefault="00CE7F43">
      <w:r>
        <w:rPr>
          <w:rStyle w:val="soitChar"/>
        </w:rPr>
        <w:t>2.     m³</w:t>
      </w:r>
    </w:p>
    <w:p w14:paraId="4398A7AA" w14:textId="77777777" w:rsidR="00DF410E" w:rsidRDefault="00CE7F43">
      <w:pPr>
        <w:pStyle w:val="pheading"/>
      </w:pPr>
      <w:r>
        <w:t>- code de mesurage:</w:t>
      </w:r>
    </w:p>
    <w:p w14:paraId="5264F681" w14:textId="77777777" w:rsidR="00DF410E" w:rsidRDefault="00CE7F43">
      <w:pPr>
        <w:jc w:val="both"/>
      </w:pPr>
      <w:r>
        <w:rPr>
          <w:rStyle w:val="optioncarChar"/>
        </w:rPr>
        <w:t xml:space="preserve">Surface nette </w:t>
      </w:r>
      <w:r>
        <w:t>(par défaut)</w:t>
      </w:r>
      <w:r>
        <w:rPr>
          <w:rStyle w:val="optioncarChar"/>
        </w:rPr>
        <w:t xml:space="preserve"> / Volume net</w:t>
      </w:r>
    </w:p>
    <w:p w14:paraId="0651933A" w14:textId="77777777" w:rsidR="00DF410E" w:rsidRDefault="00CE7F43">
      <w:pPr>
        <w:jc w:val="both"/>
      </w:pPr>
      <w:r>
        <w:rPr>
          <w:b/>
          <w:i/>
        </w:rPr>
        <w:t>(Soit par défaut)</w:t>
      </w:r>
    </w:p>
    <w:p w14:paraId="0289BBD1" w14:textId="77777777" w:rsidR="00DF410E" w:rsidRDefault="00CE7F43">
      <w:pPr>
        <w:jc w:val="both"/>
      </w:pPr>
      <w:r>
        <w:rPr>
          <w:rStyle w:val="soitChar"/>
        </w:rPr>
        <w:t xml:space="preserve">1. </w:t>
      </w:r>
      <w:r>
        <w:rPr>
          <w:rStyle w:val="soitChar"/>
          <w:u w:val="single"/>
        </w:rPr>
        <w:t>Surface nette</w:t>
      </w:r>
      <w:r>
        <w:rPr>
          <w:rStyle w:val="soitChar"/>
        </w:rPr>
        <w:t> à mettre en œuvre. Les réservations inférieures à 2 m² ne sont pas déduites. Distinction faite suivant l'épaisseur.</w:t>
      </w:r>
    </w:p>
    <w:p w14:paraId="78F6E6B0" w14:textId="77777777" w:rsidR="00DF410E" w:rsidRDefault="00CE7F43">
      <w:pPr>
        <w:jc w:val="both"/>
      </w:pPr>
      <w:r>
        <w:rPr>
          <w:b/>
          <w:i/>
        </w:rPr>
        <w:t>(Soit)</w:t>
      </w:r>
    </w:p>
    <w:p w14:paraId="32FCDCC3" w14:textId="77777777" w:rsidR="00DF410E" w:rsidRDefault="00CE7F43">
      <w:pPr>
        <w:jc w:val="both"/>
      </w:pPr>
      <w:r>
        <w:rPr>
          <w:rStyle w:val="soitChar"/>
        </w:rPr>
        <w:t xml:space="preserve">2. </w:t>
      </w:r>
      <w:r>
        <w:rPr>
          <w:rStyle w:val="soitChar"/>
          <w:u w:val="single"/>
        </w:rPr>
        <w:t>Volume net</w:t>
      </w:r>
      <w:r>
        <w:rPr>
          <w:rStyle w:val="soitChar"/>
        </w:rPr>
        <w:t> à mettre en œuvre. Les ouvertures supérieures à 2m² multipliées par l'épaisseur à réaliser sont déduites. Distinction faite suivant l'épaisseur.</w:t>
      </w:r>
    </w:p>
    <w:p w14:paraId="29ADE1C2" w14:textId="77777777" w:rsidR="00DF410E" w:rsidRDefault="00CE7F43">
      <w:pPr>
        <w:pStyle w:val="pheading"/>
      </w:pPr>
      <w:r>
        <w:t>- nature du marché:</w:t>
      </w:r>
    </w:p>
    <w:p w14:paraId="0EBA9CCE" w14:textId="77777777" w:rsidR="00DF410E" w:rsidRDefault="00CE7F43">
      <w:r>
        <w:t>QF </w:t>
      </w:r>
    </w:p>
    <w:p w14:paraId="281E4FB2" w14:textId="77777777" w:rsidR="00DF410E" w:rsidRDefault="00CE7F43">
      <w:pPr>
        <w:pStyle w:val="Author-eSectionHeading6"/>
      </w:pPr>
      <w:bookmarkStart w:id="1630" w:name="_Toc178838723"/>
      <w:r>
        <w:t>24.15.1c Voiles massifs en CLT cloués collés CCTB 01.11</w:t>
      </w:r>
      <w:bookmarkEnd w:id="1630"/>
    </w:p>
    <w:p w14:paraId="2DE436BB" w14:textId="77777777" w:rsidR="00DF410E" w:rsidRDefault="00CE7F43">
      <w:pPr>
        <w:pStyle w:val="pheading"/>
      </w:pPr>
      <w:bookmarkStart w:id="1631" w:name="591"/>
      <w:bookmarkEnd w:id="1631"/>
      <w:r>
        <w:t>DESCRIPTION</w:t>
      </w:r>
    </w:p>
    <w:p w14:paraId="27148052" w14:textId="77777777" w:rsidR="00DF410E" w:rsidRDefault="00CE7F43">
      <w:pPr>
        <w:pStyle w:val="pheading"/>
      </w:pPr>
      <w:r>
        <w:t>- Définition / Comprend</w:t>
      </w:r>
    </w:p>
    <w:p w14:paraId="588BA234" w14:textId="77777777" w:rsidR="00DF410E" w:rsidRDefault="00CE7F43">
      <w:pPr>
        <w:jc w:val="both"/>
      </w:pPr>
      <w:r>
        <w:t>Il s’agit de la fourniture et la pose de tous les éléments constitués de panneaux lamellés croisés cloués collés en bois ou à base de bois constituant les systèmes de construction CLT portants et non portants quel que soit le type d’aboutage, y compris toutes les pièces qui en font intrinsèquement partie (notamment les dispositifs d’assemblage).</w:t>
      </w:r>
    </w:p>
    <w:p w14:paraId="7FDA8B9D" w14:textId="77777777" w:rsidR="00DF410E" w:rsidRDefault="00CE7F43">
      <w:pPr>
        <w:pStyle w:val="pheading"/>
      </w:pPr>
      <w:r>
        <w:t>- Localisation</w:t>
      </w:r>
    </w:p>
    <w:p w14:paraId="7E2B075C" w14:textId="77777777" w:rsidR="00DF410E" w:rsidRDefault="00CE7F43">
      <w:r>
        <w:t xml:space="preserve">Localisation des travaux : </w:t>
      </w:r>
      <w:r>
        <w:rPr>
          <w:rStyle w:val="optioncarChar"/>
        </w:rPr>
        <w:t>***</w:t>
      </w:r>
      <w:r>
        <w:t>.</w:t>
      </w:r>
    </w:p>
    <w:p w14:paraId="53C6420B" w14:textId="77777777" w:rsidR="00DF410E" w:rsidRDefault="00CE7F43">
      <w:r>
        <w:t>Voir plans et métrés détaillés.</w:t>
      </w:r>
    </w:p>
    <w:p w14:paraId="77E06FF1" w14:textId="77777777" w:rsidR="00DF410E" w:rsidRDefault="00CE7F43">
      <w:pPr>
        <w:pStyle w:val="pheading"/>
      </w:pPr>
      <w:r>
        <w:t>MATÉRIAUX</w:t>
      </w:r>
    </w:p>
    <w:p w14:paraId="7833697B" w14:textId="77777777" w:rsidR="00DF410E" w:rsidRDefault="00CE7F43">
      <w:pPr>
        <w:pStyle w:val="pheading"/>
      </w:pPr>
      <w:r>
        <w:t>- Caractéristiques générales</w:t>
      </w:r>
    </w:p>
    <w:p w14:paraId="67629A7A" w14:textId="77777777" w:rsidR="00DF410E" w:rsidRDefault="00CE7F43">
      <w:pPr>
        <w:jc w:val="both"/>
      </w:pPr>
      <w:r>
        <w:t>Épaisseur totale du panneau CLT : </w:t>
      </w:r>
      <w:r>
        <w:rPr>
          <w:rStyle w:val="optioncarChar"/>
        </w:rPr>
        <w:t>***</w:t>
      </w:r>
      <w:r>
        <w:t> mm.</w:t>
      </w:r>
    </w:p>
    <w:p w14:paraId="4CCD31D5" w14:textId="77777777" w:rsidR="00DF410E" w:rsidRDefault="00CE7F43">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76FD875A" w14:textId="77777777" w:rsidR="00DF410E" w:rsidRDefault="00CE7F43">
      <w:pPr>
        <w:jc w:val="both"/>
      </w:pPr>
      <w:r>
        <w:t>Classe de résistance :</w:t>
      </w:r>
      <w:r>
        <w:rPr>
          <w:rStyle w:val="optioncarChar"/>
        </w:rPr>
        <w:t> C18 </w:t>
      </w:r>
      <w:r>
        <w:t>(par défaut)</w:t>
      </w:r>
      <w:r>
        <w:rPr>
          <w:rStyle w:val="optioncarChar"/>
        </w:rPr>
        <w:t xml:space="preserve"> / D18 / C24 / D24 / C30 / D30 / ***.</w:t>
      </w:r>
    </w:p>
    <w:p w14:paraId="773E72C4" w14:textId="77777777" w:rsidR="00DF410E" w:rsidRDefault="00CE7F43">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31C5B8C6" w14:textId="77777777" w:rsidR="00DF410E" w:rsidRDefault="00CE7F43">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20-20-20 / 20-40-20 / 30-30-30 / 30-40-30 / 40/-40-40 / 20-20-20-20-20 </w:t>
      </w:r>
      <w:r>
        <w:t>(par défaut)</w:t>
      </w:r>
      <w:r>
        <w:rPr>
          <w:rStyle w:val="optioncarChar"/>
        </w:rPr>
        <w:t> /  20-30-20-30 / 40-20-20-20-40 / ***</w:t>
      </w:r>
      <w:r>
        <w:t> mm.</w:t>
      </w:r>
    </w:p>
    <w:p w14:paraId="094E493E" w14:textId="77777777" w:rsidR="00DF410E" w:rsidRDefault="00CE7F43">
      <w:pPr>
        <w:jc w:val="both"/>
      </w:pPr>
      <w:r>
        <w:t>Les lames </w:t>
      </w:r>
      <w:r>
        <w:rPr>
          <w:rStyle w:val="optioncarChar"/>
        </w:rPr>
        <w:t>ne sont pas </w:t>
      </w:r>
      <w:r>
        <w:t>(par défaut)</w:t>
      </w:r>
      <w:r>
        <w:rPr>
          <w:rStyle w:val="optioncarChar"/>
        </w:rPr>
        <w:t> / sont</w:t>
      </w:r>
      <w:r>
        <w:t> munies de fente (rainures) de soulagement.</w:t>
      </w:r>
    </w:p>
    <w:p w14:paraId="1B5C83AD" w14:textId="77777777" w:rsidR="00DF410E" w:rsidRDefault="00CE7F43">
      <w:pPr>
        <w:jc w:val="both"/>
      </w:pPr>
      <w:r>
        <w:t>La réaction au feu est de classe </w:t>
      </w:r>
      <w:r>
        <w:rPr>
          <w:rStyle w:val="optioncarChar"/>
        </w:rPr>
        <w:t>D-s2, d0</w:t>
      </w:r>
      <w:r>
        <w:t> (par défaut)</w:t>
      </w:r>
      <w:r>
        <w:rPr>
          <w:rStyle w:val="optioncarChar"/>
        </w:rPr>
        <w:t> / ***.</w:t>
      </w:r>
    </w:p>
    <w:p w14:paraId="47344782" w14:textId="77777777" w:rsidR="00DF410E" w:rsidRDefault="00CE7F43">
      <w:pPr>
        <w:jc w:val="both"/>
      </w:pPr>
      <w:r>
        <w:t>La résistance au feu déclarée de la paroi : </w:t>
      </w:r>
      <w:r>
        <w:rPr>
          <w:rStyle w:val="optioncarChar"/>
        </w:rPr>
        <w:t>pas d’exigences </w:t>
      </w:r>
      <w:r>
        <w:t>(par défaut) </w:t>
      </w:r>
      <w:r>
        <w:rPr>
          <w:rStyle w:val="optioncarChar"/>
        </w:rPr>
        <w:t>/ REI 30 / EI30 / REI 60 / EI 60 / ***.</w:t>
      </w:r>
    </w:p>
    <w:p w14:paraId="3BA820E4" w14:textId="77777777" w:rsidR="00DF410E" w:rsidRDefault="00CE7F43">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3C029C6D" w14:textId="77777777" w:rsidR="00DF410E" w:rsidRDefault="00CE7F43">
      <w:pPr>
        <w:jc w:val="both"/>
      </w:pPr>
      <w:r>
        <w:t>La conductivité thermique des lames de bois déclarée (selon [NBN EN 12667]) ≤ </w:t>
      </w:r>
      <w:r>
        <w:rPr>
          <w:rStyle w:val="optioncarChar"/>
        </w:rPr>
        <w:t>0.11 / 0.13 </w:t>
      </w:r>
      <w:r>
        <w:t>(par défaut)</w:t>
      </w:r>
      <w:r>
        <w:rPr>
          <w:rStyle w:val="optioncarChar"/>
        </w:rPr>
        <w:t> / 0.2 / ***</w:t>
      </w:r>
      <w:r>
        <w:t> W/mK.</w:t>
      </w:r>
    </w:p>
    <w:p w14:paraId="4B37D405" w14:textId="77777777" w:rsidR="00DF410E" w:rsidRDefault="00CE7F43">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37CD962A" w14:textId="77777777" w:rsidR="00DF410E" w:rsidRDefault="00CE7F43">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650694A2" w14:textId="77777777" w:rsidR="00DF410E" w:rsidRDefault="00CE7F43">
      <w:pPr>
        <w:jc w:val="both"/>
      </w:pPr>
      <w:r>
        <w:t> </w:t>
      </w:r>
    </w:p>
    <w:p w14:paraId="488100B7" w14:textId="77777777" w:rsidR="00DF410E" w:rsidRDefault="00CE7F43">
      <w:pPr>
        <w:jc w:val="both"/>
      </w:pPr>
      <w:r>
        <w:t>Le collage des plis est assuré par </w:t>
      </w:r>
      <w:r>
        <w:rPr>
          <w:rStyle w:val="optioncarChar"/>
        </w:rPr>
        <w:t>les spécifications du fabricant </w:t>
      </w:r>
      <w:r>
        <w:t>(par défaut) </w:t>
      </w:r>
      <w:r>
        <w:rPr>
          <w:rStyle w:val="optioncarChar"/>
        </w:rPr>
        <w:t>adhésifs polyuréthane monocomposants durcissant à l'humidité (PUR) / adhésifs de nature phénolique et aminoplaste (par exemple MF, MUF, PRF, UF) / adhésifs à base d'isocyanate et de polymère en émulsion (EPI).</w:t>
      </w:r>
    </w:p>
    <w:p w14:paraId="18053B9C" w14:textId="77777777" w:rsidR="00DF410E" w:rsidRDefault="00CE7F43">
      <w:pPr>
        <w:ind w:left="567"/>
        <w:jc w:val="both"/>
      </w:pPr>
      <w:r>
        <w:rPr>
          <w:b/>
          <w:i/>
        </w:rPr>
        <w:t>(Soit par défaut)</w:t>
      </w:r>
    </w:p>
    <w:p w14:paraId="1BCC7BF5" w14:textId="77777777" w:rsidR="00DF410E" w:rsidRDefault="00CE7F43">
      <w:pPr>
        <w:ind w:left="567"/>
        <w:jc w:val="both"/>
      </w:pPr>
      <w:r>
        <w:rPr>
          <w:rStyle w:val="soitChar"/>
          <w:u w:val="single"/>
        </w:rPr>
        <w:t>Les spécifications du fabricant</w:t>
      </w:r>
    </w:p>
    <w:p w14:paraId="0EBC26E5" w14:textId="77777777" w:rsidR="00DF410E" w:rsidRDefault="00CE7F43">
      <w:pPr>
        <w:ind w:left="567"/>
        <w:jc w:val="both"/>
      </w:pPr>
      <w:r>
        <w:rPr>
          <w:b/>
          <w:i/>
        </w:rPr>
        <w:t>(Soit)</w:t>
      </w:r>
    </w:p>
    <w:p w14:paraId="632CDE34" w14:textId="77777777" w:rsidR="00DF410E" w:rsidRDefault="00CE7F43">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4B5567E0" w14:textId="77777777" w:rsidR="00DF410E" w:rsidRDefault="00CE7F43">
      <w:pPr>
        <w:ind w:left="567"/>
        <w:jc w:val="both"/>
      </w:pPr>
      <w:r>
        <w:rPr>
          <w:b/>
          <w:i/>
        </w:rPr>
        <w:t>(Soit)</w:t>
      </w:r>
    </w:p>
    <w:p w14:paraId="267EE74D" w14:textId="77777777" w:rsidR="00DF410E" w:rsidRDefault="00CE7F43">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14:paraId="6D7C302A" w14:textId="77777777" w:rsidR="00DF410E" w:rsidRDefault="00CE7F43">
      <w:pPr>
        <w:ind w:left="567"/>
        <w:jc w:val="both"/>
      </w:pPr>
      <w:r>
        <w:rPr>
          <w:b/>
          <w:i/>
        </w:rPr>
        <w:t>(Soit)</w:t>
      </w:r>
    </w:p>
    <w:p w14:paraId="5050A821" w14:textId="77777777" w:rsidR="00DF410E" w:rsidRDefault="00CE7F43">
      <w:pPr>
        <w:ind w:left="567"/>
        <w:jc w:val="both"/>
      </w:pPr>
      <w:r>
        <w:rPr>
          <w:rStyle w:val="soitChar"/>
          <w:u w:val="single"/>
        </w:rPr>
        <w:t>EPI </w:t>
      </w:r>
      <w:r>
        <w:rPr>
          <w:rStyle w:val="soitChar"/>
        </w:rPr>
        <w:t>: Les adhésifs à base d’isocyanate et de polymère en émulsion satisfont aux exigences de la [NBN EN 15425].</w:t>
      </w:r>
    </w:p>
    <w:p w14:paraId="414ED0FB" w14:textId="77777777" w:rsidR="00DF410E" w:rsidRDefault="00CE7F43">
      <w:pPr>
        <w:jc w:val="both"/>
      </w:pPr>
      <w:r>
        <w:t> </w:t>
      </w:r>
    </w:p>
    <w:p w14:paraId="07B4029B" w14:textId="77777777" w:rsidR="00DF410E" w:rsidRDefault="00CE7F43">
      <w:pPr>
        <w:jc w:val="both"/>
      </w:pPr>
      <w:r>
        <w:t xml:space="preserve">L’assemblage des plis est réalisé par </w:t>
      </w:r>
      <w:r>
        <w:rPr>
          <w:rStyle w:val="optioncarChar"/>
        </w:rPr>
        <w:t xml:space="preserve">clous en aluminium </w:t>
      </w:r>
      <w:r>
        <w:t>(par défaut)</w:t>
      </w:r>
      <w:r>
        <w:rPr>
          <w:rStyle w:val="optioncarChar"/>
        </w:rPr>
        <w:t xml:space="preserve"> / acier / ***</w:t>
      </w:r>
      <w:r>
        <w:t xml:space="preserve">. Le nombre de fixation est de min </w:t>
      </w:r>
      <w:r>
        <w:rPr>
          <w:rStyle w:val="optioncarChar"/>
        </w:rPr>
        <w:t xml:space="preserve">60 </w:t>
      </w:r>
      <w:r>
        <w:t xml:space="preserve">(par défaut) </w:t>
      </w:r>
      <w:r>
        <w:rPr>
          <w:rStyle w:val="optioncarChar"/>
        </w:rPr>
        <w:t>/ ***</w:t>
      </w:r>
      <w:r>
        <w:t xml:space="preserve"> clous par m² par pli.</w:t>
      </w:r>
    </w:p>
    <w:p w14:paraId="1FD4AA7C" w14:textId="77777777" w:rsidR="00DF410E" w:rsidRDefault="00CE7F43">
      <w:pPr>
        <w:jc w:val="both"/>
      </w:pPr>
      <w:r>
        <w:t>En l’absence de méthode de calcul de stabilité harmonisée sur ce produit, les performances mécaniques sont déterminées par essais pour répondre aux exigences déterminées dans l’étude de stabilité.</w:t>
      </w:r>
    </w:p>
    <w:p w14:paraId="3C9D1709" w14:textId="77777777" w:rsidR="00DF410E" w:rsidRDefault="00CE7F43">
      <w:pPr>
        <w:jc w:val="both"/>
      </w:pPr>
      <w:r>
        <w:t>Pour une application de plancher, le rapport comprend les essais de flexion selon les deux directions du plan du panneau, de cisaillement ainsi que les modules de glissement.</w:t>
      </w:r>
    </w:p>
    <w:p w14:paraId="718992C0" w14:textId="77777777" w:rsidR="00DF410E" w:rsidRDefault="00CE7F43">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45CFD1D3" w14:textId="77777777" w:rsidR="00DF410E" w:rsidRDefault="00CE7F43">
      <w:pPr>
        <w:jc w:val="both"/>
      </w:pPr>
      <w:r>
        <w:t>La résistance mécanique des panneaux lamellés croisés est déterminée conformément à la [NBN EN 16351] sur base de calcul conformément à la [NBN EN 1995 série] et [NBN EN 14358] ou par essais conformes à la [NBN EN 408+A1].</w:t>
      </w:r>
    </w:p>
    <w:p w14:paraId="50B17214" w14:textId="77777777" w:rsidR="00DF410E" w:rsidRDefault="00CE7F43">
      <w:pPr>
        <w:jc w:val="both"/>
      </w:pPr>
      <w:r>
        <w:t>Les rainures et chant des lamelles </w:t>
      </w:r>
      <w:r>
        <w:rPr>
          <w:rStyle w:val="optioncarChar"/>
        </w:rPr>
        <w:t>ne sont pas </w:t>
      </w:r>
      <w:r>
        <w:t>(par défaut)</w:t>
      </w:r>
      <w:r>
        <w:rPr>
          <w:rStyle w:val="optioncarChar"/>
        </w:rPr>
        <w:t> / sont</w:t>
      </w:r>
      <w:r>
        <w:t> collées.</w:t>
      </w:r>
    </w:p>
    <w:p w14:paraId="42724EB8" w14:textId="77777777" w:rsidR="00DF410E" w:rsidRDefault="00CE7F43">
      <w:pPr>
        <w:jc w:val="both"/>
      </w:pPr>
      <w:r>
        <w:t>Un jeu de </w:t>
      </w:r>
      <w:r>
        <w:rPr>
          <w:rStyle w:val="optioncarChar"/>
        </w:rPr>
        <w:t>0 </w:t>
      </w:r>
      <w:r>
        <w:t>(par défaut) </w:t>
      </w:r>
      <w:r>
        <w:rPr>
          <w:rStyle w:val="optioncarChar"/>
        </w:rPr>
        <w:t>/ 2 / 5 / *** mm</w:t>
      </w:r>
      <w:r>
        <w:t> est réservé entre les lamelles.</w:t>
      </w:r>
    </w:p>
    <w:p w14:paraId="3642C070" w14:textId="77777777" w:rsidR="00DF410E" w:rsidRDefault="00CE7F43">
      <w:pPr>
        <w:jc w:val="both"/>
      </w:pPr>
      <w:r>
        <w:t>La résistance du collage des aboutages est conforme à la [NBN EN 16351] annexe A et est vérifiée par essais de flexion conformes à la [NBN EN 16351] §5.2.</w:t>
      </w:r>
    </w:p>
    <w:p w14:paraId="39DD4920" w14:textId="77777777" w:rsidR="00DF410E" w:rsidRDefault="00CE7F43">
      <w:pPr>
        <w:jc w:val="both"/>
      </w:pPr>
      <w:r>
        <w:t>Le dégagement de formaldéhyde est déclaré conformément la [NBN EN 16351] §4.6 et de classe </w:t>
      </w:r>
      <w:r>
        <w:rPr>
          <w:rStyle w:val="optioncarChar"/>
        </w:rPr>
        <w:t>E1 </w:t>
      </w:r>
      <w:r>
        <w:t>(par défaut)</w:t>
      </w:r>
      <w:r>
        <w:rPr>
          <w:rStyle w:val="optioncarChar"/>
        </w:rPr>
        <w:t> / E2.</w:t>
      </w:r>
    </w:p>
    <w:p w14:paraId="794B328E" w14:textId="77777777" w:rsidR="00DF410E" w:rsidRDefault="00CE7F43">
      <w:pPr>
        <w:pStyle w:val="pheading"/>
      </w:pPr>
      <w:r>
        <w:t>- Finitions</w:t>
      </w:r>
    </w:p>
    <w:p w14:paraId="54DF5AEF" w14:textId="77777777" w:rsidR="00DF410E" w:rsidRDefault="00CE7F43">
      <w:pPr>
        <w:jc w:val="both"/>
      </w:pPr>
      <w:r>
        <w:t>Exigences d’aspect : </w:t>
      </w:r>
      <w:r>
        <w:rPr>
          <w:rStyle w:val="optioncarChar"/>
        </w:rPr>
        <w:t>non-visible / visible industriel </w:t>
      </w:r>
      <w:r>
        <w:t>(par défaut)</w:t>
      </w:r>
      <w:r>
        <w:rPr>
          <w:rStyle w:val="optioncarChar"/>
        </w:rPr>
        <w:t xml:space="preserve"> / visible habitat sur</w:t>
      </w:r>
      <w:r>
        <w:t> </w:t>
      </w:r>
      <w:r>
        <w:rPr>
          <w:rStyle w:val="optioncarChar"/>
        </w:rPr>
        <w:t>1 face.</w:t>
      </w:r>
    </w:p>
    <w:p w14:paraId="17B06BA7" w14:textId="77777777" w:rsidR="00DF410E" w:rsidRDefault="00CE7F43">
      <w:pPr>
        <w:jc w:val="both"/>
      </w:pPr>
      <w:r>
        <w:t>Les panneaux </w:t>
      </w:r>
      <w:r>
        <w:rPr>
          <w:rStyle w:val="optioncarChar"/>
        </w:rPr>
        <w:t>sont / ne sont pas</w:t>
      </w:r>
      <w:r>
        <w:t> (par défaut) munis de gaines (rainures) techniques et blochets intégrés non traversantes.</w:t>
      </w:r>
    </w:p>
    <w:p w14:paraId="661E9D90" w14:textId="77777777" w:rsidR="00DF410E" w:rsidRDefault="00CE7F43">
      <w:pPr>
        <w:pStyle w:val="pheading"/>
      </w:pPr>
      <w:r>
        <w:t>- Prescriptions complémentaires</w:t>
      </w:r>
    </w:p>
    <w:p w14:paraId="3F8F8A7C" w14:textId="77777777" w:rsidR="00DF410E" w:rsidRDefault="00CE7F43">
      <w:r>
        <w:rPr>
          <w:rStyle w:val="facultChar"/>
        </w:rPr>
        <w:t>Capacité thermique</w:t>
      </w:r>
      <w:r>
        <w:t xml:space="preserve"> : </w:t>
      </w:r>
      <w:r>
        <w:rPr>
          <w:rStyle w:val="optioncarChar"/>
        </w:rPr>
        <w:t xml:space="preserve">&gt; 2 </w:t>
      </w:r>
      <w:r>
        <w:t>(par défaut)</w:t>
      </w:r>
      <w:r>
        <w:rPr>
          <w:rStyle w:val="optioncarChar"/>
        </w:rPr>
        <w:t xml:space="preserve"> / ***</w:t>
      </w:r>
      <w:r>
        <w:rPr>
          <w:rStyle w:val="facultChar"/>
        </w:rPr>
        <w:t>kJ/kg.K</w:t>
      </w:r>
    </w:p>
    <w:p w14:paraId="00C0837A" w14:textId="77777777" w:rsidR="00DF410E" w:rsidRDefault="00CE7F43">
      <w:pPr>
        <w:pStyle w:val="pheading"/>
      </w:pPr>
      <w:r>
        <w:t>EXÉCUTION / MISE EN ŒUVRE</w:t>
      </w:r>
    </w:p>
    <w:p w14:paraId="74809D48" w14:textId="77777777" w:rsidR="00DF410E" w:rsidRDefault="00CE7F43">
      <w:pPr>
        <w:pStyle w:val="pheading"/>
      </w:pPr>
      <w:r>
        <w:t>- Prescriptions générales</w:t>
      </w:r>
    </w:p>
    <w:p w14:paraId="051EDBAE" w14:textId="77777777" w:rsidR="00DF410E" w:rsidRDefault="00CE7F43">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0BDE5F48" w14:textId="77777777" w:rsidR="00DF410E" w:rsidRDefault="00CE7F43">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6CFA020E" w14:textId="77777777" w:rsidR="00DF410E" w:rsidRDefault="00CE7F43">
      <w:pPr>
        <w:jc w:val="both"/>
      </w:pPr>
      <w:r>
        <w:rPr>
          <w:b/>
          <w:i/>
        </w:rPr>
        <w:t>Fixation en pied de mur</w:t>
      </w:r>
    </w:p>
    <w:p w14:paraId="4E2DB611" w14:textId="77777777" w:rsidR="00DF410E" w:rsidRDefault="00CE7F43">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4AAE8211" w14:textId="77777777" w:rsidR="00DF410E" w:rsidRDefault="00CE7F43">
      <w:pPr>
        <w:ind w:left="567"/>
        <w:jc w:val="both"/>
      </w:pPr>
      <w:r>
        <w:rPr>
          <w:b/>
          <w:i/>
        </w:rPr>
        <w:t>(Soit par défaut)</w:t>
      </w:r>
    </w:p>
    <w:p w14:paraId="23C0A27D" w14:textId="77777777" w:rsidR="00DF410E" w:rsidRDefault="00CE7F43">
      <w:pPr>
        <w:ind w:left="567"/>
        <w:jc w:val="both"/>
      </w:pPr>
      <w:r>
        <w:rPr>
          <w:rStyle w:val="soitChar"/>
          <w:u w:val="single"/>
        </w:rPr>
        <w:t>La lisse basse</w:t>
      </w:r>
      <w:r>
        <w:rPr>
          <w:rStyle w:val="soitChar"/>
        </w:rPr>
        <w:t> est fixée par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590" w:history="1">
        <w:r>
          <w:rPr>
            <w:rStyle w:val="soitChar"/>
          </w:rPr>
          <w:t>24.11.1a Lisses de pose en bois massif</w:t>
        </w:r>
      </w:hyperlink>
      <w:r>
        <w:rPr>
          <w:rStyle w:val="soitChar"/>
        </w:rPr>
        <w:t> .</w:t>
      </w:r>
    </w:p>
    <w:p w14:paraId="302666DC" w14:textId="77777777" w:rsidR="00DF410E" w:rsidRDefault="00CE7F43">
      <w:pPr>
        <w:ind w:left="567"/>
        <w:jc w:val="both"/>
      </w:pPr>
      <w:r>
        <w:rPr>
          <w:b/>
          <w:i/>
        </w:rPr>
        <w:t>(Soit)</w:t>
      </w:r>
    </w:p>
    <w:p w14:paraId="4C44CA68" w14:textId="77777777" w:rsidR="00DF410E" w:rsidRDefault="00CE7F43">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14:paraId="0615D260" w14:textId="77777777" w:rsidR="00DF410E" w:rsidRDefault="00CE7F43">
      <w:pPr>
        <w:ind w:left="567"/>
        <w:jc w:val="both"/>
      </w:pPr>
      <w:r>
        <w:rPr>
          <w:b/>
          <w:i/>
        </w:rPr>
        <w:t>(Soit)</w:t>
      </w:r>
    </w:p>
    <w:p w14:paraId="0E345125" w14:textId="77777777" w:rsidR="00DF410E" w:rsidRDefault="00CE7F43">
      <w:pPr>
        <w:ind w:left="567"/>
        <w:jc w:val="both"/>
      </w:pPr>
      <w:r>
        <w:rPr>
          <w:rStyle w:val="optioncarChar"/>
        </w:rPr>
        <w:t>***</w:t>
      </w:r>
    </w:p>
    <w:p w14:paraId="0819A8A0" w14:textId="77777777" w:rsidR="00DF410E" w:rsidRDefault="00DF410E">
      <w:pPr>
        <w:ind w:left="567"/>
        <w:jc w:val="both"/>
      </w:pPr>
    </w:p>
    <w:p w14:paraId="5B66ADBB" w14:textId="77777777" w:rsidR="00DF410E" w:rsidRDefault="00CE7F43">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0D23D433" w14:textId="77777777" w:rsidR="00DF410E" w:rsidRDefault="00CE7F43">
      <w:pPr>
        <w:jc w:val="both"/>
      </w:pPr>
      <w:r>
        <w:t> </w:t>
      </w:r>
    </w:p>
    <w:p w14:paraId="32906645" w14:textId="77777777" w:rsidR="00DF410E" w:rsidRDefault="00CE7F43">
      <w:pPr>
        <w:jc w:val="both"/>
      </w:pPr>
      <w:r>
        <w:rPr>
          <w:b/>
          <w:i/>
        </w:rPr>
        <w:t>Fixation entre panneaux de même plan</w:t>
      </w:r>
    </w:p>
    <w:p w14:paraId="68B03251" w14:textId="77777777" w:rsidR="00DF410E" w:rsidRDefault="00CE7F43">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4A8731AE" w14:textId="77777777" w:rsidR="00DF410E" w:rsidRDefault="00CE7F43">
      <w:pPr>
        <w:jc w:val="both"/>
      </w:pPr>
      <w:r>
        <w:rPr>
          <w:b/>
          <w:i/>
        </w:rPr>
        <w:t>Assemblage d’angles</w:t>
      </w:r>
    </w:p>
    <w:p w14:paraId="3F89BB66" w14:textId="77777777" w:rsidR="00DF410E" w:rsidRDefault="00CE7F43">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21E71412" w14:textId="77777777" w:rsidR="00DF410E" w:rsidRDefault="00CE7F43">
      <w:pPr>
        <w:ind w:left="567"/>
        <w:jc w:val="both"/>
      </w:pPr>
      <w:r>
        <w:rPr>
          <w:b/>
          <w:i/>
        </w:rPr>
        <w:t>(Soit par défaut)</w:t>
      </w:r>
    </w:p>
    <w:p w14:paraId="38F9AC1D" w14:textId="77777777" w:rsidR="00DF410E" w:rsidRDefault="00CE7F43">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5D4CA981" w14:textId="77777777" w:rsidR="00DF410E" w:rsidRDefault="00CE7F43">
      <w:pPr>
        <w:ind w:left="567"/>
        <w:jc w:val="both"/>
      </w:pPr>
      <w:r>
        <w:rPr>
          <w:b/>
          <w:i/>
        </w:rPr>
        <w:t>(Soit)</w:t>
      </w:r>
    </w:p>
    <w:p w14:paraId="610F92F4" w14:textId="77777777" w:rsidR="00DF410E" w:rsidRDefault="00CE7F43">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14:paraId="2D85735B" w14:textId="77777777" w:rsidR="00DF410E" w:rsidRDefault="00CE7F43">
      <w:pPr>
        <w:ind w:left="567"/>
        <w:jc w:val="both"/>
      </w:pPr>
      <w:r>
        <w:rPr>
          <w:b/>
          <w:i/>
        </w:rPr>
        <w:t>(Soit)</w:t>
      </w:r>
    </w:p>
    <w:p w14:paraId="73A7464B" w14:textId="77777777" w:rsidR="00DF410E" w:rsidRDefault="00CE7F43">
      <w:pPr>
        <w:ind w:left="567"/>
        <w:jc w:val="both"/>
      </w:pPr>
      <w:r>
        <w:rPr>
          <w:rStyle w:val="optioncarChar"/>
        </w:rPr>
        <w:t>***</w:t>
      </w:r>
    </w:p>
    <w:p w14:paraId="73409C16" w14:textId="77777777" w:rsidR="00DF410E" w:rsidRDefault="00CE7F43">
      <w:pPr>
        <w:jc w:val="both"/>
      </w:pPr>
      <w:r>
        <w:t> </w:t>
      </w:r>
    </w:p>
    <w:p w14:paraId="10B0E71D" w14:textId="77777777" w:rsidR="00DF410E" w:rsidRDefault="00CE7F43">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6D9F0565" w14:textId="77777777" w:rsidR="00DF410E" w:rsidRDefault="00CE7F43">
      <w:pPr>
        <w:jc w:val="both"/>
      </w:pPr>
      <w:r>
        <w:t>Les fixations, pointes ou vis, des panneaux sont effectuées sur</w:t>
      </w:r>
      <w:r>
        <w:rPr>
          <w:rStyle w:val="optioncarChar"/>
        </w:rPr>
        <w:t> 2/3 </w:t>
      </w:r>
      <w:r>
        <w:t>(par défaut)</w:t>
      </w:r>
      <w:r>
        <w:rPr>
          <w:rStyle w:val="optioncarChar"/>
        </w:rPr>
        <w:t> / ***</w:t>
      </w:r>
      <w:r>
        <w:t> de l’épaisseur du panneau.</w:t>
      </w:r>
    </w:p>
    <w:p w14:paraId="089EE6EF" w14:textId="77777777" w:rsidR="00DF410E" w:rsidRDefault="00CE7F43">
      <w:pPr>
        <w:jc w:val="both"/>
      </w:pPr>
      <w:r>
        <w:t>Les dispositifs d’ancrage sont décrits dans les éléments du </w:t>
      </w:r>
      <w:hyperlink w:anchor="583" w:history="1">
        <w:r>
          <w:t>24.4 Assemblages</w:t>
        </w:r>
      </w:hyperlink>
      <w:r>
        <w:t>.</w:t>
      </w:r>
    </w:p>
    <w:p w14:paraId="530E2063" w14:textId="77777777" w:rsidR="00DF410E" w:rsidRDefault="00CE7F43">
      <w:pPr>
        <w:pStyle w:val="pheading"/>
      </w:pPr>
      <w:r>
        <w:t>DOCUMENTS DE RÉFÉRENCE COMPLÉMENTAIRES</w:t>
      </w:r>
    </w:p>
    <w:p w14:paraId="5FFD4D54" w14:textId="77777777" w:rsidR="00DF410E" w:rsidRDefault="00CE7F43">
      <w:pPr>
        <w:pStyle w:val="pheading"/>
      </w:pPr>
      <w:r>
        <w:t>- Matériau</w:t>
      </w:r>
    </w:p>
    <w:p w14:paraId="138C87C7" w14:textId="77777777" w:rsidR="00DF410E" w:rsidRDefault="00CE7F43">
      <w:r>
        <w:t>[NBN EN 301, Adhésifs de nature phénolique et aminoplaste, pour structures portantes en bois - Classification et exigences de performance]</w:t>
      </w:r>
    </w:p>
    <w:p w14:paraId="1141A53A" w14:textId="77777777" w:rsidR="00DF410E" w:rsidRDefault="00CE7F43">
      <w:r>
        <w:t>[NBN EN 302-2, Adhésifs pour structures portantes en bois - Méthodes d'essais - Partie 2 : Détermination de la résistance à la délamination]</w:t>
      </w:r>
    </w:p>
    <w:p w14:paraId="1E6C63EF" w14:textId="77777777" w:rsidR="00DF410E" w:rsidRDefault="00CE7F43">
      <w:r>
        <w:t>[NBN EN 408+A1, Structures en bois - Bois de structure et bois lamellé-collé - Détermination de certaines propriétés physiques et mécaniques]</w:t>
      </w:r>
    </w:p>
    <w:p w14:paraId="3F4294B3" w14:textId="77777777" w:rsidR="00DF410E" w:rsidRDefault="00CE7F43">
      <w:r>
        <w:t>[NBN EN 1991 série, Eurocode 1 : Actions sur les structures]</w:t>
      </w:r>
    </w:p>
    <w:p w14:paraId="784F7ECD" w14:textId="77777777" w:rsidR="00DF410E" w:rsidRDefault="00CE7F43">
      <w:r>
        <w:t>[NBN EN 1995 série, Eurocode 5: Conception et calcul des structures en bois]</w:t>
      </w:r>
    </w:p>
    <w:p w14:paraId="1CC06E45"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1D5300D8" w14:textId="77777777" w:rsidR="00DF410E" w:rsidRDefault="00CE7F43">
      <w:r>
        <w:t>[NBN EN 13556, Bois ronds et bois sciés - Nomenclature des bois utilisés en Europe]</w:t>
      </w:r>
    </w:p>
    <w:p w14:paraId="145425A7" w14:textId="77777777" w:rsidR="00DF410E" w:rsidRDefault="00CE7F43">
      <w:r>
        <w:t>[NBN EN 14358, Structures en bois - Détermination et vérification des valeurs caractéristiques]</w:t>
      </w:r>
    </w:p>
    <w:p w14:paraId="7B354092" w14:textId="77777777" w:rsidR="00DF410E" w:rsidRDefault="00CE7F43">
      <w:r>
        <w:t>[NBN EN 15425, Adhésifs - Adhésifs polyuréthane monocomposants (PUR) pour structures portantes en bois - Classification et exigences de performance]</w:t>
      </w:r>
    </w:p>
    <w:p w14:paraId="44FB1720" w14:textId="77777777" w:rsidR="00DF410E" w:rsidRDefault="00CE7F43">
      <w:r>
        <w:t>[NBN EN 16351, Structures en bois - Bois lamellé croisé - Exigences] </w:t>
      </w:r>
    </w:p>
    <w:p w14:paraId="6FB30AA7" w14:textId="77777777" w:rsidR="00DF410E" w:rsidRDefault="00CE7F43">
      <w:pPr>
        <w:pStyle w:val="pheading"/>
      </w:pPr>
      <w:r>
        <w:t>MESURAGE</w:t>
      </w:r>
    </w:p>
    <w:p w14:paraId="42AC9550" w14:textId="77777777" w:rsidR="00DF410E" w:rsidRDefault="00CE7F43">
      <w:pPr>
        <w:pStyle w:val="pheading"/>
      </w:pPr>
      <w:r>
        <w:t>- unité de mesure:</w:t>
      </w:r>
    </w:p>
    <w:p w14:paraId="71E90696" w14:textId="77777777" w:rsidR="00DF410E" w:rsidRDefault="00CE7F43">
      <w:r>
        <w:rPr>
          <w:rStyle w:val="optioncarChar"/>
        </w:rPr>
        <w:t>m² </w:t>
      </w:r>
      <w:r>
        <w:t>(par défaut)</w:t>
      </w:r>
      <w:r>
        <w:rPr>
          <w:rStyle w:val="optioncarChar"/>
        </w:rPr>
        <w:t xml:space="preserve"> / m³</w:t>
      </w:r>
    </w:p>
    <w:p w14:paraId="13AE913F" w14:textId="77777777" w:rsidR="00DF410E" w:rsidRDefault="00CE7F43">
      <w:r>
        <w:rPr>
          <w:b/>
          <w:i/>
        </w:rPr>
        <w:t>(Soit par défaut)</w:t>
      </w:r>
    </w:p>
    <w:p w14:paraId="2B06CEF7" w14:textId="77777777" w:rsidR="00DF410E" w:rsidRDefault="00CE7F43">
      <w:r>
        <w:rPr>
          <w:rStyle w:val="soitChar"/>
        </w:rPr>
        <w:t>1.     m²</w:t>
      </w:r>
    </w:p>
    <w:p w14:paraId="3F3EB299" w14:textId="77777777" w:rsidR="00DF410E" w:rsidRDefault="00CE7F43">
      <w:r>
        <w:rPr>
          <w:b/>
          <w:i/>
        </w:rPr>
        <w:t>(Soit)</w:t>
      </w:r>
    </w:p>
    <w:p w14:paraId="63565B64" w14:textId="77777777" w:rsidR="00DF410E" w:rsidRDefault="00CE7F43">
      <w:r>
        <w:rPr>
          <w:rStyle w:val="soitChar"/>
        </w:rPr>
        <w:t>2.     m³</w:t>
      </w:r>
    </w:p>
    <w:p w14:paraId="02FCF3EF" w14:textId="77777777" w:rsidR="00DF410E" w:rsidRDefault="00CE7F43">
      <w:pPr>
        <w:pStyle w:val="pheading"/>
      </w:pPr>
      <w:r>
        <w:t>- code de mesurage:</w:t>
      </w:r>
    </w:p>
    <w:p w14:paraId="3D26BAD1" w14:textId="77777777" w:rsidR="00DF410E" w:rsidRDefault="00CE7F43">
      <w:pPr>
        <w:jc w:val="both"/>
      </w:pPr>
      <w:r>
        <w:rPr>
          <w:rStyle w:val="optioncarChar"/>
        </w:rPr>
        <w:t>Surface nette </w:t>
      </w:r>
      <w:r>
        <w:t>(par défaut) </w:t>
      </w:r>
      <w:r>
        <w:rPr>
          <w:rStyle w:val="optioncarChar"/>
        </w:rPr>
        <w:t>/ Volume net</w:t>
      </w:r>
    </w:p>
    <w:p w14:paraId="11D9B71A" w14:textId="77777777" w:rsidR="00DF410E" w:rsidRDefault="00CE7F43">
      <w:pPr>
        <w:jc w:val="both"/>
      </w:pPr>
      <w:r>
        <w:rPr>
          <w:b/>
          <w:i/>
        </w:rPr>
        <w:t>(Soit par défaut)</w:t>
      </w:r>
    </w:p>
    <w:p w14:paraId="68521C63" w14:textId="77777777" w:rsidR="00DF410E" w:rsidRDefault="00CE7F43">
      <w:pPr>
        <w:jc w:val="both"/>
      </w:pPr>
      <w:r>
        <w:rPr>
          <w:rStyle w:val="soitChar"/>
        </w:rPr>
        <w:t>1. </w:t>
      </w:r>
      <w:r>
        <w:rPr>
          <w:rStyle w:val="soitChar"/>
          <w:u w:val="single"/>
        </w:rPr>
        <w:t>Surface nette</w:t>
      </w:r>
      <w:r>
        <w:rPr>
          <w:rStyle w:val="soitChar"/>
        </w:rPr>
        <w:t> à mettre en œuvre. Les réservations inférieures à 2 m² ne sont pas déduites. Distinction faite suivant l'épaisseur.</w:t>
      </w:r>
    </w:p>
    <w:p w14:paraId="3117E7CB" w14:textId="77777777" w:rsidR="00DF410E" w:rsidRDefault="00CE7F43">
      <w:pPr>
        <w:jc w:val="both"/>
      </w:pPr>
      <w:r>
        <w:rPr>
          <w:b/>
          <w:i/>
        </w:rPr>
        <w:t>(Soit)</w:t>
      </w:r>
    </w:p>
    <w:p w14:paraId="7D242AD0" w14:textId="77777777" w:rsidR="00DF410E" w:rsidRDefault="00CE7F43">
      <w:pPr>
        <w:jc w:val="both"/>
      </w:pPr>
      <w:r>
        <w:rPr>
          <w:rStyle w:val="soitChar"/>
        </w:rPr>
        <w:t>2. </w:t>
      </w:r>
      <w:r>
        <w:rPr>
          <w:rStyle w:val="soitChar"/>
          <w:u w:val="single"/>
        </w:rPr>
        <w:t>Volume net</w:t>
      </w:r>
      <w:r>
        <w:rPr>
          <w:rStyle w:val="soitChar"/>
        </w:rPr>
        <w:t> à mettre en œuvre. Les ouvertures supérieures à 2 m² multipliées par l’épaisseur à réaliser sont déduites. Distinction faite suivant l’épaisseur.</w:t>
      </w:r>
    </w:p>
    <w:p w14:paraId="6F8B661F" w14:textId="77777777" w:rsidR="00DF410E" w:rsidRDefault="00CE7F43">
      <w:pPr>
        <w:pStyle w:val="pheading"/>
      </w:pPr>
      <w:r>
        <w:t>- nature du marché:</w:t>
      </w:r>
    </w:p>
    <w:p w14:paraId="51D99724" w14:textId="77777777" w:rsidR="00DF410E" w:rsidRDefault="00CE7F43">
      <w:r>
        <w:t>QF</w:t>
      </w:r>
    </w:p>
    <w:p w14:paraId="23881EDD" w14:textId="77777777" w:rsidR="00DF410E" w:rsidRDefault="00CE7F43">
      <w:pPr>
        <w:pStyle w:val="Author-eSectionHeading6"/>
      </w:pPr>
      <w:bookmarkStart w:id="1632" w:name="_Toc178838724"/>
      <w:r>
        <w:t>24.15.1d Voiles massifs en CLT chevillés CCTB 01.12</w:t>
      </w:r>
      <w:bookmarkEnd w:id="1632"/>
    </w:p>
    <w:p w14:paraId="3814D582" w14:textId="77777777" w:rsidR="00DF410E" w:rsidRDefault="00CE7F43">
      <w:pPr>
        <w:pStyle w:val="pheading"/>
      </w:pPr>
      <w:r>
        <w:t>DESCRIPTION</w:t>
      </w:r>
    </w:p>
    <w:p w14:paraId="124FB22C" w14:textId="77777777" w:rsidR="00DF410E" w:rsidRDefault="00CE7F43">
      <w:pPr>
        <w:pStyle w:val="pheading"/>
      </w:pPr>
      <w:r>
        <w:t>- Définition / Comprend</w:t>
      </w:r>
    </w:p>
    <w:p w14:paraId="16730293" w14:textId="77777777" w:rsidR="00DF410E" w:rsidRDefault="00CE7F43">
      <w:pPr>
        <w:jc w:val="both"/>
      </w:pPr>
      <w:r>
        <w:t>Il s’agit de la fourniture et la pose de tous les éléments constitués de panneaux lamellés croisés chevillés en bois ou à base de bois constituant les systèmes de construction CLT portants et non portants y compris toutes les pièces qui en font intrinsèquement partie (notamment les dispositifs d’assemblage).</w:t>
      </w:r>
    </w:p>
    <w:p w14:paraId="55368AE8" w14:textId="77777777" w:rsidR="00DF410E" w:rsidRDefault="00CE7F43">
      <w:pPr>
        <w:jc w:val="both"/>
      </w:pPr>
      <w:r>
        <w:t xml:space="preserve">Les panneaux CLT chevillés ne contiennent pas de colle. Les panneaux CLT chevillés collés sont couverts par l’article </w:t>
      </w:r>
      <w:hyperlink w:anchor="591" w:history="1">
        <w:r>
          <w:t>24.15.1c Voiles massifs en CLT cloués collés</w:t>
        </w:r>
      </w:hyperlink>
      <w:r>
        <w:t>.</w:t>
      </w:r>
    </w:p>
    <w:p w14:paraId="287BC764" w14:textId="77777777" w:rsidR="00DF410E" w:rsidRDefault="00CE7F43">
      <w:pPr>
        <w:pStyle w:val="pheading"/>
      </w:pPr>
      <w:r>
        <w:t>- Localisation</w:t>
      </w:r>
    </w:p>
    <w:p w14:paraId="2F9D0A64" w14:textId="77777777" w:rsidR="00DF410E" w:rsidRDefault="00CE7F43">
      <w:r>
        <w:t xml:space="preserve">Localisation des travaux : </w:t>
      </w:r>
      <w:r>
        <w:rPr>
          <w:rStyle w:val="optioncarChar"/>
        </w:rPr>
        <w:t>***</w:t>
      </w:r>
      <w:r>
        <w:t>.</w:t>
      </w:r>
    </w:p>
    <w:p w14:paraId="36A4679C" w14:textId="77777777" w:rsidR="00DF410E" w:rsidRDefault="00CE7F43">
      <w:r>
        <w:t>Voir plans et métrés détaillés.</w:t>
      </w:r>
    </w:p>
    <w:p w14:paraId="5C2797DF" w14:textId="77777777" w:rsidR="00DF410E" w:rsidRDefault="00CE7F43">
      <w:pPr>
        <w:pStyle w:val="pheading"/>
      </w:pPr>
      <w:r>
        <w:t>MATÉRIAUX</w:t>
      </w:r>
    </w:p>
    <w:p w14:paraId="75FA3BCC" w14:textId="77777777" w:rsidR="00DF410E" w:rsidRDefault="00CE7F43">
      <w:pPr>
        <w:pStyle w:val="pheading"/>
      </w:pPr>
      <w:r>
        <w:t>- Caractéristiques générales</w:t>
      </w:r>
    </w:p>
    <w:p w14:paraId="1BD4EFA2" w14:textId="77777777" w:rsidR="00DF410E" w:rsidRDefault="00CE7F43">
      <w:pPr>
        <w:jc w:val="both"/>
      </w:pPr>
      <w:r>
        <w:t>Épaisseur totale du panneau CLT chevillé : </w:t>
      </w:r>
      <w:r>
        <w:rPr>
          <w:rStyle w:val="optioncarChar"/>
        </w:rPr>
        <w:t>***</w:t>
      </w:r>
      <w:r>
        <w:t> mm.</w:t>
      </w:r>
    </w:p>
    <w:p w14:paraId="52F9CA54" w14:textId="77777777" w:rsidR="00DF410E" w:rsidRDefault="00CE7F43">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53D3E65C" w14:textId="77777777" w:rsidR="00DF410E" w:rsidRDefault="00CE7F43">
      <w:pPr>
        <w:jc w:val="both"/>
      </w:pPr>
      <w:r>
        <w:t>Classe de résistance :</w:t>
      </w:r>
      <w:r>
        <w:rPr>
          <w:rStyle w:val="optioncarChar"/>
        </w:rPr>
        <w:t> C18 </w:t>
      </w:r>
      <w:r>
        <w:t>(par défaut)</w:t>
      </w:r>
      <w:r>
        <w:rPr>
          <w:rStyle w:val="optioncarChar"/>
        </w:rPr>
        <w:t xml:space="preserve"> / D18 / C24 / D24 / C30 / D30 / ***.</w:t>
      </w:r>
    </w:p>
    <w:p w14:paraId="03393C34" w14:textId="77777777" w:rsidR="00DF410E" w:rsidRDefault="00CE7F43">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45C75621" w14:textId="77777777" w:rsidR="00DF410E" w:rsidRDefault="00CE7F43">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40/-40-40 / 22-22-22-22-22 </w:t>
      </w:r>
      <w:r>
        <w:t>(par défaut)</w:t>
      </w:r>
      <w:r>
        <w:rPr>
          <w:rStyle w:val="optioncarChar"/>
        </w:rPr>
        <w:t> /  22-30-22-30 / 40-22-22-22-40 / ***</w:t>
      </w:r>
      <w:r>
        <w:t> mm.</w:t>
      </w:r>
    </w:p>
    <w:p w14:paraId="0B401586" w14:textId="77777777" w:rsidR="00DF410E" w:rsidRDefault="00CE7F43">
      <w:pPr>
        <w:jc w:val="both"/>
      </w:pPr>
      <w:r>
        <w:t>Les lames </w:t>
      </w:r>
      <w:r>
        <w:rPr>
          <w:rStyle w:val="optioncarChar"/>
        </w:rPr>
        <w:t>ne sont pas </w:t>
      </w:r>
      <w:r>
        <w:t>(par défaut)</w:t>
      </w:r>
      <w:r>
        <w:rPr>
          <w:rStyle w:val="optioncarChar"/>
        </w:rPr>
        <w:t> / sont</w:t>
      </w:r>
      <w:r>
        <w:t> munies de fente (rainures) de soulagement.</w:t>
      </w:r>
    </w:p>
    <w:p w14:paraId="34865E84" w14:textId="77777777" w:rsidR="00DF410E" w:rsidRDefault="00CE7F43">
      <w:pPr>
        <w:jc w:val="both"/>
      </w:pPr>
      <w:r>
        <w:t xml:space="preserve">Les chevilles ont une tête </w:t>
      </w:r>
      <w:r>
        <w:rPr>
          <w:rStyle w:val="optioncarChar"/>
        </w:rPr>
        <w:t xml:space="preserve">ronde </w:t>
      </w:r>
      <w:r>
        <w:t>(par défaut)</w:t>
      </w:r>
      <w:r>
        <w:rPr>
          <w:rStyle w:val="optioncarChar"/>
        </w:rPr>
        <w:t xml:space="preserve"> / carrée / octogonale / ***.</w:t>
      </w:r>
    </w:p>
    <w:p w14:paraId="21E4C792" w14:textId="77777777" w:rsidR="00DF410E" w:rsidRDefault="00CE7F43">
      <w:pPr>
        <w:jc w:val="both"/>
      </w:pPr>
      <w:r>
        <w:t xml:space="preserve">La section est de </w:t>
      </w:r>
      <w:r>
        <w:rPr>
          <w:rStyle w:val="optioncarChar"/>
        </w:rPr>
        <w:t>diamètre 18 mm</w:t>
      </w:r>
      <w:r>
        <w:t xml:space="preserve"> (par défaut)</w:t>
      </w:r>
      <w:r>
        <w:rPr>
          <w:rStyle w:val="optioncarChar"/>
        </w:rPr>
        <w:t xml:space="preserve"> / 20 mm de côté / ***.</w:t>
      </w:r>
    </w:p>
    <w:p w14:paraId="60C8E8CE" w14:textId="77777777" w:rsidR="00DF410E" w:rsidRDefault="00CE7F43">
      <w:pPr>
        <w:jc w:val="both"/>
      </w:pPr>
      <w:r>
        <w:t xml:space="preserve">Les essences de bois composant les lames du panneau sont définies conformément à la [NBN EN 13556] : </w:t>
      </w:r>
      <w:r>
        <w:rPr>
          <w:rStyle w:val="optioncarChar"/>
        </w:rPr>
        <w:t xml:space="preserve">Chêne </w:t>
      </w:r>
      <w:r>
        <w:t>(par défaut)</w:t>
      </w:r>
      <w:r>
        <w:rPr>
          <w:rStyle w:val="optioncarChar"/>
        </w:rPr>
        <w:t xml:space="preserve"> / Acacia / Robinier / Hêtre / Merisier / Mélèze d'Europe (Larix decidua, LADC) / ***</w:t>
      </w:r>
      <w:r>
        <w:t xml:space="preserve"> .</w:t>
      </w:r>
    </w:p>
    <w:p w14:paraId="16980C97" w14:textId="77777777" w:rsidR="00DF410E" w:rsidRDefault="00CE7F43">
      <w:pPr>
        <w:jc w:val="both"/>
      </w:pPr>
      <w:r>
        <w:t>Les panneaux CLT chevillés sont assemblés lorsque les chevilles ont un taux d’humidité du bois inférieure à 6% .</w:t>
      </w:r>
    </w:p>
    <w:p w14:paraId="6227C9F4" w14:textId="77777777" w:rsidR="00DF410E" w:rsidRDefault="00CE7F43">
      <w:pPr>
        <w:jc w:val="both"/>
      </w:pPr>
      <w:r>
        <w:t>La réaction au feu est de classe </w:t>
      </w:r>
      <w:r>
        <w:rPr>
          <w:rStyle w:val="optioncarChar"/>
        </w:rPr>
        <w:t>D-s2, d0</w:t>
      </w:r>
      <w:r>
        <w:t> (par défaut)</w:t>
      </w:r>
      <w:r>
        <w:rPr>
          <w:rStyle w:val="optioncarChar"/>
        </w:rPr>
        <w:t> / ***.</w:t>
      </w:r>
    </w:p>
    <w:p w14:paraId="2B7B9253" w14:textId="77777777" w:rsidR="00DF410E" w:rsidRDefault="00CE7F43">
      <w:pPr>
        <w:jc w:val="both"/>
      </w:pPr>
      <w:r>
        <w:t>La résistance au feu déclarée de la paroi : </w:t>
      </w:r>
      <w:r>
        <w:rPr>
          <w:rStyle w:val="optioncarChar"/>
        </w:rPr>
        <w:t>pas d’exigences </w:t>
      </w:r>
      <w:r>
        <w:t>(par défaut) </w:t>
      </w:r>
      <w:r>
        <w:rPr>
          <w:rStyle w:val="optioncarChar"/>
        </w:rPr>
        <w:t>/ REI 30 / EI30 / REI 60 / EI 60 / ***.</w:t>
      </w:r>
    </w:p>
    <w:p w14:paraId="3EA93738" w14:textId="77777777" w:rsidR="00DF410E" w:rsidRDefault="00CE7F43">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7CB83A9A" w14:textId="77777777" w:rsidR="00DF410E" w:rsidRDefault="00CE7F43">
      <w:pPr>
        <w:jc w:val="both"/>
      </w:pPr>
      <w:r>
        <w:t>La conductivité thermique des lames de bois déclarée (selon [NBN EN 12667]) ≤ </w:t>
      </w:r>
      <w:r>
        <w:rPr>
          <w:rStyle w:val="optioncarChar"/>
        </w:rPr>
        <w:t>0.11 / 0.13 </w:t>
      </w:r>
      <w:r>
        <w:t>(par défaut)</w:t>
      </w:r>
      <w:r>
        <w:rPr>
          <w:rStyle w:val="optioncarChar"/>
        </w:rPr>
        <w:t> / 0.2 / ***</w:t>
      </w:r>
      <w:r>
        <w:t> W/mK.</w:t>
      </w:r>
    </w:p>
    <w:p w14:paraId="42AD2F4A" w14:textId="77777777" w:rsidR="00DF410E" w:rsidRDefault="00CE7F43">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08FC01C7" w14:textId="77777777" w:rsidR="00DF410E" w:rsidRDefault="00CE7F43">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46DCE53E" w14:textId="77777777" w:rsidR="00DF410E" w:rsidRDefault="00CE7F43">
      <w:pPr>
        <w:jc w:val="both"/>
      </w:pPr>
      <w:r>
        <w:t xml:space="preserve">Le nombre de fixations est de min </w:t>
      </w:r>
      <w:r>
        <w:rPr>
          <w:rStyle w:val="optioncarChar"/>
        </w:rPr>
        <w:t xml:space="preserve">60 </w:t>
      </w:r>
      <w:r>
        <w:t>(par défaut)</w:t>
      </w:r>
      <w:r>
        <w:rPr>
          <w:rStyle w:val="optioncarChar"/>
        </w:rPr>
        <w:t xml:space="preserve"> / ***</w:t>
      </w:r>
      <w:r>
        <w:t xml:space="preserve"> chevilles par m².</w:t>
      </w:r>
    </w:p>
    <w:p w14:paraId="23534CF9" w14:textId="77777777" w:rsidR="00DF410E" w:rsidRDefault="00CE7F43">
      <w:pPr>
        <w:jc w:val="both"/>
      </w:pPr>
      <w:r>
        <w:t>En l’absence de méthode de calcul de stabilité harmonisée sur ce produit, les performances mécaniques sont déterminées par essais pour répondre aux exigences déterminées dans l’étude de stabilité.</w:t>
      </w:r>
    </w:p>
    <w:p w14:paraId="4DBCB0F1" w14:textId="77777777" w:rsidR="00DF410E" w:rsidRDefault="00CE7F43">
      <w:pPr>
        <w:jc w:val="both"/>
      </w:pPr>
      <w:r>
        <w:t>Pour une application de plancher, le rapport comprend les essais de flexion selon les deux directions du plan du panneau, de cisaillement ainsi que les modules de glissement.</w:t>
      </w:r>
    </w:p>
    <w:p w14:paraId="5ADCE823" w14:textId="77777777" w:rsidR="00DF410E" w:rsidRDefault="00CE7F43">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67C277B4" w14:textId="77777777" w:rsidR="00DF410E" w:rsidRDefault="00CE7F43">
      <w:pPr>
        <w:jc w:val="both"/>
      </w:pPr>
      <w:r>
        <w:t>Un jeu de </w:t>
      </w:r>
      <w:r>
        <w:rPr>
          <w:rStyle w:val="optioncarChar"/>
        </w:rPr>
        <w:t>0 </w:t>
      </w:r>
      <w:r>
        <w:t>(par défaut) </w:t>
      </w:r>
      <w:r>
        <w:rPr>
          <w:rStyle w:val="optioncarChar"/>
        </w:rPr>
        <w:t>/ 2 / 5 / *** mm</w:t>
      </w:r>
      <w:r>
        <w:t> est réservé entre les lamelles.</w:t>
      </w:r>
    </w:p>
    <w:p w14:paraId="2A77314C" w14:textId="77777777" w:rsidR="00DF410E" w:rsidRDefault="00CE7F43">
      <w:pPr>
        <w:jc w:val="both"/>
      </w:pPr>
      <w:r>
        <w:t>Le dégagement de formaldéhyde est déclaré conformément la [NBN EN 16351] §4.6 et de classe </w:t>
      </w:r>
      <w:r>
        <w:rPr>
          <w:rStyle w:val="optioncarChar"/>
        </w:rPr>
        <w:t>E1 </w:t>
      </w:r>
      <w:r>
        <w:t>(par défaut)</w:t>
      </w:r>
      <w:r>
        <w:rPr>
          <w:rStyle w:val="optioncarChar"/>
        </w:rPr>
        <w:t> / E2.</w:t>
      </w:r>
    </w:p>
    <w:p w14:paraId="39AB0295" w14:textId="77777777" w:rsidR="00DF410E" w:rsidRDefault="00CE7F43">
      <w:pPr>
        <w:pStyle w:val="pheading"/>
      </w:pPr>
      <w:r>
        <w:t>- Finitions</w:t>
      </w:r>
    </w:p>
    <w:p w14:paraId="708EDD07" w14:textId="77777777" w:rsidR="00DF410E" w:rsidRDefault="00CE7F43">
      <w:pPr>
        <w:jc w:val="both"/>
      </w:pPr>
      <w:r>
        <w:t>Exigences d’aspect : </w:t>
      </w:r>
      <w:r>
        <w:rPr>
          <w:rStyle w:val="optioncarChar"/>
        </w:rPr>
        <w:t>non-visible / visible industriel / visible habitat</w:t>
      </w:r>
      <w:r>
        <w:t> </w:t>
      </w:r>
      <w:r>
        <w:rPr>
          <w:rStyle w:val="optioncarChar"/>
        </w:rPr>
        <w:t>sur 1 face</w:t>
      </w:r>
      <w:r>
        <w:t>.</w:t>
      </w:r>
    </w:p>
    <w:p w14:paraId="33C239A6" w14:textId="77777777" w:rsidR="00DF410E" w:rsidRDefault="00CE7F43">
      <w:pPr>
        <w:jc w:val="both"/>
      </w:pPr>
      <w:r>
        <w:t>Les panneaux </w:t>
      </w:r>
      <w:r>
        <w:rPr>
          <w:rStyle w:val="optioncarChar"/>
        </w:rPr>
        <w:t>sont / ne sont pas</w:t>
      </w:r>
      <w:r>
        <w:t> (par défaut) munis de gaines (rainures) techniques et blochets intégrés non traversantes.</w:t>
      </w:r>
    </w:p>
    <w:p w14:paraId="3D2A628E" w14:textId="77777777" w:rsidR="00DF410E" w:rsidRDefault="00CE7F43">
      <w:pPr>
        <w:pStyle w:val="pheading"/>
      </w:pPr>
      <w:r>
        <w:t>- Prescriptions complémentaires</w:t>
      </w:r>
    </w:p>
    <w:p w14:paraId="1E13C5D8" w14:textId="77777777" w:rsidR="00DF410E" w:rsidRDefault="00CE7F43">
      <w:r>
        <w:rPr>
          <w:rStyle w:val="facultChar"/>
        </w:rPr>
        <w:t>Capacité thermique</w:t>
      </w:r>
      <w:r>
        <w:t xml:space="preserve"> : </w:t>
      </w:r>
      <w:r>
        <w:rPr>
          <w:rStyle w:val="optioncarChar"/>
        </w:rPr>
        <w:t xml:space="preserve">supérieure à 2 </w:t>
      </w:r>
      <w:r>
        <w:t xml:space="preserve">(par défaut) </w:t>
      </w:r>
      <w:r>
        <w:rPr>
          <w:rStyle w:val="optioncarChar"/>
        </w:rPr>
        <w:t>/ ***</w:t>
      </w:r>
      <w:r>
        <w:t>  </w:t>
      </w:r>
      <w:r>
        <w:rPr>
          <w:rStyle w:val="facultChar"/>
        </w:rPr>
        <w:t>kJ/kg.K</w:t>
      </w:r>
    </w:p>
    <w:p w14:paraId="7799A44A" w14:textId="77777777" w:rsidR="00DF410E" w:rsidRDefault="00CE7F43">
      <w:pPr>
        <w:pStyle w:val="pheading"/>
      </w:pPr>
      <w:r>
        <w:t>EXÉCUTION / MISE EN ŒUVRE</w:t>
      </w:r>
    </w:p>
    <w:p w14:paraId="5C40AD42" w14:textId="77777777" w:rsidR="00DF410E" w:rsidRDefault="00CE7F43">
      <w:pPr>
        <w:pStyle w:val="pheading"/>
      </w:pPr>
      <w:r>
        <w:t>- Prescriptions générales</w:t>
      </w:r>
    </w:p>
    <w:p w14:paraId="384398EA" w14:textId="77777777" w:rsidR="00DF410E" w:rsidRDefault="00CE7F43">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144E1DFB" w14:textId="77777777" w:rsidR="00DF410E" w:rsidRDefault="00CE7F43">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13E0D8EA" w14:textId="77777777" w:rsidR="00DF410E" w:rsidRDefault="00CE7F43">
      <w:pPr>
        <w:jc w:val="both"/>
      </w:pPr>
      <w:r>
        <w:t> </w:t>
      </w:r>
    </w:p>
    <w:p w14:paraId="33EE3B5C" w14:textId="77777777" w:rsidR="00DF410E" w:rsidRDefault="00CE7F43">
      <w:pPr>
        <w:jc w:val="both"/>
      </w:pPr>
      <w:r>
        <w:rPr>
          <w:b/>
          <w:i/>
        </w:rPr>
        <w:t>Fixation en pied de mur</w:t>
      </w:r>
    </w:p>
    <w:p w14:paraId="556814A8" w14:textId="77777777" w:rsidR="00DF410E" w:rsidRDefault="00CE7F43">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14ED61E0" w14:textId="77777777" w:rsidR="00DF410E" w:rsidRDefault="00CE7F43">
      <w:pPr>
        <w:ind w:left="567"/>
        <w:jc w:val="both"/>
      </w:pPr>
      <w:r>
        <w:rPr>
          <w:b/>
          <w:i/>
        </w:rPr>
        <w:t>(Soit par défaut)</w:t>
      </w:r>
    </w:p>
    <w:p w14:paraId="71D096FA" w14:textId="77777777" w:rsidR="00DF410E" w:rsidRDefault="00CE7F43">
      <w:pPr>
        <w:ind w:left="567"/>
        <w:jc w:val="both"/>
      </w:pPr>
      <w:r>
        <w:rPr>
          <w:rStyle w:val="soitChar"/>
          <w:u w:val="single"/>
        </w:rPr>
        <w:t>La lisse basse</w:t>
      </w:r>
      <w:r>
        <w:rPr>
          <w:rStyle w:val="soitChar"/>
        </w:rPr>
        <w:t> est fixée par </w:t>
      </w:r>
      <w:r>
        <w:t>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590" w:history="1">
        <w:r>
          <w:rPr>
            <w:rStyle w:val="soitChar"/>
          </w:rPr>
          <w:t>24.11.1a Lisses de pose en bois massif</w:t>
        </w:r>
      </w:hyperlink>
      <w:r>
        <w:rPr>
          <w:rStyle w:val="soitChar"/>
        </w:rPr>
        <w:t>.</w:t>
      </w:r>
    </w:p>
    <w:p w14:paraId="6A3CF565" w14:textId="77777777" w:rsidR="00DF410E" w:rsidRDefault="00CE7F43">
      <w:pPr>
        <w:ind w:left="567"/>
        <w:jc w:val="both"/>
      </w:pPr>
      <w:r>
        <w:rPr>
          <w:b/>
          <w:i/>
        </w:rPr>
        <w:t>(Soit)</w:t>
      </w:r>
    </w:p>
    <w:p w14:paraId="3F9F1835" w14:textId="77777777" w:rsidR="00DF410E" w:rsidRDefault="00CE7F43">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 </w:t>
      </w:r>
      <w:r>
        <w:rPr>
          <w:rStyle w:val="optioncarChar"/>
        </w:rPr>
        <w:t>/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14:paraId="55706E09" w14:textId="77777777" w:rsidR="00DF410E" w:rsidRDefault="00CE7F43">
      <w:pPr>
        <w:ind w:left="567"/>
        <w:jc w:val="both"/>
      </w:pPr>
      <w:r>
        <w:rPr>
          <w:b/>
          <w:i/>
        </w:rPr>
        <w:t>(Soit)</w:t>
      </w:r>
    </w:p>
    <w:p w14:paraId="553A45BB" w14:textId="77777777" w:rsidR="00DF410E" w:rsidRDefault="00CE7F43">
      <w:pPr>
        <w:ind w:left="567"/>
        <w:jc w:val="both"/>
      </w:pPr>
      <w:r>
        <w:rPr>
          <w:rStyle w:val="optioncarChar"/>
        </w:rPr>
        <w:t>***</w:t>
      </w:r>
    </w:p>
    <w:p w14:paraId="3791F771" w14:textId="77777777" w:rsidR="00DF410E" w:rsidRDefault="00DF410E">
      <w:pPr>
        <w:ind w:left="567"/>
        <w:jc w:val="both"/>
      </w:pPr>
    </w:p>
    <w:p w14:paraId="75CE8217" w14:textId="77777777" w:rsidR="00DF410E" w:rsidRDefault="00CE7F43">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0E61969B" w14:textId="77777777" w:rsidR="00DF410E" w:rsidRDefault="00CE7F43">
      <w:pPr>
        <w:jc w:val="both"/>
      </w:pPr>
      <w:r>
        <w:rPr>
          <w:b/>
          <w:i/>
        </w:rPr>
        <w:t>Fixation entre panneaux de même plan</w:t>
      </w:r>
    </w:p>
    <w:p w14:paraId="50DB81AA" w14:textId="77777777" w:rsidR="00DF410E" w:rsidRDefault="00CE7F43">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100A29EE" w14:textId="77777777" w:rsidR="00DF410E" w:rsidRDefault="00CE7F43">
      <w:pPr>
        <w:jc w:val="both"/>
      </w:pPr>
      <w:r>
        <w:rPr>
          <w:b/>
          <w:i/>
        </w:rPr>
        <w:t>Assemblage d’angles</w:t>
      </w:r>
    </w:p>
    <w:p w14:paraId="70F75AC3" w14:textId="77777777" w:rsidR="00DF410E" w:rsidRDefault="00CE7F43">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5C61D9BB" w14:textId="77777777" w:rsidR="00DF410E" w:rsidRDefault="00CE7F43">
      <w:pPr>
        <w:ind w:left="567"/>
        <w:jc w:val="both"/>
      </w:pPr>
      <w:r>
        <w:rPr>
          <w:b/>
          <w:i/>
        </w:rPr>
        <w:t>(Soit par défaut)</w:t>
      </w:r>
    </w:p>
    <w:p w14:paraId="30EAD48B" w14:textId="77777777" w:rsidR="00DF410E" w:rsidRDefault="00CE7F43">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3BE8AAC5" w14:textId="77777777" w:rsidR="00DF410E" w:rsidRDefault="00CE7F43">
      <w:pPr>
        <w:ind w:left="567"/>
        <w:jc w:val="both"/>
      </w:pPr>
      <w:r>
        <w:rPr>
          <w:b/>
          <w:i/>
        </w:rPr>
        <w:t>(Soit)</w:t>
      </w:r>
    </w:p>
    <w:p w14:paraId="67EC0BF9" w14:textId="77777777" w:rsidR="00DF410E" w:rsidRDefault="00CE7F43">
      <w:pPr>
        <w:ind w:left="567"/>
        <w:jc w:val="both"/>
      </w:pPr>
      <w:r>
        <w:rPr>
          <w:rStyle w:val="soitChar"/>
          <w:u w:val="single"/>
        </w:rPr>
        <w:t>Dispositifs d’ancrage ponctuels : </w:t>
      </w:r>
      <w:r>
        <w:rPr>
          <w:rStyle w:val="soitChar"/>
        </w:rPr>
        <w:t>Les dispositifs de fixation sont des </w:t>
      </w:r>
      <w:r>
        <w:t>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14:paraId="65944970" w14:textId="77777777" w:rsidR="00DF410E" w:rsidRDefault="00CE7F43">
      <w:pPr>
        <w:ind w:left="567"/>
        <w:jc w:val="both"/>
      </w:pPr>
      <w:r>
        <w:rPr>
          <w:b/>
          <w:i/>
        </w:rPr>
        <w:t>(Soit)</w:t>
      </w:r>
    </w:p>
    <w:p w14:paraId="04D242CE" w14:textId="77777777" w:rsidR="00DF410E" w:rsidRDefault="00CE7F43">
      <w:pPr>
        <w:ind w:left="567"/>
        <w:jc w:val="both"/>
      </w:pPr>
      <w:r>
        <w:rPr>
          <w:rStyle w:val="optioncarChar"/>
        </w:rPr>
        <w:t>***</w:t>
      </w:r>
    </w:p>
    <w:p w14:paraId="115988A5" w14:textId="77777777" w:rsidR="00DF410E" w:rsidRDefault="00CE7F43">
      <w:pPr>
        <w:jc w:val="both"/>
      </w:pPr>
      <w:r>
        <w:t> </w:t>
      </w:r>
    </w:p>
    <w:p w14:paraId="32DBD113" w14:textId="77777777" w:rsidR="00DF410E" w:rsidRDefault="00CE7F43">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35F0830B" w14:textId="77777777" w:rsidR="00DF410E" w:rsidRDefault="00CE7F43">
      <w:pPr>
        <w:jc w:val="both"/>
      </w:pPr>
      <w:r>
        <w:t>Les fixations, pointes ou vis, des panneaux sont effectuées sur</w:t>
      </w:r>
      <w:r>
        <w:rPr>
          <w:rStyle w:val="optioncarChar"/>
        </w:rPr>
        <w:t> 2/3 </w:t>
      </w:r>
      <w:r>
        <w:t>(par défaut)</w:t>
      </w:r>
      <w:r>
        <w:rPr>
          <w:rStyle w:val="optioncarChar"/>
        </w:rPr>
        <w:t> / ***</w:t>
      </w:r>
      <w:r>
        <w:t> de l’épaisseur du panneau.</w:t>
      </w:r>
    </w:p>
    <w:p w14:paraId="66E01F3A" w14:textId="77777777" w:rsidR="00DF410E" w:rsidRDefault="00CE7F43">
      <w:pPr>
        <w:jc w:val="both"/>
      </w:pPr>
      <w:r>
        <w:t>Les dispositifs d’ancrage sont décrits dans les éléments du </w:t>
      </w:r>
      <w:hyperlink w:anchor="583" w:history="1">
        <w:r>
          <w:t>24.4 Assemblages</w:t>
        </w:r>
      </w:hyperlink>
      <w:r>
        <w:t>.</w:t>
      </w:r>
    </w:p>
    <w:p w14:paraId="3F1AD2EE" w14:textId="77777777" w:rsidR="00DF410E" w:rsidRDefault="00CE7F43">
      <w:pPr>
        <w:pStyle w:val="pheading"/>
      </w:pPr>
      <w:r>
        <w:t>DOCUMENTS DE RÉFÉRENCE COMPLÉMENTAIRES</w:t>
      </w:r>
    </w:p>
    <w:p w14:paraId="031ACCA8" w14:textId="77777777" w:rsidR="00DF410E" w:rsidRDefault="00CE7F43">
      <w:pPr>
        <w:pStyle w:val="pheading"/>
      </w:pPr>
      <w:r>
        <w:t>- Matériau</w:t>
      </w:r>
    </w:p>
    <w:p w14:paraId="3629F47E" w14:textId="77777777" w:rsidR="00DF410E" w:rsidRDefault="00CE7F43">
      <w:r>
        <w:t>[NBN EN 408+A1, Structures en bois - Bois de structure et bois lamellé-collé - Détermination de certaines propriétés physiques et mécaniques] </w:t>
      </w:r>
    </w:p>
    <w:p w14:paraId="029546BE" w14:textId="77777777" w:rsidR="00DF410E" w:rsidRDefault="00CE7F43">
      <w:r>
        <w:t>[NBN EN 594, Structures en bois - Méthodes d'essai - Essai de raideur et résistance au contreventement des murs à ossature en bois]</w:t>
      </w:r>
    </w:p>
    <w:p w14:paraId="33C79DA6" w14:textId="77777777" w:rsidR="00DF410E" w:rsidRDefault="00CE7F43">
      <w:r>
        <w:t>[NBN EN 1991 série, Eurocode 1 : Actions sur les structures]</w:t>
      </w:r>
    </w:p>
    <w:p w14:paraId="0BF7ACBF" w14:textId="77777777" w:rsidR="00DF410E" w:rsidRDefault="00CE7F43">
      <w:r>
        <w:t>[NBN EN 1995 série, Eurocode 5: Conception et calcul des structures en bois]</w:t>
      </w:r>
    </w:p>
    <w:p w14:paraId="37AAD1C9"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2F3EE0EA" w14:textId="77777777" w:rsidR="00DF410E" w:rsidRDefault="00CE7F43">
      <w:r>
        <w:t>[NBN EN 13556, Bois ronds et bois sciés - Nomenclature des bois utilisés en Europe]</w:t>
      </w:r>
    </w:p>
    <w:p w14:paraId="1A474322" w14:textId="77777777" w:rsidR="00DF410E" w:rsidRDefault="00CE7F43">
      <w:r>
        <w:t>[NBN EN 14358, Structures en bois - Détermination et vérification des valeurs caractéristiques]</w:t>
      </w:r>
    </w:p>
    <w:p w14:paraId="3AE725D3" w14:textId="77777777" w:rsidR="00DF410E" w:rsidRDefault="00CE7F43">
      <w:r>
        <w:t>[NBN EN 16351, Structures en bois - Bois lamellé croisé - Exigences]</w:t>
      </w:r>
    </w:p>
    <w:p w14:paraId="50A2EB84" w14:textId="77777777" w:rsidR="00DF410E" w:rsidRDefault="00CE7F43">
      <w:pPr>
        <w:pStyle w:val="pheading"/>
      </w:pPr>
      <w:r>
        <w:t>MESURAGE</w:t>
      </w:r>
    </w:p>
    <w:p w14:paraId="1531F4F5" w14:textId="77777777" w:rsidR="00DF410E" w:rsidRDefault="00CE7F43">
      <w:pPr>
        <w:pStyle w:val="pheading"/>
      </w:pPr>
      <w:r>
        <w:t>- unité de mesure:</w:t>
      </w:r>
    </w:p>
    <w:p w14:paraId="388F11DA" w14:textId="77777777" w:rsidR="00DF410E" w:rsidRDefault="00CE7F43">
      <w:r>
        <w:rPr>
          <w:rStyle w:val="optioncarChar"/>
        </w:rPr>
        <w:t>m² </w:t>
      </w:r>
      <w:r>
        <w:t>(par défaut)</w:t>
      </w:r>
      <w:r>
        <w:rPr>
          <w:rStyle w:val="optioncarChar"/>
        </w:rPr>
        <w:t xml:space="preserve"> / m³ </w:t>
      </w:r>
    </w:p>
    <w:p w14:paraId="63ACB089" w14:textId="77777777" w:rsidR="00DF410E" w:rsidRDefault="00CE7F43">
      <w:r>
        <w:rPr>
          <w:b/>
          <w:i/>
        </w:rPr>
        <w:t>(Soit par défaut)</w:t>
      </w:r>
    </w:p>
    <w:p w14:paraId="72FD5786" w14:textId="77777777" w:rsidR="00DF410E" w:rsidRDefault="00CE7F43">
      <w:r>
        <w:rPr>
          <w:rStyle w:val="soitChar"/>
        </w:rPr>
        <w:t>1.     m²</w:t>
      </w:r>
    </w:p>
    <w:p w14:paraId="7C13B520" w14:textId="77777777" w:rsidR="00DF410E" w:rsidRDefault="00CE7F43">
      <w:r>
        <w:rPr>
          <w:b/>
          <w:i/>
        </w:rPr>
        <w:t>(Soit)</w:t>
      </w:r>
    </w:p>
    <w:p w14:paraId="1B1879CC" w14:textId="77777777" w:rsidR="00DF410E" w:rsidRDefault="00CE7F43">
      <w:r>
        <w:rPr>
          <w:rStyle w:val="soitChar"/>
        </w:rPr>
        <w:t>2.     m³</w:t>
      </w:r>
    </w:p>
    <w:p w14:paraId="1505539D" w14:textId="77777777" w:rsidR="00DF410E" w:rsidRDefault="00CE7F43">
      <w:pPr>
        <w:pStyle w:val="pheading"/>
      </w:pPr>
      <w:r>
        <w:t>- code de mesurage:</w:t>
      </w:r>
    </w:p>
    <w:p w14:paraId="086572F9" w14:textId="77777777" w:rsidR="00DF410E" w:rsidRDefault="00CE7F43">
      <w:pPr>
        <w:jc w:val="both"/>
      </w:pPr>
      <w:r>
        <w:rPr>
          <w:rStyle w:val="optioncarChar"/>
        </w:rPr>
        <w:t>Surface nette </w:t>
      </w:r>
      <w:r>
        <w:t xml:space="preserve">(par défaut) </w:t>
      </w:r>
      <w:r>
        <w:rPr>
          <w:rStyle w:val="optioncarChar"/>
        </w:rPr>
        <w:t>/ Volume net </w:t>
      </w:r>
    </w:p>
    <w:p w14:paraId="36F87221" w14:textId="77777777" w:rsidR="00DF410E" w:rsidRDefault="00CE7F43">
      <w:pPr>
        <w:jc w:val="both"/>
      </w:pPr>
      <w:r>
        <w:rPr>
          <w:b/>
          <w:i/>
        </w:rPr>
        <w:t>(Soit par défaut)</w:t>
      </w:r>
    </w:p>
    <w:p w14:paraId="743F3440" w14:textId="77777777" w:rsidR="00DF410E" w:rsidRDefault="00CE7F43">
      <w:pPr>
        <w:jc w:val="both"/>
      </w:pPr>
      <w:r>
        <w:rPr>
          <w:rStyle w:val="soitChar"/>
        </w:rPr>
        <w:t xml:space="preserve">1. </w:t>
      </w:r>
      <w:r>
        <w:rPr>
          <w:rStyle w:val="soitChar"/>
          <w:u w:val="single"/>
        </w:rPr>
        <w:t>Surface nette</w:t>
      </w:r>
      <w:r>
        <w:rPr>
          <w:rStyle w:val="soitChar"/>
        </w:rPr>
        <w:t> à mettre en œuvre. Les réservations inférieures à 2 m² ne sont pas déduites. Distinction faite suivant l'épaisseur.</w:t>
      </w:r>
    </w:p>
    <w:p w14:paraId="37C47A67" w14:textId="77777777" w:rsidR="00DF410E" w:rsidRDefault="00CE7F43">
      <w:pPr>
        <w:jc w:val="both"/>
      </w:pPr>
      <w:r>
        <w:rPr>
          <w:b/>
          <w:i/>
        </w:rPr>
        <w:t>(Soit)</w:t>
      </w:r>
    </w:p>
    <w:p w14:paraId="0798A4B4" w14:textId="77777777" w:rsidR="00DF410E" w:rsidRDefault="00CE7F43">
      <w:pPr>
        <w:jc w:val="both"/>
      </w:pPr>
      <w:r>
        <w:rPr>
          <w:rStyle w:val="soitChar"/>
        </w:rPr>
        <w:t xml:space="preserve">2. </w:t>
      </w:r>
      <w:r>
        <w:rPr>
          <w:rStyle w:val="soitChar"/>
          <w:u w:val="single"/>
        </w:rPr>
        <w:t>Volume net</w:t>
      </w:r>
      <w:r>
        <w:rPr>
          <w:rStyle w:val="soitChar"/>
        </w:rPr>
        <w:t> à mettre en œuvre. Les ouvertures supérieures à 2m² multipliées par l'épaisseur à réaliser sont déduites. Distinction faite suivant l'épaisseur.</w:t>
      </w:r>
    </w:p>
    <w:p w14:paraId="05F3345B" w14:textId="77777777" w:rsidR="00DF410E" w:rsidRDefault="00CE7F43">
      <w:pPr>
        <w:pStyle w:val="pheading"/>
      </w:pPr>
      <w:r>
        <w:t>- nature du marché:</w:t>
      </w:r>
    </w:p>
    <w:p w14:paraId="5E2C4BEB" w14:textId="77777777" w:rsidR="00DF410E" w:rsidRDefault="00CE7F43">
      <w:r>
        <w:t>QF</w:t>
      </w:r>
    </w:p>
    <w:p w14:paraId="64694D70" w14:textId="77777777" w:rsidR="00DF410E" w:rsidRDefault="00CE7F43">
      <w:pPr>
        <w:pStyle w:val="Author-eSectionHeading5"/>
      </w:pPr>
      <w:bookmarkStart w:id="1633" w:name="_Toc178838725"/>
      <w:r>
        <w:t>24.15.2 Voiles en LVL CCTB 01.10</w:t>
      </w:r>
      <w:bookmarkEnd w:id="1633"/>
    </w:p>
    <w:p w14:paraId="36CC9E13" w14:textId="77777777" w:rsidR="00DF410E" w:rsidRDefault="00CE7F43">
      <w:pPr>
        <w:pStyle w:val="Author-eSectionHeading6"/>
      </w:pPr>
      <w:bookmarkStart w:id="1634" w:name="_Toc178838726"/>
      <w:r>
        <w:t>24.15.2a Voiles en LVL CCTB 01.11</w:t>
      </w:r>
      <w:bookmarkEnd w:id="1634"/>
    </w:p>
    <w:p w14:paraId="62D91751" w14:textId="77777777" w:rsidR="00DF410E" w:rsidRDefault="00CE7F43">
      <w:pPr>
        <w:pStyle w:val="pheading"/>
      </w:pPr>
      <w:r>
        <w:t>DESCRIPTION</w:t>
      </w:r>
    </w:p>
    <w:p w14:paraId="3D606527" w14:textId="77777777" w:rsidR="00DF410E" w:rsidRDefault="00CE7F43">
      <w:pPr>
        <w:pStyle w:val="pheading"/>
      </w:pPr>
      <w:r>
        <w:t>- Définition / Comprend</w:t>
      </w:r>
    </w:p>
    <w:p w14:paraId="36156422" w14:textId="77777777" w:rsidR="00DF410E" w:rsidRDefault="00CE7F43">
      <w:r>
        <w:t>Il s'agit de panneaux autoportants fait de LVL et utilisés en voile.</w:t>
      </w:r>
    </w:p>
    <w:p w14:paraId="6DAF3375" w14:textId="77777777" w:rsidR="00DF410E" w:rsidRDefault="00CE7F43">
      <w:r>
        <w:t xml:space="preserve">Le matériau LVL est défini dans </w:t>
      </w:r>
      <w:hyperlink w:anchor="89" w:history="1">
        <w:r>
          <w:t>24 Superstructures en bois</w:t>
        </w:r>
      </w:hyperlink>
    </w:p>
    <w:p w14:paraId="7555F7CD" w14:textId="77777777" w:rsidR="00DF410E" w:rsidRDefault="00CE7F43">
      <w:pPr>
        <w:pStyle w:val="pheading"/>
      </w:pPr>
      <w:r>
        <w:t>MATÉRIAUX</w:t>
      </w:r>
    </w:p>
    <w:p w14:paraId="7E106DAD" w14:textId="77777777" w:rsidR="00DF410E" w:rsidRDefault="00CE7F43">
      <w:pPr>
        <w:pStyle w:val="pheading"/>
      </w:pPr>
      <w:r>
        <w:t>- Caractéristiques générales</w:t>
      </w:r>
    </w:p>
    <w:p w14:paraId="574C8FF0" w14:textId="77777777" w:rsidR="00DF410E" w:rsidRDefault="00CE7F43">
      <w:pPr>
        <w:jc w:val="both"/>
      </w:pPr>
      <w:r>
        <w:t>Classe d’emploi :</w:t>
      </w:r>
      <w:r>
        <w:rPr>
          <w:rStyle w:val="optioncarChar"/>
        </w:rPr>
        <w:t xml:space="preserve"> 1 </w:t>
      </w:r>
      <w:r>
        <w:t>(par défaut)</w:t>
      </w:r>
      <w:r>
        <w:rPr>
          <w:rStyle w:val="optioncarChar"/>
        </w:rPr>
        <w:t xml:space="preserve"> / 2 / ***</w:t>
      </w:r>
    </w:p>
    <w:p w14:paraId="2F3AE166" w14:textId="77777777" w:rsidR="00DF410E" w:rsidRDefault="00CE7F43">
      <w:pPr>
        <w:jc w:val="both"/>
      </w:pPr>
      <w:r>
        <w:t>Teneur en humidité cible maximale des panneaux de LVL :</w:t>
      </w:r>
      <w:r>
        <w:rPr>
          <w:rStyle w:val="optioncarChar"/>
        </w:rPr>
        <w:t xml:space="preserve"> 12 % </w:t>
      </w:r>
      <w:r>
        <w:t xml:space="preserve">(par défaut) </w:t>
      </w:r>
      <w:r>
        <w:rPr>
          <w:rStyle w:val="optioncarChar"/>
        </w:rPr>
        <w:t>/ ***</w:t>
      </w:r>
    </w:p>
    <w:p w14:paraId="00E5DF86" w14:textId="77777777" w:rsidR="00DF410E" w:rsidRDefault="00CE7F43">
      <w:pPr>
        <w:jc w:val="both"/>
      </w:pPr>
      <w:r>
        <w:t>Durabilité des LVL :</w:t>
      </w:r>
      <w:r>
        <w:rPr>
          <w:rStyle w:val="optioncarChar"/>
        </w:rPr>
        <w:t xml:space="preserve"> LVL/1 </w:t>
      </w:r>
      <w:r>
        <w:t>(par défaut)</w:t>
      </w:r>
      <w:r>
        <w:rPr>
          <w:rStyle w:val="optioncarChar"/>
        </w:rPr>
        <w:t xml:space="preserve"> / LVL/2 / LVL/3</w:t>
      </w:r>
    </w:p>
    <w:p w14:paraId="0DBCC683" w14:textId="77777777" w:rsidR="00DF410E" w:rsidRDefault="00CE7F43">
      <w:pPr>
        <w:jc w:val="both"/>
      </w:pPr>
      <w:r>
        <w:t xml:space="preserve">Essence des bois : </w:t>
      </w:r>
      <w:r>
        <w:rPr>
          <w:rStyle w:val="optioncarChar"/>
        </w:rPr>
        <w:t xml:space="preserve">résineuse </w:t>
      </w:r>
      <w:r>
        <w:t>(par défaut)</w:t>
      </w:r>
      <w:r>
        <w:rPr>
          <w:rStyle w:val="optioncarChar"/>
        </w:rPr>
        <w:t xml:space="preserve"> / feuillue / épicéa / pin / douglas / bouleau / peuplier / ***</w:t>
      </w:r>
    </w:p>
    <w:p w14:paraId="1E18573A" w14:textId="77777777" w:rsidR="00DF410E" w:rsidRDefault="00CE7F43">
      <w:pPr>
        <w:jc w:val="both"/>
      </w:pPr>
      <w:r>
        <w:t xml:space="preserve">Type de LVL : </w:t>
      </w:r>
      <w:r>
        <w:rPr>
          <w:rStyle w:val="optioncarChar"/>
        </w:rPr>
        <w:t xml:space="preserve">LVL Q </w:t>
      </w:r>
      <w:r>
        <w:t xml:space="preserve">(par défaut) </w:t>
      </w:r>
      <w:r>
        <w:rPr>
          <w:rStyle w:val="optioncarChar"/>
        </w:rPr>
        <w:t>/ LVL S </w:t>
      </w:r>
    </w:p>
    <w:p w14:paraId="26D6FD90" w14:textId="77777777" w:rsidR="00DF410E" w:rsidRDefault="00CE7F43">
      <w:pPr>
        <w:jc w:val="both"/>
      </w:pPr>
      <w:r>
        <w:t xml:space="preserve">Épaisseur du panneau : </w:t>
      </w:r>
      <w:r>
        <w:rPr>
          <w:rStyle w:val="optioncarChar"/>
        </w:rPr>
        <w:t>25 </w:t>
      </w:r>
      <w:r>
        <w:t xml:space="preserve">(par défaut) </w:t>
      </w:r>
      <w:r>
        <w:rPr>
          <w:rStyle w:val="optioncarChar"/>
        </w:rPr>
        <w:t>/ 30 / 40 / 50 / 60 / 75 / ***</w:t>
      </w:r>
    </w:p>
    <w:p w14:paraId="20CA42F6" w14:textId="77777777" w:rsidR="00DF410E" w:rsidRDefault="00CE7F43">
      <w:pPr>
        <w:jc w:val="both"/>
      </w:pPr>
      <w:r>
        <w:t xml:space="preserve">Surface des voiles : </w:t>
      </w:r>
      <w:r>
        <w:rPr>
          <w:rStyle w:val="optioncarChar"/>
        </w:rPr>
        <w:t xml:space="preserve">voir plan </w:t>
      </w:r>
      <w:r>
        <w:t xml:space="preserve">(par défaut) </w:t>
      </w:r>
      <w:r>
        <w:rPr>
          <w:rStyle w:val="optioncarChar"/>
        </w:rPr>
        <w:t>/ ***</w:t>
      </w:r>
    </w:p>
    <w:p w14:paraId="0A7797B2" w14:textId="77777777" w:rsidR="00DF410E" w:rsidRDefault="00CE7F43">
      <w:pPr>
        <w:jc w:val="both"/>
      </w:pPr>
      <w:r>
        <w:t>Caractéristiques mécaniques :</w:t>
      </w:r>
    </w:p>
    <w:p w14:paraId="29034BF7" w14:textId="77777777" w:rsidR="00DF410E" w:rsidRDefault="00CE7F43">
      <w:pPr>
        <w:pStyle w:val="Author-eListParagraph"/>
        <w:numPr>
          <w:ilvl w:val="0"/>
          <w:numId w:val="887"/>
        </w:numPr>
      </w:pPr>
      <w:r>
        <w:t>Résistance minimale en flexion à plat, fil parallèle : </w:t>
      </w:r>
      <w:r>
        <w:rPr>
          <w:rStyle w:val="optioncarChar"/>
        </w:rPr>
        <w:t>32 MPa </w:t>
      </w:r>
      <w:r>
        <w:t>(par défaut)</w:t>
      </w:r>
      <w:r>
        <w:rPr>
          <w:rStyle w:val="optioncarChar"/>
        </w:rPr>
        <w:t> / 36 MPa / ***</w:t>
      </w:r>
    </w:p>
    <w:p w14:paraId="7E85F8B6" w14:textId="77777777" w:rsidR="00DF410E" w:rsidRDefault="00CE7F43">
      <w:pPr>
        <w:pStyle w:val="Author-eListParagraph"/>
        <w:numPr>
          <w:ilvl w:val="0"/>
          <w:numId w:val="887"/>
        </w:numPr>
      </w:pPr>
      <w:r>
        <w:t>Résistance minimale en traction parallèle au fil du bois :</w:t>
      </w:r>
      <w:r>
        <w:rPr>
          <w:rStyle w:val="optioncarChar"/>
        </w:rPr>
        <w:t> 18 MPa </w:t>
      </w:r>
      <w:r>
        <w:t>(par défaut)</w:t>
      </w:r>
      <w:r>
        <w:rPr>
          <w:rStyle w:val="optioncarChar"/>
        </w:rPr>
        <w:t> / ***</w:t>
      </w:r>
    </w:p>
    <w:p w14:paraId="74A36C97" w14:textId="77777777" w:rsidR="00DF410E" w:rsidRDefault="00CE7F43">
      <w:pPr>
        <w:pStyle w:val="Author-eListParagraph"/>
        <w:numPr>
          <w:ilvl w:val="0"/>
          <w:numId w:val="887"/>
        </w:numPr>
      </w:pPr>
      <w:r>
        <w:t>Résistance minimale en compression parallèle au fil du bois : </w:t>
      </w:r>
      <w:r>
        <w:rPr>
          <w:rStyle w:val="optioncarChar"/>
        </w:rPr>
        <w:t>30 MPa</w:t>
      </w:r>
      <w:r>
        <w:t> (par défaut)</w:t>
      </w:r>
      <w:r>
        <w:rPr>
          <w:rStyle w:val="optioncarChar"/>
        </w:rPr>
        <w:t> / ***</w:t>
      </w:r>
    </w:p>
    <w:p w14:paraId="3C89D8DD" w14:textId="77777777" w:rsidR="00DF410E" w:rsidRDefault="00CE7F43">
      <w:pPr>
        <w:pStyle w:val="Author-eListParagraph"/>
        <w:numPr>
          <w:ilvl w:val="0"/>
          <w:numId w:val="887"/>
        </w:numPr>
      </w:pPr>
      <w:r>
        <w:t>Résistance minimale en cisaillement à plat : </w:t>
      </w:r>
      <w:r>
        <w:rPr>
          <w:rStyle w:val="optioncarChar"/>
        </w:rPr>
        <w:t>2 MPa </w:t>
      </w:r>
      <w:r>
        <w:t>(par défaut)</w:t>
      </w:r>
      <w:r>
        <w:rPr>
          <w:rStyle w:val="optioncarChar"/>
        </w:rPr>
        <w:t> / ***</w:t>
      </w:r>
    </w:p>
    <w:p w14:paraId="0F516171" w14:textId="77777777" w:rsidR="00DF410E" w:rsidRDefault="00CE7F43">
      <w:pPr>
        <w:pStyle w:val="Author-eListParagraph"/>
        <w:numPr>
          <w:ilvl w:val="0"/>
          <w:numId w:val="887"/>
        </w:numPr>
      </w:pPr>
      <w:r>
        <w:t>Module d’élasticité minimum parallèle au fil du bois (au fractile 5%) : </w:t>
      </w:r>
      <w:r>
        <w:rPr>
          <w:rStyle w:val="optioncarChar"/>
        </w:rPr>
        <w:t>9 GPa</w:t>
      </w:r>
      <w:r>
        <w:t> (par défaut)</w:t>
      </w:r>
      <w:r>
        <w:rPr>
          <w:rStyle w:val="optioncarChar"/>
        </w:rPr>
        <w:t> / ***</w:t>
      </w:r>
    </w:p>
    <w:p w14:paraId="4013E6A5" w14:textId="77777777" w:rsidR="00DF410E" w:rsidRDefault="00CE7F43">
      <w:pPr>
        <w:pStyle w:val="Author-eListParagraph"/>
        <w:numPr>
          <w:ilvl w:val="0"/>
          <w:numId w:val="887"/>
        </w:numPr>
      </w:pPr>
      <w:r>
        <w:t>Module de cisaillement à plat : </w:t>
      </w:r>
      <w:r>
        <w:rPr>
          <w:rStyle w:val="optioncarChar"/>
        </w:rPr>
        <w:t>130 MPa </w:t>
      </w:r>
      <w:r>
        <w:t>(par défaut) </w:t>
      </w:r>
      <w:r>
        <w:rPr>
          <w:rStyle w:val="optioncarChar"/>
        </w:rPr>
        <w:t>/ ***</w:t>
      </w:r>
    </w:p>
    <w:p w14:paraId="5684236E" w14:textId="77777777" w:rsidR="00DF410E" w:rsidRDefault="00CE7F43">
      <w:pPr>
        <w:jc w:val="both"/>
      </w:pPr>
      <w:r>
        <w:t xml:space="preserve">Classe d’émission de formaldéhyde : </w:t>
      </w:r>
      <w:r>
        <w:rPr>
          <w:rStyle w:val="optioncarChar"/>
        </w:rPr>
        <w:t xml:space="preserve">E1 </w:t>
      </w:r>
      <w:r>
        <w:t>(par défaut)</w:t>
      </w:r>
      <w:r>
        <w:rPr>
          <w:rStyle w:val="optioncarChar"/>
        </w:rPr>
        <w:t xml:space="preserve"> / E2</w:t>
      </w:r>
    </w:p>
    <w:p w14:paraId="2650047C" w14:textId="77777777" w:rsidR="00DF410E" w:rsidRDefault="00CE7F43">
      <w:pPr>
        <w:pStyle w:val="pheading"/>
      </w:pPr>
      <w:r>
        <w:t>- Finitions</w:t>
      </w:r>
    </w:p>
    <w:p w14:paraId="66C8D47F" w14:textId="77777777" w:rsidR="00DF410E" w:rsidRDefault="00CE7F43">
      <w:r>
        <w:t xml:space="preserve">Finition de surface : </w:t>
      </w:r>
      <w:r>
        <w:rPr>
          <w:rStyle w:val="optioncarChar"/>
        </w:rPr>
        <w:t>non poncée</w:t>
      </w:r>
      <w:r>
        <w:t xml:space="preserve"> (par défaut)</w:t>
      </w:r>
      <w:r>
        <w:rPr>
          <w:rStyle w:val="optioncarChar"/>
        </w:rPr>
        <w:t xml:space="preserve"> / poncée </w:t>
      </w:r>
      <w:r>
        <w:t>sur </w:t>
      </w:r>
      <w:r>
        <w:rPr>
          <w:rStyle w:val="optioncarChar"/>
        </w:rPr>
        <w:t>1 / 2 </w:t>
      </w:r>
      <w:r>
        <w:t>faces.</w:t>
      </w:r>
    </w:p>
    <w:p w14:paraId="418D08F8" w14:textId="77777777" w:rsidR="00DF410E" w:rsidRDefault="00CE7F43">
      <w:pPr>
        <w:pStyle w:val="pheading"/>
      </w:pPr>
      <w:r>
        <w:t>MESURAGE</w:t>
      </w:r>
    </w:p>
    <w:p w14:paraId="5A9DDD18" w14:textId="77777777" w:rsidR="00DF410E" w:rsidRDefault="00CE7F43">
      <w:pPr>
        <w:pStyle w:val="pheading"/>
      </w:pPr>
      <w:r>
        <w:t>- unité de mesure:</w:t>
      </w:r>
    </w:p>
    <w:p w14:paraId="7537DB1A" w14:textId="77777777" w:rsidR="00DF410E" w:rsidRDefault="00CE7F43">
      <w:r>
        <w:rPr>
          <w:rStyle w:val="optioncarChar"/>
        </w:rPr>
        <w:t>m³ </w:t>
      </w:r>
      <w:r>
        <w:t>(par défaut)</w:t>
      </w:r>
      <w:r>
        <w:rPr>
          <w:rStyle w:val="optioncarChar"/>
        </w:rPr>
        <w:t> / m² </w:t>
      </w:r>
    </w:p>
    <w:p w14:paraId="7ADD582C" w14:textId="77777777" w:rsidR="00DF410E" w:rsidRDefault="00CE7F43">
      <w:r>
        <w:rPr>
          <w:b/>
          <w:i/>
        </w:rPr>
        <w:t>(Soit par défaut)</w:t>
      </w:r>
    </w:p>
    <w:p w14:paraId="188C8733" w14:textId="77777777" w:rsidR="00DF410E" w:rsidRDefault="00CE7F43">
      <w:r>
        <w:rPr>
          <w:rStyle w:val="soitChar"/>
        </w:rPr>
        <w:t>1.     m³</w:t>
      </w:r>
    </w:p>
    <w:p w14:paraId="622B62B4" w14:textId="77777777" w:rsidR="00DF410E" w:rsidRDefault="00CE7F43">
      <w:r>
        <w:rPr>
          <w:b/>
          <w:i/>
        </w:rPr>
        <w:t>(Soit)</w:t>
      </w:r>
    </w:p>
    <w:p w14:paraId="35766F8E" w14:textId="77777777" w:rsidR="00DF410E" w:rsidRDefault="00CE7F43">
      <w:r>
        <w:rPr>
          <w:rStyle w:val="soitChar"/>
        </w:rPr>
        <w:t>2.     m²</w:t>
      </w:r>
    </w:p>
    <w:p w14:paraId="1BA25E19" w14:textId="77777777" w:rsidR="00DF410E" w:rsidRDefault="00CE7F43">
      <w:pPr>
        <w:pStyle w:val="pheading"/>
      </w:pPr>
      <w:r>
        <w:t>- code de mesurage:</w:t>
      </w:r>
    </w:p>
    <w:p w14:paraId="3F00B1CF" w14:textId="77777777" w:rsidR="00DF410E" w:rsidRDefault="00CE7F43">
      <w:r>
        <w:rPr>
          <w:rStyle w:val="optioncarChar"/>
        </w:rPr>
        <w:t> Volume net </w:t>
      </w:r>
      <w:r>
        <w:t>(par défaut) </w:t>
      </w:r>
      <w:r>
        <w:rPr>
          <w:rStyle w:val="optioncarChar"/>
        </w:rPr>
        <w:t>/ Surface nette </w:t>
      </w:r>
    </w:p>
    <w:p w14:paraId="18B22C0A" w14:textId="77777777" w:rsidR="00DF410E" w:rsidRDefault="00CE7F43">
      <w:r>
        <w:rPr>
          <w:b/>
          <w:i/>
        </w:rPr>
        <w:t>(Soit par défaut)</w:t>
      </w:r>
    </w:p>
    <w:p w14:paraId="06504D4F" w14:textId="77777777" w:rsidR="00DF410E" w:rsidRDefault="00CE7F43">
      <w:r>
        <w:rPr>
          <w:rStyle w:val="soitChar"/>
        </w:rPr>
        <w:t>1</w:t>
      </w:r>
      <w:r>
        <w:rPr>
          <w:rStyle w:val="soitChar"/>
          <w:u w:val="single"/>
        </w:rPr>
        <w:t>. Volume net</w:t>
      </w:r>
      <w:r>
        <w:rPr>
          <w:rStyle w:val="soitChar"/>
        </w:rPr>
        <w:t> : le volume net des voiles ayant les mêmes caractéristiques est calculée. Les ouvertures dont la surface est inférieure à 0,5m² ne sont pas déduites.</w:t>
      </w:r>
    </w:p>
    <w:p w14:paraId="51B282BA" w14:textId="77777777" w:rsidR="00DF410E" w:rsidRDefault="00CE7F43">
      <w:r>
        <w:rPr>
          <w:b/>
          <w:i/>
        </w:rPr>
        <w:t>(Soit)</w:t>
      </w:r>
    </w:p>
    <w:p w14:paraId="484DE7CC" w14:textId="77777777" w:rsidR="00DF410E" w:rsidRDefault="00CE7F43">
      <w:r>
        <w:rPr>
          <w:rStyle w:val="soitChar"/>
        </w:rPr>
        <w:t>2. </w:t>
      </w:r>
      <w:r>
        <w:rPr>
          <w:rStyle w:val="soitChar"/>
          <w:u w:val="single"/>
        </w:rPr>
        <w:t>Surface nette</w:t>
      </w:r>
      <w:r>
        <w:rPr>
          <w:rStyle w:val="soitChar"/>
        </w:rPr>
        <w:t> : la surface des voiles ayant la même épaisseur et les mêmes caractéristiques est calculée. Les ouvertures inférieures à 0,5m² ne sont pas déduites.</w:t>
      </w:r>
    </w:p>
    <w:p w14:paraId="6FC248DC" w14:textId="77777777" w:rsidR="00DF410E" w:rsidRDefault="00CE7F43">
      <w:pPr>
        <w:pStyle w:val="pheading"/>
      </w:pPr>
      <w:r>
        <w:t>- nature du marché:</w:t>
      </w:r>
    </w:p>
    <w:p w14:paraId="0B721244" w14:textId="77777777" w:rsidR="00DF410E" w:rsidRDefault="00CE7F43">
      <w:r>
        <w:rPr>
          <w:rStyle w:val="optioncarChar"/>
        </w:rPr>
        <w:t>QF</w:t>
      </w:r>
      <w:r>
        <w:t> (par défaut)</w:t>
      </w:r>
      <w:r>
        <w:rPr>
          <w:rStyle w:val="optioncarChar"/>
        </w:rPr>
        <w:t> / QP</w:t>
      </w:r>
    </w:p>
    <w:p w14:paraId="32337560" w14:textId="77777777" w:rsidR="00DF410E" w:rsidRDefault="00CE7F43">
      <w:r>
        <w:rPr>
          <w:b/>
          <w:i/>
        </w:rPr>
        <w:t>(Soit par défaut)</w:t>
      </w:r>
    </w:p>
    <w:p w14:paraId="7B2A9FF7" w14:textId="77777777" w:rsidR="00DF410E" w:rsidRDefault="00CE7F43">
      <w:r>
        <w:rPr>
          <w:rStyle w:val="soitChar"/>
        </w:rPr>
        <w:t>1.2     QF</w:t>
      </w:r>
    </w:p>
    <w:p w14:paraId="2D47BA7F" w14:textId="77777777" w:rsidR="00DF410E" w:rsidRDefault="00CE7F43">
      <w:r>
        <w:rPr>
          <w:b/>
          <w:i/>
        </w:rPr>
        <w:t>(Soit)</w:t>
      </w:r>
    </w:p>
    <w:p w14:paraId="33CA660A" w14:textId="77777777" w:rsidR="00DF410E" w:rsidRDefault="00CE7F43">
      <w:r>
        <w:rPr>
          <w:rStyle w:val="soitChar"/>
        </w:rPr>
        <w:t>1.2     QP</w:t>
      </w:r>
    </w:p>
    <w:p w14:paraId="76B9678B" w14:textId="77777777" w:rsidR="00DF410E" w:rsidRDefault="00CE7F43">
      <w:pPr>
        <w:pStyle w:val="pheading"/>
      </w:pPr>
      <w:r>
        <w:t>AIDE</w:t>
      </w:r>
    </w:p>
    <w:p w14:paraId="41C63E80" w14:textId="77777777" w:rsidR="00DF410E" w:rsidRDefault="00CE7F43">
      <w:r>
        <w:t>Le code suivant peut être utilisé pour la dénomination du poste :</w:t>
      </w:r>
    </w:p>
    <w:p w14:paraId="6D5889D7" w14:textId="77777777" w:rsidR="00DF410E" w:rsidRDefault="00CE7F43">
      <w:r>
        <w:t>LVL 1 / 2 / 3 / 4 / 5</w:t>
      </w:r>
    </w:p>
    <w:p w14:paraId="78ACF909" w14:textId="77777777" w:rsidR="00DF410E" w:rsidRDefault="00CE7F43">
      <w:r>
        <w:t>Avec :</w:t>
      </w:r>
    </w:p>
    <w:p w14:paraId="1EDAB8E5" w14:textId="77777777" w:rsidR="00DF410E" w:rsidRDefault="00CE7F43">
      <w:r>
        <w:t>1 : type de LVL (LVL S ou LVL Q)</w:t>
      </w:r>
      <w:r>
        <w:br/>
        <w:t>2 : épaisseur du panneau (en mm)</w:t>
      </w:r>
      <w:r>
        <w:br/>
        <w:t>3 : exigence d’aspect (+ nombre de face)</w:t>
      </w:r>
      <w:r>
        <w:br/>
        <w:t>4 : la classe d’emploi des voiles</w:t>
      </w:r>
      <w:r>
        <w:br/>
        <w:t>5 : la méthode utilisée pour garantir la durabilité des voiles</w:t>
      </w:r>
      <w:r>
        <w:br/>
        <w:t> </w:t>
      </w:r>
    </w:p>
    <w:p w14:paraId="47F3EEF3" w14:textId="77777777" w:rsidR="00DF410E" w:rsidRDefault="00CE7F43">
      <w:r>
        <w:t>Ce qui donne, par exemple :</w:t>
      </w:r>
    </w:p>
    <w:p w14:paraId="7422BE3C" w14:textId="77777777" w:rsidR="00DF410E" w:rsidRDefault="00CE7F43">
      <w:r>
        <w:t>LVL S / 45 / Poncé – 1 face / 1 / non-applicable</w:t>
      </w:r>
    </w:p>
    <w:p w14:paraId="73E8FB74" w14:textId="77777777" w:rsidR="00DF410E" w:rsidRDefault="00CE7F43">
      <w:pPr>
        <w:pStyle w:val="Author-eSectionHeading4"/>
      </w:pPr>
      <w:bookmarkStart w:id="1635" w:name="_Toc178838727"/>
      <w:r>
        <w:t>24.16 Panneaux structuraux minces à base de bois CCTB 01.07</w:t>
      </w:r>
      <w:bookmarkEnd w:id="1635"/>
    </w:p>
    <w:p w14:paraId="4C03947D" w14:textId="77777777" w:rsidR="00DF410E" w:rsidRDefault="00CE7F43">
      <w:pPr>
        <w:pStyle w:val="pheading"/>
      </w:pPr>
      <w:r>
        <w:t>DESCRIPTION</w:t>
      </w:r>
    </w:p>
    <w:p w14:paraId="40646949" w14:textId="77777777" w:rsidR="00DF410E" w:rsidRDefault="00CE7F43">
      <w:pPr>
        <w:pStyle w:val="pheading"/>
      </w:pPr>
      <w:r>
        <w:t>- Définition / Comprend</w:t>
      </w:r>
    </w:p>
    <w:p w14:paraId="6727E23E" w14:textId="77777777" w:rsidR="00DF410E" w:rsidRDefault="00CE7F43">
      <w:pPr>
        <w:jc w:val="both"/>
      </w:pPr>
      <w:r>
        <w:t>Il s’agit de panneaux dont l’épaisseur totale est inférieure à 50mm et qui sont fabriqués à partir d’éléments (plis, copeaux, fibres, …) qui ont eux-mêmes une épaisseur inférieure à 3mm.</w:t>
      </w:r>
    </w:p>
    <w:p w14:paraId="001F64BB" w14:textId="77777777" w:rsidR="00DF410E" w:rsidRDefault="00CE7F43">
      <w:pPr>
        <w:pStyle w:val="pheading"/>
      </w:pPr>
      <w:r>
        <w:t>MATÉRIAUX</w:t>
      </w:r>
    </w:p>
    <w:p w14:paraId="4F68053E" w14:textId="77777777" w:rsidR="00DF410E" w:rsidRDefault="00CE7F43">
      <w:pPr>
        <w:jc w:val="both"/>
      </w:pPr>
      <w:r>
        <w:t>La classe d’émission de formaldéhyde E1 est quasiment généralisée chez les fabricants européens. Certains présentent une classe E0 qui ne correspond à aucune référence normative.</w:t>
      </w:r>
    </w:p>
    <w:p w14:paraId="649DF4EA" w14:textId="77777777" w:rsidR="00DF410E" w:rsidRDefault="00CE7F43">
      <w:pPr>
        <w:pStyle w:val="pheading"/>
      </w:pPr>
      <w:r>
        <w:t>DOCUMENTS DE RÉFÉRENCE</w:t>
      </w:r>
    </w:p>
    <w:p w14:paraId="1AC9919F" w14:textId="77777777" w:rsidR="00DF410E" w:rsidRDefault="00CE7F43">
      <w:pPr>
        <w:pStyle w:val="pheading"/>
      </w:pPr>
      <w:r>
        <w:t>- Matériau</w:t>
      </w:r>
    </w:p>
    <w:p w14:paraId="41E447B8" w14:textId="77777777" w:rsidR="00DF410E" w:rsidRDefault="00CE7F43">
      <w:r>
        <w:t>[NBN EN 300, Panneaux de lamelles minces, longues et orientées (OSB) - Définitions, classification et exigences]</w:t>
      </w:r>
    </w:p>
    <w:p w14:paraId="6DA03834" w14:textId="77777777" w:rsidR="00DF410E" w:rsidRDefault="00CE7F43">
      <w:r>
        <w:t>[NBN EN 312, Panneaux de particules - Exigences]</w:t>
      </w:r>
    </w:p>
    <w:p w14:paraId="36992557" w14:textId="77777777" w:rsidR="00DF410E" w:rsidRDefault="00CE7F43">
      <w:r>
        <w:t>[NBN EN 314-2, Contreplaqué - Qualité du collage - Partie 2: Exigences]</w:t>
      </w:r>
    </w:p>
    <w:p w14:paraId="2C3A5D96" w14:textId="77777777" w:rsidR="00DF410E" w:rsidRDefault="00CE7F43">
      <w:r>
        <w:t>[NBN EN 622-5, Panneaux de fibres - Exigences - Partie 5 : Exigences pour panneaux obtenus par procédé à sec (MDF)]</w:t>
      </w:r>
    </w:p>
    <w:p w14:paraId="56251B4F" w14:textId="77777777" w:rsidR="00DF410E" w:rsidRDefault="00CE7F43">
      <w:r>
        <w:t>[NBN EN 636+A1, Contreplaqué - Exigences]</w:t>
      </w:r>
    </w:p>
    <w:p w14:paraId="68957B0A" w14:textId="77777777" w:rsidR="00DF410E" w:rsidRDefault="00CE7F43">
      <w:r>
        <w:t>[NBN EN 789, Structures en bois - Méthodes d'essai - Détermination des propriétés mécaniques des panneaux à base de bois]</w:t>
      </w:r>
    </w:p>
    <w:p w14:paraId="499E2A90" w14:textId="77777777" w:rsidR="00DF410E" w:rsidRDefault="00CE7F43">
      <w:r>
        <w:t>[NBN EN 1058, Panneaux à base de bois - Détermination des valeurs caractéristiques correspondant au fractile à 5 % d'exclusion et des valeurs caractéristiques moyennes]</w:t>
      </w:r>
    </w:p>
    <w:p w14:paraId="53D3C0C9" w14:textId="77777777" w:rsidR="00DF410E" w:rsidRDefault="00CE7F43">
      <w:r>
        <w:t>[NBN EN 12369 série, Panneaux à base de bois - Valeurs caractéristiques pour la conception des structures -]</w:t>
      </w:r>
    </w:p>
    <w:p w14:paraId="7D97BD20" w14:textId="77777777" w:rsidR="00DF410E" w:rsidRDefault="00CE7F43">
      <w:r>
        <w:t>[NBN EN 12871, Panneaux à base de bois - Détermination des caractéristiques de performance des panneaux travaillants utilisés en planchers, toitures et murs]</w:t>
      </w:r>
    </w:p>
    <w:p w14:paraId="413F7A39" w14:textId="77777777" w:rsidR="00DF410E" w:rsidRDefault="00CE7F43">
      <w:r>
        <w:t>[NBN EN 13986+A1, Panneaux à base de bois destinés à la construction - Caractéristiques, évaluation de conformité et marquage]</w:t>
      </w:r>
    </w:p>
    <w:p w14:paraId="3B40B174" w14:textId="77777777" w:rsidR="00DF410E" w:rsidRDefault="00CE7F43">
      <w:r>
        <w:t>[STS 04.4, Bois et panneaux à base de bois : panneaux dérivés du bois]</w:t>
      </w:r>
    </w:p>
    <w:p w14:paraId="3BE47353" w14:textId="77777777" w:rsidR="00DF410E" w:rsidRDefault="00DF410E"/>
    <w:p w14:paraId="46291C3B" w14:textId="77777777" w:rsidR="00DF410E" w:rsidRDefault="00CE7F43">
      <w:pPr>
        <w:pStyle w:val="Author-eSectionHeading5"/>
      </w:pPr>
      <w:bookmarkStart w:id="1636" w:name="_Toc178838728"/>
      <w:r>
        <w:t>24.16.1 Panneaux structuraux minces à base de bois CCTB 01.07</w:t>
      </w:r>
      <w:bookmarkEnd w:id="1636"/>
    </w:p>
    <w:p w14:paraId="322CDE8C" w14:textId="77777777" w:rsidR="00DF410E" w:rsidRDefault="00CE7F43">
      <w:pPr>
        <w:pStyle w:val="Author-eSectionHeading6"/>
      </w:pPr>
      <w:bookmarkStart w:id="1637" w:name="_Toc178838729"/>
      <w:r>
        <w:t>24.16.1a Panneaux contreplaqués (PW) CCTB 01.11</w:t>
      </w:r>
      <w:bookmarkEnd w:id="1637"/>
    </w:p>
    <w:p w14:paraId="7E6275E6" w14:textId="77777777" w:rsidR="00DF410E" w:rsidRDefault="00CE7F43">
      <w:pPr>
        <w:pStyle w:val="pheading"/>
      </w:pPr>
      <w:bookmarkStart w:id="1638" w:name="596"/>
      <w:bookmarkEnd w:id="1638"/>
      <w:r>
        <w:t>DESCRIPTION</w:t>
      </w:r>
    </w:p>
    <w:p w14:paraId="2251FEFA" w14:textId="77777777" w:rsidR="00DF410E" w:rsidRDefault="00CE7F43">
      <w:pPr>
        <w:pStyle w:val="pheading"/>
      </w:pPr>
      <w:r>
        <w:t>- Définition / Comprend</w:t>
      </w:r>
    </w:p>
    <w:p w14:paraId="3EAF9191" w14:textId="77777777" w:rsidR="00DF410E" w:rsidRDefault="00CE7F43">
      <w:pPr>
        <w:jc w:val="both"/>
      </w:pPr>
      <w:r>
        <w:t>Il s’agit de panneaux, plats ou moulés, composés d’un empilage de plis de bois à fils majoritairement croisés. La cohésion entre les couches de l’empilage est assurée par un liant organique.</w:t>
      </w:r>
    </w:p>
    <w:p w14:paraId="70702BDC" w14:textId="77777777" w:rsidR="00DF410E" w:rsidRDefault="00CE7F43">
      <w:pPr>
        <w:jc w:val="both"/>
      </w:pPr>
      <w:r>
        <w:rPr>
          <w:b/>
        </w:rPr>
        <w:t>Remarques importantes</w:t>
      </w:r>
    </w:p>
    <w:p w14:paraId="1A4F7C01" w14:textId="77777777" w:rsidR="00DF410E" w:rsidRDefault="00CE7F43">
      <w:pPr>
        <w:jc w:val="both"/>
      </w:pPr>
      <w:r>
        <w:t>Les panneaux contreplaqués peuvent parfois être appelés plywood, ou encore multiplex.</w:t>
      </w:r>
    </w:p>
    <w:p w14:paraId="7654E72F" w14:textId="77777777" w:rsidR="00DF410E" w:rsidRDefault="00CE7F43">
      <w:pPr>
        <w:pStyle w:val="pheading"/>
      </w:pPr>
      <w:r>
        <w:t>MATÉRIAUX</w:t>
      </w:r>
    </w:p>
    <w:p w14:paraId="3235F873" w14:textId="77777777" w:rsidR="00DF410E" w:rsidRDefault="00CE7F43">
      <w:pPr>
        <w:pStyle w:val="pheading"/>
      </w:pPr>
      <w:r>
        <w:t>- Caractéristiques générales</w:t>
      </w:r>
    </w:p>
    <w:p w14:paraId="5B892FB7" w14:textId="77777777" w:rsidR="00DF410E" w:rsidRDefault="00CE7F43">
      <w:pPr>
        <w:jc w:val="both"/>
      </w:pPr>
      <w:r>
        <w:t xml:space="preserve">Classe d’emploi selon (selon [NBN EN 335]) : </w:t>
      </w:r>
      <w:r>
        <w:rPr>
          <w:rStyle w:val="optioncarChar"/>
        </w:rPr>
        <w:t>1 / 2 / 3</w:t>
      </w:r>
    </w:p>
    <w:p w14:paraId="38F85473" w14:textId="77777777" w:rsidR="00DF410E" w:rsidRDefault="00CE7F43">
      <w:pPr>
        <w:ind w:left="567"/>
        <w:jc w:val="both"/>
      </w:pPr>
      <w:r>
        <w:rPr>
          <w:b/>
          <w:i/>
        </w:rPr>
        <w:t>(Soit)</w:t>
      </w:r>
    </w:p>
    <w:p w14:paraId="29CC98DE" w14:textId="77777777" w:rsidR="00DF410E" w:rsidRDefault="00CE7F43">
      <w:pPr>
        <w:ind w:left="567"/>
        <w:jc w:val="both"/>
      </w:pPr>
      <w:r>
        <w:rPr>
          <w:rStyle w:val="soitChar"/>
          <w:u w:val="single"/>
        </w:rPr>
        <w:t>Classe d’emploi 1</w:t>
      </w:r>
    </w:p>
    <w:p w14:paraId="2911555E" w14:textId="77777777" w:rsidR="00DF410E" w:rsidRDefault="00CE7F43">
      <w:pPr>
        <w:ind w:left="567"/>
        <w:jc w:val="both"/>
      </w:pPr>
      <w:r>
        <w:rPr>
          <w:rStyle w:val="soitChar"/>
        </w:rPr>
        <w:t>Un type de panneau utilisé en milieu sec est prévu.  La qualité du collage doit satisfaire aux exigences de la classe de collage 1 de la [NBN EN 314-2].</w:t>
      </w:r>
    </w:p>
    <w:p w14:paraId="1904AD06" w14:textId="77777777" w:rsidR="00DF410E" w:rsidRDefault="00CE7F43">
      <w:pPr>
        <w:ind w:left="567"/>
        <w:jc w:val="both"/>
      </w:pPr>
      <w:r>
        <w:rPr>
          <w:b/>
          <w:i/>
        </w:rPr>
        <w:t>(Soit)</w:t>
      </w:r>
    </w:p>
    <w:p w14:paraId="636E89A8" w14:textId="77777777" w:rsidR="00DF410E" w:rsidRDefault="00CE7F43">
      <w:pPr>
        <w:ind w:left="567"/>
        <w:jc w:val="both"/>
      </w:pPr>
      <w:r>
        <w:rPr>
          <w:rStyle w:val="soitChar"/>
          <w:u w:val="single"/>
        </w:rPr>
        <w:t>Classe d’emploi 2</w:t>
      </w:r>
    </w:p>
    <w:p w14:paraId="22A3E101" w14:textId="77777777" w:rsidR="00DF410E" w:rsidRDefault="00CE7F43">
      <w:pPr>
        <w:ind w:left="567"/>
        <w:jc w:val="both"/>
      </w:pPr>
      <w:r>
        <w:rPr>
          <w:rStyle w:val="soitChar"/>
        </w:rPr>
        <w:t>Un type de panneau utilisé en milieu humide est prévu.  La qualité du collage doit satisfaire aux exigences de la classe de collage 2 de la [NBN EN 312].</w:t>
      </w:r>
    </w:p>
    <w:p w14:paraId="03FB9738" w14:textId="77777777" w:rsidR="00DF410E" w:rsidRDefault="00CE7F43">
      <w:pPr>
        <w:ind w:left="567"/>
        <w:jc w:val="both"/>
      </w:pPr>
      <w:r>
        <w:rPr>
          <w:b/>
          <w:i/>
        </w:rPr>
        <w:t>(Soit)</w:t>
      </w:r>
    </w:p>
    <w:p w14:paraId="65E4E721" w14:textId="77777777" w:rsidR="00DF410E" w:rsidRDefault="00CE7F43">
      <w:pPr>
        <w:ind w:left="567"/>
        <w:jc w:val="both"/>
      </w:pPr>
      <w:r>
        <w:rPr>
          <w:rStyle w:val="soitChar"/>
          <w:u w:val="single"/>
        </w:rPr>
        <w:t>Classe d’emploi 3</w:t>
      </w:r>
    </w:p>
    <w:p w14:paraId="1983C823" w14:textId="77777777" w:rsidR="00DF410E" w:rsidRDefault="00CE7F43">
      <w:pPr>
        <w:ind w:left="567"/>
        <w:jc w:val="both"/>
      </w:pPr>
      <w:r>
        <w:rPr>
          <w:rStyle w:val="soitChar"/>
        </w:rPr>
        <w:t>Un type de panneau utilisé en milieu extérieur est prévu.  La qualité du collage doit satisfaire aux exigences de la classe de collage 3 de la [NBN EN 314-2]. Selon la [NBN EN 636+A1], la performance de la plupart des contreplaqués est compromise si un traitement de préservation adapté et/ou un revêtement de la surface et des chants n’est pas appliqué et si les panneaux ne sont pas mis en œuvre et entretenu correctement.</w:t>
      </w:r>
      <w:r>
        <w:t> </w:t>
      </w:r>
    </w:p>
    <w:p w14:paraId="6FA1B6D0" w14:textId="77777777" w:rsidR="00DF410E" w:rsidRDefault="00CE7F43">
      <w:pPr>
        <w:jc w:val="both"/>
      </w:pPr>
      <w:r>
        <w:t>Dimensions d’un panneau :</w:t>
      </w:r>
    </w:p>
    <w:p w14:paraId="29EF2A12" w14:textId="77777777" w:rsidR="00DF410E" w:rsidRDefault="00CE7F43">
      <w:pPr>
        <w:pStyle w:val="Author-eListParagraph"/>
        <w:numPr>
          <w:ilvl w:val="0"/>
          <w:numId w:val="888"/>
        </w:numPr>
      </w:pPr>
      <w:r>
        <w:t xml:space="preserve">épaisseur : </w:t>
      </w:r>
      <w:r>
        <w:rPr>
          <w:rStyle w:val="optioncarChar"/>
        </w:rPr>
        <w:t>***mm</w:t>
      </w:r>
      <w:r>
        <w:t xml:space="preserve"> (comprise entre 6 et 30 mm)</w:t>
      </w:r>
    </w:p>
    <w:p w14:paraId="572DCC94" w14:textId="77777777" w:rsidR="00DF410E" w:rsidRDefault="00CE7F43">
      <w:pPr>
        <w:pStyle w:val="Author-eListParagraph"/>
        <w:numPr>
          <w:ilvl w:val="0"/>
          <w:numId w:val="888"/>
        </w:numPr>
      </w:pPr>
      <w:r>
        <w:t>largeur :  </w:t>
      </w:r>
      <w:r>
        <w:rPr>
          <w:rStyle w:val="optioncarChar"/>
        </w:rPr>
        <w:t xml:space="preserve">au choix du soumissionnaire </w:t>
      </w:r>
      <w:r>
        <w:t>(par défaut)</w:t>
      </w:r>
      <w:r>
        <w:rPr>
          <w:rStyle w:val="optioncarChar"/>
        </w:rPr>
        <w:t xml:space="preserve"> / 1,25 m / 1,53 m / ***</w:t>
      </w:r>
    </w:p>
    <w:p w14:paraId="130E3404" w14:textId="77777777" w:rsidR="00DF410E" w:rsidRDefault="00CE7F43">
      <w:pPr>
        <w:pStyle w:val="Author-eListParagraph"/>
        <w:numPr>
          <w:ilvl w:val="0"/>
          <w:numId w:val="888"/>
        </w:numPr>
      </w:pPr>
      <w:r>
        <w:t>longueur :  </w:t>
      </w:r>
      <w:r>
        <w:rPr>
          <w:rStyle w:val="optioncarChar"/>
        </w:rPr>
        <w:t xml:space="preserve">au choix du soumissionnaire </w:t>
      </w:r>
      <w:r>
        <w:t xml:space="preserve">(par défaut) </w:t>
      </w:r>
      <w:r>
        <w:rPr>
          <w:rStyle w:val="optioncarChar"/>
        </w:rPr>
        <w:t>/ 2,50 m / 3,10 m / ***</w:t>
      </w:r>
    </w:p>
    <w:p w14:paraId="22EE46A9" w14:textId="77777777" w:rsidR="00DF410E" w:rsidRDefault="00CE7F43">
      <w:pPr>
        <w:jc w:val="both"/>
      </w:pPr>
      <w:r>
        <w:t> </w:t>
      </w:r>
    </w:p>
    <w:p w14:paraId="2A1986A1" w14:textId="77777777" w:rsidR="00DF410E" w:rsidRDefault="00CE7F43">
      <w:pPr>
        <w:jc w:val="both"/>
      </w:pPr>
      <w:r>
        <w:t xml:space="preserve">Classe de réaction au feu : </w:t>
      </w:r>
      <w:r>
        <w:rPr>
          <w:rStyle w:val="optioncarChar"/>
        </w:rPr>
        <w:t>D-s2,d0</w:t>
      </w:r>
      <w:r>
        <w:t xml:space="preserve"> (par défaut)</w:t>
      </w:r>
      <w:r>
        <w:rPr>
          <w:rStyle w:val="optioncarChar"/>
        </w:rPr>
        <w:t xml:space="preserve"> / D</w:t>
      </w:r>
      <w:r>
        <w:rPr>
          <w:rStyle w:val="optioncarChar"/>
          <w:vertAlign w:val="subscript"/>
        </w:rPr>
        <w:t>FL</w:t>
      </w:r>
      <w:r>
        <w:rPr>
          <w:rStyle w:val="optioncarChar"/>
        </w:rPr>
        <w:t>-s1 / ***</w:t>
      </w:r>
    </w:p>
    <w:p w14:paraId="304EA209" w14:textId="77777777" w:rsidR="00DF410E" w:rsidRDefault="00CE7F43">
      <w:pPr>
        <w:jc w:val="both"/>
      </w:pPr>
      <w:r>
        <w:t>La classe D-s2,d0 est attribuée sans essais pour un panneau d’une épaisseur supérieure ou égale à 9 mm et d’une masse volumique supérieure ou égale à 400 kg/m³ pour autant que leur montage soit conforme à ce qui est décrit dans la [Décision 2003/43/CE]. Si une meilleure classe de réaction au feu est recherchée, les panneaux devront subir un traitement ignifuge. Il est alors nécessaire de prouver la compatibilité de ce traitement avec tout autre traitements et/ou collage prescrit.</w:t>
      </w:r>
    </w:p>
    <w:p w14:paraId="53AAFB0D" w14:textId="77777777" w:rsidR="00DF410E" w:rsidRDefault="00CE7F43">
      <w:pPr>
        <w:jc w:val="both"/>
      </w:pPr>
      <w:r>
        <w:t xml:space="preserve">Classe d’émission de formaldéhyde : </w:t>
      </w:r>
      <w:r>
        <w:rPr>
          <w:rStyle w:val="optioncarChar"/>
        </w:rPr>
        <w:t xml:space="preserve">E1 </w:t>
      </w:r>
      <w:r>
        <w:t>(par défaut)</w:t>
      </w:r>
      <w:r>
        <w:rPr>
          <w:rStyle w:val="optioncarChar"/>
        </w:rPr>
        <w:t xml:space="preserve"> / E2</w:t>
      </w:r>
    </w:p>
    <w:p w14:paraId="616DFC02" w14:textId="77777777" w:rsidR="00DF410E" w:rsidRDefault="00CE7F43">
      <w:pPr>
        <w:jc w:val="both"/>
      </w:pPr>
      <w:r>
        <w:t xml:space="preserve">Usinage des bords : </w:t>
      </w:r>
      <w:r>
        <w:rPr>
          <w:rStyle w:val="optioncarChar"/>
        </w:rPr>
        <w:t>droits / rainurés languetés </w:t>
      </w:r>
      <w:r>
        <w:t>(par défaut)</w:t>
      </w:r>
    </w:p>
    <w:p w14:paraId="5369D435" w14:textId="77777777" w:rsidR="00DF410E" w:rsidRDefault="00CE7F43">
      <w:pPr>
        <w:jc w:val="both"/>
      </w:pPr>
      <w:r>
        <w:t>La teneur en humidité des panneaux contreplaqués est inférieure à 12 %.</w:t>
      </w:r>
    </w:p>
    <w:p w14:paraId="1DFEDC48" w14:textId="77777777" w:rsidR="00DF410E" w:rsidRDefault="00CE7F43">
      <w:pPr>
        <w:jc w:val="both"/>
      </w:pPr>
      <w:r>
        <w:t>Les tolérances sur la longueur, la largeur, l’épaisseur, la rectitude des bords et l’équerrage précisés dans la [NBN EN 315] sont suivies.</w:t>
      </w:r>
    </w:p>
    <w:p w14:paraId="555586A1" w14:textId="77777777" w:rsidR="00DF410E" w:rsidRDefault="00CE7F43">
      <w:pPr>
        <w:jc w:val="both"/>
      </w:pPr>
      <w:r>
        <w:t>Les valeurs caractéristiques de résistance, de masse volumique et de rigidité sont déterminées selon les [NBN EN 789] et [NBN EN 1058], ou selon la [NBN EN 14272] ou sont déduites conformément à la [NBN EN 12369-2].</w:t>
      </w:r>
    </w:p>
    <w:p w14:paraId="4D1AAB79" w14:textId="77777777" w:rsidR="00DF410E" w:rsidRDefault="00CE7F43">
      <w:pPr>
        <w:jc w:val="both"/>
      </w:pPr>
      <w:r>
        <w:t>Les propriétés de conductivité thermique et de perméabilité à la vapeur d’eau sont déduites de la masse volumique dans la [NBN EN 13986+A1].</w:t>
      </w:r>
    </w:p>
    <w:p w14:paraId="13312AC2" w14:textId="77777777" w:rsidR="00DF410E" w:rsidRDefault="00CE7F43">
      <w:pPr>
        <w:jc w:val="both"/>
      </w:pPr>
      <w:r>
        <w:t xml:space="preserve">Classe minimale de résistance en flexion dans le sens de la longueur (selon [NBN EN 636+A1]) : </w:t>
      </w:r>
      <w:r>
        <w:rPr>
          <w:rStyle w:val="optioncarChar"/>
        </w:rPr>
        <w:t>F10 </w:t>
      </w:r>
      <w:r>
        <w:t>(par défaut)</w:t>
      </w:r>
      <w:r>
        <w:rPr>
          <w:rStyle w:val="optioncarChar"/>
        </w:rPr>
        <w:t xml:space="preserve"> / F15 / F20 / ***</w:t>
      </w:r>
    </w:p>
    <w:p w14:paraId="60421A3C" w14:textId="77777777" w:rsidR="00DF410E" w:rsidRDefault="00CE7F43">
      <w:pPr>
        <w:jc w:val="both"/>
      </w:pPr>
      <w:r>
        <w:t>Classe minimale de résistance en flexion dans le sens de la largeur (selon [NBN EN 636+A1]) :</w:t>
      </w:r>
      <w:r>
        <w:rPr>
          <w:rStyle w:val="optioncarChar"/>
        </w:rPr>
        <w:t xml:space="preserve"> F10 </w:t>
      </w:r>
      <w:r>
        <w:t>(par défaut)</w:t>
      </w:r>
      <w:r>
        <w:rPr>
          <w:rStyle w:val="optioncarChar"/>
        </w:rPr>
        <w:t xml:space="preserve"> / F15 / F20 / ***</w:t>
      </w:r>
    </w:p>
    <w:p w14:paraId="62F54DC1" w14:textId="77777777" w:rsidR="00DF410E" w:rsidRDefault="00CE7F43">
      <w:pPr>
        <w:jc w:val="both"/>
      </w:pPr>
      <w:r>
        <w:t xml:space="preserve">Classe minimale de module en flexion dans le sens de la longueur (selon [NBN EN 636+A1]) : </w:t>
      </w:r>
      <w:r>
        <w:rPr>
          <w:rStyle w:val="optioncarChar"/>
        </w:rPr>
        <w:t>E10</w:t>
      </w:r>
      <w:r>
        <w:t> (par défaut)</w:t>
      </w:r>
      <w:r>
        <w:rPr>
          <w:rStyle w:val="optioncarChar"/>
        </w:rPr>
        <w:t xml:space="preserve"> / E15 / E20 / ***</w:t>
      </w:r>
    </w:p>
    <w:p w14:paraId="77B4DCC5" w14:textId="77777777" w:rsidR="00DF410E" w:rsidRDefault="00CE7F43">
      <w:pPr>
        <w:jc w:val="both"/>
      </w:pPr>
      <w:r>
        <w:t xml:space="preserve">Classe minimale de module en flexion dans le sens de la largeur (selon [NBN EN 636+A1]) : </w:t>
      </w:r>
      <w:r>
        <w:rPr>
          <w:rStyle w:val="optioncarChar"/>
        </w:rPr>
        <w:t>E10 </w:t>
      </w:r>
      <w:r>
        <w:t>(par défaut)</w:t>
      </w:r>
      <w:r>
        <w:rPr>
          <w:rStyle w:val="optioncarChar"/>
        </w:rPr>
        <w:t xml:space="preserve"> / E15 / E20 / ***</w:t>
      </w:r>
    </w:p>
    <w:p w14:paraId="708674D7" w14:textId="77777777" w:rsidR="00DF410E" w:rsidRDefault="00DF410E"/>
    <w:p w14:paraId="713D3EEF" w14:textId="77777777" w:rsidR="00DF410E" w:rsidRDefault="00CE7F43">
      <w:r>
        <w:t> </w:t>
      </w:r>
    </w:p>
    <w:p w14:paraId="55A44724" w14:textId="77777777" w:rsidR="00DF410E" w:rsidRDefault="00CE7F43">
      <w:pPr>
        <w:pStyle w:val="pheading"/>
      </w:pPr>
      <w:r>
        <w:t>- Finitions</w:t>
      </w:r>
    </w:p>
    <w:p w14:paraId="1A4A14B6" w14:textId="77777777" w:rsidR="00DF410E" w:rsidRDefault="00CE7F43">
      <w:r>
        <w:t>Les panneaux contreplaqués sont</w:t>
      </w:r>
      <w:r>
        <w:rPr>
          <w:rStyle w:val="optioncarChar"/>
        </w:rPr>
        <w:t xml:space="preserve"> non-poncés </w:t>
      </w:r>
      <w:r>
        <w:t>(par défaut)</w:t>
      </w:r>
      <w:r>
        <w:rPr>
          <w:rStyle w:val="optioncarChar"/>
        </w:rPr>
        <w:t xml:space="preserve"> / poncés.</w:t>
      </w:r>
    </w:p>
    <w:p w14:paraId="27093B6C" w14:textId="77777777" w:rsidR="00DF410E" w:rsidRDefault="00CE7F43">
      <w:pPr>
        <w:pStyle w:val="pheading"/>
      </w:pPr>
      <w:r>
        <w:t>MESURAGE</w:t>
      </w:r>
    </w:p>
    <w:p w14:paraId="283965A5" w14:textId="77777777" w:rsidR="00DF410E" w:rsidRDefault="00CE7F43">
      <w:pPr>
        <w:pStyle w:val="pheading"/>
      </w:pPr>
      <w:r>
        <w:t>- unité de mesure:</w:t>
      </w:r>
    </w:p>
    <w:p w14:paraId="3CFD2264" w14:textId="77777777" w:rsidR="00DF410E" w:rsidRDefault="00CE7F43">
      <w:r>
        <w:t>m²</w:t>
      </w:r>
    </w:p>
    <w:p w14:paraId="561D19B0" w14:textId="77777777" w:rsidR="00DF410E" w:rsidRDefault="00CE7F43">
      <w:pPr>
        <w:pStyle w:val="pheading"/>
      </w:pPr>
      <w:r>
        <w:t>- code de mesurage:</w:t>
      </w:r>
    </w:p>
    <w:p w14:paraId="356F5A17" w14:textId="77777777" w:rsidR="00DF410E" w:rsidRDefault="00CE7F43">
      <w:pPr>
        <w:jc w:val="both"/>
      </w:pPr>
      <w:r>
        <w:rPr>
          <w:u w:val="single"/>
        </w:rPr>
        <w:t>Surface nette:</w:t>
      </w:r>
    </w:p>
    <w:p w14:paraId="0BE00671" w14:textId="77777777" w:rsidR="00DF410E" w:rsidRDefault="00CE7F43">
      <w:pPr>
        <w:jc w:val="both"/>
      </w:pPr>
      <w:r>
        <w:t>La surface nette des panneaux ayant la même épaisseur et les mêmes caractéristiques est calculée. Les ouvertures inférieures à 0,5m² ne sont pas déduites.</w:t>
      </w:r>
    </w:p>
    <w:p w14:paraId="2C63C79D" w14:textId="77777777" w:rsidR="00DF410E" w:rsidRDefault="00CE7F43">
      <w:pPr>
        <w:pStyle w:val="pheading"/>
      </w:pPr>
      <w:r>
        <w:t>- nature du marché:</w:t>
      </w:r>
    </w:p>
    <w:p w14:paraId="0AED8C1C" w14:textId="77777777" w:rsidR="00DF410E" w:rsidRDefault="00CE7F43">
      <w:r>
        <w:rPr>
          <w:rStyle w:val="optioncarChar"/>
        </w:rPr>
        <w:t xml:space="preserve">QF </w:t>
      </w:r>
      <w:r>
        <w:t xml:space="preserve">(par défaut) </w:t>
      </w:r>
      <w:r>
        <w:rPr>
          <w:rStyle w:val="optioncarChar"/>
        </w:rPr>
        <w:t>/ QP</w:t>
      </w:r>
    </w:p>
    <w:p w14:paraId="5624B8E1" w14:textId="77777777" w:rsidR="00DF410E" w:rsidRDefault="00CE7F43">
      <w:pPr>
        <w:pStyle w:val="Author-eSectionHeading6"/>
      </w:pPr>
      <w:bookmarkStart w:id="1639" w:name="_Toc178838730"/>
      <w:r>
        <w:t>24.16.1b Panneaux OSB CCTB 01.11</w:t>
      </w:r>
      <w:bookmarkEnd w:id="1639"/>
    </w:p>
    <w:p w14:paraId="59D57E1B" w14:textId="77777777" w:rsidR="00DF410E" w:rsidRDefault="00CE7F43">
      <w:pPr>
        <w:pStyle w:val="pheading"/>
      </w:pPr>
      <w:bookmarkStart w:id="1640" w:name="595"/>
      <w:bookmarkEnd w:id="1640"/>
      <w:r>
        <w:t>DESCRIPTION</w:t>
      </w:r>
    </w:p>
    <w:p w14:paraId="6E53C100" w14:textId="77777777" w:rsidR="00DF410E" w:rsidRDefault="00CE7F43">
      <w:pPr>
        <w:pStyle w:val="pheading"/>
      </w:pPr>
      <w:r>
        <w:t>- Définition / Comprend</w:t>
      </w:r>
    </w:p>
    <w:p w14:paraId="1E200C1F" w14:textId="77777777" w:rsidR="00DF410E" w:rsidRDefault="00CE7F43">
      <w:pPr>
        <w:jc w:val="both"/>
      </w:pPr>
      <w:r>
        <w:t>Il s’agit de panneaux constitués de lamelles de bois orientées et liées au moyen de colle. Les lamelles des couches extérieures sont orientées parallèlement à la longueur du panneau, tandis que celles de la couche intermédiaire sont orientées soit aléatoirement, soit perpendiculairement à la longueur du panneau.</w:t>
      </w:r>
    </w:p>
    <w:p w14:paraId="4E7DC320" w14:textId="77777777" w:rsidR="00DF410E" w:rsidRDefault="00CE7F43">
      <w:pPr>
        <w:jc w:val="both"/>
      </w:pPr>
      <w:r>
        <w:rPr>
          <w:b/>
        </w:rPr>
        <w:t>Remarques importantes</w:t>
      </w:r>
    </w:p>
    <w:p w14:paraId="49B36F80" w14:textId="77777777" w:rsidR="00DF410E" w:rsidRDefault="00CE7F43">
      <w:pPr>
        <w:jc w:val="both"/>
      </w:pPr>
      <w:r>
        <w:t>La norme produit qui concerne les panneaux OSB est la [NBN EN 300].</w:t>
      </w:r>
    </w:p>
    <w:p w14:paraId="03C96948" w14:textId="77777777" w:rsidR="00DF410E" w:rsidRDefault="00CE7F43">
      <w:pPr>
        <w:jc w:val="both"/>
      </w:pPr>
      <w:r>
        <w:t>Les panneaux OSB portent un marquage CE selon la [NBN EN 13986+A1].</w:t>
      </w:r>
    </w:p>
    <w:p w14:paraId="60D89239" w14:textId="77777777" w:rsidR="00DF410E" w:rsidRDefault="00CE7F43">
      <w:pPr>
        <w:pStyle w:val="pheading"/>
      </w:pPr>
      <w:r>
        <w:t>MATÉRIAUX</w:t>
      </w:r>
    </w:p>
    <w:p w14:paraId="6F6E6ED8" w14:textId="77777777" w:rsidR="00DF410E" w:rsidRDefault="00CE7F43">
      <w:pPr>
        <w:pStyle w:val="pheading"/>
      </w:pPr>
      <w:r>
        <w:t>- Caractéristiques générales</w:t>
      </w:r>
    </w:p>
    <w:p w14:paraId="7A9F4203" w14:textId="77777777" w:rsidR="00DF410E" w:rsidRDefault="00CE7F43">
      <w:pPr>
        <w:jc w:val="both"/>
      </w:pPr>
      <w:r>
        <w:t xml:space="preserve">Classe d’emploi selon (selon [NBN EN 335]) : </w:t>
      </w:r>
      <w:r>
        <w:rPr>
          <w:rStyle w:val="optioncarChar"/>
        </w:rPr>
        <w:t>1 / 2</w:t>
      </w:r>
    </w:p>
    <w:p w14:paraId="4AB45C82" w14:textId="77777777" w:rsidR="00DF410E" w:rsidRDefault="00CE7F43">
      <w:pPr>
        <w:jc w:val="both"/>
      </w:pPr>
      <w:r>
        <w:t>Les panneaux OSB ne sont pas adaptés à un usage en classe d’emploi supérieure à 2.</w:t>
      </w:r>
    </w:p>
    <w:p w14:paraId="044DC4F7" w14:textId="77777777" w:rsidR="00DF410E" w:rsidRDefault="00CE7F43">
      <w:pPr>
        <w:jc w:val="both"/>
      </w:pPr>
      <w:r>
        <w:t xml:space="preserve">Type de panneau (selon [NBN EN 312]) : </w:t>
      </w:r>
      <w:r>
        <w:rPr>
          <w:rStyle w:val="optioncarChar"/>
        </w:rPr>
        <w:t>OSB 2 / OSB 3 / OSB 4</w:t>
      </w:r>
    </w:p>
    <w:p w14:paraId="3689F420" w14:textId="77777777" w:rsidR="00DF410E" w:rsidRDefault="00CE7F43">
      <w:pPr>
        <w:jc w:val="both"/>
      </w:pPr>
      <w:r>
        <w:t>Les panneaux de type OSB 1 ne sont pas adaptés à un usage structurel. Les panneaux de type OSB2 ne peuvent être utilisés que dans la classe d’emploi 1.</w:t>
      </w:r>
    </w:p>
    <w:p w14:paraId="65673289" w14:textId="77777777" w:rsidR="00DF410E" w:rsidRDefault="00CE7F43">
      <w:pPr>
        <w:jc w:val="both"/>
      </w:pPr>
      <w:r>
        <w:t>Dimensions d’un panneau :</w:t>
      </w:r>
    </w:p>
    <w:p w14:paraId="430A937A" w14:textId="77777777" w:rsidR="00DF410E" w:rsidRDefault="00CE7F43">
      <w:pPr>
        <w:pStyle w:val="Author-eListParagraph"/>
        <w:numPr>
          <w:ilvl w:val="0"/>
          <w:numId w:val="889"/>
        </w:numPr>
      </w:pPr>
      <w:r>
        <w:t xml:space="preserve">épaisseur : </w:t>
      </w:r>
      <w:r>
        <w:rPr>
          <w:rStyle w:val="optioncarChar"/>
        </w:rPr>
        <w:t>*** mm</w:t>
      </w:r>
      <w:r>
        <w:t xml:space="preserve"> (comprise entre 6 et 40mm)</w:t>
      </w:r>
    </w:p>
    <w:p w14:paraId="07C883C5" w14:textId="77777777" w:rsidR="00DF410E" w:rsidRDefault="00CE7F43">
      <w:pPr>
        <w:pStyle w:val="Author-eListParagraph"/>
        <w:numPr>
          <w:ilvl w:val="0"/>
          <w:numId w:val="889"/>
        </w:numPr>
      </w:pPr>
      <w:r>
        <w:t xml:space="preserve">surface : </w:t>
      </w:r>
      <w:r>
        <w:rPr>
          <w:rStyle w:val="optioncarChar"/>
        </w:rPr>
        <w:t>244 x 122 cm²</w:t>
      </w:r>
      <w:r>
        <w:t xml:space="preserve"> (par défaut)</w:t>
      </w:r>
      <w:r>
        <w:rPr>
          <w:rStyle w:val="optioncarChar"/>
        </w:rPr>
        <w:t> / 250 x 125 cm² / 500 x 125 cm² / 500 x 250 cm² / ***</w:t>
      </w:r>
      <w:r>
        <w:br/>
      </w:r>
    </w:p>
    <w:p w14:paraId="3273C4E1" w14:textId="77777777" w:rsidR="00DF410E" w:rsidRDefault="00CE7F43">
      <w:pPr>
        <w:jc w:val="both"/>
      </w:pPr>
      <w:r>
        <w:t xml:space="preserve">Classe de réaction au feu : </w:t>
      </w:r>
      <w:r>
        <w:rPr>
          <w:rStyle w:val="optioncarChar"/>
        </w:rPr>
        <w:t xml:space="preserve">D-s2,d0 </w:t>
      </w:r>
      <w:r>
        <w:t xml:space="preserve">(par défaut) </w:t>
      </w:r>
      <w:r>
        <w:rPr>
          <w:rStyle w:val="optioncarChar"/>
        </w:rPr>
        <w:t>/ D</w:t>
      </w:r>
      <w:r>
        <w:rPr>
          <w:rStyle w:val="optioncarChar"/>
          <w:vertAlign w:val="subscript"/>
        </w:rPr>
        <w:t>FL</w:t>
      </w:r>
      <w:r>
        <w:rPr>
          <w:rStyle w:val="optioncarChar"/>
        </w:rPr>
        <w:t>-s1 / ***</w:t>
      </w:r>
    </w:p>
    <w:p w14:paraId="1E54BAF1" w14:textId="77777777" w:rsidR="00DF410E" w:rsidRDefault="00CE7F43">
      <w:pPr>
        <w:jc w:val="both"/>
      </w:pPr>
      <w:r>
        <w:t>La classe D-s2,d0 est attribuée sans essais pour un panneau d’une épaisseur supérieure ou égale à 9mm et d’une masse volumique supérieure ou égale à 600kg/m³ pour autant que leur montage soit conforme à ce qui est décrit dans la norme [NBN EN 13986+A1]. Si une meilleure classe de réaction au feu est recherchée, les panneaux doivent subir un traitement ignifuge. Il est alors nécessaire de prouver la compatibilité de ce traitement avec tout autre traitements et/ou collage prescrit.</w:t>
      </w:r>
    </w:p>
    <w:p w14:paraId="339462CE" w14:textId="77777777" w:rsidR="00DF410E" w:rsidRDefault="00CE7F43">
      <w:pPr>
        <w:jc w:val="both"/>
      </w:pPr>
      <w:r>
        <w:t xml:space="preserve">Classe d’émission de formaldéhyde : </w:t>
      </w:r>
      <w:r>
        <w:rPr>
          <w:rStyle w:val="optioncarChar"/>
        </w:rPr>
        <w:t xml:space="preserve">E1 </w:t>
      </w:r>
      <w:r>
        <w:t>(par défaut)</w:t>
      </w:r>
      <w:r>
        <w:rPr>
          <w:rStyle w:val="optioncarChar"/>
        </w:rPr>
        <w:t xml:space="preserve"> / E2</w:t>
      </w:r>
    </w:p>
    <w:p w14:paraId="5E9F359A" w14:textId="77777777" w:rsidR="00DF410E" w:rsidRDefault="00CE7F43">
      <w:pPr>
        <w:jc w:val="both"/>
      </w:pPr>
      <w:r>
        <w:t xml:space="preserve">Usinage des bords : </w:t>
      </w:r>
      <w:r>
        <w:rPr>
          <w:rStyle w:val="optioncarChar"/>
        </w:rPr>
        <w:t>droits / rainurés languetés </w:t>
      </w:r>
      <w:r>
        <w:t>(par défaut)</w:t>
      </w:r>
    </w:p>
    <w:p w14:paraId="1CD83AB3" w14:textId="77777777" w:rsidR="00DF410E" w:rsidRDefault="00CE7F43">
      <w:pPr>
        <w:jc w:val="both"/>
      </w:pPr>
      <w:r>
        <w:t>La teneur en humidité des panneaux OSB est inférieure à 12%.</w:t>
      </w:r>
    </w:p>
    <w:p w14:paraId="2E50B221" w14:textId="77777777" w:rsidR="00DF410E" w:rsidRDefault="00CE7F43">
      <w:pPr>
        <w:jc w:val="both"/>
      </w:pPr>
      <w:r>
        <w:t>Les tolérances sur la longueur, la largeur, l’épaisseur et la rectitude des bords sont précisés à la [NBN EN 324-1] et la [NBN EN 324-2].</w:t>
      </w:r>
    </w:p>
    <w:p w14:paraId="68CE724E" w14:textId="77777777" w:rsidR="00DF410E" w:rsidRDefault="00CE7F43">
      <w:pPr>
        <w:pStyle w:val="pheading"/>
      </w:pPr>
      <w:r>
        <w:t>- Finitions</w:t>
      </w:r>
    </w:p>
    <w:p w14:paraId="5303FDC4" w14:textId="77777777" w:rsidR="00DF410E" w:rsidRDefault="00CE7F43">
      <w:r>
        <w:t xml:space="preserve">Les panneaux OSB sont </w:t>
      </w:r>
      <w:r>
        <w:rPr>
          <w:rStyle w:val="optioncarChar"/>
        </w:rPr>
        <w:t xml:space="preserve">non-poncés </w:t>
      </w:r>
      <w:r>
        <w:t>(par défaut) </w:t>
      </w:r>
      <w:r>
        <w:rPr>
          <w:rStyle w:val="optioncarChar"/>
        </w:rPr>
        <w:t>/ poncés</w:t>
      </w:r>
      <w:r>
        <w:t>.</w:t>
      </w:r>
    </w:p>
    <w:p w14:paraId="5B2B2377" w14:textId="77777777" w:rsidR="00DF410E" w:rsidRDefault="00CE7F43">
      <w:pPr>
        <w:pStyle w:val="pheading"/>
      </w:pPr>
      <w:r>
        <w:t>MESURAGE</w:t>
      </w:r>
    </w:p>
    <w:p w14:paraId="20FC6F37" w14:textId="77777777" w:rsidR="00DF410E" w:rsidRDefault="00CE7F43">
      <w:pPr>
        <w:pStyle w:val="pheading"/>
      </w:pPr>
      <w:r>
        <w:t>- unité de mesure:</w:t>
      </w:r>
    </w:p>
    <w:p w14:paraId="0F434270" w14:textId="77777777" w:rsidR="00DF410E" w:rsidRDefault="00CE7F43">
      <w:r>
        <w:t>m²</w:t>
      </w:r>
    </w:p>
    <w:p w14:paraId="225871AB" w14:textId="77777777" w:rsidR="00DF410E" w:rsidRDefault="00CE7F43">
      <w:pPr>
        <w:pStyle w:val="pheading"/>
      </w:pPr>
      <w:r>
        <w:t>- code de mesurage:</w:t>
      </w:r>
    </w:p>
    <w:p w14:paraId="360D82B1" w14:textId="77777777" w:rsidR="00DF410E" w:rsidRDefault="00CE7F43">
      <w:pPr>
        <w:jc w:val="both"/>
      </w:pPr>
      <w:r>
        <w:rPr>
          <w:u w:val="single"/>
        </w:rPr>
        <w:t>Surface nette:</w:t>
      </w:r>
    </w:p>
    <w:p w14:paraId="3F5B8469" w14:textId="77777777" w:rsidR="00DF410E" w:rsidRDefault="00CE7F43">
      <w:pPr>
        <w:jc w:val="both"/>
      </w:pPr>
      <w:r>
        <w:t>La surface nette des panneaux ayant la même épaisseur et les mêmes caractéristiques est calculée. Les ouvertures inférieures à 0,5m² ne sont pas déduites.</w:t>
      </w:r>
    </w:p>
    <w:p w14:paraId="34F38E41" w14:textId="77777777" w:rsidR="00DF410E" w:rsidRDefault="00CE7F43">
      <w:pPr>
        <w:pStyle w:val="pheading"/>
      </w:pPr>
      <w:r>
        <w:t>- nature du marché:</w:t>
      </w:r>
    </w:p>
    <w:p w14:paraId="7EA532D8" w14:textId="77777777" w:rsidR="00DF410E" w:rsidRDefault="00CE7F43">
      <w:r>
        <w:rPr>
          <w:rStyle w:val="optioncarChar"/>
        </w:rPr>
        <w:t xml:space="preserve">QF </w:t>
      </w:r>
      <w:r>
        <w:t xml:space="preserve">(par défaut) </w:t>
      </w:r>
      <w:r>
        <w:rPr>
          <w:rStyle w:val="optioncarChar"/>
        </w:rPr>
        <w:t>/ QP</w:t>
      </w:r>
    </w:p>
    <w:p w14:paraId="229C8381" w14:textId="77777777" w:rsidR="00DF410E" w:rsidRDefault="00CE7F43">
      <w:pPr>
        <w:pStyle w:val="pheading"/>
      </w:pPr>
      <w:r>
        <w:t>AIDE</w:t>
      </w:r>
    </w:p>
    <w:p w14:paraId="696DA93A" w14:textId="77777777" w:rsidR="00DF410E" w:rsidRDefault="00CE7F43">
      <w:pPr>
        <w:jc w:val="both"/>
      </w:pPr>
      <w:r>
        <w:t>Les propriétés de résistance, de rigidité, de durabilité, de masse volumique, de perméabilité à la vapeur d’eau et de conductivité thermique dépendent du type de panneau et de son épaisseur. Celles-ci sont définies dans les normes [NBN EN 12369 série] et [NBN EN 13986+A1].</w:t>
      </w:r>
    </w:p>
    <w:p w14:paraId="2F020D35" w14:textId="77777777" w:rsidR="00DF410E" w:rsidRDefault="00CE7F43">
      <w:pPr>
        <w:pStyle w:val="Author-eSectionHeading6"/>
      </w:pPr>
      <w:bookmarkStart w:id="1641" w:name="_Toc178838731"/>
      <w:r>
        <w:t>24.16.1c Panneaux de particules (PB) CCTB 01.11</w:t>
      </w:r>
      <w:bookmarkEnd w:id="1641"/>
    </w:p>
    <w:p w14:paraId="7CC17CBF" w14:textId="77777777" w:rsidR="00DF410E" w:rsidRDefault="00CE7F43">
      <w:pPr>
        <w:pStyle w:val="pheading"/>
      </w:pPr>
      <w:r>
        <w:t>DESCRIPTION</w:t>
      </w:r>
    </w:p>
    <w:p w14:paraId="25DBAB11" w14:textId="77777777" w:rsidR="00DF410E" w:rsidRDefault="00CE7F43">
      <w:pPr>
        <w:pStyle w:val="pheading"/>
      </w:pPr>
      <w:r>
        <w:t>- Définition / Comprend</w:t>
      </w:r>
    </w:p>
    <w:p w14:paraId="773E726E" w14:textId="77777777" w:rsidR="00DF410E" w:rsidRDefault="00CE7F43">
      <w:pPr>
        <w:jc w:val="both"/>
      </w:pPr>
      <w:r>
        <w:t>Il s’agit de panneaux constitués de particules de bois, fabriqués sous pression et chaleur. Ces particules, avec éventuellement d’autres particules provenant d’un matériau lignocellulosique, sont liées au moyen de colle.</w:t>
      </w:r>
    </w:p>
    <w:p w14:paraId="31B8DC33" w14:textId="77777777" w:rsidR="00DF410E" w:rsidRDefault="00CE7F43">
      <w:pPr>
        <w:jc w:val="both"/>
      </w:pPr>
      <w:r>
        <w:rPr>
          <w:b/>
        </w:rPr>
        <w:t>Remarques importantes</w:t>
      </w:r>
    </w:p>
    <w:p w14:paraId="1BE45C48" w14:textId="77777777" w:rsidR="00DF410E" w:rsidRDefault="00CE7F43">
      <w:pPr>
        <w:jc w:val="both"/>
      </w:pPr>
      <w:r>
        <w:t>La norme produit qui concerne les panneaux de particules est la [NBN EN 312].</w:t>
      </w:r>
    </w:p>
    <w:p w14:paraId="22B50223" w14:textId="77777777" w:rsidR="00DF410E" w:rsidRDefault="00CE7F43">
      <w:pPr>
        <w:jc w:val="both"/>
      </w:pPr>
      <w:r>
        <w:t>Les panneaux de particules portent un marquage CE selon la [NBN EN 13986+A1].</w:t>
      </w:r>
    </w:p>
    <w:p w14:paraId="151FB33D" w14:textId="77777777" w:rsidR="00DF410E" w:rsidRDefault="00CE7F43">
      <w:pPr>
        <w:pStyle w:val="pheading"/>
      </w:pPr>
      <w:r>
        <w:t>MATÉRIAUX</w:t>
      </w:r>
    </w:p>
    <w:p w14:paraId="7C2BD950" w14:textId="77777777" w:rsidR="00DF410E" w:rsidRDefault="00CE7F43">
      <w:pPr>
        <w:pStyle w:val="pheading"/>
      </w:pPr>
      <w:r>
        <w:t>- Caractéristiques générales</w:t>
      </w:r>
    </w:p>
    <w:p w14:paraId="393CCE12" w14:textId="77777777" w:rsidR="00DF410E" w:rsidRDefault="00CE7F43">
      <w:pPr>
        <w:jc w:val="both"/>
      </w:pPr>
      <w:r>
        <w:t xml:space="preserve">Classe d’emploi selon (selon [NBN EN 335]) : </w:t>
      </w:r>
      <w:r>
        <w:rPr>
          <w:rStyle w:val="optioncarChar"/>
        </w:rPr>
        <w:t>1 / 2</w:t>
      </w:r>
    </w:p>
    <w:p w14:paraId="6CBA53B1" w14:textId="77777777" w:rsidR="00DF410E" w:rsidRDefault="00CE7F43">
      <w:pPr>
        <w:jc w:val="both"/>
      </w:pPr>
      <w:r>
        <w:t>Les panneaux de particules ne sont pas adaptés un usage en classe d’emploi supérieure à 2.</w:t>
      </w:r>
    </w:p>
    <w:p w14:paraId="43298E42" w14:textId="77777777" w:rsidR="00DF410E" w:rsidRDefault="00CE7F43">
      <w:pPr>
        <w:jc w:val="both"/>
      </w:pPr>
      <w:r>
        <w:t>Type de panneau (selon [NBN EN 312]) :</w:t>
      </w:r>
      <w:r>
        <w:rPr>
          <w:rStyle w:val="optioncarChar"/>
        </w:rPr>
        <w:t xml:space="preserve"> P1 / P2 / P3 / P4 / P5 / P6 / P7</w:t>
      </w:r>
    </w:p>
    <w:p w14:paraId="2C43559E" w14:textId="77777777" w:rsidR="00DF410E" w:rsidRDefault="00CE7F43">
      <w:pPr>
        <w:jc w:val="both"/>
      </w:pPr>
      <w:r>
        <w:t>Les types P1, P2, P4 et P6 ne peuvent être utilisé que dans la classe d’emploi 1.</w:t>
      </w:r>
    </w:p>
    <w:p w14:paraId="2E38477F" w14:textId="77777777" w:rsidR="00DF410E" w:rsidRDefault="00CE7F43">
      <w:pPr>
        <w:jc w:val="both"/>
      </w:pPr>
      <w:r>
        <w:t>Dimensions d’un panneau :</w:t>
      </w:r>
    </w:p>
    <w:p w14:paraId="401B9659" w14:textId="77777777" w:rsidR="00DF410E" w:rsidRDefault="00CE7F43">
      <w:pPr>
        <w:pStyle w:val="Author-eListParagraph"/>
        <w:numPr>
          <w:ilvl w:val="0"/>
          <w:numId w:val="890"/>
        </w:numPr>
      </w:pPr>
      <w:r>
        <w:t xml:space="preserve">épaisseur : </w:t>
      </w:r>
      <w:r>
        <w:rPr>
          <w:rStyle w:val="optioncarChar"/>
        </w:rPr>
        <w:t>*** mm</w:t>
      </w:r>
      <w:r>
        <w:t xml:space="preserve"> (comprise entre 6 et 38 mm)</w:t>
      </w:r>
    </w:p>
    <w:p w14:paraId="7D63AB8C" w14:textId="77777777" w:rsidR="00DF410E" w:rsidRDefault="00CE7F43">
      <w:pPr>
        <w:pStyle w:val="Author-eListParagraph"/>
        <w:numPr>
          <w:ilvl w:val="0"/>
          <w:numId w:val="890"/>
        </w:numPr>
      </w:pPr>
      <w:r>
        <w:t xml:space="preserve">largeur : </w:t>
      </w:r>
      <w:r>
        <w:rPr>
          <w:rStyle w:val="optioncarChar"/>
        </w:rPr>
        <w:t>60 cm / 90 cm / 120 cm / 185 cm / 210 cm / au choix de l’entrepreneur</w:t>
      </w:r>
      <w:r>
        <w:t xml:space="preserve"> (par défaut)</w:t>
      </w:r>
    </w:p>
    <w:p w14:paraId="73B9042E" w14:textId="77777777" w:rsidR="00DF410E" w:rsidRDefault="00CE7F43">
      <w:pPr>
        <w:pStyle w:val="Author-eListParagraph"/>
        <w:numPr>
          <w:ilvl w:val="0"/>
          <w:numId w:val="890"/>
        </w:numPr>
      </w:pPr>
      <w:r>
        <w:t xml:space="preserve">longueur : </w:t>
      </w:r>
      <w:r>
        <w:rPr>
          <w:rStyle w:val="optioncarChar"/>
        </w:rPr>
        <w:t>*** mm / au choix de l’entrepreneur</w:t>
      </w:r>
      <w:r>
        <w:t xml:space="preserve"> (par défaut) (comprise entre 2,50 m et 6,10 m)</w:t>
      </w:r>
      <w:r>
        <w:br/>
      </w:r>
    </w:p>
    <w:p w14:paraId="1BE24F53" w14:textId="77777777" w:rsidR="00DF410E" w:rsidRDefault="00CE7F43">
      <w:pPr>
        <w:jc w:val="both"/>
      </w:pPr>
      <w:r>
        <w:t xml:space="preserve">Classe de réaction au feu : </w:t>
      </w:r>
      <w:r>
        <w:rPr>
          <w:rStyle w:val="optioncarChar"/>
        </w:rPr>
        <w:t xml:space="preserve">D-s2,d0 </w:t>
      </w:r>
      <w:r>
        <w:t>(par défaut)</w:t>
      </w:r>
      <w:r>
        <w:rPr>
          <w:rStyle w:val="optioncarChar"/>
        </w:rPr>
        <w:t xml:space="preserve"> / D</w:t>
      </w:r>
      <w:r>
        <w:rPr>
          <w:rStyle w:val="optioncarChar"/>
          <w:vertAlign w:val="subscript"/>
        </w:rPr>
        <w:t>FL</w:t>
      </w:r>
      <w:r>
        <w:rPr>
          <w:rStyle w:val="optioncarChar"/>
        </w:rPr>
        <w:t>-s1 / ***</w:t>
      </w:r>
    </w:p>
    <w:p w14:paraId="5409EB4F" w14:textId="77777777" w:rsidR="00DF410E" w:rsidRDefault="00CE7F43">
      <w:pPr>
        <w:jc w:val="both"/>
      </w:pPr>
      <w:r>
        <w:t>La classe D-s2,d0 (D</w:t>
      </w:r>
      <w:r>
        <w:rPr>
          <w:vertAlign w:val="subscript"/>
        </w:rPr>
        <w:t>FL</w:t>
      </w:r>
      <w:r>
        <w:t>-s1 si les panneaux sont utilisés en revêtement de sols) est attribuée sans essais pour un panneau d’une épaisseur supérieure ou égale à 9mm et d’une masse volumique supérieure ou égale à 600 kg/m³ pour autant que leur montage soit conforme à ce qui est décrit dans la [NBN EN 13986+A1]. Si une meilleure classe de réaction au feu est recherchée, les panneaux doivent subir un traitement ignifuge. Il est alors nécessaire de prouver la compatibilité de ce traitement avec tout autre traitements et/ou collage prescrit.</w:t>
      </w:r>
    </w:p>
    <w:p w14:paraId="1B950C78" w14:textId="77777777" w:rsidR="00DF410E" w:rsidRDefault="00CE7F43">
      <w:pPr>
        <w:jc w:val="both"/>
      </w:pPr>
      <w:r>
        <w:t xml:space="preserve">Classe d’émission de formaldéhyde : </w:t>
      </w:r>
      <w:r>
        <w:rPr>
          <w:rStyle w:val="optioncarChar"/>
        </w:rPr>
        <w:t xml:space="preserve">E1 </w:t>
      </w:r>
      <w:r>
        <w:t>(par défaut)</w:t>
      </w:r>
      <w:r>
        <w:rPr>
          <w:rStyle w:val="optioncarChar"/>
        </w:rPr>
        <w:t xml:space="preserve"> / E2</w:t>
      </w:r>
    </w:p>
    <w:p w14:paraId="400C181B" w14:textId="77777777" w:rsidR="00DF410E" w:rsidRDefault="00CE7F43">
      <w:pPr>
        <w:jc w:val="both"/>
      </w:pPr>
      <w:r>
        <w:t xml:space="preserve">Usinage des bords : </w:t>
      </w:r>
      <w:r>
        <w:rPr>
          <w:rStyle w:val="optioncarChar"/>
        </w:rPr>
        <w:t>droits / rainurés languetés </w:t>
      </w:r>
      <w:r>
        <w:t>(par défaut)</w:t>
      </w:r>
    </w:p>
    <w:p w14:paraId="2B05ACB6" w14:textId="77777777" w:rsidR="00DF410E" w:rsidRDefault="00CE7F43">
      <w:pPr>
        <w:jc w:val="both"/>
      </w:pPr>
      <w:r>
        <w:t>La teneur en humidité des panneaux de particules est comprise entre 5 % et 13 %.</w:t>
      </w:r>
    </w:p>
    <w:p w14:paraId="13BF80FC" w14:textId="77777777" w:rsidR="00DF410E" w:rsidRDefault="00CE7F43">
      <w:pPr>
        <w:jc w:val="both"/>
      </w:pPr>
      <w:r>
        <w:t>Les tolérances sur la longueur, la largeur, l’épaisseur et la rectitude des bords sont précisés à la [NBN EN 324-1] et la [NBN EN 324-2].</w:t>
      </w:r>
    </w:p>
    <w:p w14:paraId="34C4063C" w14:textId="77777777" w:rsidR="00DF410E" w:rsidRDefault="00CE7F43">
      <w:pPr>
        <w:pStyle w:val="pheading"/>
      </w:pPr>
      <w:r>
        <w:t>- Finitions</w:t>
      </w:r>
    </w:p>
    <w:p w14:paraId="5F2FF899" w14:textId="77777777" w:rsidR="00DF410E" w:rsidRDefault="00CE7F43">
      <w:r>
        <w:t xml:space="preserve">Les panneaux sont </w:t>
      </w:r>
      <w:r>
        <w:rPr>
          <w:rStyle w:val="optioncarChar"/>
        </w:rPr>
        <w:t>non-poncés</w:t>
      </w:r>
      <w:r>
        <w:t> (par défaut)</w:t>
      </w:r>
      <w:r>
        <w:rPr>
          <w:rStyle w:val="optioncarChar"/>
        </w:rPr>
        <w:t xml:space="preserve"> / poncés</w:t>
      </w:r>
      <w:r>
        <w:t>.</w:t>
      </w:r>
    </w:p>
    <w:p w14:paraId="4E60E664" w14:textId="77777777" w:rsidR="00DF410E" w:rsidRDefault="00CE7F43">
      <w:pPr>
        <w:pStyle w:val="pheading"/>
      </w:pPr>
      <w:r>
        <w:t>MESURAGE</w:t>
      </w:r>
    </w:p>
    <w:p w14:paraId="767357E0" w14:textId="77777777" w:rsidR="00DF410E" w:rsidRDefault="00CE7F43">
      <w:pPr>
        <w:pStyle w:val="pheading"/>
      </w:pPr>
      <w:r>
        <w:t>- unité de mesure:</w:t>
      </w:r>
    </w:p>
    <w:p w14:paraId="41FF2C81" w14:textId="77777777" w:rsidR="00DF410E" w:rsidRDefault="00CE7F43">
      <w:r>
        <w:t>m²</w:t>
      </w:r>
    </w:p>
    <w:p w14:paraId="755B1BB7" w14:textId="77777777" w:rsidR="00DF410E" w:rsidRDefault="00CE7F43">
      <w:pPr>
        <w:pStyle w:val="pheading"/>
      </w:pPr>
      <w:r>
        <w:t>- code de mesurage:</w:t>
      </w:r>
    </w:p>
    <w:p w14:paraId="434326EE" w14:textId="77777777" w:rsidR="00DF410E" w:rsidRDefault="00CE7F43">
      <w:r>
        <w:rPr>
          <w:u w:val="single"/>
        </w:rPr>
        <w:t>Surface nette:</w:t>
      </w:r>
      <w:r>
        <w:t> </w:t>
      </w:r>
      <w:r>
        <w:br/>
        <w:t>La surface nette des panneaux ayant la même épaisseur et les mêmes caractéristiques est calculée. Les ouvertures inférieures à 0,5m² ne sont pas déduites.</w:t>
      </w:r>
    </w:p>
    <w:p w14:paraId="02393E39" w14:textId="77777777" w:rsidR="00DF410E" w:rsidRDefault="00CE7F43">
      <w:pPr>
        <w:pStyle w:val="pheading"/>
      </w:pPr>
      <w:r>
        <w:t>- nature du marché:</w:t>
      </w:r>
    </w:p>
    <w:p w14:paraId="6914C84D" w14:textId="77777777" w:rsidR="00DF410E" w:rsidRDefault="00CE7F43">
      <w:r>
        <w:rPr>
          <w:rStyle w:val="optioncarChar"/>
        </w:rPr>
        <w:t xml:space="preserve">QF </w:t>
      </w:r>
      <w:r>
        <w:t xml:space="preserve">(par défaut) </w:t>
      </w:r>
      <w:r>
        <w:rPr>
          <w:rStyle w:val="optioncarChar"/>
        </w:rPr>
        <w:t>/ QP</w:t>
      </w:r>
    </w:p>
    <w:p w14:paraId="5D5529A2" w14:textId="77777777" w:rsidR="00DF410E" w:rsidRDefault="00CE7F43">
      <w:pPr>
        <w:pStyle w:val="pheading"/>
      </w:pPr>
      <w:r>
        <w:t>AIDE</w:t>
      </w:r>
    </w:p>
    <w:p w14:paraId="272B1FC4" w14:textId="77777777" w:rsidR="00DF410E" w:rsidRDefault="00CE7F43">
      <w:pPr>
        <w:jc w:val="both"/>
      </w:pPr>
      <w:r>
        <w:t>Certains types de panneaux sont difficile à trouver, notamment les P1, P6 et P7.</w:t>
      </w:r>
    </w:p>
    <w:p w14:paraId="3C6E7BF8" w14:textId="77777777" w:rsidR="00DF410E" w:rsidRDefault="00CE7F43">
      <w:pPr>
        <w:jc w:val="both"/>
      </w:pPr>
      <w:r>
        <w:t>Les propriétés de résistance, de rigidité, de durabilité, de masse volumique, de perméabilité à la vapeur d’eau et de conductivité thermique dépendent du type de panneau et de son épaisseur. Celles-ci sont définies dans les normes [NBN EN 12369 série] et [NBN EN 13986+A1].</w:t>
      </w:r>
    </w:p>
    <w:p w14:paraId="7596A3CB" w14:textId="77777777" w:rsidR="00DF410E" w:rsidRDefault="00CE7F43">
      <w:pPr>
        <w:pStyle w:val="Author-eSectionHeading6"/>
      </w:pPr>
      <w:bookmarkStart w:id="1642" w:name="_Toc178838732"/>
      <w:r>
        <w:t>24.16.1d Panneaux MDF CCTB 01.11</w:t>
      </w:r>
      <w:bookmarkEnd w:id="1642"/>
    </w:p>
    <w:p w14:paraId="2F16A69F" w14:textId="77777777" w:rsidR="00DF410E" w:rsidRDefault="00CE7F43">
      <w:pPr>
        <w:pStyle w:val="pheading"/>
      </w:pPr>
      <w:bookmarkStart w:id="1643" w:name="594"/>
      <w:bookmarkEnd w:id="1643"/>
      <w:r>
        <w:t>DESCRIPTION</w:t>
      </w:r>
    </w:p>
    <w:p w14:paraId="1302EF9E" w14:textId="77777777" w:rsidR="00DF410E" w:rsidRDefault="00CE7F43">
      <w:pPr>
        <w:pStyle w:val="pheading"/>
      </w:pPr>
      <w:r>
        <w:t>- Définition / Comprend</w:t>
      </w:r>
    </w:p>
    <w:p w14:paraId="72AF294E" w14:textId="77777777" w:rsidR="00DF410E" w:rsidRDefault="00CE7F43">
      <w:pPr>
        <w:jc w:val="both"/>
      </w:pPr>
      <w:r>
        <w:t>Il s’agit de panneaux de fibres de densité moyenne d’une épaisseur égale ou supérieure à 1,5 mm. Ils sont fabriqués à l’aide d’un liant synthétique, avec application de chaleur et de pression.</w:t>
      </w:r>
    </w:p>
    <w:p w14:paraId="44D09C48" w14:textId="77777777" w:rsidR="00DF410E" w:rsidRDefault="00CE7F43">
      <w:pPr>
        <w:jc w:val="both"/>
      </w:pPr>
      <w:r>
        <w:rPr>
          <w:b/>
        </w:rPr>
        <w:t>Remarques importantes</w:t>
      </w:r>
    </w:p>
    <w:p w14:paraId="1208553E" w14:textId="77777777" w:rsidR="00DF410E" w:rsidRDefault="00CE7F43">
      <w:pPr>
        <w:jc w:val="both"/>
      </w:pPr>
      <w:r>
        <w:t>La norme produit qui concerne les panneaux MDF est la [NBN EN 622-5].</w:t>
      </w:r>
    </w:p>
    <w:p w14:paraId="64BAF241" w14:textId="77777777" w:rsidR="00DF410E" w:rsidRDefault="00CE7F43">
      <w:pPr>
        <w:jc w:val="both"/>
      </w:pPr>
      <w:r>
        <w:t>Les panneaux de particules portent un marquage CE selon la [NBN EN 13986+A1].</w:t>
      </w:r>
    </w:p>
    <w:p w14:paraId="72EC936F" w14:textId="77777777" w:rsidR="00DF410E" w:rsidRDefault="00CE7F43">
      <w:pPr>
        <w:jc w:val="both"/>
      </w:pPr>
      <w:r>
        <w:t>Il existe deux méthodes de fabrication des panneaux de fibres : le procédé humide et le procédé à sec. Cependant les panneaux MDF structuraux sont toujours obtenus par le procédé à sec.</w:t>
      </w:r>
    </w:p>
    <w:p w14:paraId="78E0F1C5" w14:textId="77777777" w:rsidR="00DF410E" w:rsidRDefault="00CE7F43">
      <w:pPr>
        <w:pStyle w:val="pheading"/>
      </w:pPr>
      <w:r>
        <w:t>MATÉRIAUX</w:t>
      </w:r>
    </w:p>
    <w:p w14:paraId="68A81ADC" w14:textId="77777777" w:rsidR="00DF410E" w:rsidRDefault="00CE7F43">
      <w:pPr>
        <w:pStyle w:val="pheading"/>
      </w:pPr>
      <w:r>
        <w:t>- Caractéristiques générales</w:t>
      </w:r>
    </w:p>
    <w:p w14:paraId="141B5359" w14:textId="77777777" w:rsidR="00DF410E" w:rsidRDefault="00CE7F43">
      <w:pPr>
        <w:jc w:val="both"/>
      </w:pPr>
      <w:r>
        <w:t>Classe d’emploi selon (selon [NBN EN 335]) :</w:t>
      </w:r>
      <w:r>
        <w:rPr>
          <w:rStyle w:val="optioncarChar"/>
        </w:rPr>
        <w:t xml:space="preserve"> 1 / 2</w:t>
      </w:r>
    </w:p>
    <w:p w14:paraId="7759469C" w14:textId="77777777" w:rsidR="00DF410E" w:rsidRDefault="00CE7F43">
      <w:pPr>
        <w:jc w:val="both"/>
      </w:pPr>
      <w:r>
        <w:t>Les panneaux MDF ne sont pas adaptés un usage en classe d’emploi supérieure à 2.</w:t>
      </w:r>
    </w:p>
    <w:p w14:paraId="36F6C13D" w14:textId="77777777" w:rsidR="00DF410E" w:rsidRDefault="00CE7F43">
      <w:pPr>
        <w:jc w:val="both"/>
      </w:pPr>
      <w:r>
        <w:t xml:space="preserve">Type de panneau (selon [NBN EN 312]) : </w:t>
      </w:r>
      <w:r>
        <w:rPr>
          <w:rStyle w:val="optioncarChar"/>
        </w:rPr>
        <w:t>MDF LA / MDF-HLS</w:t>
      </w:r>
    </w:p>
    <w:p w14:paraId="336010A9" w14:textId="77777777" w:rsidR="00DF410E" w:rsidRDefault="00CE7F43">
      <w:pPr>
        <w:jc w:val="both"/>
      </w:pPr>
      <w:r>
        <w:t>Le type MDF LA ne peut être mis en œuvre que dans la classe d’emploi 1.</w:t>
      </w:r>
    </w:p>
    <w:p w14:paraId="076BF286" w14:textId="77777777" w:rsidR="00DF410E" w:rsidRDefault="00CE7F43">
      <w:pPr>
        <w:jc w:val="both"/>
      </w:pPr>
      <w:r>
        <w:t>Dimensions d’un panneau :</w:t>
      </w:r>
    </w:p>
    <w:p w14:paraId="5343AAF6" w14:textId="77777777" w:rsidR="00DF410E" w:rsidRDefault="00CE7F43">
      <w:pPr>
        <w:pStyle w:val="Author-eListParagraph"/>
        <w:numPr>
          <w:ilvl w:val="0"/>
          <w:numId w:val="891"/>
        </w:numPr>
      </w:pPr>
      <w:r>
        <w:t xml:space="preserve">épaisseur : </w:t>
      </w:r>
      <w:r>
        <w:rPr>
          <w:rStyle w:val="optioncarChar"/>
        </w:rPr>
        <w:t>*** mm</w:t>
      </w:r>
      <w:r>
        <w:t xml:space="preserve"> (comprise entre 1,5 et 40 mm)</w:t>
      </w:r>
    </w:p>
    <w:p w14:paraId="6602869E" w14:textId="77777777" w:rsidR="00DF410E" w:rsidRDefault="00CE7F43">
      <w:pPr>
        <w:pStyle w:val="Author-eListParagraph"/>
        <w:numPr>
          <w:ilvl w:val="0"/>
          <w:numId w:val="891"/>
        </w:numPr>
      </w:pPr>
      <w:r>
        <w:t xml:space="preserve">largeur : </w:t>
      </w:r>
      <w:r>
        <w:rPr>
          <w:rStyle w:val="optioncarChar"/>
        </w:rPr>
        <w:t xml:space="preserve">au choix de l’entrepreneur </w:t>
      </w:r>
      <w:r>
        <w:t>(par défaut)</w:t>
      </w:r>
      <w:r>
        <w:rPr>
          <w:rStyle w:val="optioncarChar"/>
        </w:rPr>
        <w:t xml:space="preserve"> / ***</w:t>
      </w:r>
    </w:p>
    <w:p w14:paraId="09F340C8" w14:textId="77777777" w:rsidR="00DF410E" w:rsidRDefault="00CE7F43">
      <w:pPr>
        <w:pStyle w:val="Author-eListParagraph"/>
        <w:numPr>
          <w:ilvl w:val="0"/>
          <w:numId w:val="891"/>
        </w:numPr>
      </w:pPr>
      <w:r>
        <w:t xml:space="preserve">longueur : </w:t>
      </w:r>
      <w:r>
        <w:rPr>
          <w:rStyle w:val="optioncarChar"/>
        </w:rPr>
        <w:t>au choix de l’entrepreneur</w:t>
      </w:r>
      <w:r>
        <w:t xml:space="preserve"> (par défaut)</w:t>
      </w:r>
      <w:r>
        <w:rPr>
          <w:rStyle w:val="optioncarChar"/>
        </w:rPr>
        <w:t xml:space="preserve"> / ***</w:t>
      </w:r>
      <w:r>
        <w:br/>
      </w:r>
    </w:p>
    <w:p w14:paraId="5408E2EA" w14:textId="77777777" w:rsidR="00DF410E" w:rsidRDefault="00CE7F43">
      <w:pPr>
        <w:jc w:val="both"/>
      </w:pPr>
      <w:r>
        <w:t xml:space="preserve">Classe de réaction au feu : </w:t>
      </w:r>
      <w:r>
        <w:rPr>
          <w:rStyle w:val="optioncarChar"/>
        </w:rPr>
        <w:t>D-s2,d0</w:t>
      </w:r>
      <w:r>
        <w:t xml:space="preserve"> (par défaut) </w:t>
      </w:r>
      <w:r>
        <w:rPr>
          <w:rStyle w:val="optioncarChar"/>
        </w:rPr>
        <w:t>/ D</w:t>
      </w:r>
      <w:r>
        <w:rPr>
          <w:rStyle w:val="optioncarChar"/>
          <w:vertAlign w:val="subscript"/>
        </w:rPr>
        <w:t>FL</w:t>
      </w:r>
      <w:r>
        <w:rPr>
          <w:rStyle w:val="optioncarChar"/>
        </w:rPr>
        <w:t>-s1 / ***</w:t>
      </w:r>
    </w:p>
    <w:p w14:paraId="73F615ED" w14:textId="77777777" w:rsidR="00DF410E" w:rsidRDefault="00CE7F43">
      <w:pPr>
        <w:jc w:val="both"/>
      </w:pPr>
      <w:r>
        <w:t>La classe D-s2,d0 (D</w:t>
      </w:r>
      <w:r>
        <w:rPr>
          <w:vertAlign w:val="subscript"/>
        </w:rPr>
        <w:t>FL</w:t>
      </w:r>
      <w:r>
        <w:t>-s1 si les panneaux sont utilisés en revêtement de sols) est attribuée sans essais pour un panneau d’une épaisseur supérieure ou égale à 9 mm pour autant que leur montage soit conforme à ce qui est décrit dans la norme [NBN EN 13986+A1]. Si une meilleure classe de réaction au feu est recherchée, les panneaux doivent subir un traitement ignifuge. Il est alors nécessaire de prouver la compatibilité de ce traitement avec tout autre traitements et/ou collage prescrit.</w:t>
      </w:r>
    </w:p>
    <w:p w14:paraId="42B42D05" w14:textId="77777777" w:rsidR="00DF410E" w:rsidRDefault="00CE7F43">
      <w:pPr>
        <w:jc w:val="both"/>
      </w:pPr>
      <w:r>
        <w:t>Classe d’émission de formaldéhyde :</w:t>
      </w:r>
      <w:r>
        <w:rPr>
          <w:rStyle w:val="optioncarChar"/>
        </w:rPr>
        <w:t xml:space="preserve"> E1 </w:t>
      </w:r>
      <w:r>
        <w:t xml:space="preserve">(par défaut) </w:t>
      </w:r>
      <w:r>
        <w:rPr>
          <w:rStyle w:val="optioncarChar"/>
        </w:rPr>
        <w:t>/ E2</w:t>
      </w:r>
    </w:p>
    <w:p w14:paraId="152FDF7A" w14:textId="77777777" w:rsidR="00DF410E" w:rsidRDefault="00CE7F43">
      <w:pPr>
        <w:jc w:val="both"/>
      </w:pPr>
      <w:r>
        <w:t xml:space="preserve">Usinage des bords : </w:t>
      </w:r>
      <w:r>
        <w:rPr>
          <w:rStyle w:val="optioncarChar"/>
        </w:rPr>
        <w:t>droits / rainurés languetés</w:t>
      </w:r>
      <w:r>
        <w:t> (par défaut)</w:t>
      </w:r>
    </w:p>
    <w:p w14:paraId="689D09CF" w14:textId="77777777" w:rsidR="00DF410E" w:rsidRDefault="00CE7F43">
      <w:pPr>
        <w:jc w:val="both"/>
      </w:pPr>
      <w:r>
        <w:t>La teneur en humidité des panneaux de fibres est comprise entre 4 % et 11 %. </w:t>
      </w:r>
    </w:p>
    <w:p w14:paraId="6B8E36C5" w14:textId="77777777" w:rsidR="00DF410E" w:rsidRDefault="00CE7F43">
      <w:pPr>
        <w:jc w:val="both"/>
      </w:pPr>
      <w:r>
        <w:t>Les tolérances sur la longueur, la largeur, l’épaisseur, l’équerrage et la rectitude des bords sont précisés à la [NBN EN 324-1] et la [NBN EN 324-2].</w:t>
      </w:r>
    </w:p>
    <w:p w14:paraId="49D804F9" w14:textId="77777777" w:rsidR="00DF410E" w:rsidRDefault="00CE7F43">
      <w:pPr>
        <w:pStyle w:val="pheading"/>
      </w:pPr>
      <w:r>
        <w:t>- Finitions</w:t>
      </w:r>
    </w:p>
    <w:p w14:paraId="7F43A363" w14:textId="77777777" w:rsidR="00DF410E" w:rsidRDefault="00CE7F43">
      <w:r>
        <w:t xml:space="preserve">Les panneaux sont </w:t>
      </w:r>
      <w:r>
        <w:rPr>
          <w:rStyle w:val="optioncarChar"/>
        </w:rPr>
        <w:t>non-poncés / poncés</w:t>
      </w:r>
      <w:r>
        <w:t>.</w:t>
      </w:r>
    </w:p>
    <w:p w14:paraId="60E0127C" w14:textId="77777777" w:rsidR="00DF410E" w:rsidRDefault="00CE7F43">
      <w:pPr>
        <w:pStyle w:val="pheading"/>
      </w:pPr>
      <w:r>
        <w:t>MESURAGE</w:t>
      </w:r>
    </w:p>
    <w:p w14:paraId="0F321344" w14:textId="77777777" w:rsidR="00DF410E" w:rsidRDefault="00CE7F43">
      <w:pPr>
        <w:pStyle w:val="pheading"/>
      </w:pPr>
      <w:r>
        <w:t>- unité de mesure:</w:t>
      </w:r>
    </w:p>
    <w:p w14:paraId="0F19C09E" w14:textId="77777777" w:rsidR="00DF410E" w:rsidRDefault="00CE7F43">
      <w:r>
        <w:t>m²</w:t>
      </w:r>
    </w:p>
    <w:p w14:paraId="69FF279E" w14:textId="77777777" w:rsidR="00DF410E" w:rsidRDefault="00CE7F43">
      <w:pPr>
        <w:pStyle w:val="pheading"/>
      </w:pPr>
      <w:r>
        <w:t>- code de mesurage:</w:t>
      </w:r>
    </w:p>
    <w:p w14:paraId="7C9FB767" w14:textId="77777777" w:rsidR="00DF410E" w:rsidRDefault="00CE7F43">
      <w:r>
        <w:rPr>
          <w:u w:val="single"/>
        </w:rPr>
        <w:t>Surface nette:</w:t>
      </w:r>
      <w:r>
        <w:t> </w:t>
      </w:r>
      <w:r>
        <w:br/>
        <w:t>La surface nette des panneaux ayant la même épaisseur et les mêmes caractéristiques est calculée. Les ouvertures inférieures à 0,5m² ne sont pas déduites.</w:t>
      </w:r>
    </w:p>
    <w:p w14:paraId="164BF6E9" w14:textId="77777777" w:rsidR="00DF410E" w:rsidRDefault="00CE7F43">
      <w:pPr>
        <w:pStyle w:val="pheading"/>
      </w:pPr>
      <w:r>
        <w:t>- nature du marché:</w:t>
      </w:r>
    </w:p>
    <w:p w14:paraId="7B4C124C" w14:textId="77777777" w:rsidR="00DF410E" w:rsidRDefault="00CE7F43">
      <w:r>
        <w:rPr>
          <w:rStyle w:val="optioncarChar"/>
        </w:rPr>
        <w:t xml:space="preserve">QF </w:t>
      </w:r>
      <w:r>
        <w:t xml:space="preserve">(par défaut) </w:t>
      </w:r>
      <w:r>
        <w:rPr>
          <w:rStyle w:val="optioncarChar"/>
        </w:rPr>
        <w:t>/ QP</w:t>
      </w:r>
    </w:p>
    <w:p w14:paraId="3066DCA8" w14:textId="77777777" w:rsidR="00DF410E" w:rsidRDefault="00CE7F43">
      <w:pPr>
        <w:pStyle w:val="pheading"/>
      </w:pPr>
      <w:r>
        <w:t>AIDE</w:t>
      </w:r>
    </w:p>
    <w:p w14:paraId="752BD3FF" w14:textId="77777777" w:rsidR="00DF410E" w:rsidRDefault="00CE7F43">
      <w:pPr>
        <w:jc w:val="both"/>
      </w:pPr>
      <w:r>
        <w:t>Les valeurs caractéristiques de conductivité thermique, de perméabilité à la vapeur d’eau, masse volumique, rigidité et de résistances sont données dans la [NBN EN 12369-1] en fonction de l’épaisseur et du type de panneau. Si le panneau MDF atteint une teneur en humidité supérieure à 15% en service, un coefficient réducteur doit être appliqué.</w:t>
      </w:r>
    </w:p>
    <w:p w14:paraId="2D70DBF8" w14:textId="77777777" w:rsidR="00DF410E" w:rsidRDefault="00CE7F43">
      <w:pPr>
        <w:pStyle w:val="Author-eSectionHeading4"/>
      </w:pPr>
      <w:bookmarkStart w:id="1644" w:name="_Toc178838733"/>
      <w:r>
        <w:t>24.17 Arcs en bois CCTB 01.07</w:t>
      </w:r>
      <w:bookmarkEnd w:id="1644"/>
    </w:p>
    <w:p w14:paraId="5DB37629" w14:textId="77777777" w:rsidR="00DF410E" w:rsidRDefault="00CE7F43">
      <w:pPr>
        <w:pStyle w:val="pheading"/>
      </w:pPr>
      <w:r>
        <w:t>DESCRIPTION</w:t>
      </w:r>
    </w:p>
    <w:p w14:paraId="48C8DE28" w14:textId="77777777" w:rsidR="00DF410E" w:rsidRDefault="00CE7F43">
      <w:pPr>
        <w:pStyle w:val="pheading"/>
      </w:pPr>
      <w:r>
        <w:t>- Définition / Comprend</w:t>
      </w:r>
    </w:p>
    <w:p w14:paraId="5CFF8783" w14:textId="77777777" w:rsidR="00DF410E" w:rsidRDefault="00CE7F43">
      <w:pPr>
        <w:jc w:val="both"/>
      </w:pPr>
      <w:r>
        <w:t>Il s’agit d’éléments de structure courbés et dont la longueur et largement supérieure aux deux autres dimensions.</w:t>
      </w:r>
    </w:p>
    <w:p w14:paraId="51FE8468" w14:textId="77777777" w:rsidR="00DF410E" w:rsidRDefault="00CE7F43">
      <w:pPr>
        <w:pStyle w:val="Author-eSectionHeading5"/>
      </w:pPr>
      <w:bookmarkStart w:id="1645" w:name="_Toc178838734"/>
      <w:r>
        <w:t>24.17.1 Arcs en bois lamellé collé CCTB 01.10</w:t>
      </w:r>
      <w:bookmarkEnd w:id="1645"/>
    </w:p>
    <w:p w14:paraId="2C2A5F20" w14:textId="77777777" w:rsidR="00DF410E" w:rsidRDefault="00CE7F43">
      <w:pPr>
        <w:pStyle w:val="Author-eSectionHeading6"/>
      </w:pPr>
      <w:bookmarkStart w:id="1646" w:name="_Toc178838735"/>
      <w:r>
        <w:t>24.17.1a Arcs en bois lamellé collé à simple courbure CCTB 01.11</w:t>
      </w:r>
      <w:bookmarkEnd w:id="1646"/>
    </w:p>
    <w:p w14:paraId="70902431" w14:textId="77777777" w:rsidR="00DF410E" w:rsidRDefault="00CE7F43">
      <w:pPr>
        <w:pStyle w:val="pheading"/>
      </w:pPr>
      <w:r>
        <w:t>MATÉRIAUX</w:t>
      </w:r>
    </w:p>
    <w:p w14:paraId="64C95646" w14:textId="77777777" w:rsidR="00DF410E" w:rsidRDefault="00CE7F43">
      <w:pPr>
        <w:pStyle w:val="pheading"/>
      </w:pPr>
      <w:r>
        <w:t>- Caractéristiques générales</w:t>
      </w:r>
    </w:p>
    <w:p w14:paraId="1AFF999E" w14:textId="77777777" w:rsidR="00DF410E" w:rsidRDefault="00CE7F43">
      <w:pPr>
        <w:jc w:val="both"/>
      </w:pPr>
      <w:r>
        <w:t xml:space="preserve">Classe d’emploi : </w:t>
      </w:r>
      <w:r>
        <w:rPr>
          <w:rStyle w:val="optioncarChar"/>
        </w:rPr>
        <w:t xml:space="preserve">1 </w:t>
      </w:r>
      <w:r>
        <w:t>(par défaut)</w:t>
      </w:r>
      <w:r>
        <w:rPr>
          <w:rStyle w:val="optioncarChar"/>
        </w:rPr>
        <w:t xml:space="preserve"> / 2 / ***</w:t>
      </w:r>
    </w:p>
    <w:p w14:paraId="5AB5023C" w14:textId="77777777" w:rsidR="00DF410E" w:rsidRDefault="00CE7F43">
      <w:pPr>
        <w:jc w:val="both"/>
      </w:pPr>
      <w:r>
        <w:t xml:space="preserve">Teneur en humidité cible des arcs lamellé collé : </w:t>
      </w:r>
      <w:r>
        <w:rPr>
          <w:rStyle w:val="optioncarChar"/>
        </w:rPr>
        <w:t xml:space="preserve">12 % </w:t>
      </w:r>
      <w:r>
        <w:t>(par défaut)</w:t>
      </w:r>
      <w:r>
        <w:rPr>
          <w:rStyle w:val="optioncarChar"/>
        </w:rPr>
        <w:t xml:space="preserve"> / ***</w:t>
      </w:r>
    </w:p>
    <w:p w14:paraId="6D23AEB5" w14:textId="77777777" w:rsidR="00DF410E" w:rsidRDefault="00CE7F43">
      <w:pPr>
        <w:jc w:val="both"/>
      </w:pPr>
      <w:r>
        <w:t xml:space="preserve">Essence des bois : </w:t>
      </w:r>
      <w:r>
        <w:rPr>
          <w:rStyle w:val="optioncarChar"/>
        </w:rPr>
        <w:t>résineuse</w:t>
      </w:r>
      <w:r>
        <w:t xml:space="preserve"> (par défaut) /</w:t>
      </w:r>
      <w:r>
        <w:rPr>
          <w:rStyle w:val="optioncarChar"/>
        </w:rPr>
        <w:t xml:space="preserve"> épicéa / douglas / peuplier / ***</w:t>
      </w:r>
    </w:p>
    <w:p w14:paraId="0CF239B6" w14:textId="77777777" w:rsidR="00DF410E" w:rsidRDefault="00CE7F43">
      <w:pPr>
        <w:jc w:val="both"/>
      </w:pPr>
      <w:r>
        <w:t xml:space="preserve">La durabilité des arcs,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w:t>
      </w:r>
    </w:p>
    <w:p w14:paraId="439CBA95" w14:textId="77777777" w:rsidR="00DF410E" w:rsidRDefault="00CE7F43">
      <w:pPr>
        <w:jc w:val="both"/>
      </w:pPr>
      <w:r>
        <w:t xml:space="preserve">Classe de résistance des arcs : </w:t>
      </w:r>
      <w:r>
        <w:rPr>
          <w:rStyle w:val="optioncarChar"/>
        </w:rPr>
        <w:t>GL24c / GL24h</w:t>
      </w:r>
      <w:r>
        <w:t xml:space="preserve"> (par défaut) </w:t>
      </w:r>
      <w:r>
        <w:rPr>
          <w:rStyle w:val="optioncarChar"/>
        </w:rPr>
        <w:t>/ GL28h / ***</w:t>
      </w:r>
    </w:p>
    <w:p w14:paraId="6EAEBA32" w14:textId="77777777" w:rsidR="00DF410E" w:rsidRDefault="00CE7F43">
      <w:pPr>
        <w:jc w:val="both"/>
      </w:pPr>
      <w:r>
        <w:t xml:space="preserve">Section des arcs : </w:t>
      </w:r>
      <w:r>
        <w:rPr>
          <w:rStyle w:val="optioncarChar"/>
        </w:rPr>
        <w:t xml:space="preserve">voir plan </w:t>
      </w:r>
      <w:r>
        <w:t>(par défaut)</w:t>
      </w:r>
      <w:r>
        <w:rPr>
          <w:rStyle w:val="optioncarChar"/>
        </w:rPr>
        <w:t xml:space="preserve"> / ***</w:t>
      </w:r>
    </w:p>
    <w:p w14:paraId="402A08B9" w14:textId="77777777" w:rsidR="00DF410E" w:rsidRDefault="00CE7F43">
      <w:pPr>
        <w:jc w:val="both"/>
      </w:pPr>
      <w:r>
        <w:t xml:space="preserve">Courbure : </w:t>
      </w:r>
      <w:r>
        <w:rPr>
          <w:rStyle w:val="optioncarChar"/>
        </w:rPr>
        <w:t xml:space="preserve">voir plan </w:t>
      </w:r>
      <w:r>
        <w:t xml:space="preserve">(par défaut) </w:t>
      </w:r>
      <w:r>
        <w:rPr>
          <w:rStyle w:val="optioncarChar"/>
        </w:rPr>
        <w:t>/ ***</w:t>
      </w:r>
    </w:p>
    <w:p w14:paraId="279D8517" w14:textId="77777777" w:rsidR="00DF410E" w:rsidRDefault="00CE7F43">
      <w:pPr>
        <w:jc w:val="both"/>
      </w:pPr>
      <w:r>
        <w:t>Exigences d’aspect :</w:t>
      </w:r>
      <w:r>
        <w:rPr>
          <w:rStyle w:val="optioncarChar"/>
        </w:rPr>
        <w:t xml:space="preserve"> non-visible </w:t>
      </w:r>
      <w:r>
        <w:t xml:space="preserve">(par défaut) </w:t>
      </w:r>
      <w:r>
        <w:rPr>
          <w:rStyle w:val="optioncarChar"/>
        </w:rPr>
        <w:t>/ visible industriel / visible habitat</w:t>
      </w:r>
      <w:r>
        <w:t xml:space="preserve"> sur </w:t>
      </w:r>
      <w:r>
        <w:rPr>
          <w:rStyle w:val="optioncarChar"/>
        </w:rPr>
        <w:t xml:space="preserve">1 </w:t>
      </w:r>
      <w:r>
        <w:t xml:space="preserve">(par défaut) </w:t>
      </w:r>
      <w:r>
        <w:rPr>
          <w:rStyle w:val="optioncarChar"/>
        </w:rPr>
        <w:t>/ 2</w:t>
      </w:r>
      <w:r>
        <w:t xml:space="preserve"> face(s)</w:t>
      </w:r>
    </w:p>
    <w:p w14:paraId="61077BB3" w14:textId="77777777" w:rsidR="00DF410E" w:rsidRDefault="00CE7F43">
      <w:pPr>
        <w:jc w:val="both"/>
      </w:pPr>
      <w:r>
        <w:t xml:space="preserve">Classe d’émission de formaldéhyde : </w:t>
      </w:r>
      <w:r>
        <w:rPr>
          <w:rStyle w:val="optioncarChar"/>
        </w:rPr>
        <w:t xml:space="preserve">E1 </w:t>
      </w:r>
      <w:r>
        <w:t xml:space="preserve">(par défaut) </w:t>
      </w:r>
      <w:r>
        <w:rPr>
          <w:rStyle w:val="optioncarChar"/>
        </w:rPr>
        <w:t>/ E2</w:t>
      </w:r>
    </w:p>
    <w:p w14:paraId="772172A4" w14:textId="77777777" w:rsidR="00DF410E" w:rsidRDefault="00CE7F43">
      <w:pPr>
        <w:pStyle w:val="pheading"/>
      </w:pPr>
      <w:r>
        <w:t>EXÉCUTION / MISE EN ŒUVRE</w:t>
      </w:r>
    </w:p>
    <w:p w14:paraId="5937FE01" w14:textId="77777777" w:rsidR="00DF410E" w:rsidRDefault="00CE7F43">
      <w:pPr>
        <w:pStyle w:val="pheading"/>
      </w:pPr>
      <w:r>
        <w:t>- Prescriptions générales</w:t>
      </w:r>
    </w:p>
    <w:p w14:paraId="54185317" w14:textId="77777777" w:rsidR="00DF410E" w:rsidRDefault="00CE7F43">
      <w:pPr>
        <w:jc w:val="both"/>
      </w:pPr>
      <w:r>
        <w:t>Le soumissionnaire fournit une description du principe constructif de montage qu’il compte mettre en œuvre.</w:t>
      </w:r>
    </w:p>
    <w:p w14:paraId="44387452" w14:textId="77777777" w:rsidR="00DF410E" w:rsidRDefault="00CE7F43">
      <w:pPr>
        <w:pStyle w:val="pheading"/>
      </w:pPr>
      <w:r>
        <w:t>MESURAGE</w:t>
      </w:r>
    </w:p>
    <w:p w14:paraId="44D334E5" w14:textId="77777777" w:rsidR="00DF410E" w:rsidRDefault="00CE7F43">
      <w:pPr>
        <w:pStyle w:val="pheading"/>
      </w:pPr>
      <w:r>
        <w:t>- unité de mesure:</w:t>
      </w:r>
    </w:p>
    <w:p w14:paraId="75A11D7D" w14:textId="77777777" w:rsidR="00DF410E" w:rsidRDefault="00CE7F43">
      <w:r>
        <w:rPr>
          <w:rStyle w:val="optioncarChar"/>
        </w:rPr>
        <w:t xml:space="preserve">m </w:t>
      </w:r>
      <w:r>
        <w:t xml:space="preserve">(par défaut) </w:t>
      </w:r>
      <w:r>
        <w:rPr>
          <w:rStyle w:val="optioncarChar"/>
        </w:rPr>
        <w:t>/ m³</w:t>
      </w:r>
    </w:p>
    <w:p w14:paraId="40F53E9E" w14:textId="77777777" w:rsidR="00DF410E" w:rsidRDefault="00CE7F43">
      <w:r>
        <w:rPr>
          <w:b/>
          <w:i/>
        </w:rPr>
        <w:t>(Soit par défaut)</w:t>
      </w:r>
    </w:p>
    <w:p w14:paraId="1B701721" w14:textId="77777777" w:rsidR="00DF410E" w:rsidRDefault="00CE7F43">
      <w:r>
        <w:rPr>
          <w:rStyle w:val="soitChar"/>
        </w:rPr>
        <w:t>1.     m</w:t>
      </w:r>
    </w:p>
    <w:p w14:paraId="36341DC3" w14:textId="77777777" w:rsidR="00DF410E" w:rsidRDefault="00CE7F43">
      <w:r>
        <w:rPr>
          <w:b/>
          <w:i/>
        </w:rPr>
        <w:t>(Soit)</w:t>
      </w:r>
    </w:p>
    <w:p w14:paraId="08669457" w14:textId="77777777" w:rsidR="00DF410E" w:rsidRDefault="00CE7F43">
      <w:r>
        <w:rPr>
          <w:rStyle w:val="soitChar"/>
        </w:rPr>
        <w:t>2.     m³</w:t>
      </w:r>
    </w:p>
    <w:p w14:paraId="6255808E" w14:textId="77777777" w:rsidR="00DF410E" w:rsidRDefault="00CE7F43">
      <w:pPr>
        <w:pStyle w:val="pheading"/>
      </w:pPr>
      <w:r>
        <w:t>- code de mesurage:</w:t>
      </w:r>
    </w:p>
    <w:p w14:paraId="0531B536" w14:textId="77777777" w:rsidR="00DF410E" w:rsidRDefault="00CE7F43">
      <w:pPr>
        <w:jc w:val="both"/>
      </w:pPr>
      <w:r>
        <w:rPr>
          <w:rStyle w:val="optioncarChar"/>
        </w:rPr>
        <w:t xml:space="preserve">Longueur nette </w:t>
      </w:r>
      <w:r>
        <w:t xml:space="preserve">(par défaut) </w:t>
      </w:r>
      <w:r>
        <w:rPr>
          <w:rStyle w:val="optioncarChar"/>
        </w:rPr>
        <w:t>/ Volume net</w:t>
      </w:r>
    </w:p>
    <w:p w14:paraId="5F018220" w14:textId="77777777" w:rsidR="00DF410E" w:rsidRDefault="00CE7F43">
      <w:pPr>
        <w:jc w:val="both"/>
      </w:pPr>
      <w:r>
        <w:rPr>
          <w:b/>
          <w:i/>
        </w:rPr>
        <w:t>(Soit par défaut)</w:t>
      </w:r>
    </w:p>
    <w:p w14:paraId="57E9F797" w14:textId="77777777" w:rsidR="00DF410E" w:rsidRDefault="00CE7F43">
      <w:pPr>
        <w:jc w:val="both"/>
      </w:pPr>
      <w:r>
        <w:rPr>
          <w:rStyle w:val="soitChar"/>
        </w:rPr>
        <w:t>1.   </w:t>
      </w:r>
      <w:r>
        <w:rPr>
          <w:rStyle w:val="soitChar"/>
          <w:u w:val="single"/>
        </w:rPr>
        <w:t>  Longueur nette :</w:t>
      </w:r>
      <w:r>
        <w:rPr>
          <w:rStyle w:val="soitChar"/>
        </w:rPr>
        <w:t xml:space="preserve"> la longueur nette développée des arcs ayant la même épaisseur et les mêmes caractéristiques est calculée, longueur d’assemblage comprise.</w:t>
      </w:r>
    </w:p>
    <w:p w14:paraId="45CC4042" w14:textId="77777777" w:rsidR="00DF410E" w:rsidRDefault="00CE7F43">
      <w:pPr>
        <w:jc w:val="both"/>
      </w:pPr>
      <w:r>
        <w:rPr>
          <w:b/>
          <w:i/>
        </w:rPr>
        <w:t>(Soit)</w:t>
      </w:r>
    </w:p>
    <w:p w14:paraId="47CA0D1A" w14:textId="77777777" w:rsidR="00DF410E" w:rsidRDefault="00CE7F43">
      <w:pPr>
        <w:jc w:val="both"/>
      </w:pPr>
      <w:r>
        <w:rPr>
          <w:rStyle w:val="soitChar"/>
        </w:rPr>
        <w:t xml:space="preserve">2.     </w:t>
      </w:r>
      <w:r>
        <w:rPr>
          <w:rStyle w:val="soitChar"/>
          <w:u w:val="single"/>
        </w:rPr>
        <w:t>Volume net </w:t>
      </w:r>
      <w:r>
        <w:rPr>
          <w:rStyle w:val="soitChar"/>
        </w:rPr>
        <w:t>: le volume net des arcs ayant les mêmes caractéristiques est calculée.</w:t>
      </w:r>
    </w:p>
    <w:p w14:paraId="2D657237" w14:textId="77777777" w:rsidR="00DF410E" w:rsidRDefault="00CE7F43">
      <w:pPr>
        <w:pStyle w:val="pheading"/>
      </w:pPr>
      <w:r>
        <w:t>- nature du marché:</w:t>
      </w:r>
    </w:p>
    <w:p w14:paraId="27DB84AB" w14:textId="77777777" w:rsidR="00DF410E" w:rsidRDefault="00CE7F43">
      <w:r>
        <w:rPr>
          <w:rStyle w:val="optioncarChar"/>
        </w:rPr>
        <w:t>QF</w:t>
      </w:r>
      <w:r>
        <w:t xml:space="preserve"> (par défaut) </w:t>
      </w:r>
      <w:r>
        <w:rPr>
          <w:rStyle w:val="optioncarChar"/>
        </w:rPr>
        <w:t>/ QP</w:t>
      </w:r>
    </w:p>
    <w:p w14:paraId="2B7D620C" w14:textId="77777777" w:rsidR="00DF410E" w:rsidRDefault="00CE7F43">
      <w:r>
        <w:rPr>
          <w:b/>
          <w:i/>
        </w:rPr>
        <w:t>(Soit par défaut)</w:t>
      </w:r>
    </w:p>
    <w:p w14:paraId="04273C9B" w14:textId="77777777" w:rsidR="00DF410E" w:rsidRDefault="00CE7F43">
      <w:r>
        <w:rPr>
          <w:rStyle w:val="soitChar"/>
        </w:rPr>
        <w:t>1.     QF</w:t>
      </w:r>
    </w:p>
    <w:p w14:paraId="704CBC67" w14:textId="77777777" w:rsidR="00DF410E" w:rsidRDefault="00CE7F43">
      <w:r>
        <w:rPr>
          <w:b/>
          <w:i/>
        </w:rPr>
        <w:t>(Soit)</w:t>
      </w:r>
    </w:p>
    <w:p w14:paraId="4AE4C12A" w14:textId="77777777" w:rsidR="00DF410E" w:rsidRDefault="00CE7F43">
      <w:r>
        <w:rPr>
          <w:rStyle w:val="soitChar"/>
        </w:rPr>
        <w:t>2.     QP</w:t>
      </w:r>
    </w:p>
    <w:p w14:paraId="44D34AF0" w14:textId="77777777" w:rsidR="00DF410E" w:rsidRDefault="00CE7F43">
      <w:pPr>
        <w:pStyle w:val="Author-eSectionHeading6"/>
      </w:pPr>
      <w:bookmarkStart w:id="1647" w:name="_Toc178838736"/>
      <w:r>
        <w:t>24.17.1b Arcs en bois lamellé collé à double courbure CCTB 01.11</w:t>
      </w:r>
      <w:bookmarkEnd w:id="1647"/>
    </w:p>
    <w:p w14:paraId="78EEBB7E" w14:textId="77777777" w:rsidR="00DF410E" w:rsidRDefault="00CE7F43">
      <w:pPr>
        <w:pStyle w:val="pheading"/>
      </w:pPr>
      <w:r>
        <w:t>MATÉRIAUX</w:t>
      </w:r>
    </w:p>
    <w:p w14:paraId="799BB699" w14:textId="77777777" w:rsidR="00DF410E" w:rsidRDefault="00CE7F43">
      <w:pPr>
        <w:pStyle w:val="pheading"/>
      </w:pPr>
      <w:r>
        <w:t>- Caractéristiques générales</w:t>
      </w:r>
    </w:p>
    <w:p w14:paraId="65B90616" w14:textId="77777777" w:rsidR="00DF410E" w:rsidRDefault="00CE7F43">
      <w:pPr>
        <w:jc w:val="both"/>
      </w:pPr>
      <w:r>
        <w:t xml:space="preserve">Classe d’emploi : </w:t>
      </w:r>
      <w:r>
        <w:rPr>
          <w:rStyle w:val="optioncarChar"/>
        </w:rPr>
        <w:t xml:space="preserve">1 </w:t>
      </w:r>
      <w:r>
        <w:t>(par défaut)</w:t>
      </w:r>
      <w:r>
        <w:rPr>
          <w:rStyle w:val="optioncarChar"/>
        </w:rPr>
        <w:t xml:space="preserve"> / 2 / ***</w:t>
      </w:r>
    </w:p>
    <w:p w14:paraId="062B7999" w14:textId="77777777" w:rsidR="00DF410E" w:rsidRDefault="00CE7F43">
      <w:pPr>
        <w:jc w:val="both"/>
      </w:pPr>
      <w:r>
        <w:t>Teneur en humidité cible des arcs lamellé collé :</w:t>
      </w:r>
      <w:r>
        <w:rPr>
          <w:rStyle w:val="optioncarChar"/>
        </w:rPr>
        <w:t xml:space="preserve"> 12 % </w:t>
      </w:r>
      <w:r>
        <w:t xml:space="preserve">(par défaut) </w:t>
      </w:r>
      <w:r>
        <w:rPr>
          <w:rStyle w:val="optioncarChar"/>
        </w:rPr>
        <w:t>/ ***</w:t>
      </w:r>
    </w:p>
    <w:p w14:paraId="4CE4A2DF" w14:textId="77777777" w:rsidR="00DF410E" w:rsidRDefault="00CE7F43">
      <w:pPr>
        <w:jc w:val="both"/>
      </w:pPr>
      <w:r>
        <w:t xml:space="preserve">Essence des bois : </w:t>
      </w:r>
      <w:r>
        <w:rPr>
          <w:rStyle w:val="optioncarChar"/>
        </w:rPr>
        <w:t xml:space="preserve">résineuse </w:t>
      </w:r>
      <w:r>
        <w:t xml:space="preserve">(par défaut) </w:t>
      </w:r>
      <w:r>
        <w:rPr>
          <w:rStyle w:val="optioncarChar"/>
        </w:rPr>
        <w:t>/ épicéa / douglas / peuplier / ***</w:t>
      </w:r>
    </w:p>
    <w:p w14:paraId="7A491901" w14:textId="77777777" w:rsidR="00DF410E" w:rsidRDefault="00CE7F43">
      <w:pPr>
        <w:jc w:val="both"/>
      </w:pPr>
      <w:r>
        <w:t xml:space="preserve">La durabilité des arcs, en fonction de leur classe d’emploi, est assurée par la mesure suivante : </w:t>
      </w:r>
      <w:r>
        <w:rPr>
          <w:rStyle w:val="optioncarChar"/>
        </w:rPr>
        <w:t>aucune mesure n’est nécessaire / bois hors aubier</w:t>
      </w:r>
      <w:r>
        <w:t xml:space="preserve"> (par défaut)</w:t>
      </w:r>
      <w:r>
        <w:rPr>
          <w:rStyle w:val="optioncarChar"/>
        </w:rPr>
        <w:t> / traitement A1 / traitement A2.2 / ***</w:t>
      </w:r>
    </w:p>
    <w:p w14:paraId="61512CF4" w14:textId="77777777" w:rsidR="00DF410E" w:rsidRDefault="00CE7F43">
      <w:pPr>
        <w:jc w:val="both"/>
      </w:pPr>
      <w:r>
        <w:t xml:space="preserve">Classe de résistance des arcs : </w:t>
      </w:r>
      <w:r>
        <w:rPr>
          <w:rStyle w:val="optioncarChar"/>
        </w:rPr>
        <w:t xml:space="preserve">GL24c / GL24h </w:t>
      </w:r>
      <w:r>
        <w:t xml:space="preserve">(par défaut) </w:t>
      </w:r>
      <w:r>
        <w:rPr>
          <w:rStyle w:val="optioncarChar"/>
        </w:rPr>
        <w:t>/ GL28h / ***</w:t>
      </w:r>
    </w:p>
    <w:p w14:paraId="02367492" w14:textId="77777777" w:rsidR="00DF410E" w:rsidRDefault="00CE7F43">
      <w:pPr>
        <w:jc w:val="both"/>
      </w:pPr>
      <w:r>
        <w:t xml:space="preserve">Section des arcs : </w:t>
      </w:r>
      <w:r>
        <w:rPr>
          <w:rStyle w:val="optioncarChar"/>
        </w:rPr>
        <w:t xml:space="preserve">voir plan </w:t>
      </w:r>
      <w:r>
        <w:t>(par défaut)</w:t>
      </w:r>
      <w:r>
        <w:rPr>
          <w:rStyle w:val="optioncarChar"/>
        </w:rPr>
        <w:t xml:space="preserve"> / ***</w:t>
      </w:r>
    </w:p>
    <w:p w14:paraId="7E22B60A" w14:textId="77777777" w:rsidR="00DF410E" w:rsidRDefault="00CE7F43">
      <w:pPr>
        <w:jc w:val="both"/>
      </w:pPr>
      <w:r>
        <w:t xml:space="preserve">Rayon de courbure : </w:t>
      </w:r>
      <w:r>
        <w:rPr>
          <w:rStyle w:val="optioncarChar"/>
        </w:rPr>
        <w:t>voir plan</w:t>
      </w:r>
      <w:r>
        <w:t xml:space="preserve"> (par défaut)</w:t>
      </w:r>
      <w:r>
        <w:rPr>
          <w:rStyle w:val="optioncarChar"/>
        </w:rPr>
        <w:t xml:space="preserve"> / ***</w:t>
      </w:r>
    </w:p>
    <w:p w14:paraId="14AE95E6" w14:textId="77777777" w:rsidR="00DF410E" w:rsidRDefault="00CE7F43">
      <w:pPr>
        <w:jc w:val="both"/>
      </w:pPr>
      <w:r>
        <w:t xml:space="preserve">Exigences d’aspect : </w:t>
      </w:r>
      <w:r>
        <w:rPr>
          <w:rStyle w:val="optioncarChar"/>
        </w:rPr>
        <w:t xml:space="preserve">non-visible </w:t>
      </w:r>
      <w:r>
        <w:t>(par défaut)</w:t>
      </w:r>
      <w:r>
        <w:rPr>
          <w:rStyle w:val="optioncarChar"/>
        </w:rPr>
        <w:t xml:space="preserve"> / visible industriel / visible habitat</w:t>
      </w:r>
      <w:r>
        <w:t xml:space="preserve"> sur </w:t>
      </w:r>
      <w:r>
        <w:rPr>
          <w:rStyle w:val="optioncarChar"/>
        </w:rPr>
        <w:t xml:space="preserve">1 </w:t>
      </w:r>
      <w:r>
        <w:t>(par défaut)</w:t>
      </w:r>
      <w:r>
        <w:rPr>
          <w:rStyle w:val="optioncarChar"/>
        </w:rPr>
        <w:t xml:space="preserve"> / 2</w:t>
      </w:r>
      <w:r>
        <w:t xml:space="preserve"> face(s)</w:t>
      </w:r>
    </w:p>
    <w:p w14:paraId="08B95121" w14:textId="77777777" w:rsidR="00DF410E" w:rsidRDefault="00CE7F43">
      <w:pPr>
        <w:jc w:val="both"/>
      </w:pPr>
      <w:r>
        <w:t>Classe d’émission de formaldéhyde :</w:t>
      </w:r>
      <w:r>
        <w:rPr>
          <w:rStyle w:val="optioncarChar"/>
        </w:rPr>
        <w:t xml:space="preserve"> E1</w:t>
      </w:r>
      <w:r>
        <w:t xml:space="preserve"> (par défaut)</w:t>
      </w:r>
      <w:r>
        <w:rPr>
          <w:rStyle w:val="optioncarChar"/>
        </w:rPr>
        <w:t xml:space="preserve"> / E2</w:t>
      </w:r>
    </w:p>
    <w:p w14:paraId="486A17C9" w14:textId="77777777" w:rsidR="00DF410E" w:rsidRDefault="00CE7F43">
      <w:pPr>
        <w:pStyle w:val="pheading"/>
      </w:pPr>
      <w:r>
        <w:t>EXÉCUTION / MISE EN ŒUVRE</w:t>
      </w:r>
    </w:p>
    <w:p w14:paraId="291F47B9" w14:textId="77777777" w:rsidR="00DF410E" w:rsidRDefault="00CE7F43">
      <w:pPr>
        <w:pStyle w:val="pheading"/>
      </w:pPr>
      <w:r>
        <w:t>- Prescriptions générales</w:t>
      </w:r>
    </w:p>
    <w:p w14:paraId="300F458C" w14:textId="77777777" w:rsidR="00DF410E" w:rsidRDefault="00CE7F43">
      <w:pPr>
        <w:jc w:val="both"/>
      </w:pPr>
      <w:r>
        <w:t>Le soumissionnaire fournit une description du principe constructif de montage qu’il compte mettre en œuvre.</w:t>
      </w:r>
    </w:p>
    <w:p w14:paraId="54EBCE52" w14:textId="77777777" w:rsidR="00DF410E" w:rsidRDefault="00CE7F43">
      <w:pPr>
        <w:pStyle w:val="pheading"/>
      </w:pPr>
      <w:r>
        <w:t>MESURAGE</w:t>
      </w:r>
    </w:p>
    <w:p w14:paraId="7556FE0C" w14:textId="77777777" w:rsidR="00DF410E" w:rsidRDefault="00CE7F43">
      <w:pPr>
        <w:pStyle w:val="pheading"/>
      </w:pPr>
      <w:r>
        <w:t>- unité de mesure:</w:t>
      </w:r>
    </w:p>
    <w:p w14:paraId="255CFF88" w14:textId="77777777" w:rsidR="00DF410E" w:rsidRDefault="00CE7F43">
      <w:r>
        <w:rPr>
          <w:rStyle w:val="optioncarChar"/>
        </w:rPr>
        <w:t xml:space="preserve">m </w:t>
      </w:r>
      <w:r>
        <w:t>(par défaut)</w:t>
      </w:r>
      <w:r>
        <w:rPr>
          <w:rStyle w:val="optioncarChar"/>
        </w:rPr>
        <w:t xml:space="preserve"> / m³</w:t>
      </w:r>
    </w:p>
    <w:p w14:paraId="7BC3D0E8" w14:textId="77777777" w:rsidR="00DF410E" w:rsidRDefault="00CE7F43">
      <w:r>
        <w:rPr>
          <w:b/>
          <w:i/>
        </w:rPr>
        <w:t>(Soit par défaut)</w:t>
      </w:r>
    </w:p>
    <w:p w14:paraId="22323F95" w14:textId="77777777" w:rsidR="00DF410E" w:rsidRDefault="00CE7F43">
      <w:r>
        <w:rPr>
          <w:rStyle w:val="soitChar"/>
        </w:rPr>
        <w:t>1.     m</w:t>
      </w:r>
    </w:p>
    <w:p w14:paraId="7CBDEECC" w14:textId="77777777" w:rsidR="00DF410E" w:rsidRDefault="00CE7F43">
      <w:r>
        <w:rPr>
          <w:b/>
          <w:i/>
        </w:rPr>
        <w:t>(Soit)</w:t>
      </w:r>
    </w:p>
    <w:p w14:paraId="1D7F06BE" w14:textId="77777777" w:rsidR="00DF410E" w:rsidRDefault="00CE7F43">
      <w:r>
        <w:rPr>
          <w:rStyle w:val="soitChar"/>
        </w:rPr>
        <w:t>2.     m³</w:t>
      </w:r>
    </w:p>
    <w:p w14:paraId="2D32599A" w14:textId="77777777" w:rsidR="00DF410E" w:rsidRDefault="00CE7F43">
      <w:pPr>
        <w:pStyle w:val="pheading"/>
      </w:pPr>
      <w:r>
        <w:t>- code de mesurage:</w:t>
      </w:r>
    </w:p>
    <w:p w14:paraId="7FA433B8" w14:textId="77777777" w:rsidR="00DF410E" w:rsidRDefault="00CE7F43">
      <w:pPr>
        <w:jc w:val="both"/>
      </w:pPr>
      <w:r>
        <w:rPr>
          <w:rStyle w:val="optioncarChar"/>
        </w:rPr>
        <w:t>Longueur nette</w:t>
      </w:r>
      <w:r>
        <w:t> (par défaut)</w:t>
      </w:r>
      <w:r>
        <w:rPr>
          <w:rStyle w:val="optioncarChar"/>
        </w:rPr>
        <w:t> / Volume net</w:t>
      </w:r>
    </w:p>
    <w:p w14:paraId="596124AF" w14:textId="77777777" w:rsidR="00DF410E" w:rsidRDefault="00CE7F43">
      <w:pPr>
        <w:jc w:val="both"/>
      </w:pPr>
      <w:r>
        <w:rPr>
          <w:b/>
          <w:i/>
        </w:rPr>
        <w:t>(Soit par défaut)</w:t>
      </w:r>
    </w:p>
    <w:p w14:paraId="7EC93DBD" w14:textId="77777777" w:rsidR="00DF410E" w:rsidRDefault="00CE7F43">
      <w:pPr>
        <w:jc w:val="both"/>
      </w:pPr>
      <w:r>
        <w:rPr>
          <w:rStyle w:val="soitChar"/>
        </w:rPr>
        <w:t xml:space="preserve">1.     </w:t>
      </w:r>
      <w:r>
        <w:rPr>
          <w:rStyle w:val="soitChar"/>
          <w:u w:val="single"/>
        </w:rPr>
        <w:t>Longueur nette </w:t>
      </w:r>
      <w:r>
        <w:rPr>
          <w:rStyle w:val="soitChar"/>
        </w:rPr>
        <w:t>: la longueur nette développée des arcs ayant la même épaisseur et les mêmes caractéristiques est calculée, longueur d’assemblage comprise.</w:t>
      </w:r>
    </w:p>
    <w:p w14:paraId="095278A5" w14:textId="77777777" w:rsidR="00DF410E" w:rsidRDefault="00CE7F43">
      <w:pPr>
        <w:jc w:val="both"/>
      </w:pPr>
      <w:r>
        <w:rPr>
          <w:b/>
          <w:i/>
        </w:rPr>
        <w:t>(Soit)</w:t>
      </w:r>
    </w:p>
    <w:p w14:paraId="3BEB0485" w14:textId="77777777" w:rsidR="00DF410E" w:rsidRDefault="00CE7F43">
      <w:pPr>
        <w:jc w:val="both"/>
      </w:pPr>
      <w:r>
        <w:rPr>
          <w:rStyle w:val="soitChar"/>
        </w:rPr>
        <w:t>2.     </w:t>
      </w:r>
      <w:r>
        <w:rPr>
          <w:rStyle w:val="soitChar"/>
          <w:u w:val="single"/>
        </w:rPr>
        <w:t>Volume net :</w:t>
      </w:r>
      <w:r>
        <w:rPr>
          <w:rStyle w:val="soitChar"/>
        </w:rPr>
        <w:t xml:space="preserve"> le volume net des arcs ayant les mêmes caractéristiques est calculée.</w:t>
      </w:r>
    </w:p>
    <w:p w14:paraId="42192D18" w14:textId="77777777" w:rsidR="00DF410E" w:rsidRDefault="00CE7F43">
      <w:pPr>
        <w:pStyle w:val="pheading"/>
      </w:pPr>
      <w:r>
        <w:t>- nature du marché:</w:t>
      </w:r>
    </w:p>
    <w:p w14:paraId="5AE3D632" w14:textId="77777777" w:rsidR="00DF410E" w:rsidRDefault="00CE7F43">
      <w:r>
        <w:rPr>
          <w:rStyle w:val="optioncarChar"/>
        </w:rPr>
        <w:t xml:space="preserve">QF </w:t>
      </w:r>
      <w:r>
        <w:t xml:space="preserve">(par défaut) </w:t>
      </w:r>
      <w:r>
        <w:rPr>
          <w:rStyle w:val="optioncarChar"/>
        </w:rPr>
        <w:t>/ QP</w:t>
      </w:r>
    </w:p>
    <w:p w14:paraId="719D2C41" w14:textId="77777777" w:rsidR="00DF410E" w:rsidRDefault="00CE7F43">
      <w:r>
        <w:rPr>
          <w:b/>
          <w:i/>
        </w:rPr>
        <w:t>(Soit par défaut)</w:t>
      </w:r>
    </w:p>
    <w:p w14:paraId="35B7AFA0" w14:textId="77777777" w:rsidR="00DF410E" w:rsidRDefault="00CE7F43">
      <w:r>
        <w:rPr>
          <w:rStyle w:val="soitChar"/>
        </w:rPr>
        <w:t>1.     QF</w:t>
      </w:r>
    </w:p>
    <w:p w14:paraId="62D96A42" w14:textId="77777777" w:rsidR="00DF410E" w:rsidRDefault="00CE7F43">
      <w:r>
        <w:rPr>
          <w:b/>
          <w:i/>
        </w:rPr>
        <w:t>(Soit)</w:t>
      </w:r>
    </w:p>
    <w:p w14:paraId="49CE5DB6" w14:textId="77777777" w:rsidR="00DF410E" w:rsidRDefault="00CE7F43">
      <w:r>
        <w:rPr>
          <w:rStyle w:val="soitChar"/>
        </w:rPr>
        <w:t>2.     QP</w:t>
      </w:r>
    </w:p>
    <w:p w14:paraId="0CEDF300" w14:textId="77777777" w:rsidR="00DF410E" w:rsidRDefault="00CE7F43">
      <w:pPr>
        <w:pStyle w:val="Author-eSectionHeading3"/>
      </w:pPr>
      <w:bookmarkStart w:id="1648" w:name="_Toc178838737"/>
      <w:r>
        <w:t>24.2 Systèmes d'éléments en bois CCTB 01.07</w:t>
      </w:r>
      <w:bookmarkEnd w:id="1648"/>
    </w:p>
    <w:p w14:paraId="1F8FFF59" w14:textId="77777777" w:rsidR="00DF410E" w:rsidRDefault="00CE7F43">
      <w:pPr>
        <w:pStyle w:val="Author-eSectionHeading4"/>
      </w:pPr>
      <w:bookmarkStart w:id="1649" w:name="_Toc178838738"/>
      <w:r>
        <w:t>24.21 Murs en bois CCTB 01.09</w:t>
      </w:r>
      <w:bookmarkEnd w:id="1649"/>
    </w:p>
    <w:p w14:paraId="7243C395" w14:textId="77777777" w:rsidR="00DF410E" w:rsidRDefault="00CE7F43">
      <w:pPr>
        <w:pStyle w:val="pheading"/>
      </w:pPr>
      <w:r>
        <w:t>DESCRIPTION</w:t>
      </w:r>
    </w:p>
    <w:p w14:paraId="2CB32B8F" w14:textId="77777777" w:rsidR="00DF410E" w:rsidRDefault="00CE7F43">
      <w:pPr>
        <w:pStyle w:val="pheading"/>
      </w:pPr>
      <w:r>
        <w:t>- Définition / Comprend</w:t>
      </w:r>
    </w:p>
    <w:p w14:paraId="709ACD4F" w14:textId="77777777" w:rsidR="00DF410E" w:rsidRDefault="00CE7F43">
      <w:pPr>
        <w:jc w:val="both"/>
      </w:pPr>
      <w:r>
        <w:t>Il s’agit d’un système structural composé de plusieurs éléments parmi lesquels le bois est porteur. Une des dimensions est largement inférieure aux deux autres. Il s’étend sur un plan vertical et supporte des charges principalement verticales et horizontales parallèles à son plan.</w:t>
      </w:r>
    </w:p>
    <w:p w14:paraId="7DC35106" w14:textId="77777777" w:rsidR="00DF410E" w:rsidRDefault="00CE7F43">
      <w:pPr>
        <w:pStyle w:val="Author-eSectionHeading5"/>
      </w:pPr>
      <w:bookmarkStart w:id="1650" w:name="_Toc178838739"/>
      <w:r>
        <w:t>24.21.1 Murs en bois assemblés sur place CCTB 01.07</w:t>
      </w:r>
      <w:bookmarkEnd w:id="1650"/>
    </w:p>
    <w:p w14:paraId="490840CD" w14:textId="77777777" w:rsidR="00DF410E" w:rsidRDefault="00CE7F43">
      <w:pPr>
        <w:pStyle w:val="Author-eSectionHeading6"/>
      </w:pPr>
      <w:bookmarkStart w:id="1651" w:name="_Toc178838740"/>
      <w:r>
        <w:t>24.21.1a Murs ossatures bois assemblés sur place CCTB 01.07</w:t>
      </w:r>
      <w:bookmarkEnd w:id="1651"/>
    </w:p>
    <w:p w14:paraId="5CAAC86B" w14:textId="77777777" w:rsidR="00DF410E" w:rsidRDefault="00CE7F43">
      <w:pPr>
        <w:pStyle w:val="pheading"/>
      </w:pPr>
      <w:r>
        <w:t>EXÉCUTION / MISE EN ŒUVRE</w:t>
      </w:r>
    </w:p>
    <w:p w14:paraId="1ED7A9CF" w14:textId="77777777" w:rsidR="00DF410E" w:rsidRDefault="00CE7F43">
      <w:pPr>
        <w:pStyle w:val="pheading"/>
      </w:pPr>
      <w:r>
        <w:t>- Notes d’exécution complémentaires</w:t>
      </w:r>
    </w:p>
    <w:p w14:paraId="529A241E" w14:textId="77777777" w:rsidR="00DF410E" w:rsidRDefault="00DF410E"/>
    <w:p w14:paraId="7E687C65" w14:textId="77777777" w:rsidR="00DF410E" w:rsidRDefault="00CE7F43">
      <w:r>
        <w:br/>
      </w:r>
    </w:p>
    <w:p w14:paraId="0979254E" w14:textId="77777777" w:rsidR="00DF410E" w:rsidRDefault="00CE7F43">
      <w:pPr>
        <w:pStyle w:val="Author-eSectionHeading6"/>
      </w:pPr>
      <w:bookmarkStart w:id="1652" w:name="_Toc178838741"/>
      <w:r>
        <w:t>24.21.1b Murs de façade ossatures bois assemblés sur place CCTB 01.07</w:t>
      </w:r>
      <w:bookmarkEnd w:id="1652"/>
    </w:p>
    <w:p w14:paraId="0798E97F" w14:textId="77777777" w:rsidR="00DF410E" w:rsidRDefault="00CE7F43">
      <w:pPr>
        <w:pStyle w:val="pheading"/>
      </w:pPr>
      <w:r>
        <w:t>EXÉCUTION / MISE EN ŒUVRE</w:t>
      </w:r>
    </w:p>
    <w:p w14:paraId="10425D8B" w14:textId="77777777" w:rsidR="00DF410E" w:rsidRDefault="00CE7F43">
      <w:pPr>
        <w:pStyle w:val="pheading"/>
      </w:pPr>
      <w:r>
        <w:t>- Notes d’exécution complémentaires</w:t>
      </w:r>
    </w:p>
    <w:p w14:paraId="5D0B5E02" w14:textId="77777777" w:rsidR="00DF410E" w:rsidRDefault="00DF410E"/>
    <w:p w14:paraId="18225BA1" w14:textId="77777777" w:rsidR="00DF410E" w:rsidRDefault="00CE7F43">
      <w:r>
        <w:br/>
      </w:r>
    </w:p>
    <w:p w14:paraId="7921EE5A" w14:textId="77777777" w:rsidR="00DF410E" w:rsidRDefault="00CE7F43">
      <w:pPr>
        <w:pStyle w:val="Author-eSectionHeading6"/>
      </w:pPr>
      <w:bookmarkStart w:id="1653" w:name="_Toc178838742"/>
      <w:r>
        <w:t>24.21.1c Murs en briques de bois empilées assemblés sur place CCTB 01.11</w:t>
      </w:r>
      <w:bookmarkEnd w:id="1653"/>
    </w:p>
    <w:p w14:paraId="25C1DBBF" w14:textId="77777777" w:rsidR="00DF410E" w:rsidRDefault="00CE7F43">
      <w:pPr>
        <w:pStyle w:val="pheading"/>
      </w:pPr>
      <w:r>
        <w:t>DESCRIPTION</w:t>
      </w:r>
    </w:p>
    <w:p w14:paraId="1917FB57" w14:textId="77777777" w:rsidR="00DF410E" w:rsidRDefault="00CE7F43">
      <w:pPr>
        <w:pStyle w:val="pheading"/>
      </w:pPr>
      <w:r>
        <w:t>- Définition / Comprend</w:t>
      </w:r>
    </w:p>
    <w:p w14:paraId="481200FC" w14:textId="77777777" w:rsidR="00DF410E" w:rsidRDefault="00CE7F43">
      <w:pPr>
        <w:jc w:val="both"/>
      </w:pPr>
      <w:r>
        <w:t>Il s’agit de la fourniture et la pose d’une maçonnerie en briques de bois massif pour réaliser un mur porteur ou non porteur.   </w:t>
      </w:r>
    </w:p>
    <w:p w14:paraId="75BCAF37" w14:textId="77777777" w:rsidR="00DF410E" w:rsidRDefault="00CE7F43">
      <w:pPr>
        <w:jc w:val="both"/>
      </w:pPr>
      <w:r>
        <w:t>Le travail comprend notamment :</w:t>
      </w:r>
    </w:p>
    <w:p w14:paraId="629AD1DB" w14:textId="77777777" w:rsidR="00DF410E" w:rsidRDefault="00CE7F43">
      <w:pPr>
        <w:pStyle w:val="Author-eListParagraph"/>
        <w:numPr>
          <w:ilvl w:val="0"/>
          <w:numId w:val="892"/>
        </w:numPr>
        <w:jc w:val="both"/>
      </w:pPr>
      <w:r>
        <w:t>La fabrication, la livraison et la pose des briques de bois, y compris les engins de levage, tous les supports temporaires et travaux d’étayage.</w:t>
      </w:r>
    </w:p>
    <w:p w14:paraId="6871A894" w14:textId="77777777" w:rsidR="00DF410E" w:rsidRDefault="00CE7F43">
      <w:pPr>
        <w:pStyle w:val="Author-eListParagraph"/>
        <w:numPr>
          <w:ilvl w:val="0"/>
          <w:numId w:val="892"/>
        </w:numPr>
        <w:jc w:val="both"/>
      </w:pPr>
      <w:r>
        <w:t>Les réservations prévues sur les plans.</w:t>
      </w:r>
    </w:p>
    <w:p w14:paraId="6B5D36CA" w14:textId="77777777" w:rsidR="00DF410E" w:rsidRDefault="00CE7F43">
      <w:pPr>
        <w:pStyle w:val="Author-eListParagraph"/>
        <w:numPr>
          <w:ilvl w:val="0"/>
          <w:numId w:val="892"/>
        </w:numPr>
        <w:jc w:val="both"/>
      </w:pPr>
      <w:r>
        <w:t>La finition des bords et travaux de réparation en cas d’endommagement.</w:t>
      </w:r>
    </w:p>
    <w:p w14:paraId="720BDB57" w14:textId="77777777" w:rsidR="00DF410E" w:rsidRDefault="00CE7F43">
      <w:pPr>
        <w:pStyle w:val="Author-eListParagraph"/>
        <w:numPr>
          <w:ilvl w:val="0"/>
          <w:numId w:val="892"/>
        </w:numPr>
        <w:jc w:val="both"/>
      </w:pPr>
      <w:r>
        <w:t>Le remplissage des joints de dilatation éventuels selon les directives du fournisseur.</w:t>
      </w:r>
    </w:p>
    <w:p w14:paraId="4BEA9177" w14:textId="77777777" w:rsidR="00DF410E" w:rsidRDefault="00CE7F43">
      <w:pPr>
        <w:pStyle w:val="Author-eListParagraph"/>
        <w:numPr>
          <w:ilvl w:val="0"/>
          <w:numId w:val="892"/>
        </w:numPr>
        <w:jc w:val="both"/>
      </w:pPr>
      <w:r>
        <w:t>Le contrôle de toutes les dimensions et l’adaptation des briques de bois aux dimensions réelles ;</w:t>
      </w:r>
    </w:p>
    <w:p w14:paraId="00DB5BA0" w14:textId="77777777" w:rsidR="00DF410E" w:rsidRDefault="00CE7F43">
      <w:pPr>
        <w:pStyle w:val="Author-eListParagraph"/>
        <w:numPr>
          <w:ilvl w:val="0"/>
          <w:numId w:val="892"/>
        </w:numPr>
        <w:jc w:val="both"/>
      </w:pPr>
      <w:r>
        <w:t>Tous les moyens de liaisonnement éventuels, aussi bien entre les briques de bois, qu’avec les éléments de support, de bord, … ;</w:t>
      </w:r>
    </w:p>
    <w:p w14:paraId="7A56B0FC" w14:textId="77777777" w:rsidR="00DF410E" w:rsidRDefault="00CE7F43">
      <w:pPr>
        <w:pStyle w:val="Author-eListParagraph"/>
        <w:numPr>
          <w:ilvl w:val="0"/>
          <w:numId w:val="892"/>
        </w:numPr>
        <w:jc w:val="both"/>
      </w:pPr>
      <w:r>
        <w:t>L’enlèvement de tous les accessoires, éléments de coffrage, supports, étais et le nettoyage des faces visibles</w:t>
      </w:r>
    </w:p>
    <w:p w14:paraId="6AD0A5A9" w14:textId="77777777" w:rsidR="00DF410E" w:rsidRDefault="00CE7F43">
      <w:pPr>
        <w:pStyle w:val="Author-eListParagraph"/>
        <w:numPr>
          <w:ilvl w:val="0"/>
          <w:numId w:val="892"/>
        </w:numPr>
        <w:jc w:val="both"/>
      </w:pPr>
      <w:r>
        <w:t>Les ouvrages de protection des briques de bois contre la pluie, l’humidité et la condensation durant le transport et toute la durée du chantier</w:t>
      </w:r>
    </w:p>
    <w:p w14:paraId="61704259" w14:textId="77777777" w:rsidR="00DF410E" w:rsidRDefault="00CE7F43">
      <w:pPr>
        <w:pStyle w:val="pheading"/>
      </w:pPr>
      <w:r>
        <w:t>- Localisation</w:t>
      </w:r>
    </w:p>
    <w:p w14:paraId="2AAE3736" w14:textId="77777777" w:rsidR="00DF410E" w:rsidRDefault="00CE7F43">
      <w:r>
        <w:t xml:space="preserve">Localisation des travaux : </w:t>
      </w:r>
      <w:r>
        <w:rPr>
          <w:rStyle w:val="optioncarChar"/>
        </w:rPr>
        <w:t>***</w:t>
      </w:r>
      <w:r>
        <w:t>.</w:t>
      </w:r>
    </w:p>
    <w:p w14:paraId="7888D526" w14:textId="77777777" w:rsidR="00DF410E" w:rsidRDefault="00CE7F43">
      <w:r>
        <w:t>Voir plans et métrés détaillés.</w:t>
      </w:r>
    </w:p>
    <w:p w14:paraId="34661E66" w14:textId="77777777" w:rsidR="00DF410E" w:rsidRDefault="00CE7F43">
      <w:pPr>
        <w:pStyle w:val="pheading"/>
      </w:pPr>
      <w:r>
        <w:t>MATÉRIAUX</w:t>
      </w:r>
    </w:p>
    <w:p w14:paraId="4CA8F1D1" w14:textId="77777777" w:rsidR="00DF410E" w:rsidRDefault="00CE7F43">
      <w:pPr>
        <w:pStyle w:val="pheading"/>
      </w:pPr>
      <w:r>
        <w:t>- Caractéristiques générales</w:t>
      </w:r>
    </w:p>
    <w:p w14:paraId="0851B2B3" w14:textId="77777777" w:rsidR="00DF410E" w:rsidRDefault="00CE7F43">
      <w:pPr>
        <w:jc w:val="both"/>
      </w:pPr>
      <w:r>
        <w:t xml:space="preserve">Les essences de bois composant les briques de bois  sont définies conformément à la [NBN EN 13556] : </w:t>
      </w:r>
      <w:r>
        <w:rPr>
          <w:rStyle w:val="optioncarChar"/>
        </w:rPr>
        <w:t xml:space="preserve">Épicéa (Picea abies, PCAB) </w:t>
      </w:r>
      <w:r>
        <w:t xml:space="preserve">(par défaut) </w:t>
      </w:r>
      <w:r>
        <w:rPr>
          <w:rStyle w:val="optioncarChar"/>
        </w:rPr>
        <w:t>/ Sapin (Abies alba, ABAL) / Pin sylvestre (Pinus sylvestris, PNSY) / Douglas (Pseudotsuga menziesii, PSMN) / Mélèze (Larix spp) /Peuplier (Populus spp) / Pin maritime (Pinus pinaster, PNPN) / Hêtre / ***</w:t>
      </w:r>
      <w:r>
        <w:t xml:space="preserve"> .</w:t>
      </w:r>
    </w:p>
    <w:p w14:paraId="4141335A" w14:textId="77777777" w:rsidR="00DF410E" w:rsidRDefault="00CE7F43">
      <w:pPr>
        <w:jc w:val="both"/>
      </w:pPr>
      <w:r>
        <w:t xml:space="preserve">Classe de résistance : </w:t>
      </w:r>
      <w:r>
        <w:rPr>
          <w:rStyle w:val="optioncarChar"/>
        </w:rPr>
        <w:t>C18</w:t>
      </w:r>
      <w:r>
        <w:t> (par défaut)</w:t>
      </w:r>
      <w:r>
        <w:rPr>
          <w:rStyle w:val="optioncarChar"/>
        </w:rPr>
        <w:t xml:space="preserve"> / D18 / C24 / D24 / C30 / D30 / ***</w:t>
      </w:r>
    </w:p>
    <w:p w14:paraId="7D5BD19E" w14:textId="77777777" w:rsidR="00DF410E" w:rsidRDefault="00CE7F43">
      <w:pPr>
        <w:jc w:val="both"/>
      </w:pPr>
      <w:r>
        <w:t xml:space="preserve">Les briques sont composées de </w:t>
      </w:r>
      <w:r>
        <w:rPr>
          <w:rStyle w:val="optioncarChar"/>
        </w:rPr>
        <w:t>lames contre collées formant une brique pleine / lames contrecollées formant des briques creuses / ***</w:t>
      </w:r>
    </w:p>
    <w:p w14:paraId="46859701" w14:textId="77777777" w:rsidR="00DF410E" w:rsidRDefault="00CE7F43">
      <w:pPr>
        <w:jc w:val="both"/>
      </w:pPr>
      <w:r>
        <w:t xml:space="preserve">Au moins </w:t>
      </w:r>
      <w:r>
        <w:rPr>
          <w:rStyle w:val="optioncarChar"/>
        </w:rPr>
        <w:t xml:space="preserve">40 </w:t>
      </w:r>
      <w:r>
        <w:t>(par défaut)</w:t>
      </w:r>
      <w:r>
        <w:rPr>
          <w:rStyle w:val="optioncarChar"/>
        </w:rPr>
        <w:t xml:space="preserve"> / ***</w:t>
      </w:r>
      <w:r>
        <w:t xml:space="preserve"> % des fibres sont verticales</w:t>
      </w:r>
    </w:p>
    <w:p w14:paraId="0DFEDDE7" w14:textId="77777777" w:rsidR="00DF410E" w:rsidRDefault="00CE7F43">
      <w:pPr>
        <w:jc w:val="both"/>
      </w:pPr>
      <w:r>
        <w:rPr>
          <w:b/>
        </w:rPr>
        <w:t>Dimensions</w:t>
      </w:r>
    </w:p>
    <w:p w14:paraId="0593A6E9" w14:textId="77777777" w:rsidR="00DF410E" w:rsidRDefault="00CE7F43">
      <w:pPr>
        <w:jc w:val="both"/>
      </w:pPr>
      <w:r>
        <w:t xml:space="preserve">Epaisseur mur porteur : </w:t>
      </w:r>
      <w:r>
        <w:rPr>
          <w:rStyle w:val="optioncarChar"/>
        </w:rPr>
        <w:t>180 </w:t>
      </w:r>
      <w:r>
        <w:t>(par défaut)</w:t>
      </w:r>
      <w:r>
        <w:rPr>
          <w:rStyle w:val="optioncarChar"/>
        </w:rPr>
        <w:t xml:space="preserve"> / 230 / ***</w:t>
      </w:r>
      <w:r>
        <w:t xml:space="preserve"> mm</w:t>
      </w:r>
    </w:p>
    <w:p w14:paraId="0C76F0C5" w14:textId="77777777" w:rsidR="00DF410E" w:rsidRDefault="00CE7F43">
      <w:pPr>
        <w:jc w:val="both"/>
      </w:pPr>
      <w:r>
        <w:t xml:space="preserve">Epaisseur mur non porteur : </w:t>
      </w:r>
      <w:r>
        <w:rPr>
          <w:rStyle w:val="optioncarChar"/>
        </w:rPr>
        <w:t xml:space="preserve">60 </w:t>
      </w:r>
      <w:r>
        <w:t>(par défaut) </w:t>
      </w:r>
      <w:r>
        <w:rPr>
          <w:rStyle w:val="optioncarChar"/>
        </w:rPr>
        <w:t>/ 90 / 140 / ***</w:t>
      </w:r>
      <w:r>
        <w:t xml:space="preserve"> mm</w:t>
      </w:r>
    </w:p>
    <w:p w14:paraId="49FF6AEA" w14:textId="77777777" w:rsidR="00DF410E" w:rsidRDefault="00CE7F43">
      <w:pPr>
        <w:jc w:val="both"/>
      </w:pPr>
      <w:r>
        <w:t xml:space="preserve">Longueur : </w:t>
      </w:r>
      <w:r>
        <w:rPr>
          <w:rStyle w:val="optioncarChar"/>
        </w:rPr>
        <w:t>300 </w:t>
      </w:r>
      <w:r>
        <w:t xml:space="preserve">(par défaut) </w:t>
      </w:r>
      <w:r>
        <w:rPr>
          <w:rStyle w:val="optioncarChar"/>
        </w:rPr>
        <w:t>/  450 / 600 / 800 / 1200 / ***</w:t>
      </w:r>
      <w:r>
        <w:t xml:space="preserve"> mm</w:t>
      </w:r>
    </w:p>
    <w:p w14:paraId="66B5796F" w14:textId="77777777" w:rsidR="00DF410E" w:rsidRDefault="00CE7F43">
      <w:pPr>
        <w:jc w:val="both"/>
      </w:pPr>
      <w:r>
        <w:t xml:space="preserve">Hauteur : </w:t>
      </w:r>
      <w:r>
        <w:rPr>
          <w:rStyle w:val="optioncarChar"/>
        </w:rPr>
        <w:t>85 </w:t>
      </w:r>
      <w:r>
        <w:t>(par défaut)</w:t>
      </w:r>
      <w:r>
        <w:rPr>
          <w:rStyle w:val="optioncarChar"/>
        </w:rPr>
        <w:t xml:space="preserve"> / 190 / 200 / ***</w:t>
      </w:r>
      <w:r>
        <w:t xml:space="preserve"> mm</w:t>
      </w:r>
    </w:p>
    <w:p w14:paraId="5B007CC7" w14:textId="77777777" w:rsidR="00DF410E" w:rsidRDefault="00CE7F43">
      <w:pPr>
        <w:jc w:val="both"/>
      </w:pPr>
      <w:r>
        <w:t> </w:t>
      </w:r>
    </w:p>
    <w:p w14:paraId="3CBFB5E2" w14:textId="77777777" w:rsidR="00DF410E" w:rsidRDefault="00CE7F43">
      <w:pPr>
        <w:jc w:val="both"/>
      </w:pPr>
      <w:r>
        <w:t xml:space="preserve">Classe d’utilisation : </w:t>
      </w:r>
      <w:r>
        <w:rPr>
          <w:rStyle w:val="optioncarChar"/>
        </w:rPr>
        <w:t>Classe 1 </w:t>
      </w:r>
      <w:r>
        <w:t xml:space="preserve">(par défaut) </w:t>
      </w:r>
      <w:r>
        <w:rPr>
          <w:rStyle w:val="optioncarChar"/>
        </w:rPr>
        <w:t>/ Classe 2 / Classe 3</w:t>
      </w:r>
    </w:p>
    <w:p w14:paraId="21B185E8" w14:textId="77777777" w:rsidR="00DF410E" w:rsidRDefault="00CE7F43">
      <w:pPr>
        <w:jc w:val="both"/>
      </w:pPr>
      <w:r>
        <w:t xml:space="preserve">La réaction au feu est de classe </w:t>
      </w:r>
      <w:r>
        <w:rPr>
          <w:rStyle w:val="optioncarChar"/>
        </w:rPr>
        <w:t xml:space="preserve">D-s2, d0 </w:t>
      </w:r>
      <w:r>
        <w:t>(par défaut)</w:t>
      </w:r>
      <w:r>
        <w:rPr>
          <w:rStyle w:val="optioncarChar"/>
        </w:rPr>
        <w:t xml:space="preserve"> / ***</w:t>
      </w:r>
    </w:p>
    <w:p w14:paraId="326AD0DA" w14:textId="77777777" w:rsidR="00DF410E" w:rsidRDefault="00CE7F43">
      <w:pPr>
        <w:jc w:val="both"/>
      </w:pPr>
      <w:r>
        <w:t xml:space="preserve">La résistance au feu déclarée de la paroi: </w:t>
      </w:r>
      <w:r>
        <w:rPr>
          <w:rStyle w:val="optioncarChar"/>
        </w:rPr>
        <w:t xml:space="preserve">pas d’exigences </w:t>
      </w:r>
      <w:r>
        <w:t>(par défaut)</w:t>
      </w:r>
      <w:r>
        <w:rPr>
          <w:rStyle w:val="optioncarChar"/>
        </w:rPr>
        <w:t xml:space="preserve"> / REI 30 / EI30 / REI 60 / EI 60 / ***.</w:t>
      </w:r>
    </w:p>
    <w:p w14:paraId="46DAFE2E" w14:textId="77777777" w:rsidR="00DF410E" w:rsidRDefault="00CE7F43">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5A561362" w14:textId="77777777" w:rsidR="00DF410E" w:rsidRDefault="00CE7F43">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33328D4A" w14:textId="77777777" w:rsidR="00DF410E" w:rsidRDefault="00CE7F43">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p>
    <w:p w14:paraId="35631EEF" w14:textId="77777777" w:rsidR="00DF410E" w:rsidRDefault="00CE7F43">
      <w:pPr>
        <w:jc w:val="both"/>
      </w:pPr>
      <w:r>
        <w:t xml:space="preserve">La durabilité des éléments en fonction de leur classe d’emploi, est assurée par la mesure suivante : </w:t>
      </w:r>
      <w:r>
        <w:rPr>
          <w:rStyle w:val="optioncarChar"/>
        </w:rPr>
        <w:t xml:space="preserve">traitement A1 </w:t>
      </w:r>
      <w:r>
        <w:t xml:space="preserve">(par défaut) </w:t>
      </w:r>
      <w:r>
        <w:rPr>
          <w:rStyle w:val="optioncarChar"/>
        </w:rPr>
        <w:t>/ traitement A2.2 / bois modifié thermiquement / bois hors aubier / ***.</w:t>
      </w:r>
    </w:p>
    <w:p w14:paraId="36A68281" w14:textId="77777777" w:rsidR="00DF410E" w:rsidRDefault="00CE7F43">
      <w:pPr>
        <w:jc w:val="both"/>
      </w:pPr>
      <w:r>
        <w:t> </w:t>
      </w:r>
    </w:p>
    <w:p w14:paraId="2CE953E0" w14:textId="77777777" w:rsidR="00DF410E" w:rsidRDefault="00CE7F43">
      <w:pPr>
        <w:jc w:val="both"/>
      </w:pPr>
      <w:r>
        <w:t xml:space="preserve">Le collage des lames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0E437705" w14:textId="77777777" w:rsidR="00DF410E" w:rsidRDefault="00CE7F43">
      <w:pPr>
        <w:ind w:left="567"/>
        <w:jc w:val="both"/>
      </w:pPr>
      <w:r>
        <w:rPr>
          <w:b/>
          <w:i/>
        </w:rPr>
        <w:t>(Soit par défaut)</w:t>
      </w:r>
    </w:p>
    <w:p w14:paraId="4D39A899" w14:textId="77777777" w:rsidR="00DF410E" w:rsidRDefault="00CE7F43">
      <w:pPr>
        <w:ind w:left="567"/>
        <w:jc w:val="both"/>
      </w:pPr>
      <w:r>
        <w:rPr>
          <w:rStyle w:val="soitChar"/>
          <w:u w:val="single"/>
        </w:rPr>
        <w:t>Les spécifications du fabricant</w:t>
      </w:r>
    </w:p>
    <w:p w14:paraId="3805CEBF" w14:textId="77777777" w:rsidR="00DF410E" w:rsidRDefault="00CE7F43">
      <w:pPr>
        <w:ind w:left="567"/>
        <w:jc w:val="both"/>
      </w:pPr>
      <w:r>
        <w:rPr>
          <w:b/>
          <w:i/>
        </w:rPr>
        <w:t>(Soit)</w:t>
      </w:r>
    </w:p>
    <w:p w14:paraId="51D95512" w14:textId="77777777" w:rsidR="00DF410E" w:rsidRDefault="00CE7F43">
      <w:pPr>
        <w:ind w:left="567"/>
        <w:jc w:val="both"/>
      </w:pPr>
      <w:r>
        <w:rPr>
          <w:rStyle w:val="soitChar"/>
          <w:u w:val="single"/>
        </w:rPr>
        <w:t>PUR</w:t>
      </w:r>
      <w:r>
        <w:rPr>
          <w:rStyle w:val="soitChar"/>
        </w:rPr>
        <w:t> :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19A16BA8" w14:textId="77777777" w:rsidR="00DF410E" w:rsidRDefault="00CE7F43">
      <w:pPr>
        <w:ind w:left="567"/>
        <w:jc w:val="both"/>
      </w:pPr>
      <w:r>
        <w:rPr>
          <w:b/>
          <w:i/>
        </w:rPr>
        <w:t>(Soit)</w:t>
      </w:r>
    </w:p>
    <w:p w14:paraId="60ABD6E2" w14:textId="77777777" w:rsidR="00DF410E" w:rsidRDefault="00CE7F43">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w:t>
      </w:r>
    </w:p>
    <w:p w14:paraId="3B5F878D" w14:textId="77777777" w:rsidR="00DF410E" w:rsidRDefault="00CE7F43">
      <w:pPr>
        <w:ind w:left="567"/>
        <w:jc w:val="both"/>
      </w:pPr>
      <w:r>
        <w:rPr>
          <w:b/>
          <w:i/>
        </w:rPr>
        <w:t>(Soit)</w:t>
      </w:r>
    </w:p>
    <w:p w14:paraId="5ADFF1D4" w14:textId="77777777" w:rsidR="00DF410E" w:rsidRDefault="00CE7F43">
      <w:pPr>
        <w:ind w:left="567"/>
        <w:jc w:val="both"/>
      </w:pPr>
      <w:r>
        <w:rPr>
          <w:rStyle w:val="soitChar"/>
          <w:u w:val="single"/>
        </w:rPr>
        <w:t>EPI </w:t>
      </w:r>
      <w:r>
        <w:rPr>
          <w:rStyle w:val="soitChar"/>
        </w:rPr>
        <w:t>: Les adhésifs à base d’isocyanate et de polymère en émulsion satisfont aux exigences de la [NBN EN 15425].</w:t>
      </w:r>
    </w:p>
    <w:p w14:paraId="5C4D4867" w14:textId="77777777" w:rsidR="00DF410E" w:rsidRDefault="00CE7F43">
      <w:pPr>
        <w:pStyle w:val="pheading"/>
      </w:pPr>
      <w:r>
        <w:t>- Finitions</w:t>
      </w:r>
    </w:p>
    <w:p w14:paraId="1BDF70F6" w14:textId="77777777" w:rsidR="00DF410E" w:rsidRDefault="00CE7F43">
      <w:pPr>
        <w:jc w:val="both"/>
      </w:pPr>
      <w:r>
        <w:t xml:space="preserve">Exigences d’aspect : </w:t>
      </w:r>
      <w:r>
        <w:rPr>
          <w:rStyle w:val="optioncarChar"/>
        </w:rPr>
        <w:t>non-visible / visible industriel / visible habitat</w:t>
      </w:r>
      <w:r>
        <w:t xml:space="preserve"> sur </w:t>
      </w:r>
      <w:r>
        <w:rPr>
          <w:rStyle w:val="optioncarChar"/>
        </w:rPr>
        <w:t xml:space="preserve">1 </w:t>
      </w:r>
      <w:r>
        <w:t xml:space="preserve">(par défaut) </w:t>
      </w:r>
      <w:r>
        <w:rPr>
          <w:rStyle w:val="optioncarChar"/>
        </w:rPr>
        <w:t>/ 2 face(s) / ***.</w:t>
      </w:r>
    </w:p>
    <w:p w14:paraId="65FD432A" w14:textId="77777777" w:rsidR="00DF410E" w:rsidRDefault="00CE7F43">
      <w:pPr>
        <w:jc w:val="both"/>
      </w:pPr>
      <w:r>
        <w:t xml:space="preserve">Les blocs </w:t>
      </w:r>
      <w:r>
        <w:rPr>
          <w:rStyle w:val="optioncarChar"/>
        </w:rPr>
        <w:t>sont / ne sont pas</w:t>
      </w:r>
      <w:r>
        <w:t xml:space="preserve"> (par défaut) munis de gaines (rainures) techniques et blochets intégrés non traversantes.</w:t>
      </w:r>
    </w:p>
    <w:p w14:paraId="40068C22" w14:textId="77777777" w:rsidR="00DF410E" w:rsidRDefault="00CE7F43">
      <w:pPr>
        <w:pStyle w:val="pheading"/>
      </w:pPr>
      <w:r>
        <w:t>- Prescriptions complémentaires</w:t>
      </w:r>
    </w:p>
    <w:p w14:paraId="563AC114" w14:textId="77777777" w:rsidR="00DF410E" w:rsidRDefault="00CE7F43">
      <w:r>
        <w:rPr>
          <w:rStyle w:val="facultChar"/>
        </w:rPr>
        <w:t>Capacité thermique</w:t>
      </w:r>
      <w:r>
        <w:t xml:space="preserve"> : </w:t>
      </w:r>
      <w:r>
        <w:rPr>
          <w:rStyle w:val="optioncarChar"/>
        </w:rPr>
        <w:t xml:space="preserve">&gt; 2 </w:t>
      </w:r>
      <w:r>
        <w:t xml:space="preserve">(par défaut) </w:t>
      </w:r>
      <w:r>
        <w:rPr>
          <w:rStyle w:val="optioncarChar"/>
        </w:rPr>
        <w:t>/ ***</w:t>
      </w:r>
      <w:r>
        <w:t xml:space="preserve">  </w:t>
      </w:r>
      <w:r>
        <w:rPr>
          <w:rStyle w:val="facultChar"/>
        </w:rPr>
        <w:t>kJ/kg.K</w:t>
      </w:r>
    </w:p>
    <w:p w14:paraId="270DF61B" w14:textId="77777777" w:rsidR="00DF410E" w:rsidRDefault="00CE7F43">
      <w:pPr>
        <w:pStyle w:val="pheading"/>
      </w:pPr>
      <w:r>
        <w:t>EXÉCUTION / MISE EN ŒUVRE</w:t>
      </w:r>
    </w:p>
    <w:p w14:paraId="5DA73B7B" w14:textId="77777777" w:rsidR="00DF410E" w:rsidRDefault="00CE7F43">
      <w:pPr>
        <w:pStyle w:val="pheading"/>
      </w:pPr>
      <w:r>
        <w:t>- Prescriptions générales</w:t>
      </w:r>
    </w:p>
    <w:p w14:paraId="73A1B712" w14:textId="77777777" w:rsidR="00DF410E" w:rsidRDefault="00CE7F43">
      <w:pPr>
        <w:jc w:val="both"/>
      </w:pPr>
      <w:r>
        <w:t xml:space="preserve">Les briques sont assemblées par </w:t>
      </w:r>
      <w:r>
        <w:rPr>
          <w:rStyle w:val="optioncarChar"/>
        </w:rPr>
        <w:t>vis traversante verticale</w:t>
      </w:r>
      <w:r>
        <w:t xml:space="preserve"> (par défaut) </w:t>
      </w:r>
      <w:r>
        <w:rPr>
          <w:rStyle w:val="optioncarChar"/>
        </w:rPr>
        <w:t>/ clippage</w:t>
      </w:r>
      <w:r>
        <w:t>.</w:t>
      </w:r>
    </w:p>
    <w:p w14:paraId="1DF92221" w14:textId="77777777" w:rsidR="00DF410E" w:rsidRDefault="00CE7F43">
      <w:pPr>
        <w:jc w:val="both"/>
      </w:pPr>
      <w:r>
        <w:t xml:space="preserve">Les éléments exposés au climat extérieur comportent des dispositifs géométriques qui assurent une étanchéité à l’eau de </w:t>
      </w:r>
      <w:r>
        <w:rPr>
          <w:rStyle w:val="optioncarChar"/>
        </w:rPr>
        <w:t>450 </w:t>
      </w:r>
      <w:r>
        <w:t>(par défaut)</w:t>
      </w:r>
      <w:r>
        <w:rPr>
          <w:rStyle w:val="optioncarChar"/>
        </w:rPr>
        <w:t xml:space="preserve"> / 600 /1200</w:t>
      </w:r>
      <w:r>
        <w:t xml:space="preserve"> Pa suivant [NBN EN 12865].</w:t>
      </w:r>
    </w:p>
    <w:p w14:paraId="799F17BD" w14:textId="77777777" w:rsidR="00DF410E" w:rsidRDefault="00CE7F43">
      <w:pPr>
        <w:jc w:val="both"/>
      </w:pPr>
      <w:r>
        <w:t xml:space="preserve">L’étanchéité à l’air est assurée par </w:t>
      </w:r>
      <w:r>
        <w:rPr>
          <w:rStyle w:val="optioncarChar"/>
        </w:rPr>
        <w:t xml:space="preserve">membrane continue </w:t>
      </w:r>
      <w:r>
        <w:t>(par défaut) </w:t>
      </w:r>
      <w:r>
        <w:rPr>
          <w:rStyle w:val="optioncarChar"/>
        </w:rPr>
        <w:t>/ mastic de resserrage entre les blocs / ***.</w:t>
      </w:r>
    </w:p>
    <w:p w14:paraId="675EA000" w14:textId="77777777" w:rsidR="00DF410E" w:rsidRDefault="00CE7F43">
      <w:pPr>
        <w:jc w:val="both"/>
      </w:pPr>
      <w:r>
        <w:rPr>
          <w:b/>
          <w:i/>
        </w:rPr>
        <w:t>Fixation en pied de mur</w:t>
      </w:r>
    </w:p>
    <w:p w14:paraId="342D0108" w14:textId="77777777" w:rsidR="00DF410E" w:rsidRDefault="00CE7F43">
      <w:pPr>
        <w:jc w:val="both"/>
      </w:pPr>
      <w:r>
        <w:t xml:space="preserve">Les blocs sont fixés </w:t>
      </w:r>
      <w:r>
        <w:rPr>
          <w:rStyle w:val="optioncarChar"/>
        </w:rPr>
        <w:t xml:space="preserve">par l’intermédiaire d’une lisse basse </w:t>
      </w:r>
      <w:r>
        <w:t>(par défaut)</w:t>
      </w:r>
      <w:r>
        <w:rPr>
          <w:rStyle w:val="optioncarChar"/>
        </w:rPr>
        <w:t xml:space="preserve"> / par dispositifs d’ancrage continu spécifiques / ***.</w:t>
      </w:r>
    </w:p>
    <w:p w14:paraId="3D8D725D" w14:textId="77777777" w:rsidR="00DF410E" w:rsidRDefault="00CE7F43">
      <w:pPr>
        <w:ind w:left="567"/>
        <w:jc w:val="both"/>
      </w:pPr>
      <w:r>
        <w:rPr>
          <w:b/>
          <w:i/>
        </w:rPr>
        <w:t>(Soit par défaut)</w:t>
      </w:r>
    </w:p>
    <w:p w14:paraId="7669272F" w14:textId="77777777" w:rsidR="00DF410E" w:rsidRDefault="00CE7F43">
      <w:pPr>
        <w:ind w:left="567"/>
        <w:jc w:val="both"/>
      </w:pPr>
      <w:r>
        <w:rPr>
          <w:rStyle w:val="soitChar"/>
          <w:u w:val="single"/>
        </w:rPr>
        <w:t>La lisse basse</w:t>
      </w:r>
      <w:r>
        <w:rPr>
          <w:rStyle w:val="soitChar"/>
        </w:rPr>
        <w:t xml:space="preserve"> est fixée par </w:t>
      </w:r>
      <w:r>
        <w:rPr>
          <w:rStyle w:val="optioncarChar"/>
        </w:rPr>
        <w:t>cheville métallique (par défaut) / vis spécifique béton / tiges filetées et ancrages chimiques / équerres de fixation / ***</w:t>
      </w:r>
      <w:r>
        <w:rPr>
          <w:rStyle w:val="soitChar"/>
        </w:rPr>
        <w:t xml:space="preserve">. La lisse basse ou lisse de pose est décrite dans l’article </w:t>
      </w:r>
      <w:hyperlink w:anchor="590" w:history="1">
        <w:r>
          <w:rPr>
            <w:rStyle w:val="soitChar"/>
          </w:rPr>
          <w:t>24.11.1a Lisses de pose en bois massif</w:t>
        </w:r>
      </w:hyperlink>
      <w:r>
        <w:rPr>
          <w:rStyle w:val="soitChar"/>
        </w:rPr>
        <w:t>.</w:t>
      </w:r>
    </w:p>
    <w:p w14:paraId="3B112844" w14:textId="77777777" w:rsidR="00DF410E" w:rsidRDefault="00CE7F43">
      <w:pPr>
        <w:ind w:left="567"/>
        <w:jc w:val="both"/>
      </w:pPr>
      <w:r>
        <w:rPr>
          <w:b/>
          <w:i/>
        </w:rPr>
        <w:t>(Soit)</w:t>
      </w:r>
    </w:p>
    <w:p w14:paraId="1C428BA7" w14:textId="77777777" w:rsidR="00DF410E" w:rsidRDefault="00CE7F43">
      <w:pPr>
        <w:ind w:left="567"/>
        <w:jc w:val="both"/>
      </w:pPr>
      <w:r>
        <w:rPr>
          <w:rStyle w:val="soitChar"/>
          <w:u w:val="single"/>
        </w:rPr>
        <w:t>Dispositifs d’ancrage continus</w:t>
      </w:r>
      <w:r>
        <w:rPr>
          <w:rStyle w:val="soitChar"/>
        </w:rPr>
        <w:t> : Les systèmes sont présentés à l’auteur de projet avant réalisation.</w:t>
      </w:r>
    </w:p>
    <w:p w14:paraId="3FF43C11" w14:textId="77777777" w:rsidR="00DF410E" w:rsidRDefault="00CE7F43">
      <w:pPr>
        <w:ind w:left="567"/>
        <w:jc w:val="both"/>
      </w:pPr>
      <w:r>
        <w:rPr>
          <w:b/>
          <w:i/>
        </w:rPr>
        <w:t>(Soit)</w:t>
      </w:r>
    </w:p>
    <w:p w14:paraId="17B12D13" w14:textId="77777777" w:rsidR="00DF410E" w:rsidRDefault="00CE7F43">
      <w:pPr>
        <w:ind w:left="567"/>
        <w:jc w:val="both"/>
      </w:pPr>
      <w:r>
        <w:rPr>
          <w:rStyle w:val="optioncarChar"/>
        </w:rPr>
        <w:t>***</w:t>
      </w:r>
    </w:p>
    <w:p w14:paraId="031ADDAA" w14:textId="77777777" w:rsidR="00DF410E" w:rsidRDefault="00CE7F43">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p>
    <w:p w14:paraId="38B6793B" w14:textId="77777777" w:rsidR="00DF410E" w:rsidRDefault="00CE7F43">
      <w:pPr>
        <w:jc w:val="both"/>
      </w:pPr>
      <w:r>
        <w:rPr>
          <w:b/>
          <w:i/>
        </w:rPr>
        <w:t>Pose des rangs superposés</w:t>
      </w:r>
    </w:p>
    <w:p w14:paraId="4B55A84C" w14:textId="77777777" w:rsidR="00DF410E" w:rsidRDefault="00CE7F43">
      <w:pPr>
        <w:jc w:val="both"/>
      </w:pPr>
      <w:r>
        <w:t xml:space="preserve">Les rangs superposés sont assemblés en joints décalés de </w:t>
      </w:r>
      <w:r>
        <w:rPr>
          <w:rStyle w:val="optioncarChar"/>
        </w:rPr>
        <w:t xml:space="preserve">moitié </w:t>
      </w:r>
      <w:r>
        <w:t>(par défaut)</w:t>
      </w:r>
      <w:r>
        <w:rPr>
          <w:rStyle w:val="optioncarChar"/>
        </w:rPr>
        <w:t xml:space="preserve">  / ***</w:t>
      </w:r>
      <w:r>
        <w:t xml:space="preserve"> et assemblés par vissage.</w:t>
      </w:r>
    </w:p>
    <w:p w14:paraId="3026509D" w14:textId="77777777" w:rsidR="00DF410E" w:rsidRDefault="00CE7F43">
      <w:pPr>
        <w:jc w:val="both"/>
      </w:pPr>
      <w:r>
        <w:rPr>
          <w:b/>
          <w:i/>
        </w:rPr>
        <w:t>Chaînages</w:t>
      </w:r>
    </w:p>
    <w:p w14:paraId="48EF6B2E" w14:textId="77777777" w:rsidR="00DF410E" w:rsidRDefault="00CE7F43">
      <w:pPr>
        <w:jc w:val="both"/>
      </w:pPr>
      <w:r>
        <w:t>Les briques de bois d’angle sont disposées alternativement dans un sens et dans l’autre pour permettre des chaînages verticaux.</w:t>
      </w:r>
    </w:p>
    <w:p w14:paraId="23EF9CE1" w14:textId="77777777" w:rsidR="00DF410E" w:rsidRDefault="00CE7F43">
      <w:pPr>
        <w:jc w:val="both"/>
      </w:pPr>
      <w:r>
        <w:t>Au niveau des planchers et des toitures, les chaînages horizontaux sont réalisés sur le pourtour avec des madriers assemblés par vissage. Les planchers sont mis en œuvre par encastrement des solives dans le mur porteur ou par connecteur type sabots métalliques.</w:t>
      </w:r>
    </w:p>
    <w:p w14:paraId="3A621D0F" w14:textId="77777777" w:rsidR="00DF410E" w:rsidRDefault="00CE7F43">
      <w:pPr>
        <w:pStyle w:val="pheading"/>
      </w:pPr>
      <w:r>
        <w:t>MESURAGE</w:t>
      </w:r>
    </w:p>
    <w:p w14:paraId="6101A090" w14:textId="77777777" w:rsidR="00DF410E" w:rsidRDefault="00CE7F43">
      <w:pPr>
        <w:pStyle w:val="pheading"/>
      </w:pPr>
      <w:r>
        <w:t>- unité de mesure:</w:t>
      </w:r>
    </w:p>
    <w:p w14:paraId="1679A588" w14:textId="77777777" w:rsidR="00DF410E" w:rsidRDefault="00CE7F43">
      <w:r>
        <w:rPr>
          <w:rStyle w:val="optioncarChar"/>
        </w:rPr>
        <w:t xml:space="preserve">m² </w:t>
      </w:r>
      <w:r>
        <w:t xml:space="preserve">(par défaut) </w:t>
      </w:r>
      <w:r>
        <w:rPr>
          <w:rStyle w:val="optioncarChar"/>
        </w:rPr>
        <w:t>/ m³</w:t>
      </w:r>
    </w:p>
    <w:p w14:paraId="53D0177D" w14:textId="77777777" w:rsidR="00DF410E" w:rsidRDefault="00CE7F43">
      <w:r>
        <w:rPr>
          <w:b/>
          <w:i/>
        </w:rPr>
        <w:t>(Soit par défaut)</w:t>
      </w:r>
    </w:p>
    <w:p w14:paraId="71220261" w14:textId="77777777" w:rsidR="00DF410E" w:rsidRDefault="00CE7F43">
      <w:r>
        <w:rPr>
          <w:rStyle w:val="soitChar"/>
        </w:rPr>
        <w:t>1.      m²</w:t>
      </w:r>
    </w:p>
    <w:p w14:paraId="40C239A0" w14:textId="77777777" w:rsidR="00DF410E" w:rsidRDefault="00CE7F43">
      <w:r>
        <w:rPr>
          <w:b/>
          <w:i/>
        </w:rPr>
        <w:t>(Soit)</w:t>
      </w:r>
    </w:p>
    <w:p w14:paraId="762988A9" w14:textId="77777777" w:rsidR="00DF410E" w:rsidRDefault="00CE7F43">
      <w:r>
        <w:rPr>
          <w:rStyle w:val="soitChar"/>
        </w:rPr>
        <w:t>2.     m³</w:t>
      </w:r>
    </w:p>
    <w:p w14:paraId="326CBDEC" w14:textId="77777777" w:rsidR="00DF410E" w:rsidRDefault="00CE7F43">
      <w:pPr>
        <w:pStyle w:val="pheading"/>
      </w:pPr>
      <w:r>
        <w:t>- code de mesurage:</w:t>
      </w:r>
    </w:p>
    <w:p w14:paraId="10BECA66" w14:textId="77777777" w:rsidR="00DF410E" w:rsidRDefault="00CE7F43">
      <w:pPr>
        <w:jc w:val="both"/>
      </w:pPr>
      <w:r>
        <w:rPr>
          <w:rStyle w:val="optioncarChar"/>
        </w:rPr>
        <w:t>Surface nette</w:t>
      </w:r>
      <w:r>
        <w:t xml:space="preserve"> (par défaut) </w:t>
      </w:r>
      <w:r>
        <w:rPr>
          <w:rStyle w:val="optioncarChar"/>
        </w:rPr>
        <w:t>/ Volume net</w:t>
      </w:r>
    </w:p>
    <w:p w14:paraId="02675F5C" w14:textId="77777777" w:rsidR="00DF410E" w:rsidRDefault="00CE7F43">
      <w:pPr>
        <w:jc w:val="both"/>
      </w:pPr>
      <w:r>
        <w:rPr>
          <w:b/>
          <w:i/>
        </w:rPr>
        <w:t>(Soit par défaut)</w:t>
      </w:r>
    </w:p>
    <w:p w14:paraId="52C1F7A8" w14:textId="77777777" w:rsidR="00DF410E" w:rsidRDefault="00CE7F43">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7646BA74" w14:textId="77777777" w:rsidR="00DF410E" w:rsidRDefault="00CE7F43">
      <w:pPr>
        <w:jc w:val="both"/>
      </w:pPr>
      <w:r>
        <w:rPr>
          <w:b/>
          <w:i/>
        </w:rPr>
        <w:t>(Soit)</w:t>
      </w:r>
    </w:p>
    <w:p w14:paraId="126BDD7E" w14:textId="77777777" w:rsidR="00DF410E" w:rsidRDefault="00CE7F43">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4F1CED3C" w14:textId="77777777" w:rsidR="00DF410E" w:rsidRDefault="00CE7F43">
      <w:pPr>
        <w:pStyle w:val="pheading"/>
      </w:pPr>
      <w:r>
        <w:t>- nature du marché:</w:t>
      </w:r>
    </w:p>
    <w:p w14:paraId="23C5F50F" w14:textId="77777777" w:rsidR="00DF410E" w:rsidRDefault="00CE7F43">
      <w:r>
        <w:t>QF</w:t>
      </w:r>
    </w:p>
    <w:p w14:paraId="7C570741" w14:textId="77777777" w:rsidR="00DF410E" w:rsidRDefault="00CE7F43">
      <w:pPr>
        <w:pStyle w:val="Author-eSectionHeading6"/>
      </w:pPr>
      <w:bookmarkStart w:id="1654" w:name="_Toc178838743"/>
      <w:r>
        <w:t>24.21.1d Murs en bois empilés assemblés sur place CCTB 01.10</w:t>
      </w:r>
      <w:bookmarkEnd w:id="1654"/>
    </w:p>
    <w:p w14:paraId="31BE3B68" w14:textId="77777777" w:rsidR="00DF410E" w:rsidRDefault="00CE7F43">
      <w:pPr>
        <w:pStyle w:val="Author-eSectionHeading6"/>
      </w:pPr>
      <w:bookmarkStart w:id="1655" w:name="_Toc178838744"/>
      <w:r>
        <w:t>24.21.1e Murs en bois debout assemblés sur place CCTB 01.10</w:t>
      </w:r>
      <w:bookmarkEnd w:id="1655"/>
    </w:p>
    <w:p w14:paraId="69F9C2BF" w14:textId="77777777" w:rsidR="00DF410E" w:rsidRDefault="00CE7F43">
      <w:pPr>
        <w:pStyle w:val="Author-eSectionHeading5"/>
      </w:pPr>
      <w:bookmarkStart w:id="1656" w:name="_Toc178838745"/>
      <w:r>
        <w:t>24.21.2 Murs en bois préfabriqués CCTB 01.07</w:t>
      </w:r>
      <w:bookmarkEnd w:id="1656"/>
    </w:p>
    <w:p w14:paraId="2DB0FB8B" w14:textId="77777777" w:rsidR="00DF410E" w:rsidRDefault="00CE7F43">
      <w:pPr>
        <w:pStyle w:val="Author-eSectionHeading6"/>
      </w:pPr>
      <w:bookmarkStart w:id="1657" w:name="_Toc178838746"/>
      <w:r>
        <w:t>24.21.2a Murs ossature bois préfabriqués CCTB 01.12</w:t>
      </w:r>
      <w:bookmarkEnd w:id="1657"/>
    </w:p>
    <w:p w14:paraId="79AEDB62" w14:textId="77777777" w:rsidR="00DF410E" w:rsidRDefault="00CE7F43">
      <w:pPr>
        <w:pStyle w:val="pheading"/>
      </w:pPr>
      <w:r>
        <w:t>DESCRIPTION</w:t>
      </w:r>
    </w:p>
    <w:p w14:paraId="44234147" w14:textId="77777777" w:rsidR="00DF410E" w:rsidRDefault="00CE7F43">
      <w:pPr>
        <w:pStyle w:val="pheading"/>
      </w:pPr>
      <w:r>
        <w:t>- Définition / Comprend</w:t>
      </w:r>
    </w:p>
    <w:p w14:paraId="178C123E" w14:textId="77777777" w:rsidR="00DF410E" w:rsidRDefault="00CE7F43">
      <w:pPr>
        <w:jc w:val="both"/>
      </w:pPr>
      <w:r>
        <w:t>Il s’agit de la fourniture et la pose de murs intérieurs ou extérieurs porteurs constitués d’une structure en bois, d'un ou deux panneaux et de tous les accessoires de fixation.</w:t>
      </w:r>
    </w:p>
    <w:p w14:paraId="73A49901" w14:textId="77777777" w:rsidR="00DF410E" w:rsidRDefault="00CE7F43">
      <w:pPr>
        <w:jc w:val="both"/>
      </w:pPr>
      <w:r>
        <w:t>Le travail comprend notamment :</w:t>
      </w:r>
    </w:p>
    <w:p w14:paraId="0C8EBC51" w14:textId="77777777" w:rsidR="00DF410E" w:rsidRDefault="00CE7F43">
      <w:pPr>
        <w:pStyle w:val="Author-eListParagraph"/>
        <w:numPr>
          <w:ilvl w:val="0"/>
          <w:numId w:val="893"/>
        </w:numPr>
        <w:jc w:val="both"/>
      </w:pPr>
      <w:r>
        <w:t>La préparation et nettoyage des supports sur lesquels les éléments sont posés;</w:t>
      </w:r>
    </w:p>
    <w:p w14:paraId="5ADB3A21" w14:textId="77777777" w:rsidR="00DF410E" w:rsidRDefault="00CE7F43">
      <w:pPr>
        <w:pStyle w:val="Author-eListParagraph"/>
        <w:numPr>
          <w:ilvl w:val="0"/>
          <w:numId w:val="893"/>
        </w:numPr>
        <w:jc w:val="both"/>
      </w:pPr>
      <w:r>
        <w:t>La fabrication, la livraison et la pose des parois, y compris les engins de levage, tous les supports temporaires et travaux d’étayage;</w:t>
      </w:r>
    </w:p>
    <w:p w14:paraId="2751E180" w14:textId="77777777" w:rsidR="00DF410E" w:rsidRDefault="00CE7F43">
      <w:pPr>
        <w:pStyle w:val="Author-eListParagraph"/>
        <w:numPr>
          <w:ilvl w:val="0"/>
          <w:numId w:val="893"/>
        </w:numPr>
        <w:jc w:val="both"/>
      </w:pPr>
      <w:r>
        <w:t>Les réservations prévues sur les plans;</w:t>
      </w:r>
    </w:p>
    <w:p w14:paraId="0B44B95B" w14:textId="77777777" w:rsidR="00DF410E" w:rsidRDefault="00CE7F43">
      <w:pPr>
        <w:pStyle w:val="Author-eListParagraph"/>
        <w:numPr>
          <w:ilvl w:val="0"/>
          <w:numId w:val="893"/>
        </w:numPr>
        <w:jc w:val="both"/>
      </w:pPr>
      <w:r>
        <w:t>La finition des bords et travaux de réparation en cas d’endommagement;</w:t>
      </w:r>
    </w:p>
    <w:p w14:paraId="668780F8" w14:textId="77777777" w:rsidR="00DF410E" w:rsidRDefault="00CE7F43">
      <w:pPr>
        <w:pStyle w:val="Author-eListParagraph"/>
        <w:numPr>
          <w:ilvl w:val="0"/>
          <w:numId w:val="893"/>
        </w:numPr>
        <w:jc w:val="both"/>
      </w:pPr>
      <w:r>
        <w:t>Le remplissage des joints de dilatation éventuels selon les directives du fournisseur;</w:t>
      </w:r>
    </w:p>
    <w:p w14:paraId="776B8AAC" w14:textId="77777777" w:rsidR="00DF410E" w:rsidRDefault="00CE7F43">
      <w:pPr>
        <w:pStyle w:val="Author-eListParagraph"/>
        <w:numPr>
          <w:ilvl w:val="0"/>
          <w:numId w:val="893"/>
        </w:numPr>
        <w:jc w:val="both"/>
      </w:pPr>
      <w:r>
        <w:t>Le contrôle de toutes les dimensions et l’adaptation des éléments à préfabriquer aux dimensions réelles;</w:t>
      </w:r>
    </w:p>
    <w:p w14:paraId="73B3EDDB" w14:textId="77777777" w:rsidR="00DF410E" w:rsidRDefault="00CE7F43">
      <w:pPr>
        <w:pStyle w:val="Author-eListParagraph"/>
        <w:numPr>
          <w:ilvl w:val="0"/>
          <w:numId w:val="893"/>
        </w:numPr>
        <w:jc w:val="both"/>
      </w:pPr>
      <w:r>
        <w:t>Tous les moyens de liaisonnement éventuels, aussi bien entre les éléments préfabriqués, qu’avec les éléments de support, de bord, … ;</w:t>
      </w:r>
    </w:p>
    <w:p w14:paraId="58B8D0AF" w14:textId="77777777" w:rsidR="00DF410E" w:rsidRDefault="00CE7F43">
      <w:pPr>
        <w:pStyle w:val="Author-eListParagraph"/>
        <w:numPr>
          <w:ilvl w:val="0"/>
          <w:numId w:val="893"/>
        </w:numPr>
        <w:jc w:val="both"/>
      </w:pPr>
      <w:r>
        <w:t>L’éventuel pare-vapeur ou frein vapeur;</w:t>
      </w:r>
    </w:p>
    <w:p w14:paraId="452AB998" w14:textId="77777777" w:rsidR="00DF410E" w:rsidRDefault="00CE7F43">
      <w:pPr>
        <w:pStyle w:val="Author-eListParagraph"/>
        <w:numPr>
          <w:ilvl w:val="0"/>
          <w:numId w:val="893"/>
        </w:numPr>
        <w:jc w:val="both"/>
      </w:pPr>
      <w:r>
        <w:t>L’enlèvement de tous les accessoires, éléments de coffrage, supports, étais et le nettoyage des faces visibles;</w:t>
      </w:r>
    </w:p>
    <w:p w14:paraId="131EC4E7" w14:textId="77777777" w:rsidR="00DF410E" w:rsidRDefault="00CE7F43">
      <w:pPr>
        <w:pStyle w:val="Author-eListParagraph"/>
        <w:numPr>
          <w:ilvl w:val="0"/>
          <w:numId w:val="893"/>
        </w:numPr>
        <w:jc w:val="both"/>
      </w:pPr>
      <w:r>
        <w:t>Les ouvrages de protection des éléments contre la pluie, l’humidité et la condensation durant le transport et toute la durée du chantier.</w:t>
      </w:r>
    </w:p>
    <w:p w14:paraId="1E748CBD" w14:textId="77777777" w:rsidR="00DF410E" w:rsidRDefault="00CE7F43">
      <w:pPr>
        <w:pStyle w:val="pheading"/>
      </w:pPr>
      <w:r>
        <w:t>- Localisation</w:t>
      </w:r>
    </w:p>
    <w:p w14:paraId="7847F8B0" w14:textId="77777777" w:rsidR="00DF410E" w:rsidRDefault="00CE7F43">
      <w:r>
        <w:t xml:space="preserve">Localisation des travaux : </w:t>
      </w:r>
      <w:r>
        <w:rPr>
          <w:rStyle w:val="optioncarChar"/>
        </w:rPr>
        <w:t>***</w:t>
      </w:r>
      <w:r>
        <w:t>.</w:t>
      </w:r>
    </w:p>
    <w:p w14:paraId="7C1C6375" w14:textId="77777777" w:rsidR="00DF410E" w:rsidRDefault="00CE7F43">
      <w:r>
        <w:t>Voir plans et métrés détaillés.</w:t>
      </w:r>
    </w:p>
    <w:p w14:paraId="68207284" w14:textId="77777777" w:rsidR="00DF410E" w:rsidRDefault="00CE7F43">
      <w:pPr>
        <w:pStyle w:val="pheading"/>
      </w:pPr>
      <w:r>
        <w:t>MATÉRIAUX</w:t>
      </w:r>
    </w:p>
    <w:p w14:paraId="3FD62B43" w14:textId="77777777" w:rsidR="00DF410E" w:rsidRDefault="00CE7F43">
      <w:pPr>
        <w:pStyle w:val="pheading"/>
      </w:pPr>
      <w:r>
        <w:t>- Caractéristiques générales</w:t>
      </w:r>
    </w:p>
    <w:p w14:paraId="1646861B" w14:textId="77777777" w:rsidR="00DF410E" w:rsidRDefault="00CE7F43">
      <w:pPr>
        <w:jc w:val="both"/>
      </w:pPr>
      <w:r>
        <w:t>L’ensemble est un complexe réalisé en usine ou en atelier et comprend :</w:t>
      </w:r>
    </w:p>
    <w:p w14:paraId="2A936857" w14:textId="77777777" w:rsidR="00DF410E" w:rsidRDefault="00CE7F43">
      <w:pPr>
        <w:jc w:val="both"/>
      </w:pPr>
      <w:r>
        <w:rPr>
          <w:b/>
        </w:rPr>
        <w:t>Structure</w:t>
      </w:r>
    </w:p>
    <w:p w14:paraId="7416A3B9" w14:textId="77777777" w:rsidR="00DF410E" w:rsidRDefault="00CE7F43">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des poutres en I) de </w:t>
      </w:r>
      <w:r>
        <w:rPr>
          <w:rStyle w:val="optioncarChar"/>
        </w:rPr>
        <w:t xml:space="preserve">38 / 45 </w:t>
      </w:r>
      <w:r>
        <w:t>(par défaut) </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14:paraId="2393F369" w14:textId="77777777" w:rsidR="00DF410E" w:rsidRDefault="00CE7F43">
      <w:pPr>
        <w:jc w:val="both"/>
      </w:pPr>
      <w:r>
        <w:t>Le bois massif répond aux spécifications de la [NBN EN 14081 série].</w:t>
      </w:r>
    </w:p>
    <w:p w14:paraId="7DEDB8B7" w14:textId="77777777" w:rsidR="00DF410E" w:rsidRDefault="00CE7F43">
      <w:pPr>
        <w:jc w:val="both"/>
      </w:pPr>
      <w:r>
        <w:t>Les bois massifs peuvent être aboutés. Les pièces constitutives du produit fini doivent être classées selon la  [NBN EN 14081 série] et les produits finis doivent être marqués selon la [NBN EN 15497].</w:t>
      </w:r>
    </w:p>
    <w:p w14:paraId="23D43FD1" w14:textId="77777777" w:rsidR="00DF410E" w:rsidRDefault="00CE7F43">
      <w:pPr>
        <w:jc w:val="both"/>
      </w:pPr>
      <w:r>
        <w:t>Les bois lamellé-collé doit répondre à la [NBN EN 14080].</w:t>
      </w:r>
    </w:p>
    <w:p w14:paraId="20A0E7CE" w14:textId="77777777" w:rsidR="00DF410E" w:rsidRDefault="00CE7F43">
      <w:pPr>
        <w:jc w:val="both"/>
      </w:pPr>
      <w:r>
        <w:t xml:space="preserve">La classe d’emploi d’un élément est déterminée suivant la [NBN EN 335] : </w:t>
      </w:r>
      <w:r>
        <w:rPr>
          <w:rStyle w:val="optioncarChar"/>
        </w:rPr>
        <w:t xml:space="preserve">classe 1 / classe 2 </w:t>
      </w:r>
      <w:r>
        <w:t>(par défaut)</w:t>
      </w:r>
      <w:r>
        <w:rPr>
          <w:rStyle w:val="optioncarChar"/>
        </w:rPr>
        <w:t xml:space="preserve"> / classe 3.</w:t>
      </w:r>
    </w:p>
    <w:p w14:paraId="57E98A20" w14:textId="77777777" w:rsidR="00DF410E" w:rsidRDefault="00CE7F43">
      <w:pPr>
        <w:jc w:val="both"/>
      </w:pPr>
      <w:r>
        <w:t xml:space="preserve">La structure correspond en tout point au titre </w:t>
      </w:r>
      <w:hyperlink w:anchor="592" w:history="1">
        <w:r>
          <w:t>24.1 Eléments de structures en bois</w:t>
        </w:r>
      </w:hyperlink>
      <w:r>
        <w:t xml:space="preserve"> et au sous-titre </w:t>
      </w:r>
      <w:hyperlink w:anchor="593" w:history="1">
        <w:r>
          <w:t>24.42 Assemblages mécaniques</w:t>
        </w:r>
      </w:hyperlink>
      <w:r>
        <w:t>.</w:t>
      </w:r>
    </w:p>
    <w:p w14:paraId="3564C19F" w14:textId="77777777" w:rsidR="00DF410E" w:rsidRDefault="00CE7F43">
      <w:pPr>
        <w:jc w:val="both"/>
      </w:pPr>
      <w:r>
        <w:rPr>
          <w:b/>
        </w:rPr>
        <w:t>Panneau extérieur</w:t>
      </w:r>
    </w:p>
    <w:p w14:paraId="7564BBFD" w14:textId="77777777" w:rsidR="00DF410E" w:rsidRDefault="00CE7F43">
      <w:pPr>
        <w:jc w:val="both"/>
      </w:pPr>
      <w:r>
        <w:t xml:space="preserve">Les panneaux extérieurs sont </w:t>
      </w:r>
      <w:r>
        <w:rPr>
          <w:rStyle w:val="optioncarChar"/>
        </w:rPr>
        <w:t>vissés</w:t>
      </w:r>
      <w:r>
        <w:t xml:space="preserve"> (par défaut)</w:t>
      </w:r>
      <w:r>
        <w:rPr>
          <w:rStyle w:val="optioncarChar"/>
        </w:rPr>
        <w:t xml:space="preserve"> cloués / collés / ***</w:t>
      </w:r>
      <w:r>
        <w:t>.</w:t>
      </w:r>
    </w:p>
    <w:p w14:paraId="348CC0D6" w14:textId="77777777" w:rsidR="00DF410E" w:rsidRDefault="00CE7F43">
      <w:pPr>
        <w:jc w:val="both"/>
      </w:pPr>
      <w:r>
        <w:t>Le panneau est</w:t>
      </w:r>
      <w:r>
        <w:rPr>
          <w:rStyle w:val="optioncarChar"/>
        </w:rPr>
        <w:t xml:space="preserve"> rainuré languetté </w:t>
      </w:r>
      <w:r>
        <w:t>(par défaut)</w:t>
      </w:r>
      <w:r>
        <w:rPr>
          <w:rStyle w:val="optioncarChar"/>
        </w:rPr>
        <w:t xml:space="preserve"> / ***</w:t>
      </w:r>
      <w:r>
        <w:t>.</w:t>
      </w:r>
    </w:p>
    <w:p w14:paraId="16CEA930" w14:textId="77777777" w:rsidR="00DF410E" w:rsidRDefault="00CE7F43">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14:paraId="113D48F1" w14:textId="77777777" w:rsidR="00DF410E" w:rsidRDefault="00CE7F43">
      <w:pPr>
        <w:jc w:val="both"/>
      </w:pPr>
      <w:r>
        <w:t xml:space="preserve">La perméabilité à la vapeur d’eau (Sd) est inférieure à  </w:t>
      </w:r>
      <w:r>
        <w:rPr>
          <w:rStyle w:val="optioncarChar"/>
        </w:rPr>
        <w:t xml:space="preserve">0,1m / 0,2m / définie par l’analyse de diffusion de vapeur d’eau de la paroi complète </w:t>
      </w:r>
      <w:r>
        <w:t>(par défaut)</w:t>
      </w:r>
      <w:r>
        <w:rPr>
          <w:rStyle w:val="optioncarChar"/>
        </w:rPr>
        <w:t xml:space="preserve"> / ***</w:t>
      </w:r>
      <w:r>
        <w:t>.</w:t>
      </w:r>
    </w:p>
    <w:p w14:paraId="7724095C" w14:textId="77777777" w:rsidR="00DF410E" w:rsidRDefault="00CE7F43">
      <w:pPr>
        <w:jc w:val="both"/>
      </w:pPr>
      <w:r>
        <w:t xml:space="preserve">Le panneau </w:t>
      </w:r>
      <w:r>
        <w:rPr>
          <w:rStyle w:val="optioncarChar"/>
        </w:rPr>
        <w:t>fait office / ne fait pas office</w:t>
      </w:r>
      <w:r>
        <w:t xml:space="preserve"> de pare-pluie.</w:t>
      </w:r>
    </w:p>
    <w:p w14:paraId="3C87F706" w14:textId="77777777" w:rsidR="00DF410E" w:rsidRDefault="00CE7F43">
      <w:pPr>
        <w:jc w:val="both"/>
      </w:pPr>
      <w:r>
        <w:t>Les panneaux sont constitués de</w:t>
      </w:r>
      <w:r>
        <w:rPr>
          <w:rStyle w:val="optioncarChar"/>
        </w:rPr>
        <w:t xml:space="preserve"> panneaux de fibre de bois </w:t>
      </w:r>
      <w:r>
        <w:t>(par défaut)</w:t>
      </w:r>
      <w:r>
        <w:rPr>
          <w:rStyle w:val="optioncarChar"/>
        </w:rPr>
        <w:t xml:space="preserve"> / OSB / panneaux multiplex bois / CLT / ***.</w:t>
      </w:r>
    </w:p>
    <w:p w14:paraId="471C6A89" w14:textId="77777777" w:rsidR="00DF410E" w:rsidRDefault="00CE7F43">
      <w:pPr>
        <w:ind w:left="567"/>
        <w:jc w:val="both"/>
      </w:pPr>
      <w:r>
        <w:rPr>
          <w:b/>
          <w:i/>
        </w:rPr>
        <w:t>(Soit par défaut)</w:t>
      </w:r>
    </w:p>
    <w:p w14:paraId="282FDCF1" w14:textId="77777777" w:rsidR="00DF410E" w:rsidRDefault="00CE7F43">
      <w:pPr>
        <w:ind w:left="567"/>
        <w:jc w:val="both"/>
      </w:pPr>
      <w:r>
        <w:rPr>
          <w:rStyle w:val="soitChar"/>
          <w:u w:val="single"/>
        </w:rPr>
        <w:t>Panneau de fibre de bois</w:t>
      </w:r>
    </w:p>
    <w:p w14:paraId="4F3BD4DA" w14:textId="77777777" w:rsidR="00DF410E" w:rsidRDefault="00CE7F43">
      <w:pPr>
        <w:ind w:left="567"/>
        <w:jc w:val="both"/>
      </w:pPr>
      <w:r>
        <w:rPr>
          <w:rStyle w:val="soitChar"/>
        </w:rPr>
        <w:t xml:space="preserve">Pour le descriptif, voir l’article </w:t>
      </w:r>
      <w:hyperlink w:anchor="594" w:history="1">
        <w:r>
          <w:rPr>
            <w:rStyle w:val="soitChar"/>
          </w:rPr>
          <w:t>24.16.1d Panneaux MDF</w:t>
        </w:r>
      </w:hyperlink>
      <w:r>
        <w:rPr>
          <w:rStyle w:val="soitChar"/>
        </w:rPr>
        <w:t>.</w:t>
      </w:r>
    </w:p>
    <w:p w14:paraId="45619E17" w14:textId="77777777" w:rsidR="00DF410E" w:rsidRDefault="00CE7F43">
      <w:pPr>
        <w:ind w:left="567"/>
        <w:jc w:val="both"/>
      </w:pPr>
      <w:r>
        <w:rPr>
          <w:rStyle w:val="soitChar"/>
        </w:rPr>
        <w:t xml:space="preserve">Les panneaux ont une épaisseur de </w:t>
      </w:r>
      <w:r>
        <w:rPr>
          <w:rStyle w:val="optioncarChar"/>
        </w:rPr>
        <w:t>12 / 20</w:t>
      </w:r>
      <w:r>
        <w:t xml:space="preserve"> (par défaut)</w:t>
      </w:r>
      <w:r>
        <w:rPr>
          <w:rStyle w:val="optioncarChar"/>
        </w:rPr>
        <w:t xml:space="preserve"> / ***</w:t>
      </w:r>
      <w:r>
        <w:rPr>
          <w:rStyle w:val="soitChar"/>
        </w:rPr>
        <w:t xml:space="preserve"> mm.</w:t>
      </w:r>
    </w:p>
    <w:p w14:paraId="4CFAAB9A" w14:textId="77777777" w:rsidR="00DF410E" w:rsidRDefault="00CE7F43">
      <w:pPr>
        <w:ind w:left="567"/>
        <w:jc w:val="both"/>
      </w:pPr>
      <w:r>
        <w:rPr>
          <w:rStyle w:val="soitChar"/>
        </w:rPr>
        <w:t>Les panneaux sont de type </w:t>
      </w:r>
      <w:r>
        <w:rPr>
          <w:rStyle w:val="optioncarChar"/>
        </w:rPr>
        <w:t xml:space="preserve"> MDF LA </w:t>
      </w:r>
      <w:r>
        <w:t xml:space="preserve">(par défaut) </w:t>
      </w:r>
      <w:r>
        <w:rPr>
          <w:rStyle w:val="optioncarChar"/>
        </w:rPr>
        <w:t>/ MDF-HLS</w:t>
      </w:r>
      <w:r>
        <w:rPr>
          <w:rStyle w:val="soitChar"/>
        </w:rPr>
        <w:t>.</w:t>
      </w:r>
    </w:p>
    <w:p w14:paraId="47960537" w14:textId="77777777" w:rsidR="00DF410E" w:rsidRDefault="00CE7F43">
      <w:pPr>
        <w:ind w:left="567"/>
        <w:jc w:val="both"/>
      </w:pPr>
      <w:r>
        <w:rPr>
          <w:rStyle w:val="soitChar"/>
        </w:rPr>
        <w:t>Les panneaux répondent à la [NBN EN 13986+A1] et aux exigences de [NBN EN 622 série].</w:t>
      </w:r>
    </w:p>
    <w:p w14:paraId="6152F9C0" w14:textId="77777777" w:rsidR="00DF410E" w:rsidRDefault="00CE7F43">
      <w:pPr>
        <w:ind w:left="567"/>
        <w:jc w:val="both"/>
      </w:pPr>
      <w:r>
        <w:rPr>
          <w:b/>
          <w:i/>
        </w:rPr>
        <w:t>(Soit)</w:t>
      </w:r>
    </w:p>
    <w:p w14:paraId="474434BC" w14:textId="77777777" w:rsidR="00DF410E" w:rsidRDefault="00CE7F43">
      <w:pPr>
        <w:ind w:left="567"/>
        <w:jc w:val="both"/>
      </w:pPr>
      <w:r>
        <w:rPr>
          <w:rStyle w:val="soitChar"/>
          <w:u w:val="single"/>
        </w:rPr>
        <w:t>Osb</w:t>
      </w:r>
    </w:p>
    <w:p w14:paraId="1EA7DF0D" w14:textId="77777777" w:rsidR="00DF410E" w:rsidRDefault="00CE7F43">
      <w:pPr>
        <w:ind w:left="567"/>
        <w:jc w:val="both"/>
      </w:pPr>
      <w:r>
        <w:rPr>
          <w:rStyle w:val="soitChar"/>
        </w:rPr>
        <w:t xml:space="preserve">Pour le descriptif, voir l’article </w:t>
      </w:r>
      <w:hyperlink w:anchor="595" w:history="1">
        <w:r>
          <w:rPr>
            <w:rStyle w:val="soitChar"/>
          </w:rPr>
          <w:t>24.16.1b Panneaux OSB</w:t>
        </w:r>
      </w:hyperlink>
      <w:r>
        <w:rPr>
          <w:rStyle w:val="soitChar"/>
        </w:rPr>
        <w:t>.</w:t>
      </w:r>
    </w:p>
    <w:p w14:paraId="2924A587" w14:textId="77777777" w:rsidR="00DF410E" w:rsidRDefault="00CE7F43">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 xml:space="preserve"> mm.</w:t>
      </w:r>
    </w:p>
    <w:p w14:paraId="7DEF0188" w14:textId="77777777" w:rsidR="00DF410E" w:rsidRDefault="00CE7F43">
      <w:pPr>
        <w:ind w:left="567"/>
        <w:jc w:val="both"/>
      </w:pPr>
      <w:r>
        <w:rPr>
          <w:rStyle w:val="soitChar"/>
        </w:rPr>
        <w:t xml:space="preserve">Les panneaux sont de type </w:t>
      </w:r>
      <w:r>
        <w:rPr>
          <w:rStyle w:val="optioncarChar"/>
        </w:rPr>
        <w:t xml:space="preserve">2 / 3 </w:t>
      </w:r>
      <w:r>
        <w:t>(par défaut)</w:t>
      </w:r>
      <w:r>
        <w:rPr>
          <w:rStyle w:val="optioncarChar"/>
        </w:rPr>
        <w:t xml:space="preserve"> / 4</w:t>
      </w:r>
      <w:r>
        <w:rPr>
          <w:rStyle w:val="soitChar"/>
        </w:rPr>
        <w:t>.</w:t>
      </w:r>
    </w:p>
    <w:p w14:paraId="551AC846" w14:textId="77777777" w:rsidR="00DF410E" w:rsidRDefault="00CE7F43">
      <w:pPr>
        <w:ind w:left="567"/>
        <w:jc w:val="both"/>
      </w:pPr>
      <w:r>
        <w:rPr>
          <w:rStyle w:val="soitChar"/>
        </w:rPr>
        <w:t xml:space="preserve">Les panneaux sont </w:t>
      </w:r>
      <w:r>
        <w:rPr>
          <w:rStyle w:val="optioncarChar"/>
        </w:rPr>
        <w:t>à bord droit / rainurés languettés</w:t>
      </w:r>
      <w:r>
        <w:t xml:space="preserve"> (par défaut)</w:t>
      </w:r>
      <w:r>
        <w:rPr>
          <w:rStyle w:val="soitChar"/>
        </w:rPr>
        <w:t>.</w:t>
      </w:r>
    </w:p>
    <w:p w14:paraId="7F8207A8" w14:textId="77777777" w:rsidR="00DF410E" w:rsidRDefault="00CE7F43">
      <w:pPr>
        <w:ind w:left="567"/>
        <w:jc w:val="both"/>
      </w:pPr>
      <w:r>
        <w:rPr>
          <w:rStyle w:val="soitChar"/>
        </w:rPr>
        <w:t>Les panneaux répondent à la [NBN EN 300] et à la [NBN EN 13986+A1].</w:t>
      </w:r>
    </w:p>
    <w:p w14:paraId="3A6CBD41" w14:textId="77777777" w:rsidR="00DF410E" w:rsidRDefault="00CE7F43">
      <w:pPr>
        <w:ind w:left="567"/>
        <w:jc w:val="both"/>
      </w:pPr>
      <w:r>
        <w:rPr>
          <w:b/>
          <w:i/>
        </w:rPr>
        <w:t>(Soit)</w:t>
      </w:r>
    </w:p>
    <w:p w14:paraId="78A53EF3" w14:textId="77777777" w:rsidR="00DF410E" w:rsidRDefault="00CE7F43">
      <w:pPr>
        <w:ind w:left="567"/>
        <w:jc w:val="both"/>
      </w:pPr>
      <w:r>
        <w:rPr>
          <w:rStyle w:val="soitChar"/>
          <w:u w:val="single"/>
        </w:rPr>
        <w:t>Panneaux multiplex bois</w:t>
      </w:r>
    </w:p>
    <w:p w14:paraId="766CF665" w14:textId="77777777" w:rsidR="00DF410E" w:rsidRDefault="00CE7F43">
      <w:pPr>
        <w:ind w:left="567"/>
        <w:jc w:val="both"/>
      </w:pPr>
      <w:r>
        <w:rPr>
          <w:rStyle w:val="soitChar"/>
        </w:rPr>
        <w:t xml:space="preserve">Pour le descriptif, voir l’article </w:t>
      </w:r>
      <w:hyperlink w:anchor="596" w:history="1">
        <w:r>
          <w:rPr>
            <w:rStyle w:val="soitChar"/>
          </w:rPr>
          <w:t>24.16.1a Panneaux contreplaqués (PW)</w:t>
        </w:r>
      </w:hyperlink>
      <w:r>
        <w:rPr>
          <w:rStyle w:val="soitChar"/>
        </w:rPr>
        <w:t>.</w:t>
      </w:r>
    </w:p>
    <w:p w14:paraId="4D35864A" w14:textId="77777777" w:rsidR="00DF410E" w:rsidRDefault="00CE7F43">
      <w:pPr>
        <w:ind w:left="567"/>
        <w:jc w:val="both"/>
      </w:pPr>
      <w:r>
        <w:rPr>
          <w:rStyle w:val="soitChar"/>
        </w:rPr>
        <w:t xml:space="preserve">Le multiplex est en bois </w:t>
      </w:r>
      <w:r>
        <w:rPr>
          <w:rStyle w:val="optioncarChar"/>
        </w:rPr>
        <w:t>feuillus / résineux</w:t>
      </w:r>
      <w:r>
        <w:rPr>
          <w:rStyle w:val="soitChar"/>
        </w:rPr>
        <w:t>.</w:t>
      </w:r>
    </w:p>
    <w:p w14:paraId="196D99A1" w14:textId="77777777" w:rsidR="00DF410E" w:rsidRDefault="00CE7F43">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14:paraId="1CAB79AD" w14:textId="77777777" w:rsidR="00DF410E" w:rsidRDefault="00CE7F43">
      <w:pPr>
        <w:ind w:left="567"/>
        <w:jc w:val="both"/>
      </w:pPr>
      <w:r>
        <w:rPr>
          <w:rStyle w:val="soitChar"/>
        </w:rPr>
        <w:t>Les panneaux sont </w:t>
      </w:r>
      <w:r>
        <w:rPr>
          <w:rStyle w:val="optioncarChar"/>
        </w:rPr>
        <w:t>à bord droit / rainurés languettés</w:t>
      </w:r>
      <w:r>
        <w:t xml:space="preserve"> (par défaut)</w:t>
      </w:r>
      <w:r>
        <w:rPr>
          <w:rStyle w:val="soitChar"/>
        </w:rPr>
        <w:t>.</w:t>
      </w:r>
    </w:p>
    <w:p w14:paraId="7967A08F" w14:textId="77777777" w:rsidR="00DF410E" w:rsidRDefault="00CE7F43">
      <w:pPr>
        <w:ind w:left="567"/>
        <w:jc w:val="both"/>
      </w:pPr>
      <w:r>
        <w:rPr>
          <w:b/>
          <w:i/>
        </w:rPr>
        <w:t>(Soit)</w:t>
      </w:r>
    </w:p>
    <w:p w14:paraId="17878F6E" w14:textId="77777777" w:rsidR="00DF410E" w:rsidRDefault="00CE7F43">
      <w:pPr>
        <w:ind w:left="567"/>
        <w:jc w:val="both"/>
      </w:pPr>
      <w:r>
        <w:rPr>
          <w:rStyle w:val="soitChar"/>
          <w:u w:val="single"/>
        </w:rPr>
        <w:t>CLT</w:t>
      </w:r>
    </w:p>
    <w:p w14:paraId="46961DA4" w14:textId="77777777" w:rsidR="00DF410E" w:rsidRDefault="00CE7F43">
      <w:pPr>
        <w:ind w:left="567"/>
        <w:jc w:val="both"/>
      </w:pPr>
      <w:r>
        <w:rPr>
          <w:rStyle w:val="soitChar"/>
        </w:rPr>
        <w:t>Les panneaux répondent à la [NBN EN 16351].</w:t>
      </w:r>
    </w:p>
    <w:p w14:paraId="07FBFCA4" w14:textId="77777777" w:rsidR="00DF410E" w:rsidRDefault="00CE7F43">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14:paraId="6917CDCF" w14:textId="77777777" w:rsidR="00DF410E" w:rsidRDefault="00CE7F43">
      <w:pPr>
        <w:ind w:left="567"/>
        <w:jc w:val="both"/>
      </w:pPr>
      <w:r>
        <w:rPr>
          <w:rStyle w:val="soitChar"/>
        </w:rPr>
        <w:t xml:space="preserve">Les panneaux sont de qualité </w:t>
      </w:r>
      <w:r>
        <w:rPr>
          <w:rStyle w:val="optioncarChar"/>
        </w:rPr>
        <w:t>non visible</w:t>
      </w:r>
      <w:r>
        <w:t xml:space="preserve"> (par défaut)</w:t>
      </w:r>
      <w:r>
        <w:rPr>
          <w:rStyle w:val="optioncarChar"/>
        </w:rPr>
        <w:t xml:space="preserve"> / visible industrielle / visible habitat</w:t>
      </w:r>
      <w:r>
        <w:rPr>
          <w:rStyle w:val="soitChar"/>
        </w:rPr>
        <w:t>.</w:t>
      </w:r>
    </w:p>
    <w:p w14:paraId="513F5ACF" w14:textId="77777777" w:rsidR="00DF410E" w:rsidRDefault="00CE7F43">
      <w:pPr>
        <w:ind w:left="567"/>
        <w:jc w:val="both"/>
      </w:pPr>
      <w:r>
        <w:rPr>
          <w:b/>
          <w:i/>
        </w:rPr>
        <w:t>(Soit)</w:t>
      </w:r>
    </w:p>
    <w:p w14:paraId="068BA486" w14:textId="77777777" w:rsidR="00DF410E" w:rsidRDefault="00CE7F43">
      <w:pPr>
        <w:ind w:left="567"/>
        <w:jc w:val="both"/>
      </w:pPr>
      <w:r>
        <w:rPr>
          <w:rStyle w:val="optioncarChar"/>
        </w:rPr>
        <w:t>***</w:t>
      </w:r>
    </w:p>
    <w:p w14:paraId="36335CAE" w14:textId="77777777" w:rsidR="00DF410E" w:rsidRDefault="00CE7F43">
      <w:pPr>
        <w:jc w:val="both"/>
      </w:pPr>
      <w:r>
        <w:t> </w:t>
      </w:r>
    </w:p>
    <w:p w14:paraId="6B775B4C" w14:textId="77777777" w:rsidR="00DF410E" w:rsidRDefault="00CE7F43">
      <w:pPr>
        <w:jc w:val="both"/>
      </w:pPr>
      <w:r>
        <w:t xml:space="preserve">Le panneau extérieur est </w:t>
      </w:r>
      <w:r>
        <w:rPr>
          <w:rStyle w:val="optioncarChar"/>
        </w:rPr>
        <w:t xml:space="preserve">non contreventant </w:t>
      </w:r>
      <w:r>
        <w:t>(par défaut)</w:t>
      </w:r>
      <w:r>
        <w:rPr>
          <w:rStyle w:val="optioncarChar"/>
        </w:rPr>
        <w:t xml:space="preserve"> / contreventant</w:t>
      </w:r>
      <w:r>
        <w:t>.</w:t>
      </w:r>
    </w:p>
    <w:p w14:paraId="5CF65583" w14:textId="77777777" w:rsidR="00DF410E" w:rsidRDefault="00CE7F43">
      <w:pPr>
        <w:ind w:left="567"/>
      </w:pPr>
      <w:r>
        <w:rPr>
          <w:b/>
          <w:i/>
        </w:rPr>
        <w:t>(Soit par défaut)</w:t>
      </w:r>
    </w:p>
    <w:p w14:paraId="713B79CC" w14:textId="77777777" w:rsidR="00DF410E" w:rsidRDefault="00CE7F43">
      <w:pPr>
        <w:ind w:left="567"/>
      </w:pPr>
      <w:r>
        <w:rPr>
          <w:rStyle w:val="soitChar"/>
          <w:u w:val="single"/>
        </w:rPr>
        <w:t>Non-contreventant</w:t>
      </w:r>
      <w:r>
        <w:br/>
      </w:r>
      <w:r>
        <w:rPr>
          <w:rStyle w:val="soitChar"/>
        </w:rPr>
        <w:t xml:space="preserve">Résistance en flexion ≥ </w:t>
      </w:r>
      <w:r>
        <w:rPr>
          <w:rStyle w:val="optioncarChar"/>
        </w:rPr>
        <w:t xml:space="preserve">12 / 14 </w:t>
      </w:r>
      <w:r>
        <w:t xml:space="preserve">(par défaut) </w:t>
      </w:r>
      <w:r>
        <w:rPr>
          <w:rStyle w:val="optioncarChar"/>
        </w:rPr>
        <w:t>/ 16 / ***</w:t>
      </w:r>
      <w:r>
        <w:rPr>
          <w:rStyle w:val="soitChar"/>
        </w:rPr>
        <w:t xml:space="preserve"> N/mm² suivant [NBN EN 310].</w:t>
      </w:r>
    </w:p>
    <w:p w14:paraId="11BC86F1" w14:textId="77777777" w:rsidR="00DF410E" w:rsidRDefault="00CE7F43">
      <w:pPr>
        <w:ind w:left="567"/>
        <w:jc w:val="both"/>
      </w:pPr>
      <w:r>
        <w:rPr>
          <w:b/>
          <w:i/>
        </w:rPr>
        <w:t>(Soit)</w:t>
      </w:r>
    </w:p>
    <w:p w14:paraId="08917A89" w14:textId="77777777" w:rsidR="00DF410E" w:rsidRDefault="00CE7F43">
      <w:pPr>
        <w:ind w:left="567"/>
        <w:jc w:val="both"/>
      </w:pPr>
      <w:r>
        <w:rPr>
          <w:rStyle w:val="soitChar"/>
          <w:u w:val="single"/>
        </w:rPr>
        <w:t>Contreventant</w:t>
      </w:r>
    </w:p>
    <w:p w14:paraId="501688F9" w14:textId="77777777" w:rsidR="00DF410E" w:rsidRDefault="00CE7F43">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 xml:space="preserve"> N/mm² suivant [NBN EN 310].</w:t>
      </w:r>
    </w:p>
    <w:p w14:paraId="0B91A2EF" w14:textId="77777777" w:rsidR="00DF410E" w:rsidRDefault="00CE7F43">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14:paraId="6D246292" w14:textId="77777777" w:rsidR="00DF410E" w:rsidRDefault="00CE7F43">
      <w:pPr>
        <w:ind w:left="567"/>
        <w:jc w:val="both"/>
      </w:pPr>
      <w:r>
        <w:rPr>
          <w:rStyle w:val="soitChar"/>
        </w:rPr>
        <w:t xml:space="preserve">Traction perpendiculaire aux faces ≥ </w:t>
      </w:r>
      <w:r>
        <w:rPr>
          <w:rStyle w:val="optioncarChar"/>
        </w:rPr>
        <w:t>0.30 / 0.35</w:t>
      </w:r>
      <w:r>
        <w:t xml:space="preserve"> (par défaut)</w:t>
      </w:r>
      <w:r>
        <w:rPr>
          <w:rStyle w:val="optioncarChar"/>
        </w:rPr>
        <w:t xml:space="preserve"> / 0.4 / ***</w:t>
      </w:r>
      <w:r>
        <w:rPr>
          <w:rStyle w:val="soitChar"/>
        </w:rPr>
        <w:t xml:space="preserve"> N/mm² suivant [NBN EN 319].</w:t>
      </w:r>
    </w:p>
    <w:p w14:paraId="27E65A46" w14:textId="77777777" w:rsidR="00DF410E" w:rsidRDefault="00DF410E"/>
    <w:p w14:paraId="4B22042C" w14:textId="77777777" w:rsidR="00DF410E" w:rsidRDefault="00CE7F43">
      <w:pPr>
        <w:jc w:val="both"/>
      </w:pPr>
      <w:r>
        <w:t xml:space="preserve">Les panneaux intérieurs sont </w:t>
      </w:r>
      <w:r>
        <w:rPr>
          <w:rStyle w:val="optioncarChar"/>
        </w:rPr>
        <w:t xml:space="preserve">vissés </w:t>
      </w:r>
      <w:r>
        <w:t>(par défaut)</w:t>
      </w:r>
      <w:r>
        <w:rPr>
          <w:rStyle w:val="optioncarChar"/>
        </w:rPr>
        <w:t xml:space="preserve"> cloués / collés / ***.</w:t>
      </w:r>
    </w:p>
    <w:p w14:paraId="7306F688" w14:textId="77777777" w:rsidR="00DF410E" w:rsidRDefault="00CE7F43">
      <w:pPr>
        <w:jc w:val="both"/>
      </w:pPr>
      <w:r>
        <w:t xml:space="preserve">Le panneau est </w:t>
      </w:r>
      <w:r>
        <w:rPr>
          <w:rStyle w:val="optioncarChar"/>
        </w:rPr>
        <w:t>rainuré languetté </w:t>
      </w:r>
      <w:r>
        <w:t>(par défaut)</w:t>
      </w:r>
      <w:r>
        <w:rPr>
          <w:rStyle w:val="optioncarChar"/>
        </w:rPr>
        <w:t xml:space="preserve"> / ***.</w:t>
      </w:r>
    </w:p>
    <w:p w14:paraId="6D2CA47B" w14:textId="77777777" w:rsidR="00DF410E" w:rsidRDefault="00CE7F43">
      <w:pPr>
        <w:jc w:val="both"/>
      </w:pPr>
      <w:r>
        <w:t xml:space="preserve">Conductivité thermique ≤ </w:t>
      </w:r>
      <w:r>
        <w:rPr>
          <w:rStyle w:val="optioncarChar"/>
        </w:rPr>
        <w:t>0.08 / 0.090 / 0.1 / ***</w:t>
      </w:r>
      <w:r>
        <w:t> (par défaut) W/(m.K) suivant [NBN EN 13986+A1] ou [NBN EN 13171+A1].</w:t>
      </w:r>
    </w:p>
    <w:p w14:paraId="64AF043C" w14:textId="77777777" w:rsidR="00DF410E" w:rsidRDefault="00CE7F43">
      <w:pPr>
        <w:jc w:val="both"/>
      </w:pPr>
      <w:r>
        <w:t xml:space="preserve">La perméabilité à la vapeur d’eau (Sd) est supérieure à  </w:t>
      </w:r>
      <w:r>
        <w:rPr>
          <w:rStyle w:val="optioncarChar"/>
        </w:rPr>
        <w:t xml:space="preserve">0,5 m / 1 m  / définie par l’analyse de diffusion de vapeur d’eau de la paroi complète </w:t>
      </w:r>
      <w:r>
        <w:t>(par défaut)</w:t>
      </w:r>
      <w:r>
        <w:rPr>
          <w:rStyle w:val="optioncarChar"/>
        </w:rPr>
        <w:t xml:space="preserve"> / ***</w:t>
      </w:r>
      <w:r>
        <w:t>.</w:t>
      </w:r>
    </w:p>
    <w:p w14:paraId="29424DE3" w14:textId="77777777" w:rsidR="00DF410E" w:rsidRDefault="00CE7F43">
      <w:pPr>
        <w:jc w:val="both"/>
      </w:pPr>
      <w:r>
        <w:t>Si l’étanchéité à la vapeur d’eau et à l’air n’est pas assurée par le panneau, une membrane pare-vapeur ou frein vapeur est mise en œuvre pour satisfaire à l’analyse de diffusion de vapeur d’eau. </w:t>
      </w:r>
    </w:p>
    <w:p w14:paraId="6FB2BA01" w14:textId="77777777" w:rsidR="00DF410E" w:rsidRDefault="00CE7F43">
      <w:pPr>
        <w:jc w:val="both"/>
      </w:pPr>
      <w:r>
        <w:t xml:space="preserve">Les panneaux sont constitués de </w:t>
      </w:r>
      <w:r>
        <w:rPr>
          <w:rStyle w:val="optioncarChar"/>
        </w:rPr>
        <w:t xml:space="preserve">OSB </w:t>
      </w:r>
      <w:r>
        <w:t xml:space="preserve">(par défaut) </w:t>
      </w:r>
      <w:r>
        <w:rPr>
          <w:rStyle w:val="optioncarChar"/>
        </w:rPr>
        <w:t xml:space="preserve">/ panneaux de fibre de bois / </w:t>
      </w:r>
      <w:r>
        <w:t> </w:t>
      </w:r>
      <w:r>
        <w:rPr>
          <w:rStyle w:val="optioncarChar"/>
        </w:rPr>
        <w:t>/ panneaux multiplex bois / CLT / ***.</w:t>
      </w:r>
    </w:p>
    <w:p w14:paraId="3696AF93" w14:textId="77777777" w:rsidR="00DF410E" w:rsidRDefault="00CE7F43">
      <w:pPr>
        <w:ind w:left="567"/>
      </w:pPr>
      <w:r>
        <w:rPr>
          <w:b/>
          <w:i/>
        </w:rPr>
        <w:t>(Soit par défaut)</w:t>
      </w:r>
    </w:p>
    <w:p w14:paraId="4DDA73F1" w14:textId="77777777" w:rsidR="00DF410E" w:rsidRDefault="00CE7F43">
      <w:pPr>
        <w:ind w:left="567"/>
      </w:pPr>
      <w:r>
        <w:rPr>
          <w:rStyle w:val="soitChar"/>
          <w:u w:val="single"/>
        </w:rPr>
        <w:t>Osb</w:t>
      </w:r>
      <w:r>
        <w:br/>
      </w:r>
      <w:r>
        <w:rPr>
          <w:rStyle w:val="soitChar"/>
        </w:rPr>
        <w:t>Pour le descriptif, voir l’article </w:t>
      </w:r>
      <w:hyperlink w:anchor="595" w:history="1">
        <w:r>
          <w:rPr>
            <w:rStyle w:val="soitChar"/>
          </w:rPr>
          <w:t>24.16.1b Panneaux OSB</w:t>
        </w:r>
      </w:hyperlink>
      <w:r>
        <w:rPr>
          <w:rStyle w:val="soitChar"/>
        </w:rPr>
        <w:t>.</w:t>
      </w:r>
      <w:r>
        <w:t> </w:t>
      </w:r>
      <w:r>
        <w:br/>
      </w:r>
      <w:r>
        <w:rPr>
          <w:rStyle w:val="soitChar"/>
        </w:rPr>
        <w:t>Les panneaux ont une épaisseur de </w:t>
      </w:r>
      <w:r>
        <w:rPr>
          <w:rStyle w:val="optioncarChar"/>
        </w:rPr>
        <w:t>15 / 18 </w:t>
      </w:r>
      <w:r>
        <w:t>(par défaut)</w:t>
      </w:r>
      <w:r>
        <w:rPr>
          <w:rStyle w:val="optioncarChar"/>
        </w:rPr>
        <w:t> / ***</w:t>
      </w:r>
      <w:r>
        <w:rPr>
          <w:rStyle w:val="soitChar"/>
        </w:rPr>
        <w:t> mm.</w:t>
      </w:r>
      <w:r>
        <w:br/>
      </w:r>
      <w:r>
        <w:rPr>
          <w:rStyle w:val="soitChar"/>
        </w:rPr>
        <w:t>Les panneaux sont de type </w:t>
      </w:r>
      <w:r>
        <w:rPr>
          <w:rStyle w:val="optioncarChar"/>
        </w:rPr>
        <w:t>2 / 3 </w:t>
      </w:r>
      <w:r>
        <w:t>(par défaut)</w:t>
      </w:r>
      <w:r>
        <w:rPr>
          <w:rStyle w:val="optioncarChar"/>
        </w:rPr>
        <w:t> / 4</w:t>
      </w:r>
      <w:r>
        <w:rPr>
          <w:rStyle w:val="soitChar"/>
        </w:rPr>
        <w:t>.</w:t>
      </w:r>
      <w:r>
        <w:br/>
      </w:r>
      <w:r>
        <w:rPr>
          <w:rStyle w:val="soitChar"/>
        </w:rPr>
        <w:t>Les panneaux répondent à la [NBN EN 300] et à la [NBN EN 13986+A1].</w:t>
      </w:r>
    </w:p>
    <w:p w14:paraId="509EC0B6" w14:textId="77777777" w:rsidR="00DF410E" w:rsidRDefault="00CE7F43">
      <w:pPr>
        <w:ind w:left="567"/>
        <w:jc w:val="both"/>
      </w:pPr>
      <w:r>
        <w:rPr>
          <w:b/>
          <w:i/>
        </w:rPr>
        <w:t>(Soit)</w:t>
      </w:r>
    </w:p>
    <w:p w14:paraId="7553EFFD" w14:textId="77777777" w:rsidR="00DF410E" w:rsidRDefault="00CE7F43">
      <w:pPr>
        <w:ind w:left="567"/>
        <w:jc w:val="both"/>
      </w:pPr>
      <w:r>
        <w:rPr>
          <w:rStyle w:val="soitChar"/>
          <w:u w:val="single"/>
        </w:rPr>
        <w:t>Panneau de fibre de bois</w:t>
      </w:r>
    </w:p>
    <w:p w14:paraId="302AB000" w14:textId="77777777" w:rsidR="00DF410E" w:rsidRDefault="00CE7F43">
      <w:pPr>
        <w:ind w:left="567"/>
        <w:jc w:val="both"/>
      </w:pPr>
      <w:r>
        <w:rPr>
          <w:rStyle w:val="soitChar"/>
        </w:rPr>
        <w:t>Pour le descriptif, voir l’article </w:t>
      </w:r>
      <w:hyperlink w:anchor="594" w:history="1">
        <w:r>
          <w:rPr>
            <w:rStyle w:val="soitChar"/>
          </w:rPr>
          <w:t>24.16.1d Panneaux MDF</w:t>
        </w:r>
      </w:hyperlink>
      <w:r>
        <w:rPr>
          <w:rStyle w:val="soitChar"/>
        </w:rPr>
        <w:t>.</w:t>
      </w:r>
      <w:r>
        <w:t> </w:t>
      </w:r>
    </w:p>
    <w:p w14:paraId="70AEC9D6" w14:textId="77777777" w:rsidR="00DF410E" w:rsidRDefault="00CE7F43">
      <w:pPr>
        <w:ind w:left="567"/>
        <w:jc w:val="both"/>
      </w:pPr>
      <w:r>
        <w:rPr>
          <w:rStyle w:val="soitChar"/>
        </w:rPr>
        <w:t>Les panneaux ont une épaisseur de </w:t>
      </w:r>
      <w:r>
        <w:rPr>
          <w:rStyle w:val="optioncarChar"/>
        </w:rPr>
        <w:t>12 / 20</w:t>
      </w:r>
      <w:r>
        <w:t> (par défaut)</w:t>
      </w:r>
      <w:r>
        <w:rPr>
          <w:rStyle w:val="optioncarChar"/>
        </w:rPr>
        <w:t> / ***</w:t>
      </w:r>
      <w:r>
        <w:rPr>
          <w:rStyle w:val="soitChar"/>
        </w:rPr>
        <w:t> mm.</w:t>
      </w:r>
    </w:p>
    <w:p w14:paraId="7C820EC6" w14:textId="77777777" w:rsidR="00DF410E" w:rsidRDefault="00CE7F43">
      <w:pPr>
        <w:ind w:left="567"/>
        <w:jc w:val="both"/>
      </w:pPr>
      <w:r>
        <w:rPr>
          <w:rStyle w:val="soitChar"/>
        </w:rPr>
        <w:t>Les panneaux sont de type </w:t>
      </w:r>
      <w:r>
        <w:rPr>
          <w:rStyle w:val="optioncarChar"/>
        </w:rPr>
        <w:t> MDF LA </w:t>
      </w:r>
      <w:r>
        <w:t>(par défaut) </w:t>
      </w:r>
      <w:r>
        <w:rPr>
          <w:rStyle w:val="optioncarChar"/>
        </w:rPr>
        <w:t>/ MDF-HLS</w:t>
      </w:r>
      <w:r>
        <w:rPr>
          <w:rStyle w:val="soitChar"/>
        </w:rPr>
        <w:t>.</w:t>
      </w:r>
    </w:p>
    <w:p w14:paraId="247DC1D6" w14:textId="77777777" w:rsidR="00DF410E" w:rsidRDefault="00CE7F43">
      <w:pPr>
        <w:ind w:left="567"/>
        <w:jc w:val="both"/>
      </w:pPr>
      <w:r>
        <w:rPr>
          <w:rStyle w:val="soitChar"/>
        </w:rPr>
        <w:t>Les panneaux répondent à la [NBN EN 13986+A1] et aux exigences de [NBN EN 622 série].</w:t>
      </w:r>
    </w:p>
    <w:p w14:paraId="0781E49F" w14:textId="77777777" w:rsidR="00DF410E" w:rsidRDefault="00CE7F43">
      <w:pPr>
        <w:ind w:left="567"/>
        <w:jc w:val="both"/>
      </w:pPr>
      <w:r>
        <w:rPr>
          <w:b/>
          <w:i/>
        </w:rPr>
        <w:t>(Soit)</w:t>
      </w:r>
    </w:p>
    <w:p w14:paraId="1D2C4BE1" w14:textId="77777777" w:rsidR="00DF410E" w:rsidRDefault="00CE7F43">
      <w:pPr>
        <w:ind w:left="567"/>
        <w:jc w:val="both"/>
      </w:pPr>
      <w:r>
        <w:rPr>
          <w:rStyle w:val="soitChar"/>
          <w:u w:val="single"/>
        </w:rPr>
        <w:t>Panneaux multiplex bois</w:t>
      </w:r>
    </w:p>
    <w:p w14:paraId="4767BF58" w14:textId="77777777" w:rsidR="00DF410E" w:rsidRDefault="00CE7F43">
      <w:pPr>
        <w:ind w:left="567"/>
        <w:jc w:val="both"/>
      </w:pPr>
      <w:r>
        <w:rPr>
          <w:rStyle w:val="soitChar"/>
        </w:rPr>
        <w:t>Pour le descriptif, voir l’article </w:t>
      </w:r>
      <w:hyperlink w:anchor="596" w:history="1">
        <w:r>
          <w:rPr>
            <w:rStyle w:val="soitChar"/>
          </w:rPr>
          <w:t>24.16.1a Panneaux contreplaqués (PW)</w:t>
        </w:r>
      </w:hyperlink>
      <w:r>
        <w:rPr>
          <w:rStyle w:val="soitChar"/>
        </w:rPr>
        <w:t>.</w:t>
      </w:r>
      <w:r>
        <w:t> </w:t>
      </w:r>
    </w:p>
    <w:p w14:paraId="72246D2E" w14:textId="77777777" w:rsidR="00DF410E" w:rsidRDefault="00CE7F43">
      <w:pPr>
        <w:ind w:left="567"/>
        <w:jc w:val="both"/>
      </w:pPr>
      <w:r>
        <w:rPr>
          <w:rStyle w:val="soitChar"/>
        </w:rPr>
        <w:t>Le multiplex est en bois </w:t>
      </w:r>
      <w:r>
        <w:rPr>
          <w:rStyle w:val="optioncarChar"/>
        </w:rPr>
        <w:t>feuillus / résineux</w:t>
      </w:r>
      <w:r>
        <w:t> </w:t>
      </w:r>
      <w:r>
        <w:rPr>
          <w:rStyle w:val="soitChar"/>
        </w:rPr>
        <w:t>.</w:t>
      </w:r>
      <w:r>
        <w:t> </w:t>
      </w:r>
    </w:p>
    <w:p w14:paraId="7A7D7239" w14:textId="77777777" w:rsidR="00DF410E" w:rsidRDefault="00CE7F43">
      <w:pPr>
        <w:ind w:left="567"/>
        <w:jc w:val="both"/>
      </w:pPr>
      <w:r>
        <w:rPr>
          <w:rStyle w:val="soitChar"/>
        </w:rPr>
        <w:t>Les panneaux ont une épaisseur de </w:t>
      </w:r>
      <w:r>
        <w:rPr>
          <w:rStyle w:val="optioncarChar"/>
        </w:rPr>
        <w:t>14 / 16</w:t>
      </w:r>
      <w:r>
        <w:t> (par défaut)</w:t>
      </w:r>
      <w:r>
        <w:rPr>
          <w:rStyle w:val="optioncarChar"/>
        </w:rPr>
        <w:t> / 19 / 21 / 27 / ***</w:t>
      </w:r>
      <w:r>
        <w:rPr>
          <w:rStyle w:val="soitChar"/>
        </w:rPr>
        <w:t> mm.</w:t>
      </w:r>
    </w:p>
    <w:p w14:paraId="3993DFEE" w14:textId="77777777" w:rsidR="00DF410E" w:rsidRDefault="00CE7F43">
      <w:pPr>
        <w:ind w:left="567"/>
        <w:jc w:val="both"/>
      </w:pPr>
      <w:r>
        <w:rPr>
          <w:b/>
          <w:i/>
        </w:rPr>
        <w:t>(Soit)</w:t>
      </w:r>
    </w:p>
    <w:p w14:paraId="79028499" w14:textId="77777777" w:rsidR="00DF410E" w:rsidRDefault="00CE7F43">
      <w:pPr>
        <w:ind w:left="567"/>
        <w:jc w:val="both"/>
      </w:pPr>
      <w:r>
        <w:rPr>
          <w:rStyle w:val="soitChar"/>
          <w:u w:val="single"/>
        </w:rPr>
        <w:t>CLT</w:t>
      </w:r>
    </w:p>
    <w:p w14:paraId="70A5EB4C" w14:textId="77777777" w:rsidR="00DF410E" w:rsidRDefault="00CE7F43">
      <w:pPr>
        <w:ind w:left="567"/>
        <w:jc w:val="both"/>
      </w:pPr>
      <w:r>
        <w:rPr>
          <w:rStyle w:val="soitChar"/>
        </w:rPr>
        <w:t>Les panneaux répondent à la [NBN EN 16351].</w:t>
      </w:r>
      <w:r>
        <w:t> </w:t>
      </w:r>
    </w:p>
    <w:p w14:paraId="2840BD6B" w14:textId="77777777" w:rsidR="00DF410E" w:rsidRDefault="00CE7F43">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56AF809F" w14:textId="77777777" w:rsidR="00DF410E" w:rsidRDefault="00CE7F43">
      <w:pPr>
        <w:ind w:left="567"/>
        <w:jc w:val="both"/>
      </w:pPr>
      <w:r>
        <w:rPr>
          <w:rStyle w:val="soitChar"/>
        </w:rPr>
        <w:t>Les panneaux sont de qualité </w:t>
      </w:r>
      <w:r>
        <w:rPr>
          <w:rStyle w:val="optioncarChar"/>
        </w:rPr>
        <w:t>non visible</w:t>
      </w:r>
      <w:r>
        <w:t> (par défaut)</w:t>
      </w:r>
      <w:r>
        <w:rPr>
          <w:rStyle w:val="optioncarChar"/>
        </w:rPr>
        <w:t> / visible industrielle / visible habitat</w:t>
      </w:r>
      <w:r>
        <w:rPr>
          <w:rStyle w:val="soitChar"/>
        </w:rPr>
        <w:t>.</w:t>
      </w:r>
    </w:p>
    <w:p w14:paraId="25E629EE" w14:textId="77777777" w:rsidR="00DF410E" w:rsidRDefault="00CE7F43">
      <w:pPr>
        <w:ind w:left="567"/>
        <w:jc w:val="both"/>
      </w:pPr>
      <w:r>
        <w:rPr>
          <w:b/>
          <w:i/>
        </w:rPr>
        <w:t>(Soit)</w:t>
      </w:r>
    </w:p>
    <w:p w14:paraId="09E364F5" w14:textId="77777777" w:rsidR="00DF410E" w:rsidRDefault="00CE7F43">
      <w:pPr>
        <w:ind w:left="567"/>
        <w:jc w:val="both"/>
      </w:pPr>
      <w:r>
        <w:rPr>
          <w:rStyle w:val="optioncarChar"/>
        </w:rPr>
        <w:t>***</w:t>
      </w:r>
      <w:r>
        <w:t> </w:t>
      </w:r>
    </w:p>
    <w:p w14:paraId="73A4C824" w14:textId="77777777" w:rsidR="00DF410E" w:rsidRDefault="00CE7F43">
      <w:pPr>
        <w:jc w:val="both"/>
      </w:pPr>
      <w:r>
        <w:t xml:space="preserve">Le panneau intérieur est </w:t>
      </w:r>
      <w:r>
        <w:rPr>
          <w:rStyle w:val="optioncarChar"/>
        </w:rPr>
        <w:t xml:space="preserve">contreventant </w:t>
      </w:r>
      <w:r>
        <w:t>(par défaut)</w:t>
      </w:r>
      <w:r>
        <w:rPr>
          <w:rStyle w:val="optioncarChar"/>
        </w:rPr>
        <w:t xml:space="preserve"> / non contreventant.</w:t>
      </w:r>
    </w:p>
    <w:p w14:paraId="139F15AD" w14:textId="77777777" w:rsidR="00DF410E" w:rsidRDefault="00CE7F43">
      <w:pPr>
        <w:ind w:left="567"/>
        <w:jc w:val="both"/>
      </w:pPr>
      <w:r>
        <w:rPr>
          <w:b/>
          <w:i/>
        </w:rPr>
        <w:t>(Soit par défaut)</w:t>
      </w:r>
    </w:p>
    <w:p w14:paraId="590F466B" w14:textId="77777777" w:rsidR="00DF410E" w:rsidRDefault="00CE7F43">
      <w:pPr>
        <w:ind w:left="567"/>
        <w:jc w:val="both"/>
      </w:pPr>
      <w:r>
        <w:rPr>
          <w:rStyle w:val="soitChar"/>
          <w:u w:val="single"/>
        </w:rPr>
        <w:t>Contreventant</w:t>
      </w:r>
    </w:p>
    <w:p w14:paraId="3A0D5608" w14:textId="77777777" w:rsidR="00DF410E" w:rsidRDefault="00CE7F43">
      <w:pPr>
        <w:ind w:left="567"/>
        <w:jc w:val="both"/>
      </w:pPr>
      <w:r>
        <w:rPr>
          <w:rStyle w:val="soitChar"/>
        </w:rPr>
        <w:t xml:space="preserve">Résistance en flexion ≥ </w:t>
      </w:r>
      <w:r>
        <w:rPr>
          <w:rStyle w:val="optioncarChar"/>
        </w:rPr>
        <w:t>12 / 14</w:t>
      </w:r>
      <w:r>
        <w:t xml:space="preserve"> (par défaut)</w:t>
      </w:r>
      <w:r>
        <w:rPr>
          <w:rStyle w:val="optioncarChar"/>
        </w:rPr>
        <w:t xml:space="preserve"> / 16 / ***</w:t>
      </w:r>
      <w:r>
        <w:rPr>
          <w:rStyle w:val="soitChar"/>
        </w:rPr>
        <w:t>N/mm² suivant [NBN EN 310] </w:t>
      </w:r>
    </w:p>
    <w:p w14:paraId="2CAA3E9C" w14:textId="77777777" w:rsidR="00DF410E" w:rsidRDefault="00CE7F43">
      <w:pPr>
        <w:ind w:left="567"/>
        <w:jc w:val="both"/>
      </w:pPr>
      <w:r>
        <w:rPr>
          <w:rStyle w:val="soitChar"/>
        </w:rPr>
        <w:t xml:space="preserve">Module d’élasticité en flexion ≥ </w:t>
      </w:r>
      <w:r>
        <w:rPr>
          <w:rStyle w:val="optioncarChar"/>
        </w:rPr>
        <w:t xml:space="preserve">1600 / 1800 </w:t>
      </w:r>
      <w:r>
        <w:t>(par défaut)</w:t>
      </w:r>
      <w:r>
        <w:rPr>
          <w:rStyle w:val="optioncarChar"/>
        </w:rPr>
        <w:t xml:space="preserve"> / 2000 / ***</w:t>
      </w:r>
      <w:r>
        <w:rPr>
          <w:rStyle w:val="soitChar"/>
        </w:rPr>
        <w:t xml:space="preserve"> N/mm² suivant [NBN EN 310].</w:t>
      </w:r>
    </w:p>
    <w:p w14:paraId="1A30A803" w14:textId="77777777" w:rsidR="00DF410E" w:rsidRDefault="00CE7F43">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14:paraId="57AA3D8D" w14:textId="77777777" w:rsidR="00DF410E" w:rsidRDefault="00CE7F43">
      <w:pPr>
        <w:ind w:left="567"/>
        <w:jc w:val="both"/>
      </w:pPr>
      <w:r>
        <w:rPr>
          <w:b/>
          <w:i/>
        </w:rPr>
        <w:t>(Soit)</w:t>
      </w:r>
    </w:p>
    <w:p w14:paraId="3908287C" w14:textId="77777777" w:rsidR="00DF410E" w:rsidRDefault="00CE7F43">
      <w:pPr>
        <w:ind w:left="567"/>
        <w:jc w:val="both"/>
      </w:pPr>
      <w:r>
        <w:rPr>
          <w:rStyle w:val="soitChar"/>
          <w:u w:val="single"/>
        </w:rPr>
        <w:t>Non-contreventant</w:t>
      </w:r>
    </w:p>
    <w:p w14:paraId="0905E3DC" w14:textId="77777777" w:rsidR="00DF410E" w:rsidRDefault="00CE7F43">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 </w:t>
      </w:r>
      <w:r>
        <w:t> </w:t>
      </w:r>
    </w:p>
    <w:p w14:paraId="420314FC" w14:textId="77777777" w:rsidR="00DF410E" w:rsidRDefault="00CE7F43">
      <w:pPr>
        <w:jc w:val="both"/>
      </w:pPr>
      <w:r>
        <w:t xml:space="preserve">Le caisson </w:t>
      </w:r>
      <w:r>
        <w:rPr>
          <w:rStyle w:val="optioncarChar"/>
        </w:rPr>
        <w:t>est / n’est pas</w:t>
      </w:r>
      <w:r>
        <w:t xml:space="preserve"> (par défaut) muni d’une gaine technique d’une épaisseur de </w:t>
      </w:r>
      <w:r>
        <w:rPr>
          <w:rStyle w:val="optioncarChar"/>
        </w:rPr>
        <w:t>60 / ***</w:t>
      </w:r>
      <w:r>
        <w:t xml:space="preserve"> mm </w:t>
      </w:r>
    </w:p>
    <w:p w14:paraId="0B48EBE1" w14:textId="77777777" w:rsidR="00DF410E" w:rsidRDefault="00CE7F43">
      <w:pPr>
        <w:jc w:val="both"/>
      </w:pPr>
      <w:r>
        <w:rPr>
          <w:b/>
        </w:rPr>
        <w:t>Plaque de parement intérieur</w:t>
      </w:r>
    </w:p>
    <w:p w14:paraId="078DD289" w14:textId="77777777" w:rsidR="00DF410E" w:rsidRDefault="00CE7F43">
      <w:pPr>
        <w:jc w:val="both"/>
      </w:pPr>
      <w:r>
        <w:t xml:space="preserve">Les faces sont constituées de </w:t>
      </w:r>
      <w:r>
        <w:rPr>
          <w:rStyle w:val="optioncarChar"/>
        </w:rPr>
        <w:t xml:space="preserve">plaques de plâtre </w:t>
      </w:r>
      <w:r>
        <w:t>(par défaut)</w:t>
      </w:r>
      <w:r>
        <w:rPr>
          <w:rStyle w:val="optioncarChar"/>
        </w:rPr>
        <w:t xml:space="preserve"> / de panneau multiplex bois / d’un panneau OSB / ***.</w:t>
      </w:r>
    </w:p>
    <w:p w14:paraId="66D2834C" w14:textId="77777777" w:rsidR="00DF410E" w:rsidRDefault="00CE7F43">
      <w:pPr>
        <w:ind w:left="567"/>
        <w:jc w:val="both"/>
      </w:pPr>
      <w:r>
        <w:rPr>
          <w:b/>
          <w:i/>
        </w:rPr>
        <w:t>(Soit par défaut)</w:t>
      </w:r>
    </w:p>
    <w:p w14:paraId="3503D6EC" w14:textId="77777777" w:rsidR="00DF410E" w:rsidRDefault="00CE7F43">
      <w:pPr>
        <w:ind w:left="567"/>
        <w:jc w:val="both"/>
      </w:pPr>
      <w:r>
        <w:rPr>
          <w:rStyle w:val="soitChar"/>
          <w:u w:val="single"/>
        </w:rPr>
        <w:t>Plaques de plâtre</w:t>
      </w:r>
    </w:p>
    <w:p w14:paraId="6F58ED2E" w14:textId="77777777" w:rsidR="00DF410E" w:rsidRDefault="00CE7F43">
      <w:pPr>
        <w:ind w:left="567"/>
        <w:jc w:val="both"/>
      </w:pPr>
      <w:r>
        <w:rPr>
          <w:rStyle w:val="soitChar"/>
        </w:rPr>
        <w:t>Plaques de plâtre renforcées de fibres de cellulose dans la masse.</w:t>
      </w:r>
    </w:p>
    <w:p w14:paraId="418FE88F" w14:textId="77777777" w:rsidR="00DF410E" w:rsidRDefault="00CE7F43">
      <w:pPr>
        <w:ind w:left="567"/>
        <w:jc w:val="both"/>
      </w:pPr>
      <w:r>
        <w:rPr>
          <w:rStyle w:val="soitChar"/>
        </w:rPr>
        <w:t xml:space="preserve">La masse volumique de la plaque de plâtre est  ≥ à </w:t>
      </w:r>
      <w:r>
        <w:rPr>
          <w:rStyle w:val="optioncarChar"/>
        </w:rPr>
        <w:t xml:space="preserve">1200 </w:t>
      </w:r>
      <w:r>
        <w:t>(par défaut) </w:t>
      </w:r>
      <w:r>
        <w:rPr>
          <w:rStyle w:val="optioncarChar"/>
        </w:rPr>
        <w:t>/ 1400</w:t>
      </w:r>
      <w:r>
        <w:rPr>
          <w:rStyle w:val="soitChar"/>
        </w:rPr>
        <w:t>kg/m³.</w:t>
      </w:r>
    </w:p>
    <w:p w14:paraId="48D990B0" w14:textId="77777777" w:rsidR="00DF410E" w:rsidRDefault="00CE7F43">
      <w:pPr>
        <w:ind w:left="567"/>
        <w:jc w:val="both"/>
      </w:pPr>
      <w:r>
        <w:rPr>
          <w:rStyle w:val="soitChar"/>
        </w:rPr>
        <w:t xml:space="preserve">L’épaisseur des plaques est de </w:t>
      </w:r>
      <w:r>
        <w:rPr>
          <w:rStyle w:val="optioncarChar"/>
        </w:rPr>
        <w:t>12,5 </w:t>
      </w:r>
      <w:r>
        <w:t xml:space="preserve"> (par défaut)</w:t>
      </w:r>
      <w:r>
        <w:rPr>
          <w:rStyle w:val="optioncarChar"/>
        </w:rPr>
        <w:t xml:space="preserve"> / 15</w:t>
      </w:r>
      <w:r>
        <w:rPr>
          <w:rStyle w:val="soitChar"/>
        </w:rPr>
        <w:t xml:space="preserve"> mm.</w:t>
      </w:r>
    </w:p>
    <w:p w14:paraId="5D908880" w14:textId="77777777" w:rsidR="00DF410E" w:rsidRDefault="00CE7F43">
      <w:pPr>
        <w:ind w:left="567"/>
        <w:jc w:val="both"/>
      </w:pPr>
      <w:r>
        <w:rPr>
          <w:b/>
          <w:i/>
        </w:rPr>
        <w:t>(Soit)</w:t>
      </w:r>
    </w:p>
    <w:p w14:paraId="0CD18B2B" w14:textId="77777777" w:rsidR="00DF410E" w:rsidRDefault="00CE7F43">
      <w:pPr>
        <w:ind w:left="567"/>
        <w:jc w:val="both"/>
      </w:pPr>
      <w:r>
        <w:rPr>
          <w:rStyle w:val="soitChar"/>
          <w:u w:val="single"/>
        </w:rPr>
        <w:t>Multiplex bois</w:t>
      </w:r>
    </w:p>
    <w:p w14:paraId="5DD49CFA" w14:textId="77777777" w:rsidR="00DF410E" w:rsidRDefault="00CE7F43">
      <w:pPr>
        <w:ind w:left="567"/>
        <w:jc w:val="both"/>
      </w:pPr>
      <w:r>
        <w:rPr>
          <w:rStyle w:val="soitChar"/>
        </w:rPr>
        <w:t xml:space="preserve">Le multiplex est en bois </w:t>
      </w:r>
      <w:r>
        <w:rPr>
          <w:rStyle w:val="optioncarChar"/>
        </w:rPr>
        <w:t>feuillus / résineux.</w:t>
      </w:r>
    </w:p>
    <w:p w14:paraId="4097110A" w14:textId="77777777" w:rsidR="00DF410E" w:rsidRDefault="00CE7F43">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14:paraId="7E758DE3" w14:textId="77777777" w:rsidR="00DF410E" w:rsidRDefault="00CE7F43">
      <w:pPr>
        <w:ind w:left="567"/>
        <w:jc w:val="both"/>
      </w:pPr>
      <w:r>
        <w:rPr>
          <w:rStyle w:val="soitChar"/>
        </w:rPr>
        <w:t>Les panneaux sont </w:t>
      </w:r>
      <w:r>
        <w:rPr>
          <w:rStyle w:val="optioncarChar"/>
        </w:rPr>
        <w:t>à bord droit / rainurés languettés </w:t>
      </w:r>
      <w:r>
        <w:t>(par défaut).</w:t>
      </w:r>
    </w:p>
    <w:p w14:paraId="7ED134D2" w14:textId="77777777" w:rsidR="00DF410E" w:rsidRDefault="00CE7F43">
      <w:pPr>
        <w:ind w:left="567"/>
        <w:jc w:val="both"/>
      </w:pPr>
      <w:r>
        <w:rPr>
          <w:b/>
          <w:i/>
        </w:rPr>
        <w:t>(Soit)</w:t>
      </w:r>
    </w:p>
    <w:p w14:paraId="3AE46A21" w14:textId="77777777" w:rsidR="00DF410E" w:rsidRDefault="00CE7F43">
      <w:pPr>
        <w:ind w:left="567"/>
        <w:jc w:val="both"/>
      </w:pPr>
      <w:r>
        <w:rPr>
          <w:rStyle w:val="soitChar"/>
          <w:u w:val="single"/>
        </w:rPr>
        <w:t>Osb</w:t>
      </w:r>
    </w:p>
    <w:p w14:paraId="67C847FB" w14:textId="77777777" w:rsidR="00DF410E" w:rsidRDefault="00CE7F43">
      <w:pPr>
        <w:ind w:left="567"/>
        <w:jc w:val="both"/>
      </w:pPr>
      <w:r>
        <w:rPr>
          <w:rStyle w:val="soitChar"/>
        </w:rPr>
        <w:t xml:space="preserve">Pour le descriptif voir l’article </w:t>
      </w:r>
      <w:hyperlink w:anchor="595" w:history="1">
        <w:r>
          <w:rPr>
            <w:rStyle w:val="soitChar"/>
          </w:rPr>
          <w:t>24.16.1b Panneaux OSB</w:t>
        </w:r>
      </w:hyperlink>
    </w:p>
    <w:p w14:paraId="097E59C7" w14:textId="77777777" w:rsidR="00DF410E" w:rsidRDefault="00CE7F43">
      <w:pPr>
        <w:ind w:left="567"/>
        <w:jc w:val="both"/>
      </w:pPr>
      <w:r>
        <w:rPr>
          <w:rStyle w:val="soitChar"/>
        </w:rPr>
        <w:t>Les panneaux sont </w:t>
      </w:r>
      <w:r>
        <w:rPr>
          <w:rStyle w:val="optioncarChar"/>
        </w:rPr>
        <w:t>à bord droit / rainurés languettés</w:t>
      </w:r>
      <w:r>
        <w:t xml:space="preserve"> (par défaut).</w:t>
      </w:r>
    </w:p>
    <w:p w14:paraId="4F46E8DB" w14:textId="77777777" w:rsidR="00DF410E" w:rsidRDefault="00CE7F43">
      <w:pPr>
        <w:ind w:left="567"/>
        <w:jc w:val="both"/>
      </w:pPr>
      <w:r>
        <w:rPr>
          <w:rStyle w:val="soitChar"/>
        </w:rPr>
        <w:t>Les panneaux répondent à la [NBN EN 300] et à la [NBN EN 13986+A1].</w:t>
      </w:r>
    </w:p>
    <w:p w14:paraId="6E5FF0EC" w14:textId="77777777" w:rsidR="00DF410E" w:rsidRDefault="00CE7F43">
      <w:pPr>
        <w:ind w:left="567"/>
        <w:jc w:val="both"/>
      </w:pPr>
      <w:r>
        <w:rPr>
          <w:b/>
          <w:i/>
        </w:rPr>
        <w:t>(Soit)</w:t>
      </w:r>
    </w:p>
    <w:p w14:paraId="71AA85FE" w14:textId="77777777" w:rsidR="00DF410E" w:rsidRDefault="00CE7F43">
      <w:pPr>
        <w:ind w:left="567"/>
        <w:jc w:val="both"/>
      </w:pPr>
      <w:r>
        <w:rPr>
          <w:rStyle w:val="optioncarChar"/>
        </w:rPr>
        <w:t>***</w:t>
      </w:r>
    </w:p>
    <w:p w14:paraId="35E34FA5" w14:textId="77777777" w:rsidR="00DF410E" w:rsidRDefault="00DF410E">
      <w:pPr>
        <w:ind w:left="567"/>
        <w:jc w:val="both"/>
      </w:pPr>
    </w:p>
    <w:p w14:paraId="6C7335D8" w14:textId="77777777" w:rsidR="00DF410E" w:rsidRDefault="00CE7F43">
      <w:pPr>
        <w:jc w:val="both"/>
      </w:pPr>
      <w:r>
        <w:t xml:space="preserve">La réaction au feu est de classe </w:t>
      </w:r>
      <w:r>
        <w:rPr>
          <w:rStyle w:val="optioncarChar"/>
        </w:rPr>
        <w:t xml:space="preserve">D-s2, d0 </w:t>
      </w:r>
      <w:r>
        <w:t>(par défaut)</w:t>
      </w:r>
      <w:r>
        <w:rPr>
          <w:rStyle w:val="optioncarChar"/>
        </w:rPr>
        <w:t xml:space="preserve"> / ***.</w:t>
      </w:r>
    </w:p>
    <w:p w14:paraId="1AE5958F" w14:textId="77777777" w:rsidR="00DF410E" w:rsidRDefault="00CE7F43">
      <w:pPr>
        <w:pStyle w:val="pheading"/>
      </w:pPr>
      <w:r>
        <w:t>- Finitions</w:t>
      </w:r>
    </w:p>
    <w:p w14:paraId="74A74C9D" w14:textId="77777777" w:rsidR="00DF410E" w:rsidRDefault="00CE7F43">
      <w:r>
        <w:t>La plaque de parement intérieur est peinte ou recouverte d’un enduit intérieur.</w:t>
      </w:r>
    </w:p>
    <w:p w14:paraId="51330FAE" w14:textId="77777777" w:rsidR="00DF410E" w:rsidRDefault="00CE7F43">
      <w:r>
        <w:t>La peinture (</w:t>
      </w:r>
      <w:hyperlink r:id="rId269" w:history="1" w:docLocation="47">
        <w:r>
          <w:t>8 T8 Travaux de peinture / Traitements de surface</w:t>
        </w:r>
      </w:hyperlink>
      <w:r>
        <w:t>) ou finition (</w:t>
      </w:r>
      <w:hyperlink r:id="rId270" w:history="1" w:docLocation="44">
        <w:r>
          <w:t>5 T5 Fermetures / Finitions intérieures</w:t>
        </w:r>
      </w:hyperlink>
      <w:r>
        <w:t>) éventuelles sont comprises dans un autre article.</w:t>
      </w:r>
    </w:p>
    <w:p w14:paraId="2EED6EBD" w14:textId="77777777" w:rsidR="00DF410E" w:rsidRDefault="00CE7F43">
      <w:pPr>
        <w:pStyle w:val="pheading"/>
      </w:pPr>
      <w:r>
        <w:t>- Prescriptions complémentaires</w:t>
      </w:r>
    </w:p>
    <w:p w14:paraId="65BE0B0B" w14:textId="77777777" w:rsidR="00DF410E" w:rsidRDefault="00CE7F43">
      <w:pPr>
        <w:jc w:val="both"/>
      </w:pPr>
      <w:r>
        <w:t xml:space="preserve">La résistance au feu déclarée de la paroi : </w:t>
      </w:r>
      <w:r>
        <w:rPr>
          <w:rStyle w:val="optioncarChar"/>
        </w:rPr>
        <w:t xml:space="preserve">pas d’exigences </w:t>
      </w:r>
      <w:r>
        <w:t>(par défaut)</w:t>
      </w:r>
      <w:r>
        <w:rPr>
          <w:rStyle w:val="optioncarChar"/>
        </w:rPr>
        <w:t xml:space="preserve"> / REI 30 / EI30 / REI 60 / EI 60 / ***.</w:t>
      </w:r>
    </w:p>
    <w:p w14:paraId="46BAA2A7" w14:textId="77777777" w:rsidR="00DF410E" w:rsidRDefault="00CE7F43">
      <w:pPr>
        <w:jc w:val="both"/>
      </w:pPr>
      <w:r>
        <w:t xml:space="preserve">En matière de qualité de l’air l’élément préfabriqué </w:t>
      </w:r>
      <w:r>
        <w:rPr>
          <w:rStyle w:val="optioncarChar"/>
        </w:rPr>
        <w:t xml:space="preserve">répond à l’[AR 2014-05-08] établissant les niveaux seuils pour les émissions dans l’environnement intérieur de produits de construction pour certains usages prévus / au label EMICODE EC 1+ / au label EMICODE EC 1 </w:t>
      </w:r>
      <w:r>
        <w:t>(par défaut)</w:t>
      </w:r>
      <w:r>
        <w:rPr>
          <w:rStyle w:val="optioncarChar"/>
        </w:rPr>
        <w:t xml:space="preserve"> / au label EMICODE EC 2 / ***.</w:t>
      </w:r>
    </w:p>
    <w:p w14:paraId="00FEAB9A" w14:textId="77777777" w:rsidR="00DF410E" w:rsidRDefault="00CE7F43">
      <w:pPr>
        <w:pStyle w:val="pheading"/>
      </w:pPr>
      <w:r>
        <w:t>EXÉCUTION / MISE EN ŒUVRE</w:t>
      </w:r>
    </w:p>
    <w:p w14:paraId="4509D8A2" w14:textId="77777777" w:rsidR="00DF410E" w:rsidRDefault="00CE7F43">
      <w:pPr>
        <w:pStyle w:val="pheading"/>
      </w:pPr>
      <w:r>
        <w:t>- Prescriptions générales</w:t>
      </w:r>
    </w:p>
    <w:p w14:paraId="25C8A6B5" w14:textId="77777777" w:rsidR="00DF410E" w:rsidRDefault="00CE7F43">
      <w:pPr>
        <w:jc w:val="both"/>
      </w:pPr>
      <w:r>
        <w:t>Les sections de l’ossature préfabriquée et les modes de jonctions de ces parois font l’objet d’une validation par un bureau d’ingénieur.</w:t>
      </w:r>
    </w:p>
    <w:p w14:paraId="1DB02341" w14:textId="77777777" w:rsidR="00DF410E" w:rsidRDefault="00CE7F43">
      <w:pPr>
        <w:jc w:val="both"/>
      </w:pPr>
      <w:r>
        <w:t>Tous les assemblages mécaniques structuraux sont dimensionnés selon les principes de l’Eurocode 5 [NBN EN 1995-1-1].</w:t>
      </w:r>
    </w:p>
    <w:p w14:paraId="0945429E" w14:textId="77777777" w:rsidR="00DF410E" w:rsidRDefault="00CE7F43">
      <w:pPr>
        <w:jc w:val="both"/>
      </w:pPr>
      <w:r>
        <w:t>Sauf indication contraire, tous les bâtiments ou parties de bâtiments construits en bois doivent respecter les tolérances de mise en œuvre énoncées dans la [STS 23-1].</w:t>
      </w:r>
    </w:p>
    <w:p w14:paraId="41195E3F" w14:textId="77777777" w:rsidR="00DF410E" w:rsidRDefault="00CE7F43">
      <w:pPr>
        <w:jc w:val="both"/>
      </w:pPr>
      <w:r>
        <w:t>Dans le cas d’un bâtiment bas (H&lt;10) en ossature bois, les tolérances de mise en œuvre listées dans la [STS 23-1] doivent aussi être respectées.</w:t>
      </w:r>
    </w:p>
    <w:p w14:paraId="05416F3B" w14:textId="77777777" w:rsidR="00DF410E" w:rsidRDefault="00CE7F43">
      <w:pPr>
        <w:jc w:val="both"/>
      </w:pPr>
      <w:r>
        <w:t>Les faces de la cloison sont protégées pour permettre le transport de l’élément préfabriqué.</w:t>
      </w:r>
    </w:p>
    <w:p w14:paraId="3A54E3D4" w14:textId="77777777" w:rsidR="00DF410E" w:rsidRDefault="00CE7F43">
      <w:pPr>
        <w:jc w:val="both"/>
      </w:pPr>
      <w:r>
        <w:rPr>
          <w:b/>
        </w:rPr>
        <w:t>Pare-vapeur – frein vapeur</w:t>
      </w:r>
    </w:p>
    <w:p w14:paraId="65B51B19" w14:textId="77777777" w:rsidR="00DF410E" w:rsidRDefault="00CE7F43">
      <w:pPr>
        <w:jc w:val="both"/>
      </w:pPr>
      <w:r>
        <w:t>La continuité d’étanchéité est assurée par</w:t>
      </w:r>
      <w:r>
        <w:rPr>
          <w:rStyle w:val="optioncarChar"/>
        </w:rPr>
        <w:t xml:space="preserve"> bandes adhésives </w:t>
      </w:r>
      <w:r>
        <w:t>(par défaut)</w:t>
      </w:r>
      <w:r>
        <w:rPr>
          <w:rStyle w:val="optioncarChar"/>
        </w:rPr>
        <w:t xml:space="preserve"> / mousse comprimée / mastics de resserrage / préformé d’étanchéité / ***.</w:t>
      </w:r>
    </w:p>
    <w:p w14:paraId="6FDD7B2D" w14:textId="77777777" w:rsidR="00DF410E" w:rsidRDefault="00CE7F43">
      <w:pPr>
        <w:jc w:val="both"/>
      </w:pPr>
      <w:r>
        <w:t xml:space="preserve">Pour le descriptif des bandes adhésive, voir article </w:t>
      </w:r>
      <w:hyperlink r:id="rId271" w:history="1" w:docLocation="597">
        <w:r>
          <w:t>32.23.1c Bandes adhésives d'étanchéité à l'air et à la vapeur en polyéthylène</w:t>
        </w:r>
      </w:hyperlink>
    </w:p>
    <w:p w14:paraId="1ECB592C" w14:textId="77777777" w:rsidR="00DF410E" w:rsidRDefault="00CE7F43">
      <w:pPr>
        <w:jc w:val="both"/>
      </w:pPr>
      <w:r>
        <w:rPr>
          <w:b/>
        </w:rPr>
        <w:t>Assemblages</w:t>
      </w:r>
    </w:p>
    <w:p w14:paraId="7A28AF25" w14:textId="77777777" w:rsidR="00DF410E" w:rsidRDefault="00CE7F43">
      <w:pPr>
        <w:jc w:val="both"/>
      </w:pPr>
      <w:r>
        <w:t xml:space="preserve">Les organes d’assemblage sont conformes aux prescriptions de la [NBN EN 14592]. L’entraxe des organes d’assemblage est de </w:t>
      </w:r>
      <w:r>
        <w:rPr>
          <w:rStyle w:val="optioncarChar"/>
        </w:rPr>
        <w:t>30 / 60</w:t>
      </w:r>
      <w:r>
        <w:t xml:space="preserve"> (par défaut)</w:t>
      </w:r>
      <w:r>
        <w:rPr>
          <w:rStyle w:val="optioncarChar"/>
        </w:rPr>
        <w:t xml:space="preserve"> / ***</w:t>
      </w:r>
      <w:r>
        <w:t xml:space="preserve"> cm</w:t>
      </w:r>
    </w:p>
    <w:p w14:paraId="05D40732" w14:textId="77777777" w:rsidR="00DF410E" w:rsidRDefault="00CE7F43">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14:paraId="3224BA3E" w14:textId="77777777" w:rsidR="00DF410E" w:rsidRDefault="00CE7F43">
      <w:pPr>
        <w:jc w:val="both"/>
      </w:pPr>
      <w:r>
        <w:rPr>
          <w:b/>
        </w:rPr>
        <w:t xml:space="preserve"> Fixation en pied de mur </w:t>
      </w:r>
    </w:p>
    <w:p w14:paraId="4609B563" w14:textId="77777777" w:rsidR="00DF410E" w:rsidRDefault="00CE7F43">
      <w:pPr>
        <w:jc w:val="both"/>
      </w:pPr>
      <w:r>
        <w:t xml:space="preserve">Le caisson est fixé </w:t>
      </w:r>
      <w:r>
        <w:rPr>
          <w:rStyle w:val="optioncarChar"/>
        </w:rPr>
        <w:t xml:space="preserve">par l’intermédiaire d’une lisse basse </w:t>
      </w:r>
      <w:r>
        <w:t>(par défaut)</w:t>
      </w:r>
      <w:r>
        <w:rPr>
          <w:rStyle w:val="optioncarChar"/>
        </w:rPr>
        <w:t xml:space="preserve"> / par dispositifs d’ancrage ponctuels sur le gros œuvre existant / ***.</w:t>
      </w:r>
    </w:p>
    <w:p w14:paraId="7D808123" w14:textId="77777777" w:rsidR="00DF410E" w:rsidRDefault="00CE7F43">
      <w:pPr>
        <w:ind w:left="567"/>
        <w:jc w:val="both"/>
      </w:pPr>
      <w:r>
        <w:rPr>
          <w:b/>
          <w:i/>
        </w:rPr>
        <w:t>(Soit par défaut)</w:t>
      </w:r>
    </w:p>
    <w:p w14:paraId="45E70451" w14:textId="77777777" w:rsidR="00DF410E" w:rsidRDefault="00CE7F43">
      <w:pPr>
        <w:ind w:left="567"/>
        <w:jc w:val="both"/>
      </w:pPr>
      <w:r>
        <w:rPr>
          <w:rStyle w:val="soitChar"/>
          <w:u w:val="single"/>
        </w:rPr>
        <w:t>La lisse basse</w:t>
      </w:r>
      <w:r>
        <w:rPr>
          <w:rStyle w:val="soitChar"/>
        </w:rPr>
        <w:t xml:space="preserve"> est fixée par </w:t>
      </w:r>
      <w:r>
        <w:rPr>
          <w:rStyle w:val="optioncarChar"/>
        </w:rPr>
        <w:t xml:space="preserve">cheville métallique </w:t>
      </w:r>
      <w:r>
        <w:t>(par défaut)</w:t>
      </w:r>
      <w:r>
        <w:rPr>
          <w:rStyle w:val="optioncarChar"/>
        </w:rPr>
        <w:t xml:space="preserve"> / vis spécifique béton / tiges filetées et ancrages chimiques / équerres de fixation / ***</w:t>
      </w:r>
      <w:r>
        <w:rPr>
          <w:rStyle w:val="soitChar"/>
        </w:rPr>
        <w:t xml:space="preserve">. La lisse basse ou lisse de pose est décrite dans l’article </w:t>
      </w:r>
      <w:hyperlink w:anchor="590" w:history="1">
        <w:r>
          <w:rPr>
            <w:rStyle w:val="soitChar"/>
          </w:rPr>
          <w:t>24.11.1a Lisses de pose en bois massif</w:t>
        </w:r>
      </w:hyperlink>
      <w:r>
        <w:rPr>
          <w:rStyle w:val="soitChar"/>
        </w:rPr>
        <w:t>.</w:t>
      </w:r>
    </w:p>
    <w:p w14:paraId="4A9D60C8" w14:textId="77777777" w:rsidR="00DF410E" w:rsidRDefault="00CE7F43">
      <w:pPr>
        <w:ind w:left="567"/>
        <w:jc w:val="both"/>
      </w:pPr>
      <w:r>
        <w:rPr>
          <w:b/>
          <w:i/>
        </w:rPr>
        <w:t>(Soit)</w:t>
      </w:r>
    </w:p>
    <w:p w14:paraId="1296ABD4" w14:textId="77777777" w:rsidR="00DF410E" w:rsidRDefault="00CE7F43">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 (par défaut) / tige filetée</w:t>
      </w:r>
      <w:r>
        <w:t>  </w:t>
      </w:r>
      <w:r>
        <w:rPr>
          <w:rStyle w:val="soitChar"/>
        </w:rPr>
        <w:t xml:space="preserve">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14:paraId="394AAF52" w14:textId="77777777" w:rsidR="00DF410E" w:rsidRDefault="00CE7F43">
      <w:pPr>
        <w:ind w:left="567"/>
        <w:jc w:val="both"/>
      </w:pPr>
      <w:r>
        <w:rPr>
          <w:b/>
          <w:i/>
        </w:rPr>
        <w:t>(Soit)</w:t>
      </w:r>
    </w:p>
    <w:p w14:paraId="0134A553" w14:textId="77777777" w:rsidR="00DF410E" w:rsidRDefault="00CE7F43">
      <w:pPr>
        <w:ind w:left="567"/>
        <w:jc w:val="both"/>
      </w:pPr>
      <w:r>
        <w:rPr>
          <w:rStyle w:val="optioncarChar"/>
        </w:rPr>
        <w:t>***</w:t>
      </w:r>
    </w:p>
    <w:p w14:paraId="5BB70E08" w14:textId="77777777" w:rsidR="00DF410E" w:rsidRDefault="00CE7F43">
      <w:pPr>
        <w:jc w:val="both"/>
      </w:pPr>
      <w:r>
        <w:t xml:space="preserve">L’assemblage de pied de paroi est muni d’une bande d’arase en </w:t>
      </w:r>
      <w:r>
        <w:rPr>
          <w:rStyle w:val="optioncarChar"/>
        </w:rPr>
        <w:t xml:space="preserve">membrane élastomère </w:t>
      </w:r>
      <w:r>
        <w:t xml:space="preserve">(par défaut) </w:t>
      </w:r>
      <w:r>
        <w:rPr>
          <w:rStyle w:val="optioncarChar"/>
        </w:rPr>
        <w:t>/ membrane bitumineuse / membrane à base butyle / membrane polypropylène / ***.</w:t>
      </w:r>
    </w:p>
    <w:p w14:paraId="18A2418B" w14:textId="77777777" w:rsidR="00DF410E" w:rsidRDefault="00CE7F43">
      <w:pPr>
        <w:jc w:val="both"/>
      </w:pPr>
      <w:r>
        <w:rPr>
          <w:b/>
        </w:rPr>
        <w:t>Fixation entre caissons de même plan</w:t>
      </w:r>
    </w:p>
    <w:p w14:paraId="23B9415F" w14:textId="77777777" w:rsidR="00DF410E" w:rsidRDefault="00CE7F43">
      <w:pPr>
        <w:jc w:val="both"/>
      </w:pPr>
      <w:r>
        <w:t xml:space="preserve">L’assemblage est réalisé par </w:t>
      </w:r>
      <w:r>
        <w:rPr>
          <w:rStyle w:val="optioncarChar"/>
        </w:rPr>
        <w:t xml:space="preserve">tire-fond </w:t>
      </w:r>
      <w:r>
        <w:t>(par défaut)</w:t>
      </w:r>
      <w:r>
        <w:rPr>
          <w:rStyle w:val="optioncarChar"/>
        </w:rPr>
        <w:t xml:space="preserve">  / plats métallique / profilés collaborant / ***.</w:t>
      </w:r>
    </w:p>
    <w:p w14:paraId="150DA51E" w14:textId="77777777" w:rsidR="00DF410E" w:rsidRDefault="00CE7F43">
      <w:pPr>
        <w:jc w:val="both"/>
      </w:pPr>
      <w:r>
        <w:rPr>
          <w:b/>
        </w:rPr>
        <w:t>Assemblage d’angles</w:t>
      </w:r>
    </w:p>
    <w:p w14:paraId="47842DF0" w14:textId="77777777" w:rsidR="00DF410E" w:rsidRDefault="00CE7F43">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 œuvre existant / ***.</w:t>
      </w:r>
    </w:p>
    <w:p w14:paraId="34E33950" w14:textId="77777777" w:rsidR="00DF410E" w:rsidRDefault="00CE7F43">
      <w:pPr>
        <w:ind w:left="567"/>
        <w:jc w:val="both"/>
      </w:pPr>
      <w:r>
        <w:rPr>
          <w:b/>
          <w:i/>
        </w:rPr>
        <w:t>(Soit par défaut)</w:t>
      </w:r>
    </w:p>
    <w:p w14:paraId="0C1A85D6" w14:textId="77777777" w:rsidR="00DF410E" w:rsidRDefault="00CE7F43">
      <w:pPr>
        <w:ind w:left="567"/>
        <w:jc w:val="both"/>
      </w:pPr>
      <w:r>
        <w:rPr>
          <w:rStyle w:val="soitChar"/>
          <w:u w:val="single"/>
        </w:rPr>
        <w:t>Vis traversante</w:t>
      </w:r>
      <w:r>
        <w:rPr>
          <w:rStyle w:val="soitChar"/>
        </w:rPr>
        <w:t xml:space="preserve"> : La fixation de type tire-fond est appliquée sur le montant intérieur du caisson à assembler ou par fixations inclinées. Le nombre de fixations et les sections répondent au dimensionnement selon la [NBN EN 1995 série].</w:t>
      </w:r>
    </w:p>
    <w:p w14:paraId="708D1910" w14:textId="77777777" w:rsidR="00DF410E" w:rsidRDefault="00CE7F43">
      <w:pPr>
        <w:ind w:left="567"/>
        <w:jc w:val="both"/>
      </w:pPr>
      <w:r>
        <w:rPr>
          <w:b/>
          <w:i/>
        </w:rPr>
        <w:t>(Soit)</w:t>
      </w:r>
    </w:p>
    <w:p w14:paraId="70076F19" w14:textId="77777777" w:rsidR="00DF410E" w:rsidRDefault="00CE7F43">
      <w:pPr>
        <w:ind w:left="567"/>
        <w:jc w:val="both"/>
      </w:pPr>
      <w:r>
        <w:rPr>
          <w:rStyle w:val="soitChar"/>
          <w:u w:val="single"/>
        </w:rPr>
        <w:t>Dispositifs d’ancrage ponctuels</w:t>
      </w:r>
      <w:r>
        <w:rPr>
          <w:rStyle w:val="soitChar"/>
        </w:rPr>
        <w:t xml:space="preserve"> : Les dispositifs de fixation sont des </w:t>
      </w:r>
      <w:r>
        <w:rPr>
          <w:rStyle w:val="optioncarChar"/>
        </w:rPr>
        <w:t>équerres métalliques</w:t>
      </w:r>
      <w:r>
        <w:t xml:space="preserve"> (par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t>  </w:t>
      </w:r>
      <w:r>
        <w:rPr>
          <w:rStyle w:val="soitChar"/>
        </w:rPr>
        <w:t xml:space="preserve">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14:paraId="683E0EB0" w14:textId="77777777" w:rsidR="00DF410E" w:rsidRDefault="00CE7F43">
      <w:pPr>
        <w:ind w:left="567"/>
        <w:jc w:val="both"/>
      </w:pPr>
      <w:r>
        <w:rPr>
          <w:b/>
          <w:i/>
        </w:rPr>
        <w:t>(Soit)</w:t>
      </w:r>
    </w:p>
    <w:p w14:paraId="2FC6527A" w14:textId="77777777" w:rsidR="00DF410E" w:rsidRDefault="00CE7F43">
      <w:pPr>
        <w:ind w:left="567"/>
        <w:jc w:val="both"/>
      </w:pPr>
      <w:r>
        <w:rPr>
          <w:rStyle w:val="optioncarChar"/>
        </w:rPr>
        <w:t>***</w:t>
      </w:r>
    </w:p>
    <w:p w14:paraId="6656D24F" w14:textId="77777777" w:rsidR="00DF410E" w:rsidRDefault="00CE7F43">
      <w:pPr>
        <w:jc w:val="both"/>
      </w:pPr>
      <w:r>
        <w:t> </w:t>
      </w:r>
    </w:p>
    <w:p w14:paraId="2BCEFF2F" w14:textId="77777777" w:rsidR="00DF410E" w:rsidRDefault="00CE7F43">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3F2089C9" w14:textId="77777777" w:rsidR="00DF410E" w:rsidRDefault="00CE7F43">
      <w:pPr>
        <w:jc w:val="both"/>
      </w:pPr>
      <w:r>
        <w:t xml:space="preserve">Les dispositifs d’ancrage sont décrits dans les éléments du </w:t>
      </w:r>
      <w:hyperlink w:anchor="583" w:history="1">
        <w:r>
          <w:t>24.4 Assemblages</w:t>
        </w:r>
      </w:hyperlink>
      <w:r>
        <w:t xml:space="preserve"> mais la fourniture et la pose sont comprises dans le présent travail.</w:t>
      </w:r>
    </w:p>
    <w:p w14:paraId="5E52CA72" w14:textId="77777777" w:rsidR="00DF410E" w:rsidRDefault="00DF410E"/>
    <w:p w14:paraId="292D5CDE" w14:textId="77777777" w:rsidR="00DF410E" w:rsidRDefault="00CE7F43">
      <w:pPr>
        <w:jc w:val="both"/>
      </w:pPr>
      <w:r>
        <w:rPr>
          <w:b/>
        </w:rPr>
        <w:t>Travaux préalables :  HVAC - Sanitaires - Electricité</w:t>
      </w:r>
    </w:p>
    <w:p w14:paraId="4C50883D" w14:textId="77777777" w:rsidR="00DF410E" w:rsidRDefault="00CE7F43">
      <w:pPr>
        <w:jc w:val="both"/>
      </w:pPr>
      <w:r>
        <w:t xml:space="preserve">Les travaux comprennent dans la réalisation de la paroi le forage et le défonçage (fraisage) et éléments nécessaires aux travaux des installations HVAC, sanitaires et électriques : </w:t>
      </w:r>
      <w:r>
        <w:rPr>
          <w:rStyle w:val="optioncarChar"/>
        </w:rPr>
        <w:t xml:space="preserve">non </w:t>
      </w:r>
      <w:r>
        <w:t xml:space="preserve">(par défaut) </w:t>
      </w:r>
      <w:r>
        <w:rPr>
          <w:rStyle w:val="optioncarChar"/>
        </w:rPr>
        <w:t>/ oui</w:t>
      </w:r>
    </w:p>
    <w:p w14:paraId="488772F6" w14:textId="77777777" w:rsidR="00DF410E" w:rsidRDefault="00CE7F43">
      <w:pPr>
        <w:ind w:left="567"/>
        <w:jc w:val="both"/>
      </w:pPr>
      <w:r>
        <w:rPr>
          <w:b/>
          <w:i/>
        </w:rPr>
        <w:t>(Soit par défaut)</w:t>
      </w:r>
    </w:p>
    <w:p w14:paraId="0F52294D" w14:textId="77777777" w:rsidR="00DF410E" w:rsidRDefault="00CE7F43">
      <w:pPr>
        <w:ind w:left="567"/>
        <w:jc w:val="both"/>
      </w:pPr>
      <w:r>
        <w:rPr>
          <w:rStyle w:val="soitChar"/>
          <w:u w:val="single"/>
        </w:rPr>
        <w:t>Non :</w:t>
      </w:r>
      <w:r>
        <w:rPr>
          <w:rStyle w:val="soitChar"/>
        </w:rPr>
        <w:t xml:space="preserve"> Les travaux ne comprennent aucun élément en préfabrication en vue de la réalisation des travaux HVAC, sanitaires et électriques. Les travaux s’y référant sont décrits dans le </w:t>
      </w:r>
      <w:hyperlink r:id="rId272" w:history="1" w:docLocation="34">
        <w:r>
          <w:rPr>
            <w:rStyle w:val="soitChar"/>
          </w:rPr>
          <w:t>6 T6 HVAC - sanitaires</w:t>
        </w:r>
      </w:hyperlink>
      <w:r>
        <w:rPr>
          <w:rStyle w:val="soitChar"/>
        </w:rPr>
        <w:t xml:space="preserve"> et </w:t>
      </w:r>
      <w:hyperlink r:id="rId273" w:history="1" w:docLocation="35">
        <w:r>
          <w:rPr>
            <w:rStyle w:val="soitChar"/>
          </w:rPr>
          <w:t>7 T7 Electricité</w:t>
        </w:r>
      </w:hyperlink>
      <w:r>
        <w:rPr>
          <w:rStyle w:val="soitChar"/>
        </w:rPr>
        <w:t xml:space="preserve"> et sont réalisés a posteriori.</w:t>
      </w:r>
    </w:p>
    <w:p w14:paraId="5E0731F5" w14:textId="77777777" w:rsidR="00DF410E" w:rsidRDefault="00CE7F43">
      <w:pPr>
        <w:ind w:left="567"/>
        <w:jc w:val="both"/>
      </w:pPr>
      <w:r>
        <w:rPr>
          <w:b/>
          <w:i/>
        </w:rPr>
        <w:t>(Soit)</w:t>
      </w:r>
    </w:p>
    <w:p w14:paraId="55146CAE" w14:textId="77777777" w:rsidR="00DF410E" w:rsidRDefault="00CE7F43">
      <w:pPr>
        <w:ind w:left="567"/>
        <w:jc w:val="both"/>
      </w:pPr>
      <w:r>
        <w:rPr>
          <w:rStyle w:val="soitChar"/>
          <w:u w:val="single"/>
        </w:rPr>
        <w:t>Oui :</w:t>
      </w:r>
      <w:r>
        <w:rPr>
          <w:rStyle w:val="soitChar"/>
        </w:rPr>
        <w:t xml:space="preserve"> Les travaux comprennent dans la réalisation de la paroi, en préfabrication, le forage et le défonçage (fraisage) et éléments nécessaires aux travaux des installations HVAC, sanitaires et électriques. Les travaux s’y référant sont décrits dans le </w:t>
      </w:r>
      <w:hyperlink r:id="rId274" w:history="1" w:docLocation="34">
        <w:r>
          <w:rPr>
            <w:rStyle w:val="soitChar"/>
          </w:rPr>
          <w:t>6 T6 HVAC - sanitaires</w:t>
        </w:r>
      </w:hyperlink>
      <w:r>
        <w:rPr>
          <w:rStyle w:val="soitChar"/>
        </w:rPr>
        <w:t xml:space="preserve"> et </w:t>
      </w:r>
      <w:hyperlink r:id="rId275" w:history="1" w:docLocation="35">
        <w:r>
          <w:rPr>
            <w:rStyle w:val="soitChar"/>
          </w:rPr>
          <w:t>7 T7 Electricité</w:t>
        </w:r>
      </w:hyperlink>
      <w:r>
        <w:rPr>
          <w:rStyle w:val="soitChar"/>
        </w:rPr>
        <w:t>.  </w:t>
      </w:r>
    </w:p>
    <w:p w14:paraId="0B9A1F8A" w14:textId="77777777" w:rsidR="00DF410E" w:rsidRDefault="00CE7F43">
      <w:pPr>
        <w:pStyle w:val="pheading"/>
      </w:pPr>
      <w:r>
        <w:t>- Notes d’exécution complémentaires</w:t>
      </w:r>
    </w:p>
    <w:p w14:paraId="32B899D2" w14:textId="77777777" w:rsidR="00DF410E" w:rsidRDefault="00CE7F43">
      <w:pPr>
        <w:jc w:val="both"/>
      </w:pPr>
      <w:r>
        <w:rPr>
          <w:rStyle w:val="facultChar"/>
        </w:rPr>
        <w:t>Tous les assemblages mécaniques structuraux sont dimensionnés selon les principes de l’Eurocode 5 [NBN EN 1995-1-1] et de sa partie feu [NBN EN 1995-1-2].</w:t>
      </w:r>
    </w:p>
    <w:p w14:paraId="6EF1D8F7" w14:textId="77777777" w:rsidR="00DF410E" w:rsidRDefault="00CE7F43">
      <w:pPr>
        <w:pStyle w:val="pheading"/>
      </w:pPr>
      <w:r>
        <w:t>CONTRÔLES PARTICULIERS</w:t>
      </w:r>
    </w:p>
    <w:p w14:paraId="4F1D671A" w14:textId="77777777" w:rsidR="00DF410E" w:rsidRDefault="00CE7F43">
      <w:pPr>
        <w:jc w:val="both"/>
      </w:pPr>
      <w:r>
        <w:t>Le contrôle de la qualité du séchage d’un lot de bois scié se fait selon la [NBN EN 14298].</w:t>
      </w:r>
    </w:p>
    <w:p w14:paraId="36093586" w14:textId="77777777" w:rsidR="00DF410E" w:rsidRDefault="00CE7F43">
      <w:pPr>
        <w:pStyle w:val="pheading"/>
      </w:pPr>
      <w:r>
        <w:t>DOCUMENTS DE RÉFÉRENCE COMPLÉMENTAIRES</w:t>
      </w:r>
    </w:p>
    <w:p w14:paraId="1A5730CC" w14:textId="77777777" w:rsidR="00DF410E" w:rsidRDefault="00CE7F43">
      <w:pPr>
        <w:pStyle w:val="pheading"/>
      </w:pPr>
      <w:r>
        <w:t>- Matériau</w:t>
      </w:r>
    </w:p>
    <w:p w14:paraId="1DF7B0CB" w14:textId="77777777" w:rsidR="00DF410E" w:rsidRDefault="00CE7F43">
      <w:r>
        <w:t>[NBN EN 14081 série, Structures en bois - Bois de structure à section rectangulaire classé pour sa résistance]</w:t>
      </w:r>
    </w:p>
    <w:p w14:paraId="42461571" w14:textId="77777777" w:rsidR="00DF410E" w:rsidRDefault="00CE7F43">
      <w:r>
        <w:t>[NBN EN 15497, Bois massif de structure à entures multiples - Exigences de performances et exigences minimales de fabrication]</w:t>
      </w:r>
    </w:p>
    <w:p w14:paraId="15B164A6" w14:textId="77777777" w:rsidR="00DF410E" w:rsidRDefault="00CE7F43">
      <w:r>
        <w:t>[NBN EN 14080, Structures en bois - Bois lamellé collé et bois massif reconstitué - Exigences]</w:t>
      </w:r>
    </w:p>
    <w:p w14:paraId="516EEA8D" w14:textId="77777777" w:rsidR="00DF410E" w:rsidRDefault="00CE7F43">
      <w:r>
        <w:t>[NBN EN 335, Durabilité du bois et des matériaux à base de bois - Classes d'emploi: définitions, application au bois massif et aux matériaux à base de bois]</w:t>
      </w:r>
    </w:p>
    <w:p w14:paraId="2729108B"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6D6C7EDB" w14:textId="77777777" w:rsidR="00DF410E" w:rsidRDefault="00CE7F43">
      <w:r>
        <w:t>[NBN EN 13171+A1, Produits isolants thermiques pour le bâtiment - Produits manufacturés en fibres de bois (WF) - Spécification]</w:t>
      </w:r>
    </w:p>
    <w:p w14:paraId="764B9A01" w14:textId="77777777" w:rsidR="00DF410E" w:rsidRDefault="00CE7F43">
      <w:r>
        <w:t>[NBN EN 13986+A1, Panneaux à base de bois destinés à la construction - Caractéristiques, évaluation de conformité et marquage]</w:t>
      </w:r>
    </w:p>
    <w:p w14:paraId="4D6021B5" w14:textId="77777777" w:rsidR="00DF410E" w:rsidRDefault="00CE7F43">
      <w:r>
        <w:t>[NBN EN 12086, Produits isolants thermiques destinés aux applications du bâtiment - Détermination des propriétés de transmission de la vapeur d'eau]</w:t>
      </w:r>
    </w:p>
    <w:p w14:paraId="7BF9F4A4" w14:textId="77777777" w:rsidR="00DF410E" w:rsidRDefault="00CE7F43">
      <w:r>
        <w:t>[NBN EN 310, Panneaux à base de bois - Détermination du module d'élasticité en flexion et de la résistance à la flexion]</w:t>
      </w:r>
    </w:p>
    <w:p w14:paraId="3F2B3A41" w14:textId="77777777" w:rsidR="00DF410E" w:rsidRDefault="00CE7F43">
      <w:r>
        <w:t>[NBN EN 312, Panneaux de particules - Exigences]</w:t>
      </w:r>
    </w:p>
    <w:p w14:paraId="7866A10F" w14:textId="77777777" w:rsidR="00DF410E" w:rsidRDefault="00CE7F43">
      <w:r>
        <w:t>[NBN EN 319, Panneaux de particules et panneaux de fibres - Détermination de la résistance à la traction perpendiculaire aux faces du panneau]</w:t>
      </w:r>
    </w:p>
    <w:p w14:paraId="143DA74D" w14:textId="77777777" w:rsidR="00DF410E" w:rsidRDefault="00CE7F43">
      <w:r>
        <w:t>[NBN EN ISO 10456, Matériaux et produits pour le bâtiment - Propriétés hygrothermiques - Valeurs utiles tabulées et procédures pour la détermination des valeurs thermiques déclarées et utiles (ISO 10456:2007)]</w:t>
      </w:r>
    </w:p>
    <w:p w14:paraId="1C47E95A" w14:textId="77777777" w:rsidR="00DF410E" w:rsidRDefault="00CE7F43">
      <w:r>
        <w:t>[NBN EN 335, Durabilité du bois et des matériaux à base de bois - Classes d'emploi: définitions, application au bois massif et aux matériaux à base de bois] </w:t>
      </w:r>
    </w:p>
    <w:p w14:paraId="0DCFD3E7"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7900ECDA"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38B6048" w14:textId="77777777" w:rsidR="00DF410E" w:rsidRDefault="00CE7F43">
      <w:pPr>
        <w:pStyle w:val="pheading"/>
      </w:pPr>
      <w:r>
        <w:t>- Exécution</w:t>
      </w:r>
    </w:p>
    <w:p w14:paraId="04F97204" w14:textId="77777777" w:rsidR="00DF410E" w:rsidRDefault="00CE7F43">
      <w:r>
        <w:t>[NBN EN 1995 série, Eurocode 5: Conception et calcul des structures en bois]</w:t>
      </w:r>
    </w:p>
    <w:p w14:paraId="7097BE58" w14:textId="77777777" w:rsidR="00DF410E" w:rsidRDefault="00CE7F43">
      <w:r>
        <w:t>[STS 31, Charpenterie]</w:t>
      </w:r>
    </w:p>
    <w:p w14:paraId="086E2D55" w14:textId="77777777" w:rsidR="00DF410E" w:rsidRDefault="00CE7F43">
      <w:r>
        <w:t>[STS 23-1, Constructions en ossature bois]</w:t>
      </w:r>
    </w:p>
    <w:p w14:paraId="05CDD6FF" w14:textId="77777777" w:rsidR="00DF410E" w:rsidRDefault="00CE7F43">
      <w:r>
        <w:t>[NBN EN 14298, Bois scié - Estimation de la qualité du séchage]</w:t>
      </w:r>
    </w:p>
    <w:p w14:paraId="44BDA231" w14:textId="77777777" w:rsidR="00DF410E" w:rsidRDefault="00CE7F43">
      <w:pPr>
        <w:pStyle w:val="pheading"/>
      </w:pPr>
      <w:r>
        <w:t>MESURAGE</w:t>
      </w:r>
    </w:p>
    <w:p w14:paraId="3A041C6D" w14:textId="77777777" w:rsidR="00DF410E" w:rsidRDefault="00CE7F43">
      <w:pPr>
        <w:pStyle w:val="pheading"/>
      </w:pPr>
      <w:r>
        <w:t>- unité de mesure:</w:t>
      </w:r>
    </w:p>
    <w:p w14:paraId="4AC34748" w14:textId="77777777" w:rsidR="00DF410E" w:rsidRDefault="00CE7F43">
      <w:r>
        <w:rPr>
          <w:rStyle w:val="optioncarChar"/>
        </w:rPr>
        <w:t xml:space="preserve">m² </w:t>
      </w:r>
      <w:r>
        <w:t xml:space="preserve">(par défaut) </w:t>
      </w:r>
      <w:r>
        <w:rPr>
          <w:rStyle w:val="optioncarChar"/>
        </w:rPr>
        <w:t>/ m³</w:t>
      </w:r>
    </w:p>
    <w:p w14:paraId="40926C26" w14:textId="77777777" w:rsidR="00DF410E" w:rsidRDefault="00CE7F43">
      <w:r>
        <w:rPr>
          <w:b/>
          <w:i/>
        </w:rPr>
        <w:t>(Soit par défaut)</w:t>
      </w:r>
    </w:p>
    <w:p w14:paraId="4C4BC339" w14:textId="77777777" w:rsidR="00DF410E" w:rsidRDefault="00CE7F43">
      <w:r>
        <w:rPr>
          <w:rStyle w:val="soitChar"/>
        </w:rPr>
        <w:t>1. m²</w:t>
      </w:r>
    </w:p>
    <w:p w14:paraId="118D3E3F" w14:textId="77777777" w:rsidR="00DF410E" w:rsidRDefault="00CE7F43">
      <w:r>
        <w:rPr>
          <w:b/>
          <w:i/>
        </w:rPr>
        <w:t>(Soit)</w:t>
      </w:r>
    </w:p>
    <w:p w14:paraId="7299B6DF" w14:textId="77777777" w:rsidR="00DF410E" w:rsidRDefault="00CE7F43">
      <w:r>
        <w:rPr>
          <w:rStyle w:val="soitChar"/>
        </w:rPr>
        <w:t>2. m³</w:t>
      </w:r>
    </w:p>
    <w:p w14:paraId="0E098DDD" w14:textId="77777777" w:rsidR="00DF410E" w:rsidRDefault="00CE7F43">
      <w:pPr>
        <w:pStyle w:val="pheading"/>
      </w:pPr>
      <w:r>
        <w:t>- code de mesurage:</w:t>
      </w:r>
    </w:p>
    <w:p w14:paraId="1F940CB6" w14:textId="77777777" w:rsidR="00DF410E" w:rsidRDefault="00CE7F43">
      <w:pPr>
        <w:jc w:val="both"/>
      </w:pPr>
      <w:r>
        <w:rPr>
          <w:rStyle w:val="optioncarChar"/>
        </w:rPr>
        <w:t xml:space="preserve">Surface nette </w:t>
      </w:r>
      <w:r>
        <w:t>(par défaut)</w:t>
      </w:r>
      <w:r>
        <w:rPr>
          <w:rStyle w:val="optioncarChar"/>
        </w:rPr>
        <w:t xml:space="preserve"> / Volume net</w:t>
      </w:r>
    </w:p>
    <w:p w14:paraId="0DB86927" w14:textId="77777777" w:rsidR="00DF410E" w:rsidRDefault="00CE7F43">
      <w:pPr>
        <w:jc w:val="both"/>
      </w:pPr>
      <w:r>
        <w:rPr>
          <w:b/>
          <w:i/>
        </w:rPr>
        <w:t>(Soit par défaut)</w:t>
      </w:r>
    </w:p>
    <w:p w14:paraId="76A6B822" w14:textId="77777777" w:rsidR="00DF410E" w:rsidRDefault="00CE7F43">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14:paraId="74F2EEAE" w14:textId="77777777" w:rsidR="00DF410E" w:rsidRDefault="00CE7F43">
      <w:pPr>
        <w:jc w:val="both"/>
      </w:pPr>
      <w:r>
        <w:rPr>
          <w:b/>
          <w:i/>
        </w:rPr>
        <w:t>(Soit)</w:t>
      </w:r>
    </w:p>
    <w:p w14:paraId="26BB6CA5" w14:textId="77777777" w:rsidR="00DF410E" w:rsidRDefault="00CE7F43">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14:paraId="7F43AAEA" w14:textId="77777777" w:rsidR="00DF410E" w:rsidRDefault="00CE7F43">
      <w:pPr>
        <w:pStyle w:val="pheading"/>
      </w:pPr>
      <w:r>
        <w:t>- nature du marché:</w:t>
      </w:r>
    </w:p>
    <w:p w14:paraId="6200BCF4" w14:textId="77777777" w:rsidR="00DF410E" w:rsidRDefault="00CE7F43">
      <w:r>
        <w:rPr>
          <w:rStyle w:val="optioncarChar"/>
        </w:rPr>
        <w:t xml:space="preserve">QF </w:t>
      </w:r>
      <w:r>
        <w:t xml:space="preserve">(par défaut) </w:t>
      </w:r>
      <w:r>
        <w:rPr>
          <w:rStyle w:val="optioncarChar"/>
        </w:rPr>
        <w:t>/ QP</w:t>
      </w:r>
    </w:p>
    <w:p w14:paraId="515DD6D9" w14:textId="77777777" w:rsidR="00DF410E" w:rsidRDefault="00CE7F43">
      <w:r>
        <w:rPr>
          <w:b/>
          <w:i/>
        </w:rPr>
        <w:t>(Soit par défaut)</w:t>
      </w:r>
    </w:p>
    <w:p w14:paraId="1808267D" w14:textId="77777777" w:rsidR="00DF410E" w:rsidRDefault="00CE7F43">
      <w:r>
        <w:rPr>
          <w:rStyle w:val="soitChar"/>
        </w:rPr>
        <w:t>1. 2. QF</w:t>
      </w:r>
    </w:p>
    <w:p w14:paraId="0BB95338" w14:textId="77777777" w:rsidR="00DF410E" w:rsidRDefault="00CE7F43">
      <w:r>
        <w:rPr>
          <w:b/>
          <w:i/>
        </w:rPr>
        <w:t>(Soit)</w:t>
      </w:r>
    </w:p>
    <w:p w14:paraId="5FBA3B99" w14:textId="77777777" w:rsidR="00DF410E" w:rsidRDefault="00CE7F43">
      <w:r>
        <w:rPr>
          <w:rStyle w:val="soitChar"/>
        </w:rPr>
        <w:t>1. 2. QP   </w:t>
      </w:r>
    </w:p>
    <w:p w14:paraId="068D3587" w14:textId="77777777" w:rsidR="00DF410E" w:rsidRDefault="00CE7F43">
      <w:pPr>
        <w:pStyle w:val="Author-eSectionHeading6"/>
      </w:pPr>
      <w:bookmarkStart w:id="1658" w:name="_Toc178838747"/>
      <w:r>
        <w:t>24.21.2b Murs en CLT préfabriqués CCTB 01.12</w:t>
      </w:r>
      <w:bookmarkEnd w:id="1658"/>
    </w:p>
    <w:p w14:paraId="724B2075" w14:textId="77777777" w:rsidR="00DF410E" w:rsidRDefault="00CE7F43">
      <w:pPr>
        <w:pStyle w:val="pheading"/>
      </w:pPr>
      <w:r>
        <w:t>DESCRIPTION</w:t>
      </w:r>
    </w:p>
    <w:p w14:paraId="47290CFC" w14:textId="77777777" w:rsidR="00DF410E" w:rsidRDefault="00CE7F43">
      <w:pPr>
        <w:pStyle w:val="pheading"/>
      </w:pPr>
      <w:r>
        <w:t>- Définition / Comprend</w:t>
      </w:r>
    </w:p>
    <w:p w14:paraId="0CE3E95B" w14:textId="77777777" w:rsidR="00DF410E" w:rsidRDefault="00CE7F43">
      <w:pPr>
        <w:jc w:val="both"/>
      </w:pPr>
      <w:r>
        <w:t xml:space="preserve">Il s’agit de la fourniture et la pose de tous les murs </w:t>
      </w:r>
      <w:r>
        <w:rPr>
          <w:rStyle w:val="optioncarChar"/>
        </w:rPr>
        <w:t>porteurs / non porteurs</w:t>
      </w:r>
      <w:r>
        <w:t>   constitués de panneaux lamellés croisés collés en bois ou à base de bois constituant les systèmes de construction CLT ("Cross Laminated Timber") portants et non portants quel que soit le type d’aboutage, y compris toutes les pièces qui en font intrinsèquement partie (comprenant notamment les dispositifs d’assemblage).</w:t>
      </w:r>
    </w:p>
    <w:p w14:paraId="1E7BF851" w14:textId="77777777" w:rsidR="00DF410E" w:rsidRDefault="00CE7F43">
      <w:pPr>
        <w:jc w:val="both"/>
      </w:pPr>
      <w:r>
        <w:t>Le travail comprend notamment :</w:t>
      </w:r>
    </w:p>
    <w:p w14:paraId="14F1EE01" w14:textId="77777777" w:rsidR="00DF410E" w:rsidRDefault="00CE7F43">
      <w:pPr>
        <w:pStyle w:val="Author-eListParagraph"/>
        <w:numPr>
          <w:ilvl w:val="0"/>
          <w:numId w:val="894"/>
        </w:numPr>
        <w:jc w:val="both"/>
      </w:pPr>
      <w:r>
        <w:t>La préparation et le nettoyage des supports sur lesquels les éléments sont posés ;</w:t>
      </w:r>
    </w:p>
    <w:p w14:paraId="20446725" w14:textId="77777777" w:rsidR="00DF410E" w:rsidRDefault="00CE7F43">
      <w:pPr>
        <w:pStyle w:val="Author-eListParagraph"/>
        <w:numPr>
          <w:ilvl w:val="0"/>
          <w:numId w:val="894"/>
        </w:numPr>
        <w:jc w:val="both"/>
      </w:pPr>
      <w:r>
        <w:t>La fabrication, la livraison et la pose des parois, y compris les engins de levage, tous les supports temporaires et travaux d’étayage ;</w:t>
      </w:r>
    </w:p>
    <w:p w14:paraId="7B35B48E" w14:textId="77777777" w:rsidR="00DF410E" w:rsidRDefault="00CE7F43">
      <w:pPr>
        <w:pStyle w:val="Author-eListParagraph"/>
        <w:numPr>
          <w:ilvl w:val="0"/>
          <w:numId w:val="894"/>
        </w:numPr>
        <w:jc w:val="both"/>
      </w:pPr>
      <w:r>
        <w:t>Les réservations prévues sur les plans ;</w:t>
      </w:r>
    </w:p>
    <w:p w14:paraId="565C9BAD" w14:textId="77777777" w:rsidR="00DF410E" w:rsidRDefault="00CE7F43">
      <w:pPr>
        <w:pStyle w:val="Author-eListParagraph"/>
        <w:numPr>
          <w:ilvl w:val="0"/>
          <w:numId w:val="894"/>
        </w:numPr>
        <w:jc w:val="both"/>
      </w:pPr>
      <w:r>
        <w:t>La finition des bords et travaux de réparation en cas d’endommagement ;</w:t>
      </w:r>
    </w:p>
    <w:p w14:paraId="39CD31DC" w14:textId="77777777" w:rsidR="00DF410E" w:rsidRDefault="00CE7F43">
      <w:pPr>
        <w:pStyle w:val="Author-eListParagraph"/>
        <w:numPr>
          <w:ilvl w:val="0"/>
          <w:numId w:val="894"/>
        </w:numPr>
        <w:jc w:val="both"/>
      </w:pPr>
      <w:r>
        <w:t>Le remplissage des joints de dilatation éventuels selon les directives du fournisseur;</w:t>
      </w:r>
    </w:p>
    <w:p w14:paraId="0FFEA1FC" w14:textId="77777777" w:rsidR="00DF410E" w:rsidRDefault="00CE7F43">
      <w:pPr>
        <w:pStyle w:val="Author-eListParagraph"/>
        <w:numPr>
          <w:ilvl w:val="0"/>
          <w:numId w:val="894"/>
        </w:numPr>
        <w:jc w:val="both"/>
      </w:pPr>
      <w:r>
        <w:t>Le contrôle de toutes les dimensions et l’adaptation des éléments à préfabriquer aux dimensions réelles ;</w:t>
      </w:r>
    </w:p>
    <w:p w14:paraId="36990AF4" w14:textId="77777777" w:rsidR="00DF410E" w:rsidRDefault="00CE7F43">
      <w:pPr>
        <w:pStyle w:val="Author-eListParagraph"/>
        <w:numPr>
          <w:ilvl w:val="0"/>
          <w:numId w:val="894"/>
        </w:numPr>
        <w:jc w:val="both"/>
      </w:pPr>
      <w:r>
        <w:t>Tous les moyens de liaisonnement éventuels, aussi bien entre les éléments préfabriqués, qu’avec les éléments de support, de bord, … ;</w:t>
      </w:r>
    </w:p>
    <w:p w14:paraId="2845F448" w14:textId="77777777" w:rsidR="00DF410E" w:rsidRDefault="00CE7F43">
      <w:pPr>
        <w:pStyle w:val="Author-eListParagraph"/>
        <w:numPr>
          <w:ilvl w:val="0"/>
          <w:numId w:val="894"/>
        </w:numPr>
        <w:jc w:val="both"/>
      </w:pPr>
      <w:r>
        <w:t>L’enlèvement de tous les accessoires, éléments de coffrage, supports, étais et le nettoyage des faces visibles.</w:t>
      </w:r>
    </w:p>
    <w:p w14:paraId="1EB92621" w14:textId="77777777" w:rsidR="00DF410E" w:rsidRDefault="00CE7F43">
      <w:pPr>
        <w:jc w:val="both"/>
      </w:pPr>
      <w:r>
        <w:t xml:space="preserve">Les dispositifs permettant d’assurer l’étanchéité à l’air et à la vapeur d’eau sont décrits et comptés aux </w:t>
      </w:r>
      <w:hyperlink w:anchor="477" w:history="1">
        <w:r>
          <w:t>26 Etanchéisation et isolation</w:t>
        </w:r>
      </w:hyperlink>
      <w:r>
        <w:t xml:space="preserve"> et suivants.</w:t>
      </w:r>
    </w:p>
    <w:p w14:paraId="3FF88DC4" w14:textId="77777777" w:rsidR="00DF410E" w:rsidRDefault="00CE7F43">
      <w:pPr>
        <w:pStyle w:val="pheading"/>
      </w:pPr>
      <w:r>
        <w:t>MATÉRIAUX</w:t>
      </w:r>
    </w:p>
    <w:p w14:paraId="3D636082" w14:textId="77777777" w:rsidR="00DF410E" w:rsidRDefault="00CE7F43">
      <w:pPr>
        <w:pStyle w:val="pheading"/>
      </w:pPr>
      <w:r>
        <w:t>- Caractéristiques générales</w:t>
      </w:r>
    </w:p>
    <w:p w14:paraId="287A3FEF" w14:textId="77777777" w:rsidR="00DF410E" w:rsidRDefault="00CE7F43">
      <w:pPr>
        <w:jc w:val="both"/>
      </w:pPr>
      <w:r>
        <w:rPr>
          <w:b/>
        </w:rPr>
        <w:t>Généralités :</w:t>
      </w:r>
    </w:p>
    <w:p w14:paraId="74F36C18" w14:textId="77777777" w:rsidR="00DF410E" w:rsidRDefault="00CE7F43">
      <w:pPr>
        <w:jc w:val="both"/>
      </w:pPr>
      <w:r>
        <w:t xml:space="preserve">Les panneaux sont constitués de trois à onze couches de lamelles de bois épaisseur ≥ 17 millimètres d’épaisseur juxtaposées et collées entre elles. </w:t>
      </w:r>
    </w:p>
    <w:p w14:paraId="3986BE5E" w14:textId="77777777" w:rsidR="00DF410E" w:rsidRDefault="00CE7F43">
      <w:pPr>
        <w:jc w:val="both"/>
      </w:pPr>
      <w:r>
        <w:t xml:space="preserve"> Les couches, également appelées ‘plis’, se croisent suivant un angle de 90° et sont, elles aussi, collées les unes aux autres.</w:t>
      </w:r>
    </w:p>
    <w:p w14:paraId="0141FA7D" w14:textId="77777777" w:rsidR="00DF410E" w:rsidRDefault="00CE7F43">
      <w:pPr>
        <w:jc w:val="both"/>
      </w:pPr>
      <w:r>
        <w:t>Les panneaux répondent aux classes de service 1 ou 2 selon la [NBN EN 1995-1-1].</w:t>
      </w:r>
    </w:p>
    <w:p w14:paraId="5B3334D2" w14:textId="77777777" w:rsidR="00DF410E" w:rsidRDefault="00CE7F43">
      <w:pPr>
        <w:jc w:val="both"/>
      </w:pPr>
      <w:r>
        <w:t>Les panneaux sont couverts par la norme produit [NBN EN 16351].</w:t>
      </w:r>
    </w:p>
    <w:p w14:paraId="567E4AF5" w14:textId="77777777" w:rsidR="00DF410E" w:rsidRDefault="00CE7F43">
      <w:pPr>
        <w:jc w:val="both"/>
      </w:pPr>
      <w:r>
        <w:rPr>
          <w:b/>
        </w:rPr>
        <w:t>Caractéristiques :</w:t>
      </w:r>
    </w:p>
    <w:p w14:paraId="460E892C" w14:textId="77777777" w:rsidR="00DF410E" w:rsidRDefault="00CE7F43">
      <w:pPr>
        <w:jc w:val="both"/>
      </w:pPr>
      <w:r>
        <w:t xml:space="preserve">Épaisseur totale du panneau CLT : </w:t>
      </w:r>
      <w:r>
        <w:rPr>
          <w:rStyle w:val="optioncarChar"/>
        </w:rPr>
        <w:t>***</w:t>
      </w:r>
      <w:r>
        <w:t xml:space="preserve"> mm.</w:t>
      </w:r>
    </w:p>
    <w:p w14:paraId="36B1339A" w14:textId="77777777" w:rsidR="00DF410E" w:rsidRDefault="00CE7F43">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r>
        <w:t xml:space="preserve"> .</w:t>
      </w:r>
    </w:p>
    <w:p w14:paraId="471573E3" w14:textId="77777777" w:rsidR="00DF410E" w:rsidRDefault="00CE7F43">
      <w:pPr>
        <w:jc w:val="both"/>
      </w:pPr>
      <w:r>
        <w:t xml:space="preserve">Classe de résistance : </w:t>
      </w:r>
      <w:r>
        <w:rPr>
          <w:rStyle w:val="optioncarChar"/>
        </w:rPr>
        <w:t>C18 / D18 / C24</w:t>
      </w:r>
      <w:r>
        <w:t xml:space="preserve"> (par défaut)</w:t>
      </w:r>
      <w:r>
        <w:rPr>
          <w:rStyle w:val="optioncarChar"/>
        </w:rPr>
        <w:t xml:space="preserve"> / D24 / C30 / D30 / ***</w:t>
      </w:r>
      <w:r>
        <w:t>.</w:t>
      </w:r>
    </w:p>
    <w:p w14:paraId="1D0B963F" w14:textId="77777777" w:rsidR="00DF410E" w:rsidRDefault="00CE7F43">
      <w:pPr>
        <w:jc w:val="both"/>
      </w:pPr>
      <w:r>
        <w:t>Les couches sont composées </w:t>
      </w:r>
      <w:r>
        <w:rPr>
          <w:rStyle w:val="optioncarChar"/>
        </w:rPr>
        <w:t>de lames de bois de même essence et de même classe de résistance</w:t>
      </w:r>
      <w:r>
        <w:t> (par défaut)</w:t>
      </w:r>
      <w:r>
        <w:rPr>
          <w:rStyle w:val="optioncarChar"/>
        </w:rPr>
        <w:t> / ***</w:t>
      </w:r>
      <w:r>
        <w:t>.</w:t>
      </w:r>
    </w:p>
    <w:p w14:paraId="608FAD00" w14:textId="77777777" w:rsidR="00DF410E" w:rsidRDefault="00CE7F43">
      <w:pPr>
        <w:jc w:val="both"/>
      </w:pPr>
      <w:r>
        <w:t xml:space="preserve">Les panneaux sont composés de </w:t>
      </w:r>
      <w:r>
        <w:rPr>
          <w:rStyle w:val="optioncarChar"/>
        </w:rPr>
        <w:t xml:space="preserve">3 / 5 </w:t>
      </w:r>
      <w:r>
        <w:t>(par défaut)</w:t>
      </w:r>
      <w:r>
        <w:rPr>
          <w:rStyle w:val="optioncarChar"/>
        </w:rPr>
        <w:t xml:space="preserve"> / 7 / ***</w:t>
      </w:r>
      <w:r>
        <w:t xml:space="preserve"> couches (plis). </w:t>
      </w:r>
    </w:p>
    <w:p w14:paraId="02ECC919" w14:textId="77777777" w:rsidR="00DF410E" w:rsidRDefault="00CE7F43">
      <w:pPr>
        <w:jc w:val="both"/>
      </w:pPr>
      <w:r>
        <w:t xml:space="preserve">Epaisseur des différents plis : </w:t>
      </w:r>
      <w:r>
        <w:rPr>
          <w:rStyle w:val="optioncarChar"/>
        </w:rPr>
        <w:t xml:space="preserve">30-30-30 / 30-40-30 / 40-40-40 / 20-20-20-20-20 </w:t>
      </w:r>
      <w:r>
        <w:t>(par défaut)</w:t>
      </w:r>
      <w:r>
        <w:rPr>
          <w:rStyle w:val="optioncarChar"/>
        </w:rPr>
        <w:t xml:space="preserve"> / 20-30-20-30 / 40-20-20-20-40 / ***</w:t>
      </w:r>
      <w:r>
        <w:t xml:space="preserve"> mm.</w:t>
      </w:r>
    </w:p>
    <w:p w14:paraId="50EB6D5E" w14:textId="77777777" w:rsidR="00DF410E" w:rsidRDefault="00CE7F43">
      <w:pPr>
        <w:jc w:val="both"/>
      </w:pPr>
      <w:r>
        <w:t xml:space="preserve">Les lames </w:t>
      </w:r>
      <w:r>
        <w:rPr>
          <w:rStyle w:val="optioncarChar"/>
        </w:rPr>
        <w:t xml:space="preserve">ne sont pas </w:t>
      </w:r>
      <w:r>
        <w:t>(par défaut)</w:t>
      </w:r>
      <w:r>
        <w:rPr>
          <w:rStyle w:val="optioncarChar"/>
        </w:rPr>
        <w:t xml:space="preserve"> /sont</w:t>
      </w:r>
      <w:r>
        <w:t xml:space="preserve"> munies de fente (rainures) de soulagement afin de réduire le tuilage et la fissuration.</w:t>
      </w:r>
    </w:p>
    <w:p w14:paraId="72CF8C35" w14:textId="77777777" w:rsidR="00DF410E" w:rsidRDefault="00CE7F43">
      <w:pPr>
        <w:jc w:val="both"/>
      </w:pPr>
      <w:r>
        <w:t xml:space="preserve">La réaction au feu est de classe </w:t>
      </w:r>
      <w:r>
        <w:rPr>
          <w:rStyle w:val="optioncarChar"/>
        </w:rPr>
        <w:t>D-s2, d0</w:t>
      </w:r>
      <w:r>
        <w:t xml:space="preserve"> (par défaut)</w:t>
      </w:r>
      <w:r>
        <w:rPr>
          <w:rStyle w:val="optioncarChar"/>
        </w:rPr>
        <w:t xml:space="preserve"> / ***.</w:t>
      </w:r>
    </w:p>
    <w:p w14:paraId="1F42D507" w14:textId="77777777" w:rsidR="00DF410E" w:rsidRDefault="00CE7F43">
      <w:pPr>
        <w:jc w:val="both"/>
      </w:pPr>
      <w:r>
        <w:t xml:space="preserve">La résistance au feu déclarée de la paroi: </w:t>
      </w:r>
      <w:r>
        <w:rPr>
          <w:rStyle w:val="optioncarChar"/>
        </w:rPr>
        <w:t xml:space="preserve">pas d’exigences </w:t>
      </w:r>
      <w:r>
        <w:t xml:space="preserve">(par défaut) </w:t>
      </w:r>
      <w:r>
        <w:rPr>
          <w:rStyle w:val="optioncarChar"/>
        </w:rPr>
        <w:t>/ REI 30 / EI30 / REI 60 / EI 60 / ***.</w:t>
      </w:r>
    </w:p>
    <w:p w14:paraId="61F3261D" w14:textId="77777777" w:rsidR="00DF410E" w:rsidRDefault="00CE7F43">
      <w:pPr>
        <w:jc w:val="both"/>
      </w:pPr>
      <w:r>
        <w:t>L’étanchéité à l’air des panneaux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480A05B2" w14:textId="77777777" w:rsidR="00DF410E" w:rsidRDefault="00CE7F43">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43894B5D" w14:textId="77777777" w:rsidR="00DF410E" w:rsidRDefault="00CE7F43">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r>
        <w:t>.</w:t>
      </w:r>
    </w:p>
    <w:p w14:paraId="051D167D" w14:textId="77777777" w:rsidR="00DF410E" w:rsidRDefault="00CE7F43">
      <w:pPr>
        <w:jc w:val="both"/>
      </w:pPr>
      <w:r>
        <w:t xml:space="preserve">Classe d’emploi : </w:t>
      </w:r>
      <w:r>
        <w:rPr>
          <w:rStyle w:val="optioncarChar"/>
        </w:rPr>
        <w:t xml:space="preserve">1 / 2 </w:t>
      </w:r>
      <w:r>
        <w:t>(par défaut)</w:t>
      </w:r>
      <w:r>
        <w:rPr>
          <w:rStyle w:val="optioncarChar"/>
        </w:rPr>
        <w:t xml:space="preserve"> / ***</w:t>
      </w:r>
      <w:r>
        <w:t>, selon [STS 04 série] et [NBN EN 335].</w:t>
      </w:r>
    </w:p>
    <w:p w14:paraId="47F47BDF" w14:textId="77777777" w:rsidR="00DF410E" w:rsidRDefault="00CE7F43">
      <w:pPr>
        <w:jc w:val="both"/>
      </w:pPr>
      <w:r>
        <w:t xml:space="preserve">Les bois subissent un traitement préventif (procédé) : </w:t>
      </w:r>
      <w:r>
        <w:rPr>
          <w:rStyle w:val="optioncarChar"/>
        </w:rPr>
        <w:t xml:space="preserve">A / A2 </w:t>
      </w:r>
      <w:r>
        <w:t>(par défaut)</w:t>
      </w:r>
      <w:r>
        <w:rPr>
          <w:rStyle w:val="optioncarChar"/>
        </w:rPr>
        <w:t xml:space="preserve"> / ***</w:t>
      </w:r>
      <w:r>
        <w:t>, selon [STS 04 série] et en fonction la classe d’emploi indiquée ci-avant.</w:t>
      </w:r>
    </w:p>
    <w:p w14:paraId="0940F846" w14:textId="77777777" w:rsidR="00DF410E" w:rsidRDefault="00CE7F43">
      <w:pPr>
        <w:jc w:val="both"/>
      </w:pPr>
      <w:r>
        <w:t xml:space="preserve">Le collage des plis est assuré </w:t>
      </w:r>
      <w:r>
        <w:rPr>
          <w:rStyle w:val="optioncarChar"/>
        </w:rPr>
        <w:t xml:space="preserve">par 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r>
        <w:t>.</w:t>
      </w:r>
    </w:p>
    <w:p w14:paraId="1C815C3D" w14:textId="77777777" w:rsidR="00DF410E" w:rsidRDefault="00CE7F43">
      <w:pPr>
        <w:jc w:val="both"/>
      </w:pPr>
      <w:r>
        <w:rPr>
          <w:b/>
        </w:rPr>
        <w:t>(soit par défaut)</w:t>
      </w:r>
    </w:p>
    <w:p w14:paraId="29BC5C97" w14:textId="77777777" w:rsidR="00DF410E" w:rsidRDefault="00CE7F43">
      <w:pPr>
        <w:jc w:val="both"/>
      </w:pPr>
      <w:r>
        <w:rPr>
          <w:rStyle w:val="soitChar"/>
          <w:u w:val="single"/>
        </w:rPr>
        <w:t>Les spécifications du fabricant</w:t>
      </w:r>
    </w:p>
    <w:p w14:paraId="3A38CAD2" w14:textId="77777777" w:rsidR="00DF410E" w:rsidRDefault="00CE7F43">
      <w:pPr>
        <w:jc w:val="both"/>
      </w:pPr>
      <w:r>
        <w:rPr>
          <w:b/>
        </w:rPr>
        <w:t>(soit)</w:t>
      </w:r>
    </w:p>
    <w:p w14:paraId="2FC9BC72" w14:textId="77777777" w:rsidR="00DF410E" w:rsidRDefault="00CE7F43">
      <w:pPr>
        <w:jc w:val="both"/>
      </w:pPr>
      <w:r>
        <w:rPr>
          <w:u w:val="single"/>
        </w:rPr>
        <w:t>PUR :</w:t>
      </w:r>
      <w:r>
        <w:rPr>
          <w:color w:val="33CCCC"/>
        </w:rPr>
        <w:t xml:space="preserve"> Les adhésifs polyuréthane monocomposants durcissant à l’humidité satisfont aux exigences de la </w:t>
      </w:r>
      <w:r>
        <w:t>[NBN EN 15425]</w:t>
      </w:r>
      <w:r>
        <w:rPr>
          <w:color w:val="33CCCC"/>
        </w:rPr>
        <w:t xml:space="preserve"> et la </w:t>
      </w:r>
      <w:r>
        <w:t>[NBN EN 302-2]</w:t>
      </w:r>
      <w:r>
        <w:rPr>
          <w:color w:val="33CCCC"/>
        </w:rPr>
        <w:t xml:space="preserve">. Pour les adhésifs polyuréthane monocomposants durcissant à l'humidité devant être utilisés dans des aboutages à entures multiples dans du bois de mélèze, l'essai de délamination conformément à la </w:t>
      </w:r>
      <w:r>
        <w:t>[NBN EN 302-2]</w:t>
      </w:r>
      <w:r>
        <w:rPr>
          <w:color w:val="33CCCC"/>
        </w:rPr>
        <w:t xml:space="preserve"> peut être remplacé par des essais conformément à la </w:t>
      </w:r>
      <w:r>
        <w:t>[NBN EN 301]</w:t>
      </w:r>
      <w:r>
        <w:rPr>
          <w:color w:val="33CCCC"/>
        </w:rPr>
        <w:t>.</w:t>
      </w:r>
    </w:p>
    <w:p w14:paraId="694F394E" w14:textId="77777777" w:rsidR="00DF410E" w:rsidRDefault="00CE7F43">
      <w:pPr>
        <w:jc w:val="both"/>
      </w:pPr>
      <w:r>
        <w:rPr>
          <w:b/>
        </w:rPr>
        <w:t>(soit)</w:t>
      </w:r>
    </w:p>
    <w:p w14:paraId="1F5641A6" w14:textId="77777777" w:rsidR="00DF410E" w:rsidRDefault="00CE7F43">
      <w:pPr>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 </w:t>
      </w:r>
    </w:p>
    <w:p w14:paraId="4B214EC0" w14:textId="77777777" w:rsidR="00DF410E" w:rsidRDefault="00CE7F43">
      <w:pPr>
        <w:jc w:val="both"/>
      </w:pPr>
      <w:r>
        <w:rPr>
          <w:b/>
        </w:rPr>
        <w:t>(soit)</w:t>
      </w:r>
    </w:p>
    <w:p w14:paraId="57D70699" w14:textId="77777777" w:rsidR="00DF410E" w:rsidRDefault="00CE7F43">
      <w:pPr>
        <w:jc w:val="both"/>
      </w:pPr>
      <w:r>
        <w:rPr>
          <w:rStyle w:val="soitChar"/>
          <w:u w:val="single"/>
        </w:rPr>
        <w:t>EPI :</w:t>
      </w:r>
      <w:r>
        <w:rPr>
          <w:rStyle w:val="soitChar"/>
        </w:rPr>
        <w:t xml:space="preserve"> Les adhésifs à base d’isocyanate et de polymère en émulsion satisfont aux exigences de la [NBN EN 15425].</w:t>
      </w:r>
      <w:r>
        <w:t> </w:t>
      </w:r>
    </w:p>
    <w:p w14:paraId="6F24F62B" w14:textId="77777777" w:rsidR="00DF410E" w:rsidRDefault="00CE7F43">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7804C09C" w14:textId="77777777" w:rsidR="00DF410E" w:rsidRDefault="00CE7F43">
      <w:pPr>
        <w:jc w:val="both"/>
      </w:pPr>
      <w:r>
        <w:t>La résistance mécanique des panneaux lamellés croisés est déterminée conformément à la [NBN EN 16351] sur base de calcul conformément à la [NBN EN 1995 série] et [NBN EN 14358] ou par essais conformes à la [NBN EN 408+A1].</w:t>
      </w:r>
    </w:p>
    <w:p w14:paraId="695E1D93" w14:textId="77777777" w:rsidR="00DF410E" w:rsidRDefault="00CE7F43">
      <w:pPr>
        <w:jc w:val="both"/>
      </w:pPr>
      <w:r>
        <w:t xml:space="preserve">Le chant des lamelles </w:t>
      </w:r>
      <w:r>
        <w:rPr>
          <w:rStyle w:val="optioncarChar"/>
        </w:rPr>
        <w:t xml:space="preserve">ne sont pas </w:t>
      </w:r>
      <w:r>
        <w:t xml:space="preserve">(par défaut) </w:t>
      </w:r>
      <w:r>
        <w:rPr>
          <w:rStyle w:val="optioncarChar"/>
        </w:rPr>
        <w:t>/ sont</w:t>
      </w:r>
      <w:r>
        <w:t xml:space="preserve"> collées.</w:t>
      </w:r>
    </w:p>
    <w:p w14:paraId="5AA188D0" w14:textId="77777777" w:rsidR="00DF410E" w:rsidRDefault="00CE7F43">
      <w:pPr>
        <w:jc w:val="both"/>
      </w:pPr>
      <w:r>
        <w:t xml:space="preserve">Un jeu de </w:t>
      </w:r>
      <w:r>
        <w:rPr>
          <w:rStyle w:val="optioncarChar"/>
        </w:rPr>
        <w:t>0</w:t>
      </w:r>
      <w:r>
        <w:t xml:space="preserve"> (par défaut) </w:t>
      </w:r>
      <w:r>
        <w:rPr>
          <w:rStyle w:val="optioncarChar"/>
        </w:rPr>
        <w:t>/ 2 / 5 / ***</w:t>
      </w:r>
      <w:r>
        <w:t xml:space="preserve"> mm est réservé entre les lamelles.</w:t>
      </w:r>
    </w:p>
    <w:p w14:paraId="020A696F" w14:textId="77777777" w:rsidR="00DF410E" w:rsidRDefault="00CE7F43">
      <w:pPr>
        <w:jc w:val="both"/>
      </w:pPr>
      <w:r>
        <w:t>La résistance du collage des aboutages est conforme à la [NBN EN 16351] annexe B et est vérifiée par essais de flexion conformes à la [NBN EN 16351] §5.2</w:t>
      </w:r>
    </w:p>
    <w:p w14:paraId="647B80F1" w14:textId="77777777" w:rsidR="00DF410E" w:rsidRDefault="00CE7F43">
      <w:pPr>
        <w:jc w:val="both"/>
      </w:pPr>
      <w:r>
        <w:t xml:space="preserve">Le dégagement de formaldéhyde est déclaré conformément la [NBN EN 16351] §4.6 et de classe </w:t>
      </w:r>
      <w:r>
        <w:rPr>
          <w:rStyle w:val="optioncarChar"/>
        </w:rPr>
        <w:t>E1</w:t>
      </w:r>
      <w:r>
        <w:t xml:space="preserve"> (par défaut)</w:t>
      </w:r>
      <w:r>
        <w:rPr>
          <w:rStyle w:val="optioncarChar"/>
        </w:rPr>
        <w:t xml:space="preserve"> / E2</w:t>
      </w:r>
      <w:r>
        <w:t>.</w:t>
      </w:r>
    </w:p>
    <w:p w14:paraId="710E918A" w14:textId="77777777" w:rsidR="00DF410E" w:rsidRDefault="00CE7F43">
      <w:pPr>
        <w:jc w:val="both"/>
      </w:pPr>
      <w:r>
        <w:rPr>
          <w:b/>
        </w:rPr>
        <w:t>Divers :</w:t>
      </w:r>
    </w:p>
    <w:p w14:paraId="56F252DE" w14:textId="77777777" w:rsidR="00DF410E" w:rsidRDefault="00CE7F43">
      <w:pPr>
        <w:jc w:val="both"/>
      </w:pPr>
      <w:r>
        <w:t xml:space="preserve">Capacité thermique :  &gt; </w:t>
      </w:r>
      <w:r>
        <w:rPr>
          <w:rStyle w:val="optioncarChar"/>
        </w:rPr>
        <w:t xml:space="preserve">1,5 </w:t>
      </w:r>
      <w:r>
        <w:t>(par défaut)</w:t>
      </w:r>
      <w:r>
        <w:rPr>
          <w:rStyle w:val="optioncarChar"/>
        </w:rPr>
        <w:t> / 1,6 / ***</w:t>
      </w:r>
      <w:r>
        <w:t xml:space="preserve"> kJ/kg.K</w:t>
      </w:r>
    </w:p>
    <w:p w14:paraId="2961F2AE" w14:textId="77777777" w:rsidR="00DF410E" w:rsidRDefault="00CE7F43">
      <w:pPr>
        <w:jc w:val="both"/>
      </w:pPr>
      <w:r>
        <w:t xml:space="preserve">Les panneaux </w:t>
      </w:r>
      <w:r>
        <w:rPr>
          <w:rStyle w:val="optioncarChar"/>
        </w:rPr>
        <w:t>ne sont pas </w:t>
      </w:r>
      <w:r>
        <w:t>(par défaut)</w:t>
      </w:r>
      <w:r>
        <w:rPr>
          <w:rStyle w:val="optioncarChar"/>
        </w:rPr>
        <w:t xml:space="preserve"> / sont</w:t>
      </w:r>
      <w:r>
        <w:t xml:space="preserve"> munis de gaines (rainures) techniques et d’emplacements pour blochets intégrés non traversantes.</w:t>
      </w:r>
    </w:p>
    <w:p w14:paraId="2DA7C37F" w14:textId="77777777" w:rsidR="00DF410E" w:rsidRDefault="00CE7F43">
      <w:pPr>
        <w:pStyle w:val="pheading"/>
      </w:pPr>
      <w:r>
        <w:t>- Finitions</w:t>
      </w:r>
    </w:p>
    <w:p w14:paraId="1803A127" w14:textId="77777777" w:rsidR="00DF410E" w:rsidRDefault="00CE7F43">
      <w:pPr>
        <w:jc w:val="both"/>
      </w:pPr>
      <w:r>
        <w:t>Exigences d’aspect :</w:t>
      </w:r>
      <w:r>
        <w:rPr>
          <w:rStyle w:val="optioncarChar"/>
        </w:rPr>
        <w:t xml:space="preserve"> non-visible  /  visible industriel  /  visible habitat</w:t>
      </w:r>
      <w:r>
        <w:t> </w:t>
      </w:r>
      <w:r>
        <w:rPr>
          <w:rStyle w:val="optioncarChar"/>
        </w:rPr>
        <w:t xml:space="preserve">sur 1 </w:t>
      </w:r>
      <w:r>
        <w:t>(par défaut)</w:t>
      </w:r>
      <w:r>
        <w:rPr>
          <w:rStyle w:val="optioncarChar"/>
        </w:rPr>
        <w:t xml:space="preserve"> / 2 face(s) / ***</w:t>
      </w:r>
      <w:r>
        <w:t>.</w:t>
      </w:r>
    </w:p>
    <w:p w14:paraId="5E4A099E" w14:textId="77777777" w:rsidR="00DF410E" w:rsidRDefault="00CE7F43">
      <w:pPr>
        <w:jc w:val="both"/>
      </w:pPr>
      <w:r>
        <w:t xml:space="preserve">Les panneaux sont destinés à recevoir un traitement de finition de type peinture : </w:t>
      </w:r>
      <w:r>
        <w:rPr>
          <w:rStyle w:val="optioncarChar"/>
        </w:rPr>
        <w:t>non</w:t>
      </w:r>
      <w:r>
        <w:t xml:space="preserve"> (par défaut) </w:t>
      </w:r>
      <w:r>
        <w:rPr>
          <w:rStyle w:val="optioncarChar"/>
        </w:rPr>
        <w:t>/ oui</w:t>
      </w:r>
    </w:p>
    <w:p w14:paraId="595FD1EE" w14:textId="77777777" w:rsidR="00DF410E" w:rsidRDefault="00CE7F43">
      <w:pPr>
        <w:jc w:val="both"/>
      </w:pPr>
      <w:r>
        <w:rPr>
          <w:b/>
        </w:rPr>
        <w:t>(soit par défaut)</w:t>
      </w:r>
    </w:p>
    <w:p w14:paraId="4C058801" w14:textId="77777777" w:rsidR="00DF410E" w:rsidRDefault="00CE7F43">
      <w:pPr>
        <w:jc w:val="both"/>
      </w:pPr>
      <w:r>
        <w:rPr>
          <w:rStyle w:val="soitChar"/>
          <w:u w:val="single"/>
        </w:rPr>
        <w:t>Non :</w:t>
      </w:r>
    </w:p>
    <w:p w14:paraId="0B3F6176" w14:textId="77777777" w:rsidR="00DF410E" w:rsidRDefault="00CE7F43">
      <w:pPr>
        <w:jc w:val="both"/>
      </w:pPr>
      <w:r>
        <w:rPr>
          <w:rStyle w:val="soitChar"/>
        </w:rPr>
        <w:t>Aucun traitement de finition n’est prévu.</w:t>
      </w:r>
    </w:p>
    <w:p w14:paraId="198AB034" w14:textId="77777777" w:rsidR="00DF410E" w:rsidRDefault="00CE7F43">
      <w:pPr>
        <w:jc w:val="both"/>
      </w:pPr>
      <w:r>
        <w:rPr>
          <w:b/>
        </w:rPr>
        <w:t>(soit)</w:t>
      </w:r>
    </w:p>
    <w:p w14:paraId="7896878A" w14:textId="77777777" w:rsidR="00DF410E" w:rsidRDefault="00CE7F43">
      <w:pPr>
        <w:jc w:val="both"/>
      </w:pPr>
      <w:r>
        <w:rPr>
          <w:rStyle w:val="soitChar"/>
          <w:u w:val="single"/>
        </w:rPr>
        <w:t>Oui :</w:t>
      </w:r>
    </w:p>
    <w:p w14:paraId="41DAB25E" w14:textId="77777777" w:rsidR="00DF410E" w:rsidRDefault="00CE7F43">
      <w:pPr>
        <w:jc w:val="both"/>
      </w:pPr>
      <w:r>
        <w:rPr>
          <w:rStyle w:val="soitChar"/>
        </w:rPr>
        <w:t xml:space="preserve">Un traitement de finition est réalisé sur les faces : </w:t>
      </w:r>
      <w:r>
        <w:rPr>
          <w:rStyle w:val="optioncarChar"/>
        </w:rPr>
        <w:t>intérieures</w:t>
      </w:r>
      <w:r>
        <w:t xml:space="preserve"> (par défaut)</w:t>
      </w:r>
      <w:r>
        <w:rPr>
          <w:rStyle w:val="optioncarChar"/>
        </w:rPr>
        <w:t xml:space="preserve"> / extérieures / intérieures et extérieures / indiquées aux plans / ***</w:t>
      </w:r>
    </w:p>
    <w:p w14:paraId="7DF99616" w14:textId="77777777" w:rsidR="00DF410E" w:rsidRDefault="00CE7F43">
      <w:pPr>
        <w:jc w:val="both"/>
      </w:pPr>
      <w:r>
        <w:rPr>
          <w:rStyle w:val="soitChar"/>
        </w:rPr>
        <w:t xml:space="preserve">La finition est de type </w:t>
      </w:r>
      <w:r>
        <w:rPr>
          <w:rStyle w:val="optioncarChar"/>
        </w:rPr>
        <w:t xml:space="preserve">huile </w:t>
      </w:r>
      <w:r>
        <w:t xml:space="preserve">(par défaut) </w:t>
      </w:r>
      <w:r>
        <w:rPr>
          <w:rStyle w:val="optioncarChar"/>
        </w:rPr>
        <w:t>/ vernis / lasure / ***</w:t>
      </w:r>
    </w:p>
    <w:p w14:paraId="6AFFD74E" w14:textId="77777777" w:rsidR="00DF410E" w:rsidRDefault="00CE7F43">
      <w:pPr>
        <w:jc w:val="both"/>
      </w:pPr>
      <w:r>
        <w:rPr>
          <w:rStyle w:val="soitChar"/>
        </w:rPr>
        <w:t xml:space="preserve">Ce traitement est décrit et compté aux </w:t>
      </w:r>
      <w:hyperlink r:id="rId276" w:history="1" w:docLocation="558">
        <w:r>
          <w:rPr>
            <w:rStyle w:val="soitChar"/>
          </w:rPr>
          <w:t>81.2 Peintures intérieures sur subjectiles en bois et dérivés du bois (feuillus, résineux, bois exotiques, panneaux)</w:t>
        </w:r>
      </w:hyperlink>
      <w:r>
        <w:rPr>
          <w:rStyle w:val="soitChar"/>
        </w:rPr>
        <w:t xml:space="preserve"> et suivants.</w:t>
      </w:r>
    </w:p>
    <w:p w14:paraId="73F3BB5A" w14:textId="77777777" w:rsidR="00DF410E" w:rsidRDefault="00CE7F43">
      <w:pPr>
        <w:pStyle w:val="pheading"/>
      </w:pPr>
      <w:r>
        <w:t>EXÉCUTION / MISE EN ŒUVRE</w:t>
      </w:r>
    </w:p>
    <w:p w14:paraId="68675AD0" w14:textId="77777777" w:rsidR="00DF410E" w:rsidRDefault="00CE7F43">
      <w:pPr>
        <w:pStyle w:val="pheading"/>
      </w:pPr>
      <w:r>
        <w:t>- Prescriptions générales</w:t>
      </w:r>
    </w:p>
    <w:p w14:paraId="6013C5C9" w14:textId="77777777" w:rsidR="00DF410E" w:rsidRDefault="00CE7F43">
      <w:pPr>
        <w:jc w:val="both"/>
      </w:pPr>
      <w:r>
        <w:t xml:space="preserve">Les organes d’assemblage sont conformes aux prescriptions de la [NBN EN 14592]. L’entraxe des organes d’assemblage est de </w:t>
      </w:r>
      <w:r>
        <w:rPr>
          <w:rStyle w:val="optioncarChar"/>
        </w:rPr>
        <w:t xml:space="preserve">30 / 60 </w:t>
      </w:r>
      <w:r>
        <w:t xml:space="preserve">(par défaut) </w:t>
      </w:r>
      <w:r>
        <w:rPr>
          <w:rStyle w:val="optioncarChar"/>
        </w:rPr>
        <w:t>/ ***</w:t>
      </w:r>
      <w:r>
        <w:t xml:space="preserve"> cm.</w:t>
      </w:r>
    </w:p>
    <w:p w14:paraId="7197A342" w14:textId="77777777" w:rsidR="00DF410E" w:rsidRDefault="00CE7F43">
      <w:pPr>
        <w:jc w:val="both"/>
      </w:pPr>
      <w:r>
        <w:rPr>
          <w:b/>
        </w:rPr>
        <w:t>Fixation en pied de mur :</w:t>
      </w:r>
    </w:p>
    <w:p w14:paraId="615F02C0" w14:textId="77777777" w:rsidR="00DF410E" w:rsidRDefault="00CE7F43">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r>
        <w:t>.</w:t>
      </w:r>
    </w:p>
    <w:p w14:paraId="14F96F9F" w14:textId="77777777" w:rsidR="00DF410E" w:rsidRDefault="00CE7F43">
      <w:pPr>
        <w:jc w:val="both"/>
      </w:pPr>
      <w:r>
        <w:rPr>
          <w:b/>
        </w:rPr>
        <w:t>(soit par défaut)</w:t>
      </w:r>
    </w:p>
    <w:p w14:paraId="403BE181" w14:textId="77777777" w:rsidR="00DF410E" w:rsidRDefault="00CE7F43">
      <w:pPr>
        <w:jc w:val="both"/>
      </w:pPr>
      <w:r>
        <w:rPr>
          <w:rStyle w:val="soitChar"/>
          <w:u w:val="single"/>
        </w:rPr>
        <w:t>La lisse basse</w:t>
      </w:r>
      <w:r>
        <w:rPr>
          <w:rStyle w:val="soitChar"/>
        </w:rPr>
        <w:t xml:space="preserve"> est fixée par </w:t>
      </w:r>
      <w:r>
        <w:rPr>
          <w:rStyle w:val="optioncarChar"/>
        </w:rPr>
        <w:t xml:space="preserve">cheville métallique </w:t>
      </w:r>
      <w:r>
        <w:t xml:space="preserve">(par défaut) </w:t>
      </w:r>
      <w:r>
        <w:rPr>
          <w:rStyle w:val="optioncarChar"/>
        </w:rPr>
        <w:t>/ vis spécifique béton / tiges filetées et ancrages chimiques / équerres de fixation / ***</w:t>
      </w:r>
      <w:r>
        <w:rPr>
          <w:rStyle w:val="soitChar"/>
        </w:rPr>
        <w:t>.</w:t>
      </w:r>
    </w:p>
    <w:p w14:paraId="5446FB49" w14:textId="77777777" w:rsidR="00DF410E" w:rsidRDefault="00CE7F43">
      <w:pPr>
        <w:jc w:val="both"/>
      </w:pPr>
      <w:r>
        <w:rPr>
          <w:rStyle w:val="soitChar"/>
        </w:rPr>
        <w:t xml:space="preserve"> La lisse basse permet d’éviter le poinçonnement des isolants rigides (béton cellulaire, blocs silico-calcaires, verre cellulaire) posés entre les panneaux et leur support.</w:t>
      </w:r>
    </w:p>
    <w:p w14:paraId="42230F2A" w14:textId="77777777" w:rsidR="00DF410E" w:rsidRDefault="00CE7F43">
      <w:pPr>
        <w:jc w:val="both"/>
      </w:pPr>
      <w:r>
        <w:rPr>
          <w:rStyle w:val="soitChar"/>
        </w:rPr>
        <w:t xml:space="preserve">La lisse basse ou lisse de pose est décrite dans l’article </w:t>
      </w:r>
      <w:hyperlink w:anchor="590" w:history="1">
        <w:r>
          <w:rPr>
            <w:rStyle w:val="soitChar"/>
          </w:rPr>
          <w:t>24.11.1a Lisses de pose en bois massif</w:t>
        </w:r>
      </w:hyperlink>
      <w:r>
        <w:rPr>
          <w:rStyle w:val="soitChar"/>
        </w:rPr>
        <w:t>.(1)</w:t>
      </w:r>
    </w:p>
    <w:p w14:paraId="56098A75" w14:textId="77777777" w:rsidR="00DF410E" w:rsidRDefault="00CE7F43">
      <w:pPr>
        <w:jc w:val="both"/>
      </w:pPr>
      <w:r>
        <w:rPr>
          <w:b/>
        </w:rPr>
        <w:t>(soit)</w:t>
      </w:r>
    </w:p>
    <w:p w14:paraId="4711A04B" w14:textId="77777777" w:rsidR="00DF410E" w:rsidRDefault="00CE7F43">
      <w:pPr>
        <w:jc w:val="both"/>
      </w:pPr>
      <w:r>
        <w:rPr>
          <w:rStyle w:val="soitChar"/>
          <w:u w:val="single"/>
        </w:rPr>
        <w:t>Dispositifs d’ancrage ponctuels</w:t>
      </w:r>
      <w:r>
        <w:rPr>
          <w:rStyle w:val="soitChar"/>
        </w:rPr>
        <w:t> : Les dispositifs de fixation sont des</w:t>
      </w:r>
      <w:r>
        <w:rPr>
          <w:rStyle w:val="optioncarChar"/>
        </w:rPr>
        <w:t xml:space="preserve"> équerres métalliques</w:t>
      </w:r>
      <w:r>
        <w:t xml:space="preserve"> (par défaut)</w:t>
      </w:r>
      <w:r>
        <w:rPr>
          <w:rStyle w:val="optioncarChar"/>
        </w:rPr>
        <w:t xml:space="preserve"> / connecteurs acoustiques / plats métalliques / connecteurs de cisaillement et traction / sabots d’angles / ***.</w:t>
      </w:r>
      <w:r>
        <w:rPr>
          <w:rStyle w:val="soitChar"/>
        </w:rPr>
        <w:t> </w:t>
      </w:r>
    </w:p>
    <w:p w14:paraId="0A3F2568" w14:textId="77777777" w:rsidR="00DF410E" w:rsidRDefault="00CE7F43">
      <w:pPr>
        <w:jc w:val="both"/>
      </w:pPr>
      <w:r>
        <w:rPr>
          <w:rStyle w:val="soitChar"/>
        </w:rPr>
        <w:t xml:space="preserve">Les dispositifs d’ancrages reprennent le panneaux CLT par </w:t>
      </w:r>
      <w:r>
        <w:rPr>
          <w:rStyle w:val="optioncarChar"/>
        </w:rPr>
        <w:t>tire-fond</w:t>
      </w:r>
      <w:r>
        <w:t xml:space="preserve"> (par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w:t>
      </w:r>
      <w:r>
        <w:t> </w:t>
      </w:r>
    </w:p>
    <w:p w14:paraId="338AB730" w14:textId="77777777" w:rsidR="00DF410E" w:rsidRDefault="00CE7F43">
      <w:pPr>
        <w:jc w:val="both"/>
      </w:pPr>
      <w:r>
        <w:rPr>
          <w:b/>
        </w:rPr>
        <w:t>(soit)</w:t>
      </w:r>
    </w:p>
    <w:p w14:paraId="6BA26CF3" w14:textId="77777777" w:rsidR="00DF410E" w:rsidRDefault="00CE7F43">
      <w:pPr>
        <w:jc w:val="both"/>
      </w:pPr>
      <w:r>
        <w:rPr>
          <w:rStyle w:val="optioncarChar"/>
        </w:rPr>
        <w:t>***</w:t>
      </w:r>
    </w:p>
    <w:p w14:paraId="513A8F2D" w14:textId="77777777" w:rsidR="00DF410E" w:rsidRDefault="00CE7F43">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r>
        <w:t>.</w:t>
      </w:r>
    </w:p>
    <w:p w14:paraId="4E939693" w14:textId="77777777" w:rsidR="00DF410E" w:rsidRDefault="00CE7F43">
      <w:pPr>
        <w:jc w:val="both"/>
      </w:pPr>
      <w:r>
        <w:rPr>
          <w:b/>
        </w:rPr>
        <w:t>Niveau du sol extérieur fini :</w:t>
      </w:r>
    </w:p>
    <w:p w14:paraId="0F046E75" w14:textId="77777777" w:rsidR="00DF410E" w:rsidRDefault="00CE7F43">
      <w:pPr>
        <w:jc w:val="both"/>
      </w:pPr>
      <w:r>
        <w:t xml:space="preserve">La lisse basse ou la partie basse des panneaux CLT est située à une distance ≥ </w:t>
      </w:r>
      <w:r>
        <w:rPr>
          <w:rStyle w:val="optioncarChar"/>
        </w:rPr>
        <w:t>20</w:t>
      </w:r>
      <w:r>
        <w:t xml:space="preserve"> (par défaut)</w:t>
      </w:r>
      <w:r>
        <w:rPr>
          <w:rStyle w:val="optioncarChar"/>
        </w:rPr>
        <w:t xml:space="preserve"> / ***</w:t>
      </w:r>
      <w:r>
        <w:t xml:space="preserve"> cm au-dessus du sol extérieur fini.</w:t>
      </w:r>
    </w:p>
    <w:p w14:paraId="380E24F1" w14:textId="77777777" w:rsidR="00DF410E" w:rsidRDefault="00CE7F43">
      <w:pPr>
        <w:jc w:val="both"/>
      </w:pPr>
      <w:r>
        <w:t>Ce niveau de sécurité peut être réduit, sans toutefois être inférieur à 12 cm, si les conditions suivantes sont rencontrées :</w:t>
      </w:r>
    </w:p>
    <w:p w14:paraId="11AC125C" w14:textId="77777777" w:rsidR="00DF410E" w:rsidRDefault="00CE7F43">
      <w:pPr>
        <w:pStyle w:val="Author-eListParagraph"/>
        <w:numPr>
          <w:ilvl w:val="0"/>
          <w:numId w:val="895"/>
        </w:numPr>
        <w:jc w:val="both"/>
      </w:pPr>
      <w:r>
        <w:t>Une étanchéité continue de la paroi est assurée au moyen d’une membrane EPDM ou bitumineuse jusqu’à une hauteur de 30 cm au-dessus du niveau fini extérieur. Cette membrane et ses joints sont entièrement collés et soudés au-dessus du niveau extérieur.</w:t>
      </w:r>
    </w:p>
    <w:p w14:paraId="114920FA" w14:textId="77777777" w:rsidR="00DF410E" w:rsidRDefault="00CE7F43">
      <w:pPr>
        <w:pStyle w:val="Author-eListParagraph"/>
        <w:numPr>
          <w:ilvl w:val="0"/>
          <w:numId w:val="895"/>
        </w:numPr>
        <w:jc w:val="both"/>
      </w:pPr>
      <w:r>
        <w:t>La membrane d’arase est recouverte par la membrane extérieure.</w:t>
      </w:r>
    </w:p>
    <w:p w14:paraId="3D82CA39" w14:textId="77777777" w:rsidR="00DF410E" w:rsidRDefault="00CE7F43">
      <w:pPr>
        <w:pStyle w:val="Author-eListParagraph"/>
        <w:numPr>
          <w:ilvl w:val="0"/>
          <w:numId w:val="895"/>
        </w:numPr>
        <w:jc w:val="both"/>
      </w:pPr>
      <w:r>
        <w:t>La membrane d’arase remonte sur 10 cm sur la face intérieure des panneaux.</w:t>
      </w:r>
    </w:p>
    <w:p w14:paraId="5D94B769" w14:textId="77777777" w:rsidR="00DF410E" w:rsidRDefault="00CE7F43">
      <w:pPr>
        <w:pStyle w:val="Author-eListParagraph"/>
        <w:numPr>
          <w:ilvl w:val="0"/>
          <w:numId w:val="895"/>
        </w:numPr>
        <w:jc w:val="both"/>
      </w:pPr>
      <w:r>
        <w:t>Les panneaux CLT sont fixés par l’intérieur au moyen de fixations de qualité Fe/Zn 25c au minimum (selon les exigences de la norme [NBN EN 1995-1-1]).</w:t>
      </w:r>
    </w:p>
    <w:p w14:paraId="2D4D14A8" w14:textId="77777777" w:rsidR="00DF410E" w:rsidRDefault="00CE7F43">
      <w:pPr>
        <w:pStyle w:val="Author-eListParagraph"/>
        <w:numPr>
          <w:ilvl w:val="0"/>
          <w:numId w:val="895"/>
        </w:numPr>
        <w:jc w:val="both"/>
      </w:pPr>
      <w:r>
        <w:t>Le positionnement des grilles de drainage délimite le sol extérieur fini.</w:t>
      </w:r>
    </w:p>
    <w:p w14:paraId="011E3EE3" w14:textId="77777777" w:rsidR="00DF410E" w:rsidRDefault="00CE7F43">
      <w:pPr>
        <w:pStyle w:val="Author-eListParagraph"/>
        <w:numPr>
          <w:ilvl w:val="0"/>
          <w:numId w:val="895"/>
        </w:numPr>
        <w:jc w:val="both"/>
      </w:pPr>
      <w:r>
        <w:t>Le drainage de la fondation soit relié à une évacuation.</w:t>
      </w:r>
    </w:p>
    <w:p w14:paraId="005F3361" w14:textId="77777777" w:rsidR="00DF410E" w:rsidRDefault="00CE7F43">
      <w:pPr>
        <w:pStyle w:val="Author-eListParagraph"/>
        <w:numPr>
          <w:ilvl w:val="0"/>
          <w:numId w:val="895"/>
        </w:numPr>
        <w:jc w:val="both"/>
      </w:pPr>
      <w:r>
        <w:t>Le système de drainage est entretenu régulièrement.</w:t>
      </w:r>
    </w:p>
    <w:p w14:paraId="5F42CA75" w14:textId="77777777" w:rsidR="00DF410E" w:rsidRDefault="00CE7F43">
      <w:pPr>
        <w:jc w:val="both"/>
      </w:pPr>
      <w:r>
        <w:rPr>
          <w:b/>
        </w:rPr>
        <w:t>Fixation entre panneaux de même plan :</w:t>
      </w:r>
    </w:p>
    <w:p w14:paraId="205DD504" w14:textId="77777777" w:rsidR="00DF410E" w:rsidRDefault="00CE7F43">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14:paraId="4AC1B4BF" w14:textId="77777777" w:rsidR="00DF410E" w:rsidRDefault="00CE7F43">
      <w:pPr>
        <w:jc w:val="both"/>
      </w:pPr>
      <w:r>
        <w:rPr>
          <w:b/>
        </w:rPr>
        <w:t>Assemblage d’angles :</w:t>
      </w:r>
    </w:p>
    <w:p w14:paraId="043FE95E" w14:textId="77777777" w:rsidR="00DF410E" w:rsidRDefault="00CE7F43">
      <w:pPr>
        <w:jc w:val="both"/>
      </w:pPr>
      <w:r>
        <w:t xml:space="preserve">L’angle entre deux panneaux CLT est assemblé </w:t>
      </w:r>
      <w:r>
        <w:rPr>
          <w:rStyle w:val="optioncarChar"/>
        </w:rPr>
        <w:t xml:space="preserve">par l’intermédiaire de vis traversantes </w:t>
      </w:r>
      <w:r>
        <w:t xml:space="preserve">(par défaut) </w:t>
      </w:r>
      <w:r>
        <w:rPr>
          <w:rStyle w:val="optioncarChar"/>
        </w:rPr>
        <w:t>/ par dispositifs d’ancrage ponctuels sur le gros œuvre existant / ***</w:t>
      </w:r>
      <w:r>
        <w:t>.</w:t>
      </w:r>
    </w:p>
    <w:p w14:paraId="22E876CB" w14:textId="77777777" w:rsidR="00DF410E" w:rsidRDefault="00CE7F43">
      <w:pPr>
        <w:jc w:val="both"/>
      </w:pPr>
      <w:r>
        <w:rPr>
          <w:b/>
        </w:rPr>
        <w:t>(soit par défaut)</w:t>
      </w:r>
    </w:p>
    <w:p w14:paraId="4B2213B3" w14:textId="77777777" w:rsidR="00DF410E" w:rsidRDefault="00CE7F43">
      <w:pPr>
        <w:jc w:val="both"/>
      </w:pPr>
      <w:r>
        <w:rPr>
          <w:rStyle w:val="soitChar"/>
          <w:u w:val="single"/>
        </w:rPr>
        <w:t xml:space="preserve">Vis traversante : </w:t>
      </w:r>
      <w:r>
        <w:rPr>
          <w:color w:val="33CCCC"/>
        </w:rPr>
        <w:t xml:space="preserve"> La fixation de type tire-fond et appliquée sur le pli central intérieur du panneau à assembler ou par fixations inclinées. Le nombre de fixations et les sections répondent au dimensionnement selon la </w:t>
      </w:r>
      <w:r>
        <w:t>[NBN EN 1995 série]</w:t>
      </w:r>
      <w:r>
        <w:rPr>
          <w:color w:val="33CCCC"/>
        </w:rPr>
        <w:t>.</w:t>
      </w:r>
    </w:p>
    <w:p w14:paraId="755A9E94" w14:textId="77777777" w:rsidR="00DF410E" w:rsidRDefault="00CE7F43">
      <w:pPr>
        <w:jc w:val="both"/>
      </w:pPr>
      <w:r>
        <w:rPr>
          <w:b/>
        </w:rPr>
        <w:t>(soit)</w:t>
      </w:r>
    </w:p>
    <w:p w14:paraId="30828AD4" w14:textId="77777777" w:rsidR="00DF410E" w:rsidRDefault="00CE7F43">
      <w:pPr>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w:t>
      </w:r>
    </w:p>
    <w:p w14:paraId="1B14B29F" w14:textId="77777777" w:rsidR="00DF410E" w:rsidRDefault="00CE7F43">
      <w:pPr>
        <w:jc w:val="both"/>
      </w:pPr>
      <w:r>
        <w:rPr>
          <w:rStyle w:val="soitChar"/>
        </w:rPr>
        <w:t xml:space="preserve">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mm de bord du panneau.</w:t>
      </w:r>
      <w:r>
        <w:t> </w:t>
      </w:r>
    </w:p>
    <w:p w14:paraId="04153BCE" w14:textId="77777777" w:rsidR="00DF410E" w:rsidRDefault="00CE7F43">
      <w:pPr>
        <w:jc w:val="both"/>
      </w:pPr>
      <w:r>
        <w:rPr>
          <w:b/>
        </w:rPr>
        <w:t>(soit)</w:t>
      </w:r>
    </w:p>
    <w:p w14:paraId="3DA41099" w14:textId="77777777" w:rsidR="00DF410E" w:rsidRDefault="00CE7F43">
      <w:pPr>
        <w:jc w:val="both"/>
      </w:pPr>
      <w:r>
        <w:rPr>
          <w:rStyle w:val="optioncarChar"/>
        </w:rPr>
        <w:t>***</w:t>
      </w:r>
      <w:r>
        <w:t> </w:t>
      </w:r>
    </w:p>
    <w:p w14:paraId="5A1D915A" w14:textId="77777777" w:rsidR="00DF410E" w:rsidRDefault="00CE7F43">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3B5E0662" w14:textId="77777777" w:rsidR="00DF410E" w:rsidRDefault="00CE7F43">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2127AB87" w14:textId="77777777" w:rsidR="00DF410E" w:rsidRDefault="00CE7F43">
      <w:pPr>
        <w:jc w:val="both"/>
      </w:pPr>
      <w:r>
        <w:t xml:space="preserve">Les dispositifs d’ancrage sont décrits dans les éléments du </w:t>
      </w:r>
      <w:hyperlink w:anchor="583" w:history="1">
        <w:r>
          <w:t>24.4 Assemblages</w:t>
        </w:r>
      </w:hyperlink>
      <w:r>
        <w:t>.</w:t>
      </w:r>
    </w:p>
    <w:p w14:paraId="09EC304A" w14:textId="77777777" w:rsidR="00DF410E" w:rsidRDefault="00CE7F43">
      <w:pPr>
        <w:jc w:val="both"/>
      </w:pPr>
      <w:r>
        <w:rPr>
          <w:b/>
        </w:rPr>
        <w:t>Travaux préalables :  HVAC - Sanitaires - Electricité :</w:t>
      </w:r>
    </w:p>
    <w:p w14:paraId="45053CFB" w14:textId="77777777" w:rsidR="00DF410E" w:rsidRDefault="00CE7F43">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75014890" w14:textId="77777777" w:rsidR="00DF410E" w:rsidRDefault="00CE7F43">
      <w:pPr>
        <w:jc w:val="both"/>
      </w:pPr>
      <w:r>
        <w:rPr>
          <w:b/>
        </w:rPr>
        <w:t>(soit par défaut)</w:t>
      </w:r>
    </w:p>
    <w:p w14:paraId="4D49C548" w14:textId="77777777" w:rsidR="00DF410E" w:rsidRDefault="00CE7F43">
      <w:pPr>
        <w:jc w:val="both"/>
      </w:pPr>
      <w:r>
        <w:rPr>
          <w:rStyle w:val="soitChar"/>
          <w:u w:val="single"/>
        </w:rPr>
        <w:t>Non :</w:t>
      </w:r>
      <w:r>
        <w:rPr>
          <w:rStyle w:val="soitChar"/>
        </w:rPr>
        <w:t> </w:t>
      </w:r>
      <w:r>
        <w:rPr>
          <w:color w:val="33CCCC"/>
        </w:rPr>
        <w:t>Les travaux ne comprennent aucun élément en préfabrication en vue de la réalisation des travaux HVAC, sanitaires et électriques. Les travaux s’y référant sont décrits dans le </w:t>
      </w:r>
      <w:hyperlink r:id="rId277" w:history="1" w:docLocation="34">
        <w:r>
          <w:t>6 T6 HVAC - sanitaires</w:t>
        </w:r>
      </w:hyperlink>
      <w:r>
        <w:rPr>
          <w:color w:val="33CCCC"/>
        </w:rPr>
        <w:t> et </w:t>
      </w:r>
      <w:hyperlink r:id="rId278" w:history="1" w:docLocation="35">
        <w:r>
          <w:t>7 T7 Electricité</w:t>
        </w:r>
      </w:hyperlink>
      <w:r>
        <w:rPr>
          <w:color w:val="33CCCC"/>
        </w:rPr>
        <w:t> et sont réalisés a posteriori.</w:t>
      </w:r>
    </w:p>
    <w:p w14:paraId="2222367F" w14:textId="77777777" w:rsidR="00DF410E" w:rsidRDefault="00CE7F43">
      <w:pPr>
        <w:jc w:val="both"/>
      </w:pPr>
      <w:r>
        <w:rPr>
          <w:b/>
        </w:rPr>
        <w:t>(soit)</w:t>
      </w:r>
    </w:p>
    <w:p w14:paraId="159169BA" w14:textId="77777777" w:rsidR="00DF410E" w:rsidRDefault="00CE7F43">
      <w:pPr>
        <w:jc w:val="both"/>
      </w:pPr>
      <w:r>
        <w:rPr>
          <w:rStyle w:val="soitChar"/>
          <w:u w:val="single"/>
        </w:rPr>
        <w:t>Oui :</w:t>
      </w:r>
      <w:r>
        <w:rPr>
          <w:rStyle w:val="soitChar"/>
        </w:rPr>
        <w:t> </w:t>
      </w:r>
      <w:r>
        <w:rPr>
          <w:color w:val="33CCCC"/>
        </w:rPr>
        <w:t>Les travaux comprennent dans la réalisation de la paroi, en préfabrication, le forage et le défonçage (fraisage) et éléments nécessaires aux travaux des installations HVAC, sanitaires et électriques. Les travaux s’y référant sont décrits dans le </w:t>
      </w:r>
      <w:hyperlink r:id="rId279" w:history="1" w:docLocation="34">
        <w:r>
          <w:t>6 T6 HVAC - sanitaires</w:t>
        </w:r>
      </w:hyperlink>
      <w:r>
        <w:rPr>
          <w:color w:val="33CCCC"/>
        </w:rPr>
        <w:t> et </w:t>
      </w:r>
      <w:hyperlink r:id="rId280" w:history="1" w:docLocation="35">
        <w:r>
          <w:t>7 T7 Electricité</w:t>
        </w:r>
      </w:hyperlink>
      <w:r>
        <w:rPr>
          <w:color w:val="33CCCC"/>
        </w:rPr>
        <w:t>.  </w:t>
      </w:r>
    </w:p>
    <w:p w14:paraId="0691B1E8" w14:textId="77777777" w:rsidR="00DF410E" w:rsidRDefault="00CE7F43">
      <w:pPr>
        <w:jc w:val="both"/>
      </w:pPr>
      <w:r>
        <w:rPr>
          <w:b/>
        </w:rPr>
        <w:t>Etanchéité à l’air :</w:t>
      </w:r>
    </w:p>
    <w:p w14:paraId="1E62C0A3" w14:textId="77777777" w:rsidR="00DF410E" w:rsidRDefault="00CE7F43">
      <w:pPr>
        <w:jc w:val="both"/>
      </w:pPr>
      <w:r>
        <w:t xml:space="preserve">L’étanchéité à l’air est assurée par : </w:t>
      </w:r>
      <w:r>
        <w:rPr>
          <w:rStyle w:val="optioncarChar"/>
        </w:rPr>
        <w:t>des bandes d’étanchéité aux jonctions de panneaux </w:t>
      </w:r>
      <w:r>
        <w:t>(par défaut)</w:t>
      </w:r>
      <w:r>
        <w:rPr>
          <w:rStyle w:val="optioncarChar"/>
        </w:rPr>
        <w:t> / une membrane continue  / des joints d’étanchéité dans l’épaisseur des panneaux.</w:t>
      </w:r>
    </w:p>
    <w:p w14:paraId="4D84FF43" w14:textId="77777777" w:rsidR="00DF410E" w:rsidRDefault="00CE7F43">
      <w:pPr>
        <w:jc w:val="both"/>
      </w:pPr>
      <w:r>
        <w:t>Sauf disposition particulière dans le CSC et hormis pour les joints d’étanchéité dans l’épaisseur des panneaux, la membrane ou les bandes d’étanchéités sont appliquées sur les faces extérieures des panneaux.</w:t>
      </w:r>
    </w:p>
    <w:p w14:paraId="02418336" w14:textId="77777777" w:rsidR="00DF410E" w:rsidRDefault="00CE7F43">
      <w:pPr>
        <w:jc w:val="both"/>
      </w:pPr>
      <w:r>
        <w:t>Dans le cas de panneaux trois plis, soit il est fait usage d’une membrane continue, soit une étanchéité à l’air complémentaire est mise en œuvre.</w:t>
      </w:r>
    </w:p>
    <w:p w14:paraId="2653683D" w14:textId="77777777" w:rsidR="00DF410E" w:rsidRDefault="00CE7F43">
      <w:pPr>
        <w:jc w:val="both"/>
      </w:pPr>
      <w:r>
        <w:t xml:space="preserve"> Cette étanchéité complémentaire peut être placée à l’extérieur des panneaux CLT, pour autant qu’une couche d’isolation thermique d’épaisseur suffisante soit placée sur la face extérieure des panneaux (la règle de base veut que la résistance thermique de l’isolation soit ≥ aux 2/3 de celle de toute la paroi).</w:t>
      </w:r>
    </w:p>
    <w:p w14:paraId="68D2B9C9" w14:textId="77777777" w:rsidR="00DF410E" w:rsidRDefault="00CE7F43">
      <w:pPr>
        <w:jc w:val="both"/>
      </w:pPr>
      <w:r>
        <w:rPr>
          <w:b/>
        </w:rPr>
        <w:t>Etanchéité à la vapeur d’eau :</w:t>
      </w:r>
    </w:p>
    <w:p w14:paraId="772E4BC0" w14:textId="77777777" w:rsidR="00DF410E" w:rsidRDefault="00CE7F43">
      <w:pPr>
        <w:jc w:val="both"/>
      </w:pPr>
      <w:r>
        <w:t xml:space="preserve">Le concepteur de la paroi en panneaux CLT veille au comportement hygrothermique de celle-ci en fonction des caractéristiques du projet et en tenant compte : </w:t>
      </w:r>
      <w:r>
        <w:rPr>
          <w:rStyle w:val="optioncarChar"/>
        </w:rPr>
        <w:t xml:space="preserve">d’un facteur μ sécuritaire compris entre 18 et 50 </w:t>
      </w:r>
      <w:r>
        <w:t>(par défaut)</w:t>
      </w:r>
      <w:r>
        <w:rPr>
          <w:rStyle w:val="optioncarChar"/>
        </w:rPr>
        <w:t xml:space="preserve"> / du facteur de résistance à la diffusion de vapeur d’eau μ déclaré par le fabricant.</w:t>
      </w:r>
    </w:p>
    <w:p w14:paraId="461D0EFE" w14:textId="77777777" w:rsidR="00DF410E" w:rsidRDefault="00CE7F43">
      <w:pPr>
        <w:pStyle w:val="pheading"/>
      </w:pPr>
      <w:r>
        <w:t>DOCUMENTS DE RÉFÉRENCE COMPLÉMENTAIRES</w:t>
      </w:r>
    </w:p>
    <w:p w14:paraId="63D5050E" w14:textId="77777777" w:rsidR="00DF410E" w:rsidRDefault="00CE7F43">
      <w:pPr>
        <w:pStyle w:val="pheading"/>
      </w:pPr>
      <w:r>
        <w:t>- Matériau</w:t>
      </w:r>
    </w:p>
    <w:p w14:paraId="7E2FE1AB" w14:textId="77777777" w:rsidR="00DF410E" w:rsidRDefault="00CE7F43">
      <w:r>
        <w:t>[NBN EN 301, Adhésifs de nature phénolique et aminoplaste, pour structures portantes en bois - Classification et exigences de performance]</w:t>
      </w:r>
    </w:p>
    <w:p w14:paraId="0DF1596E" w14:textId="77777777" w:rsidR="00DF410E" w:rsidRDefault="00CE7F43">
      <w:r>
        <w:t>[NBN EN 302-2, Adhésifs pour structures portantes en bois - Méthodes d'essais - Partie 2 : Détermination de la résistance à la délamination]</w:t>
      </w:r>
    </w:p>
    <w:p w14:paraId="7F00919F" w14:textId="77777777" w:rsidR="00DF410E" w:rsidRDefault="00CE7F43">
      <w:r>
        <w:t>[NBN EN 408+A1, Structures en bois - Bois de structure et bois lamellé-collé - Détermination de certaines propriétés physiques et mécaniques]</w:t>
      </w:r>
    </w:p>
    <w:p w14:paraId="53DF7799" w14:textId="77777777" w:rsidR="00DF410E" w:rsidRDefault="00CE7F43">
      <w:r>
        <w:t>[NBN EN 1991 série, Eurocode 1 : Actions sur les structures]</w:t>
      </w:r>
    </w:p>
    <w:p w14:paraId="3EFC05B8" w14:textId="77777777" w:rsidR="00DF410E" w:rsidRDefault="00CE7F43">
      <w:r>
        <w:t>[NBN EN 1995 série, Eurocode 5: Conception et calcul des structures en bois]</w:t>
      </w:r>
    </w:p>
    <w:p w14:paraId="65743537"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362A62DC" w14:textId="77777777" w:rsidR="00DF410E" w:rsidRDefault="00CE7F43">
      <w:r>
        <w:t>[NBN EN 13556, Bois ronds et bois sciés - Nomenclature des bois utilisés en Europe]</w:t>
      </w:r>
    </w:p>
    <w:p w14:paraId="131F70A2" w14:textId="77777777" w:rsidR="00DF410E" w:rsidRDefault="00CE7F43">
      <w:r>
        <w:t>[NBN EN 14358, Structures en bois - Détermination et vérification des valeurs caractéristiques]</w:t>
      </w:r>
    </w:p>
    <w:p w14:paraId="3830C11B" w14:textId="77777777" w:rsidR="00DF410E" w:rsidRDefault="00CE7F43">
      <w:r>
        <w:t>[NBN EN 15425, Adhésifs - Adhésifs polyuréthane monocomposants (PUR) pour structures portantes en bois - Classification et exigences de performance]</w:t>
      </w:r>
    </w:p>
    <w:p w14:paraId="416D02DF" w14:textId="77777777" w:rsidR="00DF410E" w:rsidRDefault="00CE7F43">
      <w:r>
        <w:t>[NBN EN 16351, Structures en bois - Bois lamellé croisé - Exigences] </w:t>
      </w:r>
    </w:p>
    <w:p w14:paraId="0E140B98" w14:textId="77777777" w:rsidR="00DF410E" w:rsidRDefault="00CE7F43">
      <w:r>
        <w:t>[NBN EN 335, Durabilité du bois et des matériaux à base de bois - Classes d'emploi: définitions, application au bois massif et aux matériaux à base de bois]</w:t>
      </w:r>
    </w:p>
    <w:p w14:paraId="320D6CE2" w14:textId="77777777" w:rsidR="00DF410E" w:rsidRDefault="00CE7F43">
      <w:r>
        <w:t>[STS 04 série, Bois et panneaux à base de bois]</w:t>
      </w:r>
    </w:p>
    <w:p w14:paraId="4816E973" w14:textId="77777777" w:rsidR="00DF410E" w:rsidRDefault="00CE7F43">
      <w:pPr>
        <w:pStyle w:val="pheading"/>
      </w:pPr>
      <w:r>
        <w:t>MESURAGE</w:t>
      </w:r>
    </w:p>
    <w:p w14:paraId="3206C854" w14:textId="77777777" w:rsidR="00DF410E" w:rsidRDefault="00CE7F43">
      <w:pPr>
        <w:pStyle w:val="pheading"/>
      </w:pPr>
      <w:r>
        <w:t>- unité de mesure:</w:t>
      </w:r>
    </w:p>
    <w:p w14:paraId="49401967" w14:textId="77777777" w:rsidR="00DF410E" w:rsidRDefault="00CE7F43">
      <w:r>
        <w:rPr>
          <w:rStyle w:val="optioncarChar"/>
        </w:rPr>
        <w:t>m²</w:t>
      </w:r>
      <w:r>
        <w:t xml:space="preserve"> (par défaut)</w:t>
      </w:r>
      <w:r>
        <w:rPr>
          <w:rStyle w:val="optioncarChar"/>
        </w:rPr>
        <w:t xml:space="preserve"> / m³</w:t>
      </w:r>
    </w:p>
    <w:p w14:paraId="3B1B6AEC" w14:textId="77777777" w:rsidR="00DF410E" w:rsidRDefault="00CE7F43">
      <w:r>
        <w:rPr>
          <w:b/>
        </w:rPr>
        <w:t>(soit par défaut)</w:t>
      </w:r>
      <w:r>
        <w:br/>
      </w:r>
      <w:r>
        <w:rPr>
          <w:rStyle w:val="soitChar"/>
        </w:rPr>
        <w:t>1. m²</w:t>
      </w:r>
      <w:r>
        <w:br/>
      </w:r>
      <w:r>
        <w:rPr>
          <w:b/>
        </w:rPr>
        <w:t>(soit)</w:t>
      </w:r>
      <w:r>
        <w:br/>
      </w:r>
      <w:r>
        <w:rPr>
          <w:rStyle w:val="soitChar"/>
        </w:rPr>
        <w:t>2. m³</w:t>
      </w:r>
    </w:p>
    <w:p w14:paraId="25E1A5CB" w14:textId="77777777" w:rsidR="00DF410E" w:rsidRDefault="00CE7F43">
      <w:pPr>
        <w:pStyle w:val="pheading"/>
      </w:pPr>
      <w:r>
        <w:t>- code de mesurage:</w:t>
      </w:r>
    </w:p>
    <w:p w14:paraId="5CA23037" w14:textId="77777777" w:rsidR="00DF410E" w:rsidRDefault="00CE7F43">
      <w:pPr>
        <w:jc w:val="both"/>
      </w:pPr>
      <w:r>
        <w:rPr>
          <w:rStyle w:val="optioncarChar"/>
        </w:rPr>
        <w:t xml:space="preserve">Surface nette </w:t>
      </w:r>
      <w:r>
        <w:t>(par défaut)</w:t>
      </w:r>
      <w:r>
        <w:rPr>
          <w:rStyle w:val="optioncarChar"/>
        </w:rPr>
        <w:t xml:space="preserve"> / Volume net</w:t>
      </w:r>
    </w:p>
    <w:p w14:paraId="55209528" w14:textId="77777777" w:rsidR="00DF410E" w:rsidRDefault="00CE7F43">
      <w:pPr>
        <w:jc w:val="both"/>
      </w:pPr>
      <w:r>
        <w:rPr>
          <w:b/>
        </w:rPr>
        <w:t>(soit par défaut)</w:t>
      </w:r>
    </w:p>
    <w:p w14:paraId="5E06FDF0" w14:textId="77777777" w:rsidR="00DF410E" w:rsidRDefault="00CE7F43">
      <w:pPr>
        <w:jc w:val="both"/>
      </w:pPr>
      <w:r>
        <w:rPr>
          <w:rStyle w:val="soitChar"/>
        </w:rPr>
        <w:t xml:space="preserve">1. </w:t>
      </w:r>
      <w:r>
        <w:rPr>
          <w:rStyle w:val="soitChar"/>
          <w:u w:val="single"/>
        </w:rPr>
        <w:t>Surface nette</w:t>
      </w:r>
      <w:r>
        <w:rPr>
          <w:rStyle w:val="soitChar"/>
        </w:rPr>
        <w:t xml:space="preserve"> à mettre en œuvre. Les réservations &lt; 2 m² ne sont pas déduites. Distinction faite suivant l'épaisseur.</w:t>
      </w:r>
    </w:p>
    <w:p w14:paraId="4D48DB4B" w14:textId="77777777" w:rsidR="00DF410E" w:rsidRDefault="00CE7F43">
      <w:pPr>
        <w:jc w:val="both"/>
      </w:pPr>
      <w:r>
        <w:rPr>
          <w:b/>
        </w:rPr>
        <w:t>(soit)</w:t>
      </w:r>
    </w:p>
    <w:p w14:paraId="7F11B6CA" w14:textId="77777777" w:rsidR="00DF410E" w:rsidRDefault="00CE7F43">
      <w:pPr>
        <w:jc w:val="both"/>
      </w:pPr>
      <w:r>
        <w:rPr>
          <w:color w:val="33CCCC"/>
        </w:rPr>
        <w:t xml:space="preserve">2. </w:t>
      </w:r>
      <w:r>
        <w:rPr>
          <w:rStyle w:val="soitChar"/>
          <w:u w:val="single"/>
        </w:rPr>
        <w:t xml:space="preserve">Volume net </w:t>
      </w:r>
      <w:r>
        <w:rPr>
          <w:color w:val="33CCCC"/>
        </w:rPr>
        <w:t xml:space="preserve"> à mettre en œuvre. Les ouvertures S &gt; 2 m² multipliées par l’épaisseur à réaliser sont déduites. Distinction faite suivant l’épaisseur.</w:t>
      </w:r>
    </w:p>
    <w:p w14:paraId="659E6ED3" w14:textId="77777777" w:rsidR="00DF410E" w:rsidRDefault="00CE7F43">
      <w:pPr>
        <w:pStyle w:val="pheading"/>
      </w:pPr>
      <w:r>
        <w:t>- nature du marché:</w:t>
      </w:r>
    </w:p>
    <w:p w14:paraId="0A0E6FD8" w14:textId="77777777" w:rsidR="00DF410E" w:rsidRDefault="00CE7F43">
      <w:r>
        <w:rPr>
          <w:rStyle w:val="optioncarChar"/>
        </w:rPr>
        <w:t xml:space="preserve">QF </w:t>
      </w:r>
      <w:r>
        <w:t xml:space="preserve">(par défaut) </w:t>
      </w:r>
      <w:r>
        <w:rPr>
          <w:rStyle w:val="optioncarChar"/>
        </w:rPr>
        <w:t>/ QP</w:t>
      </w:r>
    </w:p>
    <w:p w14:paraId="66E5671E" w14:textId="77777777" w:rsidR="00DF410E" w:rsidRDefault="00CE7F43">
      <w:r>
        <w:rPr>
          <w:b/>
        </w:rPr>
        <w:t>(soit par défaut)</w:t>
      </w:r>
      <w:r>
        <w:br/>
      </w:r>
      <w:r>
        <w:rPr>
          <w:rStyle w:val="soitChar"/>
        </w:rPr>
        <w:t>1. 2. QF</w:t>
      </w:r>
      <w:r>
        <w:br/>
      </w:r>
      <w:r>
        <w:rPr>
          <w:b/>
        </w:rPr>
        <w:t>(soit)</w:t>
      </w:r>
      <w:r>
        <w:br/>
      </w:r>
      <w:r>
        <w:rPr>
          <w:rStyle w:val="soitChar"/>
        </w:rPr>
        <w:t>1. 2. QP</w:t>
      </w:r>
    </w:p>
    <w:p w14:paraId="09B1C5D7" w14:textId="77777777" w:rsidR="00DF410E" w:rsidRDefault="00CE7F43">
      <w:pPr>
        <w:pStyle w:val="pheading"/>
      </w:pPr>
      <w:r>
        <w:t>AIDE</w:t>
      </w:r>
    </w:p>
    <w:p w14:paraId="03FF77B7" w14:textId="77777777" w:rsidR="00DF410E" w:rsidRDefault="00CE7F43">
      <w:pPr>
        <w:jc w:val="both"/>
      </w:pPr>
      <w:r>
        <w:t>(1) Il existe des lisses de section L ou T permettant une liaison plus aisée avec les panneaux.</w:t>
      </w:r>
    </w:p>
    <w:p w14:paraId="7AA05A34" w14:textId="77777777" w:rsidR="00DF410E" w:rsidRDefault="00CE7F43">
      <w:pPr>
        <w:pStyle w:val="Author-eSectionHeading5"/>
      </w:pPr>
      <w:bookmarkStart w:id="1659" w:name="_Toc178838748"/>
      <w:r>
        <w:t>24.21.3 Murs en bois en caissons préfabriqués CCTB 01.10</w:t>
      </w:r>
      <w:bookmarkEnd w:id="1659"/>
    </w:p>
    <w:p w14:paraId="74B17BF7" w14:textId="77777777" w:rsidR="00DF410E" w:rsidRDefault="00CE7F43">
      <w:pPr>
        <w:pStyle w:val="Author-eSectionHeading6"/>
      </w:pPr>
      <w:bookmarkStart w:id="1660" w:name="_Toc178838749"/>
      <w:r>
        <w:t>24.21.3a Murs en bois en caissons préfabriqués remplis d'isolant CCTB 01.12</w:t>
      </w:r>
      <w:bookmarkEnd w:id="1660"/>
    </w:p>
    <w:p w14:paraId="57EDB554" w14:textId="77777777" w:rsidR="00DF410E" w:rsidRDefault="00CE7F43">
      <w:pPr>
        <w:pStyle w:val="pheading"/>
      </w:pPr>
      <w:r>
        <w:t>DESCRIPTION</w:t>
      </w:r>
    </w:p>
    <w:p w14:paraId="5552486E" w14:textId="77777777" w:rsidR="00DF410E" w:rsidRDefault="00CE7F43">
      <w:pPr>
        <w:pStyle w:val="pheading"/>
      </w:pPr>
      <w:r>
        <w:t>- Définition / Comprend</w:t>
      </w:r>
    </w:p>
    <w:p w14:paraId="50B199E6" w14:textId="77777777" w:rsidR="00DF410E" w:rsidRDefault="00CE7F43">
      <w:pPr>
        <w:jc w:val="both"/>
      </w:pPr>
      <w:r>
        <w:t>Il s’agit de la fourniture et la pose de murs porteurs ou non constitués de caissons  préfabriqués en bois remplis d’isolant.</w:t>
      </w:r>
    </w:p>
    <w:p w14:paraId="4869E2A6" w14:textId="77777777" w:rsidR="00DF410E" w:rsidRDefault="00CE7F43">
      <w:pPr>
        <w:jc w:val="both"/>
      </w:pPr>
      <w:r>
        <w:t>Le travail comprend notamment :</w:t>
      </w:r>
    </w:p>
    <w:p w14:paraId="2128C8D5" w14:textId="77777777" w:rsidR="00DF410E" w:rsidRDefault="00CE7F43">
      <w:pPr>
        <w:pStyle w:val="Author-eListParagraph"/>
        <w:numPr>
          <w:ilvl w:val="0"/>
          <w:numId w:val="896"/>
        </w:numPr>
        <w:jc w:val="both"/>
      </w:pPr>
      <w:r>
        <w:t>La préparation et nettoyage des supports sur lesquels les éléments sont posés;</w:t>
      </w:r>
    </w:p>
    <w:p w14:paraId="34AD54A4" w14:textId="77777777" w:rsidR="00DF410E" w:rsidRDefault="00CE7F43">
      <w:pPr>
        <w:pStyle w:val="Author-eListParagraph"/>
        <w:numPr>
          <w:ilvl w:val="0"/>
          <w:numId w:val="896"/>
        </w:numPr>
        <w:jc w:val="both"/>
      </w:pPr>
      <w:r>
        <w:t>La fabrication, la livraison et la pose des parois, y compris les engins de levage, tous les supports temporaires et travaux d’étayage;</w:t>
      </w:r>
    </w:p>
    <w:p w14:paraId="7894F96E" w14:textId="77777777" w:rsidR="00DF410E" w:rsidRDefault="00CE7F43">
      <w:pPr>
        <w:pStyle w:val="Author-eListParagraph"/>
        <w:numPr>
          <w:ilvl w:val="0"/>
          <w:numId w:val="896"/>
        </w:numPr>
        <w:jc w:val="both"/>
      </w:pPr>
      <w:r>
        <w:t>Les réservations prévues sur les plans;</w:t>
      </w:r>
    </w:p>
    <w:p w14:paraId="0631F9B5" w14:textId="77777777" w:rsidR="00DF410E" w:rsidRDefault="00CE7F43">
      <w:pPr>
        <w:pStyle w:val="Author-eListParagraph"/>
        <w:numPr>
          <w:ilvl w:val="0"/>
          <w:numId w:val="896"/>
        </w:numPr>
        <w:jc w:val="both"/>
      </w:pPr>
      <w:r>
        <w:t>La finition des bords et travaux de réparation en cas d’endommagement;</w:t>
      </w:r>
    </w:p>
    <w:p w14:paraId="46455B43" w14:textId="77777777" w:rsidR="00DF410E" w:rsidRDefault="00CE7F43">
      <w:pPr>
        <w:pStyle w:val="Author-eListParagraph"/>
        <w:numPr>
          <w:ilvl w:val="0"/>
          <w:numId w:val="896"/>
        </w:numPr>
        <w:jc w:val="both"/>
      </w:pPr>
      <w:r>
        <w:t>Le remplissage des joints de dilatation éventuels selon les directives du fournisseur;</w:t>
      </w:r>
    </w:p>
    <w:p w14:paraId="6DCAF041" w14:textId="77777777" w:rsidR="00DF410E" w:rsidRDefault="00CE7F43">
      <w:pPr>
        <w:pStyle w:val="Author-eListParagraph"/>
        <w:numPr>
          <w:ilvl w:val="0"/>
          <w:numId w:val="896"/>
        </w:numPr>
        <w:jc w:val="both"/>
      </w:pPr>
      <w:r>
        <w:t>Le contrôle de toutes les dimensions et l’adaptation des éléments à préfabriquer aux dimensions réelles ;</w:t>
      </w:r>
    </w:p>
    <w:p w14:paraId="1D6FE26E" w14:textId="77777777" w:rsidR="00DF410E" w:rsidRDefault="00CE7F43">
      <w:pPr>
        <w:pStyle w:val="Author-eListParagraph"/>
        <w:numPr>
          <w:ilvl w:val="0"/>
          <w:numId w:val="896"/>
        </w:numPr>
        <w:jc w:val="both"/>
      </w:pPr>
      <w:r>
        <w:t>Tous les moyens de liaisonnement éventuels, aussi bien entre les éléments préfabriqués, qu’avec les éléments de support, de bord, … ;</w:t>
      </w:r>
    </w:p>
    <w:p w14:paraId="684E5054" w14:textId="77777777" w:rsidR="00DF410E" w:rsidRDefault="00CE7F43">
      <w:pPr>
        <w:pStyle w:val="Author-eListParagraph"/>
        <w:numPr>
          <w:ilvl w:val="0"/>
          <w:numId w:val="896"/>
        </w:numPr>
        <w:jc w:val="both"/>
      </w:pPr>
      <w:r>
        <w:t>L’éventuel pare-vapeur ou frein vapeur ;</w:t>
      </w:r>
    </w:p>
    <w:p w14:paraId="1F6C9377" w14:textId="77777777" w:rsidR="00DF410E" w:rsidRDefault="00CE7F43">
      <w:pPr>
        <w:pStyle w:val="Author-eListParagraph"/>
        <w:numPr>
          <w:ilvl w:val="0"/>
          <w:numId w:val="896"/>
        </w:numPr>
        <w:jc w:val="both"/>
      </w:pPr>
      <w:r>
        <w:t>L’enlèvement de tous les accessoires, éléments de coffrage, supports, étais et le nettoyage des faces visibles;    </w:t>
      </w:r>
    </w:p>
    <w:p w14:paraId="2361F3C1" w14:textId="77777777" w:rsidR="00DF410E" w:rsidRDefault="00CE7F43">
      <w:pPr>
        <w:pStyle w:val="Author-eListParagraph"/>
        <w:numPr>
          <w:ilvl w:val="0"/>
          <w:numId w:val="896"/>
        </w:numPr>
        <w:jc w:val="both"/>
      </w:pPr>
      <w:r>
        <w:t>Les ouvrages de protection des caissons contre la pluie, l’humidité et la condensation durant le transport et toute la durée du chantier.</w:t>
      </w:r>
    </w:p>
    <w:p w14:paraId="7FD0FD70" w14:textId="77777777" w:rsidR="00DF410E" w:rsidRDefault="00CE7F43">
      <w:pPr>
        <w:pStyle w:val="pheading"/>
      </w:pPr>
      <w:r>
        <w:t>- Localisation</w:t>
      </w:r>
    </w:p>
    <w:p w14:paraId="0F97B916" w14:textId="77777777" w:rsidR="00DF410E" w:rsidRDefault="00CE7F43">
      <w:r>
        <w:t xml:space="preserve">Localisation des travaux : </w:t>
      </w:r>
      <w:r>
        <w:rPr>
          <w:rStyle w:val="optioncarChar"/>
        </w:rPr>
        <w:t>***</w:t>
      </w:r>
      <w:r>
        <w:t>.</w:t>
      </w:r>
    </w:p>
    <w:p w14:paraId="4AA43D29" w14:textId="77777777" w:rsidR="00DF410E" w:rsidRDefault="00CE7F43">
      <w:r>
        <w:t>Voir plans et métrés détaillés.</w:t>
      </w:r>
    </w:p>
    <w:p w14:paraId="19CB2244" w14:textId="77777777" w:rsidR="00DF410E" w:rsidRDefault="00CE7F43">
      <w:pPr>
        <w:pStyle w:val="pheading"/>
      </w:pPr>
      <w:r>
        <w:t>MATÉRIAUX</w:t>
      </w:r>
    </w:p>
    <w:p w14:paraId="20EE5269" w14:textId="77777777" w:rsidR="00DF410E" w:rsidRDefault="00CE7F43">
      <w:pPr>
        <w:pStyle w:val="pheading"/>
      </w:pPr>
      <w:r>
        <w:t>- Caractéristiques générales</w:t>
      </w:r>
    </w:p>
    <w:p w14:paraId="71DC5976" w14:textId="77777777" w:rsidR="00DF410E" w:rsidRDefault="00CE7F43">
      <w:pPr>
        <w:jc w:val="both"/>
      </w:pPr>
      <w:r>
        <w:t>L’ensemble est un complexe réalisé en usine ou en atelier et comprend :</w:t>
      </w:r>
    </w:p>
    <w:p w14:paraId="2D610379" w14:textId="77777777" w:rsidR="00DF410E" w:rsidRDefault="00CE7F43">
      <w:pPr>
        <w:jc w:val="both"/>
      </w:pPr>
      <w:r>
        <w:rPr>
          <w:b/>
        </w:rPr>
        <w:t>Structure</w:t>
      </w:r>
    </w:p>
    <w:p w14:paraId="7DCEF951" w14:textId="77777777" w:rsidR="00DF410E" w:rsidRDefault="00CE7F43">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des poutres en I) de </w:t>
      </w:r>
      <w:r>
        <w:rPr>
          <w:rStyle w:val="optioncarChar"/>
        </w:rPr>
        <w:t xml:space="preserve">38 / 45 </w:t>
      </w:r>
      <w:r>
        <w:t>(par défaut)</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14:paraId="083F99C1" w14:textId="77777777" w:rsidR="00DF410E" w:rsidRDefault="00CE7F43">
      <w:pPr>
        <w:jc w:val="both"/>
      </w:pPr>
      <w:r>
        <w:t>Le bois massif répond aux spécifications de la [NBN EN 14081 série].</w:t>
      </w:r>
    </w:p>
    <w:p w14:paraId="0AFA4860" w14:textId="77777777" w:rsidR="00DF410E" w:rsidRDefault="00CE7F43">
      <w:pPr>
        <w:jc w:val="both"/>
      </w:pPr>
      <w:r>
        <w:t>Les bois massifs peuvent être aboutés. Les pièces constitutives du produit fini doivent être classées selon la  [NBN EN 14081 série] et les produits finis doivent être marqués selon la [NBN EN 15497].</w:t>
      </w:r>
    </w:p>
    <w:p w14:paraId="3EB73463" w14:textId="77777777" w:rsidR="00DF410E" w:rsidRDefault="00CE7F43">
      <w:pPr>
        <w:jc w:val="both"/>
      </w:pPr>
      <w:r>
        <w:t>Les bois lamellé-collé doit répondre à la [NBN EN 14080].</w:t>
      </w:r>
    </w:p>
    <w:p w14:paraId="15618592" w14:textId="77777777" w:rsidR="00DF410E" w:rsidRDefault="00CE7F43">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p>
    <w:p w14:paraId="594DF014" w14:textId="77777777" w:rsidR="00DF410E" w:rsidRDefault="00CE7F43">
      <w:pPr>
        <w:jc w:val="both"/>
      </w:pPr>
      <w:r>
        <w:t xml:space="preserve">La structure correspond en tout point au titre </w:t>
      </w:r>
      <w:hyperlink w:anchor="592" w:history="1">
        <w:r>
          <w:t>24.1 Eléments de structures en bois</w:t>
        </w:r>
      </w:hyperlink>
      <w:r>
        <w:t xml:space="preserve"> et au sous-titre </w:t>
      </w:r>
      <w:hyperlink w:anchor="593" w:history="1">
        <w:r>
          <w:t>24.42 Assemblages mécaniques</w:t>
        </w:r>
      </w:hyperlink>
      <w:r>
        <w:t>. </w:t>
      </w:r>
    </w:p>
    <w:p w14:paraId="1E001864" w14:textId="77777777" w:rsidR="00DF410E" w:rsidRDefault="00CE7F43">
      <w:pPr>
        <w:jc w:val="both"/>
      </w:pPr>
      <w:r>
        <w:rPr>
          <w:b/>
        </w:rPr>
        <w:t>Panneau extérieur</w:t>
      </w:r>
    </w:p>
    <w:p w14:paraId="04B4881A" w14:textId="77777777" w:rsidR="00DF410E" w:rsidRDefault="00CE7F43">
      <w:pPr>
        <w:jc w:val="both"/>
      </w:pPr>
      <w:r>
        <w:t xml:space="preserve">Les panneaux extérieurs sont </w:t>
      </w:r>
      <w:r>
        <w:rPr>
          <w:rStyle w:val="optioncarChar"/>
        </w:rPr>
        <w:t xml:space="preserve">vissés </w:t>
      </w:r>
      <w:r>
        <w:t>(par défaut)</w:t>
      </w:r>
      <w:r>
        <w:rPr>
          <w:rStyle w:val="optioncarChar"/>
        </w:rPr>
        <w:t xml:space="preserve"> / cloués / collés / ***.</w:t>
      </w:r>
    </w:p>
    <w:p w14:paraId="1CD603C5" w14:textId="77777777" w:rsidR="00DF410E" w:rsidRDefault="00CE7F43">
      <w:pPr>
        <w:jc w:val="both"/>
      </w:pPr>
      <w:r>
        <w:t xml:space="preserve">Le panneau est </w:t>
      </w:r>
      <w:r>
        <w:rPr>
          <w:rStyle w:val="optioncarChar"/>
        </w:rPr>
        <w:t>rainuré languetté / ***</w:t>
      </w:r>
      <w:r>
        <w:t>.</w:t>
      </w:r>
    </w:p>
    <w:p w14:paraId="595B6A7E" w14:textId="77777777" w:rsidR="00DF410E" w:rsidRDefault="00CE7F43">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14:paraId="23113A05" w14:textId="77777777" w:rsidR="00DF410E" w:rsidRDefault="00CE7F43">
      <w:pPr>
        <w:jc w:val="both"/>
      </w:pPr>
      <w:r>
        <w:t xml:space="preserve">La perméabilité à la vapeur d’eau (Sd) est inférieure à  </w:t>
      </w:r>
      <w:r>
        <w:rPr>
          <w:rStyle w:val="optioncarChar"/>
        </w:rPr>
        <w:t>0,1m  / 0,2m  / définie par l’analyse de diffusion de vapeur d’eau de la paroi complète</w:t>
      </w:r>
      <w:r>
        <w:t xml:space="preserve"> (par défaut)</w:t>
      </w:r>
      <w:r>
        <w:rPr>
          <w:rStyle w:val="optioncarChar"/>
        </w:rPr>
        <w:t xml:space="preserve"> / ***</w:t>
      </w:r>
      <w:r>
        <w:t>.</w:t>
      </w:r>
    </w:p>
    <w:p w14:paraId="66EB87EA" w14:textId="77777777" w:rsidR="00DF410E" w:rsidRDefault="00CE7F43">
      <w:pPr>
        <w:jc w:val="both"/>
      </w:pPr>
      <w:r>
        <w:t xml:space="preserve">Le panneau </w:t>
      </w:r>
      <w:r>
        <w:rPr>
          <w:rStyle w:val="optioncarChar"/>
        </w:rPr>
        <w:t>fait office / ne fait pas office</w:t>
      </w:r>
      <w:r>
        <w:t xml:space="preserve"> de pare-pluie. </w:t>
      </w:r>
    </w:p>
    <w:p w14:paraId="74C9FB63" w14:textId="77777777" w:rsidR="00DF410E" w:rsidRDefault="00CE7F43">
      <w:pPr>
        <w:jc w:val="both"/>
      </w:pPr>
      <w:r>
        <w:t>Les panneaux sont constitués de panneaux</w:t>
      </w:r>
      <w:r>
        <w:rPr>
          <w:rStyle w:val="optioncarChar"/>
        </w:rPr>
        <w:t xml:space="preserve"> de fibre de bois </w:t>
      </w:r>
      <w:r>
        <w:t xml:space="preserve">(par défaut) </w:t>
      </w:r>
      <w:r>
        <w:rPr>
          <w:rStyle w:val="optioncarChar"/>
        </w:rPr>
        <w:t>/ OSB / multiplex bois / CLT / ***.</w:t>
      </w:r>
    </w:p>
    <w:p w14:paraId="03BE0DF0" w14:textId="77777777" w:rsidR="00DF410E" w:rsidRDefault="00CE7F43">
      <w:pPr>
        <w:ind w:left="567"/>
        <w:jc w:val="both"/>
      </w:pPr>
      <w:r>
        <w:rPr>
          <w:b/>
          <w:i/>
        </w:rPr>
        <w:t>(Soit par défaut)</w:t>
      </w:r>
    </w:p>
    <w:p w14:paraId="2D29652A" w14:textId="77777777" w:rsidR="00DF410E" w:rsidRDefault="00CE7F43">
      <w:pPr>
        <w:ind w:left="567"/>
        <w:jc w:val="both"/>
      </w:pPr>
      <w:r>
        <w:rPr>
          <w:rStyle w:val="soitChar"/>
          <w:u w:val="single"/>
        </w:rPr>
        <w:t xml:space="preserve">Panneau de fibre de bois </w:t>
      </w:r>
    </w:p>
    <w:p w14:paraId="281ABFD8" w14:textId="77777777" w:rsidR="00DF410E" w:rsidRDefault="00CE7F43">
      <w:pPr>
        <w:ind w:left="567"/>
        <w:jc w:val="both"/>
      </w:pPr>
      <w:r>
        <w:rPr>
          <w:rStyle w:val="soitChar"/>
        </w:rPr>
        <w:t xml:space="preserve">Pour le descriptif, voir l’article </w:t>
      </w:r>
      <w:hyperlink w:anchor="594" w:history="1">
        <w:r>
          <w:rPr>
            <w:rStyle w:val="soitChar"/>
          </w:rPr>
          <w:t>24.16.1d Panneaux MDF</w:t>
        </w:r>
      </w:hyperlink>
      <w:r>
        <w:rPr>
          <w:rStyle w:val="soitChar"/>
        </w:rPr>
        <w:t>.</w:t>
      </w:r>
    </w:p>
    <w:p w14:paraId="253E952A" w14:textId="77777777" w:rsidR="00DF410E" w:rsidRDefault="00CE7F43">
      <w:pPr>
        <w:ind w:left="567"/>
        <w:jc w:val="both"/>
      </w:pPr>
      <w:r>
        <w:rPr>
          <w:rStyle w:val="soitChar"/>
        </w:rPr>
        <w:t xml:space="preserve">Les panneaux ont une épaisseur de </w:t>
      </w:r>
      <w:r>
        <w:rPr>
          <w:rStyle w:val="optioncarChar"/>
        </w:rPr>
        <w:t>12 / 20</w:t>
      </w:r>
      <w:r>
        <w:t xml:space="preserve"> (par défaut) </w:t>
      </w:r>
      <w:r>
        <w:rPr>
          <w:rStyle w:val="optioncarChar"/>
        </w:rPr>
        <w:t>/ ***</w:t>
      </w:r>
      <w:r>
        <w:rPr>
          <w:rStyle w:val="soitChar"/>
        </w:rPr>
        <w:t xml:space="preserve"> mm.</w:t>
      </w:r>
    </w:p>
    <w:p w14:paraId="6CED41F9" w14:textId="77777777" w:rsidR="00DF410E" w:rsidRDefault="00CE7F43">
      <w:pPr>
        <w:ind w:left="567"/>
        <w:jc w:val="both"/>
      </w:pPr>
      <w:r>
        <w:rPr>
          <w:rStyle w:val="soitChar"/>
        </w:rPr>
        <w:t>Les panneaux sont de type </w:t>
      </w:r>
      <w:r>
        <w:rPr>
          <w:rStyle w:val="optioncarChar"/>
        </w:rPr>
        <w:t>MDF LA</w:t>
      </w:r>
      <w:r>
        <w:t xml:space="preserve"> (par défaut) </w:t>
      </w:r>
      <w:r>
        <w:rPr>
          <w:rStyle w:val="optioncarChar"/>
        </w:rPr>
        <w:t>/ MDF-HLS</w:t>
      </w:r>
      <w:r>
        <w:rPr>
          <w:rStyle w:val="soitChar"/>
        </w:rPr>
        <w:t>.</w:t>
      </w:r>
    </w:p>
    <w:p w14:paraId="6508E5DD" w14:textId="77777777" w:rsidR="00DF410E" w:rsidRDefault="00CE7F43">
      <w:pPr>
        <w:ind w:left="567"/>
        <w:jc w:val="both"/>
      </w:pPr>
      <w:r>
        <w:rPr>
          <w:rStyle w:val="soitChar"/>
        </w:rPr>
        <w:t>Les panneaux répondent à la [NBN EN 13986+A1] et aux exigences de [NBN EN 622 série].</w:t>
      </w:r>
    </w:p>
    <w:p w14:paraId="21674B98" w14:textId="77777777" w:rsidR="00DF410E" w:rsidRDefault="00CE7F43">
      <w:pPr>
        <w:ind w:left="567"/>
        <w:jc w:val="both"/>
      </w:pPr>
      <w:r>
        <w:rPr>
          <w:b/>
          <w:i/>
        </w:rPr>
        <w:t>(Soit)</w:t>
      </w:r>
    </w:p>
    <w:p w14:paraId="12CBC6CF" w14:textId="77777777" w:rsidR="00DF410E" w:rsidRDefault="00CE7F43">
      <w:pPr>
        <w:ind w:left="567"/>
        <w:jc w:val="both"/>
      </w:pPr>
      <w:r>
        <w:rPr>
          <w:rStyle w:val="soitChar"/>
          <w:u w:val="single"/>
        </w:rPr>
        <w:t xml:space="preserve">Osb </w:t>
      </w:r>
    </w:p>
    <w:p w14:paraId="2E96BCB5" w14:textId="77777777" w:rsidR="00DF410E" w:rsidRDefault="00CE7F43">
      <w:pPr>
        <w:ind w:left="567"/>
        <w:jc w:val="both"/>
      </w:pPr>
      <w:r>
        <w:rPr>
          <w:rStyle w:val="soitChar"/>
        </w:rPr>
        <w:t xml:space="preserve">Pour le descriptif, voir l’article </w:t>
      </w:r>
      <w:hyperlink w:anchor="595" w:history="1">
        <w:r>
          <w:rPr>
            <w:rStyle w:val="soitChar"/>
          </w:rPr>
          <w:t>24.16.1b Panneaux OSB</w:t>
        </w:r>
      </w:hyperlink>
      <w:r>
        <w:rPr>
          <w:rStyle w:val="soitChar"/>
        </w:rPr>
        <w:t>.</w:t>
      </w:r>
    </w:p>
    <w:p w14:paraId="67D2267F" w14:textId="77777777" w:rsidR="00DF410E" w:rsidRDefault="00CE7F43">
      <w:pPr>
        <w:ind w:left="567"/>
        <w:jc w:val="both"/>
      </w:pPr>
      <w:r>
        <w:rPr>
          <w:rStyle w:val="soitChar"/>
        </w:rPr>
        <w:t xml:space="preserve">Les panneaux ont une épaisseur de </w:t>
      </w:r>
      <w:r>
        <w:rPr>
          <w:rStyle w:val="optioncarChar"/>
        </w:rPr>
        <w:t>15 / 18</w:t>
      </w:r>
      <w:r>
        <w:t xml:space="preserve"> (par défaut) </w:t>
      </w:r>
      <w:r>
        <w:rPr>
          <w:rStyle w:val="optioncarChar"/>
        </w:rPr>
        <w:t>/ ***</w:t>
      </w:r>
      <w:r>
        <w:rPr>
          <w:rStyle w:val="soitChar"/>
        </w:rPr>
        <w:t xml:space="preserve"> mm.</w:t>
      </w:r>
    </w:p>
    <w:p w14:paraId="041BBF91" w14:textId="77777777" w:rsidR="00DF410E" w:rsidRDefault="00CE7F43">
      <w:pPr>
        <w:ind w:left="567"/>
        <w:jc w:val="both"/>
      </w:pPr>
      <w:r>
        <w:rPr>
          <w:rStyle w:val="soitChar"/>
        </w:rPr>
        <w:t xml:space="preserve">Les panneaux sont de type </w:t>
      </w:r>
      <w:r>
        <w:rPr>
          <w:rStyle w:val="optioncarChar"/>
        </w:rPr>
        <w:t xml:space="preserve">2 / 3 </w:t>
      </w:r>
      <w:r>
        <w:t xml:space="preserve">(par défaut) </w:t>
      </w:r>
      <w:r>
        <w:rPr>
          <w:rStyle w:val="optioncarChar"/>
        </w:rPr>
        <w:t>/ 4.</w:t>
      </w:r>
    </w:p>
    <w:p w14:paraId="3790C098" w14:textId="77777777" w:rsidR="00DF410E" w:rsidRDefault="00CE7F43">
      <w:pPr>
        <w:ind w:left="567"/>
        <w:jc w:val="both"/>
      </w:pPr>
      <w:r>
        <w:rPr>
          <w:rStyle w:val="soitChar"/>
        </w:rPr>
        <w:t xml:space="preserve">Les panneaux sont </w:t>
      </w:r>
      <w:r>
        <w:rPr>
          <w:rStyle w:val="optioncarChar"/>
        </w:rPr>
        <w:t>à bord droit / rainurés languettés</w:t>
      </w:r>
      <w:r>
        <w:t xml:space="preserve"> (par défaut). </w:t>
      </w:r>
    </w:p>
    <w:p w14:paraId="4739536C" w14:textId="77777777" w:rsidR="00DF410E" w:rsidRDefault="00CE7F43">
      <w:pPr>
        <w:ind w:left="567"/>
        <w:jc w:val="both"/>
      </w:pPr>
      <w:r>
        <w:rPr>
          <w:rStyle w:val="soitChar"/>
        </w:rPr>
        <w:t>Les panneaux répondent à la [NBN EN 300] et à la [NBN EN 13986+A1].</w:t>
      </w:r>
    </w:p>
    <w:p w14:paraId="7D4225A8" w14:textId="77777777" w:rsidR="00DF410E" w:rsidRDefault="00CE7F43">
      <w:pPr>
        <w:ind w:left="567"/>
        <w:jc w:val="both"/>
      </w:pPr>
      <w:r>
        <w:rPr>
          <w:b/>
          <w:i/>
        </w:rPr>
        <w:t>(Soit)</w:t>
      </w:r>
    </w:p>
    <w:p w14:paraId="6DAB8C8C" w14:textId="77777777" w:rsidR="00DF410E" w:rsidRDefault="00CE7F43">
      <w:pPr>
        <w:ind w:left="567"/>
        <w:jc w:val="both"/>
      </w:pPr>
      <w:r>
        <w:rPr>
          <w:rStyle w:val="soitChar"/>
          <w:u w:val="single"/>
        </w:rPr>
        <w:t xml:space="preserve">Panneau multiplex bois </w:t>
      </w:r>
    </w:p>
    <w:p w14:paraId="693BD410" w14:textId="77777777" w:rsidR="00DF410E" w:rsidRDefault="00CE7F43">
      <w:pPr>
        <w:ind w:left="567"/>
        <w:jc w:val="both"/>
      </w:pPr>
      <w:r>
        <w:rPr>
          <w:rStyle w:val="soitChar"/>
        </w:rPr>
        <w:t xml:space="preserve">Pour le descriptif, voir l’article </w:t>
      </w:r>
      <w:hyperlink w:anchor="596" w:history="1">
        <w:r>
          <w:rPr>
            <w:rStyle w:val="soitChar"/>
          </w:rPr>
          <w:t>24.16.1a Panneaux contreplaqués (PW)</w:t>
        </w:r>
      </w:hyperlink>
      <w:r>
        <w:rPr>
          <w:rStyle w:val="soitChar"/>
        </w:rPr>
        <w:t>.</w:t>
      </w:r>
    </w:p>
    <w:p w14:paraId="374357BC" w14:textId="77777777" w:rsidR="00DF410E" w:rsidRDefault="00CE7F43">
      <w:pPr>
        <w:ind w:left="567"/>
        <w:jc w:val="both"/>
      </w:pPr>
      <w:r>
        <w:rPr>
          <w:rStyle w:val="soitChar"/>
        </w:rPr>
        <w:t xml:space="preserve">Le multiplex est en bois </w:t>
      </w:r>
      <w:r>
        <w:rPr>
          <w:rStyle w:val="optioncarChar"/>
        </w:rPr>
        <w:t xml:space="preserve">feuillus / résineux. </w:t>
      </w:r>
    </w:p>
    <w:p w14:paraId="2D898CAF" w14:textId="77777777" w:rsidR="00DF410E" w:rsidRDefault="00CE7F43">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mm.</w:t>
      </w:r>
    </w:p>
    <w:p w14:paraId="10E6D0B2" w14:textId="77777777" w:rsidR="00DF410E" w:rsidRDefault="00CE7F43">
      <w:pPr>
        <w:ind w:left="567"/>
        <w:jc w:val="both"/>
      </w:pPr>
      <w:r>
        <w:rPr>
          <w:rStyle w:val="soitChar"/>
        </w:rPr>
        <w:t>Les panneaux sont </w:t>
      </w:r>
      <w:r>
        <w:rPr>
          <w:rStyle w:val="optioncarChar"/>
        </w:rPr>
        <w:t>à bord droit / rainurés languettés </w:t>
      </w:r>
      <w:r>
        <w:t>(par défaut)</w:t>
      </w:r>
      <w:r>
        <w:rPr>
          <w:rStyle w:val="soitChar"/>
        </w:rPr>
        <w:t>.</w:t>
      </w:r>
    </w:p>
    <w:p w14:paraId="01E0FC35" w14:textId="77777777" w:rsidR="00DF410E" w:rsidRDefault="00CE7F43">
      <w:pPr>
        <w:ind w:left="567"/>
        <w:jc w:val="both"/>
      </w:pPr>
      <w:r>
        <w:rPr>
          <w:b/>
          <w:i/>
        </w:rPr>
        <w:t>(Soit)</w:t>
      </w:r>
    </w:p>
    <w:p w14:paraId="2F3831EE" w14:textId="77777777" w:rsidR="00DF410E" w:rsidRDefault="00CE7F43">
      <w:pPr>
        <w:ind w:left="567"/>
        <w:jc w:val="both"/>
      </w:pPr>
      <w:r>
        <w:rPr>
          <w:rStyle w:val="soitChar"/>
          <w:u w:val="single"/>
        </w:rPr>
        <w:t xml:space="preserve">CLT </w:t>
      </w:r>
    </w:p>
    <w:p w14:paraId="19E0458B" w14:textId="77777777" w:rsidR="00DF410E" w:rsidRDefault="00CE7F43">
      <w:pPr>
        <w:ind w:left="567"/>
        <w:jc w:val="both"/>
      </w:pPr>
      <w:r>
        <w:rPr>
          <w:rStyle w:val="soitChar"/>
        </w:rPr>
        <w:t>Les panneaux répondent à la [NBN EN 16351].</w:t>
      </w:r>
    </w:p>
    <w:p w14:paraId="4BD893F4" w14:textId="77777777" w:rsidR="00DF410E" w:rsidRDefault="00CE7F43">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14:paraId="4EB0C2CB" w14:textId="77777777" w:rsidR="00DF410E" w:rsidRDefault="00CE7F43">
      <w:pPr>
        <w:ind w:left="567"/>
        <w:jc w:val="both"/>
      </w:pPr>
      <w:r>
        <w:rPr>
          <w:rStyle w:val="soitChar"/>
        </w:rPr>
        <w:t xml:space="preserve">Les panneaux sont de qualité </w:t>
      </w:r>
      <w:r>
        <w:rPr>
          <w:rStyle w:val="optioncarChar"/>
        </w:rPr>
        <w:t xml:space="preserve">non visible </w:t>
      </w:r>
      <w:r>
        <w:t>(par défaut)</w:t>
      </w:r>
      <w:r>
        <w:rPr>
          <w:rStyle w:val="optioncarChar"/>
        </w:rPr>
        <w:t xml:space="preserve"> / visible industrielle / visible habitat.</w:t>
      </w:r>
    </w:p>
    <w:p w14:paraId="6E2DC6B3" w14:textId="77777777" w:rsidR="00DF410E" w:rsidRDefault="00CE7F43">
      <w:pPr>
        <w:ind w:left="567"/>
        <w:jc w:val="both"/>
      </w:pPr>
      <w:r>
        <w:rPr>
          <w:b/>
          <w:i/>
        </w:rPr>
        <w:t>(Soit)</w:t>
      </w:r>
    </w:p>
    <w:p w14:paraId="6D2CC2E0" w14:textId="77777777" w:rsidR="00DF410E" w:rsidRDefault="00CE7F43">
      <w:pPr>
        <w:ind w:left="567"/>
        <w:jc w:val="both"/>
      </w:pPr>
      <w:r>
        <w:rPr>
          <w:rStyle w:val="optioncarChar"/>
        </w:rPr>
        <w:t>***</w:t>
      </w:r>
    </w:p>
    <w:p w14:paraId="693D0355" w14:textId="77777777" w:rsidR="00DF410E" w:rsidRDefault="00CE7F43">
      <w:pPr>
        <w:jc w:val="both"/>
      </w:pPr>
      <w:r>
        <w:t xml:space="preserve"> Le panneau extérieur est </w:t>
      </w:r>
      <w:r>
        <w:rPr>
          <w:rStyle w:val="optioncarChar"/>
        </w:rPr>
        <w:t>contreventant / non contreventant</w:t>
      </w:r>
      <w:r>
        <w:t xml:space="preserve"> (par défaut).</w:t>
      </w:r>
    </w:p>
    <w:p w14:paraId="64B5CCBC" w14:textId="77777777" w:rsidR="00DF410E" w:rsidRDefault="00CE7F43">
      <w:pPr>
        <w:ind w:left="567"/>
        <w:jc w:val="both"/>
      </w:pPr>
      <w:r>
        <w:rPr>
          <w:b/>
          <w:i/>
        </w:rPr>
        <w:t>(Soit)</w:t>
      </w:r>
    </w:p>
    <w:p w14:paraId="2D7C47FA" w14:textId="77777777" w:rsidR="00DF410E" w:rsidRDefault="00CE7F43">
      <w:pPr>
        <w:ind w:left="567"/>
        <w:jc w:val="both"/>
      </w:pPr>
      <w:r>
        <w:rPr>
          <w:rStyle w:val="soitChar"/>
          <w:u w:val="single"/>
        </w:rPr>
        <w:t>Contreventant</w:t>
      </w:r>
    </w:p>
    <w:p w14:paraId="13E20915" w14:textId="77777777" w:rsidR="00DF410E" w:rsidRDefault="00CE7F43">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N/mm² suivant [NBN EN 310].</w:t>
      </w:r>
    </w:p>
    <w:p w14:paraId="61831423" w14:textId="77777777" w:rsidR="00DF410E" w:rsidRDefault="00CE7F43">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14:paraId="7CA874AD" w14:textId="77777777" w:rsidR="00DF410E" w:rsidRDefault="00CE7F43">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14:paraId="65911B9D" w14:textId="77777777" w:rsidR="00DF410E" w:rsidRDefault="00CE7F43">
      <w:pPr>
        <w:ind w:left="567"/>
        <w:jc w:val="both"/>
      </w:pPr>
      <w:r>
        <w:rPr>
          <w:b/>
          <w:i/>
        </w:rPr>
        <w:t>(Soit par défaut)</w:t>
      </w:r>
    </w:p>
    <w:p w14:paraId="0ADD3F2A" w14:textId="77777777" w:rsidR="00DF410E" w:rsidRDefault="00CE7F43">
      <w:pPr>
        <w:ind w:left="567"/>
        <w:jc w:val="both"/>
      </w:pPr>
      <w:r>
        <w:rPr>
          <w:rStyle w:val="soitChar"/>
          <w:u w:val="single"/>
        </w:rPr>
        <w:t>Non-contreventant</w:t>
      </w:r>
    </w:p>
    <w:p w14:paraId="64CCDBAA" w14:textId="77777777" w:rsidR="00DF410E" w:rsidRDefault="00CE7F43">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w:t>
      </w:r>
      <w:r>
        <w:t> </w:t>
      </w:r>
    </w:p>
    <w:p w14:paraId="2213E572" w14:textId="77777777" w:rsidR="00DF410E" w:rsidRDefault="00CE7F43">
      <w:pPr>
        <w:jc w:val="both"/>
      </w:pPr>
      <w:r>
        <w:rPr>
          <w:b/>
        </w:rPr>
        <w:t>Remplissage isolant</w:t>
      </w:r>
    </w:p>
    <w:p w14:paraId="70561456" w14:textId="77777777" w:rsidR="00DF410E" w:rsidRDefault="00CE7F43">
      <w:pPr>
        <w:jc w:val="both"/>
      </w:pPr>
      <w:r>
        <w:t xml:space="preserve">Remplissage en </w:t>
      </w:r>
      <w:r>
        <w:rPr>
          <w:rStyle w:val="optioncarChar"/>
        </w:rPr>
        <w:t xml:space="preserve">cellulose / laine de bois </w:t>
      </w:r>
      <w:r>
        <w:t>(par défaut)</w:t>
      </w:r>
      <w:r>
        <w:rPr>
          <w:rStyle w:val="optioncarChar"/>
        </w:rPr>
        <w:t xml:space="preserve"> / laine de roche / laine de verre / ***</w:t>
      </w:r>
      <w:r>
        <w:t xml:space="preserve"> de l’ossature.</w:t>
      </w:r>
    </w:p>
    <w:p w14:paraId="315723D9" w14:textId="77777777" w:rsidR="00DF410E" w:rsidRDefault="00CE7F43">
      <w:pPr>
        <w:jc w:val="both"/>
      </w:pPr>
      <w:r>
        <w:t xml:space="preserve">Masse volumique ≥ </w:t>
      </w:r>
      <w:r>
        <w:rPr>
          <w:rStyle w:val="optioncarChar"/>
        </w:rPr>
        <w:t xml:space="preserve">15 (laine de verre)  / 25 (laine de roche) / 48 (laine de bois et cellulose)  </w:t>
      </w:r>
      <w:r>
        <w:t xml:space="preserve">(par défaut) </w:t>
      </w:r>
      <w:r>
        <w:rPr>
          <w:rStyle w:val="optioncarChar"/>
        </w:rPr>
        <w:t>/ ***</w:t>
      </w:r>
      <w:r>
        <w:t xml:space="preserve"> kg/m³</w:t>
      </w:r>
    </w:p>
    <w:p w14:paraId="7707185E" w14:textId="77777777" w:rsidR="00DF410E" w:rsidRDefault="00CE7F43">
      <w:pPr>
        <w:jc w:val="both"/>
      </w:pPr>
      <w:r>
        <w:t xml:space="preserve">Conductivité thermique ≤ </w:t>
      </w:r>
      <w:r>
        <w:rPr>
          <w:rStyle w:val="optioncarChar"/>
        </w:rPr>
        <w:t xml:space="preserve">0.040 / 0.044 </w:t>
      </w:r>
      <w:r>
        <w:t>(par défaut)</w:t>
      </w:r>
      <w:r>
        <w:rPr>
          <w:rStyle w:val="optioncarChar"/>
        </w:rPr>
        <w:t> / 0.048 / 0.06 / *** </w:t>
      </w:r>
      <w:r>
        <w:t xml:space="preserve"> W/(m.K) suivant la [NBN EN 12667] ou [NBN EN ISO 10456]. </w:t>
      </w:r>
    </w:p>
    <w:p w14:paraId="663EB480" w14:textId="77777777" w:rsidR="00DF410E" w:rsidRDefault="00CE7F43">
      <w:pPr>
        <w:jc w:val="both"/>
      </w:pPr>
      <w:r>
        <w:rPr>
          <w:b/>
        </w:rPr>
        <w:t>Panneau intérieur</w:t>
      </w:r>
    </w:p>
    <w:p w14:paraId="0E9F7123" w14:textId="77777777" w:rsidR="00DF410E" w:rsidRDefault="00CE7F43">
      <w:pPr>
        <w:jc w:val="both"/>
      </w:pPr>
      <w:r>
        <w:t xml:space="preserve">Les panneaux intérieurs sont </w:t>
      </w:r>
      <w:r>
        <w:rPr>
          <w:rStyle w:val="optioncarChar"/>
        </w:rPr>
        <w:t xml:space="preserve">vissés </w:t>
      </w:r>
      <w:r>
        <w:t xml:space="preserve">(par défaut) </w:t>
      </w:r>
      <w:r>
        <w:rPr>
          <w:rStyle w:val="optioncarChar"/>
        </w:rPr>
        <w:t>cloués / collés / ***.</w:t>
      </w:r>
    </w:p>
    <w:p w14:paraId="15C40F01" w14:textId="77777777" w:rsidR="00DF410E" w:rsidRDefault="00CE7F43">
      <w:pPr>
        <w:jc w:val="both"/>
      </w:pPr>
      <w:r>
        <w:t xml:space="preserve">Le panneau est </w:t>
      </w:r>
      <w:r>
        <w:rPr>
          <w:rStyle w:val="optioncarChar"/>
        </w:rPr>
        <w:t>rainuré languetté </w:t>
      </w:r>
      <w:r>
        <w:t>(par défaut)</w:t>
      </w:r>
      <w:r>
        <w:rPr>
          <w:rStyle w:val="optioncarChar"/>
        </w:rPr>
        <w:t xml:space="preserve"> / ***</w:t>
      </w:r>
      <w:r>
        <w:t>.</w:t>
      </w:r>
    </w:p>
    <w:p w14:paraId="1D805130" w14:textId="77777777" w:rsidR="00DF410E" w:rsidRDefault="00CE7F43">
      <w:pPr>
        <w:jc w:val="both"/>
      </w:pPr>
      <w:r>
        <w:t xml:space="preserve">Conductivité thermique ≤ </w:t>
      </w:r>
      <w:r>
        <w:rPr>
          <w:rStyle w:val="optioncarChar"/>
        </w:rPr>
        <w:t>0.08 / 0.090 / 0.1 / ***</w:t>
      </w:r>
      <w:r>
        <w:t> (par défaut) W/(m.K) suivant [NBN EN 13986+A1] ou [NBN EN 13171+A1].</w:t>
      </w:r>
    </w:p>
    <w:p w14:paraId="5EB75E46" w14:textId="77777777" w:rsidR="00DF410E" w:rsidRDefault="00CE7F43">
      <w:pPr>
        <w:jc w:val="both"/>
      </w:pPr>
      <w:r>
        <w:t xml:space="preserve">La perméabilité à la vapeur d’eau (Sd) est supérieure à  </w:t>
      </w:r>
      <w:r>
        <w:rPr>
          <w:rStyle w:val="optioncarChar"/>
        </w:rPr>
        <w:t xml:space="preserve">0,5m / 1m  / définie par l’analyse de diffusion de vapeur d’eau de la paroi complète </w:t>
      </w:r>
      <w:r>
        <w:t>(par défaut)</w:t>
      </w:r>
      <w:r>
        <w:rPr>
          <w:rStyle w:val="optioncarChar"/>
        </w:rPr>
        <w:t xml:space="preserve"> / ***</w:t>
      </w:r>
      <w:r>
        <w:t>.</w:t>
      </w:r>
    </w:p>
    <w:p w14:paraId="3BA89A57" w14:textId="77777777" w:rsidR="00DF410E" w:rsidRDefault="00CE7F43">
      <w:pPr>
        <w:jc w:val="both"/>
      </w:pPr>
      <w:r>
        <w:t>Si l’étanchéité à la vapeur d’eau et à l’air n’est pas assurée par le panneau, une membrane pare-vapeur ou frein vapeur est mise en œuvre pour satisfaire à l’analyse de diffusion de vapeur d’eau. </w:t>
      </w:r>
    </w:p>
    <w:p w14:paraId="4E35DF8F" w14:textId="77777777" w:rsidR="00DF410E" w:rsidRDefault="00CE7F43">
      <w:pPr>
        <w:jc w:val="both"/>
      </w:pPr>
      <w:r>
        <w:t xml:space="preserve">Les panneaux sont constitués de panneaux </w:t>
      </w:r>
      <w:r>
        <w:rPr>
          <w:rStyle w:val="optioncarChar"/>
        </w:rPr>
        <w:t xml:space="preserve">de fibre de bois / OSB </w:t>
      </w:r>
      <w:r>
        <w:t>(par défaut)</w:t>
      </w:r>
      <w:r>
        <w:rPr>
          <w:rStyle w:val="optioncarChar"/>
        </w:rPr>
        <w:t xml:space="preserve"> / multiplex bois / CLT / ***.</w:t>
      </w:r>
    </w:p>
    <w:p w14:paraId="03CE56A2" w14:textId="77777777" w:rsidR="00DF410E" w:rsidRDefault="00CE7F43">
      <w:pPr>
        <w:ind w:left="567"/>
      </w:pPr>
      <w:r>
        <w:rPr>
          <w:b/>
          <w:i/>
        </w:rPr>
        <w:t>(Soit par défaut)</w:t>
      </w:r>
    </w:p>
    <w:p w14:paraId="1DDE24A0" w14:textId="77777777" w:rsidR="00DF410E" w:rsidRDefault="00CE7F43">
      <w:pPr>
        <w:ind w:left="567"/>
      </w:pPr>
      <w:r>
        <w:rPr>
          <w:rStyle w:val="soitChar"/>
          <w:u w:val="single"/>
        </w:rPr>
        <w:t xml:space="preserve">Osb  </w:t>
      </w:r>
      <w:r>
        <w:br/>
      </w:r>
      <w:r>
        <w:rPr>
          <w:rStyle w:val="soitChar"/>
        </w:rPr>
        <w:t>Pour le descriptif, voir l’article </w:t>
      </w:r>
      <w:hyperlink w:anchor="595" w:history="1">
        <w:r>
          <w:rPr>
            <w:rStyle w:val="soitChar"/>
          </w:rPr>
          <w:t>24.16.1b Panneaux OSB</w:t>
        </w:r>
      </w:hyperlink>
      <w:r>
        <w:rPr>
          <w:rStyle w:val="soitChar"/>
        </w:rPr>
        <w:t>.</w:t>
      </w:r>
      <w:r>
        <w:t> </w:t>
      </w:r>
      <w:r>
        <w:br/>
      </w:r>
      <w:r>
        <w:rPr>
          <w:rStyle w:val="soitChar"/>
        </w:rPr>
        <w:t>Les panneaux ont une épaisseur de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14:paraId="6E2FC233" w14:textId="77777777" w:rsidR="00DF410E" w:rsidRDefault="00CE7F43">
      <w:pPr>
        <w:ind w:left="567"/>
        <w:jc w:val="both"/>
      </w:pPr>
      <w:r>
        <w:rPr>
          <w:b/>
          <w:i/>
        </w:rPr>
        <w:t>(Soit)</w:t>
      </w:r>
    </w:p>
    <w:p w14:paraId="393A0195" w14:textId="77777777" w:rsidR="00DF410E" w:rsidRDefault="00CE7F43">
      <w:pPr>
        <w:ind w:left="567"/>
        <w:jc w:val="both"/>
      </w:pPr>
      <w:r>
        <w:rPr>
          <w:rStyle w:val="soitChar"/>
          <w:u w:val="single"/>
        </w:rPr>
        <w:t>Panneau de fibre de bois</w:t>
      </w:r>
      <w:r>
        <w:t> </w:t>
      </w:r>
    </w:p>
    <w:p w14:paraId="015B9011" w14:textId="77777777" w:rsidR="00DF410E" w:rsidRDefault="00CE7F43">
      <w:pPr>
        <w:ind w:left="567"/>
        <w:jc w:val="both"/>
      </w:pPr>
      <w:r>
        <w:rPr>
          <w:rStyle w:val="soitChar"/>
        </w:rPr>
        <w:t>Pour le descriptif, voir l’article </w:t>
      </w:r>
      <w:hyperlink w:anchor="594" w:history="1">
        <w:r>
          <w:rPr>
            <w:rStyle w:val="soitChar"/>
          </w:rPr>
          <w:t>24.16.1d Panneaux MDF</w:t>
        </w:r>
      </w:hyperlink>
      <w:r>
        <w:rPr>
          <w:rStyle w:val="soitChar"/>
        </w:rPr>
        <w:t>.</w:t>
      </w:r>
      <w:r>
        <w:t> </w:t>
      </w:r>
    </w:p>
    <w:p w14:paraId="30B294F9" w14:textId="77777777" w:rsidR="00DF410E" w:rsidRDefault="00CE7F43">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4E09E229" w14:textId="77777777" w:rsidR="00DF410E" w:rsidRDefault="00CE7F43">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6C360BBB" w14:textId="77777777" w:rsidR="00DF410E" w:rsidRDefault="00CE7F43">
      <w:pPr>
        <w:ind w:left="567"/>
        <w:jc w:val="both"/>
      </w:pPr>
      <w:r>
        <w:rPr>
          <w:rStyle w:val="soitChar"/>
        </w:rPr>
        <w:t>Les panneaux répondent à la [NBN EN 13986+A1] et aux exigences de [NBN EN 622 série].</w:t>
      </w:r>
    </w:p>
    <w:p w14:paraId="706CFC5E" w14:textId="77777777" w:rsidR="00DF410E" w:rsidRDefault="00CE7F43">
      <w:pPr>
        <w:ind w:left="567"/>
        <w:jc w:val="both"/>
      </w:pPr>
      <w:r>
        <w:rPr>
          <w:b/>
          <w:i/>
        </w:rPr>
        <w:t>(Soit)</w:t>
      </w:r>
    </w:p>
    <w:p w14:paraId="201A90AC" w14:textId="77777777" w:rsidR="00DF410E" w:rsidRDefault="00CE7F43">
      <w:pPr>
        <w:ind w:left="567"/>
        <w:jc w:val="both"/>
      </w:pPr>
      <w:r>
        <w:rPr>
          <w:rStyle w:val="soitChar"/>
          <w:u w:val="single"/>
        </w:rPr>
        <w:t>Panneau multiplex bois </w:t>
      </w:r>
    </w:p>
    <w:p w14:paraId="362CC6F7" w14:textId="77777777" w:rsidR="00DF410E" w:rsidRDefault="00CE7F43">
      <w:pPr>
        <w:ind w:left="567"/>
        <w:jc w:val="both"/>
      </w:pPr>
      <w:r>
        <w:rPr>
          <w:rStyle w:val="soitChar"/>
        </w:rPr>
        <w:t>Pour le descriptif, voir l’article </w:t>
      </w:r>
      <w:hyperlink w:anchor="596" w:history="1">
        <w:r>
          <w:rPr>
            <w:rStyle w:val="soitChar"/>
          </w:rPr>
          <w:t>24.16.1a Panneaux contreplaqués (PW)</w:t>
        </w:r>
      </w:hyperlink>
      <w:r>
        <w:rPr>
          <w:rStyle w:val="soitChar"/>
        </w:rPr>
        <w:t>.</w:t>
      </w:r>
      <w:r>
        <w:t> </w:t>
      </w:r>
    </w:p>
    <w:p w14:paraId="6ED9B936" w14:textId="77777777" w:rsidR="00DF410E" w:rsidRDefault="00CE7F43">
      <w:pPr>
        <w:ind w:left="567"/>
        <w:jc w:val="both"/>
      </w:pPr>
      <w:r>
        <w:rPr>
          <w:rStyle w:val="soitChar"/>
        </w:rPr>
        <w:t>Le multiplex est en bois </w:t>
      </w:r>
      <w:r>
        <w:rPr>
          <w:rStyle w:val="optioncarChar"/>
        </w:rPr>
        <w:t>feuillus / résineux. </w:t>
      </w:r>
    </w:p>
    <w:p w14:paraId="31A33166" w14:textId="77777777" w:rsidR="00DF410E" w:rsidRDefault="00CE7F43">
      <w:pPr>
        <w:ind w:left="567"/>
        <w:jc w:val="both"/>
      </w:pPr>
      <w:r>
        <w:rPr>
          <w:rStyle w:val="soitChar"/>
        </w:rPr>
        <w:t>Les panneaux ont une épaisseur de </w:t>
      </w:r>
      <w:r>
        <w:rPr>
          <w:rStyle w:val="optioncarChar"/>
        </w:rPr>
        <w:t>14 / 16 </w:t>
      </w:r>
      <w:r>
        <w:t>(par défaut) </w:t>
      </w:r>
      <w:r>
        <w:rPr>
          <w:rStyle w:val="optioncarChar"/>
        </w:rPr>
        <w:t>/ 19 / 21 / 27 / *** </w:t>
      </w:r>
      <w:r>
        <w:rPr>
          <w:rStyle w:val="soitChar"/>
        </w:rPr>
        <w:t>mm.</w:t>
      </w:r>
    </w:p>
    <w:p w14:paraId="5CAAD55E" w14:textId="77777777" w:rsidR="00DF410E" w:rsidRDefault="00CE7F43">
      <w:pPr>
        <w:ind w:left="567"/>
        <w:jc w:val="both"/>
      </w:pPr>
      <w:r>
        <w:rPr>
          <w:b/>
          <w:i/>
        </w:rPr>
        <w:t>(Soit)</w:t>
      </w:r>
    </w:p>
    <w:p w14:paraId="20C863A6" w14:textId="77777777" w:rsidR="00DF410E" w:rsidRDefault="00CE7F43">
      <w:pPr>
        <w:ind w:left="567"/>
        <w:jc w:val="both"/>
      </w:pPr>
      <w:r>
        <w:rPr>
          <w:rStyle w:val="soitChar"/>
          <w:u w:val="single"/>
        </w:rPr>
        <w:t>CLT </w:t>
      </w:r>
    </w:p>
    <w:p w14:paraId="42A38B61" w14:textId="77777777" w:rsidR="00DF410E" w:rsidRDefault="00CE7F43">
      <w:pPr>
        <w:ind w:left="567"/>
        <w:jc w:val="both"/>
      </w:pPr>
      <w:r>
        <w:rPr>
          <w:rStyle w:val="soitChar"/>
        </w:rPr>
        <w:t>Les panneaux répondent à la [NBN EN 16351].</w:t>
      </w:r>
      <w:r>
        <w:t> </w:t>
      </w:r>
    </w:p>
    <w:p w14:paraId="1726EB4C" w14:textId="77777777" w:rsidR="00DF410E" w:rsidRDefault="00CE7F43">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4B1D7B08" w14:textId="77777777" w:rsidR="00DF410E" w:rsidRDefault="00CE7F43">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4505B321" w14:textId="77777777" w:rsidR="00DF410E" w:rsidRDefault="00CE7F43">
      <w:pPr>
        <w:ind w:left="567"/>
        <w:jc w:val="both"/>
      </w:pPr>
      <w:r>
        <w:rPr>
          <w:b/>
          <w:i/>
        </w:rPr>
        <w:t>(Soit)</w:t>
      </w:r>
    </w:p>
    <w:p w14:paraId="06B5CEEF" w14:textId="77777777" w:rsidR="00DF410E" w:rsidRDefault="00CE7F43">
      <w:pPr>
        <w:ind w:left="567"/>
        <w:jc w:val="both"/>
      </w:pPr>
      <w:r>
        <w:rPr>
          <w:rStyle w:val="optioncarChar"/>
        </w:rPr>
        <w:t>***</w:t>
      </w:r>
      <w:r>
        <w:t> </w:t>
      </w:r>
    </w:p>
    <w:p w14:paraId="07D0676B" w14:textId="77777777" w:rsidR="00DF410E" w:rsidRDefault="00CE7F43">
      <w:pPr>
        <w:jc w:val="both"/>
      </w:pPr>
      <w:r>
        <w:t xml:space="preserve">Le panneau intérieur est </w:t>
      </w:r>
      <w:r>
        <w:rPr>
          <w:rStyle w:val="optioncarChar"/>
        </w:rPr>
        <w:t xml:space="preserve">contreventant </w:t>
      </w:r>
      <w:r>
        <w:t xml:space="preserve">(par défaut) </w:t>
      </w:r>
      <w:r>
        <w:rPr>
          <w:rStyle w:val="optioncarChar"/>
        </w:rPr>
        <w:t>/ non contreventant.</w:t>
      </w:r>
    </w:p>
    <w:p w14:paraId="611C1703" w14:textId="77777777" w:rsidR="00DF410E" w:rsidRDefault="00CE7F43">
      <w:pPr>
        <w:ind w:left="567"/>
        <w:jc w:val="both"/>
      </w:pPr>
      <w:r>
        <w:rPr>
          <w:b/>
          <w:i/>
        </w:rPr>
        <w:t>(Soit par défaut)</w:t>
      </w:r>
    </w:p>
    <w:p w14:paraId="0DABAF33" w14:textId="77777777" w:rsidR="00DF410E" w:rsidRDefault="00CE7F43">
      <w:pPr>
        <w:ind w:left="567"/>
        <w:jc w:val="both"/>
      </w:pPr>
      <w:r>
        <w:rPr>
          <w:rStyle w:val="soitChar"/>
          <w:u w:val="single"/>
        </w:rPr>
        <w:t>Contreventant</w:t>
      </w:r>
    </w:p>
    <w:p w14:paraId="0E6CFA97" w14:textId="77777777" w:rsidR="00DF410E" w:rsidRDefault="00CE7F43">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 </w:t>
      </w:r>
      <w:r>
        <w:t> </w:t>
      </w:r>
    </w:p>
    <w:p w14:paraId="05D63C24" w14:textId="77777777" w:rsidR="00DF410E" w:rsidRDefault="00CE7F43">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06CDD6EC" w14:textId="77777777" w:rsidR="00DF410E" w:rsidRDefault="00CE7F43">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21BAC4CC" w14:textId="77777777" w:rsidR="00DF410E" w:rsidRDefault="00CE7F43">
      <w:pPr>
        <w:ind w:left="567"/>
        <w:jc w:val="both"/>
      </w:pPr>
      <w:r>
        <w:rPr>
          <w:b/>
          <w:i/>
        </w:rPr>
        <w:t>(Soit)</w:t>
      </w:r>
    </w:p>
    <w:p w14:paraId="151C8E45" w14:textId="77777777" w:rsidR="00DF410E" w:rsidRDefault="00CE7F43">
      <w:pPr>
        <w:ind w:left="567"/>
        <w:jc w:val="both"/>
      </w:pPr>
      <w:r>
        <w:rPr>
          <w:rStyle w:val="soitChar"/>
          <w:u w:val="single"/>
        </w:rPr>
        <w:t>Non-contreventant</w:t>
      </w:r>
    </w:p>
    <w:p w14:paraId="038A9D79" w14:textId="77777777" w:rsidR="00DF410E" w:rsidRDefault="00CE7F43">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77C7EB78" w14:textId="77777777" w:rsidR="00DF410E" w:rsidRDefault="00CE7F43">
      <w:pPr>
        <w:jc w:val="both"/>
      </w:pPr>
      <w:r>
        <w:t xml:space="preserve">Le caisson </w:t>
      </w:r>
      <w:r>
        <w:rPr>
          <w:rStyle w:val="optioncarChar"/>
        </w:rPr>
        <w:t>est / n’est pas</w:t>
      </w:r>
      <w:r>
        <w:t xml:space="preserve"> (par défaut) muni d’une gaine technique d’une épaisseur de </w:t>
      </w:r>
      <w:r>
        <w:rPr>
          <w:rStyle w:val="optioncarChar"/>
        </w:rPr>
        <w:t xml:space="preserve">60 </w:t>
      </w:r>
      <w:r>
        <w:t>(par défaut) </w:t>
      </w:r>
      <w:r>
        <w:rPr>
          <w:rStyle w:val="optioncarChar"/>
        </w:rPr>
        <w:t>/ ***</w:t>
      </w:r>
      <w:r>
        <w:t xml:space="preserve"> mm </w:t>
      </w:r>
    </w:p>
    <w:p w14:paraId="4BA1437E" w14:textId="77777777" w:rsidR="00DF410E" w:rsidRDefault="00CE7F43">
      <w:pPr>
        <w:jc w:val="both"/>
      </w:pPr>
      <w:r>
        <w:rPr>
          <w:b/>
        </w:rPr>
        <w:t>Plaque de parement intérieur</w:t>
      </w:r>
    </w:p>
    <w:p w14:paraId="04A71E01" w14:textId="77777777" w:rsidR="00DF410E" w:rsidRDefault="00CE7F43">
      <w:pPr>
        <w:jc w:val="both"/>
      </w:pPr>
      <w:r>
        <w:t xml:space="preserve">Les faces sont constituées de </w:t>
      </w:r>
      <w:r>
        <w:rPr>
          <w:rStyle w:val="optioncarChar"/>
        </w:rPr>
        <w:t xml:space="preserve">plaques de plâtre </w:t>
      </w:r>
      <w:r>
        <w:t>(par défaut)</w:t>
      </w:r>
      <w:r>
        <w:rPr>
          <w:rStyle w:val="optioncarChar"/>
        </w:rPr>
        <w:t xml:space="preserve"> / de panneau multiplex bois / d’un panneau OSB / ***.</w:t>
      </w:r>
    </w:p>
    <w:p w14:paraId="1A36CF0D" w14:textId="77777777" w:rsidR="00DF410E" w:rsidRDefault="00CE7F43">
      <w:pPr>
        <w:ind w:left="567"/>
        <w:jc w:val="both"/>
      </w:pPr>
      <w:r>
        <w:rPr>
          <w:b/>
          <w:i/>
        </w:rPr>
        <w:t>(Soit par défaut)</w:t>
      </w:r>
    </w:p>
    <w:p w14:paraId="43B1F286" w14:textId="77777777" w:rsidR="00DF410E" w:rsidRDefault="00CE7F43">
      <w:pPr>
        <w:ind w:left="567"/>
        <w:jc w:val="both"/>
      </w:pPr>
      <w:r>
        <w:rPr>
          <w:rStyle w:val="soitChar"/>
          <w:u w:val="single"/>
        </w:rPr>
        <w:t>Plaques de plâtre</w:t>
      </w:r>
    </w:p>
    <w:p w14:paraId="1CB1DF7D" w14:textId="77777777" w:rsidR="00DF410E" w:rsidRDefault="00CE7F43">
      <w:pPr>
        <w:ind w:left="567"/>
        <w:jc w:val="both"/>
      </w:pPr>
      <w:r>
        <w:rPr>
          <w:rStyle w:val="soitChar"/>
        </w:rPr>
        <w:t>Plaques de plâtre renforcées de fibres de cellulose dans la masse.</w:t>
      </w:r>
    </w:p>
    <w:p w14:paraId="6ED78BF5" w14:textId="77777777" w:rsidR="00DF410E" w:rsidRDefault="00CE7F43">
      <w:pPr>
        <w:ind w:left="567"/>
        <w:jc w:val="both"/>
      </w:pPr>
      <w:r>
        <w:rPr>
          <w:rStyle w:val="soitChar"/>
        </w:rPr>
        <w:t xml:space="preserve">La masse volumique de la plaque de plâtre est  ≥ à </w:t>
      </w:r>
      <w:r>
        <w:rPr>
          <w:rStyle w:val="optioncarChar"/>
        </w:rPr>
        <w:t xml:space="preserve">1200 </w:t>
      </w:r>
      <w:r>
        <w:t>(par défaut)</w:t>
      </w:r>
      <w:r>
        <w:rPr>
          <w:rStyle w:val="optioncarChar"/>
        </w:rPr>
        <w:t xml:space="preserve">  / 1400</w:t>
      </w:r>
      <w:r>
        <w:rPr>
          <w:rStyle w:val="soitChar"/>
        </w:rPr>
        <w:t xml:space="preserve"> kg/m³.</w:t>
      </w:r>
    </w:p>
    <w:p w14:paraId="5E213621" w14:textId="77777777" w:rsidR="00DF410E" w:rsidRDefault="00CE7F43">
      <w:pPr>
        <w:ind w:left="567"/>
        <w:jc w:val="both"/>
      </w:pPr>
      <w:r>
        <w:rPr>
          <w:rStyle w:val="soitChar"/>
        </w:rPr>
        <w:t xml:space="preserve">L’épaisseur des plaques est de </w:t>
      </w:r>
      <w:r>
        <w:rPr>
          <w:rStyle w:val="optioncarChar"/>
        </w:rPr>
        <w:t>12,5</w:t>
      </w:r>
      <w:r>
        <w:t xml:space="preserve">  (par défaut) </w:t>
      </w:r>
      <w:r>
        <w:rPr>
          <w:rStyle w:val="optioncarChar"/>
        </w:rPr>
        <w:t>/ 15</w:t>
      </w:r>
      <w:r>
        <w:t>  </w:t>
      </w:r>
      <w:r>
        <w:rPr>
          <w:rStyle w:val="soitChar"/>
        </w:rPr>
        <w:t>mm.</w:t>
      </w:r>
    </w:p>
    <w:p w14:paraId="3B268135" w14:textId="77777777" w:rsidR="00DF410E" w:rsidRDefault="00CE7F43">
      <w:pPr>
        <w:ind w:left="567"/>
        <w:jc w:val="both"/>
      </w:pPr>
      <w:r>
        <w:rPr>
          <w:b/>
          <w:i/>
        </w:rPr>
        <w:t>(Soit)</w:t>
      </w:r>
    </w:p>
    <w:p w14:paraId="4F379356" w14:textId="77777777" w:rsidR="00DF410E" w:rsidRDefault="00CE7F43">
      <w:pPr>
        <w:ind w:left="567"/>
        <w:jc w:val="both"/>
      </w:pPr>
      <w:r>
        <w:rPr>
          <w:rStyle w:val="soitChar"/>
          <w:u w:val="single"/>
        </w:rPr>
        <w:t>Panneau multiplex bois </w:t>
      </w:r>
    </w:p>
    <w:p w14:paraId="221C3637" w14:textId="77777777" w:rsidR="00DF410E" w:rsidRDefault="00CE7F43">
      <w:pPr>
        <w:ind w:left="567"/>
        <w:jc w:val="both"/>
      </w:pPr>
      <w:r>
        <w:rPr>
          <w:rStyle w:val="soitChar"/>
        </w:rPr>
        <w:t>Le multiplex est en bois </w:t>
      </w:r>
      <w:r>
        <w:rPr>
          <w:rStyle w:val="optioncarChar"/>
        </w:rPr>
        <w:t>feuillus / résineux. </w:t>
      </w:r>
    </w:p>
    <w:p w14:paraId="2F58AC01" w14:textId="77777777" w:rsidR="00DF410E" w:rsidRDefault="00CE7F43">
      <w:pPr>
        <w:ind w:left="567"/>
        <w:jc w:val="both"/>
      </w:pPr>
      <w:r>
        <w:rPr>
          <w:rStyle w:val="soitChar"/>
        </w:rPr>
        <w:t>Les panneaux ont une épaisseur de </w:t>
      </w:r>
      <w:r>
        <w:rPr>
          <w:rStyle w:val="optioncarChar"/>
        </w:rPr>
        <w:t>14 / 16 </w:t>
      </w:r>
      <w:r>
        <w:t>(par défaut) </w:t>
      </w:r>
      <w:r>
        <w:rPr>
          <w:rStyle w:val="optioncarChar"/>
        </w:rPr>
        <w:t>/ 19 / 21 / 27 / ***</w:t>
      </w:r>
      <w:r>
        <w:t>  </w:t>
      </w:r>
      <w:r>
        <w:rPr>
          <w:rStyle w:val="soitChar"/>
        </w:rPr>
        <w:t>mm.</w:t>
      </w:r>
    </w:p>
    <w:p w14:paraId="77CB7BE6" w14:textId="77777777" w:rsidR="00DF410E" w:rsidRDefault="00CE7F43">
      <w:pPr>
        <w:ind w:left="567"/>
        <w:jc w:val="both"/>
      </w:pPr>
      <w:r>
        <w:rPr>
          <w:rStyle w:val="soitChar"/>
        </w:rPr>
        <w:t>Les panneaux sont </w:t>
      </w:r>
      <w:r>
        <w:rPr>
          <w:rStyle w:val="optioncarChar"/>
        </w:rPr>
        <w:t>à bord droit / rainurés languettés </w:t>
      </w:r>
      <w:r>
        <w:t>(par défaut)</w:t>
      </w:r>
      <w:r>
        <w:rPr>
          <w:rStyle w:val="soitChar"/>
        </w:rPr>
        <w:t>.</w:t>
      </w:r>
    </w:p>
    <w:p w14:paraId="545D2914" w14:textId="77777777" w:rsidR="00DF410E" w:rsidRDefault="00CE7F43">
      <w:pPr>
        <w:ind w:left="567"/>
        <w:jc w:val="both"/>
      </w:pPr>
      <w:r>
        <w:rPr>
          <w:b/>
          <w:i/>
        </w:rPr>
        <w:t>(Soit)</w:t>
      </w:r>
    </w:p>
    <w:p w14:paraId="14FDCE4B" w14:textId="77777777" w:rsidR="00DF410E" w:rsidRDefault="00CE7F43">
      <w:pPr>
        <w:ind w:left="567"/>
        <w:jc w:val="both"/>
      </w:pPr>
      <w:r>
        <w:rPr>
          <w:rStyle w:val="soitChar"/>
          <w:u w:val="single"/>
        </w:rPr>
        <w:t>Osb</w:t>
      </w:r>
    </w:p>
    <w:p w14:paraId="67DFC78B" w14:textId="77777777" w:rsidR="00DF410E" w:rsidRDefault="00CE7F43">
      <w:pPr>
        <w:ind w:left="567"/>
        <w:jc w:val="both"/>
      </w:pPr>
      <w:r>
        <w:rPr>
          <w:rStyle w:val="soitChar"/>
        </w:rPr>
        <w:t xml:space="preserve">Pour le descriptif, voir l’article </w:t>
      </w:r>
      <w:hyperlink w:anchor="595" w:history="1">
        <w:r>
          <w:rPr>
            <w:rStyle w:val="soitChar"/>
          </w:rPr>
          <w:t>24.16.1b Panneaux OSB</w:t>
        </w:r>
      </w:hyperlink>
    </w:p>
    <w:p w14:paraId="0EF71776" w14:textId="77777777" w:rsidR="00DF410E" w:rsidRDefault="00CE7F43">
      <w:pPr>
        <w:ind w:left="567"/>
        <w:jc w:val="both"/>
      </w:pPr>
      <w:r>
        <w:rPr>
          <w:rStyle w:val="soitChar"/>
        </w:rPr>
        <w:t xml:space="preserve">Les panneaux sont </w:t>
      </w:r>
      <w:r>
        <w:rPr>
          <w:rStyle w:val="optioncarChar"/>
        </w:rPr>
        <w:t xml:space="preserve">à bord droit / rainurés languettés </w:t>
      </w:r>
      <w:r>
        <w:t>(par défaut).</w:t>
      </w:r>
    </w:p>
    <w:p w14:paraId="384BB5ED" w14:textId="77777777" w:rsidR="00DF410E" w:rsidRDefault="00CE7F43">
      <w:pPr>
        <w:ind w:left="567"/>
        <w:jc w:val="both"/>
      </w:pPr>
      <w:r>
        <w:rPr>
          <w:rStyle w:val="soitChar"/>
        </w:rPr>
        <w:t>Les panneaux répondent à la [NBN EN 300] et à la [NBN EN 13986+A1].</w:t>
      </w:r>
    </w:p>
    <w:p w14:paraId="4B8F1772" w14:textId="77777777" w:rsidR="00DF410E" w:rsidRDefault="00CE7F43">
      <w:pPr>
        <w:ind w:left="567"/>
        <w:jc w:val="both"/>
      </w:pPr>
      <w:r>
        <w:rPr>
          <w:b/>
          <w:i/>
        </w:rPr>
        <w:t>(Soit)</w:t>
      </w:r>
    </w:p>
    <w:p w14:paraId="4B833BCB" w14:textId="77777777" w:rsidR="00DF410E" w:rsidRDefault="00CE7F43">
      <w:pPr>
        <w:ind w:left="567"/>
        <w:jc w:val="both"/>
      </w:pPr>
      <w:r>
        <w:rPr>
          <w:rStyle w:val="optioncarChar"/>
        </w:rPr>
        <w:t>***</w:t>
      </w:r>
    </w:p>
    <w:p w14:paraId="0499AA40" w14:textId="77777777" w:rsidR="00DF410E" w:rsidRDefault="00CE7F43">
      <w:pPr>
        <w:jc w:val="both"/>
      </w:pPr>
      <w:r>
        <w:t xml:space="preserve">La réaction au feu est de classe </w:t>
      </w:r>
      <w:r>
        <w:rPr>
          <w:rStyle w:val="optioncarChar"/>
        </w:rPr>
        <w:t xml:space="preserve">D-s2, d0 </w:t>
      </w:r>
      <w:r>
        <w:t>(par défaut)</w:t>
      </w:r>
      <w:r>
        <w:rPr>
          <w:rStyle w:val="optioncarChar"/>
        </w:rPr>
        <w:t xml:space="preserve"> / ***.</w:t>
      </w:r>
    </w:p>
    <w:p w14:paraId="16250204" w14:textId="77777777" w:rsidR="00DF410E" w:rsidRDefault="00CE7F43">
      <w:pPr>
        <w:pStyle w:val="pheading"/>
      </w:pPr>
      <w:r>
        <w:t>- Finitions</w:t>
      </w:r>
    </w:p>
    <w:p w14:paraId="24CAFFBD" w14:textId="77777777" w:rsidR="00DF410E" w:rsidRDefault="00CE7F43">
      <w:pPr>
        <w:jc w:val="both"/>
      </w:pPr>
      <w:r>
        <w:t>La plaque de parement intérieur est peinte ou recouverte d’un enduit intérieur.</w:t>
      </w:r>
    </w:p>
    <w:p w14:paraId="1AC1B68D" w14:textId="77777777" w:rsidR="00DF410E" w:rsidRDefault="00CE7F43">
      <w:pPr>
        <w:jc w:val="both"/>
      </w:pPr>
      <w:r>
        <w:t>La peinture (</w:t>
      </w:r>
      <w:hyperlink r:id="rId281" w:history="1" w:docLocation="47">
        <w:r>
          <w:t>8 T8 Travaux de peinture / Traitements de surface</w:t>
        </w:r>
      </w:hyperlink>
      <w:r>
        <w:t>) ou finition (</w:t>
      </w:r>
      <w:hyperlink r:id="rId282" w:history="1" w:docLocation="44">
        <w:r>
          <w:t>5 T5 Fermetures / Finitions intérieures</w:t>
        </w:r>
      </w:hyperlink>
      <w:r>
        <w:t>) éventuelles sont comprises dans un autre article.</w:t>
      </w:r>
    </w:p>
    <w:p w14:paraId="1484FE3E" w14:textId="77777777" w:rsidR="00DF410E" w:rsidRDefault="00CE7F43">
      <w:pPr>
        <w:pStyle w:val="pheading"/>
      </w:pPr>
      <w:r>
        <w:t>- Prescriptions complémentaires</w:t>
      </w:r>
    </w:p>
    <w:p w14:paraId="4D1A3AC8" w14:textId="77777777" w:rsidR="00DF410E" w:rsidRDefault="00CE7F43">
      <w:pPr>
        <w:jc w:val="both"/>
      </w:pPr>
      <w:r>
        <w:rPr>
          <w:rStyle w:val="facultChar"/>
        </w:rPr>
        <w:t>La résistance au feu déclarée de la paroi</w:t>
      </w:r>
      <w:r>
        <w:t xml:space="preserve"> : </w:t>
      </w:r>
      <w:r>
        <w:rPr>
          <w:rStyle w:val="optioncarChar"/>
        </w:rPr>
        <w:t xml:space="preserve">pas d’exigences </w:t>
      </w:r>
      <w:r>
        <w:t>(par défaut)</w:t>
      </w:r>
      <w:r>
        <w:rPr>
          <w:rStyle w:val="optioncarChar"/>
        </w:rPr>
        <w:t xml:space="preserve"> / REI 30 / EI30 / REI 60 / EI 60 / ***.</w:t>
      </w:r>
    </w:p>
    <w:p w14:paraId="024DF595" w14:textId="77777777" w:rsidR="00DF410E" w:rsidRDefault="00CE7F43">
      <w:pPr>
        <w:jc w:val="both"/>
      </w:pPr>
      <w:r>
        <w:rPr>
          <w:rStyle w:val="facultChar"/>
        </w:rPr>
        <w:t xml:space="preserve">En matière de qualité de l’air l’élément préfabriqué répond </w:t>
      </w:r>
      <w:r>
        <w:rPr>
          <w:rStyle w:val="optioncarChar"/>
        </w:rPr>
        <w:t xml:space="preserve">à l’[AR 2014-05-08] établissant les niveaux seuils pour les émissions dans l’environnement intérieur de produits de construction pour certains usages prévus / au label EMICODE EC 1+ / au label EMICODE EC 1 </w:t>
      </w:r>
      <w:r>
        <w:t>(par défaut)</w:t>
      </w:r>
      <w:r>
        <w:rPr>
          <w:rStyle w:val="optioncarChar"/>
        </w:rPr>
        <w:t xml:space="preserve"> / au label EMICODE EC 2 / ***</w:t>
      </w:r>
      <w:r>
        <w:rPr>
          <w:rStyle w:val="facultChar"/>
        </w:rPr>
        <w:t>.</w:t>
      </w:r>
    </w:p>
    <w:p w14:paraId="03D31054" w14:textId="77777777" w:rsidR="00DF410E" w:rsidRDefault="00CE7F43">
      <w:pPr>
        <w:pStyle w:val="pheading"/>
      </w:pPr>
      <w:r>
        <w:t>EXÉCUTION / MISE EN ŒUVRE</w:t>
      </w:r>
    </w:p>
    <w:p w14:paraId="532606A9" w14:textId="77777777" w:rsidR="00DF410E" w:rsidRDefault="00CE7F43">
      <w:pPr>
        <w:pStyle w:val="pheading"/>
      </w:pPr>
      <w:r>
        <w:t>- Prescriptions générales</w:t>
      </w:r>
    </w:p>
    <w:p w14:paraId="74DA6F4D" w14:textId="77777777" w:rsidR="00DF410E" w:rsidRDefault="00CE7F43">
      <w:pPr>
        <w:jc w:val="both"/>
      </w:pPr>
      <w:r>
        <w:t>Les sections de l’ossature préfabriquée et les modes de jonctions de ces parois font l’objet d’une validation par un bureau d’ingénieur.</w:t>
      </w:r>
    </w:p>
    <w:p w14:paraId="7AECDFCB" w14:textId="77777777" w:rsidR="00DF410E" w:rsidRDefault="00CE7F43">
      <w:pPr>
        <w:jc w:val="both"/>
      </w:pPr>
      <w:r>
        <w:t>Tous les assemblages mécaniques structuraux sont dimensionnés selon les principes de l’Eurocode 5 [NBN EN 1995-1-1].</w:t>
      </w:r>
    </w:p>
    <w:p w14:paraId="6C5274A4" w14:textId="77777777" w:rsidR="00DF410E" w:rsidRDefault="00CE7F43">
      <w:pPr>
        <w:jc w:val="both"/>
      </w:pPr>
      <w:r>
        <w:t>Sauf indication contraire, tous les bâtiments ou parties de bâtiments construits en bois doivent respecter les tolérances de mise en œuvre énoncées dans la [STS 23-1].</w:t>
      </w:r>
    </w:p>
    <w:p w14:paraId="3251A832" w14:textId="77777777" w:rsidR="00DF410E" w:rsidRDefault="00CE7F43">
      <w:pPr>
        <w:jc w:val="both"/>
      </w:pPr>
      <w:r>
        <w:t>Dans le cas d’un bâtiment bas (H&lt;10) en ossature bois, les tolérances de mise en œuvre listées dans la [STS 23-1] doivent aussi être respectées.</w:t>
      </w:r>
    </w:p>
    <w:p w14:paraId="01AE604F" w14:textId="77777777" w:rsidR="00DF410E" w:rsidRDefault="00CE7F43">
      <w:pPr>
        <w:jc w:val="both"/>
      </w:pPr>
      <w:r>
        <w:t>Les faces de la cloison sont protégées pour permettre le transport de l’élément préfabriqué.</w:t>
      </w:r>
    </w:p>
    <w:p w14:paraId="19B15785" w14:textId="77777777" w:rsidR="00DF410E" w:rsidRDefault="00CE7F43">
      <w:pPr>
        <w:jc w:val="both"/>
      </w:pPr>
      <w:r>
        <w:rPr>
          <w:b/>
        </w:rPr>
        <w:t>Pare-vapeur – frein vapeur</w:t>
      </w:r>
    </w:p>
    <w:p w14:paraId="43775239" w14:textId="77777777" w:rsidR="00DF410E" w:rsidRDefault="00CE7F43">
      <w:pPr>
        <w:jc w:val="both"/>
      </w:pPr>
      <w:r>
        <w:t xml:space="preserve">La continuité d’étanchéité est assurée par </w:t>
      </w:r>
      <w:r>
        <w:rPr>
          <w:rStyle w:val="optioncarChar"/>
        </w:rPr>
        <w:t xml:space="preserve">bandes adhésives </w:t>
      </w:r>
      <w:r>
        <w:t>(par défaut)</w:t>
      </w:r>
      <w:r>
        <w:rPr>
          <w:rStyle w:val="optioncarChar"/>
        </w:rPr>
        <w:t xml:space="preserve"> / mousse comprimée / mastics de resserrage / préformé d’étanchéité / ***</w:t>
      </w:r>
      <w:r>
        <w:t>.</w:t>
      </w:r>
    </w:p>
    <w:p w14:paraId="539A3B6F" w14:textId="77777777" w:rsidR="00DF410E" w:rsidRDefault="00CE7F43">
      <w:pPr>
        <w:jc w:val="both"/>
      </w:pPr>
      <w:r>
        <w:t xml:space="preserve">Pour le descriptif des bandes adhésive, voir article </w:t>
      </w:r>
      <w:hyperlink r:id="rId283" w:history="1" w:docLocation="597">
        <w:r>
          <w:t>32.23.1c Bandes adhésives d'étanchéité à l'air et à la vapeur en polyéthylène</w:t>
        </w:r>
      </w:hyperlink>
      <w:r>
        <w:t>.</w:t>
      </w:r>
    </w:p>
    <w:p w14:paraId="5EE6EC49" w14:textId="77777777" w:rsidR="00DF410E" w:rsidRDefault="00CE7F43">
      <w:pPr>
        <w:jc w:val="both"/>
      </w:pPr>
      <w:r>
        <w:rPr>
          <w:b/>
        </w:rPr>
        <w:t>Assemblages</w:t>
      </w:r>
    </w:p>
    <w:p w14:paraId="5C0399FD" w14:textId="77777777" w:rsidR="00DF410E" w:rsidRDefault="00CE7F43">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11376737" w14:textId="77777777" w:rsidR="00DF410E" w:rsidRDefault="00CE7F43">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14:paraId="157F5677" w14:textId="77777777" w:rsidR="00DF410E" w:rsidRDefault="00CE7F43">
      <w:pPr>
        <w:jc w:val="both"/>
      </w:pPr>
      <w:r>
        <w:rPr>
          <w:b/>
        </w:rPr>
        <w:t>Fixation en pied de mur</w:t>
      </w:r>
    </w:p>
    <w:p w14:paraId="5124D085" w14:textId="77777777" w:rsidR="00DF410E" w:rsidRDefault="00CE7F43">
      <w:pPr>
        <w:jc w:val="both"/>
      </w:pPr>
      <w:r>
        <w:t xml:space="preserve">Le caisson est fixé </w:t>
      </w:r>
      <w:r>
        <w:rPr>
          <w:rStyle w:val="optioncarChar"/>
        </w:rPr>
        <w:t xml:space="preserve">par l’intermédiaire d’une lisse basse </w:t>
      </w:r>
      <w:r>
        <w:t>(par défaut) </w:t>
      </w:r>
      <w:r>
        <w:rPr>
          <w:rStyle w:val="optioncarChar"/>
        </w:rPr>
        <w:t>/ par dispositifs d’ancrage ponctuels sur le gros œuvre existant / ***</w:t>
      </w:r>
      <w:r>
        <w:t>.</w:t>
      </w:r>
    </w:p>
    <w:p w14:paraId="0C606E7D" w14:textId="77777777" w:rsidR="00DF410E" w:rsidRDefault="00CE7F43">
      <w:pPr>
        <w:ind w:left="567"/>
        <w:jc w:val="both"/>
      </w:pPr>
      <w:r>
        <w:rPr>
          <w:b/>
          <w:i/>
        </w:rPr>
        <w:t>(Soit par défaut)</w:t>
      </w:r>
    </w:p>
    <w:p w14:paraId="6A7B61A9" w14:textId="77777777" w:rsidR="00DF410E" w:rsidRDefault="00CE7F43">
      <w:pPr>
        <w:ind w:left="567"/>
        <w:jc w:val="both"/>
      </w:pPr>
      <w:r>
        <w:rPr>
          <w:rStyle w:val="soitChar"/>
          <w:u w:val="single"/>
        </w:rPr>
        <w:t>La lisse basse</w:t>
      </w:r>
      <w:r>
        <w:rPr>
          <w:rStyle w:val="soitChar"/>
        </w:rPr>
        <w:t xml:space="preserve"> est fixée par </w:t>
      </w:r>
      <w:r>
        <w:rPr>
          <w:rStyle w:val="optioncarChar"/>
        </w:rPr>
        <w:t>cheville métallique</w:t>
      </w:r>
      <w:r>
        <w:t xml:space="preserve"> (par défaut)</w:t>
      </w:r>
      <w:r>
        <w:rPr>
          <w:rStyle w:val="optioncarChar"/>
        </w:rPr>
        <w:t xml:space="preserve"> / vis spécifique béton / tiges filetées et ancrages chimiques / équerres de fixation / ***.</w:t>
      </w:r>
      <w:r>
        <w:rPr>
          <w:rStyle w:val="soitChar"/>
        </w:rPr>
        <w:t xml:space="preserve"> La lisse basse ou lisse de pose est décrite dans l’article </w:t>
      </w:r>
      <w:hyperlink w:anchor="590" w:history="1">
        <w:r>
          <w:rPr>
            <w:rStyle w:val="soitChar"/>
          </w:rPr>
          <w:t>24.11.1a Lisses de pose en bois massif</w:t>
        </w:r>
      </w:hyperlink>
      <w:r>
        <w:rPr>
          <w:rStyle w:val="soitChar"/>
        </w:rPr>
        <w:t>.</w:t>
      </w:r>
    </w:p>
    <w:p w14:paraId="1A5E8FB3" w14:textId="77777777" w:rsidR="00DF410E" w:rsidRDefault="00CE7F43">
      <w:pPr>
        <w:ind w:left="567"/>
        <w:jc w:val="both"/>
      </w:pPr>
      <w:r>
        <w:rPr>
          <w:b/>
          <w:i/>
        </w:rPr>
        <w:t>(Soit)</w:t>
      </w:r>
    </w:p>
    <w:p w14:paraId="38BB90CE" w14:textId="77777777" w:rsidR="00DF410E" w:rsidRDefault="00CE7F43">
      <w:pPr>
        <w:ind w:left="567"/>
        <w:jc w:val="both"/>
      </w:pPr>
      <w:r>
        <w:rPr>
          <w:rStyle w:val="soitChar"/>
          <w:u w:val="single"/>
        </w:rPr>
        <w:t>Dispositifs d’ancrage ponctuels </w:t>
      </w:r>
      <w:r>
        <w:rPr>
          <w:rStyle w:val="soitChar"/>
        </w:rPr>
        <w:t xml:space="preserve">: Les dispositifs de fixation sont des </w:t>
      </w:r>
      <w:r>
        <w:rPr>
          <w:rStyle w:val="optioncarChar"/>
        </w:rPr>
        <w:t>équerres métalliques</w:t>
      </w:r>
      <w:r>
        <w:t xml:space="preserve"> (par défaut)</w:t>
      </w:r>
      <w:r>
        <w:rPr>
          <w:rStyle w:val="optioncarChar"/>
        </w:rPr>
        <w:t xml:space="preserve"> / connecteurs acoustiques / plats métalliques / connecteurs de cisaillement et traction / 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14:paraId="0EAF1351" w14:textId="77777777" w:rsidR="00DF410E" w:rsidRDefault="00CE7F43">
      <w:pPr>
        <w:ind w:left="567"/>
        <w:jc w:val="both"/>
      </w:pPr>
      <w:r>
        <w:rPr>
          <w:b/>
          <w:i/>
        </w:rPr>
        <w:t>(Soit)</w:t>
      </w:r>
    </w:p>
    <w:p w14:paraId="6D84D427" w14:textId="77777777" w:rsidR="00DF410E" w:rsidRDefault="00CE7F43">
      <w:pPr>
        <w:ind w:left="567"/>
        <w:jc w:val="both"/>
      </w:pPr>
      <w:r>
        <w:rPr>
          <w:rStyle w:val="optioncarChar"/>
        </w:rPr>
        <w:t>***</w:t>
      </w:r>
    </w:p>
    <w:p w14:paraId="1BCBD22F" w14:textId="77777777" w:rsidR="00DF410E" w:rsidRDefault="00DF410E">
      <w:pPr>
        <w:ind w:left="567"/>
        <w:jc w:val="both"/>
      </w:pPr>
    </w:p>
    <w:p w14:paraId="754B0BD8" w14:textId="77777777" w:rsidR="00DF410E" w:rsidRDefault="00CE7F43">
      <w:pPr>
        <w:jc w:val="both"/>
      </w:pPr>
      <w:r>
        <w:t xml:space="preserve">L’assemblage de pied de paroi est muni d’une </w:t>
      </w:r>
      <w:r>
        <w:rPr>
          <w:rStyle w:val="optioncarChar"/>
        </w:rPr>
        <w:t>bande d’arase en membrane élastomère</w:t>
      </w:r>
      <w:r>
        <w:t xml:space="preserve"> (par défaut)</w:t>
      </w:r>
      <w:r>
        <w:rPr>
          <w:rStyle w:val="optioncarChar"/>
        </w:rPr>
        <w:t xml:space="preserve"> / membrane bitumineuse / membrane à base butyle / membrane polypropylène / ***</w:t>
      </w:r>
      <w:r>
        <w:t>.</w:t>
      </w:r>
    </w:p>
    <w:p w14:paraId="5B125534" w14:textId="77777777" w:rsidR="00DF410E" w:rsidRDefault="00CE7F43">
      <w:pPr>
        <w:jc w:val="both"/>
      </w:pPr>
      <w:r>
        <w:rPr>
          <w:b/>
        </w:rPr>
        <w:t>Fixation entre caissons de même plan</w:t>
      </w:r>
    </w:p>
    <w:p w14:paraId="695B8FEB" w14:textId="77777777" w:rsidR="00DF410E" w:rsidRDefault="00CE7F43">
      <w:pPr>
        <w:jc w:val="both"/>
      </w:pPr>
      <w:r>
        <w:t>L’assemblage est réalisé par</w:t>
      </w:r>
      <w:r>
        <w:rPr>
          <w:rStyle w:val="optioncarChar"/>
        </w:rPr>
        <w:t xml:space="preserve"> tire-fond </w:t>
      </w:r>
      <w:r>
        <w:t>(par défaut)</w:t>
      </w:r>
      <w:r>
        <w:rPr>
          <w:rStyle w:val="optioncarChar"/>
        </w:rPr>
        <w:t> / plats métallique / profilés collaborant / ***.</w:t>
      </w:r>
    </w:p>
    <w:p w14:paraId="78AD1704" w14:textId="77777777" w:rsidR="00DF410E" w:rsidRDefault="00CE7F43">
      <w:pPr>
        <w:jc w:val="both"/>
      </w:pPr>
      <w:r>
        <w:rPr>
          <w:b/>
        </w:rPr>
        <w:t>Assemblage d’angles</w:t>
      </w:r>
    </w:p>
    <w:p w14:paraId="2358DCD5" w14:textId="77777777" w:rsidR="00DF410E" w:rsidRDefault="00CE7F43">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 œuvre existant / ***</w:t>
      </w:r>
      <w:r>
        <w:t>.</w:t>
      </w:r>
    </w:p>
    <w:p w14:paraId="231C8BE8" w14:textId="77777777" w:rsidR="00DF410E" w:rsidRDefault="00CE7F43">
      <w:pPr>
        <w:ind w:left="567"/>
        <w:jc w:val="both"/>
      </w:pPr>
      <w:r>
        <w:rPr>
          <w:b/>
          <w:i/>
        </w:rPr>
        <w:t>(Soit par défaut)</w:t>
      </w:r>
    </w:p>
    <w:p w14:paraId="1930036C" w14:textId="77777777" w:rsidR="00DF410E" w:rsidRDefault="00CE7F43">
      <w:pPr>
        <w:ind w:left="567"/>
        <w:jc w:val="both"/>
      </w:pPr>
      <w:r>
        <w:rPr>
          <w:rStyle w:val="soitChar"/>
          <w:u w:val="single"/>
        </w:rPr>
        <w:t>Vis traversante :</w:t>
      </w:r>
      <w:r>
        <w:rPr>
          <w:rStyle w:val="soitChar"/>
        </w:rPr>
        <w:t xml:space="preserve"> La fixation de type tire-fond est appliquée sur le montant intérieur du caisson à assembler ou par fixations inclinées. Le nombre de fixations et les sections répondent au dimensionnement selon la [NBN EN 1995 série].</w:t>
      </w:r>
    </w:p>
    <w:p w14:paraId="62000C4A" w14:textId="77777777" w:rsidR="00DF410E" w:rsidRDefault="00CE7F43">
      <w:pPr>
        <w:ind w:left="567"/>
        <w:jc w:val="both"/>
      </w:pPr>
      <w:r>
        <w:rPr>
          <w:b/>
          <w:i/>
        </w:rPr>
        <w:t>(Soit)</w:t>
      </w:r>
    </w:p>
    <w:p w14:paraId="36E46CB8" w14:textId="77777777" w:rsidR="00DF410E" w:rsidRDefault="00CE7F43">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w:t>
      </w:r>
      <w:r>
        <w:t xml:space="preserve"> (par défaut) </w:t>
      </w:r>
      <w:r>
        <w:rPr>
          <w:rStyle w:val="optioncarChar"/>
        </w:rPr>
        <w:t>/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14:paraId="742B8FA7" w14:textId="77777777" w:rsidR="00DF410E" w:rsidRDefault="00CE7F43">
      <w:pPr>
        <w:ind w:left="567"/>
        <w:jc w:val="both"/>
      </w:pPr>
      <w:r>
        <w:rPr>
          <w:b/>
          <w:i/>
        </w:rPr>
        <w:t>(Soit)</w:t>
      </w:r>
    </w:p>
    <w:p w14:paraId="4632FE71" w14:textId="77777777" w:rsidR="00DF410E" w:rsidRDefault="00CE7F43">
      <w:pPr>
        <w:ind w:left="567"/>
        <w:jc w:val="both"/>
      </w:pPr>
      <w:r>
        <w:rPr>
          <w:rStyle w:val="optioncarChar"/>
        </w:rPr>
        <w:t>***</w:t>
      </w:r>
    </w:p>
    <w:p w14:paraId="2D5809CC" w14:textId="77777777" w:rsidR="00DF410E" w:rsidRDefault="00CE7F43">
      <w:pPr>
        <w:jc w:val="both"/>
      </w:pPr>
      <w:r>
        <w:t> </w:t>
      </w:r>
    </w:p>
    <w:p w14:paraId="257C9B4C" w14:textId="77777777" w:rsidR="00DF410E" w:rsidRDefault="00CE7F43">
      <w:pPr>
        <w:jc w:val="both"/>
      </w:pPr>
      <w:r>
        <w:t xml:space="preserve">Les fixations, pointes ou vis, des panneaux sont effectuées sur </w:t>
      </w:r>
      <w:r>
        <w:rPr>
          <w:rStyle w:val="optioncarChar"/>
        </w:rPr>
        <w:t>2/3</w:t>
      </w:r>
      <w:r>
        <w:t xml:space="preserve"> (par défaut) </w:t>
      </w:r>
      <w:r>
        <w:rPr>
          <w:rStyle w:val="optioncarChar"/>
        </w:rPr>
        <w:t>/ ***</w:t>
      </w:r>
      <w:r>
        <w:t xml:space="preserve"> de l’épaisseur du panneau.</w:t>
      </w:r>
    </w:p>
    <w:p w14:paraId="385E7153" w14:textId="77777777" w:rsidR="00DF410E" w:rsidRDefault="00CE7F43">
      <w:pPr>
        <w:jc w:val="both"/>
      </w:pPr>
      <w:r>
        <w:t xml:space="preserve">Les dispositifs d’ancrage sont décrits dans les éléments du </w:t>
      </w:r>
      <w:hyperlink w:anchor="583" w:history="1">
        <w:r>
          <w:t>24.4 Assemblages</w:t>
        </w:r>
      </w:hyperlink>
      <w:r>
        <w:t xml:space="preserve"> mais la fourniture et la pose sont comprises dans le présent travail.</w:t>
      </w:r>
    </w:p>
    <w:p w14:paraId="1A2E5845" w14:textId="77777777" w:rsidR="00DF410E" w:rsidRDefault="00DF410E"/>
    <w:p w14:paraId="7EFCFDBE" w14:textId="77777777" w:rsidR="00DF410E" w:rsidRDefault="00CE7F43">
      <w:pPr>
        <w:jc w:val="both"/>
      </w:pPr>
      <w:r>
        <w:rPr>
          <w:b/>
        </w:rPr>
        <w:t>Travaux préalables :  HVAC - Sanitaires - Electricité</w:t>
      </w:r>
    </w:p>
    <w:p w14:paraId="4A9F6872" w14:textId="77777777" w:rsidR="00DF410E" w:rsidRDefault="00CE7F43">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6076B228" w14:textId="77777777" w:rsidR="00DF410E" w:rsidRDefault="00CE7F43">
      <w:pPr>
        <w:ind w:left="567"/>
        <w:jc w:val="both"/>
      </w:pPr>
      <w:r>
        <w:rPr>
          <w:b/>
          <w:i/>
        </w:rPr>
        <w:t>(Soit par défaut)</w:t>
      </w:r>
    </w:p>
    <w:p w14:paraId="449D9314" w14:textId="77777777" w:rsidR="00DF410E" w:rsidRDefault="00CE7F43">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84" w:history="1" w:docLocation="34">
        <w:r>
          <w:rPr>
            <w:rStyle w:val="soitChar"/>
          </w:rPr>
          <w:t>6 T6 HVAC - sanitaires</w:t>
        </w:r>
      </w:hyperlink>
      <w:r>
        <w:rPr>
          <w:rStyle w:val="soitChar"/>
        </w:rPr>
        <w:t> et </w:t>
      </w:r>
      <w:hyperlink r:id="rId285" w:history="1" w:docLocation="35">
        <w:r>
          <w:rPr>
            <w:rStyle w:val="soitChar"/>
          </w:rPr>
          <w:t>7 T7 Electricité</w:t>
        </w:r>
      </w:hyperlink>
      <w:r>
        <w:rPr>
          <w:rStyle w:val="soitChar"/>
        </w:rPr>
        <w:t> et sont réalisés a posteriori.</w:t>
      </w:r>
    </w:p>
    <w:p w14:paraId="6C204B57" w14:textId="77777777" w:rsidR="00DF410E" w:rsidRDefault="00CE7F43">
      <w:pPr>
        <w:ind w:left="567"/>
        <w:jc w:val="both"/>
      </w:pPr>
      <w:r>
        <w:rPr>
          <w:b/>
          <w:i/>
        </w:rPr>
        <w:t>(Soit)</w:t>
      </w:r>
    </w:p>
    <w:p w14:paraId="2DF74A15" w14:textId="77777777" w:rsidR="00DF410E" w:rsidRDefault="00CE7F43">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86" w:history="1" w:docLocation="34">
        <w:r>
          <w:rPr>
            <w:rStyle w:val="soitChar"/>
          </w:rPr>
          <w:t>6 T6 HVAC - sanitaires</w:t>
        </w:r>
      </w:hyperlink>
      <w:r>
        <w:rPr>
          <w:rStyle w:val="soitChar"/>
        </w:rPr>
        <w:t> et </w:t>
      </w:r>
      <w:hyperlink r:id="rId287" w:history="1" w:docLocation="35">
        <w:r>
          <w:rPr>
            <w:rStyle w:val="soitChar"/>
          </w:rPr>
          <w:t>7 T7 Electricité</w:t>
        </w:r>
      </w:hyperlink>
      <w:r>
        <w:rPr>
          <w:rStyle w:val="soitChar"/>
        </w:rPr>
        <w:t>.  </w:t>
      </w:r>
    </w:p>
    <w:p w14:paraId="02E1DCAD" w14:textId="77777777" w:rsidR="00DF410E" w:rsidRDefault="00CE7F43">
      <w:pPr>
        <w:pStyle w:val="pheading"/>
      </w:pPr>
      <w:r>
        <w:t>- Notes d’exécution complémentaires</w:t>
      </w:r>
    </w:p>
    <w:p w14:paraId="2DDB928B" w14:textId="77777777" w:rsidR="00DF410E" w:rsidRDefault="00CE7F43">
      <w:pPr>
        <w:jc w:val="both"/>
      </w:pPr>
      <w:r>
        <w:rPr>
          <w:rStyle w:val="facultChar"/>
        </w:rPr>
        <w:t>Tous les assemblages mécaniques structuraux sont dimensionnés selon les principes de l’Eurocode 5 [NBN EN 1995-1-1] et de sa partie feu [NBN EN 1995-1-2].</w:t>
      </w:r>
    </w:p>
    <w:p w14:paraId="5B91B317" w14:textId="77777777" w:rsidR="00DF410E" w:rsidRDefault="00CE7F43">
      <w:pPr>
        <w:pStyle w:val="pheading"/>
      </w:pPr>
      <w:r>
        <w:t>CONTRÔLES PARTICULIERS</w:t>
      </w:r>
    </w:p>
    <w:p w14:paraId="7F906CF7" w14:textId="77777777" w:rsidR="00DF410E" w:rsidRDefault="00CE7F43">
      <w:r>
        <w:t>Le contrôle de la qualité du séchage d’un lot de bois scié se fait selon la [NBN EN 14298].</w:t>
      </w:r>
    </w:p>
    <w:p w14:paraId="62B14A59" w14:textId="77777777" w:rsidR="00DF410E" w:rsidRDefault="00CE7F43">
      <w:pPr>
        <w:pStyle w:val="pheading"/>
      </w:pPr>
      <w:r>
        <w:t>DOCUMENTS DE RÉFÉRENCE COMPLÉMENTAIRES</w:t>
      </w:r>
    </w:p>
    <w:p w14:paraId="467E13AB" w14:textId="77777777" w:rsidR="00DF410E" w:rsidRDefault="00CE7F43">
      <w:pPr>
        <w:pStyle w:val="pheading"/>
      </w:pPr>
      <w:r>
        <w:t>- Matériau</w:t>
      </w:r>
    </w:p>
    <w:p w14:paraId="6DC57111" w14:textId="77777777" w:rsidR="00DF410E" w:rsidRDefault="00CE7F43">
      <w:r>
        <w:t>[NBN EN 14081 série, Structures en bois - Bois de structure à section rectangulaire classé pour sa résistance]</w:t>
      </w:r>
    </w:p>
    <w:p w14:paraId="4A8F933C" w14:textId="77777777" w:rsidR="00DF410E" w:rsidRDefault="00CE7F43">
      <w:r>
        <w:t>[NBN EN 15497, Bois massif de structure à entures multiples - Exigences de performances et exigences minimales de fabrication]</w:t>
      </w:r>
    </w:p>
    <w:p w14:paraId="01103A98" w14:textId="77777777" w:rsidR="00DF410E" w:rsidRDefault="00CE7F43">
      <w:r>
        <w:t>[NBN EN 14080, Structures en bois - Bois lamellé collé et bois massif reconstitué - Exigences]</w:t>
      </w:r>
    </w:p>
    <w:p w14:paraId="66A48BDE" w14:textId="77777777" w:rsidR="00DF410E" w:rsidRDefault="00CE7F43">
      <w:r>
        <w:t>[NBN EN 335, Durabilité du bois et des matériaux à base de bois - Classes d'emploi: définitions, application au bois massif et aux matériaux à base de bois]</w:t>
      </w:r>
    </w:p>
    <w:p w14:paraId="5196BBC2"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1EADED4D" w14:textId="77777777" w:rsidR="00DF410E" w:rsidRDefault="00CE7F43">
      <w:r>
        <w:t>[NBN EN 13171+A1, Produits isolants thermiques pour le bâtiment - Produits manufacturés en fibres de bois (WF) - Spécification]</w:t>
      </w:r>
    </w:p>
    <w:p w14:paraId="11756510" w14:textId="77777777" w:rsidR="00DF410E" w:rsidRDefault="00CE7F43">
      <w:r>
        <w:t>[NBN EN 13986+A1, Panneaux à base de bois destinés à la construction - Caractéristiques, évaluation de conformité et marquage]</w:t>
      </w:r>
    </w:p>
    <w:p w14:paraId="5FB2D23B" w14:textId="77777777" w:rsidR="00DF410E" w:rsidRDefault="00CE7F43">
      <w:r>
        <w:t>[NBN EN 12086, Produits isolants thermiques destinés aux applications du bâtiment - Détermination des propriétés de transmission de la vapeur d'eau]</w:t>
      </w:r>
    </w:p>
    <w:p w14:paraId="6A37FCD8" w14:textId="77777777" w:rsidR="00DF410E" w:rsidRDefault="00CE7F43">
      <w:r>
        <w:t>[NBN EN 310, Panneaux à base de bois - Détermination du module d'élasticité en flexion et de la résistance à la flexion]</w:t>
      </w:r>
    </w:p>
    <w:p w14:paraId="00EBDB64" w14:textId="77777777" w:rsidR="00DF410E" w:rsidRDefault="00CE7F43">
      <w:r>
        <w:t>[NBN EN 312, Panneaux de particules - Exigences]</w:t>
      </w:r>
    </w:p>
    <w:p w14:paraId="734C3489" w14:textId="77777777" w:rsidR="00DF410E" w:rsidRDefault="00CE7F43">
      <w:r>
        <w:t>[NBN EN 319, Panneaux de particules et panneaux de fibres - Détermination de la résistance à la traction perpendiculaire aux faces du panneau]</w:t>
      </w:r>
    </w:p>
    <w:p w14:paraId="4D88683A" w14:textId="77777777" w:rsidR="00DF410E" w:rsidRDefault="00CE7F43">
      <w:r>
        <w:t>[NBN EN ISO 10456, Matériaux et produits pour le bâtiment - Propriétés hygrothermiques - Valeurs utiles tabulées et procédures pour la détermination des valeurs thermiques déclarées et utiles (ISO 10456:2007)]</w:t>
      </w:r>
    </w:p>
    <w:p w14:paraId="05135337" w14:textId="77777777" w:rsidR="00DF410E" w:rsidRDefault="00CE7F43">
      <w:r>
        <w:t>[NBN EN 335, Durabilité du bois et des matériaux à base de bois - Classes d'emploi: définitions, application au bois massif et aux matériaux à base de bois]</w:t>
      </w:r>
    </w:p>
    <w:p w14:paraId="516C05CC"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8275261" w14:textId="77777777" w:rsidR="00DF410E" w:rsidRDefault="00CE7F43">
      <w:pPr>
        <w:pStyle w:val="pheading"/>
      </w:pPr>
      <w:r>
        <w:t>- Exécution</w:t>
      </w:r>
    </w:p>
    <w:p w14:paraId="579022F6" w14:textId="77777777" w:rsidR="00DF410E" w:rsidRDefault="00CE7F43">
      <w:r>
        <w:t>[NBN EN 1995 série, Eurocode 5: Conception et calcul des structures en bois]</w:t>
      </w:r>
    </w:p>
    <w:p w14:paraId="4F9A1B65" w14:textId="77777777" w:rsidR="00DF410E" w:rsidRDefault="00CE7F43">
      <w:r>
        <w:t>[STS 31, Charpenterie]</w:t>
      </w:r>
    </w:p>
    <w:p w14:paraId="6619DE56" w14:textId="77777777" w:rsidR="00DF410E" w:rsidRDefault="00CE7F43">
      <w:r>
        <w:t>[STS 23-1, Constructions en ossature bois]</w:t>
      </w:r>
    </w:p>
    <w:p w14:paraId="0973719F" w14:textId="77777777" w:rsidR="00DF410E" w:rsidRDefault="00CE7F43">
      <w:r>
        <w:t>[NBN EN 14298, Bois scié - Estimation de la qualité du séchage]</w:t>
      </w:r>
    </w:p>
    <w:p w14:paraId="2CDA9537" w14:textId="77777777" w:rsidR="00DF410E" w:rsidRDefault="00CE7F43">
      <w:pPr>
        <w:pStyle w:val="pheading"/>
      </w:pPr>
      <w:r>
        <w:t>MESURAGE</w:t>
      </w:r>
    </w:p>
    <w:p w14:paraId="589B1826" w14:textId="77777777" w:rsidR="00DF410E" w:rsidRDefault="00CE7F43">
      <w:pPr>
        <w:pStyle w:val="pheading"/>
      </w:pPr>
      <w:r>
        <w:t>- unité de mesure:</w:t>
      </w:r>
    </w:p>
    <w:p w14:paraId="50FA5A59" w14:textId="77777777" w:rsidR="00DF410E" w:rsidRDefault="00CE7F43">
      <w:r>
        <w:rPr>
          <w:rStyle w:val="optioncarChar"/>
        </w:rPr>
        <w:t xml:space="preserve">m² </w:t>
      </w:r>
      <w:r>
        <w:t>(par défaut)</w:t>
      </w:r>
      <w:r>
        <w:rPr>
          <w:rStyle w:val="optioncarChar"/>
        </w:rPr>
        <w:t xml:space="preserve"> / m³</w:t>
      </w:r>
    </w:p>
    <w:p w14:paraId="2F68DB6E" w14:textId="77777777" w:rsidR="00DF410E" w:rsidRDefault="00CE7F43">
      <w:r>
        <w:rPr>
          <w:b/>
          <w:i/>
        </w:rPr>
        <w:t>(Soit par défaut)</w:t>
      </w:r>
    </w:p>
    <w:p w14:paraId="64B6CF4B" w14:textId="77777777" w:rsidR="00DF410E" w:rsidRDefault="00CE7F43">
      <w:r>
        <w:rPr>
          <w:rStyle w:val="soitChar"/>
        </w:rPr>
        <w:t>1. m²</w:t>
      </w:r>
    </w:p>
    <w:p w14:paraId="543B6343" w14:textId="77777777" w:rsidR="00DF410E" w:rsidRDefault="00CE7F43">
      <w:r>
        <w:rPr>
          <w:b/>
          <w:i/>
        </w:rPr>
        <w:t>(Soit)</w:t>
      </w:r>
    </w:p>
    <w:p w14:paraId="055BD437" w14:textId="77777777" w:rsidR="00DF410E" w:rsidRDefault="00CE7F43">
      <w:r>
        <w:rPr>
          <w:rStyle w:val="soitChar"/>
        </w:rPr>
        <w:t>2. m³</w:t>
      </w:r>
    </w:p>
    <w:p w14:paraId="2EE8F169" w14:textId="77777777" w:rsidR="00DF410E" w:rsidRDefault="00CE7F43">
      <w:pPr>
        <w:pStyle w:val="pheading"/>
      </w:pPr>
      <w:r>
        <w:t>- code de mesurage:</w:t>
      </w:r>
    </w:p>
    <w:p w14:paraId="39822229" w14:textId="77777777" w:rsidR="00DF410E" w:rsidRDefault="00CE7F43">
      <w:pPr>
        <w:jc w:val="both"/>
      </w:pPr>
      <w:r>
        <w:rPr>
          <w:rStyle w:val="optioncarChar"/>
        </w:rPr>
        <w:t xml:space="preserve">Surface nette </w:t>
      </w:r>
      <w:r>
        <w:t>(par défaut)</w:t>
      </w:r>
      <w:r>
        <w:rPr>
          <w:rStyle w:val="optioncarChar"/>
        </w:rPr>
        <w:t xml:space="preserve"> / Volume net</w:t>
      </w:r>
    </w:p>
    <w:p w14:paraId="506550A4" w14:textId="77777777" w:rsidR="00DF410E" w:rsidRDefault="00CE7F43">
      <w:pPr>
        <w:jc w:val="both"/>
      </w:pPr>
      <w:r>
        <w:rPr>
          <w:b/>
          <w:i/>
        </w:rPr>
        <w:t>(Soit par défaut)</w:t>
      </w:r>
    </w:p>
    <w:p w14:paraId="59D383EF" w14:textId="77777777" w:rsidR="00DF410E" w:rsidRDefault="00CE7F43">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14:paraId="2279584B" w14:textId="77777777" w:rsidR="00DF410E" w:rsidRDefault="00CE7F43">
      <w:pPr>
        <w:jc w:val="both"/>
      </w:pPr>
      <w:r>
        <w:rPr>
          <w:b/>
          <w:i/>
        </w:rPr>
        <w:t>(Soit)</w:t>
      </w:r>
    </w:p>
    <w:p w14:paraId="243D0160" w14:textId="77777777" w:rsidR="00DF410E" w:rsidRDefault="00CE7F43">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14:paraId="536A8854" w14:textId="77777777" w:rsidR="00DF410E" w:rsidRDefault="00CE7F43">
      <w:pPr>
        <w:pStyle w:val="pheading"/>
      </w:pPr>
      <w:r>
        <w:t>- nature du marché:</w:t>
      </w:r>
    </w:p>
    <w:p w14:paraId="38FCF128" w14:textId="77777777" w:rsidR="00DF410E" w:rsidRDefault="00CE7F43">
      <w:r>
        <w:rPr>
          <w:rStyle w:val="optioncarChar"/>
        </w:rPr>
        <w:t>QF</w:t>
      </w:r>
      <w:r>
        <w:t xml:space="preserve"> (par défaut)</w:t>
      </w:r>
      <w:r>
        <w:rPr>
          <w:rStyle w:val="optioncarChar"/>
        </w:rPr>
        <w:t xml:space="preserve"> / QP</w:t>
      </w:r>
    </w:p>
    <w:p w14:paraId="5ABC61EC" w14:textId="77777777" w:rsidR="00DF410E" w:rsidRDefault="00CE7F43">
      <w:r>
        <w:rPr>
          <w:b/>
          <w:i/>
        </w:rPr>
        <w:t>(Soit par défaut)</w:t>
      </w:r>
    </w:p>
    <w:p w14:paraId="08058523" w14:textId="77777777" w:rsidR="00DF410E" w:rsidRDefault="00CE7F43">
      <w:r>
        <w:rPr>
          <w:rStyle w:val="soitChar"/>
        </w:rPr>
        <w:t>1. 2. QF</w:t>
      </w:r>
    </w:p>
    <w:p w14:paraId="56D1407E" w14:textId="77777777" w:rsidR="00DF410E" w:rsidRDefault="00CE7F43">
      <w:r>
        <w:rPr>
          <w:b/>
          <w:i/>
        </w:rPr>
        <w:t>(Soit)</w:t>
      </w:r>
    </w:p>
    <w:p w14:paraId="34A40521" w14:textId="77777777" w:rsidR="00DF410E" w:rsidRDefault="00CE7F43">
      <w:r>
        <w:rPr>
          <w:rStyle w:val="soitChar"/>
        </w:rPr>
        <w:t>1. 2. QP   </w:t>
      </w:r>
    </w:p>
    <w:p w14:paraId="13659749" w14:textId="77777777" w:rsidR="00DF410E" w:rsidRDefault="00CE7F43">
      <w:pPr>
        <w:pStyle w:val="Author-eSectionHeading6"/>
      </w:pPr>
      <w:bookmarkStart w:id="1661" w:name="_Toc178838750"/>
      <w:r>
        <w:t>24.21.3b Murs en bois en caissons préfabriqués remplis de paille CCTB 01.11</w:t>
      </w:r>
      <w:bookmarkEnd w:id="1661"/>
    </w:p>
    <w:p w14:paraId="3B698C42" w14:textId="77777777" w:rsidR="00DF410E" w:rsidRDefault="00CE7F43">
      <w:pPr>
        <w:pStyle w:val="pheading"/>
      </w:pPr>
      <w:r>
        <w:t>DESCRIPTION</w:t>
      </w:r>
    </w:p>
    <w:p w14:paraId="5B36976B" w14:textId="77777777" w:rsidR="00DF410E" w:rsidRDefault="00CE7F43">
      <w:pPr>
        <w:pStyle w:val="pheading"/>
      </w:pPr>
      <w:r>
        <w:t>- Définition / Comprend</w:t>
      </w:r>
    </w:p>
    <w:p w14:paraId="585BBCBC" w14:textId="77777777" w:rsidR="00DF410E" w:rsidRDefault="00CE7F43">
      <w:pPr>
        <w:jc w:val="both"/>
      </w:pPr>
      <w:r>
        <w:t>Il s’agit de la fourniture et la pose de murs porteurs ou  non constitués de caissons préfabriqués en bois remplis de paille.</w:t>
      </w:r>
    </w:p>
    <w:p w14:paraId="52646278" w14:textId="77777777" w:rsidR="00DF410E" w:rsidRDefault="00CE7F43">
      <w:pPr>
        <w:jc w:val="both"/>
      </w:pPr>
      <w:r>
        <w:t>Le travail comprend notamment :</w:t>
      </w:r>
    </w:p>
    <w:p w14:paraId="70227E31" w14:textId="77777777" w:rsidR="00DF410E" w:rsidRDefault="00CE7F43">
      <w:pPr>
        <w:pStyle w:val="Author-eListParagraph"/>
        <w:numPr>
          <w:ilvl w:val="0"/>
          <w:numId w:val="897"/>
        </w:numPr>
        <w:jc w:val="both"/>
      </w:pPr>
      <w:r>
        <w:t>La réception des supports sur lesquels les éléments sont posés selon les tolérances dimensionnelles de la [STS 23-1] Constructions en ossature bois;</w:t>
      </w:r>
    </w:p>
    <w:p w14:paraId="76500D84" w14:textId="77777777" w:rsidR="00DF410E" w:rsidRDefault="00CE7F43">
      <w:pPr>
        <w:pStyle w:val="Author-eListParagraph"/>
        <w:numPr>
          <w:ilvl w:val="0"/>
          <w:numId w:val="897"/>
        </w:numPr>
        <w:jc w:val="both"/>
      </w:pPr>
      <w:r>
        <w:t>La préparation et nettoyage des supports;</w:t>
      </w:r>
    </w:p>
    <w:p w14:paraId="78237A8F" w14:textId="77777777" w:rsidR="00DF410E" w:rsidRDefault="00CE7F43">
      <w:pPr>
        <w:pStyle w:val="Author-eListParagraph"/>
        <w:numPr>
          <w:ilvl w:val="0"/>
          <w:numId w:val="897"/>
        </w:numPr>
        <w:jc w:val="both"/>
      </w:pPr>
      <w:r>
        <w:t>La fabrication, la livraison et la pose des parois, y compris les engins de levage, tous les supports temporaires et travaux d’étayage;</w:t>
      </w:r>
    </w:p>
    <w:p w14:paraId="0421B8AA" w14:textId="77777777" w:rsidR="00DF410E" w:rsidRDefault="00CE7F43">
      <w:pPr>
        <w:pStyle w:val="Author-eListParagraph"/>
        <w:numPr>
          <w:ilvl w:val="0"/>
          <w:numId w:val="897"/>
        </w:numPr>
        <w:jc w:val="both"/>
      </w:pPr>
      <w:r>
        <w:t>Les réservations prévues sur les plans;</w:t>
      </w:r>
    </w:p>
    <w:p w14:paraId="1CB5F6DA" w14:textId="77777777" w:rsidR="00DF410E" w:rsidRDefault="00CE7F43">
      <w:pPr>
        <w:pStyle w:val="Author-eListParagraph"/>
        <w:numPr>
          <w:ilvl w:val="0"/>
          <w:numId w:val="897"/>
        </w:numPr>
        <w:jc w:val="both"/>
      </w:pPr>
      <w:r>
        <w:t>La finition des bords et travaux de réparation en cas d’endommagement;</w:t>
      </w:r>
    </w:p>
    <w:p w14:paraId="0BCBB94E" w14:textId="77777777" w:rsidR="00DF410E" w:rsidRDefault="00CE7F43">
      <w:pPr>
        <w:pStyle w:val="Author-eListParagraph"/>
        <w:numPr>
          <w:ilvl w:val="0"/>
          <w:numId w:val="897"/>
        </w:numPr>
        <w:jc w:val="both"/>
      </w:pPr>
      <w:r>
        <w:t>Le remplissage des joints de dilatation éventuels selon les directives du fournisseur;</w:t>
      </w:r>
    </w:p>
    <w:p w14:paraId="219089FA" w14:textId="77777777" w:rsidR="00DF410E" w:rsidRDefault="00CE7F43">
      <w:pPr>
        <w:pStyle w:val="Author-eListParagraph"/>
        <w:numPr>
          <w:ilvl w:val="0"/>
          <w:numId w:val="897"/>
        </w:numPr>
        <w:jc w:val="both"/>
      </w:pPr>
      <w:r>
        <w:t>Le contrôle de toutes les dimensions et l’adaptation des éléments à préfabriquer aux dimensions réelles ;</w:t>
      </w:r>
    </w:p>
    <w:p w14:paraId="410A0ED7" w14:textId="77777777" w:rsidR="00DF410E" w:rsidRDefault="00CE7F43">
      <w:pPr>
        <w:pStyle w:val="Author-eListParagraph"/>
        <w:numPr>
          <w:ilvl w:val="0"/>
          <w:numId w:val="897"/>
        </w:numPr>
        <w:jc w:val="both"/>
      </w:pPr>
      <w:r>
        <w:t>Tous les moyens de liaisonnement éventuels, aussi bien entre les éléments préfabriqués, qu’avec les éléments de support, de bord, … ;</w:t>
      </w:r>
    </w:p>
    <w:p w14:paraId="39E831D6" w14:textId="77777777" w:rsidR="00DF410E" w:rsidRDefault="00CE7F43">
      <w:pPr>
        <w:pStyle w:val="Author-eListParagraph"/>
        <w:numPr>
          <w:ilvl w:val="0"/>
          <w:numId w:val="897"/>
        </w:numPr>
        <w:jc w:val="both"/>
      </w:pPr>
      <w:r>
        <w:t>L’enlèvement de tous les accessoires, éléments de coffrage, supports, étais et le nettoyage des faces visibles;</w:t>
      </w:r>
    </w:p>
    <w:p w14:paraId="1BCCAF84" w14:textId="77777777" w:rsidR="00DF410E" w:rsidRDefault="00CE7F43">
      <w:pPr>
        <w:pStyle w:val="Author-eListParagraph"/>
        <w:numPr>
          <w:ilvl w:val="0"/>
          <w:numId w:val="897"/>
        </w:numPr>
        <w:jc w:val="both"/>
      </w:pPr>
      <w:r>
        <w:t>L’éventuel pare-vapeur ou frein vapeur ;</w:t>
      </w:r>
    </w:p>
    <w:p w14:paraId="16762D74" w14:textId="77777777" w:rsidR="00DF410E" w:rsidRDefault="00CE7F43">
      <w:pPr>
        <w:pStyle w:val="Author-eListParagraph"/>
        <w:numPr>
          <w:ilvl w:val="0"/>
          <w:numId w:val="897"/>
        </w:numPr>
        <w:jc w:val="both"/>
      </w:pPr>
      <w:r>
        <w:t>Les ouvrages de protection des caissons contre la pluie, l’humidité et la condensation durant le transport et toute la durée du chantier.</w:t>
      </w:r>
    </w:p>
    <w:p w14:paraId="4EBA6E17" w14:textId="77777777" w:rsidR="00DF410E" w:rsidRDefault="00CE7F43">
      <w:pPr>
        <w:pStyle w:val="pheading"/>
      </w:pPr>
      <w:r>
        <w:t>- Localisation</w:t>
      </w:r>
    </w:p>
    <w:p w14:paraId="611E55F9" w14:textId="77777777" w:rsidR="00DF410E" w:rsidRDefault="00CE7F43">
      <w:r>
        <w:t>Localisation des travaux :</w:t>
      </w:r>
      <w:r>
        <w:rPr>
          <w:rStyle w:val="optioncarChar"/>
        </w:rPr>
        <w:t xml:space="preserve"> ***</w:t>
      </w:r>
      <w:r>
        <w:t>.</w:t>
      </w:r>
    </w:p>
    <w:p w14:paraId="63D527B1" w14:textId="77777777" w:rsidR="00DF410E" w:rsidRDefault="00CE7F43">
      <w:r>
        <w:t>Voir plans et métrés détaillés.</w:t>
      </w:r>
    </w:p>
    <w:p w14:paraId="0360A345" w14:textId="77777777" w:rsidR="00DF410E" w:rsidRDefault="00CE7F43">
      <w:pPr>
        <w:pStyle w:val="pheading"/>
      </w:pPr>
      <w:r>
        <w:t>MATÉRIAUX</w:t>
      </w:r>
    </w:p>
    <w:p w14:paraId="2D644C1C" w14:textId="77777777" w:rsidR="00DF410E" w:rsidRDefault="00CE7F43">
      <w:pPr>
        <w:pStyle w:val="pheading"/>
      </w:pPr>
      <w:r>
        <w:t>- Caractéristiques générales</w:t>
      </w:r>
    </w:p>
    <w:p w14:paraId="7BC890EE" w14:textId="77777777" w:rsidR="00DF410E" w:rsidRDefault="00CE7F43">
      <w:pPr>
        <w:jc w:val="both"/>
      </w:pPr>
      <w:r>
        <w:t>L’ensemble est un complexe réalisé en usine ou en atelier et comprend :</w:t>
      </w:r>
    </w:p>
    <w:p w14:paraId="586CF498" w14:textId="77777777" w:rsidR="00DF410E" w:rsidRDefault="00CE7F43">
      <w:pPr>
        <w:jc w:val="both"/>
      </w:pPr>
      <w:r>
        <w:rPr>
          <w:b/>
        </w:rPr>
        <w:t>Structure</w:t>
      </w:r>
    </w:p>
    <w:p w14:paraId="66F0480E" w14:textId="77777777" w:rsidR="00DF410E" w:rsidRDefault="00CE7F43">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14:paraId="2B091CF3" w14:textId="77777777" w:rsidR="00DF410E" w:rsidRDefault="00CE7F43">
      <w:pPr>
        <w:jc w:val="both"/>
      </w:pPr>
      <w:r>
        <w:t>Le bois massif répond aux spécifications de la [NBN EN 14081 série].</w:t>
      </w:r>
    </w:p>
    <w:p w14:paraId="17A86448" w14:textId="77777777" w:rsidR="00DF410E" w:rsidRDefault="00CE7F43">
      <w:pPr>
        <w:jc w:val="both"/>
      </w:pPr>
      <w:r>
        <w:t>Les bois massifs peuvent être aboutés. Les pièces constitutives du produit fini doivent être classées selon la  [NBN EN 14081 série] et les produits finis doivent être marqués selon la [NBN EN 15497].</w:t>
      </w:r>
    </w:p>
    <w:p w14:paraId="321BD501" w14:textId="77777777" w:rsidR="00DF410E" w:rsidRDefault="00CE7F43">
      <w:pPr>
        <w:jc w:val="both"/>
      </w:pPr>
      <w:r>
        <w:t>Les bois lamellé-collé doit répondre à la [NBN EN 14080].</w:t>
      </w:r>
    </w:p>
    <w:p w14:paraId="70C75FB3" w14:textId="77777777" w:rsidR="00DF410E" w:rsidRDefault="00CE7F43">
      <w:pPr>
        <w:jc w:val="both"/>
      </w:pPr>
      <w:r>
        <w:t>La classe d’emploi d’un élément est déterminée suivant la [NBN EN 335] : </w:t>
      </w:r>
      <w:r>
        <w:rPr>
          <w:rStyle w:val="optioncarChar"/>
        </w:rPr>
        <w:t>classe 1 / classe 2 </w:t>
      </w:r>
      <w:r>
        <w:t>(par défaut) </w:t>
      </w:r>
      <w:r>
        <w:rPr>
          <w:rStyle w:val="optioncarChar"/>
        </w:rPr>
        <w:t>/ classe 3.</w:t>
      </w:r>
    </w:p>
    <w:p w14:paraId="2BAF5C27" w14:textId="77777777" w:rsidR="00DF410E" w:rsidRDefault="00CE7F43">
      <w:pPr>
        <w:jc w:val="both"/>
      </w:pPr>
      <w:r>
        <w:t>La structure correspond en tout point au titre </w:t>
      </w:r>
      <w:hyperlink w:anchor="592" w:history="1">
        <w:r>
          <w:t>24.1 Eléments de structures en bois</w:t>
        </w:r>
      </w:hyperlink>
      <w:r>
        <w:t> et au sous-titre </w:t>
      </w:r>
      <w:hyperlink w:anchor="593" w:history="1">
        <w:r>
          <w:t>24.42 Assemblages mécaniques</w:t>
        </w:r>
      </w:hyperlink>
      <w:r>
        <w:t>. </w:t>
      </w:r>
    </w:p>
    <w:p w14:paraId="016EFD0B" w14:textId="77777777" w:rsidR="00DF410E" w:rsidRDefault="00CE7F43">
      <w:pPr>
        <w:jc w:val="both"/>
      </w:pPr>
      <w:r>
        <w:rPr>
          <w:b/>
        </w:rPr>
        <w:t>Panneau extérieur</w:t>
      </w:r>
    </w:p>
    <w:p w14:paraId="19EE3D4E" w14:textId="77777777" w:rsidR="00DF410E" w:rsidRDefault="00CE7F43">
      <w:pPr>
        <w:jc w:val="both"/>
      </w:pPr>
      <w:r>
        <w:t>Les panneaux extérieurs sont </w:t>
      </w:r>
      <w:r>
        <w:rPr>
          <w:rStyle w:val="optioncarChar"/>
        </w:rPr>
        <w:t>vissés </w:t>
      </w:r>
      <w:r>
        <w:t>(par défaut)</w:t>
      </w:r>
      <w:r>
        <w:rPr>
          <w:rStyle w:val="optioncarChar"/>
        </w:rPr>
        <w:t> / cloués / collés / ***.</w:t>
      </w:r>
    </w:p>
    <w:p w14:paraId="63B2968D" w14:textId="77777777" w:rsidR="00DF410E" w:rsidRDefault="00CE7F43">
      <w:pPr>
        <w:jc w:val="both"/>
      </w:pPr>
      <w:r>
        <w:t>Le panneau est </w:t>
      </w:r>
      <w:r>
        <w:rPr>
          <w:rStyle w:val="optioncarChar"/>
        </w:rPr>
        <w:t>rainuré languetté / ***</w:t>
      </w:r>
      <w:r>
        <w:t>.</w:t>
      </w:r>
    </w:p>
    <w:p w14:paraId="554693EC" w14:textId="77777777" w:rsidR="00DF410E" w:rsidRDefault="00CE7F43">
      <w:pPr>
        <w:jc w:val="both"/>
      </w:pPr>
      <w:r>
        <w:t>Conductivité thermique ≤ </w:t>
      </w:r>
      <w:r>
        <w:rPr>
          <w:rStyle w:val="optioncarChar"/>
        </w:rPr>
        <w:t>0.08 / 0.090 / 0.1 </w:t>
      </w:r>
      <w:r>
        <w:t>(par défaut)</w:t>
      </w:r>
      <w:r>
        <w:rPr>
          <w:rStyle w:val="optioncarChar"/>
        </w:rPr>
        <w:t> / *** </w:t>
      </w:r>
      <w:r>
        <w:t>W/(m.K) suivant [NBN EN 13986+A1] ou [NBN EN 13171+A1].</w:t>
      </w:r>
    </w:p>
    <w:p w14:paraId="0FA5AE16" w14:textId="77777777" w:rsidR="00DF410E" w:rsidRDefault="00CE7F43">
      <w:pPr>
        <w:jc w:val="both"/>
      </w:pPr>
      <w:r>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14:paraId="6214444D" w14:textId="77777777" w:rsidR="00DF410E" w:rsidRDefault="00CE7F43">
      <w:pPr>
        <w:jc w:val="both"/>
      </w:pPr>
      <w:r>
        <w:t>Le panneau </w:t>
      </w:r>
      <w:r>
        <w:rPr>
          <w:rStyle w:val="optioncarChar"/>
        </w:rPr>
        <w:t>fait office / ne fait pas office</w:t>
      </w:r>
      <w:r>
        <w:t> de pare-pluie. </w:t>
      </w:r>
    </w:p>
    <w:p w14:paraId="3E8D34A9" w14:textId="77777777" w:rsidR="00DF410E" w:rsidRDefault="00CE7F43">
      <w:pPr>
        <w:jc w:val="both"/>
      </w:pPr>
      <w:r>
        <w:t>Les panneaux sont constitués de panneaux</w:t>
      </w:r>
      <w:r>
        <w:rPr>
          <w:rStyle w:val="optioncarChar"/>
        </w:rPr>
        <w:t> de fibre de bois </w:t>
      </w:r>
      <w:r>
        <w:t>(par défaut) </w:t>
      </w:r>
      <w:r>
        <w:rPr>
          <w:rStyle w:val="optioncarChar"/>
        </w:rPr>
        <w:t>/ OSB / multiplex bois / CLT / ***.</w:t>
      </w:r>
    </w:p>
    <w:p w14:paraId="4A2A0672" w14:textId="77777777" w:rsidR="00DF410E" w:rsidRDefault="00CE7F43">
      <w:pPr>
        <w:ind w:left="567"/>
        <w:jc w:val="both"/>
      </w:pPr>
      <w:r>
        <w:rPr>
          <w:b/>
          <w:i/>
        </w:rPr>
        <w:t>(Soit par défaut)</w:t>
      </w:r>
    </w:p>
    <w:p w14:paraId="49460F17" w14:textId="77777777" w:rsidR="00DF410E" w:rsidRDefault="00CE7F43">
      <w:pPr>
        <w:ind w:left="567"/>
        <w:jc w:val="both"/>
      </w:pPr>
      <w:r>
        <w:rPr>
          <w:rStyle w:val="soitChar"/>
          <w:u w:val="single"/>
        </w:rPr>
        <w:t>Panneau de fibre de bois </w:t>
      </w:r>
    </w:p>
    <w:p w14:paraId="1FBDD0BB" w14:textId="77777777" w:rsidR="00DF410E" w:rsidRDefault="00CE7F43">
      <w:pPr>
        <w:ind w:left="567"/>
        <w:jc w:val="both"/>
      </w:pPr>
      <w:r>
        <w:rPr>
          <w:rStyle w:val="soitChar"/>
        </w:rPr>
        <w:t>Pour le descriptif, voir l’article </w:t>
      </w:r>
      <w:hyperlink w:anchor="594" w:history="1">
        <w:r>
          <w:rPr>
            <w:rStyle w:val="soitChar"/>
          </w:rPr>
          <w:t>24.16.1d Panneaux MDF</w:t>
        </w:r>
      </w:hyperlink>
      <w:r>
        <w:rPr>
          <w:rStyle w:val="soitChar"/>
        </w:rPr>
        <w:t>.</w:t>
      </w:r>
      <w:r>
        <w:t> </w:t>
      </w:r>
    </w:p>
    <w:p w14:paraId="4FFD5493" w14:textId="77777777" w:rsidR="00DF410E" w:rsidRDefault="00CE7F43">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44A25F8C" w14:textId="77777777" w:rsidR="00DF410E" w:rsidRDefault="00CE7F43">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24385707" w14:textId="77777777" w:rsidR="00DF410E" w:rsidRDefault="00CE7F43">
      <w:pPr>
        <w:ind w:left="567"/>
        <w:jc w:val="both"/>
      </w:pPr>
      <w:r>
        <w:rPr>
          <w:rStyle w:val="soitChar"/>
        </w:rPr>
        <w:t>Les panneaux répondent à la [NBN EN 13986+A1] et aux exigences de [NBN EN 622 série].</w:t>
      </w:r>
    </w:p>
    <w:p w14:paraId="206F60DE" w14:textId="77777777" w:rsidR="00DF410E" w:rsidRDefault="00CE7F43">
      <w:pPr>
        <w:ind w:left="567"/>
        <w:jc w:val="both"/>
      </w:pPr>
      <w:r>
        <w:rPr>
          <w:b/>
          <w:i/>
        </w:rPr>
        <w:t>(Soit)</w:t>
      </w:r>
    </w:p>
    <w:p w14:paraId="6BE3D666" w14:textId="77777777" w:rsidR="00DF410E" w:rsidRDefault="00CE7F43">
      <w:pPr>
        <w:ind w:left="567"/>
        <w:jc w:val="both"/>
      </w:pPr>
      <w:r>
        <w:rPr>
          <w:rStyle w:val="soitChar"/>
          <w:u w:val="single"/>
        </w:rPr>
        <w:t>Osb </w:t>
      </w:r>
    </w:p>
    <w:p w14:paraId="1EA4F846" w14:textId="77777777" w:rsidR="00DF410E" w:rsidRDefault="00CE7F43">
      <w:pPr>
        <w:ind w:left="567"/>
        <w:jc w:val="both"/>
      </w:pPr>
      <w:r>
        <w:rPr>
          <w:rStyle w:val="soitChar"/>
        </w:rPr>
        <w:t>Pour le descriptif, voir l’article </w:t>
      </w:r>
      <w:hyperlink w:anchor="595" w:history="1">
        <w:r>
          <w:rPr>
            <w:rStyle w:val="soitChar"/>
          </w:rPr>
          <w:t>24.16.1b Panneaux OSB</w:t>
        </w:r>
      </w:hyperlink>
      <w:r>
        <w:rPr>
          <w:rStyle w:val="soitChar"/>
        </w:rPr>
        <w:t>.</w:t>
      </w:r>
      <w:r>
        <w:t> </w:t>
      </w:r>
    </w:p>
    <w:p w14:paraId="39D55A97" w14:textId="77777777" w:rsidR="00DF410E" w:rsidRDefault="00CE7F43">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14:paraId="49011F6F" w14:textId="77777777" w:rsidR="00DF410E" w:rsidRDefault="00CE7F43">
      <w:pPr>
        <w:ind w:left="567"/>
        <w:jc w:val="both"/>
      </w:pPr>
      <w:r>
        <w:rPr>
          <w:rStyle w:val="soitChar"/>
        </w:rPr>
        <w:t>Les panneaux sont de type </w:t>
      </w:r>
      <w:r>
        <w:rPr>
          <w:rStyle w:val="optioncarChar"/>
        </w:rPr>
        <w:t>2 / 3 </w:t>
      </w:r>
      <w:r>
        <w:t>(par défaut) </w:t>
      </w:r>
      <w:r>
        <w:rPr>
          <w:rStyle w:val="optioncarChar"/>
        </w:rPr>
        <w:t>/ 4.</w:t>
      </w:r>
    </w:p>
    <w:p w14:paraId="4B1FB13A" w14:textId="77777777" w:rsidR="00DF410E" w:rsidRDefault="00CE7F43">
      <w:pPr>
        <w:ind w:left="567"/>
        <w:jc w:val="both"/>
      </w:pPr>
      <w:r>
        <w:rPr>
          <w:rStyle w:val="soitChar"/>
        </w:rPr>
        <w:t>Les panneaux sont </w:t>
      </w:r>
      <w:r>
        <w:rPr>
          <w:rStyle w:val="optioncarChar"/>
        </w:rPr>
        <w:t>à bord droit / rainurés languettés</w:t>
      </w:r>
      <w:r>
        <w:t> (par défaut). </w:t>
      </w:r>
    </w:p>
    <w:p w14:paraId="19DED7FD" w14:textId="77777777" w:rsidR="00DF410E" w:rsidRDefault="00CE7F43">
      <w:pPr>
        <w:ind w:left="567"/>
        <w:jc w:val="both"/>
      </w:pPr>
      <w:r>
        <w:rPr>
          <w:rStyle w:val="soitChar"/>
        </w:rPr>
        <w:t>Les panneaux répondent à la [NBN EN 300] et à la [NBN EN 13986+A1].</w:t>
      </w:r>
    </w:p>
    <w:p w14:paraId="1510B731" w14:textId="77777777" w:rsidR="00DF410E" w:rsidRDefault="00CE7F43">
      <w:pPr>
        <w:ind w:left="567"/>
        <w:jc w:val="both"/>
      </w:pPr>
      <w:r>
        <w:rPr>
          <w:b/>
          <w:i/>
        </w:rPr>
        <w:t>(Soit)</w:t>
      </w:r>
    </w:p>
    <w:p w14:paraId="3D5081B5" w14:textId="77777777" w:rsidR="00DF410E" w:rsidRDefault="00CE7F43">
      <w:pPr>
        <w:ind w:left="567"/>
        <w:jc w:val="both"/>
      </w:pPr>
      <w:r>
        <w:rPr>
          <w:rStyle w:val="soitChar"/>
          <w:u w:val="single"/>
        </w:rPr>
        <w:t>Panneau multiplex bois </w:t>
      </w:r>
    </w:p>
    <w:p w14:paraId="548CCB5A" w14:textId="77777777" w:rsidR="00DF410E" w:rsidRDefault="00CE7F43">
      <w:pPr>
        <w:ind w:left="567"/>
        <w:jc w:val="both"/>
      </w:pPr>
      <w:r>
        <w:rPr>
          <w:rStyle w:val="soitChar"/>
        </w:rPr>
        <w:t>Pour le descriptif, voir l’article </w:t>
      </w:r>
      <w:hyperlink w:anchor="596" w:history="1">
        <w:r>
          <w:rPr>
            <w:rStyle w:val="soitChar"/>
          </w:rPr>
          <w:t>24.16.1a Panneaux contreplaqués (PW)</w:t>
        </w:r>
      </w:hyperlink>
      <w:r>
        <w:rPr>
          <w:rStyle w:val="soitChar"/>
        </w:rPr>
        <w:t>.</w:t>
      </w:r>
      <w:r>
        <w:t> </w:t>
      </w:r>
    </w:p>
    <w:p w14:paraId="38622A4A" w14:textId="77777777" w:rsidR="00DF410E" w:rsidRDefault="00CE7F43">
      <w:pPr>
        <w:ind w:left="567"/>
        <w:jc w:val="both"/>
      </w:pPr>
      <w:r>
        <w:rPr>
          <w:rStyle w:val="soitChar"/>
        </w:rPr>
        <w:t>Le multiplex est en bois </w:t>
      </w:r>
      <w:r>
        <w:rPr>
          <w:rStyle w:val="optioncarChar"/>
        </w:rPr>
        <w:t>feuillus / résineux. </w:t>
      </w:r>
    </w:p>
    <w:p w14:paraId="28FD369F" w14:textId="77777777" w:rsidR="00DF410E" w:rsidRDefault="00CE7F43">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14:paraId="15252E28" w14:textId="77777777" w:rsidR="00DF410E" w:rsidRDefault="00CE7F43">
      <w:pPr>
        <w:ind w:left="567"/>
        <w:jc w:val="both"/>
      </w:pPr>
      <w:r>
        <w:rPr>
          <w:rStyle w:val="soitChar"/>
        </w:rPr>
        <w:t>Les panneaux sont </w:t>
      </w:r>
      <w:r>
        <w:rPr>
          <w:rStyle w:val="optioncarChar"/>
        </w:rPr>
        <w:t>à bord droit / rainurés languettés </w:t>
      </w:r>
      <w:r>
        <w:t>(par défaut)</w:t>
      </w:r>
      <w:r>
        <w:rPr>
          <w:rStyle w:val="soitChar"/>
        </w:rPr>
        <w:t>.</w:t>
      </w:r>
    </w:p>
    <w:p w14:paraId="4E687771" w14:textId="77777777" w:rsidR="00DF410E" w:rsidRDefault="00CE7F43">
      <w:pPr>
        <w:ind w:left="567"/>
        <w:jc w:val="both"/>
      </w:pPr>
      <w:r>
        <w:rPr>
          <w:b/>
          <w:i/>
        </w:rPr>
        <w:t>(Soit)</w:t>
      </w:r>
    </w:p>
    <w:p w14:paraId="18BB0BC3" w14:textId="77777777" w:rsidR="00DF410E" w:rsidRDefault="00CE7F43">
      <w:pPr>
        <w:ind w:left="567"/>
        <w:jc w:val="both"/>
      </w:pPr>
      <w:r>
        <w:rPr>
          <w:rStyle w:val="soitChar"/>
          <w:u w:val="single"/>
        </w:rPr>
        <w:t>CLT </w:t>
      </w:r>
    </w:p>
    <w:p w14:paraId="5ABEE5EB" w14:textId="77777777" w:rsidR="00DF410E" w:rsidRDefault="00CE7F43">
      <w:pPr>
        <w:ind w:left="567"/>
        <w:jc w:val="both"/>
      </w:pPr>
      <w:r>
        <w:rPr>
          <w:rStyle w:val="soitChar"/>
        </w:rPr>
        <w:t>Les panneaux répondent à la [NBN EN 16351].</w:t>
      </w:r>
      <w:r>
        <w:t> </w:t>
      </w:r>
    </w:p>
    <w:p w14:paraId="68875D68" w14:textId="77777777" w:rsidR="00DF410E" w:rsidRDefault="00CE7F43">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2C175458" w14:textId="77777777" w:rsidR="00DF410E" w:rsidRDefault="00CE7F43">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160B8D96" w14:textId="77777777" w:rsidR="00DF410E" w:rsidRDefault="00CE7F43">
      <w:pPr>
        <w:ind w:left="567"/>
        <w:jc w:val="both"/>
      </w:pPr>
      <w:r>
        <w:rPr>
          <w:b/>
          <w:i/>
        </w:rPr>
        <w:t>(Soit)</w:t>
      </w:r>
    </w:p>
    <w:p w14:paraId="54437042" w14:textId="77777777" w:rsidR="00DF410E" w:rsidRDefault="00CE7F43">
      <w:pPr>
        <w:ind w:left="567"/>
        <w:jc w:val="both"/>
      </w:pPr>
      <w:r>
        <w:rPr>
          <w:rStyle w:val="optioncarChar"/>
        </w:rPr>
        <w:t>***</w:t>
      </w:r>
      <w:r>
        <w:t> </w:t>
      </w:r>
    </w:p>
    <w:p w14:paraId="3A3679BB" w14:textId="77777777" w:rsidR="00DF410E" w:rsidRDefault="00CE7F43">
      <w:pPr>
        <w:jc w:val="both"/>
      </w:pPr>
      <w:r>
        <w:t>Le panneau extérieur est </w:t>
      </w:r>
      <w:r>
        <w:rPr>
          <w:rStyle w:val="optioncarChar"/>
        </w:rPr>
        <w:t>contreventant / non contreventant</w:t>
      </w:r>
      <w:r>
        <w:t> (par défaut).</w:t>
      </w:r>
    </w:p>
    <w:p w14:paraId="56E8C809" w14:textId="77777777" w:rsidR="00DF410E" w:rsidRDefault="00CE7F43">
      <w:pPr>
        <w:ind w:left="567"/>
        <w:jc w:val="both"/>
      </w:pPr>
      <w:r>
        <w:rPr>
          <w:b/>
          <w:i/>
        </w:rPr>
        <w:t>(Soit)</w:t>
      </w:r>
    </w:p>
    <w:p w14:paraId="3B4ED796" w14:textId="77777777" w:rsidR="00DF410E" w:rsidRDefault="00CE7F43">
      <w:pPr>
        <w:ind w:left="567"/>
        <w:jc w:val="both"/>
      </w:pPr>
      <w:r>
        <w:rPr>
          <w:rStyle w:val="soitChar"/>
          <w:u w:val="single"/>
        </w:rPr>
        <w:t>Contreventant</w:t>
      </w:r>
    </w:p>
    <w:p w14:paraId="5AB178EC" w14:textId="77777777" w:rsidR="00DF410E" w:rsidRDefault="00CE7F43">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14:paraId="6578D0FF" w14:textId="77777777" w:rsidR="00DF410E" w:rsidRDefault="00CE7F43">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66F6A99D" w14:textId="77777777" w:rsidR="00DF410E" w:rsidRDefault="00CE7F43">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1FD5EA37" w14:textId="77777777" w:rsidR="00DF410E" w:rsidRDefault="00CE7F43">
      <w:pPr>
        <w:ind w:left="567"/>
        <w:jc w:val="both"/>
      </w:pPr>
      <w:r>
        <w:rPr>
          <w:b/>
          <w:i/>
        </w:rPr>
        <w:t>(Soit par défaut)</w:t>
      </w:r>
    </w:p>
    <w:p w14:paraId="6C871552" w14:textId="77777777" w:rsidR="00DF410E" w:rsidRDefault="00CE7F43">
      <w:pPr>
        <w:ind w:left="567"/>
        <w:jc w:val="both"/>
      </w:pPr>
      <w:r>
        <w:rPr>
          <w:rStyle w:val="soitChar"/>
          <w:u w:val="single"/>
        </w:rPr>
        <w:t>Non-contreventant</w:t>
      </w:r>
    </w:p>
    <w:p w14:paraId="1549E6B9" w14:textId="77777777" w:rsidR="00DF410E" w:rsidRDefault="00CE7F43">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4F250B77" w14:textId="77777777" w:rsidR="00DF410E" w:rsidRDefault="00CE7F43">
      <w:pPr>
        <w:jc w:val="both"/>
      </w:pPr>
      <w:r>
        <w:rPr>
          <w:b/>
        </w:rPr>
        <w:t>Remplissage paille</w:t>
      </w:r>
    </w:p>
    <w:p w14:paraId="5B35C047" w14:textId="77777777" w:rsidR="00DF410E" w:rsidRDefault="00CE7F43">
      <w:pPr>
        <w:jc w:val="both"/>
      </w:pPr>
      <w:r>
        <w:t xml:space="preserve">Remplissage </w:t>
      </w:r>
      <w:r>
        <w:rPr>
          <w:rStyle w:val="optioncarChar"/>
        </w:rPr>
        <w:t>en vrac / par botte</w:t>
      </w:r>
      <w:r>
        <w:t xml:space="preserve"> (par défaut) de paille de l’ossature.</w:t>
      </w:r>
    </w:p>
    <w:p w14:paraId="381E3AC9" w14:textId="77777777" w:rsidR="00DF410E" w:rsidRDefault="00CE7F43">
      <w:pPr>
        <w:jc w:val="both"/>
      </w:pPr>
      <w:r>
        <w:t xml:space="preserve">Epaisseur </w:t>
      </w:r>
      <w:r>
        <w:rPr>
          <w:rStyle w:val="optioncarChar"/>
        </w:rPr>
        <w:t>345 / 370 / 460</w:t>
      </w:r>
      <w:r>
        <w:t xml:space="preserve"> (par défaut)</w:t>
      </w:r>
      <w:r>
        <w:rPr>
          <w:rStyle w:val="optioncarChar"/>
        </w:rPr>
        <w:t xml:space="preserve"> / 470 / ***</w:t>
      </w:r>
      <w:r>
        <w:t xml:space="preserve"> mm.</w:t>
      </w:r>
    </w:p>
    <w:p w14:paraId="7AC2066F" w14:textId="77777777" w:rsidR="00DF410E" w:rsidRDefault="00CE7F43">
      <w:pPr>
        <w:jc w:val="both"/>
      </w:pPr>
      <w:r>
        <w:t xml:space="preserve">Largeur </w:t>
      </w:r>
      <w:r>
        <w:rPr>
          <w:rStyle w:val="optioncarChar"/>
        </w:rPr>
        <w:t xml:space="preserve">345 </w:t>
      </w:r>
      <w:r>
        <w:t xml:space="preserve">(par défaut) </w:t>
      </w:r>
      <w:r>
        <w:rPr>
          <w:rStyle w:val="optioncarChar"/>
        </w:rPr>
        <w:t>/ 370 / 460 / 470 / ***</w:t>
      </w:r>
      <w:r>
        <w:t xml:space="preserve"> mm.</w:t>
      </w:r>
    </w:p>
    <w:p w14:paraId="007DD33A" w14:textId="77777777" w:rsidR="00DF410E" w:rsidRDefault="00CE7F43">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14:paraId="761D1822" w14:textId="77777777" w:rsidR="00DF410E" w:rsidRDefault="00CE7F43">
      <w:pPr>
        <w:jc w:val="both"/>
      </w:pPr>
      <w:r>
        <w:t xml:space="preserve">Conductivité thermique ≤ </w:t>
      </w:r>
      <w:r>
        <w:rPr>
          <w:rStyle w:val="optioncarChar"/>
        </w:rPr>
        <w:t xml:space="preserve">0.048 / 0.06 / 0.08 / 0.090 </w:t>
      </w:r>
      <w:r>
        <w:t xml:space="preserve">(par défaut) </w:t>
      </w:r>
      <w:r>
        <w:rPr>
          <w:rStyle w:val="optioncarChar"/>
        </w:rPr>
        <w:t>/ 0.1 </w:t>
      </w:r>
      <w:r>
        <w:t>W/(m.K) suivant la norme [EN 12667].</w:t>
      </w:r>
    </w:p>
    <w:p w14:paraId="5533B5CE" w14:textId="77777777" w:rsidR="00DF410E" w:rsidRDefault="00CE7F43">
      <w:pPr>
        <w:jc w:val="both"/>
      </w:pPr>
      <w:r>
        <w:t>Humidité relative &lt; 20% sur masse sèche.</w:t>
      </w:r>
    </w:p>
    <w:p w14:paraId="3BD282F7" w14:textId="77777777" w:rsidR="00DF410E" w:rsidRDefault="00CE7F43">
      <w:pPr>
        <w:jc w:val="both"/>
      </w:pPr>
      <w:r>
        <w:t>Absence totale de traces et d’odeurs d’humidité et de moisissure.</w:t>
      </w:r>
    </w:p>
    <w:p w14:paraId="15F7237C" w14:textId="77777777" w:rsidR="00DF410E" w:rsidRDefault="00CE7F43">
      <w:pPr>
        <w:jc w:val="both"/>
      </w:pPr>
      <w:r>
        <w:t>Ballots composés de paille non déchiquetée (longueurs des brins &gt; 150 mm, idéalement 300-450 mm).</w:t>
      </w:r>
    </w:p>
    <w:p w14:paraId="45191926" w14:textId="77777777" w:rsidR="00DF410E" w:rsidRDefault="00CE7F43">
      <w:pPr>
        <w:jc w:val="both"/>
      </w:pPr>
      <w:r>
        <w:t>Déformation des bottes &lt; 10% sur la longueur, la largeur et la hauteur.</w:t>
      </w:r>
    </w:p>
    <w:p w14:paraId="6EE69D1F" w14:textId="77777777" w:rsidR="00DF410E" w:rsidRDefault="00CE7F43">
      <w:pPr>
        <w:jc w:val="both"/>
      </w:pPr>
      <w:r>
        <w:t>Compression de la botte assurée par au moins 2 liens de ficelle type 350 ou équivalent en résistance. Les nœuds ne doivent pas glisser.</w:t>
      </w:r>
    </w:p>
    <w:p w14:paraId="202691B2" w14:textId="77777777" w:rsidR="00DF410E" w:rsidRDefault="00CE7F43">
      <w:pPr>
        <w:jc w:val="both"/>
      </w:pPr>
      <w:r>
        <w:t>Aucun espace vide entre ballots. Les creux doivent être comblés avec de la paille fortement compressée ou un isolant semi-rigide biosourcé.</w:t>
      </w:r>
    </w:p>
    <w:p w14:paraId="02B00EA4" w14:textId="77777777" w:rsidR="00DF410E" w:rsidRDefault="00CE7F43">
      <w:pPr>
        <w:jc w:val="both"/>
      </w:pPr>
      <w:r>
        <w:t xml:space="preserve">La paille </w:t>
      </w:r>
      <w:r>
        <w:rPr>
          <w:rStyle w:val="optioncarChar"/>
        </w:rPr>
        <w:t>peut / ne peut</w:t>
      </w:r>
      <w:r>
        <w:t xml:space="preserve"> (par défaut) pas contenir des pesticides</w:t>
      </w:r>
    </w:p>
    <w:p w14:paraId="372E6D2A" w14:textId="77777777" w:rsidR="00DF410E" w:rsidRDefault="00CE7F43">
      <w:pPr>
        <w:jc w:val="both"/>
      </w:pPr>
      <w:r>
        <w:rPr>
          <w:b/>
        </w:rPr>
        <w:t>Finition intérieure</w:t>
      </w:r>
    </w:p>
    <w:p w14:paraId="0B1EB7F5" w14:textId="77777777" w:rsidR="00DF410E" w:rsidRDefault="00CE7F43">
      <w:pPr>
        <w:jc w:val="both"/>
      </w:pPr>
      <w:r>
        <w:t xml:space="preserve">La finition intérieure formant le caisson est en </w:t>
      </w:r>
      <w:r>
        <w:rPr>
          <w:rStyle w:val="optioncarChar"/>
        </w:rPr>
        <w:t xml:space="preserve">multiplex bois </w:t>
      </w:r>
      <w:r>
        <w:t>(par défaut)</w:t>
      </w:r>
      <w:r>
        <w:rPr>
          <w:rStyle w:val="optioncarChar"/>
        </w:rPr>
        <w:t xml:space="preserve"> / osb / enduit à l’argile / ***.</w:t>
      </w:r>
    </w:p>
    <w:p w14:paraId="3483F85D" w14:textId="77777777" w:rsidR="00DF410E" w:rsidRDefault="00CE7F43">
      <w:pPr>
        <w:ind w:left="567"/>
        <w:jc w:val="both"/>
      </w:pPr>
      <w:r>
        <w:rPr>
          <w:b/>
          <w:i/>
        </w:rPr>
        <w:t>(Soit par défaut)</w:t>
      </w:r>
    </w:p>
    <w:p w14:paraId="45DBD0C4" w14:textId="77777777" w:rsidR="00DF410E" w:rsidRDefault="00CE7F43">
      <w:pPr>
        <w:ind w:left="567"/>
        <w:jc w:val="both"/>
      </w:pPr>
      <w:r>
        <w:rPr>
          <w:rStyle w:val="soitChar"/>
          <w:u w:val="single"/>
        </w:rPr>
        <w:t>Panneau multiplex bois</w:t>
      </w:r>
    </w:p>
    <w:p w14:paraId="1CE4C5E6" w14:textId="77777777" w:rsidR="00DF410E" w:rsidRDefault="00CE7F43">
      <w:pPr>
        <w:ind w:left="567"/>
        <w:jc w:val="both"/>
      </w:pPr>
      <w:r>
        <w:rPr>
          <w:rStyle w:val="soitChar"/>
        </w:rPr>
        <w:t xml:space="preserve">Le multiplex est en bois </w:t>
      </w:r>
      <w:r>
        <w:rPr>
          <w:rStyle w:val="optioncarChar"/>
        </w:rPr>
        <w:t>feuillus / résineux</w:t>
      </w:r>
      <w:r>
        <w:rPr>
          <w:rStyle w:val="soitChar"/>
        </w:rPr>
        <w:t>.</w:t>
      </w:r>
    </w:p>
    <w:p w14:paraId="0F88C21A" w14:textId="77777777" w:rsidR="00DF410E" w:rsidRDefault="00CE7F43">
      <w:pPr>
        <w:ind w:left="567"/>
        <w:jc w:val="both"/>
      </w:pPr>
      <w:r>
        <w:rPr>
          <w:rStyle w:val="soitChar"/>
        </w:rPr>
        <w:t xml:space="preserve">Les panneaux ont une épaisseur de </w:t>
      </w:r>
      <w:r>
        <w:rPr>
          <w:rStyle w:val="optioncarChar"/>
        </w:rPr>
        <w:t xml:space="preserve">14 / 16 </w:t>
      </w:r>
      <w:r>
        <w:t>(par défaut)</w:t>
      </w:r>
      <w:r>
        <w:rPr>
          <w:rStyle w:val="optioncarChar"/>
        </w:rPr>
        <w:t xml:space="preserve"> / 19 / 21 / 27 / ***</w:t>
      </w:r>
      <w:r>
        <w:rPr>
          <w:rStyle w:val="soitChar"/>
        </w:rPr>
        <w:t xml:space="preserve"> mm.</w:t>
      </w:r>
    </w:p>
    <w:p w14:paraId="0C8B261B" w14:textId="77777777" w:rsidR="00DF410E" w:rsidRDefault="00CE7F43">
      <w:pPr>
        <w:ind w:left="567"/>
        <w:jc w:val="both"/>
      </w:pPr>
      <w:r>
        <w:rPr>
          <w:rStyle w:val="soitChar"/>
        </w:rPr>
        <w:t xml:space="preserve">Les panneaux sont </w:t>
      </w:r>
      <w:r>
        <w:rPr>
          <w:rStyle w:val="optioncarChar"/>
        </w:rPr>
        <w:t xml:space="preserve">à bord droit / rainurés et languettés </w:t>
      </w:r>
      <w:r>
        <w:t>(par défaut).</w:t>
      </w:r>
    </w:p>
    <w:p w14:paraId="5141984C" w14:textId="77777777" w:rsidR="00DF410E" w:rsidRDefault="00CE7F43">
      <w:pPr>
        <w:ind w:left="567"/>
        <w:jc w:val="both"/>
      </w:pPr>
      <w:r>
        <w:rPr>
          <w:b/>
          <w:i/>
        </w:rPr>
        <w:t>(Soit)</w:t>
      </w:r>
    </w:p>
    <w:p w14:paraId="5C7C882E" w14:textId="77777777" w:rsidR="00DF410E" w:rsidRDefault="00CE7F43">
      <w:pPr>
        <w:ind w:left="567"/>
        <w:jc w:val="both"/>
      </w:pPr>
      <w:r>
        <w:rPr>
          <w:rStyle w:val="soitChar"/>
          <w:u w:val="single"/>
        </w:rPr>
        <w:t>Osb</w:t>
      </w:r>
    </w:p>
    <w:p w14:paraId="30812E1E" w14:textId="77777777" w:rsidR="00DF410E" w:rsidRDefault="00CE7F43">
      <w:pPr>
        <w:ind w:left="567"/>
        <w:jc w:val="both"/>
      </w:pPr>
      <w:r>
        <w:rPr>
          <w:rStyle w:val="soitChar"/>
        </w:rPr>
        <w:t xml:space="preserve">Pour le descriptif, voir l’article </w:t>
      </w:r>
      <w:hyperlink w:anchor="595" w:history="1">
        <w:r>
          <w:rPr>
            <w:rStyle w:val="soitChar"/>
          </w:rPr>
          <w:t>24.16.1b Panneaux OSB</w:t>
        </w:r>
      </w:hyperlink>
    </w:p>
    <w:p w14:paraId="66D313D5" w14:textId="77777777" w:rsidR="00DF410E" w:rsidRDefault="00CE7F43">
      <w:pPr>
        <w:ind w:left="567"/>
        <w:jc w:val="both"/>
      </w:pPr>
      <w:r>
        <w:rPr>
          <w:rStyle w:val="soitChar"/>
        </w:rPr>
        <w:t>Les panneaux sont</w:t>
      </w:r>
      <w:r>
        <w:rPr>
          <w:rStyle w:val="optioncarChar"/>
        </w:rPr>
        <w:t xml:space="preserve"> à bord droit / rainurés languettés </w:t>
      </w:r>
      <w:r>
        <w:t>(par défaut).</w:t>
      </w:r>
    </w:p>
    <w:p w14:paraId="4AACB18A" w14:textId="77777777" w:rsidR="00DF410E" w:rsidRDefault="00CE7F43">
      <w:pPr>
        <w:ind w:left="567"/>
        <w:jc w:val="both"/>
      </w:pPr>
      <w:r>
        <w:rPr>
          <w:rStyle w:val="soitChar"/>
        </w:rPr>
        <w:t>Les panneaux répondent à la [NBN EN 300] et à la [NBN EN 13986+A1].</w:t>
      </w:r>
    </w:p>
    <w:p w14:paraId="5E23C8D5" w14:textId="77777777" w:rsidR="00DF410E" w:rsidRDefault="00CE7F43">
      <w:pPr>
        <w:ind w:left="567"/>
        <w:jc w:val="both"/>
      </w:pPr>
      <w:r>
        <w:rPr>
          <w:b/>
          <w:i/>
        </w:rPr>
        <w:t>(Soit)</w:t>
      </w:r>
    </w:p>
    <w:p w14:paraId="1DDC7B15" w14:textId="77777777" w:rsidR="00DF410E" w:rsidRDefault="00CE7F43">
      <w:pPr>
        <w:ind w:left="567"/>
        <w:jc w:val="both"/>
      </w:pPr>
      <w:r>
        <w:rPr>
          <w:rStyle w:val="soitChar"/>
          <w:u w:val="single"/>
        </w:rPr>
        <w:t>Enduit à l’argile</w:t>
      </w:r>
    </w:p>
    <w:p w14:paraId="2E6A9717" w14:textId="77777777" w:rsidR="00DF410E" w:rsidRDefault="00CE7F43">
      <w:pPr>
        <w:ind w:left="567"/>
        <w:jc w:val="both"/>
      </w:pPr>
      <w:r>
        <w:rPr>
          <w:rStyle w:val="soitChar"/>
        </w:rPr>
        <w:t xml:space="preserve">L’enduit intérieur est constitué d’une couche de corps en argile de minimum </w:t>
      </w:r>
      <w:r>
        <w:rPr>
          <w:rStyle w:val="optioncarChar"/>
        </w:rPr>
        <w:t xml:space="preserve">3 </w:t>
      </w:r>
      <w:r>
        <w:t>(par défaut)</w:t>
      </w:r>
      <w:r>
        <w:rPr>
          <w:rStyle w:val="optioncarChar"/>
        </w:rPr>
        <w:t xml:space="preserve"> / 4 / 5 / ***</w:t>
      </w:r>
      <w:r>
        <w:rPr>
          <w:rStyle w:val="soitChar"/>
        </w:rPr>
        <w:t xml:space="preserve"> cm d’argile non lissé exécutée sur chantier.</w:t>
      </w:r>
    </w:p>
    <w:p w14:paraId="4A332B9D" w14:textId="77777777" w:rsidR="00DF410E" w:rsidRDefault="00CE7F43">
      <w:pPr>
        <w:ind w:left="567"/>
        <w:jc w:val="both"/>
      </w:pPr>
      <w:r>
        <w:rPr>
          <w:rStyle w:val="soitChar"/>
        </w:rPr>
        <w:t xml:space="preserve">La masse volumique de l’enduit est de minimum </w:t>
      </w:r>
      <w:r>
        <w:rPr>
          <w:rStyle w:val="optioncarChar"/>
        </w:rPr>
        <w:t>1800 / 2000 / 2200</w:t>
      </w:r>
      <w:r>
        <w:t xml:space="preserve"> (par défaut)</w:t>
      </w:r>
      <w:r>
        <w:rPr>
          <w:rStyle w:val="soitChar"/>
        </w:rPr>
        <w:t xml:space="preserve"> kg/m³</w:t>
      </w:r>
    </w:p>
    <w:p w14:paraId="281D1335" w14:textId="77777777" w:rsidR="00DF410E" w:rsidRDefault="00CE7F43">
      <w:pPr>
        <w:ind w:left="567"/>
        <w:jc w:val="both"/>
      </w:pPr>
      <w:r>
        <w:rPr>
          <w:rStyle w:val="soitChar"/>
        </w:rPr>
        <w:t>L’enduit de corps respectera la [NIT 284] (Enduits intérieurs) pour les critères de réception des supports.</w:t>
      </w:r>
    </w:p>
    <w:p w14:paraId="7E76A4AD" w14:textId="77777777" w:rsidR="00DF410E" w:rsidRDefault="00CE7F43">
      <w:pPr>
        <w:ind w:left="567"/>
        <w:jc w:val="both"/>
      </w:pPr>
      <w:r>
        <w:rPr>
          <w:rStyle w:val="soitChar"/>
        </w:rPr>
        <w:t xml:space="preserve">Voir </w:t>
      </w:r>
      <w:hyperlink r:id="rId288" w:history="1" w:docLocation="599">
        <w:r>
          <w:rPr>
            <w:rStyle w:val="soitChar"/>
          </w:rPr>
          <w:t>51.56.1a Enduits à base d'argile</w:t>
        </w:r>
      </w:hyperlink>
      <w:r>
        <w:rPr>
          <w:rStyle w:val="soitChar"/>
        </w:rPr>
        <w:t>.</w:t>
      </w:r>
    </w:p>
    <w:p w14:paraId="28988B8B" w14:textId="77777777" w:rsidR="00DF410E" w:rsidRDefault="00CE7F43">
      <w:pPr>
        <w:ind w:left="567"/>
        <w:jc w:val="both"/>
      </w:pPr>
      <w:r>
        <w:rPr>
          <w:b/>
          <w:i/>
        </w:rPr>
        <w:t>(Soit)</w:t>
      </w:r>
    </w:p>
    <w:p w14:paraId="7F2E0F5C" w14:textId="77777777" w:rsidR="00DF410E" w:rsidRDefault="00CE7F43">
      <w:pPr>
        <w:ind w:left="567"/>
        <w:jc w:val="both"/>
      </w:pPr>
      <w:r>
        <w:rPr>
          <w:rStyle w:val="optioncarChar"/>
        </w:rPr>
        <w:t>***</w:t>
      </w:r>
    </w:p>
    <w:p w14:paraId="251041A5" w14:textId="77777777" w:rsidR="00DF410E" w:rsidRDefault="00CE7F43">
      <w:pPr>
        <w:jc w:val="both"/>
      </w:pPr>
      <w:r>
        <w:t xml:space="preserve">La réaction au feu est de classe </w:t>
      </w:r>
      <w:r>
        <w:rPr>
          <w:rStyle w:val="optioncarChar"/>
        </w:rPr>
        <w:t xml:space="preserve">D-s2, d0 </w:t>
      </w:r>
      <w:r>
        <w:t>(par défaut)</w:t>
      </w:r>
      <w:r>
        <w:rPr>
          <w:rStyle w:val="optioncarChar"/>
        </w:rPr>
        <w:t xml:space="preserve"> / ***.</w:t>
      </w:r>
    </w:p>
    <w:p w14:paraId="7BB32F47" w14:textId="77777777" w:rsidR="00DF410E" w:rsidRDefault="00CE7F43">
      <w:pPr>
        <w:pStyle w:val="pheading"/>
      </w:pPr>
      <w:r>
        <w:t>- Finitions</w:t>
      </w:r>
    </w:p>
    <w:p w14:paraId="2429BCEB" w14:textId="77777777" w:rsidR="00DF410E" w:rsidRDefault="00CE7F43">
      <w:pPr>
        <w:jc w:val="both"/>
      </w:pPr>
      <w:r>
        <w:t xml:space="preserve">Le panneau intérieur </w:t>
      </w:r>
      <w:r>
        <w:rPr>
          <w:rStyle w:val="optioncarChar"/>
        </w:rPr>
        <w:t>reste visible sans défaut</w:t>
      </w:r>
      <w:r>
        <w:t xml:space="preserve"> (par défaut) </w:t>
      </w:r>
      <w:r>
        <w:rPr>
          <w:rStyle w:val="optioncarChar"/>
        </w:rPr>
        <w:t>/ est peint / est recouvert d’une plaque de plâtre / ***</w:t>
      </w:r>
      <w:r>
        <w:t>.</w:t>
      </w:r>
    </w:p>
    <w:p w14:paraId="70413C3D" w14:textId="77777777" w:rsidR="00DF410E" w:rsidRDefault="00CE7F43">
      <w:pPr>
        <w:jc w:val="both"/>
      </w:pPr>
      <w:r>
        <w:t>La peinture ou les plaques de plâtre éventuelles sont comprises dans un autre article.</w:t>
      </w:r>
    </w:p>
    <w:p w14:paraId="11B0EB32" w14:textId="77777777" w:rsidR="00DF410E" w:rsidRDefault="00CE7F43">
      <w:pPr>
        <w:jc w:val="both"/>
      </w:pPr>
      <w:r>
        <w:t>L’enduit de finition en argile ne fait pas partie de cet article.</w:t>
      </w:r>
    </w:p>
    <w:p w14:paraId="4B3B9A88" w14:textId="77777777" w:rsidR="00DF410E" w:rsidRDefault="00CE7F43">
      <w:pPr>
        <w:pStyle w:val="pheading"/>
      </w:pPr>
      <w:r>
        <w:t>- Prescriptions complémentaires</w:t>
      </w:r>
    </w:p>
    <w:p w14:paraId="48A4242E" w14:textId="77777777" w:rsidR="00DF410E" w:rsidRDefault="00CE7F43">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14:paraId="5C0CCB35" w14:textId="77777777" w:rsidR="00DF410E" w:rsidRDefault="00CE7F43">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EMICODE EC 1 </w:t>
      </w:r>
      <w:r>
        <w:t>(par défaut)</w:t>
      </w:r>
      <w:r>
        <w:rPr>
          <w:rStyle w:val="optioncarChar"/>
        </w:rPr>
        <w:t> / au label EMICODE EC 2 / ***</w:t>
      </w:r>
      <w:r>
        <w:rPr>
          <w:rStyle w:val="facultChar"/>
        </w:rPr>
        <w:t>.</w:t>
      </w:r>
    </w:p>
    <w:p w14:paraId="71DC8991" w14:textId="77777777" w:rsidR="00DF410E" w:rsidRDefault="00CE7F43">
      <w:pPr>
        <w:pStyle w:val="pheading"/>
      </w:pPr>
      <w:r>
        <w:t>EXÉCUTION / MISE EN ŒUVRE</w:t>
      </w:r>
    </w:p>
    <w:p w14:paraId="34966D4C" w14:textId="77777777" w:rsidR="00DF410E" w:rsidRDefault="00CE7F43">
      <w:pPr>
        <w:pStyle w:val="pheading"/>
      </w:pPr>
      <w:r>
        <w:t>- Prescriptions générales</w:t>
      </w:r>
    </w:p>
    <w:p w14:paraId="09EBCC90" w14:textId="77777777" w:rsidR="00DF410E" w:rsidRDefault="00CE7F43">
      <w:pPr>
        <w:jc w:val="both"/>
      </w:pPr>
      <w:r>
        <w:t>Les sections de l’ossature préfabriquée et les modes de jonctions de ces parois font l’objet d’une validation par un bureau d’ingénieur.</w:t>
      </w:r>
    </w:p>
    <w:p w14:paraId="36135C85" w14:textId="77777777" w:rsidR="00DF410E" w:rsidRDefault="00CE7F43">
      <w:pPr>
        <w:jc w:val="both"/>
      </w:pPr>
      <w:r>
        <w:t>Tous les assemblages mécaniques structuraux sont dimensionnés selon les principes de l’Eurocode 5 [NBN EN 1995-1-1].</w:t>
      </w:r>
    </w:p>
    <w:p w14:paraId="1FD13A9A" w14:textId="77777777" w:rsidR="00DF410E" w:rsidRDefault="00CE7F43">
      <w:pPr>
        <w:jc w:val="both"/>
      </w:pPr>
      <w:r>
        <w:t>Sauf indication contraire, tous les bâtiments ou parties de bâtiments construits en bois doivent respecter les tolérances de mise en œuvre énoncées dans la [STS 23-1].</w:t>
      </w:r>
    </w:p>
    <w:p w14:paraId="38C1E915" w14:textId="77777777" w:rsidR="00DF410E" w:rsidRDefault="00CE7F43">
      <w:pPr>
        <w:jc w:val="both"/>
      </w:pPr>
      <w:r>
        <w:t>Dans le cas d’un bâtiment bas (H&lt;10) en ossature bois, les tolérances de mise en œuvre listées dans la [STS 23-1] doivent aussi être respectées.</w:t>
      </w:r>
    </w:p>
    <w:p w14:paraId="02179AE2" w14:textId="77777777" w:rsidR="00DF410E" w:rsidRDefault="00CE7F43">
      <w:pPr>
        <w:jc w:val="both"/>
      </w:pPr>
      <w:r>
        <w:t>Les faces de la cloison sont protégées pour permettre le transport de l’élément préfabriqué.</w:t>
      </w:r>
    </w:p>
    <w:p w14:paraId="5E9D71D1" w14:textId="77777777" w:rsidR="00DF410E" w:rsidRDefault="00CE7F43">
      <w:pPr>
        <w:jc w:val="both"/>
      </w:pPr>
      <w:r>
        <w:rPr>
          <w:b/>
        </w:rPr>
        <w:t>Pare-vapeur – frein vapeur</w:t>
      </w:r>
    </w:p>
    <w:p w14:paraId="59245517" w14:textId="77777777" w:rsidR="00DF410E" w:rsidRDefault="00CE7F43">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14:paraId="61E12EFE" w14:textId="77777777" w:rsidR="00DF410E" w:rsidRDefault="00CE7F43">
      <w:pPr>
        <w:jc w:val="both"/>
      </w:pPr>
      <w:r>
        <w:t>Pour le descriptif des bandes adhésive, voir article </w:t>
      </w:r>
      <w:hyperlink r:id="rId289" w:history="1" w:docLocation="597">
        <w:r>
          <w:t>32.23.1c Bandes adhésives d'étanchéité à l'air et à la vapeur en polyéthylène</w:t>
        </w:r>
      </w:hyperlink>
      <w:r>
        <w:t>.</w:t>
      </w:r>
    </w:p>
    <w:p w14:paraId="16D4A5BC" w14:textId="77777777" w:rsidR="00DF410E" w:rsidRDefault="00CE7F43">
      <w:pPr>
        <w:jc w:val="both"/>
      </w:pPr>
      <w:r>
        <w:rPr>
          <w:b/>
        </w:rPr>
        <w:t>Assemblages</w:t>
      </w:r>
    </w:p>
    <w:p w14:paraId="76E6E081" w14:textId="77777777" w:rsidR="00DF410E" w:rsidRDefault="00CE7F43">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123FB272" w14:textId="77777777" w:rsidR="00DF410E" w:rsidRDefault="00CE7F43">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14:paraId="30AD8360" w14:textId="77777777" w:rsidR="00DF410E" w:rsidRDefault="00CE7F43">
      <w:pPr>
        <w:jc w:val="both"/>
      </w:pPr>
      <w:r>
        <w:rPr>
          <w:b/>
        </w:rPr>
        <w:t>Fixation en pied de mur</w:t>
      </w:r>
    </w:p>
    <w:p w14:paraId="0B95CA0D" w14:textId="77777777" w:rsidR="00DF410E" w:rsidRDefault="00CE7F43">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14:paraId="0C7515D7" w14:textId="77777777" w:rsidR="00DF410E" w:rsidRDefault="00CE7F43">
      <w:pPr>
        <w:ind w:left="567"/>
        <w:jc w:val="both"/>
      </w:pPr>
      <w:r>
        <w:rPr>
          <w:b/>
          <w:i/>
        </w:rPr>
        <w:t>(Soit par défaut)</w:t>
      </w:r>
    </w:p>
    <w:p w14:paraId="02D386AA" w14:textId="77777777" w:rsidR="00DF410E" w:rsidRDefault="00CE7F43">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lisse de pose est décrite dans l’article </w:t>
      </w:r>
      <w:hyperlink w:anchor="590" w:history="1">
        <w:r>
          <w:rPr>
            <w:rStyle w:val="soitChar"/>
          </w:rPr>
          <w:t>24.11.1a Lisses de pose en bois massif</w:t>
        </w:r>
      </w:hyperlink>
      <w:r>
        <w:rPr>
          <w:rStyle w:val="soitChar"/>
        </w:rPr>
        <w:t>.</w:t>
      </w:r>
    </w:p>
    <w:p w14:paraId="07E1EC05" w14:textId="77777777" w:rsidR="00DF410E" w:rsidRDefault="00CE7F43">
      <w:pPr>
        <w:ind w:left="567"/>
        <w:jc w:val="both"/>
      </w:pPr>
      <w:r>
        <w:rPr>
          <w:b/>
          <w:i/>
        </w:rPr>
        <w:t>(Soit)</w:t>
      </w:r>
    </w:p>
    <w:p w14:paraId="01284182" w14:textId="77777777" w:rsidR="00DF410E" w:rsidRDefault="00CE7F43">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14:paraId="0065B97D" w14:textId="77777777" w:rsidR="00DF410E" w:rsidRDefault="00CE7F43">
      <w:pPr>
        <w:ind w:left="567"/>
        <w:jc w:val="both"/>
      </w:pPr>
      <w:r>
        <w:rPr>
          <w:b/>
          <w:i/>
        </w:rPr>
        <w:t>(Soit)</w:t>
      </w:r>
    </w:p>
    <w:p w14:paraId="5989AD81" w14:textId="77777777" w:rsidR="00DF410E" w:rsidRDefault="00CE7F43">
      <w:pPr>
        <w:ind w:left="567"/>
        <w:jc w:val="both"/>
      </w:pPr>
      <w:r>
        <w:rPr>
          <w:rStyle w:val="optioncarChar"/>
        </w:rPr>
        <w:t>***</w:t>
      </w:r>
    </w:p>
    <w:p w14:paraId="11D21C09" w14:textId="77777777" w:rsidR="00DF410E" w:rsidRDefault="00DF410E">
      <w:pPr>
        <w:ind w:left="567"/>
        <w:jc w:val="both"/>
      </w:pPr>
    </w:p>
    <w:p w14:paraId="448A52D2" w14:textId="77777777" w:rsidR="00DF410E" w:rsidRDefault="00CE7F43">
      <w:pPr>
        <w:jc w:val="both"/>
      </w:pPr>
      <w:r>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14:paraId="09981C0F" w14:textId="77777777" w:rsidR="00DF410E" w:rsidRDefault="00CE7F43">
      <w:pPr>
        <w:jc w:val="both"/>
      </w:pPr>
      <w:r>
        <w:rPr>
          <w:b/>
        </w:rPr>
        <w:t>Fixation entre caissons de même plan</w:t>
      </w:r>
    </w:p>
    <w:p w14:paraId="2B790FCB" w14:textId="77777777" w:rsidR="00DF410E" w:rsidRDefault="00CE7F43">
      <w:pPr>
        <w:jc w:val="both"/>
      </w:pPr>
      <w:r>
        <w:t>L’assemblage est réalisé par</w:t>
      </w:r>
      <w:r>
        <w:rPr>
          <w:rStyle w:val="optioncarChar"/>
        </w:rPr>
        <w:t> tire-fond </w:t>
      </w:r>
      <w:r>
        <w:t>(par défaut)</w:t>
      </w:r>
      <w:r>
        <w:rPr>
          <w:rStyle w:val="optioncarChar"/>
        </w:rPr>
        <w:t> / plats métallique / profilés collaborant / ***.</w:t>
      </w:r>
    </w:p>
    <w:p w14:paraId="5E5F95E4" w14:textId="77777777" w:rsidR="00DF410E" w:rsidRDefault="00CE7F43">
      <w:pPr>
        <w:jc w:val="both"/>
      </w:pPr>
      <w:r>
        <w:rPr>
          <w:b/>
        </w:rPr>
        <w:t>Assemblage d’angles</w:t>
      </w:r>
    </w:p>
    <w:p w14:paraId="1406400B" w14:textId="77777777" w:rsidR="00DF410E" w:rsidRDefault="00CE7F43">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14:paraId="4ED3B545" w14:textId="77777777" w:rsidR="00DF410E" w:rsidRDefault="00CE7F43">
      <w:pPr>
        <w:ind w:left="567"/>
        <w:jc w:val="both"/>
      </w:pPr>
      <w:r>
        <w:rPr>
          <w:b/>
          <w:i/>
        </w:rPr>
        <w:t>(Soit par défaut)</w:t>
      </w:r>
    </w:p>
    <w:p w14:paraId="2ADDF8A7" w14:textId="77777777" w:rsidR="00DF410E" w:rsidRDefault="00CE7F43">
      <w:pPr>
        <w:ind w:left="567"/>
        <w:jc w:val="both"/>
      </w:pPr>
      <w:r>
        <w:rPr>
          <w:rStyle w:val="soitChar"/>
          <w:u w:val="single"/>
        </w:rPr>
        <w:t>Vis traversante :</w:t>
      </w:r>
      <w:r>
        <w:rPr>
          <w:rStyle w:val="soitChar"/>
        </w:rPr>
        <w:t> La fixation de type tire-fond est appliquée sur le montant intérieur du caisson à assembler ou par fixations inclinées. Le nombre de fixations et les sections répondent au dimensionnement selon la [NBN EN 1995 série].</w:t>
      </w:r>
    </w:p>
    <w:p w14:paraId="2098D751" w14:textId="77777777" w:rsidR="00DF410E" w:rsidRDefault="00CE7F43">
      <w:pPr>
        <w:ind w:left="567"/>
        <w:jc w:val="both"/>
      </w:pPr>
      <w:r>
        <w:rPr>
          <w:b/>
          <w:i/>
        </w:rPr>
        <w:t>(Soit)</w:t>
      </w:r>
    </w:p>
    <w:p w14:paraId="2288FE31" w14:textId="77777777" w:rsidR="00DF410E" w:rsidRDefault="00CE7F43">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14:paraId="7C8C6761" w14:textId="77777777" w:rsidR="00DF410E" w:rsidRDefault="00CE7F43">
      <w:pPr>
        <w:ind w:left="567"/>
        <w:jc w:val="both"/>
      </w:pPr>
      <w:r>
        <w:rPr>
          <w:b/>
          <w:i/>
        </w:rPr>
        <w:t>(Soit)</w:t>
      </w:r>
    </w:p>
    <w:p w14:paraId="3166DC51" w14:textId="77777777" w:rsidR="00DF410E" w:rsidRDefault="00CE7F43">
      <w:pPr>
        <w:ind w:left="567"/>
        <w:jc w:val="both"/>
      </w:pPr>
      <w:r>
        <w:rPr>
          <w:rStyle w:val="optioncarChar"/>
        </w:rPr>
        <w:t>***</w:t>
      </w:r>
      <w:r>
        <w:t> </w:t>
      </w:r>
    </w:p>
    <w:p w14:paraId="521ECE71" w14:textId="77777777" w:rsidR="00DF410E" w:rsidRDefault="00CE7F43">
      <w:pPr>
        <w:jc w:val="both"/>
      </w:pPr>
      <w:r>
        <w:t>Les fixations, pointes ou vis, des panneaux sont effectuées sur </w:t>
      </w:r>
      <w:r>
        <w:rPr>
          <w:rStyle w:val="optioncarChar"/>
        </w:rPr>
        <w:t>2/3</w:t>
      </w:r>
      <w:r>
        <w:t> (par défaut) </w:t>
      </w:r>
      <w:r>
        <w:rPr>
          <w:rStyle w:val="optioncarChar"/>
        </w:rPr>
        <w:t>/ ***</w:t>
      </w:r>
      <w:r>
        <w:t> de l’épaisseur du panneau.</w:t>
      </w:r>
    </w:p>
    <w:p w14:paraId="02E295AD" w14:textId="77777777" w:rsidR="00DF410E" w:rsidRDefault="00CE7F43">
      <w:pPr>
        <w:jc w:val="both"/>
      </w:pPr>
      <w:r>
        <w:t>Les dispositifs d’ancrage sont décrits dans les éléments du </w:t>
      </w:r>
      <w:hyperlink w:anchor="583" w:history="1">
        <w:r>
          <w:t>24.4 Assemblages</w:t>
        </w:r>
      </w:hyperlink>
      <w:r>
        <w:t> mais la fourniture et la pose sont comprises dans le présent travail.</w:t>
      </w:r>
    </w:p>
    <w:p w14:paraId="4994D268" w14:textId="77777777" w:rsidR="00DF410E" w:rsidRDefault="00CE7F43">
      <w:pPr>
        <w:jc w:val="both"/>
      </w:pPr>
      <w:r>
        <w:rPr>
          <w:b/>
        </w:rPr>
        <w:t>Travaux préalables :  HVAC - Sanitaires - Electricité</w:t>
      </w:r>
    </w:p>
    <w:p w14:paraId="6D58C156" w14:textId="77777777" w:rsidR="00DF410E" w:rsidRDefault="00CE7F43">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00FE041F" w14:textId="77777777" w:rsidR="00DF410E" w:rsidRDefault="00CE7F43">
      <w:pPr>
        <w:ind w:left="567"/>
        <w:jc w:val="both"/>
      </w:pPr>
      <w:r>
        <w:rPr>
          <w:b/>
          <w:i/>
        </w:rPr>
        <w:t>(Soit par défaut)</w:t>
      </w:r>
    </w:p>
    <w:p w14:paraId="2BF0C0C0" w14:textId="77777777" w:rsidR="00DF410E" w:rsidRDefault="00CE7F43">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90" w:history="1" w:docLocation="34">
        <w:r>
          <w:rPr>
            <w:rStyle w:val="soitChar"/>
          </w:rPr>
          <w:t>6 T6 HVAC - sanitaires</w:t>
        </w:r>
      </w:hyperlink>
      <w:r>
        <w:rPr>
          <w:rStyle w:val="soitChar"/>
        </w:rPr>
        <w:t> et </w:t>
      </w:r>
      <w:hyperlink r:id="rId291" w:history="1" w:docLocation="35">
        <w:r>
          <w:rPr>
            <w:rStyle w:val="soitChar"/>
          </w:rPr>
          <w:t>7 T7 Electricité</w:t>
        </w:r>
      </w:hyperlink>
      <w:r>
        <w:rPr>
          <w:rStyle w:val="soitChar"/>
        </w:rPr>
        <w:t> et sont réalisés a posteriori.</w:t>
      </w:r>
    </w:p>
    <w:p w14:paraId="4E1F5506" w14:textId="77777777" w:rsidR="00DF410E" w:rsidRDefault="00CE7F43">
      <w:pPr>
        <w:ind w:left="567"/>
        <w:jc w:val="both"/>
      </w:pPr>
      <w:r>
        <w:rPr>
          <w:b/>
          <w:i/>
        </w:rPr>
        <w:t>(Soit)</w:t>
      </w:r>
    </w:p>
    <w:p w14:paraId="230DB344" w14:textId="77777777" w:rsidR="00DF410E" w:rsidRDefault="00CE7F43">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92" w:history="1" w:docLocation="34">
        <w:r>
          <w:rPr>
            <w:rStyle w:val="soitChar"/>
          </w:rPr>
          <w:t>6 T6 HVAC - sanitaires</w:t>
        </w:r>
      </w:hyperlink>
      <w:r>
        <w:rPr>
          <w:rStyle w:val="soitChar"/>
        </w:rPr>
        <w:t> et </w:t>
      </w:r>
      <w:hyperlink r:id="rId293" w:history="1" w:docLocation="35">
        <w:r>
          <w:rPr>
            <w:rStyle w:val="soitChar"/>
          </w:rPr>
          <w:t>7 T7 Electricité</w:t>
        </w:r>
      </w:hyperlink>
      <w:r>
        <w:rPr>
          <w:rStyle w:val="soitChar"/>
        </w:rPr>
        <w:t>.  </w:t>
      </w:r>
    </w:p>
    <w:p w14:paraId="5FA2FF09" w14:textId="77777777" w:rsidR="00DF410E" w:rsidRDefault="00CE7F43">
      <w:pPr>
        <w:pStyle w:val="pheading"/>
      </w:pPr>
      <w:r>
        <w:t>- Notes d’exécution complémentaires</w:t>
      </w:r>
    </w:p>
    <w:p w14:paraId="0B1ED31D" w14:textId="77777777" w:rsidR="00DF410E" w:rsidRDefault="00CE7F43">
      <w:r>
        <w:t>Tous les assemblages mécaniques structuraux sont dimensionnés selon les principes de l’Eurocode 5 [NBN EN 1995-1-1] et de sa partie feu [NBN EN 1995-1-2].</w:t>
      </w:r>
    </w:p>
    <w:p w14:paraId="3895C704" w14:textId="77777777" w:rsidR="00DF410E" w:rsidRDefault="00CE7F43">
      <w:pPr>
        <w:pStyle w:val="pheading"/>
      </w:pPr>
      <w:r>
        <w:t>CONTRÔLES PARTICULIERS</w:t>
      </w:r>
    </w:p>
    <w:p w14:paraId="6500C93B" w14:textId="77777777" w:rsidR="00DF410E" w:rsidRDefault="00CE7F43">
      <w:pPr>
        <w:jc w:val="both"/>
      </w:pPr>
      <w:r>
        <w:t>Le contrôle de la qualité du séchage d’un lot de bois scié se fait selon la [NBN EN 14298].</w:t>
      </w:r>
    </w:p>
    <w:p w14:paraId="6A34C209" w14:textId="77777777" w:rsidR="00DF410E" w:rsidRDefault="00CE7F43">
      <w:pPr>
        <w:jc w:val="both"/>
      </w:pPr>
      <w:r>
        <w:t>La paille fait l’objet d’un auto-contrôle par l’entreprise en charge de la pose des ballots et des parois selon la procédure des [Moniteur Paille] ou tout autre organisme professionnel de la construction en paille.</w:t>
      </w:r>
    </w:p>
    <w:p w14:paraId="0504B8CD" w14:textId="77777777" w:rsidR="00DF410E" w:rsidRDefault="00CE7F43">
      <w:pPr>
        <w:pStyle w:val="pheading"/>
      </w:pPr>
      <w:r>
        <w:t>DOCUMENTS DE RÉFÉRENCE COMPLÉMENTAIRES</w:t>
      </w:r>
    </w:p>
    <w:p w14:paraId="213248AC" w14:textId="77777777" w:rsidR="00DF410E" w:rsidRDefault="00CE7F43">
      <w:pPr>
        <w:pStyle w:val="pheading"/>
      </w:pPr>
      <w:r>
        <w:t>- Matériau</w:t>
      </w:r>
    </w:p>
    <w:p w14:paraId="211AAACE" w14:textId="77777777" w:rsidR="00DF410E" w:rsidRDefault="00CE7F43">
      <w:r>
        <w:t>[NBN EN 14081 série, Structures en bois - Bois de structure à section rectangulaire classé pour sa résistance]</w:t>
      </w:r>
    </w:p>
    <w:p w14:paraId="17175CC8" w14:textId="77777777" w:rsidR="00DF410E" w:rsidRDefault="00CE7F43">
      <w:r>
        <w:t>[NBN EN 15497, Bois massif de structure à entures multiples - Exigences de performances et exigences minimales de fabrication]</w:t>
      </w:r>
    </w:p>
    <w:p w14:paraId="764F241E" w14:textId="77777777" w:rsidR="00DF410E" w:rsidRDefault="00CE7F43">
      <w:r>
        <w:t>[NBN EN 14080, Structures en bois - Bois lamellé collé et bois massif reconstitué - Exigences]</w:t>
      </w:r>
    </w:p>
    <w:p w14:paraId="55298D55" w14:textId="77777777" w:rsidR="00DF410E" w:rsidRDefault="00CE7F43">
      <w:r>
        <w:t>[NBN EN 335, Durabilité du bois et des matériaux à base de bois - Classes d'emploi: définitions, application au bois massif et aux matériaux à base de bois]</w:t>
      </w:r>
    </w:p>
    <w:p w14:paraId="361FC83A" w14:textId="77777777" w:rsidR="00DF410E" w:rsidRDefault="00CE7F43">
      <w:r>
        <w:t>[NBN EN 13171+A1, Produits isolants thermiques pour le bâtiment - Produits manufacturés en fibres de bois (WF) - Spécification]</w:t>
      </w:r>
    </w:p>
    <w:p w14:paraId="7C512472" w14:textId="77777777" w:rsidR="00DF410E" w:rsidRDefault="00CE7F43">
      <w:r>
        <w:t>[NBN EN 12086, Produits isolants thermiques destinés aux applications du bâtiment - Détermination des propriétés de transmission de la vapeur d'eau]</w:t>
      </w:r>
    </w:p>
    <w:p w14:paraId="4FF01F47" w14:textId="77777777" w:rsidR="00DF410E" w:rsidRDefault="00CE7F43">
      <w:r>
        <w:t>[NBN EN 310, Panneaux à base de bois - Détermination du module d'élasticité en flexion et de la résistance à la flexion]</w:t>
      </w:r>
    </w:p>
    <w:p w14:paraId="49ECB5FE" w14:textId="77777777" w:rsidR="00DF410E" w:rsidRDefault="00CE7F43">
      <w:r>
        <w:t>[NBN EN 319, Panneaux de particules et panneaux de fibres - Détermination de la résistance à la traction perpendiculaire aux faces du panneau]</w:t>
      </w:r>
    </w:p>
    <w:p w14:paraId="190EAAE4"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62BEA998"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477D11F9" w14:textId="77777777" w:rsidR="00DF410E" w:rsidRDefault="00CE7F43">
      <w:r>
        <w:t>[AR 2014-05-08, Arrêté royal établissant les niveaux seuils pour les émissions dans l'environnement intérieur de produits de construction pour certains usages prévus]</w:t>
      </w:r>
    </w:p>
    <w:p w14:paraId="24274A8F" w14:textId="77777777" w:rsidR="00DF410E" w:rsidRDefault="00CE7F43">
      <w:r>
        <w:t>[Moniteur Paille, Règles professionnelles de construction en paille - Remplissage isolant et support d’enduit – Règles CP 2012 révisées]</w:t>
      </w:r>
    </w:p>
    <w:p w14:paraId="12642645" w14:textId="77777777" w:rsidR="00DF410E" w:rsidRDefault="00CE7F43">
      <w:pPr>
        <w:pStyle w:val="pheading"/>
      </w:pPr>
      <w:r>
        <w:t>- Exécution</w:t>
      </w:r>
    </w:p>
    <w:p w14:paraId="271CE223" w14:textId="77777777" w:rsidR="00DF410E" w:rsidRDefault="00CE7F43">
      <w:r>
        <w:t>[NBN EN 1995 série, Eurocode 5: Conception et calcul des structures en bois]</w:t>
      </w:r>
    </w:p>
    <w:p w14:paraId="1A1C0D9E" w14:textId="77777777" w:rsidR="00DF410E" w:rsidRDefault="00CE7F43">
      <w:r>
        <w:t>[STS 31, Charpenterie]</w:t>
      </w:r>
    </w:p>
    <w:p w14:paraId="41432304" w14:textId="77777777" w:rsidR="00DF410E" w:rsidRDefault="00CE7F43">
      <w:r>
        <w:t>[STS 23-1, Constructions en ossature bois]</w:t>
      </w:r>
    </w:p>
    <w:p w14:paraId="47A32845" w14:textId="77777777" w:rsidR="00DF410E" w:rsidRDefault="00CE7F43">
      <w:r>
        <w:t>[NBN EN 14298, Bois scié - Estimation de la qualité du séchage]</w:t>
      </w:r>
    </w:p>
    <w:p w14:paraId="594CB469" w14:textId="77777777" w:rsidR="00DF410E" w:rsidRDefault="00CE7F43">
      <w:r>
        <w:t>[Moniteur Paille, Règles professionnelles de construction en paille - Remplissage isolant et support d’enduit – Règles CP 2012 révisées]</w:t>
      </w:r>
    </w:p>
    <w:p w14:paraId="6EB1F5B6" w14:textId="77777777" w:rsidR="00DF410E" w:rsidRDefault="00CE7F43">
      <w:pPr>
        <w:pStyle w:val="pheading"/>
      </w:pPr>
      <w:r>
        <w:t>MESURAGE</w:t>
      </w:r>
    </w:p>
    <w:p w14:paraId="3C2C3197" w14:textId="77777777" w:rsidR="00DF410E" w:rsidRDefault="00CE7F43">
      <w:pPr>
        <w:pStyle w:val="pheading"/>
      </w:pPr>
      <w:r>
        <w:t>- unité de mesure:</w:t>
      </w:r>
    </w:p>
    <w:p w14:paraId="06774C0B" w14:textId="77777777" w:rsidR="00DF410E" w:rsidRDefault="00CE7F43">
      <w:r>
        <w:rPr>
          <w:rStyle w:val="optioncarChar"/>
        </w:rPr>
        <w:t>m² </w:t>
      </w:r>
      <w:r>
        <w:t>(par défaut)</w:t>
      </w:r>
      <w:r>
        <w:rPr>
          <w:rStyle w:val="optioncarChar"/>
        </w:rPr>
        <w:t> / m³</w:t>
      </w:r>
    </w:p>
    <w:p w14:paraId="29AD01D6" w14:textId="77777777" w:rsidR="00DF410E" w:rsidRDefault="00CE7F43">
      <w:r>
        <w:rPr>
          <w:b/>
          <w:i/>
        </w:rPr>
        <w:t>(Soit par défaut)</w:t>
      </w:r>
    </w:p>
    <w:p w14:paraId="6D2C3F4A" w14:textId="77777777" w:rsidR="00DF410E" w:rsidRDefault="00CE7F43">
      <w:r>
        <w:rPr>
          <w:rStyle w:val="soitChar"/>
        </w:rPr>
        <w:t>1. m²</w:t>
      </w:r>
    </w:p>
    <w:p w14:paraId="5584DDD6" w14:textId="77777777" w:rsidR="00DF410E" w:rsidRDefault="00CE7F43">
      <w:r>
        <w:rPr>
          <w:b/>
          <w:i/>
        </w:rPr>
        <w:t>(Soit)</w:t>
      </w:r>
    </w:p>
    <w:p w14:paraId="653F4091" w14:textId="77777777" w:rsidR="00DF410E" w:rsidRDefault="00CE7F43">
      <w:r>
        <w:rPr>
          <w:rStyle w:val="soitChar"/>
        </w:rPr>
        <w:t>2. m³</w:t>
      </w:r>
    </w:p>
    <w:p w14:paraId="469CF51C" w14:textId="77777777" w:rsidR="00DF410E" w:rsidRDefault="00CE7F43">
      <w:pPr>
        <w:pStyle w:val="pheading"/>
      </w:pPr>
      <w:r>
        <w:t>- code de mesurage:</w:t>
      </w:r>
    </w:p>
    <w:p w14:paraId="0E74055F" w14:textId="77777777" w:rsidR="00DF410E" w:rsidRDefault="00CE7F43">
      <w:pPr>
        <w:jc w:val="both"/>
      </w:pPr>
      <w:r>
        <w:rPr>
          <w:rStyle w:val="optioncarChar"/>
        </w:rPr>
        <w:t>Surface nette </w:t>
      </w:r>
      <w:r>
        <w:t>(par défaut)</w:t>
      </w:r>
      <w:r>
        <w:rPr>
          <w:rStyle w:val="optioncarChar"/>
        </w:rPr>
        <w:t> / Volume net</w:t>
      </w:r>
    </w:p>
    <w:p w14:paraId="13FECAF5" w14:textId="77777777" w:rsidR="00DF410E" w:rsidRDefault="00CE7F43">
      <w:pPr>
        <w:jc w:val="both"/>
      </w:pPr>
      <w:r>
        <w:rPr>
          <w:b/>
          <w:i/>
        </w:rPr>
        <w:t>(Soit par défaut)</w:t>
      </w:r>
    </w:p>
    <w:p w14:paraId="30BCCA62" w14:textId="77777777" w:rsidR="00DF410E" w:rsidRDefault="00CE7F43">
      <w:pPr>
        <w:jc w:val="both"/>
      </w:pPr>
      <w:r>
        <w:rPr>
          <w:rStyle w:val="soitChar"/>
        </w:rPr>
        <w:t>1. </w:t>
      </w:r>
      <w:r>
        <w:rPr>
          <w:rStyle w:val="soitChar"/>
          <w:u w:val="single"/>
        </w:rPr>
        <w:t>Surface nette</w:t>
      </w:r>
      <w:r>
        <w:rPr>
          <w:rStyle w:val="soitChar"/>
        </w:rPr>
        <w:t> : Longueur x Largeur de la paroi selon les plans. Déduction faite des vides de plus de 0.5 m².</w:t>
      </w:r>
    </w:p>
    <w:p w14:paraId="55ACDFFA" w14:textId="77777777" w:rsidR="00DF410E" w:rsidRDefault="00CE7F43">
      <w:pPr>
        <w:jc w:val="both"/>
      </w:pPr>
      <w:r>
        <w:rPr>
          <w:b/>
          <w:i/>
        </w:rPr>
        <w:t>(Soit)</w:t>
      </w:r>
    </w:p>
    <w:p w14:paraId="64195382" w14:textId="77777777" w:rsidR="00DF410E" w:rsidRDefault="00CE7F43">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inférieur à 0,05 m³.</w:t>
      </w:r>
    </w:p>
    <w:p w14:paraId="3AA58C53" w14:textId="77777777" w:rsidR="00DF410E" w:rsidRDefault="00CE7F43">
      <w:pPr>
        <w:pStyle w:val="pheading"/>
      </w:pPr>
      <w:r>
        <w:t>- nature du marché:</w:t>
      </w:r>
    </w:p>
    <w:p w14:paraId="7C052DC8" w14:textId="77777777" w:rsidR="00DF410E" w:rsidRDefault="00CE7F43">
      <w:r>
        <w:rPr>
          <w:rStyle w:val="optioncarChar"/>
        </w:rPr>
        <w:t>QF</w:t>
      </w:r>
      <w:r>
        <w:t> (par défaut)</w:t>
      </w:r>
      <w:r>
        <w:rPr>
          <w:rStyle w:val="optioncarChar"/>
        </w:rPr>
        <w:t> / QP</w:t>
      </w:r>
    </w:p>
    <w:p w14:paraId="6DBA457E" w14:textId="77777777" w:rsidR="00DF410E" w:rsidRDefault="00CE7F43">
      <w:r>
        <w:rPr>
          <w:b/>
          <w:i/>
        </w:rPr>
        <w:t>(Soit par défaut)</w:t>
      </w:r>
    </w:p>
    <w:p w14:paraId="1E08EC16" w14:textId="77777777" w:rsidR="00DF410E" w:rsidRDefault="00CE7F43">
      <w:r>
        <w:rPr>
          <w:rStyle w:val="soitChar"/>
        </w:rPr>
        <w:t>1. 2. QF</w:t>
      </w:r>
    </w:p>
    <w:p w14:paraId="5755BE77" w14:textId="77777777" w:rsidR="00DF410E" w:rsidRDefault="00CE7F43">
      <w:r>
        <w:rPr>
          <w:b/>
          <w:i/>
        </w:rPr>
        <w:t>(Soit)</w:t>
      </w:r>
    </w:p>
    <w:p w14:paraId="0F78B719" w14:textId="77777777" w:rsidR="00DF410E" w:rsidRDefault="00CE7F43">
      <w:r>
        <w:rPr>
          <w:rStyle w:val="soitChar"/>
        </w:rPr>
        <w:t>1. 2. QP   </w:t>
      </w:r>
    </w:p>
    <w:p w14:paraId="2514E1B9" w14:textId="77777777" w:rsidR="00DF410E" w:rsidRDefault="00CE7F43">
      <w:pPr>
        <w:pStyle w:val="Author-eSectionHeading6"/>
      </w:pPr>
      <w:bookmarkStart w:id="1662" w:name="_Toc178838751"/>
      <w:r>
        <w:t>24.21.3c Murs en bois en caissons préfabriqués intégrant des galets d'argile CCTB 01.12</w:t>
      </w:r>
      <w:bookmarkEnd w:id="1662"/>
    </w:p>
    <w:p w14:paraId="2D242D0E" w14:textId="77777777" w:rsidR="00DF410E" w:rsidRDefault="00CE7F43">
      <w:pPr>
        <w:pStyle w:val="pheading"/>
      </w:pPr>
      <w:r>
        <w:t>DESCRIPTION</w:t>
      </w:r>
    </w:p>
    <w:p w14:paraId="5FE14A6D" w14:textId="77777777" w:rsidR="00DF410E" w:rsidRDefault="00CE7F43">
      <w:pPr>
        <w:pStyle w:val="pheading"/>
      </w:pPr>
      <w:r>
        <w:t>- Définition / Comprend</w:t>
      </w:r>
    </w:p>
    <w:p w14:paraId="60F1175B" w14:textId="77777777" w:rsidR="00DF410E" w:rsidRDefault="00CE7F43">
      <w:pPr>
        <w:jc w:val="both"/>
      </w:pPr>
      <w:r>
        <w:t>Il s’agit de la fourniture et la pose de murs porteurs ou non constitués de caissons préfabriqués en bois remplis de galets d’argile.</w:t>
      </w:r>
    </w:p>
    <w:p w14:paraId="1C19DD25" w14:textId="77777777" w:rsidR="00DF410E" w:rsidRDefault="00CE7F43">
      <w:pPr>
        <w:jc w:val="both"/>
      </w:pPr>
      <w:r>
        <w:t>Le travail comprend notamment :</w:t>
      </w:r>
    </w:p>
    <w:p w14:paraId="27459B2D" w14:textId="77777777" w:rsidR="00DF410E" w:rsidRDefault="00CE7F43">
      <w:pPr>
        <w:pStyle w:val="Author-eListParagraph"/>
        <w:numPr>
          <w:ilvl w:val="0"/>
          <w:numId w:val="898"/>
        </w:numPr>
        <w:jc w:val="both"/>
      </w:pPr>
      <w:r>
        <w:t>La préparation et nettoyage des supports sur lesquels les éléments sont posés;</w:t>
      </w:r>
    </w:p>
    <w:p w14:paraId="345ED2CF" w14:textId="77777777" w:rsidR="00DF410E" w:rsidRDefault="00CE7F43">
      <w:pPr>
        <w:pStyle w:val="Author-eListParagraph"/>
        <w:numPr>
          <w:ilvl w:val="0"/>
          <w:numId w:val="898"/>
        </w:numPr>
        <w:jc w:val="both"/>
      </w:pPr>
      <w:r>
        <w:t>La fabrication, la livraison et la pose des parois, y compris les engins de levage, tous les supports temporaires et travaux d’étayage;</w:t>
      </w:r>
    </w:p>
    <w:p w14:paraId="34CA1149" w14:textId="77777777" w:rsidR="00DF410E" w:rsidRDefault="00CE7F43">
      <w:pPr>
        <w:pStyle w:val="Author-eListParagraph"/>
        <w:numPr>
          <w:ilvl w:val="0"/>
          <w:numId w:val="898"/>
        </w:numPr>
        <w:jc w:val="both"/>
      </w:pPr>
      <w:r>
        <w:t>Les réservations prévues sur les plans;</w:t>
      </w:r>
    </w:p>
    <w:p w14:paraId="4705FF4D" w14:textId="77777777" w:rsidR="00DF410E" w:rsidRDefault="00CE7F43">
      <w:pPr>
        <w:pStyle w:val="Author-eListParagraph"/>
        <w:numPr>
          <w:ilvl w:val="0"/>
          <w:numId w:val="898"/>
        </w:numPr>
        <w:jc w:val="both"/>
      </w:pPr>
      <w:r>
        <w:t>La finition des bords et travaux de réparation en cas d’endommagement;</w:t>
      </w:r>
    </w:p>
    <w:p w14:paraId="4C200862" w14:textId="77777777" w:rsidR="00DF410E" w:rsidRDefault="00CE7F43">
      <w:pPr>
        <w:pStyle w:val="Author-eListParagraph"/>
        <w:numPr>
          <w:ilvl w:val="0"/>
          <w:numId w:val="898"/>
        </w:numPr>
        <w:jc w:val="both"/>
      </w:pPr>
      <w:r>
        <w:t>Le remplissage des joints de dilatation éventuels selon les directives du fournisseur.</w:t>
      </w:r>
    </w:p>
    <w:p w14:paraId="03EE8886" w14:textId="77777777" w:rsidR="00DF410E" w:rsidRDefault="00CE7F43">
      <w:pPr>
        <w:pStyle w:val="Author-eListParagraph"/>
        <w:numPr>
          <w:ilvl w:val="0"/>
          <w:numId w:val="898"/>
        </w:numPr>
        <w:jc w:val="both"/>
      </w:pPr>
      <w:r>
        <w:t>Le contrôle de toutes les dimensions et l’adaptation des éléments à préfabriquer aux dimensions réelles ;</w:t>
      </w:r>
    </w:p>
    <w:p w14:paraId="70F825E3" w14:textId="77777777" w:rsidR="00DF410E" w:rsidRDefault="00CE7F43">
      <w:pPr>
        <w:pStyle w:val="Author-eListParagraph"/>
        <w:numPr>
          <w:ilvl w:val="0"/>
          <w:numId w:val="898"/>
        </w:numPr>
        <w:jc w:val="both"/>
      </w:pPr>
      <w:r>
        <w:t>Tous les moyens de liaisonnement éventuels, aussi bien entre les éléments préfabriqués, qu’avec les éléments de support, de bord, … ;</w:t>
      </w:r>
    </w:p>
    <w:p w14:paraId="7AD271EB" w14:textId="77777777" w:rsidR="00DF410E" w:rsidRDefault="00CE7F43">
      <w:pPr>
        <w:pStyle w:val="Author-eListParagraph"/>
        <w:numPr>
          <w:ilvl w:val="0"/>
          <w:numId w:val="898"/>
        </w:numPr>
        <w:jc w:val="both"/>
      </w:pPr>
      <w:r>
        <w:t>L’éventuel pare-vapeur ou frein vapeur ;</w:t>
      </w:r>
    </w:p>
    <w:p w14:paraId="76693955" w14:textId="77777777" w:rsidR="00DF410E" w:rsidRDefault="00CE7F43">
      <w:pPr>
        <w:pStyle w:val="Author-eListParagraph"/>
        <w:numPr>
          <w:ilvl w:val="0"/>
          <w:numId w:val="898"/>
        </w:numPr>
        <w:jc w:val="both"/>
      </w:pPr>
      <w:r>
        <w:t>L’enlèvement de tous les accessoires, éléments de coffrage, supports, étais et le nettoyage des faces visibles;</w:t>
      </w:r>
    </w:p>
    <w:p w14:paraId="3DC9608C" w14:textId="77777777" w:rsidR="00DF410E" w:rsidRDefault="00CE7F43">
      <w:pPr>
        <w:pStyle w:val="Author-eListParagraph"/>
        <w:numPr>
          <w:ilvl w:val="0"/>
          <w:numId w:val="898"/>
        </w:numPr>
        <w:jc w:val="both"/>
      </w:pPr>
      <w:r>
        <w:t>Les ouvrages de protection des caissons contre la pluie, l’humidité et la condensation durant le transport et toute la durée du chantier.</w:t>
      </w:r>
    </w:p>
    <w:p w14:paraId="7189BFA3" w14:textId="77777777" w:rsidR="00DF410E" w:rsidRDefault="00CE7F43">
      <w:pPr>
        <w:pStyle w:val="pheading"/>
      </w:pPr>
      <w:r>
        <w:t>- Localisation</w:t>
      </w:r>
    </w:p>
    <w:p w14:paraId="4C89B5D1" w14:textId="77777777" w:rsidR="00DF410E" w:rsidRDefault="00CE7F43">
      <w:r>
        <w:t xml:space="preserve">Localisation des travaux : </w:t>
      </w:r>
      <w:r>
        <w:rPr>
          <w:rStyle w:val="optioncarChar"/>
        </w:rPr>
        <w:t>***</w:t>
      </w:r>
      <w:r>
        <w:t>.</w:t>
      </w:r>
    </w:p>
    <w:p w14:paraId="5A10F874" w14:textId="77777777" w:rsidR="00DF410E" w:rsidRDefault="00CE7F43">
      <w:r>
        <w:t>Voir plans et métrés détaillés.</w:t>
      </w:r>
    </w:p>
    <w:p w14:paraId="581858B3" w14:textId="77777777" w:rsidR="00DF410E" w:rsidRDefault="00CE7F43">
      <w:pPr>
        <w:pStyle w:val="pheading"/>
      </w:pPr>
      <w:r>
        <w:t>MATÉRIAUX</w:t>
      </w:r>
    </w:p>
    <w:p w14:paraId="390FADB5" w14:textId="77777777" w:rsidR="00DF410E" w:rsidRDefault="00CE7F43">
      <w:pPr>
        <w:pStyle w:val="pheading"/>
      </w:pPr>
      <w:r>
        <w:t>- Caractéristiques générales</w:t>
      </w:r>
    </w:p>
    <w:p w14:paraId="2987DB10" w14:textId="77777777" w:rsidR="00DF410E" w:rsidRDefault="00CE7F43">
      <w:pPr>
        <w:jc w:val="both"/>
      </w:pPr>
      <w:r>
        <w:t>L’ensemble est un complexe réalisé en usine ou en atelier et comprend :</w:t>
      </w:r>
    </w:p>
    <w:p w14:paraId="5BEBB446" w14:textId="77777777" w:rsidR="00DF410E" w:rsidRDefault="00CE7F43">
      <w:pPr>
        <w:jc w:val="both"/>
      </w:pPr>
      <w:r>
        <w:rPr>
          <w:b/>
        </w:rPr>
        <w:t>Structure</w:t>
      </w:r>
    </w:p>
    <w:p w14:paraId="7C6FDBDC" w14:textId="77777777" w:rsidR="00DF410E" w:rsidRDefault="00CE7F43">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14:paraId="6A527F7B" w14:textId="77777777" w:rsidR="00DF410E" w:rsidRDefault="00CE7F43">
      <w:pPr>
        <w:jc w:val="both"/>
      </w:pPr>
      <w:r>
        <w:t>Le bois massif répond aux spécifications de la [NBN EN 14081 série].</w:t>
      </w:r>
    </w:p>
    <w:p w14:paraId="79F1758F" w14:textId="77777777" w:rsidR="00DF410E" w:rsidRDefault="00CE7F43">
      <w:pPr>
        <w:jc w:val="both"/>
      </w:pPr>
      <w:r>
        <w:t>Les bois massifs peuvent être aboutés. Les pièces constitutives du produit fini doivent être classées selon la  [NBN EN 14081 série] et les produits finis doivent être marqués selon la [NBN EN 15497].</w:t>
      </w:r>
    </w:p>
    <w:p w14:paraId="3F37F406" w14:textId="77777777" w:rsidR="00DF410E" w:rsidRDefault="00CE7F43">
      <w:pPr>
        <w:jc w:val="both"/>
      </w:pPr>
      <w:r>
        <w:t>Les bois lamellé-collé doit répondre à la [NBN EN 14080].</w:t>
      </w:r>
    </w:p>
    <w:p w14:paraId="6099546F" w14:textId="77777777" w:rsidR="00DF410E" w:rsidRDefault="00CE7F43">
      <w:pPr>
        <w:jc w:val="both"/>
      </w:pPr>
      <w:r>
        <w:t>La classe d’emploi d’un élément est déterminée suivant la [NBN EN 335] : </w:t>
      </w:r>
      <w:r>
        <w:rPr>
          <w:rStyle w:val="optioncarChar"/>
        </w:rPr>
        <w:t>classe 1 / classe 2 </w:t>
      </w:r>
      <w:r>
        <w:t>(par défaut) </w:t>
      </w:r>
      <w:r>
        <w:rPr>
          <w:rStyle w:val="optioncarChar"/>
        </w:rPr>
        <w:t>/ classe 3.</w:t>
      </w:r>
    </w:p>
    <w:p w14:paraId="75490063" w14:textId="77777777" w:rsidR="00DF410E" w:rsidRDefault="00CE7F43">
      <w:pPr>
        <w:jc w:val="both"/>
      </w:pPr>
      <w:r>
        <w:t>La structure correspond en tout point au titre </w:t>
      </w:r>
      <w:hyperlink w:anchor="592" w:history="1">
        <w:r>
          <w:t>24.1 Eléments de structures en bois</w:t>
        </w:r>
      </w:hyperlink>
      <w:r>
        <w:t> et au sous-titre </w:t>
      </w:r>
      <w:hyperlink w:anchor="593" w:history="1">
        <w:r>
          <w:t>24.42 Assemblages mécaniques</w:t>
        </w:r>
      </w:hyperlink>
      <w:r>
        <w:t>. </w:t>
      </w:r>
    </w:p>
    <w:p w14:paraId="0CA0BC8C" w14:textId="77777777" w:rsidR="00DF410E" w:rsidRDefault="00CE7F43">
      <w:pPr>
        <w:jc w:val="both"/>
      </w:pPr>
      <w:r>
        <w:rPr>
          <w:b/>
        </w:rPr>
        <w:t>Panneau extérieur</w:t>
      </w:r>
    </w:p>
    <w:p w14:paraId="0D6DED9A" w14:textId="77777777" w:rsidR="00DF410E" w:rsidRDefault="00CE7F43">
      <w:pPr>
        <w:jc w:val="both"/>
      </w:pPr>
      <w:r>
        <w:t>Les panneaux extérieurs sont </w:t>
      </w:r>
      <w:r>
        <w:rPr>
          <w:rStyle w:val="optioncarChar"/>
        </w:rPr>
        <w:t>vissés </w:t>
      </w:r>
      <w:r>
        <w:t>(par défaut)</w:t>
      </w:r>
      <w:r>
        <w:rPr>
          <w:rStyle w:val="optioncarChar"/>
        </w:rPr>
        <w:t> / cloués / collés / ***.</w:t>
      </w:r>
    </w:p>
    <w:p w14:paraId="4D40DCE6" w14:textId="77777777" w:rsidR="00DF410E" w:rsidRDefault="00CE7F43">
      <w:pPr>
        <w:jc w:val="both"/>
      </w:pPr>
      <w:r>
        <w:t>Le panneau est </w:t>
      </w:r>
      <w:r>
        <w:rPr>
          <w:rStyle w:val="optioncarChar"/>
        </w:rPr>
        <w:t>rainuré languetté </w:t>
      </w:r>
      <w:r>
        <w:t>(par défaut)</w:t>
      </w:r>
      <w:r>
        <w:rPr>
          <w:rStyle w:val="optioncarChar"/>
        </w:rPr>
        <w:t xml:space="preserve"> / ***</w:t>
      </w:r>
      <w:r>
        <w:t>.</w:t>
      </w:r>
    </w:p>
    <w:p w14:paraId="4C6746FC" w14:textId="77777777" w:rsidR="00DF410E" w:rsidRDefault="00CE7F43">
      <w:pPr>
        <w:jc w:val="both"/>
      </w:pPr>
      <w:r>
        <w:t>Conductivité thermique ≤ </w:t>
      </w:r>
      <w:r>
        <w:rPr>
          <w:rStyle w:val="optioncarChar"/>
        </w:rPr>
        <w:t>0.08 / 0.090 / 0.1 </w:t>
      </w:r>
      <w:r>
        <w:t>(par défaut)</w:t>
      </w:r>
      <w:r>
        <w:rPr>
          <w:rStyle w:val="optioncarChar"/>
        </w:rPr>
        <w:t> / *** </w:t>
      </w:r>
      <w:r>
        <w:t>W/(m.K) suivant [NBN EN 13986+A1] ou [NBN EN 13171+A1].</w:t>
      </w:r>
    </w:p>
    <w:p w14:paraId="311B0CD0" w14:textId="77777777" w:rsidR="00DF410E" w:rsidRDefault="00CE7F43">
      <w:pPr>
        <w:jc w:val="both"/>
      </w:pPr>
      <w:r>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14:paraId="75C7442D" w14:textId="77777777" w:rsidR="00DF410E" w:rsidRDefault="00CE7F43">
      <w:pPr>
        <w:jc w:val="both"/>
      </w:pPr>
      <w:r>
        <w:t>Le panneau </w:t>
      </w:r>
      <w:r>
        <w:rPr>
          <w:rStyle w:val="optioncarChar"/>
        </w:rPr>
        <w:t>fait office / ne fait pas office</w:t>
      </w:r>
      <w:r>
        <w:t> de pare-pluie. </w:t>
      </w:r>
    </w:p>
    <w:p w14:paraId="788F7086" w14:textId="77777777" w:rsidR="00DF410E" w:rsidRDefault="00CE7F43">
      <w:pPr>
        <w:jc w:val="both"/>
      </w:pPr>
      <w:r>
        <w:t>Les panneaux sont constitués de panneaux</w:t>
      </w:r>
      <w:r>
        <w:rPr>
          <w:rStyle w:val="optioncarChar"/>
        </w:rPr>
        <w:t> de fibre de bois </w:t>
      </w:r>
      <w:r>
        <w:t>(par défaut) </w:t>
      </w:r>
      <w:r>
        <w:rPr>
          <w:rStyle w:val="optioncarChar"/>
        </w:rPr>
        <w:t>/ OSB / multiplex bois / CLT / ***.</w:t>
      </w:r>
    </w:p>
    <w:p w14:paraId="31DCC063" w14:textId="77777777" w:rsidR="00DF410E" w:rsidRDefault="00CE7F43">
      <w:pPr>
        <w:ind w:left="567"/>
        <w:jc w:val="both"/>
      </w:pPr>
      <w:r>
        <w:rPr>
          <w:b/>
          <w:i/>
        </w:rPr>
        <w:t>(Soit par défaut)</w:t>
      </w:r>
    </w:p>
    <w:p w14:paraId="7CCD6B9B" w14:textId="77777777" w:rsidR="00DF410E" w:rsidRDefault="00CE7F43">
      <w:pPr>
        <w:ind w:left="567"/>
        <w:jc w:val="both"/>
      </w:pPr>
      <w:r>
        <w:rPr>
          <w:rStyle w:val="soitChar"/>
          <w:u w:val="single"/>
        </w:rPr>
        <w:t>Panneau de fibre de bois </w:t>
      </w:r>
    </w:p>
    <w:p w14:paraId="6FA60ABF" w14:textId="77777777" w:rsidR="00DF410E" w:rsidRDefault="00CE7F43">
      <w:pPr>
        <w:ind w:left="567"/>
        <w:jc w:val="both"/>
      </w:pPr>
      <w:r>
        <w:rPr>
          <w:rStyle w:val="soitChar"/>
        </w:rPr>
        <w:t>Pour le descriptif, voir l’article </w:t>
      </w:r>
      <w:hyperlink w:anchor="594" w:history="1">
        <w:r>
          <w:rPr>
            <w:rStyle w:val="soitChar"/>
          </w:rPr>
          <w:t>24.16.1d Panneaux MDF</w:t>
        </w:r>
      </w:hyperlink>
      <w:r>
        <w:rPr>
          <w:rStyle w:val="soitChar"/>
        </w:rPr>
        <w:t>.</w:t>
      </w:r>
      <w:r>
        <w:t> </w:t>
      </w:r>
    </w:p>
    <w:p w14:paraId="4FF741E3" w14:textId="77777777" w:rsidR="00DF410E" w:rsidRDefault="00CE7F43">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5BA78F15" w14:textId="77777777" w:rsidR="00DF410E" w:rsidRDefault="00CE7F43">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46290EDE" w14:textId="77777777" w:rsidR="00DF410E" w:rsidRDefault="00CE7F43">
      <w:pPr>
        <w:ind w:left="567"/>
        <w:jc w:val="both"/>
      </w:pPr>
      <w:r>
        <w:rPr>
          <w:rStyle w:val="soitChar"/>
        </w:rPr>
        <w:t>Les panneaux répondent à la [NBN EN 13986+A1] et aux exigences de [NBN EN 622 série].</w:t>
      </w:r>
    </w:p>
    <w:p w14:paraId="302C2641" w14:textId="77777777" w:rsidR="00DF410E" w:rsidRDefault="00CE7F43">
      <w:pPr>
        <w:ind w:left="567"/>
        <w:jc w:val="both"/>
      </w:pPr>
      <w:r>
        <w:rPr>
          <w:b/>
          <w:i/>
        </w:rPr>
        <w:t>(Soit)</w:t>
      </w:r>
    </w:p>
    <w:p w14:paraId="28C449A8" w14:textId="77777777" w:rsidR="00DF410E" w:rsidRDefault="00CE7F43">
      <w:pPr>
        <w:ind w:left="567"/>
        <w:jc w:val="both"/>
      </w:pPr>
      <w:r>
        <w:rPr>
          <w:rStyle w:val="soitChar"/>
          <w:u w:val="single"/>
        </w:rPr>
        <w:t>Osb </w:t>
      </w:r>
    </w:p>
    <w:p w14:paraId="0D4A74CC" w14:textId="77777777" w:rsidR="00DF410E" w:rsidRDefault="00CE7F43">
      <w:pPr>
        <w:ind w:left="567"/>
        <w:jc w:val="both"/>
      </w:pPr>
      <w:r>
        <w:rPr>
          <w:rStyle w:val="soitChar"/>
        </w:rPr>
        <w:t>Pour le descriptif, voir l’article </w:t>
      </w:r>
      <w:hyperlink w:anchor="595" w:history="1">
        <w:r>
          <w:rPr>
            <w:rStyle w:val="soitChar"/>
          </w:rPr>
          <w:t>24.16.1b Panneaux OSB</w:t>
        </w:r>
      </w:hyperlink>
      <w:r>
        <w:rPr>
          <w:rStyle w:val="soitChar"/>
        </w:rPr>
        <w:t>.</w:t>
      </w:r>
      <w:r>
        <w:t> </w:t>
      </w:r>
    </w:p>
    <w:p w14:paraId="7C6F6383" w14:textId="77777777" w:rsidR="00DF410E" w:rsidRDefault="00CE7F43">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14:paraId="58499BA3" w14:textId="77777777" w:rsidR="00DF410E" w:rsidRDefault="00CE7F43">
      <w:pPr>
        <w:ind w:left="567"/>
        <w:jc w:val="both"/>
      </w:pPr>
      <w:r>
        <w:rPr>
          <w:rStyle w:val="soitChar"/>
        </w:rPr>
        <w:t>Les panneaux sont de type </w:t>
      </w:r>
      <w:r>
        <w:rPr>
          <w:rStyle w:val="optioncarChar"/>
        </w:rPr>
        <w:t>2 / 3 </w:t>
      </w:r>
      <w:r>
        <w:t>(par défaut) </w:t>
      </w:r>
      <w:r>
        <w:rPr>
          <w:rStyle w:val="optioncarChar"/>
        </w:rPr>
        <w:t>/ 4.</w:t>
      </w:r>
    </w:p>
    <w:p w14:paraId="1AE4B095" w14:textId="77777777" w:rsidR="00DF410E" w:rsidRDefault="00CE7F43">
      <w:pPr>
        <w:ind w:left="567"/>
        <w:jc w:val="both"/>
      </w:pPr>
      <w:r>
        <w:rPr>
          <w:rStyle w:val="soitChar"/>
        </w:rPr>
        <w:t>Les panneaux sont </w:t>
      </w:r>
      <w:r>
        <w:rPr>
          <w:rStyle w:val="optioncarChar"/>
        </w:rPr>
        <w:t>à bord droit / rainurés languettés</w:t>
      </w:r>
      <w:r>
        <w:t> (par défaut). </w:t>
      </w:r>
    </w:p>
    <w:p w14:paraId="5256FAFA" w14:textId="77777777" w:rsidR="00DF410E" w:rsidRDefault="00CE7F43">
      <w:pPr>
        <w:ind w:left="567"/>
        <w:jc w:val="both"/>
      </w:pPr>
      <w:r>
        <w:rPr>
          <w:rStyle w:val="soitChar"/>
        </w:rPr>
        <w:t>Les panneaux répondent à la [NBN EN 300] et à la [NBN EN 13986+A1].</w:t>
      </w:r>
    </w:p>
    <w:p w14:paraId="6DE72129" w14:textId="77777777" w:rsidR="00DF410E" w:rsidRDefault="00CE7F43">
      <w:pPr>
        <w:ind w:left="567"/>
        <w:jc w:val="both"/>
      </w:pPr>
      <w:r>
        <w:rPr>
          <w:b/>
          <w:i/>
        </w:rPr>
        <w:t>(Soit)</w:t>
      </w:r>
    </w:p>
    <w:p w14:paraId="56F001A7" w14:textId="77777777" w:rsidR="00DF410E" w:rsidRDefault="00CE7F43">
      <w:pPr>
        <w:ind w:left="567"/>
        <w:jc w:val="both"/>
      </w:pPr>
      <w:r>
        <w:rPr>
          <w:rStyle w:val="soitChar"/>
          <w:u w:val="single"/>
        </w:rPr>
        <w:t>Panneau multiplex bois </w:t>
      </w:r>
    </w:p>
    <w:p w14:paraId="507C42E7" w14:textId="77777777" w:rsidR="00DF410E" w:rsidRDefault="00CE7F43">
      <w:pPr>
        <w:ind w:left="567"/>
        <w:jc w:val="both"/>
      </w:pPr>
      <w:r>
        <w:rPr>
          <w:rStyle w:val="soitChar"/>
        </w:rPr>
        <w:t>Pour le descriptif, voir l’article </w:t>
      </w:r>
      <w:hyperlink w:anchor="596" w:history="1">
        <w:r>
          <w:rPr>
            <w:rStyle w:val="soitChar"/>
          </w:rPr>
          <w:t>24.16.1a Panneaux contreplaqués (PW)</w:t>
        </w:r>
      </w:hyperlink>
      <w:r>
        <w:rPr>
          <w:rStyle w:val="soitChar"/>
        </w:rPr>
        <w:t>.</w:t>
      </w:r>
      <w:r>
        <w:t> </w:t>
      </w:r>
    </w:p>
    <w:p w14:paraId="4A1F6C96" w14:textId="77777777" w:rsidR="00DF410E" w:rsidRDefault="00CE7F43">
      <w:pPr>
        <w:ind w:left="567"/>
        <w:jc w:val="both"/>
      </w:pPr>
      <w:r>
        <w:rPr>
          <w:rStyle w:val="soitChar"/>
        </w:rPr>
        <w:t>Le multiplex est en bois </w:t>
      </w:r>
      <w:r>
        <w:rPr>
          <w:rStyle w:val="optioncarChar"/>
        </w:rPr>
        <w:t>feuillus / résineux. </w:t>
      </w:r>
    </w:p>
    <w:p w14:paraId="32959A13" w14:textId="77777777" w:rsidR="00DF410E" w:rsidRDefault="00CE7F43">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14:paraId="30448DBD" w14:textId="77777777" w:rsidR="00DF410E" w:rsidRDefault="00CE7F43">
      <w:pPr>
        <w:ind w:left="567"/>
        <w:jc w:val="both"/>
      </w:pPr>
      <w:r>
        <w:rPr>
          <w:rStyle w:val="soitChar"/>
        </w:rPr>
        <w:t>Les panneaux sont </w:t>
      </w:r>
      <w:r>
        <w:rPr>
          <w:rStyle w:val="optioncarChar"/>
        </w:rPr>
        <w:t>à bord droit / rainurés languettés </w:t>
      </w:r>
      <w:r>
        <w:t>(par défaut)</w:t>
      </w:r>
      <w:r>
        <w:rPr>
          <w:rStyle w:val="soitChar"/>
        </w:rPr>
        <w:t>.</w:t>
      </w:r>
    </w:p>
    <w:p w14:paraId="50FE6666" w14:textId="77777777" w:rsidR="00DF410E" w:rsidRDefault="00CE7F43">
      <w:pPr>
        <w:ind w:left="567"/>
        <w:jc w:val="both"/>
      </w:pPr>
      <w:r>
        <w:rPr>
          <w:b/>
          <w:i/>
        </w:rPr>
        <w:t>(Soit)</w:t>
      </w:r>
    </w:p>
    <w:p w14:paraId="4AAB2F9F" w14:textId="77777777" w:rsidR="00DF410E" w:rsidRDefault="00CE7F43">
      <w:pPr>
        <w:ind w:left="567"/>
        <w:jc w:val="both"/>
      </w:pPr>
      <w:r>
        <w:rPr>
          <w:rStyle w:val="soitChar"/>
          <w:u w:val="single"/>
        </w:rPr>
        <w:t>CLT </w:t>
      </w:r>
    </w:p>
    <w:p w14:paraId="244EB510" w14:textId="77777777" w:rsidR="00DF410E" w:rsidRDefault="00CE7F43">
      <w:pPr>
        <w:ind w:left="567"/>
        <w:jc w:val="both"/>
      </w:pPr>
      <w:r>
        <w:rPr>
          <w:rStyle w:val="soitChar"/>
        </w:rPr>
        <w:t>Les panneaux répondent à la [NBN EN 16351].</w:t>
      </w:r>
      <w:r>
        <w:t> </w:t>
      </w:r>
    </w:p>
    <w:p w14:paraId="7A84F988" w14:textId="77777777" w:rsidR="00DF410E" w:rsidRDefault="00CE7F43">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5A65C4A0" w14:textId="77777777" w:rsidR="00DF410E" w:rsidRDefault="00CE7F43">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0D350F76" w14:textId="77777777" w:rsidR="00DF410E" w:rsidRDefault="00CE7F43">
      <w:pPr>
        <w:ind w:left="567"/>
        <w:jc w:val="both"/>
      </w:pPr>
      <w:r>
        <w:rPr>
          <w:b/>
          <w:i/>
        </w:rPr>
        <w:t>(Soit)</w:t>
      </w:r>
    </w:p>
    <w:p w14:paraId="479ED378" w14:textId="77777777" w:rsidR="00DF410E" w:rsidRDefault="00CE7F43">
      <w:pPr>
        <w:ind w:left="567"/>
        <w:jc w:val="both"/>
      </w:pPr>
      <w:r>
        <w:rPr>
          <w:rStyle w:val="optioncarChar"/>
        </w:rPr>
        <w:t>***</w:t>
      </w:r>
      <w:r>
        <w:t> </w:t>
      </w:r>
    </w:p>
    <w:p w14:paraId="332385E0" w14:textId="77777777" w:rsidR="00DF410E" w:rsidRDefault="00CE7F43">
      <w:pPr>
        <w:jc w:val="both"/>
      </w:pPr>
      <w:r>
        <w:t>Le panneau extérieur est </w:t>
      </w:r>
      <w:r>
        <w:rPr>
          <w:rStyle w:val="optioncarChar"/>
        </w:rPr>
        <w:t>contreventant / non contreventant</w:t>
      </w:r>
      <w:r>
        <w:t> (par défaut).</w:t>
      </w:r>
    </w:p>
    <w:p w14:paraId="74D3AFB3" w14:textId="77777777" w:rsidR="00DF410E" w:rsidRDefault="00CE7F43">
      <w:pPr>
        <w:ind w:left="567"/>
        <w:jc w:val="both"/>
      </w:pPr>
      <w:r>
        <w:rPr>
          <w:b/>
          <w:i/>
        </w:rPr>
        <w:t>(Soit)</w:t>
      </w:r>
    </w:p>
    <w:p w14:paraId="7808513F" w14:textId="77777777" w:rsidR="00DF410E" w:rsidRDefault="00CE7F43">
      <w:pPr>
        <w:ind w:left="567"/>
        <w:jc w:val="both"/>
      </w:pPr>
      <w:r>
        <w:rPr>
          <w:rStyle w:val="soitChar"/>
          <w:u w:val="single"/>
        </w:rPr>
        <w:t>Contreventant</w:t>
      </w:r>
    </w:p>
    <w:p w14:paraId="7221DB64" w14:textId="77777777" w:rsidR="00DF410E" w:rsidRDefault="00CE7F43">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14:paraId="17EA6EC3" w14:textId="77777777" w:rsidR="00DF410E" w:rsidRDefault="00CE7F43">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17A7E3D1" w14:textId="77777777" w:rsidR="00DF410E" w:rsidRDefault="00CE7F43">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1EDB8C83" w14:textId="77777777" w:rsidR="00DF410E" w:rsidRDefault="00CE7F43">
      <w:pPr>
        <w:ind w:left="567"/>
        <w:jc w:val="both"/>
      </w:pPr>
      <w:r>
        <w:rPr>
          <w:b/>
          <w:i/>
        </w:rPr>
        <w:t>(Soit par défaut)</w:t>
      </w:r>
    </w:p>
    <w:p w14:paraId="67AA5148" w14:textId="77777777" w:rsidR="00DF410E" w:rsidRDefault="00CE7F43">
      <w:pPr>
        <w:ind w:left="567"/>
        <w:jc w:val="both"/>
      </w:pPr>
      <w:r>
        <w:rPr>
          <w:rStyle w:val="soitChar"/>
          <w:u w:val="single"/>
        </w:rPr>
        <w:t>Non-contreventant</w:t>
      </w:r>
    </w:p>
    <w:p w14:paraId="0BFD333E" w14:textId="77777777" w:rsidR="00DF410E" w:rsidRDefault="00CE7F43">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0BA37D36" w14:textId="77777777" w:rsidR="00DF410E" w:rsidRDefault="00CE7F43">
      <w:pPr>
        <w:jc w:val="both"/>
      </w:pPr>
      <w:r>
        <w:rPr>
          <w:b/>
        </w:rPr>
        <w:t>Remplissage isolant</w:t>
      </w:r>
    </w:p>
    <w:p w14:paraId="1A073020" w14:textId="77777777" w:rsidR="00DF410E" w:rsidRDefault="00CE7F43">
      <w:pPr>
        <w:jc w:val="both"/>
      </w:pPr>
      <w:r>
        <w:t>Remplissage en </w:t>
      </w:r>
      <w:r>
        <w:rPr>
          <w:rStyle w:val="optioncarChar"/>
        </w:rPr>
        <w:t>cellulose / laine de bois </w:t>
      </w:r>
      <w:r>
        <w:t>(par défaut)</w:t>
      </w:r>
      <w:r>
        <w:rPr>
          <w:rStyle w:val="optioncarChar"/>
        </w:rPr>
        <w:t> / laine de roche / laine de verre / ***</w:t>
      </w:r>
      <w:r>
        <w:t> de l’ossature.</w:t>
      </w:r>
    </w:p>
    <w:p w14:paraId="20CDF53F" w14:textId="77777777" w:rsidR="00DF410E" w:rsidRDefault="00CE7F43">
      <w:pPr>
        <w:jc w:val="both"/>
      </w:pPr>
      <w:r>
        <w:t>Masse volumique ≥ </w:t>
      </w:r>
      <w:r>
        <w:rPr>
          <w:rStyle w:val="optioncarChar"/>
        </w:rPr>
        <w:t>15 (laine de verre)  / 25 (laine de roche) / 48 (laine de bois et cellulose)  </w:t>
      </w:r>
      <w:r>
        <w:t>(par défaut) </w:t>
      </w:r>
      <w:r>
        <w:rPr>
          <w:rStyle w:val="optioncarChar"/>
        </w:rPr>
        <w:t>/ ***</w:t>
      </w:r>
      <w:r>
        <w:t> kg/m³</w:t>
      </w:r>
    </w:p>
    <w:p w14:paraId="18463F84" w14:textId="77777777" w:rsidR="00DF410E" w:rsidRDefault="00CE7F43">
      <w:pPr>
        <w:jc w:val="both"/>
      </w:pPr>
      <w:r>
        <w:t>Conductivité thermique ≤ </w:t>
      </w:r>
      <w:r>
        <w:rPr>
          <w:rStyle w:val="optioncarChar"/>
        </w:rPr>
        <w:t>0.040 / 0.044 </w:t>
      </w:r>
      <w:r>
        <w:t>(par défaut)</w:t>
      </w:r>
      <w:r>
        <w:rPr>
          <w:rStyle w:val="optioncarChar"/>
        </w:rPr>
        <w:t> / 0.048 / 0.06 / *** </w:t>
      </w:r>
      <w:r>
        <w:t> W/(m.K) suivant la [NBN EN 12667] ou [NBN EN ISO 10456]. </w:t>
      </w:r>
    </w:p>
    <w:p w14:paraId="59FF6552" w14:textId="77777777" w:rsidR="00DF410E" w:rsidRDefault="00CE7F43">
      <w:pPr>
        <w:jc w:val="both"/>
      </w:pPr>
      <w:r>
        <w:rPr>
          <w:b/>
        </w:rPr>
        <w:t>Panneau intérieur</w:t>
      </w:r>
    </w:p>
    <w:p w14:paraId="35DEE7BC" w14:textId="77777777" w:rsidR="00DF410E" w:rsidRDefault="00CE7F43">
      <w:pPr>
        <w:jc w:val="both"/>
      </w:pPr>
      <w:r>
        <w:t>Les panneaux intérieurs sont </w:t>
      </w:r>
      <w:r>
        <w:rPr>
          <w:rStyle w:val="optioncarChar"/>
        </w:rPr>
        <w:t>vissés </w:t>
      </w:r>
      <w:r>
        <w:t>(par défaut) </w:t>
      </w:r>
      <w:r>
        <w:rPr>
          <w:rStyle w:val="optioncarChar"/>
        </w:rPr>
        <w:t>cloués / collés / ***.</w:t>
      </w:r>
    </w:p>
    <w:p w14:paraId="436CF52F" w14:textId="77777777" w:rsidR="00DF410E" w:rsidRDefault="00CE7F43">
      <w:pPr>
        <w:jc w:val="both"/>
      </w:pPr>
      <w:r>
        <w:t>Le panneau est </w:t>
      </w:r>
      <w:r>
        <w:rPr>
          <w:rStyle w:val="optioncarChar"/>
        </w:rPr>
        <w:t xml:space="preserve">rainuré languetté </w:t>
      </w:r>
      <w:r>
        <w:t>(par défaut) </w:t>
      </w:r>
      <w:r>
        <w:rPr>
          <w:rStyle w:val="optioncarChar"/>
        </w:rPr>
        <w:t>/ ***</w:t>
      </w:r>
      <w:r>
        <w:t>.</w:t>
      </w:r>
    </w:p>
    <w:p w14:paraId="4606D667" w14:textId="77777777" w:rsidR="00DF410E" w:rsidRDefault="00CE7F43">
      <w:pPr>
        <w:jc w:val="both"/>
      </w:pPr>
      <w:r>
        <w:t>Conductivité thermique ≤ </w:t>
      </w:r>
      <w:r>
        <w:rPr>
          <w:rStyle w:val="optioncarChar"/>
        </w:rPr>
        <w:t>0.08 / 0.090 / 0.1/ ***</w:t>
      </w:r>
      <w:r>
        <w:t> (par défaut) W/(m.K) suivant [NBN EN 13986+A1] ou [NBN EN 13171+A1].</w:t>
      </w:r>
    </w:p>
    <w:p w14:paraId="0F5C0E74" w14:textId="77777777" w:rsidR="00DF410E" w:rsidRDefault="00CE7F43">
      <w:pPr>
        <w:jc w:val="both"/>
      </w:pPr>
      <w:r>
        <w:t>La perméabilité à la vapeur d’eau (Sd) est supérieure à  </w:t>
      </w:r>
      <w:r>
        <w:rPr>
          <w:rStyle w:val="optioncarChar"/>
        </w:rPr>
        <w:t>0,5m / 1m  / définie par l’analyse de diffusion de vapeur d’eau de la paroi complète </w:t>
      </w:r>
      <w:r>
        <w:t>(par défaut)</w:t>
      </w:r>
      <w:r>
        <w:rPr>
          <w:rStyle w:val="optioncarChar"/>
        </w:rPr>
        <w:t> / ***</w:t>
      </w:r>
      <w:r>
        <w:t>.</w:t>
      </w:r>
    </w:p>
    <w:p w14:paraId="59A3343B" w14:textId="77777777" w:rsidR="00DF410E" w:rsidRDefault="00CE7F43">
      <w:pPr>
        <w:jc w:val="both"/>
      </w:pPr>
      <w:r>
        <w:t>Si l’étanchéité à la vapeur d’eau et à l’air n’est pas assurée par le panneau, une membrane pare-vapeur ou frein vapeur est mise en œuvre pour satisfaire à l’analyse de diffusion de vapeur d’eau. </w:t>
      </w:r>
    </w:p>
    <w:p w14:paraId="6517AF32" w14:textId="77777777" w:rsidR="00DF410E" w:rsidRDefault="00CE7F43">
      <w:pPr>
        <w:jc w:val="both"/>
      </w:pPr>
      <w:r>
        <w:t xml:space="preserve">Les panneaux sont constitués de panneaux </w:t>
      </w:r>
      <w:r>
        <w:rPr>
          <w:rStyle w:val="optioncarChar"/>
        </w:rPr>
        <w:t>de fibre de bois / OSB </w:t>
      </w:r>
      <w:r>
        <w:t>(par défaut)</w:t>
      </w:r>
      <w:r>
        <w:rPr>
          <w:rStyle w:val="optioncarChar"/>
        </w:rPr>
        <w:t> / multiplex bois / CLT / ***.</w:t>
      </w:r>
    </w:p>
    <w:p w14:paraId="58A9035B" w14:textId="77777777" w:rsidR="00DF410E" w:rsidRDefault="00CE7F43">
      <w:pPr>
        <w:ind w:left="567"/>
      </w:pPr>
      <w:r>
        <w:rPr>
          <w:b/>
          <w:i/>
        </w:rPr>
        <w:t>(Soit par défaut)</w:t>
      </w:r>
    </w:p>
    <w:p w14:paraId="66F28D01" w14:textId="77777777" w:rsidR="00DF410E" w:rsidRDefault="00CE7F43">
      <w:pPr>
        <w:ind w:left="567"/>
      </w:pPr>
      <w:r>
        <w:rPr>
          <w:rStyle w:val="soitChar"/>
          <w:u w:val="single"/>
        </w:rPr>
        <w:t>Osb  </w:t>
      </w:r>
      <w:r>
        <w:br/>
      </w:r>
      <w:r>
        <w:rPr>
          <w:rStyle w:val="soitChar"/>
        </w:rPr>
        <w:t>Pour le descriptif, voir l’article </w:t>
      </w:r>
      <w:hyperlink w:anchor="595" w:history="1">
        <w:r>
          <w:rPr>
            <w:rStyle w:val="soitChar"/>
          </w:rPr>
          <w:t>24.16.1b Panneaux OSB</w:t>
        </w:r>
      </w:hyperlink>
      <w:r>
        <w:rPr>
          <w:rStyle w:val="soitChar"/>
        </w:rPr>
        <w:t>.</w:t>
      </w:r>
      <w:r>
        <w:t>   </w:t>
      </w:r>
      <w:r>
        <w:br/>
      </w:r>
      <w:r>
        <w:rPr>
          <w:rStyle w:val="soitChar"/>
        </w:rPr>
        <w:t>Les panneaux ont une épaisseur de </w:t>
      </w:r>
      <w:r>
        <w:t>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14:paraId="02183C21" w14:textId="77777777" w:rsidR="00DF410E" w:rsidRDefault="00CE7F43">
      <w:pPr>
        <w:ind w:left="567"/>
        <w:jc w:val="both"/>
      </w:pPr>
      <w:r>
        <w:rPr>
          <w:b/>
          <w:i/>
        </w:rPr>
        <w:t>(Soit)</w:t>
      </w:r>
    </w:p>
    <w:p w14:paraId="76C76C84" w14:textId="77777777" w:rsidR="00DF410E" w:rsidRDefault="00CE7F43">
      <w:pPr>
        <w:ind w:left="567"/>
        <w:jc w:val="both"/>
      </w:pPr>
      <w:r>
        <w:rPr>
          <w:rStyle w:val="soitChar"/>
          <w:u w:val="single"/>
        </w:rPr>
        <w:t>Panneau de fibre de bois</w:t>
      </w:r>
      <w:r>
        <w:t>  </w:t>
      </w:r>
    </w:p>
    <w:p w14:paraId="5B9AFC70" w14:textId="77777777" w:rsidR="00DF410E" w:rsidRDefault="00CE7F43">
      <w:pPr>
        <w:ind w:left="567"/>
        <w:jc w:val="both"/>
      </w:pPr>
      <w:r>
        <w:rPr>
          <w:rStyle w:val="soitChar"/>
        </w:rPr>
        <w:t>Pour le descriptif, voir l’article </w:t>
      </w:r>
      <w:hyperlink w:anchor="594" w:history="1">
        <w:r>
          <w:rPr>
            <w:rStyle w:val="soitChar"/>
          </w:rPr>
          <w:t>24.16.1d Panneaux MDF</w:t>
        </w:r>
      </w:hyperlink>
      <w:r>
        <w:rPr>
          <w:rStyle w:val="soitChar"/>
        </w:rPr>
        <w:t>.</w:t>
      </w:r>
      <w:r>
        <w:t>   </w:t>
      </w:r>
    </w:p>
    <w:p w14:paraId="63D3489A" w14:textId="77777777" w:rsidR="00DF410E" w:rsidRDefault="00CE7F43">
      <w:pPr>
        <w:ind w:left="567"/>
        <w:jc w:val="both"/>
      </w:pPr>
      <w:r>
        <w:rPr>
          <w:rStyle w:val="soitChar"/>
        </w:rPr>
        <w:t>Les panneaux ont une épaisseur de </w:t>
      </w:r>
      <w:r>
        <w:t> </w:t>
      </w:r>
      <w:r>
        <w:rPr>
          <w:rStyle w:val="optioncarChar"/>
        </w:rPr>
        <w:t>12 / 20</w:t>
      </w:r>
      <w:r>
        <w:t>  (par défaut) </w:t>
      </w:r>
      <w:r>
        <w:rPr>
          <w:rStyle w:val="optioncarChar"/>
        </w:rPr>
        <w:t>/ ***</w:t>
      </w:r>
      <w:r>
        <w:rPr>
          <w:rStyle w:val="soitChar"/>
        </w:rPr>
        <w:t> mm.</w:t>
      </w:r>
    </w:p>
    <w:p w14:paraId="3B9515B6" w14:textId="77777777" w:rsidR="00DF410E" w:rsidRDefault="00CE7F43">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616EB1D2" w14:textId="77777777" w:rsidR="00DF410E" w:rsidRDefault="00CE7F43">
      <w:pPr>
        <w:ind w:left="567"/>
        <w:jc w:val="both"/>
      </w:pPr>
      <w:r>
        <w:rPr>
          <w:rStyle w:val="soitChar"/>
        </w:rPr>
        <w:t>Les panneaux répondent à la [NBN EN 13986+A1] et aux exigences de [NBN EN 622 série].</w:t>
      </w:r>
    </w:p>
    <w:p w14:paraId="6EA8A2CC" w14:textId="77777777" w:rsidR="00DF410E" w:rsidRDefault="00CE7F43">
      <w:pPr>
        <w:ind w:left="567"/>
        <w:jc w:val="both"/>
      </w:pPr>
      <w:r>
        <w:rPr>
          <w:b/>
          <w:i/>
        </w:rPr>
        <w:t>(Soit)</w:t>
      </w:r>
    </w:p>
    <w:p w14:paraId="567A6052" w14:textId="77777777" w:rsidR="00DF410E" w:rsidRDefault="00CE7F43">
      <w:pPr>
        <w:ind w:left="567"/>
        <w:jc w:val="both"/>
      </w:pPr>
      <w:r>
        <w:rPr>
          <w:rStyle w:val="soitChar"/>
          <w:u w:val="single"/>
        </w:rPr>
        <w:t>Panneau multiplex bois </w:t>
      </w:r>
      <w:r>
        <w:t> </w:t>
      </w:r>
    </w:p>
    <w:p w14:paraId="2FCE1F81" w14:textId="77777777" w:rsidR="00DF410E" w:rsidRDefault="00CE7F43">
      <w:pPr>
        <w:ind w:left="567"/>
        <w:jc w:val="both"/>
      </w:pPr>
      <w:r>
        <w:rPr>
          <w:rStyle w:val="soitChar"/>
        </w:rPr>
        <w:t>Pour le descriptif, voir l’article </w:t>
      </w:r>
      <w:hyperlink w:anchor="596" w:history="1">
        <w:r>
          <w:rPr>
            <w:rStyle w:val="soitChar"/>
          </w:rPr>
          <w:t>24.16.1a Panneaux contreplaqués (PW)</w:t>
        </w:r>
      </w:hyperlink>
      <w:r>
        <w:rPr>
          <w:rStyle w:val="soitChar"/>
        </w:rPr>
        <w:t>.</w:t>
      </w:r>
      <w:r>
        <w:t>   </w:t>
      </w:r>
    </w:p>
    <w:p w14:paraId="119B590E" w14:textId="77777777" w:rsidR="00DF410E" w:rsidRDefault="00CE7F43">
      <w:pPr>
        <w:ind w:left="567"/>
        <w:jc w:val="both"/>
      </w:pPr>
      <w:r>
        <w:rPr>
          <w:rStyle w:val="soitChar"/>
        </w:rPr>
        <w:t>Le multiplex est en bois </w:t>
      </w:r>
      <w:r>
        <w:t> </w:t>
      </w:r>
      <w:r>
        <w:rPr>
          <w:rStyle w:val="optioncarChar"/>
        </w:rPr>
        <w:t>feuillus / résineux. </w:t>
      </w:r>
      <w:r>
        <w:t> </w:t>
      </w:r>
    </w:p>
    <w:p w14:paraId="0FB4229D" w14:textId="77777777" w:rsidR="00DF410E" w:rsidRDefault="00CE7F43">
      <w:pPr>
        <w:ind w:left="567"/>
        <w:jc w:val="both"/>
      </w:pPr>
      <w:r>
        <w:rPr>
          <w:rStyle w:val="soitChar"/>
        </w:rPr>
        <w:t>Les panneaux ont une épaisseur de </w:t>
      </w:r>
      <w:r>
        <w:t> </w:t>
      </w:r>
      <w:r>
        <w:rPr>
          <w:rStyle w:val="optioncarChar"/>
        </w:rPr>
        <w:t>14 / 16 </w:t>
      </w:r>
      <w:r>
        <w:t>(par défaut) </w:t>
      </w:r>
      <w:r>
        <w:rPr>
          <w:rStyle w:val="optioncarChar"/>
        </w:rPr>
        <w:t>/ 19 / 21 / 27 / *** </w:t>
      </w:r>
      <w:r>
        <w:rPr>
          <w:rStyle w:val="soitChar"/>
        </w:rPr>
        <w:t>mm.</w:t>
      </w:r>
    </w:p>
    <w:p w14:paraId="0CA0A12D" w14:textId="77777777" w:rsidR="00DF410E" w:rsidRDefault="00CE7F43">
      <w:pPr>
        <w:ind w:left="567"/>
        <w:jc w:val="both"/>
      </w:pPr>
      <w:r>
        <w:rPr>
          <w:b/>
          <w:i/>
        </w:rPr>
        <w:t>(Soit)</w:t>
      </w:r>
    </w:p>
    <w:p w14:paraId="09540169" w14:textId="77777777" w:rsidR="00DF410E" w:rsidRDefault="00CE7F43">
      <w:pPr>
        <w:ind w:left="567"/>
        <w:jc w:val="both"/>
      </w:pPr>
      <w:r>
        <w:rPr>
          <w:rStyle w:val="soitChar"/>
          <w:u w:val="single"/>
        </w:rPr>
        <w:t>CLT </w:t>
      </w:r>
      <w:r>
        <w:t> </w:t>
      </w:r>
    </w:p>
    <w:p w14:paraId="76C6C640" w14:textId="77777777" w:rsidR="00DF410E" w:rsidRDefault="00CE7F43">
      <w:pPr>
        <w:ind w:left="567"/>
        <w:jc w:val="both"/>
      </w:pPr>
      <w:r>
        <w:rPr>
          <w:rStyle w:val="soitChar"/>
        </w:rPr>
        <w:t>Les panneaux répondent à la [NBN EN 16351].</w:t>
      </w:r>
      <w:r>
        <w:t>   </w:t>
      </w:r>
    </w:p>
    <w:p w14:paraId="42B06C6D" w14:textId="77777777" w:rsidR="00DF410E" w:rsidRDefault="00CE7F43">
      <w:pPr>
        <w:ind w:left="567"/>
        <w:jc w:val="both"/>
      </w:pPr>
      <w:r>
        <w:rPr>
          <w:rStyle w:val="soitChar"/>
        </w:rPr>
        <w:t>Les panneaux ont une épaisseur de </w:t>
      </w:r>
      <w:r>
        <w:t> </w:t>
      </w:r>
      <w:r>
        <w:rPr>
          <w:rStyle w:val="optioncarChar"/>
        </w:rPr>
        <w:t>60 </w:t>
      </w:r>
      <w:r>
        <w:t>(par défaut)</w:t>
      </w:r>
      <w:r>
        <w:rPr>
          <w:rStyle w:val="optioncarChar"/>
        </w:rPr>
        <w:t> / ***</w:t>
      </w:r>
      <w:r>
        <w:rPr>
          <w:rStyle w:val="soitChar"/>
        </w:rPr>
        <w:t> mm.</w:t>
      </w:r>
    </w:p>
    <w:p w14:paraId="053C7016" w14:textId="77777777" w:rsidR="00DF410E" w:rsidRDefault="00CE7F43">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7AA4B156" w14:textId="77777777" w:rsidR="00DF410E" w:rsidRDefault="00CE7F43">
      <w:pPr>
        <w:ind w:left="567"/>
        <w:jc w:val="both"/>
      </w:pPr>
      <w:r>
        <w:rPr>
          <w:b/>
          <w:i/>
        </w:rPr>
        <w:t>(Soit)</w:t>
      </w:r>
    </w:p>
    <w:p w14:paraId="1B343D09" w14:textId="77777777" w:rsidR="00DF410E" w:rsidRDefault="00CE7F43">
      <w:pPr>
        <w:ind w:left="567"/>
        <w:jc w:val="both"/>
      </w:pPr>
      <w:r>
        <w:rPr>
          <w:rStyle w:val="optioncarChar"/>
        </w:rPr>
        <w:t>***</w:t>
      </w:r>
      <w:r>
        <w:t> </w:t>
      </w:r>
    </w:p>
    <w:p w14:paraId="3E16416F" w14:textId="77777777" w:rsidR="00DF410E" w:rsidRDefault="00CE7F43">
      <w:pPr>
        <w:jc w:val="both"/>
      </w:pPr>
      <w:r>
        <w:t>Le panneau intérieur est </w:t>
      </w:r>
      <w:r>
        <w:rPr>
          <w:rStyle w:val="optioncarChar"/>
        </w:rPr>
        <w:t>contreventant </w:t>
      </w:r>
      <w:r>
        <w:t>(par défaut) </w:t>
      </w:r>
      <w:r>
        <w:rPr>
          <w:rStyle w:val="optioncarChar"/>
        </w:rPr>
        <w:t>/ non contreventant.</w:t>
      </w:r>
    </w:p>
    <w:p w14:paraId="76D91DE1" w14:textId="77777777" w:rsidR="00DF410E" w:rsidRDefault="00CE7F43">
      <w:pPr>
        <w:ind w:left="567"/>
        <w:jc w:val="both"/>
      </w:pPr>
      <w:r>
        <w:rPr>
          <w:b/>
          <w:i/>
        </w:rPr>
        <w:t>(Soit par défaut)</w:t>
      </w:r>
    </w:p>
    <w:p w14:paraId="025C49C9" w14:textId="77777777" w:rsidR="00DF410E" w:rsidRDefault="00CE7F43">
      <w:pPr>
        <w:ind w:left="567"/>
        <w:jc w:val="both"/>
      </w:pPr>
      <w:r>
        <w:rPr>
          <w:rStyle w:val="soitChar"/>
          <w:u w:val="single"/>
        </w:rPr>
        <w:t>Contreventant</w:t>
      </w:r>
    </w:p>
    <w:p w14:paraId="2987600A" w14:textId="77777777" w:rsidR="00DF410E" w:rsidRDefault="00CE7F43">
      <w:pPr>
        <w:ind w:left="567"/>
        <w:jc w:val="both"/>
      </w:pPr>
      <w:r>
        <w:rPr>
          <w:rStyle w:val="soitChar"/>
        </w:rPr>
        <w:t>Résistance en flexion ≥ </w:t>
      </w:r>
      <w:r>
        <w:t> </w:t>
      </w:r>
      <w:r>
        <w:rPr>
          <w:rStyle w:val="optioncarChar"/>
        </w:rPr>
        <w:t>12 / 14</w:t>
      </w:r>
      <w:r>
        <w:t>  (par défaut)  </w:t>
      </w:r>
      <w:r>
        <w:rPr>
          <w:rStyle w:val="optioncarChar"/>
        </w:rPr>
        <w:t>/ 16 / ***</w:t>
      </w:r>
      <w:r>
        <w:t> </w:t>
      </w:r>
      <w:r>
        <w:rPr>
          <w:rStyle w:val="soitChar"/>
        </w:rPr>
        <w:t>N/mm² suivant [NBN EN 310].</w:t>
      </w:r>
      <w:r>
        <w:t> </w:t>
      </w:r>
    </w:p>
    <w:p w14:paraId="497C2611" w14:textId="77777777" w:rsidR="00DF410E" w:rsidRDefault="00CE7F43">
      <w:pPr>
        <w:ind w:left="567"/>
        <w:jc w:val="both"/>
      </w:pPr>
      <w:r>
        <w:rPr>
          <w:rStyle w:val="soitChar"/>
        </w:rPr>
        <w:t>Module d’élasticité en flexion ≥ </w:t>
      </w:r>
      <w:r>
        <w:t> </w:t>
      </w:r>
      <w:r>
        <w:rPr>
          <w:rStyle w:val="optioncarChar"/>
        </w:rPr>
        <w:t>1600 / 1800 </w:t>
      </w:r>
      <w:r>
        <w:t> (par défaut)  </w:t>
      </w:r>
      <w:r>
        <w:rPr>
          <w:rStyle w:val="optioncarChar"/>
        </w:rPr>
        <w:t>/ 2000 / ***</w:t>
      </w:r>
      <w:r>
        <w:t> </w:t>
      </w:r>
      <w:r>
        <w:rPr>
          <w:rStyle w:val="soitChar"/>
        </w:rPr>
        <w:t> N/mm² suivant [NBN EN 310].</w:t>
      </w:r>
      <w:r>
        <w:t> </w:t>
      </w:r>
    </w:p>
    <w:p w14:paraId="3ACD4121" w14:textId="77777777" w:rsidR="00DF410E" w:rsidRDefault="00CE7F43">
      <w:pPr>
        <w:ind w:left="567"/>
        <w:jc w:val="both"/>
      </w:pPr>
      <w:r>
        <w:rPr>
          <w:rStyle w:val="soitChar"/>
        </w:rPr>
        <w:t>Traction perpendiculaire aux faces ≥ </w:t>
      </w:r>
      <w:r>
        <w:t> </w:t>
      </w:r>
      <w:r>
        <w:rPr>
          <w:rStyle w:val="optioncarChar"/>
        </w:rPr>
        <w:t>0.30 / 0.35 </w:t>
      </w:r>
      <w:r>
        <w:t> (par défaut) </w:t>
      </w:r>
      <w:r>
        <w:rPr>
          <w:rStyle w:val="optioncarChar"/>
        </w:rPr>
        <w:t> / 0.4 / ***</w:t>
      </w:r>
      <w:r>
        <w:t> </w:t>
      </w:r>
      <w:r>
        <w:rPr>
          <w:rStyle w:val="soitChar"/>
        </w:rPr>
        <w:t> N/mm² suivant [NBN EN 319].</w:t>
      </w:r>
    </w:p>
    <w:p w14:paraId="6F48587E" w14:textId="77777777" w:rsidR="00DF410E" w:rsidRDefault="00CE7F43">
      <w:pPr>
        <w:ind w:left="567"/>
        <w:jc w:val="both"/>
      </w:pPr>
      <w:r>
        <w:rPr>
          <w:b/>
          <w:i/>
        </w:rPr>
        <w:t>(Soit)</w:t>
      </w:r>
    </w:p>
    <w:p w14:paraId="4577BAE1" w14:textId="77777777" w:rsidR="00DF410E" w:rsidRDefault="00CE7F43">
      <w:pPr>
        <w:ind w:left="567"/>
        <w:jc w:val="both"/>
      </w:pPr>
      <w:r>
        <w:rPr>
          <w:rStyle w:val="soitChar"/>
          <w:u w:val="single"/>
        </w:rPr>
        <w:t>Non-contreventant</w:t>
      </w:r>
    </w:p>
    <w:p w14:paraId="1D49332A" w14:textId="77777777" w:rsidR="00DF410E" w:rsidRDefault="00CE7F43">
      <w:pPr>
        <w:ind w:left="567"/>
        <w:jc w:val="both"/>
      </w:pPr>
      <w:r>
        <w:rPr>
          <w:rStyle w:val="soitChar"/>
        </w:rPr>
        <w:t>Résistance en flexion ≥ </w:t>
      </w:r>
      <w:r>
        <w:t> </w:t>
      </w:r>
      <w:r>
        <w:rPr>
          <w:rStyle w:val="optioncarChar"/>
        </w:rPr>
        <w:t>12 / 14 </w:t>
      </w:r>
      <w:r>
        <w:t> (par défaut) </w:t>
      </w:r>
      <w:r>
        <w:rPr>
          <w:rStyle w:val="optioncarChar"/>
        </w:rPr>
        <w:t> / 16 / ***</w:t>
      </w:r>
      <w:r>
        <w:t> </w:t>
      </w:r>
      <w:r>
        <w:rPr>
          <w:rStyle w:val="soitChar"/>
        </w:rPr>
        <w:t> N/mm² suivant [NBN EN 310]</w:t>
      </w:r>
      <w:r>
        <w:t> </w:t>
      </w:r>
    </w:p>
    <w:p w14:paraId="1C3C9B8A" w14:textId="77777777" w:rsidR="00DF410E" w:rsidRDefault="00CE7F43">
      <w:pPr>
        <w:jc w:val="both"/>
      </w:pPr>
      <w:r>
        <w:t>Le caisson </w:t>
      </w:r>
      <w:r>
        <w:rPr>
          <w:rStyle w:val="optioncarChar"/>
        </w:rPr>
        <w:t>est / n’est pas</w:t>
      </w:r>
      <w:r>
        <w:t> (par défaut) muni d’une gaine technique d’une épaisseur de </w:t>
      </w:r>
      <w:r>
        <w:rPr>
          <w:rStyle w:val="optioncarChar"/>
        </w:rPr>
        <w:t>60 / ***</w:t>
      </w:r>
      <w:r>
        <w:t> mm.</w:t>
      </w:r>
    </w:p>
    <w:p w14:paraId="5C27C955" w14:textId="77777777" w:rsidR="00DF410E" w:rsidRDefault="00CE7F43">
      <w:pPr>
        <w:jc w:val="both"/>
      </w:pPr>
      <w:r>
        <w:rPr>
          <w:b/>
        </w:rPr>
        <w:t>Remplissage en galets de terre crue</w:t>
      </w:r>
    </w:p>
    <w:p w14:paraId="7D63B7AA" w14:textId="77777777" w:rsidR="00DF410E" w:rsidRDefault="00CE7F43">
      <w:pPr>
        <w:jc w:val="both"/>
      </w:pPr>
      <w:r>
        <w:t>Le remplissage du vide technique est réalisé à l’aide de galets de terre crue.</w:t>
      </w:r>
    </w:p>
    <w:p w14:paraId="7589E346" w14:textId="77777777" w:rsidR="00DF410E" w:rsidRDefault="00CE7F43">
      <w:pPr>
        <w:jc w:val="both"/>
      </w:pPr>
      <w:r>
        <w:t xml:space="preserve">Les galets de terres sont disposés dans le vide technique créé par la pose d’un chevron de +/- </w:t>
      </w:r>
      <w:r>
        <w:rPr>
          <w:rStyle w:val="optioncarChar"/>
        </w:rPr>
        <w:t xml:space="preserve">30 / 40 / 50 </w:t>
      </w:r>
      <w:r>
        <w:t>(par défaut)</w:t>
      </w:r>
      <w:r>
        <w:rPr>
          <w:rStyle w:val="optioncarChar"/>
        </w:rPr>
        <w:t xml:space="preserve"> / 60 / ***</w:t>
      </w:r>
      <w:r>
        <w:t xml:space="preserve">  mm en atelier. Les galets sont composés d’argile, de sable, de chaux et d’adjuvants éventuels.</w:t>
      </w:r>
    </w:p>
    <w:p w14:paraId="45E0F1A3" w14:textId="77777777" w:rsidR="00DF410E" w:rsidRDefault="00CE7F43">
      <w:pPr>
        <w:jc w:val="both"/>
      </w:pPr>
      <w:r>
        <w:t xml:space="preserve">Ils se présentent sous la forme d’un galet cylindrique de +/-  </w:t>
      </w:r>
      <w:r>
        <w:rPr>
          <w:rStyle w:val="optioncarChar"/>
        </w:rPr>
        <w:t xml:space="preserve">5 / 8 / 12 </w:t>
      </w:r>
      <w:r>
        <w:t>(par défaut)</w:t>
      </w:r>
      <w:r>
        <w:rPr>
          <w:rStyle w:val="optioncarChar"/>
        </w:rPr>
        <w:t xml:space="preserve"> / 14 /  ***</w:t>
      </w:r>
      <w:r>
        <w:t xml:space="preserve"> cm de diamètre et de +/- </w:t>
      </w:r>
      <w:r>
        <w:rPr>
          <w:rStyle w:val="optioncarChar"/>
        </w:rPr>
        <w:t xml:space="preserve">30 / 40 / 50 </w:t>
      </w:r>
      <w:r>
        <w:t xml:space="preserve">(par défaut) </w:t>
      </w:r>
      <w:r>
        <w:rPr>
          <w:rStyle w:val="optioncarChar"/>
        </w:rPr>
        <w:t>/ 60 / ***</w:t>
      </w:r>
      <w:r>
        <w:t>  mm d’épaisseur +/- 2 mm.</w:t>
      </w:r>
    </w:p>
    <w:p w14:paraId="61A2C1C5" w14:textId="77777777" w:rsidR="00DF410E" w:rsidRDefault="00CE7F43">
      <w:pPr>
        <w:jc w:val="both"/>
      </w:pPr>
      <w:r>
        <w:t xml:space="preserve">La masse volumique minimale des galets est de </w:t>
      </w:r>
      <w:r>
        <w:rPr>
          <w:rStyle w:val="optioncarChar"/>
        </w:rPr>
        <w:t>1500 / 1800</w:t>
      </w:r>
      <w:r>
        <w:t xml:space="preserve"> (par défaut)</w:t>
      </w:r>
      <w:r>
        <w:rPr>
          <w:rStyle w:val="optioncarChar"/>
        </w:rPr>
        <w:t xml:space="preserve"> / ***</w:t>
      </w:r>
      <w:r>
        <w:t xml:space="preserve"> kg/m³.</w:t>
      </w:r>
    </w:p>
    <w:p w14:paraId="3BF08E50" w14:textId="77777777" w:rsidR="00DF410E" w:rsidRDefault="00CE7F43">
      <w:pPr>
        <w:jc w:val="both"/>
      </w:pPr>
      <w:r>
        <w:rPr>
          <w:b/>
        </w:rPr>
        <w:t>Plaque de parement intérieur</w:t>
      </w:r>
    </w:p>
    <w:p w14:paraId="1690748C" w14:textId="77777777" w:rsidR="00DF410E" w:rsidRDefault="00CE7F43">
      <w:pPr>
        <w:jc w:val="both"/>
      </w:pPr>
      <w:r>
        <w:t>Les faces sont constituées de </w:t>
      </w:r>
      <w:r>
        <w:rPr>
          <w:rStyle w:val="optioncarChar"/>
        </w:rPr>
        <w:t>plaques de plâtre </w:t>
      </w:r>
      <w:r>
        <w:t>(par défaut)</w:t>
      </w:r>
      <w:r>
        <w:rPr>
          <w:rStyle w:val="optioncarChar"/>
        </w:rPr>
        <w:t> / de panneaux multiplex bois / d’un panneau OSB / ***.</w:t>
      </w:r>
    </w:p>
    <w:p w14:paraId="3ED3DE66" w14:textId="77777777" w:rsidR="00DF410E" w:rsidRDefault="00CE7F43">
      <w:pPr>
        <w:ind w:left="567"/>
        <w:jc w:val="both"/>
      </w:pPr>
      <w:r>
        <w:rPr>
          <w:b/>
          <w:i/>
        </w:rPr>
        <w:t>(Soit par défaut)</w:t>
      </w:r>
    </w:p>
    <w:p w14:paraId="6107CA17" w14:textId="77777777" w:rsidR="00DF410E" w:rsidRDefault="00CE7F43">
      <w:pPr>
        <w:ind w:left="567"/>
        <w:jc w:val="both"/>
      </w:pPr>
      <w:r>
        <w:rPr>
          <w:rStyle w:val="soitChar"/>
          <w:u w:val="single"/>
        </w:rPr>
        <w:t>Plaques de plâtre</w:t>
      </w:r>
    </w:p>
    <w:p w14:paraId="02E0C8CC" w14:textId="77777777" w:rsidR="00DF410E" w:rsidRDefault="00CE7F43">
      <w:pPr>
        <w:ind w:left="567"/>
        <w:jc w:val="both"/>
      </w:pPr>
      <w:r>
        <w:rPr>
          <w:rStyle w:val="soitChar"/>
        </w:rPr>
        <w:t>Plaques de plâtre renforcées de fibres de cellulose dans la masse.</w:t>
      </w:r>
      <w:r>
        <w:t> </w:t>
      </w:r>
    </w:p>
    <w:p w14:paraId="0483F7EE" w14:textId="77777777" w:rsidR="00DF410E" w:rsidRDefault="00CE7F43">
      <w:pPr>
        <w:ind w:left="567"/>
        <w:jc w:val="both"/>
      </w:pPr>
      <w:r>
        <w:rPr>
          <w:rStyle w:val="soitChar"/>
        </w:rPr>
        <w:t>La masse volumique de la plaque de plâtre est  ≥ à </w:t>
      </w:r>
      <w:r>
        <w:rPr>
          <w:rStyle w:val="optioncarChar"/>
        </w:rPr>
        <w:t>1200 </w:t>
      </w:r>
      <w:r>
        <w:t>(par défaut)</w:t>
      </w:r>
      <w:r>
        <w:rPr>
          <w:rStyle w:val="optioncarChar"/>
        </w:rPr>
        <w:t>  / 1400</w:t>
      </w:r>
      <w:r>
        <w:rPr>
          <w:rStyle w:val="soitChar"/>
        </w:rPr>
        <w:t> kg/m³.</w:t>
      </w:r>
    </w:p>
    <w:p w14:paraId="55CB1352" w14:textId="77777777" w:rsidR="00DF410E" w:rsidRDefault="00CE7F43">
      <w:pPr>
        <w:ind w:left="567"/>
        <w:jc w:val="both"/>
      </w:pPr>
      <w:r>
        <w:rPr>
          <w:rStyle w:val="soitChar"/>
        </w:rPr>
        <w:t>L’épaisseur des plaques est de </w:t>
      </w:r>
      <w:r>
        <w:rPr>
          <w:rStyle w:val="optioncarChar"/>
        </w:rPr>
        <w:t>12,5</w:t>
      </w:r>
      <w:r>
        <w:t>  (par défaut) </w:t>
      </w:r>
      <w:r>
        <w:rPr>
          <w:rStyle w:val="optioncarChar"/>
        </w:rPr>
        <w:t>/ 15</w:t>
      </w:r>
      <w:r>
        <w:t>  </w:t>
      </w:r>
      <w:r>
        <w:rPr>
          <w:rStyle w:val="soitChar"/>
        </w:rPr>
        <w:t>mm.</w:t>
      </w:r>
    </w:p>
    <w:p w14:paraId="6AB1018D" w14:textId="77777777" w:rsidR="00DF410E" w:rsidRDefault="00CE7F43">
      <w:pPr>
        <w:ind w:left="567"/>
        <w:jc w:val="both"/>
      </w:pPr>
      <w:r>
        <w:rPr>
          <w:b/>
          <w:i/>
        </w:rPr>
        <w:t>(Soit)</w:t>
      </w:r>
    </w:p>
    <w:p w14:paraId="239567CC" w14:textId="77777777" w:rsidR="00DF410E" w:rsidRDefault="00CE7F43">
      <w:pPr>
        <w:ind w:left="567"/>
        <w:jc w:val="both"/>
      </w:pPr>
      <w:r>
        <w:rPr>
          <w:rStyle w:val="soitChar"/>
          <w:u w:val="single"/>
        </w:rPr>
        <w:t>Panneau multiplex bois </w:t>
      </w:r>
      <w:r>
        <w:t> </w:t>
      </w:r>
    </w:p>
    <w:p w14:paraId="35BBD454" w14:textId="77777777" w:rsidR="00DF410E" w:rsidRDefault="00CE7F43">
      <w:pPr>
        <w:ind w:left="567"/>
        <w:jc w:val="both"/>
      </w:pPr>
      <w:r>
        <w:rPr>
          <w:rStyle w:val="soitChar"/>
        </w:rPr>
        <w:t>Le multiplex est en bois </w:t>
      </w:r>
      <w:r>
        <w:t> </w:t>
      </w:r>
      <w:r>
        <w:rPr>
          <w:rStyle w:val="optioncarChar"/>
        </w:rPr>
        <w:t>feuillus / résineux. </w:t>
      </w:r>
      <w:r>
        <w:t> </w:t>
      </w:r>
    </w:p>
    <w:p w14:paraId="01CD5E7B" w14:textId="77777777" w:rsidR="00DF410E" w:rsidRDefault="00CE7F43">
      <w:pPr>
        <w:ind w:left="567"/>
        <w:jc w:val="both"/>
      </w:pPr>
      <w:r>
        <w:rPr>
          <w:rStyle w:val="soitChar"/>
        </w:rPr>
        <w:t>Les panneaux ont une épaisseur de </w:t>
      </w:r>
      <w:r>
        <w:t> </w:t>
      </w:r>
      <w:r>
        <w:rPr>
          <w:rStyle w:val="optioncarChar"/>
        </w:rPr>
        <w:t>14 / 16 </w:t>
      </w:r>
      <w:r>
        <w:t> (par défaut)  </w:t>
      </w:r>
      <w:r>
        <w:rPr>
          <w:rStyle w:val="optioncarChar"/>
        </w:rPr>
        <w:t>/ 19 / 21 / 27 / ***</w:t>
      </w:r>
      <w:r>
        <w:t>  </w:t>
      </w:r>
      <w:r>
        <w:rPr>
          <w:rStyle w:val="soitChar"/>
        </w:rPr>
        <w:t>mm.</w:t>
      </w:r>
    </w:p>
    <w:p w14:paraId="3EAE3E7E" w14:textId="77777777" w:rsidR="00DF410E" w:rsidRDefault="00CE7F43">
      <w:pPr>
        <w:ind w:left="567"/>
        <w:jc w:val="both"/>
      </w:pPr>
      <w:r>
        <w:rPr>
          <w:rStyle w:val="soitChar"/>
        </w:rPr>
        <w:t>Les panneaux sont </w:t>
      </w:r>
      <w:r>
        <w:rPr>
          <w:rStyle w:val="optioncarChar"/>
        </w:rPr>
        <w:t>à bord droit / rainurés languettés </w:t>
      </w:r>
      <w:r>
        <w:t>(par défaut)</w:t>
      </w:r>
      <w:r>
        <w:rPr>
          <w:rStyle w:val="soitChar"/>
        </w:rPr>
        <w:t>.</w:t>
      </w:r>
    </w:p>
    <w:p w14:paraId="3DA04F41" w14:textId="77777777" w:rsidR="00DF410E" w:rsidRDefault="00CE7F43">
      <w:pPr>
        <w:ind w:left="567"/>
        <w:jc w:val="both"/>
      </w:pPr>
      <w:r>
        <w:rPr>
          <w:b/>
          <w:i/>
        </w:rPr>
        <w:t>(Soit)</w:t>
      </w:r>
    </w:p>
    <w:p w14:paraId="4A0D352C" w14:textId="77777777" w:rsidR="00DF410E" w:rsidRDefault="00CE7F43">
      <w:pPr>
        <w:ind w:left="567"/>
        <w:jc w:val="both"/>
      </w:pPr>
      <w:r>
        <w:rPr>
          <w:rStyle w:val="soitChar"/>
          <w:u w:val="single"/>
        </w:rPr>
        <w:t>Osb</w:t>
      </w:r>
    </w:p>
    <w:p w14:paraId="77BDBA8A" w14:textId="77777777" w:rsidR="00DF410E" w:rsidRDefault="00CE7F43">
      <w:pPr>
        <w:ind w:left="567"/>
        <w:jc w:val="both"/>
      </w:pPr>
      <w:r>
        <w:rPr>
          <w:rStyle w:val="soitChar"/>
        </w:rPr>
        <w:t>Pour le descriptif, voir l’article </w:t>
      </w:r>
      <w:hyperlink w:anchor="595" w:history="1">
        <w:r>
          <w:rPr>
            <w:rStyle w:val="soitChar"/>
          </w:rPr>
          <w:t>24.16.1b Panneaux OSB</w:t>
        </w:r>
      </w:hyperlink>
      <w:r>
        <w:t> </w:t>
      </w:r>
    </w:p>
    <w:p w14:paraId="44AA2D01" w14:textId="77777777" w:rsidR="00DF410E" w:rsidRDefault="00CE7F43">
      <w:pPr>
        <w:ind w:left="567"/>
        <w:jc w:val="both"/>
      </w:pPr>
      <w:r>
        <w:rPr>
          <w:rStyle w:val="soitChar"/>
        </w:rPr>
        <w:t>Les panneaux sont </w:t>
      </w:r>
      <w:r>
        <w:rPr>
          <w:rStyle w:val="optioncarChar"/>
        </w:rPr>
        <w:t>à bord droit / rainurés languettés </w:t>
      </w:r>
      <w:r>
        <w:t>(par défaut).</w:t>
      </w:r>
    </w:p>
    <w:p w14:paraId="4F8D565B" w14:textId="77777777" w:rsidR="00DF410E" w:rsidRDefault="00CE7F43">
      <w:pPr>
        <w:ind w:left="567"/>
        <w:jc w:val="both"/>
      </w:pPr>
      <w:r>
        <w:rPr>
          <w:rStyle w:val="soitChar"/>
        </w:rPr>
        <w:t>Les panneaux répondent à la [NBN EN 300] et à la [NBN EN 13986+A1].</w:t>
      </w:r>
    </w:p>
    <w:p w14:paraId="7C36B679" w14:textId="77777777" w:rsidR="00DF410E" w:rsidRDefault="00CE7F43">
      <w:pPr>
        <w:ind w:left="567"/>
        <w:jc w:val="both"/>
      </w:pPr>
      <w:r>
        <w:rPr>
          <w:b/>
          <w:i/>
        </w:rPr>
        <w:t>(Soit)</w:t>
      </w:r>
    </w:p>
    <w:p w14:paraId="5A0342DB" w14:textId="77777777" w:rsidR="00DF410E" w:rsidRDefault="00CE7F43">
      <w:pPr>
        <w:ind w:left="567"/>
        <w:jc w:val="both"/>
      </w:pPr>
      <w:r>
        <w:rPr>
          <w:rStyle w:val="optioncarChar"/>
        </w:rPr>
        <w:t>***</w:t>
      </w:r>
    </w:p>
    <w:p w14:paraId="4A28B1FC" w14:textId="77777777" w:rsidR="00DF410E" w:rsidRDefault="00CE7F43">
      <w:pPr>
        <w:jc w:val="both"/>
      </w:pPr>
      <w:r>
        <w:t>La réaction au feu est de classe </w:t>
      </w:r>
      <w:r>
        <w:rPr>
          <w:rStyle w:val="optioncarChar"/>
        </w:rPr>
        <w:t>D-s2, d0 </w:t>
      </w:r>
      <w:r>
        <w:t>(par défaut)</w:t>
      </w:r>
      <w:r>
        <w:rPr>
          <w:rStyle w:val="optioncarChar"/>
        </w:rPr>
        <w:t> / ***.</w:t>
      </w:r>
    </w:p>
    <w:p w14:paraId="1640F601" w14:textId="77777777" w:rsidR="00DF410E" w:rsidRDefault="00CE7F43">
      <w:pPr>
        <w:pStyle w:val="pheading"/>
      </w:pPr>
      <w:r>
        <w:t>- Finitions</w:t>
      </w:r>
    </w:p>
    <w:p w14:paraId="552A3597" w14:textId="77777777" w:rsidR="00DF410E" w:rsidRDefault="00CE7F43">
      <w:pPr>
        <w:jc w:val="both"/>
      </w:pPr>
      <w:r>
        <w:t>La plaque de parement intérieur est peinte ou recouverte d’un enduit intérieur.</w:t>
      </w:r>
    </w:p>
    <w:p w14:paraId="4F56C8A8" w14:textId="77777777" w:rsidR="00DF410E" w:rsidRDefault="00CE7F43">
      <w:pPr>
        <w:jc w:val="both"/>
      </w:pPr>
      <w:r>
        <w:t>La peinture (</w:t>
      </w:r>
      <w:hyperlink r:id="rId294" w:history="1" w:docLocation="47">
        <w:r>
          <w:t>8 T8 Travaux de peinture / Traitements de surface</w:t>
        </w:r>
      </w:hyperlink>
      <w:r>
        <w:t>) ou finition (</w:t>
      </w:r>
      <w:hyperlink r:id="rId295" w:history="1" w:docLocation="44">
        <w:r>
          <w:t>5 T5 Fermetures / Finitions intérieures</w:t>
        </w:r>
      </w:hyperlink>
      <w:r>
        <w:t>) éventuelles sont comprises dans un autre article.</w:t>
      </w:r>
    </w:p>
    <w:p w14:paraId="4F5CB6F6" w14:textId="77777777" w:rsidR="00DF410E" w:rsidRDefault="00CE7F43">
      <w:pPr>
        <w:pStyle w:val="pheading"/>
      </w:pPr>
      <w:r>
        <w:t>- Prescriptions complémentaires</w:t>
      </w:r>
    </w:p>
    <w:p w14:paraId="32E3E4B8" w14:textId="77777777" w:rsidR="00DF410E" w:rsidRDefault="00CE7F43">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14:paraId="6BCA2927" w14:textId="77777777" w:rsidR="00DF410E" w:rsidRDefault="00CE7F43">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EMICODE EC 1 </w:t>
      </w:r>
      <w:r>
        <w:t>(par défaut)</w:t>
      </w:r>
      <w:r>
        <w:rPr>
          <w:rStyle w:val="optioncarChar"/>
        </w:rPr>
        <w:t> / au label EMICODE EC 2 / ***</w:t>
      </w:r>
      <w:r>
        <w:rPr>
          <w:rStyle w:val="facultChar"/>
        </w:rPr>
        <w:t>.</w:t>
      </w:r>
    </w:p>
    <w:p w14:paraId="4599B3DB" w14:textId="77777777" w:rsidR="00DF410E" w:rsidRDefault="00CE7F43">
      <w:pPr>
        <w:pStyle w:val="pheading"/>
      </w:pPr>
      <w:r>
        <w:t>EXÉCUTION / MISE EN ŒUVRE</w:t>
      </w:r>
    </w:p>
    <w:p w14:paraId="3495A79C" w14:textId="77777777" w:rsidR="00DF410E" w:rsidRDefault="00CE7F43">
      <w:pPr>
        <w:pStyle w:val="pheading"/>
      </w:pPr>
      <w:r>
        <w:t>- Prescriptions générales</w:t>
      </w:r>
    </w:p>
    <w:p w14:paraId="6C4BD759" w14:textId="77777777" w:rsidR="00DF410E" w:rsidRDefault="00CE7F43">
      <w:pPr>
        <w:jc w:val="both"/>
      </w:pPr>
      <w:r>
        <w:t>Les sections de l’ossature préfabriquée et les modes de jonctions de ces parois font l’objet d’une validation par un bureau d’ingénieur.</w:t>
      </w:r>
    </w:p>
    <w:p w14:paraId="34915CB5" w14:textId="77777777" w:rsidR="00DF410E" w:rsidRDefault="00CE7F43">
      <w:pPr>
        <w:jc w:val="both"/>
      </w:pPr>
      <w:r>
        <w:t>Tous les assemblages mécaniques structuraux sont dimensionnés selon les principes de l’Eurocode 5 [NBN EN 1995-1-1].</w:t>
      </w:r>
    </w:p>
    <w:p w14:paraId="479E4A78" w14:textId="77777777" w:rsidR="00DF410E" w:rsidRDefault="00CE7F43">
      <w:pPr>
        <w:jc w:val="both"/>
      </w:pPr>
      <w:r>
        <w:t>Sauf indication contraire, tous les bâtiments ou parties de bâtiments construits en bois doivent respecter les tolérances de mise en œuvre énoncées dans la [STS 23-1].</w:t>
      </w:r>
    </w:p>
    <w:p w14:paraId="1E9BB8B5" w14:textId="77777777" w:rsidR="00DF410E" w:rsidRDefault="00CE7F43">
      <w:pPr>
        <w:jc w:val="both"/>
      </w:pPr>
      <w:r>
        <w:t>Dans le cas d’un bâtiment bas (H&lt;10) en ossature bois, les tolérances de mise en œuvre listées dans la [STS 23-1] doivent aussi être respectées.</w:t>
      </w:r>
    </w:p>
    <w:p w14:paraId="5709CCCC" w14:textId="77777777" w:rsidR="00DF410E" w:rsidRDefault="00CE7F43">
      <w:pPr>
        <w:jc w:val="both"/>
      </w:pPr>
      <w:r>
        <w:t>Les faces de la cloison sont protégées pour permettre le transport de l’élément préfabriqué.</w:t>
      </w:r>
    </w:p>
    <w:p w14:paraId="2E028E2B" w14:textId="77777777" w:rsidR="00DF410E" w:rsidRDefault="00CE7F43">
      <w:pPr>
        <w:jc w:val="both"/>
      </w:pPr>
      <w:r>
        <w:rPr>
          <w:b/>
        </w:rPr>
        <w:t>Pare-vapeur – frein vapeur</w:t>
      </w:r>
    </w:p>
    <w:p w14:paraId="3314DC37" w14:textId="77777777" w:rsidR="00DF410E" w:rsidRDefault="00CE7F43">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14:paraId="42510698" w14:textId="77777777" w:rsidR="00DF410E" w:rsidRDefault="00CE7F43">
      <w:pPr>
        <w:jc w:val="both"/>
      </w:pPr>
      <w:r>
        <w:t>Pour le descriptif des bandes adhésive, voir article </w:t>
      </w:r>
      <w:hyperlink r:id="rId296" w:history="1" w:docLocation="597">
        <w:r>
          <w:t>32.23.1c Bandes adhésives d'étanchéité à l'air et à la vapeur en polyéthylène</w:t>
        </w:r>
      </w:hyperlink>
      <w:r>
        <w:t>.</w:t>
      </w:r>
    </w:p>
    <w:p w14:paraId="3976BC2D" w14:textId="77777777" w:rsidR="00DF410E" w:rsidRDefault="00CE7F43">
      <w:pPr>
        <w:jc w:val="both"/>
      </w:pPr>
      <w:r>
        <w:rPr>
          <w:b/>
        </w:rPr>
        <w:t>Assemblages</w:t>
      </w:r>
    </w:p>
    <w:p w14:paraId="1B1DE4B7" w14:textId="77777777" w:rsidR="00DF410E" w:rsidRDefault="00CE7F43">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64DBF634" w14:textId="77777777" w:rsidR="00DF410E" w:rsidRDefault="00CE7F43">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14:paraId="65810BCB" w14:textId="77777777" w:rsidR="00DF410E" w:rsidRDefault="00CE7F43">
      <w:pPr>
        <w:jc w:val="both"/>
      </w:pPr>
      <w:r>
        <w:rPr>
          <w:b/>
        </w:rPr>
        <w:t>Fixation en pied de mur</w:t>
      </w:r>
    </w:p>
    <w:p w14:paraId="22AE61F6" w14:textId="77777777" w:rsidR="00DF410E" w:rsidRDefault="00CE7F43">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14:paraId="16F0CD79" w14:textId="77777777" w:rsidR="00DF410E" w:rsidRDefault="00CE7F43">
      <w:pPr>
        <w:ind w:left="567"/>
        <w:jc w:val="both"/>
      </w:pPr>
      <w:r>
        <w:rPr>
          <w:b/>
          <w:i/>
        </w:rPr>
        <w:t>(Soit par défaut)</w:t>
      </w:r>
    </w:p>
    <w:p w14:paraId="2F0749CA" w14:textId="77777777" w:rsidR="00DF410E" w:rsidRDefault="00CE7F43">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lisse de pose est décrite dans l’article </w:t>
      </w:r>
      <w:hyperlink w:anchor="590" w:history="1">
        <w:r>
          <w:rPr>
            <w:rStyle w:val="soitChar"/>
          </w:rPr>
          <w:t>24.11.1a Lisses de pose en bois massif</w:t>
        </w:r>
      </w:hyperlink>
      <w:r>
        <w:rPr>
          <w:rStyle w:val="soitChar"/>
        </w:rPr>
        <w:t>.</w:t>
      </w:r>
    </w:p>
    <w:p w14:paraId="45A69204" w14:textId="77777777" w:rsidR="00DF410E" w:rsidRDefault="00CE7F43">
      <w:pPr>
        <w:ind w:left="567"/>
        <w:jc w:val="both"/>
      </w:pPr>
      <w:r>
        <w:rPr>
          <w:b/>
          <w:i/>
        </w:rPr>
        <w:t>(Soit)</w:t>
      </w:r>
    </w:p>
    <w:p w14:paraId="223C6FCF" w14:textId="77777777" w:rsidR="00DF410E" w:rsidRDefault="00CE7F43">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14:paraId="039A0F33" w14:textId="77777777" w:rsidR="00DF410E" w:rsidRDefault="00CE7F43">
      <w:pPr>
        <w:ind w:left="567"/>
        <w:jc w:val="both"/>
      </w:pPr>
      <w:r>
        <w:rPr>
          <w:b/>
          <w:i/>
        </w:rPr>
        <w:t>(Soit)</w:t>
      </w:r>
    </w:p>
    <w:p w14:paraId="4845D771" w14:textId="77777777" w:rsidR="00DF410E" w:rsidRDefault="00CE7F43">
      <w:pPr>
        <w:ind w:left="567"/>
        <w:jc w:val="both"/>
      </w:pPr>
      <w:r>
        <w:rPr>
          <w:rStyle w:val="optioncarChar"/>
        </w:rPr>
        <w:t>***</w:t>
      </w:r>
    </w:p>
    <w:p w14:paraId="3A66E191" w14:textId="77777777" w:rsidR="00DF410E" w:rsidRDefault="00DF410E">
      <w:pPr>
        <w:ind w:left="567"/>
        <w:jc w:val="both"/>
      </w:pPr>
    </w:p>
    <w:p w14:paraId="17E85783" w14:textId="77777777" w:rsidR="00DF410E" w:rsidRDefault="00CE7F43">
      <w:pPr>
        <w:jc w:val="both"/>
      </w:pPr>
      <w:r>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14:paraId="4771FC47" w14:textId="77777777" w:rsidR="00DF410E" w:rsidRDefault="00CE7F43">
      <w:pPr>
        <w:jc w:val="both"/>
      </w:pPr>
      <w:r>
        <w:rPr>
          <w:b/>
        </w:rPr>
        <w:t>Fixation entre caissons de même plan</w:t>
      </w:r>
    </w:p>
    <w:p w14:paraId="7AE818C4" w14:textId="77777777" w:rsidR="00DF410E" w:rsidRDefault="00CE7F43">
      <w:pPr>
        <w:jc w:val="both"/>
      </w:pPr>
      <w:r>
        <w:t>L’assemblage est réalisé par</w:t>
      </w:r>
      <w:r>
        <w:rPr>
          <w:rStyle w:val="optioncarChar"/>
        </w:rPr>
        <w:t> tire-fond </w:t>
      </w:r>
      <w:r>
        <w:t>(par défaut)</w:t>
      </w:r>
      <w:r>
        <w:rPr>
          <w:rStyle w:val="optioncarChar"/>
        </w:rPr>
        <w:t> / plats métallique / profilés collaborant / ***.</w:t>
      </w:r>
    </w:p>
    <w:p w14:paraId="350B0367" w14:textId="77777777" w:rsidR="00DF410E" w:rsidRDefault="00CE7F43">
      <w:pPr>
        <w:jc w:val="both"/>
      </w:pPr>
      <w:r>
        <w:rPr>
          <w:b/>
        </w:rPr>
        <w:t>Assemblage d’angles</w:t>
      </w:r>
    </w:p>
    <w:p w14:paraId="028E44FD" w14:textId="77777777" w:rsidR="00DF410E" w:rsidRDefault="00CE7F43">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14:paraId="26F944BA" w14:textId="77777777" w:rsidR="00DF410E" w:rsidRDefault="00CE7F43">
      <w:pPr>
        <w:ind w:left="567"/>
        <w:jc w:val="both"/>
      </w:pPr>
      <w:r>
        <w:rPr>
          <w:b/>
          <w:i/>
        </w:rPr>
        <w:t>(Soit par défaut)</w:t>
      </w:r>
    </w:p>
    <w:p w14:paraId="43CE4A7F" w14:textId="77777777" w:rsidR="00DF410E" w:rsidRDefault="00CE7F43">
      <w:pPr>
        <w:ind w:left="567"/>
        <w:jc w:val="both"/>
      </w:pPr>
      <w:r>
        <w:rPr>
          <w:rStyle w:val="soitChar"/>
          <w:u w:val="single"/>
        </w:rPr>
        <w:t>Vis traversante :</w:t>
      </w:r>
      <w:r>
        <w:rPr>
          <w:rStyle w:val="soitChar"/>
        </w:rPr>
        <w:t> La fixation de type tire-fond est appliquée sur le montant intérieur du caisson à assembler ou par fixations inclinées. Le nombre de fixations et les sections répondent au dimensionnement selon la [NBN EN 1995 série].</w:t>
      </w:r>
    </w:p>
    <w:p w14:paraId="5C0CBA15" w14:textId="77777777" w:rsidR="00DF410E" w:rsidRDefault="00CE7F43">
      <w:pPr>
        <w:ind w:left="567"/>
        <w:jc w:val="both"/>
      </w:pPr>
      <w:r>
        <w:rPr>
          <w:b/>
          <w:i/>
        </w:rPr>
        <w:t>(Soit)</w:t>
      </w:r>
    </w:p>
    <w:p w14:paraId="6F4BB090" w14:textId="77777777" w:rsidR="00DF410E" w:rsidRDefault="00CE7F43">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14:paraId="45C16498" w14:textId="77777777" w:rsidR="00DF410E" w:rsidRDefault="00CE7F43">
      <w:pPr>
        <w:ind w:left="567"/>
        <w:jc w:val="both"/>
      </w:pPr>
      <w:r>
        <w:rPr>
          <w:b/>
          <w:i/>
        </w:rPr>
        <w:t>(Soit)</w:t>
      </w:r>
    </w:p>
    <w:p w14:paraId="273D04CB" w14:textId="77777777" w:rsidR="00DF410E" w:rsidRDefault="00CE7F43">
      <w:pPr>
        <w:ind w:left="567"/>
        <w:jc w:val="both"/>
      </w:pPr>
      <w:r>
        <w:rPr>
          <w:rStyle w:val="optioncarChar"/>
        </w:rPr>
        <w:t>***</w:t>
      </w:r>
    </w:p>
    <w:p w14:paraId="6AEDB6F6" w14:textId="77777777" w:rsidR="00DF410E" w:rsidRDefault="00CE7F43">
      <w:pPr>
        <w:jc w:val="both"/>
      </w:pPr>
      <w:r>
        <w:t> </w:t>
      </w:r>
    </w:p>
    <w:p w14:paraId="3C90E5B1" w14:textId="77777777" w:rsidR="00DF410E" w:rsidRDefault="00CE7F43">
      <w:pPr>
        <w:jc w:val="both"/>
      </w:pPr>
      <w:r>
        <w:t>Les fixations, pointes ou vis, des panneaux sont effectuées sur </w:t>
      </w:r>
      <w:r>
        <w:rPr>
          <w:rStyle w:val="optioncarChar"/>
        </w:rPr>
        <w:t>2/3</w:t>
      </w:r>
      <w:r>
        <w:t> (par défaut) </w:t>
      </w:r>
      <w:r>
        <w:rPr>
          <w:rStyle w:val="optioncarChar"/>
        </w:rPr>
        <w:t>/ ***</w:t>
      </w:r>
      <w:r>
        <w:t> de l’épaisseur du panneau.</w:t>
      </w:r>
    </w:p>
    <w:p w14:paraId="1DC8878D" w14:textId="77777777" w:rsidR="00DF410E" w:rsidRDefault="00CE7F43">
      <w:pPr>
        <w:jc w:val="both"/>
      </w:pPr>
      <w:r>
        <w:t>Les dispositifs d’ancrage sont décrits dans les éléments du </w:t>
      </w:r>
      <w:hyperlink w:anchor="583" w:history="1">
        <w:r>
          <w:t>24.4 Assemblages</w:t>
        </w:r>
      </w:hyperlink>
      <w:r>
        <w:t> mais la fourniture et la pose sont comprises dans le présent travail.</w:t>
      </w:r>
    </w:p>
    <w:p w14:paraId="3104F44E" w14:textId="77777777" w:rsidR="00DF410E" w:rsidRDefault="00DF410E"/>
    <w:p w14:paraId="261D2423" w14:textId="77777777" w:rsidR="00DF410E" w:rsidRDefault="00CE7F43">
      <w:pPr>
        <w:jc w:val="both"/>
      </w:pPr>
      <w:r>
        <w:rPr>
          <w:b/>
        </w:rPr>
        <w:t>Travaux préalables :  HVAC - Sanitaires - Electricité</w:t>
      </w:r>
    </w:p>
    <w:p w14:paraId="47001759" w14:textId="77777777" w:rsidR="00DF410E" w:rsidRDefault="00CE7F43">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698C99DB" w14:textId="77777777" w:rsidR="00DF410E" w:rsidRDefault="00CE7F43">
      <w:pPr>
        <w:ind w:left="567"/>
        <w:jc w:val="both"/>
      </w:pPr>
      <w:r>
        <w:rPr>
          <w:b/>
          <w:i/>
        </w:rPr>
        <w:t>(Soit par défaut)</w:t>
      </w:r>
    </w:p>
    <w:p w14:paraId="51F74F4F" w14:textId="77777777" w:rsidR="00DF410E" w:rsidRDefault="00CE7F43">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97" w:history="1" w:docLocation="34">
        <w:r>
          <w:rPr>
            <w:rStyle w:val="soitChar"/>
          </w:rPr>
          <w:t>6 T6 HVAC - sanitaires</w:t>
        </w:r>
      </w:hyperlink>
      <w:r>
        <w:rPr>
          <w:rStyle w:val="soitChar"/>
        </w:rPr>
        <w:t> et </w:t>
      </w:r>
      <w:hyperlink r:id="rId298" w:history="1" w:docLocation="35">
        <w:r>
          <w:rPr>
            <w:rStyle w:val="soitChar"/>
          </w:rPr>
          <w:t>7 T7 Electricité</w:t>
        </w:r>
      </w:hyperlink>
      <w:r>
        <w:rPr>
          <w:rStyle w:val="soitChar"/>
        </w:rPr>
        <w:t> et sont réalisés a posteriori.</w:t>
      </w:r>
    </w:p>
    <w:p w14:paraId="17AA60FE" w14:textId="77777777" w:rsidR="00DF410E" w:rsidRDefault="00CE7F43">
      <w:pPr>
        <w:ind w:left="567"/>
        <w:jc w:val="both"/>
      </w:pPr>
      <w:r>
        <w:rPr>
          <w:b/>
          <w:i/>
        </w:rPr>
        <w:t>(Soit)</w:t>
      </w:r>
    </w:p>
    <w:p w14:paraId="7E57BB33" w14:textId="77777777" w:rsidR="00DF410E" w:rsidRDefault="00CE7F43">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99" w:history="1" w:docLocation="34">
        <w:r>
          <w:rPr>
            <w:rStyle w:val="soitChar"/>
          </w:rPr>
          <w:t>6 T6 HVAC - sanitaires</w:t>
        </w:r>
      </w:hyperlink>
      <w:r>
        <w:rPr>
          <w:rStyle w:val="soitChar"/>
        </w:rPr>
        <w:t> et </w:t>
      </w:r>
      <w:hyperlink r:id="rId300" w:history="1" w:docLocation="35">
        <w:r>
          <w:rPr>
            <w:rStyle w:val="soitChar"/>
          </w:rPr>
          <w:t>7 T7 Electricité</w:t>
        </w:r>
      </w:hyperlink>
      <w:r>
        <w:rPr>
          <w:rStyle w:val="soitChar"/>
        </w:rPr>
        <w:t>.  </w:t>
      </w:r>
    </w:p>
    <w:p w14:paraId="06B585F2" w14:textId="77777777" w:rsidR="00DF410E" w:rsidRDefault="00CE7F43">
      <w:pPr>
        <w:pStyle w:val="pheading"/>
      </w:pPr>
      <w:r>
        <w:t>- Notes d’exécution complémentaires</w:t>
      </w:r>
    </w:p>
    <w:p w14:paraId="7CE05679" w14:textId="77777777" w:rsidR="00DF410E" w:rsidRDefault="00CE7F43">
      <w:pPr>
        <w:jc w:val="both"/>
      </w:pPr>
      <w:r>
        <w:t>Tous les assemblages mécaniques structuraux sont dimensionnés selon les principes de l’Eurocode 5 [NBN EN 1995-1-1] et de sa partie feu [NBN EN 1995-1-2].</w:t>
      </w:r>
    </w:p>
    <w:p w14:paraId="45625DB0" w14:textId="77777777" w:rsidR="00DF410E" w:rsidRDefault="00CE7F43">
      <w:pPr>
        <w:pStyle w:val="pheading"/>
      </w:pPr>
      <w:r>
        <w:t>CONTRÔLES PARTICULIERS</w:t>
      </w:r>
    </w:p>
    <w:p w14:paraId="69B0FAFB" w14:textId="77777777" w:rsidR="00DF410E" w:rsidRDefault="00CE7F43">
      <w:pPr>
        <w:jc w:val="both"/>
      </w:pPr>
      <w:r>
        <w:t>Le contrôle de la qualité du séchage d’un lot de bois scié se fait selon la [NBN EN 14298].</w:t>
      </w:r>
    </w:p>
    <w:p w14:paraId="45996B6A" w14:textId="77777777" w:rsidR="00DF410E" w:rsidRDefault="00CE7F43">
      <w:pPr>
        <w:pStyle w:val="pheading"/>
      </w:pPr>
      <w:r>
        <w:t>DOCUMENTS DE RÉFÉRENCE COMPLÉMENTAIRES</w:t>
      </w:r>
    </w:p>
    <w:p w14:paraId="29BAA17E" w14:textId="77777777" w:rsidR="00DF410E" w:rsidRDefault="00CE7F43">
      <w:pPr>
        <w:pStyle w:val="pheading"/>
      </w:pPr>
      <w:r>
        <w:t>- Matériau</w:t>
      </w:r>
    </w:p>
    <w:p w14:paraId="77D22C65" w14:textId="77777777" w:rsidR="00DF410E" w:rsidRDefault="00CE7F43">
      <w:r>
        <w:t>[NBN EN 14081 série, Structures en bois - Bois de structure à section rectangulaire classé pour sa résistance]</w:t>
      </w:r>
    </w:p>
    <w:p w14:paraId="54FE25C9" w14:textId="77777777" w:rsidR="00DF410E" w:rsidRDefault="00CE7F43">
      <w:r>
        <w:t>[NBN EN 15497, Bois massif de structure à entures multiples - Exigences de performances et exigences minimales de fabrication]</w:t>
      </w:r>
    </w:p>
    <w:p w14:paraId="34FC7D0B" w14:textId="77777777" w:rsidR="00DF410E" w:rsidRDefault="00CE7F43">
      <w:r>
        <w:t>[NBN EN 14080, Structures en bois - Bois lamellé collé et bois massif reconstitué - Exigences]</w:t>
      </w:r>
    </w:p>
    <w:p w14:paraId="5555CD7C" w14:textId="77777777" w:rsidR="00DF410E" w:rsidRDefault="00CE7F43">
      <w:r>
        <w:t>[NBN EN 335, Durabilité du bois et des matériaux à base de bois - Classes d'emploi: définitions, application au bois massif et aux matériaux à base de bois]</w:t>
      </w:r>
    </w:p>
    <w:p w14:paraId="57B8FA9E"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6E7360CD" w14:textId="77777777" w:rsidR="00DF410E" w:rsidRDefault="00CE7F43">
      <w:r>
        <w:t>[NBN EN 13171+A1, Produits isolants thermiques pour le bâtiment - Produits manufacturés en fibres de bois (WF) - Spécification]</w:t>
      </w:r>
    </w:p>
    <w:p w14:paraId="5B559DC5" w14:textId="77777777" w:rsidR="00DF410E" w:rsidRDefault="00CE7F43">
      <w:r>
        <w:t>[NBN EN 13986+A1, Panneaux à base de bois destinés à la construction - Caractéristiques, évaluation de conformité et marquage]</w:t>
      </w:r>
    </w:p>
    <w:p w14:paraId="7E926DCC" w14:textId="77777777" w:rsidR="00DF410E" w:rsidRDefault="00CE7F43">
      <w:r>
        <w:t>[NBN EN 12086, Produits isolants thermiques destinés aux applications du bâtiment - Détermination des propriétés de transmission de la vapeur d'eau]</w:t>
      </w:r>
    </w:p>
    <w:p w14:paraId="528B2624" w14:textId="77777777" w:rsidR="00DF410E" w:rsidRDefault="00CE7F43">
      <w:r>
        <w:t>[NBN EN 310, Panneaux à base de bois - Détermination du module d'élasticité en flexion et de la résistance à la flexion]</w:t>
      </w:r>
    </w:p>
    <w:p w14:paraId="3F4316CF" w14:textId="77777777" w:rsidR="00DF410E" w:rsidRDefault="00CE7F43">
      <w:r>
        <w:t>[NBN EN 312, Panneaux de particules - Exigences]</w:t>
      </w:r>
    </w:p>
    <w:p w14:paraId="0BCED3FA" w14:textId="77777777" w:rsidR="00DF410E" w:rsidRDefault="00CE7F43">
      <w:r>
        <w:t>[NBN EN 319, Panneaux de particules et panneaux de fibres - Détermination de la résistance à la traction perpendiculaire aux faces du panneau]</w:t>
      </w:r>
    </w:p>
    <w:p w14:paraId="18A6C9F5" w14:textId="77777777" w:rsidR="00DF410E" w:rsidRDefault="00CE7F43">
      <w:r>
        <w:t>[NBN EN ISO 10456, Matériaux et produits pour le bâtiment - Propriétés hygrothermiques - Valeurs utiles tabulées et procédures pour la détermination des valeurs thermiques déclarées et utiles (ISO 10456:2007)]</w:t>
      </w:r>
    </w:p>
    <w:p w14:paraId="519E6EF4" w14:textId="77777777" w:rsidR="00DF410E" w:rsidRDefault="00CE7F43">
      <w:r>
        <w:t>[NBN EN 335, Durabilité du bois et des matériaux à base de bois - Classes d'emploi: définitions, application au bois massif et aux matériaux à base de bois]</w:t>
      </w:r>
    </w:p>
    <w:p w14:paraId="46137443"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35FFE36" w14:textId="77777777" w:rsidR="00DF410E" w:rsidRDefault="00CE7F43">
      <w:pPr>
        <w:pStyle w:val="pheading"/>
      </w:pPr>
      <w:r>
        <w:t>- Exécution</w:t>
      </w:r>
    </w:p>
    <w:p w14:paraId="44A84F95" w14:textId="77777777" w:rsidR="00DF410E" w:rsidRDefault="00CE7F43">
      <w:r>
        <w:t>[NBN EN 1995 série, Eurocode 5: Conception et calcul des structures en bois]</w:t>
      </w:r>
    </w:p>
    <w:p w14:paraId="0801EB9D" w14:textId="77777777" w:rsidR="00DF410E" w:rsidRDefault="00CE7F43">
      <w:r>
        <w:t>[STS 31, Charpenterie]</w:t>
      </w:r>
    </w:p>
    <w:p w14:paraId="4CB88967" w14:textId="77777777" w:rsidR="00DF410E" w:rsidRDefault="00CE7F43">
      <w:r>
        <w:t>[STS 23-1, Constructions en ossature bois]</w:t>
      </w:r>
    </w:p>
    <w:p w14:paraId="5E7C0411" w14:textId="77777777" w:rsidR="00DF410E" w:rsidRDefault="00CE7F43">
      <w:r>
        <w:t>[NBN EN 14298, Bois scié - Estimation de la qualité du séchage]</w:t>
      </w:r>
    </w:p>
    <w:p w14:paraId="56B4DD3C" w14:textId="77777777" w:rsidR="00DF410E" w:rsidRDefault="00CE7F43">
      <w:pPr>
        <w:pStyle w:val="pheading"/>
      </w:pPr>
      <w:r>
        <w:t>MESURAGE</w:t>
      </w:r>
    </w:p>
    <w:p w14:paraId="73983790" w14:textId="77777777" w:rsidR="00DF410E" w:rsidRDefault="00CE7F43">
      <w:pPr>
        <w:pStyle w:val="pheading"/>
      </w:pPr>
      <w:r>
        <w:t>- unité de mesure:</w:t>
      </w:r>
    </w:p>
    <w:p w14:paraId="31987750" w14:textId="77777777" w:rsidR="00DF410E" w:rsidRDefault="00CE7F43">
      <w:r>
        <w:rPr>
          <w:rStyle w:val="optioncarChar"/>
        </w:rPr>
        <w:t>m² </w:t>
      </w:r>
      <w:r>
        <w:t>(par défaut)</w:t>
      </w:r>
      <w:r>
        <w:rPr>
          <w:rStyle w:val="optioncarChar"/>
        </w:rPr>
        <w:t> / m³</w:t>
      </w:r>
    </w:p>
    <w:p w14:paraId="41261666" w14:textId="77777777" w:rsidR="00DF410E" w:rsidRDefault="00CE7F43">
      <w:r>
        <w:rPr>
          <w:b/>
          <w:i/>
        </w:rPr>
        <w:t>(Soit par défaut)</w:t>
      </w:r>
    </w:p>
    <w:p w14:paraId="6D3614D4" w14:textId="77777777" w:rsidR="00DF410E" w:rsidRDefault="00CE7F43">
      <w:r>
        <w:rPr>
          <w:rStyle w:val="soitChar"/>
        </w:rPr>
        <w:t>1. m²</w:t>
      </w:r>
    </w:p>
    <w:p w14:paraId="4EC9F7AF" w14:textId="77777777" w:rsidR="00DF410E" w:rsidRDefault="00CE7F43">
      <w:r>
        <w:rPr>
          <w:b/>
          <w:i/>
        </w:rPr>
        <w:t>(Soit)</w:t>
      </w:r>
    </w:p>
    <w:p w14:paraId="352FD95B" w14:textId="77777777" w:rsidR="00DF410E" w:rsidRDefault="00CE7F43">
      <w:r>
        <w:rPr>
          <w:rStyle w:val="soitChar"/>
        </w:rPr>
        <w:t>2. m³</w:t>
      </w:r>
    </w:p>
    <w:p w14:paraId="07B2374D" w14:textId="77777777" w:rsidR="00DF410E" w:rsidRDefault="00CE7F43">
      <w:pPr>
        <w:pStyle w:val="pheading"/>
      </w:pPr>
      <w:r>
        <w:t>- code de mesurage:</w:t>
      </w:r>
    </w:p>
    <w:p w14:paraId="5B004423" w14:textId="77777777" w:rsidR="00DF410E" w:rsidRDefault="00CE7F43">
      <w:pPr>
        <w:jc w:val="both"/>
      </w:pPr>
      <w:r>
        <w:rPr>
          <w:rStyle w:val="optioncarChar"/>
        </w:rPr>
        <w:t>Surface nette </w:t>
      </w:r>
      <w:r>
        <w:t>(par défaut)</w:t>
      </w:r>
      <w:r>
        <w:rPr>
          <w:rStyle w:val="optioncarChar"/>
        </w:rPr>
        <w:t> / Volume net</w:t>
      </w:r>
    </w:p>
    <w:p w14:paraId="3442D146" w14:textId="77777777" w:rsidR="00DF410E" w:rsidRDefault="00CE7F43">
      <w:pPr>
        <w:jc w:val="both"/>
      </w:pPr>
      <w:r>
        <w:rPr>
          <w:b/>
          <w:i/>
        </w:rPr>
        <w:t>(Soit par défaut)</w:t>
      </w:r>
    </w:p>
    <w:p w14:paraId="02634D1D" w14:textId="77777777" w:rsidR="00DF410E" w:rsidRDefault="00CE7F43">
      <w:pPr>
        <w:jc w:val="both"/>
      </w:pPr>
      <w:r>
        <w:rPr>
          <w:rStyle w:val="soitChar"/>
        </w:rPr>
        <w:t>1. </w:t>
      </w:r>
      <w:r>
        <w:rPr>
          <w:rStyle w:val="soitChar"/>
          <w:u w:val="single"/>
        </w:rPr>
        <w:t>Surface nette</w:t>
      </w:r>
      <w:r>
        <w:rPr>
          <w:rStyle w:val="soitChar"/>
        </w:rPr>
        <w:t> : Longueur x Largeur de la paroi selon les plans. Déduction faite des vides de plus de 0.5 m².</w:t>
      </w:r>
    </w:p>
    <w:p w14:paraId="36920D7B" w14:textId="77777777" w:rsidR="00DF410E" w:rsidRDefault="00CE7F43">
      <w:pPr>
        <w:jc w:val="both"/>
      </w:pPr>
      <w:r>
        <w:rPr>
          <w:b/>
          <w:i/>
        </w:rPr>
        <w:t>(Soit)</w:t>
      </w:r>
    </w:p>
    <w:p w14:paraId="1C1BE727" w14:textId="77777777" w:rsidR="00DF410E" w:rsidRDefault="00CE7F43">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inférieur à 0,05 m³.</w:t>
      </w:r>
    </w:p>
    <w:p w14:paraId="757F87E0" w14:textId="77777777" w:rsidR="00DF410E" w:rsidRDefault="00CE7F43">
      <w:pPr>
        <w:pStyle w:val="pheading"/>
      </w:pPr>
      <w:r>
        <w:t>- nature du marché:</w:t>
      </w:r>
    </w:p>
    <w:p w14:paraId="388C8BDE" w14:textId="77777777" w:rsidR="00DF410E" w:rsidRDefault="00CE7F43">
      <w:r>
        <w:rPr>
          <w:rStyle w:val="optioncarChar"/>
        </w:rPr>
        <w:t>QF</w:t>
      </w:r>
      <w:r>
        <w:t> (par défaut)</w:t>
      </w:r>
      <w:r>
        <w:rPr>
          <w:rStyle w:val="optioncarChar"/>
        </w:rPr>
        <w:t> / QP</w:t>
      </w:r>
    </w:p>
    <w:p w14:paraId="02DEA848" w14:textId="77777777" w:rsidR="00DF410E" w:rsidRDefault="00CE7F43">
      <w:r>
        <w:rPr>
          <w:b/>
          <w:i/>
        </w:rPr>
        <w:t>(Soit par défaut)</w:t>
      </w:r>
    </w:p>
    <w:p w14:paraId="32EA8376" w14:textId="77777777" w:rsidR="00DF410E" w:rsidRDefault="00CE7F43">
      <w:r>
        <w:rPr>
          <w:rStyle w:val="soitChar"/>
        </w:rPr>
        <w:t>1. 2. QF</w:t>
      </w:r>
    </w:p>
    <w:p w14:paraId="69C20D46" w14:textId="77777777" w:rsidR="00DF410E" w:rsidRDefault="00CE7F43">
      <w:r>
        <w:rPr>
          <w:b/>
          <w:i/>
        </w:rPr>
        <w:t>(Soit)</w:t>
      </w:r>
    </w:p>
    <w:p w14:paraId="54842B3E" w14:textId="77777777" w:rsidR="00DF410E" w:rsidRDefault="00CE7F43">
      <w:r>
        <w:rPr>
          <w:rStyle w:val="soitChar"/>
        </w:rPr>
        <w:t>1. 2. QP   </w:t>
      </w:r>
    </w:p>
    <w:p w14:paraId="6D7BCA2E" w14:textId="77777777" w:rsidR="00DF410E" w:rsidRDefault="00CE7F43">
      <w:pPr>
        <w:pStyle w:val="Author-eSectionHeading4"/>
      </w:pPr>
      <w:bookmarkStart w:id="1663" w:name="_Toc178838752"/>
      <w:r>
        <w:t>24.22 Planchers en bois CCTB 01.11</w:t>
      </w:r>
      <w:bookmarkEnd w:id="1663"/>
    </w:p>
    <w:p w14:paraId="41082CB0" w14:textId="77777777" w:rsidR="00DF410E" w:rsidRDefault="00CE7F43">
      <w:pPr>
        <w:pStyle w:val="pheading"/>
      </w:pPr>
      <w:r>
        <w:t>EXÉCUTION / MISE EN ŒUVRE</w:t>
      </w:r>
    </w:p>
    <w:p w14:paraId="71A73E04" w14:textId="77777777" w:rsidR="00DF410E" w:rsidRDefault="00CE7F43">
      <w:pPr>
        <w:jc w:val="both"/>
      </w:pPr>
      <w:r>
        <w:rPr>
          <w:b/>
        </w:rPr>
        <w:t>Pare-vapeur/frein-vapeur et étanchéité à l’air</w:t>
      </w:r>
    </w:p>
    <w:p w14:paraId="380316BD" w14:textId="77777777" w:rsidR="00DF410E" w:rsidRDefault="00CE7F43">
      <w:pPr>
        <w:jc w:val="both"/>
      </w:pPr>
      <w:r>
        <w:t>L’entrepreneur veille à placer une membrane d’étanchéité à l’air entre les murs de façade et les planchers, conformément à la [NIT 255], suffisamment large pour dépasser de l’épaisseur du plancher et permettre le raccordement aisé aux étanchéités à l’air des murs.</w:t>
      </w:r>
    </w:p>
    <w:p w14:paraId="698C3117" w14:textId="77777777" w:rsidR="00DF410E" w:rsidRDefault="00CE7F43">
      <w:pPr>
        <w:jc w:val="both"/>
      </w:pPr>
      <w:r>
        <w:t>Le pare-vapeur/freine-vapeur et l’étanchéité à l’air sont décrits au titre </w:t>
      </w:r>
      <w:hyperlink r:id="rId301" w:history="1" w:docLocation="77">
        <w:r>
          <w:t>32.2 Etanchéisation aux matières gazeuses</w:t>
        </w:r>
      </w:hyperlink>
      <w:r>
        <w:t xml:space="preserve"> et articles qui en découlent, mais leur fourniture et leur pose sont comprises dans le présent travail en cas d’application. </w:t>
      </w:r>
    </w:p>
    <w:p w14:paraId="424436CB" w14:textId="77777777" w:rsidR="00DF410E" w:rsidRDefault="00CE7F43">
      <w:pPr>
        <w:jc w:val="both"/>
      </w:pPr>
      <w:r>
        <w:rPr>
          <w:b/>
        </w:rPr>
        <w:t>Préparation des techniques spéciales : HVAC - Sanitaires - Electricité</w:t>
      </w:r>
    </w:p>
    <w:p w14:paraId="4DF6D1C0" w14:textId="77777777" w:rsidR="00DF410E" w:rsidRDefault="00CE7F43">
      <w:pPr>
        <w:jc w:val="both"/>
      </w:pPr>
      <w:r>
        <w:t xml:space="preserve">Les travaux comprennent éventuellement (voir dans les articles) la préparation dans les planchers de forages, défonçage (fraisage), etc., et la pose de fourreaux d’attente nécessaires aux travaux des installations HVAC, sanitaires et électriques. L’entrepreneur veille à consulter et se coordonner avec les entrepreneurs des </w:t>
      </w:r>
      <w:hyperlink r:id="rId302" w:history="1" w:docLocation="34">
        <w:r>
          <w:t>6 T6 HVAC - sanitaires</w:t>
        </w:r>
      </w:hyperlink>
      <w:r>
        <w:t xml:space="preserve"> et </w:t>
      </w:r>
      <w:hyperlink r:id="rId303" w:history="1" w:docLocation="35">
        <w:r>
          <w:t>7 T7 Electricité</w:t>
        </w:r>
      </w:hyperlink>
      <w:r>
        <w:t>.</w:t>
      </w:r>
    </w:p>
    <w:p w14:paraId="10D9A1F2" w14:textId="77777777" w:rsidR="00DF410E" w:rsidRDefault="00CE7F43">
      <w:pPr>
        <w:pStyle w:val="pheading"/>
      </w:pPr>
      <w:r>
        <w:t>DOCUMENTS DE RÉFÉRENCE</w:t>
      </w:r>
    </w:p>
    <w:p w14:paraId="082689AC" w14:textId="77777777" w:rsidR="00DF410E" w:rsidRDefault="00CE7F43">
      <w:pPr>
        <w:pStyle w:val="pheading"/>
      </w:pPr>
      <w:r>
        <w:t>- Matériau</w:t>
      </w:r>
    </w:p>
    <w:p w14:paraId="497C4D45" w14:textId="77777777" w:rsidR="00DF410E" w:rsidRDefault="00CE7F43">
      <w:r>
        <w:t>[NBN EN 1991-1-4, Eurocode 1 : Actions sur les structures - Partie 1-4 : Actions générales - Actions du vent (+ AC:2010)]</w:t>
      </w:r>
    </w:p>
    <w:p w14:paraId="40AD3C57" w14:textId="77777777" w:rsidR="00DF410E" w:rsidRDefault="00CE7F43">
      <w:r>
        <w:t>[NBN EN 1991-1-4 ANB, Eurocode 1 : Actions sur les structures - Partie 1-4 : Actions générales - Actions du vent - Annexe nationale]</w:t>
      </w:r>
    </w:p>
    <w:p w14:paraId="50F09B23" w14:textId="77777777" w:rsidR="00DF410E" w:rsidRDefault="00CE7F43">
      <w:r>
        <w:t>[NBN EN 1991-1-4/A1, Eurocode 1: Actions sur les structures - Partie 1-4 : Actions générales - Actions du vent]</w:t>
      </w:r>
    </w:p>
    <w:p w14:paraId="397C7D22" w14:textId="77777777" w:rsidR="00DF410E" w:rsidRDefault="00CE7F43">
      <w:r>
        <w:t>[NBN B 03-003, Déformation des structures - Valeurs limites de déformation - Bâtiments]</w:t>
      </w:r>
    </w:p>
    <w:p w14:paraId="77D95F02" w14:textId="77777777" w:rsidR="00DF410E" w:rsidRDefault="00CE7F43">
      <w:r>
        <w:t>[NBN EN 314-2, Contreplaqué - Qualité du collage - Partie 2: Exigences]</w:t>
      </w:r>
    </w:p>
    <w:p w14:paraId="691ED1E0" w14:textId="77777777" w:rsidR="00DF410E" w:rsidRDefault="00CE7F43">
      <w:r>
        <w:t>[NBN EN ISO 12460-5, Panneaux à base de bois - Détermination du dégagement de formaldéhyde - Partie 5 : Méthode d'extraction (dite méthode au perforateur) (ISO 12460-5:2015)]</w:t>
      </w:r>
    </w:p>
    <w:p w14:paraId="5E666BD8" w14:textId="77777777" w:rsidR="00DF410E" w:rsidRDefault="00CE7F43">
      <w:r>
        <w:t>[NBN EN 310, Panneaux à base de bois - Détermination du module d'élasticité en flexion et de la résistance à la flexion]</w:t>
      </w:r>
    </w:p>
    <w:p w14:paraId="1A4425C6" w14:textId="77777777" w:rsidR="00DF410E" w:rsidRDefault="00CE7F43">
      <w:r>
        <w:t>[NBN EN 319, Panneaux de particules et panneaux de fibres - Détermination de la résistance à la traction perpendiculaire aux faces du panneau]</w:t>
      </w:r>
    </w:p>
    <w:p w14:paraId="4369CA69"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4C8701CC" w14:textId="77777777" w:rsidR="00DF410E" w:rsidRDefault="00CE7F43">
      <w:r>
        <w:t>[NBN EN ISO 10456, Matériaux et produits pour le bâtiment - Propriétés hygrothermiques - Valeurs utiles tabulées et procédures pour la détermination des valeurs thermiques déclarées et utiles (ISO 10456:2007)]</w:t>
      </w:r>
    </w:p>
    <w:p w14:paraId="725CDF46" w14:textId="77777777" w:rsidR="00DF410E" w:rsidRDefault="00CE7F43">
      <w:r>
        <w:t>[NBN EN 13501-1, Classement au feu des produits et éléments de construction - Partie 1: Classement à partir des données d'essais de réaction au feu]</w:t>
      </w:r>
    </w:p>
    <w:p w14:paraId="6FEE7D68"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2B4DFE16" w14:textId="77777777" w:rsidR="00DF410E" w:rsidRDefault="00CE7F43">
      <w:r>
        <w:t>[AM 2013-05-17, Arrêté ministériel relatif à l’utilisation des Eurocodes comme méthodes de calcul pour l’évaluation de la résistance au feu d’éléments de construction] </w:t>
      </w:r>
    </w:p>
    <w:p w14:paraId="6A195CD8" w14:textId="77777777" w:rsidR="00DF410E" w:rsidRDefault="00CE7F43">
      <w:pPr>
        <w:pStyle w:val="pheading"/>
      </w:pPr>
      <w:r>
        <w:t>- Exécution</w:t>
      </w:r>
    </w:p>
    <w:p w14:paraId="6A0BB5EA" w14:textId="77777777" w:rsidR="00DF410E" w:rsidRDefault="00CE7F43">
      <w:r>
        <w:t>[NBN EN 1991-1-4, Eurocode 1 : Actions sur les structures - Partie 1-4 : Actions générales - Actions du vent (+ AC:2010)]</w:t>
      </w:r>
    </w:p>
    <w:p w14:paraId="5E4EBDFA" w14:textId="77777777" w:rsidR="00DF410E" w:rsidRDefault="00CE7F43">
      <w:r>
        <w:t>[NBN EN 1991-1-4 ANB, Eurocode 1 : Actions sur les structures - Partie 1-4 : Actions générales - Actions du vent - Annexe nationale]</w:t>
      </w:r>
    </w:p>
    <w:p w14:paraId="0DDB1636" w14:textId="77777777" w:rsidR="00DF410E" w:rsidRDefault="00CE7F43">
      <w:r>
        <w:t>[NBN EN 1991-1-4/A1, Eurocode 1: Actions sur les structures - Partie 1-4 : Actions générales - Actions du vent]</w:t>
      </w:r>
    </w:p>
    <w:p w14:paraId="28EFC8CC" w14:textId="77777777" w:rsidR="00DF410E" w:rsidRDefault="00CE7F43">
      <w:r>
        <w:t>[NBN B 03-003, Déformation des structures - Valeurs limites de déformation - Bâtiments]</w:t>
      </w:r>
    </w:p>
    <w:p w14:paraId="11F6EFE9" w14:textId="77777777" w:rsidR="00DF410E" w:rsidRDefault="00CE7F43">
      <w:r>
        <w:t>[NIT 255, L'étanchéité à l'air des bâtiments]</w:t>
      </w:r>
    </w:p>
    <w:p w14:paraId="495E8128" w14:textId="77777777" w:rsidR="00DF410E" w:rsidRDefault="00CE7F43">
      <w:r>
        <w:t>[NBN EN 14592, Structures en bois - Eléments de fixation de type tige - Exigences]</w:t>
      </w:r>
    </w:p>
    <w:p w14:paraId="498DA842" w14:textId="77777777" w:rsidR="00DF410E" w:rsidRDefault="00CE7F43">
      <w:pPr>
        <w:pStyle w:val="Author-eSectionHeading5"/>
      </w:pPr>
      <w:bookmarkStart w:id="1664" w:name="_Toc178838753"/>
      <w:r>
        <w:t>24.22.1 Planchers en bois assemblés sur place CCTB 01.07</w:t>
      </w:r>
      <w:bookmarkEnd w:id="1664"/>
    </w:p>
    <w:p w14:paraId="5A7CC5D0" w14:textId="77777777" w:rsidR="00DF410E" w:rsidRDefault="00CE7F43">
      <w:pPr>
        <w:pStyle w:val="Author-eSectionHeading6"/>
      </w:pPr>
      <w:bookmarkStart w:id="1665" w:name="_Toc178838754"/>
      <w:r>
        <w:t>24.22.1a Planchers ossature bois assemblés sur place CCTB 01.07</w:t>
      </w:r>
      <w:bookmarkEnd w:id="1665"/>
    </w:p>
    <w:p w14:paraId="7FBDB498" w14:textId="77777777" w:rsidR="00DF410E" w:rsidRDefault="00CE7F43">
      <w:pPr>
        <w:pStyle w:val="Author-eSectionHeading6"/>
      </w:pPr>
      <w:bookmarkStart w:id="1666" w:name="_Toc178838755"/>
      <w:r>
        <w:t>24.22.1b Solives revêtues d'un platelage assemblées sur place CCTB 01.07</w:t>
      </w:r>
      <w:bookmarkEnd w:id="1666"/>
    </w:p>
    <w:p w14:paraId="2BC62AF9" w14:textId="77777777" w:rsidR="00DF410E" w:rsidRDefault="00CE7F43">
      <w:pPr>
        <w:pStyle w:val="Author-eSectionHeading6"/>
      </w:pPr>
      <w:bookmarkStart w:id="1667" w:name="_Toc178838756"/>
      <w:r>
        <w:t>24.22.1c Planchers mixtes bois-béton assemblés sur place CCTB 01.11</w:t>
      </w:r>
      <w:bookmarkEnd w:id="1667"/>
    </w:p>
    <w:p w14:paraId="6C6B60C1" w14:textId="77777777" w:rsidR="00DF410E" w:rsidRDefault="00CE7F43">
      <w:pPr>
        <w:pStyle w:val="pheading"/>
      </w:pPr>
      <w:r>
        <w:t>DESCRIPTION</w:t>
      </w:r>
    </w:p>
    <w:p w14:paraId="6E6BC532" w14:textId="77777777" w:rsidR="00DF410E" w:rsidRDefault="00CE7F43">
      <w:pPr>
        <w:pStyle w:val="pheading"/>
      </w:pPr>
      <w:r>
        <w:t>- Définition / Comprend</w:t>
      </w:r>
    </w:p>
    <w:p w14:paraId="3778FD62" w14:textId="77777777" w:rsidR="00DF410E" w:rsidRDefault="00CE7F43">
      <w:pPr>
        <w:jc w:val="both"/>
      </w:pPr>
      <w:r>
        <w:t>Il s’agit de la fourniture et la pose de planchers porteurs intérieurs composés au minimum de poutres en bois, de connecteurs et de planchers en béton. Ces éléments participant à la stabilité et la résistance du plancher.</w:t>
      </w:r>
    </w:p>
    <w:p w14:paraId="379D79EF" w14:textId="77777777" w:rsidR="00DF410E" w:rsidRDefault="00CE7F43">
      <w:pPr>
        <w:jc w:val="both"/>
      </w:pPr>
      <w:r>
        <w:t>Le travail comprend notamment :</w:t>
      </w:r>
    </w:p>
    <w:p w14:paraId="2F5B9DCB" w14:textId="77777777" w:rsidR="00DF410E" w:rsidRDefault="00CE7F43">
      <w:pPr>
        <w:pStyle w:val="Author-eListParagraph"/>
        <w:numPr>
          <w:ilvl w:val="0"/>
          <w:numId w:val="899"/>
        </w:numPr>
        <w:jc w:val="both"/>
      </w:pPr>
      <w:r>
        <w:t>La préparation et nettoyage des points d’appuis;</w:t>
      </w:r>
    </w:p>
    <w:p w14:paraId="68C131A9" w14:textId="77777777" w:rsidR="00DF410E" w:rsidRDefault="00CE7F43">
      <w:pPr>
        <w:pStyle w:val="Author-eListParagraph"/>
        <w:numPr>
          <w:ilvl w:val="0"/>
          <w:numId w:val="899"/>
        </w:numPr>
        <w:jc w:val="both"/>
      </w:pPr>
      <w:r>
        <w:t>La fabrication, la livraison et la pose des éléments porteurs en bois;</w:t>
      </w:r>
    </w:p>
    <w:p w14:paraId="569B1415" w14:textId="77777777" w:rsidR="00DF410E" w:rsidRDefault="00CE7F43">
      <w:pPr>
        <w:pStyle w:val="Author-eListParagraph"/>
        <w:numPr>
          <w:ilvl w:val="0"/>
          <w:numId w:val="899"/>
        </w:numPr>
        <w:jc w:val="both"/>
      </w:pPr>
      <w:r>
        <w:t>La fixation et l’installation des connecteurs sur les poutres en bois;</w:t>
      </w:r>
    </w:p>
    <w:p w14:paraId="165E54DB" w14:textId="77777777" w:rsidR="00DF410E" w:rsidRDefault="00CE7F43">
      <w:pPr>
        <w:pStyle w:val="Author-eListParagraph"/>
        <w:numPr>
          <w:ilvl w:val="0"/>
          <w:numId w:val="899"/>
        </w:numPr>
        <w:jc w:val="both"/>
      </w:pPr>
      <w:r>
        <w:t>La pose des panneaux éventuels;</w:t>
      </w:r>
    </w:p>
    <w:p w14:paraId="3BEA0643" w14:textId="77777777" w:rsidR="00DF410E" w:rsidRDefault="00CE7F43">
      <w:pPr>
        <w:pStyle w:val="Author-eListParagraph"/>
        <w:numPr>
          <w:ilvl w:val="0"/>
          <w:numId w:val="899"/>
        </w:numPr>
        <w:jc w:val="both"/>
      </w:pPr>
      <w:r>
        <w:t>L’étançonnement de la structure;</w:t>
      </w:r>
    </w:p>
    <w:p w14:paraId="1BFF14BB" w14:textId="77777777" w:rsidR="00DF410E" w:rsidRDefault="00CE7F43">
      <w:pPr>
        <w:pStyle w:val="Author-eListParagraph"/>
        <w:numPr>
          <w:ilvl w:val="0"/>
          <w:numId w:val="899"/>
        </w:numPr>
        <w:jc w:val="both"/>
      </w:pPr>
      <w:r>
        <w:t>Le bétonnage du plancher;</w:t>
      </w:r>
    </w:p>
    <w:p w14:paraId="23CAFBFD" w14:textId="77777777" w:rsidR="00DF410E" w:rsidRDefault="00CE7F43">
      <w:pPr>
        <w:pStyle w:val="Author-eListParagraph"/>
        <w:numPr>
          <w:ilvl w:val="0"/>
          <w:numId w:val="899"/>
        </w:numPr>
        <w:jc w:val="both"/>
      </w:pPr>
      <w:r>
        <w:t>La pose et le démontage de la structure provisoire nécessaire au montage;</w:t>
      </w:r>
    </w:p>
    <w:p w14:paraId="3D31D946" w14:textId="77777777" w:rsidR="00DF410E" w:rsidRDefault="00CE7F43">
      <w:pPr>
        <w:pStyle w:val="Author-eListParagraph"/>
        <w:numPr>
          <w:ilvl w:val="0"/>
          <w:numId w:val="899"/>
        </w:numPr>
        <w:jc w:val="both"/>
      </w:pPr>
      <w:r>
        <w:t>La protection des surfaces;</w:t>
      </w:r>
    </w:p>
    <w:p w14:paraId="3C692D65" w14:textId="77777777" w:rsidR="00DF410E" w:rsidRDefault="00CE7F43">
      <w:pPr>
        <w:pStyle w:val="Author-eListParagraph"/>
        <w:numPr>
          <w:ilvl w:val="0"/>
          <w:numId w:val="899"/>
        </w:numPr>
        <w:jc w:val="both"/>
      </w:pPr>
      <w:r>
        <w:t>Les réservations prévues sur les plans;</w:t>
      </w:r>
    </w:p>
    <w:p w14:paraId="29FF42CD" w14:textId="77777777" w:rsidR="00DF410E" w:rsidRDefault="00CE7F43">
      <w:pPr>
        <w:pStyle w:val="Author-eListParagraph"/>
        <w:numPr>
          <w:ilvl w:val="0"/>
          <w:numId w:val="899"/>
        </w:numPr>
        <w:jc w:val="both"/>
      </w:pPr>
      <w:r>
        <w:t>La finition des bords et travaux de réparation en cas d’endommagement;</w:t>
      </w:r>
    </w:p>
    <w:p w14:paraId="40B27469" w14:textId="77777777" w:rsidR="00DF410E" w:rsidRDefault="00CE7F43">
      <w:pPr>
        <w:pStyle w:val="Author-eListParagraph"/>
        <w:numPr>
          <w:ilvl w:val="0"/>
          <w:numId w:val="899"/>
        </w:numPr>
        <w:jc w:val="both"/>
      </w:pPr>
      <w:r>
        <w:t>Le contrôle de toutes les dimensions et l’adaptation des éléments à préfabriquer aux dimensions réelles ;</w:t>
      </w:r>
    </w:p>
    <w:p w14:paraId="1928B3FE" w14:textId="77777777" w:rsidR="00DF410E" w:rsidRDefault="00CE7F43">
      <w:pPr>
        <w:pStyle w:val="Author-eListParagraph"/>
        <w:numPr>
          <w:ilvl w:val="0"/>
          <w:numId w:val="899"/>
        </w:numPr>
        <w:jc w:val="both"/>
      </w:pPr>
      <w:r>
        <w:t>Tous les moyens de liaisonnement éventuels, aussi bien entre les éléments préfabriqués, qu’avec les éléments de support, de bord, … ;</w:t>
      </w:r>
    </w:p>
    <w:p w14:paraId="498DD491" w14:textId="77777777" w:rsidR="00DF410E" w:rsidRDefault="00CE7F43">
      <w:pPr>
        <w:pStyle w:val="Author-eListParagraph"/>
        <w:numPr>
          <w:ilvl w:val="0"/>
          <w:numId w:val="899"/>
        </w:numPr>
        <w:jc w:val="both"/>
      </w:pPr>
      <w:r>
        <w:t>L’enlèvement de tous les accessoires, éléments de coffrage, supports, étais et le nettoyage des faces visibles.</w:t>
      </w:r>
    </w:p>
    <w:p w14:paraId="6120887A" w14:textId="77777777" w:rsidR="00DF410E" w:rsidRDefault="00CE7F43">
      <w:pPr>
        <w:pStyle w:val="pheading"/>
      </w:pPr>
      <w:r>
        <w:t>- Localisation</w:t>
      </w:r>
    </w:p>
    <w:p w14:paraId="3820AD4D" w14:textId="77777777" w:rsidR="00DF410E" w:rsidRDefault="00CE7F43">
      <w:r>
        <w:t xml:space="preserve">Localisation des travaux : </w:t>
      </w:r>
      <w:r>
        <w:rPr>
          <w:rStyle w:val="optioncarChar"/>
        </w:rPr>
        <w:t>***</w:t>
      </w:r>
      <w:r>
        <w:t>.</w:t>
      </w:r>
    </w:p>
    <w:p w14:paraId="58A53BE9" w14:textId="77777777" w:rsidR="00DF410E" w:rsidRDefault="00CE7F43">
      <w:r>
        <w:t>Voir plans et métrés détaillés.</w:t>
      </w:r>
    </w:p>
    <w:p w14:paraId="55F84AC9" w14:textId="77777777" w:rsidR="00DF410E" w:rsidRDefault="00CE7F43">
      <w:pPr>
        <w:pStyle w:val="pheading"/>
      </w:pPr>
      <w:r>
        <w:t>MATÉRIAUX</w:t>
      </w:r>
    </w:p>
    <w:p w14:paraId="3159E580" w14:textId="77777777" w:rsidR="00DF410E" w:rsidRDefault="00CE7F43">
      <w:pPr>
        <w:pStyle w:val="pheading"/>
      </w:pPr>
      <w:r>
        <w:t>- Caractéristiques générales</w:t>
      </w:r>
    </w:p>
    <w:p w14:paraId="60C6293A" w14:textId="77777777" w:rsidR="00DF410E" w:rsidRDefault="00CE7F43">
      <w:pPr>
        <w:jc w:val="both"/>
      </w:pPr>
      <w:r>
        <w:t>L’ensemble est un complexe réalisé en usine ou en atelier et comprend les éléments suivants:</w:t>
      </w:r>
    </w:p>
    <w:p w14:paraId="2D288C15" w14:textId="77777777" w:rsidR="00DF410E" w:rsidRDefault="00CE7F43">
      <w:pPr>
        <w:jc w:val="both"/>
      </w:pPr>
      <w:r>
        <w:rPr>
          <w:b/>
        </w:rPr>
        <w:t>Poutre en bois</w:t>
      </w:r>
    </w:p>
    <w:p w14:paraId="0792DEB2" w14:textId="77777777" w:rsidR="00DF410E" w:rsidRDefault="00CE7F43">
      <w:pPr>
        <w:jc w:val="both"/>
      </w:pPr>
      <w:r>
        <w:t xml:space="preserve">Les poutres porteuses de structure sont constituées de </w:t>
      </w:r>
      <w:r>
        <w:rPr>
          <w:rStyle w:val="optioncarChar"/>
        </w:rPr>
        <w:t xml:space="preserve">bois massif </w:t>
      </w:r>
      <w:r>
        <w:t>(par défaut) </w:t>
      </w:r>
      <w:r>
        <w:rPr>
          <w:rStyle w:val="optioncarChar"/>
        </w:rPr>
        <w:t>/ bois abouté / lamellé-collé /  LVL / ***</w:t>
      </w:r>
      <w:r>
        <w:t xml:space="preserve"> de </w:t>
      </w:r>
      <w:r>
        <w:rPr>
          <w:rStyle w:val="optioncarChar"/>
        </w:rPr>
        <w:t xml:space="preserve">55 / 65 / 80 </w:t>
      </w:r>
      <w:r>
        <w:t>(par défaut)</w:t>
      </w:r>
      <w:r>
        <w:rPr>
          <w:rStyle w:val="optioncarChar"/>
        </w:rPr>
        <w:t xml:space="preserve"> / ***</w:t>
      </w:r>
      <w:r>
        <w:t xml:space="preserve"> mm x </w:t>
      </w:r>
      <w:r>
        <w:rPr>
          <w:rStyle w:val="optioncarChar"/>
        </w:rPr>
        <w:t xml:space="preserve">170 </w:t>
      </w:r>
      <w:r>
        <w:t>(par défaut)</w:t>
      </w:r>
      <w:r>
        <w:rPr>
          <w:rStyle w:val="optioncarChar"/>
        </w:rPr>
        <w:t xml:space="preserve"> /  ***</w:t>
      </w:r>
      <w:r>
        <w:t xml:space="preserve"> mm ayant une classe de résistance minimum </w:t>
      </w:r>
      <w:r>
        <w:rPr>
          <w:rStyle w:val="optioncarChar"/>
        </w:rPr>
        <w:t xml:space="preserve">C18 </w:t>
      </w:r>
      <w:r>
        <w:t>(par défaut)</w:t>
      </w:r>
      <w:r>
        <w:rPr>
          <w:rStyle w:val="optioncarChar"/>
        </w:rPr>
        <w:t xml:space="preserve"> / C24 / ***</w:t>
      </w:r>
      <w:r>
        <w:t xml:space="preserve"> ou équivalente.</w:t>
      </w:r>
    </w:p>
    <w:p w14:paraId="2875F6B5" w14:textId="77777777" w:rsidR="00DF410E" w:rsidRDefault="00CE7F43">
      <w:pPr>
        <w:jc w:val="both"/>
      </w:pPr>
      <w:r>
        <w:t>Le bois massif répond aux spécifications de la [NBN EN 14081 série].</w:t>
      </w:r>
    </w:p>
    <w:p w14:paraId="50863F64" w14:textId="77777777" w:rsidR="00DF410E" w:rsidRDefault="00CE7F43">
      <w:pPr>
        <w:jc w:val="both"/>
      </w:pPr>
      <w:r>
        <w:t>Les bois massifs peuvent être aboutés. Les pièces constitutives du produit fini doivent être classées selon la [NBN EN 14081 série] et les produits finis doivent être marqués selon la [NBN EN 15497].</w:t>
      </w:r>
    </w:p>
    <w:p w14:paraId="493ABDAA" w14:textId="77777777" w:rsidR="00DF410E" w:rsidRDefault="00CE7F43">
      <w:pPr>
        <w:jc w:val="both"/>
      </w:pPr>
      <w:r>
        <w:t>Les bois lamellé-collé doit répondre à la [NBN EN 14080].</w:t>
      </w:r>
    </w:p>
    <w:p w14:paraId="6D8AF088" w14:textId="77777777" w:rsidR="00DF410E" w:rsidRDefault="00CE7F43">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r>
        <w:t>.</w:t>
      </w:r>
    </w:p>
    <w:p w14:paraId="063A8014" w14:textId="77777777" w:rsidR="00DF410E" w:rsidRDefault="00CE7F43">
      <w:pPr>
        <w:jc w:val="both"/>
      </w:pPr>
      <w:r>
        <w:rPr>
          <w:noProof/>
        </w:rPr>
        <w:drawing>
          <wp:inline distT="0" distB="0" distL="0" distR="0" wp14:anchorId="1B331445" wp14:editId="119D4B06">
            <wp:extent cx="5715000" cy="2571750"/>
            <wp:effectExtent l="0" t="0" r="0" b="0"/>
            <wp:docPr id="8" name="24.22.1c CCTB 01.09 GT Bois.png" descr="24.22.1c CCTB 01.09 GT B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542" descr=" "/>
                    <pic:cNvPicPr>
                      <a:picLocks noChangeAspect="1" noChangeArrowheads="1"/>
                    </pic:cNvPicPr>
                  </pic:nvPicPr>
                  <pic:blipFill>
                    <a:blip r:embed="rId304"/>
                    <a:srcRect/>
                    <a:stretch>
                      <a:fillRect/>
                    </a:stretch>
                  </pic:blipFill>
                  <pic:spPr bwMode="auto">
                    <a:xfrm>
                      <a:off x="0" y="0"/>
                      <a:ext cx="5715000" cy="2571750"/>
                    </a:xfrm>
                    <a:prstGeom prst="rect">
                      <a:avLst/>
                    </a:prstGeom>
                  </pic:spPr>
                </pic:pic>
              </a:graphicData>
            </a:graphic>
          </wp:inline>
        </w:drawing>
      </w:r>
    </w:p>
    <w:p w14:paraId="0D503DAF" w14:textId="77777777" w:rsidR="00DF410E" w:rsidRDefault="00CE7F43">
      <w:pPr>
        <w:jc w:val="both"/>
      </w:pPr>
      <w:r>
        <w:t>La structure correspond en tout point au titre </w:t>
      </w:r>
      <w:hyperlink w:anchor="592" w:history="1">
        <w:r>
          <w:t>24.1 Eléments de structures en bois</w:t>
        </w:r>
      </w:hyperlink>
      <w:r>
        <w:t xml:space="preserve"> et au sous-titre </w:t>
      </w:r>
      <w:hyperlink w:anchor="593" w:history="1">
        <w:r>
          <w:t>24.42 Assemblages mécaniques</w:t>
        </w:r>
      </w:hyperlink>
      <w:r>
        <w:t>. </w:t>
      </w:r>
    </w:p>
    <w:p w14:paraId="5A5B21D0" w14:textId="77777777" w:rsidR="00DF410E" w:rsidRDefault="00CE7F43">
      <w:pPr>
        <w:jc w:val="both"/>
      </w:pPr>
      <w:r>
        <w:rPr>
          <w:b/>
        </w:rPr>
        <w:t>Panneaux de coffrage</w:t>
      </w:r>
    </w:p>
    <w:p w14:paraId="752D0E16" w14:textId="77777777" w:rsidR="00DF410E" w:rsidRDefault="00CE7F43">
      <w:pPr>
        <w:jc w:val="both"/>
      </w:pPr>
      <w:r>
        <w:t xml:space="preserve">Les panneaux de coffrage sont </w:t>
      </w:r>
      <w:r>
        <w:rPr>
          <w:rStyle w:val="optioncarChar"/>
        </w:rPr>
        <w:t>non collaborant</w:t>
      </w:r>
      <w:r>
        <w:t xml:space="preserve"> (par défaut) </w:t>
      </w:r>
      <w:r>
        <w:rPr>
          <w:rStyle w:val="optioncarChar"/>
        </w:rPr>
        <w:t>/ collaborant / amovibles / ***.</w:t>
      </w:r>
    </w:p>
    <w:p w14:paraId="5C8266EA" w14:textId="77777777" w:rsidR="00DF410E" w:rsidRDefault="00CE7F43">
      <w:pPr>
        <w:jc w:val="both"/>
      </w:pPr>
      <w:r>
        <w:t xml:space="preserve">Les panneaux sont </w:t>
      </w:r>
      <w:r>
        <w:rPr>
          <w:rStyle w:val="optioncarChar"/>
        </w:rPr>
        <w:t xml:space="preserve">vissés </w:t>
      </w:r>
      <w:r>
        <w:t>(par défaut)</w:t>
      </w:r>
      <w:r>
        <w:rPr>
          <w:rStyle w:val="optioncarChar"/>
        </w:rPr>
        <w:t xml:space="preserve"> cloués / collés / ***.</w:t>
      </w:r>
    </w:p>
    <w:p w14:paraId="11B301D7" w14:textId="77777777" w:rsidR="00DF410E" w:rsidRDefault="00CE7F43">
      <w:pPr>
        <w:jc w:val="both"/>
      </w:pPr>
      <w:r>
        <w:t xml:space="preserve">Les panneaux sont constitués de panneaux </w:t>
      </w:r>
      <w:r>
        <w:rPr>
          <w:rStyle w:val="optioncarChar"/>
        </w:rPr>
        <w:t xml:space="preserve">OSB </w:t>
      </w:r>
      <w:r>
        <w:t>(par défaut)</w:t>
      </w:r>
      <w:r>
        <w:rPr>
          <w:rStyle w:val="optioncarChar"/>
        </w:rPr>
        <w:t xml:space="preserve"> / mutiplex bois / CLT / ***.</w:t>
      </w:r>
    </w:p>
    <w:p w14:paraId="1B5A5EFD" w14:textId="77777777" w:rsidR="00DF410E" w:rsidRDefault="00CE7F43">
      <w:pPr>
        <w:ind w:left="567"/>
        <w:jc w:val="both"/>
      </w:pPr>
      <w:r>
        <w:rPr>
          <w:b/>
          <w:i/>
        </w:rPr>
        <w:t>(Soit par défaut)</w:t>
      </w:r>
    </w:p>
    <w:p w14:paraId="74FAC721" w14:textId="77777777" w:rsidR="00DF410E" w:rsidRDefault="00CE7F43">
      <w:pPr>
        <w:ind w:left="567"/>
        <w:jc w:val="both"/>
      </w:pPr>
      <w:r>
        <w:rPr>
          <w:rStyle w:val="soitChar"/>
          <w:u w:val="single"/>
        </w:rPr>
        <w:t>Osb</w:t>
      </w:r>
    </w:p>
    <w:p w14:paraId="53B6382B" w14:textId="77777777" w:rsidR="00DF410E" w:rsidRDefault="00CE7F43">
      <w:pPr>
        <w:ind w:left="567"/>
        <w:jc w:val="both"/>
      </w:pPr>
      <w:r>
        <w:rPr>
          <w:rStyle w:val="soitChar"/>
        </w:rPr>
        <w:t xml:space="preserve">Pour le descriptif, voir l’article </w:t>
      </w:r>
      <w:hyperlink w:anchor="595" w:history="1">
        <w:r>
          <w:rPr>
            <w:rStyle w:val="soitChar"/>
          </w:rPr>
          <w:t>24.16.1b Panneaux OSB</w:t>
        </w:r>
      </w:hyperlink>
      <w:r>
        <w:rPr>
          <w:rStyle w:val="soitChar"/>
        </w:rPr>
        <w:t>.</w:t>
      </w:r>
    </w:p>
    <w:p w14:paraId="1095BB24" w14:textId="77777777" w:rsidR="00DF410E" w:rsidRDefault="00CE7F43">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mm.</w:t>
      </w:r>
    </w:p>
    <w:p w14:paraId="5B390EAC" w14:textId="77777777" w:rsidR="00DF410E" w:rsidRDefault="00CE7F43">
      <w:pPr>
        <w:ind w:left="567"/>
        <w:jc w:val="both"/>
      </w:pPr>
      <w:r>
        <w:rPr>
          <w:rStyle w:val="soitChar"/>
        </w:rPr>
        <w:t xml:space="preserve">Les panneaux sont de type </w:t>
      </w:r>
      <w:r>
        <w:rPr>
          <w:rStyle w:val="optioncarChar"/>
        </w:rPr>
        <w:t>2 / 3</w:t>
      </w:r>
      <w:r>
        <w:t xml:space="preserve"> (par défaut)</w:t>
      </w:r>
      <w:r>
        <w:rPr>
          <w:rStyle w:val="optioncarChar"/>
        </w:rPr>
        <w:t xml:space="preserve"> / 4</w:t>
      </w:r>
      <w:r>
        <w:rPr>
          <w:rStyle w:val="soitChar"/>
        </w:rPr>
        <w:t>.</w:t>
      </w:r>
    </w:p>
    <w:p w14:paraId="36F4B7F9" w14:textId="77777777" w:rsidR="00DF410E" w:rsidRDefault="00CE7F43">
      <w:pPr>
        <w:ind w:left="567"/>
        <w:jc w:val="both"/>
      </w:pPr>
      <w:r>
        <w:rPr>
          <w:rStyle w:val="soitChar"/>
        </w:rPr>
        <w:t xml:space="preserve">Les panneaux sont </w:t>
      </w:r>
      <w:r>
        <w:rPr>
          <w:rStyle w:val="optioncarChar"/>
        </w:rPr>
        <w:t>à bord droit / rainurés languettés </w:t>
      </w:r>
      <w:r>
        <w:t xml:space="preserve">(par défaut). </w:t>
      </w:r>
    </w:p>
    <w:p w14:paraId="65429CFA" w14:textId="77777777" w:rsidR="00DF410E" w:rsidRDefault="00CE7F43">
      <w:pPr>
        <w:ind w:left="567"/>
        <w:jc w:val="both"/>
      </w:pPr>
      <w:r>
        <w:rPr>
          <w:rStyle w:val="soitChar"/>
        </w:rPr>
        <w:t>Les panneaux répondent à la [NBN EN 300] et à la [NBN EN 13986+A1].</w:t>
      </w:r>
    </w:p>
    <w:p w14:paraId="478D14A3" w14:textId="77777777" w:rsidR="00DF410E" w:rsidRDefault="00CE7F43">
      <w:pPr>
        <w:ind w:left="567"/>
        <w:jc w:val="both"/>
      </w:pPr>
      <w:r>
        <w:rPr>
          <w:b/>
          <w:i/>
        </w:rPr>
        <w:t>(Soit)</w:t>
      </w:r>
    </w:p>
    <w:p w14:paraId="0A5D87B0" w14:textId="77777777" w:rsidR="00DF410E" w:rsidRDefault="00CE7F43">
      <w:pPr>
        <w:ind w:left="567"/>
        <w:jc w:val="both"/>
      </w:pPr>
      <w:r>
        <w:rPr>
          <w:rStyle w:val="soitChar"/>
          <w:u w:val="single"/>
        </w:rPr>
        <w:t>Multiplex bois</w:t>
      </w:r>
    </w:p>
    <w:p w14:paraId="412B0F94" w14:textId="77777777" w:rsidR="00DF410E" w:rsidRDefault="00CE7F43">
      <w:pPr>
        <w:ind w:left="567"/>
        <w:jc w:val="both"/>
      </w:pPr>
      <w:r>
        <w:rPr>
          <w:rStyle w:val="soitChar"/>
        </w:rPr>
        <w:t xml:space="preserve">Pour le descriptif, voir l’article </w:t>
      </w:r>
      <w:hyperlink w:anchor="596" w:history="1">
        <w:r>
          <w:rPr>
            <w:rStyle w:val="soitChar"/>
          </w:rPr>
          <w:t>24.16.1a Panneaux contreplaqués (PW)</w:t>
        </w:r>
      </w:hyperlink>
      <w:r>
        <w:rPr>
          <w:rStyle w:val="soitChar"/>
        </w:rPr>
        <w:t>.</w:t>
      </w:r>
    </w:p>
    <w:p w14:paraId="2C0173CA" w14:textId="77777777" w:rsidR="00DF410E" w:rsidRDefault="00CE7F43">
      <w:pPr>
        <w:ind w:left="567"/>
        <w:jc w:val="both"/>
      </w:pPr>
      <w:r>
        <w:rPr>
          <w:rStyle w:val="soitChar"/>
        </w:rPr>
        <w:t xml:space="preserve">Le multiplex est en bois </w:t>
      </w:r>
      <w:r>
        <w:rPr>
          <w:rStyle w:val="optioncarChar"/>
        </w:rPr>
        <w:t xml:space="preserve">feuillus / résineux. </w:t>
      </w:r>
    </w:p>
    <w:p w14:paraId="4EC3C9C0" w14:textId="77777777" w:rsidR="00DF410E" w:rsidRDefault="00CE7F43">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 xml:space="preserve"> mm</w:t>
      </w:r>
    </w:p>
    <w:p w14:paraId="481F9B86" w14:textId="77777777" w:rsidR="00DF410E" w:rsidRDefault="00CE7F43">
      <w:pPr>
        <w:ind w:left="567"/>
        <w:jc w:val="both"/>
      </w:pPr>
      <w:r>
        <w:rPr>
          <w:rStyle w:val="soitChar"/>
        </w:rPr>
        <w:t xml:space="preserve">Les panneaux sont à </w:t>
      </w:r>
      <w:r>
        <w:rPr>
          <w:rStyle w:val="optioncarChar"/>
        </w:rPr>
        <w:t xml:space="preserve">bord droit / rainurés languettés </w:t>
      </w:r>
      <w:r>
        <w:t>(par défaut).</w:t>
      </w:r>
    </w:p>
    <w:p w14:paraId="7F9E362C" w14:textId="77777777" w:rsidR="00DF410E" w:rsidRDefault="00CE7F43">
      <w:pPr>
        <w:ind w:left="567"/>
        <w:jc w:val="both"/>
      </w:pPr>
      <w:r>
        <w:rPr>
          <w:b/>
          <w:i/>
        </w:rPr>
        <w:t>(Soit)</w:t>
      </w:r>
    </w:p>
    <w:p w14:paraId="739135A9" w14:textId="77777777" w:rsidR="00DF410E" w:rsidRDefault="00CE7F43">
      <w:pPr>
        <w:ind w:left="567"/>
        <w:jc w:val="both"/>
      </w:pPr>
      <w:r>
        <w:rPr>
          <w:rStyle w:val="soitChar"/>
          <w:u w:val="single"/>
        </w:rPr>
        <w:t>CLT</w:t>
      </w:r>
    </w:p>
    <w:p w14:paraId="24C48204" w14:textId="77777777" w:rsidR="00DF410E" w:rsidRDefault="00CE7F43">
      <w:pPr>
        <w:ind w:left="567"/>
        <w:jc w:val="both"/>
      </w:pPr>
      <w:r>
        <w:rPr>
          <w:rStyle w:val="soitChar"/>
        </w:rPr>
        <w:t>Les panneaux répondent à la [NBN EN 16351].</w:t>
      </w:r>
    </w:p>
    <w:p w14:paraId="21BCA367" w14:textId="77777777" w:rsidR="00DF410E" w:rsidRDefault="00CE7F43">
      <w:pPr>
        <w:ind w:left="567"/>
        <w:jc w:val="both"/>
      </w:pPr>
      <w:r>
        <w:rPr>
          <w:rStyle w:val="soitChar"/>
        </w:rPr>
        <w:t xml:space="preserve">Les panneaux ont une épaisseur de </w:t>
      </w:r>
      <w:r>
        <w:rPr>
          <w:rStyle w:val="optioncarChar"/>
        </w:rPr>
        <w:t xml:space="preserve">60 </w:t>
      </w:r>
      <w:r>
        <w:t xml:space="preserve">(par défaut) </w:t>
      </w:r>
      <w:r>
        <w:rPr>
          <w:rStyle w:val="optioncarChar"/>
        </w:rPr>
        <w:t>/ ***</w:t>
      </w:r>
      <w:r>
        <w:rPr>
          <w:rStyle w:val="soitChar"/>
        </w:rPr>
        <w:t xml:space="preserve"> mm.</w:t>
      </w:r>
    </w:p>
    <w:p w14:paraId="5CD578FD" w14:textId="77777777" w:rsidR="00DF410E" w:rsidRDefault="00CE7F43">
      <w:pPr>
        <w:ind w:left="567"/>
        <w:jc w:val="both"/>
      </w:pPr>
      <w:r>
        <w:rPr>
          <w:rStyle w:val="soitChar"/>
        </w:rPr>
        <w:t xml:space="preserve">Les panneaux sont de qualité </w:t>
      </w:r>
      <w:r>
        <w:rPr>
          <w:rStyle w:val="optioncarChar"/>
        </w:rPr>
        <w:t>non visible</w:t>
      </w:r>
      <w:r>
        <w:t xml:space="preserve"> (par défaut) </w:t>
      </w:r>
      <w:r>
        <w:rPr>
          <w:rStyle w:val="optioncarChar"/>
        </w:rPr>
        <w:t>/ visible industrielle / visible habitat.</w:t>
      </w:r>
    </w:p>
    <w:p w14:paraId="048F6232" w14:textId="77777777" w:rsidR="00DF410E" w:rsidRDefault="00CE7F43">
      <w:pPr>
        <w:ind w:left="567"/>
        <w:jc w:val="both"/>
      </w:pPr>
      <w:r>
        <w:rPr>
          <w:b/>
          <w:i/>
        </w:rPr>
        <w:t>(Soit)</w:t>
      </w:r>
    </w:p>
    <w:p w14:paraId="0BB6DB4E" w14:textId="77777777" w:rsidR="00DF410E" w:rsidRDefault="00CE7F43">
      <w:pPr>
        <w:ind w:left="567"/>
        <w:jc w:val="both"/>
      </w:pPr>
      <w:r>
        <w:rPr>
          <w:rStyle w:val="optioncarChar"/>
        </w:rPr>
        <w:t>***</w:t>
      </w:r>
    </w:p>
    <w:p w14:paraId="0107E93A" w14:textId="77777777" w:rsidR="00DF410E" w:rsidRDefault="00CE7F43">
      <w:pPr>
        <w:jc w:val="both"/>
      </w:pPr>
      <w:r>
        <w:rPr>
          <w:b/>
        </w:rPr>
        <w:t>Les connecteurs</w:t>
      </w:r>
    </w:p>
    <w:p w14:paraId="278AF7CA" w14:textId="77777777" w:rsidR="00DF410E" w:rsidRDefault="00CE7F43">
      <w:pPr>
        <w:jc w:val="both"/>
      </w:pPr>
      <w:r>
        <w:t xml:space="preserve">Les connecteurs sont composés de </w:t>
      </w:r>
      <w:r>
        <w:rPr>
          <w:rStyle w:val="optioncarChar"/>
        </w:rPr>
        <w:t xml:space="preserve">tire-fond </w:t>
      </w:r>
      <w:r>
        <w:t>(par défaut)</w:t>
      </w:r>
      <w:r>
        <w:rPr>
          <w:rStyle w:val="optioncarChar"/>
        </w:rPr>
        <w:t xml:space="preserve"> / armature acier amovibles / crampons / ***</w:t>
      </w:r>
      <w:r>
        <w:t>.</w:t>
      </w:r>
    </w:p>
    <w:p w14:paraId="1950D02F" w14:textId="77777777" w:rsidR="00DF410E" w:rsidRDefault="00CE7F43">
      <w:pPr>
        <w:jc w:val="both"/>
      </w:pPr>
      <w:r>
        <w:t xml:space="preserve">Le diamètre des sections des connecteurs est de </w:t>
      </w:r>
      <w:r>
        <w:rPr>
          <w:rStyle w:val="optioncarChar"/>
        </w:rPr>
        <w:t>10</w:t>
      </w:r>
      <w:r>
        <w:t xml:space="preserve"> (par défaut)</w:t>
      </w:r>
      <w:r>
        <w:rPr>
          <w:rStyle w:val="optioncarChar"/>
        </w:rPr>
        <w:t xml:space="preserve"> 12 / ***</w:t>
      </w:r>
      <w:r>
        <w:t xml:space="preserve"> mm. </w:t>
      </w:r>
    </w:p>
    <w:p w14:paraId="4C4F6B36" w14:textId="77777777" w:rsidR="00DF410E" w:rsidRDefault="00CE7F43">
      <w:pPr>
        <w:jc w:val="both"/>
      </w:pPr>
      <w:r>
        <w:rPr>
          <w:b/>
        </w:rPr>
        <w:t>Le béton</w:t>
      </w:r>
    </w:p>
    <w:p w14:paraId="1DD0C76E" w14:textId="77777777" w:rsidR="00DF410E" w:rsidRDefault="00CE7F43">
      <w:pPr>
        <w:jc w:val="both"/>
      </w:pPr>
      <w:r>
        <w:t xml:space="preserve">Le béton a une épaisseur de </w:t>
      </w:r>
      <w:r>
        <w:rPr>
          <w:rStyle w:val="optioncarChar"/>
        </w:rPr>
        <w:t xml:space="preserve">40 </w:t>
      </w:r>
      <w:r>
        <w:t xml:space="preserve">(par défaut) </w:t>
      </w:r>
      <w:r>
        <w:rPr>
          <w:rStyle w:val="optioncarChar"/>
        </w:rPr>
        <w:t>/ 60 / ***</w:t>
      </w:r>
      <w:r>
        <w:t xml:space="preserve"> mm.</w:t>
      </w:r>
    </w:p>
    <w:p w14:paraId="6D7F89CB" w14:textId="77777777" w:rsidR="00DF410E" w:rsidRDefault="00CE7F43">
      <w:pPr>
        <w:jc w:val="both"/>
      </w:pPr>
      <w:r>
        <w:t xml:space="preserve">La dalle est de type </w:t>
      </w:r>
      <w:r>
        <w:rPr>
          <w:rStyle w:val="optioncarChar"/>
        </w:rPr>
        <w:t>béton normal</w:t>
      </w:r>
      <w:r>
        <w:t xml:space="preserve"> (par défaut) </w:t>
      </w:r>
      <w:r>
        <w:rPr>
          <w:rStyle w:val="optioncarChar"/>
        </w:rPr>
        <w:t>/ béton allégé / anhydrite / ***</w:t>
      </w:r>
      <w:r>
        <w:t>.</w:t>
      </w:r>
    </w:p>
    <w:p w14:paraId="50D631D9" w14:textId="77777777" w:rsidR="00DF410E" w:rsidRDefault="00CE7F43">
      <w:pPr>
        <w:ind w:left="567"/>
        <w:jc w:val="both"/>
      </w:pPr>
      <w:r>
        <w:rPr>
          <w:b/>
          <w:i/>
        </w:rPr>
        <w:t>(Soit par défaut)</w:t>
      </w:r>
    </w:p>
    <w:p w14:paraId="44432A79" w14:textId="77777777" w:rsidR="00DF410E" w:rsidRDefault="00CE7F43">
      <w:pPr>
        <w:ind w:left="567"/>
        <w:jc w:val="both"/>
      </w:pPr>
      <w:r>
        <w:rPr>
          <w:rStyle w:val="soitChar"/>
          <w:u w:val="single"/>
        </w:rPr>
        <w:t>Béton normal</w:t>
      </w:r>
    </w:p>
    <w:p w14:paraId="5FC13939" w14:textId="77777777" w:rsidR="00DF410E" w:rsidRDefault="00CE7F43">
      <w:pPr>
        <w:ind w:left="567"/>
        <w:jc w:val="both"/>
      </w:pPr>
      <w:r>
        <w:rPr>
          <w:rStyle w:val="soitChar"/>
        </w:rPr>
        <w:t xml:space="preserve">La masse volumique du béton est de </w:t>
      </w:r>
      <w:r>
        <w:rPr>
          <w:rStyle w:val="optioncarChar"/>
        </w:rPr>
        <w:t xml:space="preserve">2300 </w:t>
      </w:r>
      <w:r>
        <w:t>(par défaut)</w:t>
      </w:r>
      <w:r>
        <w:rPr>
          <w:rStyle w:val="optioncarChar"/>
        </w:rPr>
        <w:t xml:space="preserve"> / ***</w:t>
      </w:r>
      <w:r>
        <w:rPr>
          <w:rStyle w:val="soitChar"/>
        </w:rPr>
        <w:t>  kg/m³.</w:t>
      </w:r>
    </w:p>
    <w:p w14:paraId="12BD34AC" w14:textId="77777777" w:rsidR="00DF410E" w:rsidRDefault="00CE7F43">
      <w:pPr>
        <w:ind w:left="567"/>
        <w:jc w:val="both"/>
      </w:pPr>
      <w:r>
        <w:rPr>
          <w:rStyle w:val="soitChar"/>
        </w:rPr>
        <w:t xml:space="preserve">Le béton est de type </w:t>
      </w:r>
      <w:r>
        <w:rPr>
          <w:rStyle w:val="optioncarChar"/>
        </w:rPr>
        <w:t xml:space="preserve">C25/30 </w:t>
      </w:r>
      <w:r>
        <w:t xml:space="preserve">(par défaut) </w:t>
      </w:r>
      <w:r>
        <w:rPr>
          <w:rStyle w:val="optioncarChar"/>
        </w:rPr>
        <w:t>/ ***.</w:t>
      </w:r>
    </w:p>
    <w:p w14:paraId="7F9A72B6" w14:textId="77777777" w:rsidR="00DF410E" w:rsidRDefault="00CE7F43">
      <w:pPr>
        <w:ind w:left="567"/>
        <w:jc w:val="both"/>
      </w:pPr>
      <w:r>
        <w:rPr>
          <w:b/>
          <w:i/>
        </w:rPr>
        <w:t>(Soit)</w:t>
      </w:r>
    </w:p>
    <w:p w14:paraId="632FB437" w14:textId="77777777" w:rsidR="00DF410E" w:rsidRDefault="00CE7F43">
      <w:pPr>
        <w:ind w:left="567"/>
        <w:jc w:val="both"/>
      </w:pPr>
      <w:r>
        <w:rPr>
          <w:rStyle w:val="soitChar"/>
          <w:u w:val="single"/>
        </w:rPr>
        <w:t>Béton allégé</w:t>
      </w:r>
    </w:p>
    <w:p w14:paraId="382184D0" w14:textId="77777777" w:rsidR="00DF410E" w:rsidRDefault="00CE7F43">
      <w:pPr>
        <w:ind w:left="567"/>
        <w:jc w:val="both"/>
      </w:pPr>
      <w:r>
        <w:rPr>
          <w:rStyle w:val="soitChar"/>
        </w:rPr>
        <w:t xml:space="preserve">La masse volumique du béton allégé est de </w:t>
      </w:r>
      <w:r>
        <w:rPr>
          <w:rStyle w:val="optioncarChar"/>
        </w:rPr>
        <w:t xml:space="preserve">1600 </w:t>
      </w:r>
      <w:r>
        <w:t>(par défaut)</w:t>
      </w:r>
      <w:r>
        <w:rPr>
          <w:rStyle w:val="optioncarChar"/>
        </w:rPr>
        <w:t xml:space="preserve"> / ***</w:t>
      </w:r>
      <w:r>
        <w:rPr>
          <w:rStyle w:val="soitChar"/>
        </w:rPr>
        <w:t>  kg/m³.</w:t>
      </w:r>
    </w:p>
    <w:p w14:paraId="78F0E970" w14:textId="77777777" w:rsidR="00DF410E" w:rsidRDefault="00CE7F43">
      <w:pPr>
        <w:ind w:left="567"/>
        <w:jc w:val="both"/>
      </w:pPr>
      <w:r>
        <w:rPr>
          <w:rStyle w:val="soitChar"/>
        </w:rPr>
        <w:t xml:space="preserve">Le béton est de type </w:t>
      </w:r>
      <w:r>
        <w:rPr>
          <w:rStyle w:val="optioncarChar"/>
        </w:rPr>
        <w:t xml:space="preserve">LC16/18 </w:t>
      </w:r>
      <w:r>
        <w:t xml:space="preserve">(par défaut) </w:t>
      </w:r>
      <w:r>
        <w:rPr>
          <w:rStyle w:val="optioncarChar"/>
        </w:rPr>
        <w:t>/ ***</w:t>
      </w:r>
      <w:r>
        <w:rPr>
          <w:rStyle w:val="soitChar"/>
        </w:rPr>
        <w:t>.</w:t>
      </w:r>
    </w:p>
    <w:p w14:paraId="4D3871A3" w14:textId="77777777" w:rsidR="00DF410E" w:rsidRDefault="00CE7F43">
      <w:pPr>
        <w:ind w:left="567"/>
        <w:jc w:val="both"/>
      </w:pPr>
      <w:r>
        <w:rPr>
          <w:b/>
          <w:i/>
        </w:rPr>
        <w:t>(Soit)</w:t>
      </w:r>
    </w:p>
    <w:p w14:paraId="096C4F1D" w14:textId="77777777" w:rsidR="00DF410E" w:rsidRDefault="00CE7F43">
      <w:pPr>
        <w:ind w:left="567"/>
        <w:jc w:val="both"/>
      </w:pPr>
      <w:r>
        <w:rPr>
          <w:rStyle w:val="soitChar"/>
          <w:u w:val="single"/>
        </w:rPr>
        <w:t>Anhydrite</w:t>
      </w:r>
    </w:p>
    <w:p w14:paraId="1B23B74C" w14:textId="77777777" w:rsidR="00DF410E" w:rsidRDefault="00CE7F43">
      <w:pPr>
        <w:ind w:left="567"/>
        <w:jc w:val="both"/>
      </w:pPr>
      <w:r>
        <w:rPr>
          <w:rStyle w:val="soitChar"/>
        </w:rPr>
        <w:t xml:space="preserve">La masse volumique du béton anhydrite est de </w:t>
      </w:r>
      <w:r>
        <w:rPr>
          <w:rStyle w:val="optioncarChar"/>
        </w:rPr>
        <w:t xml:space="preserve">2100 </w:t>
      </w:r>
      <w:r>
        <w:t>(par défaut)</w:t>
      </w:r>
      <w:r>
        <w:rPr>
          <w:rStyle w:val="optioncarChar"/>
        </w:rPr>
        <w:t xml:space="preserve"> / ***</w:t>
      </w:r>
      <w:r>
        <w:rPr>
          <w:rStyle w:val="soitChar"/>
        </w:rPr>
        <w:t>  kg/m³.</w:t>
      </w:r>
    </w:p>
    <w:p w14:paraId="443B9515" w14:textId="77777777" w:rsidR="00DF410E" w:rsidRDefault="00CE7F43">
      <w:pPr>
        <w:ind w:left="567"/>
        <w:jc w:val="both"/>
      </w:pPr>
      <w:r>
        <w:rPr>
          <w:b/>
          <w:i/>
        </w:rPr>
        <w:t>(Soit)</w:t>
      </w:r>
    </w:p>
    <w:p w14:paraId="3CD3227E" w14:textId="77777777" w:rsidR="00DF410E" w:rsidRDefault="00CE7F43">
      <w:pPr>
        <w:ind w:left="567"/>
        <w:jc w:val="both"/>
      </w:pPr>
      <w:r>
        <w:rPr>
          <w:rStyle w:val="optioncarChar"/>
        </w:rPr>
        <w:t>***</w:t>
      </w:r>
    </w:p>
    <w:p w14:paraId="0ADF09C7" w14:textId="77777777" w:rsidR="00DF410E" w:rsidRDefault="00CE7F43">
      <w:pPr>
        <w:pStyle w:val="pheading"/>
      </w:pPr>
      <w:r>
        <w:t>- Finitions</w:t>
      </w:r>
    </w:p>
    <w:p w14:paraId="2986CE24" w14:textId="77777777" w:rsidR="00DF410E" w:rsidRDefault="00CE7F43">
      <w:pPr>
        <w:jc w:val="both"/>
      </w:pPr>
      <w:r>
        <w:t>La couche de finition ne fait pas partie de cet article.</w:t>
      </w:r>
    </w:p>
    <w:p w14:paraId="339F136B" w14:textId="77777777" w:rsidR="00DF410E" w:rsidRDefault="00CE7F43">
      <w:pPr>
        <w:pStyle w:val="pheading"/>
      </w:pPr>
      <w:r>
        <w:t>EXÉCUTION / MISE EN ŒUVRE</w:t>
      </w:r>
    </w:p>
    <w:p w14:paraId="78B8CFA0" w14:textId="77777777" w:rsidR="00DF410E" w:rsidRDefault="00CE7F43">
      <w:pPr>
        <w:pStyle w:val="pheading"/>
      </w:pPr>
      <w:r>
        <w:t>- Prescriptions générales</w:t>
      </w:r>
    </w:p>
    <w:p w14:paraId="65023292" w14:textId="77777777" w:rsidR="00DF410E" w:rsidRDefault="00CE7F43">
      <w:pPr>
        <w:jc w:val="both"/>
      </w:pPr>
      <w:r>
        <w:t>Les sections de l’ossature préfabriquée et les modes de jonctions de ces éléments font l’objet d’une validation par un bureau d’ingénieur externe.</w:t>
      </w:r>
    </w:p>
    <w:p w14:paraId="205AF836" w14:textId="77777777" w:rsidR="00DF410E" w:rsidRDefault="00CE7F43">
      <w:pPr>
        <w:jc w:val="both"/>
      </w:pPr>
      <w:r>
        <w:t>Tous les assemblages mécaniques structuraux sont dimensionnés selon les principes de l’Eurocode 5 [NBN EN 1995-1-1].</w:t>
      </w:r>
    </w:p>
    <w:p w14:paraId="5CF0FC0B" w14:textId="77777777" w:rsidR="00DF410E" w:rsidRDefault="00CE7F43">
      <w:pPr>
        <w:jc w:val="both"/>
      </w:pPr>
      <w:r>
        <w:t>Sauf indication contraire, tous les bâtiments ou parties de bâtiments construits en bois doivent respecter les tolérances de mise en œuvre énoncées dans la [STS 23-1].</w:t>
      </w:r>
    </w:p>
    <w:p w14:paraId="24021654" w14:textId="77777777" w:rsidR="00DF410E" w:rsidRDefault="00CE7F43">
      <w:pPr>
        <w:jc w:val="both"/>
      </w:pPr>
      <w:r>
        <w:t>Dans le cas d’un bâtiment bas (H&lt;10) en ossature bois, les tolérances de mise en œuvre listées dans la [STS 23-1] doivent aussi être respectées.</w:t>
      </w:r>
    </w:p>
    <w:p w14:paraId="7F1F504E" w14:textId="77777777" w:rsidR="00DF410E" w:rsidRDefault="00CE7F43">
      <w:pPr>
        <w:jc w:val="both"/>
      </w:pPr>
      <w:r>
        <w:t xml:space="preserve">Une membrane complémentaire </w:t>
      </w:r>
      <w:r>
        <w:rPr>
          <w:rStyle w:val="optioncarChar"/>
        </w:rPr>
        <w:t xml:space="preserve">est </w:t>
      </w:r>
      <w:r>
        <w:t>(par défaut)</w:t>
      </w:r>
      <w:r>
        <w:rPr>
          <w:rStyle w:val="optioncarChar"/>
        </w:rPr>
        <w:t xml:space="preserve"> / n’est pas</w:t>
      </w:r>
      <w:r>
        <w:t xml:space="preserve"> positionnée sur le panneau de coffrage.</w:t>
      </w:r>
    </w:p>
    <w:p w14:paraId="6F58BE96" w14:textId="77777777" w:rsidR="00DF410E" w:rsidRDefault="00CE7F43">
      <w:pPr>
        <w:jc w:val="both"/>
      </w:pPr>
      <w:r>
        <w:t xml:space="preserve">Cette membrane est de type </w:t>
      </w:r>
      <w:r>
        <w:rPr>
          <w:rStyle w:val="optioncarChar"/>
        </w:rPr>
        <w:t>PE</w:t>
      </w:r>
      <w:r>
        <w:t xml:space="preserve"> (par défaut)</w:t>
      </w:r>
      <w:r>
        <w:rPr>
          <w:rStyle w:val="optioncarChar"/>
        </w:rPr>
        <w:t xml:space="preserve"> / pvc / bitumineuse / ***.</w:t>
      </w:r>
    </w:p>
    <w:p w14:paraId="3A94833E" w14:textId="77777777" w:rsidR="00DF410E" w:rsidRDefault="00CE7F43">
      <w:pPr>
        <w:pStyle w:val="pheading"/>
      </w:pPr>
      <w:r>
        <w:t>- Notes d’exécution complémentaires</w:t>
      </w:r>
    </w:p>
    <w:p w14:paraId="6E7BBA03" w14:textId="77777777" w:rsidR="00DF410E" w:rsidRDefault="00CE7F43">
      <w:pPr>
        <w:jc w:val="both"/>
      </w:pPr>
      <w:r>
        <w:rPr>
          <w:rStyle w:val="facultChar"/>
        </w:rPr>
        <w:t>Tous les assemblages mécaniques structuraux sont dimensionnés selon les principes de l’Eurocode 5 [NBN EN 1995-1-1] et de sa partie feu [NBN EN 1995-1-2].</w:t>
      </w:r>
    </w:p>
    <w:p w14:paraId="1B9BF2CA" w14:textId="77777777" w:rsidR="00DF410E" w:rsidRDefault="00CE7F43">
      <w:pPr>
        <w:pStyle w:val="pheading"/>
      </w:pPr>
      <w:r>
        <w:t>CONTRÔLES PARTICULIERS</w:t>
      </w:r>
    </w:p>
    <w:p w14:paraId="48BDDFDC" w14:textId="77777777" w:rsidR="00DF410E" w:rsidRDefault="00CE7F43">
      <w:pPr>
        <w:jc w:val="both"/>
      </w:pPr>
      <w:r>
        <w:t>Le contrôle de la qualité du séchage d’un lot de bois scié se fait selon la [NBN EN 14298].</w:t>
      </w:r>
    </w:p>
    <w:p w14:paraId="3741E8C5" w14:textId="77777777" w:rsidR="00DF410E" w:rsidRDefault="00CE7F43">
      <w:pPr>
        <w:pStyle w:val="pheading"/>
      </w:pPr>
      <w:r>
        <w:t>DOCUMENTS DE RÉFÉRENCE COMPLÉMENTAIRES</w:t>
      </w:r>
    </w:p>
    <w:p w14:paraId="768B8BFB" w14:textId="77777777" w:rsidR="00DF410E" w:rsidRDefault="00CE7F43">
      <w:pPr>
        <w:pStyle w:val="pheading"/>
      </w:pPr>
      <w:r>
        <w:t>- Matériau</w:t>
      </w:r>
    </w:p>
    <w:p w14:paraId="628601C9" w14:textId="77777777" w:rsidR="00DF410E" w:rsidRDefault="00CE7F43">
      <w:r>
        <w:t>[NBN EN 14081 série, Structures en bois - Bois de structure à section rectangulaire classé pour sa résistance]</w:t>
      </w:r>
    </w:p>
    <w:p w14:paraId="49FF618C" w14:textId="77777777" w:rsidR="00DF410E" w:rsidRDefault="00CE7F43">
      <w:r>
        <w:t>[NBN EN 15497, Bois massif de structure à entures multiples - Exigences de performances et exigences minimales de fabrication]</w:t>
      </w:r>
    </w:p>
    <w:p w14:paraId="654E166B" w14:textId="77777777" w:rsidR="00DF410E" w:rsidRDefault="00CE7F43">
      <w:r>
        <w:t>[NBN EN 14080, Structures en bois - Bois lamellé collé et bois massif reconstitué - Exigences]</w:t>
      </w:r>
    </w:p>
    <w:p w14:paraId="7FBEE98C" w14:textId="77777777" w:rsidR="00DF410E" w:rsidRDefault="00CE7F43">
      <w:r>
        <w:t>[NBN EN 335, Durabilité du bois et des matériaux à base de bois - Classes d'emploi: définitions, application au bois massif et aux matériaux à base de bois]</w:t>
      </w:r>
    </w:p>
    <w:p w14:paraId="5A12A887"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18D828E0" w14:textId="77777777" w:rsidR="00DF410E" w:rsidRDefault="00CE7F43">
      <w:r>
        <w:t>[NBN EN ISO 10456, Matériaux et produits pour le bâtiment - Propriétés hygrothermiques - Valeurs utiles tabulées et procédures pour la détermination des valeurs thermiques déclarées et utiles (ISO 10456:2007)]</w:t>
      </w:r>
    </w:p>
    <w:p w14:paraId="37A4C715" w14:textId="77777777" w:rsidR="00DF410E" w:rsidRDefault="00CE7F43">
      <w:r>
        <w:t>[NBN EN 300, Panneaux de lamelles minces, longues et orientées (OSB) - Définitions, classification et exigences]</w:t>
      </w:r>
    </w:p>
    <w:p w14:paraId="477642D3" w14:textId="77777777" w:rsidR="00DF410E" w:rsidRDefault="00CE7F43">
      <w:r>
        <w:t>[NBN EN 13986+A1, Panneaux à base de bois destinés à la construction - Caractéristiques, évaluation de conformité et marquage]</w:t>
      </w:r>
    </w:p>
    <w:p w14:paraId="1EEE7C76" w14:textId="77777777" w:rsidR="00DF410E" w:rsidRDefault="00CE7F43">
      <w:r>
        <w:t>[NBN EN 16351, Structures en bois - Bois lamellé croisé - Exigences]</w:t>
      </w:r>
    </w:p>
    <w:p w14:paraId="3E296C3F" w14:textId="77777777" w:rsidR="00DF410E" w:rsidRDefault="00CE7F43">
      <w:r>
        <w:t>[AR 2014-05-08, Arrêté royal établissant les niveaux seuils pour les émissions dans l'environnement intérieur de produits de construction pour certains usages prévus]</w:t>
      </w:r>
    </w:p>
    <w:p w14:paraId="562A7B43" w14:textId="77777777" w:rsidR="00DF410E" w:rsidRDefault="00CE7F43">
      <w:pPr>
        <w:pStyle w:val="pheading"/>
      </w:pPr>
      <w:r>
        <w:t>- Exécution</w:t>
      </w:r>
    </w:p>
    <w:p w14:paraId="36C79308" w14:textId="77777777" w:rsidR="00DF410E" w:rsidRDefault="00CE7F43">
      <w:r>
        <w:t>[NBN EN 1995 série, Eurocode 5: Conception et calcul des structures en bois]</w:t>
      </w:r>
    </w:p>
    <w:p w14:paraId="21605DA5" w14:textId="77777777" w:rsidR="00DF410E" w:rsidRDefault="00CE7F43">
      <w:r>
        <w:t>[STS 31, Charpenterie]</w:t>
      </w:r>
    </w:p>
    <w:p w14:paraId="08F53E37" w14:textId="77777777" w:rsidR="00DF410E" w:rsidRDefault="00CE7F43">
      <w:r>
        <w:t>[STS 23-1, Constructions en ossature bois]</w:t>
      </w:r>
    </w:p>
    <w:p w14:paraId="43606B18" w14:textId="77777777" w:rsidR="00DF410E" w:rsidRDefault="00CE7F43">
      <w:r>
        <w:t>[NBN EN 14298, Bois scié - Estimation de la qualité du séchage]</w:t>
      </w:r>
    </w:p>
    <w:p w14:paraId="64F94A83" w14:textId="77777777" w:rsidR="00DF410E" w:rsidRDefault="00CE7F43">
      <w:pPr>
        <w:pStyle w:val="pheading"/>
      </w:pPr>
      <w:r>
        <w:t>MESURAGE</w:t>
      </w:r>
    </w:p>
    <w:p w14:paraId="4AAC78C7" w14:textId="77777777" w:rsidR="00DF410E" w:rsidRDefault="00CE7F43">
      <w:pPr>
        <w:pStyle w:val="pheading"/>
      </w:pPr>
      <w:r>
        <w:t>- unité de mesure:</w:t>
      </w:r>
    </w:p>
    <w:p w14:paraId="55A2476E" w14:textId="77777777" w:rsidR="00DF410E" w:rsidRDefault="00CE7F43">
      <w:r>
        <w:t>m²</w:t>
      </w:r>
    </w:p>
    <w:p w14:paraId="4D9B1855" w14:textId="77777777" w:rsidR="00DF410E" w:rsidRDefault="00CE7F43">
      <w:pPr>
        <w:pStyle w:val="pheading"/>
      </w:pPr>
      <w:r>
        <w:t>- code de mesurage:</w:t>
      </w:r>
    </w:p>
    <w:p w14:paraId="520158C2" w14:textId="77777777" w:rsidR="00DF410E" w:rsidRDefault="00CE7F43">
      <w:pPr>
        <w:jc w:val="both"/>
      </w:pPr>
      <w:r>
        <w:rPr>
          <w:u w:val="single"/>
        </w:rPr>
        <w:t>Surface nette</w:t>
      </w:r>
      <w:r>
        <w:t xml:space="preserve"> : Longueur x Largeur de la paroi selon les plans. Déduction faite des vides de plus de 0.5 m².</w:t>
      </w:r>
    </w:p>
    <w:p w14:paraId="18B6E930" w14:textId="77777777" w:rsidR="00DF410E" w:rsidRDefault="00CE7F43">
      <w:pPr>
        <w:pStyle w:val="pheading"/>
      </w:pPr>
      <w:r>
        <w:t>- nature du marché:</w:t>
      </w:r>
    </w:p>
    <w:p w14:paraId="3C1CA0B1" w14:textId="77777777" w:rsidR="00DF410E" w:rsidRDefault="00CE7F43">
      <w:r>
        <w:rPr>
          <w:rStyle w:val="optioncarChar"/>
        </w:rPr>
        <w:t xml:space="preserve">QF </w:t>
      </w:r>
      <w:r>
        <w:t>(par défaut)</w:t>
      </w:r>
      <w:r>
        <w:rPr>
          <w:rStyle w:val="optioncarChar"/>
        </w:rPr>
        <w:t xml:space="preserve"> / QP</w:t>
      </w:r>
    </w:p>
    <w:p w14:paraId="314D805E" w14:textId="77777777" w:rsidR="00DF410E" w:rsidRDefault="00CE7F43">
      <w:r>
        <w:rPr>
          <w:b/>
          <w:i/>
        </w:rPr>
        <w:t>(Soit par défaut)</w:t>
      </w:r>
    </w:p>
    <w:p w14:paraId="0542565E" w14:textId="77777777" w:rsidR="00DF410E" w:rsidRDefault="00CE7F43">
      <w:r>
        <w:rPr>
          <w:rStyle w:val="soitChar"/>
        </w:rPr>
        <w:t>1. QF</w:t>
      </w:r>
    </w:p>
    <w:p w14:paraId="5CF7FACF" w14:textId="77777777" w:rsidR="00DF410E" w:rsidRDefault="00CE7F43">
      <w:r>
        <w:rPr>
          <w:b/>
          <w:i/>
        </w:rPr>
        <w:t>(Soit)</w:t>
      </w:r>
    </w:p>
    <w:p w14:paraId="305DCCEA" w14:textId="77777777" w:rsidR="00DF410E" w:rsidRDefault="00CE7F43">
      <w:r>
        <w:rPr>
          <w:rStyle w:val="soitChar"/>
        </w:rPr>
        <w:t>2. QP   </w:t>
      </w:r>
    </w:p>
    <w:p w14:paraId="198AEE33" w14:textId="77777777" w:rsidR="00DF410E" w:rsidRDefault="00CE7F43">
      <w:pPr>
        <w:pStyle w:val="pheading"/>
      </w:pPr>
      <w:r>
        <w:t>AIDE</w:t>
      </w:r>
    </w:p>
    <w:p w14:paraId="01E0CF0E" w14:textId="77777777" w:rsidR="00DF410E" w:rsidRDefault="00CE7F43">
      <w:pPr>
        <w:jc w:val="both"/>
      </w:pPr>
      <w:r>
        <w:t>Ce genre de procédé peut être utilisé dans la rénovation de planchers existants en conservant les poutres et les planchers, moyennant la bonne conformité des matériaux réutilisés.</w:t>
      </w:r>
    </w:p>
    <w:p w14:paraId="28740C3A" w14:textId="77777777" w:rsidR="00DF410E" w:rsidRDefault="00CE7F43">
      <w:pPr>
        <w:pStyle w:val="Author-eSectionHeading5"/>
      </w:pPr>
      <w:bookmarkStart w:id="1668" w:name="_Toc178838757"/>
      <w:r>
        <w:t>24.22.2 Planchers en bois préfabriqués CCTB 01.11</w:t>
      </w:r>
      <w:bookmarkEnd w:id="1668"/>
    </w:p>
    <w:p w14:paraId="0705D322" w14:textId="77777777" w:rsidR="00DF410E" w:rsidRDefault="00CE7F43">
      <w:pPr>
        <w:pStyle w:val="pheading"/>
      </w:pPr>
      <w:bookmarkStart w:id="1669" w:name="601"/>
      <w:bookmarkEnd w:id="1669"/>
      <w:r>
        <w:t>DESCRIPTION</w:t>
      </w:r>
    </w:p>
    <w:p w14:paraId="05818377" w14:textId="77777777" w:rsidR="00DF410E" w:rsidRDefault="00CE7F43">
      <w:pPr>
        <w:pStyle w:val="pheading"/>
      </w:pPr>
      <w:r>
        <w:t>- Définition / Comprend</w:t>
      </w:r>
    </w:p>
    <w:p w14:paraId="549D23FA" w14:textId="77777777" w:rsidR="00DF410E" w:rsidRDefault="00CE7F43">
      <w:r>
        <w:t>Le travail comprend notamment :</w:t>
      </w:r>
    </w:p>
    <w:p w14:paraId="2B7A0D0E" w14:textId="77777777" w:rsidR="00DF410E" w:rsidRDefault="00CE7F43">
      <w:pPr>
        <w:pStyle w:val="Author-eListParagraph"/>
        <w:numPr>
          <w:ilvl w:val="0"/>
          <w:numId w:val="900"/>
        </w:numPr>
        <w:jc w:val="both"/>
      </w:pPr>
      <w:r>
        <w:t>Le relevé sur place des dimensions exactes ;</w:t>
      </w:r>
    </w:p>
    <w:p w14:paraId="0453A6C2" w14:textId="77777777" w:rsidR="00DF410E" w:rsidRDefault="00CE7F43">
      <w:pPr>
        <w:pStyle w:val="Author-eListParagraph"/>
        <w:numPr>
          <w:ilvl w:val="0"/>
          <w:numId w:val="900"/>
        </w:numPr>
        <w:jc w:val="both"/>
      </w:pPr>
      <w:r>
        <w:t>Le contrôle, la préparation et le nettoyage des supports sur lesquels les éléments sont posés ;</w:t>
      </w:r>
    </w:p>
    <w:p w14:paraId="18311DB2" w14:textId="77777777" w:rsidR="00DF410E" w:rsidRDefault="00CE7F43">
      <w:pPr>
        <w:pStyle w:val="Author-eListParagraph"/>
        <w:numPr>
          <w:ilvl w:val="0"/>
          <w:numId w:val="900"/>
        </w:numPr>
        <w:jc w:val="both"/>
      </w:pPr>
      <w:r>
        <w:t>Les réservations prévues sur les plans ;</w:t>
      </w:r>
    </w:p>
    <w:p w14:paraId="2F4CF880" w14:textId="77777777" w:rsidR="00DF410E" w:rsidRDefault="00CE7F43">
      <w:pPr>
        <w:pStyle w:val="Author-eListParagraph"/>
        <w:numPr>
          <w:ilvl w:val="0"/>
          <w:numId w:val="900"/>
        </w:numPr>
        <w:jc w:val="both"/>
      </w:pPr>
      <w:r>
        <w:t>Les études de stabilités et d’exécution réalisées par le fabricant sur base des informations, indicatives, reprises sur les plans et le présent élément ;</w:t>
      </w:r>
    </w:p>
    <w:p w14:paraId="36E6213D" w14:textId="77777777" w:rsidR="00DF410E" w:rsidRDefault="00CE7F43">
      <w:pPr>
        <w:pStyle w:val="Author-eListParagraph"/>
        <w:numPr>
          <w:ilvl w:val="0"/>
          <w:numId w:val="900"/>
        </w:numPr>
        <w:jc w:val="both"/>
      </w:pPr>
      <w:r>
        <w:t>La fabrication sur mesure, le transport et la mise en œuvre de tous les éléments, y compris les engins de levage, tous les supports temporaires et travaux d’étayage, tous les moyens de fixation et/ou de pose, etc. ;</w:t>
      </w:r>
    </w:p>
    <w:p w14:paraId="3595F9BA" w14:textId="77777777" w:rsidR="00DF410E" w:rsidRDefault="00CE7F43">
      <w:pPr>
        <w:pStyle w:val="Author-eListParagraph"/>
        <w:numPr>
          <w:ilvl w:val="0"/>
          <w:numId w:val="900"/>
        </w:numPr>
        <w:jc w:val="both"/>
      </w:pPr>
      <w:r>
        <w:t>L'exécution des assemblages et des éventuelles jonctions avec la structure de construction ;</w:t>
      </w:r>
    </w:p>
    <w:p w14:paraId="559A22DF" w14:textId="77777777" w:rsidR="00DF410E" w:rsidRDefault="00CE7F43">
      <w:pPr>
        <w:pStyle w:val="Author-eListParagraph"/>
        <w:numPr>
          <w:ilvl w:val="0"/>
          <w:numId w:val="900"/>
        </w:numPr>
        <w:jc w:val="both"/>
      </w:pPr>
      <w:r>
        <w:t>Tous les moyens de liaisonnement éventuels, aussi bien entre les éléments préfabriqués, qu’avec les éléments de support, de bord, etc. ;</w:t>
      </w:r>
    </w:p>
    <w:p w14:paraId="153897BC" w14:textId="77777777" w:rsidR="00DF410E" w:rsidRDefault="00CE7F43">
      <w:pPr>
        <w:pStyle w:val="Author-eListParagraph"/>
        <w:numPr>
          <w:ilvl w:val="0"/>
          <w:numId w:val="900"/>
        </w:numPr>
        <w:jc w:val="both"/>
      </w:pPr>
      <w:r>
        <w:t>L’enlèvement de tous les accessoires, supports, étais et le nettoyage des faces visibles ;</w:t>
      </w:r>
    </w:p>
    <w:p w14:paraId="3721CF27" w14:textId="77777777" w:rsidR="00DF410E" w:rsidRDefault="00CE7F43">
      <w:pPr>
        <w:pStyle w:val="Author-eListParagraph"/>
        <w:numPr>
          <w:ilvl w:val="0"/>
          <w:numId w:val="900"/>
        </w:numPr>
        <w:jc w:val="both"/>
      </w:pPr>
      <w:r>
        <w:t>Les mesures nécessaires, après la mise en œuvre, en vue de la protection des éléments contre toute dégradation et salissement pendant toute la durée des travaux ;</w:t>
      </w:r>
    </w:p>
    <w:p w14:paraId="2714EC6D" w14:textId="77777777" w:rsidR="00DF410E" w:rsidRDefault="00CE7F43">
      <w:pPr>
        <w:pStyle w:val="Author-eListParagraph"/>
        <w:numPr>
          <w:ilvl w:val="0"/>
          <w:numId w:val="900"/>
        </w:numPr>
        <w:jc w:val="both"/>
      </w:pPr>
      <w:r>
        <w:t>L’enlèvement des protections pour la réception provisoire.</w:t>
      </w:r>
    </w:p>
    <w:p w14:paraId="68BEE298" w14:textId="77777777" w:rsidR="00DF410E" w:rsidRDefault="00CE7F43">
      <w:pPr>
        <w:pStyle w:val="pheading"/>
      </w:pPr>
      <w:r>
        <w:t>DOCUMENTS DE RÉFÉRENCE</w:t>
      </w:r>
    </w:p>
    <w:p w14:paraId="7E07C89E" w14:textId="77777777" w:rsidR="00DF410E" w:rsidRDefault="00CE7F43">
      <w:pPr>
        <w:pStyle w:val="pheading"/>
      </w:pPr>
      <w:r>
        <w:t>- Exécution</w:t>
      </w:r>
    </w:p>
    <w:p w14:paraId="0BA848B7" w14:textId="77777777" w:rsidR="00DF410E" w:rsidRDefault="00CE7F43">
      <w:pPr>
        <w:jc w:val="both"/>
      </w:pPr>
      <w:r>
        <w:rPr>
          <w:b/>
        </w:rPr>
        <w:t>Etude</w:t>
      </w:r>
    </w:p>
    <w:p w14:paraId="51FA5CEF" w14:textId="77777777" w:rsidR="00DF410E" w:rsidRDefault="00CE7F43">
      <w:pPr>
        <w:jc w:val="both"/>
      </w:pPr>
      <w:r>
        <w:t>Le cahier spécial des charges doit mentionner les modalités d'entreprise en ce qui concerne l'étude de stabilité et les détails (voir dans les articles) : </w:t>
      </w:r>
    </w:p>
    <w:p w14:paraId="0CCC2F78" w14:textId="77777777" w:rsidR="00DF410E" w:rsidRDefault="00CE7F43">
      <w:pPr>
        <w:jc w:val="both"/>
      </w:pPr>
      <w:r>
        <w:rPr>
          <w:u w:val="single"/>
        </w:rPr>
        <w:t>Etude à charge du maître de l'ouvrage :</w:t>
      </w:r>
    </w:p>
    <w:p w14:paraId="1045BEA0" w14:textId="77777777" w:rsidR="00DF410E" w:rsidRDefault="00CE7F43">
      <w:pPr>
        <w:jc w:val="both"/>
      </w:pPr>
      <w:r>
        <w:t xml:space="preserve"> Les éléments de structure en bois sont exécutés conformément aux documents de travail annexés au dossier d'adjudication (plans, cahiers des charges, bordereaux, dessins de détail).</w:t>
      </w:r>
    </w:p>
    <w:p w14:paraId="5EAEC429" w14:textId="77777777" w:rsidR="00DF410E" w:rsidRDefault="00CE7F43">
      <w:pPr>
        <w:jc w:val="both"/>
      </w:pPr>
      <w:r>
        <w:rPr>
          <w:u w:val="single"/>
        </w:rPr>
        <w:t>Etude à charge de l'entrepreneur :</w:t>
      </w:r>
    </w:p>
    <w:p w14:paraId="71A83009" w14:textId="77777777" w:rsidR="00DF410E" w:rsidRDefault="00CE7F43">
      <w:pPr>
        <w:jc w:val="both"/>
      </w:pPr>
      <w:r>
        <w:t xml:space="preserve"> Les frais pour la réalisation de l'étude des éléments de construction en bois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etc.).</w:t>
      </w:r>
    </w:p>
    <w:p w14:paraId="5C47ACA0" w14:textId="77777777" w:rsidR="00DF410E" w:rsidRDefault="00CE7F43">
      <w:pPr>
        <w:jc w:val="both"/>
      </w:pPr>
      <w:r>
        <w:rPr>
          <w:u w:val="single"/>
        </w:rPr>
        <w:t>Etude à charge du maître de l’ouvrage à l’exception des assemblages :</w:t>
      </w:r>
    </w:p>
    <w:p w14:paraId="44B64A92" w14:textId="77777777" w:rsidR="00DF410E" w:rsidRDefault="00CE7F43">
      <w:pPr>
        <w:jc w:val="both"/>
      </w:pPr>
      <w:r>
        <w:t xml:space="preserve"> Les éléments de structure en bois sont exécutés conformément aux documents de travail annexés au dossier d'adjudication (plans, cahiers des charges, bordereaux, dessins de détail). Ces documents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205791B7" w14:textId="77777777" w:rsidR="00DF410E" w:rsidRDefault="00CE7F43">
      <w:pPr>
        <w:jc w:val="both"/>
      </w:pPr>
      <w:r>
        <w:rPr>
          <w:b/>
        </w:rPr>
        <w:t>Méthode de calcul</w:t>
      </w:r>
    </w:p>
    <w:p w14:paraId="5A7DE8AE" w14:textId="77777777" w:rsidR="00DF410E" w:rsidRDefault="00CE7F43">
      <w:pPr>
        <w:jc w:val="both"/>
      </w:pPr>
      <w:r>
        <w:t>Les calculs sont exécutés conformément aux Eurocodes et en particulier conformément aux différentes parties de l'Eurocodes 5 [NBN EN 1995 série] et les [STS 23-1], [STS 23:ad.1], [STS 23:ad.2], [STS 31+ 32].</w:t>
      </w:r>
    </w:p>
    <w:p w14:paraId="2B5434D4" w14:textId="77777777" w:rsidR="00DF410E" w:rsidRDefault="00CE7F43">
      <w:pPr>
        <w:jc w:val="both"/>
      </w:pPr>
      <w:r>
        <w:t>Les sollicitations à prendre en compte sont détaillées dans les différentes parties de l'Eurocode 1 [NBN EN 1991 série].</w:t>
      </w:r>
    </w:p>
    <w:p w14:paraId="587B65C8" w14:textId="77777777" w:rsidR="00DF410E" w:rsidRDefault="00CE7F43">
      <w:pPr>
        <w:jc w:val="both"/>
      </w:pPr>
      <w:r>
        <w:t>L'entrepreneur est tenu de contrôler les dimensions sur place et de vérifier si les planchers peuvent être exécutés selon les plans soumis. Il y a lieu de tenir compte de la hauteur libre requise par rapport au niveau du sol. Lorsque cela s'avère impossible, il en avertit l'auteur de projet ou le bureau d’étude le jour dans les plus brefs délais.</w:t>
      </w:r>
    </w:p>
    <w:p w14:paraId="10FC8F69" w14:textId="77777777" w:rsidR="00DF410E" w:rsidRDefault="00CE7F43">
      <w:pPr>
        <w:jc w:val="both"/>
      </w:pPr>
      <w:r>
        <w:t>Les sections de l’ossature préfabriquée, les modes de jonctions aux parois, les plans de pose et les calculs sont toujours établis et signés par un ingénieur en stabilité diplômé, attaché au fournisseur, et ce, aux frais de l'entrepreneur.</w:t>
      </w:r>
    </w:p>
    <w:p w14:paraId="44167C3F" w14:textId="77777777" w:rsidR="00DF410E" w:rsidRDefault="00CE7F43">
      <w:pPr>
        <w:jc w:val="both"/>
      </w:pPr>
      <w:r>
        <w:t>L’entrepreneur soumet pour approbation les plans de fabrication, d’exécution et de montage au maître d’ouvrage et à l’auteur de projet avant d’en entamer la réalisation.</w:t>
      </w:r>
    </w:p>
    <w:p w14:paraId="2DA95335" w14:textId="77777777" w:rsidR="00DF410E" w:rsidRDefault="00CE7F43">
      <w:pPr>
        <w:jc w:val="both"/>
      </w:pPr>
      <w:r>
        <w:t>Tous les bâtiments ou parties de bâtiments construits en bois respectent les tolérances de mise en œuvre énoncées dans la [STS 23-1].</w:t>
      </w:r>
    </w:p>
    <w:p w14:paraId="53E9D552" w14:textId="77777777" w:rsidR="00DF410E" w:rsidRDefault="00CE7F43">
      <w:pPr>
        <w:jc w:val="both"/>
      </w:pPr>
      <w:r>
        <w:t>Les planchers préfabriqués sont manutentionnés, stockés et mis en œuvre en respectant la documentation technique accompagnant le produit.</w:t>
      </w:r>
    </w:p>
    <w:p w14:paraId="4CA9860D" w14:textId="77777777" w:rsidR="00DF410E" w:rsidRDefault="00CE7F43">
      <w:pPr>
        <w:jc w:val="both"/>
      </w:pPr>
      <w:r>
        <w:t>Les faces visibles des planchers sont protégées pour le transport et durant toute la mise en œuvre.</w:t>
      </w:r>
    </w:p>
    <w:p w14:paraId="1E8883B5" w14:textId="77777777" w:rsidR="00DF410E" w:rsidRDefault="00CE7F43">
      <w:pPr>
        <w:jc w:val="both"/>
      </w:pPr>
      <w:r>
        <w:rPr>
          <w:b/>
        </w:rPr>
        <w:t>Pose sur des muralières en bois</w:t>
      </w:r>
    </w:p>
    <w:p w14:paraId="76316834" w14:textId="77777777" w:rsidR="00DF410E" w:rsidRDefault="00CE7F43">
      <w:pPr>
        <w:jc w:val="both"/>
      </w:pPr>
      <w:r>
        <w:t>Les planchers sont posés sur des muralières en bois solidement ancrées à l’intérieur du nu des murs porteurs et de façades, et y sont ancrés. </w:t>
      </w:r>
    </w:p>
    <w:p w14:paraId="60778E98" w14:textId="77777777" w:rsidR="00DF410E" w:rsidRDefault="00CE7F43">
      <w:pPr>
        <w:jc w:val="both"/>
      </w:pPr>
      <w:r>
        <w:rPr>
          <w:b/>
        </w:rPr>
        <w:t>Pose au travers de muralières intégrées aux planchers</w:t>
      </w:r>
    </w:p>
    <w:p w14:paraId="65A65939" w14:textId="77777777" w:rsidR="00DF410E" w:rsidRDefault="00CE7F43">
      <w:pPr>
        <w:jc w:val="both"/>
      </w:pPr>
      <w:r>
        <w:t>Un gîtage périphérique est intégré aux planchers préfabriqués. Il fait office de muralières et les planchers sont fixés aux murs à travers celles-ci. </w:t>
      </w:r>
    </w:p>
    <w:p w14:paraId="39B9D126" w14:textId="77777777" w:rsidR="00DF410E" w:rsidRDefault="00CE7F43">
      <w:pPr>
        <w:jc w:val="both"/>
      </w:pPr>
      <w:r>
        <w:rPr>
          <w:b/>
        </w:rPr>
        <w:t>Pose sur/dans des profilés métalliques</w:t>
      </w:r>
    </w:p>
    <w:p w14:paraId="289978CC" w14:textId="77777777" w:rsidR="00DF410E" w:rsidRDefault="00CE7F43">
      <w:pPr>
        <w:jc w:val="both"/>
      </w:pPr>
      <w:r>
        <w:t>Les hourdis sont posés sur/dans des profilés métalliques (cornières L, U, etc.) solidement ancrés à l’intérieur du nu des murs porteurs et de façades.</w:t>
      </w:r>
    </w:p>
    <w:p w14:paraId="22BBE35B" w14:textId="77777777" w:rsidR="00DF410E" w:rsidRDefault="00CE7F43">
      <w:pPr>
        <w:jc w:val="both"/>
      </w:pPr>
      <w:r>
        <w:t>Les extrémités des planchers sont usinées pour s’insérer et s’appuyer sur ces profilés qui sont destinés à être apparents ou cachés (précisé dans les articles). </w:t>
      </w:r>
    </w:p>
    <w:p w14:paraId="1D0DEB35" w14:textId="77777777" w:rsidR="00DF410E" w:rsidRDefault="00CE7F43">
      <w:pPr>
        <w:jc w:val="both"/>
      </w:pPr>
      <w:r>
        <w:rPr>
          <w:b/>
        </w:rPr>
        <w:t>Pose sur les têtes des murs</w:t>
      </w:r>
    </w:p>
    <w:p w14:paraId="3A051F3B" w14:textId="77777777" w:rsidR="00DF410E" w:rsidRDefault="00CE7F43">
      <w:pPr>
        <w:jc w:val="both"/>
      </w:pPr>
      <w:r>
        <w:t>Les planchers sont posés sur les têtes des murs porteurs et de façades, et y sont ancrés. </w:t>
      </w:r>
    </w:p>
    <w:p w14:paraId="718BDF24" w14:textId="77777777" w:rsidR="00DF410E" w:rsidRDefault="00CE7F43">
      <w:pPr>
        <w:jc w:val="both"/>
      </w:pPr>
      <w:r>
        <w:t>Les éventuelles muralières ou profilés métalliques périphériques pour la pose sont compris dans le présent travail.</w:t>
      </w:r>
    </w:p>
    <w:p w14:paraId="1DFC5793" w14:textId="77777777" w:rsidR="00DF410E" w:rsidRDefault="00CE7F43">
      <w:pPr>
        <w:pStyle w:val="Author-eSectionHeading6"/>
      </w:pPr>
      <w:bookmarkStart w:id="1670" w:name="_Toc178838758"/>
      <w:r>
        <w:t>24.22.2a Planchers ossature bois préfabriqués CCTB 01.12</w:t>
      </w:r>
      <w:bookmarkEnd w:id="1670"/>
    </w:p>
    <w:p w14:paraId="74B860AA" w14:textId="77777777" w:rsidR="00DF410E" w:rsidRDefault="00CE7F43">
      <w:pPr>
        <w:pStyle w:val="pheading"/>
      </w:pPr>
      <w:r>
        <w:t>DESCRIPTION</w:t>
      </w:r>
    </w:p>
    <w:p w14:paraId="606157C9" w14:textId="77777777" w:rsidR="00DF410E" w:rsidRDefault="00CE7F43">
      <w:pPr>
        <w:pStyle w:val="pheading"/>
      </w:pPr>
      <w:r>
        <w:t>- Définition / Comprend</w:t>
      </w:r>
    </w:p>
    <w:p w14:paraId="1171A7F1" w14:textId="77777777" w:rsidR="00DF410E" w:rsidRDefault="00CE7F43">
      <w:pPr>
        <w:jc w:val="both"/>
      </w:pPr>
      <w:r>
        <w:t>Il s'agit de la fourniture et la pose de planchers intérieurs préfabriqués en atelier, constitués d’une structure en bois, de panneaux d’habillage en bois et de tous les accessoires de fixation.</w:t>
      </w:r>
    </w:p>
    <w:p w14:paraId="50448DEF" w14:textId="77777777" w:rsidR="00DF410E" w:rsidRDefault="00CE7F43">
      <w:pPr>
        <w:pStyle w:val="pheading"/>
      </w:pPr>
      <w:r>
        <w:t>MATÉRIAUX</w:t>
      </w:r>
    </w:p>
    <w:p w14:paraId="7105EB4E" w14:textId="77777777" w:rsidR="00DF410E" w:rsidRDefault="00CE7F43">
      <w:pPr>
        <w:pStyle w:val="pheading"/>
      </w:pPr>
      <w:r>
        <w:t>- Caractéristiques générales</w:t>
      </w:r>
    </w:p>
    <w:p w14:paraId="0B20F53E" w14:textId="77777777" w:rsidR="00DF410E" w:rsidRDefault="00DF410E"/>
    <w:p w14:paraId="0A6D0034" w14:textId="77777777" w:rsidR="00DF410E" w:rsidRDefault="00CE7F43">
      <w:pPr>
        <w:pStyle w:val="Author-eListParagraph"/>
        <w:numPr>
          <w:ilvl w:val="0"/>
          <w:numId w:val="901"/>
        </w:numPr>
      </w:pPr>
      <w:r>
        <w:t xml:space="preserve">Classe d’emploi/de risque, suivant la [NBN EN 335] : </w:t>
      </w:r>
      <w:r>
        <w:rPr>
          <w:rStyle w:val="optioncarChar"/>
        </w:rPr>
        <w:t xml:space="preserve">1 / 2 </w:t>
      </w:r>
      <w:r>
        <w:t xml:space="preserve">(par défaut) </w:t>
      </w:r>
      <w:r>
        <w:rPr>
          <w:rStyle w:val="optioncarChar"/>
        </w:rPr>
        <w:t>/ 3</w:t>
      </w:r>
    </w:p>
    <w:p w14:paraId="12AD729B" w14:textId="77777777" w:rsidR="00DF410E" w:rsidRDefault="00CE7F43">
      <w:pPr>
        <w:pStyle w:val="Author-eListParagraph"/>
        <w:numPr>
          <w:ilvl w:val="0"/>
          <w:numId w:val="901"/>
        </w:numPr>
      </w:pPr>
      <w:r>
        <w:t xml:space="preserve">Hauteur totale disponible pour le plancher : ≤ </w:t>
      </w:r>
      <w:r>
        <w:rPr>
          <w:rStyle w:val="optioncarChar"/>
        </w:rPr>
        <w:t xml:space="preserve">selon les indications sur les plans </w:t>
      </w:r>
      <w:r>
        <w:t xml:space="preserve">(par défaut) </w:t>
      </w:r>
      <w:r>
        <w:rPr>
          <w:rStyle w:val="optioncarChar"/>
        </w:rPr>
        <w:t xml:space="preserve">/ 120 / 140 /160 / 180 / 200 / 220 / 280 / 310 / 350 / 450 / 500 / 550 / 650 </w:t>
      </w:r>
      <w:r>
        <w:t>mm, tolérance ± 10 mm</w:t>
      </w:r>
    </w:p>
    <w:p w14:paraId="23126220" w14:textId="77777777" w:rsidR="00DF410E" w:rsidRDefault="00CE7F43">
      <w:pPr>
        <w:pStyle w:val="Author-eListParagraph"/>
        <w:numPr>
          <w:ilvl w:val="0"/>
          <w:numId w:val="901"/>
        </w:numPr>
      </w:pPr>
      <w:r>
        <w:t>Portée : ≤</w:t>
      </w:r>
      <w:r>
        <w:rPr>
          <w:rStyle w:val="optioncarChar"/>
        </w:rPr>
        <w:t xml:space="preserve"> selon les indications sur les plans </w:t>
      </w:r>
      <w:r>
        <w:t>(par défaut)</w:t>
      </w:r>
      <w:r>
        <w:rPr>
          <w:rStyle w:val="optioncarChar"/>
        </w:rPr>
        <w:t xml:space="preserve"> / 4 / 5 / 6 </w:t>
      </w:r>
      <w:r>
        <w:t>(par défaut)</w:t>
      </w:r>
      <w:r>
        <w:rPr>
          <w:rStyle w:val="optioncarChar"/>
        </w:rPr>
        <w:t xml:space="preserve"> / 7 / 8 / 9</w:t>
      </w:r>
      <w:r>
        <w:t xml:space="preserve"> m</w:t>
      </w:r>
    </w:p>
    <w:p w14:paraId="134B39D9" w14:textId="77777777" w:rsidR="00DF410E" w:rsidRDefault="00CE7F43">
      <w:pPr>
        <w:pStyle w:val="Author-eListParagraph"/>
        <w:numPr>
          <w:ilvl w:val="0"/>
          <w:numId w:val="901"/>
        </w:numPr>
      </w:pPr>
      <w:r>
        <w:t xml:space="preserve">Les planchers sont calculés pour une charge d’exploitation, suivant l’Eurocode [NBN EN 1991-1-4], [NBN EN 1991-1-4 ANB], [NBN EN 1991-1-4/A1] : </w:t>
      </w:r>
      <w:r>
        <w:rPr>
          <w:rStyle w:val="optioncarChar"/>
        </w:rPr>
        <w:t xml:space="preserve">selon l’affectation des locaux sur les plans </w:t>
      </w:r>
      <w:r>
        <w:t>(par défaut)</w:t>
      </w:r>
      <w:r>
        <w:rPr>
          <w:rStyle w:val="optioncarChar"/>
        </w:rPr>
        <w:t xml:space="preserve"> / 2 / 3 / 4 / 5</w:t>
      </w:r>
      <w:r>
        <w:t xml:space="preserve"> kN/m²</w:t>
      </w:r>
    </w:p>
    <w:p w14:paraId="47F6F39A" w14:textId="77777777" w:rsidR="00DF410E" w:rsidRDefault="00CE7F43">
      <w:pPr>
        <w:pStyle w:val="Author-eListParagraph"/>
        <w:numPr>
          <w:ilvl w:val="0"/>
          <w:numId w:val="901"/>
        </w:numPr>
      </w:pPr>
      <w:r>
        <w:t xml:space="preserve">Le critère de flèche, suivant la [NBN B 03-003] est de : </w:t>
      </w:r>
      <w:r>
        <w:rPr>
          <w:rStyle w:val="optioncarChar"/>
        </w:rPr>
        <w:t>L/500</w:t>
      </w:r>
      <w:r>
        <w:t xml:space="preserve"> (par défaut)</w:t>
      </w:r>
      <w:r>
        <w:rPr>
          <w:rStyle w:val="optioncarChar"/>
        </w:rPr>
        <w:t xml:space="preserve"> / L/450 / L/300 / L/250 / ***</w:t>
      </w:r>
    </w:p>
    <w:p w14:paraId="67EC3681" w14:textId="77777777" w:rsidR="00DF410E" w:rsidRDefault="00CE7F43">
      <w:pPr>
        <w:pStyle w:val="Author-eListParagraph"/>
        <w:numPr>
          <w:ilvl w:val="0"/>
          <w:numId w:val="901"/>
        </w:numPr>
      </w:pPr>
      <w:r>
        <w:t>Classe de réaction au feu, selon la [NBN EN 13501-1] : D-s1, d0</w:t>
      </w:r>
    </w:p>
    <w:p w14:paraId="6BF3F1B7" w14:textId="77777777" w:rsidR="00DF410E" w:rsidRDefault="00CE7F43">
      <w:pPr>
        <w:jc w:val="both"/>
      </w:pPr>
      <w:r>
        <w:rPr>
          <w:b/>
        </w:rPr>
        <w:t>Structures portantes</w:t>
      </w:r>
    </w:p>
    <w:p w14:paraId="088CE72E" w14:textId="77777777" w:rsidR="00DF410E" w:rsidRDefault="00CE7F43">
      <w:pPr>
        <w:jc w:val="both"/>
      </w:pPr>
      <w:r>
        <w:t>La structure portante est constituée d’un gîtage/solivage en bois :</w:t>
      </w:r>
    </w:p>
    <w:p w14:paraId="208D8031" w14:textId="77777777" w:rsidR="00DF410E" w:rsidRDefault="00CE7F43">
      <w:pPr>
        <w:pStyle w:val="Author-eListParagraph"/>
        <w:numPr>
          <w:ilvl w:val="0"/>
          <w:numId w:val="902"/>
        </w:numPr>
      </w:pPr>
      <w:r>
        <w:t xml:space="preserve">Gamme de produits du bois : </w:t>
      </w:r>
      <w:r>
        <w:rPr>
          <w:rStyle w:val="optioncarChar"/>
        </w:rPr>
        <w:t>massif </w:t>
      </w:r>
      <w:r>
        <w:t>(par défaut)</w:t>
      </w:r>
      <w:r>
        <w:rPr>
          <w:rStyle w:val="optioncarChar"/>
        </w:rPr>
        <w:t xml:space="preserve"> / massif abouté / lamellé-collé / poutres en I avec âme en bois / poutres en I avec âme en métal / poutre treillis en bois / poutre treillis à diagonales en métal / LVL / ***</w:t>
      </w:r>
    </w:p>
    <w:p w14:paraId="6F7B9F48" w14:textId="77777777" w:rsidR="00DF410E" w:rsidRDefault="00CE7F43">
      <w:pPr>
        <w:pStyle w:val="Author-eListParagraph"/>
        <w:numPr>
          <w:ilvl w:val="0"/>
          <w:numId w:val="902"/>
        </w:numPr>
      </w:pPr>
      <w:r>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749A71EF" w14:textId="77777777" w:rsidR="00DF410E" w:rsidRDefault="00CE7F43">
      <w:pPr>
        <w:pStyle w:val="Author-eListParagraph"/>
        <w:numPr>
          <w:ilvl w:val="0"/>
          <w:numId w:val="902"/>
        </w:numPr>
      </w:pPr>
      <w:r>
        <w:t xml:space="preserve">Classe de résistance ≥ </w:t>
      </w:r>
      <w:r>
        <w:rPr>
          <w:rStyle w:val="optioncarChar"/>
        </w:rPr>
        <w:t>suivant l’étude</w:t>
      </w:r>
      <w:r>
        <w:t xml:space="preserve"> (par défaut)</w:t>
      </w:r>
      <w:r>
        <w:rPr>
          <w:rStyle w:val="optioncarChar"/>
        </w:rPr>
        <w:t xml:space="preserve"> / C16 / C18 / C24</w:t>
      </w:r>
    </w:p>
    <w:p w14:paraId="6411C380" w14:textId="77777777" w:rsidR="00DF410E" w:rsidRDefault="00CE7F43">
      <w:pPr>
        <w:pStyle w:val="Author-eListParagraph"/>
        <w:numPr>
          <w:ilvl w:val="0"/>
          <w:numId w:val="902"/>
        </w:numPr>
      </w:pPr>
      <w:r>
        <w:t xml:space="preserve">Largeur/épaisseur : </w:t>
      </w:r>
      <w:r>
        <w:rPr>
          <w:rStyle w:val="optioncarChar"/>
        </w:rPr>
        <w:t>suivant l’étude</w:t>
      </w:r>
      <w:r>
        <w:t xml:space="preserve"> (par défaut)</w:t>
      </w:r>
      <w:r>
        <w:rPr>
          <w:rStyle w:val="optioncarChar"/>
        </w:rPr>
        <w:t xml:space="preserve"> / 32 / 38 / 45 / 63 / 75 / 100 </w:t>
      </w:r>
      <w:r>
        <w:t>mm, tolérance ± 5 mm</w:t>
      </w:r>
    </w:p>
    <w:p w14:paraId="1885F213" w14:textId="77777777" w:rsidR="00DF410E" w:rsidRDefault="00CE7F43">
      <w:pPr>
        <w:jc w:val="both"/>
      </w:pPr>
      <w:r>
        <w:rPr>
          <w:b/>
        </w:rPr>
        <w:t>Panneautage supérieur</w:t>
      </w:r>
    </w:p>
    <w:p w14:paraId="65A47DF2" w14:textId="77777777" w:rsidR="00DF410E" w:rsidRDefault="00CE7F43">
      <w:pPr>
        <w:jc w:val="both"/>
      </w:pPr>
      <w:r>
        <w:t xml:space="preserve">Présence de panneaux/platelage supérieurs : </w:t>
      </w:r>
      <w:r>
        <w:rPr>
          <w:rStyle w:val="optioncarChar"/>
        </w:rPr>
        <w:t xml:space="preserve">oui </w:t>
      </w:r>
      <w:r>
        <w:t xml:space="preserve">(par défaut) </w:t>
      </w:r>
      <w:r>
        <w:rPr>
          <w:rStyle w:val="optioncarChar"/>
        </w:rPr>
        <w:t>/ non </w:t>
      </w:r>
    </w:p>
    <w:p w14:paraId="72808BD8" w14:textId="77777777" w:rsidR="00DF410E" w:rsidRDefault="00CE7F43">
      <w:pPr>
        <w:jc w:val="both"/>
      </w:pPr>
      <w:r>
        <w:t>Dans le cas où la face supérieure de la structure du plancher est habillée avec des panneaux/planches en bois :</w:t>
      </w:r>
    </w:p>
    <w:p w14:paraId="4881E2FE" w14:textId="77777777" w:rsidR="00DF410E" w:rsidRDefault="00CE7F43">
      <w:pPr>
        <w:pStyle w:val="Author-eListParagraph"/>
        <w:numPr>
          <w:ilvl w:val="0"/>
          <w:numId w:val="903"/>
        </w:numPr>
      </w:pPr>
      <w:r>
        <w:t xml:space="preserve">Type d’habillage : </w:t>
      </w:r>
      <w:r>
        <w:rPr>
          <w:rStyle w:val="optioncarChar"/>
        </w:rPr>
        <w:t xml:space="preserve">bois massif </w:t>
      </w:r>
      <w:r>
        <w:t>(par défaut)</w:t>
      </w:r>
      <w:r>
        <w:rPr>
          <w:rStyle w:val="optioncarChar"/>
        </w:rPr>
        <w:t xml:space="preserve"> / LVL / panneaux de contreplaqué / panneaux OSB / panneaux MDF</w:t>
      </w:r>
    </w:p>
    <w:p w14:paraId="39EDF820" w14:textId="77777777" w:rsidR="00DF410E" w:rsidRDefault="00CE7F43">
      <w:pPr>
        <w:ind w:left="567"/>
        <w:jc w:val="both"/>
      </w:pPr>
      <w:r>
        <w:rPr>
          <w:b/>
        </w:rPr>
        <w:t>(soit par défaut)</w:t>
      </w:r>
    </w:p>
    <w:p w14:paraId="7954B2E5" w14:textId="77777777" w:rsidR="00DF410E" w:rsidRDefault="00CE7F43">
      <w:pPr>
        <w:ind w:left="567"/>
        <w:jc w:val="both"/>
      </w:pPr>
      <w:r>
        <w:rPr>
          <w:rStyle w:val="soitChar"/>
          <w:u w:val="single"/>
        </w:rPr>
        <w:t>Bois massif :</w:t>
      </w:r>
    </w:p>
    <w:p w14:paraId="41600223" w14:textId="77777777" w:rsidR="00DF410E" w:rsidRDefault="00CE7F43">
      <w:pPr>
        <w:pStyle w:val="Author-eListParagraph"/>
        <w:numPr>
          <w:ilvl w:val="0"/>
          <w:numId w:val="904"/>
        </w:numPr>
        <w:jc w:val="both"/>
      </w:pPr>
      <w:r>
        <w:rPr>
          <w:rStyle w:val="soitChar"/>
        </w:rPr>
        <w:t>Essence de bois :</w:t>
      </w:r>
      <w:r>
        <w:rPr>
          <w:rStyle w:val="optioncarChar"/>
        </w:rPr>
        <w:t xml:space="preserve">au choix de l’entrepreneur, à soumettre à l’approbation de l’architecte et du maître de l’ouvrage </w:t>
      </w:r>
      <w:r>
        <w:t xml:space="preserve">(par défaut) </w:t>
      </w:r>
      <w:r>
        <w:rPr>
          <w:rStyle w:val="optioncarChar"/>
        </w:rPr>
        <w:t>/ sapin / épicéa / pin sylvestre (sapin rouge du Nord - SRN) / mélèze / douglas / pin d’Oregon / chêne / hêtre / châtaignier / ***</w:t>
      </w:r>
    </w:p>
    <w:p w14:paraId="1B3ED7CD" w14:textId="77777777" w:rsidR="00DF410E" w:rsidRDefault="00CE7F43">
      <w:pPr>
        <w:pStyle w:val="Author-eListParagraph"/>
        <w:numPr>
          <w:ilvl w:val="0"/>
          <w:numId w:val="904"/>
        </w:numPr>
        <w:jc w:val="both"/>
      </w:pPr>
      <w:r>
        <w:rPr>
          <w:rStyle w:val="soitChar"/>
        </w:rPr>
        <w:t>Epaisseur des planches ≥</w:t>
      </w:r>
      <w:r>
        <w:rPr>
          <w:rStyle w:val="optioncarChar"/>
        </w:rPr>
        <w:t>suivant l’étude</w:t>
      </w:r>
      <w:r>
        <w:t xml:space="preserve"> (par défaut)</w:t>
      </w:r>
      <w:r>
        <w:rPr>
          <w:rStyle w:val="optioncarChar"/>
        </w:rPr>
        <w:t xml:space="preserve"> / 18 / 20 / 25 / 30 / 35 / 40 / 45 </w:t>
      </w:r>
      <w:r>
        <w:rPr>
          <w:rStyle w:val="soitChar"/>
        </w:rPr>
        <w:t>mm</w:t>
      </w:r>
    </w:p>
    <w:p w14:paraId="54E99A34" w14:textId="77777777" w:rsidR="00DF410E" w:rsidRDefault="00CE7F43">
      <w:pPr>
        <w:pStyle w:val="Author-eListParagraph"/>
        <w:numPr>
          <w:ilvl w:val="0"/>
          <w:numId w:val="904"/>
        </w:numPr>
        <w:jc w:val="both"/>
      </w:pPr>
      <w:r>
        <w:rPr>
          <w:rStyle w:val="soitChar"/>
        </w:rPr>
        <w:t>Largeur des planches :</w:t>
      </w:r>
      <w:r>
        <w:rPr>
          <w:rStyle w:val="optioncarChar"/>
        </w:rPr>
        <w:t xml:space="preserve">120 / 140 / 160 </w:t>
      </w:r>
      <w:r>
        <w:t>(par défaut)</w:t>
      </w:r>
      <w:r>
        <w:rPr>
          <w:rStyle w:val="optioncarChar"/>
        </w:rPr>
        <w:t xml:space="preserve"> / 180 / 200 </w:t>
      </w:r>
      <w:r>
        <w:rPr>
          <w:rStyle w:val="soitChar"/>
        </w:rPr>
        <w:t>mm</w:t>
      </w:r>
    </w:p>
    <w:p w14:paraId="20CDA8B7" w14:textId="77777777" w:rsidR="00DF410E" w:rsidRDefault="00CE7F43">
      <w:pPr>
        <w:ind w:left="567"/>
        <w:jc w:val="both"/>
      </w:pPr>
      <w:r>
        <w:rPr>
          <w:b/>
        </w:rPr>
        <w:t>(soit)</w:t>
      </w:r>
    </w:p>
    <w:p w14:paraId="0CCE3692" w14:textId="77777777" w:rsidR="00DF410E" w:rsidRDefault="00CE7F43">
      <w:pPr>
        <w:ind w:left="567"/>
        <w:jc w:val="both"/>
      </w:pPr>
      <w:r>
        <w:rPr>
          <w:rStyle w:val="soitChar"/>
          <w:u w:val="single"/>
        </w:rPr>
        <w:t>LVL :</w:t>
      </w:r>
    </w:p>
    <w:p w14:paraId="5E103A75" w14:textId="77777777" w:rsidR="00DF410E" w:rsidRDefault="00CE7F43">
      <w:pPr>
        <w:pStyle w:val="Author-eListParagraph"/>
        <w:numPr>
          <w:ilvl w:val="0"/>
          <w:numId w:val="905"/>
        </w:numPr>
        <w:jc w:val="both"/>
      </w:pPr>
      <w:r>
        <w:rPr>
          <w:rStyle w:val="soitChar"/>
        </w:rPr>
        <w:t>Classe de collage, selon la [NBN EN 314-2] :</w:t>
      </w:r>
      <w:r>
        <w:rPr>
          <w:rStyle w:val="optioncarChar"/>
        </w:rPr>
        <w:t xml:space="preserve">1 (int.) / 2 (ext. à l’abri) </w:t>
      </w:r>
      <w:r>
        <w:t>(par défaut)</w:t>
      </w:r>
      <w:r>
        <w:rPr>
          <w:rStyle w:val="optioncarChar"/>
        </w:rPr>
        <w:t xml:space="preserve"> / 3 (ext.)</w:t>
      </w:r>
    </w:p>
    <w:p w14:paraId="2F9F75EB" w14:textId="77777777" w:rsidR="00DF410E" w:rsidRDefault="00CE7F43">
      <w:pPr>
        <w:pStyle w:val="Author-eListParagraph"/>
        <w:numPr>
          <w:ilvl w:val="0"/>
          <w:numId w:val="905"/>
        </w:numPr>
        <w:jc w:val="both"/>
      </w:pPr>
      <w:r>
        <w:rPr>
          <w:rStyle w:val="soitChar"/>
        </w:rPr>
        <w:t>Classe d’émission de formaldéhyde, selon la [NBN EN ISO 12460-5]:</w:t>
      </w:r>
      <w:r>
        <w:rPr>
          <w:rStyle w:val="optioncarChar"/>
        </w:rPr>
        <w:t xml:space="preserve">E1 </w:t>
      </w:r>
      <w:r>
        <w:t>(par défaut)</w:t>
      </w:r>
      <w:r>
        <w:rPr>
          <w:rStyle w:val="optioncarChar"/>
        </w:rPr>
        <w:t xml:space="preserve"> / E2</w:t>
      </w:r>
    </w:p>
    <w:p w14:paraId="137B82EE" w14:textId="77777777" w:rsidR="00DF410E" w:rsidRDefault="00CE7F43">
      <w:pPr>
        <w:pStyle w:val="Author-eListParagraph"/>
        <w:numPr>
          <w:ilvl w:val="0"/>
          <w:numId w:val="905"/>
        </w:numPr>
        <w:jc w:val="both"/>
      </w:pPr>
      <w:r>
        <w:rPr>
          <w:rStyle w:val="soitChar"/>
        </w:rPr>
        <w:t>Essence de bois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045A8DAD" w14:textId="77777777" w:rsidR="00DF410E" w:rsidRDefault="00CE7F43">
      <w:pPr>
        <w:pStyle w:val="Author-eListParagraph"/>
        <w:numPr>
          <w:ilvl w:val="0"/>
          <w:numId w:val="905"/>
        </w:numPr>
        <w:jc w:val="both"/>
      </w:pPr>
      <w:r>
        <w:rPr>
          <w:rStyle w:val="soitChar"/>
        </w:rPr>
        <w:t>Epaisseur des panneaux, en mm :</w:t>
      </w:r>
      <w:r>
        <w:rPr>
          <w:rStyle w:val="optioncarChar"/>
        </w:rPr>
        <w:t>suivant l’étude</w:t>
      </w:r>
      <w:r>
        <w:t xml:space="preserve"> (par défaut) </w:t>
      </w:r>
      <w:r>
        <w:rPr>
          <w:rStyle w:val="optioncarChar"/>
        </w:rPr>
        <w:t>/ 27 / 32 / 37 / 42 / 47 / 52</w:t>
      </w:r>
    </w:p>
    <w:p w14:paraId="20F9D594" w14:textId="77777777" w:rsidR="00DF410E" w:rsidRDefault="00CE7F43">
      <w:pPr>
        <w:ind w:left="567"/>
        <w:jc w:val="both"/>
      </w:pPr>
      <w:r>
        <w:rPr>
          <w:b/>
        </w:rPr>
        <w:t>(soit)</w:t>
      </w:r>
    </w:p>
    <w:p w14:paraId="2B835D4B" w14:textId="77777777" w:rsidR="00DF410E" w:rsidRDefault="00CE7F43">
      <w:pPr>
        <w:ind w:left="567"/>
        <w:jc w:val="both"/>
      </w:pPr>
      <w:r>
        <w:rPr>
          <w:rStyle w:val="soitChar"/>
          <w:u w:val="single"/>
        </w:rPr>
        <w:t>Panneaux de contreplaqué :</w:t>
      </w:r>
    </w:p>
    <w:p w14:paraId="699EC782" w14:textId="77777777" w:rsidR="00DF410E" w:rsidRDefault="00CE7F43">
      <w:pPr>
        <w:pStyle w:val="Author-eListParagraph"/>
        <w:numPr>
          <w:ilvl w:val="0"/>
          <w:numId w:val="906"/>
        </w:numPr>
        <w:jc w:val="both"/>
      </w:pPr>
      <w:r>
        <w:rPr>
          <w:rStyle w:val="soitChar"/>
        </w:rPr>
        <w:t>Classe de collage, selon la [NBN EN 314-2] :</w:t>
      </w:r>
      <w:r>
        <w:rPr>
          <w:rStyle w:val="optioncarChar"/>
        </w:rPr>
        <w:t>1 (int.) / 2 (ext. à l’abri)</w:t>
      </w:r>
      <w:r>
        <w:t xml:space="preserve"> (par défaut)</w:t>
      </w:r>
      <w:r>
        <w:rPr>
          <w:rStyle w:val="optioncarChar"/>
        </w:rPr>
        <w:t xml:space="preserve"> / 3 (ext.)</w:t>
      </w:r>
    </w:p>
    <w:p w14:paraId="0B58A816" w14:textId="77777777" w:rsidR="00DF410E" w:rsidRDefault="00CE7F43">
      <w:pPr>
        <w:pStyle w:val="Author-eListParagraph"/>
        <w:numPr>
          <w:ilvl w:val="0"/>
          <w:numId w:val="906"/>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63351002" w14:textId="77777777" w:rsidR="00DF410E" w:rsidRDefault="00CE7F43">
      <w:pPr>
        <w:pStyle w:val="Author-eListParagraph"/>
        <w:numPr>
          <w:ilvl w:val="0"/>
          <w:numId w:val="906"/>
        </w:numPr>
        <w:jc w:val="both"/>
      </w:pPr>
      <w:r>
        <w:rPr>
          <w:rStyle w:val="soitChar"/>
        </w:rPr>
        <w:t>Essence :</w:t>
      </w:r>
      <w:r>
        <w:rPr>
          <w:rStyle w:val="optioncarChar"/>
        </w:rPr>
        <w:t xml:space="preserve">au choix de l’entrepreneur, à soumettre à l’approbation de l’architecte et du maître de l’ouvrage </w:t>
      </w:r>
      <w:r>
        <w:t>(par défaut)</w:t>
      </w:r>
      <w:r>
        <w:rPr>
          <w:rStyle w:val="optioncarChar"/>
        </w:rPr>
        <w:t xml:space="preserve"> / okoumé / Oregon / dark red méranti / bouleau / ***</w:t>
      </w:r>
    </w:p>
    <w:p w14:paraId="05B40987" w14:textId="77777777" w:rsidR="00DF410E" w:rsidRDefault="00CE7F43">
      <w:pPr>
        <w:pStyle w:val="Author-eListParagraph"/>
        <w:numPr>
          <w:ilvl w:val="0"/>
          <w:numId w:val="906"/>
        </w:numPr>
        <w:jc w:val="both"/>
      </w:pPr>
      <w:r>
        <w:rPr>
          <w:rStyle w:val="soitChar"/>
        </w:rPr>
        <w:t>Epaisseur des panneaux, en mm :</w:t>
      </w:r>
      <w:r>
        <w:rPr>
          <w:rStyle w:val="optioncarChar"/>
        </w:rPr>
        <w:t xml:space="preserve">suivant l’étude </w:t>
      </w:r>
      <w:r>
        <w:t>(par défaut)</w:t>
      </w:r>
      <w:r>
        <w:rPr>
          <w:rStyle w:val="optioncarChar"/>
        </w:rPr>
        <w:t xml:space="preserve"> / 18 / 20 / 22 / 25 / 30</w:t>
      </w:r>
    </w:p>
    <w:p w14:paraId="66DE29A0" w14:textId="77777777" w:rsidR="00DF410E" w:rsidRDefault="00CE7F43">
      <w:pPr>
        <w:ind w:left="567"/>
        <w:jc w:val="both"/>
      </w:pPr>
      <w:r>
        <w:rPr>
          <w:b/>
        </w:rPr>
        <w:t>(soit)</w:t>
      </w:r>
    </w:p>
    <w:p w14:paraId="73EFD80E" w14:textId="77777777" w:rsidR="00DF410E" w:rsidRDefault="00CE7F43">
      <w:pPr>
        <w:ind w:left="567"/>
        <w:jc w:val="both"/>
      </w:pPr>
      <w:r>
        <w:rPr>
          <w:rStyle w:val="soitChar"/>
          <w:u w:val="single"/>
        </w:rPr>
        <w:t>Panneaux OSB :</w:t>
      </w:r>
    </w:p>
    <w:p w14:paraId="534097BB" w14:textId="77777777" w:rsidR="00DF410E" w:rsidRDefault="00CE7F43">
      <w:pPr>
        <w:pStyle w:val="Author-eListParagraph"/>
        <w:numPr>
          <w:ilvl w:val="0"/>
          <w:numId w:val="907"/>
        </w:numPr>
        <w:jc w:val="both"/>
      </w:pPr>
      <w:r>
        <w:rPr>
          <w:rStyle w:val="soitChar"/>
        </w:rPr>
        <w:t>Type de panneau OSB, selon la [NBN EN 312] :</w:t>
      </w:r>
      <w:r>
        <w:rPr>
          <w:rStyle w:val="optioncarChar"/>
        </w:rPr>
        <w:t>2 / 3</w:t>
      </w:r>
      <w:r>
        <w:t xml:space="preserve"> (par défaut)</w:t>
      </w:r>
      <w:r>
        <w:rPr>
          <w:rStyle w:val="optioncarChar"/>
        </w:rPr>
        <w:t xml:space="preserve"> / 4</w:t>
      </w:r>
    </w:p>
    <w:p w14:paraId="7009CA81" w14:textId="77777777" w:rsidR="00DF410E" w:rsidRDefault="00CE7F43">
      <w:pPr>
        <w:pStyle w:val="Author-eListParagraph"/>
        <w:numPr>
          <w:ilvl w:val="0"/>
          <w:numId w:val="907"/>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42AAB471" w14:textId="77777777" w:rsidR="00DF410E" w:rsidRDefault="00CE7F43">
      <w:pPr>
        <w:pStyle w:val="Author-eListParagraph"/>
        <w:numPr>
          <w:ilvl w:val="0"/>
          <w:numId w:val="907"/>
        </w:numPr>
        <w:jc w:val="both"/>
      </w:pPr>
      <w:r>
        <w:rPr>
          <w:rStyle w:val="soitChar"/>
        </w:rPr>
        <w:t>Epaisseur des panneaux, en mm :</w:t>
      </w:r>
      <w:r>
        <w:rPr>
          <w:rStyle w:val="optioncarChar"/>
        </w:rPr>
        <w:t xml:space="preserve">suivant l’étude </w:t>
      </w:r>
      <w:r>
        <w:t>(par défaut)</w:t>
      </w:r>
      <w:r>
        <w:rPr>
          <w:rStyle w:val="optioncarChar"/>
        </w:rPr>
        <w:t xml:space="preserve"> / 18 / 22</w:t>
      </w:r>
    </w:p>
    <w:p w14:paraId="29D93D60" w14:textId="77777777" w:rsidR="00DF410E" w:rsidRDefault="00CE7F43">
      <w:pPr>
        <w:ind w:left="567"/>
        <w:jc w:val="both"/>
      </w:pPr>
      <w:r>
        <w:rPr>
          <w:b/>
        </w:rPr>
        <w:t>(soit)</w:t>
      </w:r>
    </w:p>
    <w:p w14:paraId="0E145C0D" w14:textId="77777777" w:rsidR="00DF410E" w:rsidRDefault="00CE7F43">
      <w:pPr>
        <w:ind w:left="567"/>
        <w:jc w:val="both"/>
      </w:pPr>
      <w:r>
        <w:rPr>
          <w:rStyle w:val="soitChar"/>
          <w:u w:val="single"/>
        </w:rPr>
        <w:t>Panneaux MDF :</w:t>
      </w:r>
    </w:p>
    <w:p w14:paraId="3E1C1FD6" w14:textId="77777777" w:rsidR="00DF410E" w:rsidRDefault="00CE7F43">
      <w:pPr>
        <w:pStyle w:val="Author-eListParagraph"/>
        <w:numPr>
          <w:ilvl w:val="0"/>
          <w:numId w:val="908"/>
        </w:numPr>
        <w:jc w:val="both"/>
      </w:pPr>
      <w:r>
        <w:rPr>
          <w:rStyle w:val="soitChar"/>
        </w:rPr>
        <w:t>Classe d’émission de formaldéhyde, selon la [NBN EN ISO 12460-5] :</w:t>
      </w:r>
      <w:r>
        <w:rPr>
          <w:rStyle w:val="optioncarChar"/>
        </w:rPr>
        <w:t xml:space="preserve"> E1 </w:t>
      </w:r>
      <w:r>
        <w:t>(par défaut)</w:t>
      </w:r>
      <w:r>
        <w:rPr>
          <w:rStyle w:val="optioncarChar"/>
        </w:rPr>
        <w:t xml:space="preserve"> / E2</w:t>
      </w:r>
    </w:p>
    <w:p w14:paraId="57FE28A9" w14:textId="77777777" w:rsidR="00DF410E" w:rsidRDefault="00CE7F43">
      <w:pPr>
        <w:pStyle w:val="Author-eListParagraph"/>
        <w:numPr>
          <w:ilvl w:val="0"/>
          <w:numId w:val="908"/>
        </w:numPr>
        <w:jc w:val="both"/>
      </w:pPr>
      <w:r>
        <w:rPr>
          <w:rStyle w:val="soitChar"/>
        </w:rPr>
        <w:t>Type de panneau, selon [NBN EN 312] :</w:t>
      </w:r>
      <w:r>
        <w:t> </w:t>
      </w:r>
      <w:r>
        <w:rPr>
          <w:rStyle w:val="optioncarChar"/>
        </w:rPr>
        <w:t xml:space="preserve">MDF-HLS </w:t>
      </w:r>
      <w:r>
        <w:t xml:space="preserve">(par défaut) </w:t>
      </w:r>
      <w:r>
        <w:rPr>
          <w:rStyle w:val="optioncarChar"/>
        </w:rPr>
        <w:t>/ MDF LA</w:t>
      </w:r>
    </w:p>
    <w:p w14:paraId="4C6AC604" w14:textId="77777777" w:rsidR="00DF410E" w:rsidRDefault="00CE7F43">
      <w:pPr>
        <w:pStyle w:val="Author-eListParagraph"/>
        <w:numPr>
          <w:ilvl w:val="0"/>
          <w:numId w:val="908"/>
        </w:numPr>
        <w:jc w:val="both"/>
      </w:pPr>
      <w:r>
        <w:rPr>
          <w:rStyle w:val="soitChar"/>
        </w:rPr>
        <w:t>Epaisseur des panneaux :</w:t>
      </w:r>
      <w:r>
        <w:rPr>
          <w:rStyle w:val="optioncarChar"/>
        </w:rPr>
        <w:t xml:space="preserve">suivant l’étude </w:t>
      </w:r>
      <w:r>
        <w:t>(par défaut)</w:t>
      </w:r>
      <w:r>
        <w:rPr>
          <w:rStyle w:val="optioncarChar"/>
        </w:rPr>
        <w:t xml:space="preserve"> / 18 / 22 / 25 / 30 / 38</w:t>
      </w:r>
      <w:r>
        <w:rPr>
          <w:rStyle w:val="soitChar"/>
        </w:rPr>
        <w:t xml:space="preserve"> mm</w:t>
      </w:r>
    </w:p>
    <w:p w14:paraId="373B7380" w14:textId="77777777" w:rsidR="00DF410E" w:rsidRDefault="00CE7F43">
      <w:pPr>
        <w:pStyle w:val="Author-eListParagraph"/>
        <w:numPr>
          <w:ilvl w:val="0"/>
          <w:numId w:val="908"/>
        </w:numPr>
        <w:jc w:val="both"/>
      </w:pPr>
      <w:r>
        <w:rPr>
          <w:rStyle w:val="soitChar"/>
        </w:rPr>
        <w:t>Teinte des panneaux, dans la masse :</w:t>
      </w:r>
      <w:r>
        <w:rPr>
          <w:rStyle w:val="optioncarChar"/>
        </w:rPr>
        <w:t xml:space="preserve">naturel </w:t>
      </w:r>
      <w:r>
        <w:t>(par défaut)</w:t>
      </w:r>
      <w:r>
        <w:rPr>
          <w:rStyle w:val="optioncarChar"/>
        </w:rPr>
        <w:t xml:space="preserve"> / noir / rouge (ignifugé)</w:t>
      </w:r>
    </w:p>
    <w:p w14:paraId="7ECACC7D" w14:textId="77777777" w:rsidR="00DF410E" w:rsidRDefault="00DF410E"/>
    <w:p w14:paraId="4513D331" w14:textId="77777777" w:rsidR="00DF410E" w:rsidRDefault="00CE7F43">
      <w:pPr>
        <w:pStyle w:val="Author-eListParagraph"/>
        <w:numPr>
          <w:ilvl w:val="0"/>
          <w:numId w:val="909"/>
        </w:numPr>
      </w:pPr>
      <w:r>
        <w:t xml:space="preserve">Finition des bords : </w:t>
      </w:r>
      <w:r>
        <w:rPr>
          <w:rStyle w:val="optioncarChar"/>
        </w:rPr>
        <w:t>droits</w:t>
      </w:r>
      <w:r>
        <w:t xml:space="preserve"> (par défaut) </w:t>
      </w:r>
      <w:r>
        <w:rPr>
          <w:rStyle w:val="optioncarChar"/>
        </w:rPr>
        <w:t>/ droits adoucis / droits chanfreinés / rainurés et languetés sur les quatre côtés / à mi-bois</w:t>
      </w:r>
    </w:p>
    <w:p w14:paraId="2499DB57" w14:textId="77777777" w:rsidR="00DF410E" w:rsidRDefault="00CE7F43">
      <w:pPr>
        <w:pStyle w:val="Author-eListParagraph"/>
        <w:numPr>
          <w:ilvl w:val="0"/>
          <w:numId w:val="909"/>
        </w:numPr>
      </w:pPr>
      <w:r>
        <w:t xml:space="preserve">Finition de la face supérieure : </w:t>
      </w:r>
      <w:r>
        <w:rPr>
          <w:rStyle w:val="optioncarChar"/>
        </w:rPr>
        <w:t xml:space="preserve">non poncée </w:t>
      </w:r>
      <w:r>
        <w:t>(par défaut)</w:t>
      </w:r>
      <w:r>
        <w:rPr>
          <w:rStyle w:val="optioncarChar"/>
        </w:rPr>
        <w:t xml:space="preserve"> / poncée (vue)</w:t>
      </w:r>
    </w:p>
    <w:p w14:paraId="3D805898" w14:textId="77777777" w:rsidR="00DF410E" w:rsidRDefault="00CE7F43">
      <w:pPr>
        <w:pStyle w:val="Author-eListParagraph"/>
        <w:numPr>
          <w:ilvl w:val="0"/>
          <w:numId w:val="909"/>
        </w:numPr>
      </w:pPr>
      <w:r>
        <w:t xml:space="preserve">Finition de la face inférieure : </w:t>
      </w:r>
      <w:r>
        <w:rPr>
          <w:rStyle w:val="optioncarChar"/>
        </w:rPr>
        <w:t xml:space="preserve">non poncée </w:t>
      </w:r>
      <w:r>
        <w:t xml:space="preserve">(par défaut) </w:t>
      </w:r>
      <w:r>
        <w:rPr>
          <w:rStyle w:val="optioncarChar"/>
        </w:rPr>
        <w:t>/ poncée (vue)</w:t>
      </w:r>
    </w:p>
    <w:p w14:paraId="7FD39DB3" w14:textId="77777777" w:rsidR="00DF410E" w:rsidRDefault="00CE7F43">
      <w:pPr>
        <w:pStyle w:val="Author-eListParagraph"/>
        <w:numPr>
          <w:ilvl w:val="0"/>
          <w:numId w:val="909"/>
        </w:numPr>
      </w:pPr>
      <w:r>
        <w:t>Les panneaux sont : </w:t>
      </w:r>
      <w:r>
        <w:rPr>
          <w:rStyle w:val="optioncarChar"/>
        </w:rPr>
        <w:t xml:space="preserve">contreventant </w:t>
      </w:r>
      <w:r>
        <w:t>(par défaut)</w:t>
      </w:r>
      <w:r>
        <w:rPr>
          <w:rStyle w:val="optioncarChar"/>
        </w:rPr>
        <w:t xml:space="preserve"> / non contreventant </w:t>
      </w:r>
    </w:p>
    <w:p w14:paraId="7455DE1A" w14:textId="77777777" w:rsidR="00DF410E" w:rsidRDefault="00CE7F43">
      <w:pPr>
        <w:ind w:left="567"/>
        <w:jc w:val="both"/>
      </w:pPr>
      <w:r>
        <w:rPr>
          <w:b/>
        </w:rPr>
        <w:t>(soit par défaut)</w:t>
      </w:r>
    </w:p>
    <w:p w14:paraId="1D3671E0" w14:textId="77777777" w:rsidR="00DF410E" w:rsidRDefault="00CE7F43">
      <w:pPr>
        <w:ind w:left="567"/>
        <w:jc w:val="both"/>
      </w:pPr>
      <w:r>
        <w:rPr>
          <w:rStyle w:val="soitChar"/>
          <w:u w:val="single"/>
        </w:rPr>
        <w:t>Contreventant :</w:t>
      </w:r>
    </w:p>
    <w:p w14:paraId="4CBB5D8A" w14:textId="77777777" w:rsidR="00DF410E" w:rsidRDefault="00CE7F43">
      <w:pPr>
        <w:pStyle w:val="Author-eListParagraph"/>
        <w:numPr>
          <w:ilvl w:val="0"/>
          <w:numId w:val="910"/>
        </w:numPr>
        <w:jc w:val="both"/>
      </w:pPr>
      <w:r>
        <w:rPr>
          <w:rStyle w:val="soitChar"/>
        </w:rPr>
        <w:t>Résistance en flexion, selon la [NBN EN 310] ≥</w:t>
      </w:r>
      <w:r>
        <w:rPr>
          <w:rStyle w:val="optioncarChar"/>
        </w:rPr>
        <w:t xml:space="preserve"> suivant l’étude </w:t>
      </w:r>
      <w:r>
        <w:t>(par défaut)</w:t>
      </w:r>
      <w:r>
        <w:rPr>
          <w:rStyle w:val="optioncarChar"/>
        </w:rPr>
        <w:t xml:space="preserve"> / 12 / 14 / 16 / 35 / 40 / 50 </w:t>
      </w:r>
      <w:r>
        <w:rPr>
          <w:rStyle w:val="soitChar"/>
        </w:rPr>
        <w:t>N/mm²</w:t>
      </w:r>
    </w:p>
    <w:p w14:paraId="4B0055B1" w14:textId="77777777" w:rsidR="00DF410E" w:rsidRDefault="00CE7F43">
      <w:pPr>
        <w:pStyle w:val="Author-eListParagraph"/>
        <w:numPr>
          <w:ilvl w:val="0"/>
          <w:numId w:val="910"/>
        </w:numPr>
        <w:jc w:val="both"/>
      </w:pPr>
      <w:r>
        <w:rPr>
          <w:rStyle w:val="soitChar"/>
        </w:rPr>
        <w:t>Module d’élasticité en flexion, selon la [NBN EN 310] ≥</w:t>
      </w:r>
      <w:r>
        <w:t> </w:t>
      </w:r>
      <w:r>
        <w:rPr>
          <w:rStyle w:val="optioncarChar"/>
        </w:rPr>
        <w:t xml:space="preserve">suivant l’étude </w:t>
      </w:r>
      <w:r>
        <w:t>(par défaut)</w:t>
      </w:r>
      <w:r>
        <w:rPr>
          <w:rStyle w:val="optioncarChar"/>
        </w:rPr>
        <w:t xml:space="preserve"> / 4000 / 6000 / 8000 </w:t>
      </w:r>
      <w:r>
        <w:rPr>
          <w:rStyle w:val="soitChar"/>
        </w:rPr>
        <w:t>N/mm²</w:t>
      </w:r>
    </w:p>
    <w:p w14:paraId="66E449FB" w14:textId="77777777" w:rsidR="00DF410E" w:rsidRDefault="00CE7F43">
      <w:pPr>
        <w:pStyle w:val="Author-eListParagraph"/>
        <w:numPr>
          <w:ilvl w:val="0"/>
          <w:numId w:val="910"/>
        </w:numPr>
        <w:jc w:val="both"/>
      </w:pPr>
      <w:r>
        <w:rPr>
          <w:rStyle w:val="soitChar"/>
        </w:rPr>
        <w:t>Traction perpendiculaire aux faces, selon la [NBN EN 319] ≥</w:t>
      </w:r>
      <w:r>
        <w:t> </w:t>
      </w:r>
      <w:r>
        <w:rPr>
          <w:rStyle w:val="optioncarChar"/>
        </w:rPr>
        <w:t>suivant l’étude</w:t>
      </w:r>
      <w:r>
        <w:t xml:space="preserve"> (par défaut) </w:t>
      </w:r>
      <w:r>
        <w:rPr>
          <w:rStyle w:val="optioncarChar"/>
        </w:rPr>
        <w:t xml:space="preserve">/ 0,30 / 0,35 / 0,4 </w:t>
      </w:r>
      <w:r>
        <w:rPr>
          <w:rStyle w:val="soitChar"/>
        </w:rPr>
        <w:t>N/mm²</w:t>
      </w:r>
    </w:p>
    <w:p w14:paraId="5EF7047D" w14:textId="77777777" w:rsidR="00DF410E" w:rsidRDefault="00CE7F43">
      <w:pPr>
        <w:ind w:left="567"/>
        <w:jc w:val="both"/>
      </w:pPr>
      <w:r>
        <w:rPr>
          <w:b/>
        </w:rPr>
        <w:t>(soit)</w:t>
      </w:r>
    </w:p>
    <w:p w14:paraId="4574153D" w14:textId="77777777" w:rsidR="00DF410E" w:rsidRDefault="00CE7F43">
      <w:pPr>
        <w:ind w:left="567"/>
        <w:jc w:val="both"/>
      </w:pPr>
      <w:r>
        <w:rPr>
          <w:rStyle w:val="soitChar"/>
          <w:u w:val="single"/>
        </w:rPr>
        <w:t>Non-contreventant :</w:t>
      </w:r>
    </w:p>
    <w:p w14:paraId="115F993C" w14:textId="77777777" w:rsidR="00DF410E" w:rsidRDefault="00CE7F43">
      <w:pPr>
        <w:pStyle w:val="Author-eListParagraph"/>
        <w:numPr>
          <w:ilvl w:val="0"/>
          <w:numId w:val="911"/>
        </w:numPr>
        <w:jc w:val="both"/>
      </w:pPr>
      <w:r>
        <w:rPr>
          <w:rStyle w:val="soitChar"/>
        </w:rPr>
        <w:t>Résistance en flexion, selon la [NBN EN 310], pose à plat en N/mm² ≥</w:t>
      </w:r>
      <w:r>
        <w:rPr>
          <w:rStyle w:val="optioncarChar"/>
        </w:rPr>
        <w:t xml:space="preserve">suivant l’étude </w:t>
      </w:r>
      <w:r>
        <w:t>(par défaut)</w:t>
      </w:r>
      <w:r>
        <w:rPr>
          <w:rStyle w:val="optioncarChar"/>
        </w:rPr>
        <w:t xml:space="preserve"> / 12 / 14 / 16</w:t>
      </w:r>
    </w:p>
    <w:p w14:paraId="1B863EA2" w14:textId="77777777" w:rsidR="00DF410E" w:rsidRDefault="00CE7F43">
      <w:pPr>
        <w:jc w:val="both"/>
      </w:pPr>
      <w:r>
        <w:rPr>
          <w:b/>
        </w:rPr>
        <w:t>Panneautage inférieur</w:t>
      </w:r>
    </w:p>
    <w:p w14:paraId="081D8A4C" w14:textId="77777777" w:rsidR="00DF410E" w:rsidRDefault="00CE7F43">
      <w:pPr>
        <w:jc w:val="both"/>
      </w:pPr>
      <w:r>
        <w:t xml:space="preserve">Présence de panneaux/planches inférieurs : </w:t>
      </w:r>
      <w:r>
        <w:rPr>
          <w:rStyle w:val="optioncarChar"/>
        </w:rPr>
        <w:t xml:space="preserve">non </w:t>
      </w:r>
      <w:r>
        <w:t>(par défaut)</w:t>
      </w:r>
      <w:r>
        <w:rPr>
          <w:rStyle w:val="optioncarChar"/>
        </w:rPr>
        <w:t xml:space="preserve"> / oui</w:t>
      </w:r>
    </w:p>
    <w:p w14:paraId="704F36FC" w14:textId="77777777" w:rsidR="00DF410E" w:rsidRDefault="00CE7F43">
      <w:pPr>
        <w:jc w:val="both"/>
      </w:pPr>
      <w:r>
        <w:t>Dans le cas où la face inférieure de la structure du plancher est habillée de panneaux/planches en bois :</w:t>
      </w:r>
    </w:p>
    <w:p w14:paraId="29FD5649" w14:textId="77777777" w:rsidR="00DF410E" w:rsidRDefault="00CE7F43">
      <w:pPr>
        <w:pStyle w:val="Author-eListParagraph"/>
        <w:numPr>
          <w:ilvl w:val="0"/>
          <w:numId w:val="912"/>
        </w:numPr>
      </w:pPr>
      <w:r>
        <w:t>Type d’habillage :</w:t>
      </w:r>
      <w:r>
        <w:rPr>
          <w:rStyle w:val="optioncarChar"/>
        </w:rPr>
        <w:t xml:space="preserve"> bois massif</w:t>
      </w:r>
      <w:r>
        <w:t xml:space="preserve"> (par défaut) </w:t>
      </w:r>
      <w:r>
        <w:rPr>
          <w:rStyle w:val="optioncarChar"/>
        </w:rPr>
        <w:t>/ LVL / panneaux de contreplaqué / panneaux OSB / panneaux MDF</w:t>
      </w:r>
    </w:p>
    <w:p w14:paraId="76E4085B" w14:textId="77777777" w:rsidR="00DF410E" w:rsidRDefault="00CE7F43">
      <w:pPr>
        <w:ind w:left="567"/>
        <w:jc w:val="both"/>
      </w:pPr>
      <w:r>
        <w:rPr>
          <w:b/>
        </w:rPr>
        <w:t>(soit par défaut)</w:t>
      </w:r>
    </w:p>
    <w:p w14:paraId="25218318" w14:textId="77777777" w:rsidR="00DF410E" w:rsidRDefault="00CE7F43">
      <w:pPr>
        <w:ind w:left="567"/>
        <w:jc w:val="both"/>
      </w:pPr>
      <w:r>
        <w:rPr>
          <w:rStyle w:val="soitChar"/>
          <w:u w:val="single"/>
        </w:rPr>
        <w:t>Bois massif :</w:t>
      </w:r>
    </w:p>
    <w:p w14:paraId="11AF0943" w14:textId="77777777" w:rsidR="00DF410E" w:rsidRDefault="00CE7F43">
      <w:pPr>
        <w:pStyle w:val="Author-eListParagraph"/>
        <w:numPr>
          <w:ilvl w:val="0"/>
          <w:numId w:val="913"/>
        </w:numPr>
        <w:jc w:val="both"/>
      </w:pPr>
      <w:r>
        <w:rPr>
          <w:rStyle w:val="soitChar"/>
        </w:rPr>
        <w:t>Essence de bois</w:t>
      </w:r>
      <w:r>
        <w:t xml:space="preserve"> :</w:t>
      </w:r>
      <w:r>
        <w:rPr>
          <w:rStyle w:val="optioncarChar"/>
        </w:rPr>
        <w:t xml:space="preserve"> au choix de l’entrepreneur, à soumettre à l’approbation de l’architecte et du maître de l’ouvrage</w:t>
      </w:r>
      <w:r>
        <w:t xml:space="preserve"> (par défaut)</w:t>
      </w:r>
      <w:r>
        <w:rPr>
          <w:rStyle w:val="optioncarChar"/>
        </w:rPr>
        <w:t xml:space="preserve"> / sapin / épicéa / pin sylvestre (sapin rouge du Nord - SRN) / mélèze / douglas / pin d’Oregon / chêne / hêtre / châtaignier / ***</w:t>
      </w:r>
    </w:p>
    <w:p w14:paraId="03030524" w14:textId="77777777" w:rsidR="00DF410E" w:rsidRDefault="00CE7F43">
      <w:pPr>
        <w:pStyle w:val="Author-eListParagraph"/>
        <w:numPr>
          <w:ilvl w:val="0"/>
          <w:numId w:val="913"/>
        </w:numPr>
        <w:jc w:val="both"/>
      </w:pPr>
      <w:r>
        <w:rPr>
          <w:rStyle w:val="soitChar"/>
        </w:rPr>
        <w:t>Epaisseur du platelage ≥</w:t>
      </w:r>
      <w:r>
        <w:rPr>
          <w:rStyle w:val="optioncarChar"/>
        </w:rPr>
        <w:t xml:space="preserve">suivant l’étude </w:t>
      </w:r>
      <w:r>
        <w:t>(par défaut)</w:t>
      </w:r>
      <w:r>
        <w:rPr>
          <w:rStyle w:val="optioncarChar"/>
        </w:rPr>
        <w:t xml:space="preserve"> / 18 / 20 / 25 / 30 / 35 / 40 / 45 </w:t>
      </w:r>
      <w:r>
        <w:rPr>
          <w:rStyle w:val="soitChar"/>
        </w:rPr>
        <w:t>mm</w:t>
      </w:r>
    </w:p>
    <w:p w14:paraId="25E8F997" w14:textId="77777777" w:rsidR="00DF410E" w:rsidRDefault="00CE7F43">
      <w:pPr>
        <w:pStyle w:val="Author-eListParagraph"/>
        <w:numPr>
          <w:ilvl w:val="0"/>
          <w:numId w:val="913"/>
        </w:numPr>
        <w:jc w:val="both"/>
      </w:pPr>
      <w:r>
        <w:rPr>
          <w:rStyle w:val="soitChar"/>
        </w:rPr>
        <w:t>Largeur des planches :</w:t>
      </w:r>
      <w:r>
        <w:rPr>
          <w:rStyle w:val="optioncarChar"/>
        </w:rPr>
        <w:t xml:space="preserve">120 / 140 / 160 </w:t>
      </w:r>
      <w:r>
        <w:t>(par défaut)</w:t>
      </w:r>
      <w:r>
        <w:rPr>
          <w:rStyle w:val="optioncarChar"/>
        </w:rPr>
        <w:t xml:space="preserve"> / 180 / 200 </w:t>
      </w:r>
      <w:r>
        <w:rPr>
          <w:rStyle w:val="soitChar"/>
        </w:rPr>
        <w:t>mm</w:t>
      </w:r>
    </w:p>
    <w:p w14:paraId="75BBE295" w14:textId="77777777" w:rsidR="00DF410E" w:rsidRDefault="00CE7F43">
      <w:pPr>
        <w:ind w:left="567"/>
        <w:jc w:val="both"/>
      </w:pPr>
      <w:r>
        <w:rPr>
          <w:b/>
        </w:rPr>
        <w:t>(soit)</w:t>
      </w:r>
    </w:p>
    <w:p w14:paraId="43F05EF9" w14:textId="77777777" w:rsidR="00DF410E" w:rsidRDefault="00CE7F43">
      <w:pPr>
        <w:ind w:left="567"/>
        <w:jc w:val="both"/>
      </w:pPr>
      <w:r>
        <w:rPr>
          <w:rStyle w:val="soitChar"/>
          <w:u w:val="single"/>
        </w:rPr>
        <w:t>LVL :</w:t>
      </w:r>
    </w:p>
    <w:p w14:paraId="77783F36" w14:textId="77777777" w:rsidR="00DF410E" w:rsidRDefault="00CE7F43">
      <w:pPr>
        <w:pStyle w:val="Author-eListParagraph"/>
        <w:numPr>
          <w:ilvl w:val="0"/>
          <w:numId w:val="914"/>
        </w:numPr>
        <w:jc w:val="both"/>
      </w:pPr>
      <w:r>
        <w:rPr>
          <w:rStyle w:val="soitChar"/>
        </w:rPr>
        <w:t>Classe de collage, selon la [NBN EN 314-2] :</w:t>
      </w:r>
      <w:r>
        <w:rPr>
          <w:rStyle w:val="optioncarChar"/>
        </w:rPr>
        <w:t xml:space="preserve">1 (int.) / 2 (ext. à l’abri) </w:t>
      </w:r>
      <w:r>
        <w:t>(par défaut)</w:t>
      </w:r>
      <w:r>
        <w:rPr>
          <w:rStyle w:val="optioncarChar"/>
        </w:rPr>
        <w:t xml:space="preserve"> / 3 (ext.)</w:t>
      </w:r>
    </w:p>
    <w:p w14:paraId="5B1DE2C4" w14:textId="77777777" w:rsidR="00DF410E" w:rsidRDefault="00CE7F43">
      <w:pPr>
        <w:pStyle w:val="Author-eListParagraph"/>
        <w:numPr>
          <w:ilvl w:val="0"/>
          <w:numId w:val="914"/>
        </w:numPr>
        <w:jc w:val="both"/>
      </w:pPr>
      <w:r>
        <w:rPr>
          <w:rStyle w:val="soitChar"/>
        </w:rPr>
        <w:t>Classe d’émission de formaldéhyde, selon la [NBN EN ISO 12460-5] :</w:t>
      </w:r>
      <w:r>
        <w:rPr>
          <w:rStyle w:val="optioncarChar"/>
        </w:rPr>
        <w:t xml:space="preserve"> E1</w:t>
      </w:r>
      <w:r>
        <w:t xml:space="preserve"> (par défaut) </w:t>
      </w:r>
      <w:r>
        <w:rPr>
          <w:rStyle w:val="optioncarChar"/>
        </w:rPr>
        <w:t>/ E2</w:t>
      </w:r>
    </w:p>
    <w:p w14:paraId="249165A0" w14:textId="77777777" w:rsidR="00DF410E" w:rsidRDefault="00CE7F43">
      <w:pPr>
        <w:pStyle w:val="Author-eListParagraph"/>
        <w:numPr>
          <w:ilvl w:val="0"/>
          <w:numId w:val="914"/>
        </w:numPr>
        <w:jc w:val="both"/>
      </w:pPr>
      <w:r>
        <w:rPr>
          <w:rStyle w:val="soitChar"/>
        </w:rPr>
        <w:t>Essence de bois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78F47E98" w14:textId="77777777" w:rsidR="00DF410E" w:rsidRDefault="00CE7F43">
      <w:pPr>
        <w:pStyle w:val="Author-eListParagraph"/>
        <w:numPr>
          <w:ilvl w:val="0"/>
          <w:numId w:val="914"/>
        </w:numPr>
        <w:jc w:val="both"/>
      </w:pPr>
      <w:r>
        <w:rPr>
          <w:rStyle w:val="soitChar"/>
        </w:rPr>
        <w:t>Epaisseur des panneaux :</w:t>
      </w:r>
      <w:r>
        <w:rPr>
          <w:rStyle w:val="optioncarChar"/>
        </w:rPr>
        <w:t xml:space="preserve">suivant l’étude </w:t>
      </w:r>
      <w:r>
        <w:t>(par défaut)</w:t>
      </w:r>
      <w:r>
        <w:rPr>
          <w:rStyle w:val="optioncarChar"/>
        </w:rPr>
        <w:t xml:space="preserve"> / 27 / 32 / 37 / 42 / 47 / 52 </w:t>
      </w:r>
      <w:r>
        <w:rPr>
          <w:rStyle w:val="soitChar"/>
        </w:rPr>
        <w:t>mm</w:t>
      </w:r>
    </w:p>
    <w:p w14:paraId="56A97465" w14:textId="77777777" w:rsidR="00DF410E" w:rsidRDefault="00CE7F43">
      <w:pPr>
        <w:ind w:left="567"/>
        <w:jc w:val="both"/>
      </w:pPr>
      <w:r>
        <w:rPr>
          <w:b/>
        </w:rPr>
        <w:t>(soit)</w:t>
      </w:r>
    </w:p>
    <w:p w14:paraId="3DE3252D" w14:textId="77777777" w:rsidR="00DF410E" w:rsidRDefault="00CE7F43">
      <w:pPr>
        <w:ind w:left="567"/>
        <w:jc w:val="both"/>
      </w:pPr>
      <w:r>
        <w:rPr>
          <w:rStyle w:val="soitChar"/>
          <w:u w:val="single"/>
        </w:rPr>
        <w:t>Panneaux de contreplaqué :</w:t>
      </w:r>
    </w:p>
    <w:p w14:paraId="4E160B0F" w14:textId="77777777" w:rsidR="00DF410E" w:rsidRDefault="00CE7F43">
      <w:pPr>
        <w:pStyle w:val="Author-eListParagraph"/>
        <w:numPr>
          <w:ilvl w:val="0"/>
          <w:numId w:val="915"/>
        </w:numPr>
        <w:jc w:val="both"/>
      </w:pPr>
      <w:r>
        <w:rPr>
          <w:rStyle w:val="soitChar"/>
        </w:rPr>
        <w:t>Classe de collage, selon la [NBN EN 314-2] :</w:t>
      </w:r>
      <w:r>
        <w:rPr>
          <w:rStyle w:val="optioncarChar"/>
        </w:rPr>
        <w:t>1 (int.) / 2 (ext. à l’abri) (par défaut) / 3 (ext.)</w:t>
      </w:r>
    </w:p>
    <w:p w14:paraId="3EB324E0" w14:textId="77777777" w:rsidR="00DF410E" w:rsidRDefault="00CE7F43">
      <w:pPr>
        <w:pStyle w:val="Author-eListParagraph"/>
        <w:numPr>
          <w:ilvl w:val="0"/>
          <w:numId w:val="915"/>
        </w:numPr>
        <w:jc w:val="both"/>
      </w:pPr>
      <w:r>
        <w:rPr>
          <w:rStyle w:val="soitChar"/>
        </w:rPr>
        <w:t>Classe d’émission de formaldéhyde, selon la [NBN EN ISO 12460-5] :</w:t>
      </w:r>
      <w:r>
        <w:rPr>
          <w:rStyle w:val="optioncarChar"/>
        </w:rPr>
        <w:t>E1</w:t>
      </w:r>
      <w:r>
        <w:t xml:space="preserve"> (par défaut)</w:t>
      </w:r>
      <w:r>
        <w:rPr>
          <w:rStyle w:val="optioncarChar"/>
        </w:rPr>
        <w:t xml:space="preserve"> / E2</w:t>
      </w:r>
    </w:p>
    <w:p w14:paraId="799A8AD3" w14:textId="77777777" w:rsidR="00DF410E" w:rsidRDefault="00CE7F43">
      <w:pPr>
        <w:pStyle w:val="Author-eListParagraph"/>
        <w:numPr>
          <w:ilvl w:val="0"/>
          <w:numId w:val="915"/>
        </w:numPr>
        <w:jc w:val="both"/>
      </w:pPr>
      <w:r>
        <w:rPr>
          <w:rStyle w:val="soitChar"/>
        </w:rPr>
        <w:t>Essence :</w:t>
      </w:r>
      <w:r>
        <w:rPr>
          <w:rStyle w:val="optioncarChar"/>
        </w:rPr>
        <w:t xml:space="preserve">au choix de l’entrepreneur, à soumettre à l’approbation de l’architecte et du maître de l’ouvrage </w:t>
      </w:r>
      <w:r>
        <w:t>(par défaut)</w:t>
      </w:r>
      <w:r>
        <w:rPr>
          <w:rStyle w:val="optioncarChar"/>
        </w:rPr>
        <w:t xml:space="preserve"> / okoumé / okoumé nautique / oregon / western red cedar / dark red méranti / bouleau / ***</w:t>
      </w:r>
    </w:p>
    <w:p w14:paraId="38CCBE9C" w14:textId="77777777" w:rsidR="00DF410E" w:rsidRDefault="00CE7F43">
      <w:pPr>
        <w:pStyle w:val="Author-eListParagraph"/>
        <w:numPr>
          <w:ilvl w:val="0"/>
          <w:numId w:val="915"/>
        </w:numPr>
        <w:jc w:val="both"/>
      </w:pPr>
      <w:r>
        <w:rPr>
          <w:rStyle w:val="soitChar"/>
        </w:rPr>
        <w:t>Epaisseur des panneaux</w:t>
      </w:r>
      <w:r>
        <w:t xml:space="preserve"> :</w:t>
      </w:r>
      <w:r>
        <w:rPr>
          <w:rStyle w:val="optioncarChar"/>
        </w:rPr>
        <w:t xml:space="preserve"> suivant l’étude </w:t>
      </w:r>
      <w:r>
        <w:t xml:space="preserve">(par défaut) </w:t>
      </w:r>
      <w:r>
        <w:rPr>
          <w:rStyle w:val="optioncarChar"/>
        </w:rPr>
        <w:t xml:space="preserve">/ 18 / 20 / 22 / 25 / 30 </w:t>
      </w:r>
      <w:r>
        <w:rPr>
          <w:rStyle w:val="soitChar"/>
        </w:rPr>
        <w:t>mm</w:t>
      </w:r>
    </w:p>
    <w:p w14:paraId="21B92730" w14:textId="77777777" w:rsidR="00DF410E" w:rsidRDefault="00CE7F43">
      <w:pPr>
        <w:ind w:left="567"/>
      </w:pPr>
      <w:r>
        <w:rPr>
          <w:b/>
        </w:rPr>
        <w:t>(soit)</w:t>
      </w:r>
      <w:r>
        <w:br/>
      </w:r>
      <w:r>
        <w:rPr>
          <w:rStyle w:val="soitChar"/>
          <w:u w:val="single"/>
        </w:rPr>
        <w:t>Panneaux OSB :</w:t>
      </w:r>
    </w:p>
    <w:p w14:paraId="57211EF9" w14:textId="77777777" w:rsidR="00DF410E" w:rsidRDefault="00CE7F43">
      <w:pPr>
        <w:pStyle w:val="Author-eListParagraph"/>
        <w:numPr>
          <w:ilvl w:val="0"/>
          <w:numId w:val="916"/>
        </w:numPr>
        <w:jc w:val="both"/>
      </w:pPr>
      <w:r>
        <w:rPr>
          <w:rStyle w:val="soitChar"/>
        </w:rPr>
        <w:t>Type de panneau OSB, selon la [NBN EN 312] :</w:t>
      </w:r>
      <w:r>
        <w:rPr>
          <w:rStyle w:val="optioncarChar"/>
        </w:rPr>
        <w:t>2 / 3 (par défaut) / 4</w:t>
      </w:r>
    </w:p>
    <w:p w14:paraId="2CAE1BB0" w14:textId="77777777" w:rsidR="00DF410E" w:rsidRDefault="00CE7F43">
      <w:pPr>
        <w:pStyle w:val="Author-eListParagraph"/>
        <w:numPr>
          <w:ilvl w:val="0"/>
          <w:numId w:val="916"/>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2E68F1A0" w14:textId="77777777" w:rsidR="00DF410E" w:rsidRDefault="00CE7F43">
      <w:pPr>
        <w:pStyle w:val="Author-eListParagraph"/>
        <w:numPr>
          <w:ilvl w:val="0"/>
          <w:numId w:val="916"/>
        </w:numPr>
        <w:jc w:val="both"/>
      </w:pPr>
      <w:r>
        <w:rPr>
          <w:rStyle w:val="soitChar"/>
        </w:rPr>
        <w:t>Epaisseur des panneaux :</w:t>
      </w:r>
      <w:r>
        <w:rPr>
          <w:rStyle w:val="optioncarChar"/>
        </w:rPr>
        <w:t xml:space="preserve">suivant l’étude </w:t>
      </w:r>
      <w:r>
        <w:t xml:space="preserve">(par défaut) </w:t>
      </w:r>
      <w:r>
        <w:rPr>
          <w:rStyle w:val="optioncarChar"/>
        </w:rPr>
        <w:t>/ 18 / 22 mm</w:t>
      </w:r>
    </w:p>
    <w:p w14:paraId="0B0A53EE" w14:textId="77777777" w:rsidR="00DF410E" w:rsidRDefault="00CE7F43">
      <w:pPr>
        <w:ind w:left="567"/>
        <w:jc w:val="both"/>
      </w:pPr>
      <w:r>
        <w:rPr>
          <w:b/>
        </w:rPr>
        <w:t>(soit)</w:t>
      </w:r>
    </w:p>
    <w:p w14:paraId="26428BE8" w14:textId="77777777" w:rsidR="00DF410E" w:rsidRDefault="00CE7F43">
      <w:pPr>
        <w:ind w:left="567"/>
        <w:jc w:val="both"/>
      </w:pPr>
      <w:r>
        <w:rPr>
          <w:rStyle w:val="soitChar"/>
          <w:u w:val="single"/>
        </w:rPr>
        <w:t>Panneaux MDF :</w:t>
      </w:r>
    </w:p>
    <w:p w14:paraId="61FE10D5" w14:textId="77777777" w:rsidR="00DF410E" w:rsidRDefault="00CE7F43">
      <w:pPr>
        <w:pStyle w:val="Author-eListParagraph"/>
        <w:numPr>
          <w:ilvl w:val="0"/>
          <w:numId w:val="917"/>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6AD89524" w14:textId="77777777" w:rsidR="00DF410E" w:rsidRDefault="00CE7F43">
      <w:pPr>
        <w:pStyle w:val="Author-eListParagraph"/>
        <w:numPr>
          <w:ilvl w:val="0"/>
          <w:numId w:val="917"/>
        </w:numPr>
        <w:jc w:val="both"/>
      </w:pPr>
      <w:r>
        <w:rPr>
          <w:rStyle w:val="soitChar"/>
        </w:rPr>
        <w:t>Type de panneau, selon [NBN EN 312] :</w:t>
      </w:r>
      <w:r>
        <w:t xml:space="preserve">  </w:t>
      </w:r>
      <w:r>
        <w:rPr>
          <w:rStyle w:val="optioncarChar"/>
        </w:rPr>
        <w:t xml:space="preserve">MDF-HLS </w:t>
      </w:r>
      <w:r>
        <w:t>(par défaut)</w:t>
      </w:r>
      <w:r>
        <w:rPr>
          <w:rStyle w:val="optioncarChar"/>
        </w:rPr>
        <w:t xml:space="preserve"> / MDF LA</w:t>
      </w:r>
    </w:p>
    <w:p w14:paraId="11DE7726" w14:textId="77777777" w:rsidR="00DF410E" w:rsidRDefault="00CE7F43">
      <w:pPr>
        <w:pStyle w:val="Author-eListParagraph"/>
        <w:numPr>
          <w:ilvl w:val="0"/>
          <w:numId w:val="917"/>
        </w:numPr>
        <w:jc w:val="both"/>
      </w:pPr>
      <w:r>
        <w:rPr>
          <w:rStyle w:val="soitChar"/>
        </w:rPr>
        <w:t>Epaisseur des panneaux :</w:t>
      </w:r>
      <w:r>
        <w:rPr>
          <w:rStyle w:val="optioncarChar"/>
        </w:rPr>
        <w:t xml:space="preserve">suivant l’étude </w:t>
      </w:r>
      <w:r>
        <w:t>(par défaut)</w:t>
      </w:r>
      <w:r>
        <w:rPr>
          <w:rStyle w:val="optioncarChar"/>
        </w:rPr>
        <w:t xml:space="preserve"> / 18 / 22 / 25 / 30 / 38 </w:t>
      </w:r>
      <w:r>
        <w:rPr>
          <w:rStyle w:val="soitChar"/>
        </w:rPr>
        <w:t>mm</w:t>
      </w:r>
    </w:p>
    <w:p w14:paraId="1E8DA407" w14:textId="77777777" w:rsidR="00DF410E" w:rsidRDefault="00CE7F43">
      <w:pPr>
        <w:pStyle w:val="Author-eListParagraph"/>
        <w:numPr>
          <w:ilvl w:val="0"/>
          <w:numId w:val="917"/>
        </w:numPr>
        <w:jc w:val="both"/>
      </w:pPr>
      <w:r>
        <w:rPr>
          <w:rStyle w:val="soitChar"/>
        </w:rPr>
        <w:t>Teinte des panneaux, dans la masse :</w:t>
      </w:r>
      <w:r>
        <w:rPr>
          <w:rStyle w:val="optioncarChar"/>
        </w:rPr>
        <w:t xml:space="preserve">naturel </w:t>
      </w:r>
      <w:r>
        <w:t>(par défaut)</w:t>
      </w:r>
      <w:r>
        <w:rPr>
          <w:rStyle w:val="optioncarChar"/>
        </w:rPr>
        <w:t xml:space="preserve"> / noir / rouge (ignifugé)</w:t>
      </w:r>
    </w:p>
    <w:p w14:paraId="3ADA755D" w14:textId="77777777" w:rsidR="00DF410E" w:rsidRDefault="00DF410E"/>
    <w:p w14:paraId="69D53BF0" w14:textId="77777777" w:rsidR="00DF410E" w:rsidRDefault="00CE7F43">
      <w:pPr>
        <w:pStyle w:val="Author-eListParagraph"/>
        <w:numPr>
          <w:ilvl w:val="0"/>
          <w:numId w:val="918"/>
        </w:numPr>
      </w:pPr>
      <w:r>
        <w:t xml:space="preserve">Finition des bords : </w:t>
      </w:r>
      <w:r>
        <w:rPr>
          <w:rStyle w:val="optioncarChar"/>
        </w:rPr>
        <w:t>droits</w:t>
      </w:r>
      <w:r>
        <w:t xml:space="preserve"> (par défaut)</w:t>
      </w:r>
      <w:r>
        <w:rPr>
          <w:rStyle w:val="optioncarChar"/>
        </w:rPr>
        <w:t xml:space="preserve"> / droits adoucis / droits chanfreinés / rainurés et languetés sur les quatre côtés / à mi-bois</w:t>
      </w:r>
    </w:p>
    <w:p w14:paraId="34694725" w14:textId="77777777" w:rsidR="00DF410E" w:rsidRDefault="00CE7F43">
      <w:pPr>
        <w:pStyle w:val="Author-eListParagraph"/>
        <w:numPr>
          <w:ilvl w:val="0"/>
          <w:numId w:val="918"/>
        </w:numPr>
      </w:pPr>
      <w:r>
        <w:t xml:space="preserve">Finition de la face supérieure : </w:t>
      </w:r>
      <w:r>
        <w:rPr>
          <w:rStyle w:val="optioncarChar"/>
        </w:rPr>
        <w:t>non poncée</w:t>
      </w:r>
      <w:r>
        <w:t xml:space="preserve"> (par défaut)</w:t>
      </w:r>
      <w:r>
        <w:rPr>
          <w:rStyle w:val="optioncarChar"/>
        </w:rPr>
        <w:t xml:space="preserve"> / poncée (vue)</w:t>
      </w:r>
    </w:p>
    <w:p w14:paraId="45DB31EE" w14:textId="77777777" w:rsidR="00DF410E" w:rsidRDefault="00CE7F43">
      <w:pPr>
        <w:pStyle w:val="Author-eListParagraph"/>
        <w:numPr>
          <w:ilvl w:val="0"/>
          <w:numId w:val="918"/>
        </w:numPr>
      </w:pPr>
      <w:r>
        <w:t xml:space="preserve">Finition de la face inférieure : </w:t>
      </w:r>
      <w:r>
        <w:rPr>
          <w:rStyle w:val="optioncarChar"/>
        </w:rPr>
        <w:t xml:space="preserve">non poncée </w:t>
      </w:r>
      <w:r>
        <w:t>(par défaut)</w:t>
      </w:r>
      <w:r>
        <w:rPr>
          <w:rStyle w:val="optioncarChar"/>
        </w:rPr>
        <w:t xml:space="preserve"> / poncée (vue)</w:t>
      </w:r>
    </w:p>
    <w:p w14:paraId="051748FD" w14:textId="77777777" w:rsidR="00DF410E" w:rsidRDefault="00CE7F43">
      <w:pPr>
        <w:pStyle w:val="Author-eListParagraph"/>
        <w:numPr>
          <w:ilvl w:val="0"/>
          <w:numId w:val="918"/>
        </w:numPr>
      </w:pPr>
      <w:r>
        <w:t xml:space="preserve">Les panneaux sont </w:t>
      </w:r>
      <w:r>
        <w:rPr>
          <w:rStyle w:val="optioncarChar"/>
        </w:rPr>
        <w:t>contreventant</w:t>
      </w:r>
      <w:r>
        <w:t xml:space="preserve"> (par défaut)</w:t>
      </w:r>
      <w:r>
        <w:rPr>
          <w:rStyle w:val="optioncarChar"/>
        </w:rPr>
        <w:t> / non contreventant</w:t>
      </w:r>
    </w:p>
    <w:p w14:paraId="6957B6FF" w14:textId="77777777" w:rsidR="00DF410E" w:rsidRDefault="00CE7F43">
      <w:pPr>
        <w:ind w:left="567"/>
        <w:jc w:val="both"/>
      </w:pPr>
      <w:r>
        <w:rPr>
          <w:b/>
        </w:rPr>
        <w:t>(soit par défaut)</w:t>
      </w:r>
    </w:p>
    <w:p w14:paraId="65145177" w14:textId="77777777" w:rsidR="00DF410E" w:rsidRDefault="00CE7F43">
      <w:pPr>
        <w:ind w:left="567"/>
        <w:jc w:val="both"/>
      </w:pPr>
      <w:r>
        <w:rPr>
          <w:rStyle w:val="soitChar"/>
          <w:u w:val="single"/>
        </w:rPr>
        <w:t>Contreventant :</w:t>
      </w:r>
    </w:p>
    <w:p w14:paraId="57863399" w14:textId="77777777" w:rsidR="00DF410E" w:rsidRDefault="00CE7F43">
      <w:pPr>
        <w:pStyle w:val="Author-eListParagraph"/>
        <w:numPr>
          <w:ilvl w:val="0"/>
          <w:numId w:val="919"/>
        </w:numPr>
      </w:pPr>
      <w:r>
        <w:rPr>
          <w:rStyle w:val="soitChar"/>
        </w:rPr>
        <w:t>Résistance en flexion, selon la [NBN EN 310]  ≥</w:t>
      </w:r>
      <w:r>
        <w:rPr>
          <w:rStyle w:val="optioncarChar"/>
        </w:rPr>
        <w:t xml:space="preserve"> suivant l’étude </w:t>
      </w:r>
      <w:r>
        <w:t>(par défaut)</w:t>
      </w:r>
      <w:r>
        <w:rPr>
          <w:rStyle w:val="optioncarChar"/>
        </w:rPr>
        <w:t xml:space="preserve"> / 12 / 14 /16 / 35 / 40 / 50 </w:t>
      </w:r>
      <w:r>
        <w:rPr>
          <w:rStyle w:val="soitChar"/>
        </w:rPr>
        <w:t>N/mm²</w:t>
      </w:r>
    </w:p>
    <w:p w14:paraId="5276479A" w14:textId="77777777" w:rsidR="00DF410E" w:rsidRDefault="00CE7F43">
      <w:pPr>
        <w:pStyle w:val="Author-eListParagraph"/>
        <w:numPr>
          <w:ilvl w:val="0"/>
          <w:numId w:val="919"/>
        </w:numPr>
      </w:pPr>
      <w:r>
        <w:rPr>
          <w:rStyle w:val="soitChar"/>
        </w:rPr>
        <w:t>Module d’élasticité en flexion, selon la [NBN EN 310]  ≥</w:t>
      </w:r>
      <w:r>
        <w:t> </w:t>
      </w:r>
      <w:r>
        <w:rPr>
          <w:rStyle w:val="optioncarChar"/>
        </w:rPr>
        <w:t>suivant l’étude</w:t>
      </w:r>
      <w:r>
        <w:t xml:space="preserve"> (par défaut)</w:t>
      </w:r>
      <w:r>
        <w:rPr>
          <w:rStyle w:val="optioncarChar"/>
        </w:rPr>
        <w:t xml:space="preserve"> / 4000 / 6000 / 8000 </w:t>
      </w:r>
      <w:r>
        <w:rPr>
          <w:rStyle w:val="soitChar"/>
        </w:rPr>
        <w:t>N/mm²</w:t>
      </w:r>
    </w:p>
    <w:p w14:paraId="1EA5C2AD" w14:textId="77777777" w:rsidR="00DF410E" w:rsidRDefault="00CE7F43">
      <w:pPr>
        <w:pStyle w:val="Author-eListParagraph"/>
        <w:numPr>
          <w:ilvl w:val="0"/>
          <w:numId w:val="919"/>
        </w:numPr>
      </w:pPr>
      <w:r>
        <w:rPr>
          <w:rStyle w:val="soitChar"/>
        </w:rPr>
        <w:t>Traction perpendiculaire aux faces, selon la [NBN EN 319]  ≥</w:t>
      </w:r>
      <w:r>
        <w:t> </w:t>
      </w:r>
      <w:r>
        <w:rPr>
          <w:rStyle w:val="optioncarChar"/>
        </w:rPr>
        <w:t xml:space="preserve">suivant l’étude </w:t>
      </w:r>
      <w:r>
        <w:t>(par défaut)</w:t>
      </w:r>
      <w:r>
        <w:rPr>
          <w:rStyle w:val="optioncarChar"/>
        </w:rPr>
        <w:t xml:space="preserve"> / 0,30 / 0,35 / 0,4 </w:t>
      </w:r>
      <w:r>
        <w:rPr>
          <w:rStyle w:val="soitChar"/>
        </w:rPr>
        <w:t>N/mm²</w:t>
      </w:r>
    </w:p>
    <w:p w14:paraId="582A379F" w14:textId="77777777" w:rsidR="00DF410E" w:rsidRDefault="00CE7F43">
      <w:pPr>
        <w:ind w:left="567"/>
        <w:jc w:val="both"/>
      </w:pPr>
      <w:r>
        <w:rPr>
          <w:b/>
        </w:rPr>
        <w:t>(soit)</w:t>
      </w:r>
    </w:p>
    <w:p w14:paraId="66A4A141" w14:textId="77777777" w:rsidR="00DF410E" w:rsidRDefault="00CE7F43">
      <w:pPr>
        <w:ind w:left="567"/>
        <w:jc w:val="both"/>
      </w:pPr>
      <w:r>
        <w:rPr>
          <w:rStyle w:val="soitChar"/>
          <w:u w:val="single"/>
        </w:rPr>
        <w:t>Non-contreventant :</w:t>
      </w:r>
    </w:p>
    <w:p w14:paraId="54CB3A4A" w14:textId="77777777" w:rsidR="00DF410E" w:rsidRDefault="00CE7F43">
      <w:pPr>
        <w:pStyle w:val="Author-eListParagraph"/>
        <w:numPr>
          <w:ilvl w:val="0"/>
          <w:numId w:val="920"/>
        </w:numPr>
      </w:pPr>
      <w:r>
        <w:rPr>
          <w:rStyle w:val="soitChar"/>
        </w:rPr>
        <w:t>Résistance en flexion, selon la [NBN EN 310], pose à plat  ≥</w:t>
      </w:r>
      <w:r>
        <w:rPr>
          <w:rStyle w:val="optioncarChar"/>
        </w:rPr>
        <w:t xml:space="preserve">suivant l’étude </w:t>
      </w:r>
      <w:r>
        <w:t>(par défaut)</w:t>
      </w:r>
      <w:r>
        <w:rPr>
          <w:rStyle w:val="optioncarChar"/>
        </w:rPr>
        <w:t xml:space="preserve"> / 12 / 14 / 16</w:t>
      </w:r>
      <w:r>
        <w:t xml:space="preserve"> N/mm²</w:t>
      </w:r>
    </w:p>
    <w:p w14:paraId="13881682" w14:textId="77777777" w:rsidR="00DF410E" w:rsidRDefault="00CE7F43">
      <w:pPr>
        <w:jc w:val="both"/>
      </w:pPr>
      <w:r>
        <w:rPr>
          <w:b/>
        </w:rPr>
        <w:t>Résistance au feu</w:t>
      </w:r>
    </w:p>
    <w:p w14:paraId="66D422BC" w14:textId="77777777" w:rsidR="00DF410E" w:rsidRDefault="00CE7F43">
      <w:pPr>
        <w:jc w:val="both"/>
      </w:pPr>
      <w:r>
        <w:t xml:space="preserve">Le plancher présente également une résistance au feu, selon la [NBN EN 13501-2] : </w:t>
      </w:r>
      <w:r>
        <w:rPr>
          <w:rStyle w:val="optioncarChar"/>
        </w:rPr>
        <w:t>pas d’application / REI30</w:t>
      </w:r>
      <w:r>
        <w:t xml:space="preserve"> (par défaut) </w:t>
      </w:r>
      <w:r>
        <w:rPr>
          <w:rStyle w:val="optioncarChar"/>
        </w:rPr>
        <w:t>/ REI60 / REI 90 / REI 120</w:t>
      </w:r>
    </w:p>
    <w:p w14:paraId="73457843" w14:textId="77777777" w:rsidR="00DF410E" w:rsidRDefault="00CE7F43">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 </w:t>
      </w:r>
      <w:r>
        <w:t>du bois.</w:t>
      </w:r>
    </w:p>
    <w:p w14:paraId="4B2386BE" w14:textId="77777777" w:rsidR="00DF410E" w:rsidRDefault="00CE7F43">
      <w:pPr>
        <w:pStyle w:val="pheading"/>
      </w:pPr>
      <w:r>
        <w:t>- Finitions</w:t>
      </w:r>
    </w:p>
    <w:p w14:paraId="2CF51026" w14:textId="77777777" w:rsidR="00DF410E" w:rsidRDefault="00CE7F43">
      <w:pPr>
        <w:jc w:val="both"/>
      </w:pPr>
      <w:r>
        <w:rPr>
          <w:b/>
        </w:rPr>
        <w:t>Préservation du bois </w:t>
      </w:r>
    </w:p>
    <w:p w14:paraId="50795593" w14:textId="77777777" w:rsidR="00DF410E" w:rsidRDefault="00CE7F43">
      <w:pPr>
        <w:jc w:val="both"/>
      </w:pPr>
      <w:r>
        <w:t xml:space="preserve">Voir </w:t>
      </w:r>
      <w:hyperlink w:anchor="600" w:history="1">
        <w:r>
          <w:t>24.7 Traitements, protection et finition des bois</w:t>
        </w:r>
      </w:hyperlink>
    </w:p>
    <w:p w14:paraId="59D4C516" w14:textId="77777777" w:rsidR="00DF410E" w:rsidRDefault="00CE7F43">
      <w:pPr>
        <w:jc w:val="both"/>
      </w:pPr>
      <w:r>
        <w:rPr>
          <w:b/>
        </w:rPr>
        <w:t>Traitement de finition du bois en atelier</w:t>
      </w:r>
    </w:p>
    <w:p w14:paraId="5299D148" w14:textId="77777777" w:rsidR="00DF410E" w:rsidRDefault="00CE7F43">
      <w:pPr>
        <w:jc w:val="both"/>
      </w:pPr>
      <w:r>
        <w:t xml:space="preserve">Finition des parties visibles du bois : </w:t>
      </w:r>
      <w:r>
        <w:rPr>
          <w:rStyle w:val="optioncarChar"/>
        </w:rPr>
        <w:t xml:space="preserve">pas de finition </w:t>
      </w:r>
      <w:r>
        <w:t>(par défaut)</w:t>
      </w:r>
      <w:r>
        <w:rPr>
          <w:rStyle w:val="optioncarChar"/>
        </w:rPr>
        <w:t xml:space="preserve"> / application d’une finition</w:t>
      </w:r>
    </w:p>
    <w:p w14:paraId="71FE8D65" w14:textId="77777777" w:rsidR="00DF410E" w:rsidRDefault="00CE7F43">
      <w:pPr>
        <w:jc w:val="both"/>
      </w:pPr>
      <w:r>
        <w:t xml:space="preserve">Dans le cas de l’application d’une finition sur le bois, toutes les parties apparentes sont préparées et traitées selon les prescriptions du </w:t>
      </w:r>
      <w:hyperlink r:id="rId305" w:history="1" w:docLocation="558">
        <w:r>
          <w:t>81.2 Peintures intérieures sur subjectiles en bois et dérivés du bois (feuillus, résineux, bois exotiques, panneaux)</w:t>
        </w:r>
      </w:hyperlink>
      <w:r>
        <w:t xml:space="preserve"> ou du </w:t>
      </w:r>
      <w:hyperlink r:id="rId306" w:history="1" w:docLocation="559">
        <w:r>
          <w:t>82.2 Peintures extérieures sur subjectiles en bois et dérivés du bois (feuillus, résineux, bois exotiques, panneaux)</w:t>
        </w:r>
      </w:hyperlink>
      <w:r>
        <w:t xml:space="preserve"> et articles qui en découlent.</w:t>
      </w:r>
    </w:p>
    <w:p w14:paraId="4D835E84" w14:textId="77777777" w:rsidR="00DF410E" w:rsidRDefault="00CE7F43">
      <w:pPr>
        <w:jc w:val="both"/>
      </w:pPr>
      <w:r>
        <w:t>Le traitement de finition est compris par défaut dans le poste, sauf contre-indication dans le cahier spécial des charges aux articles concernés ci-dessus. </w:t>
      </w:r>
    </w:p>
    <w:p w14:paraId="43CDCD7D" w14:textId="77777777" w:rsidR="00DF410E" w:rsidRDefault="00CE7F43">
      <w:pPr>
        <w:jc w:val="both"/>
      </w:pPr>
      <w:r>
        <w:t>Dans le cas de l’application d’une finition sur le bois prévue dans le présent travail :</w:t>
      </w:r>
    </w:p>
    <w:p w14:paraId="4950FE97" w14:textId="77777777" w:rsidR="00DF410E" w:rsidRDefault="00CE7F43">
      <w:pPr>
        <w:pStyle w:val="Author-eListParagraph"/>
        <w:numPr>
          <w:ilvl w:val="0"/>
          <w:numId w:val="921"/>
        </w:numPr>
        <w:jc w:val="both"/>
      </w:pPr>
      <w:r>
        <w:t xml:space="preserve">Type de traitement : </w:t>
      </w:r>
      <w:r>
        <w:rPr>
          <w:rStyle w:val="optioncarChar"/>
        </w:rPr>
        <w:t xml:space="preserve">anti UV </w:t>
      </w:r>
      <w:r>
        <w:t>(par défaut)</w:t>
      </w:r>
      <w:r>
        <w:rPr>
          <w:rStyle w:val="optioncarChar"/>
        </w:rPr>
        <w:t xml:space="preserve"> / verni / peinture / lasure / huile / céruse</w:t>
      </w:r>
    </w:p>
    <w:p w14:paraId="4343B9F3" w14:textId="77777777" w:rsidR="00DF410E" w:rsidRDefault="00CE7F43">
      <w:pPr>
        <w:pStyle w:val="Author-eListParagraph"/>
        <w:numPr>
          <w:ilvl w:val="0"/>
          <w:numId w:val="921"/>
        </w:numPr>
        <w:jc w:val="both"/>
      </w:pPr>
      <w:r>
        <w:t xml:space="preserve">Teinte : </w:t>
      </w:r>
      <w:r>
        <w:rPr>
          <w:rStyle w:val="optioncarChar"/>
        </w:rPr>
        <w:t xml:space="preserve">transparent </w:t>
      </w:r>
      <w:r>
        <w:t>(par défaut)</w:t>
      </w:r>
      <w:r>
        <w:rPr>
          <w:rStyle w:val="optioncarChar"/>
        </w:rPr>
        <w:t xml:space="preserve"> / pigmenté blanchâtre / blanc / RAL : ***</w:t>
      </w:r>
    </w:p>
    <w:p w14:paraId="184189FA" w14:textId="77777777" w:rsidR="00DF410E" w:rsidRDefault="00CE7F43">
      <w:pPr>
        <w:pStyle w:val="pheading"/>
      </w:pPr>
      <w:r>
        <w:t>EXÉCUTION / MISE EN ŒUVRE</w:t>
      </w:r>
    </w:p>
    <w:p w14:paraId="25570879" w14:textId="77777777" w:rsidR="00DF410E" w:rsidRDefault="00CE7F43">
      <w:pPr>
        <w:pStyle w:val="pheading"/>
      </w:pPr>
      <w:r>
        <w:t>- Prescriptions générales</w:t>
      </w:r>
    </w:p>
    <w:p w14:paraId="16ECDCD5" w14:textId="77777777" w:rsidR="00DF410E" w:rsidRDefault="00CE7F43">
      <w:pPr>
        <w:jc w:val="both"/>
      </w:pPr>
      <w:r>
        <w:rPr>
          <w:b/>
        </w:rPr>
        <w:t>Etude</w:t>
      </w:r>
    </w:p>
    <w:p w14:paraId="17E086D0" w14:textId="77777777" w:rsidR="00DF410E" w:rsidRDefault="00CE7F43">
      <w:pPr>
        <w:jc w:val="both"/>
      </w:pPr>
      <w:r>
        <w:t xml:space="preserve">Choix, conformément aux prescriptions du </w:t>
      </w:r>
      <w:hyperlink w:anchor="601"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1BA08C37" w14:textId="77777777" w:rsidR="00DF410E" w:rsidRDefault="00CE7F43">
      <w:pPr>
        <w:jc w:val="both"/>
      </w:pPr>
      <w:r>
        <w:rPr>
          <w:b/>
        </w:rPr>
        <w:t>Mise en œuvre</w:t>
      </w:r>
    </w:p>
    <w:p w14:paraId="792FEBB9" w14:textId="77777777" w:rsidR="00DF410E" w:rsidRDefault="00CE7F43">
      <w:pPr>
        <w:jc w:val="both"/>
      </w:pPr>
      <w:r>
        <w:t xml:space="preserve">Les planchers préfabriqués sont posés : </w:t>
      </w:r>
      <w:r>
        <w:rPr>
          <w:rStyle w:val="optioncarChar"/>
        </w:rPr>
        <w:t xml:space="preserve">à l’intérieur du nu des murs porteurs et de façades </w:t>
      </w:r>
      <w:r>
        <w:t>(par défaut)</w:t>
      </w:r>
      <w:r>
        <w:rPr>
          <w:rStyle w:val="optioncarChar"/>
        </w:rPr>
        <w:t xml:space="preserve"> / sur les têtes des murs porteurs et de façades</w:t>
      </w:r>
    </w:p>
    <w:p w14:paraId="3E731EEE" w14:textId="77777777" w:rsidR="00DF410E" w:rsidRDefault="00CE7F43">
      <w:pPr>
        <w:jc w:val="both"/>
      </w:pPr>
      <w:r>
        <w:t xml:space="preserve">Les planchers sont posés conformément aux prescriptions du </w:t>
      </w:r>
      <w:hyperlink w:anchor="601" w:history="1">
        <w:r>
          <w:t>24.22.2 Planchers en bois préfabriqués</w:t>
        </w:r>
      </w:hyperlink>
      <w:r>
        <w:t xml:space="preserve"> : </w:t>
      </w:r>
      <w:r>
        <w:rPr>
          <w:rStyle w:val="optioncarChar"/>
        </w:rPr>
        <w:t xml:space="preserve">sur des muralières en bois </w:t>
      </w:r>
      <w:r>
        <w:t>(par défaut)</w:t>
      </w:r>
      <w:r>
        <w:rPr>
          <w:rStyle w:val="optioncarChar"/>
        </w:rPr>
        <w:t xml:space="preserve"> / au travers de muralières intégrées aux planchers / sur des profilés métalliques apparents / dans des profilés métalliques cachés / sur les têtes des murs</w:t>
      </w:r>
    </w:p>
    <w:p w14:paraId="61765AB7" w14:textId="77777777" w:rsidR="00DF410E" w:rsidRDefault="00CE7F43">
      <w:pPr>
        <w:jc w:val="both"/>
      </w:pPr>
      <w:r>
        <w:rPr>
          <w:b/>
        </w:rPr>
        <w:t>Pose sur les têtes des murs</w:t>
      </w:r>
    </w:p>
    <w:p w14:paraId="1482F88C" w14:textId="77777777" w:rsidR="00DF410E" w:rsidRDefault="00CE7F43">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7F85D312" w14:textId="77777777" w:rsidR="00DF410E" w:rsidRDefault="00CE7F43">
      <w:pPr>
        <w:jc w:val="both"/>
      </w:pPr>
      <w:r>
        <w:t xml:space="preserve">Les assemblages sont pensés en prenant en compte que la structure portante est : </w:t>
      </w:r>
      <w:r>
        <w:rPr>
          <w:rStyle w:val="optioncarChar"/>
        </w:rPr>
        <w:t xml:space="preserve">cachée </w:t>
      </w:r>
      <w:r>
        <w:t>(par défaut)</w:t>
      </w:r>
      <w:r>
        <w:rPr>
          <w:rStyle w:val="optioncarChar"/>
        </w:rPr>
        <w:t xml:space="preserve"> / visible (importance de l’esthétique) ; proposition à soumettre à l’approbation de l’architecte et du maître de l’ouvrage</w:t>
      </w:r>
    </w:p>
    <w:p w14:paraId="4BFF4CEE" w14:textId="77777777" w:rsidR="00DF410E" w:rsidRDefault="00CE7F43">
      <w:pPr>
        <w:jc w:val="both"/>
      </w:pPr>
      <w:r>
        <w:t xml:space="preserve">Les panneaux supérieurs sont : </w:t>
      </w:r>
      <w:r>
        <w:rPr>
          <w:rStyle w:val="optioncarChar"/>
        </w:rPr>
        <w:t>pas de panneaux supérieurs / vissés </w:t>
      </w:r>
      <w:r>
        <w:t>(par défaut)</w:t>
      </w:r>
      <w:r>
        <w:rPr>
          <w:rStyle w:val="optioncarChar"/>
        </w:rPr>
        <w:t> / cloués / collés</w:t>
      </w:r>
    </w:p>
    <w:p w14:paraId="1C3715D0" w14:textId="77777777" w:rsidR="00DF410E" w:rsidRDefault="00CE7F43">
      <w:pPr>
        <w:jc w:val="both"/>
      </w:pPr>
      <w:r>
        <w:t xml:space="preserve">Les panneaux inférieurs sont : </w:t>
      </w:r>
      <w:r>
        <w:rPr>
          <w:rStyle w:val="optioncarChar"/>
        </w:rPr>
        <w:t>pas de panneaux inférieurs</w:t>
      </w:r>
      <w:r>
        <w:t xml:space="preserve"> (par défaut)</w:t>
      </w:r>
      <w:r>
        <w:rPr>
          <w:rStyle w:val="optioncarChar"/>
        </w:rPr>
        <w:t> / vissés / cloués / collés</w:t>
      </w:r>
    </w:p>
    <w:p w14:paraId="084C8DC1" w14:textId="77777777" w:rsidR="00DF410E" w:rsidRDefault="00CE7F43">
      <w:pPr>
        <w:jc w:val="both"/>
      </w:pPr>
      <w:r>
        <w:rPr>
          <w:b/>
        </w:rPr>
        <w:t>Pare-vapeur/frein-vapeur et étanchéité à l’air</w:t>
      </w:r>
    </w:p>
    <w:p w14:paraId="7BE6D9A2" w14:textId="77777777" w:rsidR="00DF410E" w:rsidRDefault="00CE7F43">
      <w:pPr>
        <w:jc w:val="both"/>
      </w:pPr>
      <w:r>
        <w:t xml:space="preserve">Un pare-vapeur/frein-vapeur continu est placé entre la structure portante et les panneaux supérieurs (cas des planchers de sol) et déborde de 50 cm sur tout le pourtour pour assurer les jonctions : </w:t>
      </w:r>
      <w:r>
        <w:rPr>
          <w:rStyle w:val="optioncarChar"/>
        </w:rPr>
        <w:t>non / oui</w:t>
      </w:r>
    </w:p>
    <w:p w14:paraId="623828B7" w14:textId="77777777" w:rsidR="00DF410E" w:rsidRDefault="00CE7F43">
      <w:pPr>
        <w:jc w:val="both"/>
      </w:pPr>
      <w:r>
        <w:t xml:space="preserve">Un pare-vapeur/frein-vapeur continu est placé entre la structure portante et les panneaux inférieurs (cas des plafonds de combles) et déborde de 50 cm sur tout le pourtour pour assurer les jonctions : </w:t>
      </w:r>
      <w:r>
        <w:rPr>
          <w:rStyle w:val="optioncarChar"/>
        </w:rPr>
        <w:t>non / oui</w:t>
      </w:r>
    </w:p>
    <w:p w14:paraId="1F7EE0E7" w14:textId="77777777" w:rsidR="00DF410E" w:rsidRDefault="00CE7F43">
      <w:pPr>
        <w:jc w:val="both"/>
      </w:pPr>
      <w:r>
        <w:t xml:space="preserve">L’étanchéité à l’air entre panneaux est assurée : </w:t>
      </w:r>
      <w:r>
        <w:rPr>
          <w:rStyle w:val="optioncarChar"/>
        </w:rPr>
        <w:t xml:space="preserve">pas d’application </w:t>
      </w:r>
      <w:r>
        <w:t xml:space="preserve">(par défaut) </w:t>
      </w:r>
      <w:r>
        <w:rPr>
          <w:rStyle w:val="optioncarChar"/>
        </w:rPr>
        <w:t>/ par bandes d’étanchéité aux jonctions des panneaux / par joints d’étanchéité dans l’épaisseur des panneaux</w:t>
      </w:r>
      <w:r>
        <w:t>.</w:t>
      </w:r>
    </w:p>
    <w:p w14:paraId="6186D163" w14:textId="77777777" w:rsidR="00DF410E" w:rsidRDefault="00CE7F43">
      <w:pPr>
        <w:jc w:val="both"/>
      </w:pPr>
      <w:r>
        <w:rPr>
          <w:b/>
        </w:rPr>
        <w:t>Préparation des techniques spéciales : HVAC - Sanitaires - Electricité</w:t>
      </w:r>
    </w:p>
    <w:p w14:paraId="0C1BAA25" w14:textId="77777777" w:rsidR="00DF410E" w:rsidRDefault="00CE7F43">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1" w:history="1">
        <w:r>
          <w:t>24.22.2 Planchers en bois préfabriqués</w:t>
        </w:r>
      </w:hyperlink>
      <w:r>
        <w:t xml:space="preserve"> : </w:t>
      </w:r>
      <w:r>
        <w:rPr>
          <w:rStyle w:val="optioncarChar"/>
        </w:rPr>
        <w:t>non </w:t>
      </w:r>
      <w:r>
        <w:t>(par défaut) </w:t>
      </w:r>
      <w:r>
        <w:rPr>
          <w:rStyle w:val="optioncarChar"/>
        </w:rPr>
        <w:t>/ oui</w:t>
      </w:r>
    </w:p>
    <w:p w14:paraId="1C5B057E" w14:textId="77777777" w:rsidR="00DF410E" w:rsidRDefault="00CE7F43">
      <w:pPr>
        <w:pStyle w:val="pheading"/>
      </w:pPr>
      <w:r>
        <w:t>MESURAGE</w:t>
      </w:r>
    </w:p>
    <w:p w14:paraId="6AEE6127" w14:textId="77777777" w:rsidR="00DF410E" w:rsidRDefault="00CE7F43">
      <w:pPr>
        <w:pStyle w:val="pheading"/>
      </w:pPr>
      <w:r>
        <w:t>- unité de mesure:</w:t>
      </w:r>
    </w:p>
    <w:p w14:paraId="5611FFB7" w14:textId="77777777" w:rsidR="00DF410E" w:rsidRDefault="00CE7F43">
      <w:r>
        <w:t>1.2. m²</w:t>
      </w:r>
    </w:p>
    <w:p w14:paraId="0B8BF4B6" w14:textId="77777777" w:rsidR="00DF410E" w:rsidRDefault="00CE7F43">
      <w:pPr>
        <w:pStyle w:val="pheading"/>
      </w:pPr>
      <w:r>
        <w:t>- code de mesurage:</w:t>
      </w:r>
    </w:p>
    <w:p w14:paraId="1337ACCE" w14:textId="77777777" w:rsidR="00DF410E" w:rsidRDefault="00CE7F43">
      <w:pPr>
        <w:jc w:val="both"/>
      </w:pPr>
      <w:r>
        <w:rPr>
          <w:rStyle w:val="optioncarChar"/>
        </w:rPr>
        <w:t>Surface nette</w:t>
      </w:r>
      <w:r>
        <w:t xml:space="preserve"> (par défaut)</w:t>
      </w:r>
      <w:r>
        <w:rPr>
          <w:rStyle w:val="optioncarChar"/>
        </w:rPr>
        <w:t xml:space="preserve"> / Surface utile</w:t>
      </w:r>
    </w:p>
    <w:p w14:paraId="59ED27A3" w14:textId="77777777" w:rsidR="00DF410E" w:rsidRDefault="00CE7F43">
      <w:pPr>
        <w:jc w:val="both"/>
      </w:pPr>
      <w:r>
        <w:rPr>
          <w:b/>
        </w:rPr>
        <w:t>(soit par défaut)</w:t>
      </w:r>
    </w:p>
    <w:p w14:paraId="7A167905" w14:textId="77777777" w:rsidR="00DF410E" w:rsidRDefault="00CE7F43">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4B2DA8BB" w14:textId="77777777" w:rsidR="00DF410E" w:rsidRDefault="00CE7F43">
      <w:pPr>
        <w:jc w:val="both"/>
      </w:pPr>
      <w:r>
        <w:rPr>
          <w:b/>
        </w:rPr>
        <w:t>(soit)</w:t>
      </w:r>
    </w:p>
    <w:p w14:paraId="31AEE7C6" w14:textId="77777777" w:rsidR="00DF410E" w:rsidRDefault="00CE7F43">
      <w:pPr>
        <w:jc w:val="both"/>
      </w:pPr>
      <w:r>
        <w:rPr>
          <w:rStyle w:val="soitChar"/>
        </w:rPr>
        <w:t xml:space="preserve">2. </w:t>
      </w:r>
      <w:r>
        <w:rPr>
          <w:rStyle w:val="soitChar"/>
          <w:u w:val="single"/>
        </w:rPr>
        <w:t>Surface utile</w:t>
      </w:r>
      <w:r>
        <w:rPr>
          <w:rStyle w:val="soitChar"/>
        </w:rPr>
        <w:t>, dans le cas des planchers posés sur/dans les murs porteurs.</w:t>
      </w:r>
    </w:p>
    <w:p w14:paraId="1DFE689B" w14:textId="77777777" w:rsidR="00DF410E" w:rsidRDefault="00CE7F43">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percements et feuillures supérieures à 0,5 m² sont déduits.</w:t>
      </w:r>
    </w:p>
    <w:p w14:paraId="43FFB556" w14:textId="77777777" w:rsidR="00DF410E" w:rsidRDefault="00CE7F43">
      <w:pPr>
        <w:pStyle w:val="pheading"/>
      </w:pPr>
      <w:r>
        <w:t>- nature du marché:</w:t>
      </w:r>
    </w:p>
    <w:p w14:paraId="43DC7278" w14:textId="77777777" w:rsidR="00DF410E" w:rsidRDefault="00CE7F43">
      <w:r>
        <w:t>1.2. QF</w:t>
      </w:r>
    </w:p>
    <w:p w14:paraId="7B203158" w14:textId="77777777" w:rsidR="00DF410E" w:rsidRDefault="00CE7F43">
      <w:pPr>
        <w:pStyle w:val="Author-eSectionHeading6"/>
      </w:pPr>
      <w:bookmarkStart w:id="1671" w:name="_Toc178838759"/>
      <w:r>
        <w:t>24.22.2b Planchers en hourdis bois préfabriqués CCTB 01.11</w:t>
      </w:r>
      <w:bookmarkEnd w:id="1671"/>
    </w:p>
    <w:p w14:paraId="1D11EF50" w14:textId="77777777" w:rsidR="00DF410E" w:rsidRDefault="00CE7F43">
      <w:pPr>
        <w:pStyle w:val="pheading"/>
      </w:pPr>
      <w:r>
        <w:t>DESCRIPTION</w:t>
      </w:r>
    </w:p>
    <w:p w14:paraId="54168ABB" w14:textId="77777777" w:rsidR="00DF410E" w:rsidRDefault="00CE7F43">
      <w:pPr>
        <w:pStyle w:val="pheading"/>
      </w:pPr>
      <w:r>
        <w:t>- Définition / Comprend</w:t>
      </w:r>
    </w:p>
    <w:p w14:paraId="7FD50A63" w14:textId="77777777" w:rsidR="00DF410E" w:rsidRDefault="00CE7F43">
      <w:pPr>
        <w:jc w:val="both"/>
      </w:pPr>
      <w:r>
        <w:t>Il s'agit de la fourniture et la pose de planchers intérieurs préfabriqués en atelier, en forme de hourdis alvéolés (en référence à la forme des éléments équivalents en béton) et de tous les accessoires de fixation.</w:t>
      </w:r>
    </w:p>
    <w:p w14:paraId="2AFC6BBB" w14:textId="77777777" w:rsidR="00DF410E" w:rsidRDefault="00CE7F43">
      <w:pPr>
        <w:pStyle w:val="pheading"/>
      </w:pPr>
      <w:r>
        <w:t>MATÉRIAUX</w:t>
      </w:r>
    </w:p>
    <w:p w14:paraId="30BDB0D6" w14:textId="77777777" w:rsidR="00DF410E" w:rsidRDefault="00CE7F43">
      <w:pPr>
        <w:pStyle w:val="pheading"/>
      </w:pPr>
      <w:r>
        <w:t>- Caractéristiques générales</w:t>
      </w:r>
    </w:p>
    <w:p w14:paraId="7835DBA7" w14:textId="77777777" w:rsidR="00DF410E" w:rsidRDefault="00DF410E"/>
    <w:p w14:paraId="453894AC" w14:textId="77777777" w:rsidR="00DF410E" w:rsidRDefault="00CE7F43">
      <w:pPr>
        <w:pStyle w:val="Author-eListParagraph"/>
        <w:numPr>
          <w:ilvl w:val="0"/>
          <w:numId w:val="922"/>
        </w:numPr>
        <w:jc w:val="both"/>
      </w:pPr>
      <w:r>
        <w:t xml:space="preserve">Classe d’emploi/de risque, suivant la [NBN EN 335] : </w:t>
      </w:r>
      <w:r>
        <w:rPr>
          <w:rStyle w:val="optioncarChar"/>
        </w:rPr>
        <w:t xml:space="preserve">1 / 2 </w:t>
      </w:r>
      <w:r>
        <w:t>(par défaut)</w:t>
      </w:r>
      <w:r>
        <w:rPr>
          <w:rStyle w:val="optioncarChar"/>
        </w:rPr>
        <w:t xml:space="preserve"> / 3</w:t>
      </w:r>
    </w:p>
    <w:p w14:paraId="26AC5FD4" w14:textId="77777777" w:rsidR="00DF410E" w:rsidRDefault="00CE7F43">
      <w:pPr>
        <w:pStyle w:val="Author-eListParagraph"/>
        <w:numPr>
          <w:ilvl w:val="0"/>
          <w:numId w:val="922"/>
        </w:numPr>
        <w:jc w:val="both"/>
      </w:pPr>
      <w:r>
        <w:t xml:space="preserve">Hauteur totale disponible pour le plancher ≤ </w:t>
      </w:r>
      <w:r>
        <w:rPr>
          <w:rStyle w:val="optioncarChar"/>
        </w:rPr>
        <w:t xml:space="preserve">selon les indications sur les plans </w:t>
      </w:r>
      <w:r>
        <w:t xml:space="preserve">(par défaut) </w:t>
      </w:r>
      <w:r>
        <w:rPr>
          <w:rStyle w:val="optioncarChar"/>
        </w:rPr>
        <w:t xml:space="preserve">/ 145 / 170 / 200 / 220 / 250 / 275 / 300 / 335 / 350 / 375 / 400 / 415 / 435 </w:t>
      </w:r>
      <w:r>
        <w:t>mm, tolérance ± 10 mm</w:t>
      </w:r>
    </w:p>
    <w:p w14:paraId="3DE51D96" w14:textId="77777777" w:rsidR="00DF410E" w:rsidRDefault="00CE7F43">
      <w:pPr>
        <w:pStyle w:val="Author-eListParagraph"/>
        <w:numPr>
          <w:ilvl w:val="0"/>
          <w:numId w:val="922"/>
        </w:numPr>
        <w:jc w:val="both"/>
      </w:pPr>
      <w:r>
        <w:t xml:space="preserve">Portée ≤ </w:t>
      </w:r>
      <w:r>
        <w:rPr>
          <w:rStyle w:val="optioncarChar"/>
        </w:rPr>
        <w:t xml:space="preserve">selon les indications sur les plans </w:t>
      </w:r>
      <w:r>
        <w:t>(par défaut)</w:t>
      </w:r>
      <w:r>
        <w:rPr>
          <w:rStyle w:val="optioncarChar"/>
        </w:rPr>
        <w:t xml:space="preserve"> / 4 / 5 / 6</w:t>
      </w:r>
      <w:r>
        <w:t> </w:t>
      </w:r>
      <w:r>
        <w:rPr>
          <w:rStyle w:val="optioncarChar"/>
        </w:rPr>
        <w:t xml:space="preserve">/ 7 / 8 / 9 </w:t>
      </w:r>
      <w:r>
        <w:t>m</w:t>
      </w:r>
    </w:p>
    <w:p w14:paraId="19ACC79B" w14:textId="77777777" w:rsidR="00DF410E" w:rsidRDefault="00CE7F43">
      <w:pPr>
        <w:pStyle w:val="Author-eListParagraph"/>
        <w:numPr>
          <w:ilvl w:val="0"/>
          <w:numId w:val="922"/>
        </w:numPr>
        <w:jc w:val="both"/>
      </w:pPr>
      <w:r>
        <w:t xml:space="preserve">Les planchers sont calculés pour une charge d’exploitation, suivant l’Eurocode [NBN EN 1991-1-4], [NBN EN 1991-1-4 ANB], [NBN EN 1991-1-4/A1]: </w:t>
      </w:r>
      <w:r>
        <w:rPr>
          <w:rStyle w:val="optioncarChar"/>
        </w:rPr>
        <w:t xml:space="preserve">selon l’affectation des locaux sur les plans </w:t>
      </w:r>
      <w:r>
        <w:t>(par défaut)</w:t>
      </w:r>
      <w:r>
        <w:rPr>
          <w:rStyle w:val="optioncarChar"/>
        </w:rPr>
        <w:t xml:space="preserve"> / 2 / 3 / 4 / 5</w:t>
      </w:r>
      <w:r>
        <w:t> kN/m²</w:t>
      </w:r>
    </w:p>
    <w:p w14:paraId="14723D0F" w14:textId="77777777" w:rsidR="00DF410E" w:rsidRDefault="00CE7F43">
      <w:pPr>
        <w:pStyle w:val="Author-eListParagraph"/>
        <w:numPr>
          <w:ilvl w:val="0"/>
          <w:numId w:val="922"/>
        </w:numPr>
        <w:jc w:val="both"/>
      </w:pPr>
      <w:r>
        <w:t xml:space="preserve">Le critère de flèche, suivant la [NBN B 03-003] est de : </w:t>
      </w:r>
      <w:r>
        <w:rPr>
          <w:rStyle w:val="optioncarChar"/>
        </w:rPr>
        <w:t xml:space="preserve">L/500 </w:t>
      </w:r>
      <w:r>
        <w:t>(par défaut)</w:t>
      </w:r>
      <w:r>
        <w:rPr>
          <w:rStyle w:val="optioncarChar"/>
        </w:rPr>
        <w:t xml:space="preserve"> / L/450 / L/300 / L/250</w:t>
      </w:r>
    </w:p>
    <w:p w14:paraId="7D9D2151" w14:textId="77777777" w:rsidR="00DF410E" w:rsidRDefault="00CE7F43">
      <w:pPr>
        <w:pStyle w:val="Author-eListParagraph"/>
        <w:numPr>
          <w:ilvl w:val="0"/>
          <w:numId w:val="922"/>
        </w:numPr>
        <w:jc w:val="both"/>
      </w:pPr>
      <w:r>
        <w:t>Classe de réaction au feu, selon la [NBN EN 13501-1] : D-s1, d0</w:t>
      </w:r>
    </w:p>
    <w:p w14:paraId="10141B76" w14:textId="77777777" w:rsidR="00DF410E" w:rsidRDefault="00CE7F43">
      <w:pPr>
        <w:jc w:val="both"/>
      </w:pPr>
      <w:r>
        <w:rPr>
          <w:b/>
        </w:rPr>
        <w:t>Caractéristique des hourdis</w:t>
      </w:r>
    </w:p>
    <w:p w14:paraId="6E6E3B3B" w14:textId="77777777" w:rsidR="00DF410E" w:rsidRDefault="00CE7F43">
      <w:pPr>
        <w:jc w:val="both"/>
      </w:pPr>
      <w:r>
        <w:t>Eléments nervurés en bois lamellé-croisé composé d’une face inférieure éventuellement visible et d’un panneautage structurel de sous face, de membrures porteuses formant des alvéoles et d’une face supérieure.</w:t>
      </w:r>
    </w:p>
    <w:p w14:paraId="15E33D93" w14:textId="77777777" w:rsidR="00DF410E" w:rsidRDefault="00CE7F43">
      <w:pPr>
        <w:pStyle w:val="Author-eListParagraph"/>
        <w:numPr>
          <w:ilvl w:val="0"/>
          <w:numId w:val="923"/>
        </w:numPr>
        <w:jc w:val="both"/>
      </w:pPr>
      <w:r>
        <w:t>Essence de bois : mixte épicéa, pin ou sapin</w:t>
      </w:r>
    </w:p>
    <w:p w14:paraId="49BDDCAF" w14:textId="77777777" w:rsidR="00DF410E" w:rsidRDefault="00CE7F43">
      <w:pPr>
        <w:pStyle w:val="Author-eListParagraph"/>
        <w:numPr>
          <w:ilvl w:val="0"/>
          <w:numId w:val="923"/>
        </w:numPr>
        <w:jc w:val="both"/>
      </w:pPr>
      <w:r>
        <w:t>Collage à la colle polyuréthane</w:t>
      </w:r>
    </w:p>
    <w:p w14:paraId="13C80CD4" w14:textId="77777777" w:rsidR="00DF410E" w:rsidRDefault="00CE7F43">
      <w:pPr>
        <w:pStyle w:val="Author-eListParagraph"/>
        <w:numPr>
          <w:ilvl w:val="0"/>
          <w:numId w:val="923"/>
        </w:numPr>
        <w:jc w:val="both"/>
      </w:pPr>
      <w:r>
        <w:t>Largeur des éléments : 60 cm, tolérance ± 3 cm</w:t>
      </w:r>
    </w:p>
    <w:p w14:paraId="7CA0E007" w14:textId="77777777" w:rsidR="00DF410E" w:rsidRDefault="00CE7F43">
      <w:pPr>
        <w:pStyle w:val="Author-eListParagraph"/>
        <w:numPr>
          <w:ilvl w:val="0"/>
          <w:numId w:val="923"/>
        </w:numPr>
        <w:jc w:val="both"/>
      </w:pPr>
      <w:r>
        <w:t>Jonctions latérales des éléments de panneautage de sous-face : rainurés languetés</w:t>
      </w:r>
    </w:p>
    <w:p w14:paraId="42BF6387" w14:textId="77777777" w:rsidR="00DF410E" w:rsidRDefault="00CE7F43">
      <w:pPr>
        <w:pStyle w:val="Author-eListParagraph"/>
        <w:numPr>
          <w:ilvl w:val="0"/>
          <w:numId w:val="923"/>
        </w:numPr>
        <w:jc w:val="both"/>
      </w:pPr>
      <w:r>
        <w:t>Les extrémités frontales sont fermées sur toute la hauteur, avec des planches de rive d’épaisseur ≥ 8 mm</w:t>
      </w:r>
    </w:p>
    <w:p w14:paraId="435A1CF7" w14:textId="77777777" w:rsidR="00DF410E" w:rsidRDefault="00CE7F43">
      <w:pPr>
        <w:pStyle w:val="Author-eListParagraph"/>
        <w:numPr>
          <w:ilvl w:val="0"/>
          <w:numId w:val="923"/>
        </w:numPr>
        <w:jc w:val="both"/>
      </w:pPr>
      <w:r>
        <w:t>Humidité du bois entre 7 et 11%</w:t>
      </w:r>
    </w:p>
    <w:p w14:paraId="73161149" w14:textId="77777777" w:rsidR="00DF410E" w:rsidRDefault="00CE7F43">
      <w:pPr>
        <w:pStyle w:val="Author-eListParagraph"/>
        <w:numPr>
          <w:ilvl w:val="0"/>
          <w:numId w:val="923"/>
        </w:numPr>
        <w:jc w:val="both"/>
      </w:pPr>
      <w:r>
        <w:t xml:space="preserve">Possibilité de poser des éléments dans la longueur des alvéoles, d’une largeur ≤ </w:t>
      </w:r>
      <w:r>
        <w:rPr>
          <w:rStyle w:val="optioncarChar"/>
        </w:rPr>
        <w:t>100 / ***</w:t>
      </w:r>
      <w:r>
        <w:t xml:space="preserve"> mm</w:t>
      </w:r>
    </w:p>
    <w:p w14:paraId="30A20A64" w14:textId="77777777" w:rsidR="00DF410E" w:rsidRDefault="00CE7F43">
      <w:pPr>
        <w:pStyle w:val="Author-eListParagraph"/>
        <w:numPr>
          <w:ilvl w:val="0"/>
          <w:numId w:val="923"/>
        </w:numPr>
        <w:jc w:val="both"/>
      </w:pPr>
      <w:r>
        <w:t xml:space="preserve">Possibilité de poser des éléments transversalement, d’une épaisseur ≤ 24 mm : </w:t>
      </w:r>
      <w:r>
        <w:rPr>
          <w:rStyle w:val="optioncarChar"/>
        </w:rPr>
        <w:t xml:space="preserve">non </w:t>
      </w:r>
      <w:r>
        <w:t>(par défaut)</w:t>
      </w:r>
      <w:r>
        <w:rPr>
          <w:rStyle w:val="optioncarChar"/>
        </w:rPr>
        <w:t xml:space="preserve"> / oui</w:t>
      </w:r>
    </w:p>
    <w:p w14:paraId="53757552" w14:textId="77777777" w:rsidR="00DF410E" w:rsidRDefault="00CE7F43">
      <w:pPr>
        <w:pStyle w:val="Author-eListParagraph"/>
        <w:numPr>
          <w:ilvl w:val="0"/>
          <w:numId w:val="923"/>
        </w:numPr>
        <w:jc w:val="both"/>
      </w:pPr>
      <w:r>
        <w:t xml:space="preserve">La face supérieure des éléments est : </w:t>
      </w:r>
      <w:r>
        <w:rPr>
          <w:rStyle w:val="optioncarChar"/>
        </w:rPr>
        <w:t>ouverte</w:t>
      </w:r>
      <w:r>
        <w:t xml:space="preserve"> (par défaut) </w:t>
      </w:r>
      <w:r>
        <w:rPr>
          <w:rStyle w:val="optioncarChar"/>
        </w:rPr>
        <w:t>/ fermée</w:t>
      </w:r>
    </w:p>
    <w:p w14:paraId="5C22A035" w14:textId="77777777" w:rsidR="00DF410E" w:rsidRDefault="00CE7F43">
      <w:pPr>
        <w:jc w:val="both"/>
      </w:pPr>
      <w:r>
        <w:rPr>
          <w:b/>
        </w:rPr>
        <w:t>Lestage</w:t>
      </w:r>
    </w:p>
    <w:p w14:paraId="3768EDCB" w14:textId="77777777" w:rsidR="00DF410E" w:rsidRDefault="00CE7F43">
      <w:pPr>
        <w:jc w:val="both"/>
      </w:pPr>
      <w:r>
        <w:t xml:space="preserve">Réalisation d’un lestage inséré dans les cellules des caissons : </w:t>
      </w:r>
      <w:r>
        <w:rPr>
          <w:rStyle w:val="optioncarChar"/>
        </w:rPr>
        <w:t xml:space="preserve">non </w:t>
      </w:r>
      <w:r>
        <w:t>(par défaut)</w:t>
      </w:r>
      <w:r>
        <w:rPr>
          <w:rStyle w:val="optioncarChar"/>
        </w:rPr>
        <w:t xml:space="preserve"> / oui</w:t>
      </w:r>
    </w:p>
    <w:p w14:paraId="4F7744BC" w14:textId="77777777" w:rsidR="00DF410E" w:rsidRDefault="00CE7F43">
      <w:pPr>
        <w:jc w:val="both"/>
      </w:pPr>
      <w:r>
        <w:rPr>
          <w:u w:val="single"/>
        </w:rPr>
        <w:t>Dans le cas où un lestage est prévu :</w:t>
      </w:r>
    </w:p>
    <w:p w14:paraId="2D94BEC8" w14:textId="77777777" w:rsidR="00DF410E" w:rsidRDefault="00CE7F43">
      <w:pPr>
        <w:pStyle w:val="Author-eListParagraph"/>
        <w:numPr>
          <w:ilvl w:val="0"/>
          <w:numId w:val="924"/>
        </w:numPr>
      </w:pPr>
      <w:r>
        <w:t xml:space="preserve">Masse de lestage : </w:t>
      </w:r>
      <w:r>
        <w:rPr>
          <w:rStyle w:val="optioncarChar"/>
        </w:rPr>
        <w:t xml:space="preserve">50 / 75 </w:t>
      </w:r>
      <w:r>
        <w:t>(par défaut)</w:t>
      </w:r>
      <w:r>
        <w:rPr>
          <w:rStyle w:val="optioncarChar"/>
        </w:rPr>
        <w:t xml:space="preserve"> / 90 </w:t>
      </w:r>
      <w:r>
        <w:t>kg/m² </w:t>
      </w:r>
    </w:p>
    <w:p w14:paraId="3E67DA5E" w14:textId="77777777" w:rsidR="00DF410E" w:rsidRDefault="00CE7F43">
      <w:pPr>
        <w:pStyle w:val="Author-eListParagraph"/>
        <w:numPr>
          <w:ilvl w:val="0"/>
          <w:numId w:val="924"/>
        </w:numPr>
      </w:pPr>
      <w:r>
        <w:t xml:space="preserve">Caractéristiques du granulat : </w:t>
      </w:r>
    </w:p>
    <w:p w14:paraId="31312E94" w14:textId="77777777" w:rsidR="00DF410E" w:rsidRDefault="00CE7F43">
      <w:pPr>
        <w:pStyle w:val="Author-eListParagraph"/>
        <w:numPr>
          <w:ilvl w:val="1"/>
          <w:numId w:val="925"/>
        </w:numPr>
        <w:jc w:val="both"/>
      </w:pPr>
      <w:r>
        <w:t>Humidité ≤ 5%</w:t>
      </w:r>
    </w:p>
    <w:p w14:paraId="46D4A2DB" w14:textId="77777777" w:rsidR="00DF410E" w:rsidRDefault="00CE7F43">
      <w:pPr>
        <w:pStyle w:val="Author-eListParagraph"/>
        <w:numPr>
          <w:ilvl w:val="1"/>
          <w:numId w:val="925"/>
        </w:numPr>
        <w:jc w:val="both"/>
      </w:pPr>
      <w:r>
        <w:t>Granulométrie ≤ 8mm</w:t>
      </w:r>
    </w:p>
    <w:p w14:paraId="66788326" w14:textId="77777777" w:rsidR="00DF410E" w:rsidRDefault="00CE7F43">
      <w:pPr>
        <w:pStyle w:val="Author-eListParagraph"/>
        <w:numPr>
          <w:ilvl w:val="1"/>
          <w:numId w:val="925"/>
        </w:numPr>
        <w:jc w:val="both"/>
      </w:pPr>
      <w:r>
        <w:t xml:space="preserve">Nature du granulat : </w:t>
      </w:r>
      <w:r>
        <w:rPr>
          <w:rStyle w:val="optioncarChar"/>
        </w:rPr>
        <w:t>calcaire </w:t>
      </w:r>
      <w:r>
        <w:t>(par défaut)</w:t>
      </w:r>
      <w:r>
        <w:rPr>
          <w:rStyle w:val="optioncarChar"/>
        </w:rPr>
        <w:t xml:space="preserve"> / argile expansée</w:t>
      </w:r>
    </w:p>
    <w:p w14:paraId="384C2F9B" w14:textId="77777777" w:rsidR="00DF410E" w:rsidRDefault="00CE7F43">
      <w:pPr>
        <w:pStyle w:val="Author-eListParagraph"/>
        <w:numPr>
          <w:ilvl w:val="1"/>
          <w:numId w:val="925"/>
        </w:numPr>
        <w:jc w:val="both"/>
      </w:pPr>
      <w:r>
        <w:t xml:space="preserve">Masse volumique apparente ≤ </w:t>
      </w:r>
      <w:r>
        <w:rPr>
          <w:rStyle w:val="optioncarChar"/>
        </w:rPr>
        <w:t>750 / 1000 / 1400</w:t>
      </w:r>
      <w:r>
        <w:t xml:space="preserve"> (par défaut) kg/m³</w:t>
      </w:r>
    </w:p>
    <w:p w14:paraId="5DCB2F3D" w14:textId="77777777" w:rsidR="00DF410E" w:rsidRDefault="00CE7F43">
      <w:pPr>
        <w:jc w:val="both"/>
      </w:pPr>
      <w:r>
        <w:rPr>
          <w:b/>
        </w:rPr>
        <w:t>Absorption acoustique</w:t>
      </w:r>
    </w:p>
    <w:p w14:paraId="56E02082" w14:textId="77777777" w:rsidR="00DF410E" w:rsidRDefault="00CE7F43">
      <w:pPr>
        <w:jc w:val="both"/>
      </w:pPr>
      <w:r>
        <w:t xml:space="preserve">La face inférieure présente des ouvertures pour l’absorption acoustique : </w:t>
      </w:r>
      <w:r>
        <w:rPr>
          <w:rStyle w:val="optioncarChar"/>
        </w:rPr>
        <w:t xml:space="preserve">non </w:t>
      </w:r>
      <w:r>
        <w:t xml:space="preserve">(par défaut) </w:t>
      </w:r>
      <w:r>
        <w:rPr>
          <w:rStyle w:val="optioncarChar"/>
        </w:rPr>
        <w:t>/ oui</w:t>
      </w:r>
    </w:p>
    <w:p w14:paraId="6F4C03E6" w14:textId="77777777" w:rsidR="00DF410E" w:rsidRDefault="00CE7F43">
      <w:pPr>
        <w:jc w:val="both"/>
      </w:pPr>
      <w:r>
        <w:t>Dans le cas où un absorbeur acoustique est prévu, celui-ci est placé entre la sous-face structurelle et la finition.</w:t>
      </w:r>
    </w:p>
    <w:p w14:paraId="523E853E" w14:textId="77777777" w:rsidR="00DF410E" w:rsidRDefault="00CE7F43">
      <w:pPr>
        <w:pStyle w:val="Author-eListParagraph"/>
        <w:numPr>
          <w:ilvl w:val="0"/>
          <w:numId w:val="926"/>
        </w:numPr>
        <w:jc w:val="both"/>
      </w:pPr>
      <w:r>
        <w:t>Matériau :</w:t>
      </w:r>
      <w:r>
        <w:rPr>
          <w:rStyle w:val="optioncarChar"/>
        </w:rPr>
        <w:t xml:space="preserve"> fibre de bois </w:t>
      </w:r>
      <w:r>
        <w:t>(par défaut)</w:t>
      </w:r>
      <w:r>
        <w:rPr>
          <w:rStyle w:val="optioncarChar"/>
        </w:rPr>
        <w:t xml:space="preserve"> / ***</w:t>
      </w:r>
    </w:p>
    <w:p w14:paraId="438A6A93" w14:textId="77777777" w:rsidR="00DF410E" w:rsidRDefault="00CE7F43">
      <w:pPr>
        <w:pStyle w:val="Author-eListParagraph"/>
        <w:numPr>
          <w:ilvl w:val="0"/>
          <w:numId w:val="926"/>
        </w:numPr>
        <w:jc w:val="both"/>
      </w:pPr>
      <w:r>
        <w:t xml:space="preserve">Masse volumique de l’absorbeur  ≤ </w:t>
      </w:r>
      <w:r>
        <w:rPr>
          <w:rStyle w:val="optioncarChar"/>
        </w:rPr>
        <w:t xml:space="preserve">110 </w:t>
      </w:r>
      <w:r>
        <w:t xml:space="preserve">(par défaut) </w:t>
      </w:r>
      <w:r>
        <w:rPr>
          <w:rStyle w:val="optioncarChar"/>
        </w:rPr>
        <w:t>/ *** </w:t>
      </w:r>
      <w:r>
        <w:t>kg/m³</w:t>
      </w:r>
    </w:p>
    <w:p w14:paraId="30275515" w14:textId="77777777" w:rsidR="00DF410E" w:rsidRDefault="00CE7F43">
      <w:pPr>
        <w:pStyle w:val="Author-eListParagraph"/>
        <w:numPr>
          <w:ilvl w:val="0"/>
          <w:numId w:val="926"/>
        </w:numPr>
        <w:jc w:val="both"/>
      </w:pPr>
      <w:r>
        <w:t xml:space="preserve">Epaisseur de l’absorbeur ≥ </w:t>
      </w:r>
      <w:r>
        <w:rPr>
          <w:rStyle w:val="optioncarChar"/>
        </w:rPr>
        <w:t xml:space="preserve">20 / 22 </w:t>
      </w:r>
      <w:r>
        <w:t>(par défaut)</w:t>
      </w:r>
      <w:r>
        <w:rPr>
          <w:rStyle w:val="optioncarChar"/>
        </w:rPr>
        <w:t xml:space="preserve"> / 26 / 40</w:t>
      </w:r>
      <w:r>
        <w:t xml:space="preserve"> mm</w:t>
      </w:r>
    </w:p>
    <w:p w14:paraId="6FF7CBA3" w14:textId="77777777" w:rsidR="00DF410E" w:rsidRDefault="00CE7F43">
      <w:pPr>
        <w:pStyle w:val="Author-eListParagraph"/>
        <w:numPr>
          <w:ilvl w:val="0"/>
          <w:numId w:val="926"/>
        </w:numPr>
        <w:jc w:val="both"/>
      </w:pPr>
      <w:r>
        <w:t xml:space="preserve">Forme des ouvertures : </w:t>
      </w:r>
      <w:r>
        <w:rPr>
          <w:rStyle w:val="optioncarChar"/>
        </w:rPr>
        <w:t xml:space="preserve">rondes </w:t>
      </w:r>
      <w:r>
        <w:t xml:space="preserve">(par défaut) </w:t>
      </w:r>
      <w:r>
        <w:rPr>
          <w:rStyle w:val="optioncarChar"/>
        </w:rPr>
        <w:t>/ rainures / ***</w:t>
      </w:r>
    </w:p>
    <w:p w14:paraId="104C1139" w14:textId="77777777" w:rsidR="00DF410E" w:rsidRDefault="00CE7F43">
      <w:pPr>
        <w:pStyle w:val="Author-eListParagraph"/>
        <w:numPr>
          <w:ilvl w:val="0"/>
          <w:numId w:val="926"/>
        </w:numPr>
        <w:jc w:val="both"/>
      </w:pPr>
      <w:r>
        <w:t xml:space="preserve">Caractéristiques des ouvertures : </w:t>
      </w:r>
      <w:r>
        <w:rPr>
          <w:rStyle w:val="optioncarChar"/>
        </w:rPr>
        <w:t xml:space="preserve">à soumettre sur chantier à l'approbation à l'architecte et au maître de l'ouvrage en fonction du nuancier du fabricant </w:t>
      </w:r>
      <w:r>
        <w:t xml:space="preserve">(par défaut) </w:t>
      </w:r>
      <w:r>
        <w:rPr>
          <w:rStyle w:val="optioncarChar"/>
        </w:rPr>
        <w:t>/ ***</w:t>
      </w:r>
    </w:p>
    <w:p w14:paraId="513D657D" w14:textId="77777777" w:rsidR="00DF410E" w:rsidRDefault="00CE7F43">
      <w:pPr>
        <w:pStyle w:val="Author-eListParagraph"/>
        <w:numPr>
          <w:ilvl w:val="0"/>
          <w:numId w:val="926"/>
        </w:numPr>
        <w:jc w:val="both"/>
      </w:pPr>
      <w:r>
        <w:t>Coefficient d’absorption pondéré, suivant la norme [NBN EN ISO 11654], αw ≥ </w:t>
      </w:r>
      <w:r>
        <w:rPr>
          <w:rStyle w:val="optioncarChar"/>
        </w:rPr>
        <w:t>0,4 / 0,5</w:t>
      </w:r>
      <w:r>
        <w:t xml:space="preserve"> (par défaut)</w:t>
      </w:r>
      <w:r>
        <w:rPr>
          <w:rStyle w:val="optioncarChar"/>
        </w:rPr>
        <w:t xml:space="preserve"> / 0,6 / 0,7 / 0,8 / 0,9</w:t>
      </w:r>
    </w:p>
    <w:p w14:paraId="3B6B4593" w14:textId="77777777" w:rsidR="00DF410E" w:rsidRDefault="00CE7F43">
      <w:pPr>
        <w:jc w:val="both"/>
      </w:pPr>
      <w:r>
        <w:rPr>
          <w:b/>
        </w:rPr>
        <w:t>Résistance au feu</w:t>
      </w:r>
    </w:p>
    <w:p w14:paraId="1D58F817" w14:textId="77777777" w:rsidR="00DF410E" w:rsidRDefault="00CE7F43">
      <w:pPr>
        <w:jc w:val="both"/>
      </w:pPr>
      <w:r>
        <w:t xml:space="preserve">Le plancher présente également une résistance au feu, selon la [NBN EN 13501-2] : </w:t>
      </w:r>
      <w:r>
        <w:rPr>
          <w:rStyle w:val="optioncarChar"/>
        </w:rPr>
        <w:t xml:space="preserve">pas d’application / REI30 </w:t>
      </w:r>
      <w:r>
        <w:t>(par défaut)</w:t>
      </w:r>
      <w:r>
        <w:rPr>
          <w:rStyle w:val="optioncarChar"/>
        </w:rPr>
        <w:t xml:space="preserve"> / REI60 / REI 90 / REI 120</w:t>
      </w:r>
    </w:p>
    <w:p w14:paraId="79323C1B" w14:textId="77777777" w:rsidR="00DF410E" w:rsidRDefault="00CE7F43">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w:t>
      </w:r>
      <w:r>
        <w:t xml:space="preserve"> du bois.</w:t>
      </w:r>
    </w:p>
    <w:p w14:paraId="1738C907" w14:textId="77777777" w:rsidR="00DF410E" w:rsidRDefault="00CE7F43">
      <w:pPr>
        <w:pStyle w:val="pheading"/>
      </w:pPr>
      <w:r>
        <w:t>- Finitions</w:t>
      </w:r>
    </w:p>
    <w:p w14:paraId="7884D6B3" w14:textId="77777777" w:rsidR="00DF410E" w:rsidRDefault="00CE7F43">
      <w:pPr>
        <w:jc w:val="both"/>
      </w:pPr>
      <w:r>
        <w:rPr>
          <w:b/>
        </w:rPr>
        <w:t>Sous-face apparente</w:t>
      </w:r>
    </w:p>
    <w:p w14:paraId="1B2D83F8" w14:textId="77777777" w:rsidR="00DF410E" w:rsidRDefault="00CE7F43">
      <w:pPr>
        <w:jc w:val="both"/>
      </w:pPr>
      <w:r>
        <w:t xml:space="preserve">Sous-face apparente : </w:t>
      </w:r>
      <w:r>
        <w:rPr>
          <w:rStyle w:val="optioncarChar"/>
        </w:rPr>
        <w:t>fermée</w:t>
      </w:r>
      <w:r>
        <w:t xml:space="preserve"> (par défaut) </w:t>
      </w:r>
      <w:r>
        <w:rPr>
          <w:rStyle w:val="optioncarChar"/>
        </w:rPr>
        <w:t>/ ouverte / pas d’application</w:t>
      </w:r>
    </w:p>
    <w:p w14:paraId="3C2C8D26" w14:textId="77777777" w:rsidR="00DF410E" w:rsidRDefault="00CE7F43">
      <w:pPr>
        <w:jc w:val="both"/>
      </w:pPr>
      <w:r>
        <w:rPr>
          <w:b/>
        </w:rPr>
        <w:t>(soit par défaut)</w:t>
      </w:r>
    </w:p>
    <w:p w14:paraId="142FAC4C" w14:textId="77777777" w:rsidR="00DF410E" w:rsidRDefault="00CE7F43">
      <w:pPr>
        <w:jc w:val="both"/>
      </w:pPr>
      <w:r>
        <w:rPr>
          <w:rStyle w:val="soitChar"/>
          <w:u w:val="single"/>
        </w:rPr>
        <w:t>Fermée :</w:t>
      </w:r>
    </w:p>
    <w:p w14:paraId="03F189A6" w14:textId="77777777" w:rsidR="00DF410E" w:rsidRDefault="00CE7F43">
      <w:pPr>
        <w:jc w:val="both"/>
      </w:pPr>
      <w:r>
        <w:rPr>
          <w:rStyle w:val="soitChar"/>
        </w:rPr>
        <w:t>Face apparente visible en panneaux fermés de bois naturel</w:t>
      </w:r>
    </w:p>
    <w:p w14:paraId="643A54F5" w14:textId="77777777" w:rsidR="00DF410E" w:rsidRDefault="00CE7F43">
      <w:pPr>
        <w:pStyle w:val="Author-eListParagraph"/>
        <w:numPr>
          <w:ilvl w:val="0"/>
          <w:numId w:val="927"/>
        </w:numPr>
      </w:pPr>
      <w:r>
        <w:rPr>
          <w:rStyle w:val="soitChar"/>
        </w:rPr>
        <w:t xml:space="preserve">Finition du bois : </w:t>
      </w:r>
      <w:r>
        <w:rPr>
          <w:rStyle w:val="optioncarChar"/>
        </w:rPr>
        <w:t xml:space="preserve">brossé </w:t>
      </w:r>
      <w:r>
        <w:t>(par défaut)</w:t>
      </w:r>
      <w:r>
        <w:rPr>
          <w:rStyle w:val="optioncarChar"/>
        </w:rPr>
        <w:t xml:space="preserve"> / ponçage lisse</w:t>
      </w:r>
    </w:p>
    <w:p w14:paraId="2CDA28ED" w14:textId="77777777" w:rsidR="00DF410E" w:rsidRDefault="00CE7F43">
      <w:pPr>
        <w:pStyle w:val="Author-eListParagraph"/>
        <w:numPr>
          <w:ilvl w:val="0"/>
          <w:numId w:val="927"/>
        </w:numPr>
      </w:pPr>
      <w:r>
        <w:rPr>
          <w:rStyle w:val="soitChar"/>
        </w:rPr>
        <w:t>Essence de bois, sans nœuds :</w:t>
      </w:r>
      <w:r>
        <w:rPr>
          <w:rStyle w:val="optioncarChar"/>
        </w:rPr>
        <w:t xml:space="preserve">sapin blanc </w:t>
      </w:r>
      <w:r>
        <w:t>(par défaut)</w:t>
      </w:r>
      <w:r>
        <w:rPr>
          <w:rStyle w:val="optioncarChar"/>
        </w:rPr>
        <w:t xml:space="preserve"> / oregon (sapin douglas) / épicéa / mélèze / chêne / ***</w:t>
      </w:r>
    </w:p>
    <w:p w14:paraId="4860D17B" w14:textId="77777777" w:rsidR="00DF410E" w:rsidRDefault="00CE7F43">
      <w:pPr>
        <w:pStyle w:val="Author-eListParagraph"/>
        <w:numPr>
          <w:ilvl w:val="0"/>
          <w:numId w:val="927"/>
        </w:numPr>
      </w:pPr>
      <w:r>
        <w:rPr>
          <w:rStyle w:val="soitChar"/>
        </w:rPr>
        <w:t>Jointures des bords :</w:t>
      </w:r>
      <w:r>
        <w:rPr>
          <w:rStyle w:val="optioncarChar"/>
        </w:rPr>
        <w:t xml:space="preserve"> droit </w:t>
      </w:r>
      <w:r>
        <w:t xml:space="preserve">(par défaut) </w:t>
      </w:r>
      <w:r>
        <w:rPr>
          <w:rStyle w:val="optioncarChar"/>
        </w:rPr>
        <w:t>/ en V (chanfreiné) / rainuré (4mm) / ***</w:t>
      </w:r>
    </w:p>
    <w:p w14:paraId="45513D2A" w14:textId="77777777" w:rsidR="00DF410E" w:rsidRDefault="00CE7F43">
      <w:pPr>
        <w:jc w:val="both"/>
      </w:pPr>
      <w:r>
        <w:rPr>
          <w:b/>
        </w:rPr>
        <w:t>(soit)</w:t>
      </w:r>
    </w:p>
    <w:p w14:paraId="58A45A29" w14:textId="77777777" w:rsidR="00DF410E" w:rsidRDefault="00CE7F43">
      <w:pPr>
        <w:jc w:val="both"/>
      </w:pPr>
      <w:r>
        <w:rPr>
          <w:rStyle w:val="soitChar"/>
          <w:u w:val="single"/>
        </w:rPr>
        <w:t xml:space="preserve">Ouverte : </w:t>
      </w:r>
    </w:p>
    <w:p w14:paraId="3423B1EF" w14:textId="77777777" w:rsidR="00DF410E" w:rsidRDefault="00CE7F43">
      <w:pPr>
        <w:jc w:val="both"/>
      </w:pPr>
      <w:r>
        <w:rPr>
          <w:rStyle w:val="soitChar"/>
        </w:rPr>
        <w:t xml:space="preserve"> Face apparente ouverte en planches ajourées de bois naturel.</w:t>
      </w:r>
    </w:p>
    <w:p w14:paraId="586DEBE6" w14:textId="77777777" w:rsidR="00DF410E" w:rsidRDefault="00CE7F43">
      <w:pPr>
        <w:pStyle w:val="Author-eListParagraph"/>
        <w:numPr>
          <w:ilvl w:val="0"/>
          <w:numId w:val="928"/>
        </w:numPr>
      </w:pPr>
      <w:r>
        <w:rPr>
          <w:rStyle w:val="soitChar"/>
        </w:rPr>
        <w:t>Essence de bois, sans nœuds :</w:t>
      </w:r>
      <w:r>
        <w:rPr>
          <w:rStyle w:val="optioncarChar"/>
        </w:rPr>
        <w:t xml:space="preserve">sapin blanc </w:t>
      </w:r>
      <w:r>
        <w:t>(par défaut)</w:t>
      </w:r>
      <w:r>
        <w:rPr>
          <w:rStyle w:val="optioncarChar"/>
        </w:rPr>
        <w:t xml:space="preserve"> / oregon (sapin douglas) / épicéa / pin / mélèze / érable / hêtre / bouleau / chêne / frêne / cerisier / noyer / peuplier</w:t>
      </w:r>
    </w:p>
    <w:p w14:paraId="0BFFBABD" w14:textId="77777777" w:rsidR="00DF410E" w:rsidRDefault="00CE7F43">
      <w:pPr>
        <w:pStyle w:val="Author-eListParagraph"/>
        <w:numPr>
          <w:ilvl w:val="0"/>
          <w:numId w:val="928"/>
        </w:numPr>
      </w:pPr>
      <w:r>
        <w:rPr>
          <w:rStyle w:val="soitChar"/>
        </w:rPr>
        <w:t>Largeur du lattage-largeur du joint :</w:t>
      </w:r>
      <w:r>
        <w:rPr>
          <w:rStyle w:val="optioncarChar"/>
        </w:rPr>
        <w:t>12-4 / 18-6 / 20-4</w:t>
      </w:r>
      <w:r>
        <w:t xml:space="preserve"> (par défaut) </w:t>
      </w:r>
      <w:r>
        <w:rPr>
          <w:rStyle w:val="optioncarChar"/>
        </w:rPr>
        <w:t>/ 23-8 / 12 et 25-4 / 18 et 38-6 / 54-8 / 105-20 / 95-30</w:t>
      </w:r>
      <w:r>
        <w:t xml:space="preserve"> mm</w:t>
      </w:r>
    </w:p>
    <w:p w14:paraId="6CAB9284" w14:textId="77777777" w:rsidR="00DF410E" w:rsidRDefault="00CE7F43">
      <w:pPr>
        <w:jc w:val="both"/>
      </w:pPr>
      <w:r>
        <w:rPr>
          <w:b/>
        </w:rPr>
        <w:t>(soit)</w:t>
      </w:r>
    </w:p>
    <w:p w14:paraId="0D20B217" w14:textId="77777777" w:rsidR="00DF410E" w:rsidRDefault="00CE7F43">
      <w:pPr>
        <w:jc w:val="both"/>
      </w:pPr>
      <w:r>
        <w:rPr>
          <w:rStyle w:val="soitChar"/>
          <w:u w:val="single"/>
        </w:rPr>
        <w:t xml:space="preserve">Pas d’application : </w:t>
      </w:r>
    </w:p>
    <w:p w14:paraId="3A5CD1A1" w14:textId="77777777" w:rsidR="00DF410E" w:rsidRDefault="00CE7F43">
      <w:pPr>
        <w:jc w:val="both"/>
      </w:pPr>
      <w:r>
        <w:rPr>
          <w:rStyle w:val="soitChar"/>
        </w:rPr>
        <w:t xml:space="preserve"> La sous-face n’est pas destinée à être apparente.</w:t>
      </w:r>
    </w:p>
    <w:p w14:paraId="15E2ECF3" w14:textId="77777777" w:rsidR="00DF410E" w:rsidRDefault="00CE7F43">
      <w:pPr>
        <w:jc w:val="both"/>
      </w:pPr>
      <w:r>
        <w:rPr>
          <w:b/>
        </w:rPr>
        <w:t>Traitement de finition du bois de la sous-face en atelier</w:t>
      </w:r>
    </w:p>
    <w:p w14:paraId="3DA8E97D" w14:textId="77777777" w:rsidR="00DF410E" w:rsidRDefault="00CE7F43">
      <w:pPr>
        <w:jc w:val="both"/>
      </w:pPr>
      <w:r>
        <w:t xml:space="preserve">Traitement de finition des parties visibles du bois : </w:t>
      </w:r>
      <w:r>
        <w:rPr>
          <w:rStyle w:val="optioncarChar"/>
        </w:rPr>
        <w:t xml:space="preserve">pas de finition </w:t>
      </w:r>
      <w:r>
        <w:t>(par défaut)</w:t>
      </w:r>
      <w:r>
        <w:rPr>
          <w:rStyle w:val="optioncarChar"/>
        </w:rPr>
        <w:t xml:space="preserve"> / application d'une finition</w:t>
      </w:r>
    </w:p>
    <w:p w14:paraId="141237A1" w14:textId="77777777" w:rsidR="00DF410E" w:rsidRDefault="00CE7F43">
      <w:pPr>
        <w:jc w:val="both"/>
      </w:pPr>
      <w:r>
        <w:rPr>
          <w:u w:val="single"/>
        </w:rPr>
        <w:t>Dans le cas de l’application d’une finition sur le bois prévue dans le présent travail :</w:t>
      </w:r>
    </w:p>
    <w:p w14:paraId="19ECDF73" w14:textId="77777777" w:rsidR="00DF410E" w:rsidRDefault="00CE7F43">
      <w:pPr>
        <w:pStyle w:val="Author-eListParagraph"/>
        <w:numPr>
          <w:ilvl w:val="0"/>
          <w:numId w:val="929"/>
        </w:numPr>
      </w:pPr>
      <w:r>
        <w:t xml:space="preserve">Type de traitement : </w:t>
      </w:r>
      <w:r>
        <w:rPr>
          <w:rStyle w:val="optioncarChar"/>
        </w:rPr>
        <w:t>anti UV</w:t>
      </w:r>
      <w:r>
        <w:t xml:space="preserve"> (par défaut)</w:t>
      </w:r>
      <w:r>
        <w:rPr>
          <w:rStyle w:val="optioncarChar"/>
        </w:rPr>
        <w:t xml:space="preserve"> / verni / huile / peinture / lasure / céruse</w:t>
      </w:r>
    </w:p>
    <w:p w14:paraId="2F450EF4" w14:textId="77777777" w:rsidR="00DF410E" w:rsidRDefault="00CE7F43">
      <w:pPr>
        <w:pStyle w:val="Author-eListParagraph"/>
        <w:numPr>
          <w:ilvl w:val="0"/>
          <w:numId w:val="929"/>
        </w:numPr>
      </w:pPr>
      <w:r>
        <w:t>Teinte :</w:t>
      </w:r>
      <w:r>
        <w:rPr>
          <w:rStyle w:val="optioncarChar"/>
        </w:rPr>
        <w:t xml:space="preserve"> transparent </w:t>
      </w:r>
      <w:r>
        <w:t xml:space="preserve">(par défaut) </w:t>
      </w:r>
      <w:r>
        <w:rPr>
          <w:rStyle w:val="optioncarChar"/>
        </w:rPr>
        <w:t>/ pigmenté blanchâtre / blanc / RAL : ***</w:t>
      </w:r>
    </w:p>
    <w:p w14:paraId="075B67C2" w14:textId="77777777" w:rsidR="00DF410E" w:rsidRDefault="00CE7F43">
      <w:pPr>
        <w:pStyle w:val="pheading"/>
      </w:pPr>
      <w:r>
        <w:t>EXÉCUTION / MISE EN ŒUVRE</w:t>
      </w:r>
    </w:p>
    <w:p w14:paraId="58A82B08" w14:textId="77777777" w:rsidR="00DF410E" w:rsidRDefault="00CE7F43">
      <w:pPr>
        <w:pStyle w:val="pheading"/>
      </w:pPr>
      <w:r>
        <w:t>- Prescriptions générales</w:t>
      </w:r>
    </w:p>
    <w:p w14:paraId="4687BC87" w14:textId="77777777" w:rsidR="00DF410E" w:rsidRDefault="00CE7F43">
      <w:pPr>
        <w:jc w:val="both"/>
      </w:pPr>
      <w:r>
        <w:rPr>
          <w:b/>
        </w:rPr>
        <w:t>Etude</w:t>
      </w:r>
    </w:p>
    <w:p w14:paraId="60587317" w14:textId="77777777" w:rsidR="00DF410E" w:rsidRDefault="00CE7F43">
      <w:pPr>
        <w:jc w:val="both"/>
      </w:pPr>
      <w:r>
        <w:t xml:space="preserve">Choix opéré, conformément aux prescriptions du </w:t>
      </w:r>
      <w:hyperlink w:anchor="601"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3C441059" w14:textId="77777777" w:rsidR="00DF410E" w:rsidRDefault="00CE7F43">
      <w:pPr>
        <w:jc w:val="both"/>
      </w:pPr>
      <w:r>
        <w:rPr>
          <w:b/>
        </w:rPr>
        <w:t>Mise en oeuvre</w:t>
      </w:r>
    </w:p>
    <w:p w14:paraId="1A33FBC1" w14:textId="77777777" w:rsidR="00DF410E" w:rsidRDefault="00CE7F43">
      <w:pPr>
        <w:jc w:val="both"/>
      </w:pPr>
      <w:r>
        <w:t xml:space="preserve">Les planchers sont posés conformément aux prescriptions du </w:t>
      </w:r>
      <w:hyperlink w:anchor="601" w:history="1">
        <w:r>
          <w:t>24.22.2 Planchers en bois préfabriqués</w:t>
        </w:r>
      </w:hyperlink>
      <w:r>
        <w:t xml:space="preserve"> : </w:t>
      </w:r>
      <w:r>
        <w:rPr>
          <w:rStyle w:val="optioncarChar"/>
        </w:rPr>
        <w:t xml:space="preserve">sur des muralières en bois </w:t>
      </w:r>
      <w:r>
        <w:t>(par défaut)</w:t>
      </w:r>
      <w:r>
        <w:rPr>
          <w:rStyle w:val="optioncarChar"/>
        </w:rPr>
        <w:t xml:space="preserve"> / sur des profilés métalliques apparents / dans des profilés métalliques cachés / sur les têtes des murs </w:t>
      </w:r>
    </w:p>
    <w:p w14:paraId="574DD149" w14:textId="77777777" w:rsidR="00DF410E" w:rsidRDefault="00CE7F43">
      <w:pPr>
        <w:jc w:val="both"/>
      </w:pPr>
      <w:r>
        <w:t xml:space="preserve">Pose sur les éventuelles poutres intermédiaires : </w:t>
      </w:r>
      <w:r>
        <w:rPr>
          <w:rStyle w:val="optioncarChar"/>
        </w:rPr>
        <w:t xml:space="preserve">en les intégrant pour qu’elles soient non apparentes </w:t>
      </w:r>
      <w:r>
        <w:t xml:space="preserve">(par défaut) </w:t>
      </w:r>
      <w:r>
        <w:rPr>
          <w:rStyle w:val="optioncarChar"/>
        </w:rPr>
        <w:t>/ sur les poutres </w:t>
      </w:r>
    </w:p>
    <w:p w14:paraId="5F62C3DF" w14:textId="77777777" w:rsidR="00DF410E" w:rsidRDefault="00CE7F43">
      <w:pPr>
        <w:jc w:val="both"/>
      </w:pPr>
      <w:r>
        <w:t>Les hourdis sont couplés longitudinalement avec des planches posées horizontalement d’épaisseur ≥ 26 mm, vissées ou agrafées suivant l’étude d’exécution.</w:t>
      </w:r>
    </w:p>
    <w:p w14:paraId="6B01207E" w14:textId="77777777" w:rsidR="00DF410E" w:rsidRDefault="00CE7F43">
      <w:pPr>
        <w:jc w:val="both"/>
      </w:pPr>
      <w:r>
        <w:rPr>
          <w:b/>
        </w:rPr>
        <w:t>Etanchéité à l’air</w:t>
      </w:r>
    </w:p>
    <w:p w14:paraId="254883DA" w14:textId="77777777" w:rsidR="00DF410E" w:rsidRDefault="00CE7F43">
      <w:pPr>
        <w:jc w:val="both"/>
      </w:pPr>
      <w:r>
        <w:t xml:space="preserve">L’étanchéité à l’air entre hourdis est assurée : </w:t>
      </w:r>
      <w:r>
        <w:rPr>
          <w:rStyle w:val="optioncarChar"/>
        </w:rPr>
        <w:t>pas d’application</w:t>
      </w:r>
      <w:r>
        <w:t xml:space="preserve"> (par défaut)</w:t>
      </w:r>
      <w:r>
        <w:rPr>
          <w:rStyle w:val="optioncarChar"/>
        </w:rPr>
        <w:t xml:space="preserve"> / par bandes d’étanchéité aux jonctions des hourdis / par joints d’étanchéité dans l’épaisseur des hourdis</w:t>
      </w:r>
      <w:r>
        <w:t>. </w:t>
      </w:r>
    </w:p>
    <w:p w14:paraId="69F70242" w14:textId="77777777" w:rsidR="00DF410E" w:rsidRDefault="00CE7F43">
      <w:pPr>
        <w:jc w:val="both"/>
      </w:pPr>
      <w:r>
        <w:rPr>
          <w:b/>
        </w:rPr>
        <w:t>Préparation des techniques spéciales : HVAC - Sanitaires - Electricité</w:t>
      </w:r>
    </w:p>
    <w:p w14:paraId="441E836E" w14:textId="77777777" w:rsidR="00DF410E" w:rsidRDefault="00CE7F43">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1" w:history="1">
        <w:r>
          <w:t>24.22.2 Planchers en bois préfabriqués</w:t>
        </w:r>
      </w:hyperlink>
      <w:r>
        <w:t xml:space="preserve"> : </w:t>
      </w:r>
      <w:r>
        <w:rPr>
          <w:rStyle w:val="optioncarChar"/>
        </w:rPr>
        <w:t>non</w:t>
      </w:r>
      <w:r>
        <w:t> (par défaut)</w:t>
      </w:r>
      <w:r>
        <w:rPr>
          <w:rStyle w:val="optioncarChar"/>
        </w:rPr>
        <w:t> / oui</w:t>
      </w:r>
    </w:p>
    <w:p w14:paraId="61A4EA8D" w14:textId="77777777" w:rsidR="00DF410E" w:rsidRDefault="00CE7F43">
      <w:pPr>
        <w:jc w:val="both"/>
      </w:pPr>
      <w:r>
        <w:rPr>
          <w:b/>
        </w:rPr>
        <w:t>Panneaux supérieurs de répartition des charges</w:t>
      </w:r>
    </w:p>
    <w:p w14:paraId="0EC70A07" w14:textId="77777777" w:rsidR="00DF410E" w:rsidRDefault="00CE7F43">
      <w:pPr>
        <w:jc w:val="both"/>
      </w:pPr>
      <w:r>
        <w:t>Des panneaux en bois de répartition des charges rainurés-languetés sur les 4 faces sont posés sur la face supérieure des hourdis. Leur épaisseur est ≥ 15mm.</w:t>
      </w:r>
    </w:p>
    <w:p w14:paraId="04D86A1D" w14:textId="77777777" w:rsidR="00DF410E" w:rsidRDefault="00CE7F43">
      <w:pPr>
        <w:pStyle w:val="pheading"/>
      </w:pPr>
      <w:r>
        <w:t>DOCUMENTS DE RÉFÉRENCE COMPLÉMENTAIRES</w:t>
      </w:r>
    </w:p>
    <w:p w14:paraId="7D6B9D85" w14:textId="77777777" w:rsidR="00DF410E" w:rsidRDefault="00CE7F43">
      <w:pPr>
        <w:pStyle w:val="pheading"/>
      </w:pPr>
      <w:r>
        <w:t>- Matériau</w:t>
      </w:r>
    </w:p>
    <w:p w14:paraId="2486DFFE" w14:textId="77777777" w:rsidR="00DF410E" w:rsidRDefault="00CE7F43">
      <w:r>
        <w:t>[NBN EN ISO 11654, Acoustique - Absorbants pour l'utilisation dans les bâtiments - Evaluation de l'absorption acoustique (ISO 11654:1997)]</w:t>
      </w:r>
    </w:p>
    <w:p w14:paraId="654BE3AB" w14:textId="77777777" w:rsidR="00DF410E" w:rsidRDefault="00CE7F43">
      <w:pPr>
        <w:pStyle w:val="pheading"/>
      </w:pPr>
      <w:r>
        <w:t>MESURAGE</w:t>
      </w:r>
    </w:p>
    <w:p w14:paraId="2B6A1381" w14:textId="77777777" w:rsidR="00DF410E" w:rsidRDefault="00CE7F43">
      <w:pPr>
        <w:pStyle w:val="pheading"/>
      </w:pPr>
      <w:r>
        <w:t>- unité de mesure:</w:t>
      </w:r>
    </w:p>
    <w:p w14:paraId="1F7B036C" w14:textId="77777777" w:rsidR="00DF410E" w:rsidRDefault="00CE7F43">
      <w:r>
        <w:t>1.2. m²</w:t>
      </w:r>
    </w:p>
    <w:p w14:paraId="4D3F0B9E" w14:textId="77777777" w:rsidR="00DF410E" w:rsidRDefault="00CE7F43">
      <w:pPr>
        <w:pStyle w:val="pheading"/>
      </w:pPr>
      <w:r>
        <w:t>- code de mesurage:</w:t>
      </w:r>
    </w:p>
    <w:p w14:paraId="06AD8DE2" w14:textId="77777777" w:rsidR="00DF410E" w:rsidRDefault="00CE7F43">
      <w:pPr>
        <w:jc w:val="both"/>
      </w:pPr>
      <w:r>
        <w:rPr>
          <w:rStyle w:val="optioncarChar"/>
        </w:rPr>
        <w:t>Surface nette</w:t>
      </w:r>
      <w:r>
        <w:t xml:space="preserve"> (par défaut) </w:t>
      </w:r>
      <w:r>
        <w:rPr>
          <w:rStyle w:val="optioncarChar"/>
        </w:rPr>
        <w:t>/ Surface utile</w:t>
      </w:r>
    </w:p>
    <w:p w14:paraId="4B28D6A4" w14:textId="77777777" w:rsidR="00DF410E" w:rsidRDefault="00CE7F43">
      <w:pPr>
        <w:jc w:val="both"/>
      </w:pPr>
      <w:r>
        <w:rPr>
          <w:b/>
        </w:rPr>
        <w:t>(soit par défaut)</w:t>
      </w:r>
    </w:p>
    <w:p w14:paraId="78BF2C9D" w14:textId="77777777" w:rsidR="00DF410E" w:rsidRDefault="00CE7F43">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591F7779" w14:textId="77777777" w:rsidR="00DF410E" w:rsidRDefault="00CE7F43">
      <w:pPr>
        <w:jc w:val="both"/>
      </w:pPr>
      <w:r>
        <w:rPr>
          <w:b/>
        </w:rPr>
        <w:t>(soit)</w:t>
      </w:r>
    </w:p>
    <w:p w14:paraId="2737414A" w14:textId="77777777" w:rsidR="00DF410E" w:rsidRDefault="00CE7F43">
      <w:pPr>
        <w:jc w:val="both"/>
      </w:pPr>
      <w:r>
        <w:rPr>
          <w:rStyle w:val="soitChar"/>
        </w:rPr>
        <w:t xml:space="preserve">2. </w:t>
      </w:r>
      <w:r>
        <w:rPr>
          <w:rStyle w:val="soitChar"/>
          <w:u w:val="single"/>
        </w:rPr>
        <w:t>Surface utile</w:t>
      </w:r>
      <w:r>
        <w:rPr>
          <w:rStyle w:val="soitChar"/>
        </w:rPr>
        <w:t>, dans le cas des planchers posés sur/dans les murs porteurs.</w:t>
      </w:r>
    </w:p>
    <w:p w14:paraId="0DD06FAE" w14:textId="77777777" w:rsidR="00DF410E" w:rsidRDefault="00CE7F43">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couvrantes et/ou pénétrantes dans les murs intérieurs sont comptées avec le plancher sur toute l'épaisseur du mur et sont, par conséquent, déduites des murs intérieurs. Les vides, percements et feuillures supérieures à 0,5 m² sont déduits.</w:t>
      </w:r>
    </w:p>
    <w:p w14:paraId="105917BE" w14:textId="77777777" w:rsidR="00DF410E" w:rsidRDefault="00CE7F43">
      <w:pPr>
        <w:pStyle w:val="pheading"/>
      </w:pPr>
      <w:r>
        <w:t>- nature du marché:</w:t>
      </w:r>
    </w:p>
    <w:p w14:paraId="44F089F9" w14:textId="77777777" w:rsidR="00DF410E" w:rsidRDefault="00CE7F43">
      <w:r>
        <w:t>1.2. QF</w:t>
      </w:r>
    </w:p>
    <w:p w14:paraId="5AE9E6E7" w14:textId="77777777" w:rsidR="00DF410E" w:rsidRDefault="00CE7F43">
      <w:pPr>
        <w:pStyle w:val="Author-eSectionHeading6"/>
      </w:pPr>
      <w:bookmarkStart w:id="1672" w:name="_Toc178838760"/>
      <w:r>
        <w:t>24.22.2c Planchers en hourdis fait de planches sur chants préfabriqués CCTB 01.12</w:t>
      </w:r>
      <w:bookmarkEnd w:id="1672"/>
    </w:p>
    <w:p w14:paraId="5A4C16C4" w14:textId="77777777" w:rsidR="00DF410E" w:rsidRDefault="00CE7F43">
      <w:pPr>
        <w:pStyle w:val="pheading"/>
      </w:pPr>
      <w:r>
        <w:t>DESCRIPTION</w:t>
      </w:r>
    </w:p>
    <w:p w14:paraId="341237CB" w14:textId="77777777" w:rsidR="00DF410E" w:rsidRDefault="00CE7F43">
      <w:pPr>
        <w:pStyle w:val="pheading"/>
      </w:pPr>
      <w:r>
        <w:t>- Définition / Comprend</w:t>
      </w:r>
    </w:p>
    <w:p w14:paraId="39F33160" w14:textId="77777777" w:rsidR="00DF410E" w:rsidRDefault="00CE7F43">
      <w:pPr>
        <w:jc w:val="both"/>
      </w:pPr>
      <w:r>
        <w:t>Il s'agit de la fourniture et la pose de planchers intérieurs en hourdis fait de planches sur chant en bois massif, préfabriqués en atelier. Y compris tous les accessoires de fixation.</w:t>
      </w:r>
    </w:p>
    <w:p w14:paraId="41BA066B" w14:textId="77777777" w:rsidR="00DF410E" w:rsidRDefault="00CE7F43">
      <w:pPr>
        <w:pStyle w:val="pheading"/>
      </w:pPr>
      <w:r>
        <w:t>MATÉRIAUX</w:t>
      </w:r>
    </w:p>
    <w:p w14:paraId="189508D8" w14:textId="77777777" w:rsidR="00DF410E" w:rsidRDefault="00CE7F43">
      <w:pPr>
        <w:pStyle w:val="pheading"/>
      </w:pPr>
      <w:r>
        <w:t>- Caractéristiques générales</w:t>
      </w:r>
    </w:p>
    <w:p w14:paraId="2881155F" w14:textId="77777777" w:rsidR="00DF410E" w:rsidRDefault="00DF410E"/>
    <w:p w14:paraId="7B1D9B40" w14:textId="77777777" w:rsidR="00DF410E" w:rsidRDefault="00CE7F43">
      <w:pPr>
        <w:pStyle w:val="Author-eListParagraph"/>
        <w:numPr>
          <w:ilvl w:val="0"/>
          <w:numId w:val="930"/>
        </w:numPr>
        <w:jc w:val="both"/>
      </w:pPr>
      <w:r>
        <w:t xml:space="preserve">Classe de service, suivant la [NBN EN 1995-1-1] : </w:t>
      </w:r>
      <w:r>
        <w:rPr>
          <w:rStyle w:val="optioncarChar"/>
        </w:rPr>
        <w:t>1 / 2</w:t>
      </w:r>
      <w:r>
        <w:t xml:space="preserve"> (par défaut)</w:t>
      </w:r>
    </w:p>
    <w:p w14:paraId="39D9D9DD" w14:textId="77777777" w:rsidR="00DF410E" w:rsidRDefault="00CE7F43">
      <w:pPr>
        <w:pStyle w:val="Author-eListParagraph"/>
        <w:numPr>
          <w:ilvl w:val="0"/>
          <w:numId w:val="930"/>
        </w:numPr>
        <w:jc w:val="both"/>
      </w:pPr>
      <w:r>
        <w:t xml:space="preserve">Hauteur disponible pour les hourdis ≤ </w:t>
      </w:r>
      <w:r>
        <w:rPr>
          <w:rStyle w:val="optioncarChar"/>
        </w:rPr>
        <w:t>selon les indications sur les plans</w:t>
      </w:r>
      <w:r>
        <w:t xml:space="preserve"> (par défaut) </w:t>
      </w:r>
      <w:r>
        <w:rPr>
          <w:rStyle w:val="optioncarChar"/>
        </w:rPr>
        <w:t>/ ***</w:t>
      </w:r>
      <w:r>
        <w:t xml:space="preserve"> mm, tolérance ± 10 mm</w:t>
      </w:r>
    </w:p>
    <w:p w14:paraId="7587D79C" w14:textId="77777777" w:rsidR="00DF410E" w:rsidRDefault="00CE7F43">
      <w:pPr>
        <w:pStyle w:val="Author-eListParagraph"/>
        <w:numPr>
          <w:ilvl w:val="0"/>
          <w:numId w:val="930"/>
        </w:numPr>
        <w:jc w:val="both"/>
      </w:pPr>
      <w:r>
        <w:t xml:space="preserve">Portée ≤ </w:t>
      </w:r>
      <w:r>
        <w:rPr>
          <w:rStyle w:val="optioncarChar"/>
        </w:rPr>
        <w:t>selon les indications sur les plans</w:t>
      </w:r>
      <w:r>
        <w:t xml:space="preserve"> (par défaut) </w:t>
      </w:r>
      <w:r>
        <w:rPr>
          <w:rStyle w:val="optioncarChar"/>
        </w:rPr>
        <w:t>/ ***</w:t>
      </w:r>
      <w:r>
        <w:t xml:space="preserve"> m, tolérance ± 100 mm</w:t>
      </w:r>
    </w:p>
    <w:p w14:paraId="77678430" w14:textId="77777777" w:rsidR="00DF410E" w:rsidRDefault="00CE7F43">
      <w:pPr>
        <w:pStyle w:val="Author-eListParagraph"/>
        <w:numPr>
          <w:ilvl w:val="0"/>
          <w:numId w:val="930"/>
        </w:numPr>
        <w:jc w:val="both"/>
      </w:pPr>
      <w:r>
        <w:t xml:space="preserve">Les planchers sont calculés avec une charge d’exploitation,  suivant l’Eurocode [NBN EN 1991-1-4], [NBN EN 1991-1-4 ANB], [NBN EN 1991-1-4/A1] : </w:t>
      </w:r>
      <w:r>
        <w:rPr>
          <w:rStyle w:val="optioncarChar"/>
        </w:rPr>
        <w:t>selon l’affectation des locaux sur les plans</w:t>
      </w:r>
      <w:r>
        <w:t xml:space="preserve"> (par défaut) </w:t>
      </w:r>
      <w:r>
        <w:rPr>
          <w:rStyle w:val="optioncarChar"/>
        </w:rPr>
        <w:t>/ 2 / 3 / 4 / 5</w:t>
      </w:r>
      <w:r>
        <w:t> kN/m²</w:t>
      </w:r>
    </w:p>
    <w:p w14:paraId="594723D7" w14:textId="77777777" w:rsidR="00DF410E" w:rsidRDefault="00CE7F43">
      <w:pPr>
        <w:pStyle w:val="Author-eListParagraph"/>
        <w:numPr>
          <w:ilvl w:val="0"/>
          <w:numId w:val="930"/>
        </w:numPr>
        <w:jc w:val="both"/>
      </w:pPr>
      <w:r>
        <w:t xml:space="preserve">Le critère de flèche, suivant la [NBN B 03-003] est de : </w:t>
      </w:r>
      <w:r>
        <w:rPr>
          <w:rStyle w:val="optioncarChar"/>
        </w:rPr>
        <w:t>L/500</w:t>
      </w:r>
      <w:r>
        <w:t xml:space="preserve"> (par défaut)</w:t>
      </w:r>
      <w:r>
        <w:rPr>
          <w:rStyle w:val="optioncarChar"/>
        </w:rPr>
        <w:t xml:space="preserve"> / L/450 / L/300 / L/250</w:t>
      </w:r>
    </w:p>
    <w:p w14:paraId="1936D96E" w14:textId="77777777" w:rsidR="00DF410E" w:rsidRDefault="00CE7F43">
      <w:pPr>
        <w:pStyle w:val="Author-eListParagraph"/>
        <w:numPr>
          <w:ilvl w:val="0"/>
          <w:numId w:val="930"/>
        </w:numPr>
        <w:jc w:val="both"/>
      </w:pPr>
      <w:r>
        <w:t>Classe de réaction au feu, selon la [NBN EN 13501-1] : D-s1, d0</w:t>
      </w:r>
    </w:p>
    <w:p w14:paraId="68402122" w14:textId="77777777" w:rsidR="00DF410E" w:rsidRDefault="00CE7F43">
      <w:pPr>
        <w:jc w:val="both"/>
      </w:pPr>
      <w:r>
        <w:rPr>
          <w:b/>
        </w:rPr>
        <w:t>Matériau</w:t>
      </w:r>
    </w:p>
    <w:p w14:paraId="7F43FCD3" w14:textId="77777777" w:rsidR="00DF410E" w:rsidRDefault="00CE7F43">
      <w:pPr>
        <w:pStyle w:val="Author-eListParagraph"/>
        <w:numPr>
          <w:ilvl w:val="0"/>
          <w:numId w:val="931"/>
        </w:numPr>
      </w:pPr>
      <w:r>
        <w:t>Planches en bois massif résineux.</w:t>
      </w:r>
    </w:p>
    <w:p w14:paraId="6E4724EF" w14:textId="77777777" w:rsidR="00DF410E" w:rsidRDefault="00CE7F43">
      <w:pPr>
        <w:pStyle w:val="Author-eListParagraph"/>
        <w:numPr>
          <w:ilvl w:val="0"/>
          <w:numId w:val="931"/>
        </w:numPr>
      </w:pPr>
      <w:r>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épicéa / douglas / mélèze / ***</w:t>
      </w:r>
    </w:p>
    <w:p w14:paraId="3A60CF73" w14:textId="77777777" w:rsidR="00DF410E" w:rsidRDefault="00CE7F43">
      <w:pPr>
        <w:pStyle w:val="Author-eListParagraph"/>
        <w:numPr>
          <w:ilvl w:val="0"/>
          <w:numId w:val="931"/>
        </w:numPr>
      </w:pPr>
      <w:r>
        <w:t xml:space="preserve">Planches aboutées autorisées : </w:t>
      </w:r>
      <w:r>
        <w:rPr>
          <w:rStyle w:val="optioncarChar"/>
        </w:rPr>
        <w:t xml:space="preserve">oui </w:t>
      </w:r>
      <w:r>
        <w:t>(par défaut)</w:t>
      </w:r>
      <w:r>
        <w:rPr>
          <w:rStyle w:val="optioncarChar"/>
        </w:rPr>
        <w:t xml:space="preserve"> / non</w:t>
      </w:r>
    </w:p>
    <w:p w14:paraId="2F033489" w14:textId="77777777" w:rsidR="00DF410E" w:rsidRDefault="00CE7F43">
      <w:pPr>
        <w:pStyle w:val="Author-eListParagraph"/>
        <w:numPr>
          <w:ilvl w:val="0"/>
          <w:numId w:val="931"/>
        </w:numPr>
      </w:pPr>
      <w:r>
        <w:t>Taux d’humidité du bois ≤ 15%</w:t>
      </w:r>
    </w:p>
    <w:p w14:paraId="290349BB" w14:textId="77777777" w:rsidR="00DF410E" w:rsidRDefault="00CE7F43">
      <w:pPr>
        <w:pStyle w:val="Author-eListParagraph"/>
        <w:numPr>
          <w:ilvl w:val="0"/>
          <w:numId w:val="931"/>
        </w:numPr>
      </w:pPr>
      <w:r>
        <w:t xml:space="preserve">Classe de résistance ≥ </w:t>
      </w:r>
      <w:r>
        <w:rPr>
          <w:rStyle w:val="optioncarChar"/>
        </w:rPr>
        <w:t xml:space="preserve">C24 </w:t>
      </w:r>
      <w:r>
        <w:t>(par défaut)</w:t>
      </w:r>
      <w:r>
        <w:rPr>
          <w:rStyle w:val="optioncarChar"/>
        </w:rPr>
        <w:t xml:space="preserve"> / C28 / C30</w:t>
      </w:r>
    </w:p>
    <w:p w14:paraId="7E305C3A" w14:textId="77777777" w:rsidR="00DF410E" w:rsidRDefault="00CE7F43">
      <w:pPr>
        <w:pStyle w:val="Author-eListParagraph"/>
        <w:numPr>
          <w:ilvl w:val="0"/>
          <w:numId w:val="931"/>
        </w:numPr>
      </w:pPr>
      <w:r>
        <w:t>Assemblage des planches formant les hourdis :</w:t>
      </w:r>
      <w:r>
        <w:rPr>
          <w:rStyle w:val="optioncarChar"/>
        </w:rPr>
        <w:t xml:space="preserve"> collé au polyuréthane (PU) </w:t>
      </w:r>
      <w:r>
        <w:t xml:space="preserve">(par défaut) </w:t>
      </w:r>
      <w:r>
        <w:rPr>
          <w:rStyle w:val="optioncarChar"/>
        </w:rPr>
        <w:t>/ cloué / chevillé</w:t>
      </w:r>
    </w:p>
    <w:p w14:paraId="204F2059" w14:textId="77777777" w:rsidR="00DF410E" w:rsidRDefault="00CE7F43">
      <w:pPr>
        <w:pStyle w:val="Author-eListParagraph"/>
        <w:numPr>
          <w:ilvl w:val="0"/>
          <w:numId w:val="931"/>
        </w:numPr>
      </w:pPr>
      <w:r>
        <w:t xml:space="preserve">Largeur des hourdis ≤ </w:t>
      </w:r>
      <w:r>
        <w:rPr>
          <w:rStyle w:val="optioncarChar"/>
        </w:rPr>
        <w:t>500</w:t>
      </w:r>
      <w:r>
        <w:t xml:space="preserve"> (par défaut)</w:t>
      </w:r>
      <w:r>
        <w:rPr>
          <w:rStyle w:val="optioncarChar"/>
        </w:rPr>
        <w:t xml:space="preserve"> / 1000 </w:t>
      </w:r>
      <w:r>
        <w:t>mm, tolérance ± 20 mm.</w:t>
      </w:r>
    </w:p>
    <w:p w14:paraId="1698B2CD" w14:textId="77777777" w:rsidR="00DF410E" w:rsidRDefault="00CE7F43">
      <w:pPr>
        <w:pStyle w:val="Author-eListParagraph"/>
        <w:numPr>
          <w:ilvl w:val="0"/>
          <w:numId w:val="931"/>
        </w:numPr>
      </w:pPr>
      <w:r>
        <w:t>Classe de réaction au feu, selon la [NBN EN 13501-1] : D-s1, d0</w:t>
      </w:r>
    </w:p>
    <w:p w14:paraId="7B102C59" w14:textId="77777777" w:rsidR="00DF410E" w:rsidRDefault="00CE7F43">
      <w:pPr>
        <w:pStyle w:val="Author-eListParagraph"/>
        <w:numPr>
          <w:ilvl w:val="0"/>
          <w:numId w:val="931"/>
        </w:numPr>
      </w:pPr>
      <w:r>
        <w:t xml:space="preserve">Jonctions latérales entre hourdis : </w:t>
      </w:r>
      <w:r>
        <w:rPr>
          <w:rStyle w:val="optioncarChar"/>
        </w:rPr>
        <w:t>rainuré-langueté</w:t>
      </w:r>
      <w:r>
        <w:t xml:space="preserve"> (par défaut)</w:t>
      </w:r>
      <w:r>
        <w:rPr>
          <w:rStyle w:val="optioncarChar"/>
        </w:rPr>
        <w:t xml:space="preserve"> / droit / rainuré-fausse languette / chevillé</w:t>
      </w:r>
    </w:p>
    <w:p w14:paraId="36825648" w14:textId="77777777" w:rsidR="00DF410E" w:rsidRDefault="00CE7F43">
      <w:pPr>
        <w:pStyle w:val="Author-eListParagraph"/>
        <w:numPr>
          <w:ilvl w:val="0"/>
          <w:numId w:val="931"/>
        </w:numPr>
      </w:pPr>
      <w:r>
        <w:t xml:space="preserve">Finition de la face inférieure : </w:t>
      </w:r>
      <w:r>
        <w:rPr>
          <w:rStyle w:val="optioncarChar"/>
        </w:rPr>
        <w:t>poncée (vue)</w:t>
      </w:r>
      <w:r>
        <w:t xml:space="preserve"> (par défaut) </w:t>
      </w:r>
      <w:r>
        <w:rPr>
          <w:rStyle w:val="optioncarChar"/>
        </w:rPr>
        <w:t>/ brossée (vue) / rabotée (non vue)</w:t>
      </w:r>
    </w:p>
    <w:p w14:paraId="4134DD0D" w14:textId="77777777" w:rsidR="00DF410E" w:rsidRDefault="00CE7F43">
      <w:pPr>
        <w:pStyle w:val="Author-eListParagraph"/>
        <w:numPr>
          <w:ilvl w:val="0"/>
          <w:numId w:val="931"/>
        </w:numPr>
      </w:pPr>
      <w:r>
        <w:t xml:space="preserve">Finition de la face supérieure : </w:t>
      </w:r>
      <w:r>
        <w:rPr>
          <w:rStyle w:val="optioncarChar"/>
        </w:rPr>
        <w:t xml:space="preserve">rabotée (non vue) </w:t>
      </w:r>
      <w:r>
        <w:t>(par défaut)</w:t>
      </w:r>
      <w:r>
        <w:rPr>
          <w:rStyle w:val="optioncarChar"/>
        </w:rPr>
        <w:t xml:space="preserve"> / poncée (vue) / brossée (vue)</w:t>
      </w:r>
    </w:p>
    <w:p w14:paraId="24110DD9" w14:textId="77777777" w:rsidR="00DF410E" w:rsidRDefault="00CE7F43">
      <w:pPr>
        <w:pStyle w:val="Author-eListParagraph"/>
        <w:numPr>
          <w:ilvl w:val="0"/>
          <w:numId w:val="931"/>
        </w:numPr>
      </w:pPr>
      <w:r>
        <w:t xml:space="preserve">Profilage acoustique face inférieure : </w:t>
      </w:r>
      <w:r>
        <w:rPr>
          <w:rStyle w:val="optioncarChar"/>
        </w:rPr>
        <w:t>non</w:t>
      </w:r>
      <w:r>
        <w:t xml:space="preserve"> (par défaut)</w:t>
      </w:r>
      <w:r>
        <w:rPr>
          <w:rStyle w:val="optioncarChar"/>
        </w:rPr>
        <w:t xml:space="preserve"> / fraisage de rainures / hauteurs de planches différentes</w:t>
      </w:r>
      <w:r>
        <w:t>.</w:t>
      </w:r>
    </w:p>
    <w:p w14:paraId="3D4CF44E" w14:textId="77777777" w:rsidR="00DF410E" w:rsidRDefault="00CE7F43">
      <w:pPr>
        <w:ind w:left="567"/>
        <w:jc w:val="both"/>
      </w:pPr>
      <w:r>
        <w:rPr>
          <w:b/>
        </w:rPr>
        <w:t>(soit par défaut)</w:t>
      </w:r>
    </w:p>
    <w:p w14:paraId="4C453033" w14:textId="77777777" w:rsidR="00DF410E" w:rsidRDefault="00CE7F43">
      <w:pPr>
        <w:ind w:left="567"/>
        <w:jc w:val="both"/>
      </w:pPr>
      <w:r>
        <w:rPr>
          <w:rStyle w:val="soitChar"/>
          <w:u w:val="single"/>
        </w:rPr>
        <w:t xml:space="preserve">Non : </w:t>
      </w:r>
    </w:p>
    <w:p w14:paraId="1556E288" w14:textId="77777777" w:rsidR="00DF410E" w:rsidRDefault="00CE7F43">
      <w:pPr>
        <w:ind w:left="567"/>
        <w:jc w:val="both"/>
      </w:pPr>
      <w:r>
        <w:rPr>
          <w:rStyle w:val="soitChar"/>
        </w:rPr>
        <w:t xml:space="preserve"> Pas de profilage acoustique de la face inférieure.</w:t>
      </w:r>
    </w:p>
    <w:p w14:paraId="413D3241" w14:textId="77777777" w:rsidR="00DF410E" w:rsidRDefault="00CE7F43">
      <w:pPr>
        <w:ind w:left="567"/>
        <w:jc w:val="both"/>
      </w:pPr>
      <w:r>
        <w:rPr>
          <w:b/>
        </w:rPr>
        <w:t>(soit)</w:t>
      </w:r>
    </w:p>
    <w:p w14:paraId="63BDBFF4" w14:textId="77777777" w:rsidR="00DF410E" w:rsidRDefault="00CE7F43">
      <w:pPr>
        <w:ind w:left="567"/>
        <w:jc w:val="both"/>
      </w:pPr>
      <w:r>
        <w:rPr>
          <w:rStyle w:val="soitChar"/>
          <w:u w:val="single"/>
        </w:rPr>
        <w:t>Fraisage de rainures</w:t>
      </w:r>
      <w:r>
        <w:rPr>
          <w:rStyle w:val="soitChar"/>
        </w:rPr>
        <w:t> dans l’axe de jonction des planches.</w:t>
      </w:r>
    </w:p>
    <w:p w14:paraId="0179D367" w14:textId="77777777" w:rsidR="00DF410E" w:rsidRDefault="00CE7F43">
      <w:pPr>
        <w:pStyle w:val="Author-eListParagraph"/>
        <w:numPr>
          <w:ilvl w:val="0"/>
          <w:numId w:val="932"/>
        </w:numPr>
      </w:pPr>
      <w:r>
        <w:rPr>
          <w:rStyle w:val="soitChar"/>
        </w:rPr>
        <w:t>Largeur de rainure :</w:t>
      </w:r>
      <w:r>
        <w:rPr>
          <w:rStyle w:val="optioncarChar"/>
        </w:rPr>
        <w:t xml:space="preserve">5 mm </w:t>
      </w:r>
      <w:r>
        <w:t>(par défaut)</w:t>
      </w:r>
      <w:r>
        <w:rPr>
          <w:rStyle w:val="optioncarChar"/>
        </w:rPr>
        <w:t xml:space="preserve"> / ***</w:t>
      </w:r>
    </w:p>
    <w:p w14:paraId="39AFCF24" w14:textId="77777777" w:rsidR="00DF410E" w:rsidRDefault="00CE7F43">
      <w:pPr>
        <w:pStyle w:val="Author-eListParagraph"/>
        <w:numPr>
          <w:ilvl w:val="0"/>
          <w:numId w:val="932"/>
        </w:numPr>
      </w:pPr>
      <w:r>
        <w:rPr>
          <w:rStyle w:val="soitChar"/>
        </w:rPr>
        <w:t>Profondeur de rainure :</w:t>
      </w:r>
      <w:r>
        <w:rPr>
          <w:rStyle w:val="optioncarChar"/>
        </w:rPr>
        <w:t xml:space="preserve">11 mm </w:t>
      </w:r>
      <w:r>
        <w:t>(par défaut)</w:t>
      </w:r>
      <w:r>
        <w:rPr>
          <w:rStyle w:val="optioncarChar"/>
        </w:rPr>
        <w:t xml:space="preserve"> / ***</w:t>
      </w:r>
    </w:p>
    <w:p w14:paraId="28AA5ED0" w14:textId="77777777" w:rsidR="00DF410E" w:rsidRDefault="00CE7F43">
      <w:pPr>
        <w:ind w:left="567"/>
        <w:jc w:val="both"/>
      </w:pPr>
      <w:r>
        <w:rPr>
          <w:b/>
        </w:rPr>
        <w:t>(soit)</w:t>
      </w:r>
    </w:p>
    <w:p w14:paraId="2B04227D" w14:textId="77777777" w:rsidR="00DF410E" w:rsidRDefault="00CE7F43">
      <w:pPr>
        <w:ind w:left="567"/>
        <w:jc w:val="both"/>
      </w:pPr>
      <w:r>
        <w:rPr>
          <w:rStyle w:val="soitChar"/>
          <w:u w:val="single"/>
        </w:rPr>
        <w:t xml:space="preserve">Hauteurs de planches différentes : </w:t>
      </w:r>
    </w:p>
    <w:p w14:paraId="58ABCF7A" w14:textId="77777777" w:rsidR="00DF410E" w:rsidRDefault="00CE7F43">
      <w:pPr>
        <w:ind w:left="567"/>
        <w:jc w:val="both"/>
      </w:pPr>
      <w:r>
        <w:rPr>
          <w:rStyle w:val="soitChar"/>
        </w:rPr>
        <w:t>Alternance de planches de hauteurs différentes.</w:t>
      </w:r>
    </w:p>
    <w:p w14:paraId="524372C1" w14:textId="77777777" w:rsidR="00DF410E" w:rsidRDefault="00CE7F43">
      <w:pPr>
        <w:pStyle w:val="Author-eListParagraph"/>
        <w:numPr>
          <w:ilvl w:val="0"/>
          <w:numId w:val="933"/>
        </w:numPr>
      </w:pPr>
      <w:r>
        <w:rPr>
          <w:rStyle w:val="soitChar"/>
        </w:rPr>
        <w:t>Différence de hauteur entre planches :</w:t>
      </w:r>
      <w:r>
        <w:rPr>
          <w:rStyle w:val="optioncarChar"/>
        </w:rPr>
        <w:t xml:space="preserve"> 40 mm </w:t>
      </w:r>
      <w:r>
        <w:t>(par défaut)</w:t>
      </w:r>
      <w:r>
        <w:rPr>
          <w:rStyle w:val="optioncarChar"/>
        </w:rPr>
        <w:t xml:space="preserve"> / ***</w:t>
      </w:r>
    </w:p>
    <w:p w14:paraId="0096447D" w14:textId="77777777" w:rsidR="00DF410E" w:rsidRDefault="00CE7F43">
      <w:pPr>
        <w:pStyle w:val="Author-eListParagraph"/>
        <w:numPr>
          <w:ilvl w:val="0"/>
          <w:numId w:val="933"/>
        </w:numPr>
      </w:pPr>
      <w:r>
        <w:rPr>
          <w:rStyle w:val="soitChar"/>
        </w:rPr>
        <w:t>Largeur de planches :</w:t>
      </w:r>
      <w:r>
        <w:rPr>
          <w:rStyle w:val="optioncarChar"/>
        </w:rPr>
        <w:t xml:space="preserve"> 40 mm</w:t>
      </w:r>
      <w:r>
        <w:t xml:space="preserve"> (par défaut) </w:t>
      </w:r>
      <w:r>
        <w:rPr>
          <w:rStyle w:val="optioncarChar"/>
        </w:rPr>
        <w:t>/ ***</w:t>
      </w:r>
    </w:p>
    <w:p w14:paraId="1FCE11E1" w14:textId="77777777" w:rsidR="00DF410E" w:rsidRDefault="00CE7F43">
      <w:pPr>
        <w:jc w:val="both"/>
      </w:pPr>
      <w:r>
        <w:rPr>
          <w:b/>
        </w:rPr>
        <w:t>Résistance au feu</w:t>
      </w:r>
    </w:p>
    <w:p w14:paraId="3F90AD7F" w14:textId="77777777" w:rsidR="00DF410E" w:rsidRDefault="00CE7F43">
      <w:pPr>
        <w:jc w:val="both"/>
      </w:pPr>
      <w:r>
        <w:t xml:space="preserve">Le plancher présente une résistance au feu, selon la [NBN EN 13501-2] : </w:t>
      </w:r>
      <w:r>
        <w:rPr>
          <w:rStyle w:val="optioncarChar"/>
        </w:rPr>
        <w:t xml:space="preserve">pas d’application / REI30 </w:t>
      </w:r>
      <w:r>
        <w:t xml:space="preserve">(par défaut) </w:t>
      </w:r>
      <w:r>
        <w:rPr>
          <w:rStyle w:val="optioncarChar"/>
        </w:rPr>
        <w:t>/ REI60 / REI 90 / REI 120</w:t>
      </w:r>
    </w:p>
    <w:p w14:paraId="2C5CAE6D" w14:textId="77777777" w:rsidR="00DF410E" w:rsidRDefault="00CE7F43">
      <w:pPr>
        <w:jc w:val="both"/>
      </w:pPr>
      <w:r>
        <w:t>En cas de résistance au feu obligatoire, celle-ci est atteinte :</w:t>
      </w:r>
      <w:r>
        <w:rPr>
          <w:rStyle w:val="optioncarChar"/>
        </w:rPr>
        <w:t xml:space="preserve"> sans traitement particulier</w:t>
      </w:r>
      <w:r>
        <w:t xml:space="preserve"> (par défaut) </w:t>
      </w:r>
      <w:r>
        <w:rPr>
          <w:rStyle w:val="optioncarChar"/>
        </w:rPr>
        <w:t xml:space="preserve">/ par traitement ignifuge (compris dans le travail) </w:t>
      </w:r>
      <w:r>
        <w:t>du bois.</w:t>
      </w:r>
    </w:p>
    <w:p w14:paraId="7A9C601D" w14:textId="77777777" w:rsidR="00DF410E" w:rsidRDefault="00CE7F43">
      <w:pPr>
        <w:pStyle w:val="pheading"/>
      </w:pPr>
      <w:r>
        <w:t>- Finitions</w:t>
      </w:r>
    </w:p>
    <w:p w14:paraId="5C20348A" w14:textId="77777777" w:rsidR="00DF410E" w:rsidRDefault="00CE7F43">
      <w:pPr>
        <w:jc w:val="both"/>
      </w:pPr>
      <w:r>
        <w:rPr>
          <w:b/>
        </w:rPr>
        <w:t>Traitement de finition du bois en atelier</w:t>
      </w:r>
    </w:p>
    <w:p w14:paraId="5A8C83A6" w14:textId="77777777" w:rsidR="00DF410E" w:rsidRDefault="00CE7F43">
      <w:pPr>
        <w:jc w:val="both"/>
      </w:pPr>
      <w:r>
        <w:t xml:space="preserve">Traitement de finition des parties visibles du bois : </w:t>
      </w:r>
      <w:r>
        <w:rPr>
          <w:rStyle w:val="optioncarChar"/>
        </w:rPr>
        <w:t xml:space="preserve">pas de finition </w:t>
      </w:r>
      <w:r>
        <w:t>(par défaut)</w:t>
      </w:r>
      <w:r>
        <w:rPr>
          <w:rStyle w:val="optioncarChar"/>
        </w:rPr>
        <w:t xml:space="preserve"> / application d'une finition.</w:t>
      </w:r>
    </w:p>
    <w:p w14:paraId="5BA35843" w14:textId="77777777" w:rsidR="00DF410E" w:rsidRDefault="00CE7F43">
      <w:pPr>
        <w:jc w:val="both"/>
      </w:pPr>
      <w:r>
        <w:rPr>
          <w:u w:val="single"/>
        </w:rPr>
        <w:t>Dans le cas de l’application d’une finition sur le bois prévue dans le présent travail :</w:t>
      </w:r>
    </w:p>
    <w:p w14:paraId="247DDDD4" w14:textId="77777777" w:rsidR="00DF410E" w:rsidRDefault="00CE7F43">
      <w:pPr>
        <w:pStyle w:val="Author-eListParagraph"/>
        <w:numPr>
          <w:ilvl w:val="0"/>
          <w:numId w:val="934"/>
        </w:numPr>
        <w:jc w:val="both"/>
      </w:pPr>
      <w:r>
        <w:t xml:space="preserve">Type de traitement : </w:t>
      </w:r>
      <w:r>
        <w:rPr>
          <w:rStyle w:val="optioncarChar"/>
        </w:rPr>
        <w:t>anti UV</w:t>
      </w:r>
      <w:r>
        <w:t xml:space="preserve"> (par défaut)</w:t>
      </w:r>
      <w:r>
        <w:rPr>
          <w:rStyle w:val="optioncarChar"/>
        </w:rPr>
        <w:t xml:space="preserve"> / lasure / verni / peinture / huile / céruse</w:t>
      </w:r>
    </w:p>
    <w:p w14:paraId="0BB3DF8B" w14:textId="77777777" w:rsidR="00DF410E" w:rsidRDefault="00CE7F43">
      <w:pPr>
        <w:pStyle w:val="Author-eListParagraph"/>
        <w:numPr>
          <w:ilvl w:val="0"/>
          <w:numId w:val="934"/>
        </w:numPr>
        <w:jc w:val="both"/>
      </w:pPr>
      <w:r>
        <w:t xml:space="preserve">Teinte : </w:t>
      </w:r>
      <w:r>
        <w:rPr>
          <w:rStyle w:val="optioncarChar"/>
        </w:rPr>
        <w:t xml:space="preserve">transparent </w:t>
      </w:r>
      <w:r>
        <w:t>(par défaut)</w:t>
      </w:r>
      <w:r>
        <w:rPr>
          <w:rStyle w:val="optioncarChar"/>
        </w:rPr>
        <w:t xml:space="preserve"> / blanchâtre / grisâtre / rougeâtre / verdâtre / bleuté / transparent / blanc / RAL : ***</w:t>
      </w:r>
    </w:p>
    <w:p w14:paraId="0E937C97" w14:textId="77777777" w:rsidR="00DF410E" w:rsidRDefault="00CE7F43">
      <w:pPr>
        <w:pStyle w:val="pheading"/>
      </w:pPr>
      <w:r>
        <w:t>EXÉCUTION / MISE EN ŒUVRE</w:t>
      </w:r>
    </w:p>
    <w:p w14:paraId="4B1F5CF6" w14:textId="77777777" w:rsidR="00DF410E" w:rsidRDefault="00CE7F43">
      <w:pPr>
        <w:pStyle w:val="pheading"/>
      </w:pPr>
      <w:r>
        <w:t>- Prescriptions générales</w:t>
      </w:r>
    </w:p>
    <w:p w14:paraId="0D3E1460" w14:textId="77777777" w:rsidR="00DF410E" w:rsidRDefault="00CE7F43">
      <w:pPr>
        <w:jc w:val="both"/>
      </w:pPr>
      <w:r>
        <w:rPr>
          <w:b/>
        </w:rPr>
        <w:t>Etude</w:t>
      </w:r>
    </w:p>
    <w:p w14:paraId="21A05389" w14:textId="77777777" w:rsidR="00DF410E" w:rsidRDefault="00CE7F43">
      <w:pPr>
        <w:jc w:val="both"/>
      </w:pPr>
      <w:r>
        <w:t xml:space="preserve">Choix, conformément aux prescriptions du </w:t>
      </w:r>
      <w:hyperlink w:anchor="601" w:history="1">
        <w:r>
          <w:t>24.22.2 Planchers en bois préfabriqués</w:t>
        </w:r>
      </w:hyperlink>
      <w:r>
        <w:t xml:space="preserve"> :  </w:t>
      </w:r>
      <w:r>
        <w:rPr>
          <w:rStyle w:val="optioncarChar"/>
        </w:rPr>
        <w:t>étude à charge de l'entrepreneur</w:t>
      </w:r>
      <w:r>
        <w:t xml:space="preserve"> (par défaut)</w:t>
      </w:r>
      <w:r>
        <w:rPr>
          <w:rStyle w:val="optioncarChar"/>
        </w:rPr>
        <w:t> / étude à charge du maître de l'ouvrage / étude à charge du maître de l’ouvrage à l’exception des assemblages / *** </w:t>
      </w:r>
    </w:p>
    <w:p w14:paraId="1EB16C23" w14:textId="77777777" w:rsidR="00DF410E" w:rsidRDefault="00CE7F43">
      <w:pPr>
        <w:jc w:val="both"/>
      </w:pPr>
      <w:r>
        <w:rPr>
          <w:b/>
        </w:rPr>
        <w:t>Mise en œuvre</w:t>
      </w:r>
    </w:p>
    <w:p w14:paraId="178E4B7E" w14:textId="77777777" w:rsidR="00DF410E" w:rsidRDefault="00CE7F43">
      <w:pPr>
        <w:jc w:val="both"/>
      </w:pPr>
      <w:r>
        <w:t xml:space="preserve">Les planchers sont posés conformément aux prescriptions du </w:t>
      </w:r>
      <w:hyperlink w:anchor="601" w:history="1">
        <w:r>
          <w:t>24.22.2 Planchers en bois préfabriqués</w:t>
        </w:r>
      </w:hyperlink>
      <w:r>
        <w:t xml:space="preserve"> : </w:t>
      </w:r>
      <w:r>
        <w:rPr>
          <w:rStyle w:val="optioncarChar"/>
        </w:rPr>
        <w:t>sur des muralières en bois</w:t>
      </w:r>
      <w:r>
        <w:t xml:space="preserve"> (par défaut) </w:t>
      </w:r>
      <w:r>
        <w:rPr>
          <w:rStyle w:val="optioncarChar"/>
        </w:rPr>
        <w:t>/ sur des profilés métalliques apparents / dans des profilés métalliques cachés / sur les têtes des murs</w:t>
      </w:r>
    </w:p>
    <w:p w14:paraId="48F2CCE8" w14:textId="77777777" w:rsidR="00DF410E" w:rsidRDefault="00CE7F43">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25ABB999" w14:textId="77777777" w:rsidR="00DF410E" w:rsidRDefault="00CE7F43">
      <w:pPr>
        <w:jc w:val="both"/>
      </w:pPr>
      <w:r>
        <w:rPr>
          <w:b/>
        </w:rPr>
        <w:t>Etanchéité à l’air</w:t>
      </w:r>
    </w:p>
    <w:p w14:paraId="47FBE9D7" w14:textId="77777777" w:rsidR="00DF410E" w:rsidRDefault="00CE7F43">
      <w:pPr>
        <w:jc w:val="both"/>
      </w:pPr>
      <w:r>
        <w:t xml:space="preserve">L’étanchéité à l’air entre éléments est assurée : </w:t>
      </w:r>
      <w:r>
        <w:rPr>
          <w:rStyle w:val="optioncarChar"/>
        </w:rPr>
        <w:t xml:space="preserve">pas d’application </w:t>
      </w:r>
      <w:r>
        <w:t>(par défaut)</w:t>
      </w:r>
      <w:r>
        <w:rPr>
          <w:rStyle w:val="optioncarChar"/>
        </w:rPr>
        <w:t xml:space="preserve"> / par bandes d’étanchéité dans l’épaisseur des éléments. </w:t>
      </w:r>
    </w:p>
    <w:p w14:paraId="2646ACFB" w14:textId="77777777" w:rsidR="00DF410E" w:rsidRDefault="00CE7F43">
      <w:pPr>
        <w:jc w:val="both"/>
      </w:pPr>
      <w:r>
        <w:rPr>
          <w:b/>
        </w:rPr>
        <w:t>Préparation des techniques spéciales :  HVAC - Sanitaires - Electricité</w:t>
      </w:r>
    </w:p>
    <w:p w14:paraId="0066E4CA" w14:textId="77777777" w:rsidR="00DF410E" w:rsidRDefault="00CE7F43">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1" w:history="1">
        <w:r>
          <w:t>24.22.2 Planchers en bois préfabriqués</w:t>
        </w:r>
      </w:hyperlink>
      <w:r>
        <w:t xml:space="preserve"> : </w:t>
      </w:r>
      <w:r>
        <w:rPr>
          <w:rStyle w:val="optioncarChar"/>
        </w:rPr>
        <w:t>non</w:t>
      </w:r>
      <w:r>
        <w:t> (par défaut) </w:t>
      </w:r>
      <w:r>
        <w:rPr>
          <w:rStyle w:val="optioncarChar"/>
        </w:rPr>
        <w:t>/ oui</w:t>
      </w:r>
    </w:p>
    <w:p w14:paraId="0663D76D" w14:textId="77777777" w:rsidR="00DF410E" w:rsidRDefault="00CE7F43">
      <w:pPr>
        <w:pStyle w:val="pheading"/>
      </w:pPr>
      <w:r>
        <w:t>MESURAGE</w:t>
      </w:r>
    </w:p>
    <w:p w14:paraId="3F4C335C" w14:textId="77777777" w:rsidR="00DF410E" w:rsidRDefault="00CE7F43">
      <w:pPr>
        <w:pStyle w:val="pheading"/>
      </w:pPr>
      <w:r>
        <w:t>- unité de mesure:</w:t>
      </w:r>
    </w:p>
    <w:p w14:paraId="695B3290" w14:textId="77777777" w:rsidR="00DF410E" w:rsidRDefault="00CE7F43">
      <w:r>
        <w:t>1.2. m²</w:t>
      </w:r>
    </w:p>
    <w:p w14:paraId="6AAFA5B6" w14:textId="77777777" w:rsidR="00DF410E" w:rsidRDefault="00CE7F43">
      <w:pPr>
        <w:pStyle w:val="pheading"/>
      </w:pPr>
      <w:r>
        <w:t>- code de mesurage:</w:t>
      </w:r>
    </w:p>
    <w:p w14:paraId="6F752A6E" w14:textId="77777777" w:rsidR="00DF410E" w:rsidRDefault="00CE7F43">
      <w:pPr>
        <w:jc w:val="both"/>
      </w:pPr>
      <w:r>
        <w:rPr>
          <w:rStyle w:val="optioncarChar"/>
        </w:rPr>
        <w:t xml:space="preserve">Surface nette </w:t>
      </w:r>
      <w:r>
        <w:t xml:space="preserve">(par défaut) </w:t>
      </w:r>
      <w:r>
        <w:rPr>
          <w:rStyle w:val="optioncarChar"/>
        </w:rPr>
        <w:t>/ Surface utile</w:t>
      </w:r>
    </w:p>
    <w:p w14:paraId="7CE9ACB4" w14:textId="77777777" w:rsidR="00DF410E" w:rsidRDefault="00CE7F43">
      <w:pPr>
        <w:jc w:val="both"/>
      </w:pPr>
      <w:r>
        <w:rPr>
          <w:b/>
        </w:rPr>
        <w:t>(soit par défaut)</w:t>
      </w:r>
    </w:p>
    <w:p w14:paraId="2B936137" w14:textId="77777777" w:rsidR="00DF410E" w:rsidRDefault="00CE7F43">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50053D24" w14:textId="77777777" w:rsidR="00DF410E" w:rsidRDefault="00CE7F43">
      <w:pPr>
        <w:jc w:val="both"/>
      </w:pPr>
      <w:r>
        <w:rPr>
          <w:b/>
        </w:rPr>
        <w:t>(soit)</w:t>
      </w:r>
    </w:p>
    <w:p w14:paraId="740776D3" w14:textId="77777777" w:rsidR="00DF410E" w:rsidRDefault="00CE7F43">
      <w:pPr>
        <w:jc w:val="both"/>
      </w:pPr>
      <w:r>
        <w:rPr>
          <w:rStyle w:val="soitChar"/>
        </w:rPr>
        <w:t xml:space="preserve">2. </w:t>
      </w:r>
      <w:r>
        <w:rPr>
          <w:rStyle w:val="soitChar"/>
          <w:u w:val="single"/>
        </w:rPr>
        <w:t>Surface utile</w:t>
      </w:r>
      <w:r>
        <w:rPr>
          <w:rStyle w:val="soitChar"/>
        </w:rPr>
        <w:t>, dans le cas des planchers posés sur/dans les murs porteurs.</w:t>
      </w:r>
    </w:p>
    <w:p w14:paraId="5D667A4E" w14:textId="77777777" w:rsidR="00DF410E" w:rsidRDefault="00CE7F43">
      <w:pPr>
        <w:jc w:val="both"/>
      </w:pPr>
      <w:r>
        <w:rPr>
          <w:rStyle w:val="soitChar"/>
        </w:rPr>
        <w:t>La surface utile est mesurée entre le nu intérieur des murs extérieurs. Il ressort de cette convention que les parties du plancher qui reposent dans les murs extérieurs ne sont pas comptées. Cependant, les parties couvrant et/ou pénétrant dans les murs intérieurs sont comptées avec le plancher sur toute l'épaisseur du mur et sont, par conséquent, déduites des murs intérieurs. Les vides, percements et feuillures supérieurs à 0,5 m² sont déduits.</w:t>
      </w:r>
    </w:p>
    <w:p w14:paraId="3F6EF3B4" w14:textId="77777777" w:rsidR="00DF410E" w:rsidRDefault="00CE7F43">
      <w:pPr>
        <w:pStyle w:val="pheading"/>
      </w:pPr>
      <w:r>
        <w:t>- nature du marché:</w:t>
      </w:r>
    </w:p>
    <w:p w14:paraId="1E88136A" w14:textId="77777777" w:rsidR="00DF410E" w:rsidRDefault="00CE7F43">
      <w:r>
        <w:t>1.2. QF</w:t>
      </w:r>
    </w:p>
    <w:p w14:paraId="655D86DF" w14:textId="77777777" w:rsidR="00DF410E" w:rsidRDefault="00CE7F43">
      <w:pPr>
        <w:pStyle w:val="Author-eSectionHeading6"/>
      </w:pPr>
      <w:bookmarkStart w:id="1673" w:name="_Toc178838761"/>
      <w:r>
        <w:t>24.22.2d Planchers préfabriqués en lamellés collés à plat  CCTB 01.10</w:t>
      </w:r>
      <w:bookmarkEnd w:id="1673"/>
    </w:p>
    <w:p w14:paraId="500C1026" w14:textId="77777777" w:rsidR="00DF410E" w:rsidRDefault="00CE7F43">
      <w:pPr>
        <w:pStyle w:val="Author-eSectionHeading6"/>
      </w:pPr>
      <w:bookmarkStart w:id="1674" w:name="_Toc178838762"/>
      <w:r>
        <w:t>24.22.2e Planchers à caissons faits de planches préfabriqués CCTB 01.11</w:t>
      </w:r>
      <w:bookmarkEnd w:id="1674"/>
    </w:p>
    <w:p w14:paraId="79D4544C" w14:textId="77777777" w:rsidR="00DF410E" w:rsidRDefault="00CE7F43">
      <w:pPr>
        <w:pStyle w:val="pheading"/>
      </w:pPr>
      <w:r>
        <w:t>DESCRIPTION</w:t>
      </w:r>
    </w:p>
    <w:p w14:paraId="61B2E749" w14:textId="77777777" w:rsidR="00DF410E" w:rsidRDefault="00CE7F43">
      <w:pPr>
        <w:pStyle w:val="pheading"/>
      </w:pPr>
      <w:r>
        <w:t>- Définition / Comprend</w:t>
      </w:r>
    </w:p>
    <w:p w14:paraId="275FC924" w14:textId="77777777" w:rsidR="00DF410E" w:rsidRDefault="00CE7F43">
      <w:pPr>
        <w:jc w:val="both"/>
      </w:pPr>
      <w:r>
        <w:t>Il s'agit de la fourniture et la pose de planchers intérieurs porteurs à caissons constitués de planches en bois massif, préfabriqués en atelier, remplis éventuellement d’isolant ou de lestage. Y compris tous les accessoires de fixation.</w:t>
      </w:r>
    </w:p>
    <w:p w14:paraId="20B439F4" w14:textId="77777777" w:rsidR="00DF410E" w:rsidRDefault="00CE7F43">
      <w:pPr>
        <w:pStyle w:val="pheading"/>
      </w:pPr>
      <w:r>
        <w:t>MATÉRIAUX</w:t>
      </w:r>
    </w:p>
    <w:p w14:paraId="3D20113E" w14:textId="77777777" w:rsidR="00DF410E" w:rsidRDefault="00CE7F43">
      <w:pPr>
        <w:pStyle w:val="pheading"/>
      </w:pPr>
      <w:r>
        <w:t>- Caractéristiques générales</w:t>
      </w:r>
    </w:p>
    <w:p w14:paraId="12425BEE" w14:textId="77777777" w:rsidR="00DF410E" w:rsidRDefault="00DF410E"/>
    <w:p w14:paraId="16CD7C3A" w14:textId="77777777" w:rsidR="00DF410E" w:rsidRDefault="00CE7F43">
      <w:pPr>
        <w:pStyle w:val="Author-eListParagraph"/>
        <w:numPr>
          <w:ilvl w:val="0"/>
          <w:numId w:val="935"/>
        </w:numPr>
        <w:jc w:val="both"/>
      </w:pPr>
      <w:r>
        <w:t xml:space="preserve">Classe de service, suivant la [NBN EN 1995-1-1] : </w:t>
      </w:r>
      <w:r>
        <w:rPr>
          <w:rStyle w:val="optioncarChar"/>
        </w:rPr>
        <w:t>1 / 2</w:t>
      </w:r>
      <w:r>
        <w:t xml:space="preserve"> (par défaut)</w:t>
      </w:r>
    </w:p>
    <w:p w14:paraId="64236A7A" w14:textId="77777777" w:rsidR="00DF410E" w:rsidRDefault="00CE7F43">
      <w:pPr>
        <w:pStyle w:val="Author-eListParagraph"/>
        <w:numPr>
          <w:ilvl w:val="0"/>
          <w:numId w:val="935"/>
        </w:numPr>
        <w:jc w:val="both"/>
      </w:pPr>
      <w:r>
        <w:t xml:space="preserve">Hauteur disponible pour les caissons : ≤ </w:t>
      </w:r>
      <w:r>
        <w:rPr>
          <w:rStyle w:val="optioncarChar"/>
        </w:rPr>
        <w:t>selon les indications sur les plans</w:t>
      </w:r>
      <w:r>
        <w:t xml:space="preserve"> (par défaut)</w:t>
      </w:r>
      <w:r>
        <w:rPr>
          <w:rStyle w:val="optioncarChar"/>
        </w:rPr>
        <w:t xml:space="preserve"> / ***</w:t>
      </w:r>
      <w:r>
        <w:t xml:space="preserve"> mm, tolérance ± 10 mm</w:t>
      </w:r>
    </w:p>
    <w:p w14:paraId="3DB8A702" w14:textId="77777777" w:rsidR="00DF410E" w:rsidRDefault="00CE7F43">
      <w:pPr>
        <w:pStyle w:val="Author-eListParagraph"/>
        <w:numPr>
          <w:ilvl w:val="0"/>
          <w:numId w:val="935"/>
        </w:numPr>
        <w:jc w:val="both"/>
      </w:pPr>
      <w:r>
        <w:t xml:space="preserve">Portée : ≤ </w:t>
      </w:r>
      <w:r>
        <w:rPr>
          <w:rStyle w:val="optioncarChar"/>
        </w:rPr>
        <w:t xml:space="preserve">selon les indications sur les plans </w:t>
      </w:r>
      <w:r>
        <w:t>(par défaut)</w:t>
      </w:r>
      <w:r>
        <w:rPr>
          <w:rStyle w:val="optioncarChar"/>
        </w:rPr>
        <w:t xml:space="preserve"> / ***</w:t>
      </w:r>
      <w:r>
        <w:t xml:space="preserve"> m, tolérance ± 100 mm</w:t>
      </w:r>
    </w:p>
    <w:p w14:paraId="6FEBC5A6" w14:textId="77777777" w:rsidR="00DF410E" w:rsidRDefault="00CE7F43">
      <w:pPr>
        <w:pStyle w:val="Author-eListParagraph"/>
        <w:numPr>
          <w:ilvl w:val="0"/>
          <w:numId w:val="935"/>
        </w:numPr>
        <w:jc w:val="both"/>
      </w:pPr>
      <w:r>
        <w:t xml:space="preserve">Les planchers sont calculés avec une charge d’exploitation,  suivant l’Eurocode [NBN EN 1991-1-4], [NBN EN 1991-1-4 ANB], [NBN EN 1991-1-4/A1] : </w:t>
      </w:r>
      <w:r>
        <w:rPr>
          <w:rStyle w:val="optioncarChar"/>
        </w:rPr>
        <w:t xml:space="preserve">selon l’affectation des locaux sur les plans </w:t>
      </w:r>
      <w:r>
        <w:t>(par défaut)</w:t>
      </w:r>
      <w:r>
        <w:rPr>
          <w:rStyle w:val="optioncarChar"/>
        </w:rPr>
        <w:t xml:space="preserve"> / 2 / 3 / 4 /</w:t>
      </w:r>
      <w:r>
        <w:t xml:space="preserve"> 5 kN/m² </w:t>
      </w:r>
    </w:p>
    <w:p w14:paraId="430A6DE9" w14:textId="77777777" w:rsidR="00DF410E" w:rsidRDefault="00CE7F43">
      <w:pPr>
        <w:pStyle w:val="Author-eListParagraph"/>
        <w:numPr>
          <w:ilvl w:val="0"/>
          <w:numId w:val="935"/>
        </w:numPr>
        <w:jc w:val="both"/>
      </w:pPr>
      <w:r>
        <w:t xml:space="preserve">Le critère de flèche, suivant la [NBN B 03-003] est de : </w:t>
      </w:r>
      <w:r>
        <w:rPr>
          <w:rStyle w:val="optioncarChar"/>
        </w:rPr>
        <w:t>L/500</w:t>
      </w:r>
      <w:r>
        <w:t xml:space="preserve"> (par défaut)</w:t>
      </w:r>
      <w:r>
        <w:rPr>
          <w:rStyle w:val="optioncarChar"/>
        </w:rPr>
        <w:t xml:space="preserve"> / L/450 / L/300 / L/250</w:t>
      </w:r>
    </w:p>
    <w:p w14:paraId="0227602F" w14:textId="77777777" w:rsidR="00DF410E" w:rsidRDefault="00CE7F43">
      <w:pPr>
        <w:jc w:val="both"/>
      </w:pPr>
      <w:r>
        <w:rPr>
          <w:b/>
        </w:rPr>
        <w:t>Matériau</w:t>
      </w:r>
    </w:p>
    <w:p w14:paraId="3BA1AB10" w14:textId="77777777" w:rsidR="00DF410E" w:rsidRDefault="00CE7F43">
      <w:pPr>
        <w:jc w:val="both"/>
      </w:pPr>
      <w:r>
        <w:t>Planchers à caissons composés de planches en bois massif résineux fabriqués industriellement.</w:t>
      </w:r>
    </w:p>
    <w:p w14:paraId="442C634D" w14:textId="77777777" w:rsidR="00DF410E" w:rsidRDefault="00CE7F43">
      <w:pPr>
        <w:jc w:val="both"/>
      </w:pPr>
      <w:r>
        <w:t>Le caisson est composé au minimum de nervures verticales et d’une face inférieure.</w:t>
      </w:r>
    </w:p>
    <w:p w14:paraId="75EA4D52" w14:textId="77777777" w:rsidR="00DF410E" w:rsidRDefault="00CE7F43">
      <w:pPr>
        <w:jc w:val="both"/>
      </w:pPr>
      <w:r>
        <w:t xml:space="preserve">Présence d’une face supérieure : </w:t>
      </w:r>
      <w:r>
        <w:rPr>
          <w:rStyle w:val="optioncarChar"/>
        </w:rPr>
        <w:t>oui</w:t>
      </w:r>
      <w:r>
        <w:t xml:space="preserve"> (par défaut)</w:t>
      </w:r>
      <w:r>
        <w:rPr>
          <w:rStyle w:val="optioncarChar"/>
        </w:rPr>
        <w:t xml:space="preserve"> / non</w:t>
      </w:r>
    </w:p>
    <w:p w14:paraId="38A54684" w14:textId="77777777" w:rsidR="00DF410E" w:rsidRDefault="00CE7F43">
      <w:pPr>
        <w:jc w:val="both"/>
      </w:pPr>
      <w:r>
        <w:t>Les faces sont assemblées par collage rigide sur toute la longueur des nervures. Entre les nervures, des raidisseurs (des entretoises) destinés à la stabilisation sont disposés à intervalles réguliers ≤ 1,2 m. </w:t>
      </w:r>
    </w:p>
    <w:p w14:paraId="378EF605" w14:textId="77777777" w:rsidR="00DF410E" w:rsidRDefault="00CE7F43">
      <w:pPr>
        <w:jc w:val="both"/>
      </w:pPr>
      <w:r>
        <w:t>Les planches des faces sont reliées dans le sens de la longueur par aboutements collés.</w:t>
      </w:r>
    </w:p>
    <w:p w14:paraId="0280DCE9" w14:textId="77777777" w:rsidR="00DF410E" w:rsidRDefault="00DF410E">
      <w:pPr>
        <w:jc w:val="both"/>
      </w:pPr>
    </w:p>
    <w:p w14:paraId="24A787E0" w14:textId="77777777" w:rsidR="00DF410E" w:rsidRDefault="00CE7F43">
      <w:pPr>
        <w:jc w:val="both"/>
      </w:pPr>
      <w:r>
        <w:rPr>
          <w:u w:val="single"/>
        </w:rPr>
        <w:t>Caractéristiques</w:t>
      </w:r>
    </w:p>
    <w:p w14:paraId="4A145CD1" w14:textId="77777777" w:rsidR="00DF410E" w:rsidRDefault="00CE7F43">
      <w:pPr>
        <w:pStyle w:val="Author-eListParagraph"/>
        <w:numPr>
          <w:ilvl w:val="0"/>
          <w:numId w:val="936"/>
        </w:numPr>
      </w:pPr>
      <w:r>
        <w:t xml:space="preserve">Essence de bois : </w:t>
      </w:r>
      <w:r>
        <w:rPr>
          <w:rStyle w:val="optioncarChar"/>
        </w:rPr>
        <w:t>au choix de l’entrepreneur, à soumettre à l’approbation de l’architecte et du maître de l’ouvrage</w:t>
      </w:r>
      <w:r>
        <w:t xml:space="preserve"> (par défaut)</w:t>
      </w:r>
      <w:r>
        <w:rPr>
          <w:rStyle w:val="optioncarChar"/>
        </w:rPr>
        <w:t xml:space="preserve"> / épicéa / sapin / pin sylvestre (sapin rouge du Nord - SRN) / mélèze / douglas / pin d’Oregon / ***</w:t>
      </w:r>
    </w:p>
    <w:p w14:paraId="0A399080" w14:textId="77777777" w:rsidR="00DF410E" w:rsidRDefault="00CE7F43">
      <w:pPr>
        <w:pStyle w:val="Author-eListParagraph"/>
        <w:numPr>
          <w:ilvl w:val="0"/>
          <w:numId w:val="936"/>
        </w:numPr>
      </w:pPr>
      <w:r>
        <w:t xml:space="preserve">Classe de résistance : ≥ </w:t>
      </w:r>
      <w:r>
        <w:rPr>
          <w:rStyle w:val="optioncarChar"/>
        </w:rPr>
        <w:t>suivant l’étude</w:t>
      </w:r>
      <w:r>
        <w:t xml:space="preserve"> (par défaut)</w:t>
      </w:r>
      <w:r>
        <w:rPr>
          <w:rStyle w:val="optioncarChar"/>
        </w:rPr>
        <w:t xml:space="preserve"> / C16 / C18 / C24</w:t>
      </w:r>
    </w:p>
    <w:p w14:paraId="5D69386B" w14:textId="77777777" w:rsidR="00DF410E" w:rsidRDefault="00CE7F43">
      <w:pPr>
        <w:pStyle w:val="Author-eListParagraph"/>
        <w:numPr>
          <w:ilvl w:val="0"/>
          <w:numId w:val="936"/>
        </w:numPr>
      </w:pPr>
      <w:r>
        <w:t xml:space="preserve">Largeur des éléments : ≤ </w:t>
      </w:r>
      <w:r>
        <w:rPr>
          <w:rStyle w:val="optioncarChar"/>
        </w:rPr>
        <w:t xml:space="preserve">au choix de l’entrepreneur </w:t>
      </w:r>
      <w:r>
        <w:t>(par défaut)</w:t>
      </w:r>
      <w:r>
        <w:rPr>
          <w:rStyle w:val="optioncarChar"/>
        </w:rPr>
        <w:t xml:space="preserve"> / 20 / 60 / 100</w:t>
      </w:r>
      <w:r>
        <w:t xml:space="preserve"> cm, tolérance ± 2 cm.</w:t>
      </w:r>
    </w:p>
    <w:p w14:paraId="28A64A5F" w14:textId="77777777" w:rsidR="00DF410E" w:rsidRDefault="00CE7F43">
      <w:pPr>
        <w:pStyle w:val="Author-eListParagraph"/>
        <w:numPr>
          <w:ilvl w:val="0"/>
          <w:numId w:val="936"/>
        </w:numPr>
      </w:pPr>
      <w:r>
        <w:t>Classe de réaction au feu, selon la [NBN EN 13501-1] : D-s1, d0</w:t>
      </w:r>
    </w:p>
    <w:p w14:paraId="0E7FEEC3" w14:textId="77777777" w:rsidR="00DF410E" w:rsidRDefault="00CE7F43">
      <w:pPr>
        <w:pStyle w:val="Author-eListParagraph"/>
        <w:numPr>
          <w:ilvl w:val="0"/>
          <w:numId w:val="936"/>
        </w:numPr>
      </w:pPr>
      <w:r>
        <w:t>Nature du collage : adhésifs polyuréthane monocomposant durcissant à l'humidité (PUR) :</w:t>
      </w:r>
      <w:r>
        <w:br/>
        <w:t>Les adhésifs polyuréthane monocomposant durcissant à l’humidité satisfont aux exigences de la [NBN EN 15425] et [NBN EN 302-2]. Pour les adhésifs polyuréthane monocomposant durcissant à l'humidité devant être utilisés dans des aboutages à entures multiples, l'essai de délamination conformément à la [NBN EN 302-2] peut être remplacé par des essais conformément à la [NBN EN 301].</w:t>
      </w:r>
    </w:p>
    <w:p w14:paraId="5CF776EB" w14:textId="77777777" w:rsidR="00DF410E" w:rsidRDefault="00CE7F43">
      <w:pPr>
        <w:pStyle w:val="Author-eListParagraph"/>
        <w:numPr>
          <w:ilvl w:val="0"/>
          <w:numId w:val="936"/>
        </w:numPr>
      </w:pPr>
      <w:r>
        <w:t>Classe d’émission de formaldéhyde, selon la [NBN EN ISO 12460-5] : E1</w:t>
      </w:r>
    </w:p>
    <w:p w14:paraId="1C9A0B89" w14:textId="77777777" w:rsidR="00DF410E" w:rsidRDefault="00CE7F43">
      <w:pPr>
        <w:pStyle w:val="Author-eListParagraph"/>
        <w:numPr>
          <w:ilvl w:val="0"/>
          <w:numId w:val="936"/>
        </w:numPr>
      </w:pPr>
      <w:r>
        <w:t>Les nœuds des planches sont collés avant tout rabotage.</w:t>
      </w:r>
    </w:p>
    <w:p w14:paraId="5CB94B67" w14:textId="77777777" w:rsidR="00DF410E" w:rsidRDefault="00CE7F43">
      <w:pPr>
        <w:pStyle w:val="Author-eListParagraph"/>
        <w:numPr>
          <w:ilvl w:val="0"/>
          <w:numId w:val="936"/>
        </w:numPr>
      </w:pPr>
      <w:r>
        <w:t>Assemblage latéral entre caissons : rainuré-langueté</w:t>
      </w:r>
    </w:p>
    <w:p w14:paraId="4B8E96F1" w14:textId="77777777" w:rsidR="00DF410E" w:rsidRDefault="00CE7F43">
      <w:pPr>
        <w:pStyle w:val="Author-eListParagraph"/>
        <w:numPr>
          <w:ilvl w:val="0"/>
          <w:numId w:val="936"/>
        </w:numPr>
      </w:pPr>
      <w:r>
        <w:t>Finition des bords : droits</w:t>
      </w:r>
    </w:p>
    <w:p w14:paraId="3841844D" w14:textId="77777777" w:rsidR="00DF410E" w:rsidRDefault="00CE7F43">
      <w:pPr>
        <w:pStyle w:val="Author-eListParagraph"/>
        <w:numPr>
          <w:ilvl w:val="0"/>
          <w:numId w:val="936"/>
        </w:numPr>
      </w:pPr>
      <w:r>
        <w:t xml:space="preserve">Finition de la face inférieure : </w:t>
      </w:r>
      <w:r>
        <w:rPr>
          <w:rStyle w:val="optioncarChar"/>
        </w:rPr>
        <w:t>poncée (vue)</w:t>
      </w:r>
      <w:r>
        <w:t xml:space="preserve"> (par défaut)</w:t>
      </w:r>
      <w:r>
        <w:rPr>
          <w:rStyle w:val="optioncarChar"/>
        </w:rPr>
        <w:t xml:space="preserve"> / rabotée</w:t>
      </w:r>
    </w:p>
    <w:p w14:paraId="447D5544" w14:textId="77777777" w:rsidR="00DF410E" w:rsidRDefault="00CE7F43">
      <w:pPr>
        <w:pStyle w:val="Author-eListParagraph"/>
        <w:numPr>
          <w:ilvl w:val="0"/>
          <w:numId w:val="936"/>
        </w:numPr>
      </w:pPr>
      <w:r>
        <w:t xml:space="preserve">Finition de la face supérieure : </w:t>
      </w:r>
      <w:r>
        <w:rPr>
          <w:rStyle w:val="optioncarChar"/>
        </w:rPr>
        <w:t>poncée (vue)</w:t>
      </w:r>
      <w:r>
        <w:t xml:space="preserve"> (par défaut) </w:t>
      </w:r>
      <w:r>
        <w:rPr>
          <w:rStyle w:val="optioncarChar"/>
        </w:rPr>
        <w:t>/ brossée (vue) / rabotée /pas de face supérieure</w:t>
      </w:r>
    </w:p>
    <w:p w14:paraId="173CDCA2" w14:textId="77777777" w:rsidR="00DF410E" w:rsidRDefault="00CE7F43">
      <w:pPr>
        <w:jc w:val="both"/>
      </w:pPr>
      <w:r>
        <w:rPr>
          <w:b/>
        </w:rPr>
        <w:t>Lestage</w:t>
      </w:r>
    </w:p>
    <w:p w14:paraId="14E8FEE8" w14:textId="77777777" w:rsidR="00DF410E" w:rsidRDefault="00CE7F43">
      <w:pPr>
        <w:jc w:val="both"/>
      </w:pPr>
      <w:r>
        <w:t xml:space="preserve">Réalisation d’un lestage inséré dans les cellules des caissons : </w:t>
      </w:r>
      <w:r>
        <w:rPr>
          <w:rStyle w:val="optioncarChar"/>
        </w:rPr>
        <w:t>non</w:t>
      </w:r>
      <w:r>
        <w:t xml:space="preserve"> (par défaut)</w:t>
      </w:r>
      <w:r>
        <w:rPr>
          <w:rStyle w:val="optioncarChar"/>
        </w:rPr>
        <w:t xml:space="preserve"> / briques de béton / granulat</w:t>
      </w:r>
    </w:p>
    <w:p w14:paraId="4987CBC5" w14:textId="77777777" w:rsidR="00DF410E" w:rsidRDefault="00CE7F43">
      <w:pPr>
        <w:jc w:val="both"/>
      </w:pPr>
      <w:r>
        <w:rPr>
          <w:b/>
        </w:rPr>
        <w:t>(soit par défaut)</w:t>
      </w:r>
    </w:p>
    <w:p w14:paraId="79A114F6" w14:textId="77777777" w:rsidR="00DF410E" w:rsidRDefault="00CE7F43">
      <w:pPr>
        <w:jc w:val="both"/>
      </w:pPr>
      <w:r>
        <w:rPr>
          <w:rStyle w:val="soitChar"/>
          <w:u w:val="single"/>
        </w:rPr>
        <w:t>Non :</w:t>
      </w:r>
      <w:r>
        <w:rPr>
          <w:rStyle w:val="soitChar"/>
        </w:rPr>
        <w:t xml:space="preserve"> pas de lestage.</w:t>
      </w:r>
    </w:p>
    <w:p w14:paraId="33AE1DC0" w14:textId="77777777" w:rsidR="00DF410E" w:rsidRDefault="00CE7F43">
      <w:pPr>
        <w:jc w:val="both"/>
      </w:pPr>
      <w:r>
        <w:rPr>
          <w:b/>
        </w:rPr>
        <w:t>(soit)</w:t>
      </w:r>
    </w:p>
    <w:p w14:paraId="39B8164F" w14:textId="77777777" w:rsidR="00DF410E" w:rsidRDefault="00CE7F43">
      <w:pPr>
        <w:jc w:val="both"/>
      </w:pPr>
      <w:r>
        <w:rPr>
          <w:rStyle w:val="soitChar"/>
          <w:u w:val="single"/>
        </w:rPr>
        <w:t>Briques de béton :</w:t>
      </w:r>
    </w:p>
    <w:p w14:paraId="663C9A15" w14:textId="77777777" w:rsidR="00DF410E" w:rsidRDefault="00CE7F43">
      <w:pPr>
        <w:jc w:val="both"/>
      </w:pPr>
      <w:r>
        <w:rPr>
          <w:rStyle w:val="soitChar"/>
        </w:rPr>
        <w:t xml:space="preserve"> Une couche d’isolant en fibre de bois de 2 cm d’épaisseur est placée dans le fond des nervures. Des briques de béton sont posées sur cette couche.</w:t>
      </w:r>
    </w:p>
    <w:p w14:paraId="3DEFF91C" w14:textId="77777777" w:rsidR="00DF410E" w:rsidRDefault="00CE7F43">
      <w:pPr>
        <w:pStyle w:val="Author-eListParagraph"/>
        <w:numPr>
          <w:ilvl w:val="0"/>
          <w:numId w:val="937"/>
        </w:numPr>
      </w:pPr>
      <w:r>
        <w:rPr>
          <w:rStyle w:val="soitChar"/>
        </w:rPr>
        <w:t>Masse volumique des briques béton ≥ 2200 kg/m³ </w:t>
      </w:r>
    </w:p>
    <w:p w14:paraId="3A348D13" w14:textId="77777777" w:rsidR="00DF410E" w:rsidRDefault="00CE7F43">
      <w:pPr>
        <w:pStyle w:val="Author-eListParagraph"/>
        <w:numPr>
          <w:ilvl w:val="0"/>
          <w:numId w:val="937"/>
        </w:numPr>
      </w:pPr>
      <w:r>
        <w:rPr>
          <w:rStyle w:val="soitChar"/>
        </w:rPr>
        <w:t xml:space="preserve">Masse de lestage : </w:t>
      </w:r>
      <w:r>
        <w:rPr>
          <w:rStyle w:val="optioncarChar"/>
        </w:rPr>
        <w:t xml:space="preserve">50 / 75 </w:t>
      </w:r>
      <w:r>
        <w:t>(par défaut)</w:t>
      </w:r>
      <w:r>
        <w:rPr>
          <w:rStyle w:val="optioncarChar"/>
        </w:rPr>
        <w:t xml:space="preserve"> / 90 </w:t>
      </w:r>
      <w:r>
        <w:rPr>
          <w:rStyle w:val="soitChar"/>
        </w:rPr>
        <w:t>kg/m²</w:t>
      </w:r>
    </w:p>
    <w:p w14:paraId="0D14ECF2" w14:textId="77777777" w:rsidR="00DF410E" w:rsidRDefault="00CE7F43">
      <w:pPr>
        <w:jc w:val="both"/>
      </w:pPr>
      <w:r>
        <w:rPr>
          <w:b/>
        </w:rPr>
        <w:t>(soit)</w:t>
      </w:r>
    </w:p>
    <w:p w14:paraId="76D2A79F" w14:textId="77777777" w:rsidR="00DF410E" w:rsidRDefault="00CE7F43">
      <w:pPr>
        <w:jc w:val="both"/>
      </w:pPr>
      <w:r>
        <w:rPr>
          <w:rStyle w:val="soitChar"/>
          <w:u w:val="single"/>
        </w:rPr>
        <w:t>Granulat :</w:t>
      </w:r>
    </w:p>
    <w:p w14:paraId="0A75894F" w14:textId="77777777" w:rsidR="00DF410E" w:rsidRDefault="00CE7F43">
      <w:pPr>
        <w:jc w:val="both"/>
      </w:pPr>
      <w:r>
        <w:rPr>
          <w:rStyle w:val="soitChar"/>
        </w:rPr>
        <w:t>Les cavités sont lestées avec du granulat séché.</w:t>
      </w:r>
    </w:p>
    <w:p w14:paraId="5A2149A1" w14:textId="77777777" w:rsidR="00DF410E" w:rsidRDefault="00CE7F43">
      <w:pPr>
        <w:pStyle w:val="Author-eListParagraph"/>
        <w:numPr>
          <w:ilvl w:val="0"/>
          <w:numId w:val="938"/>
        </w:numPr>
      </w:pPr>
      <w:r>
        <w:rPr>
          <w:rStyle w:val="soitChar"/>
        </w:rPr>
        <w:t>Granulométrie ≤ 4mm</w:t>
      </w:r>
    </w:p>
    <w:p w14:paraId="4A128C97" w14:textId="77777777" w:rsidR="00DF410E" w:rsidRDefault="00CE7F43">
      <w:pPr>
        <w:pStyle w:val="Author-eListParagraph"/>
        <w:numPr>
          <w:ilvl w:val="0"/>
          <w:numId w:val="938"/>
        </w:numPr>
      </w:pPr>
      <w:r>
        <w:rPr>
          <w:rStyle w:val="soitChar"/>
        </w:rPr>
        <w:t xml:space="preserve">Nature du granulat : </w:t>
      </w:r>
      <w:r>
        <w:rPr>
          <w:rStyle w:val="optioncarChar"/>
        </w:rPr>
        <w:t>calcaire </w:t>
      </w:r>
      <w:r>
        <w:t>(par défaut)</w:t>
      </w:r>
      <w:r>
        <w:rPr>
          <w:rStyle w:val="optioncarChar"/>
        </w:rPr>
        <w:t xml:space="preserve"> / argile expansée</w:t>
      </w:r>
    </w:p>
    <w:p w14:paraId="44A8544C" w14:textId="77777777" w:rsidR="00DF410E" w:rsidRDefault="00CE7F43">
      <w:pPr>
        <w:pStyle w:val="Author-eListParagraph"/>
        <w:numPr>
          <w:ilvl w:val="0"/>
          <w:numId w:val="938"/>
        </w:numPr>
      </w:pPr>
      <w:r>
        <w:rPr>
          <w:rStyle w:val="soitChar"/>
        </w:rPr>
        <w:t xml:space="preserve">Masse volumique apparente des granulats : ≤ </w:t>
      </w:r>
      <w:r>
        <w:rPr>
          <w:rStyle w:val="optioncarChar"/>
        </w:rPr>
        <w:t>750 / 1000 / 1500</w:t>
      </w:r>
      <w:r>
        <w:t xml:space="preserve"> (par défaut) </w:t>
      </w:r>
      <w:r>
        <w:rPr>
          <w:rStyle w:val="soitChar"/>
        </w:rPr>
        <w:t>kg/m³</w:t>
      </w:r>
    </w:p>
    <w:p w14:paraId="08B6C07A" w14:textId="77777777" w:rsidR="00DF410E" w:rsidRDefault="00CE7F43">
      <w:pPr>
        <w:pStyle w:val="Author-eListParagraph"/>
        <w:numPr>
          <w:ilvl w:val="0"/>
          <w:numId w:val="938"/>
        </w:numPr>
      </w:pPr>
      <w:r>
        <w:rPr>
          <w:rStyle w:val="soitChar"/>
        </w:rPr>
        <w:t xml:space="preserve">Masse de lestage : </w:t>
      </w:r>
      <w:r>
        <w:rPr>
          <w:rStyle w:val="optioncarChar"/>
        </w:rPr>
        <w:t xml:space="preserve">50 / 75 </w:t>
      </w:r>
      <w:r>
        <w:t>(par défaut)</w:t>
      </w:r>
      <w:r>
        <w:rPr>
          <w:rStyle w:val="optioncarChar"/>
        </w:rPr>
        <w:t xml:space="preserve"> / 90 </w:t>
      </w:r>
      <w:r>
        <w:rPr>
          <w:rStyle w:val="soitChar"/>
        </w:rPr>
        <w:t>kg/m²</w:t>
      </w:r>
    </w:p>
    <w:p w14:paraId="6602CC21" w14:textId="77777777" w:rsidR="00DF410E" w:rsidRDefault="00CE7F43">
      <w:pPr>
        <w:jc w:val="both"/>
      </w:pPr>
      <w:r>
        <w:rPr>
          <w:b/>
        </w:rPr>
        <w:t>Absorption acoustique</w:t>
      </w:r>
    </w:p>
    <w:p w14:paraId="145DF697" w14:textId="77777777" w:rsidR="00DF410E" w:rsidRDefault="00CE7F43">
      <w:pPr>
        <w:jc w:val="both"/>
      </w:pPr>
      <w:r>
        <w:t xml:space="preserve">La face inférieure présente des ouvertures pour l’absorption acoustique : </w:t>
      </w:r>
      <w:r>
        <w:rPr>
          <w:rStyle w:val="optioncarChar"/>
        </w:rPr>
        <w:t>non</w:t>
      </w:r>
      <w:r>
        <w:t xml:space="preserve"> (par défaut)</w:t>
      </w:r>
      <w:r>
        <w:rPr>
          <w:rStyle w:val="optioncarChar"/>
        </w:rPr>
        <w:t xml:space="preserve"> / oui</w:t>
      </w:r>
    </w:p>
    <w:p w14:paraId="73C9C835" w14:textId="77777777" w:rsidR="00DF410E" w:rsidRDefault="00CE7F43">
      <w:pPr>
        <w:jc w:val="both"/>
      </w:pPr>
      <w:r>
        <w:t>Dans le cas où un absorbeur acoustique est prévu, la face inférieure présente des ouvertures d’absorption acoustique. Une couche d’absorbeur est placée au-dessus de la face inférieure.</w:t>
      </w:r>
    </w:p>
    <w:p w14:paraId="1F1292CA" w14:textId="77777777" w:rsidR="00DF410E" w:rsidRDefault="00CE7F43">
      <w:pPr>
        <w:pStyle w:val="Author-eListParagraph"/>
        <w:numPr>
          <w:ilvl w:val="0"/>
          <w:numId w:val="939"/>
        </w:numPr>
      </w:pPr>
      <w:r>
        <w:t xml:space="preserve">Matériau : </w:t>
      </w:r>
      <w:r>
        <w:rPr>
          <w:rStyle w:val="optioncarChar"/>
        </w:rPr>
        <w:t>fibre de bois</w:t>
      </w:r>
      <w:r>
        <w:t xml:space="preserve"> (par défaut)</w:t>
      </w:r>
      <w:r>
        <w:rPr>
          <w:rStyle w:val="optioncarChar"/>
        </w:rPr>
        <w:t xml:space="preserve"> / ***</w:t>
      </w:r>
    </w:p>
    <w:p w14:paraId="26961AD6" w14:textId="77777777" w:rsidR="00DF410E" w:rsidRDefault="00CE7F43">
      <w:pPr>
        <w:pStyle w:val="Author-eListParagraph"/>
        <w:numPr>
          <w:ilvl w:val="0"/>
          <w:numId w:val="939"/>
        </w:numPr>
      </w:pPr>
      <w:r>
        <w:t xml:space="preserve">Masse volumique de l’absorbeur : ≤ </w:t>
      </w:r>
      <w:r>
        <w:rPr>
          <w:rStyle w:val="optioncarChar"/>
        </w:rPr>
        <w:t>110</w:t>
      </w:r>
      <w:r>
        <w:t xml:space="preserve"> (par défaut)</w:t>
      </w:r>
      <w:r>
        <w:rPr>
          <w:rStyle w:val="optioncarChar"/>
        </w:rPr>
        <w:t xml:space="preserve"> / ***</w:t>
      </w:r>
      <w:r>
        <w:t> kg/m³</w:t>
      </w:r>
    </w:p>
    <w:p w14:paraId="67905A35" w14:textId="77777777" w:rsidR="00DF410E" w:rsidRDefault="00CE7F43">
      <w:pPr>
        <w:pStyle w:val="Author-eListParagraph"/>
        <w:numPr>
          <w:ilvl w:val="0"/>
          <w:numId w:val="939"/>
        </w:numPr>
      </w:pPr>
      <w:r>
        <w:t xml:space="preserve">Epaisseur de l’absorbeur :  ≥ </w:t>
      </w:r>
      <w:r>
        <w:rPr>
          <w:rStyle w:val="optioncarChar"/>
        </w:rPr>
        <w:t>20 / 22 / 26 / 40</w:t>
      </w:r>
      <w:r>
        <w:t xml:space="preserve"> (par défaut) mm</w:t>
      </w:r>
    </w:p>
    <w:p w14:paraId="27E1949F" w14:textId="77777777" w:rsidR="00DF410E" w:rsidRDefault="00CE7F43">
      <w:pPr>
        <w:pStyle w:val="Author-eListParagraph"/>
        <w:numPr>
          <w:ilvl w:val="0"/>
          <w:numId w:val="939"/>
        </w:numPr>
      </w:pPr>
      <w:r>
        <w:t xml:space="preserve">Forme des ouvertures : </w:t>
      </w:r>
      <w:r>
        <w:rPr>
          <w:rStyle w:val="optioncarChar"/>
        </w:rPr>
        <w:t xml:space="preserve">rondes </w:t>
      </w:r>
      <w:r>
        <w:t>(par défaut)</w:t>
      </w:r>
      <w:r>
        <w:rPr>
          <w:rStyle w:val="optioncarChar"/>
        </w:rPr>
        <w:t xml:space="preserve"> / rainures </w:t>
      </w:r>
    </w:p>
    <w:p w14:paraId="140F6AC9" w14:textId="77777777" w:rsidR="00DF410E" w:rsidRDefault="00CE7F43">
      <w:pPr>
        <w:pStyle w:val="Author-eListParagraph"/>
        <w:numPr>
          <w:ilvl w:val="0"/>
          <w:numId w:val="939"/>
        </w:numPr>
      </w:pPr>
      <w:r>
        <w:t xml:space="preserve">Caractéristiques des ouvertures : </w:t>
      </w:r>
      <w:r>
        <w:rPr>
          <w:rStyle w:val="optioncarChar"/>
        </w:rPr>
        <w:t>à soumettre sur chantier à l'approbation à l'architecte et au maître de l'ouvrage en fonction du nuancier du fabricant</w:t>
      </w:r>
      <w:r>
        <w:t xml:space="preserve"> (par défaut)</w:t>
      </w:r>
      <w:r>
        <w:rPr>
          <w:rStyle w:val="optioncarChar"/>
        </w:rPr>
        <w:t xml:space="preserve"> / ***</w:t>
      </w:r>
    </w:p>
    <w:p w14:paraId="2E805E63" w14:textId="77777777" w:rsidR="00DF410E" w:rsidRDefault="00CE7F43">
      <w:pPr>
        <w:pStyle w:val="Author-eListParagraph"/>
        <w:numPr>
          <w:ilvl w:val="0"/>
          <w:numId w:val="939"/>
        </w:numPr>
      </w:pPr>
      <w:r>
        <w:t>Coefficient d’absorption pondéré, suivant la norme [NBN EN ISO 11654], αw ≥ </w:t>
      </w:r>
      <w:r>
        <w:rPr>
          <w:rStyle w:val="optioncarChar"/>
        </w:rPr>
        <w:t xml:space="preserve">0,4 / 0,5 </w:t>
      </w:r>
      <w:r>
        <w:t xml:space="preserve">(par défaut) </w:t>
      </w:r>
      <w:r>
        <w:rPr>
          <w:rStyle w:val="optioncarChar"/>
        </w:rPr>
        <w:t>/ 0,6 / 0,7 / 0,8 / 0,9</w:t>
      </w:r>
    </w:p>
    <w:p w14:paraId="0DB1CCBE" w14:textId="77777777" w:rsidR="00DF410E" w:rsidRDefault="00CE7F43">
      <w:pPr>
        <w:jc w:val="both"/>
      </w:pPr>
      <w:r>
        <w:rPr>
          <w:b/>
        </w:rPr>
        <w:t>Isolation thermique</w:t>
      </w:r>
    </w:p>
    <w:p w14:paraId="79084127" w14:textId="77777777" w:rsidR="00DF410E" w:rsidRDefault="00CE7F43">
      <w:pPr>
        <w:jc w:val="both"/>
      </w:pPr>
      <w:r>
        <w:t xml:space="preserve">De l’isolant thermique est placé à l’intérieur des caissons : </w:t>
      </w:r>
      <w:r>
        <w:rPr>
          <w:rStyle w:val="optioncarChar"/>
        </w:rPr>
        <w:t>non</w:t>
      </w:r>
      <w:r>
        <w:t xml:space="preserve"> (par défaut)</w:t>
      </w:r>
      <w:r>
        <w:rPr>
          <w:rStyle w:val="optioncarChar"/>
        </w:rPr>
        <w:t xml:space="preserve"> / oui</w:t>
      </w:r>
    </w:p>
    <w:p w14:paraId="4CB874D8" w14:textId="77777777" w:rsidR="00DF410E" w:rsidRDefault="00CE7F43">
      <w:pPr>
        <w:jc w:val="both"/>
      </w:pPr>
      <w:r>
        <w:t>Dans le cas où un isolant thermique est prévu, celui-ci est placé à l’intérieur des caissons, dans toute leur épaisseur :</w:t>
      </w:r>
    </w:p>
    <w:p w14:paraId="5B677016" w14:textId="77777777" w:rsidR="00DF410E" w:rsidRDefault="00CE7F43">
      <w:pPr>
        <w:pStyle w:val="Author-eListParagraph"/>
        <w:numPr>
          <w:ilvl w:val="0"/>
          <w:numId w:val="940"/>
        </w:numPr>
      </w:pPr>
      <w:r>
        <w:t xml:space="preserve">Nature de l’isolant : </w:t>
      </w:r>
      <w:r>
        <w:rPr>
          <w:rStyle w:val="optioncarChar"/>
        </w:rPr>
        <w:t>laine de bois</w:t>
      </w:r>
      <w:r>
        <w:t> (par défaut)</w:t>
      </w:r>
      <w:r>
        <w:rPr>
          <w:rStyle w:val="optioncarChar"/>
        </w:rPr>
        <w:t> / laine de verre / ***</w:t>
      </w:r>
    </w:p>
    <w:p w14:paraId="2A43F23B" w14:textId="77777777" w:rsidR="00DF410E" w:rsidRDefault="00CE7F43">
      <w:pPr>
        <w:pStyle w:val="Author-eListParagraph"/>
        <w:numPr>
          <w:ilvl w:val="0"/>
          <w:numId w:val="940"/>
        </w:numPr>
      </w:pPr>
      <w:r>
        <w:t>Conductivité thermique lambda, suivant la [NBN EN 12667] ou [NBN EN ISO 10456] : ≤ </w:t>
      </w:r>
      <w:r>
        <w:rPr>
          <w:rStyle w:val="optioncarChar"/>
        </w:rPr>
        <w:t xml:space="preserve">0,040 </w:t>
      </w:r>
      <w:r>
        <w:t>(par défaut)</w:t>
      </w:r>
      <w:r>
        <w:rPr>
          <w:rStyle w:val="optioncarChar"/>
        </w:rPr>
        <w:t xml:space="preserve"> / 0,035</w:t>
      </w:r>
      <w:r>
        <w:t> W/(m.K) </w:t>
      </w:r>
    </w:p>
    <w:p w14:paraId="0BB08D0A" w14:textId="77777777" w:rsidR="00DF410E" w:rsidRDefault="00CE7F43">
      <w:pPr>
        <w:jc w:val="both"/>
      </w:pPr>
      <w:r>
        <w:rPr>
          <w:b/>
        </w:rPr>
        <w:t>Résistance au feu</w:t>
      </w:r>
    </w:p>
    <w:p w14:paraId="0F1F76AD" w14:textId="77777777" w:rsidR="00DF410E" w:rsidRDefault="00CE7F43">
      <w:pPr>
        <w:jc w:val="both"/>
      </w:pPr>
      <w:r>
        <w:t xml:space="preserve">Le plancher présente une résistance au feu, selon la [NBN EN 13501-2] : </w:t>
      </w:r>
      <w:r>
        <w:rPr>
          <w:rStyle w:val="optioncarChar"/>
        </w:rPr>
        <w:t xml:space="preserve">pas d’application / REI30 </w:t>
      </w:r>
      <w:r>
        <w:t>(par défaut)</w:t>
      </w:r>
      <w:r>
        <w:rPr>
          <w:rStyle w:val="optioncarChar"/>
        </w:rPr>
        <w:t xml:space="preserve"> / REI60 / REI 90 / REI 120</w:t>
      </w:r>
    </w:p>
    <w:p w14:paraId="45188D9C" w14:textId="77777777" w:rsidR="00DF410E" w:rsidRDefault="00CE7F43">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w:t>
      </w:r>
      <w:r>
        <w:t xml:space="preserve"> du bois.</w:t>
      </w:r>
    </w:p>
    <w:p w14:paraId="59FD6D71" w14:textId="77777777" w:rsidR="00DF410E" w:rsidRDefault="00CE7F43">
      <w:pPr>
        <w:pStyle w:val="pheading"/>
      </w:pPr>
      <w:r>
        <w:t>- Finitions</w:t>
      </w:r>
    </w:p>
    <w:p w14:paraId="6A5C64BC" w14:textId="77777777" w:rsidR="00DF410E" w:rsidRDefault="00CE7F43">
      <w:pPr>
        <w:jc w:val="both"/>
      </w:pPr>
      <w:r>
        <w:rPr>
          <w:b/>
        </w:rPr>
        <w:t>Traitement de finition du bois en atelier</w:t>
      </w:r>
    </w:p>
    <w:p w14:paraId="75917495" w14:textId="77777777" w:rsidR="00DF410E" w:rsidRDefault="00CE7F43">
      <w:pPr>
        <w:jc w:val="both"/>
      </w:pPr>
      <w:r>
        <w:t xml:space="preserve">Traitement des parties visibles du bois : </w:t>
      </w:r>
      <w:r>
        <w:rPr>
          <w:rStyle w:val="optioncarChar"/>
        </w:rPr>
        <w:t>pas de finition</w:t>
      </w:r>
      <w:r>
        <w:t xml:space="preserve"> (par défaut)</w:t>
      </w:r>
      <w:r>
        <w:rPr>
          <w:rStyle w:val="optioncarChar"/>
        </w:rPr>
        <w:t xml:space="preserve"> / application d’une finition</w:t>
      </w:r>
    </w:p>
    <w:p w14:paraId="683274BC" w14:textId="77777777" w:rsidR="00DF410E" w:rsidRDefault="00CE7F43">
      <w:pPr>
        <w:jc w:val="both"/>
      </w:pPr>
      <w:r>
        <w:rPr>
          <w:u w:val="single"/>
        </w:rPr>
        <w:t>Dans le cas de l’application d’une finition sur le bois prévue dans le présent travail :</w:t>
      </w:r>
    </w:p>
    <w:p w14:paraId="72B52CD5" w14:textId="77777777" w:rsidR="00DF410E" w:rsidRDefault="00CE7F43">
      <w:pPr>
        <w:pStyle w:val="Author-eListParagraph"/>
        <w:numPr>
          <w:ilvl w:val="0"/>
          <w:numId w:val="941"/>
        </w:numPr>
        <w:jc w:val="both"/>
      </w:pPr>
      <w:r>
        <w:t xml:space="preserve">Type de traitement : </w:t>
      </w:r>
      <w:r>
        <w:rPr>
          <w:rStyle w:val="optioncarChar"/>
        </w:rPr>
        <w:t>anti UV</w:t>
      </w:r>
      <w:r>
        <w:t xml:space="preserve"> (par défaut)</w:t>
      </w:r>
      <w:r>
        <w:rPr>
          <w:rStyle w:val="optioncarChar"/>
        </w:rPr>
        <w:t xml:space="preserve"> / lasure / verni / peinture / huile / céruse</w:t>
      </w:r>
    </w:p>
    <w:p w14:paraId="2B85CDBC" w14:textId="77777777" w:rsidR="00DF410E" w:rsidRDefault="00CE7F43">
      <w:pPr>
        <w:pStyle w:val="Author-eListParagraph"/>
        <w:numPr>
          <w:ilvl w:val="0"/>
          <w:numId w:val="941"/>
        </w:numPr>
        <w:jc w:val="both"/>
      </w:pPr>
      <w:r>
        <w:t xml:space="preserve">Teinte : </w:t>
      </w:r>
      <w:r>
        <w:rPr>
          <w:rStyle w:val="optioncarChar"/>
        </w:rPr>
        <w:t>transparent</w:t>
      </w:r>
      <w:r>
        <w:t xml:space="preserve"> (par défaut)</w:t>
      </w:r>
      <w:r>
        <w:rPr>
          <w:rStyle w:val="optioncarChar"/>
        </w:rPr>
        <w:t xml:space="preserve"> / pigmenté blanchâtre / transparent / blanc / RAL : ***</w:t>
      </w:r>
    </w:p>
    <w:p w14:paraId="47325D91" w14:textId="77777777" w:rsidR="00DF410E" w:rsidRDefault="00CE7F43">
      <w:pPr>
        <w:pStyle w:val="pheading"/>
      </w:pPr>
      <w:r>
        <w:t>EXÉCUTION / MISE EN ŒUVRE</w:t>
      </w:r>
    </w:p>
    <w:p w14:paraId="723C6D52" w14:textId="77777777" w:rsidR="00DF410E" w:rsidRDefault="00CE7F43">
      <w:pPr>
        <w:pStyle w:val="pheading"/>
      </w:pPr>
      <w:r>
        <w:t>- Prescriptions générales</w:t>
      </w:r>
    </w:p>
    <w:p w14:paraId="133AE757" w14:textId="77777777" w:rsidR="00DF410E" w:rsidRDefault="00CE7F43">
      <w:pPr>
        <w:jc w:val="both"/>
      </w:pPr>
      <w:r>
        <w:rPr>
          <w:b/>
        </w:rPr>
        <w:t>Etude</w:t>
      </w:r>
    </w:p>
    <w:p w14:paraId="55C9B485" w14:textId="77777777" w:rsidR="00DF410E" w:rsidRDefault="00CE7F43">
      <w:pPr>
        <w:jc w:val="both"/>
      </w:pPr>
      <w:r>
        <w:t xml:space="preserve">Choix opéré, conformément aux prescriptions du </w:t>
      </w:r>
      <w:hyperlink w:anchor="601"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 </w:t>
      </w:r>
    </w:p>
    <w:p w14:paraId="361F29D5" w14:textId="77777777" w:rsidR="00DF410E" w:rsidRDefault="00CE7F43">
      <w:pPr>
        <w:jc w:val="both"/>
      </w:pPr>
      <w:r>
        <w:rPr>
          <w:b/>
        </w:rPr>
        <w:t>Mise en œuvre</w:t>
      </w:r>
    </w:p>
    <w:p w14:paraId="6494B036" w14:textId="77777777" w:rsidR="00DF410E" w:rsidRDefault="00CE7F43">
      <w:pPr>
        <w:jc w:val="both"/>
      </w:pPr>
      <w:r>
        <w:t xml:space="preserve">Les planchers sont posés conformément aux prescriptions du </w:t>
      </w:r>
      <w:hyperlink w:anchor="601" w:history="1">
        <w:r>
          <w:t>24.22.2 Planchers en bois préfabriqués</w:t>
        </w:r>
      </w:hyperlink>
      <w:r>
        <w:t xml:space="preserve"> : </w:t>
      </w:r>
      <w:r>
        <w:rPr>
          <w:rStyle w:val="optioncarChar"/>
        </w:rPr>
        <w:t>sur des muralières en bois</w:t>
      </w:r>
      <w:r>
        <w:t xml:space="preserve"> (par défaut)</w:t>
      </w:r>
      <w:r>
        <w:rPr>
          <w:rStyle w:val="optioncarChar"/>
        </w:rPr>
        <w:t xml:space="preserve"> / sur des profilés métalliques apparents / dans des profilés métalliques cachés / sur les têtes des murs</w:t>
      </w:r>
    </w:p>
    <w:p w14:paraId="3738EDAC" w14:textId="77777777" w:rsidR="00DF410E" w:rsidRDefault="00CE7F43">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1E02A219" w14:textId="77777777" w:rsidR="00DF410E" w:rsidRDefault="00CE7F43">
      <w:pPr>
        <w:jc w:val="both"/>
      </w:pPr>
      <w:r>
        <w:rPr>
          <w:b/>
        </w:rPr>
        <w:t>Pare-vapeur/Frein-vapeur et étanchéité à l’air</w:t>
      </w:r>
    </w:p>
    <w:p w14:paraId="66115EEA" w14:textId="77777777" w:rsidR="00DF410E" w:rsidRDefault="00CE7F43">
      <w:pPr>
        <w:jc w:val="both"/>
      </w:pPr>
      <w:r>
        <w:t>La vérification du bon fonctionnement contre les migrations d’humidité est réalisée par un bureau d’étude au moyen d’un logiciel de simulation dynamique. Cette simulation est comprise dans l’étude.</w:t>
      </w:r>
    </w:p>
    <w:p w14:paraId="43731BF0" w14:textId="77777777" w:rsidR="00DF410E" w:rsidRDefault="00CE7F43">
      <w:pPr>
        <w:jc w:val="both"/>
      </w:pPr>
      <w:r>
        <w:t xml:space="preserve">L’étanchéité à l’air entre caissons est assurée : </w:t>
      </w:r>
      <w:r>
        <w:rPr>
          <w:rStyle w:val="optioncarChar"/>
        </w:rPr>
        <w:t xml:space="preserve">pas d’application </w:t>
      </w:r>
      <w:r>
        <w:t>(par défaut)</w:t>
      </w:r>
      <w:r>
        <w:rPr>
          <w:rStyle w:val="optioncarChar"/>
        </w:rPr>
        <w:t xml:space="preserve"> / par bandes d’étanchéité dans l’épaisseur des panneaux.</w:t>
      </w:r>
    </w:p>
    <w:p w14:paraId="3203935D" w14:textId="77777777" w:rsidR="00DF410E" w:rsidRDefault="00CE7F43">
      <w:pPr>
        <w:jc w:val="both"/>
      </w:pPr>
      <w:r>
        <w:t>Des remplisseurs de joint sont placés sous les languettes au droit des parois, pour fermer les vides. </w:t>
      </w:r>
    </w:p>
    <w:p w14:paraId="4E393412" w14:textId="77777777" w:rsidR="00DF410E" w:rsidRDefault="00CE7F43">
      <w:pPr>
        <w:jc w:val="both"/>
      </w:pPr>
      <w:r>
        <w:rPr>
          <w:b/>
        </w:rPr>
        <w:t>Préparation des techniques spéciales : HVAC - Sanitaires - Electricité</w:t>
      </w:r>
    </w:p>
    <w:p w14:paraId="038F75DA" w14:textId="77777777" w:rsidR="00DF410E" w:rsidRDefault="00CE7F43">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1" w:history="1">
        <w:r>
          <w:t>24.22.2 Planchers en bois préfabriqués</w:t>
        </w:r>
      </w:hyperlink>
      <w:r>
        <w:t xml:space="preserve"> : </w:t>
      </w:r>
      <w:r>
        <w:rPr>
          <w:rStyle w:val="optioncarChar"/>
        </w:rPr>
        <w:t>non </w:t>
      </w:r>
      <w:r>
        <w:t>(par défaut)</w:t>
      </w:r>
      <w:r>
        <w:rPr>
          <w:rStyle w:val="optioncarChar"/>
        </w:rPr>
        <w:t> / oui</w:t>
      </w:r>
    </w:p>
    <w:p w14:paraId="31A8E178" w14:textId="77777777" w:rsidR="00DF410E" w:rsidRDefault="00CE7F43">
      <w:pPr>
        <w:pStyle w:val="pheading"/>
      </w:pPr>
      <w:r>
        <w:t>DOCUMENTS DE RÉFÉRENCE COMPLÉMENTAIRES</w:t>
      </w:r>
    </w:p>
    <w:p w14:paraId="36DE980E" w14:textId="77777777" w:rsidR="00DF410E" w:rsidRDefault="00CE7F43">
      <w:pPr>
        <w:pStyle w:val="pheading"/>
      </w:pPr>
      <w:r>
        <w:t>- Matériau</w:t>
      </w:r>
    </w:p>
    <w:p w14:paraId="147C144D" w14:textId="77777777" w:rsidR="00DF410E" w:rsidRDefault="00CE7F43">
      <w:r>
        <w:t>[NBN EN 15425, Adhésifs - Adhésifs polyuréthane monocomposants (PUR) pour structures portantes en bois - Classification et exigences de performance]</w:t>
      </w:r>
    </w:p>
    <w:p w14:paraId="77237ED3" w14:textId="77777777" w:rsidR="00DF410E" w:rsidRDefault="00CE7F43">
      <w:r>
        <w:t>[NBN EN 302-2, Adhésifs pour structures portantes en bois - Méthodes d'essais - Partie 2 : Détermination de la résistance à la délamination]</w:t>
      </w:r>
    </w:p>
    <w:p w14:paraId="27C54EFA" w14:textId="77777777" w:rsidR="00DF410E" w:rsidRDefault="00CE7F43">
      <w:r>
        <w:t>[NBN EN 301, Adhésifs de nature phénolique et aminoplaste, pour structures portantes en bois - Classification et exigences de performance]</w:t>
      </w:r>
    </w:p>
    <w:p w14:paraId="57739D11" w14:textId="77777777" w:rsidR="00DF410E" w:rsidRDefault="00CE7F43">
      <w:r>
        <w:t>[NBN EN ISO 11654, Acoustique - Absorbants pour l'utilisation dans les bâtiments - Evaluation de l'absorption acoustique (ISO 11654:1997)]</w:t>
      </w:r>
    </w:p>
    <w:p w14:paraId="095D83A0"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638F3A8F" w14:textId="77777777" w:rsidR="00DF410E" w:rsidRDefault="00CE7F43">
      <w:r>
        <w:t>[NBN EN ISO 10456, Matériaux et produits pour le bâtiment - Propriétés hygrothermiques - Valeurs utiles tabulées et procédures pour la détermination des valeurs thermiques déclarées et utiles (ISO 10456:2007)]</w:t>
      </w:r>
    </w:p>
    <w:p w14:paraId="08C66AF3" w14:textId="77777777" w:rsidR="00DF410E" w:rsidRDefault="00CE7F43">
      <w:pPr>
        <w:pStyle w:val="pheading"/>
      </w:pPr>
      <w:r>
        <w:t>MESURAGE</w:t>
      </w:r>
    </w:p>
    <w:p w14:paraId="3F01AE70" w14:textId="77777777" w:rsidR="00DF410E" w:rsidRDefault="00CE7F43">
      <w:pPr>
        <w:pStyle w:val="pheading"/>
      </w:pPr>
      <w:r>
        <w:t>- unité de mesure:</w:t>
      </w:r>
    </w:p>
    <w:p w14:paraId="3E8DE770" w14:textId="77777777" w:rsidR="00DF410E" w:rsidRDefault="00CE7F43">
      <w:r>
        <w:t>1.2. m²</w:t>
      </w:r>
    </w:p>
    <w:p w14:paraId="64F48AFA" w14:textId="77777777" w:rsidR="00DF410E" w:rsidRDefault="00CE7F43">
      <w:pPr>
        <w:pStyle w:val="pheading"/>
      </w:pPr>
      <w:r>
        <w:t>- code de mesurage:</w:t>
      </w:r>
    </w:p>
    <w:p w14:paraId="14848A1D" w14:textId="77777777" w:rsidR="00DF410E" w:rsidRDefault="00CE7F43">
      <w:pPr>
        <w:jc w:val="both"/>
      </w:pPr>
      <w:r>
        <w:rPr>
          <w:rStyle w:val="optioncarChar"/>
        </w:rPr>
        <w:t>Surface nette</w:t>
      </w:r>
      <w:r>
        <w:t xml:space="preserve"> (par défaut)</w:t>
      </w:r>
      <w:r>
        <w:rPr>
          <w:rStyle w:val="optioncarChar"/>
        </w:rPr>
        <w:t xml:space="preserve"> / Surface utile</w:t>
      </w:r>
    </w:p>
    <w:p w14:paraId="3BB34697" w14:textId="77777777" w:rsidR="00DF410E" w:rsidRDefault="00CE7F43">
      <w:pPr>
        <w:jc w:val="both"/>
      </w:pPr>
      <w:r>
        <w:rPr>
          <w:b/>
        </w:rPr>
        <w:t>(soit par défaut)</w:t>
      </w:r>
    </w:p>
    <w:p w14:paraId="67A7D057" w14:textId="77777777" w:rsidR="00DF410E" w:rsidRDefault="00CE7F43">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2BF0905E" w14:textId="77777777" w:rsidR="00DF410E" w:rsidRDefault="00CE7F43">
      <w:pPr>
        <w:jc w:val="both"/>
      </w:pPr>
      <w:r>
        <w:rPr>
          <w:b/>
        </w:rPr>
        <w:t>(soit)</w:t>
      </w:r>
    </w:p>
    <w:p w14:paraId="46DF3C2B" w14:textId="77777777" w:rsidR="00DF410E" w:rsidRDefault="00CE7F43">
      <w:pPr>
        <w:jc w:val="both"/>
      </w:pPr>
      <w:r>
        <w:rPr>
          <w:rStyle w:val="soitChar"/>
        </w:rPr>
        <w:t xml:space="preserve">2. </w:t>
      </w:r>
      <w:r>
        <w:rPr>
          <w:rStyle w:val="soitChar"/>
          <w:u w:val="single"/>
        </w:rPr>
        <w:t>Surface utile</w:t>
      </w:r>
      <w:r>
        <w:rPr>
          <w:rStyle w:val="soitChar"/>
        </w:rPr>
        <w:t>, dans le cas des planchers posés sur/dans les murs porteurs.</w:t>
      </w:r>
    </w:p>
    <w:p w14:paraId="7D14052D" w14:textId="77777777" w:rsidR="00DF410E" w:rsidRDefault="00CE7F43">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et percements supérieurs à 0,5 m² sont déduits.</w:t>
      </w:r>
    </w:p>
    <w:p w14:paraId="04177B19" w14:textId="77777777" w:rsidR="00DF410E" w:rsidRDefault="00CE7F43">
      <w:pPr>
        <w:pStyle w:val="pheading"/>
      </w:pPr>
      <w:r>
        <w:t>- nature du marché:</w:t>
      </w:r>
    </w:p>
    <w:p w14:paraId="13DA295A" w14:textId="77777777" w:rsidR="00DF410E" w:rsidRDefault="00CE7F43">
      <w:r>
        <w:t>1.2. QF</w:t>
      </w:r>
    </w:p>
    <w:p w14:paraId="33712F2C" w14:textId="77777777" w:rsidR="00DF410E" w:rsidRDefault="00CE7F43">
      <w:pPr>
        <w:pStyle w:val="Author-eSectionHeading6"/>
      </w:pPr>
      <w:bookmarkStart w:id="1675" w:name="_Toc178838763"/>
      <w:r>
        <w:t>24.22.2f Planchers à caissons faits de LVL préfabriqués CCTB 01.07</w:t>
      </w:r>
      <w:bookmarkEnd w:id="1675"/>
    </w:p>
    <w:p w14:paraId="182B7DC8" w14:textId="77777777" w:rsidR="00DF410E" w:rsidRDefault="00CE7F43">
      <w:pPr>
        <w:pStyle w:val="Author-eSectionHeading6"/>
      </w:pPr>
      <w:bookmarkStart w:id="1676" w:name="_Toc178838764"/>
      <w:r>
        <w:t>24.22.2g Planchers en CLT nervuré préfabriqués  CCTB 01.07</w:t>
      </w:r>
      <w:bookmarkEnd w:id="1676"/>
    </w:p>
    <w:p w14:paraId="5785307B" w14:textId="77777777" w:rsidR="00DF410E" w:rsidRDefault="00CE7F43">
      <w:pPr>
        <w:pStyle w:val="Author-eSectionHeading6"/>
      </w:pPr>
      <w:bookmarkStart w:id="1677" w:name="_Toc178838765"/>
      <w:r>
        <w:t>24.22.2h Planchers mixtes bois-béton préfabriqués CCTB 01.10</w:t>
      </w:r>
      <w:bookmarkEnd w:id="1677"/>
    </w:p>
    <w:p w14:paraId="2BA1BBD2" w14:textId="77777777" w:rsidR="00DF410E" w:rsidRDefault="00CE7F43">
      <w:pPr>
        <w:pStyle w:val="Author-eSectionHeading4"/>
      </w:pPr>
      <w:bookmarkStart w:id="1678" w:name="_Toc178838766"/>
      <w:r>
        <w:t>24.23 Systèmes de toiture en bois CCTB 01.11</w:t>
      </w:r>
      <w:bookmarkEnd w:id="1678"/>
    </w:p>
    <w:p w14:paraId="76AF38A8" w14:textId="77777777" w:rsidR="00DF410E" w:rsidRDefault="00CE7F43">
      <w:pPr>
        <w:pStyle w:val="pheading"/>
      </w:pPr>
      <w:bookmarkStart w:id="1679" w:name="616"/>
      <w:bookmarkEnd w:id="1679"/>
      <w:r>
        <w:t>EXÉCUTION / MISE EN ŒUVRE</w:t>
      </w:r>
    </w:p>
    <w:p w14:paraId="3B1D8F46" w14:textId="77777777" w:rsidR="00DF410E" w:rsidRDefault="00CE7F43">
      <w:pPr>
        <w:jc w:val="both"/>
      </w:pPr>
      <w:r>
        <w:rPr>
          <w:b/>
        </w:rPr>
        <w:t>Préparation des techniques spéciales : HVAC - Sanitaires - Electricité</w:t>
      </w:r>
    </w:p>
    <w:p w14:paraId="780E4F36" w14:textId="77777777" w:rsidR="00DF410E" w:rsidRDefault="00CE7F43">
      <w:pPr>
        <w:jc w:val="both"/>
      </w:pPr>
      <w:r>
        <w:t xml:space="preserve">Les travaux comprennent éventuellement (voir dans les articles) la préparation dans les planchers de forages, défonçage (fraisage), etc., et la pose de fourreaux d’attente nécessaires aux travaux des installations HVAC, sanitaires et électriques. L’entrepreneur veille à consulter et se coordonner avec les entrepreneurs des tomes  </w:t>
      </w:r>
      <w:hyperlink r:id="rId307" w:history="1" w:docLocation="34">
        <w:r>
          <w:t>6 T6 HVAC - sanitaires</w:t>
        </w:r>
      </w:hyperlink>
      <w:r>
        <w:t>  et </w:t>
      </w:r>
      <w:hyperlink r:id="rId308" w:history="1" w:docLocation="35">
        <w:r>
          <w:t>7 T7 Electricité</w:t>
        </w:r>
      </w:hyperlink>
      <w:r>
        <w:t>. </w:t>
      </w:r>
    </w:p>
    <w:p w14:paraId="5801C234" w14:textId="77777777" w:rsidR="00DF410E" w:rsidRDefault="00CE7F43">
      <w:pPr>
        <w:pStyle w:val="Author-eSectionHeading5"/>
      </w:pPr>
      <w:bookmarkStart w:id="1680" w:name="_Toc178838767"/>
      <w:r>
        <w:t>24.23.1 Systèmes de toiture en bois assemblés sur place CCTB 01.07</w:t>
      </w:r>
      <w:bookmarkEnd w:id="1680"/>
    </w:p>
    <w:p w14:paraId="56841AD5" w14:textId="77777777" w:rsidR="00DF410E" w:rsidRDefault="00CE7F43">
      <w:pPr>
        <w:pStyle w:val="Author-eSectionHeading6"/>
      </w:pPr>
      <w:bookmarkStart w:id="1681" w:name="_Toc178838768"/>
      <w:r>
        <w:t>24.23.1a Systèmes de toiture ossatures bois assemblés sur place CCTB 01.07</w:t>
      </w:r>
      <w:bookmarkEnd w:id="1681"/>
    </w:p>
    <w:p w14:paraId="25064455" w14:textId="77777777" w:rsidR="00DF410E" w:rsidRDefault="00CE7F43">
      <w:pPr>
        <w:pStyle w:val="pheading"/>
      </w:pPr>
      <w:r>
        <w:t>EXÉCUTION / MISE EN ŒUVRE</w:t>
      </w:r>
    </w:p>
    <w:p w14:paraId="7C783A61" w14:textId="77777777" w:rsidR="00DF410E" w:rsidRDefault="00CE7F43">
      <w:pPr>
        <w:pStyle w:val="pheading"/>
      </w:pPr>
      <w:r>
        <w:t>- Notes d’exécution complémentaires</w:t>
      </w:r>
    </w:p>
    <w:p w14:paraId="2B64A2B6" w14:textId="77777777" w:rsidR="00DF410E" w:rsidRDefault="00DF410E"/>
    <w:p w14:paraId="4EC2E32D" w14:textId="77777777" w:rsidR="00DF410E" w:rsidRDefault="00CE7F43">
      <w:r>
        <w:br/>
      </w:r>
    </w:p>
    <w:p w14:paraId="259224FE" w14:textId="77777777" w:rsidR="00DF410E" w:rsidRDefault="00CE7F43">
      <w:pPr>
        <w:pStyle w:val="Author-eSectionHeading5"/>
      </w:pPr>
      <w:bookmarkStart w:id="1682" w:name="_Toc178838769"/>
      <w:r>
        <w:t>24.23.2 Systèmes de toiture en bois préfabriqués CCTB 01.07</w:t>
      </w:r>
      <w:bookmarkEnd w:id="1682"/>
    </w:p>
    <w:p w14:paraId="72A1F079" w14:textId="77777777" w:rsidR="00DF410E" w:rsidRDefault="00CE7F43">
      <w:pPr>
        <w:pStyle w:val="Author-eSectionHeading6"/>
      </w:pPr>
      <w:bookmarkStart w:id="1683" w:name="_Toc178838770"/>
      <w:r>
        <w:t>24.23.2a Systèmes de toiture ossature bois préfabriqués CCTB 01.07</w:t>
      </w:r>
      <w:bookmarkEnd w:id="1683"/>
    </w:p>
    <w:p w14:paraId="499347BE" w14:textId="77777777" w:rsidR="00DF410E" w:rsidRDefault="00CE7F43">
      <w:pPr>
        <w:pStyle w:val="Author-eSectionHeading6"/>
      </w:pPr>
      <w:bookmarkStart w:id="1684" w:name="_Toc178838771"/>
      <w:r>
        <w:t>24.23.2b Systèmes de toiture en CLT préfabriqués collés CCTB 01.11</w:t>
      </w:r>
      <w:bookmarkEnd w:id="1684"/>
    </w:p>
    <w:p w14:paraId="3234328B" w14:textId="77777777" w:rsidR="00DF410E" w:rsidRDefault="00CE7F43">
      <w:pPr>
        <w:pStyle w:val="pheading"/>
      </w:pPr>
      <w:r>
        <w:t>DESCRIPTION</w:t>
      </w:r>
    </w:p>
    <w:p w14:paraId="1783D544" w14:textId="77777777" w:rsidR="00DF410E" w:rsidRDefault="00CE7F43">
      <w:pPr>
        <w:pStyle w:val="pheading"/>
      </w:pPr>
      <w:r>
        <w:t>- Définition / Comprend</w:t>
      </w:r>
    </w:p>
    <w:p w14:paraId="37995238" w14:textId="77777777" w:rsidR="00DF410E" w:rsidRDefault="00CE7F43">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0FF3F0E2" w14:textId="77777777" w:rsidR="00DF410E" w:rsidRDefault="00CE7F43">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1C6CCCF8" w14:textId="77777777" w:rsidR="00DF410E" w:rsidRDefault="00CE7F43">
      <w:pPr>
        <w:pStyle w:val="pheading"/>
      </w:pPr>
      <w:r>
        <w:t>- Localisation</w:t>
      </w:r>
    </w:p>
    <w:p w14:paraId="150008C8" w14:textId="77777777" w:rsidR="00DF410E" w:rsidRDefault="00CE7F43">
      <w:r>
        <w:t xml:space="preserve">Localisation des travaux : </w:t>
      </w:r>
      <w:r>
        <w:rPr>
          <w:rStyle w:val="optioncarChar"/>
        </w:rPr>
        <w:t>***</w:t>
      </w:r>
      <w:r>
        <w:t>.</w:t>
      </w:r>
    </w:p>
    <w:p w14:paraId="3D5DAD75" w14:textId="77777777" w:rsidR="00DF410E" w:rsidRDefault="00CE7F43">
      <w:r>
        <w:t>Voir plans et métrés détaillés.</w:t>
      </w:r>
    </w:p>
    <w:p w14:paraId="4DD44250" w14:textId="77777777" w:rsidR="00DF410E" w:rsidRDefault="00CE7F43">
      <w:pPr>
        <w:pStyle w:val="pheading"/>
      </w:pPr>
      <w:r>
        <w:t>MATÉRIAUX</w:t>
      </w:r>
    </w:p>
    <w:p w14:paraId="6300C49D" w14:textId="77777777" w:rsidR="00DF410E" w:rsidRDefault="00CE7F43">
      <w:pPr>
        <w:pStyle w:val="pheading"/>
      </w:pPr>
      <w:r>
        <w:t>- Caractéristiques générales</w:t>
      </w:r>
    </w:p>
    <w:p w14:paraId="2F8394CD" w14:textId="77777777" w:rsidR="00DF410E" w:rsidRDefault="00CE7F43">
      <w:pPr>
        <w:jc w:val="both"/>
      </w:pPr>
      <w:r>
        <w:t xml:space="preserve">Épaisseur totale du panneau CLT : </w:t>
      </w:r>
      <w:r>
        <w:rPr>
          <w:rStyle w:val="optioncarChar"/>
        </w:rPr>
        <w:t>***</w:t>
      </w:r>
      <w:r>
        <w:t xml:space="preserve"> mm.</w:t>
      </w:r>
    </w:p>
    <w:p w14:paraId="65F0472D" w14:textId="77777777" w:rsidR="00DF410E" w:rsidRDefault="00CE7F43">
      <w:pPr>
        <w:jc w:val="both"/>
      </w:pPr>
      <w:r>
        <w:t xml:space="preserve">Les essences de bois composant les lames des panneaux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Mélèzes (Larix spp) / Peupliers (Populus spp) / Pin maritime (Pinus pinaster, PNPN) / Hêtre / ***</w:t>
      </w:r>
      <w:r>
        <w:t>.</w:t>
      </w:r>
    </w:p>
    <w:p w14:paraId="4DE766DC" w14:textId="77777777" w:rsidR="00DF410E" w:rsidRDefault="00CE7F43">
      <w:pPr>
        <w:jc w:val="both"/>
      </w:pPr>
      <w:r>
        <w:t xml:space="preserve">Classe de résistance : </w:t>
      </w:r>
      <w:r>
        <w:rPr>
          <w:rStyle w:val="optioncarChar"/>
        </w:rPr>
        <w:t>C18</w:t>
      </w:r>
      <w:r>
        <w:t> (par défaut)</w:t>
      </w:r>
      <w:r>
        <w:rPr>
          <w:rStyle w:val="optioncarChar"/>
        </w:rPr>
        <w:t xml:space="preserve"> / D18 / C24 / D24 / C30 / D30 / ***</w:t>
      </w:r>
      <w:r>
        <w:t>.</w:t>
      </w:r>
    </w:p>
    <w:p w14:paraId="4161D3C6" w14:textId="77777777" w:rsidR="00DF410E" w:rsidRDefault="00CE7F43">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p>
    <w:p w14:paraId="61062234" w14:textId="77777777" w:rsidR="00DF410E" w:rsidRDefault="00CE7F43">
      <w:pPr>
        <w:jc w:val="both"/>
      </w:pPr>
      <w:r>
        <w:t xml:space="preserve">L’épaisseur des lames </w:t>
      </w:r>
      <w:r>
        <w:rPr>
          <w:rStyle w:val="optioncarChar"/>
        </w:rPr>
        <w:t>est</w:t>
      </w:r>
      <w:r>
        <w:t xml:space="preserve"> (par défaut) </w:t>
      </w:r>
      <w:r>
        <w:rPr>
          <w:rStyle w:val="optioncarChar"/>
        </w:rPr>
        <w:t>/ n’est pas</w:t>
      </w:r>
      <w:r>
        <w:t xml:space="preserve"> constante sur tous les plis. La composition des épaisseurs des plis est: </w:t>
      </w:r>
      <w:r>
        <w:rPr>
          <w:rStyle w:val="optioncarChar"/>
        </w:rPr>
        <w:t xml:space="preserve">30-30-30 / 30-40-30 / 40-40-40 / 20-20-20-20-20 </w:t>
      </w:r>
      <w:r>
        <w:t>(par défaut)</w:t>
      </w:r>
      <w:r>
        <w:rPr>
          <w:rStyle w:val="optioncarChar"/>
        </w:rPr>
        <w:t xml:space="preserve"> /  20-30-20-30 / 40-20-20-20-40 / ***</w:t>
      </w:r>
      <w:r>
        <w:t xml:space="preserve"> mm.</w:t>
      </w:r>
    </w:p>
    <w:p w14:paraId="435B0579" w14:textId="77777777" w:rsidR="00DF410E" w:rsidRDefault="00CE7F43">
      <w:pPr>
        <w:jc w:val="both"/>
      </w:pPr>
      <w:r>
        <w:t xml:space="preserve">Les lames </w:t>
      </w:r>
      <w:r>
        <w:rPr>
          <w:rStyle w:val="optioncarChar"/>
        </w:rPr>
        <w:t xml:space="preserve">ne sont pas </w:t>
      </w:r>
      <w:r>
        <w:t>(par défaut)</w:t>
      </w:r>
      <w:r>
        <w:rPr>
          <w:rStyle w:val="optioncarChar"/>
        </w:rPr>
        <w:t xml:space="preserve"> /sont</w:t>
      </w:r>
      <w:r>
        <w:t xml:space="preserve"> munies de fente (rainures) de soulagement.</w:t>
      </w:r>
    </w:p>
    <w:p w14:paraId="15EDD1F8" w14:textId="77777777" w:rsidR="00DF410E" w:rsidRDefault="00CE7F43">
      <w:pPr>
        <w:jc w:val="both"/>
      </w:pPr>
      <w:r>
        <w:t xml:space="preserve">La réaction au feu est de classe </w:t>
      </w:r>
      <w:r>
        <w:rPr>
          <w:rStyle w:val="optioncarChar"/>
        </w:rPr>
        <w:t xml:space="preserve">D-s2, d0 </w:t>
      </w:r>
      <w:r>
        <w:t>(par défaut)</w:t>
      </w:r>
      <w:r>
        <w:rPr>
          <w:rStyle w:val="optioncarChar"/>
        </w:rPr>
        <w:t xml:space="preserve"> / ***</w:t>
      </w:r>
      <w:r>
        <w:t>.</w:t>
      </w:r>
    </w:p>
    <w:p w14:paraId="5F9CD6DB" w14:textId="77777777" w:rsidR="00DF410E" w:rsidRDefault="00CE7F43">
      <w:pPr>
        <w:jc w:val="both"/>
      </w:pPr>
      <w:r>
        <w:t xml:space="preserve">La résistance au feu déclarée de la paroi: </w:t>
      </w:r>
      <w:r>
        <w:rPr>
          <w:rStyle w:val="optioncarChar"/>
        </w:rPr>
        <w:t>pas d’exigences</w:t>
      </w:r>
      <w:r>
        <w:t xml:space="preserve"> (par défaut) </w:t>
      </w:r>
      <w:r>
        <w:rPr>
          <w:rStyle w:val="optioncarChar"/>
        </w:rPr>
        <w:t>/ REI 30 / EI30 / REI 60 / EI 60 / ***.</w:t>
      </w:r>
    </w:p>
    <w:p w14:paraId="1EEB7F81" w14:textId="77777777" w:rsidR="00DF410E" w:rsidRDefault="00CE7F43">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14:paraId="4B873993" w14:textId="77777777" w:rsidR="00DF410E" w:rsidRDefault="00CE7F43">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1DB8A1B5" w14:textId="77777777" w:rsidR="00DF410E" w:rsidRDefault="00CE7F43">
      <w:pPr>
        <w:jc w:val="both"/>
      </w:pPr>
      <w:r>
        <w:t>Le coefficient de résistance à la diffusion de vapeur d’eau – valeur μ pour un taux d’humidité du bois de 11 % (selon [NBN EN 12086]) : </w:t>
      </w:r>
      <w:r>
        <w:rPr>
          <w:rStyle w:val="optioncarChar"/>
        </w:rPr>
        <w:t>≥ 50</w:t>
      </w:r>
      <w:r>
        <w:t xml:space="preserve"> (par défaut) </w:t>
      </w:r>
      <w:r>
        <w:rPr>
          <w:rStyle w:val="optioncarChar"/>
        </w:rPr>
        <w:t>/ ≥ 30  / ≤ 100 / ***</w:t>
      </w:r>
      <w:r>
        <w:t>.</w:t>
      </w:r>
    </w:p>
    <w:p w14:paraId="4F206668" w14:textId="77777777" w:rsidR="00DF410E" w:rsidRDefault="00CE7F43">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thermiquement / bois hors aubier / ***</w:t>
      </w:r>
      <w:r>
        <w:t>.</w:t>
      </w:r>
    </w:p>
    <w:p w14:paraId="290592D4" w14:textId="77777777" w:rsidR="00DF410E" w:rsidRDefault="00CE7F43">
      <w:pPr>
        <w:jc w:val="both"/>
      </w:pPr>
      <w:r>
        <w:t> </w:t>
      </w:r>
    </w:p>
    <w:p w14:paraId="55DE89D5" w14:textId="77777777" w:rsidR="00DF410E" w:rsidRDefault="00CE7F43">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555AA0C5" w14:textId="77777777" w:rsidR="00DF410E" w:rsidRDefault="00CE7F43">
      <w:pPr>
        <w:ind w:left="567"/>
        <w:jc w:val="both"/>
      </w:pPr>
      <w:r>
        <w:rPr>
          <w:b/>
          <w:i/>
        </w:rPr>
        <w:t>(Soit par défaut)</w:t>
      </w:r>
    </w:p>
    <w:p w14:paraId="10D69117" w14:textId="77777777" w:rsidR="00DF410E" w:rsidRDefault="00CE7F43">
      <w:pPr>
        <w:ind w:left="567"/>
        <w:jc w:val="both"/>
      </w:pPr>
      <w:r>
        <w:rPr>
          <w:rStyle w:val="soitChar"/>
          <w:u w:val="single"/>
        </w:rPr>
        <w:t>Les spécifications du fabricant</w:t>
      </w:r>
    </w:p>
    <w:p w14:paraId="1288EBEF" w14:textId="77777777" w:rsidR="00DF410E" w:rsidRDefault="00CE7F43">
      <w:pPr>
        <w:ind w:left="567"/>
        <w:jc w:val="both"/>
      </w:pPr>
      <w:r>
        <w:rPr>
          <w:b/>
          <w:i/>
        </w:rPr>
        <w:t>(Soit)</w:t>
      </w:r>
    </w:p>
    <w:p w14:paraId="29CFFBBA" w14:textId="77777777" w:rsidR="00DF410E" w:rsidRDefault="00CE7F43">
      <w:pPr>
        <w:ind w:left="567"/>
        <w:jc w:val="both"/>
      </w:pPr>
      <w:r>
        <w:rPr>
          <w:rStyle w:val="soitChar"/>
          <w:u w:val="single"/>
        </w:rPr>
        <w:t>PUR :</w:t>
      </w:r>
      <w:r>
        <w:rPr>
          <w:rStyle w:val="soitChar"/>
        </w:rPr>
        <w:t xml:space="preserve">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2AF8E87C" w14:textId="77777777" w:rsidR="00DF410E" w:rsidRDefault="00CE7F43">
      <w:pPr>
        <w:ind w:left="567"/>
        <w:jc w:val="both"/>
      </w:pPr>
      <w:r>
        <w:rPr>
          <w:b/>
          <w:i/>
        </w:rPr>
        <w:t>(Soit)</w:t>
      </w:r>
    </w:p>
    <w:p w14:paraId="29FBB5B0" w14:textId="77777777" w:rsidR="00DF410E" w:rsidRDefault="00CE7F43">
      <w:pPr>
        <w:ind w:left="567"/>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w:t>
      </w:r>
    </w:p>
    <w:p w14:paraId="3875F635" w14:textId="77777777" w:rsidR="00DF410E" w:rsidRDefault="00CE7F43">
      <w:pPr>
        <w:ind w:left="567"/>
        <w:jc w:val="both"/>
      </w:pPr>
      <w:r>
        <w:rPr>
          <w:b/>
          <w:i/>
        </w:rPr>
        <w:t>(Soit)</w:t>
      </w:r>
    </w:p>
    <w:p w14:paraId="20731DDB" w14:textId="77777777" w:rsidR="00DF410E" w:rsidRDefault="00CE7F43">
      <w:pPr>
        <w:ind w:left="567"/>
        <w:jc w:val="both"/>
      </w:pPr>
      <w:r>
        <w:rPr>
          <w:rStyle w:val="soitChar"/>
          <w:u w:val="single"/>
        </w:rPr>
        <w:t>EPI :</w:t>
      </w:r>
      <w:r>
        <w:rPr>
          <w:rStyle w:val="soitChar"/>
        </w:rPr>
        <w:t xml:space="preserve"> Les adhésifs à base d’isocyanate et de polymère en émulsion satisfont aux exigences de la [NBN EN 15425].</w:t>
      </w:r>
    </w:p>
    <w:p w14:paraId="7B4D22C9" w14:textId="77777777" w:rsidR="00DF410E" w:rsidRDefault="00CE7F43">
      <w:pPr>
        <w:jc w:val="both"/>
      </w:pPr>
      <w:r>
        <w:t> </w:t>
      </w:r>
    </w:p>
    <w:p w14:paraId="593C7D1E" w14:textId="77777777" w:rsidR="00DF410E" w:rsidRDefault="00CE7F43">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0098CABC" w14:textId="77777777" w:rsidR="00DF410E" w:rsidRDefault="00CE7F43">
      <w:pPr>
        <w:jc w:val="both"/>
      </w:pPr>
      <w:r>
        <w:t>La résistance mécanique des panneaux lamellés croisés est déterminée conformément à la [NBN EN 16351] sur base de calcul conformément à la [NBN EN 1995 série] et [NBN EN 14358] ou par essais conformes à la [NBN EN 408+A1].</w:t>
      </w:r>
    </w:p>
    <w:p w14:paraId="00A631D1" w14:textId="77777777" w:rsidR="00DF410E" w:rsidRDefault="00CE7F43">
      <w:pPr>
        <w:jc w:val="both"/>
      </w:pPr>
      <w:r>
        <w:t xml:space="preserve">Les rainures et chant des lamelles </w:t>
      </w:r>
      <w:r>
        <w:rPr>
          <w:rStyle w:val="optioncarChar"/>
        </w:rPr>
        <w:t>ne sont pas</w:t>
      </w:r>
      <w:r>
        <w:t xml:space="preserve"> (par défaut) </w:t>
      </w:r>
      <w:r>
        <w:rPr>
          <w:rStyle w:val="optioncarChar"/>
        </w:rPr>
        <w:t>/ sont</w:t>
      </w:r>
      <w:r>
        <w:t xml:space="preserve"> collées.</w:t>
      </w:r>
    </w:p>
    <w:p w14:paraId="02D1D627" w14:textId="77777777" w:rsidR="00DF410E" w:rsidRDefault="00CE7F43">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14:paraId="4711501F" w14:textId="77777777" w:rsidR="00DF410E" w:rsidRDefault="00CE7F43">
      <w:pPr>
        <w:jc w:val="both"/>
      </w:pPr>
      <w:r>
        <w:t>La résistance du collage des aboutages est conforme à la [NBN EN 16351] annexe B et est vérifiée par essais de flexion conformes à la [NBN EN 16351] §5.2.</w:t>
      </w:r>
    </w:p>
    <w:p w14:paraId="7E3B9E6E" w14:textId="77777777" w:rsidR="00DF410E" w:rsidRDefault="00CE7F43">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5039DBA5" w14:textId="77777777" w:rsidR="00DF410E" w:rsidRDefault="00CE7F43">
      <w:pPr>
        <w:pStyle w:val="pheading"/>
      </w:pPr>
      <w:r>
        <w:t>- Finitions</w:t>
      </w:r>
    </w:p>
    <w:p w14:paraId="56AC222E" w14:textId="77777777" w:rsidR="00DF410E" w:rsidRDefault="00CE7F43">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r>
        <w:t>.</w:t>
      </w:r>
    </w:p>
    <w:p w14:paraId="24A8255D" w14:textId="77777777" w:rsidR="00DF410E" w:rsidRDefault="00CE7F43">
      <w:pPr>
        <w:jc w:val="both"/>
      </w:pPr>
      <w:r>
        <w:t xml:space="preserve">Les panneaux </w:t>
      </w:r>
      <w:r>
        <w:rPr>
          <w:rStyle w:val="optioncarChar"/>
        </w:rPr>
        <w:t>sont / ne sont pas</w:t>
      </w:r>
      <w:r>
        <w:t xml:space="preserve"> (par défaut) munis de gaines (rainures) techniques et blochets intégrés non traversantes.</w:t>
      </w:r>
    </w:p>
    <w:p w14:paraId="61AE34C7" w14:textId="77777777" w:rsidR="00DF410E" w:rsidRDefault="00CE7F43">
      <w:pPr>
        <w:pStyle w:val="pheading"/>
      </w:pPr>
      <w:r>
        <w:t>- Prescriptions complémentaires</w:t>
      </w:r>
    </w:p>
    <w:p w14:paraId="732BA7E2" w14:textId="77777777" w:rsidR="00DF410E" w:rsidRDefault="00CE7F43">
      <w:r>
        <w:rPr>
          <w:rStyle w:val="facultChar"/>
        </w:rPr>
        <w:t>Capacité thermique</w:t>
      </w:r>
      <w:r>
        <w:t xml:space="preserve"> :   </w:t>
      </w:r>
      <w:r>
        <w:rPr>
          <w:rStyle w:val="optioncarChar"/>
        </w:rPr>
        <w:t>&gt; 2</w:t>
      </w:r>
      <w:r>
        <w:t xml:space="preserve"> (par défaut)</w:t>
      </w:r>
      <w:r>
        <w:rPr>
          <w:rStyle w:val="optioncarChar"/>
        </w:rPr>
        <w:t xml:space="preserve"> / ***</w:t>
      </w:r>
      <w:r>
        <w:t xml:space="preserve">   </w:t>
      </w:r>
      <w:r>
        <w:rPr>
          <w:rStyle w:val="facultChar"/>
        </w:rPr>
        <w:t>kJ/kg.K</w:t>
      </w:r>
    </w:p>
    <w:p w14:paraId="6CD47106" w14:textId="77777777" w:rsidR="00DF410E" w:rsidRDefault="00CE7F43">
      <w:pPr>
        <w:pStyle w:val="pheading"/>
      </w:pPr>
      <w:r>
        <w:t>EXÉCUTION / MISE EN ŒUVRE</w:t>
      </w:r>
    </w:p>
    <w:p w14:paraId="2D00F0FC" w14:textId="77777777" w:rsidR="00DF410E" w:rsidRDefault="00CE7F43">
      <w:pPr>
        <w:pStyle w:val="pheading"/>
      </w:pPr>
      <w:r>
        <w:t>- Prescriptions générales</w:t>
      </w:r>
    </w:p>
    <w:p w14:paraId="1829CC7D" w14:textId="77777777" w:rsidR="00DF410E" w:rsidRDefault="00CE7F43">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1696A231" w14:textId="77777777" w:rsidR="00DF410E" w:rsidRDefault="00CE7F43">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p>
    <w:p w14:paraId="2BD8EFEB" w14:textId="77777777" w:rsidR="00DF410E" w:rsidRDefault="00CE7F43">
      <w:pPr>
        <w:jc w:val="both"/>
      </w:pPr>
      <w:r>
        <w:t> </w:t>
      </w:r>
    </w:p>
    <w:p w14:paraId="3C78D41A" w14:textId="77777777" w:rsidR="00DF410E" w:rsidRDefault="00CE7F43">
      <w:pPr>
        <w:jc w:val="both"/>
      </w:pPr>
      <w:r>
        <w:rPr>
          <w:b/>
        </w:rPr>
        <w:t>Fixation en pied de toiture</w:t>
      </w:r>
    </w:p>
    <w:p w14:paraId="026DB919" w14:textId="77777777" w:rsidR="00DF410E" w:rsidRDefault="00CE7F43">
      <w:pPr>
        <w:jc w:val="both"/>
      </w:pPr>
      <w:r>
        <w:t xml:space="preserve">Le panneau CLT est fixé </w:t>
      </w:r>
      <w:r>
        <w:rPr>
          <w:rStyle w:val="optioncarChar"/>
        </w:rPr>
        <w:t xml:space="preserve">par l’intermédiaire d’une sablière </w:t>
      </w:r>
      <w:r>
        <w:t>(par défaut)</w:t>
      </w:r>
      <w:r>
        <w:rPr>
          <w:rStyle w:val="optioncarChar"/>
        </w:rPr>
        <w:t xml:space="preserve"> / par dispositifs d’ancrage ponctuels sur le gros œuvre existant / ***.</w:t>
      </w:r>
    </w:p>
    <w:p w14:paraId="4662AAC8" w14:textId="77777777" w:rsidR="00DF410E" w:rsidRDefault="00CE7F43">
      <w:pPr>
        <w:ind w:left="567"/>
        <w:jc w:val="both"/>
      </w:pPr>
      <w:r>
        <w:rPr>
          <w:b/>
          <w:i/>
        </w:rPr>
        <w:t>(Soit par défaut)</w:t>
      </w:r>
    </w:p>
    <w:p w14:paraId="523E8510" w14:textId="77777777" w:rsidR="00DF410E" w:rsidRDefault="00CE7F43">
      <w:pPr>
        <w:ind w:left="567"/>
        <w:jc w:val="both"/>
      </w:pPr>
      <w:r>
        <w:rPr>
          <w:rStyle w:val="soitChar"/>
          <w:u w:val="single"/>
        </w:rPr>
        <w:t>Sablière :</w:t>
      </w:r>
      <w:r>
        <w:rPr>
          <w:rStyle w:val="soitChar"/>
        </w:rPr>
        <w:t xml:space="preserve"> La sablière est fixée par tire-fond sur le mur porteur et appliquée sur le pli central intérieur du panneau à assembler ou par fixations inclinées. Le nombre de fixations et les sections répondent au dimensionnement selon la [NBN EN 1995 série]. La sablière est décrite dans l’article </w:t>
      </w:r>
      <w:hyperlink w:anchor="603" w:history="1">
        <w:r>
          <w:rPr>
            <w:rStyle w:val="soitChar"/>
          </w:rPr>
          <w:t>24.11.2a Sablières</w:t>
        </w:r>
      </w:hyperlink>
      <w:r>
        <w:rPr>
          <w:rStyle w:val="soitChar"/>
        </w:rPr>
        <w:t>.</w:t>
      </w:r>
    </w:p>
    <w:p w14:paraId="43838F74" w14:textId="77777777" w:rsidR="00DF410E" w:rsidRDefault="00CE7F43">
      <w:pPr>
        <w:ind w:left="567"/>
        <w:jc w:val="both"/>
      </w:pPr>
      <w:r>
        <w:rPr>
          <w:rStyle w:val="soitChar"/>
        </w:rPr>
        <w:t xml:space="preserve">L’assemblage de panneau de toiture est effectué par </w:t>
      </w:r>
      <w:r>
        <w:rPr>
          <w:rStyle w:val="optioncarChar"/>
        </w:rPr>
        <w:t xml:space="preserve">tire-fond et appliqué sur le pli central intérieur du panneau à assembler ou par fixations inclinées </w:t>
      </w:r>
      <w:r>
        <w:t>(par défaut)</w:t>
      </w:r>
      <w:r>
        <w:rPr>
          <w:rStyle w:val="optioncarChar"/>
        </w:rPr>
        <w:t xml:space="preserve"> / plats métalliques / ***</w:t>
      </w:r>
      <w:r>
        <w:rPr>
          <w:rStyle w:val="soitChar"/>
        </w:rPr>
        <w:t>. Le nombre de fixations et les sections répondent au dimensionnement selon la [NBN EN 1995 série].</w:t>
      </w:r>
    </w:p>
    <w:p w14:paraId="29232A69" w14:textId="77777777" w:rsidR="00DF410E" w:rsidRDefault="00CE7F43">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451ECCBF" w14:textId="77777777" w:rsidR="00DF410E" w:rsidRDefault="00CE7F43">
      <w:pPr>
        <w:ind w:left="567"/>
        <w:jc w:val="both"/>
      </w:pPr>
      <w:r>
        <w:rPr>
          <w:b/>
          <w:i/>
        </w:rPr>
        <w:t>(Soit)</w:t>
      </w:r>
    </w:p>
    <w:p w14:paraId="49A1839E" w14:textId="77777777" w:rsidR="00DF410E" w:rsidRDefault="00CE7F43">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les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 </w:t>
      </w:r>
    </w:p>
    <w:p w14:paraId="54432222" w14:textId="77777777" w:rsidR="00DF410E" w:rsidRDefault="00CE7F43">
      <w:pPr>
        <w:ind w:left="567"/>
        <w:jc w:val="both"/>
      </w:pPr>
      <w:r>
        <w:rPr>
          <w:b/>
          <w:i/>
        </w:rPr>
        <w:t>(Soit)</w:t>
      </w:r>
    </w:p>
    <w:p w14:paraId="2E81551C" w14:textId="77777777" w:rsidR="00DF410E" w:rsidRDefault="00CE7F43">
      <w:pPr>
        <w:ind w:left="567"/>
        <w:jc w:val="both"/>
      </w:pPr>
      <w:r>
        <w:rPr>
          <w:rStyle w:val="optioncarChar"/>
        </w:rPr>
        <w:t>***</w:t>
      </w:r>
    </w:p>
    <w:p w14:paraId="32AAD615" w14:textId="77777777" w:rsidR="00DF410E" w:rsidRDefault="00CE7F43">
      <w:pPr>
        <w:jc w:val="both"/>
      </w:pPr>
      <w:r>
        <w:t> </w:t>
      </w:r>
    </w:p>
    <w:p w14:paraId="5EE3C555" w14:textId="77777777" w:rsidR="00DF410E" w:rsidRDefault="00CE7F43">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14:paraId="631648AF" w14:textId="77777777" w:rsidR="00DF410E" w:rsidRDefault="00CE7F43">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68EF569C" w14:textId="77777777" w:rsidR="00DF410E" w:rsidRDefault="00CE7F43">
      <w:pPr>
        <w:jc w:val="both"/>
      </w:pPr>
      <w:r>
        <w:t xml:space="preserve">Les dispositifs d’ancrage sont décrits dans les éléments du </w:t>
      </w:r>
      <w:hyperlink w:anchor="583" w:history="1">
        <w:r>
          <w:t>24.4 Assemblages</w:t>
        </w:r>
      </w:hyperlink>
      <w:r>
        <w:t>.</w:t>
      </w:r>
    </w:p>
    <w:p w14:paraId="40DA943C" w14:textId="77777777" w:rsidR="00DF410E" w:rsidRDefault="00CE7F43">
      <w:pPr>
        <w:pStyle w:val="pheading"/>
      </w:pPr>
      <w:r>
        <w:t>DOCUMENTS DE RÉFÉRENCE COMPLÉMENTAIRES</w:t>
      </w:r>
    </w:p>
    <w:p w14:paraId="1C759B6A" w14:textId="77777777" w:rsidR="00DF410E" w:rsidRDefault="00CE7F43">
      <w:pPr>
        <w:pStyle w:val="pheading"/>
      </w:pPr>
      <w:r>
        <w:t>- Matériau</w:t>
      </w:r>
    </w:p>
    <w:p w14:paraId="66D7EE46" w14:textId="77777777" w:rsidR="00DF410E" w:rsidRDefault="00CE7F43">
      <w:r>
        <w:t>[NBN EN 301, Adhésifs de nature phénolique et aminoplaste, pour structures portantes en bois - Classification et exigences de performance]</w:t>
      </w:r>
    </w:p>
    <w:p w14:paraId="04DCD930" w14:textId="77777777" w:rsidR="00DF410E" w:rsidRDefault="00CE7F43">
      <w:r>
        <w:t>[NBN EN 302-2, Adhésifs pour structures portantes en bois - Méthodes d'essais - Partie 2 : Détermination de la résistance à la délamination]</w:t>
      </w:r>
    </w:p>
    <w:p w14:paraId="2784AD2D" w14:textId="77777777" w:rsidR="00DF410E" w:rsidRDefault="00CE7F43">
      <w:r>
        <w:t>[NBN EN 408+A1, Structures en bois - Bois de structure et bois lamellé-collé - Détermination de certaines propriétés physiques et mécaniques]</w:t>
      </w:r>
    </w:p>
    <w:p w14:paraId="27F46DAB" w14:textId="77777777" w:rsidR="00DF410E" w:rsidRDefault="00CE7F43">
      <w:r>
        <w:t>[NBN EN 1991 série, Eurocode 1 : Actions sur les structures]</w:t>
      </w:r>
    </w:p>
    <w:p w14:paraId="671FF630" w14:textId="77777777" w:rsidR="00DF410E" w:rsidRDefault="00CE7F43">
      <w:r>
        <w:t>[NBN EN 1995 série, Eurocode 5: Conception et calcul des structures en bois]</w:t>
      </w:r>
    </w:p>
    <w:p w14:paraId="50346AB3"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05EE3803" w14:textId="77777777" w:rsidR="00DF410E" w:rsidRDefault="00CE7F43">
      <w:r>
        <w:t>[NBN EN 13556, Bois ronds et bois sciés - Nomenclature des bois utilisés en Europe]</w:t>
      </w:r>
    </w:p>
    <w:p w14:paraId="1EE77C8B" w14:textId="77777777" w:rsidR="00DF410E" w:rsidRDefault="00CE7F43">
      <w:r>
        <w:t>[NBN EN 14358, Structures en bois - Détermination et vérification des valeurs caractéristiques]</w:t>
      </w:r>
    </w:p>
    <w:p w14:paraId="31A1B5D7" w14:textId="77777777" w:rsidR="00DF410E" w:rsidRDefault="00CE7F43">
      <w:r>
        <w:t>[NBN EN 15425, Adhésifs - Adhésifs polyuréthane monocomposants (PUR) pour structures portantes en bois - Classification et exigences de performance]</w:t>
      </w:r>
    </w:p>
    <w:p w14:paraId="23C9CEAD" w14:textId="77777777" w:rsidR="00DF410E" w:rsidRDefault="00CE7F43">
      <w:r>
        <w:t>[NBN EN 16351, Structures en bois - Bois lamellé croisé - Exigences] </w:t>
      </w:r>
    </w:p>
    <w:p w14:paraId="100A86F6" w14:textId="77777777" w:rsidR="00DF410E" w:rsidRDefault="00CE7F43">
      <w:pPr>
        <w:pStyle w:val="pheading"/>
      </w:pPr>
      <w:r>
        <w:t>MESURAGE</w:t>
      </w:r>
    </w:p>
    <w:p w14:paraId="7EE8431C" w14:textId="77777777" w:rsidR="00DF410E" w:rsidRDefault="00CE7F43">
      <w:pPr>
        <w:pStyle w:val="pheading"/>
      </w:pPr>
      <w:r>
        <w:t>- unité de mesure:</w:t>
      </w:r>
    </w:p>
    <w:p w14:paraId="2F638EC5" w14:textId="77777777" w:rsidR="00DF410E" w:rsidRDefault="00CE7F43">
      <w:r>
        <w:rPr>
          <w:rStyle w:val="optioncarChar"/>
        </w:rPr>
        <w:t>m²</w:t>
      </w:r>
      <w:r>
        <w:t xml:space="preserve"> (par défaut)</w:t>
      </w:r>
      <w:r>
        <w:rPr>
          <w:rStyle w:val="optioncarChar"/>
        </w:rPr>
        <w:t xml:space="preserve"> / m³</w:t>
      </w:r>
    </w:p>
    <w:p w14:paraId="1968F050" w14:textId="77777777" w:rsidR="00DF410E" w:rsidRDefault="00CE7F43">
      <w:r>
        <w:rPr>
          <w:b/>
          <w:i/>
        </w:rPr>
        <w:t>(Soit par défaut)</w:t>
      </w:r>
    </w:p>
    <w:p w14:paraId="69D7F13F" w14:textId="77777777" w:rsidR="00DF410E" w:rsidRDefault="00CE7F43">
      <w:r>
        <w:rPr>
          <w:rStyle w:val="soitChar"/>
        </w:rPr>
        <w:t>1.  m²</w:t>
      </w:r>
    </w:p>
    <w:p w14:paraId="1C4EE2F8" w14:textId="77777777" w:rsidR="00DF410E" w:rsidRDefault="00CE7F43">
      <w:r>
        <w:rPr>
          <w:b/>
          <w:i/>
        </w:rPr>
        <w:t>(Soit)</w:t>
      </w:r>
    </w:p>
    <w:p w14:paraId="1965F8D9" w14:textId="77777777" w:rsidR="00DF410E" w:rsidRDefault="00CE7F43">
      <w:r>
        <w:rPr>
          <w:rStyle w:val="soitChar"/>
        </w:rPr>
        <w:t>2.  m³</w:t>
      </w:r>
    </w:p>
    <w:p w14:paraId="78084B82" w14:textId="77777777" w:rsidR="00DF410E" w:rsidRDefault="00CE7F43">
      <w:pPr>
        <w:pStyle w:val="pheading"/>
      </w:pPr>
      <w:r>
        <w:t>- code de mesurage:</w:t>
      </w:r>
    </w:p>
    <w:p w14:paraId="7145C0A5" w14:textId="77777777" w:rsidR="00DF410E" w:rsidRDefault="00CE7F43">
      <w:pPr>
        <w:jc w:val="both"/>
      </w:pPr>
      <w:r>
        <w:rPr>
          <w:rStyle w:val="optioncarChar"/>
        </w:rPr>
        <w:t xml:space="preserve">Surface nette </w:t>
      </w:r>
      <w:r>
        <w:t xml:space="preserve">(par défaut) </w:t>
      </w:r>
      <w:r>
        <w:rPr>
          <w:rStyle w:val="optioncarChar"/>
        </w:rPr>
        <w:t>/ volume net</w:t>
      </w:r>
    </w:p>
    <w:p w14:paraId="1BFC750D" w14:textId="77777777" w:rsidR="00DF410E" w:rsidRDefault="00CE7F43">
      <w:pPr>
        <w:jc w:val="both"/>
      </w:pPr>
      <w:r>
        <w:rPr>
          <w:b/>
          <w:i/>
        </w:rPr>
        <w:t>(Soit par défaut)</w:t>
      </w:r>
    </w:p>
    <w:p w14:paraId="3F2337FC" w14:textId="77777777" w:rsidR="00DF410E" w:rsidRDefault="00CE7F43">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4527843B" w14:textId="77777777" w:rsidR="00DF410E" w:rsidRDefault="00CE7F43">
      <w:pPr>
        <w:jc w:val="both"/>
      </w:pPr>
      <w:r>
        <w:rPr>
          <w:b/>
          <w:i/>
        </w:rPr>
        <w:t>(Soit)</w:t>
      </w:r>
    </w:p>
    <w:p w14:paraId="1808A26E" w14:textId="77777777" w:rsidR="00DF410E" w:rsidRDefault="00CE7F43">
      <w:pPr>
        <w:jc w:val="both"/>
      </w:pPr>
      <w:r>
        <w:rPr>
          <w:rStyle w:val="soitChar"/>
        </w:rPr>
        <w:t xml:space="preserve"> 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1E4C0505" w14:textId="77777777" w:rsidR="00DF410E" w:rsidRDefault="00CE7F43">
      <w:pPr>
        <w:pStyle w:val="pheading"/>
      </w:pPr>
      <w:r>
        <w:t>- nature du marché:</w:t>
      </w:r>
    </w:p>
    <w:p w14:paraId="656946FD" w14:textId="77777777" w:rsidR="00DF410E" w:rsidRDefault="00CE7F43">
      <w:r>
        <w:t>QF</w:t>
      </w:r>
    </w:p>
    <w:p w14:paraId="12D53E44" w14:textId="77777777" w:rsidR="00DF410E" w:rsidRDefault="00CE7F43">
      <w:pPr>
        <w:pStyle w:val="Author-eSectionHeading6"/>
      </w:pPr>
      <w:bookmarkStart w:id="1685" w:name="_Toc178838772"/>
      <w:r>
        <w:t>24.23.2c Systèmes de toiture en CLT préfabriqués cloués-collés CCTB 01.11</w:t>
      </w:r>
      <w:bookmarkEnd w:id="1685"/>
    </w:p>
    <w:p w14:paraId="19C26ED4" w14:textId="77777777" w:rsidR="00DF410E" w:rsidRDefault="00CE7F43">
      <w:pPr>
        <w:pStyle w:val="pheading"/>
      </w:pPr>
      <w:r>
        <w:t>DESCRIPTION</w:t>
      </w:r>
    </w:p>
    <w:p w14:paraId="5322705D" w14:textId="77777777" w:rsidR="00DF410E" w:rsidRDefault="00CE7F43">
      <w:pPr>
        <w:pStyle w:val="pheading"/>
      </w:pPr>
      <w:r>
        <w:t>- Définition / Comprend</w:t>
      </w:r>
    </w:p>
    <w:p w14:paraId="6B3D8636" w14:textId="77777777" w:rsidR="00DF410E" w:rsidRDefault="00CE7F43">
      <w:pPr>
        <w:jc w:val="both"/>
      </w:pPr>
      <w:r>
        <w:t>Il s’agit de la fourniture et la pose de tous les éléments constitués de panneaux lamellés croisés cloués-collés en bois ou à base de bois constituant les systèmes de construction CLT portants et non portants quel que soit le type d’aboutage, y compris toutes les pièces qui en font intrinsèquement partie (comprenant notamment les dispositifs d’assemblage).</w:t>
      </w:r>
    </w:p>
    <w:p w14:paraId="3252AB12" w14:textId="77777777" w:rsidR="00DF410E" w:rsidRDefault="00CE7F43">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2879A948" w14:textId="77777777" w:rsidR="00DF410E" w:rsidRDefault="00CE7F43">
      <w:pPr>
        <w:pStyle w:val="pheading"/>
      </w:pPr>
      <w:r>
        <w:t>- Localisation</w:t>
      </w:r>
    </w:p>
    <w:p w14:paraId="5E5FFD88" w14:textId="77777777" w:rsidR="00DF410E" w:rsidRDefault="00CE7F43">
      <w:r>
        <w:t xml:space="preserve">Localisation des travaux : </w:t>
      </w:r>
      <w:r>
        <w:rPr>
          <w:rStyle w:val="optioncarChar"/>
        </w:rPr>
        <w:t>***</w:t>
      </w:r>
      <w:r>
        <w:t>.</w:t>
      </w:r>
    </w:p>
    <w:p w14:paraId="238E2419" w14:textId="77777777" w:rsidR="00DF410E" w:rsidRDefault="00CE7F43">
      <w:r>
        <w:t>Voir plans et métrés détaillés.</w:t>
      </w:r>
    </w:p>
    <w:p w14:paraId="1F0B96D2" w14:textId="77777777" w:rsidR="00DF410E" w:rsidRDefault="00CE7F43">
      <w:pPr>
        <w:pStyle w:val="pheading"/>
      </w:pPr>
      <w:r>
        <w:t>MATÉRIAUX</w:t>
      </w:r>
    </w:p>
    <w:p w14:paraId="1AA5B18F" w14:textId="77777777" w:rsidR="00DF410E" w:rsidRDefault="00CE7F43">
      <w:pPr>
        <w:pStyle w:val="pheading"/>
      </w:pPr>
      <w:r>
        <w:t>- Caractéristiques générales</w:t>
      </w:r>
    </w:p>
    <w:p w14:paraId="6199886C" w14:textId="77777777" w:rsidR="00DF410E" w:rsidRDefault="00CE7F43">
      <w:pPr>
        <w:jc w:val="both"/>
      </w:pPr>
      <w:r>
        <w:t>Épaisseur totale du panneau CLT : </w:t>
      </w:r>
      <w:r>
        <w:rPr>
          <w:rStyle w:val="optioncarChar"/>
        </w:rPr>
        <w:t>***</w:t>
      </w:r>
      <w:r>
        <w:t> mm.</w:t>
      </w:r>
    </w:p>
    <w:p w14:paraId="5A139064" w14:textId="77777777" w:rsidR="00DF410E" w:rsidRDefault="00CE7F43">
      <w:pPr>
        <w:jc w:val="both"/>
      </w:pPr>
      <w:r>
        <w:t>Les essences de bois composant les lames des panneaux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Mélèzes (Larix spp) / Peupliers (Populus spp) / Pin maritime (Pinus pinaster, PNPN) / Hêtre / ***</w:t>
      </w:r>
      <w:r>
        <w:t>.</w:t>
      </w:r>
    </w:p>
    <w:p w14:paraId="3B974184" w14:textId="77777777" w:rsidR="00DF410E" w:rsidRDefault="00CE7F43">
      <w:pPr>
        <w:jc w:val="both"/>
      </w:pPr>
      <w:r>
        <w:t>Classe de résistance : </w:t>
      </w:r>
      <w:r>
        <w:rPr>
          <w:rStyle w:val="optioncarChar"/>
        </w:rPr>
        <w:t>C18 </w:t>
      </w:r>
      <w:r>
        <w:t>(par défaut)</w:t>
      </w:r>
      <w:r>
        <w:rPr>
          <w:rStyle w:val="optioncarChar"/>
        </w:rPr>
        <w:t xml:space="preserve"> / D18 / C24 / D24 / C30 / D30 / ***</w:t>
      </w:r>
      <w:r>
        <w:t>.</w:t>
      </w:r>
    </w:p>
    <w:p w14:paraId="34B94217" w14:textId="77777777" w:rsidR="00DF410E" w:rsidRDefault="00CE7F43">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w:t>
      </w:r>
      <w:r>
        <w:t> (par défaut)</w:t>
      </w:r>
      <w:r>
        <w:rPr>
          <w:rStyle w:val="optioncarChar"/>
        </w:rPr>
        <w:t> / de couches intérieures en épicéa C 16 / de lames en bois sur les couches extérieures et panneaux de type MDF (classe MDFLA) en plis centraux / ***.</w:t>
      </w:r>
    </w:p>
    <w:p w14:paraId="42293DBA" w14:textId="77777777" w:rsidR="00DF410E" w:rsidRDefault="00CE7F43">
      <w:pPr>
        <w:jc w:val="both"/>
      </w:pPr>
      <w:r>
        <w:t>L’épaisseur des lames </w:t>
      </w:r>
      <w:r>
        <w:rPr>
          <w:rStyle w:val="optioncarChar"/>
        </w:rPr>
        <w:t>est</w:t>
      </w:r>
      <w:r>
        <w:t> (par défaut) </w:t>
      </w:r>
      <w:r>
        <w:rPr>
          <w:rStyle w:val="optioncarChar"/>
        </w:rPr>
        <w:t>/ n’est pas</w:t>
      </w:r>
      <w:r>
        <w:t> constante sur tous les plis. La composition des épaisseurs des plis est: </w:t>
      </w:r>
      <w:r>
        <w:rPr>
          <w:rStyle w:val="optioncarChar"/>
        </w:rPr>
        <w:t>30-30-30 / 30-40-30 / 40-40-40 / 20-20-20-20-20 </w:t>
      </w:r>
      <w:r>
        <w:t>(par défaut)</w:t>
      </w:r>
      <w:r>
        <w:rPr>
          <w:rStyle w:val="optioncarChar"/>
        </w:rPr>
        <w:t> /  20-30-20-30 / 40-20-20-20-40 / ***</w:t>
      </w:r>
      <w:r>
        <w:t> mm.</w:t>
      </w:r>
    </w:p>
    <w:p w14:paraId="4331EC73" w14:textId="77777777" w:rsidR="00DF410E" w:rsidRDefault="00CE7F43">
      <w:pPr>
        <w:jc w:val="both"/>
      </w:pPr>
      <w:r>
        <w:t>Les lames </w:t>
      </w:r>
      <w:r>
        <w:rPr>
          <w:rStyle w:val="optioncarChar"/>
        </w:rPr>
        <w:t>ne sont pas </w:t>
      </w:r>
      <w:r>
        <w:t>(par défaut)</w:t>
      </w:r>
      <w:r>
        <w:rPr>
          <w:rStyle w:val="optioncarChar"/>
        </w:rPr>
        <w:t> /sont</w:t>
      </w:r>
      <w:r>
        <w:t> munies de fente (rainures) de soulagement.</w:t>
      </w:r>
    </w:p>
    <w:p w14:paraId="6D48D67C" w14:textId="77777777" w:rsidR="00DF410E" w:rsidRDefault="00CE7F43">
      <w:pPr>
        <w:jc w:val="both"/>
      </w:pPr>
      <w:r>
        <w:t>La réaction au feu est de classe </w:t>
      </w:r>
      <w:r>
        <w:rPr>
          <w:rStyle w:val="optioncarChar"/>
        </w:rPr>
        <w:t>D-s2, d0 </w:t>
      </w:r>
      <w:r>
        <w:t>(par défaut)</w:t>
      </w:r>
      <w:r>
        <w:rPr>
          <w:rStyle w:val="optioncarChar"/>
        </w:rPr>
        <w:t> / ***</w:t>
      </w:r>
      <w:r>
        <w:t>.</w:t>
      </w:r>
    </w:p>
    <w:p w14:paraId="1E5943AB" w14:textId="77777777" w:rsidR="00DF410E" w:rsidRDefault="00CE7F43">
      <w:pPr>
        <w:jc w:val="both"/>
      </w:pPr>
      <w:r>
        <w:t>La résistance au feu déclarée de la paroi: </w:t>
      </w:r>
      <w:r>
        <w:rPr>
          <w:rStyle w:val="optioncarChar"/>
        </w:rPr>
        <w:t>pas d’exigences</w:t>
      </w:r>
      <w:r>
        <w:t> (par défaut) </w:t>
      </w:r>
      <w:r>
        <w:rPr>
          <w:rStyle w:val="optioncarChar"/>
        </w:rPr>
        <w:t>/ REI 30 / EI30 / REI 60 / EI 60 / ***.</w:t>
      </w:r>
    </w:p>
    <w:p w14:paraId="6185AAE5" w14:textId="77777777" w:rsidR="00DF410E" w:rsidRDefault="00CE7F43">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5FFA00BC" w14:textId="77777777" w:rsidR="00DF410E" w:rsidRDefault="00CE7F43">
      <w:pPr>
        <w:jc w:val="both"/>
      </w:pPr>
      <w:r>
        <w:t>La conductivité thermique des lames de bois déclarée (selon [NBN EN 12667]) ≤ </w:t>
      </w:r>
      <w:r>
        <w:rPr>
          <w:rStyle w:val="optioncarChar"/>
        </w:rPr>
        <w:t>0.11 / 0.13 </w:t>
      </w:r>
      <w:r>
        <w:t>(par défaut)</w:t>
      </w:r>
      <w:r>
        <w:rPr>
          <w:rStyle w:val="optioncarChar"/>
        </w:rPr>
        <w:t> / 0.2 / ***</w:t>
      </w:r>
      <w:r>
        <w:t> W/mK.</w:t>
      </w:r>
    </w:p>
    <w:p w14:paraId="14FB1B91" w14:textId="77777777" w:rsidR="00DF410E" w:rsidRDefault="00CE7F43">
      <w:pPr>
        <w:jc w:val="both"/>
      </w:pPr>
      <w:r>
        <w:t>Le coefficient de résistance à la diffusion de vapeur d’eau – valeur μ pour un taux d’humidité du bois de 11 % (selon [NBN EN 12086]) : </w:t>
      </w:r>
      <w:r>
        <w:rPr>
          <w:rStyle w:val="optioncarChar"/>
        </w:rPr>
        <w:t>≥ 50</w:t>
      </w:r>
      <w:r>
        <w:t> (par défaut) </w:t>
      </w:r>
      <w:r>
        <w:rPr>
          <w:rStyle w:val="optioncarChar"/>
        </w:rPr>
        <w:t>/ ≥ 30  / ≤ 100 / ***</w:t>
      </w:r>
      <w:r>
        <w:t>.</w:t>
      </w:r>
    </w:p>
    <w:p w14:paraId="005D5967" w14:textId="77777777" w:rsidR="00DF410E" w:rsidRDefault="00CE7F43">
      <w:pPr>
        <w:jc w:val="both"/>
      </w:pPr>
      <w:r>
        <w:t>La durabilité des panneaux en fonction de leur classe d’emploi, est assurée par la mesure suivante : </w:t>
      </w:r>
      <w:r>
        <w:rPr>
          <w:rStyle w:val="optioncarChar"/>
        </w:rPr>
        <w:t>traitement A1</w:t>
      </w:r>
      <w:r>
        <w:t> (par défaut)</w:t>
      </w:r>
      <w:r>
        <w:rPr>
          <w:rStyle w:val="optioncarChar"/>
        </w:rPr>
        <w:t> / traitement A2.2 / bois modifié thermiquement / bois hors aubier / ***</w:t>
      </w:r>
      <w:r>
        <w:t>.</w:t>
      </w:r>
    </w:p>
    <w:p w14:paraId="183B8216" w14:textId="77777777" w:rsidR="00DF410E" w:rsidRDefault="00CE7F43">
      <w:pPr>
        <w:jc w:val="both"/>
      </w:pPr>
      <w:r>
        <w:t> </w:t>
      </w:r>
    </w:p>
    <w:p w14:paraId="3DFA4C47" w14:textId="77777777" w:rsidR="00DF410E" w:rsidRDefault="00CE7F43">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aminoplaste (par exemple MF, MUF, PRF, UF) / adhésifs à base d'isocyanate et de polymère en émulsion (EPI).</w:t>
      </w:r>
    </w:p>
    <w:p w14:paraId="464D102C" w14:textId="77777777" w:rsidR="00DF410E" w:rsidRDefault="00CE7F43">
      <w:pPr>
        <w:ind w:left="567"/>
        <w:jc w:val="both"/>
      </w:pPr>
      <w:r>
        <w:rPr>
          <w:b/>
          <w:i/>
        </w:rPr>
        <w:t>(Soit par défaut)</w:t>
      </w:r>
    </w:p>
    <w:p w14:paraId="157245DF" w14:textId="77777777" w:rsidR="00DF410E" w:rsidRDefault="00CE7F43">
      <w:pPr>
        <w:ind w:left="567"/>
        <w:jc w:val="both"/>
      </w:pPr>
      <w:r>
        <w:rPr>
          <w:rStyle w:val="soitChar"/>
          <w:u w:val="single"/>
        </w:rPr>
        <w:t>Les spécifications du fabricant</w:t>
      </w:r>
    </w:p>
    <w:p w14:paraId="5BEF4657" w14:textId="77777777" w:rsidR="00DF410E" w:rsidRDefault="00CE7F43">
      <w:pPr>
        <w:ind w:left="567"/>
        <w:jc w:val="both"/>
      </w:pPr>
      <w:r>
        <w:rPr>
          <w:b/>
          <w:i/>
        </w:rPr>
        <w:t>(Soit)</w:t>
      </w:r>
    </w:p>
    <w:p w14:paraId="056A58A4" w14:textId="77777777" w:rsidR="00DF410E" w:rsidRDefault="00CE7F43">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5BD747AB" w14:textId="77777777" w:rsidR="00DF410E" w:rsidRDefault="00CE7F43">
      <w:pPr>
        <w:ind w:left="567"/>
        <w:jc w:val="both"/>
      </w:pPr>
      <w:r>
        <w:rPr>
          <w:b/>
          <w:i/>
        </w:rPr>
        <w:t>(Soit)</w:t>
      </w:r>
    </w:p>
    <w:p w14:paraId="6CE55EE2" w14:textId="77777777" w:rsidR="00DF410E" w:rsidRDefault="00CE7F43">
      <w:pPr>
        <w:ind w:left="567"/>
        <w:jc w:val="both"/>
      </w:pPr>
      <w:r>
        <w:rPr>
          <w:rStyle w:val="soitChar"/>
          <w:u w:val="single"/>
        </w:rPr>
        <w:t>MF, MUF, PRF, UF :</w:t>
      </w:r>
      <w:r>
        <w:rPr>
          <w:rStyle w:val="soitChar"/>
        </w:rPr>
        <w:t> Les caractéristiques des collages des adhésifs de nature phénolique et aminoplaste sont déterminées conformément à la [NBN EN 302-6] et satisfont aux exigences conformes à la [NBN EN 301].</w:t>
      </w:r>
    </w:p>
    <w:p w14:paraId="3675F64B" w14:textId="77777777" w:rsidR="00DF410E" w:rsidRDefault="00CE7F43">
      <w:pPr>
        <w:ind w:left="567"/>
        <w:jc w:val="both"/>
      </w:pPr>
      <w:r>
        <w:rPr>
          <w:b/>
          <w:i/>
        </w:rPr>
        <w:t>(Soit)</w:t>
      </w:r>
    </w:p>
    <w:p w14:paraId="66766E31" w14:textId="77777777" w:rsidR="00DF410E" w:rsidRDefault="00CE7F43">
      <w:pPr>
        <w:ind w:left="567"/>
        <w:jc w:val="both"/>
      </w:pPr>
      <w:r>
        <w:rPr>
          <w:rStyle w:val="soitChar"/>
          <w:u w:val="single"/>
        </w:rPr>
        <w:t>EPI :</w:t>
      </w:r>
      <w:r>
        <w:rPr>
          <w:rStyle w:val="soitChar"/>
        </w:rPr>
        <w:t> Les adhésifs à base d’isocyanate et de polymère en émulsion satisfont aux exigences de la [NBN EN 15425].</w:t>
      </w:r>
    </w:p>
    <w:p w14:paraId="686E2A8F" w14:textId="77777777" w:rsidR="00DF410E" w:rsidRDefault="00CE7F43">
      <w:pPr>
        <w:jc w:val="both"/>
      </w:pPr>
      <w:r>
        <w:t> </w:t>
      </w:r>
    </w:p>
    <w:p w14:paraId="6563AB34" w14:textId="77777777" w:rsidR="00DF410E" w:rsidRDefault="00CE7F43">
      <w:pPr>
        <w:jc w:val="both"/>
      </w:pPr>
      <w:r>
        <w:t xml:space="preserve">L’assemblage des plis est réalisé par </w:t>
      </w:r>
      <w:r>
        <w:rPr>
          <w:rStyle w:val="optioncarChar"/>
        </w:rPr>
        <w:t xml:space="preserve">clous en aluminium </w:t>
      </w:r>
      <w:r>
        <w:t>(par défaut)</w:t>
      </w:r>
      <w:r>
        <w:rPr>
          <w:rStyle w:val="optioncarChar"/>
        </w:rPr>
        <w:t xml:space="preserve"> / acier/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14:paraId="3BABE260" w14:textId="77777777" w:rsidR="00DF410E" w:rsidRDefault="00CE7F43">
      <w:pPr>
        <w:jc w:val="both"/>
      </w:pPr>
      <w:r>
        <w:t>En l’absence de méthode de calcul de stabilité harmonisée sur ce produit, les performances mécaniques sont déterminées par essais pour répondre aux exigences déterminées dans l’étude de stabilité.</w:t>
      </w:r>
    </w:p>
    <w:p w14:paraId="4C1859B6" w14:textId="77777777" w:rsidR="00DF410E" w:rsidRDefault="00CE7F43">
      <w:pPr>
        <w:jc w:val="both"/>
      </w:pPr>
      <w:r>
        <w:t>La résistance mécanique des panneaux lamellés croisés est déterminée conformément à la [NBN EN 16351] sur base de calcul conformément à la [NBN EN 1995 série] et [NBN EN 14358] ou par essais conformes à la [NBN EN 408+A1].</w:t>
      </w:r>
    </w:p>
    <w:p w14:paraId="5D3676FA" w14:textId="77777777" w:rsidR="00DF410E" w:rsidRDefault="00CE7F43">
      <w:pPr>
        <w:jc w:val="both"/>
      </w:pPr>
      <w:r>
        <w:t>Les rainures et chant des lamelles </w:t>
      </w:r>
      <w:r>
        <w:rPr>
          <w:rStyle w:val="optioncarChar"/>
        </w:rPr>
        <w:t>ne sont pas</w:t>
      </w:r>
      <w:r>
        <w:t> (par défaut) </w:t>
      </w:r>
      <w:r>
        <w:rPr>
          <w:rStyle w:val="optioncarChar"/>
        </w:rPr>
        <w:t>/ sont</w:t>
      </w:r>
      <w:r>
        <w:t> collées.</w:t>
      </w:r>
    </w:p>
    <w:p w14:paraId="0D7F4930" w14:textId="77777777" w:rsidR="00DF410E" w:rsidRDefault="00CE7F43">
      <w:pPr>
        <w:jc w:val="both"/>
      </w:pPr>
      <w:r>
        <w:t>Un jeu de </w:t>
      </w:r>
      <w:r>
        <w:rPr>
          <w:rStyle w:val="optioncarChar"/>
        </w:rPr>
        <w:t>0</w:t>
      </w:r>
      <w:r>
        <w:t> (par défaut)</w:t>
      </w:r>
      <w:r>
        <w:rPr>
          <w:rStyle w:val="optioncarChar"/>
        </w:rPr>
        <w:t> / 2 / 5 / ***</w:t>
      </w:r>
      <w:r>
        <w:t> mm est réservé entre les lamelles.</w:t>
      </w:r>
    </w:p>
    <w:p w14:paraId="67276D48" w14:textId="77777777" w:rsidR="00DF410E" w:rsidRDefault="00CE7F43">
      <w:pPr>
        <w:jc w:val="both"/>
      </w:pPr>
      <w:r>
        <w:t>La résistance du collage des aboutages est conforme à la [NBN EN 16351] annexe B et est vérifiée par essais de flexion conformes à la [NBN EN 16351] §5.2.</w:t>
      </w:r>
    </w:p>
    <w:p w14:paraId="6E9861DC" w14:textId="77777777" w:rsidR="00DF410E" w:rsidRDefault="00CE7F43">
      <w:pPr>
        <w:jc w:val="both"/>
      </w:pPr>
      <w:r>
        <w:t>Le dégagement de formaldéhyde est déclaré conformément la [NBN EN 16351] §4.6 et de classe </w:t>
      </w:r>
      <w:r>
        <w:rPr>
          <w:rStyle w:val="optioncarChar"/>
        </w:rPr>
        <w:t>E1 </w:t>
      </w:r>
      <w:r>
        <w:t>(par défaut)</w:t>
      </w:r>
      <w:r>
        <w:rPr>
          <w:rStyle w:val="optioncarChar"/>
        </w:rPr>
        <w:t> / E2.</w:t>
      </w:r>
    </w:p>
    <w:p w14:paraId="66EF14AE" w14:textId="77777777" w:rsidR="00DF410E" w:rsidRDefault="00CE7F43">
      <w:pPr>
        <w:pStyle w:val="pheading"/>
      </w:pPr>
      <w:r>
        <w:t>- Finitions</w:t>
      </w:r>
    </w:p>
    <w:p w14:paraId="7CF93671" w14:textId="77777777" w:rsidR="00DF410E" w:rsidRDefault="00CE7F43">
      <w:pPr>
        <w:jc w:val="both"/>
      </w:pPr>
      <w:r>
        <w:t xml:space="preserve">Exigences d’aspect : </w:t>
      </w:r>
      <w:r>
        <w:rPr>
          <w:rStyle w:val="optioncarChar"/>
        </w:rPr>
        <w:t>non-visible / visible industriel / visible habitat</w:t>
      </w:r>
      <w:r>
        <w:t xml:space="preserve"> sur </w:t>
      </w:r>
      <w:r>
        <w:rPr>
          <w:rStyle w:val="optioncarChar"/>
        </w:rPr>
        <w:t>1</w:t>
      </w:r>
      <w:r>
        <w:t xml:space="preserve"> (par défaut)</w:t>
      </w:r>
      <w:r>
        <w:rPr>
          <w:rStyle w:val="optioncarChar"/>
        </w:rPr>
        <w:t xml:space="preserve"> / 2 face(s) / ***</w:t>
      </w:r>
      <w:r>
        <w:t>.</w:t>
      </w:r>
    </w:p>
    <w:p w14:paraId="7FAA8814" w14:textId="77777777" w:rsidR="00DF410E" w:rsidRDefault="00CE7F43">
      <w:pPr>
        <w:jc w:val="both"/>
      </w:pPr>
      <w:r>
        <w:t xml:space="preserve">Les panneaux </w:t>
      </w:r>
      <w:r>
        <w:rPr>
          <w:rStyle w:val="optioncarChar"/>
        </w:rPr>
        <w:t>sont / ne sont pas</w:t>
      </w:r>
      <w:r>
        <w:t xml:space="preserve"> (par défaut) munis de gaines (rainures) techniques et blochets intégrés non traversantes.</w:t>
      </w:r>
    </w:p>
    <w:p w14:paraId="4C33715C" w14:textId="77777777" w:rsidR="00DF410E" w:rsidRDefault="00CE7F43">
      <w:pPr>
        <w:pStyle w:val="pheading"/>
      </w:pPr>
      <w:r>
        <w:t>- Prescriptions complémentaires</w:t>
      </w:r>
    </w:p>
    <w:p w14:paraId="6C90A744" w14:textId="77777777" w:rsidR="00DF410E" w:rsidRDefault="00CE7F43">
      <w:r>
        <w:rPr>
          <w:rStyle w:val="facultChar"/>
        </w:rPr>
        <w:t>Capacité thermique :</w:t>
      </w:r>
      <w:r>
        <w:t xml:space="preserve">  </w:t>
      </w:r>
      <w:r>
        <w:rPr>
          <w:rStyle w:val="optioncarChar"/>
        </w:rPr>
        <w:t xml:space="preserve">&gt; 2 </w:t>
      </w:r>
      <w:r>
        <w:t>(par défaut)</w:t>
      </w:r>
      <w:r>
        <w:rPr>
          <w:rStyle w:val="optioncarChar"/>
        </w:rPr>
        <w:t xml:space="preserve"> / ***</w:t>
      </w:r>
      <w:r>
        <w:t xml:space="preserve">  </w:t>
      </w:r>
      <w:r>
        <w:rPr>
          <w:rStyle w:val="facultChar"/>
        </w:rPr>
        <w:t>kJ/kg.K</w:t>
      </w:r>
    </w:p>
    <w:p w14:paraId="046DDB89" w14:textId="77777777" w:rsidR="00DF410E" w:rsidRDefault="00CE7F43">
      <w:pPr>
        <w:pStyle w:val="pheading"/>
      </w:pPr>
      <w:r>
        <w:t>EXÉCUTION / MISE EN ŒUVRE</w:t>
      </w:r>
    </w:p>
    <w:p w14:paraId="058BC5C1" w14:textId="77777777" w:rsidR="00DF410E" w:rsidRDefault="00CE7F43">
      <w:pPr>
        <w:pStyle w:val="pheading"/>
      </w:pPr>
      <w:r>
        <w:t>- Prescriptions générales</w:t>
      </w:r>
    </w:p>
    <w:p w14:paraId="5E2E2C51" w14:textId="77777777" w:rsidR="00DF410E" w:rsidRDefault="00CE7F43">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2C6709E7" w14:textId="77777777" w:rsidR="00DF410E" w:rsidRDefault="00CE7F43">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07F39AAB" w14:textId="77777777" w:rsidR="00DF410E" w:rsidRDefault="00CE7F43">
      <w:pPr>
        <w:jc w:val="both"/>
      </w:pPr>
      <w:r>
        <w:t> </w:t>
      </w:r>
    </w:p>
    <w:p w14:paraId="27814AFE" w14:textId="77777777" w:rsidR="00DF410E" w:rsidRDefault="00CE7F43">
      <w:pPr>
        <w:jc w:val="both"/>
      </w:pPr>
      <w:r>
        <w:rPr>
          <w:b/>
        </w:rPr>
        <w:t>Fixation en pied de toiture</w:t>
      </w:r>
    </w:p>
    <w:p w14:paraId="2626C6F2" w14:textId="77777777" w:rsidR="00DF410E" w:rsidRDefault="00CE7F43">
      <w:pPr>
        <w:jc w:val="both"/>
      </w:pPr>
      <w:r>
        <w:t>Le panneau CLT est fixé </w:t>
      </w:r>
      <w:r>
        <w:rPr>
          <w:rStyle w:val="optioncarChar"/>
        </w:rPr>
        <w:t>par l’intermédiaire d’une sablière </w:t>
      </w:r>
      <w:r>
        <w:t>(par défaut)</w:t>
      </w:r>
      <w:r>
        <w:rPr>
          <w:rStyle w:val="optioncarChar"/>
        </w:rPr>
        <w:t> / par dispositifs d’ancrage ponctuels sur le gros œuvre existant / ***.</w:t>
      </w:r>
    </w:p>
    <w:p w14:paraId="38AAEF22" w14:textId="77777777" w:rsidR="00DF410E" w:rsidRDefault="00CE7F43">
      <w:pPr>
        <w:ind w:left="567"/>
        <w:jc w:val="both"/>
      </w:pPr>
      <w:r>
        <w:rPr>
          <w:b/>
          <w:i/>
        </w:rPr>
        <w:t>(Soit par défaut)</w:t>
      </w:r>
    </w:p>
    <w:p w14:paraId="10A4AE31" w14:textId="77777777" w:rsidR="00DF410E" w:rsidRDefault="00CE7F43">
      <w:pPr>
        <w:ind w:left="567"/>
        <w:jc w:val="both"/>
      </w:pPr>
      <w:r>
        <w:rPr>
          <w:rStyle w:val="soitChar"/>
          <w:u w:val="single"/>
        </w:rPr>
        <w:t>Sablière :</w:t>
      </w:r>
      <w:r>
        <w:rPr>
          <w:rStyle w:val="soitChar"/>
        </w:rPr>
        <w:t> La sablière est fixée par tire-fond sur le mur porteur et appliquée sur le pli central intérieur du panneau à assembler ou par fixations inclinées. Le nombre de fixations et les sections répondent au dimensionnement selon la [NBN EN 1995 série]. La sablière est décrite dans l’article </w:t>
      </w:r>
      <w:hyperlink w:anchor="603" w:history="1">
        <w:r>
          <w:rPr>
            <w:rStyle w:val="soitChar"/>
          </w:rPr>
          <w:t>24.11.2a Sablières</w:t>
        </w:r>
      </w:hyperlink>
      <w:r>
        <w:rPr>
          <w:rStyle w:val="soitChar"/>
        </w:rPr>
        <w:t>.</w:t>
      </w:r>
      <w:r>
        <w:t> </w:t>
      </w:r>
    </w:p>
    <w:p w14:paraId="18BB422E" w14:textId="77777777" w:rsidR="00DF410E" w:rsidRDefault="00CE7F43">
      <w:pPr>
        <w:ind w:left="567"/>
        <w:jc w:val="both"/>
      </w:pPr>
      <w:r>
        <w:rPr>
          <w:rStyle w:val="soitChar"/>
        </w:rPr>
        <w:t>L’assemblage de panneau de toiture est effectué par </w:t>
      </w:r>
      <w:r>
        <w:rPr>
          <w:rStyle w:val="optioncarChar"/>
        </w:rPr>
        <w:t>tire-fond et appliqué sur le pli central intérieur du panneau à assembler ou par fixations inclinées </w:t>
      </w:r>
      <w:r>
        <w:t>(par défaut)</w:t>
      </w:r>
      <w:r>
        <w:rPr>
          <w:rStyle w:val="optioncarChar"/>
        </w:rPr>
        <w:t> / plats métalliques / ***</w:t>
      </w:r>
      <w:r>
        <w:rPr>
          <w:rStyle w:val="soitChar"/>
        </w:rPr>
        <w:t>. Le nombre de fixations et les sections répondent au dimensionnement selon la [NBN EN 1995 série].</w:t>
      </w:r>
    </w:p>
    <w:p w14:paraId="62E690E9" w14:textId="77777777" w:rsidR="00DF410E" w:rsidRDefault="00CE7F43">
      <w:pPr>
        <w:ind w:left="567"/>
        <w:jc w:val="both"/>
      </w:pPr>
      <w:r>
        <w:rPr>
          <w:rStyle w:val="soitChar"/>
        </w:rPr>
        <w:t>L’assemblage </w:t>
      </w:r>
      <w:r>
        <w:rPr>
          <w:rStyle w:val="optioncarChar"/>
        </w:rPr>
        <w:t>est / n’est pas</w:t>
      </w:r>
      <w:r>
        <w:t> (par défaut)</w:t>
      </w:r>
      <w:r>
        <w:rPr>
          <w:rStyle w:val="soitChar"/>
        </w:rPr>
        <w:t> réalisé via un produit résilient. Le choix du produit résilient est effectué sur base du calcul de descente de charge suivant [NBN EN 1991 série].</w:t>
      </w:r>
    </w:p>
    <w:p w14:paraId="42522F4F" w14:textId="77777777" w:rsidR="00DF410E" w:rsidRDefault="00CE7F43">
      <w:pPr>
        <w:ind w:left="567"/>
        <w:jc w:val="both"/>
      </w:pPr>
      <w:r>
        <w:rPr>
          <w:b/>
          <w:i/>
        </w:rPr>
        <w:t>(Soit)</w:t>
      </w:r>
    </w:p>
    <w:p w14:paraId="65EDBC6B" w14:textId="77777777" w:rsidR="00DF410E" w:rsidRDefault="00CE7F43">
      <w:pPr>
        <w:ind w:left="567"/>
        <w:jc w:val="both"/>
      </w:pPr>
      <w:r>
        <w:rPr>
          <w:rStyle w:val="soitChar"/>
          <w:u w:val="single"/>
        </w:rPr>
        <w:t>Dispositifs d’ancrage ponctuels :</w:t>
      </w:r>
      <w:r>
        <w:rPr>
          <w:rStyle w:val="soitChar"/>
        </w:rPr>
        <w:t> Les dispositifs de fixation sont des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les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w:t>
      </w:r>
      <w:r>
        <w:rPr>
          <w:rStyle w:val="optioncarChar"/>
        </w:rPr>
        <w:t> / ***</w:t>
      </w:r>
      <w:r>
        <w:rPr>
          <w:rStyle w:val="soitChar"/>
        </w:rPr>
        <w:t> mm de bord du panneau. </w:t>
      </w:r>
    </w:p>
    <w:p w14:paraId="6C624317" w14:textId="77777777" w:rsidR="00DF410E" w:rsidRDefault="00CE7F43">
      <w:pPr>
        <w:ind w:left="567"/>
        <w:jc w:val="both"/>
      </w:pPr>
      <w:r>
        <w:rPr>
          <w:b/>
          <w:i/>
        </w:rPr>
        <w:t>(Soit)</w:t>
      </w:r>
    </w:p>
    <w:p w14:paraId="10B4AA9E" w14:textId="77777777" w:rsidR="00DF410E" w:rsidRDefault="00CE7F43">
      <w:pPr>
        <w:ind w:left="567"/>
        <w:jc w:val="both"/>
      </w:pPr>
      <w:r>
        <w:rPr>
          <w:rStyle w:val="optioncarChar"/>
        </w:rPr>
        <w:t>***</w:t>
      </w:r>
    </w:p>
    <w:p w14:paraId="7E021A2E" w14:textId="77777777" w:rsidR="00DF410E" w:rsidRDefault="00CE7F43">
      <w:pPr>
        <w:jc w:val="both"/>
      </w:pPr>
      <w:r>
        <w:t> </w:t>
      </w:r>
    </w:p>
    <w:p w14:paraId="31B34C0D" w14:textId="77777777" w:rsidR="00DF410E" w:rsidRDefault="00CE7F43">
      <w:pPr>
        <w:jc w:val="both"/>
      </w:pPr>
      <w:r>
        <w:t>La continuité d’étanchéité est assurée par </w:t>
      </w:r>
      <w:r>
        <w:rPr>
          <w:rStyle w:val="optioncarChar"/>
        </w:rPr>
        <w:t>tapes adhésifs</w:t>
      </w:r>
      <w:r>
        <w:t> (par défaut)</w:t>
      </w:r>
      <w:r>
        <w:rPr>
          <w:rStyle w:val="optioncarChar"/>
        </w:rPr>
        <w:t> / mousse comprimée / mastics de resserrage / préformé d’étanchéité / ***.</w:t>
      </w:r>
    </w:p>
    <w:p w14:paraId="46795395" w14:textId="77777777" w:rsidR="00DF410E" w:rsidRDefault="00CE7F43">
      <w:pPr>
        <w:jc w:val="both"/>
      </w:pPr>
      <w:r>
        <w:t>Les fixations, pointes ou vis, des panneaux sont effectuées sur </w:t>
      </w:r>
      <w:r>
        <w:rPr>
          <w:rStyle w:val="optioncarChar"/>
        </w:rPr>
        <w:t>2/3 </w:t>
      </w:r>
      <w:r>
        <w:t>(par défaut)</w:t>
      </w:r>
      <w:r>
        <w:rPr>
          <w:rStyle w:val="optioncarChar"/>
        </w:rPr>
        <w:t> / ***</w:t>
      </w:r>
      <w:r>
        <w:t> de l’épaisseur du panneau.</w:t>
      </w:r>
    </w:p>
    <w:p w14:paraId="37885232" w14:textId="77777777" w:rsidR="00DF410E" w:rsidRDefault="00CE7F43">
      <w:pPr>
        <w:jc w:val="both"/>
      </w:pPr>
      <w:r>
        <w:t>Les dispositifs d’ancrage sont décrits dans les éléments du </w:t>
      </w:r>
      <w:hyperlink w:anchor="583" w:history="1">
        <w:r>
          <w:t>24.4 Assemblages</w:t>
        </w:r>
      </w:hyperlink>
      <w:r>
        <w:t>.</w:t>
      </w:r>
    </w:p>
    <w:p w14:paraId="03C6248E" w14:textId="77777777" w:rsidR="00DF410E" w:rsidRDefault="00CE7F43">
      <w:pPr>
        <w:pStyle w:val="pheading"/>
      </w:pPr>
      <w:r>
        <w:t>DOCUMENTS DE RÉFÉRENCE COMPLÉMENTAIRES</w:t>
      </w:r>
    </w:p>
    <w:p w14:paraId="63750DA3" w14:textId="77777777" w:rsidR="00DF410E" w:rsidRDefault="00CE7F43">
      <w:pPr>
        <w:pStyle w:val="pheading"/>
      </w:pPr>
      <w:r>
        <w:t>- Matériau</w:t>
      </w:r>
    </w:p>
    <w:p w14:paraId="1C990CF2" w14:textId="77777777" w:rsidR="00DF410E" w:rsidRDefault="00CE7F43">
      <w:r>
        <w:t>[NBN EN 301, Adhésifs de nature phénolique et aminoplaste, pour structures portantes en bois - Classification et exigences de performance]</w:t>
      </w:r>
    </w:p>
    <w:p w14:paraId="36925484" w14:textId="77777777" w:rsidR="00DF410E" w:rsidRDefault="00CE7F43">
      <w:r>
        <w:t>[NBN EN 302-2, Adhésifs pour structures portantes en bois - Méthodes d'essais - Partie 2 : Détermination de la résistance à la délamination]</w:t>
      </w:r>
    </w:p>
    <w:p w14:paraId="26C11310" w14:textId="77777777" w:rsidR="00DF410E" w:rsidRDefault="00CE7F43">
      <w:r>
        <w:t>[NBN EN 408+A1, Structures en bois - Bois de structure et bois lamellé-collé - Détermination de certaines propriétés physiques et mécaniques]</w:t>
      </w:r>
    </w:p>
    <w:p w14:paraId="58050EC0" w14:textId="77777777" w:rsidR="00DF410E" w:rsidRDefault="00CE7F43">
      <w:r>
        <w:t>[NBN EN 1991 série, Eurocode 1 : Actions sur les structures]</w:t>
      </w:r>
    </w:p>
    <w:p w14:paraId="5513AF98" w14:textId="77777777" w:rsidR="00DF410E" w:rsidRDefault="00CE7F43">
      <w:r>
        <w:t>[NBN EN 1995 série, Eurocode 5: Conception et calcul des structures en bois]</w:t>
      </w:r>
    </w:p>
    <w:p w14:paraId="6F443DDF"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 </w:t>
      </w:r>
    </w:p>
    <w:p w14:paraId="2806842E" w14:textId="77777777" w:rsidR="00DF410E" w:rsidRDefault="00CE7F43">
      <w:r>
        <w:t>[NBN EN 13556, Bois ronds et bois sciés - Nomenclature des bois utilisés en Europe]</w:t>
      </w:r>
    </w:p>
    <w:p w14:paraId="1D09AF68" w14:textId="77777777" w:rsidR="00DF410E" w:rsidRDefault="00CE7F43">
      <w:r>
        <w:t>[NBN EN 14358, Structures en bois - Détermination et vérification des valeurs caractéristiques]</w:t>
      </w:r>
    </w:p>
    <w:p w14:paraId="179AE254" w14:textId="77777777" w:rsidR="00DF410E" w:rsidRDefault="00CE7F43">
      <w:r>
        <w:t>[NBN EN 15425, Adhésifs - Adhésifs polyuréthane monocomposants (PUR) pour structures portantes en bois - Classification et exigences de performance]</w:t>
      </w:r>
    </w:p>
    <w:p w14:paraId="2BE9772D" w14:textId="77777777" w:rsidR="00DF410E" w:rsidRDefault="00CE7F43">
      <w:r>
        <w:t>[NBN EN 16351, Structures en bois - Bois lamellé croisé - Exigences] </w:t>
      </w:r>
    </w:p>
    <w:p w14:paraId="368DB7D7" w14:textId="77777777" w:rsidR="00DF410E" w:rsidRDefault="00CE7F43">
      <w:pPr>
        <w:pStyle w:val="pheading"/>
      </w:pPr>
      <w:r>
        <w:t>MESURAGE</w:t>
      </w:r>
    </w:p>
    <w:p w14:paraId="75D2794F" w14:textId="77777777" w:rsidR="00DF410E" w:rsidRDefault="00CE7F43">
      <w:pPr>
        <w:pStyle w:val="pheading"/>
      </w:pPr>
      <w:r>
        <w:t>- unité de mesure:</w:t>
      </w:r>
    </w:p>
    <w:p w14:paraId="2684D379" w14:textId="77777777" w:rsidR="00DF410E" w:rsidRDefault="00CE7F43">
      <w:r>
        <w:rPr>
          <w:rStyle w:val="optioncarChar"/>
        </w:rPr>
        <w:t>m²</w:t>
      </w:r>
      <w:r>
        <w:t xml:space="preserve"> (par défaut) </w:t>
      </w:r>
      <w:r>
        <w:rPr>
          <w:rStyle w:val="optioncarChar"/>
        </w:rPr>
        <w:t>/ m³</w:t>
      </w:r>
    </w:p>
    <w:p w14:paraId="50B18187" w14:textId="77777777" w:rsidR="00DF410E" w:rsidRDefault="00CE7F43">
      <w:r>
        <w:rPr>
          <w:b/>
          <w:i/>
        </w:rPr>
        <w:t>(Soit par défaut)</w:t>
      </w:r>
    </w:p>
    <w:p w14:paraId="44C2F734" w14:textId="77777777" w:rsidR="00DF410E" w:rsidRDefault="00CE7F43">
      <w:r>
        <w:rPr>
          <w:rStyle w:val="soitChar"/>
        </w:rPr>
        <w:t>1. m²</w:t>
      </w:r>
    </w:p>
    <w:p w14:paraId="06925398" w14:textId="77777777" w:rsidR="00DF410E" w:rsidRDefault="00CE7F43">
      <w:r>
        <w:rPr>
          <w:b/>
          <w:i/>
        </w:rPr>
        <w:t>(Soit)</w:t>
      </w:r>
    </w:p>
    <w:p w14:paraId="369DAF8F" w14:textId="77777777" w:rsidR="00DF410E" w:rsidRDefault="00CE7F43">
      <w:r>
        <w:rPr>
          <w:rStyle w:val="soitChar"/>
        </w:rPr>
        <w:t>2. m³</w:t>
      </w:r>
    </w:p>
    <w:p w14:paraId="5A64C369" w14:textId="77777777" w:rsidR="00DF410E" w:rsidRDefault="00CE7F43">
      <w:pPr>
        <w:pStyle w:val="pheading"/>
      </w:pPr>
      <w:r>
        <w:t>- code de mesurage:</w:t>
      </w:r>
    </w:p>
    <w:p w14:paraId="66A97167" w14:textId="77777777" w:rsidR="00DF410E" w:rsidRDefault="00CE7F43">
      <w:pPr>
        <w:jc w:val="both"/>
      </w:pPr>
      <w:r>
        <w:rPr>
          <w:rStyle w:val="optioncarChar"/>
        </w:rPr>
        <w:t xml:space="preserve">Surface nette </w:t>
      </w:r>
      <w:r>
        <w:t>(par défaut)</w:t>
      </w:r>
      <w:r>
        <w:rPr>
          <w:rStyle w:val="optioncarChar"/>
        </w:rPr>
        <w:t xml:space="preserve"> / Volume net</w:t>
      </w:r>
    </w:p>
    <w:p w14:paraId="0D706998" w14:textId="77777777" w:rsidR="00DF410E" w:rsidRDefault="00CE7F43">
      <w:pPr>
        <w:jc w:val="both"/>
      </w:pPr>
      <w:r>
        <w:rPr>
          <w:b/>
          <w:i/>
        </w:rPr>
        <w:t>(Soit par défaut)</w:t>
      </w:r>
    </w:p>
    <w:p w14:paraId="2C8F9249" w14:textId="77777777" w:rsidR="00DF410E" w:rsidRDefault="00CE7F43">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1AEBB87D" w14:textId="77777777" w:rsidR="00DF410E" w:rsidRDefault="00CE7F43">
      <w:pPr>
        <w:jc w:val="both"/>
      </w:pPr>
      <w:r>
        <w:rPr>
          <w:b/>
          <w:i/>
        </w:rPr>
        <w:t>(Soit)</w:t>
      </w:r>
    </w:p>
    <w:p w14:paraId="60114F34" w14:textId="77777777" w:rsidR="00DF410E" w:rsidRDefault="00CE7F43">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131855C9" w14:textId="77777777" w:rsidR="00DF410E" w:rsidRDefault="00CE7F43">
      <w:pPr>
        <w:pStyle w:val="pheading"/>
      </w:pPr>
      <w:r>
        <w:t>- nature du marché:</w:t>
      </w:r>
    </w:p>
    <w:p w14:paraId="279FB5F8" w14:textId="77777777" w:rsidR="00DF410E" w:rsidRDefault="00CE7F43">
      <w:r>
        <w:t>QF</w:t>
      </w:r>
    </w:p>
    <w:p w14:paraId="3514BC8B" w14:textId="77777777" w:rsidR="00DF410E" w:rsidRDefault="00CE7F43">
      <w:pPr>
        <w:pStyle w:val="Author-eSectionHeading5"/>
      </w:pPr>
      <w:bookmarkStart w:id="1686" w:name="_Toc178838773"/>
      <w:r>
        <w:t>24.23.3 Systèmes de toiture en bois à base de caissons CCTB 01.11</w:t>
      </w:r>
      <w:bookmarkEnd w:id="1686"/>
    </w:p>
    <w:p w14:paraId="7791E4FA" w14:textId="77777777" w:rsidR="00DF410E" w:rsidRDefault="00CE7F43">
      <w:pPr>
        <w:pStyle w:val="pheading"/>
      </w:pPr>
      <w:r>
        <w:t>DESCRIPTION</w:t>
      </w:r>
    </w:p>
    <w:p w14:paraId="330A4BC6" w14:textId="77777777" w:rsidR="00DF410E" w:rsidRDefault="00CE7F43">
      <w:pPr>
        <w:pStyle w:val="pheading"/>
      </w:pPr>
      <w:r>
        <w:t>- Définition / Comprend</w:t>
      </w:r>
    </w:p>
    <w:p w14:paraId="2D09B5A2" w14:textId="77777777" w:rsidR="00DF410E" w:rsidRDefault="00CE7F43">
      <w:pPr>
        <w:jc w:val="both"/>
      </w:pPr>
      <w:r>
        <w:t>Il s'agit de la fourniture et la pose de systèmes de toiture en bois à base de caissons, préfabriqués en atelier, remplis éventuellement d’isolant. Y compris tous les accessoires de fixation.</w:t>
      </w:r>
    </w:p>
    <w:p w14:paraId="6889E55C" w14:textId="77777777" w:rsidR="00DF410E" w:rsidRDefault="00CE7F43">
      <w:pPr>
        <w:jc w:val="both"/>
      </w:pPr>
      <w:r>
        <w:t>Le travail comprend notamment :</w:t>
      </w:r>
    </w:p>
    <w:p w14:paraId="0D30EEA4" w14:textId="77777777" w:rsidR="00DF410E" w:rsidRDefault="00CE7F43">
      <w:pPr>
        <w:pStyle w:val="Author-eListParagraph"/>
        <w:numPr>
          <w:ilvl w:val="0"/>
          <w:numId w:val="942"/>
        </w:numPr>
        <w:jc w:val="both"/>
      </w:pPr>
      <w:r>
        <w:t>Le relevé sur place des dimensions exactes ;</w:t>
      </w:r>
    </w:p>
    <w:p w14:paraId="293FB27E" w14:textId="77777777" w:rsidR="00DF410E" w:rsidRDefault="00CE7F43">
      <w:pPr>
        <w:pStyle w:val="Author-eListParagraph"/>
        <w:numPr>
          <w:ilvl w:val="0"/>
          <w:numId w:val="942"/>
        </w:numPr>
        <w:jc w:val="both"/>
      </w:pPr>
      <w:r>
        <w:t>Le contrôle, la préparation et le nettoyage des supports sur lesquels les éléments seront posés ;</w:t>
      </w:r>
    </w:p>
    <w:p w14:paraId="0BAF45FF" w14:textId="77777777" w:rsidR="00DF410E" w:rsidRDefault="00CE7F43">
      <w:pPr>
        <w:pStyle w:val="Author-eListParagraph"/>
        <w:numPr>
          <w:ilvl w:val="0"/>
          <w:numId w:val="942"/>
        </w:numPr>
        <w:jc w:val="both"/>
      </w:pPr>
      <w:r>
        <w:t>Les réservations prévues sur les plans ;</w:t>
      </w:r>
    </w:p>
    <w:p w14:paraId="5E1D0048" w14:textId="77777777" w:rsidR="00DF410E" w:rsidRDefault="00CE7F43">
      <w:pPr>
        <w:pStyle w:val="Author-eListParagraph"/>
        <w:numPr>
          <w:ilvl w:val="0"/>
          <w:numId w:val="942"/>
        </w:numPr>
        <w:jc w:val="both"/>
      </w:pPr>
      <w:r>
        <w:t>Les études de stabilité et d’exécution réalisées par le fabricant sur base des informations, indicatives, reprises sur les plans et les descriptions dans les articles ;</w:t>
      </w:r>
    </w:p>
    <w:p w14:paraId="19A0B049" w14:textId="77777777" w:rsidR="00DF410E" w:rsidRDefault="00CE7F43">
      <w:pPr>
        <w:pStyle w:val="Author-eListParagraph"/>
        <w:numPr>
          <w:ilvl w:val="0"/>
          <w:numId w:val="942"/>
        </w:numPr>
        <w:jc w:val="both"/>
      </w:pPr>
      <w:r>
        <w:t>La fabrication sur mesure, le transport et la mise en œuvre de tous les éléments, y compris les engins de levage, tous les supports temporaires et travaux d’étayage, tous les moyens de fixation et/ou de pose, etc. ;</w:t>
      </w:r>
    </w:p>
    <w:p w14:paraId="4497AA19" w14:textId="77777777" w:rsidR="00DF410E" w:rsidRDefault="00CE7F43">
      <w:pPr>
        <w:pStyle w:val="Author-eListParagraph"/>
        <w:numPr>
          <w:ilvl w:val="0"/>
          <w:numId w:val="942"/>
        </w:numPr>
        <w:jc w:val="both"/>
      </w:pPr>
      <w:r>
        <w:t>L'exécution des assemblages et des éventuelles jonctions avec la structure de construction ;</w:t>
      </w:r>
    </w:p>
    <w:p w14:paraId="09656929" w14:textId="77777777" w:rsidR="00DF410E" w:rsidRDefault="00CE7F43">
      <w:pPr>
        <w:pStyle w:val="Author-eListParagraph"/>
        <w:numPr>
          <w:ilvl w:val="0"/>
          <w:numId w:val="942"/>
        </w:numPr>
        <w:jc w:val="both"/>
      </w:pPr>
      <w:r>
        <w:t>Tous les moyens de liaisonnement éventuels, aussi bien entre les éléments préfabriqués, qu’avec les éléments de support, de bord, etc. ;</w:t>
      </w:r>
    </w:p>
    <w:p w14:paraId="128008D6" w14:textId="77777777" w:rsidR="00DF410E" w:rsidRDefault="00CE7F43">
      <w:pPr>
        <w:pStyle w:val="Author-eListParagraph"/>
        <w:numPr>
          <w:ilvl w:val="0"/>
          <w:numId w:val="942"/>
        </w:numPr>
        <w:jc w:val="both"/>
      </w:pPr>
      <w:r>
        <w:t>L’enlèvement de tous les accessoires, supports, étais et le nettoyage des faces visibles ;</w:t>
      </w:r>
    </w:p>
    <w:p w14:paraId="54DFC365" w14:textId="77777777" w:rsidR="00DF410E" w:rsidRDefault="00CE7F43">
      <w:pPr>
        <w:pStyle w:val="Author-eListParagraph"/>
        <w:numPr>
          <w:ilvl w:val="0"/>
          <w:numId w:val="942"/>
        </w:numPr>
        <w:jc w:val="both"/>
      </w:pPr>
      <w:r>
        <w:t>Les mesures nécessaires, après la mise en œuvre, en vue de la protection des éléments contre toute dégradation et salissement pendant toute la durée des travaux ;</w:t>
      </w:r>
    </w:p>
    <w:p w14:paraId="2757E8BD" w14:textId="77777777" w:rsidR="00DF410E" w:rsidRDefault="00CE7F43">
      <w:pPr>
        <w:pStyle w:val="Author-eListParagraph"/>
        <w:numPr>
          <w:ilvl w:val="0"/>
          <w:numId w:val="942"/>
        </w:numPr>
        <w:jc w:val="both"/>
      </w:pPr>
      <w:r>
        <w:t>L’enlèvement des protections pour la réception provisoire.</w:t>
      </w:r>
    </w:p>
    <w:p w14:paraId="7288557A" w14:textId="77777777" w:rsidR="00DF410E" w:rsidRDefault="00CE7F43">
      <w:pPr>
        <w:pStyle w:val="pheading"/>
      </w:pPr>
      <w:r>
        <w:t>EXÉCUTION / MISE EN ŒUVRE</w:t>
      </w:r>
    </w:p>
    <w:p w14:paraId="734419B6" w14:textId="77777777" w:rsidR="00DF410E" w:rsidRDefault="00CE7F43">
      <w:pPr>
        <w:jc w:val="both"/>
      </w:pPr>
      <w:r>
        <w:rPr>
          <w:b/>
        </w:rPr>
        <w:t>Etude</w:t>
      </w:r>
    </w:p>
    <w:p w14:paraId="169B46A4" w14:textId="77777777" w:rsidR="00DF410E" w:rsidRDefault="00CE7F43">
      <w:pPr>
        <w:jc w:val="both"/>
      </w:pPr>
      <w:r>
        <w:t>Le cahier spécial des charges doit mentionner les modalités d'entreprise en ce qui concerne l'étude de stabilité et les détails (voir dans les articles) :</w:t>
      </w:r>
    </w:p>
    <w:p w14:paraId="5DF1CE3A" w14:textId="77777777" w:rsidR="00DF410E" w:rsidRDefault="00CE7F43">
      <w:pPr>
        <w:jc w:val="both"/>
      </w:pPr>
      <w:r>
        <w:rPr>
          <w:u w:val="single"/>
        </w:rPr>
        <w:t>Etude à charge du maître de l'ouvrage :</w:t>
      </w:r>
    </w:p>
    <w:p w14:paraId="2081804E" w14:textId="77777777" w:rsidR="00DF410E" w:rsidRDefault="00CE7F43">
      <w:pPr>
        <w:jc w:val="both"/>
      </w:pPr>
      <w:r>
        <w:t xml:space="preserve"> Les éléments de structure en bois sont exécutés conformément aux documents de travail annexés au dossier d'adjudication (plans, cahiers des charges, bordereaux, dessins de détail).</w:t>
      </w:r>
    </w:p>
    <w:p w14:paraId="23240622" w14:textId="77777777" w:rsidR="00DF410E" w:rsidRDefault="00CE7F43">
      <w:pPr>
        <w:jc w:val="both"/>
      </w:pPr>
      <w:r>
        <w:rPr>
          <w:u w:val="single"/>
        </w:rPr>
        <w:t>Etude à charge de l'entrepreneur :</w:t>
      </w:r>
    </w:p>
    <w:p w14:paraId="380BF901" w14:textId="77777777" w:rsidR="00DF410E" w:rsidRDefault="00CE7F43">
      <w:pPr>
        <w:jc w:val="both"/>
      </w:pPr>
      <w:r>
        <w:t xml:space="preserve"> Les frais pour la réalisation de l'étude des éléments de construction en bois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etc.).</w:t>
      </w:r>
    </w:p>
    <w:p w14:paraId="3E5C6D1C" w14:textId="77777777" w:rsidR="00DF410E" w:rsidRDefault="00CE7F43">
      <w:pPr>
        <w:jc w:val="both"/>
      </w:pPr>
      <w:r>
        <w:rPr>
          <w:u w:val="single"/>
        </w:rPr>
        <w:t>Etude à charge du maître de l’ouvrage à l’exception des assemblages :</w:t>
      </w:r>
    </w:p>
    <w:p w14:paraId="7AD2AB87" w14:textId="77777777" w:rsidR="00DF410E" w:rsidRDefault="00CE7F43">
      <w:pPr>
        <w:jc w:val="both"/>
      </w:pPr>
      <w:r>
        <w:t xml:space="preserve"> Les éléments de structure en bois sont exécutés conformément aux documents de travail annexés au dossier d'adjudication (plans, cahiers des charges, bordereaux, dessins de détail). Ces documents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7F0B4A82" w14:textId="77777777" w:rsidR="00DF410E" w:rsidRDefault="00CE7F43">
      <w:pPr>
        <w:jc w:val="both"/>
      </w:pPr>
      <w:r>
        <w:rPr>
          <w:b/>
        </w:rPr>
        <w:t>Méthode de calcul</w:t>
      </w:r>
    </w:p>
    <w:p w14:paraId="6F364FCA" w14:textId="77777777" w:rsidR="00DF410E" w:rsidRDefault="00CE7F43">
      <w:pPr>
        <w:jc w:val="both"/>
      </w:pPr>
      <w:r>
        <w:t>Les calculs sont exécutés conformément aux Eurocodes et en particulier conformément aux différentes parties de l'Eurocodes 5 [NBN EN 1995 série] et la [STS 23-1], [STS 23:ad.1], [STS 23:ad.2], [STS 31+ 32].</w:t>
      </w:r>
    </w:p>
    <w:p w14:paraId="119FEE40" w14:textId="77777777" w:rsidR="00DF410E" w:rsidRDefault="00CE7F43">
      <w:pPr>
        <w:jc w:val="both"/>
      </w:pPr>
      <w:r>
        <w:t>Les sollicitations à prendre en compte sont détaillées dans les différentes parties de l'Eurocode 1 [NBN EN 1991 série]. </w:t>
      </w:r>
    </w:p>
    <w:p w14:paraId="3F83B616" w14:textId="77777777" w:rsidR="00DF410E" w:rsidRDefault="00CE7F43">
      <w:pPr>
        <w:jc w:val="both"/>
      </w:pPr>
      <w:r>
        <w:t>L'entrepreneur est tenu de contrôler les dimensions sur place et de vérifier si les systèmes de toiture préfabriqués peuvent être exécutés selon les plans soumis. Lorsque cela s'avère impossible, il en avertit l'auteur de projet ou le bureau d’étude le jour dans les plus brefs délais.</w:t>
      </w:r>
    </w:p>
    <w:p w14:paraId="3AED439B" w14:textId="77777777" w:rsidR="00DF410E" w:rsidRDefault="00CE7F43">
      <w:pPr>
        <w:jc w:val="both"/>
      </w:pPr>
      <w:r>
        <w:t>Les sections de l’ossature préfabriquée, les modes de jonctions aux parois, les plans de pose et les calculs sont toujours établis et signés par un ingénieur en stabilité diplômé, attaché au fournisseur, et ce, aux frais de l'entrepreneur.</w:t>
      </w:r>
    </w:p>
    <w:p w14:paraId="3B477470" w14:textId="77777777" w:rsidR="00DF410E" w:rsidRDefault="00CE7F43">
      <w:pPr>
        <w:jc w:val="both"/>
      </w:pPr>
      <w:r>
        <w:t>L’entrepreneur soumet pour approbation les plans de fabrication, d’exécution et de montage au maître d’ouvrage et à l’auteur de projet avant d’en entamer la réalisation.</w:t>
      </w:r>
    </w:p>
    <w:p w14:paraId="3F4AD271" w14:textId="77777777" w:rsidR="00DF410E" w:rsidRDefault="00CE7F43">
      <w:pPr>
        <w:jc w:val="both"/>
      </w:pPr>
      <w:r>
        <w:t>Tous les bâtiments ou parties de bâtiments construits en bois respectent les tolérances de mise en œuvre énoncées dans la [STS 23-1].</w:t>
      </w:r>
    </w:p>
    <w:p w14:paraId="34780627" w14:textId="77777777" w:rsidR="00DF410E" w:rsidRDefault="00CE7F43">
      <w:pPr>
        <w:jc w:val="both"/>
      </w:pPr>
      <w:r>
        <w:rPr>
          <w:b/>
        </w:rPr>
        <w:t>Mise en œuvre</w:t>
      </w:r>
    </w:p>
    <w:p w14:paraId="7B90DC7B" w14:textId="77777777" w:rsidR="00DF410E" w:rsidRDefault="00CE7F43">
      <w:pPr>
        <w:jc w:val="both"/>
      </w:pPr>
      <w:r>
        <w:t>Les systèmes de toiture préfabriqués sont manutentionnés, stockés et mis en œuvre en respectant la documentation technique accompagnant le produit. </w:t>
      </w:r>
    </w:p>
    <w:p w14:paraId="7F676479" w14:textId="77777777" w:rsidR="00DF410E" w:rsidRDefault="00CE7F43">
      <w:pPr>
        <w:jc w:val="both"/>
      </w:pPr>
      <w:r>
        <w:t>Les faces visibles sont protégées pour le transport et durant toute la mise en œuvre</w:t>
      </w:r>
    </w:p>
    <w:p w14:paraId="3C8677A9" w14:textId="77777777" w:rsidR="00DF410E" w:rsidRDefault="00CE7F43">
      <w:pPr>
        <w:jc w:val="both"/>
      </w:pPr>
      <w:r>
        <w:rPr>
          <w:b/>
        </w:rPr>
        <w:t>Fixations et assemblages</w:t>
      </w:r>
    </w:p>
    <w:p w14:paraId="0DA9520F" w14:textId="77777777" w:rsidR="00DF410E" w:rsidRDefault="00CE7F43">
      <w:pPr>
        <w:jc w:val="both"/>
      </w:pPr>
      <w:r>
        <w:t>Les dispositifs d’ancrage sont décrits au titre du  </w:t>
      </w:r>
      <w:hyperlink w:anchor="583" w:history="1">
        <w:r>
          <w:t>24.4 Assemblages</w:t>
        </w:r>
      </w:hyperlink>
      <w:r>
        <w:t>s et articles qui en découlent, mais la fourniture et la pose sont comprises dans le présent travail.</w:t>
      </w:r>
    </w:p>
    <w:p w14:paraId="33BDBDC0" w14:textId="77777777" w:rsidR="00DF410E" w:rsidRDefault="00CE7F43">
      <w:pPr>
        <w:jc w:val="both"/>
      </w:pPr>
      <w:r>
        <w:t>Tous les assemblages mécaniques structuraux sont dimensionnés selon les principes de l’Eurocode [NBN EN 1995-1-1].</w:t>
      </w:r>
    </w:p>
    <w:p w14:paraId="1125405A" w14:textId="77777777" w:rsidR="00DF410E" w:rsidRDefault="00CE7F43">
      <w:pPr>
        <w:jc w:val="both"/>
      </w:pPr>
      <w:r>
        <w:t>Les organes d’assemblage sont conformes aux prescriptions de la [NBN EN 14592].</w:t>
      </w:r>
    </w:p>
    <w:p w14:paraId="5D2268C0" w14:textId="77777777" w:rsidR="00DF410E" w:rsidRDefault="00CE7F43">
      <w:pPr>
        <w:jc w:val="both"/>
      </w:pPr>
      <w:r>
        <w:rPr>
          <w:b/>
        </w:rPr>
        <w:t>Pare-vapeur/Freine-vapeur et étanchéité à l’air</w:t>
      </w:r>
    </w:p>
    <w:p w14:paraId="0C198677" w14:textId="77777777" w:rsidR="00DF410E" w:rsidRDefault="00CE7F43">
      <w:pPr>
        <w:jc w:val="both"/>
      </w:pPr>
      <w:r>
        <w:t>L’entrepreneur veille à assurer la parfaite étanchéité à l’air entre les caissons et aux différentes jonctions avec les murs, conformément à la [NIT 255].</w:t>
      </w:r>
    </w:p>
    <w:p w14:paraId="4A48283F" w14:textId="77777777" w:rsidR="00DF410E" w:rsidRDefault="00CE7F43">
      <w:pPr>
        <w:jc w:val="both"/>
      </w:pPr>
      <w:r>
        <w:t xml:space="preserve">Le pare-vapeur/frein-vapeur et l’étanchéité à l’air sont décrits au </w:t>
      </w:r>
      <w:hyperlink r:id="rId309" w:history="1" w:docLocation="77">
        <w:r>
          <w:t>32.2 Etanchéisation aux matières gazeuses</w:t>
        </w:r>
      </w:hyperlink>
      <w:r>
        <w:t xml:space="preserve"> et articles qui en découlent, mais leur fourniture et leur pose sont comprises dans le travail en cas d’application dans les articles.</w:t>
      </w:r>
    </w:p>
    <w:p w14:paraId="4D3CC863" w14:textId="77777777" w:rsidR="00DF410E" w:rsidRDefault="00CE7F43">
      <w:pPr>
        <w:pStyle w:val="pheading"/>
      </w:pPr>
      <w:r>
        <w:t>DOCUMENTS DE RÉFÉRENCE</w:t>
      </w:r>
    </w:p>
    <w:p w14:paraId="2FE04D17" w14:textId="77777777" w:rsidR="00DF410E" w:rsidRDefault="00CE7F43">
      <w:pPr>
        <w:pStyle w:val="pheading"/>
      </w:pPr>
      <w:r>
        <w:t>- Matériau</w:t>
      </w:r>
    </w:p>
    <w:p w14:paraId="4AFA3E00" w14:textId="77777777" w:rsidR="00DF410E" w:rsidRDefault="00CE7F43">
      <w:r>
        <w:t>[NBN EN 1991 série, Eurocode 1 : Actions sur les structures]</w:t>
      </w:r>
    </w:p>
    <w:p w14:paraId="7D296D3F" w14:textId="77777777" w:rsidR="00DF410E" w:rsidRDefault="00CE7F43">
      <w:r>
        <w:t>[NBN B 03-003, Déformation des structures - Valeurs limites de déformation - Bâtiments]</w:t>
      </w:r>
    </w:p>
    <w:p w14:paraId="395115A1" w14:textId="77777777" w:rsidR="00DF410E" w:rsidRDefault="00CE7F43">
      <w:r>
        <w:t>[NBN EN ISO 12460-5, Panneaux à base de bois - Détermination du dégagement de formaldéhyde - Partie 5 : Méthode d'extraction (dite méthode au perforateur) (ISO 12460-5:2015)]</w:t>
      </w:r>
    </w:p>
    <w:p w14:paraId="76B7922F" w14:textId="77777777" w:rsidR="00DF410E" w:rsidRDefault="00CE7F43">
      <w:pPr>
        <w:pStyle w:val="pheading"/>
      </w:pPr>
      <w:r>
        <w:t>- Exécution</w:t>
      </w:r>
    </w:p>
    <w:p w14:paraId="7B7006F6" w14:textId="77777777" w:rsidR="00DF410E" w:rsidRDefault="00CE7F43">
      <w:r>
        <w:t>[NBN EN 1991 série, Eurocode 1 : Actions sur les structures]</w:t>
      </w:r>
    </w:p>
    <w:p w14:paraId="13C80F2B" w14:textId="77777777" w:rsidR="00DF410E" w:rsidRDefault="00CE7F43">
      <w:r>
        <w:t>[NBN B 03-003, Déformation des structures - Valeurs limites de déformation - Bâtiments]</w:t>
      </w:r>
    </w:p>
    <w:p w14:paraId="7CFAAB93" w14:textId="77777777" w:rsidR="00DF410E" w:rsidRDefault="00CE7F43">
      <w:r>
        <w:t>[NIT 255, L'étanchéité à l'air des bâtiments]</w:t>
      </w:r>
    </w:p>
    <w:p w14:paraId="37952721" w14:textId="77777777" w:rsidR="00DF410E" w:rsidRDefault="00CE7F43">
      <w:r>
        <w:t>[NBN EN 14592, Structures en bois - Eléments de fixation de type tige - Exigences]</w:t>
      </w:r>
    </w:p>
    <w:p w14:paraId="700AF939" w14:textId="77777777" w:rsidR="00DF410E" w:rsidRDefault="00CE7F43">
      <w:pPr>
        <w:pStyle w:val="Author-eSectionHeading6"/>
      </w:pPr>
      <w:bookmarkStart w:id="1687" w:name="_Toc178838774"/>
      <w:r>
        <w:t>24.23.3a Systèmes de toiture en bois à base de caissons faits de planches CCTB 01.11</w:t>
      </w:r>
      <w:bookmarkEnd w:id="1687"/>
    </w:p>
    <w:p w14:paraId="7007F08C" w14:textId="77777777" w:rsidR="00DF410E" w:rsidRDefault="00CE7F43">
      <w:pPr>
        <w:pStyle w:val="pheading"/>
      </w:pPr>
      <w:r>
        <w:t>DESCRIPTION</w:t>
      </w:r>
    </w:p>
    <w:p w14:paraId="7BA419FA" w14:textId="77777777" w:rsidR="00DF410E" w:rsidRDefault="00CE7F43">
      <w:pPr>
        <w:pStyle w:val="pheading"/>
      </w:pPr>
      <w:r>
        <w:t>- Définition / Comprend</w:t>
      </w:r>
    </w:p>
    <w:p w14:paraId="6185740B" w14:textId="77777777" w:rsidR="00DF410E" w:rsidRDefault="00CE7F43">
      <w:pPr>
        <w:jc w:val="both"/>
      </w:pPr>
      <w:r>
        <w:t>Il s'agit de la fourniture et la pose de systèmes de toiture en bois à base de caissons faits de planches en bois massif, préfabriqués en atelier, remplis éventuellement d’isolant. Y compris tous les accessoires de fixation.</w:t>
      </w:r>
    </w:p>
    <w:p w14:paraId="57C1BD4F" w14:textId="77777777" w:rsidR="00DF410E" w:rsidRDefault="00CE7F43">
      <w:pPr>
        <w:pStyle w:val="pheading"/>
      </w:pPr>
      <w:r>
        <w:t>MATÉRIAUX</w:t>
      </w:r>
    </w:p>
    <w:p w14:paraId="3E886E72" w14:textId="77777777" w:rsidR="00DF410E" w:rsidRDefault="00CE7F43">
      <w:pPr>
        <w:pStyle w:val="pheading"/>
      </w:pPr>
      <w:r>
        <w:t>- Caractéristiques générales</w:t>
      </w:r>
    </w:p>
    <w:p w14:paraId="1301D0BA" w14:textId="77777777" w:rsidR="00DF410E" w:rsidRDefault="00DF410E"/>
    <w:p w14:paraId="47B123B8" w14:textId="77777777" w:rsidR="00DF410E" w:rsidRDefault="00CE7F43">
      <w:pPr>
        <w:pStyle w:val="Author-eListParagraph"/>
        <w:numPr>
          <w:ilvl w:val="0"/>
          <w:numId w:val="943"/>
        </w:numPr>
        <w:jc w:val="both"/>
      </w:pPr>
      <w:r>
        <w:t xml:space="preserve">Classe de service, suivant la [NBN EN 1995-1-1] : </w:t>
      </w:r>
      <w:r>
        <w:rPr>
          <w:rStyle w:val="optioncarChar"/>
        </w:rPr>
        <w:t>1 / 2</w:t>
      </w:r>
      <w:r>
        <w:t xml:space="preserve"> (par défaut)</w:t>
      </w:r>
    </w:p>
    <w:p w14:paraId="71B433DD" w14:textId="77777777" w:rsidR="00DF410E" w:rsidRDefault="00CE7F43">
      <w:pPr>
        <w:pStyle w:val="Author-eListParagraph"/>
        <w:numPr>
          <w:ilvl w:val="0"/>
          <w:numId w:val="943"/>
        </w:numPr>
        <w:jc w:val="both"/>
      </w:pPr>
      <w:r>
        <w:t xml:space="preserve">Hauteur disponible pour les caissons : ≤ </w:t>
      </w:r>
      <w:r>
        <w:rPr>
          <w:rStyle w:val="optioncarChar"/>
        </w:rPr>
        <w:t xml:space="preserve">selon les indications sur les plans </w:t>
      </w:r>
      <w:r>
        <w:t>(par défaut)</w:t>
      </w:r>
      <w:r>
        <w:rPr>
          <w:rStyle w:val="optioncarChar"/>
        </w:rPr>
        <w:t xml:space="preserve"> / ***</w:t>
      </w:r>
      <w:r>
        <w:t xml:space="preserve"> mm, tolérance ± 10 mm</w:t>
      </w:r>
    </w:p>
    <w:p w14:paraId="2936A650" w14:textId="77777777" w:rsidR="00DF410E" w:rsidRDefault="00CE7F43">
      <w:pPr>
        <w:pStyle w:val="Author-eListParagraph"/>
        <w:numPr>
          <w:ilvl w:val="0"/>
          <w:numId w:val="943"/>
        </w:numPr>
        <w:jc w:val="both"/>
      </w:pPr>
      <w:r>
        <w:t xml:space="preserve">Portée : ≤ </w:t>
      </w:r>
      <w:r>
        <w:rPr>
          <w:rStyle w:val="optioncarChar"/>
        </w:rPr>
        <w:t xml:space="preserve">selon les indications sur les plans </w:t>
      </w:r>
      <w:r>
        <w:t>(par défaut)</w:t>
      </w:r>
      <w:r>
        <w:rPr>
          <w:rStyle w:val="optioncarChar"/>
        </w:rPr>
        <w:t xml:space="preserve"> / ***</w:t>
      </w:r>
      <w:r>
        <w:t xml:space="preserve"> m, tolérance ± 100 mm</w:t>
      </w:r>
    </w:p>
    <w:p w14:paraId="30971CCF" w14:textId="77777777" w:rsidR="00DF410E" w:rsidRDefault="00CE7F43">
      <w:pPr>
        <w:pStyle w:val="Author-eListParagraph"/>
        <w:numPr>
          <w:ilvl w:val="0"/>
          <w:numId w:val="943"/>
        </w:numPr>
        <w:jc w:val="both"/>
      </w:pPr>
      <w:r>
        <w:t>Les caissons sont calculés pour des charges suivant l’Eurocode [NBN EN 1991-1-4], [NBN EN 1991-1-4 ANB], [NBN EN 1991-1-4/A1].</w:t>
      </w:r>
    </w:p>
    <w:p w14:paraId="3039118F" w14:textId="77777777" w:rsidR="00DF410E" w:rsidRDefault="00CE7F43">
      <w:pPr>
        <w:pStyle w:val="Author-eListParagraph"/>
        <w:numPr>
          <w:ilvl w:val="0"/>
          <w:numId w:val="943"/>
        </w:numPr>
        <w:jc w:val="both"/>
      </w:pPr>
      <w:r>
        <w:t xml:space="preserve">Le critère de flèche, suivant la [NBN B 03-003] est de : </w:t>
      </w:r>
      <w:r>
        <w:rPr>
          <w:rStyle w:val="optioncarChar"/>
        </w:rPr>
        <w:t xml:space="preserve">L/500 / L/450 / L/350 </w:t>
      </w:r>
      <w:r>
        <w:t>(par défaut)</w:t>
      </w:r>
      <w:r>
        <w:rPr>
          <w:rStyle w:val="optioncarChar"/>
        </w:rPr>
        <w:t xml:space="preserve"> / L/250 </w:t>
      </w:r>
    </w:p>
    <w:p w14:paraId="1863650E" w14:textId="77777777" w:rsidR="00DF410E" w:rsidRDefault="00CE7F43">
      <w:pPr>
        <w:jc w:val="both"/>
      </w:pPr>
      <w:r>
        <w:rPr>
          <w:b/>
        </w:rPr>
        <w:t>Matériau</w:t>
      </w:r>
    </w:p>
    <w:p w14:paraId="38289637" w14:textId="77777777" w:rsidR="00DF410E" w:rsidRDefault="00CE7F43">
      <w:pPr>
        <w:jc w:val="both"/>
      </w:pPr>
      <w:r>
        <w:t>Les caissons sont composés de planches en bois massif résineux fabriqués industriellement.</w:t>
      </w:r>
    </w:p>
    <w:p w14:paraId="08178471" w14:textId="77777777" w:rsidR="00DF410E" w:rsidRDefault="00CE7F43">
      <w:pPr>
        <w:jc w:val="both"/>
      </w:pPr>
      <w:r>
        <w:t>Le caisson est composé au minimum de nervures verticales et d’une face inférieure.</w:t>
      </w:r>
    </w:p>
    <w:p w14:paraId="094088F8" w14:textId="77777777" w:rsidR="00DF410E" w:rsidRDefault="00CE7F43">
      <w:pPr>
        <w:jc w:val="both"/>
      </w:pPr>
      <w:r>
        <w:t xml:space="preserve">Présence d’une face supérieure : </w:t>
      </w:r>
      <w:r>
        <w:rPr>
          <w:rStyle w:val="optioncarChar"/>
        </w:rPr>
        <w:t xml:space="preserve">oui </w:t>
      </w:r>
      <w:r>
        <w:t>(par défaut)</w:t>
      </w:r>
      <w:r>
        <w:rPr>
          <w:rStyle w:val="optioncarChar"/>
        </w:rPr>
        <w:t xml:space="preserve"> / non</w:t>
      </w:r>
    </w:p>
    <w:p w14:paraId="0BD34220" w14:textId="77777777" w:rsidR="00DF410E" w:rsidRDefault="00CE7F43">
      <w:pPr>
        <w:jc w:val="both"/>
      </w:pPr>
      <w:r>
        <w:t>Les faces sont assemblées par collage rigide sur toute la longueur des nervures. Entre les nervures, des raidisseurs (des entretoises) destinés à la stabilisation sont disposés à intervalles réguliers ≤ 1,2 m. </w:t>
      </w:r>
    </w:p>
    <w:p w14:paraId="429C89A9" w14:textId="77777777" w:rsidR="00DF410E" w:rsidRDefault="00CE7F43">
      <w:pPr>
        <w:jc w:val="both"/>
      </w:pPr>
      <w:r>
        <w:t>Les planches des faces sont reliées dans le sens de la longueur par aboutements collés. </w:t>
      </w:r>
    </w:p>
    <w:p w14:paraId="0A59EF8A" w14:textId="77777777" w:rsidR="00DF410E" w:rsidRDefault="00CE7F43">
      <w:pPr>
        <w:jc w:val="both"/>
      </w:pPr>
      <w:r>
        <w:rPr>
          <w:u w:val="single"/>
        </w:rPr>
        <w:t>Caractéristiques</w:t>
      </w:r>
    </w:p>
    <w:p w14:paraId="37473E20" w14:textId="77777777" w:rsidR="00DF410E" w:rsidRDefault="00CE7F43">
      <w:pPr>
        <w:pStyle w:val="Author-eListParagraph"/>
        <w:numPr>
          <w:ilvl w:val="0"/>
          <w:numId w:val="944"/>
        </w:numPr>
      </w:pPr>
      <w:r>
        <w:t xml:space="preserve">Essence de bois : </w:t>
      </w:r>
      <w:r>
        <w:rPr>
          <w:rStyle w:val="optioncarChar"/>
        </w:rPr>
        <w:t xml:space="preserve">au choix du fabricant, à soumettre à l’approbation de l’Architecte et du Maître de l’Ouvrage </w:t>
      </w:r>
      <w:r>
        <w:t>(par défaut)</w:t>
      </w:r>
      <w:r>
        <w:rPr>
          <w:rStyle w:val="optioncarChar"/>
        </w:rPr>
        <w:t xml:space="preserve"> / épicéa / sapin / pin sylvestre (sapin rouge du Nord - SRN) / mélèze / douglas / pin d’Oregon / ***</w:t>
      </w:r>
    </w:p>
    <w:p w14:paraId="432725EB" w14:textId="77777777" w:rsidR="00DF410E" w:rsidRDefault="00CE7F43">
      <w:pPr>
        <w:pStyle w:val="Author-eListParagraph"/>
        <w:numPr>
          <w:ilvl w:val="0"/>
          <w:numId w:val="944"/>
        </w:numPr>
      </w:pPr>
      <w:r>
        <w:t xml:space="preserve">Classe de résistance ≥ </w:t>
      </w:r>
      <w:r>
        <w:rPr>
          <w:rStyle w:val="optioncarChar"/>
        </w:rPr>
        <w:t xml:space="preserve">suivant l’étude </w:t>
      </w:r>
      <w:r>
        <w:t>(par défaut)</w:t>
      </w:r>
      <w:r>
        <w:rPr>
          <w:rStyle w:val="optioncarChar"/>
        </w:rPr>
        <w:t xml:space="preserve"> / C16 / C18 / C24</w:t>
      </w:r>
    </w:p>
    <w:p w14:paraId="4FE68F79" w14:textId="77777777" w:rsidR="00DF410E" w:rsidRDefault="00CE7F43">
      <w:pPr>
        <w:pStyle w:val="Author-eListParagraph"/>
        <w:numPr>
          <w:ilvl w:val="0"/>
          <w:numId w:val="944"/>
        </w:numPr>
      </w:pPr>
      <w:r>
        <w:t xml:space="preserve">Largeur des éléments : ≤ </w:t>
      </w:r>
      <w:r>
        <w:rPr>
          <w:rStyle w:val="optioncarChar"/>
        </w:rPr>
        <w:t>au choix de l’entrepreneur</w:t>
      </w:r>
      <w:r>
        <w:t xml:space="preserve"> (par défaut)</w:t>
      </w:r>
      <w:r>
        <w:rPr>
          <w:rStyle w:val="optioncarChar"/>
        </w:rPr>
        <w:t xml:space="preserve"> / 20 / 60 / 100</w:t>
      </w:r>
      <w:r>
        <w:t xml:space="preserve"> cm, tolérance ± 2 cm.</w:t>
      </w:r>
    </w:p>
    <w:p w14:paraId="5B1AEC66" w14:textId="77777777" w:rsidR="00DF410E" w:rsidRDefault="00CE7F43">
      <w:pPr>
        <w:pStyle w:val="Author-eListParagraph"/>
        <w:numPr>
          <w:ilvl w:val="0"/>
          <w:numId w:val="944"/>
        </w:numPr>
      </w:pPr>
      <w:r>
        <w:t>Classe de réaction au feu, selon la [NBN EN 13501-1] : D-s1, d0</w:t>
      </w:r>
    </w:p>
    <w:p w14:paraId="32EBDDEC" w14:textId="77777777" w:rsidR="00DF410E" w:rsidRDefault="00CE7F43">
      <w:pPr>
        <w:pStyle w:val="Author-eListParagraph"/>
        <w:numPr>
          <w:ilvl w:val="0"/>
          <w:numId w:val="944"/>
        </w:numPr>
      </w:pPr>
      <w:r>
        <w:t>Nature du collage :  adhésifs polyuréthane monocomposant durcissant à l'humidité (PUR) :</w:t>
      </w:r>
      <w:r>
        <w:br/>
        <w:t>Les adhésifs polyuréthane monocomposant durcissant à l’humidité satisfont aux exigences de la [NBN EN 15425] et [NBN EN 302-2]. Pour les adhésifs polyuréthane monocomposant durcissant à l'humidité devant être utilisés dans des aboutages à entures multiples, l'essai de délamination conformément à la [NBN EN 302-2] peut être remplacé par des essais conformément à la [NBN EN 301].</w:t>
      </w:r>
    </w:p>
    <w:p w14:paraId="1DAD6A8C" w14:textId="77777777" w:rsidR="00DF410E" w:rsidRDefault="00CE7F43">
      <w:pPr>
        <w:pStyle w:val="Author-eListParagraph"/>
        <w:numPr>
          <w:ilvl w:val="0"/>
          <w:numId w:val="944"/>
        </w:numPr>
      </w:pPr>
      <w:r>
        <w:t>Classe d’émission de formaldéhyde, selon la [NBN EN ISO 12460-5] : E1</w:t>
      </w:r>
    </w:p>
    <w:p w14:paraId="20DD3F19" w14:textId="77777777" w:rsidR="00DF410E" w:rsidRDefault="00CE7F43">
      <w:pPr>
        <w:pStyle w:val="Author-eListParagraph"/>
        <w:numPr>
          <w:ilvl w:val="0"/>
          <w:numId w:val="944"/>
        </w:numPr>
      </w:pPr>
      <w:r>
        <w:t>Les nœuds des planches sont collés avant tout rabotage.</w:t>
      </w:r>
    </w:p>
    <w:p w14:paraId="62CA6B6F" w14:textId="77777777" w:rsidR="00DF410E" w:rsidRDefault="00CE7F43">
      <w:pPr>
        <w:pStyle w:val="Author-eListParagraph"/>
        <w:numPr>
          <w:ilvl w:val="0"/>
          <w:numId w:val="944"/>
        </w:numPr>
      </w:pPr>
      <w:r>
        <w:t>Assemblage latéral entre caissons : rainuré-langueté</w:t>
      </w:r>
    </w:p>
    <w:p w14:paraId="0A887ADD" w14:textId="77777777" w:rsidR="00DF410E" w:rsidRDefault="00CE7F43">
      <w:pPr>
        <w:pStyle w:val="Author-eListParagraph"/>
        <w:numPr>
          <w:ilvl w:val="0"/>
          <w:numId w:val="944"/>
        </w:numPr>
      </w:pPr>
      <w:r>
        <w:t>Finition des bords : droits</w:t>
      </w:r>
    </w:p>
    <w:p w14:paraId="30DE153A" w14:textId="77777777" w:rsidR="00DF410E" w:rsidRDefault="00CE7F43">
      <w:pPr>
        <w:pStyle w:val="Author-eListParagraph"/>
        <w:numPr>
          <w:ilvl w:val="0"/>
          <w:numId w:val="944"/>
        </w:numPr>
      </w:pPr>
      <w:r>
        <w:t xml:space="preserve">Finition de la face inférieure : </w:t>
      </w:r>
      <w:r>
        <w:rPr>
          <w:rStyle w:val="optioncarChar"/>
        </w:rPr>
        <w:t xml:space="preserve">poncée (vue) </w:t>
      </w:r>
      <w:r>
        <w:t>(par défaut)</w:t>
      </w:r>
      <w:r>
        <w:rPr>
          <w:rStyle w:val="optioncarChar"/>
        </w:rPr>
        <w:t xml:space="preserve"> / rabotée</w:t>
      </w:r>
    </w:p>
    <w:p w14:paraId="52E11A9A" w14:textId="77777777" w:rsidR="00DF410E" w:rsidRDefault="00CE7F43">
      <w:pPr>
        <w:pStyle w:val="Author-eListParagraph"/>
        <w:numPr>
          <w:ilvl w:val="0"/>
          <w:numId w:val="944"/>
        </w:numPr>
      </w:pPr>
      <w:r>
        <w:t>Finition de la face supérieure :  </w:t>
      </w:r>
      <w:r>
        <w:rPr>
          <w:rStyle w:val="optioncarChar"/>
        </w:rPr>
        <w:t>rabotée</w:t>
      </w:r>
      <w:r>
        <w:t xml:space="preserve"> (par défaut)</w:t>
      </w:r>
      <w:r>
        <w:rPr>
          <w:rStyle w:val="optioncarChar"/>
        </w:rPr>
        <w:t xml:space="preserve"> / pas de face supérieure</w:t>
      </w:r>
    </w:p>
    <w:p w14:paraId="20C65931" w14:textId="77777777" w:rsidR="00DF410E" w:rsidRDefault="00CE7F43">
      <w:pPr>
        <w:jc w:val="both"/>
      </w:pPr>
      <w:r>
        <w:rPr>
          <w:b/>
        </w:rPr>
        <w:t>Absorption acoustique</w:t>
      </w:r>
    </w:p>
    <w:p w14:paraId="74587F12" w14:textId="77777777" w:rsidR="00DF410E" w:rsidRDefault="00CE7F43">
      <w:pPr>
        <w:jc w:val="both"/>
      </w:pPr>
      <w:r>
        <w:t>La face inférieure présente des ouvertures pour l’absorption acoustique :</w:t>
      </w:r>
      <w:r>
        <w:rPr>
          <w:rStyle w:val="optioncarChar"/>
        </w:rPr>
        <w:t xml:space="preserve"> non </w:t>
      </w:r>
      <w:r>
        <w:t>(par défaut)</w:t>
      </w:r>
      <w:r>
        <w:rPr>
          <w:rStyle w:val="optioncarChar"/>
        </w:rPr>
        <w:t xml:space="preserve"> / oui </w:t>
      </w:r>
    </w:p>
    <w:p w14:paraId="020FC051" w14:textId="77777777" w:rsidR="00DF410E" w:rsidRDefault="00CE7F43">
      <w:pPr>
        <w:jc w:val="both"/>
      </w:pPr>
      <w:r>
        <w:t>Dans le cas où un absorbeur acoustique est prévu, la face inférieure présente des ouvertures d’absorption acoustique. Une couche d’absorbeur est placée au-dessus de la face inférieure.</w:t>
      </w:r>
    </w:p>
    <w:p w14:paraId="315190C2" w14:textId="77777777" w:rsidR="00DF410E" w:rsidRDefault="00CE7F43">
      <w:pPr>
        <w:pStyle w:val="Author-eListParagraph"/>
        <w:numPr>
          <w:ilvl w:val="0"/>
          <w:numId w:val="945"/>
        </w:numPr>
      </w:pPr>
      <w:r>
        <w:t xml:space="preserve">Matériau : </w:t>
      </w:r>
      <w:r>
        <w:rPr>
          <w:rStyle w:val="optioncarChar"/>
        </w:rPr>
        <w:t xml:space="preserve">fibre de bois </w:t>
      </w:r>
      <w:r>
        <w:t>(par défaut)</w:t>
      </w:r>
      <w:r>
        <w:rPr>
          <w:rStyle w:val="optioncarChar"/>
        </w:rPr>
        <w:t xml:space="preserve"> / ***</w:t>
      </w:r>
    </w:p>
    <w:p w14:paraId="212B3833" w14:textId="77777777" w:rsidR="00DF410E" w:rsidRDefault="00CE7F43">
      <w:pPr>
        <w:pStyle w:val="Author-eListParagraph"/>
        <w:numPr>
          <w:ilvl w:val="0"/>
          <w:numId w:val="945"/>
        </w:numPr>
      </w:pPr>
      <w:r>
        <w:t xml:space="preserve">Masse volumique de l’absorbeur :  ≤ </w:t>
      </w:r>
      <w:r>
        <w:rPr>
          <w:rStyle w:val="optioncarChar"/>
        </w:rPr>
        <w:t>110 (par défaut) / ***</w:t>
      </w:r>
      <w:r>
        <w:t> kg/m³</w:t>
      </w:r>
    </w:p>
    <w:p w14:paraId="1217BF37" w14:textId="77777777" w:rsidR="00DF410E" w:rsidRDefault="00CE7F43">
      <w:pPr>
        <w:pStyle w:val="Author-eListParagraph"/>
        <w:numPr>
          <w:ilvl w:val="0"/>
          <w:numId w:val="945"/>
        </w:numPr>
      </w:pPr>
      <w:r>
        <w:t xml:space="preserve">Epaisseur de l’absorbeur : ≥ </w:t>
      </w:r>
      <w:r>
        <w:rPr>
          <w:rStyle w:val="optioncarChar"/>
        </w:rPr>
        <w:t>20 / 22 / 26 / 40</w:t>
      </w:r>
      <w:r>
        <w:t xml:space="preserve"> (par défaut) mm</w:t>
      </w:r>
    </w:p>
    <w:p w14:paraId="340F6DC8" w14:textId="77777777" w:rsidR="00DF410E" w:rsidRDefault="00CE7F43">
      <w:pPr>
        <w:pStyle w:val="Author-eListParagraph"/>
        <w:numPr>
          <w:ilvl w:val="0"/>
          <w:numId w:val="945"/>
        </w:numPr>
      </w:pPr>
      <w:r>
        <w:t xml:space="preserve">Forme des ouvertures : </w:t>
      </w:r>
      <w:r>
        <w:rPr>
          <w:rStyle w:val="optioncarChar"/>
        </w:rPr>
        <w:t>rondes</w:t>
      </w:r>
      <w:r>
        <w:t xml:space="preserve"> (par défaut)</w:t>
      </w:r>
      <w:r>
        <w:rPr>
          <w:rStyle w:val="optioncarChar"/>
        </w:rPr>
        <w:t xml:space="preserve"> / rainures </w:t>
      </w:r>
    </w:p>
    <w:p w14:paraId="4EF37277" w14:textId="77777777" w:rsidR="00DF410E" w:rsidRDefault="00CE7F43">
      <w:pPr>
        <w:pStyle w:val="Author-eListParagraph"/>
        <w:numPr>
          <w:ilvl w:val="0"/>
          <w:numId w:val="945"/>
        </w:numPr>
      </w:pPr>
      <w:r>
        <w:t xml:space="preserve">Caractéristiques des ouvertures : </w:t>
      </w:r>
      <w:r>
        <w:rPr>
          <w:rStyle w:val="optioncarChar"/>
        </w:rPr>
        <w:t xml:space="preserve">à soumettre sur chantier à l'approbation à l'architecte et au maître de l'ouvrage en fonction du nuancier du fabricant </w:t>
      </w:r>
      <w:r>
        <w:t>(par défaut)</w:t>
      </w:r>
      <w:r>
        <w:rPr>
          <w:rStyle w:val="optioncarChar"/>
        </w:rPr>
        <w:t xml:space="preserve"> / ***</w:t>
      </w:r>
    </w:p>
    <w:p w14:paraId="6C7B0CC7" w14:textId="77777777" w:rsidR="00DF410E" w:rsidRDefault="00CE7F43">
      <w:pPr>
        <w:pStyle w:val="Author-eListParagraph"/>
        <w:numPr>
          <w:ilvl w:val="0"/>
          <w:numId w:val="945"/>
        </w:numPr>
      </w:pPr>
      <w:r>
        <w:t>Coefficient d’absorption pondéré, suivant la norme [NBN EN ISO 11654], αw ≥ </w:t>
      </w:r>
      <w:r>
        <w:rPr>
          <w:rStyle w:val="optioncarChar"/>
        </w:rPr>
        <w:t>0,4 / 0,5</w:t>
      </w:r>
      <w:r>
        <w:t xml:space="preserve"> (par défaut)</w:t>
      </w:r>
      <w:r>
        <w:rPr>
          <w:rStyle w:val="optioncarChar"/>
        </w:rPr>
        <w:t xml:space="preserve"> / 0,6 / 0,7 / 0,8 / 0,9</w:t>
      </w:r>
    </w:p>
    <w:p w14:paraId="47A62E6C" w14:textId="77777777" w:rsidR="00DF410E" w:rsidRDefault="00CE7F43">
      <w:pPr>
        <w:jc w:val="both"/>
      </w:pPr>
      <w:r>
        <w:rPr>
          <w:b/>
        </w:rPr>
        <w:t>Isolation thermique</w:t>
      </w:r>
    </w:p>
    <w:p w14:paraId="4D4FB016" w14:textId="77777777" w:rsidR="00DF410E" w:rsidRDefault="00CE7F43">
      <w:pPr>
        <w:jc w:val="both"/>
      </w:pPr>
      <w:r>
        <w:t xml:space="preserve">De l’isolant thermique est placé à l’intérieur des caissons : </w:t>
      </w:r>
      <w:r>
        <w:rPr>
          <w:rStyle w:val="optioncarChar"/>
        </w:rPr>
        <w:t>non</w:t>
      </w:r>
      <w:r>
        <w:t xml:space="preserve"> (par défaut)</w:t>
      </w:r>
      <w:r>
        <w:rPr>
          <w:rStyle w:val="optioncarChar"/>
        </w:rPr>
        <w:t xml:space="preserve"> / oui</w:t>
      </w:r>
    </w:p>
    <w:p w14:paraId="05232771" w14:textId="77777777" w:rsidR="00DF410E" w:rsidRDefault="00CE7F43">
      <w:pPr>
        <w:jc w:val="both"/>
      </w:pPr>
      <w:r>
        <w:t>Dans le cas où un isolant thermique est prévu, celui-ci est placé à l’intérieur des caissons, dans toute leur épaisseur :</w:t>
      </w:r>
    </w:p>
    <w:p w14:paraId="30ACDFA9" w14:textId="77777777" w:rsidR="00DF410E" w:rsidRDefault="00CE7F43">
      <w:pPr>
        <w:pStyle w:val="Author-eListParagraph"/>
        <w:numPr>
          <w:ilvl w:val="0"/>
          <w:numId w:val="946"/>
        </w:numPr>
      </w:pPr>
      <w:r>
        <w:t>Nature de l’isolant :</w:t>
      </w:r>
      <w:r>
        <w:rPr>
          <w:rStyle w:val="optioncarChar"/>
        </w:rPr>
        <w:t xml:space="preserve"> laine de bois</w:t>
      </w:r>
      <w:r>
        <w:t> (par défaut)</w:t>
      </w:r>
      <w:r>
        <w:rPr>
          <w:rStyle w:val="optioncarChar"/>
        </w:rPr>
        <w:t> / laine de verre / ***</w:t>
      </w:r>
    </w:p>
    <w:p w14:paraId="730D266A" w14:textId="77777777" w:rsidR="00DF410E" w:rsidRDefault="00CE7F43">
      <w:pPr>
        <w:pStyle w:val="Author-eListParagraph"/>
        <w:numPr>
          <w:ilvl w:val="0"/>
          <w:numId w:val="946"/>
        </w:numPr>
      </w:pPr>
      <w:r>
        <w:t>Conductivité thermique lambda, suivant la [NBN EN 12667] ou [NBN EN ISO 10456] : ≤ </w:t>
      </w:r>
      <w:r>
        <w:rPr>
          <w:rStyle w:val="optioncarChar"/>
        </w:rPr>
        <w:t xml:space="preserve">0,040 </w:t>
      </w:r>
      <w:r>
        <w:t>(par défaut)</w:t>
      </w:r>
      <w:r>
        <w:rPr>
          <w:rStyle w:val="optioncarChar"/>
        </w:rPr>
        <w:t xml:space="preserve"> / 0,035 </w:t>
      </w:r>
      <w:r>
        <w:t>W/(m.K)</w:t>
      </w:r>
    </w:p>
    <w:p w14:paraId="5A87B069" w14:textId="77777777" w:rsidR="00DF410E" w:rsidRDefault="00CE7F43">
      <w:pPr>
        <w:jc w:val="both"/>
      </w:pPr>
      <w:r>
        <w:rPr>
          <w:b/>
        </w:rPr>
        <w:t>Résistance au feu</w:t>
      </w:r>
    </w:p>
    <w:p w14:paraId="22878862" w14:textId="77777777" w:rsidR="00DF410E" w:rsidRDefault="00CE7F43">
      <w:pPr>
        <w:jc w:val="both"/>
      </w:pPr>
      <w:r>
        <w:t xml:space="preserve">Le système de toiture présente une résistance au feu, selon la [NBN EN 13501-2] : </w:t>
      </w:r>
      <w:r>
        <w:rPr>
          <w:rStyle w:val="optioncarChar"/>
        </w:rPr>
        <w:t xml:space="preserve">pas d’application / REI30 </w:t>
      </w:r>
      <w:r>
        <w:t>(par défaut)</w:t>
      </w:r>
      <w:r>
        <w:rPr>
          <w:rStyle w:val="optioncarChar"/>
        </w:rPr>
        <w:t xml:space="preserve"> / REI60 / REI 90 / REI 120</w:t>
      </w:r>
    </w:p>
    <w:p w14:paraId="4487E215" w14:textId="77777777" w:rsidR="00DF410E" w:rsidRDefault="00CE7F43">
      <w:pPr>
        <w:jc w:val="both"/>
      </w:pPr>
      <w:r>
        <w:t xml:space="preserve">En cas de résistance au feu obligatoire, celle-ci est atteinte : </w:t>
      </w:r>
      <w:r>
        <w:rPr>
          <w:rStyle w:val="optioncarChar"/>
        </w:rPr>
        <w:t xml:space="preserve">sans traitement particulier </w:t>
      </w:r>
      <w:r>
        <w:t>(par défaut</w:t>
      </w:r>
      <w:r>
        <w:rPr>
          <w:rStyle w:val="optioncarChar"/>
        </w:rPr>
        <w:t>) / par traitement ignifuge (compris dans le travail)</w:t>
      </w:r>
      <w:r>
        <w:t xml:space="preserve"> du bois. </w:t>
      </w:r>
    </w:p>
    <w:p w14:paraId="2BF9083C" w14:textId="77777777" w:rsidR="00DF410E" w:rsidRDefault="00CE7F43">
      <w:pPr>
        <w:pStyle w:val="pheading"/>
      </w:pPr>
      <w:r>
        <w:t>- Finitions</w:t>
      </w:r>
    </w:p>
    <w:p w14:paraId="0BBDC004" w14:textId="77777777" w:rsidR="00DF410E" w:rsidRDefault="00CE7F43">
      <w:pPr>
        <w:jc w:val="both"/>
      </w:pPr>
      <w:r>
        <w:rPr>
          <w:b/>
        </w:rPr>
        <w:t>Traitement de finition du bois en atelier</w:t>
      </w:r>
    </w:p>
    <w:p w14:paraId="097C013E" w14:textId="77777777" w:rsidR="00DF410E" w:rsidRDefault="00CE7F43">
      <w:pPr>
        <w:jc w:val="both"/>
      </w:pPr>
      <w:r>
        <w:t xml:space="preserve">Traitement des parties visibles du bois : </w:t>
      </w:r>
      <w:r>
        <w:rPr>
          <w:rStyle w:val="optioncarChar"/>
        </w:rPr>
        <w:t xml:space="preserve">pas de finition </w:t>
      </w:r>
      <w:r>
        <w:t xml:space="preserve">(par défaut) / </w:t>
      </w:r>
      <w:r>
        <w:rPr>
          <w:rStyle w:val="optioncarChar"/>
        </w:rPr>
        <w:t>application d’une finition</w:t>
      </w:r>
    </w:p>
    <w:p w14:paraId="75486C4E" w14:textId="77777777" w:rsidR="00DF410E" w:rsidRDefault="00CE7F43">
      <w:pPr>
        <w:jc w:val="both"/>
      </w:pPr>
      <w:r>
        <w:rPr>
          <w:u w:val="single"/>
        </w:rPr>
        <w:t>Dans le cas de l’application d’une finition sur le bois prévue dans le présent travail :</w:t>
      </w:r>
    </w:p>
    <w:p w14:paraId="766FE2CB" w14:textId="77777777" w:rsidR="00DF410E" w:rsidRDefault="00CE7F43">
      <w:pPr>
        <w:pStyle w:val="Author-eListParagraph"/>
        <w:numPr>
          <w:ilvl w:val="0"/>
          <w:numId w:val="947"/>
        </w:numPr>
        <w:jc w:val="both"/>
      </w:pPr>
      <w:r>
        <w:t xml:space="preserve">Type de traitement : </w:t>
      </w:r>
      <w:r>
        <w:rPr>
          <w:rStyle w:val="optioncarChar"/>
        </w:rPr>
        <w:t xml:space="preserve">anti UV </w:t>
      </w:r>
      <w:r>
        <w:t>(par défaut)</w:t>
      </w:r>
      <w:r>
        <w:rPr>
          <w:rStyle w:val="optioncarChar"/>
        </w:rPr>
        <w:t xml:space="preserve"> / lasure / verni / peinture / huile / céruse</w:t>
      </w:r>
    </w:p>
    <w:p w14:paraId="3D5C8CB1" w14:textId="77777777" w:rsidR="00DF410E" w:rsidRDefault="00CE7F43">
      <w:pPr>
        <w:pStyle w:val="Author-eListParagraph"/>
        <w:numPr>
          <w:ilvl w:val="0"/>
          <w:numId w:val="947"/>
        </w:numPr>
        <w:jc w:val="both"/>
      </w:pPr>
      <w:r>
        <w:t>Teinte :</w:t>
      </w:r>
      <w:r>
        <w:rPr>
          <w:rStyle w:val="optioncarChar"/>
        </w:rPr>
        <w:t xml:space="preserve"> transparent</w:t>
      </w:r>
      <w:r>
        <w:t xml:space="preserve"> (par défaut)</w:t>
      </w:r>
      <w:r>
        <w:rPr>
          <w:rStyle w:val="optioncarChar"/>
        </w:rPr>
        <w:t xml:space="preserve"> / pigmenté blanchâtre / transparent / blanc / RAL : ***</w:t>
      </w:r>
    </w:p>
    <w:p w14:paraId="228E4163" w14:textId="77777777" w:rsidR="00DF410E" w:rsidRDefault="00CE7F43">
      <w:pPr>
        <w:pStyle w:val="pheading"/>
      </w:pPr>
      <w:r>
        <w:t>EXÉCUTION / MISE EN ŒUVRE</w:t>
      </w:r>
    </w:p>
    <w:p w14:paraId="466F39B2" w14:textId="77777777" w:rsidR="00DF410E" w:rsidRDefault="00CE7F43">
      <w:pPr>
        <w:pStyle w:val="pheading"/>
      </w:pPr>
      <w:r>
        <w:t>- Prescriptions générales</w:t>
      </w:r>
    </w:p>
    <w:p w14:paraId="34054D7D" w14:textId="77777777" w:rsidR="00DF410E" w:rsidRDefault="00CE7F43">
      <w:pPr>
        <w:jc w:val="both"/>
      </w:pPr>
      <w:r>
        <w:rPr>
          <w:b/>
        </w:rPr>
        <w:t>Etude</w:t>
      </w:r>
    </w:p>
    <w:p w14:paraId="4A7A767F" w14:textId="77777777" w:rsidR="00DF410E" w:rsidRDefault="00CE7F43">
      <w:pPr>
        <w:jc w:val="both"/>
      </w:pPr>
      <w:r>
        <w:t xml:space="preserve">Choix opéré, conformément aux prescriptions du </w:t>
      </w:r>
      <w:hyperlink w:anchor="601"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5720C7EB" w14:textId="77777777" w:rsidR="00DF410E" w:rsidRDefault="00CE7F43">
      <w:pPr>
        <w:jc w:val="both"/>
      </w:pPr>
      <w:r>
        <w:rPr>
          <w:b/>
        </w:rPr>
        <w:t>Pare-vapeur/Frein-vapeur et étanchéité à l’air</w:t>
      </w:r>
    </w:p>
    <w:p w14:paraId="1FA25DC9" w14:textId="77777777" w:rsidR="00DF410E" w:rsidRDefault="00CE7F43">
      <w:pPr>
        <w:jc w:val="both"/>
      </w:pPr>
      <w:r>
        <w:t>La vérification du bon fonctionnement contre les migrations d’humidité est réalisée par un bureau d’étude au moyen d’un logiciel de simulation dynamique. Cette simulation est comprise dans l’étude. </w:t>
      </w:r>
    </w:p>
    <w:p w14:paraId="32F4B293" w14:textId="77777777" w:rsidR="00DF410E" w:rsidRDefault="00CE7F43">
      <w:pPr>
        <w:jc w:val="both"/>
      </w:pPr>
      <w:r>
        <w:t>L’étanchéité à l’air entre caissons est assurée par des bandes d’étanchéité dans l’épaisseur des panneaux. </w:t>
      </w:r>
    </w:p>
    <w:p w14:paraId="707380F9" w14:textId="77777777" w:rsidR="00DF410E" w:rsidRDefault="00CE7F43">
      <w:pPr>
        <w:jc w:val="both"/>
      </w:pPr>
      <w:r>
        <w:t>Des remplisseurs de joint sont placés sous les languettes au droit des parois, pour fermer les vides. </w:t>
      </w:r>
    </w:p>
    <w:p w14:paraId="1A27CCEA" w14:textId="77777777" w:rsidR="00DF410E" w:rsidRDefault="00CE7F43">
      <w:pPr>
        <w:jc w:val="both"/>
      </w:pPr>
      <w:r>
        <w:rPr>
          <w:b/>
        </w:rPr>
        <w:t>Préparation des techniques spéciales : HVAC - Sanitaires - Electricité</w:t>
      </w:r>
    </w:p>
    <w:p w14:paraId="03ECFB9D" w14:textId="77777777" w:rsidR="00DF410E" w:rsidRDefault="00CE7F43">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601" w:history="1">
        <w:r>
          <w:t>24.22.2 Planchers en bois préfabriqués</w:t>
        </w:r>
      </w:hyperlink>
      <w:r>
        <w:t> : </w:t>
      </w:r>
      <w:r>
        <w:rPr>
          <w:rStyle w:val="optioncarChar"/>
        </w:rPr>
        <w:t>non </w:t>
      </w:r>
      <w:r>
        <w:t>(par défaut)</w:t>
      </w:r>
      <w:r>
        <w:rPr>
          <w:rStyle w:val="optioncarChar"/>
        </w:rPr>
        <w:t> / oui</w:t>
      </w:r>
    </w:p>
    <w:p w14:paraId="357D57E7" w14:textId="77777777" w:rsidR="00DF410E" w:rsidRDefault="00CE7F43">
      <w:pPr>
        <w:pStyle w:val="pheading"/>
      </w:pPr>
      <w:r>
        <w:t>DOCUMENTS DE RÉFÉRENCE COMPLÉMENTAIRES</w:t>
      </w:r>
    </w:p>
    <w:p w14:paraId="24A216A8" w14:textId="77777777" w:rsidR="00DF410E" w:rsidRDefault="00CE7F43">
      <w:pPr>
        <w:pStyle w:val="pheading"/>
      </w:pPr>
      <w:r>
        <w:t>- Matériau</w:t>
      </w:r>
    </w:p>
    <w:p w14:paraId="794BE76C" w14:textId="77777777" w:rsidR="00DF410E" w:rsidRDefault="00CE7F43">
      <w:r>
        <w:t>[NBN EN 15425, Adhésifs - Adhésifs polyuréthane monocomposants (PUR) pour structures portantes en bois - Classification et exigences de performance]</w:t>
      </w:r>
    </w:p>
    <w:p w14:paraId="6FFA0382" w14:textId="77777777" w:rsidR="00DF410E" w:rsidRDefault="00CE7F43">
      <w:r>
        <w:t>[NBN EN 302-2, Adhésifs pour structures portantes en bois - Méthodes d'essais - Partie 2 : Détermination de la résistance à la délamination]</w:t>
      </w:r>
    </w:p>
    <w:p w14:paraId="65657402" w14:textId="77777777" w:rsidR="00DF410E" w:rsidRDefault="00CE7F43">
      <w:r>
        <w:t>[NBN EN 301, Adhésifs de nature phénolique et aminoplaste, pour structures portantes en bois - Classification et exigences de performance]</w:t>
      </w:r>
    </w:p>
    <w:p w14:paraId="00204C38" w14:textId="77777777" w:rsidR="00DF410E" w:rsidRDefault="00CE7F43">
      <w:r>
        <w:t>[NBN EN ISO 11654, Acoustique - Absorbants pour l'utilisation dans les bâtiments - Evaluation de l'absorption acoustique (ISO 11654:1997)]</w:t>
      </w:r>
    </w:p>
    <w:p w14:paraId="7218AB80"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37783F52" w14:textId="77777777" w:rsidR="00DF410E" w:rsidRDefault="00CE7F43">
      <w:r>
        <w:t>[NBN EN ISO 10456, Matériaux et produits pour le bâtiment - Propriétés hygrothermiques - Valeurs utiles tabulées et procédures pour la détermination des valeurs thermiques déclarées et utiles (ISO 10456:2007)]</w:t>
      </w:r>
    </w:p>
    <w:p w14:paraId="1B21EB5B" w14:textId="77777777" w:rsidR="00DF410E" w:rsidRDefault="00CE7F43">
      <w:pPr>
        <w:pStyle w:val="pheading"/>
      </w:pPr>
      <w:r>
        <w:t>MESURAGE</w:t>
      </w:r>
    </w:p>
    <w:p w14:paraId="7F4ECF3B" w14:textId="77777777" w:rsidR="00DF410E" w:rsidRDefault="00CE7F43">
      <w:pPr>
        <w:pStyle w:val="pheading"/>
      </w:pPr>
      <w:r>
        <w:t>- unité de mesure:</w:t>
      </w:r>
    </w:p>
    <w:p w14:paraId="0D710E16" w14:textId="77777777" w:rsidR="00DF410E" w:rsidRDefault="00CE7F43">
      <w:r>
        <w:t>1.2. m²</w:t>
      </w:r>
    </w:p>
    <w:p w14:paraId="45361B03" w14:textId="77777777" w:rsidR="00DF410E" w:rsidRDefault="00CE7F43">
      <w:pPr>
        <w:pStyle w:val="pheading"/>
      </w:pPr>
      <w:r>
        <w:t>- code de mesurage:</w:t>
      </w:r>
    </w:p>
    <w:p w14:paraId="47B724B2" w14:textId="77777777" w:rsidR="00DF410E" w:rsidRDefault="00CE7F43">
      <w:pPr>
        <w:jc w:val="both"/>
      </w:pPr>
      <w:r>
        <w:rPr>
          <w:rStyle w:val="optioncarChar"/>
        </w:rPr>
        <w:t xml:space="preserve">Surface nette </w:t>
      </w:r>
      <w:r>
        <w:t>(par défaut)</w:t>
      </w:r>
      <w:r>
        <w:rPr>
          <w:rStyle w:val="optioncarChar"/>
        </w:rPr>
        <w:t xml:space="preserve"> / Surface utile</w:t>
      </w:r>
    </w:p>
    <w:p w14:paraId="58079C00" w14:textId="77777777" w:rsidR="00DF410E" w:rsidRDefault="00CE7F43">
      <w:pPr>
        <w:jc w:val="both"/>
      </w:pPr>
      <w:r>
        <w:rPr>
          <w:b/>
        </w:rPr>
        <w:t>(soit par défaut)</w:t>
      </w:r>
    </w:p>
    <w:p w14:paraId="36F895F3" w14:textId="77777777" w:rsidR="00DF410E" w:rsidRDefault="00CE7F43">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799D5EF8" w14:textId="77777777" w:rsidR="00DF410E" w:rsidRDefault="00CE7F43">
      <w:pPr>
        <w:jc w:val="both"/>
      </w:pPr>
      <w:r>
        <w:rPr>
          <w:b/>
        </w:rPr>
        <w:t>(soit)</w:t>
      </w:r>
    </w:p>
    <w:p w14:paraId="25514C2D" w14:textId="77777777" w:rsidR="00DF410E" w:rsidRDefault="00CE7F43">
      <w:pPr>
        <w:jc w:val="both"/>
      </w:pPr>
      <w:r>
        <w:rPr>
          <w:rStyle w:val="soitChar"/>
        </w:rPr>
        <w:t xml:space="preserve">2. </w:t>
      </w:r>
      <w:r>
        <w:rPr>
          <w:rStyle w:val="soitChar"/>
          <w:u w:val="single"/>
        </w:rPr>
        <w:t>Surface utile</w:t>
      </w:r>
      <w:r>
        <w:rPr>
          <w:rStyle w:val="soitChar"/>
        </w:rPr>
        <w:t>, dans le cas des planchers posés sur/dans les murs porteurs.</w:t>
      </w:r>
    </w:p>
    <w:p w14:paraId="3AE42C65" w14:textId="77777777" w:rsidR="00DF410E" w:rsidRDefault="00CE7F43">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et percements supérieures à 0,5 m² sont déduits.</w:t>
      </w:r>
    </w:p>
    <w:p w14:paraId="5E87F48F" w14:textId="77777777" w:rsidR="00DF410E" w:rsidRDefault="00CE7F43">
      <w:pPr>
        <w:pStyle w:val="pheading"/>
      </w:pPr>
      <w:r>
        <w:t>- nature du marché:</w:t>
      </w:r>
    </w:p>
    <w:p w14:paraId="20BDF1EF" w14:textId="77777777" w:rsidR="00DF410E" w:rsidRDefault="00CE7F43">
      <w:r>
        <w:t>1.2. QF</w:t>
      </w:r>
    </w:p>
    <w:p w14:paraId="31F72B73" w14:textId="77777777" w:rsidR="00DF410E" w:rsidRDefault="00CE7F43">
      <w:pPr>
        <w:pStyle w:val="Author-eSectionHeading6"/>
      </w:pPr>
      <w:bookmarkStart w:id="1688" w:name="_Toc178838775"/>
      <w:r>
        <w:t>24.23.3b Systèmes de toiture en bois à base de caissons faits de LVL CCTB 01.10</w:t>
      </w:r>
      <w:bookmarkEnd w:id="1688"/>
    </w:p>
    <w:p w14:paraId="724ABB82" w14:textId="77777777" w:rsidR="00DF410E" w:rsidRDefault="00CE7F43">
      <w:pPr>
        <w:pStyle w:val="Author-eSectionHeading4"/>
      </w:pPr>
      <w:bookmarkStart w:id="1689" w:name="_Toc178838776"/>
      <w:r>
        <w:t>24.24 Charpentes en bois CCTB 01.11</w:t>
      </w:r>
      <w:bookmarkEnd w:id="1689"/>
    </w:p>
    <w:p w14:paraId="3808572C" w14:textId="77777777" w:rsidR="00DF410E" w:rsidRDefault="00CE7F43">
      <w:pPr>
        <w:pStyle w:val="pheading"/>
      </w:pPr>
      <w:bookmarkStart w:id="1690" w:name="606"/>
      <w:bookmarkEnd w:id="1690"/>
      <w:r>
        <w:t>DESCRIPTION</w:t>
      </w:r>
    </w:p>
    <w:p w14:paraId="33051105" w14:textId="77777777" w:rsidR="00DF410E" w:rsidRDefault="00CE7F43">
      <w:pPr>
        <w:pStyle w:val="pheading"/>
      </w:pPr>
      <w:r>
        <w:t>- Définition / Comprend</w:t>
      </w:r>
    </w:p>
    <w:p w14:paraId="646AC514" w14:textId="77777777" w:rsidR="00DF410E" w:rsidRDefault="00CE7F43">
      <w:pPr>
        <w:jc w:val="both"/>
      </w:pPr>
      <w:r>
        <w:t>Il s’agit de la fourniture (hors matériaux récupérés du même site) et la pose de tous les éléments constituant les charpentes en bois, y compris toutes les pièces assurant la liaison mécanique entre éléments de bois qui en font intrinsèquement partie.</w:t>
      </w:r>
    </w:p>
    <w:p w14:paraId="6F178F6B" w14:textId="77777777" w:rsidR="00DF410E" w:rsidRDefault="00CE7F43">
      <w:pPr>
        <w:jc w:val="both"/>
      </w:pPr>
      <w:r>
        <w:t xml:space="preserve">Il est convenu que tout ce qui est sous la sous-toiture relève du </w:t>
      </w:r>
      <w:hyperlink w:anchor="41" w:history="1">
        <w:r>
          <w:t>2 T2 Superstructures</w:t>
        </w:r>
      </w:hyperlink>
      <w:r>
        <w:t xml:space="preserve">, tandis que la sous-toiture et tout ce qui est au-dessus est décrit dans le </w:t>
      </w:r>
      <w:hyperlink r:id="rId310" w:history="1" w:docLocation="42">
        <w:r>
          <w:t>3 T3 Travaux de toiture</w:t>
        </w:r>
      </w:hyperlink>
      <w:r>
        <w:t>.</w:t>
      </w:r>
    </w:p>
    <w:p w14:paraId="75E5DF13" w14:textId="77777777" w:rsidR="00DF410E" w:rsidRDefault="00CE7F43">
      <w:pPr>
        <w:jc w:val="both"/>
      </w:pPr>
      <w:r>
        <w:t>Il existe quelques exceptions à cette règle générale :</w:t>
      </w:r>
    </w:p>
    <w:p w14:paraId="0EABC8A0" w14:textId="77777777" w:rsidR="00DF410E" w:rsidRDefault="00CE7F43">
      <w:pPr>
        <w:pStyle w:val="Author-eListParagraph"/>
        <w:numPr>
          <w:ilvl w:val="0"/>
          <w:numId w:val="948"/>
        </w:numPr>
      </w:pPr>
      <w:r>
        <w:t xml:space="preserve">Le descriptif général du bois est repris dans le </w:t>
      </w:r>
      <w:hyperlink w:anchor="41" w:history="1">
        <w:r>
          <w:t>2 T2 Superstructures</w:t>
        </w:r>
      </w:hyperlink>
      <w:r>
        <w:t>, y compris pour les contre-lattages, lattages, liteaux, …;</w:t>
      </w:r>
    </w:p>
    <w:p w14:paraId="6F3C6B2D" w14:textId="77777777" w:rsidR="00DF410E" w:rsidRDefault="00CE7F43">
      <w:pPr>
        <w:pStyle w:val="Author-eListParagraph"/>
        <w:numPr>
          <w:ilvl w:val="0"/>
          <w:numId w:val="948"/>
        </w:numPr>
      </w:pPr>
      <w:r>
        <w:t xml:space="preserve">Les choix liés aux contre-lattes, lattes, … sont définis dans le </w:t>
      </w:r>
      <w:hyperlink r:id="rId311" w:history="1" w:docLocation="42">
        <w:r>
          <w:t>3 T3 Travaux de toiture</w:t>
        </w:r>
      </w:hyperlink>
      <w:r>
        <w:t>;</w:t>
      </w:r>
    </w:p>
    <w:p w14:paraId="7BE8A15E" w14:textId="77777777" w:rsidR="00DF410E" w:rsidRDefault="00CE7F43">
      <w:pPr>
        <w:pStyle w:val="Author-eListParagraph"/>
        <w:numPr>
          <w:ilvl w:val="0"/>
          <w:numId w:val="948"/>
        </w:numPr>
      </w:pPr>
      <w:r>
        <w:t xml:space="preserve">Les panneaux isolants autoportants sont repris dans le </w:t>
      </w:r>
      <w:hyperlink r:id="rId312" w:history="1" w:docLocation="42">
        <w:r>
          <w:t>3 T3 Travaux de toiture</w:t>
        </w:r>
      </w:hyperlink>
      <w:r>
        <w:t>.</w:t>
      </w:r>
    </w:p>
    <w:p w14:paraId="26839573" w14:textId="77777777" w:rsidR="00DF410E" w:rsidRDefault="00CE7F43">
      <w:pPr>
        <w:pStyle w:val="pheading"/>
      </w:pPr>
      <w:r>
        <w:t>- Remarques importantes</w:t>
      </w:r>
    </w:p>
    <w:p w14:paraId="210931D3" w14:textId="77777777" w:rsidR="00DF410E" w:rsidRDefault="00CE7F43">
      <w:pPr>
        <w:jc w:val="both"/>
      </w:pPr>
      <w:r>
        <w:t xml:space="preserve">Les éventuels travaux de démolition de la charpente existante sont compris dans un élément séparé (voir </w:t>
      </w:r>
      <w:hyperlink r:id="rId313" w:history="1" w:docLocation="135">
        <w:r>
          <w:t>06 Travaux de stabilisation et de déconstruction</w:t>
        </w:r>
      </w:hyperlink>
      <w:r>
        <w:t>.)</w:t>
      </w:r>
    </w:p>
    <w:p w14:paraId="78C92558" w14:textId="77777777" w:rsidR="00DF410E" w:rsidRDefault="00CE7F43">
      <w:pPr>
        <w:pStyle w:val="pheading"/>
      </w:pPr>
      <w:r>
        <w:t>MATÉRIAUX</w:t>
      </w:r>
    </w:p>
    <w:p w14:paraId="57AA9BED" w14:textId="77777777" w:rsidR="00DF410E" w:rsidRDefault="00CE7F43">
      <w:pPr>
        <w:jc w:val="both"/>
      </w:pPr>
      <w:r>
        <w:t>La terminologie des charpentes se rapporte aux définitions du [Buildwise Métré 2.13]</w:t>
      </w:r>
    </w:p>
    <w:p w14:paraId="472CAFC9" w14:textId="77777777" w:rsidR="00DF410E" w:rsidRDefault="00CE7F43">
      <w:pPr>
        <w:jc w:val="both"/>
      </w:pPr>
      <w:r>
        <w:rPr>
          <w:noProof/>
        </w:rPr>
        <w:drawing>
          <wp:inline distT="0" distB="0" distL="0" distR="0" wp14:anchorId="5A53E23F" wp14:editId="5F1B6626">
            <wp:extent cx="5715000" cy="3352800"/>
            <wp:effectExtent l="0" t="0" r="0" b="0"/>
            <wp:docPr id="9" name="24.24 GT Bois image 1.png" descr="24.24 GT Bois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3" descr=" "/>
                    <pic:cNvPicPr>
                      <a:picLocks noChangeAspect="1" noChangeArrowheads="1"/>
                    </pic:cNvPicPr>
                  </pic:nvPicPr>
                  <pic:blipFill>
                    <a:blip r:embed="rId314"/>
                    <a:srcRect/>
                    <a:stretch>
                      <a:fillRect/>
                    </a:stretch>
                  </pic:blipFill>
                  <pic:spPr bwMode="auto">
                    <a:xfrm>
                      <a:off x="0" y="0"/>
                      <a:ext cx="5715000" cy="3352800"/>
                    </a:xfrm>
                    <a:prstGeom prst="rect">
                      <a:avLst/>
                    </a:prstGeom>
                  </pic:spPr>
                </pic:pic>
              </a:graphicData>
            </a:graphic>
          </wp:inline>
        </w:drawing>
      </w:r>
    </w:p>
    <w:p w14:paraId="18607FF3" w14:textId="77777777" w:rsidR="00DF410E" w:rsidRDefault="00CE7F43">
      <w:pPr>
        <w:jc w:val="both"/>
      </w:pPr>
      <w:r>
        <w:rPr>
          <w:b/>
        </w:rPr>
        <w:t>Charpente traditionnelle</w:t>
      </w:r>
    </w:p>
    <w:p w14:paraId="49193D28" w14:textId="77777777" w:rsidR="00DF410E" w:rsidRDefault="00CE7F43">
      <w:pPr>
        <w:jc w:val="both"/>
      </w:pPr>
      <w:r>
        <w:rPr>
          <w:i/>
        </w:rPr>
        <w:t>Légende :</w:t>
      </w:r>
    </w:p>
    <w:p w14:paraId="684C03FE" w14:textId="77777777" w:rsidR="00DF410E" w:rsidRDefault="00CE7F43">
      <w:pPr>
        <w:jc w:val="both"/>
      </w:pPr>
      <w:r>
        <w:t xml:space="preserve">1. faîtière (voir élément </w:t>
      </w:r>
      <w:hyperlink w:anchor="402" w:history="1">
        <w:r>
          <w:t>24.13 Poutres et barres en bois</w:t>
        </w:r>
      </w:hyperlink>
      <w:r>
        <w:t>)</w:t>
      </w:r>
    </w:p>
    <w:p w14:paraId="474206A8" w14:textId="77777777" w:rsidR="00DF410E" w:rsidRDefault="00CE7F43">
      <w:pPr>
        <w:jc w:val="both"/>
      </w:pPr>
      <w:r>
        <w:t>2. chevrons (voir élément </w:t>
      </w:r>
      <w:hyperlink w:anchor="402" w:history="1">
        <w:r>
          <w:t>24.13 Poutres et barres en bois</w:t>
        </w:r>
      </w:hyperlink>
      <w:r>
        <w:t>)</w:t>
      </w:r>
    </w:p>
    <w:p w14:paraId="4B063DA3" w14:textId="77777777" w:rsidR="00DF410E" w:rsidRDefault="00CE7F43">
      <w:pPr>
        <w:jc w:val="both"/>
      </w:pPr>
      <w:r>
        <w:t>3. échantignolle (voir élément </w:t>
      </w:r>
      <w:hyperlink w:anchor="402" w:history="1">
        <w:r>
          <w:t>24.13 Poutres et barres en bois</w:t>
        </w:r>
      </w:hyperlink>
      <w:r>
        <w:t>)</w:t>
      </w:r>
    </w:p>
    <w:p w14:paraId="4977718D" w14:textId="77777777" w:rsidR="00DF410E" w:rsidRDefault="00CE7F43">
      <w:pPr>
        <w:jc w:val="both"/>
      </w:pPr>
      <w:r>
        <w:t>4. panne (voir élément </w:t>
      </w:r>
      <w:hyperlink w:anchor="402" w:history="1">
        <w:r>
          <w:t>24.13 Poutres et barres en bois</w:t>
        </w:r>
      </w:hyperlink>
      <w:r>
        <w:t>)</w:t>
      </w:r>
    </w:p>
    <w:p w14:paraId="064C182D" w14:textId="77777777" w:rsidR="00DF410E" w:rsidRDefault="00CE7F43">
      <w:pPr>
        <w:jc w:val="both"/>
      </w:pPr>
      <w:r>
        <w:t>5. poinçon (voir élément </w:t>
      </w:r>
      <w:hyperlink w:anchor="402" w:history="1">
        <w:r>
          <w:t>24.13 Poutres et barres en bois</w:t>
        </w:r>
      </w:hyperlink>
      <w:r>
        <w:t>)</w:t>
      </w:r>
    </w:p>
    <w:p w14:paraId="304823AE" w14:textId="77777777" w:rsidR="00DF410E" w:rsidRDefault="00CE7F43">
      <w:pPr>
        <w:jc w:val="both"/>
      </w:pPr>
      <w:r>
        <w:t>6. arbalétrier (voir élément </w:t>
      </w:r>
      <w:hyperlink w:anchor="402" w:history="1">
        <w:r>
          <w:t>24.13 Poutres et barres en bois</w:t>
        </w:r>
      </w:hyperlink>
      <w:r>
        <w:t>)</w:t>
      </w:r>
    </w:p>
    <w:p w14:paraId="5A8D9FED" w14:textId="77777777" w:rsidR="00DF410E" w:rsidRDefault="00CE7F43">
      <w:pPr>
        <w:jc w:val="both"/>
      </w:pPr>
      <w:r>
        <w:t>7. entrait (voir élément </w:t>
      </w:r>
      <w:hyperlink w:anchor="402" w:history="1">
        <w:r>
          <w:t>24.13 Poutres et barres en bois</w:t>
        </w:r>
      </w:hyperlink>
      <w:r>
        <w:t>)</w:t>
      </w:r>
    </w:p>
    <w:p w14:paraId="063D3F83" w14:textId="77777777" w:rsidR="00DF410E" w:rsidRDefault="00CE7F43">
      <w:pPr>
        <w:jc w:val="both"/>
      </w:pPr>
      <w:r>
        <w:t>8. contre-fiche (voir élément </w:t>
      </w:r>
      <w:hyperlink w:anchor="402" w:history="1">
        <w:r>
          <w:t>24.13 Poutres et barres en bois</w:t>
        </w:r>
      </w:hyperlink>
      <w:r>
        <w:t>)</w:t>
      </w:r>
    </w:p>
    <w:p w14:paraId="76BA3417" w14:textId="77777777" w:rsidR="00DF410E" w:rsidRDefault="00CE7F43">
      <w:pPr>
        <w:jc w:val="both"/>
      </w:pPr>
      <w:r>
        <w:t>9. jambe de force ou arbalétrier inférieur (voir élément </w:t>
      </w:r>
      <w:hyperlink w:anchor="402" w:history="1">
        <w:r>
          <w:t>24.13 Poutres et barres en bois</w:t>
        </w:r>
      </w:hyperlink>
      <w:r>
        <w:t>)</w:t>
      </w:r>
    </w:p>
    <w:p w14:paraId="606D5CB3" w14:textId="77777777" w:rsidR="00DF410E" w:rsidRDefault="00CE7F43">
      <w:pPr>
        <w:jc w:val="both"/>
      </w:pPr>
      <w:r>
        <w:t>10. faux entrait (voir élément </w:t>
      </w:r>
      <w:hyperlink w:anchor="402" w:history="1">
        <w:r>
          <w:t>24.13 Poutres et barres en bois</w:t>
        </w:r>
      </w:hyperlink>
      <w:r>
        <w:t>)</w:t>
      </w:r>
    </w:p>
    <w:p w14:paraId="5E8A3317" w14:textId="77777777" w:rsidR="00DF410E" w:rsidRDefault="00CE7F43">
      <w:pPr>
        <w:jc w:val="both"/>
      </w:pPr>
      <w:r>
        <w:t xml:space="preserve">11. semelle (voir élément </w:t>
      </w:r>
      <w:hyperlink w:anchor="619" w:history="1">
        <w:r>
          <w:t>24.11 Eléments d'assise en bois</w:t>
        </w:r>
      </w:hyperlink>
      <w:r>
        <w:t>)</w:t>
      </w:r>
    </w:p>
    <w:p w14:paraId="76D6E10E" w14:textId="77777777" w:rsidR="00DF410E" w:rsidRDefault="00CE7F43">
      <w:pPr>
        <w:jc w:val="both"/>
      </w:pPr>
      <w:r>
        <w:t xml:space="preserve">12. sablière (voir élément </w:t>
      </w:r>
      <w:hyperlink w:anchor="619" w:history="1">
        <w:r>
          <w:t>24.11 Eléments d'assise en bois</w:t>
        </w:r>
      </w:hyperlink>
      <w:r>
        <w:t>)</w:t>
      </w:r>
    </w:p>
    <w:p w14:paraId="2C84BEEA" w14:textId="77777777" w:rsidR="00DF410E" w:rsidRDefault="00CE7F43">
      <w:pPr>
        <w:jc w:val="both"/>
      </w:pPr>
      <w:r>
        <w:rPr>
          <w:noProof/>
        </w:rPr>
        <w:drawing>
          <wp:inline distT="0" distB="0" distL="0" distR="0" wp14:anchorId="392AA2C9" wp14:editId="33B3D0D6">
            <wp:extent cx="4791075" cy="3390900"/>
            <wp:effectExtent l="0" t="0" r="0" b="0"/>
            <wp:docPr id="10" name="24.24 GT bois image 4.jpg" descr="24.24 GT bois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748" descr=" "/>
                    <pic:cNvPicPr>
                      <a:picLocks noChangeAspect="1" noChangeArrowheads="1"/>
                    </pic:cNvPicPr>
                  </pic:nvPicPr>
                  <pic:blipFill>
                    <a:blip r:embed="rId315"/>
                    <a:srcRect/>
                    <a:stretch>
                      <a:fillRect/>
                    </a:stretch>
                  </pic:blipFill>
                  <pic:spPr bwMode="auto">
                    <a:xfrm>
                      <a:off x="0" y="0"/>
                      <a:ext cx="4791075" cy="3390900"/>
                    </a:xfrm>
                    <a:prstGeom prst="rect">
                      <a:avLst/>
                    </a:prstGeom>
                  </pic:spPr>
                </pic:pic>
              </a:graphicData>
            </a:graphic>
          </wp:inline>
        </w:drawing>
      </w:r>
    </w:p>
    <w:p w14:paraId="7B9CCEFA" w14:textId="77777777" w:rsidR="00DF410E" w:rsidRDefault="00CE7F43">
      <w:pPr>
        <w:jc w:val="both"/>
      </w:pPr>
      <w:r>
        <w:rPr>
          <w:b/>
        </w:rPr>
        <w:t>Charpente traditionnelle</w:t>
      </w:r>
    </w:p>
    <w:p w14:paraId="49BD40F5" w14:textId="77777777" w:rsidR="00DF410E" w:rsidRDefault="00CE7F43">
      <w:pPr>
        <w:jc w:val="both"/>
      </w:pPr>
      <w:r>
        <w:rPr>
          <w:i/>
        </w:rPr>
        <w:t>Légende :</w:t>
      </w:r>
    </w:p>
    <w:p w14:paraId="7C71E5D2" w14:textId="77777777" w:rsidR="00DF410E" w:rsidRDefault="00CE7F43">
      <w:pPr>
        <w:jc w:val="both"/>
      </w:pPr>
      <w:r>
        <w:t xml:space="preserve">1. arbalétrier supérieur (voir élément </w:t>
      </w:r>
      <w:hyperlink w:anchor="402" w:history="1">
        <w:r>
          <w:t>24.13 Poutres et barres en bois</w:t>
        </w:r>
      </w:hyperlink>
      <w:r>
        <w:t>)</w:t>
      </w:r>
    </w:p>
    <w:p w14:paraId="388A9BEE" w14:textId="77777777" w:rsidR="00DF410E" w:rsidRDefault="00CE7F43">
      <w:pPr>
        <w:jc w:val="both"/>
      </w:pPr>
      <w:r>
        <w:t>2. poinçon retroussé (voir élément </w:t>
      </w:r>
      <w:hyperlink w:anchor="402" w:history="1">
        <w:r>
          <w:t>24.13 Poutres et barres en bois</w:t>
        </w:r>
      </w:hyperlink>
      <w:r>
        <w:t>)</w:t>
      </w:r>
    </w:p>
    <w:p w14:paraId="388CD001" w14:textId="77777777" w:rsidR="00DF410E" w:rsidRDefault="00CE7F43">
      <w:pPr>
        <w:jc w:val="both"/>
      </w:pPr>
      <w:r>
        <w:t>3. panne de brisis (voir élément </w:t>
      </w:r>
      <w:hyperlink w:anchor="402" w:history="1">
        <w:r>
          <w:t>24.13 Poutres et barres en bois</w:t>
        </w:r>
      </w:hyperlink>
      <w:r>
        <w:t>)</w:t>
      </w:r>
    </w:p>
    <w:p w14:paraId="0D148857" w14:textId="77777777" w:rsidR="00DF410E" w:rsidRDefault="00CE7F43">
      <w:pPr>
        <w:jc w:val="both"/>
      </w:pPr>
      <w:r>
        <w:t>4. aisselier (voir élément </w:t>
      </w:r>
      <w:hyperlink w:anchor="402" w:history="1">
        <w:r>
          <w:t>24.13 Poutres et barres en bois</w:t>
        </w:r>
      </w:hyperlink>
      <w:r>
        <w:t>)</w:t>
      </w:r>
    </w:p>
    <w:p w14:paraId="67BF1A24" w14:textId="77777777" w:rsidR="00DF410E" w:rsidRDefault="00CE7F43">
      <w:pPr>
        <w:jc w:val="both"/>
      </w:pPr>
      <w:r>
        <w:t>5. tasseau (voir élément </w:t>
      </w:r>
      <w:hyperlink w:anchor="402" w:history="1">
        <w:r>
          <w:t>24.13 Poutres et barres en bois</w:t>
        </w:r>
      </w:hyperlink>
      <w:r>
        <w:t>)</w:t>
      </w:r>
    </w:p>
    <w:p w14:paraId="295ABB2F" w14:textId="77777777" w:rsidR="00DF410E" w:rsidRDefault="00CE7F43">
      <w:pPr>
        <w:jc w:val="both"/>
      </w:pPr>
      <w:r>
        <w:t>6. arbalétrier inférieur (voir élément </w:t>
      </w:r>
      <w:hyperlink w:anchor="402" w:history="1">
        <w:r>
          <w:t>24.13 Poutres et barres en bois</w:t>
        </w:r>
      </w:hyperlink>
      <w:r>
        <w:t>)</w:t>
      </w:r>
    </w:p>
    <w:p w14:paraId="18CBC754" w14:textId="77777777" w:rsidR="00DF410E" w:rsidRDefault="00CE7F43">
      <w:pPr>
        <w:jc w:val="both"/>
      </w:pPr>
      <w:r>
        <w:t>7. faux-entrait (voir élément </w:t>
      </w:r>
      <w:hyperlink w:anchor="402" w:history="1">
        <w:r>
          <w:t>24.13 Poutres et barres en bois</w:t>
        </w:r>
      </w:hyperlink>
      <w:r>
        <w:t>)</w:t>
      </w:r>
    </w:p>
    <w:p w14:paraId="5CAA9F68" w14:textId="77777777" w:rsidR="00DF410E" w:rsidRDefault="00CE7F43">
      <w:pPr>
        <w:jc w:val="both"/>
      </w:pPr>
      <w:r>
        <w:t>8. panne (voir élément </w:t>
      </w:r>
      <w:hyperlink w:anchor="402" w:history="1">
        <w:r>
          <w:t>24.13 Poutres et barres en bois</w:t>
        </w:r>
      </w:hyperlink>
      <w:r>
        <w:t>)</w:t>
      </w:r>
    </w:p>
    <w:p w14:paraId="18B233F9" w14:textId="77777777" w:rsidR="00DF410E" w:rsidRDefault="00CE7F43">
      <w:pPr>
        <w:jc w:val="both"/>
      </w:pPr>
      <w:r>
        <w:t>9. écharpe ou contre-fiche (voir élément </w:t>
      </w:r>
      <w:hyperlink w:anchor="402" w:history="1">
        <w:r>
          <w:t>24.13 Poutres et barres en bois</w:t>
        </w:r>
      </w:hyperlink>
      <w:r>
        <w:t>)</w:t>
      </w:r>
    </w:p>
    <w:p w14:paraId="07808D1C" w14:textId="77777777" w:rsidR="00DF410E" w:rsidRDefault="00CE7F43">
      <w:pPr>
        <w:jc w:val="both"/>
      </w:pPr>
      <w:r>
        <w:t>10. échantignolle (voir élément </w:t>
      </w:r>
      <w:hyperlink w:anchor="402" w:history="1">
        <w:r>
          <w:t>24.13 Poutres et barres en bois</w:t>
        </w:r>
      </w:hyperlink>
      <w:r>
        <w:t>)</w:t>
      </w:r>
    </w:p>
    <w:p w14:paraId="69B220BE" w14:textId="77777777" w:rsidR="00DF410E" w:rsidRDefault="00CE7F43">
      <w:pPr>
        <w:jc w:val="both"/>
      </w:pPr>
      <w:r>
        <w:rPr>
          <w:noProof/>
        </w:rPr>
        <w:drawing>
          <wp:inline distT="0" distB="0" distL="0" distR="0" wp14:anchorId="145F7717" wp14:editId="2D685C90">
            <wp:extent cx="5715000" cy="3086100"/>
            <wp:effectExtent l="0" t="0" r="0" b="0"/>
            <wp:docPr id="11" name="24.24 GT Bois image 3.png" descr="24.24 GT Bois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5" descr=" "/>
                    <pic:cNvPicPr>
                      <a:picLocks noChangeAspect="1" noChangeArrowheads="1"/>
                    </pic:cNvPicPr>
                  </pic:nvPicPr>
                  <pic:blipFill>
                    <a:blip r:embed="rId316"/>
                    <a:srcRect/>
                    <a:stretch>
                      <a:fillRect/>
                    </a:stretch>
                  </pic:blipFill>
                  <pic:spPr bwMode="auto">
                    <a:xfrm>
                      <a:off x="0" y="0"/>
                      <a:ext cx="5715000" cy="3086100"/>
                    </a:xfrm>
                    <a:prstGeom prst="rect">
                      <a:avLst/>
                    </a:prstGeom>
                  </pic:spPr>
                </pic:pic>
              </a:graphicData>
            </a:graphic>
          </wp:inline>
        </w:drawing>
      </w:r>
    </w:p>
    <w:p w14:paraId="719F145A" w14:textId="77777777" w:rsidR="00DF410E" w:rsidRDefault="00CE7F43">
      <w:pPr>
        <w:jc w:val="both"/>
      </w:pPr>
      <w:r>
        <w:rPr>
          <w:b/>
        </w:rPr>
        <w:t>Charpente traditionnelle</w:t>
      </w:r>
    </w:p>
    <w:p w14:paraId="7EDCC025" w14:textId="77777777" w:rsidR="00DF410E" w:rsidRDefault="00CE7F43">
      <w:pPr>
        <w:jc w:val="both"/>
      </w:pPr>
      <w:r>
        <w:rPr>
          <w:i/>
        </w:rPr>
        <w:t>Légende :</w:t>
      </w:r>
    </w:p>
    <w:p w14:paraId="75C44A97" w14:textId="77777777" w:rsidR="00DF410E" w:rsidRDefault="00CE7F43">
      <w:pPr>
        <w:jc w:val="both"/>
      </w:pPr>
      <w:r>
        <w:t xml:space="preserve">1. gousset (voir élément </w:t>
      </w:r>
      <w:hyperlink w:anchor="402" w:history="1">
        <w:r>
          <w:t>24.13 Poutres et barres en bois</w:t>
        </w:r>
      </w:hyperlink>
      <w:r>
        <w:t>)</w:t>
      </w:r>
    </w:p>
    <w:p w14:paraId="066E8C81" w14:textId="77777777" w:rsidR="00DF410E" w:rsidRDefault="00CE7F43">
      <w:pPr>
        <w:jc w:val="both"/>
      </w:pPr>
      <w:r>
        <w:t>2. poinçon (voir élément </w:t>
      </w:r>
      <w:hyperlink w:anchor="402" w:history="1">
        <w:r>
          <w:t>24.13 Poutres et barres en bois</w:t>
        </w:r>
      </w:hyperlink>
      <w:r>
        <w:t>)</w:t>
      </w:r>
    </w:p>
    <w:p w14:paraId="5A10D7E6" w14:textId="77777777" w:rsidR="00DF410E" w:rsidRDefault="00CE7F43">
      <w:pPr>
        <w:jc w:val="both"/>
      </w:pPr>
      <w:r>
        <w:t>3. entrait secondaire (voir élément </w:t>
      </w:r>
      <w:hyperlink w:anchor="402" w:history="1">
        <w:r>
          <w:t>24.13 Poutres et barres en bois</w:t>
        </w:r>
      </w:hyperlink>
      <w:r>
        <w:t>)</w:t>
      </w:r>
    </w:p>
    <w:p w14:paraId="533784BF" w14:textId="77777777" w:rsidR="00DF410E" w:rsidRDefault="00CE7F43">
      <w:pPr>
        <w:jc w:val="both"/>
      </w:pPr>
      <w:r>
        <w:t>4. arbalétrier (voir élément </w:t>
      </w:r>
      <w:hyperlink w:anchor="402" w:history="1">
        <w:r>
          <w:t>24.13 Poutres et barres en bois</w:t>
        </w:r>
      </w:hyperlink>
      <w:r>
        <w:t>)</w:t>
      </w:r>
    </w:p>
    <w:p w14:paraId="13EC6656" w14:textId="77777777" w:rsidR="00DF410E" w:rsidRDefault="00CE7F43">
      <w:pPr>
        <w:jc w:val="both"/>
      </w:pPr>
      <w:r>
        <w:t>5. entrait (voir élément </w:t>
      </w:r>
      <w:hyperlink w:anchor="402" w:history="1">
        <w:r>
          <w:t>24.13 Poutres et barres en bois</w:t>
        </w:r>
      </w:hyperlink>
      <w:r>
        <w:t>)</w:t>
      </w:r>
    </w:p>
    <w:p w14:paraId="6F1EA7A3" w14:textId="77777777" w:rsidR="00DF410E" w:rsidRDefault="00CE7F43">
      <w:pPr>
        <w:jc w:val="both"/>
      </w:pPr>
      <w:r>
        <w:t>6. poteau (voir élément </w:t>
      </w:r>
      <w:hyperlink w:anchor="402" w:history="1">
        <w:r>
          <w:t>24.13 Poutres et barres en bois</w:t>
        </w:r>
      </w:hyperlink>
      <w:r>
        <w:t>)</w:t>
      </w:r>
    </w:p>
    <w:p w14:paraId="0612137A" w14:textId="77777777" w:rsidR="00DF410E" w:rsidRDefault="00CE7F43">
      <w:pPr>
        <w:jc w:val="both"/>
      </w:pPr>
      <w:r>
        <w:t>7. contre-fiche (voir élément </w:t>
      </w:r>
      <w:hyperlink w:anchor="402" w:history="1">
        <w:r>
          <w:t>24.13 Poutres et barres en bois</w:t>
        </w:r>
      </w:hyperlink>
      <w:r>
        <w:t>)</w:t>
      </w:r>
    </w:p>
    <w:p w14:paraId="7E81DB26" w14:textId="77777777" w:rsidR="00DF410E" w:rsidRDefault="00CE7F43">
      <w:pPr>
        <w:jc w:val="both"/>
      </w:pPr>
      <w:r>
        <w:t>8. faux-entrait (voir élément </w:t>
      </w:r>
      <w:hyperlink w:anchor="402" w:history="1">
        <w:r>
          <w:t>24.13 Poutres et barres en bois</w:t>
        </w:r>
      </w:hyperlink>
      <w:r>
        <w:t>)</w:t>
      </w:r>
    </w:p>
    <w:p w14:paraId="56C14AF9" w14:textId="77777777" w:rsidR="00DF410E" w:rsidRDefault="00CE7F43">
      <w:pPr>
        <w:jc w:val="both"/>
      </w:pPr>
      <w:r>
        <w:t xml:space="preserve">9. semelle (si ponctuel) ou lisse de pose (si continu) (voir élément </w:t>
      </w:r>
      <w:hyperlink w:anchor="619" w:history="1">
        <w:r>
          <w:t>24.11 Eléments d'assise en bois</w:t>
        </w:r>
      </w:hyperlink>
      <w:r>
        <w:t>)</w:t>
      </w:r>
    </w:p>
    <w:p w14:paraId="50660A33" w14:textId="77777777" w:rsidR="00DF410E" w:rsidRDefault="00CE7F43">
      <w:pPr>
        <w:jc w:val="both"/>
      </w:pPr>
      <w:r>
        <w:t>10. sablière (voir élément </w:t>
      </w:r>
      <w:hyperlink w:anchor="619" w:history="1">
        <w:r>
          <w:t>24.11 Eléments d'assise en bois</w:t>
        </w:r>
      </w:hyperlink>
      <w:r>
        <w:t>)</w:t>
      </w:r>
    </w:p>
    <w:p w14:paraId="75A214E6" w14:textId="77777777" w:rsidR="00DF410E" w:rsidRDefault="00CE7F43">
      <w:pPr>
        <w:jc w:val="both"/>
      </w:pPr>
      <w:r>
        <w:t> </w:t>
      </w:r>
    </w:p>
    <w:p w14:paraId="6608BB9B" w14:textId="77777777" w:rsidR="00DF410E" w:rsidRDefault="00CE7F43">
      <w:r>
        <w:t xml:space="preserve">Les échelles de corniches sont reprises dans les éléments </w:t>
      </w:r>
      <w:hyperlink r:id="rId317" w:history="1" w:docLocation="620">
        <w:r>
          <w:t>31.33 Eléments de support particuliers en bois</w:t>
        </w:r>
      </w:hyperlink>
    </w:p>
    <w:p w14:paraId="7812137B" w14:textId="77777777" w:rsidR="00DF410E" w:rsidRDefault="00CE7F43">
      <w:pPr>
        <w:jc w:val="both"/>
      </w:pPr>
      <w:r>
        <w:rPr>
          <w:b/>
          <w:u w:val="single"/>
        </w:rPr>
        <w:t>Tolérance pour les éléments neufs</w:t>
      </w:r>
    </w:p>
    <w:p w14:paraId="68823E48" w14:textId="77777777" w:rsidR="00DF410E" w:rsidRDefault="00CE7F43">
      <w:pPr>
        <w:jc w:val="both"/>
      </w:pPr>
      <w:r>
        <w:t>Le plan indique les dimensions nominales des pièces de bois à utiliser. Ces dimensions sont indiquées par une relation a/b où a indique l’épaisseur et b la largeur conformément aux normes [NBN 219-02, Bois sciés - Bois résineux de Belgique - Dimensions nominales], [NBN 219-03, Bois sciés - Bois résineux importés du Nord - Dimensions nominales] et [NBN EN 1313-1] ainsi que [NBN EN 1313-2] pour les bois sciés.</w:t>
      </w:r>
    </w:p>
    <w:p w14:paraId="679C3FDF" w14:textId="77777777" w:rsidR="00DF410E" w:rsidRDefault="00CE7F43">
      <w:pPr>
        <w:jc w:val="both"/>
      </w:pPr>
      <w:r>
        <w:t>Les classes de tolérance des bois de structure de section massive sont définies dans la [NBN EN 336] (les mesures sont effectuées à 20% d’humidité en masse).</w:t>
      </w:r>
    </w:p>
    <w:p w14:paraId="704B478B" w14:textId="77777777" w:rsidR="00DF410E" w:rsidRDefault="00CE7F43">
      <w:pPr>
        <w:pStyle w:val="Author-eListParagraph"/>
        <w:numPr>
          <w:ilvl w:val="0"/>
          <w:numId w:val="949"/>
        </w:numPr>
        <w:jc w:val="both"/>
      </w:pPr>
      <w:r>
        <w:t>Classe 1: pour les sections ≤100 mm : (-1;+3) mm et pour les sections &gt;100 mm : (-2;+4) mm</w:t>
      </w:r>
    </w:p>
    <w:p w14:paraId="1304912A" w14:textId="77777777" w:rsidR="00DF410E" w:rsidRDefault="00DF410E">
      <w:pPr>
        <w:pStyle w:val="Author-eListParagraph"/>
        <w:numPr>
          <w:ilvl w:val="0"/>
          <w:numId w:val="949"/>
        </w:numPr>
        <w:jc w:val="both"/>
      </w:pPr>
    </w:p>
    <w:p w14:paraId="3141C0DD" w14:textId="77777777" w:rsidR="00DF410E" w:rsidRDefault="00CE7F43">
      <w:pPr>
        <w:pStyle w:val="Author-eListParagraph"/>
        <w:numPr>
          <w:ilvl w:val="0"/>
          <w:numId w:val="949"/>
        </w:numPr>
        <w:jc w:val="both"/>
      </w:pPr>
      <w:r>
        <w:t>Classe 2: pour les sections ≤100 mm : (-1;+1) mm et pour les sections &gt;100 mm : (-1,5;+1,5) mm</w:t>
      </w:r>
    </w:p>
    <w:p w14:paraId="4290B880" w14:textId="77777777" w:rsidR="00DF410E" w:rsidRDefault="00CE7F43">
      <w:pPr>
        <w:jc w:val="both"/>
      </w:pPr>
      <w:r>
        <w:t>Le niveau de tolérance est fixé en fonction du niveau de finition exigé par le maître d’ouvrage.</w:t>
      </w:r>
    </w:p>
    <w:p w14:paraId="4502D4A6" w14:textId="77777777" w:rsidR="00DF410E" w:rsidRDefault="00CE7F43">
      <w:pPr>
        <w:jc w:val="both"/>
      </w:pPr>
      <w:r>
        <w:t>Les classes de tolérance des bois de structure de sections lamellées collées sont définies dans la norme [NBN EN 14080] (les mesures sont effectuées à 12% d’humidité du bois).</w:t>
      </w:r>
    </w:p>
    <w:p w14:paraId="18A4CF74" w14:textId="77777777" w:rsidR="00DF410E" w:rsidRDefault="00CE7F43">
      <w:pPr>
        <w:jc w:val="both"/>
      </w:pPr>
      <w:r>
        <w:t>Les écarts admissibles des sections transversales sont :</w:t>
      </w:r>
    </w:p>
    <w:p w14:paraId="05B7653E" w14:textId="77777777" w:rsidR="00DF410E" w:rsidRDefault="00CE7F43">
      <w:pPr>
        <w:pStyle w:val="Author-eListParagraph"/>
        <w:numPr>
          <w:ilvl w:val="0"/>
          <w:numId w:val="950"/>
        </w:numPr>
      </w:pPr>
      <w:r>
        <w:t>Largeur de la section : (-2;+2) mm</w:t>
      </w:r>
    </w:p>
    <w:p w14:paraId="67B3B5AA" w14:textId="77777777" w:rsidR="00DF410E" w:rsidRDefault="00CE7F43">
      <w:pPr>
        <w:pStyle w:val="Author-eListParagraph"/>
        <w:numPr>
          <w:ilvl w:val="0"/>
          <w:numId w:val="950"/>
        </w:numPr>
      </w:pPr>
      <w:r>
        <w:t>Hauteur de la section :</w:t>
      </w:r>
    </w:p>
    <w:p w14:paraId="744D3929" w14:textId="77777777" w:rsidR="00DF410E" w:rsidRDefault="00CE7F43">
      <w:pPr>
        <w:ind w:left="1701"/>
        <w:jc w:val="both"/>
      </w:pPr>
      <w:r>
        <w:t>≤400 mm : (-2;+3) mm</w:t>
      </w:r>
    </w:p>
    <w:p w14:paraId="5196C424" w14:textId="77777777" w:rsidR="00DF410E" w:rsidRDefault="00CE7F43">
      <w:pPr>
        <w:ind w:left="1701"/>
        <w:jc w:val="both"/>
      </w:pPr>
      <w:r>
        <w:t>&gt;400 mm : (-0,5;+1) %</w:t>
      </w:r>
    </w:p>
    <w:p w14:paraId="1FEF88CC" w14:textId="77777777" w:rsidR="00DF410E" w:rsidRDefault="00CE7F43">
      <w:pPr>
        <w:pStyle w:val="Author-eListParagraph"/>
        <w:numPr>
          <w:ilvl w:val="0"/>
          <w:numId w:val="951"/>
        </w:numPr>
      </w:pPr>
      <w:r>
        <w:t>Longueur :  ≤2,0 m : (-2;+2) mm</w:t>
      </w:r>
    </w:p>
    <w:p w14:paraId="435FCD48" w14:textId="77777777" w:rsidR="00DF410E" w:rsidRDefault="00CE7F43">
      <w:pPr>
        <w:ind w:left="1701"/>
        <w:jc w:val="both"/>
      </w:pPr>
      <w:r>
        <w:t>2,0 &lt; l ≤ 20 m : (-0,1;+0,1) %</w:t>
      </w:r>
    </w:p>
    <w:p w14:paraId="4D530E75" w14:textId="77777777" w:rsidR="00DF410E" w:rsidRDefault="00CE7F43">
      <w:pPr>
        <w:ind w:left="1701"/>
        <w:jc w:val="both"/>
      </w:pPr>
      <w:r>
        <w:t>&gt;20 m : (-20;+20) mm</w:t>
      </w:r>
    </w:p>
    <w:p w14:paraId="065E8D67" w14:textId="77777777" w:rsidR="00DF410E" w:rsidRDefault="00CE7F43">
      <w:pPr>
        <w:jc w:val="both"/>
      </w:pPr>
      <w:r>
        <w:t>Tous les éléments satisfont à la classe de tolérance 2 de la [NBN EN 336] et à la [NBN EN 1313 série].</w:t>
      </w:r>
    </w:p>
    <w:p w14:paraId="7463554C" w14:textId="77777777" w:rsidR="00DF410E" w:rsidRDefault="00CE7F43">
      <w:pPr>
        <w:jc w:val="both"/>
      </w:pPr>
      <w:r>
        <w:t>Pour les produits en bois lamellé collé, les exigences précisées dans la [NBN EN 14080] sont d’application.</w:t>
      </w:r>
    </w:p>
    <w:p w14:paraId="21CC3D3F" w14:textId="77777777" w:rsidR="00DF410E" w:rsidRDefault="00CE7F43">
      <w:pPr>
        <w:jc w:val="both"/>
      </w:pPr>
      <w:r>
        <w:rPr>
          <w:b/>
          <w:u w:val="single"/>
        </w:rPr>
        <w:t>Tolérance pour les éléments de réemploi</w:t>
      </w:r>
    </w:p>
    <w:p w14:paraId="33565E72" w14:textId="77777777" w:rsidR="00DF410E" w:rsidRDefault="00CE7F43">
      <w:pPr>
        <w:jc w:val="both"/>
      </w:pPr>
      <w:r>
        <w:t>Les tolérances pour les éléments de réemploi en bois massif ne s’appliquent pas aux éléments individuels mais au plan de toiture et des sols de combles mis en œuvre.</w:t>
      </w:r>
    </w:p>
    <w:p w14:paraId="13721CF9" w14:textId="77777777" w:rsidR="00DF410E" w:rsidRDefault="00CE7F43">
      <w:pPr>
        <w:jc w:val="both"/>
      </w:pPr>
      <w:r>
        <w:t>Pour les éléments composites et lamellés collés, les tolérances des matériaux neufs sont d’application. </w:t>
      </w:r>
    </w:p>
    <w:p w14:paraId="1BCE42F8" w14:textId="77777777" w:rsidR="00DF410E" w:rsidRDefault="00CE7F43">
      <w:pPr>
        <w:jc w:val="both"/>
      </w:pPr>
      <w:r>
        <w:rPr>
          <w:b/>
          <w:u w:val="single"/>
        </w:rPr>
        <w:t>Résistance</w:t>
      </w:r>
    </w:p>
    <w:p w14:paraId="52EBD4A5" w14:textId="77777777" w:rsidR="00DF410E" w:rsidRDefault="00CE7F43">
      <w:pPr>
        <w:jc w:val="both"/>
      </w:pPr>
      <w:r>
        <w:t>Les éléments de charpentes sont calculés conformément à la norme [NBN EN 1995-1-1]. Il y a lieu de vérifier qu’aucun des états limites à considérer n’est dépassé. Toutes les situations du projet, y compris dans les phases de construction, et tous les cas de charges à prévoir pour les constructions sont pris en compte.</w:t>
      </w:r>
    </w:p>
    <w:p w14:paraId="3C49B2C1" w14:textId="77777777" w:rsidR="00DF410E" w:rsidRDefault="00CE7F43">
      <w:pPr>
        <w:ind w:left="567"/>
        <w:jc w:val="both"/>
      </w:pPr>
      <w:r>
        <w:t>Il convient donc de contrôler si, aux états limites ultimes, la résistance des pièces de bois et des assemblages n’est pas franchie et si, aux états limites de service, leurs déformations relatives n’excèdent pas les critères fixés par la [NBN EN 1995-1-1] ou tout autre exigence supplémentaire donnée dans ce cahier des charges.  Les actions sont déterminées conformément à l’Eurocode 1 [NBN EN 1991 série] et les combinaisons des charges sont effectuées conformément à la [NBN EN 1990].</w:t>
      </w:r>
    </w:p>
    <w:p w14:paraId="725B76C5" w14:textId="77777777" w:rsidR="00DF410E" w:rsidRDefault="00CE7F43">
      <w:pPr>
        <w:jc w:val="both"/>
      </w:pPr>
      <w:r>
        <w:t>La qualité mécanique des bois est conforme aux hypothèses de calcul. Pour les éléments de réemploi, cette conformité est justifiée sur base de la [NBN B 16-520] ou la [NBN EN 14081 série] ou un autre procédé à valider par le maître d’ouvrage sur base des critères d’acceptabilité du chapitre </w:t>
      </w:r>
      <w:hyperlink r:id="rId318" w:history="1" w:docLocation="68">
        <w:r>
          <w:t>02.42.1 Critères d'acceptabilité</w:t>
        </w:r>
      </w:hyperlink>
      <w:r>
        <w:t>. </w:t>
      </w:r>
    </w:p>
    <w:p w14:paraId="39E8498B" w14:textId="77777777" w:rsidR="00DF410E" w:rsidRDefault="00CE7F43">
      <w:pPr>
        <w:jc w:val="both"/>
      </w:pPr>
      <w:r>
        <w:rPr>
          <w:b/>
          <w:u w:val="single"/>
        </w:rPr>
        <w:t>Essence &amp; Qualité du bois </w:t>
      </w:r>
    </w:p>
    <w:p w14:paraId="1F5A3B94" w14:textId="77777777" w:rsidR="00DF410E" w:rsidRDefault="00CE7F43">
      <w:pPr>
        <w:jc w:val="both"/>
      </w:pPr>
      <w:r>
        <w:t>Le bois mis en œuvre est sain et conforme aux prescriptions du cahier des charges. Il est de qualité définie dans la [NBN EN 14081 série]. Il convient à tout point de vue pour l'application qui lui est destinée.</w:t>
      </w:r>
    </w:p>
    <w:p w14:paraId="63AC6DB0" w14:textId="77777777" w:rsidR="00DF410E" w:rsidRDefault="00CE7F43">
      <w:pPr>
        <w:jc w:val="both"/>
      </w:pPr>
      <w:r>
        <w:t>Le bois des éléments de charpentes préfabriquées ou assemblées sur place, livré sur chantier est suffisamment sec, conformément aux [STS 04.1] et à la [NBN EN 14250] : son humidité au moment de la mise en œuvre ne dépasse pas 22%. Le bois est stocké dans un endroit couvert et ventilé, isolé du sol et protégé de l’humidité.</w:t>
      </w:r>
    </w:p>
    <w:p w14:paraId="68F8D95E" w14:textId="77777777" w:rsidR="00DF410E" w:rsidRDefault="00CE7F43">
      <w:pPr>
        <w:jc w:val="both"/>
      </w:pPr>
      <w:r>
        <w:t>Les normes [NBN EN 1313-1] et [NBN EN 1313-2] spécifient les dimensions préférentielles et écarts-admissibles pour les bois sciés résineux et feuillus.</w:t>
      </w:r>
    </w:p>
    <w:p w14:paraId="2DB7E296" w14:textId="77777777" w:rsidR="00DF410E" w:rsidRDefault="00CE7F43">
      <w:pPr>
        <w:jc w:val="both"/>
      </w:pPr>
      <w:r>
        <w:t>Les pièces en bois lamellé collé sont conformes aux prescriptions de la norme [NBN EN 14080]. Les pièces en bois abouté satisfont à la norme [NBN EN 335]. Elles répondent à l’exigence complémentaire de traitement contre les insectes et les champignons par un procédé conforme aux [STS 04 série] et adapté à la classe d’emploi.</w:t>
      </w:r>
    </w:p>
    <w:p w14:paraId="027C5C81" w14:textId="77777777" w:rsidR="00DF410E" w:rsidRDefault="00CE7F43">
      <w:pPr>
        <w:jc w:val="both"/>
      </w:pPr>
      <w:r>
        <w:t xml:space="preserve">Pour les éléments de réemploi, le traitement initial n’est considéré que s’il dispose d’une déclaration d’aptitude </w:t>
      </w:r>
      <w:hyperlink r:id="rId319" w:history="1" w:docLocation="68">
        <w:r>
          <w:t>02.42.1 Critères d'acceptabilité</w:t>
        </w:r>
      </w:hyperlink>
      <w:r>
        <w:t>. Si les éléments ne disposent pas de cette déclaration, un traitement par badigeonnage, aspersion ou trempage est effectué pour les bois dont la classe de durabilité n’est pas suffisante, suivant qu’ils sont réutilisés in situ ou non.</w:t>
      </w:r>
    </w:p>
    <w:p w14:paraId="77F56354" w14:textId="77777777" w:rsidR="00DF410E" w:rsidRDefault="00CE7F43">
      <w:pPr>
        <w:jc w:val="both"/>
      </w:pPr>
      <w:r>
        <w:rPr>
          <w:b/>
          <w:u w:val="single"/>
        </w:rPr>
        <w:t>Les connecteurs métalliques</w:t>
      </w:r>
    </w:p>
    <w:p w14:paraId="1BF07CA4" w14:textId="77777777" w:rsidR="00DF410E" w:rsidRDefault="00CE7F43">
      <w:pPr>
        <w:jc w:val="both"/>
      </w:pPr>
      <w:r>
        <w:t>Les pièces et les plaques en acier reçoivent un traitement de protection contre la corrosion adapté à la classe de service, ou sont exécutées en acier inoxydable. La protection minimale énoncée dans la [NBN EN 1995-1-1] est résumée dans le tableau ci-dessous.</w:t>
      </w:r>
    </w:p>
    <w:tbl>
      <w:tblPr>
        <w:tblStyle w:val="Author-eTableGrid"/>
        <w:tblW w:w="9060" w:type="dxa"/>
        <w:tblLayout w:type="fixed"/>
        <w:tblLook w:val="04A0" w:firstRow="1" w:lastRow="0" w:firstColumn="1" w:lastColumn="0" w:noHBand="0" w:noVBand="1"/>
      </w:tblPr>
      <w:tblGrid>
        <w:gridCol w:w="5124"/>
        <w:gridCol w:w="1312"/>
        <w:gridCol w:w="1312"/>
        <w:gridCol w:w="1312"/>
      </w:tblGrid>
      <w:tr w:rsidR="00DF410E" w14:paraId="6603D7D5" w14:textId="77777777">
        <w:tc>
          <w:tcPr>
            <w:tcW w:w="5100" w:type="dxa"/>
            <w:noWrap/>
          </w:tcPr>
          <w:p w14:paraId="73EA5201" w14:textId="77777777" w:rsidR="00DF410E" w:rsidRDefault="00CE7F43">
            <w:r>
              <w:rPr>
                <w:b/>
              </w:rPr>
              <w:t>Classes de service</w:t>
            </w:r>
          </w:p>
        </w:tc>
        <w:tc>
          <w:tcPr>
            <w:tcW w:w="1305" w:type="dxa"/>
            <w:noWrap/>
          </w:tcPr>
          <w:p w14:paraId="7F58D391" w14:textId="77777777" w:rsidR="00DF410E" w:rsidRDefault="00CE7F43">
            <w:r>
              <w:rPr>
                <w:b/>
              </w:rPr>
              <w:t>1</w:t>
            </w:r>
          </w:p>
        </w:tc>
        <w:tc>
          <w:tcPr>
            <w:tcW w:w="1305" w:type="dxa"/>
            <w:noWrap/>
          </w:tcPr>
          <w:p w14:paraId="0DB94E66" w14:textId="77777777" w:rsidR="00DF410E" w:rsidRDefault="00CE7F43">
            <w:r>
              <w:rPr>
                <w:b/>
              </w:rPr>
              <w:t>2</w:t>
            </w:r>
          </w:p>
        </w:tc>
        <w:tc>
          <w:tcPr>
            <w:tcW w:w="1305" w:type="dxa"/>
            <w:noWrap/>
          </w:tcPr>
          <w:p w14:paraId="1901681D" w14:textId="77777777" w:rsidR="00DF410E" w:rsidRDefault="00CE7F43">
            <w:r>
              <w:rPr>
                <w:b/>
              </w:rPr>
              <w:t>3</w:t>
            </w:r>
          </w:p>
        </w:tc>
      </w:tr>
      <w:tr w:rsidR="00DF410E" w14:paraId="6805A3E1" w14:textId="77777777">
        <w:tc>
          <w:tcPr>
            <w:tcW w:w="5100" w:type="dxa"/>
            <w:noWrap/>
          </w:tcPr>
          <w:p w14:paraId="3C7BE22B" w14:textId="77777777" w:rsidR="00DF410E" w:rsidRDefault="00CE7F43">
            <w:r>
              <w:t>Clous et vis d’un diamètre ≤ 4 mm</w:t>
            </w:r>
          </w:p>
        </w:tc>
        <w:tc>
          <w:tcPr>
            <w:tcW w:w="1305" w:type="dxa"/>
            <w:noWrap/>
          </w:tcPr>
          <w:p w14:paraId="77A052A6" w14:textId="77777777" w:rsidR="00DF410E" w:rsidRDefault="00CE7F43">
            <w:r>
              <w:t>néant</w:t>
            </w:r>
          </w:p>
        </w:tc>
        <w:tc>
          <w:tcPr>
            <w:tcW w:w="1305" w:type="dxa"/>
            <w:noWrap/>
          </w:tcPr>
          <w:p w14:paraId="5C8FB200" w14:textId="77777777" w:rsidR="00DF410E" w:rsidRDefault="00CE7F43">
            <w:r>
              <w:t>Fe/Zn 12 c</w:t>
            </w:r>
            <w:r>
              <w:rPr>
                <w:vertAlign w:val="superscript"/>
              </w:rPr>
              <w:t>a</w:t>
            </w:r>
          </w:p>
        </w:tc>
        <w:tc>
          <w:tcPr>
            <w:tcW w:w="1305" w:type="dxa"/>
            <w:noWrap/>
          </w:tcPr>
          <w:p w14:paraId="0FAC820B" w14:textId="77777777" w:rsidR="00DF410E" w:rsidRDefault="00CE7F43">
            <w:r>
              <w:t>Fe/Zn 25 c</w:t>
            </w:r>
            <w:r>
              <w:rPr>
                <w:vertAlign w:val="superscript"/>
              </w:rPr>
              <w:t>a</w:t>
            </w:r>
          </w:p>
        </w:tc>
      </w:tr>
      <w:tr w:rsidR="00DF410E" w14:paraId="278B9489" w14:textId="77777777">
        <w:tc>
          <w:tcPr>
            <w:tcW w:w="5100" w:type="dxa"/>
            <w:noWrap/>
          </w:tcPr>
          <w:p w14:paraId="3B6CDE4F" w14:textId="77777777" w:rsidR="00DF410E" w:rsidRDefault="00CE7F43">
            <w:r>
              <w:t>Boulons, goujons, clous et vis d’un diamètre &gt;4 mm</w:t>
            </w:r>
          </w:p>
        </w:tc>
        <w:tc>
          <w:tcPr>
            <w:tcW w:w="1305" w:type="dxa"/>
            <w:noWrap/>
          </w:tcPr>
          <w:p w14:paraId="5A9941EF" w14:textId="77777777" w:rsidR="00DF410E" w:rsidRDefault="00CE7F43">
            <w:r>
              <w:t>néant</w:t>
            </w:r>
          </w:p>
        </w:tc>
        <w:tc>
          <w:tcPr>
            <w:tcW w:w="1305" w:type="dxa"/>
            <w:noWrap/>
          </w:tcPr>
          <w:p w14:paraId="4483415F" w14:textId="77777777" w:rsidR="00DF410E" w:rsidRDefault="00CE7F43">
            <w:r>
              <w:t>néant</w:t>
            </w:r>
          </w:p>
        </w:tc>
        <w:tc>
          <w:tcPr>
            <w:tcW w:w="1305" w:type="dxa"/>
            <w:noWrap/>
          </w:tcPr>
          <w:p w14:paraId="7A6FA14A" w14:textId="77777777" w:rsidR="00DF410E" w:rsidRDefault="00CE7F43">
            <w:r>
              <w:t>Fe/Zn 25 c</w:t>
            </w:r>
            <w:r>
              <w:rPr>
                <w:vertAlign w:val="superscript"/>
              </w:rPr>
              <w:t>a</w:t>
            </w:r>
          </w:p>
        </w:tc>
      </w:tr>
      <w:tr w:rsidR="00DF410E" w14:paraId="70517E0C" w14:textId="77777777">
        <w:tc>
          <w:tcPr>
            <w:tcW w:w="5100" w:type="dxa"/>
            <w:noWrap/>
          </w:tcPr>
          <w:p w14:paraId="30CE20F7" w14:textId="77777777" w:rsidR="00DF410E" w:rsidRDefault="00CE7F43">
            <w:r>
              <w:t>Agrafes</w:t>
            </w:r>
          </w:p>
        </w:tc>
        <w:tc>
          <w:tcPr>
            <w:tcW w:w="1305" w:type="dxa"/>
            <w:noWrap/>
          </w:tcPr>
          <w:p w14:paraId="6ED36B5C" w14:textId="77777777" w:rsidR="00DF410E" w:rsidRDefault="00CE7F43">
            <w:r>
              <w:t>Fe/Zn 12 c</w:t>
            </w:r>
            <w:r>
              <w:rPr>
                <w:vertAlign w:val="superscript"/>
              </w:rPr>
              <w:t>a</w:t>
            </w:r>
          </w:p>
        </w:tc>
        <w:tc>
          <w:tcPr>
            <w:tcW w:w="1305" w:type="dxa"/>
            <w:noWrap/>
          </w:tcPr>
          <w:p w14:paraId="3FCA9B23" w14:textId="77777777" w:rsidR="00DF410E" w:rsidRDefault="00CE7F43">
            <w:r>
              <w:t>Fe/Zn 12 c</w:t>
            </w:r>
            <w:r>
              <w:rPr>
                <w:vertAlign w:val="superscript"/>
              </w:rPr>
              <w:t>a</w:t>
            </w:r>
          </w:p>
        </w:tc>
        <w:tc>
          <w:tcPr>
            <w:tcW w:w="1305" w:type="dxa"/>
            <w:noWrap/>
          </w:tcPr>
          <w:p w14:paraId="5AAE6B26" w14:textId="77777777" w:rsidR="00DF410E" w:rsidRDefault="00CE7F43">
            <w:r>
              <w:t>Inox</w:t>
            </w:r>
          </w:p>
        </w:tc>
      </w:tr>
      <w:tr w:rsidR="00DF410E" w14:paraId="48AF88D0" w14:textId="77777777">
        <w:tc>
          <w:tcPr>
            <w:tcW w:w="5100" w:type="dxa"/>
            <w:noWrap/>
          </w:tcPr>
          <w:p w14:paraId="015D8C1F" w14:textId="77777777" w:rsidR="00DF410E" w:rsidRDefault="00CE7F43">
            <w:r>
              <w:t>Plaques perforées et plaques d’acier d’une épaisseur ≤3 mm</w:t>
            </w:r>
          </w:p>
        </w:tc>
        <w:tc>
          <w:tcPr>
            <w:tcW w:w="1305" w:type="dxa"/>
            <w:noWrap/>
          </w:tcPr>
          <w:p w14:paraId="7CD53B2E" w14:textId="77777777" w:rsidR="00DF410E" w:rsidRDefault="00CE7F43">
            <w:r>
              <w:t>Fe/Zn 12 c</w:t>
            </w:r>
            <w:r>
              <w:rPr>
                <w:vertAlign w:val="superscript"/>
              </w:rPr>
              <w:t>a</w:t>
            </w:r>
          </w:p>
        </w:tc>
        <w:tc>
          <w:tcPr>
            <w:tcW w:w="1305" w:type="dxa"/>
            <w:noWrap/>
          </w:tcPr>
          <w:p w14:paraId="1B4C3D37" w14:textId="77777777" w:rsidR="00DF410E" w:rsidRDefault="00CE7F43">
            <w:r>
              <w:t>Fe/Zn 12 c</w:t>
            </w:r>
            <w:r>
              <w:rPr>
                <w:vertAlign w:val="superscript"/>
              </w:rPr>
              <w:t>a</w:t>
            </w:r>
          </w:p>
        </w:tc>
        <w:tc>
          <w:tcPr>
            <w:tcW w:w="1305" w:type="dxa"/>
            <w:noWrap/>
          </w:tcPr>
          <w:p w14:paraId="56D51C67" w14:textId="77777777" w:rsidR="00DF410E" w:rsidRDefault="00CE7F43">
            <w:r>
              <w:t>Inox</w:t>
            </w:r>
          </w:p>
        </w:tc>
      </w:tr>
      <w:tr w:rsidR="00DF410E" w14:paraId="470631B0" w14:textId="77777777">
        <w:tc>
          <w:tcPr>
            <w:tcW w:w="5100" w:type="dxa"/>
            <w:noWrap/>
          </w:tcPr>
          <w:p w14:paraId="112074E6" w14:textId="77777777" w:rsidR="00DF410E" w:rsidRDefault="00CE7F43">
            <w:r>
              <w:t>Plaques d’acier d’une épaisseur de 3 à 5 mm</w:t>
            </w:r>
          </w:p>
        </w:tc>
        <w:tc>
          <w:tcPr>
            <w:tcW w:w="1305" w:type="dxa"/>
            <w:noWrap/>
          </w:tcPr>
          <w:p w14:paraId="25314D29" w14:textId="77777777" w:rsidR="00DF410E" w:rsidRDefault="00CE7F43">
            <w:r>
              <w:t>néant</w:t>
            </w:r>
          </w:p>
        </w:tc>
        <w:tc>
          <w:tcPr>
            <w:tcW w:w="1305" w:type="dxa"/>
            <w:noWrap/>
          </w:tcPr>
          <w:p w14:paraId="6F69DACF" w14:textId="77777777" w:rsidR="00DF410E" w:rsidRDefault="00CE7F43">
            <w:r>
              <w:t>Fe/Zn 12 c</w:t>
            </w:r>
            <w:r>
              <w:rPr>
                <w:vertAlign w:val="superscript"/>
              </w:rPr>
              <w:t>a</w:t>
            </w:r>
          </w:p>
        </w:tc>
        <w:tc>
          <w:tcPr>
            <w:tcW w:w="1305" w:type="dxa"/>
            <w:noWrap/>
          </w:tcPr>
          <w:p w14:paraId="4AFC2AE3" w14:textId="77777777" w:rsidR="00DF410E" w:rsidRDefault="00CE7F43">
            <w:r>
              <w:t>Fe/Zn 25 c</w:t>
            </w:r>
            <w:r>
              <w:rPr>
                <w:vertAlign w:val="superscript"/>
              </w:rPr>
              <w:t>a</w:t>
            </w:r>
          </w:p>
        </w:tc>
      </w:tr>
      <w:tr w:rsidR="00DF410E" w14:paraId="7D71C782" w14:textId="77777777">
        <w:tc>
          <w:tcPr>
            <w:tcW w:w="5100" w:type="dxa"/>
            <w:noWrap/>
          </w:tcPr>
          <w:p w14:paraId="53AD0401" w14:textId="77777777" w:rsidR="00DF410E" w:rsidRDefault="00CE7F43">
            <w:r>
              <w:t>Plaques d’acier d’une épaisseur de &gt; 5 mm</w:t>
            </w:r>
          </w:p>
        </w:tc>
        <w:tc>
          <w:tcPr>
            <w:tcW w:w="1305" w:type="dxa"/>
            <w:noWrap/>
          </w:tcPr>
          <w:p w14:paraId="2F7F76C0" w14:textId="77777777" w:rsidR="00DF410E" w:rsidRDefault="00CE7F43">
            <w:r>
              <w:t>néant</w:t>
            </w:r>
          </w:p>
        </w:tc>
        <w:tc>
          <w:tcPr>
            <w:tcW w:w="1305" w:type="dxa"/>
            <w:noWrap/>
          </w:tcPr>
          <w:p w14:paraId="47FB7C2A" w14:textId="77777777" w:rsidR="00DF410E" w:rsidRDefault="00CE7F43">
            <w:r>
              <w:t>néant</w:t>
            </w:r>
          </w:p>
        </w:tc>
        <w:tc>
          <w:tcPr>
            <w:tcW w:w="1305" w:type="dxa"/>
            <w:noWrap/>
          </w:tcPr>
          <w:p w14:paraId="15D73DFD" w14:textId="77777777" w:rsidR="00DF410E" w:rsidRDefault="00CE7F43">
            <w:r>
              <w:t>Fe/Zn 25 c</w:t>
            </w:r>
            <w:r>
              <w:rPr>
                <w:vertAlign w:val="superscript"/>
              </w:rPr>
              <w:t>a</w:t>
            </w:r>
          </w:p>
        </w:tc>
      </w:tr>
      <w:tr w:rsidR="00DF410E" w14:paraId="3C9D9C0A" w14:textId="77777777">
        <w:tc>
          <w:tcPr>
            <w:tcW w:w="9015" w:type="dxa"/>
            <w:gridSpan w:val="4"/>
            <w:noWrap/>
          </w:tcPr>
          <w:p w14:paraId="10FFB3B3" w14:textId="77777777" w:rsidR="00DF410E" w:rsidRDefault="00CE7F43">
            <w:r>
              <w:t>Lors du zingage à chaud, le Z275 remplace le Fe/Zn 12 c,</w:t>
            </w:r>
          </w:p>
        </w:tc>
      </w:tr>
    </w:tbl>
    <w:p w14:paraId="05780673" w14:textId="77777777" w:rsidR="00DF410E" w:rsidRDefault="00DF410E"/>
    <w:p w14:paraId="689C22F2" w14:textId="77777777" w:rsidR="00DF410E" w:rsidRDefault="00CE7F43">
      <w:pPr>
        <w:pStyle w:val="Author-eListParagraph"/>
        <w:numPr>
          <w:ilvl w:val="0"/>
          <w:numId w:val="952"/>
        </w:numPr>
        <w:jc w:val="both"/>
      </w:pPr>
      <w:r>
        <w:rPr>
          <w:u w:val="single"/>
        </w:rPr>
        <w:t>Les agrafes :</w:t>
      </w:r>
      <w:r>
        <w:t> Les exigences en matière de dimensions, tolérances et matériau relèvent de la [NBN EN 14592]. Le dos de l’agrafe présente une longueur de 6d minimum. Les valeurs de calcul de la résistance au cisaillement sont conformes à la [NBN EN 1995-1-1]. Les règles relatives aux assemblages réalisés à l’aide de pointes sont d’application pour les agrafes. Ces dernières sont considérées comme deux pointes d’un diamètre égal à la patte de l’agrafe, pour autant que l’angle formé par le dos et le sens des fibres sous le dos soit supérieur à 30°. Si cette condition n’est pas vérifiée, la résistance transversale doit être réduite d’un facteur 0,7.</w:t>
      </w:r>
    </w:p>
    <w:p w14:paraId="48F58E75" w14:textId="77777777" w:rsidR="00DF410E" w:rsidRDefault="00CE7F43">
      <w:pPr>
        <w:pStyle w:val="Author-eListParagraph"/>
        <w:numPr>
          <w:ilvl w:val="0"/>
          <w:numId w:val="953"/>
        </w:numPr>
        <w:jc w:val="both"/>
      </w:pPr>
      <w:r>
        <w:rPr>
          <w:u w:val="single"/>
        </w:rPr>
        <w:t>Les boulons :</w:t>
      </w:r>
      <w:r>
        <w:t> Les boulons utilisés sont en acier laminé de qualité 4.6 au minimum. Les dimensions relèvent de la [NBN EN 14592]. Le diamètre est compris entre 12 mm minimum et 30 mm maximum. Les boulons sont montés avec des rondelles d’un diamètre min D = 3d (d = le diamètre de la tige filetée du boulon) ou avec des plaquettes carrées de côté a = 3 d. L’épaisseur de ces plaquettes de répartition équivaut à 0,3 d minimum. Les distances minimales entre les boulons d’une même file, entre files et entre boulons et extrémités de la pièce de bois sont indiquées dans la norme [NBN EN 1995-1-1]. Le diamètre des trous ne peut dépasser que d’un mm celui du boulon. Dans une plaque d’acier, le diamètre des trous prévus pour les boulons ne peut pas être supérieur de plus de 2 mm ou de 0,1 d à celui des boulons (la plus grande des deux valeurs).</w:t>
      </w:r>
    </w:p>
    <w:p w14:paraId="0F66F19A" w14:textId="77777777" w:rsidR="00DF410E" w:rsidRDefault="00CE7F43">
      <w:pPr>
        <w:pStyle w:val="Author-eListParagraph"/>
        <w:numPr>
          <w:ilvl w:val="0"/>
          <w:numId w:val="954"/>
        </w:numPr>
        <w:jc w:val="both"/>
      </w:pPr>
      <w:r>
        <w:rPr>
          <w:u w:val="single"/>
        </w:rPr>
        <w:t>Les goujons :</w:t>
      </w:r>
      <w:r>
        <w:t> Les goujons sont en acier laminé, conformément aux prescriptions des normes [NBN EN 10025 série] ou [NBN EN 10149 série]. Ils présentent une qualité d’acier S235 au minimum, suivant la [NBN EN 10025 série], et une élasticité (A80) de 16% au moins. La [NBN EN 14592] définit dimensions et tolérances, limitées à –0/+0,1 mm. Le diamètre est compris entre 6 mm et 30 mm. Ces goujons ne présentent ni tête ni filetage, mais leurs extrémités sont légèrement biseautées. Ils présentent une longueur égale à l’épaisseur totale des pièces de bois à assembler. Les goujons sont insérés par force dans des trous forés au préalable et dont le diamètre ne dépasse pas le leur. Si des plaques d’acier sont utilisées, le diamètre de leur trou n’est pas supérieur de plus d’un mm à celui du goujon. Tout assemblage par goujons comporte au moins 4 goujons, qui sont complétés par des boulons afin de résister à l’influence d’efforts secondaires qui s’exercent dans l’axe du goujon. Les distances entre goujons et par rapport aux extrémités de la pièce de bois sont indiquées dans la [NBN EN 1995-1-1]. Les calculs de résistance au cisaillement s’effectuent de la même manière que pour les boulons, mais les valeurs σ et p pour des efforts parallèles aux fibres du bois sont :</w:t>
      </w:r>
    </w:p>
    <w:p w14:paraId="7B4F6547" w14:textId="77777777" w:rsidR="00DF410E" w:rsidRDefault="00DF410E"/>
    <w:p w14:paraId="2FED47CF" w14:textId="77777777" w:rsidR="00DF410E" w:rsidRDefault="00CE7F43">
      <w:pPr>
        <w:pStyle w:val="Author-eListParagraph"/>
        <w:numPr>
          <w:ilvl w:val="0"/>
          <w:numId w:val="955"/>
        </w:numPr>
      </w:pPr>
      <w:r>
        <w:t xml:space="preserve">Pour les résineux         </w:t>
      </w:r>
    </w:p>
    <w:p w14:paraId="3CE8A325" w14:textId="77777777" w:rsidR="00DF410E" w:rsidRDefault="00CE7F43">
      <w:pPr>
        <w:pStyle w:val="Author-eListParagraph"/>
        <w:numPr>
          <w:ilvl w:val="1"/>
          <w:numId w:val="956"/>
        </w:numPr>
      </w:pPr>
      <w:r>
        <w:t>Cisaillement simple pièce centrale : σ = 4 N/mm²  p=23 N/mm²</w:t>
      </w:r>
    </w:p>
    <w:p w14:paraId="43C79F34" w14:textId="77777777" w:rsidR="00DF410E" w:rsidRDefault="00CE7F43">
      <w:pPr>
        <w:pStyle w:val="Author-eListParagraph"/>
        <w:numPr>
          <w:ilvl w:val="1"/>
          <w:numId w:val="956"/>
        </w:numPr>
      </w:pPr>
      <w:r>
        <w:t>Cisaillement simple pièce latérale:   σ = 5.5 N/mm²  p=33 N/mm²</w:t>
      </w:r>
    </w:p>
    <w:p w14:paraId="5C3362C8" w14:textId="77777777" w:rsidR="00DF410E" w:rsidRDefault="00CE7F43">
      <w:pPr>
        <w:pStyle w:val="Author-eListParagraph"/>
        <w:numPr>
          <w:ilvl w:val="1"/>
          <w:numId w:val="956"/>
        </w:numPr>
      </w:pPr>
      <w:r>
        <w:t>Cisaillement double pièce centrale:   σ = 8.5 N/mm²  p=51 N/mm²</w:t>
      </w:r>
    </w:p>
    <w:p w14:paraId="3A618B24" w14:textId="77777777" w:rsidR="00DF410E" w:rsidRDefault="00CE7F43">
      <w:pPr>
        <w:pStyle w:val="Author-eListParagraph"/>
        <w:numPr>
          <w:ilvl w:val="0"/>
          <w:numId w:val="955"/>
        </w:numPr>
      </w:pPr>
      <w:r>
        <w:t>Pour les feuillus:</w:t>
      </w:r>
    </w:p>
    <w:p w14:paraId="4B23C0EA" w14:textId="77777777" w:rsidR="00DF410E" w:rsidRDefault="00CE7F43">
      <w:pPr>
        <w:pStyle w:val="Author-eListParagraph"/>
        <w:numPr>
          <w:ilvl w:val="1"/>
          <w:numId w:val="957"/>
        </w:numPr>
      </w:pPr>
      <w:r>
        <w:t>Cisaillement simple pièce centrale : σ = 5 N/mm²  p=27 N/mm²</w:t>
      </w:r>
    </w:p>
    <w:p w14:paraId="35ACACDF" w14:textId="77777777" w:rsidR="00DF410E" w:rsidRDefault="00CE7F43">
      <w:pPr>
        <w:pStyle w:val="Author-eListParagraph"/>
        <w:numPr>
          <w:ilvl w:val="1"/>
          <w:numId w:val="957"/>
        </w:numPr>
      </w:pPr>
      <w:r>
        <w:t>Cisaillement simple Pièce latérale:   σ = 6.5 N/mm²  p=39 N/mm²</w:t>
      </w:r>
    </w:p>
    <w:p w14:paraId="3C70B503" w14:textId="77777777" w:rsidR="00DF410E" w:rsidRDefault="00CE7F43">
      <w:pPr>
        <w:pStyle w:val="Author-eListParagraph"/>
        <w:numPr>
          <w:ilvl w:val="1"/>
          <w:numId w:val="957"/>
        </w:numPr>
      </w:pPr>
      <w:r>
        <w:t>Cisaillement double pièce centrale:   σ = 10 N/mm²  p=60 N/mm²</w:t>
      </w:r>
    </w:p>
    <w:p w14:paraId="4ADD114D" w14:textId="77777777" w:rsidR="00DF410E" w:rsidRDefault="00CE7F43">
      <w:pPr>
        <w:ind w:left="567"/>
        <w:jc w:val="both"/>
      </w:pPr>
      <w:r>
        <w:t>Si la direction de l’effort forme un angle α avec les fibres du bois, un facteur de correction k est appliqué. k=1-α/360 où α représente l’angle entre la direction de l’effort et les fibres (α ≤ 90°). L’effort que peut reprendre une file de n goujons équivaut à l’effort unitaire multiplié par leur nombre.</w:t>
      </w:r>
    </w:p>
    <w:p w14:paraId="1DED8F51" w14:textId="77777777" w:rsidR="00DF410E" w:rsidRDefault="00CE7F43">
      <w:pPr>
        <w:pStyle w:val="Author-eListParagraph"/>
        <w:numPr>
          <w:ilvl w:val="0"/>
          <w:numId w:val="958"/>
        </w:numPr>
      </w:pPr>
      <w:r>
        <w:rPr>
          <w:u w:val="single"/>
        </w:rPr>
        <w:t>Les vis et tirefonds : </w:t>
      </w:r>
      <w:r>
        <w:t> Les vis satisfont aux prescriptions de la [NBN EN 14592]. Le diamètre extérieur de la partie profilée mesure de 2,4 mm minimum à 24 mm maximum. Vis et tirefonds d’un diamètre &gt; 6 mm sont insérés dans des trous préforés d’un diamètre égal à 0,7 d sur la longueur du filetage et égal à d sur la longueur de la partie non filetée (fût). Toutes les prescriptions relatives aux vis exposées dans les paragraphes suivants s’appliquent également aux tirefonds. Les distances minimales entre les vis d’une même file et entre les vis et les extrémités de la pièce de bois sont indiquées dans la [NBN EN 1995-1-1]. Les assemblages vissés sont des assemblages simples. Pour une combinaison d’actions de cas A, l’effort admissible (N) dans le sens des fibres du bois se calcule comme suit, pour autant que la longueur de fixation s soit supérieure à 8d : Fa= 4.a.d (maximum 17 d²) où: a = l’épaisseur de la pièce de bois à visser en mm d = le diamètre du fût de la vis en mm. Pour les cas de charges B et C, la valeur obtenue est respectivement multipliée par un facteur 1,15 et 1,5. Si dans l’assemblage considéré, la direction de l’effort forme un angle α avec les fibres du bois et si le diamètre de la vis est supérieur à 10 mm, un facteur de correction k est appliqué. Ce dernier est égal à 1-α/360, où α représente l’angle entre le sens des fibres et la direction de l’effort (0 &lt; α ≤ 90°). Pour des longueurs de fixation comprises entre 4d &lt; s &lt; 8d, les valeurs de résistance sont obtenues par interpolation linéaire de la résistance pour s =8 d. Toutefois, pour des longueurs de fixation inférieures à 4d, la résistance n’est plus prise en compte. Un assemblage vissé comporte deux vis au minimum. L’effort repris par une file de n vis est égal à la valeur unitaire multipliée par le nombre efficace de vis n</w:t>
      </w:r>
      <w:r>
        <w:rPr>
          <w:vertAlign w:val="subscript"/>
        </w:rPr>
        <w:t>eff</w:t>
      </w:r>
      <w:r>
        <w:t>. Si n &lt; 10, n</w:t>
      </w:r>
      <w:r>
        <w:rPr>
          <w:vertAlign w:val="subscript"/>
        </w:rPr>
        <w:t>eff</w:t>
      </w:r>
      <w:r>
        <w:t xml:space="preserve"> = 10 si n &gt; 10, n</w:t>
      </w:r>
      <w:r>
        <w:rPr>
          <w:vertAlign w:val="subscript"/>
        </w:rPr>
        <w:t>eff</w:t>
      </w:r>
      <w:r>
        <w:t xml:space="preserve"> = 10 + 2/3(n-10). Si des goussets métalliques sont utilisés, la contrainte limite sur le bois peut être multipliée par 1,25, de telle sorte que la formule devient: Fa = 1,25.17.d²</w:t>
      </w:r>
    </w:p>
    <w:p w14:paraId="3D9FCFD2" w14:textId="77777777" w:rsidR="00DF410E" w:rsidRDefault="00CE7F43">
      <w:pPr>
        <w:ind w:left="567"/>
      </w:pPr>
      <w:r>
        <w:t>Pour les vis sollicitées axialement, la résistance à l’arrachement des vis s’entend pour du bois sec et est indépendante de l’humidité du bois au moment du vissage. La résistance admissible à l’arrachement en N par mm de longueur utile s</w:t>
      </w:r>
      <w:r>
        <w:rPr>
          <w:vertAlign w:val="subscript"/>
        </w:rPr>
        <w:t>g</w:t>
      </w:r>
      <w:r>
        <w:t xml:space="preserve"> de la partie filetée s’exprime comme suit : Fa = 3. s</w:t>
      </w:r>
      <w:r>
        <w:rPr>
          <w:vertAlign w:val="subscript"/>
        </w:rPr>
        <w:t>g</w:t>
      </w:r>
      <w:r>
        <w:t xml:space="preserve"> .d où: d = le diamètre de la partie filetée en mm, s</w:t>
      </w:r>
      <w:r>
        <w:rPr>
          <w:vertAlign w:val="subscript"/>
        </w:rPr>
        <w:t>g</w:t>
      </w:r>
      <w:r>
        <w:t xml:space="preserve"> = la profondeur de vissage de la partie filetée en mm. </w:t>
      </w:r>
    </w:p>
    <w:p w14:paraId="36F48A60" w14:textId="77777777" w:rsidR="00DF410E" w:rsidRDefault="00CE7F43">
      <w:pPr>
        <w:pStyle w:val="Author-eListParagraph"/>
        <w:numPr>
          <w:ilvl w:val="0"/>
          <w:numId w:val="959"/>
        </w:numPr>
      </w:pPr>
      <w:r>
        <w:rPr>
          <w:u w:val="single"/>
        </w:rPr>
        <w:t>Crampons, anneaux simples ou double face et boulons :</w:t>
      </w:r>
      <w:r>
        <w:t> Les caractéristiques relatives au matériau et aux dimensions relèvent de la [NBN EN 912]. Les anneaux appartiennent aux types A ou B et les crampons, aux types C, D ou E. Les anneaux double face sont placés dans une gorge fraisée au préalable dans les pièces de bois à assembler. Ce fraisage doit s’effectuer à l’aide d’un outil spécial afin d’éviter tout jeu entre l’anneau et le bois. La pénétration des dents du crampon dans le bois s’obtient par le serrage d’un boulon, muni de plaquettes de répartition de grandes dimensions, et passé à travers l’axe du crampon. Les crampons à double denture munis de dents sur leurs deux faces sont destinés aux assemblages bois sur bois. Ils sont percés en leur centre pour permettre le passage du boulon qui n’entre toutefois pas en contact avec le crampon. Crampon à simple denture : Les crampons munis de dents sur une seule de leurs faces sont principalement utilisés pour des assemblages bois / métal, mais peuvent également être employés par paire, pour former un joint entre deux pièces de bois. Ils présentent en leur centre une ouverture aux bords renforcés qui entrent en contact avec le boulon. Boulons de serrage : afin d’assurer la pénétration des dents dans le bois, le crampon doit recevoir une pression indirecte, par l’intermédiaire du boulon de serrage.</w:t>
      </w:r>
    </w:p>
    <w:p w14:paraId="5E6D4B9B" w14:textId="77777777" w:rsidR="00DF410E" w:rsidRDefault="00CE7F43">
      <w:pPr>
        <w:pStyle w:val="Author-eListParagraph"/>
        <w:numPr>
          <w:ilvl w:val="0"/>
          <w:numId w:val="960"/>
        </w:numPr>
      </w:pPr>
      <w:r>
        <w:rPr>
          <w:u w:val="single"/>
        </w:rPr>
        <w:t> Les connecteurs à plaque métallique emboutie</w:t>
      </w:r>
      <w:r>
        <w:t> sont conformes à la [NBN EN 14545]. Les assemblages utilisant des connecteurs à plaque métallique emboutie sont réservés aux constructions qui subissent principalement une charge statique. Si l’humidité du bois dépasse 22% en service, le facteur kmod de classe de service 3 s’applique aux connecteurs. Les connecteurs assemblés par soudure doivent couvrir au minimum 2/3 de la hauteur de pointe h.</w:t>
      </w:r>
    </w:p>
    <w:p w14:paraId="21FA6522" w14:textId="77777777" w:rsidR="00DF410E" w:rsidRDefault="00CE7F43">
      <w:pPr>
        <w:pStyle w:val="Author-eListParagraph"/>
        <w:numPr>
          <w:ilvl w:val="0"/>
          <w:numId w:val="961"/>
        </w:numPr>
      </w:pPr>
      <w:r>
        <w:rPr>
          <w:u w:val="single"/>
        </w:rPr>
        <w:t>Les colles</w:t>
      </w:r>
      <w:r>
        <w:t> sont de type structurel et répondent aux prescriptions de la [NBN EN 301] pour les colles UF, MUF et RF. Les colles PU satisfont aux exigences de la [NBN EN 15425]. Elles sont de préférence appliquées en usine. Etant donné que les assemblages collés présentent en général une résistance supérieure à celle du bois, les calculs visent à limiter la tension de cisaillement dans le bois.</w:t>
      </w:r>
    </w:p>
    <w:p w14:paraId="1E068B71" w14:textId="77777777" w:rsidR="00DF410E" w:rsidRDefault="00CE7F43">
      <w:r>
        <w:t> </w:t>
      </w:r>
    </w:p>
    <w:p w14:paraId="7C202977" w14:textId="77777777" w:rsidR="00DF410E" w:rsidRDefault="00CE7F43">
      <w:pPr>
        <w:jc w:val="both"/>
      </w:pPr>
      <w:r>
        <w:t> Les connecteurs métalliques de réemploi sont acceptés sur base d’une note de calcul justifiée.</w:t>
      </w:r>
    </w:p>
    <w:p w14:paraId="78E3BC01" w14:textId="77777777" w:rsidR="00DF410E" w:rsidRDefault="00CE7F43">
      <w:pPr>
        <w:jc w:val="both"/>
      </w:pPr>
      <w:r>
        <w:rPr>
          <w:b/>
          <w:u w:val="single"/>
        </w:rPr>
        <w:t>Fermes et fermettes</w:t>
      </w:r>
    </w:p>
    <w:p w14:paraId="53B06348" w14:textId="77777777" w:rsidR="00DF410E" w:rsidRDefault="00CE7F43">
      <w:pPr>
        <w:jc w:val="both"/>
      </w:pPr>
      <w:r>
        <w:t>Les fermes et fermettes industrialisées répondent aux prescriptions de la [NBN EN 14250]. Elles sont traitées contre les insectes et les champignons par un procédé décrit dans les [STS 04 série] et choisi en fonction de la classe d’emploi, conformément à la [NBN EN 335].</w:t>
      </w:r>
    </w:p>
    <w:p w14:paraId="30DD90CE" w14:textId="77777777" w:rsidR="00DF410E" w:rsidRDefault="00CE7F43">
      <w:pPr>
        <w:pStyle w:val="pheading"/>
      </w:pPr>
      <w:r>
        <w:t>EXÉCUTION / MISE EN ŒUVRE</w:t>
      </w:r>
    </w:p>
    <w:p w14:paraId="3F090BE6" w14:textId="77777777" w:rsidR="00DF410E" w:rsidRDefault="00CE7F43">
      <w:pPr>
        <w:jc w:val="both"/>
      </w:pPr>
      <w:r>
        <w:t>La mise en œuvre et les tolérances de placement sont conformes aux [STS 31].</w:t>
      </w:r>
    </w:p>
    <w:p w14:paraId="591A40F5" w14:textId="77777777" w:rsidR="00DF410E" w:rsidRDefault="00CE7F43">
      <w:pPr>
        <w:jc w:val="both"/>
      </w:pPr>
      <w:r>
        <w:t>Si le bois se trouve en contact direct avec les maçonneries, béton et mortier, il reçoit un traitement de préservation adapté avec la classe d’emploi 3 (selon [NBN EN 335]).</w:t>
      </w:r>
    </w:p>
    <w:p w14:paraId="5F3ADF01" w14:textId="77777777" w:rsidR="00DF410E" w:rsidRDefault="00CE7F43">
      <w:pPr>
        <w:jc w:val="both"/>
      </w:pPr>
      <w:r>
        <w:t>L’entreposage et la manutention des éléments de charpenteries sont effectués sans engendrer de déformation ni d’exposition à l’eau liquide. Que les éléments soient entreposés verticalement ou horizontalement, ils doivent être suffisamment soutenus afin de ne subir ni dommage ni déformation. Les éléments de charpentes sont protégés des intempéries et ventilés. En outre, il faut éviter tout contact des éléments avec le sol ou la végétation.</w:t>
      </w:r>
    </w:p>
    <w:p w14:paraId="708A07B2" w14:textId="77777777" w:rsidR="00DF410E" w:rsidRDefault="00CE7F43">
      <w:pPr>
        <w:jc w:val="both"/>
      </w:pPr>
      <w:r>
        <w:t>Les charpentes sont fixées dans les sablières ou dans le gros œuvre afin de reprendre les efforts du poids de la toiture et des surcharges telles que la neige, charge d’exploitation, ..., les efforts horizontaux et verticaux dus au vent.</w:t>
      </w:r>
    </w:p>
    <w:p w14:paraId="7A562BCD" w14:textId="77777777" w:rsidR="00DF410E" w:rsidRDefault="00CE7F43">
      <w:pPr>
        <w:pStyle w:val="pheading"/>
      </w:pPr>
      <w:r>
        <w:t>DOCUMENTS DE RÉFÉRENCE</w:t>
      </w:r>
    </w:p>
    <w:p w14:paraId="56DB464A" w14:textId="77777777" w:rsidR="00DF410E" w:rsidRDefault="00CE7F43">
      <w:pPr>
        <w:pStyle w:val="pheading"/>
      </w:pPr>
      <w:r>
        <w:t>- Matériau</w:t>
      </w:r>
    </w:p>
    <w:p w14:paraId="35247799" w14:textId="77777777" w:rsidR="00DF410E" w:rsidRDefault="00CE7F43">
      <w:r>
        <w:t>[NIT 127, Ecarts admissibles sur les dimensions]</w:t>
      </w:r>
    </w:p>
    <w:p w14:paraId="530D05F1" w14:textId="77777777" w:rsidR="00DF410E" w:rsidRDefault="00CE7F43">
      <w:r>
        <w:t>[Buildwise Métré 2.13, Charpente en bois]</w:t>
      </w:r>
    </w:p>
    <w:p w14:paraId="35A9D4D4" w14:textId="77777777" w:rsidR="00DF410E" w:rsidRDefault="00CE7F43">
      <w:r>
        <w:t>[NBN EN 336, Bois de structure - Dimensions, écarts admissibles]</w:t>
      </w:r>
    </w:p>
    <w:p w14:paraId="4F56A088" w14:textId="77777777" w:rsidR="00DF410E" w:rsidRDefault="00CE7F43">
      <w:r>
        <w:t>[NBN 219-02, Bois sciés - Bois résineux de Belgique - Dimensions nominales]</w:t>
      </w:r>
    </w:p>
    <w:p w14:paraId="4959613D" w14:textId="77777777" w:rsidR="00DF410E" w:rsidRDefault="00CE7F43">
      <w:r>
        <w:t>[NBN 219-03, Bois sciés - Bois résineux importés du Nord - Dimensions nominales]</w:t>
      </w:r>
    </w:p>
    <w:p w14:paraId="04F44737" w14:textId="77777777" w:rsidR="00DF410E" w:rsidRDefault="00CE7F43">
      <w:r>
        <w:t>[NBN EN 1313-1, Bois ronds et bois sciés - Ecarts admissibles et dimensions préférentielles - Partie 1 : Bois sciés résineux]</w:t>
      </w:r>
    </w:p>
    <w:p w14:paraId="2A5CCB98" w14:textId="77777777" w:rsidR="00DF410E" w:rsidRDefault="00CE7F43">
      <w:r>
        <w:t>[NBN EN 1313-2, Bois ronds et bois sciés - Ecarts admissibles et dimensions préférentielles - Partie 2: Bois sciés feuillus]</w:t>
      </w:r>
    </w:p>
    <w:p w14:paraId="44FB4C0D" w14:textId="77777777" w:rsidR="00DF410E" w:rsidRDefault="00CE7F43">
      <w:r>
        <w:t>[NBN EN 14080, Structures en bois - Bois lamellé collé et bois massif reconstitué - Exigences]</w:t>
      </w:r>
    </w:p>
    <w:p w14:paraId="77A173A6" w14:textId="77777777" w:rsidR="00DF410E" w:rsidRDefault="00CE7F43">
      <w:r>
        <w:t>[NBN EN 1995-1-1, Eurocode 5: Conception et calcul des structures en bois - Partie 1-1 : Généralités - Règles communes et règles pour les bâtiments (+AC:2006)]</w:t>
      </w:r>
    </w:p>
    <w:p w14:paraId="07DE9AD9" w14:textId="77777777" w:rsidR="00DF410E" w:rsidRDefault="00CE7F43">
      <w:r>
        <w:t>[NBN EN 1991 série, Eurocode 1 : Actions sur les structures]</w:t>
      </w:r>
    </w:p>
    <w:p w14:paraId="01E72DE9" w14:textId="77777777" w:rsidR="00DF410E" w:rsidRDefault="00CE7F43">
      <w:r>
        <w:t>[NBN EN 1990, Eurocodes structuraux - Eurocodes: Bases de calcul des structures]</w:t>
      </w:r>
    </w:p>
    <w:p w14:paraId="1CD8E42A" w14:textId="77777777" w:rsidR="00DF410E" w:rsidRDefault="00CE7F43">
      <w:r>
        <w:t>[NBN EN 14081-1:2016+A1, Structures en bois - Bois de structure à section rectangulaire classé pour sa résistance - Partie 1 : Exigences générales]</w:t>
      </w:r>
    </w:p>
    <w:p w14:paraId="47B5F2A8" w14:textId="77777777" w:rsidR="00DF410E" w:rsidRDefault="00CE7F43">
      <w:r>
        <w:t>[STS 04.1, Bois et panneaux à base de bois : bois de structure]</w:t>
      </w:r>
    </w:p>
    <w:p w14:paraId="2A2AE7E1" w14:textId="77777777" w:rsidR="00DF410E" w:rsidRDefault="00CE7F43">
      <w:r>
        <w:t>[NBN EN 14592, Structures en bois - Eléments de fixation de type tige - Exigences]  </w:t>
      </w:r>
    </w:p>
    <w:p w14:paraId="4B0E7C34" w14:textId="77777777" w:rsidR="00DF410E" w:rsidRDefault="00CE7F43">
      <w:r>
        <w:t>[NBN EN 10025 série, Produits laminés à chaud en aciers de construction] </w:t>
      </w:r>
    </w:p>
    <w:p w14:paraId="05BFAC17" w14:textId="77777777" w:rsidR="00DF410E" w:rsidRDefault="00CE7F43">
      <w:r>
        <w:t>[NBN EN 10149 série, Produits plats laminés à chaud en aciers à haute limite d'élasticité pour formage à froid]</w:t>
      </w:r>
    </w:p>
    <w:p w14:paraId="25398FA0" w14:textId="77777777" w:rsidR="00DF410E" w:rsidRDefault="00CE7F43">
      <w:r>
        <w:t>[NBN EN 912, Organes d'assemblage pour le bois - Spécifications des assembleurs pour bois] </w:t>
      </w:r>
    </w:p>
    <w:p w14:paraId="2C47B97A" w14:textId="77777777" w:rsidR="00DF410E" w:rsidRDefault="00CE7F43">
      <w:r>
        <w:t>[NBN EN 14545, Structures en bois - Connecteurs - Exigences]</w:t>
      </w:r>
    </w:p>
    <w:p w14:paraId="56A35AAE" w14:textId="77777777" w:rsidR="00DF410E" w:rsidRDefault="00CE7F43">
      <w:r>
        <w:t>[NBN EN 301, Adhésifs de nature phénolique et aminoplaste, pour structures portantes en bois - Classification et exigences de performance]</w:t>
      </w:r>
    </w:p>
    <w:p w14:paraId="53DAAB7D" w14:textId="77777777" w:rsidR="00DF410E" w:rsidRDefault="00CE7F43">
      <w:r>
        <w:t>[NBN EN 15425, Adhésifs - Adhésifs polyuréthane monocomposants (PUR) pour structures portantes en bois - Classification et exigences de performance]</w:t>
      </w:r>
    </w:p>
    <w:p w14:paraId="06F1B1EE" w14:textId="77777777" w:rsidR="00DF410E" w:rsidRDefault="00CE7F43">
      <w:r>
        <w:t>[NBN EN 14250, Structure en bois - Exigences de produit relatives aux éléments de structures préfabriqués utilisant des connecteurs à plaque métallique emboutie]</w:t>
      </w:r>
    </w:p>
    <w:p w14:paraId="0143B0EF" w14:textId="77777777" w:rsidR="00DF410E" w:rsidRDefault="00CE7F43">
      <w:r>
        <w:t>[NBN EN 335, Durabilité du bois et des matériaux à base de bois - Classes d'emploi: définitions, application au bois massif et aux matériaux à base de bois]</w:t>
      </w:r>
    </w:p>
    <w:p w14:paraId="1CE78084" w14:textId="77777777" w:rsidR="00DF410E" w:rsidRDefault="00CE7F43">
      <w:r>
        <w:t>[STS 23, Structures en bois]</w:t>
      </w:r>
    </w:p>
    <w:p w14:paraId="783A0A90" w14:textId="77777777" w:rsidR="00DF410E" w:rsidRDefault="00CE7F43">
      <w:pPr>
        <w:pStyle w:val="Author-eSectionHeading5"/>
      </w:pPr>
      <w:bookmarkStart w:id="1691" w:name="_Toc178838777"/>
      <w:r>
        <w:t>24.24.1 Charpentes en bois assemblées sur place CCTB 01.04</w:t>
      </w:r>
      <w:bookmarkEnd w:id="1691"/>
    </w:p>
    <w:p w14:paraId="65B42E02" w14:textId="77777777" w:rsidR="00DF410E" w:rsidRDefault="00CE7F43">
      <w:pPr>
        <w:pStyle w:val="Author-eSectionHeading6"/>
      </w:pPr>
      <w:bookmarkStart w:id="1692" w:name="_Toc178838778"/>
      <w:r>
        <w:t>24.24.1a Charpentes planes en bois assemblées sur place CCTB 01.11</w:t>
      </w:r>
      <w:bookmarkEnd w:id="1692"/>
    </w:p>
    <w:p w14:paraId="4C55F657" w14:textId="77777777" w:rsidR="00DF410E" w:rsidRDefault="00CE7F43">
      <w:pPr>
        <w:pStyle w:val="pheading"/>
      </w:pPr>
      <w:r>
        <w:t>DESCRIPTION</w:t>
      </w:r>
    </w:p>
    <w:p w14:paraId="18D84BDD" w14:textId="77777777" w:rsidR="00DF410E" w:rsidRDefault="00CE7F43">
      <w:pPr>
        <w:pStyle w:val="pheading"/>
      </w:pPr>
      <w:r>
        <w:t>- Définition / Comprend</w:t>
      </w:r>
    </w:p>
    <w:p w14:paraId="3CE3121C" w14:textId="77777777" w:rsidR="00DF410E" w:rsidRDefault="00CE7F43">
      <w:pPr>
        <w:jc w:val="both"/>
      </w:pPr>
      <w:r>
        <w:t>Il s’agit de la fourniture (hors matériaux récupérés du même site) et la pose des éléments de charpente en bois assemblés sur place.</w:t>
      </w:r>
    </w:p>
    <w:p w14:paraId="6E3A982E" w14:textId="77777777" w:rsidR="00DF410E" w:rsidRDefault="00CE7F43">
      <w:pPr>
        <w:jc w:val="both"/>
      </w:pPr>
      <w:r>
        <w:t>Les travaux comprennent notamment :</w:t>
      </w:r>
    </w:p>
    <w:p w14:paraId="58ED1F03" w14:textId="77777777" w:rsidR="00DF410E" w:rsidRDefault="00CE7F43">
      <w:pPr>
        <w:pStyle w:val="Author-eListParagraph"/>
        <w:numPr>
          <w:ilvl w:val="0"/>
          <w:numId w:val="962"/>
        </w:numPr>
        <w:jc w:val="both"/>
      </w:pPr>
      <w:r>
        <w:t>La fourniture des documents reprenant les caractéristiques de résistance de la charpente et l’étude d’exécution ;</w:t>
      </w:r>
    </w:p>
    <w:p w14:paraId="1BCB8B23" w14:textId="77777777" w:rsidR="00DF410E" w:rsidRDefault="00CE7F43">
      <w:pPr>
        <w:pStyle w:val="Author-eListParagraph"/>
        <w:numPr>
          <w:ilvl w:val="0"/>
          <w:numId w:val="962"/>
        </w:numPr>
        <w:jc w:val="both"/>
      </w:pPr>
      <w:r>
        <w:t>Les installations de signalisation et de sécurité pour la pose des charpentes ;</w:t>
      </w:r>
    </w:p>
    <w:p w14:paraId="6AA57768" w14:textId="77777777" w:rsidR="00DF410E" w:rsidRDefault="00CE7F43">
      <w:pPr>
        <w:pStyle w:val="Author-eListParagraph"/>
        <w:numPr>
          <w:ilvl w:val="0"/>
          <w:numId w:val="962"/>
        </w:numPr>
        <w:jc w:val="both"/>
      </w:pPr>
      <w:r>
        <w:t>La fourniture (hors matériaux récupérés du même site), la manutention, l’assemblage et la pose des éléments de charpente en bois ;</w:t>
      </w:r>
    </w:p>
    <w:p w14:paraId="68E2CBBD" w14:textId="77777777" w:rsidR="00DF410E" w:rsidRDefault="00CE7F43">
      <w:pPr>
        <w:pStyle w:val="Author-eListParagraph"/>
        <w:numPr>
          <w:ilvl w:val="0"/>
          <w:numId w:val="962"/>
        </w:numPr>
        <w:jc w:val="both"/>
      </w:pPr>
      <w:r>
        <w:t>La liaison mécanique (ancrages et ferrures) des éléments au gros œuvre ;</w:t>
      </w:r>
    </w:p>
    <w:p w14:paraId="5FAEEE45" w14:textId="77777777" w:rsidR="00DF410E" w:rsidRDefault="00CE7F43">
      <w:pPr>
        <w:pStyle w:val="Author-eListParagraph"/>
        <w:numPr>
          <w:ilvl w:val="0"/>
          <w:numId w:val="962"/>
        </w:numPr>
        <w:jc w:val="both"/>
      </w:pPr>
      <w:r>
        <w:t>L’étançonnage et le contreventement provisoire des éléments de charpente ;</w:t>
      </w:r>
    </w:p>
    <w:p w14:paraId="54F7BA63" w14:textId="77777777" w:rsidR="00DF410E" w:rsidRDefault="00CE7F43">
      <w:pPr>
        <w:pStyle w:val="Author-eListParagraph"/>
        <w:numPr>
          <w:ilvl w:val="0"/>
          <w:numId w:val="962"/>
        </w:numPr>
        <w:jc w:val="both"/>
      </w:pPr>
      <w:r>
        <w:t>Le traitement de préservation des éléments découpés ;</w:t>
      </w:r>
    </w:p>
    <w:p w14:paraId="3EB64254" w14:textId="77777777" w:rsidR="00DF410E" w:rsidRDefault="00CE7F43">
      <w:pPr>
        <w:pStyle w:val="Author-eListParagraph"/>
        <w:numPr>
          <w:ilvl w:val="0"/>
          <w:numId w:val="962"/>
        </w:numPr>
        <w:jc w:val="both"/>
      </w:pPr>
      <w:r>
        <w:t>La protection éventuelle de l’ensemble de la charpente ;</w:t>
      </w:r>
    </w:p>
    <w:p w14:paraId="711B6C9A" w14:textId="77777777" w:rsidR="00DF410E" w:rsidRDefault="00CE7F43">
      <w:pPr>
        <w:pStyle w:val="Author-eListParagraph"/>
        <w:numPr>
          <w:ilvl w:val="0"/>
          <w:numId w:val="962"/>
        </w:numPr>
        <w:jc w:val="both"/>
      </w:pPr>
      <w:r>
        <w:t>La fourniture des documents relatifs au dossier d’intervention ultérieur concernant la charpente et les dispositifs de raccords dans la charpente pour équipement de sécurité.</w:t>
      </w:r>
    </w:p>
    <w:p w14:paraId="442232DA" w14:textId="77777777" w:rsidR="00DF410E" w:rsidRDefault="00CE7F43">
      <w:pPr>
        <w:pStyle w:val="pheading"/>
      </w:pPr>
      <w:r>
        <w:t>MATÉRIAUX</w:t>
      </w:r>
    </w:p>
    <w:p w14:paraId="6F05A60A" w14:textId="77777777" w:rsidR="00DF410E" w:rsidRDefault="00CE7F43">
      <w:pPr>
        <w:pStyle w:val="pheading"/>
      </w:pPr>
      <w:r>
        <w:t>- Caractéristiques générales</w:t>
      </w:r>
    </w:p>
    <w:p w14:paraId="46BFCD76" w14:textId="77777777" w:rsidR="00DF410E" w:rsidRDefault="00CE7F43">
      <w:pPr>
        <w:jc w:val="both"/>
      </w:pPr>
      <w:r>
        <w:t xml:space="preserve">Les éléments utilisés sont en </w:t>
      </w:r>
      <w:r>
        <w:rPr>
          <w:rStyle w:val="optioncarChar"/>
        </w:rPr>
        <w:t xml:space="preserve">bois massif résineux </w:t>
      </w:r>
      <w:r>
        <w:t xml:space="preserve">(par défaut) </w:t>
      </w:r>
      <w:r>
        <w:rPr>
          <w:rStyle w:val="optioncarChar"/>
        </w:rPr>
        <w:t>/ en bois massif feuillu / en lamellé collé / ***.</w:t>
      </w:r>
    </w:p>
    <w:p w14:paraId="4739FD36" w14:textId="77777777" w:rsidR="00DF410E" w:rsidRDefault="00CE7F43">
      <w:pPr>
        <w:ind w:left="567"/>
        <w:jc w:val="both"/>
      </w:pPr>
      <w:r>
        <w:rPr>
          <w:b/>
          <w:i/>
        </w:rPr>
        <w:t>(Soit par défaut) </w:t>
      </w:r>
    </w:p>
    <w:p w14:paraId="16B3D630" w14:textId="77777777" w:rsidR="00DF410E" w:rsidRDefault="00CE7F43">
      <w:pPr>
        <w:ind w:left="567"/>
        <w:jc w:val="both"/>
      </w:pPr>
      <w:r>
        <w:rPr>
          <w:rStyle w:val="soitChar"/>
          <w:u w:val="single"/>
        </w:rPr>
        <w:t>Bois massif résineux</w:t>
      </w:r>
      <w:r>
        <w:rPr>
          <w:rStyle w:val="soitChar"/>
        </w:rPr>
        <w:t xml:space="preserve"> : Les éléments sont en </w:t>
      </w:r>
      <w:r>
        <w:rPr>
          <w:rStyle w:val="optioncarChar"/>
        </w:rPr>
        <w:t>Epicéa </w:t>
      </w:r>
      <w:r>
        <w:t>(par défaut) </w:t>
      </w:r>
      <w:r>
        <w:rPr>
          <w:rStyle w:val="optioncarChar"/>
        </w:rPr>
        <w:t>/ Douglas / Mélèze / ***</w:t>
      </w:r>
      <w:r>
        <w:rPr>
          <w:rStyle w:val="soitChar"/>
        </w:rPr>
        <w:t> . Tous les bois fournis par le présent lot sont secs (humidité maximale de mise en œuvre 20 %).</w:t>
      </w:r>
    </w:p>
    <w:p w14:paraId="0C2CB38D" w14:textId="77777777" w:rsidR="00DF410E" w:rsidRDefault="00CE7F43">
      <w:pPr>
        <w:ind w:left="567"/>
        <w:jc w:val="both"/>
      </w:pPr>
      <w:r>
        <w:rPr>
          <w:b/>
          <w:i/>
        </w:rPr>
        <w:t>(Soit) </w:t>
      </w:r>
    </w:p>
    <w:p w14:paraId="29F0DFF9" w14:textId="77777777" w:rsidR="00DF410E" w:rsidRDefault="00CE7F43">
      <w:pPr>
        <w:ind w:left="567"/>
        <w:jc w:val="both"/>
      </w:pPr>
      <w:r>
        <w:rPr>
          <w:rStyle w:val="soitChar"/>
          <w:u w:val="single"/>
        </w:rPr>
        <w:t>Bois massif feuillu :</w:t>
      </w:r>
      <w:r>
        <w:rPr>
          <w:rStyle w:val="soitChar"/>
        </w:rPr>
        <w:t> Les éléments sont en </w:t>
      </w:r>
      <w:r>
        <w:rPr>
          <w:rStyle w:val="optioncarChar"/>
        </w:rPr>
        <w:t>Chêne </w:t>
      </w:r>
      <w:r>
        <w:t>(par défaut)</w:t>
      </w:r>
      <w:r>
        <w:rPr>
          <w:rStyle w:val="optioncarChar"/>
        </w:rPr>
        <w:t> / Hêtre / ***.</w:t>
      </w:r>
      <w:r>
        <w:rPr>
          <w:rStyle w:val="soitChar"/>
        </w:rPr>
        <w:t>  Tous les bois fournis par le présent lot sont secs (humidité maximale de mise en œuvre 20 %).</w:t>
      </w:r>
    </w:p>
    <w:p w14:paraId="18CD0C55" w14:textId="77777777" w:rsidR="00DF410E" w:rsidRDefault="00CE7F43">
      <w:pPr>
        <w:ind w:left="567"/>
        <w:jc w:val="both"/>
      </w:pPr>
      <w:r>
        <w:rPr>
          <w:b/>
          <w:i/>
        </w:rPr>
        <w:t>(Soit) </w:t>
      </w:r>
    </w:p>
    <w:p w14:paraId="0D5EC730" w14:textId="77777777" w:rsidR="00DF410E" w:rsidRDefault="00CE7F43">
      <w:pPr>
        <w:ind w:left="567"/>
        <w:jc w:val="both"/>
      </w:pPr>
      <w:r>
        <w:rPr>
          <w:rStyle w:val="soitChar"/>
          <w:u w:val="single"/>
        </w:rPr>
        <w:t>Lamellé collé</w:t>
      </w:r>
      <w:r>
        <w:rPr>
          <w:rStyle w:val="soitChar"/>
        </w:rPr>
        <w:t xml:space="preserve"> : Les bois lamellés collés mis en œuvre sont en </w:t>
      </w:r>
      <w:r>
        <w:rPr>
          <w:rStyle w:val="optioncarChar"/>
        </w:rPr>
        <w:t xml:space="preserve">Epicéa </w:t>
      </w:r>
      <w:r>
        <w:t>(par défaut)</w:t>
      </w:r>
      <w:r>
        <w:rPr>
          <w:rStyle w:val="optioncarChar"/>
        </w:rPr>
        <w:t xml:space="preserve"> / Pin sylvestre / ***</w:t>
      </w:r>
      <w:r>
        <w:rPr>
          <w:rStyle w:val="soitChar"/>
        </w:rPr>
        <w:t>. Tous les bois fournis par le présent lot sont secs (humidité maximale de mise en œuvre 15 %).</w:t>
      </w:r>
    </w:p>
    <w:p w14:paraId="080C39A8" w14:textId="77777777" w:rsidR="00DF410E" w:rsidRDefault="00CE7F43">
      <w:pPr>
        <w:ind w:left="567"/>
        <w:jc w:val="both"/>
      </w:pPr>
      <w:r>
        <w:rPr>
          <w:b/>
          <w:i/>
        </w:rPr>
        <w:t>(Soit) </w:t>
      </w:r>
    </w:p>
    <w:p w14:paraId="580CA4DE" w14:textId="77777777" w:rsidR="00DF410E" w:rsidRDefault="00CE7F43">
      <w:pPr>
        <w:ind w:left="567"/>
        <w:jc w:val="both"/>
      </w:pPr>
      <w:r>
        <w:rPr>
          <w:rStyle w:val="optioncarChar"/>
        </w:rPr>
        <w:t>***</w:t>
      </w:r>
    </w:p>
    <w:p w14:paraId="781DB362" w14:textId="77777777" w:rsidR="00DF410E" w:rsidRDefault="00CE7F43">
      <w:pPr>
        <w:jc w:val="both"/>
      </w:pPr>
      <w:r>
        <w:t xml:space="preserve">Les éléments de charpente sont  </w:t>
      </w:r>
      <w:r>
        <w:rPr>
          <w:rStyle w:val="optioncarChar"/>
        </w:rPr>
        <w:t xml:space="preserve">neufs </w:t>
      </w:r>
      <w:r>
        <w:t>(par défaut)</w:t>
      </w:r>
      <w:r>
        <w:rPr>
          <w:rStyle w:val="optioncarChar"/>
        </w:rPr>
        <w:t xml:space="preserve"> / de réemploi</w:t>
      </w:r>
      <w:r>
        <w:t>.</w:t>
      </w:r>
    </w:p>
    <w:p w14:paraId="2677B588" w14:textId="77777777" w:rsidR="00DF410E" w:rsidRDefault="00CE7F43">
      <w:pPr>
        <w:ind w:left="567"/>
        <w:jc w:val="both"/>
      </w:pPr>
      <w:r>
        <w:rPr>
          <w:b/>
          <w:i/>
        </w:rPr>
        <w:t>(Soit par défaut)</w:t>
      </w:r>
    </w:p>
    <w:p w14:paraId="597BF0DB" w14:textId="77777777" w:rsidR="00DF410E" w:rsidRDefault="00CE7F43">
      <w:pPr>
        <w:ind w:left="567"/>
        <w:jc w:val="both"/>
      </w:pPr>
      <w:r>
        <w:rPr>
          <w:rStyle w:val="soitChar"/>
          <w:u w:val="single"/>
        </w:rPr>
        <w:t>Neufs :</w:t>
      </w:r>
    </w:p>
    <w:p w14:paraId="02D3E238" w14:textId="77777777" w:rsidR="00DF410E" w:rsidRDefault="00CE7F43">
      <w:pPr>
        <w:ind w:left="567"/>
        <w:jc w:val="both"/>
      </w:pPr>
      <w:r>
        <w:rPr>
          <w:rStyle w:val="soitChar"/>
        </w:rPr>
        <w:t xml:space="preserve">La résistance mécanique pour les bois massifs résineux est de classe </w:t>
      </w:r>
      <w:r>
        <w:rPr>
          <w:rStyle w:val="optioncarChar"/>
        </w:rPr>
        <w:t xml:space="preserve">conforme à la note de calcul </w:t>
      </w:r>
      <w:r>
        <w:t xml:space="preserve">(par défaut) </w:t>
      </w:r>
      <w:r>
        <w:rPr>
          <w:rStyle w:val="optioncarChar"/>
        </w:rPr>
        <w:t>/ C18 /  C24/ C30  / ***</w:t>
      </w:r>
      <w:r>
        <w:rPr>
          <w:rStyle w:val="soitChar"/>
        </w:rPr>
        <w:t>  (classes C suivant  la [NBN EN 14081 série] pour les sections rectangulaires)</w:t>
      </w:r>
    </w:p>
    <w:p w14:paraId="159A3DF6" w14:textId="77777777" w:rsidR="00DF410E" w:rsidRDefault="00CE7F43">
      <w:pPr>
        <w:ind w:left="567"/>
        <w:jc w:val="both"/>
      </w:pPr>
      <w:r>
        <w:rPr>
          <w:rStyle w:val="soitChar"/>
        </w:rPr>
        <w:t xml:space="preserve">La résistance mécanique pour les bois massifs feuillus est de classe </w:t>
      </w:r>
      <w:r>
        <w:rPr>
          <w:rStyle w:val="optioncarChar"/>
        </w:rPr>
        <w:t xml:space="preserve">conforme à la note de calcul </w:t>
      </w:r>
      <w:r>
        <w:t>(par défaut)</w:t>
      </w:r>
      <w:r>
        <w:rPr>
          <w:rStyle w:val="optioncarChar"/>
        </w:rPr>
        <w:t xml:space="preserve"> /D18 / / D24 / D 30  / ***</w:t>
      </w:r>
      <w:r>
        <w:rPr>
          <w:rStyle w:val="soitChar"/>
        </w:rPr>
        <w:t>  (classes D suivant la [NBN EN 14081 série] pour les sections rectangulaires)</w:t>
      </w:r>
    </w:p>
    <w:p w14:paraId="5947C203" w14:textId="77777777" w:rsidR="00DF410E" w:rsidRDefault="00CE7F43">
      <w:pPr>
        <w:ind w:left="567"/>
        <w:jc w:val="both"/>
      </w:pPr>
      <w:r>
        <w:rPr>
          <w:rStyle w:val="soitChar"/>
        </w:rPr>
        <w:t xml:space="preserve">La résistance mécanique pour les bois lamellés collés est de classe </w:t>
      </w:r>
      <w:r>
        <w:rPr>
          <w:rStyle w:val="optioncarChar"/>
        </w:rPr>
        <w:t xml:space="preserve">conforme à la note de calcul </w:t>
      </w:r>
      <w:r>
        <w:t>(par défaut)</w:t>
      </w:r>
      <w:r>
        <w:rPr>
          <w:rStyle w:val="optioncarChar"/>
        </w:rPr>
        <w:t xml:space="preserve"> / GL24h / ***</w:t>
      </w:r>
      <w:r>
        <w:rPr>
          <w:rStyle w:val="soitChar"/>
        </w:rPr>
        <w:t xml:space="preserve"> suivant  la [NBN EN 14080] et la [NBN EN 408+A1].</w:t>
      </w:r>
    </w:p>
    <w:p w14:paraId="30EACE0C" w14:textId="77777777" w:rsidR="00DF410E" w:rsidRDefault="00CE7F43">
      <w:pPr>
        <w:ind w:left="567"/>
        <w:jc w:val="both"/>
      </w:pPr>
      <w:r>
        <w:rPr>
          <w:rStyle w:val="soitChar"/>
        </w:rPr>
        <w:t>Les classes de résistance des éléments de charpente répondent aux hypothèses du calcul de résistance.</w:t>
      </w:r>
    </w:p>
    <w:p w14:paraId="3AEF7DD9" w14:textId="77777777" w:rsidR="00DF410E" w:rsidRDefault="00CE7F43">
      <w:pPr>
        <w:ind w:left="567"/>
        <w:jc w:val="both"/>
      </w:pPr>
      <w:r>
        <w:rPr>
          <w:b/>
          <w:i/>
        </w:rPr>
        <w:t>(Soit)</w:t>
      </w:r>
    </w:p>
    <w:p w14:paraId="10BBBF5B" w14:textId="77777777" w:rsidR="00DF410E" w:rsidRDefault="00CE7F43">
      <w:pPr>
        <w:ind w:left="567"/>
        <w:jc w:val="both"/>
      </w:pPr>
      <w:r>
        <w:rPr>
          <w:rStyle w:val="soitChar"/>
          <w:u w:val="single"/>
        </w:rPr>
        <w:t>Réemploi :</w:t>
      </w:r>
    </w:p>
    <w:p w14:paraId="0DA8D184" w14:textId="77777777" w:rsidR="00DF410E" w:rsidRDefault="00CE7F43">
      <w:pPr>
        <w:ind w:left="567"/>
        <w:jc w:val="both"/>
      </w:pPr>
      <w:r>
        <w:rPr>
          <w:rStyle w:val="soitChar"/>
        </w:rPr>
        <w:t xml:space="preserve">Il s’agit d’éléments de charpente issus </w:t>
      </w:r>
      <w:r>
        <w:rPr>
          <w:rStyle w:val="optioncarChar"/>
        </w:rPr>
        <w:t xml:space="preserve">du démontage de charpente </w:t>
      </w:r>
      <w:r>
        <w:t>(par défaut)</w:t>
      </w:r>
      <w:r>
        <w:rPr>
          <w:rStyle w:val="optioncarChar"/>
        </w:rPr>
        <w:t>  / ***.</w:t>
      </w:r>
    </w:p>
    <w:p w14:paraId="207A650F" w14:textId="77777777" w:rsidR="00DF410E" w:rsidRDefault="00CE7F43">
      <w:pPr>
        <w:ind w:left="567"/>
        <w:jc w:val="both"/>
      </w:pPr>
      <w:r>
        <w:rPr>
          <w:rStyle w:val="soitChar"/>
        </w:rPr>
        <w:t xml:space="preserve">La qualité mécanique des bois est  conforme aux hypothèses de calcul. Cette conformité est justifiée sur base de </w:t>
      </w:r>
      <w:r>
        <w:rPr>
          <w:rStyle w:val="optioncarChar"/>
        </w:rPr>
        <w:t>la [NBN EN 14081 série] </w:t>
      </w:r>
      <w:r>
        <w:t>(par défaut)</w:t>
      </w:r>
      <w:r>
        <w:rPr>
          <w:rStyle w:val="optioncarChar"/>
        </w:rPr>
        <w:t xml:space="preserve"> / la [NBN B 16-520] / ***.</w:t>
      </w:r>
    </w:p>
    <w:p w14:paraId="1283BB75" w14:textId="77777777" w:rsidR="00DF410E" w:rsidRDefault="00CE7F43">
      <w:pPr>
        <w:ind w:left="567"/>
        <w:jc w:val="both"/>
      </w:pPr>
      <w:r>
        <w:rPr>
          <w:rStyle w:val="soitChar"/>
        </w:rPr>
        <w:t xml:space="preserve">Tout procédé de justification des qualités mécaniques est validé par le maître d’ouvrage sur base des critères d’acceptabilité du chapitre </w:t>
      </w:r>
      <w:hyperlink r:id="rId320" w:history="1" w:docLocation="68">
        <w:r>
          <w:rPr>
            <w:rStyle w:val="soitChar"/>
          </w:rPr>
          <w:t>02.42.1 Critères d'acceptabilité</w:t>
        </w:r>
      </w:hyperlink>
      <w:r>
        <w:rPr>
          <w:rStyle w:val="soitChar"/>
        </w:rPr>
        <w:t>.  </w:t>
      </w:r>
    </w:p>
    <w:p w14:paraId="62BB2429" w14:textId="77777777" w:rsidR="00DF410E" w:rsidRDefault="00CE7F43">
      <w:pPr>
        <w:ind w:left="567"/>
        <w:jc w:val="both"/>
      </w:pPr>
      <w:r>
        <w:rPr>
          <w:rStyle w:val="soitChar"/>
        </w:rPr>
        <w:t xml:space="preserve">Si ces éléments font l’objet d’un renforcement celui-ci est détaillé par l’élément </w:t>
      </w:r>
      <w:hyperlink w:anchor="604" w:history="1">
        <w:r>
          <w:rPr>
            <w:rStyle w:val="soitChar"/>
          </w:rPr>
          <w:t>24.84 Réparation structurale / Renforcement</w:t>
        </w:r>
      </w:hyperlink>
    </w:p>
    <w:p w14:paraId="40671CA0" w14:textId="77777777" w:rsidR="00DF410E" w:rsidRDefault="00CE7F43">
      <w:pPr>
        <w:ind w:left="567"/>
        <w:jc w:val="both"/>
      </w:pPr>
      <w:r>
        <w:rPr>
          <w:rStyle w:val="soitChar"/>
        </w:rPr>
        <w:t xml:space="preserve">Si ces éléments sont reconditionnés, adaptés, le processus est détaillé dans l’élément celui-ci est détaillé par l’élément </w:t>
      </w:r>
      <w:hyperlink w:anchor="605" w:history="1">
        <w:r>
          <w:rPr>
            <w:rStyle w:val="soitChar"/>
          </w:rPr>
          <w:t>24.85 Adaptation</w:t>
        </w:r>
      </w:hyperlink>
      <w:r>
        <w:rPr>
          <w:rStyle w:val="soitChar"/>
        </w:rPr>
        <w:t>.</w:t>
      </w:r>
      <w:r>
        <w:t>    </w:t>
      </w:r>
    </w:p>
    <w:p w14:paraId="4EC1F6E6" w14:textId="77777777" w:rsidR="00DF410E" w:rsidRDefault="00DF410E"/>
    <w:p w14:paraId="0229A80E" w14:textId="77777777" w:rsidR="00DF410E" w:rsidRDefault="00CE7F43">
      <w:pPr>
        <w:jc w:val="both"/>
      </w:pPr>
      <w:r>
        <w:t>La forme de la charpente est de type charpente telle que définie dans le [Dicobat] : </w:t>
      </w:r>
      <w:r>
        <w:rPr>
          <w:rStyle w:val="optioncarChar"/>
        </w:rPr>
        <w:t xml:space="preserve">suivant plan </w:t>
      </w:r>
      <w:r>
        <w:t>(par défaut)</w:t>
      </w:r>
      <w:r>
        <w:rPr>
          <w:rStyle w:val="optioncarChar"/>
        </w:rPr>
        <w:t xml:space="preserve"> / à ferme simple triangulaire/ à entraits / à ferme à faux entrait / à ferme à la Mansart / à ferme à gousset / à ferme à entraits retroussés / à pannes reposant sur murs porteurs / ***.</w:t>
      </w:r>
    </w:p>
    <w:p w14:paraId="1320D40A" w14:textId="77777777" w:rsidR="00DF410E" w:rsidRDefault="00CE7F43">
      <w:pPr>
        <w:jc w:val="both"/>
      </w:pPr>
      <w:r>
        <w:t>La charpente est conforme aux plans détaillés fournis par le maitre d’ouvrage.</w:t>
      </w:r>
    </w:p>
    <w:p w14:paraId="6D734AE4" w14:textId="77777777" w:rsidR="00DF410E" w:rsidRDefault="00CE7F43">
      <w:pPr>
        <w:jc w:val="both"/>
      </w:pPr>
      <w:r>
        <w:t>Les dimensions des sections de bois des éléments de charpentes permettent de répondre aux exigences de résistance mécanique conforme à la [STS 31], aux [NBN EN 1991 série] et [NBN EN 1995 série] ainsi qu’aux exigences  de résistance au feu définies dans cet article.</w:t>
      </w:r>
    </w:p>
    <w:p w14:paraId="7B0CF3B4" w14:textId="77777777" w:rsidR="00DF410E" w:rsidRDefault="00CE7F43">
      <w:pPr>
        <w:jc w:val="both"/>
      </w:pPr>
      <w:r>
        <w:t xml:space="preserve">La note de calcul est fournie </w:t>
      </w:r>
      <w:r>
        <w:rPr>
          <w:rStyle w:val="optioncarChar"/>
        </w:rPr>
        <w:t xml:space="preserve">par le maitre d’ouvrage / par l’entreprise en charge du lot </w:t>
      </w:r>
      <w:r>
        <w:t>(par défaut)</w:t>
      </w:r>
      <w:r>
        <w:rPr>
          <w:rStyle w:val="optioncarChar"/>
        </w:rPr>
        <w:t xml:space="preserve"> / ***.</w:t>
      </w:r>
    </w:p>
    <w:p w14:paraId="3AEE295E" w14:textId="77777777" w:rsidR="00DF410E" w:rsidRDefault="00CE7F43">
      <w:pPr>
        <w:spacing w:before="240" w:after="240" w:line="0" w:lineRule="atLeast"/>
        <w:jc w:val="both"/>
      </w:pPr>
      <w:r>
        <w:t>Toute adaptation des sections afin de remplir les exigences thermiques ou autres sont proposées au maître d’œuvre avant exécution.</w:t>
      </w:r>
    </w:p>
    <w:p w14:paraId="5DB5C10E" w14:textId="77777777" w:rsidR="00DF410E" w:rsidRDefault="00CE7F43">
      <w:pPr>
        <w:jc w:val="both"/>
      </w:pPr>
      <w:r>
        <w:t xml:space="preserve">La pose de la faîtière est reprise en encoche sur le poinçon. Les composants sont définis dans l’élément </w:t>
      </w:r>
      <w:hyperlink w:anchor="606" w:history="1">
        <w:r>
          <w:t>24.24 Charpentes en bois</w:t>
        </w:r>
      </w:hyperlink>
      <w:r>
        <w:t>.</w:t>
      </w:r>
    </w:p>
    <w:p w14:paraId="20BC21FC" w14:textId="77777777" w:rsidR="00DF410E" w:rsidRDefault="00DF410E"/>
    <w:p w14:paraId="6C708999" w14:textId="77777777" w:rsidR="00DF410E" w:rsidRDefault="00CE7F43">
      <w:pPr>
        <w:jc w:val="both"/>
      </w:pPr>
      <w:r>
        <w:rPr>
          <w:b/>
        </w:rPr>
        <w:t>Les fermes</w:t>
      </w:r>
      <w:r>
        <w:t xml:space="preserve"> sont composées </w:t>
      </w:r>
      <w:r>
        <w:rPr>
          <w:rStyle w:val="optioncarChar"/>
        </w:rPr>
        <w:t>d’un seul élément</w:t>
      </w:r>
      <w:r>
        <w:t xml:space="preserve"> (par défaut)</w:t>
      </w:r>
      <w:r>
        <w:rPr>
          <w:rStyle w:val="optioncarChar"/>
        </w:rPr>
        <w:t xml:space="preserve"> / de plusieurs éléments</w:t>
      </w:r>
      <w:r>
        <w:t xml:space="preserve">. Les dimensions des fermes sont </w:t>
      </w:r>
      <w:r>
        <w:rPr>
          <w:rStyle w:val="optioncarChar"/>
        </w:rPr>
        <w:t xml:space="preserve">conformes au calcul de dimensionnement </w:t>
      </w:r>
      <w:r>
        <w:t>(par défaut)</w:t>
      </w:r>
      <w:r>
        <w:rPr>
          <w:rStyle w:val="optioncarChar"/>
        </w:rPr>
        <w:t xml:space="preserve"> / *** x *** mm.</w:t>
      </w:r>
    </w:p>
    <w:p w14:paraId="345BB69B" w14:textId="77777777" w:rsidR="00DF410E" w:rsidRDefault="00CE7F43">
      <w:pPr>
        <w:jc w:val="both"/>
      </w:pPr>
      <w:r>
        <w:rPr>
          <w:b/>
        </w:rPr>
        <w:t>Les arbalétriers</w:t>
      </w:r>
      <w:r>
        <w:t xml:space="preserve"> supérieurs et inférieurs (jambes de force) ont les dimensions : </w:t>
      </w:r>
      <w:r>
        <w:rPr>
          <w:rStyle w:val="optioncarChar"/>
        </w:rPr>
        <w:t>conformes au calcul de dimensionnement</w:t>
      </w:r>
      <w:r>
        <w:t xml:space="preserve"> (par défaut) </w:t>
      </w:r>
      <w:r>
        <w:rPr>
          <w:rStyle w:val="optioncarChar"/>
        </w:rPr>
        <w:t>/ *** x *** mm.</w:t>
      </w:r>
    </w:p>
    <w:p w14:paraId="3D79343F" w14:textId="77777777" w:rsidR="00DF410E" w:rsidRDefault="00CE7F43">
      <w:pPr>
        <w:jc w:val="both"/>
      </w:pPr>
      <w:r>
        <w:rPr>
          <w:b/>
        </w:rPr>
        <w:t>L’entrait</w:t>
      </w:r>
      <w:r>
        <w:t xml:space="preserve"> a les dimensions : </w:t>
      </w:r>
      <w:r>
        <w:rPr>
          <w:rStyle w:val="optioncarChar"/>
        </w:rPr>
        <w:t>conformes au calcul de dimensionnement</w:t>
      </w:r>
      <w:r>
        <w:t> (par défaut) </w:t>
      </w:r>
      <w:r>
        <w:rPr>
          <w:rStyle w:val="optioncarChar"/>
        </w:rPr>
        <w:t>/ *** x *** mm.</w:t>
      </w:r>
    </w:p>
    <w:p w14:paraId="6DD629DA" w14:textId="77777777" w:rsidR="00DF410E" w:rsidRDefault="00CE7F43">
      <w:pPr>
        <w:jc w:val="both"/>
      </w:pPr>
      <w:r>
        <w:rPr>
          <w:b/>
        </w:rPr>
        <w:t>Le faux-entrait</w:t>
      </w:r>
      <w:r>
        <w:t xml:space="preserve"> a les dimensions : </w:t>
      </w:r>
      <w:r>
        <w:rPr>
          <w:rStyle w:val="optioncarChar"/>
        </w:rPr>
        <w:t>conformes au calcul de dimensionnement</w:t>
      </w:r>
      <w:r>
        <w:t> (par défaut) </w:t>
      </w:r>
      <w:r>
        <w:rPr>
          <w:rStyle w:val="optioncarChar"/>
        </w:rPr>
        <w:t>/ *** x *** mm.</w:t>
      </w:r>
    </w:p>
    <w:p w14:paraId="4C108FA6" w14:textId="77777777" w:rsidR="00DF410E" w:rsidRDefault="00CE7F43">
      <w:pPr>
        <w:jc w:val="both"/>
      </w:pPr>
      <w:r>
        <w:rPr>
          <w:b/>
        </w:rPr>
        <w:t>L’entrait secondaire</w:t>
      </w:r>
      <w:r>
        <w:t xml:space="preserve"> a les dimensions : </w:t>
      </w:r>
      <w:r>
        <w:rPr>
          <w:rStyle w:val="optioncarChar"/>
        </w:rPr>
        <w:t>conformes au calcul de dimensionnement</w:t>
      </w:r>
      <w:r>
        <w:t> (par défaut) </w:t>
      </w:r>
      <w:r>
        <w:rPr>
          <w:rStyle w:val="optioncarChar"/>
        </w:rPr>
        <w:t>/ *** x *** mm.</w:t>
      </w:r>
    </w:p>
    <w:p w14:paraId="3263AC19" w14:textId="77777777" w:rsidR="00DF410E" w:rsidRDefault="00CE7F43">
      <w:pPr>
        <w:jc w:val="both"/>
      </w:pPr>
      <w:r>
        <w:rPr>
          <w:b/>
        </w:rPr>
        <w:t>Le poinçon ou poinçon retroussé</w:t>
      </w:r>
      <w:r>
        <w:t xml:space="preserve"> a les dimensions : </w:t>
      </w:r>
      <w:r>
        <w:rPr>
          <w:rStyle w:val="optioncarChar"/>
        </w:rPr>
        <w:t>conformes au calcul de dimensionnement</w:t>
      </w:r>
      <w:r>
        <w:t> (par défaut) </w:t>
      </w:r>
      <w:r>
        <w:rPr>
          <w:rStyle w:val="optioncarChar"/>
        </w:rPr>
        <w:t>/ *** x *** mm. </w:t>
      </w:r>
      <w:r>
        <w:t xml:space="preserve">Le poinçon </w:t>
      </w:r>
      <w:r>
        <w:rPr>
          <w:rStyle w:val="optioncarChar"/>
        </w:rPr>
        <w:t>est / n’est pas</w:t>
      </w:r>
      <w:r>
        <w:t xml:space="preserve"> prolongé pour reprendre la poutre faîtière.</w:t>
      </w:r>
    </w:p>
    <w:p w14:paraId="34CDF7ED" w14:textId="77777777" w:rsidR="00DF410E" w:rsidRDefault="00CE7F43">
      <w:pPr>
        <w:jc w:val="both"/>
      </w:pPr>
      <w:r>
        <w:rPr>
          <w:b/>
        </w:rPr>
        <w:t>Les échantignoles</w:t>
      </w:r>
      <w:r>
        <w:t xml:space="preserve"> ont les dimensions : </w:t>
      </w:r>
      <w:r>
        <w:rPr>
          <w:rStyle w:val="optioncarChar"/>
        </w:rPr>
        <w:t>conformes au calcul de dimensionnement </w:t>
      </w:r>
      <w:r>
        <w:t>(par défaut) </w:t>
      </w:r>
      <w:r>
        <w:rPr>
          <w:rStyle w:val="optioncarChar"/>
        </w:rPr>
        <w:t>/ *** x *** mm. </w:t>
      </w:r>
    </w:p>
    <w:p w14:paraId="5CAD0574" w14:textId="77777777" w:rsidR="00DF410E" w:rsidRDefault="00CE7F43">
      <w:pPr>
        <w:jc w:val="both"/>
      </w:pPr>
      <w:r>
        <w:rPr>
          <w:b/>
        </w:rPr>
        <w:t>Les pannes et les faitières</w:t>
      </w:r>
      <w:r>
        <w:t xml:space="preserve"> ont les dimensions : </w:t>
      </w:r>
      <w:r>
        <w:rPr>
          <w:rStyle w:val="optioncarChar"/>
        </w:rPr>
        <w:t>conformes au calcul de dimensionnement</w:t>
      </w:r>
      <w:r>
        <w:t> (par défaut) </w:t>
      </w:r>
      <w:r>
        <w:rPr>
          <w:rStyle w:val="optioncarChar"/>
        </w:rPr>
        <w:t>/ *** x *** mm. </w:t>
      </w:r>
      <w:r>
        <w:t xml:space="preserve">Les pannes sont liées aux fermes ou arbalétriers </w:t>
      </w:r>
      <w:r>
        <w:rPr>
          <w:rStyle w:val="optioncarChar"/>
        </w:rPr>
        <w:t xml:space="preserve">directement </w:t>
      </w:r>
      <w:r>
        <w:t>(par défaut)</w:t>
      </w:r>
      <w:r>
        <w:rPr>
          <w:rStyle w:val="optioncarChar"/>
        </w:rPr>
        <w:t xml:space="preserve"> / à l’aide d’échantignolles / ***</w:t>
      </w:r>
      <w:r>
        <w:t>.</w:t>
      </w:r>
    </w:p>
    <w:p w14:paraId="74B7227B" w14:textId="77777777" w:rsidR="00DF410E" w:rsidRDefault="00CE7F43">
      <w:pPr>
        <w:jc w:val="both"/>
      </w:pPr>
      <w:r>
        <w:rPr>
          <w:b/>
        </w:rPr>
        <w:t>Les pannes à brisis</w:t>
      </w:r>
      <w:r>
        <w:t xml:space="preserve"> ont les dimensions : </w:t>
      </w:r>
      <w:r>
        <w:rPr>
          <w:rStyle w:val="optioncarChar"/>
        </w:rPr>
        <w:t>conformes au calcul de dimensionnement</w:t>
      </w:r>
      <w:r>
        <w:t> (par défaut) </w:t>
      </w:r>
      <w:r>
        <w:rPr>
          <w:rStyle w:val="optioncarChar"/>
        </w:rPr>
        <w:t>/ *** x *** mm.</w:t>
      </w:r>
    </w:p>
    <w:p w14:paraId="30B2C5BD" w14:textId="77777777" w:rsidR="00DF410E" w:rsidRDefault="00CE7F43">
      <w:pPr>
        <w:jc w:val="both"/>
      </w:pPr>
      <w:r>
        <w:rPr>
          <w:b/>
        </w:rPr>
        <w:t>Les chevrons</w:t>
      </w:r>
      <w:r>
        <w:t xml:space="preserve"> ont les dimensions : </w:t>
      </w:r>
      <w:r>
        <w:rPr>
          <w:rStyle w:val="optioncarChar"/>
        </w:rPr>
        <w:t>conformes au calcul de dimensionnement</w:t>
      </w:r>
      <w:r>
        <w:t> (par défaut) </w:t>
      </w:r>
      <w:r>
        <w:rPr>
          <w:rStyle w:val="optioncarChar"/>
        </w:rPr>
        <w:t>/ *** x *** mm.</w:t>
      </w:r>
    </w:p>
    <w:p w14:paraId="5558C3A4" w14:textId="77777777" w:rsidR="00DF410E" w:rsidRDefault="00CE7F43">
      <w:pPr>
        <w:jc w:val="both"/>
      </w:pPr>
      <w:r>
        <w:rPr>
          <w:b/>
        </w:rPr>
        <w:t>Les contre-fiches</w:t>
      </w:r>
      <w:r>
        <w:t xml:space="preserve"> (écharpes) ont les dimensions : </w:t>
      </w:r>
      <w:r>
        <w:rPr>
          <w:rStyle w:val="optioncarChar"/>
        </w:rPr>
        <w:t>conformes au calcul de dimensionnement</w:t>
      </w:r>
      <w:r>
        <w:t> (par défaut) </w:t>
      </w:r>
      <w:r>
        <w:rPr>
          <w:rStyle w:val="optioncarChar"/>
        </w:rPr>
        <w:t>/ *** x *** mm.</w:t>
      </w:r>
    </w:p>
    <w:p w14:paraId="49565E91" w14:textId="77777777" w:rsidR="00DF410E" w:rsidRDefault="00CE7F43">
      <w:pPr>
        <w:jc w:val="both"/>
      </w:pPr>
      <w:r>
        <w:rPr>
          <w:b/>
        </w:rPr>
        <w:t>Les aisseliers</w:t>
      </w:r>
      <w:r>
        <w:t xml:space="preserve"> ont les dimensions : </w:t>
      </w:r>
      <w:r>
        <w:rPr>
          <w:rStyle w:val="optioncarChar"/>
        </w:rPr>
        <w:t>conformes au calcul de dimensionnement</w:t>
      </w:r>
      <w:r>
        <w:t> (par défaut) </w:t>
      </w:r>
      <w:r>
        <w:rPr>
          <w:rStyle w:val="optioncarChar"/>
        </w:rPr>
        <w:t>/ *** x *** mm.</w:t>
      </w:r>
    </w:p>
    <w:p w14:paraId="1176C169" w14:textId="77777777" w:rsidR="00DF410E" w:rsidRDefault="00CE7F43">
      <w:pPr>
        <w:jc w:val="both"/>
      </w:pPr>
      <w:r>
        <w:rPr>
          <w:b/>
        </w:rPr>
        <w:t>Les tasseaux</w:t>
      </w:r>
      <w:r>
        <w:t xml:space="preserve"> ont les dimensions : </w:t>
      </w:r>
      <w:r>
        <w:rPr>
          <w:rStyle w:val="optioncarChar"/>
        </w:rPr>
        <w:t>conformes au calcul de dimensionnement</w:t>
      </w:r>
      <w:r>
        <w:t> (par défaut) </w:t>
      </w:r>
      <w:r>
        <w:rPr>
          <w:rStyle w:val="optioncarChar"/>
        </w:rPr>
        <w:t>/ *** x *** mm.</w:t>
      </w:r>
    </w:p>
    <w:p w14:paraId="13E69FBB" w14:textId="77777777" w:rsidR="00DF410E" w:rsidRDefault="00CE7F43">
      <w:pPr>
        <w:jc w:val="both"/>
      </w:pPr>
      <w:r>
        <w:rPr>
          <w:b/>
        </w:rPr>
        <w:t>Le gousset</w:t>
      </w:r>
      <w:r>
        <w:t xml:space="preserve"> est composé de </w:t>
      </w:r>
      <w:r>
        <w:rPr>
          <w:rStyle w:val="optioncarChar"/>
        </w:rPr>
        <w:t xml:space="preserve">bois </w:t>
      </w:r>
      <w:r>
        <w:t>(par défaut) </w:t>
      </w:r>
      <w:r>
        <w:rPr>
          <w:rStyle w:val="optioncarChar"/>
        </w:rPr>
        <w:t>/ acier galvanisé / fonte / ***</w:t>
      </w:r>
      <w:r>
        <w:t xml:space="preserve"> et a les dimensions : </w:t>
      </w:r>
      <w:r>
        <w:rPr>
          <w:rStyle w:val="optioncarChar"/>
        </w:rPr>
        <w:t>conformes au calcul de dimensionnement</w:t>
      </w:r>
      <w:r>
        <w:t> (par défaut) </w:t>
      </w:r>
      <w:r>
        <w:rPr>
          <w:rStyle w:val="optioncarChar"/>
        </w:rPr>
        <w:t>/ *** x *** mm.</w:t>
      </w:r>
    </w:p>
    <w:p w14:paraId="118A8075" w14:textId="77777777" w:rsidR="00DF410E" w:rsidRDefault="00CE7F43">
      <w:pPr>
        <w:jc w:val="both"/>
      </w:pPr>
      <w:r>
        <w:rPr>
          <w:b/>
        </w:rPr>
        <w:t>Les poteaux</w:t>
      </w:r>
      <w:r>
        <w:t xml:space="preserve"> ont les dimensions : </w:t>
      </w:r>
      <w:r>
        <w:rPr>
          <w:rStyle w:val="optioncarChar"/>
        </w:rPr>
        <w:t>conformes au calcul de dimensionnement</w:t>
      </w:r>
      <w:r>
        <w:t> (par défaut) </w:t>
      </w:r>
      <w:r>
        <w:rPr>
          <w:rStyle w:val="optioncarChar"/>
        </w:rPr>
        <w:t>/ *** x *** mm.</w:t>
      </w:r>
    </w:p>
    <w:p w14:paraId="096ED2D6" w14:textId="77777777" w:rsidR="00DF410E" w:rsidRDefault="00CE7F43">
      <w:pPr>
        <w:jc w:val="both"/>
      </w:pPr>
      <w:r>
        <w:rPr>
          <w:b/>
        </w:rPr>
        <w:t>Les semelles et sablières</w:t>
      </w:r>
      <w:r>
        <w:t xml:space="preserve"> ont les dimensions : </w:t>
      </w:r>
      <w:r>
        <w:rPr>
          <w:rStyle w:val="optioncarChar"/>
        </w:rPr>
        <w:t>conformes au calcul de dimensionnement </w:t>
      </w:r>
      <w:r>
        <w:t>(par défaut)</w:t>
      </w:r>
      <w:r>
        <w:rPr>
          <w:rStyle w:val="optioncarChar"/>
        </w:rPr>
        <w:t> / *** x *** mm. </w:t>
      </w:r>
      <w:r>
        <w:t>Les semelles et sablières sont liées au mur ou au plancher</w:t>
      </w:r>
      <w:r>
        <w:rPr>
          <w:rStyle w:val="optioncarChar"/>
        </w:rPr>
        <w:t xml:space="preserve"> directement </w:t>
      </w:r>
      <w:r>
        <w:t xml:space="preserve">(par défaut) </w:t>
      </w:r>
      <w:r>
        <w:rPr>
          <w:rStyle w:val="optioncarChar"/>
        </w:rPr>
        <w:t>/ à l’aide de feuillards métalliques / ***.</w:t>
      </w:r>
    </w:p>
    <w:p w14:paraId="7B9B1668" w14:textId="77777777" w:rsidR="00DF410E" w:rsidRDefault="00CE7F43">
      <w:pPr>
        <w:jc w:val="both"/>
      </w:pPr>
      <w:r>
        <w:rPr>
          <w:b/>
          <w:u w:val="single"/>
        </w:rPr>
        <w:t>Assemblages :</w:t>
      </w:r>
    </w:p>
    <w:p w14:paraId="07B79C9B" w14:textId="77777777" w:rsidR="00DF410E" w:rsidRDefault="00CE7F43">
      <w:pPr>
        <w:jc w:val="both"/>
      </w:pPr>
      <w:r>
        <w:t xml:space="preserve">Les assemblages sont réalisés par </w:t>
      </w:r>
      <w:r>
        <w:rPr>
          <w:rStyle w:val="optioncarChar"/>
        </w:rPr>
        <w:t>embrèvement</w:t>
      </w:r>
      <w:r>
        <w:t xml:space="preserve"> (par défaut)</w:t>
      </w:r>
      <w:r>
        <w:rPr>
          <w:rStyle w:val="optioncarChar"/>
        </w:rPr>
        <w:t xml:space="preserve"> / tenon mortaise / trait de Jupiter / assemblage à recouvrement à mi-bois / coupe nette et ferrure / doublage des entraits et autres éléments intermédiaires / ***.</w:t>
      </w:r>
    </w:p>
    <w:p w14:paraId="29FF8D7F" w14:textId="77777777" w:rsidR="00DF410E" w:rsidRDefault="00CE7F43">
      <w:pPr>
        <w:ind w:left="567"/>
        <w:jc w:val="both"/>
      </w:pPr>
      <w:r>
        <w:rPr>
          <w:b/>
          <w:i/>
        </w:rPr>
        <w:t>(Soit par défaut) </w:t>
      </w:r>
    </w:p>
    <w:p w14:paraId="4BE41AE7" w14:textId="77777777" w:rsidR="00DF410E" w:rsidRDefault="00CE7F43">
      <w:pPr>
        <w:ind w:left="567"/>
        <w:jc w:val="both"/>
      </w:pPr>
      <w:r>
        <w:rPr>
          <w:rStyle w:val="soitChar"/>
          <w:u w:val="single"/>
        </w:rPr>
        <w:t>Embrèvement :</w:t>
      </w:r>
      <w:r>
        <w:rPr>
          <w:rStyle w:val="soitChar"/>
        </w:rPr>
        <w:t xml:space="preserve"> Les assemblages sont réalisés par embrèvement </w:t>
      </w:r>
      <w:r>
        <w:rPr>
          <w:rStyle w:val="optioncarChar"/>
        </w:rPr>
        <w:t>simple</w:t>
      </w:r>
      <w:r>
        <w:t xml:space="preserve"> (par défaut) </w:t>
      </w:r>
      <w:r>
        <w:rPr>
          <w:rStyle w:val="optioncarChar"/>
        </w:rPr>
        <w:t>/ double / arrière / ***</w:t>
      </w:r>
      <w:r>
        <w:rPr>
          <w:rStyle w:val="soitChar"/>
        </w:rPr>
        <w:t xml:space="preserve">, les caractéristiques des embrèvements sont décrites dans l’article </w:t>
      </w:r>
      <w:hyperlink w:anchor="607" w:history="1">
        <w:r>
          <w:rPr>
            <w:rStyle w:val="soitChar"/>
          </w:rPr>
          <w:t>24.41.1a Assemblages traditionnels (bois/bois) - embrèvements</w:t>
        </w:r>
      </w:hyperlink>
      <w:r>
        <w:rPr>
          <w:rStyle w:val="soitChar"/>
        </w:rPr>
        <w:t>.$</w:t>
      </w:r>
    </w:p>
    <w:p w14:paraId="08E8DAA0" w14:textId="77777777" w:rsidR="00DF410E" w:rsidRDefault="00CE7F43">
      <w:pPr>
        <w:ind w:left="567"/>
        <w:jc w:val="both"/>
      </w:pPr>
      <w:r>
        <w:rPr>
          <w:b/>
          <w:i/>
        </w:rPr>
        <w:t>(Soit) </w:t>
      </w:r>
    </w:p>
    <w:p w14:paraId="6817E345" w14:textId="77777777" w:rsidR="00DF410E" w:rsidRDefault="00CE7F43">
      <w:pPr>
        <w:ind w:left="567"/>
        <w:jc w:val="both"/>
      </w:pPr>
      <w:r>
        <w:rPr>
          <w:rStyle w:val="soitChar"/>
          <w:u w:val="single"/>
        </w:rPr>
        <w:t>Tenon mortaise :</w:t>
      </w:r>
      <w:r>
        <w:rPr>
          <w:rStyle w:val="soitChar"/>
        </w:rPr>
        <w:t xml:space="preserve"> Les éléments sont en </w:t>
      </w:r>
      <w:r>
        <w:rPr>
          <w:rStyle w:val="optioncarChar"/>
        </w:rPr>
        <w:t xml:space="preserve">simple central </w:t>
      </w:r>
      <w:r>
        <w:t>(par défaut)</w:t>
      </w:r>
      <w:r>
        <w:rPr>
          <w:rStyle w:val="optioncarChar"/>
        </w:rPr>
        <w:t xml:space="preserve"> / à mi-bois / double  / ***</w:t>
      </w:r>
      <w:r>
        <w:rPr>
          <w:rStyle w:val="soitChar"/>
        </w:rPr>
        <w:t xml:space="preserve"> de profondeur  </w:t>
      </w:r>
      <w:r>
        <w:rPr>
          <w:rStyle w:val="optioncarChar"/>
        </w:rPr>
        <w:t>80 mm</w:t>
      </w:r>
      <w:r>
        <w:t xml:space="preserve"> (par défaut) </w:t>
      </w:r>
      <w:r>
        <w:rPr>
          <w:rStyle w:val="optioncarChar"/>
        </w:rPr>
        <w:t>/ 40 mm / ***</w:t>
      </w:r>
      <w:r>
        <w:rPr>
          <w:rStyle w:val="soitChar"/>
        </w:rPr>
        <w:t xml:space="preserve">. Les caractéristiques des tenons-mortaise sont décrites dans l’article </w:t>
      </w:r>
      <w:hyperlink w:anchor="608" w:history="1">
        <w:r>
          <w:rPr>
            <w:rStyle w:val="soitChar"/>
          </w:rPr>
          <w:t>24.41.1b Assemblages traditionnels (bois/bois) - tenons et mortaises</w:t>
        </w:r>
      </w:hyperlink>
      <w:r>
        <w:rPr>
          <w:rStyle w:val="soitChar"/>
        </w:rPr>
        <w:t>.</w:t>
      </w:r>
    </w:p>
    <w:p w14:paraId="7776C247" w14:textId="77777777" w:rsidR="00DF410E" w:rsidRDefault="00CE7F43">
      <w:pPr>
        <w:ind w:left="567"/>
        <w:jc w:val="both"/>
      </w:pPr>
      <w:r>
        <w:rPr>
          <w:b/>
          <w:i/>
        </w:rPr>
        <w:t>(Soit) </w:t>
      </w:r>
    </w:p>
    <w:p w14:paraId="2208136F" w14:textId="77777777" w:rsidR="00DF410E" w:rsidRDefault="00CE7F43">
      <w:pPr>
        <w:ind w:left="567"/>
        <w:jc w:val="both"/>
      </w:pPr>
      <w:r>
        <w:rPr>
          <w:rStyle w:val="soitChar"/>
          <w:u w:val="single"/>
        </w:rPr>
        <w:t>Trait de Jupiter :</w:t>
      </w:r>
      <w:r>
        <w:rPr>
          <w:rStyle w:val="soitChar"/>
        </w:rPr>
        <w:t xml:space="preserve"> La longueur de l’assemblage est comprise entre 3 et 3,5 fois la hauteur des éléments à assembler. Les caractéristiques des traits de Jupiter sont décrites dans l’article </w:t>
      </w:r>
      <w:hyperlink w:anchor="609" w:history="1">
        <w:r>
          <w:rPr>
            <w:rStyle w:val="soitChar"/>
          </w:rPr>
          <w:t>24.41.1d Assemblages traditionnels (bois/bois) - traits de Jupiter</w:t>
        </w:r>
      </w:hyperlink>
      <w:r>
        <w:rPr>
          <w:rStyle w:val="soitChar"/>
        </w:rPr>
        <w:t>.</w:t>
      </w:r>
    </w:p>
    <w:p w14:paraId="2ADE43B2" w14:textId="77777777" w:rsidR="00DF410E" w:rsidRDefault="00CE7F43">
      <w:pPr>
        <w:ind w:left="567"/>
        <w:jc w:val="both"/>
      </w:pPr>
      <w:r>
        <w:rPr>
          <w:b/>
          <w:i/>
        </w:rPr>
        <w:t>(Soit) </w:t>
      </w:r>
    </w:p>
    <w:p w14:paraId="2BD7CA40" w14:textId="77777777" w:rsidR="00DF410E" w:rsidRDefault="00CE7F43">
      <w:pPr>
        <w:ind w:left="567"/>
        <w:jc w:val="both"/>
      </w:pPr>
      <w:r>
        <w:rPr>
          <w:rStyle w:val="soitChar"/>
          <w:u w:val="single"/>
        </w:rPr>
        <w:t>Assemblage à recouvrement à mi-bois :</w:t>
      </w:r>
      <w:r>
        <w:rPr>
          <w:rStyle w:val="soitChar"/>
        </w:rPr>
        <w:t xml:space="preserve"> Les éléments sont défoncés à mi-épaisseur sur une longueur de l’assemblage de </w:t>
      </w:r>
      <w:r>
        <w:rPr>
          <w:rStyle w:val="optioncarChar"/>
        </w:rPr>
        <w:t xml:space="preserve">min 80 </w:t>
      </w:r>
      <w:r>
        <w:t xml:space="preserve">(par défaut) </w:t>
      </w:r>
      <w:r>
        <w:rPr>
          <w:rStyle w:val="optioncarChar"/>
        </w:rPr>
        <w:t>/ ***</w:t>
      </w:r>
      <w:r>
        <w:rPr>
          <w:rStyle w:val="soitChar"/>
        </w:rPr>
        <w:t xml:space="preserve"> mm.</w:t>
      </w:r>
    </w:p>
    <w:p w14:paraId="1076B0C6" w14:textId="77777777" w:rsidR="00DF410E" w:rsidRDefault="00CE7F43">
      <w:pPr>
        <w:ind w:left="567"/>
        <w:jc w:val="both"/>
      </w:pPr>
      <w:r>
        <w:rPr>
          <w:b/>
          <w:i/>
        </w:rPr>
        <w:t>(Soit) </w:t>
      </w:r>
    </w:p>
    <w:p w14:paraId="34686642" w14:textId="77777777" w:rsidR="00DF410E" w:rsidRDefault="00CE7F43">
      <w:pPr>
        <w:ind w:left="567"/>
        <w:jc w:val="both"/>
      </w:pPr>
      <w:r>
        <w:rPr>
          <w:rStyle w:val="soitChar"/>
          <w:u w:val="single"/>
        </w:rPr>
        <w:t>Coupe nette et ferrure :</w:t>
      </w:r>
      <w:r>
        <w:rPr>
          <w:rStyle w:val="soitChar"/>
        </w:rPr>
        <w:t xml:space="preserve"> sur base de l’extrémité du profilé. Les éléments </w:t>
      </w:r>
      <w:r>
        <w:rPr>
          <w:rStyle w:val="optioncarChar"/>
        </w:rPr>
        <w:t>sont / ne sont pas</w:t>
      </w:r>
      <w:r>
        <w:rPr>
          <w:rStyle w:val="soitChar"/>
        </w:rPr>
        <w:t xml:space="preserve"> défoncés pour recevoir les ferrures.</w:t>
      </w:r>
    </w:p>
    <w:p w14:paraId="2427D303" w14:textId="77777777" w:rsidR="00DF410E" w:rsidRDefault="00CE7F43">
      <w:pPr>
        <w:ind w:left="567"/>
        <w:jc w:val="both"/>
      </w:pPr>
      <w:r>
        <w:rPr>
          <w:b/>
          <w:i/>
        </w:rPr>
        <w:t>(Soit) </w:t>
      </w:r>
    </w:p>
    <w:p w14:paraId="26D6D62F" w14:textId="77777777" w:rsidR="00DF410E" w:rsidRDefault="00CE7F43">
      <w:pPr>
        <w:ind w:left="567"/>
        <w:jc w:val="both"/>
      </w:pPr>
      <w:r>
        <w:rPr>
          <w:rStyle w:val="soitChar"/>
          <w:u w:val="single"/>
        </w:rPr>
        <w:t>Doublage des entraits et autres éléments intermédiaires :</w:t>
      </w:r>
      <w:r>
        <w:rPr>
          <w:rStyle w:val="soitChar"/>
        </w:rPr>
        <w:t xml:space="preserve"> Les entraits, contre-fiches, jambes,... sont doublés de part et d’autre des éléments à assemblés. </w:t>
      </w:r>
      <w:r>
        <w:t>  </w:t>
      </w:r>
    </w:p>
    <w:p w14:paraId="1AE3967A" w14:textId="77777777" w:rsidR="00DF410E" w:rsidRDefault="00CE7F43">
      <w:pPr>
        <w:ind w:left="567"/>
        <w:jc w:val="both"/>
      </w:pPr>
      <w:r>
        <w:rPr>
          <w:b/>
          <w:i/>
        </w:rPr>
        <w:t>(Soit) </w:t>
      </w:r>
    </w:p>
    <w:p w14:paraId="28109226" w14:textId="77777777" w:rsidR="00DF410E" w:rsidRDefault="00CE7F43">
      <w:pPr>
        <w:ind w:left="567"/>
        <w:jc w:val="both"/>
      </w:pPr>
      <w:r>
        <w:rPr>
          <w:rStyle w:val="optioncarChar"/>
        </w:rPr>
        <w:t>***</w:t>
      </w:r>
    </w:p>
    <w:p w14:paraId="1EC38EC1" w14:textId="77777777" w:rsidR="00DF410E" w:rsidRDefault="00DF410E">
      <w:pPr>
        <w:ind w:left="567"/>
        <w:jc w:val="both"/>
      </w:pPr>
    </w:p>
    <w:p w14:paraId="4F483883" w14:textId="77777777" w:rsidR="00DF410E" w:rsidRDefault="00CE7F43">
      <w:pPr>
        <w:jc w:val="both"/>
      </w:pPr>
      <w:r>
        <w:t xml:space="preserve">Les assemblages sont maintenus par </w:t>
      </w:r>
      <w:r>
        <w:rPr>
          <w:rStyle w:val="optioncarChar"/>
        </w:rPr>
        <w:t xml:space="preserve">agrafes </w:t>
      </w:r>
      <w:r>
        <w:t>(par défaut)</w:t>
      </w:r>
      <w:r>
        <w:rPr>
          <w:rStyle w:val="optioncarChar"/>
        </w:rPr>
        <w:t xml:space="preserve"> / boulons / goujons / vis ou tirefond / crampons / anneaux et boulons / connecteurs à plaque métallique / ferrures / collage / ***</w:t>
      </w:r>
    </w:p>
    <w:p w14:paraId="20ACCE7C" w14:textId="77777777" w:rsidR="00DF410E" w:rsidRDefault="00CE7F43">
      <w:pPr>
        <w:ind w:left="567"/>
        <w:jc w:val="both"/>
      </w:pPr>
      <w:r>
        <w:rPr>
          <w:b/>
          <w:i/>
        </w:rPr>
        <w:t>(Soit par défaut) </w:t>
      </w:r>
    </w:p>
    <w:p w14:paraId="207A3D2C" w14:textId="77777777" w:rsidR="00DF410E" w:rsidRDefault="00CE7F43">
      <w:pPr>
        <w:ind w:left="567"/>
        <w:jc w:val="both"/>
      </w:pPr>
      <w:r>
        <w:rPr>
          <w:rStyle w:val="soitChar"/>
          <w:u w:val="single"/>
        </w:rPr>
        <w:t>Agrafes ou pointes annelées :</w:t>
      </w:r>
      <w:r>
        <w:rPr>
          <w:rStyle w:val="soitChar"/>
        </w:rPr>
        <w:t xml:space="preserve"> Les agrafes sont </w:t>
      </w:r>
      <w:r>
        <w:rPr>
          <w:rStyle w:val="optioncarChar"/>
        </w:rPr>
        <w:t xml:space="preserve">définies dans le calcul de dimensionnement </w:t>
      </w:r>
      <w:r>
        <w:t>(par défaut)</w:t>
      </w:r>
      <w:r>
        <w:rPr>
          <w:rStyle w:val="optioncarChar"/>
        </w:rPr>
        <w:t xml:space="preserve"> / minimum de 10 pointes annelées de diamètre 4.0 mm / minimum de *** de diamètre *** mm ***</w:t>
      </w:r>
      <w:r>
        <w:rPr>
          <w:rStyle w:val="soitChar"/>
        </w:rPr>
        <w:t xml:space="preserve"> et sont réalisées en </w:t>
      </w:r>
      <w:r>
        <w:rPr>
          <w:rStyle w:val="optioncarChar"/>
        </w:rPr>
        <w:t xml:space="preserve">acier galvanisé </w:t>
      </w:r>
      <w:r>
        <w:t xml:space="preserve">(par défaut) </w:t>
      </w:r>
      <w:r>
        <w:rPr>
          <w:rStyle w:val="optioncarChar"/>
        </w:rPr>
        <w:t>/ ***</w:t>
      </w:r>
      <w:r>
        <w:rPr>
          <w:rStyle w:val="soitChar"/>
        </w:rPr>
        <w:t>.</w:t>
      </w:r>
    </w:p>
    <w:p w14:paraId="0C897776" w14:textId="77777777" w:rsidR="00DF410E" w:rsidRDefault="00CE7F43">
      <w:pPr>
        <w:ind w:left="567"/>
        <w:jc w:val="both"/>
      </w:pPr>
      <w:r>
        <w:rPr>
          <w:b/>
          <w:i/>
        </w:rPr>
        <w:t>(Soit) </w:t>
      </w:r>
    </w:p>
    <w:p w14:paraId="10B89F5F" w14:textId="77777777" w:rsidR="00DF410E" w:rsidRDefault="00CE7F43">
      <w:pPr>
        <w:ind w:left="567"/>
        <w:jc w:val="both"/>
      </w:pPr>
      <w:r>
        <w:rPr>
          <w:rStyle w:val="soitChar"/>
          <w:u w:val="single"/>
        </w:rPr>
        <w:t>Boulons :</w:t>
      </w:r>
      <w:r>
        <w:rPr>
          <w:rStyle w:val="soitChar"/>
        </w:rPr>
        <w:t xml:space="preserve"> Les boulons sont </w:t>
      </w:r>
      <w:r>
        <w:rPr>
          <w:rStyle w:val="optioncarChar"/>
        </w:rPr>
        <w:t xml:space="preserve">définis dans le calcul de dimensionnement </w:t>
      </w:r>
      <w:r>
        <w:t>(par défaut)</w:t>
      </w:r>
      <w:r>
        <w:rPr>
          <w:rStyle w:val="optioncarChar"/>
        </w:rPr>
        <w:t xml:space="preserve"> / minimum de 2 boulons de section M14 / minimum de ***</w:t>
      </w:r>
      <w:r>
        <w:rPr>
          <w:rStyle w:val="soitChar"/>
        </w:rPr>
        <w:t xml:space="preserve">, et réalisés en </w:t>
      </w:r>
      <w:r>
        <w:rPr>
          <w:rStyle w:val="optioncarChar"/>
        </w:rPr>
        <w:t>acier galvanisé</w:t>
      </w:r>
      <w:r>
        <w:t xml:space="preserve"> (par défaut)</w:t>
      </w:r>
      <w:r>
        <w:rPr>
          <w:rStyle w:val="optioncarChar"/>
        </w:rPr>
        <w:t xml:space="preserve"> / inox / ***.</w:t>
      </w:r>
    </w:p>
    <w:p w14:paraId="15C6A727" w14:textId="77777777" w:rsidR="00DF410E" w:rsidRDefault="00CE7F43">
      <w:pPr>
        <w:ind w:left="567"/>
        <w:jc w:val="both"/>
      </w:pPr>
      <w:r>
        <w:rPr>
          <w:b/>
          <w:i/>
        </w:rPr>
        <w:t>(Soit) </w:t>
      </w:r>
    </w:p>
    <w:p w14:paraId="01073A05" w14:textId="77777777" w:rsidR="00DF410E" w:rsidRDefault="00CE7F43">
      <w:pPr>
        <w:ind w:left="567"/>
        <w:jc w:val="both"/>
      </w:pPr>
      <w:r>
        <w:rPr>
          <w:rStyle w:val="soitChar"/>
          <w:u w:val="single"/>
        </w:rPr>
        <w:t>Goujons :</w:t>
      </w:r>
      <w:r>
        <w:rPr>
          <w:rStyle w:val="soitChar"/>
        </w:rPr>
        <w:t xml:space="preserve"> Les goujons sont </w:t>
      </w:r>
      <w:r>
        <w:rPr>
          <w:rStyle w:val="optioncarChar"/>
        </w:rPr>
        <w:t xml:space="preserve">définis dans le calcul de dimensionnement </w:t>
      </w:r>
      <w:r>
        <w:t xml:space="preserve">(par défaut) </w:t>
      </w:r>
      <w:r>
        <w:rPr>
          <w:rStyle w:val="optioncarChar"/>
        </w:rPr>
        <w:t>/ minimum de ***</w:t>
      </w:r>
      <w:r>
        <w:rPr>
          <w:rStyle w:val="soitChar"/>
        </w:rPr>
        <w:t xml:space="preserve">, et d’un diamètre minimum de </w:t>
      </w:r>
      <w:r>
        <w:rPr>
          <w:rStyle w:val="optioncarChar"/>
        </w:rPr>
        <w:t>*** mm</w:t>
      </w:r>
      <w:r>
        <w:rPr>
          <w:rStyle w:val="soitChar"/>
        </w:rPr>
        <w:t>.  Les goujons sont en</w:t>
      </w:r>
      <w:r>
        <w:rPr>
          <w:rStyle w:val="optioncarChar"/>
        </w:rPr>
        <w:t xml:space="preserve"> métal galvanisé / inox / hêtre / ***</w:t>
      </w:r>
      <w:r>
        <w:rPr>
          <w:rStyle w:val="soitChar"/>
        </w:rPr>
        <w:t>.</w:t>
      </w:r>
    </w:p>
    <w:p w14:paraId="0D4983CC" w14:textId="77777777" w:rsidR="00DF410E" w:rsidRDefault="00CE7F43">
      <w:pPr>
        <w:ind w:left="567"/>
        <w:jc w:val="both"/>
      </w:pPr>
      <w:r>
        <w:rPr>
          <w:b/>
          <w:i/>
        </w:rPr>
        <w:t>(Soit) </w:t>
      </w:r>
    </w:p>
    <w:p w14:paraId="5851E281" w14:textId="77777777" w:rsidR="00DF410E" w:rsidRDefault="00CE7F43">
      <w:pPr>
        <w:ind w:left="567"/>
        <w:jc w:val="both"/>
      </w:pPr>
      <w:r>
        <w:rPr>
          <w:rStyle w:val="soitChar"/>
          <w:u w:val="single"/>
        </w:rPr>
        <w:t>Vis ou tirefonds :</w:t>
      </w:r>
      <w:r>
        <w:rPr>
          <w:rStyle w:val="soitChar"/>
        </w:rPr>
        <w:t xml:space="preserve"> Les vis ou tirefonds sont </w:t>
      </w:r>
      <w:r>
        <w:rPr>
          <w:rStyle w:val="optioncarChar"/>
        </w:rPr>
        <w:t xml:space="preserve">définis dans le calcul de dimensionnement </w:t>
      </w:r>
      <w:r>
        <w:t>(par défaut)</w:t>
      </w:r>
      <w:r>
        <w:rPr>
          <w:rStyle w:val="optioncarChar"/>
        </w:rPr>
        <w:t xml:space="preserve"> /minimum de type ***.</w:t>
      </w:r>
      <w:r>
        <w:rPr>
          <w:rStyle w:val="soitChar"/>
        </w:rPr>
        <w:t xml:space="preserve"> Ils sont en</w:t>
      </w:r>
      <w:r>
        <w:rPr>
          <w:rStyle w:val="optioncarChar"/>
        </w:rPr>
        <w:t xml:space="preserve"> métal galvanisé / inox / ***</w:t>
      </w:r>
      <w:r>
        <w:rPr>
          <w:rStyle w:val="soitChar"/>
        </w:rPr>
        <w:t>.</w:t>
      </w:r>
    </w:p>
    <w:p w14:paraId="586B5973" w14:textId="77777777" w:rsidR="00DF410E" w:rsidRDefault="00CE7F43">
      <w:pPr>
        <w:ind w:left="567"/>
        <w:jc w:val="both"/>
      </w:pPr>
      <w:r>
        <w:rPr>
          <w:b/>
          <w:i/>
        </w:rPr>
        <w:t>(Soit)</w:t>
      </w:r>
      <w:r>
        <w:t> </w:t>
      </w:r>
    </w:p>
    <w:p w14:paraId="29536633" w14:textId="77777777" w:rsidR="00DF410E" w:rsidRDefault="00CE7F43">
      <w:pPr>
        <w:ind w:left="567"/>
        <w:jc w:val="both"/>
      </w:pPr>
      <w:r>
        <w:rPr>
          <w:rStyle w:val="soitChar"/>
          <w:u w:val="single"/>
        </w:rPr>
        <w:t>Crampons :</w:t>
      </w:r>
      <w:r>
        <w:rPr>
          <w:rStyle w:val="soitChar"/>
        </w:rPr>
        <w:t xml:space="preserve"> Les crampons sont de type: </w:t>
      </w:r>
      <w:r>
        <w:rPr>
          <w:rStyle w:val="optioncarChar"/>
        </w:rPr>
        <w:t>C1</w:t>
      </w:r>
      <w:r>
        <w:t> (par défaut)</w:t>
      </w:r>
      <w:r>
        <w:rPr>
          <w:rStyle w:val="optioncarChar"/>
        </w:rPr>
        <w:t xml:space="preserve"> / C2 / C3 / C4 / C5 / C6 / C7 / C8 / C9 / C10 / C11</w:t>
      </w:r>
      <w:r>
        <w:rPr>
          <w:rStyle w:val="soitChar"/>
        </w:rPr>
        <w:t xml:space="preserve">. Ils sont réalisés en </w:t>
      </w:r>
      <w:r>
        <w:rPr>
          <w:rStyle w:val="optioncarChar"/>
        </w:rPr>
        <w:t>métal galvanisé / inox / ***</w:t>
      </w:r>
      <w:r>
        <w:rPr>
          <w:rStyle w:val="soitChar"/>
        </w:rPr>
        <w:t xml:space="preserve">. Les caractéristiques des crampons sont décrites dans l’article </w:t>
      </w:r>
      <w:hyperlink w:anchor="610" w:history="1">
        <w:r>
          <w:rPr>
            <w:rStyle w:val="soitChar"/>
          </w:rPr>
          <w:t>24.42.2b Connecteurs de surface - crampons</w:t>
        </w:r>
      </w:hyperlink>
      <w:r>
        <w:rPr>
          <w:rStyle w:val="soitChar"/>
        </w:rPr>
        <w:t>.</w:t>
      </w:r>
    </w:p>
    <w:p w14:paraId="7F8468B2" w14:textId="77777777" w:rsidR="00DF410E" w:rsidRDefault="00CE7F43">
      <w:pPr>
        <w:ind w:left="567"/>
        <w:jc w:val="both"/>
      </w:pPr>
      <w:r>
        <w:rPr>
          <w:b/>
          <w:i/>
        </w:rPr>
        <w:t>(Soit) </w:t>
      </w:r>
    </w:p>
    <w:p w14:paraId="15B18162" w14:textId="77777777" w:rsidR="00DF410E" w:rsidRDefault="00CE7F43">
      <w:pPr>
        <w:ind w:left="567"/>
        <w:jc w:val="both"/>
      </w:pPr>
      <w:r>
        <w:rPr>
          <w:rStyle w:val="soitChar"/>
          <w:u w:val="single"/>
        </w:rPr>
        <w:t>Anneaux et boulons :</w:t>
      </w:r>
      <w:r>
        <w:rPr>
          <w:rStyle w:val="soitChar"/>
        </w:rPr>
        <w:t xml:space="preserve"> Les anneaux sont </w:t>
      </w:r>
      <w:r>
        <w:rPr>
          <w:rStyle w:val="optioncarChar"/>
        </w:rPr>
        <w:t>simples / doubles</w:t>
      </w:r>
      <w:r>
        <w:rPr>
          <w:rStyle w:val="soitChar"/>
        </w:rPr>
        <w:t xml:space="preserve"> et de type: </w:t>
      </w:r>
      <w:r>
        <w:rPr>
          <w:rStyle w:val="optioncarChar"/>
        </w:rPr>
        <w:t>A1</w:t>
      </w:r>
      <w:r>
        <w:t> (par défaut)</w:t>
      </w:r>
      <w:r>
        <w:rPr>
          <w:rStyle w:val="optioncarChar"/>
        </w:rPr>
        <w:t xml:space="preserve"> / A2 / A3 / A4 / A5 / A6 / B1 / B2 / B3 / B4</w:t>
      </w:r>
      <w:r>
        <w:rPr>
          <w:rStyle w:val="soitChar"/>
        </w:rPr>
        <w:t xml:space="preserve">. Ils sont réalisés en </w:t>
      </w:r>
      <w:r>
        <w:rPr>
          <w:rStyle w:val="optioncarChar"/>
        </w:rPr>
        <w:t>métal galvanisé (par défaut) / inox / ***</w:t>
      </w:r>
      <w:r>
        <w:rPr>
          <w:rStyle w:val="soitChar"/>
        </w:rPr>
        <w:t xml:space="preserve">. Les caractéristiques des anneaux sont décrites dans l’article </w:t>
      </w:r>
      <w:hyperlink w:anchor="611" w:history="1">
        <w:r>
          <w:rPr>
            <w:rStyle w:val="soitChar"/>
          </w:rPr>
          <w:t>24.42.2a Connecteurs de surface - anneaux</w:t>
        </w:r>
      </w:hyperlink>
      <w:r>
        <w:rPr>
          <w:rStyle w:val="soitChar"/>
        </w:rPr>
        <w:t>.</w:t>
      </w:r>
    </w:p>
    <w:p w14:paraId="55BD44DF" w14:textId="77777777" w:rsidR="00DF410E" w:rsidRDefault="00CE7F43">
      <w:pPr>
        <w:ind w:left="567"/>
        <w:jc w:val="both"/>
      </w:pPr>
      <w:r>
        <w:rPr>
          <w:b/>
          <w:i/>
        </w:rPr>
        <w:t>(Soit) </w:t>
      </w:r>
    </w:p>
    <w:p w14:paraId="590808A9" w14:textId="77777777" w:rsidR="00DF410E" w:rsidRDefault="00CE7F43">
      <w:pPr>
        <w:ind w:left="567"/>
        <w:jc w:val="both"/>
      </w:pPr>
      <w:r>
        <w:rPr>
          <w:rStyle w:val="soitChar"/>
          <w:u w:val="single"/>
        </w:rPr>
        <w:t>Connecteurs à plaque métallique :</w:t>
      </w:r>
      <w:r>
        <w:rPr>
          <w:rStyle w:val="soitChar"/>
        </w:rPr>
        <w:t xml:space="preserve"> L’épaisseur de la tôle d’acier : </w:t>
      </w:r>
      <w:r>
        <w:rPr>
          <w:rStyle w:val="optioncarChar"/>
        </w:rPr>
        <w:t xml:space="preserve">1 mm </w:t>
      </w:r>
      <w:r>
        <w:t>(par défaut)</w:t>
      </w:r>
      <w:r>
        <w:rPr>
          <w:rStyle w:val="optioncarChar"/>
        </w:rPr>
        <w:t xml:space="preserve"> / 1,5mm / 2mm / 2,5mm / ***</w:t>
      </w:r>
      <w:r>
        <w:rPr>
          <w:rStyle w:val="soitChar"/>
        </w:rPr>
        <w:t xml:space="preserve">. Les dimensions de la plaque (longueur x largeur) sont : </w:t>
      </w:r>
      <w:r>
        <w:rPr>
          <w:rStyle w:val="optioncarChar"/>
        </w:rPr>
        <w:t>***</w:t>
      </w:r>
      <w:r>
        <w:rPr>
          <w:rStyle w:val="soitChar"/>
        </w:rPr>
        <w:t xml:space="preserve"> x </w:t>
      </w:r>
      <w:r>
        <w:rPr>
          <w:rStyle w:val="optioncarChar"/>
        </w:rPr>
        <w:t>***</w:t>
      </w:r>
      <w:r>
        <w:rPr>
          <w:rStyle w:val="soitChar"/>
        </w:rPr>
        <w:t xml:space="preserve"> mm. Le matériau constituant les plaques dentées : </w:t>
      </w:r>
      <w:r>
        <w:rPr>
          <w:rStyle w:val="optioncarChar"/>
        </w:rPr>
        <w:t>S250GD</w:t>
      </w:r>
      <w:r>
        <w:t xml:space="preserve"> (par défaut) </w:t>
      </w:r>
      <w:r>
        <w:rPr>
          <w:rStyle w:val="optioncarChar"/>
        </w:rPr>
        <w:t>/ 1.4401 / 1.4404 / ***</w:t>
      </w:r>
      <w:r>
        <w:rPr>
          <w:rStyle w:val="soitChar"/>
        </w:rPr>
        <w:t xml:space="preserve">. Ils sont réalisés en </w:t>
      </w:r>
      <w:r>
        <w:rPr>
          <w:rStyle w:val="optioncarChar"/>
        </w:rPr>
        <w:t>métal galvanisé</w:t>
      </w:r>
      <w:r>
        <w:t xml:space="preserve"> (par défaut)</w:t>
      </w:r>
      <w:r>
        <w:rPr>
          <w:rStyle w:val="optioncarChar"/>
        </w:rPr>
        <w:t> / inox / ***</w:t>
      </w:r>
      <w:r>
        <w:rPr>
          <w:rStyle w:val="soitChar"/>
        </w:rPr>
        <w:t xml:space="preserve">. Les caractéristiques des plaques dentées sont décrites dans l’article </w:t>
      </w:r>
      <w:hyperlink w:anchor="612" w:history="1">
        <w:r>
          <w:rPr>
            <w:rStyle w:val="soitChar"/>
          </w:rPr>
          <w:t>24.42.2c Connecteurs de surface - plaques dentées</w:t>
        </w:r>
      </w:hyperlink>
    </w:p>
    <w:p w14:paraId="24411995" w14:textId="77777777" w:rsidR="00DF410E" w:rsidRDefault="00CE7F43">
      <w:pPr>
        <w:ind w:left="567"/>
        <w:jc w:val="both"/>
      </w:pPr>
      <w:r>
        <w:rPr>
          <w:b/>
          <w:i/>
        </w:rPr>
        <w:t>(Soit) </w:t>
      </w:r>
    </w:p>
    <w:p w14:paraId="707F28F7" w14:textId="77777777" w:rsidR="00DF410E" w:rsidRDefault="00CE7F43">
      <w:pPr>
        <w:ind w:left="567"/>
        <w:jc w:val="both"/>
      </w:pPr>
      <w:r>
        <w:rPr>
          <w:rStyle w:val="soitChar"/>
          <w:u w:val="single"/>
        </w:rPr>
        <w:t>Ferrures :</w:t>
      </w:r>
      <w:r>
        <w:rPr>
          <w:rStyle w:val="soitChar"/>
        </w:rPr>
        <w:t xml:space="preserve"> Les ferrures standardisées sont décrites dans l’article </w:t>
      </w:r>
      <w:hyperlink w:anchor="613" w:history="1">
        <w:r>
          <w:rPr>
            <w:rStyle w:val="soitChar"/>
          </w:rPr>
          <w:t>24.42.3b Systèmes de connexion - ferrures standardisées</w:t>
        </w:r>
      </w:hyperlink>
      <w:r>
        <w:rPr>
          <w:rStyle w:val="soitChar"/>
        </w:rPr>
        <w:t xml:space="preserve">, les autres ferrures mécano-soudées sont décrites dans l’article </w:t>
      </w:r>
      <w:hyperlink w:anchor="614" w:history="1">
        <w:r>
          <w:rPr>
            <w:rStyle w:val="soitChar"/>
          </w:rPr>
          <w:t>24.42.3c Systèmes de connexion - ferrures mécano-soudées</w:t>
        </w:r>
      </w:hyperlink>
      <w:r>
        <w:rPr>
          <w:rStyle w:val="soitChar"/>
        </w:rPr>
        <w:t>.</w:t>
      </w:r>
    </w:p>
    <w:p w14:paraId="595382A4" w14:textId="77777777" w:rsidR="00DF410E" w:rsidRDefault="00CE7F43">
      <w:pPr>
        <w:ind w:left="567"/>
        <w:jc w:val="both"/>
      </w:pPr>
      <w:r>
        <w:rPr>
          <w:b/>
          <w:i/>
        </w:rPr>
        <w:t>(Soit) </w:t>
      </w:r>
    </w:p>
    <w:p w14:paraId="73C7B19B" w14:textId="77777777" w:rsidR="00DF410E" w:rsidRDefault="00CE7F43">
      <w:pPr>
        <w:ind w:left="567"/>
        <w:jc w:val="both"/>
      </w:pPr>
      <w:r>
        <w:rPr>
          <w:rStyle w:val="soitChar"/>
          <w:u w:val="single"/>
        </w:rPr>
        <w:t>Collage :</w:t>
      </w:r>
      <w:r>
        <w:rPr>
          <w:rStyle w:val="soitChar"/>
        </w:rPr>
        <w:t xml:space="preserve"> Les collages sont définis selon les assemblages dans les éléments </w:t>
      </w:r>
      <w:hyperlink w:anchor="615" w:history="1">
        <w:r>
          <w:rPr>
            <w:rStyle w:val="soitChar"/>
          </w:rPr>
          <w:t>24.43.1 Assemblages collés</w:t>
        </w:r>
      </w:hyperlink>
      <w:r>
        <w:rPr>
          <w:rStyle w:val="soitChar"/>
        </w:rPr>
        <w:t xml:space="preserve"> et suivants.</w:t>
      </w:r>
    </w:p>
    <w:p w14:paraId="4EF573F4" w14:textId="77777777" w:rsidR="00DF410E" w:rsidRDefault="00CE7F43">
      <w:pPr>
        <w:ind w:left="567"/>
        <w:jc w:val="both"/>
      </w:pPr>
      <w:r>
        <w:rPr>
          <w:b/>
          <w:i/>
        </w:rPr>
        <w:t>(Soit) </w:t>
      </w:r>
    </w:p>
    <w:p w14:paraId="396E402B" w14:textId="77777777" w:rsidR="00DF410E" w:rsidRDefault="00CE7F43">
      <w:pPr>
        <w:ind w:left="567"/>
        <w:jc w:val="both"/>
      </w:pPr>
      <w:r>
        <w:rPr>
          <w:rStyle w:val="optioncarChar"/>
        </w:rPr>
        <w:t>***</w:t>
      </w:r>
    </w:p>
    <w:p w14:paraId="55A07402" w14:textId="77777777" w:rsidR="00DF410E" w:rsidRDefault="00CE7F43">
      <w:pPr>
        <w:jc w:val="both"/>
      </w:pPr>
      <w:r>
        <w:t> </w:t>
      </w:r>
    </w:p>
    <w:p w14:paraId="078F4806" w14:textId="77777777" w:rsidR="00DF410E" w:rsidRDefault="00CE7F43">
      <w:pPr>
        <w:jc w:val="both"/>
      </w:pPr>
      <w:r>
        <w:t xml:space="preserve">Ces dispositifs complémentaires d’assemblages sont dimensionnés pour reprendre les sollicitations appliquées à l’assemblage et sont conformes à l’élément </w:t>
      </w:r>
      <w:hyperlink w:anchor="606" w:history="1">
        <w:r>
          <w:t>24.24 Charpentes en bois</w:t>
        </w:r>
      </w:hyperlink>
      <w:r>
        <w:t>.</w:t>
      </w:r>
    </w:p>
    <w:p w14:paraId="1ECAB2BF" w14:textId="77777777" w:rsidR="00DF410E" w:rsidRDefault="00CE7F43">
      <w:pPr>
        <w:jc w:val="both"/>
      </w:pPr>
      <w:r>
        <w:rPr>
          <w:b/>
          <w:u w:val="single"/>
        </w:rPr>
        <w:t>Résistance et réaction au feu :</w:t>
      </w:r>
    </w:p>
    <w:p w14:paraId="61381570" w14:textId="77777777" w:rsidR="00DF410E" w:rsidRDefault="00CE7F43">
      <w:pPr>
        <w:jc w:val="both"/>
      </w:pPr>
      <w:r>
        <w:t xml:space="preserve">La résistance au feu calculée conformément à la [NBN EN 1995-1-2] (définissant la vitesse de combustion) est de type </w:t>
      </w:r>
      <w:r>
        <w:rPr>
          <w:rStyle w:val="optioncarChar"/>
        </w:rPr>
        <w:t>R30 </w:t>
      </w:r>
      <w:r>
        <w:t>(par défaut)</w:t>
      </w:r>
      <w:r>
        <w:rPr>
          <w:rStyle w:val="optioncarChar"/>
        </w:rPr>
        <w:t xml:space="preserve"> / R60 / ***.</w:t>
      </w:r>
    </w:p>
    <w:p w14:paraId="3F9B518A" w14:textId="77777777" w:rsidR="00DF410E" w:rsidRDefault="00CE7F43">
      <w:pPr>
        <w:jc w:val="both"/>
      </w:pPr>
      <w:r>
        <w:t xml:space="preserve">La réaction au feu définie conformément à la [NBN EN 13501-1] est de type </w:t>
      </w:r>
      <w:r>
        <w:rPr>
          <w:rStyle w:val="optioncarChar"/>
        </w:rPr>
        <w:t>A1 / A2 / B / C / D</w:t>
      </w:r>
      <w:r>
        <w:t xml:space="preserve"> (par défaut) </w:t>
      </w:r>
      <w:r>
        <w:rPr>
          <w:rStyle w:val="optioncarChar"/>
        </w:rPr>
        <w:t>/ E / F</w:t>
      </w:r>
    </w:p>
    <w:p w14:paraId="4493EB88" w14:textId="77777777" w:rsidR="00DF410E" w:rsidRDefault="00CE7F43">
      <w:pPr>
        <w:pStyle w:val="pheading"/>
      </w:pPr>
      <w:r>
        <w:t>- Finitions</w:t>
      </w:r>
    </w:p>
    <w:p w14:paraId="79BF966C" w14:textId="77777777" w:rsidR="00DF410E" w:rsidRDefault="00CE7F43">
      <w:pPr>
        <w:jc w:val="both"/>
      </w:pPr>
      <w:r>
        <w:t>Les éléments industrialisés de charpente ont une durabilité </w:t>
      </w:r>
    </w:p>
    <w:p w14:paraId="45FA9B27" w14:textId="77777777" w:rsidR="00DF410E" w:rsidRDefault="00CE7F43">
      <w:pPr>
        <w:pStyle w:val="Author-eListParagraph"/>
        <w:numPr>
          <w:ilvl w:val="0"/>
          <w:numId w:val="963"/>
        </w:numPr>
      </w:pPr>
      <w:r>
        <w:t>naturelle conformément à la [NBN EN 350]</w:t>
      </w:r>
    </w:p>
    <w:p w14:paraId="3A1F12FE" w14:textId="77777777" w:rsidR="00DF410E" w:rsidRDefault="00CE7F43">
      <w:pPr>
        <w:pStyle w:val="Author-eListParagraph"/>
        <w:numPr>
          <w:ilvl w:val="0"/>
          <w:numId w:val="963"/>
        </w:numPr>
      </w:pPr>
      <w:r>
        <w:t>ou conférée par un traitement</w:t>
      </w:r>
    </w:p>
    <w:p w14:paraId="55285C5C" w14:textId="77777777" w:rsidR="00DF410E" w:rsidRDefault="00CE7F43">
      <w:pPr>
        <w:jc w:val="both"/>
      </w:pPr>
      <w:r>
        <w:t xml:space="preserve">pour répondre au moins à la classe d’emploi </w:t>
      </w:r>
      <w:r>
        <w:rPr>
          <w:rStyle w:val="optioncarChar"/>
        </w:rPr>
        <w:t xml:space="preserve">1 / 2 </w:t>
      </w:r>
      <w:r>
        <w:t>(par défaut)</w:t>
      </w:r>
      <w:r>
        <w:rPr>
          <w:rStyle w:val="optioncarChar"/>
        </w:rPr>
        <w:t xml:space="preserve"> / 3 / 4 / 5</w:t>
      </w:r>
      <w:r>
        <w:t xml:space="preserve"> de la  [NBN EN 335].</w:t>
      </w:r>
    </w:p>
    <w:p w14:paraId="086C1735" w14:textId="77777777" w:rsidR="00DF410E" w:rsidRDefault="00CE7F43">
      <w:pPr>
        <w:jc w:val="both"/>
      </w:pPr>
      <w:r>
        <w:t>Les bois de structure ayant subi un traitement de protection par imprégnation, trempage, aspersion ou badigeonnage (produit et procédé) satisfont à la fois :</w:t>
      </w:r>
    </w:p>
    <w:p w14:paraId="35C3014E" w14:textId="77777777" w:rsidR="00DF410E" w:rsidRDefault="00CE7F43">
      <w:pPr>
        <w:pStyle w:val="Author-eListParagraph"/>
        <w:numPr>
          <w:ilvl w:val="0"/>
          <w:numId w:val="964"/>
        </w:numPr>
      </w:pPr>
      <w:r>
        <w:t>à la [NBN EN 15228] et</w:t>
      </w:r>
    </w:p>
    <w:p w14:paraId="1515D7E4" w14:textId="77777777" w:rsidR="00DF410E" w:rsidRDefault="00CE7F43">
      <w:pPr>
        <w:pStyle w:val="Author-eListParagraph"/>
        <w:numPr>
          <w:ilvl w:val="0"/>
          <w:numId w:val="964"/>
        </w:numPr>
      </w:pPr>
      <w:r>
        <w:t>à la [NBN EN 351 série] ou à la [STS 04 série].</w:t>
      </w:r>
    </w:p>
    <w:p w14:paraId="02081568" w14:textId="77777777" w:rsidR="00DF410E" w:rsidRDefault="00CE7F43">
      <w:pPr>
        <w:jc w:val="both"/>
      </w:pPr>
      <w:r>
        <w:t>Les autres types de traitement répondent à des exigences similaires.</w:t>
      </w:r>
    </w:p>
    <w:p w14:paraId="0B29E684" w14:textId="77777777" w:rsidR="00DF410E" w:rsidRDefault="00CE7F43">
      <w:pPr>
        <w:jc w:val="both"/>
      </w:pPr>
      <w:r>
        <w:t>Le bois traité est accompagné d’un certificat émanant d’un organisme accrédité ou notifié.</w:t>
      </w:r>
    </w:p>
    <w:p w14:paraId="617CFE1E" w14:textId="77777777" w:rsidR="00DF410E" w:rsidRDefault="00CE7F43">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quatre</w:t>
      </w:r>
      <w:r>
        <w:t xml:space="preserve"> (par défaut)</w:t>
      </w:r>
      <w:r>
        <w:rPr>
          <w:rStyle w:val="optioncarChar"/>
        </w:rPr>
        <w:t xml:space="preserve"> / ***</w:t>
      </w:r>
      <w:r>
        <w:t xml:space="preserve"> faces.</w:t>
      </w:r>
    </w:p>
    <w:p w14:paraId="132D9D28" w14:textId="77777777" w:rsidR="00DF410E" w:rsidRDefault="00CE7F43">
      <w:pPr>
        <w:jc w:val="both"/>
      </w:pPr>
      <w:r>
        <w:t xml:space="preserve">Les coupes et entailles présentent une face nette et lisse. Tous les bois destinés à rester apparents après pose reçoivent un vernis type </w:t>
      </w:r>
      <w:r>
        <w:rPr>
          <w:rStyle w:val="optioncarChar"/>
        </w:rPr>
        <w:t>***</w:t>
      </w:r>
      <w:r>
        <w:t xml:space="preserve"> – Teinte</w:t>
      </w:r>
      <w:r>
        <w:rPr>
          <w:rStyle w:val="optioncarChar"/>
        </w:rPr>
        <w:t xml:space="preserve"> ***</w:t>
      </w:r>
      <w:r>
        <w:t xml:space="preserve">. Application en deux couches en usine avant pose sur chantier à raison de </w:t>
      </w:r>
      <w:r>
        <w:rPr>
          <w:rStyle w:val="optioncarChar"/>
        </w:rPr>
        <w:t>15 / ***</w:t>
      </w:r>
      <w:r>
        <w:t xml:space="preserve"> m²/l. Inclus toutes retouches après pose et réglage des éléments sur chantier.</w:t>
      </w:r>
    </w:p>
    <w:p w14:paraId="57F2D109" w14:textId="77777777" w:rsidR="00DF410E" w:rsidRDefault="00CE7F43">
      <w:pPr>
        <w:pStyle w:val="pheading"/>
      </w:pPr>
      <w:r>
        <w:t>EXÉCUTION / MISE EN ŒUVRE</w:t>
      </w:r>
    </w:p>
    <w:p w14:paraId="194A2761" w14:textId="77777777" w:rsidR="00DF410E" w:rsidRDefault="00CE7F43">
      <w:pPr>
        <w:pStyle w:val="pheading"/>
      </w:pPr>
      <w:r>
        <w:t>- Prescriptions générales</w:t>
      </w:r>
    </w:p>
    <w:p w14:paraId="4CD5774C" w14:textId="77777777" w:rsidR="00DF410E" w:rsidRDefault="00CE7F43">
      <w:pPr>
        <w:jc w:val="both"/>
      </w:pPr>
      <w:r>
        <w:t>Le fabricant (l’entrepreneur) soumet pour approbation les plans de fabrication, d’exécution et de montage au maître d’ouvrage et à l’auteur de projet avant d’en entamer la réalisation.</w:t>
      </w:r>
    </w:p>
    <w:p w14:paraId="344E8E41" w14:textId="77777777" w:rsidR="00DF410E" w:rsidRDefault="00CE7F43">
      <w:pPr>
        <w:jc w:val="both"/>
      </w:pPr>
      <w:r>
        <w:t>Tous les ouvrages prévus et décrits sont exécutés suivant les alignements, formes et dimensions prévus sur les plans.</w:t>
      </w:r>
    </w:p>
    <w:p w14:paraId="44B41FD1" w14:textId="77777777" w:rsidR="00DF410E" w:rsidRDefault="00CE7F43">
      <w:pPr>
        <w:jc w:val="both"/>
      </w:pPr>
      <w:r>
        <w:t>La mise en œuvre est conforme à la [STS 31].</w:t>
      </w:r>
    </w:p>
    <w:p w14:paraId="4D356459" w14:textId="77777777" w:rsidR="00DF410E" w:rsidRDefault="00CE7F43">
      <w:pPr>
        <w:jc w:val="both"/>
      </w:pPr>
      <w:r>
        <w:t xml:space="preserve">La charpente est ancrée au gros-œuvre de façon à éviter tout déplacement causé par les actions auxquelles elle est soumise. Le dimensionnement des ancrages est déterminé par calcul ou par essais. </w:t>
      </w:r>
    </w:p>
    <w:p w14:paraId="145798DB" w14:textId="77777777" w:rsidR="00DF410E" w:rsidRDefault="00CE7F43">
      <w:pPr>
        <w:jc w:val="both"/>
      </w:pPr>
      <w:r>
        <w:t xml:space="preserve"> Les organes d’ancrage sont composés de </w:t>
      </w:r>
      <w:r>
        <w:rPr>
          <w:rStyle w:val="optioncarChar"/>
        </w:rPr>
        <w:t>sabots</w:t>
      </w:r>
      <w:r>
        <w:t xml:space="preserve"> (par défaut)</w:t>
      </w:r>
      <w:r>
        <w:rPr>
          <w:rStyle w:val="optioncarChar"/>
        </w:rPr>
        <w:t> / équerres / feuillard / boulons / vis ou tire-fond / ***</w:t>
      </w:r>
      <w:r>
        <w:t>. Si la liaison au gros œuvre s’effectue par l’intermédiaire d’une sablière, celle-ci est fixée au moins tous les 1,5 m.</w:t>
      </w:r>
    </w:p>
    <w:p w14:paraId="7F8FB9F5" w14:textId="77777777" w:rsidR="00DF410E" w:rsidRDefault="00CE7F43">
      <w:pPr>
        <w:jc w:val="both"/>
      </w:pPr>
      <w:r>
        <w:t>Les pièces de chaînage sont alignées, mais un décalage égal à l’épaisseur de leur section est permis, afin de faciliter leur clouage.</w:t>
      </w:r>
    </w:p>
    <w:p w14:paraId="47DDF93E" w14:textId="77777777" w:rsidR="00DF410E" w:rsidRDefault="00CE7F43">
      <w:pPr>
        <w:jc w:val="both"/>
      </w:pPr>
      <w:r>
        <w:t>Lors du montage et jusqu’au moment de la pose du contreventement ou des aisseliers, un contreventement provisoire est installé.</w:t>
      </w:r>
    </w:p>
    <w:p w14:paraId="29AFA880" w14:textId="77777777" w:rsidR="00DF410E" w:rsidRDefault="00CE7F43">
      <w:pPr>
        <w:jc w:val="both"/>
      </w:pPr>
      <w:r>
        <w:t>Certains lots relevant des autres éléments de toiture sont réalisés avant, pendant ou après le montage de la charpente. L’entrepreneur en tient compte dans la planification de ses travaux et prend les mesures nécessaires au bon déroulement de ceux-ci en concertation avec l’auteur du projet, le coordinateur de chantier ou le maitre d’ouvrage. L'entrepreneur se reporte aux prescriptions communes pour connaître les tâches incombant à son lot. L'entrepreneur notamment, installe, gère et démonte la fourniture pendant la durée du chantier de ses propres installations de chantier et ragréer les parements dans lesquels les ancrages sont positionnés.</w:t>
      </w:r>
    </w:p>
    <w:p w14:paraId="52DFFC55" w14:textId="77777777" w:rsidR="00DF410E" w:rsidRDefault="00CE7F43">
      <w:pPr>
        <w:pStyle w:val="pheading"/>
      </w:pPr>
      <w:r>
        <w:t>DOCUMENTS DE RÉFÉRENCE COMPLÉMENTAIRES</w:t>
      </w:r>
    </w:p>
    <w:p w14:paraId="75E02DCE" w14:textId="77777777" w:rsidR="00DF410E" w:rsidRDefault="00CE7F43">
      <w:pPr>
        <w:pStyle w:val="pheading"/>
      </w:pPr>
      <w:r>
        <w:t>- Matériau</w:t>
      </w:r>
    </w:p>
    <w:p w14:paraId="344A2B60" w14:textId="77777777" w:rsidR="00DF410E" w:rsidRDefault="00CE7F43">
      <w:r>
        <w:t>[NBN EN 14081-1:2016+A1, Structures en bois - Bois de structure à section rectangulaire classé pour sa résistance - Partie 1 : Exigences générales]</w:t>
      </w:r>
    </w:p>
    <w:p w14:paraId="1C6EDF50" w14:textId="77777777" w:rsidR="00DF410E" w:rsidRDefault="00CE7F43">
      <w:r>
        <w:t>[STS 04 série, Bois et panneaux à base de bois]</w:t>
      </w:r>
    </w:p>
    <w:p w14:paraId="6479C6F1" w14:textId="77777777" w:rsidR="00DF410E" w:rsidRDefault="00CE7F43">
      <w:r>
        <w:t>[STS 31, Charpenterie]</w:t>
      </w:r>
    </w:p>
    <w:p w14:paraId="2ED20550" w14:textId="77777777" w:rsidR="00DF410E" w:rsidRDefault="00CE7F43">
      <w:r>
        <w:t>[NBN EN 1991 série, Eurocode 1 : Actions sur les structures]</w:t>
      </w:r>
    </w:p>
    <w:p w14:paraId="4A2287E8" w14:textId="77777777" w:rsidR="00DF410E" w:rsidRDefault="00CE7F43">
      <w:r>
        <w:t>[NBN EN 1995 série, Eurocode 5: Conception et calcul des structures en bois]</w:t>
      </w:r>
    </w:p>
    <w:p w14:paraId="29C4B1D0" w14:textId="77777777" w:rsidR="00DF410E" w:rsidRDefault="00CE7F43">
      <w:r>
        <w:t>[NBN EN 13501-1, Classement au feu des produits et éléments de construction - Partie 1: Classement à partir des données d'essais de réaction au feu]</w:t>
      </w:r>
    </w:p>
    <w:p w14:paraId="79E64CEE" w14:textId="77777777" w:rsidR="00DF410E" w:rsidRDefault="00CE7F43">
      <w:r>
        <w:t>[NBN EN 335, Durabilité du bois et des matériaux à base de bois - Classes d'emploi: définitions, application au bois massif et aux matériaux à base de bois]</w:t>
      </w:r>
    </w:p>
    <w:p w14:paraId="13223489" w14:textId="77777777" w:rsidR="00DF410E" w:rsidRDefault="00CE7F43">
      <w:r>
        <w:t>[STS 23, Structures en bois]</w:t>
      </w:r>
    </w:p>
    <w:p w14:paraId="224618CE" w14:textId="77777777" w:rsidR="00DF410E" w:rsidRDefault="00CE7F43">
      <w:pPr>
        <w:pStyle w:val="pheading"/>
      </w:pPr>
      <w:r>
        <w:t>- Exécution</w:t>
      </w:r>
    </w:p>
    <w:p w14:paraId="763250AD" w14:textId="77777777" w:rsidR="00DF410E" w:rsidRDefault="00CE7F43">
      <w:r>
        <w:t>[NBN EN 350, Durabilité du bois et des matériaux dérivés du bois - Méthodes d'essai et de classification de la durabilité vis-à-vis des agents biologiques du bois et des matériaux dérivés du bois]</w:t>
      </w:r>
    </w:p>
    <w:p w14:paraId="034E05BF" w14:textId="77777777" w:rsidR="00DF410E" w:rsidRDefault="00CE7F43">
      <w:r>
        <w:t>[NBN EN 335, Durabilité du bois et des matériaux à base de bois - Classes d'emploi: définitions, application au bois massif et aux matériaux à base de bois]</w:t>
      </w:r>
    </w:p>
    <w:p w14:paraId="633F1E77" w14:textId="77777777" w:rsidR="00DF410E" w:rsidRDefault="00CE7F43">
      <w:pPr>
        <w:pStyle w:val="pheading"/>
      </w:pPr>
      <w:r>
        <w:t>MESURAGE</w:t>
      </w:r>
    </w:p>
    <w:p w14:paraId="0780B046" w14:textId="77777777" w:rsidR="00DF410E" w:rsidRDefault="00CE7F43">
      <w:pPr>
        <w:pStyle w:val="pheading"/>
      </w:pPr>
      <w:r>
        <w:t>- unité de mesure:</w:t>
      </w:r>
    </w:p>
    <w:p w14:paraId="6EF72D44" w14:textId="77777777" w:rsidR="00DF410E" w:rsidRDefault="00CE7F43">
      <w:r>
        <w:rPr>
          <w:rStyle w:val="optioncarChar"/>
        </w:rPr>
        <w:t>m³</w:t>
      </w:r>
      <w:r>
        <w:t xml:space="preserve"> (par défaut) </w:t>
      </w:r>
      <w:r>
        <w:rPr>
          <w:rStyle w:val="optioncarChar"/>
        </w:rPr>
        <w:t>/ pc</w:t>
      </w:r>
    </w:p>
    <w:p w14:paraId="1B90809E" w14:textId="77777777" w:rsidR="00DF410E" w:rsidRDefault="00CE7F43">
      <w:r>
        <w:rPr>
          <w:b/>
          <w:i/>
        </w:rPr>
        <w:t>(Soit par défaut)</w:t>
      </w:r>
    </w:p>
    <w:p w14:paraId="11A2EB11" w14:textId="77777777" w:rsidR="00DF410E" w:rsidRDefault="00CE7F43">
      <w:r>
        <w:rPr>
          <w:rStyle w:val="soitChar"/>
        </w:rPr>
        <w:t>1. m³</w:t>
      </w:r>
    </w:p>
    <w:p w14:paraId="3220B176" w14:textId="77777777" w:rsidR="00DF410E" w:rsidRDefault="00CE7F43">
      <w:r>
        <w:rPr>
          <w:b/>
          <w:i/>
        </w:rPr>
        <w:t>(Soit)</w:t>
      </w:r>
    </w:p>
    <w:p w14:paraId="2B44BDE1" w14:textId="77777777" w:rsidR="00DF410E" w:rsidRDefault="00CE7F43">
      <w:r>
        <w:rPr>
          <w:rStyle w:val="soitChar"/>
        </w:rPr>
        <w:t>2. pc</w:t>
      </w:r>
    </w:p>
    <w:p w14:paraId="07353B8E" w14:textId="77777777" w:rsidR="00DF410E" w:rsidRDefault="00CE7F43">
      <w:pPr>
        <w:pStyle w:val="pheading"/>
      </w:pPr>
      <w:r>
        <w:t>- code de mesurage:</w:t>
      </w:r>
    </w:p>
    <w:p w14:paraId="203A6FC2" w14:textId="77777777" w:rsidR="00DF410E" w:rsidRDefault="00CE7F43">
      <w:pPr>
        <w:jc w:val="both"/>
      </w:pPr>
      <w:r>
        <w:t>Distinction faite suivant le type et nature de charpente (neuve et/ou de réemploi). S’il s’agit de réemploi, distinguer : avec ou sans fourniture.</w:t>
      </w:r>
    </w:p>
    <w:p w14:paraId="7CDE2FA7" w14:textId="77777777" w:rsidR="00DF410E" w:rsidRDefault="00CE7F43">
      <w:r>
        <w:rPr>
          <w:rStyle w:val="optioncarChar"/>
        </w:rPr>
        <w:t xml:space="preserve">Volume net </w:t>
      </w:r>
      <w:r>
        <w:t>(par défaut)</w:t>
      </w:r>
      <w:r>
        <w:rPr>
          <w:rStyle w:val="optioncarChar"/>
        </w:rPr>
        <w:t xml:space="preserve"> / Quantité nette</w:t>
      </w:r>
    </w:p>
    <w:p w14:paraId="72D71320" w14:textId="77777777" w:rsidR="00DF410E" w:rsidRDefault="00CE7F43">
      <w:r>
        <w:rPr>
          <w:b/>
          <w:i/>
        </w:rPr>
        <w:t>(Soit par défaut)</w:t>
      </w:r>
    </w:p>
    <w:p w14:paraId="40059D66" w14:textId="77777777" w:rsidR="00DF410E" w:rsidRDefault="00CE7F43">
      <w:r>
        <w:rPr>
          <w:rStyle w:val="soitChar"/>
          <w:u w:val="single"/>
        </w:rPr>
        <w:t>1. Volume net</w:t>
      </w:r>
      <w:r>
        <w:rPr>
          <w:rStyle w:val="soitChar"/>
        </w:rPr>
        <w:t xml:space="preserve"> de bois à mettre en œuvre.</w:t>
      </w:r>
    </w:p>
    <w:p w14:paraId="327425C0" w14:textId="77777777" w:rsidR="00DF410E" w:rsidRDefault="00CE7F43">
      <w:r>
        <w:rPr>
          <w:b/>
          <w:i/>
        </w:rPr>
        <w:t>(Soit)</w:t>
      </w:r>
    </w:p>
    <w:p w14:paraId="2CD90C78" w14:textId="77777777" w:rsidR="00DF410E" w:rsidRDefault="00CE7F43">
      <w:r>
        <w:rPr>
          <w:rStyle w:val="soitChar"/>
          <w:u w:val="single"/>
        </w:rPr>
        <w:t>2. Quantité nette</w:t>
      </w:r>
      <w:r>
        <w:rPr>
          <w:rStyle w:val="soitChar"/>
        </w:rPr>
        <w:t xml:space="preserve"> détaillée et ventilée selon le type et les dimensions.</w:t>
      </w:r>
    </w:p>
    <w:p w14:paraId="1DC029A5" w14:textId="77777777" w:rsidR="00DF410E" w:rsidRDefault="00CE7F43">
      <w:pPr>
        <w:pStyle w:val="pheading"/>
      </w:pPr>
      <w:r>
        <w:t>- nature du marché:</w:t>
      </w:r>
    </w:p>
    <w:p w14:paraId="700A4E71" w14:textId="77777777" w:rsidR="00DF410E" w:rsidRDefault="00CE7F43">
      <w:r>
        <w:t>QF</w:t>
      </w:r>
    </w:p>
    <w:p w14:paraId="56704B65" w14:textId="77777777" w:rsidR="00DF410E" w:rsidRDefault="00CE7F43">
      <w:pPr>
        <w:pStyle w:val="Author-eSectionHeading6"/>
      </w:pPr>
      <w:bookmarkStart w:id="1693" w:name="_Toc178838779"/>
      <w:r>
        <w:t>24.24.1b Charpentes tridimensionnelles en bois assemblées sur place CCTB 01.09</w:t>
      </w:r>
      <w:bookmarkEnd w:id="1693"/>
    </w:p>
    <w:p w14:paraId="2D0955C2" w14:textId="77777777" w:rsidR="00DF410E" w:rsidRDefault="00CE7F43">
      <w:pPr>
        <w:pStyle w:val="pheading"/>
      </w:pPr>
      <w:r>
        <w:t>MESURAGE</w:t>
      </w:r>
    </w:p>
    <w:p w14:paraId="5A2BB4D0" w14:textId="77777777" w:rsidR="00DF410E" w:rsidRDefault="00CE7F43">
      <w:pPr>
        <w:pStyle w:val="pheading"/>
      </w:pPr>
      <w:r>
        <w:t>- unité de mesure:</w:t>
      </w:r>
    </w:p>
    <w:p w14:paraId="59C47863" w14:textId="77777777" w:rsidR="00DF410E" w:rsidRDefault="00DF410E"/>
    <w:p w14:paraId="614B4C39" w14:textId="77777777" w:rsidR="00DF410E" w:rsidRDefault="00CE7F43">
      <w:pPr>
        <w:pStyle w:val="pheading"/>
      </w:pPr>
      <w:r>
        <w:t>- nature du marché:</w:t>
      </w:r>
    </w:p>
    <w:p w14:paraId="20B813E1" w14:textId="77777777" w:rsidR="00DF410E" w:rsidRDefault="00DF410E"/>
    <w:p w14:paraId="50DF6B2A" w14:textId="77777777" w:rsidR="00DF410E" w:rsidRDefault="00CE7F43">
      <w:pPr>
        <w:pStyle w:val="Author-eSectionHeading5"/>
      </w:pPr>
      <w:bookmarkStart w:id="1694" w:name="_Toc178838780"/>
      <w:r>
        <w:t>24.24.2 Charpentes en bois préfabriquées CCTB 01.04</w:t>
      </w:r>
      <w:bookmarkEnd w:id="1694"/>
    </w:p>
    <w:p w14:paraId="261F0E97" w14:textId="77777777" w:rsidR="00DF410E" w:rsidRDefault="00CE7F43">
      <w:pPr>
        <w:pStyle w:val="Author-eSectionHeading6"/>
      </w:pPr>
      <w:bookmarkStart w:id="1695" w:name="_Toc178838781"/>
      <w:r>
        <w:t>24.24.2a Fermettes préfabriquées à partir de planches et de connecteurs à plaques CCTB 01.11</w:t>
      </w:r>
      <w:bookmarkEnd w:id="1695"/>
    </w:p>
    <w:p w14:paraId="107F72A7" w14:textId="77777777" w:rsidR="00DF410E" w:rsidRDefault="00CE7F43">
      <w:pPr>
        <w:pStyle w:val="pheading"/>
      </w:pPr>
      <w:r>
        <w:t>DESCRIPTION</w:t>
      </w:r>
    </w:p>
    <w:p w14:paraId="045E2233" w14:textId="77777777" w:rsidR="00DF410E" w:rsidRDefault="00CE7F43">
      <w:pPr>
        <w:pStyle w:val="pheading"/>
      </w:pPr>
      <w:r>
        <w:t>- Définition / Comprend</w:t>
      </w:r>
    </w:p>
    <w:p w14:paraId="2A52B47A" w14:textId="77777777" w:rsidR="00DF410E" w:rsidRDefault="00CE7F43">
      <w:pPr>
        <w:jc w:val="both"/>
      </w:pPr>
      <w:r>
        <w:t>Il s’agit de la fourniture et la pose des éléments de charpente préfabriquée en bois.</w:t>
      </w:r>
    </w:p>
    <w:p w14:paraId="41E27DC4" w14:textId="77777777" w:rsidR="00DF410E" w:rsidRDefault="00CE7F43">
      <w:pPr>
        <w:jc w:val="both"/>
      </w:pPr>
      <w:r>
        <w:t>Les travaux comprennent notamment :</w:t>
      </w:r>
    </w:p>
    <w:p w14:paraId="28FFB30D" w14:textId="77777777" w:rsidR="00DF410E" w:rsidRDefault="00CE7F43">
      <w:pPr>
        <w:pStyle w:val="Author-eListParagraph"/>
        <w:numPr>
          <w:ilvl w:val="0"/>
          <w:numId w:val="965"/>
        </w:numPr>
      </w:pPr>
      <w:r>
        <w:t>La fourniture des documents reprenant les caractéristiques de résistance de la charpente préfabriquée et étude d’exécution;</w:t>
      </w:r>
    </w:p>
    <w:p w14:paraId="7484D44F" w14:textId="77777777" w:rsidR="00DF410E" w:rsidRDefault="00CE7F43">
      <w:pPr>
        <w:pStyle w:val="Author-eListParagraph"/>
        <w:numPr>
          <w:ilvl w:val="0"/>
          <w:numId w:val="965"/>
        </w:numPr>
      </w:pPr>
      <w:r>
        <w:t>Les installations de signalisation et de sécurité pour la pose des charpentes préfabriquées;</w:t>
      </w:r>
    </w:p>
    <w:p w14:paraId="26D1CBB1" w14:textId="77777777" w:rsidR="00DF410E" w:rsidRDefault="00CE7F43">
      <w:pPr>
        <w:pStyle w:val="Author-eListParagraph"/>
        <w:numPr>
          <w:ilvl w:val="0"/>
          <w:numId w:val="965"/>
        </w:numPr>
      </w:pPr>
      <w:r>
        <w:t>La livraison, manutention, l’assemblage, le calage et la pose des préfabriquées en bois;</w:t>
      </w:r>
    </w:p>
    <w:p w14:paraId="59801BD7" w14:textId="77777777" w:rsidR="00DF410E" w:rsidRDefault="00CE7F43">
      <w:pPr>
        <w:pStyle w:val="Author-eListParagraph"/>
        <w:numPr>
          <w:ilvl w:val="0"/>
          <w:numId w:val="965"/>
        </w:numPr>
      </w:pPr>
      <w:r>
        <w:t>La liaison mécanique (ancrages et ferrures) des charpentes préfabriquées aux gros-œuvre;</w:t>
      </w:r>
    </w:p>
    <w:p w14:paraId="22B8FF71" w14:textId="77777777" w:rsidR="00DF410E" w:rsidRDefault="00CE7F43">
      <w:pPr>
        <w:pStyle w:val="Author-eListParagraph"/>
        <w:numPr>
          <w:ilvl w:val="0"/>
          <w:numId w:val="965"/>
        </w:numPr>
      </w:pPr>
      <w:r>
        <w:t>L’étançonnement et le contreventement provisoire des éléments de charpente préfabriquée;</w:t>
      </w:r>
    </w:p>
    <w:p w14:paraId="2E2C60F4" w14:textId="77777777" w:rsidR="00DF410E" w:rsidRDefault="00CE7F43">
      <w:pPr>
        <w:pStyle w:val="Author-eListParagraph"/>
        <w:numPr>
          <w:ilvl w:val="0"/>
          <w:numId w:val="965"/>
        </w:numPr>
      </w:pPr>
      <w:r>
        <w:t>Le traitement de préservation des éléments découpés;</w:t>
      </w:r>
    </w:p>
    <w:p w14:paraId="77902E61" w14:textId="77777777" w:rsidR="00DF410E" w:rsidRDefault="00CE7F43">
      <w:pPr>
        <w:pStyle w:val="Author-eListParagraph"/>
        <w:numPr>
          <w:ilvl w:val="0"/>
          <w:numId w:val="965"/>
        </w:numPr>
      </w:pPr>
      <w:r>
        <w:t>La protection éventuelle de l’ensemble de la charpente;</w:t>
      </w:r>
    </w:p>
    <w:p w14:paraId="715032DA" w14:textId="77777777" w:rsidR="00DF410E" w:rsidRDefault="00CE7F43">
      <w:pPr>
        <w:pStyle w:val="Author-eListParagraph"/>
        <w:numPr>
          <w:ilvl w:val="0"/>
          <w:numId w:val="965"/>
        </w:numPr>
      </w:pPr>
      <w:r>
        <w:t>La fourniture des documents relatifs au dossier d’intervention ultérieur concernant la charpente et les dispositifs de raccords dans la charpente pour équipement de sécurité.</w:t>
      </w:r>
    </w:p>
    <w:p w14:paraId="2CBBB987" w14:textId="77777777" w:rsidR="00DF410E" w:rsidRDefault="00CE7F43">
      <w:pPr>
        <w:pStyle w:val="pheading"/>
      </w:pPr>
      <w:r>
        <w:t>- Localisation</w:t>
      </w:r>
    </w:p>
    <w:p w14:paraId="38C92BE9" w14:textId="77777777" w:rsidR="00DF410E" w:rsidRDefault="00CE7F43">
      <w:pPr>
        <w:jc w:val="both"/>
      </w:pPr>
      <w:r>
        <w:t xml:space="preserve">Localisation des charpentes préfabriquées : </w:t>
      </w:r>
      <w:r>
        <w:rPr>
          <w:rStyle w:val="optioncarChar"/>
        </w:rPr>
        <w:t>***</w:t>
      </w:r>
      <w:r>
        <w:t>.</w:t>
      </w:r>
    </w:p>
    <w:p w14:paraId="18A66882" w14:textId="77777777" w:rsidR="00DF410E" w:rsidRDefault="00CE7F43">
      <w:pPr>
        <w:jc w:val="both"/>
      </w:pPr>
      <w:r>
        <w:t>Voir plans et métrés détaillés.</w:t>
      </w:r>
    </w:p>
    <w:p w14:paraId="4303F50E" w14:textId="77777777" w:rsidR="00DF410E" w:rsidRDefault="00CE7F43">
      <w:pPr>
        <w:pStyle w:val="pheading"/>
      </w:pPr>
      <w:r>
        <w:t>MATÉRIAUX</w:t>
      </w:r>
    </w:p>
    <w:p w14:paraId="09DCEBE9" w14:textId="77777777" w:rsidR="00DF410E" w:rsidRDefault="00CE7F43">
      <w:pPr>
        <w:pStyle w:val="pheading"/>
      </w:pPr>
      <w:r>
        <w:t>- Caractéristiques générales</w:t>
      </w:r>
    </w:p>
    <w:p w14:paraId="7B530A9B" w14:textId="77777777" w:rsidR="00DF410E" w:rsidRDefault="00CE7F43">
      <w:pPr>
        <w:jc w:val="both"/>
      </w:pPr>
      <w:r>
        <w:t>Les fermes (ou fermettes) préfabriquées répondent aux spécifications de la [NBN EN 14250].</w:t>
      </w:r>
    </w:p>
    <w:p w14:paraId="3BCAC8A8" w14:textId="77777777" w:rsidR="00DF410E" w:rsidRDefault="00CE7F43">
      <w:pPr>
        <w:jc w:val="both"/>
      </w:pPr>
      <w:r>
        <w:t xml:space="preserve">Les tolérances dimensionnelles de l’élément de structure sont au minimum conformes à la classe de tolérance </w:t>
      </w:r>
      <w:r>
        <w:rPr>
          <w:rStyle w:val="optioncarChar"/>
        </w:rPr>
        <w:t>2</w:t>
      </w:r>
      <w:r>
        <w:t xml:space="preserve"> (par défaut)</w:t>
      </w:r>
      <w:r>
        <w:rPr>
          <w:rStyle w:val="optioncarChar"/>
        </w:rPr>
        <w:t xml:space="preserve"> / ***</w:t>
      </w:r>
      <w:r>
        <w:t xml:space="preserve"> indiquée dans la [NBN EN 336].</w:t>
      </w:r>
    </w:p>
    <w:p w14:paraId="6D80A1AE" w14:textId="77777777" w:rsidR="00DF410E" w:rsidRDefault="00CE7F43">
      <w:pPr>
        <w:jc w:val="both"/>
      </w:pPr>
      <w:r>
        <w:t>Les dimensions du bois ne sont pas inférieures à :</w:t>
      </w:r>
    </w:p>
    <w:p w14:paraId="7AC78971" w14:textId="77777777" w:rsidR="00DF410E" w:rsidRDefault="00CE7F43">
      <w:pPr>
        <w:pStyle w:val="Author-eListParagraph"/>
        <w:numPr>
          <w:ilvl w:val="0"/>
          <w:numId w:val="966"/>
        </w:numPr>
      </w:pPr>
      <w:r>
        <w:t>Epaisseur (largeur), pour tous les éléments : 35 mm ;</w:t>
      </w:r>
    </w:p>
    <w:p w14:paraId="53F0B05B" w14:textId="77777777" w:rsidR="00DF410E" w:rsidRDefault="00CE7F43">
      <w:pPr>
        <w:pStyle w:val="Author-eListParagraph"/>
        <w:numPr>
          <w:ilvl w:val="0"/>
          <w:numId w:val="966"/>
        </w:numPr>
      </w:pPr>
      <w:r>
        <w:t>Hauteur, pour les éléments externes (arbalétrier-entrait) : 68 mm ;</w:t>
      </w:r>
    </w:p>
    <w:p w14:paraId="53AA7A16" w14:textId="77777777" w:rsidR="00DF410E" w:rsidRDefault="00CE7F43">
      <w:pPr>
        <w:pStyle w:val="Author-eListParagraph"/>
        <w:numPr>
          <w:ilvl w:val="0"/>
          <w:numId w:val="966"/>
        </w:numPr>
      </w:pPr>
      <w:r>
        <w:t>Hauteur, pour les éléments intérieurs (âme ou diagonale) : 58 mm.</w:t>
      </w:r>
    </w:p>
    <w:p w14:paraId="4E1A6E77" w14:textId="77777777" w:rsidR="00DF410E" w:rsidRDefault="00CE7F43">
      <w:pPr>
        <w:jc w:val="both"/>
      </w:pPr>
      <w:r>
        <w:t>L’épaisseur effective de la rive extérieure de tout arbalétrier-entrait ne doit pas être inférieure à 35 mm.</w:t>
      </w:r>
    </w:p>
    <w:p w14:paraId="670CA837" w14:textId="77777777" w:rsidR="00DF410E" w:rsidRDefault="00CE7F43">
      <w:pPr>
        <w:jc w:val="both"/>
      </w:pPr>
      <w:r>
        <w:t xml:space="preserve">Les  éléments utilisés sont en </w:t>
      </w:r>
      <w:r>
        <w:rPr>
          <w:rStyle w:val="optioncarChar"/>
        </w:rPr>
        <w:t>bois massif résineux</w:t>
      </w:r>
      <w:r>
        <w:t xml:space="preserve"> (par défaut)</w:t>
      </w:r>
      <w:r>
        <w:rPr>
          <w:rStyle w:val="optioncarChar"/>
        </w:rPr>
        <w:t xml:space="preserve"> / en bois massif feuillu / ***</w:t>
      </w:r>
      <w:r>
        <w:t>.</w:t>
      </w:r>
    </w:p>
    <w:p w14:paraId="6B9E2FC7" w14:textId="77777777" w:rsidR="00DF410E" w:rsidRDefault="00CE7F43">
      <w:pPr>
        <w:ind w:left="567"/>
        <w:jc w:val="both"/>
      </w:pPr>
      <w:r>
        <w:rPr>
          <w:b/>
          <w:i/>
        </w:rPr>
        <w:t>(Soit par défaut) </w:t>
      </w:r>
    </w:p>
    <w:p w14:paraId="2E9BD16A" w14:textId="77777777" w:rsidR="00DF410E" w:rsidRDefault="00CE7F43">
      <w:pPr>
        <w:ind w:left="567"/>
        <w:jc w:val="both"/>
      </w:pPr>
      <w:r>
        <w:rPr>
          <w:rStyle w:val="soitChar"/>
          <w:u w:val="single"/>
        </w:rPr>
        <w:t>Bois massif résineux :</w:t>
      </w:r>
      <w:r>
        <w:rPr>
          <w:rStyle w:val="soitChar"/>
        </w:rPr>
        <w:t xml:space="preserve"> Les éléments sont en </w:t>
      </w:r>
      <w:r>
        <w:rPr>
          <w:rStyle w:val="optioncarChar"/>
        </w:rPr>
        <w:t xml:space="preserve">Epicéa </w:t>
      </w:r>
      <w:r>
        <w:t>(par défaut)</w:t>
      </w:r>
      <w:r>
        <w:rPr>
          <w:rStyle w:val="optioncarChar"/>
        </w:rPr>
        <w:t xml:space="preserve"> / Douglas / Mélèze / ***</w:t>
      </w:r>
      <w:r>
        <w:rPr>
          <w:rStyle w:val="soitChar"/>
        </w:rPr>
        <w:t xml:space="preserve"> de classe mécanique </w:t>
      </w:r>
      <w:r>
        <w:rPr>
          <w:rStyle w:val="optioncarChar"/>
        </w:rPr>
        <w:t>C18 </w:t>
      </w:r>
      <w:r>
        <w:t>(par défaut)</w:t>
      </w:r>
      <w:r>
        <w:rPr>
          <w:rStyle w:val="optioncarChar"/>
        </w:rPr>
        <w:t xml:space="preserve"> / ***</w:t>
      </w:r>
      <w:r>
        <w:rPr>
          <w:rStyle w:val="soitChar"/>
        </w:rPr>
        <w:t>définie par la [NBN EN 14081-1:2016+A1]. Ils sont exempts de défauts (nœuds non adhérents, roulures, gerçures, etc.) et ne sont pas altérés (échauffure, pourriture, etc.…). Tous les bois fournis par le présent lot sont neufs et secs (humidité maximale de mise en œuvre 20 %).</w:t>
      </w:r>
    </w:p>
    <w:p w14:paraId="2ABDAD8B" w14:textId="77777777" w:rsidR="00DF410E" w:rsidRDefault="00CE7F43">
      <w:pPr>
        <w:ind w:left="567"/>
        <w:jc w:val="both"/>
      </w:pPr>
      <w:r>
        <w:rPr>
          <w:b/>
          <w:i/>
        </w:rPr>
        <w:t>(Soit) </w:t>
      </w:r>
    </w:p>
    <w:p w14:paraId="49B785C3" w14:textId="77777777" w:rsidR="00DF410E" w:rsidRDefault="00CE7F43">
      <w:pPr>
        <w:ind w:left="567"/>
        <w:jc w:val="both"/>
      </w:pPr>
      <w:r>
        <w:rPr>
          <w:rStyle w:val="soitChar"/>
          <w:u w:val="single"/>
        </w:rPr>
        <w:t>Bois massif feuillu :</w:t>
      </w:r>
      <w:r>
        <w:rPr>
          <w:rStyle w:val="soitChar"/>
        </w:rPr>
        <w:t xml:space="preserve"> Les éléments sont en </w:t>
      </w:r>
      <w:r>
        <w:rPr>
          <w:rStyle w:val="optioncarChar"/>
        </w:rPr>
        <w:t xml:space="preserve">Chêne </w:t>
      </w:r>
      <w:r>
        <w:t xml:space="preserve">(par défaut) </w:t>
      </w:r>
      <w:r>
        <w:rPr>
          <w:rStyle w:val="optioncarChar"/>
        </w:rPr>
        <w:t>/ Hêtre / ***</w:t>
      </w:r>
      <w:r>
        <w:rPr>
          <w:rStyle w:val="soitChar"/>
        </w:rPr>
        <w:t xml:space="preserve"> de classe mécanique </w:t>
      </w:r>
      <w:r>
        <w:rPr>
          <w:rStyle w:val="optioncarChar"/>
        </w:rPr>
        <w:t>D30 / ***</w:t>
      </w:r>
      <w:r>
        <w:rPr>
          <w:rStyle w:val="soitChar"/>
        </w:rPr>
        <w:t>. Ils sont exempts de défauts (nœuds non adhérents, roulures, gerçures, etc.) et ne sont pas altérés (échauffure, pourriture, etc.…). Tous les bois fournis par le présent lot sont neufs et secs (humidité maximale de mise en œuvre 20 %).</w:t>
      </w:r>
    </w:p>
    <w:p w14:paraId="209362A2" w14:textId="77777777" w:rsidR="00DF410E" w:rsidRDefault="00CE7F43">
      <w:pPr>
        <w:ind w:left="567"/>
        <w:jc w:val="both"/>
      </w:pPr>
      <w:r>
        <w:rPr>
          <w:b/>
          <w:i/>
        </w:rPr>
        <w:t>(Soit) </w:t>
      </w:r>
    </w:p>
    <w:p w14:paraId="513B9DB1" w14:textId="77777777" w:rsidR="00DF410E" w:rsidRDefault="00CE7F43">
      <w:pPr>
        <w:ind w:left="567"/>
        <w:jc w:val="both"/>
      </w:pPr>
      <w:r>
        <w:rPr>
          <w:rStyle w:val="optioncarChar"/>
        </w:rPr>
        <w:t>***</w:t>
      </w:r>
    </w:p>
    <w:p w14:paraId="771D7C05" w14:textId="77777777" w:rsidR="00DF410E" w:rsidRDefault="00DF410E">
      <w:pPr>
        <w:ind w:left="567"/>
        <w:jc w:val="both"/>
      </w:pPr>
    </w:p>
    <w:p w14:paraId="412BBB29" w14:textId="77777777" w:rsidR="00DF410E" w:rsidRDefault="00CE7F43">
      <w:pPr>
        <w:jc w:val="both"/>
      </w:pPr>
      <w:r>
        <w:t xml:space="preserve">La forme de la charpente définies dans la [NF DTU 31.3] est de type </w:t>
      </w:r>
      <w:r>
        <w:rPr>
          <w:rStyle w:val="optioncarChar"/>
        </w:rPr>
        <w:t>fermette en E / fermette en W / fermette en M / fermette monopente / fermette à faux entrait / fermette à entrait retroussé</w:t>
      </w:r>
      <w:r>
        <w:t xml:space="preserve"> (par défaut) </w:t>
      </w:r>
      <w:r>
        <w:rPr>
          <w:rStyle w:val="optioncarChar"/>
        </w:rPr>
        <w:t>/ ***</w:t>
      </w:r>
      <w:r>
        <w:t>.</w:t>
      </w:r>
    </w:p>
    <w:p w14:paraId="45B7EABD" w14:textId="77777777" w:rsidR="00DF410E" w:rsidRDefault="00CE7F43">
      <w:pPr>
        <w:jc w:val="both"/>
      </w:pPr>
      <w:r>
        <w:t xml:space="preserve">La charpente est conforme aux plans détaillés fournis par le maitre d’ouvrage. L’entre-distance des fermettes est fixée à </w:t>
      </w:r>
      <w:r>
        <w:rPr>
          <w:rStyle w:val="optioncarChar"/>
        </w:rPr>
        <w:t>60 </w:t>
      </w:r>
      <w:r>
        <w:t>(par défaut)</w:t>
      </w:r>
      <w:r>
        <w:rPr>
          <w:rStyle w:val="optioncarChar"/>
        </w:rPr>
        <w:t xml:space="preserve"> / 45 / ***</w:t>
      </w:r>
      <w:r>
        <w:t xml:space="preserve"> cm.</w:t>
      </w:r>
    </w:p>
    <w:p w14:paraId="3BB51C24" w14:textId="77777777" w:rsidR="00DF410E" w:rsidRDefault="00CE7F43">
      <w:pPr>
        <w:jc w:val="both"/>
      </w:pPr>
      <w:r>
        <w:t> </w:t>
      </w:r>
    </w:p>
    <w:p w14:paraId="2E0575DC" w14:textId="77777777" w:rsidR="00DF410E" w:rsidRDefault="00CE7F43">
      <w:pPr>
        <w:jc w:val="both"/>
      </w:pPr>
      <w:r>
        <w:t>La présence de nœuds adhérents est admise dans la surface d’ancrage de l’élément de structure préfabriqué en bois à condition que les parties saillantes de la plaque soient correctement enfoncées sans déformation apparente des connecteurs et sans fente dans le bois en dehors du nœud.</w:t>
      </w:r>
    </w:p>
    <w:p w14:paraId="2287382A" w14:textId="77777777" w:rsidR="00DF410E" w:rsidRDefault="00CE7F43">
      <w:pPr>
        <w:jc w:val="both"/>
      </w:pPr>
      <w:r>
        <w:t>La présence de nœuds non adhérents n’est permise que s’ils sont pris en compte dans les calculs de résistance.</w:t>
      </w:r>
    </w:p>
    <w:p w14:paraId="3882626C" w14:textId="77777777" w:rsidR="00DF410E" w:rsidRDefault="00CE7F43">
      <w:pPr>
        <w:jc w:val="both"/>
      </w:pPr>
      <w:r>
        <w:t>Les dimensions des sections de bois des éléments de charpentes permettent de répondre aux performances de résistance mécanique conformes à la [STS 31] et aux [NBN EN 1991 série] et [NBN EN 1995 série] ainsi qu’aux exigences de résistance au feu définie dans cet article.</w:t>
      </w:r>
    </w:p>
    <w:p w14:paraId="7D06A7CA" w14:textId="77777777" w:rsidR="00DF410E" w:rsidRDefault="00CE7F43">
      <w:pPr>
        <w:jc w:val="both"/>
      </w:pPr>
      <w:r>
        <w:t xml:space="preserve">La note de calcul est fournie </w:t>
      </w:r>
      <w:r>
        <w:rPr>
          <w:rStyle w:val="optioncarChar"/>
        </w:rPr>
        <w:t>par le maitre d’ouvrage / par l’entreprise en charge du lot</w:t>
      </w:r>
      <w:r>
        <w:t xml:space="preserve"> (par défaut)</w:t>
      </w:r>
      <w:r>
        <w:rPr>
          <w:rStyle w:val="optioncarChar"/>
        </w:rPr>
        <w:t xml:space="preserve"> / ***</w:t>
      </w:r>
      <w:r>
        <w:t>.</w:t>
      </w:r>
    </w:p>
    <w:p w14:paraId="035FF96E" w14:textId="77777777" w:rsidR="00DF410E" w:rsidRDefault="00CE7F43">
      <w:pPr>
        <w:jc w:val="both"/>
      </w:pPr>
      <w:r>
        <w:rPr>
          <w:b/>
          <w:u w:val="single"/>
        </w:rPr>
        <w:t>Assemblages</w:t>
      </w:r>
    </w:p>
    <w:p w14:paraId="13F0ACFB" w14:textId="77777777" w:rsidR="00DF410E" w:rsidRDefault="00CE7F43">
      <w:pPr>
        <w:jc w:val="both"/>
      </w:pPr>
      <w:r>
        <w:t xml:space="preserve">Les assemblages sont maintenus par </w:t>
      </w:r>
      <w:r>
        <w:rPr>
          <w:rStyle w:val="optioncarChar"/>
        </w:rPr>
        <w:t>connecteurs à plaque métallique</w:t>
      </w:r>
      <w:r>
        <w:t xml:space="preserve"> (par défaut)</w:t>
      </w:r>
      <w:r>
        <w:rPr>
          <w:rStyle w:val="optioncarChar"/>
        </w:rPr>
        <w:t xml:space="preserve"> / ***</w:t>
      </w:r>
    </w:p>
    <w:p w14:paraId="1328DF9F" w14:textId="77777777" w:rsidR="00DF410E" w:rsidRDefault="00CE7F43">
      <w:pPr>
        <w:jc w:val="both"/>
      </w:pPr>
      <w:r>
        <w:t>Le défaut de positionnement des connecteurs utilisés pour les éléments de structure préfabriqués en bois ne dépasse pas le niveau indiqué lors de la conception ou 10 mm dans n’importe quelle direction, par rapport à la position prévue lors de la conception. Les parties saillantes du connecteur sont enfoncées perpendiculairement à la surface d’appui du bois. Chaque assemblage est réalisé de telle manière que les connecteurs à plaque et la surface de bois à assembler soient en contact direct (l’écartement ne dépasse pas 1 mm sur moins de 25 % de la surface d’assemblage.</w:t>
      </w:r>
    </w:p>
    <w:p w14:paraId="22178059" w14:textId="77777777" w:rsidR="00DF410E" w:rsidRDefault="00CE7F43">
      <w:pPr>
        <w:jc w:val="both"/>
      </w:pPr>
      <w:r>
        <w:t>Les connecteurs utilisés pour des éléments préfabriqués de structure en bois sont conformes à la [NBN EN 14545].</w:t>
      </w:r>
    </w:p>
    <w:p w14:paraId="7AA3A8E6" w14:textId="77777777" w:rsidR="00DF410E" w:rsidRDefault="00CE7F43">
      <w:pPr>
        <w:jc w:val="both"/>
      </w:pPr>
      <w:r>
        <w:t xml:space="preserve">Le traitement des connecteurs contre la corrosion est compatible avec le produit de préservation utilisé. Ces dispositifs complémentaires d’assemblages sont dimensionnés pour reprendre les sollicitations appliquées à l’assemblage et sont conformes à l’élément </w:t>
      </w:r>
      <w:hyperlink w:anchor="616" w:history="1">
        <w:r>
          <w:t>24.23 Systèmes de toiture en bois</w:t>
        </w:r>
      </w:hyperlink>
      <w:r>
        <w:t>.</w:t>
      </w:r>
    </w:p>
    <w:p w14:paraId="73938633" w14:textId="77777777" w:rsidR="00DF410E" w:rsidRDefault="00CE7F43">
      <w:pPr>
        <w:jc w:val="both"/>
      </w:pPr>
      <w:r>
        <w:rPr>
          <w:b/>
          <w:u w:val="single"/>
        </w:rPr>
        <w:t>Résistance et réaction au feu</w:t>
      </w:r>
    </w:p>
    <w:p w14:paraId="7D903C19" w14:textId="77777777" w:rsidR="00DF410E" w:rsidRDefault="00CE7F43">
      <w:pPr>
        <w:jc w:val="both"/>
      </w:pPr>
      <w:r>
        <w:t xml:space="preserve">La résistance au feu calculée conformément à la [NBN EN 1995-1-2] (définissant la vitesse de combustion) est de type </w:t>
      </w:r>
      <w:r>
        <w:rPr>
          <w:rStyle w:val="optioncarChar"/>
        </w:rPr>
        <w:t>R30 / R60 / ***.</w:t>
      </w:r>
    </w:p>
    <w:p w14:paraId="215E88BD" w14:textId="77777777" w:rsidR="00DF410E" w:rsidRDefault="00CE7F43">
      <w:pPr>
        <w:jc w:val="both"/>
      </w:pPr>
      <w:r>
        <w:t xml:space="preserve">La réaction au feu définie conformément à la [NBN EN 13501-1] est de type </w:t>
      </w:r>
      <w:r>
        <w:rPr>
          <w:rStyle w:val="optioncarChar"/>
        </w:rPr>
        <w:t xml:space="preserve">A1 / A2 / B / C / D </w:t>
      </w:r>
      <w:r>
        <w:t>(par défaut)</w:t>
      </w:r>
      <w:r>
        <w:rPr>
          <w:rStyle w:val="optioncarChar"/>
        </w:rPr>
        <w:t xml:space="preserve"> / E / F</w:t>
      </w:r>
      <w:r>
        <w:t>.</w:t>
      </w:r>
    </w:p>
    <w:p w14:paraId="42B085AA" w14:textId="77777777" w:rsidR="00DF410E" w:rsidRDefault="00CE7F43">
      <w:pPr>
        <w:pStyle w:val="pheading"/>
      </w:pPr>
      <w:r>
        <w:t>- Finitions</w:t>
      </w:r>
    </w:p>
    <w:p w14:paraId="09049DC8" w14:textId="77777777" w:rsidR="00DF410E" w:rsidRDefault="00CE7F43">
      <w:pPr>
        <w:jc w:val="both"/>
      </w:pPr>
      <w:r>
        <w:t>Les éléments industrialisés de charpente ont une durabilité</w:t>
      </w:r>
    </w:p>
    <w:p w14:paraId="1125BF07" w14:textId="77777777" w:rsidR="00DF410E" w:rsidRDefault="00CE7F43">
      <w:pPr>
        <w:pStyle w:val="Author-eListParagraph"/>
        <w:numPr>
          <w:ilvl w:val="0"/>
          <w:numId w:val="967"/>
        </w:numPr>
        <w:jc w:val="both"/>
      </w:pPr>
      <w:r>
        <w:t>naturelle conformément à la [NBN EN 350]</w:t>
      </w:r>
    </w:p>
    <w:p w14:paraId="701E19F3" w14:textId="77777777" w:rsidR="00DF410E" w:rsidRDefault="00CE7F43">
      <w:pPr>
        <w:pStyle w:val="Author-eListParagraph"/>
        <w:numPr>
          <w:ilvl w:val="0"/>
          <w:numId w:val="967"/>
        </w:numPr>
        <w:jc w:val="both"/>
      </w:pPr>
      <w:r>
        <w:t>ou conférée par un traitement</w:t>
      </w:r>
    </w:p>
    <w:p w14:paraId="4DD67823" w14:textId="77777777" w:rsidR="00DF410E" w:rsidRDefault="00CE7F43">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37CBB01B" w14:textId="77777777" w:rsidR="00DF410E" w:rsidRDefault="00CE7F43">
      <w:pPr>
        <w:jc w:val="both"/>
      </w:pPr>
      <w:r>
        <w:t>Les bois de structure ayant subi un traitement de protection par imprégnation, trempage, aspersion ou badigeonnage (produit et procédé) satisfont à la fois:</w:t>
      </w:r>
    </w:p>
    <w:p w14:paraId="1C2FCA09" w14:textId="77777777" w:rsidR="00DF410E" w:rsidRDefault="00CE7F43">
      <w:pPr>
        <w:pStyle w:val="Author-eListParagraph"/>
        <w:numPr>
          <w:ilvl w:val="0"/>
          <w:numId w:val="968"/>
        </w:numPr>
        <w:jc w:val="both"/>
      </w:pPr>
      <w:r>
        <w:t>à la [NBN EN 15228] et</w:t>
      </w:r>
    </w:p>
    <w:p w14:paraId="70668705" w14:textId="77777777" w:rsidR="00DF410E" w:rsidRDefault="00CE7F43">
      <w:pPr>
        <w:pStyle w:val="Author-eListParagraph"/>
        <w:numPr>
          <w:ilvl w:val="0"/>
          <w:numId w:val="968"/>
        </w:numPr>
        <w:jc w:val="both"/>
      </w:pPr>
      <w:r>
        <w:t>à la [NBN EN 351 série] ou à la [STS 04 série].</w:t>
      </w:r>
    </w:p>
    <w:p w14:paraId="2856BD29" w14:textId="77777777" w:rsidR="00DF410E" w:rsidRDefault="00CE7F43">
      <w:pPr>
        <w:jc w:val="both"/>
      </w:pPr>
      <w:r>
        <w:t>Les autres types de traitement répondent à des exigences similaires.</w:t>
      </w:r>
    </w:p>
    <w:p w14:paraId="22A38891" w14:textId="77777777" w:rsidR="00DF410E" w:rsidRDefault="00CE7F43">
      <w:pPr>
        <w:jc w:val="both"/>
      </w:pPr>
      <w:r>
        <w:t>Le bois traité est accompagné d’un certificat émanant d’un organisme accrédité ou notifié.</w:t>
      </w:r>
    </w:p>
    <w:p w14:paraId="76BADEC4" w14:textId="77777777" w:rsidR="00DF410E" w:rsidRDefault="00CE7F43">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 xml:space="preserve">quatre </w:t>
      </w:r>
      <w:r>
        <w:t>(par défaut)</w:t>
      </w:r>
      <w:r>
        <w:rPr>
          <w:rStyle w:val="optioncarChar"/>
        </w:rPr>
        <w:t xml:space="preserve"> / ***</w:t>
      </w:r>
      <w:r>
        <w:t xml:space="preserve"> faces.</w:t>
      </w:r>
    </w:p>
    <w:p w14:paraId="7A00F8F7" w14:textId="77777777" w:rsidR="00DF410E" w:rsidRDefault="00CE7F43">
      <w:pPr>
        <w:jc w:val="both"/>
      </w:pPr>
      <w:r>
        <w:t xml:space="preserve">Les coupes et entailles présentent une face nette et lisse. Tous les bois destinés à rester apparents après pose reçoivent un vernis type </w:t>
      </w:r>
      <w:r>
        <w:rPr>
          <w:rStyle w:val="optioncarChar"/>
        </w:rPr>
        <w:t>***</w:t>
      </w:r>
      <w:r>
        <w:t xml:space="preserve"> – Teinte </w:t>
      </w:r>
      <w:r>
        <w:rPr>
          <w:rStyle w:val="optioncarChar"/>
        </w:rPr>
        <w:t>***</w:t>
      </w:r>
      <w:r>
        <w:t xml:space="preserve">. Application en deux couches en usine avant pose sur chantier à raison de </w:t>
      </w:r>
      <w:r>
        <w:rPr>
          <w:rStyle w:val="optioncarChar"/>
        </w:rPr>
        <w:t>15 </w:t>
      </w:r>
      <w:r>
        <w:t>(par défaut)</w:t>
      </w:r>
      <w:r>
        <w:rPr>
          <w:rStyle w:val="optioncarChar"/>
        </w:rPr>
        <w:t xml:space="preserve"> / ***</w:t>
      </w:r>
      <w:r>
        <w:t xml:space="preserve"> m²/l. Inclus toutes retouches après pose et réglage des éléments sur chantier.</w:t>
      </w:r>
    </w:p>
    <w:p w14:paraId="125C0E00" w14:textId="77777777" w:rsidR="00DF410E" w:rsidRDefault="00CE7F43">
      <w:pPr>
        <w:pStyle w:val="pheading"/>
      </w:pPr>
      <w:r>
        <w:t>EXÉCUTION / MISE EN ŒUVRE</w:t>
      </w:r>
    </w:p>
    <w:p w14:paraId="7091C99F" w14:textId="77777777" w:rsidR="00DF410E" w:rsidRDefault="00CE7F43">
      <w:pPr>
        <w:pStyle w:val="pheading"/>
      </w:pPr>
      <w:r>
        <w:t>- Prescriptions générales</w:t>
      </w:r>
    </w:p>
    <w:p w14:paraId="23F0DEBC" w14:textId="77777777" w:rsidR="00DF410E" w:rsidRDefault="00CE7F43">
      <w:pPr>
        <w:jc w:val="both"/>
      </w:pPr>
      <w:r>
        <w:t>Le fabricant (l’entrepreneur) soumet pour approbation les plans de fabrication, d’exécution et de montage au maître d’ouvrage et à l’auteur de projet avant d’en entamer la réalisation.</w:t>
      </w:r>
    </w:p>
    <w:p w14:paraId="6A9DA371" w14:textId="77777777" w:rsidR="00DF410E" w:rsidRDefault="00CE7F43">
      <w:pPr>
        <w:jc w:val="both"/>
      </w:pPr>
      <w:r>
        <w:t>Tous les ouvrages prévus et décrits sont exécutés suivant les alignements, formes et dimensions prévus sur les plans.</w:t>
      </w:r>
    </w:p>
    <w:p w14:paraId="3C941B64" w14:textId="77777777" w:rsidR="00DF410E" w:rsidRDefault="00CE7F43">
      <w:pPr>
        <w:jc w:val="both"/>
      </w:pPr>
      <w:r>
        <w:t>La mise en œuvre est conforme à la [STS 31].</w:t>
      </w:r>
    </w:p>
    <w:p w14:paraId="18EB900A" w14:textId="77777777" w:rsidR="00DF410E" w:rsidRDefault="00CE7F43">
      <w:pPr>
        <w:jc w:val="both"/>
      </w:pPr>
      <w:r>
        <w:t>La tolérance de placement entre trois éléments de charpente successifs, chacun disposé à une distance a de l’autre, ne dépasse pas la plus grande des deux valeurs suivantes : entre-distance des éléments a/200 ou 5mm. La différence de niveau entre éléments sur une distance D est contenue dans une fourchette ± 10+D/2 mm où D représente la distance en m. L’écart maximal par rapport à la verticale pour l’ensemble de l’ouvrage est de 5mm par m de hauteur, et ne dépasse pas 50 mm. Si le bois se trouve en contact direct avec les maçonneries, béton et mortier, il reçoit un traitement de préservation.</w:t>
      </w:r>
    </w:p>
    <w:p w14:paraId="200198C4" w14:textId="77777777" w:rsidR="00DF410E" w:rsidRDefault="00CE7F43">
      <w:pPr>
        <w:jc w:val="both"/>
      </w:pPr>
      <w:r>
        <w:t>La charpente est ancrée au gros œuvre de façon à éviter tout déplacement causé par les actions auxquelles elle est soumise. Le dimensionnement des ancrages est déterminé par calcul ou par essais. Les organes d’ancrage sont composés de</w:t>
      </w:r>
      <w:r>
        <w:rPr>
          <w:rStyle w:val="optioncarChar"/>
        </w:rPr>
        <w:t xml:space="preserve"> sabots </w:t>
      </w:r>
      <w:r>
        <w:t>(par défaut)</w:t>
      </w:r>
      <w:r>
        <w:rPr>
          <w:rStyle w:val="optioncarChar"/>
        </w:rPr>
        <w:t> / équerres / feuillard / boulons / vis ou tire-fond / ***</w:t>
      </w:r>
      <w:r>
        <w:t>. Si la liaison au gros œuvre s’effectue par l’intermédiaire d’une sablière, celle-ci est fixée au moins tous les 1,5 m.</w:t>
      </w:r>
    </w:p>
    <w:p w14:paraId="784E5577" w14:textId="77777777" w:rsidR="00DF410E" w:rsidRDefault="00CE7F43">
      <w:pPr>
        <w:jc w:val="both"/>
      </w:pPr>
      <w:r>
        <w:t>Les pièces de chaînage sont alignées, mais un décalage égal à l’épaisseur de leur section est permis, afin de faciliter leur clouage.</w:t>
      </w:r>
    </w:p>
    <w:p w14:paraId="7031B442" w14:textId="77777777" w:rsidR="00DF410E" w:rsidRDefault="00CE7F43">
      <w:pPr>
        <w:jc w:val="both"/>
      </w:pPr>
      <w:r>
        <w:t>Lors du montage et jusqu’à la pose du contreventement ou des aisseliers, un contreventement provisoire est installé.</w:t>
      </w:r>
    </w:p>
    <w:p w14:paraId="3DDD35E6" w14:textId="77777777" w:rsidR="00DF410E" w:rsidRDefault="00CE7F43">
      <w:pPr>
        <w:jc w:val="both"/>
      </w:pPr>
      <w:r>
        <w:t>Certains lots relevant des autres éléments de toiture sont réalisés avant, pendant ou après le montage de la charpente. L’entreprise en tient compte dans la planification de ses travaux et prend les mesures nécessaires au bon déroulement de ceux-ci en concertation avec l’auteur de projet, le coordinateur de chantier et le maitre d’ouvrage. L'entreprise se reporte aux prescriptions communes pour connaître les tâches incombant à son lot. L'entreprise doit, notamment, installer, gérer et démonter la fourniture pendant la durée du chantier de ses propres installations de chantier et ragréer les parements dans lesquels les ancrages sont positionnés</w:t>
      </w:r>
    </w:p>
    <w:p w14:paraId="6A697E03" w14:textId="77777777" w:rsidR="00DF410E" w:rsidRDefault="00CE7F43">
      <w:pPr>
        <w:pStyle w:val="pheading"/>
      </w:pPr>
      <w:r>
        <w:t>DOCUMENTS DE RÉFÉRENCE COMPLÉMENTAIRES</w:t>
      </w:r>
    </w:p>
    <w:p w14:paraId="6C14218A" w14:textId="77777777" w:rsidR="00DF410E" w:rsidRDefault="00CE7F43">
      <w:pPr>
        <w:pStyle w:val="pheading"/>
      </w:pPr>
      <w:r>
        <w:t>- Matériau</w:t>
      </w:r>
    </w:p>
    <w:p w14:paraId="5B578CEA" w14:textId="77777777" w:rsidR="00DF410E" w:rsidRDefault="00CE7F43">
      <w:r>
        <w:t>[NBN EN 14250, Structure en bois - Exigences de produit relatives aux éléments de structures préfabriqués utilisant des connecteurs à plaque métallique emboutie]</w:t>
      </w:r>
    </w:p>
    <w:p w14:paraId="48C5C87F" w14:textId="77777777" w:rsidR="00DF410E" w:rsidRDefault="00CE7F43">
      <w:r>
        <w:t>[NBN EN 14081-1:2016+A1, Structures en bois - Bois de structure à section rectangulaire classé pour sa résistance - Partie 1 : Exigences générales]</w:t>
      </w:r>
    </w:p>
    <w:p w14:paraId="66A981A8" w14:textId="77777777" w:rsidR="00DF410E" w:rsidRDefault="00CE7F43">
      <w:r>
        <w:t>[STS 04 série, Bois et panneaux à base de bois]</w:t>
      </w:r>
    </w:p>
    <w:p w14:paraId="0FDFFBDA" w14:textId="77777777" w:rsidR="00DF410E" w:rsidRDefault="00CE7F43">
      <w:r>
        <w:t>[STS 31, Charpenterie]</w:t>
      </w:r>
    </w:p>
    <w:p w14:paraId="1ECD8A4D" w14:textId="77777777" w:rsidR="00DF410E" w:rsidRDefault="00CE7F43">
      <w:r>
        <w:t>[NBN EN 1991 série, Eurocode 1 : Actions sur les structures]</w:t>
      </w:r>
    </w:p>
    <w:p w14:paraId="4E3F76FA" w14:textId="77777777" w:rsidR="00DF410E" w:rsidRDefault="00CE7F43">
      <w:r>
        <w:t>[NBN EN 1995 série, Eurocode 5: Conception et calcul des structures en bois]</w:t>
      </w:r>
    </w:p>
    <w:p w14:paraId="73C427D7" w14:textId="77777777" w:rsidR="00DF410E" w:rsidRDefault="00CE7F43">
      <w:r>
        <w:t>[NBN EN 13501-1, Classement au feu des produits et éléments de construction - Partie 1: Classement à partir des données d'essais de réaction au feu]</w:t>
      </w:r>
    </w:p>
    <w:p w14:paraId="473946D6" w14:textId="77777777" w:rsidR="00DF410E" w:rsidRDefault="00CE7F43">
      <w:r>
        <w:t>[NBN EN 335, Durabilité du bois et des matériaux à base de bois - Classes d'emploi: définitions, application au bois massif et aux matériaux à base de bois]</w:t>
      </w:r>
    </w:p>
    <w:p w14:paraId="7B5F5096" w14:textId="77777777" w:rsidR="00DF410E" w:rsidRDefault="00CE7F43">
      <w:r>
        <w:t>[STS 23, Structures en bois]</w:t>
      </w:r>
    </w:p>
    <w:p w14:paraId="12A38A53" w14:textId="77777777" w:rsidR="00DF410E" w:rsidRDefault="00CE7F43">
      <w:r>
        <w:t>[NF DTU 31.3, Travaux de bâtiment - Charpentes en bois assemblées par connecteurs métalliques ou goussets - Partie 1-1 : Cahier des clauses techniques types (CCT) - Partie 1-2 : critères généraux de choix des matériaux (CGM) - Partie 2 : cahier des clauses administratives spéciales types (CCS) - Partie 3 : règles de conception]</w:t>
      </w:r>
    </w:p>
    <w:p w14:paraId="26FE4122" w14:textId="77777777" w:rsidR="00DF410E" w:rsidRDefault="00CE7F43">
      <w:pPr>
        <w:pStyle w:val="pheading"/>
      </w:pPr>
      <w:r>
        <w:t>MESURAGE</w:t>
      </w:r>
    </w:p>
    <w:p w14:paraId="03158AEC" w14:textId="77777777" w:rsidR="00DF410E" w:rsidRDefault="00CE7F43">
      <w:pPr>
        <w:pStyle w:val="pheading"/>
      </w:pPr>
      <w:r>
        <w:t>- unité de mesure:</w:t>
      </w:r>
    </w:p>
    <w:p w14:paraId="6C7F43D8" w14:textId="77777777" w:rsidR="00DF410E" w:rsidRDefault="00CE7F43">
      <w:r>
        <w:rPr>
          <w:rStyle w:val="optioncarChar"/>
        </w:rPr>
        <w:t xml:space="preserve">m³ </w:t>
      </w:r>
      <w:r>
        <w:t xml:space="preserve">(par défaut) </w:t>
      </w:r>
      <w:r>
        <w:rPr>
          <w:rStyle w:val="optioncarChar"/>
        </w:rPr>
        <w:t>/ pc</w:t>
      </w:r>
    </w:p>
    <w:p w14:paraId="695A9394" w14:textId="77777777" w:rsidR="00DF410E" w:rsidRDefault="00CE7F43">
      <w:r>
        <w:rPr>
          <w:b/>
          <w:i/>
        </w:rPr>
        <w:t>(Soit par défaut)</w:t>
      </w:r>
    </w:p>
    <w:p w14:paraId="52DC8B14" w14:textId="77777777" w:rsidR="00DF410E" w:rsidRDefault="00CE7F43">
      <w:r>
        <w:rPr>
          <w:rStyle w:val="soitChar"/>
        </w:rPr>
        <w:t>1. m³</w:t>
      </w:r>
    </w:p>
    <w:p w14:paraId="71D050D5" w14:textId="77777777" w:rsidR="00DF410E" w:rsidRDefault="00CE7F43">
      <w:r>
        <w:rPr>
          <w:b/>
          <w:i/>
        </w:rPr>
        <w:t>(Soit)</w:t>
      </w:r>
    </w:p>
    <w:p w14:paraId="5FBA0206" w14:textId="77777777" w:rsidR="00DF410E" w:rsidRDefault="00CE7F43">
      <w:r>
        <w:rPr>
          <w:rStyle w:val="soitChar"/>
        </w:rPr>
        <w:t>2. pc</w:t>
      </w:r>
    </w:p>
    <w:p w14:paraId="7DEC89C0" w14:textId="77777777" w:rsidR="00DF410E" w:rsidRDefault="00CE7F43">
      <w:pPr>
        <w:pStyle w:val="pheading"/>
      </w:pPr>
      <w:r>
        <w:t>- code de mesurage:</w:t>
      </w:r>
    </w:p>
    <w:p w14:paraId="766D8854" w14:textId="77777777" w:rsidR="00DF410E" w:rsidRDefault="00CE7F43">
      <w:r>
        <w:rPr>
          <w:rStyle w:val="optioncarChar"/>
        </w:rPr>
        <w:t xml:space="preserve">Volume net </w:t>
      </w:r>
      <w:r>
        <w:t>(par défaut)</w:t>
      </w:r>
      <w:r>
        <w:rPr>
          <w:rStyle w:val="optioncarChar"/>
        </w:rPr>
        <w:t xml:space="preserve"> / Quantité nette</w:t>
      </w:r>
    </w:p>
    <w:p w14:paraId="6313E8D6" w14:textId="77777777" w:rsidR="00DF410E" w:rsidRDefault="00CE7F43">
      <w:r>
        <w:rPr>
          <w:b/>
          <w:i/>
        </w:rPr>
        <w:t>(Soit par défaut)</w:t>
      </w:r>
    </w:p>
    <w:p w14:paraId="0DD8505B" w14:textId="77777777" w:rsidR="00DF410E" w:rsidRDefault="00CE7F43">
      <w:r>
        <w:rPr>
          <w:rStyle w:val="soitChar"/>
          <w:u w:val="single"/>
        </w:rPr>
        <w:t>1. Volume net</w:t>
      </w:r>
      <w:r>
        <w:rPr>
          <w:rStyle w:val="soitChar"/>
        </w:rPr>
        <w:t xml:space="preserve"> de bois à mettre en œuvre.</w:t>
      </w:r>
    </w:p>
    <w:p w14:paraId="3E8F7B24" w14:textId="77777777" w:rsidR="00DF410E" w:rsidRDefault="00CE7F43">
      <w:r>
        <w:rPr>
          <w:b/>
          <w:i/>
        </w:rPr>
        <w:t>(Soit)</w:t>
      </w:r>
    </w:p>
    <w:p w14:paraId="2173E3E1" w14:textId="77777777" w:rsidR="00DF410E" w:rsidRDefault="00CE7F43">
      <w:r>
        <w:rPr>
          <w:rStyle w:val="soitChar"/>
          <w:u w:val="single"/>
        </w:rPr>
        <w:t>2. Quantité nette</w:t>
      </w:r>
      <w:r>
        <w:rPr>
          <w:rStyle w:val="soitChar"/>
        </w:rPr>
        <w:t xml:space="preserve"> détaillée et  ventilée selon le type et les dimensions.</w:t>
      </w:r>
    </w:p>
    <w:p w14:paraId="75F9F35F" w14:textId="77777777" w:rsidR="00DF410E" w:rsidRDefault="00CE7F43">
      <w:pPr>
        <w:pStyle w:val="pheading"/>
      </w:pPr>
      <w:r>
        <w:t>- nature du marché:</w:t>
      </w:r>
    </w:p>
    <w:p w14:paraId="10FA6C0A" w14:textId="77777777" w:rsidR="00DF410E" w:rsidRDefault="00CE7F43">
      <w:r>
        <w:t>QF</w:t>
      </w:r>
    </w:p>
    <w:p w14:paraId="720F7E17" w14:textId="77777777" w:rsidR="00DF410E" w:rsidRDefault="00CE7F43">
      <w:pPr>
        <w:pStyle w:val="Author-eSectionHeading3"/>
      </w:pPr>
      <w:bookmarkStart w:id="1696" w:name="_Toc178838782"/>
      <w:r>
        <w:t>24.3 Structures secondaires en bois CCTB 01.11</w:t>
      </w:r>
      <w:bookmarkEnd w:id="1696"/>
    </w:p>
    <w:p w14:paraId="57653CFA" w14:textId="77777777" w:rsidR="00DF410E" w:rsidRDefault="00CE7F43">
      <w:pPr>
        <w:pStyle w:val="pheading"/>
      </w:pPr>
      <w:r>
        <w:t>DESCRIPTION</w:t>
      </w:r>
    </w:p>
    <w:p w14:paraId="61E13024" w14:textId="77777777" w:rsidR="00DF410E" w:rsidRDefault="00CE7F43">
      <w:pPr>
        <w:pStyle w:val="pheading"/>
      </w:pPr>
      <w:r>
        <w:t>- Définition / Comprend</w:t>
      </w:r>
    </w:p>
    <w:p w14:paraId="1700AF72" w14:textId="77777777" w:rsidR="00DF410E" w:rsidRDefault="00CE7F43">
      <w:pPr>
        <w:jc w:val="both"/>
      </w:pPr>
      <w:r>
        <w:t>Le travail comprend notamment :</w:t>
      </w:r>
    </w:p>
    <w:p w14:paraId="10575E24" w14:textId="77777777" w:rsidR="00DF410E" w:rsidRDefault="00CE7F43">
      <w:pPr>
        <w:pStyle w:val="Author-eListParagraph"/>
        <w:numPr>
          <w:ilvl w:val="0"/>
          <w:numId w:val="969"/>
        </w:numPr>
        <w:jc w:val="both"/>
      </w:pPr>
      <w:r>
        <w:t>le relevé sur place des dimensions exactes ;</w:t>
      </w:r>
    </w:p>
    <w:p w14:paraId="02C347A0" w14:textId="77777777" w:rsidR="00DF410E" w:rsidRDefault="00CE7F43">
      <w:pPr>
        <w:pStyle w:val="Author-eListParagraph"/>
        <w:numPr>
          <w:ilvl w:val="0"/>
          <w:numId w:val="969"/>
        </w:numPr>
        <w:jc w:val="both"/>
      </w:pPr>
      <w:r>
        <w:t>le contrôle et la préparation des supports ;</w:t>
      </w:r>
    </w:p>
    <w:p w14:paraId="189F6F9D" w14:textId="77777777" w:rsidR="00DF410E" w:rsidRDefault="00CE7F43">
      <w:pPr>
        <w:pStyle w:val="Author-eListParagraph"/>
        <w:numPr>
          <w:ilvl w:val="0"/>
          <w:numId w:val="969"/>
        </w:numPr>
        <w:jc w:val="both"/>
      </w:pPr>
      <w:r>
        <w:t>la fabrication sur mesure, le transport et la mise en œuvre de tous les éléments y compris tous les moyens de fixation et/ou de pose ;</w:t>
      </w:r>
    </w:p>
    <w:p w14:paraId="37898D24" w14:textId="77777777" w:rsidR="00DF410E" w:rsidRDefault="00CE7F43">
      <w:pPr>
        <w:pStyle w:val="Author-eListParagraph"/>
        <w:numPr>
          <w:ilvl w:val="0"/>
          <w:numId w:val="969"/>
        </w:numPr>
        <w:jc w:val="both"/>
      </w:pPr>
      <w:r>
        <w:t>l'exécution des assemblages et des éventuelles jonctions avec la structure de construction ;</w:t>
      </w:r>
    </w:p>
    <w:p w14:paraId="32F863EA" w14:textId="77777777" w:rsidR="00DF410E" w:rsidRDefault="00CE7F43">
      <w:pPr>
        <w:pStyle w:val="Author-eListParagraph"/>
        <w:numPr>
          <w:ilvl w:val="0"/>
          <w:numId w:val="969"/>
        </w:numPr>
        <w:jc w:val="both"/>
      </w:pPr>
      <w:r>
        <w:t>la finition des bords, les raccordements avec les finitions de mur et de sol attenantes ;</w:t>
      </w:r>
    </w:p>
    <w:p w14:paraId="7E1DC692" w14:textId="77777777" w:rsidR="00DF410E" w:rsidRDefault="00CE7F43">
      <w:pPr>
        <w:pStyle w:val="Author-eListParagraph"/>
        <w:numPr>
          <w:ilvl w:val="0"/>
          <w:numId w:val="969"/>
        </w:numPr>
        <w:jc w:val="both"/>
      </w:pPr>
      <w:r>
        <w:t>le nettoyage des éléments, y compris l'enlèvement des taches de mortier ou de colle ;</w:t>
      </w:r>
    </w:p>
    <w:p w14:paraId="5757C294" w14:textId="77777777" w:rsidR="00DF410E" w:rsidRDefault="00CE7F43">
      <w:pPr>
        <w:pStyle w:val="Author-eListParagraph"/>
        <w:numPr>
          <w:ilvl w:val="0"/>
          <w:numId w:val="969"/>
        </w:numPr>
        <w:jc w:val="both"/>
      </w:pPr>
      <w:r>
        <w:t>les mesures nécessaires, après la mise en œuvre, en vue de la protection des éléments contre toute dégradation pendant toute la durée des travaux ;</w:t>
      </w:r>
    </w:p>
    <w:p w14:paraId="5CD08533" w14:textId="77777777" w:rsidR="00DF410E" w:rsidRDefault="00CE7F43">
      <w:pPr>
        <w:pStyle w:val="Author-eListParagraph"/>
        <w:numPr>
          <w:ilvl w:val="0"/>
          <w:numId w:val="969"/>
        </w:numPr>
        <w:jc w:val="both"/>
      </w:pPr>
      <w:r>
        <w:t>l’enlèvement et l’évacuation des protections pour la réception provisoire.</w:t>
      </w:r>
    </w:p>
    <w:p w14:paraId="4692E2C6" w14:textId="77777777" w:rsidR="00DF410E" w:rsidRDefault="00CE7F43">
      <w:pPr>
        <w:pStyle w:val="pheading"/>
      </w:pPr>
      <w:r>
        <w:t>DOCUMENTS DE RÉFÉRENCE</w:t>
      </w:r>
    </w:p>
    <w:p w14:paraId="0C129954" w14:textId="77777777" w:rsidR="00DF410E" w:rsidRDefault="00CE7F43">
      <w:pPr>
        <w:pStyle w:val="pheading"/>
      </w:pPr>
      <w:r>
        <w:t>- Matériau</w:t>
      </w:r>
    </w:p>
    <w:p w14:paraId="4090E55C" w14:textId="77777777" w:rsidR="00DF410E" w:rsidRDefault="00CE7F43">
      <w:r>
        <w:t>[NBN EN 460, Durabilité du bois et des matériaux dérivés du bois - Durabilité naturelle du bois massif - Guide d'exigences de durabilité du bois pour son utilisation selon les classes de risque]</w:t>
      </w:r>
    </w:p>
    <w:p w14:paraId="11BBDCF5" w14:textId="77777777" w:rsidR="00DF410E" w:rsidRDefault="00CE7F43">
      <w:r>
        <w:t>[NBN EN 314-2, Contreplaqué - Qualité du collage - Partie 2: Exigences] </w:t>
      </w:r>
    </w:p>
    <w:p w14:paraId="6F185102" w14:textId="77777777" w:rsidR="00DF410E" w:rsidRDefault="00CE7F43">
      <w:r>
        <w:t>[NBN EN 335, Durabilité du bois et des matériaux à base de bois - Classes d'emploi: définitions, application au bois massif et aux matériaux à base de bois]</w:t>
      </w:r>
    </w:p>
    <w:p w14:paraId="12E8A7CD" w14:textId="77777777" w:rsidR="00DF410E" w:rsidRDefault="00CE7F43">
      <w:r>
        <w:t>[NBN EN 300, Panneaux de lamelles minces, longues et orientées (OSB) - Définitions, classification et exigences]</w:t>
      </w:r>
    </w:p>
    <w:p w14:paraId="027A1082" w14:textId="77777777" w:rsidR="00DF410E" w:rsidRDefault="00CE7F43">
      <w:r>
        <w:t>[NBN EN ISO 12460-5, Panneaux à base de bois - Détermination du dégagement de formaldéhyde - Partie 5 : Méthode d'extraction (dite méthode au perforateur) (ISO 12460-5:2015)]</w:t>
      </w:r>
    </w:p>
    <w:p w14:paraId="1FD80513" w14:textId="77777777" w:rsidR="00DF410E" w:rsidRDefault="00CE7F43">
      <w:pPr>
        <w:pStyle w:val="Author-eSectionHeading4"/>
      </w:pPr>
      <w:bookmarkStart w:id="1697" w:name="_Toc178838783"/>
      <w:r>
        <w:t>24.31 Escaliers en bois CCTB 01.07</w:t>
      </w:r>
      <w:bookmarkEnd w:id="1697"/>
    </w:p>
    <w:p w14:paraId="3D476613" w14:textId="77777777" w:rsidR="00DF410E" w:rsidRDefault="00CE7F43">
      <w:pPr>
        <w:pStyle w:val="Author-eSectionHeading5"/>
      </w:pPr>
      <w:bookmarkStart w:id="1698" w:name="622"/>
      <w:bookmarkStart w:id="1699" w:name="_Toc178838784"/>
      <w:bookmarkEnd w:id="1698"/>
      <w:r>
        <w:t>24.31.1 Escaliers monolithiques en bois CCTB 01.07</w:t>
      </w:r>
      <w:bookmarkEnd w:id="1699"/>
    </w:p>
    <w:p w14:paraId="7723ABE9" w14:textId="77777777" w:rsidR="00DF410E" w:rsidRDefault="00CE7F43">
      <w:pPr>
        <w:pStyle w:val="Author-eSectionHeading6"/>
      </w:pPr>
      <w:bookmarkStart w:id="1700" w:name="_Toc178838785"/>
      <w:r>
        <w:t>24.31.1a Escaliers monolithiques en bois CCTB 01.11</w:t>
      </w:r>
      <w:bookmarkEnd w:id="1700"/>
    </w:p>
    <w:p w14:paraId="2E86EEA6" w14:textId="77777777" w:rsidR="00DF410E" w:rsidRDefault="00CE7F43">
      <w:pPr>
        <w:pStyle w:val="pheading"/>
      </w:pPr>
      <w:bookmarkStart w:id="1701" w:name="1370"/>
      <w:bookmarkEnd w:id="1701"/>
      <w:r>
        <w:t>DESCRIPTION</w:t>
      </w:r>
    </w:p>
    <w:p w14:paraId="097E2A74" w14:textId="77777777" w:rsidR="00DF410E" w:rsidRDefault="00CE7F43">
      <w:pPr>
        <w:pStyle w:val="pheading"/>
      </w:pPr>
      <w:r>
        <w:t>- Définition / Comprend</w:t>
      </w:r>
    </w:p>
    <w:p w14:paraId="482F56F1" w14:textId="77777777" w:rsidR="00DF410E" w:rsidRDefault="00CE7F43">
      <w:pPr>
        <w:jc w:val="both"/>
      </w:pPr>
      <w:r>
        <w:t>Cet article " escaliers en bois " décrit la fourniture et la pose de tous les éléments d'escalier complètement en bois ainsi que tout élément nécessaire pour obtenir un ensemble fini. Conformément aux dispositions générales et/ou spécifiques du cahier spécial des charges, les prix unitaires compris dans ces postes doivent toujours comprendre, soit selon la ventilation dans le métré récapitulatif, soit dans leur totalité :</w:t>
      </w:r>
    </w:p>
    <w:p w14:paraId="5B273B3C" w14:textId="77777777" w:rsidR="00DF410E" w:rsidRDefault="00CE7F43">
      <w:pPr>
        <w:pStyle w:val="Author-eListParagraph"/>
        <w:numPr>
          <w:ilvl w:val="0"/>
          <w:numId w:val="970"/>
        </w:numPr>
      </w:pPr>
      <w:r>
        <w:t>le relevé sur place des dimensions exactes,</w:t>
      </w:r>
    </w:p>
    <w:p w14:paraId="0B1844EB" w14:textId="77777777" w:rsidR="00DF410E" w:rsidRDefault="00CE7F43">
      <w:pPr>
        <w:pStyle w:val="Author-eListParagraph"/>
        <w:numPr>
          <w:ilvl w:val="0"/>
          <w:numId w:val="970"/>
        </w:numPr>
      </w:pPr>
      <w:r>
        <w:t>le contrôle et la préparation des supports,</w:t>
      </w:r>
    </w:p>
    <w:p w14:paraId="3D188FDD" w14:textId="77777777" w:rsidR="00DF410E" w:rsidRDefault="00CE7F43">
      <w:pPr>
        <w:pStyle w:val="Author-eListParagraph"/>
        <w:numPr>
          <w:ilvl w:val="0"/>
          <w:numId w:val="970"/>
        </w:numPr>
      </w:pPr>
      <w:r>
        <w:t>la fabrication sur mesure, le transport et la mise en œuvre des éléments d'escalier, des marches, …, y compris tous les moyens de fixation et/ou de pose,</w:t>
      </w:r>
    </w:p>
    <w:p w14:paraId="7253D65E" w14:textId="77777777" w:rsidR="00DF410E" w:rsidRDefault="00CE7F43">
      <w:pPr>
        <w:pStyle w:val="Author-eListParagraph"/>
        <w:numPr>
          <w:ilvl w:val="0"/>
          <w:numId w:val="970"/>
        </w:numPr>
      </w:pPr>
      <w:r>
        <w:t>l'exécution des assemblages et des éventuelles jonctions avec la structure de construction,</w:t>
      </w:r>
    </w:p>
    <w:p w14:paraId="1553C01F" w14:textId="77777777" w:rsidR="00DF410E" w:rsidRDefault="00CE7F43">
      <w:pPr>
        <w:pStyle w:val="Author-eListParagraph"/>
        <w:numPr>
          <w:ilvl w:val="0"/>
          <w:numId w:val="970"/>
        </w:numPr>
      </w:pPr>
      <w:r>
        <w:t>le nettoyage des marches, y compris l'enlèvement des taches de mortier ou de colle,</w:t>
      </w:r>
    </w:p>
    <w:p w14:paraId="48FE355C" w14:textId="77777777" w:rsidR="00DF410E" w:rsidRDefault="00CE7F43">
      <w:pPr>
        <w:pStyle w:val="Author-eListParagraph"/>
        <w:numPr>
          <w:ilvl w:val="0"/>
          <w:numId w:val="970"/>
        </w:numPr>
      </w:pPr>
      <w:r>
        <w:t>les mesures nécessaires, après la mise en œuvre, en vue de la protection de l'escalier contre toute dégradation et autre pendant toute la durée des travaux.</w:t>
      </w:r>
      <w:r>
        <w:br/>
      </w:r>
    </w:p>
    <w:p w14:paraId="5B51EAEE" w14:textId="77777777" w:rsidR="00DF410E" w:rsidRDefault="00CE7F43">
      <w:pPr>
        <w:jc w:val="both"/>
      </w:pPr>
      <w:r>
        <w:rPr>
          <w:b/>
        </w:rPr>
        <w:t>Remarques importantes</w:t>
      </w:r>
    </w:p>
    <w:p w14:paraId="70AE8480" w14:textId="77777777" w:rsidR="00DF410E" w:rsidRDefault="00CE7F43">
      <w:pPr>
        <w:jc w:val="both"/>
      </w:pPr>
      <w:r>
        <w:t>En l’absence de marquage CE harmonisé, tous les escaliers ne sont pas soumis à un marquage obligatoire.</w:t>
      </w:r>
    </w:p>
    <w:p w14:paraId="721E0CBF" w14:textId="77777777" w:rsidR="00DF410E" w:rsidRDefault="00CE7F43">
      <w:pPr>
        <w:jc w:val="both"/>
      </w:pPr>
      <w:r>
        <w:t>La terminologie relative aux éléments constitutifs des escaliers, aux types d’escaliers et autres descriptions, est conforme à la [NIT 198] et à la [NBN EN 14076].</w:t>
      </w:r>
    </w:p>
    <w:p w14:paraId="05DBEB1C" w14:textId="77777777" w:rsidR="00DF410E" w:rsidRDefault="00CE7F43">
      <w:pPr>
        <w:pStyle w:val="pheading"/>
      </w:pPr>
      <w:r>
        <w:t>- Localisation</w:t>
      </w:r>
    </w:p>
    <w:p w14:paraId="60D73E0D" w14:textId="77777777" w:rsidR="00DF410E" w:rsidRDefault="00CE7F43">
      <w:r>
        <w:t xml:space="preserve">La localisation des escaliers en bois est la suivante : </w:t>
      </w:r>
      <w:r>
        <w:rPr>
          <w:rStyle w:val="optioncarChar"/>
        </w:rPr>
        <w:t>***</w:t>
      </w:r>
      <w:r>
        <w:t>.</w:t>
      </w:r>
    </w:p>
    <w:p w14:paraId="3C74715C" w14:textId="77777777" w:rsidR="00DF410E" w:rsidRDefault="00CE7F43">
      <w:r>
        <w:t>Voir plans et métrés détaillés</w:t>
      </w:r>
    </w:p>
    <w:p w14:paraId="5A2D9AD5" w14:textId="77777777" w:rsidR="00DF410E" w:rsidRDefault="00CE7F43">
      <w:pPr>
        <w:pStyle w:val="pheading"/>
      </w:pPr>
      <w:r>
        <w:t>MATÉRIAUX</w:t>
      </w:r>
    </w:p>
    <w:p w14:paraId="2299B100" w14:textId="77777777" w:rsidR="00DF410E" w:rsidRDefault="00CE7F43">
      <w:pPr>
        <w:pStyle w:val="pheading"/>
      </w:pPr>
      <w:r>
        <w:t>- Caractéristiques générales</w:t>
      </w:r>
    </w:p>
    <w:p w14:paraId="7D281BBF" w14:textId="77777777" w:rsidR="00DF410E" w:rsidRDefault="00CE7F43">
      <w:pPr>
        <w:jc w:val="both"/>
      </w:pPr>
      <w:r>
        <w:rPr>
          <w:b/>
          <w:u w:val="single"/>
        </w:rPr>
        <w:t>Forme et type:</w:t>
      </w:r>
    </w:p>
    <w:p w14:paraId="06BD6AEC" w14:textId="77777777" w:rsidR="00DF410E" w:rsidRDefault="00CE7F43">
      <w:pPr>
        <w:jc w:val="both"/>
      </w:pPr>
      <w:r>
        <w:t xml:space="preserve">La Hauteur de marche H est </w:t>
      </w:r>
      <w:r>
        <w:rPr>
          <w:rStyle w:val="optioncarChar"/>
        </w:rPr>
        <w:t>calculée en fonction de la hauteur totale</w:t>
      </w:r>
      <w:r>
        <w:t xml:space="preserve"> (par défaut)</w:t>
      </w:r>
      <w:r>
        <w:rPr>
          <w:rStyle w:val="optioncarChar"/>
        </w:rPr>
        <w:t xml:space="preserve"> / 180mm / *** mm</w:t>
      </w:r>
    </w:p>
    <w:p w14:paraId="2BBB8F04" w14:textId="77777777" w:rsidR="00DF410E" w:rsidRDefault="00CE7F43">
      <w:pPr>
        <w:jc w:val="both"/>
      </w:pPr>
      <w:r>
        <w:t>Toutes les marches présentent la même hauteur. Les éventuelles dérogations doivent être absorbées dans la hauteur de la première marche et ne peuvent comporter une différence de plus de 6 mm. L'écart de hauteur entre deux marches successives ne peut pas être supérieur à 2 mm.</w:t>
      </w:r>
    </w:p>
    <w:p w14:paraId="556A5788" w14:textId="77777777" w:rsidR="00DF410E" w:rsidRDefault="00CE7F43">
      <w:pPr>
        <w:jc w:val="both"/>
      </w:pPr>
      <w:r>
        <w:t xml:space="preserve">Le giron (distance horizontale entre deux contremarches consécutives ou entre le nez de deux marches successives) G est </w:t>
      </w:r>
      <w:r>
        <w:rPr>
          <w:rStyle w:val="optioncarChar"/>
        </w:rPr>
        <w:t>calculé en fonction de l’étendue de l’escalier</w:t>
      </w:r>
      <w:r>
        <w:t xml:space="preserve"> (par défaut) </w:t>
      </w:r>
      <w:r>
        <w:rPr>
          <w:rStyle w:val="optioncarChar"/>
        </w:rPr>
        <w:t>/ *** mm</w:t>
      </w:r>
      <w:r>
        <w:t>.</w:t>
      </w:r>
    </w:p>
    <w:p w14:paraId="6BACD665" w14:textId="77777777" w:rsidR="00DF410E" w:rsidRDefault="00CE7F43">
      <w:pPr>
        <w:jc w:val="both"/>
      </w:pPr>
      <w:r>
        <w:t xml:space="preserve">Le module du pas (M = 2 H + G) est </w:t>
      </w:r>
      <w:r>
        <w:rPr>
          <w:rStyle w:val="optioncarChar"/>
        </w:rPr>
        <w:t>supérieur à 570 mm et inférieur à 630 mm</w:t>
      </w:r>
      <w:r>
        <w:t xml:space="preserve"> (par défaut) </w:t>
      </w:r>
      <w:r>
        <w:rPr>
          <w:rStyle w:val="optioncarChar"/>
        </w:rPr>
        <w:t>/ ***</w:t>
      </w:r>
      <w:r>
        <w:t>.</w:t>
      </w:r>
    </w:p>
    <w:p w14:paraId="60A9C04C" w14:textId="77777777" w:rsidR="00DF410E" w:rsidRDefault="00CE7F43">
      <w:pPr>
        <w:jc w:val="both"/>
      </w:pPr>
      <w:r>
        <w:t>Le balancement des escaliers se fait selon les méthodes admissibles (le balancement harmonieux ou le balancement à l’infini, ...).</w:t>
      </w:r>
    </w:p>
    <w:p w14:paraId="6B431B1E" w14:textId="77777777" w:rsidR="00DF410E" w:rsidRDefault="00CE7F43">
      <w:pPr>
        <w:jc w:val="both"/>
      </w:pPr>
      <w:r>
        <w:t xml:space="preserve">Le nez est de maximum </w:t>
      </w:r>
      <w:r>
        <w:rPr>
          <w:rStyle w:val="optioncarChar"/>
        </w:rPr>
        <w:t>50 mm</w:t>
      </w:r>
      <w:r>
        <w:t xml:space="preserve"> (par défaut) </w:t>
      </w:r>
      <w:r>
        <w:rPr>
          <w:rStyle w:val="optioncarChar"/>
        </w:rPr>
        <w:t>/ 25 mm (PMR) / ***</w:t>
      </w:r>
      <w:r>
        <w:t>.</w:t>
      </w:r>
    </w:p>
    <w:p w14:paraId="0874433D" w14:textId="77777777" w:rsidR="00DF410E" w:rsidRDefault="00CE7F43">
      <w:pPr>
        <w:jc w:val="both"/>
      </w:pPr>
      <w:r>
        <w:t xml:space="preserve">Le marquage des nez de marches est </w:t>
      </w:r>
      <w:r>
        <w:rPr>
          <w:rStyle w:val="optioncarChar"/>
        </w:rPr>
        <w:t>non requis</w:t>
      </w:r>
      <w:r>
        <w:t xml:space="preserve"> (par défaut) </w:t>
      </w:r>
      <w:r>
        <w:rPr>
          <w:rStyle w:val="optioncarChar"/>
        </w:rPr>
        <w:t>/ muni d’indicateurs visuels conformément à l' [NBN ISO 21542]  / ***</w:t>
      </w:r>
      <w:r>
        <w:t>.</w:t>
      </w:r>
    </w:p>
    <w:p w14:paraId="6F444004" w14:textId="77777777" w:rsidR="00DF410E" w:rsidRDefault="00CE7F43">
      <w:pPr>
        <w:jc w:val="both"/>
      </w:pPr>
      <w:r>
        <w:t xml:space="preserve">L’échappée (hauteur libre au niveau du nez de la marche) est supérieure à </w:t>
      </w:r>
      <w:r>
        <w:rPr>
          <w:rStyle w:val="optioncarChar"/>
        </w:rPr>
        <w:t>2,00 m</w:t>
      </w:r>
      <w:r>
        <w:t xml:space="preserve"> (par défaut) </w:t>
      </w:r>
      <w:r>
        <w:rPr>
          <w:rStyle w:val="optioncarChar"/>
        </w:rPr>
        <w:t>/ ***</w:t>
      </w:r>
      <w:r>
        <w:t>.</w:t>
      </w:r>
    </w:p>
    <w:p w14:paraId="2858D6E3" w14:textId="77777777" w:rsidR="00DF410E" w:rsidRDefault="00CE7F43">
      <w:pPr>
        <w:jc w:val="both"/>
      </w:pPr>
      <w:r>
        <w:t>Les escaliers sont de type</w:t>
      </w:r>
      <w:r>
        <w:rPr>
          <w:rStyle w:val="optioncarChar"/>
        </w:rPr>
        <w:t xml:space="preserve"> droit / à quartier tournant à gauche / à quartier tournant à droite / à demi tournant / à vis / hélicoïdaux / ***</w:t>
      </w:r>
      <w:r>
        <w:t>.</w:t>
      </w:r>
    </w:p>
    <w:p w14:paraId="733878A3" w14:textId="77777777" w:rsidR="00DF410E" w:rsidRDefault="00CE7F43">
      <w:pPr>
        <w:jc w:val="both"/>
      </w:pPr>
      <w:r>
        <w:t xml:space="preserve">La structure des escaliers est de type à </w:t>
      </w:r>
      <w:r>
        <w:rPr>
          <w:rStyle w:val="optioncarChar"/>
        </w:rPr>
        <w:t>limons entaillés (escalier à la française) / à crémaillère (escalier à l’anglaise) / à limon de jour à crémaillère / suspendu / à noyau / ***</w:t>
      </w:r>
      <w:r>
        <w:t>.</w:t>
      </w:r>
    </w:p>
    <w:p w14:paraId="5878EB91" w14:textId="77777777" w:rsidR="00DF410E" w:rsidRDefault="00CE7F43">
      <w:pPr>
        <w:jc w:val="both"/>
      </w:pPr>
      <w:r>
        <w:t xml:space="preserve">Les escaliers sont à contremarches </w:t>
      </w:r>
      <w:r>
        <w:rPr>
          <w:rStyle w:val="optioncarChar"/>
        </w:rPr>
        <w:t>verticales</w:t>
      </w:r>
      <w:r>
        <w:t xml:space="preserve"> (par défaut) </w:t>
      </w:r>
      <w:r>
        <w:rPr>
          <w:rStyle w:val="optioncarChar"/>
        </w:rPr>
        <w:t>/ obliques / libres (sans contremarche) / ***</w:t>
      </w:r>
      <w:r>
        <w:t>.</w:t>
      </w:r>
    </w:p>
    <w:p w14:paraId="31F1F850" w14:textId="77777777" w:rsidR="00DF410E" w:rsidRDefault="00CE7F43">
      <w:pPr>
        <w:jc w:val="both"/>
      </w:pPr>
      <w:r>
        <w:t xml:space="preserve">Les escaliers disposent de </w:t>
      </w:r>
      <w:r>
        <w:rPr>
          <w:rStyle w:val="optioncarChar"/>
        </w:rPr>
        <w:t>***</w:t>
      </w:r>
      <w:r>
        <w:t xml:space="preserve"> paliers intermédiaires;</w:t>
      </w:r>
    </w:p>
    <w:p w14:paraId="2ACFD85A" w14:textId="77777777" w:rsidR="00DF410E" w:rsidRDefault="00CE7F43">
      <w:pPr>
        <w:jc w:val="both"/>
      </w:pPr>
      <w:r>
        <w:t xml:space="preserve">Nombre de marches par volée est de maximum </w:t>
      </w:r>
      <w:r>
        <w:rPr>
          <w:rStyle w:val="optioncarChar"/>
        </w:rPr>
        <w:t>20</w:t>
      </w:r>
      <w:r>
        <w:t xml:space="preserve"> (par défaut) </w:t>
      </w:r>
      <w:r>
        <w:rPr>
          <w:rStyle w:val="optioncarChar"/>
        </w:rPr>
        <w:t>/ ***</w:t>
      </w:r>
      <w:r>
        <w:t>.</w:t>
      </w:r>
    </w:p>
    <w:p w14:paraId="02ABAC85" w14:textId="77777777" w:rsidR="00DF410E" w:rsidRDefault="00CE7F43">
      <w:pPr>
        <w:jc w:val="both"/>
      </w:pPr>
      <w:r>
        <w:t>La description des rampes est reprise dans l’article 24.32.1a Garde-corps et rampes en bois assemblés sur place</w:t>
      </w:r>
    </w:p>
    <w:p w14:paraId="0F062A29" w14:textId="77777777" w:rsidR="00DF410E" w:rsidRDefault="00CE7F43">
      <w:pPr>
        <w:jc w:val="both"/>
      </w:pPr>
      <w:r>
        <w:t xml:space="preserve">Les escaliers sont composés de matériaux </w:t>
      </w:r>
      <w:r>
        <w:rPr>
          <w:rStyle w:val="optioncarChar"/>
        </w:rPr>
        <w:t>bois massif / lamellé-collé / composition mixte</w:t>
      </w:r>
      <w:r>
        <w:t>.</w:t>
      </w:r>
    </w:p>
    <w:p w14:paraId="7A8C1114" w14:textId="77777777" w:rsidR="00DF410E" w:rsidRDefault="00CE7F43">
      <w:pPr>
        <w:jc w:val="both"/>
      </w:pPr>
      <w:r>
        <w:t xml:space="preserve">Les escaliers sont en bois : </w:t>
      </w:r>
      <w:r>
        <w:rPr>
          <w:rStyle w:val="optioncarChar"/>
        </w:rPr>
        <w:t>Hêtre (Fagus sylvatica) / Chêne d’Europe (Quercus robur et Q. Petraea) / Frêne (Fraxinus excelsior) / Douglas (Pseudotsuga menziesii) / ***</w:t>
      </w:r>
      <w:r>
        <w:t xml:space="preserve"> dont les caractéristiques de masse volumique sont reprises dans la [NIT 198]. Le choix des matériaux et l’utilisation est conforme à l’utilisation des locaux.</w:t>
      </w:r>
    </w:p>
    <w:p w14:paraId="6A782738" w14:textId="77777777" w:rsidR="00DF410E" w:rsidRDefault="00CE7F43">
      <w:pPr>
        <w:jc w:val="both"/>
      </w:pPr>
      <w:r>
        <w:t xml:space="preserve">La largeur utile de l’escalier mesurée perpendiculairement à la ligne de foulée sur le plan entre les éléments tels que présenté dans la [NBN EN 14076] est déterminée en fonction de l’utilisation et de l’accessibilité : </w:t>
      </w:r>
      <w:r>
        <w:rPr>
          <w:rStyle w:val="optioncarChar"/>
        </w:rPr>
        <w:t>80 cm</w:t>
      </w:r>
      <w:r>
        <w:t xml:space="preserve"> (par défaut)</w:t>
      </w:r>
      <w:r>
        <w:rPr>
          <w:rStyle w:val="optioncarChar"/>
        </w:rPr>
        <w:t xml:space="preserve"> / selon les exigences des services d’incendie / ***</w:t>
      </w:r>
      <w:r>
        <w:t>. </w:t>
      </w:r>
    </w:p>
    <w:p w14:paraId="1E859265" w14:textId="77777777" w:rsidR="00DF410E" w:rsidRDefault="00CE7F43">
      <w:pPr>
        <w:jc w:val="both"/>
      </w:pPr>
      <w:r>
        <w:rPr>
          <w:b/>
          <w:u w:val="single"/>
        </w:rPr>
        <w:t>Caractéristiques de résistance mécanique:</w:t>
      </w:r>
    </w:p>
    <w:p w14:paraId="054DFA9F" w14:textId="77777777" w:rsidR="00DF410E" w:rsidRDefault="00CE7F43">
      <w:pPr>
        <w:jc w:val="both"/>
      </w:pPr>
      <w:r>
        <w:t xml:space="preserve">Les actions envisagées doivent être déterminées selon la [NBN EN 1991 série] pour un usage </w:t>
      </w:r>
      <w:r>
        <w:rPr>
          <w:rStyle w:val="optioncarChar"/>
        </w:rPr>
        <w:t>privé (3kN/m² et 2kN ponctuel)</w:t>
      </w:r>
      <w:r>
        <w:t xml:space="preserve"> (par défaut)</w:t>
      </w:r>
      <w:r>
        <w:rPr>
          <w:rStyle w:val="optioncarChar"/>
        </w:rPr>
        <w:t xml:space="preserve"> / public (4kN/m² et 4kN ponctuel) / tribune (5kN/m² et 4kN ponctuel)</w:t>
      </w:r>
    </w:p>
    <w:p w14:paraId="1B9455A5" w14:textId="77777777" w:rsidR="00DF410E" w:rsidRDefault="00CE7F43">
      <w:pPr>
        <w:jc w:val="both"/>
      </w:pPr>
      <w:r>
        <w:t>La résistance des garde-corps est décrite dans l’article 24.32.1a Garde-corps et rampes en bois assemblés sur place</w:t>
      </w:r>
    </w:p>
    <w:p w14:paraId="24A6510B" w14:textId="77777777" w:rsidR="00DF410E" w:rsidRDefault="00CE7F43">
      <w:pPr>
        <w:jc w:val="both"/>
      </w:pPr>
      <w:r>
        <w:t>L’escalier fait l’objet d’un dimensionnement conforme à la [NBN EN 16481] ou tout autre méthode s’appuyant sur la [NBN EN 1995 série].</w:t>
      </w:r>
    </w:p>
    <w:p w14:paraId="1B7FCC05" w14:textId="77777777" w:rsidR="00DF410E" w:rsidRDefault="00CE7F43">
      <w:pPr>
        <w:jc w:val="both"/>
      </w:pPr>
      <w:r>
        <w:t>L'ensemble de l'escalier et ses composants comme les marches et les garde-corps, doivent être conçus de façon à limiter la flèche et les vibrations dans les conditions de service. </w:t>
      </w:r>
    </w:p>
    <w:p w14:paraId="10C29810" w14:textId="77777777" w:rsidR="00DF410E" w:rsidRDefault="00CE7F43">
      <w:pPr>
        <w:jc w:val="both"/>
      </w:pPr>
      <w:r>
        <w:t>Le dimensionnement peut également être issu de résultats d’essais notamment conformes à la [CEN/TS 15680].</w:t>
      </w:r>
    </w:p>
    <w:p w14:paraId="145052CA" w14:textId="77777777" w:rsidR="00DF410E" w:rsidRDefault="00CE7F43">
      <w:pPr>
        <w:jc w:val="both"/>
      </w:pPr>
      <w:r>
        <w:t>Sous charges de service, la flèche des escaliers sur le côté libre du mur est donnée par rapport à la ligne médiane de la volée. La flèche ne doit pas dépasser la valeur donnée</w:t>
      </w:r>
      <w:r>
        <w:rPr>
          <w:rStyle w:val="optioncarChar"/>
        </w:rPr>
        <w:t xml:space="preserve"> l/350</w:t>
      </w:r>
      <w:r>
        <w:t xml:space="preserve"> (par défaut) </w:t>
      </w:r>
      <w:r>
        <w:rPr>
          <w:rStyle w:val="optioncarChar"/>
        </w:rPr>
        <w:t>/ ***</w:t>
      </w:r>
    </w:p>
    <w:p w14:paraId="6884D2F7" w14:textId="77777777" w:rsidR="00DF410E" w:rsidRDefault="00CE7F43">
      <w:pPr>
        <w:jc w:val="both"/>
      </w:pPr>
      <w:r>
        <w:t>La flexion due à la charge horizontale ne doit pas être prise en compte pour les escaliers.</w:t>
      </w:r>
    </w:p>
    <w:p w14:paraId="4A9E47CA" w14:textId="77777777" w:rsidR="00DF410E" w:rsidRDefault="00CE7F43">
      <w:pPr>
        <w:jc w:val="both"/>
      </w:pPr>
      <w:r>
        <w:t>En termes de vibration, la fréquence naturelle (propre) déterminée conformément à la méthode [CEN/TS 15680] ou relative à une oscillation pour escaliers exposés à un poids mort et à une charge unique supplémentaire de 1 kN agissant sur le point le plus défavorable est supérieure à</w:t>
      </w:r>
      <w:r>
        <w:rPr>
          <w:rStyle w:val="optioncarChar"/>
        </w:rPr>
        <w:t xml:space="preserve"> 5,0 Hz</w:t>
      </w:r>
      <w:r>
        <w:t xml:space="preserve"> (par défaut) </w:t>
      </w:r>
      <w:r>
        <w:rPr>
          <w:rStyle w:val="optioncarChar"/>
        </w:rPr>
        <w:t>/ 7Hz (bâtiments publics) / ***</w:t>
      </w:r>
      <w:r>
        <w:t>. </w:t>
      </w:r>
    </w:p>
    <w:p w14:paraId="3534E61A" w14:textId="77777777" w:rsidR="00DF410E" w:rsidRDefault="00CE7F43">
      <w:pPr>
        <w:jc w:val="both"/>
      </w:pPr>
      <w:r>
        <w:rPr>
          <w:b/>
          <w:u w:val="single"/>
        </w:rPr>
        <w:t>Caractéristiques d’utilisation :</w:t>
      </w:r>
    </w:p>
    <w:p w14:paraId="496C457E" w14:textId="77777777" w:rsidR="00DF410E" w:rsidRDefault="00CE7F43">
      <w:pPr>
        <w:jc w:val="both"/>
      </w:pPr>
      <w:r>
        <w:t>Le matériau utilisé dans les escaliers est conforme à l’utilisation prévue pour un trafic conforme à la [NBN EN 15644]</w:t>
      </w:r>
      <w:r>
        <w:rPr>
          <w:rStyle w:val="optioncarChar"/>
        </w:rPr>
        <w:t> faible</w:t>
      </w:r>
      <w:r>
        <w:t xml:space="preserve"> (par défaut) </w:t>
      </w:r>
      <w:r>
        <w:rPr>
          <w:rStyle w:val="optioncarChar"/>
        </w:rPr>
        <w:t>/modéré / élevé</w:t>
      </w:r>
      <w:r>
        <w:t>:</w:t>
      </w:r>
    </w:p>
    <w:p w14:paraId="59B2C8A4" w14:textId="77777777" w:rsidR="00DF410E" w:rsidRDefault="00CE7F43">
      <w:pPr>
        <w:jc w:val="both"/>
      </w:pPr>
      <w:r>
        <w:rPr>
          <w:b/>
          <w:i/>
        </w:rPr>
        <w:t>(Soit par défaut)</w:t>
      </w:r>
    </w:p>
    <w:p w14:paraId="3AC81B90" w14:textId="77777777" w:rsidR="00DF410E" w:rsidRDefault="00CE7F43">
      <w:pPr>
        <w:jc w:val="both"/>
      </w:pPr>
      <w:r>
        <w:rPr>
          <w:rStyle w:val="soitChar"/>
          <w:u w:val="single"/>
        </w:rPr>
        <w:t>1. faible trafic :</w:t>
      </w:r>
      <w:r>
        <w:rPr>
          <w:rStyle w:val="soitChar"/>
        </w:rPr>
        <w:t xml:space="preserve"> usage habituel : domestique : 1 à 10 personnes utilisant l’escalier dans le bâtiment ;</w:t>
      </w:r>
    </w:p>
    <w:p w14:paraId="29D630F1" w14:textId="77777777" w:rsidR="00DF410E" w:rsidRDefault="00CE7F43">
      <w:pPr>
        <w:jc w:val="both"/>
      </w:pPr>
      <w:r>
        <w:rPr>
          <w:b/>
          <w:i/>
        </w:rPr>
        <w:t>(Soit)</w:t>
      </w:r>
    </w:p>
    <w:p w14:paraId="192047EC" w14:textId="77777777" w:rsidR="00DF410E" w:rsidRDefault="00CE7F43">
      <w:pPr>
        <w:jc w:val="both"/>
      </w:pPr>
      <w:r>
        <w:rPr>
          <w:rStyle w:val="soitChar"/>
          <w:u w:val="single"/>
        </w:rPr>
        <w:t>2. trafic modéré :</w:t>
      </w:r>
      <w:r>
        <w:rPr>
          <w:rStyle w:val="soitChar"/>
        </w:rPr>
        <w:t xml:space="preserve"> usage habituel : domestique et/ou commercial : 10 à 20 personnes ;</w:t>
      </w:r>
    </w:p>
    <w:p w14:paraId="0673EF52" w14:textId="77777777" w:rsidR="00DF410E" w:rsidRDefault="00CE7F43">
      <w:pPr>
        <w:jc w:val="both"/>
      </w:pPr>
      <w:r>
        <w:rPr>
          <w:b/>
          <w:i/>
        </w:rPr>
        <w:t>(Soit)</w:t>
      </w:r>
    </w:p>
    <w:p w14:paraId="28B0D450" w14:textId="77777777" w:rsidR="00DF410E" w:rsidRDefault="00CE7F43">
      <w:pPr>
        <w:jc w:val="both"/>
      </w:pPr>
      <w:r>
        <w:rPr>
          <w:rStyle w:val="soitChar"/>
          <w:u w:val="single"/>
        </w:rPr>
        <w:t>3. trafic élevé :</w:t>
      </w:r>
      <w:r>
        <w:rPr>
          <w:rStyle w:val="soitChar"/>
        </w:rPr>
        <w:t xml:space="preserve"> usage habituel : public et industriel : plus de 20 personnes.</w:t>
      </w:r>
    </w:p>
    <w:p w14:paraId="22CDCB65" w14:textId="77777777" w:rsidR="00DF410E" w:rsidRDefault="00CE7F43">
      <w:pPr>
        <w:jc w:val="both"/>
      </w:pPr>
      <w:r>
        <w:t xml:space="preserve">La glissance des marches est caractérisée selon la [CEN/TS 15676]; le coefficient de frottement dynamique </w:t>
      </w:r>
      <w:r>
        <w:rPr>
          <w:rStyle w:val="optioncarChar"/>
        </w:rPr>
        <w:t>USRV &gt;30 (sec)</w:t>
      </w:r>
      <w:r>
        <w:t xml:space="preserve"> (par défaut) </w:t>
      </w:r>
      <w:r>
        <w:rPr>
          <w:rStyle w:val="optioncarChar"/>
        </w:rPr>
        <w:t>/ USRV &gt;2 0 (mouillé) / ***.</w:t>
      </w:r>
    </w:p>
    <w:p w14:paraId="4C009C5C" w14:textId="77777777" w:rsidR="00DF410E" w:rsidRDefault="00CE7F43">
      <w:pPr>
        <w:jc w:val="both"/>
      </w:pPr>
      <w:r>
        <w:t xml:space="preserve">La résistance à l'usure doit être mesurée conformément à la [NBN EN 13696], la résistance est choisie conformément aux classes d’utilisation données dans la [NIT 269]: la classe de résistance des vernis </w:t>
      </w:r>
      <w:r>
        <w:rPr>
          <w:rStyle w:val="optioncarChar"/>
        </w:rPr>
        <w:t>1 / 2 / 3</w:t>
      </w:r>
      <w:r>
        <w:t xml:space="preserve"> (par défaut)</w:t>
      </w:r>
      <w:r>
        <w:rPr>
          <w:rStyle w:val="optioncarChar"/>
        </w:rPr>
        <w:t xml:space="preserve"> / 4 / 5</w:t>
      </w:r>
    </w:p>
    <w:p w14:paraId="4E7B57E1" w14:textId="77777777" w:rsidR="00DF410E" w:rsidRDefault="00CE7F43">
      <w:pPr>
        <w:jc w:val="both"/>
      </w:pPr>
      <w:r>
        <w:t>La dureté doit être mesurée conformément à la [NBN EN 1534]: niveau</w:t>
      </w:r>
      <w:r>
        <w:rPr>
          <w:rStyle w:val="optioncarChar"/>
        </w:rPr>
        <w:t xml:space="preserve"> A / B</w:t>
      </w:r>
      <w:r>
        <w:t xml:space="preserve"> (par défaut) </w:t>
      </w:r>
      <w:r>
        <w:rPr>
          <w:rStyle w:val="optioncarChar"/>
        </w:rPr>
        <w:t>/ C / D</w:t>
      </w:r>
      <w:r>
        <w:t>.</w:t>
      </w:r>
    </w:p>
    <w:p w14:paraId="6CE72023" w14:textId="77777777" w:rsidR="00DF410E" w:rsidRDefault="00CE7F43">
      <w:pPr>
        <w:jc w:val="both"/>
      </w:pPr>
      <w:r>
        <w:rPr>
          <w:b/>
          <w:u w:val="single"/>
        </w:rPr>
        <w:t>Caractéristiques de résistance et réaction au feu:</w:t>
      </w:r>
    </w:p>
    <w:p w14:paraId="79C8D0E7" w14:textId="77777777" w:rsidR="00DF410E" w:rsidRDefault="00CE7F43">
      <w:pPr>
        <w:jc w:val="both"/>
      </w:pPr>
      <w:r>
        <w:t>Dans le domaine de la sécurité en cas d’incendie des bâtiments nouveaux, l’ [AR 1994-07-07], et ses modifications, est d’application et fixe les exigences minimales à respecter en matière de prévention contre l’incendie et l’explosion. Cet AR comporte des exigences consacrées aux escaliers, cages d’escaliers, paliers et sas. Les exigences minimales en matière d’escaliers reliant plusieurs compartiments, et donc encloisonnés (cages d’escaliers, p. ex.), sont résumées au tableau ci-dessous. Les exigences varient selon la hauteur du bâtiment et s’appliquent à tous les bâtiments, à l’exception des bâtiments constitués de deux étages maximum et d’une surface totale inférieure ou égale à 100 m² et des habitations unifamiliales.</w:t>
      </w:r>
    </w:p>
    <w:p w14:paraId="2803273B" w14:textId="77777777" w:rsidR="00DF410E" w:rsidRDefault="00CE7F43">
      <w:pPr>
        <w:jc w:val="both"/>
      </w:pPr>
      <w:r>
        <w:t>Tableau:  Aperçu des prescriptions de l’[AR 1994-07-07] en matière d’escaliers reliant plusieurs compartiments</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DF410E" w14:paraId="7822178C" w14:textId="77777777">
        <w:tc>
          <w:tcPr>
            <w:tcW w:w="2250" w:type="dxa"/>
            <w:noWrap/>
          </w:tcPr>
          <w:p w14:paraId="1C04B8E9" w14:textId="77777777" w:rsidR="00DF410E" w:rsidRDefault="00CE7F43">
            <w:r>
              <w:rPr>
                <w:i/>
              </w:rPr>
              <w:t>Prescriptions</w:t>
            </w:r>
          </w:p>
        </w:tc>
        <w:tc>
          <w:tcPr>
            <w:tcW w:w="2250" w:type="dxa"/>
            <w:noWrap/>
          </w:tcPr>
          <w:p w14:paraId="7C367824" w14:textId="77777777" w:rsidR="00DF410E" w:rsidRDefault="00CE7F43">
            <w:r>
              <w:rPr>
                <w:i/>
              </w:rPr>
              <w:t>Bâtiments bas            (H &lt; 10 m)</w:t>
            </w:r>
          </w:p>
        </w:tc>
        <w:tc>
          <w:tcPr>
            <w:tcW w:w="2250" w:type="dxa"/>
            <w:noWrap/>
          </w:tcPr>
          <w:p w14:paraId="50ABF171" w14:textId="77777777" w:rsidR="00DF410E" w:rsidRDefault="00CE7F43">
            <w:r>
              <w:rPr>
                <w:i/>
              </w:rPr>
              <w:t>Bâtiments moyens    (10 m ≤ H ≤ 25 m)</w:t>
            </w:r>
          </w:p>
        </w:tc>
        <w:tc>
          <w:tcPr>
            <w:tcW w:w="2250" w:type="dxa"/>
            <w:noWrap/>
          </w:tcPr>
          <w:p w14:paraId="6F5A5955" w14:textId="77777777" w:rsidR="00DF410E" w:rsidRDefault="00CE7F43">
            <w:r>
              <w:rPr>
                <w:i/>
              </w:rPr>
              <w:t>Bâtiments élevés        (H &gt; 25 m)</w:t>
            </w:r>
          </w:p>
        </w:tc>
      </w:tr>
      <w:tr w:rsidR="00DF410E" w14:paraId="210CBCAF" w14:textId="77777777">
        <w:tc>
          <w:tcPr>
            <w:tcW w:w="2250" w:type="dxa"/>
            <w:noWrap/>
          </w:tcPr>
          <w:p w14:paraId="4EEE57DC" w14:textId="77777777" w:rsidR="00DF410E" w:rsidRDefault="00CE7F43">
            <w:r>
              <w:t>Largeur utile des volées d’escalier, paliers et sas </w:t>
            </w:r>
          </w:p>
        </w:tc>
        <w:tc>
          <w:tcPr>
            <w:tcW w:w="6750" w:type="dxa"/>
            <w:gridSpan w:val="3"/>
            <w:noWrap/>
          </w:tcPr>
          <w:p w14:paraId="28AD7275" w14:textId="77777777" w:rsidR="00DF410E" w:rsidRDefault="00CE7F43">
            <w:r>
              <w:t>Au moins égale à 80 cm (atteint au moins la largeur utile exigée, calculée selon l’annexe 1 de l’AR)</w:t>
            </w:r>
          </w:p>
        </w:tc>
      </w:tr>
      <w:tr w:rsidR="00DF410E" w14:paraId="564C7EF1" w14:textId="77777777">
        <w:tc>
          <w:tcPr>
            <w:tcW w:w="2250" w:type="dxa"/>
            <w:noWrap/>
          </w:tcPr>
          <w:p w14:paraId="00AF58AD" w14:textId="77777777" w:rsidR="00DF410E" w:rsidRDefault="00CE7F43">
            <w:r>
              <w:t>Pente</w:t>
            </w:r>
          </w:p>
        </w:tc>
        <w:tc>
          <w:tcPr>
            <w:tcW w:w="6750" w:type="dxa"/>
            <w:gridSpan w:val="3"/>
            <w:noWrap/>
          </w:tcPr>
          <w:p w14:paraId="61E982D1" w14:textId="77777777" w:rsidR="00DF410E" w:rsidRDefault="00CE7F43">
            <w:r>
              <w:t>Pas plus de 75%, càd un angle d’inclinaison maximum de 37°</w:t>
            </w:r>
          </w:p>
        </w:tc>
      </w:tr>
      <w:tr w:rsidR="00DF410E" w14:paraId="01F6E5D5" w14:textId="77777777">
        <w:tc>
          <w:tcPr>
            <w:tcW w:w="2250" w:type="dxa"/>
            <w:noWrap/>
          </w:tcPr>
          <w:p w14:paraId="4FAEC1E3" w14:textId="77777777" w:rsidR="00DF410E" w:rsidRDefault="00CE7F43">
            <w:r>
              <w:t>Giron</w:t>
            </w:r>
          </w:p>
        </w:tc>
        <w:tc>
          <w:tcPr>
            <w:tcW w:w="6750" w:type="dxa"/>
            <w:gridSpan w:val="3"/>
            <w:noWrap/>
          </w:tcPr>
          <w:p w14:paraId="7E50EF3D" w14:textId="77777777" w:rsidR="00DF410E" w:rsidRDefault="00CE7F43">
            <w:r>
              <w:t>Au moins 20 cm </w:t>
            </w:r>
          </w:p>
        </w:tc>
      </w:tr>
      <w:tr w:rsidR="00DF410E" w14:paraId="50BC57D6" w14:textId="77777777">
        <w:tc>
          <w:tcPr>
            <w:tcW w:w="2250" w:type="dxa"/>
            <w:noWrap/>
          </w:tcPr>
          <w:p w14:paraId="77DBDACB" w14:textId="77777777" w:rsidR="00DF410E" w:rsidRDefault="00CE7F43">
            <w:r>
              <w:t>Hauteur de marche</w:t>
            </w:r>
          </w:p>
        </w:tc>
        <w:tc>
          <w:tcPr>
            <w:tcW w:w="2250" w:type="dxa"/>
            <w:noWrap/>
          </w:tcPr>
          <w:p w14:paraId="4865835A" w14:textId="77777777" w:rsidR="00DF410E" w:rsidRDefault="00CE7F43">
            <w:r>
              <w:t>Maximum 18 cm</w:t>
            </w:r>
          </w:p>
        </w:tc>
        <w:tc>
          <w:tcPr>
            <w:tcW w:w="2250" w:type="dxa"/>
            <w:noWrap/>
          </w:tcPr>
          <w:p w14:paraId="796CE9EF" w14:textId="77777777" w:rsidR="00DF410E" w:rsidRDefault="00DF410E"/>
        </w:tc>
        <w:tc>
          <w:tcPr>
            <w:tcW w:w="2250" w:type="dxa"/>
            <w:noWrap/>
          </w:tcPr>
          <w:p w14:paraId="625778A6" w14:textId="77777777" w:rsidR="00DF410E" w:rsidRDefault="00DF410E"/>
        </w:tc>
      </w:tr>
      <w:tr w:rsidR="00DF410E" w14:paraId="20892127" w14:textId="77777777">
        <w:tc>
          <w:tcPr>
            <w:tcW w:w="2250" w:type="dxa"/>
            <w:noWrap/>
          </w:tcPr>
          <w:p w14:paraId="64829D48" w14:textId="77777777" w:rsidR="00DF410E" w:rsidRDefault="00CE7F43">
            <w:r>
              <w:t>Stabilité au feu</w:t>
            </w:r>
          </w:p>
        </w:tc>
        <w:tc>
          <w:tcPr>
            <w:tcW w:w="2250" w:type="dxa"/>
            <w:noWrap/>
          </w:tcPr>
          <w:p w14:paraId="01D8CC9E" w14:textId="77777777" w:rsidR="00DF410E" w:rsidRDefault="00CE7F43">
            <w:r>
              <w:t>R 30(*) </w:t>
            </w:r>
          </w:p>
        </w:tc>
        <w:tc>
          <w:tcPr>
            <w:tcW w:w="2250" w:type="dxa"/>
            <w:noWrap/>
          </w:tcPr>
          <w:p w14:paraId="752E8DBB" w14:textId="77777777" w:rsidR="00DF410E" w:rsidRDefault="00CE7F43">
            <w:r>
              <w:t>R 60</w:t>
            </w:r>
          </w:p>
        </w:tc>
        <w:tc>
          <w:tcPr>
            <w:tcW w:w="2250" w:type="dxa"/>
            <w:noWrap/>
          </w:tcPr>
          <w:p w14:paraId="160031F4" w14:textId="77777777" w:rsidR="00DF410E" w:rsidRDefault="00CE7F43">
            <w:r>
              <w:t>R 60</w:t>
            </w:r>
          </w:p>
        </w:tc>
      </w:tr>
      <w:tr w:rsidR="00DF410E" w14:paraId="6AB2C3C1" w14:textId="77777777">
        <w:tc>
          <w:tcPr>
            <w:tcW w:w="2250" w:type="dxa"/>
            <w:noWrap/>
          </w:tcPr>
          <w:p w14:paraId="47C9A1E5" w14:textId="77777777" w:rsidR="00DF410E" w:rsidRDefault="00CE7F43">
            <w:r>
              <w:t>Contremarches</w:t>
            </w:r>
          </w:p>
        </w:tc>
        <w:tc>
          <w:tcPr>
            <w:tcW w:w="2250" w:type="dxa"/>
            <w:noWrap/>
          </w:tcPr>
          <w:p w14:paraId="1D54A808" w14:textId="77777777" w:rsidR="00DF410E" w:rsidRDefault="00CE7F43">
            <w:r>
              <w:t>Pas d’exigences</w:t>
            </w:r>
          </w:p>
        </w:tc>
        <w:tc>
          <w:tcPr>
            <w:tcW w:w="2250" w:type="dxa"/>
            <w:noWrap/>
          </w:tcPr>
          <w:p w14:paraId="53BF0C94" w14:textId="77777777" w:rsidR="00DF410E" w:rsidRDefault="00CE7F43">
            <w:r>
              <w:t>Pleines</w:t>
            </w:r>
          </w:p>
        </w:tc>
        <w:tc>
          <w:tcPr>
            <w:tcW w:w="2250" w:type="dxa"/>
            <w:noWrap/>
          </w:tcPr>
          <w:p w14:paraId="63526327" w14:textId="77777777" w:rsidR="00DF410E" w:rsidRDefault="00CE7F43">
            <w:r>
              <w:t>Pleines</w:t>
            </w:r>
          </w:p>
        </w:tc>
      </w:tr>
      <w:tr w:rsidR="00DF410E" w14:paraId="22D54AA7" w14:textId="77777777">
        <w:tc>
          <w:tcPr>
            <w:tcW w:w="2250" w:type="dxa"/>
            <w:noWrap/>
          </w:tcPr>
          <w:p w14:paraId="670CB53A" w14:textId="77777777" w:rsidR="00DF410E" w:rsidRDefault="00DF410E"/>
          <w:p w14:paraId="6D916469" w14:textId="77777777" w:rsidR="00DF410E" w:rsidRDefault="00CE7F43">
            <w:r>
              <w:t>Géométries possibles de l’escalier </w:t>
            </w:r>
          </w:p>
        </w:tc>
        <w:tc>
          <w:tcPr>
            <w:tcW w:w="4500" w:type="dxa"/>
            <w:gridSpan w:val="2"/>
            <w:noWrap/>
          </w:tcPr>
          <w:p w14:paraId="7DC5F106" w14:textId="77777777" w:rsidR="00DF410E" w:rsidRDefault="00CE7F43">
            <w:r>
              <w:br/>
            </w:r>
          </w:p>
          <w:p w14:paraId="2DBC6E23" w14:textId="77777777" w:rsidR="00DF410E" w:rsidRDefault="00CE7F43">
            <w:pPr>
              <w:pStyle w:val="Author-eListParagraph"/>
              <w:numPr>
                <w:ilvl w:val="0"/>
                <w:numId w:val="971"/>
              </w:numPr>
            </w:pPr>
            <w:r>
              <w:t>Escalier droit</w:t>
            </w:r>
          </w:p>
          <w:p w14:paraId="30DA1167" w14:textId="77777777" w:rsidR="00DF410E" w:rsidRDefault="00CE7F43">
            <w:pPr>
              <w:pStyle w:val="Author-eListParagraph"/>
              <w:numPr>
                <w:ilvl w:val="0"/>
                <w:numId w:val="971"/>
              </w:numPr>
            </w:pPr>
            <w:r>
              <w:t>Les escaliers tournants sont autorisés pour autant que les marches soient balancées et qu’elles possèdent un giron d’au moins 24 cm sur la ligne de foulée</w:t>
            </w:r>
          </w:p>
          <w:p w14:paraId="38DA6A58" w14:textId="77777777" w:rsidR="00DF410E" w:rsidRDefault="00DF410E"/>
        </w:tc>
        <w:tc>
          <w:tcPr>
            <w:tcW w:w="2250" w:type="dxa"/>
            <w:noWrap/>
          </w:tcPr>
          <w:p w14:paraId="2E2E8836" w14:textId="77777777" w:rsidR="00DF410E" w:rsidRDefault="00CE7F43">
            <w:r>
              <w:br/>
            </w:r>
          </w:p>
          <w:p w14:paraId="4A2C5C14" w14:textId="77777777" w:rsidR="00DF410E" w:rsidRDefault="00CE7F43">
            <w:pPr>
              <w:pStyle w:val="Author-eListParagraph"/>
              <w:numPr>
                <w:ilvl w:val="0"/>
                <w:numId w:val="972"/>
              </w:numPr>
            </w:pPr>
            <w:r>
              <w:t>Escalier droit</w:t>
            </w:r>
          </w:p>
        </w:tc>
      </w:tr>
      <w:tr w:rsidR="00DF410E" w14:paraId="1D924693" w14:textId="77777777">
        <w:tc>
          <w:tcPr>
            <w:tcW w:w="2250" w:type="dxa"/>
            <w:noWrap/>
          </w:tcPr>
          <w:p w14:paraId="6B9DA4E8" w14:textId="77777777" w:rsidR="00DF410E" w:rsidRDefault="00DF410E"/>
          <w:p w14:paraId="19CC59FC" w14:textId="77777777" w:rsidR="00DF410E" w:rsidRDefault="00CE7F43">
            <w:r>
              <w:t>Palier</w:t>
            </w:r>
          </w:p>
        </w:tc>
        <w:tc>
          <w:tcPr>
            <w:tcW w:w="2250" w:type="dxa"/>
            <w:noWrap/>
          </w:tcPr>
          <w:p w14:paraId="4FA4DC35" w14:textId="77777777" w:rsidR="00DF410E" w:rsidRDefault="00DF410E"/>
          <w:p w14:paraId="02A0B7EC" w14:textId="77777777" w:rsidR="00DF410E" w:rsidRDefault="00CE7F43">
            <w:r>
              <w:t>La largeur utile de la volée d’escalier et du palier d’un même compartiment ne peut différer de plus d’une unité de passage (largeur minimale considérée comme nécessaire au passage d’une personne)</w:t>
            </w:r>
          </w:p>
          <w:p w14:paraId="6ABC83F7" w14:textId="77777777" w:rsidR="00DF410E" w:rsidRDefault="00DF410E"/>
        </w:tc>
        <w:tc>
          <w:tcPr>
            <w:tcW w:w="4500" w:type="dxa"/>
            <w:gridSpan w:val="2"/>
            <w:noWrap/>
          </w:tcPr>
          <w:p w14:paraId="5D1F9384" w14:textId="77777777" w:rsidR="00DF410E" w:rsidRDefault="00DF410E"/>
          <w:p w14:paraId="1F6B184E" w14:textId="77777777" w:rsidR="00DF410E" w:rsidRDefault="00CE7F43">
            <w:pPr>
              <w:jc w:val="both"/>
            </w:pPr>
            <w:r>
              <w:t>– La largeur utile de la volée d’escalier et du palier d’un même compartiment ne peut différer de plus d’une unité de passage (largeur minimale considérée comme nécessaire au passage d’une personne)</w:t>
            </w:r>
          </w:p>
          <w:p w14:paraId="6A902AA5" w14:textId="77777777" w:rsidR="00DF410E" w:rsidRDefault="00CE7F43">
            <w:pPr>
              <w:jc w:val="both"/>
            </w:pPr>
            <w:r>
              <w:t>– L’ouverture de la porte ne peut réduire la largeur utile </w:t>
            </w:r>
          </w:p>
          <w:p w14:paraId="37C0F2A1" w14:textId="77777777" w:rsidR="00DF410E" w:rsidRDefault="00DF410E">
            <w:pPr>
              <w:jc w:val="both"/>
            </w:pPr>
          </w:p>
          <w:p w14:paraId="0028D98B" w14:textId="77777777" w:rsidR="00DF410E" w:rsidRDefault="00DF410E">
            <w:pPr>
              <w:jc w:val="both"/>
            </w:pPr>
          </w:p>
          <w:p w14:paraId="3A2E4ED0" w14:textId="77777777" w:rsidR="00DF410E" w:rsidRDefault="00DF410E"/>
        </w:tc>
      </w:tr>
    </w:tbl>
    <w:p w14:paraId="0FAA426F" w14:textId="77777777" w:rsidR="00DF410E" w:rsidRDefault="00CE7F43">
      <w:pPr>
        <w:jc w:val="both"/>
      </w:pPr>
      <w:r>
        <w:t>(*) Toutefois, pour les bâtiments bas, aucune stabilité au feu n’est requise pour les escaliers composés uniquement de matériaux de classe A1 ayant une température de fusion &gt; 727°C.</w:t>
      </w:r>
    </w:p>
    <w:p w14:paraId="11C34550" w14:textId="77777777" w:rsidR="00DF410E" w:rsidRDefault="00CE7F43">
      <w:pPr>
        <w:jc w:val="both"/>
      </w:pPr>
      <w:r>
        <w:t>Pour la résistance au feu, l'évaluation des caractéristiques R doit être réalisée tel que spécifié dans la norme de classification [NBN EN 13501-2] ou, si cela est pertinent, en utilisant les méthodes d'essai de la [NBN EN 1365-6]. La résistance au feu peut également être évaluée par calcul conformément aux normes Eurocodes structuraux [NBN EN 1995-1-2]. Les classifications adaptées de l'escalier doivent être choisies par le fabricant conformément aux spécifications correspondant à l'utilisation prévue.</w:t>
      </w:r>
    </w:p>
    <w:p w14:paraId="0B46CF41" w14:textId="77777777" w:rsidR="00DF410E" w:rsidRDefault="00CE7F43">
      <w:pPr>
        <w:jc w:val="both"/>
      </w:pPr>
      <w:r>
        <w:t>Le fabricant doit s’assurer que les composants utilisés dans l’escalier fini doivent rester identiques ou ne changent pas d’une manière susceptible de modifier les valeurs obtenues pour la capacité portante.</w:t>
      </w:r>
    </w:p>
    <w:p w14:paraId="3689A524" w14:textId="77777777" w:rsidR="00DF410E" w:rsidRDefault="00CE7F43">
      <w:pPr>
        <w:jc w:val="both"/>
      </w:pPr>
      <w:r>
        <w:t>L’évaluation et la classification doivent être réalisées telles que spécifiées dans la [NBN EN 13501-1] (voir l'Annexe D).</w:t>
      </w:r>
    </w:p>
    <w:p w14:paraId="59911637" w14:textId="77777777" w:rsidR="00DF410E" w:rsidRDefault="00CE7F43">
      <w:pPr>
        <w:jc w:val="both"/>
      </w:pPr>
      <w:r>
        <w:t>Les exigences de réaction au feu des marches sont définies pour les bâtiments de</w:t>
      </w:r>
    </w:p>
    <w:p w14:paraId="2E0E2867" w14:textId="77777777" w:rsidR="00DF410E" w:rsidRDefault="00CE7F43">
      <w:pPr>
        <w:pStyle w:val="Author-eListParagraph"/>
        <w:numPr>
          <w:ilvl w:val="0"/>
          <w:numId w:val="973"/>
        </w:numPr>
      </w:pPr>
      <w:r>
        <w:t>Type 1: occupants non-autonomes(1)</w:t>
      </w:r>
    </w:p>
    <w:p w14:paraId="7030CAE3" w14:textId="77777777" w:rsidR="00DF410E" w:rsidRDefault="00CE7F43">
      <w:pPr>
        <w:pStyle w:val="Author-eListParagraph"/>
        <w:numPr>
          <w:ilvl w:val="0"/>
          <w:numId w:val="973"/>
        </w:numPr>
      </w:pPr>
      <w:r>
        <w:t>Type 2: occupants autonomes(2) et dormants(3)</w:t>
      </w:r>
    </w:p>
    <w:p w14:paraId="1AE44DA5" w14:textId="77777777" w:rsidR="00DF410E" w:rsidRDefault="00CE7F43">
      <w:pPr>
        <w:pStyle w:val="Author-eListParagraph"/>
        <w:numPr>
          <w:ilvl w:val="0"/>
          <w:numId w:val="973"/>
        </w:numPr>
      </w:pPr>
      <w:r>
        <w:t>Type 3: occupants autonomes(2) et vigilants(4)</w:t>
      </w:r>
      <w:r>
        <w:br/>
      </w:r>
    </w:p>
    <w:p w14:paraId="43836B10" w14:textId="77777777" w:rsidR="00DF410E" w:rsidRDefault="00CE7F43">
      <w:r>
        <w:t xml:space="preserve">Les escaliers sont utilisés en bâtiment de type </w:t>
      </w:r>
      <w:r>
        <w:rPr>
          <w:rStyle w:val="optioncarChar"/>
        </w:rPr>
        <w:t>1 / 2 / 3</w:t>
      </w:r>
      <w:r>
        <w:t>.</w:t>
      </w:r>
    </w:p>
    <w:p w14:paraId="23AF2087" w14:textId="77777777" w:rsidR="00DF410E" w:rsidRDefault="00CE7F43">
      <w:pPr>
        <w:jc w:val="both"/>
      </w:pPr>
      <w:r>
        <w:t xml:space="preserve">Il s’agit d’une application pour </w:t>
      </w:r>
      <w:r>
        <w:rPr>
          <w:rStyle w:val="optioncarChar"/>
        </w:rPr>
        <w:t>bâtiment bas BB (H &lt; 10 m) / Bâtiments moyens BM (10 m ≤ H ≤ 25 m) / Bâtiments élevés BE (H &gt; 25 m)</w:t>
      </w:r>
      <w:r>
        <w:t>.</w:t>
      </w:r>
    </w:p>
    <w:p w14:paraId="107F9B1C" w14:textId="77777777" w:rsidR="00DF410E" w:rsidRDefault="00CE7F43">
      <w:pPr>
        <w:jc w:val="both"/>
      </w:pPr>
      <w:r>
        <w:t>Les classifications de réaction au feu des matériaux sont données en fonction du type de bâtiment et de sa hauteur</w:t>
      </w:r>
    </w:p>
    <w:p w14:paraId="0A6E4044" w14:textId="77777777" w:rsidR="00DF410E" w:rsidRDefault="00CE7F43">
      <w:pPr>
        <w:jc w:val="both"/>
      </w:pPr>
      <w:r>
        <w:rPr>
          <w:u w:val="single"/>
        </w:rPr>
        <w:t>Sans détection de type surveillance généralisée du bâtiment</w:t>
      </w:r>
    </w:p>
    <w:tbl>
      <w:tblPr>
        <w:tblStyle w:val="Author-eTableGrid"/>
        <w:tblW w:w="0" w:type="auto"/>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tblGrid>
      <w:tr w:rsidR="00DF410E" w14:paraId="015692D7" w14:textId="77777777">
        <w:tc>
          <w:tcPr>
            <w:tcW w:w="810" w:type="dxa"/>
            <w:noWrap/>
          </w:tcPr>
          <w:p w14:paraId="42A421EE" w14:textId="77777777" w:rsidR="00DF410E" w:rsidRDefault="00DF410E"/>
        </w:tc>
        <w:tc>
          <w:tcPr>
            <w:tcW w:w="810" w:type="dxa"/>
            <w:noWrap/>
          </w:tcPr>
          <w:p w14:paraId="2DB68E44" w14:textId="77777777" w:rsidR="00DF410E" w:rsidRDefault="00CE7F43">
            <w:r>
              <w:t>Type 1</w:t>
            </w:r>
          </w:p>
        </w:tc>
        <w:tc>
          <w:tcPr>
            <w:tcW w:w="810" w:type="dxa"/>
            <w:noWrap/>
          </w:tcPr>
          <w:p w14:paraId="4F7C8245" w14:textId="77777777" w:rsidR="00DF410E" w:rsidRDefault="00CE7F43">
            <w:r>
              <w:t>Type 2</w:t>
            </w:r>
          </w:p>
          <w:p w14:paraId="769E7A6A" w14:textId="77777777" w:rsidR="00DF410E" w:rsidRDefault="00CE7F43">
            <w:r>
              <w:t>BB</w:t>
            </w:r>
          </w:p>
          <w:p w14:paraId="38CB1D2F" w14:textId="77777777" w:rsidR="00DF410E" w:rsidRDefault="00CE7F43">
            <w:r>
              <w:t>Hor</w:t>
            </w:r>
          </w:p>
        </w:tc>
        <w:tc>
          <w:tcPr>
            <w:tcW w:w="810" w:type="dxa"/>
            <w:noWrap/>
          </w:tcPr>
          <w:p w14:paraId="632B6478" w14:textId="77777777" w:rsidR="00DF410E" w:rsidRDefault="00CE7F43">
            <w:r>
              <w:t>Type 2</w:t>
            </w:r>
          </w:p>
          <w:p w14:paraId="12BA4BFA" w14:textId="77777777" w:rsidR="00DF410E" w:rsidRDefault="00CE7F43">
            <w:r>
              <w:t>BB</w:t>
            </w:r>
          </w:p>
          <w:p w14:paraId="10017D61" w14:textId="77777777" w:rsidR="00DF410E" w:rsidRDefault="00CE7F43">
            <w:r>
              <w:t>Vert</w:t>
            </w:r>
          </w:p>
        </w:tc>
        <w:tc>
          <w:tcPr>
            <w:tcW w:w="810" w:type="dxa"/>
            <w:noWrap/>
          </w:tcPr>
          <w:p w14:paraId="2433B7A0" w14:textId="77777777" w:rsidR="00DF410E" w:rsidRDefault="00CE7F43">
            <w:r>
              <w:t>Type 2</w:t>
            </w:r>
          </w:p>
          <w:p w14:paraId="6F18303E" w14:textId="77777777" w:rsidR="00DF410E" w:rsidRDefault="00CE7F43">
            <w:r>
              <w:t>BM</w:t>
            </w:r>
          </w:p>
        </w:tc>
        <w:tc>
          <w:tcPr>
            <w:tcW w:w="810" w:type="dxa"/>
            <w:noWrap/>
          </w:tcPr>
          <w:p w14:paraId="0DFFA06E" w14:textId="77777777" w:rsidR="00DF410E" w:rsidRDefault="00CE7F43">
            <w:r>
              <w:t>Type 2</w:t>
            </w:r>
          </w:p>
          <w:p w14:paraId="22BA50A3" w14:textId="77777777" w:rsidR="00DF410E" w:rsidRDefault="00CE7F43">
            <w:r>
              <w:t>BE</w:t>
            </w:r>
          </w:p>
        </w:tc>
        <w:tc>
          <w:tcPr>
            <w:tcW w:w="810" w:type="dxa"/>
            <w:noWrap/>
          </w:tcPr>
          <w:p w14:paraId="60B44B4A" w14:textId="77777777" w:rsidR="00DF410E" w:rsidRDefault="00CE7F43">
            <w:r>
              <w:t>Type 3</w:t>
            </w:r>
          </w:p>
          <w:p w14:paraId="7FB93A0F" w14:textId="77777777" w:rsidR="00DF410E" w:rsidRDefault="00CE7F43">
            <w:r>
              <w:t>BB</w:t>
            </w:r>
          </w:p>
          <w:p w14:paraId="7FF54C07" w14:textId="77777777" w:rsidR="00DF410E" w:rsidRDefault="00CE7F43">
            <w:r>
              <w:t>Hor</w:t>
            </w:r>
          </w:p>
        </w:tc>
        <w:tc>
          <w:tcPr>
            <w:tcW w:w="810" w:type="dxa"/>
            <w:noWrap/>
          </w:tcPr>
          <w:p w14:paraId="0072AF0B" w14:textId="77777777" w:rsidR="00DF410E" w:rsidRDefault="00CE7F43">
            <w:r>
              <w:t>Type 3</w:t>
            </w:r>
          </w:p>
          <w:p w14:paraId="4AB1EE45" w14:textId="77777777" w:rsidR="00DF410E" w:rsidRDefault="00CE7F43">
            <w:r>
              <w:t>BB</w:t>
            </w:r>
          </w:p>
          <w:p w14:paraId="270EAC87" w14:textId="77777777" w:rsidR="00DF410E" w:rsidRDefault="00CE7F43">
            <w:r>
              <w:t>Vert</w:t>
            </w:r>
          </w:p>
        </w:tc>
        <w:tc>
          <w:tcPr>
            <w:tcW w:w="810" w:type="dxa"/>
            <w:noWrap/>
          </w:tcPr>
          <w:p w14:paraId="78FD85B7" w14:textId="77777777" w:rsidR="00DF410E" w:rsidRDefault="00CE7F43">
            <w:r>
              <w:t>Type 3</w:t>
            </w:r>
          </w:p>
          <w:p w14:paraId="30FFB30B" w14:textId="77777777" w:rsidR="00DF410E" w:rsidRDefault="00CE7F43">
            <w:r>
              <w:t>BM</w:t>
            </w:r>
          </w:p>
          <w:p w14:paraId="5C8486AF" w14:textId="77777777" w:rsidR="00DF410E" w:rsidRDefault="00CE7F43">
            <w:r>
              <w:t>Hor</w:t>
            </w:r>
          </w:p>
        </w:tc>
        <w:tc>
          <w:tcPr>
            <w:tcW w:w="810" w:type="dxa"/>
            <w:noWrap/>
          </w:tcPr>
          <w:p w14:paraId="632FD1AC" w14:textId="77777777" w:rsidR="00DF410E" w:rsidRDefault="00CE7F43">
            <w:r>
              <w:t>Type 3</w:t>
            </w:r>
          </w:p>
          <w:p w14:paraId="3C8B951E" w14:textId="77777777" w:rsidR="00DF410E" w:rsidRDefault="00CE7F43">
            <w:r>
              <w:t>BM</w:t>
            </w:r>
          </w:p>
          <w:p w14:paraId="51E46D60" w14:textId="77777777" w:rsidR="00DF410E" w:rsidRDefault="00CE7F43">
            <w:r>
              <w:t>vert</w:t>
            </w:r>
          </w:p>
        </w:tc>
        <w:tc>
          <w:tcPr>
            <w:tcW w:w="810" w:type="dxa"/>
            <w:noWrap/>
          </w:tcPr>
          <w:p w14:paraId="4344CEAC" w14:textId="77777777" w:rsidR="00DF410E" w:rsidRDefault="00CE7F43">
            <w:r>
              <w:t>Type 3</w:t>
            </w:r>
          </w:p>
          <w:p w14:paraId="41B96B4F" w14:textId="77777777" w:rsidR="00DF410E" w:rsidRDefault="00CE7F43">
            <w:r>
              <w:t>BE</w:t>
            </w:r>
          </w:p>
        </w:tc>
      </w:tr>
      <w:tr w:rsidR="00DF410E" w14:paraId="1019A3E5" w14:textId="77777777">
        <w:tc>
          <w:tcPr>
            <w:tcW w:w="810" w:type="dxa"/>
            <w:noWrap/>
          </w:tcPr>
          <w:p w14:paraId="714BED1D" w14:textId="77777777" w:rsidR="00DF410E" w:rsidRDefault="00CE7F43">
            <w:r>
              <w:t>Parois verticales</w:t>
            </w:r>
          </w:p>
        </w:tc>
        <w:tc>
          <w:tcPr>
            <w:tcW w:w="810" w:type="dxa"/>
            <w:noWrap/>
          </w:tcPr>
          <w:p w14:paraId="08D4556B" w14:textId="77777777" w:rsidR="00DF410E" w:rsidRDefault="00CE7F43">
            <w:r>
              <w:t>A2 s1 d1</w:t>
            </w:r>
          </w:p>
        </w:tc>
        <w:tc>
          <w:tcPr>
            <w:tcW w:w="810" w:type="dxa"/>
            <w:noWrap/>
          </w:tcPr>
          <w:p w14:paraId="54DDADD5" w14:textId="77777777" w:rsidR="00DF410E" w:rsidRDefault="00CE7F43">
            <w:r>
              <w:t>C s2 d2</w:t>
            </w:r>
          </w:p>
        </w:tc>
        <w:tc>
          <w:tcPr>
            <w:tcW w:w="810" w:type="dxa"/>
            <w:noWrap/>
          </w:tcPr>
          <w:p w14:paraId="5762948D" w14:textId="77777777" w:rsidR="00DF410E" w:rsidRDefault="00CE7F43">
            <w:r>
              <w:t>B s1 d2</w:t>
            </w:r>
          </w:p>
        </w:tc>
        <w:tc>
          <w:tcPr>
            <w:tcW w:w="810" w:type="dxa"/>
            <w:noWrap/>
          </w:tcPr>
          <w:p w14:paraId="7BE9CCB2" w14:textId="77777777" w:rsidR="00DF410E" w:rsidRDefault="00CE7F43">
            <w:r>
              <w:t>B s1 d2</w:t>
            </w:r>
          </w:p>
        </w:tc>
        <w:tc>
          <w:tcPr>
            <w:tcW w:w="810" w:type="dxa"/>
            <w:noWrap/>
          </w:tcPr>
          <w:p w14:paraId="535EC2F2" w14:textId="77777777" w:rsidR="00DF410E" w:rsidRDefault="00CE7F43">
            <w:r>
              <w:t>B s1 d2</w:t>
            </w:r>
          </w:p>
        </w:tc>
        <w:tc>
          <w:tcPr>
            <w:tcW w:w="810" w:type="dxa"/>
            <w:noWrap/>
          </w:tcPr>
          <w:p w14:paraId="7569A889" w14:textId="77777777" w:rsidR="00DF410E" w:rsidRDefault="00CE7F43">
            <w:r>
              <w:t>D s3 d2</w:t>
            </w:r>
          </w:p>
        </w:tc>
        <w:tc>
          <w:tcPr>
            <w:tcW w:w="810" w:type="dxa"/>
            <w:noWrap/>
          </w:tcPr>
          <w:p w14:paraId="71737BD0" w14:textId="77777777" w:rsidR="00DF410E" w:rsidRDefault="00CE7F43">
            <w:r>
              <w:t>C s3 d2</w:t>
            </w:r>
          </w:p>
        </w:tc>
        <w:tc>
          <w:tcPr>
            <w:tcW w:w="810" w:type="dxa"/>
            <w:noWrap/>
          </w:tcPr>
          <w:p w14:paraId="7661D810" w14:textId="77777777" w:rsidR="00DF410E" w:rsidRDefault="00CE7F43">
            <w:r>
              <w:t>C s2 d2</w:t>
            </w:r>
          </w:p>
        </w:tc>
        <w:tc>
          <w:tcPr>
            <w:tcW w:w="810" w:type="dxa"/>
            <w:noWrap/>
          </w:tcPr>
          <w:p w14:paraId="22AAE79C" w14:textId="77777777" w:rsidR="00DF410E" w:rsidRDefault="00CE7F43">
            <w:r>
              <w:t>B s2 d2</w:t>
            </w:r>
          </w:p>
        </w:tc>
        <w:tc>
          <w:tcPr>
            <w:tcW w:w="810" w:type="dxa"/>
            <w:noWrap/>
          </w:tcPr>
          <w:p w14:paraId="118400A6" w14:textId="77777777" w:rsidR="00DF410E" w:rsidRDefault="00CE7F43">
            <w:r>
              <w:t>B s1 d2</w:t>
            </w:r>
          </w:p>
        </w:tc>
      </w:tr>
      <w:tr w:rsidR="00DF410E" w14:paraId="16B8E80D" w14:textId="77777777">
        <w:tc>
          <w:tcPr>
            <w:tcW w:w="810" w:type="dxa"/>
            <w:noWrap/>
          </w:tcPr>
          <w:p w14:paraId="42B13586" w14:textId="77777777" w:rsidR="00DF410E" w:rsidRDefault="00CE7F43">
            <w:r>
              <w:t>Plafonds et faux-plafonds</w:t>
            </w:r>
          </w:p>
        </w:tc>
        <w:tc>
          <w:tcPr>
            <w:tcW w:w="810" w:type="dxa"/>
            <w:noWrap/>
          </w:tcPr>
          <w:p w14:paraId="235F2B66" w14:textId="77777777" w:rsidR="00DF410E" w:rsidRDefault="00CE7F43">
            <w:r>
              <w:t>A2 s1 d0</w:t>
            </w:r>
          </w:p>
        </w:tc>
        <w:tc>
          <w:tcPr>
            <w:tcW w:w="810" w:type="dxa"/>
            <w:noWrap/>
          </w:tcPr>
          <w:p w14:paraId="1510BA1B" w14:textId="77777777" w:rsidR="00DF410E" w:rsidRDefault="00CE7F43">
            <w:r>
              <w:t>C s2 d0</w:t>
            </w:r>
          </w:p>
        </w:tc>
        <w:tc>
          <w:tcPr>
            <w:tcW w:w="810" w:type="dxa"/>
            <w:noWrap/>
          </w:tcPr>
          <w:p w14:paraId="3DC04D50" w14:textId="77777777" w:rsidR="00DF410E" w:rsidRDefault="00CE7F43">
            <w:r>
              <w:t>B s1 d0</w:t>
            </w:r>
          </w:p>
        </w:tc>
        <w:tc>
          <w:tcPr>
            <w:tcW w:w="810" w:type="dxa"/>
            <w:noWrap/>
          </w:tcPr>
          <w:p w14:paraId="1562D60C" w14:textId="77777777" w:rsidR="00DF410E" w:rsidRDefault="00CE7F43">
            <w:r>
              <w:t>B s1 d0</w:t>
            </w:r>
          </w:p>
        </w:tc>
        <w:tc>
          <w:tcPr>
            <w:tcW w:w="810" w:type="dxa"/>
            <w:noWrap/>
          </w:tcPr>
          <w:p w14:paraId="0BBA57FD" w14:textId="77777777" w:rsidR="00DF410E" w:rsidRDefault="00CE7F43">
            <w:r>
              <w:t>B s1 d0</w:t>
            </w:r>
          </w:p>
        </w:tc>
        <w:tc>
          <w:tcPr>
            <w:tcW w:w="810" w:type="dxa"/>
            <w:noWrap/>
          </w:tcPr>
          <w:p w14:paraId="06CE3F48" w14:textId="77777777" w:rsidR="00DF410E" w:rsidRDefault="00CE7F43">
            <w:r>
              <w:t>D s3 d0</w:t>
            </w:r>
          </w:p>
        </w:tc>
        <w:tc>
          <w:tcPr>
            <w:tcW w:w="810" w:type="dxa"/>
            <w:noWrap/>
          </w:tcPr>
          <w:p w14:paraId="315E73BD" w14:textId="77777777" w:rsidR="00DF410E" w:rsidRDefault="00CE7F43">
            <w:r>
              <w:t>C s3 d0</w:t>
            </w:r>
          </w:p>
        </w:tc>
        <w:tc>
          <w:tcPr>
            <w:tcW w:w="810" w:type="dxa"/>
            <w:noWrap/>
          </w:tcPr>
          <w:p w14:paraId="0F8AF78C" w14:textId="77777777" w:rsidR="00DF410E" w:rsidRDefault="00CE7F43">
            <w:r>
              <w:t>C s2 d0</w:t>
            </w:r>
          </w:p>
        </w:tc>
        <w:tc>
          <w:tcPr>
            <w:tcW w:w="810" w:type="dxa"/>
            <w:noWrap/>
          </w:tcPr>
          <w:p w14:paraId="61478030" w14:textId="77777777" w:rsidR="00DF410E" w:rsidRDefault="00CE7F43">
            <w:r>
              <w:t>B s2 d0</w:t>
            </w:r>
          </w:p>
        </w:tc>
        <w:tc>
          <w:tcPr>
            <w:tcW w:w="810" w:type="dxa"/>
            <w:noWrap/>
          </w:tcPr>
          <w:p w14:paraId="0F0D9279" w14:textId="77777777" w:rsidR="00DF410E" w:rsidRDefault="00CE7F43">
            <w:r>
              <w:t>B s1 d0</w:t>
            </w:r>
          </w:p>
        </w:tc>
      </w:tr>
      <w:tr w:rsidR="00DF410E" w14:paraId="5DD36911" w14:textId="77777777">
        <w:tc>
          <w:tcPr>
            <w:tcW w:w="810" w:type="dxa"/>
            <w:noWrap/>
          </w:tcPr>
          <w:p w14:paraId="4EAB081F" w14:textId="77777777" w:rsidR="00DF410E" w:rsidRDefault="00CE7F43">
            <w:r>
              <w:t>Sols</w:t>
            </w:r>
          </w:p>
        </w:tc>
        <w:tc>
          <w:tcPr>
            <w:tcW w:w="810" w:type="dxa"/>
            <w:noWrap/>
          </w:tcPr>
          <w:p w14:paraId="12637F75" w14:textId="77777777" w:rsidR="00DF410E" w:rsidRDefault="00CE7F43">
            <w:r>
              <w:t>A2FLs1</w:t>
            </w:r>
          </w:p>
        </w:tc>
        <w:tc>
          <w:tcPr>
            <w:tcW w:w="810" w:type="dxa"/>
            <w:noWrap/>
          </w:tcPr>
          <w:p w14:paraId="0E1D5817" w14:textId="77777777" w:rsidR="00DF410E" w:rsidRDefault="00CE7F43">
            <w:r>
              <w:t>CFL s1</w:t>
            </w:r>
          </w:p>
        </w:tc>
        <w:tc>
          <w:tcPr>
            <w:tcW w:w="810" w:type="dxa"/>
            <w:noWrap/>
          </w:tcPr>
          <w:p w14:paraId="16C920C2" w14:textId="77777777" w:rsidR="00DF410E" w:rsidRDefault="00CE7F43">
            <w:r>
              <w:t>BFL s1</w:t>
            </w:r>
          </w:p>
        </w:tc>
        <w:tc>
          <w:tcPr>
            <w:tcW w:w="810" w:type="dxa"/>
            <w:noWrap/>
          </w:tcPr>
          <w:p w14:paraId="3CFA6102" w14:textId="77777777" w:rsidR="00DF410E" w:rsidRDefault="00CE7F43">
            <w:r>
              <w:t>BFL s1</w:t>
            </w:r>
          </w:p>
        </w:tc>
        <w:tc>
          <w:tcPr>
            <w:tcW w:w="810" w:type="dxa"/>
            <w:noWrap/>
          </w:tcPr>
          <w:p w14:paraId="6C685BD8" w14:textId="77777777" w:rsidR="00DF410E" w:rsidRDefault="00CE7F43">
            <w:r>
              <w:t>BFL s1</w:t>
            </w:r>
          </w:p>
        </w:tc>
        <w:tc>
          <w:tcPr>
            <w:tcW w:w="810" w:type="dxa"/>
            <w:noWrap/>
          </w:tcPr>
          <w:p w14:paraId="7A9870AA" w14:textId="77777777" w:rsidR="00DF410E" w:rsidRDefault="00CE7F43">
            <w:r>
              <w:t>DFL s2</w:t>
            </w:r>
          </w:p>
        </w:tc>
        <w:tc>
          <w:tcPr>
            <w:tcW w:w="810" w:type="dxa"/>
            <w:noWrap/>
          </w:tcPr>
          <w:p w14:paraId="45272C0F" w14:textId="77777777" w:rsidR="00DF410E" w:rsidRDefault="00CE7F43">
            <w:r>
              <w:t>CFL s2</w:t>
            </w:r>
          </w:p>
        </w:tc>
        <w:tc>
          <w:tcPr>
            <w:tcW w:w="810" w:type="dxa"/>
            <w:noWrap/>
          </w:tcPr>
          <w:p w14:paraId="0AD2107F" w14:textId="77777777" w:rsidR="00DF410E" w:rsidRDefault="00CE7F43">
            <w:r>
              <w:t>CFL s1</w:t>
            </w:r>
          </w:p>
        </w:tc>
        <w:tc>
          <w:tcPr>
            <w:tcW w:w="810" w:type="dxa"/>
            <w:noWrap/>
          </w:tcPr>
          <w:p w14:paraId="37CF91D5" w14:textId="77777777" w:rsidR="00DF410E" w:rsidRDefault="00CE7F43">
            <w:r>
              <w:t>BFL s1</w:t>
            </w:r>
          </w:p>
        </w:tc>
        <w:tc>
          <w:tcPr>
            <w:tcW w:w="810" w:type="dxa"/>
            <w:noWrap/>
          </w:tcPr>
          <w:p w14:paraId="311A6CF9" w14:textId="77777777" w:rsidR="00DF410E" w:rsidRDefault="00CE7F43">
            <w:r>
              <w:t>BFL s1</w:t>
            </w:r>
          </w:p>
        </w:tc>
      </w:tr>
    </w:tbl>
    <w:p w14:paraId="12729E80" w14:textId="77777777" w:rsidR="00DF410E" w:rsidRDefault="00CE7F43">
      <w:r>
        <w:t>"Hor": Chemins d'évacuation horizontaux à l'exception de ceux du niveau d'évacuation</w:t>
      </w:r>
      <w:r>
        <w:br/>
        <w:t>"Vert": Chemins d'évacuation verticaux (c'est-à-dire cages d'escaliers y compris les sas, les paliers et les escaliers) et la partie horizontal du chemin d'évacuation au niveau d'évacuation à partir des cages d'escalier jusqu'à l'extérieur du bâtiment</w:t>
      </w:r>
    </w:p>
    <w:p w14:paraId="52374880" w14:textId="77777777" w:rsidR="00DF410E" w:rsidRDefault="00CE7F43">
      <w:r>
        <w:rPr>
          <w:u w:val="single"/>
        </w:rPr>
        <w:t>Avec détection de type surveillance généralisée du bâtiment comme décrit dans l'article 4.2 du projet d'annexe 5 des normes de base [AR 1994-07-07]</w:t>
      </w:r>
    </w:p>
    <w:tbl>
      <w:tblPr>
        <w:tblStyle w:val="Author-eTableGrid"/>
        <w:tblW w:w="0" w:type="auto"/>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tblGrid>
      <w:tr w:rsidR="00DF410E" w14:paraId="606DEFE3" w14:textId="77777777">
        <w:tc>
          <w:tcPr>
            <w:tcW w:w="810" w:type="dxa"/>
            <w:noWrap/>
          </w:tcPr>
          <w:p w14:paraId="2DE53297" w14:textId="77777777" w:rsidR="00DF410E" w:rsidRDefault="00DF410E"/>
        </w:tc>
        <w:tc>
          <w:tcPr>
            <w:tcW w:w="810" w:type="dxa"/>
            <w:noWrap/>
          </w:tcPr>
          <w:p w14:paraId="4CD28766" w14:textId="77777777" w:rsidR="00DF410E" w:rsidRDefault="00CE7F43">
            <w:r>
              <w:t>Type 1</w:t>
            </w:r>
          </w:p>
        </w:tc>
        <w:tc>
          <w:tcPr>
            <w:tcW w:w="810" w:type="dxa"/>
            <w:noWrap/>
          </w:tcPr>
          <w:p w14:paraId="43A124E7" w14:textId="77777777" w:rsidR="00DF410E" w:rsidRDefault="00CE7F43">
            <w:r>
              <w:t>Type 2</w:t>
            </w:r>
          </w:p>
          <w:p w14:paraId="18118B63" w14:textId="77777777" w:rsidR="00DF410E" w:rsidRDefault="00CE7F43">
            <w:r>
              <w:t>BB</w:t>
            </w:r>
          </w:p>
          <w:p w14:paraId="741D03CB" w14:textId="77777777" w:rsidR="00DF410E" w:rsidRDefault="00CE7F43">
            <w:r>
              <w:t>Hor</w:t>
            </w:r>
          </w:p>
        </w:tc>
        <w:tc>
          <w:tcPr>
            <w:tcW w:w="810" w:type="dxa"/>
            <w:noWrap/>
          </w:tcPr>
          <w:p w14:paraId="182770BE" w14:textId="77777777" w:rsidR="00DF410E" w:rsidRDefault="00CE7F43">
            <w:r>
              <w:t>Type 2</w:t>
            </w:r>
          </w:p>
          <w:p w14:paraId="3C1CF560" w14:textId="77777777" w:rsidR="00DF410E" w:rsidRDefault="00CE7F43">
            <w:r>
              <w:t>BB</w:t>
            </w:r>
          </w:p>
          <w:p w14:paraId="3DFE413C" w14:textId="77777777" w:rsidR="00DF410E" w:rsidRDefault="00CE7F43">
            <w:r>
              <w:t>Vert</w:t>
            </w:r>
          </w:p>
        </w:tc>
        <w:tc>
          <w:tcPr>
            <w:tcW w:w="810" w:type="dxa"/>
            <w:noWrap/>
          </w:tcPr>
          <w:p w14:paraId="5E198113" w14:textId="77777777" w:rsidR="00DF410E" w:rsidRDefault="00CE7F43">
            <w:r>
              <w:t>Type 2</w:t>
            </w:r>
          </w:p>
          <w:p w14:paraId="13798D6C" w14:textId="77777777" w:rsidR="00DF410E" w:rsidRDefault="00CE7F43">
            <w:r>
              <w:t>BM</w:t>
            </w:r>
          </w:p>
        </w:tc>
        <w:tc>
          <w:tcPr>
            <w:tcW w:w="810" w:type="dxa"/>
            <w:noWrap/>
          </w:tcPr>
          <w:p w14:paraId="393321B5" w14:textId="77777777" w:rsidR="00DF410E" w:rsidRDefault="00CE7F43">
            <w:r>
              <w:t>Type 2</w:t>
            </w:r>
          </w:p>
          <w:p w14:paraId="79A0DC71" w14:textId="77777777" w:rsidR="00DF410E" w:rsidRDefault="00CE7F43">
            <w:r>
              <w:t>BE</w:t>
            </w:r>
          </w:p>
        </w:tc>
        <w:tc>
          <w:tcPr>
            <w:tcW w:w="810" w:type="dxa"/>
            <w:noWrap/>
          </w:tcPr>
          <w:p w14:paraId="2B35C407" w14:textId="77777777" w:rsidR="00DF410E" w:rsidRDefault="00CE7F43">
            <w:r>
              <w:t>Type 3</w:t>
            </w:r>
          </w:p>
          <w:p w14:paraId="48AE0673" w14:textId="77777777" w:rsidR="00DF410E" w:rsidRDefault="00CE7F43">
            <w:r>
              <w:t>BB</w:t>
            </w:r>
          </w:p>
          <w:p w14:paraId="573A55AC" w14:textId="77777777" w:rsidR="00DF410E" w:rsidRDefault="00CE7F43">
            <w:r>
              <w:t>Hor</w:t>
            </w:r>
          </w:p>
        </w:tc>
        <w:tc>
          <w:tcPr>
            <w:tcW w:w="810" w:type="dxa"/>
            <w:noWrap/>
          </w:tcPr>
          <w:p w14:paraId="73F596E6" w14:textId="77777777" w:rsidR="00DF410E" w:rsidRDefault="00CE7F43">
            <w:r>
              <w:t>Type 3</w:t>
            </w:r>
          </w:p>
          <w:p w14:paraId="2FAAF994" w14:textId="77777777" w:rsidR="00DF410E" w:rsidRDefault="00CE7F43">
            <w:r>
              <w:t>BB</w:t>
            </w:r>
          </w:p>
          <w:p w14:paraId="4D357EB4" w14:textId="77777777" w:rsidR="00DF410E" w:rsidRDefault="00CE7F43">
            <w:r>
              <w:t>Vert</w:t>
            </w:r>
          </w:p>
        </w:tc>
        <w:tc>
          <w:tcPr>
            <w:tcW w:w="810" w:type="dxa"/>
            <w:noWrap/>
          </w:tcPr>
          <w:p w14:paraId="184A945D" w14:textId="77777777" w:rsidR="00DF410E" w:rsidRDefault="00CE7F43">
            <w:r>
              <w:t>Type 3</w:t>
            </w:r>
          </w:p>
          <w:p w14:paraId="002A6684" w14:textId="77777777" w:rsidR="00DF410E" w:rsidRDefault="00CE7F43">
            <w:r>
              <w:t>BM</w:t>
            </w:r>
          </w:p>
          <w:p w14:paraId="75AB884D" w14:textId="77777777" w:rsidR="00DF410E" w:rsidRDefault="00CE7F43">
            <w:r>
              <w:t>Hor</w:t>
            </w:r>
          </w:p>
        </w:tc>
        <w:tc>
          <w:tcPr>
            <w:tcW w:w="810" w:type="dxa"/>
            <w:noWrap/>
          </w:tcPr>
          <w:p w14:paraId="5098F493" w14:textId="77777777" w:rsidR="00DF410E" w:rsidRDefault="00CE7F43">
            <w:r>
              <w:t>Type 3</w:t>
            </w:r>
          </w:p>
          <w:p w14:paraId="16EB8458" w14:textId="77777777" w:rsidR="00DF410E" w:rsidRDefault="00CE7F43">
            <w:r>
              <w:t>BM</w:t>
            </w:r>
          </w:p>
          <w:p w14:paraId="6440EEBF" w14:textId="77777777" w:rsidR="00DF410E" w:rsidRDefault="00CE7F43">
            <w:r>
              <w:t>Vert</w:t>
            </w:r>
          </w:p>
        </w:tc>
        <w:tc>
          <w:tcPr>
            <w:tcW w:w="810" w:type="dxa"/>
            <w:noWrap/>
          </w:tcPr>
          <w:p w14:paraId="2A13F9DE" w14:textId="77777777" w:rsidR="00DF410E" w:rsidRDefault="00CE7F43">
            <w:r>
              <w:t>Type 3</w:t>
            </w:r>
          </w:p>
          <w:p w14:paraId="5B658360" w14:textId="77777777" w:rsidR="00DF410E" w:rsidRDefault="00CE7F43">
            <w:r>
              <w:t>BE</w:t>
            </w:r>
          </w:p>
        </w:tc>
      </w:tr>
      <w:tr w:rsidR="00DF410E" w14:paraId="545CEFED" w14:textId="77777777">
        <w:tc>
          <w:tcPr>
            <w:tcW w:w="810" w:type="dxa"/>
            <w:noWrap/>
          </w:tcPr>
          <w:p w14:paraId="7498B486" w14:textId="77777777" w:rsidR="00DF410E" w:rsidRDefault="00CE7F43">
            <w:r>
              <w:t>Parois verticales</w:t>
            </w:r>
          </w:p>
        </w:tc>
        <w:tc>
          <w:tcPr>
            <w:tcW w:w="810" w:type="dxa"/>
            <w:noWrap/>
          </w:tcPr>
          <w:p w14:paraId="21526973" w14:textId="77777777" w:rsidR="00DF410E" w:rsidRDefault="00CE7F43">
            <w:r>
              <w:t>B s1 d2</w:t>
            </w:r>
          </w:p>
        </w:tc>
        <w:tc>
          <w:tcPr>
            <w:tcW w:w="810" w:type="dxa"/>
            <w:noWrap/>
          </w:tcPr>
          <w:p w14:paraId="71A4227D" w14:textId="77777777" w:rsidR="00DF410E" w:rsidRDefault="00CE7F43">
            <w:r>
              <w:t>D s2 d2</w:t>
            </w:r>
          </w:p>
        </w:tc>
        <w:tc>
          <w:tcPr>
            <w:tcW w:w="810" w:type="dxa"/>
            <w:noWrap/>
          </w:tcPr>
          <w:p w14:paraId="40CBFAB7" w14:textId="77777777" w:rsidR="00DF410E" w:rsidRDefault="00CE7F43">
            <w:r>
              <w:t>C s1 d2</w:t>
            </w:r>
          </w:p>
        </w:tc>
        <w:tc>
          <w:tcPr>
            <w:tcW w:w="810" w:type="dxa"/>
            <w:noWrap/>
          </w:tcPr>
          <w:p w14:paraId="6C5E0822" w14:textId="77777777" w:rsidR="00DF410E" w:rsidRDefault="00CE7F43">
            <w:r>
              <w:t>C s1 d2</w:t>
            </w:r>
          </w:p>
        </w:tc>
        <w:tc>
          <w:tcPr>
            <w:tcW w:w="810" w:type="dxa"/>
            <w:noWrap/>
          </w:tcPr>
          <w:p w14:paraId="6E6AEF65" w14:textId="77777777" w:rsidR="00DF410E" w:rsidRDefault="00CE7F43">
            <w:r>
              <w:t>B s1 d2</w:t>
            </w:r>
          </w:p>
        </w:tc>
        <w:tc>
          <w:tcPr>
            <w:tcW w:w="810" w:type="dxa"/>
            <w:noWrap/>
          </w:tcPr>
          <w:p w14:paraId="176ED707" w14:textId="77777777" w:rsidR="00DF410E" w:rsidRDefault="00CE7F43">
            <w:r>
              <w:t>D s3 d2</w:t>
            </w:r>
          </w:p>
        </w:tc>
        <w:tc>
          <w:tcPr>
            <w:tcW w:w="810" w:type="dxa"/>
            <w:noWrap/>
          </w:tcPr>
          <w:p w14:paraId="123BD939" w14:textId="77777777" w:rsidR="00DF410E" w:rsidRDefault="00CE7F43">
            <w:r>
              <w:t>D s3 d2</w:t>
            </w:r>
          </w:p>
        </w:tc>
        <w:tc>
          <w:tcPr>
            <w:tcW w:w="810" w:type="dxa"/>
            <w:noWrap/>
          </w:tcPr>
          <w:p w14:paraId="1D092398" w14:textId="77777777" w:rsidR="00DF410E" w:rsidRDefault="00CE7F43">
            <w:r>
              <w:t>C s2 d2</w:t>
            </w:r>
          </w:p>
        </w:tc>
        <w:tc>
          <w:tcPr>
            <w:tcW w:w="810" w:type="dxa"/>
            <w:noWrap/>
          </w:tcPr>
          <w:p w14:paraId="02A7476E" w14:textId="77777777" w:rsidR="00DF410E" w:rsidRDefault="00CE7F43">
            <w:r>
              <w:t>C s2 d2</w:t>
            </w:r>
          </w:p>
        </w:tc>
        <w:tc>
          <w:tcPr>
            <w:tcW w:w="810" w:type="dxa"/>
            <w:noWrap/>
          </w:tcPr>
          <w:p w14:paraId="666BE5D4" w14:textId="77777777" w:rsidR="00DF410E" w:rsidRDefault="00CE7F43">
            <w:r>
              <w:t>B s1 d2</w:t>
            </w:r>
          </w:p>
        </w:tc>
      </w:tr>
      <w:tr w:rsidR="00DF410E" w14:paraId="6FE700DA" w14:textId="77777777">
        <w:tc>
          <w:tcPr>
            <w:tcW w:w="810" w:type="dxa"/>
            <w:noWrap/>
          </w:tcPr>
          <w:p w14:paraId="0C6D35E3" w14:textId="77777777" w:rsidR="00DF410E" w:rsidRDefault="00CE7F43">
            <w:r>
              <w:t>Plafonds et faux-plafonds</w:t>
            </w:r>
          </w:p>
        </w:tc>
        <w:tc>
          <w:tcPr>
            <w:tcW w:w="810" w:type="dxa"/>
            <w:noWrap/>
          </w:tcPr>
          <w:p w14:paraId="54B8F053" w14:textId="77777777" w:rsidR="00DF410E" w:rsidRDefault="00CE7F43">
            <w:r>
              <w:t>B s1 d0</w:t>
            </w:r>
          </w:p>
        </w:tc>
        <w:tc>
          <w:tcPr>
            <w:tcW w:w="810" w:type="dxa"/>
            <w:noWrap/>
          </w:tcPr>
          <w:p w14:paraId="55E87618" w14:textId="77777777" w:rsidR="00DF410E" w:rsidRDefault="00CE7F43">
            <w:r>
              <w:t>D s2 d0</w:t>
            </w:r>
          </w:p>
        </w:tc>
        <w:tc>
          <w:tcPr>
            <w:tcW w:w="810" w:type="dxa"/>
            <w:noWrap/>
          </w:tcPr>
          <w:p w14:paraId="52075DAB" w14:textId="77777777" w:rsidR="00DF410E" w:rsidRDefault="00CE7F43">
            <w:r>
              <w:t>C s1 d0</w:t>
            </w:r>
          </w:p>
        </w:tc>
        <w:tc>
          <w:tcPr>
            <w:tcW w:w="810" w:type="dxa"/>
            <w:noWrap/>
          </w:tcPr>
          <w:p w14:paraId="7FA158FC" w14:textId="77777777" w:rsidR="00DF410E" w:rsidRDefault="00CE7F43">
            <w:r>
              <w:t>C s1 d0</w:t>
            </w:r>
          </w:p>
        </w:tc>
        <w:tc>
          <w:tcPr>
            <w:tcW w:w="810" w:type="dxa"/>
            <w:noWrap/>
          </w:tcPr>
          <w:p w14:paraId="6BDFC304" w14:textId="77777777" w:rsidR="00DF410E" w:rsidRDefault="00CE7F43">
            <w:r>
              <w:t>B s1 d0</w:t>
            </w:r>
          </w:p>
        </w:tc>
        <w:tc>
          <w:tcPr>
            <w:tcW w:w="810" w:type="dxa"/>
            <w:noWrap/>
          </w:tcPr>
          <w:p w14:paraId="024959E2" w14:textId="77777777" w:rsidR="00DF410E" w:rsidRDefault="00CE7F43">
            <w:r>
              <w:t>D s3 d0</w:t>
            </w:r>
          </w:p>
        </w:tc>
        <w:tc>
          <w:tcPr>
            <w:tcW w:w="810" w:type="dxa"/>
            <w:noWrap/>
          </w:tcPr>
          <w:p w14:paraId="5309D618" w14:textId="77777777" w:rsidR="00DF410E" w:rsidRDefault="00CE7F43">
            <w:r>
              <w:t>D s3 d0</w:t>
            </w:r>
          </w:p>
        </w:tc>
        <w:tc>
          <w:tcPr>
            <w:tcW w:w="810" w:type="dxa"/>
            <w:noWrap/>
          </w:tcPr>
          <w:p w14:paraId="3B6729E4" w14:textId="77777777" w:rsidR="00DF410E" w:rsidRDefault="00CE7F43">
            <w:r>
              <w:t>C s2 d0</w:t>
            </w:r>
          </w:p>
        </w:tc>
        <w:tc>
          <w:tcPr>
            <w:tcW w:w="810" w:type="dxa"/>
            <w:noWrap/>
          </w:tcPr>
          <w:p w14:paraId="7FBEF221" w14:textId="77777777" w:rsidR="00DF410E" w:rsidRDefault="00CE7F43">
            <w:r>
              <w:t>C s2 d0</w:t>
            </w:r>
          </w:p>
        </w:tc>
        <w:tc>
          <w:tcPr>
            <w:tcW w:w="810" w:type="dxa"/>
            <w:noWrap/>
          </w:tcPr>
          <w:p w14:paraId="5B5BE82E" w14:textId="77777777" w:rsidR="00DF410E" w:rsidRDefault="00CE7F43">
            <w:r>
              <w:t>B s1 d0</w:t>
            </w:r>
          </w:p>
        </w:tc>
      </w:tr>
      <w:tr w:rsidR="00DF410E" w14:paraId="67E2B173" w14:textId="77777777">
        <w:tc>
          <w:tcPr>
            <w:tcW w:w="810" w:type="dxa"/>
            <w:noWrap/>
          </w:tcPr>
          <w:p w14:paraId="0C18AABA" w14:textId="77777777" w:rsidR="00DF410E" w:rsidRDefault="00CE7F43">
            <w:r>
              <w:t>Sols</w:t>
            </w:r>
          </w:p>
        </w:tc>
        <w:tc>
          <w:tcPr>
            <w:tcW w:w="810" w:type="dxa"/>
            <w:noWrap/>
          </w:tcPr>
          <w:p w14:paraId="295A5B0B" w14:textId="77777777" w:rsidR="00DF410E" w:rsidRDefault="00CE7F43">
            <w:r>
              <w:t>B FL s1</w:t>
            </w:r>
          </w:p>
        </w:tc>
        <w:tc>
          <w:tcPr>
            <w:tcW w:w="810" w:type="dxa"/>
            <w:noWrap/>
          </w:tcPr>
          <w:p w14:paraId="0A6374B0" w14:textId="77777777" w:rsidR="00DF410E" w:rsidRDefault="00CE7F43">
            <w:r>
              <w:t>DFL s1</w:t>
            </w:r>
          </w:p>
        </w:tc>
        <w:tc>
          <w:tcPr>
            <w:tcW w:w="810" w:type="dxa"/>
            <w:noWrap/>
          </w:tcPr>
          <w:p w14:paraId="2480468D" w14:textId="77777777" w:rsidR="00DF410E" w:rsidRDefault="00CE7F43">
            <w:r>
              <w:t>CFL s1</w:t>
            </w:r>
          </w:p>
        </w:tc>
        <w:tc>
          <w:tcPr>
            <w:tcW w:w="810" w:type="dxa"/>
            <w:noWrap/>
          </w:tcPr>
          <w:p w14:paraId="681F550E" w14:textId="77777777" w:rsidR="00DF410E" w:rsidRDefault="00CE7F43">
            <w:r>
              <w:t>CFL s1</w:t>
            </w:r>
          </w:p>
        </w:tc>
        <w:tc>
          <w:tcPr>
            <w:tcW w:w="810" w:type="dxa"/>
            <w:noWrap/>
          </w:tcPr>
          <w:p w14:paraId="150EDF04" w14:textId="77777777" w:rsidR="00DF410E" w:rsidRDefault="00CE7F43">
            <w:r>
              <w:t>BFL s1</w:t>
            </w:r>
          </w:p>
        </w:tc>
        <w:tc>
          <w:tcPr>
            <w:tcW w:w="810" w:type="dxa"/>
            <w:noWrap/>
          </w:tcPr>
          <w:p w14:paraId="768E69A0" w14:textId="77777777" w:rsidR="00DF410E" w:rsidRDefault="00CE7F43">
            <w:r>
              <w:t>DFL s2</w:t>
            </w:r>
          </w:p>
        </w:tc>
        <w:tc>
          <w:tcPr>
            <w:tcW w:w="810" w:type="dxa"/>
            <w:noWrap/>
          </w:tcPr>
          <w:p w14:paraId="507722C6" w14:textId="77777777" w:rsidR="00DF410E" w:rsidRDefault="00CE7F43">
            <w:r>
              <w:t>D FL s2</w:t>
            </w:r>
          </w:p>
        </w:tc>
        <w:tc>
          <w:tcPr>
            <w:tcW w:w="810" w:type="dxa"/>
            <w:noWrap/>
          </w:tcPr>
          <w:p w14:paraId="057DE551" w14:textId="77777777" w:rsidR="00DF410E" w:rsidRDefault="00CE7F43">
            <w:r>
              <w:t>C FL s1</w:t>
            </w:r>
          </w:p>
        </w:tc>
        <w:tc>
          <w:tcPr>
            <w:tcW w:w="810" w:type="dxa"/>
            <w:noWrap/>
          </w:tcPr>
          <w:p w14:paraId="49D310AB" w14:textId="77777777" w:rsidR="00DF410E" w:rsidRDefault="00CE7F43">
            <w:r>
              <w:t>C FL s1</w:t>
            </w:r>
          </w:p>
        </w:tc>
        <w:tc>
          <w:tcPr>
            <w:tcW w:w="810" w:type="dxa"/>
            <w:noWrap/>
          </w:tcPr>
          <w:p w14:paraId="41334B75" w14:textId="77777777" w:rsidR="00DF410E" w:rsidRDefault="00CE7F43">
            <w:r>
              <w:t>B FL s1</w:t>
            </w:r>
          </w:p>
        </w:tc>
      </w:tr>
    </w:tbl>
    <w:p w14:paraId="7EBE82D5" w14:textId="77777777" w:rsidR="00DF410E" w:rsidRDefault="00CE7F43">
      <w:r>
        <w:t>"Hor": idem tableau ci-dessus.</w:t>
      </w:r>
      <w:r>
        <w:br/>
        <w:t xml:space="preserve"> "Vert": idem tableau ci-dessus.</w:t>
      </w:r>
    </w:p>
    <w:p w14:paraId="6DAE2175" w14:textId="77777777" w:rsidR="00DF410E" w:rsidRDefault="00CE7F43">
      <w:pPr>
        <w:jc w:val="both"/>
      </w:pPr>
      <w:r>
        <w:t xml:space="preserve">La résistance à la détérioration causée par les conditions climatiques, les agents chimiques et biologiques de type </w:t>
      </w:r>
      <w:r>
        <w:rPr>
          <w:rStyle w:val="optioncarChar"/>
        </w:rPr>
        <w:t>non spécifié</w:t>
      </w:r>
      <w:r>
        <w:t xml:space="preserve"> (par défaut)</w:t>
      </w:r>
      <w:r>
        <w:rPr>
          <w:rStyle w:val="optioncarChar"/>
        </w:rPr>
        <w:t xml:space="preserve"> / ***</w:t>
      </w:r>
      <w:r>
        <w:t xml:space="preserve"> est vérifiée selon la [NBN EN 15644] pour les escaliers massifs en bois ou l’[ETAG 008] pour les autres escaliers préfabriqués autres qu’en bois massif.</w:t>
      </w:r>
    </w:p>
    <w:p w14:paraId="4C467DEA" w14:textId="77777777" w:rsidR="00DF410E" w:rsidRDefault="00CE7F43">
      <w:pPr>
        <w:jc w:val="both"/>
      </w:pPr>
      <w:r>
        <w:rPr>
          <w:b/>
          <w:u w:val="single"/>
        </w:rPr>
        <w:t>Traitement de préservation</w:t>
      </w:r>
    </w:p>
    <w:p w14:paraId="47594FF3" w14:textId="77777777" w:rsidR="00DF410E" w:rsidRDefault="00CE7F43">
      <w:pPr>
        <w:jc w:val="both"/>
      </w:pPr>
      <w:r>
        <w:t>Les produits de préservation du bois doivent être conformes aux exigences de performances données dans la [NBN EN 599-2] appropriées à la classe d'utilisation. L'usinage, le perçage, le rabotage etc. doivent être terminés avant le traitement de préservation. En cas de flache, trace d’écorce (rhytidome) doit être retiré.</w:t>
      </w:r>
    </w:p>
    <w:p w14:paraId="485D043B" w14:textId="77777777" w:rsidR="00DF410E" w:rsidRDefault="00DF410E"/>
    <w:p w14:paraId="337814F0" w14:textId="77777777" w:rsidR="00DF410E" w:rsidRDefault="00CE7F43">
      <w:pPr>
        <w:pStyle w:val="pheading"/>
      </w:pPr>
      <w:r>
        <w:t>- Finitions</w:t>
      </w:r>
    </w:p>
    <w:p w14:paraId="20C81C4C" w14:textId="77777777" w:rsidR="00DF410E" w:rsidRDefault="00CE7F43">
      <w:pPr>
        <w:jc w:val="both"/>
      </w:pPr>
      <w:r>
        <w:t>La préparation, finition de surface sont définis dans le  </w:t>
      </w:r>
      <w:hyperlink r:id="rId321" w:history="1" w:docLocation="47">
        <w:r>
          <w:t>8 T8 Travaux de peinture / Traitements de surface</w:t>
        </w:r>
      </w:hyperlink>
      <w:r>
        <w:t>.</w:t>
      </w:r>
    </w:p>
    <w:p w14:paraId="37F252AC" w14:textId="77777777" w:rsidR="00DF410E" w:rsidRDefault="00CE7F43">
      <w:pPr>
        <w:jc w:val="both"/>
      </w:pPr>
      <w:r>
        <w:t>Les éléments endommagés doivent être intégralement remplacés. Les différences de couleurs d’une même essence sont acceptées.</w:t>
      </w:r>
    </w:p>
    <w:p w14:paraId="665A59C3" w14:textId="77777777" w:rsidR="00DF410E" w:rsidRDefault="00CE7F43">
      <w:pPr>
        <w:pStyle w:val="pheading"/>
      </w:pPr>
      <w:r>
        <w:t>EXÉCUTION / MISE EN ŒUVRE</w:t>
      </w:r>
    </w:p>
    <w:p w14:paraId="33328068" w14:textId="77777777" w:rsidR="00DF410E" w:rsidRDefault="00CE7F43">
      <w:pPr>
        <w:pStyle w:val="pheading"/>
      </w:pPr>
      <w:r>
        <w:t>- Prescriptions générales</w:t>
      </w:r>
    </w:p>
    <w:p w14:paraId="3374E535" w14:textId="77777777" w:rsidR="00DF410E" w:rsidRDefault="00CE7F43">
      <w:pPr>
        <w:jc w:val="both"/>
      </w:pPr>
      <w:r>
        <w:t>La mise en œuvre est conforme aux prescriptions du fabricant et aux [NIT 198] et [NIT 166]. </w:t>
      </w:r>
    </w:p>
    <w:p w14:paraId="2689EA69" w14:textId="77777777" w:rsidR="00DF410E" w:rsidRDefault="00CE7F43">
      <w:pPr>
        <w:jc w:val="both"/>
      </w:pPr>
      <w:r>
        <w:t>Le taux d’humidité du bois à la sortie de l’atelier est compris entre 8 et 12 %. Lorsque l’escalier est mis en œuvre dans des locaux chauffés, le taux d’humidité d’équilibre du bois se situe entre 6 et 10 %.</w:t>
      </w:r>
    </w:p>
    <w:p w14:paraId="13F294EA" w14:textId="77777777" w:rsidR="00DF410E" w:rsidRDefault="00CE7F43">
      <w:pPr>
        <w:jc w:val="both"/>
      </w:pPr>
      <w:r>
        <w:t>Les escaliers ne peuvent être placés que lorsque l'auteur de projet et l'installateur de l'escalier estiment, en concertation mutuelle, que les conditions de mise en œuvre sont favorables, c'est-à-dire que le plafonnage et revêtement de sols sont suffisamment secs (avec un taux d’humidité de l’air inférieur à 75%) et après la pose des vitrages.</w:t>
      </w:r>
    </w:p>
    <w:p w14:paraId="5C479585" w14:textId="77777777" w:rsidR="00DF410E" w:rsidRDefault="00CE7F43">
      <w:pPr>
        <w:jc w:val="both"/>
      </w:pPr>
      <w:r>
        <w:t>Les escaliers en bois ne peuvent en aucun cas être placés lorsque les conditions sont de nature à risquer le voilement ou le retrait des escaliers.</w:t>
      </w:r>
    </w:p>
    <w:p w14:paraId="413FF837" w14:textId="77777777" w:rsidR="00DF410E" w:rsidRDefault="00CE7F43">
      <w:pPr>
        <w:jc w:val="both"/>
      </w:pPr>
      <w:r>
        <w:t>Lorsque les murs sont plafonnés, l'escalier en bois doit être protégé contre l'humidité de l'enduit.</w:t>
      </w:r>
    </w:p>
    <w:p w14:paraId="4E223B35" w14:textId="77777777" w:rsidR="00DF410E" w:rsidRDefault="00CE7F43">
      <w:pPr>
        <w:jc w:val="both"/>
      </w:pPr>
      <w:r>
        <w:t>Les escaliers et/ou les éléments qui le constituent sont autant que possible préfabriqués en atelier et acheminés en un seul lot sur le chantier. Lors du transport, les mesures nécessaires sont prises pour prévenir toute dégradation du bâtiment, des escaliers préfabriqués et/ou des éléments. Ils sont immédiatement entreposés dans un endroit protégé et aéré.</w:t>
      </w:r>
    </w:p>
    <w:p w14:paraId="1246494E" w14:textId="77777777" w:rsidR="00DF410E" w:rsidRDefault="00CE7F43">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2D770224" w14:textId="77777777" w:rsidR="00DF410E" w:rsidRDefault="00CE7F43">
      <w:pPr>
        <w:jc w:val="both"/>
      </w:pPr>
      <w:r>
        <w:t>L'entrepreneur veille à ce que, après leur mise en œuvre, les escaliers soient dûment protégés contre les dégradations et l'encrassement pendant la durée des travaux de construction. </w:t>
      </w:r>
    </w:p>
    <w:p w14:paraId="4999D986" w14:textId="77777777" w:rsidR="00DF410E" w:rsidRDefault="00CE7F43">
      <w:pPr>
        <w:jc w:val="both"/>
      </w:pPr>
      <w:r>
        <w:t>Les escaliers sont mis en œuvre conformément aux formes indiquées sur les plans et les coupes</w:t>
      </w:r>
    </w:p>
    <w:p w14:paraId="2E3AB73B" w14:textId="77777777" w:rsidR="00DF410E" w:rsidRDefault="00CE7F43">
      <w:pPr>
        <w:jc w:val="both"/>
      </w:pPr>
      <w:r>
        <w:t>Lorsque le dossier d'adjudication ne contient pas de dessin de détail spécifique, la forme de l'escalier et les dimensions de base sont données à titre indicatif. L'entrepreneur est tenu de contrôler les dimensions sur place après plafonnage et revêtement de sols et de vérifier si les escaliers et/ou les éléments peuvent être exécutés selon les plans soumis. Lorsque cela s'avère impossible, il en avertit l'auteur de projet le plus rapidement possible.</w:t>
      </w:r>
    </w:p>
    <w:p w14:paraId="1D942C33" w14:textId="77777777" w:rsidR="00DF410E" w:rsidRDefault="00CE7F43">
      <w:pPr>
        <w:jc w:val="both"/>
      </w:pPr>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 et du balancement correct des marches.</w:t>
      </w:r>
    </w:p>
    <w:p w14:paraId="58706B3B" w14:textId="77777777" w:rsidR="00DF410E" w:rsidRDefault="00CE7F43">
      <w:pPr>
        <w:pStyle w:val="pheading"/>
      </w:pPr>
      <w:r>
        <w:t>- Notes d’exécution complémentaires</w:t>
      </w:r>
    </w:p>
    <w:p w14:paraId="6BCE93F1" w14:textId="77777777" w:rsidR="00DF410E" w:rsidRDefault="00CE7F43">
      <w:pPr>
        <w:jc w:val="both"/>
      </w:pPr>
      <w:r>
        <w:rPr>
          <w:rStyle w:val="facultChar"/>
        </w:rPr>
        <w:t>Pour la conception des escaliers avec exigences accrues, il y a lieu de tenir compte des principes élémentaires du module du pas (M=600 à 630) et ce, selon la formule M=2H+G, où G est le giron et H la hauteur (dans le habitations, les girons inférieurs à 220 mm ne sont pas admissibles (sauf pour les escaliers de cave ou de grenier); pour les escaliers à l'intérieur des habitations, un giron de 225 à 250 mm est souhaitable en combinaison avec une hauteur de marche de 175 à 190 mm (selon les rapports dans le tableau des escaliers [NIT 198] ; les escaliers extérieurs doivent avoir un giron et une hauteur confortables (par ex. 170/260).</w:t>
      </w:r>
    </w:p>
    <w:p w14:paraId="6F0E78C3" w14:textId="77777777" w:rsidR="00DF410E" w:rsidRDefault="00CE7F43">
      <w:pPr>
        <w:jc w:val="both"/>
      </w:pPr>
      <w:r>
        <w:rPr>
          <w:rStyle w:val="facultChar"/>
        </w:rPr>
        <w:t>Pour l’accessibilité aux personnes à mobilité réduite (PMR), L’ [AR 1977-05-09], comporte des exigences relativement explicites vis-à-vis de la cage d’escalier. Il y est notamment stipulé que les marches situées dans la zone de bâtiment accessible au public se situe entre 15 et 17 cm et ne peuvent excéder 18 cm de hauteur, qu’elles doivent avoir une profondeur de préférence entre 28 et 42,5 cm et minimale de 23 cm (mesurée sur la ligne de foulée) et que chaque escalier doit être pourvue de part et d’autre d’un garde-corps doté d’une main courante continue. Cette dernière doit dépasser de 40 cm le point de départ et d’arrivée de l’escalier.</w:t>
      </w:r>
    </w:p>
    <w:p w14:paraId="193BC68E" w14:textId="77777777" w:rsidR="00DF410E" w:rsidRDefault="00DF410E"/>
    <w:p w14:paraId="253CF6DA" w14:textId="77777777" w:rsidR="00DF410E" w:rsidRDefault="00CE7F43">
      <w:pPr>
        <w:pStyle w:val="Author-eListParagraph"/>
        <w:numPr>
          <w:ilvl w:val="0"/>
          <w:numId w:val="974"/>
        </w:numPr>
        <w:jc w:val="both"/>
      </w:pPr>
      <w:r>
        <w:rPr>
          <w:rStyle w:val="facultChar"/>
        </w:rPr>
        <w:t>la largeur des plateformes des de min 90 cm</w:t>
      </w:r>
    </w:p>
    <w:p w14:paraId="2ED6C4B1" w14:textId="77777777" w:rsidR="00DF410E" w:rsidRDefault="00CE7F43">
      <w:pPr>
        <w:pStyle w:val="Author-eListParagraph"/>
        <w:numPr>
          <w:ilvl w:val="0"/>
          <w:numId w:val="974"/>
        </w:numPr>
        <w:jc w:val="both"/>
      </w:pPr>
      <w:r>
        <w:rPr>
          <w:rStyle w:val="facultChar"/>
        </w:rPr>
        <w:t>les marches doivent être antidérapantes et les paliers caractérisés par un certain contraste de couleur</w:t>
      </w:r>
    </w:p>
    <w:p w14:paraId="00447653" w14:textId="77777777" w:rsidR="00DF410E" w:rsidRDefault="00CE7F43">
      <w:pPr>
        <w:pStyle w:val="Author-eListParagraph"/>
        <w:numPr>
          <w:ilvl w:val="0"/>
          <w:numId w:val="974"/>
        </w:numPr>
        <w:jc w:val="both"/>
      </w:pPr>
      <w:r>
        <w:rPr>
          <w:rStyle w:val="facultChar"/>
        </w:rPr>
        <w:t>chaque escalier doit être pourvu de part et d’autre d’une main courante solide et continue. Du côté du mur, la main courante doit dépasser le départ et l’arrivée de l’escalier de 40 cm et elle ne peut pas constituer un danger pour les utilisateurs</w:t>
      </w:r>
    </w:p>
    <w:p w14:paraId="5D7BEE38" w14:textId="77777777" w:rsidR="00DF410E" w:rsidRDefault="00CE7F43">
      <w:pPr>
        <w:pStyle w:val="Author-eListParagraph"/>
        <w:numPr>
          <w:ilvl w:val="0"/>
          <w:numId w:val="974"/>
        </w:numPr>
        <w:jc w:val="both"/>
      </w:pPr>
      <w:r>
        <w:rPr>
          <w:rStyle w:val="facultChar"/>
        </w:rPr>
        <w:t>au sommet de chaque escalier, à 50 cm de la première marche, un repère tactile est installé afin d’éveiller la vigilance des personnes handicapées de la vue.</w:t>
      </w:r>
    </w:p>
    <w:p w14:paraId="766ED0A7" w14:textId="77777777" w:rsidR="00DF410E" w:rsidRDefault="00DF410E"/>
    <w:p w14:paraId="14479DFE" w14:textId="77777777" w:rsidR="00DF410E" w:rsidRDefault="00CE7F43">
      <w:pPr>
        <w:jc w:val="both"/>
      </w:pPr>
      <w:r>
        <w:rPr>
          <w:rStyle w:val="facultChar"/>
        </w:rPr>
        <w:t>Pour les PMR, il est également recommandé de prévoir les points suivants:</w:t>
      </w:r>
    </w:p>
    <w:p w14:paraId="1A84CE8D" w14:textId="77777777" w:rsidR="00DF410E" w:rsidRDefault="00CE7F43">
      <w:pPr>
        <w:pStyle w:val="Author-eListParagraph"/>
        <w:numPr>
          <w:ilvl w:val="0"/>
          <w:numId w:val="975"/>
        </w:numPr>
        <w:jc w:val="both"/>
      </w:pPr>
      <w:r>
        <w:rPr>
          <w:rStyle w:val="facultChar"/>
        </w:rPr>
        <w:t>un palier plan d’une longueur minimale de 120 cm au départ et à l’arrivée de chaque volée</w:t>
      </w:r>
    </w:p>
    <w:p w14:paraId="73F4B051" w14:textId="77777777" w:rsidR="00DF410E" w:rsidRDefault="00CE7F43">
      <w:pPr>
        <w:pStyle w:val="Author-eListParagraph"/>
        <w:numPr>
          <w:ilvl w:val="0"/>
          <w:numId w:val="975"/>
        </w:numPr>
        <w:jc w:val="both"/>
      </w:pPr>
      <w:r>
        <w:rPr>
          <w:rStyle w:val="facultChar"/>
        </w:rPr>
        <w:t>la surface du sol située au départ et à l’arrivée de la volée d’escalier doit être dotée d’un marquage de mise en garde tactile d’au moins 80 cm de long sur toute la largeur de l’escalier</w:t>
      </w:r>
    </w:p>
    <w:p w14:paraId="0D1CFD01" w14:textId="77777777" w:rsidR="00DF410E" w:rsidRDefault="00CE7F43">
      <w:pPr>
        <w:pStyle w:val="Author-eListParagraph"/>
        <w:numPr>
          <w:ilvl w:val="0"/>
          <w:numId w:val="975"/>
        </w:numPr>
        <w:jc w:val="both"/>
      </w:pPr>
      <w:r>
        <w:rPr>
          <w:rStyle w:val="facultChar"/>
        </w:rPr>
        <w:t>la largeur maximale de l’escalier est de 120 cm; au-delà de cette dimension, l’escalier doit être scindé</w:t>
      </w:r>
    </w:p>
    <w:p w14:paraId="2C22C04B" w14:textId="77777777" w:rsidR="00DF410E" w:rsidRDefault="00CE7F43">
      <w:pPr>
        <w:pStyle w:val="Author-eListParagraph"/>
        <w:numPr>
          <w:ilvl w:val="0"/>
          <w:numId w:val="975"/>
        </w:numPr>
        <w:jc w:val="both"/>
      </w:pPr>
      <w:r>
        <w:rPr>
          <w:rStyle w:val="facultChar"/>
        </w:rPr>
        <w:t>le nombre de marches est limité à 12 maximum pour une largeur de giron inférieure à 35 cm et à 18 maximum pour une largeur de giron supérieure à 35 cm</w:t>
      </w:r>
    </w:p>
    <w:p w14:paraId="4C37C82D" w14:textId="77777777" w:rsidR="00DF410E" w:rsidRDefault="00CE7F43">
      <w:pPr>
        <w:pStyle w:val="Author-eListParagraph"/>
        <w:numPr>
          <w:ilvl w:val="0"/>
          <w:numId w:val="975"/>
        </w:numPr>
        <w:jc w:val="both"/>
      </w:pPr>
      <w:r>
        <w:rPr>
          <w:rStyle w:val="facultChar"/>
        </w:rPr>
        <w:t>les marches sont de préférence fermées</w:t>
      </w:r>
    </w:p>
    <w:p w14:paraId="13073267" w14:textId="77777777" w:rsidR="00DF410E" w:rsidRDefault="00CE7F43">
      <w:pPr>
        <w:pStyle w:val="Author-eListParagraph"/>
        <w:numPr>
          <w:ilvl w:val="0"/>
          <w:numId w:val="975"/>
        </w:numPr>
        <w:jc w:val="both"/>
      </w:pPr>
      <w:r>
        <w:rPr>
          <w:rStyle w:val="facultChar"/>
        </w:rPr>
        <w:t>il faut prévoir un garde-corps et une main courante continus de part et d’autre de la volée d’escalier. Leur dimensionnement et leur forme sont identiques à ceux préconisés pour les escaliers intérieurs</w:t>
      </w:r>
    </w:p>
    <w:p w14:paraId="16255AE8" w14:textId="77777777" w:rsidR="00DF410E" w:rsidRDefault="00CE7F43">
      <w:pPr>
        <w:pStyle w:val="Author-eListParagraph"/>
        <w:numPr>
          <w:ilvl w:val="0"/>
          <w:numId w:val="975"/>
        </w:numPr>
        <w:jc w:val="both"/>
      </w:pPr>
      <w:r>
        <w:rPr>
          <w:rStyle w:val="facultChar"/>
        </w:rPr>
        <w:t>les escaliers larges sont scindés en couloirs de 100 cm minimum et de 180 cm maximum.</w:t>
      </w:r>
    </w:p>
    <w:p w14:paraId="321D46AE" w14:textId="77777777" w:rsidR="00DF410E" w:rsidRDefault="00CE7F43">
      <w:pPr>
        <w:pStyle w:val="pheading"/>
      </w:pPr>
      <w:r>
        <w:t>DOCUMENTS DE RÉFÉRENCE COMPLÉMENTAIRES</w:t>
      </w:r>
    </w:p>
    <w:p w14:paraId="282D573B" w14:textId="77777777" w:rsidR="00DF410E" w:rsidRDefault="00CE7F43">
      <w:pPr>
        <w:pStyle w:val="pheading"/>
      </w:pPr>
      <w:r>
        <w:t>- Matériau</w:t>
      </w:r>
    </w:p>
    <w:p w14:paraId="6E7839FD" w14:textId="77777777" w:rsidR="00DF410E" w:rsidRDefault="00CE7F43">
      <w:r>
        <w:t>[NBN EN 16481, Escaliers en bois - Conception de la structure - Méthodes de calcul]</w:t>
      </w:r>
    </w:p>
    <w:p w14:paraId="15558AA9" w14:textId="77777777" w:rsidR="00DF410E" w:rsidRDefault="00CE7F43">
      <w:r>
        <w:t>[NIT 198, Les escaliers en bois.]</w:t>
      </w:r>
    </w:p>
    <w:p w14:paraId="0DB530AB" w14:textId="77777777" w:rsidR="00DF410E" w:rsidRDefault="00CE7F43">
      <w:r>
        <w:t>[NBN EN 1995 série, Eurocode 5: Conception et calcul des structures en bois]</w:t>
      </w:r>
    </w:p>
    <w:p w14:paraId="7B18B73B" w14:textId="77777777" w:rsidR="00DF410E" w:rsidRDefault="00CE7F43">
      <w:r>
        <w:t>[NBN EN 1991 série, Eurocode 1 : Actions sur les structures]</w:t>
      </w:r>
    </w:p>
    <w:p w14:paraId="7E3A4B97" w14:textId="77777777" w:rsidR="00DF410E" w:rsidRDefault="00CE7F43">
      <w:r>
        <w:t>[CEN/TS 15680, Escaliers préfabriqués en bois - Méthodes d'essais mécaniques]</w:t>
      </w:r>
    </w:p>
    <w:p w14:paraId="1D72D51F" w14:textId="77777777" w:rsidR="00DF410E" w:rsidRDefault="00CE7F43">
      <w:r>
        <w:t>[CEN/TS 15676, Plancher en bois - Résistance à la glissance - Essai au pendule]</w:t>
      </w:r>
    </w:p>
    <w:p w14:paraId="5966C414" w14:textId="77777777" w:rsidR="00DF410E" w:rsidRDefault="00CE7F43">
      <w:r>
        <w:t>[NBN EN 14076, Escaliers en bois - Terminologie]</w:t>
      </w:r>
    </w:p>
    <w:p w14:paraId="567D077C" w14:textId="77777777" w:rsidR="00DF410E" w:rsidRDefault="00CE7F43">
      <w:r>
        <w:t>[NBN EN 15644, Escaliers préfabriqués de conception traditionnelle en bois massif - Spécifications et exigences]</w:t>
      </w:r>
    </w:p>
    <w:p w14:paraId="1595002F" w14:textId="77777777" w:rsidR="00DF410E" w:rsidRDefault="00CE7F43">
      <w:r>
        <w:t>[ETAG 008, Kits d'escaliers préfabriqués]</w:t>
      </w:r>
    </w:p>
    <w:p w14:paraId="1034C047" w14:textId="77777777" w:rsidR="00DF410E" w:rsidRDefault="00CE7F43">
      <w:r>
        <w:t>[NBN EN 13696, Planchers en bois - Méthodes d'essai pour déterminer l'élasticité et la résistance à l'abrasion et la résistance au choc]</w:t>
      </w:r>
    </w:p>
    <w:p w14:paraId="52C115EB" w14:textId="77777777" w:rsidR="00DF410E" w:rsidRDefault="00CE7F43">
      <w:r>
        <w:t>[NBN EN 1534, Planchers en bois et parquets - Détermination de la résistance au poinçonnement - Méthode d'essai]</w:t>
      </w:r>
    </w:p>
    <w:p w14:paraId="5472C611" w14:textId="77777777" w:rsidR="00DF410E" w:rsidRDefault="00CE7F43">
      <w:r>
        <w:t>[NBN EN 13501-1, Classement au feu des produits et éléments de construction - Partie 1: Classement à partir des données d'essais de réaction au feu]</w:t>
      </w:r>
    </w:p>
    <w:p w14:paraId="52255104"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CA1F44B" w14:textId="77777777" w:rsidR="00DF410E" w:rsidRDefault="00CE7F43">
      <w:r>
        <w:t>[NBN EN 1995-1-2, Eurocode 5: Conception et Calcul des structures en bois - Part 1-2: Généralités - Calcul des structures au feu (+AC:2009)]</w:t>
      </w:r>
    </w:p>
    <w:p w14:paraId="6C25EC63" w14:textId="77777777" w:rsidR="00DF410E" w:rsidRDefault="00CE7F43">
      <w:r>
        <w:t>[NBN EN 1365-6, Essais de résistance au feu des éléments porteurs - Partie 5: Escaliers]</w:t>
      </w:r>
    </w:p>
    <w:p w14:paraId="05EA77A5" w14:textId="77777777" w:rsidR="00DF410E" w:rsidRDefault="00CE7F43">
      <w:r>
        <w:t>[NIT 269, Revêtements de sol en bois : planchers, parquets et revêtements de sol à placage. Partie 1 : matériaux, terminologie et exigences.]</w:t>
      </w:r>
    </w:p>
    <w:p w14:paraId="0EFCBB27" w14:textId="77777777" w:rsidR="00DF410E" w:rsidRDefault="00DF410E"/>
    <w:p w14:paraId="10A48237" w14:textId="77777777" w:rsidR="00DF410E" w:rsidRDefault="00CE7F43">
      <w:r>
        <w:t> </w:t>
      </w:r>
    </w:p>
    <w:p w14:paraId="1224308E" w14:textId="77777777" w:rsidR="00DF410E" w:rsidRDefault="00CE7F43">
      <w:pPr>
        <w:pStyle w:val="pheading"/>
      </w:pPr>
      <w:r>
        <w:t>- Exécution</w:t>
      </w:r>
    </w:p>
    <w:p w14:paraId="11677062" w14:textId="77777777" w:rsidR="00DF410E" w:rsidRDefault="00CE7F43">
      <w:r>
        <w:t>[NIT 166, Menuiseries intérieures en bois. Code de bonne pratique pour la mise en oeuvre, compte tenu des conditions hygrothermiques (remplacée par la NIT 218 pour ce qui concerne les parquets).]</w:t>
      </w:r>
    </w:p>
    <w:p w14:paraId="484F2D4D" w14:textId="77777777" w:rsidR="00DF410E" w:rsidRDefault="00DF410E"/>
    <w:p w14:paraId="2089CAAD" w14:textId="77777777" w:rsidR="00DF410E" w:rsidRDefault="00CE7F43">
      <w:pPr>
        <w:pStyle w:val="pheading"/>
      </w:pPr>
      <w:r>
        <w:t>MESURAGE</w:t>
      </w:r>
    </w:p>
    <w:p w14:paraId="6131114F" w14:textId="77777777" w:rsidR="00DF410E" w:rsidRDefault="00CE7F43">
      <w:pPr>
        <w:pStyle w:val="pheading"/>
      </w:pPr>
      <w:r>
        <w:t>- unité de mesure:</w:t>
      </w:r>
    </w:p>
    <w:p w14:paraId="3271E1F6" w14:textId="77777777" w:rsidR="00DF410E" w:rsidRDefault="00CE7F43">
      <w:r>
        <w:rPr>
          <w:rStyle w:val="optioncarChar"/>
        </w:rPr>
        <w:t>pc ; pc ; m²</w:t>
      </w:r>
      <w:r>
        <w:t xml:space="preserve"> (par défaut) </w:t>
      </w:r>
      <w:r>
        <w:rPr>
          <w:rStyle w:val="optioncarChar"/>
        </w:rPr>
        <w:t>/ m ; pc ; m²</w:t>
      </w:r>
    </w:p>
    <w:p w14:paraId="55F6612C" w14:textId="77777777" w:rsidR="00DF410E" w:rsidRDefault="00CE7F43">
      <w:r>
        <w:rPr>
          <w:b/>
          <w:i/>
        </w:rPr>
        <w:t>(Soit par défaut)</w:t>
      </w:r>
    </w:p>
    <w:p w14:paraId="67FAC7C6" w14:textId="77777777" w:rsidR="00DF410E" w:rsidRDefault="00CE7F43">
      <w:r>
        <w:rPr>
          <w:rStyle w:val="soitChar"/>
        </w:rPr>
        <w:t xml:space="preserve">1. </w:t>
      </w:r>
      <w:r>
        <w:rPr>
          <w:rStyle w:val="soitChar"/>
          <w:u w:val="single"/>
        </w:rPr>
        <w:t>pc</w:t>
      </w:r>
      <w:r>
        <w:rPr>
          <w:rStyle w:val="soitChar"/>
        </w:rPr>
        <w:t xml:space="preserve"> pour les limons d’escalier: par niveau  ,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14:paraId="1ACEDB43" w14:textId="77777777" w:rsidR="00DF410E" w:rsidRDefault="00CE7F43">
      <w:r>
        <w:rPr>
          <w:b/>
          <w:i/>
        </w:rPr>
        <w:t>(Soit) </w:t>
      </w:r>
    </w:p>
    <w:p w14:paraId="0CBE5523" w14:textId="77777777" w:rsidR="00DF410E" w:rsidRDefault="00CE7F43">
      <w:r>
        <w:rPr>
          <w:rStyle w:val="soitChar"/>
        </w:rPr>
        <w:t>2.</w:t>
      </w:r>
      <w:r>
        <w:rPr>
          <w:rStyle w:val="soitChar"/>
          <w:u w:val="single"/>
        </w:rPr>
        <w:t xml:space="preserve"> m</w:t>
      </w:r>
      <w:r>
        <w:rPr>
          <w:rStyle w:val="soitChar"/>
        </w:rPr>
        <w:t xml:space="preserve"> pour les  limons d’escalier,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14:paraId="7CD4D13D" w14:textId="77777777" w:rsidR="00DF410E" w:rsidRDefault="00CE7F43">
      <w:pPr>
        <w:pStyle w:val="pheading"/>
      </w:pPr>
      <w:r>
        <w:t>- code de mesurage:</w:t>
      </w:r>
    </w:p>
    <w:p w14:paraId="0B6C13D7" w14:textId="77777777" w:rsidR="00DF410E" w:rsidRDefault="00CE7F43">
      <w:r>
        <w:rPr>
          <w:rStyle w:val="optioncarChar"/>
        </w:rPr>
        <w:t>Quantité par niveau </w:t>
      </w:r>
      <w:r>
        <w:t xml:space="preserve">(par défaut) </w:t>
      </w:r>
      <w:r>
        <w:rPr>
          <w:rStyle w:val="optioncarChar"/>
        </w:rPr>
        <w:t>/  quantités </w:t>
      </w:r>
    </w:p>
    <w:p w14:paraId="4C41CA30" w14:textId="77777777" w:rsidR="00DF410E" w:rsidRDefault="00CE7F43">
      <w:r>
        <w:rPr>
          <w:b/>
          <w:i/>
        </w:rPr>
        <w:t>(Soit par défaut)</w:t>
      </w:r>
    </w:p>
    <w:p w14:paraId="12F67E4A" w14:textId="77777777" w:rsidR="00DF410E" w:rsidRDefault="00CE7F43">
      <w:pPr>
        <w:jc w:val="both"/>
      </w:pPr>
      <w:r>
        <w:rPr>
          <w:rStyle w:val="soitChar"/>
        </w:rPr>
        <w:t xml:space="preserve">1. </w:t>
      </w:r>
      <w:r>
        <w:rPr>
          <w:rStyle w:val="soitChar"/>
          <w:u w:val="single"/>
        </w:rPr>
        <w:t>Quantités par niveau</w:t>
      </w:r>
      <w:r>
        <w:rPr>
          <w:rStyle w:val="soitChar"/>
        </w:rPr>
        <w:t xml:space="preserve">: </w:t>
      </w:r>
    </w:p>
    <w:p w14:paraId="1557911C" w14:textId="77777777" w:rsidR="00DF410E" w:rsidRDefault="00CE7F43">
      <w:pPr>
        <w:ind w:left="567"/>
      </w:pPr>
      <w:r>
        <w:rPr>
          <w:rStyle w:val="soitChar"/>
          <w:u w:val="single"/>
        </w:rPr>
        <w:t>Quantité nette</w:t>
      </w:r>
      <w:r>
        <w:rPr>
          <w:rStyle w:val="soitChar"/>
        </w:rPr>
        <w:t xml:space="preserve"> pour les limons d'escalier. Les limons et le chemin d’escalier sont compris dans le prix unitaire.  La hauteur est prise entre les niveaux par niveau</w:t>
      </w:r>
      <w:r>
        <w:br/>
      </w:r>
      <w:r>
        <w:rPr>
          <w:rStyle w:val="soitChar"/>
          <w:u w:val="single"/>
        </w:rPr>
        <w:t>Quantité nette</w:t>
      </w:r>
      <w:r>
        <w:rPr>
          <w:rStyle w:val="soitChar"/>
        </w:rPr>
        <w:t> pour les marches et contre-marches. Une distinction est faite entre les marches droites et tournantes. </w:t>
      </w:r>
      <w:r>
        <w:br/>
      </w:r>
      <w:r>
        <w:rPr>
          <w:rStyle w:val="soitChar"/>
          <w:u w:val="single"/>
        </w:rPr>
        <w:t>La surface nette</w:t>
      </w:r>
      <w:r>
        <w:rPr>
          <w:rStyle w:val="soitChar"/>
        </w:rPr>
        <w:t xml:space="preserve"> est prise pour les paliers.</w:t>
      </w:r>
    </w:p>
    <w:p w14:paraId="5B66A9CD" w14:textId="77777777" w:rsidR="00DF410E" w:rsidRDefault="00CE7F43">
      <w:r>
        <w:rPr>
          <w:rStyle w:val="soitChar"/>
        </w:rPr>
        <w:t>La finition des bords est comprise.</w:t>
      </w:r>
      <w:r>
        <w:br/>
      </w:r>
      <w:r>
        <w:rPr>
          <w:rStyle w:val="soitChar"/>
        </w:rPr>
        <w:t>La hauteur de l’escalier est prise entre chaque niveau et ce par niveau.</w:t>
      </w:r>
    </w:p>
    <w:p w14:paraId="0C8CF405" w14:textId="77777777" w:rsidR="00DF410E" w:rsidRDefault="00CE7F43">
      <w:r>
        <w:rPr>
          <w:b/>
          <w:i/>
        </w:rPr>
        <w:t>(Soit)  </w:t>
      </w:r>
      <w:r>
        <w:br/>
      </w:r>
      <w:r>
        <w:rPr>
          <w:rStyle w:val="soitChar"/>
        </w:rPr>
        <w:t>2</w:t>
      </w:r>
      <w:r>
        <w:rPr>
          <w:rStyle w:val="soitChar"/>
          <w:u w:val="single"/>
        </w:rPr>
        <w:t>. Quantités :</w:t>
      </w:r>
    </w:p>
    <w:p w14:paraId="167A0F6D" w14:textId="77777777" w:rsidR="00DF410E" w:rsidRDefault="00CE7F43">
      <w:pPr>
        <w:ind w:left="567"/>
        <w:jc w:val="both"/>
      </w:pPr>
      <w:r>
        <w:rPr>
          <w:rStyle w:val="soitChar"/>
          <w:u w:val="single"/>
        </w:rPr>
        <w:t>La longueur totale</w:t>
      </w:r>
      <w:r>
        <w:rPr>
          <w:rStyle w:val="soitChar"/>
        </w:rPr>
        <w:t xml:space="preserve"> maximale (assemblage compris) est considérée pour le prix unitaire. </w:t>
      </w:r>
    </w:p>
    <w:p w14:paraId="63AE977F" w14:textId="77777777" w:rsidR="00DF410E" w:rsidRDefault="00CE7F43">
      <w:pPr>
        <w:ind w:left="567"/>
        <w:jc w:val="both"/>
      </w:pPr>
      <w:r>
        <w:rPr>
          <w:rStyle w:val="soitChar"/>
          <w:u w:val="single"/>
        </w:rPr>
        <w:t>Quantité nette</w:t>
      </w:r>
      <w:r>
        <w:rPr>
          <w:rStyle w:val="soitChar"/>
        </w:rPr>
        <w:t xml:space="preserve"> pour les marches et contre-marches. Une distinction est faite entre les marches droites et tournantes. </w:t>
      </w:r>
    </w:p>
    <w:p w14:paraId="3BF6C73E" w14:textId="77777777" w:rsidR="00DF410E" w:rsidRDefault="00CE7F43">
      <w:pPr>
        <w:ind w:left="567"/>
        <w:jc w:val="both"/>
      </w:pPr>
      <w:r>
        <w:rPr>
          <w:rStyle w:val="soitChar"/>
          <w:u w:val="single"/>
        </w:rPr>
        <w:t>La surface nette</w:t>
      </w:r>
      <w:r>
        <w:rPr>
          <w:rStyle w:val="soitChar"/>
        </w:rPr>
        <w:t xml:space="preserve"> est prise pour les paliers.</w:t>
      </w:r>
    </w:p>
    <w:p w14:paraId="054662C7" w14:textId="77777777" w:rsidR="00DF410E" w:rsidRDefault="00CE7F43">
      <w:pPr>
        <w:jc w:val="both"/>
      </w:pPr>
      <w:r>
        <w:rPr>
          <w:rStyle w:val="soitChar"/>
        </w:rPr>
        <w:t>La finition des bords est comprise.</w:t>
      </w:r>
    </w:p>
    <w:p w14:paraId="78482A2E" w14:textId="77777777" w:rsidR="00DF410E" w:rsidRDefault="00CE7F43">
      <w:pPr>
        <w:jc w:val="both"/>
      </w:pPr>
      <w:r>
        <w:rPr>
          <w:rStyle w:val="soitChar"/>
        </w:rPr>
        <w:t>La hauteur de l’escalier est prise entre chaque niveau et ce par niveau.</w:t>
      </w:r>
    </w:p>
    <w:p w14:paraId="03872844" w14:textId="77777777" w:rsidR="00DF410E" w:rsidRDefault="00CE7F43">
      <w:pPr>
        <w:pStyle w:val="pheading"/>
      </w:pPr>
      <w:r>
        <w:t>- nature du marché:</w:t>
      </w:r>
    </w:p>
    <w:p w14:paraId="73206E6D" w14:textId="77777777" w:rsidR="00DF410E" w:rsidRDefault="00CE7F43">
      <w:r>
        <w:t>QF</w:t>
      </w:r>
    </w:p>
    <w:p w14:paraId="3E392E81" w14:textId="77777777" w:rsidR="00DF410E" w:rsidRDefault="00CE7F43">
      <w:pPr>
        <w:pStyle w:val="Author-eSectionHeading4"/>
      </w:pPr>
      <w:bookmarkStart w:id="1702" w:name="_Toc178838786"/>
      <w:r>
        <w:t>24.32 Balcons en bois CCTB 01.07</w:t>
      </w:r>
      <w:bookmarkEnd w:id="1702"/>
    </w:p>
    <w:p w14:paraId="32B9DBB6" w14:textId="77777777" w:rsidR="00DF410E" w:rsidRDefault="00CE7F43">
      <w:pPr>
        <w:pStyle w:val="Author-eSectionHeading5"/>
      </w:pPr>
      <w:bookmarkStart w:id="1703" w:name="1103"/>
      <w:bookmarkStart w:id="1704" w:name="_Toc178838787"/>
      <w:bookmarkEnd w:id="1703"/>
      <w:r>
        <w:t>24.32.1 Balcons en bois CCTB 01.07</w:t>
      </w:r>
      <w:bookmarkEnd w:id="1704"/>
    </w:p>
    <w:p w14:paraId="1F2EAE95" w14:textId="77777777" w:rsidR="00DF410E" w:rsidRDefault="00CE7F43">
      <w:pPr>
        <w:pStyle w:val="Author-eSectionHeading6"/>
      </w:pPr>
      <w:bookmarkStart w:id="1705" w:name="_Toc178838788"/>
      <w:r>
        <w:t>24.32.1a Balcons en bois CCTB 01.11</w:t>
      </w:r>
      <w:bookmarkEnd w:id="1705"/>
    </w:p>
    <w:p w14:paraId="5CEC5F52" w14:textId="77777777" w:rsidR="00DF410E" w:rsidRDefault="00CE7F43">
      <w:pPr>
        <w:pStyle w:val="pheading"/>
      </w:pPr>
      <w:r>
        <w:t>DESCRIPTION</w:t>
      </w:r>
    </w:p>
    <w:p w14:paraId="7311BAC8" w14:textId="77777777" w:rsidR="00DF410E" w:rsidRDefault="00CE7F43">
      <w:pPr>
        <w:pStyle w:val="pheading"/>
      </w:pPr>
      <w:r>
        <w:t>- Définition / Comprend</w:t>
      </w:r>
    </w:p>
    <w:p w14:paraId="0A377D60" w14:textId="77777777" w:rsidR="00DF410E" w:rsidRDefault="00CE7F43">
      <w:pPr>
        <w:jc w:val="both"/>
      </w:pPr>
      <w:r>
        <w:t>Il s'agit de la fourniture et la pose de balcons en bois ainsi que tout élément nécessaire pour obtenir un ensemble fini.</w:t>
      </w:r>
    </w:p>
    <w:p w14:paraId="0DD182F3" w14:textId="77777777" w:rsidR="00DF410E" w:rsidRDefault="00CE7F43">
      <w:pPr>
        <w:pStyle w:val="pheading"/>
      </w:pPr>
      <w:r>
        <w:t>MATÉRIAUX</w:t>
      </w:r>
    </w:p>
    <w:p w14:paraId="39996B29" w14:textId="77777777" w:rsidR="00DF410E" w:rsidRDefault="00CE7F43">
      <w:pPr>
        <w:pStyle w:val="pheading"/>
      </w:pPr>
      <w:r>
        <w:t>- Caractéristiques générales</w:t>
      </w:r>
    </w:p>
    <w:p w14:paraId="4DB0D74A" w14:textId="77777777" w:rsidR="00DF410E" w:rsidRDefault="00CE7F43">
      <w:pPr>
        <w:jc w:val="both"/>
      </w:pPr>
      <w:r>
        <w:rPr>
          <w:b/>
        </w:rPr>
        <w:t>Préambule</w:t>
      </w:r>
    </w:p>
    <w:p w14:paraId="14401218" w14:textId="77777777" w:rsidR="00DF410E" w:rsidRDefault="00CE7F43">
      <w:pPr>
        <w:jc w:val="both"/>
      </w:pPr>
      <w:r>
        <w:t>En fonction de leur conception, les balcons sont composés :</w:t>
      </w:r>
    </w:p>
    <w:p w14:paraId="7902DEE2" w14:textId="77777777" w:rsidR="00DF410E" w:rsidRDefault="00CE7F43">
      <w:pPr>
        <w:pStyle w:val="Author-eListParagraph"/>
        <w:numPr>
          <w:ilvl w:val="0"/>
          <w:numId w:val="976"/>
        </w:numPr>
      </w:pPr>
      <w:r>
        <w:t>d’une structure portante (colonnes et/ou consoles fixées au mur) ;</w:t>
      </w:r>
    </w:p>
    <w:p w14:paraId="7E2D7ED5" w14:textId="77777777" w:rsidR="00DF410E" w:rsidRDefault="00CE7F43">
      <w:pPr>
        <w:pStyle w:val="Author-eListParagraph"/>
        <w:numPr>
          <w:ilvl w:val="0"/>
          <w:numId w:val="976"/>
        </w:numPr>
      </w:pPr>
      <w:r>
        <w:t>d’une structure principale (poutres principales) ;</w:t>
      </w:r>
    </w:p>
    <w:p w14:paraId="32679F99" w14:textId="77777777" w:rsidR="00DF410E" w:rsidRDefault="00CE7F43">
      <w:pPr>
        <w:pStyle w:val="Author-eListParagraph"/>
        <w:numPr>
          <w:ilvl w:val="0"/>
          <w:numId w:val="976"/>
        </w:numPr>
      </w:pPr>
      <w:r>
        <w:t>d’une structure secondaire (traverses, contreventements, etc.) ;</w:t>
      </w:r>
    </w:p>
    <w:p w14:paraId="4C6291EA" w14:textId="77777777" w:rsidR="00DF410E" w:rsidRDefault="00CE7F43">
      <w:pPr>
        <w:pStyle w:val="Author-eListParagraph"/>
        <w:numPr>
          <w:ilvl w:val="0"/>
          <w:numId w:val="976"/>
        </w:numPr>
      </w:pPr>
      <w:r>
        <w:t>d’un platelage ;</w:t>
      </w:r>
    </w:p>
    <w:p w14:paraId="7C8495F8" w14:textId="77777777" w:rsidR="00DF410E" w:rsidRDefault="00CE7F43">
      <w:pPr>
        <w:pStyle w:val="Author-eListParagraph"/>
        <w:numPr>
          <w:ilvl w:val="0"/>
          <w:numId w:val="976"/>
        </w:numPr>
      </w:pPr>
      <w:r>
        <w:t>de garde-corps.</w:t>
      </w:r>
    </w:p>
    <w:p w14:paraId="057A54BE" w14:textId="77777777" w:rsidR="00DF410E" w:rsidRDefault="00CE7F43">
      <w:pPr>
        <w:jc w:val="both"/>
      </w:pPr>
      <w:r>
        <w:rPr>
          <w:u w:val="single"/>
        </w:rPr>
        <w:t>Structures portantes</w:t>
      </w:r>
    </w:p>
    <w:p w14:paraId="4111A410" w14:textId="77777777" w:rsidR="00DF410E" w:rsidRDefault="00CE7F43">
      <w:pPr>
        <w:jc w:val="both"/>
      </w:pPr>
      <w:r>
        <w:t xml:space="preserve">Les structures portantes ne font pas partie du présent travail. Elles sont décrites séparément en fonction de la nature des matériaux aux </w:t>
      </w:r>
      <w:hyperlink w:anchor="292" w:history="1">
        <w:r>
          <w:t>21.1 Maçonneries portantes</w:t>
        </w:r>
      </w:hyperlink>
      <w:r>
        <w:t xml:space="preserve">, </w:t>
      </w:r>
      <w:hyperlink w:anchor="530" w:history="1">
        <w:r>
          <w:t>22.1 Eléments de structures en béton</w:t>
        </w:r>
      </w:hyperlink>
      <w:r>
        <w:t xml:space="preserve">, </w:t>
      </w:r>
      <w:hyperlink w:anchor="420" w:history="1">
        <w:r>
          <w:t>23.1 Eléments de structures métalliques</w:t>
        </w:r>
      </w:hyperlink>
      <w:r>
        <w:t xml:space="preserve"> ou </w:t>
      </w:r>
      <w:hyperlink w:anchor="592" w:history="1">
        <w:r>
          <w:t>24.1 Eléments de structures en bois</w:t>
        </w:r>
      </w:hyperlink>
      <w:r>
        <w:t xml:space="preserve"> et articles qui en découlent.</w:t>
      </w:r>
    </w:p>
    <w:p w14:paraId="5CCFC5A3" w14:textId="77777777" w:rsidR="00DF410E" w:rsidRDefault="00CE7F43">
      <w:pPr>
        <w:jc w:val="both"/>
      </w:pPr>
      <w:r>
        <w:rPr>
          <w:u w:val="single"/>
        </w:rPr>
        <w:t>Garde-corps</w:t>
      </w:r>
    </w:p>
    <w:p w14:paraId="29DDF787" w14:textId="77777777" w:rsidR="00DF410E" w:rsidRDefault="00CE7F43">
      <w:pPr>
        <w:jc w:val="both"/>
      </w:pPr>
      <w:r>
        <w:t>Les garde-corps sont décrits séparément, par exemple pour les métalliques, aux </w:t>
      </w:r>
      <w:hyperlink w:anchor="189" w:history="1">
        <w:r>
          <w:t>23.32 Garde-corps et rampes métalliques</w:t>
        </w:r>
      </w:hyperlink>
      <w:r>
        <w:t xml:space="preserve"> et articles qui en découlent. </w:t>
      </w:r>
      <w:r>
        <w:rPr>
          <w:rStyle w:val="optioncarChar"/>
        </w:rPr>
        <w:t xml:space="preserve">Ils ne font pas partie du présent travail </w:t>
      </w:r>
      <w:r>
        <w:t>(par défaut)</w:t>
      </w:r>
      <w:r>
        <w:rPr>
          <w:rStyle w:val="optioncarChar"/>
        </w:rPr>
        <w:t xml:space="preserve"> / Ils sont compris dans le présent travail</w:t>
      </w:r>
      <w:r>
        <w:t>.</w:t>
      </w:r>
    </w:p>
    <w:p w14:paraId="436DAC71" w14:textId="77777777" w:rsidR="00DF410E" w:rsidRDefault="00CE7F43">
      <w:pPr>
        <w:jc w:val="both"/>
      </w:pPr>
      <w:r>
        <w:rPr>
          <w:b/>
        </w:rPr>
        <w:t>Matériaux des balcons</w:t>
      </w:r>
    </w:p>
    <w:p w14:paraId="617D3FF1" w14:textId="77777777" w:rsidR="00DF410E" w:rsidRDefault="00CE7F43">
      <w:pPr>
        <w:pStyle w:val="Author-eListParagraph"/>
        <w:numPr>
          <w:ilvl w:val="0"/>
          <w:numId w:val="977"/>
        </w:numPr>
      </w:pPr>
      <w:r>
        <w:t>Classe d’emploi/de risque, suivant la [NBN EN 335] : 3</w:t>
      </w:r>
    </w:p>
    <w:p w14:paraId="1D0AF90A" w14:textId="77777777" w:rsidR="00DF410E" w:rsidRDefault="00CE7F43">
      <w:pPr>
        <w:jc w:val="both"/>
      </w:pPr>
      <w:r>
        <w:rPr>
          <w:u w:val="single"/>
        </w:rPr>
        <w:t>Les structures principales et secondaires</w:t>
      </w:r>
    </w:p>
    <w:p w14:paraId="4900AB1B" w14:textId="77777777" w:rsidR="00DF410E" w:rsidRDefault="00CE7F43">
      <w:pPr>
        <w:jc w:val="both"/>
      </w:pPr>
      <w:r>
        <w:t>Caractéristiques du bois :</w:t>
      </w:r>
    </w:p>
    <w:p w14:paraId="39B106AC" w14:textId="77777777" w:rsidR="00DF410E" w:rsidRDefault="00CE7F43">
      <w:pPr>
        <w:pStyle w:val="Author-eListParagraph"/>
        <w:numPr>
          <w:ilvl w:val="0"/>
          <w:numId w:val="978"/>
        </w:numPr>
      </w:pPr>
      <w:r>
        <w:t xml:space="preserve">Gamme de produits : </w:t>
      </w:r>
      <w:r>
        <w:rPr>
          <w:rStyle w:val="optioncarChar"/>
        </w:rPr>
        <w:t>bois massifs</w:t>
      </w:r>
      <w:r>
        <w:t xml:space="preserve"> (par défaut)</w:t>
      </w:r>
      <w:r>
        <w:rPr>
          <w:rStyle w:val="optioncarChar"/>
        </w:rPr>
        <w:t xml:space="preserve"> / bois lamellés-collés</w:t>
      </w:r>
    </w:p>
    <w:p w14:paraId="5759C27C" w14:textId="77777777" w:rsidR="00DF410E" w:rsidRDefault="00CE7F43">
      <w:pPr>
        <w:pStyle w:val="Author-eListParagraph"/>
        <w:numPr>
          <w:ilvl w:val="0"/>
          <w:numId w:val="978"/>
        </w:numPr>
      </w:pPr>
      <w:r>
        <w:t xml:space="preserve">Classe de durabilité, suivant la [NBN EN 460] : </w:t>
      </w:r>
      <w:r>
        <w:rPr>
          <w:rStyle w:val="optioncarChar"/>
        </w:rPr>
        <w:t xml:space="preserve">1 / 2 </w:t>
      </w:r>
      <w:r>
        <w:t>(par défaut)</w:t>
      </w:r>
      <w:r>
        <w:rPr>
          <w:rStyle w:val="optioncarChar"/>
        </w:rPr>
        <w:t xml:space="preserve"> / 3 / en fonction de l’essence de bois (voir le point suivant)</w:t>
      </w:r>
    </w:p>
    <w:p w14:paraId="2986EC42" w14:textId="77777777" w:rsidR="00DF410E" w:rsidRDefault="00CE7F43">
      <w:pPr>
        <w:pStyle w:val="Author-eListParagraph"/>
        <w:numPr>
          <w:ilvl w:val="0"/>
          <w:numId w:val="978"/>
        </w:numPr>
      </w:pPr>
      <w:r>
        <w:t xml:space="preserve">Choix de l’essence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w:t>
      </w:r>
      <w:r>
        <w:t>.</w:t>
      </w:r>
    </w:p>
    <w:p w14:paraId="38227851" w14:textId="77777777" w:rsidR="00DF410E" w:rsidRDefault="00CE7F43">
      <w:pPr>
        <w:pStyle w:val="Author-eListParagraph"/>
        <w:numPr>
          <w:ilvl w:val="0"/>
          <w:numId w:val="978"/>
        </w:numPr>
      </w:pPr>
      <w:r>
        <w:t xml:space="preserve">Raboté : </w:t>
      </w:r>
      <w:r>
        <w:rPr>
          <w:rStyle w:val="optioncarChar"/>
        </w:rPr>
        <w:t>2 faces (les faces de pose de panneaux) / 4 faces</w:t>
      </w:r>
      <w:r>
        <w:t xml:space="preserve"> (par défaut)</w:t>
      </w:r>
    </w:p>
    <w:p w14:paraId="1D6E9B30" w14:textId="77777777" w:rsidR="00DF410E" w:rsidRDefault="00CE7F43">
      <w:pPr>
        <w:jc w:val="both"/>
      </w:pPr>
      <w:r>
        <w:rPr>
          <w:u w:val="single"/>
        </w:rPr>
        <w:t>Les platelages</w:t>
      </w:r>
    </w:p>
    <w:p w14:paraId="37443929" w14:textId="77777777" w:rsidR="00DF410E" w:rsidRDefault="00CE7F43">
      <w:pPr>
        <w:jc w:val="both"/>
      </w:pPr>
      <w:r>
        <w:t>Caractéristiques du bois :</w:t>
      </w:r>
    </w:p>
    <w:p w14:paraId="4F51A0A0" w14:textId="77777777" w:rsidR="00DF410E" w:rsidRDefault="00CE7F43">
      <w:pPr>
        <w:pStyle w:val="Author-eListParagraph"/>
        <w:numPr>
          <w:ilvl w:val="0"/>
          <w:numId w:val="979"/>
        </w:numPr>
      </w:pPr>
      <w:r>
        <w:t xml:space="preserve">Gamme de produits : </w:t>
      </w:r>
      <w:r>
        <w:rPr>
          <w:rStyle w:val="optioncarChar"/>
        </w:rPr>
        <w:t>bois massif</w:t>
      </w:r>
      <w:r>
        <w:t xml:space="preserve"> (par défaut)</w:t>
      </w:r>
      <w:r>
        <w:rPr>
          <w:rStyle w:val="optioncarChar"/>
        </w:rPr>
        <w:t xml:space="preserve"> / panneaux de contreplaqué</w:t>
      </w:r>
    </w:p>
    <w:p w14:paraId="098C05F3" w14:textId="77777777" w:rsidR="00DF410E" w:rsidRDefault="00CE7F43">
      <w:pPr>
        <w:ind w:left="567"/>
        <w:jc w:val="both"/>
      </w:pPr>
      <w:r>
        <w:rPr>
          <w:b/>
        </w:rPr>
        <w:t>(soit par défaut)</w:t>
      </w:r>
    </w:p>
    <w:p w14:paraId="5BCCFD5D" w14:textId="77777777" w:rsidR="00DF410E" w:rsidRDefault="00CE7F43">
      <w:pPr>
        <w:ind w:left="567"/>
        <w:jc w:val="both"/>
      </w:pPr>
      <w:r>
        <w:rPr>
          <w:rStyle w:val="soitChar"/>
          <w:u w:val="single"/>
        </w:rPr>
        <w:t>Bois massif :</w:t>
      </w:r>
    </w:p>
    <w:p w14:paraId="6220BA91" w14:textId="77777777" w:rsidR="00DF410E" w:rsidRDefault="00CE7F43">
      <w:pPr>
        <w:pStyle w:val="Author-eListParagraph"/>
        <w:numPr>
          <w:ilvl w:val="0"/>
          <w:numId w:val="980"/>
        </w:numPr>
      </w:pPr>
      <w:r>
        <w:rPr>
          <w:rStyle w:val="soitChar"/>
        </w:rPr>
        <w:t xml:space="preserve">Classe de durabilité, suivant la [NBN EN 460] ≤ </w:t>
      </w:r>
      <w:r>
        <w:rPr>
          <w:rStyle w:val="optioncarChar"/>
        </w:rPr>
        <w:t xml:space="preserve">1 / 2 </w:t>
      </w:r>
      <w:r>
        <w:t>(par défaut)</w:t>
      </w:r>
      <w:r>
        <w:rPr>
          <w:rStyle w:val="optioncarChar"/>
        </w:rPr>
        <w:t xml:space="preserve"> / 3 / 4 / 5 / choix de l’essence de bois (voir le point suivant)</w:t>
      </w:r>
    </w:p>
    <w:p w14:paraId="1CA22817" w14:textId="77777777" w:rsidR="00DF410E" w:rsidRDefault="00CE7F43">
      <w:pPr>
        <w:pStyle w:val="Author-eListParagraph"/>
        <w:numPr>
          <w:ilvl w:val="0"/>
          <w:numId w:val="980"/>
        </w:numPr>
      </w:pPr>
      <w:r>
        <w:rPr>
          <w:rStyle w:val="soitChar"/>
        </w:rPr>
        <w:t xml:space="preserve">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ipe / itauba / hêtre / frêne / mélèze / ***</w:t>
      </w:r>
    </w:p>
    <w:p w14:paraId="13E8C4EA" w14:textId="77777777" w:rsidR="00DF410E" w:rsidRDefault="00CE7F43">
      <w:pPr>
        <w:pStyle w:val="Author-eListParagraph"/>
        <w:numPr>
          <w:ilvl w:val="0"/>
          <w:numId w:val="980"/>
        </w:numPr>
      </w:pPr>
      <w:r>
        <w:rPr>
          <w:rStyle w:val="soitChar"/>
        </w:rPr>
        <w:t xml:space="preserve">Epaisseur du platelage : </w:t>
      </w:r>
      <w:r>
        <w:rPr>
          <w:rStyle w:val="optioncarChar"/>
        </w:rPr>
        <w:t>22</w:t>
      </w:r>
      <w:r>
        <w:t xml:space="preserve"> (par défaut)</w:t>
      </w:r>
      <w:r>
        <w:rPr>
          <w:rStyle w:val="optioncarChar"/>
        </w:rPr>
        <w:t xml:space="preserve"> / 30 / 35</w:t>
      </w:r>
      <w:r>
        <w:rPr>
          <w:rStyle w:val="soitChar"/>
        </w:rPr>
        <w:t xml:space="preserve"> mm</w:t>
      </w:r>
    </w:p>
    <w:p w14:paraId="63D6EE37" w14:textId="77777777" w:rsidR="00DF410E" w:rsidRDefault="00CE7F43">
      <w:pPr>
        <w:pStyle w:val="Author-eListParagraph"/>
        <w:numPr>
          <w:ilvl w:val="0"/>
          <w:numId w:val="980"/>
        </w:numPr>
      </w:pPr>
      <w:r>
        <w:rPr>
          <w:rStyle w:val="soitChar"/>
        </w:rPr>
        <w:t xml:space="preserve">Jointures : </w:t>
      </w:r>
      <w:r>
        <w:rPr>
          <w:rStyle w:val="optioncarChar"/>
        </w:rPr>
        <w:t>ajourées</w:t>
      </w:r>
      <w:r>
        <w:t xml:space="preserve"> (par défaut)</w:t>
      </w:r>
      <w:r>
        <w:rPr>
          <w:rStyle w:val="optioncarChar"/>
        </w:rPr>
        <w:t xml:space="preserve"> / fermées</w:t>
      </w:r>
    </w:p>
    <w:p w14:paraId="477DB070" w14:textId="77777777" w:rsidR="00DF410E" w:rsidRDefault="00CE7F43">
      <w:pPr>
        <w:pStyle w:val="Author-eListParagraph"/>
        <w:numPr>
          <w:ilvl w:val="0"/>
          <w:numId w:val="980"/>
        </w:numPr>
      </w:pPr>
      <w:r>
        <w:rPr>
          <w:rStyle w:val="soitChar"/>
        </w:rPr>
        <w:t xml:space="preserve">Finition des bords : </w:t>
      </w:r>
      <w:r>
        <w:rPr>
          <w:rStyle w:val="optioncarChar"/>
        </w:rPr>
        <w:t>droits / adoucis</w:t>
      </w:r>
      <w:r>
        <w:t xml:space="preserve"> (par défaut)</w:t>
      </w:r>
      <w:r>
        <w:rPr>
          <w:rStyle w:val="optioncarChar"/>
        </w:rPr>
        <w:t xml:space="preserve"> / chanfreinés / à rainures et languettes des deux côtés longitudinaux / à rainures et languettes sur les quatre côtés / à mi-bois sur les quatre côtés</w:t>
      </w:r>
    </w:p>
    <w:p w14:paraId="3BE68737" w14:textId="77777777" w:rsidR="00DF410E" w:rsidRDefault="00CE7F43">
      <w:pPr>
        <w:pStyle w:val="Author-eListParagraph"/>
        <w:numPr>
          <w:ilvl w:val="0"/>
          <w:numId w:val="980"/>
        </w:numPr>
      </w:pPr>
      <w:r>
        <w:rPr>
          <w:rStyle w:val="soitChar"/>
        </w:rPr>
        <w:t xml:space="preserve">Finition de la face vue : </w:t>
      </w:r>
      <w:r>
        <w:rPr>
          <w:rStyle w:val="optioncarChar"/>
        </w:rPr>
        <w:t>antidérapante (PMR)</w:t>
      </w:r>
      <w:r>
        <w:t xml:space="preserve"> (par défaut) </w:t>
      </w:r>
      <w:r>
        <w:rPr>
          <w:rStyle w:val="optioncarChar"/>
        </w:rPr>
        <w:t>/ poncée / rabotée</w:t>
      </w:r>
    </w:p>
    <w:p w14:paraId="15DE0A3F" w14:textId="77777777" w:rsidR="00DF410E" w:rsidRDefault="00CE7F43">
      <w:pPr>
        <w:pStyle w:val="Author-eListParagraph"/>
        <w:numPr>
          <w:ilvl w:val="0"/>
          <w:numId w:val="980"/>
        </w:numPr>
      </w:pPr>
      <w:r>
        <w:rPr>
          <w:rStyle w:val="soitChar"/>
        </w:rPr>
        <w:t>Pour l’antidérapant :</w:t>
      </w:r>
    </w:p>
    <w:p w14:paraId="023BCE62" w14:textId="77777777" w:rsidR="00DF410E" w:rsidRDefault="00CE7F43">
      <w:pPr>
        <w:pStyle w:val="Author-eListParagraph"/>
        <w:numPr>
          <w:ilvl w:val="1"/>
          <w:numId w:val="981"/>
        </w:numPr>
      </w:pPr>
      <w:r>
        <w:rPr>
          <w:rStyle w:val="soitChar"/>
        </w:rPr>
        <w:t xml:space="preserve">Type d’antidérapant : </w:t>
      </w:r>
      <w:r>
        <w:rPr>
          <w:rStyle w:val="optioncarChar"/>
        </w:rPr>
        <w:t xml:space="preserve">ciselages (stries) antidérapants </w:t>
      </w:r>
      <w:r>
        <w:t>(par défaut)</w:t>
      </w:r>
      <w:r>
        <w:rPr>
          <w:rStyle w:val="optioncarChar"/>
        </w:rPr>
        <w:t xml:space="preserve"> / bandes antidérapantes collées / bandes antidérapantes embrevées</w:t>
      </w:r>
    </w:p>
    <w:p w14:paraId="4B69419E" w14:textId="77777777" w:rsidR="00DF410E" w:rsidRDefault="00CE7F43">
      <w:pPr>
        <w:pStyle w:val="Author-eListParagraph"/>
        <w:numPr>
          <w:ilvl w:val="1"/>
          <w:numId w:val="981"/>
        </w:numPr>
      </w:pPr>
      <w:r>
        <w:rPr>
          <w:rStyle w:val="soitChar"/>
        </w:rPr>
        <w:t xml:space="preserve">Matériau antidérapant : </w:t>
      </w:r>
      <w:r>
        <w:rPr>
          <w:rStyle w:val="optioncarChar"/>
        </w:rPr>
        <w:t>pas d’application (ciselage)</w:t>
      </w:r>
      <w:r>
        <w:t xml:space="preserve"> (par défaut) </w:t>
      </w:r>
      <w:r>
        <w:rPr>
          <w:rStyle w:val="optioncarChar"/>
        </w:rPr>
        <w:t>/ carborundum / caoutchouc / PVC</w:t>
      </w:r>
    </w:p>
    <w:p w14:paraId="20073733" w14:textId="77777777" w:rsidR="00DF410E" w:rsidRDefault="00CE7F43">
      <w:pPr>
        <w:ind w:left="567"/>
        <w:jc w:val="both"/>
      </w:pPr>
      <w:r>
        <w:rPr>
          <w:b/>
        </w:rPr>
        <w:t xml:space="preserve"> (soit)</w:t>
      </w:r>
    </w:p>
    <w:p w14:paraId="4FDD601D" w14:textId="77777777" w:rsidR="00DF410E" w:rsidRDefault="00CE7F43">
      <w:pPr>
        <w:ind w:left="567"/>
        <w:jc w:val="both"/>
      </w:pPr>
      <w:r>
        <w:rPr>
          <w:rStyle w:val="soitChar"/>
          <w:u w:val="single"/>
        </w:rPr>
        <w:t>Panneaux de contreplaqué :</w:t>
      </w:r>
    </w:p>
    <w:p w14:paraId="7ABD2866" w14:textId="77777777" w:rsidR="00DF410E" w:rsidRDefault="00CE7F43">
      <w:pPr>
        <w:pStyle w:val="Author-eListParagraph"/>
        <w:numPr>
          <w:ilvl w:val="0"/>
          <w:numId w:val="982"/>
        </w:numPr>
      </w:pPr>
      <w:r>
        <w:rPr>
          <w:rStyle w:val="soitChar"/>
        </w:rPr>
        <w:t xml:space="preserve">Classe de collage, selon la [NBN EN 314-2] : </w:t>
      </w:r>
      <w:r>
        <w:rPr>
          <w:rStyle w:val="optioncarChar"/>
        </w:rPr>
        <w:t>1 (int.) / 2 (ext à l’abri) / 3 (ext.)</w:t>
      </w:r>
      <w:r>
        <w:t xml:space="preserve"> (par défaut)</w:t>
      </w:r>
    </w:p>
    <w:p w14:paraId="45C3D886" w14:textId="77777777" w:rsidR="00DF410E" w:rsidRDefault="00CE7F43">
      <w:pPr>
        <w:pStyle w:val="Author-eListParagraph"/>
        <w:numPr>
          <w:ilvl w:val="0"/>
          <w:numId w:val="982"/>
        </w:numPr>
      </w:pPr>
      <w:r>
        <w:rPr>
          <w:rStyle w:val="soitChar"/>
        </w:rPr>
        <w:t xml:space="preserve">Essence : </w:t>
      </w:r>
      <w:r>
        <w:rPr>
          <w:rStyle w:val="optioncarChar"/>
        </w:rPr>
        <w:t xml:space="preserve">au choix de l’entrepreneur, à soumettre à l’approbation de l’architecte et du maître de l’ouvrage </w:t>
      </w:r>
      <w:r>
        <w:t>(par défaut)</w:t>
      </w:r>
      <w:r>
        <w:rPr>
          <w:rStyle w:val="optioncarChar"/>
        </w:rPr>
        <w:t xml:space="preserve"> / okoumé nautique / Western Red Cedar / dark red meranti / ***</w:t>
      </w:r>
    </w:p>
    <w:p w14:paraId="0556761C" w14:textId="77777777" w:rsidR="00DF410E" w:rsidRDefault="00CE7F43">
      <w:pPr>
        <w:pStyle w:val="Author-eListParagraph"/>
        <w:numPr>
          <w:ilvl w:val="0"/>
          <w:numId w:val="982"/>
        </w:numPr>
      </w:pPr>
      <w:r>
        <w:rPr>
          <w:rStyle w:val="soitChar"/>
        </w:rPr>
        <w:t xml:space="preserve">Epaisseur des panneaux : </w:t>
      </w:r>
      <w:r>
        <w:rPr>
          <w:rStyle w:val="optioncarChar"/>
        </w:rPr>
        <w:t>18 / 20 / 22</w:t>
      </w:r>
      <w:r>
        <w:t xml:space="preserve"> (par défaut)</w:t>
      </w:r>
      <w:r>
        <w:rPr>
          <w:rStyle w:val="optioncarChar"/>
        </w:rPr>
        <w:t xml:space="preserve"> / 25 / 30</w:t>
      </w:r>
      <w:r>
        <w:rPr>
          <w:rStyle w:val="soitChar"/>
        </w:rPr>
        <w:t xml:space="preserve"> mm</w:t>
      </w:r>
    </w:p>
    <w:p w14:paraId="60FDB316" w14:textId="77777777" w:rsidR="00DF410E" w:rsidRDefault="00CE7F43">
      <w:pPr>
        <w:pStyle w:val="Author-eListParagraph"/>
        <w:numPr>
          <w:ilvl w:val="0"/>
          <w:numId w:val="982"/>
        </w:numPr>
      </w:pPr>
      <w:r>
        <w:rPr>
          <w:rStyle w:val="soitChar"/>
        </w:rPr>
        <w:t xml:space="preserve">Jointures : </w:t>
      </w:r>
      <w:r>
        <w:rPr>
          <w:rStyle w:val="optioncarChar"/>
        </w:rPr>
        <w:t>ajourées</w:t>
      </w:r>
      <w:r>
        <w:t xml:space="preserve"> (par défaut)</w:t>
      </w:r>
      <w:r>
        <w:rPr>
          <w:rStyle w:val="optioncarChar"/>
        </w:rPr>
        <w:t xml:space="preserve"> / fermées</w:t>
      </w:r>
    </w:p>
    <w:p w14:paraId="7FCC458E" w14:textId="77777777" w:rsidR="00DF410E" w:rsidRDefault="00CE7F43">
      <w:pPr>
        <w:pStyle w:val="Author-eListParagraph"/>
        <w:numPr>
          <w:ilvl w:val="0"/>
          <w:numId w:val="982"/>
        </w:numPr>
      </w:pPr>
      <w:r>
        <w:rPr>
          <w:rStyle w:val="soitChar"/>
        </w:rPr>
        <w:t xml:space="preserve">Finition des bords : </w:t>
      </w:r>
      <w:r>
        <w:rPr>
          <w:rStyle w:val="optioncarChar"/>
        </w:rPr>
        <w:t>droits</w:t>
      </w:r>
      <w:r>
        <w:t xml:space="preserve"> (par défaut) </w:t>
      </w:r>
      <w:r>
        <w:rPr>
          <w:rStyle w:val="optioncarChar"/>
        </w:rPr>
        <w:t>/ à rainures et languettes des deux côtés longitudinaux / à rainures et languettes sur les quatre côtés</w:t>
      </w:r>
    </w:p>
    <w:p w14:paraId="5A954E5F" w14:textId="77777777" w:rsidR="00DF410E" w:rsidRDefault="00CE7F43">
      <w:pPr>
        <w:pStyle w:val="Author-eListParagraph"/>
        <w:numPr>
          <w:ilvl w:val="0"/>
          <w:numId w:val="982"/>
        </w:numPr>
      </w:pPr>
      <w:r>
        <w:rPr>
          <w:rStyle w:val="soitChar"/>
        </w:rPr>
        <w:t>Finition de la face vue : </w:t>
      </w:r>
      <w:r>
        <w:rPr>
          <w:rStyle w:val="optioncarChar"/>
        </w:rPr>
        <w:t xml:space="preserve">antidérapante (PMR) </w:t>
      </w:r>
      <w:r>
        <w:t>(par défaut)</w:t>
      </w:r>
      <w:r>
        <w:rPr>
          <w:rStyle w:val="optioncarChar"/>
        </w:rPr>
        <w:t xml:space="preserve"> / poncée / non poncée</w:t>
      </w:r>
    </w:p>
    <w:p w14:paraId="2CEC8108" w14:textId="77777777" w:rsidR="00DF410E" w:rsidRDefault="00CE7F43">
      <w:pPr>
        <w:pStyle w:val="pheading"/>
      </w:pPr>
      <w:r>
        <w:t>- Finitions</w:t>
      </w:r>
    </w:p>
    <w:p w14:paraId="081EE6AD" w14:textId="77777777" w:rsidR="00DF410E" w:rsidRDefault="00CE7F43">
      <w:r>
        <w:rPr>
          <w:b/>
        </w:rPr>
        <w:t>Traitement de finition du bois</w:t>
      </w:r>
      <w:r>
        <w:br/>
        <w:t xml:space="preserve">Finition des parties visibles du bois : </w:t>
      </w:r>
      <w:r>
        <w:rPr>
          <w:rStyle w:val="optioncarChar"/>
        </w:rPr>
        <w:t>pas de finition</w:t>
      </w:r>
      <w:r>
        <w:t xml:space="preserve"> (par défaut)</w:t>
      </w:r>
      <w:r>
        <w:rPr>
          <w:rStyle w:val="optioncarChar"/>
        </w:rPr>
        <w:t xml:space="preserve"> / application d’une finition</w:t>
      </w:r>
      <w:r>
        <w:br/>
      </w:r>
      <w:r>
        <w:rPr>
          <w:u w:val="single"/>
        </w:rPr>
        <w:t>Dans le cas de l’application d’une finition sur le bois prévue dans le présent travail :</w:t>
      </w:r>
    </w:p>
    <w:p w14:paraId="24843B5D" w14:textId="77777777" w:rsidR="00DF410E" w:rsidRDefault="00CE7F43">
      <w:pPr>
        <w:pStyle w:val="Author-eListParagraph"/>
        <w:numPr>
          <w:ilvl w:val="0"/>
          <w:numId w:val="983"/>
        </w:numPr>
      </w:pPr>
      <w:r>
        <w:t xml:space="preserve">Type de traitement : </w:t>
      </w:r>
      <w:r>
        <w:rPr>
          <w:rStyle w:val="optioncarChar"/>
        </w:rPr>
        <w:t xml:space="preserve">anti UV </w:t>
      </w:r>
      <w:r>
        <w:t>(par défaut</w:t>
      </w:r>
      <w:r>
        <w:rPr>
          <w:rStyle w:val="optioncarChar"/>
        </w:rPr>
        <w:t>) / verni / peinture / lasure / huile / céruse</w:t>
      </w:r>
    </w:p>
    <w:p w14:paraId="7FE62151" w14:textId="77777777" w:rsidR="00DF410E" w:rsidRDefault="00CE7F43">
      <w:pPr>
        <w:pStyle w:val="Author-eListParagraph"/>
        <w:numPr>
          <w:ilvl w:val="0"/>
          <w:numId w:val="983"/>
        </w:numPr>
      </w:pPr>
      <w:r>
        <w:t xml:space="preserve">Teinte : </w:t>
      </w:r>
      <w:r>
        <w:rPr>
          <w:rStyle w:val="optioncarChar"/>
        </w:rPr>
        <w:t xml:space="preserve">transparent </w:t>
      </w:r>
      <w:r>
        <w:t>(par défaut)</w:t>
      </w:r>
      <w:r>
        <w:rPr>
          <w:rStyle w:val="optioncarChar"/>
        </w:rPr>
        <w:t xml:space="preserve"> / pigmenté blanchâtre / blanc / RAL : ***</w:t>
      </w:r>
    </w:p>
    <w:p w14:paraId="3A992C05" w14:textId="77777777" w:rsidR="00DF410E" w:rsidRDefault="00CE7F43">
      <w:pPr>
        <w:pStyle w:val="pheading"/>
      </w:pPr>
      <w:r>
        <w:t>EXÉCUTION / MISE EN ŒUVRE</w:t>
      </w:r>
    </w:p>
    <w:p w14:paraId="213A7E94" w14:textId="77777777" w:rsidR="00DF410E" w:rsidRDefault="00CE7F43">
      <w:pPr>
        <w:pStyle w:val="pheading"/>
      </w:pPr>
      <w:r>
        <w:t>- Prescriptions générales</w:t>
      </w:r>
    </w:p>
    <w:p w14:paraId="5C16C789" w14:textId="77777777" w:rsidR="00DF410E" w:rsidRDefault="00CE7F43">
      <w:pPr>
        <w:jc w:val="both"/>
      </w:pPr>
      <w:r>
        <w:t>Les balcons sont posés avec une légère pente, vers les extrémités opposées aux murs, pour assurer l’évacuation des eaux.</w:t>
      </w:r>
    </w:p>
    <w:p w14:paraId="70F1AF74" w14:textId="77777777" w:rsidR="00DF410E" w:rsidRDefault="00CE7F43">
      <w:pPr>
        <w:jc w:val="both"/>
      </w:pPr>
      <w:r>
        <w:t xml:space="preserve">Pente : ≥ </w:t>
      </w:r>
      <w:r>
        <w:rPr>
          <w:rStyle w:val="optioncarChar"/>
        </w:rPr>
        <w:t>1%</w:t>
      </w:r>
      <w:r>
        <w:t xml:space="preserve"> (par défaut)</w:t>
      </w:r>
      <w:r>
        <w:rPr>
          <w:rStyle w:val="optioncarChar"/>
        </w:rPr>
        <w:t xml:space="preserve"> / 1,5% / 2%</w:t>
      </w:r>
    </w:p>
    <w:p w14:paraId="02E4E96F" w14:textId="77777777" w:rsidR="00DF410E" w:rsidRDefault="00CE7F43">
      <w:pPr>
        <w:jc w:val="both"/>
      </w:pPr>
      <w:r>
        <w:t>Toutes les pièces sont profilées et ouvragées conformément à l'étude et aux plans d'exécution réalisés par l’entrepreneur. Ces documents d'exécution sont soumis à l'approbation de l’auteur de projet.</w:t>
      </w:r>
    </w:p>
    <w:p w14:paraId="22DBF735" w14:textId="77777777" w:rsidR="00DF410E" w:rsidRDefault="00CE7F43">
      <w:pPr>
        <w:jc w:val="both"/>
      </w:pPr>
      <w:r>
        <w:t xml:space="preserve">L'étude et les plans d'exécution de l’entrepreneur sont réalisés sur base : </w:t>
      </w:r>
      <w:r>
        <w:rPr>
          <w:rStyle w:val="optioncarChar"/>
        </w:rPr>
        <w:t xml:space="preserve">des études et dessins de détail annexés au dossier de soumission </w:t>
      </w:r>
      <w:r>
        <w:t>(par défaut)</w:t>
      </w:r>
      <w:r>
        <w:rPr>
          <w:rStyle w:val="optioncarChar"/>
        </w:rPr>
        <w:t xml:space="preserve"> / études à charge de l’entreprise. </w:t>
      </w:r>
    </w:p>
    <w:p w14:paraId="6BA7625A" w14:textId="77777777" w:rsidR="00DF410E" w:rsidRDefault="00CE7F43">
      <w:pPr>
        <w:jc w:val="both"/>
      </w:pPr>
      <w:r>
        <w:rPr>
          <w:b/>
        </w:rPr>
        <w:t>Etudes et dessins de détail annexés au dossier de soumission </w:t>
      </w:r>
    </w:p>
    <w:p w14:paraId="0F750D16" w14:textId="77777777" w:rsidR="00DF410E" w:rsidRDefault="00CE7F43">
      <w:pPr>
        <w:jc w:val="both"/>
      </w:pPr>
      <w:r>
        <w:t>Les dessins d’exécution sont réalisés selon l’étude des plans et des détails de l'auteur de projet annexés au dossier de soumission. </w:t>
      </w:r>
    </w:p>
    <w:p w14:paraId="1883B82C" w14:textId="77777777" w:rsidR="00DF410E" w:rsidRDefault="00CE7F43">
      <w:pPr>
        <w:jc w:val="both"/>
      </w:pPr>
      <w:r>
        <w:rPr>
          <w:b/>
        </w:rPr>
        <w:t>Etudes à charge de l’entreprise </w:t>
      </w:r>
    </w:p>
    <w:p w14:paraId="103D25C9" w14:textId="77777777" w:rsidR="00DF410E" w:rsidRDefault="00CE7F43">
      <w:pPr>
        <w:jc w:val="both"/>
      </w:pPr>
      <w:r>
        <w:t xml:space="preserve">Les frais pour la réalisation de l'étude des balcons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 </w:t>
      </w:r>
    </w:p>
    <w:p w14:paraId="14DF5388" w14:textId="77777777" w:rsidR="00DF410E" w:rsidRDefault="00CE7F43">
      <w:pPr>
        <w:jc w:val="both"/>
      </w:pPr>
      <w:r>
        <w:t xml:space="preserve"> L’étude est établie suivant les indications données sur les plans et coupes de principe du dossier de soumission et des informations suivantes, le tout donné à titre indicatif pour orienter l’entreprise :</w:t>
      </w:r>
    </w:p>
    <w:p w14:paraId="56945522" w14:textId="77777777" w:rsidR="00DF410E" w:rsidRDefault="00CE7F43">
      <w:pPr>
        <w:jc w:val="both"/>
      </w:pPr>
      <w:r>
        <w:rPr>
          <w:u w:val="single"/>
        </w:rPr>
        <w:t>Structure portante (pour information)</w:t>
      </w:r>
    </w:p>
    <w:p w14:paraId="1392D332" w14:textId="77777777" w:rsidR="00DF410E" w:rsidRDefault="00CE7F43">
      <w:pPr>
        <w:pStyle w:val="Author-eListParagraph"/>
        <w:numPr>
          <w:ilvl w:val="0"/>
          <w:numId w:val="984"/>
        </w:numPr>
      </w:pPr>
      <w:r>
        <w:t xml:space="preserve">La structure portante ne fait pas partie du présent travail. Les passerelles sont prévues pour être posées sur : </w:t>
      </w:r>
      <w:r>
        <w:rPr>
          <w:rStyle w:val="optioncarChar"/>
        </w:rPr>
        <w:t>des colonnes/poutres</w:t>
      </w:r>
      <w:r>
        <w:t xml:space="preserve"> (par défaut)</w:t>
      </w:r>
      <w:r>
        <w:rPr>
          <w:rStyle w:val="optioncarChar"/>
        </w:rPr>
        <w:t xml:space="preserve"> / des consoles fixées au mur.</w:t>
      </w:r>
    </w:p>
    <w:p w14:paraId="02BCD07A" w14:textId="77777777" w:rsidR="00DF410E" w:rsidRDefault="00CE7F43">
      <w:pPr>
        <w:jc w:val="both"/>
      </w:pPr>
      <w:r>
        <w:rPr>
          <w:u w:val="single"/>
        </w:rPr>
        <w:t>Structure principale</w:t>
      </w:r>
    </w:p>
    <w:p w14:paraId="20968B59" w14:textId="77777777" w:rsidR="00DF410E" w:rsidRDefault="00CE7F43">
      <w:pPr>
        <w:pStyle w:val="Author-eListParagraph"/>
        <w:numPr>
          <w:ilvl w:val="0"/>
          <w:numId w:val="985"/>
        </w:numPr>
      </w:pPr>
      <w:r>
        <w:t xml:space="preserve">Profil de limons / gîtages : </w:t>
      </w:r>
      <w:r>
        <w:rPr>
          <w:rStyle w:val="optioncarChar"/>
        </w:rPr>
        <w:t xml:space="preserve">rectangulaire </w:t>
      </w:r>
      <w:r>
        <w:t>(par défaut)</w:t>
      </w:r>
      <w:r>
        <w:rPr>
          <w:rStyle w:val="optioncarChar"/>
        </w:rPr>
        <w:t xml:space="preserve"> / carré / circulaire</w:t>
      </w:r>
    </w:p>
    <w:p w14:paraId="4A6CA38F" w14:textId="77777777" w:rsidR="00DF410E" w:rsidRDefault="00CE7F43">
      <w:pPr>
        <w:pStyle w:val="Author-eListParagraph"/>
        <w:numPr>
          <w:ilvl w:val="0"/>
          <w:numId w:val="985"/>
        </w:numPr>
      </w:pPr>
      <w:r>
        <w:t xml:space="preserve">Assemblages à la structure portante : </w:t>
      </w:r>
      <w:r>
        <w:rPr>
          <w:rStyle w:val="optioncarChar"/>
        </w:rPr>
        <w:t xml:space="preserve">boulonnés </w:t>
      </w:r>
      <w:r>
        <w:t>(par défaut)</w:t>
      </w:r>
      <w:r>
        <w:rPr>
          <w:rStyle w:val="optioncarChar"/>
        </w:rPr>
        <w:t xml:space="preserve"> / cloués / vissés</w:t>
      </w:r>
    </w:p>
    <w:p w14:paraId="44CB87B4" w14:textId="77777777" w:rsidR="00DF410E" w:rsidRDefault="00CE7F43">
      <w:pPr>
        <w:jc w:val="both"/>
      </w:pPr>
      <w:r>
        <w:rPr>
          <w:u w:val="single"/>
        </w:rPr>
        <w:t>Structure secondaire</w:t>
      </w:r>
    </w:p>
    <w:p w14:paraId="4F21EDAA" w14:textId="77777777" w:rsidR="00DF410E" w:rsidRDefault="00CE7F43">
      <w:pPr>
        <w:pStyle w:val="Author-eListParagraph"/>
        <w:numPr>
          <w:ilvl w:val="0"/>
          <w:numId w:val="986"/>
        </w:numPr>
      </w:pPr>
      <w:r>
        <w:t xml:space="preserve">Profil : </w:t>
      </w:r>
      <w:r>
        <w:rPr>
          <w:rStyle w:val="optioncarChar"/>
        </w:rPr>
        <w:t xml:space="preserve">rectangulaire </w:t>
      </w:r>
      <w:r>
        <w:t>(par défaut)</w:t>
      </w:r>
      <w:r>
        <w:rPr>
          <w:rStyle w:val="optioncarChar"/>
        </w:rPr>
        <w:t xml:space="preserve"> / carré / circulaire</w:t>
      </w:r>
    </w:p>
    <w:p w14:paraId="63A77476" w14:textId="77777777" w:rsidR="00DF410E" w:rsidRDefault="00CE7F43">
      <w:pPr>
        <w:pStyle w:val="Author-eListParagraph"/>
        <w:numPr>
          <w:ilvl w:val="0"/>
          <w:numId w:val="986"/>
        </w:numPr>
      </w:pPr>
      <w:r>
        <w:t xml:space="preserve">Assemblages à la structure principale : </w:t>
      </w:r>
      <w:r>
        <w:rPr>
          <w:rStyle w:val="optioncarChar"/>
        </w:rPr>
        <w:t xml:space="preserve">boulonnés </w:t>
      </w:r>
      <w:r>
        <w:t>(par défaut)</w:t>
      </w:r>
      <w:r>
        <w:rPr>
          <w:rStyle w:val="optioncarChar"/>
        </w:rPr>
        <w:t xml:space="preserve"> / cloués / vissés</w:t>
      </w:r>
    </w:p>
    <w:p w14:paraId="2A2BCDAD" w14:textId="77777777" w:rsidR="00DF410E" w:rsidRDefault="00CE7F43">
      <w:pPr>
        <w:jc w:val="both"/>
      </w:pPr>
      <w:r>
        <w:rPr>
          <w:u w:val="single"/>
        </w:rPr>
        <w:t>Contreventements</w:t>
      </w:r>
    </w:p>
    <w:p w14:paraId="6D7E3485" w14:textId="77777777" w:rsidR="00DF410E" w:rsidRDefault="00CE7F43">
      <w:pPr>
        <w:pStyle w:val="Author-eListParagraph"/>
        <w:numPr>
          <w:ilvl w:val="0"/>
          <w:numId w:val="987"/>
        </w:numPr>
      </w:pPr>
      <w:r>
        <w:t>Les contreventements sont en :</w:t>
      </w:r>
      <w:r>
        <w:rPr>
          <w:rStyle w:val="optioncarChar"/>
        </w:rPr>
        <w:t xml:space="preserve"> bois </w:t>
      </w:r>
      <w:r>
        <w:t>(par défaut)</w:t>
      </w:r>
      <w:r>
        <w:rPr>
          <w:rStyle w:val="optioncarChar"/>
        </w:rPr>
        <w:t> / acier</w:t>
      </w:r>
    </w:p>
    <w:p w14:paraId="1DB1C7E2" w14:textId="77777777" w:rsidR="00DF410E" w:rsidRDefault="00CE7F43">
      <w:pPr>
        <w:ind w:left="567"/>
        <w:jc w:val="both"/>
      </w:pPr>
      <w:r>
        <w:rPr>
          <w:b/>
        </w:rPr>
        <w:t>(soit par défaut)</w:t>
      </w:r>
    </w:p>
    <w:p w14:paraId="484DDC6D" w14:textId="77777777" w:rsidR="00DF410E" w:rsidRDefault="00CE7F43">
      <w:pPr>
        <w:ind w:left="567"/>
        <w:jc w:val="both"/>
      </w:pPr>
      <w:r>
        <w:rPr>
          <w:rStyle w:val="soitChar"/>
          <w:u w:val="single"/>
        </w:rPr>
        <w:t>En bois :</w:t>
      </w:r>
    </w:p>
    <w:p w14:paraId="6E0E2BB2" w14:textId="77777777" w:rsidR="00DF410E" w:rsidRDefault="00CE7F43">
      <w:pPr>
        <w:pStyle w:val="Author-eListParagraph"/>
        <w:numPr>
          <w:ilvl w:val="1"/>
          <w:numId w:val="988"/>
        </w:numPr>
      </w:pPr>
      <w:r>
        <w:rPr>
          <w:rStyle w:val="soitChar"/>
        </w:rPr>
        <w:t xml:space="preserve">Profil : </w:t>
      </w:r>
      <w:r>
        <w:rPr>
          <w:rStyle w:val="optioncarChar"/>
        </w:rPr>
        <w:t xml:space="preserve">rectangulaire </w:t>
      </w:r>
      <w:r>
        <w:t>(par défaut)</w:t>
      </w:r>
      <w:r>
        <w:rPr>
          <w:rStyle w:val="optioncarChar"/>
        </w:rPr>
        <w:t xml:space="preserve"> / carré / circulaire</w:t>
      </w:r>
    </w:p>
    <w:p w14:paraId="30AF2D4C" w14:textId="77777777" w:rsidR="00DF410E" w:rsidRDefault="00CE7F43">
      <w:pPr>
        <w:pStyle w:val="Author-eListParagraph"/>
        <w:numPr>
          <w:ilvl w:val="1"/>
          <w:numId w:val="988"/>
        </w:numPr>
      </w:pPr>
      <w:r>
        <w:rPr>
          <w:rStyle w:val="soitChar"/>
        </w:rPr>
        <w:t xml:space="preserve">Assemblages à la structure : </w:t>
      </w:r>
      <w:r>
        <w:rPr>
          <w:rStyle w:val="optioncarChar"/>
        </w:rPr>
        <w:t>boulonnés</w:t>
      </w:r>
      <w:r>
        <w:t xml:space="preserve"> (par défaut) </w:t>
      </w:r>
      <w:r>
        <w:rPr>
          <w:rStyle w:val="optioncarChar"/>
        </w:rPr>
        <w:t>/ cloués / vissés</w:t>
      </w:r>
    </w:p>
    <w:p w14:paraId="4B698A29" w14:textId="77777777" w:rsidR="00DF410E" w:rsidRDefault="00CE7F43">
      <w:pPr>
        <w:ind w:left="567"/>
        <w:jc w:val="both"/>
      </w:pPr>
      <w:r>
        <w:rPr>
          <w:b/>
        </w:rPr>
        <w:t>(soit)</w:t>
      </w:r>
    </w:p>
    <w:p w14:paraId="2AE620A9" w14:textId="77777777" w:rsidR="00DF410E" w:rsidRDefault="00CE7F43">
      <w:pPr>
        <w:ind w:left="567"/>
        <w:jc w:val="both"/>
      </w:pPr>
      <w:r>
        <w:rPr>
          <w:rStyle w:val="soitChar"/>
          <w:u w:val="single"/>
        </w:rPr>
        <w:t>En acier :</w:t>
      </w:r>
    </w:p>
    <w:p w14:paraId="597FBE19" w14:textId="77777777" w:rsidR="00DF410E" w:rsidRDefault="00CE7F43">
      <w:pPr>
        <w:pStyle w:val="Author-eListParagraph"/>
        <w:numPr>
          <w:ilvl w:val="1"/>
          <w:numId w:val="989"/>
        </w:numPr>
      </w:pPr>
      <w:r>
        <w:rPr>
          <w:rStyle w:val="soitChar"/>
        </w:rPr>
        <w:t xml:space="preserve">Profil : </w:t>
      </w:r>
      <w:r>
        <w:rPr>
          <w:rStyle w:val="optioncarChar"/>
        </w:rPr>
        <w:t xml:space="preserve">câbles </w:t>
      </w:r>
      <w:r>
        <w:t xml:space="preserve">(par défaut) </w:t>
      </w:r>
      <w:r>
        <w:rPr>
          <w:rStyle w:val="optioncarChar"/>
        </w:rPr>
        <w:t>/ tiges rondes / cornières L à ailes égales / ***</w:t>
      </w:r>
    </w:p>
    <w:p w14:paraId="14ACA298" w14:textId="77777777" w:rsidR="00DF410E" w:rsidRDefault="00CE7F43">
      <w:pPr>
        <w:pStyle w:val="Author-eListParagraph"/>
        <w:numPr>
          <w:ilvl w:val="1"/>
          <w:numId w:val="989"/>
        </w:numPr>
      </w:pPr>
      <w:r>
        <w:rPr>
          <w:rStyle w:val="soitChar"/>
        </w:rPr>
        <w:t xml:space="preserve">Assemblages à la structure : </w:t>
      </w:r>
      <w:r>
        <w:rPr>
          <w:rStyle w:val="optioncarChar"/>
        </w:rPr>
        <w:t>boulonnés à la structure</w:t>
      </w:r>
      <w:r>
        <w:t xml:space="preserve"> (par défaut)</w:t>
      </w:r>
      <w:r>
        <w:rPr>
          <w:rStyle w:val="optioncarChar"/>
        </w:rPr>
        <w:t xml:space="preserve"> / boulonnés sur des goussets / pattes fixés à la structure</w:t>
      </w:r>
    </w:p>
    <w:p w14:paraId="3DE66F12" w14:textId="77777777" w:rsidR="00DF410E" w:rsidRDefault="00CE7F43">
      <w:pPr>
        <w:jc w:val="both"/>
      </w:pPr>
      <w:r>
        <w:rPr>
          <w:u w:val="single"/>
        </w:rPr>
        <w:t>Platelage</w:t>
      </w:r>
    </w:p>
    <w:p w14:paraId="4C3FD4D0" w14:textId="77777777" w:rsidR="00DF410E" w:rsidRDefault="00CE7F43">
      <w:pPr>
        <w:pStyle w:val="Author-eListParagraph"/>
        <w:numPr>
          <w:ilvl w:val="0"/>
          <w:numId w:val="990"/>
        </w:numPr>
      </w:pPr>
      <w:r>
        <w:t xml:space="preserve">Le platelage est posé : </w:t>
      </w:r>
      <w:r>
        <w:rPr>
          <w:rStyle w:val="optioncarChar"/>
        </w:rPr>
        <w:t>sur les profils de ceinture ou gîtages</w:t>
      </w:r>
      <w:r>
        <w:t xml:space="preserve"> (par défaut)</w:t>
      </w:r>
      <w:r>
        <w:rPr>
          <w:rStyle w:val="optioncarChar"/>
        </w:rPr>
        <w:t xml:space="preserve"> / en affleurement aux profils de ceinture du balcon (pour que la face supérieure soit dans le même plan que le dessus des profils de ceinture)</w:t>
      </w:r>
      <w:r>
        <w:t>.</w:t>
      </w:r>
    </w:p>
    <w:p w14:paraId="47D41025" w14:textId="77777777" w:rsidR="00DF410E" w:rsidRDefault="00CE7F43">
      <w:pPr>
        <w:pStyle w:val="Author-eListParagraph"/>
        <w:numPr>
          <w:ilvl w:val="0"/>
          <w:numId w:val="990"/>
        </w:numPr>
      </w:pPr>
      <w:r>
        <w:t xml:space="preserve">Assemblages à la structure : </w:t>
      </w:r>
      <w:r>
        <w:rPr>
          <w:rStyle w:val="optioncarChar"/>
        </w:rPr>
        <w:t>vissés</w:t>
      </w:r>
      <w:r>
        <w:t xml:space="preserve"> (par défaut)</w:t>
      </w:r>
      <w:r>
        <w:rPr>
          <w:rStyle w:val="optioncarChar"/>
        </w:rPr>
        <w:t xml:space="preserve"> / cloués</w:t>
      </w:r>
    </w:p>
    <w:p w14:paraId="2D7C3A74" w14:textId="77777777" w:rsidR="00DF410E" w:rsidRDefault="00CE7F43">
      <w:pPr>
        <w:jc w:val="both"/>
      </w:pPr>
      <w:r>
        <w:rPr>
          <w:u w:val="single"/>
        </w:rPr>
        <w:t>Garde-corps</w:t>
      </w:r>
    </w:p>
    <w:p w14:paraId="11DB33E8" w14:textId="77777777" w:rsidR="00DF410E" w:rsidRDefault="00CE7F43">
      <w:pPr>
        <w:pStyle w:val="Author-eListParagraph"/>
        <w:numPr>
          <w:ilvl w:val="0"/>
          <w:numId w:val="991"/>
        </w:numPr>
      </w:pPr>
      <w:r>
        <w:t>Les garde-corps sont fixés solidement aux :</w:t>
      </w:r>
      <w:r>
        <w:rPr>
          <w:rStyle w:val="optioncarChar"/>
        </w:rPr>
        <w:t xml:space="preserve"> limons périphériques</w:t>
      </w:r>
      <w:r>
        <w:t xml:space="preserve"> (par défaut)</w:t>
      </w:r>
      <w:r>
        <w:rPr>
          <w:rStyle w:val="optioncarChar"/>
        </w:rPr>
        <w:t xml:space="preserve"> / aux platelages</w:t>
      </w:r>
    </w:p>
    <w:p w14:paraId="216314DD" w14:textId="77777777" w:rsidR="00DF410E" w:rsidRDefault="00CE7F43">
      <w:pPr>
        <w:pStyle w:val="Author-eListParagraph"/>
        <w:numPr>
          <w:ilvl w:val="0"/>
          <w:numId w:val="991"/>
        </w:numPr>
      </w:pPr>
      <w:r>
        <w:t xml:space="preserve">Assemblages au support : </w:t>
      </w:r>
      <w:r>
        <w:rPr>
          <w:rStyle w:val="optioncarChar"/>
        </w:rPr>
        <w:t xml:space="preserve">vissés </w:t>
      </w:r>
      <w:r>
        <w:t>(par défaut)</w:t>
      </w:r>
      <w:r>
        <w:rPr>
          <w:rStyle w:val="optioncarChar"/>
        </w:rPr>
        <w:t xml:space="preserve"> / boulonnés</w:t>
      </w:r>
    </w:p>
    <w:p w14:paraId="712423FF" w14:textId="77777777" w:rsidR="00DF410E" w:rsidRDefault="00DF410E"/>
    <w:p w14:paraId="1285D2F1" w14:textId="77777777" w:rsidR="00DF410E" w:rsidRDefault="00CE7F43">
      <w:pPr>
        <w:jc w:val="both"/>
      </w:pPr>
      <w:r>
        <w:t>Le bois des balcons est protégé jusqu'à la réception provisoire dans un emballage de protection évitant les chocs et rayures.</w:t>
      </w:r>
    </w:p>
    <w:p w14:paraId="32FA3135" w14:textId="77777777" w:rsidR="00DF410E" w:rsidRDefault="00CE7F43">
      <w:pPr>
        <w:pStyle w:val="pheading"/>
      </w:pPr>
      <w:r>
        <w:t>MESURAGE</w:t>
      </w:r>
    </w:p>
    <w:p w14:paraId="433E86EF" w14:textId="77777777" w:rsidR="00DF410E" w:rsidRDefault="00CE7F43">
      <w:pPr>
        <w:pStyle w:val="pheading"/>
      </w:pPr>
      <w:r>
        <w:t>- unité de mesure:</w:t>
      </w:r>
    </w:p>
    <w:p w14:paraId="50CB6001" w14:textId="77777777" w:rsidR="00DF410E" w:rsidRDefault="00CE7F43">
      <w:r>
        <w:rPr>
          <w:rStyle w:val="optioncarChar"/>
        </w:rPr>
        <w:t>pc</w:t>
      </w:r>
      <w:r>
        <w:t xml:space="preserve"> (par défaut)</w:t>
      </w:r>
      <w:r>
        <w:rPr>
          <w:rStyle w:val="optioncarChar"/>
        </w:rPr>
        <w:t xml:space="preserve"> / m²</w:t>
      </w:r>
    </w:p>
    <w:p w14:paraId="252EF6C2" w14:textId="77777777" w:rsidR="00DF410E" w:rsidRDefault="00CE7F43">
      <w:r>
        <w:rPr>
          <w:b/>
        </w:rPr>
        <w:t>(soit par défaut)</w:t>
      </w:r>
      <w:r>
        <w:br/>
      </w:r>
      <w:r>
        <w:rPr>
          <w:rStyle w:val="soitChar"/>
        </w:rPr>
        <w:t>1. pc</w:t>
      </w:r>
      <w:r>
        <w:br/>
      </w:r>
      <w:r>
        <w:rPr>
          <w:b/>
        </w:rPr>
        <w:t>(soit)</w:t>
      </w:r>
      <w:r>
        <w:br/>
      </w:r>
      <w:r>
        <w:rPr>
          <w:rStyle w:val="soitChar"/>
        </w:rPr>
        <w:t>2. m²</w:t>
      </w:r>
    </w:p>
    <w:p w14:paraId="15BD35A3" w14:textId="77777777" w:rsidR="00DF410E" w:rsidRDefault="00CE7F43">
      <w:pPr>
        <w:pStyle w:val="pheading"/>
      </w:pPr>
      <w:r>
        <w:t>- code de mesurage:</w:t>
      </w:r>
    </w:p>
    <w:p w14:paraId="16BF7ACB" w14:textId="77777777" w:rsidR="00DF410E" w:rsidRDefault="00CE7F43">
      <w:pPr>
        <w:jc w:val="both"/>
      </w:pPr>
      <w:r>
        <w:rPr>
          <w:rStyle w:val="optioncarChar"/>
        </w:rPr>
        <w:t xml:space="preserve">Quantité nette </w:t>
      </w:r>
      <w:r>
        <w:t>(par défaut)</w:t>
      </w:r>
      <w:r>
        <w:rPr>
          <w:rStyle w:val="optioncarChar"/>
        </w:rPr>
        <w:t xml:space="preserve"> / Surface nette </w:t>
      </w:r>
    </w:p>
    <w:p w14:paraId="4AD689A6" w14:textId="77777777" w:rsidR="00DF410E" w:rsidRDefault="00CE7F43">
      <w:pPr>
        <w:jc w:val="both"/>
      </w:pPr>
      <w:r>
        <w:rPr>
          <w:b/>
        </w:rPr>
        <w:t>(soit par défaut)</w:t>
      </w:r>
    </w:p>
    <w:p w14:paraId="236B7F39" w14:textId="77777777" w:rsidR="00DF410E" w:rsidRDefault="00CE7F43">
      <w:pPr>
        <w:jc w:val="both"/>
      </w:pPr>
      <w:r>
        <w:rPr>
          <w:rStyle w:val="soitChar"/>
        </w:rPr>
        <w:t xml:space="preserve">1.  </w:t>
      </w:r>
      <w:r>
        <w:rPr>
          <w:rStyle w:val="soitChar"/>
          <w:u w:val="single"/>
        </w:rPr>
        <w:t>Quantité nette</w:t>
      </w:r>
      <w:r>
        <w:rPr>
          <w:rStyle w:val="soitChar"/>
        </w:rPr>
        <w:t xml:space="preserve"> à mettre en œuvre, ventilée selon la nature des éléments constitutifs et les dimensions.</w:t>
      </w:r>
    </w:p>
    <w:p w14:paraId="6DFC5FFB" w14:textId="77777777" w:rsidR="00DF410E" w:rsidRDefault="00CE7F43">
      <w:pPr>
        <w:jc w:val="both"/>
      </w:pPr>
      <w:r>
        <w:rPr>
          <w:b/>
        </w:rPr>
        <w:t>(soit)</w:t>
      </w:r>
    </w:p>
    <w:p w14:paraId="05FB1BD2" w14:textId="77777777" w:rsidR="00DF410E" w:rsidRDefault="00CE7F43">
      <w:pPr>
        <w:jc w:val="both"/>
      </w:pPr>
      <w:r>
        <w:rPr>
          <w:rStyle w:val="soitChar"/>
        </w:rPr>
        <w:t xml:space="preserve">2. </w:t>
      </w:r>
      <w:r>
        <w:rPr>
          <w:rStyle w:val="soitChar"/>
          <w:u w:val="single"/>
        </w:rPr>
        <w:t>Surface nette</w:t>
      </w:r>
      <w:r>
        <w:rPr>
          <w:rStyle w:val="soitChar"/>
        </w:rPr>
        <w:t xml:space="preserve"> à mettre en œuvre pour les « plateformes » des balcons, ventilée selon la nature des éléments constitutifs.</w:t>
      </w:r>
    </w:p>
    <w:p w14:paraId="0D66EFAE" w14:textId="77777777" w:rsidR="00DF410E" w:rsidRDefault="00CE7F43">
      <w:pPr>
        <w:pStyle w:val="pheading"/>
      </w:pPr>
      <w:r>
        <w:t>- nature du marché:</w:t>
      </w:r>
    </w:p>
    <w:p w14:paraId="41059604" w14:textId="77777777" w:rsidR="00DF410E" w:rsidRDefault="00CE7F43">
      <w:r>
        <w:t>1.2. QF</w:t>
      </w:r>
    </w:p>
    <w:p w14:paraId="0E58ECF3" w14:textId="77777777" w:rsidR="00DF410E" w:rsidRDefault="00CE7F43">
      <w:pPr>
        <w:pStyle w:val="pheading"/>
      </w:pPr>
      <w:r>
        <w:t>AIDE</w:t>
      </w:r>
    </w:p>
    <w:p w14:paraId="0486E36C" w14:textId="77777777" w:rsidR="00DF410E" w:rsidRDefault="00CE7F43">
      <w:pPr>
        <w:jc w:val="both"/>
      </w:pPr>
      <w:r>
        <w:t>La quantité nette est plutôt prévue si le garde-corps est compris dans le travail.</w:t>
      </w:r>
    </w:p>
    <w:p w14:paraId="45CF621A" w14:textId="77777777" w:rsidR="00DF410E" w:rsidRDefault="00CE7F43">
      <w:pPr>
        <w:jc w:val="both"/>
      </w:pPr>
      <w:r>
        <w:t>La surface nette ne comprend pas le garde-corps, qui est comptabilisé dans un article séparé.</w:t>
      </w:r>
    </w:p>
    <w:p w14:paraId="3FF35E4E" w14:textId="77777777" w:rsidR="00DF410E" w:rsidRDefault="00CE7F43">
      <w:pPr>
        <w:pStyle w:val="Author-eSectionHeading4"/>
      </w:pPr>
      <w:bookmarkStart w:id="1706" w:name="_Toc178838789"/>
      <w:r>
        <w:t>24.33 Coursives en bois CCTB 01.07</w:t>
      </w:r>
      <w:bookmarkEnd w:id="1706"/>
    </w:p>
    <w:p w14:paraId="7675AE86" w14:textId="77777777" w:rsidR="00DF410E" w:rsidRDefault="00CE7F43">
      <w:pPr>
        <w:pStyle w:val="Author-eSectionHeading5"/>
      </w:pPr>
      <w:bookmarkStart w:id="1707" w:name="_Toc178838790"/>
      <w:r>
        <w:t>24.33.1 Coursives en bois  CCTB 01.07</w:t>
      </w:r>
      <w:bookmarkEnd w:id="1707"/>
    </w:p>
    <w:p w14:paraId="1BB542DE" w14:textId="77777777" w:rsidR="00DF410E" w:rsidRDefault="00CE7F43">
      <w:pPr>
        <w:pStyle w:val="Author-eSectionHeading6"/>
      </w:pPr>
      <w:bookmarkStart w:id="1708" w:name="_Toc178838791"/>
      <w:r>
        <w:t>24.33.1a Coursives en bois CCTB 01.11</w:t>
      </w:r>
      <w:bookmarkEnd w:id="1708"/>
    </w:p>
    <w:p w14:paraId="13D2FF9D" w14:textId="77777777" w:rsidR="00DF410E" w:rsidRDefault="00CE7F43">
      <w:pPr>
        <w:pStyle w:val="pheading"/>
      </w:pPr>
      <w:r>
        <w:t>DESCRIPTION</w:t>
      </w:r>
    </w:p>
    <w:p w14:paraId="20A4F005" w14:textId="77777777" w:rsidR="00DF410E" w:rsidRDefault="00CE7F43">
      <w:pPr>
        <w:pStyle w:val="pheading"/>
      </w:pPr>
      <w:r>
        <w:t>- Définition / Comprend</w:t>
      </w:r>
    </w:p>
    <w:p w14:paraId="7298BC51" w14:textId="77777777" w:rsidR="00DF410E" w:rsidRDefault="00CE7F43">
      <w:pPr>
        <w:jc w:val="both"/>
      </w:pPr>
      <w:r>
        <w:t>Il s'agit de la fourniture et la pose de coursives en bois ainsi que tout élément nécessaire pour obtenir un ensemble fini.</w:t>
      </w:r>
    </w:p>
    <w:p w14:paraId="687D5AB9" w14:textId="77777777" w:rsidR="00DF410E" w:rsidRDefault="00CE7F43">
      <w:pPr>
        <w:pStyle w:val="pheading"/>
      </w:pPr>
      <w:r>
        <w:t>MATÉRIAUX</w:t>
      </w:r>
    </w:p>
    <w:p w14:paraId="2C0E493E" w14:textId="77777777" w:rsidR="00DF410E" w:rsidRDefault="00CE7F43">
      <w:pPr>
        <w:pStyle w:val="pheading"/>
      </w:pPr>
      <w:r>
        <w:t>- Caractéristiques générales</w:t>
      </w:r>
    </w:p>
    <w:p w14:paraId="3B1CA7CA" w14:textId="77777777" w:rsidR="00DF410E" w:rsidRDefault="00CE7F43">
      <w:pPr>
        <w:jc w:val="both"/>
      </w:pPr>
      <w:r>
        <w:rPr>
          <w:b/>
        </w:rPr>
        <w:t>Préambule</w:t>
      </w:r>
    </w:p>
    <w:p w14:paraId="555DC92C" w14:textId="77777777" w:rsidR="00DF410E" w:rsidRDefault="00CE7F43">
      <w:pPr>
        <w:jc w:val="both"/>
      </w:pPr>
      <w:r>
        <w:t>En fonction de leur conception, les coursives sont composées :</w:t>
      </w:r>
    </w:p>
    <w:p w14:paraId="09FB8031" w14:textId="77777777" w:rsidR="00DF410E" w:rsidRDefault="00CE7F43">
      <w:pPr>
        <w:pStyle w:val="Author-eListParagraph"/>
        <w:numPr>
          <w:ilvl w:val="0"/>
          <w:numId w:val="992"/>
        </w:numPr>
      </w:pPr>
      <w:r>
        <w:t>d’une structure portante (colonnes et/ou consoles fixées au mur)</w:t>
      </w:r>
    </w:p>
    <w:p w14:paraId="10719E29" w14:textId="77777777" w:rsidR="00DF410E" w:rsidRDefault="00CE7F43">
      <w:pPr>
        <w:pStyle w:val="Author-eListParagraph"/>
        <w:numPr>
          <w:ilvl w:val="0"/>
          <w:numId w:val="992"/>
        </w:numPr>
      </w:pPr>
      <w:r>
        <w:t>d’une structure principale (poutres principales) ;</w:t>
      </w:r>
    </w:p>
    <w:p w14:paraId="71CD53DF" w14:textId="77777777" w:rsidR="00DF410E" w:rsidRDefault="00CE7F43">
      <w:pPr>
        <w:pStyle w:val="Author-eListParagraph"/>
        <w:numPr>
          <w:ilvl w:val="0"/>
          <w:numId w:val="992"/>
        </w:numPr>
      </w:pPr>
      <w:r>
        <w:t>d’une structure secondaire (traverses, contreventement, etc.) ;</w:t>
      </w:r>
    </w:p>
    <w:p w14:paraId="6D178F11" w14:textId="77777777" w:rsidR="00DF410E" w:rsidRDefault="00CE7F43">
      <w:pPr>
        <w:pStyle w:val="Author-eListParagraph"/>
        <w:numPr>
          <w:ilvl w:val="0"/>
          <w:numId w:val="992"/>
        </w:numPr>
      </w:pPr>
      <w:r>
        <w:t>d’un platelage ;</w:t>
      </w:r>
    </w:p>
    <w:p w14:paraId="3BD85F29" w14:textId="77777777" w:rsidR="00DF410E" w:rsidRDefault="00CE7F43">
      <w:pPr>
        <w:pStyle w:val="Author-eListParagraph"/>
        <w:numPr>
          <w:ilvl w:val="0"/>
          <w:numId w:val="992"/>
        </w:numPr>
      </w:pPr>
      <w:r>
        <w:t>de garde-corps.</w:t>
      </w:r>
    </w:p>
    <w:p w14:paraId="76C77598" w14:textId="77777777" w:rsidR="00DF410E" w:rsidRDefault="00CE7F43">
      <w:pPr>
        <w:jc w:val="both"/>
      </w:pPr>
      <w:r>
        <w:rPr>
          <w:u w:val="single"/>
        </w:rPr>
        <w:t>Structures portantes</w:t>
      </w:r>
    </w:p>
    <w:p w14:paraId="5CF72FEB" w14:textId="77777777" w:rsidR="00DF410E" w:rsidRDefault="00CE7F43">
      <w:pPr>
        <w:jc w:val="both"/>
      </w:pPr>
      <w:r>
        <w:t xml:space="preserve">Les structures portantes ne sont pas comprises dans le présent travail. Elles sont décrites séparément en fonction de la nature des matériaux aux </w:t>
      </w:r>
      <w:hyperlink w:anchor="292" w:history="1">
        <w:r>
          <w:t>21.1 Maçonneries portantes</w:t>
        </w:r>
      </w:hyperlink>
      <w:r>
        <w:t xml:space="preserve">, </w:t>
      </w:r>
      <w:hyperlink w:anchor="530" w:history="1">
        <w:r>
          <w:t>22.1 Eléments de structures en béton</w:t>
        </w:r>
      </w:hyperlink>
      <w:r>
        <w:t xml:space="preserve">, </w:t>
      </w:r>
      <w:hyperlink w:anchor="420" w:history="1">
        <w:r>
          <w:t>23.1 Eléments de structures métalliques</w:t>
        </w:r>
      </w:hyperlink>
      <w:r>
        <w:t xml:space="preserve"> ou </w:t>
      </w:r>
      <w:hyperlink w:anchor="592" w:history="1">
        <w:r>
          <w:t>24.1 Eléments de structures en bois</w:t>
        </w:r>
      </w:hyperlink>
      <w:r>
        <w:t xml:space="preserve"> et articles qui en découlent.</w:t>
      </w:r>
    </w:p>
    <w:p w14:paraId="11F63333" w14:textId="77777777" w:rsidR="00DF410E" w:rsidRDefault="00CE7F43">
      <w:pPr>
        <w:jc w:val="both"/>
      </w:pPr>
      <w:r>
        <w:rPr>
          <w:u w:val="single"/>
        </w:rPr>
        <w:t>Garde-corps</w:t>
      </w:r>
    </w:p>
    <w:p w14:paraId="2D16E36D" w14:textId="77777777" w:rsidR="00DF410E" w:rsidRDefault="00CE7F43">
      <w:pPr>
        <w:jc w:val="both"/>
      </w:pPr>
      <w:r>
        <w:t>Les garde-corps sont décrits séparément, par exemple pour les métalliques, aux </w:t>
      </w:r>
      <w:hyperlink w:anchor="189" w:history="1">
        <w:r>
          <w:t>23.32 Garde-corps et rampes métalliques</w:t>
        </w:r>
      </w:hyperlink>
      <w:r>
        <w:t xml:space="preserve"> et articles qui en découlent. </w:t>
      </w:r>
      <w:r>
        <w:rPr>
          <w:rStyle w:val="optioncarChar"/>
        </w:rPr>
        <w:t xml:space="preserve">Ils ne font pas partie du présent travail </w:t>
      </w:r>
      <w:r>
        <w:t>(par défaut)</w:t>
      </w:r>
      <w:r>
        <w:rPr>
          <w:rStyle w:val="optioncarChar"/>
        </w:rPr>
        <w:t xml:space="preserve"> / Ils sont compris dans le présent travail. </w:t>
      </w:r>
    </w:p>
    <w:p w14:paraId="621F9367" w14:textId="77777777" w:rsidR="00DF410E" w:rsidRDefault="00CE7F43">
      <w:pPr>
        <w:jc w:val="both"/>
      </w:pPr>
      <w:r>
        <w:rPr>
          <w:u w:val="single"/>
        </w:rPr>
        <w:t>Escalier</w:t>
      </w:r>
    </w:p>
    <w:p w14:paraId="7066C935" w14:textId="77777777" w:rsidR="00DF410E" w:rsidRDefault="00CE7F43">
      <w:pPr>
        <w:jc w:val="both"/>
      </w:pPr>
      <w:r>
        <w:t>Les éventuels escaliers permettant d’accéder aux coursives ne sont pas compris dans le présent travail.</w:t>
      </w:r>
    </w:p>
    <w:p w14:paraId="3241DA96" w14:textId="77777777" w:rsidR="00DF410E" w:rsidRDefault="00CE7F43">
      <w:pPr>
        <w:jc w:val="both"/>
      </w:pPr>
      <w:r>
        <w:t xml:space="preserve">Ils sont décrits séparément aux </w:t>
      </w:r>
      <w:hyperlink w:anchor="556" w:history="1">
        <w:r>
          <w:t>23.31 Escaliers métalliques</w:t>
        </w:r>
      </w:hyperlink>
      <w:r>
        <w:t xml:space="preserve"> ou </w:t>
      </w:r>
      <w:hyperlink w:anchor="622" w:history="1">
        <w:r>
          <w:t>24.31 Escaliers en bois</w:t>
        </w:r>
      </w:hyperlink>
      <w:r>
        <w:t xml:space="preserve"> et articles qui en découlent.</w:t>
      </w:r>
    </w:p>
    <w:p w14:paraId="236B685D" w14:textId="77777777" w:rsidR="00DF410E" w:rsidRDefault="00CE7F43">
      <w:pPr>
        <w:jc w:val="both"/>
      </w:pPr>
      <w:r>
        <w:rPr>
          <w:b/>
        </w:rPr>
        <w:t>Matériaux</w:t>
      </w:r>
    </w:p>
    <w:p w14:paraId="6A8F7047" w14:textId="77777777" w:rsidR="00DF410E" w:rsidRDefault="00CE7F43">
      <w:pPr>
        <w:pStyle w:val="Author-eListParagraph"/>
        <w:numPr>
          <w:ilvl w:val="0"/>
          <w:numId w:val="993"/>
        </w:numPr>
      </w:pPr>
      <w:r>
        <w:t xml:space="preserve">Classe d’emploi/de risque, suivant la [NBN EN 335] : </w:t>
      </w:r>
      <w:r>
        <w:rPr>
          <w:rStyle w:val="optioncarChar"/>
        </w:rPr>
        <w:t>1 / 2 / 3</w:t>
      </w:r>
      <w:r>
        <w:t xml:space="preserve"> (par défaut)</w:t>
      </w:r>
    </w:p>
    <w:p w14:paraId="1BD35259" w14:textId="77777777" w:rsidR="00DF410E" w:rsidRDefault="00CE7F43">
      <w:pPr>
        <w:jc w:val="both"/>
      </w:pPr>
      <w:r>
        <w:rPr>
          <w:u w:val="single"/>
        </w:rPr>
        <w:t>Les structures principales et secondaires :</w:t>
      </w:r>
    </w:p>
    <w:p w14:paraId="150AF228" w14:textId="77777777" w:rsidR="00DF410E" w:rsidRDefault="00CE7F43">
      <w:pPr>
        <w:jc w:val="both"/>
      </w:pPr>
      <w:r>
        <w:t>Caractéristiques du bois :</w:t>
      </w:r>
    </w:p>
    <w:p w14:paraId="5FF8A97E" w14:textId="77777777" w:rsidR="00DF410E" w:rsidRDefault="00CE7F43">
      <w:pPr>
        <w:pStyle w:val="Author-eListParagraph"/>
        <w:numPr>
          <w:ilvl w:val="0"/>
          <w:numId w:val="994"/>
        </w:numPr>
      </w:pPr>
      <w:r>
        <w:t xml:space="preserve">Gamme de produit : </w:t>
      </w:r>
      <w:r>
        <w:rPr>
          <w:rStyle w:val="optioncarChar"/>
        </w:rPr>
        <w:t xml:space="preserve">bois massifs </w:t>
      </w:r>
      <w:r>
        <w:t>(par défaut)</w:t>
      </w:r>
      <w:r>
        <w:rPr>
          <w:rStyle w:val="optioncarChar"/>
        </w:rPr>
        <w:t xml:space="preserve"> / bois massifs aboutés, bois lamellés-collés, bois lamellés-collés en bloc / CLT / LVL</w:t>
      </w:r>
    </w:p>
    <w:p w14:paraId="618B331E" w14:textId="77777777" w:rsidR="00DF410E" w:rsidRDefault="00CE7F43">
      <w:pPr>
        <w:pStyle w:val="Author-eListParagraph"/>
        <w:numPr>
          <w:ilvl w:val="0"/>
          <w:numId w:val="994"/>
        </w:numPr>
      </w:pPr>
      <w:r>
        <w:t xml:space="preserve">Classe de durabilité, suivant la [NBN EN 460] : </w:t>
      </w:r>
      <w:r>
        <w:rPr>
          <w:rStyle w:val="optioncarChar"/>
        </w:rPr>
        <w:t>1 / 2</w:t>
      </w:r>
      <w:r>
        <w:t xml:space="preserve"> (par défaut)</w:t>
      </w:r>
      <w:r>
        <w:rPr>
          <w:rStyle w:val="optioncarChar"/>
        </w:rPr>
        <w:t xml:space="preserve"> / 3 / 4 / 5 / en fonction de l’essence de bois (voir le point suivant)</w:t>
      </w:r>
    </w:p>
    <w:p w14:paraId="3434F8C4" w14:textId="77777777" w:rsidR="00DF410E" w:rsidRDefault="00CE7F43">
      <w:pPr>
        <w:pStyle w:val="Author-eListParagraph"/>
        <w:numPr>
          <w:ilvl w:val="0"/>
          <w:numId w:val="994"/>
        </w:numPr>
      </w:pPr>
      <w:r>
        <w:t xml:space="preserve">Choix de l’essence de bois : </w:t>
      </w:r>
      <w:r>
        <w:rPr>
          <w:rStyle w:val="optioncarChar"/>
        </w:rPr>
        <w:t>au choix de l’entrepreneur, en fonction de la durabilité ci-dessus, à soumettre à l’approbation de l’architecte et du maître de l’ouvrage</w:t>
      </w:r>
      <w:r>
        <w:t xml:space="preserve"> (par défaut)</w:t>
      </w:r>
      <w:r>
        <w:rPr>
          <w:rStyle w:val="optioncarChar"/>
        </w:rPr>
        <w:t xml:space="preserve"> / afzélia doussé / dark red meranti / merbeau / western red cedar / chêne / ***</w:t>
      </w:r>
      <w:r>
        <w:t>.</w:t>
      </w:r>
    </w:p>
    <w:p w14:paraId="6F383C22" w14:textId="77777777" w:rsidR="00DF410E" w:rsidRDefault="00CE7F43">
      <w:pPr>
        <w:pStyle w:val="Author-eListParagraph"/>
        <w:numPr>
          <w:ilvl w:val="0"/>
          <w:numId w:val="994"/>
        </w:numPr>
      </w:pPr>
      <w:r>
        <w:t xml:space="preserve">Raboté : </w:t>
      </w:r>
      <w:r>
        <w:rPr>
          <w:rStyle w:val="optioncarChar"/>
        </w:rPr>
        <w:t>2 faces (les faces de pose de panneaux) / 4 faces</w:t>
      </w:r>
      <w:r>
        <w:t xml:space="preserve"> (par défaut)</w:t>
      </w:r>
    </w:p>
    <w:p w14:paraId="5B67E8C0" w14:textId="77777777" w:rsidR="00DF410E" w:rsidRDefault="00CE7F43">
      <w:pPr>
        <w:jc w:val="both"/>
      </w:pPr>
      <w:r>
        <w:rPr>
          <w:u w:val="single"/>
        </w:rPr>
        <w:t>Les platelages :</w:t>
      </w:r>
    </w:p>
    <w:p w14:paraId="3C58E617" w14:textId="77777777" w:rsidR="00DF410E" w:rsidRDefault="00CE7F43">
      <w:pPr>
        <w:jc w:val="both"/>
      </w:pPr>
      <w:r>
        <w:t>Caractéristiques du bois :</w:t>
      </w:r>
    </w:p>
    <w:p w14:paraId="397FE01D" w14:textId="77777777" w:rsidR="00DF410E" w:rsidRDefault="00CE7F43">
      <w:pPr>
        <w:pStyle w:val="Author-eListParagraph"/>
        <w:numPr>
          <w:ilvl w:val="0"/>
          <w:numId w:val="995"/>
        </w:numPr>
      </w:pPr>
      <w:r>
        <w:t>Valeur antidérapante suivant la [NBN EN 16165 ] :</w:t>
      </w:r>
      <w:r>
        <w:rPr>
          <w:rStyle w:val="optioncarChar"/>
        </w:rPr>
        <w:t xml:space="preserve"> R9 / R10 / R11</w:t>
      </w:r>
      <w:r>
        <w:t xml:space="preserve"> (par défaut)</w:t>
      </w:r>
    </w:p>
    <w:p w14:paraId="79C5979E" w14:textId="77777777" w:rsidR="00DF410E" w:rsidRDefault="00CE7F43">
      <w:pPr>
        <w:pStyle w:val="Author-eListParagraph"/>
        <w:numPr>
          <w:ilvl w:val="0"/>
          <w:numId w:val="995"/>
        </w:numPr>
      </w:pPr>
      <w:r>
        <w:t xml:space="preserve">Gamme de produit : </w:t>
      </w:r>
      <w:r>
        <w:rPr>
          <w:rStyle w:val="optioncarChar"/>
        </w:rPr>
        <w:t xml:space="preserve">bois massif </w:t>
      </w:r>
      <w:r>
        <w:t xml:space="preserve">(par défaut) </w:t>
      </w:r>
      <w:r>
        <w:rPr>
          <w:rStyle w:val="optioncarChar"/>
        </w:rPr>
        <w:t>/ panneaux de contreplaqué / panneaux OSB / LVL</w:t>
      </w:r>
    </w:p>
    <w:p w14:paraId="2C56757F" w14:textId="77777777" w:rsidR="00DF410E" w:rsidRDefault="00CE7F43">
      <w:pPr>
        <w:ind w:left="567"/>
        <w:jc w:val="both"/>
      </w:pPr>
      <w:r>
        <w:rPr>
          <w:b/>
        </w:rPr>
        <w:t>(soit par défaut)</w:t>
      </w:r>
    </w:p>
    <w:p w14:paraId="0BE64E99" w14:textId="77777777" w:rsidR="00DF410E" w:rsidRDefault="00CE7F43">
      <w:pPr>
        <w:ind w:left="567"/>
        <w:jc w:val="both"/>
      </w:pPr>
      <w:r>
        <w:rPr>
          <w:rStyle w:val="soitChar"/>
          <w:u w:val="single"/>
        </w:rPr>
        <w:t>Bois massif :</w:t>
      </w:r>
    </w:p>
    <w:p w14:paraId="1D6205AC" w14:textId="77777777" w:rsidR="00DF410E" w:rsidRDefault="00CE7F43">
      <w:pPr>
        <w:pStyle w:val="Author-eListParagraph"/>
        <w:numPr>
          <w:ilvl w:val="0"/>
          <w:numId w:val="996"/>
        </w:numPr>
      </w:pPr>
      <w:r>
        <w:rPr>
          <w:rStyle w:val="soitChar"/>
        </w:rPr>
        <w:t>Classe de durabilité, suivant la [NBN EN 460] :</w:t>
      </w:r>
      <w:r>
        <w:rPr>
          <w:rStyle w:val="optioncarChar"/>
        </w:rPr>
        <w:t>1 / 2</w:t>
      </w:r>
      <w:r>
        <w:t xml:space="preserve"> (par défaut) </w:t>
      </w:r>
      <w:r>
        <w:rPr>
          <w:rStyle w:val="optioncarChar"/>
        </w:rPr>
        <w:t>/ 3 / 4 / 5 / choix de l’essence de bois directement (voir le point suivant)</w:t>
      </w:r>
    </w:p>
    <w:p w14:paraId="548052E7" w14:textId="77777777" w:rsidR="00DF410E" w:rsidRDefault="00CE7F43">
      <w:pPr>
        <w:pStyle w:val="Author-eListParagraph"/>
        <w:numPr>
          <w:ilvl w:val="0"/>
          <w:numId w:val="996"/>
        </w:numPr>
      </w:pPr>
      <w:r>
        <w:rPr>
          <w:rStyle w:val="soitChar"/>
        </w:rPr>
        <w:t xml:space="preserve">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ipe / itauba / hêtre / frêne / mélèze / ***</w:t>
      </w:r>
    </w:p>
    <w:p w14:paraId="59F94354" w14:textId="77777777" w:rsidR="00DF410E" w:rsidRDefault="00CE7F43">
      <w:pPr>
        <w:pStyle w:val="Author-eListParagraph"/>
        <w:numPr>
          <w:ilvl w:val="0"/>
          <w:numId w:val="996"/>
        </w:numPr>
      </w:pPr>
      <w:r>
        <w:rPr>
          <w:rStyle w:val="soitChar"/>
        </w:rPr>
        <w:t xml:space="preserve">Epaisseur du platelage : </w:t>
      </w:r>
      <w:r>
        <w:rPr>
          <w:rStyle w:val="optioncarChar"/>
        </w:rPr>
        <w:t xml:space="preserve">22 </w:t>
      </w:r>
      <w:r>
        <w:t>(par défaut)</w:t>
      </w:r>
      <w:r>
        <w:rPr>
          <w:rStyle w:val="optioncarChar"/>
        </w:rPr>
        <w:t xml:space="preserve"> / 30 / 35</w:t>
      </w:r>
      <w:r>
        <w:rPr>
          <w:rStyle w:val="soitChar"/>
        </w:rPr>
        <w:t xml:space="preserve"> mm</w:t>
      </w:r>
    </w:p>
    <w:p w14:paraId="4A98DE6F" w14:textId="77777777" w:rsidR="00DF410E" w:rsidRDefault="00CE7F43">
      <w:pPr>
        <w:pStyle w:val="Author-eListParagraph"/>
        <w:numPr>
          <w:ilvl w:val="0"/>
          <w:numId w:val="996"/>
        </w:numPr>
      </w:pPr>
      <w:r>
        <w:rPr>
          <w:rStyle w:val="soitChar"/>
        </w:rPr>
        <w:t>Finition de la face vue :</w:t>
      </w:r>
      <w:r>
        <w:rPr>
          <w:rStyle w:val="optioncarChar"/>
        </w:rPr>
        <w:t xml:space="preserve"> antidérapante (PMR) </w:t>
      </w:r>
      <w:r>
        <w:t>(par défaut)</w:t>
      </w:r>
      <w:r>
        <w:rPr>
          <w:rStyle w:val="optioncarChar"/>
        </w:rPr>
        <w:t xml:space="preserve"> / poncée / rabotée</w:t>
      </w:r>
    </w:p>
    <w:p w14:paraId="659A17E5" w14:textId="77777777" w:rsidR="00DF410E" w:rsidRDefault="00CE7F43">
      <w:pPr>
        <w:pStyle w:val="Author-eListParagraph"/>
        <w:numPr>
          <w:ilvl w:val="0"/>
          <w:numId w:val="996"/>
        </w:numPr>
      </w:pPr>
      <w:r>
        <w:rPr>
          <w:rStyle w:val="soitChar"/>
        </w:rPr>
        <w:t>Pour l’antidérapant :</w:t>
      </w:r>
    </w:p>
    <w:p w14:paraId="6393A8A5" w14:textId="77777777" w:rsidR="00DF410E" w:rsidRDefault="00CE7F43">
      <w:pPr>
        <w:pStyle w:val="Author-eListParagraph"/>
        <w:numPr>
          <w:ilvl w:val="1"/>
          <w:numId w:val="997"/>
        </w:numPr>
      </w:pPr>
      <w:r>
        <w:rPr>
          <w:rStyle w:val="soitChar"/>
        </w:rPr>
        <w:t xml:space="preserve">Type d’antidérapant : </w:t>
      </w:r>
      <w:r>
        <w:rPr>
          <w:rStyle w:val="optioncarChar"/>
        </w:rPr>
        <w:t>ciselages (stries) antidérapants</w:t>
      </w:r>
      <w:r>
        <w:t xml:space="preserve"> (par défaut)</w:t>
      </w:r>
      <w:r>
        <w:rPr>
          <w:rStyle w:val="optioncarChar"/>
        </w:rPr>
        <w:t xml:space="preserve"> / bandes antidérapantes collées / bandes antidérapantes embrevées</w:t>
      </w:r>
    </w:p>
    <w:p w14:paraId="32B9B6D5" w14:textId="77777777" w:rsidR="00DF410E" w:rsidRDefault="00CE7F43">
      <w:pPr>
        <w:pStyle w:val="Author-eListParagraph"/>
        <w:numPr>
          <w:ilvl w:val="1"/>
          <w:numId w:val="997"/>
        </w:numPr>
      </w:pPr>
      <w:r>
        <w:rPr>
          <w:rStyle w:val="soitChar"/>
        </w:rPr>
        <w:t xml:space="preserve">Matériau antidérapant : </w:t>
      </w:r>
      <w:r>
        <w:rPr>
          <w:rStyle w:val="optioncarChar"/>
        </w:rPr>
        <w:t xml:space="preserve">pas d’application (ciselages) </w:t>
      </w:r>
      <w:r>
        <w:t>(par défaut)</w:t>
      </w:r>
      <w:r>
        <w:rPr>
          <w:rStyle w:val="optioncarChar"/>
        </w:rPr>
        <w:t xml:space="preserve"> / carborundum / caoutchouc / PVC</w:t>
      </w:r>
    </w:p>
    <w:p w14:paraId="19A7CAA5" w14:textId="77777777" w:rsidR="00DF410E" w:rsidRDefault="00CE7F43">
      <w:pPr>
        <w:ind w:left="567"/>
        <w:jc w:val="both"/>
      </w:pPr>
      <w:r>
        <w:rPr>
          <w:b/>
        </w:rPr>
        <w:t>(soit)</w:t>
      </w:r>
    </w:p>
    <w:p w14:paraId="5515D76F" w14:textId="77777777" w:rsidR="00DF410E" w:rsidRDefault="00CE7F43">
      <w:pPr>
        <w:ind w:left="567"/>
        <w:jc w:val="both"/>
      </w:pPr>
      <w:r>
        <w:rPr>
          <w:rStyle w:val="soitChar"/>
          <w:u w:val="single"/>
        </w:rPr>
        <w:t>Panneaux de contreplaqué :</w:t>
      </w:r>
    </w:p>
    <w:p w14:paraId="41F69FB5" w14:textId="77777777" w:rsidR="00DF410E" w:rsidRDefault="00CE7F43">
      <w:pPr>
        <w:pStyle w:val="Author-eListParagraph"/>
        <w:numPr>
          <w:ilvl w:val="0"/>
          <w:numId w:val="998"/>
        </w:numPr>
      </w:pPr>
      <w:r>
        <w:rPr>
          <w:rStyle w:val="soitChar"/>
        </w:rPr>
        <w:t xml:space="preserve">Classe de collage, selon la [NBN EN 314-2] : </w:t>
      </w:r>
      <w:r>
        <w:rPr>
          <w:rStyle w:val="optioncarChar"/>
        </w:rPr>
        <w:t>1 (int.) / 2 (ext. à l’abri) / 3 (ext.)</w:t>
      </w:r>
      <w:r>
        <w:t xml:space="preserve"> (par défaut)</w:t>
      </w:r>
    </w:p>
    <w:p w14:paraId="2D59A930" w14:textId="77777777" w:rsidR="00DF410E" w:rsidRDefault="00CE7F43">
      <w:pPr>
        <w:pStyle w:val="Author-eListParagraph"/>
        <w:numPr>
          <w:ilvl w:val="0"/>
          <w:numId w:val="998"/>
        </w:numPr>
      </w:pPr>
      <w:r>
        <w:rPr>
          <w:rStyle w:val="soitChar"/>
        </w:rPr>
        <w:t xml:space="preserve">Essence : </w:t>
      </w:r>
      <w:r>
        <w:rPr>
          <w:rStyle w:val="optioncarChar"/>
        </w:rPr>
        <w:t>au choix de l’entrepreneur, à soumettre à l’approbation de l’architecte et du maître de l’ouvrage</w:t>
      </w:r>
      <w:r>
        <w:t xml:space="preserve"> (par défaut) </w:t>
      </w:r>
      <w:r>
        <w:rPr>
          <w:rStyle w:val="optioncarChar"/>
        </w:rPr>
        <w:t>/ okoumé / okoumé nautique / oregon / western red cedar / dark red meranti / bouleau / okoumé / okoumé nautique / ***</w:t>
      </w:r>
    </w:p>
    <w:p w14:paraId="63BC6662" w14:textId="77777777" w:rsidR="00DF410E" w:rsidRDefault="00CE7F43">
      <w:pPr>
        <w:pStyle w:val="Author-eListParagraph"/>
        <w:numPr>
          <w:ilvl w:val="0"/>
          <w:numId w:val="998"/>
        </w:numPr>
      </w:pPr>
      <w:r>
        <w:rPr>
          <w:rStyle w:val="soitChar"/>
        </w:rPr>
        <w:t xml:space="preserve">Epaisseur des panneaux : </w:t>
      </w:r>
      <w:r>
        <w:rPr>
          <w:rStyle w:val="optioncarChar"/>
        </w:rPr>
        <w:t>18 / 20 / 22</w:t>
      </w:r>
      <w:r>
        <w:t xml:space="preserve"> (par défaut) </w:t>
      </w:r>
      <w:r>
        <w:rPr>
          <w:rStyle w:val="optioncarChar"/>
        </w:rPr>
        <w:t>/ 25 / 30</w:t>
      </w:r>
      <w:r>
        <w:rPr>
          <w:rStyle w:val="soitChar"/>
        </w:rPr>
        <w:t xml:space="preserve"> mm</w:t>
      </w:r>
    </w:p>
    <w:p w14:paraId="4DB0B689" w14:textId="77777777" w:rsidR="00DF410E" w:rsidRDefault="00CE7F43">
      <w:pPr>
        <w:pStyle w:val="Author-eListParagraph"/>
        <w:numPr>
          <w:ilvl w:val="0"/>
          <w:numId w:val="998"/>
        </w:numPr>
      </w:pPr>
      <w:r>
        <w:rPr>
          <w:rStyle w:val="soitChar"/>
        </w:rPr>
        <w:t>Finition de la face vue : </w:t>
      </w:r>
      <w:r>
        <w:rPr>
          <w:rStyle w:val="optioncarChar"/>
        </w:rPr>
        <w:t>antidérapante (PMR)</w:t>
      </w:r>
      <w:r>
        <w:t xml:space="preserve"> (par défaut)</w:t>
      </w:r>
      <w:r>
        <w:rPr>
          <w:rStyle w:val="optioncarChar"/>
        </w:rPr>
        <w:t xml:space="preserve"> / poncée / non poncée</w:t>
      </w:r>
    </w:p>
    <w:p w14:paraId="0F57860E" w14:textId="77777777" w:rsidR="00DF410E" w:rsidRDefault="00CE7F43">
      <w:pPr>
        <w:ind w:left="567"/>
        <w:jc w:val="both"/>
      </w:pPr>
      <w:r>
        <w:rPr>
          <w:b/>
        </w:rPr>
        <w:t>(soit)</w:t>
      </w:r>
    </w:p>
    <w:p w14:paraId="2BBE8A39" w14:textId="77777777" w:rsidR="00DF410E" w:rsidRDefault="00CE7F43">
      <w:pPr>
        <w:ind w:left="567"/>
        <w:jc w:val="both"/>
      </w:pPr>
      <w:r>
        <w:rPr>
          <w:rStyle w:val="soitChar"/>
          <w:u w:val="single"/>
        </w:rPr>
        <w:t>Panneaux OSB :</w:t>
      </w:r>
    </w:p>
    <w:p w14:paraId="47C97CF5" w14:textId="77777777" w:rsidR="00DF410E" w:rsidRDefault="00CE7F43">
      <w:pPr>
        <w:ind w:left="567"/>
        <w:jc w:val="both"/>
      </w:pPr>
      <w:r>
        <w:rPr>
          <w:rStyle w:val="soitChar"/>
        </w:rPr>
        <w:t>Les panneaux OSB sont réservés à un usage intérieur exclusivement (classe d’emploi 1 ou 2)</w:t>
      </w:r>
    </w:p>
    <w:p w14:paraId="17CB8B16" w14:textId="77777777" w:rsidR="00DF410E" w:rsidRDefault="00CE7F43">
      <w:pPr>
        <w:pStyle w:val="Author-eListParagraph"/>
        <w:numPr>
          <w:ilvl w:val="0"/>
          <w:numId w:val="999"/>
        </w:numPr>
      </w:pPr>
      <w:r>
        <w:rPr>
          <w:rStyle w:val="soitChar"/>
        </w:rPr>
        <w:t xml:space="preserve">Type de panneau OSB, selon la [NBN EN 300] : </w:t>
      </w:r>
      <w:r>
        <w:rPr>
          <w:rStyle w:val="optioncarChar"/>
        </w:rPr>
        <w:t>2 / 3</w:t>
      </w:r>
      <w:r>
        <w:t xml:space="preserve"> (par défaut)</w:t>
      </w:r>
      <w:r>
        <w:rPr>
          <w:rStyle w:val="optioncarChar"/>
        </w:rPr>
        <w:t xml:space="preserve"> / 4</w:t>
      </w:r>
    </w:p>
    <w:p w14:paraId="76A39ACA" w14:textId="77777777" w:rsidR="00DF410E" w:rsidRDefault="00CE7F43">
      <w:pPr>
        <w:pStyle w:val="Author-eListParagraph"/>
        <w:numPr>
          <w:ilvl w:val="0"/>
          <w:numId w:val="999"/>
        </w:numPr>
      </w:pPr>
      <w:r>
        <w:rPr>
          <w:rStyle w:val="soitChar"/>
        </w:rPr>
        <w:t xml:space="preserve">Classe d’émission de formaldéhyde, selon la [NBN EN ISO 12460-5] : </w:t>
      </w:r>
      <w:r>
        <w:rPr>
          <w:rStyle w:val="optioncarChar"/>
        </w:rPr>
        <w:t xml:space="preserve">E1 </w:t>
      </w:r>
      <w:r>
        <w:t xml:space="preserve">(par défaut) </w:t>
      </w:r>
      <w:r>
        <w:rPr>
          <w:rStyle w:val="optioncarChar"/>
        </w:rPr>
        <w:t>/ E2</w:t>
      </w:r>
    </w:p>
    <w:p w14:paraId="7D762261" w14:textId="77777777" w:rsidR="00DF410E" w:rsidRDefault="00CE7F43">
      <w:pPr>
        <w:pStyle w:val="Author-eListParagraph"/>
        <w:numPr>
          <w:ilvl w:val="0"/>
          <w:numId w:val="999"/>
        </w:numPr>
      </w:pPr>
      <w:r>
        <w:rPr>
          <w:rStyle w:val="soitChar"/>
        </w:rPr>
        <w:t xml:space="preserve">Epaisseur des panneaux : </w:t>
      </w:r>
      <w:r>
        <w:rPr>
          <w:rStyle w:val="optioncarChar"/>
        </w:rPr>
        <w:t>18 / 22</w:t>
      </w:r>
      <w:r>
        <w:t xml:space="preserve"> (par défaut) </w:t>
      </w:r>
      <w:r>
        <w:rPr>
          <w:rStyle w:val="soitChar"/>
        </w:rPr>
        <w:t>mm</w:t>
      </w:r>
    </w:p>
    <w:p w14:paraId="3811CBC4" w14:textId="77777777" w:rsidR="00DF410E" w:rsidRDefault="00CE7F43">
      <w:pPr>
        <w:pStyle w:val="Author-eListParagraph"/>
        <w:numPr>
          <w:ilvl w:val="0"/>
          <w:numId w:val="999"/>
        </w:numPr>
      </w:pPr>
      <w:r>
        <w:rPr>
          <w:rStyle w:val="soitChar"/>
        </w:rPr>
        <w:t>Finition de la face vue :</w:t>
      </w:r>
      <w:r>
        <w:rPr>
          <w:rStyle w:val="optioncarChar"/>
        </w:rPr>
        <w:t xml:space="preserve"> poncée </w:t>
      </w:r>
      <w:r>
        <w:t xml:space="preserve">(par défaut) </w:t>
      </w:r>
      <w:r>
        <w:rPr>
          <w:rStyle w:val="optioncarChar"/>
        </w:rPr>
        <w:t>/ non poncée</w:t>
      </w:r>
    </w:p>
    <w:p w14:paraId="1DC2E0AB" w14:textId="77777777" w:rsidR="00DF410E" w:rsidRDefault="00CE7F43">
      <w:pPr>
        <w:ind w:left="567"/>
        <w:jc w:val="both"/>
      </w:pPr>
      <w:r>
        <w:rPr>
          <w:b/>
        </w:rPr>
        <w:t>(soit)</w:t>
      </w:r>
    </w:p>
    <w:p w14:paraId="5831B804" w14:textId="77777777" w:rsidR="00DF410E" w:rsidRDefault="00CE7F43">
      <w:pPr>
        <w:ind w:left="567"/>
        <w:jc w:val="both"/>
      </w:pPr>
      <w:r>
        <w:rPr>
          <w:rStyle w:val="soitChar"/>
          <w:u w:val="single"/>
        </w:rPr>
        <w:t>LVL :</w:t>
      </w:r>
    </w:p>
    <w:p w14:paraId="066D5EA1" w14:textId="77777777" w:rsidR="00DF410E" w:rsidRDefault="00CE7F43">
      <w:pPr>
        <w:pStyle w:val="Author-eListParagraph"/>
        <w:numPr>
          <w:ilvl w:val="0"/>
          <w:numId w:val="1000"/>
        </w:numPr>
      </w:pPr>
      <w:r>
        <w:rPr>
          <w:rStyle w:val="soitChar"/>
        </w:rPr>
        <w:t xml:space="preserve">Classe de collage, selon la [NBN EN 314-2] : </w:t>
      </w:r>
      <w:r>
        <w:rPr>
          <w:rStyle w:val="optioncarChar"/>
        </w:rPr>
        <w:t xml:space="preserve">1 (int.) / 2 (ext. à l’abri) </w:t>
      </w:r>
      <w:r>
        <w:t xml:space="preserve">(par défaut) </w:t>
      </w:r>
      <w:r>
        <w:rPr>
          <w:rStyle w:val="optioncarChar"/>
        </w:rPr>
        <w:t>/ 3 (ext.)</w:t>
      </w:r>
    </w:p>
    <w:p w14:paraId="2CD3EC8E" w14:textId="77777777" w:rsidR="00DF410E" w:rsidRDefault="00CE7F43">
      <w:pPr>
        <w:pStyle w:val="Author-eListParagraph"/>
        <w:numPr>
          <w:ilvl w:val="0"/>
          <w:numId w:val="1000"/>
        </w:numPr>
      </w:pPr>
      <w:r>
        <w:rPr>
          <w:rStyle w:val="soitChar"/>
        </w:rPr>
        <w:t xml:space="preserve">Classe d’émission de formaldéhyde, selon la [NBN EN ISO 12460-5] : </w:t>
      </w:r>
      <w:r>
        <w:rPr>
          <w:rStyle w:val="optioncarChar"/>
        </w:rPr>
        <w:t>E1</w:t>
      </w:r>
      <w:r>
        <w:t xml:space="preserve"> (par défaut) </w:t>
      </w:r>
      <w:r>
        <w:rPr>
          <w:rStyle w:val="optioncarChar"/>
        </w:rPr>
        <w:t>/ E2</w:t>
      </w:r>
    </w:p>
    <w:p w14:paraId="5926C18D" w14:textId="77777777" w:rsidR="00DF410E" w:rsidRDefault="00CE7F43">
      <w:pPr>
        <w:pStyle w:val="Author-eListParagraph"/>
        <w:numPr>
          <w:ilvl w:val="0"/>
          <w:numId w:val="1000"/>
        </w:numPr>
      </w:pPr>
      <w:r>
        <w:rPr>
          <w:rStyle w:val="soitChar"/>
        </w:rPr>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3EDC2061" w14:textId="77777777" w:rsidR="00DF410E" w:rsidRDefault="00CE7F43">
      <w:pPr>
        <w:pStyle w:val="Author-eListParagraph"/>
        <w:numPr>
          <w:ilvl w:val="0"/>
          <w:numId w:val="1000"/>
        </w:numPr>
      </w:pPr>
      <w:r>
        <w:rPr>
          <w:rStyle w:val="soitChar"/>
        </w:rPr>
        <w:t xml:space="preserve">Epaisseur des panneaux : </w:t>
      </w:r>
      <w:r>
        <w:rPr>
          <w:rStyle w:val="optioncarChar"/>
        </w:rPr>
        <w:t>27</w:t>
      </w:r>
      <w:r>
        <w:t xml:space="preserve"> (par défaut)</w:t>
      </w:r>
      <w:r>
        <w:rPr>
          <w:rStyle w:val="optioncarChar"/>
        </w:rPr>
        <w:t xml:space="preserve"> / 32 / 37 / 42 / 47 / 52</w:t>
      </w:r>
      <w:r>
        <w:rPr>
          <w:rStyle w:val="soitChar"/>
        </w:rPr>
        <w:t xml:space="preserve"> mm</w:t>
      </w:r>
    </w:p>
    <w:p w14:paraId="1DD30122" w14:textId="77777777" w:rsidR="00DF410E" w:rsidRDefault="00DF410E"/>
    <w:p w14:paraId="42DF2B4D" w14:textId="77777777" w:rsidR="00DF410E" w:rsidRDefault="00CE7F43">
      <w:pPr>
        <w:pStyle w:val="Author-eListParagraph"/>
        <w:numPr>
          <w:ilvl w:val="0"/>
          <w:numId w:val="1001"/>
        </w:numPr>
        <w:jc w:val="both"/>
      </w:pPr>
      <w:r>
        <w:t xml:space="preserve">Jointures : </w:t>
      </w:r>
      <w:r>
        <w:rPr>
          <w:rStyle w:val="optioncarChar"/>
        </w:rPr>
        <w:t>ajourées</w:t>
      </w:r>
      <w:r>
        <w:t xml:space="preserve"> (par défaut) </w:t>
      </w:r>
      <w:r>
        <w:rPr>
          <w:rStyle w:val="optioncarChar"/>
        </w:rPr>
        <w:t>/ fermées</w:t>
      </w:r>
    </w:p>
    <w:p w14:paraId="068CFA6C" w14:textId="77777777" w:rsidR="00DF410E" w:rsidRDefault="00CE7F43">
      <w:pPr>
        <w:pStyle w:val="Author-eListParagraph"/>
        <w:numPr>
          <w:ilvl w:val="0"/>
          <w:numId w:val="1001"/>
        </w:numPr>
        <w:jc w:val="both"/>
      </w:pPr>
      <w:r>
        <w:t xml:space="preserve">Finition des bords : </w:t>
      </w:r>
      <w:r>
        <w:rPr>
          <w:rStyle w:val="optioncarChar"/>
        </w:rPr>
        <w:t>droits / adoucis / chanfreinés</w:t>
      </w:r>
      <w:r>
        <w:t xml:space="preserve"> (par défaut) </w:t>
      </w:r>
      <w:r>
        <w:rPr>
          <w:rStyle w:val="optioncarChar"/>
        </w:rPr>
        <w:t>/ à rainures et languettes des deux côtés longitudinaux / à rainures et languettes sur les quatre côtés / à mi-bois sur les quatre côtés</w:t>
      </w:r>
    </w:p>
    <w:p w14:paraId="696FC5B7" w14:textId="77777777" w:rsidR="00DF410E" w:rsidRDefault="00DF410E"/>
    <w:p w14:paraId="0000FE70" w14:textId="77777777" w:rsidR="00DF410E" w:rsidRDefault="00CE7F43">
      <w:r>
        <w:t> </w:t>
      </w:r>
    </w:p>
    <w:p w14:paraId="412DB2F4" w14:textId="77777777" w:rsidR="00DF410E" w:rsidRDefault="00CE7F43">
      <w:pPr>
        <w:pStyle w:val="pheading"/>
      </w:pPr>
      <w:r>
        <w:t>- Finitions</w:t>
      </w:r>
    </w:p>
    <w:p w14:paraId="11371130" w14:textId="77777777" w:rsidR="00DF410E" w:rsidRDefault="00CE7F43">
      <w:pPr>
        <w:jc w:val="both"/>
      </w:pPr>
      <w:r>
        <w:rPr>
          <w:b/>
        </w:rPr>
        <w:t>Traitement de finition du bois</w:t>
      </w:r>
    </w:p>
    <w:p w14:paraId="089B17E9" w14:textId="77777777" w:rsidR="00DF410E" w:rsidRDefault="00CE7F43">
      <w:pPr>
        <w:jc w:val="both"/>
      </w:pPr>
      <w:r>
        <w:t xml:space="preserve">Finition des parties visibles du bois : </w:t>
      </w:r>
      <w:r>
        <w:rPr>
          <w:rStyle w:val="optioncarChar"/>
        </w:rPr>
        <w:t>pas de finition</w:t>
      </w:r>
      <w:r>
        <w:t xml:space="preserve"> (par défaut) </w:t>
      </w:r>
      <w:r>
        <w:rPr>
          <w:rStyle w:val="optioncarChar"/>
        </w:rPr>
        <w:t>/ application d’une finition</w:t>
      </w:r>
    </w:p>
    <w:p w14:paraId="40F10555" w14:textId="77777777" w:rsidR="00DF410E" w:rsidRDefault="00CE7F43">
      <w:pPr>
        <w:jc w:val="both"/>
      </w:pPr>
      <w:r>
        <w:rPr>
          <w:u w:val="single"/>
        </w:rPr>
        <w:t>Dans le cas de l’application d’une finition sur le bois prévue dans le présent travail :</w:t>
      </w:r>
    </w:p>
    <w:p w14:paraId="796676DA" w14:textId="77777777" w:rsidR="00DF410E" w:rsidRDefault="00CE7F43">
      <w:pPr>
        <w:pStyle w:val="Author-eListParagraph"/>
        <w:numPr>
          <w:ilvl w:val="0"/>
          <w:numId w:val="1002"/>
        </w:numPr>
      </w:pPr>
      <w:r>
        <w:t xml:space="preserve">Type de traitement : </w:t>
      </w:r>
      <w:r>
        <w:rPr>
          <w:rStyle w:val="optioncarChar"/>
        </w:rPr>
        <w:t xml:space="preserve">lasure </w:t>
      </w:r>
      <w:r>
        <w:t>(par défaut)</w:t>
      </w:r>
      <w:r>
        <w:rPr>
          <w:rStyle w:val="optioncarChar"/>
        </w:rPr>
        <w:t xml:space="preserve"> / verni / peinture / huile / céruse / anti UV</w:t>
      </w:r>
    </w:p>
    <w:p w14:paraId="6AEA7564" w14:textId="77777777" w:rsidR="00DF410E" w:rsidRDefault="00CE7F43">
      <w:pPr>
        <w:pStyle w:val="Author-eListParagraph"/>
        <w:numPr>
          <w:ilvl w:val="0"/>
          <w:numId w:val="1002"/>
        </w:numPr>
      </w:pPr>
      <w:r>
        <w:t xml:space="preserve">Teinte : </w:t>
      </w:r>
      <w:r>
        <w:rPr>
          <w:rStyle w:val="optioncarChar"/>
        </w:rPr>
        <w:t xml:space="preserve">transparent </w:t>
      </w:r>
      <w:r>
        <w:t xml:space="preserve">(par défaut) </w:t>
      </w:r>
      <w:r>
        <w:rPr>
          <w:rStyle w:val="optioncarChar"/>
        </w:rPr>
        <w:t>/ pigmenté blanchâtre / blanc / RAL : ***</w:t>
      </w:r>
    </w:p>
    <w:p w14:paraId="3FA66242" w14:textId="77777777" w:rsidR="00DF410E" w:rsidRDefault="00CE7F43">
      <w:pPr>
        <w:jc w:val="both"/>
      </w:pPr>
      <w:r>
        <w:rPr>
          <w:b/>
        </w:rPr>
        <w:t>Résistance au feu</w:t>
      </w:r>
    </w:p>
    <w:p w14:paraId="6D144B3A" w14:textId="77777777" w:rsidR="00DF410E" w:rsidRDefault="00CE7F43">
      <w:pPr>
        <w:jc w:val="both"/>
      </w:pPr>
      <w:r>
        <w:t xml:space="preserve">Le plancher présente une résistance au feu, selon la [NBN EN 13501-2] : </w:t>
      </w:r>
      <w:r>
        <w:rPr>
          <w:rStyle w:val="optioncarChar"/>
        </w:rPr>
        <w:t xml:space="preserve">pas d’application / REI30 </w:t>
      </w:r>
      <w:r>
        <w:t xml:space="preserve">(par défaut) </w:t>
      </w:r>
      <w:r>
        <w:rPr>
          <w:rStyle w:val="optioncarChar"/>
        </w:rPr>
        <w:t>/ REI60 / REI 90 / REI 120</w:t>
      </w:r>
    </w:p>
    <w:p w14:paraId="3E96D453" w14:textId="77777777" w:rsidR="00DF410E" w:rsidRDefault="00CE7F43">
      <w:pPr>
        <w:jc w:val="both"/>
      </w:pPr>
      <w:r>
        <w:t xml:space="preserve">En cas de résistance au feu obligatoire, celle-ci est atteinte : </w:t>
      </w:r>
      <w:r>
        <w:rPr>
          <w:rStyle w:val="optioncarChar"/>
        </w:rPr>
        <w:t>sans traitement particulier</w:t>
      </w:r>
      <w:r>
        <w:t xml:space="preserve"> (par défaut)</w:t>
      </w:r>
      <w:r>
        <w:rPr>
          <w:rStyle w:val="optioncarChar"/>
        </w:rPr>
        <w:t xml:space="preserve"> / par traitement ignifuge (compris dans le travail)</w:t>
      </w:r>
      <w:r>
        <w:t xml:space="preserve"> du bois.</w:t>
      </w:r>
    </w:p>
    <w:p w14:paraId="3B5C4F7E" w14:textId="77777777" w:rsidR="00DF410E" w:rsidRDefault="00CE7F43">
      <w:pPr>
        <w:pStyle w:val="pheading"/>
      </w:pPr>
      <w:r>
        <w:t>EXÉCUTION / MISE EN ŒUVRE</w:t>
      </w:r>
    </w:p>
    <w:p w14:paraId="5F62585B" w14:textId="77777777" w:rsidR="00DF410E" w:rsidRDefault="00CE7F43">
      <w:pPr>
        <w:pStyle w:val="pheading"/>
      </w:pPr>
      <w:r>
        <w:t>- Prescriptions générales</w:t>
      </w:r>
    </w:p>
    <w:p w14:paraId="5AE4951E" w14:textId="77777777" w:rsidR="00DF410E" w:rsidRDefault="00CE7F43">
      <w:pPr>
        <w:jc w:val="both"/>
      </w:pPr>
      <w:r>
        <w:t>Les coursives sont posées avec une légère pente, vers les extrémités opposées aux murs, pour assurer l’évacuation des eaux.</w:t>
      </w:r>
    </w:p>
    <w:p w14:paraId="0E39759F" w14:textId="77777777" w:rsidR="00DF410E" w:rsidRDefault="00CE7F43">
      <w:pPr>
        <w:jc w:val="both"/>
      </w:pPr>
      <w:r>
        <w:t xml:space="preserve">Pente : ≥ </w:t>
      </w:r>
      <w:r>
        <w:rPr>
          <w:rStyle w:val="optioncarChar"/>
        </w:rPr>
        <w:t>pas de pente / 1%</w:t>
      </w:r>
      <w:r>
        <w:t> (par défaut)</w:t>
      </w:r>
      <w:r>
        <w:rPr>
          <w:rStyle w:val="optioncarChar"/>
        </w:rPr>
        <w:t> / 1,5% / 2%</w:t>
      </w:r>
    </w:p>
    <w:p w14:paraId="4D620072" w14:textId="77777777" w:rsidR="00DF410E" w:rsidRDefault="00CE7F43">
      <w:pPr>
        <w:jc w:val="both"/>
      </w:pPr>
      <w:r>
        <w:t>L'étude et les plans d'exécution sont réalisés sur base : </w:t>
      </w:r>
      <w:r>
        <w:rPr>
          <w:rStyle w:val="optioncarChar"/>
        </w:rPr>
        <w:t>des études et dessins de détail annexés au dossier de soumission </w:t>
      </w:r>
      <w:r>
        <w:t>(par défaut)</w:t>
      </w:r>
      <w:r>
        <w:rPr>
          <w:rStyle w:val="optioncarChar"/>
        </w:rPr>
        <w:t> / à charge de l’entreprise. </w:t>
      </w:r>
    </w:p>
    <w:p w14:paraId="43B7EB48" w14:textId="77777777" w:rsidR="00DF410E" w:rsidRDefault="00CE7F43">
      <w:pPr>
        <w:jc w:val="both"/>
      </w:pPr>
      <w:r>
        <w:rPr>
          <w:b/>
        </w:rPr>
        <w:t>Etudes et dessins de détail annexés au dossier de soumission </w:t>
      </w:r>
    </w:p>
    <w:p w14:paraId="01CA0925" w14:textId="77777777" w:rsidR="00DF410E" w:rsidRDefault="00CE7F43">
      <w:pPr>
        <w:jc w:val="both"/>
      </w:pPr>
      <w:r>
        <w:t>Les dessins d’exécution sont réalisés selon l’étude des plans et des détails de l'auteur de projet annexés au dossier de soumission. </w:t>
      </w:r>
    </w:p>
    <w:p w14:paraId="3ECD77B4" w14:textId="77777777" w:rsidR="00DF410E" w:rsidRDefault="00CE7F43">
      <w:pPr>
        <w:jc w:val="both"/>
      </w:pPr>
      <w:r>
        <w:rPr>
          <w:b/>
        </w:rPr>
        <w:t>Etudes à charge de l’entreprise </w:t>
      </w:r>
    </w:p>
    <w:p w14:paraId="6B761520" w14:textId="77777777" w:rsidR="00DF410E" w:rsidRDefault="00CE7F43">
      <w:pPr>
        <w:jc w:val="both"/>
      </w:pPr>
      <w:r>
        <w:t>Les frais pour la réalisation de l'étude des coursives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2C154A36" w14:textId="77777777" w:rsidR="00DF410E" w:rsidRDefault="00CE7F43">
      <w:pPr>
        <w:jc w:val="both"/>
      </w:pPr>
      <w:r>
        <w:t>L’étude est établie suivant les indications données sur les plans et coupes de principe du dossier de soumission et des informations suivantes, le tout donné à titre indicatif pour orienter l’entreprise :</w:t>
      </w:r>
    </w:p>
    <w:p w14:paraId="47CCCE83" w14:textId="77777777" w:rsidR="00DF410E" w:rsidRDefault="00CE7F43">
      <w:pPr>
        <w:jc w:val="both"/>
      </w:pPr>
      <w:r>
        <w:rPr>
          <w:u w:val="single"/>
        </w:rPr>
        <w:t>Structure portante (pour information)</w:t>
      </w:r>
    </w:p>
    <w:p w14:paraId="171B49B7" w14:textId="77777777" w:rsidR="00DF410E" w:rsidRDefault="00CE7F43">
      <w:pPr>
        <w:pStyle w:val="Author-eListParagraph"/>
        <w:numPr>
          <w:ilvl w:val="0"/>
          <w:numId w:val="1003"/>
        </w:numPr>
      </w:pPr>
      <w:r>
        <w:t>La structure portante ne fait pas partie du présent travail. Les coursives sont prévues pour être posées sur : </w:t>
      </w:r>
      <w:r>
        <w:rPr>
          <w:rStyle w:val="optioncarChar"/>
        </w:rPr>
        <w:t>des colonnes/poutres</w:t>
      </w:r>
      <w:r>
        <w:t> (par défaut)</w:t>
      </w:r>
      <w:r>
        <w:rPr>
          <w:rStyle w:val="optioncarChar"/>
        </w:rPr>
        <w:t> / des consoles fixées au mur.</w:t>
      </w:r>
    </w:p>
    <w:p w14:paraId="0CE7A7F5" w14:textId="77777777" w:rsidR="00DF410E" w:rsidRDefault="00CE7F43">
      <w:pPr>
        <w:jc w:val="both"/>
      </w:pPr>
      <w:r>
        <w:rPr>
          <w:u w:val="single"/>
        </w:rPr>
        <w:t>Structure principale</w:t>
      </w:r>
    </w:p>
    <w:p w14:paraId="2E231781" w14:textId="77777777" w:rsidR="00DF410E" w:rsidRDefault="00CE7F43">
      <w:pPr>
        <w:pStyle w:val="Author-eListParagraph"/>
        <w:numPr>
          <w:ilvl w:val="0"/>
          <w:numId w:val="1004"/>
        </w:numPr>
      </w:pPr>
      <w:r>
        <w:t>Profil de limons / gîtages : </w:t>
      </w:r>
      <w:r>
        <w:rPr>
          <w:rStyle w:val="optioncarChar"/>
        </w:rPr>
        <w:t>rectangulaire </w:t>
      </w:r>
      <w:r>
        <w:t>(par défaut)</w:t>
      </w:r>
      <w:r>
        <w:rPr>
          <w:rStyle w:val="optioncarChar"/>
        </w:rPr>
        <w:t> / carré / circulaire</w:t>
      </w:r>
    </w:p>
    <w:p w14:paraId="13497DDE" w14:textId="77777777" w:rsidR="00DF410E" w:rsidRDefault="00CE7F43">
      <w:pPr>
        <w:pStyle w:val="Author-eListParagraph"/>
        <w:numPr>
          <w:ilvl w:val="0"/>
          <w:numId w:val="1004"/>
        </w:numPr>
      </w:pPr>
      <w:r>
        <w:t>Assemblages à la structure portante : </w:t>
      </w:r>
      <w:r>
        <w:rPr>
          <w:rStyle w:val="optioncarChar"/>
        </w:rPr>
        <w:t>boulonnés </w:t>
      </w:r>
      <w:r>
        <w:t>(par défaut)</w:t>
      </w:r>
      <w:r>
        <w:rPr>
          <w:rStyle w:val="optioncarChar"/>
        </w:rPr>
        <w:t> / cloués / vissés</w:t>
      </w:r>
    </w:p>
    <w:p w14:paraId="056E6480" w14:textId="77777777" w:rsidR="00DF410E" w:rsidRDefault="00CE7F43">
      <w:pPr>
        <w:jc w:val="both"/>
      </w:pPr>
      <w:r>
        <w:rPr>
          <w:u w:val="single"/>
        </w:rPr>
        <w:t>Structure secondaire</w:t>
      </w:r>
    </w:p>
    <w:p w14:paraId="77123479" w14:textId="77777777" w:rsidR="00DF410E" w:rsidRDefault="00CE7F43">
      <w:pPr>
        <w:pStyle w:val="Author-eListParagraph"/>
        <w:numPr>
          <w:ilvl w:val="0"/>
          <w:numId w:val="1005"/>
        </w:numPr>
      </w:pPr>
      <w:r>
        <w:t>Profil : </w:t>
      </w:r>
      <w:r>
        <w:rPr>
          <w:rStyle w:val="optioncarChar"/>
        </w:rPr>
        <w:t>rectangulaire </w:t>
      </w:r>
      <w:r>
        <w:t>(par défaut)</w:t>
      </w:r>
      <w:r>
        <w:rPr>
          <w:rStyle w:val="optioncarChar"/>
        </w:rPr>
        <w:t> / carré / circulaire</w:t>
      </w:r>
    </w:p>
    <w:p w14:paraId="10740C15" w14:textId="77777777" w:rsidR="00DF410E" w:rsidRDefault="00CE7F43">
      <w:pPr>
        <w:pStyle w:val="Author-eListParagraph"/>
        <w:numPr>
          <w:ilvl w:val="0"/>
          <w:numId w:val="1005"/>
        </w:numPr>
      </w:pPr>
      <w:r>
        <w:t>Assemblages à la structure principale : </w:t>
      </w:r>
      <w:r>
        <w:rPr>
          <w:rStyle w:val="optioncarChar"/>
        </w:rPr>
        <w:t>boulonnés </w:t>
      </w:r>
      <w:r>
        <w:t>(par défaut)</w:t>
      </w:r>
      <w:r>
        <w:rPr>
          <w:rStyle w:val="optioncarChar"/>
        </w:rPr>
        <w:t> / cloués / vissés</w:t>
      </w:r>
    </w:p>
    <w:p w14:paraId="4F003A80" w14:textId="77777777" w:rsidR="00DF410E" w:rsidRDefault="00CE7F43">
      <w:pPr>
        <w:jc w:val="both"/>
      </w:pPr>
      <w:r>
        <w:rPr>
          <w:u w:val="single"/>
        </w:rPr>
        <w:t>Contreventements</w:t>
      </w:r>
    </w:p>
    <w:p w14:paraId="56D1152B" w14:textId="77777777" w:rsidR="00DF410E" w:rsidRDefault="00CE7F43">
      <w:pPr>
        <w:pStyle w:val="Author-eListParagraph"/>
        <w:numPr>
          <w:ilvl w:val="0"/>
          <w:numId w:val="1006"/>
        </w:numPr>
      </w:pPr>
      <w:r>
        <w:t>Les contreventements sont en :</w:t>
      </w:r>
      <w:r>
        <w:rPr>
          <w:rStyle w:val="optioncarChar"/>
        </w:rPr>
        <w:t> bois </w:t>
      </w:r>
      <w:r>
        <w:t>(par défaut)</w:t>
      </w:r>
      <w:r>
        <w:rPr>
          <w:rStyle w:val="optioncarChar"/>
        </w:rPr>
        <w:t> / acier</w:t>
      </w:r>
    </w:p>
    <w:p w14:paraId="2E25F634" w14:textId="77777777" w:rsidR="00DF410E" w:rsidRDefault="00CE7F43">
      <w:pPr>
        <w:ind w:left="567"/>
        <w:jc w:val="both"/>
      </w:pPr>
      <w:r>
        <w:rPr>
          <w:b/>
        </w:rPr>
        <w:t>(soit par défaut)</w:t>
      </w:r>
    </w:p>
    <w:p w14:paraId="0162EBBB" w14:textId="77777777" w:rsidR="00DF410E" w:rsidRDefault="00CE7F43">
      <w:pPr>
        <w:ind w:left="567"/>
        <w:jc w:val="both"/>
      </w:pPr>
      <w:r>
        <w:rPr>
          <w:rStyle w:val="soitChar"/>
          <w:u w:val="single"/>
        </w:rPr>
        <w:t>En bois :</w:t>
      </w:r>
    </w:p>
    <w:p w14:paraId="4AFA194F" w14:textId="77777777" w:rsidR="00DF410E" w:rsidRDefault="00CE7F43">
      <w:pPr>
        <w:pStyle w:val="Author-eListParagraph"/>
        <w:numPr>
          <w:ilvl w:val="1"/>
          <w:numId w:val="1007"/>
        </w:numPr>
      </w:pPr>
      <w:r>
        <w:rPr>
          <w:rStyle w:val="soitChar"/>
        </w:rPr>
        <w:t>Profil : </w:t>
      </w:r>
      <w:r>
        <w:rPr>
          <w:rStyle w:val="optioncarChar"/>
        </w:rPr>
        <w:t>rectangulaire </w:t>
      </w:r>
      <w:r>
        <w:t>(par défaut)</w:t>
      </w:r>
      <w:r>
        <w:rPr>
          <w:rStyle w:val="optioncarChar"/>
        </w:rPr>
        <w:t> / carré / circulaire</w:t>
      </w:r>
    </w:p>
    <w:p w14:paraId="77A9C443" w14:textId="77777777" w:rsidR="00DF410E" w:rsidRDefault="00CE7F43">
      <w:pPr>
        <w:pStyle w:val="Author-eListParagraph"/>
        <w:numPr>
          <w:ilvl w:val="1"/>
          <w:numId w:val="1007"/>
        </w:numPr>
      </w:pPr>
      <w:r>
        <w:rPr>
          <w:rStyle w:val="soitChar"/>
        </w:rPr>
        <w:t>Assemblages à la structure : </w:t>
      </w:r>
      <w:r>
        <w:rPr>
          <w:rStyle w:val="optioncarChar"/>
        </w:rPr>
        <w:t>boulonnés</w:t>
      </w:r>
      <w:r>
        <w:t> (par défaut) </w:t>
      </w:r>
      <w:r>
        <w:rPr>
          <w:rStyle w:val="optioncarChar"/>
        </w:rPr>
        <w:t>/ cloués / vissés</w:t>
      </w:r>
    </w:p>
    <w:p w14:paraId="46DB3E78" w14:textId="77777777" w:rsidR="00DF410E" w:rsidRDefault="00CE7F43">
      <w:pPr>
        <w:ind w:left="567"/>
        <w:jc w:val="both"/>
      </w:pPr>
      <w:r>
        <w:rPr>
          <w:b/>
        </w:rPr>
        <w:t>(soit)</w:t>
      </w:r>
    </w:p>
    <w:p w14:paraId="63F84C72" w14:textId="77777777" w:rsidR="00DF410E" w:rsidRDefault="00CE7F43">
      <w:pPr>
        <w:ind w:left="567"/>
        <w:jc w:val="both"/>
      </w:pPr>
      <w:r>
        <w:rPr>
          <w:rStyle w:val="soitChar"/>
          <w:u w:val="single"/>
        </w:rPr>
        <w:t>En acier :</w:t>
      </w:r>
    </w:p>
    <w:p w14:paraId="47999CDC" w14:textId="77777777" w:rsidR="00DF410E" w:rsidRDefault="00CE7F43">
      <w:pPr>
        <w:pStyle w:val="Author-eListParagraph"/>
        <w:numPr>
          <w:ilvl w:val="1"/>
          <w:numId w:val="1008"/>
        </w:numPr>
      </w:pPr>
      <w:r>
        <w:rPr>
          <w:rStyle w:val="soitChar"/>
        </w:rPr>
        <w:t>Profil : </w:t>
      </w:r>
      <w:r>
        <w:rPr>
          <w:rStyle w:val="optioncarChar"/>
        </w:rPr>
        <w:t>câbles </w:t>
      </w:r>
      <w:r>
        <w:t>(par défaut) </w:t>
      </w:r>
      <w:r>
        <w:rPr>
          <w:rStyle w:val="optioncarChar"/>
        </w:rPr>
        <w:t>/ tiges rondes / cornières L à ailes égales / ***</w:t>
      </w:r>
    </w:p>
    <w:p w14:paraId="6B238FE4" w14:textId="77777777" w:rsidR="00DF410E" w:rsidRDefault="00CE7F43">
      <w:pPr>
        <w:pStyle w:val="Author-eListParagraph"/>
        <w:numPr>
          <w:ilvl w:val="1"/>
          <w:numId w:val="1008"/>
        </w:numPr>
      </w:pPr>
      <w:r>
        <w:rPr>
          <w:rStyle w:val="soitChar"/>
        </w:rPr>
        <w:t>Assemblages à la structure : </w:t>
      </w:r>
      <w:r>
        <w:rPr>
          <w:rStyle w:val="optioncarChar"/>
        </w:rPr>
        <w:t>boulonnés à la structure</w:t>
      </w:r>
      <w:r>
        <w:t> (par défaut)</w:t>
      </w:r>
      <w:r>
        <w:rPr>
          <w:rStyle w:val="optioncarChar"/>
        </w:rPr>
        <w:t> / boulonnés sur des goussets / pattes fixés à la structure</w:t>
      </w:r>
    </w:p>
    <w:p w14:paraId="4E541437" w14:textId="77777777" w:rsidR="00DF410E" w:rsidRDefault="00CE7F43">
      <w:pPr>
        <w:jc w:val="both"/>
      </w:pPr>
      <w:r>
        <w:rPr>
          <w:u w:val="single"/>
        </w:rPr>
        <w:t>Platelage</w:t>
      </w:r>
    </w:p>
    <w:p w14:paraId="0A985B86" w14:textId="77777777" w:rsidR="00DF410E" w:rsidRDefault="00CE7F43">
      <w:pPr>
        <w:pStyle w:val="Author-eListParagraph"/>
        <w:numPr>
          <w:ilvl w:val="0"/>
          <w:numId w:val="1009"/>
        </w:numPr>
      </w:pPr>
      <w:r>
        <w:t>Le platelage est posé : </w:t>
      </w:r>
      <w:r>
        <w:rPr>
          <w:rStyle w:val="optioncarChar"/>
        </w:rPr>
        <w:t>sur les profils de ceinture ou gîtages</w:t>
      </w:r>
      <w:r>
        <w:t> (par défaut)</w:t>
      </w:r>
      <w:r>
        <w:rPr>
          <w:rStyle w:val="optioncarChar"/>
        </w:rPr>
        <w:t> / en affleurement aux profils de ceinture de la coursive (pour que la face supérieure soit dans le même plan que le dessus des profils de ceinture)</w:t>
      </w:r>
      <w:r>
        <w:t>.</w:t>
      </w:r>
    </w:p>
    <w:p w14:paraId="11FBD97B" w14:textId="77777777" w:rsidR="00DF410E" w:rsidRDefault="00CE7F43">
      <w:pPr>
        <w:pStyle w:val="Author-eListParagraph"/>
        <w:numPr>
          <w:ilvl w:val="0"/>
          <w:numId w:val="1009"/>
        </w:numPr>
      </w:pPr>
      <w:r>
        <w:t>Assemblages à la structure : </w:t>
      </w:r>
      <w:r>
        <w:rPr>
          <w:rStyle w:val="optioncarChar"/>
        </w:rPr>
        <w:t>vissés</w:t>
      </w:r>
      <w:r>
        <w:t> (par défaut)</w:t>
      </w:r>
      <w:r>
        <w:rPr>
          <w:rStyle w:val="optioncarChar"/>
        </w:rPr>
        <w:t> / cloués</w:t>
      </w:r>
    </w:p>
    <w:p w14:paraId="05D30733" w14:textId="77777777" w:rsidR="00DF410E" w:rsidRDefault="00CE7F43">
      <w:pPr>
        <w:jc w:val="both"/>
      </w:pPr>
      <w:r>
        <w:rPr>
          <w:u w:val="single"/>
        </w:rPr>
        <w:t>Garde-corps</w:t>
      </w:r>
    </w:p>
    <w:p w14:paraId="0BC7D5E5" w14:textId="77777777" w:rsidR="00DF410E" w:rsidRDefault="00CE7F43">
      <w:pPr>
        <w:pStyle w:val="Author-eListParagraph"/>
        <w:numPr>
          <w:ilvl w:val="0"/>
          <w:numId w:val="1010"/>
        </w:numPr>
      </w:pPr>
      <w:r>
        <w:t>Les garde-corps sont fixés solidement aux :</w:t>
      </w:r>
      <w:r>
        <w:rPr>
          <w:rStyle w:val="optioncarChar"/>
        </w:rPr>
        <w:t> limons périphériques</w:t>
      </w:r>
      <w:r>
        <w:t> (par défaut)</w:t>
      </w:r>
      <w:r>
        <w:rPr>
          <w:rStyle w:val="optioncarChar"/>
        </w:rPr>
        <w:t> / aux platelages</w:t>
      </w:r>
    </w:p>
    <w:p w14:paraId="0C6565AC" w14:textId="77777777" w:rsidR="00DF410E" w:rsidRDefault="00CE7F43">
      <w:pPr>
        <w:pStyle w:val="Author-eListParagraph"/>
        <w:numPr>
          <w:ilvl w:val="0"/>
          <w:numId w:val="1010"/>
        </w:numPr>
      </w:pPr>
      <w:r>
        <w:t>Assemblages au support : </w:t>
      </w:r>
      <w:r>
        <w:rPr>
          <w:rStyle w:val="optioncarChar"/>
        </w:rPr>
        <w:t>vissés </w:t>
      </w:r>
      <w:r>
        <w:t>(par défaut)</w:t>
      </w:r>
      <w:r>
        <w:rPr>
          <w:rStyle w:val="optioncarChar"/>
        </w:rPr>
        <w:t> / boulonnés</w:t>
      </w:r>
    </w:p>
    <w:p w14:paraId="28FA22CB" w14:textId="77777777" w:rsidR="00DF410E" w:rsidRDefault="00DF410E"/>
    <w:p w14:paraId="1F159F23" w14:textId="77777777" w:rsidR="00DF410E" w:rsidRDefault="00CE7F43">
      <w:pPr>
        <w:jc w:val="both"/>
      </w:pPr>
      <w:r>
        <w:t>Le bois des coursives est protégé jusqu'à la réception provisoire dans un emballage de protection évitant les chocs et rayures.</w:t>
      </w:r>
    </w:p>
    <w:p w14:paraId="1B86CFF1" w14:textId="77777777" w:rsidR="00DF410E" w:rsidRDefault="00CE7F43">
      <w:pPr>
        <w:pStyle w:val="pheading"/>
      </w:pPr>
      <w:r>
        <w:t>DOCUMENTS DE RÉFÉRENCE COMPLÉMENTAIRES</w:t>
      </w:r>
    </w:p>
    <w:p w14:paraId="1DE41C4E" w14:textId="77777777" w:rsidR="00DF410E" w:rsidRDefault="00CE7F43">
      <w:pPr>
        <w:pStyle w:val="pheading"/>
      </w:pPr>
      <w:r>
        <w:t>- Matériau</w:t>
      </w:r>
    </w:p>
    <w:p w14:paraId="531EA850" w14:textId="77777777" w:rsidR="00DF410E" w:rsidRDefault="00CE7F43">
      <w:r>
        <w:t>[NBN EN 1995 série, Eurocode 5: Conception et calcul des structures en bois]</w:t>
      </w:r>
    </w:p>
    <w:p w14:paraId="5A2BE5F2" w14:textId="77777777" w:rsidR="00DF410E" w:rsidRDefault="00CE7F43">
      <w:pPr>
        <w:pStyle w:val="pheading"/>
      </w:pPr>
      <w:r>
        <w:t>MESURAGE</w:t>
      </w:r>
    </w:p>
    <w:p w14:paraId="6121496E" w14:textId="77777777" w:rsidR="00DF410E" w:rsidRDefault="00CE7F43">
      <w:pPr>
        <w:pStyle w:val="pheading"/>
      </w:pPr>
      <w:r>
        <w:t>- unité de mesure:</w:t>
      </w:r>
    </w:p>
    <w:p w14:paraId="550AFCF7" w14:textId="77777777" w:rsidR="00DF410E" w:rsidRDefault="00CE7F43">
      <w:r>
        <w:rPr>
          <w:rStyle w:val="optioncarChar"/>
        </w:rPr>
        <w:t>pc</w:t>
      </w:r>
      <w:r>
        <w:t> (par défaut)</w:t>
      </w:r>
      <w:r>
        <w:rPr>
          <w:rStyle w:val="optioncarChar"/>
        </w:rPr>
        <w:t> / m² </w:t>
      </w:r>
    </w:p>
    <w:p w14:paraId="2197812D" w14:textId="77777777" w:rsidR="00DF410E" w:rsidRDefault="00CE7F43">
      <w:r>
        <w:rPr>
          <w:b/>
        </w:rPr>
        <w:t>(soit par défaut)</w:t>
      </w:r>
      <w:r>
        <w:br/>
      </w:r>
      <w:r>
        <w:rPr>
          <w:rStyle w:val="soitChar"/>
        </w:rPr>
        <w:t>1. pc</w:t>
      </w:r>
      <w:r>
        <w:br/>
      </w:r>
      <w:r>
        <w:rPr>
          <w:b/>
        </w:rPr>
        <w:t>(soit)</w:t>
      </w:r>
      <w:r>
        <w:br/>
      </w:r>
      <w:r>
        <w:rPr>
          <w:rStyle w:val="soitChar"/>
        </w:rPr>
        <w:t>2. m² </w:t>
      </w:r>
    </w:p>
    <w:p w14:paraId="4C434EF9" w14:textId="77777777" w:rsidR="00DF410E" w:rsidRDefault="00CE7F43">
      <w:pPr>
        <w:pStyle w:val="pheading"/>
      </w:pPr>
      <w:r>
        <w:t>- code de mesurage:</w:t>
      </w:r>
    </w:p>
    <w:p w14:paraId="4D398611" w14:textId="77777777" w:rsidR="00DF410E" w:rsidRDefault="00CE7F43">
      <w:r>
        <w:rPr>
          <w:rStyle w:val="optioncarChar"/>
        </w:rPr>
        <w:t>Quantité nette </w:t>
      </w:r>
      <w:r>
        <w:t>(par défaut)</w:t>
      </w:r>
      <w:r>
        <w:rPr>
          <w:rStyle w:val="optioncarChar"/>
        </w:rPr>
        <w:t> / Surface nette </w:t>
      </w:r>
    </w:p>
    <w:p w14:paraId="32D90B53" w14:textId="77777777" w:rsidR="00DF410E" w:rsidRDefault="00CE7F43">
      <w:pPr>
        <w:jc w:val="both"/>
      </w:pPr>
      <w:r>
        <w:rPr>
          <w:b/>
        </w:rPr>
        <w:t>(soit par défaut)</w:t>
      </w:r>
    </w:p>
    <w:p w14:paraId="4B943E20" w14:textId="77777777" w:rsidR="00DF410E" w:rsidRDefault="00CE7F43">
      <w:pPr>
        <w:jc w:val="both"/>
      </w:pPr>
      <w:r>
        <w:rPr>
          <w:rStyle w:val="soitChar"/>
        </w:rPr>
        <w:t>1.  </w:t>
      </w:r>
      <w:r>
        <w:rPr>
          <w:rStyle w:val="soitChar"/>
          <w:u w:val="single"/>
        </w:rPr>
        <w:t>Quantité nette</w:t>
      </w:r>
      <w:r>
        <w:rPr>
          <w:rStyle w:val="soitChar"/>
        </w:rPr>
        <w:t> à mettre en œuvre, ventilée selon la nature des éléments constitutifs et les dimensions.</w:t>
      </w:r>
    </w:p>
    <w:p w14:paraId="11203CB3" w14:textId="77777777" w:rsidR="00DF410E" w:rsidRDefault="00CE7F43">
      <w:pPr>
        <w:jc w:val="both"/>
      </w:pPr>
      <w:r>
        <w:rPr>
          <w:b/>
        </w:rPr>
        <w:t>(soit)</w:t>
      </w:r>
    </w:p>
    <w:p w14:paraId="1CC56829" w14:textId="77777777" w:rsidR="00DF410E" w:rsidRDefault="00CE7F43">
      <w:pPr>
        <w:jc w:val="both"/>
      </w:pPr>
      <w:r>
        <w:rPr>
          <w:rStyle w:val="soitChar"/>
        </w:rPr>
        <w:t>2. </w:t>
      </w:r>
      <w:r>
        <w:rPr>
          <w:rStyle w:val="soitChar"/>
          <w:u w:val="single"/>
        </w:rPr>
        <w:t>Surface nette</w:t>
      </w:r>
      <w:r>
        <w:rPr>
          <w:rStyle w:val="soitChar"/>
        </w:rPr>
        <w:t> à mettre en œuvre pour les « plateformes » des coursives, ventilée selon la nature des éléments constitutifs.</w:t>
      </w:r>
    </w:p>
    <w:p w14:paraId="5C39AB29" w14:textId="77777777" w:rsidR="00DF410E" w:rsidRDefault="00CE7F43">
      <w:pPr>
        <w:pStyle w:val="pheading"/>
      </w:pPr>
      <w:r>
        <w:t>- nature du marché:</w:t>
      </w:r>
    </w:p>
    <w:p w14:paraId="2B681B90" w14:textId="77777777" w:rsidR="00DF410E" w:rsidRDefault="00CE7F43">
      <w:r>
        <w:t>1. 2. QF</w:t>
      </w:r>
    </w:p>
    <w:p w14:paraId="53F62AB8" w14:textId="77777777" w:rsidR="00DF410E" w:rsidRDefault="00CE7F43">
      <w:pPr>
        <w:pStyle w:val="pheading"/>
      </w:pPr>
      <w:r>
        <w:t>AIDE</w:t>
      </w:r>
    </w:p>
    <w:p w14:paraId="25D1B2A8" w14:textId="77777777" w:rsidR="00DF410E" w:rsidRDefault="00CE7F43">
      <w:pPr>
        <w:jc w:val="both"/>
      </w:pPr>
      <w:r>
        <w:t>La quantité nette est plutôt prévue si le garde-corps est compris dans le travail.</w:t>
      </w:r>
    </w:p>
    <w:p w14:paraId="78BF9A63" w14:textId="77777777" w:rsidR="00DF410E" w:rsidRDefault="00CE7F43">
      <w:pPr>
        <w:jc w:val="both"/>
      </w:pPr>
      <w:r>
        <w:t>La surface nette ne comprend pas le garde-corps, qui est comptabilisé dans un article séparé.</w:t>
      </w:r>
    </w:p>
    <w:p w14:paraId="6992D37B" w14:textId="77777777" w:rsidR="00DF410E" w:rsidRDefault="00CE7F43">
      <w:pPr>
        <w:pStyle w:val="Author-eSectionHeading4"/>
      </w:pPr>
      <w:bookmarkStart w:id="1709" w:name="_Toc178838792"/>
      <w:r>
        <w:t>24.34 Passerelles en bois CCTB 01.07</w:t>
      </w:r>
      <w:bookmarkEnd w:id="1709"/>
    </w:p>
    <w:p w14:paraId="40C7F7EA" w14:textId="77777777" w:rsidR="00DF410E" w:rsidRDefault="00CE7F43">
      <w:pPr>
        <w:pStyle w:val="Author-eSectionHeading5"/>
      </w:pPr>
      <w:bookmarkStart w:id="1710" w:name="_Toc178838793"/>
      <w:r>
        <w:t>24.34.1 Passerelles en bois  CCTB 01.07</w:t>
      </w:r>
      <w:bookmarkEnd w:id="1710"/>
    </w:p>
    <w:p w14:paraId="527EAADE" w14:textId="77777777" w:rsidR="00DF410E" w:rsidRDefault="00CE7F43">
      <w:pPr>
        <w:pStyle w:val="Author-eSectionHeading6"/>
      </w:pPr>
      <w:bookmarkStart w:id="1711" w:name="_Toc178838794"/>
      <w:r>
        <w:t>24.34.1a Passerelles en bois  CCTB 01.11</w:t>
      </w:r>
      <w:bookmarkEnd w:id="1711"/>
    </w:p>
    <w:p w14:paraId="606DDED6" w14:textId="77777777" w:rsidR="00DF410E" w:rsidRDefault="00CE7F43">
      <w:pPr>
        <w:pStyle w:val="pheading"/>
      </w:pPr>
      <w:r>
        <w:t>DESCRIPTION</w:t>
      </w:r>
    </w:p>
    <w:p w14:paraId="720AAFED" w14:textId="77777777" w:rsidR="00DF410E" w:rsidRDefault="00CE7F43">
      <w:pPr>
        <w:pStyle w:val="pheading"/>
      </w:pPr>
      <w:r>
        <w:t>- Définition / Comprend</w:t>
      </w:r>
    </w:p>
    <w:p w14:paraId="1F0BFE6D" w14:textId="77777777" w:rsidR="00DF410E" w:rsidRDefault="00CE7F43">
      <w:pPr>
        <w:jc w:val="both"/>
      </w:pPr>
      <w:r>
        <w:t>Il s'agit de la fourniture et la pose de passerelles en bois ainsi que tout élément nécessaire pour obtenir un ensemble fini.</w:t>
      </w:r>
    </w:p>
    <w:p w14:paraId="2A2C61A8" w14:textId="77777777" w:rsidR="00DF410E" w:rsidRDefault="00CE7F43">
      <w:pPr>
        <w:pStyle w:val="pheading"/>
      </w:pPr>
      <w:r>
        <w:t>MATÉRIAUX</w:t>
      </w:r>
    </w:p>
    <w:p w14:paraId="03AB3D81" w14:textId="77777777" w:rsidR="00DF410E" w:rsidRDefault="00CE7F43">
      <w:pPr>
        <w:pStyle w:val="pheading"/>
      </w:pPr>
      <w:r>
        <w:t>- Caractéristiques générales</w:t>
      </w:r>
    </w:p>
    <w:p w14:paraId="5B633EAD" w14:textId="77777777" w:rsidR="00DF410E" w:rsidRDefault="00CE7F43">
      <w:pPr>
        <w:jc w:val="both"/>
      </w:pPr>
      <w:r>
        <w:rPr>
          <w:b/>
        </w:rPr>
        <w:t>Préambule</w:t>
      </w:r>
    </w:p>
    <w:p w14:paraId="09685143" w14:textId="77777777" w:rsidR="00DF410E" w:rsidRDefault="00CE7F43">
      <w:pPr>
        <w:jc w:val="both"/>
      </w:pPr>
      <w:r>
        <w:t>En fonction de leur conception, les passerelles sont composées :</w:t>
      </w:r>
    </w:p>
    <w:p w14:paraId="020225B9" w14:textId="77777777" w:rsidR="00DF410E" w:rsidRDefault="00CE7F43">
      <w:pPr>
        <w:pStyle w:val="Author-eListParagraph"/>
        <w:numPr>
          <w:ilvl w:val="0"/>
          <w:numId w:val="1011"/>
        </w:numPr>
      </w:pPr>
      <w:r>
        <w:t>d’une structure portante (non comprise dans le présent article)</w:t>
      </w:r>
    </w:p>
    <w:p w14:paraId="276DEE65" w14:textId="77777777" w:rsidR="00DF410E" w:rsidRDefault="00CE7F43">
      <w:pPr>
        <w:pStyle w:val="Author-eListParagraph"/>
        <w:numPr>
          <w:ilvl w:val="0"/>
          <w:numId w:val="1011"/>
        </w:numPr>
      </w:pPr>
      <w:r>
        <w:t>d’une structure principale (poutres principales) ;</w:t>
      </w:r>
    </w:p>
    <w:p w14:paraId="3F5F5769" w14:textId="77777777" w:rsidR="00DF410E" w:rsidRDefault="00CE7F43">
      <w:pPr>
        <w:pStyle w:val="Author-eListParagraph"/>
        <w:numPr>
          <w:ilvl w:val="0"/>
          <w:numId w:val="1011"/>
        </w:numPr>
      </w:pPr>
      <w:r>
        <w:t>d’une structure secondaire (traverses, contreventement, etc.) ;</w:t>
      </w:r>
    </w:p>
    <w:p w14:paraId="47A922E6" w14:textId="77777777" w:rsidR="00DF410E" w:rsidRDefault="00CE7F43">
      <w:pPr>
        <w:pStyle w:val="Author-eListParagraph"/>
        <w:numPr>
          <w:ilvl w:val="0"/>
          <w:numId w:val="1011"/>
        </w:numPr>
      </w:pPr>
      <w:r>
        <w:t>d’un platelage ;</w:t>
      </w:r>
    </w:p>
    <w:p w14:paraId="3EAC9D88" w14:textId="77777777" w:rsidR="00DF410E" w:rsidRDefault="00CE7F43">
      <w:pPr>
        <w:pStyle w:val="Author-eListParagraph"/>
        <w:numPr>
          <w:ilvl w:val="0"/>
          <w:numId w:val="1011"/>
        </w:numPr>
      </w:pPr>
      <w:r>
        <w:t>de garde-corps.</w:t>
      </w:r>
    </w:p>
    <w:p w14:paraId="7F244B49" w14:textId="77777777" w:rsidR="00DF410E" w:rsidRDefault="00CE7F43">
      <w:pPr>
        <w:jc w:val="both"/>
      </w:pPr>
      <w:r>
        <w:rPr>
          <w:u w:val="single"/>
        </w:rPr>
        <w:t>Structures portantes</w:t>
      </w:r>
    </w:p>
    <w:p w14:paraId="2E692A67" w14:textId="77777777" w:rsidR="00DF410E" w:rsidRDefault="00CE7F43">
      <w:pPr>
        <w:jc w:val="both"/>
      </w:pPr>
      <w:r>
        <w:t>Les structures portantes colonnes/poutres et/ou consoles fixées au mur ne font pas partie du présent travail. Elles sont décrites séparément en fonction de la nature des matériaux aux </w:t>
      </w:r>
      <w:hyperlink w:anchor="292" w:history="1">
        <w:r>
          <w:t>21.1 Maçonneries portantes</w:t>
        </w:r>
      </w:hyperlink>
      <w:r>
        <w:t>, </w:t>
      </w:r>
      <w:hyperlink w:anchor="530" w:history="1">
        <w:r>
          <w:t>22.1 Eléments de structures en béton</w:t>
        </w:r>
      </w:hyperlink>
      <w:r>
        <w:t>, </w:t>
      </w:r>
      <w:hyperlink w:anchor="420" w:history="1">
        <w:r>
          <w:t>23.1 Eléments de structures métalliques</w:t>
        </w:r>
      </w:hyperlink>
      <w:r>
        <w:t> ou </w:t>
      </w:r>
      <w:hyperlink w:anchor="592" w:history="1">
        <w:r>
          <w:t>24.1 Eléments de structures en bois</w:t>
        </w:r>
      </w:hyperlink>
      <w:r>
        <w:t> et articles qui en découlent.</w:t>
      </w:r>
    </w:p>
    <w:p w14:paraId="138C8710" w14:textId="77777777" w:rsidR="00DF410E" w:rsidRDefault="00CE7F43">
      <w:pPr>
        <w:jc w:val="both"/>
      </w:pPr>
      <w:r>
        <w:rPr>
          <w:u w:val="single"/>
        </w:rPr>
        <w:t>Garde-corps</w:t>
      </w:r>
    </w:p>
    <w:p w14:paraId="11263BE5" w14:textId="77777777" w:rsidR="00DF410E" w:rsidRDefault="00CE7F43">
      <w:pPr>
        <w:jc w:val="both"/>
      </w:pPr>
      <w:r>
        <w:t>Les garde-corps sont décrits séparément, par exemple pour les métalliques, aux </w:t>
      </w:r>
      <w:hyperlink w:anchor="189" w:history="1">
        <w:r>
          <w:t>23.32 Garde-corps et rampes métalliques</w:t>
        </w:r>
      </w:hyperlink>
      <w:r>
        <w:t> et articles qui en découlent. </w:t>
      </w:r>
      <w:r>
        <w:rPr>
          <w:rStyle w:val="optioncarChar"/>
        </w:rPr>
        <w:t>Ils ne font pas partie du présent travail </w:t>
      </w:r>
      <w:r>
        <w:t>(par défaut)</w:t>
      </w:r>
      <w:r>
        <w:rPr>
          <w:rStyle w:val="optioncarChar"/>
        </w:rPr>
        <w:t> / Leur fourniture et pose sont comprises dans le présent travail. </w:t>
      </w:r>
    </w:p>
    <w:p w14:paraId="02D473D2" w14:textId="77777777" w:rsidR="00DF410E" w:rsidRDefault="00CE7F43">
      <w:pPr>
        <w:jc w:val="both"/>
      </w:pPr>
      <w:r>
        <w:rPr>
          <w:u w:val="single"/>
        </w:rPr>
        <w:t>Escalier</w:t>
      </w:r>
    </w:p>
    <w:p w14:paraId="2B6BF889" w14:textId="77777777" w:rsidR="00DF410E" w:rsidRDefault="00CE7F43">
      <w:pPr>
        <w:jc w:val="both"/>
      </w:pPr>
      <w:r>
        <w:t>Les éventuels escaliers permettant d’accéder aux passerelles ne font pas partie du présent article.</w:t>
      </w:r>
    </w:p>
    <w:p w14:paraId="682A70EB" w14:textId="77777777" w:rsidR="00DF410E" w:rsidRDefault="00CE7F43">
      <w:pPr>
        <w:jc w:val="both"/>
      </w:pPr>
      <w:r>
        <w:t>Ils sont décrits séparément aux </w:t>
      </w:r>
      <w:hyperlink w:anchor="556" w:history="1">
        <w:r>
          <w:t>23.31 Escaliers métalliques</w:t>
        </w:r>
      </w:hyperlink>
      <w:r>
        <w:t> ou </w:t>
      </w:r>
      <w:hyperlink w:anchor="622" w:history="1">
        <w:r>
          <w:t>24.31 Escaliers en bois</w:t>
        </w:r>
      </w:hyperlink>
      <w:r>
        <w:t> et articles qui en découlent.</w:t>
      </w:r>
    </w:p>
    <w:p w14:paraId="3F3ACD59" w14:textId="77777777" w:rsidR="00DF410E" w:rsidRDefault="00CE7F43">
      <w:pPr>
        <w:jc w:val="both"/>
      </w:pPr>
      <w:r>
        <w:rPr>
          <w:b/>
        </w:rPr>
        <w:t>Matériaux</w:t>
      </w:r>
    </w:p>
    <w:p w14:paraId="4DE4B156" w14:textId="77777777" w:rsidR="00DF410E" w:rsidRDefault="00CE7F43">
      <w:pPr>
        <w:pStyle w:val="Author-eListParagraph"/>
        <w:numPr>
          <w:ilvl w:val="0"/>
          <w:numId w:val="1012"/>
        </w:numPr>
      </w:pPr>
      <w:r>
        <w:t>Classe d’emploi/de risque, suivant la [NBN EN 335] : </w:t>
      </w:r>
      <w:r>
        <w:rPr>
          <w:rStyle w:val="optioncarChar"/>
        </w:rPr>
        <w:t>1 / 2 / 3</w:t>
      </w:r>
      <w:r>
        <w:t> (par défaut)</w:t>
      </w:r>
    </w:p>
    <w:p w14:paraId="5974208F" w14:textId="77777777" w:rsidR="00DF410E" w:rsidRDefault="00CE7F43">
      <w:pPr>
        <w:jc w:val="both"/>
      </w:pPr>
      <w:r>
        <w:rPr>
          <w:u w:val="single"/>
        </w:rPr>
        <w:t>Les structures principales et secondaires :</w:t>
      </w:r>
    </w:p>
    <w:p w14:paraId="5711F280" w14:textId="77777777" w:rsidR="00DF410E" w:rsidRDefault="00CE7F43">
      <w:pPr>
        <w:jc w:val="both"/>
      </w:pPr>
      <w:r>
        <w:t>Caractéristiques du bois :</w:t>
      </w:r>
    </w:p>
    <w:p w14:paraId="66910F8F" w14:textId="77777777" w:rsidR="00DF410E" w:rsidRDefault="00CE7F43">
      <w:pPr>
        <w:pStyle w:val="Author-eListParagraph"/>
        <w:numPr>
          <w:ilvl w:val="0"/>
          <w:numId w:val="1013"/>
        </w:numPr>
      </w:pPr>
      <w:r>
        <w:t>Gamme de produit : </w:t>
      </w:r>
      <w:r>
        <w:rPr>
          <w:rStyle w:val="optioncarChar"/>
        </w:rPr>
        <w:t>bois massifs </w:t>
      </w:r>
      <w:r>
        <w:t>(par défaut)</w:t>
      </w:r>
      <w:r>
        <w:rPr>
          <w:rStyle w:val="optioncarChar"/>
        </w:rPr>
        <w:t> / bois massifs aboutés, bois lamellés-collés, bois lamellés-collés en bloc / CLT / LVL/ LSL / PSL</w:t>
      </w:r>
    </w:p>
    <w:p w14:paraId="660ED2D7" w14:textId="77777777" w:rsidR="00DF410E" w:rsidRDefault="00CE7F43">
      <w:pPr>
        <w:pStyle w:val="Author-eListParagraph"/>
        <w:numPr>
          <w:ilvl w:val="0"/>
          <w:numId w:val="1013"/>
        </w:numPr>
      </w:pPr>
      <w:r>
        <w:t>Classe de durabilité, suivant la [NBN EN 460] : </w:t>
      </w:r>
      <w:r>
        <w:rPr>
          <w:rStyle w:val="optioncarChar"/>
        </w:rPr>
        <w:t>1 / 2</w:t>
      </w:r>
      <w:r>
        <w:t> (par défaut)</w:t>
      </w:r>
      <w:r>
        <w:rPr>
          <w:rStyle w:val="optioncarChar"/>
        </w:rPr>
        <w:t> / 3 / 4 / 5 / en fonction de l’essence de bois (voir le point suivant)</w:t>
      </w:r>
    </w:p>
    <w:p w14:paraId="61BB5F8A" w14:textId="77777777" w:rsidR="00DF410E" w:rsidRDefault="00CE7F43">
      <w:pPr>
        <w:pStyle w:val="Author-eListParagraph"/>
        <w:numPr>
          <w:ilvl w:val="0"/>
          <w:numId w:val="1013"/>
        </w:numPr>
      </w:pPr>
      <w:r>
        <w:t>Choix de l’essence de bois : </w:t>
      </w:r>
      <w:r>
        <w:rPr>
          <w:rStyle w:val="optioncarChar"/>
        </w:rPr>
        <w:t>au choix de l’entrepreneur, en fonction de la durabilité ci-dessus, à soumettre à l’approbation de l’architecte et du maître de l’ouvrage</w:t>
      </w:r>
      <w:r>
        <w:t> (par défaut)</w:t>
      </w:r>
      <w:r>
        <w:rPr>
          <w:rStyle w:val="optioncarChar"/>
        </w:rPr>
        <w:t> / afzélia doussé / dark red meranti / merbeau / western red cedar / chêne / ***</w:t>
      </w:r>
      <w:r>
        <w:t>.</w:t>
      </w:r>
    </w:p>
    <w:p w14:paraId="6C4D1E60" w14:textId="77777777" w:rsidR="00DF410E" w:rsidRDefault="00CE7F43">
      <w:pPr>
        <w:pStyle w:val="Author-eListParagraph"/>
        <w:numPr>
          <w:ilvl w:val="0"/>
          <w:numId w:val="1013"/>
        </w:numPr>
      </w:pPr>
      <w:r>
        <w:t>Raboté : </w:t>
      </w:r>
      <w:r>
        <w:rPr>
          <w:rStyle w:val="optioncarChar"/>
        </w:rPr>
        <w:t>2 faces (les faces de pose de panneaux) / 4 faces</w:t>
      </w:r>
      <w:r>
        <w:t> (par défaut)</w:t>
      </w:r>
    </w:p>
    <w:p w14:paraId="659342A2" w14:textId="77777777" w:rsidR="00DF410E" w:rsidRDefault="00CE7F43">
      <w:pPr>
        <w:jc w:val="both"/>
      </w:pPr>
      <w:r>
        <w:rPr>
          <w:u w:val="single"/>
        </w:rPr>
        <w:t>Les platelages :</w:t>
      </w:r>
    </w:p>
    <w:p w14:paraId="5D702122" w14:textId="77777777" w:rsidR="00DF410E" w:rsidRDefault="00CE7F43">
      <w:pPr>
        <w:jc w:val="both"/>
      </w:pPr>
      <w:r>
        <w:t>Caractéristiques du bois :</w:t>
      </w:r>
    </w:p>
    <w:p w14:paraId="31B3FEDA" w14:textId="77777777" w:rsidR="00DF410E" w:rsidRDefault="00CE7F43">
      <w:pPr>
        <w:pStyle w:val="Author-eListParagraph"/>
        <w:numPr>
          <w:ilvl w:val="0"/>
          <w:numId w:val="1014"/>
        </w:numPr>
      </w:pPr>
      <w:r>
        <w:t>Valeur antidérapante suivant la [NBN EN 16165 ] :</w:t>
      </w:r>
      <w:r>
        <w:rPr>
          <w:rStyle w:val="optioncarChar"/>
        </w:rPr>
        <w:t> R9 / R10 / R11</w:t>
      </w:r>
      <w:r>
        <w:t> (par défaut)</w:t>
      </w:r>
    </w:p>
    <w:p w14:paraId="6144C171" w14:textId="77777777" w:rsidR="00DF410E" w:rsidRDefault="00CE7F43">
      <w:pPr>
        <w:pStyle w:val="Author-eListParagraph"/>
        <w:numPr>
          <w:ilvl w:val="0"/>
          <w:numId w:val="1014"/>
        </w:numPr>
      </w:pPr>
      <w:r>
        <w:t>Gamme de produit : </w:t>
      </w:r>
      <w:r>
        <w:rPr>
          <w:rStyle w:val="optioncarChar"/>
        </w:rPr>
        <w:t>bois massif </w:t>
      </w:r>
      <w:r>
        <w:t>(par défaut) </w:t>
      </w:r>
      <w:r>
        <w:rPr>
          <w:rStyle w:val="optioncarChar"/>
        </w:rPr>
        <w:t>/ panneaux de contreplaqué / panneaux OSB / LVL</w:t>
      </w:r>
    </w:p>
    <w:p w14:paraId="25BDFA7F" w14:textId="77777777" w:rsidR="00DF410E" w:rsidRDefault="00CE7F43">
      <w:pPr>
        <w:ind w:left="567"/>
        <w:jc w:val="both"/>
      </w:pPr>
      <w:r>
        <w:rPr>
          <w:b/>
        </w:rPr>
        <w:t>(soit par défaut)</w:t>
      </w:r>
    </w:p>
    <w:p w14:paraId="043FA9F0" w14:textId="77777777" w:rsidR="00DF410E" w:rsidRDefault="00CE7F43">
      <w:pPr>
        <w:ind w:left="567"/>
        <w:jc w:val="both"/>
      </w:pPr>
      <w:r>
        <w:rPr>
          <w:rStyle w:val="soitChar"/>
          <w:u w:val="single"/>
        </w:rPr>
        <w:t>Bois massif :</w:t>
      </w:r>
    </w:p>
    <w:p w14:paraId="196720D3" w14:textId="77777777" w:rsidR="00DF410E" w:rsidRDefault="00CE7F43">
      <w:pPr>
        <w:pStyle w:val="Author-eListParagraph"/>
        <w:numPr>
          <w:ilvl w:val="1"/>
          <w:numId w:val="1015"/>
        </w:numPr>
      </w:pPr>
      <w:r>
        <w:rPr>
          <w:rStyle w:val="soitChar"/>
        </w:rPr>
        <w:t>Classe de durabilité, suivant la [NBN EN 460] :</w:t>
      </w:r>
      <w:r>
        <w:t> </w:t>
      </w:r>
      <w:r>
        <w:rPr>
          <w:rStyle w:val="optioncarChar"/>
        </w:rPr>
        <w:t>1 / 2</w:t>
      </w:r>
      <w:r>
        <w:t> (par défaut) </w:t>
      </w:r>
      <w:r>
        <w:rPr>
          <w:rStyle w:val="optioncarChar"/>
        </w:rPr>
        <w:t>/ 3 / 4 / 5 / choix de l’essence de bois directement (voir le point suivant)</w:t>
      </w:r>
    </w:p>
    <w:p w14:paraId="246300D1" w14:textId="77777777" w:rsidR="00DF410E" w:rsidRDefault="00CE7F43">
      <w:pPr>
        <w:pStyle w:val="Author-eListParagraph"/>
        <w:numPr>
          <w:ilvl w:val="1"/>
          <w:numId w:val="1015"/>
        </w:numPr>
      </w:pPr>
      <w:r>
        <w:rPr>
          <w:rStyle w:val="soitChar"/>
        </w:rPr>
        <w:t>Essence de bois : </w:t>
      </w:r>
      <w:r>
        <w:rPr>
          <w:rStyle w:val="optioncarChar"/>
        </w:rPr>
        <w:t>au choix de l’entrepreneur, en fonction de la durabilité ci-dessus, à soumettre à l’approbation de l’architecte et du maître de l’ouvrage </w:t>
      </w:r>
      <w:r>
        <w:t>(par défaut)</w:t>
      </w:r>
      <w:r>
        <w:rPr>
          <w:rStyle w:val="optioncarChar"/>
        </w:rPr>
        <w:t> / afzélia doussé / dark red meranti / merbeau / western red cedar / chêne / ipe / itauba / hêtre / frêne / mélèze / ***</w:t>
      </w:r>
    </w:p>
    <w:p w14:paraId="05231451" w14:textId="77777777" w:rsidR="00DF410E" w:rsidRDefault="00CE7F43">
      <w:pPr>
        <w:pStyle w:val="Author-eListParagraph"/>
        <w:numPr>
          <w:ilvl w:val="1"/>
          <w:numId w:val="1015"/>
        </w:numPr>
      </w:pPr>
      <w:r>
        <w:rPr>
          <w:rStyle w:val="soitChar"/>
        </w:rPr>
        <w:t>Epaisseur du platelage : </w:t>
      </w:r>
      <w:r>
        <w:rPr>
          <w:rStyle w:val="optioncarChar"/>
        </w:rPr>
        <w:t>22 </w:t>
      </w:r>
      <w:r>
        <w:t>(par défaut)</w:t>
      </w:r>
      <w:r>
        <w:rPr>
          <w:rStyle w:val="optioncarChar"/>
        </w:rPr>
        <w:t> / 30 / 35</w:t>
      </w:r>
      <w:r>
        <w:rPr>
          <w:rStyle w:val="soitChar"/>
        </w:rPr>
        <w:t> mm</w:t>
      </w:r>
    </w:p>
    <w:p w14:paraId="2DCF185B" w14:textId="77777777" w:rsidR="00DF410E" w:rsidRDefault="00CE7F43">
      <w:pPr>
        <w:pStyle w:val="Author-eListParagraph"/>
        <w:numPr>
          <w:ilvl w:val="1"/>
          <w:numId w:val="1015"/>
        </w:numPr>
      </w:pPr>
      <w:r>
        <w:rPr>
          <w:rStyle w:val="soitChar"/>
        </w:rPr>
        <w:t>Finition de la face vue :</w:t>
      </w:r>
      <w:r>
        <w:t> </w:t>
      </w:r>
      <w:r>
        <w:rPr>
          <w:rStyle w:val="optioncarChar"/>
        </w:rPr>
        <w:t>antidérapante (PMR) </w:t>
      </w:r>
      <w:r>
        <w:t>(par défaut)</w:t>
      </w:r>
      <w:r>
        <w:rPr>
          <w:rStyle w:val="optioncarChar"/>
        </w:rPr>
        <w:t> / poncée / rabotée</w:t>
      </w:r>
    </w:p>
    <w:p w14:paraId="7CE625FC" w14:textId="77777777" w:rsidR="00DF410E" w:rsidRDefault="00CE7F43">
      <w:pPr>
        <w:pStyle w:val="Author-eListParagraph"/>
        <w:numPr>
          <w:ilvl w:val="1"/>
          <w:numId w:val="1015"/>
        </w:numPr>
      </w:pPr>
      <w:r>
        <w:rPr>
          <w:rStyle w:val="soitChar"/>
        </w:rPr>
        <w:t>Pour l’antidérapant :</w:t>
      </w:r>
    </w:p>
    <w:p w14:paraId="244C26F7" w14:textId="77777777" w:rsidR="00DF410E" w:rsidRDefault="00CE7F43">
      <w:pPr>
        <w:pStyle w:val="Author-eListParagraph"/>
        <w:numPr>
          <w:ilvl w:val="2"/>
          <w:numId w:val="1016"/>
        </w:numPr>
      </w:pPr>
      <w:r>
        <w:rPr>
          <w:rStyle w:val="soitChar"/>
        </w:rPr>
        <w:t>Type d’antidérapant : </w:t>
      </w:r>
      <w:r>
        <w:rPr>
          <w:rStyle w:val="optioncarChar"/>
        </w:rPr>
        <w:t>ciselages (stries) antidérapants</w:t>
      </w:r>
      <w:r>
        <w:t> (par défaut)</w:t>
      </w:r>
      <w:r>
        <w:rPr>
          <w:rStyle w:val="optioncarChar"/>
        </w:rPr>
        <w:t> / bandes antidérapantes collées / bandes antidérapantes embrevées</w:t>
      </w:r>
    </w:p>
    <w:p w14:paraId="187F934C" w14:textId="77777777" w:rsidR="00DF410E" w:rsidRDefault="00CE7F43">
      <w:pPr>
        <w:pStyle w:val="Author-eListParagraph"/>
        <w:numPr>
          <w:ilvl w:val="2"/>
          <w:numId w:val="1016"/>
        </w:numPr>
      </w:pPr>
      <w:r>
        <w:rPr>
          <w:rStyle w:val="soitChar"/>
        </w:rPr>
        <w:t>Matériau antidérapant : </w:t>
      </w:r>
      <w:r>
        <w:rPr>
          <w:rStyle w:val="optioncarChar"/>
        </w:rPr>
        <w:t>pas d’application (ciselages) </w:t>
      </w:r>
      <w:r>
        <w:t>(par défaut)</w:t>
      </w:r>
      <w:r>
        <w:rPr>
          <w:rStyle w:val="optioncarChar"/>
        </w:rPr>
        <w:t> / carborundum / caoutchouc / PVC</w:t>
      </w:r>
    </w:p>
    <w:p w14:paraId="71427B9C" w14:textId="77777777" w:rsidR="00DF410E" w:rsidRDefault="00CE7F43">
      <w:pPr>
        <w:ind w:left="567"/>
        <w:jc w:val="both"/>
      </w:pPr>
      <w:r>
        <w:rPr>
          <w:b/>
        </w:rPr>
        <w:t>(soit)</w:t>
      </w:r>
    </w:p>
    <w:p w14:paraId="1E8D07EF" w14:textId="77777777" w:rsidR="00DF410E" w:rsidRDefault="00CE7F43">
      <w:pPr>
        <w:ind w:left="567"/>
        <w:jc w:val="both"/>
      </w:pPr>
      <w:r>
        <w:rPr>
          <w:rStyle w:val="soitChar"/>
          <w:u w:val="single"/>
        </w:rPr>
        <w:t>Panneaux de contreplaqué :</w:t>
      </w:r>
    </w:p>
    <w:p w14:paraId="237623D5" w14:textId="77777777" w:rsidR="00DF410E" w:rsidRDefault="00CE7F43">
      <w:pPr>
        <w:pStyle w:val="Author-eListParagraph"/>
        <w:numPr>
          <w:ilvl w:val="1"/>
          <w:numId w:val="1017"/>
        </w:numPr>
        <w:jc w:val="both"/>
      </w:pPr>
      <w:r>
        <w:rPr>
          <w:rStyle w:val="soitChar"/>
        </w:rPr>
        <w:t>Classe de collage, selon la [NBN EN 314-2] : </w:t>
      </w:r>
      <w:r>
        <w:rPr>
          <w:rStyle w:val="optioncarChar"/>
        </w:rPr>
        <w:t>1 (int.) / 2 (ext. à l’abri) / 3 (ext.)</w:t>
      </w:r>
      <w:r>
        <w:t> (par défaut)</w:t>
      </w:r>
    </w:p>
    <w:p w14:paraId="06496B37" w14:textId="77777777" w:rsidR="00DF410E" w:rsidRDefault="00CE7F43">
      <w:pPr>
        <w:pStyle w:val="Author-eListParagraph"/>
        <w:numPr>
          <w:ilvl w:val="1"/>
          <w:numId w:val="1017"/>
        </w:numPr>
        <w:jc w:val="both"/>
      </w:pPr>
      <w:r>
        <w:rPr>
          <w:rStyle w:val="soitChar"/>
        </w:rPr>
        <w:t xml:space="preserve">Classe d’émission de formaldéhyde, selon la [NBN EN ISO 12460-5] : </w:t>
      </w:r>
      <w:r>
        <w:rPr>
          <w:rStyle w:val="optioncarChar"/>
        </w:rPr>
        <w:t xml:space="preserve">E1 </w:t>
      </w:r>
      <w:r>
        <w:t>(par défaut)</w:t>
      </w:r>
      <w:r>
        <w:rPr>
          <w:rStyle w:val="optioncarChar"/>
        </w:rPr>
        <w:t xml:space="preserve"> / E2</w:t>
      </w:r>
    </w:p>
    <w:p w14:paraId="49A2BF5F" w14:textId="77777777" w:rsidR="00DF410E" w:rsidRDefault="00CE7F43">
      <w:pPr>
        <w:pStyle w:val="Author-eListParagraph"/>
        <w:numPr>
          <w:ilvl w:val="1"/>
          <w:numId w:val="1017"/>
        </w:numPr>
        <w:jc w:val="both"/>
      </w:pPr>
      <w:r>
        <w:rPr>
          <w:rStyle w:val="soitChar"/>
        </w:rPr>
        <w:t>Essence : </w:t>
      </w:r>
      <w:r>
        <w:rPr>
          <w:rStyle w:val="optioncarChar"/>
        </w:rPr>
        <w:t>au choix de l’entrepreneur, à soumettre à l’approbation de l’architecte et du maître de l’ouvrage</w:t>
      </w:r>
      <w:r>
        <w:t> (par défaut) </w:t>
      </w:r>
      <w:r>
        <w:rPr>
          <w:rStyle w:val="optioncarChar"/>
        </w:rPr>
        <w:t>/ okoumé / okoumé nautique / oregon / western red cedar / dark red meranti / bouleau / ***</w:t>
      </w:r>
    </w:p>
    <w:p w14:paraId="039487AB" w14:textId="77777777" w:rsidR="00DF410E" w:rsidRDefault="00CE7F43">
      <w:pPr>
        <w:pStyle w:val="Author-eListParagraph"/>
        <w:numPr>
          <w:ilvl w:val="1"/>
          <w:numId w:val="1017"/>
        </w:numPr>
        <w:jc w:val="both"/>
      </w:pPr>
      <w:r>
        <w:rPr>
          <w:rStyle w:val="soitChar"/>
        </w:rPr>
        <w:t>Epaisseur des panneaux : </w:t>
      </w:r>
      <w:r>
        <w:rPr>
          <w:rStyle w:val="optioncarChar"/>
        </w:rPr>
        <w:t>18 / 20 / 22</w:t>
      </w:r>
      <w:r>
        <w:t> (par défaut) </w:t>
      </w:r>
      <w:r>
        <w:rPr>
          <w:rStyle w:val="optioncarChar"/>
        </w:rPr>
        <w:t>/ 25 / 30</w:t>
      </w:r>
      <w:r>
        <w:rPr>
          <w:rStyle w:val="soitChar"/>
        </w:rPr>
        <w:t> mm</w:t>
      </w:r>
    </w:p>
    <w:p w14:paraId="74254AAA" w14:textId="77777777" w:rsidR="00DF410E" w:rsidRDefault="00CE7F43">
      <w:pPr>
        <w:pStyle w:val="Author-eListParagraph"/>
        <w:numPr>
          <w:ilvl w:val="1"/>
          <w:numId w:val="1017"/>
        </w:numPr>
        <w:jc w:val="both"/>
      </w:pPr>
      <w:r>
        <w:rPr>
          <w:rStyle w:val="soitChar"/>
        </w:rPr>
        <w:t>Finition de la face vue : </w:t>
      </w:r>
      <w:r>
        <w:rPr>
          <w:rStyle w:val="optioncarChar"/>
        </w:rPr>
        <w:t>antidérapante (PMR)</w:t>
      </w:r>
      <w:r>
        <w:t> (par défaut)</w:t>
      </w:r>
      <w:r>
        <w:rPr>
          <w:rStyle w:val="optioncarChar"/>
        </w:rPr>
        <w:t> / poncée / non poncée</w:t>
      </w:r>
    </w:p>
    <w:p w14:paraId="55AE47A7" w14:textId="77777777" w:rsidR="00DF410E" w:rsidRDefault="00CE7F43">
      <w:pPr>
        <w:ind w:left="567"/>
        <w:jc w:val="both"/>
      </w:pPr>
      <w:r>
        <w:rPr>
          <w:b/>
        </w:rPr>
        <w:t>(soit)</w:t>
      </w:r>
    </w:p>
    <w:p w14:paraId="19FFC117" w14:textId="77777777" w:rsidR="00DF410E" w:rsidRDefault="00CE7F43">
      <w:pPr>
        <w:ind w:left="567"/>
        <w:jc w:val="both"/>
      </w:pPr>
      <w:r>
        <w:rPr>
          <w:rStyle w:val="soitChar"/>
          <w:u w:val="single"/>
        </w:rPr>
        <w:t>Panneaux OSB :</w:t>
      </w:r>
    </w:p>
    <w:p w14:paraId="039F46A8" w14:textId="77777777" w:rsidR="00DF410E" w:rsidRDefault="00CE7F43">
      <w:pPr>
        <w:ind w:left="567"/>
        <w:jc w:val="both"/>
      </w:pPr>
      <w:r>
        <w:rPr>
          <w:rStyle w:val="soitChar"/>
        </w:rPr>
        <w:t>Les panneaux OSB sont exclus à l'extérieur (classe d'emploi 3 exclue)</w:t>
      </w:r>
    </w:p>
    <w:p w14:paraId="10665075" w14:textId="77777777" w:rsidR="00DF410E" w:rsidRDefault="00CE7F43">
      <w:pPr>
        <w:pStyle w:val="Author-eListParagraph"/>
        <w:numPr>
          <w:ilvl w:val="1"/>
          <w:numId w:val="1018"/>
        </w:numPr>
        <w:jc w:val="both"/>
      </w:pPr>
      <w:r>
        <w:rPr>
          <w:rStyle w:val="soitChar"/>
        </w:rPr>
        <w:t>Type de panneau OSB, selon la [NBN EN 300] : </w:t>
      </w:r>
      <w:r>
        <w:rPr>
          <w:rStyle w:val="optioncarChar"/>
        </w:rPr>
        <w:t>2 / 3</w:t>
      </w:r>
      <w:r>
        <w:t> (par défaut)</w:t>
      </w:r>
      <w:r>
        <w:rPr>
          <w:rStyle w:val="optioncarChar"/>
        </w:rPr>
        <w:t> / 4</w:t>
      </w:r>
    </w:p>
    <w:p w14:paraId="40295F89" w14:textId="77777777" w:rsidR="00DF410E" w:rsidRDefault="00CE7F43">
      <w:pPr>
        <w:pStyle w:val="Author-eListParagraph"/>
        <w:numPr>
          <w:ilvl w:val="1"/>
          <w:numId w:val="1018"/>
        </w:numPr>
        <w:jc w:val="both"/>
      </w:pPr>
      <w:r>
        <w:rPr>
          <w:rStyle w:val="soitChar"/>
        </w:rPr>
        <w:t>Classe d’émission de formaldéhyde, selon la [NBN EN ISO 12460-5] : </w:t>
      </w:r>
      <w:r>
        <w:rPr>
          <w:rStyle w:val="optioncarChar"/>
        </w:rPr>
        <w:t>E1 </w:t>
      </w:r>
      <w:r>
        <w:t>(par défaut) </w:t>
      </w:r>
      <w:r>
        <w:rPr>
          <w:rStyle w:val="optioncarChar"/>
        </w:rPr>
        <w:t>/ E2</w:t>
      </w:r>
    </w:p>
    <w:p w14:paraId="0E42EC1B" w14:textId="77777777" w:rsidR="00DF410E" w:rsidRDefault="00CE7F43">
      <w:pPr>
        <w:pStyle w:val="Author-eListParagraph"/>
        <w:numPr>
          <w:ilvl w:val="1"/>
          <w:numId w:val="1018"/>
        </w:numPr>
        <w:jc w:val="both"/>
      </w:pPr>
      <w:r>
        <w:rPr>
          <w:rStyle w:val="soitChar"/>
        </w:rPr>
        <w:t>Epaisseur des panneaux : </w:t>
      </w:r>
      <w:r>
        <w:rPr>
          <w:rStyle w:val="optioncarChar"/>
        </w:rPr>
        <w:t>18 / 22</w:t>
      </w:r>
      <w:r>
        <w:t> (par défaut) </w:t>
      </w:r>
      <w:r>
        <w:rPr>
          <w:rStyle w:val="soitChar"/>
        </w:rPr>
        <w:t>mm</w:t>
      </w:r>
    </w:p>
    <w:p w14:paraId="38687969" w14:textId="77777777" w:rsidR="00DF410E" w:rsidRDefault="00CE7F43">
      <w:pPr>
        <w:pStyle w:val="Author-eListParagraph"/>
        <w:numPr>
          <w:ilvl w:val="1"/>
          <w:numId w:val="1018"/>
        </w:numPr>
        <w:jc w:val="both"/>
      </w:pPr>
      <w:r>
        <w:rPr>
          <w:rStyle w:val="soitChar"/>
        </w:rPr>
        <w:t>Finition de la face vue :</w:t>
      </w:r>
      <w:r>
        <w:t> </w:t>
      </w:r>
      <w:r>
        <w:rPr>
          <w:rStyle w:val="optioncarChar"/>
        </w:rPr>
        <w:t> poncée </w:t>
      </w:r>
      <w:r>
        <w:t>(par défaut) </w:t>
      </w:r>
      <w:r>
        <w:rPr>
          <w:rStyle w:val="optioncarChar"/>
        </w:rPr>
        <w:t>/ non poncée</w:t>
      </w:r>
    </w:p>
    <w:p w14:paraId="1B06946D" w14:textId="77777777" w:rsidR="00DF410E" w:rsidRDefault="00CE7F43">
      <w:pPr>
        <w:ind w:left="567"/>
        <w:jc w:val="both"/>
      </w:pPr>
      <w:r>
        <w:rPr>
          <w:b/>
        </w:rPr>
        <w:t>(soit)</w:t>
      </w:r>
    </w:p>
    <w:p w14:paraId="6678E6EC" w14:textId="77777777" w:rsidR="00DF410E" w:rsidRDefault="00CE7F43">
      <w:pPr>
        <w:ind w:left="567"/>
        <w:jc w:val="both"/>
      </w:pPr>
      <w:r>
        <w:rPr>
          <w:rStyle w:val="soitChar"/>
          <w:u w:val="single"/>
        </w:rPr>
        <w:t>LVL :</w:t>
      </w:r>
    </w:p>
    <w:p w14:paraId="473FD6F5" w14:textId="77777777" w:rsidR="00DF410E" w:rsidRDefault="00CE7F43">
      <w:pPr>
        <w:pStyle w:val="Author-eListParagraph"/>
        <w:numPr>
          <w:ilvl w:val="1"/>
          <w:numId w:val="1019"/>
        </w:numPr>
        <w:jc w:val="both"/>
      </w:pPr>
      <w:r>
        <w:rPr>
          <w:rStyle w:val="soitChar"/>
        </w:rPr>
        <w:t>Classe de collage, selon la [NBN EN 314-2] : </w:t>
      </w:r>
      <w:r>
        <w:rPr>
          <w:rStyle w:val="optioncarChar"/>
        </w:rPr>
        <w:t>1 (int.) / 2 (ext. à l’abri) </w:t>
      </w:r>
      <w:r>
        <w:t>(par défaut) </w:t>
      </w:r>
      <w:r>
        <w:rPr>
          <w:rStyle w:val="optioncarChar"/>
        </w:rPr>
        <w:t>/ 3 (ext.)</w:t>
      </w:r>
    </w:p>
    <w:p w14:paraId="77264C11" w14:textId="77777777" w:rsidR="00DF410E" w:rsidRDefault="00CE7F43">
      <w:pPr>
        <w:pStyle w:val="Author-eListParagraph"/>
        <w:numPr>
          <w:ilvl w:val="1"/>
          <w:numId w:val="1019"/>
        </w:numPr>
        <w:jc w:val="both"/>
      </w:pPr>
      <w:r>
        <w:rPr>
          <w:rStyle w:val="soitChar"/>
        </w:rPr>
        <w:t>Classe d’émission de formaldéhyde, selon la [NBN EN ISO 12460-5] : </w:t>
      </w:r>
      <w:r>
        <w:rPr>
          <w:rStyle w:val="optioncarChar"/>
        </w:rPr>
        <w:t>E1</w:t>
      </w:r>
      <w:r>
        <w:t> (par défaut) </w:t>
      </w:r>
      <w:r>
        <w:rPr>
          <w:rStyle w:val="optioncarChar"/>
        </w:rPr>
        <w:t>/ E2</w:t>
      </w:r>
    </w:p>
    <w:p w14:paraId="13412AEE" w14:textId="77777777" w:rsidR="00DF410E" w:rsidRDefault="00CE7F43">
      <w:pPr>
        <w:pStyle w:val="Author-eListParagraph"/>
        <w:numPr>
          <w:ilvl w:val="1"/>
          <w:numId w:val="1019"/>
        </w:numPr>
        <w:jc w:val="both"/>
      </w:pPr>
      <w:r>
        <w:rPr>
          <w:rStyle w:val="soitChar"/>
        </w:rPr>
        <w:t>Essence de bois : </w:t>
      </w:r>
      <w:r>
        <w:rPr>
          <w:rStyle w:val="optioncarChar"/>
        </w:rPr>
        <w:t>au choix de l’entrepreneur, à soumettre à l’approbation de l’architecte et du maître de l’ouvrage </w:t>
      </w:r>
      <w:r>
        <w:t>(par défaut)</w:t>
      </w:r>
      <w:r>
        <w:rPr>
          <w:rStyle w:val="optioncarChar"/>
        </w:rPr>
        <w:t> / sapin / épicéa / pin sylvestre (sapin rouge du Nord - SRN) / mélèze / douglas / pin d’Oregon / chêne / hêtre / châtaignier / ***</w:t>
      </w:r>
    </w:p>
    <w:p w14:paraId="46189E97" w14:textId="77777777" w:rsidR="00DF410E" w:rsidRDefault="00CE7F43">
      <w:pPr>
        <w:pStyle w:val="Author-eListParagraph"/>
        <w:numPr>
          <w:ilvl w:val="1"/>
          <w:numId w:val="1019"/>
        </w:numPr>
        <w:jc w:val="both"/>
      </w:pPr>
      <w:r>
        <w:rPr>
          <w:rStyle w:val="soitChar"/>
        </w:rPr>
        <w:t>Epaisseur des panneaux : </w:t>
      </w:r>
      <w:r>
        <w:rPr>
          <w:rStyle w:val="optioncarChar"/>
        </w:rPr>
        <w:t>27</w:t>
      </w:r>
      <w:r>
        <w:t> (par défaut)</w:t>
      </w:r>
      <w:r>
        <w:rPr>
          <w:rStyle w:val="optioncarChar"/>
        </w:rPr>
        <w:t> / 32 / 37 / 42 / 47 / 52</w:t>
      </w:r>
      <w:r>
        <w:rPr>
          <w:rStyle w:val="soitChar"/>
        </w:rPr>
        <w:t> mm</w:t>
      </w:r>
    </w:p>
    <w:p w14:paraId="3988CE30" w14:textId="77777777" w:rsidR="00DF410E" w:rsidRDefault="00DF410E"/>
    <w:p w14:paraId="505ADE47" w14:textId="77777777" w:rsidR="00DF410E" w:rsidRDefault="00CE7F43">
      <w:pPr>
        <w:pStyle w:val="Author-eListParagraph"/>
        <w:numPr>
          <w:ilvl w:val="0"/>
          <w:numId w:val="1020"/>
        </w:numPr>
      </w:pPr>
      <w:r>
        <w:t>Jointures : </w:t>
      </w:r>
      <w:r>
        <w:rPr>
          <w:rStyle w:val="optioncarChar"/>
        </w:rPr>
        <w:t>ajourées</w:t>
      </w:r>
      <w:r>
        <w:t> (par défaut) </w:t>
      </w:r>
      <w:r>
        <w:rPr>
          <w:rStyle w:val="optioncarChar"/>
        </w:rPr>
        <w:t>/ fermées</w:t>
      </w:r>
    </w:p>
    <w:p w14:paraId="490E37A3" w14:textId="77777777" w:rsidR="00DF410E" w:rsidRDefault="00CE7F43">
      <w:pPr>
        <w:pStyle w:val="Author-eListParagraph"/>
        <w:numPr>
          <w:ilvl w:val="0"/>
          <w:numId w:val="1020"/>
        </w:numPr>
      </w:pPr>
      <w:r>
        <w:t>Finition des bords : </w:t>
      </w:r>
      <w:r>
        <w:rPr>
          <w:rStyle w:val="optioncarChar"/>
        </w:rPr>
        <w:t>droits / adoucis / chanfreinés</w:t>
      </w:r>
      <w:r>
        <w:t> (par défaut) </w:t>
      </w:r>
      <w:r>
        <w:rPr>
          <w:rStyle w:val="optioncarChar"/>
        </w:rPr>
        <w:t>/ à rainures et languettes des deux côtés longitudinaux / à rainures et languettes sur les quatre côtés / à mi-bois sur les quatre côtés</w:t>
      </w:r>
    </w:p>
    <w:p w14:paraId="41794CFE" w14:textId="77777777" w:rsidR="00DF410E" w:rsidRDefault="00DF410E"/>
    <w:p w14:paraId="658B91E0" w14:textId="77777777" w:rsidR="00DF410E" w:rsidRDefault="00CE7F43">
      <w:r>
        <w:t> </w:t>
      </w:r>
    </w:p>
    <w:p w14:paraId="366823E7" w14:textId="77777777" w:rsidR="00DF410E" w:rsidRDefault="00CE7F43">
      <w:pPr>
        <w:pStyle w:val="pheading"/>
      </w:pPr>
      <w:r>
        <w:t>- Finitions</w:t>
      </w:r>
    </w:p>
    <w:p w14:paraId="5436337A" w14:textId="77777777" w:rsidR="00DF410E" w:rsidRDefault="00CE7F43">
      <w:pPr>
        <w:jc w:val="both"/>
      </w:pPr>
      <w:r>
        <w:rPr>
          <w:b/>
        </w:rPr>
        <w:t>Traitement de finition du bois</w:t>
      </w:r>
    </w:p>
    <w:p w14:paraId="3E61B200" w14:textId="77777777" w:rsidR="00DF410E" w:rsidRDefault="00CE7F43">
      <w:pPr>
        <w:jc w:val="both"/>
      </w:pPr>
      <w:r>
        <w:t>Finition des parties visibles du bois : </w:t>
      </w:r>
      <w:r>
        <w:rPr>
          <w:rStyle w:val="optioncarChar"/>
        </w:rPr>
        <w:t>pas de finition</w:t>
      </w:r>
      <w:r>
        <w:t> (par défaut) </w:t>
      </w:r>
      <w:r>
        <w:rPr>
          <w:rStyle w:val="optioncarChar"/>
        </w:rPr>
        <w:t>/ application d’une finition</w:t>
      </w:r>
    </w:p>
    <w:p w14:paraId="44F68C4E" w14:textId="77777777" w:rsidR="00DF410E" w:rsidRDefault="00CE7F43">
      <w:pPr>
        <w:jc w:val="both"/>
      </w:pPr>
      <w:r>
        <w:rPr>
          <w:u w:val="single"/>
        </w:rPr>
        <w:t>Dans le cas de l’application d’une finition sur le bois prévue dans le présent travail :</w:t>
      </w:r>
    </w:p>
    <w:p w14:paraId="4171722A" w14:textId="77777777" w:rsidR="00DF410E" w:rsidRDefault="00CE7F43">
      <w:pPr>
        <w:pStyle w:val="Author-eListParagraph"/>
        <w:numPr>
          <w:ilvl w:val="0"/>
          <w:numId w:val="1021"/>
        </w:numPr>
      </w:pPr>
      <w:r>
        <w:t>Type de traitement : </w:t>
      </w:r>
      <w:r>
        <w:rPr>
          <w:rStyle w:val="optioncarChar"/>
        </w:rPr>
        <w:t>lasure </w:t>
      </w:r>
      <w:r>
        <w:t>(par défaut)</w:t>
      </w:r>
      <w:r>
        <w:rPr>
          <w:rStyle w:val="optioncarChar"/>
        </w:rPr>
        <w:t> / verni / peinture / huile / céruse / anti UV</w:t>
      </w:r>
    </w:p>
    <w:p w14:paraId="38358954" w14:textId="77777777" w:rsidR="00DF410E" w:rsidRDefault="00CE7F43">
      <w:pPr>
        <w:pStyle w:val="Author-eListParagraph"/>
        <w:numPr>
          <w:ilvl w:val="0"/>
          <w:numId w:val="1021"/>
        </w:numPr>
      </w:pPr>
      <w:r>
        <w:t>Teinte : </w:t>
      </w:r>
      <w:r>
        <w:rPr>
          <w:rStyle w:val="optioncarChar"/>
        </w:rPr>
        <w:t>transparent </w:t>
      </w:r>
      <w:r>
        <w:t>(par défaut) </w:t>
      </w:r>
      <w:r>
        <w:rPr>
          <w:rStyle w:val="optioncarChar"/>
        </w:rPr>
        <w:t>/ pigmenté blanchâtre / blanc / RAL : ***</w:t>
      </w:r>
    </w:p>
    <w:p w14:paraId="78E22DB5" w14:textId="77777777" w:rsidR="00DF410E" w:rsidRDefault="00CE7F43">
      <w:pPr>
        <w:jc w:val="both"/>
      </w:pPr>
      <w:r>
        <w:rPr>
          <w:b/>
        </w:rPr>
        <w:t>Résistance au feu</w:t>
      </w:r>
    </w:p>
    <w:p w14:paraId="180082ED" w14:textId="77777777" w:rsidR="00DF410E" w:rsidRDefault="00CE7F43">
      <w:pPr>
        <w:jc w:val="both"/>
      </w:pPr>
      <w:r>
        <w:t>Le plancher présente une résistance au feu, selon la [NBN EN 13501-2] : </w:t>
      </w:r>
      <w:r>
        <w:rPr>
          <w:rStyle w:val="optioncarChar"/>
        </w:rPr>
        <w:t>pas d’application / REI30 </w:t>
      </w:r>
      <w:r>
        <w:t>(par défaut) </w:t>
      </w:r>
      <w:r>
        <w:rPr>
          <w:rStyle w:val="optioncarChar"/>
        </w:rPr>
        <w:t>/ REI60 / REI 90 / REI 120</w:t>
      </w:r>
    </w:p>
    <w:p w14:paraId="66AB6F79" w14:textId="77777777" w:rsidR="00DF410E" w:rsidRDefault="00CE7F43">
      <w:pPr>
        <w:jc w:val="both"/>
      </w:pPr>
      <w:r>
        <w:t>En cas de résistance au feu obligatoire, celle-ci est atteinte : </w:t>
      </w:r>
      <w:r>
        <w:rPr>
          <w:rStyle w:val="optioncarChar"/>
        </w:rPr>
        <w:t>sans traitement particulier</w:t>
      </w:r>
      <w:r>
        <w:t> (par défaut)</w:t>
      </w:r>
      <w:r>
        <w:rPr>
          <w:rStyle w:val="optioncarChar"/>
        </w:rPr>
        <w:t> / par traitement ignifuge (compris dans le travail)</w:t>
      </w:r>
      <w:r>
        <w:t> du bois.</w:t>
      </w:r>
    </w:p>
    <w:p w14:paraId="59E069B2" w14:textId="77777777" w:rsidR="00DF410E" w:rsidRDefault="00CE7F43">
      <w:pPr>
        <w:pStyle w:val="pheading"/>
      </w:pPr>
      <w:r>
        <w:t>EXÉCUTION / MISE EN ŒUVRE</w:t>
      </w:r>
    </w:p>
    <w:p w14:paraId="1143AB5B" w14:textId="77777777" w:rsidR="00DF410E" w:rsidRDefault="00CE7F43">
      <w:pPr>
        <w:pStyle w:val="pheading"/>
      </w:pPr>
      <w:r>
        <w:t>- Prescriptions générales</w:t>
      </w:r>
    </w:p>
    <w:p w14:paraId="6C1185CB" w14:textId="77777777" w:rsidR="00DF410E" w:rsidRDefault="00CE7F43">
      <w:pPr>
        <w:jc w:val="both"/>
      </w:pPr>
      <w:r>
        <w:t>Les passerelles sont posées avec une légère pente, vers les extrémités opposées aux murs, pour assurer l’évacuation des eaux.</w:t>
      </w:r>
    </w:p>
    <w:p w14:paraId="77469E60" w14:textId="77777777" w:rsidR="00DF410E" w:rsidRDefault="00CE7F43">
      <w:pPr>
        <w:jc w:val="both"/>
      </w:pPr>
      <w:r>
        <w:t>Pente : ≥ </w:t>
      </w:r>
      <w:r>
        <w:rPr>
          <w:rStyle w:val="optioncarChar"/>
        </w:rPr>
        <w:t>pas de pente / 1%</w:t>
      </w:r>
      <w:r>
        <w:t> (par défaut)</w:t>
      </w:r>
      <w:r>
        <w:rPr>
          <w:rStyle w:val="optioncarChar"/>
        </w:rPr>
        <w:t> / 1,5% / 2%</w:t>
      </w:r>
    </w:p>
    <w:p w14:paraId="6B36BCC9" w14:textId="77777777" w:rsidR="00DF410E" w:rsidRDefault="00CE7F43">
      <w:pPr>
        <w:jc w:val="both"/>
      </w:pPr>
      <w:r>
        <w:t>L'étude et les plans d'exécution sont réalisés sur base : </w:t>
      </w:r>
      <w:r>
        <w:rPr>
          <w:rStyle w:val="optioncarChar"/>
        </w:rPr>
        <w:t>des études et dessins de détail annexés au dossier de soumission </w:t>
      </w:r>
      <w:r>
        <w:t>(par défaut)</w:t>
      </w:r>
      <w:r>
        <w:rPr>
          <w:rStyle w:val="optioncarChar"/>
        </w:rPr>
        <w:t> / à charge de l’entreprise. </w:t>
      </w:r>
    </w:p>
    <w:p w14:paraId="2DF56B39" w14:textId="77777777" w:rsidR="00DF410E" w:rsidRDefault="00CE7F43">
      <w:pPr>
        <w:jc w:val="both"/>
      </w:pPr>
      <w:r>
        <w:rPr>
          <w:b/>
        </w:rPr>
        <w:t>Etudes et dessins de détail annexés au dossier de soumission </w:t>
      </w:r>
    </w:p>
    <w:p w14:paraId="3B1F3B74" w14:textId="77777777" w:rsidR="00DF410E" w:rsidRDefault="00CE7F43">
      <w:pPr>
        <w:jc w:val="both"/>
      </w:pPr>
      <w:r>
        <w:t>Les dessins d’exécution sont réalisés selon l’étude des plans et des détails de l'auteur de projet annexés au dossier de soumission. </w:t>
      </w:r>
    </w:p>
    <w:p w14:paraId="3838B180" w14:textId="77777777" w:rsidR="00DF410E" w:rsidRDefault="00CE7F43">
      <w:pPr>
        <w:jc w:val="both"/>
      </w:pPr>
      <w:r>
        <w:rPr>
          <w:b/>
        </w:rPr>
        <w:t>Etudes à charge de l’entreprise </w:t>
      </w:r>
    </w:p>
    <w:p w14:paraId="71FE459A" w14:textId="77777777" w:rsidR="00DF410E" w:rsidRDefault="00CE7F43">
      <w:pPr>
        <w:jc w:val="both"/>
      </w:pPr>
      <w:r>
        <w:t>Les frais pour la réalisation de l'étude des passerelles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42C11770" w14:textId="77777777" w:rsidR="00DF410E" w:rsidRDefault="00CE7F43">
      <w:pPr>
        <w:jc w:val="both"/>
      </w:pPr>
      <w:r>
        <w:t>L’étude est établie suivant les indications données sur les plans et coupes de principe du dossier de soumission et des informations suivantes, le tout donné à titre indicatif pour orienter l’entreprise :</w:t>
      </w:r>
    </w:p>
    <w:p w14:paraId="04ACEC26" w14:textId="77777777" w:rsidR="00DF410E" w:rsidRDefault="00CE7F43">
      <w:pPr>
        <w:jc w:val="both"/>
      </w:pPr>
      <w:r>
        <w:rPr>
          <w:u w:val="single"/>
        </w:rPr>
        <w:t>Structure portante (pour information)</w:t>
      </w:r>
    </w:p>
    <w:p w14:paraId="78EC13B7" w14:textId="77777777" w:rsidR="00DF410E" w:rsidRDefault="00CE7F43">
      <w:pPr>
        <w:pStyle w:val="Author-eListParagraph"/>
        <w:numPr>
          <w:ilvl w:val="0"/>
          <w:numId w:val="1022"/>
        </w:numPr>
      </w:pPr>
      <w:r>
        <w:t>La structure portante ne fait pas partie du présent article. Les passerelles sont prévues pour être posées sur : </w:t>
      </w:r>
      <w:r>
        <w:rPr>
          <w:rStyle w:val="optioncarChar"/>
        </w:rPr>
        <w:t>des colonnes/poutres</w:t>
      </w:r>
      <w:r>
        <w:t> (par défaut)</w:t>
      </w:r>
      <w:r>
        <w:rPr>
          <w:rStyle w:val="optioncarChar"/>
        </w:rPr>
        <w:t> / des consoles fixées au mur.</w:t>
      </w:r>
    </w:p>
    <w:p w14:paraId="13BD503D" w14:textId="77777777" w:rsidR="00DF410E" w:rsidRDefault="00CE7F43">
      <w:pPr>
        <w:jc w:val="both"/>
      </w:pPr>
      <w:r>
        <w:rPr>
          <w:u w:val="single"/>
        </w:rPr>
        <w:t>Structure principale</w:t>
      </w:r>
    </w:p>
    <w:p w14:paraId="60BBF845" w14:textId="77777777" w:rsidR="00DF410E" w:rsidRDefault="00CE7F43">
      <w:pPr>
        <w:pStyle w:val="Author-eListParagraph"/>
        <w:numPr>
          <w:ilvl w:val="0"/>
          <w:numId w:val="1023"/>
        </w:numPr>
      </w:pPr>
      <w:r>
        <w:t>Profil de limons / gîtages : </w:t>
      </w:r>
      <w:r>
        <w:rPr>
          <w:rStyle w:val="optioncarChar"/>
        </w:rPr>
        <w:t>rectangulaire </w:t>
      </w:r>
      <w:r>
        <w:t>(par défaut)</w:t>
      </w:r>
      <w:r>
        <w:rPr>
          <w:rStyle w:val="optioncarChar"/>
        </w:rPr>
        <w:t> / carré / circulaire</w:t>
      </w:r>
    </w:p>
    <w:p w14:paraId="26304D2E" w14:textId="77777777" w:rsidR="00DF410E" w:rsidRDefault="00CE7F43">
      <w:pPr>
        <w:pStyle w:val="Author-eListParagraph"/>
        <w:numPr>
          <w:ilvl w:val="0"/>
          <w:numId w:val="1023"/>
        </w:numPr>
      </w:pPr>
      <w:r>
        <w:t>Assemblages à la structure portante : </w:t>
      </w:r>
      <w:r>
        <w:rPr>
          <w:rStyle w:val="optioncarChar"/>
        </w:rPr>
        <w:t>boulonnés </w:t>
      </w:r>
      <w:r>
        <w:t>(par défaut)</w:t>
      </w:r>
      <w:r>
        <w:rPr>
          <w:rStyle w:val="optioncarChar"/>
        </w:rPr>
        <w:t> / cloués / vissés</w:t>
      </w:r>
    </w:p>
    <w:p w14:paraId="260D9695" w14:textId="77777777" w:rsidR="00DF410E" w:rsidRDefault="00CE7F43">
      <w:pPr>
        <w:jc w:val="both"/>
      </w:pPr>
      <w:r>
        <w:rPr>
          <w:u w:val="single"/>
        </w:rPr>
        <w:t>Structure secondaire</w:t>
      </w:r>
    </w:p>
    <w:p w14:paraId="7256A6CC" w14:textId="77777777" w:rsidR="00DF410E" w:rsidRDefault="00CE7F43">
      <w:pPr>
        <w:pStyle w:val="Author-eListParagraph"/>
        <w:numPr>
          <w:ilvl w:val="0"/>
          <w:numId w:val="1024"/>
        </w:numPr>
      </w:pPr>
      <w:r>
        <w:t>Profil : </w:t>
      </w:r>
      <w:r>
        <w:rPr>
          <w:rStyle w:val="optioncarChar"/>
        </w:rPr>
        <w:t>rectangulaire </w:t>
      </w:r>
      <w:r>
        <w:t>(par défaut)</w:t>
      </w:r>
      <w:r>
        <w:rPr>
          <w:rStyle w:val="optioncarChar"/>
        </w:rPr>
        <w:t> / carré / circulaire</w:t>
      </w:r>
    </w:p>
    <w:p w14:paraId="0149C3B1" w14:textId="77777777" w:rsidR="00DF410E" w:rsidRDefault="00CE7F43">
      <w:pPr>
        <w:pStyle w:val="Author-eListParagraph"/>
        <w:numPr>
          <w:ilvl w:val="0"/>
          <w:numId w:val="1024"/>
        </w:numPr>
      </w:pPr>
      <w:r>
        <w:t>Assemblages à la structure principale : </w:t>
      </w:r>
      <w:r>
        <w:rPr>
          <w:rStyle w:val="optioncarChar"/>
        </w:rPr>
        <w:t>boulonnés </w:t>
      </w:r>
      <w:r>
        <w:t>(par défaut)</w:t>
      </w:r>
      <w:r>
        <w:rPr>
          <w:rStyle w:val="optioncarChar"/>
        </w:rPr>
        <w:t> / cloués / vissés</w:t>
      </w:r>
    </w:p>
    <w:p w14:paraId="05E52037" w14:textId="77777777" w:rsidR="00DF410E" w:rsidRDefault="00CE7F43">
      <w:pPr>
        <w:jc w:val="both"/>
      </w:pPr>
      <w:r>
        <w:rPr>
          <w:u w:val="single"/>
        </w:rPr>
        <w:t>Contreventements</w:t>
      </w:r>
    </w:p>
    <w:p w14:paraId="42119953" w14:textId="77777777" w:rsidR="00DF410E" w:rsidRDefault="00CE7F43">
      <w:pPr>
        <w:pStyle w:val="Author-eListParagraph"/>
        <w:numPr>
          <w:ilvl w:val="0"/>
          <w:numId w:val="1025"/>
        </w:numPr>
      </w:pPr>
      <w:r>
        <w:t>Les contreventements sont en :</w:t>
      </w:r>
      <w:r>
        <w:rPr>
          <w:rStyle w:val="optioncarChar"/>
        </w:rPr>
        <w:t> bois </w:t>
      </w:r>
      <w:r>
        <w:t>(par défaut)</w:t>
      </w:r>
      <w:r>
        <w:rPr>
          <w:rStyle w:val="optioncarChar"/>
        </w:rPr>
        <w:t> / acier</w:t>
      </w:r>
    </w:p>
    <w:p w14:paraId="3833E518" w14:textId="77777777" w:rsidR="00DF410E" w:rsidRDefault="00CE7F43">
      <w:pPr>
        <w:ind w:left="567"/>
        <w:jc w:val="both"/>
      </w:pPr>
      <w:r>
        <w:rPr>
          <w:b/>
        </w:rPr>
        <w:t>(soit par défaut)</w:t>
      </w:r>
    </w:p>
    <w:p w14:paraId="39E89F70" w14:textId="77777777" w:rsidR="00DF410E" w:rsidRDefault="00CE7F43">
      <w:pPr>
        <w:ind w:left="567"/>
        <w:jc w:val="both"/>
      </w:pPr>
      <w:r>
        <w:rPr>
          <w:rStyle w:val="soitChar"/>
          <w:u w:val="single"/>
        </w:rPr>
        <w:t>En bois :</w:t>
      </w:r>
    </w:p>
    <w:p w14:paraId="2C395DBC" w14:textId="77777777" w:rsidR="00DF410E" w:rsidRDefault="00CE7F43">
      <w:pPr>
        <w:pStyle w:val="Author-eListParagraph"/>
        <w:numPr>
          <w:ilvl w:val="1"/>
          <w:numId w:val="1026"/>
        </w:numPr>
      </w:pPr>
      <w:r>
        <w:rPr>
          <w:rStyle w:val="soitChar"/>
        </w:rPr>
        <w:t>Profil : </w:t>
      </w:r>
      <w:r>
        <w:t> </w:t>
      </w:r>
      <w:r>
        <w:rPr>
          <w:rStyle w:val="optioncarChar"/>
        </w:rPr>
        <w:t>rectangulaire </w:t>
      </w:r>
      <w:r>
        <w:t>(par défaut)</w:t>
      </w:r>
      <w:r>
        <w:rPr>
          <w:rStyle w:val="optioncarChar"/>
        </w:rPr>
        <w:t> / carré / circulaire</w:t>
      </w:r>
    </w:p>
    <w:p w14:paraId="2FCDCB2A" w14:textId="77777777" w:rsidR="00DF410E" w:rsidRDefault="00CE7F43">
      <w:pPr>
        <w:pStyle w:val="Author-eListParagraph"/>
        <w:numPr>
          <w:ilvl w:val="1"/>
          <w:numId w:val="1026"/>
        </w:numPr>
      </w:pPr>
      <w:r>
        <w:rPr>
          <w:rStyle w:val="soitChar"/>
        </w:rPr>
        <w:t>Assemblages à la structure : </w:t>
      </w:r>
      <w:r>
        <w:t> </w:t>
      </w:r>
      <w:r>
        <w:rPr>
          <w:rStyle w:val="optioncarChar"/>
        </w:rPr>
        <w:t>boulonnés</w:t>
      </w:r>
      <w:r>
        <w:t>  (par défaut) </w:t>
      </w:r>
      <w:r>
        <w:rPr>
          <w:rStyle w:val="optioncarChar"/>
        </w:rPr>
        <w:t>/ cloués / vissés</w:t>
      </w:r>
    </w:p>
    <w:p w14:paraId="04F7EA3F" w14:textId="77777777" w:rsidR="00DF410E" w:rsidRDefault="00CE7F43">
      <w:pPr>
        <w:ind w:left="567"/>
        <w:jc w:val="both"/>
      </w:pPr>
      <w:r>
        <w:rPr>
          <w:b/>
        </w:rPr>
        <w:t>(soit)</w:t>
      </w:r>
    </w:p>
    <w:p w14:paraId="35E21A26" w14:textId="77777777" w:rsidR="00DF410E" w:rsidRDefault="00CE7F43">
      <w:pPr>
        <w:ind w:left="567"/>
        <w:jc w:val="both"/>
      </w:pPr>
      <w:r>
        <w:rPr>
          <w:rStyle w:val="soitChar"/>
          <w:u w:val="single"/>
        </w:rPr>
        <w:t>En acier :</w:t>
      </w:r>
    </w:p>
    <w:p w14:paraId="3E12048A" w14:textId="77777777" w:rsidR="00DF410E" w:rsidRDefault="00CE7F43">
      <w:pPr>
        <w:pStyle w:val="Author-eListParagraph"/>
        <w:numPr>
          <w:ilvl w:val="1"/>
          <w:numId w:val="1027"/>
        </w:numPr>
      </w:pPr>
      <w:r>
        <w:rPr>
          <w:rStyle w:val="soitChar"/>
        </w:rPr>
        <w:t>Profil : </w:t>
      </w:r>
      <w:r>
        <w:t> </w:t>
      </w:r>
      <w:r>
        <w:rPr>
          <w:rStyle w:val="optioncarChar"/>
        </w:rPr>
        <w:t>câbles </w:t>
      </w:r>
      <w:r>
        <w:t>(par défaut) </w:t>
      </w:r>
      <w:r>
        <w:rPr>
          <w:rStyle w:val="optioncarChar"/>
        </w:rPr>
        <w:t>/ tiges rondes / cornières L à ailes égales / ***</w:t>
      </w:r>
    </w:p>
    <w:p w14:paraId="5444E8B7" w14:textId="77777777" w:rsidR="00DF410E" w:rsidRDefault="00CE7F43">
      <w:pPr>
        <w:pStyle w:val="Author-eListParagraph"/>
        <w:numPr>
          <w:ilvl w:val="1"/>
          <w:numId w:val="1027"/>
        </w:numPr>
      </w:pPr>
      <w:r>
        <w:rPr>
          <w:rStyle w:val="soitChar"/>
        </w:rPr>
        <w:t>Assemblages à la structure : </w:t>
      </w:r>
      <w:r>
        <w:t> </w:t>
      </w:r>
      <w:r>
        <w:rPr>
          <w:rStyle w:val="optioncarChar"/>
        </w:rPr>
        <w:t>boulonnés à la structure</w:t>
      </w:r>
      <w:r>
        <w:t>  (par défaut)</w:t>
      </w:r>
      <w:r>
        <w:rPr>
          <w:rStyle w:val="optioncarChar"/>
        </w:rPr>
        <w:t> / boulonnés sur des goussets / pattes fixés à la structure</w:t>
      </w:r>
    </w:p>
    <w:p w14:paraId="72A0925D" w14:textId="77777777" w:rsidR="00DF410E" w:rsidRDefault="00CE7F43">
      <w:pPr>
        <w:jc w:val="both"/>
      </w:pPr>
      <w:r>
        <w:rPr>
          <w:u w:val="single"/>
        </w:rPr>
        <w:t>Platelage</w:t>
      </w:r>
    </w:p>
    <w:p w14:paraId="151BEA7B" w14:textId="77777777" w:rsidR="00DF410E" w:rsidRDefault="00CE7F43">
      <w:pPr>
        <w:pStyle w:val="Author-eListParagraph"/>
        <w:numPr>
          <w:ilvl w:val="0"/>
          <w:numId w:val="1028"/>
        </w:numPr>
      </w:pPr>
      <w:r>
        <w:t>Le platelage est posé : </w:t>
      </w:r>
      <w:r>
        <w:rPr>
          <w:rStyle w:val="optioncarChar"/>
        </w:rPr>
        <w:t>sur les profils de ceinture ou gîtages</w:t>
      </w:r>
      <w:r>
        <w:t> (par défaut)</w:t>
      </w:r>
      <w:r>
        <w:rPr>
          <w:rStyle w:val="optioncarChar"/>
        </w:rPr>
        <w:t> / en affleurement aux profils de ceinture de la passerelles (pour que la face supérieure soit dans le même plan que le dessus des profils de ceinture)</w:t>
      </w:r>
      <w:r>
        <w:t>.</w:t>
      </w:r>
    </w:p>
    <w:p w14:paraId="6AFF2B5A" w14:textId="77777777" w:rsidR="00DF410E" w:rsidRDefault="00CE7F43">
      <w:pPr>
        <w:pStyle w:val="Author-eListParagraph"/>
        <w:numPr>
          <w:ilvl w:val="0"/>
          <w:numId w:val="1028"/>
        </w:numPr>
      </w:pPr>
      <w:r>
        <w:t>Assemblages à la structure : </w:t>
      </w:r>
      <w:r>
        <w:rPr>
          <w:rStyle w:val="optioncarChar"/>
        </w:rPr>
        <w:t>vissés</w:t>
      </w:r>
      <w:r>
        <w:t> (par défaut)</w:t>
      </w:r>
      <w:r>
        <w:rPr>
          <w:rStyle w:val="optioncarChar"/>
        </w:rPr>
        <w:t> / cloués</w:t>
      </w:r>
    </w:p>
    <w:p w14:paraId="5A2EFE26" w14:textId="77777777" w:rsidR="00DF410E" w:rsidRDefault="00CE7F43">
      <w:pPr>
        <w:jc w:val="both"/>
      </w:pPr>
      <w:r>
        <w:rPr>
          <w:u w:val="single"/>
        </w:rPr>
        <w:t>Garde-corps</w:t>
      </w:r>
    </w:p>
    <w:p w14:paraId="57D8EBB8" w14:textId="77777777" w:rsidR="00DF410E" w:rsidRDefault="00CE7F43">
      <w:pPr>
        <w:pStyle w:val="Author-eListParagraph"/>
        <w:numPr>
          <w:ilvl w:val="0"/>
          <w:numId w:val="1029"/>
        </w:numPr>
      </w:pPr>
      <w:r>
        <w:t>Les garde-corps sont fixés solidement aux :</w:t>
      </w:r>
      <w:r>
        <w:rPr>
          <w:rStyle w:val="optioncarChar"/>
        </w:rPr>
        <w:t> limons périphériques</w:t>
      </w:r>
      <w:r>
        <w:t> (par défaut)</w:t>
      </w:r>
      <w:r>
        <w:rPr>
          <w:rStyle w:val="optioncarChar"/>
        </w:rPr>
        <w:t> / aux platelages</w:t>
      </w:r>
    </w:p>
    <w:p w14:paraId="37D7CB9C" w14:textId="77777777" w:rsidR="00DF410E" w:rsidRDefault="00CE7F43">
      <w:pPr>
        <w:pStyle w:val="Author-eListParagraph"/>
        <w:numPr>
          <w:ilvl w:val="0"/>
          <w:numId w:val="1029"/>
        </w:numPr>
      </w:pPr>
      <w:r>
        <w:t>Assemblages au support : </w:t>
      </w:r>
      <w:r>
        <w:rPr>
          <w:rStyle w:val="optioncarChar"/>
        </w:rPr>
        <w:t>vissés </w:t>
      </w:r>
      <w:r>
        <w:t>(par défaut)</w:t>
      </w:r>
      <w:r>
        <w:rPr>
          <w:rStyle w:val="optioncarChar"/>
        </w:rPr>
        <w:t> / boulonnés</w:t>
      </w:r>
    </w:p>
    <w:p w14:paraId="6CAAEA5F" w14:textId="77777777" w:rsidR="00DF410E" w:rsidRDefault="00DF410E"/>
    <w:p w14:paraId="73EE4262" w14:textId="77777777" w:rsidR="00DF410E" w:rsidRDefault="00CE7F43">
      <w:pPr>
        <w:jc w:val="both"/>
      </w:pPr>
      <w:r>
        <w:t>Le bois des passerelles est protégé jusqu'à la réception provisoire dans un emballage de protection évitant les chocs et rayures.</w:t>
      </w:r>
    </w:p>
    <w:p w14:paraId="16759DD1" w14:textId="77777777" w:rsidR="00DF410E" w:rsidRDefault="00CE7F43">
      <w:pPr>
        <w:pStyle w:val="pheading"/>
      </w:pPr>
      <w:r>
        <w:t>MESURAGE</w:t>
      </w:r>
    </w:p>
    <w:p w14:paraId="39342A47" w14:textId="77777777" w:rsidR="00DF410E" w:rsidRDefault="00CE7F43">
      <w:pPr>
        <w:pStyle w:val="pheading"/>
      </w:pPr>
      <w:r>
        <w:t>- unité de mesure:</w:t>
      </w:r>
    </w:p>
    <w:p w14:paraId="2146A6FC" w14:textId="77777777" w:rsidR="00DF410E" w:rsidRDefault="00CE7F43">
      <w:r>
        <w:rPr>
          <w:rStyle w:val="optioncarChar"/>
        </w:rPr>
        <w:t>pc</w:t>
      </w:r>
      <w:r>
        <w:t> (par défaut)</w:t>
      </w:r>
      <w:r>
        <w:rPr>
          <w:rStyle w:val="optioncarChar"/>
        </w:rPr>
        <w:t> / m²</w:t>
      </w:r>
    </w:p>
    <w:p w14:paraId="2E80C613" w14:textId="77777777" w:rsidR="00DF410E" w:rsidRDefault="00CE7F43">
      <w:r>
        <w:rPr>
          <w:b/>
        </w:rPr>
        <w:t>(soit par défaut)</w:t>
      </w:r>
      <w:r>
        <w:br/>
      </w:r>
      <w:r>
        <w:rPr>
          <w:rStyle w:val="soitChar"/>
        </w:rPr>
        <w:t>1. pc</w:t>
      </w:r>
      <w:r>
        <w:br/>
      </w:r>
      <w:r>
        <w:rPr>
          <w:b/>
        </w:rPr>
        <w:t>(soit)</w:t>
      </w:r>
      <w:r>
        <w:br/>
      </w:r>
      <w:r>
        <w:rPr>
          <w:rStyle w:val="soitChar"/>
        </w:rPr>
        <w:t>2. m²</w:t>
      </w:r>
    </w:p>
    <w:p w14:paraId="1D3B870B" w14:textId="77777777" w:rsidR="00DF410E" w:rsidRDefault="00CE7F43">
      <w:pPr>
        <w:pStyle w:val="pheading"/>
      </w:pPr>
      <w:r>
        <w:t>- code de mesurage:</w:t>
      </w:r>
    </w:p>
    <w:p w14:paraId="0FB8770F" w14:textId="77777777" w:rsidR="00DF410E" w:rsidRDefault="00CE7F43">
      <w:pPr>
        <w:jc w:val="both"/>
      </w:pPr>
      <w:r>
        <w:rPr>
          <w:rStyle w:val="optioncarChar"/>
        </w:rPr>
        <w:t>Quantité nette </w:t>
      </w:r>
      <w:r>
        <w:t>(par défaut)</w:t>
      </w:r>
      <w:r>
        <w:rPr>
          <w:rStyle w:val="optioncarChar"/>
        </w:rPr>
        <w:t> / Surface nette</w:t>
      </w:r>
    </w:p>
    <w:p w14:paraId="32BC278F" w14:textId="77777777" w:rsidR="00DF410E" w:rsidRDefault="00CE7F43">
      <w:pPr>
        <w:jc w:val="both"/>
      </w:pPr>
      <w:r>
        <w:rPr>
          <w:b/>
        </w:rPr>
        <w:t>(soit par défaut)</w:t>
      </w:r>
    </w:p>
    <w:p w14:paraId="774659C2" w14:textId="77777777" w:rsidR="00DF410E" w:rsidRDefault="00CE7F43">
      <w:pPr>
        <w:jc w:val="both"/>
      </w:pPr>
      <w:r>
        <w:rPr>
          <w:rStyle w:val="soitChar"/>
        </w:rPr>
        <w:t>1. </w:t>
      </w:r>
      <w:r>
        <w:rPr>
          <w:rStyle w:val="soitChar"/>
          <w:u w:val="single"/>
        </w:rPr>
        <w:t>Quantité nette</w:t>
      </w:r>
      <w:r>
        <w:rPr>
          <w:rStyle w:val="soitChar"/>
        </w:rPr>
        <w:t> à mettre en œuvre, ventilée selon la nature des éléments constitutifs et les dimensions.</w:t>
      </w:r>
    </w:p>
    <w:p w14:paraId="60EE6C3F" w14:textId="77777777" w:rsidR="00DF410E" w:rsidRDefault="00CE7F43">
      <w:pPr>
        <w:jc w:val="both"/>
      </w:pPr>
      <w:r>
        <w:rPr>
          <w:b/>
        </w:rPr>
        <w:t>(soit)</w:t>
      </w:r>
    </w:p>
    <w:p w14:paraId="35BBA7FF" w14:textId="77777777" w:rsidR="00DF410E" w:rsidRDefault="00CE7F43">
      <w:pPr>
        <w:jc w:val="both"/>
      </w:pPr>
      <w:r>
        <w:rPr>
          <w:rStyle w:val="soitChar"/>
        </w:rPr>
        <w:t>2. </w:t>
      </w:r>
      <w:r>
        <w:rPr>
          <w:rStyle w:val="soitChar"/>
          <w:u w:val="single"/>
        </w:rPr>
        <w:t>Surface nette</w:t>
      </w:r>
      <w:r>
        <w:rPr>
          <w:rStyle w:val="soitChar"/>
        </w:rPr>
        <w:t> à mettre en œuvre pour les « plateformes » des passerelles, ventilée selon la nature des éléments constitutifs.</w:t>
      </w:r>
    </w:p>
    <w:p w14:paraId="7B28A5D1" w14:textId="77777777" w:rsidR="00DF410E" w:rsidRDefault="00CE7F43">
      <w:pPr>
        <w:pStyle w:val="pheading"/>
      </w:pPr>
      <w:r>
        <w:t>- nature du marché:</w:t>
      </w:r>
    </w:p>
    <w:p w14:paraId="616E4E5E" w14:textId="77777777" w:rsidR="00DF410E" w:rsidRDefault="00CE7F43">
      <w:r>
        <w:t>1.2. QF</w:t>
      </w:r>
    </w:p>
    <w:p w14:paraId="5FC14756" w14:textId="77777777" w:rsidR="00DF410E" w:rsidRDefault="00CE7F43">
      <w:pPr>
        <w:pStyle w:val="pheading"/>
      </w:pPr>
      <w:r>
        <w:t>AIDE</w:t>
      </w:r>
    </w:p>
    <w:p w14:paraId="14DA8A42" w14:textId="77777777" w:rsidR="00DF410E" w:rsidRDefault="00CE7F43">
      <w:pPr>
        <w:jc w:val="both"/>
      </w:pPr>
      <w:r>
        <w:t>La quantité nette est plutôt prévue si le garde-corps est compris dans le travail.</w:t>
      </w:r>
    </w:p>
    <w:p w14:paraId="1EF6BB8D" w14:textId="77777777" w:rsidR="00DF410E" w:rsidRDefault="00CE7F43">
      <w:pPr>
        <w:jc w:val="both"/>
      </w:pPr>
      <w:r>
        <w:t>La surface nette ne comprend pas le garde-corps, qui est comptabilisé dans un article séparé. </w:t>
      </w:r>
    </w:p>
    <w:p w14:paraId="7A85E530" w14:textId="77777777" w:rsidR="00DF410E" w:rsidRDefault="00CE7F43">
      <w:pPr>
        <w:pStyle w:val="Author-eSectionHeading4"/>
      </w:pPr>
      <w:bookmarkStart w:id="1712" w:name="_Toc178838795"/>
      <w:r>
        <w:t>24.35 Auvents en bois CCTB 01.02</w:t>
      </w:r>
      <w:bookmarkEnd w:id="1712"/>
    </w:p>
    <w:p w14:paraId="7DB661E3" w14:textId="77777777" w:rsidR="00DF410E" w:rsidRDefault="00CE7F43">
      <w:pPr>
        <w:pStyle w:val="Author-eSectionHeading5"/>
      </w:pPr>
      <w:bookmarkStart w:id="1713" w:name="_Toc178838796"/>
      <w:r>
        <w:t>24.35.1 Auvents en bois  CCTB 01.07</w:t>
      </w:r>
      <w:bookmarkEnd w:id="1713"/>
    </w:p>
    <w:p w14:paraId="58D6409E" w14:textId="77777777" w:rsidR="00DF410E" w:rsidRDefault="00CE7F43">
      <w:pPr>
        <w:pStyle w:val="Author-eSectionHeading6"/>
      </w:pPr>
      <w:bookmarkStart w:id="1714" w:name="_Toc178838797"/>
      <w:r>
        <w:t>24.35.1a Auvents en bois CCTB 01.11</w:t>
      </w:r>
      <w:bookmarkEnd w:id="1714"/>
    </w:p>
    <w:p w14:paraId="2E79D0AE" w14:textId="77777777" w:rsidR="00DF410E" w:rsidRDefault="00CE7F43">
      <w:pPr>
        <w:pStyle w:val="pheading"/>
      </w:pPr>
      <w:r>
        <w:t>DESCRIPTION</w:t>
      </w:r>
    </w:p>
    <w:p w14:paraId="1247708A" w14:textId="77777777" w:rsidR="00DF410E" w:rsidRDefault="00CE7F43">
      <w:pPr>
        <w:pStyle w:val="pheading"/>
      </w:pPr>
      <w:r>
        <w:t>- Définition / Comprend</w:t>
      </w:r>
    </w:p>
    <w:p w14:paraId="59B522FE" w14:textId="77777777" w:rsidR="00DF410E" w:rsidRDefault="00CE7F43">
      <w:pPr>
        <w:jc w:val="both"/>
      </w:pPr>
      <w:r>
        <w:t>Il s'agit de la fourniture et la pose d’auvents en bois ainsi que tout élément nécessaire pour obtenir un ensemble fini.</w:t>
      </w:r>
    </w:p>
    <w:p w14:paraId="150C4158" w14:textId="77777777" w:rsidR="00DF410E" w:rsidRDefault="00DF410E">
      <w:pPr>
        <w:jc w:val="both"/>
      </w:pPr>
    </w:p>
    <w:p w14:paraId="123382FF" w14:textId="77777777" w:rsidR="00DF410E" w:rsidRDefault="00CE7F43">
      <w:pPr>
        <w:jc w:val="both"/>
      </w:pPr>
      <w:r>
        <w:t xml:space="preserve">Les couvertures ne font pas partie du présent article. Elles sont décrites et comptabilisées au </w:t>
      </w:r>
      <w:hyperlink r:id="rId322" w:history="1" w:docLocation="623">
        <w:r>
          <w:t>34 Couvertures de toiture - Etanchéité</w:t>
        </w:r>
      </w:hyperlink>
      <w:r>
        <w:t xml:space="preserve"> et articles qui en découlent.</w:t>
      </w:r>
    </w:p>
    <w:p w14:paraId="5D3522B0" w14:textId="77777777" w:rsidR="00DF410E" w:rsidRDefault="00CE7F43">
      <w:pPr>
        <w:jc w:val="both"/>
      </w:pPr>
      <w:r>
        <w:t>La récolte et l’évacuation des eaux de toitures ne font pas partie du présent article. Elles sont décrites et comptabilisées au </w:t>
      </w:r>
      <w:hyperlink r:id="rId323" w:history="1" w:docLocation="624">
        <w:r>
          <w:t>33 Récoltes et évacuations des eaux de toiture</w:t>
        </w:r>
      </w:hyperlink>
      <w:r>
        <w:t xml:space="preserve"> et articles qui en découlent.</w:t>
      </w:r>
    </w:p>
    <w:p w14:paraId="5A80A0AA" w14:textId="77777777" w:rsidR="00DF410E" w:rsidRDefault="00CE7F43">
      <w:pPr>
        <w:pStyle w:val="pheading"/>
      </w:pPr>
      <w:r>
        <w:t>MATÉRIAUX</w:t>
      </w:r>
    </w:p>
    <w:p w14:paraId="13A074B9" w14:textId="77777777" w:rsidR="00DF410E" w:rsidRDefault="00CE7F43">
      <w:pPr>
        <w:pStyle w:val="pheading"/>
      </w:pPr>
      <w:r>
        <w:t>- Caractéristiques générales</w:t>
      </w:r>
    </w:p>
    <w:p w14:paraId="0DAAA451" w14:textId="77777777" w:rsidR="00DF410E" w:rsidRDefault="00CE7F43">
      <w:pPr>
        <w:jc w:val="both"/>
      </w:pPr>
      <w:r>
        <w:rPr>
          <w:b/>
        </w:rPr>
        <w:t>Composants – Terminologie</w:t>
      </w:r>
    </w:p>
    <w:p w14:paraId="666E795C" w14:textId="77777777" w:rsidR="00DF410E" w:rsidRDefault="00CE7F43">
      <w:pPr>
        <w:jc w:val="both"/>
      </w:pPr>
      <w:r>
        <w:t>En fonction de leur conception, les auvents sont composés :</w:t>
      </w:r>
    </w:p>
    <w:p w14:paraId="3732B8A1" w14:textId="77777777" w:rsidR="00DF410E" w:rsidRDefault="00CE7F43">
      <w:pPr>
        <w:pStyle w:val="Author-eListParagraph"/>
        <w:numPr>
          <w:ilvl w:val="0"/>
          <w:numId w:val="1030"/>
        </w:numPr>
        <w:jc w:val="both"/>
      </w:pPr>
      <w:r>
        <w:t>d’une structure portante (colonnes/poutres ou consoles) ;</w:t>
      </w:r>
    </w:p>
    <w:p w14:paraId="2FE1DC25" w14:textId="77777777" w:rsidR="00DF410E" w:rsidRDefault="00CE7F43">
      <w:pPr>
        <w:pStyle w:val="Author-eListParagraph"/>
        <w:numPr>
          <w:ilvl w:val="0"/>
          <w:numId w:val="1030"/>
        </w:numPr>
        <w:jc w:val="both"/>
      </w:pPr>
      <w:r>
        <w:t>d’une charpente (fermes, pannes, chevrons) ;</w:t>
      </w:r>
    </w:p>
    <w:p w14:paraId="06C74140" w14:textId="77777777" w:rsidR="00DF410E" w:rsidRDefault="00CE7F43">
      <w:pPr>
        <w:pStyle w:val="Author-eListParagraph"/>
        <w:numPr>
          <w:ilvl w:val="0"/>
          <w:numId w:val="1030"/>
        </w:numPr>
        <w:jc w:val="both"/>
      </w:pPr>
      <w:r>
        <w:t>d’une éventuelle sous-face (avant la couverture) ;</w:t>
      </w:r>
    </w:p>
    <w:p w14:paraId="251EE481" w14:textId="77777777" w:rsidR="00DF410E" w:rsidRDefault="00CE7F43">
      <w:pPr>
        <w:pStyle w:val="Author-eListParagraph"/>
        <w:numPr>
          <w:ilvl w:val="0"/>
          <w:numId w:val="1030"/>
        </w:numPr>
        <w:jc w:val="both"/>
      </w:pPr>
      <w:r>
        <w:t>d’une couverture (non comprise dans le présent article).</w:t>
      </w:r>
    </w:p>
    <w:p w14:paraId="2D3101CE" w14:textId="77777777" w:rsidR="00DF410E" w:rsidRDefault="00CE7F43">
      <w:pPr>
        <w:jc w:val="both"/>
      </w:pPr>
      <w:r>
        <w:rPr>
          <w:u w:val="single"/>
        </w:rPr>
        <w:t>Structure portante</w:t>
      </w:r>
    </w:p>
    <w:p w14:paraId="4C1F069D" w14:textId="77777777" w:rsidR="00DF410E" w:rsidRDefault="00CE7F43">
      <w:pPr>
        <w:jc w:val="both"/>
      </w:pPr>
      <w:r>
        <w:t xml:space="preserve">Les structures portantes sont décrites séparément aux </w:t>
      </w:r>
      <w:hyperlink w:anchor="625" w:history="1">
        <w:r>
          <w:t>24.12 Colonnes en bois</w:t>
        </w:r>
      </w:hyperlink>
      <w:r>
        <w:t xml:space="preserve"> et </w:t>
      </w:r>
      <w:hyperlink w:anchor="402" w:history="1">
        <w:r>
          <w:t>24.13 Poutres et barres en bois</w:t>
        </w:r>
      </w:hyperlink>
      <w:r>
        <w:t xml:space="preserve"> et articles qui en découlent, mais leur fourniture et pose sont comprises dans le présent travail.</w:t>
      </w:r>
    </w:p>
    <w:p w14:paraId="5D4D9983" w14:textId="77777777" w:rsidR="00DF410E" w:rsidRDefault="00CE7F43">
      <w:pPr>
        <w:jc w:val="both"/>
      </w:pPr>
      <w:r>
        <w:rPr>
          <w:u w:val="single"/>
        </w:rPr>
        <w:t>Charpente</w:t>
      </w:r>
    </w:p>
    <w:p w14:paraId="050726B0" w14:textId="77777777" w:rsidR="00DF410E" w:rsidRDefault="00CE7F43">
      <w:pPr>
        <w:jc w:val="both"/>
      </w:pPr>
      <w:r>
        <w:t xml:space="preserve">Les charpentes sont décrites au </w:t>
      </w:r>
      <w:hyperlink w:anchor="606" w:history="1">
        <w:r>
          <w:t>24.24 Charpentes en bois</w:t>
        </w:r>
      </w:hyperlink>
      <w:r>
        <w:t xml:space="preserve"> et articles qui en découlent, mais leur fourniture et pose sont comprises dans le présent travail.</w:t>
      </w:r>
    </w:p>
    <w:p w14:paraId="7E63D738" w14:textId="77777777" w:rsidR="00DF410E" w:rsidRDefault="00CE7F43">
      <w:pPr>
        <w:jc w:val="both"/>
      </w:pPr>
      <w:r>
        <w:rPr>
          <w:b/>
        </w:rPr>
        <w:t>Matériau</w:t>
      </w:r>
    </w:p>
    <w:p w14:paraId="574482C4" w14:textId="77777777" w:rsidR="00DF410E" w:rsidRDefault="00CE7F43">
      <w:pPr>
        <w:jc w:val="both"/>
      </w:pPr>
      <w:r>
        <w:t>Caractéristiques du bois des éléments structurels :</w:t>
      </w:r>
    </w:p>
    <w:p w14:paraId="7A598A1E" w14:textId="77777777" w:rsidR="00DF410E" w:rsidRDefault="00CE7F43">
      <w:pPr>
        <w:pStyle w:val="Author-eListParagraph"/>
        <w:numPr>
          <w:ilvl w:val="0"/>
          <w:numId w:val="1031"/>
        </w:numPr>
      </w:pPr>
      <w:r>
        <w:t>Classe d’emploi/de risque, pour les structures portantes, suivant la [NBN EN 335] : 3</w:t>
      </w:r>
    </w:p>
    <w:p w14:paraId="581496D6" w14:textId="77777777" w:rsidR="00DF410E" w:rsidRDefault="00CE7F43">
      <w:pPr>
        <w:pStyle w:val="Author-eListParagraph"/>
        <w:numPr>
          <w:ilvl w:val="0"/>
          <w:numId w:val="1031"/>
        </w:numPr>
      </w:pPr>
      <w:r>
        <w:t xml:space="preserve">Classe d’emploi/de risque, pour les éléments de charpenterie principaux, suivant la [NBN EN 335] : </w:t>
      </w:r>
      <w:r>
        <w:rPr>
          <w:rStyle w:val="optioncarChar"/>
        </w:rPr>
        <w:t>2 / 3</w:t>
      </w:r>
      <w:r>
        <w:t xml:space="preserve"> (par défaut)</w:t>
      </w:r>
    </w:p>
    <w:p w14:paraId="28EB65FD" w14:textId="77777777" w:rsidR="00DF410E" w:rsidRDefault="00CE7F43">
      <w:pPr>
        <w:pStyle w:val="Author-eListParagraph"/>
        <w:numPr>
          <w:ilvl w:val="0"/>
          <w:numId w:val="1031"/>
        </w:numPr>
      </w:pPr>
      <w:r>
        <w:t xml:space="preserve">Gamme de produit pour les éléments structurels : </w:t>
      </w:r>
      <w:r>
        <w:rPr>
          <w:rStyle w:val="optioncarChar"/>
        </w:rPr>
        <w:t xml:space="preserve">bois massifs </w:t>
      </w:r>
      <w:r>
        <w:t>(par défaut)</w:t>
      </w:r>
      <w:r>
        <w:rPr>
          <w:rStyle w:val="optioncarChar"/>
        </w:rPr>
        <w:t xml:space="preserve"> / bois lamellés-collés</w:t>
      </w:r>
    </w:p>
    <w:p w14:paraId="69B45102" w14:textId="77777777" w:rsidR="00DF410E" w:rsidRDefault="00CE7F43">
      <w:pPr>
        <w:pStyle w:val="Author-eListParagraph"/>
        <w:numPr>
          <w:ilvl w:val="0"/>
          <w:numId w:val="1031"/>
        </w:numPr>
      </w:pPr>
      <w:r>
        <w:t xml:space="preserve">Classe de durabilité, suivant la [NBN EN 460] : </w:t>
      </w:r>
      <w:r>
        <w:rPr>
          <w:rStyle w:val="optioncarChar"/>
        </w:rPr>
        <w:t>1 / 2</w:t>
      </w:r>
      <w:r>
        <w:t xml:space="preserve"> (par défaut)</w:t>
      </w:r>
      <w:r>
        <w:rPr>
          <w:rStyle w:val="optioncarChar"/>
        </w:rPr>
        <w:t xml:space="preserve"> / 3 / en fonction de l’essence de bois (voir le point suivant)</w:t>
      </w:r>
    </w:p>
    <w:p w14:paraId="4594991C" w14:textId="77777777" w:rsidR="00DF410E" w:rsidRDefault="00CE7F43">
      <w:pPr>
        <w:pStyle w:val="Author-eListParagraph"/>
        <w:numPr>
          <w:ilvl w:val="0"/>
          <w:numId w:val="1031"/>
        </w:numPr>
      </w:pPr>
      <w:r>
        <w:t xml:space="preserve">Choix de l’essence de bois : </w:t>
      </w:r>
      <w:r>
        <w:rPr>
          <w:rStyle w:val="optioncarChar"/>
        </w:rPr>
        <w:t xml:space="preserve">au choix de l’entrepreneur, en fonction de la durabilité ci-dessus, à soumettre à l’approbation de l’architecte et du maître de l’ouvrage </w:t>
      </w:r>
      <w:r>
        <w:t xml:space="preserve">(par défaut) </w:t>
      </w:r>
      <w:r>
        <w:rPr>
          <w:rStyle w:val="optioncarChar"/>
        </w:rPr>
        <w:t>/ afzélia doussé / dark red meranti / merbeau / western red cedar / chêne / oregon / Sapin rouge du Nord (PNG) / ***.</w:t>
      </w:r>
    </w:p>
    <w:p w14:paraId="70C2A9C6" w14:textId="77777777" w:rsidR="00DF410E" w:rsidRDefault="00CE7F43">
      <w:pPr>
        <w:pStyle w:val="Author-eListParagraph"/>
        <w:numPr>
          <w:ilvl w:val="0"/>
          <w:numId w:val="1031"/>
        </w:numPr>
      </w:pPr>
      <w:r>
        <w:t xml:space="preserve">Finition des faces vues : </w:t>
      </w:r>
      <w:r>
        <w:rPr>
          <w:rStyle w:val="optioncarChar"/>
        </w:rPr>
        <w:t>non raboté / raboté sur 1 face / raboté sur 2 faces / raboté sur 3 faces / raboté sur 4 faces</w:t>
      </w:r>
      <w:r>
        <w:t xml:space="preserve"> (par défaut)</w:t>
      </w:r>
    </w:p>
    <w:p w14:paraId="76F812A1" w14:textId="77777777" w:rsidR="00DF410E" w:rsidRDefault="00CE7F43">
      <w:pPr>
        <w:jc w:val="both"/>
      </w:pPr>
      <w:r>
        <w:t>Caractéristiques du bois des éléments secondaires (chevrons, etc.)</w:t>
      </w:r>
    </w:p>
    <w:p w14:paraId="25EF9484" w14:textId="77777777" w:rsidR="00DF410E" w:rsidRDefault="00CE7F43">
      <w:pPr>
        <w:pStyle w:val="Author-eListParagraph"/>
        <w:numPr>
          <w:ilvl w:val="0"/>
          <w:numId w:val="1032"/>
        </w:numPr>
        <w:jc w:val="both"/>
      </w:pPr>
      <w:r>
        <w:t>Bois massif</w:t>
      </w:r>
    </w:p>
    <w:p w14:paraId="73214053" w14:textId="77777777" w:rsidR="00DF410E" w:rsidRDefault="00CE7F43">
      <w:pPr>
        <w:pStyle w:val="Author-eListParagraph"/>
        <w:numPr>
          <w:ilvl w:val="0"/>
          <w:numId w:val="1032"/>
        </w:numPr>
        <w:jc w:val="both"/>
      </w:pPr>
      <w:r>
        <w:t xml:space="preserve">Classe de durabilité, suivant la [NBN EN 460] : </w:t>
      </w:r>
      <w:r>
        <w:rPr>
          <w:rStyle w:val="optioncarChar"/>
        </w:rPr>
        <w:t>1 / 2 / 3</w:t>
      </w:r>
      <w:r>
        <w:t xml:space="preserve"> (par défaut)</w:t>
      </w:r>
      <w:r>
        <w:rPr>
          <w:rStyle w:val="optioncarChar"/>
        </w:rPr>
        <w:t xml:space="preserve"> / en fonction de l’essence de bois (voir le point suivant)</w:t>
      </w:r>
    </w:p>
    <w:p w14:paraId="5DADAF14" w14:textId="77777777" w:rsidR="00DF410E" w:rsidRDefault="00CE7F43">
      <w:pPr>
        <w:pStyle w:val="Author-eListParagraph"/>
        <w:numPr>
          <w:ilvl w:val="0"/>
          <w:numId w:val="1032"/>
        </w:numPr>
        <w:jc w:val="both"/>
      </w:pPr>
      <w:r>
        <w:t xml:space="preserve">Choix de l’essence de bois : </w:t>
      </w:r>
      <w:r>
        <w:rPr>
          <w:rStyle w:val="optioncarChar"/>
        </w:rPr>
        <w:t>au choix de l’entrepreneur, en fonction de la durabilité ci-dessus, à soumettre à l’approbation de l’architecte et du maître de l’ouvrage</w:t>
      </w:r>
      <w:r>
        <w:t xml:space="preserve"> (par défaut) </w:t>
      </w:r>
      <w:r>
        <w:rPr>
          <w:rStyle w:val="optioncarChar"/>
        </w:rPr>
        <w:t>/ afzélia doussé / dark red meranti / merbeau / western red cedar / chêne / oregon / Sapin rouge du Nord (PNG) / ***.</w:t>
      </w:r>
    </w:p>
    <w:p w14:paraId="6B228714" w14:textId="77777777" w:rsidR="00DF410E" w:rsidRDefault="00CE7F43">
      <w:pPr>
        <w:pStyle w:val="Author-eListParagraph"/>
        <w:numPr>
          <w:ilvl w:val="0"/>
          <w:numId w:val="1032"/>
        </w:numPr>
        <w:jc w:val="both"/>
      </w:pPr>
      <w:r>
        <w:t xml:space="preserve">Finition des faces vue : </w:t>
      </w:r>
      <w:r>
        <w:rPr>
          <w:rStyle w:val="optioncarChar"/>
        </w:rPr>
        <w:t>non raboté / raboté sur 1 face / raboté sur 2 faces / raboté sur 3 faces / raboté sur 4 faces</w:t>
      </w:r>
      <w:r>
        <w:t xml:space="preserve"> (par défaut)</w:t>
      </w:r>
    </w:p>
    <w:p w14:paraId="26A4EAED" w14:textId="77777777" w:rsidR="00DF410E" w:rsidRDefault="00CE7F43">
      <w:pPr>
        <w:pStyle w:val="pheading"/>
      </w:pPr>
      <w:r>
        <w:t>- Finitions</w:t>
      </w:r>
    </w:p>
    <w:p w14:paraId="1FD545DD" w14:textId="77777777" w:rsidR="00DF410E" w:rsidRDefault="00CE7F43">
      <w:pPr>
        <w:jc w:val="both"/>
      </w:pPr>
      <w:r>
        <w:rPr>
          <w:b/>
        </w:rPr>
        <w:t>Traitement de finition du bois</w:t>
      </w:r>
    </w:p>
    <w:p w14:paraId="53E5F8DD" w14:textId="77777777" w:rsidR="00DF410E" w:rsidRDefault="00CE7F43">
      <w:pPr>
        <w:jc w:val="both"/>
      </w:pPr>
      <w:r>
        <w:t xml:space="preserve">Finition des parties visibles du bois : </w:t>
      </w:r>
      <w:r>
        <w:rPr>
          <w:rStyle w:val="optioncarChar"/>
        </w:rPr>
        <w:t>pas de finition</w:t>
      </w:r>
      <w:r>
        <w:t xml:space="preserve"> (par défaut)</w:t>
      </w:r>
      <w:r>
        <w:rPr>
          <w:rStyle w:val="optioncarChar"/>
        </w:rPr>
        <w:t xml:space="preserve"> / application d’une finition</w:t>
      </w:r>
    </w:p>
    <w:p w14:paraId="38891E5D" w14:textId="77777777" w:rsidR="00DF410E" w:rsidRDefault="00CE7F43">
      <w:pPr>
        <w:jc w:val="both"/>
      </w:pPr>
      <w:r>
        <w:rPr>
          <w:u w:val="single"/>
        </w:rPr>
        <w:t>Dans le cas de l’application d’une finition sur le bois prévue dans le présent travail :</w:t>
      </w:r>
    </w:p>
    <w:p w14:paraId="7F5E94B9" w14:textId="77777777" w:rsidR="00DF410E" w:rsidRDefault="00CE7F43">
      <w:pPr>
        <w:pStyle w:val="Author-eListParagraph"/>
        <w:numPr>
          <w:ilvl w:val="0"/>
          <w:numId w:val="1033"/>
        </w:numPr>
        <w:jc w:val="both"/>
      </w:pPr>
      <w:r>
        <w:t>Type de traitement :</w:t>
      </w:r>
      <w:r>
        <w:rPr>
          <w:rStyle w:val="optioncarChar"/>
        </w:rPr>
        <w:t xml:space="preserve"> lasure </w:t>
      </w:r>
      <w:r>
        <w:t>(par défaut)</w:t>
      </w:r>
      <w:r>
        <w:rPr>
          <w:rStyle w:val="optioncarChar"/>
        </w:rPr>
        <w:t xml:space="preserve"> / verni / peinture / huile / céruse</w:t>
      </w:r>
    </w:p>
    <w:p w14:paraId="6A7C6D39" w14:textId="77777777" w:rsidR="00DF410E" w:rsidRDefault="00CE7F43">
      <w:pPr>
        <w:pStyle w:val="Author-eListParagraph"/>
        <w:numPr>
          <w:ilvl w:val="0"/>
          <w:numId w:val="1033"/>
        </w:numPr>
        <w:jc w:val="both"/>
      </w:pPr>
      <w:r>
        <w:t xml:space="preserve">Teinte : </w:t>
      </w:r>
      <w:r>
        <w:rPr>
          <w:rStyle w:val="optioncarChar"/>
        </w:rPr>
        <w:t>transparent</w:t>
      </w:r>
      <w:r>
        <w:t xml:space="preserve"> (par défaut)</w:t>
      </w:r>
      <w:r>
        <w:rPr>
          <w:rStyle w:val="optioncarChar"/>
        </w:rPr>
        <w:t xml:space="preserve"> / pigmenté blanchâtre / blanc / RAL : ***</w:t>
      </w:r>
    </w:p>
    <w:p w14:paraId="427712D3" w14:textId="77777777" w:rsidR="00DF410E" w:rsidRDefault="00CE7F43">
      <w:pPr>
        <w:pStyle w:val="pheading"/>
      </w:pPr>
      <w:r>
        <w:t>EXÉCUTION / MISE EN ŒUVRE</w:t>
      </w:r>
    </w:p>
    <w:p w14:paraId="6D1A10CD" w14:textId="77777777" w:rsidR="00DF410E" w:rsidRDefault="00CE7F43">
      <w:pPr>
        <w:pStyle w:val="pheading"/>
      </w:pPr>
      <w:r>
        <w:t>- Prescriptions générales</w:t>
      </w:r>
    </w:p>
    <w:p w14:paraId="1C0374BF" w14:textId="77777777" w:rsidR="00DF410E" w:rsidRDefault="00CE7F43">
      <w:pPr>
        <w:jc w:val="both"/>
      </w:pPr>
      <w:r>
        <w:t>Toutes les pièces sont profilées et ouvragées conformément à l'étude et aux plans d'exécution réalisés par l’adjudicataire. Ces documents d'exécution sont soumis à l'approbation de l’auteur de projet.</w:t>
      </w:r>
    </w:p>
    <w:p w14:paraId="4BA288FF" w14:textId="77777777" w:rsidR="00DF410E" w:rsidRDefault="00CE7F43">
      <w:pPr>
        <w:jc w:val="both"/>
      </w:pPr>
      <w:r>
        <w:t xml:space="preserve">L'étude et les plans d'exécution sont réalisés sur base : </w:t>
      </w:r>
      <w:r>
        <w:rPr>
          <w:rStyle w:val="optioncarChar"/>
        </w:rPr>
        <w:t xml:space="preserve">des études à charge de l’entreprise </w:t>
      </w:r>
      <w:r>
        <w:t>(par défaut)</w:t>
      </w:r>
      <w:r>
        <w:rPr>
          <w:rStyle w:val="optioncarChar"/>
        </w:rPr>
        <w:t xml:space="preserve"> / des études et dessins de détail annexés au dossier de soumission</w:t>
      </w:r>
      <w:r>
        <w:t>.</w:t>
      </w:r>
    </w:p>
    <w:p w14:paraId="356E6EA9" w14:textId="77777777" w:rsidR="00DF410E" w:rsidRDefault="00CE7F43">
      <w:pPr>
        <w:jc w:val="both"/>
      </w:pPr>
      <w:r>
        <w:rPr>
          <w:b/>
        </w:rPr>
        <w:t>Etudes et dessins de détail annexés au dossier de soumission</w:t>
      </w:r>
      <w:r>
        <w:t> </w:t>
      </w:r>
    </w:p>
    <w:p w14:paraId="689822EF" w14:textId="77777777" w:rsidR="00DF410E" w:rsidRDefault="00CE7F43">
      <w:pPr>
        <w:jc w:val="both"/>
      </w:pPr>
      <w:r>
        <w:t>Les dessins d’exécution sont réalisés selon l’étude des plans et des détails de l'auteur de projet annexés au dossier de soumission.</w:t>
      </w:r>
    </w:p>
    <w:p w14:paraId="2F8106FD" w14:textId="77777777" w:rsidR="00DF410E" w:rsidRDefault="00CE7F43">
      <w:pPr>
        <w:jc w:val="both"/>
      </w:pPr>
      <w:r>
        <w:rPr>
          <w:b/>
        </w:rPr>
        <w:t>Etudes à charge de l’entreprise</w:t>
      </w:r>
      <w:r>
        <w:t> </w:t>
      </w:r>
    </w:p>
    <w:p w14:paraId="03F5DB6D" w14:textId="77777777" w:rsidR="00DF410E" w:rsidRDefault="00CE7F43">
      <w:pPr>
        <w:jc w:val="both"/>
      </w:pPr>
      <w:r>
        <w:t>Les frais pour la réalisation de l'étude des auvents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09EF8AF7" w14:textId="77777777" w:rsidR="00DF410E" w:rsidRDefault="00CE7F43">
      <w:pPr>
        <w:jc w:val="both"/>
      </w:pPr>
      <w:r>
        <w:t>L’étude est établie suivant les indications données sur les plans et coupes de principe du dossier de soumission et des informations suivantes, le tout donné à titre indicatif pour orienter l’entreprise :</w:t>
      </w:r>
    </w:p>
    <w:p w14:paraId="45B2D935" w14:textId="77777777" w:rsidR="00DF410E" w:rsidRDefault="00CE7F43">
      <w:pPr>
        <w:pStyle w:val="Author-eListParagraph"/>
        <w:numPr>
          <w:ilvl w:val="0"/>
          <w:numId w:val="1034"/>
        </w:numPr>
      </w:pPr>
      <w:r>
        <w:t xml:space="preserve">Forme de toiture des auvents : </w:t>
      </w:r>
      <w:r>
        <w:rPr>
          <w:rStyle w:val="optioncarChar"/>
        </w:rPr>
        <w:t xml:space="preserve">à 1 versant </w:t>
      </w:r>
      <w:r>
        <w:t>(par défaut)</w:t>
      </w:r>
      <w:r>
        <w:rPr>
          <w:rStyle w:val="optioncarChar"/>
        </w:rPr>
        <w:t xml:space="preserve"> / à 2 versants (symétriques) / à 2 versants (non symétriques) / plates</w:t>
      </w:r>
    </w:p>
    <w:p w14:paraId="794397EC" w14:textId="77777777" w:rsidR="00DF410E" w:rsidRDefault="00CE7F43">
      <w:pPr>
        <w:pStyle w:val="Author-eListParagraph"/>
        <w:numPr>
          <w:ilvl w:val="0"/>
          <w:numId w:val="1034"/>
        </w:numPr>
      </w:pPr>
      <w:r>
        <w:t xml:space="preserve">Pentes de toiture : </w:t>
      </w:r>
      <w:r>
        <w:rPr>
          <w:rStyle w:val="optioncarChar"/>
        </w:rPr>
        <w:t>***</w:t>
      </w:r>
    </w:p>
    <w:p w14:paraId="3128387D" w14:textId="77777777" w:rsidR="00DF410E" w:rsidRDefault="00CE7F43">
      <w:pPr>
        <w:pStyle w:val="Author-eListParagraph"/>
        <w:numPr>
          <w:ilvl w:val="0"/>
          <w:numId w:val="1034"/>
        </w:numPr>
      </w:pPr>
      <w:r>
        <w:t xml:space="preserve">Pose des auvents : </w:t>
      </w:r>
      <w:r>
        <w:rPr>
          <w:rStyle w:val="optioncarChar"/>
        </w:rPr>
        <w:t xml:space="preserve">adossés à un/des mur(s) </w:t>
      </w:r>
      <w:r>
        <w:t>(par défaut)</w:t>
      </w:r>
      <w:r>
        <w:rPr>
          <w:rStyle w:val="optioncarChar"/>
        </w:rPr>
        <w:t xml:space="preserve"> / en indépendance</w:t>
      </w:r>
    </w:p>
    <w:p w14:paraId="6F0BE1B5" w14:textId="77777777" w:rsidR="00DF410E" w:rsidRDefault="00CE7F43">
      <w:pPr>
        <w:jc w:val="both"/>
      </w:pPr>
      <w:r>
        <w:rPr>
          <w:u w:val="single"/>
        </w:rPr>
        <w:t>Structures portantes</w:t>
      </w:r>
    </w:p>
    <w:p w14:paraId="35DED5D7" w14:textId="77777777" w:rsidR="00DF410E" w:rsidRDefault="00CE7F43">
      <w:pPr>
        <w:pStyle w:val="Author-eListParagraph"/>
        <w:numPr>
          <w:ilvl w:val="0"/>
          <w:numId w:val="1035"/>
        </w:numPr>
      </w:pPr>
      <w:r>
        <w:t xml:space="preserve">Type d’assemblages des éléments de structures (référence au titre </w:t>
      </w:r>
      <w:hyperlink w:anchor="583" w:history="1">
        <w:r>
          <w:t>24.4 Assemblages</w:t>
        </w:r>
      </w:hyperlink>
      <w:r>
        <w:t>) :</w:t>
      </w:r>
      <w:r>
        <w:rPr>
          <w:rStyle w:val="optioncarChar"/>
        </w:rPr>
        <w:t xml:space="preserve"> mécaniques </w:t>
      </w:r>
      <w:r>
        <w:t xml:space="preserve">(par défaut) </w:t>
      </w:r>
      <w:r>
        <w:rPr>
          <w:rStyle w:val="optioncarChar"/>
        </w:rPr>
        <w:t>/ traditionnels</w:t>
      </w:r>
    </w:p>
    <w:p w14:paraId="40BE60F6" w14:textId="77777777" w:rsidR="00DF410E" w:rsidRDefault="00CE7F43">
      <w:pPr>
        <w:pStyle w:val="Author-eListParagraph"/>
        <w:numPr>
          <w:ilvl w:val="0"/>
          <w:numId w:val="1035"/>
        </w:numPr>
      </w:pPr>
      <w:r>
        <w:t xml:space="preserve">Type de structures portantes : </w:t>
      </w:r>
      <w:r>
        <w:rPr>
          <w:rStyle w:val="optioncarChar"/>
        </w:rPr>
        <w:t>consoles fixées aux murs et colonnes/poutres</w:t>
      </w:r>
      <w:r>
        <w:t xml:space="preserve"> (par défaut)</w:t>
      </w:r>
      <w:r>
        <w:rPr>
          <w:rStyle w:val="optioncarChar"/>
        </w:rPr>
        <w:t xml:space="preserve"> / consoles fixées aux murs / colonnes/poutres</w:t>
      </w:r>
    </w:p>
    <w:p w14:paraId="629A9E9F" w14:textId="77777777" w:rsidR="00DF410E" w:rsidRDefault="00CE7F43">
      <w:pPr>
        <w:ind w:left="567"/>
        <w:jc w:val="both"/>
      </w:pPr>
      <w:r>
        <w:rPr>
          <w:b/>
        </w:rPr>
        <w:t>(soit par défaut)</w:t>
      </w:r>
    </w:p>
    <w:p w14:paraId="60C4311F" w14:textId="77777777" w:rsidR="00DF410E" w:rsidRDefault="00CE7F43">
      <w:pPr>
        <w:ind w:left="567"/>
        <w:jc w:val="both"/>
      </w:pPr>
      <w:r>
        <w:rPr>
          <w:rStyle w:val="soitChar"/>
          <w:u w:val="single"/>
        </w:rPr>
        <w:t>Consoles fixées aux murs et colonnes/poutres</w:t>
      </w:r>
    </w:p>
    <w:p w14:paraId="619D59A9" w14:textId="77777777" w:rsidR="00DF410E" w:rsidRDefault="00CE7F43">
      <w:pPr>
        <w:ind w:left="567"/>
        <w:jc w:val="both"/>
      </w:pPr>
      <w:r>
        <w:rPr>
          <w:rStyle w:val="soitChar"/>
        </w:rPr>
        <w:t>Côté murs, les auvents sont fixés à l’aide de consoles ; le côté opposé s’appuie sur des systèmes colonnes/poutres.</w:t>
      </w:r>
    </w:p>
    <w:p w14:paraId="6C859BB5" w14:textId="77777777" w:rsidR="00DF410E" w:rsidRDefault="00CE7F43">
      <w:pPr>
        <w:pStyle w:val="Author-eListParagraph"/>
        <w:numPr>
          <w:ilvl w:val="0"/>
          <w:numId w:val="1036"/>
        </w:numPr>
      </w:pPr>
      <w:r>
        <w:rPr>
          <w:rStyle w:val="soitChar"/>
        </w:rPr>
        <w:t xml:space="preserve">Profil du bois des consoles murales : </w:t>
      </w:r>
      <w:r>
        <w:rPr>
          <w:rStyle w:val="optioncarChar"/>
        </w:rPr>
        <w:t>rectangulaire</w:t>
      </w:r>
      <w:r>
        <w:t>  (par défaut)</w:t>
      </w:r>
      <w:r>
        <w:rPr>
          <w:rStyle w:val="optioncarChar"/>
        </w:rPr>
        <w:t xml:space="preserve"> / carré / rond</w:t>
      </w:r>
      <w:r>
        <w:rPr>
          <w:rStyle w:val="soitChar"/>
        </w:rPr>
        <w:t>.</w:t>
      </w:r>
    </w:p>
    <w:p w14:paraId="5CB35D7F" w14:textId="77777777" w:rsidR="00DF410E" w:rsidRDefault="00CE7F43">
      <w:pPr>
        <w:pStyle w:val="Author-eListParagraph"/>
        <w:numPr>
          <w:ilvl w:val="0"/>
          <w:numId w:val="1036"/>
        </w:numPr>
      </w:pPr>
      <w:r>
        <w:rPr>
          <w:rStyle w:val="soitChar"/>
        </w:rPr>
        <w:t xml:space="preserve">Profil du bois des colonnes/poutres : </w:t>
      </w:r>
      <w:r>
        <w:rPr>
          <w:rStyle w:val="optioncarChar"/>
        </w:rPr>
        <w:t>rectangulaire</w:t>
      </w:r>
      <w:r>
        <w:t>  (par défaut)</w:t>
      </w:r>
      <w:r>
        <w:rPr>
          <w:rStyle w:val="optioncarChar"/>
        </w:rPr>
        <w:t xml:space="preserve"> / carré / rond</w:t>
      </w:r>
      <w:r>
        <w:rPr>
          <w:rStyle w:val="soitChar"/>
        </w:rPr>
        <w:t>.</w:t>
      </w:r>
    </w:p>
    <w:p w14:paraId="6816BCF5" w14:textId="77777777" w:rsidR="00DF410E" w:rsidRDefault="00CE7F43">
      <w:pPr>
        <w:ind w:left="567"/>
        <w:jc w:val="both"/>
      </w:pPr>
      <w:r>
        <w:rPr>
          <w:rStyle w:val="soitChar"/>
        </w:rPr>
        <w:t>Les colonnes reposent sur des fondations adéquates (non comprises dans le présent travail) par l’intermédiaire de pieds de colonnes métalliques. Les colonnes ne peuvent en aucun cas être en contact direct avec sol.</w:t>
      </w:r>
    </w:p>
    <w:p w14:paraId="4B5BEB74" w14:textId="77777777" w:rsidR="00DF410E" w:rsidRDefault="00CE7F43">
      <w:pPr>
        <w:ind w:left="567"/>
        <w:jc w:val="both"/>
      </w:pPr>
      <w:r>
        <w:rPr>
          <w:rStyle w:val="soitChar"/>
        </w:rPr>
        <w:t>Les consoles sont fixées au bâtiment par ancrages en nombre et dimensions adéquats.</w:t>
      </w:r>
    </w:p>
    <w:p w14:paraId="2064A2ED" w14:textId="77777777" w:rsidR="00DF410E" w:rsidRDefault="00CE7F43">
      <w:pPr>
        <w:pStyle w:val="Author-eListParagraph"/>
        <w:numPr>
          <w:ilvl w:val="1"/>
          <w:numId w:val="1037"/>
        </w:numPr>
      </w:pPr>
      <w:r>
        <w:rPr>
          <w:color w:val="33CCCC"/>
        </w:rPr>
        <w:t>Type d’ancrages (voir au </w:t>
      </w:r>
      <w:hyperlink w:anchor="583" w:history="1">
        <w:r>
          <w:t>24.4 Assemblages</w:t>
        </w:r>
      </w:hyperlink>
      <w:r>
        <w:t> </w:t>
      </w:r>
      <w:r>
        <w:rPr>
          <w:color w:val="33CCCC"/>
        </w:rPr>
        <w:t>) : </w:t>
      </w:r>
      <w:r>
        <w:rPr>
          <w:rStyle w:val="optioncarChar"/>
        </w:rPr>
        <w:t>mécaniques</w:t>
      </w:r>
      <w:r>
        <w:t> (par défaut) </w:t>
      </w:r>
      <w:r>
        <w:rPr>
          <w:rStyle w:val="optioncarChar"/>
        </w:rPr>
        <w:t>/ chimiques</w:t>
      </w:r>
    </w:p>
    <w:p w14:paraId="4FCB1325" w14:textId="77777777" w:rsidR="00DF410E" w:rsidRDefault="00CE7F43">
      <w:pPr>
        <w:ind w:left="567"/>
        <w:jc w:val="both"/>
      </w:pPr>
      <w:r>
        <w:rPr>
          <w:b/>
        </w:rPr>
        <w:t>(soit)</w:t>
      </w:r>
    </w:p>
    <w:p w14:paraId="3CAA635C" w14:textId="77777777" w:rsidR="00DF410E" w:rsidRDefault="00CE7F43">
      <w:pPr>
        <w:ind w:left="567"/>
        <w:jc w:val="both"/>
      </w:pPr>
      <w:r>
        <w:rPr>
          <w:rStyle w:val="soitChar"/>
          <w:u w:val="single"/>
        </w:rPr>
        <w:t>Consoles fixées aux murs</w:t>
      </w:r>
    </w:p>
    <w:p w14:paraId="6FB28FFE" w14:textId="77777777" w:rsidR="00DF410E" w:rsidRDefault="00CE7F43">
      <w:pPr>
        <w:ind w:left="567"/>
        <w:jc w:val="both"/>
      </w:pPr>
      <w:r>
        <w:rPr>
          <w:rStyle w:val="soitChar"/>
        </w:rPr>
        <w:t>Les auvents sont fixés à l’aide de consoles ancrées solidement aux murs.</w:t>
      </w:r>
    </w:p>
    <w:p w14:paraId="304AFFBB" w14:textId="77777777" w:rsidR="00DF410E" w:rsidRDefault="00CE7F43">
      <w:pPr>
        <w:pStyle w:val="Author-eListParagraph"/>
        <w:numPr>
          <w:ilvl w:val="0"/>
          <w:numId w:val="1038"/>
        </w:numPr>
      </w:pPr>
      <w:r>
        <w:rPr>
          <w:rStyle w:val="soitChar"/>
        </w:rPr>
        <w:t xml:space="preserve">Profil des consoles murales : </w:t>
      </w:r>
      <w:r>
        <w:rPr>
          <w:rStyle w:val="optioncarChar"/>
        </w:rPr>
        <w:t xml:space="preserve">rectangulaire </w:t>
      </w:r>
      <w:r>
        <w:t>(par défaut)</w:t>
      </w:r>
      <w:r>
        <w:rPr>
          <w:rStyle w:val="optioncarChar"/>
        </w:rPr>
        <w:t xml:space="preserve"> / carré / rond.</w:t>
      </w:r>
    </w:p>
    <w:p w14:paraId="48417788" w14:textId="77777777" w:rsidR="00DF410E" w:rsidRDefault="00CE7F43">
      <w:pPr>
        <w:ind w:left="567"/>
      </w:pPr>
      <w:r>
        <w:rPr>
          <w:rStyle w:val="soitChar"/>
        </w:rPr>
        <w:t>Les consoles sont fixées au bâtiment par ancrages en nombre et dimensions adéquats.</w:t>
      </w:r>
    </w:p>
    <w:p w14:paraId="12938B01" w14:textId="77777777" w:rsidR="00DF410E" w:rsidRDefault="00CE7F43">
      <w:pPr>
        <w:pStyle w:val="Author-eListParagraph"/>
        <w:numPr>
          <w:ilvl w:val="1"/>
          <w:numId w:val="1039"/>
        </w:numPr>
      </w:pPr>
      <w:r>
        <w:rPr>
          <w:color w:val="33CCCC"/>
        </w:rPr>
        <w:t>Type d’ancrages (voir au </w:t>
      </w:r>
      <w:hyperlink w:anchor="583" w:history="1">
        <w:r>
          <w:t>24.4 Assemblages</w:t>
        </w:r>
      </w:hyperlink>
      <w:r>
        <w:t> </w:t>
      </w:r>
      <w:r>
        <w:rPr>
          <w:color w:val="33CCCC"/>
        </w:rPr>
        <w:t>) : </w:t>
      </w:r>
      <w:r>
        <w:rPr>
          <w:rStyle w:val="optioncarChar"/>
        </w:rPr>
        <w:t>mécaniques</w:t>
      </w:r>
      <w:r>
        <w:t> (par défaut) </w:t>
      </w:r>
      <w:r>
        <w:rPr>
          <w:rStyle w:val="optioncarChar"/>
        </w:rPr>
        <w:t>/ chimiques</w:t>
      </w:r>
    </w:p>
    <w:p w14:paraId="41485CBC" w14:textId="77777777" w:rsidR="00DF410E" w:rsidRDefault="00CE7F43">
      <w:pPr>
        <w:ind w:left="567"/>
        <w:jc w:val="both"/>
      </w:pPr>
      <w:r>
        <w:rPr>
          <w:b/>
        </w:rPr>
        <w:t>(soit)</w:t>
      </w:r>
    </w:p>
    <w:p w14:paraId="101A7B0E" w14:textId="77777777" w:rsidR="00DF410E" w:rsidRDefault="00CE7F43">
      <w:pPr>
        <w:ind w:left="567"/>
        <w:jc w:val="both"/>
      </w:pPr>
      <w:r>
        <w:rPr>
          <w:rStyle w:val="soitChar"/>
          <w:u w:val="single"/>
        </w:rPr>
        <w:t>Colonnes/poutres</w:t>
      </w:r>
    </w:p>
    <w:p w14:paraId="62EF8AFF" w14:textId="77777777" w:rsidR="00DF410E" w:rsidRDefault="00CE7F43">
      <w:pPr>
        <w:ind w:left="567"/>
        <w:jc w:val="both"/>
      </w:pPr>
      <w:r>
        <w:rPr>
          <w:rStyle w:val="soitChar"/>
        </w:rPr>
        <w:t>Les auvents s’appuient sur des systèmes colonnes/poutres.</w:t>
      </w:r>
    </w:p>
    <w:p w14:paraId="1AB43A59" w14:textId="77777777" w:rsidR="00DF410E" w:rsidRDefault="00CE7F43">
      <w:pPr>
        <w:ind w:left="567"/>
        <w:jc w:val="both"/>
      </w:pPr>
      <w:r>
        <w:rPr>
          <w:rStyle w:val="soitChar"/>
        </w:rPr>
        <w:t>Les colonnes reposent sur des fondations adéquates (non comprises dans le présent travail) par l’intermédiaire de pieds de colonnes métalliques. Les colonnes ne peuvent en aucun cas être en contact direct avec sol.</w:t>
      </w:r>
    </w:p>
    <w:p w14:paraId="0F2F166B" w14:textId="77777777" w:rsidR="00DF410E" w:rsidRDefault="00CE7F43">
      <w:pPr>
        <w:pStyle w:val="Author-eListParagraph"/>
        <w:numPr>
          <w:ilvl w:val="0"/>
          <w:numId w:val="1040"/>
        </w:numPr>
      </w:pPr>
      <w:r>
        <w:rPr>
          <w:rStyle w:val="soitChar"/>
        </w:rPr>
        <w:t xml:space="preserve">Profil des colonnes/poutres : </w:t>
      </w:r>
      <w:r>
        <w:rPr>
          <w:rStyle w:val="optioncarChar"/>
        </w:rPr>
        <w:t xml:space="preserve">rectangulaire </w:t>
      </w:r>
      <w:r>
        <w:t>(par défaut)</w:t>
      </w:r>
      <w:r>
        <w:rPr>
          <w:rStyle w:val="optioncarChar"/>
        </w:rPr>
        <w:t xml:space="preserve"> / carré / rond.</w:t>
      </w:r>
    </w:p>
    <w:p w14:paraId="1C7BAF2F" w14:textId="77777777" w:rsidR="00DF410E" w:rsidRDefault="00CE7F43">
      <w:pPr>
        <w:jc w:val="both"/>
      </w:pPr>
      <w:r>
        <w:rPr>
          <w:u w:val="single"/>
        </w:rPr>
        <w:t>Charpente</w:t>
      </w:r>
    </w:p>
    <w:p w14:paraId="4FFC6D46" w14:textId="77777777" w:rsidR="00DF410E" w:rsidRDefault="00CE7F43">
      <w:pPr>
        <w:pStyle w:val="Author-eListParagraph"/>
        <w:numPr>
          <w:ilvl w:val="0"/>
          <w:numId w:val="1041"/>
        </w:numPr>
      </w:pPr>
      <w:r>
        <w:t xml:space="preserve">Profil des fermes : </w:t>
      </w:r>
      <w:r>
        <w:rPr>
          <w:rStyle w:val="optioncarChar"/>
        </w:rPr>
        <w:t xml:space="preserve">pas de fermes </w:t>
      </w:r>
      <w:r>
        <w:t>(par défaut)</w:t>
      </w:r>
      <w:r>
        <w:rPr>
          <w:rStyle w:val="optioncarChar"/>
        </w:rPr>
        <w:t xml:space="preserve"> / rectangulaire / carré / rond</w:t>
      </w:r>
    </w:p>
    <w:p w14:paraId="21F8F00C" w14:textId="77777777" w:rsidR="00DF410E" w:rsidRDefault="00CE7F43">
      <w:pPr>
        <w:pStyle w:val="Author-eListParagraph"/>
        <w:numPr>
          <w:ilvl w:val="0"/>
          <w:numId w:val="1041"/>
        </w:numPr>
      </w:pPr>
      <w:r>
        <w:t xml:space="preserve">Profil des pannes : </w:t>
      </w:r>
      <w:r>
        <w:rPr>
          <w:rStyle w:val="optioncarChar"/>
        </w:rPr>
        <w:t>rectangulaire</w:t>
      </w:r>
      <w:r>
        <w:t xml:space="preserve"> (par défaut) </w:t>
      </w:r>
      <w:r>
        <w:rPr>
          <w:rStyle w:val="optioncarChar"/>
        </w:rPr>
        <w:t>/ carré / circulaire</w:t>
      </w:r>
    </w:p>
    <w:p w14:paraId="661DB920" w14:textId="77777777" w:rsidR="00DF410E" w:rsidRDefault="00CE7F43">
      <w:pPr>
        <w:pStyle w:val="Author-eListParagraph"/>
        <w:numPr>
          <w:ilvl w:val="0"/>
          <w:numId w:val="1041"/>
        </w:numPr>
      </w:pPr>
      <w:r>
        <w:t xml:space="preserve">Profil des chevrons : </w:t>
      </w:r>
      <w:r>
        <w:rPr>
          <w:rStyle w:val="optioncarChar"/>
        </w:rPr>
        <w:t xml:space="preserve">rectangulaire </w:t>
      </w:r>
      <w:r>
        <w:t xml:space="preserve">(par défaut) </w:t>
      </w:r>
      <w:r>
        <w:rPr>
          <w:rStyle w:val="optioncarChar"/>
        </w:rPr>
        <w:t>/ carré / circulaire</w:t>
      </w:r>
    </w:p>
    <w:p w14:paraId="1D53E661" w14:textId="77777777" w:rsidR="00DF410E" w:rsidRDefault="00CE7F43">
      <w:pPr>
        <w:pStyle w:val="Author-eListParagraph"/>
        <w:numPr>
          <w:ilvl w:val="0"/>
          <w:numId w:val="1041"/>
        </w:numPr>
      </w:pPr>
      <w:r>
        <w:t xml:space="preserve">Type d’assemblages des éléments de charpente (voir au </w:t>
      </w:r>
      <w:hyperlink w:anchor="583" w:history="1">
        <w:r>
          <w:t>24.4 Assemblages</w:t>
        </w:r>
      </w:hyperlink>
      <w:r>
        <w:t xml:space="preserve">) : </w:t>
      </w:r>
      <w:r>
        <w:rPr>
          <w:rStyle w:val="optioncarChar"/>
        </w:rPr>
        <w:t>mécaniques</w:t>
      </w:r>
      <w:r>
        <w:t xml:space="preserve"> (par défaut)</w:t>
      </w:r>
      <w:r>
        <w:rPr>
          <w:rStyle w:val="optioncarChar"/>
        </w:rPr>
        <w:t xml:space="preserve"> / traditionnels</w:t>
      </w:r>
    </w:p>
    <w:p w14:paraId="36B9E457" w14:textId="77777777" w:rsidR="00DF410E" w:rsidRDefault="00CE7F43">
      <w:pPr>
        <w:jc w:val="both"/>
      </w:pPr>
      <w:r>
        <w:rPr>
          <w:u w:val="single"/>
        </w:rPr>
        <w:t>Contreventements</w:t>
      </w:r>
    </w:p>
    <w:p w14:paraId="1479B3ED" w14:textId="77777777" w:rsidR="00DF410E" w:rsidRDefault="00CE7F43">
      <w:pPr>
        <w:jc w:val="both"/>
      </w:pPr>
      <w:r>
        <w:t xml:space="preserve">Les contreventements sont en </w:t>
      </w:r>
      <w:r>
        <w:rPr>
          <w:rStyle w:val="optioncarChar"/>
        </w:rPr>
        <w:t xml:space="preserve">bois </w:t>
      </w:r>
      <w:r>
        <w:t>(par défaut)</w:t>
      </w:r>
      <w:r>
        <w:rPr>
          <w:rStyle w:val="optioncarChar"/>
        </w:rPr>
        <w:t> / acier</w:t>
      </w:r>
    </w:p>
    <w:p w14:paraId="1BF8482B" w14:textId="77777777" w:rsidR="00DF410E" w:rsidRDefault="00CE7F43">
      <w:pPr>
        <w:jc w:val="both"/>
      </w:pPr>
      <w:r>
        <w:rPr>
          <w:b/>
        </w:rPr>
        <w:t>(soit par défaut)</w:t>
      </w:r>
    </w:p>
    <w:p w14:paraId="1EF54E86" w14:textId="77777777" w:rsidR="00DF410E" w:rsidRDefault="00CE7F43">
      <w:pPr>
        <w:jc w:val="both"/>
      </w:pPr>
      <w:r>
        <w:rPr>
          <w:rStyle w:val="soitChar"/>
          <w:u w:val="single"/>
        </w:rPr>
        <w:t>En bois</w:t>
      </w:r>
    </w:p>
    <w:p w14:paraId="43D2274C" w14:textId="77777777" w:rsidR="00DF410E" w:rsidRDefault="00CE7F43">
      <w:pPr>
        <w:pStyle w:val="Author-eListParagraph"/>
        <w:numPr>
          <w:ilvl w:val="0"/>
          <w:numId w:val="1042"/>
        </w:numPr>
      </w:pPr>
      <w:r>
        <w:rPr>
          <w:rStyle w:val="soitChar"/>
        </w:rPr>
        <w:t xml:space="preserve">Profil : </w:t>
      </w:r>
      <w:r>
        <w:rPr>
          <w:rStyle w:val="optioncarChar"/>
        </w:rPr>
        <w:t xml:space="preserve">rectangulaire </w:t>
      </w:r>
      <w:r>
        <w:t xml:space="preserve">(par défaut) </w:t>
      </w:r>
      <w:r>
        <w:rPr>
          <w:rStyle w:val="optioncarChar"/>
        </w:rPr>
        <w:t>/ carré / circulaire</w:t>
      </w:r>
    </w:p>
    <w:p w14:paraId="703A666C" w14:textId="77777777" w:rsidR="00DF410E" w:rsidRDefault="00CE7F43">
      <w:pPr>
        <w:pStyle w:val="Author-eListParagraph"/>
        <w:numPr>
          <w:ilvl w:val="0"/>
          <w:numId w:val="1042"/>
        </w:numPr>
      </w:pPr>
      <w:r>
        <w:rPr>
          <w:rStyle w:val="soitChar"/>
        </w:rPr>
        <w:t xml:space="preserve">Assemblages à la structure : </w:t>
      </w:r>
      <w:r>
        <w:rPr>
          <w:rStyle w:val="optioncarChar"/>
        </w:rPr>
        <w:t xml:space="preserve">boulonnés </w:t>
      </w:r>
      <w:r>
        <w:t>(par défaut)</w:t>
      </w:r>
      <w:r>
        <w:rPr>
          <w:rStyle w:val="optioncarChar"/>
        </w:rPr>
        <w:t xml:space="preserve"> / cloués / vissés</w:t>
      </w:r>
    </w:p>
    <w:p w14:paraId="0B7838F2" w14:textId="77777777" w:rsidR="00DF410E" w:rsidRDefault="00CE7F43">
      <w:pPr>
        <w:jc w:val="both"/>
      </w:pPr>
      <w:r>
        <w:rPr>
          <w:b/>
        </w:rPr>
        <w:t>(soit)</w:t>
      </w:r>
    </w:p>
    <w:p w14:paraId="1E2D4B32" w14:textId="77777777" w:rsidR="00DF410E" w:rsidRDefault="00CE7F43">
      <w:pPr>
        <w:jc w:val="both"/>
      </w:pPr>
      <w:r>
        <w:rPr>
          <w:rStyle w:val="soitChar"/>
          <w:u w:val="single"/>
        </w:rPr>
        <w:t>En acier</w:t>
      </w:r>
    </w:p>
    <w:p w14:paraId="4AAA883E" w14:textId="77777777" w:rsidR="00DF410E" w:rsidRDefault="00CE7F43">
      <w:pPr>
        <w:pStyle w:val="Author-eListParagraph"/>
        <w:numPr>
          <w:ilvl w:val="0"/>
          <w:numId w:val="1043"/>
        </w:numPr>
      </w:pPr>
      <w:r>
        <w:rPr>
          <w:rStyle w:val="soitChar"/>
        </w:rPr>
        <w:t xml:space="preserve">Profil : </w:t>
      </w:r>
      <w:r>
        <w:rPr>
          <w:rStyle w:val="optioncarChar"/>
        </w:rPr>
        <w:t>câbles</w:t>
      </w:r>
      <w:r>
        <w:t xml:space="preserve"> (par défaut)</w:t>
      </w:r>
      <w:r>
        <w:rPr>
          <w:rStyle w:val="optioncarChar"/>
        </w:rPr>
        <w:t xml:space="preserve"> / tiges rondes / cornières L à ailes égales / ***</w:t>
      </w:r>
    </w:p>
    <w:p w14:paraId="0B398C84" w14:textId="77777777" w:rsidR="00DF410E" w:rsidRDefault="00CE7F43">
      <w:pPr>
        <w:pStyle w:val="Author-eListParagraph"/>
        <w:numPr>
          <w:ilvl w:val="0"/>
          <w:numId w:val="1043"/>
        </w:numPr>
      </w:pPr>
      <w:r>
        <w:rPr>
          <w:rStyle w:val="soitChar"/>
        </w:rPr>
        <w:t xml:space="preserve">Assemblages à la structure : </w:t>
      </w:r>
      <w:r>
        <w:rPr>
          <w:rStyle w:val="optioncarChar"/>
        </w:rPr>
        <w:t>boulonnés à la structure</w:t>
      </w:r>
      <w:r>
        <w:t xml:space="preserve"> (par défaut)</w:t>
      </w:r>
      <w:r>
        <w:rPr>
          <w:rStyle w:val="optioncarChar"/>
        </w:rPr>
        <w:t xml:space="preserve"> / boulonnés sur des goussets / pattes fixées à la structure</w:t>
      </w:r>
    </w:p>
    <w:p w14:paraId="39D05D33" w14:textId="77777777" w:rsidR="00DF410E" w:rsidRDefault="00CE7F43">
      <w:pPr>
        <w:jc w:val="both"/>
      </w:pPr>
      <w:r>
        <w:rPr>
          <w:u w:val="single"/>
        </w:rPr>
        <w:t>Sous-face avant la couverture</w:t>
      </w:r>
    </w:p>
    <w:p w14:paraId="09943EAE" w14:textId="77777777" w:rsidR="00DF410E" w:rsidRDefault="00CE7F43">
      <w:pPr>
        <w:jc w:val="both"/>
      </w:pPr>
      <w:r>
        <w:t xml:space="preserve">Type de finition de la sous-face : </w:t>
      </w:r>
      <w:r>
        <w:rPr>
          <w:rStyle w:val="optioncarChar"/>
        </w:rPr>
        <w:t xml:space="preserve">pas de finition / sous-toiture (voir au </w:t>
      </w:r>
      <w:hyperlink r:id="rId324" w:history="1" w:docLocation="626">
        <w:r>
          <w:rPr>
            <w:rStyle w:val="optioncarChar"/>
          </w:rPr>
          <w:t>32.1 Etanchéisation aux matières liquides (complexe type "toiture à versants")</w:t>
        </w:r>
      </w:hyperlink>
      <w:r>
        <w:rPr>
          <w:rStyle w:val="optioncarChar"/>
        </w:rPr>
        <w:t xml:space="preserve">) / voligeage-planches (suivant le </w:t>
      </w:r>
      <w:hyperlink r:id="rId325" w:history="1" w:docLocation="627">
        <w:r>
          <w:rPr>
            <w:rStyle w:val="optioncarChar"/>
          </w:rPr>
          <w:t>31.32.2a Voligeage - Planches</w:t>
        </w:r>
      </w:hyperlink>
      <w:r>
        <w:rPr>
          <w:rStyle w:val="optioncarChar"/>
        </w:rPr>
        <w:t xml:space="preserve">) </w:t>
      </w:r>
      <w:r>
        <w:t xml:space="preserve">(par défaut) </w:t>
      </w:r>
      <w:r>
        <w:rPr>
          <w:rStyle w:val="optioncarChar"/>
        </w:rPr>
        <w:t xml:space="preserve">/ panneautage (suivant le </w:t>
      </w:r>
      <w:hyperlink r:id="rId326" w:history="1" w:docLocation="628">
        <w:r>
          <w:rPr>
            <w:rStyle w:val="optioncarChar"/>
          </w:rPr>
          <w:t>31.32.3 Panneautage</w:t>
        </w:r>
      </w:hyperlink>
      <w:r>
        <w:rPr>
          <w:rStyle w:val="optioncarChar"/>
        </w:rPr>
        <w:t>)</w:t>
      </w:r>
      <w:r>
        <w:t> </w:t>
      </w:r>
    </w:p>
    <w:p w14:paraId="173541D3" w14:textId="77777777" w:rsidR="00DF410E" w:rsidRDefault="00CE7F43">
      <w:pPr>
        <w:pStyle w:val="pheading"/>
      </w:pPr>
      <w:r>
        <w:t>MESURAGE</w:t>
      </w:r>
    </w:p>
    <w:p w14:paraId="712B005C" w14:textId="77777777" w:rsidR="00DF410E" w:rsidRDefault="00CE7F43">
      <w:pPr>
        <w:pStyle w:val="pheading"/>
      </w:pPr>
      <w:r>
        <w:t>- unité de mesure:</w:t>
      </w:r>
    </w:p>
    <w:p w14:paraId="19B9B8EB" w14:textId="77777777" w:rsidR="00DF410E" w:rsidRDefault="00CE7F43">
      <w:r>
        <w:t>pc</w:t>
      </w:r>
    </w:p>
    <w:p w14:paraId="04F7CDA4" w14:textId="77777777" w:rsidR="00DF410E" w:rsidRDefault="00CE7F43">
      <w:pPr>
        <w:pStyle w:val="pheading"/>
      </w:pPr>
      <w:r>
        <w:t>- code de mesurage:</w:t>
      </w:r>
    </w:p>
    <w:p w14:paraId="3198BDE2" w14:textId="77777777" w:rsidR="00DF410E" w:rsidRDefault="00CE7F43">
      <w:pPr>
        <w:jc w:val="both"/>
      </w:pPr>
      <w:r>
        <w:t>Quantité nette à mettre en œuvre, tout compris, ventilée selon la nature des éléments constitutifs et des dimensions.</w:t>
      </w:r>
    </w:p>
    <w:p w14:paraId="4BB94E82" w14:textId="77777777" w:rsidR="00DF410E" w:rsidRDefault="00CE7F43">
      <w:pPr>
        <w:pStyle w:val="pheading"/>
      </w:pPr>
      <w:r>
        <w:t>- nature du marché:</w:t>
      </w:r>
    </w:p>
    <w:p w14:paraId="1F05AF0A" w14:textId="77777777" w:rsidR="00DF410E" w:rsidRDefault="00CE7F43">
      <w:r>
        <w:t>QF</w:t>
      </w:r>
    </w:p>
    <w:p w14:paraId="3818D5FF" w14:textId="77777777" w:rsidR="00DF410E" w:rsidRDefault="00CE7F43">
      <w:pPr>
        <w:pStyle w:val="Author-eSectionHeading3"/>
      </w:pPr>
      <w:bookmarkStart w:id="1715" w:name="_Toc178838798"/>
      <w:r>
        <w:t>24.4 Assemblages CCTB 01.11</w:t>
      </w:r>
      <w:bookmarkEnd w:id="1715"/>
    </w:p>
    <w:p w14:paraId="2BD6566E" w14:textId="77777777" w:rsidR="00DF410E" w:rsidRDefault="00CE7F43">
      <w:pPr>
        <w:pStyle w:val="pheading"/>
      </w:pPr>
      <w:bookmarkStart w:id="1716" w:name="583"/>
      <w:bookmarkEnd w:id="1716"/>
      <w:r>
        <w:t>DESCRIPTION</w:t>
      </w:r>
    </w:p>
    <w:p w14:paraId="58BE75AD" w14:textId="77777777" w:rsidR="00DF410E" w:rsidRDefault="00CE7F43">
      <w:pPr>
        <w:pStyle w:val="pheading"/>
      </w:pPr>
      <w:r>
        <w:t>- Définition / Comprend</w:t>
      </w:r>
    </w:p>
    <w:p w14:paraId="1DB56523" w14:textId="77777777" w:rsidR="00DF410E" w:rsidRDefault="00CE7F43">
      <w:pPr>
        <w:jc w:val="both"/>
      </w:pPr>
      <w:r>
        <w:t>Il s’agit de tout mode de jonction utilisé pour transmettre un effort d’un élément en bois à un autre élément.</w:t>
      </w:r>
    </w:p>
    <w:p w14:paraId="52F5A9C9" w14:textId="77777777" w:rsidR="00DF410E" w:rsidRDefault="00CE7F43">
      <w:pPr>
        <w:jc w:val="both"/>
      </w:pPr>
      <w:r>
        <w:t>Un assemblage est dit « structural » lorsqu’il joue un rôle dans la stabilité de la structure dans son ensemble ou dans une partie de celle-ci. Plus précisément on parle d’un assemblage structural lorsque :</w:t>
      </w:r>
    </w:p>
    <w:p w14:paraId="357F5518" w14:textId="77777777" w:rsidR="00DF410E" w:rsidRDefault="00CE7F43">
      <w:pPr>
        <w:pStyle w:val="Author-eListParagraph"/>
        <w:numPr>
          <w:ilvl w:val="0"/>
          <w:numId w:val="1044"/>
        </w:numPr>
      </w:pPr>
      <w:r>
        <w:t>La conception a un impact considérable sur les éléments structuraux ;</w:t>
      </w:r>
    </w:p>
    <w:p w14:paraId="70F041B9" w14:textId="77777777" w:rsidR="00DF410E" w:rsidRDefault="00CE7F43">
      <w:pPr>
        <w:pStyle w:val="Author-eListParagraph"/>
        <w:numPr>
          <w:ilvl w:val="0"/>
          <w:numId w:val="1044"/>
        </w:numPr>
      </w:pPr>
      <w:r>
        <w:t>Et/ou la conception a un enjeu architectural jugé important pour le projet ;</w:t>
      </w:r>
    </w:p>
    <w:p w14:paraId="4C164566" w14:textId="77777777" w:rsidR="00DF410E" w:rsidRDefault="00CE7F43">
      <w:pPr>
        <w:pStyle w:val="Author-eListParagraph"/>
        <w:numPr>
          <w:ilvl w:val="0"/>
          <w:numId w:val="1044"/>
        </w:numPr>
      </w:pPr>
      <w:r>
        <w:t>Et/ou la technique d’assemblage utilisée est trop technique que pour avoir recours à des sabots, étrier, vis disponibles sur le marché ;</w:t>
      </w:r>
    </w:p>
    <w:p w14:paraId="0D71492D" w14:textId="77777777" w:rsidR="00DF410E" w:rsidRDefault="00CE7F43">
      <w:pPr>
        <w:pStyle w:val="Author-eListParagraph"/>
        <w:numPr>
          <w:ilvl w:val="0"/>
          <w:numId w:val="1044"/>
        </w:numPr>
      </w:pPr>
      <w:r>
        <w:t>Et/ou la technique d’assemblage comporte un coût qui peut difficilement être intégré dans celui du bois, comme il est d’usage de le faire pour les assemblages courants.</w:t>
      </w:r>
      <w:r>
        <w:br/>
      </w:r>
    </w:p>
    <w:p w14:paraId="4E110522" w14:textId="77777777" w:rsidR="00DF410E" w:rsidRDefault="00CE7F43">
      <w:pPr>
        <w:jc w:val="both"/>
      </w:pPr>
      <w:r>
        <w:t>Sauf indication contraire au cahier spécial des charges, la fourniture et la pose des assemblages sont comprises dans l’article ou le poste des éléments qu’il assemble. Les exigences reprises dans ce titre et ses éléments enfants sont néanmoins respectées.</w:t>
      </w:r>
    </w:p>
    <w:p w14:paraId="7DFED59F" w14:textId="77777777" w:rsidR="00DF410E" w:rsidRDefault="00CE7F43">
      <w:pPr>
        <w:pStyle w:val="pheading"/>
      </w:pPr>
      <w:r>
        <w:t>EXÉCUTION / MISE EN ŒUVRE</w:t>
      </w:r>
    </w:p>
    <w:p w14:paraId="345620A9" w14:textId="77777777" w:rsidR="00DF410E" w:rsidRDefault="00CE7F43">
      <w:pPr>
        <w:jc w:val="both"/>
      </w:pPr>
      <w:r>
        <w:t>La structure est assemblée de telle sorte que les sur-contraintes dans les éléments ou les assemblages soient évitées.</w:t>
      </w:r>
    </w:p>
    <w:p w14:paraId="672FBC73" w14:textId="77777777" w:rsidR="00DF410E" w:rsidRDefault="00CE7F43">
      <w:pPr>
        <w:jc w:val="both"/>
      </w:pPr>
      <w:r>
        <w:t>Les éléments en bois qui sont gauchis, fendus ou mal positionnés au niveau des assemblages sont remplacés.</w:t>
      </w:r>
    </w:p>
    <w:p w14:paraId="2D5D6570" w14:textId="77777777" w:rsidR="00DF410E" w:rsidRDefault="00CE7F43">
      <w:pPr>
        <w:jc w:val="both"/>
      </w:pPr>
      <w:r>
        <w:t>Si un risque de fendage est présent, un dispositif est prévu afin de couturer l’éventuel départ de fissure (vis, tiges filetées enrobées d’époxy, plat, etc.).</w:t>
      </w:r>
    </w:p>
    <w:p w14:paraId="73095579" w14:textId="77777777" w:rsidR="00DF410E" w:rsidRDefault="00CE7F43">
      <w:pPr>
        <w:jc w:val="both"/>
      </w:pPr>
      <w:r>
        <w:t>Si un assemblage présente un risque de variations de la teneur en humidité des éléments en bois de plus de 2%, des mesures sont prises pour éviter les sur-contraintes dans les éléments ou d’affaiblir la performance globale de l’assemblage (trous oblongs, entaille de retrait, etc.).</w:t>
      </w:r>
    </w:p>
    <w:p w14:paraId="4820F05A" w14:textId="77777777" w:rsidR="00DF410E" w:rsidRDefault="00CE7F43">
      <w:pPr>
        <w:jc w:val="both"/>
      </w:pPr>
      <w:r>
        <w:t>En classe d’emploi 2 ou plus, les assemblages sont conçus de façon à permettre la ventilation du bois et à proscrire toute stagnation d’eau. </w:t>
      </w:r>
    </w:p>
    <w:p w14:paraId="32B18E07" w14:textId="77777777" w:rsidR="00DF410E" w:rsidRDefault="00CE7F43">
      <w:pPr>
        <w:jc w:val="both"/>
      </w:pPr>
      <w:r>
        <w:t>De façon générale, les flaches, fentes, nœuds et autres défauts doivent être évités dans la zone de l’assemblage de telle sorte que la capacité résistante de l’assemblage ne soit pas réduite.</w:t>
      </w:r>
    </w:p>
    <w:p w14:paraId="60A27A82" w14:textId="77777777" w:rsidR="00DF410E" w:rsidRDefault="00CE7F43">
      <w:pPr>
        <w:jc w:val="both"/>
      </w:pPr>
      <w:r>
        <w:rPr>
          <w:b/>
          <w:u w:val="single"/>
        </w:rPr>
        <w:t>Etude</w:t>
      </w:r>
    </w:p>
    <w:p w14:paraId="5442B081" w14:textId="77777777" w:rsidR="00DF410E" w:rsidRDefault="00CE7F43">
      <w:pPr>
        <w:jc w:val="both"/>
      </w:pPr>
      <w:r>
        <w:t>Le bureau d’études fournit à l’entreprise toutes les informations permettant le calcul et la conception des assemblages, notamment les charges, les efforts et les intentions architecturales.</w:t>
      </w:r>
    </w:p>
    <w:p w14:paraId="1D7A388E" w14:textId="77777777" w:rsidR="00DF410E" w:rsidRDefault="00CE7F43">
      <w:pPr>
        <w:jc w:val="both"/>
      </w:pPr>
      <w:r>
        <w:t>Le bureau d’études fournit des plans de principes pour les assemblages jugés comme structuraux (cf. point DESCRIPTION/Définition).</w:t>
      </w:r>
    </w:p>
    <w:p w14:paraId="74D86471" w14:textId="77777777" w:rsidR="00DF410E" w:rsidRDefault="00CE7F43">
      <w:pPr>
        <w:jc w:val="both"/>
      </w:pPr>
      <w:r>
        <w:t>Les autres assemblages (assemblages technologiques ou d’importance structurelle moindre) sont laissés à l’entreprise pour étude, toutes les informations nécessaires (efforts internes, classes d’emplois, etc.) au calcul et à la conception sont fournis à l’Ets.</w:t>
      </w:r>
    </w:p>
    <w:p w14:paraId="2C92407B" w14:textId="77777777" w:rsidR="00DF410E" w:rsidRDefault="00CE7F43">
      <w:pPr>
        <w:jc w:val="both"/>
      </w:pPr>
      <w:r>
        <w:t> </w:t>
      </w:r>
    </w:p>
    <w:p w14:paraId="01C08B39" w14:textId="77777777" w:rsidR="00DF410E" w:rsidRDefault="00CE7F43">
      <w:pPr>
        <w:jc w:val="both"/>
      </w:pPr>
      <w:r>
        <w:t>Lorsque le choix de la méthode d’assemblage ou de la géométrie de l’assemblage est laissé à l’entrepreneur, celui-ci fournit au maître d’ouvrage une note de calcul qui justifie la méthode choisie sur base des principes décrits dans l’Eurocode 5 ([NBN EN 1995-1-1]). Dans le cas où l’assemblage ne peut être dimensionné sur base de l’Eurocode 5, les principes et références utilisés sont décrits dans la note de calcul pour validation par le maître d’ouvrage.</w:t>
      </w:r>
    </w:p>
    <w:p w14:paraId="52A9C9B2" w14:textId="77777777" w:rsidR="00DF410E" w:rsidRDefault="00CE7F43">
      <w:pPr>
        <w:jc w:val="both"/>
      </w:pPr>
      <w:r>
        <w:t>La résistance au feu des assemblages est calculée suivant la norme [NBN EN 1995-1-2].</w:t>
      </w:r>
    </w:p>
    <w:p w14:paraId="56AB9026" w14:textId="77777777" w:rsidR="00DF410E" w:rsidRDefault="00CE7F43">
      <w:pPr>
        <w:pStyle w:val="Author-eSectionHeading4"/>
      </w:pPr>
      <w:bookmarkStart w:id="1717" w:name="_Toc178838799"/>
      <w:r>
        <w:t>24.41 Assemblages traditionnels (Bois/Bois) CCTB 01.07</w:t>
      </w:r>
      <w:bookmarkEnd w:id="1717"/>
    </w:p>
    <w:p w14:paraId="0EC5F486" w14:textId="77777777" w:rsidR="00DF410E" w:rsidRDefault="00CE7F43">
      <w:pPr>
        <w:pStyle w:val="pheading"/>
      </w:pPr>
      <w:r>
        <w:t>DESCRIPTION</w:t>
      </w:r>
    </w:p>
    <w:p w14:paraId="5B426FAD" w14:textId="77777777" w:rsidR="00DF410E" w:rsidRDefault="00CE7F43">
      <w:pPr>
        <w:pStyle w:val="pheading"/>
      </w:pPr>
      <w:r>
        <w:t>- Définition / Comprend</w:t>
      </w:r>
    </w:p>
    <w:p w14:paraId="1EC32621" w14:textId="77777777" w:rsidR="00DF410E" w:rsidRDefault="00CE7F43">
      <w:pPr>
        <w:jc w:val="both"/>
      </w:pPr>
      <w:r>
        <w:t>Il s’agit de tout assemblage entre des pièces de bois ne faisant pas intervenir d’élément en acier. Les efforts passant d’un élément bois à un autre par contact.</w:t>
      </w:r>
    </w:p>
    <w:p w14:paraId="3F9A7124" w14:textId="77777777" w:rsidR="00DF410E" w:rsidRDefault="00CE7F43">
      <w:pPr>
        <w:pStyle w:val="pheading"/>
      </w:pPr>
      <w:r>
        <w:t>AIDE</w:t>
      </w:r>
    </w:p>
    <w:p w14:paraId="22F351EA" w14:textId="77777777" w:rsidR="00DF410E" w:rsidRDefault="00CE7F43">
      <w:pPr>
        <w:jc w:val="both"/>
      </w:pPr>
      <w:r>
        <w:t>Les assemblages traditionnels permette un transfert d’effort limité. Ils sont dans la majorité des cas consommateurs de matière. On les retrouve notamment dans toutes les anciennes charpentes et ce dans beaucoup de cultures différentes.</w:t>
      </w:r>
    </w:p>
    <w:p w14:paraId="6B9A3DB2" w14:textId="77777777" w:rsidR="00DF410E" w:rsidRDefault="00CE7F43">
      <w:pPr>
        <w:pStyle w:val="Author-eSectionHeading5"/>
      </w:pPr>
      <w:bookmarkStart w:id="1718" w:name="_Toc178838800"/>
      <w:r>
        <w:t>24.41.1 Assemblages traditionnels (bois/bois) CCTB 01.11</w:t>
      </w:r>
      <w:bookmarkEnd w:id="1718"/>
    </w:p>
    <w:p w14:paraId="173DBEA4" w14:textId="77777777" w:rsidR="00DF410E" w:rsidRDefault="00CE7F43">
      <w:pPr>
        <w:pStyle w:val="pheading"/>
      </w:pPr>
      <w:r>
        <w:t>EXÉCUTION / MISE EN ŒUVRE</w:t>
      </w:r>
    </w:p>
    <w:p w14:paraId="36C75F7D" w14:textId="77777777" w:rsidR="00DF410E" w:rsidRDefault="00CE7F43">
      <w:pPr>
        <w:jc w:val="both"/>
      </w:pPr>
      <w:r>
        <w:t>Les deux éléments assemblés sont mis en œuvre à la teneur en humidité d’équilibre qu’ils ont en service.</w:t>
      </w:r>
    </w:p>
    <w:p w14:paraId="19A703F2" w14:textId="77777777" w:rsidR="00DF410E" w:rsidRDefault="00CE7F43">
      <w:pPr>
        <w:pStyle w:val="Author-eSectionHeading6"/>
      </w:pPr>
      <w:bookmarkStart w:id="1719" w:name="_Toc178838801"/>
      <w:r>
        <w:t>24.41.1a Assemblages traditionnels (bois/bois) - embrèvements CCTB 01.07</w:t>
      </w:r>
      <w:bookmarkEnd w:id="1719"/>
    </w:p>
    <w:p w14:paraId="374F23F8" w14:textId="77777777" w:rsidR="00DF410E" w:rsidRDefault="00CE7F43">
      <w:pPr>
        <w:pStyle w:val="pheading"/>
      </w:pPr>
      <w:bookmarkStart w:id="1720" w:name="607"/>
      <w:bookmarkEnd w:id="1720"/>
      <w:r>
        <w:t>DESCRIPTION</w:t>
      </w:r>
    </w:p>
    <w:p w14:paraId="7223BEC0" w14:textId="77777777" w:rsidR="00DF410E" w:rsidRDefault="00CE7F43">
      <w:pPr>
        <w:pStyle w:val="pheading"/>
      </w:pPr>
      <w:r>
        <w:t>- Définition / Comprend</w:t>
      </w:r>
    </w:p>
    <w:p w14:paraId="6059CDE6" w14:textId="77777777" w:rsidR="00DF410E" w:rsidRDefault="00CE7F43">
      <w:r>
        <w:t>Il s’agit d’un assemblage par contact entre deux pièces formant un angle aigu entre elles.</w:t>
      </w:r>
    </w:p>
    <w:p w14:paraId="703CDE06" w14:textId="77777777" w:rsidR="00DF410E" w:rsidRDefault="00CE7F43">
      <w:pPr>
        <w:pStyle w:val="pheading"/>
      </w:pPr>
      <w:r>
        <w:t>EXÉCUTION / MISE EN ŒUVRE</w:t>
      </w:r>
    </w:p>
    <w:p w14:paraId="6A1E747A" w14:textId="77777777" w:rsidR="00DF410E" w:rsidRDefault="00CE7F43">
      <w:pPr>
        <w:pStyle w:val="pheading"/>
      </w:pPr>
      <w:r>
        <w:t>- Prescriptions générales</w:t>
      </w:r>
    </w:p>
    <w:p w14:paraId="2D676688" w14:textId="77777777" w:rsidR="00DF410E" w:rsidRDefault="00CE7F43">
      <w:r>
        <w:t>Trois types d’embrèvements sont possibles :</w:t>
      </w:r>
    </w:p>
    <w:p w14:paraId="72D52CB2" w14:textId="77777777" w:rsidR="00DF410E" w:rsidRDefault="00CE7F43">
      <w:r>
        <w:rPr>
          <w:noProof/>
        </w:rPr>
        <w:drawing>
          <wp:inline distT="0" distB="0" distL="0" distR="0" wp14:anchorId="17B3C46D" wp14:editId="66834158">
            <wp:extent cx="5715000" cy="1552575"/>
            <wp:effectExtent l="0" t="0" r="0" b="0"/>
            <wp:docPr id="12" name="24.41.1a.png" descr="24.4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1" descr=" "/>
                    <pic:cNvPicPr>
                      <a:picLocks noChangeAspect="1" noChangeArrowheads="1"/>
                    </pic:cNvPicPr>
                  </pic:nvPicPr>
                  <pic:blipFill>
                    <a:blip r:embed="rId327"/>
                    <a:srcRect/>
                    <a:stretch>
                      <a:fillRect/>
                    </a:stretch>
                  </pic:blipFill>
                  <pic:spPr bwMode="auto">
                    <a:xfrm>
                      <a:off x="0" y="0"/>
                      <a:ext cx="5715000" cy="1552575"/>
                    </a:xfrm>
                    <a:prstGeom prst="rect">
                      <a:avLst/>
                    </a:prstGeom>
                  </pic:spPr>
                </pic:pic>
              </a:graphicData>
            </a:graphic>
          </wp:inline>
        </w:drawing>
      </w:r>
    </w:p>
    <w:p w14:paraId="772098D4" w14:textId="77777777" w:rsidR="00DF410E" w:rsidRDefault="00CE7F43">
      <w:r>
        <w:t>Un assemblage par embrèvement demande une grande précision d’usinage pour garantir le bon transfert des efforts et éviter tout fendage de la pièce amenant l’effort.</w:t>
      </w:r>
    </w:p>
    <w:p w14:paraId="3893FA12" w14:textId="77777777" w:rsidR="00DF410E" w:rsidRDefault="00CE7F43">
      <w:r>
        <w:rPr>
          <w:b/>
          <w:u w:val="single"/>
        </w:rPr>
        <w:t>Embrèvement simple :</w:t>
      </w:r>
    </w:p>
    <w:p w14:paraId="1FED6486" w14:textId="77777777" w:rsidR="00DF410E" w:rsidRDefault="00CE7F43">
      <w:r>
        <w:t>Angle d’entaille : β = 90° - α /2  avec une tolérance de +/- 5°.</w:t>
      </w:r>
    </w:p>
    <w:p w14:paraId="7136364D" w14:textId="77777777" w:rsidR="00DF410E" w:rsidRDefault="00CE7F43">
      <w:r>
        <w:rPr>
          <w:b/>
          <w:u w:val="single"/>
        </w:rPr>
        <w:t>Embrèvement arrière :</w:t>
      </w:r>
    </w:p>
    <w:p w14:paraId="47CE2F11" w14:textId="77777777" w:rsidR="00DF410E" w:rsidRDefault="00CE7F43">
      <w:r>
        <w:t>Angle β = 90° - α avec une tolérance de +/- 5°.</w:t>
      </w:r>
      <w:r>
        <w:br/>
        <w:t>Un jeu de 1 à 2 mm est prévu au niveau de l’arrête supérieure de la poutre horizontale.</w:t>
      </w:r>
    </w:p>
    <w:p w14:paraId="4BF08C32" w14:textId="77777777" w:rsidR="00DF410E" w:rsidRDefault="00CE7F43">
      <w:r>
        <w:rPr>
          <w:b/>
          <w:u w:val="single"/>
        </w:rPr>
        <w:t>Embrèvement double :</w:t>
      </w:r>
    </w:p>
    <w:p w14:paraId="663F3F04" w14:textId="77777777" w:rsidR="00DF410E" w:rsidRDefault="00CE7F43">
      <w:r>
        <w:t>L’embrèvement double est une combinaison entre l’embrèvement simple et l’embrèvement arrière. Leurs exigences sont donc d’application.</w:t>
      </w:r>
    </w:p>
    <w:p w14:paraId="23616907" w14:textId="77777777" w:rsidR="00DF410E" w:rsidRDefault="00CE7F43">
      <w:r>
        <w:t> </w:t>
      </w:r>
    </w:p>
    <w:p w14:paraId="6B06EC96" w14:textId="77777777" w:rsidR="00DF410E" w:rsidRDefault="00CE7F43">
      <w:r>
        <w:t xml:space="preserve">Type d’embrèvement : </w:t>
      </w:r>
      <w:r>
        <w:rPr>
          <w:rStyle w:val="optioncarChar"/>
        </w:rPr>
        <w:t>simple / arrière / double</w:t>
      </w:r>
    </w:p>
    <w:p w14:paraId="03AF156E" w14:textId="77777777" w:rsidR="00DF410E" w:rsidRDefault="00CE7F43">
      <w:r>
        <w:t xml:space="preserve">Profondeur d’entaille : </w:t>
      </w:r>
      <w:r>
        <w:rPr>
          <w:rStyle w:val="optioncarChar"/>
        </w:rPr>
        <w:t xml:space="preserve">voir plan </w:t>
      </w:r>
      <w:r>
        <w:t>(par défaut)</w:t>
      </w:r>
      <w:r>
        <w:rPr>
          <w:rStyle w:val="optioncarChar"/>
        </w:rPr>
        <w:t xml:space="preserve"> / ***</w:t>
      </w:r>
    </w:p>
    <w:p w14:paraId="6ED5D5D4" w14:textId="77777777" w:rsidR="00DF410E" w:rsidRDefault="00CE7F43">
      <w:pPr>
        <w:pStyle w:val="pheading"/>
      </w:pPr>
      <w:r>
        <w:t>MESURAGE</w:t>
      </w:r>
    </w:p>
    <w:p w14:paraId="1C79210D" w14:textId="77777777" w:rsidR="00DF410E" w:rsidRDefault="00CE7F43">
      <w:pPr>
        <w:pStyle w:val="pheading"/>
      </w:pPr>
      <w:r>
        <w:t>- unité de mesure:</w:t>
      </w:r>
    </w:p>
    <w:p w14:paraId="6DF5AD16" w14:textId="77777777" w:rsidR="00DF410E" w:rsidRDefault="00CE7F43">
      <w:r>
        <w:rPr>
          <w:rStyle w:val="optioncarChar"/>
        </w:rPr>
        <w:t xml:space="preserve">- </w:t>
      </w:r>
      <w:r>
        <w:t>(par défaut)</w:t>
      </w:r>
      <w:r>
        <w:rPr>
          <w:rStyle w:val="optioncarChar"/>
        </w:rPr>
        <w:t xml:space="preserve"> / pc</w:t>
      </w:r>
    </w:p>
    <w:p w14:paraId="04FE1C22" w14:textId="77777777" w:rsidR="00DF410E" w:rsidRDefault="00CE7F43">
      <w:r>
        <w:rPr>
          <w:b/>
          <w:i/>
        </w:rPr>
        <w:t>(Soit par défaut)</w:t>
      </w:r>
    </w:p>
    <w:p w14:paraId="2389F0A3" w14:textId="77777777" w:rsidR="00DF410E" w:rsidRDefault="00CE7F43">
      <w:r>
        <w:rPr>
          <w:rStyle w:val="soitChar"/>
        </w:rPr>
        <w:t>1.     –</w:t>
      </w:r>
    </w:p>
    <w:p w14:paraId="7DE15E19" w14:textId="77777777" w:rsidR="00DF410E" w:rsidRDefault="00CE7F43">
      <w:r>
        <w:rPr>
          <w:b/>
          <w:i/>
        </w:rPr>
        <w:t>(Soit)</w:t>
      </w:r>
    </w:p>
    <w:p w14:paraId="49E3F0D3" w14:textId="77777777" w:rsidR="00DF410E" w:rsidRDefault="00CE7F43">
      <w:r>
        <w:rPr>
          <w:rStyle w:val="soitChar"/>
        </w:rPr>
        <w:t>2.3.  pc</w:t>
      </w:r>
    </w:p>
    <w:p w14:paraId="489A9F5A" w14:textId="77777777" w:rsidR="00DF410E" w:rsidRDefault="00CE7F43">
      <w:pPr>
        <w:pStyle w:val="pheading"/>
      </w:pPr>
      <w:r>
        <w:t>- code de mesurage:</w:t>
      </w:r>
    </w:p>
    <w:p w14:paraId="6EE00B38" w14:textId="77777777" w:rsidR="00DF410E" w:rsidRDefault="00CE7F43">
      <w:r>
        <w:rPr>
          <w:rStyle w:val="optioncarChar"/>
        </w:rPr>
        <w:t xml:space="preserve">Compris </w:t>
      </w:r>
      <w:r>
        <w:t>(par défaut)</w:t>
      </w:r>
      <w:r>
        <w:rPr>
          <w:rStyle w:val="optioncarChar"/>
        </w:rPr>
        <w:t xml:space="preserve"> / Quantité nette</w:t>
      </w:r>
    </w:p>
    <w:p w14:paraId="241B6725" w14:textId="77777777" w:rsidR="00DF410E" w:rsidRDefault="00CE7F43">
      <w:r>
        <w:rPr>
          <w:b/>
          <w:i/>
        </w:rPr>
        <w:t>(Soit par défaut)</w:t>
      </w:r>
    </w:p>
    <w:p w14:paraId="4A50BD66" w14:textId="77777777" w:rsidR="00DF410E" w:rsidRDefault="00CE7F43">
      <w:r>
        <w:rPr>
          <w:rStyle w:val="soitChar"/>
        </w:rPr>
        <w:t>1.    </w:t>
      </w:r>
      <w:r>
        <w:rPr>
          <w:rStyle w:val="soitChar"/>
          <w:u w:val="single"/>
        </w:rPr>
        <w:t xml:space="preserve"> Compris</w:t>
      </w:r>
      <w:r>
        <w:rPr>
          <w:rStyle w:val="soitChar"/>
        </w:rPr>
        <w:t xml:space="preserve"> dans l’article de référence</w:t>
      </w:r>
      <w:r>
        <w:rPr>
          <w:rStyle w:val="optioncarChar"/>
        </w:rPr>
        <w:t>***</w:t>
      </w:r>
    </w:p>
    <w:p w14:paraId="167ECC6C" w14:textId="77777777" w:rsidR="00DF410E" w:rsidRDefault="00CE7F43">
      <w:r>
        <w:rPr>
          <w:b/>
          <w:i/>
        </w:rPr>
        <w:t>(Soit)</w:t>
      </w:r>
    </w:p>
    <w:p w14:paraId="197500F6" w14:textId="77777777" w:rsidR="00DF410E" w:rsidRDefault="00CE7F43">
      <w:r>
        <w:rPr>
          <w:rStyle w:val="soitChar"/>
        </w:rPr>
        <w:t xml:space="preserve">2.3. </w:t>
      </w:r>
      <w:r>
        <w:rPr>
          <w:rStyle w:val="soitChar"/>
          <w:u w:val="single"/>
        </w:rPr>
        <w:t>Quantité nette</w:t>
      </w:r>
      <w:r>
        <w:rPr>
          <w:rStyle w:val="soitChar"/>
        </w:rPr>
        <w:t> : Le nombre d’assemblages à embrèvement ayant les mêmes dimensions est compatibilisé.</w:t>
      </w:r>
    </w:p>
    <w:p w14:paraId="38B299E9" w14:textId="77777777" w:rsidR="00DF410E" w:rsidRDefault="00CE7F43">
      <w:pPr>
        <w:pStyle w:val="pheading"/>
      </w:pPr>
      <w:r>
        <w:t>- nature du marché:</w:t>
      </w:r>
    </w:p>
    <w:p w14:paraId="36C7507E" w14:textId="77777777" w:rsidR="00DF410E" w:rsidRDefault="00CE7F43">
      <w:r>
        <w:rPr>
          <w:rStyle w:val="optioncarChar"/>
        </w:rPr>
        <w:t xml:space="preserve">PM </w:t>
      </w:r>
      <w:r>
        <w:t>(par défaut)</w:t>
      </w:r>
      <w:r>
        <w:rPr>
          <w:rStyle w:val="optioncarChar"/>
        </w:rPr>
        <w:t xml:space="preserve"> / QF / QP</w:t>
      </w:r>
    </w:p>
    <w:p w14:paraId="1767CB3E" w14:textId="77777777" w:rsidR="00DF410E" w:rsidRDefault="00CE7F43">
      <w:r>
        <w:rPr>
          <w:b/>
          <w:i/>
        </w:rPr>
        <w:t>(Soit par défaut)</w:t>
      </w:r>
    </w:p>
    <w:p w14:paraId="03ECB85C" w14:textId="77777777" w:rsidR="00DF410E" w:rsidRDefault="00CE7F43">
      <w:r>
        <w:rPr>
          <w:rStyle w:val="soitChar"/>
        </w:rPr>
        <w:t>1.     PM</w:t>
      </w:r>
    </w:p>
    <w:p w14:paraId="2B6942B1" w14:textId="77777777" w:rsidR="00DF410E" w:rsidRDefault="00CE7F43">
      <w:r>
        <w:rPr>
          <w:b/>
          <w:i/>
        </w:rPr>
        <w:t>(Soit)</w:t>
      </w:r>
    </w:p>
    <w:p w14:paraId="00304CA8" w14:textId="77777777" w:rsidR="00DF410E" w:rsidRDefault="00CE7F43">
      <w:r>
        <w:rPr>
          <w:rStyle w:val="soitChar"/>
        </w:rPr>
        <w:t>2.     QF</w:t>
      </w:r>
    </w:p>
    <w:p w14:paraId="57F98007" w14:textId="77777777" w:rsidR="00DF410E" w:rsidRDefault="00CE7F43">
      <w:r>
        <w:rPr>
          <w:b/>
          <w:i/>
        </w:rPr>
        <w:t>(Soit)</w:t>
      </w:r>
    </w:p>
    <w:p w14:paraId="19B172D3" w14:textId="77777777" w:rsidR="00DF410E" w:rsidRDefault="00CE7F43">
      <w:r>
        <w:rPr>
          <w:rStyle w:val="soitChar"/>
        </w:rPr>
        <w:t>3.     QP</w:t>
      </w:r>
    </w:p>
    <w:p w14:paraId="478EC831" w14:textId="77777777" w:rsidR="00DF410E" w:rsidRDefault="00CE7F43">
      <w:pPr>
        <w:pStyle w:val="pheading"/>
      </w:pPr>
      <w:r>
        <w:t>AIDE</w:t>
      </w:r>
    </w:p>
    <w:p w14:paraId="4BA2DAD7" w14:textId="77777777" w:rsidR="00DF410E" w:rsidRDefault="00CE7F43">
      <w:pPr>
        <w:jc w:val="both"/>
      </w:pPr>
      <w:r>
        <w:rPr>
          <w:b/>
          <w:u w:val="single"/>
        </w:rPr>
        <w:t>Embrèvement simple :</w:t>
      </w:r>
    </w:p>
    <w:p w14:paraId="41B2382E" w14:textId="77777777" w:rsidR="00DF410E" w:rsidRDefault="00CE7F43">
      <w:pPr>
        <w:jc w:val="both"/>
      </w:pPr>
      <w:r>
        <w:t>Avantages :</w:t>
      </w:r>
    </w:p>
    <w:p w14:paraId="6D2220E3" w14:textId="77777777" w:rsidR="00DF410E" w:rsidRDefault="00CE7F43">
      <w:pPr>
        <w:pStyle w:val="Author-eListParagraph"/>
        <w:numPr>
          <w:ilvl w:val="0"/>
          <w:numId w:val="1045"/>
        </w:numPr>
      </w:pPr>
      <w:r>
        <w:t>rapport capacité portante / profondeur d’entaille optimisé,</w:t>
      </w:r>
    </w:p>
    <w:p w14:paraId="51549F0C" w14:textId="77777777" w:rsidR="00DF410E" w:rsidRDefault="00CE7F43">
      <w:pPr>
        <w:pStyle w:val="Author-eListParagraph"/>
        <w:numPr>
          <w:ilvl w:val="0"/>
          <w:numId w:val="1045"/>
        </w:numPr>
      </w:pPr>
      <w:r>
        <w:t>simplicité d’exécution.</w:t>
      </w:r>
    </w:p>
    <w:p w14:paraId="36666F7E" w14:textId="77777777" w:rsidR="00DF410E" w:rsidRDefault="00CE7F43">
      <w:pPr>
        <w:jc w:val="both"/>
      </w:pPr>
      <w:r>
        <w:t>Inconvénient :</w:t>
      </w:r>
    </w:p>
    <w:p w14:paraId="12D01057" w14:textId="77777777" w:rsidR="00DF410E" w:rsidRDefault="00CE7F43">
      <w:pPr>
        <w:pStyle w:val="Author-eListParagraph"/>
        <w:numPr>
          <w:ilvl w:val="0"/>
          <w:numId w:val="1046"/>
        </w:numPr>
      </w:pPr>
      <w:r>
        <w:t>longueur d’avant bois nécessaire importante.</w:t>
      </w:r>
    </w:p>
    <w:p w14:paraId="530F8BBB" w14:textId="77777777" w:rsidR="00DF410E" w:rsidRDefault="00CE7F43">
      <w:pPr>
        <w:jc w:val="both"/>
      </w:pPr>
      <w:r>
        <w:rPr>
          <w:b/>
          <w:u w:val="single"/>
        </w:rPr>
        <w:t>Embrèvement arrière :</w:t>
      </w:r>
    </w:p>
    <w:p w14:paraId="167072A2" w14:textId="77777777" w:rsidR="00DF410E" w:rsidRDefault="00CE7F43">
      <w:pPr>
        <w:jc w:val="both"/>
      </w:pPr>
      <w:r>
        <w:t>Avantages :</w:t>
      </w:r>
    </w:p>
    <w:p w14:paraId="72EA6154" w14:textId="77777777" w:rsidR="00DF410E" w:rsidRDefault="00CE7F43">
      <w:pPr>
        <w:pStyle w:val="Author-eListParagraph"/>
        <w:numPr>
          <w:ilvl w:val="0"/>
          <w:numId w:val="1047"/>
        </w:numPr>
      </w:pPr>
      <w:r>
        <w:t>longueur d’avant bois nécessaire réduite,</w:t>
      </w:r>
    </w:p>
    <w:p w14:paraId="24A4C15D" w14:textId="77777777" w:rsidR="00DF410E" w:rsidRDefault="00CE7F43">
      <w:pPr>
        <w:pStyle w:val="Author-eListParagraph"/>
        <w:numPr>
          <w:ilvl w:val="0"/>
          <w:numId w:val="1047"/>
        </w:numPr>
      </w:pPr>
      <w:r>
        <w:t>simplicité d’exécution.</w:t>
      </w:r>
    </w:p>
    <w:p w14:paraId="5F9ACB59" w14:textId="77777777" w:rsidR="00DF410E" w:rsidRDefault="00CE7F43">
      <w:pPr>
        <w:jc w:val="both"/>
      </w:pPr>
      <w:r>
        <w:t>Inconvénient :</w:t>
      </w:r>
    </w:p>
    <w:p w14:paraId="507808DF" w14:textId="77777777" w:rsidR="00DF410E" w:rsidRDefault="00CE7F43">
      <w:pPr>
        <w:pStyle w:val="Author-eListParagraph"/>
        <w:numPr>
          <w:ilvl w:val="0"/>
          <w:numId w:val="1048"/>
        </w:numPr>
      </w:pPr>
      <w:r>
        <w:t>rapport capacité portante / profondeur d’entaille important.</w:t>
      </w:r>
    </w:p>
    <w:p w14:paraId="27F9304D" w14:textId="77777777" w:rsidR="00DF410E" w:rsidRDefault="00CE7F43">
      <w:pPr>
        <w:jc w:val="both"/>
      </w:pPr>
      <w:r>
        <w:rPr>
          <w:b/>
          <w:u w:val="single"/>
        </w:rPr>
        <w:t>Embrèvement double :</w:t>
      </w:r>
    </w:p>
    <w:p w14:paraId="1DBEB2EC" w14:textId="77777777" w:rsidR="00DF410E" w:rsidRDefault="00CE7F43">
      <w:pPr>
        <w:jc w:val="both"/>
      </w:pPr>
      <w:r>
        <w:t>Avantages :</w:t>
      </w:r>
    </w:p>
    <w:p w14:paraId="37E2BD02" w14:textId="77777777" w:rsidR="00DF410E" w:rsidRDefault="00CE7F43">
      <w:pPr>
        <w:pStyle w:val="Author-eListParagraph"/>
        <w:numPr>
          <w:ilvl w:val="0"/>
          <w:numId w:val="1049"/>
        </w:numPr>
      </w:pPr>
      <w:r>
        <w:t>longueur d’avant bois nécessaire réduite,</w:t>
      </w:r>
    </w:p>
    <w:p w14:paraId="1079D530" w14:textId="77777777" w:rsidR="00DF410E" w:rsidRDefault="00CE7F43">
      <w:pPr>
        <w:pStyle w:val="Author-eListParagraph"/>
        <w:numPr>
          <w:ilvl w:val="0"/>
          <w:numId w:val="1049"/>
        </w:numPr>
      </w:pPr>
      <w:r>
        <w:t>rapport capacité portante / profondeur d’entaille important.</w:t>
      </w:r>
    </w:p>
    <w:p w14:paraId="2CF455A6" w14:textId="77777777" w:rsidR="00DF410E" w:rsidRDefault="00CE7F43">
      <w:pPr>
        <w:jc w:val="both"/>
      </w:pPr>
      <w:r>
        <w:t>Inconvénient :</w:t>
      </w:r>
    </w:p>
    <w:p w14:paraId="34869886" w14:textId="77777777" w:rsidR="00DF410E" w:rsidRDefault="00CE7F43">
      <w:pPr>
        <w:pStyle w:val="Author-eListParagraph"/>
        <w:numPr>
          <w:ilvl w:val="0"/>
          <w:numId w:val="1050"/>
        </w:numPr>
        <w:jc w:val="both"/>
      </w:pPr>
      <w:r>
        <w:t>difficulté d’exécution.</w:t>
      </w:r>
    </w:p>
    <w:p w14:paraId="2A9610A4" w14:textId="77777777" w:rsidR="00DF410E" w:rsidRDefault="00CE7F43">
      <w:pPr>
        <w:pStyle w:val="Author-eSectionHeading6"/>
      </w:pPr>
      <w:bookmarkStart w:id="1721" w:name="_Toc178838802"/>
      <w:r>
        <w:t>24.41.1b Assemblages traditionnels (bois/bois) - tenons et mortaises CCTB 01.07</w:t>
      </w:r>
      <w:bookmarkEnd w:id="1721"/>
    </w:p>
    <w:p w14:paraId="5A0933C0" w14:textId="77777777" w:rsidR="00DF410E" w:rsidRDefault="00CE7F43">
      <w:pPr>
        <w:pStyle w:val="pheading"/>
      </w:pPr>
      <w:bookmarkStart w:id="1722" w:name="608"/>
      <w:bookmarkEnd w:id="1722"/>
      <w:r>
        <w:t>DESCRIPTION</w:t>
      </w:r>
    </w:p>
    <w:p w14:paraId="2E13343A" w14:textId="77777777" w:rsidR="00DF410E" w:rsidRDefault="00CE7F43">
      <w:pPr>
        <w:pStyle w:val="pheading"/>
      </w:pPr>
      <w:r>
        <w:t>- Définition / Comprend</w:t>
      </w:r>
    </w:p>
    <w:p w14:paraId="31C768FE" w14:textId="77777777" w:rsidR="00DF410E" w:rsidRDefault="00CE7F43">
      <w:pPr>
        <w:jc w:val="both"/>
      </w:pPr>
      <w:r>
        <w:t>Il s’agit d’un assemblage traditionnel par contact entre deux pièces formant généralement un angle compris entre 45° et 135°. Une des pièces est taillée en tenon (partie mâle) et vient s’encastrer dans une entaille appelée mortaise (partie femelle).</w:t>
      </w:r>
    </w:p>
    <w:p w14:paraId="4A139C88" w14:textId="77777777" w:rsidR="00DF410E" w:rsidRDefault="00CE7F43">
      <w:pPr>
        <w:jc w:val="both"/>
      </w:pPr>
      <w:r>
        <w:t>Des exemples sont présentés sur les photos ci-dessous :</w:t>
      </w:r>
    </w:p>
    <w:p w14:paraId="6D68F973" w14:textId="77777777" w:rsidR="00DF410E" w:rsidRDefault="00CE7F43">
      <w:pPr>
        <w:jc w:val="both"/>
      </w:pPr>
      <w:r>
        <w:rPr>
          <w:noProof/>
        </w:rPr>
        <w:drawing>
          <wp:inline distT="0" distB="0" distL="0" distR="0" wp14:anchorId="546EAC34" wp14:editId="34D11B90">
            <wp:extent cx="3810000" cy="2076450"/>
            <wp:effectExtent l="0" t="0" r="0" b="0"/>
            <wp:docPr id="13" name="24.41.1b1.png" descr="24.41.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2" descr="24.41.1b1.png"/>
                    <pic:cNvPicPr>
                      <a:picLocks noChangeAspect="1" noChangeArrowheads="1"/>
                    </pic:cNvPicPr>
                  </pic:nvPicPr>
                  <pic:blipFill>
                    <a:blip r:embed="rId328"/>
                    <a:srcRect/>
                    <a:stretch>
                      <a:fillRect/>
                    </a:stretch>
                  </pic:blipFill>
                  <pic:spPr bwMode="auto">
                    <a:xfrm>
                      <a:off x="0" y="0"/>
                      <a:ext cx="3810000" cy="2076450"/>
                    </a:xfrm>
                    <a:prstGeom prst="rect">
                      <a:avLst/>
                    </a:prstGeom>
                  </pic:spPr>
                </pic:pic>
              </a:graphicData>
            </a:graphic>
          </wp:inline>
        </w:drawing>
      </w:r>
    </w:p>
    <w:p w14:paraId="6F36AE21" w14:textId="77777777" w:rsidR="00DF410E" w:rsidRDefault="00CE7F43">
      <w:pPr>
        <w:jc w:val="both"/>
      </w:pPr>
      <w:r>
        <w:rPr>
          <w:noProof/>
        </w:rPr>
        <w:drawing>
          <wp:inline distT="0" distB="0" distL="0" distR="0" wp14:anchorId="551B2087" wp14:editId="0CBBC43F">
            <wp:extent cx="2857500" cy="4524375"/>
            <wp:effectExtent l="0" t="0" r="0" b="0"/>
            <wp:docPr id="14" name="24.41.1b2.png" descr="24.41.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3" descr="24.41.1b2.png"/>
                    <pic:cNvPicPr>
                      <a:picLocks noChangeAspect="1" noChangeArrowheads="1"/>
                    </pic:cNvPicPr>
                  </pic:nvPicPr>
                  <pic:blipFill>
                    <a:blip r:embed="rId329"/>
                    <a:srcRect/>
                    <a:stretch>
                      <a:fillRect/>
                    </a:stretch>
                  </pic:blipFill>
                  <pic:spPr bwMode="auto">
                    <a:xfrm>
                      <a:off x="0" y="0"/>
                      <a:ext cx="2857500" cy="4524375"/>
                    </a:xfrm>
                    <a:prstGeom prst="rect">
                      <a:avLst/>
                    </a:prstGeom>
                  </pic:spPr>
                </pic:pic>
              </a:graphicData>
            </a:graphic>
          </wp:inline>
        </w:drawing>
      </w:r>
    </w:p>
    <w:p w14:paraId="1FC323D9" w14:textId="77777777" w:rsidR="00DF410E" w:rsidRDefault="00CE7F43">
      <w:pPr>
        <w:pStyle w:val="pheading"/>
      </w:pPr>
      <w:r>
        <w:t>EXÉCUTION / MISE EN ŒUVRE</w:t>
      </w:r>
    </w:p>
    <w:p w14:paraId="1C42F90D" w14:textId="77777777" w:rsidR="00DF410E" w:rsidRDefault="00CE7F43">
      <w:pPr>
        <w:pStyle w:val="pheading"/>
      </w:pPr>
      <w:r>
        <w:t>- Prescriptions générales</w:t>
      </w:r>
    </w:p>
    <w:p w14:paraId="50592A8F" w14:textId="77777777" w:rsidR="00DF410E" w:rsidRDefault="00CE7F43">
      <w:pPr>
        <w:jc w:val="both"/>
      </w:pPr>
      <w:r>
        <w:t>Le tenon est situé dans la solive, la mortaise dans la porteuse. La solive est au maximum aussi large que la porteuse.</w:t>
      </w:r>
    </w:p>
    <w:p w14:paraId="07C28AB1" w14:textId="77777777" w:rsidR="00DF410E" w:rsidRDefault="00CE7F43">
      <w:pPr>
        <w:jc w:val="both"/>
      </w:pPr>
      <w:r>
        <w:t>Les zones chargées par l’assemblage sont exemptes de défauts rédhibitoires pouvant réduire leurs capacités portantes (nœuds, pentes de fil &gt;20°, etc.)</w:t>
      </w:r>
    </w:p>
    <w:p w14:paraId="4D4F5A81" w14:textId="77777777" w:rsidR="00DF410E" w:rsidRDefault="00CE7F43">
      <w:pPr>
        <w:jc w:val="both"/>
      </w:pPr>
      <w:r>
        <w:t>La hauteur du tenon est au minimum égale à la moitié de la hauteur de la solive. Le tenon peut être débouchant en partie supérieure ou avec mordâne. Dans le cas d’un tenon avec mordâne, la hauteur de la partie centrale du tenon est supérieure au tiers de la hauteur de la solive.</w:t>
      </w:r>
    </w:p>
    <w:p w14:paraId="784FD529" w14:textId="77777777" w:rsidR="00DF410E" w:rsidRDefault="00CE7F43">
      <w:pPr>
        <w:jc w:val="both"/>
      </w:pPr>
      <w:r>
        <w:t>La nécessité d’un renfort au risque de fendage doit être étudiée.</w:t>
      </w:r>
    </w:p>
    <w:p w14:paraId="29B17EFB" w14:textId="77777777" w:rsidR="00DF410E" w:rsidRDefault="00CE7F43">
      <w:pPr>
        <w:jc w:val="both"/>
      </w:pPr>
      <w:r>
        <w:t xml:space="preserve">Hauteur du tenon : </w:t>
      </w:r>
      <w:r>
        <w:rPr>
          <w:rStyle w:val="optioncarChar"/>
        </w:rPr>
        <w:t xml:space="preserve">à déterminer par l’entreprise </w:t>
      </w:r>
      <w:r>
        <w:t>(par défaut)</w:t>
      </w:r>
      <w:r>
        <w:rPr>
          <w:rStyle w:val="optioncarChar"/>
        </w:rPr>
        <w:t xml:space="preserve"> / voir plan / ***</w:t>
      </w:r>
    </w:p>
    <w:p w14:paraId="19612B0B" w14:textId="77777777" w:rsidR="00DF410E" w:rsidRDefault="00CE7F43">
      <w:pPr>
        <w:jc w:val="both"/>
      </w:pPr>
      <w:r>
        <w:t>La largeur du tenon est égale à la largeur de la solive.</w:t>
      </w:r>
    </w:p>
    <w:p w14:paraId="3FBCFFE4" w14:textId="77777777" w:rsidR="00DF410E" w:rsidRDefault="00CE7F43">
      <w:pPr>
        <w:jc w:val="both"/>
      </w:pPr>
      <w:r>
        <w:t>La longueur du tenon est comprise entre 40 et 80mm et est supérieure au tiers de la largeur de la porteuse.</w:t>
      </w:r>
    </w:p>
    <w:p w14:paraId="50B19ED3" w14:textId="77777777" w:rsidR="00DF410E" w:rsidRDefault="00CE7F43">
      <w:pPr>
        <w:jc w:val="both"/>
      </w:pPr>
      <w:r>
        <w:t xml:space="preserve">Longueur du tenon : </w:t>
      </w:r>
      <w:r>
        <w:rPr>
          <w:rStyle w:val="optioncarChar"/>
        </w:rPr>
        <w:t xml:space="preserve">à déterminer par l’entreprise </w:t>
      </w:r>
      <w:r>
        <w:t xml:space="preserve">(par défaut) </w:t>
      </w:r>
      <w:r>
        <w:rPr>
          <w:rStyle w:val="optioncarChar"/>
        </w:rPr>
        <w:t>/ voir plan / ***</w:t>
      </w:r>
    </w:p>
    <w:p w14:paraId="4926EC0E" w14:textId="77777777" w:rsidR="00DF410E" w:rsidRDefault="00DF410E">
      <w:pPr>
        <w:jc w:val="both"/>
      </w:pPr>
    </w:p>
    <w:p w14:paraId="753AA209" w14:textId="77777777" w:rsidR="00DF410E" w:rsidRDefault="00DF410E">
      <w:pPr>
        <w:jc w:val="both"/>
      </w:pPr>
    </w:p>
    <w:p w14:paraId="65672203" w14:textId="77777777" w:rsidR="00DF410E" w:rsidRDefault="00CE7F43">
      <w:pPr>
        <w:jc w:val="both"/>
      </w:pPr>
      <w:r>
        <w:t>La hauteur sous mortaise est au minimum égale au quart de la hauteur de la porteuse</w:t>
      </w:r>
    </w:p>
    <w:p w14:paraId="4090B8E9" w14:textId="77777777" w:rsidR="00DF410E" w:rsidRDefault="00CE7F43">
      <w:pPr>
        <w:jc w:val="both"/>
      </w:pPr>
      <w:r>
        <w:t xml:space="preserve">Hauteur sous mortaise : </w:t>
      </w:r>
      <w:r>
        <w:rPr>
          <w:rStyle w:val="optioncarChar"/>
        </w:rPr>
        <w:t>à déterminer par l’entreprise</w:t>
      </w:r>
      <w:r>
        <w:t xml:space="preserve"> (par défaut) </w:t>
      </w:r>
      <w:r>
        <w:rPr>
          <w:rStyle w:val="optioncarChar"/>
        </w:rPr>
        <w:t>/ voir plan / ***</w:t>
      </w:r>
    </w:p>
    <w:p w14:paraId="0B12AB19" w14:textId="77777777" w:rsidR="00DF410E" w:rsidRDefault="00CE7F43">
      <w:pPr>
        <w:jc w:val="both"/>
      </w:pPr>
      <w:r>
        <w:t> </w:t>
      </w:r>
    </w:p>
    <w:p w14:paraId="663A9980" w14:textId="77777777" w:rsidR="00DF410E" w:rsidRDefault="00CE7F43">
      <w:pPr>
        <w:jc w:val="both"/>
      </w:pPr>
      <w:r>
        <w:t>L’appui du tenon sur la mortaise est réalisé sans jeu. Un jeu de 2mm est prévu entre l’extrémité du tenon et le fond de la mortaise. Les autres jeux sont limités à 2mm maximum.</w:t>
      </w:r>
    </w:p>
    <w:p w14:paraId="711F9EE9" w14:textId="77777777" w:rsidR="00DF410E" w:rsidRDefault="00CE7F43">
      <w:pPr>
        <w:pStyle w:val="pheading"/>
      </w:pPr>
      <w:r>
        <w:t>MESURAGE</w:t>
      </w:r>
    </w:p>
    <w:p w14:paraId="6520418F" w14:textId="77777777" w:rsidR="00DF410E" w:rsidRDefault="00CE7F43">
      <w:pPr>
        <w:pStyle w:val="pheading"/>
      </w:pPr>
      <w:r>
        <w:t>- unité de mesure:</w:t>
      </w:r>
    </w:p>
    <w:p w14:paraId="218000F7" w14:textId="77777777" w:rsidR="00DF410E" w:rsidRDefault="00CE7F43">
      <w:r>
        <w:rPr>
          <w:rStyle w:val="optioncarChar"/>
        </w:rPr>
        <w:t>- </w:t>
      </w:r>
      <w:r>
        <w:t>(par défaut)</w:t>
      </w:r>
      <w:r>
        <w:rPr>
          <w:rStyle w:val="optioncarChar"/>
        </w:rPr>
        <w:t> / pc</w:t>
      </w:r>
    </w:p>
    <w:p w14:paraId="46B1BA6E" w14:textId="77777777" w:rsidR="00DF410E" w:rsidRDefault="00CE7F43">
      <w:r>
        <w:rPr>
          <w:b/>
          <w:i/>
        </w:rPr>
        <w:t>(Soit par défaut)</w:t>
      </w:r>
    </w:p>
    <w:p w14:paraId="2B49D85E" w14:textId="77777777" w:rsidR="00DF410E" w:rsidRDefault="00CE7F43">
      <w:r>
        <w:rPr>
          <w:rStyle w:val="soitChar"/>
        </w:rPr>
        <w:t>1.     –</w:t>
      </w:r>
    </w:p>
    <w:p w14:paraId="4AFE4FC9" w14:textId="77777777" w:rsidR="00DF410E" w:rsidRDefault="00CE7F43">
      <w:r>
        <w:rPr>
          <w:b/>
          <w:i/>
        </w:rPr>
        <w:t>(Soit)</w:t>
      </w:r>
    </w:p>
    <w:p w14:paraId="1947B05B" w14:textId="77777777" w:rsidR="00DF410E" w:rsidRDefault="00CE7F43">
      <w:r>
        <w:rPr>
          <w:rStyle w:val="soitChar"/>
        </w:rPr>
        <w:t>2.3.  pc</w:t>
      </w:r>
    </w:p>
    <w:p w14:paraId="6E4560D5" w14:textId="77777777" w:rsidR="00DF410E" w:rsidRDefault="00CE7F43">
      <w:pPr>
        <w:pStyle w:val="pheading"/>
      </w:pPr>
      <w:r>
        <w:t>- code de mesurage:</w:t>
      </w:r>
    </w:p>
    <w:p w14:paraId="76A0BA0C" w14:textId="77777777" w:rsidR="00DF410E" w:rsidRDefault="00CE7F43">
      <w:r>
        <w:rPr>
          <w:rStyle w:val="optioncarChar"/>
        </w:rPr>
        <w:t>Compris</w:t>
      </w:r>
      <w:r>
        <w:t> (par défaut)</w:t>
      </w:r>
      <w:r>
        <w:rPr>
          <w:rStyle w:val="optioncarChar"/>
        </w:rPr>
        <w:t> / Quantité nette</w:t>
      </w:r>
    </w:p>
    <w:p w14:paraId="0F0E4324" w14:textId="77777777" w:rsidR="00DF410E" w:rsidRDefault="00CE7F43">
      <w:r>
        <w:rPr>
          <w:b/>
          <w:i/>
        </w:rPr>
        <w:t>(Soit par défaut)</w:t>
      </w:r>
    </w:p>
    <w:p w14:paraId="31327B65" w14:textId="77777777" w:rsidR="00DF410E" w:rsidRDefault="00CE7F43">
      <w:r>
        <w:rPr>
          <w:rStyle w:val="soitChar"/>
        </w:rPr>
        <w:t>1.     </w:t>
      </w:r>
      <w:r>
        <w:rPr>
          <w:rStyle w:val="soitChar"/>
          <w:u w:val="single"/>
        </w:rPr>
        <w:t>Compris </w:t>
      </w:r>
      <w:r>
        <w:rPr>
          <w:rStyle w:val="soitChar"/>
        </w:rPr>
        <w:t>dans l’article de référence</w:t>
      </w:r>
      <w:r>
        <w:t> </w:t>
      </w:r>
      <w:r>
        <w:rPr>
          <w:rStyle w:val="optioncarChar"/>
        </w:rPr>
        <w:t>***</w:t>
      </w:r>
    </w:p>
    <w:p w14:paraId="78B497D2" w14:textId="77777777" w:rsidR="00DF410E" w:rsidRDefault="00CE7F43">
      <w:r>
        <w:rPr>
          <w:b/>
          <w:i/>
        </w:rPr>
        <w:t>(Soit)</w:t>
      </w:r>
    </w:p>
    <w:p w14:paraId="43315417"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5673D97C" w14:textId="77777777" w:rsidR="00DF410E" w:rsidRDefault="00CE7F43">
      <w:pPr>
        <w:pStyle w:val="pheading"/>
      </w:pPr>
      <w:r>
        <w:t>- nature du marché:</w:t>
      </w:r>
    </w:p>
    <w:p w14:paraId="356B4FCD" w14:textId="77777777" w:rsidR="00DF410E" w:rsidRDefault="00CE7F43">
      <w:r>
        <w:rPr>
          <w:rStyle w:val="optioncarChar"/>
        </w:rPr>
        <w:t>PM </w:t>
      </w:r>
      <w:r>
        <w:t>(par défaut)</w:t>
      </w:r>
      <w:r>
        <w:rPr>
          <w:rStyle w:val="optioncarChar"/>
        </w:rPr>
        <w:t> / QF / QP</w:t>
      </w:r>
    </w:p>
    <w:p w14:paraId="70E13892" w14:textId="77777777" w:rsidR="00DF410E" w:rsidRDefault="00CE7F43">
      <w:r>
        <w:rPr>
          <w:b/>
          <w:i/>
        </w:rPr>
        <w:t>(Soit par défaut)</w:t>
      </w:r>
    </w:p>
    <w:p w14:paraId="0B4435B9" w14:textId="77777777" w:rsidR="00DF410E" w:rsidRDefault="00CE7F43">
      <w:r>
        <w:rPr>
          <w:rStyle w:val="soitChar"/>
        </w:rPr>
        <w:t>1.     PM</w:t>
      </w:r>
    </w:p>
    <w:p w14:paraId="52CDB746" w14:textId="77777777" w:rsidR="00DF410E" w:rsidRDefault="00CE7F43">
      <w:r>
        <w:rPr>
          <w:b/>
          <w:i/>
        </w:rPr>
        <w:t>(Soit)</w:t>
      </w:r>
    </w:p>
    <w:p w14:paraId="38FCD3B1" w14:textId="77777777" w:rsidR="00DF410E" w:rsidRDefault="00CE7F43">
      <w:r>
        <w:rPr>
          <w:rStyle w:val="soitChar"/>
        </w:rPr>
        <w:t>2.     QF</w:t>
      </w:r>
    </w:p>
    <w:p w14:paraId="56521048" w14:textId="77777777" w:rsidR="00DF410E" w:rsidRDefault="00CE7F43">
      <w:r>
        <w:rPr>
          <w:b/>
          <w:i/>
        </w:rPr>
        <w:t>(Soit)</w:t>
      </w:r>
    </w:p>
    <w:p w14:paraId="254771F9" w14:textId="77777777" w:rsidR="00DF410E" w:rsidRDefault="00CE7F43">
      <w:r>
        <w:rPr>
          <w:rStyle w:val="soitChar"/>
        </w:rPr>
        <w:t>3.     QP</w:t>
      </w:r>
    </w:p>
    <w:p w14:paraId="40EC32CD" w14:textId="77777777" w:rsidR="00DF410E" w:rsidRDefault="00CE7F43">
      <w:pPr>
        <w:pStyle w:val="pheading"/>
      </w:pPr>
      <w:r>
        <w:t>AIDE</w:t>
      </w:r>
    </w:p>
    <w:p w14:paraId="4065B80B" w14:textId="77777777" w:rsidR="00DF410E" w:rsidRDefault="00CE7F43">
      <w:pPr>
        <w:jc w:val="both"/>
      </w:pPr>
      <w:r>
        <w:t>Le contact au niveau de l’appui du tenon sur la mortaise doit être assuré. Il peut l’être soit par les charges permanentes, soit par un organe d’assemblage.</w:t>
      </w:r>
    </w:p>
    <w:p w14:paraId="1952421C" w14:textId="77777777" w:rsidR="00DF410E" w:rsidRDefault="00CE7F43">
      <w:pPr>
        <w:jc w:val="both"/>
      </w:pPr>
      <w:r>
        <w:t>Les organes d’assemblages peuvent être en bois durs et sec (teneur en humidité &lt;15%) ou métalliques.</w:t>
      </w:r>
    </w:p>
    <w:p w14:paraId="03BEE3EC" w14:textId="77777777" w:rsidR="00DF410E" w:rsidRDefault="00CE7F43">
      <w:pPr>
        <w:jc w:val="both"/>
      </w:pPr>
      <w:r>
        <w:t>Si une résistance au feu est requise, les organes d’assemblages métalliques sont rendus invisibles par des dispositions constructives ou par bouchonnage (</w:t>
      </w:r>
      <w:hyperlink w:anchor="629" w:history="1">
        <w:r>
          <w:t>24.42.4a Finitions d'assemblages - bouchonnage</w:t>
        </w:r>
      </w:hyperlink>
      <w:r>
        <w:t>).</w:t>
      </w:r>
    </w:p>
    <w:p w14:paraId="4D3A8D9B" w14:textId="77777777" w:rsidR="00DF410E" w:rsidRDefault="00CE7F43">
      <w:pPr>
        <w:pStyle w:val="Author-eSectionHeading6"/>
      </w:pPr>
      <w:bookmarkStart w:id="1723" w:name="_Toc178838803"/>
      <w:r>
        <w:t>24.41.1c Assemblages traditionnels (bois/bois) - queues d'aronde CCTB 01.11</w:t>
      </w:r>
      <w:bookmarkEnd w:id="1723"/>
    </w:p>
    <w:p w14:paraId="5A5747FA" w14:textId="77777777" w:rsidR="00DF410E" w:rsidRDefault="00CE7F43">
      <w:pPr>
        <w:pStyle w:val="pheading"/>
      </w:pPr>
      <w:r>
        <w:t>EXÉCUTION / MISE EN ŒUVRE</w:t>
      </w:r>
    </w:p>
    <w:p w14:paraId="61712566" w14:textId="77777777" w:rsidR="00DF410E" w:rsidRDefault="00CE7F43">
      <w:pPr>
        <w:pStyle w:val="pheading"/>
      </w:pPr>
      <w:r>
        <w:t>- Prescriptions générales</w:t>
      </w:r>
    </w:p>
    <w:p w14:paraId="4CB4A341" w14:textId="77777777" w:rsidR="00DF410E" w:rsidRDefault="00CE7F43">
      <w:r>
        <w:rPr>
          <w:noProof/>
        </w:rPr>
        <w:drawing>
          <wp:inline distT="0" distB="0" distL="0" distR="0" wp14:anchorId="1A645944" wp14:editId="16C137E8">
            <wp:extent cx="3810000" cy="3028950"/>
            <wp:effectExtent l="0" t="0" r="0" b="0"/>
            <wp:docPr id="15" name="24.41.1c.png" descr="24.4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4" descr="24.41.1c.png"/>
                    <pic:cNvPicPr>
                      <a:picLocks noChangeAspect="1" noChangeArrowheads="1"/>
                    </pic:cNvPicPr>
                  </pic:nvPicPr>
                  <pic:blipFill>
                    <a:blip r:embed="rId330"/>
                    <a:srcRect/>
                    <a:stretch>
                      <a:fillRect/>
                    </a:stretch>
                  </pic:blipFill>
                  <pic:spPr bwMode="auto">
                    <a:xfrm>
                      <a:off x="0" y="0"/>
                      <a:ext cx="3810000" cy="3028950"/>
                    </a:xfrm>
                    <a:prstGeom prst="rect">
                      <a:avLst/>
                    </a:prstGeom>
                  </pic:spPr>
                </pic:pic>
              </a:graphicData>
            </a:graphic>
          </wp:inline>
        </w:drawing>
      </w:r>
    </w:p>
    <w:p w14:paraId="48E7CF5A" w14:textId="77777777" w:rsidR="00DF410E" w:rsidRDefault="00CE7F43">
      <w:pPr>
        <w:jc w:val="both"/>
      </w:pPr>
      <w:r>
        <w:t>Le tenon est situé dans la solive, la mortaise dans la porteuse. La solive est au maximum aussi large que la porteuse.</w:t>
      </w:r>
    </w:p>
    <w:p w14:paraId="000A8844" w14:textId="77777777" w:rsidR="00DF410E" w:rsidRDefault="00CE7F43">
      <w:pPr>
        <w:jc w:val="both"/>
      </w:pPr>
      <w:r>
        <w:t>Les deux éléments assemblés sont mis en œuvre à la teneur en d’humidité d’équilibre qu’ils ont en service.</w:t>
      </w:r>
    </w:p>
    <w:p w14:paraId="2F1A40A4" w14:textId="77777777" w:rsidR="00DF410E" w:rsidRDefault="00CE7F43">
      <w:pPr>
        <w:jc w:val="both"/>
      </w:pPr>
      <w:r>
        <w:t>Les zones chargées par l’assemblages sont exemptes de défauts rédhibitoires pouvant réduire leurs capacités portantes (nœuds, pentes de fil &gt;20°, etc.)</w:t>
      </w:r>
    </w:p>
    <w:p w14:paraId="1D2EA64E" w14:textId="77777777" w:rsidR="00DF410E" w:rsidRDefault="00CE7F43">
      <w:pPr>
        <w:jc w:val="both"/>
      </w:pPr>
      <w:r>
        <w:t>La hauteur du tenon est au minimum égale à 60% de la hauteur de la solive. Le tenon est débouchant en partie supérieure.</w:t>
      </w:r>
    </w:p>
    <w:p w14:paraId="21AEAD78" w14:textId="77777777" w:rsidR="00DF410E" w:rsidRDefault="00CE7F43">
      <w:pPr>
        <w:jc w:val="both"/>
      </w:pPr>
      <w:r>
        <w:t>La plus grande largeur du tenon (partie supérieure) est au minimum de 80% de la largeur de la solive.</w:t>
      </w:r>
    </w:p>
    <w:p w14:paraId="454191BC" w14:textId="77777777" w:rsidR="00DF410E" w:rsidRDefault="00CE7F43">
      <w:pPr>
        <w:jc w:val="both"/>
      </w:pPr>
      <w:r>
        <w:t>La plus petite largeur du tenon (partie inférieure) est au minimum de 50% de la largeur de la solive.</w:t>
      </w:r>
    </w:p>
    <w:p w14:paraId="7F80BB86" w14:textId="77777777" w:rsidR="00DF410E" w:rsidRDefault="00CE7F43">
      <w:pPr>
        <w:jc w:val="both"/>
      </w:pPr>
      <w:r>
        <w:t>La longueur du tenon est comprise entre 25 et 80mm.</w:t>
      </w:r>
    </w:p>
    <w:p w14:paraId="08A708E8" w14:textId="77777777" w:rsidR="00DF410E" w:rsidRDefault="00CE7F43">
      <w:pPr>
        <w:jc w:val="both"/>
      </w:pPr>
      <w:r>
        <w:t>L’angle entre les deux côtés latéraux du tenon est compris entre 4° et 20°.</w:t>
      </w:r>
    </w:p>
    <w:p w14:paraId="0B0D5E43" w14:textId="77777777" w:rsidR="00DF410E" w:rsidRDefault="00CE7F43">
      <w:pPr>
        <w:jc w:val="both"/>
      </w:pPr>
      <w:r>
        <w:t>L’angle entre les côtés latéraux du tenon et l’axe longitudinal de la solive est compris entre 10° et 20°.</w:t>
      </w:r>
    </w:p>
    <w:p w14:paraId="1AE5E9BD" w14:textId="77777777" w:rsidR="00DF410E" w:rsidRDefault="00CE7F43">
      <w:pPr>
        <w:jc w:val="both"/>
      </w:pPr>
      <w:r>
        <w:t>La hauteur sous mortaise est au minimum égale au quart de la hauteur de la porteuse</w:t>
      </w:r>
    </w:p>
    <w:p w14:paraId="0144B063" w14:textId="77777777" w:rsidR="00DF410E" w:rsidRDefault="00CE7F43">
      <w:pPr>
        <w:jc w:val="both"/>
      </w:pPr>
      <w:r>
        <w:t xml:space="preserve">Géométrie de l’assemblage : </w:t>
      </w:r>
      <w:r>
        <w:rPr>
          <w:rStyle w:val="optioncarChar"/>
        </w:rPr>
        <w:t xml:space="preserve">à déterminer par l’entreprise </w:t>
      </w:r>
      <w:r>
        <w:t>(par défaut)</w:t>
      </w:r>
      <w:r>
        <w:rPr>
          <w:rStyle w:val="optioncarChar"/>
        </w:rPr>
        <w:t xml:space="preserve"> / voir plan / ***</w:t>
      </w:r>
    </w:p>
    <w:p w14:paraId="432F6656" w14:textId="77777777" w:rsidR="00DF410E" w:rsidRDefault="00CE7F43">
      <w:pPr>
        <w:jc w:val="both"/>
      </w:pPr>
      <w:r>
        <w:t>Les jeux sont limités à 2mm maximum.</w:t>
      </w:r>
    </w:p>
    <w:p w14:paraId="0C75B6B5" w14:textId="77777777" w:rsidR="00DF410E" w:rsidRDefault="00CE7F43">
      <w:pPr>
        <w:pStyle w:val="pheading"/>
      </w:pPr>
      <w:r>
        <w:t>MESURAGE</w:t>
      </w:r>
    </w:p>
    <w:p w14:paraId="1AEEE4F2" w14:textId="77777777" w:rsidR="00DF410E" w:rsidRDefault="00CE7F43">
      <w:pPr>
        <w:pStyle w:val="pheading"/>
      </w:pPr>
      <w:r>
        <w:t>- unité de mesure:</w:t>
      </w:r>
    </w:p>
    <w:p w14:paraId="59D1CB50" w14:textId="77777777" w:rsidR="00DF410E" w:rsidRDefault="00CE7F43">
      <w:r>
        <w:rPr>
          <w:rStyle w:val="optioncarChar"/>
        </w:rPr>
        <w:t>- </w:t>
      </w:r>
      <w:r>
        <w:t>(par défaut)</w:t>
      </w:r>
      <w:r>
        <w:rPr>
          <w:rStyle w:val="optioncarChar"/>
        </w:rPr>
        <w:t> / pc</w:t>
      </w:r>
    </w:p>
    <w:p w14:paraId="6071AD21" w14:textId="77777777" w:rsidR="00DF410E" w:rsidRDefault="00CE7F43">
      <w:r>
        <w:rPr>
          <w:b/>
          <w:i/>
        </w:rPr>
        <w:t>(Soit par défaut)</w:t>
      </w:r>
    </w:p>
    <w:p w14:paraId="040BA881" w14:textId="77777777" w:rsidR="00DF410E" w:rsidRDefault="00CE7F43">
      <w:r>
        <w:rPr>
          <w:rStyle w:val="soitChar"/>
        </w:rPr>
        <w:t>1.     –</w:t>
      </w:r>
    </w:p>
    <w:p w14:paraId="4E4C045A" w14:textId="77777777" w:rsidR="00DF410E" w:rsidRDefault="00CE7F43">
      <w:r>
        <w:rPr>
          <w:b/>
          <w:i/>
        </w:rPr>
        <w:t>(Soit)</w:t>
      </w:r>
    </w:p>
    <w:p w14:paraId="554FBFF8" w14:textId="77777777" w:rsidR="00DF410E" w:rsidRDefault="00CE7F43">
      <w:r>
        <w:rPr>
          <w:rStyle w:val="soitChar"/>
        </w:rPr>
        <w:t>2.3.  pc</w:t>
      </w:r>
    </w:p>
    <w:p w14:paraId="6F846DAC" w14:textId="77777777" w:rsidR="00DF410E" w:rsidRDefault="00CE7F43">
      <w:pPr>
        <w:pStyle w:val="pheading"/>
      </w:pPr>
      <w:r>
        <w:t>- code de mesurage:</w:t>
      </w:r>
    </w:p>
    <w:p w14:paraId="467064DB" w14:textId="77777777" w:rsidR="00DF410E" w:rsidRDefault="00CE7F43">
      <w:r>
        <w:rPr>
          <w:rStyle w:val="optioncarChar"/>
        </w:rPr>
        <w:t>Compris </w:t>
      </w:r>
      <w:r>
        <w:t>(par défaut) </w:t>
      </w:r>
      <w:r>
        <w:rPr>
          <w:rStyle w:val="optioncarChar"/>
        </w:rPr>
        <w:t>/ Quantité nette</w:t>
      </w:r>
    </w:p>
    <w:p w14:paraId="60DA0BAF" w14:textId="77777777" w:rsidR="00DF410E" w:rsidRDefault="00CE7F43">
      <w:r>
        <w:rPr>
          <w:b/>
          <w:i/>
        </w:rPr>
        <w:t>(Soit par défaut)</w:t>
      </w:r>
    </w:p>
    <w:p w14:paraId="27FF2885" w14:textId="77777777" w:rsidR="00DF410E" w:rsidRDefault="00CE7F43">
      <w:r>
        <w:rPr>
          <w:rStyle w:val="soitChar"/>
        </w:rPr>
        <w:t>1.    </w:t>
      </w:r>
      <w:r>
        <w:rPr>
          <w:rStyle w:val="soitChar"/>
          <w:u w:val="single"/>
        </w:rPr>
        <w:t> Compris</w:t>
      </w:r>
      <w:r>
        <w:rPr>
          <w:rStyle w:val="soitChar"/>
        </w:rPr>
        <w:t> dans l’article de référence</w:t>
      </w:r>
      <w:r>
        <w:t> </w:t>
      </w:r>
      <w:r>
        <w:rPr>
          <w:rStyle w:val="optioncarChar"/>
        </w:rPr>
        <w:t>***</w:t>
      </w:r>
    </w:p>
    <w:p w14:paraId="02C23808" w14:textId="77777777" w:rsidR="00DF410E" w:rsidRDefault="00CE7F43">
      <w:r>
        <w:rPr>
          <w:b/>
          <w:i/>
        </w:rPr>
        <w:t>(Soit)</w:t>
      </w:r>
    </w:p>
    <w:p w14:paraId="6FEC49D8"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56D9D37D" w14:textId="77777777" w:rsidR="00DF410E" w:rsidRDefault="00CE7F43">
      <w:pPr>
        <w:pStyle w:val="pheading"/>
      </w:pPr>
      <w:r>
        <w:t>- nature du marché:</w:t>
      </w:r>
    </w:p>
    <w:p w14:paraId="7D934217" w14:textId="77777777" w:rsidR="00DF410E" w:rsidRDefault="00CE7F43">
      <w:r>
        <w:rPr>
          <w:rStyle w:val="optioncarChar"/>
        </w:rPr>
        <w:t>PM</w:t>
      </w:r>
      <w:r>
        <w:t> (par défaut) </w:t>
      </w:r>
      <w:r>
        <w:rPr>
          <w:rStyle w:val="optioncarChar"/>
        </w:rPr>
        <w:t>/ QF / QP</w:t>
      </w:r>
    </w:p>
    <w:p w14:paraId="155B6AD6" w14:textId="77777777" w:rsidR="00DF410E" w:rsidRDefault="00CE7F43">
      <w:r>
        <w:rPr>
          <w:b/>
          <w:i/>
        </w:rPr>
        <w:t>(Soit par défaut)</w:t>
      </w:r>
    </w:p>
    <w:p w14:paraId="6F1E5E98" w14:textId="77777777" w:rsidR="00DF410E" w:rsidRDefault="00CE7F43">
      <w:r>
        <w:rPr>
          <w:rStyle w:val="soitChar"/>
        </w:rPr>
        <w:t>1.     PM</w:t>
      </w:r>
    </w:p>
    <w:p w14:paraId="7B1FD8AA" w14:textId="77777777" w:rsidR="00DF410E" w:rsidRDefault="00CE7F43">
      <w:r>
        <w:rPr>
          <w:b/>
          <w:i/>
        </w:rPr>
        <w:t>(Soit)</w:t>
      </w:r>
    </w:p>
    <w:p w14:paraId="0FC7DDE2" w14:textId="77777777" w:rsidR="00DF410E" w:rsidRDefault="00CE7F43">
      <w:r>
        <w:rPr>
          <w:rStyle w:val="soitChar"/>
        </w:rPr>
        <w:t>2.     QF</w:t>
      </w:r>
    </w:p>
    <w:p w14:paraId="0197DEC7" w14:textId="77777777" w:rsidR="00DF410E" w:rsidRDefault="00CE7F43">
      <w:r>
        <w:rPr>
          <w:b/>
          <w:i/>
        </w:rPr>
        <w:t>(Soit)</w:t>
      </w:r>
    </w:p>
    <w:p w14:paraId="3A4A2A32" w14:textId="77777777" w:rsidR="00DF410E" w:rsidRDefault="00CE7F43">
      <w:r>
        <w:rPr>
          <w:rStyle w:val="soitChar"/>
        </w:rPr>
        <w:t>3.     QP</w:t>
      </w:r>
    </w:p>
    <w:p w14:paraId="4A4198F4" w14:textId="77777777" w:rsidR="00DF410E" w:rsidRDefault="00CE7F43">
      <w:pPr>
        <w:pStyle w:val="Author-eSectionHeading6"/>
      </w:pPr>
      <w:bookmarkStart w:id="1724" w:name="_Toc178838804"/>
      <w:r>
        <w:t>24.41.1d Assemblages traditionnels (bois/bois) - traits de Jupiter CCTB 01.07</w:t>
      </w:r>
      <w:bookmarkEnd w:id="1724"/>
    </w:p>
    <w:p w14:paraId="5195B74F" w14:textId="77777777" w:rsidR="00DF410E" w:rsidRDefault="00CE7F43">
      <w:pPr>
        <w:pStyle w:val="pheading"/>
      </w:pPr>
      <w:bookmarkStart w:id="1725" w:name="609"/>
      <w:bookmarkEnd w:id="1725"/>
      <w:r>
        <w:t>DESCRIPTION</w:t>
      </w:r>
    </w:p>
    <w:p w14:paraId="77A63666" w14:textId="77777777" w:rsidR="00DF410E" w:rsidRDefault="00CE7F43">
      <w:pPr>
        <w:pStyle w:val="pheading"/>
      </w:pPr>
      <w:r>
        <w:t>- Définition / Comprend</w:t>
      </w:r>
    </w:p>
    <w:p w14:paraId="3E81EC0E" w14:textId="77777777" w:rsidR="00DF410E" w:rsidRDefault="00CE7F43">
      <w:r>
        <w:t>L’assemblage à trait de Jupiter est un assemblage qui lie deux éléments en bois bout à bout.</w:t>
      </w:r>
    </w:p>
    <w:p w14:paraId="19499873" w14:textId="77777777" w:rsidR="00DF410E" w:rsidRDefault="00CE7F43">
      <w:pPr>
        <w:pStyle w:val="pheading"/>
      </w:pPr>
      <w:r>
        <w:t>EXÉCUTION / MISE EN ŒUVRE</w:t>
      </w:r>
    </w:p>
    <w:p w14:paraId="376A3291" w14:textId="77777777" w:rsidR="00DF410E" w:rsidRDefault="00CE7F43">
      <w:pPr>
        <w:pStyle w:val="pheading"/>
      </w:pPr>
      <w:r>
        <w:t>- Prescriptions générales</w:t>
      </w:r>
    </w:p>
    <w:p w14:paraId="0022C6C3" w14:textId="77777777" w:rsidR="00DF410E" w:rsidRDefault="00CE7F43">
      <w:pPr>
        <w:jc w:val="both"/>
      </w:pPr>
      <w:r>
        <w:t>La longueur de l’assemblage est comprise entre 3 et 3,5 fois la hauteur de la pièce.</w:t>
      </w:r>
    </w:p>
    <w:p w14:paraId="512FD166" w14:textId="77777777" w:rsidR="00DF410E" w:rsidRDefault="00CE7F43">
      <w:pPr>
        <w:jc w:val="both"/>
      </w:pPr>
      <w:r>
        <w:t>Il est possible d’utiliser une clé de forme rectangulaire et deux clés taillées en sifflet afin de bloquer l’assemblage.</w:t>
      </w:r>
    </w:p>
    <w:p w14:paraId="3281167D" w14:textId="77777777" w:rsidR="00DF410E" w:rsidRDefault="00CE7F43">
      <w:pPr>
        <w:jc w:val="both"/>
      </w:pPr>
      <w:r>
        <w:t>La hauteur des abouts est comprise entre 15% et 20% de la hauteur de la pièce.</w:t>
      </w:r>
    </w:p>
    <w:p w14:paraId="1D4898DF" w14:textId="77777777" w:rsidR="00DF410E" w:rsidRDefault="00CE7F43">
      <w:pPr>
        <w:jc w:val="both"/>
      </w:pPr>
      <w:r>
        <w:t>Géométrie de l’assemblage :</w:t>
      </w:r>
      <w:r>
        <w:rPr>
          <w:rStyle w:val="optioncarChar"/>
        </w:rPr>
        <w:t xml:space="preserve"> à déterminer par l’entreprise </w:t>
      </w:r>
      <w:r>
        <w:t xml:space="preserve">(par défaut) </w:t>
      </w:r>
      <w:r>
        <w:rPr>
          <w:rStyle w:val="optioncarChar"/>
        </w:rPr>
        <w:t>/ voir plan / ***</w:t>
      </w:r>
    </w:p>
    <w:p w14:paraId="051D663A" w14:textId="77777777" w:rsidR="00DF410E" w:rsidRDefault="00CE7F43">
      <w:pPr>
        <w:pStyle w:val="pheading"/>
      </w:pPr>
      <w:r>
        <w:t>MESURAGE</w:t>
      </w:r>
    </w:p>
    <w:p w14:paraId="53E76FEC" w14:textId="77777777" w:rsidR="00DF410E" w:rsidRDefault="00CE7F43">
      <w:pPr>
        <w:pStyle w:val="pheading"/>
      </w:pPr>
      <w:r>
        <w:t>- unité de mesure:</w:t>
      </w:r>
    </w:p>
    <w:p w14:paraId="70BD9B0E" w14:textId="77777777" w:rsidR="00DF410E" w:rsidRDefault="00CE7F43">
      <w:r>
        <w:rPr>
          <w:rStyle w:val="optioncarChar"/>
        </w:rPr>
        <w:t>- </w:t>
      </w:r>
      <w:r>
        <w:t>(par défaut)</w:t>
      </w:r>
      <w:r>
        <w:rPr>
          <w:rStyle w:val="optioncarChar"/>
        </w:rPr>
        <w:t> / pc</w:t>
      </w:r>
    </w:p>
    <w:p w14:paraId="34F25EA0" w14:textId="77777777" w:rsidR="00DF410E" w:rsidRDefault="00CE7F43">
      <w:r>
        <w:rPr>
          <w:b/>
          <w:i/>
        </w:rPr>
        <w:t>(Soit par défaut)</w:t>
      </w:r>
    </w:p>
    <w:p w14:paraId="5124E163" w14:textId="77777777" w:rsidR="00DF410E" w:rsidRDefault="00CE7F43">
      <w:r>
        <w:rPr>
          <w:rStyle w:val="soitChar"/>
        </w:rPr>
        <w:t>1.     –</w:t>
      </w:r>
    </w:p>
    <w:p w14:paraId="0EE774D3" w14:textId="77777777" w:rsidR="00DF410E" w:rsidRDefault="00CE7F43">
      <w:r>
        <w:rPr>
          <w:b/>
          <w:i/>
        </w:rPr>
        <w:t>(Soit)</w:t>
      </w:r>
    </w:p>
    <w:p w14:paraId="60797EAB" w14:textId="77777777" w:rsidR="00DF410E" w:rsidRDefault="00CE7F43">
      <w:r>
        <w:rPr>
          <w:rStyle w:val="soitChar"/>
        </w:rPr>
        <w:t>2.3.  pc</w:t>
      </w:r>
    </w:p>
    <w:p w14:paraId="2FFD52EB" w14:textId="77777777" w:rsidR="00DF410E" w:rsidRDefault="00CE7F43">
      <w:pPr>
        <w:pStyle w:val="pheading"/>
      </w:pPr>
      <w:r>
        <w:t>- code de mesurage:</w:t>
      </w:r>
    </w:p>
    <w:p w14:paraId="2462D152" w14:textId="77777777" w:rsidR="00DF410E" w:rsidRDefault="00CE7F43">
      <w:r>
        <w:rPr>
          <w:rStyle w:val="optioncarChar"/>
        </w:rPr>
        <w:t>Compris</w:t>
      </w:r>
      <w:r>
        <w:t> (par défaut) </w:t>
      </w:r>
      <w:r>
        <w:rPr>
          <w:rStyle w:val="optioncarChar"/>
        </w:rPr>
        <w:t>/ Quantité nette</w:t>
      </w:r>
    </w:p>
    <w:p w14:paraId="7E05095B" w14:textId="77777777" w:rsidR="00DF410E" w:rsidRDefault="00CE7F43">
      <w:r>
        <w:rPr>
          <w:b/>
          <w:i/>
        </w:rPr>
        <w:t>(Soit par défaut)</w:t>
      </w:r>
    </w:p>
    <w:p w14:paraId="2244EEB5" w14:textId="77777777" w:rsidR="00DF410E" w:rsidRDefault="00CE7F43">
      <w:r>
        <w:rPr>
          <w:rStyle w:val="soitChar"/>
        </w:rPr>
        <w:t>1.     </w:t>
      </w:r>
      <w:r>
        <w:rPr>
          <w:rStyle w:val="soitChar"/>
          <w:u w:val="single"/>
        </w:rPr>
        <w:t>Compris </w:t>
      </w:r>
      <w:r>
        <w:rPr>
          <w:rStyle w:val="soitChar"/>
        </w:rPr>
        <w:t>dans l’article de référence</w:t>
      </w:r>
      <w:r>
        <w:t> </w:t>
      </w:r>
      <w:r>
        <w:rPr>
          <w:rStyle w:val="optioncarChar"/>
        </w:rPr>
        <w:t>***</w:t>
      </w:r>
    </w:p>
    <w:p w14:paraId="498658F7" w14:textId="77777777" w:rsidR="00DF410E" w:rsidRDefault="00CE7F43">
      <w:r>
        <w:rPr>
          <w:b/>
          <w:i/>
        </w:rPr>
        <w:t>(Soit)</w:t>
      </w:r>
    </w:p>
    <w:p w14:paraId="420FD2F2" w14:textId="77777777" w:rsidR="00DF410E" w:rsidRDefault="00CE7F43">
      <w:r>
        <w:rPr>
          <w:rStyle w:val="soitChar"/>
        </w:rPr>
        <w:t>2.3.</w:t>
      </w:r>
      <w:r>
        <w:rPr>
          <w:rStyle w:val="soitChar"/>
          <w:u w:val="single"/>
        </w:rPr>
        <w:t> Quantité nette</w:t>
      </w:r>
      <w:r>
        <w:rPr>
          <w:rStyle w:val="soitChar"/>
        </w:rPr>
        <w:t> : Le nombre d’assemblages à embrèvement ayant les mêmes dimensions est compatibilisé.</w:t>
      </w:r>
    </w:p>
    <w:p w14:paraId="741C783C" w14:textId="77777777" w:rsidR="00DF410E" w:rsidRDefault="00CE7F43">
      <w:pPr>
        <w:pStyle w:val="pheading"/>
      </w:pPr>
      <w:r>
        <w:t>- nature du marché:</w:t>
      </w:r>
    </w:p>
    <w:p w14:paraId="033D8C56" w14:textId="77777777" w:rsidR="00DF410E" w:rsidRDefault="00CE7F43">
      <w:r>
        <w:rPr>
          <w:rStyle w:val="optioncarChar"/>
        </w:rPr>
        <w:t>PM </w:t>
      </w:r>
      <w:r>
        <w:t>(par défaut)</w:t>
      </w:r>
      <w:r>
        <w:rPr>
          <w:rStyle w:val="optioncarChar"/>
        </w:rPr>
        <w:t> / QF / QP</w:t>
      </w:r>
    </w:p>
    <w:p w14:paraId="6B3D8081" w14:textId="77777777" w:rsidR="00DF410E" w:rsidRDefault="00CE7F43">
      <w:r>
        <w:rPr>
          <w:b/>
          <w:i/>
        </w:rPr>
        <w:t>(Soit par défaut)</w:t>
      </w:r>
    </w:p>
    <w:p w14:paraId="3177B6B9" w14:textId="77777777" w:rsidR="00DF410E" w:rsidRDefault="00CE7F43">
      <w:r>
        <w:rPr>
          <w:rStyle w:val="soitChar"/>
        </w:rPr>
        <w:t>1.     PM</w:t>
      </w:r>
    </w:p>
    <w:p w14:paraId="58A9AA4D" w14:textId="77777777" w:rsidR="00DF410E" w:rsidRDefault="00CE7F43">
      <w:r>
        <w:rPr>
          <w:b/>
          <w:i/>
        </w:rPr>
        <w:t>(Soit)</w:t>
      </w:r>
    </w:p>
    <w:p w14:paraId="7FF736AB" w14:textId="77777777" w:rsidR="00DF410E" w:rsidRDefault="00CE7F43">
      <w:r>
        <w:rPr>
          <w:rStyle w:val="soitChar"/>
        </w:rPr>
        <w:t>2.     QF</w:t>
      </w:r>
    </w:p>
    <w:p w14:paraId="49F93123" w14:textId="77777777" w:rsidR="00DF410E" w:rsidRDefault="00CE7F43">
      <w:r>
        <w:rPr>
          <w:b/>
          <w:i/>
        </w:rPr>
        <w:t>(Soit)</w:t>
      </w:r>
    </w:p>
    <w:p w14:paraId="77DEDEA8" w14:textId="77777777" w:rsidR="00DF410E" w:rsidRDefault="00CE7F43">
      <w:r>
        <w:rPr>
          <w:rStyle w:val="soitChar"/>
        </w:rPr>
        <w:t>3.     QP</w:t>
      </w:r>
    </w:p>
    <w:p w14:paraId="3C10D628" w14:textId="77777777" w:rsidR="00DF410E" w:rsidRDefault="00CE7F43">
      <w:pPr>
        <w:pStyle w:val="pheading"/>
      </w:pPr>
      <w:r>
        <w:t>AIDE</w:t>
      </w:r>
    </w:p>
    <w:p w14:paraId="6CF49193" w14:textId="77777777" w:rsidR="00DF410E" w:rsidRDefault="00CE7F43">
      <w:pPr>
        <w:jc w:val="both"/>
      </w:pPr>
      <w:r>
        <w:t>La complexité des assemblages par trait de Jupiter et la grande perte de matière qu’ils induisent, du fait de leur longueur, fait qu’ils sont rarement la solution optimale du point de vue économique.</w:t>
      </w:r>
    </w:p>
    <w:p w14:paraId="7D819475" w14:textId="77777777" w:rsidR="00DF410E" w:rsidRDefault="00CE7F43">
      <w:pPr>
        <w:pStyle w:val="Author-eSectionHeading4"/>
      </w:pPr>
      <w:bookmarkStart w:id="1726" w:name="_Toc178838805"/>
      <w:r>
        <w:t>24.42 Assemblages mécaniques CCTB 01.11</w:t>
      </w:r>
      <w:bookmarkEnd w:id="1726"/>
    </w:p>
    <w:p w14:paraId="6F29479C" w14:textId="77777777" w:rsidR="00DF410E" w:rsidRDefault="00CE7F43">
      <w:pPr>
        <w:pStyle w:val="pheading"/>
      </w:pPr>
      <w:bookmarkStart w:id="1727" w:name="593"/>
      <w:bookmarkEnd w:id="1727"/>
      <w:r>
        <w:t>DESCRIPTION</w:t>
      </w:r>
    </w:p>
    <w:p w14:paraId="1DAD164C" w14:textId="77777777" w:rsidR="00DF410E" w:rsidRDefault="00CE7F43">
      <w:pPr>
        <w:pStyle w:val="pheading"/>
      </w:pPr>
      <w:r>
        <w:t>- Définition / Comprend</w:t>
      </w:r>
    </w:p>
    <w:p w14:paraId="143D275F" w14:textId="77777777" w:rsidR="00DF410E" w:rsidRDefault="00CE7F43">
      <w:pPr>
        <w:jc w:val="both"/>
      </w:pPr>
      <w:r>
        <w:t>Un assemblage est dit mécanique lorsqu’il fait intervenir des éléments métalliques (vis, plaque acier, etc.) pour transmettre l’effort d’un élément bois vers un autre.</w:t>
      </w:r>
    </w:p>
    <w:p w14:paraId="091C1F1D" w14:textId="77777777" w:rsidR="00DF410E" w:rsidRDefault="00CE7F43">
      <w:pPr>
        <w:pStyle w:val="pheading"/>
      </w:pPr>
      <w:r>
        <w:t>MATÉRIAUX</w:t>
      </w:r>
    </w:p>
    <w:p w14:paraId="16E24679" w14:textId="77777777" w:rsidR="00DF410E" w:rsidRDefault="00CE7F43">
      <w:pPr>
        <w:jc w:val="both"/>
      </w:pPr>
      <w:r>
        <w:rPr>
          <w:u w:val="single"/>
        </w:rPr>
        <w:t>Protection contre la corrosion</w:t>
      </w:r>
    </w:p>
    <w:p w14:paraId="01B64682" w14:textId="77777777" w:rsidR="00DF410E" w:rsidRDefault="00CE7F43">
      <w:pPr>
        <w:jc w:val="both"/>
      </w:pPr>
      <w:r>
        <w:t>Les organes métalliques des assemblages sont protégés contre la corrosion. Cette protection est proportionnelle au risque auquel ils sont soumis.</w:t>
      </w:r>
    </w:p>
    <w:p w14:paraId="48BBA5B2" w14:textId="77777777" w:rsidR="00DF410E" w:rsidRDefault="00CE7F43">
      <w:pPr>
        <w:jc w:val="both"/>
      </w:pPr>
      <w:r>
        <w:t>Hors situation exceptionnelle, le risque provient de deux facteurs :</w:t>
      </w:r>
    </w:p>
    <w:p w14:paraId="61D0678B" w14:textId="77777777" w:rsidR="00DF410E" w:rsidRDefault="00CE7F43">
      <w:pPr>
        <w:pStyle w:val="Author-eListParagraph"/>
        <w:numPr>
          <w:ilvl w:val="0"/>
          <w:numId w:val="1051"/>
        </w:numPr>
      </w:pPr>
      <w:r>
        <w:t>La possibilité d’humidification. Ce facteur est déterminé par la classe d’emploi.</w:t>
      </w:r>
    </w:p>
    <w:p w14:paraId="13213416" w14:textId="77777777" w:rsidR="00DF410E" w:rsidRDefault="00CE7F43">
      <w:pPr>
        <w:pStyle w:val="Author-eListParagraph"/>
        <w:numPr>
          <w:ilvl w:val="0"/>
          <w:numId w:val="1051"/>
        </w:numPr>
      </w:pPr>
      <w:r>
        <w:t>L’acidité du bois assemblé.</w:t>
      </w:r>
    </w:p>
    <w:p w14:paraId="7BD7FBBE" w14:textId="77777777" w:rsidR="00DF410E" w:rsidRDefault="00CE7F43">
      <w:pPr>
        <w:jc w:val="both"/>
      </w:pPr>
      <w:r>
        <w:t> </w:t>
      </w:r>
    </w:p>
    <w:p w14:paraId="27E19A5E" w14:textId="77777777" w:rsidR="00DF410E" w:rsidRDefault="00CE7F43">
      <w:pPr>
        <w:jc w:val="both"/>
      </w:pPr>
      <w:r>
        <w:t>L’Eurocode 5 ([NBN EN 1995-1-1]) prescrit les protections contre la corrosion minimales suivant la classe d’emploi, le type d’organe métallique et ses dimensions :</w:t>
      </w:r>
    </w:p>
    <w:tbl>
      <w:tblPr>
        <w:tblStyle w:val="Author-eTableGrid"/>
        <w:tblW w:w="9030" w:type="dxa"/>
        <w:tblLayout w:type="fixed"/>
        <w:tblLook w:val="04A0" w:firstRow="1" w:lastRow="0" w:firstColumn="1" w:lastColumn="0" w:noHBand="0" w:noVBand="1"/>
      </w:tblPr>
      <w:tblGrid>
        <w:gridCol w:w="5655"/>
        <w:gridCol w:w="1125"/>
        <w:gridCol w:w="1125"/>
        <w:gridCol w:w="1125"/>
      </w:tblGrid>
      <w:tr w:rsidR="00DF410E" w14:paraId="339DAE62" w14:textId="77777777">
        <w:tc>
          <w:tcPr>
            <w:tcW w:w="9030" w:type="dxa"/>
            <w:gridSpan w:val="4"/>
            <w:shd w:val="clear" w:color="auto" w:fill="C0C0C0"/>
            <w:noWrap/>
          </w:tcPr>
          <w:p w14:paraId="14EBC2D2" w14:textId="77777777" w:rsidR="00DF410E" w:rsidRDefault="00CE7F43">
            <w:pPr>
              <w:jc w:val="center"/>
            </w:pPr>
            <w:r>
              <w:rPr>
                <w:b/>
              </w:rPr>
              <w:t>Protection par galvanisation à chaud ([NBN EN 10346])</w:t>
            </w:r>
          </w:p>
        </w:tc>
      </w:tr>
      <w:tr w:rsidR="00DF410E" w14:paraId="4D969FBF" w14:textId="77777777">
        <w:tc>
          <w:tcPr>
            <w:tcW w:w="5655" w:type="dxa"/>
            <w:vMerge w:val="restart"/>
            <w:shd w:val="clear" w:color="auto" w:fill="C0C0C0"/>
            <w:noWrap/>
          </w:tcPr>
          <w:p w14:paraId="4337B301" w14:textId="77777777" w:rsidR="00DF410E" w:rsidRDefault="00CE7F43">
            <w:pPr>
              <w:jc w:val="center"/>
            </w:pPr>
            <w:r>
              <w:rPr>
                <w:b/>
              </w:rPr>
              <w:t>Assemblage</w:t>
            </w:r>
          </w:p>
        </w:tc>
        <w:tc>
          <w:tcPr>
            <w:tcW w:w="3375" w:type="dxa"/>
            <w:gridSpan w:val="3"/>
            <w:shd w:val="clear" w:color="auto" w:fill="C0C0C0"/>
            <w:noWrap/>
          </w:tcPr>
          <w:p w14:paraId="4ADAF931" w14:textId="77777777" w:rsidR="00DF410E" w:rsidRDefault="00CE7F43">
            <w:pPr>
              <w:jc w:val="center"/>
            </w:pPr>
            <w:r>
              <w:rPr>
                <w:b/>
              </w:rPr>
              <w:t>Classe d'emploi</w:t>
            </w:r>
          </w:p>
        </w:tc>
      </w:tr>
      <w:tr w:rsidR="00DF410E" w14:paraId="36EC9F71" w14:textId="77777777">
        <w:tc>
          <w:tcPr>
            <w:tcW w:w="5655" w:type="dxa"/>
            <w:vMerge/>
            <w:noWrap/>
          </w:tcPr>
          <w:p w14:paraId="267B3F26" w14:textId="77777777" w:rsidR="00DF410E" w:rsidRDefault="00DF410E"/>
        </w:tc>
        <w:tc>
          <w:tcPr>
            <w:tcW w:w="1125" w:type="dxa"/>
            <w:shd w:val="clear" w:color="auto" w:fill="C0C0C0"/>
            <w:noWrap/>
          </w:tcPr>
          <w:p w14:paraId="613269B2" w14:textId="77777777" w:rsidR="00DF410E" w:rsidRDefault="00CE7F43">
            <w:pPr>
              <w:jc w:val="center"/>
            </w:pPr>
            <w:r>
              <w:rPr>
                <w:b/>
              </w:rPr>
              <w:t>1</w:t>
            </w:r>
          </w:p>
        </w:tc>
        <w:tc>
          <w:tcPr>
            <w:tcW w:w="1125" w:type="dxa"/>
            <w:shd w:val="clear" w:color="auto" w:fill="C0C0C0"/>
            <w:noWrap/>
          </w:tcPr>
          <w:p w14:paraId="660DCA26" w14:textId="77777777" w:rsidR="00DF410E" w:rsidRDefault="00CE7F43">
            <w:pPr>
              <w:jc w:val="center"/>
            </w:pPr>
            <w:r>
              <w:rPr>
                <w:b/>
              </w:rPr>
              <w:t>2</w:t>
            </w:r>
          </w:p>
        </w:tc>
        <w:tc>
          <w:tcPr>
            <w:tcW w:w="1125" w:type="dxa"/>
            <w:shd w:val="clear" w:color="auto" w:fill="C0C0C0"/>
            <w:noWrap/>
          </w:tcPr>
          <w:p w14:paraId="3A10F0A4" w14:textId="77777777" w:rsidR="00DF410E" w:rsidRDefault="00CE7F43">
            <w:pPr>
              <w:jc w:val="center"/>
            </w:pPr>
            <w:r>
              <w:rPr>
                <w:b/>
              </w:rPr>
              <w:t>3</w:t>
            </w:r>
          </w:p>
        </w:tc>
      </w:tr>
      <w:tr w:rsidR="00DF410E" w14:paraId="46875389" w14:textId="77777777">
        <w:tc>
          <w:tcPr>
            <w:tcW w:w="5655" w:type="dxa"/>
            <w:noWrap/>
          </w:tcPr>
          <w:p w14:paraId="2EAD800D" w14:textId="77777777" w:rsidR="00DF410E" w:rsidRDefault="00CE7F43">
            <w:r>
              <w:t>Pointes et tire-fonds avec Ø ≤ 4mm</w:t>
            </w:r>
          </w:p>
        </w:tc>
        <w:tc>
          <w:tcPr>
            <w:tcW w:w="1125" w:type="dxa"/>
            <w:noWrap/>
          </w:tcPr>
          <w:p w14:paraId="51164FEF" w14:textId="77777777" w:rsidR="00DF410E" w:rsidRDefault="00CE7F43">
            <w:r>
              <w:t>-</w:t>
            </w:r>
          </w:p>
        </w:tc>
        <w:tc>
          <w:tcPr>
            <w:tcW w:w="1125" w:type="dxa"/>
            <w:noWrap/>
          </w:tcPr>
          <w:p w14:paraId="60055C2A" w14:textId="77777777" w:rsidR="00DF410E" w:rsidRDefault="00CE7F43">
            <w:r>
              <w:t>Z275</w:t>
            </w:r>
          </w:p>
        </w:tc>
        <w:tc>
          <w:tcPr>
            <w:tcW w:w="1125" w:type="dxa"/>
            <w:noWrap/>
          </w:tcPr>
          <w:p w14:paraId="48AD9704" w14:textId="77777777" w:rsidR="00DF410E" w:rsidRDefault="00CE7F43">
            <w:r>
              <w:t>Z350</w:t>
            </w:r>
          </w:p>
        </w:tc>
      </w:tr>
      <w:tr w:rsidR="00DF410E" w14:paraId="140ECFE4" w14:textId="77777777">
        <w:tc>
          <w:tcPr>
            <w:tcW w:w="5655" w:type="dxa"/>
            <w:noWrap/>
          </w:tcPr>
          <w:p w14:paraId="509C9BDD" w14:textId="77777777" w:rsidR="00DF410E" w:rsidRDefault="00CE7F43">
            <w:r>
              <w:t>Boulons, broches, pointes et tire-fonds avec Ø &gt; 4mm</w:t>
            </w:r>
          </w:p>
        </w:tc>
        <w:tc>
          <w:tcPr>
            <w:tcW w:w="1125" w:type="dxa"/>
            <w:noWrap/>
          </w:tcPr>
          <w:p w14:paraId="2314591C" w14:textId="77777777" w:rsidR="00DF410E" w:rsidRDefault="00CE7F43">
            <w:r>
              <w:t>-</w:t>
            </w:r>
          </w:p>
        </w:tc>
        <w:tc>
          <w:tcPr>
            <w:tcW w:w="1125" w:type="dxa"/>
            <w:noWrap/>
          </w:tcPr>
          <w:p w14:paraId="5EAB4942" w14:textId="77777777" w:rsidR="00DF410E" w:rsidRDefault="00CE7F43">
            <w:r>
              <w:t>-</w:t>
            </w:r>
          </w:p>
        </w:tc>
        <w:tc>
          <w:tcPr>
            <w:tcW w:w="1125" w:type="dxa"/>
            <w:noWrap/>
          </w:tcPr>
          <w:p w14:paraId="6C264AC1" w14:textId="77777777" w:rsidR="00DF410E" w:rsidRDefault="00CE7F43">
            <w:r>
              <w:t>Z350</w:t>
            </w:r>
          </w:p>
        </w:tc>
      </w:tr>
      <w:tr w:rsidR="00DF410E" w14:paraId="0B05EF08" w14:textId="77777777">
        <w:tc>
          <w:tcPr>
            <w:tcW w:w="5655" w:type="dxa"/>
            <w:noWrap/>
          </w:tcPr>
          <w:p w14:paraId="174A2862" w14:textId="77777777" w:rsidR="00DF410E" w:rsidRDefault="00CE7F43">
            <w:r>
              <w:t>Agrafes</w:t>
            </w:r>
          </w:p>
        </w:tc>
        <w:tc>
          <w:tcPr>
            <w:tcW w:w="1125" w:type="dxa"/>
            <w:noWrap/>
          </w:tcPr>
          <w:p w14:paraId="12FC072E" w14:textId="77777777" w:rsidR="00DF410E" w:rsidRDefault="00CE7F43">
            <w:r>
              <w:t>Z275</w:t>
            </w:r>
          </w:p>
        </w:tc>
        <w:tc>
          <w:tcPr>
            <w:tcW w:w="1125" w:type="dxa"/>
            <w:noWrap/>
          </w:tcPr>
          <w:p w14:paraId="69AC1F70" w14:textId="77777777" w:rsidR="00DF410E" w:rsidRDefault="00CE7F43">
            <w:r>
              <w:t>Z275</w:t>
            </w:r>
          </w:p>
        </w:tc>
        <w:tc>
          <w:tcPr>
            <w:tcW w:w="1125" w:type="dxa"/>
            <w:noWrap/>
          </w:tcPr>
          <w:p w14:paraId="0B3F0094" w14:textId="77777777" w:rsidR="00DF410E" w:rsidRDefault="00CE7F43">
            <w:r>
              <w:t>Acier inox</w:t>
            </w:r>
          </w:p>
        </w:tc>
      </w:tr>
      <w:tr w:rsidR="00DF410E" w14:paraId="31218414" w14:textId="77777777">
        <w:tc>
          <w:tcPr>
            <w:tcW w:w="5655" w:type="dxa"/>
            <w:noWrap/>
          </w:tcPr>
          <w:p w14:paraId="7DAFC165" w14:textId="77777777" w:rsidR="00DF410E" w:rsidRDefault="00CE7F43">
            <w:r>
              <w:t>Plaques métalliques embouties et plaques métalliques jusqu'à 3mm d'épaisseur</w:t>
            </w:r>
          </w:p>
        </w:tc>
        <w:tc>
          <w:tcPr>
            <w:tcW w:w="1125" w:type="dxa"/>
            <w:noWrap/>
          </w:tcPr>
          <w:p w14:paraId="5A9B486F" w14:textId="77777777" w:rsidR="00DF410E" w:rsidRDefault="00CE7F43">
            <w:r>
              <w:t>Z275</w:t>
            </w:r>
          </w:p>
        </w:tc>
        <w:tc>
          <w:tcPr>
            <w:tcW w:w="1125" w:type="dxa"/>
            <w:noWrap/>
          </w:tcPr>
          <w:p w14:paraId="1236B733" w14:textId="77777777" w:rsidR="00DF410E" w:rsidRDefault="00CE7F43">
            <w:r>
              <w:t>Z275</w:t>
            </w:r>
          </w:p>
        </w:tc>
        <w:tc>
          <w:tcPr>
            <w:tcW w:w="1125" w:type="dxa"/>
            <w:noWrap/>
          </w:tcPr>
          <w:p w14:paraId="581ED014" w14:textId="77777777" w:rsidR="00DF410E" w:rsidRDefault="00CE7F43">
            <w:r>
              <w:t>Acier inox</w:t>
            </w:r>
          </w:p>
        </w:tc>
      </w:tr>
      <w:tr w:rsidR="00DF410E" w14:paraId="6BE89735" w14:textId="77777777">
        <w:tc>
          <w:tcPr>
            <w:tcW w:w="5655" w:type="dxa"/>
            <w:noWrap/>
          </w:tcPr>
          <w:p w14:paraId="6DD4D3EC" w14:textId="77777777" w:rsidR="00DF410E" w:rsidRDefault="00CE7F43">
            <w:r>
              <w:t>Plaques métalliques dont l'épaisseur est comprise entre 3mm et 5mm</w:t>
            </w:r>
          </w:p>
        </w:tc>
        <w:tc>
          <w:tcPr>
            <w:tcW w:w="1125" w:type="dxa"/>
            <w:noWrap/>
          </w:tcPr>
          <w:p w14:paraId="18D2EAB7" w14:textId="77777777" w:rsidR="00DF410E" w:rsidRDefault="00CE7F43">
            <w:r>
              <w:t>-</w:t>
            </w:r>
          </w:p>
        </w:tc>
        <w:tc>
          <w:tcPr>
            <w:tcW w:w="1125" w:type="dxa"/>
            <w:noWrap/>
          </w:tcPr>
          <w:p w14:paraId="6E832A32" w14:textId="77777777" w:rsidR="00DF410E" w:rsidRDefault="00CE7F43">
            <w:r>
              <w:t>Z275</w:t>
            </w:r>
          </w:p>
        </w:tc>
        <w:tc>
          <w:tcPr>
            <w:tcW w:w="1125" w:type="dxa"/>
            <w:noWrap/>
          </w:tcPr>
          <w:p w14:paraId="38F6B773" w14:textId="77777777" w:rsidR="00DF410E" w:rsidRDefault="00CE7F43">
            <w:r>
              <w:t>Z350</w:t>
            </w:r>
          </w:p>
        </w:tc>
      </w:tr>
      <w:tr w:rsidR="00DF410E" w14:paraId="61017F73" w14:textId="77777777">
        <w:tc>
          <w:tcPr>
            <w:tcW w:w="5655" w:type="dxa"/>
            <w:noWrap/>
          </w:tcPr>
          <w:p w14:paraId="54FDC3B0" w14:textId="77777777" w:rsidR="00DF410E" w:rsidRDefault="00CE7F43">
            <w:r>
              <w:t>Plaques métalliques d'épaisseur supérieure à 5mm</w:t>
            </w:r>
          </w:p>
        </w:tc>
        <w:tc>
          <w:tcPr>
            <w:tcW w:w="1125" w:type="dxa"/>
            <w:noWrap/>
          </w:tcPr>
          <w:p w14:paraId="26492575" w14:textId="77777777" w:rsidR="00DF410E" w:rsidRDefault="00CE7F43">
            <w:r>
              <w:t>-</w:t>
            </w:r>
          </w:p>
        </w:tc>
        <w:tc>
          <w:tcPr>
            <w:tcW w:w="1125" w:type="dxa"/>
            <w:noWrap/>
          </w:tcPr>
          <w:p w14:paraId="5F2ED045" w14:textId="77777777" w:rsidR="00DF410E" w:rsidRDefault="00CE7F43">
            <w:r>
              <w:t>-</w:t>
            </w:r>
          </w:p>
        </w:tc>
        <w:tc>
          <w:tcPr>
            <w:tcW w:w="1125" w:type="dxa"/>
            <w:noWrap/>
          </w:tcPr>
          <w:p w14:paraId="21F8CDF2" w14:textId="77777777" w:rsidR="00DF410E" w:rsidRDefault="00CE7F43">
            <w:r>
              <w:t>Z350</w:t>
            </w:r>
          </w:p>
        </w:tc>
      </w:tr>
    </w:tbl>
    <w:p w14:paraId="11834402" w14:textId="77777777" w:rsidR="00DF410E" w:rsidRDefault="00DF410E"/>
    <w:p w14:paraId="73D4C369" w14:textId="77777777" w:rsidR="00DF410E" w:rsidRDefault="00CE7F43">
      <w:pPr>
        <w:jc w:val="both"/>
      </w:pPr>
      <w:r>
        <w:t>La galvanisation à chaud peut être remplacée par un dépôt de zinc électrolytique ([NBN EN ISO 2081]). Le dépôt Fe/Zn 12c est équivalent à Z275 et le dépôt Fe/Zn 25c est équivalent à Z350.</w:t>
      </w:r>
    </w:p>
    <w:p w14:paraId="4459864F" w14:textId="77777777" w:rsidR="00DF410E" w:rsidRDefault="00CE7F43">
      <w:pPr>
        <w:jc w:val="both"/>
      </w:pPr>
      <w:r>
        <w:t>Des organes d’assemblage en acier inoxydable sont mis en œuvre s’ils sont installés en extérieur dans un des environnements suivants :</w:t>
      </w:r>
    </w:p>
    <w:p w14:paraId="39826595" w14:textId="77777777" w:rsidR="00DF410E" w:rsidRDefault="00CE7F43">
      <w:pPr>
        <w:pStyle w:val="Author-eListParagraph"/>
        <w:numPr>
          <w:ilvl w:val="0"/>
          <w:numId w:val="1052"/>
        </w:numPr>
      </w:pPr>
      <w:r>
        <w:t>zone de climat maritime (&lt;10km du bord de mer),</w:t>
      </w:r>
    </w:p>
    <w:p w14:paraId="5A7FD9A6" w14:textId="77777777" w:rsidR="00DF410E" w:rsidRDefault="00CE7F43">
      <w:pPr>
        <w:pStyle w:val="Author-eListParagraph"/>
        <w:numPr>
          <w:ilvl w:val="0"/>
          <w:numId w:val="1052"/>
        </w:numPr>
      </w:pPr>
      <w:r>
        <w:t>zone de forte pollution industrielle,</w:t>
      </w:r>
    </w:p>
    <w:p w14:paraId="75CD8AF2" w14:textId="77777777" w:rsidR="00DF410E" w:rsidRDefault="00CE7F43">
      <w:pPr>
        <w:pStyle w:val="Author-eListParagraph"/>
        <w:numPr>
          <w:ilvl w:val="0"/>
          <w:numId w:val="1052"/>
        </w:numPr>
      </w:pPr>
      <w:r>
        <w:t>directement à côté d’une route susceptible d’être salée.</w:t>
      </w:r>
    </w:p>
    <w:p w14:paraId="6958575A" w14:textId="77777777" w:rsidR="00DF410E" w:rsidRDefault="00CE7F43">
      <w:pPr>
        <w:jc w:val="both"/>
      </w:pPr>
      <w:r>
        <w:t>Les situations exceptionnelles, qui font l’objet d’une attention particulière sont, par exemple, les suivantes :</w:t>
      </w:r>
    </w:p>
    <w:p w14:paraId="7D1C1832" w14:textId="77777777" w:rsidR="00DF410E" w:rsidRDefault="00CE7F43">
      <w:pPr>
        <w:pStyle w:val="Author-eListParagraph"/>
        <w:numPr>
          <w:ilvl w:val="0"/>
          <w:numId w:val="1053"/>
        </w:numPr>
      </w:pPr>
      <w:r>
        <w:t>installations souterraines ;</w:t>
      </w:r>
    </w:p>
    <w:p w14:paraId="39D923B6" w14:textId="77777777" w:rsidR="00DF410E" w:rsidRDefault="00CE7F43">
      <w:pPr>
        <w:pStyle w:val="Author-eListParagraph"/>
        <w:numPr>
          <w:ilvl w:val="0"/>
          <w:numId w:val="1053"/>
        </w:numPr>
      </w:pPr>
      <w:r>
        <w:t>dans l’ambiance intérieure d’une piscine, d’une serre, etc.</w:t>
      </w:r>
    </w:p>
    <w:p w14:paraId="5A3BC62C" w14:textId="77777777" w:rsidR="00DF410E" w:rsidRDefault="00CE7F43">
      <w:pPr>
        <w:jc w:val="both"/>
      </w:pPr>
      <w:r>
        <w:t>Lorsque les organes d’assemblages sont au contact d’une espèce de bois acide (PH inférieur à 5), ils sont nécessairement en acier inoxydable. Parmi les espèces les plus courantes et réputées acides, on retrouve :</w:t>
      </w:r>
    </w:p>
    <w:p w14:paraId="422E63A5" w14:textId="77777777" w:rsidR="00DF410E" w:rsidRDefault="00CE7F43">
      <w:pPr>
        <w:pStyle w:val="Author-eListParagraph"/>
        <w:numPr>
          <w:ilvl w:val="0"/>
          <w:numId w:val="1054"/>
        </w:numPr>
      </w:pPr>
      <w:r>
        <w:t>Western red cedar</w:t>
      </w:r>
    </w:p>
    <w:p w14:paraId="08B18CBB" w14:textId="77777777" w:rsidR="00DF410E" w:rsidRDefault="00CE7F43">
      <w:pPr>
        <w:pStyle w:val="Author-eListParagraph"/>
        <w:numPr>
          <w:ilvl w:val="0"/>
          <w:numId w:val="1054"/>
        </w:numPr>
      </w:pPr>
      <w:r>
        <w:t>Douglas</w:t>
      </w:r>
    </w:p>
    <w:p w14:paraId="1E70A8F8" w14:textId="77777777" w:rsidR="00DF410E" w:rsidRDefault="00CE7F43">
      <w:pPr>
        <w:pStyle w:val="Author-eListParagraph"/>
        <w:numPr>
          <w:ilvl w:val="0"/>
          <w:numId w:val="1054"/>
        </w:numPr>
      </w:pPr>
      <w:r>
        <w:t>Chêne</w:t>
      </w:r>
    </w:p>
    <w:p w14:paraId="630EED0F" w14:textId="77777777" w:rsidR="00DF410E" w:rsidRDefault="00CE7F43">
      <w:pPr>
        <w:pStyle w:val="Author-eListParagraph"/>
        <w:numPr>
          <w:ilvl w:val="0"/>
          <w:numId w:val="1054"/>
        </w:numPr>
      </w:pPr>
      <w:r>
        <w:t>Châtaignier</w:t>
      </w:r>
    </w:p>
    <w:p w14:paraId="4EA956C7" w14:textId="77777777" w:rsidR="00DF410E" w:rsidRDefault="00CE7F43">
      <w:pPr>
        <w:jc w:val="both"/>
      </w:pPr>
      <w:r>
        <w:t>De plus, certains traitements de préservation ou ignifuge rendent nécessaire l’utilisation de mesures de protection contre la corrosion des organes d’assemblages métalliques. Les recommandations de l’entreprise qui effectue le traitement doivent être suivies.</w:t>
      </w:r>
    </w:p>
    <w:p w14:paraId="5172F392" w14:textId="77777777" w:rsidR="00DF410E" w:rsidRDefault="00CE7F43">
      <w:pPr>
        <w:pStyle w:val="Author-eSectionHeading5"/>
      </w:pPr>
      <w:bookmarkStart w:id="1728" w:name="_Toc178838806"/>
      <w:r>
        <w:t>24.42.1 Assemblages par tiges CCTB 01.07</w:t>
      </w:r>
      <w:bookmarkEnd w:id="1728"/>
    </w:p>
    <w:p w14:paraId="41F71BBB" w14:textId="77777777" w:rsidR="00DF410E" w:rsidRDefault="00CE7F43">
      <w:pPr>
        <w:pStyle w:val="pheading"/>
      </w:pPr>
      <w:r>
        <w:t>DESCRIPTION</w:t>
      </w:r>
    </w:p>
    <w:p w14:paraId="3FEF99CB" w14:textId="77777777" w:rsidR="00DF410E" w:rsidRDefault="00CE7F43">
      <w:pPr>
        <w:pStyle w:val="pheading"/>
      </w:pPr>
      <w:r>
        <w:t>- Définition / Comprend</w:t>
      </w:r>
    </w:p>
    <w:p w14:paraId="65EBD7D0" w14:textId="77777777" w:rsidR="00DF410E" w:rsidRDefault="00CE7F43">
      <w:pPr>
        <w:jc w:val="both"/>
      </w:pPr>
      <w:r>
        <w:t>Il s’agit de moyens de fixation qui permettent d’assurer des liaisons mécaniques bois-bois ou bois-métal.</w:t>
      </w:r>
    </w:p>
    <w:p w14:paraId="23C322F3" w14:textId="77777777" w:rsidR="00DF410E" w:rsidRDefault="00CE7F43">
      <w:pPr>
        <w:jc w:val="both"/>
      </w:pPr>
      <w:r>
        <w:t>Cette appellation englobe les clous (pointes), agrafes, vis, tire-fond, broches et boulons.</w:t>
      </w:r>
    </w:p>
    <w:p w14:paraId="10209CB2" w14:textId="77777777" w:rsidR="00DF410E" w:rsidRDefault="00CE7F43">
      <w:r>
        <w:rPr>
          <w:noProof/>
        </w:rPr>
        <w:drawing>
          <wp:inline distT="0" distB="0" distL="0" distR="0" wp14:anchorId="0D8A8D96" wp14:editId="17665FDA">
            <wp:extent cx="5715000" cy="2790825"/>
            <wp:effectExtent l="0" t="0" r="0" b="0"/>
            <wp:docPr id="16" name="24.42.1.png" descr="2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6" descr=" "/>
                    <pic:cNvPicPr>
                      <a:picLocks noChangeAspect="1" noChangeArrowheads="1"/>
                    </pic:cNvPicPr>
                  </pic:nvPicPr>
                  <pic:blipFill>
                    <a:blip r:embed="rId331"/>
                    <a:srcRect/>
                    <a:stretch>
                      <a:fillRect/>
                    </a:stretch>
                  </pic:blipFill>
                  <pic:spPr bwMode="auto">
                    <a:xfrm>
                      <a:off x="0" y="0"/>
                      <a:ext cx="5715000" cy="2790825"/>
                    </a:xfrm>
                    <a:prstGeom prst="rect">
                      <a:avLst/>
                    </a:prstGeom>
                  </pic:spPr>
                </pic:pic>
              </a:graphicData>
            </a:graphic>
          </wp:inline>
        </w:drawing>
      </w:r>
    </w:p>
    <w:p w14:paraId="4E281907" w14:textId="77777777" w:rsidR="00DF410E" w:rsidRDefault="00DF410E"/>
    <w:p w14:paraId="7354FC81" w14:textId="77777777" w:rsidR="00DF410E" w:rsidRDefault="00CE7F43">
      <w:pPr>
        <w:pStyle w:val="pheading"/>
      </w:pPr>
      <w:r>
        <w:t>MATÉRIAUX</w:t>
      </w:r>
    </w:p>
    <w:p w14:paraId="1E67CE56" w14:textId="77777777" w:rsidR="00DF410E" w:rsidRDefault="00CE7F43">
      <w:pPr>
        <w:jc w:val="both"/>
      </w:pPr>
      <w:r>
        <w:rPr>
          <w:b/>
          <w:u w:val="single"/>
        </w:rPr>
        <w:t>Tolérances et dimensions</w:t>
      </w:r>
    </w:p>
    <w:p w14:paraId="0F637B42" w14:textId="77777777" w:rsidR="00DF410E" w:rsidRDefault="00CE7F43">
      <w:pPr>
        <w:jc w:val="both"/>
      </w:pPr>
      <w:r>
        <w:t>Les connecteurs par tiges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DF410E" w14:paraId="0913D918" w14:textId="77777777">
        <w:tc>
          <w:tcPr>
            <w:tcW w:w="3390" w:type="dxa"/>
            <w:shd w:val="clear" w:color="auto" w:fill="C0C0C0"/>
            <w:noWrap/>
          </w:tcPr>
          <w:p w14:paraId="767C476C" w14:textId="77777777" w:rsidR="00DF410E" w:rsidRDefault="00CE7F43">
            <w:r>
              <w:rPr>
                <w:b/>
              </w:rPr>
              <w:t>Dimension</w:t>
            </w:r>
          </w:p>
        </w:tc>
        <w:tc>
          <w:tcPr>
            <w:tcW w:w="1875" w:type="dxa"/>
            <w:shd w:val="clear" w:color="auto" w:fill="C0C0C0"/>
            <w:noWrap/>
          </w:tcPr>
          <w:p w14:paraId="18CD0022" w14:textId="77777777" w:rsidR="00DF410E" w:rsidRDefault="00CE7F43">
            <w:pPr>
              <w:jc w:val="center"/>
            </w:pPr>
            <w:r>
              <w:rPr>
                <w:b/>
              </w:rPr>
              <w:t>Ecart négatif maximum</w:t>
            </w:r>
          </w:p>
        </w:tc>
        <w:tc>
          <w:tcPr>
            <w:tcW w:w="1875" w:type="dxa"/>
            <w:shd w:val="clear" w:color="auto" w:fill="C0C0C0"/>
            <w:noWrap/>
          </w:tcPr>
          <w:p w14:paraId="0B8AE29C" w14:textId="77777777" w:rsidR="00DF410E" w:rsidRDefault="00CE7F43">
            <w:pPr>
              <w:jc w:val="center"/>
            </w:pPr>
            <w:r>
              <w:rPr>
                <w:b/>
              </w:rPr>
              <w:t>Ecart positif maximum</w:t>
            </w:r>
          </w:p>
        </w:tc>
        <w:tc>
          <w:tcPr>
            <w:tcW w:w="1875" w:type="dxa"/>
            <w:shd w:val="clear" w:color="auto" w:fill="C0C0C0"/>
            <w:noWrap/>
          </w:tcPr>
          <w:p w14:paraId="6A242E5F" w14:textId="77777777" w:rsidR="00DF410E" w:rsidRDefault="00CE7F43">
            <w:pPr>
              <w:jc w:val="center"/>
            </w:pPr>
            <w:r>
              <w:rPr>
                <w:b/>
              </w:rPr>
              <w:t>Précision de la mesure</w:t>
            </w:r>
          </w:p>
        </w:tc>
      </w:tr>
      <w:tr w:rsidR="00DF410E" w14:paraId="21D6AA6C" w14:textId="77777777">
        <w:tc>
          <w:tcPr>
            <w:tcW w:w="3390" w:type="dxa"/>
            <w:noWrap/>
          </w:tcPr>
          <w:p w14:paraId="597C1461" w14:textId="77777777" w:rsidR="00DF410E" w:rsidRDefault="00CE7F43">
            <w:r>
              <w:t>Longueur</w:t>
            </w:r>
          </w:p>
        </w:tc>
        <w:tc>
          <w:tcPr>
            <w:tcW w:w="1875" w:type="dxa"/>
            <w:noWrap/>
          </w:tcPr>
          <w:p w14:paraId="0826C2F4" w14:textId="77777777" w:rsidR="00DF410E" w:rsidRDefault="00CE7F43">
            <w:pPr>
              <w:jc w:val="center"/>
            </w:pPr>
            <w:r>
              <w:t>- 2,5%</w:t>
            </w:r>
          </w:p>
        </w:tc>
        <w:tc>
          <w:tcPr>
            <w:tcW w:w="1875" w:type="dxa"/>
            <w:noWrap/>
          </w:tcPr>
          <w:p w14:paraId="5211CBD4" w14:textId="77777777" w:rsidR="00DF410E" w:rsidRDefault="00CE7F43">
            <w:pPr>
              <w:jc w:val="center"/>
            </w:pPr>
            <w:r>
              <w:t>+ 2,5%</w:t>
            </w:r>
          </w:p>
        </w:tc>
        <w:tc>
          <w:tcPr>
            <w:tcW w:w="1875" w:type="dxa"/>
            <w:noWrap/>
          </w:tcPr>
          <w:p w14:paraId="0FC55EE8" w14:textId="77777777" w:rsidR="00DF410E" w:rsidRDefault="00CE7F43">
            <w:pPr>
              <w:jc w:val="center"/>
            </w:pPr>
            <w:r>
              <w:t>± 1%</w:t>
            </w:r>
          </w:p>
        </w:tc>
      </w:tr>
      <w:tr w:rsidR="00DF410E" w14:paraId="1444A4CC" w14:textId="77777777">
        <w:tc>
          <w:tcPr>
            <w:tcW w:w="3390" w:type="dxa"/>
            <w:noWrap/>
          </w:tcPr>
          <w:p w14:paraId="4354B74B" w14:textId="77777777" w:rsidR="00DF410E" w:rsidRDefault="00CE7F43">
            <w:r>
              <w:t>Diamètre</w:t>
            </w:r>
          </w:p>
        </w:tc>
        <w:tc>
          <w:tcPr>
            <w:tcW w:w="1875" w:type="dxa"/>
            <w:noWrap/>
          </w:tcPr>
          <w:p w14:paraId="24088BB8" w14:textId="77777777" w:rsidR="00DF410E" w:rsidRDefault="00CE7F43">
            <w:pPr>
              <w:jc w:val="center"/>
            </w:pPr>
            <w:r>
              <w:t>- 2,5%</w:t>
            </w:r>
          </w:p>
        </w:tc>
        <w:tc>
          <w:tcPr>
            <w:tcW w:w="1875" w:type="dxa"/>
            <w:noWrap/>
          </w:tcPr>
          <w:p w14:paraId="76E4D2A7" w14:textId="77777777" w:rsidR="00DF410E" w:rsidRDefault="00CE7F43">
            <w:pPr>
              <w:jc w:val="center"/>
            </w:pPr>
            <w:r>
              <w:t>+ 2,5%</w:t>
            </w:r>
          </w:p>
        </w:tc>
        <w:tc>
          <w:tcPr>
            <w:tcW w:w="1875" w:type="dxa"/>
            <w:noWrap/>
          </w:tcPr>
          <w:p w14:paraId="43725571" w14:textId="77777777" w:rsidR="00DF410E" w:rsidRDefault="00CE7F43">
            <w:pPr>
              <w:jc w:val="center"/>
            </w:pPr>
            <w:r>
              <w:t>± 1%</w:t>
            </w:r>
          </w:p>
        </w:tc>
      </w:tr>
      <w:tr w:rsidR="00DF410E" w14:paraId="2F7EE772" w14:textId="77777777">
        <w:tc>
          <w:tcPr>
            <w:tcW w:w="3390" w:type="dxa"/>
            <w:noWrap/>
          </w:tcPr>
          <w:p w14:paraId="2872EA4C" w14:textId="77777777" w:rsidR="00DF410E" w:rsidRDefault="00CE7F43">
            <w:r>
              <w:t>Aire de la section transversale</w:t>
            </w:r>
          </w:p>
        </w:tc>
        <w:tc>
          <w:tcPr>
            <w:tcW w:w="1875" w:type="dxa"/>
            <w:noWrap/>
          </w:tcPr>
          <w:p w14:paraId="5B932453" w14:textId="77777777" w:rsidR="00DF410E" w:rsidRDefault="00CE7F43">
            <w:pPr>
              <w:jc w:val="center"/>
            </w:pPr>
            <w:r>
              <w:t>- 5%</w:t>
            </w:r>
          </w:p>
        </w:tc>
        <w:tc>
          <w:tcPr>
            <w:tcW w:w="1875" w:type="dxa"/>
            <w:noWrap/>
          </w:tcPr>
          <w:p w14:paraId="36E55F44" w14:textId="77777777" w:rsidR="00DF410E" w:rsidRDefault="00CE7F43">
            <w:pPr>
              <w:jc w:val="center"/>
            </w:pPr>
            <w:r>
              <w:t>+ 5%</w:t>
            </w:r>
          </w:p>
        </w:tc>
        <w:tc>
          <w:tcPr>
            <w:tcW w:w="1875" w:type="dxa"/>
            <w:noWrap/>
          </w:tcPr>
          <w:p w14:paraId="188488C0" w14:textId="77777777" w:rsidR="00DF410E" w:rsidRDefault="00CE7F43">
            <w:pPr>
              <w:jc w:val="center"/>
            </w:pPr>
            <w:r>
              <w:t>± 1%</w:t>
            </w:r>
          </w:p>
        </w:tc>
      </w:tr>
      <w:tr w:rsidR="00DF410E" w14:paraId="4BCCC0EF" w14:textId="77777777">
        <w:tc>
          <w:tcPr>
            <w:tcW w:w="3390" w:type="dxa"/>
            <w:noWrap/>
          </w:tcPr>
          <w:p w14:paraId="3281D502" w14:textId="77777777" w:rsidR="00DF410E" w:rsidRDefault="00CE7F43">
            <w:r>
              <w:t>Autres dimensions</w:t>
            </w:r>
          </w:p>
        </w:tc>
        <w:tc>
          <w:tcPr>
            <w:tcW w:w="1875" w:type="dxa"/>
            <w:noWrap/>
          </w:tcPr>
          <w:p w14:paraId="39D58A57" w14:textId="77777777" w:rsidR="00DF410E" w:rsidRDefault="00CE7F43">
            <w:pPr>
              <w:jc w:val="center"/>
            </w:pPr>
            <w:r>
              <w:t>- 5%</w:t>
            </w:r>
          </w:p>
        </w:tc>
        <w:tc>
          <w:tcPr>
            <w:tcW w:w="1875" w:type="dxa"/>
            <w:noWrap/>
          </w:tcPr>
          <w:p w14:paraId="5028F290" w14:textId="77777777" w:rsidR="00DF410E" w:rsidRDefault="00CE7F43">
            <w:pPr>
              <w:jc w:val="center"/>
            </w:pPr>
            <w:r>
              <w:t>+ 5%</w:t>
            </w:r>
          </w:p>
        </w:tc>
        <w:tc>
          <w:tcPr>
            <w:tcW w:w="1875" w:type="dxa"/>
            <w:noWrap/>
          </w:tcPr>
          <w:p w14:paraId="4DEE58AD" w14:textId="77777777" w:rsidR="00DF410E" w:rsidRDefault="00CE7F43">
            <w:pPr>
              <w:jc w:val="center"/>
            </w:pPr>
            <w:r>
              <w:t>± 1%</w:t>
            </w:r>
          </w:p>
        </w:tc>
      </w:tr>
    </w:tbl>
    <w:p w14:paraId="091273BC" w14:textId="77777777" w:rsidR="00DF410E" w:rsidRDefault="00DF410E"/>
    <w:p w14:paraId="23EE9DC9" w14:textId="77777777" w:rsidR="00DF410E" w:rsidRDefault="00CE7F43">
      <w:pPr>
        <w:pStyle w:val="Author-eSectionHeading6"/>
      </w:pPr>
      <w:bookmarkStart w:id="1729" w:name="_Toc178838807"/>
      <w:r>
        <w:t>24.42.1a Assemblages par tiges - clous CCTB 01.11</w:t>
      </w:r>
      <w:bookmarkEnd w:id="1729"/>
    </w:p>
    <w:p w14:paraId="1427DB20" w14:textId="77777777" w:rsidR="00DF410E" w:rsidRDefault="00CE7F43">
      <w:pPr>
        <w:pStyle w:val="pheading"/>
      </w:pPr>
      <w:bookmarkStart w:id="1730" w:name="630"/>
      <w:bookmarkEnd w:id="1730"/>
      <w:r>
        <w:t>DESCRIPTION</w:t>
      </w:r>
    </w:p>
    <w:p w14:paraId="580E0974" w14:textId="77777777" w:rsidR="00DF410E" w:rsidRDefault="00CE7F43">
      <w:pPr>
        <w:pStyle w:val="pheading"/>
      </w:pPr>
      <w:r>
        <w:t>- Définition / Comprend</w:t>
      </w:r>
    </w:p>
    <w:p w14:paraId="2D8D9523" w14:textId="77777777" w:rsidR="00DF410E" w:rsidRDefault="00CE7F43">
      <w:r>
        <w:t>Il s’agit d’un assembleur par pointe. Il existe différents types de clous, schématisés ci-dessous :</w:t>
      </w:r>
    </w:p>
    <w:p w14:paraId="2B9F2C11" w14:textId="77777777" w:rsidR="00DF410E" w:rsidRDefault="00CE7F43">
      <w:r>
        <w:rPr>
          <w:noProof/>
        </w:rPr>
        <w:drawing>
          <wp:inline distT="0" distB="0" distL="0" distR="0" wp14:anchorId="4D77F60D" wp14:editId="0E2731FC">
            <wp:extent cx="5715000" cy="1114425"/>
            <wp:effectExtent l="0" t="0" r="0" b="0"/>
            <wp:docPr id="17" name="24.42.1a.png" descr="24.4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7" descr=" "/>
                    <pic:cNvPicPr>
                      <a:picLocks noChangeAspect="1" noChangeArrowheads="1"/>
                    </pic:cNvPicPr>
                  </pic:nvPicPr>
                  <pic:blipFill>
                    <a:blip r:embed="rId332"/>
                    <a:srcRect/>
                    <a:stretch>
                      <a:fillRect/>
                    </a:stretch>
                  </pic:blipFill>
                  <pic:spPr bwMode="auto">
                    <a:xfrm>
                      <a:off x="0" y="0"/>
                      <a:ext cx="5715000" cy="1114425"/>
                    </a:xfrm>
                    <a:prstGeom prst="rect">
                      <a:avLst/>
                    </a:prstGeom>
                  </pic:spPr>
                </pic:pic>
              </a:graphicData>
            </a:graphic>
          </wp:inline>
        </w:drawing>
      </w:r>
    </w:p>
    <w:p w14:paraId="146A658A" w14:textId="77777777" w:rsidR="00DF410E" w:rsidRDefault="00CE7F43">
      <w:pPr>
        <w:jc w:val="both"/>
      </w:pPr>
      <w:r>
        <w:rPr>
          <w:b/>
        </w:rPr>
        <w:t>Remarques importantes</w:t>
      </w:r>
    </w:p>
    <w:p w14:paraId="50C61F0C" w14:textId="77777777" w:rsidR="00DF410E" w:rsidRDefault="00CE7F43">
      <w:pPr>
        <w:jc w:val="both"/>
      </w:pPr>
      <w:r>
        <w:t>Les clous utilisés respectent en tout point la norme harmonisée [NBN EN 14592] et disposent du marquage CE suivant celle-ci.</w:t>
      </w:r>
    </w:p>
    <w:p w14:paraId="5BA1E6E0" w14:textId="77777777" w:rsidR="00DF410E" w:rsidRDefault="00CE7F43">
      <w:pPr>
        <w:jc w:val="both"/>
      </w:pPr>
      <w:r>
        <w:t>L’étude d’une connexion par clous se fait soit par calculs suivant les principes décrits dans l’Eurocode 5 ([NBN EN 1995-1-1]) et ses annexes, soit sur base d’essais réalisés conformément à la [NBN EN 1380].</w:t>
      </w:r>
    </w:p>
    <w:p w14:paraId="6D22FF35" w14:textId="77777777" w:rsidR="00DF410E" w:rsidRDefault="00CE7F43">
      <w:pPr>
        <w:pStyle w:val="pheading"/>
      </w:pPr>
      <w:r>
        <w:t>MATÉRIAUX</w:t>
      </w:r>
    </w:p>
    <w:p w14:paraId="72A57A4E" w14:textId="77777777" w:rsidR="00DF410E" w:rsidRDefault="00CE7F43">
      <w:pPr>
        <w:pStyle w:val="pheading"/>
      </w:pPr>
      <w:r>
        <w:t>- Caractéristiques générales</w:t>
      </w:r>
    </w:p>
    <w:p w14:paraId="5151EB76" w14:textId="77777777" w:rsidR="00DF410E" w:rsidRDefault="00CE7F43">
      <w:pPr>
        <w:jc w:val="both"/>
      </w:pPr>
      <w:r>
        <w:rPr>
          <w:b/>
          <w:u w:val="single"/>
        </w:rPr>
        <w:t>Géométrie</w:t>
      </w:r>
    </w:p>
    <w:p w14:paraId="4EC2E1B6" w14:textId="77777777" w:rsidR="00DF410E" w:rsidRDefault="00CE7F43">
      <w:pPr>
        <w:jc w:val="both"/>
      </w:pPr>
      <w:r>
        <w:t>Les clous sont</w:t>
      </w:r>
      <w:r>
        <w:rPr>
          <w:rStyle w:val="optioncarChar"/>
        </w:rPr>
        <w:t xml:space="preserve"> lisses </w:t>
      </w:r>
      <w:r>
        <w:t xml:space="preserve">(par défaut) </w:t>
      </w:r>
      <w:r>
        <w:rPr>
          <w:rStyle w:val="optioncarChar"/>
        </w:rPr>
        <w:t>/ striés (annelés) / torsadés.</w:t>
      </w:r>
    </w:p>
    <w:p w14:paraId="2559E6C6" w14:textId="77777777" w:rsidR="00DF410E" w:rsidRDefault="00CE7F43">
      <w:pPr>
        <w:jc w:val="both"/>
      </w:pPr>
      <w:r>
        <w:t>Un clou lisse ne peut être utilisé pour reprendre des charges axiales permanente ou de long terme.</w:t>
      </w:r>
    </w:p>
    <w:p w14:paraId="04F703BD" w14:textId="77777777" w:rsidR="00DF410E" w:rsidRDefault="00CE7F43">
      <w:pPr>
        <w:jc w:val="both"/>
      </w:pPr>
      <w:r>
        <w:t>Les clous annelés ou torsadés peuvent reprendre des charges axiales sauf s’ils sont installés en bout de fil.</w:t>
      </w:r>
    </w:p>
    <w:p w14:paraId="135719EB" w14:textId="77777777" w:rsidR="00DF410E" w:rsidRDefault="00CE7F43">
      <w:pPr>
        <w:jc w:val="both"/>
      </w:pPr>
      <w:r>
        <w:t xml:space="preserve">Diamètre nominal des clous d selon [NBN EN 14592] : </w:t>
      </w:r>
      <w:r>
        <w:rPr>
          <w:rStyle w:val="optioncarChar"/>
        </w:rPr>
        <w:t>***</w:t>
      </w:r>
    </w:p>
    <w:p w14:paraId="0F89FEF3" w14:textId="77777777" w:rsidR="00DF410E" w:rsidRDefault="00CE7F43">
      <w:pPr>
        <w:jc w:val="both"/>
      </w:pPr>
      <w:r>
        <w:t>Le diamètre nominal des clous est compris entre 1,9 mm et 8 mm.</w:t>
      </w:r>
    </w:p>
    <w:p w14:paraId="3C067B0E" w14:textId="77777777" w:rsidR="00DF410E" w:rsidRDefault="00CE7F43">
      <w:pPr>
        <w:jc w:val="both"/>
      </w:pPr>
      <w:r>
        <w:t xml:space="preserve">Longueur du clou l selon [NBN EN 14592] : </w:t>
      </w:r>
      <w:r>
        <w:rPr>
          <w:rStyle w:val="optioncarChar"/>
        </w:rPr>
        <w:t>***</w:t>
      </w:r>
    </w:p>
    <w:p w14:paraId="5FABAC90" w14:textId="77777777" w:rsidR="00DF410E" w:rsidRDefault="00CE7F43">
      <w:pPr>
        <w:jc w:val="both"/>
      </w:pPr>
      <w:r>
        <w:t> </w:t>
      </w:r>
    </w:p>
    <w:p w14:paraId="58080067" w14:textId="77777777" w:rsidR="00DF410E" w:rsidRDefault="00CE7F43">
      <w:pPr>
        <w:jc w:val="both"/>
      </w:pPr>
      <w:r>
        <w:t xml:space="preserve">Matériau constituant les clous : </w:t>
      </w:r>
      <w:r>
        <w:rPr>
          <w:rStyle w:val="optioncarChar"/>
        </w:rPr>
        <w:t xml:space="preserve">acier au carbone ou acier allié </w:t>
      </w:r>
      <w:r>
        <w:t>(par défaut)</w:t>
      </w:r>
      <w:r>
        <w:rPr>
          <w:rStyle w:val="optioncarChar"/>
        </w:rPr>
        <w:t xml:space="preserve"> / acier inoxydable</w:t>
      </w:r>
    </w:p>
    <w:p w14:paraId="4604656E" w14:textId="77777777" w:rsidR="00DF410E" w:rsidRDefault="00CE7F43">
      <w:pPr>
        <w:ind w:left="567"/>
        <w:jc w:val="both"/>
      </w:pPr>
      <w:r>
        <w:rPr>
          <w:b/>
          <w:i/>
        </w:rPr>
        <w:t>(Soit par défaut)</w:t>
      </w:r>
    </w:p>
    <w:p w14:paraId="31B40A06" w14:textId="77777777" w:rsidR="00DF410E" w:rsidRDefault="00CE7F43">
      <w:pPr>
        <w:ind w:left="567"/>
        <w:jc w:val="both"/>
      </w:pPr>
      <w:r>
        <w:rPr>
          <w:rStyle w:val="soitChar"/>
          <w:u w:val="single"/>
        </w:rPr>
        <w:t>Acier au carbone ou acier allié</w:t>
      </w:r>
    </w:p>
    <w:p w14:paraId="62F15295" w14:textId="77777777" w:rsidR="00DF410E" w:rsidRDefault="00CE7F43">
      <w:pPr>
        <w:ind w:left="567"/>
        <w:jc w:val="both"/>
      </w:pPr>
      <w:r>
        <w:rPr>
          <w:rStyle w:val="soitChar"/>
        </w:rPr>
        <w:t>Nuance d’acier selon [NBN EN ISO 898-1]: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14:paraId="5EFA0621" w14:textId="77777777" w:rsidR="00DF410E" w:rsidRDefault="00CE7F43">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14:paraId="38C9FE53" w14:textId="77777777" w:rsidR="00DF410E" w:rsidRDefault="00CE7F43">
      <w:pPr>
        <w:ind w:left="567"/>
        <w:jc w:val="both"/>
      </w:pPr>
      <w:r>
        <w:rPr>
          <w:rStyle w:val="soitChar"/>
        </w:rPr>
        <w:t>Cette mesure peut être remplacée par une mesure présentant un degré de protection contre la corrosion similaire ou supérieure.</w:t>
      </w:r>
    </w:p>
    <w:p w14:paraId="382E83EE" w14:textId="77777777" w:rsidR="00DF410E" w:rsidRDefault="00CE7F43">
      <w:pPr>
        <w:ind w:left="567"/>
        <w:jc w:val="both"/>
      </w:pPr>
      <w:r>
        <w:rPr>
          <w:b/>
          <w:i/>
        </w:rPr>
        <w:t>(Soit)</w:t>
      </w:r>
    </w:p>
    <w:p w14:paraId="6B8809C4" w14:textId="77777777" w:rsidR="00DF410E" w:rsidRDefault="00CE7F43">
      <w:pPr>
        <w:ind w:left="567"/>
        <w:jc w:val="both"/>
      </w:pPr>
      <w:r>
        <w:rPr>
          <w:rStyle w:val="soitChar"/>
          <w:u w:val="single"/>
        </w:rPr>
        <w:t>Acier inoxydable</w:t>
      </w:r>
    </w:p>
    <w:p w14:paraId="5CEB88E8" w14:textId="77777777" w:rsidR="00DF410E" w:rsidRDefault="00CE7F43">
      <w:pPr>
        <w:ind w:left="567"/>
        <w:jc w:val="both"/>
      </w:pPr>
      <w:r>
        <w:rPr>
          <w:rStyle w:val="soitChar"/>
        </w:rPr>
        <w:t>Nuance d’acier inoxydable selon [NBN EN ISO 3506-1] :</w:t>
      </w:r>
      <w:r>
        <w:rPr>
          <w:rStyle w:val="optioncarChar"/>
        </w:rPr>
        <w:t xml:space="preserve"> A2-50 </w:t>
      </w:r>
      <w:r>
        <w:t>(par défaut)</w:t>
      </w:r>
      <w:r>
        <w:rPr>
          <w:rStyle w:val="optioncarChar"/>
        </w:rPr>
        <w:t xml:space="preserve"> / A2-70 / A4-50 / A4-70 / ***</w:t>
      </w:r>
    </w:p>
    <w:p w14:paraId="52F00AEA" w14:textId="77777777" w:rsidR="00DF410E" w:rsidRDefault="00CE7F43">
      <w:pPr>
        <w:pStyle w:val="pheading"/>
      </w:pPr>
      <w:r>
        <w:t>EXÉCUTION / MISE EN ŒUVRE</w:t>
      </w:r>
    </w:p>
    <w:p w14:paraId="5DDF9CA8" w14:textId="77777777" w:rsidR="00DF410E" w:rsidRDefault="00CE7F43">
      <w:pPr>
        <w:pStyle w:val="pheading"/>
      </w:pPr>
      <w:r>
        <w:t>- Prescriptions générales</w:t>
      </w:r>
    </w:p>
    <w:p w14:paraId="6689B737" w14:textId="77777777" w:rsidR="00DF410E" w:rsidRDefault="00CE7F43">
      <w:pPr>
        <w:jc w:val="both"/>
      </w:pPr>
      <w:r>
        <w:t>Sauf spécification contraire au cahier spécial des charges, les clous sont enfoncés perpendiculairement au fil et à une profondeur telle que les surfaces des têtes de clous affleurent la surface du bois.</w:t>
      </w:r>
    </w:p>
    <w:p w14:paraId="4C469F2F" w14:textId="77777777" w:rsidR="00DF410E" w:rsidRDefault="00CE7F43">
      <w:pPr>
        <w:jc w:val="both"/>
      </w:pPr>
      <w:r>
        <w:t>Un assemblage est composé d’au moins deux clous.</w:t>
      </w:r>
    </w:p>
    <w:p w14:paraId="4C559E9F" w14:textId="77777777" w:rsidR="00DF410E" w:rsidRDefault="00CE7F43">
      <w:pPr>
        <w:jc w:val="both"/>
      </w:pPr>
      <w:r>
        <w:rPr>
          <w:b/>
          <w:u w:val="single"/>
        </w:rPr>
        <w:t>Assemblages lardés</w:t>
      </w:r>
    </w:p>
    <w:p w14:paraId="0BB31DB8" w14:textId="77777777" w:rsidR="00DF410E" w:rsidRDefault="00CE7F43">
      <w:pPr>
        <w:jc w:val="both"/>
      </w:pPr>
      <w:r>
        <w:t>Sauf autre prescription au cahier spécial des charges, le clouage lardé est réalisé tel qu’indiqué sur le schéma ci-contre, provenant de l’Eurocode 5 ([NBN EN 1995-1-1]).</w:t>
      </w:r>
    </w:p>
    <w:p w14:paraId="7187DB28" w14:textId="77777777" w:rsidR="00DF410E" w:rsidRDefault="00CE7F43">
      <w:pPr>
        <w:jc w:val="both"/>
      </w:pPr>
      <w:r>
        <w:rPr>
          <w:noProof/>
        </w:rPr>
        <w:drawing>
          <wp:inline distT="0" distB="0" distL="0" distR="0" wp14:anchorId="10B53B2F" wp14:editId="13AC3B1D">
            <wp:extent cx="1905000" cy="1466850"/>
            <wp:effectExtent l="0" t="0" r="0" b="0"/>
            <wp:docPr id="18" name="24.42.1a2.png" descr="24.42.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8" descr="24.42.1a2.png"/>
                    <pic:cNvPicPr>
                      <a:picLocks noChangeAspect="1" noChangeArrowheads="1"/>
                    </pic:cNvPicPr>
                  </pic:nvPicPr>
                  <pic:blipFill>
                    <a:blip r:embed="rId333"/>
                    <a:srcRect/>
                    <a:stretch>
                      <a:fillRect/>
                    </a:stretch>
                  </pic:blipFill>
                  <pic:spPr bwMode="auto">
                    <a:xfrm>
                      <a:off x="0" y="0"/>
                      <a:ext cx="1905000" cy="1466850"/>
                    </a:xfrm>
                    <a:prstGeom prst="rect">
                      <a:avLst/>
                    </a:prstGeom>
                  </pic:spPr>
                </pic:pic>
              </a:graphicData>
            </a:graphic>
          </wp:inline>
        </w:drawing>
      </w:r>
    </w:p>
    <w:p w14:paraId="03EF7A08" w14:textId="77777777" w:rsidR="00DF410E" w:rsidRDefault="00CE7F43">
      <w:pPr>
        <w:jc w:val="both"/>
      </w:pPr>
      <w:r>
        <w:t> </w:t>
      </w:r>
    </w:p>
    <w:p w14:paraId="152938FC" w14:textId="77777777" w:rsidR="00DF410E" w:rsidRDefault="00CE7F43">
      <w:pPr>
        <w:jc w:val="both"/>
      </w:pPr>
      <w:r>
        <w:rPr>
          <w:b/>
          <w:u w:val="single"/>
        </w:rPr>
        <w:t>Préperçage des éléments en bois</w:t>
      </w:r>
    </w:p>
    <w:p w14:paraId="697BD83D" w14:textId="77777777" w:rsidR="00DF410E" w:rsidRDefault="00CE7F43">
      <w:pPr>
        <w:jc w:val="both"/>
      </w:pPr>
      <w:r>
        <w:t>Le préperçage des éléments en bois est obligatoire lorsqu’au minimum une des deux conditions suivantes est remplie :</w:t>
      </w:r>
    </w:p>
    <w:p w14:paraId="4F237AF2" w14:textId="77777777" w:rsidR="00DF410E" w:rsidRDefault="00CE7F43">
      <w:pPr>
        <w:pStyle w:val="Author-eListParagraph"/>
        <w:numPr>
          <w:ilvl w:val="0"/>
          <w:numId w:val="1055"/>
        </w:numPr>
      </w:pPr>
      <w:r>
        <w:t>La masse volumique du bois est supérieure à 500kg/m³ ;</w:t>
      </w:r>
    </w:p>
    <w:p w14:paraId="1F306723" w14:textId="77777777" w:rsidR="00DF410E" w:rsidRDefault="00CE7F43">
      <w:pPr>
        <w:pStyle w:val="Author-eListParagraph"/>
        <w:numPr>
          <w:ilvl w:val="0"/>
          <w:numId w:val="1055"/>
        </w:numPr>
      </w:pPr>
      <w:r>
        <w:t>Le diamètre de la pointe est supérieur à 6mm.</w:t>
      </w:r>
    </w:p>
    <w:p w14:paraId="1EF17FA9" w14:textId="77777777" w:rsidR="00DF410E" w:rsidRDefault="00CE7F43">
      <w:pPr>
        <w:jc w:val="both"/>
      </w:pPr>
      <w:r>
        <w:t>Le diamètre de préperçage est compris entre 0.6 et 0.8 fois le diamètre du clou.</w:t>
      </w:r>
    </w:p>
    <w:p w14:paraId="31BB36FC" w14:textId="77777777" w:rsidR="00DF410E" w:rsidRDefault="00CE7F43">
      <w:pPr>
        <w:jc w:val="both"/>
      </w:pPr>
      <w:r>
        <w:rPr>
          <w:b/>
          <w:u w:val="single"/>
        </w:rPr>
        <w:t>Pénétration minimale dans la dernière pièce</w:t>
      </w:r>
    </w:p>
    <w:p w14:paraId="76392B0C" w14:textId="77777777" w:rsidR="00DF410E" w:rsidRDefault="00CE7F43">
      <w:pPr>
        <w:jc w:val="both"/>
      </w:pPr>
      <w:r>
        <w:t>La longueur de pénétration minimale d’un clou dans la dernière pièce est de 8 fois son diamètre. Si le clou est annelé ou torsadé, cette longueur peut être ramenée à 6 fois le diamètre.</w:t>
      </w:r>
    </w:p>
    <w:p w14:paraId="0A3572D5" w14:textId="77777777" w:rsidR="00DF410E" w:rsidRDefault="00CE7F43">
      <w:pPr>
        <w:jc w:val="both"/>
      </w:pPr>
      <w:r>
        <w:rPr>
          <w:b/>
          <w:u w:val="single"/>
        </w:rPr>
        <w:t>Espacements</w:t>
      </w:r>
    </w:p>
    <w:p w14:paraId="3F831871" w14:textId="77777777" w:rsidR="00DF410E" w:rsidRDefault="00CE7F43">
      <w:pPr>
        <w:jc w:val="both"/>
      </w:pPr>
      <w:r>
        <w:t>Les distances minimales entre deux clous ou entre un clou et la rive de l’élément en fonction de l’orientation du fil du bois décrites dans l’Eurocode 5 ([NBN EN 1995-1-1]) sont respectées.</w:t>
      </w:r>
    </w:p>
    <w:p w14:paraId="234D7055" w14:textId="77777777" w:rsidR="00DF410E" w:rsidRDefault="00CE7F43">
      <w:pPr>
        <w:jc w:val="both"/>
      </w:pPr>
      <w:r>
        <w:rPr>
          <w:b/>
          <w:u w:val="single"/>
        </w:rPr>
        <w:t>Clouage en bout de fil</w:t>
      </w:r>
    </w:p>
    <w:p w14:paraId="6CDB3914" w14:textId="77777777" w:rsidR="00DF410E" w:rsidRDefault="00CE7F43">
      <w:pPr>
        <w:jc w:val="both"/>
      </w:pPr>
      <w:r>
        <w:t>Lorsqu’un clouage en bout de fil doit être exécuté, les mesures suivantes doivent être respectées :</w:t>
      </w:r>
    </w:p>
    <w:p w14:paraId="3129AA0E" w14:textId="77777777" w:rsidR="00DF410E" w:rsidRDefault="00CE7F43">
      <w:pPr>
        <w:pStyle w:val="Author-eListParagraph"/>
        <w:numPr>
          <w:ilvl w:val="0"/>
          <w:numId w:val="1056"/>
        </w:numPr>
      </w:pPr>
      <w:r>
        <w:t>les pointes lisses ne peuvent être utilisées que dans les structures secondaires ;</w:t>
      </w:r>
    </w:p>
    <w:p w14:paraId="266DA33E" w14:textId="77777777" w:rsidR="00DF410E" w:rsidRDefault="00CE7F43">
      <w:pPr>
        <w:pStyle w:val="Author-eListParagraph"/>
        <w:numPr>
          <w:ilvl w:val="0"/>
          <w:numId w:val="1056"/>
        </w:numPr>
      </w:pPr>
      <w:r>
        <w:t>pour les autres structures, les clous seront soit annelés, soit torsadés ;</w:t>
      </w:r>
    </w:p>
    <w:p w14:paraId="571C584A" w14:textId="77777777" w:rsidR="00DF410E" w:rsidRDefault="00CE7F43">
      <w:pPr>
        <w:pStyle w:val="Author-eListParagraph"/>
        <w:numPr>
          <w:ilvl w:val="0"/>
          <w:numId w:val="1056"/>
        </w:numPr>
      </w:pPr>
      <w:r>
        <w:t>la capacité résistante est prise comme étant le tiers de celle qu’aurait le même clou installé perpendiculairement au fil ;</w:t>
      </w:r>
    </w:p>
    <w:p w14:paraId="7573F5C2" w14:textId="77777777" w:rsidR="00DF410E" w:rsidRDefault="00CE7F43">
      <w:pPr>
        <w:pStyle w:val="Author-eListParagraph"/>
        <w:numPr>
          <w:ilvl w:val="0"/>
          <w:numId w:val="1056"/>
        </w:numPr>
      </w:pPr>
      <w:r>
        <w:t>minimum trois clous sont installés dans l’assemblage ;</w:t>
      </w:r>
    </w:p>
    <w:p w14:paraId="7CA7FC5F" w14:textId="77777777" w:rsidR="00DF410E" w:rsidRDefault="00CE7F43">
      <w:pPr>
        <w:pStyle w:val="Author-eListParagraph"/>
        <w:numPr>
          <w:ilvl w:val="0"/>
          <w:numId w:val="1056"/>
        </w:numPr>
      </w:pPr>
      <w:r>
        <w:t>les clous sont chargés uniquement latéralement ;</w:t>
      </w:r>
    </w:p>
    <w:p w14:paraId="5389D41A" w14:textId="77777777" w:rsidR="00DF410E" w:rsidRDefault="00CE7F43">
      <w:pPr>
        <w:pStyle w:val="Author-eListParagraph"/>
        <w:numPr>
          <w:ilvl w:val="0"/>
          <w:numId w:val="1056"/>
        </w:numPr>
      </w:pPr>
      <w:r>
        <w:t>la pénétration minimale dans la dernière pièce est au minimum égale à 10 fois le diamètre du clou ;</w:t>
      </w:r>
    </w:p>
    <w:p w14:paraId="699AD291" w14:textId="77777777" w:rsidR="00DF410E" w:rsidRDefault="00CE7F43">
      <w:pPr>
        <w:pStyle w:val="Author-eListParagraph"/>
        <w:numPr>
          <w:ilvl w:val="0"/>
          <w:numId w:val="1056"/>
        </w:numPr>
      </w:pPr>
      <w:r>
        <w:t>l’assemblage est en classe d’emploi 1 ou 2.</w:t>
      </w:r>
    </w:p>
    <w:p w14:paraId="738CFECE" w14:textId="77777777" w:rsidR="00DF410E" w:rsidRDefault="00CE7F43">
      <w:pPr>
        <w:jc w:val="both"/>
      </w:pPr>
      <w:r>
        <w:rPr>
          <w:b/>
          <w:u w:val="single"/>
        </w:rPr>
        <w:t>Disposition des clous</w:t>
      </w:r>
    </w:p>
    <w:p w14:paraId="031827E4" w14:textId="77777777" w:rsidR="00DF410E" w:rsidRDefault="00CE7F43">
      <w:pPr>
        <w:jc w:val="both"/>
      </w:pPr>
      <w:r>
        <w:t>Sauf indication contraire au cahier spécial des charges, les clous sont placés alternativement de part et d’autre des lignes de répartition théorique et de telle façon à ce que deux clous successifs ne soient pas plantés dans la même fibre de bois. Le décalage par rapport à la ligne de répartition est au moins d’un diamètre.</w:t>
      </w:r>
    </w:p>
    <w:p w14:paraId="50BEFD77" w14:textId="77777777" w:rsidR="00DF410E" w:rsidRDefault="00CE7F43">
      <w:pPr>
        <w:pStyle w:val="pheading"/>
      </w:pPr>
      <w:r>
        <w:t>MESURAGE</w:t>
      </w:r>
    </w:p>
    <w:p w14:paraId="4A0E9B71" w14:textId="77777777" w:rsidR="00DF410E" w:rsidRDefault="00CE7F43">
      <w:pPr>
        <w:pStyle w:val="pheading"/>
      </w:pPr>
      <w:r>
        <w:t>- unité de mesure:</w:t>
      </w:r>
    </w:p>
    <w:p w14:paraId="2D6E2D65" w14:textId="77777777" w:rsidR="00DF410E" w:rsidRDefault="00CE7F43">
      <w:r>
        <w:rPr>
          <w:rStyle w:val="optioncarChar"/>
        </w:rPr>
        <w:t>- </w:t>
      </w:r>
      <w:r>
        <w:t>(par défaut)</w:t>
      </w:r>
      <w:r>
        <w:rPr>
          <w:rStyle w:val="optioncarChar"/>
        </w:rPr>
        <w:t> / pc</w:t>
      </w:r>
    </w:p>
    <w:p w14:paraId="76D05261" w14:textId="77777777" w:rsidR="00DF410E" w:rsidRDefault="00CE7F43">
      <w:r>
        <w:rPr>
          <w:b/>
          <w:i/>
        </w:rPr>
        <w:t>(Soit par défaut)</w:t>
      </w:r>
    </w:p>
    <w:p w14:paraId="30F55983" w14:textId="77777777" w:rsidR="00DF410E" w:rsidRDefault="00CE7F43">
      <w:r>
        <w:rPr>
          <w:rStyle w:val="soitChar"/>
        </w:rPr>
        <w:t>1.     –</w:t>
      </w:r>
    </w:p>
    <w:p w14:paraId="4F77BD3F" w14:textId="77777777" w:rsidR="00DF410E" w:rsidRDefault="00CE7F43">
      <w:r>
        <w:rPr>
          <w:b/>
          <w:i/>
        </w:rPr>
        <w:t>(Soit)</w:t>
      </w:r>
    </w:p>
    <w:p w14:paraId="3FA3FEBE" w14:textId="77777777" w:rsidR="00DF410E" w:rsidRDefault="00CE7F43">
      <w:r>
        <w:rPr>
          <w:rStyle w:val="soitChar"/>
        </w:rPr>
        <w:t>2.3.  pc</w:t>
      </w:r>
    </w:p>
    <w:p w14:paraId="1170853C" w14:textId="77777777" w:rsidR="00DF410E" w:rsidRDefault="00CE7F43">
      <w:pPr>
        <w:pStyle w:val="pheading"/>
      </w:pPr>
      <w:r>
        <w:t>- code de mesurage:</w:t>
      </w:r>
    </w:p>
    <w:p w14:paraId="24B409D8" w14:textId="77777777" w:rsidR="00DF410E" w:rsidRDefault="00CE7F43">
      <w:r>
        <w:rPr>
          <w:rStyle w:val="optioncarChar"/>
        </w:rPr>
        <w:t>Compris</w:t>
      </w:r>
      <w:r>
        <w:t> (par défaut) </w:t>
      </w:r>
      <w:r>
        <w:rPr>
          <w:rStyle w:val="optioncarChar"/>
        </w:rPr>
        <w:t>/ Quantité nette</w:t>
      </w:r>
    </w:p>
    <w:p w14:paraId="29EA5C0B" w14:textId="77777777" w:rsidR="00DF410E" w:rsidRDefault="00CE7F43">
      <w:r>
        <w:rPr>
          <w:b/>
          <w:i/>
        </w:rPr>
        <w:t>(Soit par défaut)</w:t>
      </w:r>
    </w:p>
    <w:p w14:paraId="1ED9CACB" w14:textId="77777777" w:rsidR="00DF410E" w:rsidRDefault="00CE7F43">
      <w:r>
        <w:rPr>
          <w:rStyle w:val="soitChar"/>
        </w:rPr>
        <w:t>1.     </w:t>
      </w:r>
      <w:r>
        <w:rPr>
          <w:rStyle w:val="soitChar"/>
          <w:u w:val="single"/>
        </w:rPr>
        <w:t>Compris</w:t>
      </w:r>
      <w:r>
        <w:rPr>
          <w:rStyle w:val="soitChar"/>
        </w:rPr>
        <w:t> dans l’article de référence </w:t>
      </w:r>
      <w:r>
        <w:rPr>
          <w:rStyle w:val="optioncarChar"/>
        </w:rPr>
        <w:t>***</w:t>
      </w:r>
    </w:p>
    <w:p w14:paraId="24459B73" w14:textId="77777777" w:rsidR="00DF410E" w:rsidRDefault="00CE7F43">
      <w:r>
        <w:rPr>
          <w:b/>
          <w:i/>
        </w:rPr>
        <w:t>(Soit)</w:t>
      </w:r>
    </w:p>
    <w:p w14:paraId="1D694C1E"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6B99DD5C" w14:textId="77777777" w:rsidR="00DF410E" w:rsidRDefault="00CE7F43">
      <w:pPr>
        <w:pStyle w:val="pheading"/>
      </w:pPr>
      <w:r>
        <w:t>- nature du marché:</w:t>
      </w:r>
    </w:p>
    <w:p w14:paraId="08CDF0AF" w14:textId="77777777" w:rsidR="00DF410E" w:rsidRDefault="00CE7F43">
      <w:r>
        <w:rPr>
          <w:rStyle w:val="optioncarChar"/>
        </w:rPr>
        <w:t>PM </w:t>
      </w:r>
      <w:r>
        <w:t>(par défaut) </w:t>
      </w:r>
      <w:r>
        <w:rPr>
          <w:rStyle w:val="optioncarChar"/>
        </w:rPr>
        <w:t>/ QF / QP</w:t>
      </w:r>
    </w:p>
    <w:p w14:paraId="5F973088" w14:textId="77777777" w:rsidR="00DF410E" w:rsidRDefault="00CE7F43">
      <w:r>
        <w:rPr>
          <w:b/>
          <w:i/>
        </w:rPr>
        <w:t>(Soit par défaut)</w:t>
      </w:r>
    </w:p>
    <w:p w14:paraId="462DABC5" w14:textId="77777777" w:rsidR="00DF410E" w:rsidRDefault="00CE7F43">
      <w:r>
        <w:rPr>
          <w:rStyle w:val="soitChar"/>
        </w:rPr>
        <w:t>1.     PM</w:t>
      </w:r>
    </w:p>
    <w:p w14:paraId="612380A7" w14:textId="77777777" w:rsidR="00DF410E" w:rsidRDefault="00CE7F43">
      <w:r>
        <w:rPr>
          <w:b/>
          <w:i/>
        </w:rPr>
        <w:t>(Soit)</w:t>
      </w:r>
    </w:p>
    <w:p w14:paraId="2A0B6993" w14:textId="77777777" w:rsidR="00DF410E" w:rsidRDefault="00CE7F43">
      <w:r>
        <w:rPr>
          <w:rStyle w:val="soitChar"/>
        </w:rPr>
        <w:t>2.     QF</w:t>
      </w:r>
    </w:p>
    <w:p w14:paraId="12DDFD41" w14:textId="77777777" w:rsidR="00DF410E" w:rsidRDefault="00CE7F43">
      <w:r>
        <w:rPr>
          <w:b/>
          <w:i/>
        </w:rPr>
        <w:t>(Soit)</w:t>
      </w:r>
    </w:p>
    <w:p w14:paraId="694959B6" w14:textId="77777777" w:rsidR="00DF410E" w:rsidRDefault="00CE7F43">
      <w:r>
        <w:rPr>
          <w:rStyle w:val="soitChar"/>
        </w:rPr>
        <w:t>3.     QP</w:t>
      </w:r>
    </w:p>
    <w:p w14:paraId="3E0396AD" w14:textId="77777777" w:rsidR="00DF410E" w:rsidRDefault="00CE7F43">
      <w:pPr>
        <w:pStyle w:val="Author-eSectionHeading6"/>
      </w:pPr>
      <w:bookmarkStart w:id="1731" w:name="_Toc178838808"/>
      <w:r>
        <w:t>24.42.1b Assemblages par tiges - broches CCTB 01.11</w:t>
      </w:r>
      <w:bookmarkEnd w:id="1731"/>
    </w:p>
    <w:p w14:paraId="2AB8327B" w14:textId="77777777" w:rsidR="00DF410E" w:rsidRDefault="00CE7F43">
      <w:pPr>
        <w:pStyle w:val="pheading"/>
      </w:pPr>
      <w:r>
        <w:t>DESCRIPTION</w:t>
      </w:r>
    </w:p>
    <w:p w14:paraId="77756508" w14:textId="77777777" w:rsidR="00DF410E" w:rsidRDefault="00CE7F43">
      <w:pPr>
        <w:pStyle w:val="pheading"/>
      </w:pPr>
      <w:r>
        <w:t>- Définition / Comprend</w:t>
      </w:r>
    </w:p>
    <w:p w14:paraId="6DB1E7A1" w14:textId="77777777" w:rsidR="00DF410E" w:rsidRDefault="00CE7F43">
      <w:pPr>
        <w:jc w:val="both"/>
      </w:pPr>
      <w:r>
        <w:t>Il s’agit de tiges cylindriques lisses de 6 à 30mm de diamètre et ne comportant pas de tête intégrée. Une broche est schématisée ci-dessous :</w:t>
      </w:r>
    </w:p>
    <w:p w14:paraId="5D0FF1EA" w14:textId="77777777" w:rsidR="00DF410E" w:rsidRDefault="00CE7F43">
      <w:r>
        <w:rPr>
          <w:noProof/>
        </w:rPr>
        <w:drawing>
          <wp:inline distT="0" distB="0" distL="0" distR="0" wp14:anchorId="5164947C" wp14:editId="1AA147CB">
            <wp:extent cx="2857500" cy="2047875"/>
            <wp:effectExtent l="0" t="0" r="0" b="0"/>
            <wp:docPr id="19" name="24.42.1b.png" descr="24.4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9" descr="24.42.1b.png"/>
                    <pic:cNvPicPr>
                      <a:picLocks noChangeAspect="1" noChangeArrowheads="1"/>
                    </pic:cNvPicPr>
                  </pic:nvPicPr>
                  <pic:blipFill>
                    <a:blip r:embed="rId334"/>
                    <a:srcRect/>
                    <a:stretch>
                      <a:fillRect/>
                    </a:stretch>
                  </pic:blipFill>
                  <pic:spPr bwMode="auto">
                    <a:xfrm>
                      <a:off x="0" y="0"/>
                      <a:ext cx="2857500" cy="2047875"/>
                    </a:xfrm>
                    <a:prstGeom prst="rect">
                      <a:avLst/>
                    </a:prstGeom>
                  </pic:spPr>
                </pic:pic>
              </a:graphicData>
            </a:graphic>
          </wp:inline>
        </w:drawing>
      </w:r>
    </w:p>
    <w:p w14:paraId="47C08389" w14:textId="77777777" w:rsidR="00DF410E" w:rsidRDefault="00CE7F43">
      <w:r>
        <w:rPr>
          <w:b/>
        </w:rPr>
        <w:t>Remarques importantes</w:t>
      </w:r>
    </w:p>
    <w:p w14:paraId="3F82FD54" w14:textId="77777777" w:rsidR="00DF410E" w:rsidRDefault="00CE7F43">
      <w:r>
        <w:t>Les broches utilisées respectent en tout point la norme harmonisée [NBN EN 14592] et disposent du marquage CE suivant celle-ci.</w:t>
      </w:r>
    </w:p>
    <w:p w14:paraId="1F3D6233" w14:textId="77777777" w:rsidR="00DF410E" w:rsidRDefault="00CE7F43">
      <w:r>
        <w:t>L’étude d’une connexion par broche se fait soit par calculs suivant les principes décrits dans l’Eurocode 5 ([NBN EN 1995-1-1]), soit sur base d’essais réalisés conformément à la [NBN EN 1380].</w:t>
      </w:r>
    </w:p>
    <w:p w14:paraId="10ECFA79" w14:textId="77777777" w:rsidR="00DF410E" w:rsidRDefault="00CE7F43">
      <w:pPr>
        <w:pStyle w:val="pheading"/>
      </w:pPr>
      <w:r>
        <w:t>MATÉRIAUX</w:t>
      </w:r>
    </w:p>
    <w:p w14:paraId="6E51B36B" w14:textId="77777777" w:rsidR="00DF410E" w:rsidRDefault="00CE7F43">
      <w:pPr>
        <w:pStyle w:val="pheading"/>
      </w:pPr>
      <w:r>
        <w:t>- Caractéristiques générales</w:t>
      </w:r>
    </w:p>
    <w:p w14:paraId="4F5D0A4E" w14:textId="77777777" w:rsidR="00DF410E" w:rsidRDefault="00CE7F43">
      <w:pPr>
        <w:jc w:val="both"/>
      </w:pPr>
      <w:r>
        <w:t xml:space="preserve">Diamètre des broches : </w:t>
      </w:r>
      <w:r>
        <w:rPr>
          <w:rStyle w:val="optioncarChar"/>
        </w:rPr>
        <w:t>6mm / 8 mm / 10mm </w:t>
      </w:r>
      <w:r>
        <w:t>(par défaut)</w:t>
      </w:r>
      <w:r>
        <w:rPr>
          <w:rStyle w:val="optioncarChar"/>
        </w:rPr>
        <w:t xml:space="preserve"> / 12mm / 16mm/ 20mm / ***</w:t>
      </w:r>
    </w:p>
    <w:p w14:paraId="3F6124AF" w14:textId="77777777" w:rsidR="00DF410E" w:rsidRDefault="00CE7F43">
      <w:pPr>
        <w:jc w:val="both"/>
      </w:pPr>
      <w:r>
        <w:t xml:space="preserve">Matériau constituant les broches : </w:t>
      </w:r>
      <w:r>
        <w:rPr>
          <w:rStyle w:val="optioncarChar"/>
        </w:rPr>
        <w:t>acier au carbone ou acier allié</w:t>
      </w:r>
      <w:r>
        <w:t xml:space="preserve"> (par défaut)</w:t>
      </w:r>
      <w:r>
        <w:rPr>
          <w:rStyle w:val="optioncarChar"/>
        </w:rPr>
        <w:t xml:space="preserve"> / acier inoxydable</w:t>
      </w:r>
    </w:p>
    <w:p w14:paraId="0CC918F5" w14:textId="77777777" w:rsidR="00DF410E" w:rsidRDefault="00CE7F43">
      <w:pPr>
        <w:ind w:left="567"/>
        <w:jc w:val="both"/>
      </w:pPr>
      <w:r>
        <w:rPr>
          <w:b/>
          <w:i/>
        </w:rPr>
        <w:t>(Soit par défaut)</w:t>
      </w:r>
    </w:p>
    <w:p w14:paraId="19CF1824" w14:textId="77777777" w:rsidR="00DF410E" w:rsidRDefault="00CE7F43">
      <w:pPr>
        <w:ind w:left="567"/>
        <w:jc w:val="both"/>
      </w:pPr>
      <w:r>
        <w:rPr>
          <w:rStyle w:val="soitChar"/>
          <w:u w:val="single"/>
        </w:rPr>
        <w:t>Acier au carbone ou acier allié</w:t>
      </w:r>
    </w:p>
    <w:p w14:paraId="38DDEC34" w14:textId="77777777" w:rsidR="00DF410E" w:rsidRDefault="00CE7F43">
      <w:pPr>
        <w:ind w:left="567"/>
        <w:jc w:val="both"/>
      </w:pPr>
      <w:r>
        <w:rPr>
          <w:rStyle w:val="soitChar"/>
        </w:rPr>
        <w:t xml:space="preserve">Nuance d’acier selon [NBN EN ISO 898-1] : </w:t>
      </w:r>
      <w:r>
        <w:rPr>
          <w:rStyle w:val="optioncarChar"/>
        </w:rPr>
        <w:t>S235 </w:t>
      </w:r>
      <w:r>
        <w:t>(par défaut)</w:t>
      </w:r>
      <w:r>
        <w:rPr>
          <w:rStyle w:val="optioncarChar"/>
        </w:rPr>
        <w:t xml:space="preserve"> / S355 / ***</w:t>
      </w:r>
    </w:p>
    <w:p w14:paraId="34BB598A" w14:textId="77777777" w:rsidR="00DF410E" w:rsidRDefault="00CE7F43">
      <w:pPr>
        <w:ind w:left="567"/>
        <w:jc w:val="both"/>
      </w:pPr>
      <w:r>
        <w:rPr>
          <w:rStyle w:val="soitChar"/>
        </w:rPr>
        <w:t>Mesure de protection contre la corrosion selon [NBN EN 10346] :</w:t>
      </w:r>
      <w:r>
        <w:rPr>
          <w:rStyle w:val="optioncarChar"/>
        </w:rPr>
        <w:t xml:space="preserve"> aucune / Z275</w:t>
      </w:r>
      <w:r>
        <w:t xml:space="preserve"> (par défaut)</w:t>
      </w:r>
      <w:r>
        <w:rPr>
          <w:rStyle w:val="optioncarChar"/>
        </w:rPr>
        <w:t xml:space="preserve"> / Z350 / ***</w:t>
      </w:r>
    </w:p>
    <w:p w14:paraId="1266C406" w14:textId="77777777" w:rsidR="00DF410E" w:rsidRDefault="00CE7F43">
      <w:pPr>
        <w:ind w:left="567"/>
        <w:jc w:val="both"/>
      </w:pPr>
      <w:r>
        <w:rPr>
          <w:rStyle w:val="soitChar"/>
        </w:rPr>
        <w:t>Cette mesure peut être remplacée par une mesure présentant un degré de protection contre la corrosion similaire ou supérieure.</w:t>
      </w:r>
    </w:p>
    <w:p w14:paraId="0B7AD933" w14:textId="77777777" w:rsidR="00DF410E" w:rsidRDefault="00CE7F43">
      <w:pPr>
        <w:ind w:left="567"/>
        <w:jc w:val="both"/>
      </w:pPr>
      <w:r>
        <w:rPr>
          <w:b/>
          <w:i/>
        </w:rPr>
        <w:t>(Soit)</w:t>
      </w:r>
    </w:p>
    <w:p w14:paraId="02EB23CA" w14:textId="77777777" w:rsidR="00DF410E" w:rsidRDefault="00CE7F43">
      <w:pPr>
        <w:ind w:left="567"/>
        <w:jc w:val="both"/>
      </w:pPr>
      <w:r>
        <w:rPr>
          <w:rStyle w:val="soitChar"/>
          <w:u w:val="single"/>
        </w:rPr>
        <w:t>Acier inoxydable</w:t>
      </w:r>
    </w:p>
    <w:p w14:paraId="11C8C0F2" w14:textId="77777777" w:rsidR="00DF410E" w:rsidRDefault="00CE7F43">
      <w:pPr>
        <w:ind w:left="567"/>
        <w:jc w:val="both"/>
      </w:pPr>
      <w:r>
        <w:rPr>
          <w:rStyle w:val="soitChar"/>
        </w:rPr>
        <w:t xml:space="preserve">Nuance d’acier inoxydable selon [NBN EN ISO 3506-1] : </w:t>
      </w:r>
      <w:r>
        <w:rPr>
          <w:rStyle w:val="optioncarChar"/>
        </w:rPr>
        <w:t>A2 </w:t>
      </w:r>
      <w:r>
        <w:t>(par défaut)</w:t>
      </w:r>
      <w:r>
        <w:rPr>
          <w:rStyle w:val="optioncarChar"/>
        </w:rPr>
        <w:t xml:space="preserve"> / A4 / ***</w:t>
      </w:r>
      <w:r>
        <w:t> </w:t>
      </w:r>
    </w:p>
    <w:p w14:paraId="5D9EBF1C" w14:textId="77777777" w:rsidR="00DF410E" w:rsidRDefault="00CE7F43">
      <w:pPr>
        <w:jc w:val="both"/>
      </w:pPr>
      <w:r>
        <w:rPr>
          <w:b/>
          <w:u w:val="single"/>
        </w:rPr>
        <w:t>Tolérances</w:t>
      </w:r>
    </w:p>
    <w:p w14:paraId="2E1672AF" w14:textId="77777777" w:rsidR="00DF410E" w:rsidRDefault="00CE7F43">
      <w:pPr>
        <w:jc w:val="both"/>
      </w:pPr>
      <w:r>
        <w:t>La tolérance sur le diamètre de la broche est de -0/+0,1mm selon l’Eurocode 5 ([NBN EN 1995-1-1]).</w:t>
      </w:r>
    </w:p>
    <w:p w14:paraId="2E3A716D" w14:textId="77777777" w:rsidR="00DF410E" w:rsidRDefault="00CE7F43">
      <w:pPr>
        <w:pStyle w:val="pheading"/>
      </w:pPr>
      <w:r>
        <w:t>EXÉCUTION / MISE EN ŒUVRE</w:t>
      </w:r>
    </w:p>
    <w:p w14:paraId="131E31E0" w14:textId="77777777" w:rsidR="00DF410E" w:rsidRDefault="00CE7F43">
      <w:pPr>
        <w:pStyle w:val="pheading"/>
      </w:pPr>
      <w:r>
        <w:t>- Prescriptions générales</w:t>
      </w:r>
    </w:p>
    <w:p w14:paraId="086C1899" w14:textId="77777777" w:rsidR="00DF410E" w:rsidRDefault="00CE7F43">
      <w:pPr>
        <w:jc w:val="both"/>
      </w:pPr>
      <w:r>
        <w:rPr>
          <w:b/>
          <w:u w:val="single"/>
        </w:rPr>
        <w:t>Pré-percement des éléments</w:t>
      </w:r>
    </w:p>
    <w:p w14:paraId="35F85E3B" w14:textId="77777777" w:rsidR="00DF410E" w:rsidRDefault="00CE7F43">
      <w:pPr>
        <w:jc w:val="both"/>
      </w:pPr>
      <w:r>
        <w:t>Le préperçage des éléments est obligatoire, et le diamètre des avant-trous dans les éléments en bois est égal au diamètre de la broche.</w:t>
      </w:r>
    </w:p>
    <w:p w14:paraId="1443BD33" w14:textId="77777777" w:rsidR="00DF410E" w:rsidRDefault="00CE7F43">
      <w:pPr>
        <w:jc w:val="both"/>
      </w:pPr>
      <w:r>
        <w:t>Dans le cas d’un assemblage bois/acier, les éléments sont percés séparément. L’acier est percé avec un trou de diamètre d = d</w:t>
      </w:r>
      <w:r>
        <w:rPr>
          <w:vertAlign w:val="subscript"/>
        </w:rPr>
        <w:t>broche</w:t>
      </w:r>
      <w:r>
        <w:t>+1 mm.</w:t>
      </w:r>
    </w:p>
    <w:p w14:paraId="05BE171C" w14:textId="77777777" w:rsidR="00DF410E" w:rsidRDefault="00CE7F43">
      <w:pPr>
        <w:jc w:val="both"/>
      </w:pPr>
      <w:r>
        <w:t>L’assemblage est couturé par un ou plusieurs boulon(s) à son extrémité lorsque la longueur de l’assemblage est plus grande que la hauteur de la section.</w:t>
      </w:r>
    </w:p>
    <w:p w14:paraId="68894EE2" w14:textId="77777777" w:rsidR="00DF410E" w:rsidRDefault="00CE7F43">
      <w:pPr>
        <w:jc w:val="both"/>
      </w:pPr>
      <w:r>
        <w:rPr>
          <w:b/>
          <w:u w:val="single"/>
        </w:rPr>
        <w:t>Espacements et distances</w:t>
      </w:r>
    </w:p>
    <w:p w14:paraId="76A41967" w14:textId="77777777" w:rsidR="00DF410E" w:rsidRDefault="00CE7F43">
      <w:pPr>
        <w:jc w:val="both"/>
      </w:pPr>
      <w:r>
        <w:t xml:space="preserve">Les espacements et distances minimuaux à respecter sont renseignés dans l’Eurocode 5 [NBN EN 1995-1-1], au </w:t>
      </w:r>
      <w:r>
        <w:rPr>
          <w:i/>
        </w:rPr>
        <w:t>tableau 8.5 – espacements et distances minimaux pour les broches</w:t>
      </w:r>
      <w:r>
        <w:t>.</w:t>
      </w:r>
    </w:p>
    <w:p w14:paraId="106F7470" w14:textId="77777777" w:rsidR="00DF410E" w:rsidRDefault="00CE7F43">
      <w:pPr>
        <w:pStyle w:val="pheading"/>
      </w:pPr>
      <w:r>
        <w:t>MESURAGE</w:t>
      </w:r>
    </w:p>
    <w:p w14:paraId="1ED2B572" w14:textId="77777777" w:rsidR="00DF410E" w:rsidRDefault="00CE7F43">
      <w:pPr>
        <w:pStyle w:val="pheading"/>
      </w:pPr>
      <w:r>
        <w:t>- unité de mesure:</w:t>
      </w:r>
    </w:p>
    <w:p w14:paraId="14879834" w14:textId="77777777" w:rsidR="00DF410E" w:rsidRDefault="00CE7F43">
      <w:r>
        <w:rPr>
          <w:rStyle w:val="optioncarChar"/>
        </w:rPr>
        <w:t>- </w:t>
      </w:r>
      <w:r>
        <w:t>(par défaut)</w:t>
      </w:r>
      <w:r>
        <w:rPr>
          <w:rStyle w:val="optioncarChar"/>
        </w:rPr>
        <w:t> / pc</w:t>
      </w:r>
    </w:p>
    <w:p w14:paraId="30E6C8CD" w14:textId="77777777" w:rsidR="00DF410E" w:rsidRDefault="00CE7F43">
      <w:r>
        <w:rPr>
          <w:b/>
          <w:i/>
        </w:rPr>
        <w:t>(Soit par défaut)</w:t>
      </w:r>
    </w:p>
    <w:p w14:paraId="20B22602" w14:textId="77777777" w:rsidR="00DF410E" w:rsidRDefault="00CE7F43">
      <w:r>
        <w:rPr>
          <w:rStyle w:val="soitChar"/>
        </w:rPr>
        <w:t>1.     –</w:t>
      </w:r>
    </w:p>
    <w:p w14:paraId="6D68E3C7" w14:textId="77777777" w:rsidR="00DF410E" w:rsidRDefault="00CE7F43">
      <w:r>
        <w:rPr>
          <w:b/>
          <w:i/>
        </w:rPr>
        <w:t>(Soit)</w:t>
      </w:r>
    </w:p>
    <w:p w14:paraId="6BF74D50" w14:textId="77777777" w:rsidR="00DF410E" w:rsidRDefault="00CE7F43">
      <w:r>
        <w:rPr>
          <w:rStyle w:val="soitChar"/>
        </w:rPr>
        <w:t>2.3.  pc</w:t>
      </w:r>
    </w:p>
    <w:p w14:paraId="095DF85E" w14:textId="77777777" w:rsidR="00DF410E" w:rsidRDefault="00CE7F43">
      <w:pPr>
        <w:pStyle w:val="pheading"/>
      </w:pPr>
      <w:r>
        <w:t>- code de mesurage:</w:t>
      </w:r>
    </w:p>
    <w:p w14:paraId="750DDCD3" w14:textId="77777777" w:rsidR="00DF410E" w:rsidRDefault="00CE7F43">
      <w:r>
        <w:rPr>
          <w:rStyle w:val="optioncarChar"/>
        </w:rPr>
        <w:t>Compris</w:t>
      </w:r>
      <w:r>
        <w:t> (par défaut)</w:t>
      </w:r>
      <w:r>
        <w:rPr>
          <w:rStyle w:val="optioncarChar"/>
        </w:rPr>
        <w:t> / Quantité nette</w:t>
      </w:r>
    </w:p>
    <w:p w14:paraId="2FDD9113" w14:textId="77777777" w:rsidR="00DF410E" w:rsidRDefault="00CE7F43">
      <w:r>
        <w:rPr>
          <w:b/>
          <w:i/>
        </w:rPr>
        <w:t>(Soit par défaut)</w:t>
      </w:r>
    </w:p>
    <w:p w14:paraId="62135AA5" w14:textId="77777777" w:rsidR="00DF410E" w:rsidRDefault="00CE7F43">
      <w:r>
        <w:rPr>
          <w:rStyle w:val="soitChar"/>
        </w:rPr>
        <w:t>1.    </w:t>
      </w:r>
      <w:r>
        <w:rPr>
          <w:rStyle w:val="soitChar"/>
          <w:u w:val="single"/>
        </w:rPr>
        <w:t> Compris </w:t>
      </w:r>
      <w:r>
        <w:rPr>
          <w:rStyle w:val="soitChar"/>
        </w:rPr>
        <w:t>dans l’article de référence</w:t>
      </w:r>
      <w:r>
        <w:t> </w:t>
      </w:r>
      <w:r>
        <w:rPr>
          <w:rStyle w:val="optioncarChar"/>
        </w:rPr>
        <w:t>***</w:t>
      </w:r>
    </w:p>
    <w:p w14:paraId="1B89567E" w14:textId="77777777" w:rsidR="00DF410E" w:rsidRDefault="00CE7F43">
      <w:r>
        <w:rPr>
          <w:b/>
          <w:i/>
        </w:rPr>
        <w:t>(Soit)</w:t>
      </w:r>
    </w:p>
    <w:p w14:paraId="7EC7DE7C"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54AF3C86" w14:textId="77777777" w:rsidR="00DF410E" w:rsidRDefault="00CE7F43">
      <w:pPr>
        <w:pStyle w:val="pheading"/>
      </w:pPr>
      <w:r>
        <w:t>- nature du marché:</w:t>
      </w:r>
    </w:p>
    <w:p w14:paraId="61B1B5B9" w14:textId="77777777" w:rsidR="00DF410E" w:rsidRDefault="00CE7F43">
      <w:r>
        <w:rPr>
          <w:rStyle w:val="optioncarChar"/>
        </w:rPr>
        <w:t>PM</w:t>
      </w:r>
      <w:r>
        <w:t> (par défaut) </w:t>
      </w:r>
      <w:r>
        <w:rPr>
          <w:rStyle w:val="optioncarChar"/>
        </w:rPr>
        <w:t>/ QF / QP</w:t>
      </w:r>
    </w:p>
    <w:p w14:paraId="79955A43" w14:textId="77777777" w:rsidR="00DF410E" w:rsidRDefault="00CE7F43">
      <w:r>
        <w:rPr>
          <w:b/>
          <w:i/>
        </w:rPr>
        <w:t>(Soit par défaut)</w:t>
      </w:r>
    </w:p>
    <w:p w14:paraId="71B4B74B" w14:textId="77777777" w:rsidR="00DF410E" w:rsidRDefault="00CE7F43">
      <w:r>
        <w:rPr>
          <w:rStyle w:val="soitChar"/>
        </w:rPr>
        <w:t>1.     PM</w:t>
      </w:r>
    </w:p>
    <w:p w14:paraId="3CE8BB4C" w14:textId="77777777" w:rsidR="00DF410E" w:rsidRDefault="00CE7F43">
      <w:r>
        <w:rPr>
          <w:b/>
          <w:i/>
        </w:rPr>
        <w:t>(Soit)</w:t>
      </w:r>
    </w:p>
    <w:p w14:paraId="4766209C" w14:textId="77777777" w:rsidR="00DF410E" w:rsidRDefault="00CE7F43">
      <w:r>
        <w:rPr>
          <w:rStyle w:val="soitChar"/>
        </w:rPr>
        <w:t>2.     QF</w:t>
      </w:r>
    </w:p>
    <w:p w14:paraId="33FDDDE2" w14:textId="77777777" w:rsidR="00DF410E" w:rsidRDefault="00CE7F43">
      <w:r>
        <w:rPr>
          <w:b/>
          <w:i/>
        </w:rPr>
        <w:t>(Soit)</w:t>
      </w:r>
    </w:p>
    <w:p w14:paraId="2D35FF72" w14:textId="77777777" w:rsidR="00DF410E" w:rsidRDefault="00CE7F43">
      <w:r>
        <w:rPr>
          <w:rStyle w:val="soitChar"/>
        </w:rPr>
        <w:t>3.     QP</w:t>
      </w:r>
    </w:p>
    <w:p w14:paraId="0B9571D0" w14:textId="77777777" w:rsidR="00DF410E" w:rsidRDefault="00CE7F43">
      <w:pPr>
        <w:pStyle w:val="Author-eSectionHeading6"/>
      </w:pPr>
      <w:bookmarkStart w:id="1732" w:name="_Toc178838809"/>
      <w:r>
        <w:t>24.42.1c Assemblages par tiges - boulons CCTB 01.11</w:t>
      </w:r>
      <w:bookmarkEnd w:id="1732"/>
    </w:p>
    <w:p w14:paraId="7F3BF148" w14:textId="77777777" w:rsidR="00DF410E" w:rsidRDefault="00CE7F43">
      <w:pPr>
        <w:pStyle w:val="pheading"/>
      </w:pPr>
      <w:bookmarkStart w:id="1733" w:name="631"/>
      <w:bookmarkEnd w:id="1733"/>
      <w:r>
        <w:t>DESCRIPTION</w:t>
      </w:r>
    </w:p>
    <w:p w14:paraId="39A44441" w14:textId="77777777" w:rsidR="00DF410E" w:rsidRDefault="00CE7F43">
      <w:pPr>
        <w:pStyle w:val="pheading"/>
      </w:pPr>
      <w:r>
        <w:t>- Définition / Comprend</w:t>
      </w:r>
    </w:p>
    <w:p w14:paraId="6DDB3712" w14:textId="77777777" w:rsidR="00DF410E" w:rsidRDefault="00CE7F43">
      <w:pPr>
        <w:jc w:val="both"/>
      </w:pPr>
      <w:r>
        <w:t>Il s’agit d’un élément de fixation métallique cylindrique comportant une tête intégrée à une extrémité et une partie filetée destinée à recevoir un écrou à l’autre extrémité. Leur diamètre est compris entre 6 mm et 30 mm.</w:t>
      </w:r>
    </w:p>
    <w:p w14:paraId="0DDC95FE" w14:textId="77777777" w:rsidR="00DF410E" w:rsidRDefault="00CE7F43">
      <w:pPr>
        <w:jc w:val="both"/>
      </w:pPr>
      <w:r>
        <w:t>Un boulon est composé de l’ensemble Vis + Ecrou + 2 Rondelles.</w:t>
      </w:r>
    </w:p>
    <w:p w14:paraId="6272ECD7" w14:textId="77777777" w:rsidR="00DF410E" w:rsidRDefault="00CE7F43">
      <w:pPr>
        <w:jc w:val="both"/>
      </w:pPr>
      <w:r>
        <w:rPr>
          <w:noProof/>
        </w:rPr>
        <w:drawing>
          <wp:inline distT="0" distB="0" distL="0" distR="0" wp14:anchorId="384BFC0E" wp14:editId="56117F99">
            <wp:extent cx="4762500" cy="1724025"/>
            <wp:effectExtent l="0" t="0" r="0" b="0"/>
            <wp:docPr id="20" name="24.42.1c.png" descr="24.4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0" descr="24.42.1c.png"/>
                    <pic:cNvPicPr>
                      <a:picLocks noChangeAspect="1" noChangeArrowheads="1"/>
                    </pic:cNvPicPr>
                  </pic:nvPicPr>
                  <pic:blipFill>
                    <a:blip r:embed="rId335"/>
                    <a:srcRect/>
                    <a:stretch>
                      <a:fillRect/>
                    </a:stretch>
                  </pic:blipFill>
                  <pic:spPr bwMode="auto">
                    <a:xfrm>
                      <a:off x="0" y="0"/>
                      <a:ext cx="4762500" cy="1724025"/>
                    </a:xfrm>
                    <a:prstGeom prst="rect">
                      <a:avLst/>
                    </a:prstGeom>
                  </pic:spPr>
                </pic:pic>
              </a:graphicData>
            </a:graphic>
          </wp:inline>
        </w:drawing>
      </w:r>
    </w:p>
    <w:p w14:paraId="6DF4DD74" w14:textId="77777777" w:rsidR="00DF410E" w:rsidRDefault="00CE7F43">
      <w:pPr>
        <w:jc w:val="both"/>
      </w:pPr>
      <w:r>
        <w:rPr>
          <w:b/>
        </w:rPr>
        <w:t>Remarques importantes</w:t>
      </w:r>
    </w:p>
    <w:p w14:paraId="65E093D0" w14:textId="77777777" w:rsidR="00DF410E" w:rsidRDefault="00CE7F43">
      <w:pPr>
        <w:jc w:val="both"/>
      </w:pPr>
      <w:r>
        <w:t>Les boulons utilisés respectent en tout point la norme harmonisée [NBN EN 14592] et disposent du marquage CE suivant celle-ci.</w:t>
      </w:r>
    </w:p>
    <w:p w14:paraId="73938952" w14:textId="77777777" w:rsidR="00DF410E" w:rsidRDefault="00CE7F43">
      <w:pPr>
        <w:jc w:val="both"/>
      </w:pPr>
      <w:r>
        <w:t>L’étude d’une connexion par boulons se fait soit par calculs suivant les principes décrits dans l’Eurocode 5 ([NBN EN 1995-1-1]), soit sur base d’essais réalisés conformément à la [NBN EN 1380].</w:t>
      </w:r>
    </w:p>
    <w:p w14:paraId="7E080B2B" w14:textId="77777777" w:rsidR="00DF410E" w:rsidRDefault="00CE7F43">
      <w:pPr>
        <w:pStyle w:val="pheading"/>
      </w:pPr>
      <w:r>
        <w:t>MATÉRIAUX</w:t>
      </w:r>
    </w:p>
    <w:p w14:paraId="15A15E8B" w14:textId="77777777" w:rsidR="00DF410E" w:rsidRDefault="00CE7F43">
      <w:pPr>
        <w:pStyle w:val="pheading"/>
      </w:pPr>
      <w:r>
        <w:t>- Caractéristiques générales</w:t>
      </w:r>
    </w:p>
    <w:p w14:paraId="6AB4BFF4" w14:textId="77777777" w:rsidR="00DF410E" w:rsidRDefault="00CE7F43">
      <w:pPr>
        <w:jc w:val="both"/>
      </w:pPr>
      <w:r>
        <w:t xml:space="preserve">Diamètre des boulons : </w:t>
      </w:r>
      <w:r>
        <w:rPr>
          <w:rStyle w:val="optioncarChar"/>
        </w:rPr>
        <w:t>M8 / M10 / M12 </w:t>
      </w:r>
      <w:r>
        <w:t>(par défaut)</w:t>
      </w:r>
      <w:r>
        <w:rPr>
          <w:rStyle w:val="optioncarChar"/>
        </w:rPr>
        <w:t xml:space="preserve"> / M16 / M20 / M24 / ***</w:t>
      </w:r>
    </w:p>
    <w:p w14:paraId="3334DC17" w14:textId="77777777" w:rsidR="00DF410E" w:rsidRDefault="00CE7F43">
      <w:pPr>
        <w:jc w:val="both"/>
      </w:pPr>
      <w:r>
        <w:t>Longueur des boulons :</w:t>
      </w:r>
      <w:r>
        <w:rPr>
          <w:rStyle w:val="optioncarChar"/>
        </w:rPr>
        <w:t xml:space="preserve"> ***</w:t>
      </w:r>
    </w:p>
    <w:p w14:paraId="0DEC4024" w14:textId="77777777" w:rsidR="00DF410E" w:rsidRDefault="00CE7F43">
      <w:pPr>
        <w:jc w:val="both"/>
      </w:pPr>
      <w:r>
        <w:t>Matériau constituant les boulons :</w:t>
      </w:r>
      <w:r>
        <w:rPr>
          <w:rStyle w:val="optioncarChar"/>
        </w:rPr>
        <w:t xml:space="preserve"> acier au carbone ou acier allié </w:t>
      </w:r>
      <w:r>
        <w:t>(par défaut)</w:t>
      </w:r>
      <w:r>
        <w:rPr>
          <w:rStyle w:val="optioncarChar"/>
        </w:rPr>
        <w:t xml:space="preserve"> / acier inoxydable</w:t>
      </w:r>
    </w:p>
    <w:p w14:paraId="3B655A21" w14:textId="77777777" w:rsidR="00DF410E" w:rsidRDefault="00CE7F43">
      <w:pPr>
        <w:ind w:left="567"/>
        <w:jc w:val="both"/>
      </w:pPr>
      <w:r>
        <w:rPr>
          <w:b/>
          <w:i/>
        </w:rPr>
        <w:t>(Soit par défaut)</w:t>
      </w:r>
    </w:p>
    <w:p w14:paraId="3A3F6E8B" w14:textId="77777777" w:rsidR="00DF410E" w:rsidRDefault="00CE7F43">
      <w:pPr>
        <w:ind w:left="567"/>
        <w:jc w:val="both"/>
      </w:pPr>
      <w:r>
        <w:rPr>
          <w:rStyle w:val="soitChar"/>
          <w:u w:val="single"/>
        </w:rPr>
        <w:t>Acier au carbone ou acier allié</w:t>
      </w:r>
    </w:p>
    <w:p w14:paraId="2E809A12" w14:textId="77777777" w:rsidR="00DF410E" w:rsidRDefault="00CE7F43">
      <w:pPr>
        <w:ind w:left="567"/>
        <w:jc w:val="both"/>
      </w:pPr>
      <w:r>
        <w:rPr>
          <w:rStyle w:val="soitChar"/>
        </w:rPr>
        <w:t xml:space="preserve">Nuance d’acier selon [NBN EN ISO 898-1] : </w:t>
      </w:r>
      <w:r>
        <w:rPr>
          <w:rStyle w:val="optioncarChar"/>
        </w:rPr>
        <w:t xml:space="preserve">4.8 </w:t>
      </w:r>
      <w:r>
        <w:t>(par défaut) </w:t>
      </w:r>
      <w:r>
        <w:rPr>
          <w:rStyle w:val="optioncarChar"/>
        </w:rPr>
        <w:t>/ 5.6 / 8.8 / 10.9 / ***</w:t>
      </w:r>
    </w:p>
    <w:p w14:paraId="16A37AA2" w14:textId="77777777" w:rsidR="00DF410E" w:rsidRDefault="00CE7F43">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14:paraId="18A46761" w14:textId="77777777" w:rsidR="00DF410E" w:rsidRDefault="00CE7F43">
      <w:pPr>
        <w:ind w:left="567"/>
        <w:jc w:val="both"/>
      </w:pPr>
      <w:r>
        <w:rPr>
          <w:rStyle w:val="soitChar"/>
        </w:rPr>
        <w:t>Cette mesure peut être remplacée par une mesure présentant un degré de protection contre la corrosion similaire ou supérieure.</w:t>
      </w:r>
    </w:p>
    <w:p w14:paraId="761EB57F" w14:textId="77777777" w:rsidR="00DF410E" w:rsidRDefault="00CE7F43">
      <w:pPr>
        <w:ind w:left="567"/>
        <w:jc w:val="both"/>
      </w:pPr>
      <w:r>
        <w:rPr>
          <w:b/>
          <w:i/>
        </w:rPr>
        <w:t>(Soit)</w:t>
      </w:r>
    </w:p>
    <w:p w14:paraId="1325D15C" w14:textId="77777777" w:rsidR="00DF410E" w:rsidRDefault="00CE7F43">
      <w:pPr>
        <w:ind w:left="567"/>
        <w:jc w:val="both"/>
      </w:pPr>
      <w:r>
        <w:rPr>
          <w:rStyle w:val="soitChar"/>
          <w:u w:val="single"/>
        </w:rPr>
        <w:t>Acier inoxydable</w:t>
      </w:r>
    </w:p>
    <w:p w14:paraId="2CDD7297" w14:textId="77777777" w:rsidR="00DF410E" w:rsidRDefault="00CE7F43">
      <w:pPr>
        <w:ind w:left="567"/>
        <w:jc w:val="both"/>
      </w:pPr>
      <w:r>
        <w:rPr>
          <w:rStyle w:val="soitChar"/>
        </w:rPr>
        <w:t>Nuance d’acier inoxydable selon [NBN EN ISO 3506-1] :</w:t>
      </w:r>
      <w:r>
        <w:rPr>
          <w:rStyle w:val="optioncarChar"/>
        </w:rPr>
        <w:t xml:space="preserve"> A2</w:t>
      </w:r>
      <w:r>
        <w:t> (par défaut)</w:t>
      </w:r>
      <w:r>
        <w:rPr>
          <w:rStyle w:val="optioncarChar"/>
        </w:rPr>
        <w:t xml:space="preserve"> / A4 / ***</w:t>
      </w:r>
    </w:p>
    <w:p w14:paraId="4681DF3A" w14:textId="77777777" w:rsidR="00DF410E" w:rsidRDefault="00DF410E">
      <w:pPr>
        <w:ind w:left="567"/>
        <w:jc w:val="both"/>
      </w:pPr>
    </w:p>
    <w:p w14:paraId="7F5D7BC6" w14:textId="77777777" w:rsidR="00DF410E" w:rsidRDefault="00CE7F43">
      <w:pPr>
        <w:jc w:val="both"/>
      </w:pPr>
      <w:r>
        <w:t>Suivant la [NBN EN 14592], la tolérance sur le diamètre des boulons est de +/- 2,5 % de la valeur déclarée.</w:t>
      </w:r>
    </w:p>
    <w:p w14:paraId="4062549D" w14:textId="77777777" w:rsidR="00DF410E" w:rsidRDefault="00CE7F43">
      <w:pPr>
        <w:pStyle w:val="pheading"/>
      </w:pPr>
      <w:r>
        <w:t>EXÉCUTION / MISE EN ŒUVRE</w:t>
      </w:r>
    </w:p>
    <w:p w14:paraId="1754E447" w14:textId="77777777" w:rsidR="00DF410E" w:rsidRDefault="00CE7F43">
      <w:pPr>
        <w:pStyle w:val="pheading"/>
      </w:pPr>
      <w:r>
        <w:t>- Prescriptions générales</w:t>
      </w:r>
    </w:p>
    <w:p w14:paraId="2EC63815" w14:textId="77777777" w:rsidR="00DF410E" w:rsidRDefault="00CE7F43">
      <w:pPr>
        <w:jc w:val="both"/>
      </w:pPr>
      <w:r>
        <w:rPr>
          <w:b/>
          <w:u w:val="single"/>
        </w:rPr>
        <w:t>Espacements et distances</w:t>
      </w:r>
    </w:p>
    <w:p w14:paraId="056251A1" w14:textId="77777777" w:rsidR="00DF410E" w:rsidRDefault="00CE7F43">
      <w:pPr>
        <w:jc w:val="both"/>
      </w:pPr>
      <w:r>
        <w:t xml:space="preserve">Les espacements et distances minimaux à respecter sont renseigner dans l’Eurocode 5 [NBN EN 1995-1-1], au </w:t>
      </w:r>
      <w:r>
        <w:rPr>
          <w:i/>
        </w:rPr>
        <w:t>tableau 8.4 – espacements et distances minimaux pour les boulons.</w:t>
      </w:r>
    </w:p>
    <w:p w14:paraId="27E2325B" w14:textId="77777777" w:rsidR="00DF410E" w:rsidRDefault="00CE7F43">
      <w:pPr>
        <w:jc w:val="both"/>
      </w:pPr>
      <w:r>
        <w:rPr>
          <w:b/>
          <w:u w:val="single"/>
        </w:rPr>
        <w:t>Positionnement</w:t>
      </w:r>
    </w:p>
    <w:p w14:paraId="2BB28E9F" w14:textId="77777777" w:rsidR="00DF410E" w:rsidRDefault="00CE7F43">
      <w:pPr>
        <w:jc w:val="both"/>
      </w:pPr>
      <w:r>
        <w:t>La position du boulon par rapport à son emplacement théorique doit être exacte à 5mm près. </w:t>
      </w:r>
    </w:p>
    <w:p w14:paraId="7C164120" w14:textId="77777777" w:rsidR="00DF410E" w:rsidRDefault="00CE7F43">
      <w:pPr>
        <w:jc w:val="both"/>
      </w:pPr>
      <w:r>
        <w:rPr>
          <w:b/>
          <w:u w:val="single"/>
        </w:rPr>
        <w:t>Pré percement des éléments</w:t>
      </w:r>
    </w:p>
    <w:p w14:paraId="7CCD60E2" w14:textId="77777777" w:rsidR="00DF410E" w:rsidRDefault="00CE7F43">
      <w:pPr>
        <w:jc w:val="both"/>
      </w:pPr>
      <w:r>
        <w:t>Les trous de boulons dans le bois ont un diamètre qui n’est pas supérieur de plus de 1 mm à celui du boulon.  Les trous de boulons dans les plaques métalliques ont un diamètre qui n’est pas supérieur de plus de 2 mm ou 0.1d (en considérant la valeur maximale) à celui du boulon.  </w:t>
      </w:r>
    </w:p>
    <w:p w14:paraId="6E0AAC78" w14:textId="77777777" w:rsidR="00DF410E" w:rsidRDefault="00CE7F43">
      <w:pPr>
        <w:jc w:val="both"/>
      </w:pPr>
      <w:r>
        <w:rPr>
          <w:b/>
          <w:u w:val="single"/>
        </w:rPr>
        <w:t>Rondelles</w:t>
      </w:r>
    </w:p>
    <w:p w14:paraId="2A8766DD" w14:textId="77777777" w:rsidR="00DF410E" w:rsidRDefault="00CE7F43">
      <w:pPr>
        <w:jc w:val="both"/>
      </w:pPr>
      <w:r>
        <w:t>Une rondelle est placée entre la tête du boulon et la pièce en bois. Une deuxième rondelle est placée entre l’écrou et la pièce en bois. Les rondelles ont un diamètre minimum de 3d (souvent 3,5d à 4d) et une épaisseur minimale de 0,3d. </w:t>
      </w:r>
    </w:p>
    <w:p w14:paraId="2781FC16" w14:textId="77777777" w:rsidR="00DF410E" w:rsidRDefault="00CE7F43">
      <w:pPr>
        <w:jc w:val="both"/>
      </w:pPr>
      <w:r>
        <w:rPr>
          <w:b/>
          <w:u w:val="single"/>
        </w:rPr>
        <w:t>Ajustement des boulons</w:t>
      </w:r>
    </w:p>
    <w:p w14:paraId="40B09CA0" w14:textId="77777777" w:rsidR="00DF410E" w:rsidRDefault="00CE7F43">
      <w:pPr>
        <w:jc w:val="both"/>
      </w:pPr>
      <w:r>
        <w:t>Les boulons sont ajustés de telle sorte que les éléments s’assemblent précisément.</w:t>
      </w:r>
    </w:p>
    <w:p w14:paraId="52758EA6" w14:textId="77777777" w:rsidR="00DF410E" w:rsidRDefault="00CE7F43">
      <w:pPr>
        <w:jc w:val="both"/>
      </w:pPr>
      <w:r>
        <w:t>Dans le cas où, lors de l’installation des boulons, le bois n’a pas atteint sa teneur en humidité d’équilibre, les boulons sont resserrés lorsque le bois a atteint sa teneur en humidité d’équilibre.</w:t>
      </w:r>
    </w:p>
    <w:p w14:paraId="02EE5F0F" w14:textId="77777777" w:rsidR="00DF410E" w:rsidRDefault="00CE7F43">
      <w:pPr>
        <w:pStyle w:val="pheading"/>
      </w:pPr>
      <w:r>
        <w:t>MESURAGE</w:t>
      </w:r>
    </w:p>
    <w:p w14:paraId="0DC17361" w14:textId="77777777" w:rsidR="00DF410E" w:rsidRDefault="00CE7F43">
      <w:pPr>
        <w:pStyle w:val="pheading"/>
      </w:pPr>
      <w:r>
        <w:t>- unité de mesure:</w:t>
      </w:r>
    </w:p>
    <w:p w14:paraId="51741B2B" w14:textId="77777777" w:rsidR="00DF410E" w:rsidRDefault="00CE7F43">
      <w:r>
        <w:rPr>
          <w:rStyle w:val="optioncarChar"/>
        </w:rPr>
        <w:t>- </w:t>
      </w:r>
      <w:r>
        <w:t>(par défaut) </w:t>
      </w:r>
      <w:r>
        <w:rPr>
          <w:rStyle w:val="optioncarChar"/>
        </w:rPr>
        <w:t>/ pc</w:t>
      </w:r>
    </w:p>
    <w:p w14:paraId="6E4323AC" w14:textId="77777777" w:rsidR="00DF410E" w:rsidRDefault="00CE7F43">
      <w:r>
        <w:rPr>
          <w:b/>
          <w:i/>
        </w:rPr>
        <w:t>(Soit par défaut)</w:t>
      </w:r>
    </w:p>
    <w:p w14:paraId="20BC82A2" w14:textId="77777777" w:rsidR="00DF410E" w:rsidRDefault="00CE7F43">
      <w:r>
        <w:rPr>
          <w:rStyle w:val="soitChar"/>
        </w:rPr>
        <w:t>1.     –</w:t>
      </w:r>
    </w:p>
    <w:p w14:paraId="7AEC5225" w14:textId="77777777" w:rsidR="00DF410E" w:rsidRDefault="00CE7F43">
      <w:r>
        <w:rPr>
          <w:b/>
          <w:i/>
        </w:rPr>
        <w:t>(Soit)</w:t>
      </w:r>
    </w:p>
    <w:p w14:paraId="571858B7" w14:textId="77777777" w:rsidR="00DF410E" w:rsidRDefault="00CE7F43">
      <w:r>
        <w:rPr>
          <w:rStyle w:val="soitChar"/>
        </w:rPr>
        <w:t>2.3.  pc</w:t>
      </w:r>
    </w:p>
    <w:p w14:paraId="5C10474F" w14:textId="77777777" w:rsidR="00DF410E" w:rsidRDefault="00CE7F43">
      <w:pPr>
        <w:pStyle w:val="pheading"/>
      </w:pPr>
      <w:r>
        <w:t>- code de mesurage:</w:t>
      </w:r>
    </w:p>
    <w:p w14:paraId="778C91F0" w14:textId="77777777" w:rsidR="00DF410E" w:rsidRDefault="00CE7F43">
      <w:r>
        <w:rPr>
          <w:rStyle w:val="optioncarChar"/>
        </w:rPr>
        <w:t>Compris </w:t>
      </w:r>
      <w:r>
        <w:t>(par défaut) </w:t>
      </w:r>
      <w:r>
        <w:rPr>
          <w:rStyle w:val="optioncarChar"/>
        </w:rPr>
        <w:t>/ Quantité nette</w:t>
      </w:r>
    </w:p>
    <w:p w14:paraId="66C7A822" w14:textId="77777777" w:rsidR="00DF410E" w:rsidRDefault="00CE7F43">
      <w:r>
        <w:rPr>
          <w:b/>
          <w:i/>
        </w:rPr>
        <w:t>(Soit par défaut)</w:t>
      </w:r>
    </w:p>
    <w:p w14:paraId="148A1B9D" w14:textId="77777777" w:rsidR="00DF410E" w:rsidRDefault="00CE7F43">
      <w:r>
        <w:rPr>
          <w:rStyle w:val="soitChar"/>
        </w:rPr>
        <w:t>1.   </w:t>
      </w:r>
      <w:r>
        <w:rPr>
          <w:rStyle w:val="soitChar"/>
          <w:u w:val="single"/>
        </w:rPr>
        <w:t>  Compris</w:t>
      </w:r>
      <w:r>
        <w:rPr>
          <w:rStyle w:val="soitChar"/>
        </w:rPr>
        <w:t> dans l’article de référence</w:t>
      </w:r>
      <w:r>
        <w:t> </w:t>
      </w:r>
      <w:r>
        <w:rPr>
          <w:rStyle w:val="optioncarChar"/>
        </w:rPr>
        <w:t>***</w:t>
      </w:r>
    </w:p>
    <w:p w14:paraId="115201CC" w14:textId="77777777" w:rsidR="00DF410E" w:rsidRDefault="00CE7F43">
      <w:r>
        <w:rPr>
          <w:b/>
          <w:i/>
        </w:rPr>
        <w:t>(Soit)</w:t>
      </w:r>
    </w:p>
    <w:p w14:paraId="121BA596"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49AC20FE" w14:textId="77777777" w:rsidR="00DF410E" w:rsidRDefault="00CE7F43">
      <w:pPr>
        <w:pStyle w:val="pheading"/>
      </w:pPr>
      <w:r>
        <w:t>- nature du marché:</w:t>
      </w:r>
    </w:p>
    <w:p w14:paraId="6B7A7E45" w14:textId="77777777" w:rsidR="00DF410E" w:rsidRDefault="00CE7F43">
      <w:r>
        <w:rPr>
          <w:rStyle w:val="optioncarChar"/>
        </w:rPr>
        <w:t>PM </w:t>
      </w:r>
      <w:r>
        <w:t>(par défaut) </w:t>
      </w:r>
      <w:r>
        <w:rPr>
          <w:rStyle w:val="optioncarChar"/>
        </w:rPr>
        <w:t>/ QF / QP</w:t>
      </w:r>
    </w:p>
    <w:p w14:paraId="554B20A4" w14:textId="77777777" w:rsidR="00DF410E" w:rsidRDefault="00CE7F43">
      <w:r>
        <w:rPr>
          <w:b/>
          <w:i/>
        </w:rPr>
        <w:t>(Soit par défaut)</w:t>
      </w:r>
    </w:p>
    <w:p w14:paraId="3E300BEB" w14:textId="77777777" w:rsidR="00DF410E" w:rsidRDefault="00CE7F43">
      <w:r>
        <w:rPr>
          <w:rStyle w:val="soitChar"/>
        </w:rPr>
        <w:t>1.     PM</w:t>
      </w:r>
    </w:p>
    <w:p w14:paraId="54461621" w14:textId="77777777" w:rsidR="00DF410E" w:rsidRDefault="00CE7F43">
      <w:r>
        <w:rPr>
          <w:b/>
          <w:i/>
        </w:rPr>
        <w:t>(Soit)</w:t>
      </w:r>
    </w:p>
    <w:p w14:paraId="1FCBCF13" w14:textId="77777777" w:rsidR="00DF410E" w:rsidRDefault="00CE7F43">
      <w:r>
        <w:rPr>
          <w:rStyle w:val="soitChar"/>
        </w:rPr>
        <w:t>2.     QF</w:t>
      </w:r>
    </w:p>
    <w:p w14:paraId="68D3D2A2" w14:textId="77777777" w:rsidR="00DF410E" w:rsidRDefault="00CE7F43">
      <w:r>
        <w:rPr>
          <w:b/>
          <w:i/>
        </w:rPr>
        <w:t>(Soit)</w:t>
      </w:r>
    </w:p>
    <w:p w14:paraId="21447CAD" w14:textId="77777777" w:rsidR="00DF410E" w:rsidRDefault="00CE7F43">
      <w:r>
        <w:rPr>
          <w:rStyle w:val="soitChar"/>
        </w:rPr>
        <w:t>3.     QP</w:t>
      </w:r>
    </w:p>
    <w:p w14:paraId="5B6FBAEF" w14:textId="77777777" w:rsidR="00DF410E" w:rsidRDefault="00CE7F43">
      <w:pPr>
        <w:pStyle w:val="Author-eSectionHeading6"/>
      </w:pPr>
      <w:bookmarkStart w:id="1734" w:name="_Toc178838810"/>
      <w:r>
        <w:t>24.42.1d Assemblages par tiges - vis CCTB 01.11</w:t>
      </w:r>
      <w:bookmarkEnd w:id="1734"/>
    </w:p>
    <w:p w14:paraId="6863449A" w14:textId="77777777" w:rsidR="00DF410E" w:rsidRDefault="00CE7F43">
      <w:pPr>
        <w:pStyle w:val="pheading"/>
      </w:pPr>
      <w:bookmarkStart w:id="1735" w:name="580"/>
      <w:bookmarkEnd w:id="1735"/>
      <w:r>
        <w:t>DESCRIPTION</w:t>
      </w:r>
    </w:p>
    <w:p w14:paraId="434BC9B9" w14:textId="77777777" w:rsidR="00DF410E" w:rsidRDefault="00CE7F43">
      <w:pPr>
        <w:pStyle w:val="pheading"/>
      </w:pPr>
      <w:r>
        <w:t>- Définition / Comprend</w:t>
      </w:r>
    </w:p>
    <w:p w14:paraId="4D8688C3" w14:textId="77777777" w:rsidR="00DF410E" w:rsidRDefault="00CE7F43">
      <w:pPr>
        <w:jc w:val="both"/>
      </w:pPr>
      <w:r>
        <w:t>Il s’agit des différentes sortes de vis de charpente ; chacune de celles-ci a une application bien spécifique. Les résistances et les raideurs des vis sont très variables et peuvent atteindre des valeurs relativement élevées.</w:t>
      </w:r>
    </w:p>
    <w:p w14:paraId="3D39706A" w14:textId="77777777" w:rsidR="00DF410E" w:rsidRDefault="00CE7F43">
      <w:pPr>
        <w:jc w:val="both"/>
      </w:pPr>
      <w:r>
        <w:t>Les plus courantes sont les vis auto-taraudeuses à tête fraisée :</w:t>
      </w:r>
    </w:p>
    <w:p w14:paraId="5F9A6899" w14:textId="77777777" w:rsidR="00DF410E" w:rsidRDefault="00CE7F43">
      <w:pPr>
        <w:jc w:val="both"/>
      </w:pPr>
      <w:r>
        <w:rPr>
          <w:noProof/>
        </w:rPr>
        <w:drawing>
          <wp:anchor distT="0" distB="0" distL="0" distR="0" simplePos="0" relativeHeight="251654656" behindDoc="0" locked="0" layoutInCell="1" allowOverlap="0" wp14:anchorId="7858FA9A" wp14:editId="0892E6FA">
            <wp:simplePos x="0" y="0"/>
            <wp:positionH relativeFrom="column">
              <wp:align>center</wp:align>
            </wp:positionH>
            <wp:positionV relativeFrom="line">
              <wp:align>top</wp:align>
            </wp:positionV>
            <wp:extent cx="4286250" cy="1143000"/>
            <wp:effectExtent l="0" t="0" r="0" b="0"/>
            <wp:wrapTopAndBottom/>
            <wp:docPr id="21" name="24.42.1d.jpg" descr="24.4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1" descr="24.42.1d.jpg"/>
                    <pic:cNvPicPr>
                      <a:picLocks noChangeAspect="1" noChangeArrowheads="1"/>
                    </pic:cNvPicPr>
                  </pic:nvPicPr>
                  <pic:blipFill>
                    <a:blip r:embed="rId336"/>
                    <a:srcRect/>
                    <a:stretch>
                      <a:fillRect/>
                    </a:stretch>
                  </pic:blipFill>
                  <pic:spPr bwMode="auto">
                    <a:xfrm>
                      <a:off x="0" y="0"/>
                      <a:ext cx="4286250" cy="1143000"/>
                    </a:xfrm>
                    <a:prstGeom prst="rect">
                      <a:avLst/>
                    </a:prstGeom>
                  </pic:spPr>
                </pic:pic>
              </a:graphicData>
            </a:graphic>
          </wp:anchor>
        </w:drawing>
      </w:r>
    </w:p>
    <w:p w14:paraId="41ABAA78" w14:textId="77777777" w:rsidR="00DF410E" w:rsidRDefault="00CE7F43">
      <w:pPr>
        <w:jc w:val="both"/>
      </w:pPr>
      <w:r>
        <w:t>Les vis à filetage total sont aussi de plus en plus utilisées</w:t>
      </w:r>
    </w:p>
    <w:p w14:paraId="71B7A538" w14:textId="77777777" w:rsidR="00DF410E" w:rsidRDefault="00CE7F43">
      <w:pPr>
        <w:jc w:val="both"/>
      </w:pPr>
      <w:r>
        <w:rPr>
          <w:noProof/>
        </w:rPr>
        <w:drawing>
          <wp:anchor distT="0" distB="0" distL="0" distR="0" simplePos="0" relativeHeight="251655680" behindDoc="0" locked="0" layoutInCell="1" allowOverlap="0" wp14:anchorId="06B3B035" wp14:editId="367B9B40">
            <wp:simplePos x="0" y="0"/>
            <wp:positionH relativeFrom="column">
              <wp:align>center</wp:align>
            </wp:positionH>
            <wp:positionV relativeFrom="line">
              <wp:align>top</wp:align>
            </wp:positionV>
            <wp:extent cx="4286250" cy="3219450"/>
            <wp:effectExtent l="0" t="0" r="0" b="0"/>
            <wp:wrapTopAndBottom/>
            <wp:docPr id="1472684316" name="24.42.1d2.jpg" descr="24.42.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2" descr="24.42.1d2.jpg"/>
                    <pic:cNvPicPr>
                      <a:picLocks noChangeAspect="1" noChangeArrowheads="1"/>
                    </pic:cNvPicPr>
                  </pic:nvPicPr>
                  <pic:blipFill>
                    <a:blip r:embed="rId337"/>
                    <a:srcRect/>
                    <a:stretch>
                      <a:fillRect/>
                    </a:stretch>
                  </pic:blipFill>
                  <pic:spPr bwMode="auto">
                    <a:xfrm>
                      <a:off x="0" y="0"/>
                      <a:ext cx="4286250" cy="3219450"/>
                    </a:xfrm>
                    <a:prstGeom prst="rect">
                      <a:avLst/>
                    </a:prstGeom>
                  </pic:spPr>
                </pic:pic>
              </a:graphicData>
            </a:graphic>
          </wp:anchor>
        </w:drawing>
      </w:r>
    </w:p>
    <w:p w14:paraId="2D4A3734" w14:textId="77777777" w:rsidR="00DF410E" w:rsidRDefault="00CE7F43">
      <w:pPr>
        <w:jc w:val="both"/>
      </w:pPr>
      <w:r>
        <w:t>La connexion d’éléments en acier avec du bois n’est pas possible avec toutes les vis et est liée à  des prescriptions de mise en œuvre particulières.</w:t>
      </w:r>
    </w:p>
    <w:p w14:paraId="13348210" w14:textId="77777777" w:rsidR="00DF410E" w:rsidRDefault="00CE7F43">
      <w:pPr>
        <w:jc w:val="both"/>
      </w:pPr>
      <w:r>
        <w:t>On veille à se référer aux documents techniques et prescriptions fournies par le fabricant (entre-axes, règle de pré-perçage, règles de mise en œuvre, etc.).</w:t>
      </w:r>
    </w:p>
    <w:p w14:paraId="606E4DD1" w14:textId="77777777" w:rsidR="00DF410E" w:rsidRDefault="00CE7F43">
      <w:pPr>
        <w:jc w:val="both"/>
      </w:pPr>
      <w:r>
        <w:rPr>
          <w:b/>
        </w:rPr>
        <w:t>Remarques importantes</w:t>
      </w:r>
    </w:p>
    <w:p w14:paraId="02AC3900" w14:textId="77777777" w:rsidR="00DF410E" w:rsidRDefault="00CE7F43">
      <w:pPr>
        <w:jc w:val="both"/>
      </w:pPr>
      <w:r>
        <w:t>Les vis utilisées respectent en tout point la norme harmonisée [NBN EN 14592] et disposent du marquage CE suivant celle-ci.</w:t>
      </w:r>
    </w:p>
    <w:p w14:paraId="241361F6" w14:textId="77777777" w:rsidR="00DF410E" w:rsidRDefault="00CE7F43">
      <w:pPr>
        <w:jc w:val="both"/>
      </w:pPr>
      <w:r>
        <w:t>L’étude d’une connexion par vis se fait soit par calculs suivant les principes décrits dans l’Eurocode 5 ([NBN EN 1995-1-1]), soit sur base d’essais réalisés conformément à la [NBN EN 1380].</w:t>
      </w:r>
    </w:p>
    <w:p w14:paraId="16A1CD40" w14:textId="77777777" w:rsidR="00DF410E" w:rsidRDefault="00CE7F43">
      <w:pPr>
        <w:pStyle w:val="pheading"/>
      </w:pPr>
      <w:r>
        <w:t>MATÉRIAUX</w:t>
      </w:r>
    </w:p>
    <w:p w14:paraId="584BC12D" w14:textId="77777777" w:rsidR="00DF410E" w:rsidRDefault="00CE7F43">
      <w:pPr>
        <w:pStyle w:val="pheading"/>
      </w:pPr>
      <w:r>
        <w:t>- Caractéristiques générales</w:t>
      </w:r>
    </w:p>
    <w:p w14:paraId="6D3ECCA3" w14:textId="77777777" w:rsidR="00DF410E" w:rsidRDefault="00CE7F43">
      <w:pPr>
        <w:jc w:val="both"/>
      </w:pPr>
      <w:r>
        <w:rPr>
          <w:b/>
          <w:u w:val="single"/>
        </w:rPr>
        <w:t>Géométrie</w:t>
      </w:r>
    </w:p>
    <w:p w14:paraId="1D3D7BA2" w14:textId="77777777" w:rsidR="00DF410E" w:rsidRDefault="00CE7F43">
      <w:pPr>
        <w:jc w:val="both"/>
      </w:pPr>
      <w:r>
        <w:t xml:space="preserve">Forme de la tête : </w:t>
      </w:r>
      <w:r>
        <w:rPr>
          <w:rStyle w:val="optioncarChar"/>
        </w:rPr>
        <w:t>conique </w:t>
      </w:r>
      <w:r>
        <w:t>(par défaut)</w:t>
      </w:r>
      <w:r>
        <w:rPr>
          <w:rStyle w:val="optioncarChar"/>
        </w:rPr>
        <w:t xml:space="preserve"> / demi-ronde / carrée / hexagonale / ***</w:t>
      </w:r>
    </w:p>
    <w:p w14:paraId="5ABCB76A" w14:textId="77777777" w:rsidR="00DF410E" w:rsidRDefault="00CE7F43">
      <w:pPr>
        <w:jc w:val="both"/>
      </w:pPr>
      <w:r>
        <w:t xml:space="preserve">Longueur de la vis : </w:t>
      </w:r>
      <w:r>
        <w:rPr>
          <w:rStyle w:val="optioncarChar"/>
        </w:rPr>
        <w:t>***</w:t>
      </w:r>
    </w:p>
    <w:p w14:paraId="14D534E1" w14:textId="77777777" w:rsidR="00DF410E" w:rsidRDefault="00CE7F43">
      <w:pPr>
        <w:jc w:val="both"/>
      </w:pPr>
      <w:r>
        <w:t xml:space="preserve">Longueur du filetage : </w:t>
      </w:r>
      <w:r>
        <w:rPr>
          <w:rStyle w:val="optioncarChar"/>
        </w:rPr>
        <w:t>***</w:t>
      </w:r>
    </w:p>
    <w:p w14:paraId="525A4745" w14:textId="77777777" w:rsidR="00DF410E" w:rsidRDefault="00CE7F43">
      <w:pPr>
        <w:jc w:val="both"/>
      </w:pPr>
      <w:r>
        <w:t xml:space="preserve">Diamètre nominale (diamètre extérieur du filetage), d : </w:t>
      </w:r>
      <w:r>
        <w:rPr>
          <w:rStyle w:val="optioncarChar"/>
        </w:rPr>
        <w:t>***</w:t>
      </w:r>
    </w:p>
    <w:p w14:paraId="6C6D105C" w14:textId="77777777" w:rsidR="00DF410E" w:rsidRDefault="00CE7F43">
      <w:pPr>
        <w:jc w:val="both"/>
      </w:pPr>
      <w:r>
        <w:t xml:space="preserve">Diamètre de la partie lisse : </w:t>
      </w:r>
      <w:r>
        <w:rPr>
          <w:rStyle w:val="optioncarChar"/>
        </w:rPr>
        <w:t>***</w:t>
      </w:r>
    </w:p>
    <w:p w14:paraId="2F1981A6" w14:textId="77777777" w:rsidR="00DF410E" w:rsidRDefault="00CE7F43">
      <w:pPr>
        <w:jc w:val="both"/>
      </w:pPr>
      <w:r>
        <w:t xml:space="preserve">Diamètre de la tête de vis : </w:t>
      </w:r>
      <w:r>
        <w:rPr>
          <w:rStyle w:val="optioncarChar"/>
        </w:rPr>
        <w:t>***</w:t>
      </w:r>
    </w:p>
    <w:p w14:paraId="008F8A43" w14:textId="77777777" w:rsidR="00DF410E" w:rsidRDefault="00DF410E">
      <w:pPr>
        <w:jc w:val="both"/>
      </w:pPr>
    </w:p>
    <w:p w14:paraId="1DB7CE5C" w14:textId="77777777" w:rsidR="00DF410E" w:rsidRDefault="00CE7F43">
      <w:pPr>
        <w:jc w:val="both"/>
      </w:pPr>
      <w:r>
        <w:t xml:space="preserve">Matériau constituant les vis : </w:t>
      </w:r>
      <w:r>
        <w:rPr>
          <w:rStyle w:val="optioncarChar"/>
        </w:rPr>
        <w:t xml:space="preserve">acier au carbone ou acier allié </w:t>
      </w:r>
      <w:r>
        <w:t xml:space="preserve">(par défaut) </w:t>
      </w:r>
      <w:r>
        <w:rPr>
          <w:rStyle w:val="optioncarChar"/>
        </w:rPr>
        <w:t>/ acier inoxydable</w:t>
      </w:r>
    </w:p>
    <w:p w14:paraId="2F7464BC" w14:textId="77777777" w:rsidR="00DF410E" w:rsidRDefault="00CE7F43">
      <w:pPr>
        <w:ind w:left="567"/>
        <w:jc w:val="both"/>
      </w:pPr>
      <w:r>
        <w:rPr>
          <w:b/>
          <w:i/>
        </w:rPr>
        <w:t>(Soit par défaut)</w:t>
      </w:r>
    </w:p>
    <w:p w14:paraId="1F493FF3" w14:textId="77777777" w:rsidR="00DF410E" w:rsidRDefault="00CE7F43">
      <w:pPr>
        <w:ind w:left="567"/>
        <w:jc w:val="both"/>
      </w:pPr>
      <w:r>
        <w:rPr>
          <w:rStyle w:val="soitChar"/>
          <w:u w:val="single"/>
        </w:rPr>
        <w:t>Acier au carbone ou acier allié</w:t>
      </w:r>
    </w:p>
    <w:p w14:paraId="58271F96" w14:textId="77777777" w:rsidR="00DF410E" w:rsidRDefault="00CE7F43">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 f</w:t>
      </w:r>
      <w:r>
        <w:rPr>
          <w:rStyle w:val="soitChar"/>
          <w:vertAlign w:val="subscript"/>
        </w:rPr>
        <w:t>y</w:t>
      </w:r>
      <w:r>
        <w:rPr>
          <w:rStyle w:val="soitChar"/>
        </w:rPr>
        <w:t xml:space="preserve"> = </w:t>
      </w:r>
      <w:r>
        <w:rPr>
          <w:rStyle w:val="optioncarChar"/>
        </w:rPr>
        <w:t>***</w:t>
      </w:r>
    </w:p>
    <w:p w14:paraId="6FF39891" w14:textId="77777777" w:rsidR="00DF410E" w:rsidRDefault="00CE7F43">
      <w:pPr>
        <w:ind w:left="567"/>
        <w:jc w:val="both"/>
      </w:pPr>
      <w:r>
        <w:rPr>
          <w:rStyle w:val="soitChar"/>
        </w:rPr>
        <w:t xml:space="preserve">Mesure de protection contre la corrosion selon [NBN EN 10346] pour une galvanisation : </w:t>
      </w:r>
      <w:r>
        <w:rPr>
          <w:rStyle w:val="optioncarChar"/>
        </w:rPr>
        <w:t xml:space="preserve">aucune / Z275 </w:t>
      </w:r>
      <w:r>
        <w:t xml:space="preserve">(par défaut) </w:t>
      </w:r>
      <w:r>
        <w:rPr>
          <w:rStyle w:val="optioncarChar"/>
        </w:rPr>
        <w:t>/ Z350 / ***</w:t>
      </w:r>
    </w:p>
    <w:p w14:paraId="6F30D760" w14:textId="77777777" w:rsidR="00DF410E" w:rsidRDefault="00CE7F43">
      <w:pPr>
        <w:ind w:left="567"/>
        <w:jc w:val="both"/>
      </w:pPr>
      <w:r>
        <w:rPr>
          <w:b/>
          <w:i/>
        </w:rPr>
        <w:t>(Soit)</w:t>
      </w:r>
    </w:p>
    <w:p w14:paraId="3FC382E0" w14:textId="77777777" w:rsidR="00DF410E" w:rsidRDefault="00CE7F43">
      <w:pPr>
        <w:ind w:left="567"/>
        <w:jc w:val="both"/>
      </w:pPr>
      <w:r>
        <w:rPr>
          <w:rStyle w:val="soitChar"/>
          <w:u w:val="single"/>
        </w:rPr>
        <w:t>Acier inoxydable</w:t>
      </w:r>
    </w:p>
    <w:p w14:paraId="4A808EBC" w14:textId="77777777" w:rsidR="00DF410E" w:rsidRDefault="00CE7F43">
      <w:pPr>
        <w:ind w:left="567"/>
        <w:jc w:val="both"/>
      </w:pPr>
      <w:r>
        <w:rPr>
          <w:rStyle w:val="soitChar"/>
        </w:rPr>
        <w:t xml:space="preserve">Nuance d’acier inoxydable selon [NBN EN ISO 3506-1] : </w:t>
      </w:r>
      <w:r>
        <w:rPr>
          <w:rStyle w:val="optioncarChar"/>
        </w:rPr>
        <w:t>A2 </w:t>
      </w:r>
      <w:r>
        <w:t>(par défaut)</w:t>
      </w:r>
      <w:r>
        <w:rPr>
          <w:rStyle w:val="optioncarChar"/>
        </w:rPr>
        <w:t xml:space="preserve"> / A4 / ***</w:t>
      </w:r>
    </w:p>
    <w:p w14:paraId="40F0A773" w14:textId="77777777" w:rsidR="00DF410E" w:rsidRDefault="00CE7F43">
      <w:pPr>
        <w:pStyle w:val="pheading"/>
      </w:pPr>
      <w:r>
        <w:t>EXÉCUTION / MISE EN ŒUVRE</w:t>
      </w:r>
    </w:p>
    <w:p w14:paraId="6B54C8DB" w14:textId="77777777" w:rsidR="00DF410E" w:rsidRDefault="00CE7F43">
      <w:pPr>
        <w:pStyle w:val="pheading"/>
      </w:pPr>
      <w:r>
        <w:t>- Prescriptions générales</w:t>
      </w:r>
    </w:p>
    <w:p w14:paraId="2EAA70D9" w14:textId="77777777" w:rsidR="00DF410E" w:rsidRDefault="00CE7F43">
      <w:pPr>
        <w:jc w:val="both"/>
      </w:pPr>
      <w:r>
        <w:rPr>
          <w:b/>
          <w:u w:val="single"/>
        </w:rPr>
        <w:t>Préperçage des éléments</w:t>
      </w:r>
    </w:p>
    <w:p w14:paraId="5BB7EEE6" w14:textId="77777777" w:rsidR="00DF410E" w:rsidRDefault="00CE7F43">
      <w:pPr>
        <w:jc w:val="both"/>
      </w:pPr>
      <w:r>
        <w:t>Pour les vis dans les résineux avec un diamètre de partie lisse ≤ 6mm, les avant-trous ne sont pas exigés. Si un avant trou est réalisé, il est plus petit que 80% du diamètre nominal de la vis.</w:t>
      </w:r>
    </w:p>
    <w:p w14:paraId="3A54E4FE" w14:textId="77777777" w:rsidR="00DF410E" w:rsidRDefault="00CE7F43">
      <w:pPr>
        <w:jc w:val="both"/>
      </w:pPr>
      <w:r>
        <w:t>Pour toutes les vis dans les bois feuillus et pour celles dans les bois résineux dont le diamètre de la partie lisse est supérieur à 6mm, un avant-trou est exigé, avec les exigences suivantes :</w:t>
      </w:r>
    </w:p>
    <w:p w14:paraId="65E1AC47" w14:textId="77777777" w:rsidR="00DF410E" w:rsidRDefault="00CE7F43">
      <w:pPr>
        <w:pStyle w:val="Author-eListParagraph"/>
        <w:numPr>
          <w:ilvl w:val="0"/>
          <w:numId w:val="1057"/>
        </w:numPr>
      </w:pPr>
      <w:r>
        <w:t>Le trou de guidage de la partie lisse a le même diamètre et la même longueur que la partie lisse de la vis.</w:t>
      </w:r>
    </w:p>
    <w:p w14:paraId="1D9B0EFD" w14:textId="77777777" w:rsidR="00DF410E" w:rsidRDefault="00CE7F43">
      <w:pPr>
        <w:pStyle w:val="Author-eListParagraph"/>
        <w:numPr>
          <w:ilvl w:val="0"/>
          <w:numId w:val="1057"/>
        </w:numPr>
      </w:pPr>
      <w:r>
        <w:t>Le trou de guidage pour la partie filetée a un diamètre compris entre 65 et 75% du diamètre de la partie lisse.</w:t>
      </w:r>
    </w:p>
    <w:p w14:paraId="609AC8AA" w14:textId="77777777" w:rsidR="00DF410E" w:rsidRDefault="00CE7F43">
      <w:pPr>
        <w:jc w:val="both"/>
      </w:pPr>
      <w:r>
        <w:t>Si la masse volumique d’un des éléments en bois assemblés dépasse 500kg/m³, le diamètre d’avant trou est déterminé par essais.</w:t>
      </w:r>
    </w:p>
    <w:p w14:paraId="2D1109E9" w14:textId="77777777" w:rsidR="00DF410E" w:rsidRDefault="00CE7F43">
      <w:pPr>
        <w:jc w:val="both"/>
      </w:pPr>
      <w:r>
        <w:rPr>
          <w:b/>
          <w:u w:val="single"/>
        </w:rPr>
        <w:t>Pénétration minimale des vis</w:t>
      </w:r>
    </w:p>
    <w:p w14:paraId="01B5F58F" w14:textId="77777777" w:rsidR="00DF410E" w:rsidRDefault="00CE7F43">
      <w:pPr>
        <w:jc w:val="both"/>
      </w:pPr>
      <w:r>
        <w:t>Les exigences de pénétration dépendent du mode de chargement de la vis. Si la vis est soumise à une combinaison de charges axiale et latérale, les exigences des deux modes de chargement doivent être satisfaites.</w:t>
      </w:r>
    </w:p>
    <w:p w14:paraId="3C9A0E1F" w14:textId="77777777" w:rsidR="00DF410E" w:rsidRDefault="00CE7F43">
      <w:pPr>
        <w:ind w:left="567"/>
        <w:jc w:val="both"/>
      </w:pPr>
      <w:r>
        <w:rPr>
          <w:u w:val="single"/>
        </w:rPr>
        <w:t>Vis chargées latéralement</w:t>
      </w:r>
      <w:r>
        <w:t>Sauf spécification contraire au cahier spécial des charges ou dans l’étude de l’assemblage, la partie lisse pénètre l’élément contenant la pointe d’au minimum 4 fois le diamètre de la partie lisse.</w:t>
      </w:r>
    </w:p>
    <w:p w14:paraId="7D1C8451" w14:textId="77777777" w:rsidR="00DF410E" w:rsidRDefault="00CE7F43">
      <w:pPr>
        <w:ind w:left="567"/>
        <w:jc w:val="both"/>
      </w:pPr>
      <w:r>
        <w:rPr>
          <w:u w:val="single"/>
        </w:rPr>
        <w:t>Vis chargées axialement</w:t>
      </w:r>
      <w:r>
        <w:t>La longueur de pénétration minimale de la partie filetée dans l’élément contenant la pointe est de 6 fois le diamètre extérieur de la partie filetée.</w:t>
      </w:r>
    </w:p>
    <w:p w14:paraId="4A0D0C17" w14:textId="77777777" w:rsidR="00DF410E" w:rsidRDefault="00CE7F43">
      <w:pPr>
        <w:jc w:val="both"/>
      </w:pPr>
      <w:r>
        <w:rPr>
          <w:b/>
          <w:u w:val="single"/>
        </w:rPr>
        <w:t>Espacements et distances</w:t>
      </w:r>
    </w:p>
    <w:p w14:paraId="7195A126" w14:textId="77777777" w:rsidR="00DF410E" w:rsidRDefault="00CE7F43">
      <w:pPr>
        <w:jc w:val="both"/>
      </w:pPr>
      <w:r>
        <w:t>Les exigences d’espacements des vis entre elles et de distances de celles-ci par rapport aux bords des éléments dépendent du mode de chargement de la vis. Si les vis sont soumises à une combinaison de charges axiale et latérale, les exigences des deux modes de chargement doivent être satisfaites.</w:t>
      </w:r>
    </w:p>
    <w:p w14:paraId="145423FF" w14:textId="77777777" w:rsidR="00DF410E" w:rsidRDefault="00CE7F43">
      <w:pPr>
        <w:ind w:left="567"/>
        <w:jc w:val="both"/>
      </w:pPr>
      <w:r>
        <w:rPr>
          <w:u w:val="single"/>
        </w:rPr>
        <w:t>Vis chargées latéralement</w:t>
      </w:r>
    </w:p>
    <w:p w14:paraId="7AF5A468" w14:textId="77777777" w:rsidR="00DF410E" w:rsidRDefault="00CE7F43">
      <w:pPr>
        <w:pStyle w:val="Author-eListParagraph"/>
        <w:numPr>
          <w:ilvl w:val="1"/>
          <w:numId w:val="1058"/>
        </w:numPr>
      </w:pPr>
      <w:r>
        <w:t xml:space="preserve">Si les vis ont un diamètre inférieur ou égal à 6mm, les espacements et distances prescrites à l’article </w:t>
      </w:r>
      <w:hyperlink w:anchor="630" w:history="1">
        <w:r>
          <w:t>24.42.1a Assemblages par tiges - clous</w:t>
        </w:r>
      </w:hyperlink>
      <w:r>
        <w:t xml:space="preserve"> doivent être suivies.</w:t>
      </w:r>
    </w:p>
    <w:p w14:paraId="3CB12184" w14:textId="77777777" w:rsidR="00DF410E" w:rsidRDefault="00CE7F43">
      <w:pPr>
        <w:pStyle w:val="Author-eListParagraph"/>
        <w:numPr>
          <w:ilvl w:val="1"/>
          <w:numId w:val="1058"/>
        </w:numPr>
      </w:pPr>
      <w:r>
        <w:t xml:space="preserve">Si les vis ont un diamètre supérieur à 6mm, les espacements et distances prescrites à l’article </w:t>
      </w:r>
      <w:hyperlink w:anchor="631" w:history="1">
        <w:r>
          <w:t>24.42.1c Assemblages par tiges - boulons</w:t>
        </w:r>
      </w:hyperlink>
      <w:r>
        <w:t xml:space="preserve"> doivent être suivies.</w:t>
      </w:r>
    </w:p>
    <w:p w14:paraId="725FA8FB" w14:textId="77777777" w:rsidR="00DF410E" w:rsidRDefault="00CE7F43">
      <w:pPr>
        <w:ind w:left="567"/>
        <w:jc w:val="both"/>
      </w:pPr>
      <w:r>
        <w:rPr>
          <w:u w:val="single"/>
        </w:rPr>
        <w:t>Vis chargées axialement</w:t>
      </w:r>
    </w:p>
    <w:p w14:paraId="5AE291D4" w14:textId="77777777" w:rsidR="00DF410E" w:rsidRDefault="00CE7F43">
      <w:pPr>
        <w:ind w:left="567"/>
        <w:jc w:val="both"/>
      </w:pPr>
      <w:r>
        <w:t xml:space="preserve">Les espacements et distances pour les vis chargées axialement sont données au </w:t>
      </w:r>
      <w:r>
        <w:rPr>
          <w:i/>
        </w:rPr>
        <w:t>tableau 8.6 de l’annexe 1</w:t>
      </w:r>
      <w:r>
        <w:t xml:space="preserve"> à l’Eurocode 5 ([NBN EN 1995-1-1/A1]).</w:t>
      </w:r>
    </w:p>
    <w:p w14:paraId="41015A8A" w14:textId="77777777" w:rsidR="00DF410E" w:rsidRDefault="00CE7F43">
      <w:pPr>
        <w:jc w:val="both"/>
      </w:pPr>
      <w:r>
        <w:rPr>
          <w:b/>
          <w:u w:val="single"/>
        </w:rPr>
        <w:t>Ajustement des vis</w:t>
      </w:r>
    </w:p>
    <w:p w14:paraId="6BFB48E1" w14:textId="77777777" w:rsidR="00DF410E" w:rsidRDefault="00CE7F43">
      <w:pPr>
        <w:jc w:val="both"/>
      </w:pPr>
      <w:r>
        <w:t>Les vis sont ajustées de telle sorte que les éléments s’assemblent précisément.</w:t>
      </w:r>
    </w:p>
    <w:p w14:paraId="2227DD65" w14:textId="77777777" w:rsidR="00DF410E" w:rsidRDefault="00CE7F43">
      <w:pPr>
        <w:jc w:val="both"/>
      </w:pPr>
      <w:r>
        <w:t>Dans le cas où, lors de l’installation des vis le bois n’a pas atteint sa teneur en humidité d’équilibre, les vis sont resserrées lorsque le bois a atteint sa teneur en humidité d’équilibre.</w:t>
      </w:r>
    </w:p>
    <w:p w14:paraId="6E6536B1" w14:textId="77777777" w:rsidR="00DF410E" w:rsidRDefault="00CE7F43">
      <w:pPr>
        <w:pStyle w:val="pheading"/>
      </w:pPr>
      <w:r>
        <w:t>MESURAGE</w:t>
      </w:r>
    </w:p>
    <w:p w14:paraId="3BF01DAF" w14:textId="77777777" w:rsidR="00DF410E" w:rsidRDefault="00CE7F43">
      <w:pPr>
        <w:pStyle w:val="pheading"/>
      </w:pPr>
      <w:r>
        <w:t>- unité de mesure:</w:t>
      </w:r>
    </w:p>
    <w:p w14:paraId="05AFA64F" w14:textId="77777777" w:rsidR="00DF410E" w:rsidRDefault="00CE7F43">
      <w:r>
        <w:rPr>
          <w:rStyle w:val="optioncarChar"/>
        </w:rPr>
        <w:t>- </w:t>
      </w:r>
      <w:r>
        <w:t>(par défaut) </w:t>
      </w:r>
      <w:r>
        <w:rPr>
          <w:rStyle w:val="optioncarChar"/>
        </w:rPr>
        <w:t>/ pc</w:t>
      </w:r>
    </w:p>
    <w:p w14:paraId="3E8BCF1C" w14:textId="77777777" w:rsidR="00DF410E" w:rsidRDefault="00CE7F43">
      <w:r>
        <w:rPr>
          <w:b/>
          <w:i/>
        </w:rPr>
        <w:t>(Soit par défaut)</w:t>
      </w:r>
    </w:p>
    <w:p w14:paraId="149537AC" w14:textId="77777777" w:rsidR="00DF410E" w:rsidRDefault="00CE7F43">
      <w:r>
        <w:rPr>
          <w:rStyle w:val="soitChar"/>
        </w:rPr>
        <w:t>1.     –</w:t>
      </w:r>
    </w:p>
    <w:p w14:paraId="3B857470" w14:textId="77777777" w:rsidR="00DF410E" w:rsidRDefault="00CE7F43">
      <w:r>
        <w:rPr>
          <w:b/>
          <w:i/>
        </w:rPr>
        <w:t>(Soit)</w:t>
      </w:r>
    </w:p>
    <w:p w14:paraId="09D0B3F3" w14:textId="77777777" w:rsidR="00DF410E" w:rsidRDefault="00CE7F43">
      <w:r>
        <w:rPr>
          <w:rStyle w:val="soitChar"/>
        </w:rPr>
        <w:t>2.3.  pc</w:t>
      </w:r>
    </w:p>
    <w:p w14:paraId="26941ACA" w14:textId="77777777" w:rsidR="00DF410E" w:rsidRDefault="00CE7F43">
      <w:pPr>
        <w:pStyle w:val="pheading"/>
      </w:pPr>
      <w:r>
        <w:t>- code de mesurage:</w:t>
      </w:r>
    </w:p>
    <w:p w14:paraId="1AD482FD" w14:textId="77777777" w:rsidR="00DF410E" w:rsidRDefault="00CE7F43">
      <w:r>
        <w:rPr>
          <w:rStyle w:val="optioncarChar"/>
        </w:rPr>
        <w:t>Compris </w:t>
      </w:r>
      <w:r>
        <w:t>(par défaut)</w:t>
      </w:r>
      <w:r>
        <w:rPr>
          <w:rStyle w:val="optioncarChar"/>
        </w:rPr>
        <w:t> / Quantité nette</w:t>
      </w:r>
    </w:p>
    <w:p w14:paraId="65B1E1F3" w14:textId="77777777" w:rsidR="00DF410E" w:rsidRDefault="00CE7F43">
      <w:r>
        <w:rPr>
          <w:b/>
          <w:i/>
        </w:rPr>
        <w:t>(Soit par défaut)</w:t>
      </w:r>
    </w:p>
    <w:p w14:paraId="74361066" w14:textId="77777777" w:rsidR="00DF410E" w:rsidRDefault="00CE7F43">
      <w:r>
        <w:rPr>
          <w:rStyle w:val="soitChar"/>
        </w:rPr>
        <w:t>1.     </w:t>
      </w:r>
      <w:r>
        <w:rPr>
          <w:rStyle w:val="soitChar"/>
          <w:u w:val="single"/>
        </w:rPr>
        <w:t>Compris</w:t>
      </w:r>
      <w:r>
        <w:rPr>
          <w:rStyle w:val="soitChar"/>
        </w:rPr>
        <w:t> dans l’article de référence</w:t>
      </w:r>
      <w:r>
        <w:t> </w:t>
      </w:r>
      <w:r>
        <w:rPr>
          <w:rStyle w:val="optioncarChar"/>
        </w:rPr>
        <w:t>***</w:t>
      </w:r>
    </w:p>
    <w:p w14:paraId="59201330" w14:textId="77777777" w:rsidR="00DF410E" w:rsidRDefault="00CE7F43">
      <w:r>
        <w:rPr>
          <w:b/>
          <w:i/>
        </w:rPr>
        <w:t>(Soit)</w:t>
      </w:r>
    </w:p>
    <w:p w14:paraId="3E8CF546"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40AA5A4B" w14:textId="77777777" w:rsidR="00DF410E" w:rsidRDefault="00CE7F43">
      <w:pPr>
        <w:pStyle w:val="pheading"/>
      </w:pPr>
      <w:r>
        <w:t>- nature du marché:</w:t>
      </w:r>
    </w:p>
    <w:p w14:paraId="6256BD3F" w14:textId="77777777" w:rsidR="00DF410E" w:rsidRDefault="00CE7F43">
      <w:r>
        <w:rPr>
          <w:rStyle w:val="optioncarChar"/>
        </w:rPr>
        <w:t>PM</w:t>
      </w:r>
      <w:r>
        <w:t> (par défaut) </w:t>
      </w:r>
      <w:r>
        <w:rPr>
          <w:rStyle w:val="optioncarChar"/>
        </w:rPr>
        <w:t>/ QF / QP</w:t>
      </w:r>
    </w:p>
    <w:p w14:paraId="34A6F719" w14:textId="77777777" w:rsidR="00DF410E" w:rsidRDefault="00CE7F43">
      <w:r>
        <w:rPr>
          <w:b/>
          <w:i/>
        </w:rPr>
        <w:t>(Soit par défaut)</w:t>
      </w:r>
    </w:p>
    <w:p w14:paraId="0462526D" w14:textId="77777777" w:rsidR="00DF410E" w:rsidRDefault="00CE7F43">
      <w:r>
        <w:rPr>
          <w:rStyle w:val="soitChar"/>
        </w:rPr>
        <w:t>1.     PM</w:t>
      </w:r>
    </w:p>
    <w:p w14:paraId="4B00D8FE" w14:textId="77777777" w:rsidR="00DF410E" w:rsidRDefault="00CE7F43">
      <w:r>
        <w:rPr>
          <w:b/>
          <w:i/>
        </w:rPr>
        <w:t>(Soit)</w:t>
      </w:r>
    </w:p>
    <w:p w14:paraId="7A91675B" w14:textId="77777777" w:rsidR="00DF410E" w:rsidRDefault="00CE7F43">
      <w:r>
        <w:rPr>
          <w:rStyle w:val="soitChar"/>
        </w:rPr>
        <w:t>2.     QF</w:t>
      </w:r>
    </w:p>
    <w:p w14:paraId="3736FB28" w14:textId="77777777" w:rsidR="00DF410E" w:rsidRDefault="00CE7F43">
      <w:r>
        <w:rPr>
          <w:b/>
          <w:i/>
        </w:rPr>
        <w:t>(Soit)</w:t>
      </w:r>
    </w:p>
    <w:p w14:paraId="534DF2FD" w14:textId="77777777" w:rsidR="00DF410E" w:rsidRDefault="00CE7F43">
      <w:r>
        <w:rPr>
          <w:rStyle w:val="soitChar"/>
        </w:rPr>
        <w:t>3.     QP</w:t>
      </w:r>
    </w:p>
    <w:p w14:paraId="706FBC5C" w14:textId="77777777" w:rsidR="00DF410E" w:rsidRDefault="00CE7F43">
      <w:pPr>
        <w:pStyle w:val="pheading"/>
      </w:pPr>
      <w:r>
        <w:t>AIDE</w:t>
      </w:r>
    </w:p>
    <w:p w14:paraId="0999F735" w14:textId="77777777" w:rsidR="00DF410E" w:rsidRDefault="00CE7F43">
      <w:pPr>
        <w:jc w:val="both"/>
      </w:pPr>
      <w:r>
        <w:t>Attention à l’auteur de projet sur le fait que les règles de calcul pour les vis chargées axialement de l’Eurocode 5 ([NBN EN 1995-1-1]) ont été modifiées par l’annexe 1 à celui-ci ([NBN EN 1995-1-1/A1]) publiée en 2008.</w:t>
      </w:r>
    </w:p>
    <w:p w14:paraId="72AD6160" w14:textId="77777777" w:rsidR="00DF410E" w:rsidRDefault="00CE7F43">
      <w:pPr>
        <w:pStyle w:val="Author-eSectionHeading6"/>
      </w:pPr>
      <w:bookmarkStart w:id="1736" w:name="_Toc178838811"/>
      <w:r>
        <w:t>24.42.1e Assemblages par tiges - tire-fonds CCTB 01.11</w:t>
      </w:r>
      <w:bookmarkEnd w:id="1736"/>
    </w:p>
    <w:p w14:paraId="007D97C4" w14:textId="77777777" w:rsidR="00DF410E" w:rsidRDefault="00CE7F43">
      <w:pPr>
        <w:pStyle w:val="pheading"/>
      </w:pPr>
      <w:bookmarkStart w:id="1737" w:name="579"/>
      <w:bookmarkEnd w:id="1737"/>
      <w:r>
        <w:t>DESCRIPTION</w:t>
      </w:r>
    </w:p>
    <w:p w14:paraId="6D33DF4A" w14:textId="77777777" w:rsidR="00DF410E" w:rsidRDefault="00CE7F43">
      <w:pPr>
        <w:pStyle w:val="pheading"/>
      </w:pPr>
      <w:r>
        <w:t>- Définition / Comprend</w:t>
      </w:r>
    </w:p>
    <w:p w14:paraId="7A0A16B6" w14:textId="77777777" w:rsidR="00DF410E" w:rsidRDefault="00CE7F43">
      <w:pPr>
        <w:jc w:val="both"/>
      </w:pPr>
      <w:r>
        <w:t>Il s’agit d’un cas particulier de vis. Les tire-fond sont composés d’une partie lisse et d’une partie filetée, le diamètre de la partie lisse étant égal au diamètre extérieur du filetage. La tête des tire-fond est généralement hexagonale ou carrée.</w:t>
      </w:r>
    </w:p>
    <w:p w14:paraId="70164105" w14:textId="77777777" w:rsidR="00DF410E" w:rsidRDefault="00CE7F43">
      <w:pPr>
        <w:jc w:val="both"/>
      </w:pPr>
      <w:r>
        <w:rPr>
          <w:noProof/>
        </w:rPr>
        <w:drawing>
          <wp:anchor distT="0" distB="0" distL="0" distR="0" simplePos="0" relativeHeight="251656704" behindDoc="0" locked="0" layoutInCell="1" allowOverlap="0" wp14:anchorId="3EFFB05B" wp14:editId="721D5F2F">
            <wp:simplePos x="0" y="0"/>
            <wp:positionH relativeFrom="column">
              <wp:align>center</wp:align>
            </wp:positionH>
            <wp:positionV relativeFrom="line">
              <wp:align>top</wp:align>
            </wp:positionV>
            <wp:extent cx="3810000" cy="1085850"/>
            <wp:effectExtent l="0" t="0" r="0" b="0"/>
            <wp:wrapTopAndBottom/>
            <wp:docPr id="319755924" name="24.42.1e.jpg" descr="24.4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3" descr="24.42.1e.jpg"/>
                    <pic:cNvPicPr>
                      <a:picLocks noChangeAspect="1" noChangeArrowheads="1"/>
                    </pic:cNvPicPr>
                  </pic:nvPicPr>
                  <pic:blipFill>
                    <a:blip r:embed="rId338"/>
                    <a:srcRect/>
                    <a:stretch>
                      <a:fillRect/>
                    </a:stretch>
                  </pic:blipFill>
                  <pic:spPr bwMode="auto">
                    <a:xfrm>
                      <a:off x="0" y="0"/>
                      <a:ext cx="3810000" cy="1085850"/>
                    </a:xfrm>
                    <a:prstGeom prst="rect">
                      <a:avLst/>
                    </a:prstGeom>
                  </pic:spPr>
                </pic:pic>
              </a:graphicData>
            </a:graphic>
          </wp:anchor>
        </w:drawing>
      </w:r>
    </w:p>
    <w:p w14:paraId="20C9553A" w14:textId="77777777" w:rsidR="00DF410E" w:rsidRDefault="00CE7F43">
      <w:pPr>
        <w:jc w:val="both"/>
      </w:pPr>
      <w:r>
        <w:rPr>
          <w:b/>
        </w:rPr>
        <w:t>Remarques importantes</w:t>
      </w:r>
    </w:p>
    <w:p w14:paraId="66D76803" w14:textId="77777777" w:rsidR="00DF410E" w:rsidRDefault="00CE7F43">
      <w:pPr>
        <w:jc w:val="both"/>
      </w:pPr>
      <w:r>
        <w:t>Les tire-fond utilisés respectent en tout point la norme harmonisée [NBN EN 14592] et disposent du marquage CE suivant celle-ci.</w:t>
      </w:r>
    </w:p>
    <w:p w14:paraId="70BE220A" w14:textId="77777777" w:rsidR="00DF410E" w:rsidRDefault="00CE7F43">
      <w:pPr>
        <w:jc w:val="both"/>
      </w:pPr>
      <w:r>
        <w:t>L’étude d’une connexion par tire-fond se fait soit par calculs suivant les principes décrits dans l’Eurocode 5 ([NBN EN 1995-1-1]), soit sur base d’essais réalisés conformément à la [NBN EN 1380].</w:t>
      </w:r>
    </w:p>
    <w:p w14:paraId="492CC980" w14:textId="77777777" w:rsidR="00DF410E" w:rsidRDefault="00CE7F43">
      <w:pPr>
        <w:pStyle w:val="pheading"/>
      </w:pPr>
      <w:r>
        <w:t>MATÉRIAUX</w:t>
      </w:r>
    </w:p>
    <w:p w14:paraId="563B14AE" w14:textId="77777777" w:rsidR="00DF410E" w:rsidRDefault="00CE7F43">
      <w:pPr>
        <w:pStyle w:val="pheading"/>
      </w:pPr>
      <w:r>
        <w:t>- Caractéristiques générales</w:t>
      </w:r>
    </w:p>
    <w:p w14:paraId="3395479B" w14:textId="77777777" w:rsidR="00DF410E" w:rsidRDefault="00CE7F43">
      <w:pPr>
        <w:jc w:val="both"/>
      </w:pPr>
      <w:r>
        <w:rPr>
          <w:b/>
          <w:u w:val="single"/>
        </w:rPr>
        <w:t>Géométrie</w:t>
      </w:r>
    </w:p>
    <w:p w14:paraId="00E8CA79" w14:textId="77777777" w:rsidR="00DF410E" w:rsidRDefault="00CE7F43">
      <w:pPr>
        <w:jc w:val="both"/>
      </w:pPr>
      <w:r>
        <w:t xml:space="preserve">Forme de la tête : </w:t>
      </w:r>
      <w:r>
        <w:rPr>
          <w:rStyle w:val="optioncarChar"/>
        </w:rPr>
        <w:t xml:space="preserve">hexagonale </w:t>
      </w:r>
      <w:r>
        <w:t>(par défaut)</w:t>
      </w:r>
      <w:r>
        <w:rPr>
          <w:rStyle w:val="optioncarChar"/>
        </w:rPr>
        <w:t xml:space="preserve"> / carrée / ***</w:t>
      </w:r>
    </w:p>
    <w:p w14:paraId="7DAC2A2B" w14:textId="77777777" w:rsidR="00DF410E" w:rsidRDefault="00CE7F43">
      <w:pPr>
        <w:jc w:val="both"/>
      </w:pPr>
      <w:r>
        <w:t xml:space="preserve">Longueur des tire-fond : </w:t>
      </w:r>
      <w:r>
        <w:rPr>
          <w:rStyle w:val="optioncarChar"/>
        </w:rPr>
        <w:t>***</w:t>
      </w:r>
    </w:p>
    <w:p w14:paraId="50DAA5E3" w14:textId="77777777" w:rsidR="00DF410E" w:rsidRDefault="00CE7F43">
      <w:pPr>
        <w:jc w:val="both"/>
      </w:pPr>
      <w:r>
        <w:t xml:space="preserve">Longueur du filetage : </w:t>
      </w:r>
      <w:r>
        <w:rPr>
          <w:rStyle w:val="optioncarChar"/>
        </w:rPr>
        <w:t>***</w:t>
      </w:r>
    </w:p>
    <w:p w14:paraId="6F1ADAFD" w14:textId="77777777" w:rsidR="00DF410E" w:rsidRDefault="00CE7F43">
      <w:pPr>
        <w:jc w:val="both"/>
      </w:pPr>
      <w:r>
        <w:t xml:space="preserve">Diamètre nominale (diamètre extérieur du filetage et de la partie lisse), d : </w:t>
      </w:r>
      <w:r>
        <w:rPr>
          <w:rStyle w:val="optioncarChar"/>
        </w:rPr>
        <w:t>***</w:t>
      </w:r>
    </w:p>
    <w:p w14:paraId="745020D5" w14:textId="77777777" w:rsidR="00DF410E" w:rsidRDefault="00CE7F43">
      <w:pPr>
        <w:jc w:val="both"/>
      </w:pPr>
      <w:r>
        <w:t xml:space="preserve">Diamètre de la tête des tire-fond : </w:t>
      </w:r>
      <w:r>
        <w:rPr>
          <w:rStyle w:val="optioncarChar"/>
        </w:rPr>
        <w:t>***</w:t>
      </w:r>
    </w:p>
    <w:p w14:paraId="41086E36" w14:textId="77777777" w:rsidR="00DF410E" w:rsidRDefault="00CE7F43">
      <w:pPr>
        <w:jc w:val="both"/>
      </w:pPr>
      <w:r>
        <w:t xml:space="preserve">Matériau constituant les tire-fond : </w:t>
      </w:r>
      <w:r>
        <w:rPr>
          <w:rStyle w:val="optioncarChar"/>
        </w:rPr>
        <w:t xml:space="preserve">acier au carbone ou acier allié </w:t>
      </w:r>
      <w:r>
        <w:t xml:space="preserve">(par défaut) </w:t>
      </w:r>
      <w:r>
        <w:rPr>
          <w:rStyle w:val="optioncarChar"/>
        </w:rPr>
        <w:t>/ acier inoxydable</w:t>
      </w:r>
    </w:p>
    <w:p w14:paraId="7B78D791" w14:textId="77777777" w:rsidR="00DF410E" w:rsidRDefault="00CE7F43">
      <w:pPr>
        <w:ind w:left="567"/>
        <w:jc w:val="both"/>
      </w:pPr>
      <w:r>
        <w:rPr>
          <w:b/>
          <w:i/>
        </w:rPr>
        <w:t>(Soit par défaut)</w:t>
      </w:r>
    </w:p>
    <w:p w14:paraId="65F2E097" w14:textId="77777777" w:rsidR="00DF410E" w:rsidRDefault="00CE7F43">
      <w:pPr>
        <w:ind w:left="567"/>
        <w:jc w:val="both"/>
      </w:pPr>
      <w:r>
        <w:rPr>
          <w:rStyle w:val="soitChar"/>
          <w:u w:val="single"/>
        </w:rPr>
        <w:t>Acier au carbone ou acier allié</w:t>
      </w:r>
    </w:p>
    <w:p w14:paraId="319EF811" w14:textId="77777777" w:rsidR="00DF410E" w:rsidRDefault="00CE7F43">
      <w:pPr>
        <w:ind w:left="567"/>
        <w:jc w:val="both"/>
      </w:pPr>
      <w:r>
        <w:rPr>
          <w:rStyle w:val="soitChar"/>
        </w:rPr>
        <w:t xml:space="preserve">Nuance d’acier selon [NBN EN ISO 898-1] : </w:t>
      </w:r>
      <w:r>
        <w:rPr>
          <w:rStyle w:val="optioncarChar"/>
        </w:rPr>
        <w:t xml:space="preserve">4.8 </w:t>
      </w:r>
      <w:r>
        <w:t>(par défaut) </w:t>
      </w:r>
      <w:r>
        <w:rPr>
          <w:rStyle w:val="optioncarChar"/>
        </w:rPr>
        <w:t>/ 5.6 / 8.8 / 10.9 / ***</w:t>
      </w:r>
    </w:p>
    <w:p w14:paraId="3A9F7DA4" w14:textId="77777777" w:rsidR="00DF410E" w:rsidRDefault="00CE7F43">
      <w:pPr>
        <w:ind w:left="567"/>
        <w:jc w:val="both"/>
      </w:pPr>
      <w:r>
        <w:rPr>
          <w:rStyle w:val="soitChar"/>
        </w:rPr>
        <w:t xml:space="preserve">Mesure de protection contre la corrosion selon [NBN EN 10346] pour une galvanisation : </w:t>
      </w:r>
      <w:r>
        <w:rPr>
          <w:rStyle w:val="optioncarChar"/>
        </w:rPr>
        <w:t>aucune / Z275</w:t>
      </w:r>
      <w:r>
        <w:t xml:space="preserve"> (par défaut) </w:t>
      </w:r>
      <w:r>
        <w:rPr>
          <w:rStyle w:val="optioncarChar"/>
        </w:rPr>
        <w:t>/ Z350 / ***</w:t>
      </w:r>
    </w:p>
    <w:p w14:paraId="13A3D1C6" w14:textId="77777777" w:rsidR="00DF410E" w:rsidRDefault="00CE7F43">
      <w:pPr>
        <w:ind w:left="567"/>
        <w:jc w:val="both"/>
      </w:pPr>
      <w:r>
        <w:rPr>
          <w:b/>
          <w:i/>
        </w:rPr>
        <w:t>(Soit)</w:t>
      </w:r>
    </w:p>
    <w:p w14:paraId="0EB36091" w14:textId="77777777" w:rsidR="00DF410E" w:rsidRDefault="00CE7F43">
      <w:pPr>
        <w:ind w:left="567"/>
        <w:jc w:val="both"/>
      </w:pPr>
      <w:r>
        <w:rPr>
          <w:rStyle w:val="soitChar"/>
          <w:u w:val="single"/>
        </w:rPr>
        <w:t>Acier inoxydable</w:t>
      </w:r>
    </w:p>
    <w:p w14:paraId="128C40AB" w14:textId="77777777" w:rsidR="00DF410E" w:rsidRDefault="00CE7F43">
      <w:pPr>
        <w:ind w:left="567"/>
        <w:jc w:val="both"/>
      </w:pPr>
      <w:r>
        <w:rPr>
          <w:rStyle w:val="soitChar"/>
        </w:rPr>
        <w:t>Nuance d’acier inoxydable selon [NBN EN ISO 3506-1] :</w:t>
      </w:r>
      <w:r>
        <w:rPr>
          <w:rStyle w:val="optioncarChar"/>
        </w:rPr>
        <w:t xml:space="preserve"> A2 </w:t>
      </w:r>
      <w:r>
        <w:t xml:space="preserve">(par défaut) </w:t>
      </w:r>
      <w:r>
        <w:rPr>
          <w:rStyle w:val="optioncarChar"/>
        </w:rPr>
        <w:t>/ A4 / ***</w:t>
      </w:r>
    </w:p>
    <w:p w14:paraId="2999971F" w14:textId="77777777" w:rsidR="00DF410E" w:rsidRDefault="00CE7F43">
      <w:pPr>
        <w:pStyle w:val="pheading"/>
      </w:pPr>
      <w:r>
        <w:t>EXÉCUTION / MISE EN ŒUVRE</w:t>
      </w:r>
    </w:p>
    <w:p w14:paraId="0447402E" w14:textId="77777777" w:rsidR="00DF410E" w:rsidRDefault="00CE7F43">
      <w:pPr>
        <w:pStyle w:val="pheading"/>
      </w:pPr>
      <w:r>
        <w:t>- Prescriptions générales</w:t>
      </w:r>
    </w:p>
    <w:p w14:paraId="3C75D5DD" w14:textId="77777777" w:rsidR="00DF410E" w:rsidRDefault="00CE7F43">
      <w:pPr>
        <w:jc w:val="both"/>
      </w:pPr>
      <w:r>
        <w:rPr>
          <w:b/>
          <w:u w:val="single"/>
        </w:rPr>
        <w:t>Préperçage des éléments</w:t>
      </w:r>
    </w:p>
    <w:p w14:paraId="0F9A5F1F" w14:textId="77777777" w:rsidR="00DF410E" w:rsidRDefault="00CE7F43">
      <w:pPr>
        <w:jc w:val="both"/>
      </w:pPr>
      <w:r>
        <w:t>Pour les tire-fonds dans les résineux avec un diamètre ≤ 6mm, les avant-trous ne sont pas exigés. Pour tous les tire-fonds dans les bois feuillus et pour celles dans les bois résineux dont le diamètre est supérieur à 6mm, un avant-trou est nécessaire, avec les exigences suivantes :</w:t>
      </w:r>
    </w:p>
    <w:p w14:paraId="303FE7F4" w14:textId="77777777" w:rsidR="00DF410E" w:rsidRDefault="00CE7F43">
      <w:pPr>
        <w:pStyle w:val="Author-eListParagraph"/>
        <w:numPr>
          <w:ilvl w:val="0"/>
          <w:numId w:val="1059"/>
        </w:numPr>
      </w:pPr>
      <w:r>
        <w:t>Le trou de guidage a le même diamètre et la même longueur que les tire-fonds.</w:t>
      </w:r>
    </w:p>
    <w:p w14:paraId="1EB23E41" w14:textId="77777777" w:rsidR="00DF410E" w:rsidRDefault="00CE7F43">
      <w:pPr>
        <w:jc w:val="both"/>
      </w:pPr>
      <w:r>
        <w:t>Si la masse volumique d’un des éléments en bois assemblés dépasse 500kg/m³, le diamètre d’avant trou est déterminé par essais.</w:t>
      </w:r>
    </w:p>
    <w:p w14:paraId="370B0973" w14:textId="77777777" w:rsidR="00DF410E" w:rsidRDefault="00CE7F43">
      <w:pPr>
        <w:jc w:val="both"/>
      </w:pPr>
      <w:r>
        <w:rPr>
          <w:b/>
          <w:u w:val="single"/>
        </w:rPr>
        <w:t>Pénétration minimale des tire-fonds</w:t>
      </w:r>
    </w:p>
    <w:p w14:paraId="3D763F58" w14:textId="77777777" w:rsidR="00DF410E" w:rsidRDefault="00CE7F43">
      <w:pPr>
        <w:jc w:val="both"/>
      </w:pPr>
      <w:r>
        <w:t>Les exigences de pénétration dépendent du mode de chargement des tire-fonds. Si les tire-fonds sont soumis à une combinaison de charges axiale et latérale, les exigences des deux modes de chargement doivent être satisfaites.</w:t>
      </w:r>
    </w:p>
    <w:p w14:paraId="7C68E024" w14:textId="77777777" w:rsidR="00DF410E" w:rsidRDefault="00CE7F43">
      <w:pPr>
        <w:ind w:left="567"/>
        <w:jc w:val="both"/>
      </w:pPr>
      <w:r>
        <w:rPr>
          <w:u w:val="single"/>
        </w:rPr>
        <w:t>Tire-fonds chargés latéralement</w:t>
      </w:r>
    </w:p>
    <w:p w14:paraId="5E6BC8BA" w14:textId="77777777" w:rsidR="00DF410E" w:rsidRDefault="00CE7F43">
      <w:pPr>
        <w:ind w:left="567"/>
        <w:jc w:val="both"/>
      </w:pPr>
      <w:r>
        <w:t>Sauf spécification contraire au cahier spécial des charges ou dans l’étude de l’assemblage, la partie lisse pénètre l’élément contenant la pointe d’au minimum 4 fois le diamètre nominal.</w:t>
      </w:r>
    </w:p>
    <w:p w14:paraId="680066F4" w14:textId="77777777" w:rsidR="00DF410E" w:rsidRDefault="00CE7F43">
      <w:pPr>
        <w:ind w:left="567"/>
        <w:jc w:val="both"/>
      </w:pPr>
      <w:r>
        <w:rPr>
          <w:u w:val="single"/>
        </w:rPr>
        <w:t>Tire-fonds chargés axialement</w:t>
      </w:r>
    </w:p>
    <w:p w14:paraId="727A813E" w14:textId="77777777" w:rsidR="00DF410E" w:rsidRDefault="00CE7F43">
      <w:pPr>
        <w:ind w:left="567"/>
        <w:jc w:val="both"/>
      </w:pPr>
      <w:r>
        <w:t>La longueur de pénétration minimale de la partie filetée dans l’élément contenant la pointe est de 6 fois le diamètre nominal.</w:t>
      </w:r>
    </w:p>
    <w:p w14:paraId="60BD2939" w14:textId="77777777" w:rsidR="00DF410E" w:rsidRDefault="00CE7F43">
      <w:pPr>
        <w:jc w:val="both"/>
      </w:pPr>
      <w:r>
        <w:rPr>
          <w:b/>
          <w:u w:val="single"/>
        </w:rPr>
        <w:t>Espacements et distances</w:t>
      </w:r>
    </w:p>
    <w:p w14:paraId="53E359BB" w14:textId="77777777" w:rsidR="00DF410E" w:rsidRDefault="00CE7F43">
      <w:pPr>
        <w:jc w:val="both"/>
      </w:pPr>
      <w:r>
        <w:t>Les exigences d’espacements des tire-fonds entre eux et de distances de ceux-ci par rapport aux bords des éléments dépendent du mode de chargement des tire-fond. Si les tire-fonds sont soumis à une combinaison de charges axiale et latérale, les exigences des deux modes de chargement doivent être satisfaites.</w:t>
      </w:r>
    </w:p>
    <w:p w14:paraId="53F63599" w14:textId="77777777" w:rsidR="00DF410E" w:rsidRDefault="00CE7F43">
      <w:pPr>
        <w:ind w:left="567"/>
        <w:jc w:val="both"/>
      </w:pPr>
      <w:r>
        <w:rPr>
          <w:u w:val="single"/>
        </w:rPr>
        <w:t>Tire-fonds chargés latéralement</w:t>
      </w:r>
    </w:p>
    <w:p w14:paraId="2773002E" w14:textId="77777777" w:rsidR="00DF410E" w:rsidRDefault="00CE7F43">
      <w:pPr>
        <w:pStyle w:val="Author-eListParagraph"/>
        <w:numPr>
          <w:ilvl w:val="0"/>
          <w:numId w:val="1060"/>
        </w:numPr>
      </w:pPr>
      <w:r>
        <w:t xml:space="preserve">Si les tire-fonds ont un diamètre inférieur ou égal à 6mm, les espacements et distances prescrits à l’article </w:t>
      </w:r>
      <w:hyperlink w:anchor="630" w:history="1">
        <w:r>
          <w:t>24.42.1a Assemblages par tiges - clous</w:t>
        </w:r>
      </w:hyperlink>
      <w:r>
        <w:t xml:space="preserve"> sont suivis.</w:t>
      </w:r>
    </w:p>
    <w:p w14:paraId="01DAB723" w14:textId="77777777" w:rsidR="00DF410E" w:rsidRDefault="00CE7F43">
      <w:pPr>
        <w:pStyle w:val="Author-eListParagraph"/>
        <w:numPr>
          <w:ilvl w:val="0"/>
          <w:numId w:val="1060"/>
        </w:numPr>
      </w:pPr>
      <w:r>
        <w:t xml:space="preserve">Si les tire-fonds ont un diamètre supérieur à 6mm, les espacements et distances prescrits à l’article </w:t>
      </w:r>
      <w:hyperlink w:anchor="631" w:history="1">
        <w:r>
          <w:t>24.42.1c Assemblages par tiges - boulons</w:t>
        </w:r>
      </w:hyperlink>
      <w:r>
        <w:t> sont suivis.</w:t>
      </w:r>
    </w:p>
    <w:p w14:paraId="3EB065B3" w14:textId="77777777" w:rsidR="00DF410E" w:rsidRDefault="00CE7F43">
      <w:pPr>
        <w:ind w:left="567"/>
        <w:jc w:val="both"/>
      </w:pPr>
      <w:r>
        <w:rPr>
          <w:u w:val="single"/>
        </w:rPr>
        <w:t>Tire-fonds chargés axialement</w:t>
      </w:r>
    </w:p>
    <w:p w14:paraId="103A4F69" w14:textId="77777777" w:rsidR="00DF410E" w:rsidRDefault="00CE7F43">
      <w:pPr>
        <w:ind w:left="567"/>
        <w:jc w:val="both"/>
      </w:pPr>
      <w:r>
        <w:t xml:space="preserve">Les espacements et distances pour les tire-fonds chargés axialement sont données au </w:t>
      </w:r>
      <w:r>
        <w:rPr>
          <w:i/>
        </w:rPr>
        <w:t>tableau 8.6 de l’annexe 1</w:t>
      </w:r>
      <w:r>
        <w:t xml:space="preserve"> à l’Eurocode 5 ([NBN EN 1995-1-1/A1]).</w:t>
      </w:r>
    </w:p>
    <w:p w14:paraId="28052F49" w14:textId="77777777" w:rsidR="00DF410E" w:rsidRDefault="00CE7F43">
      <w:pPr>
        <w:jc w:val="both"/>
      </w:pPr>
      <w:r>
        <w:rPr>
          <w:b/>
          <w:u w:val="single"/>
        </w:rPr>
        <w:t>Ajustement des tire-fonds</w:t>
      </w:r>
    </w:p>
    <w:p w14:paraId="69F3C993" w14:textId="77777777" w:rsidR="00DF410E" w:rsidRDefault="00CE7F43">
      <w:pPr>
        <w:jc w:val="both"/>
      </w:pPr>
      <w:r>
        <w:t>Les tire-fonds sont ajustés de telle sorte que les éléments s’assemblent précisément.</w:t>
      </w:r>
    </w:p>
    <w:p w14:paraId="4889063C" w14:textId="77777777" w:rsidR="00DF410E" w:rsidRDefault="00CE7F43">
      <w:pPr>
        <w:jc w:val="both"/>
      </w:pPr>
      <w:r>
        <w:t>Dans le cas où, lors de l’installation des tire-fonds le bois n’a pas atteint sa teneur en humidité d’équilibre, les tire-fonds sont resserrés lorsque le bois a atteint sa teneur en humidité d’équilibre.</w:t>
      </w:r>
    </w:p>
    <w:p w14:paraId="4BC112F9" w14:textId="77777777" w:rsidR="00DF410E" w:rsidRDefault="00CE7F43">
      <w:pPr>
        <w:pStyle w:val="pheading"/>
      </w:pPr>
      <w:r>
        <w:t>MESURAGE</w:t>
      </w:r>
    </w:p>
    <w:p w14:paraId="4901B8DE" w14:textId="77777777" w:rsidR="00DF410E" w:rsidRDefault="00CE7F43">
      <w:pPr>
        <w:pStyle w:val="pheading"/>
      </w:pPr>
      <w:r>
        <w:t>- unité de mesure:</w:t>
      </w:r>
    </w:p>
    <w:p w14:paraId="621DF164" w14:textId="77777777" w:rsidR="00DF410E" w:rsidRDefault="00CE7F43">
      <w:r>
        <w:rPr>
          <w:rStyle w:val="optioncarChar"/>
        </w:rPr>
        <w:t>- </w:t>
      </w:r>
      <w:r>
        <w:t>(par défaut)</w:t>
      </w:r>
      <w:r>
        <w:rPr>
          <w:rStyle w:val="optioncarChar"/>
        </w:rPr>
        <w:t> / pc</w:t>
      </w:r>
    </w:p>
    <w:p w14:paraId="31C273E1" w14:textId="77777777" w:rsidR="00DF410E" w:rsidRDefault="00CE7F43">
      <w:r>
        <w:rPr>
          <w:b/>
          <w:i/>
        </w:rPr>
        <w:t>(Soit par défaut)</w:t>
      </w:r>
    </w:p>
    <w:p w14:paraId="0BE43D75" w14:textId="77777777" w:rsidR="00DF410E" w:rsidRDefault="00CE7F43">
      <w:r>
        <w:rPr>
          <w:rStyle w:val="soitChar"/>
        </w:rPr>
        <w:t>1.     –</w:t>
      </w:r>
    </w:p>
    <w:p w14:paraId="4E166641" w14:textId="77777777" w:rsidR="00DF410E" w:rsidRDefault="00CE7F43">
      <w:r>
        <w:rPr>
          <w:b/>
          <w:i/>
        </w:rPr>
        <w:t>(Soit)</w:t>
      </w:r>
    </w:p>
    <w:p w14:paraId="4C5DA0A8" w14:textId="77777777" w:rsidR="00DF410E" w:rsidRDefault="00CE7F43">
      <w:r>
        <w:rPr>
          <w:rStyle w:val="soitChar"/>
        </w:rPr>
        <w:t>2.3.  pc</w:t>
      </w:r>
    </w:p>
    <w:p w14:paraId="3EE92D17" w14:textId="77777777" w:rsidR="00DF410E" w:rsidRDefault="00CE7F43">
      <w:pPr>
        <w:pStyle w:val="pheading"/>
      </w:pPr>
      <w:r>
        <w:t>- code de mesurage:</w:t>
      </w:r>
    </w:p>
    <w:p w14:paraId="12739FF4" w14:textId="77777777" w:rsidR="00DF410E" w:rsidRDefault="00CE7F43">
      <w:pPr>
        <w:jc w:val="both"/>
      </w:pPr>
      <w:r>
        <w:rPr>
          <w:rStyle w:val="optioncarChar"/>
        </w:rPr>
        <w:t>Compris</w:t>
      </w:r>
      <w:r>
        <w:t> (par défaut) </w:t>
      </w:r>
      <w:r>
        <w:rPr>
          <w:rStyle w:val="optioncarChar"/>
        </w:rPr>
        <w:t>/ Quantité nette</w:t>
      </w:r>
    </w:p>
    <w:p w14:paraId="78CC09E3" w14:textId="77777777" w:rsidR="00DF410E" w:rsidRDefault="00CE7F43">
      <w:pPr>
        <w:jc w:val="both"/>
      </w:pPr>
      <w:r>
        <w:rPr>
          <w:b/>
          <w:i/>
        </w:rPr>
        <w:t>(Soit par défaut)</w:t>
      </w:r>
    </w:p>
    <w:p w14:paraId="46A436C9" w14:textId="77777777" w:rsidR="00DF410E" w:rsidRDefault="00CE7F43">
      <w:pPr>
        <w:jc w:val="both"/>
      </w:pPr>
      <w:r>
        <w:rPr>
          <w:rStyle w:val="soitChar"/>
        </w:rPr>
        <w:t>1.     </w:t>
      </w:r>
      <w:r>
        <w:rPr>
          <w:rStyle w:val="soitChar"/>
          <w:u w:val="single"/>
        </w:rPr>
        <w:t>Compris</w:t>
      </w:r>
      <w:r>
        <w:rPr>
          <w:rStyle w:val="soitChar"/>
        </w:rPr>
        <w:t> dans l’article de référence</w:t>
      </w:r>
      <w:r>
        <w:t> </w:t>
      </w:r>
      <w:r>
        <w:rPr>
          <w:rStyle w:val="optioncarChar"/>
        </w:rPr>
        <w:t>***</w:t>
      </w:r>
    </w:p>
    <w:p w14:paraId="24D69776" w14:textId="77777777" w:rsidR="00DF410E" w:rsidRDefault="00CE7F43">
      <w:pPr>
        <w:jc w:val="both"/>
      </w:pPr>
      <w:r>
        <w:rPr>
          <w:b/>
          <w:i/>
        </w:rPr>
        <w:t>(Soit)</w:t>
      </w:r>
    </w:p>
    <w:p w14:paraId="577D468F" w14:textId="77777777" w:rsidR="00DF410E" w:rsidRDefault="00CE7F43">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7C08BABB" w14:textId="77777777" w:rsidR="00DF410E" w:rsidRDefault="00CE7F43">
      <w:pPr>
        <w:pStyle w:val="pheading"/>
      </w:pPr>
      <w:r>
        <w:t>- nature du marché:</w:t>
      </w:r>
    </w:p>
    <w:p w14:paraId="75F08F84" w14:textId="77777777" w:rsidR="00DF410E" w:rsidRDefault="00CE7F43">
      <w:r>
        <w:rPr>
          <w:rStyle w:val="optioncarChar"/>
        </w:rPr>
        <w:t>PM </w:t>
      </w:r>
      <w:r>
        <w:t>(par défaut)</w:t>
      </w:r>
      <w:r>
        <w:rPr>
          <w:rStyle w:val="optioncarChar"/>
        </w:rPr>
        <w:t> / QF / QP</w:t>
      </w:r>
    </w:p>
    <w:p w14:paraId="28BEB743" w14:textId="77777777" w:rsidR="00DF410E" w:rsidRDefault="00CE7F43">
      <w:r>
        <w:rPr>
          <w:b/>
          <w:i/>
        </w:rPr>
        <w:t>(Soit par défaut)</w:t>
      </w:r>
    </w:p>
    <w:p w14:paraId="37894601" w14:textId="77777777" w:rsidR="00DF410E" w:rsidRDefault="00CE7F43">
      <w:r>
        <w:rPr>
          <w:rStyle w:val="soitChar"/>
        </w:rPr>
        <w:t>1.     PM</w:t>
      </w:r>
    </w:p>
    <w:p w14:paraId="284F64D7" w14:textId="77777777" w:rsidR="00DF410E" w:rsidRDefault="00CE7F43">
      <w:r>
        <w:rPr>
          <w:b/>
          <w:i/>
        </w:rPr>
        <w:t>(Soit)</w:t>
      </w:r>
    </w:p>
    <w:p w14:paraId="08DC42BB" w14:textId="77777777" w:rsidR="00DF410E" w:rsidRDefault="00CE7F43">
      <w:r>
        <w:rPr>
          <w:rStyle w:val="soitChar"/>
        </w:rPr>
        <w:t>2.     QF</w:t>
      </w:r>
    </w:p>
    <w:p w14:paraId="04F8C35F" w14:textId="77777777" w:rsidR="00DF410E" w:rsidRDefault="00CE7F43">
      <w:r>
        <w:rPr>
          <w:b/>
          <w:i/>
        </w:rPr>
        <w:t>(Soit)</w:t>
      </w:r>
    </w:p>
    <w:p w14:paraId="566BD945" w14:textId="77777777" w:rsidR="00DF410E" w:rsidRDefault="00CE7F43">
      <w:r>
        <w:rPr>
          <w:rStyle w:val="soitChar"/>
        </w:rPr>
        <w:t>3.     QP</w:t>
      </w:r>
    </w:p>
    <w:p w14:paraId="027B0A08" w14:textId="77777777" w:rsidR="00DF410E" w:rsidRDefault="00CE7F43">
      <w:pPr>
        <w:pStyle w:val="Author-eSectionHeading6"/>
      </w:pPr>
      <w:bookmarkStart w:id="1738" w:name="_Toc178838812"/>
      <w:r>
        <w:t>24.42.1f Assemblages par tiges - agrafes CCTB 01.11</w:t>
      </w:r>
      <w:bookmarkEnd w:id="1738"/>
    </w:p>
    <w:p w14:paraId="453C7FD7" w14:textId="77777777" w:rsidR="00DF410E" w:rsidRDefault="00CE7F43">
      <w:pPr>
        <w:pStyle w:val="pheading"/>
      </w:pPr>
      <w:r>
        <w:t>DESCRIPTION</w:t>
      </w:r>
    </w:p>
    <w:p w14:paraId="3D013805" w14:textId="77777777" w:rsidR="00DF410E" w:rsidRDefault="00CE7F43">
      <w:pPr>
        <w:pStyle w:val="pheading"/>
      </w:pPr>
      <w:r>
        <w:t>- Définition / Comprend</w:t>
      </w:r>
    </w:p>
    <w:p w14:paraId="72CEEB49" w14:textId="77777777" w:rsidR="00DF410E" w:rsidRDefault="00CE7F43">
      <w:pPr>
        <w:jc w:val="both"/>
      </w:pPr>
      <w:r>
        <w:t>Il s’agit de pièces de métal en forme de U formées de tiges de sections circulaires, rectangulaires ou ovales et présentant des extrémités pointues.</w:t>
      </w:r>
    </w:p>
    <w:p w14:paraId="072536B3" w14:textId="77777777" w:rsidR="00DF410E" w:rsidRDefault="00CE7F43">
      <w:r>
        <w:rPr>
          <w:b/>
        </w:rPr>
        <w:t>Remarques importantes</w:t>
      </w:r>
    </w:p>
    <w:p w14:paraId="39B02926" w14:textId="77777777" w:rsidR="00DF410E" w:rsidRDefault="00CE7F43">
      <w:r>
        <w:t>Les agrafes utilisées respectent en tout point la norme harmonisée [NBN EN 14592] et disposent du marquage CE suivant celle-ci.</w:t>
      </w:r>
    </w:p>
    <w:p w14:paraId="36277285" w14:textId="77777777" w:rsidR="00DF410E" w:rsidRDefault="00CE7F43">
      <w:r>
        <w:t>L’étude d’une connexion par agrafes se fait soit par calculs suivant les principes décrits dans l’Eurocode 5 ([NBN EN 1995-1-1]), soit sur base d’essais réalisés conformément à la [NBN EN 1381].</w:t>
      </w:r>
    </w:p>
    <w:p w14:paraId="22611862" w14:textId="77777777" w:rsidR="00DF410E" w:rsidRDefault="00CE7F43">
      <w:pPr>
        <w:pStyle w:val="pheading"/>
      </w:pPr>
      <w:r>
        <w:t>MATÉRIAUX</w:t>
      </w:r>
    </w:p>
    <w:p w14:paraId="01F126B2" w14:textId="77777777" w:rsidR="00DF410E" w:rsidRDefault="00CE7F43">
      <w:pPr>
        <w:pStyle w:val="pheading"/>
      </w:pPr>
      <w:r>
        <w:t>- Caractéristiques générales</w:t>
      </w:r>
    </w:p>
    <w:p w14:paraId="1B662BE5" w14:textId="77777777" w:rsidR="00DF410E" w:rsidRDefault="00CE7F43">
      <w:pPr>
        <w:jc w:val="both"/>
      </w:pPr>
      <w:r>
        <w:rPr>
          <w:b/>
          <w:u w:val="single"/>
        </w:rPr>
        <w:t>Géométrie</w:t>
      </w:r>
    </w:p>
    <w:p w14:paraId="39AEB0A2" w14:textId="77777777" w:rsidR="00DF410E" w:rsidRDefault="00CE7F43">
      <w:pPr>
        <w:jc w:val="both"/>
      </w:pPr>
      <w:r>
        <w:t>La géométrie des agrafes respecte les prescriptions de la [NBN EN 14592], §6.2.3</w:t>
      </w:r>
    </w:p>
    <w:p w14:paraId="7DBB096B" w14:textId="77777777" w:rsidR="00DF410E" w:rsidRDefault="00CE7F43">
      <w:pPr>
        <w:jc w:val="both"/>
      </w:pPr>
      <w:r>
        <w:t>Le diamètre équivalent se détermine suivant la forme de la section de la pointe de l’agrafe avec les instructions de [NBN EN 14592], §6.2.3, points a) et b).</w:t>
      </w:r>
    </w:p>
    <w:p w14:paraId="0B655485" w14:textId="77777777" w:rsidR="00DF410E" w:rsidRDefault="00CE7F43">
      <w:pPr>
        <w:jc w:val="both"/>
      </w:pPr>
      <w:r>
        <w:t xml:space="preserve">Forme des pointes d’agrafes : </w:t>
      </w:r>
      <w:r>
        <w:rPr>
          <w:rStyle w:val="optioncarChar"/>
        </w:rPr>
        <w:t>circulaire / elliptique / rectangulaire / carrée</w:t>
      </w:r>
    </w:p>
    <w:p w14:paraId="49683587" w14:textId="77777777" w:rsidR="00DF410E" w:rsidRDefault="00CE7F43">
      <w:pPr>
        <w:jc w:val="both"/>
      </w:pPr>
      <w:r>
        <w:t xml:space="preserve">Diamètre équivalent minimum des pointes d’agrafe (d) : </w:t>
      </w:r>
      <w:r>
        <w:rPr>
          <w:rStyle w:val="optioncarChar"/>
        </w:rPr>
        <w:t>***</w:t>
      </w:r>
    </w:p>
    <w:p w14:paraId="3DDA5343" w14:textId="77777777" w:rsidR="00DF410E" w:rsidRDefault="00CE7F43">
      <w:pPr>
        <w:jc w:val="both"/>
      </w:pPr>
      <w:r>
        <w:t>Largeur minimale de la tête d’agrafe (min. 6d) :</w:t>
      </w:r>
      <w:r>
        <w:rPr>
          <w:rStyle w:val="optioncarChar"/>
        </w:rPr>
        <w:t xml:space="preserve"> ***</w:t>
      </w:r>
    </w:p>
    <w:p w14:paraId="7BB8F54C" w14:textId="77777777" w:rsidR="00DF410E" w:rsidRDefault="00CE7F43">
      <w:pPr>
        <w:jc w:val="both"/>
      </w:pPr>
      <w:r>
        <w:t xml:space="preserve">Longueur des pointes (max. 65d) : </w:t>
      </w:r>
      <w:r>
        <w:rPr>
          <w:rStyle w:val="optioncarChar"/>
        </w:rPr>
        <w:t>***</w:t>
      </w:r>
    </w:p>
    <w:p w14:paraId="01A75B26" w14:textId="77777777" w:rsidR="00DF410E" w:rsidRDefault="00CE7F43">
      <w:pPr>
        <w:jc w:val="both"/>
      </w:pPr>
      <w:r>
        <w:t xml:space="preserve">Matériau constituant les agrafes : </w:t>
      </w:r>
      <w:r>
        <w:rPr>
          <w:rStyle w:val="optioncarChar"/>
        </w:rPr>
        <w:t xml:space="preserve">acier au carbone ou acier allié </w:t>
      </w:r>
      <w:r>
        <w:t>(par défaut)</w:t>
      </w:r>
      <w:r>
        <w:rPr>
          <w:rStyle w:val="optioncarChar"/>
        </w:rPr>
        <w:t xml:space="preserve"> / acier inoxydable</w:t>
      </w:r>
    </w:p>
    <w:p w14:paraId="0C608212" w14:textId="77777777" w:rsidR="00DF410E" w:rsidRDefault="00CE7F43">
      <w:pPr>
        <w:ind w:left="567"/>
        <w:jc w:val="both"/>
      </w:pPr>
      <w:r>
        <w:rPr>
          <w:b/>
          <w:i/>
        </w:rPr>
        <w:t>(Soit par défaut)</w:t>
      </w:r>
    </w:p>
    <w:p w14:paraId="6D6AA808" w14:textId="77777777" w:rsidR="00DF410E" w:rsidRDefault="00CE7F43">
      <w:pPr>
        <w:ind w:left="567"/>
        <w:jc w:val="both"/>
      </w:pPr>
      <w:r>
        <w:rPr>
          <w:rStyle w:val="soitChar"/>
          <w:u w:val="single"/>
        </w:rPr>
        <w:t>Acier au carbone ou acier allié</w:t>
      </w:r>
    </w:p>
    <w:p w14:paraId="2FBD28CA" w14:textId="77777777" w:rsidR="00DF410E" w:rsidRDefault="00CE7F43">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14:paraId="06D2A295" w14:textId="77777777" w:rsidR="00DF410E" w:rsidRDefault="00CE7F43">
      <w:pPr>
        <w:ind w:left="567"/>
        <w:jc w:val="both"/>
      </w:pPr>
      <w:r>
        <w:rPr>
          <w:rStyle w:val="soitChar"/>
        </w:rPr>
        <w:t xml:space="preserve">Mesure de protection contre la corrosion selon [NBN EN 10346] : </w:t>
      </w:r>
      <w:r>
        <w:rPr>
          <w:rStyle w:val="optioncarChar"/>
        </w:rPr>
        <w:t xml:space="preserve">aucune / Z275 </w:t>
      </w:r>
      <w:r>
        <w:t xml:space="preserve">(par défaut) </w:t>
      </w:r>
      <w:r>
        <w:rPr>
          <w:rStyle w:val="optioncarChar"/>
        </w:rPr>
        <w:t>/ Z350 / ***</w:t>
      </w:r>
    </w:p>
    <w:p w14:paraId="59B3CF65" w14:textId="77777777" w:rsidR="00DF410E" w:rsidRDefault="00CE7F43">
      <w:pPr>
        <w:ind w:left="567"/>
        <w:jc w:val="both"/>
      </w:pPr>
      <w:r>
        <w:rPr>
          <w:rStyle w:val="soitChar"/>
        </w:rPr>
        <w:t>Cette mesure peut être remplacée par une mesure présentant un degré de protection contre la corrosion similaire ou supérieure.</w:t>
      </w:r>
    </w:p>
    <w:p w14:paraId="62284868" w14:textId="77777777" w:rsidR="00DF410E" w:rsidRDefault="00CE7F43">
      <w:pPr>
        <w:ind w:left="567"/>
        <w:jc w:val="both"/>
      </w:pPr>
      <w:r>
        <w:rPr>
          <w:b/>
          <w:i/>
        </w:rPr>
        <w:t>(Soit)</w:t>
      </w:r>
    </w:p>
    <w:p w14:paraId="3E6E9B24" w14:textId="77777777" w:rsidR="00DF410E" w:rsidRDefault="00CE7F43">
      <w:pPr>
        <w:ind w:left="567"/>
        <w:jc w:val="both"/>
      </w:pPr>
      <w:r>
        <w:rPr>
          <w:rStyle w:val="soitChar"/>
          <w:u w:val="single"/>
        </w:rPr>
        <w:t>Acier inoxydable</w:t>
      </w:r>
    </w:p>
    <w:p w14:paraId="34429A5B" w14:textId="77777777" w:rsidR="00DF410E" w:rsidRDefault="00CE7F43">
      <w:pPr>
        <w:ind w:left="567"/>
        <w:jc w:val="both"/>
      </w:pPr>
      <w:r>
        <w:rPr>
          <w:rStyle w:val="soitChar"/>
        </w:rPr>
        <w:t>Nuance d’acier inoxydable selon [NBN EN ISO 3506-1] :</w:t>
      </w:r>
      <w:r>
        <w:rPr>
          <w:rStyle w:val="optioncarChar"/>
        </w:rPr>
        <w:t xml:space="preserve">A2 </w:t>
      </w:r>
      <w:r>
        <w:t>(par défaut) </w:t>
      </w:r>
      <w:r>
        <w:rPr>
          <w:rStyle w:val="optioncarChar"/>
        </w:rPr>
        <w:t>/ A4 / ***</w:t>
      </w:r>
    </w:p>
    <w:p w14:paraId="7A286C92" w14:textId="77777777" w:rsidR="00DF410E" w:rsidRDefault="00CE7F43">
      <w:pPr>
        <w:pStyle w:val="pheading"/>
      </w:pPr>
      <w:r>
        <w:t>EXÉCUTION / MISE EN ŒUVRE</w:t>
      </w:r>
    </w:p>
    <w:p w14:paraId="7BDA233B" w14:textId="77777777" w:rsidR="00DF410E" w:rsidRDefault="00CE7F43">
      <w:pPr>
        <w:pStyle w:val="pheading"/>
      </w:pPr>
      <w:r>
        <w:t>- Prescriptions générales</w:t>
      </w:r>
    </w:p>
    <w:p w14:paraId="7A869AEC" w14:textId="77777777" w:rsidR="00DF410E" w:rsidRDefault="00CE7F43">
      <w:pPr>
        <w:jc w:val="both"/>
      </w:pPr>
      <w:r>
        <w:t>Sauf spécification contraire au cahier spécial des charges, les agrafes sont enfoncées perpendiculairement au fil et à une profondeur telle que les surfaces des têtes d’agrafes affleurent la surface du bois.</w:t>
      </w:r>
    </w:p>
    <w:p w14:paraId="18F23FC1" w14:textId="77777777" w:rsidR="00DF410E" w:rsidRDefault="00CE7F43">
      <w:pPr>
        <w:jc w:val="both"/>
      </w:pPr>
      <w:r>
        <w:t>Un assemblage est composé d’au moins deux agrafes.</w:t>
      </w:r>
    </w:p>
    <w:p w14:paraId="208497DF" w14:textId="77777777" w:rsidR="00DF410E" w:rsidRDefault="00DF410E"/>
    <w:p w14:paraId="19C307CD" w14:textId="77777777" w:rsidR="00DF410E" w:rsidRDefault="00CE7F43">
      <w:pPr>
        <w:jc w:val="both"/>
      </w:pPr>
      <w:r>
        <w:rPr>
          <w:b/>
          <w:u w:val="single"/>
        </w:rPr>
        <w:t>Pénétration minimale dans la dernière pièce</w:t>
      </w:r>
    </w:p>
    <w:p w14:paraId="6A0F0961" w14:textId="77777777" w:rsidR="00DF410E" w:rsidRDefault="00CE7F43">
      <w:pPr>
        <w:jc w:val="both"/>
      </w:pPr>
      <w:r>
        <w:t>La longueur de pénétration minimale d’une agrafe dans la dernière pièce est de 14 fois son diamètre.</w:t>
      </w:r>
    </w:p>
    <w:p w14:paraId="5DE7BA22" w14:textId="77777777" w:rsidR="00DF410E" w:rsidRDefault="00CE7F43">
      <w:pPr>
        <w:jc w:val="both"/>
      </w:pPr>
      <w:r>
        <w:rPr>
          <w:b/>
          <w:u w:val="single"/>
        </w:rPr>
        <w:t>Espacements</w:t>
      </w:r>
    </w:p>
    <w:p w14:paraId="1DDC99C6" w14:textId="77777777" w:rsidR="00DF410E" w:rsidRDefault="00CE7F43">
      <w:pPr>
        <w:jc w:val="both"/>
      </w:pPr>
      <w:r>
        <w:t>Les distances minimales entre deux agrafes ou entre une agrafe et la rive de l’élément en fonction de l’orientation du fil du bois décrites dans l’Eurocode 5 ([NBN EN 1995-1-1]) sont respectées.</w:t>
      </w:r>
    </w:p>
    <w:p w14:paraId="3303F83A" w14:textId="77777777" w:rsidR="00DF410E" w:rsidRDefault="00CE7F43">
      <w:pPr>
        <w:jc w:val="both"/>
      </w:pPr>
      <w:r>
        <w:rPr>
          <w:b/>
          <w:u w:val="single"/>
        </w:rPr>
        <w:t>Agrafage en bout de fil</w:t>
      </w:r>
    </w:p>
    <w:p w14:paraId="3A56A4DC" w14:textId="77777777" w:rsidR="00DF410E" w:rsidRDefault="00CE7F43">
      <w:pPr>
        <w:pStyle w:val="Author-eListParagraph"/>
        <w:numPr>
          <w:ilvl w:val="0"/>
          <w:numId w:val="1061"/>
        </w:numPr>
      </w:pPr>
      <w:r>
        <w:t>l’agrafage en bout de fil ne peut être utilisé que dans les structures secondaires ;</w:t>
      </w:r>
    </w:p>
    <w:p w14:paraId="28FF52F5" w14:textId="77777777" w:rsidR="00DF410E" w:rsidRDefault="00CE7F43">
      <w:pPr>
        <w:pStyle w:val="Author-eListParagraph"/>
        <w:numPr>
          <w:ilvl w:val="0"/>
          <w:numId w:val="1061"/>
        </w:numPr>
      </w:pPr>
      <w:r>
        <w:t>la capacité résistante est prise comme étant le tiers de celle qu’a la même agrafe installée perpendiculairement au fil ;</w:t>
      </w:r>
    </w:p>
    <w:p w14:paraId="661E3BF8" w14:textId="77777777" w:rsidR="00DF410E" w:rsidRDefault="00CE7F43">
      <w:pPr>
        <w:pStyle w:val="Author-eListParagraph"/>
        <w:numPr>
          <w:ilvl w:val="0"/>
          <w:numId w:val="1061"/>
        </w:numPr>
      </w:pPr>
      <w:r>
        <w:t>minimum trois agrafes sont installées dans l’assemblage ;</w:t>
      </w:r>
    </w:p>
    <w:p w14:paraId="30EF976D" w14:textId="77777777" w:rsidR="00DF410E" w:rsidRDefault="00CE7F43">
      <w:pPr>
        <w:pStyle w:val="Author-eListParagraph"/>
        <w:numPr>
          <w:ilvl w:val="0"/>
          <w:numId w:val="1061"/>
        </w:numPr>
      </w:pPr>
      <w:r>
        <w:t>les agrafes sont chargées latéralement uniquement ;</w:t>
      </w:r>
    </w:p>
    <w:p w14:paraId="7290ED83" w14:textId="77777777" w:rsidR="00DF410E" w:rsidRDefault="00CE7F43">
      <w:pPr>
        <w:pStyle w:val="Author-eListParagraph"/>
        <w:numPr>
          <w:ilvl w:val="0"/>
          <w:numId w:val="1061"/>
        </w:numPr>
      </w:pPr>
      <w:r>
        <w:t>l’assemblage est en classe d’emploi 1 ou 2.</w:t>
      </w:r>
    </w:p>
    <w:p w14:paraId="3CF4AE48" w14:textId="77777777" w:rsidR="00DF410E" w:rsidRDefault="00CE7F43">
      <w:pPr>
        <w:jc w:val="both"/>
      </w:pPr>
      <w:r>
        <w:rPr>
          <w:b/>
          <w:u w:val="single"/>
        </w:rPr>
        <w:t>Disposition des agrafes</w:t>
      </w:r>
    </w:p>
    <w:p w14:paraId="11CEC505" w14:textId="77777777" w:rsidR="00DF410E" w:rsidRDefault="00CE7F43">
      <w:pPr>
        <w:jc w:val="both"/>
      </w:pPr>
      <w:r>
        <w:t>Sauf indication contraire au cahier spécial des charges, les agrafes sont placées de telle façon que leurs têtes fassent un angle compris entre 30° et 60° avec le fil du bois.</w:t>
      </w:r>
    </w:p>
    <w:p w14:paraId="44690185" w14:textId="77777777" w:rsidR="00DF410E" w:rsidRDefault="00CE7F43">
      <w:pPr>
        <w:pStyle w:val="pheading"/>
      </w:pPr>
      <w:r>
        <w:t>MESURAGE</w:t>
      </w:r>
    </w:p>
    <w:p w14:paraId="0B6C27B5" w14:textId="77777777" w:rsidR="00DF410E" w:rsidRDefault="00CE7F43">
      <w:pPr>
        <w:pStyle w:val="pheading"/>
      </w:pPr>
      <w:r>
        <w:t>- unité de mesure:</w:t>
      </w:r>
    </w:p>
    <w:p w14:paraId="4F3BFCCE" w14:textId="77777777" w:rsidR="00DF410E" w:rsidRDefault="00CE7F43">
      <w:r>
        <w:rPr>
          <w:rStyle w:val="optioncarChar"/>
        </w:rPr>
        <w:t>- </w:t>
      </w:r>
      <w:r>
        <w:t>(par défaut) </w:t>
      </w:r>
      <w:r>
        <w:rPr>
          <w:rStyle w:val="optioncarChar"/>
        </w:rPr>
        <w:t>/ pc</w:t>
      </w:r>
    </w:p>
    <w:p w14:paraId="4B5E5190" w14:textId="77777777" w:rsidR="00DF410E" w:rsidRDefault="00CE7F43">
      <w:r>
        <w:rPr>
          <w:b/>
          <w:i/>
        </w:rPr>
        <w:t>(Soit par défaut)</w:t>
      </w:r>
    </w:p>
    <w:p w14:paraId="7C6BDC46" w14:textId="77777777" w:rsidR="00DF410E" w:rsidRDefault="00CE7F43">
      <w:r>
        <w:rPr>
          <w:rStyle w:val="soitChar"/>
        </w:rPr>
        <w:t>1.     –</w:t>
      </w:r>
    </w:p>
    <w:p w14:paraId="50EE56E6" w14:textId="77777777" w:rsidR="00DF410E" w:rsidRDefault="00CE7F43">
      <w:r>
        <w:rPr>
          <w:b/>
          <w:i/>
        </w:rPr>
        <w:t>(Soit)</w:t>
      </w:r>
    </w:p>
    <w:p w14:paraId="62889DEE" w14:textId="77777777" w:rsidR="00DF410E" w:rsidRDefault="00CE7F43">
      <w:r>
        <w:rPr>
          <w:rStyle w:val="soitChar"/>
        </w:rPr>
        <w:t>2.3.  pc</w:t>
      </w:r>
    </w:p>
    <w:p w14:paraId="2E1F8E47" w14:textId="77777777" w:rsidR="00DF410E" w:rsidRDefault="00CE7F43">
      <w:pPr>
        <w:pStyle w:val="pheading"/>
      </w:pPr>
      <w:r>
        <w:t>- code de mesurage:</w:t>
      </w:r>
    </w:p>
    <w:p w14:paraId="0BA1F2F7" w14:textId="77777777" w:rsidR="00DF410E" w:rsidRDefault="00CE7F43">
      <w:pPr>
        <w:jc w:val="both"/>
      </w:pPr>
      <w:r>
        <w:rPr>
          <w:rStyle w:val="optioncarChar"/>
        </w:rPr>
        <w:t>Compris </w:t>
      </w:r>
      <w:r>
        <w:t>(par défaut) </w:t>
      </w:r>
      <w:r>
        <w:rPr>
          <w:rStyle w:val="optioncarChar"/>
        </w:rPr>
        <w:t>/ Quantité nette</w:t>
      </w:r>
    </w:p>
    <w:p w14:paraId="5EF2B7E8" w14:textId="77777777" w:rsidR="00DF410E" w:rsidRDefault="00CE7F43">
      <w:pPr>
        <w:jc w:val="both"/>
      </w:pPr>
      <w:r>
        <w:rPr>
          <w:b/>
          <w:i/>
        </w:rPr>
        <w:t>(Soit par défaut)</w:t>
      </w:r>
    </w:p>
    <w:p w14:paraId="208638BE" w14:textId="77777777" w:rsidR="00DF410E" w:rsidRDefault="00CE7F43">
      <w:pPr>
        <w:jc w:val="both"/>
      </w:pPr>
      <w:r>
        <w:rPr>
          <w:rStyle w:val="soitChar"/>
        </w:rPr>
        <w:t>1.   </w:t>
      </w:r>
      <w:r>
        <w:rPr>
          <w:rStyle w:val="soitChar"/>
          <w:u w:val="single"/>
        </w:rPr>
        <w:t>  Compris</w:t>
      </w:r>
      <w:r>
        <w:rPr>
          <w:rStyle w:val="soitChar"/>
        </w:rPr>
        <w:t> dans l’article de référence</w:t>
      </w:r>
      <w:r>
        <w:t> </w:t>
      </w:r>
      <w:r>
        <w:rPr>
          <w:rStyle w:val="optioncarChar"/>
        </w:rPr>
        <w:t>***</w:t>
      </w:r>
    </w:p>
    <w:p w14:paraId="583B955B" w14:textId="77777777" w:rsidR="00DF410E" w:rsidRDefault="00CE7F43">
      <w:pPr>
        <w:jc w:val="both"/>
      </w:pPr>
      <w:r>
        <w:rPr>
          <w:b/>
          <w:i/>
        </w:rPr>
        <w:t>(Soit)</w:t>
      </w:r>
    </w:p>
    <w:p w14:paraId="00DDB714" w14:textId="77777777" w:rsidR="00DF410E" w:rsidRDefault="00CE7F43">
      <w:pPr>
        <w:jc w:val="both"/>
      </w:pPr>
      <w:r>
        <w:rPr>
          <w:rStyle w:val="soitChar"/>
        </w:rPr>
        <w:t>2.3. </w:t>
      </w:r>
      <w:r>
        <w:rPr>
          <w:rStyle w:val="soitChar"/>
          <w:u w:val="single"/>
        </w:rPr>
        <w:t>Quantité nette </w:t>
      </w:r>
      <w:r>
        <w:rPr>
          <w:rStyle w:val="soitChar"/>
        </w:rPr>
        <w:t>: Le nombre d’assemblages à embrèvement ayant les mêmes dimensions est compatibilisé.</w:t>
      </w:r>
    </w:p>
    <w:p w14:paraId="54C526C6" w14:textId="77777777" w:rsidR="00DF410E" w:rsidRDefault="00CE7F43">
      <w:pPr>
        <w:pStyle w:val="pheading"/>
      </w:pPr>
      <w:r>
        <w:t>- nature du marché:</w:t>
      </w:r>
    </w:p>
    <w:p w14:paraId="2A6D4FBA" w14:textId="77777777" w:rsidR="00DF410E" w:rsidRDefault="00CE7F43">
      <w:r>
        <w:rPr>
          <w:rStyle w:val="optioncarChar"/>
        </w:rPr>
        <w:t>PM </w:t>
      </w:r>
      <w:r>
        <w:t>(par défaut)</w:t>
      </w:r>
      <w:r>
        <w:rPr>
          <w:rStyle w:val="optioncarChar"/>
        </w:rPr>
        <w:t> / QF / QP</w:t>
      </w:r>
    </w:p>
    <w:p w14:paraId="3E9850B0" w14:textId="77777777" w:rsidR="00DF410E" w:rsidRDefault="00CE7F43">
      <w:r>
        <w:rPr>
          <w:b/>
          <w:i/>
        </w:rPr>
        <w:t>(Soit par défaut)</w:t>
      </w:r>
    </w:p>
    <w:p w14:paraId="745C39AA" w14:textId="77777777" w:rsidR="00DF410E" w:rsidRDefault="00CE7F43">
      <w:r>
        <w:rPr>
          <w:rStyle w:val="soitChar"/>
        </w:rPr>
        <w:t>1.     PM</w:t>
      </w:r>
    </w:p>
    <w:p w14:paraId="111D24C6" w14:textId="77777777" w:rsidR="00DF410E" w:rsidRDefault="00CE7F43">
      <w:r>
        <w:rPr>
          <w:b/>
          <w:i/>
        </w:rPr>
        <w:t>(Soit)</w:t>
      </w:r>
    </w:p>
    <w:p w14:paraId="261876B4" w14:textId="77777777" w:rsidR="00DF410E" w:rsidRDefault="00CE7F43">
      <w:r>
        <w:rPr>
          <w:rStyle w:val="soitChar"/>
        </w:rPr>
        <w:t>2.     QF</w:t>
      </w:r>
    </w:p>
    <w:p w14:paraId="138EA8C4" w14:textId="77777777" w:rsidR="00DF410E" w:rsidRDefault="00CE7F43">
      <w:r>
        <w:rPr>
          <w:b/>
          <w:i/>
        </w:rPr>
        <w:t>(Soit)</w:t>
      </w:r>
    </w:p>
    <w:p w14:paraId="62ED24B8" w14:textId="77777777" w:rsidR="00DF410E" w:rsidRDefault="00CE7F43">
      <w:r>
        <w:rPr>
          <w:rStyle w:val="soitChar"/>
        </w:rPr>
        <w:t>3.     QP</w:t>
      </w:r>
    </w:p>
    <w:p w14:paraId="3EA6858E" w14:textId="77777777" w:rsidR="00DF410E" w:rsidRDefault="00CE7F43">
      <w:pPr>
        <w:pStyle w:val="Author-eSectionHeading5"/>
      </w:pPr>
      <w:bookmarkStart w:id="1739" w:name="_Toc178838813"/>
      <w:r>
        <w:t>24.42.2 Connecteurs de surface CCTB 01.07</w:t>
      </w:r>
      <w:bookmarkEnd w:id="1739"/>
    </w:p>
    <w:p w14:paraId="155E62D8" w14:textId="77777777" w:rsidR="00DF410E" w:rsidRDefault="00CE7F43">
      <w:pPr>
        <w:pStyle w:val="pheading"/>
      </w:pPr>
      <w:r>
        <w:t>MATÉRIAUX</w:t>
      </w:r>
    </w:p>
    <w:p w14:paraId="6102AC2B" w14:textId="77777777" w:rsidR="00DF410E" w:rsidRDefault="00CE7F43">
      <w:pPr>
        <w:jc w:val="both"/>
      </w:pPr>
      <w:r>
        <w:rPr>
          <w:b/>
          <w:u w:val="single"/>
        </w:rPr>
        <w:t>Tolérances et dimensions</w:t>
      </w:r>
    </w:p>
    <w:p w14:paraId="3E93D433" w14:textId="77777777" w:rsidR="00DF410E" w:rsidRDefault="00CE7F43">
      <w:pPr>
        <w:jc w:val="both"/>
      </w:pPr>
      <w:r>
        <w:t>Les connecteurs de surfaces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DF410E" w14:paraId="6EC87315" w14:textId="77777777">
        <w:tc>
          <w:tcPr>
            <w:tcW w:w="3390" w:type="dxa"/>
            <w:shd w:val="clear" w:color="auto" w:fill="C0C0C0"/>
            <w:noWrap/>
          </w:tcPr>
          <w:p w14:paraId="4840758E" w14:textId="77777777" w:rsidR="00DF410E" w:rsidRDefault="00CE7F43">
            <w:pPr>
              <w:jc w:val="center"/>
            </w:pPr>
            <w:r>
              <w:rPr>
                <w:b/>
              </w:rPr>
              <w:t>Dimension</w:t>
            </w:r>
          </w:p>
        </w:tc>
        <w:tc>
          <w:tcPr>
            <w:tcW w:w="1875" w:type="dxa"/>
            <w:shd w:val="clear" w:color="auto" w:fill="C0C0C0"/>
            <w:noWrap/>
          </w:tcPr>
          <w:p w14:paraId="6BEA97EF" w14:textId="77777777" w:rsidR="00DF410E" w:rsidRDefault="00CE7F43">
            <w:pPr>
              <w:jc w:val="center"/>
            </w:pPr>
            <w:r>
              <w:rPr>
                <w:b/>
              </w:rPr>
              <w:t>Ecart négatif maximum</w:t>
            </w:r>
          </w:p>
        </w:tc>
        <w:tc>
          <w:tcPr>
            <w:tcW w:w="1875" w:type="dxa"/>
            <w:shd w:val="clear" w:color="auto" w:fill="C0C0C0"/>
            <w:noWrap/>
          </w:tcPr>
          <w:p w14:paraId="21D39361" w14:textId="77777777" w:rsidR="00DF410E" w:rsidRDefault="00CE7F43">
            <w:pPr>
              <w:jc w:val="center"/>
            </w:pPr>
            <w:r>
              <w:rPr>
                <w:b/>
              </w:rPr>
              <w:t>Ecart positif maximum</w:t>
            </w:r>
          </w:p>
        </w:tc>
        <w:tc>
          <w:tcPr>
            <w:tcW w:w="1875" w:type="dxa"/>
            <w:shd w:val="clear" w:color="auto" w:fill="C0C0C0"/>
            <w:noWrap/>
          </w:tcPr>
          <w:p w14:paraId="4CC9A4EA" w14:textId="77777777" w:rsidR="00DF410E" w:rsidRDefault="00CE7F43">
            <w:pPr>
              <w:jc w:val="center"/>
            </w:pPr>
            <w:r>
              <w:rPr>
                <w:b/>
              </w:rPr>
              <w:t>Précision de la mesure</w:t>
            </w:r>
          </w:p>
        </w:tc>
      </w:tr>
      <w:tr w:rsidR="00DF410E" w14:paraId="173407CB" w14:textId="77777777">
        <w:tc>
          <w:tcPr>
            <w:tcW w:w="3390" w:type="dxa"/>
            <w:noWrap/>
          </w:tcPr>
          <w:p w14:paraId="1AF3D0D0" w14:textId="77777777" w:rsidR="00DF410E" w:rsidRDefault="00CE7F43">
            <w:r>
              <w:t>Longueur ou largeur ≤ 100mm</w:t>
            </w:r>
          </w:p>
        </w:tc>
        <w:tc>
          <w:tcPr>
            <w:tcW w:w="1875" w:type="dxa"/>
            <w:noWrap/>
          </w:tcPr>
          <w:p w14:paraId="169E697F" w14:textId="77777777" w:rsidR="00DF410E" w:rsidRDefault="00CE7F43">
            <w:pPr>
              <w:jc w:val="center"/>
            </w:pPr>
            <w:r>
              <w:t>- 1mm</w:t>
            </w:r>
          </w:p>
        </w:tc>
        <w:tc>
          <w:tcPr>
            <w:tcW w:w="1875" w:type="dxa"/>
            <w:noWrap/>
          </w:tcPr>
          <w:p w14:paraId="5641EDE0" w14:textId="77777777" w:rsidR="00DF410E" w:rsidRDefault="00CE7F43">
            <w:pPr>
              <w:jc w:val="center"/>
            </w:pPr>
            <w:r>
              <w:t>+ 2mm</w:t>
            </w:r>
          </w:p>
        </w:tc>
        <w:tc>
          <w:tcPr>
            <w:tcW w:w="1875" w:type="dxa"/>
            <w:noWrap/>
          </w:tcPr>
          <w:p w14:paraId="3A4F81D1" w14:textId="77777777" w:rsidR="00DF410E" w:rsidRDefault="00CE7F43">
            <w:pPr>
              <w:jc w:val="center"/>
            </w:pPr>
            <w:r>
              <w:t>+/- 0,5mm</w:t>
            </w:r>
          </w:p>
        </w:tc>
      </w:tr>
      <w:tr w:rsidR="00DF410E" w14:paraId="1AFE9CAD" w14:textId="77777777">
        <w:tc>
          <w:tcPr>
            <w:tcW w:w="3390" w:type="dxa"/>
            <w:noWrap/>
          </w:tcPr>
          <w:p w14:paraId="421BBA8E" w14:textId="77777777" w:rsidR="00DF410E" w:rsidRDefault="00CE7F43">
            <w:r>
              <w:t>Longueur ou largeur &gt; 100mm</w:t>
            </w:r>
          </w:p>
        </w:tc>
        <w:tc>
          <w:tcPr>
            <w:tcW w:w="1875" w:type="dxa"/>
            <w:noWrap/>
          </w:tcPr>
          <w:p w14:paraId="3CD0C230" w14:textId="77777777" w:rsidR="00DF410E" w:rsidRDefault="00CE7F43">
            <w:pPr>
              <w:jc w:val="center"/>
            </w:pPr>
            <w:r>
              <w:t>- 1%</w:t>
            </w:r>
          </w:p>
        </w:tc>
        <w:tc>
          <w:tcPr>
            <w:tcW w:w="1875" w:type="dxa"/>
            <w:noWrap/>
          </w:tcPr>
          <w:p w14:paraId="2FB674CB" w14:textId="77777777" w:rsidR="00DF410E" w:rsidRDefault="00CE7F43">
            <w:pPr>
              <w:jc w:val="center"/>
            </w:pPr>
            <w:r>
              <w:t>+ 2%</w:t>
            </w:r>
          </w:p>
        </w:tc>
        <w:tc>
          <w:tcPr>
            <w:tcW w:w="1875" w:type="dxa"/>
            <w:noWrap/>
          </w:tcPr>
          <w:p w14:paraId="05AB62EC" w14:textId="77777777" w:rsidR="00DF410E" w:rsidRDefault="00CE7F43">
            <w:pPr>
              <w:jc w:val="center"/>
            </w:pPr>
            <w:r>
              <w:t>+/- 0,5mm</w:t>
            </w:r>
          </w:p>
        </w:tc>
      </w:tr>
      <w:tr w:rsidR="00DF410E" w14:paraId="18116A3A" w14:textId="77777777">
        <w:tc>
          <w:tcPr>
            <w:tcW w:w="3390" w:type="dxa"/>
            <w:noWrap/>
          </w:tcPr>
          <w:p w14:paraId="34CD6161" w14:textId="77777777" w:rsidR="00DF410E" w:rsidRDefault="00CE7F43">
            <w:r>
              <w:t>Diamètre</w:t>
            </w:r>
          </w:p>
        </w:tc>
        <w:tc>
          <w:tcPr>
            <w:tcW w:w="1875" w:type="dxa"/>
            <w:noWrap/>
          </w:tcPr>
          <w:p w14:paraId="461D997C" w14:textId="77777777" w:rsidR="00DF410E" w:rsidRDefault="00CE7F43">
            <w:pPr>
              <w:jc w:val="center"/>
            </w:pPr>
            <w:r>
              <w:t>v. [NBN EN 912], ou - 2,5%</w:t>
            </w:r>
          </w:p>
        </w:tc>
        <w:tc>
          <w:tcPr>
            <w:tcW w:w="1875" w:type="dxa"/>
            <w:noWrap/>
          </w:tcPr>
          <w:p w14:paraId="7895FC51" w14:textId="77777777" w:rsidR="00DF410E" w:rsidRDefault="00CE7F43">
            <w:pPr>
              <w:jc w:val="center"/>
            </w:pPr>
            <w:r>
              <w:t>v.[NBN EN 912], ou + 2,5%</w:t>
            </w:r>
          </w:p>
        </w:tc>
        <w:tc>
          <w:tcPr>
            <w:tcW w:w="1875" w:type="dxa"/>
            <w:noWrap/>
          </w:tcPr>
          <w:p w14:paraId="2CFD9A33" w14:textId="77777777" w:rsidR="00DF410E" w:rsidRDefault="00CE7F43">
            <w:pPr>
              <w:jc w:val="center"/>
            </w:pPr>
            <w:r>
              <w:t>+/- 1%</w:t>
            </w:r>
          </w:p>
        </w:tc>
      </w:tr>
      <w:tr w:rsidR="00DF410E" w14:paraId="3604C121" w14:textId="77777777">
        <w:tc>
          <w:tcPr>
            <w:tcW w:w="3390" w:type="dxa"/>
            <w:noWrap/>
          </w:tcPr>
          <w:p w14:paraId="6F24E26C" w14:textId="77777777" w:rsidR="00DF410E" w:rsidRDefault="00CE7F43">
            <w:r>
              <w:t>Epaisseur</w:t>
            </w:r>
          </w:p>
        </w:tc>
        <w:tc>
          <w:tcPr>
            <w:tcW w:w="3750" w:type="dxa"/>
            <w:gridSpan w:val="2"/>
            <w:noWrap/>
          </w:tcPr>
          <w:p w14:paraId="750F41A4" w14:textId="77777777" w:rsidR="00DF410E" w:rsidRDefault="00CE7F43">
            <w:pPr>
              <w:jc w:val="center"/>
            </w:pPr>
            <w:r>
              <w:t>v. tolérances du matériaux</w:t>
            </w:r>
          </w:p>
        </w:tc>
        <w:tc>
          <w:tcPr>
            <w:tcW w:w="1875" w:type="dxa"/>
            <w:noWrap/>
          </w:tcPr>
          <w:p w14:paraId="65562CE2" w14:textId="77777777" w:rsidR="00DF410E" w:rsidRDefault="00CE7F43">
            <w:pPr>
              <w:jc w:val="center"/>
            </w:pPr>
            <w:r>
              <w:t>+/- 1%</w:t>
            </w:r>
          </w:p>
        </w:tc>
      </w:tr>
      <w:tr w:rsidR="00DF410E" w14:paraId="0740D07E" w14:textId="77777777">
        <w:tc>
          <w:tcPr>
            <w:tcW w:w="3390" w:type="dxa"/>
            <w:noWrap/>
          </w:tcPr>
          <w:p w14:paraId="6F71DF75" w14:textId="77777777" w:rsidR="00DF410E" w:rsidRDefault="00CE7F43">
            <w:r>
              <w:t>Autres dimensions ≤ 30mm</w:t>
            </w:r>
          </w:p>
        </w:tc>
        <w:tc>
          <w:tcPr>
            <w:tcW w:w="1875" w:type="dxa"/>
            <w:noWrap/>
          </w:tcPr>
          <w:p w14:paraId="7E968EDA" w14:textId="77777777" w:rsidR="00DF410E" w:rsidRDefault="00CE7F43">
            <w:pPr>
              <w:jc w:val="center"/>
            </w:pPr>
            <w:r>
              <w:t>- 0,75mm</w:t>
            </w:r>
          </w:p>
        </w:tc>
        <w:tc>
          <w:tcPr>
            <w:tcW w:w="1875" w:type="dxa"/>
            <w:noWrap/>
          </w:tcPr>
          <w:p w14:paraId="70F32B11" w14:textId="77777777" w:rsidR="00DF410E" w:rsidRDefault="00CE7F43">
            <w:pPr>
              <w:jc w:val="center"/>
            </w:pPr>
            <w:r>
              <w:t>+ 0,75mm</w:t>
            </w:r>
          </w:p>
        </w:tc>
        <w:tc>
          <w:tcPr>
            <w:tcW w:w="1875" w:type="dxa"/>
            <w:noWrap/>
          </w:tcPr>
          <w:p w14:paraId="3BC81E57" w14:textId="77777777" w:rsidR="00DF410E" w:rsidRDefault="00CE7F43">
            <w:pPr>
              <w:jc w:val="center"/>
            </w:pPr>
            <w:r>
              <w:t>+/- 1%</w:t>
            </w:r>
          </w:p>
        </w:tc>
      </w:tr>
      <w:tr w:rsidR="00DF410E" w14:paraId="1B4EBCC0" w14:textId="77777777">
        <w:tc>
          <w:tcPr>
            <w:tcW w:w="3390" w:type="dxa"/>
            <w:noWrap/>
          </w:tcPr>
          <w:p w14:paraId="5C8B1FEE" w14:textId="77777777" w:rsidR="00DF410E" w:rsidRDefault="00CE7F43">
            <w:r>
              <w:t>Autres dimensions &gt; 30mm</w:t>
            </w:r>
          </w:p>
        </w:tc>
        <w:tc>
          <w:tcPr>
            <w:tcW w:w="1875" w:type="dxa"/>
            <w:noWrap/>
          </w:tcPr>
          <w:p w14:paraId="6054C31A" w14:textId="77777777" w:rsidR="00DF410E" w:rsidRDefault="00CE7F43">
            <w:pPr>
              <w:jc w:val="center"/>
            </w:pPr>
            <w:r>
              <w:t>- 2,5%</w:t>
            </w:r>
          </w:p>
        </w:tc>
        <w:tc>
          <w:tcPr>
            <w:tcW w:w="1875" w:type="dxa"/>
            <w:noWrap/>
          </w:tcPr>
          <w:p w14:paraId="2ECDADE3" w14:textId="77777777" w:rsidR="00DF410E" w:rsidRDefault="00CE7F43">
            <w:pPr>
              <w:jc w:val="center"/>
            </w:pPr>
            <w:r>
              <w:t>+ 2,5%</w:t>
            </w:r>
          </w:p>
        </w:tc>
        <w:tc>
          <w:tcPr>
            <w:tcW w:w="1875" w:type="dxa"/>
            <w:noWrap/>
          </w:tcPr>
          <w:p w14:paraId="2394B775" w14:textId="77777777" w:rsidR="00DF410E" w:rsidRDefault="00CE7F43">
            <w:pPr>
              <w:jc w:val="center"/>
            </w:pPr>
            <w:r>
              <w:t>+/- 1%</w:t>
            </w:r>
          </w:p>
        </w:tc>
      </w:tr>
    </w:tbl>
    <w:p w14:paraId="36ABE2E6" w14:textId="77777777" w:rsidR="00DF410E" w:rsidRDefault="00DF410E"/>
    <w:p w14:paraId="7B2C6087" w14:textId="77777777" w:rsidR="00DF410E" w:rsidRDefault="00CE7F43">
      <w:pPr>
        <w:pStyle w:val="Author-eSectionHeading6"/>
      </w:pPr>
      <w:bookmarkStart w:id="1740" w:name="_Toc178838814"/>
      <w:r>
        <w:t>24.42.2a Connecteurs de surface - anneaux CCTB 01.12</w:t>
      </w:r>
      <w:bookmarkEnd w:id="1740"/>
    </w:p>
    <w:p w14:paraId="7080061D" w14:textId="77777777" w:rsidR="00DF410E" w:rsidRDefault="00CE7F43">
      <w:pPr>
        <w:pStyle w:val="pheading"/>
      </w:pPr>
      <w:bookmarkStart w:id="1741" w:name="611"/>
      <w:bookmarkEnd w:id="1741"/>
      <w:r>
        <w:t>DESCRIPTION</w:t>
      </w:r>
    </w:p>
    <w:p w14:paraId="7A77761A" w14:textId="77777777" w:rsidR="00DF410E" w:rsidRDefault="00CE7F43">
      <w:pPr>
        <w:pStyle w:val="pheading"/>
      </w:pPr>
      <w:r>
        <w:t>- Définition / Comprend</w:t>
      </w:r>
    </w:p>
    <w:p w14:paraId="53FAAF1E" w14:textId="77777777" w:rsidR="00DF410E" w:rsidRDefault="00CE7F43">
      <w:pPr>
        <w:jc w:val="both"/>
      </w:pPr>
      <w:r>
        <w:t>Il s’agit de dispositifs qui peuvent être soit formés comme un anneau fermé ou un anneau coupé en un endroit de sa circonférence et inséré dans chaque face de contact de deux éléments en bois adjacents, soit constitués d’une plaque circulaire avec une bride le long de la circonférence d’un côté de la plaque et s’insérant dans la face de contact d’un seul des deux éléments en bois adjacents.</w:t>
      </w:r>
    </w:p>
    <w:p w14:paraId="531CEC7C" w14:textId="77777777" w:rsidR="00DF410E" w:rsidRDefault="00CE7F43">
      <w:pPr>
        <w:jc w:val="both"/>
      </w:pPr>
      <w:r>
        <w:t>Un exemple d’anneau (type A1) est présenté ci-dessous :</w:t>
      </w:r>
    </w:p>
    <w:p w14:paraId="17A9420B" w14:textId="77777777" w:rsidR="00DF410E" w:rsidRDefault="00CE7F43">
      <w:pPr>
        <w:jc w:val="both"/>
      </w:pPr>
      <w:r>
        <w:rPr>
          <w:noProof/>
        </w:rPr>
        <w:drawing>
          <wp:anchor distT="0" distB="0" distL="0" distR="0" simplePos="0" relativeHeight="251657728" behindDoc="0" locked="0" layoutInCell="1" allowOverlap="0" wp14:anchorId="6BD97CE4" wp14:editId="1199298C">
            <wp:simplePos x="0" y="0"/>
            <wp:positionH relativeFrom="column">
              <wp:align>center</wp:align>
            </wp:positionH>
            <wp:positionV relativeFrom="line">
              <wp:align>top</wp:align>
            </wp:positionV>
            <wp:extent cx="2381250" cy="2571750"/>
            <wp:effectExtent l="0" t="0" r="0" b="0"/>
            <wp:wrapTopAndBottom/>
            <wp:docPr id="965967252" name="24.42.2a.png" descr="24.4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69" descr="24.42.2a.png"/>
                    <pic:cNvPicPr>
                      <a:picLocks noChangeAspect="1" noChangeArrowheads="1"/>
                    </pic:cNvPicPr>
                  </pic:nvPicPr>
                  <pic:blipFill>
                    <a:blip r:embed="rId339"/>
                    <a:srcRect/>
                    <a:stretch>
                      <a:fillRect/>
                    </a:stretch>
                  </pic:blipFill>
                  <pic:spPr bwMode="auto">
                    <a:xfrm>
                      <a:off x="0" y="0"/>
                      <a:ext cx="2381250" cy="2571750"/>
                    </a:xfrm>
                    <a:prstGeom prst="rect">
                      <a:avLst/>
                    </a:prstGeom>
                  </pic:spPr>
                </pic:pic>
              </a:graphicData>
            </a:graphic>
          </wp:anchor>
        </w:drawing>
      </w:r>
    </w:p>
    <w:p w14:paraId="5357502D" w14:textId="77777777" w:rsidR="00DF410E" w:rsidRDefault="00CE7F43">
      <w:r>
        <w:rPr>
          <w:b/>
        </w:rPr>
        <w:t>Remarques importantes</w:t>
      </w:r>
      <w:r>
        <w:br/>
        <w:t>Les anneaux sont marqués CE suivant la [NBN EN 14545].</w:t>
      </w:r>
    </w:p>
    <w:p w14:paraId="57ABA051" w14:textId="77777777" w:rsidR="00DF410E" w:rsidRDefault="00CE7F43">
      <w:pPr>
        <w:pStyle w:val="pheading"/>
      </w:pPr>
      <w:r>
        <w:t>MATÉRIAUX</w:t>
      </w:r>
    </w:p>
    <w:p w14:paraId="6E3238B0" w14:textId="77777777" w:rsidR="00DF410E" w:rsidRDefault="00CE7F43">
      <w:pPr>
        <w:pStyle w:val="pheading"/>
      </w:pPr>
      <w:r>
        <w:t>- Caractéristiques générales</w:t>
      </w:r>
    </w:p>
    <w:p w14:paraId="17B59C0B" w14:textId="77777777" w:rsidR="00DF410E" w:rsidRDefault="00CE7F43">
      <w:pPr>
        <w:jc w:val="both"/>
      </w:pPr>
      <w:r>
        <w:t>Les anneaux répondent aux prescriptions décrites dans les normes [NBN EN 14545] et [NBN EN 912].</w:t>
      </w:r>
    </w:p>
    <w:p w14:paraId="2D301F40" w14:textId="77777777" w:rsidR="00DF410E" w:rsidRDefault="00CE7F43">
      <w:pPr>
        <w:jc w:val="both"/>
      </w:pPr>
      <w:r>
        <w:t>La géométrie et le matériau constitutif de l’anneau sont décrits dans la [NBN EN 912]. Celle-ci définit 6 types d’anneaux double face (numéroté de A1 à A6) et 4 types d’anneaux simple face (numéroté de B1 à B4).</w:t>
      </w:r>
    </w:p>
    <w:p w14:paraId="2A2B9824" w14:textId="77777777" w:rsidR="00DF410E" w:rsidRDefault="00CE7F43">
      <w:pPr>
        <w:jc w:val="both"/>
      </w:pPr>
      <w:r>
        <w:t xml:space="preserve">Type d’anneau : </w:t>
      </w:r>
      <w:r>
        <w:rPr>
          <w:rStyle w:val="optioncarChar"/>
        </w:rPr>
        <w:t>A1 / A2 / A3 / A4 / A5 / A6 / B1 / B2 / B3 / B4</w:t>
      </w:r>
    </w:p>
    <w:p w14:paraId="65787844" w14:textId="77777777" w:rsidR="00DF410E" w:rsidRDefault="00CE7F43">
      <w:pPr>
        <w:jc w:val="both"/>
      </w:pPr>
      <w:r>
        <w:t>Dans la pratique, les anneaux de types A1 et B1 sont les plus faciles à trouver.</w:t>
      </w:r>
    </w:p>
    <w:p w14:paraId="59AAA4B7" w14:textId="77777777" w:rsidR="00DF410E" w:rsidRDefault="00CE7F43">
      <w:pPr>
        <w:jc w:val="both"/>
      </w:pPr>
      <w:r>
        <w:t>Diamètre  (selon [NBN EN 912]) :</w:t>
      </w:r>
      <w:r>
        <w:rPr>
          <w:rStyle w:val="optioncarChar"/>
        </w:rPr>
        <w:t xml:space="preserve"> ***</w:t>
      </w:r>
    </w:p>
    <w:p w14:paraId="027DDC6C" w14:textId="77777777" w:rsidR="00DF410E" w:rsidRDefault="00CE7F43">
      <w:pPr>
        <w:jc w:val="both"/>
      </w:pPr>
      <w:r>
        <w:t>Les mesures de protection à prendre pour éviter la corrosion des anneaux doivent être choisies en fonction de la classe d’emploi dans laquelle l’anneau est installé et des essences de bois avec lesquelles il est en contact.</w:t>
      </w:r>
    </w:p>
    <w:p w14:paraId="317DC9D7" w14:textId="77777777" w:rsidR="00DF410E" w:rsidRDefault="00DF410E"/>
    <w:p w14:paraId="41B51633" w14:textId="77777777" w:rsidR="00DF410E" w:rsidRDefault="00CE7F43">
      <w:pPr>
        <w:pStyle w:val="pheading"/>
      </w:pPr>
      <w:r>
        <w:t>EXÉCUTION / MISE EN ŒUVRE</w:t>
      </w:r>
    </w:p>
    <w:p w14:paraId="5B216BE1" w14:textId="77777777" w:rsidR="00DF410E" w:rsidRDefault="00CE7F43">
      <w:pPr>
        <w:pStyle w:val="pheading"/>
      </w:pPr>
      <w:r>
        <w:t>- Prescriptions générales</w:t>
      </w:r>
    </w:p>
    <w:p w14:paraId="2C349046" w14:textId="77777777" w:rsidR="00DF410E" w:rsidRDefault="00CE7F43">
      <w:pPr>
        <w:jc w:val="both"/>
      </w:pPr>
      <w:r>
        <w:t>Les espacements et distances minimaux à respecter ont été modifiés par l’amendement 2 de l’Eurocode 5 ([NBN EN 1995-1-1/A2]). Le tableau suivant, provenant de cette annexe est d’application :</w:t>
      </w:r>
    </w:p>
    <w:p w14:paraId="778F98BB" w14:textId="77777777" w:rsidR="00DF410E" w:rsidRDefault="00CE7F43">
      <w:pPr>
        <w:jc w:val="both"/>
      </w:pPr>
      <w:r>
        <w:t>Le dimensionnement d’un assemblage par anneau est réalisé conformément aux prescriptions de l’Eurocode 5 ([NBN EN 1995-1-1]).</w:t>
      </w:r>
    </w:p>
    <w:p w14:paraId="5AE32CD3" w14:textId="77777777" w:rsidR="00DF410E" w:rsidRDefault="00CE7F43">
      <w:pPr>
        <w:jc w:val="both"/>
      </w:pPr>
      <w:r>
        <w:t>Un usinage préalable est réalisé pour installer les anneaux. Ils sont montés sans jeu. La profondeur des logements est supérieure de plus de 2 mm à la profondeur de pénétration.</w:t>
      </w:r>
    </w:p>
    <w:p w14:paraId="583B9443" w14:textId="77777777" w:rsidR="00DF410E" w:rsidRDefault="00CE7F43">
      <w:pPr>
        <w:pStyle w:val="pheading"/>
      </w:pPr>
      <w:r>
        <w:t>MESURAGE</w:t>
      </w:r>
    </w:p>
    <w:p w14:paraId="00B3A09E" w14:textId="77777777" w:rsidR="00DF410E" w:rsidRDefault="00CE7F43">
      <w:pPr>
        <w:pStyle w:val="pheading"/>
      </w:pPr>
      <w:r>
        <w:t>- unité de mesure:</w:t>
      </w:r>
    </w:p>
    <w:p w14:paraId="06256B73" w14:textId="77777777" w:rsidR="00DF410E" w:rsidRDefault="00CE7F43">
      <w:r>
        <w:rPr>
          <w:rStyle w:val="optioncarChar"/>
        </w:rPr>
        <w:t>- </w:t>
      </w:r>
      <w:r>
        <w:t>(par défaut) </w:t>
      </w:r>
      <w:r>
        <w:rPr>
          <w:rStyle w:val="optioncarChar"/>
        </w:rPr>
        <w:t>/ pc</w:t>
      </w:r>
    </w:p>
    <w:p w14:paraId="6497C809" w14:textId="77777777" w:rsidR="00DF410E" w:rsidRDefault="00CE7F43">
      <w:r>
        <w:rPr>
          <w:b/>
          <w:i/>
        </w:rPr>
        <w:t>(Soit par défaut)</w:t>
      </w:r>
    </w:p>
    <w:p w14:paraId="2DE1DB84" w14:textId="77777777" w:rsidR="00DF410E" w:rsidRDefault="00CE7F43">
      <w:r>
        <w:rPr>
          <w:rStyle w:val="soitChar"/>
        </w:rPr>
        <w:t>1.     –</w:t>
      </w:r>
    </w:p>
    <w:p w14:paraId="4CAF342A" w14:textId="77777777" w:rsidR="00DF410E" w:rsidRDefault="00CE7F43">
      <w:r>
        <w:rPr>
          <w:b/>
          <w:i/>
        </w:rPr>
        <w:t>(Soit)</w:t>
      </w:r>
    </w:p>
    <w:p w14:paraId="78710798" w14:textId="77777777" w:rsidR="00DF410E" w:rsidRDefault="00CE7F43">
      <w:r>
        <w:rPr>
          <w:rStyle w:val="soitChar"/>
        </w:rPr>
        <w:t>2.3.  pc</w:t>
      </w:r>
    </w:p>
    <w:p w14:paraId="233D5858" w14:textId="77777777" w:rsidR="00DF410E" w:rsidRDefault="00CE7F43">
      <w:pPr>
        <w:pStyle w:val="pheading"/>
      </w:pPr>
      <w:r>
        <w:t>- code de mesurage:</w:t>
      </w:r>
    </w:p>
    <w:p w14:paraId="0372E0D8" w14:textId="77777777" w:rsidR="00DF410E" w:rsidRDefault="00CE7F43">
      <w:pPr>
        <w:jc w:val="both"/>
      </w:pPr>
      <w:r>
        <w:rPr>
          <w:rStyle w:val="optioncarChar"/>
        </w:rPr>
        <w:t>Compris</w:t>
      </w:r>
      <w:r>
        <w:t> (par défaut)</w:t>
      </w:r>
      <w:r>
        <w:rPr>
          <w:rStyle w:val="optioncarChar"/>
        </w:rPr>
        <w:t> / Quantité nette</w:t>
      </w:r>
    </w:p>
    <w:p w14:paraId="69286CC6" w14:textId="77777777" w:rsidR="00DF410E" w:rsidRDefault="00CE7F43">
      <w:pPr>
        <w:jc w:val="both"/>
      </w:pPr>
      <w:r>
        <w:rPr>
          <w:b/>
          <w:i/>
        </w:rPr>
        <w:t>(Soit par défaut)</w:t>
      </w:r>
    </w:p>
    <w:p w14:paraId="4EE1CB82" w14:textId="77777777" w:rsidR="00DF410E" w:rsidRDefault="00CE7F43">
      <w:pPr>
        <w:jc w:val="both"/>
      </w:pPr>
      <w:r>
        <w:rPr>
          <w:rStyle w:val="soitChar"/>
        </w:rPr>
        <w:t>1.    </w:t>
      </w:r>
      <w:r>
        <w:rPr>
          <w:rStyle w:val="soitChar"/>
          <w:u w:val="single"/>
        </w:rPr>
        <w:t> Compris</w:t>
      </w:r>
      <w:r>
        <w:rPr>
          <w:rStyle w:val="soitChar"/>
        </w:rPr>
        <w:t> dans l’article de référence</w:t>
      </w:r>
      <w:r>
        <w:t> </w:t>
      </w:r>
      <w:r>
        <w:rPr>
          <w:rStyle w:val="optioncarChar"/>
        </w:rPr>
        <w:t>***</w:t>
      </w:r>
    </w:p>
    <w:p w14:paraId="4749236D" w14:textId="77777777" w:rsidR="00DF410E" w:rsidRDefault="00CE7F43">
      <w:pPr>
        <w:jc w:val="both"/>
      </w:pPr>
      <w:r>
        <w:rPr>
          <w:b/>
          <w:i/>
        </w:rPr>
        <w:t>(Soit)</w:t>
      </w:r>
    </w:p>
    <w:p w14:paraId="5BE0E756" w14:textId="77777777" w:rsidR="00DF410E" w:rsidRDefault="00CE7F43">
      <w:pPr>
        <w:jc w:val="both"/>
      </w:pPr>
      <w:r>
        <w:rPr>
          <w:rStyle w:val="soitChar"/>
        </w:rPr>
        <w:t>2.3. </w:t>
      </w:r>
      <w:r>
        <w:rPr>
          <w:rStyle w:val="soitChar"/>
          <w:u w:val="single"/>
        </w:rPr>
        <w:t>Quantité nette </w:t>
      </w:r>
      <w:r>
        <w:rPr>
          <w:rStyle w:val="soitChar"/>
        </w:rPr>
        <w:t>: Le nombre d’assemblages à embrèvement ayant les mêmes dimensions est compatibilisé.</w:t>
      </w:r>
    </w:p>
    <w:p w14:paraId="5E17A6CE" w14:textId="77777777" w:rsidR="00DF410E" w:rsidRDefault="00CE7F43">
      <w:pPr>
        <w:pStyle w:val="pheading"/>
      </w:pPr>
      <w:r>
        <w:t>- nature du marché:</w:t>
      </w:r>
    </w:p>
    <w:p w14:paraId="4C672180" w14:textId="77777777" w:rsidR="00DF410E" w:rsidRDefault="00CE7F43">
      <w:r>
        <w:rPr>
          <w:rStyle w:val="optioncarChar"/>
        </w:rPr>
        <w:t>PM </w:t>
      </w:r>
      <w:r>
        <w:t>(par défaut)</w:t>
      </w:r>
      <w:r>
        <w:rPr>
          <w:rStyle w:val="optioncarChar"/>
        </w:rPr>
        <w:t> / QF / QP</w:t>
      </w:r>
    </w:p>
    <w:p w14:paraId="2B7CFE39" w14:textId="77777777" w:rsidR="00DF410E" w:rsidRDefault="00CE7F43">
      <w:r>
        <w:rPr>
          <w:b/>
          <w:i/>
        </w:rPr>
        <w:t>(Soit par défaut)</w:t>
      </w:r>
    </w:p>
    <w:p w14:paraId="7531988F" w14:textId="77777777" w:rsidR="00DF410E" w:rsidRDefault="00CE7F43">
      <w:r>
        <w:rPr>
          <w:rStyle w:val="soitChar"/>
        </w:rPr>
        <w:t>1.     PM</w:t>
      </w:r>
    </w:p>
    <w:p w14:paraId="0AB6AD93" w14:textId="77777777" w:rsidR="00DF410E" w:rsidRDefault="00CE7F43">
      <w:r>
        <w:rPr>
          <w:b/>
          <w:i/>
        </w:rPr>
        <w:t>(Soit)</w:t>
      </w:r>
    </w:p>
    <w:p w14:paraId="1D2D8B30" w14:textId="77777777" w:rsidR="00DF410E" w:rsidRDefault="00CE7F43">
      <w:r>
        <w:rPr>
          <w:rStyle w:val="soitChar"/>
        </w:rPr>
        <w:t>2.     QF</w:t>
      </w:r>
    </w:p>
    <w:p w14:paraId="77417F69" w14:textId="77777777" w:rsidR="00DF410E" w:rsidRDefault="00CE7F43">
      <w:r>
        <w:rPr>
          <w:b/>
          <w:i/>
        </w:rPr>
        <w:t>(Soit)</w:t>
      </w:r>
    </w:p>
    <w:p w14:paraId="26C1CA38" w14:textId="77777777" w:rsidR="00DF410E" w:rsidRDefault="00CE7F43">
      <w:r>
        <w:rPr>
          <w:rStyle w:val="soitChar"/>
        </w:rPr>
        <w:t>3.     QP</w:t>
      </w:r>
    </w:p>
    <w:p w14:paraId="73778F8C" w14:textId="77777777" w:rsidR="00DF410E" w:rsidRDefault="00CE7F43">
      <w:pPr>
        <w:pStyle w:val="Author-eSectionHeading6"/>
      </w:pPr>
      <w:bookmarkStart w:id="1742" w:name="_Toc178838815"/>
      <w:r>
        <w:t>24.42.2b Connecteurs de surface - crampons CCTB 01.11</w:t>
      </w:r>
      <w:bookmarkEnd w:id="1742"/>
    </w:p>
    <w:p w14:paraId="4CCAD975" w14:textId="77777777" w:rsidR="00DF410E" w:rsidRDefault="00CE7F43">
      <w:pPr>
        <w:pStyle w:val="pheading"/>
      </w:pPr>
      <w:bookmarkStart w:id="1743" w:name="610"/>
      <w:bookmarkEnd w:id="1743"/>
      <w:r>
        <w:t>DESCRIPTION</w:t>
      </w:r>
    </w:p>
    <w:p w14:paraId="1D05310D" w14:textId="77777777" w:rsidR="00DF410E" w:rsidRDefault="00CE7F43">
      <w:pPr>
        <w:pStyle w:val="pheading"/>
      </w:pPr>
      <w:r>
        <w:t>- Définition / Comprend</w:t>
      </w:r>
    </w:p>
    <w:p w14:paraId="6B378780" w14:textId="77777777" w:rsidR="00DF410E" w:rsidRDefault="00CE7F43">
      <w:pPr>
        <w:jc w:val="both"/>
      </w:pPr>
      <w:r>
        <w:t>Il s’agit d’assembleurs constitués d’une plaque avec, sur ses bords, des dents triangulaires ou des pointes. Un crampon peut être double face ou simple face.</w:t>
      </w:r>
    </w:p>
    <w:p w14:paraId="4C563A27" w14:textId="77777777" w:rsidR="00DF410E" w:rsidRDefault="00CE7F43">
      <w:pPr>
        <w:jc w:val="both"/>
      </w:pPr>
      <w:r>
        <w:t>Un exemple de crampon (type C1) est présenté ci-dessous :</w:t>
      </w:r>
    </w:p>
    <w:p w14:paraId="2301BF5D" w14:textId="77777777" w:rsidR="00DF410E" w:rsidRDefault="00CE7F43">
      <w:pPr>
        <w:jc w:val="both"/>
      </w:pPr>
      <w:r>
        <w:rPr>
          <w:noProof/>
        </w:rPr>
        <w:drawing>
          <wp:anchor distT="0" distB="0" distL="0" distR="0" simplePos="0" relativeHeight="251658752" behindDoc="0" locked="0" layoutInCell="1" allowOverlap="0" wp14:anchorId="3BDB96EF" wp14:editId="723A15B4">
            <wp:simplePos x="0" y="0"/>
            <wp:positionH relativeFrom="column">
              <wp:align>center</wp:align>
            </wp:positionH>
            <wp:positionV relativeFrom="line">
              <wp:align>top</wp:align>
            </wp:positionV>
            <wp:extent cx="4762500" cy="2933700"/>
            <wp:effectExtent l="0" t="0" r="0" b="0"/>
            <wp:wrapTopAndBottom/>
            <wp:docPr id="77077207" name="24.42.2b.png" descr="24.4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0" descr="24.42.2b.png"/>
                    <pic:cNvPicPr>
                      <a:picLocks noChangeAspect="1" noChangeArrowheads="1"/>
                    </pic:cNvPicPr>
                  </pic:nvPicPr>
                  <pic:blipFill>
                    <a:blip r:embed="rId340"/>
                    <a:srcRect/>
                    <a:stretch>
                      <a:fillRect/>
                    </a:stretch>
                  </pic:blipFill>
                  <pic:spPr bwMode="auto">
                    <a:xfrm>
                      <a:off x="0" y="0"/>
                      <a:ext cx="4762500" cy="2933700"/>
                    </a:xfrm>
                    <a:prstGeom prst="rect">
                      <a:avLst/>
                    </a:prstGeom>
                  </pic:spPr>
                </pic:pic>
              </a:graphicData>
            </a:graphic>
          </wp:anchor>
        </w:drawing>
      </w:r>
    </w:p>
    <w:p w14:paraId="15171A6B" w14:textId="77777777" w:rsidR="00DF410E" w:rsidRDefault="00CE7F43">
      <w:pPr>
        <w:jc w:val="both"/>
      </w:pPr>
      <w:r>
        <w:rPr>
          <w:b/>
        </w:rPr>
        <w:t>Remarques importantes</w:t>
      </w:r>
    </w:p>
    <w:p w14:paraId="325D4739" w14:textId="77777777" w:rsidR="00DF410E" w:rsidRDefault="00CE7F43">
      <w:pPr>
        <w:jc w:val="both"/>
      </w:pPr>
      <w:r>
        <w:t>Les crampons sont marqués CE suivant la [NBN EN 14545].</w:t>
      </w:r>
    </w:p>
    <w:p w14:paraId="3F823311" w14:textId="77777777" w:rsidR="00DF410E" w:rsidRDefault="00CE7F43">
      <w:pPr>
        <w:pStyle w:val="pheading"/>
      </w:pPr>
      <w:r>
        <w:t>MATÉRIAUX</w:t>
      </w:r>
    </w:p>
    <w:p w14:paraId="00EDF975" w14:textId="77777777" w:rsidR="00DF410E" w:rsidRDefault="00CE7F43">
      <w:pPr>
        <w:pStyle w:val="pheading"/>
      </w:pPr>
      <w:r>
        <w:t>- Caractéristiques générales</w:t>
      </w:r>
    </w:p>
    <w:p w14:paraId="4487AEA8" w14:textId="77777777" w:rsidR="00DF410E" w:rsidRDefault="00CE7F43">
      <w:pPr>
        <w:jc w:val="both"/>
      </w:pPr>
      <w:r>
        <w:t>Les crampons répondent aux prescriptions décrites dans les normes [NBN EN 14545] et [NBN EN 912].</w:t>
      </w:r>
    </w:p>
    <w:p w14:paraId="244442DE" w14:textId="77777777" w:rsidR="00DF410E" w:rsidRDefault="00CE7F43">
      <w:pPr>
        <w:jc w:val="both"/>
      </w:pPr>
      <w:r>
        <w:t>La géométrie et le matériau constitutif du crampon sont décrits dans la [NBN EN 912]. Celle-ci définit 11 types de crampons, numéroté de C1 à C11.</w:t>
      </w:r>
    </w:p>
    <w:p w14:paraId="69C609CD" w14:textId="77777777" w:rsidR="00DF410E" w:rsidRDefault="00CE7F43">
      <w:pPr>
        <w:jc w:val="both"/>
      </w:pPr>
      <w:r>
        <w:t xml:space="preserve">Type de crampon : </w:t>
      </w:r>
      <w:r>
        <w:rPr>
          <w:rStyle w:val="optioncarChar"/>
        </w:rPr>
        <w:t>C1 / C2 / C3 / C4 / C5 / C6 / C7 / C8 / C9 / C10 / C11</w:t>
      </w:r>
    </w:p>
    <w:p w14:paraId="6D72DE6D" w14:textId="77777777" w:rsidR="00DF410E" w:rsidRDefault="00CE7F43">
      <w:pPr>
        <w:jc w:val="both"/>
      </w:pPr>
      <w:r>
        <w:t>Dans la pratique, les crampons de types C1 à C5, C10 et C11 sont les plus faciles à trouver.</w:t>
      </w:r>
    </w:p>
    <w:p w14:paraId="6ACBFD72" w14:textId="77777777" w:rsidR="00DF410E" w:rsidRDefault="00CE7F43">
      <w:pPr>
        <w:jc w:val="both"/>
      </w:pPr>
      <w:r>
        <w:t xml:space="preserve">Diamètre  (selon [NBN EN 912]) : </w:t>
      </w:r>
      <w:r>
        <w:rPr>
          <w:rStyle w:val="optioncarChar"/>
        </w:rPr>
        <w:t>***</w:t>
      </w:r>
    </w:p>
    <w:p w14:paraId="2EC6F660" w14:textId="77777777" w:rsidR="00DF410E" w:rsidRDefault="00CE7F43">
      <w:pPr>
        <w:jc w:val="both"/>
      </w:pPr>
      <w:r>
        <w:t>Les mesures de protection à prendre pour éviter la corrosion des crampons doivent être choisies en fonction de la classe d’emploi dans laquelle l’anneau est installé et des essences de bois avec lesquelles il est en contact.</w:t>
      </w:r>
    </w:p>
    <w:p w14:paraId="21E69360" w14:textId="77777777" w:rsidR="00DF410E" w:rsidRDefault="00CE7F43">
      <w:pPr>
        <w:jc w:val="both"/>
      </w:pPr>
      <w:r>
        <w:t xml:space="preserve">Protection contre la corrosion : </w:t>
      </w:r>
      <w:r>
        <w:rPr>
          <w:rStyle w:val="optioncarChar"/>
        </w:rPr>
        <w:t>aucune / Z275 ou équivalent</w:t>
      </w:r>
      <w:r>
        <w:t xml:space="preserve"> (par défaut) </w:t>
      </w:r>
      <w:r>
        <w:rPr>
          <w:rStyle w:val="optioncarChar"/>
        </w:rPr>
        <w:t>/ Z350 ou équivalent</w:t>
      </w:r>
    </w:p>
    <w:p w14:paraId="25B07CD4" w14:textId="77777777" w:rsidR="00DF410E" w:rsidRDefault="00CE7F43">
      <w:pPr>
        <w:pStyle w:val="pheading"/>
      </w:pPr>
      <w:r>
        <w:t>EXÉCUTION / MISE EN ŒUVRE</w:t>
      </w:r>
    </w:p>
    <w:p w14:paraId="7EB19845" w14:textId="77777777" w:rsidR="00DF410E" w:rsidRDefault="00CE7F43">
      <w:pPr>
        <w:pStyle w:val="pheading"/>
      </w:pPr>
      <w:r>
        <w:t>- Prescriptions générales</w:t>
      </w:r>
    </w:p>
    <w:p w14:paraId="7E2B854D" w14:textId="77777777" w:rsidR="00DF410E" w:rsidRDefault="00CE7F43">
      <w:pPr>
        <w:jc w:val="both"/>
      </w:pPr>
      <w:r>
        <w:t>Les espacements et distances minimaux à respecter pour les crampons de type C1 à C9 ont été modifiés par l’annexe 2 à l’Eurocode 5 ([NBN EN 1995-1-1/A2]).</w:t>
      </w:r>
    </w:p>
    <w:p w14:paraId="66A5CD16" w14:textId="77777777" w:rsidR="00DF410E" w:rsidRDefault="00CE7F43">
      <w:pPr>
        <w:jc w:val="both"/>
      </w:pPr>
      <w:r>
        <w:t>Pour les crampons de type C10 et C11, les distances et espacements minimaux suivants doivent être respectés :</w:t>
      </w:r>
    </w:p>
    <w:p w14:paraId="01B9B769" w14:textId="77777777" w:rsidR="00DF410E" w:rsidRDefault="00CE7F43">
      <w:pPr>
        <w:jc w:val="both"/>
      </w:pPr>
      <w:r>
        <w:rPr>
          <w:noProof/>
        </w:rPr>
        <w:drawing>
          <wp:anchor distT="0" distB="0" distL="0" distR="0" simplePos="0" relativeHeight="251659776" behindDoc="0" locked="0" layoutInCell="1" allowOverlap="0" wp14:anchorId="395F9426" wp14:editId="22C35617">
            <wp:simplePos x="0" y="0"/>
            <wp:positionH relativeFrom="column">
              <wp:align>center</wp:align>
            </wp:positionH>
            <wp:positionV relativeFrom="line">
              <wp:align>top</wp:align>
            </wp:positionV>
            <wp:extent cx="4324350" cy="2381250"/>
            <wp:effectExtent l="0" t="0" r="0" b="0"/>
            <wp:wrapTopAndBottom/>
            <wp:docPr id="304260389" name="24.42.2b2.png" descr="24.42.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1" descr="24.42.2b2.png"/>
                    <pic:cNvPicPr>
                      <a:picLocks noChangeAspect="1" noChangeArrowheads="1"/>
                    </pic:cNvPicPr>
                  </pic:nvPicPr>
                  <pic:blipFill>
                    <a:blip r:embed="rId341"/>
                    <a:srcRect/>
                    <a:stretch>
                      <a:fillRect/>
                    </a:stretch>
                  </pic:blipFill>
                  <pic:spPr bwMode="auto">
                    <a:xfrm>
                      <a:off x="0" y="0"/>
                      <a:ext cx="4324350" cy="2381250"/>
                    </a:xfrm>
                    <a:prstGeom prst="rect">
                      <a:avLst/>
                    </a:prstGeom>
                  </pic:spPr>
                </pic:pic>
              </a:graphicData>
            </a:graphic>
          </wp:anchor>
        </w:drawing>
      </w:r>
    </w:p>
    <w:p w14:paraId="4CBDF8A2" w14:textId="77777777" w:rsidR="00DF410E" w:rsidRDefault="00CE7F43">
      <w:pPr>
        <w:jc w:val="both"/>
      </w:pPr>
      <w:r>
        <w:t>Le dimensionnement d’un assemblage par crampon est réalisé conformément aux prescriptions de l’Eurocode 5 ([NBN EN 1995-1-1]) et ses annexes.</w:t>
      </w:r>
    </w:p>
    <w:p w14:paraId="2EF82F41" w14:textId="77777777" w:rsidR="00DF410E" w:rsidRDefault="00CE7F43">
      <w:pPr>
        <w:jc w:val="both"/>
      </w:pPr>
      <w:r>
        <w:t>Les crampons simple face (C2, C4, C7, C9, C11) sont mis en œuvre à l’aide d’une presse ou d’un vérin hydraulique ou à l’aide d’une cale en bois dur et d’une masse. La pénétration du crampon dans le bois doit être complète. Si les crampons sont montés en atelier, les mesures sont prises afin de les maintenir durant le transport, éventuellement à l’aide d’une ou deux pointes.</w:t>
      </w:r>
    </w:p>
    <w:p w14:paraId="02399746" w14:textId="77777777" w:rsidR="00DF410E" w:rsidRDefault="00CE7F43">
      <w:pPr>
        <w:jc w:val="both"/>
      </w:pPr>
      <w:r>
        <w:t>L’installation d’un crampon double face (C1, C3, C5, C6, C8, C10) se fait par enfoncement des dents lors de l’assemblage des pièces entre elles à l‘aide d‘une presse hydraulique ou d‘une clé. Une fois le serrage effectué, l‘assemblage est réalisé.</w:t>
      </w:r>
    </w:p>
    <w:p w14:paraId="766D16EB" w14:textId="77777777" w:rsidR="00DF410E" w:rsidRDefault="00CE7F43">
      <w:pPr>
        <w:jc w:val="both"/>
      </w:pPr>
      <w:r>
        <w:t>Les crampons sont autorisés uniquement dans les résineux et en dehors des zones de forte nodosité.</w:t>
      </w:r>
    </w:p>
    <w:p w14:paraId="521521F2" w14:textId="77777777" w:rsidR="00DF410E" w:rsidRDefault="00CE7F43">
      <w:pPr>
        <w:jc w:val="both"/>
      </w:pPr>
      <w:r>
        <w:t>Du fait de l’épaisseur de la plaque de base des crampons, il est autorisé de fraiser légèrement le bois pour éviter d’avoir un espace entre les pièces.</w:t>
      </w:r>
    </w:p>
    <w:p w14:paraId="0FC412F7" w14:textId="77777777" w:rsidR="00DF410E" w:rsidRDefault="00CE7F43">
      <w:pPr>
        <w:pStyle w:val="pheading"/>
      </w:pPr>
      <w:r>
        <w:t>MESURAGE</w:t>
      </w:r>
    </w:p>
    <w:p w14:paraId="70183D3B" w14:textId="77777777" w:rsidR="00DF410E" w:rsidRDefault="00CE7F43">
      <w:pPr>
        <w:pStyle w:val="pheading"/>
      </w:pPr>
      <w:r>
        <w:t>- unité de mesure:</w:t>
      </w:r>
    </w:p>
    <w:p w14:paraId="6CF206C7" w14:textId="77777777" w:rsidR="00DF410E" w:rsidRDefault="00CE7F43">
      <w:r>
        <w:rPr>
          <w:rStyle w:val="optioncarChar"/>
        </w:rPr>
        <w:t>-</w:t>
      </w:r>
      <w:r>
        <w:t> (par défaut) </w:t>
      </w:r>
      <w:r>
        <w:rPr>
          <w:rStyle w:val="optioncarChar"/>
        </w:rPr>
        <w:t>/ pc</w:t>
      </w:r>
    </w:p>
    <w:p w14:paraId="1BFAF45C" w14:textId="77777777" w:rsidR="00DF410E" w:rsidRDefault="00CE7F43">
      <w:r>
        <w:rPr>
          <w:b/>
          <w:i/>
        </w:rPr>
        <w:t>(Soit par défaut)</w:t>
      </w:r>
    </w:p>
    <w:p w14:paraId="057D2ED7" w14:textId="77777777" w:rsidR="00DF410E" w:rsidRDefault="00CE7F43">
      <w:r>
        <w:rPr>
          <w:rStyle w:val="soitChar"/>
        </w:rPr>
        <w:t>1.     –</w:t>
      </w:r>
    </w:p>
    <w:p w14:paraId="2E7A912C" w14:textId="77777777" w:rsidR="00DF410E" w:rsidRDefault="00CE7F43">
      <w:r>
        <w:rPr>
          <w:b/>
          <w:i/>
        </w:rPr>
        <w:t>(Soit)</w:t>
      </w:r>
    </w:p>
    <w:p w14:paraId="2F201F20" w14:textId="77777777" w:rsidR="00DF410E" w:rsidRDefault="00CE7F43">
      <w:r>
        <w:rPr>
          <w:rStyle w:val="soitChar"/>
        </w:rPr>
        <w:t>2.3.  pc</w:t>
      </w:r>
    </w:p>
    <w:p w14:paraId="7E56D5CE" w14:textId="77777777" w:rsidR="00DF410E" w:rsidRDefault="00CE7F43">
      <w:pPr>
        <w:pStyle w:val="pheading"/>
      </w:pPr>
      <w:r>
        <w:t>- code de mesurage:</w:t>
      </w:r>
    </w:p>
    <w:p w14:paraId="64552F1A" w14:textId="77777777" w:rsidR="00DF410E" w:rsidRDefault="00CE7F43">
      <w:pPr>
        <w:jc w:val="both"/>
      </w:pPr>
      <w:r>
        <w:rPr>
          <w:rStyle w:val="optioncarChar"/>
        </w:rPr>
        <w:t>Compris</w:t>
      </w:r>
      <w:r>
        <w:t> (par défaut) </w:t>
      </w:r>
      <w:r>
        <w:rPr>
          <w:rStyle w:val="optioncarChar"/>
        </w:rPr>
        <w:t>/ Quantité nette</w:t>
      </w:r>
    </w:p>
    <w:p w14:paraId="32FCEE9C" w14:textId="77777777" w:rsidR="00DF410E" w:rsidRDefault="00CE7F43">
      <w:pPr>
        <w:jc w:val="both"/>
      </w:pPr>
      <w:r>
        <w:rPr>
          <w:b/>
          <w:i/>
        </w:rPr>
        <w:t>(Soit par défaut)</w:t>
      </w:r>
    </w:p>
    <w:p w14:paraId="2C5A9B4F" w14:textId="77777777" w:rsidR="00DF410E" w:rsidRDefault="00CE7F43">
      <w:pPr>
        <w:jc w:val="both"/>
      </w:pPr>
      <w:r>
        <w:rPr>
          <w:rStyle w:val="soitChar"/>
        </w:rPr>
        <w:t>1.     </w:t>
      </w:r>
      <w:r>
        <w:rPr>
          <w:rStyle w:val="soitChar"/>
          <w:u w:val="single"/>
        </w:rPr>
        <w:t>Compris</w:t>
      </w:r>
      <w:r>
        <w:rPr>
          <w:rStyle w:val="soitChar"/>
        </w:rPr>
        <w:t> dans l’article de référence</w:t>
      </w:r>
      <w:r>
        <w:t> </w:t>
      </w:r>
      <w:r>
        <w:rPr>
          <w:rStyle w:val="optioncarChar"/>
        </w:rPr>
        <w:t>***</w:t>
      </w:r>
    </w:p>
    <w:p w14:paraId="2B04E7DD" w14:textId="77777777" w:rsidR="00DF410E" w:rsidRDefault="00CE7F43">
      <w:pPr>
        <w:jc w:val="both"/>
      </w:pPr>
      <w:r>
        <w:rPr>
          <w:b/>
          <w:i/>
        </w:rPr>
        <w:t>(Soit)</w:t>
      </w:r>
    </w:p>
    <w:p w14:paraId="763FCBAB" w14:textId="77777777" w:rsidR="00DF410E" w:rsidRDefault="00CE7F43">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08755CC8" w14:textId="77777777" w:rsidR="00DF410E" w:rsidRDefault="00CE7F43">
      <w:pPr>
        <w:pStyle w:val="pheading"/>
      </w:pPr>
      <w:r>
        <w:t>- nature du marché:</w:t>
      </w:r>
    </w:p>
    <w:p w14:paraId="1975094D" w14:textId="77777777" w:rsidR="00DF410E" w:rsidRDefault="00CE7F43">
      <w:r>
        <w:rPr>
          <w:rStyle w:val="optioncarChar"/>
        </w:rPr>
        <w:t>PM </w:t>
      </w:r>
      <w:r>
        <w:t>(par défaut) </w:t>
      </w:r>
      <w:r>
        <w:rPr>
          <w:rStyle w:val="optioncarChar"/>
        </w:rPr>
        <w:t>/ QF / QP</w:t>
      </w:r>
    </w:p>
    <w:p w14:paraId="39F27BA1" w14:textId="77777777" w:rsidR="00DF410E" w:rsidRDefault="00CE7F43">
      <w:r>
        <w:rPr>
          <w:b/>
          <w:i/>
        </w:rPr>
        <w:t>(Soit par défaut)</w:t>
      </w:r>
    </w:p>
    <w:p w14:paraId="267DB338" w14:textId="77777777" w:rsidR="00DF410E" w:rsidRDefault="00CE7F43">
      <w:r>
        <w:rPr>
          <w:rStyle w:val="soitChar"/>
        </w:rPr>
        <w:t>1.     PM</w:t>
      </w:r>
    </w:p>
    <w:p w14:paraId="3F513C1E" w14:textId="77777777" w:rsidR="00DF410E" w:rsidRDefault="00CE7F43">
      <w:r>
        <w:rPr>
          <w:b/>
          <w:i/>
        </w:rPr>
        <w:t>(Soit)</w:t>
      </w:r>
    </w:p>
    <w:p w14:paraId="2A7C1D65" w14:textId="77777777" w:rsidR="00DF410E" w:rsidRDefault="00CE7F43">
      <w:r>
        <w:rPr>
          <w:rStyle w:val="soitChar"/>
        </w:rPr>
        <w:t>2.     QF</w:t>
      </w:r>
    </w:p>
    <w:p w14:paraId="76808501" w14:textId="77777777" w:rsidR="00DF410E" w:rsidRDefault="00CE7F43">
      <w:r>
        <w:rPr>
          <w:b/>
          <w:i/>
        </w:rPr>
        <w:t>(Soit)</w:t>
      </w:r>
    </w:p>
    <w:p w14:paraId="3B7B64FC" w14:textId="77777777" w:rsidR="00DF410E" w:rsidRDefault="00CE7F43">
      <w:r>
        <w:rPr>
          <w:rStyle w:val="soitChar"/>
        </w:rPr>
        <w:t>3.     QP</w:t>
      </w:r>
    </w:p>
    <w:p w14:paraId="07DDE780" w14:textId="77777777" w:rsidR="00DF410E" w:rsidRDefault="00CE7F43">
      <w:pPr>
        <w:pStyle w:val="Author-eSectionHeading6"/>
      </w:pPr>
      <w:bookmarkStart w:id="1744" w:name="_Toc178838816"/>
      <w:r>
        <w:t>24.42.2c Connecteurs de surface - plaques dentées CCTB 01.11</w:t>
      </w:r>
      <w:bookmarkEnd w:id="1744"/>
    </w:p>
    <w:p w14:paraId="6706C5B5" w14:textId="77777777" w:rsidR="00DF410E" w:rsidRDefault="00CE7F43">
      <w:pPr>
        <w:pStyle w:val="pheading"/>
      </w:pPr>
      <w:bookmarkStart w:id="1745" w:name="612"/>
      <w:bookmarkEnd w:id="1745"/>
      <w:r>
        <w:t>DESCRIPTION</w:t>
      </w:r>
    </w:p>
    <w:p w14:paraId="09DB910A" w14:textId="77777777" w:rsidR="00DF410E" w:rsidRDefault="00CE7F43">
      <w:pPr>
        <w:pStyle w:val="pheading"/>
      </w:pPr>
      <w:r>
        <w:t>- Définition / Comprend</w:t>
      </w:r>
    </w:p>
    <w:p w14:paraId="4757EFC5" w14:textId="77777777" w:rsidR="00DF410E" w:rsidRDefault="00CE7F43">
      <w:r>
        <w:t>Il s’agit de plaques métalliques munies de dents intégrées poinçonnées formant un angle de 90° par rapport à la base de la plaque et utilisées pour connecter deux (ou plus) pièces de bois de la même épaisseur et dans le même plan.</w:t>
      </w:r>
    </w:p>
    <w:p w14:paraId="139628D1" w14:textId="77777777" w:rsidR="00DF410E" w:rsidRDefault="00CE7F43">
      <w:r>
        <w:t>Un exemple de plaques dentées est présenté ci-dessous :</w:t>
      </w:r>
    </w:p>
    <w:p w14:paraId="02A8A203" w14:textId="77777777" w:rsidR="00DF410E" w:rsidRDefault="00CE7F43">
      <w:r>
        <w:rPr>
          <w:noProof/>
        </w:rPr>
        <w:drawing>
          <wp:anchor distT="0" distB="0" distL="0" distR="0" simplePos="0" relativeHeight="251660800" behindDoc="0" locked="0" layoutInCell="1" allowOverlap="0" wp14:anchorId="3ACA737E" wp14:editId="03BD7907">
            <wp:simplePos x="0" y="0"/>
            <wp:positionH relativeFrom="column">
              <wp:align>center</wp:align>
            </wp:positionH>
            <wp:positionV relativeFrom="line">
              <wp:align>top</wp:align>
            </wp:positionV>
            <wp:extent cx="3810000" cy="2457450"/>
            <wp:effectExtent l="0" t="0" r="0" b="0"/>
            <wp:wrapTopAndBottom/>
            <wp:docPr id="1189894777" name="24.42.2c.png" descr="24.4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2" descr="24.42.2c.png"/>
                    <pic:cNvPicPr>
                      <a:picLocks noChangeAspect="1" noChangeArrowheads="1"/>
                    </pic:cNvPicPr>
                  </pic:nvPicPr>
                  <pic:blipFill>
                    <a:blip r:embed="rId342"/>
                    <a:srcRect/>
                    <a:stretch>
                      <a:fillRect/>
                    </a:stretch>
                  </pic:blipFill>
                  <pic:spPr bwMode="auto">
                    <a:xfrm>
                      <a:off x="0" y="0"/>
                      <a:ext cx="3810000" cy="2457450"/>
                    </a:xfrm>
                    <a:prstGeom prst="rect">
                      <a:avLst/>
                    </a:prstGeom>
                  </pic:spPr>
                </pic:pic>
              </a:graphicData>
            </a:graphic>
          </wp:anchor>
        </w:drawing>
      </w:r>
    </w:p>
    <w:p w14:paraId="1A5BF687" w14:textId="77777777" w:rsidR="00DF410E" w:rsidRDefault="00CE7F43">
      <w:r>
        <w:rPr>
          <w:b/>
        </w:rPr>
        <w:t>Remarques importantes</w:t>
      </w:r>
      <w:r>
        <w:br/>
        <w:t>Les plaques dentées respectent les impositions de la norme [NBN EN 14545] et sont marquées CE suivant celle-ci. Elles sont souvent appelées plaques embouties.</w:t>
      </w:r>
    </w:p>
    <w:p w14:paraId="550D5DAE" w14:textId="77777777" w:rsidR="00DF410E" w:rsidRDefault="00CE7F43">
      <w:pPr>
        <w:pStyle w:val="pheading"/>
      </w:pPr>
      <w:r>
        <w:t>MATÉRIAUX</w:t>
      </w:r>
    </w:p>
    <w:p w14:paraId="7CCFB55F" w14:textId="77777777" w:rsidR="00DF410E" w:rsidRDefault="00CE7F43">
      <w:pPr>
        <w:pStyle w:val="pheading"/>
      </w:pPr>
      <w:r>
        <w:t>- Caractéristiques générales</w:t>
      </w:r>
    </w:p>
    <w:p w14:paraId="476E038F" w14:textId="77777777" w:rsidR="00DF410E" w:rsidRDefault="00CE7F43">
      <w:pPr>
        <w:jc w:val="both"/>
      </w:pPr>
      <w:r>
        <w:t>Les plaques dentées sont fabriquées à partir d’une tôle d’acier ayant une épaisseur de 0,9mm minimum et 3mm maximum. La tolérance relative à l’épaisseur de la tôle doit être conforme à la [NBN EN 10143] pour l’acier doux ou à la [NBN EN ISO 9445 série] pour l’acier inoxydable.</w:t>
      </w:r>
    </w:p>
    <w:p w14:paraId="628B5D23" w14:textId="77777777" w:rsidR="00DF410E" w:rsidRDefault="00CE7F43">
      <w:pPr>
        <w:jc w:val="both"/>
      </w:pPr>
      <w:r>
        <w:t xml:space="preserve">Épaisseur de la tôle d’acier : </w:t>
      </w:r>
      <w:r>
        <w:rPr>
          <w:rStyle w:val="optioncarChar"/>
        </w:rPr>
        <w:t xml:space="preserve">1 mm </w:t>
      </w:r>
      <w:r>
        <w:t xml:space="preserve">(par défaut) </w:t>
      </w:r>
      <w:r>
        <w:rPr>
          <w:rStyle w:val="optioncarChar"/>
        </w:rPr>
        <w:t>/ 1,5mm / 2mm / 2,5mm / ***</w:t>
      </w:r>
    </w:p>
    <w:p w14:paraId="1780FFE7" w14:textId="77777777" w:rsidR="00DF410E" w:rsidRDefault="00CE7F43">
      <w:pPr>
        <w:jc w:val="both"/>
      </w:pPr>
      <w:r>
        <w:t xml:space="preserve">Dimensions de la plaque (longueur x largeur) : </w:t>
      </w:r>
      <w:r>
        <w:rPr>
          <w:rStyle w:val="optioncarChar"/>
        </w:rPr>
        <w:t>*** x *** mm</w:t>
      </w:r>
    </w:p>
    <w:p w14:paraId="4AE601E1" w14:textId="77777777" w:rsidR="00DF410E" w:rsidRDefault="00CE7F43">
      <w:pPr>
        <w:jc w:val="both"/>
      </w:pPr>
      <w:r>
        <w:t xml:space="preserve">Matériau constituant les plaques dentées : </w:t>
      </w:r>
      <w:r>
        <w:rPr>
          <w:rStyle w:val="optioncarChar"/>
        </w:rPr>
        <w:t xml:space="preserve">S250GD </w:t>
      </w:r>
      <w:r>
        <w:t xml:space="preserve">(par défaut) </w:t>
      </w:r>
      <w:r>
        <w:rPr>
          <w:rStyle w:val="optioncarChar"/>
        </w:rPr>
        <w:t>/ 1.4401 / 1.4404 / ***</w:t>
      </w:r>
    </w:p>
    <w:p w14:paraId="74E30115" w14:textId="77777777" w:rsidR="00DF410E" w:rsidRDefault="00CE7F43">
      <w:pPr>
        <w:jc w:val="both"/>
      </w:pPr>
      <w:r>
        <w:t>Acier S250GD selon [NBN EN 10346], aciers inoxydables (1.4401 et 1.4404) selon [NBN EN 10088-2].</w:t>
      </w:r>
    </w:p>
    <w:p w14:paraId="43AD757E" w14:textId="77777777" w:rsidR="00DF410E" w:rsidRDefault="00CE7F43">
      <w:pPr>
        <w:jc w:val="both"/>
      </w:pPr>
      <w:r>
        <w:rPr>
          <w:b/>
        </w:rPr>
        <w:t>Résistance mécanique :</w:t>
      </w:r>
    </w:p>
    <w:p w14:paraId="70814E25" w14:textId="77777777" w:rsidR="00DF410E" w:rsidRDefault="00CE7F43">
      <w:pPr>
        <w:jc w:val="both"/>
      </w:pPr>
      <w:r>
        <w:t>Capacité d’ancrage caractéristique minimum de la plaque avec masse volumique caractéristique du bois ρ</w:t>
      </w:r>
      <w:r>
        <w:rPr>
          <w:vertAlign w:val="subscript"/>
        </w:rPr>
        <w:t>k</w:t>
      </w:r>
      <w:r>
        <w:t xml:space="preserve"> = 350 kg/m³  : </w:t>
      </w:r>
      <w:r>
        <w:rPr>
          <w:rStyle w:val="optioncarChar"/>
        </w:rPr>
        <w:t>***MPa</w:t>
      </w:r>
    </w:p>
    <w:p w14:paraId="2B9FC672" w14:textId="77777777" w:rsidR="00DF410E" w:rsidRDefault="00CE7F43">
      <w:pPr>
        <w:jc w:val="both"/>
      </w:pPr>
      <w:r>
        <w:t>Capacité résistante caractéristique minimum en traction de la plaque :</w:t>
      </w:r>
      <w:r>
        <w:rPr>
          <w:rStyle w:val="optioncarChar"/>
        </w:rPr>
        <w:t xml:space="preserve"> f</w:t>
      </w:r>
      <w:r>
        <w:rPr>
          <w:rStyle w:val="optioncarChar"/>
          <w:vertAlign w:val="subscript"/>
        </w:rPr>
        <w:t>t,0</w:t>
      </w:r>
      <w:r>
        <w:rPr>
          <w:rStyle w:val="optioncarChar"/>
        </w:rPr>
        <w:t xml:space="preserve"> = 360 N/mm ; f</w:t>
      </w:r>
      <w:r>
        <w:rPr>
          <w:rStyle w:val="optioncarChar"/>
          <w:vertAlign w:val="subscript"/>
        </w:rPr>
        <w:t>t,90</w:t>
      </w:r>
      <w:r>
        <w:rPr>
          <w:rStyle w:val="optioncarChar"/>
        </w:rPr>
        <w:t xml:space="preserve"> = 230 N/mm </w:t>
      </w:r>
      <w:r>
        <w:t>(par défaut)</w:t>
      </w:r>
      <w:r>
        <w:rPr>
          <w:rStyle w:val="optioncarChar"/>
        </w:rPr>
        <w:t xml:space="preserve"> / *** N/mm</w:t>
      </w:r>
    </w:p>
    <w:p w14:paraId="2B8CD78F" w14:textId="77777777" w:rsidR="00DF410E" w:rsidRDefault="00CE7F43">
      <w:pPr>
        <w:jc w:val="both"/>
      </w:pPr>
      <w:r>
        <w:t xml:space="preserve">Capacité résistante caractéristique minimum en compression de la plaque: </w:t>
      </w:r>
      <w:r>
        <w:rPr>
          <w:rStyle w:val="optioncarChar"/>
        </w:rPr>
        <w:t>f</w:t>
      </w:r>
      <w:r>
        <w:rPr>
          <w:rStyle w:val="optioncarChar"/>
          <w:vertAlign w:val="subscript"/>
        </w:rPr>
        <w:t>c,0</w:t>
      </w:r>
      <w:r>
        <w:rPr>
          <w:rStyle w:val="optioncarChar"/>
        </w:rPr>
        <w:t xml:space="preserve"> = 240 N/mm ; f</w:t>
      </w:r>
      <w:r>
        <w:rPr>
          <w:rStyle w:val="optioncarChar"/>
          <w:vertAlign w:val="subscript"/>
        </w:rPr>
        <w:t>c, 90</w:t>
      </w:r>
      <w:r>
        <w:rPr>
          <w:rStyle w:val="optioncarChar"/>
        </w:rPr>
        <w:t xml:space="preserve"> = 160N/mm  </w:t>
      </w:r>
      <w:r>
        <w:t>(par défaut)</w:t>
      </w:r>
      <w:r>
        <w:rPr>
          <w:rStyle w:val="optioncarChar"/>
        </w:rPr>
        <w:t> / *** N/mm</w:t>
      </w:r>
    </w:p>
    <w:p w14:paraId="5536621D" w14:textId="77777777" w:rsidR="00DF410E" w:rsidRDefault="00CE7F43">
      <w:pPr>
        <w:jc w:val="both"/>
      </w:pPr>
      <w:r>
        <w:t>Capacité résistante caractéristique minimum en cisaillement de la plaque :</w:t>
      </w:r>
      <w:r>
        <w:rPr>
          <w:rStyle w:val="optioncarChar"/>
        </w:rPr>
        <w:t xml:space="preserve"> f</w:t>
      </w:r>
      <w:r>
        <w:rPr>
          <w:rStyle w:val="optioncarChar"/>
          <w:vertAlign w:val="subscript"/>
        </w:rPr>
        <w:t>v,o</w:t>
      </w:r>
      <w:r>
        <w:rPr>
          <w:rStyle w:val="optioncarChar"/>
        </w:rPr>
        <w:t xml:space="preserve"> = 97 N/mm; f</w:t>
      </w:r>
      <w:r>
        <w:rPr>
          <w:rStyle w:val="optioncarChar"/>
          <w:vertAlign w:val="subscript"/>
        </w:rPr>
        <w:t>v,90</w:t>
      </w:r>
      <w:r>
        <w:rPr>
          <w:rStyle w:val="optioncarChar"/>
        </w:rPr>
        <w:t xml:space="preserve"> = 80N/mm </w:t>
      </w:r>
      <w:r>
        <w:t>(par défaut) </w:t>
      </w:r>
      <w:r>
        <w:rPr>
          <w:rStyle w:val="optioncarChar"/>
        </w:rPr>
        <w:t>/ *** N/mm</w:t>
      </w:r>
    </w:p>
    <w:p w14:paraId="225ED239" w14:textId="77777777" w:rsidR="00DF410E" w:rsidRDefault="00DF410E">
      <w:pPr>
        <w:jc w:val="both"/>
      </w:pPr>
    </w:p>
    <w:p w14:paraId="2AB38676" w14:textId="77777777" w:rsidR="00DF410E" w:rsidRDefault="00CE7F43">
      <w:pPr>
        <w:jc w:val="both"/>
      </w:pPr>
      <w:r>
        <w:rPr>
          <w:b/>
        </w:rPr>
        <w:t>Rigidité de l’assemblage :</w:t>
      </w:r>
    </w:p>
    <w:p w14:paraId="443A27B8" w14:textId="77777777" w:rsidR="00DF410E" w:rsidRDefault="00CE7F43">
      <w:pPr>
        <w:jc w:val="both"/>
      </w:pPr>
      <w:r>
        <w:t>Module de glissement  k</w:t>
      </w:r>
      <w:r>
        <w:rPr>
          <w:vertAlign w:val="subscript"/>
        </w:rPr>
        <w:t>ser</w:t>
      </w:r>
      <w:r>
        <w:t xml:space="preserve"> de la plaque avec masse volumique moyenne du bois ρ</w:t>
      </w:r>
      <w:r>
        <w:rPr>
          <w:vertAlign w:val="subscript"/>
        </w:rPr>
        <w:t>m</w:t>
      </w:r>
      <w:r>
        <w:t xml:space="preserve"> = 350 kg/m³ : </w:t>
      </w:r>
      <w:r>
        <w:rPr>
          <w:rStyle w:val="optioncarChar"/>
        </w:rPr>
        <w:t>4,5 N/mm³</w:t>
      </w:r>
      <w:r>
        <w:t xml:space="preserve"> (par défaut)</w:t>
      </w:r>
      <w:r>
        <w:rPr>
          <w:rStyle w:val="optioncarChar"/>
        </w:rPr>
        <w:t> / *** MPa</w:t>
      </w:r>
      <w:r>
        <w:t> </w:t>
      </w:r>
    </w:p>
    <w:p w14:paraId="0612A94B" w14:textId="77777777" w:rsidR="00DF410E" w:rsidRDefault="00CE7F43">
      <w:pPr>
        <w:jc w:val="both"/>
      </w:pPr>
      <w:r>
        <w:t>Des mesures de protection contre la corrosion sont nécessaires pour des plaques dentées.  Au minimum, un revêtement par immersion à chaud en zinc Z275 double face est prescrit. Des mesures plus importantes peuvent êtes nécessaires dans les cas suivants :</w:t>
      </w:r>
    </w:p>
    <w:p w14:paraId="14F567DC" w14:textId="77777777" w:rsidR="00DF410E" w:rsidRDefault="00CE7F43">
      <w:pPr>
        <w:pStyle w:val="Author-eListParagraph"/>
        <w:numPr>
          <w:ilvl w:val="0"/>
          <w:numId w:val="1062"/>
        </w:numPr>
      </w:pPr>
      <w:r>
        <w:t>En cas de conditions d’ambiance défavorable : classe d’emploi 3 ou plus, prévoir de l’acier inoxydable ;</w:t>
      </w:r>
    </w:p>
    <w:p w14:paraId="259E0C95" w14:textId="77777777" w:rsidR="00DF410E" w:rsidRDefault="00CE7F43">
      <w:pPr>
        <w:pStyle w:val="Author-eListParagraph"/>
        <w:numPr>
          <w:ilvl w:val="0"/>
          <w:numId w:val="1062"/>
        </w:numPr>
      </w:pPr>
      <w:r>
        <w:t>En cas de présence d’essence de bois corrosives ;</w:t>
      </w:r>
    </w:p>
    <w:p w14:paraId="3B5589AB" w14:textId="77777777" w:rsidR="00DF410E" w:rsidRDefault="00CE7F43">
      <w:pPr>
        <w:pStyle w:val="Author-eListParagraph"/>
        <w:numPr>
          <w:ilvl w:val="0"/>
          <w:numId w:val="1062"/>
        </w:numPr>
      </w:pPr>
      <w:r>
        <w:t>En cas d’ambiance polluée.</w:t>
      </w:r>
    </w:p>
    <w:p w14:paraId="5B8F4148" w14:textId="77777777" w:rsidR="00DF410E" w:rsidRDefault="00CE7F43">
      <w:pPr>
        <w:jc w:val="both"/>
      </w:pPr>
      <w:r>
        <w:t xml:space="preserve">Mesure de protection contre la corrosion : </w:t>
      </w:r>
      <w:r>
        <w:rPr>
          <w:rStyle w:val="optioncarChar"/>
        </w:rPr>
        <w:t xml:space="preserve">Z275 </w:t>
      </w:r>
      <w:r>
        <w:t>(par défaut)</w:t>
      </w:r>
      <w:r>
        <w:rPr>
          <w:rStyle w:val="optioncarChar"/>
        </w:rPr>
        <w:t xml:space="preserve"> / Z350 / ***</w:t>
      </w:r>
    </w:p>
    <w:p w14:paraId="21C85108" w14:textId="77777777" w:rsidR="00DF410E" w:rsidRDefault="00CE7F43">
      <w:pPr>
        <w:jc w:val="both"/>
      </w:pPr>
      <w:r>
        <w:t>Des mesures de protection reconnues comme étant équivalente à la mesure prescrite sont acceptées.</w:t>
      </w:r>
    </w:p>
    <w:p w14:paraId="1CD96CA3" w14:textId="77777777" w:rsidR="00DF410E" w:rsidRDefault="00CE7F43">
      <w:pPr>
        <w:pStyle w:val="pheading"/>
      </w:pPr>
      <w:r>
        <w:t>EXÉCUTION / MISE EN ŒUVRE</w:t>
      </w:r>
    </w:p>
    <w:p w14:paraId="5C295CB0" w14:textId="77777777" w:rsidR="00DF410E" w:rsidRDefault="00CE7F43">
      <w:pPr>
        <w:pStyle w:val="pheading"/>
      </w:pPr>
      <w:r>
        <w:t>- Prescriptions générales</w:t>
      </w:r>
    </w:p>
    <w:p w14:paraId="39D5C3F9" w14:textId="77777777" w:rsidR="00DF410E" w:rsidRDefault="00CE7F43">
      <w:pPr>
        <w:jc w:val="both"/>
      </w:pPr>
      <w:r>
        <w:t>Les assemblages par plaques dentées doivent comprendre des plaques dentées de même type et de même orientation positionnées sur chaque côté des éléments de bois.</w:t>
      </w:r>
    </w:p>
    <w:p w14:paraId="58CC00D8" w14:textId="77777777" w:rsidR="00DF410E" w:rsidRDefault="00CE7F43">
      <w:pPr>
        <w:jc w:val="both"/>
      </w:pPr>
      <w:r>
        <w:t>L’installation de la plaque par presse à plateau est privilégiée. Si cela a été prévu lors du dimensionnement de l’assemblage, la mise en place par presse à rouleau est autorisée.</w:t>
      </w:r>
    </w:p>
    <w:p w14:paraId="2549530F" w14:textId="77777777" w:rsidR="00DF410E" w:rsidRDefault="00CE7F43">
      <w:pPr>
        <w:jc w:val="both"/>
      </w:pPr>
      <w:r>
        <w:t>Le pré enfoncement de la plaque au marteau est proscrit.</w:t>
      </w:r>
    </w:p>
    <w:p w14:paraId="09043235" w14:textId="77777777" w:rsidR="00DF410E" w:rsidRDefault="00CE7F43">
      <w:pPr>
        <w:jc w:val="both"/>
      </w:pPr>
      <w:r>
        <w:t>Le taux d’humidité des bois lors de l’installation de l’assemblage est au plus près de la teneur en humidité que le bois a tout au long de sa durée de vie, et n’est jamais supérieur à 22%.</w:t>
      </w:r>
    </w:p>
    <w:p w14:paraId="0106C0DF" w14:textId="77777777" w:rsidR="00DF410E" w:rsidRDefault="00CE7F43">
      <w:pPr>
        <w:pStyle w:val="pheading"/>
      </w:pPr>
      <w:r>
        <w:t>MESURAGE</w:t>
      </w:r>
    </w:p>
    <w:p w14:paraId="7B21E587" w14:textId="77777777" w:rsidR="00DF410E" w:rsidRDefault="00CE7F43">
      <w:pPr>
        <w:pStyle w:val="pheading"/>
      </w:pPr>
      <w:r>
        <w:t>- unité de mesure:</w:t>
      </w:r>
    </w:p>
    <w:p w14:paraId="5E6F66ED" w14:textId="77777777" w:rsidR="00DF410E" w:rsidRDefault="00CE7F43">
      <w:r>
        <w:rPr>
          <w:rStyle w:val="optioncarChar"/>
        </w:rPr>
        <w:t>- </w:t>
      </w:r>
      <w:r>
        <w:t>(par défaut)</w:t>
      </w:r>
      <w:r>
        <w:rPr>
          <w:rStyle w:val="optioncarChar"/>
        </w:rPr>
        <w:t> / pc</w:t>
      </w:r>
    </w:p>
    <w:p w14:paraId="72CC7347" w14:textId="77777777" w:rsidR="00DF410E" w:rsidRDefault="00CE7F43">
      <w:r>
        <w:rPr>
          <w:b/>
          <w:i/>
        </w:rPr>
        <w:t>(Soit par défaut)</w:t>
      </w:r>
    </w:p>
    <w:p w14:paraId="286F5B30" w14:textId="77777777" w:rsidR="00DF410E" w:rsidRDefault="00CE7F43">
      <w:r>
        <w:rPr>
          <w:rStyle w:val="soitChar"/>
        </w:rPr>
        <w:t>1.     –</w:t>
      </w:r>
    </w:p>
    <w:p w14:paraId="530A0598" w14:textId="77777777" w:rsidR="00DF410E" w:rsidRDefault="00CE7F43">
      <w:r>
        <w:rPr>
          <w:b/>
          <w:i/>
        </w:rPr>
        <w:t>(Soit)</w:t>
      </w:r>
    </w:p>
    <w:p w14:paraId="42858B29" w14:textId="77777777" w:rsidR="00DF410E" w:rsidRDefault="00CE7F43">
      <w:r>
        <w:rPr>
          <w:rStyle w:val="soitChar"/>
        </w:rPr>
        <w:t>2.3.  pc</w:t>
      </w:r>
    </w:p>
    <w:p w14:paraId="18386FCD" w14:textId="77777777" w:rsidR="00DF410E" w:rsidRDefault="00CE7F43">
      <w:pPr>
        <w:pStyle w:val="pheading"/>
      </w:pPr>
      <w:r>
        <w:t>- code de mesurage:</w:t>
      </w:r>
    </w:p>
    <w:p w14:paraId="4825BF06" w14:textId="77777777" w:rsidR="00DF410E" w:rsidRDefault="00CE7F43">
      <w:pPr>
        <w:jc w:val="both"/>
      </w:pPr>
      <w:r>
        <w:rPr>
          <w:rStyle w:val="optioncarChar"/>
        </w:rPr>
        <w:t>Compris </w:t>
      </w:r>
      <w:r>
        <w:t>(par défaut)</w:t>
      </w:r>
      <w:r>
        <w:rPr>
          <w:rStyle w:val="optioncarChar"/>
        </w:rPr>
        <w:t> / Quantité nette</w:t>
      </w:r>
    </w:p>
    <w:p w14:paraId="6B1E21D1" w14:textId="77777777" w:rsidR="00DF410E" w:rsidRDefault="00CE7F43">
      <w:pPr>
        <w:jc w:val="both"/>
      </w:pPr>
      <w:r>
        <w:rPr>
          <w:b/>
          <w:i/>
        </w:rPr>
        <w:t>(Soit par défaut)</w:t>
      </w:r>
    </w:p>
    <w:p w14:paraId="7E044A8E" w14:textId="77777777" w:rsidR="00DF410E" w:rsidRDefault="00CE7F43">
      <w:pPr>
        <w:jc w:val="both"/>
      </w:pPr>
      <w:r>
        <w:rPr>
          <w:rStyle w:val="soitChar"/>
        </w:rPr>
        <w:t>1.     </w:t>
      </w:r>
      <w:r>
        <w:rPr>
          <w:rStyle w:val="soitChar"/>
          <w:u w:val="single"/>
        </w:rPr>
        <w:t>Compris</w:t>
      </w:r>
      <w:r>
        <w:rPr>
          <w:rStyle w:val="soitChar"/>
        </w:rPr>
        <w:t> dans l’article de référence</w:t>
      </w:r>
      <w:r>
        <w:t> </w:t>
      </w:r>
      <w:r>
        <w:rPr>
          <w:rStyle w:val="optioncarChar"/>
        </w:rPr>
        <w:t>***</w:t>
      </w:r>
    </w:p>
    <w:p w14:paraId="05AD1EB4" w14:textId="77777777" w:rsidR="00DF410E" w:rsidRDefault="00CE7F43">
      <w:pPr>
        <w:jc w:val="both"/>
      </w:pPr>
      <w:r>
        <w:rPr>
          <w:b/>
          <w:i/>
        </w:rPr>
        <w:t>(Soit)</w:t>
      </w:r>
    </w:p>
    <w:p w14:paraId="5D7F8F45" w14:textId="77777777" w:rsidR="00DF410E" w:rsidRDefault="00CE7F43">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01A82688" w14:textId="77777777" w:rsidR="00DF410E" w:rsidRDefault="00CE7F43">
      <w:pPr>
        <w:pStyle w:val="pheading"/>
      </w:pPr>
      <w:r>
        <w:t>- nature du marché:</w:t>
      </w:r>
    </w:p>
    <w:p w14:paraId="2ADAE86E" w14:textId="77777777" w:rsidR="00DF410E" w:rsidRDefault="00CE7F43">
      <w:r>
        <w:rPr>
          <w:rStyle w:val="optioncarChar"/>
        </w:rPr>
        <w:t>PM </w:t>
      </w:r>
      <w:r>
        <w:t>(par défaut) </w:t>
      </w:r>
      <w:r>
        <w:rPr>
          <w:rStyle w:val="optioncarChar"/>
        </w:rPr>
        <w:t>/ QF / QP</w:t>
      </w:r>
    </w:p>
    <w:p w14:paraId="2B138035" w14:textId="77777777" w:rsidR="00DF410E" w:rsidRDefault="00CE7F43">
      <w:r>
        <w:rPr>
          <w:b/>
          <w:i/>
        </w:rPr>
        <w:t>(Soit par défaut)</w:t>
      </w:r>
    </w:p>
    <w:p w14:paraId="262A31BB" w14:textId="77777777" w:rsidR="00DF410E" w:rsidRDefault="00CE7F43">
      <w:r>
        <w:rPr>
          <w:rStyle w:val="soitChar"/>
        </w:rPr>
        <w:t>1.     PM</w:t>
      </w:r>
    </w:p>
    <w:p w14:paraId="3BC2A52B" w14:textId="77777777" w:rsidR="00DF410E" w:rsidRDefault="00CE7F43">
      <w:r>
        <w:rPr>
          <w:b/>
          <w:i/>
        </w:rPr>
        <w:t>(Soit)</w:t>
      </w:r>
    </w:p>
    <w:p w14:paraId="354736BB" w14:textId="77777777" w:rsidR="00DF410E" w:rsidRDefault="00CE7F43">
      <w:r>
        <w:rPr>
          <w:rStyle w:val="soitChar"/>
        </w:rPr>
        <w:t>2.     QF</w:t>
      </w:r>
    </w:p>
    <w:p w14:paraId="080B6679" w14:textId="77777777" w:rsidR="00DF410E" w:rsidRDefault="00CE7F43">
      <w:r>
        <w:rPr>
          <w:b/>
          <w:i/>
        </w:rPr>
        <w:t>(Soit)</w:t>
      </w:r>
    </w:p>
    <w:p w14:paraId="3866EED3" w14:textId="77777777" w:rsidR="00DF410E" w:rsidRDefault="00CE7F43">
      <w:r>
        <w:rPr>
          <w:rStyle w:val="soitChar"/>
        </w:rPr>
        <w:t>3.     QP</w:t>
      </w:r>
    </w:p>
    <w:p w14:paraId="5FE4D756" w14:textId="77777777" w:rsidR="00DF410E" w:rsidRDefault="00CE7F43">
      <w:pPr>
        <w:pStyle w:val="Author-eSectionHeading5"/>
      </w:pPr>
      <w:bookmarkStart w:id="1746" w:name="_Toc178838817"/>
      <w:r>
        <w:t>24.42.3 Systèmes de connexion CCTB 01.10</w:t>
      </w:r>
      <w:bookmarkEnd w:id="1746"/>
    </w:p>
    <w:p w14:paraId="6925F168" w14:textId="77777777" w:rsidR="00DF410E" w:rsidRDefault="00CE7F43">
      <w:pPr>
        <w:pStyle w:val="Author-eSectionHeading6"/>
      </w:pPr>
      <w:bookmarkStart w:id="1747" w:name="_Toc178838818"/>
      <w:r>
        <w:t>24.42.3a Systèmes de connexion - tôles minces clouées CCTB 01.07</w:t>
      </w:r>
      <w:bookmarkEnd w:id="1747"/>
    </w:p>
    <w:p w14:paraId="6FAB0396" w14:textId="77777777" w:rsidR="00DF410E" w:rsidRDefault="00CE7F43">
      <w:pPr>
        <w:pStyle w:val="pheading"/>
      </w:pPr>
      <w:r>
        <w:t>MESURAGE</w:t>
      </w:r>
    </w:p>
    <w:p w14:paraId="0EB58569" w14:textId="77777777" w:rsidR="00DF410E" w:rsidRDefault="00CE7F43">
      <w:pPr>
        <w:pStyle w:val="pheading"/>
      </w:pPr>
      <w:r>
        <w:t>- unité de mesure:</w:t>
      </w:r>
    </w:p>
    <w:p w14:paraId="64CBC09E" w14:textId="77777777" w:rsidR="00DF410E" w:rsidRDefault="00CE7F43">
      <w:r>
        <w:rPr>
          <w:rStyle w:val="optioncarChar"/>
        </w:rPr>
        <w:t>- </w:t>
      </w:r>
      <w:r>
        <w:t>(par défaut) </w:t>
      </w:r>
      <w:r>
        <w:rPr>
          <w:rStyle w:val="optioncarChar"/>
        </w:rPr>
        <w:t>/ pc</w:t>
      </w:r>
    </w:p>
    <w:p w14:paraId="77A9656E" w14:textId="77777777" w:rsidR="00DF410E" w:rsidRDefault="00CE7F43">
      <w:r>
        <w:rPr>
          <w:b/>
          <w:i/>
        </w:rPr>
        <w:t>(Soit par défaut)</w:t>
      </w:r>
    </w:p>
    <w:p w14:paraId="38A52CB7" w14:textId="77777777" w:rsidR="00DF410E" w:rsidRDefault="00CE7F43">
      <w:r>
        <w:rPr>
          <w:rStyle w:val="soitChar"/>
        </w:rPr>
        <w:t>1.     –</w:t>
      </w:r>
    </w:p>
    <w:p w14:paraId="33B136C8" w14:textId="77777777" w:rsidR="00DF410E" w:rsidRDefault="00CE7F43">
      <w:r>
        <w:rPr>
          <w:b/>
          <w:i/>
        </w:rPr>
        <w:t>(Soit)</w:t>
      </w:r>
    </w:p>
    <w:p w14:paraId="308F6961" w14:textId="77777777" w:rsidR="00DF410E" w:rsidRDefault="00CE7F43">
      <w:r>
        <w:rPr>
          <w:rStyle w:val="soitChar"/>
        </w:rPr>
        <w:t>2.3.  pc</w:t>
      </w:r>
    </w:p>
    <w:p w14:paraId="08CA7619" w14:textId="77777777" w:rsidR="00DF410E" w:rsidRDefault="00CE7F43">
      <w:pPr>
        <w:pStyle w:val="pheading"/>
      </w:pPr>
      <w:r>
        <w:t>- code de mesurage:</w:t>
      </w:r>
    </w:p>
    <w:p w14:paraId="5A2157F9" w14:textId="77777777" w:rsidR="00DF410E" w:rsidRDefault="00CE7F43">
      <w:r>
        <w:rPr>
          <w:rStyle w:val="optioncarChar"/>
        </w:rPr>
        <w:t>Compris</w:t>
      </w:r>
      <w:r>
        <w:t> (par défaut) </w:t>
      </w:r>
      <w:r>
        <w:rPr>
          <w:rStyle w:val="optioncarChar"/>
        </w:rPr>
        <w:t>/ Quantité nette</w:t>
      </w:r>
    </w:p>
    <w:p w14:paraId="4C38E2D1" w14:textId="77777777" w:rsidR="00DF410E" w:rsidRDefault="00CE7F43">
      <w:r>
        <w:rPr>
          <w:b/>
          <w:i/>
        </w:rPr>
        <w:t>(Soit par défaut)</w:t>
      </w:r>
    </w:p>
    <w:p w14:paraId="3D625354" w14:textId="77777777" w:rsidR="00DF410E" w:rsidRDefault="00CE7F43">
      <w:r>
        <w:rPr>
          <w:rStyle w:val="soitChar"/>
        </w:rPr>
        <w:t>1.     </w:t>
      </w:r>
      <w:r>
        <w:rPr>
          <w:rStyle w:val="soitChar"/>
          <w:u w:val="single"/>
        </w:rPr>
        <w:t>Compris</w:t>
      </w:r>
      <w:r>
        <w:rPr>
          <w:rStyle w:val="soitChar"/>
        </w:rPr>
        <w:t> dans l’article de référence</w:t>
      </w:r>
      <w:r>
        <w:t>  </w:t>
      </w:r>
      <w:r>
        <w:rPr>
          <w:rStyle w:val="optioncarChar"/>
        </w:rPr>
        <w:t>***</w:t>
      </w:r>
    </w:p>
    <w:p w14:paraId="00238A79" w14:textId="77777777" w:rsidR="00DF410E" w:rsidRDefault="00CE7F43">
      <w:r>
        <w:rPr>
          <w:b/>
          <w:i/>
        </w:rPr>
        <w:t>(Soit)</w:t>
      </w:r>
    </w:p>
    <w:p w14:paraId="6E83E5F9"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551A6D21" w14:textId="77777777" w:rsidR="00DF410E" w:rsidRDefault="00CE7F43">
      <w:pPr>
        <w:pStyle w:val="pheading"/>
      </w:pPr>
      <w:r>
        <w:t>- nature du marché:</w:t>
      </w:r>
    </w:p>
    <w:p w14:paraId="71D973F6" w14:textId="77777777" w:rsidR="00DF410E" w:rsidRDefault="00CE7F43">
      <w:r>
        <w:rPr>
          <w:rStyle w:val="optioncarChar"/>
        </w:rPr>
        <w:t>PM </w:t>
      </w:r>
      <w:r>
        <w:t>(par défaut) </w:t>
      </w:r>
      <w:r>
        <w:rPr>
          <w:rStyle w:val="optioncarChar"/>
        </w:rPr>
        <w:t>/ QF / QP</w:t>
      </w:r>
    </w:p>
    <w:p w14:paraId="3E429090" w14:textId="77777777" w:rsidR="00DF410E" w:rsidRDefault="00CE7F43">
      <w:r>
        <w:rPr>
          <w:b/>
          <w:i/>
        </w:rPr>
        <w:t>(Soit par défaut)</w:t>
      </w:r>
    </w:p>
    <w:p w14:paraId="1AB0C93E" w14:textId="77777777" w:rsidR="00DF410E" w:rsidRDefault="00CE7F43">
      <w:r>
        <w:rPr>
          <w:rStyle w:val="soitChar"/>
        </w:rPr>
        <w:t>1.     PM</w:t>
      </w:r>
    </w:p>
    <w:p w14:paraId="0B251CB4" w14:textId="77777777" w:rsidR="00DF410E" w:rsidRDefault="00CE7F43">
      <w:r>
        <w:rPr>
          <w:b/>
          <w:i/>
        </w:rPr>
        <w:t>(Soit)</w:t>
      </w:r>
    </w:p>
    <w:p w14:paraId="29CADC51" w14:textId="77777777" w:rsidR="00DF410E" w:rsidRDefault="00CE7F43">
      <w:r>
        <w:rPr>
          <w:rStyle w:val="soitChar"/>
        </w:rPr>
        <w:t>2.     QF</w:t>
      </w:r>
    </w:p>
    <w:p w14:paraId="6672C85F" w14:textId="77777777" w:rsidR="00DF410E" w:rsidRDefault="00CE7F43">
      <w:r>
        <w:rPr>
          <w:b/>
          <w:i/>
        </w:rPr>
        <w:t>(Soit)</w:t>
      </w:r>
    </w:p>
    <w:p w14:paraId="5C7DC026" w14:textId="77777777" w:rsidR="00DF410E" w:rsidRDefault="00CE7F43">
      <w:r>
        <w:rPr>
          <w:rStyle w:val="soitChar"/>
        </w:rPr>
        <w:t>3.     QP</w:t>
      </w:r>
    </w:p>
    <w:p w14:paraId="5F415143" w14:textId="77777777" w:rsidR="00DF410E" w:rsidRDefault="00CE7F43">
      <w:pPr>
        <w:pStyle w:val="Author-eSectionHeading6"/>
      </w:pPr>
      <w:bookmarkStart w:id="1748" w:name="_Toc178838819"/>
      <w:r>
        <w:t>24.42.3b Systèmes de connexion - ferrures standardisées CCTB 01.11</w:t>
      </w:r>
      <w:bookmarkEnd w:id="1748"/>
    </w:p>
    <w:p w14:paraId="67D760E9" w14:textId="77777777" w:rsidR="00DF410E" w:rsidRDefault="00CE7F43">
      <w:pPr>
        <w:pStyle w:val="pheading"/>
      </w:pPr>
      <w:bookmarkStart w:id="1749" w:name="613"/>
      <w:bookmarkEnd w:id="1749"/>
      <w:r>
        <w:t>DESCRIPTION</w:t>
      </w:r>
    </w:p>
    <w:p w14:paraId="4CADC839" w14:textId="77777777" w:rsidR="00DF410E" w:rsidRDefault="00CE7F43">
      <w:pPr>
        <w:pStyle w:val="pheading"/>
      </w:pPr>
      <w:r>
        <w:t>- Définition / Comprend</w:t>
      </w:r>
    </w:p>
    <w:p w14:paraId="41E71D08" w14:textId="77777777" w:rsidR="00DF410E" w:rsidRDefault="00CE7F43">
      <w:pPr>
        <w:jc w:val="both"/>
      </w:pPr>
      <w:r>
        <w:t>Il s’agit d’éléments métalliques industrialisés fabriqués à partir de tôle pliée ou emboutie. Les ferrures standardisées regroupent les boitiers, les étriers, les sabots, les équerres. L’épaisseur des tôles entrant dans la fabrication des ferrures standardisées varie de 1 à 4mm.</w:t>
      </w:r>
    </w:p>
    <w:p w14:paraId="5A518C14" w14:textId="77777777" w:rsidR="00DF410E" w:rsidRDefault="00CE7F43">
      <w:pPr>
        <w:jc w:val="both"/>
      </w:pPr>
      <w:r>
        <w:rPr>
          <w:b/>
        </w:rPr>
        <w:t>Remarques importantes</w:t>
      </w:r>
    </w:p>
    <w:p w14:paraId="0577C2BF" w14:textId="77777777" w:rsidR="00DF410E" w:rsidRDefault="00CE7F43">
      <w:pPr>
        <w:jc w:val="both"/>
      </w:pPr>
      <w:r>
        <w:t>Ces éléments d’assemblages peuvent être porteurs du marquage CE à titre individuel via l’obtention d’une évaluation technique européenne (ETE) délivrée par un organisme d’agrément européen.</w:t>
      </w:r>
    </w:p>
    <w:p w14:paraId="5E76C6F1" w14:textId="77777777" w:rsidR="00DF410E" w:rsidRDefault="00CE7F43">
      <w:pPr>
        <w:jc w:val="both"/>
      </w:pPr>
      <w:r>
        <w:t>L’évaluation technique européenne est donnée sur base d’une déclaration de performance qui se base elle-même sur l’[ETAG 015].</w:t>
      </w:r>
    </w:p>
    <w:p w14:paraId="0DBAF62D" w14:textId="77777777" w:rsidR="00DF410E" w:rsidRDefault="00CE7F43">
      <w:pPr>
        <w:pStyle w:val="pheading"/>
      </w:pPr>
      <w:r>
        <w:t>MATÉRIAUX</w:t>
      </w:r>
    </w:p>
    <w:p w14:paraId="5882E208" w14:textId="77777777" w:rsidR="00DF410E" w:rsidRDefault="00CE7F43">
      <w:pPr>
        <w:pStyle w:val="pheading"/>
      </w:pPr>
      <w:r>
        <w:t>- Caractéristiques générales</w:t>
      </w:r>
    </w:p>
    <w:p w14:paraId="302623E6" w14:textId="77777777" w:rsidR="00DF410E" w:rsidRDefault="00CE7F43">
      <w:pPr>
        <w:jc w:val="both"/>
      </w:pPr>
      <w:r>
        <w:t xml:space="preserve">Matériau constitutif de la tôle : </w:t>
      </w:r>
      <w:r>
        <w:rPr>
          <w:rStyle w:val="optioncarChar"/>
        </w:rPr>
        <w:t>Acier galvanisé</w:t>
      </w:r>
      <w:r>
        <w:t xml:space="preserve"> (par défaut) </w:t>
      </w:r>
      <w:r>
        <w:rPr>
          <w:rStyle w:val="optioncarChar"/>
        </w:rPr>
        <w:t>/ Acier inoxydable / Aluminium / ***</w:t>
      </w:r>
    </w:p>
    <w:p w14:paraId="423C03F9" w14:textId="77777777" w:rsidR="00DF410E" w:rsidRDefault="00CE7F43">
      <w:pPr>
        <w:ind w:left="567"/>
        <w:jc w:val="both"/>
      </w:pPr>
      <w:r>
        <w:rPr>
          <w:b/>
          <w:i/>
        </w:rPr>
        <w:t>(Soit par défaut)</w:t>
      </w:r>
    </w:p>
    <w:p w14:paraId="137143FF" w14:textId="77777777" w:rsidR="00DF410E" w:rsidRDefault="00CE7F43">
      <w:pPr>
        <w:ind w:left="567"/>
        <w:jc w:val="both"/>
      </w:pPr>
      <w:r>
        <w:rPr>
          <w:rStyle w:val="soitChar"/>
          <w:u w:val="single"/>
        </w:rPr>
        <w:t>Acier galvanisé</w:t>
      </w:r>
    </w:p>
    <w:p w14:paraId="7B4A4D9F" w14:textId="77777777" w:rsidR="00DF410E" w:rsidRDefault="00CE7F43">
      <w:pPr>
        <w:ind w:left="567"/>
        <w:jc w:val="both"/>
      </w:pPr>
      <w:r>
        <w:rPr>
          <w:rStyle w:val="soitChar"/>
        </w:rPr>
        <w:t xml:space="preserve">Nuance d’acier selon [NBN EN 10346] : </w:t>
      </w:r>
      <w:r>
        <w:rPr>
          <w:rStyle w:val="optioncarChar"/>
        </w:rPr>
        <w:t xml:space="preserve">S235 </w:t>
      </w:r>
      <w:r>
        <w:t>(par défaut) /</w:t>
      </w:r>
      <w:r>
        <w:rPr>
          <w:rStyle w:val="optioncarChar"/>
        </w:rPr>
        <w:t xml:space="preserve"> S355 / ***</w:t>
      </w:r>
    </w:p>
    <w:p w14:paraId="6C90D19B" w14:textId="77777777" w:rsidR="00DF410E" w:rsidRDefault="00CE7F43">
      <w:pPr>
        <w:ind w:left="567"/>
        <w:jc w:val="both"/>
      </w:pPr>
      <w:r>
        <w:rPr>
          <w:rStyle w:val="soitChar"/>
        </w:rPr>
        <w:t xml:space="preserve">Galvanisation à chaud : </w:t>
      </w:r>
      <w:r>
        <w:rPr>
          <w:rStyle w:val="optioncarChar"/>
        </w:rPr>
        <w:t xml:space="preserve">Z275 </w:t>
      </w:r>
      <w:r>
        <w:t xml:space="preserve">(par défaut) </w:t>
      </w:r>
      <w:r>
        <w:rPr>
          <w:rStyle w:val="optioncarChar"/>
        </w:rPr>
        <w:t>/ Z350 / ***</w:t>
      </w:r>
    </w:p>
    <w:p w14:paraId="0AC62976" w14:textId="77777777" w:rsidR="00DF410E" w:rsidRDefault="00CE7F43">
      <w:pPr>
        <w:ind w:left="567"/>
        <w:jc w:val="both"/>
      </w:pPr>
      <w:r>
        <w:rPr>
          <w:rStyle w:val="soitChar"/>
        </w:rPr>
        <w:t>Cette mesure peut être remplacée par une mesure présentant un degré de protection contre la corrosion similaire ou supérieure (par exemple de l’acier métallisé).</w:t>
      </w:r>
    </w:p>
    <w:p w14:paraId="6F315AF9" w14:textId="77777777" w:rsidR="00DF410E" w:rsidRDefault="00CE7F43">
      <w:pPr>
        <w:ind w:left="567"/>
        <w:jc w:val="both"/>
      </w:pPr>
      <w:r>
        <w:rPr>
          <w:b/>
          <w:i/>
        </w:rPr>
        <w:t>(Soit)</w:t>
      </w:r>
    </w:p>
    <w:p w14:paraId="537BEAC2" w14:textId="77777777" w:rsidR="00DF410E" w:rsidRDefault="00CE7F43">
      <w:pPr>
        <w:ind w:left="567"/>
        <w:jc w:val="both"/>
      </w:pPr>
      <w:r>
        <w:rPr>
          <w:rStyle w:val="soitChar"/>
          <w:u w:val="single"/>
        </w:rPr>
        <w:t>Acier inoxydable</w:t>
      </w:r>
    </w:p>
    <w:p w14:paraId="53E9E852" w14:textId="77777777" w:rsidR="00DF410E" w:rsidRDefault="00CE7F43">
      <w:pPr>
        <w:ind w:left="567"/>
        <w:jc w:val="both"/>
      </w:pPr>
      <w:r>
        <w:rPr>
          <w:rStyle w:val="soitChar"/>
        </w:rPr>
        <w:t xml:space="preserve">Nuance d’acier inoxydable selon [NBN EN 10088-2] : </w:t>
      </w:r>
      <w:r>
        <w:rPr>
          <w:rStyle w:val="optioncarChar"/>
        </w:rPr>
        <w:t xml:space="preserve">1.4307 / 1.4404 </w:t>
      </w:r>
      <w:r>
        <w:t xml:space="preserve">(par défaut) </w:t>
      </w:r>
      <w:r>
        <w:rPr>
          <w:rStyle w:val="optioncarChar"/>
        </w:rPr>
        <w:t>/ ***</w:t>
      </w:r>
    </w:p>
    <w:p w14:paraId="4F827571" w14:textId="77777777" w:rsidR="00DF410E" w:rsidRDefault="00CE7F43">
      <w:pPr>
        <w:ind w:left="567"/>
        <w:jc w:val="both"/>
      </w:pPr>
      <w:r>
        <w:rPr>
          <w:rStyle w:val="soitChar"/>
        </w:rPr>
        <w:t>La dénomination 1.4307 est équivalente à X2CrNi18-09, à AISI 304L et est un inox de classe A2.</w:t>
      </w:r>
    </w:p>
    <w:p w14:paraId="5AE06038" w14:textId="77777777" w:rsidR="00DF410E" w:rsidRDefault="00CE7F43">
      <w:pPr>
        <w:ind w:left="567"/>
        <w:jc w:val="both"/>
      </w:pPr>
      <w:r>
        <w:rPr>
          <w:rStyle w:val="soitChar"/>
        </w:rPr>
        <w:t>La dénomination 1.4404 est équivalente à X2CrNiMo17-12-2, à AISI 316L et est un inox de classe A4.</w:t>
      </w:r>
    </w:p>
    <w:p w14:paraId="6CD81AF5" w14:textId="77777777" w:rsidR="00DF410E" w:rsidRDefault="00CE7F43">
      <w:pPr>
        <w:ind w:left="567"/>
        <w:jc w:val="both"/>
      </w:pPr>
      <w:r>
        <w:rPr>
          <w:b/>
          <w:i/>
        </w:rPr>
        <w:t>(Soit)</w:t>
      </w:r>
    </w:p>
    <w:p w14:paraId="398F284F" w14:textId="77777777" w:rsidR="00DF410E" w:rsidRDefault="00CE7F43">
      <w:pPr>
        <w:ind w:left="567"/>
        <w:jc w:val="both"/>
      </w:pPr>
      <w:r>
        <w:rPr>
          <w:rStyle w:val="soitChar"/>
          <w:u w:val="single"/>
        </w:rPr>
        <w:t>Aluminium</w:t>
      </w:r>
    </w:p>
    <w:p w14:paraId="440A298D" w14:textId="77777777" w:rsidR="00DF410E" w:rsidRDefault="00CE7F43">
      <w:pPr>
        <w:ind w:left="567"/>
        <w:jc w:val="both"/>
      </w:pPr>
      <w:r>
        <w:rPr>
          <w:rStyle w:val="soitChar"/>
        </w:rPr>
        <w:t xml:space="preserve">Nuance d’aluminium selon [NBN EN 573-1] : </w:t>
      </w:r>
      <w:r>
        <w:rPr>
          <w:rStyle w:val="optioncarChar"/>
        </w:rPr>
        <w:t xml:space="preserve">EN AW-6xxx </w:t>
      </w:r>
      <w:r>
        <w:t>(par défaut)</w:t>
      </w:r>
      <w:r>
        <w:rPr>
          <w:rStyle w:val="optioncarChar"/>
        </w:rPr>
        <w:t xml:space="preserve"> / ***</w:t>
      </w:r>
    </w:p>
    <w:p w14:paraId="54E8F1AB" w14:textId="77777777" w:rsidR="00DF410E" w:rsidRDefault="00CE7F43">
      <w:pPr>
        <w:ind w:left="567"/>
        <w:jc w:val="both"/>
      </w:pPr>
      <w:r>
        <w:rPr>
          <w:b/>
          <w:i/>
        </w:rPr>
        <w:t>(Soit)</w:t>
      </w:r>
    </w:p>
    <w:p w14:paraId="078C1919" w14:textId="77777777" w:rsidR="00DF410E" w:rsidRDefault="00CE7F43">
      <w:pPr>
        <w:ind w:left="567"/>
        <w:jc w:val="both"/>
      </w:pPr>
      <w:r>
        <w:rPr>
          <w:rStyle w:val="optioncarChar"/>
        </w:rPr>
        <w:t>***</w:t>
      </w:r>
    </w:p>
    <w:p w14:paraId="24AB7DBF" w14:textId="77777777" w:rsidR="00DF410E" w:rsidRDefault="00CE7F43">
      <w:pPr>
        <w:jc w:val="both"/>
      </w:pPr>
      <w:r>
        <w:t> </w:t>
      </w:r>
    </w:p>
    <w:p w14:paraId="6203BB90" w14:textId="77777777" w:rsidR="00DF410E" w:rsidRDefault="00CE7F43">
      <w:pPr>
        <w:jc w:val="both"/>
      </w:pPr>
      <w:r>
        <w:t xml:space="preserve">Épaisseur de tôle : </w:t>
      </w:r>
      <w:r>
        <w:rPr>
          <w:rStyle w:val="optioncarChar"/>
        </w:rPr>
        <w:t xml:space="preserve">1mm </w:t>
      </w:r>
      <w:r>
        <w:t>(par défaut) </w:t>
      </w:r>
      <w:r>
        <w:rPr>
          <w:rStyle w:val="optioncarChar"/>
        </w:rPr>
        <w:t>/ 1,5 mm / 2mm / 2,5mm / 3mm / 4mm / ***</w:t>
      </w:r>
    </w:p>
    <w:p w14:paraId="443F5F79" w14:textId="77777777" w:rsidR="00DF410E" w:rsidRDefault="00CE7F43">
      <w:pPr>
        <w:jc w:val="both"/>
      </w:pPr>
      <w:r>
        <w:t xml:space="preserve">Sollicitations auxquels la ferrure est soumise : </w:t>
      </w:r>
      <w:r>
        <w:rPr>
          <w:rStyle w:val="optioncarChar"/>
        </w:rPr>
        <w:t>voir plan</w:t>
      </w:r>
      <w:r>
        <w:t> (par défaut)</w:t>
      </w:r>
      <w:r>
        <w:rPr>
          <w:rStyle w:val="optioncarChar"/>
        </w:rPr>
        <w:t> / ***</w:t>
      </w:r>
    </w:p>
    <w:p w14:paraId="4E3E8ED5" w14:textId="77777777" w:rsidR="00DF410E" w:rsidRDefault="00CE7F43">
      <w:pPr>
        <w:jc w:val="both"/>
      </w:pPr>
      <w:r>
        <w:t>Classe de réaction au feu A1.</w:t>
      </w:r>
    </w:p>
    <w:p w14:paraId="50FA4E1B" w14:textId="77777777" w:rsidR="00DF410E" w:rsidRDefault="00CE7F43">
      <w:pPr>
        <w:jc w:val="both"/>
      </w:pPr>
      <w:r>
        <w:t>Une résistance au feu est obtenue soit par l’épaisseur de la tôle, soit par protection de celle-ci. La validation de la solution est conforme aux solutions types développées dans la norme [NBN EN 1995-1-2] ou validées suivant les procédures d’essais décrites dans la [NBN EN 13501-2].</w:t>
      </w:r>
    </w:p>
    <w:p w14:paraId="2D933BA6" w14:textId="77777777" w:rsidR="00DF410E" w:rsidRDefault="00CE7F43">
      <w:pPr>
        <w:pStyle w:val="pheading"/>
      </w:pPr>
      <w:r>
        <w:t>EXÉCUTION / MISE EN ŒUVRE</w:t>
      </w:r>
    </w:p>
    <w:p w14:paraId="046420FB" w14:textId="77777777" w:rsidR="00DF410E" w:rsidRDefault="00CE7F43">
      <w:pPr>
        <w:pStyle w:val="pheading"/>
      </w:pPr>
      <w:r>
        <w:t>- Prescriptions générales</w:t>
      </w:r>
    </w:p>
    <w:p w14:paraId="1051F037" w14:textId="77777777" w:rsidR="00DF410E" w:rsidRDefault="00CE7F43">
      <w:pPr>
        <w:jc w:val="both"/>
      </w:pPr>
      <w:r>
        <w:t>Les ferrures standardisées sont mises en place soit en atelier, soit sur chantier au moyen de clous annelés ou torsadés ou de vis.</w:t>
      </w:r>
    </w:p>
    <w:p w14:paraId="327915D8" w14:textId="77777777" w:rsidR="00DF410E" w:rsidRDefault="00CE7F43">
      <w:pPr>
        <w:jc w:val="both"/>
      </w:pPr>
      <w:r>
        <w:t>Les prescriptions du fabricant sont respectées.</w:t>
      </w:r>
    </w:p>
    <w:p w14:paraId="6A47CB38" w14:textId="77777777" w:rsidR="00DF410E" w:rsidRDefault="00CE7F43">
      <w:pPr>
        <w:pStyle w:val="pheading"/>
      </w:pPr>
      <w:r>
        <w:t>MESURAGE</w:t>
      </w:r>
    </w:p>
    <w:p w14:paraId="5F4C15AF" w14:textId="77777777" w:rsidR="00DF410E" w:rsidRDefault="00CE7F43">
      <w:r>
        <w:rPr>
          <w:rStyle w:val="optioncarChar"/>
        </w:rPr>
        <w:t>- </w:t>
      </w:r>
      <w:r>
        <w:t>(par défaut) </w:t>
      </w:r>
      <w:r>
        <w:rPr>
          <w:rStyle w:val="optioncarChar"/>
        </w:rPr>
        <w:t>/ pc</w:t>
      </w:r>
    </w:p>
    <w:p w14:paraId="04E8BB76" w14:textId="77777777" w:rsidR="00DF410E" w:rsidRDefault="00CE7F43">
      <w:r>
        <w:rPr>
          <w:b/>
          <w:i/>
        </w:rPr>
        <w:t>(Soit par défaut)</w:t>
      </w:r>
    </w:p>
    <w:p w14:paraId="6F6C4C05" w14:textId="77777777" w:rsidR="00DF410E" w:rsidRDefault="00CE7F43">
      <w:r>
        <w:rPr>
          <w:rStyle w:val="soitChar"/>
        </w:rPr>
        <w:t>1.     –</w:t>
      </w:r>
    </w:p>
    <w:p w14:paraId="28AD57D3" w14:textId="77777777" w:rsidR="00DF410E" w:rsidRDefault="00CE7F43">
      <w:r>
        <w:rPr>
          <w:b/>
          <w:i/>
        </w:rPr>
        <w:t>(Soit)</w:t>
      </w:r>
    </w:p>
    <w:p w14:paraId="1D0F04CF" w14:textId="77777777" w:rsidR="00DF410E" w:rsidRDefault="00CE7F43">
      <w:r>
        <w:rPr>
          <w:rStyle w:val="soitChar"/>
        </w:rPr>
        <w:t>2.3.  pc</w:t>
      </w:r>
    </w:p>
    <w:p w14:paraId="643833CB" w14:textId="77777777" w:rsidR="00DF410E" w:rsidRDefault="00CE7F43">
      <w:pPr>
        <w:pStyle w:val="pheading"/>
      </w:pPr>
      <w:r>
        <w:t>- unité de mesure:</w:t>
      </w:r>
    </w:p>
    <w:p w14:paraId="5B27CE3B" w14:textId="77777777" w:rsidR="00DF410E" w:rsidRDefault="00CE7F43">
      <w:r>
        <w:rPr>
          <w:rStyle w:val="optioncarChar"/>
        </w:rPr>
        <w:t>Compris </w:t>
      </w:r>
      <w:r>
        <w:t>(par défaut) </w:t>
      </w:r>
      <w:r>
        <w:rPr>
          <w:rStyle w:val="optioncarChar"/>
        </w:rPr>
        <w:t>/ Quantité nette</w:t>
      </w:r>
    </w:p>
    <w:p w14:paraId="211FA552" w14:textId="77777777" w:rsidR="00DF410E" w:rsidRDefault="00CE7F43">
      <w:r>
        <w:rPr>
          <w:b/>
          <w:i/>
        </w:rPr>
        <w:t>(Soit par défaut)</w:t>
      </w:r>
    </w:p>
    <w:p w14:paraId="5616063E" w14:textId="77777777" w:rsidR="00DF410E" w:rsidRDefault="00CE7F43">
      <w:r>
        <w:rPr>
          <w:rStyle w:val="soitChar"/>
        </w:rPr>
        <w:t>1.    </w:t>
      </w:r>
      <w:r>
        <w:rPr>
          <w:rStyle w:val="soitChar"/>
          <w:u w:val="single"/>
        </w:rPr>
        <w:t> Compris </w:t>
      </w:r>
      <w:r>
        <w:rPr>
          <w:rStyle w:val="soitChar"/>
        </w:rPr>
        <w:t>dans l’article de référence </w:t>
      </w:r>
      <w:r>
        <w:rPr>
          <w:rStyle w:val="optioncarChar"/>
        </w:rPr>
        <w:t> ***</w:t>
      </w:r>
    </w:p>
    <w:p w14:paraId="25FA4EFE" w14:textId="77777777" w:rsidR="00DF410E" w:rsidRDefault="00CE7F43">
      <w:r>
        <w:rPr>
          <w:b/>
          <w:i/>
        </w:rPr>
        <w:t>(Soit)</w:t>
      </w:r>
    </w:p>
    <w:p w14:paraId="0EB53148"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583043D0" w14:textId="77777777" w:rsidR="00DF410E" w:rsidRDefault="00CE7F43">
      <w:pPr>
        <w:pStyle w:val="pheading"/>
      </w:pPr>
      <w:r>
        <w:t>- code de mesurage:</w:t>
      </w:r>
    </w:p>
    <w:p w14:paraId="4EA6664B" w14:textId="77777777" w:rsidR="00DF410E" w:rsidRDefault="00CE7F43">
      <w:r>
        <w:rPr>
          <w:rStyle w:val="optioncarChar"/>
        </w:rPr>
        <w:t>PM </w:t>
      </w:r>
      <w:r>
        <w:t>(par défaut) </w:t>
      </w:r>
      <w:r>
        <w:rPr>
          <w:rStyle w:val="optioncarChar"/>
        </w:rPr>
        <w:t>/ QF / QP</w:t>
      </w:r>
    </w:p>
    <w:p w14:paraId="60AF1C04" w14:textId="77777777" w:rsidR="00DF410E" w:rsidRDefault="00CE7F43">
      <w:r>
        <w:rPr>
          <w:b/>
          <w:i/>
        </w:rPr>
        <w:t>(Soit par défaut)</w:t>
      </w:r>
    </w:p>
    <w:p w14:paraId="38D2BE50" w14:textId="77777777" w:rsidR="00DF410E" w:rsidRDefault="00CE7F43">
      <w:r>
        <w:rPr>
          <w:rStyle w:val="soitChar"/>
        </w:rPr>
        <w:t>1.     PM</w:t>
      </w:r>
    </w:p>
    <w:p w14:paraId="07DBDC61" w14:textId="77777777" w:rsidR="00DF410E" w:rsidRDefault="00CE7F43">
      <w:r>
        <w:rPr>
          <w:b/>
          <w:i/>
        </w:rPr>
        <w:t>(Soit)</w:t>
      </w:r>
    </w:p>
    <w:p w14:paraId="18A23C7F" w14:textId="77777777" w:rsidR="00DF410E" w:rsidRDefault="00CE7F43">
      <w:r>
        <w:rPr>
          <w:rStyle w:val="soitChar"/>
        </w:rPr>
        <w:t>2.     QF</w:t>
      </w:r>
    </w:p>
    <w:p w14:paraId="22F7A403" w14:textId="77777777" w:rsidR="00DF410E" w:rsidRDefault="00CE7F43">
      <w:r>
        <w:rPr>
          <w:b/>
          <w:i/>
        </w:rPr>
        <w:t>(Soit)</w:t>
      </w:r>
    </w:p>
    <w:p w14:paraId="115BD2B2" w14:textId="77777777" w:rsidR="00DF410E" w:rsidRDefault="00CE7F43">
      <w:r>
        <w:rPr>
          <w:rStyle w:val="soitChar"/>
        </w:rPr>
        <w:t>3.     QP</w:t>
      </w:r>
    </w:p>
    <w:p w14:paraId="0AAEB4B5" w14:textId="77777777" w:rsidR="00DF410E" w:rsidRDefault="00CE7F43">
      <w:pPr>
        <w:pStyle w:val="Author-eSectionHeading6"/>
      </w:pPr>
      <w:bookmarkStart w:id="1750" w:name="_Toc178838820"/>
      <w:r>
        <w:t>24.42.3c Systèmes de connexion - ferrures mécano-soudées CCTB 01.11</w:t>
      </w:r>
      <w:bookmarkEnd w:id="1750"/>
    </w:p>
    <w:p w14:paraId="6B574683" w14:textId="77777777" w:rsidR="00DF410E" w:rsidRDefault="00CE7F43">
      <w:pPr>
        <w:pStyle w:val="pheading"/>
      </w:pPr>
      <w:bookmarkStart w:id="1751" w:name="614"/>
      <w:bookmarkEnd w:id="1751"/>
      <w:r>
        <w:t>DESCRIPTION</w:t>
      </w:r>
    </w:p>
    <w:p w14:paraId="0E3909BA" w14:textId="77777777" w:rsidR="00DF410E" w:rsidRDefault="00CE7F43">
      <w:pPr>
        <w:pStyle w:val="pheading"/>
      </w:pPr>
      <w:r>
        <w:t>- Définition / Comprend</w:t>
      </w:r>
    </w:p>
    <w:p w14:paraId="3D36DB0B" w14:textId="77777777" w:rsidR="00DF410E" w:rsidRDefault="00CE7F43">
      <w:pPr>
        <w:jc w:val="both"/>
      </w:pPr>
      <w:r>
        <w:t>Il s’agit de ferrures réalisées sur mesure. Ces ferrures peuvent être composées d’une pièce ou de plusieurs pièces soudées, dans le même plan ou pas.</w:t>
      </w:r>
    </w:p>
    <w:p w14:paraId="7C7E10DB" w14:textId="77777777" w:rsidR="00DF410E" w:rsidRDefault="00CE7F43">
      <w:pPr>
        <w:jc w:val="both"/>
      </w:pPr>
      <w:r>
        <w:t>Sauf mention contraire au cahier spécial des charges, le travail comprend notamment :</w:t>
      </w:r>
    </w:p>
    <w:p w14:paraId="0B5995ED" w14:textId="77777777" w:rsidR="00DF410E" w:rsidRDefault="00CE7F43">
      <w:pPr>
        <w:pStyle w:val="Author-eListParagraph"/>
        <w:numPr>
          <w:ilvl w:val="0"/>
          <w:numId w:val="1063"/>
        </w:numPr>
        <w:jc w:val="both"/>
      </w:pPr>
      <w:r>
        <w:t>Les études, plans, note de calculs, lorsqu’ils sont non fournis dans le dossier d’adjudication ;</w:t>
      </w:r>
    </w:p>
    <w:p w14:paraId="06D95C06" w14:textId="77777777" w:rsidR="00DF410E" w:rsidRDefault="00CE7F43">
      <w:pPr>
        <w:pStyle w:val="Author-eListParagraph"/>
        <w:numPr>
          <w:ilvl w:val="0"/>
          <w:numId w:val="1063"/>
        </w:numPr>
        <w:jc w:val="both"/>
      </w:pPr>
      <w:r>
        <w:t>La fourniture du matériau composant la ferrure ;</w:t>
      </w:r>
    </w:p>
    <w:p w14:paraId="5BAC0B20" w14:textId="77777777" w:rsidR="00DF410E" w:rsidRDefault="00CE7F43">
      <w:pPr>
        <w:pStyle w:val="Author-eListParagraph"/>
        <w:numPr>
          <w:ilvl w:val="0"/>
          <w:numId w:val="1063"/>
        </w:numPr>
        <w:jc w:val="both"/>
      </w:pPr>
      <w:r>
        <w:t>Les découpes, soudures, pliages, emboutissages, ou tout autres opérations nécessaires pour obtenir la pièce finale ;</w:t>
      </w:r>
    </w:p>
    <w:p w14:paraId="7233A642" w14:textId="77777777" w:rsidR="00DF410E" w:rsidRDefault="00CE7F43">
      <w:pPr>
        <w:pStyle w:val="Author-eListParagraph"/>
        <w:numPr>
          <w:ilvl w:val="0"/>
          <w:numId w:val="1063"/>
        </w:numPr>
        <w:jc w:val="both"/>
      </w:pPr>
      <w:r>
        <w:t>Le conditionnement, la livraison et la manutention de la ferrure sur chantier ;</w:t>
      </w:r>
    </w:p>
    <w:p w14:paraId="427E37CC" w14:textId="77777777" w:rsidR="00DF410E" w:rsidRDefault="00CE7F43">
      <w:pPr>
        <w:pStyle w:val="Author-eListParagraph"/>
        <w:numPr>
          <w:ilvl w:val="0"/>
          <w:numId w:val="1063"/>
        </w:numPr>
        <w:jc w:val="both"/>
      </w:pPr>
      <w:r>
        <w:t>Eventuellement, le stockage sur chantier dans des conditions qui n’altèrent pas les performances de la pièce ;</w:t>
      </w:r>
    </w:p>
    <w:p w14:paraId="7F2F76D4" w14:textId="77777777" w:rsidR="00DF410E" w:rsidRDefault="00CE7F43">
      <w:pPr>
        <w:pStyle w:val="Author-eListParagraph"/>
        <w:numPr>
          <w:ilvl w:val="0"/>
          <w:numId w:val="1063"/>
        </w:numPr>
        <w:jc w:val="both"/>
      </w:pPr>
      <w:r>
        <w:t>La mise en œuvre de la pièce.</w:t>
      </w:r>
    </w:p>
    <w:p w14:paraId="5AEEAE88" w14:textId="77777777" w:rsidR="00DF410E" w:rsidRDefault="00CE7F43">
      <w:pPr>
        <w:pStyle w:val="pheading"/>
      </w:pPr>
      <w:r>
        <w:t>MATÉRIAUX</w:t>
      </w:r>
    </w:p>
    <w:p w14:paraId="11AA79A4" w14:textId="77777777" w:rsidR="00DF410E" w:rsidRDefault="00CE7F43">
      <w:pPr>
        <w:pStyle w:val="pheading"/>
      </w:pPr>
      <w:r>
        <w:t>- Caractéristiques générales</w:t>
      </w:r>
    </w:p>
    <w:p w14:paraId="54094113" w14:textId="77777777" w:rsidR="00DF410E" w:rsidRDefault="00CE7F43">
      <w:pPr>
        <w:jc w:val="both"/>
      </w:pPr>
      <w:r>
        <w:t>Matériau constitutif de la tôle :</w:t>
      </w:r>
      <w:r>
        <w:rPr>
          <w:rStyle w:val="optioncarChar"/>
        </w:rPr>
        <w:t xml:space="preserve"> Acier au carbone </w:t>
      </w:r>
      <w:r>
        <w:t xml:space="preserve">(par défaut) </w:t>
      </w:r>
      <w:r>
        <w:rPr>
          <w:rStyle w:val="optioncarChar"/>
        </w:rPr>
        <w:t> / Acier galvanisé / Acier inoxydable / Aluminium / ***</w:t>
      </w:r>
    </w:p>
    <w:p w14:paraId="02124E19" w14:textId="77777777" w:rsidR="00DF410E" w:rsidRDefault="00CE7F43">
      <w:pPr>
        <w:ind w:left="567"/>
        <w:jc w:val="both"/>
      </w:pPr>
      <w:r>
        <w:rPr>
          <w:b/>
          <w:i/>
        </w:rPr>
        <w:t>(Soit par défaut)</w:t>
      </w:r>
    </w:p>
    <w:p w14:paraId="134AC08B" w14:textId="77777777" w:rsidR="00DF410E" w:rsidRDefault="00CE7F43">
      <w:pPr>
        <w:ind w:left="567"/>
        <w:jc w:val="both"/>
      </w:pPr>
      <w:r>
        <w:rPr>
          <w:rStyle w:val="soitChar"/>
          <w:u w:val="single"/>
        </w:rPr>
        <w:t>Acier au carbone</w:t>
      </w:r>
    </w:p>
    <w:p w14:paraId="35C95576" w14:textId="77777777" w:rsidR="00DF410E" w:rsidRDefault="00CE7F43">
      <w:pPr>
        <w:ind w:left="567"/>
        <w:jc w:val="both"/>
      </w:pPr>
      <w:r>
        <w:rPr>
          <w:rStyle w:val="soitChar"/>
        </w:rPr>
        <w:t xml:space="preserve">Nuance d’acier selon [NBN EN 10346] : </w:t>
      </w:r>
      <w:r>
        <w:rPr>
          <w:rStyle w:val="optioncarChar"/>
        </w:rPr>
        <w:t xml:space="preserve">S235 </w:t>
      </w:r>
      <w:r>
        <w:t>(par défaut)</w:t>
      </w:r>
      <w:r>
        <w:rPr>
          <w:rStyle w:val="optioncarChar"/>
        </w:rPr>
        <w:t xml:space="preserve"> / S355 / *** </w:t>
      </w:r>
    </w:p>
    <w:p w14:paraId="07E06CDB" w14:textId="77777777" w:rsidR="00DF410E" w:rsidRDefault="00CE7F43">
      <w:pPr>
        <w:ind w:left="567"/>
        <w:jc w:val="both"/>
      </w:pPr>
      <w:r>
        <w:rPr>
          <w:rStyle w:val="soitChar"/>
        </w:rPr>
        <w:t xml:space="preserve">Galvanisation à chaud : </w:t>
      </w:r>
      <w:r>
        <w:rPr>
          <w:rStyle w:val="optioncarChar"/>
        </w:rPr>
        <w:t xml:space="preserve">Z275 </w:t>
      </w:r>
      <w:r>
        <w:t>(par défaut)</w:t>
      </w:r>
      <w:r>
        <w:rPr>
          <w:rStyle w:val="optioncarChar"/>
        </w:rPr>
        <w:t xml:space="preserve"> / Z350 / *** </w:t>
      </w:r>
    </w:p>
    <w:p w14:paraId="47BCD0FE" w14:textId="77777777" w:rsidR="00DF410E" w:rsidRDefault="00CE7F43">
      <w:pPr>
        <w:ind w:left="567"/>
        <w:jc w:val="both"/>
      </w:pPr>
      <w:r>
        <w:rPr>
          <w:rStyle w:val="soitChar"/>
        </w:rPr>
        <w:t>La ferrure est peinte à l’aide d’une peinture antirouille. Celle-ci est décrite au [§83.3]</w:t>
      </w:r>
    </w:p>
    <w:p w14:paraId="31AA8C65" w14:textId="77777777" w:rsidR="00DF410E" w:rsidRDefault="00CE7F43">
      <w:pPr>
        <w:ind w:left="567"/>
        <w:jc w:val="both"/>
      </w:pPr>
      <w:r>
        <w:rPr>
          <w:b/>
          <w:i/>
        </w:rPr>
        <w:t> (Soit)</w:t>
      </w:r>
    </w:p>
    <w:p w14:paraId="76D8DCA6" w14:textId="77777777" w:rsidR="00DF410E" w:rsidRDefault="00CE7F43">
      <w:pPr>
        <w:ind w:left="567"/>
        <w:jc w:val="both"/>
      </w:pPr>
      <w:r>
        <w:rPr>
          <w:rStyle w:val="soitChar"/>
          <w:u w:val="single"/>
        </w:rPr>
        <w:t>Acier galvanisé</w:t>
      </w:r>
    </w:p>
    <w:p w14:paraId="7895C3F6" w14:textId="77777777" w:rsidR="00DF410E" w:rsidRDefault="00CE7F43">
      <w:pPr>
        <w:ind w:left="567"/>
        <w:jc w:val="both"/>
      </w:pPr>
      <w:r>
        <w:rPr>
          <w:rStyle w:val="soitChar"/>
        </w:rPr>
        <w:t xml:space="preserve">Nuance d’acier selon [NBN EN 10346] : </w:t>
      </w:r>
      <w:r>
        <w:rPr>
          <w:rStyle w:val="optioncarChar"/>
        </w:rPr>
        <w:t>S235</w:t>
      </w:r>
      <w:r>
        <w:t xml:space="preserve"> (par défaut) </w:t>
      </w:r>
      <w:r>
        <w:rPr>
          <w:rStyle w:val="optioncarChar"/>
        </w:rPr>
        <w:t xml:space="preserve">/ S355 / *** </w:t>
      </w:r>
    </w:p>
    <w:p w14:paraId="248BB7B8" w14:textId="77777777" w:rsidR="00DF410E" w:rsidRDefault="00CE7F43">
      <w:pPr>
        <w:ind w:left="567"/>
        <w:jc w:val="both"/>
      </w:pPr>
      <w:r>
        <w:rPr>
          <w:rStyle w:val="soitChar"/>
        </w:rPr>
        <w:t xml:space="preserve">Galvanisation à chaud : </w:t>
      </w:r>
      <w:r>
        <w:rPr>
          <w:rStyle w:val="optioncarChar"/>
        </w:rPr>
        <w:t xml:space="preserve">Z275 </w:t>
      </w:r>
      <w:r>
        <w:t>(par défaut)</w:t>
      </w:r>
      <w:r>
        <w:rPr>
          <w:rStyle w:val="optioncarChar"/>
        </w:rPr>
        <w:t xml:space="preserve"> / Z350 / *** </w:t>
      </w:r>
    </w:p>
    <w:p w14:paraId="1F13D15B" w14:textId="77777777" w:rsidR="00DF410E" w:rsidRDefault="00CE7F43">
      <w:pPr>
        <w:ind w:left="567"/>
        <w:jc w:val="both"/>
      </w:pPr>
      <w:r>
        <w:rPr>
          <w:rStyle w:val="soitChar"/>
        </w:rPr>
        <w:t>Cette mesure peut être remplacée par une mesure présentant un degré de protection contre la corrosion similaire ou supérieure (par exemple de l’acier métallisé).</w:t>
      </w:r>
    </w:p>
    <w:p w14:paraId="56535CC9" w14:textId="77777777" w:rsidR="00DF410E" w:rsidRDefault="00CE7F43">
      <w:pPr>
        <w:ind w:left="567"/>
        <w:jc w:val="both"/>
      </w:pPr>
      <w:r>
        <w:rPr>
          <w:b/>
        </w:rPr>
        <w:t> (Soit)</w:t>
      </w:r>
    </w:p>
    <w:p w14:paraId="571B64DC" w14:textId="77777777" w:rsidR="00DF410E" w:rsidRDefault="00CE7F43">
      <w:pPr>
        <w:ind w:left="567"/>
        <w:jc w:val="both"/>
      </w:pPr>
      <w:r>
        <w:rPr>
          <w:rStyle w:val="soitChar"/>
          <w:u w:val="single"/>
        </w:rPr>
        <w:t>Acier inoxydable</w:t>
      </w:r>
    </w:p>
    <w:p w14:paraId="50F91D98" w14:textId="77777777" w:rsidR="00DF410E" w:rsidRDefault="00CE7F43">
      <w:pPr>
        <w:ind w:left="567"/>
        <w:jc w:val="both"/>
      </w:pPr>
      <w:r>
        <w:rPr>
          <w:rStyle w:val="soitChar"/>
        </w:rPr>
        <w:t xml:space="preserve">Nuance d’acier inoxydable selon [NBN EN 10088-2] : </w:t>
      </w:r>
      <w:r>
        <w:rPr>
          <w:rStyle w:val="optioncarChar"/>
        </w:rPr>
        <w:t>1.4307 / 1.4404</w:t>
      </w:r>
      <w:r>
        <w:t xml:space="preserve"> (par défaut) </w:t>
      </w:r>
      <w:r>
        <w:rPr>
          <w:rStyle w:val="optioncarChar"/>
        </w:rPr>
        <w:t xml:space="preserve">/ *** </w:t>
      </w:r>
    </w:p>
    <w:p w14:paraId="7FF1299B" w14:textId="77777777" w:rsidR="00DF410E" w:rsidRDefault="00CE7F43">
      <w:pPr>
        <w:ind w:left="567"/>
        <w:jc w:val="both"/>
      </w:pPr>
      <w:r>
        <w:rPr>
          <w:rStyle w:val="soitChar"/>
        </w:rPr>
        <w:t>La dénomination 1.4307 est équivalente à X2CrNi18-09, à AISI 304L et est un inox de classe A2.</w:t>
      </w:r>
    </w:p>
    <w:p w14:paraId="61D613E5" w14:textId="77777777" w:rsidR="00DF410E" w:rsidRDefault="00CE7F43">
      <w:pPr>
        <w:ind w:left="567"/>
        <w:jc w:val="both"/>
      </w:pPr>
      <w:r>
        <w:rPr>
          <w:rStyle w:val="soitChar"/>
        </w:rPr>
        <w:t>La dénomination 1.4404 est équivalente à X2CrNiMo17-12-2, à AISI 316L et est un inox de classe A4.</w:t>
      </w:r>
    </w:p>
    <w:p w14:paraId="6CC62A4E" w14:textId="77777777" w:rsidR="00DF410E" w:rsidRDefault="00CE7F43">
      <w:pPr>
        <w:ind w:left="567"/>
        <w:jc w:val="both"/>
      </w:pPr>
      <w:r>
        <w:rPr>
          <w:b/>
          <w:i/>
        </w:rPr>
        <w:t>(Soit)</w:t>
      </w:r>
    </w:p>
    <w:p w14:paraId="0951E4AE" w14:textId="77777777" w:rsidR="00DF410E" w:rsidRDefault="00CE7F43">
      <w:pPr>
        <w:ind w:left="567"/>
        <w:jc w:val="both"/>
      </w:pPr>
      <w:r>
        <w:rPr>
          <w:rStyle w:val="soitChar"/>
          <w:u w:val="single"/>
        </w:rPr>
        <w:t>Aluminium</w:t>
      </w:r>
    </w:p>
    <w:p w14:paraId="25BEA1E2" w14:textId="77777777" w:rsidR="00DF410E" w:rsidRDefault="00CE7F43">
      <w:pPr>
        <w:ind w:left="567"/>
        <w:jc w:val="both"/>
      </w:pPr>
      <w:r>
        <w:rPr>
          <w:rStyle w:val="soitChar"/>
        </w:rPr>
        <w:t xml:space="preserve">Nuance d’aluminium selon [NBN EN 573-1] : </w:t>
      </w:r>
      <w:r>
        <w:rPr>
          <w:rStyle w:val="optioncarChar"/>
        </w:rPr>
        <w:t>EN AW-6xxx</w:t>
      </w:r>
      <w:r>
        <w:t xml:space="preserve"> (par défaut) </w:t>
      </w:r>
      <w:r>
        <w:rPr>
          <w:rStyle w:val="optioncarChar"/>
        </w:rPr>
        <w:t>/ ***</w:t>
      </w:r>
    </w:p>
    <w:p w14:paraId="1D551732" w14:textId="77777777" w:rsidR="00DF410E" w:rsidRDefault="00CE7F43">
      <w:pPr>
        <w:ind w:left="567"/>
        <w:jc w:val="both"/>
      </w:pPr>
      <w:r>
        <w:rPr>
          <w:b/>
          <w:i/>
        </w:rPr>
        <w:t>(Soit)</w:t>
      </w:r>
    </w:p>
    <w:p w14:paraId="6467A690" w14:textId="77777777" w:rsidR="00DF410E" w:rsidRDefault="00CE7F43">
      <w:pPr>
        <w:ind w:left="567"/>
        <w:jc w:val="both"/>
      </w:pPr>
      <w:r>
        <w:rPr>
          <w:rStyle w:val="optioncarChar"/>
        </w:rPr>
        <w:t>***</w:t>
      </w:r>
      <w:r>
        <w:t> </w:t>
      </w:r>
    </w:p>
    <w:p w14:paraId="776DD480" w14:textId="77777777" w:rsidR="00DF410E" w:rsidRDefault="00CE7F43">
      <w:pPr>
        <w:jc w:val="both"/>
      </w:pPr>
      <w:r>
        <w:t xml:space="preserve">Épaisseur de la tôle :  </w:t>
      </w:r>
      <w:r>
        <w:rPr>
          <w:rStyle w:val="optioncarChar"/>
        </w:rPr>
        <w:t>voir plans </w:t>
      </w:r>
      <w:r>
        <w:t>(par défaut)</w:t>
      </w:r>
      <w:r>
        <w:rPr>
          <w:rStyle w:val="optioncarChar"/>
        </w:rPr>
        <w:t xml:space="preserve"> / ***</w:t>
      </w:r>
    </w:p>
    <w:p w14:paraId="4B7E2BCF" w14:textId="77777777" w:rsidR="00DF410E" w:rsidRDefault="00CE7F43">
      <w:pPr>
        <w:jc w:val="both"/>
      </w:pPr>
      <w:r>
        <w:t>La complexité est divisée en plusieurs cas, en fonction du nombre de découpe à effectuer, éventuellement des soudures (dans le plan ou hors plan), du nombre de pièces à assembler, etc. Le schéma ci-dessous (provenant de [Construire en bois]) présente un moyen simple d’évaluer la complexité d’une ferrure mécano-soudée.</w:t>
      </w:r>
    </w:p>
    <w:p w14:paraId="42638109" w14:textId="77777777" w:rsidR="00DF410E" w:rsidRDefault="00CE7F43">
      <w:pPr>
        <w:jc w:val="both"/>
      </w:pPr>
      <w:r>
        <w:rPr>
          <w:noProof/>
        </w:rPr>
        <w:drawing>
          <wp:anchor distT="0" distB="0" distL="0" distR="0" simplePos="0" relativeHeight="251661824" behindDoc="0" locked="0" layoutInCell="1" allowOverlap="0" wp14:anchorId="16D8A343" wp14:editId="0FFC1124">
            <wp:simplePos x="0" y="0"/>
            <wp:positionH relativeFrom="column">
              <wp:align>center</wp:align>
            </wp:positionH>
            <wp:positionV relativeFrom="line">
              <wp:align>top</wp:align>
            </wp:positionV>
            <wp:extent cx="4762500" cy="4238625"/>
            <wp:effectExtent l="0" t="0" r="0" b="0"/>
            <wp:wrapTopAndBottom/>
            <wp:docPr id="2021349633" name="24.42.3c.png" descr="24.4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3" descr="24.42.3c.png"/>
                    <pic:cNvPicPr>
                      <a:picLocks noChangeAspect="1" noChangeArrowheads="1"/>
                    </pic:cNvPicPr>
                  </pic:nvPicPr>
                  <pic:blipFill>
                    <a:blip r:embed="rId343"/>
                    <a:srcRect/>
                    <a:stretch>
                      <a:fillRect/>
                    </a:stretch>
                  </pic:blipFill>
                  <pic:spPr bwMode="auto">
                    <a:xfrm>
                      <a:off x="0" y="0"/>
                      <a:ext cx="4762500" cy="4238625"/>
                    </a:xfrm>
                    <a:prstGeom prst="rect">
                      <a:avLst/>
                    </a:prstGeom>
                  </pic:spPr>
                </pic:pic>
              </a:graphicData>
            </a:graphic>
          </wp:anchor>
        </w:drawing>
      </w:r>
    </w:p>
    <w:p w14:paraId="7E5A1221" w14:textId="77777777" w:rsidR="00DF410E" w:rsidRDefault="00CE7F43">
      <w:pPr>
        <w:jc w:val="both"/>
      </w:pPr>
      <w:r>
        <w:t xml:space="preserve">Complexité : </w:t>
      </w:r>
      <w:r>
        <w:rPr>
          <w:rStyle w:val="optioncarChar"/>
        </w:rPr>
        <w:t>E1 / E2 / E3 / E4 / E5 / VE1 / VE2 / VE3 / V1 / V2 / V3 / V4</w:t>
      </w:r>
    </w:p>
    <w:p w14:paraId="6076705A" w14:textId="77777777" w:rsidR="00DF410E" w:rsidRDefault="00CE7F43">
      <w:pPr>
        <w:jc w:val="both"/>
      </w:pPr>
      <w:r>
        <w:t xml:space="preserve">Géométrie : </w:t>
      </w:r>
      <w:r>
        <w:rPr>
          <w:rStyle w:val="optioncarChar"/>
        </w:rPr>
        <w:t>voir plans </w:t>
      </w:r>
      <w:r>
        <w:t>(par défaut)</w:t>
      </w:r>
      <w:r>
        <w:rPr>
          <w:rStyle w:val="optioncarChar"/>
        </w:rPr>
        <w:t xml:space="preserve"> / ***</w:t>
      </w:r>
    </w:p>
    <w:p w14:paraId="3AC109FB" w14:textId="77777777" w:rsidR="00DF410E" w:rsidRDefault="00CE7F43">
      <w:pPr>
        <w:jc w:val="both"/>
      </w:pPr>
      <w:r>
        <w:t>Classe de réaction au feu A1.</w:t>
      </w:r>
    </w:p>
    <w:p w14:paraId="1AA8C17F" w14:textId="77777777" w:rsidR="00DF410E" w:rsidRDefault="00CE7F43">
      <w:pPr>
        <w:jc w:val="both"/>
      </w:pPr>
      <w:r>
        <w:t>Une résistance au feu est obtenue soit par l’épaisseur de la tôle, soit par protection de celle-ci. La validation de la solution est conforme aux solutions types développées dans la norme [NBN EN 1995-1-2] ou validées suivant les procédures d’essais décrites dans la [NBN EN 13501-2].</w:t>
      </w:r>
    </w:p>
    <w:p w14:paraId="5713DA69" w14:textId="77777777" w:rsidR="00DF410E" w:rsidRDefault="00CE7F43">
      <w:pPr>
        <w:pStyle w:val="pheading"/>
      </w:pPr>
      <w:r>
        <w:t>MESURAGE</w:t>
      </w:r>
    </w:p>
    <w:p w14:paraId="2FAECD9B" w14:textId="77777777" w:rsidR="00DF410E" w:rsidRDefault="00CE7F43">
      <w:pPr>
        <w:pStyle w:val="pheading"/>
      </w:pPr>
      <w:r>
        <w:t>- unité de mesure:</w:t>
      </w:r>
    </w:p>
    <w:p w14:paraId="60127685" w14:textId="77777777" w:rsidR="00DF410E" w:rsidRDefault="00CE7F43">
      <w:r>
        <w:rPr>
          <w:rStyle w:val="optioncarChar"/>
        </w:rPr>
        <w:t>-</w:t>
      </w:r>
      <w:r>
        <w:t> (par défaut) </w:t>
      </w:r>
      <w:r>
        <w:rPr>
          <w:rStyle w:val="optioncarChar"/>
        </w:rPr>
        <w:t>/ pc</w:t>
      </w:r>
    </w:p>
    <w:p w14:paraId="3F59A389" w14:textId="77777777" w:rsidR="00DF410E" w:rsidRDefault="00CE7F43">
      <w:r>
        <w:rPr>
          <w:b/>
          <w:i/>
        </w:rPr>
        <w:t>(Soit par défaut)</w:t>
      </w:r>
    </w:p>
    <w:p w14:paraId="6CE382BA" w14:textId="77777777" w:rsidR="00DF410E" w:rsidRDefault="00CE7F43">
      <w:r>
        <w:rPr>
          <w:rStyle w:val="soitChar"/>
        </w:rPr>
        <w:t>1.     –</w:t>
      </w:r>
    </w:p>
    <w:p w14:paraId="6F1B101B" w14:textId="77777777" w:rsidR="00DF410E" w:rsidRDefault="00CE7F43">
      <w:r>
        <w:rPr>
          <w:b/>
          <w:i/>
        </w:rPr>
        <w:t>(Soit)</w:t>
      </w:r>
    </w:p>
    <w:p w14:paraId="7C45C36E" w14:textId="77777777" w:rsidR="00DF410E" w:rsidRDefault="00CE7F43">
      <w:r>
        <w:rPr>
          <w:rStyle w:val="soitChar"/>
        </w:rPr>
        <w:t>2.3.  pc</w:t>
      </w:r>
    </w:p>
    <w:p w14:paraId="1B675B42" w14:textId="77777777" w:rsidR="00DF410E" w:rsidRDefault="00CE7F43">
      <w:pPr>
        <w:pStyle w:val="pheading"/>
      </w:pPr>
      <w:r>
        <w:t>- code de mesurage:</w:t>
      </w:r>
    </w:p>
    <w:p w14:paraId="6724B609" w14:textId="77777777" w:rsidR="00DF410E" w:rsidRDefault="00CE7F43">
      <w:r>
        <w:rPr>
          <w:rStyle w:val="optioncarChar"/>
        </w:rPr>
        <w:t>Compris</w:t>
      </w:r>
      <w:r>
        <w:t> (par défaut) </w:t>
      </w:r>
      <w:r>
        <w:rPr>
          <w:rStyle w:val="optioncarChar"/>
        </w:rPr>
        <w:t>/ Quantité nette</w:t>
      </w:r>
    </w:p>
    <w:p w14:paraId="066866EB" w14:textId="77777777" w:rsidR="00DF410E" w:rsidRDefault="00CE7F43">
      <w:r>
        <w:rPr>
          <w:b/>
          <w:i/>
        </w:rPr>
        <w:t>(Soit par défaut)</w:t>
      </w:r>
    </w:p>
    <w:p w14:paraId="6E40EB35" w14:textId="77777777" w:rsidR="00DF410E" w:rsidRDefault="00CE7F43">
      <w:r>
        <w:rPr>
          <w:rStyle w:val="soitChar"/>
        </w:rPr>
        <w:t>1.     </w:t>
      </w:r>
      <w:r>
        <w:rPr>
          <w:rStyle w:val="soitChar"/>
          <w:u w:val="single"/>
        </w:rPr>
        <w:t>Compris</w:t>
      </w:r>
      <w:r>
        <w:rPr>
          <w:rStyle w:val="soitChar"/>
        </w:rPr>
        <w:t> dans l’article de référence</w:t>
      </w:r>
      <w:r>
        <w:t>  </w:t>
      </w:r>
      <w:r>
        <w:rPr>
          <w:rStyle w:val="optioncarChar"/>
        </w:rPr>
        <w:t>***</w:t>
      </w:r>
    </w:p>
    <w:p w14:paraId="4B8C460A" w14:textId="77777777" w:rsidR="00DF410E" w:rsidRDefault="00CE7F43">
      <w:r>
        <w:rPr>
          <w:b/>
          <w:i/>
        </w:rPr>
        <w:t>(Soit)</w:t>
      </w:r>
    </w:p>
    <w:p w14:paraId="5F67DC27"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2E759AF0" w14:textId="77777777" w:rsidR="00DF410E" w:rsidRDefault="00CE7F43">
      <w:pPr>
        <w:pStyle w:val="pheading"/>
      </w:pPr>
      <w:r>
        <w:t>- nature du marché:</w:t>
      </w:r>
    </w:p>
    <w:p w14:paraId="70C5A9B3" w14:textId="77777777" w:rsidR="00DF410E" w:rsidRDefault="00CE7F43">
      <w:r>
        <w:rPr>
          <w:rStyle w:val="optioncarChar"/>
        </w:rPr>
        <w:t>PM </w:t>
      </w:r>
      <w:r>
        <w:t>(par défaut) </w:t>
      </w:r>
      <w:r>
        <w:rPr>
          <w:rStyle w:val="optioncarChar"/>
        </w:rPr>
        <w:t>/ QF / QP</w:t>
      </w:r>
    </w:p>
    <w:p w14:paraId="6A0C20ED" w14:textId="77777777" w:rsidR="00DF410E" w:rsidRDefault="00CE7F43">
      <w:r>
        <w:rPr>
          <w:b/>
          <w:i/>
        </w:rPr>
        <w:t>(Soit par défaut)</w:t>
      </w:r>
    </w:p>
    <w:p w14:paraId="6E580953" w14:textId="77777777" w:rsidR="00DF410E" w:rsidRDefault="00CE7F43">
      <w:r>
        <w:rPr>
          <w:rStyle w:val="soitChar"/>
        </w:rPr>
        <w:t>1.     PM</w:t>
      </w:r>
    </w:p>
    <w:p w14:paraId="426A9E34" w14:textId="77777777" w:rsidR="00DF410E" w:rsidRDefault="00CE7F43">
      <w:r>
        <w:rPr>
          <w:b/>
          <w:i/>
        </w:rPr>
        <w:t>(Soit)</w:t>
      </w:r>
    </w:p>
    <w:p w14:paraId="0F43FDD8" w14:textId="77777777" w:rsidR="00DF410E" w:rsidRDefault="00CE7F43">
      <w:r>
        <w:rPr>
          <w:rStyle w:val="soitChar"/>
        </w:rPr>
        <w:t>2.     QF</w:t>
      </w:r>
    </w:p>
    <w:p w14:paraId="3E6E0FDA" w14:textId="77777777" w:rsidR="00DF410E" w:rsidRDefault="00CE7F43">
      <w:r>
        <w:rPr>
          <w:b/>
          <w:i/>
        </w:rPr>
        <w:t>(Soit)</w:t>
      </w:r>
    </w:p>
    <w:p w14:paraId="1F62E382" w14:textId="77777777" w:rsidR="00DF410E" w:rsidRDefault="00CE7F43">
      <w:r>
        <w:rPr>
          <w:rStyle w:val="soitChar"/>
        </w:rPr>
        <w:t>3.     QP</w:t>
      </w:r>
    </w:p>
    <w:p w14:paraId="2FBEA661" w14:textId="77777777" w:rsidR="00DF410E" w:rsidRDefault="00CE7F43">
      <w:pPr>
        <w:pStyle w:val="Author-eSectionHeading5"/>
      </w:pPr>
      <w:bookmarkStart w:id="1752" w:name="_Toc178838821"/>
      <w:r>
        <w:t>24.42.4 Finitions d'assemblages  CCTB 01.07</w:t>
      </w:r>
      <w:bookmarkEnd w:id="1752"/>
    </w:p>
    <w:p w14:paraId="40019AE6" w14:textId="77777777" w:rsidR="00DF410E" w:rsidRDefault="00CE7F43">
      <w:pPr>
        <w:pStyle w:val="pheading"/>
      </w:pPr>
      <w:r>
        <w:t>DESCRIPTION</w:t>
      </w:r>
    </w:p>
    <w:p w14:paraId="18A04438" w14:textId="77777777" w:rsidR="00DF410E" w:rsidRDefault="00CE7F43">
      <w:pPr>
        <w:pStyle w:val="pheading"/>
      </w:pPr>
      <w:r>
        <w:t>- Définition / Comprend</w:t>
      </w:r>
    </w:p>
    <w:p w14:paraId="5765E9F1" w14:textId="77777777" w:rsidR="00DF410E" w:rsidRDefault="00CE7F43">
      <w:pPr>
        <w:jc w:val="both"/>
      </w:pPr>
      <w:r>
        <w:t>Il s’agit de l’ensemble des moyens utilisés pour masquer les percements effectués pour réaliser les assemblages dans une structure bois. Ces finitions peuvent avoir un rôle esthétique et/ou pour l’amélioration de la résistance au feu.</w:t>
      </w:r>
    </w:p>
    <w:p w14:paraId="7BCC94F8" w14:textId="77777777" w:rsidR="00DF410E" w:rsidRDefault="00CE7F43">
      <w:pPr>
        <w:pStyle w:val="Author-eSectionHeading6"/>
      </w:pPr>
      <w:bookmarkStart w:id="1753" w:name="_Toc178838822"/>
      <w:r>
        <w:t>24.42.4a Finitions d'assemblages - bouchonnage CCTB 01.11</w:t>
      </w:r>
      <w:bookmarkEnd w:id="1753"/>
    </w:p>
    <w:p w14:paraId="727BE6CD" w14:textId="77777777" w:rsidR="00DF410E" w:rsidRDefault="00CE7F43">
      <w:pPr>
        <w:pStyle w:val="pheading"/>
      </w:pPr>
      <w:bookmarkStart w:id="1754" w:name="629"/>
      <w:bookmarkEnd w:id="1754"/>
      <w:r>
        <w:t>DESCRIPTION</w:t>
      </w:r>
    </w:p>
    <w:p w14:paraId="1652384B" w14:textId="77777777" w:rsidR="00DF410E" w:rsidRDefault="00CE7F43">
      <w:pPr>
        <w:pStyle w:val="pheading"/>
      </w:pPr>
      <w:r>
        <w:t>- Définition / Comprend</w:t>
      </w:r>
    </w:p>
    <w:p w14:paraId="6B46456C" w14:textId="77777777" w:rsidR="00DF410E" w:rsidRDefault="00CE7F43">
      <w:pPr>
        <w:jc w:val="both"/>
      </w:pPr>
      <w:r>
        <w:t>Il s’agit d’un moyen pour masquer les trous effectués dans le bois pour réaliser les assemblages de la structure.</w:t>
      </w:r>
    </w:p>
    <w:p w14:paraId="01E23893" w14:textId="77777777" w:rsidR="00DF410E" w:rsidRDefault="00CE7F43">
      <w:pPr>
        <w:jc w:val="both"/>
      </w:pPr>
      <w:r>
        <w:t>Le travail comprend notamment :</w:t>
      </w:r>
    </w:p>
    <w:p w14:paraId="5EA10816" w14:textId="77777777" w:rsidR="00DF410E" w:rsidRDefault="00CE7F43">
      <w:pPr>
        <w:pStyle w:val="Author-eListParagraph"/>
        <w:numPr>
          <w:ilvl w:val="0"/>
          <w:numId w:val="1064"/>
        </w:numPr>
        <w:jc w:val="both"/>
      </w:pPr>
      <w:r>
        <w:t>La fourniture des bouchons de bois et de l’adhésif nécessaires à leur mise en œuvre.</w:t>
      </w:r>
    </w:p>
    <w:p w14:paraId="62C02609" w14:textId="77777777" w:rsidR="00DF410E" w:rsidRDefault="00CE7F43">
      <w:pPr>
        <w:pStyle w:val="Author-eListParagraph"/>
        <w:numPr>
          <w:ilvl w:val="0"/>
          <w:numId w:val="1064"/>
        </w:numPr>
        <w:jc w:val="both"/>
      </w:pPr>
      <w:r>
        <w:t>L’installation de ceux-ci conformément aux prescriptions du fournisseur.</w:t>
      </w:r>
    </w:p>
    <w:p w14:paraId="00800349" w14:textId="77777777" w:rsidR="00DF410E" w:rsidRDefault="00CE7F43">
      <w:pPr>
        <w:pStyle w:val="pheading"/>
      </w:pPr>
      <w:r>
        <w:t>MATÉRIAUX</w:t>
      </w:r>
    </w:p>
    <w:p w14:paraId="4A0ABD18" w14:textId="77777777" w:rsidR="00DF410E" w:rsidRDefault="00CE7F43">
      <w:pPr>
        <w:pStyle w:val="pheading"/>
      </w:pPr>
      <w:r>
        <w:t>- Caractéristiques générales</w:t>
      </w:r>
    </w:p>
    <w:p w14:paraId="190516B1" w14:textId="77777777" w:rsidR="00DF410E" w:rsidRDefault="00CE7F43">
      <w:pPr>
        <w:jc w:val="both"/>
      </w:pPr>
      <w:r>
        <w:t>Lorsque le bouchonnage est réalisé pour protéger l’assemblage en vue d’augmenter sa résistance au feu, la longueur du bouchon minimale doit être déterminée suivant les principes détaillés dans la partie feu de l’Eurocode 5 ([NBN EN 1995-1-1]).</w:t>
      </w:r>
    </w:p>
    <w:p w14:paraId="7344427D" w14:textId="77777777" w:rsidR="00DF410E" w:rsidRDefault="00CE7F43">
      <w:pPr>
        <w:jc w:val="both"/>
      </w:pPr>
      <w:r>
        <w:t xml:space="preserve">Longueur du bouchon : </w:t>
      </w:r>
      <w:r>
        <w:rPr>
          <w:rStyle w:val="optioncarChar"/>
        </w:rPr>
        <w:t>***</w:t>
      </w:r>
    </w:p>
    <w:p w14:paraId="1CB7AC79" w14:textId="77777777" w:rsidR="00DF410E" w:rsidRDefault="00CE7F43">
      <w:pPr>
        <w:jc w:val="both"/>
      </w:pPr>
      <w:r>
        <w:t>Le bouchon est collé à l’aide d’un adhésif prévu pour tenir en cas d’incendie.</w:t>
      </w:r>
    </w:p>
    <w:p w14:paraId="4D60698F" w14:textId="77777777" w:rsidR="00DF410E" w:rsidRDefault="00CE7F43">
      <w:pPr>
        <w:pStyle w:val="pheading"/>
      </w:pPr>
      <w:r>
        <w:t>EXÉCUTION / MISE EN ŒUVRE</w:t>
      </w:r>
    </w:p>
    <w:p w14:paraId="06BE775B" w14:textId="77777777" w:rsidR="00DF410E" w:rsidRDefault="00CE7F43">
      <w:pPr>
        <w:pStyle w:val="pheading"/>
      </w:pPr>
      <w:r>
        <w:t>- Prescriptions générales</w:t>
      </w:r>
    </w:p>
    <w:p w14:paraId="53F5A0D2" w14:textId="77777777" w:rsidR="00DF410E" w:rsidRDefault="00CE7F43">
      <w:pPr>
        <w:jc w:val="both"/>
      </w:pPr>
      <w:r>
        <w:t>Les prescriptions du fabricant de l’adhésif doivent être respectées. Le trou doit être dépoussiéré par soufflage avant l’installation du bouchon.</w:t>
      </w:r>
    </w:p>
    <w:p w14:paraId="11276C10" w14:textId="77777777" w:rsidR="00DF410E" w:rsidRDefault="00CE7F43">
      <w:pPr>
        <w:pStyle w:val="pheading"/>
      </w:pPr>
      <w:r>
        <w:t>- Notes d’exécution complémentaires</w:t>
      </w:r>
    </w:p>
    <w:p w14:paraId="30695823" w14:textId="77777777" w:rsidR="00DF410E" w:rsidRDefault="00CE7F43">
      <w:pPr>
        <w:jc w:val="both"/>
      </w:pPr>
      <w:r>
        <w:rPr>
          <w:rStyle w:val="facultChar"/>
        </w:rPr>
        <w:t>Si le bouchonnage est réalisé sur une face visible de l’élément en bois, un soin particulier est apporté à l’esthétique.</w:t>
      </w:r>
    </w:p>
    <w:p w14:paraId="546704A4" w14:textId="77777777" w:rsidR="00DF410E" w:rsidRDefault="00CE7F43">
      <w:pPr>
        <w:jc w:val="both"/>
      </w:pPr>
      <w:r>
        <w:rPr>
          <w:rStyle w:val="facultChar"/>
        </w:rPr>
        <w:t>On veille notamment à :</w:t>
      </w:r>
    </w:p>
    <w:p w14:paraId="0F29DDD3" w14:textId="77777777" w:rsidR="00DF410E" w:rsidRDefault="00CE7F43">
      <w:pPr>
        <w:pStyle w:val="Author-eListParagraph"/>
        <w:numPr>
          <w:ilvl w:val="0"/>
          <w:numId w:val="1065"/>
        </w:numPr>
        <w:jc w:val="both"/>
      </w:pPr>
      <w:r>
        <w:rPr>
          <w:rStyle w:val="facultChar"/>
        </w:rPr>
        <w:t>utiliser la même essence que la pièce mère ;</w:t>
      </w:r>
    </w:p>
    <w:p w14:paraId="542F9DC0" w14:textId="77777777" w:rsidR="00DF410E" w:rsidRDefault="00CE7F43">
      <w:pPr>
        <w:pStyle w:val="Author-eListParagraph"/>
        <w:numPr>
          <w:ilvl w:val="0"/>
          <w:numId w:val="1065"/>
        </w:numPr>
        <w:jc w:val="both"/>
      </w:pPr>
      <w:r>
        <w:rPr>
          <w:rStyle w:val="facultChar"/>
        </w:rPr>
        <w:t>orienter le fil du bois dans la direction de la pièce mère ;</w:t>
      </w:r>
    </w:p>
    <w:p w14:paraId="41C3AE22" w14:textId="77777777" w:rsidR="00DF410E" w:rsidRDefault="00CE7F43">
      <w:pPr>
        <w:pStyle w:val="Author-eListParagraph"/>
        <w:numPr>
          <w:ilvl w:val="0"/>
          <w:numId w:val="1065"/>
        </w:numPr>
        <w:jc w:val="both"/>
      </w:pPr>
      <w:r>
        <w:rPr>
          <w:rStyle w:val="facultChar"/>
        </w:rPr>
        <w:t>prendre un bouchon de teinte proche de celle de la pièce mère ;</w:t>
      </w:r>
    </w:p>
    <w:p w14:paraId="0AFC30F6" w14:textId="77777777" w:rsidR="00DF410E" w:rsidRDefault="00CE7F43">
      <w:pPr>
        <w:pStyle w:val="Author-eListParagraph"/>
        <w:numPr>
          <w:ilvl w:val="0"/>
          <w:numId w:val="1065"/>
        </w:numPr>
        <w:jc w:val="both"/>
      </w:pPr>
      <w:r>
        <w:rPr>
          <w:rStyle w:val="facultChar"/>
        </w:rPr>
        <w:t>soigner les joints de collage pour les rendre invisible.</w:t>
      </w:r>
    </w:p>
    <w:p w14:paraId="07EF0258" w14:textId="77777777" w:rsidR="00DF410E" w:rsidRDefault="00CE7F43">
      <w:pPr>
        <w:pStyle w:val="pheading"/>
      </w:pPr>
      <w:r>
        <w:t>MESURAGE</w:t>
      </w:r>
    </w:p>
    <w:p w14:paraId="7739AD8D" w14:textId="77777777" w:rsidR="00DF410E" w:rsidRDefault="00CE7F43">
      <w:pPr>
        <w:pStyle w:val="pheading"/>
      </w:pPr>
      <w:r>
        <w:t>- unité de mesure:</w:t>
      </w:r>
    </w:p>
    <w:p w14:paraId="7AC3F447" w14:textId="77777777" w:rsidR="00DF410E" w:rsidRDefault="00CE7F43">
      <w:r>
        <w:rPr>
          <w:rStyle w:val="optioncarChar"/>
        </w:rPr>
        <w:t>-</w:t>
      </w:r>
      <w:r>
        <w:t> (par défaut) </w:t>
      </w:r>
      <w:r>
        <w:rPr>
          <w:rStyle w:val="optioncarChar"/>
        </w:rPr>
        <w:t>/ pc</w:t>
      </w:r>
    </w:p>
    <w:p w14:paraId="4A7F43F3" w14:textId="77777777" w:rsidR="00DF410E" w:rsidRDefault="00CE7F43">
      <w:r>
        <w:rPr>
          <w:b/>
          <w:i/>
        </w:rPr>
        <w:t>(Soit par défaut)</w:t>
      </w:r>
    </w:p>
    <w:p w14:paraId="0F5E9A5F" w14:textId="77777777" w:rsidR="00DF410E" w:rsidRDefault="00CE7F43">
      <w:r>
        <w:rPr>
          <w:rStyle w:val="soitChar"/>
        </w:rPr>
        <w:t>1.     –</w:t>
      </w:r>
    </w:p>
    <w:p w14:paraId="3B54E0DD" w14:textId="77777777" w:rsidR="00DF410E" w:rsidRDefault="00CE7F43">
      <w:r>
        <w:rPr>
          <w:b/>
          <w:i/>
        </w:rPr>
        <w:t>(Soit)</w:t>
      </w:r>
    </w:p>
    <w:p w14:paraId="42435A86" w14:textId="77777777" w:rsidR="00DF410E" w:rsidRDefault="00CE7F43">
      <w:r>
        <w:rPr>
          <w:rStyle w:val="soitChar"/>
        </w:rPr>
        <w:t>2.3.  pc</w:t>
      </w:r>
    </w:p>
    <w:p w14:paraId="2CF49129" w14:textId="77777777" w:rsidR="00DF410E" w:rsidRDefault="00CE7F43">
      <w:pPr>
        <w:pStyle w:val="pheading"/>
      </w:pPr>
      <w:r>
        <w:t>- code de mesurage:</w:t>
      </w:r>
    </w:p>
    <w:p w14:paraId="3D719A80" w14:textId="77777777" w:rsidR="00DF410E" w:rsidRDefault="00CE7F43">
      <w:pPr>
        <w:jc w:val="both"/>
      </w:pPr>
      <w:r>
        <w:rPr>
          <w:rStyle w:val="optioncarChar"/>
        </w:rPr>
        <w:t>Compris </w:t>
      </w:r>
      <w:r>
        <w:t>(par défaut)</w:t>
      </w:r>
      <w:r>
        <w:rPr>
          <w:rStyle w:val="optioncarChar"/>
        </w:rPr>
        <w:t> / Quantité nette</w:t>
      </w:r>
    </w:p>
    <w:p w14:paraId="4A40FAB7" w14:textId="77777777" w:rsidR="00DF410E" w:rsidRDefault="00CE7F43">
      <w:pPr>
        <w:jc w:val="both"/>
      </w:pPr>
      <w:r>
        <w:rPr>
          <w:b/>
          <w:i/>
        </w:rPr>
        <w:t>(Soit par défaut)</w:t>
      </w:r>
    </w:p>
    <w:p w14:paraId="39DF0CA2" w14:textId="77777777" w:rsidR="00DF410E" w:rsidRDefault="00CE7F43">
      <w:pPr>
        <w:jc w:val="both"/>
      </w:pPr>
      <w:r>
        <w:rPr>
          <w:rStyle w:val="soitChar"/>
        </w:rPr>
        <w:t>1.     </w:t>
      </w:r>
      <w:r>
        <w:rPr>
          <w:rStyle w:val="soitChar"/>
          <w:u w:val="single"/>
        </w:rPr>
        <w:t>Compris</w:t>
      </w:r>
      <w:r>
        <w:rPr>
          <w:rStyle w:val="soitChar"/>
        </w:rPr>
        <w:t> dans l’article de référence</w:t>
      </w:r>
      <w:r>
        <w:t> </w:t>
      </w:r>
      <w:r>
        <w:rPr>
          <w:rStyle w:val="optioncarChar"/>
        </w:rPr>
        <w:t> ***</w:t>
      </w:r>
    </w:p>
    <w:p w14:paraId="3CF467A3" w14:textId="77777777" w:rsidR="00DF410E" w:rsidRDefault="00CE7F43">
      <w:pPr>
        <w:jc w:val="both"/>
      </w:pPr>
      <w:r>
        <w:rPr>
          <w:b/>
          <w:i/>
        </w:rPr>
        <w:t>(Soit)</w:t>
      </w:r>
    </w:p>
    <w:p w14:paraId="0738A851" w14:textId="77777777" w:rsidR="00DF410E" w:rsidRDefault="00CE7F43">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239DE592" w14:textId="77777777" w:rsidR="00DF410E" w:rsidRDefault="00CE7F43">
      <w:pPr>
        <w:pStyle w:val="pheading"/>
      </w:pPr>
      <w:r>
        <w:t>- nature du marché:</w:t>
      </w:r>
    </w:p>
    <w:p w14:paraId="7B7CEA14" w14:textId="77777777" w:rsidR="00DF410E" w:rsidRDefault="00CE7F43">
      <w:r>
        <w:rPr>
          <w:rStyle w:val="optioncarChar"/>
        </w:rPr>
        <w:t>PM </w:t>
      </w:r>
      <w:r>
        <w:t>(par défaut) </w:t>
      </w:r>
      <w:r>
        <w:rPr>
          <w:rStyle w:val="optioncarChar"/>
        </w:rPr>
        <w:t>/ QF / QP</w:t>
      </w:r>
    </w:p>
    <w:p w14:paraId="022CEB85" w14:textId="77777777" w:rsidR="00DF410E" w:rsidRDefault="00CE7F43">
      <w:r>
        <w:rPr>
          <w:b/>
          <w:i/>
        </w:rPr>
        <w:t>(Soit par défaut)</w:t>
      </w:r>
    </w:p>
    <w:p w14:paraId="1053F050" w14:textId="77777777" w:rsidR="00DF410E" w:rsidRDefault="00CE7F43">
      <w:r>
        <w:rPr>
          <w:rStyle w:val="soitChar"/>
        </w:rPr>
        <w:t>1.     PM</w:t>
      </w:r>
    </w:p>
    <w:p w14:paraId="7F36D9DE" w14:textId="77777777" w:rsidR="00DF410E" w:rsidRDefault="00CE7F43">
      <w:r>
        <w:rPr>
          <w:b/>
          <w:i/>
        </w:rPr>
        <w:t>(Soit)</w:t>
      </w:r>
    </w:p>
    <w:p w14:paraId="76512251" w14:textId="77777777" w:rsidR="00DF410E" w:rsidRDefault="00CE7F43">
      <w:r>
        <w:rPr>
          <w:rStyle w:val="soitChar"/>
        </w:rPr>
        <w:t>2.     QF</w:t>
      </w:r>
    </w:p>
    <w:p w14:paraId="219E6341" w14:textId="77777777" w:rsidR="00DF410E" w:rsidRDefault="00CE7F43">
      <w:r>
        <w:rPr>
          <w:b/>
          <w:i/>
        </w:rPr>
        <w:t>(Soit)</w:t>
      </w:r>
    </w:p>
    <w:p w14:paraId="545288C2" w14:textId="77777777" w:rsidR="00DF410E" w:rsidRDefault="00CE7F43">
      <w:r>
        <w:rPr>
          <w:rStyle w:val="soitChar"/>
        </w:rPr>
        <w:t>3.     QP</w:t>
      </w:r>
    </w:p>
    <w:p w14:paraId="7D5553A3" w14:textId="77777777" w:rsidR="00DF410E" w:rsidRDefault="00CE7F43">
      <w:pPr>
        <w:pStyle w:val="Author-eSectionHeading6"/>
      </w:pPr>
      <w:bookmarkStart w:id="1755" w:name="_Toc178838823"/>
      <w:r>
        <w:t>24.42.4b Finitions d'assemblages - fermetures d'entailles CCTB 01.07</w:t>
      </w:r>
      <w:bookmarkEnd w:id="1755"/>
    </w:p>
    <w:p w14:paraId="4D769A43" w14:textId="77777777" w:rsidR="00DF410E" w:rsidRDefault="00CE7F43">
      <w:pPr>
        <w:pStyle w:val="pheading"/>
      </w:pPr>
      <w:r>
        <w:t>DESCRIPTION</w:t>
      </w:r>
    </w:p>
    <w:p w14:paraId="5A08D487" w14:textId="77777777" w:rsidR="00DF410E" w:rsidRDefault="00CE7F43">
      <w:pPr>
        <w:pStyle w:val="pheading"/>
      </w:pPr>
      <w:r>
        <w:t>- Définition / Comprend</w:t>
      </w:r>
    </w:p>
    <w:p w14:paraId="1FCE373B" w14:textId="77777777" w:rsidR="00DF410E" w:rsidRDefault="00CE7F43">
      <w:pPr>
        <w:jc w:val="both"/>
      </w:pPr>
      <w:r>
        <w:t>Il s’agit d’un moyen pour masquer les entailles effectuées dans le bois pour réaliser les assemblages de la structure.</w:t>
      </w:r>
    </w:p>
    <w:p w14:paraId="45299365" w14:textId="77777777" w:rsidR="00DF410E" w:rsidRDefault="00CE7F43">
      <w:pPr>
        <w:jc w:val="both"/>
      </w:pPr>
      <w:r>
        <w:t>Le travail comprend notamment :</w:t>
      </w:r>
    </w:p>
    <w:p w14:paraId="67087609" w14:textId="77777777" w:rsidR="00DF410E" w:rsidRDefault="00CE7F43">
      <w:pPr>
        <w:pStyle w:val="Author-eListParagraph"/>
        <w:numPr>
          <w:ilvl w:val="0"/>
          <w:numId w:val="1066"/>
        </w:numPr>
        <w:jc w:val="both"/>
      </w:pPr>
      <w:r>
        <w:t>La fourniture et l’installation des produits nécessaire à la fermeture de l’entaille.</w:t>
      </w:r>
    </w:p>
    <w:p w14:paraId="4AA52A22" w14:textId="77777777" w:rsidR="00DF410E" w:rsidRDefault="00CE7F43">
      <w:pPr>
        <w:pStyle w:val="pheading"/>
      </w:pPr>
      <w:r>
        <w:t>MESURAGE</w:t>
      </w:r>
    </w:p>
    <w:p w14:paraId="3D4E45A6" w14:textId="77777777" w:rsidR="00DF410E" w:rsidRDefault="00CE7F43">
      <w:pPr>
        <w:pStyle w:val="pheading"/>
      </w:pPr>
      <w:r>
        <w:t>- unité de mesure:</w:t>
      </w:r>
    </w:p>
    <w:p w14:paraId="7ED2CF56" w14:textId="77777777" w:rsidR="00DF410E" w:rsidRDefault="00CE7F43">
      <w:r>
        <w:rPr>
          <w:rStyle w:val="optioncarChar"/>
        </w:rPr>
        <w:t>- </w:t>
      </w:r>
      <w:r>
        <w:t>(par défaut)</w:t>
      </w:r>
      <w:r>
        <w:rPr>
          <w:rStyle w:val="optioncarChar"/>
        </w:rPr>
        <w:t> / pc</w:t>
      </w:r>
    </w:p>
    <w:p w14:paraId="786914DE" w14:textId="77777777" w:rsidR="00DF410E" w:rsidRDefault="00CE7F43">
      <w:r>
        <w:rPr>
          <w:b/>
          <w:i/>
        </w:rPr>
        <w:t>(Soit par défaut)</w:t>
      </w:r>
    </w:p>
    <w:p w14:paraId="725287F3" w14:textId="77777777" w:rsidR="00DF410E" w:rsidRDefault="00CE7F43">
      <w:r>
        <w:rPr>
          <w:rStyle w:val="soitChar"/>
        </w:rPr>
        <w:t>1.     –</w:t>
      </w:r>
    </w:p>
    <w:p w14:paraId="6336667E" w14:textId="77777777" w:rsidR="00DF410E" w:rsidRDefault="00CE7F43">
      <w:r>
        <w:rPr>
          <w:b/>
          <w:i/>
        </w:rPr>
        <w:t>(Soit)</w:t>
      </w:r>
    </w:p>
    <w:p w14:paraId="3906DB4C" w14:textId="77777777" w:rsidR="00DF410E" w:rsidRDefault="00CE7F43">
      <w:r>
        <w:rPr>
          <w:rStyle w:val="soitChar"/>
        </w:rPr>
        <w:t>2.3.  pc</w:t>
      </w:r>
    </w:p>
    <w:p w14:paraId="5717BF2F" w14:textId="77777777" w:rsidR="00DF410E" w:rsidRDefault="00CE7F43">
      <w:pPr>
        <w:pStyle w:val="pheading"/>
      </w:pPr>
      <w:r>
        <w:t>- code de mesurage:</w:t>
      </w:r>
    </w:p>
    <w:p w14:paraId="450E6057" w14:textId="77777777" w:rsidR="00DF410E" w:rsidRDefault="00CE7F43">
      <w:pPr>
        <w:jc w:val="both"/>
      </w:pPr>
      <w:r>
        <w:rPr>
          <w:rStyle w:val="optioncarChar"/>
        </w:rPr>
        <w:t>Compris </w:t>
      </w:r>
      <w:r>
        <w:t>(par défaut) </w:t>
      </w:r>
      <w:r>
        <w:rPr>
          <w:rStyle w:val="optioncarChar"/>
        </w:rPr>
        <w:t>/ Quantité nette</w:t>
      </w:r>
    </w:p>
    <w:p w14:paraId="5392C385" w14:textId="77777777" w:rsidR="00DF410E" w:rsidRDefault="00CE7F43">
      <w:pPr>
        <w:jc w:val="both"/>
      </w:pPr>
      <w:r>
        <w:rPr>
          <w:b/>
          <w:i/>
        </w:rPr>
        <w:t>(Soit par défaut)</w:t>
      </w:r>
    </w:p>
    <w:p w14:paraId="40639DF5" w14:textId="77777777" w:rsidR="00DF410E" w:rsidRDefault="00CE7F43">
      <w:pPr>
        <w:jc w:val="both"/>
      </w:pPr>
      <w:r>
        <w:rPr>
          <w:rStyle w:val="soitChar"/>
        </w:rPr>
        <w:t>1.     </w:t>
      </w:r>
      <w:r>
        <w:rPr>
          <w:rStyle w:val="soitChar"/>
          <w:u w:val="single"/>
        </w:rPr>
        <w:t>Compris</w:t>
      </w:r>
      <w:r>
        <w:rPr>
          <w:rStyle w:val="soitChar"/>
        </w:rPr>
        <w:t> dans l’article de référence</w:t>
      </w:r>
      <w:r>
        <w:t> </w:t>
      </w:r>
      <w:r>
        <w:rPr>
          <w:rStyle w:val="optioncarChar"/>
        </w:rPr>
        <w:t> ***</w:t>
      </w:r>
    </w:p>
    <w:p w14:paraId="48AF9546" w14:textId="77777777" w:rsidR="00DF410E" w:rsidRDefault="00CE7F43">
      <w:pPr>
        <w:jc w:val="both"/>
      </w:pPr>
      <w:r>
        <w:rPr>
          <w:b/>
          <w:i/>
        </w:rPr>
        <w:t>(Soit)</w:t>
      </w:r>
    </w:p>
    <w:p w14:paraId="12FE6D08" w14:textId="77777777" w:rsidR="00DF410E" w:rsidRDefault="00CE7F43">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45A99423" w14:textId="77777777" w:rsidR="00DF410E" w:rsidRDefault="00CE7F43">
      <w:pPr>
        <w:pStyle w:val="pheading"/>
      </w:pPr>
      <w:r>
        <w:t>- nature du marché:</w:t>
      </w:r>
    </w:p>
    <w:p w14:paraId="15A4E074" w14:textId="77777777" w:rsidR="00DF410E" w:rsidRDefault="00CE7F43">
      <w:r>
        <w:rPr>
          <w:rStyle w:val="optioncarChar"/>
        </w:rPr>
        <w:t>PM </w:t>
      </w:r>
      <w:r>
        <w:t>(par défaut) </w:t>
      </w:r>
      <w:r>
        <w:rPr>
          <w:rStyle w:val="optioncarChar"/>
        </w:rPr>
        <w:t>/ QF / QP</w:t>
      </w:r>
    </w:p>
    <w:p w14:paraId="71437E88" w14:textId="77777777" w:rsidR="00DF410E" w:rsidRDefault="00CE7F43">
      <w:r>
        <w:rPr>
          <w:b/>
          <w:i/>
        </w:rPr>
        <w:t>(Soit par défaut)</w:t>
      </w:r>
    </w:p>
    <w:p w14:paraId="455A10AE" w14:textId="77777777" w:rsidR="00DF410E" w:rsidRDefault="00CE7F43">
      <w:r>
        <w:rPr>
          <w:rStyle w:val="soitChar"/>
        </w:rPr>
        <w:t>1.     PM</w:t>
      </w:r>
    </w:p>
    <w:p w14:paraId="2B3EC4FE" w14:textId="77777777" w:rsidR="00DF410E" w:rsidRDefault="00CE7F43">
      <w:r>
        <w:rPr>
          <w:b/>
          <w:i/>
        </w:rPr>
        <w:t>(Soit)</w:t>
      </w:r>
    </w:p>
    <w:p w14:paraId="22181FB0" w14:textId="77777777" w:rsidR="00DF410E" w:rsidRDefault="00CE7F43">
      <w:r>
        <w:rPr>
          <w:rStyle w:val="soitChar"/>
        </w:rPr>
        <w:t>2.     QF</w:t>
      </w:r>
    </w:p>
    <w:p w14:paraId="12846D7F" w14:textId="77777777" w:rsidR="00DF410E" w:rsidRDefault="00CE7F43">
      <w:r>
        <w:rPr>
          <w:b/>
          <w:i/>
        </w:rPr>
        <w:t>(Soit)</w:t>
      </w:r>
    </w:p>
    <w:p w14:paraId="7D694A58" w14:textId="77777777" w:rsidR="00DF410E" w:rsidRDefault="00CE7F43">
      <w:r>
        <w:rPr>
          <w:rStyle w:val="soitChar"/>
        </w:rPr>
        <w:t>3.     QP</w:t>
      </w:r>
    </w:p>
    <w:p w14:paraId="4B560E6D" w14:textId="77777777" w:rsidR="00DF410E" w:rsidRDefault="00CE7F43">
      <w:pPr>
        <w:pStyle w:val="Author-eSectionHeading4"/>
      </w:pPr>
      <w:bookmarkStart w:id="1756" w:name="_Toc178838824"/>
      <w:r>
        <w:t>24.43 Assemblages collés CCTB 01.10</w:t>
      </w:r>
      <w:bookmarkEnd w:id="1756"/>
    </w:p>
    <w:p w14:paraId="3F743A33" w14:textId="77777777" w:rsidR="00DF410E" w:rsidRDefault="00CE7F43">
      <w:pPr>
        <w:pStyle w:val="Author-eSectionHeading5"/>
      </w:pPr>
      <w:bookmarkStart w:id="1757" w:name="_Toc178838825"/>
      <w:r>
        <w:t>24.43.1 Assemblages collés CCTB 01.07</w:t>
      </w:r>
      <w:bookmarkEnd w:id="1757"/>
    </w:p>
    <w:p w14:paraId="68E97EC2" w14:textId="77777777" w:rsidR="00DF410E" w:rsidRDefault="00CE7F43">
      <w:pPr>
        <w:pStyle w:val="Author-eSectionHeading6"/>
      </w:pPr>
      <w:bookmarkStart w:id="1758" w:name="615"/>
      <w:bookmarkStart w:id="1759" w:name="_Toc178838826"/>
      <w:bookmarkEnd w:id="1758"/>
      <w:r>
        <w:t>24.43.1a Assemblages collés - goujons collés CCTB 01.11</w:t>
      </w:r>
      <w:bookmarkEnd w:id="1759"/>
    </w:p>
    <w:p w14:paraId="60B0B636" w14:textId="77777777" w:rsidR="00DF410E" w:rsidRDefault="00CE7F43">
      <w:pPr>
        <w:pStyle w:val="pheading"/>
      </w:pPr>
      <w:r>
        <w:t>DESCRIPTION</w:t>
      </w:r>
    </w:p>
    <w:p w14:paraId="764B185F" w14:textId="77777777" w:rsidR="00DF410E" w:rsidRDefault="00CE7F43">
      <w:pPr>
        <w:pStyle w:val="pheading"/>
      </w:pPr>
      <w:r>
        <w:t>- Définition / Comprend</w:t>
      </w:r>
    </w:p>
    <w:p w14:paraId="39F2DDC9" w14:textId="77777777" w:rsidR="00DF410E" w:rsidRDefault="00CE7F43">
      <w:pPr>
        <w:jc w:val="both"/>
      </w:pPr>
      <w:r>
        <w:t>Il s’agit d’un dispositif d’assemblage d’éléments de structure en bois réalisé au moyen de goujons métalliques installés dans le bois percé préalablement. Les goujons sont collés à l’aide d’une résine époxy</w:t>
      </w:r>
    </w:p>
    <w:p w14:paraId="353349CD" w14:textId="77777777" w:rsidR="00DF410E" w:rsidRDefault="00CE7F43">
      <w:pPr>
        <w:jc w:val="both"/>
      </w:pPr>
      <w:r>
        <w:t>Sauf mention contraire au cahier spécial des charges, le travail comprend notamment :</w:t>
      </w:r>
    </w:p>
    <w:p w14:paraId="0BA318E4" w14:textId="77777777" w:rsidR="00DF410E" w:rsidRDefault="00CE7F43">
      <w:pPr>
        <w:pStyle w:val="Author-eListParagraph"/>
        <w:numPr>
          <w:ilvl w:val="0"/>
          <w:numId w:val="1067"/>
        </w:numPr>
        <w:jc w:val="both"/>
      </w:pPr>
      <w:r>
        <w:t>La fourniture des goujons métalliques et de la résine,</w:t>
      </w:r>
    </w:p>
    <w:p w14:paraId="0AFE8706" w14:textId="77777777" w:rsidR="00DF410E" w:rsidRDefault="00CE7F43">
      <w:pPr>
        <w:pStyle w:val="Author-eListParagraph"/>
        <w:numPr>
          <w:ilvl w:val="0"/>
          <w:numId w:val="1067"/>
        </w:numPr>
        <w:jc w:val="both"/>
      </w:pPr>
      <w:r>
        <w:t>La mise en œuvre des goujons collés.</w:t>
      </w:r>
    </w:p>
    <w:p w14:paraId="618E9A63" w14:textId="77777777" w:rsidR="00DF410E" w:rsidRDefault="00CE7F43">
      <w:pPr>
        <w:pStyle w:val="pheading"/>
      </w:pPr>
      <w:r>
        <w:t>MATÉRIAUX</w:t>
      </w:r>
    </w:p>
    <w:p w14:paraId="36C5C46C" w14:textId="77777777" w:rsidR="00DF410E" w:rsidRDefault="00CE7F43">
      <w:pPr>
        <w:pStyle w:val="pheading"/>
      </w:pPr>
      <w:r>
        <w:t>- Caractéristiques générales</w:t>
      </w:r>
    </w:p>
    <w:p w14:paraId="5C0D31C2" w14:textId="77777777" w:rsidR="00DF410E" w:rsidRDefault="00CE7F43">
      <w:pPr>
        <w:jc w:val="both"/>
      </w:pPr>
      <w:r>
        <w:rPr>
          <w:b/>
          <w:u w:val="single"/>
        </w:rPr>
        <w:t>Résine :</w:t>
      </w:r>
    </w:p>
    <w:p w14:paraId="013AC71B" w14:textId="77777777" w:rsidR="00DF410E" w:rsidRDefault="00CE7F43">
      <w:pPr>
        <w:jc w:val="both"/>
      </w:pPr>
      <w:r>
        <w:t>Une résine époxy bi-composants ayant fait l’objet d’une évaluation de ses performances spécifiques pour son utilisation dans un système de goujons collés est utilisées.</w:t>
      </w:r>
    </w:p>
    <w:p w14:paraId="46F5124D" w14:textId="77777777" w:rsidR="00DF410E" w:rsidRDefault="00CE7F43">
      <w:pPr>
        <w:jc w:val="both"/>
      </w:pPr>
      <w:r>
        <w:t>Les performances de la résine à court et à long terme en fonction de l’humidité ont été évaluées et ce dans toute la plage de températures à laquelle l’assemblage sera soumis.</w:t>
      </w:r>
    </w:p>
    <w:p w14:paraId="42CBF65B" w14:textId="77777777" w:rsidR="00DF410E" w:rsidRDefault="00CE7F43">
      <w:pPr>
        <w:jc w:val="both"/>
      </w:pPr>
      <w:r>
        <w:rPr>
          <w:b/>
          <w:u w:val="single"/>
        </w:rPr>
        <w:t>Goujons :</w:t>
      </w:r>
    </w:p>
    <w:p w14:paraId="25B6D2F5" w14:textId="77777777" w:rsidR="00DF410E" w:rsidRDefault="00CE7F43">
      <w:pPr>
        <w:jc w:val="both"/>
      </w:pPr>
      <w:r>
        <w:t xml:space="preserve">Nuance d’acier : </w:t>
      </w:r>
      <w:r>
        <w:rPr>
          <w:rStyle w:val="optioncarChar"/>
        </w:rPr>
        <w:t>4.8 </w:t>
      </w:r>
      <w:r>
        <w:t>(par défaut)</w:t>
      </w:r>
      <w:r>
        <w:rPr>
          <w:rStyle w:val="optioncarChar"/>
        </w:rPr>
        <w:t xml:space="preserve"> / 6.8 / 8.8 / 10.9 / ***</w:t>
      </w:r>
    </w:p>
    <w:p w14:paraId="71C7C8EF" w14:textId="77777777" w:rsidR="00DF410E" w:rsidRDefault="00CE7F43">
      <w:pPr>
        <w:jc w:val="both"/>
      </w:pPr>
      <w:r>
        <w:t xml:space="preserve">Diamètre : </w:t>
      </w:r>
      <w:r>
        <w:rPr>
          <w:rStyle w:val="optioncarChar"/>
        </w:rPr>
        <w:t>12 </w:t>
      </w:r>
      <w:r>
        <w:t>(par défaut)</w:t>
      </w:r>
      <w:r>
        <w:rPr>
          <w:rStyle w:val="optioncarChar"/>
        </w:rPr>
        <w:t xml:space="preserve"> / 16 / 20 / ***</w:t>
      </w:r>
    </w:p>
    <w:p w14:paraId="1874610D" w14:textId="77777777" w:rsidR="00DF410E" w:rsidRDefault="00CE7F43">
      <w:pPr>
        <w:jc w:val="both"/>
      </w:pPr>
      <w:r>
        <w:t>Le goujon n’aura jamais un diamètre inférieur à 12mm</w:t>
      </w:r>
    </w:p>
    <w:p w14:paraId="43BBFCAD" w14:textId="77777777" w:rsidR="00DF410E" w:rsidRDefault="00CE7F43">
      <w:pPr>
        <w:jc w:val="both"/>
      </w:pPr>
      <w:r>
        <w:t xml:space="preserve">Protection contre la corrosion : </w:t>
      </w:r>
      <w:r>
        <w:rPr>
          <w:rStyle w:val="optioncarChar"/>
        </w:rPr>
        <w:t>aucune / électrozinguage / galvanisation</w:t>
      </w:r>
      <w:r>
        <w:t> </w:t>
      </w:r>
      <w:r>
        <w:rPr>
          <w:rStyle w:val="optioncarChar"/>
        </w:rPr>
        <w:t>(par défaut)</w:t>
      </w:r>
    </w:p>
    <w:p w14:paraId="1DD9413B" w14:textId="77777777" w:rsidR="00DF410E" w:rsidRDefault="00CE7F43">
      <w:pPr>
        <w:jc w:val="both"/>
      </w:pPr>
      <w:r>
        <w:rPr>
          <w:b/>
          <w:u w:val="single"/>
        </w:rPr>
        <w:t>Bois :</w:t>
      </w:r>
    </w:p>
    <w:p w14:paraId="32A839BE" w14:textId="77777777" w:rsidR="00DF410E" w:rsidRDefault="00CE7F43">
      <w:pPr>
        <w:jc w:val="both"/>
      </w:pPr>
      <w:r>
        <w:t>La classe de résistance mécaniques des bois de structure assemblés par goujons collés n'est jamais inférieure à la classe minimum exigée par le fabricant de la résine.</w:t>
      </w:r>
    </w:p>
    <w:p w14:paraId="7ABC0889" w14:textId="77777777" w:rsidR="00DF410E" w:rsidRDefault="00CE7F43">
      <w:pPr>
        <w:jc w:val="both"/>
      </w:pPr>
      <w:r>
        <w:t>Dans la zone d’assemblage, le bois est exempt de défaut majeur (nœuds ou pente de fil) et ne présente pas de gerces susceptibles de perturber l’injection de la résine.</w:t>
      </w:r>
    </w:p>
    <w:p w14:paraId="1AA059CC" w14:textId="77777777" w:rsidR="00DF410E" w:rsidRDefault="00CE7F43">
      <w:pPr>
        <w:pStyle w:val="pheading"/>
      </w:pPr>
      <w:r>
        <w:t>EXÉCUTION / MISE EN ŒUVRE</w:t>
      </w:r>
    </w:p>
    <w:p w14:paraId="14A19B7D" w14:textId="77777777" w:rsidR="00DF410E" w:rsidRDefault="00CE7F43">
      <w:pPr>
        <w:pStyle w:val="pheading"/>
      </w:pPr>
      <w:r>
        <w:t>- Prescriptions générales</w:t>
      </w:r>
    </w:p>
    <w:p w14:paraId="16D6BC9D" w14:textId="77777777" w:rsidR="00DF410E" w:rsidRDefault="00CE7F43">
      <w:pPr>
        <w:jc w:val="both"/>
      </w:pPr>
      <w:r>
        <w:t>La réalisation d’assemblage par goujon collé est effectuée par du personnel autorisé par le fabricant.</w:t>
      </w:r>
    </w:p>
    <w:p w14:paraId="470EA156" w14:textId="77777777" w:rsidR="00DF410E" w:rsidRDefault="00CE7F43">
      <w:pPr>
        <w:jc w:val="both"/>
      </w:pPr>
      <w:r>
        <w:t>Les instructions du fabricant sont scrupuleusement respectées. Les étapes suivantes sont réalisées :</w:t>
      </w:r>
    </w:p>
    <w:p w14:paraId="175032F7" w14:textId="77777777" w:rsidR="00DF410E" w:rsidRDefault="00CE7F43">
      <w:pPr>
        <w:jc w:val="both"/>
      </w:pPr>
      <w:r>
        <w:rPr>
          <w:b/>
          <w:u w:val="single"/>
        </w:rPr>
        <w:t>Usinage des trous :</w:t>
      </w:r>
    </w:p>
    <w:p w14:paraId="7ABFF595" w14:textId="77777777" w:rsidR="00DF410E" w:rsidRDefault="00CE7F43">
      <w:pPr>
        <w:jc w:val="both"/>
      </w:pPr>
      <w:r>
        <w:t>Les trous sont prépercés au diamètre recommandé dans l’ETA du fabricant. Dans le cas où cette information n’est pas disponible, le diamètre des trous est égal à celui des tiges filetées augmenté de 6mm.</w:t>
      </w:r>
    </w:p>
    <w:p w14:paraId="313D5CC0" w14:textId="77777777" w:rsidR="00DF410E" w:rsidRDefault="00CE7F43">
      <w:pPr>
        <w:jc w:val="both"/>
      </w:pPr>
      <w:r>
        <w:t>Des cheminées d’injection et les évents de dégazage sont également percées.</w:t>
      </w:r>
    </w:p>
    <w:p w14:paraId="1A1C02E6" w14:textId="77777777" w:rsidR="00DF410E" w:rsidRDefault="00CE7F43">
      <w:pPr>
        <w:jc w:val="both"/>
      </w:pPr>
      <w:r>
        <w:t>Les trous sont dépoussiérés par soufflage.</w:t>
      </w:r>
    </w:p>
    <w:p w14:paraId="3FA80088" w14:textId="77777777" w:rsidR="00DF410E" w:rsidRDefault="00CE7F43">
      <w:pPr>
        <w:jc w:val="both"/>
      </w:pPr>
      <w:r>
        <w:rPr>
          <w:b/>
          <w:u w:val="single"/>
        </w:rPr>
        <w:t>Installation des goujons :</w:t>
      </w:r>
    </w:p>
    <w:p w14:paraId="2B29261E" w14:textId="77777777" w:rsidR="00DF410E" w:rsidRDefault="00CE7F43">
      <w:pPr>
        <w:jc w:val="both"/>
      </w:pPr>
      <w:r>
        <w:t>L’installateur vérifie l’absence de corrosion sur les tiges filetées. Celle-ci sont dépoussiérées et dégraissées.</w:t>
      </w:r>
    </w:p>
    <w:p w14:paraId="64A81607" w14:textId="77777777" w:rsidR="00DF410E" w:rsidRDefault="00CE7F43">
      <w:pPr>
        <w:jc w:val="both"/>
      </w:pPr>
      <w:r>
        <w:t>De mesures sont prises pour maintenant la tige filetée au centre du trou durant l’injection de la résine.</w:t>
      </w:r>
    </w:p>
    <w:p w14:paraId="1F61EF2D" w14:textId="77777777" w:rsidR="00DF410E" w:rsidRDefault="00CE7F43">
      <w:pPr>
        <w:jc w:val="both"/>
      </w:pPr>
      <w:r>
        <w:rPr>
          <w:b/>
          <w:u w:val="single"/>
        </w:rPr>
        <w:t>Injection de la résine :</w:t>
      </w:r>
    </w:p>
    <w:p w14:paraId="0B2142A7" w14:textId="77777777" w:rsidR="00DF410E" w:rsidRDefault="00CE7F43">
      <w:pPr>
        <w:jc w:val="both"/>
      </w:pPr>
      <w:r>
        <w:t>Sauf si des conditions plus sévères sont données par le fabricant de la résine, les conditions suivantes doivent être respectées :</w:t>
      </w:r>
    </w:p>
    <w:p w14:paraId="1606C814" w14:textId="77777777" w:rsidR="00DF410E" w:rsidRDefault="00CE7F43">
      <w:pPr>
        <w:pStyle w:val="Author-eListParagraph"/>
        <w:numPr>
          <w:ilvl w:val="0"/>
          <w:numId w:val="1068"/>
        </w:numPr>
      </w:pPr>
      <w:r>
        <w:t>Température ambiante et de la résine comprise entre +15°C et +30 °C</w:t>
      </w:r>
    </w:p>
    <w:p w14:paraId="1D365EB7" w14:textId="77777777" w:rsidR="00DF410E" w:rsidRDefault="00CE7F43">
      <w:pPr>
        <w:pStyle w:val="Author-eListParagraph"/>
        <w:numPr>
          <w:ilvl w:val="0"/>
          <w:numId w:val="1068"/>
        </w:numPr>
      </w:pPr>
      <w:r>
        <w:t>Humidité relative de l’air comprise entre 30% et 70%</w:t>
      </w:r>
    </w:p>
    <w:p w14:paraId="49DC55D7" w14:textId="77777777" w:rsidR="00DF410E" w:rsidRDefault="00CE7F43">
      <w:pPr>
        <w:pStyle w:val="Author-eListParagraph"/>
        <w:numPr>
          <w:ilvl w:val="0"/>
          <w:numId w:val="1068"/>
        </w:numPr>
      </w:pPr>
      <w:r>
        <w:t>Température des bois supérieure ou égale à 15°C</w:t>
      </w:r>
    </w:p>
    <w:p w14:paraId="24D5FE43" w14:textId="77777777" w:rsidR="00DF410E" w:rsidRDefault="00CE7F43">
      <w:pPr>
        <w:pStyle w:val="Author-eListParagraph"/>
        <w:numPr>
          <w:ilvl w:val="0"/>
          <w:numId w:val="1068"/>
        </w:numPr>
      </w:pPr>
      <w:r>
        <w:t>Teneur en humidité des bois comprise entre 10% et 16%</w:t>
      </w:r>
    </w:p>
    <w:p w14:paraId="40880C0F" w14:textId="77777777" w:rsidR="00DF410E" w:rsidRDefault="00CE7F43">
      <w:pPr>
        <w:jc w:val="both"/>
      </w:pPr>
      <w:r>
        <w:t>L’opérateur vérifie avant injection la qualité du dépoussiérage effectué et la bonne circulation d’air entre les trous d’évents.</w:t>
      </w:r>
    </w:p>
    <w:p w14:paraId="3E436C5F" w14:textId="77777777" w:rsidR="00DF410E" w:rsidRDefault="00CE7F43">
      <w:pPr>
        <w:jc w:val="both"/>
      </w:pPr>
      <w:r>
        <w:t>La mise en charge de l’assemblage peut être effectuée 5 jours après le coulage de la résine.</w:t>
      </w:r>
    </w:p>
    <w:p w14:paraId="3BA158F2" w14:textId="77777777" w:rsidR="00DF410E" w:rsidRDefault="00CE7F43">
      <w:pPr>
        <w:pStyle w:val="pheading"/>
      </w:pPr>
      <w:r>
        <w:t>MESURAGE</w:t>
      </w:r>
    </w:p>
    <w:p w14:paraId="37DE0CFD" w14:textId="77777777" w:rsidR="00DF410E" w:rsidRDefault="00CE7F43">
      <w:pPr>
        <w:pStyle w:val="pheading"/>
      </w:pPr>
      <w:r>
        <w:t>- unité de mesure:</w:t>
      </w:r>
    </w:p>
    <w:p w14:paraId="5CA50DEA" w14:textId="77777777" w:rsidR="00DF410E" w:rsidRDefault="00CE7F43">
      <w:r>
        <w:rPr>
          <w:rStyle w:val="optioncarChar"/>
        </w:rPr>
        <w:t>- </w:t>
      </w:r>
      <w:r>
        <w:t>(par défaut) </w:t>
      </w:r>
      <w:r>
        <w:rPr>
          <w:rStyle w:val="optioncarChar"/>
        </w:rPr>
        <w:t>/ pc</w:t>
      </w:r>
    </w:p>
    <w:p w14:paraId="4313B934" w14:textId="77777777" w:rsidR="00DF410E" w:rsidRDefault="00CE7F43">
      <w:r>
        <w:rPr>
          <w:b/>
          <w:i/>
        </w:rPr>
        <w:t>(Soit par défaut)</w:t>
      </w:r>
    </w:p>
    <w:p w14:paraId="66B4C8A5" w14:textId="77777777" w:rsidR="00DF410E" w:rsidRDefault="00CE7F43">
      <w:r>
        <w:rPr>
          <w:rStyle w:val="soitChar"/>
        </w:rPr>
        <w:t>1.     –</w:t>
      </w:r>
    </w:p>
    <w:p w14:paraId="40824A18" w14:textId="77777777" w:rsidR="00DF410E" w:rsidRDefault="00CE7F43">
      <w:r>
        <w:rPr>
          <w:b/>
          <w:i/>
        </w:rPr>
        <w:t>(Soit)</w:t>
      </w:r>
    </w:p>
    <w:p w14:paraId="616140A0" w14:textId="77777777" w:rsidR="00DF410E" w:rsidRDefault="00CE7F43">
      <w:r>
        <w:rPr>
          <w:rStyle w:val="soitChar"/>
        </w:rPr>
        <w:t>2.3.  pc</w:t>
      </w:r>
    </w:p>
    <w:p w14:paraId="6AF92605" w14:textId="77777777" w:rsidR="00DF410E" w:rsidRDefault="00DF410E"/>
    <w:p w14:paraId="73347D3B" w14:textId="77777777" w:rsidR="00DF410E" w:rsidRDefault="00CE7F43">
      <w:pPr>
        <w:pStyle w:val="pheading"/>
      </w:pPr>
      <w:r>
        <w:t>- code de mesurage:</w:t>
      </w:r>
    </w:p>
    <w:p w14:paraId="3FB54488" w14:textId="77777777" w:rsidR="00DF410E" w:rsidRDefault="00CE7F43">
      <w:r>
        <w:rPr>
          <w:rStyle w:val="optioncarChar"/>
        </w:rPr>
        <w:t>Compris </w:t>
      </w:r>
      <w:r>
        <w:t>(par défaut) </w:t>
      </w:r>
      <w:r>
        <w:rPr>
          <w:rStyle w:val="optioncarChar"/>
        </w:rPr>
        <w:t>/ Quantité nette</w:t>
      </w:r>
    </w:p>
    <w:p w14:paraId="2812F83D" w14:textId="77777777" w:rsidR="00DF410E" w:rsidRDefault="00CE7F43">
      <w:r>
        <w:rPr>
          <w:b/>
          <w:i/>
        </w:rPr>
        <w:t>(Soit par défaut)</w:t>
      </w:r>
    </w:p>
    <w:p w14:paraId="7ACA0609" w14:textId="77777777" w:rsidR="00DF410E" w:rsidRDefault="00CE7F43">
      <w:r>
        <w:rPr>
          <w:rStyle w:val="soitChar"/>
        </w:rPr>
        <w:t>1.     Compris dans l’article de référence </w:t>
      </w:r>
      <w:r>
        <w:t> </w:t>
      </w:r>
      <w:r>
        <w:rPr>
          <w:rStyle w:val="optioncarChar"/>
        </w:rPr>
        <w:t>***</w:t>
      </w:r>
    </w:p>
    <w:p w14:paraId="33568B38" w14:textId="77777777" w:rsidR="00DF410E" w:rsidRDefault="00CE7F43">
      <w:r>
        <w:rPr>
          <w:b/>
          <w:i/>
        </w:rPr>
        <w:t>(Soit)</w:t>
      </w:r>
    </w:p>
    <w:p w14:paraId="1A27B83D"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00D3CE49" w14:textId="77777777" w:rsidR="00DF410E" w:rsidRDefault="00CE7F43">
      <w:pPr>
        <w:pStyle w:val="pheading"/>
      </w:pPr>
      <w:r>
        <w:t>- nature du marché:</w:t>
      </w:r>
    </w:p>
    <w:p w14:paraId="589D7CFE" w14:textId="77777777" w:rsidR="00DF410E" w:rsidRDefault="00CE7F43">
      <w:r>
        <w:rPr>
          <w:rStyle w:val="optioncarChar"/>
        </w:rPr>
        <w:t>PM</w:t>
      </w:r>
      <w:r>
        <w:t> (par défaut) </w:t>
      </w:r>
      <w:r>
        <w:rPr>
          <w:rStyle w:val="optioncarChar"/>
        </w:rPr>
        <w:t>/ QF / QP</w:t>
      </w:r>
    </w:p>
    <w:p w14:paraId="2CD0F823" w14:textId="77777777" w:rsidR="00DF410E" w:rsidRDefault="00CE7F43">
      <w:r>
        <w:rPr>
          <w:b/>
          <w:i/>
        </w:rPr>
        <w:t>(Soit par défaut)</w:t>
      </w:r>
    </w:p>
    <w:p w14:paraId="67CC302D" w14:textId="77777777" w:rsidR="00DF410E" w:rsidRDefault="00CE7F43">
      <w:r>
        <w:rPr>
          <w:rStyle w:val="soitChar"/>
        </w:rPr>
        <w:t>1.     PM</w:t>
      </w:r>
    </w:p>
    <w:p w14:paraId="1F6129E8" w14:textId="77777777" w:rsidR="00DF410E" w:rsidRDefault="00CE7F43">
      <w:r>
        <w:rPr>
          <w:b/>
          <w:i/>
        </w:rPr>
        <w:t>(Soit)</w:t>
      </w:r>
    </w:p>
    <w:p w14:paraId="6D9170E9" w14:textId="77777777" w:rsidR="00DF410E" w:rsidRDefault="00CE7F43">
      <w:r>
        <w:rPr>
          <w:rStyle w:val="soitChar"/>
        </w:rPr>
        <w:t>2.     QF</w:t>
      </w:r>
    </w:p>
    <w:p w14:paraId="7FA58D5B" w14:textId="77777777" w:rsidR="00DF410E" w:rsidRDefault="00CE7F43">
      <w:r>
        <w:rPr>
          <w:b/>
          <w:i/>
        </w:rPr>
        <w:t>(Soit)</w:t>
      </w:r>
    </w:p>
    <w:p w14:paraId="0D2CDFDC" w14:textId="77777777" w:rsidR="00DF410E" w:rsidRDefault="00CE7F43">
      <w:r>
        <w:rPr>
          <w:rStyle w:val="soitChar"/>
        </w:rPr>
        <w:t>3.     QP</w:t>
      </w:r>
    </w:p>
    <w:p w14:paraId="0D94C1E2" w14:textId="77777777" w:rsidR="00DF410E" w:rsidRDefault="00CE7F43">
      <w:pPr>
        <w:pStyle w:val="Author-eSectionHeading6"/>
      </w:pPr>
      <w:bookmarkStart w:id="1760" w:name="_Toc178838827"/>
      <w:r>
        <w:t>24.43.1b Assemblages collés - entures multiples CCTB 01.07</w:t>
      </w:r>
      <w:bookmarkEnd w:id="1760"/>
    </w:p>
    <w:p w14:paraId="1EDEAF1B" w14:textId="77777777" w:rsidR="00DF410E" w:rsidRDefault="00CE7F43">
      <w:pPr>
        <w:pStyle w:val="pheading"/>
      </w:pPr>
      <w:r>
        <w:t>DESCRIPTION</w:t>
      </w:r>
    </w:p>
    <w:p w14:paraId="5FF05488" w14:textId="77777777" w:rsidR="00DF410E" w:rsidRDefault="00CE7F43">
      <w:pPr>
        <w:pStyle w:val="pheading"/>
      </w:pPr>
      <w:r>
        <w:t>- Définition / Comprend</w:t>
      </w:r>
    </w:p>
    <w:p w14:paraId="21E7C850" w14:textId="77777777" w:rsidR="00DF410E" w:rsidRDefault="00CE7F43">
      <w:pPr>
        <w:jc w:val="both"/>
      </w:pPr>
      <w:r>
        <w:rPr>
          <w:b/>
        </w:rPr>
        <w:t>Remarques importantes</w:t>
      </w:r>
    </w:p>
    <w:p w14:paraId="53FC75E9" w14:textId="77777777" w:rsidR="00DF410E" w:rsidRDefault="00CE7F43">
      <w:pPr>
        <w:jc w:val="both"/>
      </w:pPr>
      <w:r>
        <w:t>Selon les cas, une des trois documents normatifs suivant doit être respecté :</w:t>
      </w:r>
    </w:p>
    <w:p w14:paraId="1744451D" w14:textId="77777777" w:rsidR="00DF410E" w:rsidRDefault="00CE7F43">
      <w:pPr>
        <w:pStyle w:val="Author-eListParagraph"/>
        <w:numPr>
          <w:ilvl w:val="0"/>
          <w:numId w:val="1069"/>
        </w:numPr>
      </w:pPr>
      <w:r>
        <w:t>La [NBN EN 15497] concernant les aboutages à entures multiples</w:t>
      </w:r>
    </w:p>
    <w:p w14:paraId="311C185E" w14:textId="77777777" w:rsidR="00DF410E" w:rsidRDefault="00CE7F43">
      <w:pPr>
        <w:pStyle w:val="Author-eListParagraph"/>
        <w:numPr>
          <w:ilvl w:val="0"/>
          <w:numId w:val="1069"/>
        </w:numPr>
      </w:pPr>
      <w:r>
        <w:t>La [NBN EN 14080] concernant les aboutages à entures multiples de grandes dimensions</w:t>
      </w:r>
    </w:p>
    <w:p w14:paraId="1DDF95C8" w14:textId="77777777" w:rsidR="00DF410E" w:rsidRDefault="00CE7F43">
      <w:pPr>
        <w:pStyle w:val="Author-eListParagraph"/>
        <w:numPr>
          <w:ilvl w:val="0"/>
          <w:numId w:val="1069"/>
        </w:numPr>
      </w:pPr>
      <w:r>
        <w:t>L’[EAD 130089-00-0304] concernant les aboutages à entures multiples fait sur bois humide et/ou froid</w:t>
      </w:r>
      <w:r>
        <w:br/>
      </w:r>
    </w:p>
    <w:p w14:paraId="2581E603" w14:textId="77777777" w:rsidR="00DF410E" w:rsidRDefault="00CE7F43">
      <w:pPr>
        <w:jc w:val="both"/>
      </w:pPr>
      <w:r>
        <w:t>Les aboutages à entures multiples (fait sur bois humide ou non) ont généralement une longueur d’enture de 15 ou 20mm. Les aboutages à entures multiples de grandes dimensions sont ceux dont la longueur d’enture est supérieure à 45mm.</w:t>
      </w:r>
    </w:p>
    <w:p w14:paraId="0361B817" w14:textId="77777777" w:rsidR="00DF410E" w:rsidRDefault="00CE7F43">
      <w:pPr>
        <w:pStyle w:val="pheading"/>
      </w:pPr>
      <w:r>
        <w:t>MATÉRIAUX</w:t>
      </w:r>
    </w:p>
    <w:p w14:paraId="56E00A45" w14:textId="77777777" w:rsidR="00DF410E" w:rsidRDefault="00CE7F43">
      <w:pPr>
        <w:pStyle w:val="pheading"/>
      </w:pPr>
      <w:r>
        <w:t>- Caractéristiques générales</w:t>
      </w:r>
    </w:p>
    <w:p w14:paraId="6BF6D095" w14:textId="77777777" w:rsidR="00DF410E" w:rsidRDefault="00CE7F43">
      <w:pPr>
        <w:jc w:val="both"/>
      </w:pPr>
      <w:r>
        <w:rPr>
          <w:b/>
          <w:u w:val="single"/>
        </w:rPr>
        <w:t>Teneur en humidité des bois</w:t>
      </w:r>
    </w:p>
    <w:p w14:paraId="76ACC3F6" w14:textId="77777777" w:rsidR="00DF410E" w:rsidRDefault="00CE7F43">
      <w:pPr>
        <w:jc w:val="both"/>
      </w:pPr>
      <w:r>
        <w:t>Sauf recommandation plus contraignante du fabricant de l’adhésif, les deux bois aboutés ont une teneur en humidité comprise dans les limites suivantes :</w:t>
      </w:r>
    </w:p>
    <w:p w14:paraId="5CE69A7E" w14:textId="77777777" w:rsidR="00DF410E" w:rsidRDefault="00CE7F43">
      <w:pPr>
        <w:pStyle w:val="Author-eListParagraph"/>
        <w:numPr>
          <w:ilvl w:val="0"/>
          <w:numId w:val="1070"/>
        </w:numPr>
      </w:pPr>
      <w:r>
        <w:t>Entre 7% et 18% pour les aboutages à entures multiples selon la [NBN EN 15497]</w:t>
      </w:r>
    </w:p>
    <w:p w14:paraId="15C1C3CB" w14:textId="77777777" w:rsidR="00DF410E" w:rsidRDefault="00CE7F43">
      <w:pPr>
        <w:pStyle w:val="Author-eListParagraph"/>
        <w:numPr>
          <w:ilvl w:val="0"/>
          <w:numId w:val="1070"/>
        </w:numPr>
      </w:pPr>
      <w:r>
        <w:t>Inférieur à 15% pour les aboutages à entures multiples de grandes dimensions selon la [NBN EN 14080]</w:t>
      </w:r>
    </w:p>
    <w:p w14:paraId="45810B6D" w14:textId="77777777" w:rsidR="00DF410E" w:rsidRDefault="00CE7F43">
      <w:pPr>
        <w:pStyle w:val="Author-eListParagraph"/>
        <w:numPr>
          <w:ilvl w:val="0"/>
          <w:numId w:val="1070"/>
        </w:numPr>
      </w:pPr>
      <w:r>
        <w:t>Entre 8% et 40% pour les aboutages à entures multiples réalisés selon l’[EAD 130089-00-0304]</w:t>
      </w:r>
    </w:p>
    <w:p w14:paraId="02A035C9" w14:textId="77777777" w:rsidR="00DF410E" w:rsidRDefault="00CE7F43">
      <w:pPr>
        <w:jc w:val="both"/>
      </w:pPr>
      <w:r>
        <w:t>La différence de teneur en humidité entre les deux bois aboutés est au maximum de :</w:t>
      </w:r>
    </w:p>
    <w:p w14:paraId="573C03AF" w14:textId="77777777" w:rsidR="00DF410E" w:rsidRDefault="00CE7F43">
      <w:pPr>
        <w:pStyle w:val="Author-eListParagraph"/>
        <w:numPr>
          <w:ilvl w:val="0"/>
          <w:numId w:val="1071"/>
        </w:numPr>
        <w:jc w:val="both"/>
      </w:pPr>
      <w:r>
        <w:t>5% pour les aboutages à entures multiples selon la [NBN EN 15497].</w:t>
      </w:r>
    </w:p>
    <w:p w14:paraId="34663C1A" w14:textId="77777777" w:rsidR="00DF410E" w:rsidRDefault="00CE7F43">
      <w:pPr>
        <w:pStyle w:val="Author-eListParagraph"/>
        <w:numPr>
          <w:ilvl w:val="0"/>
          <w:numId w:val="1071"/>
        </w:numPr>
        <w:jc w:val="both"/>
      </w:pPr>
      <w:r>
        <w:t>2% pour les aboutages à entures multiples de grandes dimensions selon la [NBN EN 14080]</w:t>
      </w:r>
    </w:p>
    <w:p w14:paraId="511C6EA9" w14:textId="77777777" w:rsidR="00DF410E" w:rsidRDefault="00CE7F43">
      <w:pPr>
        <w:pStyle w:val="Author-eListParagraph"/>
        <w:numPr>
          <w:ilvl w:val="0"/>
          <w:numId w:val="1071"/>
        </w:numPr>
        <w:jc w:val="both"/>
      </w:pPr>
      <w:r>
        <w:t>20% pour les aboutages à entures multiples réalisés selon l’[EAD 130089-00-0304]</w:t>
      </w:r>
    </w:p>
    <w:p w14:paraId="4ACE3298" w14:textId="77777777" w:rsidR="00DF410E" w:rsidRDefault="00CE7F43">
      <w:pPr>
        <w:pStyle w:val="pheading"/>
      </w:pPr>
      <w:r>
        <w:t>EXÉCUTION / MISE EN ŒUVRE</w:t>
      </w:r>
    </w:p>
    <w:p w14:paraId="6377CBF4" w14:textId="77777777" w:rsidR="00DF410E" w:rsidRDefault="00CE7F43">
      <w:pPr>
        <w:pStyle w:val="pheading"/>
      </w:pPr>
      <w:r>
        <w:t>- Prescriptions générales</w:t>
      </w:r>
    </w:p>
    <w:p w14:paraId="05D84E93" w14:textId="77777777" w:rsidR="00DF410E" w:rsidRDefault="00CE7F43">
      <w:pPr>
        <w:jc w:val="both"/>
      </w:pPr>
      <w:r>
        <w:t>L’aboutage à enture multiple est réalisé en usine.</w:t>
      </w:r>
    </w:p>
    <w:p w14:paraId="564B0557" w14:textId="77777777" w:rsidR="00DF410E" w:rsidRDefault="00CE7F43">
      <w:pPr>
        <w:jc w:val="both"/>
      </w:pPr>
      <w:r>
        <w:t>Dans la zone de l’aboutage, aucun nœud de diamètre supérieur à 6mm n’est autorisé. Les déviations locales de la pente du fil et les fentes ne sont pas autorisées.</w:t>
      </w:r>
    </w:p>
    <w:p w14:paraId="1718AD54" w14:textId="77777777" w:rsidR="00DF410E" w:rsidRDefault="00CE7F43">
      <w:pPr>
        <w:jc w:val="both"/>
      </w:pPr>
      <w:r>
        <w:t>La taille des flaches est limitée aux valeurs données au point G.4.1 de la [NBN EN 15497].</w:t>
      </w:r>
    </w:p>
    <w:p w14:paraId="28BE3760" w14:textId="77777777" w:rsidR="00DF410E" w:rsidRDefault="00CE7F43">
      <w:pPr>
        <w:jc w:val="both"/>
      </w:pPr>
      <w:r>
        <w:t>La géométrie des entailles doit être conforme au point G.4.2 de [NBN EN 15497] pour les aboutages à entures multiples et au point I.6.2 de [NBN EN 14080] pour les aboutages à entures multiples de grandes dimensions.</w:t>
      </w:r>
    </w:p>
    <w:p w14:paraId="245F18C5" w14:textId="77777777" w:rsidR="00DF410E" w:rsidRDefault="00CE7F43">
      <w:pPr>
        <w:jc w:val="both"/>
      </w:pPr>
      <w:r>
        <w:t>Une pression de serrage est appliquée uniformément sur toute la longueur de l’aboutage à entures multiples. Celle-ci est spécifiée au point G.4.7 de la [NBN EN 15497]. Elle est maintenue pendant le temps prescrit par le fabricant de l’adhésif.</w:t>
      </w:r>
    </w:p>
    <w:p w14:paraId="6F460E90" w14:textId="77777777" w:rsidR="00DF410E" w:rsidRDefault="00CE7F43">
      <w:pPr>
        <w:pStyle w:val="pheading"/>
      </w:pPr>
      <w:r>
        <w:t>MESURAGE</w:t>
      </w:r>
    </w:p>
    <w:p w14:paraId="6DA991B6" w14:textId="77777777" w:rsidR="00DF410E" w:rsidRDefault="00CE7F43">
      <w:pPr>
        <w:pStyle w:val="pheading"/>
      </w:pPr>
      <w:r>
        <w:t>- unité de mesure:</w:t>
      </w:r>
    </w:p>
    <w:p w14:paraId="1D47E66F" w14:textId="77777777" w:rsidR="00DF410E" w:rsidRDefault="00CE7F43">
      <w:r>
        <w:rPr>
          <w:rStyle w:val="optioncarChar"/>
        </w:rPr>
        <w:t>- </w:t>
      </w:r>
      <w:r>
        <w:t>(par défaut)</w:t>
      </w:r>
      <w:r>
        <w:rPr>
          <w:rStyle w:val="optioncarChar"/>
        </w:rPr>
        <w:t> / pc</w:t>
      </w:r>
    </w:p>
    <w:p w14:paraId="6A5FF8C7" w14:textId="77777777" w:rsidR="00DF410E" w:rsidRDefault="00CE7F43">
      <w:r>
        <w:rPr>
          <w:b/>
          <w:i/>
        </w:rPr>
        <w:t>(Soit par défaut)</w:t>
      </w:r>
    </w:p>
    <w:p w14:paraId="7ED7DCEE" w14:textId="77777777" w:rsidR="00DF410E" w:rsidRDefault="00CE7F43">
      <w:r>
        <w:rPr>
          <w:rStyle w:val="soitChar"/>
        </w:rPr>
        <w:t>1.     –</w:t>
      </w:r>
    </w:p>
    <w:p w14:paraId="3A439338" w14:textId="77777777" w:rsidR="00DF410E" w:rsidRDefault="00CE7F43">
      <w:r>
        <w:rPr>
          <w:b/>
          <w:i/>
        </w:rPr>
        <w:t>(Soit)</w:t>
      </w:r>
    </w:p>
    <w:p w14:paraId="4D738F74" w14:textId="77777777" w:rsidR="00DF410E" w:rsidRDefault="00CE7F43">
      <w:r>
        <w:rPr>
          <w:rStyle w:val="soitChar"/>
        </w:rPr>
        <w:t>2.3.  pc</w:t>
      </w:r>
    </w:p>
    <w:p w14:paraId="65533340" w14:textId="77777777" w:rsidR="00DF410E" w:rsidRDefault="00CE7F43">
      <w:pPr>
        <w:pStyle w:val="pheading"/>
      </w:pPr>
      <w:r>
        <w:t>- code de mesurage:</w:t>
      </w:r>
    </w:p>
    <w:p w14:paraId="43E1FD7C" w14:textId="77777777" w:rsidR="00DF410E" w:rsidRDefault="00CE7F43">
      <w:r>
        <w:rPr>
          <w:rStyle w:val="optioncarChar"/>
        </w:rPr>
        <w:t>Compris </w:t>
      </w:r>
      <w:r>
        <w:t>(par défaut)</w:t>
      </w:r>
      <w:r>
        <w:rPr>
          <w:rStyle w:val="optioncarChar"/>
        </w:rPr>
        <w:t> / Quantité nette</w:t>
      </w:r>
    </w:p>
    <w:p w14:paraId="4FC652B7" w14:textId="77777777" w:rsidR="00DF410E" w:rsidRDefault="00CE7F43">
      <w:r>
        <w:rPr>
          <w:b/>
          <w:i/>
        </w:rPr>
        <w:t>(Soit par défaut)</w:t>
      </w:r>
    </w:p>
    <w:p w14:paraId="06601A10" w14:textId="77777777" w:rsidR="00DF410E" w:rsidRDefault="00CE7F43">
      <w:r>
        <w:rPr>
          <w:rStyle w:val="soitChar"/>
        </w:rPr>
        <w:t>1.    </w:t>
      </w:r>
      <w:r>
        <w:rPr>
          <w:rStyle w:val="soitChar"/>
          <w:u w:val="single"/>
        </w:rPr>
        <w:t> Compris</w:t>
      </w:r>
      <w:r>
        <w:rPr>
          <w:rStyle w:val="soitChar"/>
        </w:rPr>
        <w:t> dans l’article de référence </w:t>
      </w:r>
      <w:r>
        <w:t> </w:t>
      </w:r>
      <w:r>
        <w:rPr>
          <w:rStyle w:val="optioncarChar"/>
        </w:rPr>
        <w:t>***</w:t>
      </w:r>
    </w:p>
    <w:p w14:paraId="2FD49AA6" w14:textId="77777777" w:rsidR="00DF410E" w:rsidRDefault="00CE7F43">
      <w:r>
        <w:rPr>
          <w:b/>
          <w:i/>
        </w:rPr>
        <w:t>(Soit)</w:t>
      </w:r>
    </w:p>
    <w:p w14:paraId="0A3DAD0C" w14:textId="77777777" w:rsidR="00DF410E" w:rsidRDefault="00CE7F43">
      <w:r>
        <w:rPr>
          <w:rStyle w:val="soitChar"/>
        </w:rPr>
        <w:t>2.3. </w:t>
      </w:r>
      <w:r>
        <w:rPr>
          <w:rStyle w:val="soitChar"/>
          <w:u w:val="single"/>
        </w:rPr>
        <w:t>Quantité nette</w:t>
      </w:r>
      <w:r>
        <w:rPr>
          <w:rStyle w:val="soitChar"/>
        </w:rPr>
        <w:t> : Le nombre d’assemblages à embrèvement ayant les mêmes dimensions est compatibilisé.</w:t>
      </w:r>
    </w:p>
    <w:p w14:paraId="7B24578F" w14:textId="77777777" w:rsidR="00DF410E" w:rsidRDefault="00CE7F43">
      <w:pPr>
        <w:pStyle w:val="pheading"/>
      </w:pPr>
      <w:r>
        <w:t>- nature du marché:</w:t>
      </w:r>
    </w:p>
    <w:p w14:paraId="3C3FFD9D" w14:textId="77777777" w:rsidR="00DF410E" w:rsidRDefault="00CE7F43">
      <w:r>
        <w:rPr>
          <w:rStyle w:val="optioncarChar"/>
        </w:rPr>
        <w:t>PM </w:t>
      </w:r>
      <w:r>
        <w:t>(par défaut) </w:t>
      </w:r>
      <w:r>
        <w:rPr>
          <w:rStyle w:val="optioncarChar"/>
        </w:rPr>
        <w:t>/ QF / QP</w:t>
      </w:r>
    </w:p>
    <w:p w14:paraId="7DF142D4" w14:textId="77777777" w:rsidR="00DF410E" w:rsidRDefault="00CE7F43">
      <w:r>
        <w:rPr>
          <w:b/>
          <w:i/>
        </w:rPr>
        <w:t>(Soit par défaut)</w:t>
      </w:r>
    </w:p>
    <w:p w14:paraId="2B9DB434" w14:textId="77777777" w:rsidR="00DF410E" w:rsidRDefault="00CE7F43">
      <w:r>
        <w:rPr>
          <w:rStyle w:val="soitChar"/>
        </w:rPr>
        <w:t>1.     PM</w:t>
      </w:r>
    </w:p>
    <w:p w14:paraId="5C170C06" w14:textId="77777777" w:rsidR="00DF410E" w:rsidRDefault="00CE7F43">
      <w:r>
        <w:rPr>
          <w:b/>
          <w:i/>
        </w:rPr>
        <w:t>(Soit)</w:t>
      </w:r>
    </w:p>
    <w:p w14:paraId="7B3539E9" w14:textId="77777777" w:rsidR="00DF410E" w:rsidRDefault="00CE7F43">
      <w:r>
        <w:rPr>
          <w:rStyle w:val="soitChar"/>
        </w:rPr>
        <w:t>2.     QF</w:t>
      </w:r>
    </w:p>
    <w:p w14:paraId="43FBA9E3" w14:textId="77777777" w:rsidR="00DF410E" w:rsidRDefault="00CE7F43">
      <w:r>
        <w:rPr>
          <w:b/>
          <w:i/>
        </w:rPr>
        <w:t>(Soit)</w:t>
      </w:r>
    </w:p>
    <w:p w14:paraId="28B14840" w14:textId="77777777" w:rsidR="00DF410E" w:rsidRDefault="00CE7F43">
      <w:r>
        <w:rPr>
          <w:rStyle w:val="soitChar"/>
        </w:rPr>
        <w:t>3.     QP</w:t>
      </w:r>
    </w:p>
    <w:p w14:paraId="342D9079" w14:textId="77777777" w:rsidR="00DF410E" w:rsidRDefault="00CE7F43">
      <w:pPr>
        <w:pStyle w:val="Author-eSectionHeading6"/>
      </w:pPr>
      <w:bookmarkStart w:id="1761" w:name="_Toc178838828"/>
      <w:r>
        <w:t>24.43.1c Assemblages collés - collages structuraux pour éléments collaborants CCTB 01.07</w:t>
      </w:r>
      <w:bookmarkEnd w:id="1761"/>
    </w:p>
    <w:p w14:paraId="530C47E6" w14:textId="77777777" w:rsidR="00DF410E" w:rsidRDefault="00CE7F43">
      <w:pPr>
        <w:pStyle w:val="pheading"/>
      </w:pPr>
      <w:r>
        <w:t>DESCRIPTION</w:t>
      </w:r>
    </w:p>
    <w:p w14:paraId="192F2982" w14:textId="77777777" w:rsidR="00DF410E" w:rsidRDefault="00CE7F43">
      <w:pPr>
        <w:pStyle w:val="pheading"/>
      </w:pPr>
      <w:r>
        <w:t>- Définition / Comprend</w:t>
      </w:r>
    </w:p>
    <w:p w14:paraId="415829BB" w14:textId="77777777" w:rsidR="00DF410E" w:rsidRDefault="00CE7F43">
      <w:pPr>
        <w:jc w:val="both"/>
      </w:pPr>
      <w:r>
        <w:t>Il s’agit de joint de collage reliant des pièces de bois sur leur longueur et permettant un transfert des efforts rasant afin de garantir le fonctionnement des pièces ainsi assemblées similaire à celui d’une pièce monolithique.</w:t>
      </w:r>
    </w:p>
    <w:p w14:paraId="6E45CC0A" w14:textId="77777777" w:rsidR="00DF410E" w:rsidRDefault="00CE7F43">
      <w:pPr>
        <w:pStyle w:val="Author-eSectionHeading4"/>
      </w:pPr>
      <w:bookmarkStart w:id="1762" w:name="_Toc178838829"/>
      <w:r>
        <w:t>24.44 Ancrages pour structures en bois CCTB 01.07</w:t>
      </w:r>
      <w:bookmarkEnd w:id="1762"/>
    </w:p>
    <w:p w14:paraId="06B18510" w14:textId="77777777" w:rsidR="00DF410E" w:rsidRDefault="00CE7F43">
      <w:pPr>
        <w:pStyle w:val="pheading"/>
      </w:pPr>
      <w:r>
        <w:t>DESCRIPTION</w:t>
      </w:r>
    </w:p>
    <w:p w14:paraId="634A59CD" w14:textId="77777777" w:rsidR="00DF410E" w:rsidRDefault="00CE7F43">
      <w:pPr>
        <w:pStyle w:val="pheading"/>
      </w:pPr>
      <w:r>
        <w:t>- Définition / Comprend</w:t>
      </w:r>
    </w:p>
    <w:p w14:paraId="36640702" w14:textId="77777777" w:rsidR="00DF410E" w:rsidRDefault="00CE7F43">
      <w:pPr>
        <w:jc w:val="both"/>
      </w:pPr>
      <w:r>
        <w:t>Il s’agit d’ancrages en acier scellés chimiquement ou mécaniquement utilisés afin de transférer des charges de la structure bois vers une structure réalisée en béton ou en maçonnerie.</w:t>
      </w:r>
    </w:p>
    <w:p w14:paraId="366DA308" w14:textId="77777777" w:rsidR="00DF410E" w:rsidRDefault="00CE7F43">
      <w:pPr>
        <w:pStyle w:val="Author-eSectionHeading5"/>
      </w:pPr>
      <w:bookmarkStart w:id="1763" w:name="_Toc178838830"/>
      <w:r>
        <w:t>24.44.1 Ancrages mécaniques pour structures en bois CCTB 01.07</w:t>
      </w:r>
      <w:bookmarkEnd w:id="1763"/>
    </w:p>
    <w:p w14:paraId="27143270" w14:textId="77777777" w:rsidR="00DF410E" w:rsidRDefault="00CE7F43">
      <w:pPr>
        <w:pStyle w:val="Author-eSectionHeading6"/>
      </w:pPr>
      <w:bookmarkStart w:id="1764" w:name="_Toc178838831"/>
      <w:r>
        <w:t>24.44.1a Ancrages mécaniques pour structures en bois CCTB 01.07</w:t>
      </w:r>
      <w:bookmarkEnd w:id="1764"/>
    </w:p>
    <w:p w14:paraId="4CDFC5EF" w14:textId="77777777" w:rsidR="00DF410E" w:rsidRDefault="00CE7F43">
      <w:pPr>
        <w:pStyle w:val="pheading"/>
      </w:pPr>
      <w:bookmarkStart w:id="1765" w:name="582"/>
      <w:bookmarkEnd w:id="1765"/>
      <w:r>
        <w:t>DESCRIPTION</w:t>
      </w:r>
    </w:p>
    <w:p w14:paraId="3FB93419" w14:textId="77777777" w:rsidR="00DF410E" w:rsidRDefault="00CE7F43">
      <w:pPr>
        <w:pStyle w:val="pheading"/>
      </w:pPr>
      <w:r>
        <w:t>- Définition / Comprend</w:t>
      </w:r>
    </w:p>
    <w:p w14:paraId="3F10677E" w14:textId="77777777" w:rsidR="00DF410E" w:rsidRDefault="00CE7F43">
      <w:pPr>
        <w:jc w:val="both"/>
      </w:pPr>
      <w:r>
        <w:t>Il s’agit de fixations métalliques qui transmettent principalement des efforts de traction et de cisaillement de la structure bois à la structure en béton alentours par expansion de l’ancrage et friction avec le matériau support.</w:t>
      </w:r>
    </w:p>
    <w:p w14:paraId="735F2064" w14:textId="77777777" w:rsidR="00DF410E" w:rsidRDefault="00CE7F43">
      <w:pPr>
        <w:jc w:val="both"/>
      </w:pPr>
      <w:r>
        <w:t>Sauf mention contraire au cahier spécial des charges, le travail comprend notamment :</w:t>
      </w:r>
    </w:p>
    <w:p w14:paraId="236A9171" w14:textId="77777777" w:rsidR="00DF410E" w:rsidRDefault="00CE7F43">
      <w:pPr>
        <w:pStyle w:val="Author-eListParagraph"/>
        <w:numPr>
          <w:ilvl w:val="0"/>
          <w:numId w:val="1072"/>
        </w:numPr>
        <w:jc w:val="both"/>
      </w:pPr>
      <w:r>
        <w:t>La fourniture de l’ancrage,</w:t>
      </w:r>
    </w:p>
    <w:p w14:paraId="4A5A724B" w14:textId="77777777" w:rsidR="00DF410E" w:rsidRDefault="00CE7F43">
      <w:pPr>
        <w:pStyle w:val="Author-eListParagraph"/>
        <w:numPr>
          <w:ilvl w:val="0"/>
          <w:numId w:val="1072"/>
        </w:numPr>
        <w:jc w:val="both"/>
      </w:pPr>
      <w:r>
        <w:t>Le percement du matériau support et l’installation de l’ancrage,</w:t>
      </w:r>
    </w:p>
    <w:p w14:paraId="0ADF83B6" w14:textId="77777777" w:rsidR="00DF410E" w:rsidRDefault="00CE7F43">
      <w:pPr>
        <w:pStyle w:val="Author-eListParagraph"/>
        <w:numPr>
          <w:ilvl w:val="0"/>
          <w:numId w:val="1072"/>
        </w:numPr>
        <w:jc w:val="both"/>
      </w:pPr>
      <w:r>
        <w:t>Le bouchonnage éventuel des pièces en bois.</w:t>
      </w:r>
    </w:p>
    <w:p w14:paraId="3BCC9623" w14:textId="77777777" w:rsidR="00DF410E" w:rsidRDefault="00CE7F43">
      <w:pPr>
        <w:pStyle w:val="pheading"/>
      </w:pPr>
      <w:r>
        <w:t>MATÉRIAUX</w:t>
      </w:r>
    </w:p>
    <w:p w14:paraId="32A89F52" w14:textId="77777777" w:rsidR="00DF410E" w:rsidRDefault="00CE7F43">
      <w:pPr>
        <w:pStyle w:val="pheading"/>
      </w:pPr>
      <w:r>
        <w:t>- Caractéristiques générales</w:t>
      </w:r>
    </w:p>
    <w:p w14:paraId="09F4E821" w14:textId="77777777" w:rsidR="00DF410E" w:rsidRDefault="00CE7F43">
      <w:pPr>
        <w:jc w:val="both"/>
      </w:pPr>
      <w:r>
        <w:t>Les résines sont pourvues du marquage CE et disposent d’un ATE sur base soit :</w:t>
      </w:r>
    </w:p>
    <w:p w14:paraId="1379FD94" w14:textId="77777777" w:rsidR="00DF410E" w:rsidRDefault="00CE7F43">
      <w:pPr>
        <w:pStyle w:val="Author-eListParagraph"/>
        <w:numPr>
          <w:ilvl w:val="0"/>
          <w:numId w:val="1073"/>
        </w:numPr>
      </w:pPr>
      <w:r>
        <w:t>Si utilisation dans le béton : soit de l’[ETAG 001-5], soit de l’[EAD 330499-00-0601] ;</w:t>
      </w:r>
    </w:p>
    <w:p w14:paraId="4A01C419" w14:textId="77777777" w:rsidR="00DF410E" w:rsidRDefault="00CE7F43">
      <w:pPr>
        <w:pStyle w:val="Author-eListParagraph"/>
        <w:numPr>
          <w:ilvl w:val="0"/>
          <w:numId w:val="1073"/>
        </w:numPr>
      </w:pPr>
      <w:r>
        <w:t>Si utilisation dans la maçonnerie : soit de l’[ETAG 029], soit de l’[EAD 330076-00-0604].</w:t>
      </w:r>
    </w:p>
    <w:p w14:paraId="40CCC8CD" w14:textId="77777777" w:rsidR="00DF410E" w:rsidRDefault="00CE7F43">
      <w:pPr>
        <w:jc w:val="both"/>
      </w:pPr>
      <w:r>
        <w:t> </w:t>
      </w:r>
    </w:p>
    <w:p w14:paraId="0B403286" w14:textId="77777777" w:rsidR="00DF410E" w:rsidRDefault="00CE7F43">
      <w:pPr>
        <w:jc w:val="both"/>
      </w:pPr>
      <w:r>
        <w:t xml:space="preserve">Matériau des goujons d’ancrages : </w:t>
      </w:r>
      <w:r>
        <w:rPr>
          <w:rStyle w:val="optioncarChar"/>
        </w:rPr>
        <w:t xml:space="preserve">acier au carbone </w:t>
      </w:r>
      <w:r>
        <w:t xml:space="preserve">(par défaut) </w:t>
      </w:r>
      <w:r>
        <w:rPr>
          <w:rStyle w:val="optioncarChar"/>
        </w:rPr>
        <w:t>/ acier inoxydable</w:t>
      </w:r>
    </w:p>
    <w:p w14:paraId="38DEEE2F" w14:textId="77777777" w:rsidR="00DF410E" w:rsidRDefault="00CE7F43">
      <w:pPr>
        <w:ind w:left="567"/>
        <w:jc w:val="both"/>
      </w:pPr>
      <w:r>
        <w:rPr>
          <w:b/>
          <w:i/>
        </w:rPr>
        <w:t>(Soit par défaut)</w:t>
      </w:r>
    </w:p>
    <w:p w14:paraId="5B64610E" w14:textId="77777777" w:rsidR="00DF410E" w:rsidRDefault="00CE7F43">
      <w:pPr>
        <w:ind w:left="567"/>
        <w:jc w:val="both"/>
      </w:pPr>
      <w:r>
        <w:rPr>
          <w:rStyle w:val="soitChar"/>
          <w:u w:val="single"/>
        </w:rPr>
        <w:t xml:space="preserve">Acier au carbone </w:t>
      </w:r>
    </w:p>
    <w:p w14:paraId="34EC4A13" w14:textId="77777777" w:rsidR="00DF410E" w:rsidRDefault="00CE7F43">
      <w:pPr>
        <w:ind w:left="567"/>
        <w:jc w:val="both"/>
      </w:pPr>
      <w:r>
        <w:rPr>
          <w:rStyle w:val="soitChar"/>
        </w:rPr>
        <w:t>Classe d’acier minimale des goujons d’ancrages :</w:t>
      </w:r>
      <w:r>
        <w:rPr>
          <w:rStyle w:val="optioncarChar"/>
        </w:rPr>
        <w:t xml:space="preserve">4.6 </w:t>
      </w:r>
      <w:r>
        <w:t xml:space="preserve">(par défaut) </w:t>
      </w:r>
      <w:r>
        <w:rPr>
          <w:rStyle w:val="optioncarChar"/>
        </w:rPr>
        <w:t>/ 5.8 / 8.8</w:t>
      </w:r>
    </w:p>
    <w:p w14:paraId="67E29BA2" w14:textId="77777777" w:rsidR="00DF410E" w:rsidRDefault="00CE7F43">
      <w:pPr>
        <w:ind w:left="567"/>
        <w:jc w:val="both"/>
      </w:pPr>
      <w:r>
        <w:rPr>
          <w:b/>
          <w:i/>
        </w:rPr>
        <w:t>(Soit)</w:t>
      </w:r>
    </w:p>
    <w:p w14:paraId="7B7982CB" w14:textId="77777777" w:rsidR="00DF410E" w:rsidRDefault="00CE7F43">
      <w:pPr>
        <w:ind w:left="567"/>
        <w:jc w:val="both"/>
      </w:pPr>
      <w:r>
        <w:rPr>
          <w:rStyle w:val="soitChar"/>
          <w:u w:val="single"/>
        </w:rPr>
        <w:t xml:space="preserve">Acier inoxydable </w:t>
      </w:r>
    </w:p>
    <w:p w14:paraId="7F9BA9FE" w14:textId="77777777" w:rsidR="00DF410E" w:rsidRDefault="00CE7F43">
      <w:pPr>
        <w:ind w:left="567"/>
        <w:jc w:val="both"/>
      </w:pPr>
      <w:r>
        <w:rPr>
          <w:rStyle w:val="soitChar"/>
        </w:rPr>
        <w:t>Classe d’acier minimale des goujons d’ancrages :</w:t>
      </w:r>
      <w:r>
        <w:rPr>
          <w:rStyle w:val="optioncarChar"/>
        </w:rPr>
        <w:t xml:space="preserve"> A2</w:t>
      </w:r>
      <w:r>
        <w:t xml:space="preserve"> (par défaut) </w:t>
      </w:r>
      <w:r>
        <w:rPr>
          <w:rStyle w:val="optioncarChar"/>
        </w:rPr>
        <w:t>/ A4</w:t>
      </w:r>
    </w:p>
    <w:p w14:paraId="11D5660B" w14:textId="77777777" w:rsidR="00DF410E" w:rsidRDefault="00CE7F43">
      <w:pPr>
        <w:jc w:val="both"/>
      </w:pPr>
      <w:r>
        <w:t> </w:t>
      </w:r>
    </w:p>
    <w:p w14:paraId="42B875B5" w14:textId="77777777" w:rsidR="00DF410E" w:rsidRDefault="00CE7F43">
      <w:pPr>
        <w:jc w:val="both"/>
      </w:pPr>
      <w:r>
        <w:t>Diamètre des goujons d’ancrages :</w:t>
      </w:r>
      <w:r>
        <w:rPr>
          <w:rStyle w:val="optioncarChar"/>
        </w:rPr>
        <w:t xml:space="preserve"> M6 / M8 / M10 / M12 / M16 / voir plans </w:t>
      </w:r>
      <w:r>
        <w:t>(par défaut)</w:t>
      </w:r>
      <w:r>
        <w:rPr>
          <w:rStyle w:val="optioncarChar"/>
        </w:rPr>
        <w:t xml:space="preserve"> / ***</w:t>
      </w:r>
    </w:p>
    <w:p w14:paraId="3988860F" w14:textId="77777777" w:rsidR="00DF410E" w:rsidRDefault="00CE7F43">
      <w:pPr>
        <w:jc w:val="both"/>
      </w:pPr>
      <w:r>
        <w:t>En ce qui concerne les diamètres de perçage du matériau support et de la pièce fixée, les prescriptions du fabricant sont suivies.</w:t>
      </w:r>
    </w:p>
    <w:p w14:paraId="458BB71B" w14:textId="77777777" w:rsidR="00DF410E" w:rsidRDefault="00CE7F43">
      <w:pPr>
        <w:jc w:val="both"/>
      </w:pPr>
      <w:r>
        <w:t xml:space="preserve">Matériau du support : </w:t>
      </w:r>
      <w:r>
        <w:rPr>
          <w:rStyle w:val="optioncarChar"/>
        </w:rPr>
        <w:t>béton non-fissuré / béton fissuré / maçonneries pleines</w:t>
      </w:r>
    </w:p>
    <w:p w14:paraId="1BFC4F7E" w14:textId="77777777" w:rsidR="00DF410E" w:rsidRDefault="00CE7F43">
      <w:pPr>
        <w:pStyle w:val="pheading"/>
      </w:pPr>
      <w:r>
        <w:t>EXÉCUTION / MISE EN ŒUVRE</w:t>
      </w:r>
    </w:p>
    <w:p w14:paraId="39824F98" w14:textId="77777777" w:rsidR="00DF410E" w:rsidRDefault="00CE7F43">
      <w:pPr>
        <w:pStyle w:val="pheading"/>
      </w:pPr>
      <w:r>
        <w:t>- Prescriptions générales</w:t>
      </w:r>
    </w:p>
    <w:p w14:paraId="5734443F" w14:textId="77777777" w:rsidR="00DF410E" w:rsidRDefault="00CE7F43">
      <w:pPr>
        <w:jc w:val="both"/>
      </w:pPr>
      <w:r>
        <w:t>En toute circonstance, les consignes du fabricant sont respectées.</w:t>
      </w:r>
    </w:p>
    <w:p w14:paraId="0B2B106A" w14:textId="77777777" w:rsidR="00DF410E" w:rsidRDefault="00CE7F43">
      <w:pPr>
        <w:jc w:val="both"/>
      </w:pPr>
      <w:r>
        <w:t>Le fabricant prescrit le diamètre de perçage du matériau support et le diamètre du trou de passage de la pièce à fixer.</w:t>
      </w:r>
    </w:p>
    <w:p w14:paraId="0E2158BA" w14:textId="77777777" w:rsidR="00DF410E" w:rsidRDefault="00CE7F43">
      <w:pPr>
        <w:jc w:val="both"/>
      </w:pPr>
      <w:r>
        <w:t>Le trou percé dans le matériau support en correctement dépoussiéré avant l’installant de l’ancrage mécanique. </w:t>
      </w:r>
    </w:p>
    <w:p w14:paraId="30557D1C" w14:textId="77777777" w:rsidR="00DF410E" w:rsidRDefault="00CE7F43">
      <w:pPr>
        <w:jc w:val="both"/>
      </w:pPr>
      <w:r>
        <w:t xml:space="preserve">Profondeur effective d’ancrage : </w:t>
      </w:r>
      <w:r>
        <w:rPr>
          <w:rStyle w:val="optioncarChar"/>
        </w:rPr>
        <w:t xml:space="preserve">voir plan </w:t>
      </w:r>
      <w:r>
        <w:t xml:space="preserve">(par défaut) </w:t>
      </w:r>
      <w:r>
        <w:rPr>
          <w:rStyle w:val="optioncarChar"/>
        </w:rPr>
        <w:t>/ ***</w:t>
      </w:r>
    </w:p>
    <w:p w14:paraId="5AAD7516" w14:textId="77777777" w:rsidR="00DF410E" w:rsidRDefault="00CE7F43">
      <w:pPr>
        <w:jc w:val="both"/>
      </w:pPr>
      <w:r>
        <w:t>La profondeur effective d’ancrage doit être dans la plage autorisée par le fournisseur.</w:t>
      </w:r>
    </w:p>
    <w:p w14:paraId="4B71A5A2" w14:textId="77777777" w:rsidR="00DF410E" w:rsidRDefault="00CE7F43">
      <w:pPr>
        <w:pStyle w:val="pheading"/>
      </w:pPr>
      <w:r>
        <w:t>MESURAGE</w:t>
      </w:r>
    </w:p>
    <w:p w14:paraId="61EC0D1E" w14:textId="77777777" w:rsidR="00DF410E" w:rsidRDefault="00CE7F43">
      <w:pPr>
        <w:pStyle w:val="pheading"/>
      </w:pPr>
      <w:r>
        <w:t>- unité de mesure:</w:t>
      </w:r>
    </w:p>
    <w:p w14:paraId="37C02CDD" w14:textId="77777777" w:rsidR="00DF410E" w:rsidRDefault="00CE7F43">
      <w:r>
        <w:rPr>
          <w:rStyle w:val="optioncarChar"/>
        </w:rPr>
        <w:t>- </w:t>
      </w:r>
      <w:r>
        <w:t>(par défaut)</w:t>
      </w:r>
      <w:r>
        <w:rPr>
          <w:rStyle w:val="optioncarChar"/>
        </w:rPr>
        <w:t> / pc</w:t>
      </w:r>
    </w:p>
    <w:p w14:paraId="6285E284" w14:textId="77777777" w:rsidR="00DF410E" w:rsidRDefault="00CE7F43">
      <w:r>
        <w:rPr>
          <w:b/>
          <w:i/>
        </w:rPr>
        <w:t>(Soit par défaut)</w:t>
      </w:r>
    </w:p>
    <w:p w14:paraId="454FBFB0" w14:textId="77777777" w:rsidR="00DF410E" w:rsidRDefault="00CE7F43">
      <w:r>
        <w:rPr>
          <w:rStyle w:val="soitChar"/>
        </w:rPr>
        <w:t>1.     –</w:t>
      </w:r>
    </w:p>
    <w:p w14:paraId="1F79A5B2" w14:textId="77777777" w:rsidR="00DF410E" w:rsidRDefault="00CE7F43">
      <w:r>
        <w:rPr>
          <w:b/>
          <w:i/>
        </w:rPr>
        <w:t>(Soit)</w:t>
      </w:r>
    </w:p>
    <w:p w14:paraId="18D66094" w14:textId="77777777" w:rsidR="00DF410E" w:rsidRDefault="00CE7F43">
      <w:r>
        <w:rPr>
          <w:rStyle w:val="soitChar"/>
        </w:rPr>
        <w:t>2.3.  pc</w:t>
      </w:r>
    </w:p>
    <w:p w14:paraId="7343C91B" w14:textId="77777777" w:rsidR="00DF410E" w:rsidRDefault="00CE7F43">
      <w:pPr>
        <w:pStyle w:val="pheading"/>
      </w:pPr>
      <w:r>
        <w:t>- code de mesurage:</w:t>
      </w:r>
    </w:p>
    <w:p w14:paraId="0A870B9F" w14:textId="77777777" w:rsidR="00DF410E" w:rsidRDefault="00CE7F43">
      <w:pPr>
        <w:jc w:val="both"/>
      </w:pPr>
      <w:r>
        <w:rPr>
          <w:rStyle w:val="optioncarChar"/>
        </w:rPr>
        <w:t>Compris</w:t>
      </w:r>
      <w:r>
        <w:t> (par défaut)</w:t>
      </w:r>
      <w:r>
        <w:rPr>
          <w:rStyle w:val="optioncarChar"/>
        </w:rPr>
        <w:t> / Quantité nette</w:t>
      </w:r>
    </w:p>
    <w:p w14:paraId="79D57B25" w14:textId="77777777" w:rsidR="00DF410E" w:rsidRDefault="00CE7F43">
      <w:pPr>
        <w:jc w:val="both"/>
      </w:pPr>
      <w:r>
        <w:rPr>
          <w:b/>
          <w:i/>
        </w:rPr>
        <w:t>(Soit par défaut)</w:t>
      </w:r>
    </w:p>
    <w:p w14:paraId="0DE236FA" w14:textId="77777777" w:rsidR="00DF410E" w:rsidRDefault="00CE7F43">
      <w:pPr>
        <w:jc w:val="both"/>
      </w:pPr>
      <w:r>
        <w:rPr>
          <w:rStyle w:val="soitChar"/>
        </w:rPr>
        <w:t>1.   </w:t>
      </w:r>
      <w:r>
        <w:rPr>
          <w:rStyle w:val="soitChar"/>
          <w:u w:val="single"/>
        </w:rPr>
        <w:t>  Compris</w:t>
      </w:r>
      <w:r>
        <w:rPr>
          <w:rStyle w:val="soitChar"/>
        </w:rPr>
        <w:t> dans l’article de référence</w:t>
      </w:r>
      <w:r>
        <w:t> </w:t>
      </w:r>
      <w:r>
        <w:rPr>
          <w:rStyle w:val="optioncarChar"/>
        </w:rPr>
        <w:t>***</w:t>
      </w:r>
    </w:p>
    <w:p w14:paraId="3A63C41A" w14:textId="77777777" w:rsidR="00DF410E" w:rsidRDefault="00CE7F43">
      <w:pPr>
        <w:jc w:val="both"/>
      </w:pPr>
      <w:r>
        <w:rPr>
          <w:b/>
          <w:i/>
        </w:rPr>
        <w:t>(Soit)</w:t>
      </w:r>
    </w:p>
    <w:p w14:paraId="2066E487" w14:textId="77777777" w:rsidR="00DF410E" w:rsidRDefault="00CE7F43">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2659C2AC" w14:textId="77777777" w:rsidR="00DF410E" w:rsidRDefault="00CE7F43">
      <w:pPr>
        <w:pStyle w:val="pheading"/>
      </w:pPr>
      <w:r>
        <w:t>- nature du marché:</w:t>
      </w:r>
    </w:p>
    <w:p w14:paraId="5C8DF9BA" w14:textId="77777777" w:rsidR="00DF410E" w:rsidRDefault="00CE7F43">
      <w:r>
        <w:rPr>
          <w:rStyle w:val="optioncarChar"/>
        </w:rPr>
        <w:t>PM</w:t>
      </w:r>
      <w:r>
        <w:t> (par défaut)</w:t>
      </w:r>
      <w:r>
        <w:rPr>
          <w:rStyle w:val="optioncarChar"/>
        </w:rPr>
        <w:t> / QF / QP</w:t>
      </w:r>
    </w:p>
    <w:p w14:paraId="4DB24C15" w14:textId="77777777" w:rsidR="00DF410E" w:rsidRDefault="00CE7F43">
      <w:r>
        <w:rPr>
          <w:b/>
          <w:i/>
        </w:rPr>
        <w:t>(Soit par défaut)</w:t>
      </w:r>
    </w:p>
    <w:p w14:paraId="4C1D909A" w14:textId="77777777" w:rsidR="00DF410E" w:rsidRDefault="00CE7F43">
      <w:r>
        <w:rPr>
          <w:rStyle w:val="soitChar"/>
        </w:rPr>
        <w:t>1.     PM</w:t>
      </w:r>
    </w:p>
    <w:p w14:paraId="25414F05" w14:textId="77777777" w:rsidR="00DF410E" w:rsidRDefault="00CE7F43">
      <w:r>
        <w:rPr>
          <w:b/>
          <w:i/>
        </w:rPr>
        <w:t>(Soit)</w:t>
      </w:r>
    </w:p>
    <w:p w14:paraId="55813BF2" w14:textId="77777777" w:rsidR="00DF410E" w:rsidRDefault="00CE7F43">
      <w:r>
        <w:rPr>
          <w:rStyle w:val="soitChar"/>
        </w:rPr>
        <w:t>2.     QF</w:t>
      </w:r>
    </w:p>
    <w:p w14:paraId="59E5978B" w14:textId="77777777" w:rsidR="00DF410E" w:rsidRDefault="00CE7F43">
      <w:r>
        <w:rPr>
          <w:b/>
          <w:i/>
        </w:rPr>
        <w:t>(Soit)</w:t>
      </w:r>
    </w:p>
    <w:p w14:paraId="57F38729" w14:textId="77777777" w:rsidR="00DF410E" w:rsidRDefault="00CE7F43">
      <w:r>
        <w:rPr>
          <w:rStyle w:val="soitChar"/>
        </w:rPr>
        <w:t>3.     QP</w:t>
      </w:r>
    </w:p>
    <w:p w14:paraId="34951DAA" w14:textId="77777777" w:rsidR="00DF410E" w:rsidRDefault="00CE7F43">
      <w:pPr>
        <w:pStyle w:val="Author-eSectionHeading5"/>
      </w:pPr>
      <w:bookmarkStart w:id="1766" w:name="_Toc178838832"/>
      <w:r>
        <w:t>24.44.2 Ancrages chimiques pour structures en bois CCTB 01.07</w:t>
      </w:r>
      <w:bookmarkEnd w:id="1766"/>
    </w:p>
    <w:p w14:paraId="579FE091" w14:textId="77777777" w:rsidR="00DF410E" w:rsidRDefault="00CE7F43">
      <w:pPr>
        <w:pStyle w:val="Author-eSectionHeading6"/>
      </w:pPr>
      <w:bookmarkStart w:id="1767" w:name="_Toc178838833"/>
      <w:r>
        <w:t>24.44.2a Ancrages chimiques pour structures en bois CCTB 01.11</w:t>
      </w:r>
      <w:bookmarkEnd w:id="1767"/>
    </w:p>
    <w:p w14:paraId="2B770467" w14:textId="77777777" w:rsidR="00DF410E" w:rsidRDefault="00CE7F43">
      <w:pPr>
        <w:pStyle w:val="pheading"/>
      </w:pPr>
      <w:bookmarkStart w:id="1768" w:name="581"/>
      <w:bookmarkEnd w:id="1768"/>
      <w:r>
        <w:t>DESCRIPTION</w:t>
      </w:r>
    </w:p>
    <w:p w14:paraId="0FF0A236" w14:textId="77777777" w:rsidR="00DF410E" w:rsidRDefault="00CE7F43">
      <w:pPr>
        <w:pStyle w:val="pheading"/>
      </w:pPr>
      <w:r>
        <w:t>- Définition / Comprend</w:t>
      </w:r>
    </w:p>
    <w:p w14:paraId="1D8BAD56" w14:textId="77777777" w:rsidR="00DF410E" w:rsidRDefault="00CE7F43">
      <w:pPr>
        <w:jc w:val="both"/>
      </w:pPr>
      <w:r>
        <w:t>Il s’agit de fixations métalliques qui transmettent principalement des efforts de traction et de cisaillement de la structure bois à la structure en béton ou en maçonnerie alentours par l’utilisation d’une résine adhérente à la fois à la tige filetée et au matériau support.</w:t>
      </w:r>
    </w:p>
    <w:p w14:paraId="12858D2B" w14:textId="77777777" w:rsidR="00DF410E" w:rsidRDefault="00CE7F43">
      <w:pPr>
        <w:jc w:val="both"/>
      </w:pPr>
      <w:r>
        <w:t>Sauf mention contraire au cahier spécial des charges, le travail comprend notamment :</w:t>
      </w:r>
    </w:p>
    <w:p w14:paraId="288564B1" w14:textId="77777777" w:rsidR="00DF410E" w:rsidRDefault="00CE7F43">
      <w:pPr>
        <w:pStyle w:val="Author-eListParagraph"/>
        <w:numPr>
          <w:ilvl w:val="0"/>
          <w:numId w:val="1074"/>
        </w:numPr>
        <w:jc w:val="both"/>
      </w:pPr>
      <w:r>
        <w:t>La fourniture des résines et tiges filetées,</w:t>
      </w:r>
    </w:p>
    <w:p w14:paraId="2074AB60" w14:textId="77777777" w:rsidR="00DF410E" w:rsidRDefault="00CE7F43">
      <w:pPr>
        <w:pStyle w:val="Author-eListParagraph"/>
        <w:numPr>
          <w:ilvl w:val="0"/>
          <w:numId w:val="1074"/>
        </w:numPr>
        <w:jc w:val="both"/>
      </w:pPr>
      <w:r>
        <w:t>L’installation de l’ancrage,</w:t>
      </w:r>
    </w:p>
    <w:p w14:paraId="36DF49E2" w14:textId="77777777" w:rsidR="00DF410E" w:rsidRDefault="00CE7F43">
      <w:pPr>
        <w:pStyle w:val="Author-eListParagraph"/>
        <w:numPr>
          <w:ilvl w:val="0"/>
          <w:numId w:val="1074"/>
        </w:numPr>
        <w:jc w:val="both"/>
      </w:pPr>
      <w:r>
        <w:t>Le bouchonnage éventuel des pièces en bois.</w:t>
      </w:r>
    </w:p>
    <w:p w14:paraId="2F222BEF" w14:textId="77777777" w:rsidR="00DF410E" w:rsidRDefault="00CE7F43">
      <w:pPr>
        <w:pStyle w:val="pheading"/>
      </w:pPr>
      <w:r>
        <w:t>MATÉRIAUX</w:t>
      </w:r>
    </w:p>
    <w:p w14:paraId="4CFC3894" w14:textId="77777777" w:rsidR="00DF410E" w:rsidRDefault="00CE7F43">
      <w:pPr>
        <w:pStyle w:val="pheading"/>
      </w:pPr>
      <w:r>
        <w:t>- Caractéristiques générales</w:t>
      </w:r>
    </w:p>
    <w:p w14:paraId="03136DEC" w14:textId="77777777" w:rsidR="00DF410E" w:rsidRDefault="00CE7F43">
      <w:pPr>
        <w:jc w:val="both"/>
      </w:pPr>
      <w:r>
        <w:t>Les résines sont pourvues du marquage CE et disposent d’un ATE sur base soit :</w:t>
      </w:r>
    </w:p>
    <w:p w14:paraId="1B6C9648" w14:textId="77777777" w:rsidR="00DF410E" w:rsidRDefault="00CE7F43">
      <w:pPr>
        <w:pStyle w:val="Author-eListParagraph"/>
        <w:numPr>
          <w:ilvl w:val="0"/>
          <w:numId w:val="1075"/>
        </w:numPr>
      </w:pPr>
      <w:r>
        <w:t>Si utilisation dans le béton : soit de l’[ETAG 001-5], soit de l’[EAD 330499-00-0601] ;</w:t>
      </w:r>
    </w:p>
    <w:p w14:paraId="2FCE0DB2" w14:textId="77777777" w:rsidR="00DF410E" w:rsidRDefault="00CE7F43">
      <w:pPr>
        <w:pStyle w:val="Author-eListParagraph"/>
        <w:numPr>
          <w:ilvl w:val="0"/>
          <w:numId w:val="1075"/>
        </w:numPr>
      </w:pPr>
      <w:r>
        <w:t>Si utilisation dans la maçonnerie : soit de l’[ETAG 029], soit de l’[EAD 330076-00-0604].</w:t>
      </w:r>
    </w:p>
    <w:p w14:paraId="0EF01F5D" w14:textId="77777777" w:rsidR="00DF410E" w:rsidRDefault="00CE7F43">
      <w:pPr>
        <w:jc w:val="both"/>
      </w:pPr>
      <w:r>
        <w:t> </w:t>
      </w:r>
    </w:p>
    <w:p w14:paraId="2CEFE104" w14:textId="77777777" w:rsidR="00DF410E" w:rsidRDefault="00CE7F43">
      <w:pPr>
        <w:jc w:val="both"/>
      </w:pPr>
      <w:r>
        <w:t xml:space="preserve">Type de résine : </w:t>
      </w:r>
      <w:r>
        <w:rPr>
          <w:rStyle w:val="optioncarChar"/>
        </w:rPr>
        <w:t>époxy </w:t>
      </w:r>
      <w:r>
        <w:t>(par défaut)</w:t>
      </w:r>
      <w:r>
        <w:rPr>
          <w:rStyle w:val="optioncarChar"/>
        </w:rPr>
        <w:t xml:space="preserve"> / vinylester / polyester / méthacrylate / ***</w:t>
      </w:r>
    </w:p>
    <w:p w14:paraId="09983311" w14:textId="77777777" w:rsidR="00DF410E" w:rsidRDefault="00CE7F43">
      <w:pPr>
        <w:jc w:val="both"/>
      </w:pPr>
      <w:r>
        <w:t xml:space="preserve">Matériau des tiges filetées : </w:t>
      </w:r>
      <w:r>
        <w:rPr>
          <w:rStyle w:val="optioncarChar"/>
        </w:rPr>
        <w:t xml:space="preserve">acier au carbone </w:t>
      </w:r>
      <w:r>
        <w:t xml:space="preserve">(par défaut) </w:t>
      </w:r>
      <w:r>
        <w:rPr>
          <w:rStyle w:val="optioncarChar"/>
        </w:rPr>
        <w:t>/ acier inoxydable</w:t>
      </w:r>
    </w:p>
    <w:p w14:paraId="2EEBDA22" w14:textId="77777777" w:rsidR="00DF410E" w:rsidRDefault="00CE7F43">
      <w:pPr>
        <w:ind w:left="567"/>
        <w:jc w:val="both"/>
      </w:pPr>
      <w:r>
        <w:rPr>
          <w:b/>
          <w:i/>
        </w:rPr>
        <w:t>(Soit par défaut)</w:t>
      </w:r>
    </w:p>
    <w:p w14:paraId="291C24B8" w14:textId="77777777" w:rsidR="00DF410E" w:rsidRDefault="00CE7F43">
      <w:pPr>
        <w:ind w:left="567"/>
        <w:jc w:val="both"/>
      </w:pPr>
      <w:r>
        <w:rPr>
          <w:rStyle w:val="soitChar"/>
          <w:u w:val="single"/>
        </w:rPr>
        <w:t xml:space="preserve">Acier au carbone </w:t>
      </w:r>
    </w:p>
    <w:p w14:paraId="37B95C91" w14:textId="77777777" w:rsidR="00DF410E" w:rsidRDefault="00CE7F43">
      <w:pPr>
        <w:ind w:left="567"/>
        <w:jc w:val="both"/>
      </w:pPr>
      <w:r>
        <w:rPr>
          <w:rStyle w:val="soitChar"/>
        </w:rPr>
        <w:t>Classe d’acier minimale des tiges filetées :</w:t>
      </w:r>
      <w:r>
        <w:rPr>
          <w:rStyle w:val="optioncarChar"/>
        </w:rPr>
        <w:t>4.6</w:t>
      </w:r>
      <w:r>
        <w:t xml:space="preserve"> (par défaut)</w:t>
      </w:r>
      <w:r>
        <w:rPr>
          <w:rStyle w:val="optioncarChar"/>
        </w:rPr>
        <w:t xml:space="preserve"> / 5.8 / 8.8</w:t>
      </w:r>
    </w:p>
    <w:p w14:paraId="5D210994" w14:textId="77777777" w:rsidR="00DF410E" w:rsidRDefault="00CE7F43">
      <w:pPr>
        <w:ind w:left="567"/>
        <w:jc w:val="both"/>
      </w:pPr>
      <w:r>
        <w:rPr>
          <w:b/>
          <w:i/>
        </w:rPr>
        <w:t>(Soit)</w:t>
      </w:r>
    </w:p>
    <w:p w14:paraId="577969FA" w14:textId="77777777" w:rsidR="00DF410E" w:rsidRDefault="00CE7F43">
      <w:pPr>
        <w:ind w:left="567"/>
        <w:jc w:val="both"/>
      </w:pPr>
      <w:r>
        <w:rPr>
          <w:rStyle w:val="soitChar"/>
          <w:u w:val="single"/>
        </w:rPr>
        <w:t xml:space="preserve">Acier inoxydable </w:t>
      </w:r>
    </w:p>
    <w:p w14:paraId="67E37548" w14:textId="77777777" w:rsidR="00DF410E" w:rsidRDefault="00CE7F43">
      <w:pPr>
        <w:ind w:left="567"/>
        <w:jc w:val="both"/>
      </w:pPr>
      <w:r>
        <w:rPr>
          <w:rStyle w:val="soitChar"/>
        </w:rPr>
        <w:t>Classe d’acier minimale des tiges filetées :</w:t>
      </w:r>
      <w:r>
        <w:rPr>
          <w:rStyle w:val="optioncarChar"/>
        </w:rPr>
        <w:t>A2-50</w:t>
      </w:r>
      <w:r>
        <w:t xml:space="preserve"> (par défaut)</w:t>
      </w:r>
      <w:r>
        <w:rPr>
          <w:rStyle w:val="optioncarChar"/>
        </w:rPr>
        <w:t xml:space="preserve"> / A2-70 / A4-50 / A4-70</w:t>
      </w:r>
    </w:p>
    <w:p w14:paraId="1C1746B7" w14:textId="77777777" w:rsidR="00DF410E" w:rsidRDefault="00DF410E">
      <w:pPr>
        <w:ind w:left="567"/>
        <w:jc w:val="both"/>
      </w:pPr>
    </w:p>
    <w:p w14:paraId="4400A21D" w14:textId="77777777" w:rsidR="00DF410E" w:rsidRDefault="00CE7F43">
      <w:pPr>
        <w:jc w:val="both"/>
      </w:pPr>
      <w:r>
        <w:t>Diamètre des tiges filetées :</w:t>
      </w:r>
      <w:r>
        <w:rPr>
          <w:rStyle w:val="optioncarChar"/>
        </w:rPr>
        <w:t xml:space="preserve"> M8 / M10 / M12 / M16 / voir plans </w:t>
      </w:r>
      <w:r>
        <w:t>(par défaut)</w:t>
      </w:r>
      <w:r>
        <w:rPr>
          <w:rStyle w:val="optioncarChar"/>
        </w:rPr>
        <w:t xml:space="preserve"> / ***</w:t>
      </w:r>
    </w:p>
    <w:p w14:paraId="6757FEE3" w14:textId="77777777" w:rsidR="00DF410E" w:rsidRDefault="00CE7F43">
      <w:pPr>
        <w:jc w:val="both"/>
      </w:pPr>
      <w:r>
        <w:t>Sauf indication contraire au cahier spécial des charges ou dans les prescriptions du fabricant, le diamètre du percement dans le matériau support est déduit du tableau suivant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DF410E" w14:paraId="6BA23A61" w14:textId="77777777">
        <w:tc>
          <w:tcPr>
            <w:tcW w:w="2820" w:type="dxa"/>
            <w:noWrap/>
          </w:tcPr>
          <w:p w14:paraId="35DA27D4" w14:textId="77777777" w:rsidR="00DF410E" w:rsidRDefault="00CE7F43">
            <w:r>
              <w:t>Diamètre des tiges filetées</w:t>
            </w:r>
          </w:p>
        </w:tc>
        <w:tc>
          <w:tcPr>
            <w:tcW w:w="885" w:type="dxa"/>
            <w:noWrap/>
          </w:tcPr>
          <w:p w14:paraId="0D36AFEF" w14:textId="77777777" w:rsidR="00DF410E" w:rsidRDefault="00CE7F43">
            <w:r>
              <w:t>M8</w:t>
            </w:r>
          </w:p>
        </w:tc>
        <w:tc>
          <w:tcPr>
            <w:tcW w:w="885" w:type="dxa"/>
            <w:noWrap/>
          </w:tcPr>
          <w:p w14:paraId="060814FB" w14:textId="77777777" w:rsidR="00DF410E" w:rsidRDefault="00CE7F43">
            <w:r>
              <w:t>M10</w:t>
            </w:r>
          </w:p>
        </w:tc>
        <w:tc>
          <w:tcPr>
            <w:tcW w:w="885" w:type="dxa"/>
            <w:noWrap/>
          </w:tcPr>
          <w:p w14:paraId="7F199AA6" w14:textId="77777777" w:rsidR="00DF410E" w:rsidRDefault="00CE7F43">
            <w:r>
              <w:t>M12</w:t>
            </w:r>
          </w:p>
        </w:tc>
        <w:tc>
          <w:tcPr>
            <w:tcW w:w="885" w:type="dxa"/>
            <w:noWrap/>
          </w:tcPr>
          <w:p w14:paraId="144EDEB9" w14:textId="77777777" w:rsidR="00DF410E" w:rsidRDefault="00CE7F43">
            <w:r>
              <w:t>M16</w:t>
            </w:r>
          </w:p>
        </w:tc>
        <w:tc>
          <w:tcPr>
            <w:tcW w:w="885" w:type="dxa"/>
            <w:noWrap/>
          </w:tcPr>
          <w:p w14:paraId="30C321F8" w14:textId="77777777" w:rsidR="00DF410E" w:rsidRDefault="00CE7F43">
            <w:r>
              <w:t>M20</w:t>
            </w:r>
          </w:p>
        </w:tc>
        <w:tc>
          <w:tcPr>
            <w:tcW w:w="885" w:type="dxa"/>
            <w:noWrap/>
          </w:tcPr>
          <w:p w14:paraId="48FAFADD" w14:textId="77777777" w:rsidR="00DF410E" w:rsidRDefault="00CE7F43">
            <w:r>
              <w:t>M24</w:t>
            </w:r>
          </w:p>
        </w:tc>
        <w:tc>
          <w:tcPr>
            <w:tcW w:w="885" w:type="dxa"/>
            <w:noWrap/>
          </w:tcPr>
          <w:p w14:paraId="5F76CCF8" w14:textId="77777777" w:rsidR="00DF410E" w:rsidRDefault="00CE7F43">
            <w:r>
              <w:t>M27</w:t>
            </w:r>
          </w:p>
        </w:tc>
      </w:tr>
      <w:tr w:rsidR="00DF410E" w14:paraId="45E7751E" w14:textId="77777777">
        <w:tc>
          <w:tcPr>
            <w:tcW w:w="2820" w:type="dxa"/>
            <w:noWrap/>
          </w:tcPr>
          <w:p w14:paraId="49A697D8" w14:textId="77777777" w:rsidR="00DF410E" w:rsidRDefault="00CE7F43">
            <w:r>
              <w:t>Diamètre du percement</w:t>
            </w:r>
          </w:p>
        </w:tc>
        <w:tc>
          <w:tcPr>
            <w:tcW w:w="885" w:type="dxa"/>
            <w:noWrap/>
          </w:tcPr>
          <w:p w14:paraId="171C1602" w14:textId="77777777" w:rsidR="00DF410E" w:rsidRDefault="00CE7F43">
            <w:r>
              <w:t>10</w:t>
            </w:r>
          </w:p>
        </w:tc>
        <w:tc>
          <w:tcPr>
            <w:tcW w:w="885" w:type="dxa"/>
            <w:noWrap/>
          </w:tcPr>
          <w:p w14:paraId="2B850AB8" w14:textId="77777777" w:rsidR="00DF410E" w:rsidRDefault="00CE7F43">
            <w:r>
              <w:t>12</w:t>
            </w:r>
          </w:p>
        </w:tc>
        <w:tc>
          <w:tcPr>
            <w:tcW w:w="885" w:type="dxa"/>
            <w:noWrap/>
          </w:tcPr>
          <w:p w14:paraId="29F8ECF7" w14:textId="77777777" w:rsidR="00DF410E" w:rsidRDefault="00CE7F43">
            <w:r>
              <w:t>14</w:t>
            </w:r>
          </w:p>
        </w:tc>
        <w:tc>
          <w:tcPr>
            <w:tcW w:w="885" w:type="dxa"/>
            <w:noWrap/>
          </w:tcPr>
          <w:p w14:paraId="4DA79B71" w14:textId="77777777" w:rsidR="00DF410E" w:rsidRDefault="00CE7F43">
            <w:r>
              <w:t>18</w:t>
            </w:r>
          </w:p>
        </w:tc>
        <w:tc>
          <w:tcPr>
            <w:tcW w:w="885" w:type="dxa"/>
            <w:noWrap/>
          </w:tcPr>
          <w:p w14:paraId="3203247B" w14:textId="77777777" w:rsidR="00DF410E" w:rsidRDefault="00CE7F43">
            <w:r>
              <w:t>24</w:t>
            </w:r>
          </w:p>
        </w:tc>
        <w:tc>
          <w:tcPr>
            <w:tcW w:w="885" w:type="dxa"/>
            <w:noWrap/>
          </w:tcPr>
          <w:p w14:paraId="3D9B41C6" w14:textId="77777777" w:rsidR="00DF410E" w:rsidRDefault="00CE7F43">
            <w:r>
              <w:t>28</w:t>
            </w:r>
          </w:p>
        </w:tc>
        <w:tc>
          <w:tcPr>
            <w:tcW w:w="885" w:type="dxa"/>
            <w:noWrap/>
          </w:tcPr>
          <w:p w14:paraId="08372086" w14:textId="77777777" w:rsidR="00DF410E" w:rsidRDefault="00CE7F43">
            <w:r>
              <w:t>30</w:t>
            </w:r>
          </w:p>
        </w:tc>
      </w:tr>
    </w:tbl>
    <w:p w14:paraId="5B84E1D4" w14:textId="77777777" w:rsidR="00DF410E" w:rsidRDefault="00DF410E"/>
    <w:p w14:paraId="13D86B5E" w14:textId="77777777" w:rsidR="00DF410E" w:rsidRDefault="00CE7F43">
      <w:pPr>
        <w:jc w:val="both"/>
      </w:pPr>
      <w:r>
        <w:t>Pour des diamètres de tiges filetées différents de ceux renseignés ci-dessus, la règle suivante peut être appliquée, en fonction du diamètre « d » des tiges filetées :</w:t>
      </w:r>
    </w:p>
    <w:p w14:paraId="709BB775" w14:textId="77777777" w:rsidR="00DF410E" w:rsidRDefault="00CE7F43">
      <w:pPr>
        <w:pStyle w:val="Author-eListParagraph"/>
        <w:numPr>
          <w:ilvl w:val="0"/>
          <w:numId w:val="1076"/>
        </w:numPr>
      </w:pPr>
      <w:r>
        <w:t>d ≤ 16 mm à percement de diamètre d + 2 mm ;</w:t>
      </w:r>
    </w:p>
    <w:p w14:paraId="20D9FA31" w14:textId="77777777" w:rsidR="00DF410E" w:rsidRDefault="00CE7F43">
      <w:pPr>
        <w:pStyle w:val="Author-eListParagraph"/>
        <w:numPr>
          <w:ilvl w:val="0"/>
          <w:numId w:val="1076"/>
        </w:numPr>
      </w:pPr>
      <w:r>
        <w:t>d &gt; 16 mm à percement de diamètre d + (3 ou 4) mm.</w:t>
      </w:r>
      <w:r>
        <w:br/>
      </w:r>
    </w:p>
    <w:p w14:paraId="655FF8D9" w14:textId="77777777" w:rsidR="00DF410E" w:rsidRDefault="00CE7F43">
      <w:pPr>
        <w:jc w:val="both"/>
      </w:pPr>
      <w:r>
        <w:t xml:space="preserve">Matériau du support : </w:t>
      </w:r>
      <w:r>
        <w:rPr>
          <w:rStyle w:val="optioncarChar"/>
        </w:rPr>
        <w:t>béton non-fissuré / béton fissuré / maçonneries pleines / maçonneries creuses</w:t>
      </w:r>
      <w:r>
        <w:t> </w:t>
      </w:r>
    </w:p>
    <w:p w14:paraId="2DDA8EE0" w14:textId="77777777" w:rsidR="00DF410E" w:rsidRDefault="00CE7F43">
      <w:pPr>
        <w:jc w:val="both"/>
      </w:pPr>
      <w:r>
        <w:t>Lorsque le matériau de support est creux, l’utilisation d’un tamis conforme aux exigences du fabricant de l’ancrage est nécessaire.</w:t>
      </w:r>
    </w:p>
    <w:p w14:paraId="34A7EC63" w14:textId="77777777" w:rsidR="00DF410E" w:rsidRDefault="00CE7F43">
      <w:pPr>
        <w:pStyle w:val="pheading"/>
      </w:pPr>
      <w:r>
        <w:t>EXÉCUTION / MISE EN ŒUVRE</w:t>
      </w:r>
    </w:p>
    <w:p w14:paraId="2924509B" w14:textId="77777777" w:rsidR="00DF410E" w:rsidRDefault="00CE7F43">
      <w:pPr>
        <w:pStyle w:val="pheading"/>
      </w:pPr>
      <w:r>
        <w:t>- Prescriptions générales</w:t>
      </w:r>
    </w:p>
    <w:p w14:paraId="71351E73" w14:textId="77777777" w:rsidR="00DF410E" w:rsidRDefault="00CE7F43">
      <w:pPr>
        <w:jc w:val="both"/>
      </w:pPr>
      <w:r>
        <w:t>En toute circonstance, les consignes d’utilisation du fournisseur sont respectées.</w:t>
      </w:r>
    </w:p>
    <w:p w14:paraId="1DDE214F" w14:textId="77777777" w:rsidR="00DF410E" w:rsidRDefault="00CE7F43">
      <w:pPr>
        <w:jc w:val="both"/>
      </w:pPr>
      <w:r>
        <w:t>Le fournisseur prescrit la plage de température autorisée lors de l’installation, à la fois pour l’air ambiant et pour la résine, la durée limite d’installation et le temps d’attente avant l’application de charge.</w:t>
      </w:r>
    </w:p>
    <w:p w14:paraId="6DB08D2B" w14:textId="77777777" w:rsidR="00DF410E" w:rsidRDefault="00CE7F43">
      <w:pPr>
        <w:jc w:val="both"/>
      </w:pPr>
      <w:r>
        <w:t>Pour atteindre la capacité portante indiquée par le fournisseur, il est nécessaire de bien dépoussiérer le trou avant d’y insérer la résine et d’y mettre la quantité recommandée de résine. </w:t>
      </w:r>
    </w:p>
    <w:p w14:paraId="292490AD" w14:textId="77777777" w:rsidR="00DF410E" w:rsidRDefault="00CE7F43">
      <w:pPr>
        <w:jc w:val="both"/>
      </w:pPr>
      <w:r>
        <w:t xml:space="preserve">Profondeur effective d’ancrage : </w:t>
      </w:r>
      <w:r>
        <w:rPr>
          <w:rStyle w:val="optioncarChar"/>
        </w:rPr>
        <w:t xml:space="preserve">voir plan </w:t>
      </w:r>
      <w:r>
        <w:t xml:space="preserve">(par défaut) </w:t>
      </w:r>
      <w:r>
        <w:rPr>
          <w:rStyle w:val="optioncarChar"/>
        </w:rPr>
        <w:t>/ ***</w:t>
      </w:r>
    </w:p>
    <w:p w14:paraId="7ACEFF9B" w14:textId="77777777" w:rsidR="00DF410E" w:rsidRDefault="00CE7F43">
      <w:pPr>
        <w:jc w:val="both"/>
      </w:pPr>
      <w:r>
        <w:t>La profondeur effective d’ancrage doit être dans la plage autorisée par le fournisseur.</w:t>
      </w:r>
    </w:p>
    <w:p w14:paraId="7230D770" w14:textId="77777777" w:rsidR="00DF410E" w:rsidRDefault="00CE7F43">
      <w:pPr>
        <w:jc w:val="both"/>
      </w:pPr>
      <w:r>
        <w:t>Une fois les ancrages réalisés, tous les déchets contenant de la résine sont considérés comme étant des déchets dangereux et doivent être évacués comme tels. </w:t>
      </w:r>
    </w:p>
    <w:p w14:paraId="56C5E6E3" w14:textId="77777777" w:rsidR="00DF410E" w:rsidRDefault="00CE7F43">
      <w:pPr>
        <w:pStyle w:val="pheading"/>
      </w:pPr>
      <w:r>
        <w:t>MESURAGE</w:t>
      </w:r>
    </w:p>
    <w:p w14:paraId="01376E68" w14:textId="77777777" w:rsidR="00DF410E" w:rsidRDefault="00CE7F43">
      <w:pPr>
        <w:pStyle w:val="pheading"/>
      </w:pPr>
      <w:r>
        <w:t>- unité de mesure:</w:t>
      </w:r>
    </w:p>
    <w:p w14:paraId="46933A63" w14:textId="77777777" w:rsidR="00DF410E" w:rsidRDefault="00CE7F43">
      <w:r>
        <w:rPr>
          <w:rStyle w:val="optioncarChar"/>
        </w:rPr>
        <w:t>- </w:t>
      </w:r>
      <w:r>
        <w:t>(par défaut)</w:t>
      </w:r>
      <w:r>
        <w:rPr>
          <w:rStyle w:val="optioncarChar"/>
        </w:rPr>
        <w:t> / pc</w:t>
      </w:r>
    </w:p>
    <w:p w14:paraId="1933C10F" w14:textId="77777777" w:rsidR="00DF410E" w:rsidRDefault="00CE7F43">
      <w:r>
        <w:rPr>
          <w:b/>
          <w:i/>
        </w:rPr>
        <w:t>(Soit par défaut)</w:t>
      </w:r>
    </w:p>
    <w:p w14:paraId="71821A43" w14:textId="77777777" w:rsidR="00DF410E" w:rsidRDefault="00CE7F43">
      <w:r>
        <w:rPr>
          <w:rStyle w:val="soitChar"/>
        </w:rPr>
        <w:t>1.     –</w:t>
      </w:r>
    </w:p>
    <w:p w14:paraId="273676ED" w14:textId="77777777" w:rsidR="00DF410E" w:rsidRDefault="00CE7F43">
      <w:r>
        <w:rPr>
          <w:b/>
          <w:i/>
        </w:rPr>
        <w:t>(Soit)</w:t>
      </w:r>
    </w:p>
    <w:p w14:paraId="6F7D1BDD" w14:textId="77777777" w:rsidR="00DF410E" w:rsidRDefault="00CE7F43">
      <w:r>
        <w:rPr>
          <w:rStyle w:val="soitChar"/>
        </w:rPr>
        <w:t>2.3.  pc</w:t>
      </w:r>
    </w:p>
    <w:p w14:paraId="2DA2EF36" w14:textId="77777777" w:rsidR="00DF410E" w:rsidRDefault="00CE7F43">
      <w:pPr>
        <w:pStyle w:val="pheading"/>
      </w:pPr>
      <w:r>
        <w:t>- code de mesurage:</w:t>
      </w:r>
    </w:p>
    <w:p w14:paraId="5EBFC341" w14:textId="77777777" w:rsidR="00DF410E" w:rsidRDefault="00CE7F43">
      <w:pPr>
        <w:jc w:val="both"/>
      </w:pPr>
      <w:r>
        <w:rPr>
          <w:rStyle w:val="optioncarChar"/>
        </w:rPr>
        <w:t>Compris</w:t>
      </w:r>
      <w:r>
        <w:t> (par défaut)</w:t>
      </w:r>
      <w:r>
        <w:rPr>
          <w:rStyle w:val="optioncarChar"/>
        </w:rPr>
        <w:t> / Quantité nette</w:t>
      </w:r>
    </w:p>
    <w:p w14:paraId="7DB2903E" w14:textId="77777777" w:rsidR="00DF410E" w:rsidRDefault="00CE7F43">
      <w:pPr>
        <w:jc w:val="both"/>
      </w:pPr>
      <w:r>
        <w:rPr>
          <w:b/>
          <w:i/>
        </w:rPr>
        <w:t>(Soit par défaut)</w:t>
      </w:r>
    </w:p>
    <w:p w14:paraId="46548F7D" w14:textId="77777777" w:rsidR="00DF410E" w:rsidRDefault="00CE7F43">
      <w:pPr>
        <w:jc w:val="both"/>
      </w:pPr>
      <w:r>
        <w:rPr>
          <w:rStyle w:val="soitChar"/>
        </w:rPr>
        <w:t>1.     </w:t>
      </w:r>
      <w:r>
        <w:rPr>
          <w:rStyle w:val="soitChar"/>
          <w:u w:val="single"/>
        </w:rPr>
        <w:t>Compris</w:t>
      </w:r>
      <w:r>
        <w:rPr>
          <w:rStyle w:val="soitChar"/>
        </w:rPr>
        <w:t> dans l’article de référence</w:t>
      </w:r>
      <w:r>
        <w:rPr>
          <w:rStyle w:val="optioncarChar"/>
        </w:rPr>
        <w:t> ***</w:t>
      </w:r>
    </w:p>
    <w:p w14:paraId="351176B8" w14:textId="77777777" w:rsidR="00DF410E" w:rsidRDefault="00CE7F43">
      <w:pPr>
        <w:jc w:val="both"/>
      </w:pPr>
      <w:r>
        <w:rPr>
          <w:b/>
          <w:i/>
        </w:rPr>
        <w:t>(Soit)</w:t>
      </w:r>
    </w:p>
    <w:p w14:paraId="7A042F2E" w14:textId="77777777" w:rsidR="00DF410E" w:rsidRDefault="00CE7F43">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0D92FCB6" w14:textId="77777777" w:rsidR="00DF410E" w:rsidRDefault="00CE7F43">
      <w:pPr>
        <w:pStyle w:val="pheading"/>
      </w:pPr>
      <w:r>
        <w:t>- nature du marché:</w:t>
      </w:r>
    </w:p>
    <w:p w14:paraId="5AF5957A" w14:textId="77777777" w:rsidR="00DF410E" w:rsidRDefault="00CE7F43">
      <w:r>
        <w:rPr>
          <w:rStyle w:val="optioncarChar"/>
        </w:rPr>
        <w:t>PM</w:t>
      </w:r>
      <w:r>
        <w:t> (par défaut)</w:t>
      </w:r>
      <w:r>
        <w:rPr>
          <w:rStyle w:val="optioncarChar"/>
        </w:rPr>
        <w:t> / QF / QP</w:t>
      </w:r>
    </w:p>
    <w:p w14:paraId="1A744E7A" w14:textId="77777777" w:rsidR="00DF410E" w:rsidRDefault="00CE7F43">
      <w:r>
        <w:rPr>
          <w:b/>
          <w:i/>
        </w:rPr>
        <w:t>(Soit par défaut)</w:t>
      </w:r>
    </w:p>
    <w:p w14:paraId="7AF35A09" w14:textId="77777777" w:rsidR="00DF410E" w:rsidRDefault="00CE7F43">
      <w:r>
        <w:rPr>
          <w:rStyle w:val="soitChar"/>
        </w:rPr>
        <w:t>1.     PM</w:t>
      </w:r>
    </w:p>
    <w:p w14:paraId="64D2028E" w14:textId="77777777" w:rsidR="00DF410E" w:rsidRDefault="00CE7F43">
      <w:r>
        <w:rPr>
          <w:b/>
          <w:i/>
        </w:rPr>
        <w:t>(Soit)</w:t>
      </w:r>
    </w:p>
    <w:p w14:paraId="67B8E204" w14:textId="77777777" w:rsidR="00DF410E" w:rsidRDefault="00CE7F43">
      <w:r>
        <w:rPr>
          <w:rStyle w:val="soitChar"/>
        </w:rPr>
        <w:t>2.     QF</w:t>
      </w:r>
    </w:p>
    <w:p w14:paraId="3AC3AAE4" w14:textId="77777777" w:rsidR="00DF410E" w:rsidRDefault="00CE7F43">
      <w:r>
        <w:rPr>
          <w:b/>
          <w:i/>
        </w:rPr>
        <w:t>(Soit)</w:t>
      </w:r>
    </w:p>
    <w:p w14:paraId="7F7FB4D5" w14:textId="77777777" w:rsidR="00DF410E" w:rsidRDefault="00CE7F43">
      <w:r>
        <w:rPr>
          <w:rStyle w:val="soitChar"/>
        </w:rPr>
        <w:t>3.     QP</w:t>
      </w:r>
    </w:p>
    <w:p w14:paraId="61493E92" w14:textId="77777777" w:rsidR="00DF410E" w:rsidRDefault="00CE7F43">
      <w:pPr>
        <w:pStyle w:val="Author-eSectionHeading3"/>
      </w:pPr>
      <w:bookmarkStart w:id="1769" w:name="_Toc178838834"/>
      <w:r>
        <w:t>24.5 (titre réservé) CCTB 01.04</w:t>
      </w:r>
      <w:bookmarkEnd w:id="1769"/>
    </w:p>
    <w:p w14:paraId="51F25628" w14:textId="77777777" w:rsidR="00DF410E" w:rsidRDefault="00CE7F43">
      <w:pPr>
        <w:pStyle w:val="Author-eSectionHeading3"/>
      </w:pPr>
      <w:bookmarkStart w:id="1770" w:name="_Toc178838835"/>
      <w:r>
        <w:t>24.6 (titre réservé) CCTB 01.02</w:t>
      </w:r>
      <w:bookmarkEnd w:id="1770"/>
    </w:p>
    <w:p w14:paraId="58E024AE" w14:textId="77777777" w:rsidR="00DF410E" w:rsidRDefault="00CE7F43">
      <w:pPr>
        <w:pStyle w:val="Author-eSectionHeading3"/>
      </w:pPr>
      <w:bookmarkStart w:id="1771" w:name="_Toc178838836"/>
      <w:r>
        <w:t>24.7 Traitements, protection et finition des bois CCTB 01.11</w:t>
      </w:r>
      <w:bookmarkEnd w:id="1771"/>
    </w:p>
    <w:p w14:paraId="29EC137C" w14:textId="77777777" w:rsidR="00DF410E" w:rsidRDefault="00CE7F43">
      <w:pPr>
        <w:pStyle w:val="pheading"/>
      </w:pPr>
      <w:bookmarkStart w:id="1772" w:name="600"/>
      <w:bookmarkEnd w:id="1772"/>
      <w:r>
        <w:t>DESCRIPTION</w:t>
      </w:r>
    </w:p>
    <w:p w14:paraId="60B44194" w14:textId="77777777" w:rsidR="00DF410E" w:rsidRDefault="00CE7F43">
      <w:pPr>
        <w:pStyle w:val="pheading"/>
      </w:pPr>
      <w:r>
        <w:t>- Définition / Comprend</w:t>
      </w:r>
    </w:p>
    <w:p w14:paraId="7E44BA2E" w14:textId="77777777" w:rsidR="00DF410E" w:rsidRDefault="00CE7F43">
      <w:r>
        <w:t xml:space="preserve">Renvoi au § </w:t>
      </w:r>
      <w:hyperlink r:id="rId344" w:history="1" w:docLocation="632">
        <w:r>
          <w:t>83.2 Subjectiles en bois et dérivés du bois</w:t>
        </w:r>
      </w:hyperlink>
    </w:p>
    <w:p w14:paraId="2DA77ABC" w14:textId="77777777" w:rsidR="00DF410E" w:rsidRDefault="00CE7F43">
      <w:pPr>
        <w:pStyle w:val="pheading"/>
      </w:pPr>
      <w:r>
        <w:t>MATÉRIAUX</w:t>
      </w:r>
    </w:p>
    <w:p w14:paraId="0D1C5A3D" w14:textId="77777777" w:rsidR="00DF410E" w:rsidRDefault="00CE7F43">
      <w:pPr>
        <w:jc w:val="both"/>
      </w:pPr>
      <w:r>
        <w:rPr>
          <w:b/>
        </w:rPr>
        <w:t>Préservation du bois</w:t>
      </w:r>
    </w:p>
    <w:p w14:paraId="13BE84C5" w14:textId="77777777" w:rsidR="00DF410E" w:rsidRDefault="00CE7F43">
      <w:pPr>
        <w:jc w:val="both"/>
      </w:pPr>
      <w:r>
        <w:t>Les bois de structure utilisés subissent préalablement un traitement fongique et insecticide incolore selon un procédé A3 de la [STS 04 série] au moyen d’un produit homologué par l’Association belge pour la protection du bois (ABPB), dans une station de préservation agréée.</w:t>
      </w:r>
    </w:p>
    <w:p w14:paraId="0EF82C4C" w14:textId="77777777" w:rsidR="00DF410E" w:rsidRDefault="00CE7F43">
      <w:pPr>
        <w:jc w:val="both"/>
      </w:pPr>
      <w:r>
        <w:t>Le bois traité est accompagné d’un certificat émanant de l’organisme accrédité ou notifié.</w:t>
      </w:r>
    </w:p>
    <w:p w14:paraId="61C811F6" w14:textId="77777777" w:rsidR="00DF410E" w:rsidRDefault="00CE7F43">
      <w:pPr>
        <w:jc w:val="both"/>
      </w:pPr>
      <w:r>
        <w:t>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travail.</w:t>
      </w:r>
    </w:p>
    <w:p w14:paraId="5365E69A" w14:textId="77777777" w:rsidR="00DF410E" w:rsidRDefault="00CE7F43">
      <w:pPr>
        <w:pStyle w:val="Author-eSectionHeading3"/>
      </w:pPr>
      <w:bookmarkStart w:id="1773" w:name="_Toc178838837"/>
      <w:r>
        <w:t>24.8 Superstructures en bois - Rénovation CCTB 01.02</w:t>
      </w:r>
      <w:bookmarkEnd w:id="1773"/>
    </w:p>
    <w:p w14:paraId="074C92CB" w14:textId="77777777" w:rsidR="00DF410E" w:rsidRDefault="00CE7F43">
      <w:pPr>
        <w:pStyle w:val="Author-eSectionHeading4"/>
      </w:pPr>
      <w:bookmarkStart w:id="1774" w:name="_Toc178838838"/>
      <w:r>
        <w:t>24.81 Etudes / essais préliminaires CCTB 01.04</w:t>
      </w:r>
      <w:bookmarkEnd w:id="1774"/>
    </w:p>
    <w:p w14:paraId="1FA817FE" w14:textId="77777777" w:rsidR="00DF410E" w:rsidRDefault="00CE7F43">
      <w:pPr>
        <w:pStyle w:val="pheading"/>
      </w:pPr>
      <w:r>
        <w:t>DESCRIPTION</w:t>
      </w:r>
    </w:p>
    <w:p w14:paraId="0EAD1F21" w14:textId="77777777" w:rsidR="00DF410E" w:rsidRDefault="00CE7F43">
      <w:pPr>
        <w:pStyle w:val="pheading"/>
      </w:pPr>
      <w:r>
        <w:t>- Définition / Comprend</w:t>
      </w:r>
    </w:p>
    <w:p w14:paraId="228FDCC7" w14:textId="77777777" w:rsidR="00DF410E" w:rsidRDefault="00CE7F43">
      <w:r>
        <w:t xml:space="preserve">Renvoi au § </w:t>
      </w:r>
      <w:hyperlink r:id="rId345" w:history="1" w:docLocation="85">
        <w:r>
          <w:t>03 Études, essais et contrôles en cours de chantier</w:t>
        </w:r>
      </w:hyperlink>
    </w:p>
    <w:p w14:paraId="04158315" w14:textId="77777777" w:rsidR="00DF410E" w:rsidRDefault="00CE7F43">
      <w:pPr>
        <w:pStyle w:val="Author-eSectionHeading4"/>
      </w:pPr>
      <w:bookmarkStart w:id="1775" w:name="_Toc178838839"/>
      <w:r>
        <w:t>24.82 Dépose / démontage / percement / déconstruction-démolition CCTB 01.02</w:t>
      </w:r>
      <w:bookmarkEnd w:id="1775"/>
    </w:p>
    <w:p w14:paraId="4852665D" w14:textId="77777777" w:rsidR="00DF410E" w:rsidRDefault="00CE7F43">
      <w:pPr>
        <w:pStyle w:val="Author-eSectionHeading5"/>
      </w:pPr>
      <w:bookmarkStart w:id="1776" w:name="_Toc178838840"/>
      <w:r>
        <w:t>24.82.1 Travaux de stabilisation CCTB 01.04</w:t>
      </w:r>
      <w:bookmarkEnd w:id="1776"/>
    </w:p>
    <w:p w14:paraId="1C2DDE4C" w14:textId="77777777" w:rsidR="00DF410E" w:rsidRDefault="00CE7F43">
      <w:pPr>
        <w:pStyle w:val="pheading"/>
      </w:pPr>
      <w:r>
        <w:t>DESCRIPTION</w:t>
      </w:r>
    </w:p>
    <w:p w14:paraId="26B5BB4A" w14:textId="77777777" w:rsidR="00DF410E" w:rsidRDefault="00CE7F43">
      <w:pPr>
        <w:pStyle w:val="pheading"/>
      </w:pPr>
      <w:r>
        <w:t>- Définition / Comprend</w:t>
      </w:r>
    </w:p>
    <w:p w14:paraId="24DEC9C5" w14:textId="77777777" w:rsidR="00DF410E" w:rsidRDefault="00CE7F43">
      <w:r>
        <w:t>Renvoi à </w:t>
      </w:r>
      <w:hyperlink r:id="rId346" w:history="1" w:docLocation="113">
        <w:r>
          <w:t>06.11 Stabilisations de la structure</w:t>
        </w:r>
      </w:hyperlink>
    </w:p>
    <w:p w14:paraId="11EF53C6" w14:textId="77777777" w:rsidR="00DF410E" w:rsidRDefault="00CE7F43">
      <w:pPr>
        <w:pStyle w:val="Author-eSectionHeading5"/>
      </w:pPr>
      <w:bookmarkStart w:id="1777" w:name="_Toc178838841"/>
      <w:r>
        <w:t>24.82.2 Dépose d'éléments (pour repose ultérieure) CCTB 01.04</w:t>
      </w:r>
      <w:bookmarkEnd w:id="1777"/>
    </w:p>
    <w:p w14:paraId="256D982A" w14:textId="77777777" w:rsidR="00DF410E" w:rsidRDefault="00CE7F43">
      <w:pPr>
        <w:pStyle w:val="pheading"/>
      </w:pPr>
      <w:r>
        <w:t>DESCRIPTION</w:t>
      </w:r>
    </w:p>
    <w:p w14:paraId="787356CD" w14:textId="77777777" w:rsidR="00DF410E" w:rsidRDefault="00CE7F43">
      <w:pPr>
        <w:pStyle w:val="pheading"/>
      </w:pPr>
      <w:r>
        <w:t>- Définition / Comprend</w:t>
      </w:r>
    </w:p>
    <w:p w14:paraId="7BD5E49D" w14:textId="77777777" w:rsidR="00DF410E" w:rsidRDefault="00CE7F43">
      <w:r>
        <w:t xml:space="preserve">Renvoi au § </w:t>
      </w:r>
      <w:hyperlink r:id="rId347" w:history="1" w:docLocation="435">
        <w:r>
          <w:t>06.45 Démontages d'éléments de fermeture et de finitions extérieures</w:t>
        </w:r>
      </w:hyperlink>
    </w:p>
    <w:p w14:paraId="57B05BD6" w14:textId="77777777" w:rsidR="00DF410E" w:rsidRDefault="00CE7F43">
      <w:pPr>
        <w:pStyle w:val="Author-eSectionHeading5"/>
      </w:pPr>
      <w:bookmarkStart w:id="1778" w:name="_Toc178838842"/>
      <w:r>
        <w:t>24.82.3 Démontage d'éléments (pour récupération) CCTB 01.04</w:t>
      </w:r>
      <w:bookmarkEnd w:id="1778"/>
    </w:p>
    <w:p w14:paraId="23C003E0" w14:textId="77777777" w:rsidR="00DF410E" w:rsidRDefault="00CE7F43">
      <w:pPr>
        <w:pStyle w:val="pheading"/>
      </w:pPr>
      <w:r>
        <w:t>DESCRIPTION</w:t>
      </w:r>
    </w:p>
    <w:p w14:paraId="186167C4" w14:textId="77777777" w:rsidR="00DF410E" w:rsidRDefault="00CE7F43">
      <w:pPr>
        <w:pStyle w:val="pheading"/>
      </w:pPr>
      <w:r>
        <w:t>- Définition / Comprend</w:t>
      </w:r>
    </w:p>
    <w:p w14:paraId="6BD6974D" w14:textId="77777777" w:rsidR="00DF410E" w:rsidRDefault="00CE7F43">
      <w:r>
        <w:t xml:space="preserve">Renvoi au § </w:t>
      </w:r>
      <w:hyperlink r:id="rId348" w:history="1" w:docLocation="633">
        <w:r>
          <w:t>06.35 Démontages d'éléments de fermetures et de finitions extérieures</w:t>
        </w:r>
      </w:hyperlink>
    </w:p>
    <w:p w14:paraId="227761A8" w14:textId="77777777" w:rsidR="00DF410E" w:rsidRDefault="00CE7F43">
      <w:pPr>
        <w:pStyle w:val="Author-eSectionHeading5"/>
      </w:pPr>
      <w:bookmarkStart w:id="1779" w:name="_Toc178838843"/>
      <w:r>
        <w:t>24.82.4 Dégagement d'éléments spécifiques CCTB 01.02</w:t>
      </w:r>
      <w:bookmarkEnd w:id="1779"/>
    </w:p>
    <w:p w14:paraId="58EA2719" w14:textId="77777777" w:rsidR="00DF410E" w:rsidRDefault="00CE7F43">
      <w:pPr>
        <w:pStyle w:val="Author-eSectionHeading5"/>
      </w:pPr>
      <w:bookmarkStart w:id="1780" w:name="_Toc178838844"/>
      <w:r>
        <w:t>24.82.5 Décapage / déjointoiement (pour évacuation) CCTB 01.04</w:t>
      </w:r>
      <w:bookmarkEnd w:id="1780"/>
    </w:p>
    <w:p w14:paraId="29EAC559" w14:textId="77777777" w:rsidR="00DF410E" w:rsidRDefault="00CE7F43">
      <w:pPr>
        <w:pStyle w:val="pheading"/>
      </w:pPr>
      <w:r>
        <w:t>DESCRIPTION</w:t>
      </w:r>
    </w:p>
    <w:p w14:paraId="2EA1A3F3" w14:textId="77777777" w:rsidR="00DF410E" w:rsidRDefault="00CE7F43">
      <w:pPr>
        <w:pStyle w:val="pheading"/>
      </w:pPr>
      <w:r>
        <w:t>- Définition / Comprend</w:t>
      </w:r>
    </w:p>
    <w:p w14:paraId="0A1B7919" w14:textId="77777777" w:rsidR="00DF410E" w:rsidRDefault="00CE7F43">
      <w:r>
        <w:t xml:space="preserve">Renvoi au § </w:t>
      </w:r>
      <w:hyperlink r:id="rId349" w:history="1" w:docLocation="535">
        <w:r>
          <w:t>06.7 Décapages / déjointoiements (pour évacuation)</w:t>
        </w:r>
      </w:hyperlink>
    </w:p>
    <w:p w14:paraId="5B016310"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350" w:history="1" w:docLocation="116">
        <w:r>
          <w:t>07 Déchets, matériaux et éléments réemployables</w:t>
        </w:r>
      </w:hyperlink>
      <w:r>
        <w:t>.</w:t>
      </w:r>
    </w:p>
    <w:p w14:paraId="5F423261" w14:textId="77777777" w:rsidR="00DF410E" w:rsidRDefault="00CE7F43">
      <w:pPr>
        <w:pStyle w:val="Author-eSectionHeading5"/>
      </w:pPr>
      <w:bookmarkStart w:id="1781" w:name="_Toc178838845"/>
      <w:r>
        <w:t>24.82.6 Percements / carottages CCTB 01.04</w:t>
      </w:r>
      <w:bookmarkEnd w:id="1781"/>
    </w:p>
    <w:p w14:paraId="09939DB7" w14:textId="77777777" w:rsidR="00DF410E" w:rsidRDefault="00CE7F43">
      <w:pPr>
        <w:pStyle w:val="pheading"/>
      </w:pPr>
      <w:r>
        <w:t>DESCRIPTION</w:t>
      </w:r>
    </w:p>
    <w:p w14:paraId="7F162D39" w14:textId="77777777" w:rsidR="00DF410E" w:rsidRDefault="00CE7F43">
      <w:pPr>
        <w:pStyle w:val="pheading"/>
      </w:pPr>
      <w:r>
        <w:t>- Définition / Comprend</w:t>
      </w:r>
    </w:p>
    <w:p w14:paraId="10D1E94F" w14:textId="77777777" w:rsidR="00DF410E" w:rsidRDefault="00CE7F43">
      <w:r>
        <w:t>Renvoi à </w:t>
      </w:r>
      <w:hyperlink r:id="rId351" w:history="1" w:docLocation="438">
        <w:r>
          <w:t>06.8 Percements / carottages</w:t>
        </w:r>
      </w:hyperlink>
    </w:p>
    <w:p w14:paraId="5FF02A14" w14:textId="77777777" w:rsidR="00DF410E" w:rsidRDefault="00CE7F43">
      <w:pPr>
        <w:pStyle w:val="Author-eSectionHeading5"/>
      </w:pPr>
      <w:bookmarkStart w:id="1782" w:name="_Toc178838846"/>
      <w:r>
        <w:t>24.82.7 Déconstruction/démolition (pour évacuation) CCTB 01.04</w:t>
      </w:r>
      <w:bookmarkEnd w:id="1782"/>
    </w:p>
    <w:p w14:paraId="1B8B2BD1" w14:textId="77777777" w:rsidR="00DF410E" w:rsidRDefault="00CE7F43">
      <w:pPr>
        <w:pStyle w:val="pheading"/>
      </w:pPr>
      <w:r>
        <w:t>DESCRIPTION</w:t>
      </w:r>
    </w:p>
    <w:p w14:paraId="451CAFA4" w14:textId="77777777" w:rsidR="00DF410E" w:rsidRDefault="00CE7F43">
      <w:pPr>
        <w:pStyle w:val="pheading"/>
      </w:pPr>
      <w:r>
        <w:t>- Définition / Comprend</w:t>
      </w:r>
    </w:p>
    <w:p w14:paraId="788B01B0" w14:textId="77777777" w:rsidR="00DF410E" w:rsidRDefault="00CE7F43">
      <w:r>
        <w:t xml:space="preserve">Renvoi au § </w:t>
      </w:r>
      <w:hyperlink r:id="rId352" w:history="1" w:docLocation="634">
        <w:r>
          <w:t>06.27.4 Démolitions d'éléments de structures en bois</w:t>
        </w:r>
      </w:hyperlink>
    </w:p>
    <w:p w14:paraId="07CCB859"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353" w:history="1" w:docLocation="116">
        <w:r>
          <w:t>07 Déchets, matériaux et éléments réemployables</w:t>
        </w:r>
      </w:hyperlink>
      <w:r>
        <w:t>.</w:t>
      </w:r>
    </w:p>
    <w:p w14:paraId="53C8E81A" w14:textId="77777777" w:rsidR="00DF410E" w:rsidRDefault="00CE7F43">
      <w:pPr>
        <w:pStyle w:val="Author-eSectionHeading4"/>
      </w:pPr>
      <w:bookmarkStart w:id="1783" w:name="_Toc178838847"/>
      <w:r>
        <w:t>24.83 Réparation non structurale CCTB 01.04</w:t>
      </w:r>
      <w:bookmarkEnd w:id="1783"/>
    </w:p>
    <w:p w14:paraId="5D7D0902" w14:textId="77777777" w:rsidR="00DF410E" w:rsidRDefault="00CE7F43">
      <w:pPr>
        <w:pStyle w:val="Author-eSectionHeading5"/>
      </w:pPr>
      <w:bookmarkStart w:id="1784" w:name="_Toc178838848"/>
      <w:r>
        <w:t>24.83.1 Réparation non structurale superficielle CCTB 01.04</w:t>
      </w:r>
      <w:bookmarkEnd w:id="1784"/>
    </w:p>
    <w:p w14:paraId="20CF6A38" w14:textId="77777777" w:rsidR="00DF410E" w:rsidRDefault="00CE7F43">
      <w:pPr>
        <w:pStyle w:val="Author-eSectionHeading6"/>
      </w:pPr>
      <w:bookmarkStart w:id="1785" w:name="_Toc178838849"/>
      <w:r>
        <w:t>24.83.1a Masticage de fissures CCTB 01.02</w:t>
      </w:r>
      <w:bookmarkEnd w:id="1785"/>
    </w:p>
    <w:p w14:paraId="502AADAD" w14:textId="77777777" w:rsidR="00DF410E" w:rsidRDefault="00CE7F43">
      <w:pPr>
        <w:pStyle w:val="Author-eSectionHeading6"/>
      </w:pPr>
      <w:bookmarkStart w:id="1786" w:name="_Toc178838850"/>
      <w:r>
        <w:t>24.83.1b Application de résines CCTB 01.10</w:t>
      </w:r>
      <w:bookmarkEnd w:id="1786"/>
    </w:p>
    <w:p w14:paraId="10559CB1" w14:textId="77777777" w:rsidR="00DF410E" w:rsidRDefault="00CE7F43">
      <w:pPr>
        <w:pStyle w:val="Author-eSectionHeading5"/>
      </w:pPr>
      <w:bookmarkStart w:id="1787" w:name="_Toc178838851"/>
      <w:r>
        <w:t>24.83.2 Réparation non structurale par pièce rapportée CCTB 01.10</w:t>
      </w:r>
      <w:bookmarkEnd w:id="1787"/>
    </w:p>
    <w:p w14:paraId="3F68F9C8" w14:textId="77777777" w:rsidR="00DF410E" w:rsidRDefault="00CE7F43">
      <w:pPr>
        <w:pStyle w:val="Author-eSectionHeading6"/>
      </w:pPr>
      <w:bookmarkStart w:id="1788" w:name="_Toc178838852"/>
      <w:r>
        <w:t>24.83.2a Application d'un placage CCTB 01.10</w:t>
      </w:r>
      <w:bookmarkEnd w:id="1788"/>
    </w:p>
    <w:p w14:paraId="3943526F" w14:textId="77777777" w:rsidR="00DF410E" w:rsidRDefault="00CE7F43">
      <w:pPr>
        <w:pStyle w:val="Author-eSectionHeading6"/>
      </w:pPr>
      <w:bookmarkStart w:id="1789" w:name="_Toc178838853"/>
      <w:r>
        <w:t>24.83.2b Greffage CCTB 01.10</w:t>
      </w:r>
      <w:bookmarkEnd w:id="1789"/>
    </w:p>
    <w:p w14:paraId="66BE51ED" w14:textId="77777777" w:rsidR="00DF410E" w:rsidRDefault="00CE7F43">
      <w:pPr>
        <w:pStyle w:val="Author-eSectionHeading5"/>
      </w:pPr>
      <w:bookmarkStart w:id="1790" w:name="_Toc178838854"/>
      <w:r>
        <w:t>24.83.3 Réparation non structurale par injection CCTB 01.10</w:t>
      </w:r>
      <w:bookmarkEnd w:id="1790"/>
    </w:p>
    <w:p w14:paraId="2E59D6A0" w14:textId="77777777" w:rsidR="00DF410E" w:rsidRDefault="00CE7F43">
      <w:pPr>
        <w:pStyle w:val="Author-eSectionHeading6"/>
      </w:pPr>
      <w:bookmarkStart w:id="1791" w:name="_Toc178838855"/>
      <w:r>
        <w:t>24.83.3a Réparation non structurale par injection CCTB 01.10</w:t>
      </w:r>
      <w:bookmarkEnd w:id="1791"/>
    </w:p>
    <w:p w14:paraId="478B96AF" w14:textId="77777777" w:rsidR="00DF410E" w:rsidRDefault="00CE7F43">
      <w:pPr>
        <w:pStyle w:val="Author-eSectionHeading4"/>
      </w:pPr>
      <w:bookmarkStart w:id="1792" w:name="_Toc178838856"/>
      <w:r>
        <w:t>24.84 Réparation structurale / Renforcement CCTB 01.04</w:t>
      </w:r>
      <w:bookmarkEnd w:id="1792"/>
    </w:p>
    <w:p w14:paraId="51209A41" w14:textId="77777777" w:rsidR="00DF410E" w:rsidRDefault="00CE7F43">
      <w:pPr>
        <w:pStyle w:val="Author-eSectionHeading5"/>
      </w:pPr>
      <w:bookmarkStart w:id="1793" w:name="604"/>
      <w:bookmarkStart w:id="1794" w:name="_Toc178838857"/>
      <w:bookmarkEnd w:id="1793"/>
      <w:r>
        <w:t>24.84.1 Réparation structurale / Renforcement par injection CCTB 01.04</w:t>
      </w:r>
      <w:bookmarkEnd w:id="1794"/>
    </w:p>
    <w:p w14:paraId="6ACA91EB" w14:textId="77777777" w:rsidR="00DF410E" w:rsidRDefault="00CE7F43">
      <w:pPr>
        <w:pStyle w:val="Author-eSectionHeading6"/>
      </w:pPr>
      <w:bookmarkStart w:id="1795" w:name="_Toc178838858"/>
      <w:r>
        <w:t>24.84.1a Injection à base de résines CCTB 01.04</w:t>
      </w:r>
      <w:bookmarkEnd w:id="1795"/>
    </w:p>
    <w:p w14:paraId="784CCA32" w14:textId="77777777" w:rsidR="00DF410E" w:rsidRDefault="00CE7F43">
      <w:pPr>
        <w:pStyle w:val="Author-eSectionHeading5"/>
      </w:pPr>
      <w:bookmarkStart w:id="1796" w:name="_Toc178838859"/>
      <w:r>
        <w:t>24.84.2 Réparation structurale / Renforcement par modification de la section de poutres existantes CCTB 01.02</w:t>
      </w:r>
      <w:bookmarkEnd w:id="1796"/>
    </w:p>
    <w:p w14:paraId="34F5DAAC" w14:textId="77777777" w:rsidR="00DF410E" w:rsidRDefault="00CE7F43">
      <w:pPr>
        <w:pStyle w:val="Author-eSectionHeading6"/>
      </w:pPr>
      <w:bookmarkStart w:id="1797" w:name="_Toc178838860"/>
      <w:r>
        <w:t>24.84.2a Renforcement par modification de la section de poutres existantes CCTB 01.02</w:t>
      </w:r>
      <w:bookmarkEnd w:id="1797"/>
    </w:p>
    <w:p w14:paraId="56D2D1B9" w14:textId="77777777" w:rsidR="00DF410E" w:rsidRDefault="00CE7F43">
      <w:pPr>
        <w:pStyle w:val="Author-eSectionHeading5"/>
      </w:pPr>
      <w:bookmarkStart w:id="1798" w:name="_Toc178838861"/>
      <w:r>
        <w:t>24.84.3 Réparation structurale / Renforcement par insertion et scellement de barres (brochage / agrafage / épinglage) CCTB 01.04</w:t>
      </w:r>
      <w:bookmarkEnd w:id="1798"/>
    </w:p>
    <w:p w14:paraId="70C48CDB" w14:textId="77777777" w:rsidR="00DF410E" w:rsidRDefault="00CE7F43">
      <w:pPr>
        <w:pStyle w:val="Author-eSectionHeading6"/>
      </w:pPr>
      <w:bookmarkStart w:id="1799" w:name="_Toc178838862"/>
      <w:r>
        <w:t>24.84.3a Réparation structurale / Renforcement par brochage CCTB 01.10</w:t>
      </w:r>
      <w:bookmarkEnd w:id="1799"/>
    </w:p>
    <w:p w14:paraId="3F5CA7EB" w14:textId="77777777" w:rsidR="00DF410E" w:rsidRDefault="00CE7F43">
      <w:pPr>
        <w:pStyle w:val="Author-eSectionHeading6"/>
      </w:pPr>
      <w:bookmarkStart w:id="1800" w:name="_Toc178838863"/>
      <w:r>
        <w:t>24.84.3b Réparation structurale / Renforcement par agrafage CCTB 01.04</w:t>
      </w:r>
      <w:bookmarkEnd w:id="1800"/>
    </w:p>
    <w:p w14:paraId="60A2ADAC" w14:textId="77777777" w:rsidR="00DF410E" w:rsidRDefault="00CE7F43">
      <w:pPr>
        <w:pStyle w:val="Author-eSectionHeading6"/>
      </w:pPr>
      <w:bookmarkStart w:id="1801" w:name="_Toc178838864"/>
      <w:r>
        <w:t>24.84.3c Réparation structurale / Renforcement par épinglage CCTB 01.10</w:t>
      </w:r>
      <w:bookmarkEnd w:id="1801"/>
    </w:p>
    <w:p w14:paraId="5BED8E60" w14:textId="77777777" w:rsidR="00DF410E" w:rsidRDefault="00CE7F43">
      <w:pPr>
        <w:pStyle w:val="Author-eSectionHeading6"/>
      </w:pPr>
      <w:bookmarkStart w:id="1802" w:name="_Toc178838865"/>
      <w:r>
        <w:t>24.84.3d Réparation structurale / Renforcement de nœuds de charpente CCTB 01.04</w:t>
      </w:r>
      <w:bookmarkEnd w:id="1802"/>
    </w:p>
    <w:p w14:paraId="437BF27C" w14:textId="77777777" w:rsidR="00DF410E" w:rsidRDefault="00CE7F43">
      <w:pPr>
        <w:pStyle w:val="Author-eSectionHeading5"/>
      </w:pPr>
      <w:bookmarkStart w:id="1803" w:name="_Toc178838866"/>
      <w:r>
        <w:t>24.84.4 Réparation structurale / Renforcement par fixation de plats et toiles CCTB 01.04</w:t>
      </w:r>
      <w:bookmarkEnd w:id="1803"/>
    </w:p>
    <w:p w14:paraId="05125152" w14:textId="77777777" w:rsidR="00DF410E" w:rsidRDefault="00CE7F43">
      <w:pPr>
        <w:pStyle w:val="Author-eSectionHeading6"/>
      </w:pPr>
      <w:bookmarkStart w:id="1804" w:name="_Toc178838867"/>
      <w:r>
        <w:t>24.84.4a Ajout d'armatures collées en acier CCTB 01.02</w:t>
      </w:r>
      <w:bookmarkEnd w:id="1804"/>
    </w:p>
    <w:p w14:paraId="2AC67B33" w14:textId="77777777" w:rsidR="00DF410E" w:rsidRDefault="00CE7F43">
      <w:pPr>
        <w:pStyle w:val="Author-eSectionHeading6"/>
      </w:pPr>
      <w:bookmarkStart w:id="1805" w:name="_Toc178838868"/>
      <w:r>
        <w:t>24.84.4b Ajout d'armatures collées en fibre de carbone CCTB 01.02</w:t>
      </w:r>
      <w:bookmarkEnd w:id="1805"/>
    </w:p>
    <w:p w14:paraId="1B712726" w14:textId="77777777" w:rsidR="00DF410E" w:rsidRDefault="00CE7F43">
      <w:pPr>
        <w:pStyle w:val="Author-eSectionHeading6"/>
      </w:pPr>
      <w:bookmarkStart w:id="1806" w:name="_Toc178838869"/>
      <w:r>
        <w:t>24.84.4c Moulages composites CCTB 01.02</w:t>
      </w:r>
      <w:bookmarkEnd w:id="1806"/>
    </w:p>
    <w:p w14:paraId="5EF7AB8E" w14:textId="77777777" w:rsidR="00DF410E" w:rsidRDefault="00CE7F43">
      <w:pPr>
        <w:pStyle w:val="Author-eSectionHeading6"/>
      </w:pPr>
      <w:bookmarkStart w:id="1807" w:name="_Toc178838870"/>
      <w:r>
        <w:t>24.84.4d Réparation structurale / Renforcement par brochage CCTB 01.04</w:t>
      </w:r>
      <w:bookmarkEnd w:id="1807"/>
    </w:p>
    <w:p w14:paraId="5E7D3CC0" w14:textId="77777777" w:rsidR="00DF410E" w:rsidRDefault="00CE7F43">
      <w:pPr>
        <w:pStyle w:val="Author-eSectionHeading6"/>
      </w:pPr>
      <w:bookmarkStart w:id="1808" w:name="_Toc178838871"/>
      <w:r>
        <w:t>24.84.4e Ajout de toiles CCTB 01.10</w:t>
      </w:r>
      <w:bookmarkEnd w:id="1808"/>
    </w:p>
    <w:p w14:paraId="05908D9C" w14:textId="77777777" w:rsidR="00DF410E" w:rsidRDefault="00CE7F43">
      <w:pPr>
        <w:pStyle w:val="Author-eSectionHeading5"/>
      </w:pPr>
      <w:bookmarkStart w:id="1809" w:name="_Toc178838872"/>
      <w:r>
        <w:t>24.84.5 Réparation structurale / Renforcement par ajout d'éléments structuraux CCTB 01.04</w:t>
      </w:r>
      <w:bookmarkEnd w:id="1809"/>
    </w:p>
    <w:p w14:paraId="159556D1" w14:textId="77777777" w:rsidR="00DF410E" w:rsidRDefault="00CE7F43">
      <w:pPr>
        <w:pStyle w:val="Author-eSectionHeading6"/>
      </w:pPr>
      <w:bookmarkStart w:id="1810" w:name="_Toc178838873"/>
      <w:r>
        <w:t>24.84.5a Ajout de tirants métalliques externes CCTB 01.02</w:t>
      </w:r>
      <w:bookmarkEnd w:id="1810"/>
    </w:p>
    <w:p w14:paraId="1D304BCC" w14:textId="77777777" w:rsidR="00DF410E" w:rsidRDefault="00CE7F43">
      <w:pPr>
        <w:pStyle w:val="Author-eSectionHeading6"/>
      </w:pPr>
      <w:bookmarkStart w:id="1811" w:name="_Toc178838874"/>
      <w:r>
        <w:t>24.84.5b Ajout de profils métalliques externes boulonnés CCTB 01.02</w:t>
      </w:r>
      <w:bookmarkEnd w:id="1811"/>
    </w:p>
    <w:p w14:paraId="60D8899B" w14:textId="77777777" w:rsidR="00DF410E" w:rsidRDefault="00CE7F43">
      <w:pPr>
        <w:pStyle w:val="Author-eSectionHeading6"/>
      </w:pPr>
      <w:bookmarkStart w:id="1812" w:name="_Toc178838875"/>
      <w:r>
        <w:t>24.84.5c Réalisation de cerclage métallique externe CCTB 01.02</w:t>
      </w:r>
      <w:bookmarkEnd w:id="1812"/>
    </w:p>
    <w:p w14:paraId="6E23D77F" w14:textId="77777777" w:rsidR="00DF410E" w:rsidRDefault="00CE7F43">
      <w:pPr>
        <w:pStyle w:val="Author-eSectionHeading6"/>
      </w:pPr>
      <w:bookmarkStart w:id="1813" w:name="_Toc178838876"/>
      <w:r>
        <w:t>24.84.5d Structure de délestage autour d'une structure existante CCTB 01.02</w:t>
      </w:r>
      <w:bookmarkEnd w:id="1813"/>
    </w:p>
    <w:p w14:paraId="700F1B52" w14:textId="77777777" w:rsidR="00DF410E" w:rsidRDefault="00CE7F43">
      <w:pPr>
        <w:pStyle w:val="Author-eSectionHeading6"/>
      </w:pPr>
      <w:bookmarkStart w:id="1814" w:name="_Toc178838877"/>
      <w:r>
        <w:t>24.84.5e Ajout d'éléments en bois CCTB 01.04</w:t>
      </w:r>
      <w:bookmarkEnd w:id="1814"/>
    </w:p>
    <w:p w14:paraId="0E98001E" w14:textId="77777777" w:rsidR="00DF410E" w:rsidRDefault="00CE7F43">
      <w:pPr>
        <w:pStyle w:val="Author-eSectionHeading6"/>
      </w:pPr>
      <w:bookmarkStart w:id="1815" w:name="_Toc178838878"/>
      <w:r>
        <w:t>24.84.5f Ajout d'éléments en matière synthétique CCTB 01.04</w:t>
      </w:r>
      <w:bookmarkEnd w:id="1815"/>
    </w:p>
    <w:p w14:paraId="784944F4" w14:textId="77777777" w:rsidR="00DF410E" w:rsidRDefault="00CE7F43">
      <w:pPr>
        <w:pStyle w:val="Author-eSectionHeading5"/>
      </w:pPr>
      <w:bookmarkStart w:id="1816" w:name="_Toc178838879"/>
      <w:r>
        <w:t>24.84.6 Réparation structurale / Renforcement de fixations ou d'assemblages de structure existantes CCTB 01.04</w:t>
      </w:r>
      <w:bookmarkEnd w:id="1816"/>
    </w:p>
    <w:p w14:paraId="2DE73E7A" w14:textId="77777777" w:rsidR="00DF410E" w:rsidRDefault="00CE7F43">
      <w:pPr>
        <w:pStyle w:val="Author-eSectionHeading6"/>
      </w:pPr>
      <w:bookmarkStart w:id="1817" w:name="_Toc178838880"/>
      <w:r>
        <w:t>24.84.6a Reprise d'abouts de poutres par sabot métallique CCTB 01.02</w:t>
      </w:r>
      <w:bookmarkEnd w:id="1817"/>
    </w:p>
    <w:p w14:paraId="1B548F49" w14:textId="77777777" w:rsidR="00DF410E" w:rsidRDefault="00CE7F43">
      <w:pPr>
        <w:pStyle w:val="Author-eSectionHeading6"/>
      </w:pPr>
      <w:bookmarkStart w:id="1818" w:name="_Toc178838881"/>
      <w:r>
        <w:t>24.84.6b Ajout de chevilles en bois CCTB 01.10</w:t>
      </w:r>
      <w:bookmarkEnd w:id="1818"/>
    </w:p>
    <w:p w14:paraId="1609A981" w14:textId="77777777" w:rsidR="00DF410E" w:rsidRDefault="00CE7F43">
      <w:pPr>
        <w:pStyle w:val="Author-eSectionHeading6"/>
      </w:pPr>
      <w:bookmarkStart w:id="1819" w:name="_Toc178838882"/>
      <w:r>
        <w:t>24.84.6c Ajout de tiges filetées CCTB 01.10</w:t>
      </w:r>
      <w:bookmarkEnd w:id="1819"/>
    </w:p>
    <w:p w14:paraId="0BB8865E" w14:textId="77777777" w:rsidR="00DF410E" w:rsidRDefault="00CE7F43">
      <w:pPr>
        <w:pStyle w:val="Author-eSectionHeading6"/>
      </w:pPr>
      <w:bookmarkStart w:id="1820" w:name="_Toc178838883"/>
      <w:r>
        <w:t>24.84.6d Ajout de vis CCTB 01.04</w:t>
      </w:r>
      <w:bookmarkEnd w:id="1820"/>
    </w:p>
    <w:p w14:paraId="41078915" w14:textId="77777777" w:rsidR="00DF410E" w:rsidRDefault="00CE7F43">
      <w:pPr>
        <w:pStyle w:val="Author-eSectionHeading6"/>
      </w:pPr>
      <w:bookmarkStart w:id="1821" w:name="_Toc178838884"/>
      <w:r>
        <w:t>24.84.6e Ancrages métalliques CCTB 01.04</w:t>
      </w:r>
      <w:bookmarkEnd w:id="1821"/>
    </w:p>
    <w:p w14:paraId="5922C8AA" w14:textId="77777777" w:rsidR="00DF410E" w:rsidRDefault="00CE7F43">
      <w:pPr>
        <w:pStyle w:val="Author-eSectionHeading4"/>
      </w:pPr>
      <w:bookmarkStart w:id="1822" w:name="_Toc178838885"/>
      <w:r>
        <w:t>24.85 Adaptation CCTB 01.02</w:t>
      </w:r>
      <w:bookmarkEnd w:id="1822"/>
    </w:p>
    <w:p w14:paraId="2678FA06" w14:textId="77777777" w:rsidR="00DF410E" w:rsidRDefault="00CE7F43">
      <w:pPr>
        <w:pStyle w:val="Author-eSectionHeading5"/>
      </w:pPr>
      <w:bookmarkStart w:id="1823" w:name="605"/>
      <w:bookmarkStart w:id="1824" w:name="_Toc178838886"/>
      <w:bookmarkEnd w:id="1823"/>
      <w:r>
        <w:t>24.85.1 Adaptation de charpentes en bois pour baies / passages CCTB 01.02</w:t>
      </w:r>
      <w:bookmarkEnd w:id="1824"/>
    </w:p>
    <w:p w14:paraId="0A1C90F9" w14:textId="77777777" w:rsidR="00DF410E" w:rsidRDefault="00CE7F43">
      <w:pPr>
        <w:pStyle w:val="Author-eSectionHeading6"/>
      </w:pPr>
      <w:bookmarkStart w:id="1825" w:name="_Toc178838887"/>
      <w:r>
        <w:t>24.85.1a Création de baies CCTB 01.04</w:t>
      </w:r>
      <w:bookmarkEnd w:id="1825"/>
    </w:p>
    <w:p w14:paraId="04F25D4E" w14:textId="77777777" w:rsidR="00DF410E" w:rsidRDefault="00CE7F43">
      <w:pPr>
        <w:pStyle w:val="pheading"/>
      </w:pPr>
      <w:r>
        <w:t>DESCRIPTION</w:t>
      </w:r>
    </w:p>
    <w:p w14:paraId="60F21954" w14:textId="77777777" w:rsidR="00DF410E" w:rsidRDefault="00CE7F43">
      <w:pPr>
        <w:pStyle w:val="pheading"/>
      </w:pPr>
      <w:r>
        <w:t>- Définition / Comprend</w:t>
      </w:r>
    </w:p>
    <w:p w14:paraId="42C29ADC" w14:textId="77777777" w:rsidR="00DF410E" w:rsidRDefault="00CE7F43">
      <w:r>
        <w:t xml:space="preserve">Renvoi au § </w:t>
      </w:r>
      <w:hyperlink r:id="rId354" w:history="1" w:docLocation="635">
        <w:r>
          <w:t>06.82.2 Percements pour créations de baies</w:t>
        </w:r>
      </w:hyperlink>
    </w:p>
    <w:p w14:paraId="3EBBC09D" w14:textId="77777777" w:rsidR="00DF410E" w:rsidRDefault="00CE7F43">
      <w:pPr>
        <w:pStyle w:val="Author-eSectionHeading6"/>
      </w:pPr>
      <w:bookmarkStart w:id="1826" w:name="_Toc178838888"/>
      <w:r>
        <w:t>24.85.1b Adaptation dimensionnelle de baies existantes CCTB 01.04</w:t>
      </w:r>
      <w:bookmarkEnd w:id="1826"/>
    </w:p>
    <w:p w14:paraId="43D926F2" w14:textId="77777777" w:rsidR="00DF410E" w:rsidRDefault="00CE7F43">
      <w:pPr>
        <w:pStyle w:val="pheading"/>
      </w:pPr>
      <w:r>
        <w:t>DESCRIPTION</w:t>
      </w:r>
    </w:p>
    <w:p w14:paraId="7CB7D891" w14:textId="77777777" w:rsidR="00DF410E" w:rsidRDefault="00CE7F43">
      <w:pPr>
        <w:pStyle w:val="pheading"/>
      </w:pPr>
      <w:r>
        <w:t>- Définition / Comprend</w:t>
      </w:r>
    </w:p>
    <w:p w14:paraId="33FC3DE5" w14:textId="77777777" w:rsidR="00DF410E" w:rsidRDefault="00CE7F43">
      <w:r>
        <w:t xml:space="preserve">Renvoi au § </w:t>
      </w:r>
      <w:hyperlink r:id="rId355" w:history="1" w:docLocation="635">
        <w:r>
          <w:t>06.82.2 Percements pour créations de baies</w:t>
        </w:r>
      </w:hyperlink>
    </w:p>
    <w:p w14:paraId="6EDF408C" w14:textId="77777777" w:rsidR="00DF410E" w:rsidRDefault="00CE7F43">
      <w:pPr>
        <w:pStyle w:val="Author-eSectionHeading6"/>
      </w:pPr>
      <w:bookmarkStart w:id="1827" w:name="_Toc178838889"/>
      <w:r>
        <w:t>24.85.1c Obturation de baies existantes CCTB 01.02</w:t>
      </w:r>
      <w:bookmarkEnd w:id="1827"/>
    </w:p>
    <w:p w14:paraId="05BC2A35" w14:textId="77777777" w:rsidR="00DF410E" w:rsidRDefault="00CE7F43">
      <w:pPr>
        <w:pStyle w:val="Author-eSectionHeading6"/>
      </w:pPr>
      <w:bookmarkStart w:id="1828" w:name="_Toc178838890"/>
      <w:r>
        <w:t>24.85.1d Passage pour techniques spéciales CCTB 01.04</w:t>
      </w:r>
      <w:bookmarkEnd w:id="1828"/>
    </w:p>
    <w:p w14:paraId="1EABE3BC" w14:textId="77777777" w:rsidR="00DF410E" w:rsidRDefault="00CE7F43">
      <w:pPr>
        <w:pStyle w:val="Author-eSectionHeading6"/>
      </w:pPr>
      <w:bookmarkStart w:id="1829" w:name="_Toc178838891"/>
      <w:r>
        <w:t>24.85.1e Adaptations de charpentes en bois pour baies / passages en vue d'un changement d'affectation CCTB 01.04</w:t>
      </w:r>
      <w:bookmarkEnd w:id="1829"/>
    </w:p>
    <w:p w14:paraId="434C6AC7" w14:textId="77777777" w:rsidR="00DF410E" w:rsidRDefault="00CE7F43">
      <w:pPr>
        <w:pStyle w:val="Author-eSectionHeading4"/>
      </w:pPr>
      <w:bookmarkStart w:id="1830" w:name="_Toc178838892"/>
      <w:r>
        <w:t>24.86 Repose / remplacement (à l'identique) CCTB 01.02</w:t>
      </w:r>
      <w:bookmarkEnd w:id="1830"/>
    </w:p>
    <w:p w14:paraId="65A93912" w14:textId="77777777" w:rsidR="00DF410E" w:rsidRDefault="00CE7F43">
      <w:pPr>
        <w:pStyle w:val="Author-eSectionHeading5"/>
      </w:pPr>
      <w:bookmarkStart w:id="1831" w:name="_Toc178838893"/>
      <w:r>
        <w:t>24.86.1 Repose d'éléments récupérés CCTB 01.02</w:t>
      </w:r>
      <w:bookmarkEnd w:id="1831"/>
    </w:p>
    <w:p w14:paraId="27FF4D25" w14:textId="77777777" w:rsidR="00DF410E" w:rsidRDefault="00CE7F43">
      <w:pPr>
        <w:pStyle w:val="Author-eSectionHeading6"/>
      </w:pPr>
      <w:bookmarkStart w:id="1832" w:name="_Toc178838894"/>
      <w:r>
        <w:t>24.86.1a Repose d'éléments récupérés CCTB 01.02</w:t>
      </w:r>
      <w:bookmarkEnd w:id="1832"/>
    </w:p>
    <w:p w14:paraId="083F439C" w14:textId="77777777" w:rsidR="00DF410E" w:rsidRDefault="00CE7F43">
      <w:pPr>
        <w:pStyle w:val="Author-eSectionHeading5"/>
      </w:pPr>
      <w:bookmarkStart w:id="1833" w:name="_Toc178838895"/>
      <w:r>
        <w:t>24.86.2 Remplacement complet à l'identique de structures en bois CCTB 01.04</w:t>
      </w:r>
      <w:bookmarkEnd w:id="1833"/>
    </w:p>
    <w:p w14:paraId="7E116FDD" w14:textId="77777777" w:rsidR="00DF410E" w:rsidRDefault="00CE7F43">
      <w:pPr>
        <w:pStyle w:val="pheading"/>
      </w:pPr>
      <w:r>
        <w:t>DESCRIPTION</w:t>
      </w:r>
    </w:p>
    <w:p w14:paraId="7DFD7A53" w14:textId="77777777" w:rsidR="00DF410E" w:rsidRDefault="00CE7F43">
      <w:pPr>
        <w:pStyle w:val="pheading"/>
      </w:pPr>
      <w:r>
        <w:t>- Définition / Comprend</w:t>
      </w:r>
    </w:p>
    <w:p w14:paraId="004ACAE7" w14:textId="77777777" w:rsidR="00DF410E" w:rsidRDefault="00CE7F43">
      <w:r>
        <w:t xml:space="preserve">Renvoi au § </w:t>
      </w:r>
      <w:hyperlink w:anchor="89" w:history="1">
        <w:r>
          <w:t>24 Superstructures en bois</w:t>
        </w:r>
      </w:hyperlink>
    </w:p>
    <w:p w14:paraId="5056A010" w14:textId="77777777" w:rsidR="00DF410E" w:rsidRDefault="00CE7F43">
      <w:pPr>
        <w:pStyle w:val="Author-eSectionHeading5"/>
      </w:pPr>
      <w:bookmarkStart w:id="1834" w:name="_Toc178838896"/>
      <w:r>
        <w:t>24.86.3 Remplacement complet d'éléments de structure en bois CCTB 01.02</w:t>
      </w:r>
      <w:bookmarkEnd w:id="1834"/>
    </w:p>
    <w:p w14:paraId="26475CBC" w14:textId="77777777" w:rsidR="00DF410E" w:rsidRDefault="00CE7F43">
      <w:pPr>
        <w:pStyle w:val="Author-eSectionHeading6"/>
      </w:pPr>
      <w:bookmarkStart w:id="1835" w:name="_Toc178838897"/>
      <w:r>
        <w:t>24.86.3a Remplacement d'éléments de structure en bois individuels CCTB 01.04</w:t>
      </w:r>
      <w:bookmarkEnd w:id="1835"/>
    </w:p>
    <w:p w14:paraId="1ABD4EC6" w14:textId="77777777" w:rsidR="00DF410E" w:rsidRDefault="00CE7F43">
      <w:pPr>
        <w:pStyle w:val="Author-eSectionHeading6"/>
      </w:pPr>
      <w:bookmarkStart w:id="1836" w:name="_Toc178838898"/>
      <w:r>
        <w:t>24.86.3b Remplacement d'éléments de structure en bois faisant partie d'une structure / charpente CCTB 01.02</w:t>
      </w:r>
      <w:bookmarkEnd w:id="1836"/>
    </w:p>
    <w:p w14:paraId="6B83B76D" w14:textId="77777777" w:rsidR="00DF410E" w:rsidRDefault="00CE7F43">
      <w:pPr>
        <w:pStyle w:val="Author-eSectionHeading5"/>
      </w:pPr>
      <w:bookmarkStart w:id="1837" w:name="_Toc178838899"/>
      <w:r>
        <w:t>24.86.4 Remplacement / reconstitution partiel d'éléments de structure en bois CCTB 01.02</w:t>
      </w:r>
      <w:bookmarkEnd w:id="1837"/>
    </w:p>
    <w:p w14:paraId="3720C4F6" w14:textId="77777777" w:rsidR="00DF410E" w:rsidRDefault="00CE7F43">
      <w:pPr>
        <w:pStyle w:val="Author-eSectionHeading6"/>
      </w:pPr>
      <w:bookmarkStart w:id="1838" w:name="_Toc178838900"/>
      <w:r>
        <w:t>24.86.4a Remplacement partiel d'éléments de structure en bois par greffes et plats métalliques CCTB 01.02</w:t>
      </w:r>
      <w:bookmarkEnd w:id="1838"/>
    </w:p>
    <w:p w14:paraId="7F30EEA6" w14:textId="77777777" w:rsidR="00DF410E" w:rsidRDefault="00CE7F43">
      <w:pPr>
        <w:pStyle w:val="Author-eSectionHeading6"/>
      </w:pPr>
      <w:bookmarkStart w:id="1839" w:name="_Toc178838901"/>
      <w:r>
        <w:t>24.86.4b Remplacement partiel d'éléments de structure en bois par greffes boulonnées CCTB 01.04</w:t>
      </w:r>
      <w:bookmarkEnd w:id="1839"/>
    </w:p>
    <w:p w14:paraId="13405BFB" w14:textId="77777777" w:rsidR="00DF410E" w:rsidRDefault="00CE7F43">
      <w:pPr>
        <w:pStyle w:val="Author-eSectionHeading6"/>
      </w:pPr>
      <w:bookmarkStart w:id="1840" w:name="_Toc178838902"/>
      <w:r>
        <w:t>24.86.4c Remplacement partiel d'éléments de structure en bois par greffes et assemblages à entailles (assemblages traditionnels) CCTB 01.04</w:t>
      </w:r>
      <w:bookmarkEnd w:id="1840"/>
    </w:p>
    <w:p w14:paraId="27156176" w14:textId="77777777" w:rsidR="00DF410E" w:rsidRDefault="00CE7F43">
      <w:pPr>
        <w:pStyle w:val="Author-eSectionHeading6"/>
      </w:pPr>
      <w:bookmarkStart w:id="1841" w:name="_Toc178838903"/>
      <w:r>
        <w:t>24.86.4d Reconstitution partielle d'éléments de structure en bois par moulage en résines et barre de renfort CCTB 01.02</w:t>
      </w:r>
      <w:bookmarkEnd w:id="1841"/>
    </w:p>
    <w:p w14:paraId="7A48A4F6" w14:textId="77777777" w:rsidR="00DF410E" w:rsidRDefault="00CE7F43">
      <w:pPr>
        <w:pStyle w:val="Author-eSectionHeading5"/>
      </w:pPr>
      <w:bookmarkStart w:id="1842" w:name="_Toc178838904"/>
      <w:r>
        <w:t>24.86.5 Remplacement d'éléments de fixation/assemblage CCTB 01.02</w:t>
      </w:r>
      <w:bookmarkEnd w:id="1842"/>
    </w:p>
    <w:p w14:paraId="4FED5AF1" w14:textId="77777777" w:rsidR="00DF410E" w:rsidRDefault="00CE7F43">
      <w:pPr>
        <w:pStyle w:val="Author-eSectionHeading6"/>
      </w:pPr>
      <w:bookmarkStart w:id="1843" w:name="_Toc178838905"/>
      <w:r>
        <w:t>24.86.5a Remplacement de chevilles en bois CCTB 01.02</w:t>
      </w:r>
      <w:bookmarkEnd w:id="1843"/>
    </w:p>
    <w:p w14:paraId="5FC6A6D7" w14:textId="77777777" w:rsidR="00DF410E" w:rsidRDefault="00CE7F43">
      <w:pPr>
        <w:pStyle w:val="Author-eSectionHeading6"/>
      </w:pPr>
      <w:bookmarkStart w:id="1844" w:name="_Toc178838906"/>
      <w:r>
        <w:t>24.86.5b Remplacement de fixations métalliques (boulons/écrous/étriers/sabots et autres) CCTB 01.04</w:t>
      </w:r>
      <w:bookmarkEnd w:id="1844"/>
    </w:p>
    <w:p w14:paraId="62FB7765" w14:textId="77777777" w:rsidR="00DF410E" w:rsidRDefault="00CE7F43">
      <w:pPr>
        <w:pStyle w:val="Author-eSectionHeading4"/>
      </w:pPr>
      <w:bookmarkStart w:id="1845" w:name="_Toc178838907"/>
      <w:r>
        <w:t>24.87 Nettoyage / préparation de surface CCTB 01.04</w:t>
      </w:r>
      <w:bookmarkEnd w:id="1845"/>
    </w:p>
    <w:p w14:paraId="6420501B" w14:textId="77777777" w:rsidR="00DF410E" w:rsidRDefault="00CE7F43">
      <w:pPr>
        <w:pStyle w:val="pheading"/>
      </w:pPr>
      <w:r>
        <w:t>DESCRIPTION</w:t>
      </w:r>
    </w:p>
    <w:p w14:paraId="46AE03A9" w14:textId="77777777" w:rsidR="00DF410E" w:rsidRDefault="00CE7F43">
      <w:pPr>
        <w:pStyle w:val="pheading"/>
      </w:pPr>
      <w:r>
        <w:t>- Définition / Comprend</w:t>
      </w:r>
    </w:p>
    <w:p w14:paraId="1CCF3ACC" w14:textId="77777777" w:rsidR="00DF410E" w:rsidRDefault="00CE7F43">
      <w:r>
        <w:t xml:space="preserve">Renvoi au § </w:t>
      </w:r>
      <w:hyperlink r:id="rId356" w:history="1" w:docLocation="636">
        <w:r>
          <w:t>83.21 Nettoyage / préparation de surface</w:t>
        </w:r>
      </w:hyperlink>
      <w:r>
        <w:t> </w:t>
      </w:r>
    </w:p>
    <w:p w14:paraId="550F53C3" w14:textId="77777777" w:rsidR="00DF410E" w:rsidRDefault="00CE7F43">
      <w:pPr>
        <w:pStyle w:val="Author-eSectionHeading4"/>
      </w:pPr>
      <w:bookmarkStart w:id="1846" w:name="_Toc178838908"/>
      <w:r>
        <w:t>24.88 Traitement et protection CCTB 01.04</w:t>
      </w:r>
      <w:bookmarkEnd w:id="1846"/>
    </w:p>
    <w:p w14:paraId="480D4DC2" w14:textId="77777777" w:rsidR="00DF410E" w:rsidRDefault="00CE7F43">
      <w:pPr>
        <w:pStyle w:val="pheading"/>
      </w:pPr>
      <w:r>
        <w:t>DESCRIPTION</w:t>
      </w:r>
    </w:p>
    <w:p w14:paraId="416CF739" w14:textId="77777777" w:rsidR="00DF410E" w:rsidRDefault="00CE7F43">
      <w:pPr>
        <w:pStyle w:val="pheading"/>
      </w:pPr>
      <w:r>
        <w:t>- Définition / Comprend</w:t>
      </w:r>
    </w:p>
    <w:p w14:paraId="0C552731" w14:textId="77777777" w:rsidR="00DF410E" w:rsidRDefault="00CE7F43">
      <w:r>
        <w:t xml:space="preserve">Renvoi au § </w:t>
      </w:r>
      <w:hyperlink r:id="rId357" w:history="1" w:docLocation="632">
        <w:r>
          <w:t>83.2 Subjectiles en bois et dérivés du bois</w:t>
        </w:r>
      </w:hyperlink>
    </w:p>
    <w:p w14:paraId="39CD4257" w14:textId="77777777" w:rsidR="00DF410E" w:rsidRDefault="00CE7F43">
      <w:pPr>
        <w:pStyle w:val="Author-eSectionHeading2"/>
      </w:pPr>
      <w:bookmarkStart w:id="1847" w:name="_Toc178838909"/>
      <w:r>
        <w:t>25 Superstructures en verre CCTB 01.02</w:t>
      </w:r>
      <w:bookmarkEnd w:id="1847"/>
    </w:p>
    <w:p w14:paraId="1276DEA5" w14:textId="77777777" w:rsidR="00DF410E" w:rsidRDefault="00CE7F43">
      <w:pPr>
        <w:pStyle w:val="Author-eSectionHeading2"/>
      </w:pPr>
      <w:bookmarkStart w:id="1848" w:name="970"/>
      <w:bookmarkStart w:id="1849" w:name="_Toc178838910"/>
      <w:bookmarkEnd w:id="1848"/>
      <w:r>
        <w:t>26 Etanchéisation et isolation CCTB 01.02</w:t>
      </w:r>
      <w:bookmarkEnd w:id="1849"/>
    </w:p>
    <w:p w14:paraId="75482E04" w14:textId="77777777" w:rsidR="00DF410E" w:rsidRDefault="00CE7F43">
      <w:pPr>
        <w:pStyle w:val="Author-eSectionHeading3"/>
      </w:pPr>
      <w:bookmarkStart w:id="1850" w:name="477"/>
      <w:bookmarkStart w:id="1851" w:name="_Toc178838911"/>
      <w:bookmarkEnd w:id="1850"/>
      <w:r>
        <w:t>26.1 Etanchéisation aux matières liquides CCTB 01.02</w:t>
      </w:r>
      <w:bookmarkEnd w:id="1851"/>
    </w:p>
    <w:p w14:paraId="6D1A33A1" w14:textId="77777777" w:rsidR="00DF410E" w:rsidRDefault="00CE7F43">
      <w:pPr>
        <w:pStyle w:val="Author-eSectionHeading4"/>
      </w:pPr>
      <w:bookmarkStart w:id="1852" w:name="294"/>
      <w:bookmarkStart w:id="1853" w:name="_Toc178838912"/>
      <w:bookmarkEnd w:id="1852"/>
      <w:r>
        <w:t>26.11 Feuilles et membranes d'étanchéité à l'eau CCTB 01.11</w:t>
      </w:r>
      <w:bookmarkEnd w:id="1853"/>
    </w:p>
    <w:p w14:paraId="213BA226" w14:textId="77777777" w:rsidR="00DF410E" w:rsidRDefault="00CE7F43">
      <w:pPr>
        <w:pStyle w:val="pheading"/>
      </w:pPr>
      <w:bookmarkStart w:id="1854" w:name="354"/>
      <w:bookmarkEnd w:id="1854"/>
      <w:r>
        <w:t>DESCRIPTION</w:t>
      </w:r>
    </w:p>
    <w:p w14:paraId="07C84C9F" w14:textId="77777777" w:rsidR="00DF410E" w:rsidRDefault="00CE7F43">
      <w:pPr>
        <w:pStyle w:val="pheading"/>
      </w:pPr>
      <w:r>
        <w:t>- Définition / Comprend</w:t>
      </w:r>
    </w:p>
    <w:p w14:paraId="2A3027CF" w14:textId="77777777" w:rsidR="00DF410E" w:rsidRDefault="00CE7F43">
      <w:r>
        <w:t>Il s'agit des barrières d'étanchéité nécessaires dans la maçonnerie d'élévation pour parer à l'humidité ascensionnelle. Sous réserve des prescriptions dans le cahier spécial des charges et/ou les détails d'exécution, l'entrepreneur doit veiller à ce que d'aucune manière l'eau de l'extérieur ou de l'infrastructure ne puisse s'infiltrer dans la superstructure. A cet effet, une barrière d'étanchéité est posée à tous les endroits par où l'humidité ascensionnelle peut monter dans la superstructure. Le prix de ces étanchéités est compris dans le prix de la maçonnerie.</w:t>
      </w:r>
    </w:p>
    <w:p w14:paraId="147404F2" w14:textId="77777777" w:rsidR="00DF410E" w:rsidRDefault="00CE7F43">
      <w:r>
        <w:t>Il s'agit également de la fourniture et de la pose de l'isolation contre l'humidité, barrage d'étanchéité entre la coulisse et le mur de parement, en vue de l'évacuation efficace des eaux de pluie et/ou de condensation. L'étanchéité est appliquée à la base des coulisses, à tous les endroits où le vide est interrompu et à tout passage de la feuille extérieure du mur creux d’un environnement intérieur à un environnement extérieur (par ex. murs en butée, pénétrations de toiture pour cheminées etc.).</w:t>
      </w:r>
    </w:p>
    <w:p w14:paraId="41EE7C19" w14:textId="77777777" w:rsidR="00DF410E" w:rsidRDefault="00CE7F43">
      <w:pPr>
        <w:pStyle w:val="pheading"/>
      </w:pPr>
      <w:r>
        <w:t>MATÉRIAUX</w:t>
      </w:r>
    </w:p>
    <w:p w14:paraId="751BB028" w14:textId="77777777" w:rsidR="00DF410E" w:rsidRDefault="00CE7F43">
      <w:r>
        <w:t>Lorsque le matériau d'étanchéité n'est pas spécifié dans le cahier spécial des charges, l'entrepreneur choisit parmi les produits mentionnés ci-dessous, dans la mesure où ils sont compatibles avec les prescriptions du fabricant, la nature de l'application et les matériaux de façade utilisés.</w:t>
      </w:r>
    </w:p>
    <w:p w14:paraId="4241F002" w14:textId="77777777" w:rsidR="00DF410E" w:rsidRDefault="00CE7F43">
      <w:pPr>
        <w:pStyle w:val="pheading"/>
      </w:pPr>
      <w:r>
        <w:t>EXÉCUTION / MISE EN ŒUVRE</w:t>
      </w:r>
    </w:p>
    <w:p w14:paraId="76A151C4" w14:textId="77777777" w:rsidR="00DF410E" w:rsidRDefault="00CE7F43">
      <w:r>
        <w:t>L'étanchéité est appliquée sur toute la superficie de l'élément de construction à isoler, les profils correspondent aux dessins de détail. Lorsque le niveau n'est pas horizontal, l'étanchéité est posée en gradins qui se superposent et se chevauchent. Les faces de contact sont suffisamment propres et lisses de façon à ne pas perforer la membrane. Sous la membrane d'étanchéité, on applique une couche d'assise d'un centimètre d'épaisseur à l'aide de mortier. Les lés sont posés conformément aux prescriptions du fabricant et avec un chevauchement d’au moins 10 cm et assemblés sur toute leur surface par collage ou soudage à froid – le collage ou le soudage n’est pas nécessaire pour les membranes anticapillaires. Les faces à encoller doivent être propres et sèches.</w:t>
      </w:r>
    </w:p>
    <w:p w14:paraId="25CAD2A0" w14:textId="77777777" w:rsidR="00DF410E" w:rsidRDefault="00CE7F43">
      <w:r>
        <w:t xml:space="preserve">Voir également les prescriptions d'exécution section </w:t>
      </w:r>
      <w:hyperlink w:anchor="293" w:history="1">
        <w:r>
          <w:t>21 Superstructures en maçonnerie</w:t>
        </w:r>
      </w:hyperlink>
    </w:p>
    <w:p w14:paraId="70FF18DE" w14:textId="77777777" w:rsidR="00DF410E" w:rsidRDefault="00CE7F43">
      <w:r>
        <w:t xml:space="preserve">La membrane d’étanchéité est pliée de façon telle que l’écoulement des eaux soit dirigé vers l’extérieur. L’isolation recouvre la largeur complète de la feuille extérieure du mur creux. Là où le niveau extérieur n’est pas horizontal, l’isolation est posée en gradins par couches de recouvrement superposées. La pose et le pliage de ces couches assurent en outre l'écoulement des eaux vers le bas. L’isolation est complètement soutenue dans les coulisses par une bande d'isolation chanfreinée, non capillaire et imputrescible. Précisément au-dessus de cette isolation, des joints montants sont laissés ouverts dans la maçonnerie de parement afin de permettre l'évacuation des eaux. La différence de niveau entre l'assise du mur de contre-façade et la feuille extérieure du mur creux est d’au moins </w:t>
      </w:r>
      <w:r>
        <w:rPr>
          <w:rStyle w:val="optioncarChar"/>
        </w:rPr>
        <w:t>10 </w:t>
      </w:r>
      <w:r>
        <w:t>(par défaut)</w:t>
      </w:r>
      <w:r>
        <w:rPr>
          <w:rStyle w:val="optioncarChar"/>
        </w:rPr>
        <w:t xml:space="preserve"> / ***</w:t>
      </w:r>
      <w:r>
        <w:t xml:space="preserve"> cm. Les chevauchements nécessaires et le mode d'assemblage correspondent à la nature du produit.</w:t>
      </w:r>
    </w:p>
    <w:p w14:paraId="0569E733" w14:textId="77777777" w:rsidR="00DF410E" w:rsidRDefault="00CE7F43">
      <w:r>
        <w:rPr>
          <w:u w:val="single"/>
        </w:rPr>
        <w:t>À l'attention de l'auteur de projet</w:t>
      </w:r>
    </w:p>
    <w:p w14:paraId="4AD74E64" w14:textId="77777777" w:rsidR="00DF410E" w:rsidRDefault="00CE7F43">
      <w:r>
        <w:t>Consulter l’A.T.G. du produit et/ou préconiser les membranes préformées aux pieds des jambages et aux angles.</w:t>
      </w:r>
    </w:p>
    <w:p w14:paraId="40E73B61" w14:textId="77777777" w:rsidR="00DF410E" w:rsidRDefault="00CE7F43">
      <w:pPr>
        <w:pStyle w:val="pheading"/>
      </w:pPr>
      <w:r>
        <w:t>DOCUMENTS DE RÉFÉRENCE</w:t>
      </w:r>
    </w:p>
    <w:p w14:paraId="01DDC50B" w14:textId="77777777" w:rsidR="00DF410E" w:rsidRDefault="00CE7F43">
      <w:pPr>
        <w:pStyle w:val="pheading"/>
      </w:pPr>
      <w:r>
        <w:t>- Exécution</w:t>
      </w:r>
    </w:p>
    <w:p w14:paraId="33DCF171" w14:textId="77777777" w:rsidR="00DF410E" w:rsidRDefault="00CE7F43">
      <w:r>
        <w:t>[NIT 224, Hydrofugation de surface (remplace la NIT 140).]</w:t>
      </w:r>
    </w:p>
    <w:p w14:paraId="3E27499B" w14:textId="77777777" w:rsidR="00DF410E" w:rsidRDefault="00CE7F43">
      <w:r>
        <w:t>[NIT 252, L'humidité dans les constructions. Particularités de l'humidité ascensionnelle (remplace la NIT 210).]</w:t>
      </w:r>
    </w:p>
    <w:p w14:paraId="043F89B7" w14:textId="77777777" w:rsidR="00DF410E" w:rsidRDefault="00DF410E"/>
    <w:p w14:paraId="1492F31F" w14:textId="77777777" w:rsidR="00DF410E" w:rsidRDefault="00CE7F43">
      <w:r>
        <w:t> </w:t>
      </w:r>
    </w:p>
    <w:p w14:paraId="6485A43B" w14:textId="77777777" w:rsidR="00DF410E" w:rsidRDefault="00CE7F43">
      <w:pPr>
        <w:pStyle w:val="Author-eSectionHeading5"/>
      </w:pPr>
      <w:bookmarkStart w:id="1855" w:name="_Toc178838913"/>
      <w:r>
        <w:t>26.11.1 Membranes souples - Membranes CCTB 01.02</w:t>
      </w:r>
      <w:bookmarkEnd w:id="1855"/>
    </w:p>
    <w:p w14:paraId="75FA5F92" w14:textId="77777777" w:rsidR="00DF410E" w:rsidRDefault="00CE7F43">
      <w:pPr>
        <w:pStyle w:val="pheading"/>
      </w:pPr>
      <w:r>
        <w:t>DESCRIPTION</w:t>
      </w:r>
    </w:p>
    <w:p w14:paraId="213152B6" w14:textId="77777777" w:rsidR="00DF410E" w:rsidRDefault="00CE7F43">
      <w:pPr>
        <w:pStyle w:val="pheading"/>
      </w:pPr>
      <w:r>
        <w:t>- Définition / Comprend</w:t>
      </w:r>
    </w:p>
    <w:p w14:paraId="7C3ECE87" w14:textId="77777777" w:rsidR="00DF410E" w:rsidRDefault="00CE7F43">
      <w:r>
        <w:t xml:space="preserve">Conformément aux dispositions du chapitre   </w:t>
      </w:r>
      <w:hyperlink w:anchor="354" w:history="1">
        <w:r>
          <w:t>26.11 Feuilles et membranes d'étanchéité à l'eau</w:t>
        </w:r>
      </w:hyperlink>
    </w:p>
    <w:p w14:paraId="10861D03" w14:textId="77777777" w:rsidR="00DF410E" w:rsidRDefault="00CE7F43">
      <w:pPr>
        <w:pStyle w:val="Author-eSectionHeading6"/>
      </w:pPr>
      <w:bookmarkStart w:id="1856" w:name="_Toc178838914"/>
      <w:r>
        <w:t>26.11.1a Couches d'étanchéité - membranes / PE CCTB 01.11</w:t>
      </w:r>
      <w:bookmarkEnd w:id="1856"/>
    </w:p>
    <w:p w14:paraId="0413BB42" w14:textId="77777777" w:rsidR="00DF410E" w:rsidRDefault="00CE7F43">
      <w:pPr>
        <w:pStyle w:val="pheading"/>
      </w:pPr>
      <w:r>
        <w:t>DESCRIPTION</w:t>
      </w:r>
    </w:p>
    <w:p w14:paraId="04038B2D" w14:textId="77777777" w:rsidR="00DF410E" w:rsidRDefault="00CE7F43">
      <w:pPr>
        <w:pStyle w:val="pheading"/>
      </w:pPr>
      <w:r>
        <w:t>- Localisation</w:t>
      </w:r>
    </w:p>
    <w:p w14:paraId="16FEF9AB" w14:textId="77777777" w:rsidR="00DF410E" w:rsidRDefault="00CE7F43">
      <w:r>
        <w:t>Tous les murs intérieurs au rez-de-chaussée ou au niveau des caves.</w:t>
      </w:r>
    </w:p>
    <w:p w14:paraId="4EBCD110" w14:textId="77777777" w:rsidR="00DF410E" w:rsidRDefault="00CE7F43">
      <w:pPr>
        <w:pStyle w:val="pheading"/>
      </w:pPr>
      <w:r>
        <w:t>MATÉRIAUX</w:t>
      </w:r>
    </w:p>
    <w:p w14:paraId="3CAD38A4" w14:textId="77777777" w:rsidR="00DF410E" w:rsidRDefault="00CE7F43">
      <w:pPr>
        <w:pStyle w:val="pheading"/>
      </w:pPr>
      <w:r>
        <w:t>- Caractéristiques générales</w:t>
      </w:r>
    </w:p>
    <w:p w14:paraId="5C62BFA5" w14:textId="77777777" w:rsidR="00DF410E" w:rsidRDefault="00CE7F43">
      <w:r>
        <w:rPr>
          <w:u w:val="single"/>
        </w:rPr>
        <w:t>Pour les membranes anticapillaires :</w:t>
      </w:r>
    </w:p>
    <w:p w14:paraId="535F1580" w14:textId="77777777" w:rsidR="00DF410E" w:rsidRDefault="00CE7F43">
      <w:r>
        <w:t xml:space="preserve">L'étanchéité se compose d'une feuille de polyéthylène. Le matériau est fabriqué à base de polymères. En fonction de l'application, la membrane présente une épaisseur d'au moins </w:t>
      </w:r>
      <w:r>
        <w:rPr>
          <w:rStyle w:val="optioncarChar"/>
        </w:rPr>
        <w:t xml:space="preserve">0,45 </w:t>
      </w:r>
      <w:r>
        <w:t>(par défaut) </w:t>
      </w:r>
      <w:r>
        <w:rPr>
          <w:rStyle w:val="optioncarChar"/>
        </w:rPr>
        <w:t xml:space="preserve">/ *** </w:t>
      </w:r>
      <w:r>
        <w:t xml:space="preserve">mm, pèse au moins </w:t>
      </w:r>
      <w:r>
        <w:rPr>
          <w:rStyle w:val="optioncarChar"/>
        </w:rPr>
        <w:t>450 </w:t>
      </w:r>
      <w:r>
        <w:t>(par défaut)</w:t>
      </w:r>
      <w:r>
        <w:rPr>
          <w:rStyle w:val="optioncarChar"/>
        </w:rPr>
        <w:t xml:space="preserve"> / *** </w:t>
      </w:r>
      <w:r>
        <w:t>g/m2 et a une surface nervurée.</w:t>
      </w:r>
    </w:p>
    <w:p w14:paraId="01C8B34F" w14:textId="77777777" w:rsidR="00DF410E" w:rsidRDefault="00CE7F43">
      <w:r>
        <w:rPr>
          <w:u w:val="single"/>
        </w:rPr>
        <w:t>Pour l’étanchéité dans les coulisses :</w:t>
      </w:r>
    </w:p>
    <w:p w14:paraId="0B938F15" w14:textId="77777777" w:rsidR="00DF410E" w:rsidRDefault="00CE7F43">
      <w:r>
        <w:t xml:space="preserve">L'étanchéité consiste en une feuille de polyéthylène d'au moins 0,900 g/cm3 de polymères. L'allongement à la rupture est d'au moins 400%. En fonction de l'application requise, la feuille présente: </w:t>
      </w:r>
      <w:r>
        <w:rPr>
          <w:rStyle w:val="optioncarChar"/>
        </w:rPr>
        <w:t>au moins une épaisseur de 0,45 mm, un poids d'au moins 450 g/m2 et une surface rainurée / au moins une épaisseur de 0,2 mm, un poids d'au moins 150 g/m2 et une armature en relief.</w:t>
      </w:r>
    </w:p>
    <w:p w14:paraId="36E4C0A5" w14:textId="77777777" w:rsidR="00DF410E" w:rsidRDefault="00CE7F43">
      <w:pPr>
        <w:pStyle w:val="pheading"/>
      </w:pPr>
      <w:r>
        <w:t>EXÉCUTION / MISE EN ŒUVRE</w:t>
      </w:r>
    </w:p>
    <w:p w14:paraId="00BF4444" w14:textId="77777777" w:rsidR="00DF410E" w:rsidRDefault="00CE7F43">
      <w:pPr>
        <w:pStyle w:val="pheading"/>
      </w:pPr>
      <w:r>
        <w:t>- Prescriptions générales</w:t>
      </w:r>
    </w:p>
    <w:p w14:paraId="44AA9016" w14:textId="77777777" w:rsidR="00DF410E" w:rsidRDefault="00CE7F43">
      <w:r>
        <w:rPr>
          <w:u w:val="single"/>
        </w:rPr>
        <w:t>Pour les membranes anticapillaires :</w:t>
      </w:r>
    </w:p>
    <w:p w14:paraId="5E667C59" w14:textId="77777777" w:rsidR="00DF410E" w:rsidRDefault="00CE7F43">
      <w:r>
        <w:t xml:space="preserve">Les bandes sont posées avec un chevauchement d’au moins </w:t>
      </w:r>
      <w:r>
        <w:rPr>
          <w:rStyle w:val="optioncarChar"/>
        </w:rPr>
        <w:t xml:space="preserve">10 </w:t>
      </w:r>
      <w:r>
        <w:t>(par défaut) </w:t>
      </w:r>
      <w:r>
        <w:rPr>
          <w:rStyle w:val="optioncarChar"/>
        </w:rPr>
        <w:t xml:space="preserve">/ *** </w:t>
      </w:r>
      <w:r>
        <w:t>cm.</w:t>
      </w:r>
    </w:p>
    <w:p w14:paraId="1CBD5E44" w14:textId="77777777" w:rsidR="00DF410E" w:rsidRDefault="00CE7F43">
      <w:r>
        <w:rPr>
          <w:u w:val="single"/>
        </w:rPr>
        <w:t>Pour l’étanchéité dans les coulisses :</w:t>
      </w:r>
    </w:p>
    <w:p w14:paraId="27D61AD1" w14:textId="77777777" w:rsidR="00DF410E" w:rsidRDefault="00CE7F43">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par collage ou bandes de soudure à froid. Les faces à encoller doivent être propres et sèches.</w:t>
      </w:r>
    </w:p>
    <w:p w14:paraId="5BCF7BAC" w14:textId="77777777" w:rsidR="00DF410E" w:rsidRDefault="00CE7F43">
      <w:r>
        <w:rPr>
          <w:u w:val="single"/>
        </w:rPr>
        <w:t xml:space="preserve">Type de pose de la membrane d'étanchéité: </w:t>
      </w:r>
      <w:r>
        <w:rPr>
          <w:rStyle w:val="optioncarChar"/>
        </w:rPr>
        <w:t>posée / insérée / collée</w:t>
      </w:r>
    </w:p>
    <w:p w14:paraId="41C854B8" w14:textId="77777777" w:rsidR="00DF410E" w:rsidRDefault="00CE7F43">
      <w:r>
        <w:rPr>
          <w:b/>
        </w:rPr>
        <w:t xml:space="preserve">(soit) </w:t>
      </w:r>
    </w:p>
    <w:p w14:paraId="3D66EB83" w14:textId="77777777" w:rsidR="00DF410E" w:rsidRDefault="00CE7F43">
      <w:r>
        <w:rPr>
          <w:rStyle w:val="soitChar"/>
          <w:u w:val="single"/>
        </w:rPr>
        <w:t>Posée:</w:t>
      </w:r>
      <w:r>
        <w:rPr>
          <w:rStyle w:val="soitChar"/>
        </w:rPr>
        <w:t xml:space="preserve"> La couche d'étanchéité est posée sur toute la largeur du mur creux.</w:t>
      </w:r>
    </w:p>
    <w:p w14:paraId="3065E42C" w14:textId="77777777" w:rsidR="00DF410E" w:rsidRDefault="00CE7F43">
      <w:r>
        <w:rPr>
          <w:b/>
        </w:rPr>
        <w:t xml:space="preserve">(soit) </w:t>
      </w:r>
    </w:p>
    <w:p w14:paraId="4FEF2ED2" w14:textId="77777777" w:rsidR="00DF410E" w:rsidRDefault="00CE7F43">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xml:space="preserve"> / ***</w:t>
      </w:r>
      <w:r>
        <w:rPr>
          <w:rStyle w:val="soitChar"/>
        </w:rPr>
        <w:t xml:space="preserve"> cm dans le mur de contre-façade.</w:t>
      </w:r>
    </w:p>
    <w:p w14:paraId="25E40907" w14:textId="77777777" w:rsidR="00DF410E" w:rsidRDefault="00CE7F43">
      <w:r>
        <w:rPr>
          <w:b/>
        </w:rPr>
        <w:t>(soit)</w:t>
      </w:r>
    </w:p>
    <w:p w14:paraId="383B2A1C" w14:textId="77777777" w:rsidR="00DF410E" w:rsidRDefault="00CE7F43">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10 </w:t>
      </w:r>
      <w:r>
        <w:t>(par défaut)</w:t>
      </w:r>
      <w:r>
        <w:rPr>
          <w:rStyle w:val="optioncarChar"/>
        </w:rPr>
        <w:t xml:space="preserve"> / ***</w:t>
      </w:r>
      <w:r>
        <w:rPr>
          <w:rStyle w:val="soitChar"/>
        </w:rPr>
        <w:t xml:space="preserve"> cm contre le mur de contre-façade.</w:t>
      </w:r>
    </w:p>
    <w:p w14:paraId="50CB4279" w14:textId="77777777" w:rsidR="00DF410E" w:rsidRDefault="00CE7F43">
      <w:pPr>
        <w:pStyle w:val="pheading"/>
      </w:pPr>
      <w:r>
        <w:t>MESURAGE</w:t>
      </w:r>
    </w:p>
    <w:p w14:paraId="20C1EEAE" w14:textId="77777777" w:rsidR="00DF410E" w:rsidRDefault="00CE7F43">
      <w:pPr>
        <w:pStyle w:val="pheading"/>
      </w:pPr>
      <w:r>
        <w:t>- unité de mesure:</w:t>
      </w:r>
    </w:p>
    <w:p w14:paraId="4AEE5111" w14:textId="77777777" w:rsidR="00DF410E" w:rsidRDefault="00CE7F43">
      <w:r>
        <w:rPr>
          <w:b/>
        </w:rPr>
        <w:t xml:space="preserve">Choix opéré : </w:t>
      </w:r>
      <w:r>
        <w:t> </w:t>
      </w:r>
      <w:r>
        <w:rPr>
          <w:rStyle w:val="optioncarChar"/>
        </w:rPr>
        <w:t xml:space="preserve">- </w:t>
      </w:r>
      <w:r>
        <w:t>(par défaut)</w:t>
      </w:r>
      <w:r>
        <w:rPr>
          <w:rStyle w:val="optioncarChar"/>
        </w:rPr>
        <w:t xml:space="preserve"> / m²</w:t>
      </w:r>
    </w:p>
    <w:p w14:paraId="33A8DA6F" w14:textId="77777777" w:rsidR="00DF410E" w:rsidRDefault="00CE7F43">
      <w:pPr>
        <w:pStyle w:val="pheading"/>
      </w:pPr>
      <w:r>
        <w:t>- code de mesurage:</w:t>
      </w:r>
    </w:p>
    <w:p w14:paraId="6FD0A552" w14:textId="77777777" w:rsidR="00DF410E" w:rsidRDefault="00CE7F43">
      <w:pPr>
        <w:pStyle w:val="soit"/>
      </w:pPr>
      <w:r>
        <w:rPr>
          <w:b/>
          <w:color w:val="000000"/>
        </w:rPr>
        <w:t>Choix opéré :</w:t>
      </w:r>
      <w:r>
        <w:rPr>
          <w:rStyle w:val="optioncarChar"/>
          <w:color w:val="000000"/>
        </w:rPr>
        <w:t>compris dans le PU / surface nette</w:t>
      </w:r>
    </w:p>
    <w:p w14:paraId="32632231" w14:textId="77777777" w:rsidR="00DF410E" w:rsidRDefault="00CE7F43">
      <w:pPr>
        <w:pStyle w:val="Author-eListParagraph"/>
        <w:numPr>
          <w:ilvl w:val="0"/>
          <w:numId w:val="1077"/>
        </w:numPr>
      </w:pPr>
      <w:r>
        <w:rPr>
          <w:b/>
        </w:rPr>
        <w:t>(soit par défaut)</w:t>
      </w:r>
    </w:p>
    <w:p w14:paraId="20237EC1" w14:textId="77777777" w:rsidR="00DF410E" w:rsidRDefault="00CE7F43">
      <w:r>
        <w:rPr>
          <w:rStyle w:val="soitChar"/>
        </w:rPr>
        <w:t xml:space="preserve">1. </w:t>
      </w:r>
      <w:r>
        <w:rPr>
          <w:rStyle w:val="soitChar"/>
          <w:u w:val="single"/>
        </w:rPr>
        <w:t>Compris dans le prix unitaire</w:t>
      </w:r>
      <w:r>
        <w:rPr>
          <w:rStyle w:val="soitChar"/>
        </w:rPr>
        <w:t xml:space="preserve"> de la maçonnerie enterrée, à ventiler selon l’épaisseur de la feuille</w:t>
      </w:r>
    </w:p>
    <w:p w14:paraId="0CC27A7F" w14:textId="77777777" w:rsidR="00DF410E" w:rsidRDefault="00CE7F43">
      <w:pPr>
        <w:pStyle w:val="Author-eListParagraph"/>
        <w:numPr>
          <w:ilvl w:val="0"/>
          <w:numId w:val="1078"/>
        </w:numPr>
      </w:pPr>
      <w:r>
        <w:rPr>
          <w:b/>
        </w:rPr>
        <w:t>(soit)</w:t>
      </w:r>
    </w:p>
    <w:p w14:paraId="1BE21F73" w14:textId="77777777" w:rsidR="00DF410E" w:rsidRDefault="00CE7F43">
      <w:r>
        <w:rPr>
          <w:rStyle w:val="soitChar"/>
        </w:rPr>
        <w:t>2. S</w:t>
      </w:r>
      <w:r>
        <w:rPr>
          <w:rStyle w:val="soitChar"/>
          <w:u w:val="single"/>
        </w:rPr>
        <w:t>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r>
        <w:t>.</w:t>
      </w:r>
    </w:p>
    <w:p w14:paraId="4CDD32ED" w14:textId="77777777" w:rsidR="00DF410E" w:rsidRDefault="00CE7F43">
      <w:pPr>
        <w:pStyle w:val="pheading"/>
      </w:pPr>
      <w:r>
        <w:t>- nature du marché:</w:t>
      </w:r>
    </w:p>
    <w:p w14:paraId="5CF7981F" w14:textId="77777777" w:rsidR="00DF410E" w:rsidRDefault="00CE7F43">
      <w:r>
        <w:t xml:space="preserve">Choix opéré : </w:t>
      </w:r>
      <w:r>
        <w:rPr>
          <w:rStyle w:val="optioncarChar"/>
        </w:rPr>
        <w:t xml:space="preserve">PM </w:t>
      </w:r>
      <w:r>
        <w:t>(par défaut)</w:t>
      </w:r>
      <w:r>
        <w:rPr>
          <w:rStyle w:val="optioncarChar"/>
        </w:rPr>
        <w:t xml:space="preserve"> / QF</w:t>
      </w:r>
    </w:p>
    <w:p w14:paraId="2193B7ED" w14:textId="77777777" w:rsidR="00DF410E" w:rsidRDefault="00CE7F43">
      <w:pPr>
        <w:pStyle w:val="Author-eSectionHeading6"/>
      </w:pPr>
      <w:bookmarkStart w:id="1857" w:name="_Toc178838915"/>
      <w:r>
        <w:t>26.11.1b Couches d'étanchéité - membranes / PVC CCTB 01.11</w:t>
      </w:r>
      <w:bookmarkEnd w:id="1857"/>
    </w:p>
    <w:p w14:paraId="3B03D0B2" w14:textId="77777777" w:rsidR="00DF410E" w:rsidRDefault="00CE7F43">
      <w:pPr>
        <w:pStyle w:val="pheading"/>
      </w:pPr>
      <w:r>
        <w:t>MATÉRIAUX</w:t>
      </w:r>
    </w:p>
    <w:p w14:paraId="1C6A0F16" w14:textId="77777777" w:rsidR="00DF410E" w:rsidRDefault="00CE7F43">
      <w:pPr>
        <w:pStyle w:val="pheading"/>
      </w:pPr>
      <w:r>
        <w:t>- Caractéristiques générales</w:t>
      </w:r>
    </w:p>
    <w:p w14:paraId="2BD19157" w14:textId="77777777" w:rsidR="00DF410E" w:rsidRDefault="00CE7F43">
      <w:r>
        <w:rPr>
          <w:u w:val="single"/>
        </w:rPr>
        <w:t>Pour les membranes anticapillaires :</w:t>
      </w:r>
    </w:p>
    <w:p w14:paraId="21C181FC" w14:textId="77777777" w:rsidR="00DF410E" w:rsidRDefault="00CE7F43">
      <w:r>
        <w:t xml:space="preserve">L'étanchéité consiste en une membrane à base de chlorure de polyvinyle avec adjonction de plastifiants, stabilisateurs, fillers minéraux et pigments. La membrane est armée d’un tissu de verre. L'épaisseur de la membrane est d'au moins </w:t>
      </w:r>
      <w:r>
        <w:rPr>
          <w:rStyle w:val="optioncarChar"/>
        </w:rPr>
        <w:t>***</w:t>
      </w:r>
      <w:r>
        <w:t xml:space="preserve"> mm. </w:t>
      </w:r>
    </w:p>
    <w:p w14:paraId="17A4700C" w14:textId="77777777" w:rsidR="00DF410E" w:rsidRDefault="00CE7F43">
      <w:r>
        <w:rPr>
          <w:u w:val="single"/>
        </w:rPr>
        <w:t>Pour l’étanchéité dans les coulisses :</w:t>
      </w:r>
    </w:p>
    <w:p w14:paraId="1A6B4B7C" w14:textId="77777777" w:rsidR="00DF410E" w:rsidRDefault="00CE7F43">
      <w:r>
        <w:t>La membrane d’étanchéité consiste en une membrane à base de chlorure de polyvinyle avec adjonction de plastifiants, stabilisateurs, fillers minéraux et pigments. La membrane est armée d’un tissu de verre ayant un poids de</w:t>
      </w:r>
      <w:r>
        <w:rPr>
          <w:color w:val="FF0000"/>
        </w:rPr>
        <w:t xml:space="preserve"> 25 g/m2 </w:t>
      </w:r>
      <w:r>
        <w:t>(par défaut)</w:t>
      </w:r>
      <w:r>
        <w:rPr>
          <w:color w:val="FF0000"/>
        </w:rPr>
        <w:t xml:space="preserve"> / ***</w:t>
      </w:r>
    </w:p>
    <w:p w14:paraId="213BA6B2" w14:textId="77777777" w:rsidR="00DF410E" w:rsidRDefault="00CE7F43">
      <w:pPr>
        <w:pStyle w:val="heading"/>
      </w:pPr>
      <w:r>
        <w:t>Spécifications</w:t>
      </w:r>
    </w:p>
    <w:p w14:paraId="0876BB8E" w14:textId="77777777" w:rsidR="00DF410E" w:rsidRDefault="00CE7F43">
      <w:r>
        <w:t xml:space="preserve">Epaisseur de la membrane : minimum </w:t>
      </w:r>
      <w:r>
        <w:rPr>
          <w:rStyle w:val="optioncarChar"/>
        </w:rPr>
        <w:t>1,2 </w:t>
      </w:r>
      <w:r>
        <w:t>(par défaut)</w:t>
      </w:r>
      <w:r>
        <w:rPr>
          <w:rStyle w:val="optioncarChar"/>
        </w:rPr>
        <w:t xml:space="preserve"> / 1,5 / ***</w:t>
      </w:r>
      <w:r>
        <w:t xml:space="preserve"> mm.</w:t>
      </w:r>
    </w:p>
    <w:p w14:paraId="4E05F59A" w14:textId="77777777" w:rsidR="00DF410E" w:rsidRDefault="00CE7F43">
      <w:pPr>
        <w:pStyle w:val="pheading"/>
      </w:pPr>
      <w:r>
        <w:t>EXÉCUTION / MISE EN ŒUVRE</w:t>
      </w:r>
    </w:p>
    <w:p w14:paraId="55ABE591" w14:textId="77777777" w:rsidR="00DF410E" w:rsidRDefault="00CE7F43">
      <w:pPr>
        <w:pStyle w:val="pheading"/>
      </w:pPr>
      <w:r>
        <w:t>- Prescriptions générales</w:t>
      </w:r>
    </w:p>
    <w:p w14:paraId="3E92D699" w14:textId="77777777" w:rsidR="00DF410E" w:rsidRDefault="00CE7F43">
      <w:r>
        <w:rPr>
          <w:u w:val="single"/>
        </w:rPr>
        <w:t>Pour les membranes anticapillaires :</w:t>
      </w:r>
    </w:p>
    <w:p w14:paraId="223F8D24" w14:textId="77777777" w:rsidR="00DF410E" w:rsidRDefault="00CE7F43">
      <w:r>
        <w:t xml:space="preserve">Les bandes sont posées avec un chevauchement d’au moins </w:t>
      </w:r>
      <w:r>
        <w:rPr>
          <w:rStyle w:val="optioncarChar"/>
        </w:rPr>
        <w:t xml:space="preserve">10 </w:t>
      </w:r>
      <w:r>
        <w:t>(par défaut) </w:t>
      </w:r>
      <w:r>
        <w:rPr>
          <w:rStyle w:val="optioncarChar"/>
        </w:rPr>
        <w:t xml:space="preserve">/ *** </w:t>
      </w:r>
      <w:r>
        <w:t>cm. Les bandes de chevauchement sont éventuellement soudées entre elles sur toute la surface au moyen d’une colle ou d’un dissolvant. La soudure présente une largeur minimale de 30 mm. Les soudures sont protégées contre les infiltrations d’humidité par capillarité au moyen d’une solution à base de PVC. Le PVC est séparé du bitume par un voile de verre brut.</w:t>
      </w:r>
    </w:p>
    <w:p w14:paraId="7B166495" w14:textId="77777777" w:rsidR="00DF410E" w:rsidRDefault="00CE7F43">
      <w:r>
        <w:rPr>
          <w:u w:val="single"/>
        </w:rPr>
        <w:t>Pour l’étanchéité dans les coulisses :</w:t>
      </w:r>
    </w:p>
    <w:p w14:paraId="251DA569" w14:textId="77777777" w:rsidR="00DF410E" w:rsidRDefault="00CE7F43">
      <w:r>
        <w:t xml:space="preserve">Les chevauchements nécessaires et le mode d'assemblage correspondent à la nature du produit. Les lés sont posés avec un chevauchement d'au moins </w:t>
      </w:r>
      <w:r>
        <w:rPr>
          <w:rStyle w:val="optioncarChar"/>
        </w:rPr>
        <w:t xml:space="preserve">10 </w:t>
      </w:r>
      <w:r>
        <w:t>(par défaut) </w:t>
      </w:r>
      <w:r>
        <w:rPr>
          <w:rStyle w:val="optioncarChar"/>
        </w:rPr>
        <w:t xml:space="preserve">/ *** </w:t>
      </w:r>
      <w:r>
        <w:t>cm. Les chevauchements sont assemblés par soudure à l'aide d'une colle ou d'un produit solvant. La soudure présente une largeur d'au moins 30 mm. Les soudures sont protégées contre les infiltrations par capillarité à l'aide d'une solution de PVC. En vue d'éviter le contact entre le PVC et le bitume, on interpose une membrane en voile de verre.</w:t>
      </w:r>
    </w:p>
    <w:p w14:paraId="7D5F7B97" w14:textId="77777777" w:rsidR="00DF410E" w:rsidRDefault="00CE7F43">
      <w:r>
        <w:rPr>
          <w:u w:val="single"/>
        </w:rPr>
        <w:t xml:space="preserve">Type de pose de la membrane </w:t>
      </w:r>
      <w:r>
        <w:t xml:space="preserve">: </w:t>
      </w:r>
      <w:r>
        <w:rPr>
          <w:rStyle w:val="optioncarChar"/>
        </w:rPr>
        <w:t>posée</w:t>
      </w:r>
      <w:r>
        <w:t> (par défaut)</w:t>
      </w:r>
      <w:r>
        <w:rPr>
          <w:rStyle w:val="optioncarChar"/>
        </w:rPr>
        <w:t xml:space="preserve"> / insérée / collée/***</w:t>
      </w:r>
    </w:p>
    <w:p w14:paraId="531556E0" w14:textId="77777777" w:rsidR="00DF410E" w:rsidRDefault="00CE7F43">
      <w:pPr>
        <w:pStyle w:val="Author-eListParagraph"/>
        <w:numPr>
          <w:ilvl w:val="0"/>
          <w:numId w:val="1079"/>
        </w:numPr>
      </w:pPr>
      <w:r>
        <w:rPr>
          <w:b/>
        </w:rPr>
        <w:t>(soit par défaut)</w:t>
      </w:r>
    </w:p>
    <w:p w14:paraId="74B2B580" w14:textId="77777777" w:rsidR="00DF410E" w:rsidRDefault="00CE7F43">
      <w:r>
        <w:rPr>
          <w:rStyle w:val="soitChar"/>
        </w:rPr>
        <w:t>1.</w:t>
      </w:r>
      <w:r>
        <w:rPr>
          <w:rStyle w:val="soitChar"/>
          <w:u w:val="single"/>
        </w:rPr>
        <w:t>Posée:</w:t>
      </w:r>
      <w:r>
        <w:rPr>
          <w:rStyle w:val="soitChar"/>
        </w:rPr>
        <w:t> La couche d'étanchéité est posée sur toute la largeur du mur creux.</w:t>
      </w:r>
    </w:p>
    <w:p w14:paraId="06E9DF72" w14:textId="77777777" w:rsidR="00DF410E" w:rsidRDefault="00CE7F43">
      <w:pPr>
        <w:pStyle w:val="Author-eListParagraph"/>
        <w:numPr>
          <w:ilvl w:val="0"/>
          <w:numId w:val="1080"/>
        </w:numPr>
      </w:pPr>
      <w:r>
        <w:rPr>
          <w:b/>
        </w:rPr>
        <w:t xml:space="preserve">(soit) </w:t>
      </w:r>
    </w:p>
    <w:p w14:paraId="552DDA46" w14:textId="77777777" w:rsidR="00DF410E" w:rsidRDefault="00CE7F43">
      <w:r>
        <w:rPr>
          <w:rStyle w:val="soitChar"/>
        </w:rPr>
        <w:t xml:space="preserve">2. </w:t>
      </w:r>
      <w:r>
        <w:rPr>
          <w:rStyle w:val="soitChar"/>
          <w:u w:val="single"/>
        </w:rPr>
        <w:t>Insérée</w:t>
      </w:r>
      <w:r>
        <w:rPr>
          <w:rStyle w:val="soitChar"/>
        </w:rPr>
        <w:t xml:space="preserve">: La couche d'étanchéité sera insérée sur au moins </w:t>
      </w:r>
      <w:r>
        <w:rPr>
          <w:rStyle w:val="optioncarChar"/>
        </w:rPr>
        <w:t>5 </w:t>
      </w:r>
      <w:r>
        <w:t>(par défaut)</w:t>
      </w:r>
      <w:r>
        <w:rPr>
          <w:rStyle w:val="optioncarChar"/>
        </w:rPr>
        <w:t xml:space="preserve"> / ***</w:t>
      </w:r>
      <w:r>
        <w:rPr>
          <w:rStyle w:val="soitChar"/>
        </w:rPr>
        <w:t xml:space="preserve"> cm dans le mur de contre-façade.</w:t>
      </w:r>
    </w:p>
    <w:p w14:paraId="5B1BA2AB" w14:textId="77777777" w:rsidR="00DF410E" w:rsidRDefault="00CE7F43">
      <w:pPr>
        <w:pStyle w:val="Author-eListParagraph"/>
        <w:numPr>
          <w:ilvl w:val="0"/>
          <w:numId w:val="1081"/>
        </w:numPr>
      </w:pPr>
      <w:r>
        <w:rPr>
          <w:b/>
        </w:rPr>
        <w:t xml:space="preserve">(soit) </w:t>
      </w:r>
    </w:p>
    <w:p w14:paraId="4E3C61E5" w14:textId="77777777" w:rsidR="00DF410E" w:rsidRDefault="00CE7F43">
      <w:r>
        <w:rPr>
          <w:rStyle w:val="soitChar"/>
        </w:rPr>
        <w:t xml:space="preserve">3. </w:t>
      </w:r>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 xml:space="preserve">15 </w:t>
      </w:r>
      <w:r>
        <w:t>(par défaut) </w:t>
      </w:r>
      <w:r>
        <w:rPr>
          <w:rStyle w:val="optioncarChar"/>
        </w:rPr>
        <w:t>/ ***</w:t>
      </w:r>
      <w:r>
        <w:rPr>
          <w:rStyle w:val="soitChar"/>
        </w:rPr>
        <w:t xml:space="preserve"> cm contre le mur de contre-façade.</w:t>
      </w:r>
    </w:p>
    <w:p w14:paraId="7D847DFB" w14:textId="77777777" w:rsidR="00DF410E" w:rsidRDefault="00CE7F43">
      <w:pPr>
        <w:pStyle w:val="pheading"/>
      </w:pPr>
      <w:r>
        <w:t>MESURAGE</w:t>
      </w:r>
    </w:p>
    <w:p w14:paraId="5EE206AF" w14:textId="77777777" w:rsidR="00DF410E" w:rsidRDefault="00CE7F43">
      <w:pPr>
        <w:pStyle w:val="pheading"/>
      </w:pPr>
      <w:r>
        <w:t>- unité de mesure:</w:t>
      </w:r>
    </w:p>
    <w:p w14:paraId="20275532" w14:textId="77777777" w:rsidR="00DF410E" w:rsidRDefault="00CE7F43">
      <w:pPr>
        <w:pStyle w:val="soit"/>
      </w:pPr>
      <w:r>
        <w:rPr>
          <w:rStyle w:val="normalChar"/>
          <w:color w:val="000000"/>
        </w:rPr>
        <w:t>Choix opéré:</w:t>
      </w:r>
      <w:r>
        <w:rPr>
          <w:rStyle w:val="optioncarChar"/>
        </w:rPr>
        <w:t xml:space="preserve">- </w:t>
      </w:r>
      <w:r>
        <w:rPr>
          <w:rStyle w:val="normalChar"/>
          <w:color w:val="000000"/>
        </w:rPr>
        <w:t>(par défaut)</w:t>
      </w:r>
      <w:r>
        <w:rPr>
          <w:rStyle w:val="optioncarChar"/>
        </w:rPr>
        <w:t xml:space="preserve"> / m²</w:t>
      </w:r>
    </w:p>
    <w:p w14:paraId="1FFC2F0A" w14:textId="77777777" w:rsidR="00DF410E" w:rsidRDefault="00CE7F43">
      <w:pPr>
        <w:pStyle w:val="pheading"/>
      </w:pPr>
      <w:r>
        <w:t>- code de mesurage:</w:t>
      </w:r>
    </w:p>
    <w:p w14:paraId="28A55E3D" w14:textId="77777777" w:rsidR="00DF410E" w:rsidRDefault="00CE7F43">
      <w:r>
        <w:rPr>
          <w:b/>
        </w:rPr>
        <w:t>Choix opéré :</w:t>
      </w:r>
      <w:r>
        <w:rPr>
          <w:rStyle w:val="optioncarChar"/>
        </w:rPr>
        <w:t>Compris dans le PU  / surface nette</w:t>
      </w:r>
    </w:p>
    <w:p w14:paraId="6B1D0833" w14:textId="77777777" w:rsidR="00DF410E" w:rsidRDefault="00CE7F43">
      <w:pPr>
        <w:pStyle w:val="Author-eListParagraph"/>
        <w:numPr>
          <w:ilvl w:val="0"/>
          <w:numId w:val="1082"/>
        </w:numPr>
      </w:pPr>
      <w:r>
        <w:rPr>
          <w:b/>
        </w:rPr>
        <w:t>(soit par défaut)</w:t>
      </w:r>
    </w:p>
    <w:p w14:paraId="53D075A7" w14:textId="77777777" w:rsidR="00DF410E" w:rsidRDefault="00CE7F43">
      <w:r>
        <w:t xml:space="preserve">1. </w:t>
      </w:r>
      <w:r>
        <w:rPr>
          <w:u w:val="single"/>
        </w:rPr>
        <w:t>Compris</w:t>
      </w:r>
      <w:r>
        <w:t xml:space="preserve"> dans le prix unitaire de la maçonnerie enterrée, à ventiler selon l’épaisseur de la feuille</w:t>
      </w:r>
    </w:p>
    <w:p w14:paraId="7F3E5B82" w14:textId="77777777" w:rsidR="00DF410E" w:rsidRDefault="00CE7F43">
      <w:pPr>
        <w:pStyle w:val="Author-eListParagraph"/>
        <w:numPr>
          <w:ilvl w:val="0"/>
          <w:numId w:val="1083"/>
        </w:numPr>
      </w:pPr>
      <w:r>
        <w:rPr>
          <w:b/>
        </w:rPr>
        <w:t>(soit)</w:t>
      </w:r>
    </w:p>
    <w:p w14:paraId="1649943F" w14:textId="77777777" w:rsidR="00DF410E" w:rsidRDefault="00CE7F43">
      <w:r>
        <w:t xml:space="preserve">2. </w:t>
      </w:r>
      <w:r>
        <w:rPr>
          <w:u w:val="single"/>
        </w:rPr>
        <w:t>Surface nette</w:t>
      </w:r>
      <w:r>
        <w:t xml:space="preserve"> à effectuer. Les ouvertures supérieures à 0,5 m</w:t>
      </w:r>
      <w:r>
        <w:rPr>
          <w:vertAlign w:val="superscript"/>
        </w:rPr>
        <w:t>2</w:t>
      </w:r>
      <w:r>
        <w:t xml:space="preserve"> doivent être déduites.</w:t>
      </w:r>
    </w:p>
    <w:p w14:paraId="1FC8FED8" w14:textId="77777777" w:rsidR="00DF410E" w:rsidRDefault="00CE7F43">
      <w:pPr>
        <w:pStyle w:val="pheading"/>
      </w:pPr>
      <w:r>
        <w:t>- nature du marché:</w:t>
      </w:r>
    </w:p>
    <w:p w14:paraId="7CE562A8" w14:textId="77777777" w:rsidR="00DF410E" w:rsidRDefault="00CE7F43">
      <w:r>
        <w:rPr>
          <w:b/>
        </w:rPr>
        <w:t>Choix opéré :</w:t>
      </w:r>
      <w:r>
        <w:rPr>
          <w:rStyle w:val="optioncarChar"/>
        </w:rPr>
        <w:t xml:space="preserve">PM </w:t>
      </w:r>
      <w:r>
        <w:t>(par défaut)</w:t>
      </w:r>
      <w:r>
        <w:rPr>
          <w:rStyle w:val="optioncarChar"/>
        </w:rPr>
        <w:t xml:space="preserve"> / QF</w:t>
      </w:r>
    </w:p>
    <w:p w14:paraId="0706BE19" w14:textId="77777777" w:rsidR="00DF410E" w:rsidRDefault="00CE7F43">
      <w:pPr>
        <w:pStyle w:val="Author-eSectionHeading6"/>
      </w:pPr>
      <w:bookmarkStart w:id="1858" w:name="_Toc178838916"/>
      <w:r>
        <w:t>26.11.1c Couches d'étanchéité - membranes / PIB CCTB 01.11</w:t>
      </w:r>
      <w:bookmarkEnd w:id="1858"/>
    </w:p>
    <w:p w14:paraId="28B76A53" w14:textId="77777777" w:rsidR="00DF410E" w:rsidRDefault="00CE7F43">
      <w:pPr>
        <w:pStyle w:val="pheading"/>
      </w:pPr>
      <w:r>
        <w:t>MATÉRIAUX</w:t>
      </w:r>
    </w:p>
    <w:p w14:paraId="1F76B032" w14:textId="77777777" w:rsidR="00DF410E" w:rsidRDefault="00CE7F43">
      <w:pPr>
        <w:pStyle w:val="pheading"/>
      </w:pPr>
      <w:r>
        <w:t>- Caractéristiques générales</w:t>
      </w:r>
    </w:p>
    <w:p w14:paraId="275230ED" w14:textId="77777777" w:rsidR="00DF410E" w:rsidRDefault="00CE7F43">
      <w:r>
        <w:rPr>
          <w:u w:val="single"/>
        </w:rPr>
        <w:t>Pour les membranes anticapillaires :</w:t>
      </w:r>
    </w:p>
    <w:p w14:paraId="172BC7DF" w14:textId="77777777" w:rsidR="00DF410E" w:rsidRDefault="00CE7F43">
      <w:r>
        <w:t xml:space="preserve">L’étanchéité consiste en une membrane thermoplastique à base de polyisobutylène d’un poids moléculaire élevé et de fillers minéraux et exempts de plastifiants. L’épaisseur de la feuille de PIB est d'au moins </w:t>
      </w:r>
      <w:r>
        <w:rPr>
          <w:rStyle w:val="optioncarChar"/>
        </w:rPr>
        <w:t>***</w:t>
      </w:r>
      <w:r>
        <w:t xml:space="preserve"> mm.</w:t>
      </w:r>
    </w:p>
    <w:p w14:paraId="059F6C57" w14:textId="77777777" w:rsidR="00DF410E" w:rsidRDefault="00CE7F43">
      <w:r>
        <w:rPr>
          <w:u w:val="single"/>
        </w:rPr>
        <w:t>Pour l’étanchéité dans les coulisses :</w:t>
      </w:r>
    </w:p>
    <w:p w14:paraId="500BED2B" w14:textId="77777777" w:rsidR="00DF410E" w:rsidRDefault="00CE7F43">
      <w:r>
        <w:t xml:space="preserve">La membrane d’étanchéité consiste en une membrane thermoplastique à base de polyisobutylène d’un poids moléculaire élevé et de fillers minéraux et exempts de plastifiants. L'épaisseur de la feuille de PIB est d'au moins </w:t>
      </w:r>
      <w:r>
        <w:rPr>
          <w:rStyle w:val="optioncarChar"/>
        </w:rPr>
        <w:t>1,5 </w:t>
      </w:r>
      <w:r>
        <w:t>(par défaut)</w:t>
      </w:r>
      <w:r>
        <w:rPr>
          <w:rStyle w:val="optioncarChar"/>
        </w:rPr>
        <w:t xml:space="preserve"> / ***</w:t>
      </w:r>
      <w:r>
        <w:t xml:space="preserve"> mm.</w:t>
      </w:r>
    </w:p>
    <w:p w14:paraId="749660DC" w14:textId="77777777" w:rsidR="00DF410E" w:rsidRDefault="00CE7F43">
      <w:pPr>
        <w:pStyle w:val="pheading"/>
      </w:pPr>
      <w:r>
        <w:t>EXÉCUTION / MISE EN ŒUVRE</w:t>
      </w:r>
    </w:p>
    <w:p w14:paraId="480EDABF" w14:textId="77777777" w:rsidR="00DF410E" w:rsidRDefault="00CE7F43">
      <w:pPr>
        <w:pStyle w:val="pheading"/>
      </w:pPr>
      <w:r>
        <w:t>- Prescriptions générales</w:t>
      </w:r>
    </w:p>
    <w:p w14:paraId="7CEAB0EB" w14:textId="77777777" w:rsidR="00DF410E" w:rsidRDefault="00CE7F43">
      <w:r>
        <w:rPr>
          <w:u w:val="single"/>
        </w:rPr>
        <w:t>Pour les membranes anticapillaires :</w:t>
      </w:r>
    </w:p>
    <w:p w14:paraId="529217EA" w14:textId="77777777" w:rsidR="00DF410E" w:rsidRDefault="00CE7F43">
      <w:r>
        <w:t xml:space="preserve">Les bandes sont posées avec un chevauchement d’au moins </w:t>
      </w:r>
      <w:r>
        <w:rPr>
          <w:rStyle w:val="optioncarChar"/>
        </w:rPr>
        <w:t>10 </w:t>
      </w:r>
      <w:r>
        <w:t>(par défaut)</w:t>
      </w:r>
      <w:r>
        <w:rPr>
          <w:rStyle w:val="optioncarChar"/>
        </w:rPr>
        <w:t xml:space="preserve"> / *** </w:t>
      </w:r>
      <w:r>
        <w:t>cm. Les bandes de chevauchement sont éventuellement collées entre elles sur toute la surface à l'aide de bandes autocollantes ou de colle à froid. </w:t>
      </w:r>
    </w:p>
    <w:p w14:paraId="49AC3F41" w14:textId="77777777" w:rsidR="00DF410E" w:rsidRDefault="00CE7F43">
      <w:r>
        <w:rPr>
          <w:u w:val="single"/>
        </w:rPr>
        <w:t>Pour l’étanchéité dans les coulisses :</w:t>
      </w:r>
    </w:p>
    <w:p w14:paraId="700372E2" w14:textId="77777777" w:rsidR="00DF410E" w:rsidRDefault="00CE7F43">
      <w:r>
        <w:t xml:space="preserve">Les chevauchements nécessaires et le mode d'assemblage correspondent à la nature du produit. Les lés sont posés avec un chevauchement d'au moins </w:t>
      </w:r>
      <w:r>
        <w:rPr>
          <w:rStyle w:val="optioncarChar"/>
        </w:rPr>
        <w:t>5 </w:t>
      </w:r>
      <w:r>
        <w:t xml:space="preserve">(par défaut) </w:t>
      </w:r>
      <w:r>
        <w:rPr>
          <w:rStyle w:val="optioncarChar"/>
        </w:rPr>
        <w:t xml:space="preserve">/ *** </w:t>
      </w:r>
      <w:r>
        <w:t>cm. Les chevauchements sont assemblés sur toute leur surface à l'aide de bandes autocollantes ou d'une colle à froid.</w:t>
      </w:r>
    </w:p>
    <w:p w14:paraId="4F5B32E0" w14:textId="77777777" w:rsidR="00DF410E" w:rsidRDefault="00CE7F43">
      <w:r>
        <w:rPr>
          <w:u w:val="single"/>
        </w:rPr>
        <w:t>Type de pose de la membrane:</w:t>
      </w:r>
      <w:r>
        <w:t xml:space="preserve">  </w:t>
      </w:r>
      <w:r>
        <w:rPr>
          <w:rStyle w:val="optioncarChar"/>
        </w:rPr>
        <w:t>posée / insérée / collée</w:t>
      </w:r>
    </w:p>
    <w:p w14:paraId="78BB8F11" w14:textId="77777777" w:rsidR="00DF410E" w:rsidRDefault="00CE7F43">
      <w:r>
        <w:rPr>
          <w:b/>
        </w:rPr>
        <w:t xml:space="preserve">(soit) </w:t>
      </w:r>
    </w:p>
    <w:p w14:paraId="4E6C7B42" w14:textId="77777777" w:rsidR="00DF410E" w:rsidRDefault="00CE7F43">
      <w:r>
        <w:rPr>
          <w:rStyle w:val="soitChar"/>
          <w:u w:val="single"/>
        </w:rPr>
        <w:t>Posée</w:t>
      </w:r>
      <w:r>
        <w:rPr>
          <w:rStyle w:val="soitChar"/>
        </w:rPr>
        <w:t>: La couche d'étanchéité est posée sur toute la largeur du mur creux.</w:t>
      </w:r>
    </w:p>
    <w:p w14:paraId="32C16506" w14:textId="77777777" w:rsidR="00DF410E" w:rsidRDefault="00CE7F43">
      <w:r>
        <w:rPr>
          <w:b/>
        </w:rPr>
        <w:t xml:space="preserve">(soit) </w:t>
      </w:r>
    </w:p>
    <w:p w14:paraId="404D6D0C" w14:textId="77777777" w:rsidR="00DF410E" w:rsidRDefault="00CE7F43">
      <w:r>
        <w:rPr>
          <w:rStyle w:val="soitChar"/>
          <w:u w:val="single"/>
        </w:rPr>
        <w:t>Insérée</w:t>
      </w:r>
      <w:r>
        <w:rPr>
          <w:rStyle w:val="soitChar"/>
        </w:rPr>
        <w:t xml:space="preserve">: La couche d'étanchéité est insérée sur au moins </w:t>
      </w:r>
      <w:r>
        <w:rPr>
          <w:rStyle w:val="optioncarChar"/>
        </w:rPr>
        <w:t xml:space="preserve">5 </w:t>
      </w:r>
      <w:r>
        <w:t>(par défaut) </w:t>
      </w:r>
      <w:r>
        <w:rPr>
          <w:rStyle w:val="optioncarChar"/>
        </w:rPr>
        <w:t xml:space="preserve">/ *** </w:t>
      </w:r>
      <w:r>
        <w:rPr>
          <w:rStyle w:val="soitChar"/>
        </w:rPr>
        <w:t>cm dans le mur de contre-façade.</w:t>
      </w:r>
    </w:p>
    <w:p w14:paraId="755D4557" w14:textId="77777777" w:rsidR="00DF410E" w:rsidRDefault="00CE7F43">
      <w:r>
        <w:rPr>
          <w:b/>
        </w:rPr>
        <w:t xml:space="preserve">(soit) </w:t>
      </w:r>
    </w:p>
    <w:p w14:paraId="163A0E99" w14:textId="77777777" w:rsidR="00DF410E" w:rsidRDefault="00CE7F43">
      <w:r>
        <w:rPr>
          <w:rStyle w:val="soitChar"/>
          <w:u w:val="single"/>
        </w:rPr>
        <w:t>Collée</w:t>
      </w:r>
      <w:r>
        <w:rPr>
          <w:rStyle w:val="soitChar"/>
        </w:rPr>
        <w:t xml:space="preserve">: Au cas où l’isolation ne peut s’insérer dans le mur de contre-façade, elle est collée sur une hauteur d’au moins </w:t>
      </w:r>
      <w:r>
        <w:rPr>
          <w:rStyle w:val="optioncarChar"/>
        </w:rPr>
        <w:t xml:space="preserve">15 </w:t>
      </w:r>
      <w:r>
        <w:t>(par défaut) </w:t>
      </w:r>
      <w:r>
        <w:rPr>
          <w:rStyle w:val="optioncarChar"/>
        </w:rPr>
        <w:t>/ ***</w:t>
      </w:r>
      <w:r>
        <w:rPr>
          <w:rStyle w:val="soitChar"/>
        </w:rPr>
        <w:t xml:space="preserve"> cm contre le mur de contre-façade. La différence de hauteur entre l'assise dans le mur de contre-façade et le mur intérieur est d'au moins </w:t>
      </w:r>
      <w:r>
        <w:rPr>
          <w:rStyle w:val="optioncarChar"/>
        </w:rPr>
        <w:t>10 </w:t>
      </w:r>
      <w:r>
        <w:t>(par défaut)</w:t>
      </w:r>
      <w:r>
        <w:rPr>
          <w:rStyle w:val="optioncarChar"/>
        </w:rPr>
        <w:t xml:space="preserve"> / ***</w:t>
      </w:r>
      <w:r>
        <w:rPr>
          <w:rStyle w:val="soitChar"/>
        </w:rPr>
        <w:t xml:space="preserve"> cm.</w:t>
      </w:r>
    </w:p>
    <w:p w14:paraId="4C4EBDF3" w14:textId="77777777" w:rsidR="00DF410E" w:rsidRDefault="00CE7F43">
      <w:pPr>
        <w:pStyle w:val="pheading"/>
      </w:pPr>
      <w:r>
        <w:t>- Notes d’exécution complémentaires</w:t>
      </w:r>
    </w:p>
    <w:p w14:paraId="03DA003A" w14:textId="77777777" w:rsidR="00DF410E" w:rsidRDefault="00CE7F43">
      <w:r>
        <w:rPr>
          <w:u w:val="single"/>
        </w:rPr>
        <w:t>Pour les membranes anticapillaires :</w:t>
      </w:r>
    </w:p>
    <w:p w14:paraId="5D476897" w14:textId="77777777" w:rsidR="00DF410E" w:rsidRDefault="00CE7F43">
      <w:r>
        <w:t xml:space="preserve">l’étanchéité des pieds de murs creux : La différence de hauteur entre l'assise du mur de contre-façade et le parement extérieur est d'au moins </w:t>
      </w:r>
      <w:r>
        <w:rPr>
          <w:rStyle w:val="optioncarChar"/>
        </w:rPr>
        <w:t>10 </w:t>
      </w:r>
      <w:r>
        <w:t>(par défaut)</w:t>
      </w:r>
      <w:r>
        <w:rPr>
          <w:rStyle w:val="optioncarChar"/>
        </w:rPr>
        <w:t xml:space="preserve"> / ***</w:t>
      </w:r>
      <w:r>
        <w:t xml:space="preserve"> cm.</w:t>
      </w:r>
    </w:p>
    <w:p w14:paraId="1784598D" w14:textId="77777777" w:rsidR="00DF410E" w:rsidRDefault="00CE7F43">
      <w:pPr>
        <w:pStyle w:val="pheading"/>
      </w:pPr>
      <w:r>
        <w:t>MESURAGE</w:t>
      </w:r>
    </w:p>
    <w:p w14:paraId="4B6C30E4" w14:textId="77777777" w:rsidR="00DF410E" w:rsidRDefault="00CE7F43">
      <w:pPr>
        <w:pStyle w:val="pheading"/>
      </w:pPr>
      <w:r>
        <w:t>- unité de mesure:</w:t>
      </w:r>
    </w:p>
    <w:p w14:paraId="109C7D4A" w14:textId="77777777" w:rsidR="00DF410E" w:rsidRDefault="00CE7F43">
      <w:pPr>
        <w:pStyle w:val="soit"/>
      </w:pPr>
      <w:r>
        <w:rPr>
          <w:rStyle w:val="normalChar"/>
          <w:b/>
          <w:color w:val="000000"/>
        </w:rPr>
        <w:t xml:space="preserve">Choix opéré: </w:t>
      </w:r>
      <w:r>
        <w:rPr>
          <w:rStyle w:val="optioncarChar"/>
          <w:color w:val="000000"/>
        </w:rPr>
        <w:t xml:space="preserve">- </w:t>
      </w:r>
      <w:r>
        <w:rPr>
          <w:rStyle w:val="normalChar"/>
          <w:color w:val="000000"/>
        </w:rPr>
        <w:t>(par défaut)</w:t>
      </w:r>
      <w:r>
        <w:rPr>
          <w:rStyle w:val="optioncarChar"/>
          <w:color w:val="000000"/>
        </w:rPr>
        <w:t xml:space="preserve"> / m²</w:t>
      </w:r>
    </w:p>
    <w:p w14:paraId="5E7F26EB" w14:textId="77777777" w:rsidR="00DF410E" w:rsidRDefault="00CE7F43">
      <w:pPr>
        <w:pStyle w:val="pheading"/>
      </w:pPr>
      <w:r>
        <w:t>- code de mesurage:</w:t>
      </w:r>
    </w:p>
    <w:p w14:paraId="4F04F790" w14:textId="77777777" w:rsidR="00DF410E" w:rsidRDefault="00CE7F43">
      <w:r>
        <w:t xml:space="preserve">Choix opéré: </w:t>
      </w:r>
      <w:r>
        <w:rPr>
          <w:rStyle w:val="optioncarChar"/>
        </w:rPr>
        <w:t>Compris / Surface nette</w:t>
      </w:r>
    </w:p>
    <w:p w14:paraId="0C9A2243" w14:textId="77777777" w:rsidR="00DF410E" w:rsidRDefault="00CE7F43">
      <w:pPr>
        <w:pStyle w:val="Author-eListParagraph"/>
        <w:numPr>
          <w:ilvl w:val="0"/>
          <w:numId w:val="1084"/>
        </w:numPr>
      </w:pPr>
      <w:r>
        <w:rPr>
          <w:b/>
        </w:rPr>
        <w:t>(soit par défaut)</w:t>
      </w:r>
    </w:p>
    <w:p w14:paraId="10211ABE" w14:textId="77777777" w:rsidR="00DF410E" w:rsidRDefault="00CE7F43">
      <w:r>
        <w:rPr>
          <w:rStyle w:val="soitChar"/>
        </w:rPr>
        <w:t xml:space="preserve">1. </w:t>
      </w:r>
      <w:r>
        <w:rPr>
          <w:rStyle w:val="soitChar"/>
          <w:u w:val="single"/>
        </w:rPr>
        <w:t>Compris</w:t>
      </w:r>
      <w:r>
        <w:rPr>
          <w:rStyle w:val="soitChar"/>
        </w:rPr>
        <w:t xml:space="preserve"> dans le prix unitaire de la maçonnerie enterrée.</w:t>
      </w:r>
    </w:p>
    <w:p w14:paraId="610B998D" w14:textId="77777777" w:rsidR="00DF410E" w:rsidRDefault="00CE7F43">
      <w:pPr>
        <w:pStyle w:val="Author-eListParagraph"/>
        <w:numPr>
          <w:ilvl w:val="0"/>
          <w:numId w:val="1085"/>
        </w:numPr>
      </w:pPr>
      <w:r>
        <w:rPr>
          <w:b/>
        </w:rPr>
        <w:t>(soit)</w:t>
      </w:r>
    </w:p>
    <w:p w14:paraId="150EAEB6" w14:textId="77777777" w:rsidR="00DF410E" w:rsidRDefault="00CE7F43">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6F513296" w14:textId="77777777" w:rsidR="00DF410E" w:rsidRDefault="00CE7F43">
      <w:pPr>
        <w:pStyle w:val="pheading"/>
      </w:pPr>
      <w:r>
        <w:t>- nature du marché:</w:t>
      </w:r>
    </w:p>
    <w:p w14:paraId="190EA6B8" w14:textId="77777777" w:rsidR="00DF410E" w:rsidRDefault="00CE7F43">
      <w:r>
        <w:rPr>
          <w:b/>
        </w:rPr>
        <w:t>Choix opéré :</w:t>
      </w:r>
      <w:r>
        <w:rPr>
          <w:rStyle w:val="optioncarChar"/>
        </w:rPr>
        <w:t xml:space="preserve">PM </w:t>
      </w:r>
      <w:r>
        <w:t>(par défaut)</w:t>
      </w:r>
      <w:r>
        <w:rPr>
          <w:rStyle w:val="optioncarChar"/>
        </w:rPr>
        <w:t xml:space="preserve"> / QF</w:t>
      </w:r>
    </w:p>
    <w:p w14:paraId="621EAEFE" w14:textId="77777777" w:rsidR="00DF410E" w:rsidRDefault="00CE7F43">
      <w:pPr>
        <w:pStyle w:val="Author-eSectionHeading6"/>
      </w:pPr>
      <w:bookmarkStart w:id="1859" w:name="_Toc178838917"/>
      <w:r>
        <w:t>26.11.1d Couches d'étanchéité - caoutchouc de butyle CCTB 01.11</w:t>
      </w:r>
      <w:bookmarkEnd w:id="1859"/>
    </w:p>
    <w:p w14:paraId="4E2C316C" w14:textId="77777777" w:rsidR="00DF410E" w:rsidRDefault="00CE7F43">
      <w:pPr>
        <w:pStyle w:val="pheading"/>
      </w:pPr>
      <w:r>
        <w:t>MATÉRIAUX</w:t>
      </w:r>
    </w:p>
    <w:p w14:paraId="1070CC56" w14:textId="77777777" w:rsidR="00DF410E" w:rsidRDefault="00CE7F43">
      <w:pPr>
        <w:pStyle w:val="pheading"/>
      </w:pPr>
      <w:r>
        <w:t>- Caractéristiques générales</w:t>
      </w:r>
    </w:p>
    <w:p w14:paraId="525BB963" w14:textId="77777777" w:rsidR="00DF410E" w:rsidRDefault="00CE7F43">
      <w:r>
        <w:rPr>
          <w:u w:val="single"/>
        </w:rPr>
        <w:t>Pour les membranes anticapillaires :</w:t>
      </w:r>
    </w:p>
    <w:p w14:paraId="23E3E302" w14:textId="77777777" w:rsidR="00DF410E" w:rsidRDefault="00CE7F43">
      <w:r>
        <w:t xml:space="preserve">L’étanchéité consiste en une couche de caoutchouc de butyle, un élastomère à insaturation réduite, qui est obtenu par copolymérisation à basse température d’isobutylène et de quantités réduites d’isoprène. L'allongement à la rupture est d'au moins 400%. L’épaisseur de la feuille de butyle est d'au moins </w:t>
      </w:r>
      <w:r>
        <w:rPr>
          <w:rStyle w:val="optioncarChar"/>
        </w:rPr>
        <w:t>***</w:t>
      </w:r>
      <w:r>
        <w:t xml:space="preserve"> mm.</w:t>
      </w:r>
    </w:p>
    <w:p w14:paraId="7888879C" w14:textId="77777777" w:rsidR="00DF410E" w:rsidRDefault="00CE7F43">
      <w:r>
        <w:rPr>
          <w:u w:val="single"/>
        </w:rPr>
        <w:t>Pour l’étanchéité dans les coulisses :</w:t>
      </w:r>
    </w:p>
    <w:p w14:paraId="28C75B3E" w14:textId="77777777" w:rsidR="00DF410E" w:rsidRDefault="00CE7F43">
      <w:r>
        <w:t xml:space="preserve">La membrane d’étanchéité consiste en une couche de caoutchouc de butyle, un élastomère à insaturation réduite, qui est obtenu par copolymérisation à basse température d’isobutylène et de quantités réduites d’isoprène. L'allongement à la rupture est d'au moins 400%. L'épaisseur de la feuille de butyle est d'au moins </w:t>
      </w:r>
      <w:r>
        <w:rPr>
          <w:rStyle w:val="optioncarChar"/>
        </w:rPr>
        <w:t>1,2</w:t>
      </w:r>
      <w:r>
        <w:t xml:space="preserve"> (par défaut)</w:t>
      </w:r>
      <w:r>
        <w:rPr>
          <w:rStyle w:val="optioncarChar"/>
        </w:rPr>
        <w:t> / 1,5 / ***</w:t>
      </w:r>
      <w:r>
        <w:t xml:space="preserve"> mm.</w:t>
      </w:r>
    </w:p>
    <w:p w14:paraId="03041ED6" w14:textId="77777777" w:rsidR="00DF410E" w:rsidRDefault="00CE7F43">
      <w:pPr>
        <w:pStyle w:val="pheading"/>
      </w:pPr>
      <w:r>
        <w:t>EXÉCUTION / MISE EN ŒUVRE</w:t>
      </w:r>
    </w:p>
    <w:p w14:paraId="501FABE4" w14:textId="77777777" w:rsidR="00DF410E" w:rsidRDefault="00CE7F43">
      <w:pPr>
        <w:pStyle w:val="pheading"/>
      </w:pPr>
      <w:r>
        <w:t>- Prescriptions générales</w:t>
      </w:r>
    </w:p>
    <w:p w14:paraId="6A1233DA" w14:textId="77777777" w:rsidR="00DF410E" w:rsidRDefault="00CE7F43">
      <w:r>
        <w:rPr>
          <w:u w:val="single"/>
        </w:rPr>
        <w:t>Pour les membranes anticapillaires :</w:t>
      </w:r>
    </w:p>
    <w:p w14:paraId="575C23DC" w14:textId="77777777" w:rsidR="00DF410E" w:rsidRDefault="00CE7F43">
      <w:r>
        <w:t xml:space="preserve">Les bandes sont posées avec un chevauchement d’au moins </w:t>
      </w:r>
      <w:r>
        <w:rPr>
          <w:rStyle w:val="optioncarChar"/>
        </w:rPr>
        <w:t>10 </w:t>
      </w:r>
      <w:r>
        <w:t>(par défaut)</w:t>
      </w:r>
      <w:r>
        <w:rPr>
          <w:rStyle w:val="optioncarChar"/>
        </w:rPr>
        <w:t xml:space="preserve"> / ***</w:t>
      </w:r>
      <w:r>
        <w:t xml:space="preserve"> cm. Les bandes de chevauchement sont éventuellement collées entre elles sur toute la surface au moyen d’une bande adhésive et d’une solution de caoutchouc.</w:t>
      </w:r>
    </w:p>
    <w:p w14:paraId="04D89DD2" w14:textId="77777777" w:rsidR="00DF410E" w:rsidRDefault="00CE7F43">
      <w:r>
        <w:rPr>
          <w:u w:val="single"/>
        </w:rPr>
        <w:t>Pour l’étanchéité dans les coulisses :</w:t>
      </w:r>
    </w:p>
    <w:p w14:paraId="052B2E2D" w14:textId="77777777" w:rsidR="00DF410E" w:rsidRDefault="00CE7F43">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à l'aide d'une bande adhésive et d'une solution de caoutchouc.</w:t>
      </w:r>
    </w:p>
    <w:p w14:paraId="64972041" w14:textId="77777777" w:rsidR="00DF410E" w:rsidRDefault="00CE7F43">
      <w:r>
        <w:rPr>
          <w:u w:val="single"/>
        </w:rPr>
        <w:t xml:space="preserve">Type de pose de la membrane: </w:t>
      </w:r>
      <w:r>
        <w:rPr>
          <w:rStyle w:val="optioncarChar"/>
        </w:rPr>
        <w:t>Posée / insérée / collée</w:t>
      </w:r>
    </w:p>
    <w:p w14:paraId="14BD4864" w14:textId="77777777" w:rsidR="00DF410E" w:rsidRDefault="00CE7F43">
      <w:pPr>
        <w:pStyle w:val="Author-eListParagraph"/>
        <w:numPr>
          <w:ilvl w:val="0"/>
          <w:numId w:val="1086"/>
        </w:numPr>
      </w:pPr>
      <w:r>
        <w:rPr>
          <w:b/>
        </w:rPr>
        <w:t xml:space="preserve">(soit) </w:t>
      </w:r>
    </w:p>
    <w:p w14:paraId="3C8ED196" w14:textId="77777777" w:rsidR="00DF410E" w:rsidRDefault="00CE7F43">
      <w:r>
        <w:rPr>
          <w:rStyle w:val="soitChar"/>
        </w:rPr>
        <w:t xml:space="preserve">1. </w:t>
      </w:r>
      <w:r>
        <w:rPr>
          <w:rStyle w:val="soitChar"/>
          <w:u w:val="single"/>
        </w:rPr>
        <w:t>Posée:</w:t>
      </w:r>
      <w:r>
        <w:rPr>
          <w:rStyle w:val="soitChar"/>
        </w:rPr>
        <w:t xml:space="preserve"> La couche d'étanchéité est posée sur toute la largeur du mur creux.</w:t>
      </w:r>
    </w:p>
    <w:p w14:paraId="4E0B363E" w14:textId="77777777" w:rsidR="00DF410E" w:rsidRDefault="00CE7F43">
      <w:pPr>
        <w:pStyle w:val="Author-eListParagraph"/>
        <w:numPr>
          <w:ilvl w:val="0"/>
          <w:numId w:val="1087"/>
        </w:numPr>
      </w:pPr>
      <w:r>
        <w:rPr>
          <w:b/>
        </w:rPr>
        <w:t>(soit)</w:t>
      </w:r>
    </w:p>
    <w:p w14:paraId="1F2CBEB1" w14:textId="77777777" w:rsidR="00DF410E" w:rsidRDefault="00CE7F43">
      <w:r>
        <w:rPr>
          <w:rStyle w:val="soitChar"/>
        </w:rPr>
        <w:t xml:space="preserve">2. </w:t>
      </w:r>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xml:space="preserve"> / ***</w:t>
      </w:r>
      <w:r>
        <w:rPr>
          <w:rStyle w:val="soitChar"/>
        </w:rPr>
        <w:t xml:space="preserve"> cm dans le mur de contre-façade.</w:t>
      </w:r>
    </w:p>
    <w:p w14:paraId="129C61CC" w14:textId="77777777" w:rsidR="00DF410E" w:rsidRDefault="00CE7F43">
      <w:pPr>
        <w:pStyle w:val="Author-eListParagraph"/>
        <w:numPr>
          <w:ilvl w:val="0"/>
          <w:numId w:val="1088"/>
        </w:numPr>
      </w:pPr>
      <w:r>
        <w:rPr>
          <w:b/>
        </w:rPr>
        <w:t>(soit)</w:t>
      </w:r>
    </w:p>
    <w:p w14:paraId="14608C41" w14:textId="77777777" w:rsidR="00DF410E" w:rsidRDefault="00CE7F43">
      <w:r>
        <w:rPr>
          <w:rStyle w:val="soitChar"/>
        </w:rPr>
        <w:t xml:space="preserve">3. </w:t>
      </w:r>
      <w:r>
        <w:rPr>
          <w:rStyle w:val="soitChar"/>
          <w:u w:val="single"/>
        </w:rPr>
        <w:t>Collée:</w:t>
      </w:r>
      <w:r>
        <w:rPr>
          <w:rStyle w:val="soitChar"/>
        </w:rPr>
        <w:t xml:space="preserve"> Au cas où l’isolation ne peut s’insérer dans le mur de contre-façade, elle est collée sur une hauteur d’au moins </w:t>
      </w:r>
      <w:r>
        <w:rPr>
          <w:rStyle w:val="optioncarChar"/>
        </w:rPr>
        <w:t>15 </w:t>
      </w:r>
      <w:r>
        <w:t>(par défaut)</w:t>
      </w:r>
      <w:r>
        <w:rPr>
          <w:rStyle w:val="optioncarChar"/>
        </w:rPr>
        <w:t xml:space="preserve"> / ***</w:t>
      </w:r>
      <w:r>
        <w:rPr>
          <w:rStyle w:val="soitChar"/>
        </w:rPr>
        <w:t xml:space="preserve"> cm contre le mur de contre-façade. La différence de hauteur entre l'assise dans le mur de contre-façade et le mur intérieur sera d'au moins </w:t>
      </w:r>
      <w:r>
        <w:rPr>
          <w:rStyle w:val="optioncarChar"/>
        </w:rPr>
        <w:t>10 </w:t>
      </w:r>
      <w:r>
        <w:t>(par défaut)</w:t>
      </w:r>
      <w:r>
        <w:rPr>
          <w:rStyle w:val="optioncarChar"/>
        </w:rPr>
        <w:t xml:space="preserve">  / ***</w:t>
      </w:r>
      <w:r>
        <w:rPr>
          <w:rStyle w:val="soitChar"/>
        </w:rPr>
        <w:t xml:space="preserve"> cm.</w:t>
      </w:r>
    </w:p>
    <w:p w14:paraId="56F1557B" w14:textId="77777777" w:rsidR="00DF410E" w:rsidRDefault="00CE7F43">
      <w:pPr>
        <w:pStyle w:val="pheading"/>
      </w:pPr>
      <w:r>
        <w:t>- Notes d’exécution complémentaires</w:t>
      </w:r>
    </w:p>
    <w:p w14:paraId="03692E8C" w14:textId="77777777" w:rsidR="00DF410E" w:rsidRDefault="00CE7F43">
      <w:r>
        <w:rPr>
          <w:u w:val="single"/>
        </w:rPr>
        <w:t>Pour les membranes anticapillaires :</w:t>
      </w:r>
    </w:p>
    <w:p w14:paraId="752B62AF" w14:textId="77777777" w:rsidR="00DF410E" w:rsidRDefault="00CE7F43">
      <w:r>
        <w:t xml:space="preserve">L’étanchéité des pieds de murs creux : La différence de hauteur entre l'assise du mur de contre-façade et le parement extérieur sera d'au moins </w:t>
      </w:r>
      <w:r>
        <w:rPr>
          <w:rStyle w:val="optioncarChar"/>
        </w:rPr>
        <w:t>10</w:t>
      </w:r>
      <w:r>
        <w:t xml:space="preserve"> (par défaut)</w:t>
      </w:r>
      <w:r>
        <w:rPr>
          <w:rStyle w:val="optioncarChar"/>
        </w:rPr>
        <w:t> / ***</w:t>
      </w:r>
      <w:r>
        <w:t xml:space="preserve"> cm.</w:t>
      </w:r>
    </w:p>
    <w:p w14:paraId="1C75CBC3" w14:textId="77777777" w:rsidR="00DF410E" w:rsidRDefault="00CE7F43">
      <w:pPr>
        <w:pStyle w:val="pheading"/>
      </w:pPr>
      <w:r>
        <w:t>MESURAGE</w:t>
      </w:r>
    </w:p>
    <w:p w14:paraId="6E16B8CD" w14:textId="77777777" w:rsidR="00DF410E" w:rsidRDefault="00CE7F43">
      <w:pPr>
        <w:pStyle w:val="pheading"/>
      </w:pPr>
      <w:r>
        <w:t>- unité de mesure:</w:t>
      </w:r>
    </w:p>
    <w:p w14:paraId="78BC7CD1" w14:textId="77777777" w:rsidR="00DF410E" w:rsidRDefault="00CE7F43">
      <w:r>
        <w:t xml:space="preserve">Choix opéré : </w:t>
      </w:r>
      <w:r>
        <w:rPr>
          <w:rStyle w:val="optioncarChar"/>
        </w:rPr>
        <w:t>- / m²</w:t>
      </w:r>
    </w:p>
    <w:p w14:paraId="720D50F0" w14:textId="77777777" w:rsidR="00DF410E" w:rsidRDefault="00CE7F43">
      <w:pPr>
        <w:pStyle w:val="pheading"/>
      </w:pPr>
      <w:r>
        <w:t>- code de mesurage:</w:t>
      </w:r>
    </w:p>
    <w:p w14:paraId="03E70080" w14:textId="77777777" w:rsidR="00DF410E" w:rsidRDefault="00CE7F43">
      <w:r>
        <w:t xml:space="preserve">Choix opéré : </w:t>
      </w:r>
      <w:r>
        <w:rPr>
          <w:rStyle w:val="optioncarChar"/>
        </w:rPr>
        <w:t>Compris / Surface nette</w:t>
      </w:r>
    </w:p>
    <w:p w14:paraId="500AE4F9" w14:textId="77777777" w:rsidR="00DF410E" w:rsidRDefault="00CE7F43">
      <w:pPr>
        <w:pStyle w:val="Author-eListParagraph"/>
        <w:numPr>
          <w:ilvl w:val="0"/>
          <w:numId w:val="1089"/>
        </w:numPr>
      </w:pPr>
      <w:r>
        <w:t>(</w:t>
      </w:r>
      <w:r>
        <w:rPr>
          <w:b/>
        </w:rPr>
        <w:t>soit par défaut)</w:t>
      </w:r>
    </w:p>
    <w:p w14:paraId="4CFF0052" w14:textId="77777777" w:rsidR="00DF410E" w:rsidRDefault="00CE7F43">
      <w:r>
        <w:rPr>
          <w:rStyle w:val="soitChar"/>
        </w:rPr>
        <w:t xml:space="preserve">1. </w:t>
      </w:r>
      <w:r>
        <w:rPr>
          <w:rStyle w:val="soitChar"/>
          <w:u w:val="single"/>
        </w:rPr>
        <w:t>Compris</w:t>
      </w:r>
      <w:r>
        <w:rPr>
          <w:rStyle w:val="soitChar"/>
        </w:rPr>
        <w:t xml:space="preserve"> dans le prix unitaire de la maçonnerie enterrée, à ventiler selon l’épaisseur de la membrane</w:t>
      </w:r>
    </w:p>
    <w:p w14:paraId="6DBC17C9" w14:textId="77777777" w:rsidR="00DF410E" w:rsidRDefault="00CE7F43">
      <w:pPr>
        <w:pStyle w:val="Author-eListParagraph"/>
        <w:numPr>
          <w:ilvl w:val="0"/>
          <w:numId w:val="1090"/>
        </w:numPr>
      </w:pPr>
      <w:r>
        <w:rPr>
          <w:b/>
        </w:rPr>
        <w:t>(soit)</w:t>
      </w:r>
    </w:p>
    <w:p w14:paraId="63E97D97" w14:textId="77777777" w:rsidR="00DF410E" w:rsidRDefault="00CE7F43">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0F840890" w14:textId="77777777" w:rsidR="00DF410E" w:rsidRDefault="00CE7F43">
      <w:pPr>
        <w:pStyle w:val="pheading"/>
      </w:pPr>
      <w:r>
        <w:t>- nature du marché:</w:t>
      </w:r>
    </w:p>
    <w:p w14:paraId="574935B5" w14:textId="77777777" w:rsidR="00DF410E" w:rsidRDefault="00CE7F43">
      <w:r>
        <w:rPr>
          <w:rStyle w:val="optioncarChar"/>
        </w:rPr>
        <w:t xml:space="preserve">PM </w:t>
      </w:r>
      <w:r>
        <w:t>(par défaut)</w:t>
      </w:r>
      <w:r>
        <w:rPr>
          <w:rStyle w:val="optioncarChar"/>
        </w:rPr>
        <w:t xml:space="preserve"> / QF</w:t>
      </w:r>
    </w:p>
    <w:p w14:paraId="2E9E3FD7" w14:textId="77777777" w:rsidR="00DF410E" w:rsidRDefault="00CE7F43">
      <w:pPr>
        <w:pStyle w:val="Author-eSectionHeading6"/>
      </w:pPr>
      <w:bookmarkStart w:id="1860" w:name="_Toc178838918"/>
      <w:r>
        <w:t>26.11.1e Couches d'étanchéité - membranes de verre bituminées CCTB 01.11</w:t>
      </w:r>
      <w:bookmarkEnd w:id="1860"/>
    </w:p>
    <w:p w14:paraId="0803E1D7" w14:textId="77777777" w:rsidR="00DF410E" w:rsidRDefault="00CE7F43">
      <w:pPr>
        <w:pStyle w:val="pheading"/>
      </w:pPr>
      <w:r>
        <w:t>MATÉRIAUX</w:t>
      </w:r>
    </w:p>
    <w:p w14:paraId="17FBBA91" w14:textId="77777777" w:rsidR="00DF410E" w:rsidRDefault="00CE7F43">
      <w:pPr>
        <w:pStyle w:val="pheading"/>
      </w:pPr>
      <w:r>
        <w:t>- Caractéristiques générales</w:t>
      </w:r>
    </w:p>
    <w:p w14:paraId="2F310EC4" w14:textId="77777777" w:rsidR="00DF410E" w:rsidRDefault="00CE7F43">
      <w:r>
        <w:rPr>
          <w:u w:val="single"/>
        </w:rPr>
        <w:t>Pour les membranes anticapillaires :</w:t>
      </w:r>
    </w:p>
    <w:p w14:paraId="081030A0" w14:textId="77777777" w:rsidR="00DF410E" w:rsidRDefault="00CE7F43">
      <w:r>
        <w:t>L’étanchéité consiste en une membrane à base de bitume polymère (APP ou SBS) armée de polyester, qui satisfait aux prescriptions de la [NBN B 46-003] .</w:t>
      </w:r>
    </w:p>
    <w:p w14:paraId="70261F2C" w14:textId="77777777" w:rsidR="00DF410E" w:rsidRDefault="00CE7F43">
      <w:pPr>
        <w:pStyle w:val="heading"/>
      </w:pPr>
      <w:r>
        <w:t>Spécifications</w:t>
      </w:r>
    </w:p>
    <w:p w14:paraId="0186CBE8" w14:textId="77777777" w:rsidR="00DF410E" w:rsidRDefault="00CE7F43">
      <w:r>
        <w:t xml:space="preserve">Type : </w:t>
      </w:r>
      <w:r>
        <w:rPr>
          <w:rStyle w:val="optioncarChar"/>
        </w:rPr>
        <w:t>***</w:t>
      </w:r>
    </w:p>
    <w:p w14:paraId="2B492C91" w14:textId="77777777" w:rsidR="00DF410E" w:rsidRDefault="00CE7F43">
      <w:r>
        <w:t xml:space="preserve">Epaisseur : minimum </w:t>
      </w:r>
      <w:r>
        <w:rPr>
          <w:rStyle w:val="optioncarChar"/>
        </w:rPr>
        <w:t xml:space="preserve">4 </w:t>
      </w:r>
      <w:r>
        <w:t>(par défaut) </w:t>
      </w:r>
      <w:r>
        <w:rPr>
          <w:rStyle w:val="optioncarChar"/>
        </w:rPr>
        <w:t>/ ***</w:t>
      </w:r>
      <w:r>
        <w:t xml:space="preserve"> mm</w:t>
      </w:r>
    </w:p>
    <w:p w14:paraId="313F93BD" w14:textId="77777777" w:rsidR="00DF410E" w:rsidRDefault="00CE7F43">
      <w:r>
        <w:t>Pour l’étanchéité dans les coulisses :</w:t>
      </w:r>
    </w:p>
    <w:p w14:paraId="6F138F90" w14:textId="77777777" w:rsidR="00DF410E" w:rsidRDefault="00CE7F43">
      <w:r>
        <w:t xml:space="preserve">L'étanchéité consiste en une membrane de voile de verre bitumé type </w:t>
      </w:r>
      <w:r>
        <w:rPr>
          <w:rStyle w:val="optioncarChar"/>
        </w:rPr>
        <w:t>V50-16 </w:t>
      </w:r>
      <w:r>
        <w:t>(par défaut)</w:t>
      </w:r>
      <w:r>
        <w:rPr>
          <w:rStyle w:val="optioncarChar"/>
        </w:rPr>
        <w:t xml:space="preserve"> / ***</w:t>
      </w:r>
      <w:r>
        <w:t xml:space="preserve"> selon les prescriptions de la [NBN B 46-002] . L'épaisseur du voile de verre bitumé est  d'au moins </w:t>
      </w:r>
      <w:r>
        <w:rPr>
          <w:rStyle w:val="optioncarChar"/>
        </w:rPr>
        <w:t>***</w:t>
      </w:r>
      <w:r>
        <w:t xml:space="preserve"> mm.</w:t>
      </w:r>
    </w:p>
    <w:p w14:paraId="5C777DF6" w14:textId="77777777" w:rsidR="00DF410E" w:rsidRDefault="00CE7F43">
      <w:pPr>
        <w:pStyle w:val="pheading"/>
      </w:pPr>
      <w:r>
        <w:t>EXÉCUTION / MISE EN ŒUVRE</w:t>
      </w:r>
    </w:p>
    <w:p w14:paraId="6F282526" w14:textId="77777777" w:rsidR="00DF410E" w:rsidRDefault="00CE7F43">
      <w:pPr>
        <w:pStyle w:val="pheading"/>
      </w:pPr>
      <w:r>
        <w:t>- Prescriptions générales</w:t>
      </w:r>
    </w:p>
    <w:p w14:paraId="72261A63" w14:textId="77777777" w:rsidR="00DF410E" w:rsidRDefault="00CE7F43">
      <w:r>
        <w:rPr>
          <w:u w:val="single"/>
        </w:rPr>
        <w:t>Pour les membranes anticapillaires :</w:t>
      </w:r>
    </w:p>
    <w:p w14:paraId="3ACF4446" w14:textId="77777777" w:rsidR="00DF410E" w:rsidRDefault="00CE7F43">
      <w:r>
        <w:t xml:space="preserve">Les bandes sont posées avec un chevauchement d’au moins </w:t>
      </w:r>
      <w:r>
        <w:rPr>
          <w:rStyle w:val="optioncarChar"/>
        </w:rPr>
        <w:t>10 </w:t>
      </w:r>
      <w:r>
        <w:t>(par défaut)</w:t>
      </w:r>
      <w:r>
        <w:rPr>
          <w:rStyle w:val="optioncarChar"/>
        </w:rPr>
        <w:t xml:space="preserve"> / *** </w:t>
      </w:r>
      <w:r>
        <w:t>cm. Les bandes de chevauchement sont éventuellement soudées entre elles sur toute la surface.</w:t>
      </w:r>
    </w:p>
    <w:p w14:paraId="3C7AF218" w14:textId="77777777" w:rsidR="00DF410E" w:rsidRDefault="00CE7F43">
      <w:r>
        <w:rPr>
          <w:u w:val="single"/>
        </w:rPr>
        <w:t>Pour l’étanchéité dans les coulisses :</w:t>
      </w:r>
    </w:p>
    <w:p w14:paraId="53A65331" w14:textId="77777777" w:rsidR="00DF410E" w:rsidRDefault="00CE7F43">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Les chevauchements et le mode d'assemblage dépendent de la nature du produit et respectent les prescriptions du fabricant.</w:t>
      </w:r>
    </w:p>
    <w:p w14:paraId="2ED25BCA" w14:textId="77777777" w:rsidR="00DF410E" w:rsidRDefault="00CE7F43">
      <w:r>
        <w:rPr>
          <w:u w:val="single"/>
        </w:rPr>
        <w:t>Type de pose de la membrane :</w:t>
      </w:r>
      <w:r>
        <w:rPr>
          <w:rStyle w:val="optioncarChar"/>
        </w:rPr>
        <w:t>Posée / Insérée / Collée</w:t>
      </w:r>
    </w:p>
    <w:p w14:paraId="571817D1" w14:textId="77777777" w:rsidR="00DF410E" w:rsidRDefault="00CE7F43">
      <w:pPr>
        <w:pStyle w:val="Author-eListParagraph"/>
        <w:numPr>
          <w:ilvl w:val="0"/>
          <w:numId w:val="1091"/>
        </w:numPr>
      </w:pPr>
      <w:r>
        <w:rPr>
          <w:b/>
        </w:rPr>
        <w:t xml:space="preserve">(soit) </w:t>
      </w:r>
    </w:p>
    <w:p w14:paraId="5256990C" w14:textId="77777777" w:rsidR="00DF410E" w:rsidRDefault="00CE7F43">
      <w:r>
        <w:rPr>
          <w:rStyle w:val="soitChar"/>
          <w:u w:val="single"/>
        </w:rPr>
        <w:t>Posée:</w:t>
      </w:r>
      <w:r>
        <w:rPr>
          <w:rStyle w:val="soitChar"/>
        </w:rPr>
        <w:t xml:space="preserve"> La couche d'étanchéité est posée sur toute la largeur du mur creux.</w:t>
      </w:r>
    </w:p>
    <w:p w14:paraId="5F3A3F51" w14:textId="77777777" w:rsidR="00DF410E" w:rsidRDefault="00CE7F43">
      <w:pPr>
        <w:pStyle w:val="Author-eListParagraph"/>
        <w:numPr>
          <w:ilvl w:val="0"/>
          <w:numId w:val="1092"/>
        </w:numPr>
      </w:pPr>
      <w:r>
        <w:rPr>
          <w:b/>
        </w:rPr>
        <w:t xml:space="preserve">(soit) </w:t>
      </w:r>
    </w:p>
    <w:p w14:paraId="589BFE16" w14:textId="77777777" w:rsidR="00DF410E" w:rsidRDefault="00CE7F43">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 ***</w:t>
      </w:r>
      <w:r>
        <w:rPr>
          <w:rStyle w:val="soitChar"/>
        </w:rPr>
        <w:t xml:space="preserve"> cm dans le mur de contre-façade.</w:t>
      </w:r>
    </w:p>
    <w:p w14:paraId="736F6EE7" w14:textId="77777777" w:rsidR="00DF410E" w:rsidRDefault="00CE7F43">
      <w:pPr>
        <w:pStyle w:val="Author-eListParagraph"/>
        <w:numPr>
          <w:ilvl w:val="0"/>
          <w:numId w:val="1093"/>
        </w:numPr>
      </w:pPr>
      <w:r>
        <w:rPr>
          <w:b/>
        </w:rPr>
        <w:t xml:space="preserve">(soit) </w:t>
      </w:r>
    </w:p>
    <w:p w14:paraId="14FE76C0" w14:textId="77777777" w:rsidR="00DF410E" w:rsidRDefault="00CE7F43">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 xml:space="preserve">15 </w:t>
      </w:r>
      <w:r>
        <w:t>(par défaut) </w:t>
      </w:r>
      <w:r>
        <w:rPr>
          <w:rStyle w:val="optioncarChar"/>
        </w:rPr>
        <w:t>/ ***</w:t>
      </w:r>
      <w:r>
        <w:rPr>
          <w:rStyle w:val="soitChar"/>
        </w:rPr>
        <w:t xml:space="preserve"> cm contre le mur de contre-façade. La différence de hauteur entre l'assise dans le mur de contre-façade et le mur intérieur sera d'au moins </w:t>
      </w:r>
      <w:r>
        <w:rPr>
          <w:rStyle w:val="optioncarChar"/>
        </w:rPr>
        <w:t>10 </w:t>
      </w:r>
      <w:r>
        <w:t>(par défaut)</w:t>
      </w:r>
      <w:r>
        <w:rPr>
          <w:rStyle w:val="optioncarChar"/>
        </w:rPr>
        <w:t xml:space="preserve"> / ***</w:t>
      </w:r>
      <w:r>
        <w:rPr>
          <w:rStyle w:val="soitChar"/>
        </w:rPr>
        <w:t xml:space="preserve"> cm.</w:t>
      </w:r>
    </w:p>
    <w:p w14:paraId="011E6DB5" w14:textId="77777777" w:rsidR="00DF410E" w:rsidRDefault="00CE7F43">
      <w:pPr>
        <w:pStyle w:val="pheading"/>
      </w:pPr>
      <w:r>
        <w:t>- Notes d’exécution complémentaires</w:t>
      </w:r>
    </w:p>
    <w:p w14:paraId="076376F3" w14:textId="77777777" w:rsidR="00DF410E" w:rsidRDefault="00CE7F43">
      <w:r>
        <w:rPr>
          <w:u w:val="single"/>
        </w:rPr>
        <w:t>Pour les membranes anticapillaires :</w:t>
      </w:r>
    </w:p>
    <w:p w14:paraId="0DD6F29E" w14:textId="77777777" w:rsidR="00DF410E" w:rsidRDefault="00CE7F43">
      <w:r>
        <w:t xml:space="preserve">L’étanchéité des pieds de murs creux : La différence de hauteur entre l'assise du mur de contre-façade et le parement extérieur est d'au moins </w:t>
      </w:r>
      <w:r>
        <w:rPr>
          <w:rStyle w:val="optioncarChar"/>
        </w:rPr>
        <w:t>10 </w:t>
      </w:r>
      <w:r>
        <w:t>(par défaut)</w:t>
      </w:r>
      <w:r>
        <w:rPr>
          <w:rStyle w:val="optioncarChar"/>
        </w:rPr>
        <w:t xml:space="preserve"> / ***</w:t>
      </w:r>
      <w:r>
        <w:t xml:space="preserve"> cm.</w:t>
      </w:r>
    </w:p>
    <w:p w14:paraId="0A264811" w14:textId="77777777" w:rsidR="00DF410E" w:rsidRDefault="00CE7F43">
      <w:pPr>
        <w:pStyle w:val="pheading"/>
      </w:pPr>
      <w:r>
        <w:t>MESURAGE</w:t>
      </w:r>
    </w:p>
    <w:p w14:paraId="79A779E5" w14:textId="77777777" w:rsidR="00DF410E" w:rsidRDefault="00CE7F43">
      <w:pPr>
        <w:pStyle w:val="pheading"/>
      </w:pPr>
      <w:r>
        <w:t>- unité de mesure:</w:t>
      </w:r>
    </w:p>
    <w:p w14:paraId="28FC33DA" w14:textId="77777777" w:rsidR="00DF410E" w:rsidRDefault="00CE7F43">
      <w:r>
        <w:t> </w:t>
      </w:r>
      <w:r>
        <w:rPr>
          <w:rStyle w:val="optioncarChar"/>
        </w:rPr>
        <w:t>- / m²</w:t>
      </w:r>
    </w:p>
    <w:p w14:paraId="6E5DF268" w14:textId="77777777" w:rsidR="00DF410E" w:rsidRDefault="00CE7F43">
      <w:pPr>
        <w:pStyle w:val="pheading"/>
      </w:pPr>
      <w:r>
        <w:t>- code de mesurage:</w:t>
      </w:r>
    </w:p>
    <w:p w14:paraId="2529732C" w14:textId="77777777" w:rsidR="00DF410E" w:rsidRDefault="00CE7F43">
      <w:r>
        <w:t xml:space="preserve">Choix opéré : </w:t>
      </w:r>
      <w:r>
        <w:rPr>
          <w:rStyle w:val="optioncarChar"/>
        </w:rPr>
        <w:t>Compris / Surface nette</w:t>
      </w:r>
    </w:p>
    <w:p w14:paraId="42342E55" w14:textId="77777777" w:rsidR="00DF410E" w:rsidRDefault="00CE7F43">
      <w:pPr>
        <w:pStyle w:val="Author-eListParagraph"/>
        <w:numPr>
          <w:ilvl w:val="0"/>
          <w:numId w:val="1094"/>
        </w:numPr>
      </w:pPr>
      <w:r>
        <w:t>(</w:t>
      </w:r>
      <w:r>
        <w:rPr>
          <w:b/>
        </w:rPr>
        <w:t>soit par défaut)</w:t>
      </w:r>
    </w:p>
    <w:p w14:paraId="66E25A6E" w14:textId="77777777" w:rsidR="00DF410E" w:rsidRDefault="00CE7F43">
      <w:r>
        <w:rPr>
          <w:rStyle w:val="soitChar"/>
        </w:rPr>
        <w:t xml:space="preserve">1. </w:t>
      </w:r>
      <w:r>
        <w:rPr>
          <w:rStyle w:val="soitChar"/>
          <w:u w:val="single"/>
        </w:rPr>
        <w:t>Compris</w:t>
      </w:r>
      <w:r>
        <w:rPr>
          <w:rStyle w:val="soitChar"/>
        </w:rPr>
        <w:t xml:space="preserve"> dans le prix unitaire de la maçonnerie enterrée, à ventiler selon l’épaisseur de la membrane</w:t>
      </w:r>
    </w:p>
    <w:p w14:paraId="14B408DA" w14:textId="77777777" w:rsidR="00DF410E" w:rsidRDefault="00CE7F43">
      <w:pPr>
        <w:pStyle w:val="Author-eListParagraph"/>
        <w:numPr>
          <w:ilvl w:val="0"/>
          <w:numId w:val="1095"/>
        </w:numPr>
      </w:pPr>
      <w:r>
        <w:rPr>
          <w:b/>
        </w:rPr>
        <w:t>(soit)</w:t>
      </w:r>
    </w:p>
    <w:p w14:paraId="59C45355" w14:textId="77777777" w:rsidR="00DF410E" w:rsidRDefault="00CE7F43">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5BBDD04C" w14:textId="77777777" w:rsidR="00DF410E" w:rsidRDefault="00CE7F43">
      <w:pPr>
        <w:pStyle w:val="pheading"/>
      </w:pPr>
      <w:r>
        <w:t>- nature du marché:</w:t>
      </w:r>
    </w:p>
    <w:p w14:paraId="1BECED72" w14:textId="77777777" w:rsidR="00DF410E" w:rsidRDefault="00CE7F43">
      <w:r>
        <w:rPr>
          <w:rStyle w:val="optioncarChar"/>
        </w:rPr>
        <w:t xml:space="preserve">PM </w:t>
      </w:r>
      <w:r>
        <w:t>(par défaut)</w:t>
      </w:r>
      <w:r>
        <w:rPr>
          <w:rStyle w:val="optioncarChar"/>
        </w:rPr>
        <w:t xml:space="preserve"> / QF</w:t>
      </w:r>
    </w:p>
    <w:p w14:paraId="6B5DEF3A" w14:textId="77777777" w:rsidR="00DF410E" w:rsidRDefault="00CE7F43">
      <w:pPr>
        <w:pStyle w:val="Author-eSectionHeading6"/>
      </w:pPr>
      <w:bookmarkStart w:id="1861" w:name="_Toc178838919"/>
      <w:r>
        <w:t>26.11.1f Couches d'étanchéité - membranes à pastilles CCTB 01.11</w:t>
      </w:r>
      <w:bookmarkEnd w:id="1861"/>
    </w:p>
    <w:p w14:paraId="0DAF627C" w14:textId="77777777" w:rsidR="00DF410E" w:rsidRDefault="00CE7F43">
      <w:pPr>
        <w:pStyle w:val="pheading"/>
      </w:pPr>
      <w:r>
        <w:t>DESCRIPTION</w:t>
      </w:r>
    </w:p>
    <w:p w14:paraId="1C61DD6E" w14:textId="77777777" w:rsidR="00DF410E" w:rsidRDefault="00CE7F43">
      <w:pPr>
        <w:pStyle w:val="pheading"/>
      </w:pPr>
      <w:r>
        <w:t>- Définition / Comprend</w:t>
      </w:r>
    </w:p>
    <w:p w14:paraId="71788925" w14:textId="77777777" w:rsidR="00DF410E" w:rsidRDefault="00CE7F43">
      <w:r>
        <w:t>Les membranes à pastilles sont des membranes rigides munies d'un grand nombre de pastilles dont les caractéristiques drainantes contribuent à la réduction de la pression hydrostatique de l'eau souterraine sur les constructions qui se trouvent entièrement ou partiellement sous le niveau de la nappe phréatique et réduisent les risques d'infiltration d'eau dans ces constructions. Cet ouvrage comprend tous les travaux et fournitures pour la pose des membranes à pastilles, y compris les moyens de fixation, les profils d'étanchéité et le raccord au géotextile du massif de drainage.</w:t>
      </w:r>
    </w:p>
    <w:p w14:paraId="38323585" w14:textId="77777777" w:rsidR="00DF410E" w:rsidRDefault="00CE7F43">
      <w:r>
        <w:t xml:space="preserve">Renvoi au § </w:t>
      </w:r>
      <w:hyperlink r:id="rId358" w:history="1" w:docLocation="640">
        <w:r>
          <w:t>17.22.1 Massifs drainants</w:t>
        </w:r>
      </w:hyperlink>
    </w:p>
    <w:p w14:paraId="793C0A80" w14:textId="77777777" w:rsidR="00DF410E" w:rsidRDefault="00CE7F43">
      <w:pPr>
        <w:pStyle w:val="pheading"/>
      </w:pPr>
      <w:r>
        <w:t>- Localisation</w:t>
      </w:r>
    </w:p>
    <w:p w14:paraId="0F6BD2E1" w14:textId="77777777" w:rsidR="00DF410E" w:rsidRDefault="00CE7F43">
      <w:r>
        <w:t>Murs extérieurs enterrés en contact avec les terres</w:t>
      </w:r>
    </w:p>
    <w:p w14:paraId="3685B750" w14:textId="77777777" w:rsidR="00DF410E" w:rsidRDefault="00CE7F43">
      <w:pPr>
        <w:pStyle w:val="pheading"/>
      </w:pPr>
      <w:r>
        <w:t>MATÉRIAUX</w:t>
      </w:r>
    </w:p>
    <w:p w14:paraId="42D64D08" w14:textId="77777777" w:rsidR="00DF410E" w:rsidRDefault="00CE7F43">
      <w:pPr>
        <w:pStyle w:val="pheading"/>
      </w:pPr>
      <w:r>
        <w:t>- Caractéristiques générales</w:t>
      </w:r>
    </w:p>
    <w:p w14:paraId="325604FF" w14:textId="77777777" w:rsidR="00DF410E" w:rsidRDefault="00CE7F43">
      <w:pPr>
        <w:spacing w:before="0" w:after="0"/>
      </w:pPr>
      <w:r>
        <w:rPr>
          <w:b/>
        </w:rPr>
        <w:t>Matériau</w:t>
      </w:r>
    </w:p>
    <w:p w14:paraId="290A835B" w14:textId="77777777" w:rsidR="00DF410E" w:rsidRDefault="00CE7F43">
      <w:r>
        <w:t>Les membranes à pastilles sont en polyéthylène indéformable de haute densité (HDPE), revêtu à l'extérieur d'un géotextile. Les membranes à pastilles mises en œuvre présentent une résistance à la compression d'au moins 220 kN/m2. La membrane est pourvue de pastilles élevées, de contre-pastilles et de rainures verticales d'étanchéité et de drainage qui relient les pastilles entre elles au droit des recouvrements latéraux des lés.</w:t>
      </w:r>
    </w:p>
    <w:p w14:paraId="135DEFEF" w14:textId="77777777" w:rsidR="00DF410E" w:rsidRDefault="00CE7F43">
      <w:pPr>
        <w:pStyle w:val="heading"/>
      </w:pPr>
      <w:r>
        <w:t>Spécifications</w:t>
      </w:r>
    </w:p>
    <w:p w14:paraId="15CA6E4E" w14:textId="77777777" w:rsidR="00DF410E" w:rsidRDefault="00CE7F43">
      <w:r>
        <w:t xml:space="preserve">Epaisseur: minimum </w:t>
      </w:r>
      <w:r>
        <w:rPr>
          <w:rStyle w:val="optioncarChar"/>
        </w:rPr>
        <w:t>0,6 </w:t>
      </w:r>
      <w:r>
        <w:t>(par défaut)</w:t>
      </w:r>
      <w:r>
        <w:rPr>
          <w:rStyle w:val="optioncarChar"/>
        </w:rPr>
        <w:t xml:space="preserve"> / ***</w:t>
      </w:r>
      <w:r>
        <w:t xml:space="preserve"> mm</w:t>
      </w:r>
    </w:p>
    <w:p w14:paraId="11F66EF2" w14:textId="77777777" w:rsidR="00DF410E" w:rsidRDefault="00CE7F43">
      <w:r>
        <w:t xml:space="preserve">Hauteur des pastilles : environ </w:t>
      </w:r>
      <w:r>
        <w:rPr>
          <w:rStyle w:val="optioncarChar"/>
        </w:rPr>
        <w:t xml:space="preserve">9 </w:t>
      </w:r>
      <w:r>
        <w:t>(par défaut) </w:t>
      </w:r>
      <w:r>
        <w:rPr>
          <w:rStyle w:val="optioncarChar"/>
        </w:rPr>
        <w:t>/ ***</w:t>
      </w:r>
      <w:r>
        <w:t>mm</w:t>
      </w:r>
    </w:p>
    <w:p w14:paraId="360AEDC4" w14:textId="77777777" w:rsidR="00DF410E" w:rsidRDefault="00CE7F43">
      <w:r>
        <w:t xml:space="preserve">Distance entre les pastilles : environ </w:t>
      </w:r>
      <w:r>
        <w:rPr>
          <w:rStyle w:val="optioncarChar"/>
        </w:rPr>
        <w:t>2,5 </w:t>
      </w:r>
      <w:r>
        <w:t>(par défaut)</w:t>
      </w:r>
      <w:r>
        <w:rPr>
          <w:rStyle w:val="optioncarChar"/>
        </w:rPr>
        <w:t xml:space="preserve"> / ***</w:t>
      </w:r>
      <w:r>
        <w:t>cm</w:t>
      </w:r>
    </w:p>
    <w:p w14:paraId="5C50465A" w14:textId="77777777" w:rsidR="00DF410E" w:rsidRDefault="00CE7F43">
      <w:r>
        <w:t>Géotextile : membrane filtrante non tissée en polypropylène</w:t>
      </w:r>
    </w:p>
    <w:p w14:paraId="0EA7D5D9" w14:textId="77777777" w:rsidR="00DF410E" w:rsidRDefault="00CE7F43">
      <w:r>
        <w:t>Capacité de drainage : min</w:t>
      </w:r>
      <w:r>
        <w:rPr>
          <w:rStyle w:val="optioncarChar"/>
        </w:rPr>
        <w:t>.***</w:t>
      </w:r>
      <w:r>
        <w:t xml:space="preserve"> l /sm.</w:t>
      </w:r>
    </w:p>
    <w:p w14:paraId="57C38F91" w14:textId="77777777" w:rsidR="00DF410E" w:rsidRDefault="00CE7F43">
      <w:r>
        <w:t>Débit de perméabilité de la membrane filtrante : min</w:t>
      </w:r>
      <w:r>
        <w:rPr>
          <w:rStyle w:val="optioncarChar"/>
        </w:rPr>
        <w:t>.***</w:t>
      </w:r>
      <w:r>
        <w:t xml:space="preserve"> l/m</w:t>
      </w:r>
      <w:r>
        <w:rPr>
          <w:vertAlign w:val="superscript"/>
        </w:rPr>
        <w:t>2</w:t>
      </w:r>
      <w:r>
        <w:t>s</w:t>
      </w:r>
    </w:p>
    <w:p w14:paraId="04678E30" w14:textId="77777777" w:rsidR="00DF410E" w:rsidRDefault="00CE7F43">
      <w:pPr>
        <w:pStyle w:val="pheading"/>
      </w:pPr>
      <w:r>
        <w:t>EXÉCUTION / MISE EN ŒUVRE</w:t>
      </w:r>
    </w:p>
    <w:p w14:paraId="13C6791E" w14:textId="77777777" w:rsidR="00DF410E" w:rsidRDefault="00CE7F43">
      <w:pPr>
        <w:pStyle w:val="pheading"/>
      </w:pPr>
      <w:r>
        <w:t>- Prescriptions générales</w:t>
      </w:r>
    </w:p>
    <w:p w14:paraId="402137C9" w14:textId="77777777" w:rsidR="00DF410E" w:rsidRDefault="00CE7F43">
      <w:r>
        <w:t>Les membranes à pastilles sont posées à l'extérieur des murs enterrés, les pastilles étant dirigées vers la construction. Les directives du fabricant des membranes en ce qui concerne le mode de pose et de fixation sont respectées, en tâchant de réduire au minimum les joints horizontaux et verticaux. Les joints verticaux sont réalisés avec un recouvrement d'au moins 35 cm, les joints horizontaux sont réalisés avec un recouvrement étanche d'au moins 20 cm. La membrane filtrante est orientée vers le sol. La partie supérieure de la membrane à pastilles et de la membrane filtrante se situe à la hauteur définitive du terrain. Ici, le parachèvement  est réalisé à l'aide d'un profil approprié conformément aux prescriptions du fabricant. A la base des murs enterrés, la membrane filtrante est détachée de la membrane à pastilles et recouvre le géotextile du massif de drainage. Ce recouvrement est d'au moins 50 cm.</w:t>
      </w:r>
    </w:p>
    <w:p w14:paraId="5565E339" w14:textId="77777777" w:rsidR="00DF410E" w:rsidRDefault="00CE7F43">
      <w:r>
        <w:t>La fouille est maintenue en bon état jusqu'après l'exécution et le contrôle des travaux et jusqu'après le raccordement du drainage au droit de l'assise des fondations.</w:t>
      </w:r>
    </w:p>
    <w:p w14:paraId="40CAED4E" w14:textId="77777777" w:rsidR="00DF410E" w:rsidRDefault="00CE7F43">
      <w:pPr>
        <w:pStyle w:val="pheading"/>
      </w:pPr>
      <w:r>
        <w:t>MESURAGE</w:t>
      </w:r>
    </w:p>
    <w:p w14:paraId="43FE9CE2" w14:textId="77777777" w:rsidR="00DF410E" w:rsidRDefault="00CE7F43">
      <w:pPr>
        <w:pStyle w:val="pheading"/>
      </w:pPr>
      <w:r>
        <w:t>- unité de mesure:</w:t>
      </w:r>
    </w:p>
    <w:p w14:paraId="19D551E3" w14:textId="77777777" w:rsidR="00DF410E" w:rsidRDefault="00CE7F43">
      <w:r>
        <w:t>m²</w:t>
      </w:r>
    </w:p>
    <w:p w14:paraId="27B32564" w14:textId="77777777" w:rsidR="00DF410E" w:rsidRDefault="00CE7F43">
      <w:pPr>
        <w:pStyle w:val="pheading"/>
      </w:pPr>
      <w:r>
        <w:t>- code de mesurage:</w:t>
      </w:r>
    </w:p>
    <w:p w14:paraId="1EAE4273" w14:textId="77777777" w:rsidR="00DF410E" w:rsidRDefault="00CE7F43">
      <w:r>
        <w:t>surface nette à effectuer, les recouvrements ne sont pas comptés. Les ouvertures supérieures à 0,5 m</w:t>
      </w:r>
      <w:r>
        <w:rPr>
          <w:vertAlign w:val="superscript"/>
        </w:rPr>
        <w:t>2</w:t>
      </w:r>
      <w:r>
        <w:t xml:space="preserve"> doivent être déduites.</w:t>
      </w:r>
    </w:p>
    <w:p w14:paraId="1E37F671" w14:textId="77777777" w:rsidR="00DF410E" w:rsidRDefault="00CE7F43">
      <w:pPr>
        <w:pStyle w:val="pheading"/>
      </w:pPr>
      <w:r>
        <w:t>- nature du marché:</w:t>
      </w:r>
    </w:p>
    <w:p w14:paraId="63F61D86" w14:textId="77777777" w:rsidR="00DF410E" w:rsidRDefault="00CE7F43">
      <w:r>
        <w:t>QF</w:t>
      </w:r>
    </w:p>
    <w:p w14:paraId="73D77AAA" w14:textId="77777777" w:rsidR="00DF410E" w:rsidRDefault="00CE7F43">
      <w:pPr>
        <w:pStyle w:val="Author-eSectionHeading5"/>
      </w:pPr>
      <w:bookmarkStart w:id="1862" w:name="_Toc178838920"/>
      <w:r>
        <w:t>26.11.2 Feuilles rigides et semi-rigides CCTB 01.02</w:t>
      </w:r>
      <w:bookmarkEnd w:id="1862"/>
    </w:p>
    <w:p w14:paraId="2C89B58F" w14:textId="77777777" w:rsidR="00DF410E" w:rsidRDefault="00CE7F43">
      <w:pPr>
        <w:pStyle w:val="Author-eSectionHeading6"/>
      </w:pPr>
      <w:bookmarkStart w:id="1863" w:name="_Toc178838921"/>
      <w:r>
        <w:t>26.11.2a Feuilles rigides et semi-rigides CCTB 01.02</w:t>
      </w:r>
      <w:bookmarkEnd w:id="1863"/>
    </w:p>
    <w:p w14:paraId="3A06F4B5" w14:textId="77777777" w:rsidR="00DF410E" w:rsidRDefault="00CE7F43">
      <w:pPr>
        <w:pStyle w:val="Author-eSectionHeading4"/>
      </w:pPr>
      <w:bookmarkStart w:id="1864" w:name="_Toc178838922"/>
      <w:r>
        <w:t>26.12 Traitements d'étanchéisation CCTB 01.11</w:t>
      </w:r>
      <w:bookmarkEnd w:id="1864"/>
    </w:p>
    <w:p w14:paraId="37E6A1B7" w14:textId="77777777" w:rsidR="00DF410E" w:rsidRDefault="00CE7F43">
      <w:pPr>
        <w:pStyle w:val="pheading"/>
      </w:pPr>
      <w:bookmarkStart w:id="1865" w:name="357"/>
      <w:bookmarkEnd w:id="1865"/>
      <w:r>
        <w:t>DESCRIPTION</w:t>
      </w:r>
    </w:p>
    <w:p w14:paraId="25D6BAC8" w14:textId="77777777" w:rsidR="00DF410E" w:rsidRDefault="00CE7F43">
      <w:pPr>
        <w:pStyle w:val="pheading"/>
      </w:pPr>
      <w:r>
        <w:t>- Définition / Comprend</w:t>
      </w:r>
    </w:p>
    <w:p w14:paraId="39C84134" w14:textId="77777777" w:rsidR="00DF410E" w:rsidRDefault="00CE7F43">
      <w:r>
        <w:t>Ce poste concerne le traitement des murs contre l'humidité ascensionnelle (et/ou de pénétration). Les travaux comprennent la préparation de la surface et le traitement proprement dit ainsi que la fourniture des produits. Les systèmes satisfont aux prescriptions de la [NIT 252], l'entrepreneur devant juger de l'efficacité de la méthode proposée. Le système est soumis à l'approbation de l'auteur de projet. </w:t>
      </w:r>
    </w:p>
    <w:p w14:paraId="527A4AB8" w14:textId="77777777" w:rsidR="00DF410E" w:rsidRDefault="00DF410E"/>
    <w:p w14:paraId="38916516" w14:textId="77777777" w:rsidR="00DF410E" w:rsidRDefault="00CE7F43">
      <w:r>
        <w:t> </w:t>
      </w:r>
    </w:p>
    <w:p w14:paraId="3CDFDA94" w14:textId="77777777" w:rsidR="00DF410E" w:rsidRDefault="00CE7F43">
      <w:pPr>
        <w:pStyle w:val="pheading"/>
      </w:pPr>
      <w:r>
        <w:t>DOCUMENTS DE RÉFÉRENCE</w:t>
      </w:r>
    </w:p>
    <w:p w14:paraId="72D13495" w14:textId="77777777" w:rsidR="00DF410E" w:rsidRDefault="00CE7F43">
      <w:pPr>
        <w:pStyle w:val="pheading"/>
      </w:pPr>
      <w:r>
        <w:t>- Exécution</w:t>
      </w:r>
    </w:p>
    <w:p w14:paraId="5EDB29A5" w14:textId="77777777" w:rsidR="00DF410E" w:rsidRDefault="00CE7F43">
      <w:r>
        <w:t>[NIT 252, L'humidité dans les constructions. Particularités de l'humidité ascensionnelle (remplace la NIT 210).]</w:t>
      </w:r>
    </w:p>
    <w:p w14:paraId="18D97FFA" w14:textId="77777777" w:rsidR="00DF410E" w:rsidRDefault="00DF410E"/>
    <w:p w14:paraId="6B0F55E9" w14:textId="77777777" w:rsidR="00DF410E" w:rsidRDefault="00CE7F43">
      <w:r>
        <w:t> </w:t>
      </w:r>
    </w:p>
    <w:p w14:paraId="465FBF69" w14:textId="77777777" w:rsidR="00DF410E" w:rsidRDefault="00CE7F43">
      <w:pPr>
        <w:pStyle w:val="Author-eSectionHeading5"/>
      </w:pPr>
      <w:bookmarkStart w:id="1866" w:name="_Toc178838923"/>
      <w:r>
        <w:t>26.12.1 Cimentage CCTB 01.02</w:t>
      </w:r>
      <w:bookmarkEnd w:id="1866"/>
    </w:p>
    <w:p w14:paraId="623EEB0C" w14:textId="77777777" w:rsidR="00DF410E" w:rsidRDefault="00CE7F43">
      <w:pPr>
        <w:pStyle w:val="Author-eSectionHeading6"/>
      </w:pPr>
      <w:bookmarkStart w:id="1867" w:name="_Toc178838924"/>
      <w:r>
        <w:t>26.12.1a Etanchéité - cimentage CCTB 01.11</w:t>
      </w:r>
      <w:bookmarkEnd w:id="1867"/>
    </w:p>
    <w:p w14:paraId="22CC0547" w14:textId="77777777" w:rsidR="00DF410E" w:rsidRDefault="00CE7F43">
      <w:pPr>
        <w:pStyle w:val="pheading"/>
      </w:pPr>
      <w:bookmarkStart w:id="1868" w:name="296"/>
      <w:bookmarkEnd w:id="1868"/>
      <w:r>
        <w:t>DESCRIPTION</w:t>
      </w:r>
    </w:p>
    <w:p w14:paraId="07F32713" w14:textId="77777777" w:rsidR="00DF410E" w:rsidRDefault="00CE7F43">
      <w:pPr>
        <w:pStyle w:val="pheading"/>
      </w:pPr>
      <w:r>
        <w:t>- Localisation</w:t>
      </w:r>
    </w:p>
    <w:p w14:paraId="162EB2CF" w14:textId="77777777" w:rsidR="00DF410E" w:rsidRDefault="00CE7F43">
      <w:r>
        <w:t>Murs extérieurs enterrés en contact avec les terres</w:t>
      </w:r>
    </w:p>
    <w:p w14:paraId="188E7DCD" w14:textId="77777777" w:rsidR="00DF410E" w:rsidRDefault="00CE7F43">
      <w:pPr>
        <w:pStyle w:val="pheading"/>
      </w:pPr>
      <w:r>
        <w:t>MATÉRIAUX</w:t>
      </w:r>
    </w:p>
    <w:p w14:paraId="2D7CE9B4" w14:textId="77777777" w:rsidR="00DF410E" w:rsidRDefault="00CE7F43">
      <w:pPr>
        <w:pStyle w:val="pheading"/>
      </w:pPr>
      <w:r>
        <w:t>- Caractéristiques générales</w:t>
      </w:r>
    </w:p>
    <w:p w14:paraId="2C1E7C21" w14:textId="77777777" w:rsidR="00DF410E" w:rsidRDefault="00CE7F43">
      <w:r>
        <w:t>Les faces extérieures des murs en maçonnerie enterrée en contact avec les terres sont enduites d'un mortier qui répond à la catégorie M1 selon [NBN EN 998-2] (composition au moins 400 kg de ciment, classe de résistance 42,5 HSR par m3 de sable sec, soit 1 part de ciment pour 3 parts de sable).</w:t>
      </w:r>
    </w:p>
    <w:p w14:paraId="288CBA62" w14:textId="77777777" w:rsidR="00DF410E" w:rsidRDefault="00CE7F43">
      <w:pPr>
        <w:pStyle w:val="pheading"/>
      </w:pPr>
      <w:r>
        <w:t>EXÉCUTION / MISE EN ŒUVRE</w:t>
      </w:r>
    </w:p>
    <w:p w14:paraId="39D70483" w14:textId="77777777" w:rsidR="00DF410E" w:rsidRDefault="00CE7F43">
      <w:pPr>
        <w:pStyle w:val="pheading"/>
      </w:pPr>
      <w:r>
        <w:t>- Prescriptions générales</w:t>
      </w:r>
    </w:p>
    <w:p w14:paraId="08D4F74D" w14:textId="77777777" w:rsidR="00DF410E" w:rsidRDefault="00CE7F43">
      <w:r>
        <w:t xml:space="preserve">L'épaisseur de la couche d'enduit est d'au moins </w:t>
      </w:r>
      <w:r>
        <w:rPr>
          <w:rStyle w:val="optioncarChar"/>
        </w:rPr>
        <w:t>10 </w:t>
      </w:r>
      <w:r>
        <w:t>(par défaut)</w:t>
      </w:r>
      <w:r>
        <w:rPr>
          <w:rStyle w:val="optioncarChar"/>
        </w:rPr>
        <w:t xml:space="preserve"> / ***</w:t>
      </w:r>
      <w:r>
        <w:t>mm. Si le gel est à craindre, l'entrepreneur ajoute dans le mortier un produit antigel ou un accélérateur de prise. Après durcissement, le cimentage est protégé soit à l'aide de 2 couches de goudron, soit à l'aide de deux couches de vernis activé au bitume [NBN B 46-002] à raison de 200 à 400 g/m2 par couche.</w:t>
      </w:r>
    </w:p>
    <w:p w14:paraId="6D1FF30D" w14:textId="77777777" w:rsidR="00DF410E" w:rsidRDefault="00CE7F43">
      <w:pPr>
        <w:pStyle w:val="pheading"/>
      </w:pPr>
      <w:r>
        <w:t>MESURAGE</w:t>
      </w:r>
    </w:p>
    <w:p w14:paraId="7DBC2EC2" w14:textId="77777777" w:rsidR="00DF410E" w:rsidRDefault="00CE7F43">
      <w:pPr>
        <w:pStyle w:val="pheading"/>
      </w:pPr>
      <w:r>
        <w:t>- unité de mesure:</w:t>
      </w:r>
    </w:p>
    <w:p w14:paraId="375ABE31" w14:textId="77777777" w:rsidR="00DF410E" w:rsidRDefault="00CE7F43">
      <w:r>
        <w:t>m²</w:t>
      </w:r>
    </w:p>
    <w:p w14:paraId="2F3F1F11" w14:textId="77777777" w:rsidR="00DF410E" w:rsidRDefault="00CE7F43">
      <w:pPr>
        <w:pStyle w:val="pheading"/>
      </w:pPr>
      <w:r>
        <w:t>- code de mesurage:</w:t>
      </w:r>
    </w:p>
    <w:p w14:paraId="23978AAC" w14:textId="77777777" w:rsidR="00DF410E" w:rsidRDefault="00CE7F43">
      <w:r>
        <w:t>Surface nette du mur à traiter, le cimentage des parois et du fond des éventuels soupiraux ou bouches de ventilation est compté dans la quantité prévue pour le cimentage des murs.</w:t>
      </w:r>
    </w:p>
    <w:p w14:paraId="07AFA481" w14:textId="77777777" w:rsidR="00DF410E" w:rsidRDefault="00CE7F43">
      <w:pPr>
        <w:pStyle w:val="pheading"/>
      </w:pPr>
      <w:r>
        <w:t>- nature du marché:</w:t>
      </w:r>
    </w:p>
    <w:p w14:paraId="7846AF4B" w14:textId="77777777" w:rsidR="00DF410E" w:rsidRDefault="00CE7F43">
      <w:r>
        <w:rPr>
          <w:b/>
        </w:rPr>
        <w:t xml:space="preserve">Choix opéré: </w:t>
      </w:r>
      <w:r>
        <w:rPr>
          <w:rStyle w:val="optioncarChar"/>
        </w:rPr>
        <w:t>QP / QF</w:t>
      </w:r>
    </w:p>
    <w:p w14:paraId="4ABFC68F" w14:textId="77777777" w:rsidR="00DF410E" w:rsidRDefault="00CE7F43">
      <w:r>
        <w:rPr>
          <w:b/>
        </w:rPr>
        <w:t>(soit par défaut)</w:t>
      </w:r>
    </w:p>
    <w:p w14:paraId="3A312E99" w14:textId="77777777" w:rsidR="00DF410E" w:rsidRDefault="00CE7F43">
      <w:r>
        <w:rPr>
          <w:rStyle w:val="soitChar"/>
        </w:rPr>
        <w:t xml:space="preserve">1. </w:t>
      </w:r>
      <w:r>
        <w:rPr>
          <w:rStyle w:val="soitChar"/>
          <w:u w:val="single"/>
        </w:rPr>
        <w:t>QP</w:t>
      </w:r>
      <w:r>
        <w:rPr>
          <w:rStyle w:val="soitChar"/>
        </w:rPr>
        <w:t xml:space="preserve"> pour les murs existants</w:t>
      </w:r>
    </w:p>
    <w:p w14:paraId="0BD56479" w14:textId="77777777" w:rsidR="00DF410E" w:rsidRDefault="00CE7F43">
      <w:r>
        <w:rPr>
          <w:b/>
        </w:rPr>
        <w:t>(soit)</w:t>
      </w:r>
    </w:p>
    <w:p w14:paraId="147C34FA" w14:textId="77777777" w:rsidR="00DF410E" w:rsidRDefault="00CE7F43">
      <w:r>
        <w:rPr>
          <w:rStyle w:val="soitChar"/>
        </w:rPr>
        <w:t xml:space="preserve">2. </w:t>
      </w:r>
      <w:r>
        <w:rPr>
          <w:rStyle w:val="soitChar"/>
          <w:u w:val="single"/>
        </w:rPr>
        <w:t>QF</w:t>
      </w:r>
    </w:p>
    <w:p w14:paraId="7C090514" w14:textId="77777777" w:rsidR="00DF410E" w:rsidRDefault="00CE7F43">
      <w:pPr>
        <w:pStyle w:val="Author-eSectionHeading5"/>
      </w:pPr>
      <w:bookmarkStart w:id="1869" w:name="_Toc178838925"/>
      <w:r>
        <w:t>26.12.2 Badigeonnage CCTB 01.02</w:t>
      </w:r>
      <w:bookmarkEnd w:id="1869"/>
    </w:p>
    <w:p w14:paraId="0114BB31" w14:textId="77777777" w:rsidR="00DF410E" w:rsidRDefault="00CE7F43">
      <w:pPr>
        <w:pStyle w:val="Author-eSectionHeading6"/>
      </w:pPr>
      <w:bookmarkStart w:id="1870" w:name="_Toc178838926"/>
      <w:r>
        <w:t>26.12.2a Etanchéité - badigeonnage CCTB 01.11</w:t>
      </w:r>
      <w:bookmarkEnd w:id="1870"/>
    </w:p>
    <w:p w14:paraId="135E0212" w14:textId="77777777" w:rsidR="00DF410E" w:rsidRDefault="00CE7F43">
      <w:pPr>
        <w:pStyle w:val="pheading"/>
      </w:pPr>
      <w:r>
        <w:t>DESCRIPTION</w:t>
      </w:r>
    </w:p>
    <w:p w14:paraId="18823A05" w14:textId="77777777" w:rsidR="00DF410E" w:rsidRDefault="00CE7F43">
      <w:pPr>
        <w:pStyle w:val="pheading"/>
      </w:pPr>
      <w:r>
        <w:t>- Localisation</w:t>
      </w:r>
    </w:p>
    <w:p w14:paraId="56F889C0" w14:textId="77777777" w:rsidR="00DF410E" w:rsidRDefault="00CE7F43">
      <w:r>
        <w:t>Murs extérieurs enterrés en contact avec les terres</w:t>
      </w:r>
    </w:p>
    <w:p w14:paraId="17C9683A" w14:textId="77777777" w:rsidR="00DF410E" w:rsidRDefault="00CE7F43">
      <w:pPr>
        <w:pStyle w:val="pheading"/>
      </w:pPr>
      <w:r>
        <w:t>EXÉCUTION / MISE EN ŒUVRE</w:t>
      </w:r>
    </w:p>
    <w:p w14:paraId="24B03038" w14:textId="77777777" w:rsidR="00DF410E" w:rsidRDefault="00CE7F43">
      <w:pPr>
        <w:pStyle w:val="pheading"/>
      </w:pPr>
      <w:r>
        <w:t>- Prescriptions générales</w:t>
      </w:r>
    </w:p>
    <w:p w14:paraId="1636A232" w14:textId="77777777" w:rsidR="00DF410E" w:rsidRDefault="00CE7F43">
      <w:r>
        <w:t>Après durcissement, le cimentage est protégé soit à l'aide de 2 couches de goudron, soit à l'aide de deux couches de vernis activé au bitume [NBN B 46-002] à raison de 200 à 400 g/m2 par couche.</w:t>
      </w:r>
    </w:p>
    <w:p w14:paraId="48F92770" w14:textId="77777777" w:rsidR="00DF410E" w:rsidRDefault="00CE7F43">
      <w:pPr>
        <w:pStyle w:val="pheading"/>
      </w:pPr>
      <w:r>
        <w:t>MESURAGE</w:t>
      </w:r>
    </w:p>
    <w:p w14:paraId="196AD446" w14:textId="77777777" w:rsidR="00DF410E" w:rsidRDefault="00CE7F43">
      <w:pPr>
        <w:pStyle w:val="pheading"/>
      </w:pPr>
      <w:r>
        <w:t>- unité de mesure:</w:t>
      </w:r>
    </w:p>
    <w:p w14:paraId="325E3A14" w14:textId="77777777" w:rsidR="00DF410E" w:rsidRDefault="00CE7F43">
      <w:r>
        <w:t>m²</w:t>
      </w:r>
    </w:p>
    <w:p w14:paraId="63E6D107" w14:textId="77777777" w:rsidR="00DF410E" w:rsidRDefault="00CE7F43">
      <w:pPr>
        <w:pStyle w:val="pheading"/>
      </w:pPr>
      <w:r>
        <w:t>- code de mesurage:</w:t>
      </w:r>
    </w:p>
    <w:p w14:paraId="28EDE97D" w14:textId="77777777" w:rsidR="00DF410E" w:rsidRDefault="00CE7F43">
      <w:r>
        <w:t>Surface nette du mur à traiter,</w:t>
      </w:r>
    </w:p>
    <w:p w14:paraId="4A23221F" w14:textId="77777777" w:rsidR="00DF410E" w:rsidRDefault="00CE7F43">
      <w:pPr>
        <w:pStyle w:val="pheading"/>
      </w:pPr>
      <w:r>
        <w:t>- nature du marché:</w:t>
      </w:r>
    </w:p>
    <w:p w14:paraId="40E0E491" w14:textId="77777777" w:rsidR="00DF410E" w:rsidRDefault="00CE7F43">
      <w:r>
        <w:t xml:space="preserve">Choix opéré : </w:t>
      </w:r>
      <w:r>
        <w:rPr>
          <w:rStyle w:val="optioncarChar"/>
        </w:rPr>
        <w:t>QP / QF</w:t>
      </w:r>
    </w:p>
    <w:p w14:paraId="0EAD5855" w14:textId="77777777" w:rsidR="00DF410E" w:rsidRDefault="00CE7F43">
      <w:r>
        <w:rPr>
          <w:b/>
        </w:rPr>
        <w:t>(soit par défaut)</w:t>
      </w:r>
    </w:p>
    <w:p w14:paraId="2B227D90" w14:textId="77777777" w:rsidR="00DF410E" w:rsidRDefault="00CE7F43">
      <w:r>
        <w:rPr>
          <w:rStyle w:val="soitChar"/>
        </w:rPr>
        <w:t xml:space="preserve">1. </w:t>
      </w:r>
      <w:r>
        <w:rPr>
          <w:rStyle w:val="soitChar"/>
          <w:u w:val="single"/>
        </w:rPr>
        <w:t>QP</w:t>
      </w:r>
      <w:r>
        <w:rPr>
          <w:rStyle w:val="soitChar"/>
        </w:rPr>
        <w:t xml:space="preserve"> pour les murs existants</w:t>
      </w:r>
    </w:p>
    <w:p w14:paraId="6537B821" w14:textId="77777777" w:rsidR="00DF410E" w:rsidRDefault="00CE7F43">
      <w:r>
        <w:rPr>
          <w:b/>
        </w:rPr>
        <w:t>(soit)</w:t>
      </w:r>
    </w:p>
    <w:p w14:paraId="259FBA62" w14:textId="77777777" w:rsidR="00DF410E" w:rsidRDefault="00CE7F43">
      <w:r>
        <w:rPr>
          <w:rStyle w:val="soitChar"/>
        </w:rPr>
        <w:t xml:space="preserve">2. </w:t>
      </w:r>
      <w:r>
        <w:rPr>
          <w:rStyle w:val="soitChar"/>
          <w:u w:val="single"/>
        </w:rPr>
        <w:t>QF</w:t>
      </w:r>
    </w:p>
    <w:p w14:paraId="7BBE06C2" w14:textId="77777777" w:rsidR="00DF410E" w:rsidRDefault="00CE7F43">
      <w:pPr>
        <w:pStyle w:val="Author-eSectionHeading5"/>
      </w:pPr>
      <w:bookmarkStart w:id="1871" w:name="_Toc178838927"/>
      <w:r>
        <w:t>26.12.3 Cuvelages extérieurs CCTB 01.11</w:t>
      </w:r>
      <w:bookmarkEnd w:id="1871"/>
    </w:p>
    <w:p w14:paraId="4416336B" w14:textId="77777777" w:rsidR="00DF410E" w:rsidRDefault="00CE7F43">
      <w:pPr>
        <w:pStyle w:val="pheading"/>
      </w:pPr>
      <w:r>
        <w:t>DESCRIPTION</w:t>
      </w:r>
    </w:p>
    <w:p w14:paraId="22BF5BED" w14:textId="77777777" w:rsidR="00DF410E" w:rsidRDefault="00CE7F43">
      <w:pPr>
        <w:pStyle w:val="pheading"/>
      </w:pPr>
      <w:r>
        <w:t>- Définition / Comprend</w:t>
      </w:r>
    </w:p>
    <w:p w14:paraId="22365496" w14:textId="77777777" w:rsidR="00DF410E" w:rsidRDefault="00CE7F43">
      <w:r>
        <w:t xml:space="preserve">L'objectif du cuvelage est de rendre les constructions enterrées, situées à un emplacement où il faut tenir compte d'une pression des eaux de surface ou d'un niveau trop élevé de la nappe phréatique, complètement rendues étanches par l’application d’un matériau extérieur. Compte tenu des cotes de niveau des constructions enterrées et du niveau supérieur des eaux souterraines, l'entrepreneur applique un système qui offre toutes les garanties d'une étanchéité parfaite. Les travaux comprennent la préparation du support, l'application du produit et la protection de ce dernier. </w:t>
      </w:r>
    </w:p>
    <w:p w14:paraId="1957CEE5" w14:textId="77777777" w:rsidR="00DF410E" w:rsidRDefault="00DF410E"/>
    <w:p w14:paraId="58A8D6D8" w14:textId="77777777" w:rsidR="00DF410E" w:rsidRDefault="00CE7F43">
      <w:r>
        <w:t> </w:t>
      </w:r>
    </w:p>
    <w:p w14:paraId="60470A63" w14:textId="77777777" w:rsidR="00DF410E" w:rsidRDefault="00CE7F43">
      <w:pPr>
        <w:pStyle w:val="pheading"/>
      </w:pPr>
      <w:r>
        <w:t>AIDE</w:t>
      </w:r>
    </w:p>
    <w:p w14:paraId="206663B7" w14:textId="77777777" w:rsidR="00DF410E" w:rsidRDefault="00CE7F43">
      <w:r>
        <w:t>Un programme d'essai réalisé par Buildwise a démontré que les meilleures garanties en matière d'étanchéité à l'eau ne peuvent être atteintes que lorsqu'on combine au cuvelage un système efficace de drainage qui évacue les eaux vers les égouts.</w:t>
      </w:r>
    </w:p>
    <w:p w14:paraId="130C1E9A" w14:textId="77777777" w:rsidR="00DF410E" w:rsidRDefault="00DF410E"/>
    <w:p w14:paraId="52FEB97C" w14:textId="77777777" w:rsidR="00DF410E" w:rsidRDefault="00CE7F43">
      <w:r>
        <w:t> </w:t>
      </w:r>
    </w:p>
    <w:p w14:paraId="111EA517" w14:textId="77777777" w:rsidR="00DF410E" w:rsidRDefault="00CE7F43">
      <w:pPr>
        <w:pStyle w:val="Author-eSectionHeading6"/>
      </w:pPr>
      <w:bookmarkStart w:id="1872" w:name="_Toc178838928"/>
      <w:r>
        <w:t>26.12.3a Cuvelage / ciment modifié CCTB 01.11</w:t>
      </w:r>
      <w:bookmarkEnd w:id="1872"/>
    </w:p>
    <w:p w14:paraId="5FB00B11" w14:textId="77777777" w:rsidR="00DF410E" w:rsidRDefault="00CE7F43">
      <w:pPr>
        <w:pStyle w:val="pheading"/>
      </w:pPr>
      <w:bookmarkStart w:id="1873" w:name="295"/>
      <w:bookmarkEnd w:id="1873"/>
      <w:r>
        <w:t>DESCRIPTION</w:t>
      </w:r>
    </w:p>
    <w:p w14:paraId="7FA56F5A" w14:textId="77777777" w:rsidR="00DF410E" w:rsidRDefault="00CE7F43">
      <w:pPr>
        <w:pStyle w:val="pheading"/>
      </w:pPr>
      <w:r>
        <w:t>- Définition / Comprend</w:t>
      </w:r>
    </w:p>
    <w:p w14:paraId="08ADCA48" w14:textId="77777777" w:rsidR="00DF410E" w:rsidRDefault="00CE7F43">
      <w:r>
        <w:t>L'entrepreneur applique un système de cimentage qui offre toutes les garanties d'une étanchéité parfaite. Les travaux comprennent la préparation du support, l'exécution du cimentage et la protection de ce dernier.</w:t>
      </w:r>
    </w:p>
    <w:p w14:paraId="0E35E5EE" w14:textId="77777777" w:rsidR="00DF410E" w:rsidRDefault="00CE7F43">
      <w:pPr>
        <w:pStyle w:val="pheading"/>
      </w:pPr>
      <w:r>
        <w:t>MATÉRIAUX</w:t>
      </w:r>
    </w:p>
    <w:p w14:paraId="44C290A9" w14:textId="77777777" w:rsidR="00DF410E" w:rsidRDefault="00CE7F43">
      <w:pPr>
        <w:pStyle w:val="pheading"/>
      </w:pPr>
      <w:r>
        <w:t>- Caractéristiques générales</w:t>
      </w:r>
    </w:p>
    <w:p w14:paraId="77347BE2" w14:textId="77777777" w:rsidR="00DF410E" w:rsidRDefault="00CE7F43">
      <w:r>
        <w:t>Le mortier destiné à effectuer le cimentage étanche est préparé à l'aide de 400 kg de ciment CEM II/B-M 32,5 par m</w:t>
      </w:r>
      <w:r>
        <w:rPr>
          <w:vertAlign w:val="superscript"/>
        </w:rPr>
        <w:t>3</w:t>
      </w:r>
      <w:r>
        <w:t xml:space="preserve"> de sable sec (un volume de ciment pour trois volumes de sable). Le module de finesse du sable varie entre 3,40 et 1,70 selon [NBN EN 13242+A1]. Un </w:t>
      </w:r>
      <w:r>
        <w:rPr>
          <w:u w:val="single"/>
        </w:rPr>
        <w:t>produit hydrofuge</w:t>
      </w:r>
      <w:r>
        <w:t>, qui ne nuit pas aux caractéristiques de résistance du mortier de cimentage et qui est exempt de matières organiques et d'huiles, est ajouté à l'eau de gâchage. Ce produit est préalablement soumis pour approbation à l'auteur de projet.</w:t>
      </w:r>
    </w:p>
    <w:p w14:paraId="33817ACC" w14:textId="77777777" w:rsidR="00DF410E" w:rsidRDefault="00CE7F43">
      <w:pPr>
        <w:pStyle w:val="pheading"/>
      </w:pPr>
      <w:r>
        <w:t>EXÉCUTION / MISE EN ŒUVRE</w:t>
      </w:r>
    </w:p>
    <w:p w14:paraId="0950BAF4" w14:textId="77777777" w:rsidR="00DF410E" w:rsidRDefault="00CE7F43">
      <w:pPr>
        <w:pStyle w:val="pheading"/>
      </w:pPr>
      <w:r>
        <w:t>- Prescriptions générales</w:t>
      </w:r>
    </w:p>
    <w:p w14:paraId="7920EA1E" w14:textId="77777777" w:rsidR="00DF410E" w:rsidRDefault="00CE7F43">
      <w:r>
        <w:t>Le cimentage est réalisé après la finition du gros-œuvre et avant d'effectuer les remblais autour des murs enterrés. Le cimentage ne peut pas être appliqué par temps d'averses, lorsque les températures sont inférieures à zéro ou lorsque l'on peut s'attendre à des gelées nocturnes. On veille également à ce que la fouille reste sèche jusqu'à durcissement complet du cimentage. La fouille de fondation est maintenue en bon état pendant toute la durée des travaux de cimentage et jusqu'à ce que celui-ci ait complètement durci.</w:t>
      </w:r>
    </w:p>
    <w:p w14:paraId="7EC28C09" w14:textId="77777777" w:rsidR="00DF410E" w:rsidRDefault="00CE7F43">
      <w:r>
        <w:t>Avant de commencer l'application du cimentage, le support est débarrassé de toutes impuretés et irrégularités. Il ne peut subsister aucune trace de graisse, d’huile, de produit de décoffrage, de sable ou de mortier. Préalablement à l'application du cimentage, les fissures sont rebouchées à l'aide d'un mortier de jointoiement approprié. L'entrepreneur contrôle la compatibilité du support avec le cimentage prévu et prend toutes les mesures nécessaires. Les supports lisses sont smillés sur toute leur surface. Ensuite, une couche d'adhérence constituée de mortier ciment riche est appliquée à la brosse.</w:t>
      </w:r>
    </w:p>
    <w:p w14:paraId="08834150" w14:textId="77777777" w:rsidR="00DF410E" w:rsidRDefault="00CE7F43">
      <w:r>
        <w:t xml:space="preserve">Le cimentage proprement dit est appliqué en plusieurs couches, une couche d'adhérence et au moins </w:t>
      </w:r>
      <w:r>
        <w:rPr>
          <w:rStyle w:val="optioncarChar"/>
        </w:rPr>
        <w:t>deux / trois</w:t>
      </w:r>
      <w:r>
        <w:t xml:space="preserve"> couches de mortier projeté. Aucune couche n'a une épaisseur supérieure à 1,5 cm. Avant d'appliquer une couche, la couche précédente doit avoir suffisamment durci, elle est propre et préalablement humidifiée. Il est souhaitable de laisser s'écouler au moins 12 heures entre deux applications. Chaque couche est réalisée en continu. Lorsque les raccords sont inévitables, les différentes couches sont toujours étagées de façon à se superposer d'au moins 20 à 30 cm. Les surfaces verticales sont égalisées, lissées et sont parfaitement d'aplomb. En partie supérieure, les couches d'étanchéités sont terminées de niveau et travaillées en léger biseau. Le cimentage est poursuivi dans les ébrasements des ouvertures. Tous les angles sont arrondis : le rayon de courbure n'est pas inférieur à 4 cm. Cet arrondi peut être exécuté au moment de l'application de la première couche de cimentage.</w:t>
      </w:r>
    </w:p>
    <w:p w14:paraId="2E6D6046" w14:textId="77777777" w:rsidR="00DF410E" w:rsidRDefault="00CE7F43">
      <w:r>
        <w:t xml:space="preserve">Les couches d’étanchéité, y compris la couche d’adhérence, ont une épaisseur totale d'au moins </w:t>
      </w:r>
      <w:r>
        <w:rPr>
          <w:rStyle w:val="optioncarChar"/>
        </w:rPr>
        <w:t xml:space="preserve">2 </w:t>
      </w:r>
      <w:r>
        <w:t>(par défaut) </w:t>
      </w:r>
      <w:r>
        <w:rPr>
          <w:rStyle w:val="optioncarChar"/>
        </w:rPr>
        <w:t>/ ***</w:t>
      </w:r>
      <w:r>
        <w:t xml:space="preserve"> cm et sont appliquées sur les parois </w:t>
      </w:r>
      <w:r>
        <w:rPr>
          <w:rStyle w:val="optioncarChar"/>
        </w:rPr>
        <w:t>intérieures / extérieures*</w:t>
      </w:r>
      <w:r>
        <w:t>.</w:t>
      </w:r>
    </w:p>
    <w:p w14:paraId="35131879" w14:textId="77777777" w:rsidR="00DF410E" w:rsidRDefault="00CE7F43">
      <w:r>
        <w:t>Attention (*) :</w:t>
      </w:r>
    </w:p>
    <w:p w14:paraId="389EB8E4" w14:textId="77777777" w:rsidR="00DF410E" w:rsidRDefault="00CE7F43">
      <w:r>
        <w:t>Dans le cas d'un cuvelage intérieur, le cimentage est appliqué avant le maçonnage des murs non porteurs.</w:t>
      </w:r>
    </w:p>
    <w:p w14:paraId="3C27E1FD" w14:textId="77777777" w:rsidR="00DF410E" w:rsidRDefault="00CE7F43">
      <w:r>
        <w:t xml:space="preserve">Au droit des traversées de quelque nature que ce soit : </w:t>
      </w:r>
      <w:r>
        <w:rPr>
          <w:rStyle w:val="optioncarChar"/>
        </w:rPr>
        <w:t>un joint souple / un profil de passage étanche</w:t>
      </w:r>
    </w:p>
    <w:p w14:paraId="6115749C" w14:textId="77777777" w:rsidR="00DF410E" w:rsidRDefault="00CE7F43">
      <w:pPr>
        <w:pStyle w:val="Author-eListParagraph"/>
        <w:numPr>
          <w:ilvl w:val="0"/>
          <w:numId w:val="1096"/>
        </w:numPr>
      </w:pPr>
      <w:r>
        <w:rPr>
          <w:b/>
        </w:rPr>
        <w:t xml:space="preserve">(soit) </w:t>
      </w:r>
    </w:p>
    <w:p w14:paraId="0F276C60" w14:textId="77777777" w:rsidR="00DF410E" w:rsidRDefault="00CE7F43">
      <w:r>
        <w:rPr>
          <w:rStyle w:val="soitChar"/>
        </w:rPr>
        <w:t>1. </w:t>
      </w:r>
      <w:r>
        <w:rPr>
          <w:rStyle w:val="soitChar"/>
          <w:u w:val="single"/>
        </w:rPr>
        <w:t>Un joint souple</w:t>
      </w:r>
      <w:r>
        <w:rPr>
          <w:rStyle w:val="soitChar"/>
        </w:rPr>
        <w:t xml:space="preserve"> est réalisé de façon à ce que la couche d'étanchéité se resserre parfaitement autour de l'élément qui la traverse.</w:t>
      </w:r>
    </w:p>
    <w:p w14:paraId="76756155" w14:textId="77777777" w:rsidR="00DF410E" w:rsidRDefault="00CE7F43">
      <w:pPr>
        <w:pStyle w:val="Author-eListParagraph"/>
        <w:numPr>
          <w:ilvl w:val="0"/>
          <w:numId w:val="1097"/>
        </w:numPr>
      </w:pPr>
      <w:r>
        <w:rPr>
          <w:rStyle w:val="soitChar"/>
          <w:b/>
        </w:rPr>
        <w:t xml:space="preserve">(soit) </w:t>
      </w:r>
    </w:p>
    <w:p w14:paraId="1023FE81" w14:textId="77777777" w:rsidR="00DF410E" w:rsidRDefault="00CE7F43">
      <w:r>
        <w:rPr>
          <w:rStyle w:val="soitChar"/>
        </w:rPr>
        <w:t xml:space="preserve">2. </w:t>
      </w:r>
      <w:r>
        <w:rPr>
          <w:rStyle w:val="soitChar"/>
          <w:u w:val="single"/>
        </w:rPr>
        <w:t>Un profil de passage étanche</w:t>
      </w:r>
      <w:r>
        <w:rPr>
          <w:rStyle w:val="soitChar"/>
        </w:rPr>
        <w:t xml:space="preserve"> de dimension appropriée est utilisé</w:t>
      </w:r>
    </w:p>
    <w:p w14:paraId="4FE761D2" w14:textId="77777777" w:rsidR="00DF410E" w:rsidRDefault="00CE7F43">
      <w:r>
        <w:t>Lorsque les surfaces sont exposées à un ensoleillement important ou à des vents secs, le mortier fraîchement appliqué est protégé contre la dessiccation. S'il y a risque d'endommagement au cours des travaux d'exécution, toutes les mesures de protection sont prises jusqu'à ce que la fouille soit remblayée.</w:t>
      </w:r>
    </w:p>
    <w:p w14:paraId="7AA08FA6" w14:textId="77777777" w:rsidR="00DF410E" w:rsidRDefault="00CE7F43">
      <w:pPr>
        <w:pStyle w:val="pheading"/>
      </w:pPr>
      <w:r>
        <w:t>CONTRÔLES PARTICULIERS</w:t>
      </w:r>
    </w:p>
    <w:p w14:paraId="7CB3D5C0" w14:textId="77777777" w:rsidR="00DF410E" w:rsidRDefault="00CE7F43">
      <w:r>
        <w:t>Avant de procéder au remblayage des fouilles, l'entrepreneur invite l'auteur de projet à contrôler les travaux exécutés. L'entrepreneur accorde une garantie de 10 ans sur la parfaite étanchéité des constructions enterrées. Il s'engage à effectuer à ses frais toutes les éventuelles réparations qui s'avèrent nécessaires faisant suite aux défaillances de l'étanchéité au cours de cette période de garantie (entre en vigueur à la date de la réception définitive).</w:t>
      </w:r>
    </w:p>
    <w:p w14:paraId="1A1C3019" w14:textId="77777777" w:rsidR="00DF410E" w:rsidRDefault="00CE7F43">
      <w:pPr>
        <w:pStyle w:val="pheading"/>
      </w:pPr>
      <w:r>
        <w:t>MESURAGE</w:t>
      </w:r>
    </w:p>
    <w:p w14:paraId="466DE09C" w14:textId="77777777" w:rsidR="00DF410E" w:rsidRDefault="00CE7F43">
      <w:pPr>
        <w:pStyle w:val="pheading"/>
      </w:pPr>
      <w:r>
        <w:t>- unité de mesure:</w:t>
      </w:r>
    </w:p>
    <w:p w14:paraId="004E9CFD" w14:textId="77777777" w:rsidR="00DF410E" w:rsidRDefault="00CE7F43">
      <w:r>
        <w:t>m²</w:t>
      </w:r>
    </w:p>
    <w:p w14:paraId="62E940FE" w14:textId="77777777" w:rsidR="00DF410E" w:rsidRDefault="00CE7F43">
      <w:pPr>
        <w:pStyle w:val="pheading"/>
      </w:pPr>
      <w:r>
        <w:t>- code de mesurage:</w:t>
      </w:r>
    </w:p>
    <w:p w14:paraId="296F3B20" w14:textId="77777777" w:rsidR="00DF410E" w:rsidRDefault="00CE7F43">
      <w:r>
        <w:t>surface nette du mur à traiter</w:t>
      </w:r>
    </w:p>
    <w:p w14:paraId="2B3BFD3D" w14:textId="77777777" w:rsidR="00DF410E" w:rsidRDefault="00CE7F43">
      <w:pPr>
        <w:pStyle w:val="pheading"/>
      </w:pPr>
      <w:r>
        <w:t>- nature du marché:</w:t>
      </w:r>
    </w:p>
    <w:p w14:paraId="376ED2FF" w14:textId="77777777" w:rsidR="00DF410E" w:rsidRDefault="00CE7F43">
      <w:r>
        <w:t>QF</w:t>
      </w:r>
    </w:p>
    <w:p w14:paraId="31A13F34" w14:textId="77777777" w:rsidR="00DF410E" w:rsidRDefault="00CE7F43">
      <w:pPr>
        <w:pStyle w:val="Author-eSectionHeading6"/>
      </w:pPr>
      <w:bookmarkStart w:id="1874" w:name="_Toc178838929"/>
      <w:r>
        <w:t>26.12.3b Cuvelage / émulsion bitumineuse CCTB 01.02</w:t>
      </w:r>
      <w:bookmarkEnd w:id="1874"/>
    </w:p>
    <w:p w14:paraId="12027B12" w14:textId="77777777" w:rsidR="00DF410E" w:rsidRDefault="00CE7F43">
      <w:pPr>
        <w:pStyle w:val="Author-eSectionHeading5"/>
      </w:pPr>
      <w:bookmarkStart w:id="1875" w:name="_Toc178838930"/>
      <w:r>
        <w:t>26.12.4 Cuvelages intérieurs CCTB 01.02</w:t>
      </w:r>
      <w:bookmarkEnd w:id="1875"/>
    </w:p>
    <w:p w14:paraId="04381877" w14:textId="77777777" w:rsidR="00DF410E" w:rsidRDefault="00CE7F43">
      <w:pPr>
        <w:pStyle w:val="Author-eSectionHeading6"/>
      </w:pPr>
      <w:bookmarkStart w:id="1876" w:name="_Toc178838931"/>
      <w:r>
        <w:t>26.12.4a Cuvelages intérieurs CCTB 01.11</w:t>
      </w:r>
      <w:bookmarkEnd w:id="1876"/>
    </w:p>
    <w:p w14:paraId="770F462C" w14:textId="77777777" w:rsidR="00DF410E" w:rsidRDefault="00CE7F43">
      <w:pPr>
        <w:pStyle w:val="pheading"/>
      </w:pPr>
      <w:r>
        <w:t>DESCRIPTION</w:t>
      </w:r>
    </w:p>
    <w:p w14:paraId="200407FD" w14:textId="77777777" w:rsidR="00DF410E" w:rsidRDefault="00CE7F43">
      <w:pPr>
        <w:pStyle w:val="pheading"/>
      </w:pPr>
      <w:r>
        <w:t>- Définition / Comprend</w:t>
      </w:r>
    </w:p>
    <w:p w14:paraId="55B32E14" w14:textId="77777777" w:rsidR="00DF410E" w:rsidRDefault="00CE7F43">
      <w:pPr>
        <w:jc w:val="both"/>
      </w:pPr>
      <w:r>
        <w:t>Il s'agit de la fourniture et la pose de produits de cuvelages intérieurs qui peuvent être appliqués sur les matériaux de construction minéraux usuels comme le béton, mortier, ciment, briques, blocs treillis, béton cellulaire, etc., mêmes humides (mais non ruisselant).</w:t>
      </w:r>
    </w:p>
    <w:p w14:paraId="55FBA5CF" w14:textId="77777777" w:rsidR="00DF410E" w:rsidRDefault="00CE7F43">
      <w:pPr>
        <w:jc w:val="both"/>
      </w:pPr>
      <w:r>
        <w:t>Le travail comprend notamment :</w:t>
      </w:r>
    </w:p>
    <w:p w14:paraId="3214C94C" w14:textId="77777777" w:rsidR="00DF410E" w:rsidRDefault="00CE7F43">
      <w:pPr>
        <w:pStyle w:val="Author-eListParagraph"/>
        <w:numPr>
          <w:ilvl w:val="0"/>
          <w:numId w:val="1098"/>
        </w:numPr>
      </w:pPr>
      <w:r>
        <w:t>les mesures de protection provisoires des zones non soumises au traitement ;</w:t>
      </w:r>
    </w:p>
    <w:p w14:paraId="627B2CF1" w14:textId="77777777" w:rsidR="00DF410E" w:rsidRDefault="00CE7F43">
      <w:pPr>
        <w:pStyle w:val="Author-eListParagraph"/>
        <w:numPr>
          <w:ilvl w:val="0"/>
          <w:numId w:val="1098"/>
        </w:numPr>
      </w:pPr>
      <w:r>
        <w:t>le contrôle et la préparation des supports avec rebouchage des fissures et autres trous si nécessaire ;</w:t>
      </w:r>
    </w:p>
    <w:p w14:paraId="2A780C91" w14:textId="77777777" w:rsidR="00DF410E" w:rsidRDefault="00CE7F43">
      <w:pPr>
        <w:pStyle w:val="Author-eListParagraph"/>
        <w:numPr>
          <w:ilvl w:val="0"/>
          <w:numId w:val="1098"/>
        </w:numPr>
      </w:pPr>
      <w:r>
        <w:t>la préparation et la mise en œuvre des produits de cuvelage ;</w:t>
      </w:r>
    </w:p>
    <w:p w14:paraId="5A86E98C" w14:textId="77777777" w:rsidR="00DF410E" w:rsidRDefault="00CE7F43">
      <w:pPr>
        <w:pStyle w:val="Author-eListParagraph"/>
        <w:numPr>
          <w:ilvl w:val="0"/>
          <w:numId w:val="1098"/>
        </w:numPr>
      </w:pPr>
      <w:r>
        <w:t>l’enlèvement des protections provisoires après séchage des produits.</w:t>
      </w:r>
    </w:p>
    <w:p w14:paraId="04BA75A8" w14:textId="77777777" w:rsidR="00DF410E" w:rsidRDefault="00CE7F43">
      <w:pPr>
        <w:jc w:val="both"/>
      </w:pPr>
      <w:r>
        <w:t>A noter toutefois qu’il est considéré une préparation « normale » des supports. Les travaux de décapage complet de parois pour enlever par exemple des couches de peinture, un ancien enduit non adhérent, etc. ne sont pas compris dans le présent travail. Ces travaux sont décrits et comptabilisés aux </w:t>
      </w:r>
      <w:hyperlink r:id="rId359" w:history="1" w:docLocation="641">
        <w:r>
          <w:t>06.74.1 Décapages d'enduits intérieurs</w:t>
        </w:r>
      </w:hyperlink>
      <w:r>
        <w:t> et </w:t>
      </w:r>
      <w:hyperlink r:id="rId360" w:history="1" w:docLocation="642">
        <w:r>
          <w:t>06.75.1 Décapages de peintures et traitements intérieurs</w:t>
        </w:r>
      </w:hyperlink>
      <w:r>
        <w:t xml:space="preserve"> et articles qui en découlent.</w:t>
      </w:r>
    </w:p>
    <w:p w14:paraId="004060B0" w14:textId="77777777" w:rsidR="00DF410E" w:rsidRDefault="00CE7F43">
      <w:pPr>
        <w:pStyle w:val="pheading"/>
      </w:pPr>
      <w:r>
        <w:t>MATÉRIAUX</w:t>
      </w:r>
    </w:p>
    <w:p w14:paraId="40C9EB52" w14:textId="77777777" w:rsidR="00DF410E" w:rsidRDefault="00CE7F43">
      <w:pPr>
        <w:pStyle w:val="pheading"/>
      </w:pPr>
      <w:r>
        <w:t>- Caractéristiques générales</w:t>
      </w:r>
    </w:p>
    <w:p w14:paraId="1D558927" w14:textId="77777777" w:rsidR="00DF410E" w:rsidRDefault="00CE7F43">
      <w:r>
        <w:t xml:space="preserve">Type de produit : </w:t>
      </w:r>
      <w:r>
        <w:rPr>
          <w:rStyle w:val="optioncarChar"/>
        </w:rPr>
        <w:t>badigeon</w:t>
      </w:r>
      <w:r>
        <w:t xml:space="preserve"> (par défaut)</w:t>
      </w:r>
      <w:r>
        <w:rPr>
          <w:rStyle w:val="optioncarChar"/>
        </w:rPr>
        <w:t xml:space="preserve"> / cimentage fin (≤ 5 mm) / cimentage épais (≥ 10 mm)</w:t>
      </w:r>
    </w:p>
    <w:p w14:paraId="757B4F4B" w14:textId="77777777" w:rsidR="00DF410E" w:rsidRDefault="00CE7F43">
      <w:r>
        <w:rPr>
          <w:b/>
        </w:rPr>
        <w:t>(soit par défaut)</w:t>
      </w:r>
      <w:r>
        <w:br/>
      </w:r>
      <w:r>
        <w:rPr>
          <w:rStyle w:val="soitChar"/>
          <w:u w:val="single"/>
        </w:rPr>
        <w:t>Badigeon :</w:t>
      </w:r>
    </w:p>
    <w:p w14:paraId="169DDDF2" w14:textId="77777777" w:rsidR="00DF410E" w:rsidRDefault="00CE7F43">
      <w:pPr>
        <w:pStyle w:val="Author-eListParagraph"/>
        <w:numPr>
          <w:ilvl w:val="0"/>
          <w:numId w:val="1099"/>
        </w:numPr>
      </w:pPr>
      <w:r>
        <w:rPr>
          <w:rStyle w:val="soitChar"/>
        </w:rPr>
        <w:t>Revêtement à base de résines synthétiques et de composants à liant hydraulique de type ciment</w:t>
      </w:r>
    </w:p>
    <w:p w14:paraId="41583D65" w14:textId="77777777" w:rsidR="00DF410E" w:rsidRDefault="00CE7F43">
      <w:pPr>
        <w:pStyle w:val="Author-eListParagraph"/>
        <w:numPr>
          <w:ilvl w:val="0"/>
          <w:numId w:val="1099"/>
        </w:numPr>
      </w:pPr>
      <w:r>
        <w:rPr>
          <w:rStyle w:val="soitChar"/>
        </w:rPr>
        <w:t>Imperméable à l’eau après séchage</w:t>
      </w:r>
    </w:p>
    <w:p w14:paraId="7138132C" w14:textId="77777777" w:rsidR="00DF410E" w:rsidRDefault="00CE7F43">
      <w:pPr>
        <w:pStyle w:val="Author-eListParagraph"/>
        <w:numPr>
          <w:ilvl w:val="0"/>
          <w:numId w:val="1099"/>
        </w:numPr>
      </w:pPr>
      <w:r>
        <w:rPr>
          <w:rStyle w:val="soitChar"/>
        </w:rPr>
        <w:t>Couleur :</w:t>
      </w:r>
      <w:r>
        <w:rPr>
          <w:rStyle w:val="optioncarChar"/>
        </w:rPr>
        <w:t xml:space="preserve"> blanc / noir</w:t>
      </w:r>
    </w:p>
    <w:p w14:paraId="0F4463C4" w14:textId="77777777" w:rsidR="00DF410E" w:rsidRDefault="00CE7F43">
      <w:r>
        <w:rPr>
          <w:b/>
        </w:rPr>
        <w:t>(soit)</w:t>
      </w:r>
      <w:r>
        <w:br/>
      </w:r>
      <w:r>
        <w:rPr>
          <w:rStyle w:val="soitChar"/>
          <w:u w:val="single"/>
        </w:rPr>
        <w:t>Cimentage fin (≤ 5 mm) :</w:t>
      </w:r>
    </w:p>
    <w:p w14:paraId="4DB41584" w14:textId="77777777" w:rsidR="00DF410E" w:rsidRDefault="00CE7F43">
      <w:pPr>
        <w:pStyle w:val="Author-eListParagraph"/>
        <w:numPr>
          <w:ilvl w:val="0"/>
          <w:numId w:val="1100"/>
        </w:numPr>
      </w:pPr>
      <w:r>
        <w:rPr>
          <w:rStyle w:val="soitChar"/>
        </w:rPr>
        <w:t>Mortier à base de ciment modifié avec des polymères, d'adjuvants de charges fines et d'additifs</w:t>
      </w:r>
    </w:p>
    <w:p w14:paraId="10AA5574" w14:textId="77777777" w:rsidR="00DF410E" w:rsidRDefault="00CE7F43">
      <w:pPr>
        <w:pStyle w:val="Author-eListParagraph"/>
        <w:numPr>
          <w:ilvl w:val="0"/>
          <w:numId w:val="1100"/>
        </w:numPr>
      </w:pPr>
      <w:r>
        <w:rPr>
          <w:rStyle w:val="soitChar"/>
        </w:rPr>
        <w:t>Granulométrie D ≤ 1 mm</w:t>
      </w:r>
    </w:p>
    <w:p w14:paraId="719CF737" w14:textId="77777777" w:rsidR="00DF410E" w:rsidRDefault="00CE7F43">
      <w:pPr>
        <w:pStyle w:val="Author-eListParagraph"/>
        <w:numPr>
          <w:ilvl w:val="0"/>
          <w:numId w:val="1100"/>
        </w:numPr>
      </w:pPr>
      <w:r>
        <w:rPr>
          <w:rStyle w:val="soitChar"/>
        </w:rPr>
        <w:t>Adhérence, suivant la [NBN EN 1542] ≥ 0,8 N/mm²</w:t>
      </w:r>
    </w:p>
    <w:p w14:paraId="2DC4DC0A" w14:textId="77777777" w:rsidR="00DF410E" w:rsidRDefault="00CE7F43">
      <w:pPr>
        <w:pStyle w:val="Author-eListParagraph"/>
        <w:numPr>
          <w:ilvl w:val="0"/>
          <w:numId w:val="1100"/>
        </w:numPr>
      </w:pPr>
      <w:r>
        <w:rPr>
          <w:rStyle w:val="soitChar"/>
        </w:rPr>
        <w:t>Adhérence initiale, suivant la [NBN EN 14891:2017] ≥ 0,5 N/mm²</w:t>
      </w:r>
    </w:p>
    <w:p w14:paraId="743A2433" w14:textId="77777777" w:rsidR="00DF410E" w:rsidRDefault="00CE7F43">
      <w:pPr>
        <w:pStyle w:val="Author-eListParagraph"/>
        <w:numPr>
          <w:ilvl w:val="0"/>
          <w:numId w:val="1100"/>
        </w:numPr>
      </w:pPr>
      <w:r>
        <w:rPr>
          <w:rStyle w:val="soitChar"/>
        </w:rPr>
        <w:t>Adhérence après vieillissement thermique, suivant la [NBN EN 14891:2017] ≥ 0,5 N/mm²</w:t>
      </w:r>
    </w:p>
    <w:p w14:paraId="758BBE0C" w14:textId="77777777" w:rsidR="00DF410E" w:rsidRDefault="00CE7F43">
      <w:pPr>
        <w:pStyle w:val="Author-eListParagraph"/>
        <w:numPr>
          <w:ilvl w:val="0"/>
          <w:numId w:val="1100"/>
        </w:numPr>
      </w:pPr>
      <w:r>
        <w:rPr>
          <w:rStyle w:val="soitChar"/>
        </w:rPr>
        <w:t>Adhérence après des cycles gel-dégel, suivant la [NBN EN 14891:2017] ≥ 0,5 N/mm²</w:t>
      </w:r>
    </w:p>
    <w:p w14:paraId="0D06C694" w14:textId="77777777" w:rsidR="00DF410E" w:rsidRDefault="00CE7F43">
      <w:pPr>
        <w:pStyle w:val="Author-eListParagraph"/>
        <w:numPr>
          <w:ilvl w:val="0"/>
          <w:numId w:val="1100"/>
        </w:numPr>
      </w:pPr>
      <w:r>
        <w:rPr>
          <w:rStyle w:val="soitChar"/>
        </w:rPr>
        <w:t>Adhérence après contact avec de l'eau, suivant la [NBN EN 14891:2017] ≥ 0,5 N/mm²</w:t>
      </w:r>
    </w:p>
    <w:p w14:paraId="57FCC4C0" w14:textId="77777777" w:rsidR="00DF410E" w:rsidRDefault="00CE7F43">
      <w:pPr>
        <w:pStyle w:val="Author-eListParagraph"/>
        <w:numPr>
          <w:ilvl w:val="0"/>
          <w:numId w:val="1100"/>
        </w:numPr>
      </w:pPr>
      <w:r>
        <w:rPr>
          <w:rStyle w:val="soitChar"/>
        </w:rPr>
        <w:t>Adhérence après contact avec de l'eau calcaire, suivant la [NBN EN 14891:2017] ≥ 0,5 N/mm²</w:t>
      </w:r>
    </w:p>
    <w:p w14:paraId="1714E14E" w14:textId="77777777" w:rsidR="00DF410E" w:rsidRDefault="00CE7F43">
      <w:pPr>
        <w:pStyle w:val="Author-eListParagraph"/>
        <w:numPr>
          <w:ilvl w:val="0"/>
          <w:numId w:val="1100"/>
        </w:numPr>
      </w:pPr>
      <w:r>
        <w:rPr>
          <w:rStyle w:val="soitChar"/>
        </w:rPr>
        <w:t>Adhérence après contact avec de l'eau chlorée, suivant la [NBN EN 14891:2017] ≥ 0,5 N/mm²</w:t>
      </w:r>
    </w:p>
    <w:p w14:paraId="171421DD" w14:textId="77777777" w:rsidR="00DF410E" w:rsidRDefault="00CE7F43">
      <w:pPr>
        <w:pStyle w:val="Author-eListParagraph"/>
        <w:numPr>
          <w:ilvl w:val="0"/>
          <w:numId w:val="1100"/>
        </w:numPr>
      </w:pPr>
      <w:r>
        <w:rPr>
          <w:rStyle w:val="soitChar"/>
        </w:rPr>
        <w:t>Capacité de pontage des fissures, suivant la [NBN EN 14891:2017], à +23°C et -5°C ≥ 0,75 mm</w:t>
      </w:r>
    </w:p>
    <w:p w14:paraId="7A63DB6C" w14:textId="77777777" w:rsidR="00DF410E" w:rsidRDefault="00CE7F43">
      <w:pPr>
        <w:pStyle w:val="Author-eListParagraph"/>
        <w:numPr>
          <w:ilvl w:val="0"/>
          <w:numId w:val="1100"/>
        </w:numPr>
      </w:pPr>
      <w:r>
        <w:rPr>
          <w:rStyle w:val="soitChar"/>
        </w:rPr>
        <w:t>Réaction au feu, suivant la [NBN EN 13501-1] : A2</w:t>
      </w:r>
    </w:p>
    <w:p w14:paraId="63E5AAA7" w14:textId="77777777" w:rsidR="00DF410E" w:rsidRDefault="00CE7F43">
      <w:pPr>
        <w:pStyle w:val="Author-eListParagraph"/>
        <w:numPr>
          <w:ilvl w:val="0"/>
          <w:numId w:val="1100"/>
        </w:numPr>
      </w:pPr>
      <w:r>
        <w:rPr>
          <w:rStyle w:val="soitChar"/>
        </w:rPr>
        <w:t>Perméabilité à la vapeur d’eau Sd ≤ 5m</w:t>
      </w:r>
    </w:p>
    <w:p w14:paraId="7CD0C293" w14:textId="77777777" w:rsidR="00DF410E" w:rsidRDefault="00CE7F43">
      <w:pPr>
        <w:pStyle w:val="Author-eListParagraph"/>
        <w:numPr>
          <w:ilvl w:val="0"/>
          <w:numId w:val="1100"/>
        </w:numPr>
      </w:pPr>
      <w:r>
        <w:rPr>
          <w:rStyle w:val="soitChar"/>
        </w:rPr>
        <w:t>Absorption capillaire, suivant [NBN EN 1504-2] ≤ 0,1 kg/m².h0,5</w:t>
      </w:r>
    </w:p>
    <w:p w14:paraId="6FC56F8B" w14:textId="77777777" w:rsidR="00DF410E" w:rsidRDefault="00CE7F43">
      <w:pPr>
        <w:pStyle w:val="Author-eListParagraph"/>
        <w:numPr>
          <w:ilvl w:val="0"/>
          <w:numId w:val="1100"/>
        </w:numPr>
      </w:pPr>
      <w:r>
        <w:rPr>
          <w:rStyle w:val="soitChar"/>
        </w:rPr>
        <w:t>Pénétration d’eau sous pression, suivant [NBN EN 14891:2017] : Pas de pénétration après 7 jours à 1,5 bars</w:t>
      </w:r>
    </w:p>
    <w:p w14:paraId="0455284D" w14:textId="77777777" w:rsidR="00DF410E" w:rsidRDefault="00CE7F43">
      <w:r>
        <w:rPr>
          <w:b/>
        </w:rPr>
        <w:t>(soit)</w:t>
      </w:r>
    </w:p>
    <w:p w14:paraId="51F7CEBD" w14:textId="77777777" w:rsidR="00DF410E" w:rsidRDefault="00CE7F43">
      <w:r>
        <w:rPr>
          <w:rStyle w:val="soitChar"/>
          <w:u w:val="single"/>
        </w:rPr>
        <w:t>Cimentage épais (≥ 10 mm) :</w:t>
      </w:r>
    </w:p>
    <w:p w14:paraId="2AC30E6A" w14:textId="77777777" w:rsidR="00DF410E" w:rsidRDefault="00CE7F43">
      <w:pPr>
        <w:pStyle w:val="Author-eListParagraph"/>
        <w:numPr>
          <w:ilvl w:val="0"/>
          <w:numId w:val="1101"/>
        </w:numPr>
      </w:pPr>
      <w:r>
        <w:rPr>
          <w:rStyle w:val="soitChar"/>
        </w:rPr>
        <w:t>Mortier cimenteux hydrofuge à base de liants hydrauliques et d’adjuvants</w:t>
      </w:r>
    </w:p>
    <w:p w14:paraId="180CC59D" w14:textId="77777777" w:rsidR="00DF410E" w:rsidRDefault="00CE7F43">
      <w:pPr>
        <w:pStyle w:val="Author-eListParagraph"/>
        <w:numPr>
          <w:ilvl w:val="0"/>
          <w:numId w:val="1101"/>
        </w:numPr>
      </w:pPr>
      <w:r>
        <w:rPr>
          <w:rStyle w:val="soitChar"/>
        </w:rPr>
        <w:t>Granulométrie D ≤ 4 mm</w:t>
      </w:r>
    </w:p>
    <w:p w14:paraId="3D05C7FD" w14:textId="77777777" w:rsidR="00DF410E" w:rsidRDefault="00CE7F43">
      <w:pPr>
        <w:pStyle w:val="Author-eListParagraph"/>
        <w:numPr>
          <w:ilvl w:val="0"/>
          <w:numId w:val="1101"/>
        </w:numPr>
      </w:pPr>
      <w:r>
        <w:rPr>
          <w:rStyle w:val="soitChar"/>
        </w:rPr>
        <w:t>Adhérence sur béton, suivant la [NBN EN 1542] ≥ 1 N/mm²</w:t>
      </w:r>
    </w:p>
    <w:p w14:paraId="21D61858" w14:textId="77777777" w:rsidR="00DF410E" w:rsidRDefault="00CE7F43">
      <w:pPr>
        <w:pStyle w:val="Author-eListParagraph"/>
        <w:numPr>
          <w:ilvl w:val="0"/>
          <w:numId w:val="1101"/>
        </w:numPr>
      </w:pPr>
      <w:r>
        <w:rPr>
          <w:rStyle w:val="soitChar"/>
        </w:rPr>
        <w:t>Résistance à la compression, après 28 jours (à 20°C), suivant la [NBN EN 12190] ≥ 18 N/mm²</w:t>
      </w:r>
    </w:p>
    <w:p w14:paraId="2D709CDF" w14:textId="77777777" w:rsidR="00DF410E" w:rsidRDefault="00CE7F43">
      <w:pPr>
        <w:pStyle w:val="Author-eListParagraph"/>
        <w:numPr>
          <w:ilvl w:val="0"/>
          <w:numId w:val="1101"/>
        </w:numPr>
      </w:pPr>
      <w:r>
        <w:rPr>
          <w:rStyle w:val="soitChar"/>
        </w:rPr>
        <w:t>Résistance à la flexion, après 28 jours (à 20°C) ≥ 18 N/mm²</w:t>
      </w:r>
    </w:p>
    <w:p w14:paraId="543ED3A1" w14:textId="77777777" w:rsidR="00DF410E" w:rsidRDefault="00CE7F43">
      <w:pPr>
        <w:pStyle w:val="Author-eListParagraph"/>
        <w:numPr>
          <w:ilvl w:val="0"/>
          <w:numId w:val="1101"/>
        </w:numPr>
      </w:pPr>
      <w:r>
        <w:rPr>
          <w:rStyle w:val="soitChar"/>
        </w:rPr>
        <w:t>Absorption capillaire, suivant [NBN EN 1062-3] ≤ 0,5 kg/m².min0,5</w:t>
      </w:r>
    </w:p>
    <w:p w14:paraId="09499F4F" w14:textId="77777777" w:rsidR="00DF410E" w:rsidRDefault="00CE7F43">
      <w:r>
        <w:rPr>
          <w:b/>
        </w:rPr>
        <w:t>Mortier à chanfrein</w:t>
      </w:r>
    </w:p>
    <w:p w14:paraId="687148AD" w14:textId="77777777" w:rsidR="00DF410E" w:rsidRDefault="00CE7F43">
      <w:pPr>
        <w:pStyle w:val="Author-eListParagraph"/>
        <w:numPr>
          <w:ilvl w:val="0"/>
          <w:numId w:val="1102"/>
        </w:numPr>
      </w:pPr>
      <w:r>
        <w:t>Mortier de type mortier de réparation sans retrait, à base de ciment PM-ES, d’adjuvants de charges fines et d’additifs.</w:t>
      </w:r>
    </w:p>
    <w:p w14:paraId="5CFE10C7" w14:textId="77777777" w:rsidR="00DF410E" w:rsidRDefault="00CE7F43">
      <w:pPr>
        <w:pStyle w:val="Author-eListParagraph"/>
        <w:numPr>
          <w:ilvl w:val="0"/>
          <w:numId w:val="1102"/>
        </w:numPr>
      </w:pPr>
      <w:r>
        <w:t>Mortier très adhésif et hydrofuge après séchage</w:t>
      </w:r>
    </w:p>
    <w:p w14:paraId="19D68CC5" w14:textId="77777777" w:rsidR="00DF410E" w:rsidRDefault="00CE7F43">
      <w:pPr>
        <w:pStyle w:val="Author-eListParagraph"/>
        <w:numPr>
          <w:ilvl w:val="0"/>
          <w:numId w:val="1102"/>
        </w:numPr>
      </w:pPr>
      <w:r>
        <w:t>Granulométrie D ≤ 1 mm</w:t>
      </w:r>
    </w:p>
    <w:p w14:paraId="56E31950" w14:textId="77777777" w:rsidR="00DF410E" w:rsidRDefault="00CE7F43">
      <w:pPr>
        <w:pStyle w:val="Author-eListParagraph"/>
        <w:numPr>
          <w:ilvl w:val="0"/>
          <w:numId w:val="1102"/>
        </w:numPr>
      </w:pPr>
      <w:r>
        <w:t>Adhérence sur béton, suivant la [NBN EN 1542] ≥ 2 N/mm²</w:t>
      </w:r>
    </w:p>
    <w:p w14:paraId="614EF14B" w14:textId="77777777" w:rsidR="00DF410E" w:rsidRDefault="00CE7F43">
      <w:pPr>
        <w:pStyle w:val="Author-eListParagraph"/>
        <w:numPr>
          <w:ilvl w:val="0"/>
          <w:numId w:val="1102"/>
        </w:numPr>
      </w:pPr>
      <w:r>
        <w:t>Résistance à la compression, après 28 jours (à 20°C), suivant la [NBN EN 12190] ≥ 40 N/mm²</w:t>
      </w:r>
    </w:p>
    <w:p w14:paraId="2C8BC548" w14:textId="77777777" w:rsidR="00DF410E" w:rsidRDefault="00CE7F43">
      <w:pPr>
        <w:pStyle w:val="Author-eListParagraph"/>
        <w:numPr>
          <w:ilvl w:val="0"/>
          <w:numId w:val="1102"/>
        </w:numPr>
      </w:pPr>
      <w:r>
        <w:t>Résistance à la flexion, après 28 jours (à 20°C) ≥ 18 N/mm²</w:t>
      </w:r>
    </w:p>
    <w:p w14:paraId="091C1860" w14:textId="77777777" w:rsidR="00DF410E" w:rsidRDefault="00CE7F43">
      <w:pPr>
        <w:pStyle w:val="Author-eListParagraph"/>
        <w:numPr>
          <w:ilvl w:val="0"/>
          <w:numId w:val="1102"/>
        </w:numPr>
      </w:pPr>
      <w:r>
        <w:t>Teneur en ion chlorure ≤ 0,05%</w:t>
      </w:r>
    </w:p>
    <w:p w14:paraId="15DFDDB7" w14:textId="77777777" w:rsidR="00DF410E" w:rsidRDefault="00CE7F43">
      <w:pPr>
        <w:pStyle w:val="Author-eListParagraph"/>
        <w:numPr>
          <w:ilvl w:val="0"/>
          <w:numId w:val="1102"/>
        </w:numPr>
      </w:pPr>
      <w:r>
        <w:t>Absorption capillaire, suivant [NBN EN 1504-3] ≤ 0,05 kg/m².h0,5</w:t>
      </w:r>
    </w:p>
    <w:p w14:paraId="484969DB" w14:textId="77777777" w:rsidR="00DF410E" w:rsidRDefault="00CE7F43">
      <w:pPr>
        <w:pStyle w:val="Author-eListParagraph"/>
        <w:numPr>
          <w:ilvl w:val="0"/>
          <w:numId w:val="1102"/>
        </w:numPr>
      </w:pPr>
      <w:r>
        <w:t>Temps d’attente pour l’application d’une finition ultérieure ≤ 4h</w:t>
      </w:r>
    </w:p>
    <w:p w14:paraId="436ECF20" w14:textId="77777777" w:rsidR="00DF410E" w:rsidRDefault="00CE7F43">
      <w:pPr>
        <w:pStyle w:val="pheading"/>
      </w:pPr>
      <w:r>
        <w:t>EXÉCUTION / MISE EN ŒUVRE</w:t>
      </w:r>
    </w:p>
    <w:p w14:paraId="0D0CCCEE" w14:textId="77777777" w:rsidR="00DF410E" w:rsidRDefault="00CE7F43">
      <w:pPr>
        <w:pStyle w:val="pheading"/>
      </w:pPr>
      <w:r>
        <w:t>- Prescriptions générales</w:t>
      </w:r>
    </w:p>
    <w:p w14:paraId="3F1E72D2" w14:textId="77777777" w:rsidR="00DF410E" w:rsidRDefault="00CE7F43">
      <w:pPr>
        <w:jc w:val="both"/>
      </w:pPr>
      <w:r>
        <w:rPr>
          <w:b/>
        </w:rPr>
        <w:t>Préparation du support</w:t>
      </w:r>
    </w:p>
    <w:p w14:paraId="0E27AA26" w14:textId="77777777" w:rsidR="00DF410E" w:rsidRDefault="00CE7F43">
      <w:pPr>
        <w:jc w:val="both"/>
      </w:pPr>
      <w:r>
        <w:t>Le support est soigneusement décapé des parties qui se détachent, des résidus de peinture, etc.</w:t>
      </w:r>
    </w:p>
    <w:p w14:paraId="22B72EB3" w14:textId="77777777" w:rsidR="00DF410E" w:rsidRDefault="00CE7F43">
      <w:pPr>
        <w:jc w:val="both"/>
      </w:pPr>
      <w:r>
        <w:t>Les fissures et autres trous sont colmatés ou rebouchés.</w:t>
      </w:r>
    </w:p>
    <w:p w14:paraId="68875A06" w14:textId="77777777" w:rsidR="00DF410E" w:rsidRDefault="00CE7F43">
      <w:pPr>
        <w:jc w:val="both"/>
      </w:pPr>
      <w:r>
        <w:t>Le support est nettoyé, sain et cohésif, dépoussiéré et exempt de traces d’huile ou de toute substance susceptible de nuire à l’adhérence du produit. Une cohésion superficielle du support ≥ à 1 N/mm² est nécessaire pour pouvoir appliquer le produit de cuvelage.</w:t>
      </w:r>
    </w:p>
    <w:p w14:paraId="2B957F95" w14:textId="77777777" w:rsidR="00DF410E" w:rsidRDefault="00CE7F43">
      <w:pPr>
        <w:jc w:val="both"/>
      </w:pPr>
      <w:r>
        <w:t>Les traces de salpêtre sont également traitées.</w:t>
      </w:r>
    </w:p>
    <w:p w14:paraId="214C4415" w14:textId="77777777" w:rsidR="00DF410E" w:rsidRDefault="00CE7F43">
      <w:pPr>
        <w:jc w:val="both"/>
      </w:pPr>
      <w:r>
        <w:t>Le local est suffisamment ventilé pendant tout le temps de l’application et du séchage.</w:t>
      </w:r>
    </w:p>
    <w:p w14:paraId="05DCA203" w14:textId="77777777" w:rsidR="00DF410E" w:rsidRDefault="00CE7F43">
      <w:pPr>
        <w:jc w:val="both"/>
      </w:pPr>
      <w:r>
        <w:t>Le support est humidifié à refus la veille et réhumidifié le jour de l’application sans toutefois ressuer l’eau, c.-à-d. humide, mais pas mouillé. Si la température est proche de 30°C, l’entrepreneur veille à humidifier régulièrement la paroi en fonction de l’avancement des travaux.</w:t>
      </w:r>
    </w:p>
    <w:p w14:paraId="7C401265" w14:textId="77777777" w:rsidR="00DF410E" w:rsidRDefault="00CE7F43">
      <w:pPr>
        <w:jc w:val="both"/>
      </w:pPr>
      <w:r>
        <w:t>Le produit est malaxé quelques minutes avant sa mise en œuvre et régulièrement pendant l’application. La température d’application de l’air ambiant et du support se situent entre +10°C et +30°C.</w:t>
      </w:r>
    </w:p>
    <w:p w14:paraId="410EAD91" w14:textId="77777777" w:rsidR="00DF410E" w:rsidRDefault="00CE7F43">
      <w:pPr>
        <w:jc w:val="both"/>
      </w:pPr>
      <w:r>
        <w:t>Le produit est protégé de l’ensoleillement direct et de la pluie pendant son application et séchage.</w:t>
      </w:r>
    </w:p>
    <w:p w14:paraId="6B257DB2" w14:textId="77777777" w:rsidR="00DF410E" w:rsidRDefault="00CE7F43">
      <w:pPr>
        <w:jc w:val="both"/>
      </w:pPr>
      <w:r>
        <w:rPr>
          <w:b/>
        </w:rPr>
        <w:t>Préparation des arrêtes et traversées</w:t>
      </w:r>
    </w:p>
    <w:p w14:paraId="185416B1" w14:textId="77777777" w:rsidR="00DF410E" w:rsidRDefault="00CE7F43">
      <w:pPr>
        <w:jc w:val="both"/>
      </w:pPr>
      <w:r>
        <w:t>Les arêtes des raccords murs/sol et murs/murs sont « cassées » en réalisant des chanfreins de minimum 5 cm de côté, au mortier à chanfrein, appliqué à la truelle.</w:t>
      </w:r>
    </w:p>
    <w:p w14:paraId="6CF7560C" w14:textId="77777777" w:rsidR="00DF410E" w:rsidRDefault="00CE7F43">
      <w:pPr>
        <w:jc w:val="both"/>
      </w:pPr>
      <w:r>
        <w:t>Le produit de cuvelage peut ensuite être appliqué après séchage du mortier à chanfrein.</w:t>
      </w:r>
    </w:p>
    <w:p w14:paraId="67ACEAB7" w14:textId="77777777" w:rsidR="00DF410E" w:rsidRDefault="00CE7F43">
      <w:pPr>
        <w:jc w:val="both"/>
      </w:pPr>
      <w:r>
        <w:t>Toutes les connexions entre le support et les entrées de tuyaux, les installations et les équipements, les interrupteurs d'éclairage, etc. sont scellées et étanches. Les joints dans le béton, autour des tuyaux ou n'importe où ailleurs dans la structure sont également scellés et rendus étanches.</w:t>
      </w:r>
    </w:p>
    <w:p w14:paraId="6FB55F18" w14:textId="77777777" w:rsidR="00DF410E" w:rsidRDefault="00CE7F43">
      <w:pPr>
        <w:jc w:val="both"/>
      </w:pPr>
      <w:r>
        <w:t>La préparation des arrêtes et traversées est comprise dans le présent travail.</w:t>
      </w:r>
    </w:p>
    <w:p w14:paraId="1C0E1C26" w14:textId="77777777" w:rsidR="00DF410E" w:rsidRDefault="00CE7F43">
      <w:pPr>
        <w:jc w:val="both"/>
      </w:pPr>
      <w:r>
        <w:rPr>
          <w:b/>
        </w:rPr>
        <w:t>Exécution</w:t>
      </w:r>
    </w:p>
    <w:p w14:paraId="645A9E2B" w14:textId="77777777" w:rsidR="00DF410E" w:rsidRDefault="00CE7F43">
      <w:pPr>
        <w:jc w:val="both"/>
      </w:pPr>
      <w:r>
        <w:rPr>
          <w:u w:val="single"/>
        </w:rPr>
        <w:t>Application d’un badigeon</w:t>
      </w:r>
    </w:p>
    <w:p w14:paraId="0372B297" w14:textId="77777777" w:rsidR="00DF410E" w:rsidRDefault="00CE7F43">
      <w:pPr>
        <w:jc w:val="both"/>
      </w:pPr>
      <w:r>
        <w:t>Le produit est appliqué à la brosse ou au rouleau à poils mi-longs, au choix de l’entrepreneur, en deux couches minimum croisées, en observant un intervalle de 6 heures environ entre chaque couche, ou suivant les recommandations de la fiche technique du produit. Le support est à nouveau légèrement humidifié avant d’appliquer la deuxième couche.</w:t>
      </w:r>
    </w:p>
    <w:p w14:paraId="6239EB99" w14:textId="77777777" w:rsidR="00DF410E" w:rsidRDefault="00CE7F43">
      <w:pPr>
        <w:jc w:val="both"/>
      </w:pPr>
      <w:r>
        <w:t>L’entrepreneur veille à bien remplir tous les pores du support.</w:t>
      </w:r>
    </w:p>
    <w:p w14:paraId="631034E1" w14:textId="77777777" w:rsidR="00DF410E" w:rsidRDefault="00CE7F43">
      <w:pPr>
        <w:jc w:val="both"/>
      </w:pPr>
      <w:r>
        <w:t>Les angles, raccords, etc. sont traités exclusivement à la brosse.</w:t>
      </w:r>
    </w:p>
    <w:p w14:paraId="7FC995F1" w14:textId="77777777" w:rsidR="00DF410E" w:rsidRDefault="00CE7F43">
      <w:pPr>
        <w:jc w:val="both"/>
      </w:pPr>
      <w:r>
        <w:t>Le temps de séchage après la dernière couche est de minimum 24h à 20°C ou suivant les recommandations de la fiche technique du produit. </w:t>
      </w:r>
    </w:p>
    <w:p w14:paraId="738A4891" w14:textId="77777777" w:rsidR="00DF410E" w:rsidRDefault="00CE7F43">
      <w:pPr>
        <w:jc w:val="both"/>
      </w:pPr>
      <w:r>
        <w:rPr>
          <w:u w:val="single"/>
        </w:rPr>
        <w:t>Application d’un cimentage fin (≤ 5 mm)</w:t>
      </w:r>
    </w:p>
    <w:p w14:paraId="1B0ED2FF" w14:textId="77777777" w:rsidR="00DF410E" w:rsidRDefault="00CE7F43">
      <w:pPr>
        <w:jc w:val="both"/>
      </w:pPr>
      <w:r>
        <w:t>Le produit est appliqué à la brosse ou à la truelle, au choix de l’entrepreneur, en 2 ou 3 couches croisées, pour atteindre une épaisseur totale constante de minimum 3 mm. L'épaisseur maximale par couche est de 2 mm lorsqu'elle est appliquée à la truelle et de 1 mm lorsqu'elle est appliquée à la brosse. La couche précédente est sèche avant d'appliquer la couche suivante.</w:t>
      </w:r>
    </w:p>
    <w:p w14:paraId="22C13EE7" w14:textId="77777777" w:rsidR="00DF410E" w:rsidRDefault="00CE7F43">
      <w:pPr>
        <w:jc w:val="both"/>
      </w:pPr>
      <w:r>
        <w:t>Le temps de séchage après la dernière couche est de minimum 48h à 20°C ou suivant les recommandations de la fiche technique du produit. </w:t>
      </w:r>
    </w:p>
    <w:p w14:paraId="6A96FB95" w14:textId="77777777" w:rsidR="00DF410E" w:rsidRDefault="00CE7F43">
      <w:pPr>
        <w:jc w:val="both"/>
      </w:pPr>
      <w:r>
        <w:rPr>
          <w:u w:val="single"/>
        </w:rPr>
        <w:t>Application d’un cimentage épais (≥ 10 mm)</w:t>
      </w:r>
    </w:p>
    <w:p w14:paraId="3D3E70E6" w14:textId="77777777" w:rsidR="00DF410E" w:rsidRDefault="00CE7F43">
      <w:pPr>
        <w:jc w:val="both"/>
      </w:pPr>
      <w:r>
        <w:t>Le mortier est appliqué à la truelle, à la taloche, ou mécaniquement à l’aide d’une machine à projeter, au choix de l’entrepreneur. Il est dressé à la règle et taloché.</w:t>
      </w:r>
    </w:p>
    <w:p w14:paraId="1F7E055E" w14:textId="77777777" w:rsidR="00DF410E" w:rsidRDefault="00CE7F43">
      <w:pPr>
        <w:jc w:val="both"/>
      </w:pPr>
      <w:r>
        <w:t>L’épaisseur totale moyenne à atteindre, en 1 couche constante, est comprise entre 10 et 20 mm. Elle n’excède pas 30 mm localement.</w:t>
      </w:r>
    </w:p>
    <w:p w14:paraId="40A0AA82" w14:textId="77777777" w:rsidR="00DF410E" w:rsidRDefault="00CE7F43">
      <w:pPr>
        <w:jc w:val="both"/>
      </w:pPr>
      <w:r>
        <w:t>Une couche d’adhérence préalable peut être nécessaire avant l’application du mortier. Dans ce cas, une barbotine d’accrochage est réalisée avec le même produit complété d’un adjuvant. Cette barbotine est projetée sur une épaisseur de 3 à 5 mm, en veillant à bien écraser les crêtes pour éviter des surcharges. Le mortier est appliqué quand la couche d’adhérence commence à prendre (dur à l'ongle, mais encore humide), mais sans la laisser durcir complètement.</w:t>
      </w:r>
    </w:p>
    <w:p w14:paraId="6EBA2261" w14:textId="77777777" w:rsidR="00DF410E" w:rsidRDefault="00CE7F43">
      <w:pPr>
        <w:jc w:val="both"/>
      </w:pPr>
      <w:r>
        <w:t>Le mortier frais est protégé contre la dessiccation prématurée en appliquant un produit de cure, des films plastiques ou en humidifiant légèrement la surface du mortier régulièrement.</w:t>
      </w:r>
    </w:p>
    <w:p w14:paraId="75C5C551" w14:textId="77777777" w:rsidR="00DF410E" w:rsidRDefault="00CE7F43">
      <w:pPr>
        <w:jc w:val="both"/>
      </w:pPr>
      <w:r>
        <w:t>Le temps de séchage après la dernière couche est de minimum 48h à 20°C ou suivant les recommandations de la fiche technique du produit.</w:t>
      </w:r>
    </w:p>
    <w:p w14:paraId="3F2FABC9" w14:textId="77777777" w:rsidR="00DF410E" w:rsidRDefault="00CE7F43">
      <w:pPr>
        <w:pStyle w:val="pheading"/>
      </w:pPr>
      <w:r>
        <w:t>DOCUMENTS DE RÉFÉRENCE COMPLÉMENTAIRES</w:t>
      </w:r>
    </w:p>
    <w:p w14:paraId="22DE257F" w14:textId="77777777" w:rsidR="00DF410E" w:rsidRDefault="00CE7F43">
      <w:pPr>
        <w:pStyle w:val="pheading"/>
      </w:pPr>
      <w:r>
        <w:t>- Matériau</w:t>
      </w:r>
    </w:p>
    <w:p w14:paraId="3F514D0F" w14:textId="77777777" w:rsidR="00DF410E" w:rsidRDefault="00CE7F43">
      <w:r>
        <w:t>[NBN EN 1542, Produits et systèmes pour la protection et la réparation des structures en béton - Méthodes d'essais - Mesurage de l'adhérence par traction directe]</w:t>
      </w:r>
    </w:p>
    <w:p w14:paraId="2D05FCB6" w14:textId="77777777" w:rsidR="00DF410E" w:rsidRDefault="00CE7F43">
      <w:r>
        <w:t>[NBN EN 14891:2017, Produits d'imperméabilisation appliqués en phase liquide utilisés sous carrelage collé - Spécifications, méthodes d'essai, évaluation et vérification de la constance de performance, classification et marquage]</w:t>
      </w:r>
    </w:p>
    <w:p w14:paraId="59BC97CD" w14:textId="77777777" w:rsidR="00DF410E" w:rsidRDefault="00CE7F43">
      <w:r>
        <w:t>[NBN EN 13501-1, Classement au feu des produits et éléments de construction - Partie 1: Classement à partir des données d'essais de réaction au feu]</w:t>
      </w:r>
    </w:p>
    <w:p w14:paraId="33186A77" w14:textId="77777777" w:rsidR="00DF410E" w:rsidRDefault="00CE7F43">
      <w:r>
        <w:t>[NBN EN 1504-2, Produits et systèmes pour la protection et la réparation de structures en béton - Définitions, prescriptions, maîtrise de la qualité et évaluation de la conformité - Partie 2: Systèmes de protection de surface pour béton]</w:t>
      </w:r>
    </w:p>
    <w:p w14:paraId="4AB92CA6" w14:textId="77777777" w:rsidR="00DF410E" w:rsidRDefault="00CE7F43">
      <w:r>
        <w:t>[NBN EN 1504-3, Produits et systèmes pour la protection et la réparation des structures en béton - Définitions, exigences, maîtrise de la qualité et évaluation de la conformité - Partie 3 : Réparation structurale et réparation non structurale]</w:t>
      </w:r>
    </w:p>
    <w:p w14:paraId="3CF2B8D7" w14:textId="77777777" w:rsidR="00DF410E" w:rsidRDefault="00CE7F43">
      <w:r>
        <w:t>[NBN EN 12190, Produits et systèmes pour la protection et la réparation des structures en béton - Méthodes d'essais - Détermination de la résistance à la compression pour les mortiers de réparation]</w:t>
      </w:r>
    </w:p>
    <w:p w14:paraId="46A9F675" w14:textId="77777777" w:rsidR="00DF410E" w:rsidRDefault="00CE7F43">
      <w:r>
        <w:t>[NBN EN 1062-3, Peintures et vernis - Produits de peinture et systèmes de revêtements pour maçonnerie et béton extérieurs - Partie 3 : Détermination de la perméabilité à l'eau liquide]</w:t>
      </w:r>
    </w:p>
    <w:p w14:paraId="0160C4FE" w14:textId="77777777" w:rsidR="00DF410E" w:rsidRDefault="00CE7F43">
      <w:pPr>
        <w:pStyle w:val="pheading"/>
      </w:pPr>
      <w:r>
        <w:t>MESURAGE</w:t>
      </w:r>
    </w:p>
    <w:p w14:paraId="7871F99F" w14:textId="77777777" w:rsidR="00DF410E" w:rsidRDefault="00CE7F43">
      <w:pPr>
        <w:pStyle w:val="pheading"/>
      </w:pPr>
      <w:r>
        <w:t>- unité de mesure:</w:t>
      </w:r>
    </w:p>
    <w:p w14:paraId="47822F31" w14:textId="77777777" w:rsidR="00DF410E" w:rsidRDefault="00CE7F43">
      <w:r>
        <w:t>m²</w:t>
      </w:r>
    </w:p>
    <w:p w14:paraId="68593581" w14:textId="77777777" w:rsidR="00DF410E" w:rsidRDefault="00CE7F43">
      <w:pPr>
        <w:pStyle w:val="pheading"/>
      </w:pPr>
      <w:r>
        <w:t>- code de mesurage:</w:t>
      </w:r>
    </w:p>
    <w:p w14:paraId="41667360" w14:textId="77777777" w:rsidR="00DF410E" w:rsidRDefault="00CE7F43">
      <w:r>
        <w:t>Surface nette de parois à traiter.</w:t>
      </w:r>
    </w:p>
    <w:p w14:paraId="1264F7BB" w14:textId="77777777" w:rsidR="00DF410E" w:rsidRDefault="00CE7F43">
      <w:pPr>
        <w:pStyle w:val="pheading"/>
      </w:pPr>
      <w:r>
        <w:t>- nature du marché:</w:t>
      </w:r>
    </w:p>
    <w:p w14:paraId="468069D8" w14:textId="77777777" w:rsidR="00DF410E" w:rsidRDefault="00CE7F43">
      <w:r>
        <w:t>QF</w:t>
      </w:r>
    </w:p>
    <w:p w14:paraId="4769640D" w14:textId="77777777" w:rsidR="00DF410E" w:rsidRDefault="00CE7F43">
      <w:pPr>
        <w:pStyle w:val="Author-eSectionHeading5"/>
      </w:pPr>
      <w:bookmarkStart w:id="1877" w:name="_Toc178838932"/>
      <w:r>
        <w:t>26.12.5 Traitements d'étanchéisation par injection CCTB 01.11</w:t>
      </w:r>
      <w:bookmarkEnd w:id="1877"/>
    </w:p>
    <w:p w14:paraId="313025BC" w14:textId="77777777" w:rsidR="00DF410E" w:rsidRDefault="00CE7F43">
      <w:pPr>
        <w:pStyle w:val="pheading"/>
      </w:pPr>
      <w:r>
        <w:t>DESCRIPTION</w:t>
      </w:r>
    </w:p>
    <w:p w14:paraId="1F245D10" w14:textId="77777777" w:rsidR="00DF410E" w:rsidRDefault="00CE7F43">
      <w:pPr>
        <w:pStyle w:val="pheading"/>
      </w:pPr>
      <w:r>
        <w:t>- Définition / Comprend</w:t>
      </w:r>
    </w:p>
    <w:p w14:paraId="5112F864" w14:textId="77777777" w:rsidR="00DF410E" w:rsidRDefault="00CE7F43">
      <w:pPr>
        <w:jc w:val="both"/>
      </w:pPr>
      <w:r>
        <w:t>Il s'agit de la fourniture et mise en œuvre de traitements d’étanchéisation liquide de faible viscosité, pour injection, sous basse pression avec un appareil d’injection, ou par gravité, pour étanchéifier des fissures dans le béton, les maçonneries ou les pierres. Le produit convient également pour l’application dans des conditions humides.</w:t>
      </w:r>
    </w:p>
    <w:p w14:paraId="5FCFFC67" w14:textId="77777777" w:rsidR="00DF410E" w:rsidRDefault="00CE7F43">
      <w:pPr>
        <w:jc w:val="both"/>
      </w:pPr>
      <w:r>
        <w:t>Le travail comprend notamment :</w:t>
      </w:r>
    </w:p>
    <w:p w14:paraId="4912E0B9" w14:textId="77777777" w:rsidR="00DF410E" w:rsidRDefault="00CE7F43">
      <w:pPr>
        <w:pStyle w:val="Author-eListParagraph"/>
        <w:numPr>
          <w:ilvl w:val="0"/>
          <w:numId w:val="1103"/>
        </w:numPr>
        <w:jc w:val="both"/>
      </w:pPr>
      <w:r>
        <w:t>les mesures de protection provisoires des zones non soumises au traitement ;</w:t>
      </w:r>
    </w:p>
    <w:p w14:paraId="7443E2DC" w14:textId="77777777" w:rsidR="00DF410E" w:rsidRDefault="00CE7F43">
      <w:pPr>
        <w:pStyle w:val="Author-eListParagraph"/>
        <w:numPr>
          <w:ilvl w:val="0"/>
          <w:numId w:val="1103"/>
        </w:numPr>
        <w:jc w:val="both"/>
      </w:pPr>
      <w:r>
        <w:t>le contrôle et la préparation des supports ;</w:t>
      </w:r>
    </w:p>
    <w:p w14:paraId="6B6300F7" w14:textId="77777777" w:rsidR="00DF410E" w:rsidRDefault="00CE7F43">
      <w:pPr>
        <w:pStyle w:val="Author-eListParagraph"/>
        <w:numPr>
          <w:ilvl w:val="0"/>
          <w:numId w:val="1103"/>
        </w:numPr>
        <w:jc w:val="both"/>
      </w:pPr>
      <w:r>
        <w:t>les percements pour les injections ;</w:t>
      </w:r>
    </w:p>
    <w:p w14:paraId="5028E510" w14:textId="77777777" w:rsidR="00DF410E" w:rsidRDefault="00CE7F43">
      <w:pPr>
        <w:pStyle w:val="Author-eListParagraph"/>
        <w:numPr>
          <w:ilvl w:val="0"/>
          <w:numId w:val="1103"/>
        </w:numPr>
        <w:jc w:val="both"/>
      </w:pPr>
      <w:r>
        <w:t>la mise en place des injecteurs ;</w:t>
      </w:r>
    </w:p>
    <w:p w14:paraId="4BE86EDA" w14:textId="77777777" w:rsidR="00DF410E" w:rsidRDefault="00CE7F43">
      <w:pPr>
        <w:pStyle w:val="Author-eListParagraph"/>
        <w:numPr>
          <w:ilvl w:val="0"/>
          <w:numId w:val="1103"/>
        </w:numPr>
        <w:jc w:val="both"/>
      </w:pPr>
      <w:r>
        <w:t>la préparation et la mise en œuvre du produit ;</w:t>
      </w:r>
    </w:p>
    <w:p w14:paraId="2EF18B72" w14:textId="77777777" w:rsidR="00DF410E" w:rsidRDefault="00CE7F43">
      <w:pPr>
        <w:pStyle w:val="Author-eListParagraph"/>
        <w:numPr>
          <w:ilvl w:val="0"/>
          <w:numId w:val="1103"/>
        </w:numPr>
        <w:jc w:val="both"/>
      </w:pPr>
      <w:r>
        <w:t>l’enlèvement des protections provisoires après séchage du produit.</w:t>
      </w:r>
    </w:p>
    <w:p w14:paraId="037F5D9F" w14:textId="77777777" w:rsidR="00DF410E" w:rsidRDefault="00CE7F43">
      <w:pPr>
        <w:pStyle w:val="pheading"/>
      </w:pPr>
      <w:r>
        <w:t>EXÉCUTION / MISE EN ŒUVRE</w:t>
      </w:r>
    </w:p>
    <w:p w14:paraId="483761FF" w14:textId="77777777" w:rsidR="00DF410E" w:rsidRDefault="00CE7F43">
      <w:pPr>
        <w:jc w:val="both"/>
      </w:pPr>
      <w:r>
        <w:rPr>
          <w:b/>
        </w:rPr>
        <w:t>Préparation du support</w:t>
      </w:r>
    </w:p>
    <w:p w14:paraId="0FB7472F" w14:textId="77777777" w:rsidR="00DF410E" w:rsidRDefault="00CE7F43">
      <w:pPr>
        <w:jc w:val="both"/>
      </w:pPr>
      <w:r>
        <w:t>Les supports sont d’abord débarrassés de toutes parties friables ou peu adhérentes.</w:t>
      </w:r>
    </w:p>
    <w:p w14:paraId="05329DDC" w14:textId="77777777" w:rsidR="00DF410E" w:rsidRDefault="00CE7F43">
      <w:pPr>
        <w:jc w:val="both"/>
      </w:pPr>
      <w:r>
        <w:t>Ils sont ensuite nettoyés de toutes substances huileuses, salissures, poussières, laitance, peintures ou autres composants. </w:t>
      </w:r>
    </w:p>
    <w:p w14:paraId="01DEB4DA" w14:textId="77777777" w:rsidR="00DF410E" w:rsidRDefault="00CE7F43">
      <w:pPr>
        <w:jc w:val="both"/>
      </w:pPr>
      <w:r>
        <w:rPr>
          <w:b/>
        </w:rPr>
        <w:t>Techniques de mise en œuvre</w:t>
      </w:r>
    </w:p>
    <w:p w14:paraId="57CCBDF3" w14:textId="77777777" w:rsidR="00DF410E" w:rsidRDefault="00CE7F43">
      <w:pPr>
        <w:jc w:val="both"/>
      </w:pPr>
      <w:r>
        <w:t>L’entrepreneur veille à respecter la durée d’application du produit, qui varie en fonction de la température ambiante (de l’ordre de 30 minutes à 23 °C) et du volume de produit mélangé.</w:t>
      </w:r>
    </w:p>
    <w:p w14:paraId="649FFA4E" w14:textId="77777777" w:rsidR="00DF410E" w:rsidRDefault="00CE7F43">
      <w:pPr>
        <w:jc w:val="both"/>
      </w:pPr>
      <w:r>
        <w:t>Les locaux sont bien aérés. En cas d’aération insuffisante, l’entrepreneur porte un masque avec filtre.</w:t>
      </w:r>
    </w:p>
    <w:p w14:paraId="685269CF" w14:textId="77777777" w:rsidR="00DF410E" w:rsidRDefault="00CE7F43">
      <w:pPr>
        <w:jc w:val="both"/>
      </w:pPr>
      <w:r>
        <w:t>La température du support et de mise en œuvre du produit est comprise entre 8 °C et 30 °C. </w:t>
      </w:r>
    </w:p>
    <w:p w14:paraId="3CB2247C" w14:textId="77777777" w:rsidR="00DF410E" w:rsidRDefault="00CE7F43">
      <w:pPr>
        <w:jc w:val="both"/>
      </w:pPr>
      <w:r>
        <w:rPr>
          <w:u w:val="single"/>
        </w:rPr>
        <w:t>Par injecteurs</w:t>
      </w:r>
    </w:p>
    <w:p w14:paraId="192E6D4F" w14:textId="77777777" w:rsidR="00DF410E" w:rsidRDefault="00CE7F43">
      <w:pPr>
        <w:jc w:val="both"/>
      </w:pPr>
      <w:r>
        <w:t>Des tubes d’injection (dit injecteurs) sont posés sur toute la longueur de la fissure, dans des trous percés régulièrement à une distance comprise entre 15 et 50 cm, en fonction de la largeur de la fissure. Ces trous sont soigneusement dépoussiérés avec de l’air comprimé.</w:t>
      </w:r>
    </w:p>
    <w:p w14:paraId="25243562" w14:textId="77777777" w:rsidR="00DF410E" w:rsidRDefault="00CE7F43">
      <w:pPr>
        <w:jc w:val="both"/>
      </w:pPr>
      <w:r>
        <w:t>En cas d’impossibilité de percer des trous du fait de dimensions trop réduites ou de nombreuses ramifications des fissures, des injecteurs à platine sont utilisés. Ils sont positionnés sur les fissures et fixés au support avec un mortier ou une pâte appropriée, au choix de l’entrepreneur.</w:t>
      </w:r>
    </w:p>
    <w:p w14:paraId="7920C797" w14:textId="77777777" w:rsidR="00DF410E" w:rsidRDefault="00CE7F43">
      <w:pPr>
        <w:jc w:val="both"/>
      </w:pPr>
      <w:r>
        <w:t>Les injecteurs sont scellés et les fissures sont bouchées à l’aide de mortier, d’une pâte appropriée ou d’un produit d’étanchement à base d’époxy, au choix de l’entrepreneur, pour que le tout soit rendu étanche. A défaut, le produit risque de s’écouler à cause de la pression d’injection.</w:t>
      </w:r>
    </w:p>
    <w:p w14:paraId="7995E7A2" w14:textId="77777777" w:rsidR="00DF410E" w:rsidRDefault="00CE7F43">
      <w:pPr>
        <w:jc w:val="both"/>
      </w:pPr>
      <w:r>
        <w:t>L’entrepreneur contrôle la durabilité de l’étanchement et la perméabilité des injecteurs avec de l’air comprimé.</w:t>
      </w:r>
    </w:p>
    <w:p w14:paraId="06E434C1" w14:textId="77777777" w:rsidR="00DF410E" w:rsidRDefault="00CE7F43">
      <w:pPr>
        <w:jc w:val="both"/>
      </w:pPr>
      <w:r>
        <w:t>Les composants du produit sont mélangés et versés dans une pompe monocomposant ou individuellement dans une pompe à 2 composants, selon les recommandations accompagnant le produit. </w:t>
      </w:r>
    </w:p>
    <w:p w14:paraId="7BC8902C" w14:textId="77777777" w:rsidR="00DF410E" w:rsidRDefault="00CE7F43">
      <w:pPr>
        <w:jc w:val="both"/>
      </w:pPr>
      <w:r>
        <w:t>Le produit est injecté avec la pompe à basse pression, manuelle ou électrique, dans la fissure jusqu’à son remplissage complet.</w:t>
      </w:r>
    </w:p>
    <w:p w14:paraId="584FF3CD" w14:textId="77777777" w:rsidR="00DF410E" w:rsidRDefault="00CE7F43">
      <w:pPr>
        <w:jc w:val="both"/>
      </w:pPr>
      <w:r>
        <w:t>Dans les fissures verticales, le produit est injecté de bas en haut. L’entrepreneur commence avec l’injecteur le plus bas jusqu’à ce que le produit sorte de l’injecteur situé au-dessus. L’injecteur inférieur est fermé. La procédure est répétée jusqu’au dernier injecteur en haut.</w:t>
      </w:r>
    </w:p>
    <w:p w14:paraId="0E48D738" w14:textId="77777777" w:rsidR="00DF410E" w:rsidRDefault="00CE7F43">
      <w:pPr>
        <w:jc w:val="both"/>
      </w:pPr>
      <w:r>
        <w:t>Dans les fissures horizontales, le produit est injecté dans une direction, d’une extrémité de la fissure à l’autre. L’entrepreneur commence d’un côté de la fissure jusqu’à ce que le produit sorte de l’injecteur suivant. L’injecteur est fermé pour continuer au suivant. La procédure est répétée dans le même sens jusqu’au dernier injecteur.</w:t>
      </w:r>
    </w:p>
    <w:p w14:paraId="1B75275C" w14:textId="77777777" w:rsidR="00DF410E" w:rsidRDefault="00CE7F43">
      <w:pPr>
        <w:jc w:val="both"/>
      </w:pPr>
      <w:r>
        <w:t>Après l’injection, les injecteurs sont retirés et les trous de forages sont rebouchés avec un mortier de réparation sans retrait et hydrofuge.</w:t>
      </w:r>
    </w:p>
    <w:p w14:paraId="7873A7BF" w14:textId="77777777" w:rsidR="00DF410E" w:rsidRDefault="00CE7F43">
      <w:pPr>
        <w:jc w:val="both"/>
      </w:pPr>
      <w:r>
        <w:rPr>
          <w:u w:val="single"/>
        </w:rPr>
        <w:t>Par gravité</w:t>
      </w:r>
    </w:p>
    <w:p w14:paraId="07F7347D" w14:textId="77777777" w:rsidR="00DF410E" w:rsidRDefault="00CE7F43">
      <w:pPr>
        <w:jc w:val="both"/>
      </w:pPr>
      <w:r>
        <w:t>En cas de fissures horizontales, l’application par gravité peut être utilisée comme solution de réparation alternative, à condition que les fissures soient bien sèches.</w:t>
      </w:r>
    </w:p>
    <w:p w14:paraId="31A55AAE" w14:textId="77777777" w:rsidR="00DF410E" w:rsidRDefault="00CE7F43">
      <w:pPr>
        <w:jc w:val="both"/>
      </w:pPr>
      <w:r>
        <w:t>Les fissures sont ouvertes pour former une rainure en forme de V et sont soigneusement dépoussiérées avec de l’air comprimé.</w:t>
      </w:r>
    </w:p>
    <w:p w14:paraId="2F9492B0" w14:textId="77777777" w:rsidR="00DF410E" w:rsidRDefault="00CE7F43">
      <w:pPr>
        <w:jc w:val="both"/>
      </w:pPr>
      <w:r>
        <w:t>Le mélange est utilisé le plus rapidement possible après malaxage, pour permettre une plus longue période de pénétration du produit.</w:t>
      </w:r>
    </w:p>
    <w:p w14:paraId="71CC3CBB" w14:textId="77777777" w:rsidR="00DF410E" w:rsidRDefault="00CE7F43">
      <w:pPr>
        <w:jc w:val="both"/>
      </w:pPr>
      <w:r>
        <w:t>Il est versé dans les fissures. L’entrepreneur laisse pénétrer le produit quelques instants puis verse à nouveau. L’opération est répétée jusqu’au remplissage complet de la fissure.</w:t>
      </w:r>
    </w:p>
    <w:p w14:paraId="4342C71F" w14:textId="77777777" w:rsidR="00DF410E" w:rsidRDefault="00CE7F43">
      <w:pPr>
        <w:jc w:val="both"/>
      </w:pPr>
      <w:r>
        <w:t>Après 24 heures, l’entrepreneur contrôle visuellement la surface des fissures pour vérifier s’il n’y a pas des inégalités. Si des inégalités sont présentes, la surface des fissures est égalisée à l’aide d’un mortier de réparation sans retrait et hydrofuge.</w:t>
      </w:r>
    </w:p>
    <w:p w14:paraId="73DDCD65" w14:textId="77777777" w:rsidR="00DF410E" w:rsidRDefault="00CE7F43">
      <w:pPr>
        <w:pStyle w:val="Author-eSectionHeading6"/>
      </w:pPr>
      <w:bookmarkStart w:id="1878" w:name="_Toc178838933"/>
      <w:r>
        <w:t>26.12.5a Etanchéisation d'éléments - Injections au polyuréthane CCTB 01.04</w:t>
      </w:r>
      <w:bookmarkEnd w:id="1878"/>
    </w:p>
    <w:p w14:paraId="1F1D936E" w14:textId="77777777" w:rsidR="00DF410E" w:rsidRDefault="00CE7F43">
      <w:pPr>
        <w:pStyle w:val="Author-eSectionHeading6"/>
      </w:pPr>
      <w:bookmarkStart w:id="1879" w:name="_Toc178838934"/>
      <w:r>
        <w:t>26.12.5b Etanchéisation d'éléments - Injections aux résines époxy à deux composants CCTB 01.11</w:t>
      </w:r>
      <w:bookmarkEnd w:id="1879"/>
    </w:p>
    <w:p w14:paraId="4CADA0A0" w14:textId="77777777" w:rsidR="00DF410E" w:rsidRDefault="00CE7F43">
      <w:pPr>
        <w:pStyle w:val="pheading"/>
      </w:pPr>
      <w:r>
        <w:t>DESCRIPTION</w:t>
      </w:r>
    </w:p>
    <w:p w14:paraId="3BF806C6" w14:textId="77777777" w:rsidR="00DF410E" w:rsidRDefault="00CE7F43">
      <w:pPr>
        <w:pStyle w:val="pheading"/>
      </w:pPr>
      <w:r>
        <w:t>- Définition / Comprend</w:t>
      </w:r>
    </w:p>
    <w:p w14:paraId="35289BF1" w14:textId="77777777" w:rsidR="00DF410E" w:rsidRDefault="00CE7F43">
      <w:pPr>
        <w:jc w:val="both"/>
      </w:pPr>
      <w:r>
        <w:t>Il s'agit de la fourniture et mise en œuvre de résine époxydique liquide de faible viscosité, à 2 composants, pour injection sous basse pression avec un appareil d’injection, ou par gravité, pour remplir les fissures dans le béton, les maçonneries ou les pierres. Le produit convient également pour l’application dans des conditions humides.</w:t>
      </w:r>
    </w:p>
    <w:p w14:paraId="71F3475C" w14:textId="77777777" w:rsidR="00DF410E" w:rsidRDefault="00CE7F43">
      <w:pPr>
        <w:pStyle w:val="pheading"/>
      </w:pPr>
      <w:r>
        <w:t>MATÉRIAUX</w:t>
      </w:r>
    </w:p>
    <w:p w14:paraId="1D059A52" w14:textId="77777777" w:rsidR="00DF410E" w:rsidRDefault="00CE7F43">
      <w:pPr>
        <w:pStyle w:val="pheading"/>
      </w:pPr>
      <w:r>
        <w:t>- Caractéristiques générales</w:t>
      </w:r>
    </w:p>
    <w:p w14:paraId="7AFE060A" w14:textId="77777777" w:rsidR="00DF410E" w:rsidRDefault="00DF410E"/>
    <w:p w14:paraId="7E3AAE0E" w14:textId="77777777" w:rsidR="00DF410E" w:rsidRDefault="00CE7F43">
      <w:pPr>
        <w:pStyle w:val="Author-eListParagraph"/>
        <w:numPr>
          <w:ilvl w:val="0"/>
          <w:numId w:val="1104"/>
        </w:numPr>
        <w:jc w:val="both"/>
      </w:pPr>
      <w:r>
        <w:t>Matériau de base : époxy à 2 composants à mélanger (résine et durcisseur), sans solvants</w:t>
      </w:r>
    </w:p>
    <w:p w14:paraId="2C345C2D" w14:textId="77777777" w:rsidR="00DF410E" w:rsidRDefault="00CE7F43">
      <w:pPr>
        <w:pStyle w:val="Author-eListParagraph"/>
        <w:numPr>
          <w:ilvl w:val="0"/>
          <w:numId w:val="1104"/>
        </w:numPr>
        <w:jc w:val="both"/>
      </w:pPr>
      <w:r>
        <w:t xml:space="preserve">Viscosité du mélange, suivant les [NBN EN ISO 3219-1] et [NBN EN ISO 3219-2] :  ≤ </w:t>
      </w:r>
      <w:r>
        <w:rPr>
          <w:rStyle w:val="optioncarChar"/>
        </w:rPr>
        <w:t>150 / 200 / 400</w:t>
      </w:r>
      <w:r>
        <w:t xml:space="preserve"> (par défaut) mPa.s</w:t>
      </w:r>
    </w:p>
    <w:p w14:paraId="6FC10562" w14:textId="77777777" w:rsidR="00DF410E" w:rsidRDefault="00CE7F43">
      <w:pPr>
        <w:pStyle w:val="Author-eListParagraph"/>
        <w:numPr>
          <w:ilvl w:val="0"/>
          <w:numId w:val="1104"/>
        </w:numPr>
        <w:jc w:val="both"/>
      </w:pPr>
      <w:r>
        <w:t xml:space="preserve">Le produit répond aux exigences de la norme harmonisée [NBN EN 1504-5] : </w:t>
      </w:r>
    </w:p>
    <w:p w14:paraId="5AF8750A" w14:textId="77777777" w:rsidR="00DF410E" w:rsidRDefault="00CE7F43">
      <w:pPr>
        <w:pStyle w:val="Author-eListParagraph"/>
        <w:numPr>
          <w:ilvl w:val="1"/>
          <w:numId w:val="1105"/>
        </w:numPr>
        <w:jc w:val="both"/>
      </w:pPr>
      <w:r>
        <w:t>Applicable à partir de fissures ≥ 0,2 mm</w:t>
      </w:r>
    </w:p>
    <w:p w14:paraId="08AEE4F7" w14:textId="77777777" w:rsidR="00DF410E" w:rsidRDefault="00CE7F43">
      <w:pPr>
        <w:pStyle w:val="Author-eListParagraph"/>
        <w:numPr>
          <w:ilvl w:val="1"/>
          <w:numId w:val="1105"/>
        </w:numPr>
        <w:jc w:val="both"/>
      </w:pPr>
      <w:r>
        <w:t>Résistance à la compression, après 7 jours, suivant la [NBN EN 12190] ≥ 80 N/mm2</w:t>
      </w:r>
    </w:p>
    <w:p w14:paraId="38929386" w14:textId="77777777" w:rsidR="00DF410E" w:rsidRDefault="00CE7F43">
      <w:pPr>
        <w:pStyle w:val="Author-eListParagraph"/>
        <w:numPr>
          <w:ilvl w:val="1"/>
          <w:numId w:val="1105"/>
        </w:numPr>
        <w:jc w:val="both"/>
      </w:pPr>
      <w:r>
        <w:t>Résistance à la traction, après 7 jours, suivant les [NBN EN ISO 527-1], [NBN EN ISO 527-3], [NBN EN ISO 527-4], [NBN EN ISO 527-5] ≥ 40 N/mm2</w:t>
      </w:r>
    </w:p>
    <w:p w14:paraId="6A325391" w14:textId="77777777" w:rsidR="00DF410E" w:rsidRDefault="00CE7F43">
      <w:pPr>
        <w:pStyle w:val="Author-eListParagraph"/>
        <w:numPr>
          <w:ilvl w:val="1"/>
          <w:numId w:val="1105"/>
        </w:numPr>
        <w:jc w:val="both"/>
      </w:pPr>
      <w:r>
        <w:t>Adhérence par résistance en traction, suivant la [NBN EN 12618-2:2004] : rupture cohésive du support atteinte</w:t>
      </w:r>
    </w:p>
    <w:p w14:paraId="27BCE45A" w14:textId="77777777" w:rsidR="00DF410E" w:rsidRDefault="00CE7F43">
      <w:pPr>
        <w:pStyle w:val="Author-eListParagraph"/>
        <w:numPr>
          <w:ilvl w:val="1"/>
          <w:numId w:val="1105"/>
        </w:numPr>
        <w:jc w:val="both"/>
      </w:pPr>
      <w:r>
        <w:t>Durabilité (cycles gel/dégel et humide /sec), suivant la [NBN EN 12618-2:2004] : rupture cohésive du support atteinte</w:t>
      </w:r>
    </w:p>
    <w:p w14:paraId="14912225" w14:textId="77777777" w:rsidR="00DF410E" w:rsidRDefault="00CE7F43">
      <w:pPr>
        <w:pStyle w:val="Author-eListParagraph"/>
        <w:numPr>
          <w:ilvl w:val="1"/>
          <w:numId w:val="1105"/>
        </w:numPr>
        <w:jc w:val="both"/>
      </w:pPr>
      <w:r>
        <w:t>Déformation à la rupture/allongement, suivant les [NBN EN ISO 527-1], [NBN EN ISO 527-3], [NBN EN ISO 527-4], [NBN EN ISO 527-5] ≥ 1 %</w:t>
      </w:r>
    </w:p>
    <w:p w14:paraId="1ED7A9EE" w14:textId="77777777" w:rsidR="00DF410E" w:rsidRDefault="00CE7F43">
      <w:pPr>
        <w:pStyle w:val="Author-eListParagraph"/>
        <w:numPr>
          <w:ilvl w:val="1"/>
          <w:numId w:val="1105"/>
        </w:numPr>
        <w:jc w:val="both"/>
      </w:pPr>
      <w:r>
        <w:t>Température de transition vitreuse, suivant la [NBN EN 12614] ≥ 40 °C</w:t>
      </w:r>
    </w:p>
    <w:p w14:paraId="529EC3AF" w14:textId="77777777" w:rsidR="00DF410E" w:rsidRDefault="00CE7F43">
      <w:pPr>
        <w:pStyle w:val="Author-eListParagraph"/>
        <w:numPr>
          <w:ilvl w:val="1"/>
          <w:numId w:val="1105"/>
        </w:numPr>
        <w:jc w:val="both"/>
      </w:pPr>
      <w:r>
        <w:t>Réaction au feu, suivant la [NBN EN 13501-1] : Euroclasse E</w:t>
      </w:r>
    </w:p>
    <w:p w14:paraId="2FC60191" w14:textId="77777777" w:rsidR="00DF410E" w:rsidRDefault="00CE7F43">
      <w:pPr>
        <w:pStyle w:val="Author-eListParagraph"/>
        <w:numPr>
          <w:ilvl w:val="1"/>
          <w:numId w:val="1105"/>
        </w:numPr>
        <w:jc w:val="both"/>
      </w:pPr>
      <w:r>
        <w:t xml:space="preserve">Classe d’injection dans colonne de sable à l’état sec et humide, suivant la [NBN EN 1771+AC:2005], en minutes : </w:t>
      </w:r>
    </w:p>
    <w:p w14:paraId="5A36EE37" w14:textId="77777777" w:rsidR="00DF410E" w:rsidRDefault="00CE7F43">
      <w:pPr>
        <w:pStyle w:val="Author-eListParagraph"/>
        <w:numPr>
          <w:ilvl w:val="2"/>
          <w:numId w:val="1106"/>
        </w:numPr>
        <w:jc w:val="both"/>
      </w:pPr>
      <w:r>
        <w:t>dans des fissures de 0,1 mm &lt; 4 min</w:t>
      </w:r>
    </w:p>
    <w:p w14:paraId="085DAC52" w14:textId="77777777" w:rsidR="00DF410E" w:rsidRDefault="00CE7F43">
      <w:pPr>
        <w:pStyle w:val="Author-eListParagraph"/>
        <w:numPr>
          <w:ilvl w:val="2"/>
          <w:numId w:val="1106"/>
        </w:numPr>
        <w:jc w:val="both"/>
      </w:pPr>
      <w:r>
        <w:t>dans des fissures entre 0,2 et 0,3 mm &lt; 8 min</w:t>
      </w:r>
    </w:p>
    <w:p w14:paraId="0CA86E54" w14:textId="77777777" w:rsidR="00DF410E" w:rsidRDefault="00CE7F43">
      <w:pPr>
        <w:pStyle w:val="Author-eListParagraph"/>
        <w:numPr>
          <w:ilvl w:val="0"/>
          <w:numId w:val="1104"/>
        </w:numPr>
        <w:jc w:val="both"/>
      </w:pPr>
      <w:r>
        <w:t>Durcissement complet (à 23 °C) ≤ 7 jours</w:t>
      </w:r>
    </w:p>
    <w:p w14:paraId="349D4A42" w14:textId="77777777" w:rsidR="00DF410E" w:rsidRDefault="00CE7F43">
      <w:pPr>
        <w:pStyle w:val="pheading"/>
      </w:pPr>
      <w:r>
        <w:t>EXÉCUTION / MISE EN ŒUVRE</w:t>
      </w:r>
    </w:p>
    <w:p w14:paraId="1136933B" w14:textId="77777777" w:rsidR="00DF410E" w:rsidRDefault="00CE7F43">
      <w:pPr>
        <w:pStyle w:val="pheading"/>
      </w:pPr>
      <w:r>
        <w:t>- Prescriptions générales</w:t>
      </w:r>
    </w:p>
    <w:p w14:paraId="75BAFC52" w14:textId="77777777" w:rsidR="00DF410E" w:rsidRDefault="00CE7F43">
      <w:pPr>
        <w:jc w:val="both"/>
      </w:pPr>
      <w:r>
        <w:rPr>
          <w:b/>
        </w:rPr>
        <w:t>Préparation du support</w:t>
      </w:r>
    </w:p>
    <w:p w14:paraId="216ED758" w14:textId="77777777" w:rsidR="00DF410E" w:rsidRDefault="00CE7F43">
      <w:pPr>
        <w:jc w:val="both"/>
      </w:pPr>
      <w:r>
        <w:t>Les supports sont d’abord débarrassés de toutes parties friables ou peu adhérentes.</w:t>
      </w:r>
    </w:p>
    <w:p w14:paraId="344800B2" w14:textId="77777777" w:rsidR="00DF410E" w:rsidRDefault="00CE7F43">
      <w:pPr>
        <w:jc w:val="both"/>
      </w:pPr>
      <w:r>
        <w:t>Ils sont ensuite nettoyés de toutes substances huileuses, salissures, poussières, laitance, peintures ou autres composants. </w:t>
      </w:r>
    </w:p>
    <w:p w14:paraId="494F6935" w14:textId="77777777" w:rsidR="00DF410E" w:rsidRDefault="00CE7F43">
      <w:pPr>
        <w:jc w:val="both"/>
      </w:pPr>
      <w:r>
        <w:rPr>
          <w:b/>
        </w:rPr>
        <w:t>Exécution</w:t>
      </w:r>
    </w:p>
    <w:p w14:paraId="0683E71B" w14:textId="77777777" w:rsidR="00DF410E" w:rsidRDefault="00CE7F43">
      <w:pPr>
        <w:jc w:val="both"/>
      </w:pPr>
      <w:r>
        <w:t>Les deux composants pré-dosés sont mélangés. Si le produit est utilisé partiellement ou par phase, l’entrepreneur utilise une balance électronique, en faisant bien attention de respecter les dosages du produit. Toute erreur de dosage entre les composants empêcherait le durcissement de celui-ci. </w:t>
      </w:r>
    </w:p>
    <w:p w14:paraId="0D45A9EA" w14:textId="77777777" w:rsidR="00DF410E" w:rsidRDefault="00CE7F43">
      <w:pPr>
        <w:jc w:val="both"/>
      </w:pPr>
      <w:r>
        <w:t>Les résines époxy sont irritantes pour les yeux et la peau. Durant le mélange et l’application, l’entrepreneur porte des gants, des lunettes de protection et observe les précautions habituelles liées à la manipulation des produits chimiques.</w:t>
      </w:r>
    </w:p>
    <w:p w14:paraId="449424D7" w14:textId="77777777" w:rsidR="00DF410E" w:rsidRDefault="00CE7F43">
      <w:pPr>
        <w:jc w:val="both"/>
      </w:pPr>
      <w:r>
        <w:t xml:space="preserve">Technique de mise en œuvre : </w:t>
      </w:r>
      <w:r>
        <w:rPr>
          <w:rStyle w:val="optioncarChar"/>
        </w:rPr>
        <w:t xml:space="preserve">par injecteurs </w:t>
      </w:r>
      <w:r>
        <w:t xml:space="preserve">(par défaut) </w:t>
      </w:r>
      <w:r>
        <w:rPr>
          <w:rStyle w:val="optioncarChar"/>
        </w:rPr>
        <w:t>/ par gravité</w:t>
      </w:r>
    </w:p>
    <w:p w14:paraId="025613BE" w14:textId="77777777" w:rsidR="00DF410E" w:rsidRDefault="00CE7F43">
      <w:pPr>
        <w:jc w:val="both"/>
      </w:pPr>
      <w:r>
        <w:t>En cas de mise en œuvre par injecteurs, les côtés des fissures peuvent présenter une humidité maximale ≤ à 5 % (humide, mais pas mouillé), mais pas dans le cas par gravité, car le produit n’a pas suffisamment de pression pour chasser l’eau.</w:t>
      </w:r>
    </w:p>
    <w:p w14:paraId="3B400603" w14:textId="77777777" w:rsidR="00DF410E" w:rsidRDefault="00CE7F43">
      <w:pPr>
        <w:pStyle w:val="pheading"/>
      </w:pPr>
      <w:r>
        <w:t>MESURAGE</w:t>
      </w:r>
    </w:p>
    <w:p w14:paraId="22337E74" w14:textId="77777777" w:rsidR="00DF410E" w:rsidRDefault="00CE7F43">
      <w:pPr>
        <w:pStyle w:val="pheading"/>
      </w:pPr>
      <w:r>
        <w:t>- unité de mesure:</w:t>
      </w:r>
    </w:p>
    <w:p w14:paraId="2C86FF0F" w14:textId="77777777" w:rsidR="00DF410E" w:rsidRDefault="00CE7F43">
      <w:r>
        <w:t>m</w:t>
      </w:r>
    </w:p>
    <w:p w14:paraId="51F3B0E6" w14:textId="77777777" w:rsidR="00DF410E" w:rsidRDefault="00CE7F43">
      <w:pPr>
        <w:pStyle w:val="pheading"/>
      </w:pPr>
      <w:r>
        <w:t>- code de mesurage:</w:t>
      </w:r>
    </w:p>
    <w:p w14:paraId="0CD64837" w14:textId="77777777" w:rsidR="00DF410E" w:rsidRDefault="00CE7F43">
      <w:r>
        <w:t>Longueur nette de fissures à traiter.</w:t>
      </w:r>
    </w:p>
    <w:p w14:paraId="139D2599" w14:textId="77777777" w:rsidR="00DF410E" w:rsidRDefault="00CE7F43">
      <w:pPr>
        <w:pStyle w:val="pheading"/>
      </w:pPr>
      <w:r>
        <w:t>- nature du marché:</w:t>
      </w:r>
    </w:p>
    <w:p w14:paraId="0EB81A3A" w14:textId="77777777" w:rsidR="00DF410E" w:rsidRDefault="00CE7F43">
      <w:r>
        <w:t>QF</w:t>
      </w:r>
    </w:p>
    <w:p w14:paraId="47D2ED06" w14:textId="77777777" w:rsidR="00DF410E" w:rsidRDefault="00CE7F43">
      <w:pPr>
        <w:pStyle w:val="Author-eSectionHeading6"/>
      </w:pPr>
      <w:bookmarkStart w:id="1880" w:name="_Toc178838935"/>
      <w:r>
        <w:t>26.12.5c Etanchéisation d'éléments - Injections au silicate CCTB 01.04</w:t>
      </w:r>
      <w:bookmarkEnd w:id="1880"/>
    </w:p>
    <w:p w14:paraId="01DBE3BD" w14:textId="77777777" w:rsidR="00DF410E" w:rsidRDefault="00CE7F43">
      <w:pPr>
        <w:pStyle w:val="Author-eSectionHeading6"/>
      </w:pPr>
      <w:bookmarkStart w:id="1881" w:name="_Toc178838936"/>
      <w:r>
        <w:t>26.12.5d Etanchéisation d'éléments - Injections à deux composants vinyliques CCTB 01.04</w:t>
      </w:r>
      <w:bookmarkEnd w:id="1881"/>
    </w:p>
    <w:p w14:paraId="6BBC73FE" w14:textId="77777777" w:rsidR="00DF410E" w:rsidRDefault="00CE7F43">
      <w:pPr>
        <w:pStyle w:val="Author-eSectionHeading4"/>
      </w:pPr>
      <w:bookmarkStart w:id="1882" w:name="_Toc178838937"/>
      <w:r>
        <w:t>26.13 Traitements d'imperméabilisation CCTB 01.02</w:t>
      </w:r>
      <w:bookmarkEnd w:id="1882"/>
    </w:p>
    <w:p w14:paraId="37BAC92B" w14:textId="77777777" w:rsidR="00DF410E" w:rsidRDefault="00CE7F43">
      <w:pPr>
        <w:pStyle w:val="Author-eSectionHeading5"/>
      </w:pPr>
      <w:bookmarkStart w:id="1883" w:name="_Toc178838938"/>
      <w:r>
        <w:t>26.13.1 Traitements d'imperméabilisation par injection CCTB 01.02</w:t>
      </w:r>
      <w:bookmarkEnd w:id="1883"/>
    </w:p>
    <w:p w14:paraId="13C444C6" w14:textId="77777777" w:rsidR="00DF410E" w:rsidRDefault="00CE7F43">
      <w:pPr>
        <w:pStyle w:val="Author-eSectionHeading6"/>
      </w:pPr>
      <w:bookmarkStart w:id="1884" w:name="_Toc178838939"/>
      <w:r>
        <w:t>26.13.1a Traitements d'imperméabilisation par injection CCTB 01.02</w:t>
      </w:r>
      <w:bookmarkEnd w:id="1884"/>
    </w:p>
    <w:p w14:paraId="6B8F24B6" w14:textId="77777777" w:rsidR="00DF410E" w:rsidRDefault="00CE7F43">
      <w:pPr>
        <w:pStyle w:val="Author-eSectionHeading4"/>
      </w:pPr>
      <w:bookmarkStart w:id="1885" w:name="_Toc178838940"/>
      <w:r>
        <w:t>26.14 Systèmes étanches CCTB 01.02</w:t>
      </w:r>
      <w:bookmarkEnd w:id="1885"/>
    </w:p>
    <w:p w14:paraId="6D805094" w14:textId="77777777" w:rsidR="00DF410E" w:rsidRDefault="00CE7F43">
      <w:pPr>
        <w:pStyle w:val="Author-eSectionHeading5"/>
      </w:pPr>
      <w:bookmarkStart w:id="1886" w:name="_Toc178838941"/>
      <w:r>
        <w:t>26.14.1 Joints étanches CCTB 01.02</w:t>
      </w:r>
      <w:bookmarkEnd w:id="1886"/>
    </w:p>
    <w:p w14:paraId="6EA01E58" w14:textId="77777777" w:rsidR="00DF410E" w:rsidRDefault="00CE7F43">
      <w:pPr>
        <w:pStyle w:val="Author-eSectionHeading6"/>
      </w:pPr>
      <w:bookmarkStart w:id="1887" w:name="643"/>
      <w:bookmarkStart w:id="1888" w:name="_Toc178838942"/>
      <w:bookmarkEnd w:id="1887"/>
      <w:r>
        <w:t>26.14.1a Joints étanches CCTB 01.02</w:t>
      </w:r>
      <w:bookmarkEnd w:id="1888"/>
    </w:p>
    <w:p w14:paraId="0FB91B6B" w14:textId="77777777" w:rsidR="00DF410E" w:rsidRDefault="00CE7F43">
      <w:pPr>
        <w:pStyle w:val="Author-eSectionHeading5"/>
      </w:pPr>
      <w:bookmarkStart w:id="1889" w:name="_Toc178838943"/>
      <w:r>
        <w:t>26.14.2 Percements étanches (interaction avec autres tomes T1, T7) CCTB 01.02</w:t>
      </w:r>
      <w:bookmarkEnd w:id="1889"/>
    </w:p>
    <w:p w14:paraId="4B5D9EAE" w14:textId="77777777" w:rsidR="00DF410E" w:rsidRDefault="00CE7F43">
      <w:pPr>
        <w:pStyle w:val="Author-eSectionHeading6"/>
      </w:pPr>
      <w:bookmarkStart w:id="1890" w:name="_Toc178838944"/>
      <w:r>
        <w:t>26.14.2a Modules de raccordement CCTB 01.02</w:t>
      </w:r>
      <w:bookmarkEnd w:id="1890"/>
    </w:p>
    <w:p w14:paraId="619D45A3" w14:textId="77777777" w:rsidR="00DF410E" w:rsidRDefault="00CE7F43">
      <w:pPr>
        <w:pStyle w:val="pheading"/>
      </w:pPr>
      <w:r>
        <w:t>MATÉRIAUX</w:t>
      </w:r>
    </w:p>
    <w:p w14:paraId="6985628B" w14:textId="77777777" w:rsidR="00DF410E" w:rsidRDefault="00CE7F43">
      <w:pPr>
        <w:pStyle w:val="pheading"/>
      </w:pPr>
      <w:r>
        <w:t>- Caractéristiques générales</w:t>
      </w:r>
    </w:p>
    <w:p w14:paraId="3D2250A7" w14:textId="77777777" w:rsidR="00DF410E" w:rsidRDefault="00CE7F43">
      <w:r>
        <w:t>Les modules de raccordement combinés se composent d'un élément préformé constitué d'au moins 5 coudes en matériau thermoplastique assemblés par soudage et qui conviennent pour l'introduction dans le bâtiment des conduites des régies (électricité, gaz naturel, eau, câble et téléphone). Ce module de raccordement est adapté en fonction de la disposition perpendiculaire ou oblique par rapport à l'ouverture d'introduction. A leur livraison, les coudes sont obturés à l'aide de bouchons amovibles. Cet élément peut être obtenu auprès des compagnies d'électricité.</w:t>
      </w:r>
    </w:p>
    <w:p w14:paraId="687CEE8F" w14:textId="77777777" w:rsidR="00DF410E" w:rsidRDefault="00CE7F43">
      <w:pPr>
        <w:pStyle w:val="pheading"/>
      </w:pPr>
      <w:r>
        <w:t>EXÉCUTION / MISE EN ŒUVRE</w:t>
      </w:r>
    </w:p>
    <w:p w14:paraId="1BD8C043" w14:textId="77777777" w:rsidR="00DF410E" w:rsidRDefault="00CE7F43">
      <w:pPr>
        <w:pStyle w:val="pheading"/>
      </w:pPr>
      <w:r>
        <w:t>- Prescriptions générales</w:t>
      </w:r>
    </w:p>
    <w:p w14:paraId="65549BC9" w14:textId="77777777" w:rsidR="00DF410E" w:rsidRDefault="00CE7F43">
      <w:r>
        <w:t>La pose s'effectue conformément aux prescriptions de la société distributrice.</w:t>
      </w:r>
    </w:p>
    <w:p w14:paraId="79E958DD" w14:textId="77777777" w:rsidR="00DF410E" w:rsidRDefault="00CE7F43">
      <w:r>
        <w:t>Il est important de contacter les compagnies distributrices en temps utile, afin de connaître l'emplacement exact où doivent pénétrer les conduites des régies. A cet emplacement, le module de raccordement est intégré dans les fondations maçonnées ou coulées (à l'aide d'un coffrage perdu). La partie supérieure de l'ouverture côté voirie, se trouve à au moins 60 cm sous le niveau définitif du terrain, tandis que l'ouverture d'introduction pour le raccordement de l'eau doit se situer à une profondeur non gélive. A l'intérieur de l'habitation, les ouvertures se situent à 10 cm au-dessus du niveau fini du sol. Si nécessaire, les jambes des coudes de raccordement doivent être prolongées à l'aide de tuyaux thermoplastiques appropriés. Une fosse de travail peut éventuellement être prévue à l'extérieur et à l'intérieur afin d'éviter qu'on ne doive ultérieurement perforer les fondations pour une extension ou un nouveau raccordement. Les bouchons d'obturation ne sont pas enlevés avant que les gaines d'attente ne soient raccordées au coude de raccordement.</w:t>
      </w:r>
    </w:p>
    <w:p w14:paraId="0803173E" w14:textId="77777777" w:rsidR="00DF410E" w:rsidRDefault="00CE7F43">
      <w:pPr>
        <w:pStyle w:val="pheading"/>
      </w:pPr>
      <w:r>
        <w:t>MESURAGE</w:t>
      </w:r>
    </w:p>
    <w:p w14:paraId="799F49DC" w14:textId="77777777" w:rsidR="00DF410E" w:rsidRDefault="00CE7F43">
      <w:pPr>
        <w:pStyle w:val="pheading"/>
      </w:pPr>
      <w:r>
        <w:t>- unité de mesure:</w:t>
      </w:r>
    </w:p>
    <w:p w14:paraId="6EE180CB" w14:textId="77777777" w:rsidR="00DF410E" w:rsidRDefault="00CE7F43">
      <w:r>
        <w:t>pc</w:t>
      </w:r>
    </w:p>
    <w:p w14:paraId="5C16DFF5" w14:textId="77777777" w:rsidR="00DF410E" w:rsidRDefault="00CE7F43">
      <w:pPr>
        <w:pStyle w:val="pheading"/>
      </w:pPr>
      <w:r>
        <w:t>- code de mesurage:</w:t>
      </w:r>
    </w:p>
    <w:p w14:paraId="749AAFB7" w14:textId="77777777" w:rsidR="00DF410E" w:rsidRDefault="00CE7F43">
      <w:r>
        <w:t>Fourniture et pose de l’élément, tout compris</w:t>
      </w:r>
    </w:p>
    <w:p w14:paraId="6D53E707" w14:textId="77777777" w:rsidR="00DF410E" w:rsidRDefault="00CE7F43">
      <w:pPr>
        <w:pStyle w:val="pheading"/>
      </w:pPr>
      <w:r>
        <w:t>- nature du marché:</w:t>
      </w:r>
    </w:p>
    <w:p w14:paraId="46D2F8F2" w14:textId="77777777" w:rsidR="00DF410E" w:rsidRDefault="00CE7F43">
      <w:r>
        <w:t>QF</w:t>
      </w:r>
    </w:p>
    <w:p w14:paraId="26A52A11" w14:textId="77777777" w:rsidR="00DF410E" w:rsidRDefault="00CE7F43">
      <w:pPr>
        <w:pStyle w:val="Author-eSectionHeading4"/>
      </w:pPr>
      <w:bookmarkStart w:id="1891" w:name="_Toc178838945"/>
      <w:r>
        <w:t>26.15 Etanchéisation de joints CCTB 01.02</w:t>
      </w:r>
      <w:bookmarkEnd w:id="1891"/>
    </w:p>
    <w:p w14:paraId="294B92F6" w14:textId="77777777" w:rsidR="00DF410E" w:rsidRDefault="00CE7F43">
      <w:pPr>
        <w:pStyle w:val="Author-eSectionHeading4"/>
      </w:pPr>
      <w:bookmarkStart w:id="1892" w:name="524"/>
      <w:bookmarkStart w:id="1893" w:name="_Toc178838946"/>
      <w:bookmarkEnd w:id="1892"/>
      <w:r>
        <w:t>26.16 Systèmes de drainage CCTB 01.02</w:t>
      </w:r>
      <w:bookmarkEnd w:id="1893"/>
    </w:p>
    <w:p w14:paraId="5351B777" w14:textId="77777777" w:rsidR="00DF410E" w:rsidRDefault="00CE7F43">
      <w:pPr>
        <w:pStyle w:val="Author-eSectionHeading5"/>
      </w:pPr>
      <w:bookmarkStart w:id="1894" w:name="_Toc178838947"/>
      <w:r>
        <w:t>26.16.1 Système de drainage des murs enterrés CCTB 01.04</w:t>
      </w:r>
      <w:bookmarkEnd w:id="1894"/>
    </w:p>
    <w:p w14:paraId="00F830BE" w14:textId="77777777" w:rsidR="00DF410E" w:rsidRDefault="00CE7F43">
      <w:pPr>
        <w:pStyle w:val="Author-eSectionHeading6"/>
      </w:pPr>
      <w:bookmarkStart w:id="1895" w:name="_Toc178838948"/>
      <w:r>
        <w:t>26.16.1a Couches d'étanchéité - Revêtement mural drainant CCTB 01.02</w:t>
      </w:r>
      <w:bookmarkEnd w:id="1895"/>
    </w:p>
    <w:p w14:paraId="4C729AB3" w14:textId="77777777" w:rsidR="00DF410E" w:rsidRDefault="00CE7F43">
      <w:pPr>
        <w:pStyle w:val="pheading"/>
      </w:pPr>
      <w:r>
        <w:t>DESCRIPTION</w:t>
      </w:r>
    </w:p>
    <w:p w14:paraId="63A5AF46" w14:textId="77777777" w:rsidR="00DF410E" w:rsidRDefault="00CE7F43">
      <w:pPr>
        <w:pStyle w:val="pheading"/>
      </w:pPr>
      <w:r>
        <w:t>- Définition / Comprend</w:t>
      </w:r>
    </w:p>
    <w:p w14:paraId="66420B76" w14:textId="77777777" w:rsidR="00DF410E" w:rsidRDefault="00CE7F43">
      <w:r>
        <w:t>Ce poste concerne le revêtement mural drainant à l'aide de drains en blocs ou plaques de béton poreux.</w:t>
      </w:r>
    </w:p>
    <w:p w14:paraId="0EBE9173" w14:textId="77777777" w:rsidR="00DF410E" w:rsidRDefault="00CE7F43">
      <w:pPr>
        <w:pStyle w:val="Author-eSectionHeading4"/>
      </w:pPr>
      <w:bookmarkStart w:id="1896" w:name="_Toc178838949"/>
      <w:r>
        <w:t>26.17 Joints CCTB 01.02</w:t>
      </w:r>
      <w:bookmarkEnd w:id="1896"/>
    </w:p>
    <w:p w14:paraId="3FDEAB9D" w14:textId="77777777" w:rsidR="00DF410E" w:rsidRDefault="00CE7F43">
      <w:pPr>
        <w:pStyle w:val="Author-eSectionHeading5"/>
      </w:pPr>
      <w:bookmarkStart w:id="1897" w:name="_Toc178838950"/>
      <w:r>
        <w:t>26.17.1 Joints de resserrage CCTB 01.02</w:t>
      </w:r>
      <w:bookmarkEnd w:id="1897"/>
    </w:p>
    <w:p w14:paraId="5C6A80C6" w14:textId="77777777" w:rsidR="00DF410E" w:rsidRDefault="00CE7F43">
      <w:pPr>
        <w:pStyle w:val="Author-eSectionHeading5"/>
      </w:pPr>
      <w:bookmarkStart w:id="1898" w:name="430"/>
      <w:bookmarkStart w:id="1899" w:name="_Toc178838951"/>
      <w:bookmarkEnd w:id="1898"/>
      <w:r>
        <w:t>26.17.2 Joints de dilatation CCTB 01.02</w:t>
      </w:r>
      <w:bookmarkEnd w:id="1899"/>
    </w:p>
    <w:p w14:paraId="7CDB047E" w14:textId="77777777" w:rsidR="00DF410E" w:rsidRDefault="00CE7F43">
      <w:pPr>
        <w:pStyle w:val="Author-eSectionHeading5"/>
      </w:pPr>
      <w:bookmarkStart w:id="1900" w:name="_Toc178838952"/>
      <w:r>
        <w:t>26.17.3 Joints étanches (système) CCTB 01.04</w:t>
      </w:r>
      <w:bookmarkEnd w:id="1900"/>
    </w:p>
    <w:p w14:paraId="79484A6F" w14:textId="77777777" w:rsidR="00DF410E" w:rsidRDefault="00CE7F43">
      <w:pPr>
        <w:pStyle w:val="pheading"/>
      </w:pPr>
      <w:r>
        <w:t>DESCRIPTION</w:t>
      </w:r>
    </w:p>
    <w:p w14:paraId="655C7D7B" w14:textId="77777777" w:rsidR="00DF410E" w:rsidRDefault="00CE7F43">
      <w:pPr>
        <w:pStyle w:val="pheading"/>
      </w:pPr>
      <w:r>
        <w:t>- Définition / Comprend</w:t>
      </w:r>
    </w:p>
    <w:p w14:paraId="2846CCF3" w14:textId="77777777" w:rsidR="00DF410E" w:rsidRDefault="00CE7F43">
      <w:r>
        <w:t xml:space="preserve">Renvoi au § </w:t>
      </w:r>
      <w:hyperlink w:anchor="643" w:history="1">
        <w:r>
          <w:t>26.14.1 Joints étanches</w:t>
        </w:r>
      </w:hyperlink>
    </w:p>
    <w:p w14:paraId="3F314405" w14:textId="77777777" w:rsidR="00DF410E" w:rsidRDefault="00CE7F43">
      <w:pPr>
        <w:pStyle w:val="Author-eSectionHeading3"/>
      </w:pPr>
      <w:bookmarkStart w:id="1901" w:name="_Toc178838953"/>
      <w:r>
        <w:t>26.2 Etanchéisation aux matières gazeuses CCTB 01.02</w:t>
      </w:r>
      <w:bookmarkEnd w:id="1901"/>
    </w:p>
    <w:p w14:paraId="600B4111" w14:textId="77777777" w:rsidR="00DF410E" w:rsidRDefault="00CE7F43">
      <w:pPr>
        <w:pStyle w:val="pheading"/>
      </w:pPr>
      <w:bookmarkStart w:id="1902" w:name="76"/>
      <w:bookmarkEnd w:id="1902"/>
      <w:r>
        <w:t>DESCRIPTION</w:t>
      </w:r>
    </w:p>
    <w:p w14:paraId="2ACC0D6E" w14:textId="77777777" w:rsidR="00DF410E" w:rsidRDefault="00CE7F43">
      <w:pPr>
        <w:pStyle w:val="pheading"/>
      </w:pPr>
      <w:r>
        <w:t>- Définition / Comprend</w:t>
      </w:r>
    </w:p>
    <w:p w14:paraId="712C1025" w14:textId="77777777" w:rsidR="00DF410E" w:rsidRDefault="00CE7F43">
      <w:pPr>
        <w:pStyle w:val="heading"/>
      </w:pPr>
      <w:r>
        <w:t>Etanchéité à l’air</w:t>
      </w:r>
    </w:p>
    <w:p w14:paraId="42745DD1" w14:textId="77777777" w:rsidR="00DF410E" w:rsidRDefault="00CE7F43">
      <w:r>
        <w:t>Les  sections de l'enveloppe du bâtiment isolées  thermiquement doivent être étanches à  l'air. Outre les pertes d'énergie  potentielles via les fuites, des défauts d’étanchéité à l’air peuvent également favoriser la formation de condensation interne dans  l'enveloppe du bâtiment.</w:t>
      </w:r>
    </w:p>
    <w:p w14:paraId="053FF6DE" w14:textId="77777777" w:rsidR="00DF410E" w:rsidRDefault="00CE7F43">
      <w:r>
        <w:t>Dans le cas des éléments de structure, on veille notamment à soigner les raccords et éléments de construction suivants:</w:t>
      </w:r>
    </w:p>
    <w:p w14:paraId="01EE5142" w14:textId="77777777" w:rsidR="00DF410E" w:rsidRDefault="00CE7F43">
      <w:pPr>
        <w:pStyle w:val="Author-eListParagraph"/>
        <w:numPr>
          <w:ilvl w:val="0"/>
          <w:numId w:val="1107"/>
        </w:numPr>
      </w:pPr>
      <w:r>
        <w:t>jonction entre planchers et façade;</w:t>
      </w:r>
    </w:p>
    <w:p w14:paraId="2EB003B4" w14:textId="77777777" w:rsidR="00DF410E" w:rsidRDefault="00CE7F43">
      <w:pPr>
        <w:pStyle w:val="Author-eListParagraph"/>
        <w:numPr>
          <w:ilvl w:val="0"/>
          <w:numId w:val="1107"/>
        </w:numPr>
      </w:pPr>
      <w:r>
        <w:t>jonction entre murs de refend et façade ;</w:t>
      </w:r>
    </w:p>
    <w:p w14:paraId="318AE91C" w14:textId="77777777" w:rsidR="00DF410E" w:rsidRDefault="00CE7F43">
      <w:pPr>
        <w:pStyle w:val="Author-eListParagraph"/>
        <w:numPr>
          <w:ilvl w:val="0"/>
          <w:numId w:val="1107"/>
        </w:numPr>
      </w:pPr>
      <w:r>
        <w:t>jonction entre toiture (plate ou inclinée) et façade ;</w:t>
      </w:r>
    </w:p>
    <w:p w14:paraId="391DA40D" w14:textId="77777777" w:rsidR="00DF410E" w:rsidRDefault="00CE7F43">
      <w:pPr>
        <w:pStyle w:val="Author-eListParagraph"/>
        <w:numPr>
          <w:ilvl w:val="0"/>
          <w:numId w:val="1107"/>
        </w:numPr>
      </w:pPr>
      <w:r>
        <w:t>raccords avec les menuiseries extérieures ;</w:t>
      </w:r>
    </w:p>
    <w:p w14:paraId="412B4823" w14:textId="77777777" w:rsidR="00DF410E" w:rsidRDefault="00CE7F43">
      <w:pPr>
        <w:pStyle w:val="Author-eListParagraph"/>
        <w:numPr>
          <w:ilvl w:val="0"/>
          <w:numId w:val="1107"/>
        </w:numPr>
      </w:pPr>
      <w:r>
        <w:t xml:space="preserve">percements divers de l’enveloppe et donc de la barrière d’étanchéité à l’air : dalle sur sol, sur cave ou vide ventilé ; sortie de gaines diverses (ventilation, hotte, …) ; blochets de prises et interrupteurs ; </w:t>
      </w:r>
    </w:p>
    <w:p w14:paraId="347B3025" w14:textId="77777777" w:rsidR="00DF410E" w:rsidRDefault="00CE7F43">
      <w:pPr>
        <w:pStyle w:val="Author-eListParagraph"/>
        <w:numPr>
          <w:ilvl w:val="0"/>
          <w:numId w:val="1107"/>
        </w:numPr>
      </w:pPr>
      <w:r>
        <w:t>gestion des gaines techniques et gaines d’ascenseurs ;</w:t>
      </w:r>
    </w:p>
    <w:p w14:paraId="74F2D594" w14:textId="77777777" w:rsidR="00DF410E" w:rsidRDefault="00CE7F43">
      <w:pPr>
        <w:pStyle w:val="Author-eListParagraph"/>
        <w:numPr>
          <w:ilvl w:val="0"/>
          <w:numId w:val="1107"/>
        </w:numPr>
      </w:pPr>
      <w:r>
        <w:t>...</w:t>
      </w:r>
    </w:p>
    <w:p w14:paraId="22F87C50" w14:textId="77777777" w:rsidR="00DF410E" w:rsidRDefault="00CE7F43">
      <w:r>
        <w:t>PEB : Les  enjeux généraux d’une approche globale de la  performance énergétique du  bâtiment et la façon dont une étanchéité à  l’air performante de l’enveloppe est prise en compte dans la  réglementation PEB sont rappelés  au §</w:t>
      </w:r>
      <w:hyperlink r:id="rId361" w:history="1" w:docLocation="8">
        <w:r>
          <w:t>00.5 Terminologie</w:t>
        </w:r>
      </w:hyperlink>
      <w:r>
        <w:t xml:space="preserve"> du présent cahier des  charges.  </w:t>
      </w:r>
    </w:p>
    <w:p w14:paraId="31C5D21E" w14:textId="77777777" w:rsidR="00DF410E" w:rsidRDefault="00CE7F43">
      <w:pPr>
        <w:pStyle w:val="pheading"/>
      </w:pPr>
      <w:r>
        <w:t>CONTRÔLES</w:t>
      </w:r>
    </w:p>
    <w:p w14:paraId="0D1AA690" w14:textId="77777777" w:rsidR="00DF410E" w:rsidRDefault="00CE7F43">
      <w:r>
        <w:t>Au tome 0 également, on explicite  comment procéder à  l’évaluation du niveau d’étanchéité à l’air du  bâtiment dans son  ensemble via un test d’infiltrométrie : voir §</w:t>
      </w:r>
      <w:hyperlink r:id="rId362" w:history="1" w:docLocation="74">
        <w:r>
          <w:t>03.41.3b Mesures de l'étanchéité à l'air d'un bâtiment</w:t>
        </w:r>
      </w:hyperlink>
    </w:p>
    <w:p w14:paraId="527497BC" w14:textId="77777777" w:rsidR="00DF410E" w:rsidRDefault="00CE7F43">
      <w:pPr>
        <w:pStyle w:val="pheading"/>
      </w:pPr>
      <w:r>
        <w:t>DOCUMENTS DE RÉFÉRENCE</w:t>
      </w:r>
    </w:p>
    <w:p w14:paraId="5DEDF4B1" w14:textId="77777777" w:rsidR="00DF410E" w:rsidRDefault="00CE7F43">
      <w:pPr>
        <w:pStyle w:val="pheading"/>
      </w:pPr>
      <w:r>
        <w:t>- Exécution</w:t>
      </w:r>
    </w:p>
    <w:p w14:paraId="0CD10BA3" w14:textId="77777777" w:rsidR="00DF410E" w:rsidRDefault="00CE7F43">
      <w:r>
        <w:t>[Buildwise Article Dossier (2012/1.01)]</w:t>
      </w:r>
    </w:p>
    <w:p w14:paraId="4AB81DD1" w14:textId="77777777" w:rsidR="00DF410E" w:rsidRDefault="00CE7F43">
      <w:pPr>
        <w:pStyle w:val="Author-eSectionHeading4"/>
      </w:pPr>
      <w:bookmarkStart w:id="1903" w:name="_Toc178838954"/>
      <w:r>
        <w:t>26.21 Pare-vapeur CCTB 01.02</w:t>
      </w:r>
      <w:bookmarkEnd w:id="1903"/>
    </w:p>
    <w:p w14:paraId="145CBE35" w14:textId="77777777" w:rsidR="00DF410E" w:rsidRDefault="00CE7F43">
      <w:pPr>
        <w:pStyle w:val="Author-eSectionHeading4"/>
      </w:pPr>
      <w:bookmarkStart w:id="1904" w:name="843"/>
      <w:bookmarkStart w:id="1905" w:name="_Toc178838955"/>
      <w:bookmarkEnd w:id="1904"/>
      <w:r>
        <w:t>26.22 Raccords et joints souples CCTB 01.02</w:t>
      </w:r>
      <w:bookmarkEnd w:id="1905"/>
    </w:p>
    <w:p w14:paraId="44F9C494" w14:textId="77777777" w:rsidR="00DF410E" w:rsidRDefault="00CE7F43">
      <w:pPr>
        <w:pStyle w:val="Author-eSectionHeading3"/>
      </w:pPr>
      <w:bookmarkStart w:id="1906" w:name="_Toc178838956"/>
      <w:r>
        <w:t>26.3 Etanchéisations particulières CCTB 01.02</w:t>
      </w:r>
      <w:bookmarkEnd w:id="1906"/>
    </w:p>
    <w:p w14:paraId="3CF74CFD" w14:textId="77777777" w:rsidR="00DF410E" w:rsidRDefault="00CE7F43">
      <w:pPr>
        <w:pStyle w:val="Author-eSectionHeading4"/>
      </w:pPr>
      <w:bookmarkStart w:id="1907" w:name="_Toc178838957"/>
      <w:r>
        <w:t>26.31 Etanchéisation de joints CCTB 01.02</w:t>
      </w:r>
      <w:bookmarkEnd w:id="1907"/>
    </w:p>
    <w:p w14:paraId="76515CF9" w14:textId="77777777" w:rsidR="00DF410E" w:rsidRDefault="00CE7F43">
      <w:pPr>
        <w:pStyle w:val="Author-eSectionHeading5"/>
      </w:pPr>
      <w:bookmarkStart w:id="1908" w:name="_Toc178838958"/>
      <w:r>
        <w:t>26.31.1 Mastics particuliers CCTB 01.02</w:t>
      </w:r>
      <w:bookmarkEnd w:id="1908"/>
    </w:p>
    <w:p w14:paraId="2A68BF35" w14:textId="77777777" w:rsidR="00DF410E" w:rsidRDefault="00CE7F43">
      <w:pPr>
        <w:pStyle w:val="Author-eSectionHeading6"/>
      </w:pPr>
      <w:bookmarkStart w:id="1909" w:name="_Toc178838959"/>
      <w:r>
        <w:t>26.31.1a Mastic Rf CCTB 01.02</w:t>
      </w:r>
      <w:bookmarkEnd w:id="1909"/>
    </w:p>
    <w:p w14:paraId="0F7C2CBF" w14:textId="77777777" w:rsidR="00DF410E" w:rsidRDefault="00CE7F43">
      <w:pPr>
        <w:pStyle w:val="Author-eSectionHeading5"/>
      </w:pPr>
      <w:bookmarkStart w:id="1910" w:name="_Toc178838960"/>
      <w:r>
        <w:t>26.31.2 Membranes souples - Membranes CCTB 01.02</w:t>
      </w:r>
      <w:bookmarkEnd w:id="1910"/>
    </w:p>
    <w:p w14:paraId="29CD62B8" w14:textId="77777777" w:rsidR="00DF410E" w:rsidRDefault="00CE7F43">
      <w:pPr>
        <w:pStyle w:val="Author-eSectionHeading5"/>
      </w:pPr>
      <w:bookmarkStart w:id="1911" w:name="_Toc178838961"/>
      <w:r>
        <w:t>26.31.3 Joints de resserrage acoustique CCTB 01.02</w:t>
      </w:r>
      <w:bookmarkEnd w:id="1911"/>
    </w:p>
    <w:p w14:paraId="475103AF" w14:textId="77777777" w:rsidR="00DF410E" w:rsidRDefault="00CE7F43">
      <w:pPr>
        <w:pStyle w:val="Author-eSectionHeading3"/>
      </w:pPr>
      <w:bookmarkStart w:id="1912" w:name="_Toc178838962"/>
      <w:r>
        <w:t>26.4 Isolation CCTB 01.11</w:t>
      </w:r>
      <w:bookmarkEnd w:id="1912"/>
    </w:p>
    <w:p w14:paraId="0A073E6C" w14:textId="77777777" w:rsidR="00DF410E" w:rsidRDefault="00CE7F43">
      <w:pPr>
        <w:pStyle w:val="pheading"/>
      </w:pPr>
      <w:bookmarkStart w:id="1913" w:name="70"/>
      <w:bookmarkEnd w:id="1913"/>
      <w:r>
        <w:t>DESCRIPTION</w:t>
      </w:r>
    </w:p>
    <w:p w14:paraId="52F273A6" w14:textId="77777777" w:rsidR="00DF410E" w:rsidRDefault="00CE7F43">
      <w:pPr>
        <w:pStyle w:val="pheading"/>
      </w:pPr>
      <w:r>
        <w:t>- Définition / Comprend</w:t>
      </w:r>
    </w:p>
    <w:p w14:paraId="3A4B8CE8" w14:textId="77777777" w:rsidR="00DF410E" w:rsidRDefault="00CE7F43">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14:paraId="7F6985CE" w14:textId="77777777" w:rsidR="00DF410E" w:rsidRDefault="00CE7F43">
      <w:r>
        <w:t xml:space="preserve">Les travaux d'isolation sont prescrits au sein de tomes spécifiques suivant leur application.  Le présent titre concerne les isolants qui sont rendus inaccessibles par des travaux prescrits dans le </w:t>
      </w:r>
      <w:hyperlink w:anchor="41" w:history="1">
        <w:r>
          <w:t>2 T2 Superstructures</w:t>
        </w:r>
      </w:hyperlink>
      <w:r>
        <w:t xml:space="preserve"> (entre 2 dalles, derrière un parement maçonné...) ainsi que les isolants entre les éléments de structure et la terre.</w:t>
      </w:r>
    </w:p>
    <w:p w14:paraId="0E3F34C3" w14:textId="77777777" w:rsidR="00DF410E" w:rsidRDefault="00CE7F43">
      <w:r>
        <w:t xml:space="preserve">Pour l'isolation des murs creux de façade, la conception de la coulisse doit correspondre aux modalités d'exécution du parement  (voir les conditions générales au </w:t>
      </w:r>
      <w:hyperlink w:anchor="379" w:history="1">
        <w:r>
          <w:t>21.3 Maçonneries de parement</w:t>
        </w:r>
      </w:hyperlink>
      <w:r>
        <w:t>).</w:t>
      </w:r>
    </w:p>
    <w:p w14:paraId="29D7D94F" w14:textId="77777777" w:rsidR="00DF410E" w:rsidRDefault="00CE7F43">
      <w:r>
        <w:t>Dès lors, pour les isolants rendus inaccessibles par les travaux prescrits dans un autre tome, il y a lieu de consulter le tome concerné, à savoir :</w:t>
      </w:r>
    </w:p>
    <w:p w14:paraId="58B87594" w14:textId="77777777" w:rsidR="00DF410E" w:rsidRDefault="004016E8">
      <w:pPr>
        <w:pStyle w:val="Author-eListParagraph"/>
        <w:numPr>
          <w:ilvl w:val="0"/>
          <w:numId w:val="1108"/>
        </w:numPr>
      </w:pPr>
      <w:hyperlink r:id="rId363" w:history="1" w:docLocation="40">
        <w:r w:rsidR="00CE7F43">
          <w:rPr>
            <w:u w:val="single"/>
          </w:rPr>
          <w:t>1 T1 Terrassements / fondations</w:t>
        </w:r>
      </w:hyperlink>
      <w:r w:rsidR="00CE7F43">
        <w:rPr>
          <w:u w:val="single"/>
        </w:rPr>
        <w:t xml:space="preserve"> (</w:t>
      </w:r>
      <w:hyperlink r:id="rId364" w:history="1" w:docLocation="69">
        <w:r w:rsidR="00CE7F43">
          <w:rPr>
            <w:u w:val="single"/>
          </w:rPr>
          <w:t>15.4 Isolation</w:t>
        </w:r>
      </w:hyperlink>
      <w:r w:rsidR="00CE7F43">
        <w:rPr>
          <w:u w:val="single"/>
        </w:rPr>
        <w:t>)</w:t>
      </w:r>
      <w:r w:rsidR="00CE7F43">
        <w:t xml:space="preserve"> : les isolants sous dalles de sol ainsi que les isolants sous fondation ou latéralement entre fondation et terre.</w:t>
      </w:r>
    </w:p>
    <w:p w14:paraId="37838C5A" w14:textId="77777777" w:rsidR="00DF410E" w:rsidRDefault="004016E8">
      <w:pPr>
        <w:pStyle w:val="Author-eListParagraph"/>
        <w:numPr>
          <w:ilvl w:val="0"/>
          <w:numId w:val="1108"/>
        </w:numPr>
      </w:pPr>
      <w:hyperlink r:id="rId365" w:history="1" w:docLocation="42">
        <w:r w:rsidR="00CE7F43">
          <w:rPr>
            <w:u w:val="single"/>
          </w:rPr>
          <w:t>3 T3 Travaux de toiture</w:t>
        </w:r>
      </w:hyperlink>
      <w:r w:rsidR="00CE7F43">
        <w:rPr>
          <w:u w:val="single"/>
        </w:rPr>
        <w:t xml:space="preserve"> (</w:t>
      </w:r>
      <w:hyperlink r:id="rId366" w:history="1" w:docLocation="71">
        <w:r w:rsidR="00CE7F43">
          <w:rPr>
            <w:u w:val="single"/>
          </w:rPr>
          <w:t>32.4 Isolation</w:t>
        </w:r>
      </w:hyperlink>
      <w:r w:rsidR="00CE7F43">
        <w:rPr>
          <w:u w:val="single"/>
        </w:rPr>
        <w:t>)</w:t>
      </w:r>
      <w:r w:rsidR="00CE7F43">
        <w:t xml:space="preserve"> : les isolants qui sont rendus inaccessibles par des travaux prescrits dans le </w:t>
      </w:r>
      <w:hyperlink r:id="rId367" w:history="1" w:docLocation="42">
        <w:r w:rsidR="00CE7F43">
          <w:t>3 T3 Travaux de toiture</w:t>
        </w:r>
      </w:hyperlink>
      <w:r w:rsidR="00CE7F43">
        <w:t xml:space="preserve"> (par exemple : les isolants placés entre la structure et le revêtement de couverture).</w:t>
      </w:r>
    </w:p>
    <w:p w14:paraId="4CAC2D84" w14:textId="77777777" w:rsidR="00DF410E" w:rsidRDefault="004016E8">
      <w:pPr>
        <w:pStyle w:val="Author-eListParagraph"/>
        <w:numPr>
          <w:ilvl w:val="0"/>
          <w:numId w:val="1108"/>
        </w:numPr>
      </w:pPr>
      <w:hyperlink r:id="rId368" w:history="1" w:docLocation="43">
        <w:r w:rsidR="00CE7F43">
          <w:rPr>
            <w:u w:val="single"/>
          </w:rPr>
          <w:t>4 T4 Fermetures / Finitions extérieures</w:t>
        </w:r>
      </w:hyperlink>
      <w:r w:rsidR="00CE7F43">
        <w:rPr>
          <w:u w:val="single"/>
        </w:rPr>
        <w:t xml:space="preserve"> (</w:t>
      </w:r>
      <w:hyperlink r:id="rId369" w:history="1" w:docLocation="72">
        <w:r w:rsidR="00CE7F43">
          <w:rPr>
            <w:u w:val="single"/>
          </w:rPr>
          <w:t>44.4 Isolation</w:t>
        </w:r>
      </w:hyperlink>
      <w:r w:rsidR="00CE7F43">
        <w:rPr>
          <w:u w:val="single"/>
        </w:rPr>
        <w:t>)</w:t>
      </w:r>
      <w:r w:rsidR="00CE7F43">
        <w:t xml:space="preserve"> : les isolants à l'extérieur par rapport à la structure portante et qui ne sont pas repris dans les tomes 1 à 3 (derrière bardage, en faux-plafond extérieur...)</w:t>
      </w:r>
    </w:p>
    <w:p w14:paraId="045AEC1C" w14:textId="77777777" w:rsidR="00DF410E" w:rsidRDefault="004016E8">
      <w:pPr>
        <w:pStyle w:val="Author-eListParagraph"/>
        <w:numPr>
          <w:ilvl w:val="0"/>
          <w:numId w:val="1108"/>
        </w:numPr>
      </w:pPr>
      <w:hyperlink r:id="rId370" w:history="1" w:docLocation="44">
        <w:r w:rsidR="00CE7F43">
          <w:rPr>
            <w:u w:val="single"/>
          </w:rPr>
          <w:t>5 T5 Fermetures / Finitions intérieures</w:t>
        </w:r>
      </w:hyperlink>
      <w:r w:rsidR="00CE7F43">
        <w:rPr>
          <w:u w:val="single"/>
        </w:rPr>
        <w:t xml:space="preserve"> (</w:t>
      </w:r>
      <w:hyperlink r:id="rId371" w:history="1" w:docLocation="73">
        <w:r w:rsidR="00CE7F43">
          <w:rPr>
            <w:u w:val="single"/>
          </w:rPr>
          <w:t>52.4 Isolation</w:t>
        </w:r>
      </w:hyperlink>
      <w:r w:rsidR="00CE7F43">
        <w:rPr>
          <w:u w:val="single"/>
        </w:rPr>
        <w:t>)</w:t>
      </w:r>
      <w:r w:rsidR="00CE7F43">
        <w:t xml:space="preserve"> : les isolants à l'intérieur par rapport à la structure portante et qui ne sont pas repris dans les tomes 1 à 3 (sous chape, isolation par l'intérieur, isolation dans l'épaisseur de la toiture, en cloisons, en faux-plafonds...)</w:t>
      </w:r>
    </w:p>
    <w:p w14:paraId="2F20A8C4" w14:textId="77777777" w:rsidR="00DF410E" w:rsidRDefault="00CE7F43">
      <w:r>
        <w:t>Les prescriptions des isolants sont structurées dans le CCTB comme suit :</w:t>
      </w:r>
    </w:p>
    <w:p w14:paraId="12F742B2" w14:textId="77777777" w:rsidR="00DF410E" w:rsidRDefault="00CE7F43">
      <w:pPr>
        <w:pStyle w:val="Author-eListParagraph"/>
        <w:numPr>
          <w:ilvl w:val="0"/>
          <w:numId w:val="1109"/>
        </w:numPr>
      </w:pPr>
      <w:r>
        <w:rPr>
          <w:u w:val="single"/>
        </w:rPr>
        <w:t>XX.41. Isolation en panneaux</w:t>
      </w:r>
      <w:r>
        <w:t xml:space="preserve"> &gt; matériau se présentant sous forme de panneaux</w:t>
      </w:r>
    </w:p>
    <w:p w14:paraId="32C651D3" w14:textId="77777777" w:rsidR="00DF410E" w:rsidRDefault="00CE7F43">
      <w:pPr>
        <w:pStyle w:val="Author-eListParagraph"/>
        <w:numPr>
          <w:ilvl w:val="0"/>
          <w:numId w:val="1109"/>
        </w:numPr>
      </w:pPr>
      <w:r>
        <w:rPr>
          <w:u w:val="single"/>
        </w:rPr>
        <w:t>XX.42 Isolation en rouleaux/matelas</w:t>
      </w:r>
      <w:r>
        <w:t xml:space="preserve"> &gt; matériau se présentant sous forme de rouleaux ou matelas présentant plus de souplesse que des panneaux rigides</w:t>
      </w:r>
    </w:p>
    <w:p w14:paraId="7D3DD71A" w14:textId="77777777" w:rsidR="00DF410E" w:rsidRDefault="00CE7F43">
      <w:pPr>
        <w:pStyle w:val="Author-eListParagraph"/>
        <w:numPr>
          <w:ilvl w:val="0"/>
          <w:numId w:val="1109"/>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14:paraId="4871FD47" w14:textId="77777777" w:rsidR="00DF410E" w:rsidRDefault="00CE7F43">
      <w:pPr>
        <w:pStyle w:val="Author-eListParagraph"/>
        <w:numPr>
          <w:ilvl w:val="0"/>
          <w:numId w:val="1109"/>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14:paraId="580E57F2" w14:textId="77777777" w:rsidR="00DF410E" w:rsidRDefault="00CE7F43">
      <w:pPr>
        <w:pStyle w:val="Author-eListParagraph"/>
        <w:numPr>
          <w:ilvl w:val="0"/>
          <w:numId w:val="1109"/>
        </w:numPr>
      </w:pPr>
      <w:r>
        <w:rPr>
          <w:u w:val="single"/>
        </w:rPr>
        <w:t>XX.45 Isolation à injecter</w:t>
      </w:r>
      <w:r>
        <w:t>  &gt; isolant injecté dans une lame d’air assez étroite (isolant injectés sous pression dans les lames d’air de murs creux)</w:t>
      </w:r>
    </w:p>
    <w:p w14:paraId="3950BFDF" w14:textId="77777777" w:rsidR="00DF410E" w:rsidRDefault="00CE7F43">
      <w:pPr>
        <w:pStyle w:val="Author-eListParagraph"/>
        <w:numPr>
          <w:ilvl w:val="0"/>
          <w:numId w:val="1109"/>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14:paraId="69DDA97F" w14:textId="77777777" w:rsidR="00DF410E" w:rsidRDefault="00CE7F43">
      <w:pPr>
        <w:pStyle w:val="Author-eListParagraph"/>
        <w:numPr>
          <w:ilvl w:val="0"/>
          <w:numId w:val="1109"/>
        </w:numPr>
      </w:pPr>
      <w:r>
        <w:rPr>
          <w:u w:val="single"/>
        </w:rPr>
        <w:t>XX.47 Isolation en blocs</w:t>
      </w:r>
      <w:r>
        <w:t xml:space="preserve"> &gt; cas particuliers des isolants en blocs non-porteurs assemblés à joints secs ou maçonnés.</w:t>
      </w:r>
    </w:p>
    <w:p w14:paraId="77BC6505" w14:textId="77777777" w:rsidR="00DF410E" w:rsidRDefault="00CE7F43">
      <w:pPr>
        <w:pStyle w:val="pheading"/>
      </w:pPr>
      <w:r>
        <w:t>- Remarques importantes</w:t>
      </w:r>
    </w:p>
    <w:p w14:paraId="117C62A3" w14:textId="77777777" w:rsidR="00DF410E" w:rsidRDefault="00CE7F43">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(valeur Sd) de l’écran à l’air et à la vapeur placé du côté chaud de l’isolant ainsi que celle des matériaux constituant la structure ou ossature portante, l’éventuel pare-pluie ainsi que le parement, le bardage ou enduit extérieur.</w:t>
      </w:r>
    </w:p>
    <w:p w14:paraId="6BE0B764" w14:textId="77777777" w:rsidR="00DF410E" w:rsidRDefault="00CE7F43">
      <w:r>
        <w:rPr>
          <w:b/>
        </w:rPr>
        <w:t>Performance thermique</w:t>
      </w:r>
      <w:r>
        <w:t xml:space="preserve"> :  Une fois les matériaux mis en œuvre, la résistance thermique globale des parois concernées doit satisfaire aux exigences de la réglementation PEB – voir § </w:t>
      </w:r>
      <w:hyperlink r:id="rId372" w:history="1" w:docLocation="8">
        <w:r>
          <w:t>00.5 Terminologie</w:t>
        </w:r>
      </w:hyperlink>
      <w:r>
        <w:t>.</w:t>
      </w:r>
    </w:p>
    <w:p w14:paraId="26E86FAA" w14:textId="77777777" w:rsidR="00DF410E" w:rsidRDefault="00CE7F43">
      <w:pPr>
        <w:pStyle w:val="pheading"/>
      </w:pPr>
      <w:r>
        <w:t>MATÉRIAUX</w:t>
      </w:r>
    </w:p>
    <w:p w14:paraId="3E109BCF" w14:textId="77777777" w:rsidR="00DF410E" w:rsidRDefault="00CE7F43">
      <w:r>
        <w:t>Les matériaux d'isolation sont non capillaires. Ils n'attaquent pas les autres éléments de construction.</w:t>
      </w:r>
      <w:r>
        <w:br/>
        <w:t>Si le matériau d'isolation est endommagé, il ne peut être utilisé.</w:t>
      </w:r>
      <w:r>
        <w:br/>
        <w:t>En ce qui concerne l’isolation des façades, les écarteurs  glissés sur les crochets de murs (lorsque les coulisses ne sont pas  complètement remplies) sont adaptés au type de matériau d'isolation. Un modèle est soumis pour approbation à l'auteur de projet. L’entrepreneur l’informe en outre sur le diamètre des crochets de fixation mécanique, leur nombre par m² et leur matériau constitutif, afin d’introduire ces caractéristiques dans le calcul PEB.</w:t>
      </w:r>
    </w:p>
    <w:p w14:paraId="1E361FE1" w14:textId="77777777" w:rsidR="00DF410E" w:rsidRDefault="00CE7F43">
      <w:pPr>
        <w:pStyle w:val="pheading"/>
      </w:pPr>
      <w:r>
        <w:t>EXÉCUTION / MISE EN ŒUVRE</w:t>
      </w:r>
    </w:p>
    <w:p w14:paraId="1D71BFC0" w14:textId="77777777" w:rsidR="00DF410E" w:rsidRDefault="00CE7F43">
      <w:r>
        <w:rPr>
          <w:b/>
          <w:sz w:val="24"/>
        </w:rPr>
        <w:t>Pour les plafonds des caves et vides ventilés</w:t>
      </w:r>
    </w:p>
    <w:p w14:paraId="2FD5E764" w14:textId="77777777" w:rsidR="00DF410E" w:rsidRDefault="00CE7F43">
      <w:r>
        <w:t>-</w:t>
      </w:r>
    </w:p>
    <w:p w14:paraId="3C1ABB79" w14:textId="77777777" w:rsidR="00DF410E" w:rsidRDefault="00CE7F43">
      <w:r>
        <w:rPr>
          <w:b/>
          <w:sz w:val="24"/>
        </w:rPr>
        <w:t>Pour les murs enterrés</w:t>
      </w:r>
    </w:p>
    <w:p w14:paraId="6896EA1F" w14:textId="77777777" w:rsidR="00DF410E" w:rsidRDefault="00CE7F43">
      <w:r>
        <w:t>Afin de prévenir les ponts thermiques, il est prévu qu'une bande d'isolation continue soit introduite dans le vide du mur, sous la première étanchéité. Selon la profondeur indiquée sur les coupes ou les plans de détail, ce mur se poursuit comme mur maçonné traditionnel ou mur de fondation coulé. L'isolation est posée comme les autres panneaux d'isolation dans les murs creux, mais avec des plaques de nature appropriée.  </w:t>
      </w:r>
    </w:p>
    <w:p w14:paraId="00A086F3" w14:textId="77777777" w:rsidR="00DF410E" w:rsidRDefault="00CE7F43">
      <w:r>
        <w:rPr>
          <w:b/>
          <w:sz w:val="24"/>
        </w:rPr>
        <w:t>Pour les murs creux de façade, y compris les murs faisant l'objet d'une post-isolation</w:t>
      </w:r>
    </w:p>
    <w:p w14:paraId="2965CA08" w14:textId="77777777" w:rsidR="00DF410E" w:rsidRDefault="00CE7F43">
      <w:r>
        <w:t xml:space="preserve">Conformément au chap.  </w:t>
      </w:r>
      <w:hyperlink w:anchor="379" w:history="1">
        <w:r>
          <w:t>21.3 Maçonneries de parement</w:t>
        </w:r>
      </w:hyperlink>
      <w:r>
        <w:t xml:space="preserve">, le parement est érigé en trois phases successives. Cela permet de contrôler dans des  conditions optimales   l'ajustement et la fixation de l'isolation des murs creux et de l'étanchéité. Les plaques ne peuvent être appliquées qu'après le contrôle du mur de contre-façade, conformément au système de construction en phases décrit au chapitre </w:t>
      </w:r>
      <w:hyperlink w:anchor="379" w:history="1">
        <w:r>
          <w:t>21.3 Maçonneries de parement</w:t>
        </w:r>
      </w:hyperlink>
      <w:r>
        <w:t>.</w:t>
      </w:r>
    </w:p>
    <w:p w14:paraId="41045FC3" w14:textId="77777777" w:rsidR="00DF410E" w:rsidRDefault="00CE7F43">
      <w:r>
        <w:t>L'entrepreneur veille à ce que l'isolation forme un ensemble ininterrompu, y compris au droit des nœuds constructifs et ébrasements de porte set fenêtres ; les déformations de la couche d'isolation  doivent être évitées:</w:t>
      </w:r>
    </w:p>
    <w:p w14:paraId="5FDA8C6C" w14:textId="77777777" w:rsidR="00DF410E" w:rsidRDefault="00CE7F43">
      <w:pPr>
        <w:pStyle w:val="Author-eListParagraph"/>
        <w:numPr>
          <w:ilvl w:val="0"/>
          <w:numId w:val="1110"/>
        </w:numPr>
      </w:pPr>
      <w:r>
        <w:t>Lorsque l'isolation est réalisée au moyen de plaques, celles-ci sont posées dans les  plus grandes dimensions possibles, bien ajustées contre la face intérieure de la coulisse. Elles sont appuyées avec une légère pression contre le mur et entre elles afin qu'elles soient bien jointives. Elles sont posées en appareil et soigneusement glissées sur les crochets de mur.</w:t>
      </w:r>
    </w:p>
    <w:p w14:paraId="5E4A05D1" w14:textId="77777777" w:rsidR="00DF410E" w:rsidRDefault="00CE7F43">
      <w:pPr>
        <w:pStyle w:val="Author-eListParagraph"/>
        <w:numPr>
          <w:ilvl w:val="0"/>
          <w:numId w:val="1110"/>
        </w:numPr>
      </w:pPr>
      <w:r>
        <w:t>Les  bords des plaques sont coupés bien droits et s'ajustent parfaitement aux autres éléments de construction.</w:t>
      </w:r>
    </w:p>
    <w:p w14:paraId="58CE030F" w14:textId="77777777" w:rsidR="00DF410E" w:rsidRDefault="00CE7F43">
      <w:pPr>
        <w:pStyle w:val="Author-eListParagraph"/>
        <w:numPr>
          <w:ilvl w:val="0"/>
          <w:numId w:val="1110"/>
        </w:numPr>
      </w:pPr>
      <w:r>
        <w:t>Aux angles de la maçonnerie, l’isolation est continue sur toute l’épaisseur.</w:t>
      </w:r>
    </w:p>
    <w:p w14:paraId="72583202" w14:textId="77777777" w:rsidR="00DF410E" w:rsidRDefault="00CE7F43">
      <w:pPr>
        <w:pStyle w:val="Author-eListParagraph"/>
        <w:numPr>
          <w:ilvl w:val="0"/>
          <w:numId w:val="1110"/>
        </w:numPr>
      </w:pPr>
      <w:r>
        <w:t>Les  perforations des matériaux d’isolation sont limitées au minimum par le choix judicieux de la forme et de la méthode de pose des crochets de  mur. Ils sont posés en légère pente vers l'extérieur. On  fixe les plaques en 5 à 6 points au moins par mètre carré. Dans les  vides ventilés à remplissage partiel, on utilise obligatoirement des  plaquettes qui sont légèrement appuyées contre l'isolation.</w:t>
      </w:r>
    </w:p>
    <w:p w14:paraId="3C837595" w14:textId="77777777" w:rsidR="00DF410E" w:rsidRDefault="00CE7F43">
      <w:pPr>
        <w:pStyle w:val="Author-eListParagraph"/>
        <w:numPr>
          <w:ilvl w:val="0"/>
          <w:numId w:val="1110"/>
        </w:numPr>
      </w:pPr>
      <w:r>
        <w:t>Lorsque des couches d'étanchéité interrompent l'isolation, les  plaques sont soigneusement coupées en forme. A l’assise sur ou à  l’interruption par la membrane d’étanchéité, soit les plaques sont  biseautées suivant la pente de la membrane d’étanchéité, soit celle-ci  est relevée derrière l'isolation.</w:t>
      </w:r>
    </w:p>
    <w:p w14:paraId="1A429C8A" w14:textId="77777777" w:rsidR="00DF410E" w:rsidRDefault="00CE7F43">
      <w:pPr>
        <w:pStyle w:val="Author-eListParagraph"/>
        <w:numPr>
          <w:ilvl w:val="0"/>
          <w:numId w:val="1110"/>
        </w:numPr>
      </w:pPr>
      <w:r>
        <w:t>Selon les exigences, l'entrepreneur prévoit, à hauteur des linteaux et/ou aux endroits où peuvent se former des ponts thermiques, des bandes d'isolation coupées sur mesure entre le parement, les ébrasements, les linteaux en béton, etc.</w:t>
      </w:r>
    </w:p>
    <w:p w14:paraId="087C1195" w14:textId="77777777" w:rsidR="00DF410E" w:rsidRDefault="00CE7F43">
      <w:r>
        <w:t>L’isolation de la coulisse est</w:t>
      </w:r>
      <w:r>
        <w:rPr>
          <w:rStyle w:val="optioncarChar"/>
        </w:rPr>
        <w:t> totale </w:t>
      </w:r>
      <w:r>
        <w:t>(par défaut)</w:t>
      </w:r>
      <w:r>
        <w:rPr>
          <w:rStyle w:val="optioncarChar"/>
        </w:rPr>
        <w:t xml:space="preserve"> / partielle / ***</w:t>
      </w:r>
    </w:p>
    <w:p w14:paraId="1ABB447E" w14:textId="77777777" w:rsidR="00DF410E" w:rsidRDefault="00CE7F43">
      <w:r>
        <w:rPr>
          <w:b/>
          <w:sz w:val="24"/>
        </w:rPr>
        <w:t>Pour les murs structuraux intérieurs  </w:t>
      </w:r>
    </w:p>
    <w:p w14:paraId="1D3F5491" w14:textId="77777777" w:rsidR="00DF410E" w:rsidRDefault="00CE7F43">
      <w:r>
        <w:t>-</w:t>
      </w:r>
    </w:p>
    <w:p w14:paraId="219BFA65" w14:textId="77777777" w:rsidR="00DF410E" w:rsidRDefault="00CE7F43">
      <w:r>
        <w:rPr>
          <w:b/>
          <w:sz w:val="24"/>
        </w:rPr>
        <w:t>Pour les murs de séparation entre habitations: (isolation acoustique notamment)</w:t>
      </w:r>
    </w:p>
    <w:p w14:paraId="77E1C59C" w14:textId="77777777" w:rsidR="00DF410E" w:rsidRDefault="00CE7F43">
      <w:r>
        <w:t>L'isolation est placée entre les deux murs porteurs qui constituent la séparation entre les habitations. Le remplissage complet de la coulisse doit contribuer à l'indépendance complète des deux murs, c'est-à-dire sans ponts de mortier, de crochets de mur, etc. A cet effet, on veille à ce que, dans la mesure du possible, l'isolation soit posée d'un seul tenant, sans perforations ni interruptions. Les plaques sont bien jointives, sans restes de mortiers entre les deux. Les plaques rigides ne peuvent pas être coincées trop fortement.</w:t>
      </w:r>
    </w:p>
    <w:p w14:paraId="2B66F878" w14:textId="77777777" w:rsidR="00DF410E" w:rsidRDefault="00CE7F43">
      <w:pPr>
        <w:pStyle w:val="pheading"/>
      </w:pPr>
      <w:r>
        <w:t>DOCUMENTS DE RÉFÉRENCE</w:t>
      </w:r>
    </w:p>
    <w:p w14:paraId="2856E4BE" w14:textId="77777777" w:rsidR="00DF410E" w:rsidRDefault="00CE7F43">
      <w:pPr>
        <w:pStyle w:val="pheading"/>
      </w:pPr>
      <w:r>
        <w:t>- Matériau</w:t>
      </w:r>
    </w:p>
    <w:p w14:paraId="28921C00" w14:textId="77777777" w:rsidR="00DF410E" w:rsidRDefault="004016E8">
      <w:hyperlink r:id="rId373" w:history="1" w:docLocation="71">
        <w:r w:rsidR="00CE7F43">
          <w:t>32.4 Isolation</w:t>
        </w:r>
      </w:hyperlink>
    </w:p>
    <w:p w14:paraId="0848F0B7" w14:textId="77777777" w:rsidR="00DF410E" w:rsidRDefault="00CE7F43">
      <w:pPr>
        <w:pStyle w:val="pheading"/>
      </w:pPr>
      <w:r>
        <w:t>- Exécution</w:t>
      </w:r>
    </w:p>
    <w:p w14:paraId="71473F3F" w14:textId="77777777" w:rsidR="00DF410E" w:rsidRDefault="004016E8">
      <w:hyperlink r:id="rId374" w:history="1" w:docLocation="71">
        <w:r w:rsidR="00CE7F43">
          <w:t>32.4 Isolation</w:t>
        </w:r>
      </w:hyperlink>
    </w:p>
    <w:p w14:paraId="55523884" w14:textId="77777777" w:rsidR="00DF410E" w:rsidRDefault="00CE7F43">
      <w:pPr>
        <w:pStyle w:val="Author-eSectionHeading4"/>
      </w:pPr>
      <w:bookmarkStart w:id="1914" w:name="_Toc178838963"/>
      <w:r>
        <w:t>26.41 Isolation en panneaux CCTB 01.11</w:t>
      </w:r>
      <w:bookmarkEnd w:id="1914"/>
    </w:p>
    <w:p w14:paraId="4E4EF7B2" w14:textId="77777777" w:rsidR="00DF410E" w:rsidRDefault="00CE7F43">
      <w:pPr>
        <w:pStyle w:val="pheading"/>
      </w:pPr>
      <w:r>
        <w:t>DESCRIPTION</w:t>
      </w:r>
    </w:p>
    <w:p w14:paraId="4681360A" w14:textId="77777777" w:rsidR="00DF410E" w:rsidRDefault="00CE7F43">
      <w:pPr>
        <w:pStyle w:val="pheading"/>
      </w:pPr>
      <w:r>
        <w:t>- Remarques importantes</w:t>
      </w:r>
    </w:p>
    <w:p w14:paraId="6602F752" w14:textId="77777777" w:rsidR="00DF410E" w:rsidRDefault="00CE7F43">
      <w:r>
        <w:t xml:space="preserve">Voir article </w:t>
      </w:r>
      <w:hyperlink r:id="rId375" w:history="1" w:docLocation="259">
        <w:r>
          <w:t>32.41 Isolation en panneaux</w:t>
        </w:r>
      </w:hyperlink>
    </w:p>
    <w:p w14:paraId="1AD6EEE4" w14:textId="77777777" w:rsidR="00DF410E" w:rsidRDefault="00CE7F43">
      <w:pPr>
        <w:pStyle w:val="pheading"/>
      </w:pPr>
      <w:r>
        <w:t>MATÉRIAUX</w:t>
      </w:r>
    </w:p>
    <w:p w14:paraId="42975C19" w14:textId="77777777" w:rsidR="00DF410E" w:rsidRDefault="00CE7F43">
      <w:r>
        <w:t xml:space="preserve">Voir article </w:t>
      </w:r>
      <w:hyperlink r:id="rId376" w:history="1" w:docLocation="259">
        <w:r>
          <w:t>32.41 Isolation en panneaux</w:t>
        </w:r>
      </w:hyperlink>
    </w:p>
    <w:p w14:paraId="43B4F88F" w14:textId="77777777" w:rsidR="00DF410E" w:rsidRDefault="00CE7F43">
      <w:pPr>
        <w:pStyle w:val="pheading"/>
      </w:pPr>
      <w:r>
        <w:t>EXÉCUTION / MISE EN ŒUVRE</w:t>
      </w:r>
    </w:p>
    <w:p w14:paraId="10B058C0" w14:textId="77777777" w:rsidR="00DF410E" w:rsidRDefault="00CE7F43">
      <w:r>
        <w:rPr>
          <w:b/>
          <w:sz w:val="24"/>
        </w:rPr>
        <w:t>Isolation des murs creux</w:t>
      </w:r>
    </w:p>
    <w:p w14:paraId="58496636" w14:textId="77777777" w:rsidR="00DF410E" w:rsidRDefault="00CE7F43">
      <w:r>
        <w:t xml:space="preserve">Voir article </w:t>
      </w:r>
      <w:hyperlink r:id="rId377" w:history="1" w:docLocation="259">
        <w:r>
          <w:t>32.41 Isolation en panneaux</w:t>
        </w:r>
      </w:hyperlink>
    </w:p>
    <w:p w14:paraId="12E302C2" w14:textId="77777777" w:rsidR="00DF410E" w:rsidRDefault="00CE7F43">
      <w:r>
        <w:t>Les plaques sont bien ajustées contre le mur. Si une rainure est présente, elle est orientée vers le bas.</w:t>
      </w:r>
    </w:p>
    <w:p w14:paraId="29ED777D" w14:textId="77777777" w:rsidR="00DF410E" w:rsidRDefault="00CE7F43">
      <w:pPr>
        <w:pStyle w:val="pheading"/>
      </w:pPr>
      <w:r>
        <w:t>DOCUMENTS DE RÉFÉRENCE</w:t>
      </w:r>
    </w:p>
    <w:p w14:paraId="160DB3EE" w14:textId="77777777" w:rsidR="00DF410E" w:rsidRDefault="00CE7F43">
      <w:pPr>
        <w:pStyle w:val="pheading"/>
      </w:pPr>
      <w:r>
        <w:t>- Matériau</w:t>
      </w:r>
    </w:p>
    <w:p w14:paraId="26BC69CF" w14:textId="77777777" w:rsidR="00DF410E" w:rsidRDefault="004016E8">
      <w:hyperlink r:id="rId378" w:history="1" w:docLocation="259">
        <w:r w:rsidR="00CE7F43">
          <w:t>32.41 Isolation en panneaux</w:t>
        </w:r>
      </w:hyperlink>
    </w:p>
    <w:p w14:paraId="2533F475" w14:textId="77777777" w:rsidR="00DF410E" w:rsidRDefault="00CE7F43">
      <w:pPr>
        <w:pStyle w:val="pheading"/>
      </w:pPr>
      <w:r>
        <w:t>- Exécution</w:t>
      </w:r>
    </w:p>
    <w:p w14:paraId="5535E034" w14:textId="77777777" w:rsidR="00DF410E" w:rsidRDefault="00CE7F43">
      <w:r>
        <w:t>32.41 Isolation en panneaux</w:t>
      </w:r>
    </w:p>
    <w:p w14:paraId="0EE71179" w14:textId="77777777" w:rsidR="00DF410E" w:rsidRDefault="00CE7F43">
      <w:pPr>
        <w:pStyle w:val="pheading"/>
      </w:pPr>
      <w:r>
        <w:t>AIDE</w:t>
      </w:r>
    </w:p>
    <w:p w14:paraId="5195F59F" w14:textId="77777777" w:rsidR="00DF410E" w:rsidRDefault="00CE7F43">
      <w:r>
        <w:rPr>
          <w:u w:val="single"/>
        </w:rPr>
        <w:t>Note à l’attention de l’auteur de projet</w:t>
      </w:r>
    </w:p>
    <w:p w14:paraId="00FCA41D" w14:textId="77777777" w:rsidR="00DF410E" w:rsidRDefault="00CE7F43">
      <w:r>
        <w:t>La solution de l'isolation par l'intérieur reste délicate à mettre en œuvre. Les simulations dynamiques du transfert de chaleur et de vapeur d'eau montrent qu'il existe un risque d'accumulation d'eau dans la paroi si la brique est trop poreuse. C'est donc une donnée à prendre absolument en compte avant de projeter ces travaux. Dans ce cas, un hydrofuge de façade peut être préconisé afin de viabiliser la solution.</w:t>
      </w:r>
    </w:p>
    <w:p w14:paraId="7730ADB8" w14:textId="77777777" w:rsidR="00DF410E" w:rsidRDefault="00CE7F43">
      <w:r>
        <w:t>Dans le cas d'une variation d'humidité au sein du matériau, due par exemple à une fuite accidentelle, le panneau est capable de retrouver une situation d'équilibre et de continuer d'assurer sa fonction d'isolant si la fuite est repérée rapidement. Il est par contre prudent, si la durée d'exposition à cette humidité se prolonge, de prévoir le remplacement des panneaux qui peuvent s'être tassés sous leur poids gorgé d'eau. La même recommandation est applicable à tous les matériaux isolants, même traditionnels.</w:t>
      </w:r>
    </w:p>
    <w:p w14:paraId="21856D19" w14:textId="77777777" w:rsidR="00DF410E" w:rsidRDefault="00CE7F43">
      <w:r>
        <w:t>De manière générale, l'isolation par l'intérieur expose le mur à des chocs thermiques et crée ou accentue les ponts thermiques (planchers, murs de refends, …). Plus l'épaisseur de l'isolant est importante et plus le pont thermique avec les zones non isolées l'est également.</w:t>
      </w:r>
    </w:p>
    <w:p w14:paraId="16B723D6" w14:textId="77777777" w:rsidR="00DF410E" w:rsidRDefault="00CE7F43">
      <w:r>
        <w:t>Il convient d'être particulièrement vigilent en ce qui concerne le choix et la mise en œuvre du pare-vapeur. De même, il est indispensable de prévoir un vide technique après le pare-vapeur pour toutes les parois qui comportent des installations techniques (prises, alimentations de radiateurs, gaine de ventilation,…) afin d'éviter toute perforation.</w:t>
      </w:r>
    </w:p>
    <w:p w14:paraId="0AE694B9" w14:textId="77777777" w:rsidR="00DF410E" w:rsidRDefault="00CE7F43">
      <w:r>
        <w:t>N'est pas approprié aux constructions dans lesquelles des travaux à forte humidité sont réalisés : non approprié pour les piscines ou les saunas.</w:t>
      </w:r>
    </w:p>
    <w:p w14:paraId="4AE437BA" w14:textId="77777777" w:rsidR="00DF410E" w:rsidRDefault="00CE7F43">
      <w:pPr>
        <w:pStyle w:val="Author-eSectionHeading5"/>
      </w:pPr>
      <w:bookmarkStart w:id="1915" w:name="_Toc178838964"/>
      <w:r>
        <w:t>26.41.1 Isolation en panneaux - matières synthétiques CCTB 01.02</w:t>
      </w:r>
      <w:bookmarkEnd w:id="1915"/>
    </w:p>
    <w:p w14:paraId="303AAF17" w14:textId="77777777" w:rsidR="00DF410E" w:rsidRDefault="00CE7F43">
      <w:pPr>
        <w:pStyle w:val="Author-eSectionHeading6"/>
      </w:pPr>
      <w:bookmarkStart w:id="1916" w:name="_Toc178838965"/>
      <w:r>
        <w:t>26.41.1a Isolation en panneaux - polystyrène extrudé (XPS) CCTB 01.11</w:t>
      </w:r>
      <w:bookmarkEnd w:id="1916"/>
    </w:p>
    <w:p w14:paraId="565BDAFF" w14:textId="77777777" w:rsidR="00DF410E" w:rsidRDefault="00CE7F43">
      <w:pPr>
        <w:pStyle w:val="pheading"/>
      </w:pPr>
      <w:r>
        <w:t>DESCRIPTION</w:t>
      </w:r>
    </w:p>
    <w:p w14:paraId="1CED5A15" w14:textId="77777777" w:rsidR="00DF410E" w:rsidRDefault="00CE7F43">
      <w:pPr>
        <w:pStyle w:val="pheading"/>
      </w:pPr>
      <w:r>
        <w:t>- Définition / Comprend</w:t>
      </w:r>
    </w:p>
    <w:p w14:paraId="58A58B41" w14:textId="77777777" w:rsidR="00DF410E" w:rsidRDefault="00CE7F43">
      <w:r>
        <w:t xml:space="preserve">Ce poste concerne l’isolation thermique des parois et éléments de construction décrits au titre </w:t>
      </w:r>
      <w:hyperlink w:anchor="70" w:history="1">
        <w:r>
          <w:t>26.4 Isolation</w:t>
        </w:r>
      </w:hyperlink>
    </w:p>
    <w:p w14:paraId="61DC1C38" w14:textId="77777777" w:rsidR="00DF410E" w:rsidRDefault="00CE7F43">
      <w:pPr>
        <w:pStyle w:val="pheading"/>
      </w:pPr>
      <w:r>
        <w:t>- Localisation</w:t>
      </w:r>
    </w:p>
    <w:p w14:paraId="543387DA" w14:textId="77777777" w:rsidR="00DF410E" w:rsidRDefault="00CE7F43">
      <w:r>
        <w:t>Voir titre </w:t>
      </w:r>
      <w:hyperlink w:anchor="70" w:history="1">
        <w:r>
          <w:t>26.4 Isolation</w:t>
        </w:r>
      </w:hyperlink>
    </w:p>
    <w:p w14:paraId="57EFAB88" w14:textId="77777777" w:rsidR="00DF410E" w:rsidRDefault="00CE7F43">
      <w:pPr>
        <w:pStyle w:val="pheading"/>
      </w:pPr>
      <w:r>
        <w:t>MATÉRIAUX</w:t>
      </w:r>
    </w:p>
    <w:p w14:paraId="20946B7B" w14:textId="77777777" w:rsidR="00DF410E" w:rsidRDefault="00CE7F43">
      <w:pPr>
        <w:pStyle w:val="pheading"/>
      </w:pPr>
      <w:r>
        <w:t>- Caractéristiques générales</w:t>
      </w:r>
    </w:p>
    <w:p w14:paraId="78EC16CF" w14:textId="77777777" w:rsidR="00DF410E" w:rsidRDefault="00CE7F43">
      <w:r>
        <w:t xml:space="preserve">Voir </w:t>
      </w:r>
      <w:hyperlink r:id="rId379" w:history="1" w:docLocation="252">
        <w:r>
          <w:t>32.41.1a Isolation en panneaux - polystyrène extrudé (XPS)</w:t>
        </w:r>
      </w:hyperlink>
    </w:p>
    <w:p w14:paraId="14340E32" w14:textId="77777777" w:rsidR="00DF410E" w:rsidRDefault="00CE7F43">
      <w:pPr>
        <w:pStyle w:val="pheading"/>
      </w:pPr>
      <w:r>
        <w:t>MESURAGE</w:t>
      </w:r>
    </w:p>
    <w:p w14:paraId="2C11458B" w14:textId="77777777" w:rsidR="00DF410E" w:rsidRDefault="00CE7F43">
      <w:pPr>
        <w:pStyle w:val="pheading"/>
      </w:pPr>
      <w:r>
        <w:t>- unité de mesure:</w:t>
      </w:r>
    </w:p>
    <w:p w14:paraId="2DA5B3DF" w14:textId="77777777" w:rsidR="00DF410E" w:rsidRDefault="00CE7F43">
      <w:r>
        <w:t>m²</w:t>
      </w:r>
    </w:p>
    <w:p w14:paraId="48F24BB3" w14:textId="77777777" w:rsidR="00DF410E" w:rsidRDefault="00CE7F43">
      <w:pPr>
        <w:pStyle w:val="pheading"/>
      </w:pPr>
      <w:r>
        <w:t>- code de mesurage:</w:t>
      </w:r>
    </w:p>
    <w:p w14:paraId="124EFC21" w14:textId="77777777" w:rsidR="00DF410E" w:rsidRDefault="00CE7F43">
      <w:r>
        <w:t>Distinction faite suivant l'épaisseur.</w:t>
      </w:r>
    </w:p>
    <w:p w14:paraId="7B2B3941" w14:textId="77777777" w:rsidR="00DF410E" w:rsidRDefault="00CE7F43">
      <w:pPr>
        <w:pStyle w:val="Author-eListParagraph"/>
        <w:numPr>
          <w:ilvl w:val="0"/>
          <w:numId w:val="1111"/>
        </w:numPr>
      </w:pPr>
      <w:r>
        <w:t xml:space="preserve">Isolation des </w:t>
      </w:r>
      <w:r>
        <w:rPr>
          <w:b/>
        </w:rPr>
        <w:t>parois verticales : Surface nette</w:t>
      </w:r>
      <w:r>
        <w:t>. Les ouvertures supérieures à 0,50 m² sont déduites</w:t>
      </w:r>
    </w:p>
    <w:p w14:paraId="44406674" w14:textId="77777777" w:rsidR="00DF410E" w:rsidRDefault="00CE7F43">
      <w:pPr>
        <w:pStyle w:val="Author-eListParagraph"/>
        <w:numPr>
          <w:ilvl w:val="0"/>
          <w:numId w:val="1111"/>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75A74315" w14:textId="77777777" w:rsidR="00DF410E" w:rsidRDefault="00CE7F43">
      <w:pPr>
        <w:pStyle w:val="pheading"/>
      </w:pPr>
      <w:r>
        <w:t>- nature du marché:</w:t>
      </w:r>
    </w:p>
    <w:p w14:paraId="2CC57FC1" w14:textId="77777777" w:rsidR="00DF410E" w:rsidRDefault="00CE7F43">
      <w:r>
        <w:t>QF</w:t>
      </w:r>
    </w:p>
    <w:p w14:paraId="2FC2E429" w14:textId="77777777" w:rsidR="00DF410E" w:rsidRDefault="00CE7F43">
      <w:pPr>
        <w:pStyle w:val="Author-eSectionHeading6"/>
      </w:pPr>
      <w:bookmarkStart w:id="1917" w:name="_Toc178838966"/>
      <w:r>
        <w:t>26.41.1b Isolation en panneaux - polystyrène expansé (EPS / EPS HD) CCTB 01.11</w:t>
      </w:r>
      <w:bookmarkEnd w:id="1917"/>
    </w:p>
    <w:p w14:paraId="62B7B296" w14:textId="77777777" w:rsidR="00DF410E" w:rsidRDefault="00CE7F43">
      <w:pPr>
        <w:pStyle w:val="pheading"/>
      </w:pPr>
      <w:bookmarkStart w:id="1918" w:name="646"/>
      <w:bookmarkEnd w:id="1918"/>
      <w:r>
        <w:t>DESCRIPTION</w:t>
      </w:r>
    </w:p>
    <w:p w14:paraId="3C4B1F73" w14:textId="77777777" w:rsidR="00DF410E" w:rsidRDefault="00CE7F43">
      <w:pPr>
        <w:pStyle w:val="pheading"/>
      </w:pPr>
      <w:r>
        <w:t>- Définition / Comprend</w:t>
      </w:r>
    </w:p>
    <w:p w14:paraId="29025B64" w14:textId="77777777" w:rsidR="00DF410E" w:rsidRDefault="00CE7F43">
      <w:r>
        <w:t xml:space="preserve">Ce poste concerne l’isolation thermique des parois et éléments de construction décrits au </w:t>
      </w:r>
      <w:hyperlink w:anchor="646" w:history="1">
        <w:r>
          <w:t>26.41.1b Isolation en panneaux - polystyrène expansé (EPS / EPS HD)</w:t>
        </w:r>
      </w:hyperlink>
    </w:p>
    <w:p w14:paraId="5A78D249" w14:textId="77777777" w:rsidR="00DF410E" w:rsidRDefault="00CE7F43">
      <w:pPr>
        <w:pStyle w:val="pheading"/>
      </w:pPr>
      <w:r>
        <w:t>- Localisation</w:t>
      </w:r>
    </w:p>
    <w:p w14:paraId="682814E2" w14:textId="77777777" w:rsidR="00DF410E" w:rsidRDefault="00CE7F43">
      <w:r>
        <w:t xml:space="preserve">Voir </w:t>
      </w:r>
      <w:hyperlink w:anchor="70" w:history="1">
        <w:r>
          <w:t>26.4 Isolation</w:t>
        </w:r>
      </w:hyperlink>
    </w:p>
    <w:p w14:paraId="64B5FE30" w14:textId="77777777" w:rsidR="00DF410E" w:rsidRDefault="00CE7F43">
      <w:pPr>
        <w:pStyle w:val="pheading"/>
      </w:pPr>
      <w:r>
        <w:t>MATÉRIAUX</w:t>
      </w:r>
    </w:p>
    <w:p w14:paraId="34E55A58" w14:textId="77777777" w:rsidR="00DF410E" w:rsidRDefault="00CE7F43">
      <w:pPr>
        <w:pStyle w:val="pheading"/>
      </w:pPr>
      <w:r>
        <w:t>- Caractéristiques générales</w:t>
      </w:r>
    </w:p>
    <w:p w14:paraId="5DC7B2D1" w14:textId="77777777" w:rsidR="00DF410E" w:rsidRDefault="00CE7F43">
      <w:r>
        <w:t xml:space="preserve">Voir </w:t>
      </w:r>
      <w:hyperlink r:id="rId380" w:history="1" w:docLocation="253">
        <w:r>
          <w:t>32.41.1b Isolation en panneaux - polystyrène expansé (EPS)</w:t>
        </w:r>
      </w:hyperlink>
    </w:p>
    <w:p w14:paraId="5123D564" w14:textId="77777777" w:rsidR="00DF410E" w:rsidRDefault="00CE7F43">
      <w:pPr>
        <w:pStyle w:val="pheading"/>
      </w:pPr>
      <w:r>
        <w:t>MESURAGE</w:t>
      </w:r>
    </w:p>
    <w:p w14:paraId="66BE3285" w14:textId="77777777" w:rsidR="00DF410E" w:rsidRDefault="00CE7F43">
      <w:pPr>
        <w:pStyle w:val="pheading"/>
      </w:pPr>
      <w:r>
        <w:t>- unité de mesure:</w:t>
      </w:r>
    </w:p>
    <w:p w14:paraId="29A50650" w14:textId="77777777" w:rsidR="00DF410E" w:rsidRDefault="00CE7F43">
      <w:r>
        <w:t>m²</w:t>
      </w:r>
    </w:p>
    <w:p w14:paraId="3AEFF76A" w14:textId="77777777" w:rsidR="00DF410E" w:rsidRDefault="00CE7F43">
      <w:pPr>
        <w:pStyle w:val="pheading"/>
      </w:pPr>
      <w:r>
        <w:t>- code de mesurage:</w:t>
      </w:r>
    </w:p>
    <w:p w14:paraId="22F37ADF" w14:textId="77777777" w:rsidR="00DF410E" w:rsidRDefault="00CE7F43">
      <w:r>
        <w:t>Distinction faite suivant l'épaisseur.</w:t>
      </w:r>
      <w:r>
        <w:br/>
      </w:r>
    </w:p>
    <w:p w14:paraId="71BD7CEC" w14:textId="77777777" w:rsidR="00DF410E" w:rsidRDefault="00CE7F43">
      <w:pPr>
        <w:pStyle w:val="Author-eListParagraph"/>
        <w:numPr>
          <w:ilvl w:val="0"/>
          <w:numId w:val="1112"/>
        </w:numPr>
      </w:pPr>
      <w:r>
        <w:t xml:space="preserve">Isolation des </w:t>
      </w:r>
      <w:r>
        <w:rPr>
          <w:b/>
        </w:rPr>
        <w:t>parois verticales : Surface nette</w:t>
      </w:r>
      <w:r>
        <w:t>. Les ouvertures supérieures à 0,50 m² seront déduites</w:t>
      </w:r>
    </w:p>
    <w:p w14:paraId="0D6E679E" w14:textId="77777777" w:rsidR="00DF410E" w:rsidRDefault="00CE7F43">
      <w:pPr>
        <w:pStyle w:val="Author-eListParagraph"/>
        <w:numPr>
          <w:ilvl w:val="0"/>
          <w:numId w:val="1112"/>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14:paraId="5F89D1DE" w14:textId="77777777" w:rsidR="00DF410E" w:rsidRDefault="00CE7F43">
      <w:pPr>
        <w:pStyle w:val="pheading"/>
      </w:pPr>
      <w:r>
        <w:t>- nature du marché:</w:t>
      </w:r>
    </w:p>
    <w:p w14:paraId="454517B3" w14:textId="77777777" w:rsidR="00DF410E" w:rsidRDefault="00CE7F43">
      <w:r>
        <w:t>QF</w:t>
      </w:r>
    </w:p>
    <w:p w14:paraId="06AB1701" w14:textId="77777777" w:rsidR="00DF410E" w:rsidRDefault="00CE7F43">
      <w:pPr>
        <w:pStyle w:val="Author-eSectionHeading6"/>
      </w:pPr>
      <w:bookmarkStart w:id="1919" w:name="_Toc178838967"/>
      <w:r>
        <w:t>26.41.1c Isolation en panneaux - polystyrène expansé additionné de graphite/carbone CCTB 01.11</w:t>
      </w:r>
      <w:bookmarkEnd w:id="1919"/>
    </w:p>
    <w:p w14:paraId="6C9E4732" w14:textId="77777777" w:rsidR="00DF410E" w:rsidRDefault="00CE7F43">
      <w:pPr>
        <w:pStyle w:val="Author-eSectionHeading6"/>
      </w:pPr>
      <w:bookmarkStart w:id="1920" w:name="_Toc178838968"/>
      <w:r>
        <w:t>26.41.1d Isolation en panneaux - polyuréthane (PUR) CCTB 01.11</w:t>
      </w:r>
      <w:bookmarkEnd w:id="1920"/>
    </w:p>
    <w:p w14:paraId="0F1E2E19" w14:textId="77777777" w:rsidR="00DF410E" w:rsidRDefault="00CE7F43">
      <w:pPr>
        <w:pStyle w:val="pheading"/>
      </w:pPr>
      <w:bookmarkStart w:id="1921" w:name="974"/>
      <w:bookmarkEnd w:id="1921"/>
      <w:r>
        <w:t>MATÉRIAUX</w:t>
      </w:r>
    </w:p>
    <w:p w14:paraId="13DB1BF9" w14:textId="77777777" w:rsidR="00DF410E" w:rsidRDefault="00CE7F43">
      <w:pPr>
        <w:pStyle w:val="pheading"/>
      </w:pPr>
      <w:r>
        <w:t>- Caractéristiques générales</w:t>
      </w:r>
    </w:p>
    <w:p w14:paraId="57CCDD59" w14:textId="77777777" w:rsidR="00DF410E" w:rsidRDefault="00CE7F43">
      <w:r>
        <w:t xml:space="preserve">Voir </w:t>
      </w:r>
      <w:hyperlink r:id="rId381" w:history="1" w:docLocation="254">
        <w:r>
          <w:t>32.41.1d Isolation en panneaux - polyuréthane (PUR)</w:t>
        </w:r>
      </w:hyperlink>
    </w:p>
    <w:p w14:paraId="69547A84" w14:textId="77777777" w:rsidR="00DF410E" w:rsidRDefault="00CE7F43">
      <w:pPr>
        <w:pStyle w:val="pheading"/>
      </w:pPr>
      <w:r>
        <w:t>MESURAGE</w:t>
      </w:r>
    </w:p>
    <w:p w14:paraId="68ED1C54" w14:textId="77777777" w:rsidR="00DF410E" w:rsidRDefault="00CE7F43">
      <w:pPr>
        <w:pStyle w:val="pheading"/>
      </w:pPr>
      <w:r>
        <w:t>- unité de mesure:</w:t>
      </w:r>
    </w:p>
    <w:p w14:paraId="6B649E73" w14:textId="77777777" w:rsidR="00DF410E" w:rsidRDefault="00CE7F43">
      <w:r>
        <w:t>m²</w:t>
      </w:r>
    </w:p>
    <w:p w14:paraId="0E1F9D1D" w14:textId="77777777" w:rsidR="00DF410E" w:rsidRDefault="00CE7F43">
      <w:pPr>
        <w:pStyle w:val="pheading"/>
      </w:pPr>
      <w:r>
        <w:t>- code de mesurage:</w:t>
      </w:r>
    </w:p>
    <w:p w14:paraId="6DDB1469" w14:textId="77777777" w:rsidR="00DF410E" w:rsidRDefault="00CE7F43">
      <w:r>
        <w:t>Distinction faite suivant l'épaisseur.</w:t>
      </w:r>
      <w:r>
        <w:br/>
      </w:r>
    </w:p>
    <w:p w14:paraId="08AAE6CD" w14:textId="77777777" w:rsidR="00DF410E" w:rsidRDefault="00CE7F43">
      <w:pPr>
        <w:pStyle w:val="Author-eListParagraph"/>
        <w:numPr>
          <w:ilvl w:val="0"/>
          <w:numId w:val="1113"/>
        </w:numPr>
      </w:pPr>
      <w:r>
        <w:t xml:space="preserve">Isolation des </w:t>
      </w:r>
      <w:r>
        <w:rPr>
          <w:b/>
        </w:rPr>
        <w:t>parois verticales : Surface nette</w:t>
      </w:r>
      <w:r>
        <w:t>. Les ouvertures supérieures à 0,50 m² sont déduites</w:t>
      </w:r>
    </w:p>
    <w:p w14:paraId="1F64F442" w14:textId="77777777" w:rsidR="00DF410E" w:rsidRDefault="00CE7F43">
      <w:pPr>
        <w:pStyle w:val="Author-eListParagraph"/>
        <w:numPr>
          <w:ilvl w:val="0"/>
          <w:numId w:val="1113"/>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7EFB3AC6" w14:textId="77777777" w:rsidR="00DF410E" w:rsidRDefault="00CE7F43">
      <w:pPr>
        <w:pStyle w:val="pheading"/>
      </w:pPr>
      <w:r>
        <w:t>- nature du marché:</w:t>
      </w:r>
    </w:p>
    <w:p w14:paraId="070AC3FB" w14:textId="77777777" w:rsidR="00DF410E" w:rsidRDefault="00CE7F43">
      <w:r>
        <w:t>QF</w:t>
      </w:r>
    </w:p>
    <w:p w14:paraId="430D2603" w14:textId="77777777" w:rsidR="00DF410E" w:rsidRDefault="00CE7F43">
      <w:pPr>
        <w:pStyle w:val="Author-eSectionHeading6"/>
      </w:pPr>
      <w:bookmarkStart w:id="1922" w:name="_Toc178838969"/>
      <w:r>
        <w:t>26.41.1e Isolation en panneaux - polyisocyanurate (PIR) CCTB 01.11</w:t>
      </w:r>
      <w:bookmarkEnd w:id="1922"/>
    </w:p>
    <w:p w14:paraId="6A7812E9" w14:textId="77777777" w:rsidR="00DF410E" w:rsidRDefault="00CE7F43">
      <w:pPr>
        <w:pStyle w:val="pheading"/>
      </w:pPr>
      <w:bookmarkStart w:id="1923" w:name="975"/>
      <w:bookmarkEnd w:id="1923"/>
      <w:r>
        <w:t>MESURAGE</w:t>
      </w:r>
    </w:p>
    <w:p w14:paraId="1B7A5BF9" w14:textId="77777777" w:rsidR="00DF410E" w:rsidRDefault="00CE7F43">
      <w:pPr>
        <w:pStyle w:val="pheading"/>
      </w:pPr>
      <w:r>
        <w:t>- unité de mesure:</w:t>
      </w:r>
    </w:p>
    <w:p w14:paraId="40272571" w14:textId="77777777" w:rsidR="00DF410E" w:rsidRDefault="00CE7F43">
      <w:r>
        <w:t>m²</w:t>
      </w:r>
    </w:p>
    <w:p w14:paraId="38D42C8E" w14:textId="77777777" w:rsidR="00DF410E" w:rsidRDefault="00CE7F43">
      <w:pPr>
        <w:pStyle w:val="pheading"/>
      </w:pPr>
      <w:r>
        <w:t>- code de mesurage:</w:t>
      </w:r>
    </w:p>
    <w:p w14:paraId="3EBE0885" w14:textId="77777777" w:rsidR="00DF410E" w:rsidRDefault="00CE7F43">
      <w:r>
        <w:t>Distinction faite suivant l'épaisseur.</w:t>
      </w:r>
      <w:r>
        <w:br/>
      </w:r>
    </w:p>
    <w:p w14:paraId="1B59B45B" w14:textId="77777777" w:rsidR="00DF410E" w:rsidRDefault="00CE7F43">
      <w:pPr>
        <w:pStyle w:val="Author-eListParagraph"/>
        <w:numPr>
          <w:ilvl w:val="0"/>
          <w:numId w:val="1114"/>
        </w:numPr>
      </w:pPr>
      <w:r>
        <w:t xml:space="preserve">Isolation des </w:t>
      </w:r>
      <w:r>
        <w:rPr>
          <w:b/>
        </w:rPr>
        <w:t>parois verticales : Surface nette</w:t>
      </w:r>
      <w:r>
        <w:t>. Les ouvertures supérieures à 0,50 m² sont déduites</w:t>
      </w:r>
    </w:p>
    <w:p w14:paraId="5B68B8F6" w14:textId="77777777" w:rsidR="00DF410E" w:rsidRDefault="00CE7F43">
      <w:pPr>
        <w:pStyle w:val="Author-eListParagraph"/>
        <w:numPr>
          <w:ilvl w:val="0"/>
          <w:numId w:val="1114"/>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5B8C8E28" w14:textId="77777777" w:rsidR="00DF410E" w:rsidRDefault="00CE7F43">
      <w:pPr>
        <w:pStyle w:val="pheading"/>
      </w:pPr>
      <w:r>
        <w:t>- nature du marché:</w:t>
      </w:r>
    </w:p>
    <w:p w14:paraId="3A3677BD" w14:textId="77777777" w:rsidR="00DF410E" w:rsidRDefault="00CE7F43">
      <w:r>
        <w:t>QF</w:t>
      </w:r>
    </w:p>
    <w:p w14:paraId="569C5404" w14:textId="77777777" w:rsidR="00DF410E" w:rsidRDefault="00CE7F43">
      <w:pPr>
        <w:pStyle w:val="Author-eSectionHeading6"/>
      </w:pPr>
      <w:bookmarkStart w:id="1924" w:name="_Toc178838970"/>
      <w:r>
        <w:t>26.41.1f Isolation en panneaux - mousse phénolique (PF) CCTB 01.11</w:t>
      </w:r>
      <w:bookmarkEnd w:id="1924"/>
    </w:p>
    <w:p w14:paraId="46500CCC" w14:textId="77777777" w:rsidR="00DF410E" w:rsidRDefault="00CE7F43">
      <w:pPr>
        <w:pStyle w:val="pheading"/>
      </w:pPr>
      <w:r>
        <w:t>MATÉRIAUX</w:t>
      </w:r>
    </w:p>
    <w:p w14:paraId="0807C4CE" w14:textId="77777777" w:rsidR="00DF410E" w:rsidRDefault="00CE7F43">
      <w:pPr>
        <w:pStyle w:val="pheading"/>
      </w:pPr>
      <w:r>
        <w:t>- Caractéristiques générales</w:t>
      </w:r>
    </w:p>
    <w:p w14:paraId="2D15CC62" w14:textId="77777777" w:rsidR="00DF410E" w:rsidRDefault="00CE7F43">
      <w:r>
        <w:t xml:space="preserve">Voir </w:t>
      </w:r>
      <w:hyperlink r:id="rId382" w:history="1" w:docLocation="648">
        <w:r>
          <w:t>32.41.1f Isolation en panneaux - mousse phénolique (PF)</w:t>
        </w:r>
      </w:hyperlink>
    </w:p>
    <w:p w14:paraId="384E9242" w14:textId="77777777" w:rsidR="00DF410E" w:rsidRDefault="00CE7F43">
      <w:pPr>
        <w:pStyle w:val="pheading"/>
      </w:pPr>
      <w:r>
        <w:t>MESURAGE</w:t>
      </w:r>
    </w:p>
    <w:p w14:paraId="394DD2D5" w14:textId="77777777" w:rsidR="00DF410E" w:rsidRDefault="00CE7F43">
      <w:pPr>
        <w:pStyle w:val="pheading"/>
      </w:pPr>
      <w:r>
        <w:t>- unité de mesure:</w:t>
      </w:r>
    </w:p>
    <w:p w14:paraId="799DFB95" w14:textId="77777777" w:rsidR="00DF410E" w:rsidRDefault="00CE7F43">
      <w:r>
        <w:t>m²</w:t>
      </w:r>
    </w:p>
    <w:p w14:paraId="3CC98AE6" w14:textId="77777777" w:rsidR="00DF410E" w:rsidRDefault="00CE7F43">
      <w:pPr>
        <w:pStyle w:val="pheading"/>
      </w:pPr>
      <w:r>
        <w:t>- code de mesurage:</w:t>
      </w:r>
    </w:p>
    <w:p w14:paraId="1AE2787E" w14:textId="77777777" w:rsidR="00DF410E" w:rsidRDefault="00CE7F43">
      <w:r>
        <w:t>Distinction faite suivant l'épaisseur.</w:t>
      </w:r>
      <w:r>
        <w:br/>
      </w:r>
    </w:p>
    <w:p w14:paraId="7D353291" w14:textId="77777777" w:rsidR="00DF410E" w:rsidRDefault="00CE7F43">
      <w:pPr>
        <w:pStyle w:val="Author-eListParagraph"/>
        <w:numPr>
          <w:ilvl w:val="0"/>
          <w:numId w:val="1115"/>
        </w:numPr>
      </w:pPr>
      <w:r>
        <w:t xml:space="preserve">Isolation des </w:t>
      </w:r>
      <w:r>
        <w:rPr>
          <w:b/>
        </w:rPr>
        <w:t>parois verticales : Surface nette</w:t>
      </w:r>
      <w:r>
        <w:t>. Les ouvertures supérieures à 0,50 m² sont déduites</w:t>
      </w:r>
    </w:p>
    <w:p w14:paraId="7CE1D8BC" w14:textId="77777777" w:rsidR="00DF410E" w:rsidRDefault="00CE7F43">
      <w:pPr>
        <w:pStyle w:val="Author-eListParagraph"/>
        <w:numPr>
          <w:ilvl w:val="0"/>
          <w:numId w:val="1115"/>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7F44B26F" w14:textId="77777777" w:rsidR="00DF410E" w:rsidRDefault="00CE7F43">
      <w:pPr>
        <w:pStyle w:val="pheading"/>
      </w:pPr>
      <w:r>
        <w:t>- nature du marché:</w:t>
      </w:r>
    </w:p>
    <w:p w14:paraId="097E3C32" w14:textId="77777777" w:rsidR="00DF410E" w:rsidRDefault="00CE7F43">
      <w:r>
        <w:t>QF</w:t>
      </w:r>
    </w:p>
    <w:p w14:paraId="4AD804FC" w14:textId="77777777" w:rsidR="00DF410E" w:rsidRDefault="00CE7F43">
      <w:pPr>
        <w:pStyle w:val="Author-eSectionHeading6"/>
      </w:pPr>
      <w:bookmarkStart w:id="1925" w:name="_Toc178838971"/>
      <w:r>
        <w:t>26.41.1g Isolation en panneaux - sous vide CCTB 01.02</w:t>
      </w:r>
      <w:bookmarkEnd w:id="1925"/>
    </w:p>
    <w:p w14:paraId="5C440193" w14:textId="77777777" w:rsidR="00DF410E" w:rsidRDefault="00CE7F43">
      <w:pPr>
        <w:pStyle w:val="Author-eSectionHeading5"/>
      </w:pPr>
      <w:bookmarkStart w:id="1926" w:name="_Toc178838972"/>
      <w:r>
        <w:t>26.41.2 Isolation en panneaux - matières minérales CCTB 01.02</w:t>
      </w:r>
      <w:bookmarkEnd w:id="1926"/>
    </w:p>
    <w:p w14:paraId="37FD4FED" w14:textId="77777777" w:rsidR="00DF410E" w:rsidRDefault="00CE7F43">
      <w:pPr>
        <w:pStyle w:val="Author-eSectionHeading6"/>
      </w:pPr>
      <w:bookmarkStart w:id="1927" w:name="_Toc178838973"/>
      <w:r>
        <w:t>26.41.2a Isolation en panneaux - laine minérale (MW) CCTB 01.12</w:t>
      </w:r>
      <w:bookmarkEnd w:id="1927"/>
    </w:p>
    <w:p w14:paraId="0BF003AE" w14:textId="77777777" w:rsidR="00DF410E" w:rsidRDefault="00CE7F43">
      <w:pPr>
        <w:pStyle w:val="pheading"/>
      </w:pPr>
      <w:r>
        <w:t>DESCRIPTION</w:t>
      </w:r>
    </w:p>
    <w:p w14:paraId="11C9CFC1" w14:textId="77777777" w:rsidR="00DF410E" w:rsidRDefault="00CE7F43">
      <w:pPr>
        <w:pStyle w:val="pheading"/>
      </w:pPr>
      <w:r>
        <w:t>- Définition / Comprend</w:t>
      </w:r>
    </w:p>
    <w:p w14:paraId="0633D2AB" w14:textId="77777777" w:rsidR="00DF410E" w:rsidRDefault="00CE7F43">
      <w:pPr>
        <w:jc w:val="both"/>
      </w:pPr>
      <w:r>
        <w:t>Il s’agit de la fourniture et de la pose d’une isolation thermique au moyen de panneaux de laine minérale pour une application horizontale ou verticale entre éléments de gros œuvre ou sous dalle de sol.</w:t>
      </w:r>
    </w:p>
    <w:p w14:paraId="0D259C67" w14:textId="77777777" w:rsidR="00DF410E" w:rsidRDefault="00CE7F43">
      <w:pPr>
        <w:pStyle w:val="pheading"/>
      </w:pPr>
      <w:r>
        <w:t>- Localisation</w:t>
      </w:r>
    </w:p>
    <w:p w14:paraId="76EDCA52" w14:textId="77777777" w:rsidR="00DF410E" w:rsidRDefault="00CE7F43">
      <w:r>
        <w:t xml:space="preserve">Localisation des travaux : </w:t>
      </w:r>
      <w:r>
        <w:rPr>
          <w:rStyle w:val="optioncarChar"/>
        </w:rPr>
        <w:t>***</w:t>
      </w:r>
      <w:r>
        <w:t>.</w:t>
      </w:r>
    </w:p>
    <w:p w14:paraId="1B77A0C1" w14:textId="77777777" w:rsidR="00DF410E" w:rsidRDefault="00CE7F43">
      <w:r>
        <w:t>Voir plans et métrés détaillés.</w:t>
      </w:r>
    </w:p>
    <w:p w14:paraId="575ED46B" w14:textId="77777777" w:rsidR="00DF410E" w:rsidRDefault="00CE7F43">
      <w:pPr>
        <w:pStyle w:val="pheading"/>
      </w:pPr>
      <w:r>
        <w:t>MATÉRIAUX</w:t>
      </w:r>
    </w:p>
    <w:p w14:paraId="6C07F193" w14:textId="77777777" w:rsidR="00DF410E" w:rsidRDefault="00CE7F43">
      <w:pPr>
        <w:pStyle w:val="pheading"/>
      </w:pPr>
      <w:r>
        <w:t>- Caractéristiques générales</w:t>
      </w:r>
    </w:p>
    <w:p w14:paraId="07CB730A" w14:textId="77777777" w:rsidR="00DF410E" w:rsidRDefault="00CE7F43">
      <w:pPr>
        <w:jc w:val="both"/>
      </w:pPr>
      <w:r>
        <w:t xml:space="preserve">Voir </w:t>
      </w:r>
      <w:hyperlink r:id="rId383" w:history="1" w:docLocation="255">
        <w:r>
          <w:t>32.41.2a Isolation en panneaux - laine minérale (MW)</w:t>
        </w:r>
      </w:hyperlink>
    </w:p>
    <w:p w14:paraId="230909FF" w14:textId="77777777" w:rsidR="00DF410E" w:rsidRDefault="00CE7F43">
      <w:pPr>
        <w:jc w:val="both"/>
      </w:pPr>
      <w:r>
        <w:t xml:space="preserve"> Dimension des panneaux : </w:t>
      </w:r>
      <w:r>
        <w:rPr>
          <w:rStyle w:val="optioncarChar"/>
        </w:rPr>
        <w:t>600 x 1200</w:t>
      </w:r>
      <w:r>
        <w:t xml:space="preserve"> (par défaut) </w:t>
      </w:r>
      <w:r>
        <w:rPr>
          <w:rStyle w:val="optioncarChar"/>
        </w:rPr>
        <w:t>/ 1200 x 1000 / 600 x 2000 / ***</w:t>
      </w:r>
      <w:r>
        <w:t> mm</w:t>
      </w:r>
    </w:p>
    <w:p w14:paraId="2CD13A6E" w14:textId="77777777" w:rsidR="00DF410E" w:rsidRDefault="00CE7F43">
      <w:pPr>
        <w:jc w:val="both"/>
      </w:pPr>
      <w:r>
        <w:t xml:space="preserve">Epaisseur totale de l’isolation: </w:t>
      </w:r>
      <w:r>
        <w:rPr>
          <w:rStyle w:val="optioncarChar"/>
        </w:rPr>
        <w:t>*** </w:t>
      </w:r>
      <w:r>
        <w:t>mm</w:t>
      </w:r>
    </w:p>
    <w:p w14:paraId="71BB49AD" w14:textId="77777777" w:rsidR="00DF410E" w:rsidRDefault="00CE7F43">
      <w:pPr>
        <w:jc w:val="both"/>
      </w:pPr>
      <w:r>
        <w:t xml:space="preserve">Les panneaux sont disposés en </w:t>
      </w:r>
      <w:r>
        <w:rPr>
          <w:rStyle w:val="optioncarChar"/>
        </w:rPr>
        <w:t>1</w:t>
      </w:r>
      <w:r>
        <w:t xml:space="preserve"> (par défaut) </w:t>
      </w:r>
      <w:r>
        <w:rPr>
          <w:rStyle w:val="optioncarChar"/>
        </w:rPr>
        <w:t>/ ***</w:t>
      </w:r>
      <w:r>
        <w:t> couches</w:t>
      </w:r>
    </w:p>
    <w:p w14:paraId="39066922" w14:textId="77777777" w:rsidR="00DF410E" w:rsidRDefault="00CE7F43">
      <w:pPr>
        <w:jc w:val="both"/>
      </w:pPr>
      <w:r>
        <w:t>Conductivité thermique (selon [NBN EN 12667] ou selon [NBN EN 12939] pour les produits épais) : valeur λ= max. </w:t>
      </w:r>
      <w:r>
        <w:rPr>
          <w:rStyle w:val="optioncarChar"/>
        </w:rPr>
        <w:t xml:space="preserve"> 0.04</w:t>
      </w:r>
      <w:r>
        <w:t xml:space="preserve"> (par défaut) </w:t>
      </w:r>
      <w:r>
        <w:rPr>
          <w:rStyle w:val="optioncarChar"/>
        </w:rPr>
        <w:t>/ ***</w:t>
      </w:r>
      <w:r>
        <w:t> W/mK</w:t>
      </w:r>
    </w:p>
    <w:p w14:paraId="45FC1DC9" w14:textId="77777777" w:rsidR="00DF410E" w:rsidRDefault="00CE7F43">
      <w:pPr>
        <w:jc w:val="both"/>
      </w:pPr>
      <w:r>
        <w:t xml:space="preserve">Masse volumique nominale (selon [NBN EN ISO 29470:2020]) : min.  </w:t>
      </w:r>
      <w:r>
        <w:rPr>
          <w:rStyle w:val="optioncarChar"/>
        </w:rPr>
        <w:t>100</w:t>
      </w:r>
      <w:r>
        <w:t xml:space="preserve"> (par défaut) / </w:t>
      </w:r>
      <w:r>
        <w:rPr>
          <w:rStyle w:val="optioncarChar"/>
        </w:rPr>
        <w:t>***</w:t>
      </w:r>
      <w:r>
        <w:t> kg/m³</w:t>
      </w:r>
    </w:p>
    <w:p w14:paraId="740F7917" w14:textId="77777777" w:rsidR="00DF410E" w:rsidRDefault="00CE7F43">
      <w:pPr>
        <w:jc w:val="both"/>
      </w:pPr>
      <w:r>
        <w:t xml:space="preserve">Le produit d’isolation en panneaux de laine de roche ainsi que sa mise en oeuvre  respectent les prescriptions prévues par la déclaration d’aptitude à l’utilisation tels que définis dans le chapitre </w:t>
      </w:r>
      <w:hyperlink r:id="rId384" w:history="1" w:docLocation="68">
        <w:r>
          <w:t>02.42.1 Critères d'acceptabilité</w:t>
        </w:r>
      </w:hyperlink>
      <w:r>
        <w:t>.</w:t>
      </w:r>
    </w:p>
    <w:p w14:paraId="10A555BA" w14:textId="77777777" w:rsidR="00DF410E" w:rsidRDefault="00CE7F43">
      <w:pPr>
        <w:pStyle w:val="pheading"/>
      </w:pPr>
      <w:r>
        <w:t>- Finitions</w:t>
      </w:r>
    </w:p>
    <w:p w14:paraId="31D6897A" w14:textId="77777777" w:rsidR="00DF410E" w:rsidRDefault="00CE7F43">
      <w:pPr>
        <w:jc w:val="both"/>
      </w:pPr>
      <w:r>
        <w:t>Le surfaçage des panneaux est de type : </w:t>
      </w:r>
      <w:r>
        <w:rPr>
          <w:rStyle w:val="optioncarChar"/>
        </w:rPr>
        <w:t>nu</w:t>
      </w:r>
      <w:r>
        <w:t xml:space="preserve"> (par défaut) </w:t>
      </w:r>
      <w:r>
        <w:rPr>
          <w:rStyle w:val="optioncarChar"/>
        </w:rPr>
        <w:t>/ bitumineux / fibres de verre / armature synthétique / feuille d’aluminium / ***</w:t>
      </w:r>
      <w:r>
        <w:t xml:space="preserve"> et est présent sur </w:t>
      </w:r>
      <w:r>
        <w:rPr>
          <w:rStyle w:val="optioncarChar"/>
        </w:rPr>
        <w:t>aucun côté</w:t>
      </w:r>
      <w:r>
        <w:t xml:space="preserve"> (par défaut) </w:t>
      </w:r>
      <w:r>
        <w:rPr>
          <w:rStyle w:val="optioncarChar"/>
        </w:rPr>
        <w:t xml:space="preserve">/ un côté / les deux côtés </w:t>
      </w:r>
      <w:r>
        <w:t>du panneau.</w:t>
      </w:r>
    </w:p>
    <w:p w14:paraId="0E64DD0C" w14:textId="77777777" w:rsidR="00DF410E" w:rsidRDefault="00CE7F43">
      <w:pPr>
        <w:pStyle w:val="pheading"/>
      </w:pPr>
      <w:r>
        <w:t>- Prescriptions complémentaires</w:t>
      </w:r>
    </w:p>
    <w:p w14:paraId="4E80D306" w14:textId="77777777" w:rsidR="00DF410E" w:rsidRDefault="00CE7F43">
      <w:pPr>
        <w:jc w:val="both"/>
      </w:pPr>
      <w:r>
        <w:rPr>
          <w:rStyle w:val="facultChar"/>
        </w:rPr>
        <w:t>Les panneaux sont disposés en</w:t>
      </w:r>
      <w:r>
        <w:t xml:space="preserve">  </w:t>
      </w:r>
      <w:r>
        <w:rPr>
          <w:rStyle w:val="optioncarChar"/>
        </w:rPr>
        <w:t>1</w:t>
      </w:r>
      <w:r>
        <w:t xml:space="preserve"> (par défaut) </w:t>
      </w:r>
      <w:r>
        <w:rPr>
          <w:rStyle w:val="optioncarChar"/>
        </w:rPr>
        <w:t>/ ***</w:t>
      </w:r>
      <w:r>
        <w:t> </w:t>
      </w:r>
      <w:r>
        <w:rPr>
          <w:rStyle w:val="facultChar"/>
        </w:rPr>
        <w:t>couches.</w:t>
      </w:r>
    </w:p>
    <w:p w14:paraId="3F2C79D3" w14:textId="77777777" w:rsidR="00DF410E" w:rsidRDefault="00CE7F43">
      <w:pPr>
        <w:jc w:val="both"/>
      </w:pPr>
      <w:r>
        <w:rPr>
          <w:rStyle w:val="facultChar"/>
        </w:rPr>
        <w:t>L’équerrage de la longueur et de la largeur selon [NBN EN 824] est de max 5 mm/m.</w:t>
      </w:r>
    </w:p>
    <w:p w14:paraId="284A7C07" w14:textId="77777777" w:rsidR="00DF410E" w:rsidRDefault="00CE7F43">
      <w:pPr>
        <w:jc w:val="both"/>
      </w:pPr>
      <w:r>
        <w:rPr>
          <w:rStyle w:val="facultChar"/>
        </w:rPr>
        <w:t>L’écart de planéité des panneaux et plaques selon [NBN EN 825] est de max 6 mm.</w:t>
      </w:r>
    </w:p>
    <w:p w14:paraId="4C84F35B" w14:textId="77777777" w:rsidR="00DF410E" w:rsidRDefault="00CE7F43">
      <w:pPr>
        <w:jc w:val="both"/>
      </w:pPr>
      <w:r>
        <w:rPr>
          <w:rStyle w:val="facultChar"/>
        </w:rPr>
        <w:t>Réaction au feu selon [NBN EN 13501-1] </w:t>
      </w:r>
      <w:r>
        <w:t xml:space="preserve">: </w:t>
      </w:r>
      <w:r>
        <w:rPr>
          <w:rStyle w:val="optioncarChar"/>
        </w:rPr>
        <w:t>A1 </w:t>
      </w:r>
      <w:r>
        <w:t xml:space="preserve">(par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et</w:t>
      </w:r>
      <w:r>
        <w:rPr>
          <w:rStyle w:val="optioncarChar"/>
        </w:rPr>
        <w:t xml:space="preserve"> d0 </w:t>
      </w:r>
      <w:r>
        <w:t>(par défaut)</w:t>
      </w:r>
      <w:r>
        <w:rPr>
          <w:rStyle w:val="optioncarChar"/>
        </w:rPr>
        <w:t xml:space="preserve"> / d1 / d2.</w:t>
      </w:r>
      <w:r>
        <w:t>  </w:t>
      </w:r>
    </w:p>
    <w:p w14:paraId="2378C998" w14:textId="77777777" w:rsidR="00DF410E" w:rsidRDefault="00CE7F43">
      <w:pPr>
        <w:jc w:val="both"/>
      </w:pPr>
      <w:r>
        <w:rPr>
          <w:rStyle w:val="facultChar"/>
        </w:rPr>
        <w:t>La stabilité dimensionnelle suivant [NBN EN 1604] : Longueur-Largeur-Epaisseur :</w:t>
      </w:r>
      <w:r>
        <w:rPr>
          <w:rStyle w:val="optioncarChar"/>
        </w:rPr>
        <w:t>≤ 1</w:t>
      </w:r>
      <w:r>
        <w:t xml:space="preserve"> (par défaut) </w:t>
      </w:r>
      <w:r>
        <w:rPr>
          <w:rStyle w:val="optioncarChar"/>
        </w:rPr>
        <w:t>/ ***</w:t>
      </w:r>
      <w:r>
        <w:t>  </w:t>
      </w:r>
      <w:r>
        <w:rPr>
          <w:rStyle w:val="facultChar"/>
        </w:rPr>
        <w:t>%.</w:t>
      </w:r>
    </w:p>
    <w:p w14:paraId="6BDA9665" w14:textId="77777777" w:rsidR="00DF410E" w:rsidRDefault="00CE7F43">
      <w:pPr>
        <w:jc w:val="both"/>
      </w:pPr>
      <w:r>
        <w:rPr>
          <w:rStyle w:val="facultChar"/>
        </w:rPr>
        <w:t>Compressibilité du matériau (selon [NBN EN 13162+A1]) : niveau</w:t>
      </w:r>
      <w:r>
        <w:t>   </w:t>
      </w:r>
      <w:r>
        <w:rPr>
          <w:rStyle w:val="optioncarChar"/>
        </w:rPr>
        <w:t>CP1 / CP2 / CP3 / CP4 / CP5</w:t>
      </w:r>
      <w:r>
        <w:t xml:space="preserve"> (par défaut) </w:t>
      </w:r>
      <w:r>
        <w:rPr>
          <w:rStyle w:val="optioncarChar"/>
        </w:rPr>
        <w:t>/ ***.</w:t>
      </w:r>
    </w:p>
    <w:p w14:paraId="3BC89A27" w14:textId="77777777" w:rsidR="00DF410E" w:rsidRDefault="00CE7F43">
      <w:pPr>
        <w:jc w:val="both"/>
      </w:pPr>
      <w:r>
        <w:rPr>
          <w:rStyle w:val="facultChar"/>
        </w:rPr>
        <w:t>Résistance à la contrainte en compression à 10 % de déformation (selon [NBN EN 826]) : niveau CS(10/Y)</w:t>
      </w:r>
      <w:r>
        <w:t xml:space="preserve">  </w:t>
      </w:r>
      <w:r>
        <w:rPr>
          <w:rStyle w:val="optioncarChar"/>
        </w:rPr>
        <w:t>0,5 / 5 / 10 / 15 / 20 / 25 / 30 / 40 / 50 / 60 / 70 / 80 / 90 / 100</w:t>
      </w:r>
      <w:r>
        <w:t xml:space="preserve"> (par défaut) </w:t>
      </w:r>
      <w:r>
        <w:rPr>
          <w:rStyle w:val="optioncarChar"/>
        </w:rPr>
        <w:t>/ 110 / 120 / 130 / 140 / 150 / 175 / 200 / 225 / 250 / 300 / 350 / 400 / 450 / 500  kPa</w:t>
      </w:r>
      <w:r>
        <w:t>.</w:t>
      </w:r>
    </w:p>
    <w:p w14:paraId="19CE8E95" w14:textId="77777777" w:rsidR="00DF410E" w:rsidRDefault="00CE7F43">
      <w:pPr>
        <w:jc w:val="both"/>
      </w:pPr>
      <w:r>
        <w:rPr>
          <w:rStyle w:val="facultChar"/>
        </w:rPr>
        <w:t>Résistance à la traction perpendiculaire (selon [NBN EN 1607]) : niveau</w:t>
      </w:r>
      <w:r>
        <w:rPr>
          <w:rStyle w:val="optioncarChar"/>
        </w:rPr>
        <w:t>TR 1 / 2,5 / 5 / 7,5 / 10</w:t>
      </w:r>
      <w:r>
        <w:t xml:space="preserve"> (par défaut) </w:t>
      </w:r>
      <w:r>
        <w:rPr>
          <w:rStyle w:val="optioncarChar"/>
        </w:rPr>
        <w:t>/  15 / 20 / 25 / 30 / 40 / 50 / 60 / 70 / 80 / 90 / 100 / 125 / 150 / 175 / 200 / 250 / 300 / 400 / 500 / 600 / 700.</w:t>
      </w:r>
    </w:p>
    <w:p w14:paraId="24409763" w14:textId="77777777" w:rsidR="00DF410E" w:rsidRDefault="00CE7F43">
      <w:pPr>
        <w:jc w:val="both"/>
      </w:pPr>
      <w:r>
        <w:rPr>
          <w:rStyle w:val="facultChar"/>
        </w:rPr>
        <w:t>Résistance à la compression ponctuelle (selon [NBN EN 12430]) : &gt;</w:t>
      </w:r>
      <w:r>
        <w:t> </w:t>
      </w:r>
      <w:r>
        <w:rPr>
          <w:rStyle w:val="optioncarChar"/>
        </w:rPr>
        <w:t>***</w:t>
      </w:r>
      <w:r>
        <w:t> </w:t>
      </w:r>
      <w:r>
        <w:rPr>
          <w:rStyle w:val="facultChar"/>
        </w:rPr>
        <w:t>N (1000 pour une isolation sous chape).</w:t>
      </w:r>
    </w:p>
    <w:p w14:paraId="5CFC7FB7" w14:textId="77777777" w:rsidR="00DF410E" w:rsidRDefault="00CE7F43">
      <w:pPr>
        <w:jc w:val="both"/>
      </w:pPr>
      <w:r>
        <w:rPr>
          <w:rStyle w:val="facultChar"/>
        </w:rPr>
        <w:t>Résistance au fluage en compression (selon [NBN EN ISO 16534:2020]) sous forme  CC (réduction de l’épaisseur en %/déformation relative après vieillissement/ nombre d’années – contrainte en compression : / </w:t>
      </w:r>
      <w:r>
        <w:rPr>
          <w:rStyle w:val="optioncarChar"/>
        </w:rPr>
        <w:t>C(5%/12%/30) 10 N/mm²</w:t>
      </w:r>
      <w:r>
        <w:t xml:space="preserve"> (par défaut) </w:t>
      </w:r>
      <w:r>
        <w:rPr>
          <w:rStyle w:val="optioncarChar"/>
        </w:rPr>
        <w:t>/ ***.</w:t>
      </w:r>
      <w:r>
        <w:t>  </w:t>
      </w:r>
      <w:r>
        <w:rPr>
          <w:rStyle w:val="facultChar"/>
        </w:rPr>
        <w:t>Absorption d’eau à court terme (selon [NBN EN ISO 29767]): &lt;</w:t>
      </w:r>
      <w:r>
        <w:rPr>
          <w:rStyle w:val="optioncarChar"/>
        </w:rPr>
        <w:t>1 kg/m²</w:t>
      </w:r>
      <w:r>
        <w:t xml:space="preserve"> (par défaut) </w:t>
      </w:r>
      <w:r>
        <w:rPr>
          <w:rStyle w:val="optioncarChar"/>
        </w:rPr>
        <w:t>/*** .</w:t>
      </w:r>
    </w:p>
    <w:p w14:paraId="5DBC65A6" w14:textId="77777777" w:rsidR="00DF410E" w:rsidRDefault="00CE7F43">
      <w:pPr>
        <w:jc w:val="both"/>
      </w:pPr>
      <w:r>
        <w:rPr>
          <w:rStyle w:val="facultChar"/>
        </w:rPr>
        <w:t>Absorption d’eau à court terme (selon [NBN EN ISO 29767]): &lt;</w:t>
      </w:r>
      <w:r>
        <w:rPr>
          <w:rStyle w:val="optioncarChar"/>
        </w:rPr>
        <w:t>1 kg/m²</w:t>
      </w:r>
      <w:r>
        <w:t xml:space="preserve"> (par défaut) </w:t>
      </w:r>
      <w:r>
        <w:rPr>
          <w:rStyle w:val="optioncarChar"/>
        </w:rPr>
        <w:t>/ *** .</w:t>
      </w:r>
    </w:p>
    <w:p w14:paraId="1F9466CD" w14:textId="77777777" w:rsidR="00DF410E" w:rsidRDefault="00CE7F43">
      <w:pPr>
        <w:jc w:val="both"/>
      </w:pPr>
      <w:r>
        <w:rPr>
          <w:rStyle w:val="facultChar"/>
        </w:rPr>
        <w:t>Absorption d’eau à long terme (selon [NBN EN ISO 16535:2019]): &lt;</w:t>
      </w:r>
      <w:r>
        <w:rPr>
          <w:rStyle w:val="optioncarChar"/>
        </w:rPr>
        <w:t>3 kg/m²</w:t>
      </w:r>
      <w:r>
        <w:t xml:space="preserve"> (par défaut) </w:t>
      </w:r>
      <w:r>
        <w:rPr>
          <w:rStyle w:val="optioncarChar"/>
        </w:rPr>
        <w:t>/*** .</w:t>
      </w:r>
    </w:p>
    <w:p w14:paraId="1B38839E" w14:textId="77777777" w:rsidR="00DF410E" w:rsidRDefault="00CE7F43">
      <w:pPr>
        <w:jc w:val="both"/>
      </w:pPr>
      <w:r>
        <w:rPr>
          <w:rStyle w:val="facultChar"/>
        </w:rPr>
        <w:t>Coefficient de résistance à la diffusion de vapeur d’eau – valeur μ (selon [NBN EN 12086]):</w:t>
      </w:r>
      <w:r>
        <w:t> </w:t>
      </w:r>
      <w:r>
        <w:rPr>
          <w:rStyle w:val="optioncarChar"/>
        </w:rPr>
        <w:t>***</w:t>
      </w:r>
    </w:p>
    <w:p w14:paraId="621E0044" w14:textId="77777777" w:rsidR="00DF410E" w:rsidRDefault="00CE7F43">
      <w:pPr>
        <w:jc w:val="both"/>
      </w:pPr>
      <w:r>
        <w:rPr>
          <w:rStyle w:val="facultChar"/>
        </w:rPr>
        <w:t>Absorption acoustique (déterminée selon [NBN EN ISO 354] et [NBN EN ISO 11654]) :</w:t>
      </w:r>
      <w:r>
        <w:t> </w:t>
      </w:r>
      <w:r>
        <w:rPr>
          <w:rStyle w:val="optioncarChar"/>
        </w:rPr>
        <w:t>***</w:t>
      </w:r>
      <w:r>
        <w:t>  </w:t>
      </w:r>
    </w:p>
    <w:p w14:paraId="33FD0F90" w14:textId="77777777" w:rsidR="00DF410E" w:rsidRDefault="00CE7F43">
      <w:pPr>
        <w:jc w:val="both"/>
      </w:pPr>
      <w:r>
        <w:rPr>
          <w:rStyle w:val="facultChar"/>
        </w:rPr>
        <w:t>Les liants des panneaux et d’adhésion du revêtement de surface ne contiennent pas de formaldéhyde. Le dégagement mesuré selon la [NBN EN 717-1] est inférieur à</w:t>
      </w:r>
      <w:r>
        <w:t xml:space="preserve">   </w:t>
      </w:r>
      <w:r>
        <w:rPr>
          <w:rStyle w:val="optioncarChar"/>
        </w:rPr>
        <w:t>0,124 mg/m³</w:t>
      </w:r>
      <w:r>
        <w:t xml:space="preserve">  (par défaut) </w:t>
      </w:r>
      <w:r>
        <w:rPr>
          <w:rStyle w:val="optioncarChar"/>
        </w:rPr>
        <w:t>/ ***</w:t>
      </w:r>
      <w:r>
        <w:t> .</w:t>
      </w:r>
    </w:p>
    <w:p w14:paraId="0E4ADF82" w14:textId="77777777" w:rsidR="00DF410E" w:rsidRDefault="00CE7F43">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w:t>
      </w:r>
      <w:r>
        <w:t>  </w:t>
      </w:r>
    </w:p>
    <w:p w14:paraId="696D29AF" w14:textId="77777777" w:rsidR="00DF410E" w:rsidRDefault="00CE7F43">
      <w:pPr>
        <w:jc w:val="both"/>
      </w:pPr>
      <w:r>
        <w:rPr>
          <w:rStyle w:val="facultChar"/>
        </w:rPr>
        <w:t>Les liants des panneaux sont issus de</w:t>
      </w:r>
      <w:r>
        <w:t xml:space="preserve">  </w:t>
      </w:r>
      <w:r>
        <w:rPr>
          <w:rStyle w:val="optioncarChar"/>
        </w:rPr>
        <w:t>matières premières végétales</w:t>
      </w:r>
      <w:r>
        <w:t xml:space="preserve"> (par défaut) </w:t>
      </w:r>
      <w:r>
        <w:rPr>
          <w:rStyle w:val="optioncarChar"/>
        </w:rPr>
        <w:t>/ dérivés pétrochimiques / ***</w:t>
      </w:r>
      <w:r>
        <w:t>.</w:t>
      </w:r>
    </w:p>
    <w:p w14:paraId="1BE505E7" w14:textId="77777777" w:rsidR="00DF410E" w:rsidRDefault="00CE7F43">
      <w:pPr>
        <w:jc w:val="both"/>
      </w:pPr>
      <w:r>
        <w:rPr>
          <w:rStyle w:val="facultChar"/>
        </w:rPr>
        <w:t>La laine minérale produite contient au moins</w:t>
      </w:r>
      <w:r>
        <w:t xml:space="preserve">  </w:t>
      </w:r>
      <w:r>
        <w:rPr>
          <w:rStyle w:val="optioncarChar"/>
        </w:rPr>
        <w:t>***</w:t>
      </w:r>
      <w:r>
        <w:t>  </w:t>
      </w:r>
      <w:r>
        <w:rPr>
          <w:rStyle w:val="facultChar"/>
        </w:rPr>
        <w:t>% de matière recyclée.</w:t>
      </w:r>
    </w:p>
    <w:p w14:paraId="3C2034E7" w14:textId="77777777" w:rsidR="00DF410E" w:rsidRDefault="00CE7F43">
      <w:pPr>
        <w:pStyle w:val="pheading"/>
      </w:pPr>
      <w:r>
        <w:t>EXÉCUTION / MISE EN ŒUVRE</w:t>
      </w:r>
    </w:p>
    <w:p w14:paraId="3A9A4E6C" w14:textId="77777777" w:rsidR="00DF410E" w:rsidRDefault="00CE7F43">
      <w:pPr>
        <w:pStyle w:val="pheading"/>
      </w:pPr>
      <w:r>
        <w:t>- Prescriptions générales</w:t>
      </w:r>
    </w:p>
    <w:p w14:paraId="4CBF4A2B" w14:textId="77777777" w:rsidR="00DF410E" w:rsidRDefault="00CE7F43">
      <w:pPr>
        <w:jc w:val="both"/>
      </w:pPr>
      <w:r>
        <w:t>Les panneaux sont contigus. Les espaces éventuels entre panneaux ou de liaison avec les parois sont comblés avec un isolant de même type.</w:t>
      </w:r>
    </w:p>
    <w:p w14:paraId="618D31A8" w14:textId="77777777" w:rsidR="00DF410E" w:rsidRDefault="00CE7F43">
      <w:pPr>
        <w:jc w:val="both"/>
      </w:pPr>
      <w:r>
        <w:rPr>
          <w:b/>
        </w:rPr>
        <w:t>Pour une application sous chape</w:t>
      </w:r>
    </w:p>
    <w:p w14:paraId="00B6D24D" w14:textId="77777777" w:rsidR="00DF410E" w:rsidRDefault="00CE7F43">
      <w:pPr>
        <w:jc w:val="both"/>
      </w:pPr>
      <w:r>
        <w:t>Les spécifications de mises en œuvre sont reprises dans la [NIT 193].</w:t>
      </w:r>
    </w:p>
    <w:p w14:paraId="00AE8667" w14:textId="77777777" w:rsidR="00DF410E" w:rsidRDefault="00CE7F43">
      <w:pPr>
        <w:jc w:val="both"/>
      </w:pPr>
      <w:r>
        <w:rPr>
          <w:b/>
        </w:rPr>
        <w:t>Pour une application en cavité  - murs de séparation - murs mitoyens</w:t>
      </w:r>
    </w:p>
    <w:p w14:paraId="4266DA43" w14:textId="77777777" w:rsidR="00DF410E" w:rsidRDefault="00CE7F43">
      <w:pPr>
        <w:jc w:val="both"/>
      </w:pPr>
      <w:r>
        <w:t xml:space="preserve">Les panneaux sont fixés par </w:t>
      </w:r>
      <w:r>
        <w:rPr>
          <w:rStyle w:val="optioncarChar"/>
        </w:rPr>
        <w:t>serrage entre éléments</w:t>
      </w:r>
      <w:r>
        <w:t xml:space="preserve"> (par défaut)</w:t>
      </w:r>
      <w:r>
        <w:rPr>
          <w:rStyle w:val="optioncarChar"/>
        </w:rPr>
        <w:t xml:space="preserve"> / collage / fixation mécanique / ***</w:t>
      </w:r>
    </w:p>
    <w:p w14:paraId="7ED00E31" w14:textId="77777777" w:rsidR="00DF410E" w:rsidRDefault="00CE7F43">
      <w:pPr>
        <w:ind w:left="567"/>
        <w:jc w:val="both"/>
      </w:pPr>
      <w:r>
        <w:rPr>
          <w:b/>
          <w:i/>
        </w:rPr>
        <w:t>(Soit par défaut) </w:t>
      </w:r>
    </w:p>
    <w:p w14:paraId="0EBD7B32" w14:textId="77777777" w:rsidR="00DF410E" w:rsidRDefault="00CE7F43">
      <w:pPr>
        <w:ind w:left="567"/>
        <w:jc w:val="both"/>
      </w:pPr>
      <w:r>
        <w:rPr>
          <w:rStyle w:val="soitChar"/>
          <w:b/>
          <w:u w:val="single"/>
        </w:rPr>
        <w:t>Par serrage entre éléments </w:t>
      </w:r>
    </w:p>
    <w:p w14:paraId="162BD75A" w14:textId="77777777" w:rsidR="00DF410E" w:rsidRDefault="00CE7F43">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2AF1554A" w14:textId="77777777" w:rsidR="00DF410E" w:rsidRDefault="00CE7F43">
      <w:pPr>
        <w:ind w:left="567"/>
        <w:jc w:val="both"/>
      </w:pPr>
      <w:r>
        <w:rPr>
          <w:b/>
          <w:i/>
        </w:rPr>
        <w:t>(Soit) </w:t>
      </w:r>
    </w:p>
    <w:p w14:paraId="0761B733" w14:textId="77777777" w:rsidR="00DF410E" w:rsidRDefault="00CE7F43">
      <w:pPr>
        <w:ind w:left="567"/>
        <w:jc w:val="both"/>
      </w:pPr>
      <w:r>
        <w:rPr>
          <w:rStyle w:val="soitChar"/>
          <w:b/>
          <w:u w:val="single"/>
        </w:rPr>
        <w:t>Par collage</w:t>
      </w:r>
    </w:p>
    <w:p w14:paraId="4ABDE5A9" w14:textId="77777777" w:rsidR="00DF410E" w:rsidRDefault="00CE7F43">
      <w:pPr>
        <w:ind w:left="567"/>
        <w:jc w:val="both"/>
      </w:pPr>
      <w:r>
        <w:rPr>
          <w:rStyle w:val="soitChar"/>
        </w:rPr>
        <w:t xml:space="preserve"> Les panneaux sont fixés à l’aide de colle</w:t>
      </w:r>
      <w:r>
        <w:t>  </w:t>
      </w:r>
      <w:r>
        <w:rPr>
          <w:rStyle w:val="optioncarChar"/>
        </w:rPr>
        <w:t>PU</w:t>
      </w:r>
      <w:r>
        <w:t xml:space="preserve"> (par défaut) </w:t>
      </w:r>
      <w:r>
        <w:rPr>
          <w:rStyle w:val="optioncarChar"/>
        </w:rPr>
        <w:t>/ ***</w:t>
      </w:r>
      <w:r>
        <w:t xml:space="preserve">. </w:t>
      </w:r>
      <w:r>
        <w:rPr>
          <w:rStyle w:val="soitChar"/>
        </w:rPr>
        <w:t>La colle est appliquée en collage</w:t>
      </w:r>
      <w:r>
        <w:t>  </w:t>
      </w:r>
      <w:r>
        <w:rPr>
          <w:rStyle w:val="optioncarChar"/>
        </w:rPr>
        <w:t>partiel à 50%</w:t>
      </w:r>
      <w:r>
        <w:t xml:space="preserve"> (par défaut) </w:t>
      </w:r>
      <w:r>
        <w:rPr>
          <w:rStyle w:val="optioncarChar"/>
        </w:rPr>
        <w:t>/ total / ***</w:t>
      </w:r>
      <w:r>
        <w:t xml:space="preserve">. </w:t>
      </w:r>
      <w:r>
        <w:rPr>
          <w:rStyle w:val="soitChar"/>
        </w:rPr>
        <w:t>La colle répond aux mêmes exigences que le panneau en termes de formaldéhyde et  de pentachlorophénol.</w:t>
      </w:r>
    </w:p>
    <w:p w14:paraId="72205ED5" w14:textId="77777777" w:rsidR="00DF410E" w:rsidRDefault="00CE7F43">
      <w:pPr>
        <w:ind w:left="567"/>
        <w:jc w:val="both"/>
      </w:pPr>
      <w:r>
        <w:rPr>
          <w:b/>
          <w:i/>
        </w:rPr>
        <w:t>(Soit)</w:t>
      </w:r>
    </w:p>
    <w:p w14:paraId="5EE2F46F" w14:textId="77777777" w:rsidR="00DF410E" w:rsidRDefault="00CE7F43">
      <w:pPr>
        <w:ind w:left="567"/>
        <w:jc w:val="both"/>
      </w:pPr>
      <w:r>
        <w:rPr>
          <w:rStyle w:val="soitChar"/>
          <w:b/>
          <w:u w:val="single"/>
        </w:rPr>
        <w:t>Par fixation mécanique</w:t>
      </w:r>
    </w:p>
    <w:p w14:paraId="43C82542" w14:textId="77777777" w:rsidR="00DF410E" w:rsidRDefault="00CE7F43">
      <w:pPr>
        <w:ind w:left="567"/>
        <w:jc w:val="both"/>
      </w:pPr>
      <w:r>
        <w:rPr>
          <w:rStyle w:val="soitChar"/>
        </w:rPr>
        <w:t>Les fixations sont au nombre de</w:t>
      </w:r>
      <w:r>
        <w:rPr>
          <w:rStyle w:val="optioncarChar"/>
        </w:rPr>
        <w:t>3 par panneau / 5 par m²</w:t>
      </w:r>
      <w:r>
        <w:t xml:space="preserve"> (par défaut)  </w:t>
      </w:r>
      <w:r>
        <w:rPr>
          <w:rStyle w:val="optioncarChar"/>
        </w:rPr>
        <w:t>/ ***</w:t>
      </w:r>
      <w:r>
        <w:t xml:space="preserve">. </w:t>
      </w:r>
      <w:r>
        <w:rPr>
          <w:rStyle w:val="soitChar"/>
        </w:rPr>
        <w:t>Elles sont munies de</w:t>
      </w:r>
      <w:r>
        <w:t>  </w:t>
      </w:r>
      <w:r>
        <w:rPr>
          <w:rStyle w:val="optioncarChar"/>
        </w:rPr>
        <w:t>rosace (cheville) métallique / rosace (cheville) synthétique</w:t>
      </w:r>
      <w:r>
        <w:t xml:space="preserve"> (par défaut)  </w:t>
      </w:r>
      <w:r>
        <w:rPr>
          <w:rStyle w:val="optioncarChar"/>
        </w:rPr>
        <w:t>/ ***</w:t>
      </w:r>
      <w:r>
        <w:t xml:space="preserve">. </w:t>
      </w:r>
      <w:r>
        <w:rPr>
          <w:rStyle w:val="soitChar"/>
        </w:rPr>
        <w:t>L’ancrage dans la paroi porteuse est</w:t>
      </w:r>
      <w:r>
        <w:t> </w:t>
      </w:r>
      <w:r>
        <w:rPr>
          <w:rStyle w:val="optioncarChar"/>
        </w:rPr>
        <w:t>métallique / synthétique</w:t>
      </w:r>
      <w:r>
        <w:t xml:space="preserve"> (par défaut) .  </w:t>
      </w:r>
      <w:r>
        <w:rPr>
          <w:rStyle w:val="soitChar"/>
        </w:rPr>
        <w:t>Les ancrages sont à</w:t>
      </w:r>
      <w:r>
        <w:t> </w:t>
      </w:r>
      <w:r>
        <w:rPr>
          <w:rStyle w:val="optioncarChar"/>
        </w:rPr>
        <w:t>visser / frapper</w:t>
      </w:r>
      <w:r>
        <w:t xml:space="preserve">  (par défaut) </w:t>
      </w:r>
      <w:r>
        <w:rPr>
          <w:rStyle w:val="soitChar"/>
        </w:rPr>
        <w:t>et sont adaptés au support.</w:t>
      </w:r>
    </w:p>
    <w:p w14:paraId="704A3422" w14:textId="77777777" w:rsidR="00DF410E" w:rsidRDefault="00CE7F43">
      <w:pPr>
        <w:ind w:left="567"/>
        <w:jc w:val="both"/>
      </w:pPr>
      <w:r>
        <w:rPr>
          <w:b/>
          <w:i/>
        </w:rPr>
        <w:t>(Soit)</w:t>
      </w:r>
    </w:p>
    <w:p w14:paraId="69BEF06A" w14:textId="77777777" w:rsidR="00DF410E" w:rsidRDefault="00CE7F43">
      <w:pPr>
        <w:ind w:left="567"/>
        <w:jc w:val="both"/>
      </w:pPr>
      <w:r>
        <w:rPr>
          <w:rStyle w:val="optioncarChar"/>
        </w:rPr>
        <w:t>***</w:t>
      </w:r>
    </w:p>
    <w:p w14:paraId="5D19FA48" w14:textId="77777777" w:rsidR="00DF410E" w:rsidRDefault="00CE7F43">
      <w:pPr>
        <w:jc w:val="both"/>
      </w:pPr>
      <w:r>
        <w:t> Les détails d’isolation pour les murs creux sont conformes à la [NIT 264].</w:t>
      </w:r>
    </w:p>
    <w:p w14:paraId="48A38BF3" w14:textId="77777777" w:rsidR="00DF410E" w:rsidRDefault="00CE7F43">
      <w:pPr>
        <w:jc w:val="both"/>
      </w:pPr>
      <w:r>
        <w:t>Les bouchons d’isolation agissant comme séparation de niveau comblent l’entièreté de l’épaisseur de l’espace.</w:t>
      </w:r>
    </w:p>
    <w:p w14:paraId="453CC36B" w14:textId="77777777" w:rsidR="00DF410E" w:rsidRDefault="00CE7F43">
      <w:pPr>
        <w:jc w:val="both"/>
      </w:pPr>
      <w:r>
        <w:rPr>
          <w:b/>
        </w:rPr>
        <w:t>Pour une application en toiture parking</w:t>
      </w:r>
    </w:p>
    <w:p w14:paraId="4721A70E" w14:textId="77777777" w:rsidR="00DF410E" w:rsidRDefault="00CE7F43">
      <w:pPr>
        <w:jc w:val="both"/>
      </w:pPr>
      <w:r>
        <w:t>La conception de l’isolation pour une toiture parking est conforme à la [NIT 253].</w:t>
      </w:r>
    </w:p>
    <w:p w14:paraId="71128CFD" w14:textId="77777777" w:rsidR="00DF410E" w:rsidRDefault="00CE7F43">
      <w:pPr>
        <w:jc w:val="both"/>
      </w:pPr>
      <w:r>
        <w:t>Les fixations sont disposées afin de ne pas réduire les performances acoustiques</w:t>
      </w:r>
    </w:p>
    <w:p w14:paraId="6FB7BBFF" w14:textId="77777777" w:rsidR="00DF410E" w:rsidRDefault="00CE7F43">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76B409AA" w14:textId="77777777" w:rsidR="00DF410E" w:rsidRDefault="00CE7F43">
      <w:pPr>
        <w:pStyle w:val="pheading"/>
      </w:pPr>
      <w:r>
        <w:t>DOCUMENTS DE RÉFÉRENCE COMPLÉMENTAIRES</w:t>
      </w:r>
    </w:p>
    <w:p w14:paraId="73E3AB7A" w14:textId="77777777" w:rsidR="00DF410E" w:rsidRDefault="00CE7F43">
      <w:pPr>
        <w:pStyle w:val="pheading"/>
      </w:pPr>
      <w:r>
        <w:t>- Matériau</w:t>
      </w:r>
    </w:p>
    <w:p w14:paraId="003656BE"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3FAA6E65" w14:textId="77777777" w:rsidR="00DF410E" w:rsidRDefault="00CE7F43">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859FB74" w14:textId="77777777" w:rsidR="00DF410E" w:rsidRDefault="00CE7F43">
      <w:r>
        <w:t>[NBN EN 824, Produits isolants thermiques destinés aux applications du bâtiment - Détermination de l'équerrage]</w:t>
      </w:r>
    </w:p>
    <w:p w14:paraId="7F103C12" w14:textId="77777777" w:rsidR="00DF410E" w:rsidRDefault="00CE7F43">
      <w:r>
        <w:t>[NBN EN 825, Produits isolants thermiques destinés aux applications du bâtiment - Détermination de la planéité]</w:t>
      </w:r>
    </w:p>
    <w:p w14:paraId="2CDD81D1" w14:textId="77777777" w:rsidR="00DF410E" w:rsidRDefault="00CE7F43">
      <w:r>
        <w:t>[NBN EN 13501-1, Classement au feu des produits et éléments de construction - Partie 1: Classement à partir des données d'essais de réaction au feu]</w:t>
      </w:r>
    </w:p>
    <w:p w14:paraId="48C9EB65" w14:textId="77777777" w:rsidR="00DF410E" w:rsidRDefault="00CE7F43">
      <w:r>
        <w:t>[NBN EN 1604, Produits isolants thermiques destinés aux applications du bâtiment - Détermination de la stabilité dimensionnelle dans des conditions de température et d'humidité spécifiées]</w:t>
      </w:r>
    </w:p>
    <w:p w14:paraId="05584B93" w14:textId="77777777" w:rsidR="00DF410E" w:rsidRDefault="00CE7F43">
      <w:r>
        <w:t>[NBN EN 13162+A1, Produits isolants thermiques pour le bâtiment - Produits manufacturés en laine minérale (MW) - Spécification]</w:t>
      </w:r>
    </w:p>
    <w:p w14:paraId="2757FDA0" w14:textId="77777777" w:rsidR="00DF410E" w:rsidRDefault="00CE7F43">
      <w:r>
        <w:t>[NBN EN 826, Produits isolants thermiques destinés aux applications du bâtiment - Détermination du comportement en compression]</w:t>
      </w:r>
    </w:p>
    <w:p w14:paraId="75A9B7F1" w14:textId="77777777" w:rsidR="00DF410E" w:rsidRDefault="00CE7F43">
      <w:r>
        <w:t>[NBN EN 1607, Produits isolants thermiques destinés aux applications du bâtiment - Détermination de la résistance à la traction perpendiculairement aux faces]</w:t>
      </w:r>
    </w:p>
    <w:p w14:paraId="0B028A12" w14:textId="77777777" w:rsidR="00DF410E" w:rsidRDefault="00CE7F43">
      <w:r>
        <w:t>[NBN EN 12430, Produits isolants thermiques destinés aux applications du bâtiment - Détermination du comportement sous charge ponctuelle]</w:t>
      </w:r>
    </w:p>
    <w:p w14:paraId="7B778F34" w14:textId="77777777" w:rsidR="00DF410E" w:rsidRDefault="00CE7F43">
      <w:r>
        <w:t>[NBN EN ISO 16534:2020, Produits isolants thermiques destinés aux applications du bâtiment - Détermination du fluage en compression (ISO 16534:2020)]</w:t>
      </w:r>
    </w:p>
    <w:p w14:paraId="34BDC6B6" w14:textId="77777777" w:rsidR="00DF410E" w:rsidRDefault="00CE7F43">
      <w:r>
        <w:t>[NBN EN ISO 29767, Produits isolants thermiques destinés aux applications du bâtiment - Détermination de l'absorption d'eau à court terme par immersion partielle (ISO 29767:2019)]</w:t>
      </w:r>
    </w:p>
    <w:p w14:paraId="6F7D01AA" w14:textId="77777777" w:rsidR="00DF410E" w:rsidRDefault="00CE7F43">
      <w:r>
        <w:t>[NBN EN ISO 16535:2019, Produits isolants thermiques destinés aux applications du bâtiment - Détermination de l'absorption d'eau à long terme par immersion (ISO 16535:2019)]</w:t>
      </w:r>
    </w:p>
    <w:p w14:paraId="29B5D6E3" w14:textId="77777777" w:rsidR="00DF410E" w:rsidRDefault="00CE7F43">
      <w:r>
        <w:t>[NBN EN 12086, Produits isolants thermiques destinés aux applications du bâtiment - Détermination des propriétés de transmission de la vapeur d'eau]</w:t>
      </w:r>
    </w:p>
    <w:p w14:paraId="40018D52" w14:textId="77777777" w:rsidR="00DF410E" w:rsidRDefault="00CE7F43">
      <w:r>
        <w:t>[NBN EN ISO 354, Acoustique - Mesurage de l'absorption acoustique en salle réverbérante (ISO 354:2003)]</w:t>
      </w:r>
    </w:p>
    <w:p w14:paraId="169747E0" w14:textId="77777777" w:rsidR="00DF410E" w:rsidRDefault="00CE7F43">
      <w:r>
        <w:t>[NBN EN ISO 11654, Acoustique - Absorbants pour l'utilisation dans les bâtiments - Evaluation de l'absorption acoustique (ISO 11654:1997)]</w:t>
      </w:r>
    </w:p>
    <w:p w14:paraId="44AD21FC" w14:textId="77777777" w:rsidR="00DF410E" w:rsidRDefault="00CE7F43">
      <w:pPr>
        <w:pStyle w:val="pheading"/>
      </w:pPr>
      <w:r>
        <w:t>- Exécution</w:t>
      </w:r>
    </w:p>
    <w:p w14:paraId="40FD9092" w14:textId="77777777" w:rsidR="00DF410E" w:rsidRDefault="00CE7F43">
      <w:r>
        <w:t>[NIT 193, Les chapes. 2e partie: Mise en oeuvre.]</w:t>
      </w:r>
      <w:r>
        <w:br/>
      </w:r>
      <w:r>
        <w:br/>
        <w:t>[NIT 264, Détails de référence pour les murs creux]</w:t>
      </w:r>
    </w:p>
    <w:p w14:paraId="5AA00A94" w14:textId="77777777" w:rsidR="00DF410E" w:rsidRDefault="00CE7F43">
      <w:r>
        <w:t>[NIT 253, Les toitures-parkings. 1ère partie : sollicitations, principes de conception et composition]</w:t>
      </w:r>
    </w:p>
    <w:p w14:paraId="48C2ABED" w14:textId="77777777" w:rsidR="00DF410E" w:rsidRDefault="00CE7F43">
      <w:pPr>
        <w:pStyle w:val="pheading"/>
      </w:pPr>
      <w:r>
        <w:t>MESURAGE</w:t>
      </w:r>
    </w:p>
    <w:p w14:paraId="6F4A8CF8" w14:textId="77777777" w:rsidR="00DF410E" w:rsidRDefault="00CE7F43">
      <w:pPr>
        <w:pStyle w:val="pheading"/>
      </w:pPr>
      <w:r>
        <w:t>- unité de mesure:</w:t>
      </w:r>
    </w:p>
    <w:p w14:paraId="1A0EF930" w14:textId="77777777" w:rsidR="00DF410E" w:rsidRDefault="00CE7F43">
      <w:r>
        <w:t>m²</w:t>
      </w:r>
    </w:p>
    <w:p w14:paraId="4B7A59EA" w14:textId="77777777" w:rsidR="00DF410E" w:rsidRDefault="00CE7F43">
      <w:pPr>
        <w:pStyle w:val="pheading"/>
      </w:pPr>
      <w:r>
        <w:t>- code de mesurage:</w:t>
      </w:r>
    </w:p>
    <w:p w14:paraId="2FD837AE" w14:textId="77777777" w:rsidR="00DF410E" w:rsidRDefault="00CE7F43">
      <w:pPr>
        <w:jc w:val="both"/>
      </w:pPr>
      <w:r>
        <w:rPr>
          <w:u w:val="single"/>
        </w:rPr>
        <w:t>Isolation des parois verticales :</w:t>
      </w:r>
      <w:r>
        <w:rPr>
          <w:b/>
        </w:rPr>
        <w:t>Surface nette</w:t>
      </w:r>
      <w:r>
        <w:t xml:space="preserve"> à mettre en œuvre. Les ouvertures supérieures à 0,50 m² sont déduites</w:t>
      </w:r>
    </w:p>
    <w:p w14:paraId="14DCE79A" w14:textId="77777777" w:rsidR="00DF410E" w:rsidRDefault="00CE7F43">
      <w:pPr>
        <w:jc w:val="both"/>
      </w:pPr>
      <w:r>
        <w:rPr>
          <w:u w:val="single"/>
        </w:rPr>
        <w:t>Isolation des parois horizontales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 le type de fixation.</w:t>
      </w:r>
    </w:p>
    <w:p w14:paraId="79ADCD2B" w14:textId="77777777" w:rsidR="00DF410E" w:rsidRDefault="00CE7F43">
      <w:pPr>
        <w:jc w:val="both"/>
      </w:pPr>
      <w:r>
        <w:t>Distinction faite suivant l'épaisseur et le type de fixation.</w:t>
      </w:r>
    </w:p>
    <w:p w14:paraId="1BA4DCBD" w14:textId="77777777" w:rsidR="00DF410E" w:rsidRDefault="00CE7F43">
      <w:pPr>
        <w:pStyle w:val="pheading"/>
      </w:pPr>
      <w:r>
        <w:t>- nature du marché:</w:t>
      </w:r>
    </w:p>
    <w:p w14:paraId="1EB50AB7" w14:textId="77777777" w:rsidR="00DF410E" w:rsidRDefault="00CE7F43">
      <w:r>
        <w:t>QF</w:t>
      </w:r>
    </w:p>
    <w:p w14:paraId="2268CFF8" w14:textId="77777777" w:rsidR="00DF410E" w:rsidRDefault="00CE7F43">
      <w:pPr>
        <w:pStyle w:val="Author-eSectionHeading6"/>
      </w:pPr>
      <w:bookmarkStart w:id="1928" w:name="_Toc178838974"/>
      <w:r>
        <w:t>26.41.2b Isolation en panneaux - verre cellulaire (CG) CCTB 01.11</w:t>
      </w:r>
      <w:bookmarkEnd w:id="1928"/>
    </w:p>
    <w:p w14:paraId="29FF2D7E" w14:textId="77777777" w:rsidR="00DF410E" w:rsidRDefault="00CE7F43">
      <w:pPr>
        <w:pStyle w:val="pheading"/>
      </w:pPr>
      <w:r>
        <w:t>DESCRIPTION</w:t>
      </w:r>
    </w:p>
    <w:p w14:paraId="3D8110CB" w14:textId="77777777" w:rsidR="00DF410E" w:rsidRDefault="00CE7F43">
      <w:pPr>
        <w:pStyle w:val="pheading"/>
      </w:pPr>
      <w:r>
        <w:t>- Définition / Comprend</w:t>
      </w:r>
    </w:p>
    <w:p w14:paraId="1B6E034E" w14:textId="77777777" w:rsidR="00DF410E" w:rsidRDefault="00CE7F43">
      <w:r>
        <w:t>Ce poste concerne l’isolation thermique des parois et éléments de construction décrits au chapitre </w:t>
      </w:r>
      <w:hyperlink w:anchor="70" w:history="1">
        <w:r>
          <w:t>26.4 Isolation</w:t>
        </w:r>
      </w:hyperlink>
    </w:p>
    <w:p w14:paraId="66818CB8" w14:textId="77777777" w:rsidR="00DF410E" w:rsidRDefault="00CE7F43">
      <w:r>
        <w:t>Il s'agit plus particulièrement de la fourniture et de la pose d'un matériau isolant résistant à la compression permettant d'assurer, notamment au droit des nœuds constructifs, la continuité de l'isolation thermique.</w:t>
      </w:r>
    </w:p>
    <w:p w14:paraId="13005054" w14:textId="77777777" w:rsidR="00DF410E" w:rsidRDefault="00CE7F43">
      <w:pPr>
        <w:pStyle w:val="pheading"/>
      </w:pPr>
      <w:r>
        <w:t>- Localisation</w:t>
      </w:r>
    </w:p>
    <w:p w14:paraId="0E16660F" w14:textId="77777777" w:rsidR="00DF410E" w:rsidRDefault="00CE7F43">
      <w:r>
        <w:t>Selon les indications sur les plans d'exécution et/ou les dessins de détail.</w:t>
      </w:r>
    </w:p>
    <w:p w14:paraId="0C560221" w14:textId="77777777" w:rsidR="00DF410E" w:rsidRDefault="00CE7F43">
      <w:pPr>
        <w:pStyle w:val="pheading"/>
      </w:pPr>
      <w:r>
        <w:t>MATÉRIAUX</w:t>
      </w:r>
    </w:p>
    <w:p w14:paraId="5A9C53B3" w14:textId="77777777" w:rsidR="00DF410E" w:rsidRDefault="00CE7F43">
      <w:pPr>
        <w:pStyle w:val="pheading"/>
      </w:pPr>
      <w:r>
        <w:t>- Caractéristiques générales</w:t>
      </w:r>
    </w:p>
    <w:p w14:paraId="3A43DE35" w14:textId="77777777" w:rsidR="00DF410E" w:rsidRDefault="00CE7F43">
      <w:r>
        <w:t xml:space="preserve">Voir </w:t>
      </w:r>
      <w:hyperlink r:id="rId385" w:history="1" w:docLocation="256">
        <w:r>
          <w:t>32.41.2b Isolation en panneaux - verre cellulaire (CG)</w:t>
        </w:r>
      </w:hyperlink>
    </w:p>
    <w:p w14:paraId="58B06B79" w14:textId="77777777" w:rsidR="00DF410E" w:rsidRDefault="00CE7F43">
      <w:pPr>
        <w:pStyle w:val="pheading"/>
      </w:pPr>
      <w:r>
        <w:t>EXÉCUTION / MISE EN ŒUVRE</w:t>
      </w:r>
    </w:p>
    <w:p w14:paraId="0317E118" w14:textId="77777777" w:rsidR="00DF410E" w:rsidRDefault="00CE7F43">
      <w:pPr>
        <w:pStyle w:val="pheading"/>
      </w:pPr>
      <w:r>
        <w:t>- Prescriptions générales</w:t>
      </w:r>
    </w:p>
    <w:p w14:paraId="46230AEB" w14:textId="77777777" w:rsidR="00DF410E" w:rsidRDefault="00CE7F43">
      <w:r>
        <w:t>Les prescriptions du fabricant doivent être scrupuleusement suivies, même lorsqu'elles divergent des présentes descriptions.</w:t>
      </w:r>
    </w:p>
    <w:p w14:paraId="4966B1DD" w14:textId="77777777" w:rsidR="00DF410E" w:rsidRDefault="00CE7F43">
      <w:r>
        <w:t>Les panneaux (ou blocs) d'isolation doivent constituer une coupure thermique continue avec les autres matériaux d'isolation attenants, en fonction de leur application :</w:t>
      </w:r>
    </w:p>
    <w:p w14:paraId="03C249A0" w14:textId="77777777" w:rsidR="00DF410E" w:rsidRDefault="00CE7F43">
      <w:pPr>
        <w:pStyle w:val="Author-eListParagraph"/>
        <w:numPr>
          <w:ilvl w:val="0"/>
          <w:numId w:val="1116"/>
        </w:numPr>
      </w:pPr>
      <w:r>
        <w:t>Continuité avec les éléments de construction horizontaux ou obliques, tels que les toitures plates, toitures à versants, terrasses, balcons, etc. </w:t>
      </w:r>
    </w:p>
    <w:p w14:paraId="4F8F2689" w14:textId="77777777" w:rsidR="00DF410E" w:rsidRDefault="00CE7F43">
      <w:pPr>
        <w:pStyle w:val="Author-eListParagraph"/>
        <w:numPr>
          <w:ilvl w:val="0"/>
          <w:numId w:val="1116"/>
        </w:numPr>
      </w:pPr>
      <w:r>
        <w:t>Continuité avec les éléments de construction verticaux tels que les murs à coulisse : cette liaison est assurée en maçonnant les blocs d'isolation aux endroits indiqués sur les plans de détail.</w:t>
      </w:r>
    </w:p>
    <w:p w14:paraId="41C64470" w14:textId="77777777" w:rsidR="00DF410E" w:rsidRDefault="00CE7F43">
      <w:pPr>
        <w:pStyle w:val="pheading"/>
      </w:pPr>
      <w:r>
        <w:t>- Notes d’exécution complémentaires</w:t>
      </w:r>
    </w:p>
    <w:p w14:paraId="6E3C6163" w14:textId="77777777" w:rsidR="00DF410E" w:rsidRDefault="00CE7F43">
      <w:r>
        <w:t>Sous les parties de murs ou les murs transversaux qui ne reposent pas sur les blocs d'isolation (mais qui y sont reliées), on insère un feutre bitumeux afin d'obtenir une compression similaire sous ces éléments assemblés.  La première assise de maçonnerie sur les blocs d'isolation doit répartir à 100% toutes les charges sur le matériau d'isolation;  à cet effet, elle est posée à bain refluant de mortier. Les éléments  sont enfoncés par mouvements rotatifs dans une couche de mortier aussi  fluide que possible jusqu'à ce celui-ci reflue de toutes parts et que l'on  obtienne un encollage parfait (ne jamais taper sur les éléments, ni avec  la truelle, ni avec un autre outil). Les joints montants sont  réalisés aussi jointivement que possible sans application de mortier.</w:t>
      </w:r>
    </w:p>
    <w:p w14:paraId="1D7117F7" w14:textId="77777777" w:rsidR="00DF410E" w:rsidRDefault="00CE7F43">
      <w:pPr>
        <w:pStyle w:val="pheading"/>
      </w:pPr>
      <w:r>
        <w:t>MESURAGE</w:t>
      </w:r>
    </w:p>
    <w:p w14:paraId="16B12218" w14:textId="77777777" w:rsidR="00DF410E" w:rsidRDefault="00CE7F43">
      <w:pPr>
        <w:pStyle w:val="pheading"/>
      </w:pPr>
      <w:r>
        <w:t>- unité de mesure:</w:t>
      </w:r>
    </w:p>
    <w:p w14:paraId="2475B183" w14:textId="77777777" w:rsidR="00DF410E" w:rsidRDefault="00CE7F43">
      <w:r>
        <w:t>m²</w:t>
      </w:r>
    </w:p>
    <w:p w14:paraId="5227AA4F" w14:textId="77777777" w:rsidR="00DF410E" w:rsidRDefault="00CE7F43">
      <w:pPr>
        <w:pStyle w:val="pheading"/>
      </w:pPr>
      <w:r>
        <w:t>- code de mesurage:</w:t>
      </w:r>
    </w:p>
    <w:p w14:paraId="56BD699F" w14:textId="77777777" w:rsidR="00DF410E" w:rsidRDefault="00CE7F43">
      <w:r>
        <w:t>Distinction faite suivant l'épaisseur.</w:t>
      </w:r>
      <w:r>
        <w:br/>
      </w:r>
    </w:p>
    <w:p w14:paraId="3B89D932" w14:textId="77777777" w:rsidR="00DF410E" w:rsidRDefault="00CE7F43">
      <w:pPr>
        <w:pStyle w:val="Author-eListParagraph"/>
        <w:numPr>
          <w:ilvl w:val="0"/>
          <w:numId w:val="1117"/>
        </w:numPr>
      </w:pPr>
      <w:r>
        <w:t xml:space="preserve">Isolation des </w:t>
      </w:r>
      <w:r>
        <w:rPr>
          <w:b/>
        </w:rPr>
        <w:t>parois verticales : Surface nette</w:t>
      </w:r>
      <w:r>
        <w:t>. Les ouvertures supérieures à 0,50 m² sont déduites</w:t>
      </w:r>
    </w:p>
    <w:p w14:paraId="325E243D" w14:textId="77777777" w:rsidR="00DF410E" w:rsidRDefault="00CE7F43">
      <w:pPr>
        <w:pStyle w:val="Author-eListParagraph"/>
        <w:numPr>
          <w:ilvl w:val="0"/>
          <w:numId w:val="1117"/>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60A1002A" w14:textId="77777777" w:rsidR="00DF410E" w:rsidRDefault="00CE7F43">
      <w:pPr>
        <w:pStyle w:val="pheading"/>
      </w:pPr>
      <w:r>
        <w:t>- nature du marché:</w:t>
      </w:r>
    </w:p>
    <w:p w14:paraId="1B903A74" w14:textId="77777777" w:rsidR="00DF410E" w:rsidRDefault="00CE7F43">
      <w:r>
        <w:t>QF</w:t>
      </w:r>
    </w:p>
    <w:p w14:paraId="071F3CE6" w14:textId="77777777" w:rsidR="00DF410E" w:rsidRDefault="00CE7F43">
      <w:pPr>
        <w:pStyle w:val="Author-eSectionHeading6"/>
      </w:pPr>
      <w:bookmarkStart w:id="1929" w:name="_Toc178838975"/>
      <w:r>
        <w:t>26.41.2c Isolation en panneaux - perlite expansée (EPB) CCTB 01.11</w:t>
      </w:r>
      <w:bookmarkEnd w:id="1929"/>
    </w:p>
    <w:p w14:paraId="54700557" w14:textId="77777777" w:rsidR="00DF410E" w:rsidRDefault="00CE7F43">
      <w:pPr>
        <w:pStyle w:val="pheading"/>
      </w:pPr>
      <w:r>
        <w:t>MATÉRIAUX</w:t>
      </w:r>
    </w:p>
    <w:p w14:paraId="6889C6E0" w14:textId="77777777" w:rsidR="00DF410E" w:rsidRDefault="00CE7F43">
      <w:pPr>
        <w:pStyle w:val="pheading"/>
      </w:pPr>
      <w:r>
        <w:t>- Caractéristiques générales</w:t>
      </w:r>
    </w:p>
    <w:p w14:paraId="089F6B47" w14:textId="77777777" w:rsidR="00DF410E" w:rsidRDefault="00CE7F43">
      <w:r>
        <w:t xml:space="preserve">Voir </w:t>
      </w:r>
      <w:hyperlink r:id="rId386" w:history="1" w:docLocation="651">
        <w:r>
          <w:t>32.41.2c Isolation en panneaux - perlite expansée (EPB)</w:t>
        </w:r>
      </w:hyperlink>
    </w:p>
    <w:p w14:paraId="66E3257C" w14:textId="77777777" w:rsidR="00DF410E" w:rsidRDefault="00CE7F43">
      <w:pPr>
        <w:pStyle w:val="pheading"/>
      </w:pPr>
      <w:r>
        <w:t>MESURAGE</w:t>
      </w:r>
    </w:p>
    <w:p w14:paraId="3321E3B5" w14:textId="77777777" w:rsidR="00DF410E" w:rsidRDefault="00CE7F43">
      <w:pPr>
        <w:pStyle w:val="pheading"/>
      </w:pPr>
      <w:r>
        <w:t>- unité de mesure:</w:t>
      </w:r>
    </w:p>
    <w:p w14:paraId="3629728B" w14:textId="77777777" w:rsidR="00DF410E" w:rsidRDefault="00CE7F43">
      <w:r>
        <w:t>m²</w:t>
      </w:r>
    </w:p>
    <w:p w14:paraId="6F1C0587" w14:textId="77777777" w:rsidR="00DF410E" w:rsidRDefault="00CE7F43">
      <w:pPr>
        <w:pStyle w:val="pheading"/>
      </w:pPr>
      <w:r>
        <w:t>- code de mesurage:</w:t>
      </w:r>
    </w:p>
    <w:p w14:paraId="210CED61" w14:textId="77777777" w:rsidR="00DF410E" w:rsidRDefault="00CE7F43">
      <w:r>
        <w:t>Distinction faite suivant l'épaisseur.</w:t>
      </w:r>
      <w:r>
        <w:br/>
      </w:r>
    </w:p>
    <w:p w14:paraId="07FB53EB" w14:textId="77777777" w:rsidR="00DF410E" w:rsidRDefault="00CE7F43">
      <w:pPr>
        <w:pStyle w:val="Author-eListParagraph"/>
        <w:numPr>
          <w:ilvl w:val="0"/>
          <w:numId w:val="1118"/>
        </w:numPr>
      </w:pPr>
      <w:r>
        <w:t xml:space="preserve">Isolation des </w:t>
      </w:r>
      <w:r>
        <w:rPr>
          <w:b/>
        </w:rPr>
        <w:t>parois verticales : Surface nette</w:t>
      </w:r>
      <w:r>
        <w:t>. Les ouvertures supérieures à 0,50 m² sont déduites</w:t>
      </w:r>
    </w:p>
    <w:p w14:paraId="4FCF2241" w14:textId="77777777" w:rsidR="00DF410E" w:rsidRDefault="00CE7F43">
      <w:pPr>
        <w:pStyle w:val="Author-eListParagraph"/>
        <w:numPr>
          <w:ilvl w:val="0"/>
          <w:numId w:val="1118"/>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5862072E" w14:textId="77777777" w:rsidR="00DF410E" w:rsidRDefault="00CE7F43">
      <w:pPr>
        <w:pStyle w:val="pheading"/>
      </w:pPr>
      <w:r>
        <w:t>- nature du marché:</w:t>
      </w:r>
    </w:p>
    <w:p w14:paraId="43BA5B4F" w14:textId="77777777" w:rsidR="00DF410E" w:rsidRDefault="00CE7F43">
      <w:r>
        <w:t>QF</w:t>
      </w:r>
    </w:p>
    <w:p w14:paraId="5F4DB93E" w14:textId="77777777" w:rsidR="00DF410E" w:rsidRDefault="00CE7F43">
      <w:pPr>
        <w:pStyle w:val="Author-eSectionHeading6"/>
      </w:pPr>
      <w:bookmarkStart w:id="1930" w:name="_Toc178838976"/>
      <w:r>
        <w:t>26.41.2d (titre réservé) CCTB 01.04</w:t>
      </w:r>
      <w:bookmarkEnd w:id="1930"/>
    </w:p>
    <w:p w14:paraId="43C86DAB" w14:textId="77777777" w:rsidR="00DF410E" w:rsidRDefault="00CE7F43">
      <w:pPr>
        <w:pStyle w:val="Author-eSectionHeading6"/>
      </w:pPr>
      <w:bookmarkStart w:id="1931" w:name="_Toc178838977"/>
      <w:r>
        <w:t>26.41.2e (titre réservé) CCTB 01.04</w:t>
      </w:r>
      <w:bookmarkEnd w:id="1931"/>
    </w:p>
    <w:p w14:paraId="7B241368" w14:textId="77777777" w:rsidR="00DF410E" w:rsidRDefault="00CE7F43">
      <w:pPr>
        <w:pStyle w:val="Author-eSectionHeading6"/>
      </w:pPr>
      <w:bookmarkStart w:id="1932" w:name="_Toc178838978"/>
      <w:r>
        <w:t>26.41.2f (titre réservé) CCTB 01.04</w:t>
      </w:r>
      <w:bookmarkEnd w:id="1932"/>
    </w:p>
    <w:p w14:paraId="32097844" w14:textId="77777777" w:rsidR="00DF410E" w:rsidRDefault="00CE7F43">
      <w:pPr>
        <w:pStyle w:val="Author-eSectionHeading6"/>
      </w:pPr>
      <w:bookmarkStart w:id="1933" w:name="_Toc178838979"/>
      <w:r>
        <w:t>26.41.2g (titre réservé) CCTB 01.04</w:t>
      </w:r>
      <w:bookmarkEnd w:id="1933"/>
    </w:p>
    <w:p w14:paraId="3057895E" w14:textId="77777777" w:rsidR="00DF410E" w:rsidRDefault="00CE7F43">
      <w:pPr>
        <w:pStyle w:val="Author-eSectionHeading5"/>
      </w:pPr>
      <w:bookmarkStart w:id="1934" w:name="_Toc178838980"/>
      <w:r>
        <w:t>26.41.3 Isolation en panneaux - matières végétales CCTB 01.11</w:t>
      </w:r>
      <w:bookmarkEnd w:id="1934"/>
    </w:p>
    <w:p w14:paraId="293DABA0" w14:textId="77777777" w:rsidR="00DF410E" w:rsidRDefault="00CE7F43">
      <w:pPr>
        <w:pStyle w:val="pheading"/>
      </w:pPr>
      <w:r>
        <w:t>DESCRIPTION</w:t>
      </w:r>
    </w:p>
    <w:p w14:paraId="3DEDCFC0" w14:textId="77777777" w:rsidR="00DF410E" w:rsidRDefault="00CE7F43">
      <w:pPr>
        <w:pStyle w:val="pheading"/>
      </w:pPr>
      <w:r>
        <w:t>- Définition / Comprend</w:t>
      </w:r>
    </w:p>
    <w:p w14:paraId="6747BC2F" w14:textId="77777777" w:rsidR="00DF410E" w:rsidRDefault="00CE7F43">
      <w:r>
        <w:t xml:space="preserve">Ce poste concerne l’isolation thermique des parois et éléments de construction décrits au chap. </w:t>
      </w:r>
      <w:hyperlink w:anchor="70" w:history="1">
        <w:r>
          <w:t>26.4 Isolation</w:t>
        </w:r>
      </w:hyperlink>
      <w:r>
        <w:t xml:space="preserve">, suivant les prescriptions de l'élément </w:t>
      </w:r>
      <w:hyperlink r:id="rId387" w:history="1" w:docLocation="258">
        <w:r>
          <w:t>32.41.3 Isolation en panneaux - matières végétales</w:t>
        </w:r>
      </w:hyperlink>
      <w:r>
        <w:t>.</w:t>
      </w:r>
      <w:r>
        <w:br/>
      </w:r>
    </w:p>
    <w:p w14:paraId="460B4332" w14:textId="77777777" w:rsidR="00DF410E" w:rsidRDefault="00CE7F43">
      <w:pPr>
        <w:pStyle w:val="pheading"/>
      </w:pPr>
      <w:r>
        <w:t>DOCUMENTS DE RÉFÉRENCE</w:t>
      </w:r>
    </w:p>
    <w:p w14:paraId="391DB320" w14:textId="77777777" w:rsidR="00DF410E" w:rsidRDefault="00CE7F43">
      <w:pPr>
        <w:pStyle w:val="pheading"/>
      </w:pPr>
      <w:r>
        <w:t>- Matériau</w:t>
      </w:r>
    </w:p>
    <w:p w14:paraId="436DA3EC" w14:textId="77777777" w:rsidR="00DF410E" w:rsidRDefault="004016E8">
      <w:hyperlink r:id="rId388" w:history="1" w:docLocation="258">
        <w:r w:rsidR="00CE7F43">
          <w:t>32.41.3 Isolation en panneaux - matières végétales</w:t>
        </w:r>
      </w:hyperlink>
    </w:p>
    <w:p w14:paraId="603671A5" w14:textId="77777777" w:rsidR="00DF410E" w:rsidRDefault="00CE7F43">
      <w:pPr>
        <w:pStyle w:val="pheading"/>
      </w:pPr>
      <w:r>
        <w:t>- Exécution</w:t>
      </w:r>
    </w:p>
    <w:p w14:paraId="23B2A9C6" w14:textId="77777777" w:rsidR="00DF410E" w:rsidRDefault="004016E8">
      <w:hyperlink r:id="rId389" w:history="1" w:docLocation="258">
        <w:r w:rsidR="00CE7F43">
          <w:t>32.41.3 Isolation en panneaux - matières végétales</w:t>
        </w:r>
      </w:hyperlink>
    </w:p>
    <w:p w14:paraId="1827DAD0" w14:textId="77777777" w:rsidR="00DF410E" w:rsidRDefault="00CE7F43">
      <w:pPr>
        <w:pStyle w:val="Author-eSectionHeading6"/>
      </w:pPr>
      <w:bookmarkStart w:id="1935" w:name="_Toc178838981"/>
      <w:r>
        <w:t>26.41.3a Isolation en panneaux - liège expansé (ICB) CCTB 01.04</w:t>
      </w:r>
      <w:bookmarkEnd w:id="1935"/>
    </w:p>
    <w:p w14:paraId="4C0214C9" w14:textId="77777777" w:rsidR="00DF410E" w:rsidRDefault="00CE7F43">
      <w:pPr>
        <w:pStyle w:val="pheading"/>
      </w:pPr>
      <w:r>
        <w:t>DESCRIPTION</w:t>
      </w:r>
    </w:p>
    <w:p w14:paraId="06E437D8" w14:textId="77777777" w:rsidR="00DF410E" w:rsidRDefault="00CE7F43">
      <w:pPr>
        <w:pStyle w:val="pheading"/>
      </w:pPr>
      <w:r>
        <w:t>- Définition / Comprend</w:t>
      </w:r>
    </w:p>
    <w:p w14:paraId="7C3EFE41" w14:textId="77777777" w:rsidR="00DF410E" w:rsidRDefault="00CE7F43">
      <w:r>
        <w:t xml:space="preserve">Il s'agit de la réalisation d'une isolation suivant les prescriptions de l'article </w:t>
      </w:r>
      <w:hyperlink r:id="rId390" w:history="1" w:docLocation="257">
        <w:r>
          <w:t>32.41.3a Isolation en panneaux - liège expansé (ICB)</w:t>
        </w:r>
      </w:hyperlink>
      <w:r>
        <w:t>.</w:t>
      </w:r>
    </w:p>
    <w:p w14:paraId="17AD0AF0" w14:textId="77777777" w:rsidR="00DF410E" w:rsidRDefault="00CE7F43">
      <w:pPr>
        <w:pStyle w:val="pheading"/>
      </w:pPr>
      <w:r>
        <w:t>MATÉRIAUX</w:t>
      </w:r>
    </w:p>
    <w:p w14:paraId="64894E76" w14:textId="77777777" w:rsidR="00DF410E" w:rsidRDefault="00CE7F43">
      <w:pPr>
        <w:pStyle w:val="pheading"/>
      </w:pPr>
      <w:r>
        <w:t>- Caractéristiques générales</w:t>
      </w:r>
    </w:p>
    <w:p w14:paraId="0293E454" w14:textId="77777777" w:rsidR="00DF410E" w:rsidRDefault="00CE7F43">
      <w:r>
        <w:t xml:space="preserve">Voir article </w:t>
      </w:r>
      <w:hyperlink r:id="rId391" w:history="1" w:docLocation="257">
        <w:hyperlink r:id="rId392" w:history="1" w:docLocation="257">
          <w:r>
            <w:t>32.41.3a Isolation en panneaux - liège expansé (ICB)</w:t>
          </w:r>
        </w:hyperlink>
      </w:hyperlink>
    </w:p>
    <w:p w14:paraId="7EAB2DB9" w14:textId="77777777" w:rsidR="00DF410E" w:rsidRDefault="00CE7F43">
      <w:pPr>
        <w:pStyle w:val="pheading"/>
      </w:pPr>
      <w:r>
        <w:t>- Finitions</w:t>
      </w:r>
    </w:p>
    <w:p w14:paraId="08060FCB" w14:textId="77777777" w:rsidR="00DF410E" w:rsidRDefault="00CE7F43">
      <w:r>
        <w:t xml:space="preserve">Voir article </w:t>
      </w:r>
      <w:hyperlink r:id="rId393" w:history="1" w:docLocation="257">
        <w:hyperlink r:id="rId394" w:history="1" w:docLocation="257">
          <w:r>
            <w:t>32.41.3a Isolation en panneaux - liège expansé (ICB)</w:t>
          </w:r>
        </w:hyperlink>
      </w:hyperlink>
    </w:p>
    <w:p w14:paraId="6B98936B" w14:textId="77777777" w:rsidR="00DF410E" w:rsidRDefault="00CE7F43">
      <w:pPr>
        <w:pStyle w:val="pheading"/>
      </w:pPr>
      <w:r>
        <w:t>- Prescriptions complémentaires</w:t>
      </w:r>
    </w:p>
    <w:p w14:paraId="575C644F" w14:textId="77777777" w:rsidR="00DF410E" w:rsidRDefault="00CE7F43">
      <w:r>
        <w:t xml:space="preserve">Voir article </w:t>
      </w:r>
      <w:hyperlink r:id="rId395" w:history="1" w:docLocation="257">
        <w:hyperlink r:id="rId396" w:history="1" w:docLocation="257">
          <w:r>
            <w:t>32.41.3a Isolation en panneaux - liège expansé (ICB)</w:t>
          </w:r>
        </w:hyperlink>
      </w:hyperlink>
    </w:p>
    <w:p w14:paraId="0E810F08" w14:textId="77777777" w:rsidR="00DF410E" w:rsidRDefault="00CE7F43">
      <w:pPr>
        <w:pStyle w:val="pheading"/>
      </w:pPr>
      <w:r>
        <w:t>EXÉCUTION / MISE EN ŒUVRE</w:t>
      </w:r>
    </w:p>
    <w:p w14:paraId="082A61B4" w14:textId="77777777" w:rsidR="00DF410E" w:rsidRDefault="00CE7F43">
      <w:pPr>
        <w:pStyle w:val="pheading"/>
      </w:pPr>
      <w:r>
        <w:t>- Prescriptions générales</w:t>
      </w:r>
    </w:p>
    <w:p w14:paraId="5CF2E7EB" w14:textId="77777777" w:rsidR="00DF410E" w:rsidRDefault="00CE7F43">
      <w:r>
        <w:t xml:space="preserve">Voir article </w:t>
      </w:r>
      <w:hyperlink r:id="rId397" w:history="1" w:docLocation="257">
        <w:hyperlink r:id="rId398" w:history="1" w:docLocation="257">
          <w:r>
            <w:t>32.41.3a Isolation en panneaux - liège expansé (ICB)</w:t>
          </w:r>
        </w:hyperlink>
      </w:hyperlink>
    </w:p>
    <w:p w14:paraId="6DB7FEAE" w14:textId="77777777" w:rsidR="00DF410E" w:rsidRDefault="00CE7F43">
      <w:pPr>
        <w:pStyle w:val="pheading"/>
      </w:pPr>
      <w:r>
        <w:t>- Notes d’exécution complémentaires</w:t>
      </w:r>
    </w:p>
    <w:p w14:paraId="46B25105" w14:textId="77777777" w:rsidR="00DF410E" w:rsidRDefault="00CE7F43">
      <w:r>
        <w:t xml:space="preserve">Voir article </w:t>
      </w:r>
      <w:hyperlink r:id="rId399" w:history="1" w:docLocation="257">
        <w:hyperlink r:id="rId400" w:history="1" w:docLocation="257">
          <w:r>
            <w:t>32.41.3a Isolation en panneaux - liège expansé (ICB)</w:t>
          </w:r>
        </w:hyperlink>
      </w:hyperlink>
    </w:p>
    <w:p w14:paraId="41DB17BD" w14:textId="77777777" w:rsidR="00DF410E" w:rsidRDefault="00CE7F43">
      <w:pPr>
        <w:pStyle w:val="pheading"/>
      </w:pPr>
      <w:r>
        <w:t>DOCUMENTS DE RÉFÉRENCE COMPLÉMENTAIRES</w:t>
      </w:r>
    </w:p>
    <w:p w14:paraId="0D2A8F38" w14:textId="77777777" w:rsidR="00DF410E" w:rsidRDefault="00CE7F43">
      <w:pPr>
        <w:pStyle w:val="pheading"/>
      </w:pPr>
      <w:r>
        <w:t>- Matériau</w:t>
      </w:r>
    </w:p>
    <w:p w14:paraId="34C51DDA" w14:textId="77777777" w:rsidR="00DF410E" w:rsidRDefault="004016E8">
      <w:hyperlink r:id="rId401" w:history="1" w:docLocation="257">
        <w:r w:rsidR="00CE7F43">
          <w:t>32.41.3a Isolation en panneaux - liège expansé (ICB)</w:t>
        </w:r>
      </w:hyperlink>
    </w:p>
    <w:p w14:paraId="09170B1E" w14:textId="77777777" w:rsidR="00DF410E" w:rsidRDefault="00CE7F43">
      <w:pPr>
        <w:pStyle w:val="pheading"/>
      </w:pPr>
      <w:r>
        <w:t>- Exécution</w:t>
      </w:r>
    </w:p>
    <w:p w14:paraId="541225FC" w14:textId="77777777" w:rsidR="00DF410E" w:rsidRDefault="004016E8">
      <w:hyperlink r:id="rId402" w:history="1" w:docLocation="257">
        <w:r w:rsidR="00CE7F43">
          <w:t>32.41.3a Isolation en panneaux - liège expansé (ICB)</w:t>
        </w:r>
      </w:hyperlink>
    </w:p>
    <w:p w14:paraId="57481534" w14:textId="77777777" w:rsidR="00DF410E" w:rsidRDefault="00CE7F43">
      <w:pPr>
        <w:pStyle w:val="pheading"/>
      </w:pPr>
      <w:r>
        <w:t>MESURAGE</w:t>
      </w:r>
    </w:p>
    <w:p w14:paraId="036251DF" w14:textId="77777777" w:rsidR="00DF410E" w:rsidRDefault="00CE7F43">
      <w:pPr>
        <w:pStyle w:val="pheading"/>
      </w:pPr>
      <w:r>
        <w:t>- unité de mesure:</w:t>
      </w:r>
    </w:p>
    <w:p w14:paraId="6DEB93A7" w14:textId="77777777" w:rsidR="00DF410E" w:rsidRDefault="00CE7F43">
      <w:r>
        <w:t>m²</w:t>
      </w:r>
    </w:p>
    <w:p w14:paraId="018C5DFD" w14:textId="77777777" w:rsidR="00DF410E" w:rsidRDefault="00CE7F43">
      <w:pPr>
        <w:pStyle w:val="pheading"/>
      </w:pPr>
      <w:r>
        <w:t>- code de mesurage:</w:t>
      </w:r>
    </w:p>
    <w:p w14:paraId="00FE712E" w14:textId="77777777" w:rsidR="00DF410E" w:rsidRDefault="00CE7F43">
      <w:r>
        <w:t>Distinction faite suivant le type et l'épaisseur.</w:t>
      </w:r>
    </w:p>
    <w:p w14:paraId="3C48A304" w14:textId="77777777" w:rsidR="00DF410E" w:rsidRDefault="00CE7F43">
      <w:pPr>
        <w:pStyle w:val="Author-eListParagraph"/>
        <w:numPr>
          <w:ilvl w:val="0"/>
          <w:numId w:val="1119"/>
        </w:numPr>
      </w:pPr>
      <w:r>
        <w:t xml:space="preserve">Isolation des </w:t>
      </w:r>
      <w:r>
        <w:rPr>
          <w:b/>
        </w:rPr>
        <w:t>parois verticales et inclinées : Surface nette</w:t>
      </w:r>
      <w:r>
        <w:t>. Les ouvertures supérieures à 0,50 m² sont déduites</w:t>
      </w:r>
    </w:p>
    <w:p w14:paraId="49A2A35C" w14:textId="77777777" w:rsidR="00DF410E" w:rsidRDefault="00CE7F43">
      <w:pPr>
        <w:pStyle w:val="Author-eListParagraph"/>
        <w:numPr>
          <w:ilvl w:val="0"/>
          <w:numId w:val="1119"/>
        </w:numPr>
      </w:pPr>
      <w:r>
        <w:t>Isolation des parois</w:t>
      </w:r>
      <w:r>
        <w:rPr>
          <w:b/>
        </w:rPr>
        <w:t xml:space="preserve"> horizontales : Surface nette du sol</w:t>
      </w:r>
      <w:r>
        <w:t>, mesurée entre le nu des murs. Les ouvertures supérieures à 0,5 m² sont déduites.</w:t>
      </w:r>
    </w:p>
    <w:p w14:paraId="7F61D5E9" w14:textId="77777777" w:rsidR="00DF410E" w:rsidRDefault="00CE7F43">
      <w:pPr>
        <w:pStyle w:val="pheading"/>
      </w:pPr>
      <w:r>
        <w:t>- nature du marché:</w:t>
      </w:r>
    </w:p>
    <w:p w14:paraId="67585583" w14:textId="77777777" w:rsidR="00DF410E" w:rsidRDefault="00CE7F43">
      <w:r>
        <w:t>QF</w:t>
      </w:r>
    </w:p>
    <w:p w14:paraId="42D564D2" w14:textId="77777777" w:rsidR="00DF410E" w:rsidRDefault="00CE7F43">
      <w:pPr>
        <w:pStyle w:val="Author-eSectionHeading6"/>
      </w:pPr>
      <w:bookmarkStart w:id="1936" w:name="_Toc178838982"/>
      <w:r>
        <w:t>26.41.3b (titre réservé) CCTB 01.04</w:t>
      </w:r>
      <w:bookmarkEnd w:id="1936"/>
    </w:p>
    <w:p w14:paraId="0F89AB27" w14:textId="77777777" w:rsidR="00DF410E" w:rsidRDefault="00CE7F43">
      <w:pPr>
        <w:pStyle w:val="Author-eSectionHeading6"/>
      </w:pPr>
      <w:bookmarkStart w:id="1937" w:name="_Toc178838983"/>
      <w:r>
        <w:t>26.41.3c Isolation en panneaux - fibres de bois (WF) CCTB 01.11</w:t>
      </w:r>
      <w:bookmarkEnd w:id="1937"/>
    </w:p>
    <w:p w14:paraId="2F77A8FF" w14:textId="77777777" w:rsidR="00DF410E" w:rsidRDefault="00CE7F43">
      <w:pPr>
        <w:pStyle w:val="pheading"/>
      </w:pPr>
      <w:r>
        <w:t>DESCRIPTION</w:t>
      </w:r>
    </w:p>
    <w:p w14:paraId="1C9B1076" w14:textId="77777777" w:rsidR="00DF410E" w:rsidRDefault="00CE7F43">
      <w:pPr>
        <w:pStyle w:val="pheading"/>
      </w:pPr>
      <w:r>
        <w:t>- Définition / Comprend</w:t>
      </w:r>
    </w:p>
    <w:p w14:paraId="03D33FD6" w14:textId="77777777" w:rsidR="00DF410E" w:rsidRDefault="00CE7F43">
      <w:r>
        <w:t xml:space="preserve">Il s'agit de la réalisation d'une isolation suivant les prescriptions de l'article </w:t>
      </w:r>
      <w:hyperlink r:id="rId403" w:history="1" w:docLocation="653">
        <w:r>
          <w:t>32.41.3c Isolation en panneaux - fibres de bois (WF)</w:t>
        </w:r>
      </w:hyperlink>
      <w:r>
        <w:t>.</w:t>
      </w:r>
    </w:p>
    <w:p w14:paraId="5A44945C" w14:textId="77777777" w:rsidR="00DF410E" w:rsidRDefault="00CE7F43">
      <w:pPr>
        <w:pStyle w:val="pheading"/>
      </w:pPr>
      <w:r>
        <w:t>MATÉRIAUX</w:t>
      </w:r>
    </w:p>
    <w:p w14:paraId="13FC804A" w14:textId="77777777" w:rsidR="00DF410E" w:rsidRDefault="00CE7F43">
      <w:pPr>
        <w:pStyle w:val="pheading"/>
      </w:pPr>
      <w:r>
        <w:t>- Caractéristiques générales</w:t>
      </w:r>
    </w:p>
    <w:p w14:paraId="58D25BD1" w14:textId="77777777" w:rsidR="00DF410E" w:rsidRDefault="00CE7F43">
      <w:r>
        <w:t xml:space="preserve">Voir article </w:t>
      </w:r>
      <w:hyperlink r:id="rId404" w:history="1" w:docLocation="653">
        <w:r>
          <w:t>32.41.3c Isolation en panneaux - fibres de bois (WF)</w:t>
        </w:r>
      </w:hyperlink>
    </w:p>
    <w:p w14:paraId="19193EF7" w14:textId="77777777" w:rsidR="00DF410E" w:rsidRDefault="00CE7F43">
      <w:pPr>
        <w:pStyle w:val="pheading"/>
      </w:pPr>
      <w:r>
        <w:t>- Finitions</w:t>
      </w:r>
    </w:p>
    <w:p w14:paraId="78913BA1" w14:textId="77777777" w:rsidR="00DF410E" w:rsidRDefault="00CE7F43">
      <w:r>
        <w:t>Voir article </w:t>
      </w:r>
      <w:hyperlink r:id="rId405" w:history="1" w:docLocation="653">
        <w:r>
          <w:t>32.41.3c Isolation en panneaux - fibres de bois (WF)</w:t>
        </w:r>
      </w:hyperlink>
    </w:p>
    <w:p w14:paraId="76A98EA3" w14:textId="77777777" w:rsidR="00DF410E" w:rsidRDefault="00CE7F43">
      <w:pPr>
        <w:pStyle w:val="pheading"/>
      </w:pPr>
      <w:r>
        <w:t>- Prescriptions complémentaires</w:t>
      </w:r>
    </w:p>
    <w:p w14:paraId="61D20CDB" w14:textId="77777777" w:rsidR="00DF410E" w:rsidRDefault="00CE7F43">
      <w:r>
        <w:t>Voir article </w:t>
      </w:r>
      <w:hyperlink r:id="rId406" w:history="1" w:docLocation="653">
        <w:r>
          <w:t>32.41.3c Isolation en panneaux - fibres de bois (WF)</w:t>
        </w:r>
      </w:hyperlink>
    </w:p>
    <w:p w14:paraId="52442152" w14:textId="77777777" w:rsidR="00DF410E" w:rsidRDefault="00CE7F43">
      <w:pPr>
        <w:pStyle w:val="pheading"/>
      </w:pPr>
      <w:r>
        <w:t>EXÉCUTION / MISE EN ŒUVRE</w:t>
      </w:r>
    </w:p>
    <w:p w14:paraId="1ABF38FB" w14:textId="77777777" w:rsidR="00DF410E" w:rsidRDefault="00CE7F43">
      <w:pPr>
        <w:pStyle w:val="pheading"/>
      </w:pPr>
      <w:r>
        <w:t>- Prescriptions générales</w:t>
      </w:r>
    </w:p>
    <w:p w14:paraId="34F9C821" w14:textId="77777777" w:rsidR="00DF410E" w:rsidRDefault="00CE7F43">
      <w:r>
        <w:t>Voir article </w:t>
      </w:r>
      <w:hyperlink r:id="rId407" w:history="1" w:docLocation="653">
        <w:r>
          <w:t>32.41.3c Isolation en panneaux - fibres de bois (WF)</w:t>
        </w:r>
      </w:hyperlink>
    </w:p>
    <w:p w14:paraId="6D7F76BF" w14:textId="77777777" w:rsidR="00DF410E" w:rsidRDefault="00CE7F43">
      <w:pPr>
        <w:pStyle w:val="pheading"/>
      </w:pPr>
      <w:r>
        <w:t>DOCUMENTS DE RÉFÉRENCE COMPLÉMENTAIRES</w:t>
      </w:r>
    </w:p>
    <w:p w14:paraId="4DFB78A5" w14:textId="77777777" w:rsidR="00DF410E" w:rsidRDefault="00CE7F43">
      <w:pPr>
        <w:pStyle w:val="pheading"/>
      </w:pPr>
      <w:r>
        <w:t>- Matériau</w:t>
      </w:r>
    </w:p>
    <w:p w14:paraId="43502423" w14:textId="77777777" w:rsidR="00DF410E" w:rsidRDefault="004016E8">
      <w:hyperlink r:id="rId408" w:history="1" w:docLocation="653">
        <w:r w:rsidR="00CE7F43">
          <w:t>32.41.3c Isolation en panneaux - fibres de bois (WF)</w:t>
        </w:r>
      </w:hyperlink>
    </w:p>
    <w:p w14:paraId="74873684" w14:textId="77777777" w:rsidR="00DF410E" w:rsidRDefault="00CE7F43">
      <w:pPr>
        <w:pStyle w:val="pheading"/>
      </w:pPr>
      <w:r>
        <w:t>- Exécution</w:t>
      </w:r>
    </w:p>
    <w:p w14:paraId="02436410" w14:textId="77777777" w:rsidR="00DF410E" w:rsidRDefault="004016E8">
      <w:hyperlink r:id="rId409" w:history="1" w:docLocation="653">
        <w:r w:rsidR="00CE7F43">
          <w:t>32.41.3c Isolation en panneaux - fibres de bois (WF)</w:t>
        </w:r>
      </w:hyperlink>
    </w:p>
    <w:p w14:paraId="6E6261E6" w14:textId="77777777" w:rsidR="00DF410E" w:rsidRDefault="00CE7F43">
      <w:pPr>
        <w:pStyle w:val="pheading"/>
      </w:pPr>
      <w:r>
        <w:t>MESURAGE</w:t>
      </w:r>
    </w:p>
    <w:p w14:paraId="4F529537" w14:textId="77777777" w:rsidR="00DF410E" w:rsidRDefault="00CE7F43">
      <w:pPr>
        <w:pStyle w:val="pheading"/>
      </w:pPr>
      <w:r>
        <w:t>- unité de mesure:</w:t>
      </w:r>
    </w:p>
    <w:p w14:paraId="2E3335AD" w14:textId="77777777" w:rsidR="00DF410E" w:rsidRDefault="00CE7F43">
      <w:r>
        <w:t>m²</w:t>
      </w:r>
    </w:p>
    <w:p w14:paraId="7D9EE764" w14:textId="77777777" w:rsidR="00DF410E" w:rsidRDefault="00CE7F43">
      <w:pPr>
        <w:pStyle w:val="pheading"/>
      </w:pPr>
      <w:r>
        <w:t>- code de mesurage:</w:t>
      </w:r>
    </w:p>
    <w:p w14:paraId="541FD459" w14:textId="77777777" w:rsidR="00DF410E" w:rsidRDefault="00CE7F43">
      <w:r>
        <w:t>Distinction faite suivant l'épaisseur.</w:t>
      </w:r>
      <w:r>
        <w:br/>
      </w:r>
    </w:p>
    <w:p w14:paraId="64223F42" w14:textId="77777777" w:rsidR="00DF410E" w:rsidRDefault="00CE7F43">
      <w:pPr>
        <w:pStyle w:val="Author-eListParagraph"/>
        <w:numPr>
          <w:ilvl w:val="0"/>
          <w:numId w:val="1120"/>
        </w:numPr>
      </w:pPr>
      <w:r>
        <w:t xml:space="preserve">Isolation des </w:t>
      </w:r>
      <w:r>
        <w:rPr>
          <w:b/>
        </w:rPr>
        <w:t>parois verticales : Surface nette</w:t>
      </w:r>
      <w:r>
        <w:t>. Les ouvertures supérieures à 0,50 m² sont déduites</w:t>
      </w:r>
    </w:p>
    <w:p w14:paraId="10E1BA85" w14:textId="77777777" w:rsidR="00DF410E" w:rsidRDefault="00CE7F43">
      <w:pPr>
        <w:pStyle w:val="Author-eListParagraph"/>
        <w:numPr>
          <w:ilvl w:val="0"/>
          <w:numId w:val="1120"/>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3EBD373D" w14:textId="77777777" w:rsidR="00DF410E" w:rsidRDefault="00CE7F43">
      <w:pPr>
        <w:pStyle w:val="pheading"/>
      </w:pPr>
      <w:r>
        <w:t>- nature du marché:</w:t>
      </w:r>
    </w:p>
    <w:p w14:paraId="7BFCFE77" w14:textId="77777777" w:rsidR="00DF410E" w:rsidRDefault="00CE7F43">
      <w:r>
        <w:t>QF</w:t>
      </w:r>
    </w:p>
    <w:p w14:paraId="33BB1D3B" w14:textId="77777777" w:rsidR="00DF410E" w:rsidRDefault="00CE7F43">
      <w:pPr>
        <w:pStyle w:val="Author-eSectionHeading6"/>
      </w:pPr>
      <w:bookmarkStart w:id="1938" w:name="_Toc178838984"/>
      <w:r>
        <w:t>26.41.3d Isolation en panneaux - cellulose CCTB 01.11</w:t>
      </w:r>
      <w:bookmarkEnd w:id="1938"/>
    </w:p>
    <w:p w14:paraId="2C5D3FF8" w14:textId="77777777" w:rsidR="00DF410E" w:rsidRDefault="00CE7F43">
      <w:pPr>
        <w:pStyle w:val="pheading"/>
      </w:pPr>
      <w:r>
        <w:t>MATÉRIAUX</w:t>
      </w:r>
    </w:p>
    <w:p w14:paraId="106BD747" w14:textId="77777777" w:rsidR="00DF410E" w:rsidRDefault="00CE7F43">
      <w:pPr>
        <w:pStyle w:val="pheading"/>
      </w:pPr>
      <w:r>
        <w:t>- Caractéristiques générales</w:t>
      </w:r>
    </w:p>
    <w:p w14:paraId="142E6B87" w14:textId="77777777" w:rsidR="00DF410E" w:rsidRDefault="00CE7F43">
      <w:r>
        <w:t xml:space="preserve">Voir article </w:t>
      </w:r>
      <w:hyperlink r:id="rId410" w:history="1" w:docLocation="654">
        <w:hyperlink r:id="rId411" w:history="1" w:docLocation="654">
          <w:r>
            <w:t>32.41.3d Isolation en panneaux - cellulose</w:t>
          </w:r>
        </w:hyperlink>
      </w:hyperlink>
    </w:p>
    <w:p w14:paraId="53DFDE60" w14:textId="77777777" w:rsidR="00DF410E" w:rsidRDefault="00CE7F43">
      <w:pPr>
        <w:pStyle w:val="pheading"/>
      </w:pPr>
      <w:r>
        <w:t>- Prescriptions complémentaires</w:t>
      </w:r>
    </w:p>
    <w:p w14:paraId="4E62FBE4" w14:textId="77777777" w:rsidR="00DF410E" w:rsidRDefault="00CE7F43">
      <w:r>
        <w:t xml:space="preserve">Voir article </w:t>
      </w:r>
      <w:hyperlink r:id="rId412" w:history="1" w:docLocation="654">
        <w:hyperlink r:id="rId413" w:history="1" w:docLocation="654">
          <w:r>
            <w:t>32.41.3d Isolation en panneaux - cellulose</w:t>
          </w:r>
        </w:hyperlink>
      </w:hyperlink>
    </w:p>
    <w:p w14:paraId="46662CB3" w14:textId="77777777" w:rsidR="00DF410E" w:rsidRDefault="00CE7F43">
      <w:pPr>
        <w:pStyle w:val="pheading"/>
      </w:pPr>
      <w:r>
        <w:t>EXÉCUTION / MISE EN ŒUVRE</w:t>
      </w:r>
    </w:p>
    <w:p w14:paraId="58CDA4D2" w14:textId="77777777" w:rsidR="00DF410E" w:rsidRDefault="00CE7F43">
      <w:pPr>
        <w:pStyle w:val="pheading"/>
      </w:pPr>
      <w:r>
        <w:t>- Prescriptions générales</w:t>
      </w:r>
    </w:p>
    <w:p w14:paraId="6438E54D" w14:textId="77777777" w:rsidR="00DF410E" w:rsidRDefault="00CE7F43">
      <w:r>
        <w:t xml:space="preserve">Voir article </w:t>
      </w:r>
      <w:hyperlink r:id="rId414" w:history="1" w:docLocation="654">
        <w:hyperlink r:id="rId415" w:history="1" w:docLocation="654">
          <w:r>
            <w:t>32.41.3d Isolation en panneaux - cellulose</w:t>
          </w:r>
        </w:hyperlink>
      </w:hyperlink>
    </w:p>
    <w:p w14:paraId="75C1B314" w14:textId="77777777" w:rsidR="00DF410E" w:rsidRDefault="00CE7F43">
      <w:pPr>
        <w:pStyle w:val="pheading"/>
      </w:pPr>
      <w:r>
        <w:t>DOCUMENTS DE RÉFÉRENCE COMPLÉMENTAIRES</w:t>
      </w:r>
    </w:p>
    <w:p w14:paraId="23000CFD" w14:textId="77777777" w:rsidR="00DF410E" w:rsidRDefault="00CE7F43">
      <w:pPr>
        <w:pStyle w:val="pheading"/>
      </w:pPr>
      <w:r>
        <w:t>- Matériau</w:t>
      </w:r>
    </w:p>
    <w:p w14:paraId="53FF102A" w14:textId="77777777" w:rsidR="00DF410E" w:rsidRDefault="00CE7F43">
      <w:r>
        <w:t xml:space="preserve">Voir </w:t>
      </w:r>
      <w:hyperlink r:id="rId416" w:history="1" w:docLocation="654">
        <w:r>
          <w:t>32.41.3d Isolation en panneaux - cellulose</w:t>
        </w:r>
      </w:hyperlink>
    </w:p>
    <w:p w14:paraId="7B1BF551" w14:textId="77777777" w:rsidR="00DF410E" w:rsidRDefault="00CE7F43">
      <w:pPr>
        <w:pStyle w:val="pheading"/>
      </w:pPr>
      <w:r>
        <w:t>- Exécution</w:t>
      </w:r>
    </w:p>
    <w:p w14:paraId="7A9F315D" w14:textId="77777777" w:rsidR="00DF410E" w:rsidRDefault="00CE7F43">
      <w:r>
        <w:t xml:space="preserve">Voir </w:t>
      </w:r>
      <w:hyperlink r:id="rId417" w:history="1" w:docLocation="654">
        <w:r>
          <w:t>32.41.3d Isolation en panneaux - cellulose</w:t>
        </w:r>
      </w:hyperlink>
    </w:p>
    <w:p w14:paraId="4835B040" w14:textId="77777777" w:rsidR="00DF410E" w:rsidRDefault="00CE7F43">
      <w:pPr>
        <w:pStyle w:val="pheading"/>
      </w:pPr>
      <w:r>
        <w:t>MESURAGE</w:t>
      </w:r>
    </w:p>
    <w:p w14:paraId="4EB75DA4" w14:textId="77777777" w:rsidR="00DF410E" w:rsidRDefault="00CE7F43">
      <w:pPr>
        <w:pStyle w:val="pheading"/>
      </w:pPr>
      <w:r>
        <w:t>- unité de mesure:</w:t>
      </w:r>
    </w:p>
    <w:p w14:paraId="6B9046F9" w14:textId="77777777" w:rsidR="00DF410E" w:rsidRDefault="00CE7F43">
      <w:r>
        <w:t>m²</w:t>
      </w:r>
    </w:p>
    <w:p w14:paraId="18FFBBF7" w14:textId="77777777" w:rsidR="00DF410E" w:rsidRDefault="00CE7F43">
      <w:pPr>
        <w:pStyle w:val="pheading"/>
      </w:pPr>
      <w:r>
        <w:t>- code de mesurage:</w:t>
      </w:r>
    </w:p>
    <w:p w14:paraId="25DAAFCD" w14:textId="77777777" w:rsidR="00DF410E" w:rsidRDefault="00CE7F43">
      <w:r>
        <w:t>Distinction faite suivant l'épaisseur.</w:t>
      </w:r>
      <w:r>
        <w:br/>
      </w:r>
    </w:p>
    <w:p w14:paraId="5197005F" w14:textId="77777777" w:rsidR="00DF410E" w:rsidRDefault="00CE7F43">
      <w:pPr>
        <w:pStyle w:val="Author-eListParagraph"/>
        <w:numPr>
          <w:ilvl w:val="0"/>
          <w:numId w:val="1121"/>
        </w:numPr>
      </w:pPr>
      <w:r>
        <w:t xml:space="preserve">Isolation des </w:t>
      </w:r>
      <w:r>
        <w:rPr>
          <w:b/>
        </w:rPr>
        <w:t>parois verticales : Surface nette</w:t>
      </w:r>
      <w:r>
        <w:t>. Les ouvertures supérieures à 0,50 m² sont déduites</w:t>
      </w:r>
    </w:p>
    <w:p w14:paraId="28F61F7E" w14:textId="77777777" w:rsidR="00DF410E" w:rsidRDefault="00CE7F43">
      <w:pPr>
        <w:pStyle w:val="Author-eListParagraph"/>
        <w:numPr>
          <w:ilvl w:val="0"/>
          <w:numId w:val="1121"/>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0522FC98" w14:textId="77777777" w:rsidR="00DF410E" w:rsidRDefault="00CE7F43">
      <w:pPr>
        <w:pStyle w:val="pheading"/>
      </w:pPr>
      <w:r>
        <w:t>- nature du marché:</w:t>
      </w:r>
    </w:p>
    <w:p w14:paraId="2A410233" w14:textId="77777777" w:rsidR="00DF410E" w:rsidRDefault="00CE7F43">
      <w:r>
        <w:t>QF</w:t>
      </w:r>
    </w:p>
    <w:p w14:paraId="1AFE3419" w14:textId="77777777" w:rsidR="00DF410E" w:rsidRDefault="00CE7F43">
      <w:pPr>
        <w:pStyle w:val="Author-eSectionHeading6"/>
      </w:pPr>
      <w:bookmarkStart w:id="1939" w:name="_Toc178838985"/>
      <w:r>
        <w:t>26.41.3e Isolation en panneaux - laine de chanvre CCTB 01.11</w:t>
      </w:r>
      <w:bookmarkEnd w:id="1939"/>
    </w:p>
    <w:p w14:paraId="25216732" w14:textId="77777777" w:rsidR="00DF410E" w:rsidRDefault="00CE7F43">
      <w:pPr>
        <w:pStyle w:val="pheading"/>
      </w:pPr>
      <w:r>
        <w:t>MATÉRIAUX</w:t>
      </w:r>
    </w:p>
    <w:p w14:paraId="0D80A0EA" w14:textId="77777777" w:rsidR="00DF410E" w:rsidRDefault="00CE7F43">
      <w:pPr>
        <w:pStyle w:val="pheading"/>
      </w:pPr>
      <w:r>
        <w:t>- Caractéristiques générales</w:t>
      </w:r>
    </w:p>
    <w:p w14:paraId="1AA9E9E2" w14:textId="77777777" w:rsidR="00DF410E" w:rsidRDefault="00CE7F43">
      <w:r>
        <w:t xml:space="preserve">Voir article </w:t>
      </w:r>
      <w:hyperlink r:id="rId418" w:history="1" w:docLocation="655">
        <w:hyperlink r:id="rId419" w:history="1" w:docLocation="655">
          <w:r>
            <w:t>32.41.3e Isolation en panneaux - laine de chanvre</w:t>
          </w:r>
        </w:hyperlink>
      </w:hyperlink>
    </w:p>
    <w:p w14:paraId="037E3169" w14:textId="77777777" w:rsidR="00DF410E" w:rsidRDefault="00CE7F43">
      <w:pPr>
        <w:pStyle w:val="pheading"/>
      </w:pPr>
      <w:r>
        <w:t>- Prescriptions complémentaires</w:t>
      </w:r>
    </w:p>
    <w:p w14:paraId="1B3A465D" w14:textId="77777777" w:rsidR="00DF410E" w:rsidRDefault="00CE7F43">
      <w:r>
        <w:t xml:space="preserve">Voir article </w:t>
      </w:r>
      <w:hyperlink r:id="rId420" w:history="1" w:docLocation="655">
        <w:hyperlink r:id="rId421" w:history="1" w:docLocation="655">
          <w:r>
            <w:t>32.41.3e Isolation en panneaux - laine de chanvre</w:t>
          </w:r>
        </w:hyperlink>
      </w:hyperlink>
    </w:p>
    <w:p w14:paraId="25AA20A0" w14:textId="77777777" w:rsidR="00DF410E" w:rsidRDefault="00CE7F43">
      <w:pPr>
        <w:pStyle w:val="pheading"/>
      </w:pPr>
      <w:r>
        <w:t>EXÉCUTION / MISE EN ŒUVRE</w:t>
      </w:r>
    </w:p>
    <w:p w14:paraId="0AB24E81" w14:textId="77777777" w:rsidR="00DF410E" w:rsidRDefault="00CE7F43">
      <w:pPr>
        <w:pStyle w:val="pheading"/>
      </w:pPr>
      <w:r>
        <w:t>- Prescriptions générales</w:t>
      </w:r>
    </w:p>
    <w:p w14:paraId="757A5D10" w14:textId="77777777" w:rsidR="00DF410E" w:rsidRDefault="00CE7F43">
      <w:r>
        <w:t xml:space="preserve">Voir article </w:t>
      </w:r>
      <w:hyperlink r:id="rId422" w:history="1" w:docLocation="655">
        <w:hyperlink r:id="rId423" w:history="1" w:docLocation="655">
          <w:r>
            <w:t>32.41.3e Isolation en panneaux - laine de chanvre</w:t>
          </w:r>
        </w:hyperlink>
      </w:hyperlink>
    </w:p>
    <w:p w14:paraId="72512379" w14:textId="77777777" w:rsidR="00DF410E" w:rsidRDefault="00CE7F43">
      <w:pPr>
        <w:pStyle w:val="pheading"/>
      </w:pPr>
      <w:r>
        <w:t>DOCUMENTS DE RÉFÉRENCE COMPLÉMENTAIRES</w:t>
      </w:r>
    </w:p>
    <w:p w14:paraId="2DCAD21E" w14:textId="77777777" w:rsidR="00DF410E" w:rsidRDefault="00CE7F43">
      <w:pPr>
        <w:pStyle w:val="pheading"/>
      </w:pPr>
      <w:r>
        <w:t>- Matériau</w:t>
      </w:r>
    </w:p>
    <w:p w14:paraId="58EB97CC" w14:textId="77777777" w:rsidR="00DF410E" w:rsidRDefault="004016E8">
      <w:hyperlink r:id="rId424" w:history="1" w:docLocation="655">
        <w:r w:rsidR="00CE7F43">
          <w:t>32.41.3e Isolation en panneaux - laine de chanvre</w:t>
        </w:r>
      </w:hyperlink>
    </w:p>
    <w:p w14:paraId="612B5136" w14:textId="77777777" w:rsidR="00DF410E" w:rsidRDefault="00CE7F43">
      <w:pPr>
        <w:pStyle w:val="pheading"/>
      </w:pPr>
      <w:r>
        <w:t>- Exécution</w:t>
      </w:r>
    </w:p>
    <w:p w14:paraId="55D7783B" w14:textId="77777777" w:rsidR="00DF410E" w:rsidRDefault="004016E8">
      <w:hyperlink r:id="rId425" w:history="1" w:docLocation="655">
        <w:r w:rsidR="00CE7F43">
          <w:t>32.41.3e Isolation en panneaux - laine de chanvre</w:t>
        </w:r>
      </w:hyperlink>
    </w:p>
    <w:p w14:paraId="462C53B0" w14:textId="77777777" w:rsidR="00DF410E" w:rsidRDefault="00CE7F43">
      <w:pPr>
        <w:pStyle w:val="pheading"/>
      </w:pPr>
      <w:r>
        <w:t>MESURAGE</w:t>
      </w:r>
    </w:p>
    <w:p w14:paraId="2D936220" w14:textId="77777777" w:rsidR="00DF410E" w:rsidRDefault="00CE7F43">
      <w:pPr>
        <w:pStyle w:val="pheading"/>
      </w:pPr>
      <w:r>
        <w:t>- unité de mesure:</w:t>
      </w:r>
    </w:p>
    <w:p w14:paraId="0A2841A4" w14:textId="77777777" w:rsidR="00DF410E" w:rsidRDefault="00CE7F43">
      <w:r>
        <w:t>m²</w:t>
      </w:r>
    </w:p>
    <w:p w14:paraId="456AE627" w14:textId="77777777" w:rsidR="00DF410E" w:rsidRDefault="00CE7F43">
      <w:pPr>
        <w:pStyle w:val="pheading"/>
      </w:pPr>
      <w:r>
        <w:t>- code de mesurage:</w:t>
      </w:r>
    </w:p>
    <w:p w14:paraId="310C3B23" w14:textId="77777777" w:rsidR="00DF410E" w:rsidRDefault="00CE7F43">
      <w:r>
        <w:t>Distinction faite suivant l'épaisseur.</w:t>
      </w:r>
      <w:r>
        <w:br/>
      </w:r>
    </w:p>
    <w:p w14:paraId="3D4586CE" w14:textId="77777777" w:rsidR="00DF410E" w:rsidRDefault="00CE7F43">
      <w:pPr>
        <w:pStyle w:val="Author-eListParagraph"/>
        <w:numPr>
          <w:ilvl w:val="0"/>
          <w:numId w:val="1122"/>
        </w:numPr>
      </w:pPr>
      <w:r>
        <w:t xml:space="preserve">Isolation des </w:t>
      </w:r>
      <w:r>
        <w:rPr>
          <w:b/>
        </w:rPr>
        <w:t>parois verticales : Surface nette</w:t>
      </w:r>
      <w:r>
        <w:t>. Les ouvertures supérieures à 0,50 m² sont déduites</w:t>
      </w:r>
    </w:p>
    <w:p w14:paraId="2F51658D" w14:textId="77777777" w:rsidR="00DF410E" w:rsidRDefault="00CE7F43">
      <w:pPr>
        <w:pStyle w:val="Author-eListParagraph"/>
        <w:numPr>
          <w:ilvl w:val="0"/>
          <w:numId w:val="1122"/>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60B1AE75" w14:textId="77777777" w:rsidR="00DF410E" w:rsidRDefault="00CE7F43">
      <w:pPr>
        <w:pStyle w:val="pheading"/>
      </w:pPr>
      <w:r>
        <w:t>- nature du marché:</w:t>
      </w:r>
    </w:p>
    <w:p w14:paraId="1B7EAF59" w14:textId="77777777" w:rsidR="00DF410E" w:rsidRDefault="00CE7F43">
      <w:r>
        <w:t>QF</w:t>
      </w:r>
    </w:p>
    <w:p w14:paraId="6619B1F0" w14:textId="77777777" w:rsidR="00DF410E" w:rsidRDefault="00CE7F43">
      <w:pPr>
        <w:pStyle w:val="Author-eSectionHeading6"/>
      </w:pPr>
      <w:bookmarkStart w:id="1940" w:name="_Toc178838986"/>
      <w:r>
        <w:t>26.41.3f (titre réservé) CCTB 01.04</w:t>
      </w:r>
      <w:bookmarkEnd w:id="1940"/>
    </w:p>
    <w:p w14:paraId="02CC1E68" w14:textId="77777777" w:rsidR="00DF410E" w:rsidRDefault="00CE7F43">
      <w:pPr>
        <w:pStyle w:val="Author-eSectionHeading6"/>
      </w:pPr>
      <w:bookmarkStart w:id="1941" w:name="_Toc178838987"/>
      <w:r>
        <w:t>26.41.3g (titre réservé) CCTB 01.04</w:t>
      </w:r>
      <w:bookmarkEnd w:id="1941"/>
    </w:p>
    <w:p w14:paraId="6BB72391" w14:textId="77777777" w:rsidR="00DF410E" w:rsidRDefault="00CE7F43">
      <w:pPr>
        <w:pStyle w:val="Author-eSectionHeading6"/>
      </w:pPr>
      <w:bookmarkStart w:id="1942" w:name="_Toc178838988"/>
      <w:r>
        <w:t>26.41.3h (titre réservé) CCTB 01.04</w:t>
      </w:r>
      <w:bookmarkEnd w:id="1942"/>
    </w:p>
    <w:p w14:paraId="6BDC5CD3" w14:textId="77777777" w:rsidR="00DF410E" w:rsidRDefault="00CE7F43">
      <w:pPr>
        <w:pStyle w:val="Author-eSectionHeading6"/>
      </w:pPr>
      <w:bookmarkStart w:id="1943" w:name="_Toc178838989"/>
      <w:r>
        <w:t>26.41.3i (titre réservé)</w:t>
      </w:r>
      <w:bookmarkEnd w:id="1943"/>
    </w:p>
    <w:p w14:paraId="7FE1F1D3" w14:textId="77777777" w:rsidR="00DF410E" w:rsidRDefault="00CE7F43">
      <w:pPr>
        <w:pStyle w:val="Author-eSectionHeading6"/>
      </w:pPr>
      <w:bookmarkStart w:id="1944" w:name="_Toc178838990"/>
      <w:r>
        <w:t>26.41.3j (titre réservé)</w:t>
      </w:r>
      <w:bookmarkEnd w:id="1944"/>
    </w:p>
    <w:p w14:paraId="1A073081" w14:textId="77777777" w:rsidR="00DF410E" w:rsidRDefault="00CE7F43">
      <w:pPr>
        <w:pStyle w:val="Author-eSectionHeading6"/>
      </w:pPr>
      <w:bookmarkStart w:id="1945" w:name="_Toc178838991"/>
      <w:r>
        <w:t>26.41.3k (titre réservé)</w:t>
      </w:r>
      <w:bookmarkEnd w:id="1945"/>
    </w:p>
    <w:p w14:paraId="20DC7A4A" w14:textId="77777777" w:rsidR="00DF410E" w:rsidRDefault="00CE7F43">
      <w:pPr>
        <w:pStyle w:val="Author-eSectionHeading6"/>
      </w:pPr>
      <w:bookmarkStart w:id="1946" w:name="_Toc178838992"/>
      <w:r>
        <w:t>26.41.3l (titre réservé)</w:t>
      </w:r>
      <w:bookmarkEnd w:id="1946"/>
    </w:p>
    <w:p w14:paraId="454C2FEA" w14:textId="77777777" w:rsidR="00DF410E" w:rsidRDefault="00CE7F43">
      <w:pPr>
        <w:pStyle w:val="Author-eSectionHeading5"/>
      </w:pPr>
      <w:bookmarkStart w:id="1947" w:name="_Toc178838993"/>
      <w:r>
        <w:t>26.41.4 (titre réservé) CCTB 01.04</w:t>
      </w:r>
      <w:bookmarkEnd w:id="1947"/>
    </w:p>
    <w:p w14:paraId="16D70558" w14:textId="77777777" w:rsidR="00DF410E" w:rsidRDefault="00CE7F43">
      <w:pPr>
        <w:pStyle w:val="Author-eSectionHeading5"/>
      </w:pPr>
      <w:bookmarkStart w:id="1948" w:name="_Toc178838994"/>
      <w:r>
        <w:t>26.41.5 (titre réservé) CCTB 01.04</w:t>
      </w:r>
      <w:bookmarkEnd w:id="1948"/>
    </w:p>
    <w:p w14:paraId="51F4B292" w14:textId="77777777" w:rsidR="00DF410E" w:rsidRDefault="00CE7F43">
      <w:pPr>
        <w:pStyle w:val="Author-eSectionHeading5"/>
      </w:pPr>
      <w:bookmarkStart w:id="1949" w:name="_Toc178838995"/>
      <w:r>
        <w:t>26.41.6 (titre réservé) CCTB 01.04</w:t>
      </w:r>
      <w:bookmarkEnd w:id="1949"/>
    </w:p>
    <w:p w14:paraId="33736E52" w14:textId="77777777" w:rsidR="00DF410E" w:rsidRDefault="00CE7F43">
      <w:pPr>
        <w:pStyle w:val="Author-eSectionHeading4"/>
      </w:pPr>
      <w:bookmarkStart w:id="1950" w:name="_Toc178838996"/>
      <w:r>
        <w:t>26.42 Isolation en rouleaux/matelas CCTB 01.02</w:t>
      </w:r>
      <w:bookmarkEnd w:id="1950"/>
    </w:p>
    <w:p w14:paraId="6E5C0D1D" w14:textId="77777777" w:rsidR="00DF410E" w:rsidRDefault="00CE7F43">
      <w:pPr>
        <w:pStyle w:val="pheading"/>
      </w:pPr>
      <w:bookmarkStart w:id="1951" w:name="659"/>
      <w:bookmarkEnd w:id="1951"/>
      <w:r>
        <w:t>EXÉCUTION / MISE EN ŒUVRE</w:t>
      </w:r>
    </w:p>
    <w:p w14:paraId="5C6FFCC2" w14:textId="77777777" w:rsidR="00DF410E" w:rsidRDefault="00CE7F43">
      <w:r>
        <w:t xml:space="preserve">Voir article </w:t>
      </w:r>
      <w:hyperlink r:id="rId426" w:history="1" w:docLocation="662">
        <w:r>
          <w:t>32.42 Isolation en rouleaux/matelas</w:t>
        </w:r>
      </w:hyperlink>
    </w:p>
    <w:p w14:paraId="4F40759E" w14:textId="77777777" w:rsidR="00DF410E" w:rsidRDefault="00CE7F43">
      <w:pPr>
        <w:pStyle w:val="pheading"/>
      </w:pPr>
      <w:r>
        <w:t>DOCUMENTS DE RÉFÉRENCE</w:t>
      </w:r>
    </w:p>
    <w:p w14:paraId="76ED11C0" w14:textId="77777777" w:rsidR="00DF410E" w:rsidRDefault="00CE7F43">
      <w:pPr>
        <w:pStyle w:val="pheading"/>
      </w:pPr>
      <w:r>
        <w:t>- Matériau</w:t>
      </w:r>
    </w:p>
    <w:p w14:paraId="7FCEED67" w14:textId="77777777" w:rsidR="00DF410E" w:rsidRDefault="004016E8">
      <w:hyperlink r:id="rId427" w:history="1" w:docLocation="662">
        <w:r w:rsidR="00CE7F43">
          <w:t>32.42 Isolation en rouleaux/matelas</w:t>
        </w:r>
      </w:hyperlink>
    </w:p>
    <w:p w14:paraId="407695F5" w14:textId="77777777" w:rsidR="00DF410E" w:rsidRDefault="00CE7F43">
      <w:pPr>
        <w:pStyle w:val="pheading"/>
      </w:pPr>
      <w:r>
        <w:t>- Exécution</w:t>
      </w:r>
    </w:p>
    <w:p w14:paraId="2063B67E" w14:textId="77777777" w:rsidR="00DF410E" w:rsidRDefault="00CE7F43">
      <w:r>
        <w:t>32.42 Isolation en rouleaux/matelas</w:t>
      </w:r>
    </w:p>
    <w:p w14:paraId="2C5CB520" w14:textId="77777777" w:rsidR="00DF410E" w:rsidRDefault="00CE7F43">
      <w:pPr>
        <w:pStyle w:val="Author-eSectionHeading5"/>
      </w:pPr>
      <w:bookmarkStart w:id="1952" w:name="_Toc178838997"/>
      <w:r>
        <w:t>26.42.1 (titre réservé) CCTB 01.04</w:t>
      </w:r>
      <w:bookmarkEnd w:id="1952"/>
    </w:p>
    <w:p w14:paraId="7B9D4CAF" w14:textId="77777777" w:rsidR="00DF410E" w:rsidRDefault="00CE7F43">
      <w:pPr>
        <w:pStyle w:val="Author-eSectionHeading5"/>
      </w:pPr>
      <w:bookmarkStart w:id="1953" w:name="_Toc178838998"/>
      <w:r>
        <w:t>26.42.2 Isolation en rouleaux/matelas - matières minérales CCTB 01.04</w:t>
      </w:r>
      <w:bookmarkEnd w:id="1953"/>
    </w:p>
    <w:p w14:paraId="5C93E164" w14:textId="77777777" w:rsidR="00DF410E" w:rsidRDefault="00CE7F43">
      <w:pPr>
        <w:pStyle w:val="pheading"/>
      </w:pPr>
      <w:r>
        <w:t>DESCRIPTION</w:t>
      </w:r>
    </w:p>
    <w:p w14:paraId="303A9112" w14:textId="77777777" w:rsidR="00DF410E" w:rsidRDefault="00CE7F43">
      <w:pPr>
        <w:pStyle w:val="pheading"/>
      </w:pPr>
      <w:r>
        <w:t>- Définition / Comprend</w:t>
      </w:r>
    </w:p>
    <w:p w14:paraId="51DC2DEA" w14:textId="77777777" w:rsidR="00DF410E" w:rsidRDefault="00CE7F43">
      <w:r>
        <w:t xml:space="preserve">Ce chapitre concerne les isolations en rouleaux décrites à l'article </w:t>
      </w:r>
      <w:hyperlink w:anchor="659" w:history="1">
        <w:r>
          <w:t>26.42 Isolation en rouleaux/matelas</w:t>
        </w:r>
      </w:hyperlink>
    </w:p>
    <w:p w14:paraId="06DA43B3" w14:textId="77777777" w:rsidR="00DF410E" w:rsidRDefault="00CE7F43">
      <w:pPr>
        <w:pStyle w:val="Author-eSectionHeading6"/>
      </w:pPr>
      <w:bookmarkStart w:id="1954" w:name="_Toc178838999"/>
      <w:r>
        <w:t>26.42.2a Isolation en rouleaux/matelas - laine minérale (MW) CCTB 01.12</w:t>
      </w:r>
      <w:bookmarkEnd w:id="1954"/>
    </w:p>
    <w:p w14:paraId="7E63EDC2" w14:textId="77777777" w:rsidR="00DF410E" w:rsidRDefault="00CE7F43">
      <w:pPr>
        <w:pStyle w:val="pheading"/>
      </w:pPr>
      <w:r>
        <w:t>DESCRIPTION</w:t>
      </w:r>
    </w:p>
    <w:p w14:paraId="5AA53378" w14:textId="77777777" w:rsidR="00DF410E" w:rsidRDefault="00CE7F43">
      <w:pPr>
        <w:pStyle w:val="pheading"/>
      </w:pPr>
      <w:r>
        <w:t>- Définition / Comprend</w:t>
      </w:r>
    </w:p>
    <w:p w14:paraId="0EB47683" w14:textId="77777777" w:rsidR="00DF410E" w:rsidRDefault="00CE7F43">
      <w:pPr>
        <w:jc w:val="both"/>
      </w:pPr>
      <w:r>
        <w:t>Il s’agit de la fourniture et de la pose d’une isolation thermique au moyen de rouleaux ou matelas de laine minérale pour une application verticale ou horizontale entre éléments de gros œuvre.</w:t>
      </w:r>
    </w:p>
    <w:p w14:paraId="3C3332FE" w14:textId="77777777" w:rsidR="00DF410E" w:rsidRDefault="00CE7F43">
      <w:pPr>
        <w:pStyle w:val="pheading"/>
      </w:pPr>
      <w:r>
        <w:t>- Localisation</w:t>
      </w:r>
    </w:p>
    <w:p w14:paraId="133804FB" w14:textId="77777777" w:rsidR="00DF410E" w:rsidRDefault="00CE7F43">
      <w:r>
        <w:t>Localisation des travaux :</w:t>
      </w:r>
      <w:r>
        <w:rPr>
          <w:rStyle w:val="optioncarChar"/>
        </w:rPr>
        <w:t xml:space="preserve"> ***</w:t>
      </w:r>
      <w:r>
        <w:t>.</w:t>
      </w:r>
    </w:p>
    <w:p w14:paraId="6723C854" w14:textId="77777777" w:rsidR="00DF410E" w:rsidRDefault="00CE7F43">
      <w:r>
        <w:t>Voir plans et métrés détaillés.</w:t>
      </w:r>
    </w:p>
    <w:p w14:paraId="62C932BA" w14:textId="77777777" w:rsidR="00DF410E" w:rsidRDefault="00CE7F43">
      <w:pPr>
        <w:pStyle w:val="pheading"/>
      </w:pPr>
      <w:r>
        <w:t>MATÉRIAUX</w:t>
      </w:r>
    </w:p>
    <w:p w14:paraId="5BABFF35" w14:textId="77777777" w:rsidR="00DF410E" w:rsidRDefault="00CE7F43">
      <w:pPr>
        <w:pStyle w:val="pheading"/>
      </w:pPr>
      <w:r>
        <w:t>- Caractéristiques générales</w:t>
      </w:r>
    </w:p>
    <w:p w14:paraId="706A74D5" w14:textId="77777777" w:rsidR="00DF410E" w:rsidRDefault="00CE7F43">
      <w:pPr>
        <w:jc w:val="both"/>
      </w:pPr>
      <w:r>
        <w:t xml:space="preserve">Voir </w:t>
      </w:r>
      <w:hyperlink r:id="rId428" w:history="1" w:docLocation="658">
        <w:r>
          <w:t>32.42.2a Isolation en rouleaux/matelas - laine minérale (MW)</w:t>
        </w:r>
      </w:hyperlink>
    </w:p>
    <w:p w14:paraId="3F1114C0" w14:textId="77777777" w:rsidR="00DF410E" w:rsidRDefault="00CE7F43">
      <w:pPr>
        <w:jc w:val="both"/>
      </w:pPr>
      <w:r>
        <w:t xml:space="preserve">Largeur des rouleaux:  </w:t>
      </w:r>
      <w:r>
        <w:rPr>
          <w:rStyle w:val="optioncarChar"/>
        </w:rPr>
        <w:t>400/ 600</w:t>
      </w:r>
      <w:r>
        <w:t xml:space="preserve"> (par défaut) </w:t>
      </w:r>
      <w:r>
        <w:rPr>
          <w:rStyle w:val="optioncarChar"/>
        </w:rPr>
        <w:t>/ 1200 / ***</w:t>
      </w:r>
      <w:r>
        <w:t> mm</w:t>
      </w:r>
    </w:p>
    <w:p w14:paraId="0D55EFE1" w14:textId="77777777" w:rsidR="00DF410E" w:rsidRDefault="00CE7F43">
      <w:pPr>
        <w:jc w:val="both"/>
      </w:pPr>
      <w:r>
        <w:t xml:space="preserve">Epaisseur totale de l’isolation: </w:t>
      </w:r>
      <w:r>
        <w:rPr>
          <w:rStyle w:val="optioncarChar"/>
        </w:rPr>
        <w:t>***</w:t>
      </w:r>
      <w:r>
        <w:t> mm</w:t>
      </w:r>
    </w:p>
    <w:p w14:paraId="34E05452" w14:textId="77777777" w:rsidR="00DF410E" w:rsidRDefault="00CE7F43">
      <w:pPr>
        <w:jc w:val="both"/>
      </w:pPr>
      <w:r>
        <w:t xml:space="preserve">Conductivité thermique (selon [NBN EN 12667] ou selon [NBN EN 12939] pour les produits épais) : valeur λ= max.  </w:t>
      </w:r>
      <w:r>
        <w:rPr>
          <w:rStyle w:val="optioncarChar"/>
        </w:rPr>
        <w:t>0.035</w:t>
      </w:r>
      <w:r>
        <w:t xml:space="preserve"> (par défaut) </w:t>
      </w:r>
      <w:r>
        <w:rPr>
          <w:rStyle w:val="optioncarChar"/>
        </w:rPr>
        <w:t>/ ***</w:t>
      </w:r>
      <w:r>
        <w:t> W/mK</w:t>
      </w:r>
    </w:p>
    <w:p w14:paraId="1D0F8F81" w14:textId="77777777" w:rsidR="00DF410E" w:rsidRDefault="00CE7F43">
      <w:pPr>
        <w:jc w:val="both"/>
      </w:pPr>
      <w:r>
        <w:t xml:space="preserve">L’isolant de rouleau/matelas de laine de roche dispose d’une déclaration d’aptitude à l’utilisation tels que définis dans le chapitre </w:t>
      </w:r>
      <w:hyperlink r:id="rId429" w:history="1" w:docLocation="68">
        <w:r>
          <w:t>02.42.1 Critères d'acceptabilité</w:t>
        </w:r>
      </w:hyperlink>
      <w:r>
        <w:t>.</w:t>
      </w:r>
    </w:p>
    <w:p w14:paraId="790106CD" w14:textId="77777777" w:rsidR="00DF410E" w:rsidRDefault="00CE7F43">
      <w:pPr>
        <w:pStyle w:val="pheading"/>
      </w:pPr>
      <w:r>
        <w:t>- Finitions</w:t>
      </w:r>
    </w:p>
    <w:p w14:paraId="376ED67E" w14:textId="77777777" w:rsidR="00DF410E" w:rsidRDefault="00CE7F43">
      <w:pPr>
        <w:jc w:val="both"/>
      </w:pPr>
      <w:r>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w:t>
      </w:r>
      <w:r>
        <w:t xml:space="preserve"> (par défaut) </w:t>
      </w:r>
      <w:r>
        <w:rPr>
          <w:rStyle w:val="optioncarChar"/>
        </w:rPr>
        <w:t>/ les deux côtés / aucun côté du rouleau.</w:t>
      </w:r>
    </w:p>
    <w:p w14:paraId="32276888" w14:textId="77777777" w:rsidR="00DF410E" w:rsidRDefault="00CE7F43">
      <w:pPr>
        <w:pStyle w:val="pheading"/>
      </w:pPr>
      <w:r>
        <w:t>- Prescriptions complémentaires</w:t>
      </w:r>
    </w:p>
    <w:p w14:paraId="2CE1EB32" w14:textId="77777777" w:rsidR="00DF410E" w:rsidRDefault="00CE7F43">
      <w:pPr>
        <w:jc w:val="both"/>
      </w:pPr>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r>
        <w:t>.</w:t>
      </w:r>
    </w:p>
    <w:p w14:paraId="7208A312" w14:textId="77777777" w:rsidR="00DF410E" w:rsidRDefault="00CE7F43">
      <w:pPr>
        <w:jc w:val="both"/>
      </w:pPr>
      <w:r>
        <w:rPr>
          <w:rStyle w:val="facultChar"/>
        </w:rPr>
        <w:t>Réaction au feu selon</w:t>
      </w:r>
      <w:r>
        <w:t> [NBN EN 13501-1]   :</w:t>
      </w:r>
      <w:r>
        <w:rPr>
          <w:rStyle w:val="optioncarChar"/>
        </w:rPr>
        <w:t xml:space="preserve"> A1</w:t>
      </w:r>
      <w:r>
        <w:t xml:space="preserve"> (par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w:t>
      </w:r>
      <w:r>
        <w:rPr>
          <w:rStyle w:val="facultChar"/>
        </w:rPr>
        <w:t>et</w:t>
      </w:r>
      <w:r>
        <w:t>  </w:t>
      </w:r>
      <w:r>
        <w:rPr>
          <w:rStyle w:val="optioncarChar"/>
        </w:rPr>
        <w:t>d0</w:t>
      </w:r>
      <w:r>
        <w:t xml:space="preserve"> (par défaut) </w:t>
      </w:r>
      <w:r>
        <w:rPr>
          <w:rStyle w:val="optioncarChar"/>
        </w:rPr>
        <w:t>/ d1 / d2</w:t>
      </w:r>
      <w:r>
        <w:t>.  </w:t>
      </w:r>
    </w:p>
    <w:p w14:paraId="5064D56F" w14:textId="77777777" w:rsidR="00DF410E" w:rsidRDefault="00CE7F43">
      <w:pPr>
        <w:jc w:val="both"/>
      </w:pPr>
      <w:r>
        <w:rPr>
          <w:rStyle w:val="facultChar"/>
        </w:rPr>
        <w:t>La résistance à la diffusion de la vapeur d’eau (μ) suivant</w:t>
      </w:r>
      <w:r>
        <w:t xml:space="preserve">[NBN EN 12086] : </w:t>
      </w:r>
      <w:r>
        <w:rPr>
          <w:rStyle w:val="optioncarChar"/>
        </w:rPr>
        <w:t>1</w:t>
      </w:r>
      <w:r>
        <w:t xml:space="preserve"> (par défaut) </w:t>
      </w:r>
      <w:r>
        <w:rPr>
          <w:rStyle w:val="optioncarChar"/>
        </w:rPr>
        <w:t>/ ***</w:t>
      </w:r>
    </w:p>
    <w:p w14:paraId="475CF2BE" w14:textId="77777777" w:rsidR="00DF410E" w:rsidRDefault="00CE7F43">
      <w:pPr>
        <w:jc w:val="both"/>
      </w:pPr>
      <w:r>
        <w:rPr>
          <w:rStyle w:val="facultChar"/>
        </w:rPr>
        <w:t>La résistance au passage de l’air (selon [NBN EN ISO 9053-1]):  &gt;</w:t>
      </w:r>
      <w:r>
        <w:t xml:space="preserve">  </w:t>
      </w:r>
      <w:r>
        <w:rPr>
          <w:rStyle w:val="optioncarChar"/>
        </w:rPr>
        <w:t>55</w:t>
      </w:r>
      <w:r>
        <w:t xml:space="preserve"> (par défaut) </w:t>
      </w:r>
      <w:r>
        <w:rPr>
          <w:rStyle w:val="optioncarChar"/>
        </w:rPr>
        <w:t>/ ***</w:t>
      </w:r>
      <w:r>
        <w:rPr>
          <w:rStyle w:val="facultChar"/>
        </w:rPr>
        <w:t>kPa.s/m²</w:t>
      </w:r>
    </w:p>
    <w:p w14:paraId="53D940AF" w14:textId="77777777" w:rsidR="00DF410E" w:rsidRDefault="00CE7F43">
      <w:pPr>
        <w:jc w:val="both"/>
      </w:pPr>
      <w:r>
        <w:rPr>
          <w:rStyle w:val="facultChar"/>
        </w:rPr>
        <w:t>Absorption d’eau à court terme (selon [NBN EN ISO 29767]): &lt;</w:t>
      </w:r>
      <w:r>
        <w:rPr>
          <w:rStyle w:val="optioncarChar"/>
        </w:rPr>
        <w:t>1kg/m²</w:t>
      </w:r>
      <w:r>
        <w:t xml:space="preserve"> (par défaut) </w:t>
      </w:r>
      <w:r>
        <w:rPr>
          <w:rStyle w:val="optioncarChar"/>
        </w:rPr>
        <w:t>/ ***</w:t>
      </w:r>
      <w:r>
        <w:t>  </w:t>
      </w:r>
    </w:p>
    <w:p w14:paraId="5093555C" w14:textId="77777777" w:rsidR="00DF410E" w:rsidRDefault="00CE7F43">
      <w:pPr>
        <w:jc w:val="both"/>
      </w:pPr>
      <w:r>
        <w:rPr>
          <w:rStyle w:val="facultChar"/>
        </w:rPr>
        <w:t>Absorption d’eau à long terme (selon [NBN EN ISO 16535:2019]): &lt;</w:t>
      </w:r>
      <w:r>
        <w:rPr>
          <w:rStyle w:val="optioncarChar"/>
        </w:rPr>
        <w:t>3kg/m²</w:t>
      </w:r>
      <w:r>
        <w:t xml:space="preserve"> (par défaut) </w:t>
      </w:r>
      <w:r>
        <w:rPr>
          <w:rStyle w:val="optioncarChar"/>
        </w:rPr>
        <w:t>/ ***</w:t>
      </w:r>
      <w:r>
        <w:t>  </w:t>
      </w:r>
    </w:p>
    <w:p w14:paraId="3F3E97D1" w14:textId="77777777" w:rsidR="00DF410E" w:rsidRDefault="00CE7F43">
      <w:pPr>
        <w:jc w:val="both"/>
      </w:pPr>
      <w:r>
        <w:rPr>
          <w:rStyle w:val="facultChar"/>
        </w:rPr>
        <w:t>Coefficient de résistance à la diffusion de vapeur d’eau – valeur μ (selon [NBN EN 12086]):</w:t>
      </w:r>
      <w:r>
        <w:t xml:space="preserve">  </w:t>
      </w:r>
      <w:r>
        <w:rPr>
          <w:rStyle w:val="optioncarChar"/>
        </w:rPr>
        <w:t>***</w:t>
      </w:r>
    </w:p>
    <w:p w14:paraId="5F530E42" w14:textId="77777777" w:rsidR="00DF410E" w:rsidRDefault="00CE7F43">
      <w:pPr>
        <w:jc w:val="both"/>
      </w:pPr>
      <w:r>
        <w:rPr>
          <w:rStyle w:val="facultChar"/>
        </w:rPr>
        <w:t>Absorption acoustique (déterminée selon [NBN EN ISO 354] et [NBN EN ISO 11654]) :</w:t>
      </w:r>
      <w:r>
        <w:t> </w:t>
      </w:r>
      <w:r>
        <w:rPr>
          <w:rStyle w:val="optioncarChar"/>
        </w:rPr>
        <w:t>*** </w:t>
      </w:r>
    </w:p>
    <w:p w14:paraId="1056D1F2" w14:textId="77777777" w:rsidR="00DF410E" w:rsidRDefault="00CE7F43">
      <w:pPr>
        <w:jc w:val="both"/>
      </w:pPr>
      <w:r>
        <w:t> </w:t>
      </w:r>
    </w:p>
    <w:p w14:paraId="6DC0EDD4" w14:textId="77777777" w:rsidR="00DF410E" w:rsidRDefault="00CE7F43">
      <w:pPr>
        <w:jc w:val="both"/>
      </w:pPr>
      <w:r>
        <w:rPr>
          <w:rStyle w:val="facultChar"/>
        </w:rPr>
        <w:t>Les liants des rouleaux et d’adhésion du revêtement de surface ne contiennent pas de formaldéhyde. Le dégagement mesuré selon la [NBN EN 717-1] est inférieur à</w:t>
      </w:r>
      <w:r>
        <w:t xml:space="preserve">  </w:t>
      </w:r>
      <w:r>
        <w:rPr>
          <w:rStyle w:val="optioncarChar"/>
        </w:rPr>
        <w:t>0.124 mg/m³</w:t>
      </w:r>
      <w:r>
        <w:t xml:space="preserve">  (par défaut) </w:t>
      </w:r>
      <w:r>
        <w:rPr>
          <w:rStyle w:val="optioncarChar"/>
        </w:rPr>
        <w:t>/ ***</w:t>
      </w:r>
      <w:r>
        <w:t>  </w:t>
      </w:r>
    </w:p>
    <w:p w14:paraId="1D70D1B5" w14:textId="77777777" w:rsidR="00DF410E" w:rsidRDefault="00CE7F43">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  </w:t>
      </w:r>
    </w:p>
    <w:p w14:paraId="0C29D19E" w14:textId="77777777" w:rsidR="00DF410E" w:rsidRDefault="00CE7F43">
      <w:pPr>
        <w:jc w:val="both"/>
      </w:pPr>
      <w:r>
        <w:rPr>
          <w:rStyle w:val="facultChar"/>
        </w:rPr>
        <w:t>Les liants des rouleaux sont issus de</w:t>
      </w:r>
      <w:r>
        <w:t> </w:t>
      </w:r>
      <w:r>
        <w:rPr>
          <w:rStyle w:val="optioncarChar"/>
        </w:rPr>
        <w:t>matières premières végétales</w:t>
      </w:r>
      <w:r>
        <w:t xml:space="preserve"> (par défaut) </w:t>
      </w:r>
      <w:r>
        <w:rPr>
          <w:rStyle w:val="optioncarChar"/>
        </w:rPr>
        <w:t>/ dérivés pétrochimiques / ***</w:t>
      </w:r>
      <w:r>
        <w:t>.</w:t>
      </w:r>
    </w:p>
    <w:p w14:paraId="3B5B4B1A" w14:textId="77777777" w:rsidR="00DF410E" w:rsidRDefault="00CE7F43">
      <w:pPr>
        <w:jc w:val="both"/>
      </w:pPr>
      <w:r>
        <w:rPr>
          <w:rStyle w:val="facultChar"/>
        </w:rPr>
        <w:t>La laine minérale produite contient au moins</w:t>
      </w:r>
      <w:r>
        <w:t xml:space="preserve">  </w:t>
      </w:r>
      <w:r>
        <w:rPr>
          <w:rStyle w:val="optioncarChar"/>
        </w:rPr>
        <w:t>***</w:t>
      </w:r>
      <w:r>
        <w:t>  </w:t>
      </w:r>
      <w:r>
        <w:rPr>
          <w:rStyle w:val="facultChar"/>
        </w:rPr>
        <w:t>% de matière recyclée.</w:t>
      </w:r>
    </w:p>
    <w:p w14:paraId="385D00D5" w14:textId="77777777" w:rsidR="00DF410E" w:rsidRDefault="00CE7F43">
      <w:pPr>
        <w:pStyle w:val="pheading"/>
      </w:pPr>
      <w:r>
        <w:t>EXÉCUTION / MISE EN ŒUVRE</w:t>
      </w:r>
    </w:p>
    <w:p w14:paraId="62F5C3CB" w14:textId="77777777" w:rsidR="00DF410E" w:rsidRDefault="00CE7F43">
      <w:pPr>
        <w:pStyle w:val="pheading"/>
      </w:pPr>
      <w:r>
        <w:t>- Prescriptions générales</w:t>
      </w:r>
    </w:p>
    <w:p w14:paraId="0965297A" w14:textId="77777777" w:rsidR="00DF410E" w:rsidRDefault="00CE7F43">
      <w:pPr>
        <w:jc w:val="both"/>
      </w:pPr>
      <w:r>
        <w:t>Les rouleaux sont contigus. Les espaces éventuels entre rouleaux ou de liaison avec les parois sont comblés avec un isolant de même type.</w:t>
      </w:r>
    </w:p>
    <w:p w14:paraId="08F4E1EC" w14:textId="77777777" w:rsidR="00DF410E" w:rsidRDefault="00CE7F43">
      <w:pPr>
        <w:jc w:val="both"/>
      </w:pPr>
      <w:r>
        <w:rPr>
          <w:b/>
        </w:rPr>
        <w:t>Pour une application en sol</w:t>
      </w:r>
    </w:p>
    <w:p w14:paraId="358BE1D8" w14:textId="77777777" w:rsidR="00DF410E" w:rsidRDefault="00CE7F43">
      <w:pPr>
        <w:jc w:val="both"/>
      </w:pPr>
      <w:r>
        <w:t xml:space="preserve">Les rouleaux sont disposés entre les lambourdes, chevrons ou poutre. La largeur des rouleaux est au moins supérieure à la largeur libre entre chevrons plus 2cm. L’isolation est posée par </w:t>
      </w:r>
      <w:r>
        <w:rPr>
          <w:rStyle w:val="optioncarChar"/>
        </w:rPr>
        <w:t>le dessus</w:t>
      </w:r>
      <w:r>
        <w:t xml:space="preserve"> (par défaut) / </w:t>
      </w:r>
      <w:r>
        <w:rPr>
          <w:rStyle w:val="optioncarChar"/>
        </w:rPr>
        <w:t>le dessous</w:t>
      </w:r>
      <w:r>
        <w:t xml:space="preserve"> des planchers</w:t>
      </w:r>
    </w:p>
    <w:p w14:paraId="5263DD68" w14:textId="77777777" w:rsidR="00DF410E" w:rsidRDefault="00CE7F43">
      <w:pPr>
        <w:ind w:left="567"/>
        <w:jc w:val="both"/>
      </w:pPr>
      <w:r>
        <w:rPr>
          <w:b/>
          <w:i/>
        </w:rPr>
        <w:t>(Soit par défaut) </w:t>
      </w:r>
    </w:p>
    <w:p w14:paraId="5C31B2A0" w14:textId="77777777" w:rsidR="00DF410E" w:rsidRDefault="00CE7F43">
      <w:pPr>
        <w:ind w:left="567"/>
        <w:jc w:val="both"/>
      </w:pPr>
      <w:r>
        <w:rPr>
          <w:rStyle w:val="soitChar"/>
          <w:b/>
          <w:u w:val="single"/>
        </w:rPr>
        <w:t>Par le dessus des planchers</w:t>
      </w:r>
    </w:p>
    <w:p w14:paraId="799E87C7" w14:textId="77777777" w:rsidR="00DF410E" w:rsidRDefault="00CE7F43">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t>.</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w:t>
      </w:r>
    </w:p>
    <w:p w14:paraId="51CBCD76" w14:textId="77777777" w:rsidR="00DF410E" w:rsidRDefault="00CE7F43">
      <w:pPr>
        <w:ind w:left="567"/>
        <w:jc w:val="both"/>
      </w:pPr>
      <w:r>
        <w:rPr>
          <w:b/>
          <w:i/>
        </w:rPr>
        <w:t>(Soit) </w:t>
      </w:r>
    </w:p>
    <w:p w14:paraId="1295FE90" w14:textId="77777777" w:rsidR="00DF410E" w:rsidRDefault="00CE7F43">
      <w:pPr>
        <w:ind w:left="567"/>
        <w:jc w:val="both"/>
      </w:pPr>
      <w:r>
        <w:rPr>
          <w:rStyle w:val="soitChar"/>
          <w:b/>
          <w:u w:val="single"/>
        </w:rPr>
        <w:t>Par le dessous des planchers</w:t>
      </w:r>
    </w:p>
    <w:p w14:paraId="1F5393DC" w14:textId="77777777" w:rsidR="00DF410E" w:rsidRDefault="00CE7F43">
      <w:pPr>
        <w:ind w:left="567"/>
        <w:jc w:val="both"/>
      </w:pPr>
      <w:r>
        <w:rPr>
          <w:rStyle w:val="soitChar"/>
        </w:rPr>
        <w:t xml:space="preserve"> Le placement de l’isolation est assuré par</w:t>
      </w:r>
      <w:r>
        <w:t>   </w:t>
      </w:r>
      <w:r>
        <w:rPr>
          <w:rStyle w:val="optioncarChar"/>
        </w:rPr>
        <w:t>agrafage à raison de 5 par m et par côté</w:t>
      </w:r>
      <w:r>
        <w:t xml:space="preserve"> (par défaut) </w:t>
      </w:r>
      <w:r>
        <w:rPr>
          <w:rStyle w:val="optioncarChar"/>
        </w:rPr>
        <w:t>/ par lattage (latte de minimum 15x23mm espacées de 30 cm) / ***</w:t>
      </w:r>
      <w:r>
        <w:t xml:space="preserve">. </w:t>
      </w:r>
      <w:r>
        <w:rPr>
          <w:rStyle w:val="soitChar"/>
        </w:rPr>
        <w:t>Le parement est disposé en</w:t>
      </w:r>
      <w:r>
        <w:t>  </w:t>
      </w:r>
      <w:r>
        <w:rPr>
          <w:rStyle w:val="optioncarChar"/>
        </w:rPr>
        <w:t>partie supérieure</w:t>
      </w:r>
      <w:r>
        <w:t xml:space="preserve"> (par défaut) </w:t>
      </w:r>
      <w:r>
        <w:rPr>
          <w:rStyle w:val="optioncarChar"/>
        </w:rPr>
        <w:t>/ partie inférieure / ***</w:t>
      </w:r>
      <w:r>
        <w:t>.</w:t>
      </w:r>
    </w:p>
    <w:p w14:paraId="645C2594" w14:textId="77777777" w:rsidR="00DF410E" w:rsidRDefault="00CE7F43">
      <w:pPr>
        <w:jc w:val="both"/>
      </w:pPr>
      <w:r>
        <w:t> </w:t>
      </w:r>
      <w:r>
        <w:rPr>
          <w:b/>
        </w:rPr>
        <w:t>Pour une application verticale</w:t>
      </w:r>
    </w:p>
    <w:p w14:paraId="3E1A839F" w14:textId="77777777" w:rsidR="00DF410E" w:rsidRDefault="00CE7F43">
      <w:pPr>
        <w:jc w:val="both"/>
      </w:pPr>
      <w:r>
        <w:t>Les rouleaux sont disposés entre montants, chevrons ou poutres. La largeur des rouleaux est au moins supérieure à la largeur libre entre montants plus 2cm.</w:t>
      </w:r>
    </w:p>
    <w:p w14:paraId="1A3830F9" w14:textId="77777777" w:rsidR="00DF410E" w:rsidRDefault="00CE7F43">
      <w:pPr>
        <w:jc w:val="both"/>
      </w:pPr>
      <w:r>
        <w:t xml:space="preserve">Le parement est disposé en partie </w:t>
      </w:r>
      <w:r>
        <w:rPr>
          <w:rStyle w:val="optioncarChar"/>
        </w:rPr>
        <w:t>extérieure</w:t>
      </w:r>
      <w:r>
        <w:t xml:space="preserve"> (par défaut)</w:t>
      </w:r>
      <w:r>
        <w:rPr>
          <w:rStyle w:val="optioncarChar"/>
        </w:rPr>
        <w:t xml:space="preserve"> / intérieure / ***</w:t>
      </w:r>
      <w:r>
        <w:t>.</w:t>
      </w:r>
    </w:p>
    <w:p w14:paraId="78BB7B7F" w14:textId="77777777" w:rsidR="00DF410E" w:rsidRDefault="00CE7F43">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p>
    <w:p w14:paraId="4B7DBC6F" w14:textId="77777777" w:rsidR="00DF410E" w:rsidRDefault="00CE7F43">
      <w:pPr>
        <w:ind w:left="567"/>
        <w:jc w:val="both"/>
      </w:pPr>
      <w:r>
        <w:rPr>
          <w:b/>
          <w:i/>
        </w:rPr>
        <w:t>(Soit par défaut) </w:t>
      </w:r>
    </w:p>
    <w:p w14:paraId="31B2CD8F" w14:textId="77777777" w:rsidR="00DF410E" w:rsidRDefault="00CE7F43">
      <w:pPr>
        <w:ind w:left="567"/>
        <w:jc w:val="both"/>
      </w:pPr>
      <w:r>
        <w:rPr>
          <w:rStyle w:val="soitChar"/>
          <w:b/>
          <w:u w:val="single"/>
        </w:rPr>
        <w:t>Par fixation mécanique</w:t>
      </w:r>
    </w:p>
    <w:p w14:paraId="3384BB9F" w14:textId="77777777" w:rsidR="00DF410E" w:rsidRDefault="00CE7F43">
      <w:pPr>
        <w:ind w:left="567"/>
        <w:jc w:val="both"/>
      </w:pPr>
      <w:r>
        <w:rPr>
          <w:rStyle w:val="soitChar"/>
        </w:rPr>
        <w:t xml:space="preserve"> Les fixations sont au nombre de</w:t>
      </w:r>
      <w:r>
        <w:rPr>
          <w:rStyle w:val="soitChar"/>
          <w:color w:val="000000"/>
        </w:rPr>
        <w:t> </w:t>
      </w:r>
      <w:r>
        <w:rPr>
          <w:rStyle w:val="optioncarChar"/>
        </w:rPr>
        <w:t>5 par m²</w:t>
      </w:r>
      <w:r>
        <w:t xml:space="preserve"> (par défaut)</w:t>
      </w:r>
      <w:r>
        <w:rPr>
          <w:rStyle w:val="optioncarChar"/>
        </w:rPr>
        <w:t xml:space="preserve"> / 8 par m² / ***</w:t>
      </w:r>
      <w:r>
        <w:t xml:space="preserve">. </w:t>
      </w:r>
      <w:r>
        <w:rPr>
          <w:rStyle w:val="soitChar"/>
        </w:rPr>
        <w:t>Elles sont munies de</w:t>
      </w:r>
      <w:r>
        <w:t>  </w:t>
      </w:r>
      <w:r>
        <w:rPr>
          <w:rStyle w:val="optioncarChar"/>
        </w:rPr>
        <w:t>rosace (cheville) métallique / rosace (cheville) synthétique</w:t>
      </w:r>
      <w:r>
        <w:t xml:space="preserve"> (par défaut)</w:t>
      </w:r>
      <w:r>
        <w:rPr>
          <w:rStyle w:val="optioncarChar"/>
        </w:rPr>
        <w:t xml:space="preserve"> / ***</w:t>
      </w:r>
      <w:r>
        <w:t xml:space="preserve">. </w:t>
      </w:r>
      <w:r>
        <w:rPr>
          <w:rStyle w:val="soitChar"/>
        </w:rPr>
        <w:t>L’ancrage dans la paroi porteuse est</w:t>
      </w:r>
      <w:r>
        <w:t>  </w:t>
      </w:r>
      <w:r>
        <w:rPr>
          <w:rStyle w:val="optioncarChar"/>
        </w:rPr>
        <w:t>métallique / synthétique</w:t>
      </w:r>
      <w:r>
        <w:t xml:space="preserve"> (par défaut).  </w:t>
      </w:r>
      <w:r>
        <w:rPr>
          <w:rStyle w:val="soitChar"/>
        </w:rPr>
        <w:t>Les ancrages sont</w:t>
      </w:r>
      <w:r>
        <w:t>  </w:t>
      </w:r>
      <w:r>
        <w:rPr>
          <w:rStyle w:val="optioncarChar"/>
        </w:rPr>
        <w:t>à visser / frapper</w:t>
      </w:r>
      <w:r>
        <w:t xml:space="preserve"> (par défaut) </w:t>
      </w:r>
      <w:r>
        <w:rPr>
          <w:rStyle w:val="soitChar"/>
        </w:rPr>
        <w:t>et sont adaptés au support</w:t>
      </w:r>
      <w:r>
        <w:t>.</w:t>
      </w:r>
    </w:p>
    <w:p w14:paraId="061E7FFB" w14:textId="77777777" w:rsidR="00DF410E" w:rsidRDefault="00CE7F43">
      <w:pPr>
        <w:ind w:left="567"/>
        <w:jc w:val="both"/>
      </w:pPr>
      <w:r>
        <w:rPr>
          <w:b/>
          <w:i/>
        </w:rPr>
        <w:t>(Soit) </w:t>
      </w:r>
    </w:p>
    <w:p w14:paraId="5B208305" w14:textId="77777777" w:rsidR="00DF410E" w:rsidRDefault="00CE7F43">
      <w:pPr>
        <w:ind w:left="567"/>
        <w:jc w:val="both"/>
      </w:pPr>
      <w:r>
        <w:rPr>
          <w:rStyle w:val="soitChar"/>
          <w:b/>
          <w:u w:val="single"/>
        </w:rPr>
        <w:t>Par serrage et agrafage entre éléments</w:t>
      </w:r>
    </w:p>
    <w:p w14:paraId="094F318F" w14:textId="77777777" w:rsidR="00DF410E" w:rsidRDefault="00CE7F43">
      <w:pPr>
        <w:ind w:left="567"/>
        <w:jc w:val="both"/>
      </w:pPr>
      <w:r>
        <w:rPr>
          <w:rStyle w:val="soitChar"/>
        </w:rPr>
        <w:t>Les rouleaux sont serrés entièrement et découpés à mesure (+ 2 min), le serrage est accompagné d’un</w:t>
      </w:r>
      <w:r>
        <w:t>  </w:t>
      </w:r>
      <w:r>
        <w:rPr>
          <w:rStyle w:val="optioncarChar"/>
        </w:rPr>
        <w:t>agrafage à raison de 5 par m et par côté</w:t>
      </w:r>
      <w:r>
        <w:t xml:space="preserve"> (par défaut)</w:t>
      </w:r>
      <w:r>
        <w:rPr>
          <w:rStyle w:val="optioncarChar"/>
        </w:rPr>
        <w:t xml:space="preserve"> / ***.</w:t>
      </w:r>
    </w:p>
    <w:p w14:paraId="3E2CED27" w14:textId="77777777" w:rsidR="00DF410E" w:rsidRDefault="00CE7F43">
      <w:pPr>
        <w:ind w:left="567"/>
        <w:jc w:val="both"/>
      </w:pPr>
      <w:r>
        <w:rPr>
          <w:b/>
          <w:i/>
        </w:rPr>
        <w:t>(Soit) </w:t>
      </w:r>
    </w:p>
    <w:p w14:paraId="5C92BF77" w14:textId="77777777" w:rsidR="00DF410E" w:rsidRDefault="00CE7F43">
      <w:pPr>
        <w:ind w:left="567"/>
        <w:jc w:val="both"/>
      </w:pPr>
      <w:r>
        <w:rPr>
          <w:rStyle w:val="soitChar"/>
          <w:b/>
          <w:u w:val="single"/>
        </w:rPr>
        <w:t>Par collage</w:t>
      </w:r>
    </w:p>
    <w:p w14:paraId="04C83152" w14:textId="77777777" w:rsidR="00DF410E" w:rsidRDefault="00CE7F43">
      <w:pPr>
        <w:ind w:left="567"/>
        <w:jc w:val="both"/>
      </w:pPr>
      <w:r>
        <w:rPr>
          <w:rStyle w:val="soitChar"/>
        </w:rPr>
        <w:t xml:space="preserve"> Les rouleaux sont fixés à l’aide de colle</w:t>
      </w:r>
      <w:r>
        <w:rPr>
          <w:rStyle w:val="soitChar"/>
          <w:color w:val="000000"/>
        </w:rPr>
        <w:t> </w:t>
      </w:r>
      <w:r>
        <w:rPr>
          <w:rStyle w:val="optioncarChar"/>
        </w:rPr>
        <w:t>PU</w:t>
      </w:r>
      <w:r>
        <w:t xml:space="preserve"> (par défaut)</w:t>
      </w:r>
      <w:r>
        <w:rPr>
          <w:rStyle w:val="optioncarChar"/>
        </w:rPr>
        <w:t xml:space="preserve"> / ***</w:t>
      </w:r>
      <w:r>
        <w:t xml:space="preserve">. </w:t>
      </w:r>
      <w:r>
        <w:rPr>
          <w:rStyle w:val="soitChar"/>
        </w:rPr>
        <w:t>La colle est appliquée en collage</w:t>
      </w:r>
      <w:r>
        <w:t>  </w:t>
      </w:r>
      <w:r>
        <w:rPr>
          <w:rStyle w:val="optioncarChar"/>
        </w:rPr>
        <w:t>partiel à 50%</w:t>
      </w:r>
      <w:r>
        <w:t xml:space="preserve"> (par défaut) /</w:t>
      </w:r>
      <w:r>
        <w:rPr>
          <w:rStyle w:val="optioncarChar"/>
        </w:rPr>
        <w:t xml:space="preserve"> total / ***.</w:t>
      </w:r>
      <w:r>
        <w:rPr>
          <w:rStyle w:val="soitChar"/>
        </w:rPr>
        <w:t>La colle répond aux mêmes exigences que le panneau en termes de formaldéhyde et  de pentachlorophénol.</w:t>
      </w:r>
    </w:p>
    <w:p w14:paraId="0F18B849" w14:textId="77777777" w:rsidR="00DF410E" w:rsidRDefault="00CE7F43">
      <w:pPr>
        <w:ind w:left="567"/>
        <w:jc w:val="both"/>
      </w:pPr>
      <w:r>
        <w:rPr>
          <w:b/>
          <w:i/>
        </w:rPr>
        <w:t>(Soit) </w:t>
      </w:r>
    </w:p>
    <w:p w14:paraId="4262836A" w14:textId="77777777" w:rsidR="00DF410E" w:rsidRDefault="00CE7F43">
      <w:pPr>
        <w:ind w:left="567"/>
        <w:jc w:val="both"/>
      </w:pPr>
      <w:r>
        <w:rPr>
          <w:rStyle w:val="optioncarChar"/>
        </w:rPr>
        <w:t>***</w:t>
      </w:r>
    </w:p>
    <w:p w14:paraId="58584A81" w14:textId="77777777" w:rsidR="00DF410E" w:rsidRDefault="00CE7F43">
      <w:pPr>
        <w:jc w:val="both"/>
      </w:pPr>
      <w:r>
        <w:t>Les détails d’isolation pour les murs creux sont conformes à la [NIT 264].</w:t>
      </w:r>
    </w:p>
    <w:p w14:paraId="4E2F1E44" w14:textId="77777777" w:rsidR="00DF410E" w:rsidRDefault="00CE7F43">
      <w:pPr>
        <w:jc w:val="both"/>
      </w:pPr>
      <w:r>
        <w:t>Les fixations sont conçues et disposées afin de ne pas réduire les performances acoustiques</w:t>
      </w:r>
    </w:p>
    <w:p w14:paraId="00A8E3A9" w14:textId="77777777" w:rsidR="00DF410E" w:rsidRDefault="00CE7F43">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6A326C69" w14:textId="77777777" w:rsidR="00DF410E" w:rsidRDefault="00CE7F43">
      <w:pPr>
        <w:pStyle w:val="pheading"/>
      </w:pPr>
      <w:r>
        <w:t>DOCUMENTS DE RÉFÉRENCE COMPLÉMENTAIRES</w:t>
      </w:r>
    </w:p>
    <w:p w14:paraId="2B75E3D2" w14:textId="77777777" w:rsidR="00DF410E" w:rsidRDefault="00CE7F43">
      <w:pPr>
        <w:pStyle w:val="pheading"/>
      </w:pPr>
      <w:r>
        <w:t>- Matériau</w:t>
      </w:r>
    </w:p>
    <w:p w14:paraId="64B1AEE7"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0F8FB5ED" w14:textId="77777777" w:rsidR="00DF410E" w:rsidRDefault="00CE7F43">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7430F0E" w14:textId="77777777" w:rsidR="00DF410E" w:rsidRDefault="00CE7F43">
      <w:r>
        <w:t>[NBN EN 824, Produits isolants thermiques destinés aux applications du bâtiment - Détermination de l'équerrage]</w:t>
      </w:r>
    </w:p>
    <w:p w14:paraId="02A54A48" w14:textId="77777777" w:rsidR="00DF410E" w:rsidRDefault="00CE7F43">
      <w:r>
        <w:t>[NBN EN 825, Produits isolants thermiques destinés aux applications du bâtiment - Détermination de la planéité]</w:t>
      </w:r>
    </w:p>
    <w:p w14:paraId="1A1F567E" w14:textId="77777777" w:rsidR="00DF410E" w:rsidRDefault="00CE7F43">
      <w:r>
        <w:t>[NBN EN 13501-1, Classement au feu des produits et éléments de construction - Partie 1: Classement à partir des données d'essais de réaction au feu]</w:t>
      </w:r>
    </w:p>
    <w:p w14:paraId="3F45EB4E" w14:textId="77777777" w:rsidR="00DF410E" w:rsidRDefault="00CE7F43">
      <w:r>
        <w:t>[NBN EN 1604, Produits isolants thermiques destinés aux applications du bâtiment - Détermination de la stabilité dimensionnelle dans des conditions de température et d'humidité spécifiées]</w:t>
      </w:r>
    </w:p>
    <w:p w14:paraId="7860DD68" w14:textId="77777777" w:rsidR="00DF410E" w:rsidRDefault="00CE7F43">
      <w:r>
        <w:t>[NBN EN 13162+A1, Produits isolants thermiques pour le bâtiment - Produits manufacturés en laine minérale (MW) - Spécification]</w:t>
      </w:r>
    </w:p>
    <w:p w14:paraId="371AE953" w14:textId="77777777" w:rsidR="00DF410E" w:rsidRDefault="00CE7F43">
      <w:r>
        <w:t>[NBN EN 826, Produits isolants thermiques destinés aux applications du bâtiment - Détermination du comportement en compression]</w:t>
      </w:r>
    </w:p>
    <w:p w14:paraId="1E75E973" w14:textId="77777777" w:rsidR="00DF410E" w:rsidRDefault="00CE7F43">
      <w:r>
        <w:t>[NBN EN 1607, Produits isolants thermiques destinés aux applications du bâtiment - Détermination de la résistance à la traction perpendiculairement aux faces]</w:t>
      </w:r>
    </w:p>
    <w:p w14:paraId="2C89A184" w14:textId="77777777" w:rsidR="00DF410E" w:rsidRDefault="00CE7F43">
      <w:r>
        <w:t>[NBN EN 12430, Produits isolants thermiques destinés aux applications du bâtiment - Détermination du comportement sous charge ponctuelle]</w:t>
      </w:r>
    </w:p>
    <w:p w14:paraId="37061C65" w14:textId="77777777" w:rsidR="00DF410E" w:rsidRDefault="00CE7F43">
      <w:r>
        <w:t>[NBN EN ISO 16534:2020, Produits isolants thermiques destinés aux applications du bâtiment - Détermination du fluage en compression (ISO 16534:2020)]</w:t>
      </w:r>
    </w:p>
    <w:p w14:paraId="007C2790" w14:textId="77777777" w:rsidR="00DF410E" w:rsidRDefault="00CE7F43">
      <w:r>
        <w:t>[NBN EN ISO 29767, Produits isolants thermiques destinés aux applications du bâtiment - Détermination de l'absorption d'eau à court terme par immersion partielle (ISO 29767:2019)]</w:t>
      </w:r>
    </w:p>
    <w:p w14:paraId="36065CC3" w14:textId="77777777" w:rsidR="00DF410E" w:rsidRDefault="00CE7F43">
      <w:r>
        <w:t>[NBN EN ISO 16535:2019, Produits isolants thermiques destinés aux applications du bâtiment - Détermination de l'absorption d'eau à long terme par immersion (ISO 16535:2019)]</w:t>
      </w:r>
    </w:p>
    <w:p w14:paraId="2D216714" w14:textId="77777777" w:rsidR="00DF410E" w:rsidRDefault="00CE7F43">
      <w:r>
        <w:t>[NBN EN 12086, Produits isolants thermiques destinés aux applications du bâtiment - Détermination des propriétés de transmission de la vapeur d'eau]</w:t>
      </w:r>
    </w:p>
    <w:p w14:paraId="757C3F15" w14:textId="77777777" w:rsidR="00DF410E" w:rsidRDefault="00CE7F43">
      <w:r>
        <w:t>[NBN EN ISO 354, Acoustique - Mesurage de l'absorption acoustique en salle réverbérante (ISO 354:2003)]</w:t>
      </w:r>
    </w:p>
    <w:p w14:paraId="3A8CFA25" w14:textId="77777777" w:rsidR="00DF410E" w:rsidRDefault="00CE7F43">
      <w:r>
        <w:t>[NBN EN ISO 11654, Acoustique - Absorbants pour l'utilisation dans les bâtiments - Evaluation de l'absorption acoustique (ISO 11654:1997)]</w:t>
      </w:r>
    </w:p>
    <w:p w14:paraId="4D653E79" w14:textId="77777777" w:rsidR="00DF410E" w:rsidRDefault="00CE7F43">
      <w:pPr>
        <w:pStyle w:val="pheading"/>
      </w:pPr>
      <w:r>
        <w:t>- Exécution</w:t>
      </w:r>
    </w:p>
    <w:p w14:paraId="401A8A6A" w14:textId="77777777" w:rsidR="00DF410E" w:rsidRDefault="00CE7F43">
      <w:r>
        <w:t>[NIT 193, Les chapes. 2e partie: Mise en oeuvre.]</w:t>
      </w:r>
      <w:r>
        <w:br/>
      </w:r>
      <w:r>
        <w:br/>
        <w:t>[NIT 264, Détails de référence pour les murs creux]</w:t>
      </w:r>
    </w:p>
    <w:p w14:paraId="553CD1E8" w14:textId="77777777" w:rsidR="00DF410E" w:rsidRDefault="00CE7F43">
      <w:r>
        <w:t>[NIT 253, Les toitures-parkings. 1ère partie : sollicitations, principes de conception et composition]</w:t>
      </w:r>
    </w:p>
    <w:p w14:paraId="194DA37A" w14:textId="77777777" w:rsidR="00DF410E" w:rsidRDefault="00CE7F43">
      <w:pPr>
        <w:pStyle w:val="pheading"/>
      </w:pPr>
      <w:r>
        <w:t>MESURAGE</w:t>
      </w:r>
    </w:p>
    <w:p w14:paraId="52852BE7" w14:textId="77777777" w:rsidR="00DF410E" w:rsidRDefault="00CE7F43">
      <w:pPr>
        <w:pStyle w:val="pheading"/>
      </w:pPr>
      <w:r>
        <w:t>- unité de mesure:</w:t>
      </w:r>
    </w:p>
    <w:p w14:paraId="59F219AE" w14:textId="77777777" w:rsidR="00DF410E" w:rsidRDefault="00CE7F43">
      <w:r>
        <w:t>m²</w:t>
      </w:r>
    </w:p>
    <w:p w14:paraId="37CFFD1B" w14:textId="77777777" w:rsidR="00DF410E" w:rsidRDefault="00CE7F43">
      <w:pPr>
        <w:pStyle w:val="pheading"/>
      </w:pPr>
      <w:r>
        <w:t>- code de mesurage:</w:t>
      </w:r>
    </w:p>
    <w:p w14:paraId="412DC6EE" w14:textId="77777777" w:rsidR="00DF410E" w:rsidRDefault="00CE7F43">
      <w:pPr>
        <w:jc w:val="both"/>
      </w:pPr>
      <w:r>
        <w:rPr>
          <w:u w:val="single"/>
        </w:rPr>
        <w:t>Isolation des parois verticales</w:t>
      </w:r>
      <w:r>
        <w:t xml:space="preserve"> : </w:t>
      </w:r>
      <w:r>
        <w:rPr>
          <w:b/>
        </w:rPr>
        <w:t>Surface nette</w:t>
      </w:r>
      <w:r>
        <w:t xml:space="preserve"> mise en œuvre. Les ouvertures supérieures à 0,50 m² sont déduites.</w:t>
      </w:r>
    </w:p>
    <w:p w14:paraId="1435754D" w14:textId="77777777" w:rsidR="00DF410E" w:rsidRDefault="00CE7F43">
      <w:pPr>
        <w:jc w:val="both"/>
      </w:pPr>
      <w:r>
        <w:rPr>
          <w:u w:val="single"/>
        </w:rPr>
        <w:t>Isolation entre chevrons</w:t>
      </w:r>
      <w:r>
        <w:t xml:space="preserve"> : </w:t>
      </w:r>
      <w:r>
        <w:rPr>
          <w:b/>
        </w:rPr>
        <w:t>Surface nette</w:t>
      </w:r>
      <w:r>
        <w:t xml:space="preserve"> à isoler, sans déduction des éléments de structure interposés (chevrons, fermes). Les réservations inférieures à 1 m² ne sont pas déduites.</w:t>
      </w:r>
    </w:p>
    <w:p w14:paraId="61E1C078" w14:textId="77777777" w:rsidR="00DF410E" w:rsidRDefault="00CE7F43">
      <w:pPr>
        <w:jc w:val="both"/>
      </w:pPr>
      <w:r>
        <w:rPr>
          <w:u w:val="single"/>
        </w:rPr>
        <w:t>Isolation des parois horizontales</w:t>
      </w:r>
      <w:r>
        <w:t xml:space="preserve"> :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 le type de fixation.</w:t>
      </w:r>
    </w:p>
    <w:p w14:paraId="2CA1AFF5" w14:textId="77777777" w:rsidR="00DF410E" w:rsidRDefault="00CE7F43">
      <w:pPr>
        <w:jc w:val="both"/>
      </w:pPr>
      <w:r>
        <w:t>Distinction faite suivant l'épaisseur.</w:t>
      </w:r>
    </w:p>
    <w:p w14:paraId="51E82737" w14:textId="77777777" w:rsidR="00DF410E" w:rsidRDefault="00CE7F43">
      <w:pPr>
        <w:pStyle w:val="pheading"/>
      </w:pPr>
      <w:r>
        <w:t>- nature du marché:</w:t>
      </w:r>
    </w:p>
    <w:p w14:paraId="52354152" w14:textId="77777777" w:rsidR="00DF410E" w:rsidRDefault="00CE7F43">
      <w:r>
        <w:t>QF</w:t>
      </w:r>
    </w:p>
    <w:p w14:paraId="6017C68C" w14:textId="77777777" w:rsidR="00DF410E" w:rsidRDefault="00CE7F43">
      <w:pPr>
        <w:pStyle w:val="Author-eSectionHeading5"/>
      </w:pPr>
      <w:bookmarkStart w:id="1955" w:name="_Toc178839000"/>
      <w:r>
        <w:t>26.42.3 Isolation en rouleaux/matelas - matières végétales CCTB 01.04</w:t>
      </w:r>
      <w:bookmarkEnd w:id="1955"/>
    </w:p>
    <w:p w14:paraId="0B28C7F2" w14:textId="77777777" w:rsidR="00DF410E" w:rsidRDefault="00CE7F43">
      <w:pPr>
        <w:pStyle w:val="pheading"/>
      </w:pPr>
      <w:r>
        <w:t>DOCUMENTS DE RÉFÉRENCE</w:t>
      </w:r>
    </w:p>
    <w:p w14:paraId="368B55A6" w14:textId="77777777" w:rsidR="00DF410E" w:rsidRDefault="00CE7F43">
      <w:pPr>
        <w:pStyle w:val="pheading"/>
      </w:pPr>
      <w:r>
        <w:t>- Matériau</w:t>
      </w:r>
    </w:p>
    <w:p w14:paraId="1A6186C4" w14:textId="77777777" w:rsidR="00DF410E" w:rsidRDefault="004016E8">
      <w:hyperlink r:id="rId430" w:history="1" w:docLocation="661">
        <w:r w:rsidR="00CE7F43">
          <w:t>32.42.3 Isolation en rouleaux/matelas - matières végétales</w:t>
        </w:r>
      </w:hyperlink>
    </w:p>
    <w:p w14:paraId="2A7BCF4B" w14:textId="77777777" w:rsidR="00DF410E" w:rsidRDefault="00CE7F43">
      <w:pPr>
        <w:pStyle w:val="pheading"/>
      </w:pPr>
      <w:r>
        <w:t>- Exécution</w:t>
      </w:r>
    </w:p>
    <w:p w14:paraId="6ACC2BA9" w14:textId="77777777" w:rsidR="00DF410E" w:rsidRDefault="004016E8">
      <w:hyperlink r:id="rId431" w:history="1" w:docLocation="661">
        <w:r w:rsidR="00CE7F43">
          <w:t>32.42.3 Isolation en rouleaux/matelas - matières végétales</w:t>
        </w:r>
      </w:hyperlink>
    </w:p>
    <w:p w14:paraId="35B3F42C" w14:textId="77777777" w:rsidR="00DF410E" w:rsidRDefault="00CE7F43">
      <w:pPr>
        <w:pStyle w:val="Author-eSectionHeading6"/>
      </w:pPr>
      <w:bookmarkStart w:id="1956" w:name="_Toc178839001"/>
      <w:r>
        <w:t>26.42.3a Isolation en rouleaux/matelas - liège (ICB) CCTB 01.11</w:t>
      </w:r>
      <w:bookmarkEnd w:id="1956"/>
    </w:p>
    <w:p w14:paraId="53AB068A" w14:textId="77777777" w:rsidR="00DF410E" w:rsidRDefault="00CE7F43">
      <w:pPr>
        <w:pStyle w:val="pheading"/>
      </w:pPr>
      <w:r>
        <w:t>MATÉRIAUX</w:t>
      </w:r>
    </w:p>
    <w:p w14:paraId="6326ABB4" w14:textId="77777777" w:rsidR="00DF410E" w:rsidRDefault="00CE7F43">
      <w:pPr>
        <w:pStyle w:val="pheading"/>
      </w:pPr>
      <w:r>
        <w:t>- Caractéristiques générales</w:t>
      </w:r>
    </w:p>
    <w:p w14:paraId="5D9614D8" w14:textId="77777777" w:rsidR="00DF410E" w:rsidRDefault="00CE7F43">
      <w:r>
        <w:t xml:space="preserve">Voir article </w:t>
      </w:r>
      <w:hyperlink r:id="rId432" w:history="1" w:docLocation="660">
        <w:hyperlink r:id="rId433" w:history="1" w:docLocation="660">
          <w:r>
            <w:t>32.42.3a Isolation en rouleaux/matelas - liège (ICB)</w:t>
          </w:r>
        </w:hyperlink>
      </w:hyperlink>
    </w:p>
    <w:p w14:paraId="61AA975B" w14:textId="77777777" w:rsidR="00DF410E" w:rsidRDefault="00CE7F43">
      <w:pPr>
        <w:pStyle w:val="pheading"/>
      </w:pPr>
      <w:r>
        <w:t>DOCUMENTS DE RÉFÉRENCE COMPLÉMENTAIRES</w:t>
      </w:r>
    </w:p>
    <w:p w14:paraId="687D65AF" w14:textId="77777777" w:rsidR="00DF410E" w:rsidRDefault="00CE7F43">
      <w:pPr>
        <w:pStyle w:val="pheading"/>
      </w:pPr>
      <w:r>
        <w:t>- Matériau</w:t>
      </w:r>
    </w:p>
    <w:p w14:paraId="2DB2CC6F" w14:textId="77777777" w:rsidR="00DF410E" w:rsidRDefault="004016E8">
      <w:hyperlink r:id="rId434" w:history="1" w:docLocation="660">
        <w:r w:rsidR="00CE7F43">
          <w:t>32.42.3a Isolation en rouleaux/matelas - liège (ICB)</w:t>
        </w:r>
      </w:hyperlink>
    </w:p>
    <w:p w14:paraId="3F597A58" w14:textId="77777777" w:rsidR="00DF410E" w:rsidRDefault="00CE7F43">
      <w:pPr>
        <w:pStyle w:val="pheading"/>
      </w:pPr>
      <w:r>
        <w:t>- Exécution</w:t>
      </w:r>
    </w:p>
    <w:p w14:paraId="66B74866" w14:textId="77777777" w:rsidR="00DF410E" w:rsidRDefault="004016E8">
      <w:hyperlink r:id="rId435" w:history="1" w:docLocation="660">
        <w:r w:rsidR="00CE7F43">
          <w:t>32.42.3a Isolation en rouleaux/matelas - liège (ICB)</w:t>
        </w:r>
      </w:hyperlink>
    </w:p>
    <w:p w14:paraId="2061675E" w14:textId="77777777" w:rsidR="00DF410E" w:rsidRDefault="00CE7F43">
      <w:pPr>
        <w:pStyle w:val="pheading"/>
      </w:pPr>
      <w:r>
        <w:t>MESURAGE</w:t>
      </w:r>
    </w:p>
    <w:p w14:paraId="53C753B8" w14:textId="77777777" w:rsidR="00DF410E" w:rsidRDefault="00CE7F43">
      <w:pPr>
        <w:pStyle w:val="pheading"/>
      </w:pPr>
      <w:r>
        <w:t>- unité de mesure:</w:t>
      </w:r>
    </w:p>
    <w:p w14:paraId="20E39A21" w14:textId="77777777" w:rsidR="00DF410E" w:rsidRDefault="00CE7F43">
      <w:r>
        <w:t>m²</w:t>
      </w:r>
    </w:p>
    <w:p w14:paraId="569CA71F" w14:textId="77777777" w:rsidR="00DF410E" w:rsidRDefault="00CE7F43">
      <w:pPr>
        <w:pStyle w:val="pheading"/>
      </w:pPr>
      <w:r>
        <w:t>- code de mesurage:</w:t>
      </w:r>
    </w:p>
    <w:p w14:paraId="52C446DF" w14:textId="77777777" w:rsidR="00DF410E" w:rsidRDefault="00CE7F43">
      <w:r>
        <w:t>Distinction faite suivant l'épaisseur.</w:t>
      </w:r>
      <w:r>
        <w:br/>
      </w:r>
    </w:p>
    <w:p w14:paraId="4EDFC775" w14:textId="77777777" w:rsidR="00DF410E" w:rsidRDefault="00CE7F43">
      <w:pPr>
        <w:pStyle w:val="Author-eListParagraph"/>
        <w:numPr>
          <w:ilvl w:val="0"/>
          <w:numId w:val="1123"/>
        </w:numPr>
      </w:pPr>
      <w:r>
        <w:t xml:space="preserve">Isolation des </w:t>
      </w:r>
      <w:r>
        <w:rPr>
          <w:b/>
        </w:rPr>
        <w:t>parois verticales : Surface nette</w:t>
      </w:r>
      <w:r>
        <w:t>. Les ouvertures supérieures à 0,50 m² sont déduites</w:t>
      </w:r>
    </w:p>
    <w:p w14:paraId="79F3A34D" w14:textId="77777777" w:rsidR="00DF410E" w:rsidRDefault="00CE7F43">
      <w:pPr>
        <w:pStyle w:val="Author-eListParagraph"/>
        <w:numPr>
          <w:ilvl w:val="0"/>
          <w:numId w:val="1123"/>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12CCABF9" w14:textId="77777777" w:rsidR="00DF410E" w:rsidRDefault="00CE7F43">
      <w:pPr>
        <w:pStyle w:val="pheading"/>
      </w:pPr>
      <w:r>
        <w:t>- nature du marché:</w:t>
      </w:r>
    </w:p>
    <w:p w14:paraId="50EE319E" w14:textId="77777777" w:rsidR="00DF410E" w:rsidRDefault="00CE7F43">
      <w:r>
        <w:t>QF</w:t>
      </w:r>
      <w:r>
        <w:br/>
      </w:r>
    </w:p>
    <w:p w14:paraId="5CF26326" w14:textId="77777777" w:rsidR="00DF410E" w:rsidRDefault="00CE7F43">
      <w:pPr>
        <w:pStyle w:val="Author-eSectionHeading6"/>
      </w:pPr>
      <w:bookmarkStart w:id="1957" w:name="_Toc178839002"/>
      <w:r>
        <w:t>26.42.3b (titre réservé) CCTB 01.04</w:t>
      </w:r>
      <w:bookmarkEnd w:id="1957"/>
    </w:p>
    <w:p w14:paraId="59D28018" w14:textId="77777777" w:rsidR="00DF410E" w:rsidRDefault="00CE7F43">
      <w:pPr>
        <w:pStyle w:val="Author-eSectionHeading6"/>
      </w:pPr>
      <w:bookmarkStart w:id="1958" w:name="_Toc178839003"/>
      <w:r>
        <w:t>26.42.3c (titre réservé) CCTB 01.04</w:t>
      </w:r>
      <w:bookmarkEnd w:id="1958"/>
    </w:p>
    <w:p w14:paraId="7B890A02" w14:textId="77777777" w:rsidR="00DF410E" w:rsidRDefault="00CE7F43">
      <w:pPr>
        <w:pStyle w:val="Author-eSectionHeading6"/>
      </w:pPr>
      <w:bookmarkStart w:id="1959" w:name="_Toc178839004"/>
      <w:r>
        <w:t>26.42.3d (titre réservé) CCTB 01.04</w:t>
      </w:r>
      <w:bookmarkEnd w:id="1959"/>
    </w:p>
    <w:p w14:paraId="5351E124" w14:textId="77777777" w:rsidR="00DF410E" w:rsidRDefault="00CE7F43">
      <w:pPr>
        <w:pStyle w:val="Author-eSectionHeading6"/>
      </w:pPr>
      <w:bookmarkStart w:id="1960" w:name="_Toc178839005"/>
      <w:r>
        <w:t>26.42.3e (titre réservé) CCTB 01.04</w:t>
      </w:r>
      <w:bookmarkEnd w:id="1960"/>
    </w:p>
    <w:p w14:paraId="07370A02" w14:textId="77777777" w:rsidR="00DF410E" w:rsidRDefault="00CE7F43">
      <w:pPr>
        <w:pStyle w:val="Author-eSectionHeading6"/>
      </w:pPr>
      <w:bookmarkStart w:id="1961" w:name="_Toc178839006"/>
      <w:r>
        <w:t>26.42.3f (titre réservé)</w:t>
      </w:r>
      <w:bookmarkEnd w:id="1961"/>
    </w:p>
    <w:p w14:paraId="65879FBA" w14:textId="77777777" w:rsidR="00DF410E" w:rsidRDefault="00CE7F43">
      <w:pPr>
        <w:pStyle w:val="Author-eSectionHeading6"/>
      </w:pPr>
      <w:bookmarkStart w:id="1962" w:name="_Toc178839007"/>
      <w:r>
        <w:t>26.42.3g (titre réservé)</w:t>
      </w:r>
      <w:bookmarkEnd w:id="1962"/>
    </w:p>
    <w:p w14:paraId="1F079AD5" w14:textId="77777777" w:rsidR="00DF410E" w:rsidRDefault="00CE7F43">
      <w:pPr>
        <w:pStyle w:val="Author-eSectionHeading5"/>
      </w:pPr>
      <w:bookmarkStart w:id="1963" w:name="_Toc178839008"/>
      <w:r>
        <w:t>26.42.4 (titre réservé) CCTB 01.04</w:t>
      </w:r>
      <w:bookmarkEnd w:id="1963"/>
    </w:p>
    <w:p w14:paraId="01CBA550" w14:textId="77777777" w:rsidR="00DF410E" w:rsidRDefault="00CE7F43">
      <w:pPr>
        <w:pStyle w:val="Author-eSectionHeading5"/>
      </w:pPr>
      <w:bookmarkStart w:id="1964" w:name="_Toc178839009"/>
      <w:r>
        <w:t>26.42.5 Isolation en rouleaux/matelas - matières composites CCTB 01.02</w:t>
      </w:r>
      <w:bookmarkEnd w:id="1964"/>
    </w:p>
    <w:p w14:paraId="7C91AFEC" w14:textId="77777777" w:rsidR="00DF410E" w:rsidRDefault="00CE7F43">
      <w:pPr>
        <w:pStyle w:val="Author-eSectionHeading6"/>
      </w:pPr>
      <w:bookmarkStart w:id="1965" w:name="_Toc178839010"/>
      <w:r>
        <w:t>26.42.5a Isolation en rouleaux/matelas - matières composites CCTB 01.02</w:t>
      </w:r>
      <w:bookmarkEnd w:id="1965"/>
    </w:p>
    <w:p w14:paraId="7C16E3F9" w14:textId="77777777" w:rsidR="00DF410E" w:rsidRDefault="00CE7F43">
      <w:pPr>
        <w:pStyle w:val="Author-eSectionHeading4"/>
      </w:pPr>
      <w:bookmarkStart w:id="1966" w:name="_Toc178839011"/>
      <w:r>
        <w:t>26.43 Isolation à projeter CCTB 01.11</w:t>
      </w:r>
      <w:bookmarkEnd w:id="1966"/>
    </w:p>
    <w:p w14:paraId="1534C650" w14:textId="77777777" w:rsidR="00DF410E" w:rsidRDefault="00CE7F43">
      <w:pPr>
        <w:pStyle w:val="pheading"/>
      </w:pPr>
      <w:r>
        <w:t>DESCRIPTION</w:t>
      </w:r>
    </w:p>
    <w:p w14:paraId="24A8B279" w14:textId="77777777" w:rsidR="00DF410E" w:rsidRDefault="00CE7F43">
      <w:pPr>
        <w:pStyle w:val="pheading"/>
      </w:pPr>
      <w:r>
        <w:t>- Définition / Comprend</w:t>
      </w:r>
    </w:p>
    <w:p w14:paraId="76D38367" w14:textId="77777777" w:rsidR="00DF410E" w:rsidRDefault="00CE7F43">
      <w:r>
        <w:t xml:space="preserve">Il s’agit de toutes les fournitures et travaux en vue de la réalisation d’une isolation projetée in situ, sans joint, suivant prescription de l'élément </w:t>
      </w:r>
      <w:hyperlink r:id="rId436" w:history="1" w:docLocation="667">
        <w:r>
          <w:t>32.43 Isolation à projeter</w:t>
        </w:r>
      </w:hyperlink>
      <w:r>
        <w:t>, mais en relation avec les éléments du tome 2 du présent cahier des charges.</w:t>
      </w:r>
    </w:p>
    <w:p w14:paraId="2B64F025" w14:textId="77777777" w:rsidR="00DF410E" w:rsidRDefault="00CE7F43">
      <w:r>
        <w:t xml:space="preserve">﻿﻿Suivant l’application à réaliser, la projection se fait sur support </w:t>
      </w:r>
      <w:r>
        <w:rPr>
          <w:rStyle w:val="optioncarChar"/>
        </w:rPr>
        <w:t>neuf / ancien</w:t>
      </w:r>
      <w:r>
        <w:t>.</w:t>
      </w:r>
    </w:p>
    <w:p w14:paraId="5A5D7A4E" w14:textId="77777777" w:rsidR="00DF410E" w:rsidRDefault="00CE7F43">
      <w:pPr>
        <w:pStyle w:val="pheading"/>
      </w:pPr>
      <w:r>
        <w:t>MATÉRIAUX</w:t>
      </w:r>
    </w:p>
    <w:p w14:paraId="4F29EB63" w14:textId="77777777" w:rsidR="00DF410E" w:rsidRDefault="00CE7F43">
      <w:r>
        <w:rPr>
          <w:rStyle w:val="optioncarChar"/>
        </w:rPr>
        <w:t>Avec sa remise de prix / Avant le début de chantier</w:t>
      </w:r>
      <w:r>
        <w:t>, l’entrepreneur fournit les références des matériaux qu’il souhaite mettre en œuvre.</w:t>
      </w:r>
    </w:p>
    <w:p w14:paraId="163801C5" w14:textId="77777777" w:rsidR="00DF410E" w:rsidRDefault="00CE7F43">
      <w:pPr>
        <w:pStyle w:val="pheading"/>
      </w:pPr>
      <w:r>
        <w:t>EXÉCUTION / MISE EN ŒUVRE</w:t>
      </w:r>
    </w:p>
    <w:p w14:paraId="7DA89D02" w14:textId="77777777" w:rsidR="00DF410E" w:rsidRDefault="00CE7F43">
      <w:r>
        <w:t xml:space="preserve">Le travail est réalisé par une entreprise spécialisée, suivant notamment: </w:t>
      </w:r>
      <w:r>
        <w:rPr>
          <w:rStyle w:val="optioncarChar"/>
        </w:rPr>
        <w:t>Prescriptions du fabricant </w:t>
      </w:r>
      <w:r>
        <w:t>(par défaut)</w:t>
      </w:r>
      <w:r>
        <w:rPr>
          <w:rStyle w:val="optioncarChar"/>
        </w:rPr>
        <w:t xml:space="preserve"> / ***.</w:t>
      </w:r>
    </w:p>
    <w:p w14:paraId="489C49A4" w14:textId="77777777" w:rsidR="00DF410E" w:rsidRDefault="00CE7F43">
      <w:pPr>
        <w:pStyle w:val="pheading"/>
      </w:pPr>
      <w:r>
        <w:t>DOCUMENTS DE RÉFÉRENCE</w:t>
      </w:r>
    </w:p>
    <w:p w14:paraId="2EC1F26B" w14:textId="77777777" w:rsidR="00DF410E" w:rsidRDefault="00CE7F43">
      <w:pPr>
        <w:pStyle w:val="pheading"/>
      </w:pPr>
      <w:r>
        <w:t>- Matériau</w:t>
      </w:r>
    </w:p>
    <w:p w14:paraId="617DC48B" w14:textId="77777777" w:rsidR="00DF410E" w:rsidRDefault="00CE7F43">
      <w:r>
        <w:t>32.43 Isolation à projeter</w:t>
      </w:r>
    </w:p>
    <w:p w14:paraId="30E9E1E3" w14:textId="77777777" w:rsidR="00DF410E" w:rsidRDefault="00CE7F43">
      <w:pPr>
        <w:pStyle w:val="pheading"/>
      </w:pPr>
      <w:r>
        <w:t>- Exécution</w:t>
      </w:r>
    </w:p>
    <w:p w14:paraId="178B8FB1" w14:textId="77777777" w:rsidR="00DF410E" w:rsidRDefault="00CE7F43">
      <w:r>
        <w:t>32.43 Isolation à projeter</w:t>
      </w:r>
    </w:p>
    <w:p w14:paraId="6014450D" w14:textId="77777777" w:rsidR="00DF410E" w:rsidRDefault="00CE7F43">
      <w:pPr>
        <w:pStyle w:val="pheading"/>
      </w:pPr>
      <w:r>
        <w:t>AIDE</w:t>
      </w:r>
    </w:p>
    <w:p w14:paraId="04A9F611" w14:textId="77777777" w:rsidR="00DF410E" w:rsidRDefault="00CE7F43">
      <w:r>
        <w:rPr>
          <w:u w:val="single"/>
        </w:rPr>
        <w:t>Note à l'attention de l'auteur de projet</w:t>
      </w:r>
    </w:p>
    <w:p w14:paraId="0751A4B3" w14:textId="77777777" w:rsidR="00DF410E" w:rsidRDefault="00CE7F43">
      <w:r>
        <w:t>Le domaine d’application et les prescriptions des différents isolants doivent être vérifiés et adaptés aux éléments du tome 2.</w:t>
      </w:r>
    </w:p>
    <w:p w14:paraId="6228152E" w14:textId="77777777" w:rsidR="00DF410E" w:rsidRDefault="00CE7F43">
      <w:pPr>
        <w:pStyle w:val="Author-eSectionHeading5"/>
      </w:pPr>
      <w:bookmarkStart w:id="1967" w:name="_Toc178839012"/>
      <w:r>
        <w:t>26.43.1 Isolation à projeter - matières synthétiques CCTB 01.04</w:t>
      </w:r>
      <w:bookmarkEnd w:id="1967"/>
    </w:p>
    <w:p w14:paraId="36C181B8" w14:textId="77777777" w:rsidR="00DF410E" w:rsidRDefault="00CE7F43">
      <w:pPr>
        <w:pStyle w:val="pheading"/>
      </w:pPr>
      <w:r>
        <w:t>DESCRIPTION</w:t>
      </w:r>
    </w:p>
    <w:p w14:paraId="389A3AEC" w14:textId="77777777" w:rsidR="00DF410E" w:rsidRDefault="00CE7F43">
      <w:pPr>
        <w:pStyle w:val="pheading"/>
      </w:pPr>
      <w:r>
        <w:t>- Définition / Comprend</w:t>
      </w:r>
    </w:p>
    <w:p w14:paraId="0FD349BA" w14:textId="77777777" w:rsidR="00DF410E" w:rsidRDefault="00CE7F43">
      <w:r>
        <w:t xml:space="preserve">Il s’agit de la réalisation d’une isolation projetée sous pression, avec des matières synthétiques chauffées suivant prescription de l'élément </w:t>
      </w:r>
      <w:hyperlink r:id="rId437" w:history="1" w:docLocation="261">
        <w:r>
          <w:t>32.43.1 Isolation à projeter - matières synthétiques</w:t>
        </w:r>
      </w:hyperlink>
      <w:r>
        <w:t>.</w:t>
      </w:r>
    </w:p>
    <w:p w14:paraId="37C01DD1" w14:textId="77777777" w:rsidR="00DF410E" w:rsidRDefault="00CE7F43">
      <w:pPr>
        <w:pStyle w:val="pheading"/>
      </w:pPr>
      <w:r>
        <w:t>DOCUMENTS DE RÉFÉRENCE</w:t>
      </w:r>
    </w:p>
    <w:p w14:paraId="6044AC12" w14:textId="77777777" w:rsidR="00DF410E" w:rsidRDefault="00CE7F43">
      <w:pPr>
        <w:pStyle w:val="pheading"/>
      </w:pPr>
      <w:r>
        <w:t>- Matériau</w:t>
      </w:r>
    </w:p>
    <w:p w14:paraId="458A23E0" w14:textId="77777777" w:rsidR="00DF410E" w:rsidRDefault="00CE7F43">
      <w:r>
        <w:t xml:space="preserve">Voir </w:t>
      </w:r>
      <w:hyperlink r:id="rId438" w:history="1" w:docLocation="261">
        <w:r>
          <w:t>32.43.1 Isolation à projeter - matières synthétiques</w:t>
        </w:r>
      </w:hyperlink>
    </w:p>
    <w:p w14:paraId="5F8F3372" w14:textId="77777777" w:rsidR="00DF410E" w:rsidRDefault="00CE7F43">
      <w:pPr>
        <w:pStyle w:val="pheading"/>
      </w:pPr>
      <w:r>
        <w:t>- Exécution</w:t>
      </w:r>
    </w:p>
    <w:p w14:paraId="13B58BE9" w14:textId="77777777" w:rsidR="00DF410E" w:rsidRDefault="00CE7F43">
      <w:r>
        <w:t xml:space="preserve">Voir </w:t>
      </w:r>
      <w:hyperlink r:id="rId439" w:history="1" w:docLocation="261">
        <w:r>
          <w:t>32.43.1 Isolation à projeter - matières synthétiques</w:t>
        </w:r>
      </w:hyperlink>
    </w:p>
    <w:p w14:paraId="36C527E9" w14:textId="77777777" w:rsidR="00DF410E" w:rsidRDefault="00CE7F43">
      <w:pPr>
        <w:pStyle w:val="Author-eSectionHeading6"/>
      </w:pPr>
      <w:bookmarkStart w:id="1968" w:name="_Toc178839013"/>
      <w:r>
        <w:t>26.43.1a Isolation à projeter - polyuréthane (PUR) CCTB 01.11</w:t>
      </w:r>
      <w:bookmarkEnd w:id="1968"/>
    </w:p>
    <w:p w14:paraId="4498ED50" w14:textId="77777777" w:rsidR="00DF410E" w:rsidRDefault="00CE7F43">
      <w:pPr>
        <w:pStyle w:val="pheading"/>
      </w:pPr>
      <w:r>
        <w:t>DESCRIPTION</w:t>
      </w:r>
    </w:p>
    <w:p w14:paraId="39D4DD78" w14:textId="77777777" w:rsidR="00DF410E" w:rsidRDefault="00CE7F43">
      <w:pPr>
        <w:pStyle w:val="pheading"/>
      </w:pPr>
      <w:r>
        <w:t>- Définition / Comprend</w:t>
      </w:r>
    </w:p>
    <w:p w14:paraId="36412268" w14:textId="77777777" w:rsidR="00DF410E" w:rsidRDefault="00CE7F43">
      <w:r>
        <w:t xml:space="preserve">Il s’agit de la fourniture et mise en œuvre d’une isolation de type mousse de polyuréthane (PUR) à cellules fermées, projetée en adhérence sur un support, suivant prescription de l'élément </w:t>
      </w:r>
      <w:hyperlink r:id="rId440" w:history="1" w:docLocation="260">
        <w:r>
          <w:t>32.43.1a Isolation à projeter - polyuréthane (PUR)</w:t>
        </w:r>
      </w:hyperlink>
    </w:p>
    <w:p w14:paraId="7BD1B323" w14:textId="77777777" w:rsidR="00DF410E" w:rsidRDefault="00CE7F43">
      <w:pPr>
        <w:pStyle w:val="pheading"/>
      </w:pPr>
      <w:r>
        <w:t>MATÉRIAUX</w:t>
      </w:r>
    </w:p>
    <w:p w14:paraId="36D2513B" w14:textId="77777777" w:rsidR="00DF410E" w:rsidRDefault="00CE7F43">
      <w:pPr>
        <w:pStyle w:val="pheading"/>
      </w:pPr>
      <w:r>
        <w:t>- Caractéristiques générales</w:t>
      </w:r>
    </w:p>
    <w:p w14:paraId="3D8326AA" w14:textId="77777777" w:rsidR="00DF410E" w:rsidRDefault="00CE7F43">
      <w:r>
        <w:t xml:space="preserve">Voir </w:t>
      </w:r>
      <w:hyperlink r:id="rId441" w:history="1" w:docLocation="260">
        <w:r>
          <w:t>32.43.1a Isolation à projeter - polyuréthane (PUR)</w:t>
        </w:r>
      </w:hyperlink>
      <w:r>
        <w:t>.</w:t>
      </w:r>
    </w:p>
    <w:p w14:paraId="6B6F269D" w14:textId="77777777" w:rsidR="00DF410E" w:rsidRDefault="00CE7F43">
      <w:r>
        <w:rPr>
          <w:u w:val="single"/>
        </w:rPr>
        <w:t>Spécifications</w:t>
      </w:r>
    </w:p>
    <w:p w14:paraId="22295397" w14:textId="77777777" w:rsidR="00DF410E" w:rsidRDefault="00CE7F43">
      <w:pPr>
        <w:pStyle w:val="Author-eListParagraph"/>
        <w:numPr>
          <w:ilvl w:val="0"/>
          <w:numId w:val="1124"/>
        </w:numPr>
      </w:pPr>
      <w:r>
        <w:t xml:space="preserve">Epaisseur : </w:t>
      </w:r>
      <w:r>
        <w:rPr>
          <w:rStyle w:val="optioncarChar"/>
        </w:rPr>
        <w:t xml:space="preserve">*** </w:t>
      </w:r>
      <w:r>
        <w:t xml:space="preserve">cm _ Tolérance </w:t>
      </w:r>
      <w:r>
        <w:rPr>
          <w:rStyle w:val="optioncarChar"/>
        </w:rPr>
        <w:t xml:space="preserve">*** </w:t>
      </w:r>
    </w:p>
    <w:p w14:paraId="267899C1" w14:textId="77777777" w:rsidR="00DF410E" w:rsidRDefault="00CE7F43">
      <w:pPr>
        <w:pStyle w:val="Author-eListParagraph"/>
        <w:numPr>
          <w:ilvl w:val="0"/>
          <w:numId w:val="1124"/>
        </w:numPr>
      </w:pPr>
      <w:r>
        <w:t xml:space="preserve">Masse volumique : environ </w:t>
      </w:r>
      <w:r>
        <w:rPr>
          <w:rStyle w:val="optioncarChar"/>
        </w:rPr>
        <w:t>35 </w:t>
      </w:r>
      <w:r>
        <w:t>(par défaut)</w:t>
      </w:r>
      <w:r>
        <w:rPr>
          <w:rStyle w:val="optioncarChar"/>
        </w:rPr>
        <w:t xml:space="preserve"> / 40 / *** </w:t>
      </w:r>
      <w:r>
        <w:t>en kg/m3, suivant [NBN EN ISO 29470:2020].</w:t>
      </w:r>
    </w:p>
    <w:p w14:paraId="7BAF490B" w14:textId="77777777" w:rsidR="00DF410E" w:rsidRDefault="00CE7F43">
      <w:pPr>
        <w:pStyle w:val="Author-eListParagraph"/>
        <w:numPr>
          <w:ilvl w:val="0"/>
          <w:numId w:val="1124"/>
        </w:numPr>
      </w:pPr>
      <w:r>
        <w:t xml:space="preserve">Valeur lambda déclaré: maximum </w:t>
      </w:r>
      <w:r>
        <w:rPr>
          <w:rStyle w:val="optioncarChar"/>
        </w:rPr>
        <w:t>0,027 </w:t>
      </w:r>
      <w:r>
        <w:t>(par défaut)</w:t>
      </w:r>
      <w:r>
        <w:rPr>
          <w:rStyle w:val="optioncarChar"/>
        </w:rPr>
        <w:t xml:space="preserve"> / 0,030 / *** </w:t>
      </w:r>
      <w:r>
        <w:t>W/mK, suivant [NBN EN ISO 10456].</w:t>
      </w:r>
    </w:p>
    <w:p w14:paraId="0E92133A" w14:textId="77777777" w:rsidR="00DF410E" w:rsidRDefault="00CE7F43">
      <w:pPr>
        <w:pStyle w:val="Author-eListParagraph"/>
        <w:numPr>
          <w:ilvl w:val="0"/>
          <w:numId w:val="1124"/>
        </w:numPr>
      </w:pPr>
      <w:r>
        <w:t xml:space="preserve">Réaction au feu : </w:t>
      </w:r>
      <w:r>
        <w:rPr>
          <w:rStyle w:val="optioncarChar"/>
        </w:rPr>
        <w:t>***</w:t>
      </w:r>
    </w:p>
    <w:p w14:paraId="14F83EA9" w14:textId="77777777" w:rsidR="00DF410E" w:rsidRDefault="00CE7F43">
      <w:pPr>
        <w:pStyle w:val="Author-eListParagraph"/>
        <w:numPr>
          <w:ilvl w:val="0"/>
          <w:numId w:val="1124"/>
        </w:numPr>
      </w:pPr>
      <w:r>
        <w:t>Acoustique :</w:t>
      </w:r>
      <w:r>
        <w:rPr>
          <w:rStyle w:val="optioncarChar"/>
        </w:rPr>
        <w:t xml:space="preserve"> ***</w:t>
      </w:r>
    </w:p>
    <w:p w14:paraId="1288A1C7" w14:textId="77777777" w:rsidR="00DF410E" w:rsidRDefault="00CE7F43">
      <w:pPr>
        <w:pStyle w:val="Author-eListParagraph"/>
        <w:numPr>
          <w:ilvl w:val="0"/>
          <w:numId w:val="1124"/>
        </w:numPr>
      </w:pPr>
      <w:r>
        <w:t xml:space="preserve">Résistance à la compression : minimum </w:t>
      </w:r>
      <w:r>
        <w:rPr>
          <w:rStyle w:val="optioncarChar"/>
        </w:rPr>
        <w:t xml:space="preserve">*** </w:t>
      </w:r>
      <w:r>
        <w:t>N/mm², suivant  [NBN EN 826].</w:t>
      </w:r>
    </w:p>
    <w:p w14:paraId="1EB3149B" w14:textId="77777777" w:rsidR="00DF410E" w:rsidRDefault="00CE7F43">
      <w:pPr>
        <w:pStyle w:val="pheading"/>
      </w:pPr>
      <w:r>
        <w:t>- Finitions</w:t>
      </w:r>
    </w:p>
    <w:p w14:paraId="572A3275" w14:textId="77777777" w:rsidR="00DF410E" w:rsidRDefault="00CE7F43">
      <w:r>
        <w:t xml:space="preserve">Voir </w:t>
      </w:r>
      <w:hyperlink r:id="rId442" w:history="1" w:docLocation="260">
        <w:r>
          <w:t>32.43.1a Isolation à projeter - polyuréthane (PUR)</w:t>
        </w:r>
      </w:hyperlink>
    </w:p>
    <w:p w14:paraId="08DE9C88" w14:textId="77777777" w:rsidR="00DF410E" w:rsidRDefault="00CE7F43">
      <w:pPr>
        <w:pStyle w:val="pheading"/>
      </w:pPr>
      <w:r>
        <w:t>EXÉCUTION / MISE EN ŒUVRE</w:t>
      </w:r>
    </w:p>
    <w:p w14:paraId="5F27C1B4" w14:textId="77777777" w:rsidR="00DF410E" w:rsidRDefault="00CE7F43">
      <w:pPr>
        <w:pStyle w:val="pheading"/>
      </w:pPr>
      <w:r>
        <w:t>- Prescriptions générales</w:t>
      </w:r>
    </w:p>
    <w:p w14:paraId="133F0E5B" w14:textId="77777777" w:rsidR="00DF410E" w:rsidRDefault="00CE7F43">
      <w:r>
        <w:t xml:space="preserve">Voir </w:t>
      </w:r>
      <w:hyperlink r:id="rId443" w:history="1" w:docLocation="260">
        <w:r>
          <w:t>32.43.1a Isolation à projeter - polyuréthane (PUR)</w:t>
        </w:r>
      </w:hyperlink>
    </w:p>
    <w:p w14:paraId="7516651D" w14:textId="77777777" w:rsidR="00DF410E" w:rsidRDefault="00CE7F43">
      <w:pPr>
        <w:pStyle w:val="pheading"/>
      </w:pPr>
      <w:r>
        <w:t>- Notes d’exécution complémentaires</w:t>
      </w:r>
    </w:p>
    <w:p w14:paraId="7732023E" w14:textId="77777777" w:rsidR="00DF410E" w:rsidRDefault="00CE7F43">
      <w:r>
        <w:t xml:space="preserve">Voir </w:t>
      </w:r>
      <w:hyperlink r:id="rId444" w:history="1" w:docLocation="260">
        <w:r>
          <w:t>32.43.1a Isolation à projeter - polyuréthane (PUR)</w:t>
        </w:r>
      </w:hyperlink>
    </w:p>
    <w:p w14:paraId="548CF657" w14:textId="77777777" w:rsidR="00DF410E" w:rsidRDefault="00CE7F43">
      <w:pPr>
        <w:pStyle w:val="pheading"/>
      </w:pPr>
      <w:r>
        <w:t>DOCUMENTS DE RÉFÉRENCE COMPLÉMENTAIRES</w:t>
      </w:r>
    </w:p>
    <w:p w14:paraId="3ED33E26" w14:textId="77777777" w:rsidR="00DF410E" w:rsidRDefault="00CE7F43">
      <w:pPr>
        <w:pStyle w:val="pheading"/>
      </w:pPr>
      <w:r>
        <w:t>- Matériau</w:t>
      </w:r>
    </w:p>
    <w:p w14:paraId="490409C7" w14:textId="77777777" w:rsidR="00DF410E" w:rsidRDefault="004016E8">
      <w:hyperlink r:id="rId445" w:history="1" w:docLocation="260">
        <w:r w:rsidR="00CE7F43">
          <w:t>32.43.1a Isolation à projeter - polyuréthane (PUR)</w:t>
        </w:r>
      </w:hyperlink>
    </w:p>
    <w:p w14:paraId="3AF7E631" w14:textId="77777777" w:rsidR="00DF410E" w:rsidRDefault="00CE7F43">
      <w:pPr>
        <w:pStyle w:val="pheading"/>
      </w:pPr>
      <w:r>
        <w:t>- Exécution</w:t>
      </w:r>
    </w:p>
    <w:p w14:paraId="5346C9E7" w14:textId="77777777" w:rsidR="00DF410E" w:rsidRDefault="004016E8">
      <w:hyperlink r:id="rId446" w:history="1" w:docLocation="260">
        <w:r w:rsidR="00CE7F43">
          <w:t>32.43.1a Isolation à projeter - polyuréthane (PUR)</w:t>
        </w:r>
      </w:hyperlink>
    </w:p>
    <w:p w14:paraId="5DBC9688" w14:textId="77777777" w:rsidR="00DF410E" w:rsidRDefault="00CE7F43">
      <w:pPr>
        <w:pStyle w:val="pheading"/>
      </w:pPr>
      <w:r>
        <w:t>MESURAGE</w:t>
      </w:r>
    </w:p>
    <w:p w14:paraId="26E7C3AA" w14:textId="77777777" w:rsidR="00DF410E" w:rsidRDefault="00CE7F43">
      <w:pPr>
        <w:pStyle w:val="pheading"/>
      </w:pPr>
      <w:r>
        <w:t>- unité de mesure:</w:t>
      </w:r>
    </w:p>
    <w:p w14:paraId="244A0596" w14:textId="77777777" w:rsidR="00DF410E" w:rsidRDefault="00CE7F43">
      <w:r>
        <w:t>m²</w:t>
      </w:r>
    </w:p>
    <w:p w14:paraId="46C50124" w14:textId="77777777" w:rsidR="00DF410E" w:rsidRDefault="00CE7F43">
      <w:pPr>
        <w:pStyle w:val="pheading"/>
      </w:pPr>
      <w:r>
        <w:t>- code de mesurage:</w:t>
      </w:r>
    </w:p>
    <w:p w14:paraId="0EC99E05" w14:textId="77777777" w:rsidR="00DF410E" w:rsidRDefault="00CE7F43">
      <w:r>
        <w:t>Distinction faite suivant l’épaisseur.</w:t>
      </w:r>
    </w:p>
    <w:p w14:paraId="67BFD46B" w14:textId="77777777" w:rsidR="00DF410E" w:rsidRDefault="00CE7F43">
      <w:r>
        <w:t>Surface nette à exécuter, suivant dimensions extérieures des surfaces à isoler.</w:t>
      </w:r>
    </w:p>
    <w:p w14:paraId="45450C53" w14:textId="77777777" w:rsidR="00DF410E" w:rsidRDefault="00CE7F43">
      <w:r>
        <w:t>Les ouvertures supérieures à 0,5 m2 sont déduites.</w:t>
      </w:r>
    </w:p>
    <w:p w14:paraId="04F6A4DF" w14:textId="77777777" w:rsidR="00DF410E" w:rsidRDefault="00CE7F43">
      <w:pPr>
        <w:pStyle w:val="pheading"/>
      </w:pPr>
      <w:r>
        <w:t>- nature du marché:</w:t>
      </w:r>
    </w:p>
    <w:p w14:paraId="051FB4E4" w14:textId="77777777" w:rsidR="00DF410E" w:rsidRDefault="00CE7F43">
      <w:r>
        <w:t>QF</w:t>
      </w:r>
    </w:p>
    <w:p w14:paraId="2C6B32F2" w14:textId="77777777" w:rsidR="00DF410E" w:rsidRDefault="00CE7F43">
      <w:pPr>
        <w:pStyle w:val="Author-eSectionHeading6"/>
      </w:pPr>
      <w:bookmarkStart w:id="1969" w:name="_Toc178839014"/>
      <w:r>
        <w:t>26.43.1b Isolation à projeter - polyisocyanurate (PIR) CCTB 01.04</w:t>
      </w:r>
      <w:bookmarkEnd w:id="1969"/>
    </w:p>
    <w:p w14:paraId="278E3685" w14:textId="77777777" w:rsidR="00DF410E" w:rsidRDefault="00CE7F43">
      <w:pPr>
        <w:pStyle w:val="Author-eSectionHeading6"/>
      </w:pPr>
      <w:bookmarkStart w:id="1970" w:name="_Toc178839015"/>
      <w:r>
        <w:t>26.43.1c Isolation à projeter - mousse phénolique (PF) CCTB 01.02</w:t>
      </w:r>
      <w:bookmarkEnd w:id="1970"/>
    </w:p>
    <w:p w14:paraId="15CE6688" w14:textId="77777777" w:rsidR="00DF410E" w:rsidRDefault="00CE7F43">
      <w:pPr>
        <w:pStyle w:val="Author-eSectionHeading6"/>
      </w:pPr>
      <w:bookmarkStart w:id="1971" w:name="_Toc178839016"/>
      <w:r>
        <w:t>26.43.1d Isolation à projeter - icynène CCTB 01.02</w:t>
      </w:r>
      <w:bookmarkEnd w:id="1971"/>
    </w:p>
    <w:p w14:paraId="2A403D8F" w14:textId="77777777" w:rsidR="00DF410E" w:rsidRDefault="00CE7F43">
      <w:pPr>
        <w:pStyle w:val="Author-eSectionHeading5"/>
      </w:pPr>
      <w:bookmarkStart w:id="1972" w:name="_Toc178839017"/>
      <w:r>
        <w:t>26.43.2 Isolation à projeter - matières minérales CCTB 01.04</w:t>
      </w:r>
      <w:bookmarkEnd w:id="1972"/>
    </w:p>
    <w:p w14:paraId="7D865BBB" w14:textId="77777777" w:rsidR="00DF410E" w:rsidRDefault="00CE7F43">
      <w:pPr>
        <w:pStyle w:val="pheading"/>
      </w:pPr>
      <w:r>
        <w:t>DESCRIPTION</w:t>
      </w:r>
    </w:p>
    <w:p w14:paraId="267A0B66" w14:textId="77777777" w:rsidR="00DF410E" w:rsidRDefault="00CE7F43">
      <w:pPr>
        <w:pStyle w:val="pheading"/>
      </w:pPr>
      <w:r>
        <w:t>- Définition / Comprend</w:t>
      </w:r>
    </w:p>
    <w:p w14:paraId="33140246" w14:textId="77777777" w:rsidR="00DF410E" w:rsidRDefault="00CE7F43">
      <w:r>
        <w:t xml:space="preserve">Il s'agit de la réalisation d'une isolation en matière minérale par projection humide suivant prescriptions de l'élément </w:t>
      </w:r>
      <w:hyperlink r:id="rId447" w:history="1" w:docLocation="666">
        <w:r>
          <w:t>32.43.2 Isolation à projeter - matières minérales</w:t>
        </w:r>
      </w:hyperlink>
      <w:r>
        <w:t>.</w:t>
      </w:r>
    </w:p>
    <w:p w14:paraId="21A81671" w14:textId="77777777" w:rsidR="00DF410E" w:rsidRDefault="00CE7F43">
      <w:pPr>
        <w:pStyle w:val="pheading"/>
      </w:pPr>
      <w:r>
        <w:t>DOCUMENTS DE RÉFÉRENCE</w:t>
      </w:r>
    </w:p>
    <w:p w14:paraId="4871ACD1" w14:textId="77777777" w:rsidR="00DF410E" w:rsidRDefault="00CE7F43">
      <w:pPr>
        <w:pStyle w:val="pheading"/>
      </w:pPr>
      <w:r>
        <w:t>- Matériau</w:t>
      </w:r>
    </w:p>
    <w:p w14:paraId="4BFF9781" w14:textId="77777777" w:rsidR="00DF410E" w:rsidRDefault="004016E8">
      <w:hyperlink r:id="rId448" w:history="1" w:docLocation="666">
        <w:r w:rsidR="00CE7F43">
          <w:t>32.43.2 Isolation à projeter - matières minérales</w:t>
        </w:r>
      </w:hyperlink>
    </w:p>
    <w:p w14:paraId="276417F1" w14:textId="77777777" w:rsidR="00DF410E" w:rsidRDefault="00CE7F43">
      <w:pPr>
        <w:pStyle w:val="pheading"/>
      </w:pPr>
      <w:r>
        <w:t>- Exécution</w:t>
      </w:r>
    </w:p>
    <w:p w14:paraId="45F7377E" w14:textId="77777777" w:rsidR="00DF410E" w:rsidRDefault="004016E8">
      <w:hyperlink r:id="rId449" w:history="1" w:docLocation="666">
        <w:r w:rsidR="00CE7F43">
          <w:t>32.43.2 Isolation à projeter - matières minérales</w:t>
        </w:r>
      </w:hyperlink>
    </w:p>
    <w:p w14:paraId="3818A66E" w14:textId="77777777" w:rsidR="00DF410E" w:rsidRDefault="00CE7F43">
      <w:pPr>
        <w:pStyle w:val="Author-eSectionHeading6"/>
      </w:pPr>
      <w:bookmarkStart w:id="1973" w:name="_Toc178839018"/>
      <w:r>
        <w:t>26.43.2a Isolation à projeter - laine de roche (MW) CCTB 01.11</w:t>
      </w:r>
      <w:bookmarkEnd w:id="1973"/>
    </w:p>
    <w:p w14:paraId="24B592A5" w14:textId="77777777" w:rsidR="00DF410E" w:rsidRDefault="00CE7F43">
      <w:pPr>
        <w:pStyle w:val="pheading"/>
      </w:pPr>
      <w:r>
        <w:t>DESCRIPTION</w:t>
      </w:r>
    </w:p>
    <w:p w14:paraId="64C77EC2" w14:textId="77777777" w:rsidR="00DF410E" w:rsidRDefault="00CE7F43">
      <w:pPr>
        <w:pStyle w:val="pheading"/>
      </w:pPr>
      <w:r>
        <w:t>- Définition / Comprend</w:t>
      </w:r>
    </w:p>
    <w:p w14:paraId="5456C8DE" w14:textId="77777777" w:rsidR="00DF410E" w:rsidRDefault="00CE7F43">
      <w:r>
        <w:t xml:space="preserve">Il s’agit de la réalisation d’une isolation de type laine minérale (MW - laine de verre / de roche), projetée en adhérence sur un support suivant prescriptions de l'article </w:t>
      </w:r>
      <w:hyperlink r:id="rId450" w:history="1" w:docLocation="665">
        <w:r>
          <w:t>32.43.2a Isolation à projeter - laine de roche (MW)</w:t>
        </w:r>
      </w:hyperlink>
      <w:r>
        <w:t>. Cet isolant est utilisé en tant qu'</w:t>
      </w:r>
      <w:r>
        <w:rPr>
          <w:rStyle w:val="optioncarChar"/>
        </w:rPr>
        <w:t xml:space="preserve">isolant thermique </w:t>
      </w:r>
      <w:r>
        <w:t>(par défaut) </w:t>
      </w:r>
      <w:r>
        <w:rPr>
          <w:rStyle w:val="optioncarChar"/>
        </w:rPr>
        <w:t>/ protection incendie / correcteur acoustique.</w:t>
      </w:r>
    </w:p>
    <w:p w14:paraId="2064D82C" w14:textId="77777777" w:rsidR="00DF410E" w:rsidRDefault="00CE7F43">
      <w:pPr>
        <w:pStyle w:val="pheading"/>
      </w:pPr>
      <w:r>
        <w:t>MATÉRIAUX</w:t>
      </w:r>
    </w:p>
    <w:p w14:paraId="57C5DC8F" w14:textId="77777777" w:rsidR="00DF410E" w:rsidRDefault="00CE7F43">
      <w:pPr>
        <w:pStyle w:val="pheading"/>
      </w:pPr>
      <w:r>
        <w:t>- Caractéristiques générales</w:t>
      </w:r>
    </w:p>
    <w:p w14:paraId="5CAB4C37" w14:textId="77777777" w:rsidR="00DF410E" w:rsidRDefault="00CE7F43">
      <w:r>
        <w:t>Voir </w:t>
      </w:r>
      <w:hyperlink r:id="rId451" w:history="1" w:docLocation="665">
        <w:r>
          <w:t>32.43.2a Isolation à projeter - laine de roche (MW)</w:t>
        </w:r>
      </w:hyperlink>
    </w:p>
    <w:p w14:paraId="3297B3E5" w14:textId="77777777" w:rsidR="00DF410E" w:rsidRDefault="00CE7F43">
      <w:r>
        <w:rPr>
          <w:u w:val="single"/>
        </w:rPr>
        <w:t>Spécifications</w:t>
      </w:r>
    </w:p>
    <w:p w14:paraId="00DD30D6" w14:textId="77777777" w:rsidR="00DF410E" w:rsidRDefault="00CE7F43">
      <w:pPr>
        <w:pStyle w:val="Author-eListParagraph"/>
        <w:numPr>
          <w:ilvl w:val="0"/>
          <w:numId w:val="1125"/>
        </w:numPr>
      </w:pPr>
      <w:r>
        <w:t xml:space="preserve">Epaisseur : </w:t>
      </w:r>
      <w:r>
        <w:rPr>
          <w:rStyle w:val="optioncarChar"/>
        </w:rPr>
        <w:t>1 / 2 / *** / 10 </w:t>
      </w:r>
      <w:r>
        <w:t>(par défaut)</w:t>
      </w:r>
      <w:r>
        <w:rPr>
          <w:rStyle w:val="optioncarChar"/>
        </w:rPr>
        <w:t xml:space="preserve"> / 15 / 16</w:t>
      </w:r>
      <w:r>
        <w:t xml:space="preserve"> cm _ Tolérance +/- </w:t>
      </w:r>
      <w:r>
        <w:rPr>
          <w:rStyle w:val="optioncarChar"/>
        </w:rPr>
        <w:t>10 </w:t>
      </w:r>
      <w:r>
        <w:t>(par défaut)</w:t>
      </w:r>
      <w:r>
        <w:rPr>
          <w:rStyle w:val="optioncarChar"/>
        </w:rPr>
        <w:t xml:space="preserve"> / 20</w:t>
      </w:r>
      <w:r>
        <w:t xml:space="preserve"> %</w:t>
      </w:r>
    </w:p>
    <w:p w14:paraId="40A730A6" w14:textId="77777777" w:rsidR="00DF410E" w:rsidRDefault="00CE7F43">
      <w:pPr>
        <w:pStyle w:val="Author-eListParagraph"/>
        <w:numPr>
          <w:ilvl w:val="0"/>
          <w:numId w:val="1125"/>
        </w:numPr>
      </w:pPr>
      <w:r>
        <w:t xml:space="preserve">Masse volumique :  environ </w:t>
      </w:r>
      <w:r>
        <w:rPr>
          <w:rStyle w:val="optioncarChar"/>
        </w:rPr>
        <w:t>140 </w:t>
      </w:r>
      <w:r>
        <w:t>(par défaut)</w:t>
      </w:r>
      <w:r>
        <w:rPr>
          <w:rStyle w:val="optioncarChar"/>
        </w:rPr>
        <w:t xml:space="preserve"> / 150 / 160 / 170 / 180 / *** </w:t>
      </w:r>
      <w:r>
        <w:t>kg/m³.</w:t>
      </w:r>
    </w:p>
    <w:p w14:paraId="69021EE7" w14:textId="77777777" w:rsidR="00DF410E" w:rsidRDefault="00CE7F43">
      <w:pPr>
        <w:pStyle w:val="Author-eListParagraph"/>
        <w:numPr>
          <w:ilvl w:val="0"/>
          <w:numId w:val="1125"/>
        </w:numPr>
      </w:pPr>
      <w:r>
        <w:t>Valeur lambda déclaré: maximum </w:t>
      </w:r>
      <w:r>
        <w:rPr>
          <w:rStyle w:val="optioncarChar"/>
        </w:rPr>
        <w:t>0,004 </w:t>
      </w:r>
      <w:r>
        <w:t>(par défaut)</w:t>
      </w:r>
      <w:r>
        <w:rPr>
          <w:rStyle w:val="optioncarChar"/>
        </w:rPr>
        <w:t xml:space="preserve"> / 0,045 / 0.050 / *** </w:t>
      </w:r>
      <w:r>
        <w:t>W/mK.</w:t>
      </w:r>
    </w:p>
    <w:p w14:paraId="11687DFB" w14:textId="77777777" w:rsidR="00DF410E" w:rsidRDefault="00CE7F43">
      <w:pPr>
        <w:pStyle w:val="Author-eListParagraph"/>
        <w:numPr>
          <w:ilvl w:val="0"/>
          <w:numId w:val="1125"/>
        </w:numPr>
      </w:pPr>
      <w:r>
        <w:t xml:space="preserve">Réaction au feu : </w:t>
      </w:r>
      <w:r>
        <w:rPr>
          <w:rStyle w:val="optioncarChar"/>
        </w:rPr>
        <w:t>A1</w:t>
      </w:r>
      <w:r>
        <w:t> (par défaut)</w:t>
      </w:r>
      <w:r>
        <w:rPr>
          <w:rStyle w:val="optioncarChar"/>
        </w:rPr>
        <w:t xml:space="preserve"> / ***</w:t>
      </w:r>
    </w:p>
    <w:p w14:paraId="70B5B589" w14:textId="77777777" w:rsidR="00DF410E" w:rsidRDefault="00CE7F43">
      <w:pPr>
        <w:pStyle w:val="Author-eListParagraph"/>
        <w:numPr>
          <w:ilvl w:val="0"/>
          <w:numId w:val="1125"/>
        </w:numPr>
      </w:pPr>
      <w:r>
        <w:t xml:space="preserve">Absorption acoustique (coefficient de Sabine alpha) : </w:t>
      </w:r>
      <w:r>
        <w:rPr>
          <w:rStyle w:val="optioncarChar"/>
        </w:rPr>
        <w:t>0,90 </w:t>
      </w:r>
      <w:r>
        <w:t xml:space="preserve">(par défaut) </w:t>
      </w:r>
      <w:r>
        <w:rPr>
          <w:rStyle w:val="optioncarChar"/>
        </w:rPr>
        <w:t>/ ***</w:t>
      </w:r>
    </w:p>
    <w:p w14:paraId="0602412F" w14:textId="77777777" w:rsidR="00DF410E" w:rsidRDefault="00CE7F43">
      <w:pPr>
        <w:pStyle w:val="Author-eListParagraph"/>
        <w:numPr>
          <w:ilvl w:val="0"/>
          <w:numId w:val="1125"/>
        </w:numPr>
      </w:pPr>
      <w:r>
        <w:t xml:space="preserve">Stabilité au feu : </w:t>
      </w:r>
      <w:r>
        <w:rPr>
          <w:rStyle w:val="optioncarChar"/>
        </w:rPr>
        <w:t xml:space="preserve">1 </w:t>
      </w:r>
      <w:r>
        <w:t>(par défaut) </w:t>
      </w:r>
      <w:r>
        <w:rPr>
          <w:rStyle w:val="optioncarChar"/>
        </w:rPr>
        <w:t>/ 6 / ***</w:t>
      </w:r>
      <w:r>
        <w:t xml:space="preserve"> h.</w:t>
      </w:r>
    </w:p>
    <w:p w14:paraId="1F8B57A8" w14:textId="77777777" w:rsidR="00DF410E" w:rsidRDefault="00CE7F43">
      <w:pPr>
        <w:pStyle w:val="Author-eListParagraph"/>
        <w:numPr>
          <w:ilvl w:val="0"/>
          <w:numId w:val="1125"/>
        </w:numPr>
      </w:pPr>
      <w:r>
        <w:t xml:space="preserve">Résistance au feu : </w:t>
      </w:r>
      <w:r>
        <w:rPr>
          <w:rStyle w:val="optioncarChar"/>
        </w:rPr>
        <w:t>1 </w:t>
      </w:r>
      <w:r>
        <w:t>(par défaut)</w:t>
      </w:r>
      <w:r>
        <w:rPr>
          <w:rStyle w:val="optioncarChar"/>
        </w:rPr>
        <w:t xml:space="preserve"> / 6 / ***</w:t>
      </w:r>
      <w:r>
        <w:t xml:space="preserve"> h.</w:t>
      </w:r>
    </w:p>
    <w:p w14:paraId="3FAE889F" w14:textId="77777777" w:rsidR="00DF410E" w:rsidRDefault="00CE7F43">
      <w:pPr>
        <w:pStyle w:val="pheading"/>
      </w:pPr>
      <w:r>
        <w:t>- Finitions</w:t>
      </w:r>
    </w:p>
    <w:p w14:paraId="25BC0545" w14:textId="77777777" w:rsidR="00DF410E" w:rsidRDefault="00CE7F43">
      <w:r>
        <w:t>Voir </w:t>
      </w:r>
      <w:hyperlink r:id="rId452" w:history="1" w:docLocation="665">
        <w:r>
          <w:t>32.43.2a Isolation à projeter - laine de roche (MW)</w:t>
        </w:r>
      </w:hyperlink>
    </w:p>
    <w:p w14:paraId="3922E2D0" w14:textId="77777777" w:rsidR="00DF410E" w:rsidRDefault="00CE7F43">
      <w:r>
        <w:t xml:space="preserve">Teinte finale : </w:t>
      </w:r>
      <w:r>
        <w:rPr>
          <w:rStyle w:val="optioncarChar"/>
        </w:rPr>
        <w:t>blanc cassé </w:t>
      </w:r>
      <w:r>
        <w:t>(par défaut)</w:t>
      </w:r>
      <w:r>
        <w:rPr>
          <w:rStyle w:val="optioncarChar"/>
        </w:rPr>
        <w:t xml:space="preserve"> / gris / ***</w:t>
      </w:r>
      <w:r>
        <w:t xml:space="preserve"> .</w:t>
      </w:r>
    </w:p>
    <w:p w14:paraId="0A6408A0" w14:textId="77777777" w:rsidR="00DF410E" w:rsidRDefault="00CE7F43">
      <w:r>
        <w:t xml:space="preserve">Finition : </w:t>
      </w:r>
      <w:r>
        <w:rPr>
          <w:rStyle w:val="optioncarChar"/>
        </w:rPr>
        <w:t>roulée / compressée</w:t>
      </w:r>
      <w:r>
        <w:t>.</w:t>
      </w:r>
    </w:p>
    <w:p w14:paraId="3AABAB68" w14:textId="77777777" w:rsidR="00DF410E" w:rsidRDefault="00CE7F43">
      <w:pPr>
        <w:pStyle w:val="pheading"/>
      </w:pPr>
      <w:r>
        <w:t>- Prescriptions complémentaires</w:t>
      </w:r>
    </w:p>
    <w:p w14:paraId="66DB80FB" w14:textId="77777777" w:rsidR="00DF410E" w:rsidRDefault="00CE7F43">
      <w:r>
        <w:t>Voir </w:t>
      </w:r>
      <w:hyperlink r:id="rId453" w:history="1" w:docLocation="665">
        <w:r>
          <w:t>32.43.2a Isolation à projeter - laine de roche (MW)</w:t>
        </w:r>
      </w:hyperlink>
    </w:p>
    <w:p w14:paraId="0DF012F9" w14:textId="77777777" w:rsidR="00DF410E" w:rsidRDefault="00CE7F43">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14:paraId="4E14A29D" w14:textId="77777777" w:rsidR="00DF410E" w:rsidRDefault="00CE7F43">
      <w:pPr>
        <w:pStyle w:val="pheading"/>
      </w:pPr>
      <w:r>
        <w:t>EXÉCUTION / MISE EN ŒUVRE</w:t>
      </w:r>
    </w:p>
    <w:p w14:paraId="08AF37CE" w14:textId="77777777" w:rsidR="00DF410E" w:rsidRDefault="00CE7F43">
      <w:pPr>
        <w:pStyle w:val="pheading"/>
      </w:pPr>
      <w:r>
        <w:t>- Prescriptions générales</w:t>
      </w:r>
    </w:p>
    <w:p w14:paraId="44FC9A59" w14:textId="77777777" w:rsidR="00DF410E" w:rsidRDefault="00CE7F43">
      <w:r>
        <w:t>Voir </w:t>
      </w:r>
      <w:hyperlink r:id="rId454" w:history="1" w:docLocation="665">
        <w:r>
          <w:t>32.43.2a Isolation à projeter - laine de roche (MW)</w:t>
        </w:r>
      </w:hyperlink>
    </w:p>
    <w:p w14:paraId="29BA313C" w14:textId="77777777" w:rsidR="00DF410E" w:rsidRDefault="00CE7F43">
      <w:pPr>
        <w:pStyle w:val="pheading"/>
      </w:pPr>
      <w:r>
        <w:t>- Notes d’exécution complémentaires</w:t>
      </w:r>
    </w:p>
    <w:p w14:paraId="66FF89A9" w14:textId="77777777" w:rsidR="00DF410E" w:rsidRDefault="00CE7F43">
      <w:r>
        <w:t>Voir </w:t>
      </w:r>
      <w:hyperlink r:id="rId455" w:history="1" w:docLocation="665">
        <w:r>
          <w:t>32.43.2a Isolation à projeter - laine de roche (MW)</w:t>
        </w:r>
      </w:hyperlink>
    </w:p>
    <w:p w14:paraId="74510171" w14:textId="77777777" w:rsidR="00DF410E" w:rsidRDefault="00CE7F43">
      <w:r>
        <w:rPr>
          <w:rStyle w:val="facultChar"/>
        </w:rPr>
        <w:t>Réglé à épaisseur par raclage.</w:t>
      </w:r>
      <w:r>
        <w:br/>
      </w:r>
    </w:p>
    <w:p w14:paraId="62B13F37" w14:textId="77777777" w:rsidR="00DF410E" w:rsidRDefault="00CE7F43">
      <w:pPr>
        <w:pStyle w:val="pheading"/>
      </w:pPr>
      <w:r>
        <w:t>DOCUMENTS DE RÉFÉRENCE COMPLÉMENTAIRES</w:t>
      </w:r>
    </w:p>
    <w:p w14:paraId="44D301DD" w14:textId="77777777" w:rsidR="00DF410E" w:rsidRDefault="00CE7F43">
      <w:pPr>
        <w:pStyle w:val="pheading"/>
      </w:pPr>
      <w:r>
        <w:t>- Matériau</w:t>
      </w:r>
    </w:p>
    <w:p w14:paraId="6DFB4FCD" w14:textId="77777777" w:rsidR="00DF410E" w:rsidRDefault="004016E8">
      <w:hyperlink r:id="rId456" w:history="1" w:docLocation="665">
        <w:r w:rsidR="00CE7F43">
          <w:t>32.43.2a Isolation à projeter - laine de roche (MW)</w:t>
        </w:r>
      </w:hyperlink>
    </w:p>
    <w:p w14:paraId="5D31677A" w14:textId="77777777" w:rsidR="00DF410E" w:rsidRDefault="00CE7F43">
      <w:pPr>
        <w:pStyle w:val="pheading"/>
      </w:pPr>
      <w:r>
        <w:t>- Exécution</w:t>
      </w:r>
    </w:p>
    <w:p w14:paraId="4B5BA4D6" w14:textId="77777777" w:rsidR="00DF410E" w:rsidRDefault="004016E8">
      <w:hyperlink r:id="rId457" w:history="1" w:docLocation="665">
        <w:r w:rsidR="00CE7F43">
          <w:t>32.43.2a Isolation à projeter - laine de roche (MW)</w:t>
        </w:r>
      </w:hyperlink>
    </w:p>
    <w:p w14:paraId="15CF86B4" w14:textId="77777777" w:rsidR="00DF410E" w:rsidRDefault="00CE7F43">
      <w:pPr>
        <w:pStyle w:val="pheading"/>
      </w:pPr>
      <w:r>
        <w:t>MESURAGE</w:t>
      </w:r>
    </w:p>
    <w:p w14:paraId="556F5C84" w14:textId="77777777" w:rsidR="00DF410E" w:rsidRDefault="00CE7F43">
      <w:pPr>
        <w:pStyle w:val="pheading"/>
      </w:pPr>
      <w:r>
        <w:t>- unité de mesure:</w:t>
      </w:r>
    </w:p>
    <w:p w14:paraId="2C3D057A" w14:textId="77777777" w:rsidR="00DF410E" w:rsidRDefault="00CE7F43">
      <w:r>
        <w:t>m²</w:t>
      </w:r>
    </w:p>
    <w:p w14:paraId="3C07E4C6" w14:textId="77777777" w:rsidR="00DF410E" w:rsidRDefault="00CE7F43">
      <w:pPr>
        <w:pStyle w:val="pheading"/>
      </w:pPr>
      <w:r>
        <w:t>- code de mesurage:</w:t>
      </w:r>
    </w:p>
    <w:p w14:paraId="15E05666" w14:textId="77777777" w:rsidR="00DF410E" w:rsidRDefault="00CE7F43">
      <w:r>
        <w:t>Surface nette mise en œuvre.  Les ouvertures supérieures à 0,5 m² sont déduites, retours comptés. Distinction faite suivant l'épaisseur.</w:t>
      </w:r>
    </w:p>
    <w:p w14:paraId="5A5F520E" w14:textId="77777777" w:rsidR="00DF410E" w:rsidRDefault="00CE7F43">
      <w:pPr>
        <w:pStyle w:val="pheading"/>
      </w:pPr>
      <w:r>
        <w:t>- nature du marché:</w:t>
      </w:r>
    </w:p>
    <w:p w14:paraId="15DBDC79" w14:textId="77777777" w:rsidR="00DF410E" w:rsidRDefault="00CE7F43">
      <w:r>
        <w:t>QF</w:t>
      </w:r>
    </w:p>
    <w:p w14:paraId="2EA5CB53" w14:textId="77777777" w:rsidR="00DF410E" w:rsidRDefault="00CE7F43">
      <w:pPr>
        <w:pStyle w:val="Author-eSectionHeading6"/>
      </w:pPr>
      <w:bookmarkStart w:id="1974" w:name="_Toc178839019"/>
      <w:r>
        <w:t>26.43.2b Isolation à projeter - laine de verre (MW) CCTB 01.11</w:t>
      </w:r>
      <w:bookmarkEnd w:id="1974"/>
    </w:p>
    <w:p w14:paraId="2975FFED" w14:textId="77777777" w:rsidR="00DF410E" w:rsidRDefault="00CE7F43">
      <w:pPr>
        <w:pStyle w:val="pheading"/>
      </w:pPr>
      <w:r>
        <w:t>DESCRIPTION</w:t>
      </w:r>
    </w:p>
    <w:p w14:paraId="2EE7F998" w14:textId="77777777" w:rsidR="00DF410E" w:rsidRDefault="00CE7F43">
      <w:pPr>
        <w:pStyle w:val="pheading"/>
      </w:pPr>
      <w:r>
        <w:t>- Définition / Comprend</w:t>
      </w:r>
    </w:p>
    <w:p w14:paraId="145F1589" w14:textId="77777777" w:rsidR="00DF410E" w:rsidRDefault="00CE7F43">
      <w:pPr>
        <w:jc w:val="both"/>
      </w:pPr>
      <w:r>
        <w:t>Il s’agit de la fourniture et de la pose d’une isolation thermique projetée en laine de verre (MW). Ces isolants sont utilisés en application horizontale ou verticale.</w:t>
      </w:r>
    </w:p>
    <w:p w14:paraId="1EC9F007" w14:textId="77777777" w:rsidR="00DF410E" w:rsidRDefault="00CE7F43">
      <w:pPr>
        <w:pStyle w:val="pheading"/>
      </w:pPr>
      <w:r>
        <w:t>- Localisation</w:t>
      </w:r>
    </w:p>
    <w:p w14:paraId="440A0C6B" w14:textId="77777777" w:rsidR="00DF410E" w:rsidRDefault="00CE7F43">
      <w:r>
        <w:t xml:space="preserve">Localisation des travaux : </w:t>
      </w:r>
      <w:r>
        <w:rPr>
          <w:rStyle w:val="optioncarChar"/>
        </w:rPr>
        <w:t>***</w:t>
      </w:r>
      <w:r>
        <w:t>.</w:t>
      </w:r>
    </w:p>
    <w:p w14:paraId="508B3079" w14:textId="77777777" w:rsidR="00DF410E" w:rsidRDefault="00CE7F43">
      <w:r>
        <w:t>Voir plans et métrés détaillés.</w:t>
      </w:r>
    </w:p>
    <w:p w14:paraId="06CF765D" w14:textId="77777777" w:rsidR="00DF410E" w:rsidRDefault="00CE7F43">
      <w:pPr>
        <w:pStyle w:val="pheading"/>
      </w:pPr>
      <w:r>
        <w:t>MATÉRIAUX</w:t>
      </w:r>
    </w:p>
    <w:p w14:paraId="5FFC908B" w14:textId="77777777" w:rsidR="00DF410E" w:rsidRDefault="00CE7F43">
      <w:pPr>
        <w:pStyle w:val="pheading"/>
      </w:pPr>
      <w:r>
        <w:t>- Caractéristiques générales</w:t>
      </w:r>
    </w:p>
    <w:p w14:paraId="77421EA0" w14:textId="77777777" w:rsidR="00DF410E" w:rsidRDefault="00CE7F43">
      <w:pPr>
        <w:jc w:val="both"/>
      </w:pPr>
      <w:r>
        <w:t>Le produit est constitué de laine de verre.</w:t>
      </w:r>
    </w:p>
    <w:p w14:paraId="3E9DE32D" w14:textId="77777777" w:rsidR="00DF410E" w:rsidRDefault="00CE7F43">
      <w:pPr>
        <w:jc w:val="both"/>
      </w:pPr>
      <w:r>
        <w:t xml:space="preserve">Épaisseur après projection : </w:t>
      </w:r>
      <w:r>
        <w:rPr>
          <w:rStyle w:val="optioncarChar"/>
        </w:rPr>
        <w:t>***</w:t>
      </w:r>
      <w:r>
        <w:t xml:space="preserve"> cm. La tolérance sur l’épaisseur est de </w:t>
      </w:r>
      <w:r>
        <w:rPr>
          <w:rStyle w:val="optioncarChar"/>
        </w:rPr>
        <w:t xml:space="preserve">± 2.5 cm </w:t>
      </w:r>
      <w:r>
        <w:t xml:space="preserve">(par défaut) </w:t>
      </w:r>
      <w:r>
        <w:rPr>
          <w:rStyle w:val="optioncarChar"/>
        </w:rPr>
        <w:t>/ 10 % / 20 % / ***.  </w:t>
      </w:r>
    </w:p>
    <w:p w14:paraId="4A210359" w14:textId="77777777" w:rsidR="00DF410E" w:rsidRDefault="00CE7F43">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14:paraId="6F8A4A8A" w14:textId="77777777" w:rsidR="00DF410E" w:rsidRDefault="00CE7F43">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 </w:t>
      </w:r>
      <w:r>
        <w:t>W/mK</w:t>
      </w:r>
    </w:p>
    <w:p w14:paraId="275A8ED7" w14:textId="77777777" w:rsidR="00DF410E" w:rsidRDefault="00CE7F43">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58268793" w14:textId="77777777" w:rsidR="00DF410E" w:rsidRDefault="00CE7F43">
      <w:pPr>
        <w:jc w:val="both"/>
      </w:pPr>
      <w:r>
        <w:t xml:space="preserve">Les liants ne contiennent pas de formaldéhyde. Le dégagement mesuré selon la [NBN EN 717-1] est inférieur à </w:t>
      </w:r>
      <w:r>
        <w:rPr>
          <w:rStyle w:val="optioncarChar"/>
        </w:rPr>
        <w:t>0.124 mg/m³ </w:t>
      </w:r>
      <w:r>
        <w:t>(par défaut)</w:t>
      </w:r>
      <w:r>
        <w:rPr>
          <w:rStyle w:val="optioncarChar"/>
        </w:rPr>
        <w:t xml:space="preserve"> / ***. </w:t>
      </w:r>
    </w:p>
    <w:p w14:paraId="592BF874" w14:textId="77777777" w:rsidR="00DF410E" w:rsidRDefault="00CE7F43">
      <w:pPr>
        <w:jc w:val="both"/>
      </w:pPr>
      <w:r>
        <w:t xml:space="preserve">La concentration de pentachlorophénol mesurée selon la [CEN/TR 14823] est inférieure à </w:t>
      </w:r>
      <w:r>
        <w:rPr>
          <w:rStyle w:val="optioncarChar"/>
        </w:rPr>
        <w:t xml:space="preserve">5 PPM </w:t>
      </w:r>
      <w:r>
        <w:t>(par défaut)</w:t>
      </w:r>
      <w:r>
        <w:rPr>
          <w:rStyle w:val="optioncarChar"/>
        </w:rPr>
        <w:t xml:space="preserve"> / ***.</w:t>
      </w:r>
      <w:r>
        <w:t>  </w:t>
      </w:r>
    </w:p>
    <w:p w14:paraId="06E7631E" w14:textId="77777777" w:rsidR="00DF410E" w:rsidRDefault="00CE7F43">
      <w:pPr>
        <w:jc w:val="both"/>
      </w:pPr>
      <w:r>
        <w:t xml:space="preserve">Les liants sont issus de matières premières </w:t>
      </w:r>
      <w:r>
        <w:rPr>
          <w:rStyle w:val="optioncarChar"/>
        </w:rPr>
        <w:t xml:space="preserve">organiques </w:t>
      </w:r>
      <w:r>
        <w:t>(par défaut)</w:t>
      </w:r>
      <w:r>
        <w:rPr>
          <w:rStyle w:val="optioncarChar"/>
        </w:rPr>
        <w:t xml:space="preserve"> / végétales / dérivés pétrochimiques / ***</w:t>
      </w:r>
      <w:r>
        <w:t>.</w:t>
      </w:r>
    </w:p>
    <w:p w14:paraId="75D23BBB" w14:textId="77777777" w:rsidR="00DF410E" w:rsidRDefault="00CE7F43">
      <w:pPr>
        <w:pStyle w:val="pheading"/>
      </w:pPr>
      <w:r>
        <w:t>- Finitions</w:t>
      </w:r>
    </w:p>
    <w:p w14:paraId="1D4A59DD" w14:textId="77777777" w:rsidR="00DF410E" w:rsidRDefault="00CE7F43">
      <w:r>
        <w:t>Teinte finale : </w:t>
      </w:r>
      <w:r>
        <w:rPr>
          <w:rStyle w:val="optioncarChar"/>
        </w:rPr>
        <w:t>non spécifiée</w:t>
      </w:r>
      <w:r>
        <w:t xml:space="preserve"> (par défaut)</w:t>
      </w:r>
      <w:r>
        <w:rPr>
          <w:rStyle w:val="optioncarChar"/>
        </w:rPr>
        <w:t xml:space="preserve"> / blanc cassé / gris / ***</w:t>
      </w:r>
    </w:p>
    <w:p w14:paraId="48664089" w14:textId="77777777" w:rsidR="00DF410E" w:rsidRDefault="00CE7F43">
      <w:pPr>
        <w:pStyle w:val="pheading"/>
      </w:pPr>
      <w:r>
        <w:t>- Prescriptions complémentaires</w:t>
      </w:r>
    </w:p>
    <w:p w14:paraId="15C6AC07" w14:textId="77777777" w:rsidR="00DF410E" w:rsidRDefault="00CE7F43">
      <w:pPr>
        <w:jc w:val="both"/>
      </w:pPr>
      <w:r>
        <w:rPr>
          <w:rStyle w:val="facultChar"/>
        </w:rPr>
        <w:t>Applications spécifiques: le matériau doit répondre aux critères d’acceptabilité des produits tels que définis au chapitre </w:t>
      </w:r>
      <w:hyperlink r:id="rId458" w:history="1" w:docLocation="68">
        <w:r>
          <w:rPr>
            <w:rStyle w:val="facultChar"/>
          </w:rPr>
          <w:t>02.42.1 Critères d'acceptabilité</w:t>
        </w:r>
      </w:hyperlink>
      <w:r>
        <w:rPr>
          <w:rStyle w:val="facultChar"/>
        </w:rPr>
        <w:t>.</w:t>
      </w:r>
    </w:p>
    <w:p w14:paraId="01C23D5F" w14:textId="77777777" w:rsidR="00DF410E" w:rsidRDefault="00CE7F43">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14:paraId="13B91B2A" w14:textId="77777777" w:rsidR="00DF410E" w:rsidRDefault="00CE7F43">
      <w:pPr>
        <w:jc w:val="both"/>
      </w:pPr>
      <w:r>
        <w:rPr>
          <w:rStyle w:val="facultChar"/>
        </w:rPr>
        <w:t xml:space="preserve">Absorption d’eau à long terme (selon [NBN EN ISO 16535:2019]): ≤ </w:t>
      </w:r>
      <w:r>
        <w:rPr>
          <w:rStyle w:val="optioncarChar"/>
        </w:rPr>
        <w:t>3kg/m²</w:t>
      </w:r>
      <w:r>
        <w:t xml:space="preserve"> (par défaut)</w:t>
      </w:r>
      <w:r>
        <w:rPr>
          <w:rStyle w:val="optioncarChar"/>
        </w:rPr>
        <w:t xml:space="preserve"> / ***  </w:t>
      </w:r>
    </w:p>
    <w:p w14:paraId="3F53CFD6" w14:textId="77777777" w:rsidR="00DF410E" w:rsidRDefault="00CE7F43">
      <w:pPr>
        <w:jc w:val="both"/>
      </w:pPr>
      <w:r>
        <w:rPr>
          <w:rStyle w:val="facultChar"/>
        </w:rPr>
        <w:t>Coefficient de résistance à la diffusion de vapeur d’eau – valeur μ (selon [NBN EN 12086]) : </w:t>
      </w:r>
      <w:r>
        <w:rPr>
          <w:rStyle w:val="optioncarChar"/>
        </w:rPr>
        <w:t xml:space="preserve">1 </w:t>
      </w:r>
      <w:r>
        <w:t xml:space="preserve">(par défaut) </w:t>
      </w:r>
      <w:r>
        <w:rPr>
          <w:rStyle w:val="optioncarChar"/>
        </w:rPr>
        <w:t>/ ***</w:t>
      </w:r>
    </w:p>
    <w:p w14:paraId="0D590A5B" w14:textId="77777777" w:rsidR="00DF410E" w:rsidRDefault="00CE7F43">
      <w:pPr>
        <w:jc w:val="both"/>
      </w:pPr>
      <w:r>
        <w:rPr>
          <w:rStyle w:val="facultChar"/>
        </w:rPr>
        <w:t>Absorption acoustique (déterminée selon [NBN EN ISO 354] et [NBN EN ISO 11654]) : </w:t>
      </w:r>
      <w:r>
        <w:rPr>
          <w:rStyle w:val="optioncarChar"/>
        </w:rPr>
        <w:t>*** </w:t>
      </w:r>
    </w:p>
    <w:p w14:paraId="2BEEEEB8" w14:textId="77777777" w:rsidR="00DF410E" w:rsidRDefault="00CE7F43">
      <w:pPr>
        <w:jc w:val="both"/>
      </w:pPr>
      <w:r>
        <w:rPr>
          <w:rStyle w:val="facultChar"/>
        </w:rPr>
        <w:t xml:space="preserve">La laine de verre produite contient au moins </w:t>
      </w:r>
      <w:r>
        <w:rPr>
          <w:rStyle w:val="optioncarChar"/>
        </w:rPr>
        <w:t>***</w:t>
      </w:r>
      <w:r>
        <w:rPr>
          <w:rStyle w:val="facultChar"/>
        </w:rPr>
        <w:t xml:space="preserve"> % de matière recyclée.</w:t>
      </w:r>
    </w:p>
    <w:p w14:paraId="0848E263" w14:textId="77777777" w:rsidR="00DF410E" w:rsidRDefault="00CE7F43">
      <w:pPr>
        <w:pStyle w:val="pheading"/>
      </w:pPr>
      <w:r>
        <w:t>EXÉCUTION / MISE EN ŒUVRE</w:t>
      </w:r>
    </w:p>
    <w:p w14:paraId="6F21A5C3" w14:textId="77777777" w:rsidR="00DF410E" w:rsidRDefault="00CE7F43">
      <w:pPr>
        <w:pStyle w:val="pheading"/>
      </w:pPr>
      <w:r>
        <w:t>- Prescriptions générales</w:t>
      </w:r>
    </w:p>
    <w:p w14:paraId="78E113B6" w14:textId="77777777" w:rsidR="00DF410E" w:rsidRDefault="00CE7F43">
      <w:pPr>
        <w:jc w:val="both"/>
      </w:pPr>
      <w:r>
        <w:t>La projection est réalisée par machine permettant le broyage, le mélange avec le liant et la projection sous pression de la laine de verre.</w:t>
      </w:r>
    </w:p>
    <w:p w14:paraId="6DBE2048" w14:textId="77777777" w:rsidR="00DF410E" w:rsidRDefault="00CE7F43">
      <w:pPr>
        <w:jc w:val="both"/>
      </w:pPr>
      <w:r>
        <w:t>La matière première est livrée sur chantier au plus près de la date d’application (maximum 3 jours). Elle est stockée à l'abri des intempéries et dans un local sec.</w:t>
      </w:r>
    </w:p>
    <w:p w14:paraId="31E94B0A" w14:textId="77777777" w:rsidR="00DF410E" w:rsidRDefault="00CE7F43">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14:paraId="5DF0933A" w14:textId="77777777" w:rsidR="00DF410E" w:rsidRDefault="00CE7F43">
      <w:pPr>
        <w:jc w:val="both"/>
      </w:pPr>
      <w:r>
        <w:t xml:space="preserve">La laine de verre projetée est </w:t>
      </w:r>
      <w:r>
        <w:rPr>
          <w:rStyle w:val="optioncarChar"/>
        </w:rPr>
        <w:t xml:space="preserve">rectifiée </w:t>
      </w:r>
      <w:r>
        <w:t>(par défaut)</w:t>
      </w:r>
      <w:r>
        <w:rPr>
          <w:rStyle w:val="optioncarChar"/>
        </w:rPr>
        <w:t xml:space="preserve"> / talochée / laissée sans modification / ***</w:t>
      </w:r>
      <w:r>
        <w:t>.</w:t>
      </w:r>
    </w:p>
    <w:p w14:paraId="714CF4AE" w14:textId="77777777" w:rsidR="00DF410E" w:rsidRDefault="00CE7F43">
      <w:pPr>
        <w:jc w:val="both"/>
      </w:pPr>
      <w:r>
        <w:t>L’isolant ne doit jamais être mis en contact direct avec les dispositifs d’éclairage encastrés.</w:t>
      </w:r>
    </w:p>
    <w:p w14:paraId="3053A488" w14:textId="77777777" w:rsidR="00DF410E" w:rsidRDefault="00CE7F43">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13DBCFD9" w14:textId="77777777" w:rsidR="00DF410E" w:rsidRDefault="00CE7F43">
      <w:pPr>
        <w:pStyle w:val="pheading"/>
      </w:pPr>
      <w:r>
        <w:t>DOCUMENTS DE RÉFÉRENCE COMPLÉMENTAIRES</w:t>
      </w:r>
    </w:p>
    <w:p w14:paraId="72C17485" w14:textId="77777777" w:rsidR="00DF410E" w:rsidRDefault="00CE7F43">
      <w:pPr>
        <w:pStyle w:val="pheading"/>
      </w:pPr>
      <w:r>
        <w:t>- Matériau</w:t>
      </w:r>
    </w:p>
    <w:p w14:paraId="02A01778"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52B10187" w14:textId="77777777" w:rsidR="00DF410E" w:rsidRDefault="00CE7F43">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B9474F4" w14:textId="77777777" w:rsidR="00DF410E" w:rsidRDefault="00CE7F43">
      <w:r>
        <w:t>[NBN EN 1097-3, Essais pour déterminer les caractéristiques mécaniques et physiques des granulats - Partie 3: Méthode pour la détermination de la masse volumique en vrac et de la porosité intergranulaire]</w:t>
      </w:r>
    </w:p>
    <w:p w14:paraId="3957AE7A" w14:textId="77777777" w:rsidR="00DF410E" w:rsidRDefault="00CE7F43">
      <w:r>
        <w:t>[NBN EN 933-5, Essais pour déterminer les caractéristiques géométriques des granulats - Partie 5 : Détermination du pourcentage de surfaces cassées dans les gravillons et graves naturelles]</w:t>
      </w:r>
    </w:p>
    <w:p w14:paraId="73CD3F48" w14:textId="77777777" w:rsidR="00DF410E" w:rsidRDefault="00CE7F43">
      <w:r>
        <w:t>[NBN EN 933-1, Essais pour déterminer les caractéristiques géométriques des granulats - Partie 1 : Détermination de la granularité - Analyse granulométrique par tamisage]</w:t>
      </w:r>
    </w:p>
    <w:p w14:paraId="24019981" w14:textId="77777777" w:rsidR="00DF410E" w:rsidRDefault="00CE7F43">
      <w:r>
        <w:t>[NBN EN 1097-6, Essais pour déterminer les caractéristiques mécaniques et physiques des granulats - Partie 6 : Détermination de la masse volumique et du coefficient d'absorption d'eau]</w:t>
      </w:r>
    </w:p>
    <w:p w14:paraId="6C6AB683" w14:textId="77777777" w:rsidR="00DF410E" w:rsidRDefault="00CE7F43">
      <w:r>
        <w:t>[NBN EN 1097-10, Essais pour déterminer les caractéristiques mécaniques et physiques des granulats - Partie 10: Hauteur de succion d'eau]</w:t>
      </w:r>
    </w:p>
    <w:p w14:paraId="54E8B8D3" w14:textId="77777777" w:rsidR="00DF410E" w:rsidRDefault="00CE7F43">
      <w:r>
        <w:t>[NBN EN ISO 354, Acoustique - Mesurage de l'absorption acoustique en salle réverbérante (ISO 354:2003)]</w:t>
      </w:r>
    </w:p>
    <w:p w14:paraId="7F074C97" w14:textId="77777777" w:rsidR="00DF410E" w:rsidRDefault="00CE7F43">
      <w:r>
        <w:t>[NBN EN ISO 11654, Acoustique - Absorbants pour l'utilisation dans les bâtiments - Evaluation de l'absorption acoustique (ISO 11654:1997)]</w:t>
      </w:r>
    </w:p>
    <w:p w14:paraId="56124A2B" w14:textId="77777777" w:rsidR="00DF410E" w:rsidRDefault="00CE7F43">
      <w:r>
        <w:t>[NBN EN 13501-1, Classement au feu des produits et éléments de construction - Partie 1: Classement à partir des données d'essais de réaction au feu] </w:t>
      </w:r>
    </w:p>
    <w:p w14:paraId="16B443A4" w14:textId="77777777" w:rsidR="00DF410E" w:rsidRDefault="00CE7F43">
      <w:pPr>
        <w:pStyle w:val="pheading"/>
      </w:pPr>
      <w:r>
        <w:t>MESURAGE</w:t>
      </w:r>
    </w:p>
    <w:p w14:paraId="1C93B343" w14:textId="77777777" w:rsidR="00DF410E" w:rsidRDefault="00CE7F43">
      <w:pPr>
        <w:pStyle w:val="pheading"/>
      </w:pPr>
      <w:r>
        <w:t>- unité de mesure:</w:t>
      </w:r>
    </w:p>
    <w:p w14:paraId="6950CC28" w14:textId="77777777" w:rsidR="00DF410E" w:rsidRDefault="00CE7F43">
      <w:r>
        <w:rPr>
          <w:rStyle w:val="optioncarChar"/>
        </w:rPr>
        <w:t xml:space="preserve">m² </w:t>
      </w:r>
      <w:r>
        <w:t>(par défaut)</w:t>
      </w:r>
      <w:r>
        <w:rPr>
          <w:rStyle w:val="optioncarChar"/>
        </w:rPr>
        <w:t xml:space="preserve"> / m³</w:t>
      </w:r>
    </w:p>
    <w:p w14:paraId="5BB50AEC" w14:textId="77777777" w:rsidR="00DF410E" w:rsidRDefault="00CE7F43">
      <w:r>
        <w:rPr>
          <w:b/>
          <w:i/>
        </w:rPr>
        <w:t>(Soit par défaut)</w:t>
      </w:r>
    </w:p>
    <w:p w14:paraId="4B70EB42" w14:textId="77777777" w:rsidR="00DF410E" w:rsidRDefault="00CE7F43">
      <w:r>
        <w:rPr>
          <w:rStyle w:val="soitChar"/>
        </w:rPr>
        <w:t>1. m²</w:t>
      </w:r>
    </w:p>
    <w:p w14:paraId="45FE0F8E" w14:textId="77777777" w:rsidR="00DF410E" w:rsidRDefault="00CE7F43">
      <w:r>
        <w:rPr>
          <w:b/>
          <w:i/>
        </w:rPr>
        <w:t>(Soit)</w:t>
      </w:r>
    </w:p>
    <w:p w14:paraId="3EA7867D" w14:textId="77777777" w:rsidR="00DF410E" w:rsidRDefault="00CE7F43">
      <w:r>
        <w:rPr>
          <w:rStyle w:val="soitChar"/>
        </w:rPr>
        <w:t>2. m³</w:t>
      </w:r>
    </w:p>
    <w:p w14:paraId="3BDF4353" w14:textId="77777777" w:rsidR="00DF410E" w:rsidRDefault="00CE7F43">
      <w:pPr>
        <w:pStyle w:val="pheading"/>
      </w:pPr>
      <w:r>
        <w:t>- code de mesurage:</w:t>
      </w:r>
    </w:p>
    <w:p w14:paraId="7F269FCA" w14:textId="77777777" w:rsidR="00DF410E" w:rsidRDefault="00CE7F43">
      <w:pPr>
        <w:jc w:val="both"/>
      </w:pPr>
      <w:r>
        <w:rPr>
          <w:rStyle w:val="optioncarChar"/>
        </w:rPr>
        <w:t>Surface nette</w:t>
      </w:r>
      <w:r>
        <w:t xml:space="preserve"> (par défaut)</w:t>
      </w:r>
      <w:r>
        <w:rPr>
          <w:rStyle w:val="optioncarChar"/>
        </w:rPr>
        <w:t xml:space="preserve"> / Volume net</w:t>
      </w:r>
    </w:p>
    <w:p w14:paraId="07CD0405" w14:textId="77777777" w:rsidR="00DF410E" w:rsidRDefault="00CE7F43">
      <w:pPr>
        <w:jc w:val="both"/>
      </w:pPr>
      <w:r>
        <w:rPr>
          <w:b/>
          <w:i/>
        </w:rPr>
        <w:t>(Soit par défaut)</w:t>
      </w:r>
    </w:p>
    <w:p w14:paraId="5F1FDC34" w14:textId="77777777" w:rsidR="00DF410E" w:rsidRDefault="00CE7F43">
      <w:pPr>
        <w:jc w:val="both"/>
      </w:pPr>
      <w:r>
        <w:rPr>
          <w:rStyle w:val="soitChar"/>
          <w:b/>
          <w:u w:val="single"/>
        </w:rPr>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644F8D0E" w14:textId="77777777" w:rsidR="00DF410E" w:rsidRDefault="00CE7F43">
      <w:pPr>
        <w:jc w:val="both"/>
      </w:pPr>
      <w:r>
        <w:rPr>
          <w:b/>
          <w:i/>
        </w:rPr>
        <w:t>(Soit)</w:t>
      </w:r>
    </w:p>
    <w:p w14:paraId="5AE34DF1" w14:textId="77777777" w:rsidR="00DF410E" w:rsidRDefault="00CE7F43">
      <w:pPr>
        <w:jc w:val="both"/>
      </w:pPr>
      <w:r>
        <w:rPr>
          <w:rStyle w:val="soitChar"/>
          <w:b/>
          <w:u w:val="single"/>
        </w:rPr>
        <w:t>2. Volume net</w:t>
      </w:r>
      <w:r>
        <w:t xml:space="preserve">  </w:t>
      </w:r>
      <w:r>
        <w:rPr>
          <w:rStyle w:val="soitChar"/>
        </w:rPr>
        <w:t>à mettre en œuvre, sans déduction des éléments de structure interposés (chevrons / fermes / solives / …). Les ouvertures supérieures à 0,5 m² multipliées par l’épaisseur à réaliser sont déduites. Distinction faite suivant l’épaisseur.</w:t>
      </w:r>
    </w:p>
    <w:p w14:paraId="5D31FA0E" w14:textId="77777777" w:rsidR="00DF410E" w:rsidRDefault="00CE7F43">
      <w:pPr>
        <w:pStyle w:val="pheading"/>
      </w:pPr>
      <w:r>
        <w:t>- nature du marché:</w:t>
      </w:r>
    </w:p>
    <w:p w14:paraId="6152CD51" w14:textId="77777777" w:rsidR="00DF410E" w:rsidRDefault="00CE7F43">
      <w:r>
        <w:t>QF</w:t>
      </w:r>
    </w:p>
    <w:p w14:paraId="409B7B49" w14:textId="77777777" w:rsidR="00DF410E" w:rsidRDefault="00CE7F43">
      <w:pPr>
        <w:pStyle w:val="Author-eSectionHeading5"/>
      </w:pPr>
      <w:bookmarkStart w:id="1975" w:name="_Toc178839020"/>
      <w:r>
        <w:t>26.43.3 (titre réservé) CCTB 01.04</w:t>
      </w:r>
      <w:bookmarkEnd w:id="1975"/>
    </w:p>
    <w:p w14:paraId="27D577B6" w14:textId="77777777" w:rsidR="00DF410E" w:rsidRDefault="00CE7F43">
      <w:pPr>
        <w:pStyle w:val="Author-eSectionHeading4"/>
      </w:pPr>
      <w:bookmarkStart w:id="1976" w:name="_Toc178839021"/>
      <w:r>
        <w:t>26.44 Isolation à souffler CCTB 01.11</w:t>
      </w:r>
      <w:bookmarkEnd w:id="1976"/>
    </w:p>
    <w:p w14:paraId="435E52F0" w14:textId="77777777" w:rsidR="00DF410E" w:rsidRDefault="00CE7F43">
      <w:pPr>
        <w:pStyle w:val="pheading"/>
      </w:pPr>
      <w:r>
        <w:t>DESCRIPTION</w:t>
      </w:r>
    </w:p>
    <w:p w14:paraId="14A0A884" w14:textId="77777777" w:rsidR="00DF410E" w:rsidRDefault="00CE7F43">
      <w:pPr>
        <w:pStyle w:val="pheading"/>
      </w:pPr>
      <w:r>
        <w:t>- Définition / Comprend</w:t>
      </w:r>
    </w:p>
    <w:p w14:paraId="726D95EF" w14:textId="77777777" w:rsidR="00DF410E" w:rsidRDefault="00CE7F43">
      <w:r>
        <w:rPr>
          <w:rStyle w:val="normalChar"/>
        </w:rPr>
        <w:t xml:space="preserve">Il s’agit de toutes les fournitures et travaux en vue de la réalisation, in situ, d’une isolation sans joint, par insufflation mécanique dans des espaces fermés, suivant prescription de l'élément </w:t>
      </w:r>
      <w:hyperlink r:id="rId459" w:history="1" w:docLocation="679">
        <w:r>
          <w:rPr>
            <w:rStyle w:val="normalChar"/>
          </w:rPr>
          <w:t>32.44 Isolation à souffler</w:t>
        </w:r>
      </w:hyperlink>
      <w:r>
        <w:rPr>
          <w:rStyle w:val="normalChar"/>
        </w:rPr>
        <w:t>, mais en relation avec les éléments du tome 2 du présent cahier des charges.</w:t>
      </w:r>
      <w:r>
        <w:br/>
      </w:r>
      <w:r>
        <w:br/>
        <w:t>Cela concerne notamment, l’isolation derrière des parements de maçonneries, y compris la post-isolation des murs creux.</w:t>
      </w:r>
    </w:p>
    <w:p w14:paraId="711DE4B0" w14:textId="77777777" w:rsidR="00DF410E" w:rsidRDefault="00CE7F43">
      <w:pPr>
        <w:pStyle w:val="pheading"/>
      </w:pPr>
      <w:r>
        <w:t>MATÉRIAUX</w:t>
      </w:r>
    </w:p>
    <w:p w14:paraId="22DB1F50" w14:textId="77777777" w:rsidR="00DF410E" w:rsidRDefault="00CE7F43">
      <w:r>
        <w:t xml:space="preserve">Voir </w:t>
      </w:r>
      <w:r>
        <w:rPr>
          <w:rStyle w:val="normalChar"/>
        </w:rPr>
        <w:t>32.44  Isolation à souffler.</w:t>
      </w:r>
    </w:p>
    <w:p w14:paraId="4B4CFEC7" w14:textId="77777777" w:rsidR="00DF410E" w:rsidRDefault="00CE7F43">
      <w:r>
        <w:rPr>
          <w:rStyle w:val="optioncarChar"/>
        </w:rPr>
        <w:t>Avec sa remise de prix / Avant le début de chantier</w:t>
      </w:r>
      <w:r>
        <w:t>, l’entrepreneur fournit les références des matériaux qu’il souhaite mettre en œuvre.</w:t>
      </w:r>
    </w:p>
    <w:p w14:paraId="63D6F367" w14:textId="77777777" w:rsidR="00DF410E" w:rsidRDefault="00CE7F43">
      <w:pPr>
        <w:pStyle w:val="pheading"/>
      </w:pPr>
      <w:r>
        <w:t>EXÉCUTION / MISE EN ŒUVRE</w:t>
      </w:r>
    </w:p>
    <w:p w14:paraId="4844B1D3" w14:textId="77777777" w:rsidR="00DF410E" w:rsidRDefault="00CE7F43">
      <w:r>
        <w:t xml:space="preserve">Voir </w:t>
      </w:r>
      <w:r>
        <w:rPr>
          <w:rStyle w:val="normalChar"/>
        </w:rPr>
        <w:t>32.44  Isolation à souffler.</w:t>
      </w:r>
    </w:p>
    <w:p w14:paraId="0E66CBB7" w14:textId="77777777" w:rsidR="00DF410E" w:rsidRDefault="00CE7F43">
      <w:pPr>
        <w:pStyle w:val="Author-eListParagraph"/>
        <w:numPr>
          <w:ilvl w:val="0"/>
          <w:numId w:val="1126"/>
        </w:numPr>
      </w:pPr>
      <w:r>
        <w:t xml:space="preserve">Le travail est réalisé par une entreprise spécialisée, suivant notamment: </w:t>
      </w:r>
      <w:r>
        <w:rPr>
          <w:rStyle w:val="optioncarChar"/>
        </w:rPr>
        <w:t xml:space="preserve">Prescriptions du fabricant </w:t>
      </w:r>
      <w:r>
        <w:t>(par défaut) </w:t>
      </w:r>
      <w:r>
        <w:rPr>
          <w:rStyle w:val="optioncarChar"/>
        </w:rPr>
        <w:t>/ ***.</w:t>
      </w:r>
    </w:p>
    <w:p w14:paraId="18A1D9B7" w14:textId="77777777" w:rsidR="00DF410E" w:rsidRDefault="00CE7F43">
      <w:pPr>
        <w:pStyle w:val="Author-eListParagraph"/>
        <w:numPr>
          <w:ilvl w:val="0"/>
          <w:numId w:val="1127"/>
        </w:numPr>
      </w:pPr>
      <w:r>
        <w:t xml:space="preserve">La cavité à isoler a une largeur nominale de minimum : </w:t>
      </w:r>
      <w:r>
        <w:rPr>
          <w:rStyle w:val="optioncarChar"/>
        </w:rPr>
        <w:t xml:space="preserve">40/50 </w:t>
      </w:r>
      <w:r>
        <w:t>(par défaut) </w:t>
      </w:r>
      <w:r>
        <w:rPr>
          <w:rStyle w:val="optioncarChar"/>
        </w:rPr>
        <w:t xml:space="preserve">/ *** </w:t>
      </w:r>
      <w:r>
        <w:t>mm.</w:t>
      </w:r>
    </w:p>
    <w:p w14:paraId="1429F7BB" w14:textId="77777777" w:rsidR="00DF410E" w:rsidRDefault="00CE7F43">
      <w:pPr>
        <w:pStyle w:val="Author-eListParagraph"/>
        <w:numPr>
          <w:ilvl w:val="0"/>
          <w:numId w:val="1128"/>
        </w:numPr>
      </w:pPr>
      <w:r>
        <w:t xml:space="preserve">Une fois le travail terminé et conformément aux prescriptions du fabricant, l’entrepreneur fourni : </w:t>
      </w:r>
      <w:r>
        <w:rPr>
          <w:rStyle w:val="optioncarChar"/>
        </w:rPr>
        <w:t>un certificat de densité / une déclaration de conformité</w:t>
      </w:r>
      <w:r>
        <w:t xml:space="preserve"> (par défaut) </w:t>
      </w:r>
      <w:r>
        <w:rPr>
          <w:rStyle w:val="optioncarChar"/>
        </w:rPr>
        <w:t>/ ***</w:t>
      </w:r>
      <w:r>
        <w:t>.</w:t>
      </w:r>
    </w:p>
    <w:p w14:paraId="291187E4" w14:textId="77777777" w:rsidR="00DF410E" w:rsidRDefault="00CE7F43">
      <w:r>
        <w:rPr>
          <w:u w:val="single"/>
        </w:rPr>
        <w:t>Spécificités pour les murs creux:</w:t>
      </w:r>
    </w:p>
    <w:p w14:paraId="20971032" w14:textId="77777777" w:rsidR="00DF410E" w:rsidRDefault="00CE7F43">
      <w:pPr>
        <w:pStyle w:val="Author-eListParagraph"/>
        <w:numPr>
          <w:ilvl w:val="0"/>
          <w:numId w:val="1129"/>
        </w:numPr>
      </w:pPr>
      <w:r>
        <w:t xml:space="preserve">L’insufflation est réalisée: </w:t>
      </w:r>
      <w:r>
        <w:rPr>
          <w:rStyle w:val="optioncarChar"/>
        </w:rPr>
        <w:t>en construction neuve, par l’intérieur</w:t>
      </w:r>
      <w:r>
        <w:t> (par défaut)</w:t>
      </w:r>
      <w:r>
        <w:rPr>
          <w:rStyle w:val="optioncarChar"/>
        </w:rPr>
        <w:t xml:space="preserve"> / en rénovation (post-isolation), par l’extérieur / ***.</w:t>
      </w:r>
    </w:p>
    <w:p w14:paraId="5E5503E3" w14:textId="77777777" w:rsidR="00DF410E" w:rsidRDefault="00CE7F43">
      <w:pPr>
        <w:pStyle w:val="Author-eListParagraph"/>
        <w:numPr>
          <w:ilvl w:val="0"/>
          <w:numId w:val="1129"/>
        </w:numPr>
      </w:pPr>
      <w:r>
        <w:t>Le travail comprend notamment :</w:t>
      </w:r>
      <w:r>
        <w:br/>
        <w:t xml:space="preserve">- La vérification de la coulisse. </w:t>
      </w:r>
      <w:r>
        <w:br/>
        <w:t xml:space="preserve">Elle doit convenir à l’insufflation de l’isolation (Largeur, non encombrée, …) </w:t>
      </w:r>
      <w:r>
        <w:br/>
        <w:t>- Le forage des trous dans le mur, au croisement des joints, selon le schéma de forage recommandé par le fabricant.</w:t>
      </w:r>
      <w:r>
        <w:br/>
        <w:t>- Avec un embout adapté, l’insufflation de l’isolant dans la coulisse par les trous, de bas en haut.</w:t>
      </w:r>
      <w:r>
        <w:br/>
        <w:t>- Dans le cas de bâtiments mitoyens ou jumelés, un système d’étanchéité doit être posé afin d’empêcher l’isolant de s’infiltrer dans la coulisse adjacente.</w:t>
      </w:r>
      <w:r>
        <w:br/>
        <w:t>- Le rebouchage des joints, au moyen du mortier parfaitement similaire à l’existant. Le mortier est soumis pour approbation à la direction du chantier. L’aspect de la façade reste inchangé.</w:t>
      </w:r>
    </w:p>
    <w:p w14:paraId="7E82FE5E" w14:textId="77777777" w:rsidR="00DF410E" w:rsidRDefault="00CE7F43">
      <w:pPr>
        <w:pStyle w:val="Author-eListParagraph"/>
        <w:numPr>
          <w:ilvl w:val="0"/>
          <w:numId w:val="1129"/>
        </w:numPr>
      </w:pPr>
      <w:r>
        <w:t>Les façades endommagées doivent d’abord être réparées avant de procéder à l’insufflation. Les fissures et les joints endommagés doivent être réparés. Toutes les ouvertures doivent être obturées.</w:t>
      </w:r>
      <w:r>
        <w:br/>
        <w:t>Le cas échéant, les réfections nécessaires sont comprises séparément.</w:t>
      </w:r>
    </w:p>
    <w:p w14:paraId="0265535D" w14:textId="77777777" w:rsidR="00DF410E" w:rsidRDefault="00CE7F43">
      <w:pPr>
        <w:pStyle w:val="pheading"/>
      </w:pPr>
      <w:r>
        <w:t>CONTRÔLES</w:t>
      </w:r>
    </w:p>
    <w:p w14:paraId="043BC9F7" w14:textId="77777777" w:rsidR="00DF410E" w:rsidRDefault="00CE7F43">
      <w:r>
        <w:t xml:space="preserve">Voir </w:t>
      </w:r>
      <w:r>
        <w:rPr>
          <w:rStyle w:val="normalChar"/>
        </w:rPr>
        <w:t>32.44  Isolation à souffler.</w:t>
      </w:r>
    </w:p>
    <w:p w14:paraId="04BFBE89" w14:textId="77777777" w:rsidR="00DF410E" w:rsidRDefault="00CE7F43">
      <w:pPr>
        <w:pStyle w:val="pheading"/>
      </w:pPr>
      <w:r>
        <w:t>DOCUMENTS DE RÉFÉRENCE</w:t>
      </w:r>
    </w:p>
    <w:p w14:paraId="4AFD41E9" w14:textId="77777777" w:rsidR="00DF410E" w:rsidRDefault="00CE7F43">
      <w:pPr>
        <w:pStyle w:val="pheading"/>
      </w:pPr>
      <w:r>
        <w:t>- Matériau</w:t>
      </w:r>
    </w:p>
    <w:p w14:paraId="70D66268" w14:textId="77777777" w:rsidR="00DF410E" w:rsidRDefault="00CE7F43">
      <w:r>
        <w:t>Voir 32.44 Isolation à souffler</w:t>
      </w:r>
    </w:p>
    <w:p w14:paraId="6B8A3620" w14:textId="77777777" w:rsidR="00DF410E" w:rsidRDefault="00CE7F43">
      <w:pPr>
        <w:pStyle w:val="pheading"/>
      </w:pPr>
      <w:r>
        <w:t>- Exécution</w:t>
      </w:r>
    </w:p>
    <w:p w14:paraId="304B5DB1" w14:textId="77777777" w:rsidR="00DF410E" w:rsidRDefault="00CE7F43">
      <w:r>
        <w:t>Voir 32.44 Isolation à souffler</w:t>
      </w:r>
    </w:p>
    <w:p w14:paraId="565610B6" w14:textId="77777777" w:rsidR="00DF410E" w:rsidRDefault="00CE7F43">
      <w:r>
        <w:t>Pour la post-isolation des murs creux :</w:t>
      </w:r>
    </w:p>
    <w:p w14:paraId="3ECC05E9" w14:textId="77777777" w:rsidR="00DF410E" w:rsidRDefault="00CE7F43">
      <w:r>
        <w:t>[STS 71-1, Post-isolation des murs creux par remplissage in situ de la coulisse ayant une largeur nominale d’au moins 50 mm]</w:t>
      </w:r>
    </w:p>
    <w:p w14:paraId="340B95C9" w14:textId="77777777" w:rsidR="00DF410E" w:rsidRDefault="00CE7F43">
      <w:r>
        <w:t>[NIT 246, Postisolation des murs creux par remplissage de la coulisse.]</w:t>
      </w:r>
    </w:p>
    <w:p w14:paraId="3B7E0734" w14:textId="77777777" w:rsidR="00DF410E" w:rsidRDefault="00CE7F43">
      <w:pPr>
        <w:pStyle w:val="pheading"/>
      </w:pPr>
      <w:r>
        <w:t>AIDE</w:t>
      </w:r>
    </w:p>
    <w:p w14:paraId="6CE71ECB" w14:textId="77777777" w:rsidR="00DF410E" w:rsidRDefault="00CE7F43">
      <w:r>
        <w:rPr>
          <w:u w:val="single"/>
        </w:rPr>
        <w:t>Note à l'attention de l'auteur de projet</w:t>
      </w:r>
    </w:p>
    <w:p w14:paraId="799547D4" w14:textId="77777777" w:rsidR="00DF410E" w:rsidRDefault="00CE7F43">
      <w:r>
        <w:t>Le domaine d’application et les prescriptions des différents isolants doivent être vérifiés et adaptés aux éléments du tome 2.</w:t>
      </w:r>
    </w:p>
    <w:p w14:paraId="6EF19A68" w14:textId="77777777" w:rsidR="00DF410E" w:rsidRDefault="00CE7F43">
      <w:pPr>
        <w:pStyle w:val="Author-eSectionHeading5"/>
      </w:pPr>
      <w:bookmarkStart w:id="1977" w:name="_Toc178839022"/>
      <w:r>
        <w:t>26.44.1 Isolation à souffler - matières synthétiques CCTB 01.04</w:t>
      </w:r>
      <w:bookmarkEnd w:id="1977"/>
    </w:p>
    <w:p w14:paraId="45BD7481" w14:textId="77777777" w:rsidR="00DF410E" w:rsidRDefault="00CE7F43">
      <w:pPr>
        <w:pStyle w:val="pheading"/>
      </w:pPr>
      <w:r>
        <w:t>EXÉCUTION / MISE EN ŒUVRE</w:t>
      </w:r>
    </w:p>
    <w:p w14:paraId="102B41EC" w14:textId="77777777" w:rsidR="00DF410E" w:rsidRDefault="00CE7F43">
      <w:r>
        <w:t xml:space="preserve">Voir </w:t>
      </w:r>
      <w:hyperlink r:id="rId460" w:history="1" w:docLocation="669">
        <w:r>
          <w:t>32.44.1 Isolation à souffler - matières synthétiques</w:t>
        </w:r>
      </w:hyperlink>
    </w:p>
    <w:p w14:paraId="668CB208" w14:textId="77777777" w:rsidR="00DF410E" w:rsidRDefault="00CE7F43">
      <w:pPr>
        <w:pStyle w:val="pheading"/>
      </w:pPr>
      <w:r>
        <w:t>DOCUMENTS DE RÉFÉRENCE</w:t>
      </w:r>
    </w:p>
    <w:p w14:paraId="3E96B8B2" w14:textId="77777777" w:rsidR="00DF410E" w:rsidRDefault="00CE7F43">
      <w:pPr>
        <w:pStyle w:val="pheading"/>
      </w:pPr>
      <w:r>
        <w:t>- Matériau</w:t>
      </w:r>
    </w:p>
    <w:p w14:paraId="37384BB2" w14:textId="77777777" w:rsidR="00DF410E" w:rsidRDefault="004016E8">
      <w:hyperlink r:id="rId461" w:history="1" w:docLocation="669">
        <w:hyperlink r:id="rId462" w:history="1" w:docLocation="669">
          <w:r w:rsidR="00CE7F43">
            <w:t>32.44.1 Isolation à souffler - matières synthétiques</w:t>
          </w:r>
        </w:hyperlink>
      </w:hyperlink>
    </w:p>
    <w:p w14:paraId="05BCCD00" w14:textId="77777777" w:rsidR="00DF410E" w:rsidRDefault="00CE7F43">
      <w:pPr>
        <w:pStyle w:val="pheading"/>
      </w:pPr>
      <w:r>
        <w:t>- Exécution</w:t>
      </w:r>
    </w:p>
    <w:p w14:paraId="37112A9A" w14:textId="77777777" w:rsidR="00DF410E" w:rsidRDefault="004016E8">
      <w:hyperlink r:id="rId463" w:history="1" w:docLocation="669">
        <w:r w:rsidR="00CE7F43">
          <w:t>32.44.1 Isolation à souffler - matières synthétiques</w:t>
        </w:r>
      </w:hyperlink>
    </w:p>
    <w:p w14:paraId="289C393A" w14:textId="77777777" w:rsidR="00DF410E" w:rsidRDefault="00CE7F43">
      <w:pPr>
        <w:pStyle w:val="Author-eSectionHeading6"/>
      </w:pPr>
      <w:bookmarkStart w:id="1978" w:name="_Toc178839023"/>
      <w:r>
        <w:t>26.44.1a Isolation à souffler - polystyrène expansé (EPS) CCTB 01.11</w:t>
      </w:r>
      <w:bookmarkEnd w:id="1978"/>
    </w:p>
    <w:p w14:paraId="0C4C3366" w14:textId="77777777" w:rsidR="00DF410E" w:rsidRDefault="00CE7F43">
      <w:pPr>
        <w:pStyle w:val="pheading"/>
      </w:pPr>
      <w:r>
        <w:t>DESCRIPTION</w:t>
      </w:r>
    </w:p>
    <w:p w14:paraId="625C94E9" w14:textId="77777777" w:rsidR="00DF410E" w:rsidRDefault="00CE7F43">
      <w:pPr>
        <w:pStyle w:val="pheading"/>
      </w:pPr>
      <w:r>
        <w:t>- Définition / Comprend</w:t>
      </w:r>
    </w:p>
    <w:p w14:paraId="14C9AC14" w14:textId="77777777" w:rsidR="00DF410E" w:rsidRDefault="00CE7F43">
      <w:r>
        <w:t xml:space="preserve">Il s’agit de la fourniture et mise en œuvre d’une isolation réalisée à l’aide de perles en polystyrène expansé, suivant prescription de l'élément </w:t>
      </w:r>
      <w:hyperlink r:id="rId464" w:history="1" w:docLocation="668">
        <w:r>
          <w:t>32.44.1a Isolation à souffler - polystyrène expansé (EPS)</w:t>
        </w:r>
      </w:hyperlink>
      <w:r>
        <w:t>.</w:t>
      </w:r>
    </w:p>
    <w:p w14:paraId="17DB314B" w14:textId="77777777" w:rsidR="00DF410E" w:rsidRDefault="00CE7F43">
      <w:pPr>
        <w:pStyle w:val="pheading"/>
      </w:pPr>
      <w:r>
        <w:t>MATÉRIAUX</w:t>
      </w:r>
    </w:p>
    <w:p w14:paraId="4EFEBC4C" w14:textId="77777777" w:rsidR="00DF410E" w:rsidRDefault="00CE7F43">
      <w:pPr>
        <w:pStyle w:val="pheading"/>
      </w:pPr>
      <w:r>
        <w:t>- Caractéristiques générales</w:t>
      </w:r>
    </w:p>
    <w:p w14:paraId="1D8A9657" w14:textId="77777777" w:rsidR="00DF410E" w:rsidRDefault="00CE7F43">
      <w:r>
        <w:t xml:space="preserve">Voir </w:t>
      </w:r>
      <w:hyperlink r:id="rId465" w:history="1" w:docLocation="668">
        <w:r>
          <w:t>32.44.1a Isolation à souffler - polystyrène expansé (EPS)</w:t>
        </w:r>
      </w:hyperlink>
    </w:p>
    <w:p w14:paraId="68B63C34" w14:textId="77777777" w:rsidR="00DF410E" w:rsidRDefault="00CE7F43">
      <w:r>
        <w:rPr>
          <w:u w:val="single"/>
        </w:rPr>
        <w:t>Spécifications</w:t>
      </w:r>
    </w:p>
    <w:p w14:paraId="3230845D" w14:textId="77777777" w:rsidR="00DF410E" w:rsidRDefault="00CE7F43">
      <w:pPr>
        <w:pStyle w:val="Author-eListParagraph"/>
        <w:numPr>
          <w:ilvl w:val="0"/>
          <w:numId w:val="1130"/>
        </w:numPr>
      </w:pPr>
      <w:r>
        <w:t xml:space="preserve">Épaisseur : </w:t>
      </w:r>
      <w:r>
        <w:rPr>
          <w:rStyle w:val="optioncarChar"/>
        </w:rPr>
        <w:t xml:space="preserve">*** </w:t>
      </w:r>
      <w:r>
        <w:t>cm.</w:t>
      </w:r>
    </w:p>
    <w:p w14:paraId="0A52A5BA" w14:textId="77777777" w:rsidR="00DF410E" w:rsidRDefault="00CE7F43">
      <w:pPr>
        <w:pStyle w:val="Author-eListParagraph"/>
        <w:numPr>
          <w:ilvl w:val="0"/>
          <w:numId w:val="1130"/>
        </w:numPr>
      </w:pPr>
      <w:r>
        <w:t xml:space="preserve">Masse volumique : </w:t>
      </w:r>
      <w:r>
        <w:rPr>
          <w:rStyle w:val="optioncarChar"/>
        </w:rPr>
        <w:t>14-15 kg/m³ / ***</w:t>
      </w:r>
      <w:r>
        <w:t xml:space="preserve"> , suivant </w:t>
      </w:r>
      <w:r>
        <w:rPr>
          <w:rStyle w:val="optioncarChar"/>
        </w:rPr>
        <w:t>***</w:t>
      </w:r>
      <w:r>
        <w:t>.</w:t>
      </w:r>
    </w:p>
    <w:p w14:paraId="1FAC7E0E" w14:textId="77777777" w:rsidR="00DF410E" w:rsidRDefault="00CE7F43">
      <w:pPr>
        <w:pStyle w:val="Author-eListParagraph"/>
        <w:numPr>
          <w:ilvl w:val="0"/>
          <w:numId w:val="1130"/>
        </w:numPr>
      </w:pPr>
      <w:r>
        <w:t xml:space="preserve">Valeur lambda déclarée : maximum </w:t>
      </w:r>
      <w:r>
        <w:rPr>
          <w:rStyle w:val="optioncarChar"/>
        </w:rPr>
        <w:t>0,045 </w:t>
      </w:r>
      <w:r>
        <w:t>(par défaut)</w:t>
      </w:r>
      <w:r>
        <w:rPr>
          <w:rStyle w:val="optioncarChar"/>
        </w:rPr>
        <w:t xml:space="preserve"> / ***</w:t>
      </w:r>
      <w:r>
        <w:t xml:space="preserve"> W/mK , suivant [NBN EN 12667] / [NBN B 62-002]</w:t>
      </w:r>
    </w:p>
    <w:p w14:paraId="376C9C61" w14:textId="77777777" w:rsidR="00DF410E" w:rsidRDefault="00CE7F43">
      <w:pPr>
        <w:pStyle w:val="Author-eListParagraph"/>
        <w:numPr>
          <w:ilvl w:val="0"/>
          <w:numId w:val="1130"/>
        </w:numPr>
      </w:pPr>
      <w:r>
        <w:t xml:space="preserve">Stabilité dimensionnelle : </w:t>
      </w:r>
      <w:r>
        <w:rPr>
          <w:rStyle w:val="optioncarChar"/>
        </w:rPr>
        <w:t>***</w:t>
      </w:r>
      <w:r>
        <w:t xml:space="preserve">, suivant </w:t>
      </w:r>
      <w:r>
        <w:rPr>
          <w:rStyle w:val="optioncarChar"/>
        </w:rPr>
        <w:t>***</w:t>
      </w:r>
    </w:p>
    <w:p w14:paraId="5CB7FF0B" w14:textId="77777777" w:rsidR="00DF410E" w:rsidRDefault="00CE7F43">
      <w:pPr>
        <w:pStyle w:val="Author-eListParagraph"/>
        <w:numPr>
          <w:ilvl w:val="0"/>
          <w:numId w:val="1130"/>
        </w:numPr>
      </w:pPr>
      <w:r>
        <w:t xml:space="preserve">Réaction au feu : </w:t>
      </w:r>
      <w:r>
        <w:rPr>
          <w:rStyle w:val="optioncarChar"/>
        </w:rPr>
        <w:t>***</w:t>
      </w:r>
      <w:r>
        <w:t xml:space="preserve"> / E, suivant </w:t>
      </w:r>
      <w:r>
        <w:rPr>
          <w:rStyle w:val="optioncarChar"/>
        </w:rPr>
        <w:t>***</w:t>
      </w:r>
      <w:r>
        <w:t xml:space="preserve"> / [NBN EN 13501-1].</w:t>
      </w:r>
    </w:p>
    <w:p w14:paraId="19C01F9E" w14:textId="77777777" w:rsidR="00DF410E" w:rsidRDefault="00CE7F43">
      <w:pPr>
        <w:pStyle w:val="Author-eListParagraph"/>
        <w:numPr>
          <w:ilvl w:val="0"/>
          <w:numId w:val="1130"/>
        </w:numPr>
      </w:pPr>
      <w:r>
        <w:t xml:space="preserve">Acoustique : </w:t>
      </w:r>
      <w:r>
        <w:rPr>
          <w:rStyle w:val="optioncarChar"/>
        </w:rPr>
        <w:t>***</w:t>
      </w:r>
      <w:r>
        <w:t xml:space="preserve">, suivant </w:t>
      </w:r>
      <w:r>
        <w:rPr>
          <w:rStyle w:val="optioncarChar"/>
        </w:rPr>
        <w:t>***.</w:t>
      </w:r>
    </w:p>
    <w:p w14:paraId="7A89A2F9" w14:textId="77777777" w:rsidR="00DF410E" w:rsidRDefault="00CE7F43">
      <w:pPr>
        <w:pStyle w:val="Author-eListParagraph"/>
        <w:numPr>
          <w:ilvl w:val="0"/>
          <w:numId w:val="1130"/>
        </w:numPr>
      </w:pPr>
      <w:r>
        <w:t xml:space="preserve">Masse volumique minimale après insufflation : </w:t>
      </w:r>
      <w:r>
        <w:rPr>
          <w:rStyle w:val="optioncarChar"/>
        </w:rPr>
        <w:t>***</w:t>
      </w:r>
      <w:r>
        <w:t xml:space="preserve"> kg/m³.</w:t>
      </w:r>
    </w:p>
    <w:p w14:paraId="0D3E1B9A" w14:textId="77777777" w:rsidR="00DF410E" w:rsidRDefault="00CE7F43">
      <w:pPr>
        <w:pStyle w:val="pheading"/>
      </w:pPr>
      <w:r>
        <w:t>DOCUMENTS DE RÉFÉRENCE COMPLÉMENTAIRES</w:t>
      </w:r>
    </w:p>
    <w:p w14:paraId="22B5A136" w14:textId="77777777" w:rsidR="00DF410E" w:rsidRDefault="00CE7F43">
      <w:pPr>
        <w:pStyle w:val="pheading"/>
      </w:pPr>
      <w:r>
        <w:t>- Matériau</w:t>
      </w:r>
    </w:p>
    <w:p w14:paraId="2CF66C49" w14:textId="77777777" w:rsidR="00DF410E" w:rsidRDefault="004016E8">
      <w:hyperlink r:id="rId466" w:history="1" w:docLocation="668">
        <w:r w:rsidR="00CE7F43">
          <w:t>32.44.1a Isolation à souffler - polystyrène expansé (EPS)</w:t>
        </w:r>
      </w:hyperlink>
    </w:p>
    <w:p w14:paraId="04A4F3EE" w14:textId="77777777" w:rsidR="00DF410E" w:rsidRDefault="00CE7F43">
      <w:pPr>
        <w:pStyle w:val="pheading"/>
      </w:pPr>
      <w:r>
        <w:t>- Exécution</w:t>
      </w:r>
    </w:p>
    <w:p w14:paraId="472EA8E8" w14:textId="77777777" w:rsidR="00DF410E" w:rsidRDefault="004016E8">
      <w:hyperlink r:id="rId467" w:history="1" w:docLocation="668">
        <w:r w:rsidR="00CE7F43">
          <w:t>32.44.1a Isolation à souffler - polystyrène expansé (EPS)</w:t>
        </w:r>
      </w:hyperlink>
    </w:p>
    <w:p w14:paraId="6412B601" w14:textId="77777777" w:rsidR="00DF410E" w:rsidRDefault="00CE7F43">
      <w:pPr>
        <w:pStyle w:val="pheading"/>
      </w:pPr>
      <w:r>
        <w:t>MESURAGE</w:t>
      </w:r>
    </w:p>
    <w:p w14:paraId="3CDD2984" w14:textId="77777777" w:rsidR="00DF410E" w:rsidRDefault="00CE7F43">
      <w:pPr>
        <w:pStyle w:val="pheading"/>
      </w:pPr>
      <w:r>
        <w:t>- unité de mesure:</w:t>
      </w:r>
    </w:p>
    <w:p w14:paraId="0B8E8F0A" w14:textId="77777777" w:rsidR="00DF410E" w:rsidRDefault="00CE7F43">
      <w:r>
        <w:t>m³</w:t>
      </w:r>
    </w:p>
    <w:p w14:paraId="77121D30" w14:textId="77777777" w:rsidR="00DF410E" w:rsidRDefault="00CE7F43">
      <w:pPr>
        <w:pStyle w:val="pheading"/>
      </w:pPr>
      <w:r>
        <w:t>- code de mesurage:</w:t>
      </w:r>
    </w:p>
    <w:p w14:paraId="0CF6C13D" w14:textId="77777777" w:rsidR="00DF410E" w:rsidRDefault="00CE7F43">
      <w:r>
        <w:t>Volume net de la construction à isoler, sans déduction des éléments de structure interposés.</w:t>
      </w:r>
      <w:r>
        <w:br/>
        <w:t>Suivant la densité prescrite.</w:t>
      </w:r>
      <w:r>
        <w:br/>
        <w:t>Les ouvertures supérieures à 0,5 m² multipliées par l’épaisseur à réaliser sont déduites.</w:t>
      </w:r>
    </w:p>
    <w:p w14:paraId="715FEBF1" w14:textId="77777777" w:rsidR="00DF410E" w:rsidRDefault="00CE7F43">
      <w:pPr>
        <w:pStyle w:val="pheading"/>
      </w:pPr>
      <w:r>
        <w:t>- nature du marché:</w:t>
      </w:r>
    </w:p>
    <w:p w14:paraId="07EB71E4" w14:textId="77777777" w:rsidR="00DF410E" w:rsidRDefault="00CE7F43">
      <w:r>
        <w:t>QF</w:t>
      </w:r>
    </w:p>
    <w:p w14:paraId="6E7CFCAF" w14:textId="77777777" w:rsidR="00DF410E" w:rsidRDefault="00CE7F43">
      <w:pPr>
        <w:pStyle w:val="Author-eSectionHeading5"/>
      </w:pPr>
      <w:bookmarkStart w:id="1979" w:name="_Toc178839024"/>
      <w:r>
        <w:t>26.44.2 Isolation à souffler - matières minérales CCTB 01.04</w:t>
      </w:r>
      <w:bookmarkEnd w:id="1979"/>
    </w:p>
    <w:p w14:paraId="4BF6C301" w14:textId="77777777" w:rsidR="00DF410E" w:rsidRDefault="00CE7F43">
      <w:pPr>
        <w:pStyle w:val="pheading"/>
      </w:pPr>
      <w:r>
        <w:t>DOCUMENTS DE RÉFÉRENCE</w:t>
      </w:r>
    </w:p>
    <w:p w14:paraId="54A3D9E6" w14:textId="77777777" w:rsidR="00DF410E" w:rsidRDefault="00CE7F43">
      <w:pPr>
        <w:pStyle w:val="pheading"/>
      </w:pPr>
      <w:r>
        <w:t>- Matériau</w:t>
      </w:r>
    </w:p>
    <w:p w14:paraId="2CEB32E9" w14:textId="77777777" w:rsidR="00DF410E" w:rsidRDefault="004016E8">
      <w:hyperlink r:id="rId468" w:history="1" w:docLocation="675">
        <w:r w:rsidR="00CE7F43">
          <w:t>32.44.2 Isolation à souffler - matières minérales</w:t>
        </w:r>
      </w:hyperlink>
    </w:p>
    <w:p w14:paraId="560CCCC4" w14:textId="77777777" w:rsidR="00DF410E" w:rsidRDefault="00CE7F43">
      <w:pPr>
        <w:pStyle w:val="pheading"/>
      </w:pPr>
      <w:r>
        <w:t>- Exécution</w:t>
      </w:r>
    </w:p>
    <w:p w14:paraId="441856EA" w14:textId="77777777" w:rsidR="00DF410E" w:rsidRDefault="004016E8">
      <w:hyperlink r:id="rId469" w:history="1" w:docLocation="675">
        <w:r w:rsidR="00CE7F43">
          <w:t>32.44.2 Isolation à souffler - matières minérales</w:t>
        </w:r>
      </w:hyperlink>
    </w:p>
    <w:p w14:paraId="74CB356F" w14:textId="77777777" w:rsidR="00DF410E" w:rsidRDefault="00CE7F43">
      <w:pPr>
        <w:pStyle w:val="Author-eSectionHeading6"/>
      </w:pPr>
      <w:bookmarkStart w:id="1980" w:name="_Toc178839025"/>
      <w:r>
        <w:t>26.44.2a Isolation à souffler - laine de verre CCTB 01.11</w:t>
      </w:r>
      <w:bookmarkEnd w:id="1980"/>
    </w:p>
    <w:p w14:paraId="32CDC8C7" w14:textId="77777777" w:rsidR="00DF410E" w:rsidRDefault="00CE7F43">
      <w:pPr>
        <w:pStyle w:val="pheading"/>
      </w:pPr>
      <w:r>
        <w:t>DESCRIPTION</w:t>
      </w:r>
    </w:p>
    <w:p w14:paraId="1B9C5209" w14:textId="77777777" w:rsidR="00DF410E" w:rsidRDefault="00CE7F43">
      <w:pPr>
        <w:pStyle w:val="pheading"/>
      </w:pPr>
      <w:r>
        <w:t>- Définition / Comprend</w:t>
      </w:r>
    </w:p>
    <w:p w14:paraId="5703F1A5" w14:textId="77777777" w:rsidR="00DF410E" w:rsidRDefault="00CE7F43">
      <w:r>
        <w:t xml:space="preserve">Il s’agit de la fourniture et mise en œuvre d’une isolation réalisée à l’aide de flocons de laine de verre, suivant prescription de l'élément </w:t>
      </w:r>
      <w:hyperlink r:id="rId470" w:history="1" w:docLocation="670">
        <w:r>
          <w:t>32.44.2a Isolation à souffler - laine de verre</w:t>
        </w:r>
      </w:hyperlink>
    </w:p>
    <w:p w14:paraId="4D5A20A1" w14:textId="77777777" w:rsidR="00DF410E" w:rsidRDefault="00CE7F43">
      <w:pPr>
        <w:pStyle w:val="pheading"/>
      </w:pPr>
      <w:r>
        <w:t>MATÉRIAUX</w:t>
      </w:r>
    </w:p>
    <w:p w14:paraId="15A2AA97" w14:textId="77777777" w:rsidR="00DF410E" w:rsidRDefault="00CE7F43">
      <w:pPr>
        <w:pStyle w:val="pheading"/>
      </w:pPr>
      <w:r>
        <w:t>- Caractéristiques générales</w:t>
      </w:r>
    </w:p>
    <w:p w14:paraId="1C771E20" w14:textId="77777777" w:rsidR="00DF410E" w:rsidRDefault="00CE7F43">
      <w:r>
        <w:t xml:space="preserve">Voir </w:t>
      </w:r>
      <w:hyperlink r:id="rId471" w:history="1" w:docLocation="670">
        <w:r>
          <w:t>32.44.2a Isolation à souffler - laine de verre</w:t>
        </w:r>
      </w:hyperlink>
      <w:r>
        <w:t>.</w:t>
      </w:r>
    </w:p>
    <w:p w14:paraId="20CB7F1A" w14:textId="77777777" w:rsidR="00DF410E" w:rsidRDefault="00CE7F43">
      <w:r>
        <w:rPr>
          <w:u w:val="single"/>
        </w:rPr>
        <w:t>Spécifications</w:t>
      </w:r>
    </w:p>
    <w:p w14:paraId="39D7DB3E" w14:textId="77777777" w:rsidR="00DF410E" w:rsidRDefault="00CE7F43">
      <w:pPr>
        <w:pStyle w:val="Author-eListParagraph"/>
        <w:numPr>
          <w:ilvl w:val="0"/>
          <w:numId w:val="1131"/>
        </w:numPr>
      </w:pPr>
      <w:r>
        <w:t xml:space="preserve">Épaisseur : </w:t>
      </w:r>
      <w:r>
        <w:rPr>
          <w:rStyle w:val="optioncarChar"/>
        </w:rPr>
        <w:t>***</w:t>
      </w:r>
      <w:r>
        <w:t xml:space="preserve"> cm</w:t>
      </w:r>
    </w:p>
    <w:p w14:paraId="2902A85A" w14:textId="77777777" w:rsidR="00DF410E" w:rsidRDefault="00CE7F43">
      <w:pPr>
        <w:pStyle w:val="Author-eListParagraph"/>
        <w:numPr>
          <w:ilvl w:val="0"/>
          <w:numId w:val="1131"/>
        </w:numPr>
      </w:pPr>
      <w:r>
        <w:t xml:space="preserve">Masse volumique: </w:t>
      </w:r>
      <w:r>
        <w:rPr>
          <w:rStyle w:val="optioncarChar"/>
        </w:rPr>
        <w:t>minimum 25 </w:t>
      </w:r>
      <w:r>
        <w:t>(par défaut)</w:t>
      </w:r>
      <w:r>
        <w:rPr>
          <w:rStyle w:val="optioncarChar"/>
        </w:rPr>
        <w:t xml:space="preserve"> / *** </w:t>
      </w:r>
      <w:r>
        <w:t>kg/m3, suivant [NBN EN 14064-1]</w:t>
      </w:r>
      <w:r>
        <w:rPr>
          <w:rStyle w:val="optioncarChar"/>
        </w:rPr>
        <w:t> / ***.</w:t>
      </w:r>
    </w:p>
    <w:p w14:paraId="66013B77" w14:textId="77777777" w:rsidR="00DF410E" w:rsidRDefault="00CE7F43">
      <w:pPr>
        <w:pStyle w:val="Author-eListParagraph"/>
        <w:numPr>
          <w:ilvl w:val="0"/>
          <w:numId w:val="1131"/>
        </w:numPr>
      </w:pPr>
      <w:r>
        <w:t xml:space="preserve">Valeur lambda: maximum </w:t>
      </w:r>
      <w:r>
        <w:rPr>
          <w:rStyle w:val="optioncarChar"/>
        </w:rPr>
        <w:t>0,065 </w:t>
      </w:r>
      <w:r>
        <w:t>(par défaut)</w:t>
      </w:r>
      <w:r>
        <w:rPr>
          <w:rStyle w:val="optioncarChar"/>
        </w:rPr>
        <w:t xml:space="preserve"> / *** </w:t>
      </w:r>
      <w:r>
        <w:t>W/mK, suivant [STS 71-1]</w:t>
      </w:r>
      <w:r>
        <w:rPr>
          <w:rStyle w:val="optioncarChar"/>
        </w:rPr>
        <w:t> / ***.</w:t>
      </w:r>
    </w:p>
    <w:p w14:paraId="58533BF7" w14:textId="77777777" w:rsidR="00DF410E" w:rsidRDefault="00CE7F43">
      <w:pPr>
        <w:pStyle w:val="Author-eListParagraph"/>
        <w:numPr>
          <w:ilvl w:val="0"/>
          <w:numId w:val="1131"/>
        </w:numPr>
      </w:pPr>
      <w:r>
        <w:t xml:space="preserve">Valeur lambda déclarée: maximum </w:t>
      </w:r>
      <w:r>
        <w:rPr>
          <w:rStyle w:val="optioncarChar"/>
        </w:rPr>
        <w:t>***</w:t>
      </w:r>
      <w:r>
        <w:t xml:space="preserve"> W/mK, suivant </w:t>
      </w:r>
      <w:r>
        <w:rPr>
          <w:rStyle w:val="optioncarChar"/>
        </w:rPr>
        <w:t>***</w:t>
      </w:r>
      <w:r>
        <w:t>.</w:t>
      </w:r>
    </w:p>
    <w:p w14:paraId="0C30569D" w14:textId="77777777" w:rsidR="00DF410E" w:rsidRDefault="00CE7F43">
      <w:pPr>
        <w:pStyle w:val="Author-eListParagraph"/>
        <w:numPr>
          <w:ilvl w:val="0"/>
          <w:numId w:val="1131"/>
        </w:numPr>
      </w:pPr>
      <w:r>
        <w:t xml:space="preserve">Stabilité dimensionnelle </w:t>
      </w:r>
      <w:r>
        <w:rPr>
          <w:rStyle w:val="optioncarChar"/>
        </w:rPr>
        <w:t>***</w:t>
      </w:r>
      <w:r>
        <w:t xml:space="preserve">, suivant </w:t>
      </w:r>
      <w:r>
        <w:rPr>
          <w:rStyle w:val="optioncarChar"/>
        </w:rPr>
        <w:t>***</w:t>
      </w:r>
      <w:r>
        <w:t>.</w:t>
      </w:r>
    </w:p>
    <w:p w14:paraId="35777D62" w14:textId="77777777" w:rsidR="00DF410E" w:rsidRDefault="00CE7F43">
      <w:pPr>
        <w:pStyle w:val="Author-eListParagraph"/>
        <w:numPr>
          <w:ilvl w:val="0"/>
          <w:numId w:val="1131"/>
        </w:numPr>
      </w:pPr>
      <w:r>
        <w:t xml:space="preserve">Réaction au feu: </w:t>
      </w:r>
      <w:r>
        <w:rPr>
          <w:rStyle w:val="optioncarChar"/>
        </w:rPr>
        <w:t>A1-F</w:t>
      </w:r>
      <w:r>
        <w:t xml:space="preserve"> (par défaut)</w:t>
      </w:r>
      <w:r>
        <w:rPr>
          <w:rStyle w:val="optioncarChar"/>
        </w:rPr>
        <w:t xml:space="preserve"> / ***, </w:t>
      </w:r>
      <w:r>
        <w:t>suivant [NBN EN 13501-1] </w:t>
      </w:r>
      <w:r>
        <w:rPr>
          <w:rStyle w:val="optioncarChar"/>
        </w:rPr>
        <w:t>/ ***.</w:t>
      </w:r>
    </w:p>
    <w:p w14:paraId="4411E2DB" w14:textId="77777777" w:rsidR="00DF410E" w:rsidRDefault="00CE7F43">
      <w:pPr>
        <w:pStyle w:val="Author-eListParagraph"/>
        <w:numPr>
          <w:ilvl w:val="0"/>
          <w:numId w:val="1131"/>
        </w:numPr>
      </w:pPr>
      <w:r>
        <w:t xml:space="preserve">Acoustique : </w:t>
      </w:r>
      <w:r>
        <w:rPr>
          <w:rStyle w:val="optioncarChar"/>
        </w:rPr>
        <w:t>***</w:t>
      </w:r>
      <w:r>
        <w:t xml:space="preserve">, suivant </w:t>
      </w:r>
      <w:r>
        <w:rPr>
          <w:rStyle w:val="optioncarChar"/>
        </w:rPr>
        <w:t>***</w:t>
      </w:r>
      <w:r>
        <w:t>.</w:t>
      </w:r>
    </w:p>
    <w:p w14:paraId="7D38C59E" w14:textId="77777777" w:rsidR="00DF410E" w:rsidRDefault="00CE7F43">
      <w:pPr>
        <w:pStyle w:val="Author-eListParagraph"/>
        <w:numPr>
          <w:ilvl w:val="0"/>
          <w:numId w:val="1131"/>
        </w:numPr>
      </w:pPr>
      <w:r>
        <w:t xml:space="preserve">Masse volumique minimale après insufflation : </w:t>
      </w:r>
      <w:r>
        <w:rPr>
          <w:rStyle w:val="optioncarChar"/>
        </w:rPr>
        <w:t>25</w:t>
      </w:r>
      <w:r>
        <w:t> (par défaut)</w:t>
      </w:r>
      <w:r>
        <w:rPr>
          <w:rStyle w:val="optioncarChar"/>
        </w:rPr>
        <w:t xml:space="preserve"> / *** </w:t>
      </w:r>
      <w:r>
        <w:t xml:space="preserve">kg/m³ (avec un moyenne de </w:t>
      </w:r>
      <w:r>
        <w:rPr>
          <w:rStyle w:val="optioncarChar"/>
        </w:rPr>
        <w:t>30 </w:t>
      </w:r>
      <w:r>
        <w:t xml:space="preserve">(par défaut) </w:t>
      </w:r>
      <w:r>
        <w:rPr>
          <w:rStyle w:val="optioncarChar"/>
        </w:rPr>
        <w:t xml:space="preserve">/ *** </w:t>
      </w:r>
      <w:r>
        <w:t xml:space="preserve">kg/m³ et au maximum </w:t>
      </w:r>
      <w:r>
        <w:rPr>
          <w:rStyle w:val="optioncarChar"/>
        </w:rPr>
        <w:t xml:space="preserve">40 </w:t>
      </w:r>
      <w:r>
        <w:t>(par défaut) </w:t>
      </w:r>
      <w:r>
        <w:rPr>
          <w:rStyle w:val="optioncarChar"/>
        </w:rPr>
        <w:t xml:space="preserve">/ *** </w:t>
      </w:r>
      <w:r>
        <w:t>kg/m³ &gt; dans cet intervalle, la valeur l est d’application)</w:t>
      </w:r>
    </w:p>
    <w:p w14:paraId="06024B58" w14:textId="77777777" w:rsidR="00DF410E" w:rsidRDefault="00CE7F43">
      <w:pPr>
        <w:pStyle w:val="Author-eListParagraph"/>
        <w:numPr>
          <w:ilvl w:val="0"/>
          <w:numId w:val="1131"/>
        </w:numPr>
      </w:pPr>
      <w:r>
        <w:t xml:space="preserve">Absorption d’eau par immersion partielle : ≤ </w:t>
      </w:r>
      <w:r>
        <w:rPr>
          <w:rStyle w:val="optioncarChar"/>
        </w:rPr>
        <w:t>1 </w:t>
      </w:r>
      <w:r>
        <w:t>(par défaut)</w:t>
      </w:r>
      <w:r>
        <w:rPr>
          <w:rStyle w:val="optioncarChar"/>
        </w:rPr>
        <w:t xml:space="preserve"> / *** </w:t>
      </w:r>
      <w:r>
        <w:t>kg/m², suivant [NBN EN ISO 29767]</w:t>
      </w:r>
      <w:r>
        <w:rPr>
          <w:rStyle w:val="optioncarChar"/>
        </w:rPr>
        <w:t> / ***.</w:t>
      </w:r>
    </w:p>
    <w:p w14:paraId="211115B5" w14:textId="77777777" w:rsidR="00DF410E" w:rsidRDefault="00CE7F43">
      <w:pPr>
        <w:pStyle w:val="pheading"/>
      </w:pPr>
      <w:r>
        <w:t>DOCUMENTS DE RÉFÉRENCE COMPLÉMENTAIRES</w:t>
      </w:r>
    </w:p>
    <w:p w14:paraId="277A9713" w14:textId="77777777" w:rsidR="00DF410E" w:rsidRDefault="00CE7F43">
      <w:pPr>
        <w:pStyle w:val="pheading"/>
      </w:pPr>
      <w:r>
        <w:t>- Matériau</w:t>
      </w:r>
    </w:p>
    <w:p w14:paraId="250270F9" w14:textId="77777777" w:rsidR="00DF410E" w:rsidRDefault="004016E8">
      <w:hyperlink r:id="rId472" w:history="1" w:docLocation="670">
        <w:r w:rsidR="00CE7F43">
          <w:t>32.44.2a Isolation à souffler - laine de verre</w:t>
        </w:r>
      </w:hyperlink>
    </w:p>
    <w:p w14:paraId="69B4B55B" w14:textId="77777777" w:rsidR="00DF410E" w:rsidRDefault="00CE7F43">
      <w:pPr>
        <w:pStyle w:val="pheading"/>
      </w:pPr>
      <w:r>
        <w:t>- Exécution</w:t>
      </w:r>
    </w:p>
    <w:p w14:paraId="549E470A" w14:textId="77777777" w:rsidR="00DF410E" w:rsidRDefault="004016E8">
      <w:hyperlink r:id="rId473" w:history="1" w:docLocation="670">
        <w:r w:rsidR="00CE7F43">
          <w:t>32.44.2a Isolation à souffler - laine de verre</w:t>
        </w:r>
      </w:hyperlink>
    </w:p>
    <w:p w14:paraId="57182273" w14:textId="77777777" w:rsidR="00DF410E" w:rsidRDefault="00CE7F43">
      <w:pPr>
        <w:pStyle w:val="pheading"/>
      </w:pPr>
      <w:r>
        <w:t>MESURAGE</w:t>
      </w:r>
    </w:p>
    <w:p w14:paraId="53EE6B1F" w14:textId="77777777" w:rsidR="00DF410E" w:rsidRDefault="00CE7F43">
      <w:pPr>
        <w:pStyle w:val="pheading"/>
      </w:pPr>
      <w:r>
        <w:t>- unité de mesure:</w:t>
      </w:r>
    </w:p>
    <w:p w14:paraId="7C9059D4" w14:textId="77777777" w:rsidR="00DF410E" w:rsidRDefault="00CE7F43">
      <w:r>
        <w:t>m³</w:t>
      </w:r>
    </w:p>
    <w:p w14:paraId="48D3047D" w14:textId="77777777" w:rsidR="00DF410E" w:rsidRDefault="00CE7F43">
      <w:pPr>
        <w:pStyle w:val="pheading"/>
      </w:pPr>
      <w:r>
        <w:t>- code de mesurage:</w:t>
      </w:r>
    </w:p>
    <w:p w14:paraId="62600D98" w14:textId="77777777" w:rsidR="00DF410E" w:rsidRDefault="00CE7F43">
      <w:r>
        <w:t>Volume net de la construction à isoler, sans déduction des éléments de structure interposés.</w:t>
      </w:r>
      <w:r>
        <w:br/>
        <w:t>Suivant la densité prescrite.</w:t>
      </w:r>
      <w:r>
        <w:br/>
        <w:t>Les ouvertures supérieures à 0,5 m² multipliées par l’épaisseur à réaliser sont déduites.</w:t>
      </w:r>
    </w:p>
    <w:p w14:paraId="19F6666C" w14:textId="77777777" w:rsidR="00DF410E" w:rsidRDefault="00CE7F43">
      <w:pPr>
        <w:pStyle w:val="pheading"/>
      </w:pPr>
      <w:r>
        <w:t>- nature du marché:</w:t>
      </w:r>
    </w:p>
    <w:p w14:paraId="1CC40DC9" w14:textId="77777777" w:rsidR="00DF410E" w:rsidRDefault="00CE7F43">
      <w:r>
        <w:t>QF</w:t>
      </w:r>
    </w:p>
    <w:p w14:paraId="2851959D" w14:textId="77777777" w:rsidR="00DF410E" w:rsidRDefault="00CE7F43">
      <w:pPr>
        <w:pStyle w:val="Author-eSectionHeading6"/>
      </w:pPr>
      <w:bookmarkStart w:id="1981" w:name="_Toc178839026"/>
      <w:r>
        <w:t>26.44.2b Isolation à souffler - laine de roche CCTB 01.11</w:t>
      </w:r>
      <w:bookmarkEnd w:id="1981"/>
    </w:p>
    <w:p w14:paraId="5CE56759" w14:textId="77777777" w:rsidR="00DF410E" w:rsidRDefault="00CE7F43">
      <w:pPr>
        <w:pStyle w:val="pheading"/>
      </w:pPr>
      <w:r>
        <w:t>DESCRIPTION</w:t>
      </w:r>
    </w:p>
    <w:p w14:paraId="67BAADD3" w14:textId="77777777" w:rsidR="00DF410E" w:rsidRDefault="00CE7F43">
      <w:pPr>
        <w:pStyle w:val="pheading"/>
      </w:pPr>
      <w:r>
        <w:t>- Définition / Comprend</w:t>
      </w:r>
    </w:p>
    <w:p w14:paraId="7FAB7873" w14:textId="77777777" w:rsidR="00DF410E" w:rsidRDefault="00CE7F43">
      <w:r>
        <w:t xml:space="preserve">- </w:t>
      </w:r>
      <w:r>
        <w:rPr>
          <w:rStyle w:val="normalChar"/>
        </w:rPr>
        <w:t>Définition / Comprend</w:t>
      </w:r>
    </w:p>
    <w:p w14:paraId="7038DD31" w14:textId="77777777" w:rsidR="00DF410E" w:rsidRDefault="00CE7F43">
      <w:r>
        <w:t xml:space="preserve">Il s’agit de la fourniture et mise en œuvre d’une isolation réalisée à l’aide de flocons de laine de roche, suivant prescription de l'élément </w:t>
      </w:r>
      <w:hyperlink r:id="rId474" w:history="1" w:docLocation="671">
        <w:r>
          <w:t>32.44.2b Isolation à souffler - laine de roche</w:t>
        </w:r>
      </w:hyperlink>
      <w:r>
        <w:t>.</w:t>
      </w:r>
    </w:p>
    <w:p w14:paraId="508AA619" w14:textId="77777777" w:rsidR="00DF410E" w:rsidRDefault="00CE7F43">
      <w:pPr>
        <w:pStyle w:val="pheading"/>
      </w:pPr>
      <w:r>
        <w:t>MATÉRIAUX</w:t>
      </w:r>
    </w:p>
    <w:p w14:paraId="7212EC50" w14:textId="77777777" w:rsidR="00DF410E" w:rsidRDefault="00CE7F43">
      <w:pPr>
        <w:pStyle w:val="pheading"/>
      </w:pPr>
      <w:r>
        <w:t>- Caractéristiques générales</w:t>
      </w:r>
    </w:p>
    <w:p w14:paraId="5B00B418" w14:textId="77777777" w:rsidR="00DF410E" w:rsidRDefault="00CE7F43">
      <w:r>
        <w:t xml:space="preserve">Voir </w:t>
      </w:r>
      <w:hyperlink r:id="rId475" w:history="1" w:docLocation="671">
        <w:r>
          <w:t>32.44.2b Isolation à souffler - laine de roche</w:t>
        </w:r>
      </w:hyperlink>
    </w:p>
    <w:p w14:paraId="4509E073" w14:textId="77777777" w:rsidR="00DF410E" w:rsidRDefault="00CE7F43">
      <w:r>
        <w:rPr>
          <w:u w:val="single"/>
        </w:rPr>
        <w:t>Spécifications</w:t>
      </w:r>
    </w:p>
    <w:p w14:paraId="26F46C8D" w14:textId="77777777" w:rsidR="00DF410E" w:rsidRDefault="00CE7F43">
      <w:pPr>
        <w:pStyle w:val="Author-eListParagraph"/>
        <w:numPr>
          <w:ilvl w:val="0"/>
          <w:numId w:val="1132"/>
        </w:numPr>
      </w:pPr>
      <w:r>
        <w:t xml:space="preserve">Épaisseur : </w:t>
      </w:r>
      <w:r>
        <w:rPr>
          <w:rStyle w:val="optioncarChar"/>
        </w:rPr>
        <w:t xml:space="preserve">*** </w:t>
      </w:r>
      <w:r>
        <w:t>cm</w:t>
      </w:r>
    </w:p>
    <w:p w14:paraId="09F52FB9" w14:textId="77777777" w:rsidR="00DF410E" w:rsidRDefault="00CE7F43">
      <w:pPr>
        <w:pStyle w:val="Author-eListParagraph"/>
        <w:numPr>
          <w:ilvl w:val="0"/>
          <w:numId w:val="1132"/>
        </w:numPr>
      </w:pPr>
      <w:r>
        <w:t>Masse volumique:</w:t>
      </w:r>
      <w:r>
        <w:rPr>
          <w:rStyle w:val="optioncarChar"/>
        </w:rPr>
        <w:t xml:space="preserve"> environ ***</w:t>
      </w:r>
      <w:r>
        <w:t xml:space="preserve"> kg/m3, suivant </w:t>
      </w:r>
      <w:r>
        <w:rPr>
          <w:rStyle w:val="optioncarChar"/>
        </w:rPr>
        <w:t>***.</w:t>
      </w:r>
    </w:p>
    <w:p w14:paraId="1E347F29" w14:textId="77777777" w:rsidR="00DF410E" w:rsidRDefault="00CE7F43">
      <w:pPr>
        <w:pStyle w:val="Author-eListParagraph"/>
        <w:numPr>
          <w:ilvl w:val="0"/>
          <w:numId w:val="1132"/>
        </w:numPr>
      </w:pPr>
      <w:r>
        <w:t>Valeur lambda déclarée: maximum</w:t>
      </w:r>
      <w:r>
        <w:rPr>
          <w:rStyle w:val="optioncarChar"/>
        </w:rPr>
        <w:t xml:space="preserve"> 0,040 </w:t>
      </w:r>
      <w:r>
        <w:t>(par défaut) </w:t>
      </w:r>
      <w:r>
        <w:rPr>
          <w:rStyle w:val="optioncarChar"/>
        </w:rPr>
        <w:t>/ ***</w:t>
      </w:r>
      <w:r>
        <w:t xml:space="preserve"> W/mK, suivant</w:t>
      </w:r>
      <w:r>
        <w:rPr>
          <w:rStyle w:val="optioncarChar"/>
        </w:rPr>
        <w:t> [NBN EN 14064-1] _ [NBN EN 12667] / *** .</w:t>
      </w:r>
    </w:p>
    <w:p w14:paraId="5EFF0F26" w14:textId="77777777" w:rsidR="00DF410E" w:rsidRDefault="00CE7F43">
      <w:pPr>
        <w:pStyle w:val="Author-eListParagraph"/>
        <w:numPr>
          <w:ilvl w:val="0"/>
          <w:numId w:val="1132"/>
        </w:numPr>
      </w:pPr>
      <w:r>
        <w:t xml:space="preserve">Stabilité dimensionnelle </w:t>
      </w:r>
      <w:r>
        <w:rPr>
          <w:rStyle w:val="optioncarChar"/>
        </w:rPr>
        <w:t>***</w:t>
      </w:r>
      <w:r>
        <w:t xml:space="preserve">, suivant </w:t>
      </w:r>
      <w:r>
        <w:rPr>
          <w:rStyle w:val="optioncarChar"/>
        </w:rPr>
        <w:t>***</w:t>
      </w:r>
      <w:r>
        <w:t>.</w:t>
      </w:r>
    </w:p>
    <w:p w14:paraId="79F51B0A" w14:textId="77777777" w:rsidR="00DF410E" w:rsidRDefault="00CE7F43">
      <w:pPr>
        <w:pStyle w:val="Author-eListParagraph"/>
        <w:numPr>
          <w:ilvl w:val="0"/>
          <w:numId w:val="1132"/>
        </w:numPr>
      </w:pPr>
      <w:r>
        <w:t>Réaction au feu: A1, suivant [NBN EN 13501-1].</w:t>
      </w:r>
    </w:p>
    <w:p w14:paraId="4B1B4099" w14:textId="77777777" w:rsidR="00DF410E" w:rsidRDefault="00CE7F43">
      <w:pPr>
        <w:pStyle w:val="Author-eListParagraph"/>
        <w:numPr>
          <w:ilvl w:val="0"/>
          <w:numId w:val="1132"/>
        </w:numPr>
      </w:pPr>
      <w:r>
        <w:t>Acoustique :</w:t>
      </w:r>
      <w:r>
        <w:rPr>
          <w:rStyle w:val="optioncarChar"/>
        </w:rPr>
        <w:t xml:space="preserve"> ***, </w:t>
      </w:r>
      <w:r>
        <w:t xml:space="preserve">suivant </w:t>
      </w:r>
      <w:r>
        <w:rPr>
          <w:rStyle w:val="optioncarChar"/>
        </w:rPr>
        <w:t>***.</w:t>
      </w:r>
    </w:p>
    <w:p w14:paraId="6F8A120F" w14:textId="77777777" w:rsidR="00DF410E" w:rsidRDefault="00CE7F43">
      <w:pPr>
        <w:pStyle w:val="Author-eListParagraph"/>
        <w:numPr>
          <w:ilvl w:val="0"/>
          <w:numId w:val="1132"/>
        </w:numPr>
      </w:pPr>
      <w:r>
        <w:t xml:space="preserve">Masse volumique minimale après insufflation : </w:t>
      </w:r>
      <w:r>
        <w:rPr>
          <w:rStyle w:val="optioncarChar"/>
        </w:rPr>
        <w:t xml:space="preserve">*** </w:t>
      </w:r>
      <w:r>
        <w:t>kg/m³.</w:t>
      </w:r>
    </w:p>
    <w:p w14:paraId="1EE3B98B" w14:textId="77777777" w:rsidR="00DF410E" w:rsidRDefault="00CE7F43">
      <w:pPr>
        <w:pStyle w:val="Author-eListParagraph"/>
        <w:numPr>
          <w:ilvl w:val="0"/>
          <w:numId w:val="1132"/>
        </w:numPr>
      </w:pPr>
      <w:r>
        <w:t xml:space="preserve">Facteur de résistance à la diffusion de vapeur: m = </w:t>
      </w:r>
      <w:r>
        <w:rPr>
          <w:rStyle w:val="optioncarChar"/>
        </w:rPr>
        <w:t>1,0 </w:t>
      </w:r>
      <w:r>
        <w:t>(par défaut)</w:t>
      </w:r>
      <w:r>
        <w:rPr>
          <w:rStyle w:val="optioncarChar"/>
        </w:rPr>
        <w:t xml:space="preserve"> / ***</w:t>
      </w:r>
      <w:r>
        <w:t xml:space="preserve">, suivant [NBN EN ISO 10456] / </w:t>
      </w:r>
      <w:r>
        <w:rPr>
          <w:rStyle w:val="optioncarChar"/>
        </w:rPr>
        <w:t>***.</w:t>
      </w:r>
    </w:p>
    <w:p w14:paraId="2151D926" w14:textId="77777777" w:rsidR="00DF410E" w:rsidRDefault="00CE7F43">
      <w:pPr>
        <w:pStyle w:val="Author-eListParagraph"/>
        <w:numPr>
          <w:ilvl w:val="0"/>
          <w:numId w:val="1132"/>
        </w:numPr>
      </w:pPr>
      <w:r>
        <w:t>Non capillaire et non hygroscopique</w:t>
      </w:r>
    </w:p>
    <w:p w14:paraId="5C043D80" w14:textId="77777777" w:rsidR="00DF410E" w:rsidRDefault="00CE7F43">
      <w:pPr>
        <w:pStyle w:val="pheading"/>
      </w:pPr>
      <w:r>
        <w:t>DOCUMENTS DE RÉFÉRENCE COMPLÉMENTAIRES</w:t>
      </w:r>
    </w:p>
    <w:p w14:paraId="29B84845" w14:textId="77777777" w:rsidR="00DF410E" w:rsidRDefault="00CE7F43">
      <w:pPr>
        <w:pStyle w:val="pheading"/>
      </w:pPr>
      <w:r>
        <w:t>- Matériau</w:t>
      </w:r>
    </w:p>
    <w:p w14:paraId="1DB940B5" w14:textId="77777777" w:rsidR="00DF410E" w:rsidRDefault="004016E8">
      <w:hyperlink r:id="rId476" w:history="1" w:docLocation="671">
        <w:r w:rsidR="00CE7F43">
          <w:t>32.44.2b Isolation à souffler - laine de roche</w:t>
        </w:r>
      </w:hyperlink>
    </w:p>
    <w:p w14:paraId="66F417B9" w14:textId="77777777" w:rsidR="00DF410E" w:rsidRDefault="00CE7F43">
      <w:pPr>
        <w:pStyle w:val="pheading"/>
      </w:pPr>
      <w:r>
        <w:t>- Exécution</w:t>
      </w:r>
    </w:p>
    <w:p w14:paraId="3D3F0859" w14:textId="77777777" w:rsidR="00DF410E" w:rsidRDefault="004016E8">
      <w:hyperlink r:id="rId477" w:history="1" w:docLocation="671">
        <w:r w:rsidR="00CE7F43">
          <w:t>32.44.2b Isolation à souffler - laine de roche</w:t>
        </w:r>
      </w:hyperlink>
    </w:p>
    <w:p w14:paraId="363006A4" w14:textId="77777777" w:rsidR="00DF410E" w:rsidRDefault="00CE7F43">
      <w:pPr>
        <w:pStyle w:val="pheading"/>
      </w:pPr>
      <w:r>
        <w:t>MESURAGE</w:t>
      </w:r>
    </w:p>
    <w:p w14:paraId="6B7B7FEB" w14:textId="77777777" w:rsidR="00DF410E" w:rsidRDefault="00CE7F43">
      <w:pPr>
        <w:pStyle w:val="pheading"/>
      </w:pPr>
      <w:r>
        <w:t>- unité de mesure:</w:t>
      </w:r>
    </w:p>
    <w:p w14:paraId="7BE73901" w14:textId="77777777" w:rsidR="00DF410E" w:rsidRDefault="00CE7F43">
      <w:r>
        <w:t>m³</w:t>
      </w:r>
    </w:p>
    <w:p w14:paraId="7082C516" w14:textId="77777777" w:rsidR="00DF410E" w:rsidRDefault="00CE7F43">
      <w:pPr>
        <w:pStyle w:val="pheading"/>
      </w:pPr>
      <w:r>
        <w:t>- code de mesurage:</w:t>
      </w:r>
    </w:p>
    <w:p w14:paraId="63CFC238" w14:textId="77777777" w:rsidR="00DF410E" w:rsidRDefault="00CE7F43">
      <w:r>
        <w:t>Volume net de la construction à isoler, sans déduction des éléments de structure interposés.</w:t>
      </w:r>
      <w:r>
        <w:br/>
        <w:t>Suivant la densité prescrite.</w:t>
      </w:r>
      <w:r>
        <w:br/>
        <w:t>Les ouvertures supérieures à 0,5 m² multipliées par l’épaisseur à réaliser sont déduites.</w:t>
      </w:r>
    </w:p>
    <w:p w14:paraId="345AC778" w14:textId="77777777" w:rsidR="00DF410E" w:rsidRDefault="00CE7F43">
      <w:pPr>
        <w:pStyle w:val="pheading"/>
      </w:pPr>
      <w:r>
        <w:t>- nature du marché:</w:t>
      </w:r>
    </w:p>
    <w:p w14:paraId="19A31A5E" w14:textId="77777777" w:rsidR="00DF410E" w:rsidRDefault="00CE7F43">
      <w:r>
        <w:t>QF</w:t>
      </w:r>
    </w:p>
    <w:p w14:paraId="21373E79" w14:textId="77777777" w:rsidR="00DF410E" w:rsidRDefault="00CE7F43">
      <w:pPr>
        <w:pStyle w:val="Author-eSectionHeading6"/>
      </w:pPr>
      <w:bookmarkStart w:id="1982" w:name="_Toc178839027"/>
      <w:r>
        <w:t>26.44.2c Isolation à souffler - fibres de verre CCTB 01.04</w:t>
      </w:r>
      <w:bookmarkEnd w:id="1982"/>
    </w:p>
    <w:p w14:paraId="5F6475E2" w14:textId="77777777" w:rsidR="00DF410E" w:rsidRDefault="00CE7F43">
      <w:pPr>
        <w:pStyle w:val="pheading"/>
      </w:pPr>
      <w:r>
        <w:t>DESCRIPTION</w:t>
      </w:r>
    </w:p>
    <w:p w14:paraId="2C0B3558" w14:textId="77777777" w:rsidR="00DF410E" w:rsidRDefault="00CE7F43">
      <w:pPr>
        <w:pStyle w:val="pheading"/>
      </w:pPr>
      <w:r>
        <w:t>- Définition / Comprend</w:t>
      </w:r>
    </w:p>
    <w:p w14:paraId="450A4D6E" w14:textId="77777777" w:rsidR="00DF410E" w:rsidRDefault="00CE7F43">
      <w:r>
        <w:t xml:space="preserve">Il s'agit de la réalisation d'une isolation par insufflation de fibres de verre suivant les prescriptions de l'article </w:t>
      </w:r>
      <w:hyperlink r:id="rId478" w:history="1" w:docLocation="672">
        <w:r>
          <w:t>32.44.2c Isolation à souffler - fibres de verre</w:t>
        </w:r>
      </w:hyperlink>
      <w:r>
        <w:t>.</w:t>
      </w:r>
    </w:p>
    <w:p w14:paraId="37495458" w14:textId="77777777" w:rsidR="00DF410E" w:rsidRDefault="00CE7F43">
      <w:pPr>
        <w:pStyle w:val="pheading"/>
      </w:pPr>
      <w:r>
        <w:t>MATÉRIAUX</w:t>
      </w:r>
    </w:p>
    <w:p w14:paraId="13359694" w14:textId="77777777" w:rsidR="00DF410E" w:rsidRDefault="00CE7F43">
      <w:pPr>
        <w:pStyle w:val="pheading"/>
      </w:pPr>
      <w:r>
        <w:t>- Caractéristiques générales</w:t>
      </w:r>
    </w:p>
    <w:p w14:paraId="09DE60BE" w14:textId="77777777" w:rsidR="00DF410E" w:rsidRDefault="00CE7F43">
      <w:r>
        <w:t xml:space="preserve">Voir </w:t>
      </w:r>
      <w:hyperlink r:id="rId479" w:history="1" w:docLocation="672">
        <w:r>
          <w:t>32.44.2c Isolation à souffler - fibres de verre</w:t>
        </w:r>
      </w:hyperlink>
    </w:p>
    <w:p w14:paraId="33321C9C" w14:textId="77777777" w:rsidR="00DF410E" w:rsidRDefault="00CE7F43">
      <w:pPr>
        <w:pStyle w:val="pheading"/>
      </w:pPr>
      <w:r>
        <w:t>- Prescriptions complémentaires</w:t>
      </w:r>
    </w:p>
    <w:p w14:paraId="2480605E" w14:textId="77777777" w:rsidR="00DF410E" w:rsidRDefault="00CE7F43">
      <w:r>
        <w:t xml:space="preserve">Voir </w:t>
      </w:r>
      <w:hyperlink r:id="rId480" w:history="1" w:docLocation="672">
        <w:r>
          <w:t>32.44.2c Isolation à souffler - fibres de verre</w:t>
        </w:r>
      </w:hyperlink>
    </w:p>
    <w:p w14:paraId="6BFDCBDD" w14:textId="77777777" w:rsidR="00DF410E" w:rsidRDefault="00CE7F43">
      <w:pPr>
        <w:pStyle w:val="pheading"/>
      </w:pPr>
      <w:r>
        <w:t>DOCUMENTS DE RÉFÉRENCE COMPLÉMENTAIRES</w:t>
      </w:r>
    </w:p>
    <w:p w14:paraId="0282D5B3" w14:textId="77777777" w:rsidR="00DF410E" w:rsidRDefault="00CE7F43">
      <w:pPr>
        <w:pStyle w:val="pheading"/>
      </w:pPr>
      <w:r>
        <w:t>- Matériau</w:t>
      </w:r>
    </w:p>
    <w:p w14:paraId="704CE39B" w14:textId="77777777" w:rsidR="00DF410E" w:rsidRDefault="004016E8">
      <w:hyperlink r:id="rId481" w:history="1" w:docLocation="672">
        <w:r w:rsidR="00CE7F43">
          <w:t>32.44.2c Isolation à souffler - fibres de verre</w:t>
        </w:r>
      </w:hyperlink>
    </w:p>
    <w:p w14:paraId="50C49843" w14:textId="77777777" w:rsidR="00DF410E" w:rsidRDefault="00CE7F43">
      <w:pPr>
        <w:pStyle w:val="pheading"/>
      </w:pPr>
      <w:r>
        <w:t>- Exécution</w:t>
      </w:r>
    </w:p>
    <w:p w14:paraId="211222ED" w14:textId="77777777" w:rsidR="00DF410E" w:rsidRDefault="004016E8">
      <w:hyperlink r:id="rId482" w:history="1" w:docLocation="672">
        <w:r w:rsidR="00CE7F43">
          <w:t>32.44.2c Isolation à souffler - fibres de verre</w:t>
        </w:r>
      </w:hyperlink>
    </w:p>
    <w:p w14:paraId="4FD296BE" w14:textId="77777777" w:rsidR="00DF410E" w:rsidRDefault="00CE7F43">
      <w:pPr>
        <w:pStyle w:val="pheading"/>
      </w:pPr>
      <w:r>
        <w:t>MESURAGE</w:t>
      </w:r>
    </w:p>
    <w:p w14:paraId="5CEDDD26" w14:textId="77777777" w:rsidR="00DF410E" w:rsidRDefault="00CE7F43">
      <w:pPr>
        <w:pStyle w:val="pheading"/>
      </w:pPr>
      <w:r>
        <w:t>- unité de mesure:</w:t>
      </w:r>
    </w:p>
    <w:p w14:paraId="2C49EAC0" w14:textId="77777777" w:rsidR="00DF410E" w:rsidRDefault="00CE7F43">
      <w:r>
        <w:t>m³</w:t>
      </w:r>
    </w:p>
    <w:p w14:paraId="2ABF8977" w14:textId="77777777" w:rsidR="00DF410E" w:rsidRDefault="00CE7F43">
      <w:pPr>
        <w:pStyle w:val="pheading"/>
      </w:pPr>
      <w:r>
        <w:t>- code de mesurage:</w:t>
      </w:r>
    </w:p>
    <w:p w14:paraId="1109592C" w14:textId="77777777" w:rsidR="00DF410E" w:rsidRDefault="00CE7F43">
      <w:r>
        <w:t>Volume net de la construction à isoler, sans déduction des éléments de structure interposés.</w:t>
      </w:r>
      <w:r>
        <w:br/>
        <w:t>Suivant la densité prescrite.</w:t>
      </w:r>
      <w:r>
        <w:br/>
        <w:t>Les ouvertures supérieures à 0,5 m² multipliées par l’épaisseur à réaliser sont déduites.</w:t>
      </w:r>
    </w:p>
    <w:p w14:paraId="2EAEB6A4" w14:textId="77777777" w:rsidR="00DF410E" w:rsidRDefault="00CE7F43">
      <w:pPr>
        <w:pStyle w:val="pheading"/>
      </w:pPr>
      <w:r>
        <w:t>- nature du marché:</w:t>
      </w:r>
    </w:p>
    <w:p w14:paraId="7FA17A41" w14:textId="77777777" w:rsidR="00DF410E" w:rsidRDefault="00CE7F43">
      <w:r>
        <w:t>QF</w:t>
      </w:r>
    </w:p>
    <w:p w14:paraId="70DC1728" w14:textId="77777777" w:rsidR="00DF410E" w:rsidRDefault="00CE7F43">
      <w:pPr>
        <w:pStyle w:val="Author-eSectionHeading6"/>
      </w:pPr>
      <w:bookmarkStart w:id="1983" w:name="_Toc178839028"/>
      <w:r>
        <w:t>26.44.2d Isolation à souffler - vermiculite expansée CCTB 01.04</w:t>
      </w:r>
      <w:bookmarkEnd w:id="1983"/>
    </w:p>
    <w:p w14:paraId="46714A00" w14:textId="77777777" w:rsidR="00DF410E" w:rsidRDefault="00CE7F43">
      <w:pPr>
        <w:pStyle w:val="pheading"/>
      </w:pPr>
      <w:r>
        <w:t>DESCRIPTION</w:t>
      </w:r>
    </w:p>
    <w:p w14:paraId="0330AE35" w14:textId="77777777" w:rsidR="00DF410E" w:rsidRDefault="00CE7F43">
      <w:pPr>
        <w:pStyle w:val="pheading"/>
      </w:pPr>
      <w:r>
        <w:t>- Définition / Comprend</w:t>
      </w:r>
    </w:p>
    <w:p w14:paraId="7D97D050" w14:textId="77777777" w:rsidR="00DF410E" w:rsidRDefault="00CE7F43">
      <w:r>
        <w:t xml:space="preserve">Il s'agit de la réalisation d'une isolation en vermiculite expansée suivant les prescriptions de l'article </w:t>
      </w:r>
      <w:hyperlink r:id="rId483" w:history="1" w:docLocation="673">
        <w:r>
          <w:t>32.44.2d Isolation à souffler - vermiculite expansée</w:t>
        </w:r>
      </w:hyperlink>
      <w:r>
        <w:t>.</w:t>
      </w:r>
    </w:p>
    <w:p w14:paraId="441F7B96" w14:textId="77777777" w:rsidR="00DF410E" w:rsidRDefault="00CE7F43">
      <w:pPr>
        <w:pStyle w:val="pheading"/>
      </w:pPr>
      <w:r>
        <w:t>MATÉRIAUX</w:t>
      </w:r>
    </w:p>
    <w:p w14:paraId="06D4F0E7" w14:textId="77777777" w:rsidR="00DF410E" w:rsidRDefault="00CE7F43">
      <w:pPr>
        <w:pStyle w:val="pheading"/>
      </w:pPr>
      <w:r>
        <w:t>- Caractéristiques générales</w:t>
      </w:r>
    </w:p>
    <w:p w14:paraId="322A855E" w14:textId="77777777" w:rsidR="00DF410E" w:rsidRDefault="00CE7F43">
      <w:r>
        <w:t xml:space="preserve">Voir </w:t>
      </w:r>
      <w:hyperlink r:id="rId484" w:history="1" w:docLocation="673">
        <w:r>
          <w:t>32.44.2d Isolation à souffler - vermiculite expansée</w:t>
        </w:r>
      </w:hyperlink>
    </w:p>
    <w:p w14:paraId="244B2A83" w14:textId="77777777" w:rsidR="00DF410E" w:rsidRDefault="00CE7F43">
      <w:pPr>
        <w:pStyle w:val="pheading"/>
      </w:pPr>
      <w:r>
        <w:t>DOCUMENTS DE RÉFÉRENCE COMPLÉMENTAIRES</w:t>
      </w:r>
    </w:p>
    <w:p w14:paraId="72AAA261" w14:textId="77777777" w:rsidR="00DF410E" w:rsidRDefault="00CE7F43">
      <w:pPr>
        <w:pStyle w:val="pheading"/>
      </w:pPr>
      <w:r>
        <w:t>- Matériau</w:t>
      </w:r>
    </w:p>
    <w:p w14:paraId="17244552" w14:textId="77777777" w:rsidR="00DF410E" w:rsidRDefault="004016E8">
      <w:hyperlink r:id="rId485" w:history="1" w:docLocation="673">
        <w:r w:rsidR="00CE7F43">
          <w:t>32.44.2d Isolation à souffler - vermiculite expansée</w:t>
        </w:r>
      </w:hyperlink>
    </w:p>
    <w:p w14:paraId="65842BC9" w14:textId="77777777" w:rsidR="00DF410E" w:rsidRDefault="00CE7F43">
      <w:pPr>
        <w:pStyle w:val="pheading"/>
      </w:pPr>
      <w:r>
        <w:t>- Exécution</w:t>
      </w:r>
    </w:p>
    <w:p w14:paraId="1A90A56C" w14:textId="77777777" w:rsidR="00DF410E" w:rsidRDefault="004016E8">
      <w:hyperlink r:id="rId486" w:history="1" w:docLocation="673">
        <w:r w:rsidR="00CE7F43">
          <w:t>32.44.2d Isolation à souffler - vermiculite expansée</w:t>
        </w:r>
      </w:hyperlink>
    </w:p>
    <w:p w14:paraId="3A26ED30" w14:textId="77777777" w:rsidR="00DF410E" w:rsidRDefault="00CE7F43">
      <w:pPr>
        <w:pStyle w:val="pheading"/>
      </w:pPr>
      <w:r>
        <w:t>MESURAGE</w:t>
      </w:r>
    </w:p>
    <w:p w14:paraId="026612D3" w14:textId="77777777" w:rsidR="00DF410E" w:rsidRDefault="00CE7F43">
      <w:pPr>
        <w:pStyle w:val="pheading"/>
      </w:pPr>
      <w:r>
        <w:t>- unité de mesure:</w:t>
      </w:r>
    </w:p>
    <w:p w14:paraId="20ECC79A" w14:textId="77777777" w:rsidR="00DF410E" w:rsidRDefault="00CE7F43">
      <w:r>
        <w:t>m³</w:t>
      </w:r>
    </w:p>
    <w:p w14:paraId="36B21319" w14:textId="77777777" w:rsidR="00DF410E" w:rsidRDefault="00CE7F43">
      <w:pPr>
        <w:pStyle w:val="pheading"/>
      </w:pPr>
      <w:r>
        <w:t>- code de mesurage:</w:t>
      </w:r>
    </w:p>
    <w:p w14:paraId="689380BE" w14:textId="77777777" w:rsidR="00DF410E" w:rsidRDefault="00CE7F43">
      <w:r>
        <w:t>Volume net de la construction à isoler, sans déduction des éléments de structure interposés.</w:t>
      </w:r>
      <w:r>
        <w:br/>
        <w:t>Suivant la densité prescrite.</w:t>
      </w:r>
      <w:r>
        <w:br/>
        <w:t>Les ouvertures supérieures à 0,5 m² multipliées par l’épaisseur à réaliser sont déduites.</w:t>
      </w:r>
    </w:p>
    <w:p w14:paraId="7DBEF0FB" w14:textId="77777777" w:rsidR="00DF410E" w:rsidRDefault="00CE7F43">
      <w:pPr>
        <w:pStyle w:val="pheading"/>
      </w:pPr>
      <w:r>
        <w:t>- nature du marché:</w:t>
      </w:r>
    </w:p>
    <w:p w14:paraId="212FC5F8" w14:textId="77777777" w:rsidR="00DF410E" w:rsidRDefault="00CE7F43">
      <w:r>
        <w:t>QF</w:t>
      </w:r>
    </w:p>
    <w:p w14:paraId="40CA8D71" w14:textId="77777777" w:rsidR="00DF410E" w:rsidRDefault="00CE7F43">
      <w:pPr>
        <w:pStyle w:val="Author-eSectionHeading6"/>
      </w:pPr>
      <w:bookmarkStart w:id="1984" w:name="_Toc178839029"/>
      <w:r>
        <w:t>26.44.2e Isolation à souffler - perlite expansée CCTB 01.04</w:t>
      </w:r>
      <w:bookmarkEnd w:id="1984"/>
    </w:p>
    <w:p w14:paraId="35A0F36E" w14:textId="77777777" w:rsidR="00DF410E" w:rsidRDefault="00CE7F43">
      <w:pPr>
        <w:pStyle w:val="pheading"/>
      </w:pPr>
      <w:r>
        <w:t>DESCRIPTION</w:t>
      </w:r>
    </w:p>
    <w:p w14:paraId="7AA79275" w14:textId="77777777" w:rsidR="00DF410E" w:rsidRDefault="00CE7F43">
      <w:pPr>
        <w:pStyle w:val="pheading"/>
      </w:pPr>
      <w:r>
        <w:t>- Définition / Comprend</w:t>
      </w:r>
    </w:p>
    <w:p w14:paraId="09AA87FF" w14:textId="77777777" w:rsidR="00DF410E" w:rsidRDefault="00CE7F43">
      <w:r>
        <w:t xml:space="preserve">Il s'agit de la réalisation d'une isolation en perlite expansée suivant les prescriptions de l'article </w:t>
      </w:r>
      <w:hyperlink r:id="rId487" w:history="1" w:docLocation="674">
        <w:r>
          <w:t>32.44.2e Isolation à souffler - perlite expansée</w:t>
        </w:r>
      </w:hyperlink>
      <w:r>
        <w:t>.</w:t>
      </w:r>
    </w:p>
    <w:p w14:paraId="6E2FEDEB" w14:textId="77777777" w:rsidR="00DF410E" w:rsidRDefault="00CE7F43">
      <w:pPr>
        <w:pStyle w:val="pheading"/>
      </w:pPr>
      <w:r>
        <w:t>MATÉRIAUX</w:t>
      </w:r>
    </w:p>
    <w:p w14:paraId="3FC7379F" w14:textId="77777777" w:rsidR="00DF410E" w:rsidRDefault="00CE7F43">
      <w:pPr>
        <w:pStyle w:val="pheading"/>
      </w:pPr>
      <w:r>
        <w:t>- Caractéristiques générales</w:t>
      </w:r>
    </w:p>
    <w:p w14:paraId="58ADB44A" w14:textId="77777777" w:rsidR="00DF410E" w:rsidRDefault="00CE7F43">
      <w:r>
        <w:t xml:space="preserve">Voir </w:t>
      </w:r>
      <w:hyperlink r:id="rId488" w:history="1" w:docLocation="674">
        <w:r>
          <w:t>32.44.2e Isolation à souffler - perlite expansée</w:t>
        </w:r>
      </w:hyperlink>
    </w:p>
    <w:p w14:paraId="1AEA5972" w14:textId="77777777" w:rsidR="00DF410E" w:rsidRDefault="00CE7F43">
      <w:pPr>
        <w:pStyle w:val="pheading"/>
      </w:pPr>
      <w:r>
        <w:t>DOCUMENTS DE RÉFÉRENCE COMPLÉMENTAIRES</w:t>
      </w:r>
    </w:p>
    <w:p w14:paraId="2B7626BC" w14:textId="77777777" w:rsidR="00DF410E" w:rsidRDefault="00CE7F43">
      <w:pPr>
        <w:pStyle w:val="pheading"/>
      </w:pPr>
      <w:r>
        <w:t>- Matériau</w:t>
      </w:r>
    </w:p>
    <w:p w14:paraId="6EB8B63D" w14:textId="77777777" w:rsidR="00DF410E" w:rsidRDefault="004016E8">
      <w:hyperlink r:id="rId489" w:history="1" w:docLocation="674">
        <w:r w:rsidR="00CE7F43">
          <w:t>32.44.2e Isolation à souffler - perlite expansée</w:t>
        </w:r>
      </w:hyperlink>
    </w:p>
    <w:p w14:paraId="3F3427FD" w14:textId="77777777" w:rsidR="00DF410E" w:rsidRDefault="00CE7F43">
      <w:pPr>
        <w:pStyle w:val="pheading"/>
      </w:pPr>
      <w:r>
        <w:t>- Exécution</w:t>
      </w:r>
    </w:p>
    <w:p w14:paraId="4EEEE90E" w14:textId="77777777" w:rsidR="00DF410E" w:rsidRDefault="004016E8">
      <w:hyperlink r:id="rId490" w:history="1" w:docLocation="674">
        <w:r w:rsidR="00CE7F43">
          <w:t>32.44.2e Isolation à souffler - perlite expansée</w:t>
        </w:r>
      </w:hyperlink>
    </w:p>
    <w:p w14:paraId="3E6F9740" w14:textId="77777777" w:rsidR="00DF410E" w:rsidRDefault="00CE7F43">
      <w:pPr>
        <w:pStyle w:val="pheading"/>
      </w:pPr>
      <w:r>
        <w:t>MESURAGE</w:t>
      </w:r>
    </w:p>
    <w:p w14:paraId="5A0A51EF" w14:textId="77777777" w:rsidR="00DF410E" w:rsidRDefault="00CE7F43">
      <w:pPr>
        <w:pStyle w:val="pheading"/>
      </w:pPr>
      <w:r>
        <w:t>- unité de mesure:</w:t>
      </w:r>
    </w:p>
    <w:p w14:paraId="58F615F0" w14:textId="77777777" w:rsidR="00DF410E" w:rsidRDefault="00CE7F43">
      <w:r>
        <w:t>m³</w:t>
      </w:r>
    </w:p>
    <w:p w14:paraId="73B48967" w14:textId="77777777" w:rsidR="00DF410E" w:rsidRDefault="00CE7F43">
      <w:pPr>
        <w:pStyle w:val="pheading"/>
      </w:pPr>
      <w:r>
        <w:t>- code de mesurage:</w:t>
      </w:r>
    </w:p>
    <w:p w14:paraId="70081FDD" w14:textId="77777777" w:rsidR="00DF410E" w:rsidRDefault="00CE7F43">
      <w:r>
        <w:t>Volume net de la construction à isoler, sans déduction des éléments de structure interposés.</w:t>
      </w:r>
      <w:r>
        <w:br/>
        <w:t>Suivant la densité prescrite.</w:t>
      </w:r>
      <w:r>
        <w:br/>
        <w:t>Les ouvertures supérieures à 0,5 m² multipliées par l’épaisseur à réaliser sont déduites.</w:t>
      </w:r>
    </w:p>
    <w:p w14:paraId="02BB4D69" w14:textId="77777777" w:rsidR="00DF410E" w:rsidRDefault="00CE7F43">
      <w:pPr>
        <w:pStyle w:val="pheading"/>
      </w:pPr>
      <w:r>
        <w:t>- nature du marché:</w:t>
      </w:r>
    </w:p>
    <w:p w14:paraId="66956CD0" w14:textId="77777777" w:rsidR="00DF410E" w:rsidRDefault="00CE7F43">
      <w:r>
        <w:t>QF</w:t>
      </w:r>
    </w:p>
    <w:p w14:paraId="0D7C6632" w14:textId="77777777" w:rsidR="00DF410E" w:rsidRDefault="00CE7F43">
      <w:pPr>
        <w:pStyle w:val="Author-eSectionHeading5"/>
      </w:pPr>
      <w:bookmarkStart w:id="1985" w:name="_Toc178839030"/>
      <w:r>
        <w:t>26.44.3 Isolation à souffler - matières végétales CCTB 01.04</w:t>
      </w:r>
      <w:bookmarkEnd w:id="1985"/>
    </w:p>
    <w:p w14:paraId="78695597" w14:textId="77777777" w:rsidR="00DF410E" w:rsidRDefault="00CE7F43">
      <w:pPr>
        <w:pStyle w:val="pheading"/>
      </w:pPr>
      <w:r>
        <w:t>EXÉCUTION / MISE EN ŒUVRE</w:t>
      </w:r>
    </w:p>
    <w:p w14:paraId="7C05825B" w14:textId="77777777" w:rsidR="00DF410E" w:rsidRDefault="00CE7F43">
      <w:r>
        <w:t xml:space="preserve">Voir </w:t>
      </w:r>
      <w:hyperlink r:id="rId491" w:history="1" w:docLocation="678">
        <w:r>
          <w:t>32.44.3 Isolation à souffler - matières végétales</w:t>
        </w:r>
      </w:hyperlink>
      <w:r>
        <w:t>.</w:t>
      </w:r>
    </w:p>
    <w:p w14:paraId="7A66CAAD" w14:textId="77777777" w:rsidR="00DF410E" w:rsidRDefault="00CE7F43">
      <w:pPr>
        <w:pStyle w:val="pheading"/>
      </w:pPr>
      <w:r>
        <w:t>DOCUMENTS DE RÉFÉRENCE</w:t>
      </w:r>
    </w:p>
    <w:p w14:paraId="547A4529" w14:textId="77777777" w:rsidR="00DF410E" w:rsidRDefault="00CE7F43">
      <w:pPr>
        <w:pStyle w:val="pheading"/>
      </w:pPr>
      <w:r>
        <w:t>- Matériau</w:t>
      </w:r>
    </w:p>
    <w:p w14:paraId="71BC088A" w14:textId="77777777" w:rsidR="00DF410E" w:rsidRDefault="004016E8">
      <w:hyperlink r:id="rId492" w:history="1" w:docLocation="678">
        <w:r w:rsidR="00CE7F43">
          <w:t>32.44.3 Isolation à souffler - matières végétales</w:t>
        </w:r>
      </w:hyperlink>
    </w:p>
    <w:p w14:paraId="55A07D62" w14:textId="77777777" w:rsidR="00DF410E" w:rsidRDefault="00CE7F43">
      <w:pPr>
        <w:pStyle w:val="pheading"/>
      </w:pPr>
      <w:r>
        <w:t>- Exécution</w:t>
      </w:r>
    </w:p>
    <w:p w14:paraId="08F6FE22" w14:textId="77777777" w:rsidR="00DF410E" w:rsidRDefault="004016E8">
      <w:hyperlink r:id="rId493" w:history="1" w:docLocation="678">
        <w:r w:rsidR="00CE7F43">
          <w:t>32.44.3 Isolation à souffler - matières végétales</w:t>
        </w:r>
      </w:hyperlink>
    </w:p>
    <w:p w14:paraId="0680168D" w14:textId="77777777" w:rsidR="00DF410E" w:rsidRDefault="00CE7F43">
      <w:pPr>
        <w:pStyle w:val="Author-eSectionHeading6"/>
      </w:pPr>
      <w:bookmarkStart w:id="1986" w:name="_Toc178839031"/>
      <w:r>
        <w:t>26.44.3a (titre réservé) CCTB 01.04</w:t>
      </w:r>
      <w:bookmarkEnd w:id="1986"/>
    </w:p>
    <w:p w14:paraId="7AEDDB89" w14:textId="77777777" w:rsidR="00DF410E" w:rsidRDefault="00CE7F43">
      <w:pPr>
        <w:pStyle w:val="Author-eSectionHeading6"/>
      </w:pPr>
      <w:bookmarkStart w:id="1987" w:name="_Toc178839032"/>
      <w:r>
        <w:t>26.44.3b Isolation à souffler - granulés d'argile expansée CCTB 01.11</w:t>
      </w:r>
      <w:bookmarkEnd w:id="1987"/>
    </w:p>
    <w:p w14:paraId="120C1F71" w14:textId="77777777" w:rsidR="00DF410E" w:rsidRDefault="00CE7F43">
      <w:pPr>
        <w:pStyle w:val="pheading"/>
      </w:pPr>
      <w:r>
        <w:t>DESCRIPTION</w:t>
      </w:r>
    </w:p>
    <w:p w14:paraId="761EF183" w14:textId="77777777" w:rsidR="00DF410E" w:rsidRDefault="00CE7F43">
      <w:pPr>
        <w:pStyle w:val="pheading"/>
      </w:pPr>
      <w:r>
        <w:t>- Définition / Comprend</w:t>
      </w:r>
    </w:p>
    <w:p w14:paraId="1C242906" w14:textId="77777777" w:rsidR="00DF410E" w:rsidRDefault="00CE7F43">
      <w:r>
        <w:t xml:space="preserve">Il s'agit de la réalisation d'une isolation en granulés d'argile expansée suivant les prescriptions de l'article </w:t>
      </w:r>
      <w:hyperlink r:id="rId494" w:history="1" w:docLocation="676">
        <w:r>
          <w:t>32.44.3b Isolation à souffler - granulés d'argile expansée</w:t>
        </w:r>
      </w:hyperlink>
      <w:r>
        <w:t>.</w:t>
      </w:r>
    </w:p>
    <w:p w14:paraId="32469D87" w14:textId="77777777" w:rsidR="00DF410E" w:rsidRDefault="00CE7F43">
      <w:pPr>
        <w:pStyle w:val="pheading"/>
      </w:pPr>
      <w:r>
        <w:t>MATÉRIAUX</w:t>
      </w:r>
    </w:p>
    <w:p w14:paraId="5A160F6B" w14:textId="77777777" w:rsidR="00DF410E" w:rsidRDefault="00CE7F43">
      <w:pPr>
        <w:pStyle w:val="pheading"/>
      </w:pPr>
      <w:r>
        <w:t>- Caractéristiques générales</w:t>
      </w:r>
    </w:p>
    <w:p w14:paraId="1B5A71BC" w14:textId="77777777" w:rsidR="00DF410E" w:rsidRDefault="00CE7F43">
      <w:r>
        <w:t>Voir </w:t>
      </w:r>
      <w:hyperlink r:id="rId495" w:history="1" w:docLocation="676">
        <w:r>
          <w:t>32.44.3b Isolation à souffler - granulés d'argile expansée</w:t>
        </w:r>
      </w:hyperlink>
    </w:p>
    <w:p w14:paraId="77CA086B" w14:textId="77777777" w:rsidR="00DF410E" w:rsidRDefault="00CE7F43">
      <w:pPr>
        <w:pStyle w:val="heading"/>
      </w:pPr>
      <w:r>
        <w:t>Spécifications</w:t>
      </w:r>
    </w:p>
    <w:p w14:paraId="1CB1E9E2" w14:textId="77777777" w:rsidR="00DF410E" w:rsidRDefault="00CE7F43">
      <w:r>
        <w:t xml:space="preserve">L’épaisseur d’isolation créée : </w:t>
      </w:r>
      <w:r>
        <w:rPr>
          <w:rStyle w:val="optioncarChar"/>
        </w:rPr>
        <w:t>***</w:t>
      </w:r>
      <w:r>
        <w:t xml:space="preserve"> cm</w:t>
      </w:r>
    </w:p>
    <w:p w14:paraId="70664410" w14:textId="77777777" w:rsidR="00DF410E" w:rsidRDefault="00CE7F43">
      <w:r>
        <w:rPr>
          <w:u w:val="single"/>
        </w:rPr>
        <w:t>Caractéristiques de base :</w:t>
      </w:r>
    </w:p>
    <w:p w14:paraId="1E4E0629" w14:textId="77777777" w:rsidR="00DF410E" w:rsidRDefault="00CE7F43">
      <w:pPr>
        <w:pStyle w:val="Author-eListParagraph"/>
        <w:numPr>
          <w:ilvl w:val="0"/>
          <w:numId w:val="1133"/>
        </w:numPr>
      </w:pPr>
      <w:r>
        <w:t xml:space="preserve">Conductivité thermique, valeur lambda déclarée : max. </w:t>
      </w:r>
      <w:r>
        <w:rPr>
          <w:rStyle w:val="optioncarChar"/>
        </w:rPr>
        <w:t>0.15 </w:t>
      </w:r>
      <w:r>
        <w:t>(par défaut) / *** W/mK</w:t>
      </w:r>
    </w:p>
    <w:p w14:paraId="324F1F8C" w14:textId="77777777" w:rsidR="00DF410E" w:rsidRDefault="00CE7F43">
      <w:pPr>
        <w:pStyle w:val="Author-eListParagraph"/>
        <w:numPr>
          <w:ilvl w:val="0"/>
          <w:numId w:val="1133"/>
        </w:numPr>
      </w:pPr>
      <w:r>
        <w:t>Masse volumique nominale : minimum </w:t>
      </w:r>
      <w:r>
        <w:rPr>
          <w:rStyle w:val="optioncarChar"/>
        </w:rPr>
        <w:t xml:space="preserve">*** </w:t>
      </w:r>
      <w:r>
        <w:t>kg/m³</w:t>
      </w:r>
    </w:p>
    <w:p w14:paraId="207A10BB" w14:textId="77777777" w:rsidR="00DF410E" w:rsidRDefault="00CE7F43">
      <w:pPr>
        <w:pStyle w:val="Author-eListParagraph"/>
        <w:numPr>
          <w:ilvl w:val="0"/>
          <w:numId w:val="1133"/>
        </w:numPr>
      </w:pPr>
      <w:r>
        <w:t xml:space="preserve">Réaction au feu : classe </w:t>
      </w:r>
      <w:r>
        <w:rPr>
          <w:rStyle w:val="optioncarChar"/>
        </w:rPr>
        <w:t>F / E / D / C / B / A2 / A1 / ***</w:t>
      </w:r>
      <w:r>
        <w:t> </w:t>
      </w:r>
    </w:p>
    <w:p w14:paraId="05E0ABBB" w14:textId="77777777" w:rsidR="00DF410E" w:rsidRDefault="00CE7F43">
      <w:r>
        <w:t>Les caractéristiques mécaniques complémentaires sont :</w:t>
      </w:r>
    </w:p>
    <w:p w14:paraId="1728D797" w14:textId="77777777" w:rsidR="00DF410E" w:rsidRDefault="00CE7F43">
      <w:pPr>
        <w:pStyle w:val="Author-eListParagraph"/>
        <w:numPr>
          <w:ilvl w:val="0"/>
          <w:numId w:val="1134"/>
        </w:numPr>
      </w:pPr>
      <w:r>
        <w:t xml:space="preserve">La résistance à l’écrasement est supérieure à </w:t>
      </w:r>
      <w:r>
        <w:rPr>
          <w:rStyle w:val="optioncarChar"/>
        </w:rPr>
        <w:t>***</w:t>
      </w:r>
      <w:r>
        <w:t xml:space="preserve"> N/mm²</w:t>
      </w:r>
    </w:p>
    <w:p w14:paraId="14E3673E" w14:textId="77777777" w:rsidR="00DF410E" w:rsidRDefault="00CE7F43">
      <w:pPr>
        <w:pStyle w:val="Author-eListParagraph"/>
        <w:numPr>
          <w:ilvl w:val="0"/>
          <w:numId w:val="1134"/>
        </w:numPr>
      </w:pPr>
      <w:r>
        <w:t xml:space="preserve">Le classement en réaction au feu : </w:t>
      </w:r>
      <w:r>
        <w:rPr>
          <w:rStyle w:val="optioncarChar"/>
        </w:rPr>
        <w:t>***</w:t>
      </w:r>
      <w:r>
        <w:t> </w:t>
      </w:r>
    </w:p>
    <w:p w14:paraId="72FC6F84" w14:textId="77777777" w:rsidR="00DF410E" w:rsidRDefault="00CE7F43">
      <w:pPr>
        <w:pStyle w:val="Author-eListParagraph"/>
        <w:numPr>
          <w:ilvl w:val="0"/>
          <w:numId w:val="1134"/>
        </w:numPr>
      </w:pPr>
      <w:r>
        <w:t xml:space="preserve">La hauteur de succion d’eau est </w:t>
      </w:r>
      <w:r>
        <w:rPr>
          <w:rStyle w:val="optioncarChar"/>
        </w:rPr>
        <w:t>***</w:t>
      </w:r>
      <w:r>
        <w:t xml:space="preserve"> mm</w:t>
      </w:r>
    </w:p>
    <w:p w14:paraId="594F0B6B" w14:textId="77777777" w:rsidR="00DF410E" w:rsidRDefault="00CE7F43">
      <w:pPr>
        <w:pStyle w:val="pheading"/>
      </w:pPr>
      <w:r>
        <w:t>EXÉCUTION / MISE EN ŒUVRE</w:t>
      </w:r>
    </w:p>
    <w:p w14:paraId="4875FA70" w14:textId="77777777" w:rsidR="00DF410E" w:rsidRDefault="00CE7F43">
      <w:pPr>
        <w:pStyle w:val="pheading"/>
      </w:pPr>
      <w:r>
        <w:t>- Prescriptions générales</w:t>
      </w:r>
    </w:p>
    <w:p w14:paraId="71156A1C" w14:textId="77777777" w:rsidR="00DF410E" w:rsidRDefault="00CE7F43">
      <w:r>
        <w:t>Voir </w:t>
      </w:r>
      <w:hyperlink r:id="rId496" w:history="1" w:docLocation="676">
        <w:r>
          <w:t>32.44.3b Isolation à souffler - granulés d'argile expansée</w:t>
        </w:r>
      </w:hyperlink>
    </w:p>
    <w:p w14:paraId="5D94A2B1" w14:textId="77777777" w:rsidR="00DF410E" w:rsidRDefault="00CE7F43">
      <w:pPr>
        <w:pStyle w:val="pheading"/>
      </w:pPr>
      <w:r>
        <w:t>DOCUMENTS DE RÉFÉRENCE COMPLÉMENTAIRES</w:t>
      </w:r>
    </w:p>
    <w:p w14:paraId="2A323725" w14:textId="77777777" w:rsidR="00DF410E" w:rsidRDefault="00CE7F43">
      <w:pPr>
        <w:pStyle w:val="pheading"/>
      </w:pPr>
      <w:r>
        <w:t>- Matériau</w:t>
      </w:r>
    </w:p>
    <w:p w14:paraId="637A4DEC" w14:textId="77777777" w:rsidR="00DF410E" w:rsidRDefault="004016E8">
      <w:hyperlink r:id="rId497" w:history="1" w:docLocation="676">
        <w:r w:rsidR="00CE7F43">
          <w:t>32.44.3b Isolation à souffler - granulés d'argile expansée</w:t>
        </w:r>
      </w:hyperlink>
    </w:p>
    <w:p w14:paraId="660C3B83" w14:textId="77777777" w:rsidR="00DF410E" w:rsidRDefault="00CE7F43">
      <w:pPr>
        <w:pStyle w:val="pheading"/>
      </w:pPr>
      <w:r>
        <w:t>- Exécution</w:t>
      </w:r>
    </w:p>
    <w:p w14:paraId="7E53F630" w14:textId="77777777" w:rsidR="00DF410E" w:rsidRDefault="004016E8">
      <w:hyperlink r:id="rId498" w:history="1" w:docLocation="676">
        <w:r w:rsidR="00CE7F43">
          <w:t>32.44.3b Isolation à souffler - granulés d'argile expansée</w:t>
        </w:r>
      </w:hyperlink>
    </w:p>
    <w:p w14:paraId="76189B53" w14:textId="77777777" w:rsidR="00DF410E" w:rsidRDefault="00CE7F43">
      <w:pPr>
        <w:pStyle w:val="pheading"/>
      </w:pPr>
      <w:r>
        <w:t>MESURAGE</w:t>
      </w:r>
    </w:p>
    <w:p w14:paraId="290BC427" w14:textId="77777777" w:rsidR="00DF410E" w:rsidRDefault="00CE7F43">
      <w:pPr>
        <w:pStyle w:val="pheading"/>
      </w:pPr>
      <w:r>
        <w:t>- unité de mesure:</w:t>
      </w:r>
    </w:p>
    <w:p w14:paraId="4370CF87" w14:textId="77777777" w:rsidR="00DF410E" w:rsidRDefault="00CE7F43">
      <w:r>
        <w:t>m³</w:t>
      </w:r>
    </w:p>
    <w:p w14:paraId="59D65332" w14:textId="77777777" w:rsidR="00DF410E" w:rsidRDefault="00CE7F43">
      <w:pPr>
        <w:pStyle w:val="pheading"/>
      </w:pPr>
      <w:r>
        <w:t>- code de mesurage:</w:t>
      </w:r>
    </w:p>
    <w:p w14:paraId="0E428740" w14:textId="77777777" w:rsidR="00DF410E" w:rsidRDefault="00CE7F43">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14:paraId="294B4CD0" w14:textId="77777777" w:rsidR="00DF410E" w:rsidRDefault="00CE7F43">
      <w:pPr>
        <w:pStyle w:val="pheading"/>
      </w:pPr>
      <w:r>
        <w:t>- nature du marché:</w:t>
      </w:r>
    </w:p>
    <w:p w14:paraId="48CE81A2" w14:textId="77777777" w:rsidR="00DF410E" w:rsidRDefault="00CE7F43">
      <w:r>
        <w:t>QF</w:t>
      </w:r>
    </w:p>
    <w:p w14:paraId="354FF4ED" w14:textId="77777777" w:rsidR="00DF410E" w:rsidRDefault="00CE7F43">
      <w:pPr>
        <w:pStyle w:val="Author-eSectionHeading6"/>
      </w:pPr>
      <w:bookmarkStart w:id="1988" w:name="_Toc178839033"/>
      <w:r>
        <w:t>26.44.3c (titre réservé) CCTB 01.04</w:t>
      </w:r>
      <w:bookmarkEnd w:id="1988"/>
    </w:p>
    <w:p w14:paraId="5773F01A" w14:textId="77777777" w:rsidR="00DF410E" w:rsidRDefault="00CE7F43">
      <w:pPr>
        <w:pStyle w:val="Author-eSectionHeading6"/>
      </w:pPr>
      <w:bookmarkStart w:id="1989" w:name="_Toc178839034"/>
      <w:r>
        <w:t>26.44.3d (titre réservé) CCTB 01.04</w:t>
      </w:r>
      <w:bookmarkEnd w:id="1989"/>
    </w:p>
    <w:p w14:paraId="15CF04A4" w14:textId="77777777" w:rsidR="00DF410E" w:rsidRDefault="00CE7F43">
      <w:pPr>
        <w:pStyle w:val="Author-eSectionHeading6"/>
      </w:pPr>
      <w:bookmarkStart w:id="1990" w:name="_Toc178839035"/>
      <w:r>
        <w:t>26.44.3e Isolation à souffler - granulés de liège expansé CCTB 01.11</w:t>
      </w:r>
      <w:bookmarkEnd w:id="1990"/>
    </w:p>
    <w:p w14:paraId="41F1D055" w14:textId="77777777" w:rsidR="00DF410E" w:rsidRDefault="00CE7F43">
      <w:pPr>
        <w:pStyle w:val="pheading"/>
      </w:pPr>
      <w:r>
        <w:t>DESCRIPTION</w:t>
      </w:r>
    </w:p>
    <w:p w14:paraId="74D23507" w14:textId="77777777" w:rsidR="00DF410E" w:rsidRDefault="00CE7F43">
      <w:pPr>
        <w:pStyle w:val="pheading"/>
      </w:pPr>
      <w:r>
        <w:t>- Définition / Comprend</w:t>
      </w:r>
    </w:p>
    <w:p w14:paraId="3F4939D1" w14:textId="77777777" w:rsidR="00DF410E" w:rsidRDefault="00CE7F43">
      <w:r>
        <w:t xml:space="preserve">L’isolation est réalisée à l’aide de granulés de liège expansé suivant prescriptions de l'article </w:t>
      </w:r>
      <w:hyperlink r:id="rId499" w:history="1" w:docLocation="677">
        <w:r>
          <w:t>32.44.3e Isolation à souffler - granulés de liège expansé</w:t>
        </w:r>
      </w:hyperlink>
      <w:r>
        <w:t>.</w:t>
      </w:r>
    </w:p>
    <w:p w14:paraId="773BCC88" w14:textId="77777777" w:rsidR="00DF410E" w:rsidRDefault="00CE7F43">
      <w:pPr>
        <w:pStyle w:val="pheading"/>
      </w:pPr>
      <w:r>
        <w:t>MATÉRIAUX</w:t>
      </w:r>
    </w:p>
    <w:p w14:paraId="4C2273CB" w14:textId="77777777" w:rsidR="00DF410E" w:rsidRDefault="00CE7F43">
      <w:pPr>
        <w:pStyle w:val="pheading"/>
      </w:pPr>
      <w:r>
        <w:t>- Caractéristiques générales</w:t>
      </w:r>
    </w:p>
    <w:p w14:paraId="60C10C49" w14:textId="77777777" w:rsidR="00DF410E" w:rsidRDefault="00CE7F43">
      <w:r>
        <w:t>Voir </w:t>
      </w:r>
      <w:hyperlink r:id="rId500" w:history="1" w:docLocation="677">
        <w:r>
          <w:t>32.44.3e Isolation à souffler - granulés de liège expansé</w:t>
        </w:r>
      </w:hyperlink>
      <w:r>
        <w:t>.</w:t>
      </w:r>
    </w:p>
    <w:p w14:paraId="690128AE" w14:textId="77777777" w:rsidR="00DF410E" w:rsidRDefault="00CE7F43">
      <w:r>
        <w:t xml:space="preserve">Proportion de granulés de liège expansé issus des filières de recyclage de bouchons et d'isolants en liège expansé dans le matériau mis en œuvre : </w:t>
      </w:r>
      <w:r>
        <w:rPr>
          <w:rStyle w:val="optioncarChar"/>
        </w:rPr>
        <w:t>0 % / *** % minimum / *** % maximum / 100 %</w:t>
      </w:r>
      <w:r>
        <w:t> </w:t>
      </w:r>
      <w:r>
        <w:rPr>
          <w:rStyle w:val="optioncarChar"/>
        </w:rPr>
        <w:t>(par défaut)</w:t>
      </w:r>
      <w:r>
        <w:t>.</w:t>
      </w:r>
    </w:p>
    <w:p w14:paraId="6C828515" w14:textId="77777777" w:rsidR="00DF410E" w:rsidRDefault="00CE7F43">
      <w:pPr>
        <w:pStyle w:val="heading"/>
      </w:pPr>
      <w:r>
        <w:t>Spécifications </w:t>
      </w:r>
    </w:p>
    <w:p w14:paraId="663869B7" w14:textId="77777777" w:rsidR="00DF410E" w:rsidRDefault="00CE7F43">
      <w:r>
        <w:t>Epaisseur d’isolation :</w:t>
      </w:r>
      <w:r>
        <w:rPr>
          <w:rStyle w:val="optioncarChar"/>
        </w:rPr>
        <w:t xml:space="preserve"> *** </w:t>
      </w:r>
      <w:r>
        <w:t>mm.</w:t>
      </w:r>
    </w:p>
    <w:p w14:paraId="1D3C91AF" w14:textId="77777777" w:rsidR="00DF410E" w:rsidRDefault="00CE7F43">
      <w:r>
        <w:rPr>
          <w:u w:val="single"/>
        </w:rPr>
        <w:t>Caractéristiques de base :</w:t>
      </w:r>
    </w:p>
    <w:p w14:paraId="37ADB83F" w14:textId="77777777" w:rsidR="00DF410E" w:rsidRDefault="00CE7F43">
      <w:pPr>
        <w:pStyle w:val="Author-eListParagraph"/>
        <w:numPr>
          <w:ilvl w:val="0"/>
          <w:numId w:val="1135"/>
        </w:numPr>
      </w:pPr>
      <w:r>
        <w:t xml:space="preserve">Conductivité thermique valeur lambda déclarée : max. </w:t>
      </w:r>
      <w:r>
        <w:rPr>
          <w:rStyle w:val="optioncarChar"/>
        </w:rPr>
        <w:t>0.045 / </w:t>
      </w:r>
      <w:r>
        <w:t>(par défaut) / *** W/mK</w:t>
      </w:r>
    </w:p>
    <w:p w14:paraId="1E822247" w14:textId="77777777" w:rsidR="00DF410E" w:rsidRDefault="00CE7F43">
      <w:pPr>
        <w:pStyle w:val="Author-eListParagraph"/>
        <w:numPr>
          <w:ilvl w:val="0"/>
          <w:numId w:val="1135"/>
        </w:numPr>
      </w:pPr>
      <w:r>
        <w:t xml:space="preserve">Masse volumique nominale après insufflation : environ  </w:t>
      </w:r>
      <w:r>
        <w:rPr>
          <w:rStyle w:val="optioncarChar"/>
        </w:rPr>
        <w:t xml:space="preserve">*** </w:t>
      </w:r>
      <w:r>
        <w:t>kg/m³</w:t>
      </w:r>
    </w:p>
    <w:p w14:paraId="0169CC06" w14:textId="77777777" w:rsidR="00DF410E" w:rsidRDefault="00CE7F43">
      <w:pPr>
        <w:pStyle w:val="Author-eListParagraph"/>
        <w:numPr>
          <w:ilvl w:val="0"/>
          <w:numId w:val="1135"/>
        </w:numPr>
      </w:pPr>
      <w:r>
        <w:t xml:space="preserve">Réaction au feu  </w:t>
      </w:r>
    </w:p>
    <w:p w14:paraId="52C4A791" w14:textId="77777777" w:rsidR="00DF410E" w:rsidRDefault="00CE7F43">
      <w:pPr>
        <w:pStyle w:val="Author-eListParagraph"/>
        <w:numPr>
          <w:ilvl w:val="1"/>
          <w:numId w:val="1136"/>
        </w:numPr>
      </w:pPr>
      <w:r>
        <w:t xml:space="preserve">Spécifique (ICB nu) – application générale: classe </w:t>
      </w:r>
      <w:r>
        <w:rPr>
          <w:rStyle w:val="optioncarChar"/>
        </w:rPr>
        <w:t>E </w:t>
      </w:r>
      <w:r>
        <w:t>(par défaut)</w:t>
      </w:r>
      <w:r>
        <w:rPr>
          <w:rStyle w:val="optioncarChar"/>
        </w:rPr>
        <w:t xml:space="preserve"> / F / ***</w:t>
      </w:r>
      <w:r>
        <w:t xml:space="preserve"> ou avec additif retardateur au feu : classe </w:t>
      </w:r>
      <w:r>
        <w:rPr>
          <w:rStyle w:val="optioncarChar"/>
        </w:rPr>
        <w:t xml:space="preserve">B </w:t>
      </w:r>
      <w:r>
        <w:t>(par défaut) </w:t>
      </w:r>
      <w:r>
        <w:rPr>
          <w:rStyle w:val="optioncarChar"/>
        </w:rPr>
        <w:t>/ C / D / E / F / ***</w:t>
      </w:r>
      <w:r>
        <w:t xml:space="preserve"> complétée, le cas échéant par les aspects</w:t>
      </w:r>
      <w:r>
        <w:rPr>
          <w:rStyle w:val="optioncarChar"/>
        </w:rPr>
        <w:t> s1 / s2 / s3 / ***</w:t>
      </w:r>
      <w:r>
        <w:t xml:space="preserve"> et </w:t>
      </w:r>
      <w:r>
        <w:rPr>
          <w:rStyle w:val="optioncarChar"/>
        </w:rPr>
        <w:t>d0 / d1 / d2 / ***</w:t>
      </w:r>
    </w:p>
    <w:p w14:paraId="5D5D5804" w14:textId="77777777" w:rsidR="00DF410E" w:rsidRDefault="00CE7F43">
      <w:pPr>
        <w:pStyle w:val="Author-eListParagraph"/>
        <w:numPr>
          <w:ilvl w:val="1"/>
          <w:numId w:val="1136"/>
        </w:numPr>
      </w:pPr>
      <w:r>
        <w:t xml:space="preserve">ICB revêtu - « end-use »: classe </w:t>
      </w:r>
      <w:r>
        <w:rPr>
          <w:rStyle w:val="optioncarChar"/>
        </w:rPr>
        <w:t>A1 </w:t>
      </w:r>
      <w:r>
        <w:t>(par défaut)</w:t>
      </w:r>
      <w:r>
        <w:rPr>
          <w:rStyle w:val="optioncarChar"/>
        </w:rPr>
        <w:t xml:space="preserve"> / A2 / B / C / D / E / F / ***</w:t>
      </w:r>
      <w:r>
        <w:t xml:space="preserve"> complétée, le cas échéant, par les aspects </w:t>
      </w:r>
      <w:r>
        <w:rPr>
          <w:rStyle w:val="optioncarChar"/>
        </w:rPr>
        <w:t>s1 / s2 / s3 / ***</w:t>
      </w:r>
      <w:r>
        <w:t xml:space="preserve"> et </w:t>
      </w:r>
      <w:r>
        <w:rPr>
          <w:rStyle w:val="optioncarChar"/>
        </w:rPr>
        <w:t>d0 / d1 / d2 / ***</w:t>
      </w:r>
      <w:r>
        <w:t> </w:t>
      </w:r>
    </w:p>
    <w:p w14:paraId="61067DCC" w14:textId="77777777" w:rsidR="00DF410E" w:rsidRDefault="00CE7F43">
      <w:pPr>
        <w:pStyle w:val="Author-eListParagraph"/>
        <w:numPr>
          <w:ilvl w:val="0"/>
          <w:numId w:val="1135"/>
        </w:numPr>
      </w:pPr>
      <w:r>
        <w:t xml:space="preserve">Teneur en eau : &lt; </w:t>
      </w:r>
      <w:r>
        <w:rPr>
          <w:rStyle w:val="optioncarChar"/>
        </w:rPr>
        <w:t>***</w:t>
      </w:r>
      <w:r>
        <w:t xml:space="preserve"> %</w:t>
      </w:r>
    </w:p>
    <w:p w14:paraId="5114EDF9" w14:textId="77777777" w:rsidR="00DF410E" w:rsidRDefault="00CE7F43">
      <w:r>
        <w:t> </w:t>
      </w:r>
      <w:r>
        <w:rPr>
          <w:u w:val="single"/>
        </w:rPr>
        <w:t>Autres caractéristiques spécifiques suivant les sollicitations du projet : </w:t>
      </w:r>
    </w:p>
    <w:p w14:paraId="2AFA54C2" w14:textId="77777777" w:rsidR="00DF410E" w:rsidRDefault="00CE7F43">
      <w:pPr>
        <w:pStyle w:val="Author-eListParagraph"/>
        <w:numPr>
          <w:ilvl w:val="0"/>
          <w:numId w:val="1137"/>
        </w:numPr>
      </w:pPr>
      <w:r>
        <w:t xml:space="preserve">Atténuation acoustique : </w:t>
      </w:r>
      <w:r>
        <w:rPr>
          <w:rStyle w:val="optioncarChar"/>
        </w:rPr>
        <w:t xml:space="preserve">*** </w:t>
      </w:r>
      <w:r>
        <w:t>.</w:t>
      </w:r>
    </w:p>
    <w:p w14:paraId="60924E26" w14:textId="77777777" w:rsidR="00DF410E" w:rsidRDefault="00CE7F43">
      <w:pPr>
        <w:pStyle w:val="pheading"/>
      </w:pPr>
      <w:r>
        <w:t>EXÉCUTION / MISE EN ŒUVRE</w:t>
      </w:r>
    </w:p>
    <w:p w14:paraId="67CCE011" w14:textId="77777777" w:rsidR="00DF410E" w:rsidRDefault="00CE7F43">
      <w:pPr>
        <w:pStyle w:val="pheading"/>
      </w:pPr>
      <w:r>
        <w:t>- Prescriptions générales</w:t>
      </w:r>
    </w:p>
    <w:p w14:paraId="39BCEB54" w14:textId="77777777" w:rsidR="00DF410E" w:rsidRDefault="00CE7F43">
      <w:r>
        <w:t>Voir </w:t>
      </w:r>
      <w:hyperlink r:id="rId501" w:history="1" w:docLocation="677">
        <w:r>
          <w:t>32.44.3e Isolation à souffler - granulés de liège expansé</w:t>
        </w:r>
      </w:hyperlink>
    </w:p>
    <w:p w14:paraId="1F9CD8B9" w14:textId="77777777" w:rsidR="00DF410E" w:rsidRDefault="00CE7F43">
      <w:pPr>
        <w:pStyle w:val="pheading"/>
      </w:pPr>
      <w:r>
        <w:t>DOCUMENTS DE RÉFÉRENCE COMPLÉMENTAIRES</w:t>
      </w:r>
    </w:p>
    <w:p w14:paraId="5F32F790" w14:textId="77777777" w:rsidR="00DF410E" w:rsidRDefault="00CE7F43">
      <w:pPr>
        <w:pStyle w:val="pheading"/>
      </w:pPr>
      <w:r>
        <w:t>- Matériau</w:t>
      </w:r>
    </w:p>
    <w:p w14:paraId="41503EA8" w14:textId="77777777" w:rsidR="00DF410E" w:rsidRDefault="004016E8">
      <w:hyperlink r:id="rId502" w:history="1" w:docLocation="677">
        <w:hyperlink r:id="rId503" w:history="1" w:docLocation="677">
          <w:r w:rsidR="00CE7F43">
            <w:t>32.44.3e Isolation à souffler - granulés de liège expansé</w:t>
          </w:r>
        </w:hyperlink>
      </w:hyperlink>
    </w:p>
    <w:p w14:paraId="3E8089B9" w14:textId="77777777" w:rsidR="00DF410E" w:rsidRDefault="00CE7F43">
      <w:pPr>
        <w:pStyle w:val="pheading"/>
      </w:pPr>
      <w:r>
        <w:t>- Exécution</w:t>
      </w:r>
    </w:p>
    <w:p w14:paraId="64305E1D" w14:textId="77777777" w:rsidR="00DF410E" w:rsidRDefault="004016E8">
      <w:hyperlink r:id="rId504" w:history="1" w:docLocation="677">
        <w:r w:rsidR="00CE7F43">
          <w:t>32.44.3e Isolation à souffler - granulés de liège expansé</w:t>
        </w:r>
      </w:hyperlink>
    </w:p>
    <w:p w14:paraId="2E976B8F" w14:textId="77777777" w:rsidR="00DF410E" w:rsidRDefault="00CE7F43">
      <w:pPr>
        <w:pStyle w:val="pheading"/>
      </w:pPr>
      <w:r>
        <w:t>MESURAGE</w:t>
      </w:r>
    </w:p>
    <w:p w14:paraId="02060B72" w14:textId="77777777" w:rsidR="00DF410E" w:rsidRDefault="00CE7F43">
      <w:pPr>
        <w:pStyle w:val="pheading"/>
      </w:pPr>
      <w:r>
        <w:t>- unité de mesure:</w:t>
      </w:r>
    </w:p>
    <w:p w14:paraId="3CF1B442" w14:textId="77777777" w:rsidR="00DF410E" w:rsidRDefault="00CE7F43">
      <w:r>
        <w:t>m³</w:t>
      </w:r>
    </w:p>
    <w:p w14:paraId="1F9D2963" w14:textId="77777777" w:rsidR="00DF410E" w:rsidRDefault="00CE7F43">
      <w:pPr>
        <w:pStyle w:val="pheading"/>
      </w:pPr>
      <w:r>
        <w:t>- code de mesurage:</w:t>
      </w:r>
    </w:p>
    <w:p w14:paraId="6B498A89" w14:textId="77777777" w:rsidR="00DF410E" w:rsidRDefault="00CE7F43">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F54A639" w14:textId="77777777" w:rsidR="00DF410E" w:rsidRDefault="00CE7F43">
      <w:pPr>
        <w:pStyle w:val="pheading"/>
      </w:pPr>
      <w:r>
        <w:t>- nature du marché:</w:t>
      </w:r>
    </w:p>
    <w:p w14:paraId="6D79CDAB" w14:textId="77777777" w:rsidR="00DF410E" w:rsidRDefault="00CE7F43">
      <w:r>
        <w:t>QF</w:t>
      </w:r>
    </w:p>
    <w:p w14:paraId="74D407CA" w14:textId="77777777" w:rsidR="00DF410E" w:rsidRDefault="00CE7F43">
      <w:pPr>
        <w:pStyle w:val="Author-eSectionHeading6"/>
      </w:pPr>
      <w:bookmarkStart w:id="1991" w:name="_Toc178839036"/>
      <w:r>
        <w:t>26.44.3f (titre réservé) CCTB 01.04</w:t>
      </w:r>
      <w:bookmarkEnd w:id="1991"/>
    </w:p>
    <w:p w14:paraId="053BB52A" w14:textId="77777777" w:rsidR="00DF410E" w:rsidRDefault="00CE7F43">
      <w:pPr>
        <w:pStyle w:val="Author-eSectionHeading6"/>
      </w:pPr>
      <w:bookmarkStart w:id="1992" w:name="_Toc178839037"/>
      <w:r>
        <w:t>26.44.3g (titre réservé) CCTB 01.10</w:t>
      </w:r>
      <w:bookmarkEnd w:id="1992"/>
    </w:p>
    <w:p w14:paraId="5EA1CB92" w14:textId="77777777" w:rsidR="00DF410E" w:rsidRDefault="00CE7F43">
      <w:pPr>
        <w:pStyle w:val="Author-eSectionHeading5"/>
      </w:pPr>
      <w:bookmarkStart w:id="1993" w:name="_Toc178839038"/>
      <w:r>
        <w:t>26.44.4 (titre réservé) CCTB 01.04</w:t>
      </w:r>
      <w:bookmarkEnd w:id="1993"/>
    </w:p>
    <w:p w14:paraId="000B8C8A" w14:textId="77777777" w:rsidR="00DF410E" w:rsidRDefault="00CE7F43">
      <w:pPr>
        <w:pStyle w:val="Author-eSectionHeading4"/>
      </w:pPr>
      <w:bookmarkStart w:id="1994" w:name="_Toc178839039"/>
      <w:r>
        <w:t>26.45 Isolation à injecter CCTB 01.04</w:t>
      </w:r>
      <w:bookmarkEnd w:id="1994"/>
    </w:p>
    <w:p w14:paraId="561B3E35" w14:textId="77777777" w:rsidR="00DF410E" w:rsidRDefault="00CE7F43">
      <w:pPr>
        <w:pStyle w:val="pheading"/>
      </w:pPr>
      <w:r>
        <w:t>DESCRIPTION</w:t>
      </w:r>
    </w:p>
    <w:p w14:paraId="6E2E5A4F" w14:textId="77777777" w:rsidR="00DF410E" w:rsidRDefault="00CE7F43">
      <w:pPr>
        <w:pStyle w:val="pheading"/>
      </w:pPr>
      <w:r>
        <w:t>- Définition / Comprend</w:t>
      </w:r>
    </w:p>
    <w:p w14:paraId="034B7520" w14:textId="77777777" w:rsidR="00DF410E" w:rsidRDefault="00CE7F43">
      <w:r>
        <w:t>Il s'agit de la réalisation d'une isolation par injection suivant les prescriptions de l'élément 32.45 Isolation à injecter.</w:t>
      </w:r>
    </w:p>
    <w:p w14:paraId="00D8F9D0" w14:textId="77777777" w:rsidR="00DF410E" w:rsidRDefault="00CE7F43">
      <w:pPr>
        <w:pStyle w:val="pheading"/>
      </w:pPr>
      <w:r>
        <w:t>MATÉRIAUX</w:t>
      </w:r>
    </w:p>
    <w:p w14:paraId="1EF441FC" w14:textId="77777777" w:rsidR="00DF410E" w:rsidRDefault="00CE7F43">
      <w:r>
        <w:t>Voir 32.45 Isolation à injecter.</w:t>
      </w:r>
    </w:p>
    <w:p w14:paraId="1B942B79" w14:textId="77777777" w:rsidR="00DF410E" w:rsidRDefault="00CE7F43">
      <w:pPr>
        <w:pStyle w:val="pheading"/>
      </w:pPr>
      <w:r>
        <w:t>EXÉCUTION / MISE EN ŒUVRE</w:t>
      </w:r>
    </w:p>
    <w:p w14:paraId="1E5479DE" w14:textId="77777777" w:rsidR="00DF410E" w:rsidRDefault="00CE7F43">
      <w:r>
        <w:t>Voir 32.45 Isolation à injecter.</w:t>
      </w:r>
    </w:p>
    <w:p w14:paraId="29D3FE9F" w14:textId="77777777" w:rsidR="00DF410E" w:rsidRDefault="00CE7F43">
      <w:pPr>
        <w:pStyle w:val="pheading"/>
      </w:pPr>
      <w:r>
        <w:t>CONTRÔLES</w:t>
      </w:r>
    </w:p>
    <w:p w14:paraId="44DBE819" w14:textId="77777777" w:rsidR="00DF410E" w:rsidRDefault="00CE7F43">
      <w:r>
        <w:t>Voir 32.45 Isolation à injecter.</w:t>
      </w:r>
    </w:p>
    <w:p w14:paraId="4363F078" w14:textId="77777777" w:rsidR="00DF410E" w:rsidRDefault="00CE7F43">
      <w:pPr>
        <w:pStyle w:val="pheading"/>
      </w:pPr>
      <w:r>
        <w:t>DOCUMENTS DE RÉFÉRENCE</w:t>
      </w:r>
    </w:p>
    <w:p w14:paraId="6C0D049B" w14:textId="77777777" w:rsidR="00DF410E" w:rsidRDefault="00CE7F43">
      <w:pPr>
        <w:pStyle w:val="pheading"/>
      </w:pPr>
      <w:r>
        <w:t>- Matériau</w:t>
      </w:r>
    </w:p>
    <w:p w14:paraId="4A76A66B" w14:textId="77777777" w:rsidR="00DF410E" w:rsidRDefault="00CE7F43">
      <w:r>
        <w:t>32.45 Isolation à injecter</w:t>
      </w:r>
    </w:p>
    <w:p w14:paraId="44DB374E" w14:textId="77777777" w:rsidR="00DF410E" w:rsidRDefault="00CE7F43">
      <w:r>
        <w:t>[NIT 246, Postisolation des murs creux par remplissage de la coulisse.]</w:t>
      </w:r>
    </w:p>
    <w:p w14:paraId="28E57C69" w14:textId="77777777" w:rsidR="00DF410E" w:rsidRDefault="00CE7F43">
      <w:pPr>
        <w:pStyle w:val="pheading"/>
      </w:pPr>
      <w:r>
        <w:t>- Exécution</w:t>
      </w:r>
    </w:p>
    <w:p w14:paraId="06E29028" w14:textId="77777777" w:rsidR="00DF410E" w:rsidRDefault="00CE7F43">
      <w:r>
        <w:t>32.45 Isolation à injecter</w:t>
      </w:r>
    </w:p>
    <w:p w14:paraId="3CC0F100" w14:textId="77777777" w:rsidR="00DF410E" w:rsidRDefault="00CE7F43">
      <w:r>
        <w:t>[NIT 246, Postisolation des murs creux par remplissage de la coulisse.]</w:t>
      </w:r>
    </w:p>
    <w:p w14:paraId="50EA55C1" w14:textId="77777777" w:rsidR="00DF410E" w:rsidRDefault="00CE7F43">
      <w:pPr>
        <w:pStyle w:val="Author-eSectionHeading5"/>
      </w:pPr>
      <w:bookmarkStart w:id="1995" w:name="_Toc178839040"/>
      <w:r>
        <w:t>26.45.1 Isolation à injecter - matières synthétiques CCTB 01.02</w:t>
      </w:r>
      <w:bookmarkEnd w:id="1995"/>
    </w:p>
    <w:p w14:paraId="48E8B543" w14:textId="77777777" w:rsidR="00DF410E" w:rsidRDefault="00CE7F43">
      <w:pPr>
        <w:pStyle w:val="Author-eSectionHeading6"/>
      </w:pPr>
      <w:bookmarkStart w:id="1996" w:name="_Toc178839041"/>
      <w:r>
        <w:t>26.45.1a Isolation à injecter - mousse de polystyrène (EPS) CCTB 01.04</w:t>
      </w:r>
      <w:bookmarkEnd w:id="1996"/>
    </w:p>
    <w:p w14:paraId="227EB79D" w14:textId="77777777" w:rsidR="00DF410E" w:rsidRDefault="00CE7F43">
      <w:pPr>
        <w:pStyle w:val="pheading"/>
      </w:pPr>
      <w:r>
        <w:t>DESCRIPTION</w:t>
      </w:r>
    </w:p>
    <w:p w14:paraId="7256C791" w14:textId="77777777" w:rsidR="00DF410E" w:rsidRDefault="00CE7F43">
      <w:pPr>
        <w:pStyle w:val="pheading"/>
      </w:pPr>
      <w:r>
        <w:t>- Définition / Comprend</w:t>
      </w:r>
    </w:p>
    <w:p w14:paraId="0632F519" w14:textId="77777777" w:rsidR="00DF410E" w:rsidRDefault="00CE7F43">
      <w:r>
        <w:t xml:space="preserve">Il s'agit de la réalisation d'une isolation en mousse de polystyrène expansé (EPS)  suivant les prescriptions de l'article </w:t>
      </w:r>
      <w:hyperlink r:id="rId505" w:history="1" w:docLocation="680">
        <w:r>
          <w:t>32.45.1a Isolation à injecter - mousse de polystyrène (EPS)</w:t>
        </w:r>
      </w:hyperlink>
    </w:p>
    <w:p w14:paraId="6BF17774" w14:textId="77777777" w:rsidR="00DF410E" w:rsidRDefault="00CE7F43">
      <w:pPr>
        <w:pStyle w:val="pheading"/>
      </w:pPr>
      <w:r>
        <w:t>MATÉRIAUX</w:t>
      </w:r>
    </w:p>
    <w:p w14:paraId="29807FE6" w14:textId="77777777" w:rsidR="00DF410E" w:rsidRDefault="00CE7F43">
      <w:pPr>
        <w:pStyle w:val="pheading"/>
      </w:pPr>
      <w:r>
        <w:t>- Caractéristiques générales</w:t>
      </w:r>
    </w:p>
    <w:p w14:paraId="41B75D9E" w14:textId="77777777" w:rsidR="00DF410E" w:rsidRDefault="00CE7F43">
      <w:r>
        <w:t>Voir </w:t>
      </w:r>
      <w:hyperlink r:id="rId506" w:history="1" w:docLocation="680">
        <w:r>
          <w:t>32.45.1a Isolation à injecter - mousse de polystyrène (EPS)</w:t>
        </w:r>
      </w:hyperlink>
    </w:p>
    <w:p w14:paraId="328F3FAE" w14:textId="77777777" w:rsidR="00DF410E" w:rsidRDefault="00CE7F43">
      <w:pPr>
        <w:pStyle w:val="pheading"/>
      </w:pPr>
      <w:r>
        <w:t>CONTRÔLES PARTICULIERS</w:t>
      </w:r>
    </w:p>
    <w:p w14:paraId="3C8AC26A" w14:textId="77777777" w:rsidR="00DF410E" w:rsidRDefault="00CE7F43">
      <w:r>
        <w:t xml:space="preserve">Voir </w:t>
      </w:r>
      <w:hyperlink r:id="rId507" w:history="1" w:docLocation="680">
        <w:r>
          <w:t>32.45.1a Isolation à injecter - mousse de polystyrène (EPS)</w:t>
        </w:r>
      </w:hyperlink>
    </w:p>
    <w:p w14:paraId="32512BEF" w14:textId="77777777" w:rsidR="00DF410E" w:rsidRDefault="00CE7F43">
      <w:pPr>
        <w:pStyle w:val="pheading"/>
      </w:pPr>
      <w:r>
        <w:t>DOCUMENTS DE RÉFÉRENCE COMPLÉMENTAIRES</w:t>
      </w:r>
    </w:p>
    <w:p w14:paraId="6F0F37FA" w14:textId="77777777" w:rsidR="00DF410E" w:rsidRDefault="00CE7F43">
      <w:pPr>
        <w:pStyle w:val="pheading"/>
      </w:pPr>
      <w:r>
        <w:t>- Matériau</w:t>
      </w:r>
    </w:p>
    <w:p w14:paraId="35E36EF4" w14:textId="77777777" w:rsidR="00DF410E" w:rsidRDefault="004016E8">
      <w:hyperlink r:id="rId508" w:history="1" w:docLocation="680">
        <w:r w:rsidR="00CE7F43">
          <w:t>32.45.1a Isolation à injecter - mousse de polystyrène (EPS)</w:t>
        </w:r>
      </w:hyperlink>
    </w:p>
    <w:p w14:paraId="7124474D" w14:textId="77777777" w:rsidR="00DF410E" w:rsidRDefault="00CE7F43">
      <w:pPr>
        <w:pStyle w:val="pheading"/>
      </w:pPr>
      <w:r>
        <w:t>- Exécution</w:t>
      </w:r>
    </w:p>
    <w:p w14:paraId="17D04BD0" w14:textId="77777777" w:rsidR="00DF410E" w:rsidRDefault="004016E8">
      <w:hyperlink r:id="rId509" w:history="1" w:docLocation="680">
        <w:r w:rsidR="00CE7F43">
          <w:t>32.45.1a Isolation à injecter - mousse de polystyrène (EPS)</w:t>
        </w:r>
      </w:hyperlink>
    </w:p>
    <w:p w14:paraId="2CF92156" w14:textId="77777777" w:rsidR="00DF410E" w:rsidRDefault="00CE7F43">
      <w:pPr>
        <w:pStyle w:val="pheading"/>
      </w:pPr>
      <w:r>
        <w:t>MESURAGE</w:t>
      </w:r>
    </w:p>
    <w:p w14:paraId="6C80B19D" w14:textId="77777777" w:rsidR="00DF410E" w:rsidRDefault="00CE7F43">
      <w:pPr>
        <w:pStyle w:val="pheading"/>
      </w:pPr>
      <w:r>
        <w:t>- unité de mesure:</w:t>
      </w:r>
    </w:p>
    <w:p w14:paraId="202AB7EB" w14:textId="77777777" w:rsidR="00DF410E" w:rsidRDefault="00CE7F43">
      <w:r>
        <w:t>m³</w:t>
      </w:r>
    </w:p>
    <w:p w14:paraId="21DE6ACB" w14:textId="77777777" w:rsidR="00DF410E" w:rsidRDefault="00CE7F43">
      <w:pPr>
        <w:pStyle w:val="pheading"/>
      </w:pPr>
      <w:r>
        <w:t>- code de mesurage:</w:t>
      </w:r>
    </w:p>
    <w:p w14:paraId="6CB3BEF7" w14:textId="77777777" w:rsidR="00DF410E" w:rsidRDefault="00CE7F43">
      <w:r>
        <w:t>Volume net de la construction à isoler, sans déduction des éléments de structure interposés.</w:t>
      </w:r>
      <w:r>
        <w:br/>
        <w:t>Les ouvertures supérieures à 0,5 m² multipliées par l’épaisseur à réaliser sont déduites.</w:t>
      </w:r>
    </w:p>
    <w:p w14:paraId="46B20609" w14:textId="77777777" w:rsidR="00DF410E" w:rsidRDefault="00CE7F43">
      <w:pPr>
        <w:pStyle w:val="pheading"/>
      </w:pPr>
      <w:r>
        <w:t>- nature du marché:</w:t>
      </w:r>
    </w:p>
    <w:p w14:paraId="369E6E4C" w14:textId="77777777" w:rsidR="00DF410E" w:rsidRDefault="00CE7F43">
      <w:r>
        <w:t>QF</w:t>
      </w:r>
    </w:p>
    <w:p w14:paraId="76FA2A14" w14:textId="77777777" w:rsidR="00DF410E" w:rsidRDefault="00CE7F43">
      <w:pPr>
        <w:pStyle w:val="Author-eSectionHeading6"/>
      </w:pPr>
      <w:bookmarkStart w:id="1997" w:name="_Toc178839042"/>
      <w:r>
        <w:t>26.45.1b Isolation à injecter - mousse de polyuréthane (PUR) CCTB 01.04</w:t>
      </w:r>
      <w:bookmarkEnd w:id="1997"/>
    </w:p>
    <w:p w14:paraId="762D449D" w14:textId="77777777" w:rsidR="00DF410E" w:rsidRDefault="00CE7F43">
      <w:pPr>
        <w:pStyle w:val="pheading"/>
      </w:pPr>
      <w:r>
        <w:t>DESCRIPTION</w:t>
      </w:r>
    </w:p>
    <w:p w14:paraId="41AE24E9" w14:textId="77777777" w:rsidR="00DF410E" w:rsidRDefault="00CE7F43">
      <w:pPr>
        <w:pStyle w:val="pheading"/>
      </w:pPr>
      <w:r>
        <w:t>- Définition / Comprend</w:t>
      </w:r>
    </w:p>
    <w:p w14:paraId="50CACB72" w14:textId="77777777" w:rsidR="00DF410E" w:rsidRDefault="00CE7F43">
      <w:r>
        <w:t xml:space="preserve">Il s'agit de la réalisation d'une isolation en mousse de polyuréthane (PUR) suivant les prescriptions de l'article </w:t>
      </w:r>
      <w:hyperlink r:id="rId510" w:history="1" w:docLocation="681">
        <w:r>
          <w:t>32.45.1b Isolation à injecter - mousse de polyuréthane (PUR)</w:t>
        </w:r>
      </w:hyperlink>
      <w:r>
        <w:t>.</w:t>
      </w:r>
    </w:p>
    <w:p w14:paraId="0EEBB53A" w14:textId="77777777" w:rsidR="00DF410E" w:rsidRDefault="00CE7F43">
      <w:pPr>
        <w:pStyle w:val="pheading"/>
      </w:pPr>
      <w:r>
        <w:t>MATÉRIAUX</w:t>
      </w:r>
    </w:p>
    <w:p w14:paraId="03941943" w14:textId="77777777" w:rsidR="00DF410E" w:rsidRDefault="00CE7F43">
      <w:pPr>
        <w:pStyle w:val="pheading"/>
      </w:pPr>
      <w:r>
        <w:t>- Caractéristiques générales</w:t>
      </w:r>
    </w:p>
    <w:p w14:paraId="6399D2BD" w14:textId="77777777" w:rsidR="00DF410E" w:rsidRDefault="00CE7F43">
      <w:r>
        <w:t xml:space="preserve">Voir </w:t>
      </w:r>
      <w:hyperlink r:id="rId511" w:history="1" w:docLocation="681">
        <w:hyperlink r:id="rId512" w:history="1" w:docLocation="681">
          <w:r>
            <w:t>32.45.1b Isolation à injecter - mousse de polyuréthane (PUR)</w:t>
          </w:r>
        </w:hyperlink>
      </w:hyperlink>
    </w:p>
    <w:p w14:paraId="1F368DBB" w14:textId="77777777" w:rsidR="00DF410E" w:rsidRDefault="00CE7F43">
      <w:pPr>
        <w:pStyle w:val="pheading"/>
      </w:pPr>
      <w:r>
        <w:t>CONTRÔLES PARTICULIERS</w:t>
      </w:r>
    </w:p>
    <w:p w14:paraId="0AE7F616" w14:textId="77777777" w:rsidR="00DF410E" w:rsidRDefault="00CE7F43">
      <w:r>
        <w:t>Voir </w:t>
      </w:r>
      <w:hyperlink r:id="rId513" w:history="1" w:docLocation="681">
        <w:r>
          <w:t>32.45.1b Isolation à injecter - mousse de polyuréthane (PUR)</w:t>
        </w:r>
      </w:hyperlink>
    </w:p>
    <w:p w14:paraId="7FD8517A" w14:textId="77777777" w:rsidR="00DF410E" w:rsidRDefault="00CE7F43">
      <w:pPr>
        <w:pStyle w:val="pheading"/>
      </w:pPr>
      <w:r>
        <w:t>DOCUMENTS DE RÉFÉRENCE COMPLÉMENTAIRES</w:t>
      </w:r>
    </w:p>
    <w:p w14:paraId="28BAAAF6" w14:textId="77777777" w:rsidR="00DF410E" w:rsidRDefault="00CE7F43">
      <w:pPr>
        <w:pStyle w:val="pheading"/>
      </w:pPr>
      <w:r>
        <w:t>- Matériau</w:t>
      </w:r>
    </w:p>
    <w:p w14:paraId="1C3D59BD" w14:textId="77777777" w:rsidR="00DF410E" w:rsidRDefault="004016E8">
      <w:hyperlink r:id="rId514" w:history="1" w:docLocation="681">
        <w:r w:rsidR="00CE7F43">
          <w:t>32.45.1b Isolation à injecter - mousse de polyuréthane (PUR)</w:t>
        </w:r>
      </w:hyperlink>
    </w:p>
    <w:p w14:paraId="78A86E3D" w14:textId="77777777" w:rsidR="00DF410E" w:rsidRDefault="00CE7F43">
      <w:pPr>
        <w:pStyle w:val="pheading"/>
      </w:pPr>
      <w:r>
        <w:t>- Exécution</w:t>
      </w:r>
    </w:p>
    <w:p w14:paraId="709A1E68" w14:textId="77777777" w:rsidR="00DF410E" w:rsidRDefault="004016E8">
      <w:hyperlink r:id="rId515" w:history="1" w:docLocation="681">
        <w:r w:rsidR="00CE7F43">
          <w:t>32.45.1b Isolation à injecter - mousse de polyuréthane (PUR)</w:t>
        </w:r>
      </w:hyperlink>
    </w:p>
    <w:p w14:paraId="638D6C8C" w14:textId="77777777" w:rsidR="00DF410E" w:rsidRDefault="00CE7F43">
      <w:pPr>
        <w:pStyle w:val="pheading"/>
      </w:pPr>
      <w:r>
        <w:t>MESURAGE</w:t>
      </w:r>
    </w:p>
    <w:p w14:paraId="438A1EEF" w14:textId="77777777" w:rsidR="00DF410E" w:rsidRDefault="00CE7F43">
      <w:pPr>
        <w:pStyle w:val="pheading"/>
      </w:pPr>
      <w:r>
        <w:t>- unité de mesure:</w:t>
      </w:r>
    </w:p>
    <w:p w14:paraId="24D19C21" w14:textId="77777777" w:rsidR="00DF410E" w:rsidRDefault="00CE7F43">
      <w:r>
        <w:t>m³</w:t>
      </w:r>
    </w:p>
    <w:p w14:paraId="185F67A5" w14:textId="77777777" w:rsidR="00DF410E" w:rsidRDefault="00CE7F43">
      <w:pPr>
        <w:pStyle w:val="pheading"/>
      </w:pPr>
      <w:r>
        <w:t>- code de mesurage:</w:t>
      </w:r>
    </w:p>
    <w:p w14:paraId="1F17EDA0" w14:textId="77777777" w:rsidR="00DF410E" w:rsidRDefault="00CE7F43">
      <w:r>
        <w:t>Volume net de la construction à isoler, sans déduction des éléments de structure interposés.</w:t>
      </w:r>
      <w:r>
        <w:br/>
        <w:t>Les ouvertures supérieures à 0,5 m² multipliées par l’épaisseur à réaliser sont déduites.</w:t>
      </w:r>
    </w:p>
    <w:p w14:paraId="7403CDF1" w14:textId="77777777" w:rsidR="00DF410E" w:rsidRDefault="00CE7F43">
      <w:pPr>
        <w:pStyle w:val="pheading"/>
      </w:pPr>
      <w:r>
        <w:t>- nature du marché:</w:t>
      </w:r>
    </w:p>
    <w:p w14:paraId="510086F1" w14:textId="77777777" w:rsidR="00DF410E" w:rsidRDefault="00CE7F43">
      <w:r>
        <w:t>QF</w:t>
      </w:r>
    </w:p>
    <w:p w14:paraId="1C45B713" w14:textId="77777777" w:rsidR="00DF410E" w:rsidRDefault="00CE7F43">
      <w:pPr>
        <w:pStyle w:val="Author-eSectionHeading6"/>
      </w:pPr>
      <w:bookmarkStart w:id="1998" w:name="_Toc178839043"/>
      <w:r>
        <w:t>26.45.1c Isolation à injecter - mousse de polyisocyanurate (PIR) CCTB 01.04</w:t>
      </w:r>
      <w:bookmarkEnd w:id="1998"/>
    </w:p>
    <w:p w14:paraId="398D207B" w14:textId="77777777" w:rsidR="00DF410E" w:rsidRDefault="00CE7F43">
      <w:pPr>
        <w:pStyle w:val="Author-eSectionHeading6"/>
      </w:pPr>
      <w:bookmarkStart w:id="1999" w:name="_Toc178839044"/>
      <w:r>
        <w:t>26.45.1d Isolation à injecter - mousse phénolique (PF) CCTB 01.02</w:t>
      </w:r>
      <w:bookmarkEnd w:id="1999"/>
    </w:p>
    <w:p w14:paraId="7623DA95" w14:textId="77777777" w:rsidR="00DF410E" w:rsidRDefault="00CE7F43">
      <w:pPr>
        <w:pStyle w:val="Author-eSectionHeading4"/>
      </w:pPr>
      <w:bookmarkStart w:id="2000" w:name="_Toc178839045"/>
      <w:r>
        <w:t>26.46 Isolation à verser en vrac CCTB 01.02</w:t>
      </w:r>
      <w:bookmarkEnd w:id="2000"/>
    </w:p>
    <w:p w14:paraId="58858668" w14:textId="77777777" w:rsidR="00DF410E" w:rsidRDefault="00CE7F43">
      <w:pPr>
        <w:pStyle w:val="Author-eSectionHeading5"/>
      </w:pPr>
      <w:bookmarkStart w:id="2001" w:name="_Toc178839046"/>
      <w:r>
        <w:t>26.46.1 Isolation à verser en vrac - matières synthétiques CCTB 01.02</w:t>
      </w:r>
      <w:bookmarkEnd w:id="2001"/>
    </w:p>
    <w:p w14:paraId="15821C6D" w14:textId="77777777" w:rsidR="00DF410E" w:rsidRDefault="00CE7F43">
      <w:pPr>
        <w:pStyle w:val="Author-eSectionHeading5"/>
      </w:pPr>
      <w:bookmarkStart w:id="2002" w:name="_Toc178839047"/>
      <w:r>
        <w:t>26.46.2 Isolation à verser en vrac - matières minérales CCTB 01.02</w:t>
      </w:r>
      <w:bookmarkEnd w:id="2002"/>
    </w:p>
    <w:p w14:paraId="3B893081" w14:textId="77777777" w:rsidR="00DF410E" w:rsidRDefault="00CE7F43">
      <w:pPr>
        <w:pStyle w:val="Author-eSectionHeading6"/>
      </w:pPr>
      <w:bookmarkStart w:id="2003" w:name="_Toc178839048"/>
      <w:r>
        <w:t>26.46.2a Isolation à verser en vrac - laine de verre CCTB 01.02</w:t>
      </w:r>
      <w:bookmarkEnd w:id="2003"/>
    </w:p>
    <w:p w14:paraId="19169377" w14:textId="77777777" w:rsidR="00DF410E" w:rsidRDefault="00CE7F43">
      <w:pPr>
        <w:pStyle w:val="Author-eSectionHeading6"/>
      </w:pPr>
      <w:bookmarkStart w:id="2004" w:name="_Toc178839049"/>
      <w:r>
        <w:t>26.46.2b Isolation à verser en vrac - laine de roche CCTB 01.02</w:t>
      </w:r>
      <w:bookmarkEnd w:id="2004"/>
    </w:p>
    <w:p w14:paraId="12240477" w14:textId="77777777" w:rsidR="00DF410E" w:rsidRDefault="00CE7F43">
      <w:pPr>
        <w:pStyle w:val="Author-eSectionHeading6"/>
      </w:pPr>
      <w:bookmarkStart w:id="2005" w:name="_Toc178839050"/>
      <w:r>
        <w:t>26.46.2c Isolation à verser en vrac - fibres de verre CCTB 01.02</w:t>
      </w:r>
      <w:bookmarkEnd w:id="2005"/>
    </w:p>
    <w:p w14:paraId="0ACC009B" w14:textId="77777777" w:rsidR="00DF410E" w:rsidRDefault="00CE7F43">
      <w:pPr>
        <w:pStyle w:val="Author-eSectionHeading6"/>
      </w:pPr>
      <w:bookmarkStart w:id="2006" w:name="_Toc178839051"/>
      <w:r>
        <w:t>26.46.2d Isolation à verser en vrac - vermiculite expansée (EV) CCTB 01.04</w:t>
      </w:r>
      <w:bookmarkEnd w:id="2006"/>
    </w:p>
    <w:p w14:paraId="4F3FF6B3" w14:textId="77777777" w:rsidR="00DF410E" w:rsidRDefault="00CE7F43">
      <w:pPr>
        <w:pStyle w:val="Author-eSectionHeading6"/>
      </w:pPr>
      <w:bookmarkStart w:id="2007" w:name="_Toc178839052"/>
      <w:r>
        <w:t>26.46.2e Isolation à verser en vrac - perlite expansée (EPB) CCTB 01.04</w:t>
      </w:r>
      <w:bookmarkEnd w:id="2007"/>
    </w:p>
    <w:p w14:paraId="63E81A4D" w14:textId="77777777" w:rsidR="00DF410E" w:rsidRDefault="00CE7F43">
      <w:pPr>
        <w:pStyle w:val="Author-eSectionHeading6"/>
      </w:pPr>
      <w:bookmarkStart w:id="2008" w:name="_Toc178839053"/>
      <w:r>
        <w:t>26.46.2f (titre réservé)</w:t>
      </w:r>
      <w:bookmarkEnd w:id="2008"/>
    </w:p>
    <w:p w14:paraId="5A45DDAE" w14:textId="77777777" w:rsidR="00DF410E" w:rsidRDefault="00CE7F43">
      <w:pPr>
        <w:pStyle w:val="Author-eSectionHeading5"/>
      </w:pPr>
      <w:bookmarkStart w:id="2009" w:name="_Toc178839054"/>
      <w:r>
        <w:t>26.46.3 Isolation à verser en vrac - matières végétales CCTB 01.02</w:t>
      </w:r>
      <w:bookmarkEnd w:id="2009"/>
    </w:p>
    <w:p w14:paraId="455630A8" w14:textId="77777777" w:rsidR="00DF410E" w:rsidRDefault="00CE7F43">
      <w:pPr>
        <w:pStyle w:val="Author-eSectionHeading6"/>
      </w:pPr>
      <w:bookmarkStart w:id="2010" w:name="_Toc178839055"/>
      <w:r>
        <w:t>26.46.3a (titre réservé) CCTB 01.04</w:t>
      </w:r>
      <w:bookmarkEnd w:id="2010"/>
    </w:p>
    <w:p w14:paraId="16956BB5" w14:textId="77777777" w:rsidR="00DF410E" w:rsidRDefault="00CE7F43">
      <w:pPr>
        <w:pStyle w:val="Author-eSectionHeading6"/>
      </w:pPr>
      <w:bookmarkStart w:id="2011" w:name="_Toc178839056"/>
      <w:r>
        <w:t>26.46.3b Isolation à verser en vrac - granulés d'argile expansée (LWA) CCTB 01.04</w:t>
      </w:r>
      <w:bookmarkEnd w:id="2011"/>
    </w:p>
    <w:p w14:paraId="7D51CDF3" w14:textId="77777777" w:rsidR="00DF410E" w:rsidRDefault="00CE7F43">
      <w:pPr>
        <w:pStyle w:val="Author-eSectionHeading6"/>
      </w:pPr>
      <w:bookmarkStart w:id="2012" w:name="_Toc178839057"/>
      <w:r>
        <w:t>26.46.3c (titre réservé) CCTB 01.04</w:t>
      </w:r>
      <w:bookmarkEnd w:id="2012"/>
    </w:p>
    <w:p w14:paraId="4656E341" w14:textId="77777777" w:rsidR="00DF410E" w:rsidRDefault="00CE7F43">
      <w:pPr>
        <w:pStyle w:val="Author-eSectionHeading6"/>
      </w:pPr>
      <w:bookmarkStart w:id="2013" w:name="_Toc178839058"/>
      <w:r>
        <w:t>26.46.3d (titre réservé) CCTB 01.04</w:t>
      </w:r>
      <w:bookmarkEnd w:id="2013"/>
    </w:p>
    <w:p w14:paraId="0E5917BF" w14:textId="77777777" w:rsidR="00DF410E" w:rsidRDefault="00CE7F43">
      <w:pPr>
        <w:pStyle w:val="Author-eSectionHeading6"/>
      </w:pPr>
      <w:bookmarkStart w:id="2014" w:name="_Toc178839059"/>
      <w:r>
        <w:t>26.46.3e (titre réservé) CCTB 01.04</w:t>
      </w:r>
      <w:bookmarkEnd w:id="2014"/>
    </w:p>
    <w:p w14:paraId="0AF0B9C8" w14:textId="77777777" w:rsidR="00DF410E" w:rsidRDefault="00CE7F43">
      <w:pPr>
        <w:pStyle w:val="Author-eSectionHeading6"/>
      </w:pPr>
      <w:bookmarkStart w:id="2015" w:name="_Toc178839060"/>
      <w:r>
        <w:t>26.46.3f (titre réservé) CCTB 01.04</w:t>
      </w:r>
      <w:bookmarkEnd w:id="2015"/>
    </w:p>
    <w:p w14:paraId="5013D465" w14:textId="77777777" w:rsidR="00DF410E" w:rsidRDefault="00CE7F43">
      <w:pPr>
        <w:pStyle w:val="Author-eSectionHeading6"/>
      </w:pPr>
      <w:bookmarkStart w:id="2016" w:name="_Toc178839061"/>
      <w:r>
        <w:t>26.46.3g Isolation à verser en vrac - granulés de liège expansé CCTB 01.12</w:t>
      </w:r>
      <w:bookmarkEnd w:id="2016"/>
    </w:p>
    <w:p w14:paraId="23C7FD03" w14:textId="77777777" w:rsidR="00DF410E" w:rsidRDefault="00CE7F43">
      <w:pPr>
        <w:pStyle w:val="pheading"/>
      </w:pPr>
      <w:r>
        <w:t>DESCRIPTION</w:t>
      </w:r>
    </w:p>
    <w:p w14:paraId="4A421928" w14:textId="77777777" w:rsidR="00DF410E" w:rsidRDefault="00CE7F43">
      <w:pPr>
        <w:pStyle w:val="pheading"/>
      </w:pPr>
      <w:r>
        <w:t>- Définition / Comprend</w:t>
      </w:r>
    </w:p>
    <w:p w14:paraId="64CBEECB" w14:textId="77777777" w:rsidR="00DF410E" w:rsidRDefault="00CE7F43">
      <w:pPr>
        <w:jc w:val="both"/>
      </w:pPr>
      <w:r>
        <w:t>Il s’agit de la fourniture et de la pose d’une isolation thermique au moyen de granulés de liège expansé fournis en vrac. Ces isolants sont utilisés au niveau des parois et planchers.</w:t>
      </w:r>
    </w:p>
    <w:p w14:paraId="7E94C4B9" w14:textId="77777777" w:rsidR="00DF410E" w:rsidRDefault="00CE7F43">
      <w:pPr>
        <w:pStyle w:val="pheading"/>
      </w:pPr>
      <w:r>
        <w:t>- Localisation</w:t>
      </w:r>
    </w:p>
    <w:p w14:paraId="2C4BEB63" w14:textId="77777777" w:rsidR="00DF410E" w:rsidRDefault="00CE7F43">
      <w:r>
        <w:t xml:space="preserve">Localisation des travaux : </w:t>
      </w:r>
      <w:r>
        <w:rPr>
          <w:rStyle w:val="optioncarChar"/>
        </w:rPr>
        <w:t>***</w:t>
      </w:r>
      <w:r>
        <w:t>.</w:t>
      </w:r>
    </w:p>
    <w:p w14:paraId="77920A4E" w14:textId="77777777" w:rsidR="00DF410E" w:rsidRDefault="00CE7F43">
      <w:r>
        <w:t>Voir plans et métrés détaillés.</w:t>
      </w:r>
    </w:p>
    <w:p w14:paraId="38A24E45" w14:textId="77777777" w:rsidR="00DF410E" w:rsidRDefault="00CE7F43">
      <w:pPr>
        <w:pStyle w:val="pheading"/>
      </w:pPr>
      <w:r>
        <w:t>MATÉRIAUX</w:t>
      </w:r>
    </w:p>
    <w:p w14:paraId="45A17153" w14:textId="77777777" w:rsidR="00DF410E" w:rsidRDefault="00CE7F43">
      <w:pPr>
        <w:pStyle w:val="pheading"/>
      </w:pPr>
      <w:r>
        <w:t>- Caractéristiques générales</w:t>
      </w:r>
    </w:p>
    <w:p w14:paraId="5D856933" w14:textId="77777777" w:rsidR="00DF410E" w:rsidRDefault="00CE7F43">
      <w:pPr>
        <w:jc w:val="both"/>
      </w:pPr>
      <w:r>
        <w:t xml:space="preserve">Épaisseur après mise en œuvre : </w:t>
      </w:r>
      <w:r>
        <w:rPr>
          <w:rStyle w:val="optioncarChar"/>
        </w:rPr>
        <w:t>***</w:t>
      </w:r>
      <w:r>
        <w:t xml:space="preserve"> cm.</w:t>
      </w:r>
    </w:p>
    <w:p w14:paraId="6221A084" w14:textId="77777777" w:rsidR="00DF410E" w:rsidRDefault="00CE7F43">
      <w:pPr>
        <w:jc w:val="both"/>
      </w:pPr>
      <w:r>
        <w:t xml:space="preserve">La masse volumique de produit en vrac déterminée suivant la [NBN EN 1097-3] est inférieure à </w:t>
      </w:r>
      <w:r>
        <w:rPr>
          <w:rStyle w:val="optioncarChar"/>
        </w:rPr>
        <w:t xml:space="preserve">100 </w:t>
      </w:r>
      <w:r>
        <w:t>(par défaut)</w:t>
      </w:r>
      <w:r>
        <w:rPr>
          <w:rStyle w:val="optioncarChar"/>
        </w:rPr>
        <w:t xml:space="preserve"> / ***</w:t>
      </w:r>
      <w:r>
        <w:t xml:space="preserve"> kg/m³.</w:t>
      </w:r>
    </w:p>
    <w:p w14:paraId="3F17E3BC" w14:textId="77777777" w:rsidR="00DF410E" w:rsidRDefault="00CE7F43">
      <w:pPr>
        <w:jc w:val="both"/>
      </w:pPr>
      <w:r>
        <w:t xml:space="preserve">L’absorption d’eau mesurée suivant la [NBN EN 1097-6] est inférieure à </w:t>
      </w:r>
      <w:r>
        <w:rPr>
          <w:rStyle w:val="optioncarChar"/>
        </w:rPr>
        <w:t xml:space="preserve">15 </w:t>
      </w:r>
      <w:r>
        <w:t>(par défaut)</w:t>
      </w:r>
      <w:r>
        <w:rPr>
          <w:rStyle w:val="optioncarChar"/>
        </w:rPr>
        <w:t xml:space="preserve"> / ***</w:t>
      </w:r>
      <w:r>
        <w:t xml:space="preserve"> %.</w:t>
      </w:r>
    </w:p>
    <w:p w14:paraId="12887FD6" w14:textId="77777777" w:rsidR="00DF410E" w:rsidRDefault="00CE7F43">
      <w:pPr>
        <w:jc w:val="both"/>
      </w:pPr>
      <w:r>
        <w:t xml:space="preserve">La hauteur d’absorption d’eau suivant la [NBN EN 1097-10] est inférieure à </w:t>
      </w:r>
      <w:r>
        <w:rPr>
          <w:rStyle w:val="optioncarChar"/>
        </w:rPr>
        <w:t>60</w:t>
      </w:r>
      <w:r>
        <w:t xml:space="preserve"> (par défaut)</w:t>
      </w:r>
      <w:r>
        <w:rPr>
          <w:rStyle w:val="optioncarChar"/>
        </w:rPr>
        <w:t xml:space="preserve"> / ***</w:t>
      </w:r>
      <w:r>
        <w:t xml:space="preserve"> mm.</w:t>
      </w:r>
    </w:p>
    <w:p w14:paraId="199CF4BC" w14:textId="77777777" w:rsidR="00DF410E" w:rsidRDefault="00CE7F43">
      <w:pPr>
        <w:jc w:val="both"/>
      </w:pPr>
      <w:r>
        <w:t xml:space="preserve">La résistance à la compression avec 10% de déformation déterminée suivant la [NBN EN 13055] est supérieure à </w:t>
      </w:r>
      <w:r>
        <w:rPr>
          <w:rStyle w:val="optioncarChar"/>
        </w:rPr>
        <w:t xml:space="preserve">80 </w:t>
      </w:r>
      <w:r>
        <w:t>(par défaut)</w:t>
      </w:r>
      <w:r>
        <w:rPr>
          <w:rStyle w:val="optioncarChar"/>
        </w:rPr>
        <w:t xml:space="preserve"> / ***</w:t>
      </w:r>
      <w:r>
        <w:t xml:space="preserve"> kPa.</w:t>
      </w:r>
    </w:p>
    <w:p w14:paraId="3565886B" w14:textId="77777777" w:rsidR="00DF410E" w:rsidRDefault="00CE7F43">
      <w:pPr>
        <w:jc w:val="both"/>
      </w:pPr>
      <w:r>
        <w:t>Conductivité thermique (selon [NBN EN 12667] ou selon [NBN EN 12939] pour les produits épais) : valeur λ = max. </w:t>
      </w:r>
      <w:r>
        <w:rPr>
          <w:rStyle w:val="optioncarChar"/>
        </w:rPr>
        <w:t xml:space="preserve">0.050 </w:t>
      </w:r>
      <w:r>
        <w:t xml:space="preserve">(par défaut) </w:t>
      </w:r>
      <w:r>
        <w:rPr>
          <w:rStyle w:val="optioncarChar"/>
        </w:rPr>
        <w:t>/ ***</w:t>
      </w:r>
      <w:r>
        <w:t> W/mK</w:t>
      </w:r>
    </w:p>
    <w:p w14:paraId="132F4C96" w14:textId="77777777" w:rsidR="00DF410E" w:rsidRDefault="00CE7F43">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1899D68F" w14:textId="77777777" w:rsidR="00DF410E" w:rsidRDefault="00CE7F43">
      <w:pPr>
        <w:jc w:val="both"/>
      </w:pPr>
      <w:r>
        <w:t>Absorption acoustique (déterminée selon [NBN EN ISO 354] et [NBN EN ISO 11654]) : </w:t>
      </w:r>
      <w:r>
        <w:rPr>
          <w:rStyle w:val="optioncarChar"/>
        </w:rPr>
        <w:t>*** </w:t>
      </w:r>
    </w:p>
    <w:p w14:paraId="60C8EB0A" w14:textId="77777777" w:rsidR="00DF410E" w:rsidRDefault="00CE7F43">
      <w:pPr>
        <w:jc w:val="both"/>
      </w:pPr>
      <w:r>
        <w:t>Les granulés de liège expansé en vrac ne contiennent pas de liant complémentaire.</w:t>
      </w:r>
    </w:p>
    <w:p w14:paraId="16EDB63A" w14:textId="77777777" w:rsidR="00DF410E" w:rsidRDefault="00CE7F43">
      <w:pPr>
        <w:jc w:val="both"/>
      </w:pPr>
      <w:r>
        <w:t xml:space="preserve">Résistance fongique selon [NBN EN ISO 846] : </w:t>
      </w:r>
      <w:r>
        <w:rPr>
          <w:rStyle w:val="optioncarChar"/>
        </w:rPr>
        <w:t xml:space="preserve">classe 0 -inerte </w:t>
      </w:r>
      <w:r>
        <w:t>(par défaut)</w:t>
      </w:r>
      <w:r>
        <w:rPr>
          <w:rStyle w:val="optioncarChar"/>
        </w:rPr>
        <w:t xml:space="preserve"> / ***.</w:t>
      </w:r>
    </w:p>
    <w:p w14:paraId="38748F82" w14:textId="77777777" w:rsidR="00DF410E" w:rsidRDefault="00CE7F43">
      <w:pPr>
        <w:jc w:val="both"/>
      </w:pPr>
      <w:r>
        <w:t> </w:t>
      </w:r>
    </w:p>
    <w:p w14:paraId="6AB25028" w14:textId="77777777" w:rsidR="00DF410E" w:rsidRDefault="00CE7F43">
      <w:pPr>
        <w:jc w:val="both"/>
      </w:pPr>
      <w:r>
        <w:t>Les adjuvants ignifuges et biocides sont de type : pas d’adjuvant</w:t>
      </w:r>
    </w:p>
    <w:p w14:paraId="55B9F7E1" w14:textId="77777777" w:rsidR="00DF410E" w:rsidRDefault="00CE7F43">
      <w:pPr>
        <w:pStyle w:val="pheading"/>
      </w:pPr>
      <w:r>
        <w:t>- Prescriptions complémentaires</w:t>
      </w:r>
    </w:p>
    <w:p w14:paraId="5A675B69" w14:textId="77777777" w:rsidR="00DF410E" w:rsidRDefault="00CE7F43">
      <w:pPr>
        <w:jc w:val="both"/>
      </w:pPr>
      <w:r>
        <w:rPr>
          <w:rStyle w:val="facultChar"/>
        </w:rPr>
        <w:t>Applications spécifiques: le matériau doit répondre aux critères d’acceptabilité des produits tels que définis au chapitre </w:t>
      </w:r>
      <w:hyperlink r:id="rId516" w:history="1" w:docLocation="68">
        <w:r>
          <w:rPr>
            <w:rStyle w:val="facultChar"/>
          </w:rPr>
          <w:t>02.42.1 Critères d'acceptabilité</w:t>
        </w:r>
      </w:hyperlink>
      <w:r>
        <w:rPr>
          <w:rStyle w:val="facultChar"/>
        </w:rPr>
        <w:t>.</w:t>
      </w:r>
    </w:p>
    <w:p w14:paraId="4A2AC1D5" w14:textId="77777777" w:rsidR="00DF410E" w:rsidRDefault="00CE7F43">
      <w:pPr>
        <w:pStyle w:val="pheading"/>
      </w:pPr>
      <w:r>
        <w:t>EXÉCUTION / MISE EN ŒUVRE</w:t>
      </w:r>
    </w:p>
    <w:p w14:paraId="655AD76D" w14:textId="77777777" w:rsidR="00DF410E" w:rsidRDefault="00CE7F43">
      <w:pPr>
        <w:pStyle w:val="pheading"/>
      </w:pPr>
      <w:r>
        <w:t>- Prescriptions générales</w:t>
      </w:r>
    </w:p>
    <w:p w14:paraId="690762A3" w14:textId="77777777" w:rsidR="00DF410E" w:rsidRDefault="00CE7F43">
      <w:pPr>
        <w:jc w:val="both"/>
      </w:pPr>
      <w:r>
        <w:t>Les granulés de liège expansé en vrac sont utilisés en parois et plancher.</w:t>
      </w:r>
    </w:p>
    <w:p w14:paraId="5B5FF296" w14:textId="77777777" w:rsidR="00DF410E" w:rsidRDefault="00CE7F43">
      <w:pPr>
        <w:jc w:val="both"/>
      </w:pPr>
      <w:r>
        <w:t xml:space="preserve">Lors de la mise en œuvre,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14:paraId="0AEA4980" w14:textId="77777777" w:rsidR="00DF410E" w:rsidRDefault="00CE7F43">
      <w:pPr>
        <w:pStyle w:val="pheading"/>
      </w:pPr>
      <w:r>
        <w:t>- Notes d’exécution complémentaires</w:t>
      </w:r>
    </w:p>
    <w:p w14:paraId="59126148" w14:textId="77777777" w:rsidR="00DF410E" w:rsidRDefault="00CE7F43">
      <w:pPr>
        <w:jc w:val="both"/>
      </w:pPr>
      <w:r>
        <w:rPr>
          <w:rStyle w:val="facultChar"/>
        </w:rPr>
        <w:t>L’application en parois ou en plancher pour des performances acoustiques nécessite l’interposition de blochets ou de bandes résilientes acoustiques entre les parois. </w:t>
      </w:r>
    </w:p>
    <w:p w14:paraId="312AE052" w14:textId="77777777" w:rsidR="00DF410E" w:rsidRDefault="00CE7F43">
      <w:pPr>
        <w:pStyle w:val="pheading"/>
      </w:pPr>
      <w:r>
        <w:t>DOCUMENTS DE RÉFÉRENCE COMPLÉMENTAIRES</w:t>
      </w:r>
    </w:p>
    <w:p w14:paraId="54EC8979" w14:textId="77777777" w:rsidR="00DF410E" w:rsidRDefault="00CE7F43">
      <w:pPr>
        <w:pStyle w:val="pheading"/>
      </w:pPr>
      <w:r>
        <w:t>- Matériau</w:t>
      </w:r>
    </w:p>
    <w:p w14:paraId="1162BF13"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144906C2" w14:textId="77777777" w:rsidR="00DF410E" w:rsidRDefault="00CE7F43">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095058F" w14:textId="77777777" w:rsidR="00DF410E" w:rsidRDefault="00CE7F43">
      <w:r>
        <w:t>[NBN EN 1097-3, Essais pour déterminer les caractéristiques mécaniques et physiques des granulats - Partie 3: Méthode pour la détermination de la masse volumique en vrac et de la porosité intergranulaire]</w:t>
      </w:r>
    </w:p>
    <w:p w14:paraId="00032AED" w14:textId="77777777" w:rsidR="00DF410E" w:rsidRDefault="00CE7F43">
      <w:r>
        <w:t>[NBN EN 933-5, Essais pour déterminer les caractéristiques géométriques des granulats - Partie 5 : Détermination du pourcentage de surfaces cassées dans les gravillons et graves naturelles]</w:t>
      </w:r>
    </w:p>
    <w:p w14:paraId="14926FC3" w14:textId="77777777" w:rsidR="00DF410E" w:rsidRDefault="00CE7F43">
      <w:r>
        <w:t>[NBN EN 933-1, Essais pour déterminer les caractéristiques géométriques des granulats - Partie 1 : Détermination de la granularité - Analyse granulométrique par tamisage]</w:t>
      </w:r>
    </w:p>
    <w:p w14:paraId="50D63F04" w14:textId="77777777" w:rsidR="00DF410E" w:rsidRDefault="00CE7F43">
      <w:r>
        <w:t>[NBN EN 1097-6, Essais pour déterminer les caractéristiques mécaniques et physiques des granulats - Partie 6 : Détermination de la masse volumique et du coefficient d'absorption d'eau]</w:t>
      </w:r>
    </w:p>
    <w:p w14:paraId="463C6670" w14:textId="77777777" w:rsidR="00DF410E" w:rsidRDefault="00CE7F43">
      <w:r>
        <w:t>[NBN EN 1097-10, Essais pour déterminer les caractéristiques mécaniques et physiques des granulats - Partie 10: Hauteur de succion d'eau]</w:t>
      </w:r>
    </w:p>
    <w:p w14:paraId="1632C117" w14:textId="77777777" w:rsidR="00DF410E" w:rsidRDefault="00CE7F43">
      <w:r>
        <w:t>[NBN EN ISO 354, Acoustique - Mesurage de l'absorption acoustique en salle réverbérante (ISO 354:2003)]</w:t>
      </w:r>
    </w:p>
    <w:p w14:paraId="34264023" w14:textId="77777777" w:rsidR="00DF410E" w:rsidRDefault="00CE7F43">
      <w:r>
        <w:t>[NBN EN ISO 11654, Acoustique - Absorbants pour l'utilisation dans les bâtiments - Evaluation de l'absorption acoustique (ISO 11654:1997)]</w:t>
      </w:r>
    </w:p>
    <w:p w14:paraId="3A773BB5" w14:textId="77777777" w:rsidR="00DF410E" w:rsidRDefault="00CE7F43">
      <w:r>
        <w:t>[NBN EN 13501-1, Classement au feu des produits et éléments de construction - Partie 1: Classement à partir des données d'essais de réaction au feu]</w:t>
      </w:r>
    </w:p>
    <w:p w14:paraId="0B3A630D" w14:textId="77777777" w:rsidR="00DF410E" w:rsidRDefault="00CE7F43">
      <w:pPr>
        <w:pStyle w:val="pheading"/>
      </w:pPr>
      <w:r>
        <w:t>MESURAGE</w:t>
      </w:r>
    </w:p>
    <w:p w14:paraId="59F6AA76" w14:textId="77777777" w:rsidR="00DF410E" w:rsidRDefault="00CE7F43">
      <w:pPr>
        <w:pStyle w:val="pheading"/>
      </w:pPr>
      <w:r>
        <w:t>- unité de mesure:</w:t>
      </w:r>
    </w:p>
    <w:p w14:paraId="66F6484E" w14:textId="77777777" w:rsidR="00DF410E" w:rsidRDefault="00CE7F43">
      <w:r>
        <w:rPr>
          <w:rStyle w:val="optioncarChar"/>
        </w:rPr>
        <w:t xml:space="preserve">m² </w:t>
      </w:r>
      <w:r>
        <w:t>(par défaut)</w:t>
      </w:r>
      <w:r>
        <w:rPr>
          <w:rStyle w:val="optioncarChar"/>
        </w:rPr>
        <w:t xml:space="preserve"> / m³</w:t>
      </w:r>
    </w:p>
    <w:p w14:paraId="1140D791" w14:textId="77777777" w:rsidR="00DF410E" w:rsidRDefault="00CE7F43">
      <w:r>
        <w:rPr>
          <w:b/>
          <w:i/>
        </w:rPr>
        <w:t>(Soit par défaut)</w:t>
      </w:r>
    </w:p>
    <w:p w14:paraId="7F9A997B" w14:textId="77777777" w:rsidR="00DF410E" w:rsidRDefault="00CE7F43">
      <w:r>
        <w:rPr>
          <w:rStyle w:val="soitChar"/>
        </w:rPr>
        <w:t>1. m²</w:t>
      </w:r>
    </w:p>
    <w:p w14:paraId="68FF12A5" w14:textId="77777777" w:rsidR="00DF410E" w:rsidRDefault="00CE7F43">
      <w:r>
        <w:rPr>
          <w:b/>
          <w:i/>
        </w:rPr>
        <w:t>(Soit)</w:t>
      </w:r>
    </w:p>
    <w:p w14:paraId="1C7B33A9" w14:textId="77777777" w:rsidR="00DF410E" w:rsidRDefault="00CE7F43">
      <w:r>
        <w:rPr>
          <w:rStyle w:val="soitChar"/>
        </w:rPr>
        <w:t>2. m³</w:t>
      </w:r>
    </w:p>
    <w:p w14:paraId="3D79AD91" w14:textId="77777777" w:rsidR="00DF410E" w:rsidRDefault="00CE7F43">
      <w:pPr>
        <w:pStyle w:val="pheading"/>
      </w:pPr>
      <w:r>
        <w:t>- code de mesurage:</w:t>
      </w:r>
    </w:p>
    <w:p w14:paraId="00045EFC" w14:textId="77777777" w:rsidR="00DF410E" w:rsidRDefault="00CE7F43">
      <w:pPr>
        <w:jc w:val="both"/>
      </w:pPr>
      <w:r>
        <w:rPr>
          <w:rStyle w:val="optioncarChar"/>
        </w:rPr>
        <w:t xml:space="preserve">Surface nette </w:t>
      </w:r>
      <w:r>
        <w:t xml:space="preserve">(par défaut) </w:t>
      </w:r>
      <w:r>
        <w:rPr>
          <w:rStyle w:val="optioncarChar"/>
        </w:rPr>
        <w:t>/ Volume net</w:t>
      </w:r>
    </w:p>
    <w:p w14:paraId="42BC8BB7" w14:textId="77777777" w:rsidR="00DF410E" w:rsidRDefault="00CE7F43">
      <w:pPr>
        <w:jc w:val="both"/>
      </w:pPr>
      <w:r>
        <w:rPr>
          <w:b/>
          <w:i/>
        </w:rPr>
        <w:t>(Soit par défaut)</w:t>
      </w:r>
    </w:p>
    <w:p w14:paraId="5648BEBA" w14:textId="77777777" w:rsidR="00DF410E" w:rsidRDefault="00CE7F43">
      <w:pPr>
        <w:jc w:val="both"/>
      </w:pPr>
      <w:r>
        <w:rPr>
          <w:rStyle w:val="soitChar"/>
          <w:b/>
        </w:rPr>
        <w:t>1. 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3FC9C5B4" w14:textId="77777777" w:rsidR="00DF410E" w:rsidRDefault="00CE7F43">
      <w:pPr>
        <w:jc w:val="both"/>
      </w:pPr>
      <w:r>
        <w:rPr>
          <w:b/>
          <w:i/>
        </w:rPr>
        <w:t>(Soit)</w:t>
      </w:r>
    </w:p>
    <w:p w14:paraId="3AB265F4" w14:textId="77777777" w:rsidR="00DF410E" w:rsidRDefault="00CE7F43">
      <w:pPr>
        <w:jc w:val="both"/>
      </w:pPr>
      <w:r>
        <w:rPr>
          <w:rStyle w:val="soitChar"/>
          <w:b/>
        </w:rPr>
        <w:t>2. Volume net</w:t>
      </w:r>
      <w:r>
        <w:rPr>
          <w:rStyle w:val="soitChar"/>
        </w:rPr>
        <w:t xml:space="preserve"> de la construction à isoler, sans déduction des éléments de structure interposés (chevrons / fermes / solives / …). Les ouvertures supérieures à 0,5 m² multipliées par l’épaisseur à réaliser sont déduites. Suivant la densité prescrite.</w:t>
      </w:r>
    </w:p>
    <w:p w14:paraId="68FE1A21" w14:textId="77777777" w:rsidR="00DF410E" w:rsidRDefault="00CE7F43">
      <w:pPr>
        <w:pStyle w:val="pheading"/>
      </w:pPr>
      <w:r>
        <w:t>- nature du marché:</w:t>
      </w:r>
    </w:p>
    <w:p w14:paraId="773D51AE" w14:textId="77777777" w:rsidR="00DF410E" w:rsidRDefault="00CE7F43">
      <w:r>
        <w:t>QF</w:t>
      </w:r>
    </w:p>
    <w:p w14:paraId="06737D6C" w14:textId="77777777" w:rsidR="00DF410E" w:rsidRDefault="00CE7F43">
      <w:pPr>
        <w:pStyle w:val="Author-eSectionHeading6"/>
      </w:pPr>
      <w:bookmarkStart w:id="2017" w:name="_Toc178839062"/>
      <w:r>
        <w:t>26.46.3h (titre réservé)</w:t>
      </w:r>
      <w:bookmarkEnd w:id="2017"/>
    </w:p>
    <w:p w14:paraId="179F396E" w14:textId="77777777" w:rsidR="00DF410E" w:rsidRDefault="00CE7F43">
      <w:pPr>
        <w:pStyle w:val="Author-eSectionHeading5"/>
      </w:pPr>
      <w:bookmarkStart w:id="2018" w:name="_Toc178839063"/>
      <w:r>
        <w:t>26.46.4 (titre réservé) CCTB 01.04</w:t>
      </w:r>
      <w:bookmarkEnd w:id="2018"/>
    </w:p>
    <w:p w14:paraId="526AF658" w14:textId="77777777" w:rsidR="00DF410E" w:rsidRDefault="00CE7F43">
      <w:pPr>
        <w:pStyle w:val="Author-eSectionHeading4"/>
      </w:pPr>
      <w:bookmarkStart w:id="2019" w:name="_Toc178839064"/>
      <w:r>
        <w:t>26.47 Isolation en blocs CCTB 01.11</w:t>
      </w:r>
      <w:bookmarkEnd w:id="2019"/>
    </w:p>
    <w:p w14:paraId="6C796F73" w14:textId="77777777" w:rsidR="00DF410E" w:rsidRDefault="00CE7F43">
      <w:pPr>
        <w:pStyle w:val="pheading"/>
      </w:pPr>
      <w:r>
        <w:t>DESCRIPTION</w:t>
      </w:r>
    </w:p>
    <w:p w14:paraId="09B574AF" w14:textId="77777777" w:rsidR="00DF410E" w:rsidRDefault="00CE7F43">
      <w:pPr>
        <w:pStyle w:val="pheading"/>
      </w:pPr>
      <w:r>
        <w:t>- Définition / Comprend</w:t>
      </w:r>
    </w:p>
    <w:p w14:paraId="114A1241" w14:textId="77777777" w:rsidR="00DF410E" w:rsidRDefault="00CE7F43">
      <w:pPr>
        <w:jc w:val="both"/>
      </w:pPr>
      <w:r>
        <w:t>Le travail comprend notamment :</w:t>
      </w:r>
    </w:p>
    <w:p w14:paraId="61AAEF53" w14:textId="77777777" w:rsidR="00DF410E" w:rsidRDefault="00CE7F43">
      <w:pPr>
        <w:pStyle w:val="Author-eListParagraph"/>
        <w:numPr>
          <w:ilvl w:val="0"/>
          <w:numId w:val="1138"/>
        </w:numPr>
        <w:jc w:val="both"/>
      </w:pPr>
      <w:r>
        <w:t>La préparation et nettoyage du sol sur lesquels les parois sont exécutées.</w:t>
      </w:r>
    </w:p>
    <w:p w14:paraId="75AC2754" w14:textId="77777777" w:rsidR="00DF410E" w:rsidRDefault="00CE7F43">
      <w:pPr>
        <w:pStyle w:val="Author-eListParagraph"/>
        <w:numPr>
          <w:ilvl w:val="0"/>
          <w:numId w:val="1138"/>
        </w:numPr>
        <w:jc w:val="both"/>
      </w:pPr>
      <w:r>
        <w:t>La livraison et la pose des blocs, y compris tous les supports temporaires et travaux d’étayage.</w:t>
      </w:r>
    </w:p>
    <w:p w14:paraId="686DBC19" w14:textId="77777777" w:rsidR="00DF410E" w:rsidRDefault="00CE7F43">
      <w:pPr>
        <w:pStyle w:val="Author-eListParagraph"/>
        <w:numPr>
          <w:ilvl w:val="0"/>
          <w:numId w:val="1138"/>
        </w:numPr>
        <w:jc w:val="both"/>
      </w:pPr>
      <w:r>
        <w:t>Les réservations prévues sur les plans.</w:t>
      </w:r>
    </w:p>
    <w:p w14:paraId="54D5EB37" w14:textId="77777777" w:rsidR="00DF410E" w:rsidRDefault="00CE7F43">
      <w:pPr>
        <w:pStyle w:val="Author-eListParagraph"/>
        <w:numPr>
          <w:ilvl w:val="0"/>
          <w:numId w:val="1138"/>
        </w:numPr>
        <w:jc w:val="both"/>
      </w:pPr>
      <w:r>
        <w:t>La finition des bords et travaux de réparation en cas d’endommagement.</w:t>
      </w:r>
    </w:p>
    <w:p w14:paraId="2DAD788B" w14:textId="77777777" w:rsidR="00DF410E" w:rsidRDefault="00CE7F43">
      <w:pPr>
        <w:pStyle w:val="Author-eListParagraph"/>
        <w:numPr>
          <w:ilvl w:val="0"/>
          <w:numId w:val="1138"/>
        </w:numPr>
        <w:jc w:val="both"/>
      </w:pPr>
      <w:r>
        <w:t>Le remplissage des joints de dilatation éventuels selon les directives du fournisseur.</w:t>
      </w:r>
    </w:p>
    <w:p w14:paraId="72F644FC" w14:textId="77777777" w:rsidR="00DF410E" w:rsidRDefault="00CE7F43">
      <w:pPr>
        <w:pStyle w:val="Author-eListParagraph"/>
        <w:numPr>
          <w:ilvl w:val="0"/>
          <w:numId w:val="1138"/>
        </w:numPr>
        <w:jc w:val="both"/>
      </w:pPr>
      <w:r>
        <w:t>Le contrôle de toutes les dimensions et l’adaptation des éléments préfabriqués aux dimensions réelles ;</w:t>
      </w:r>
    </w:p>
    <w:p w14:paraId="6CC1653D" w14:textId="77777777" w:rsidR="00DF410E" w:rsidRDefault="00CE7F43">
      <w:pPr>
        <w:pStyle w:val="Author-eListParagraph"/>
        <w:numPr>
          <w:ilvl w:val="0"/>
          <w:numId w:val="1138"/>
        </w:numPr>
        <w:jc w:val="both"/>
      </w:pPr>
      <w:r>
        <w:t>Toutes les armatures éventuelles et toutes les pièces permettant leur placement et leur fixation ;</w:t>
      </w:r>
    </w:p>
    <w:p w14:paraId="5255D25D" w14:textId="77777777" w:rsidR="00DF410E" w:rsidRDefault="00CE7F43">
      <w:pPr>
        <w:pStyle w:val="Author-eListParagraph"/>
        <w:numPr>
          <w:ilvl w:val="0"/>
          <w:numId w:val="1138"/>
        </w:numPr>
        <w:jc w:val="both"/>
      </w:pPr>
      <w:r>
        <w:t>Les armatures complémentaires de liaison, de renforcement et d’angle selon les indications figurant  sur le plan de pose;</w:t>
      </w:r>
    </w:p>
    <w:p w14:paraId="417427B5" w14:textId="77777777" w:rsidR="00DF410E" w:rsidRDefault="00CE7F43">
      <w:pPr>
        <w:pStyle w:val="Author-eListParagraph"/>
        <w:numPr>
          <w:ilvl w:val="0"/>
          <w:numId w:val="1138"/>
        </w:numPr>
        <w:jc w:val="both"/>
      </w:pPr>
      <w:r>
        <w:t>Tous les moyens de liaisonnement éventuels, aussi bien entre les éléments, mais aussi avec les éléments de bord, … ;</w:t>
      </w:r>
    </w:p>
    <w:p w14:paraId="20241024" w14:textId="77777777" w:rsidR="00DF410E" w:rsidRDefault="00CE7F43">
      <w:pPr>
        <w:pStyle w:val="Author-eListParagraph"/>
        <w:numPr>
          <w:ilvl w:val="0"/>
          <w:numId w:val="1138"/>
        </w:numPr>
        <w:jc w:val="both"/>
      </w:pPr>
      <w:r>
        <w:t>L’enlèvement de tous les accessoires, éléments de coffrage, supports, étais et le nettoyage des faces visibles.</w:t>
      </w:r>
    </w:p>
    <w:p w14:paraId="228BF033" w14:textId="77777777" w:rsidR="00DF410E" w:rsidRDefault="00CE7F43">
      <w:pPr>
        <w:pStyle w:val="Author-eSectionHeading5"/>
      </w:pPr>
      <w:bookmarkStart w:id="2020" w:name="_Toc178839065"/>
      <w:r>
        <w:t>26.47.1 Isolation en blocs - matières synthétiques CCTB 01.02</w:t>
      </w:r>
      <w:bookmarkEnd w:id="2020"/>
    </w:p>
    <w:p w14:paraId="6D8A9410" w14:textId="77777777" w:rsidR="00DF410E" w:rsidRDefault="00CE7F43">
      <w:pPr>
        <w:pStyle w:val="Author-eSectionHeading6"/>
      </w:pPr>
      <w:bookmarkStart w:id="2021" w:name="_Toc178839066"/>
      <w:r>
        <w:t>26.47.1a Isolation en blocs - entrevous de polystyrène CCTB 01.04</w:t>
      </w:r>
      <w:bookmarkEnd w:id="2021"/>
    </w:p>
    <w:p w14:paraId="785F2B36" w14:textId="77777777" w:rsidR="00DF410E" w:rsidRDefault="00CE7F43">
      <w:pPr>
        <w:pStyle w:val="pheading"/>
      </w:pPr>
      <w:r>
        <w:t>DESCRIPTION</w:t>
      </w:r>
    </w:p>
    <w:p w14:paraId="7609AB21" w14:textId="77777777" w:rsidR="00DF410E" w:rsidRDefault="00CE7F43">
      <w:pPr>
        <w:pStyle w:val="pheading"/>
      </w:pPr>
      <w:r>
        <w:t>- Définition / Comprend</w:t>
      </w:r>
    </w:p>
    <w:p w14:paraId="6BF6FC35" w14:textId="77777777" w:rsidR="00DF410E" w:rsidRDefault="00CE7F43">
      <w:r>
        <w:t xml:space="preserve">voir </w:t>
      </w:r>
      <w:hyperlink w:anchor="682" w:history="1">
        <w:r>
          <w:t>22.22.1c Planchers à poutrelles en béton et entrevous en polystyrène</w:t>
        </w:r>
      </w:hyperlink>
    </w:p>
    <w:p w14:paraId="7D367AC1" w14:textId="77777777" w:rsidR="00DF410E" w:rsidRDefault="00CE7F43">
      <w:pPr>
        <w:pStyle w:val="Author-eSectionHeading6"/>
      </w:pPr>
      <w:bookmarkStart w:id="2022" w:name="_Toc178839067"/>
      <w:r>
        <w:t>26.47.1b Isolation en blocs - polystyrène expansé (EPS) CCTB 01.02</w:t>
      </w:r>
      <w:bookmarkEnd w:id="2022"/>
    </w:p>
    <w:p w14:paraId="2E1047E8" w14:textId="77777777" w:rsidR="00DF410E" w:rsidRDefault="00CE7F43">
      <w:pPr>
        <w:pStyle w:val="Author-eSectionHeading6"/>
      </w:pPr>
      <w:bookmarkStart w:id="2023" w:name="_Toc178839068"/>
      <w:r>
        <w:t>26.47.1c Isolation en blocs - polystyrène expansé additionné de graphite/carbone CCTB 01.02</w:t>
      </w:r>
      <w:bookmarkEnd w:id="2023"/>
    </w:p>
    <w:p w14:paraId="41A36A9E" w14:textId="77777777" w:rsidR="00DF410E" w:rsidRDefault="00CE7F43">
      <w:pPr>
        <w:pStyle w:val="Author-eSectionHeading6"/>
      </w:pPr>
      <w:bookmarkStart w:id="2024" w:name="_Toc178839069"/>
      <w:r>
        <w:t>26.47.1d Isolation en blocs de coffrage - polystyrène expansé (EPS) CCTB 01.02</w:t>
      </w:r>
      <w:bookmarkEnd w:id="2024"/>
    </w:p>
    <w:p w14:paraId="353E1959" w14:textId="77777777" w:rsidR="00DF410E" w:rsidRDefault="00CE7F43">
      <w:pPr>
        <w:pStyle w:val="Author-eSectionHeading6"/>
      </w:pPr>
      <w:bookmarkStart w:id="2025" w:name="_Toc178839070"/>
      <w:r>
        <w:t>26.47.1e Isolation en blocs de coffrage - avec surépaisseur de mousse de polystyrène expansé (EPS) CCTB 01.02</w:t>
      </w:r>
      <w:bookmarkEnd w:id="2025"/>
    </w:p>
    <w:p w14:paraId="2A5F3F07" w14:textId="77777777" w:rsidR="00DF410E" w:rsidRDefault="00CE7F43">
      <w:pPr>
        <w:pStyle w:val="Author-eSectionHeading6"/>
      </w:pPr>
      <w:bookmarkStart w:id="2026" w:name="_Toc178839071"/>
      <w:r>
        <w:t>26.47.1f Isolation en blocs de coffrage - polystyrène expansé additionné de graphite/carbone CCTB 01.02</w:t>
      </w:r>
      <w:bookmarkEnd w:id="2026"/>
    </w:p>
    <w:p w14:paraId="2301C543" w14:textId="77777777" w:rsidR="00DF410E" w:rsidRDefault="00CE7F43">
      <w:pPr>
        <w:pStyle w:val="Author-eSectionHeading6"/>
      </w:pPr>
      <w:bookmarkStart w:id="2027" w:name="_Toc178839072"/>
      <w:r>
        <w:t>26.47.1g Isolation en blocs de coffrage - avec surépaisseur de polystyrène expansé additionné de graphite/c. CCTB 01.11</w:t>
      </w:r>
      <w:bookmarkEnd w:id="2027"/>
    </w:p>
    <w:p w14:paraId="15F96D64" w14:textId="77777777" w:rsidR="00DF410E" w:rsidRDefault="00CE7F43">
      <w:pPr>
        <w:pStyle w:val="Author-eSectionHeading5"/>
      </w:pPr>
      <w:bookmarkStart w:id="2028" w:name="_Toc178839073"/>
      <w:r>
        <w:t>26.47.2 Isolation en blocs - matières végétales CCTB 01.02</w:t>
      </w:r>
      <w:bookmarkEnd w:id="2028"/>
    </w:p>
    <w:p w14:paraId="1CE644D6" w14:textId="77777777" w:rsidR="00DF410E" w:rsidRDefault="00CE7F43">
      <w:pPr>
        <w:pStyle w:val="Author-eSectionHeading6"/>
      </w:pPr>
      <w:bookmarkStart w:id="2029" w:name="_Toc178839074"/>
      <w:r>
        <w:t>26.47.2a Isolation en blocs - paille CCTB 01.11</w:t>
      </w:r>
      <w:bookmarkEnd w:id="2029"/>
    </w:p>
    <w:p w14:paraId="48EB7F5D" w14:textId="77777777" w:rsidR="00DF410E" w:rsidRDefault="00CE7F43">
      <w:pPr>
        <w:pStyle w:val="pheading"/>
      </w:pPr>
      <w:r>
        <w:t>DESCRIPTION</w:t>
      </w:r>
    </w:p>
    <w:p w14:paraId="0D81E06A" w14:textId="77777777" w:rsidR="00DF410E" w:rsidRDefault="00CE7F43">
      <w:pPr>
        <w:pStyle w:val="pheading"/>
      </w:pPr>
      <w:r>
        <w:t>- Définition / Comprend</w:t>
      </w:r>
    </w:p>
    <w:p w14:paraId="4A8AFCE0" w14:textId="77777777" w:rsidR="00DF410E" w:rsidRDefault="00CE7F43">
      <w:pPr>
        <w:jc w:val="both"/>
      </w:pPr>
      <w:r>
        <w:t>Il s’agit de la fourniture et la pose d’isolant en blocs de paille sous forme de ballots.</w:t>
      </w:r>
    </w:p>
    <w:p w14:paraId="51140A52" w14:textId="77777777" w:rsidR="00DF410E" w:rsidRDefault="00CE7F43">
      <w:pPr>
        <w:jc w:val="both"/>
      </w:pPr>
      <w:r>
        <w:t>Le travail comprend notamment :</w:t>
      </w:r>
    </w:p>
    <w:p w14:paraId="08DCC9AE" w14:textId="77777777" w:rsidR="00DF410E" w:rsidRDefault="00CE7F43">
      <w:pPr>
        <w:pStyle w:val="Author-eListParagraph"/>
        <w:numPr>
          <w:ilvl w:val="0"/>
          <w:numId w:val="1139"/>
        </w:numPr>
      </w:pPr>
      <w:r>
        <w:t>La prévision des quantités de ballots avec une majoration de minimum 10%</w:t>
      </w:r>
    </w:p>
    <w:p w14:paraId="1931BC2E" w14:textId="77777777" w:rsidR="00DF410E" w:rsidRDefault="00CE7F43">
      <w:pPr>
        <w:pStyle w:val="Author-eListParagraph"/>
        <w:numPr>
          <w:ilvl w:val="0"/>
          <w:numId w:val="1139"/>
        </w:numPr>
      </w:pPr>
      <w:r>
        <w:t>La contractualisation avec un fournisseur de paille de la fourniture de ballots de qualité adaptée à la construction</w:t>
      </w:r>
    </w:p>
    <w:p w14:paraId="240CEB62" w14:textId="77777777" w:rsidR="00DF410E" w:rsidRDefault="00CE7F43">
      <w:pPr>
        <w:pStyle w:val="Author-eListParagraph"/>
        <w:numPr>
          <w:ilvl w:val="0"/>
          <w:numId w:val="1139"/>
        </w:numPr>
      </w:pPr>
      <w:r>
        <w:t>L’organisation du transport et du stockage adéquat de la paille entre la période de récolte et la période de chanter</w:t>
      </w:r>
    </w:p>
    <w:p w14:paraId="1EAECAB2" w14:textId="77777777" w:rsidR="00DF410E" w:rsidRDefault="00CE7F43">
      <w:pPr>
        <w:pStyle w:val="Author-eListParagraph"/>
        <w:numPr>
          <w:ilvl w:val="0"/>
          <w:numId w:val="1139"/>
        </w:numPr>
      </w:pPr>
      <w:r>
        <w:t>Un stockage sur chantier adéquat, à l’abri de l’humidité et des précipitations</w:t>
      </w:r>
    </w:p>
    <w:p w14:paraId="32A2DC11" w14:textId="77777777" w:rsidR="00DF410E" w:rsidRDefault="00CE7F43">
      <w:pPr>
        <w:pStyle w:val="Author-eListParagraph"/>
        <w:numPr>
          <w:ilvl w:val="0"/>
          <w:numId w:val="1139"/>
        </w:numPr>
      </w:pPr>
      <w:r>
        <w:t>La préparation et nettoyage des supports sur lesquels les éléments sont posés.</w:t>
      </w:r>
    </w:p>
    <w:p w14:paraId="2CE14401" w14:textId="77777777" w:rsidR="00DF410E" w:rsidRDefault="00CE7F43">
      <w:pPr>
        <w:pStyle w:val="Author-eListParagraph"/>
        <w:numPr>
          <w:ilvl w:val="0"/>
          <w:numId w:val="1139"/>
        </w:numPr>
      </w:pPr>
      <w:r>
        <w:t>La livraison et la pose des ballots de paille, y compris les engins de levage, tous les supports temporaires et travaux d’étayage.</w:t>
      </w:r>
    </w:p>
    <w:p w14:paraId="58FAAD4F" w14:textId="77777777" w:rsidR="00DF410E" w:rsidRDefault="00CE7F43">
      <w:pPr>
        <w:pStyle w:val="Author-eListParagraph"/>
        <w:numPr>
          <w:ilvl w:val="0"/>
          <w:numId w:val="1139"/>
        </w:numPr>
      </w:pPr>
      <w:r>
        <w:t>Le contrôle qualité des bottes avant la mise en œuvre</w:t>
      </w:r>
    </w:p>
    <w:p w14:paraId="23D78C76" w14:textId="77777777" w:rsidR="00DF410E" w:rsidRDefault="00CE7F43">
      <w:pPr>
        <w:pStyle w:val="Author-eListParagraph"/>
        <w:numPr>
          <w:ilvl w:val="0"/>
          <w:numId w:val="1139"/>
        </w:numPr>
      </w:pPr>
      <w:r>
        <w:t>Le maintien quotidien de la propreté du chantier et le balayage des chutes de paille hors du bâtiment.</w:t>
      </w:r>
    </w:p>
    <w:p w14:paraId="1F345FC3" w14:textId="77777777" w:rsidR="00DF410E" w:rsidRDefault="00CE7F43">
      <w:pPr>
        <w:pStyle w:val="Author-eListParagraph"/>
        <w:numPr>
          <w:ilvl w:val="0"/>
          <w:numId w:val="1139"/>
        </w:numPr>
      </w:pPr>
      <w:r>
        <w:t>Les réservations prévues sur les plans.</w:t>
      </w:r>
    </w:p>
    <w:p w14:paraId="374A8DF6" w14:textId="77777777" w:rsidR="00DF410E" w:rsidRDefault="00CE7F43">
      <w:pPr>
        <w:pStyle w:val="Author-eListParagraph"/>
        <w:numPr>
          <w:ilvl w:val="0"/>
          <w:numId w:val="1139"/>
        </w:numPr>
      </w:pPr>
      <w:r>
        <w:t>La réception des ouvrages recevant la paille</w:t>
      </w:r>
    </w:p>
    <w:p w14:paraId="4234F334" w14:textId="77777777" w:rsidR="00DF410E" w:rsidRDefault="00CE7F43">
      <w:pPr>
        <w:pStyle w:val="Author-eListParagraph"/>
        <w:numPr>
          <w:ilvl w:val="0"/>
          <w:numId w:val="1139"/>
        </w:numPr>
      </w:pPr>
      <w:r>
        <w:t>La finition des bords et travaux de réparation en cas d’endommagement.</w:t>
      </w:r>
    </w:p>
    <w:p w14:paraId="0462EDC2" w14:textId="77777777" w:rsidR="00DF410E" w:rsidRDefault="00CE7F43">
      <w:pPr>
        <w:pStyle w:val="Author-eListParagraph"/>
        <w:numPr>
          <w:ilvl w:val="0"/>
          <w:numId w:val="1139"/>
        </w:numPr>
      </w:pPr>
      <w:r>
        <w:t>L’enlèvement de tous les accessoires, éléments de coffrage, supports, étais et le nettoyage du chantier.</w:t>
      </w:r>
    </w:p>
    <w:p w14:paraId="6247D31D" w14:textId="77777777" w:rsidR="00DF410E" w:rsidRDefault="00CE7F43">
      <w:pPr>
        <w:pStyle w:val="Author-eListParagraph"/>
        <w:numPr>
          <w:ilvl w:val="0"/>
          <w:numId w:val="1139"/>
        </w:numPr>
      </w:pPr>
      <w:r>
        <w:t>L’enlèvement des ficelles</w:t>
      </w:r>
    </w:p>
    <w:p w14:paraId="787ADCBE" w14:textId="77777777" w:rsidR="00DF410E" w:rsidRDefault="00CE7F43">
      <w:pPr>
        <w:pStyle w:val="pheading"/>
      </w:pPr>
      <w:r>
        <w:t>- Localisation</w:t>
      </w:r>
    </w:p>
    <w:p w14:paraId="1C7363BB" w14:textId="77777777" w:rsidR="00DF410E" w:rsidRDefault="00CE7F43">
      <w:r>
        <w:t xml:space="preserve">Localisation des travaux : </w:t>
      </w:r>
      <w:r>
        <w:rPr>
          <w:rStyle w:val="optioncarChar"/>
        </w:rPr>
        <w:t>***</w:t>
      </w:r>
      <w:r>
        <w:t>.</w:t>
      </w:r>
    </w:p>
    <w:p w14:paraId="11C5B668" w14:textId="77777777" w:rsidR="00DF410E" w:rsidRDefault="00CE7F43">
      <w:r>
        <w:t>Voir plans et métrés détaillés.</w:t>
      </w:r>
    </w:p>
    <w:p w14:paraId="68F37378" w14:textId="77777777" w:rsidR="00DF410E" w:rsidRDefault="00CE7F43">
      <w:pPr>
        <w:pStyle w:val="pheading"/>
      </w:pPr>
      <w:r>
        <w:t>MATÉRIAUX</w:t>
      </w:r>
    </w:p>
    <w:p w14:paraId="5EA1AB91" w14:textId="77777777" w:rsidR="00DF410E" w:rsidRDefault="00CE7F43">
      <w:pPr>
        <w:pStyle w:val="pheading"/>
      </w:pPr>
      <w:r>
        <w:t>- Caractéristiques générales</w:t>
      </w:r>
    </w:p>
    <w:p w14:paraId="7B3FC5DE" w14:textId="77777777" w:rsidR="00DF410E" w:rsidRDefault="00CE7F43">
      <w:pPr>
        <w:jc w:val="both"/>
      </w:pPr>
      <w:r>
        <w:t>Sont autorisées les céréales de type : épeautre, seigle, blé, triticale et orge.</w:t>
      </w:r>
    </w:p>
    <w:p w14:paraId="5896E0F0" w14:textId="77777777" w:rsidR="00DF410E" w:rsidRDefault="00CE7F43">
      <w:pPr>
        <w:jc w:val="both"/>
      </w:pPr>
      <w:r>
        <w:t xml:space="preserve">Dimensions (L x l x h) : </w:t>
      </w:r>
      <w:r>
        <w:rPr>
          <w:rStyle w:val="optioncarChar"/>
        </w:rPr>
        <w:t xml:space="preserve">80 à 120 x 46-47 x 36-37 (cm) </w:t>
      </w:r>
      <w:r>
        <w:t>(par défaut) /</w:t>
      </w:r>
      <w:r>
        <w:rPr>
          <w:rStyle w:val="optioncarChar"/>
        </w:rPr>
        <w:t xml:space="preserve"> ***x***x***</w:t>
      </w:r>
      <w:r>
        <w:t>.</w:t>
      </w:r>
    </w:p>
    <w:p w14:paraId="2F404ACE" w14:textId="77777777" w:rsidR="00DF410E" w:rsidRDefault="00CE7F43">
      <w:pPr>
        <w:jc w:val="both"/>
      </w:pPr>
      <w:r>
        <w:t>La tolérance sur la longueur L est de</w:t>
      </w:r>
      <w:r>
        <w:rPr>
          <w:rStyle w:val="optioncarChar"/>
        </w:rPr>
        <w:t xml:space="preserve"> ± 5 cm </w:t>
      </w:r>
      <w:r>
        <w:t>(par défaut)</w:t>
      </w:r>
      <w:r>
        <w:rPr>
          <w:rStyle w:val="optioncarChar"/>
        </w:rPr>
        <w:t xml:space="preserve"> / ***</w:t>
      </w:r>
      <w:r>
        <w:t>.</w:t>
      </w:r>
    </w:p>
    <w:p w14:paraId="50827EBA" w14:textId="77777777" w:rsidR="00DF410E" w:rsidRDefault="00CE7F43">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14:paraId="394480C2" w14:textId="77777777" w:rsidR="00DF410E" w:rsidRDefault="00CE7F43">
      <w:pPr>
        <w:jc w:val="both"/>
      </w:pPr>
      <w:r>
        <w:t>Humidité relative &lt; 20%</w:t>
      </w:r>
    </w:p>
    <w:p w14:paraId="140C6E7E" w14:textId="77777777" w:rsidR="00DF410E" w:rsidRDefault="00CE7F43">
      <w:pPr>
        <w:jc w:val="both"/>
      </w:pPr>
      <w:r>
        <w:t xml:space="preserve">Les ballots </w:t>
      </w:r>
      <w:r>
        <w:rPr>
          <w:rStyle w:val="optioncarChar"/>
        </w:rPr>
        <w:t>sont issus / ne sont pas issus</w:t>
      </w:r>
      <w:r>
        <w:t xml:space="preserve"> de l’agriculture biologique.</w:t>
      </w:r>
    </w:p>
    <w:p w14:paraId="3BF78D59" w14:textId="77777777" w:rsidR="00DF410E" w:rsidRDefault="00CE7F43">
      <w:pPr>
        <w:jc w:val="both"/>
      </w:pPr>
      <w:r>
        <w:t>Les brins de paille mesurent 15 cm minimum, préférablement 30 à 45 cm.</w:t>
      </w:r>
    </w:p>
    <w:p w14:paraId="22F6644E" w14:textId="77777777" w:rsidR="00DF410E" w:rsidRDefault="00CE7F43">
      <w:pPr>
        <w:jc w:val="both"/>
      </w:pPr>
      <w:r>
        <w:t>Réaction au feu des ballots : classe E suivant [NBN EN 13501-1]</w:t>
      </w:r>
    </w:p>
    <w:p w14:paraId="6172B710" w14:textId="77777777" w:rsidR="00DF410E" w:rsidRDefault="00CE7F43">
      <w:pPr>
        <w:jc w:val="both"/>
      </w:pPr>
      <w:r>
        <w:t xml:space="preserve">Conductivité thermique </w:t>
      </w:r>
      <w:r>
        <w:rPr>
          <w:rStyle w:val="optioncarChar"/>
        </w:rPr>
        <w:t xml:space="preserve">≤ 0.06 </w:t>
      </w:r>
      <w:r>
        <w:t> (par défaut)</w:t>
      </w:r>
      <w:r>
        <w:rPr>
          <w:rStyle w:val="optioncarChar"/>
        </w:rPr>
        <w:t xml:space="preserve"> / *** </w:t>
      </w:r>
      <w:r>
        <w:t xml:space="preserve"> W/(m.K)</w:t>
      </w:r>
    </w:p>
    <w:p w14:paraId="08E5B988" w14:textId="77777777" w:rsidR="00DF410E" w:rsidRDefault="00CE7F43">
      <w:pPr>
        <w:ind w:left="567"/>
        <w:jc w:val="both"/>
      </w:pPr>
      <w:r>
        <w:rPr>
          <w:b/>
          <w:i/>
        </w:rPr>
        <w:t>(Soit par défaut)</w:t>
      </w:r>
    </w:p>
    <w:p w14:paraId="700B4C47" w14:textId="77777777" w:rsidR="00DF410E" w:rsidRDefault="00CE7F43">
      <w:pPr>
        <w:ind w:left="567"/>
        <w:jc w:val="both"/>
      </w:pPr>
      <w:r>
        <w:rPr>
          <w:rStyle w:val="soitChar"/>
        </w:rPr>
        <w:t>Conductivité thermique ≤ 0.06 W/(m.K) sans test suivant la PEB</w:t>
      </w:r>
    </w:p>
    <w:p w14:paraId="7C7A30A2" w14:textId="77777777" w:rsidR="00DF410E" w:rsidRDefault="00CE7F43">
      <w:pPr>
        <w:ind w:left="567"/>
        <w:jc w:val="both"/>
      </w:pPr>
      <w:r>
        <w:rPr>
          <w:b/>
          <w:i/>
        </w:rPr>
        <w:t>(Soit)</w:t>
      </w:r>
    </w:p>
    <w:p w14:paraId="76A8A5F8" w14:textId="77777777" w:rsidR="00DF410E" w:rsidRDefault="00CE7F43">
      <w:pPr>
        <w:ind w:left="567"/>
        <w:jc w:val="both"/>
      </w:pPr>
      <w:r>
        <w:rPr>
          <w:rStyle w:val="soitChar"/>
        </w:rPr>
        <w:t xml:space="preserve">Conductivité thermique ≤ </w:t>
      </w:r>
      <w:r>
        <w:rPr>
          <w:rStyle w:val="optioncarChar"/>
        </w:rPr>
        <w:t>***</w:t>
      </w:r>
      <w:r>
        <w:rPr>
          <w:rStyle w:val="soitChar"/>
        </w:rPr>
        <w:t>  W/(m.K) suivant la [NBN EN 12667]</w:t>
      </w:r>
    </w:p>
    <w:p w14:paraId="3EF40352" w14:textId="77777777" w:rsidR="00DF410E" w:rsidRDefault="00CE7F43">
      <w:pPr>
        <w:jc w:val="both"/>
      </w:pPr>
      <w:r>
        <w:t>Absence de graines et de résidus verts dans les ballots</w:t>
      </w:r>
    </w:p>
    <w:p w14:paraId="32302DBE" w14:textId="77777777" w:rsidR="00DF410E" w:rsidRDefault="00CE7F43">
      <w:pPr>
        <w:jc w:val="both"/>
      </w:pPr>
      <w:r>
        <w:t>Les ballots sont comprimés par 2 liens minimum, la forme est parallélépipédique et les bottes ne sont pas déformées.</w:t>
      </w:r>
    </w:p>
    <w:p w14:paraId="7D579A67" w14:textId="77777777" w:rsidR="00DF410E" w:rsidRDefault="00CE7F43">
      <w:pPr>
        <w:pStyle w:val="pheading"/>
      </w:pPr>
      <w:r>
        <w:t>EXÉCUTION / MISE EN ŒUVRE</w:t>
      </w:r>
    </w:p>
    <w:p w14:paraId="24CB4D18" w14:textId="77777777" w:rsidR="00DF410E" w:rsidRDefault="00CE7F43">
      <w:pPr>
        <w:pStyle w:val="pheading"/>
      </w:pPr>
      <w:r>
        <w:t>- Prescriptions générales</w:t>
      </w:r>
    </w:p>
    <w:p w14:paraId="265945F2" w14:textId="77777777" w:rsidR="00DF410E" w:rsidRDefault="00CE7F43">
      <w:pPr>
        <w:jc w:val="both"/>
      </w:pPr>
      <w:r>
        <w:t>La manutention des ballots est soigneuse pour ne pas les déformer.</w:t>
      </w:r>
    </w:p>
    <w:p w14:paraId="49DD1F8B" w14:textId="77777777" w:rsidR="00DF410E" w:rsidRDefault="00CE7F43">
      <w:pPr>
        <w:jc w:val="both"/>
      </w:pPr>
      <w:r>
        <w:t>Lors de la mise en œuvre, les ballots présentent une teneur en humidité de maximum 20%.</w:t>
      </w:r>
    </w:p>
    <w:p w14:paraId="430FEE0A" w14:textId="77777777" w:rsidR="00DF410E" w:rsidRDefault="00CE7F43">
      <w:pPr>
        <w:jc w:val="both"/>
      </w:pPr>
      <w:r>
        <w:t>Les ballots présentant une odeur d’humidité, des tâches sombres ou des filaments blancs doivent être écartés.</w:t>
      </w:r>
    </w:p>
    <w:p w14:paraId="552BC79A" w14:textId="77777777" w:rsidR="00DF410E" w:rsidRDefault="00CE7F43">
      <w:pPr>
        <w:jc w:val="both"/>
      </w:pPr>
      <w:r>
        <w:t>Les détails d’exécution sont prévus pour éviter l’exposition à l’eau et à l’humidité de la paille. La gestion de l’étanchéité à l’air et l’eau du bâtiment sont intégrés dans les détails d’exécution.  Une attention particulière y est apportée par l’entrepreneur.</w:t>
      </w:r>
    </w:p>
    <w:p w14:paraId="0B955436" w14:textId="77777777" w:rsidR="00DF410E" w:rsidRDefault="00CE7F43">
      <w:pPr>
        <w:jc w:val="both"/>
      </w:pPr>
      <w:r>
        <w:t> </w:t>
      </w:r>
    </w:p>
    <w:p w14:paraId="7ACC595B" w14:textId="77777777" w:rsidR="00DF410E" w:rsidRDefault="00CE7F43">
      <w:pPr>
        <w:jc w:val="both"/>
      </w:pPr>
      <w:r>
        <w:t>Les ballots sont posés bien serrés. Les espaces éventuels entre ballots ou de liaison avec les parois sont comblés avec des fibres de pailles en vrac badigeonnée ou un isolant en fibre naturelle fortement comprimés dans les espaces vides.</w:t>
      </w:r>
    </w:p>
    <w:p w14:paraId="0C8CEBAD" w14:textId="77777777" w:rsidR="00DF410E" w:rsidRDefault="00CE7F43">
      <w:pPr>
        <w:pStyle w:val="pheading"/>
      </w:pPr>
      <w:r>
        <w:t>CONTRÔLES PARTICULIERS</w:t>
      </w:r>
    </w:p>
    <w:p w14:paraId="153A09D1" w14:textId="77777777" w:rsidR="00DF410E" w:rsidRDefault="00CE7F43">
      <w:pPr>
        <w:jc w:val="both"/>
      </w:pPr>
      <w:r>
        <w:t>Le contrôle de qualité des bottes de paille est obligatoire et exécuté suivant le [RFCP Paille CDC].</w:t>
      </w:r>
    </w:p>
    <w:p w14:paraId="6E9752B7" w14:textId="77777777" w:rsidR="00DF410E" w:rsidRDefault="00CE7F43">
      <w:pPr>
        <w:jc w:val="both"/>
      </w:pPr>
      <w:r>
        <w:t>L’utilisation de la [RFCP Paille Auto-contrôle] éditée par  le Réseau Français de la Construction Paille téléchargeable sur leur site : </w:t>
      </w:r>
      <w:hyperlink r:id="rId517" w:history="1">
        <w:r>
          <w:t>https://rfcp.fr/</w:t>
        </w:r>
      </w:hyperlink>
      <w:r>
        <w:t>] permet de systématiser celui-ci. Le contrôle qualité est réalisé par l’entreprise mettant en œuvre les parois en paille sur le chantier. Le rapport du contrôle qualité est remis au Maître de l’Ouvrage.</w:t>
      </w:r>
    </w:p>
    <w:p w14:paraId="3E4D34BC" w14:textId="77777777" w:rsidR="00DF410E" w:rsidRDefault="00CE7F43">
      <w:pPr>
        <w:pStyle w:val="pheading"/>
      </w:pPr>
      <w:r>
        <w:t>DOCUMENTS DE RÉFÉRENCE COMPLÉMENTAIRES</w:t>
      </w:r>
    </w:p>
    <w:p w14:paraId="32ECECAF" w14:textId="77777777" w:rsidR="00DF410E" w:rsidRDefault="00CE7F43">
      <w:pPr>
        <w:pStyle w:val="pheading"/>
      </w:pPr>
      <w:r>
        <w:t>- Matériau</w:t>
      </w:r>
    </w:p>
    <w:p w14:paraId="4640CDFD" w14:textId="77777777" w:rsidR="00DF410E" w:rsidRDefault="00CE7F43">
      <w:r>
        <w:t>[NBN EN 12667, Performance thermique des matériaux et produits pour le bâtiment - Détermination de la résistance thermique par la méthode de la plaque chaude gardée et la méthode fluxmétrique - Produits de haute et moyenne résistance thermique]</w:t>
      </w:r>
    </w:p>
    <w:p w14:paraId="3F2B49A3" w14:textId="77777777" w:rsidR="00DF410E" w:rsidRDefault="00CE7F43">
      <w:r>
        <w:t>[NBN EN 13501-1, Classement au feu des produits et éléments de construction - Partie 1: Classement à partir des données d'essais de réaction au feu]</w:t>
      </w:r>
    </w:p>
    <w:p w14:paraId="7AB4CD2D" w14:textId="77777777" w:rsidR="00DF410E" w:rsidRDefault="00CE7F43">
      <w:r>
        <w:t>[AR 2014-05-08, Arrêté royal établissant les niveaux seuils pour les émissions dans l'environnement intérieur de produits de construction pour certains usages prévus]</w:t>
      </w:r>
    </w:p>
    <w:p w14:paraId="053024D2" w14:textId="77777777" w:rsidR="00DF410E" w:rsidRDefault="00CE7F43">
      <w:r>
        <w:t>[Moniteur Paille, Règles professionnelles de construction en paille - Remplissage isolant et support d’enduit – Règles CP 2012 révisées]</w:t>
      </w:r>
    </w:p>
    <w:p w14:paraId="23014E4E" w14:textId="77777777" w:rsidR="00DF410E" w:rsidRDefault="00CE7F43">
      <w:pPr>
        <w:pStyle w:val="pheading"/>
      </w:pPr>
      <w:r>
        <w:t>- Exécution</w:t>
      </w:r>
    </w:p>
    <w:p w14:paraId="0425BACA" w14:textId="77777777" w:rsidR="00DF410E" w:rsidRDefault="00CE7F43">
      <w:r>
        <w:t>[RFCP Paille CDC, Cahier des charges pour l'utilisation des bottes de paille dans la construction]</w:t>
      </w:r>
    </w:p>
    <w:p w14:paraId="367B908E" w14:textId="77777777" w:rsidR="00DF410E" w:rsidRDefault="00CE7F43">
      <w:r>
        <w:t>[Moniteur Paille, Règles professionnelles de construction en paille - Remplissage isolant et support d’enduit – Règles CP 2012 révisées]</w:t>
      </w:r>
    </w:p>
    <w:p w14:paraId="3D6561C4" w14:textId="77777777" w:rsidR="00DF410E" w:rsidRDefault="00CE7F43">
      <w:r>
        <w:t>[RFCP Paille Auto-contrôle, Fiche d'auto-contrôle des bottes de paille et de mise en œuvre de la paille]</w:t>
      </w:r>
    </w:p>
    <w:p w14:paraId="75646F4C" w14:textId="77777777" w:rsidR="00DF410E" w:rsidRDefault="00CE7F43">
      <w:pPr>
        <w:pStyle w:val="pheading"/>
      </w:pPr>
      <w:r>
        <w:t>MESURAGE</w:t>
      </w:r>
    </w:p>
    <w:p w14:paraId="290EA14F" w14:textId="77777777" w:rsidR="00DF410E" w:rsidRDefault="00CE7F43">
      <w:pPr>
        <w:pStyle w:val="pheading"/>
      </w:pPr>
      <w:r>
        <w:t>- unité de mesure:</w:t>
      </w:r>
    </w:p>
    <w:p w14:paraId="314F205A" w14:textId="77777777" w:rsidR="00DF410E" w:rsidRDefault="00CE7F43">
      <w:r>
        <w:rPr>
          <w:rStyle w:val="optioncarChar"/>
        </w:rPr>
        <w:t xml:space="preserve">m³ </w:t>
      </w:r>
      <w:r>
        <w:t>(par défaut)</w:t>
      </w:r>
      <w:r>
        <w:rPr>
          <w:rStyle w:val="optioncarChar"/>
        </w:rPr>
        <w:t> / m²</w:t>
      </w:r>
    </w:p>
    <w:p w14:paraId="4398EF91" w14:textId="77777777" w:rsidR="00DF410E" w:rsidRDefault="00CE7F43">
      <w:r>
        <w:rPr>
          <w:b/>
          <w:i/>
        </w:rPr>
        <w:t>(Soit par défaut)</w:t>
      </w:r>
    </w:p>
    <w:p w14:paraId="5D2B6378" w14:textId="77777777" w:rsidR="00DF410E" w:rsidRDefault="00CE7F43">
      <w:r>
        <w:rPr>
          <w:rStyle w:val="soitChar"/>
        </w:rPr>
        <w:t>1. m³</w:t>
      </w:r>
    </w:p>
    <w:p w14:paraId="6493CB9B" w14:textId="77777777" w:rsidR="00DF410E" w:rsidRDefault="00CE7F43">
      <w:r>
        <w:rPr>
          <w:b/>
          <w:i/>
        </w:rPr>
        <w:t>(Soit)</w:t>
      </w:r>
    </w:p>
    <w:p w14:paraId="14F6F16C" w14:textId="77777777" w:rsidR="00DF410E" w:rsidRDefault="00CE7F43">
      <w:r>
        <w:rPr>
          <w:rStyle w:val="soitChar"/>
        </w:rPr>
        <w:t>2. m²</w:t>
      </w:r>
    </w:p>
    <w:p w14:paraId="6098763A" w14:textId="77777777" w:rsidR="00DF410E" w:rsidRDefault="00CE7F43">
      <w:pPr>
        <w:pStyle w:val="pheading"/>
      </w:pPr>
      <w:r>
        <w:t>- code de mesurage:</w:t>
      </w:r>
    </w:p>
    <w:p w14:paraId="53FC7F89" w14:textId="77777777" w:rsidR="00DF410E" w:rsidRDefault="00CE7F43">
      <w:pPr>
        <w:jc w:val="both"/>
      </w:pPr>
      <w:r>
        <w:rPr>
          <w:rStyle w:val="optioncarChar"/>
        </w:rPr>
        <w:t xml:space="preserve">Volume net </w:t>
      </w:r>
      <w:r>
        <w:t xml:space="preserve">(par défaut) </w:t>
      </w:r>
      <w:r>
        <w:rPr>
          <w:rStyle w:val="optioncarChar"/>
        </w:rPr>
        <w:t>/ Surface nette</w:t>
      </w:r>
    </w:p>
    <w:p w14:paraId="18B59D43" w14:textId="77777777" w:rsidR="00DF410E" w:rsidRDefault="00CE7F43">
      <w:pPr>
        <w:jc w:val="both"/>
      </w:pPr>
      <w:r>
        <w:rPr>
          <w:b/>
          <w:i/>
        </w:rPr>
        <w:t>(Soit par défaut)</w:t>
      </w:r>
    </w:p>
    <w:p w14:paraId="0A5EDBCD" w14:textId="77777777" w:rsidR="00DF410E" w:rsidRDefault="00CE7F43">
      <w:pPr>
        <w:jc w:val="both"/>
      </w:pPr>
      <w:r>
        <w:rPr>
          <w:rStyle w:val="soitChar"/>
          <w:b/>
        </w:rPr>
        <w:t>Volume net</w:t>
      </w:r>
      <w:r>
        <w:rPr>
          <w:rStyle w:val="soitChar"/>
        </w:rPr>
        <w:t xml:space="preserve"> des parois selon les plans. Aucune déduction de volume réalisée pour les réservations, écarteurs, etc. si ce volume est inférieur à 0,05 m³.</w:t>
      </w:r>
    </w:p>
    <w:p w14:paraId="7422ED62" w14:textId="77777777" w:rsidR="00DF410E" w:rsidRDefault="00CE7F43">
      <w:pPr>
        <w:jc w:val="both"/>
      </w:pPr>
      <w:r>
        <w:rPr>
          <w:rStyle w:val="soitChar"/>
        </w:rPr>
        <w:t>Distinction faite suivant le type et l’épaisseur.</w:t>
      </w:r>
    </w:p>
    <w:p w14:paraId="7AF9C55B" w14:textId="77777777" w:rsidR="00DF410E" w:rsidRDefault="00CE7F43">
      <w:pPr>
        <w:jc w:val="both"/>
      </w:pPr>
      <w:r>
        <w:rPr>
          <w:b/>
          <w:i/>
        </w:rPr>
        <w:t>(Soit)</w:t>
      </w:r>
    </w:p>
    <w:p w14:paraId="5B151E88" w14:textId="77777777" w:rsidR="00DF410E" w:rsidRDefault="00CE7F43">
      <w:pPr>
        <w:jc w:val="both"/>
      </w:pPr>
      <w:r>
        <w:rPr>
          <w:rStyle w:val="soitChar"/>
          <w:b/>
        </w:rPr>
        <w:t>Surface nette </w:t>
      </w:r>
      <w:r>
        <w:rPr>
          <w:rStyle w:val="soitChar"/>
        </w:rPr>
        <w:t>: Longueur x Largeur de la paroi selon les plans. Déduction faite des vides de plus de 0.5 m².</w:t>
      </w:r>
    </w:p>
    <w:p w14:paraId="54412597" w14:textId="77777777" w:rsidR="00DF410E" w:rsidRDefault="00CE7F43">
      <w:pPr>
        <w:jc w:val="both"/>
      </w:pPr>
      <w:r>
        <w:rPr>
          <w:rStyle w:val="soitChar"/>
        </w:rPr>
        <w:t>Distinction faite suivant le type et l’épaisseur.</w:t>
      </w:r>
    </w:p>
    <w:p w14:paraId="624BF80E" w14:textId="77777777" w:rsidR="00DF410E" w:rsidRDefault="00CE7F43">
      <w:pPr>
        <w:pStyle w:val="pheading"/>
      </w:pPr>
      <w:r>
        <w:t>- nature du marché:</w:t>
      </w:r>
    </w:p>
    <w:p w14:paraId="17782800" w14:textId="77777777" w:rsidR="00DF410E" w:rsidRDefault="00CE7F43">
      <w:r>
        <w:t>QF</w:t>
      </w:r>
    </w:p>
    <w:p w14:paraId="77A34597" w14:textId="77777777" w:rsidR="00DF410E" w:rsidRDefault="00CE7F43">
      <w:pPr>
        <w:pStyle w:val="Author-eSectionHeading5"/>
      </w:pPr>
      <w:bookmarkStart w:id="2030" w:name="_Toc178839075"/>
      <w:r>
        <w:t>26.47.3 Isolation en blocs - matières composites CCTB 01.02</w:t>
      </w:r>
      <w:bookmarkEnd w:id="2030"/>
    </w:p>
    <w:p w14:paraId="4DB19788" w14:textId="77777777" w:rsidR="00DF410E" w:rsidRDefault="00CE7F43">
      <w:pPr>
        <w:pStyle w:val="Author-eSectionHeading6"/>
      </w:pPr>
      <w:bookmarkStart w:id="2031" w:name="_Toc178839076"/>
      <w:r>
        <w:t>26.47.3a Isolation en blocs - ponce sans isolant complémentaire CCTB 01.02</w:t>
      </w:r>
      <w:bookmarkEnd w:id="2031"/>
    </w:p>
    <w:p w14:paraId="310F28FB" w14:textId="77777777" w:rsidR="00DF410E" w:rsidRDefault="00CE7F43">
      <w:pPr>
        <w:pStyle w:val="Author-eSectionHeading6"/>
      </w:pPr>
      <w:bookmarkStart w:id="2032" w:name="_Toc178839077"/>
      <w:r>
        <w:t>26.47.3b Isolation en blocs - ponce avec isolant complémentaire CCTB 01.02</w:t>
      </w:r>
      <w:bookmarkEnd w:id="2032"/>
    </w:p>
    <w:p w14:paraId="2DA3E03B" w14:textId="77777777" w:rsidR="00DF410E" w:rsidRDefault="00CE7F43">
      <w:pPr>
        <w:pStyle w:val="Author-eSectionHeading6"/>
      </w:pPr>
      <w:bookmarkStart w:id="2033" w:name="_Toc178839078"/>
      <w:r>
        <w:t>26.47.3c Isolation en blocs - béton de bois sans isolant complémentaire CCTB 01.11</w:t>
      </w:r>
      <w:bookmarkEnd w:id="2033"/>
    </w:p>
    <w:p w14:paraId="02DDF002" w14:textId="77777777" w:rsidR="00DF410E" w:rsidRDefault="00CE7F43">
      <w:pPr>
        <w:pStyle w:val="pheading"/>
      </w:pPr>
      <w:r>
        <w:t>DESCRIPTION</w:t>
      </w:r>
    </w:p>
    <w:p w14:paraId="174D3586" w14:textId="77777777" w:rsidR="00DF410E" w:rsidRDefault="00CE7F43">
      <w:pPr>
        <w:pStyle w:val="pheading"/>
      </w:pPr>
      <w:r>
        <w:t>- Définition / Comprend</w:t>
      </w:r>
    </w:p>
    <w:p w14:paraId="080B2363" w14:textId="77777777" w:rsidR="00DF410E" w:rsidRDefault="00CE7F43">
      <w:pPr>
        <w:jc w:val="both"/>
      </w:pPr>
      <w:r>
        <w:t>Il s'agit de la fourniture et de la pose de toutes les faces en élévation de parois non porteuses qui sont constitués de blocs en aggloméré bois-ciment. Ces blocs sont placés contre ou dans une structure porteuse.</w:t>
      </w:r>
    </w:p>
    <w:p w14:paraId="2E593EF2" w14:textId="77777777" w:rsidR="00DF410E" w:rsidRDefault="00CE7F43">
      <w:pPr>
        <w:pStyle w:val="pheading"/>
      </w:pPr>
      <w:r>
        <w:t>- Localisation</w:t>
      </w:r>
    </w:p>
    <w:p w14:paraId="30D0834F" w14:textId="77777777" w:rsidR="00DF410E" w:rsidRDefault="00CE7F43">
      <w:r>
        <w:t xml:space="preserve">La pose est réalisée aux endroits suivants : </w:t>
      </w:r>
      <w:r>
        <w:rPr>
          <w:rStyle w:val="optioncarChar"/>
        </w:rPr>
        <w:t>***</w:t>
      </w:r>
      <w:r>
        <w:t>.</w:t>
      </w:r>
    </w:p>
    <w:p w14:paraId="4A4A4CC8" w14:textId="77777777" w:rsidR="00DF410E" w:rsidRDefault="00CE7F43">
      <w:r>
        <w:t>Voir plans et métrés détaillés.</w:t>
      </w:r>
    </w:p>
    <w:p w14:paraId="1F7081C1" w14:textId="77777777" w:rsidR="00DF410E" w:rsidRDefault="00CE7F43">
      <w:pPr>
        <w:pStyle w:val="pheading"/>
      </w:pPr>
      <w:r>
        <w:t>MATÉRIAUX</w:t>
      </w:r>
    </w:p>
    <w:p w14:paraId="3A2E8E93" w14:textId="77777777" w:rsidR="00DF410E" w:rsidRDefault="00CE7F43">
      <w:pPr>
        <w:pStyle w:val="pheading"/>
      </w:pPr>
      <w:r>
        <w:t>- Caractéristiques générales</w:t>
      </w:r>
    </w:p>
    <w:p w14:paraId="27205F7E" w14:textId="77777777" w:rsidR="00DF410E" w:rsidRDefault="00CE7F43">
      <w:pPr>
        <w:jc w:val="both"/>
      </w:pPr>
      <w:r>
        <w:t>Matériau d’isolation constitué de copeau de bois minéralisé et agrégé. Les copeaux de bois qui servent d’agrégats pour le béton sont des copeaux de granulométries différentes.</w:t>
      </w:r>
    </w:p>
    <w:p w14:paraId="1FFC2032" w14:textId="77777777" w:rsidR="00DF410E" w:rsidRDefault="00CE7F43">
      <w:pPr>
        <w:jc w:val="both"/>
      </w:pPr>
      <w:r>
        <w:t>Le matériau est conforme aux normes [NBN EN 14474], [NBN EN 771-3+A1] et au [PTV 21-001].</w:t>
      </w:r>
    </w:p>
    <w:p w14:paraId="266BD337" w14:textId="77777777" w:rsidR="00DF410E" w:rsidRDefault="00CE7F43">
      <w:pPr>
        <w:jc w:val="both"/>
      </w:pPr>
      <w:r>
        <w:t>La réaction au feu du bloc en béton de bois est déterminée et indiquée conformément à la [NBN EN 14474] c.à.d. conformément à la[NBN EN 13823], la classification étant effectuée conformément à la [NBN EN 13501-1]. le matériau doit répondre au minimum au classement B,s1 d0</w:t>
      </w:r>
    </w:p>
    <w:p w14:paraId="1192AF8A" w14:textId="77777777" w:rsidR="00DF410E" w:rsidRDefault="00CE7F43">
      <w:pPr>
        <w:jc w:val="both"/>
      </w:pPr>
      <w:r>
        <w:t xml:space="preserve">Masse volumique sèche des blocs est de +/- </w:t>
      </w:r>
      <w:r>
        <w:rPr>
          <w:rStyle w:val="optioncarChar"/>
        </w:rPr>
        <w:t>500 </w:t>
      </w:r>
      <w:r>
        <w:t>(par défaut)</w:t>
      </w:r>
      <w:r>
        <w:rPr>
          <w:rStyle w:val="optioncarChar"/>
        </w:rPr>
        <w:t xml:space="preserve"> / 600 / ***</w:t>
      </w:r>
      <w:r>
        <w:t xml:space="preserve"> kg/m³</w:t>
      </w:r>
    </w:p>
    <w:p w14:paraId="4364EA58" w14:textId="77777777" w:rsidR="00DF410E" w:rsidRDefault="00CE7F43">
      <w:pPr>
        <w:jc w:val="both"/>
      </w:pPr>
      <w:r>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14:paraId="117F0811" w14:textId="77777777" w:rsidR="00DF410E" w:rsidRDefault="00CE7F43">
      <w:pPr>
        <w:jc w:val="both"/>
      </w:pPr>
      <w:r>
        <w:t xml:space="preserve">Paroi en béton de bois : </w:t>
      </w:r>
      <w:r>
        <w:rPr>
          <w:rStyle w:val="optioncarChar"/>
        </w:rPr>
        <w:t>22</w:t>
      </w:r>
      <w:r>
        <w:t> (par défaut)</w:t>
      </w:r>
      <w:r>
        <w:rPr>
          <w:rStyle w:val="optioncarChar"/>
        </w:rPr>
        <w:t xml:space="preserve"> / 25 / 35 / 40 ***</w:t>
      </w:r>
      <w:r>
        <w:t xml:space="preserve"> cm suivant étude PEB et plans d’exécution .</w:t>
      </w:r>
    </w:p>
    <w:p w14:paraId="51651C56" w14:textId="77777777" w:rsidR="00DF410E" w:rsidRDefault="00CE7F43">
      <w:pPr>
        <w:jc w:val="both"/>
      </w:pPr>
      <w:r>
        <w:t>Les valeurs Umax sont toujours inférieures aux exigences légales en application au moment du dépôt du permis d’urbanisme.</w:t>
      </w:r>
    </w:p>
    <w:p w14:paraId="2EFCF6DF" w14:textId="77777777" w:rsidR="00DF410E" w:rsidRDefault="00CE7F43">
      <w:pPr>
        <w:jc w:val="both"/>
      </w:pPr>
      <w:r>
        <w:t>Les joints assurent un maximum la continuité thermique du bloc isolant.</w:t>
      </w:r>
    </w:p>
    <w:p w14:paraId="39978481" w14:textId="77777777" w:rsidR="00DF410E" w:rsidRDefault="00CE7F43">
      <w:pPr>
        <w:pStyle w:val="pheading"/>
      </w:pPr>
      <w:r>
        <w:t>- Finitions</w:t>
      </w:r>
    </w:p>
    <w:p w14:paraId="04C32B40" w14:textId="77777777" w:rsidR="00DF410E" w:rsidRDefault="00CE7F43">
      <w:pPr>
        <w:jc w:val="both"/>
      </w:pPr>
      <w:r>
        <w:t xml:space="preserve">Apparence brute du produit afin de recevoir une finition. </w:t>
      </w:r>
    </w:p>
    <w:p w14:paraId="4E5ED652" w14:textId="77777777" w:rsidR="00DF410E" w:rsidRDefault="00CE7F43">
      <w:pPr>
        <w:pStyle w:val="pheading"/>
      </w:pPr>
      <w:r>
        <w:t>- Prescriptions complémentaires</w:t>
      </w:r>
    </w:p>
    <w:p w14:paraId="2750D7BD" w14:textId="77777777" w:rsidR="00DF410E" w:rsidRDefault="00CE7F43">
      <w:pPr>
        <w:jc w:val="both"/>
      </w:pPr>
      <w:r>
        <w:rPr>
          <w:rStyle w:val="facultChar"/>
        </w:rPr>
        <w:t xml:space="preserve">Valeur de Umax = suivant </w:t>
      </w:r>
      <w:r>
        <w:rPr>
          <w:rStyle w:val="optioncarChar"/>
        </w:rPr>
        <w:t>étude de performance énergétique</w:t>
      </w:r>
      <w:r>
        <w:t> (par défaut)</w:t>
      </w:r>
      <w:r>
        <w:rPr>
          <w:rStyle w:val="optioncarChar"/>
        </w:rPr>
        <w:t xml:space="preserve"> / *** W/ m²K.</w:t>
      </w:r>
    </w:p>
    <w:p w14:paraId="6371403B" w14:textId="77777777" w:rsidR="00DF410E" w:rsidRDefault="00CE7F43">
      <w:pPr>
        <w:jc w:val="both"/>
      </w:pPr>
      <w:r>
        <w:rPr>
          <w:rStyle w:val="facultChar"/>
        </w:rPr>
        <w:t>L'entrepreneur soumet un échantillon, la fiche technique et la déclaration des performances (DoP) du matériau pour approbation à l’auteur de projet et au maître de l’ouvrage.</w:t>
      </w:r>
    </w:p>
    <w:p w14:paraId="0AB9F7B8" w14:textId="77777777" w:rsidR="00DF410E" w:rsidRDefault="00CE7F43">
      <w:pPr>
        <w:jc w:val="both"/>
      </w:pPr>
      <w:r>
        <w:rPr>
          <w:rStyle w:val="facultChar"/>
        </w:rPr>
        <w:t xml:space="preserve">Les armatures éventuelles suivent les prescriptions de l'élément </w:t>
      </w:r>
      <w:hyperlink w:anchor="417" w:history="1">
        <w:r>
          <w:rPr>
            <w:rStyle w:val="facultChar"/>
          </w:rPr>
          <w:t>21.41 Armatures pour maçonneries</w:t>
        </w:r>
      </w:hyperlink>
      <w:r>
        <w:rPr>
          <w:rStyle w:val="facultChar"/>
        </w:rPr>
        <w:t>.</w:t>
      </w:r>
    </w:p>
    <w:p w14:paraId="1B6110FB" w14:textId="77777777" w:rsidR="00DF410E" w:rsidRDefault="00CE7F43">
      <w:pPr>
        <w:jc w:val="both"/>
      </w:pPr>
      <w:r>
        <w:rPr>
          <w:rStyle w:val="facultChar"/>
        </w:rPr>
        <w:t xml:space="preserve">Résistance à la compression est de min </w:t>
      </w:r>
      <w:r>
        <w:rPr>
          <w:rStyle w:val="optioncarChar"/>
        </w:rPr>
        <w:t>***</w:t>
      </w:r>
      <w:r>
        <w:rPr>
          <w:rStyle w:val="facultChar"/>
        </w:rPr>
        <w:t xml:space="preserve"> N/mm²</w:t>
      </w:r>
    </w:p>
    <w:p w14:paraId="75D53D6E" w14:textId="77777777" w:rsidR="00DF410E" w:rsidRDefault="00CE7F43">
      <w:pPr>
        <w:jc w:val="both"/>
      </w:pPr>
      <w:r>
        <w:rPr>
          <w:rStyle w:val="facultChar"/>
        </w:rPr>
        <w:t> </w:t>
      </w:r>
    </w:p>
    <w:p w14:paraId="10A29369" w14:textId="77777777" w:rsidR="00DF410E" w:rsidRDefault="00CE7F43">
      <w:pPr>
        <w:jc w:val="both"/>
      </w:pPr>
      <w:r>
        <w:rPr>
          <w:rStyle w:val="facultChar"/>
          <w:b/>
        </w:rPr>
        <w:t>Résistance au feu des parois</w:t>
      </w:r>
    </w:p>
    <w:p w14:paraId="47FDCCBB" w14:textId="77777777" w:rsidR="00DF410E" w:rsidRDefault="00CE7F43">
      <w:pPr>
        <w:jc w:val="both"/>
      </w:pPr>
      <w:r>
        <w:rPr>
          <w:rStyle w:val="facultChar"/>
        </w:rPr>
        <w:t>Résistance au feu suivant la déclaration de performance (DoP) selon la [NBN EN 14992+A1].</w:t>
      </w:r>
    </w:p>
    <w:p w14:paraId="6EA3F481" w14:textId="77777777" w:rsidR="00DF410E" w:rsidRDefault="00CE7F43">
      <w:pPr>
        <w:jc w:val="both"/>
      </w:pPr>
      <w:r>
        <w:rPr>
          <w:rStyle w:val="facultChar"/>
        </w:rPr>
        <w:t>Si la résistance au feu n’est pas déclarée sous marquage CE, elle est démontrée par test au feu selon la [NBN EN 13501-2] ou par calcul selon les Eurocodes conformément à l’[AM 2013-05-17].</w:t>
      </w:r>
    </w:p>
    <w:p w14:paraId="22E7D926" w14:textId="77777777" w:rsidR="00DF410E" w:rsidRDefault="00CE7F43">
      <w:pPr>
        <w:jc w:val="both"/>
      </w:pPr>
      <w:r>
        <w:rPr>
          <w:rStyle w:val="facultChar"/>
        </w:rPr>
        <w:t xml:space="preserve">Pour les éléments non porteurs avec fonction séparante : </w:t>
      </w:r>
      <w:r>
        <w:rPr>
          <w:rStyle w:val="optioncarChar"/>
        </w:rPr>
        <w:t>EI 30</w:t>
      </w:r>
      <w:r>
        <w:t xml:space="preserve"> (par défaut) </w:t>
      </w:r>
      <w:r>
        <w:rPr>
          <w:rStyle w:val="optioncarChar"/>
        </w:rPr>
        <w:t>/ EI 60 / EI 120 / EI ***</w:t>
      </w:r>
    </w:p>
    <w:p w14:paraId="33824A04" w14:textId="77777777" w:rsidR="00DF410E" w:rsidRDefault="00CE7F43">
      <w:pPr>
        <w:pStyle w:val="pheading"/>
      </w:pPr>
      <w:r>
        <w:t>EXÉCUTION / MISE EN ŒUVRE</w:t>
      </w:r>
    </w:p>
    <w:p w14:paraId="285E52AC" w14:textId="77777777" w:rsidR="00DF410E" w:rsidRDefault="00CE7F43">
      <w:pPr>
        <w:pStyle w:val="pheading"/>
      </w:pPr>
      <w:r>
        <w:t>- Prescriptions générales</w:t>
      </w:r>
    </w:p>
    <w:p w14:paraId="45965472" w14:textId="77777777" w:rsidR="00DF410E" w:rsidRDefault="00CE7F43">
      <w:r>
        <w:t>La mise en œuvre est conforme aux normes [NBN EN 13670] et [NBN B 15-400].</w:t>
      </w:r>
    </w:p>
    <w:p w14:paraId="33326997" w14:textId="77777777" w:rsidR="00DF410E" w:rsidRDefault="00CE7F43">
      <w:r>
        <w:t xml:space="preserve">La première assise est posée à bain de mortier hydrofuge et réglée de niveau. Les lits suivant sont montés au mortier. Les mortiers respectent les prescriptions de la section </w:t>
      </w:r>
      <w:hyperlink w:anchor="293" w:history="1">
        <w:r>
          <w:t>21 Superstructures en maçonnerie</w:t>
        </w:r>
      </w:hyperlink>
      <w:r>
        <w:t xml:space="preserve"> partie Mortiers.</w:t>
      </w:r>
    </w:p>
    <w:p w14:paraId="300986F8" w14:textId="77777777" w:rsidR="00DF410E" w:rsidRDefault="00CE7F43">
      <w:r>
        <w:t>Type de mortier</w:t>
      </w:r>
      <w:r>
        <w:rPr>
          <w:rStyle w:val="optioncarChar"/>
        </w:rPr>
        <w:t xml:space="preserve"> G </w:t>
      </w:r>
      <w:r>
        <w:t>(par défaut)</w:t>
      </w:r>
      <w:r>
        <w:rPr>
          <w:rStyle w:val="optioncarChar"/>
        </w:rPr>
        <w:t xml:space="preserve"> / T</w:t>
      </w:r>
    </w:p>
    <w:p w14:paraId="788BAC03" w14:textId="77777777" w:rsidR="00DF410E" w:rsidRDefault="00CE7F43">
      <w:r>
        <w:t>Pour les parois utilisées comme éléments de l’enveloppe extérieure d’un ouvrage la continuité de l’isolation et de l’étanchéité à l’air est assurée conformément au [DRW 2013-11-28] tout en veillant à l’esthétique des finitions prévues.</w:t>
      </w:r>
    </w:p>
    <w:p w14:paraId="2152D9B7" w14:textId="77777777" w:rsidR="00DF410E" w:rsidRDefault="00CE7F43">
      <w:r>
        <w:t>L’étude et les plans d’exécution </w:t>
      </w:r>
      <w:r>
        <w:rPr>
          <w:rStyle w:val="optioncarChar"/>
        </w:rPr>
        <w:t>sont / ne sont pas</w:t>
      </w:r>
      <w:r>
        <w:t> à charge de l’entreprise.</w:t>
      </w:r>
    </w:p>
    <w:p w14:paraId="0277073E" w14:textId="77777777" w:rsidR="00DF410E" w:rsidRDefault="00CE7F43">
      <w:r>
        <w:t xml:space="preserve">Les blocs sont fixés à la structure porteuse avec </w:t>
      </w:r>
      <w:r>
        <w:rPr>
          <w:rStyle w:val="optioncarChar"/>
        </w:rPr>
        <w:t>2 / 3 / 4 </w:t>
      </w:r>
      <w:r>
        <w:t>(par défaut)</w:t>
      </w:r>
      <w:r>
        <w:rPr>
          <w:rStyle w:val="optioncarChar"/>
        </w:rPr>
        <w:t xml:space="preserve"> / 5 / 6 / ***</w:t>
      </w:r>
      <w:r>
        <w:t xml:space="preserve"> fixations au m² au moyen de </w:t>
      </w:r>
      <w:r>
        <w:rPr>
          <w:rStyle w:val="optioncarChar"/>
        </w:rPr>
        <w:t>vis</w:t>
      </w:r>
      <w:r>
        <w:t> (par défaut)</w:t>
      </w:r>
      <w:r>
        <w:rPr>
          <w:rStyle w:val="optioncarChar"/>
        </w:rPr>
        <w:t xml:space="preserve"> / pates d’attache / ***</w:t>
      </w:r>
      <w:r>
        <w:t>.</w:t>
      </w:r>
    </w:p>
    <w:p w14:paraId="2B5D8D1F" w14:textId="77777777" w:rsidR="00DF410E" w:rsidRDefault="00CE7F43">
      <w:pPr>
        <w:pStyle w:val="pheading"/>
      </w:pPr>
      <w:r>
        <w:t>DOCUMENTS DE RÉFÉRENCE COMPLÉMENTAIRES</w:t>
      </w:r>
    </w:p>
    <w:p w14:paraId="3EFBAF90" w14:textId="77777777" w:rsidR="00DF410E" w:rsidRDefault="00CE7F43">
      <w:pPr>
        <w:pStyle w:val="pheading"/>
      </w:pPr>
      <w:r>
        <w:t>- Matériau</w:t>
      </w:r>
    </w:p>
    <w:p w14:paraId="588AF4DD" w14:textId="77777777" w:rsidR="00DF410E" w:rsidRDefault="00CE7F43">
      <w:r>
        <w:t>[NBN EN 998-2, Définitions et spécifications des mortiers pour maçonnerie - Partie 2: Mortiers de montage des éléments de maçonnerie]</w:t>
      </w:r>
    </w:p>
    <w:p w14:paraId="65E09C0C" w14:textId="77777777" w:rsidR="00DF410E" w:rsidRDefault="00CE7F43">
      <w:r>
        <w:t>[NBN EN 14474, Produits préfabriqués en béton - Béton utilisant des copeaux de bois comme granulat - Exigences et méthodes d'essai]</w:t>
      </w:r>
    </w:p>
    <w:p w14:paraId="74CF696C" w14:textId="77777777" w:rsidR="00DF410E" w:rsidRDefault="00CE7F43">
      <w:r>
        <w:t>[NBN EN 771-3+A1, Spécifications pour éléments de maçonnerie - Partie 3: Éléments de maçonnerie en béton de granulats (granulats courants et légers)]</w:t>
      </w:r>
    </w:p>
    <w:p w14:paraId="540C581B" w14:textId="77777777" w:rsidR="00DF410E" w:rsidRDefault="00CE7F43">
      <w:r>
        <w:t>[PTV 21-001, Eléments de maçonnerie en béton (granulats courants et légers) - Classification et spécifications d'application]</w:t>
      </w:r>
    </w:p>
    <w:p w14:paraId="789CF805"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8E3CD74" w14:textId="77777777" w:rsidR="00DF410E" w:rsidRDefault="00CE7F43">
      <w:r>
        <w:t>[AM 2013-05-17, Arrêté ministériel relatif à l’utilisation des Eurocodes comme méthodes de calcul pour l’évaluation de la résistance au feu d’éléments de construction]</w:t>
      </w:r>
    </w:p>
    <w:p w14:paraId="164DBBE0" w14:textId="77777777" w:rsidR="00DF410E" w:rsidRDefault="00CE7F43">
      <w:pPr>
        <w:pStyle w:val="pheading"/>
      </w:pPr>
      <w:r>
        <w:t>- Exécution</w:t>
      </w:r>
    </w:p>
    <w:p w14:paraId="3F2D46F5" w14:textId="77777777" w:rsidR="00DF410E" w:rsidRDefault="00CE7F43">
      <w:r>
        <w:t>[NBN EN 13670, Exécution des structures en béton]</w:t>
      </w:r>
    </w:p>
    <w:p w14:paraId="470802E4" w14:textId="77777777" w:rsidR="00DF410E" w:rsidRDefault="00CE7F43">
      <w:r>
        <w:t>[NBN B 15-400, Exécution des structures en béton - Supplément national à la NBN EN 13670:2010]</w:t>
      </w:r>
    </w:p>
    <w:p w14:paraId="1963AF29" w14:textId="77777777" w:rsidR="00DF410E" w:rsidRDefault="00CE7F43">
      <w:r>
        <w:t>[DRW 2013-11-28, Décret relatif à la performance énergétique des bâtiments (Décret PEB)]</w:t>
      </w:r>
    </w:p>
    <w:p w14:paraId="20437291" w14:textId="77777777" w:rsidR="00DF410E" w:rsidRDefault="00CE7F43">
      <w:pPr>
        <w:pStyle w:val="pheading"/>
      </w:pPr>
      <w:r>
        <w:t>MESURAGE</w:t>
      </w:r>
    </w:p>
    <w:p w14:paraId="568EE0C4" w14:textId="77777777" w:rsidR="00DF410E" w:rsidRDefault="00CE7F43">
      <w:pPr>
        <w:pStyle w:val="pheading"/>
      </w:pPr>
      <w:r>
        <w:t>- unité de mesure:</w:t>
      </w:r>
    </w:p>
    <w:p w14:paraId="4251B2F8" w14:textId="77777777" w:rsidR="00DF410E" w:rsidRDefault="00CE7F43">
      <w:r>
        <w:rPr>
          <w:rStyle w:val="optioncarChar"/>
        </w:rPr>
        <w:t xml:space="preserve">m² </w:t>
      </w:r>
      <w:r>
        <w:t xml:space="preserve">(par défaut) </w:t>
      </w:r>
      <w:r>
        <w:rPr>
          <w:rStyle w:val="optioncarChar"/>
        </w:rPr>
        <w:t>/ m³</w:t>
      </w:r>
    </w:p>
    <w:p w14:paraId="534B9FEC" w14:textId="77777777" w:rsidR="00DF410E" w:rsidRDefault="00CE7F43">
      <w:r>
        <w:rPr>
          <w:b/>
          <w:i/>
        </w:rPr>
        <w:t>(Soit par défaut)</w:t>
      </w:r>
    </w:p>
    <w:p w14:paraId="1742F3AF" w14:textId="77777777" w:rsidR="00DF410E" w:rsidRDefault="00CE7F43">
      <w:r>
        <w:rPr>
          <w:rStyle w:val="soitChar"/>
        </w:rPr>
        <w:t>1. m²</w:t>
      </w:r>
    </w:p>
    <w:p w14:paraId="7E8B36F8" w14:textId="77777777" w:rsidR="00DF410E" w:rsidRDefault="00CE7F43">
      <w:r>
        <w:rPr>
          <w:b/>
          <w:i/>
        </w:rPr>
        <w:t>(Soit)</w:t>
      </w:r>
    </w:p>
    <w:p w14:paraId="3DC8C35A" w14:textId="77777777" w:rsidR="00DF410E" w:rsidRDefault="00CE7F43">
      <w:r>
        <w:rPr>
          <w:rStyle w:val="soitChar"/>
        </w:rPr>
        <w:t>2. m³</w:t>
      </w:r>
    </w:p>
    <w:p w14:paraId="59FB25E4" w14:textId="77777777" w:rsidR="00DF410E" w:rsidRDefault="00CE7F43">
      <w:pPr>
        <w:pStyle w:val="pheading"/>
      </w:pPr>
      <w:r>
        <w:t>- code de mesurage:</w:t>
      </w:r>
    </w:p>
    <w:p w14:paraId="12E97FA3" w14:textId="77777777" w:rsidR="00DF410E" w:rsidRDefault="00CE7F43">
      <w:pPr>
        <w:jc w:val="both"/>
      </w:pPr>
      <w:r>
        <w:rPr>
          <w:rStyle w:val="optioncarChar"/>
        </w:rPr>
        <w:t>Surface nette</w:t>
      </w:r>
      <w:r>
        <w:t xml:space="preserve"> (par défaut)</w:t>
      </w:r>
      <w:r>
        <w:rPr>
          <w:rStyle w:val="optioncarChar"/>
        </w:rPr>
        <w:t xml:space="preserve"> / Volume net</w:t>
      </w:r>
    </w:p>
    <w:p w14:paraId="22D24198" w14:textId="77777777" w:rsidR="00DF410E" w:rsidRDefault="00CE7F43">
      <w:pPr>
        <w:jc w:val="both"/>
      </w:pPr>
      <w:r>
        <w:rPr>
          <w:b/>
          <w:i/>
        </w:rPr>
        <w:t>(Soit par défaut)</w:t>
      </w:r>
    </w:p>
    <w:p w14:paraId="772B3297" w14:textId="77777777" w:rsidR="00DF410E" w:rsidRDefault="00CE7F43">
      <w:pPr>
        <w:jc w:val="both"/>
      </w:pPr>
      <w:r>
        <w:rPr>
          <w:rStyle w:val="soitChar"/>
          <w:b/>
        </w:rPr>
        <w:t>1. Surface nette</w:t>
      </w:r>
      <w:r>
        <w:rPr>
          <w:rStyle w:val="soitChar"/>
        </w:rPr>
        <w:t>: Longueur x Largeur de la paroi. Les baies inférieures à 0,50 m² ne sont pas déduites.</w:t>
      </w:r>
    </w:p>
    <w:p w14:paraId="4F40CAE8" w14:textId="77777777" w:rsidR="00DF410E" w:rsidRDefault="00CE7F43">
      <w:pPr>
        <w:jc w:val="both"/>
      </w:pPr>
      <w:r>
        <w:rPr>
          <w:rStyle w:val="soitChar"/>
        </w:rPr>
        <w:t>Distinction faite selon le type et l’épaisseur.</w:t>
      </w:r>
    </w:p>
    <w:p w14:paraId="03B51075" w14:textId="77777777" w:rsidR="00DF410E" w:rsidRDefault="00CE7F43">
      <w:pPr>
        <w:jc w:val="both"/>
      </w:pPr>
      <w:r>
        <w:rPr>
          <w:b/>
          <w:i/>
        </w:rPr>
        <w:t>(Soit)</w:t>
      </w:r>
    </w:p>
    <w:p w14:paraId="54451ABD" w14:textId="77777777" w:rsidR="00DF410E" w:rsidRDefault="00CE7F43">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 à 0,05 m³.  Distinction faite selon le type et l’épaisseur.</w:t>
      </w:r>
    </w:p>
    <w:p w14:paraId="7A1FB460" w14:textId="77777777" w:rsidR="00DF410E" w:rsidRDefault="00CE7F43">
      <w:pPr>
        <w:pStyle w:val="pheading"/>
      </w:pPr>
      <w:r>
        <w:t>- nature du marché:</w:t>
      </w:r>
    </w:p>
    <w:p w14:paraId="2D57C069" w14:textId="77777777" w:rsidR="00DF410E" w:rsidRDefault="00CE7F43">
      <w:r>
        <w:rPr>
          <w:rStyle w:val="optioncarChar"/>
        </w:rPr>
        <w:t xml:space="preserve">QF </w:t>
      </w:r>
      <w:r>
        <w:t>(par défaut)</w:t>
      </w:r>
      <w:r>
        <w:rPr>
          <w:rStyle w:val="optioncarChar"/>
        </w:rPr>
        <w:t xml:space="preserve"> / QP</w:t>
      </w:r>
    </w:p>
    <w:p w14:paraId="1A7D479A" w14:textId="77777777" w:rsidR="00DF410E" w:rsidRDefault="00CE7F43">
      <w:r>
        <w:rPr>
          <w:b/>
          <w:i/>
        </w:rPr>
        <w:t>(Soit par défaut)</w:t>
      </w:r>
    </w:p>
    <w:p w14:paraId="53308F0C" w14:textId="77777777" w:rsidR="00DF410E" w:rsidRDefault="00CE7F43">
      <w:r>
        <w:rPr>
          <w:rStyle w:val="soitChar"/>
        </w:rPr>
        <w:t>1. 2. QF</w:t>
      </w:r>
    </w:p>
    <w:p w14:paraId="08ECB0BB" w14:textId="77777777" w:rsidR="00DF410E" w:rsidRDefault="00CE7F43">
      <w:r>
        <w:rPr>
          <w:b/>
          <w:i/>
        </w:rPr>
        <w:t>(Soit)</w:t>
      </w:r>
    </w:p>
    <w:p w14:paraId="7B44A296" w14:textId="77777777" w:rsidR="00DF410E" w:rsidRDefault="00CE7F43">
      <w:r>
        <w:rPr>
          <w:rStyle w:val="soitChar"/>
        </w:rPr>
        <w:t>1. 2. QP</w:t>
      </w:r>
      <w:r>
        <w:t xml:space="preserve">   </w:t>
      </w:r>
    </w:p>
    <w:p w14:paraId="131E5E97" w14:textId="77777777" w:rsidR="00DF410E" w:rsidRDefault="00CE7F43">
      <w:pPr>
        <w:pStyle w:val="Author-eSectionHeading6"/>
      </w:pPr>
      <w:bookmarkStart w:id="2034" w:name="_Toc178839079"/>
      <w:r>
        <w:t>26.47.3d Isolation en blocs - béton de bois avec isolant complémentaire CCTB 01.11</w:t>
      </w:r>
      <w:bookmarkEnd w:id="2034"/>
    </w:p>
    <w:p w14:paraId="0F1F7158" w14:textId="77777777" w:rsidR="00DF410E" w:rsidRDefault="00CE7F43">
      <w:pPr>
        <w:pStyle w:val="pheading"/>
      </w:pPr>
      <w:r>
        <w:t>DESCRIPTION</w:t>
      </w:r>
    </w:p>
    <w:p w14:paraId="444BF012" w14:textId="77777777" w:rsidR="00DF410E" w:rsidRDefault="00CE7F43">
      <w:pPr>
        <w:pStyle w:val="pheading"/>
      </w:pPr>
      <w:r>
        <w:t>- Définition / Comprend</w:t>
      </w:r>
    </w:p>
    <w:p w14:paraId="3045B7BC" w14:textId="77777777" w:rsidR="00DF410E" w:rsidRDefault="00CE7F43">
      <w:pPr>
        <w:jc w:val="both"/>
      </w:pPr>
      <w:r>
        <w:t>Il s'agit de la fourniture et de la pose de toutes les faces en élévation de parois non porteuses qui sont constitués de blocs en aggloméré bois-ciment muni d’un isolant complémentaire incorporé en usine. Ces blocs sont placés contre ou dans une structure porteuse.</w:t>
      </w:r>
    </w:p>
    <w:p w14:paraId="7DA66EED" w14:textId="77777777" w:rsidR="00DF410E" w:rsidRDefault="00CE7F43">
      <w:pPr>
        <w:pStyle w:val="pheading"/>
      </w:pPr>
      <w:r>
        <w:t>- Localisation</w:t>
      </w:r>
    </w:p>
    <w:p w14:paraId="74FA6CCF" w14:textId="77777777" w:rsidR="00DF410E" w:rsidRDefault="00CE7F43">
      <w:r>
        <w:t>La pose est réalisée aux endroits suivants :</w:t>
      </w:r>
      <w:r>
        <w:rPr>
          <w:rStyle w:val="optioncarChar"/>
        </w:rPr>
        <w:t xml:space="preserve"> ***</w:t>
      </w:r>
      <w:r>
        <w:t>.</w:t>
      </w:r>
    </w:p>
    <w:p w14:paraId="462D44FF" w14:textId="77777777" w:rsidR="00DF410E" w:rsidRDefault="00CE7F43">
      <w:r>
        <w:t>Voir plans et métrés détaillés.</w:t>
      </w:r>
    </w:p>
    <w:p w14:paraId="51BCD7F5" w14:textId="77777777" w:rsidR="00DF410E" w:rsidRDefault="00CE7F43">
      <w:pPr>
        <w:pStyle w:val="pheading"/>
      </w:pPr>
      <w:r>
        <w:t>MATÉRIAUX</w:t>
      </w:r>
    </w:p>
    <w:p w14:paraId="54B5AC5E" w14:textId="77777777" w:rsidR="00DF410E" w:rsidRDefault="00CE7F43">
      <w:pPr>
        <w:pStyle w:val="pheading"/>
      </w:pPr>
      <w:r>
        <w:t>- Caractéristiques générales</w:t>
      </w:r>
    </w:p>
    <w:p w14:paraId="58A26E3C" w14:textId="77777777" w:rsidR="00DF410E" w:rsidRDefault="00CE7F43">
      <w:pPr>
        <w:jc w:val="both"/>
      </w:pPr>
      <w:r>
        <w:rPr>
          <w:b/>
        </w:rPr>
        <w:t>Bloc de béton de bois</w:t>
      </w:r>
    </w:p>
    <w:p w14:paraId="6A6BD6B3" w14:textId="77777777" w:rsidR="00DF410E" w:rsidRDefault="00CE7F43">
      <w:pPr>
        <w:jc w:val="both"/>
      </w:pPr>
      <w:r>
        <w:t>Matériau d’isolation constitué de copeaux de bois minéralisés et agrégés. Les copeaux de bois qui servent d’agrégats pour le béton sont des copeaux de granulométries différentes.</w:t>
      </w:r>
    </w:p>
    <w:p w14:paraId="4618883D" w14:textId="77777777" w:rsidR="00DF410E" w:rsidRDefault="00CE7F43">
      <w:pPr>
        <w:jc w:val="both"/>
      </w:pPr>
      <w:r>
        <w:t>Le matériau est conforme aux normes [NBN EN 14474], [NBN EN 771-3+A1] et au [PTV 21-001].</w:t>
      </w:r>
    </w:p>
    <w:p w14:paraId="362F65A0" w14:textId="77777777" w:rsidR="00DF410E" w:rsidRDefault="00CE7F43">
      <w:pPr>
        <w:jc w:val="both"/>
      </w:pPr>
      <w:r>
        <w:t>La réaction au feu du bloc en béton de bois est déterminée et indiquée conformément à la [NBN EN 14474] c.à.d. conformément à la [NBN EN 13823], la classification étant effectuée conformément à la [NBN EN 13501-1]. le matériau doit répondre au minimum au classement B,s1 d0.</w:t>
      </w:r>
    </w:p>
    <w:p w14:paraId="535A8051" w14:textId="77777777" w:rsidR="00DF410E" w:rsidRDefault="00CE7F43">
      <w:pPr>
        <w:jc w:val="both"/>
      </w:pPr>
      <w:r>
        <w:t xml:space="preserve">Masse volumique sèche des blocs est de +/- </w:t>
      </w:r>
      <w:r>
        <w:rPr>
          <w:rStyle w:val="optioncarChar"/>
        </w:rPr>
        <w:t>500 </w:t>
      </w:r>
      <w:r>
        <w:t>(par défaut)</w:t>
      </w:r>
      <w:r>
        <w:rPr>
          <w:rStyle w:val="optioncarChar"/>
        </w:rPr>
        <w:t xml:space="preserve"> / 600 / ***</w:t>
      </w:r>
      <w:r>
        <w:t xml:space="preserve"> kg/m³</w:t>
      </w:r>
    </w:p>
    <w:p w14:paraId="51F9916B" w14:textId="77777777" w:rsidR="00DF410E" w:rsidRDefault="00CE7F43">
      <w:pPr>
        <w:jc w:val="both"/>
      </w:pPr>
      <w:r>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14:paraId="6E4CA895" w14:textId="77777777" w:rsidR="00DF410E" w:rsidRDefault="00CE7F43">
      <w:pPr>
        <w:jc w:val="both"/>
      </w:pPr>
      <w:r>
        <w:t xml:space="preserve">Paroi en béton de bois : </w:t>
      </w:r>
      <w:r>
        <w:rPr>
          <w:rStyle w:val="optioncarChar"/>
        </w:rPr>
        <w:t>22 </w:t>
      </w:r>
      <w:r>
        <w:t>(par défaut)</w:t>
      </w:r>
      <w:r>
        <w:rPr>
          <w:rStyle w:val="optioncarChar"/>
        </w:rPr>
        <w:t xml:space="preserve"> / 25 / 35 / 40 ***</w:t>
      </w:r>
      <w:r>
        <w:t xml:space="preserve"> cm suivant étude PEB et plans d’exécution. </w:t>
      </w:r>
    </w:p>
    <w:p w14:paraId="0DEC5FDB" w14:textId="77777777" w:rsidR="00DF410E" w:rsidRDefault="00CE7F43">
      <w:pPr>
        <w:jc w:val="both"/>
      </w:pPr>
      <w:r>
        <w:t>Les valeurs Umax sont toujours inférieures aux exigences légales en application au moment du dépôt du permis d’urbanisme.</w:t>
      </w:r>
    </w:p>
    <w:p w14:paraId="4026149F" w14:textId="77777777" w:rsidR="00DF410E" w:rsidRDefault="00CE7F43">
      <w:pPr>
        <w:jc w:val="both"/>
      </w:pPr>
      <w:r>
        <w:t>Les joints assurent un maximum la continuité thermique du bloc isolant. </w:t>
      </w:r>
    </w:p>
    <w:p w14:paraId="0FF1FD38" w14:textId="77777777" w:rsidR="00DF410E" w:rsidRDefault="00CE7F43">
      <w:pPr>
        <w:jc w:val="both"/>
      </w:pPr>
      <w:r>
        <w:rPr>
          <w:b/>
        </w:rPr>
        <w:t>Isolant</w:t>
      </w:r>
    </w:p>
    <w:p w14:paraId="518BFE92" w14:textId="77777777" w:rsidR="00DF410E" w:rsidRDefault="00CE7F43">
      <w:pPr>
        <w:jc w:val="both"/>
      </w:pPr>
      <w:r>
        <w:t xml:space="preserve">Un isolant thermique en </w:t>
      </w:r>
      <w:r>
        <w:rPr>
          <w:rStyle w:val="optioncarChar"/>
        </w:rPr>
        <w:t>EPS </w:t>
      </w:r>
      <w:r>
        <w:t>(par défaut)</w:t>
      </w:r>
      <w:r>
        <w:rPr>
          <w:rStyle w:val="optioncarChar"/>
        </w:rPr>
        <w:t xml:space="preserve"> / PUR / Laine de bois / ***</w:t>
      </w:r>
      <w:r>
        <w:t xml:space="preserve"> est fourni avec le bloc en complément.</w:t>
      </w:r>
    </w:p>
    <w:p w14:paraId="02B20DD8" w14:textId="77777777" w:rsidR="00DF410E" w:rsidRDefault="00CE7F43">
      <w:pPr>
        <w:jc w:val="both"/>
      </w:pPr>
      <w:r>
        <w:t>Les isolants sont suffisamment rigides pour résister aux déformations pendant le bétonnage et le durcissement.</w:t>
      </w:r>
    </w:p>
    <w:p w14:paraId="03C9D30A" w14:textId="77777777" w:rsidR="00DF410E" w:rsidRDefault="00CE7F43">
      <w:pPr>
        <w:jc w:val="both"/>
      </w:pPr>
      <w:r>
        <w:t xml:space="preserve">Classement au feu : </w:t>
      </w:r>
      <w:r>
        <w:rPr>
          <w:rStyle w:val="optioncarChar"/>
        </w:rPr>
        <w:t>***/ E</w:t>
      </w:r>
      <w:r>
        <w:t xml:space="preserve"> (par défaut)</w:t>
      </w:r>
    </w:p>
    <w:p w14:paraId="70B1E99E" w14:textId="77777777" w:rsidR="00DF410E" w:rsidRDefault="00CE7F43">
      <w:pPr>
        <w:jc w:val="both"/>
      </w:pPr>
      <w:r>
        <w:t>Épaisseur : </w:t>
      </w:r>
      <w:r>
        <w:rPr>
          <w:rStyle w:val="optioncarChar"/>
        </w:rPr>
        <w:t>8 </w:t>
      </w:r>
      <w:r>
        <w:t>(par défaut) </w:t>
      </w:r>
      <w:r>
        <w:rPr>
          <w:rStyle w:val="optioncarChar"/>
        </w:rPr>
        <w:t>/ 12 / 16 / 20 / 25 / ***</w:t>
      </w:r>
      <w:r>
        <w:t xml:space="preserve"> cm.</w:t>
      </w:r>
    </w:p>
    <w:p w14:paraId="745C5210" w14:textId="77777777" w:rsidR="00DF410E" w:rsidRDefault="00CE7F43">
      <w:pPr>
        <w:jc w:val="both"/>
      </w:pPr>
      <w:r>
        <w:t xml:space="preserve">Résistance thermique du plancher  ≥ </w:t>
      </w:r>
      <w:r>
        <w:rPr>
          <w:rStyle w:val="optioncarChar"/>
        </w:rPr>
        <w:t>*** / 2 / 3 / 4</w:t>
      </w:r>
      <w:r>
        <w:t xml:space="preserve"> (par défaut) m²K/W.</w:t>
      </w:r>
    </w:p>
    <w:p w14:paraId="14C534AA" w14:textId="77777777" w:rsidR="00DF410E" w:rsidRDefault="00CE7F43">
      <w:pPr>
        <w:jc w:val="both"/>
      </w:pPr>
      <w:r>
        <w:t xml:space="preserve">Cet isolant est </w:t>
      </w:r>
      <w:r>
        <w:rPr>
          <w:rStyle w:val="optioncarChar"/>
        </w:rPr>
        <w:t>inséré dans les alvéoles </w:t>
      </w:r>
      <w:r>
        <w:t>(par défaut)</w:t>
      </w:r>
      <w:r>
        <w:rPr>
          <w:rStyle w:val="optioncarChar"/>
        </w:rPr>
        <w:t xml:space="preserve"> / à l’extérieur</w:t>
      </w:r>
      <w:r>
        <w:t xml:space="preserve"> des blocs de béton de bois.</w:t>
      </w:r>
    </w:p>
    <w:p w14:paraId="6C82132E" w14:textId="77777777" w:rsidR="00DF410E" w:rsidRDefault="00CE7F43">
      <w:pPr>
        <w:pStyle w:val="pheading"/>
      </w:pPr>
      <w:r>
        <w:t>- Finitions</w:t>
      </w:r>
    </w:p>
    <w:p w14:paraId="5526B91B" w14:textId="77777777" w:rsidR="00DF410E" w:rsidRDefault="00CE7F43">
      <w:r>
        <w:t>Apparence brute du produit afin de recevoir une finition.</w:t>
      </w:r>
    </w:p>
    <w:p w14:paraId="49982224" w14:textId="77777777" w:rsidR="00DF410E" w:rsidRDefault="00CE7F43">
      <w:pPr>
        <w:pStyle w:val="pheading"/>
      </w:pPr>
      <w:r>
        <w:t>- Prescriptions complémentaires</w:t>
      </w:r>
    </w:p>
    <w:p w14:paraId="6C62970B" w14:textId="77777777" w:rsidR="00DF410E" w:rsidRDefault="00CE7F43">
      <w:pPr>
        <w:jc w:val="both"/>
      </w:pPr>
      <w:r>
        <w:rPr>
          <w:rStyle w:val="facultChar"/>
        </w:rPr>
        <w:t xml:space="preserve">Valeur de Umax = suivant </w:t>
      </w:r>
      <w:r>
        <w:rPr>
          <w:rStyle w:val="optioncarChar"/>
        </w:rPr>
        <w:t>étude de performance énergétique / *** W/ m²K.</w:t>
      </w:r>
    </w:p>
    <w:p w14:paraId="1D496447" w14:textId="77777777" w:rsidR="00DF410E" w:rsidRDefault="00CE7F43">
      <w:pPr>
        <w:jc w:val="both"/>
      </w:pPr>
      <w:r>
        <w:rPr>
          <w:rStyle w:val="facultChar"/>
        </w:rPr>
        <w:t>L'entrepreneur soumet un échantillon, la fiche technique et la déclaration des performances (DoP) du matériau pour approbation à l’auteur de projet et au maître de l’ouvrage.</w:t>
      </w:r>
    </w:p>
    <w:p w14:paraId="2398C532" w14:textId="77777777" w:rsidR="00DF410E" w:rsidRDefault="00CE7F43">
      <w:pPr>
        <w:jc w:val="both"/>
      </w:pPr>
      <w:r>
        <w:rPr>
          <w:rStyle w:val="facultChar"/>
        </w:rPr>
        <w:t xml:space="preserve">Les armatures éventuelles suivent les prescriptions de l'élément </w:t>
      </w:r>
      <w:hyperlink w:anchor="417" w:history="1">
        <w:r>
          <w:rPr>
            <w:rStyle w:val="facultChar"/>
          </w:rPr>
          <w:t>21.41 Armatures pour maçonneries</w:t>
        </w:r>
      </w:hyperlink>
      <w:r>
        <w:rPr>
          <w:rStyle w:val="facultChar"/>
        </w:rPr>
        <w:t>.</w:t>
      </w:r>
    </w:p>
    <w:p w14:paraId="36D1DAFE" w14:textId="77777777" w:rsidR="00DF410E" w:rsidRDefault="00CE7F43">
      <w:pPr>
        <w:jc w:val="both"/>
      </w:pPr>
      <w:r>
        <w:rPr>
          <w:rStyle w:val="facultChar"/>
        </w:rPr>
        <w:t xml:space="preserve">Résistance à la compression est de min </w:t>
      </w:r>
      <w:r>
        <w:rPr>
          <w:rStyle w:val="optioncarChar"/>
        </w:rPr>
        <w:t>***</w:t>
      </w:r>
      <w:r>
        <w:rPr>
          <w:rStyle w:val="facultChar"/>
        </w:rPr>
        <w:t>N/mm²</w:t>
      </w:r>
    </w:p>
    <w:p w14:paraId="2BCB1538" w14:textId="77777777" w:rsidR="00DF410E" w:rsidRDefault="00DF410E">
      <w:pPr>
        <w:jc w:val="both"/>
      </w:pPr>
    </w:p>
    <w:p w14:paraId="28F9E21B" w14:textId="77777777" w:rsidR="00DF410E" w:rsidRDefault="00CE7F43">
      <w:pPr>
        <w:jc w:val="both"/>
      </w:pPr>
      <w:r>
        <w:rPr>
          <w:rStyle w:val="facultChar"/>
          <w:b/>
        </w:rPr>
        <w:t>Résistance au feu des parois</w:t>
      </w:r>
    </w:p>
    <w:p w14:paraId="1563FAB5" w14:textId="77777777" w:rsidR="00DF410E" w:rsidRDefault="00CE7F43">
      <w:pPr>
        <w:jc w:val="both"/>
      </w:pPr>
      <w:r>
        <w:rPr>
          <w:rStyle w:val="facultChar"/>
        </w:rPr>
        <w:t>Résistance au feu suivant la déclaration de performance (DoP) selon la [NBN EN 14992+A1].</w:t>
      </w:r>
    </w:p>
    <w:p w14:paraId="37959D83" w14:textId="77777777" w:rsidR="00DF410E" w:rsidRDefault="00CE7F43">
      <w:pPr>
        <w:jc w:val="both"/>
      </w:pPr>
      <w:r>
        <w:rPr>
          <w:rStyle w:val="facultChar"/>
        </w:rPr>
        <w:t>Si la résistance au feu n’est pas déclarée sous marquage CE, elle est démontrée par test au feu selon la [NBN EN 13501-2] ou par calcul selon les Eurocodes conformément à l’[AM 2013-05-17].</w:t>
      </w:r>
    </w:p>
    <w:p w14:paraId="01C8876E" w14:textId="77777777" w:rsidR="00DF410E" w:rsidRDefault="00CE7F43">
      <w:pPr>
        <w:jc w:val="both"/>
      </w:pPr>
      <w:r>
        <w:rPr>
          <w:rStyle w:val="facultChar"/>
        </w:rPr>
        <w:t xml:space="preserve">Pour les éléments non porteurs avec fonction séparante : </w:t>
      </w:r>
      <w:r>
        <w:rPr>
          <w:rStyle w:val="optioncarChar"/>
        </w:rPr>
        <w:t>EI 30 </w:t>
      </w:r>
      <w:r>
        <w:t>(par défaut)</w:t>
      </w:r>
      <w:r>
        <w:rPr>
          <w:rStyle w:val="optioncarChar"/>
        </w:rPr>
        <w:t xml:space="preserve"> / EI 60 / EI 120 / EI ***</w:t>
      </w:r>
    </w:p>
    <w:p w14:paraId="05003C77" w14:textId="77777777" w:rsidR="00DF410E" w:rsidRDefault="00CE7F43">
      <w:pPr>
        <w:pStyle w:val="pheading"/>
      </w:pPr>
      <w:r>
        <w:t>EXÉCUTION / MISE EN ŒUVRE</w:t>
      </w:r>
    </w:p>
    <w:p w14:paraId="751C48DE" w14:textId="77777777" w:rsidR="00DF410E" w:rsidRDefault="00CE7F43">
      <w:pPr>
        <w:pStyle w:val="pheading"/>
      </w:pPr>
      <w:r>
        <w:t>- Prescriptions générales</w:t>
      </w:r>
    </w:p>
    <w:p w14:paraId="592460DA" w14:textId="77777777" w:rsidR="00DF410E" w:rsidRDefault="00CE7F43">
      <w:pPr>
        <w:jc w:val="both"/>
      </w:pPr>
      <w:r>
        <w:t>La mise en œuvre est conforme aux normes [NBN EN 13670] et [NBN B 15-400].</w:t>
      </w:r>
    </w:p>
    <w:p w14:paraId="63A4719F" w14:textId="77777777" w:rsidR="00DF410E" w:rsidRDefault="00CE7F43">
      <w:pPr>
        <w:jc w:val="both"/>
      </w:pPr>
      <w:r>
        <w:t xml:space="preserve">La première assise est posée à bain de mortier hydrofuge et réglée de niveau. Les lits suivant sont montés au mortier. Les mortiers respectent les prescriptions de la section </w:t>
      </w:r>
      <w:hyperlink w:anchor="293" w:history="1">
        <w:r>
          <w:t>21 Superstructures en maçonnerie</w:t>
        </w:r>
      </w:hyperlink>
      <w:r>
        <w:t xml:space="preserve"> partie Mortiers.</w:t>
      </w:r>
    </w:p>
    <w:p w14:paraId="36A7C637" w14:textId="77777777" w:rsidR="00DF410E" w:rsidRDefault="00CE7F43">
      <w:pPr>
        <w:jc w:val="both"/>
      </w:pPr>
      <w:r>
        <w:t xml:space="preserve">Type de mortier </w:t>
      </w:r>
      <w:r>
        <w:rPr>
          <w:rStyle w:val="optioncarChar"/>
        </w:rPr>
        <w:t xml:space="preserve">G </w:t>
      </w:r>
      <w:r>
        <w:t xml:space="preserve">(par défaut) </w:t>
      </w:r>
      <w:r>
        <w:rPr>
          <w:rStyle w:val="optioncarChar"/>
        </w:rPr>
        <w:t>/ T</w:t>
      </w:r>
    </w:p>
    <w:p w14:paraId="5D6C0392" w14:textId="77777777" w:rsidR="00DF410E" w:rsidRDefault="00CE7F43">
      <w:pPr>
        <w:jc w:val="both"/>
      </w:pPr>
      <w:r>
        <w:t>Pour les parois utilisées comme éléments de l’enveloppe extérieure d’un ouvrage la continuité de l’isolation et de l’étanchéité à l’air est assurée conformément au [DRW 2013-11-28] tout en veillant à l’esthétique des finitions prévues.</w:t>
      </w:r>
    </w:p>
    <w:p w14:paraId="13D1DED8" w14:textId="77777777" w:rsidR="00DF410E" w:rsidRDefault="00CE7F43">
      <w:pPr>
        <w:jc w:val="both"/>
      </w:pPr>
      <w:r>
        <w:t>L’étude et les plans d’exécution </w:t>
      </w:r>
      <w:r>
        <w:rPr>
          <w:rStyle w:val="optioncarChar"/>
        </w:rPr>
        <w:t>sont / ne sont pas</w:t>
      </w:r>
      <w:r>
        <w:t> à charge de l’entreprise.</w:t>
      </w:r>
    </w:p>
    <w:p w14:paraId="755EC009" w14:textId="77777777" w:rsidR="00DF410E" w:rsidRDefault="00CE7F43">
      <w:pPr>
        <w:jc w:val="both"/>
      </w:pPr>
      <w:r>
        <w:t>Les blocs sont fixés à la structure porteuse avec</w:t>
      </w:r>
      <w:r>
        <w:rPr>
          <w:rStyle w:val="optioncarChar"/>
        </w:rPr>
        <w:t xml:space="preserve"> 2 / 3 / 4 / 5 / 6 / ***</w:t>
      </w:r>
      <w:r>
        <w:t xml:space="preserve"> fixations au m² au moyen de </w:t>
      </w:r>
      <w:r>
        <w:rPr>
          <w:rStyle w:val="optioncarChar"/>
        </w:rPr>
        <w:t>vis / pates d’attache / ***</w:t>
      </w:r>
    </w:p>
    <w:p w14:paraId="4EFA029E" w14:textId="77777777" w:rsidR="00DF410E" w:rsidRDefault="00CE7F43">
      <w:pPr>
        <w:pStyle w:val="pheading"/>
      </w:pPr>
      <w:r>
        <w:t>DOCUMENTS DE RÉFÉRENCE COMPLÉMENTAIRES</w:t>
      </w:r>
    </w:p>
    <w:p w14:paraId="68435039" w14:textId="77777777" w:rsidR="00DF410E" w:rsidRDefault="00CE7F43">
      <w:pPr>
        <w:pStyle w:val="pheading"/>
      </w:pPr>
      <w:r>
        <w:t>- Matériau</w:t>
      </w:r>
    </w:p>
    <w:p w14:paraId="796978F7" w14:textId="77777777" w:rsidR="00DF410E" w:rsidRDefault="00CE7F43">
      <w:r>
        <w:t>[NBN EN 998-2, Définitions et spécifications des mortiers pour maçonnerie - Partie 2: Mortiers de montage des éléments de maçonnerie]</w:t>
      </w:r>
    </w:p>
    <w:p w14:paraId="5E5288E6" w14:textId="77777777" w:rsidR="00DF410E" w:rsidRDefault="00CE7F43">
      <w:r>
        <w:t>[NBN EN 14474, Produits préfabriqués en béton - Béton utilisant des copeaux de bois comme granulat - Exigences et méthodes d'essai]</w:t>
      </w:r>
    </w:p>
    <w:p w14:paraId="1F5AD26C" w14:textId="77777777" w:rsidR="00DF410E" w:rsidRDefault="00CE7F43">
      <w:r>
        <w:t>[NBN EN 771-3+A1, Spécifications pour éléments de maçonnerie - Partie 3: Éléments de maçonnerie en béton de granulats (granulats courants et légers)]</w:t>
      </w:r>
    </w:p>
    <w:p w14:paraId="7A473E2A" w14:textId="77777777" w:rsidR="00DF410E" w:rsidRDefault="00CE7F43">
      <w:r>
        <w:t>[PTV 21-001, Eléments de maçonnerie en béton (granulats courants et légers) - Classification et spécifications d'application]</w:t>
      </w:r>
    </w:p>
    <w:p w14:paraId="1A28D5A9"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2B996660" w14:textId="77777777" w:rsidR="00DF410E" w:rsidRDefault="00CE7F43">
      <w:r>
        <w:t>[AM 2013-05-17, Arrêté ministériel relatif à l’utilisation des Eurocodes comme méthodes de calcul pour l’évaluation de la résistance au feu d’éléments de construction]</w:t>
      </w:r>
    </w:p>
    <w:p w14:paraId="36F92A45" w14:textId="77777777" w:rsidR="00DF410E" w:rsidRDefault="00CE7F43">
      <w:pPr>
        <w:pStyle w:val="pheading"/>
      </w:pPr>
      <w:r>
        <w:t>- Exécution</w:t>
      </w:r>
    </w:p>
    <w:p w14:paraId="0FD77827" w14:textId="77777777" w:rsidR="00DF410E" w:rsidRDefault="00CE7F43">
      <w:r>
        <w:t>[NBN EN 13670, Exécution des structures en béton]</w:t>
      </w:r>
    </w:p>
    <w:p w14:paraId="582936E6" w14:textId="77777777" w:rsidR="00DF410E" w:rsidRDefault="00CE7F43">
      <w:r>
        <w:t>[NBN B 15-400, Exécution des structures en béton - Supplément national à la NBN EN 13670:2010]</w:t>
      </w:r>
    </w:p>
    <w:p w14:paraId="402C0160" w14:textId="77777777" w:rsidR="00DF410E" w:rsidRDefault="00CE7F43">
      <w:r>
        <w:t>[DRW 2013-11-28, Décret relatif à la performance énergétique des bâtiments (Décret PEB)]</w:t>
      </w:r>
    </w:p>
    <w:p w14:paraId="733DA852" w14:textId="77777777" w:rsidR="00DF410E" w:rsidRDefault="00CE7F43">
      <w:pPr>
        <w:pStyle w:val="pheading"/>
      </w:pPr>
      <w:r>
        <w:t>MESURAGE</w:t>
      </w:r>
    </w:p>
    <w:p w14:paraId="1F6F59F0" w14:textId="77777777" w:rsidR="00DF410E" w:rsidRDefault="00CE7F43">
      <w:pPr>
        <w:pStyle w:val="pheading"/>
      </w:pPr>
      <w:r>
        <w:t>- unité de mesure:</w:t>
      </w:r>
    </w:p>
    <w:p w14:paraId="0DDA0151" w14:textId="77777777" w:rsidR="00DF410E" w:rsidRDefault="00CE7F43">
      <w:r>
        <w:rPr>
          <w:rStyle w:val="optioncarChar"/>
        </w:rPr>
        <w:t>m²</w:t>
      </w:r>
      <w:r>
        <w:t xml:space="preserve"> (par défaut)</w:t>
      </w:r>
      <w:r>
        <w:rPr>
          <w:rStyle w:val="optioncarChar"/>
        </w:rPr>
        <w:t xml:space="preserve"> / m³</w:t>
      </w:r>
    </w:p>
    <w:p w14:paraId="7F712B95" w14:textId="77777777" w:rsidR="00DF410E" w:rsidRDefault="00CE7F43">
      <w:r>
        <w:rPr>
          <w:b/>
          <w:i/>
        </w:rPr>
        <w:t>(Soit par défaut)</w:t>
      </w:r>
    </w:p>
    <w:p w14:paraId="33A1E4F2" w14:textId="77777777" w:rsidR="00DF410E" w:rsidRDefault="00CE7F43">
      <w:r>
        <w:rPr>
          <w:rStyle w:val="soitChar"/>
        </w:rPr>
        <w:t>1. m²</w:t>
      </w:r>
    </w:p>
    <w:p w14:paraId="64D8EE74" w14:textId="77777777" w:rsidR="00DF410E" w:rsidRDefault="00CE7F43">
      <w:r>
        <w:rPr>
          <w:b/>
          <w:i/>
        </w:rPr>
        <w:t>(Soit)</w:t>
      </w:r>
    </w:p>
    <w:p w14:paraId="7140D079" w14:textId="77777777" w:rsidR="00DF410E" w:rsidRDefault="00CE7F43">
      <w:r>
        <w:rPr>
          <w:rStyle w:val="soitChar"/>
        </w:rPr>
        <w:t>2. m³</w:t>
      </w:r>
    </w:p>
    <w:p w14:paraId="5E8AA738" w14:textId="77777777" w:rsidR="00DF410E" w:rsidRDefault="00CE7F43">
      <w:pPr>
        <w:pStyle w:val="pheading"/>
      </w:pPr>
      <w:r>
        <w:t>- code de mesurage:</w:t>
      </w:r>
    </w:p>
    <w:p w14:paraId="083DF387" w14:textId="77777777" w:rsidR="00DF410E" w:rsidRDefault="00CE7F43">
      <w:pPr>
        <w:jc w:val="both"/>
      </w:pPr>
      <w:r>
        <w:rPr>
          <w:rStyle w:val="optioncarChar"/>
        </w:rPr>
        <w:t xml:space="preserve">Surface nette </w:t>
      </w:r>
      <w:r>
        <w:t xml:space="preserve">(par défaut) </w:t>
      </w:r>
      <w:r>
        <w:rPr>
          <w:rStyle w:val="optioncarChar"/>
        </w:rPr>
        <w:t>/ Volume net</w:t>
      </w:r>
    </w:p>
    <w:p w14:paraId="4BB42FE6" w14:textId="77777777" w:rsidR="00DF410E" w:rsidRDefault="00CE7F43">
      <w:pPr>
        <w:jc w:val="both"/>
      </w:pPr>
      <w:r>
        <w:rPr>
          <w:b/>
          <w:i/>
        </w:rPr>
        <w:t>(Soit par défaut)</w:t>
      </w:r>
    </w:p>
    <w:p w14:paraId="5A9E6AB0" w14:textId="77777777" w:rsidR="00DF410E" w:rsidRDefault="00CE7F43">
      <w:pPr>
        <w:jc w:val="both"/>
      </w:pPr>
      <w:r>
        <w:rPr>
          <w:rStyle w:val="soitChar"/>
          <w:b/>
        </w:rPr>
        <w:t>1. Surface nette </w:t>
      </w:r>
      <w:r>
        <w:rPr>
          <w:rStyle w:val="soitChar"/>
        </w:rPr>
        <w:t>: Longueur x Largeur de la paroi. Les baies inférieures à 0,50 m² ne sont pas déduites. Distinction faite suivant le type et l’épaisseur.</w:t>
      </w:r>
    </w:p>
    <w:p w14:paraId="0A6FBD81" w14:textId="77777777" w:rsidR="00DF410E" w:rsidRDefault="00CE7F43">
      <w:pPr>
        <w:jc w:val="both"/>
      </w:pPr>
      <w:r>
        <w:rPr>
          <w:b/>
          <w:i/>
        </w:rPr>
        <w:t>(Soit)</w:t>
      </w:r>
    </w:p>
    <w:p w14:paraId="7BC5AFFD" w14:textId="77777777" w:rsidR="00DF410E" w:rsidRDefault="00CE7F43">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 à 0,05 m³.  Distinction faite suivant le type et l’épaisseur.</w:t>
      </w:r>
    </w:p>
    <w:p w14:paraId="69FD6A9A" w14:textId="77777777" w:rsidR="00DF410E" w:rsidRDefault="00CE7F43">
      <w:pPr>
        <w:pStyle w:val="pheading"/>
      </w:pPr>
      <w:r>
        <w:t>- nature du marché:</w:t>
      </w:r>
    </w:p>
    <w:p w14:paraId="39EF9327" w14:textId="77777777" w:rsidR="00DF410E" w:rsidRDefault="00CE7F43">
      <w:r>
        <w:rPr>
          <w:rStyle w:val="optioncarChar"/>
        </w:rPr>
        <w:t xml:space="preserve">QF </w:t>
      </w:r>
      <w:r>
        <w:t>(par défaut)</w:t>
      </w:r>
      <w:r>
        <w:rPr>
          <w:rStyle w:val="optioncarChar"/>
        </w:rPr>
        <w:t xml:space="preserve"> / QP</w:t>
      </w:r>
    </w:p>
    <w:p w14:paraId="36ED06A7" w14:textId="77777777" w:rsidR="00DF410E" w:rsidRDefault="00CE7F43">
      <w:r>
        <w:rPr>
          <w:b/>
          <w:i/>
        </w:rPr>
        <w:t>(Soit par défaut)</w:t>
      </w:r>
    </w:p>
    <w:p w14:paraId="3E24F315" w14:textId="77777777" w:rsidR="00DF410E" w:rsidRDefault="00CE7F43">
      <w:r>
        <w:rPr>
          <w:rStyle w:val="soitChar"/>
        </w:rPr>
        <w:t>1. 2. QF</w:t>
      </w:r>
    </w:p>
    <w:p w14:paraId="2A8E523C" w14:textId="77777777" w:rsidR="00DF410E" w:rsidRDefault="00CE7F43">
      <w:r>
        <w:rPr>
          <w:b/>
          <w:i/>
        </w:rPr>
        <w:t>(Soit)</w:t>
      </w:r>
    </w:p>
    <w:p w14:paraId="30F586F6" w14:textId="77777777" w:rsidR="00DF410E" w:rsidRDefault="00CE7F43">
      <w:r>
        <w:rPr>
          <w:rStyle w:val="soitChar"/>
        </w:rPr>
        <w:t>1. 2. QP   </w:t>
      </w:r>
    </w:p>
    <w:p w14:paraId="564769ED" w14:textId="77777777" w:rsidR="00DF410E" w:rsidRDefault="00CE7F43">
      <w:pPr>
        <w:pStyle w:val="Author-eSectionHeading3"/>
      </w:pPr>
      <w:bookmarkStart w:id="2035" w:name="_Toc178839080"/>
      <w:r>
        <w:t>26.5 Isolations à usages spécifiques CCTB 01.04</w:t>
      </w:r>
      <w:bookmarkEnd w:id="2035"/>
    </w:p>
    <w:p w14:paraId="0CB78BC8" w14:textId="77777777" w:rsidR="00DF410E" w:rsidRDefault="00CE7F43">
      <w:pPr>
        <w:pStyle w:val="Author-eSectionHeading3"/>
      </w:pPr>
      <w:bookmarkStart w:id="2036" w:name="_Toc178839081"/>
      <w:r>
        <w:t>26.6 - CCTB 01.02</w:t>
      </w:r>
      <w:bookmarkEnd w:id="2036"/>
    </w:p>
    <w:p w14:paraId="787A3399" w14:textId="77777777" w:rsidR="00DF410E" w:rsidRDefault="00CE7F43">
      <w:pPr>
        <w:pStyle w:val="Author-eSectionHeading3"/>
      </w:pPr>
      <w:bookmarkStart w:id="2037" w:name="_Toc178839082"/>
      <w:r>
        <w:t>26.7 -</w:t>
      </w:r>
      <w:bookmarkEnd w:id="2037"/>
    </w:p>
    <w:p w14:paraId="031A5A6A" w14:textId="77777777" w:rsidR="00DF410E" w:rsidRDefault="00CE7F43">
      <w:pPr>
        <w:pStyle w:val="Author-eSectionHeading3"/>
      </w:pPr>
      <w:bookmarkStart w:id="2038" w:name="_Toc178839083"/>
      <w:r>
        <w:t>26.8 Etanchéisation et isolation - Rénovation CCTB 01.04</w:t>
      </w:r>
      <w:bookmarkEnd w:id="2038"/>
    </w:p>
    <w:p w14:paraId="250B424A" w14:textId="77777777" w:rsidR="00DF410E" w:rsidRDefault="00CE7F43">
      <w:pPr>
        <w:pStyle w:val="Author-eSectionHeading4"/>
      </w:pPr>
      <w:bookmarkStart w:id="2039" w:name="_Toc178839084"/>
      <w:r>
        <w:t>26.81 Etudes et essais préliminaires CCTB 01.04</w:t>
      </w:r>
      <w:bookmarkEnd w:id="2039"/>
    </w:p>
    <w:p w14:paraId="3BFAEA0D" w14:textId="77777777" w:rsidR="00DF410E" w:rsidRDefault="00CE7F43">
      <w:pPr>
        <w:pStyle w:val="pheading"/>
      </w:pPr>
      <w:r>
        <w:t>DESCRIPTION</w:t>
      </w:r>
    </w:p>
    <w:p w14:paraId="23F1C50C" w14:textId="77777777" w:rsidR="00DF410E" w:rsidRDefault="00CE7F43">
      <w:pPr>
        <w:pStyle w:val="pheading"/>
      </w:pPr>
      <w:r>
        <w:t>- Définition / Comprend</w:t>
      </w:r>
    </w:p>
    <w:p w14:paraId="0D212C6A" w14:textId="77777777" w:rsidR="00DF410E" w:rsidRDefault="00CE7F43">
      <w:r>
        <w:t xml:space="preserve">Renvoi à </w:t>
      </w:r>
      <w:hyperlink r:id="rId518" w:history="1" w:docLocation="85">
        <w:r>
          <w:t>03 Études, essais et contrôles en cours de chantier</w:t>
        </w:r>
      </w:hyperlink>
    </w:p>
    <w:p w14:paraId="4CB183D2" w14:textId="77777777" w:rsidR="00DF410E" w:rsidRDefault="00CE7F43">
      <w:pPr>
        <w:pStyle w:val="Author-eSectionHeading4"/>
      </w:pPr>
      <w:bookmarkStart w:id="2040" w:name="_Toc178839085"/>
      <w:r>
        <w:t>26.82 Dépose / démontage / percement / déconstruction-démolition CCTB 01.04</w:t>
      </w:r>
      <w:bookmarkEnd w:id="2040"/>
    </w:p>
    <w:p w14:paraId="511AFAA9" w14:textId="77777777" w:rsidR="00DF410E" w:rsidRDefault="00CE7F43">
      <w:pPr>
        <w:pStyle w:val="pheading"/>
      </w:pPr>
      <w:r>
        <w:t>DESCRIPTION</w:t>
      </w:r>
    </w:p>
    <w:p w14:paraId="130F0A67" w14:textId="77777777" w:rsidR="00DF410E" w:rsidRDefault="00CE7F43">
      <w:pPr>
        <w:pStyle w:val="pheading"/>
      </w:pPr>
      <w:r>
        <w:t>- Définition / Comprend</w:t>
      </w:r>
    </w:p>
    <w:p w14:paraId="430EBF33" w14:textId="77777777" w:rsidR="00DF410E" w:rsidRDefault="00CE7F43">
      <w:r>
        <w:t xml:space="preserve">Renvoi à </w:t>
      </w:r>
      <w:hyperlink r:id="rId519" w:history="1" w:docLocation="135">
        <w:r>
          <w:t>06 Travaux de stabilisation et de déconstruction</w:t>
        </w:r>
      </w:hyperlink>
    </w:p>
    <w:p w14:paraId="27C9E0B2" w14:textId="77777777" w:rsidR="00DF410E" w:rsidRDefault="00CE7F43">
      <w:pPr>
        <w:pStyle w:val="Author-eSectionHeading4"/>
      </w:pPr>
      <w:bookmarkStart w:id="2041" w:name="_Toc178839086"/>
      <w:r>
        <w:t>26.83 Réparation / ragréage / rénovation CCTB 01.04</w:t>
      </w:r>
      <w:bookmarkEnd w:id="2041"/>
    </w:p>
    <w:p w14:paraId="06BDC5FD" w14:textId="77777777" w:rsidR="00DF410E" w:rsidRDefault="00CE7F43">
      <w:pPr>
        <w:pStyle w:val="Author-eSectionHeading5"/>
      </w:pPr>
      <w:bookmarkStart w:id="2042" w:name="_Toc178839087"/>
      <w:r>
        <w:t>26.83.1 Réparation locale de revêtements d'étanchéité CCTB 01.02</w:t>
      </w:r>
      <w:bookmarkEnd w:id="2042"/>
    </w:p>
    <w:p w14:paraId="39612CAA" w14:textId="77777777" w:rsidR="00DF410E" w:rsidRDefault="00CE7F43">
      <w:pPr>
        <w:pStyle w:val="Author-eSectionHeading6"/>
      </w:pPr>
      <w:bookmarkStart w:id="2043" w:name="_Toc178839088"/>
      <w:r>
        <w:t>26.83.1a Réparation locale de revêtements d'étanchéité CCTB 01.04</w:t>
      </w:r>
      <w:bookmarkEnd w:id="2043"/>
    </w:p>
    <w:p w14:paraId="5FFB409C" w14:textId="77777777" w:rsidR="00DF410E" w:rsidRDefault="00CE7F43">
      <w:pPr>
        <w:pStyle w:val="Author-eSectionHeading4"/>
      </w:pPr>
      <w:bookmarkStart w:id="2044" w:name="_Toc178839089"/>
      <w:r>
        <w:t>26.84 Adaptation / amélioration CCTB 01.04</w:t>
      </w:r>
      <w:bookmarkEnd w:id="2044"/>
    </w:p>
    <w:p w14:paraId="44EA8C1E" w14:textId="77777777" w:rsidR="00DF410E" w:rsidRDefault="00CE7F43">
      <w:pPr>
        <w:pStyle w:val="Author-eSectionHeading5"/>
      </w:pPr>
      <w:bookmarkStart w:id="2045" w:name="_Toc178839090"/>
      <w:r>
        <w:t>26.84.1 Amélioration des performances énergétiques - isolation a posteriori des murs extérieurs CCTB 01.04</w:t>
      </w:r>
      <w:bookmarkEnd w:id="2045"/>
    </w:p>
    <w:p w14:paraId="750E46DE" w14:textId="77777777" w:rsidR="00DF410E" w:rsidRDefault="00CE7F43">
      <w:pPr>
        <w:pStyle w:val="Author-eSectionHeading6"/>
      </w:pPr>
      <w:bookmarkStart w:id="2046" w:name="_Toc178839091"/>
      <w:r>
        <w:t>26.84.1a Isolation avec démolition / reconstruction du parement extérieur CCTB 01.04</w:t>
      </w:r>
      <w:bookmarkEnd w:id="2046"/>
    </w:p>
    <w:p w14:paraId="3FC1A909" w14:textId="77777777" w:rsidR="00DF410E" w:rsidRDefault="00CE7F43">
      <w:pPr>
        <w:pStyle w:val="pheading"/>
      </w:pPr>
      <w:r>
        <w:t>DESCRIPTION</w:t>
      </w:r>
    </w:p>
    <w:p w14:paraId="037E97D0" w14:textId="77777777" w:rsidR="00DF410E" w:rsidRDefault="00CE7F43">
      <w:pPr>
        <w:pStyle w:val="pheading"/>
      </w:pPr>
      <w:r>
        <w:t>- Définition / Comprend</w:t>
      </w:r>
    </w:p>
    <w:p w14:paraId="2A92BC5D" w14:textId="77777777" w:rsidR="00DF410E" w:rsidRDefault="00CE7F43">
      <w:r>
        <w:t xml:space="preserve">Renvoi à </w:t>
      </w:r>
      <w:hyperlink r:id="rId520" w:history="1" w:docLocation="633">
        <w:r>
          <w:t>06.35 Démontages d'éléments de fermetures et de finitions extérieures</w:t>
        </w:r>
      </w:hyperlink>
      <w:r>
        <w:t xml:space="preserve"> et </w:t>
      </w:r>
      <w:hyperlink r:id="rId521" w:history="1" w:docLocation="380">
        <w:r>
          <w:t>43 Revêtements de façade</w:t>
        </w:r>
      </w:hyperlink>
    </w:p>
    <w:p w14:paraId="5A50FF4B" w14:textId="77777777" w:rsidR="00DF410E" w:rsidRDefault="00CE7F43">
      <w:pPr>
        <w:pStyle w:val="Author-eSectionHeading6"/>
      </w:pPr>
      <w:bookmarkStart w:id="2047" w:name="_Toc178839092"/>
      <w:r>
        <w:t>26.84.1b Isolation par l'extérieur des murs extérieurs CCTB 01.04</w:t>
      </w:r>
      <w:bookmarkEnd w:id="2047"/>
    </w:p>
    <w:p w14:paraId="705ED355" w14:textId="77777777" w:rsidR="00DF410E" w:rsidRDefault="00CE7F43">
      <w:pPr>
        <w:pStyle w:val="pheading"/>
      </w:pPr>
      <w:r>
        <w:t>DESCRIPTION</w:t>
      </w:r>
    </w:p>
    <w:p w14:paraId="00DE6416" w14:textId="77777777" w:rsidR="00DF410E" w:rsidRDefault="00CE7F43">
      <w:pPr>
        <w:pStyle w:val="pheading"/>
      </w:pPr>
      <w:r>
        <w:t>- Définition / Comprend</w:t>
      </w:r>
    </w:p>
    <w:p w14:paraId="6EB24B60" w14:textId="77777777" w:rsidR="00DF410E" w:rsidRDefault="00CE7F43">
      <w:r>
        <w:t xml:space="preserve">Renvoi à </w:t>
      </w:r>
      <w:hyperlink r:id="rId522" w:history="1" w:docLocation="72">
        <w:r>
          <w:t>44.4 Isolation</w:t>
        </w:r>
      </w:hyperlink>
    </w:p>
    <w:p w14:paraId="4902823C" w14:textId="77777777" w:rsidR="00DF410E" w:rsidRDefault="00CE7F43">
      <w:pPr>
        <w:pStyle w:val="Author-eSectionHeading6"/>
      </w:pPr>
      <w:bookmarkStart w:id="2048" w:name="_Toc178839093"/>
      <w:r>
        <w:t>26.84.1c Isolation par l'intérieur des murs extérieurs CCTB 01.04</w:t>
      </w:r>
      <w:bookmarkEnd w:id="2048"/>
    </w:p>
    <w:p w14:paraId="004B0D72" w14:textId="77777777" w:rsidR="00DF410E" w:rsidRDefault="00CE7F43">
      <w:pPr>
        <w:pStyle w:val="pheading"/>
      </w:pPr>
      <w:r>
        <w:t>DESCRIPTION</w:t>
      </w:r>
    </w:p>
    <w:p w14:paraId="5A4F7321" w14:textId="77777777" w:rsidR="00DF410E" w:rsidRDefault="00CE7F43">
      <w:pPr>
        <w:pStyle w:val="pheading"/>
      </w:pPr>
      <w:r>
        <w:t>- Définition / Comprend</w:t>
      </w:r>
    </w:p>
    <w:p w14:paraId="350092FB" w14:textId="77777777" w:rsidR="00DF410E" w:rsidRDefault="00CE7F43">
      <w:r>
        <w:t xml:space="preserve">Renvoi à </w:t>
      </w:r>
      <w:hyperlink r:id="rId523" w:history="1" w:docLocation="73">
        <w:r>
          <w:t>52.4 Isolation</w:t>
        </w:r>
      </w:hyperlink>
    </w:p>
    <w:p w14:paraId="72136ED0" w14:textId="77777777" w:rsidR="00DF410E" w:rsidRDefault="00CE7F43">
      <w:pPr>
        <w:pStyle w:val="Author-eSectionHeading6"/>
      </w:pPr>
      <w:bookmarkStart w:id="2049" w:name="_Toc178839094"/>
      <w:r>
        <w:t>26.84.1d Isolation a posteriori de la COULISSE des murs creux extérieurs CCTB 01.11</w:t>
      </w:r>
      <w:bookmarkEnd w:id="2049"/>
    </w:p>
    <w:p w14:paraId="6E8F1446" w14:textId="77777777" w:rsidR="00DF410E" w:rsidRDefault="00CE7F43">
      <w:pPr>
        <w:pStyle w:val="Author-eSectionHeading5"/>
      </w:pPr>
      <w:bookmarkStart w:id="2050" w:name="_Toc178839095"/>
      <w:r>
        <w:t>26.84.2 Amélioration des performances énergétiques - isolation des planchers CCTB 01.04</w:t>
      </w:r>
      <w:bookmarkEnd w:id="2050"/>
    </w:p>
    <w:p w14:paraId="0209C53C" w14:textId="77777777" w:rsidR="00DF410E" w:rsidRDefault="00CE7F43">
      <w:pPr>
        <w:pStyle w:val="Author-eSectionHeading6"/>
      </w:pPr>
      <w:bookmarkStart w:id="2051" w:name="_Toc178839096"/>
      <w:r>
        <w:t>26.84.2a Isolation des planchers par l'extérieur CCTB 01.04</w:t>
      </w:r>
      <w:bookmarkEnd w:id="2051"/>
    </w:p>
    <w:p w14:paraId="4BE02F64" w14:textId="77777777" w:rsidR="00DF410E" w:rsidRDefault="00CE7F43">
      <w:pPr>
        <w:pStyle w:val="pheading"/>
      </w:pPr>
      <w:r>
        <w:t>DESCRIPTION</w:t>
      </w:r>
    </w:p>
    <w:p w14:paraId="7286E9B1" w14:textId="77777777" w:rsidR="00DF410E" w:rsidRDefault="00CE7F43">
      <w:pPr>
        <w:pStyle w:val="pheading"/>
      </w:pPr>
      <w:r>
        <w:t>- Définition / Comprend</w:t>
      </w:r>
    </w:p>
    <w:p w14:paraId="3CC01E64" w14:textId="77777777" w:rsidR="00DF410E" w:rsidRDefault="00CE7F43">
      <w:r>
        <w:t xml:space="preserve"> Renvoi à </w:t>
      </w:r>
      <w:hyperlink w:anchor="70" w:history="1">
        <w:r>
          <w:t>26.4 Isolation</w:t>
        </w:r>
      </w:hyperlink>
    </w:p>
    <w:p w14:paraId="315ABC2B" w14:textId="77777777" w:rsidR="00DF410E" w:rsidRDefault="00CE7F43">
      <w:pPr>
        <w:pStyle w:val="Author-eSectionHeading6"/>
      </w:pPr>
      <w:bookmarkStart w:id="2052" w:name="_Toc178839097"/>
      <w:r>
        <w:t>26.84.2b Isolation des planchers par l'intérieur CCTB 01.04</w:t>
      </w:r>
      <w:bookmarkEnd w:id="2052"/>
    </w:p>
    <w:p w14:paraId="00F18F4C" w14:textId="77777777" w:rsidR="00DF410E" w:rsidRDefault="00CE7F43">
      <w:pPr>
        <w:pStyle w:val="pheading"/>
      </w:pPr>
      <w:r>
        <w:t>DESCRIPTION</w:t>
      </w:r>
    </w:p>
    <w:p w14:paraId="4E1309A3" w14:textId="77777777" w:rsidR="00DF410E" w:rsidRDefault="00CE7F43">
      <w:pPr>
        <w:pStyle w:val="pheading"/>
      </w:pPr>
      <w:r>
        <w:t>- Définition / Comprend</w:t>
      </w:r>
    </w:p>
    <w:p w14:paraId="4B658071" w14:textId="77777777" w:rsidR="00DF410E" w:rsidRDefault="00CE7F43">
      <w:r>
        <w:t xml:space="preserve">Renvoi à </w:t>
      </w:r>
      <w:hyperlink r:id="rId524" w:history="1" w:docLocation="73">
        <w:r>
          <w:t>52.4 Isolation</w:t>
        </w:r>
      </w:hyperlink>
    </w:p>
    <w:p w14:paraId="0FFD4645" w14:textId="77777777" w:rsidR="00DF410E" w:rsidRDefault="00CE7F43">
      <w:pPr>
        <w:pStyle w:val="Author-eSectionHeading5"/>
      </w:pPr>
      <w:bookmarkStart w:id="2053" w:name="_Toc178839098"/>
      <w:r>
        <w:t>26.84.3 Amélioration des performances énergétiques - réduction / suppression des ponts thermiques CCTB 01.04</w:t>
      </w:r>
      <w:bookmarkEnd w:id="2053"/>
    </w:p>
    <w:p w14:paraId="027D8908" w14:textId="77777777" w:rsidR="00DF410E" w:rsidRDefault="00CE7F43">
      <w:pPr>
        <w:pStyle w:val="Author-eSectionHeading5"/>
      </w:pPr>
      <w:bookmarkStart w:id="2054" w:name="_Toc178839099"/>
      <w:r>
        <w:t>26.84.4 Amélioration de l'étanchéité à l'air du bâtiment CCTB 01.04</w:t>
      </w:r>
      <w:bookmarkEnd w:id="2054"/>
    </w:p>
    <w:p w14:paraId="24FEA1B8" w14:textId="77777777" w:rsidR="00DF410E" w:rsidRDefault="00CE7F43">
      <w:pPr>
        <w:pStyle w:val="Author-eSectionHeading4"/>
      </w:pPr>
      <w:bookmarkStart w:id="2055" w:name="_Toc178839100"/>
      <w:r>
        <w:t>26.85 Traitement et protection CCTB 01.04</w:t>
      </w:r>
      <w:bookmarkEnd w:id="2055"/>
    </w:p>
    <w:p w14:paraId="578ED0F5" w14:textId="77777777" w:rsidR="00DF410E" w:rsidRDefault="00CE7F43">
      <w:pPr>
        <w:pStyle w:val="pheading"/>
      </w:pPr>
      <w:r>
        <w:t>DESCRIPTION</w:t>
      </w:r>
    </w:p>
    <w:p w14:paraId="1CF331EE" w14:textId="77777777" w:rsidR="00DF410E" w:rsidRDefault="00CE7F43">
      <w:pPr>
        <w:pStyle w:val="pheading"/>
      </w:pPr>
      <w:r>
        <w:t>- Définition / Comprend</w:t>
      </w:r>
    </w:p>
    <w:p w14:paraId="38CF32A8" w14:textId="77777777" w:rsidR="00DF410E" w:rsidRDefault="00CE7F43">
      <w:r>
        <w:t xml:space="preserve">Renvoi à </w:t>
      </w:r>
      <w:hyperlink r:id="rId525" w:history="1" w:docLocation="47">
        <w:r>
          <w:t>8 T8 Travaux de peinture / Traitements de surface</w:t>
        </w:r>
      </w:hyperlink>
    </w:p>
    <w:p w14:paraId="7FD71D89" w14:textId="77777777" w:rsidR="00DF410E" w:rsidRDefault="00CE7F43">
      <w:pPr>
        <w:pStyle w:val="Author-eSectionHeading4"/>
      </w:pPr>
      <w:bookmarkStart w:id="2056" w:name="_Toc178839101"/>
      <w:r>
        <w:t>26.86 Divers CCTB 01.04</w:t>
      </w:r>
      <w:bookmarkEnd w:id="2056"/>
    </w:p>
    <w:p w14:paraId="7A950E0C" w14:textId="77777777" w:rsidR="00DF410E" w:rsidRDefault="00CE7F43">
      <w:pPr>
        <w:pStyle w:val="Author-eSectionHeading2"/>
      </w:pPr>
      <w:bookmarkStart w:id="2057" w:name="_Toc178839102"/>
      <w:r>
        <w:t>27 Conduits de fumée et de ventilation maçonnés CCTB 01.04</w:t>
      </w:r>
      <w:bookmarkEnd w:id="2057"/>
    </w:p>
    <w:p w14:paraId="4348D72C" w14:textId="77777777" w:rsidR="00DF410E" w:rsidRDefault="00CE7F43">
      <w:pPr>
        <w:pStyle w:val="Author-eSectionHeading3"/>
      </w:pPr>
      <w:bookmarkStart w:id="2058" w:name="1432"/>
      <w:bookmarkStart w:id="2059" w:name="_Toc178839103"/>
      <w:bookmarkEnd w:id="2058"/>
      <w:r>
        <w:t>27.1 Conduits de fumée maçonnés CCTB 01.11</w:t>
      </w:r>
      <w:bookmarkEnd w:id="2059"/>
    </w:p>
    <w:p w14:paraId="5C7393B7" w14:textId="77777777" w:rsidR="00DF410E" w:rsidRDefault="00CE7F43">
      <w:pPr>
        <w:pStyle w:val="pheading"/>
      </w:pPr>
      <w:r>
        <w:t>DESCRIPTION</w:t>
      </w:r>
    </w:p>
    <w:p w14:paraId="58F6C06D" w14:textId="77777777" w:rsidR="00DF410E" w:rsidRDefault="00CE7F43">
      <w:pPr>
        <w:pStyle w:val="pheading"/>
      </w:pPr>
      <w:r>
        <w:t>- Définition / Comprend</w:t>
      </w:r>
    </w:p>
    <w:p w14:paraId="0D40F37C" w14:textId="77777777" w:rsidR="00DF410E" w:rsidRDefault="00CE7F43">
      <w:r>
        <w:t>Ce poste comporte tous les travaux et fournitures en vue de l'installation des conduits de cheminée, composées d'un ou de plusieurs conduits préfabriqués destinés à l'évacuation des produits de fumée et de combustion, ainsi que ceux composés d'un ou de plusieurs conduits intégrés pour d'autres applications (gaines de conduites, évacuation ou amenée d'air pour les installations de traitement d'air et/ou de ventilation). Toutes les pièces et accessoires, nécessaires à la stabilité et au bon fonctionnement de l'ensemble sont compris, même s'ils ne sont pas explicitement mentionnés dans le présent descriptif (éléments shunt, éléments d'ancrage et de fixation, isolation spéciale, trappes de ramonage, régulateurs de tirage, bac de recueillement de condensats, …). Conformément aux dispositions du cahier spécial des charges, les prix unitaires compris dans ce poste, doivent toujours comprendre, soit selon la ventilation explicite du métré récapitulatif, soit dans leur totalité :</w:t>
      </w:r>
    </w:p>
    <w:p w14:paraId="0FC9A661" w14:textId="77777777" w:rsidR="00DF410E" w:rsidRDefault="00CE7F43">
      <w:pPr>
        <w:pStyle w:val="Author-eListParagraph"/>
        <w:numPr>
          <w:ilvl w:val="0"/>
          <w:numId w:val="1140"/>
        </w:numPr>
      </w:pPr>
      <w:r>
        <w:t xml:space="preserve">les éléments de cheminée, éléments shunt , </w:t>
      </w:r>
      <w:r>
        <w:rPr>
          <w:rStyle w:val="optioncarChar"/>
        </w:rPr>
        <w:t>***</w:t>
      </w:r>
      <w:r>
        <w:t>;</w:t>
      </w:r>
    </w:p>
    <w:p w14:paraId="460091E8" w14:textId="77777777" w:rsidR="00DF410E" w:rsidRDefault="00CE7F43">
      <w:pPr>
        <w:pStyle w:val="Author-eListParagraph"/>
        <w:numPr>
          <w:ilvl w:val="0"/>
          <w:numId w:val="1140"/>
        </w:numPr>
      </w:pPr>
      <w:r>
        <w:t>la maçonnerie attenante, dans la mesure où elle n'est pas comprise dans le prix de la maçonnerie d'élévation;</w:t>
      </w:r>
    </w:p>
    <w:p w14:paraId="1EEA53BD" w14:textId="77777777" w:rsidR="00DF410E" w:rsidRDefault="00CE7F43">
      <w:pPr>
        <w:pStyle w:val="Author-eListParagraph"/>
        <w:numPr>
          <w:ilvl w:val="0"/>
          <w:numId w:val="1140"/>
        </w:numPr>
      </w:pPr>
      <w:r>
        <w:t>les dispositifs pour les pénétrations de toiture, en fonction des matériaux de revêtement de toiture;</w:t>
      </w:r>
    </w:p>
    <w:p w14:paraId="1E9B4710" w14:textId="77777777" w:rsidR="00DF410E" w:rsidRDefault="00CE7F43">
      <w:pPr>
        <w:pStyle w:val="Author-eListParagraph"/>
        <w:numPr>
          <w:ilvl w:val="0"/>
          <w:numId w:val="1140"/>
        </w:numPr>
      </w:pPr>
      <w:r>
        <w:t>l'isolation appropriée, permettant d’améliorer la résistance au feu de la paroi;</w:t>
      </w:r>
    </w:p>
    <w:p w14:paraId="4601FCA4" w14:textId="77777777" w:rsidR="00DF410E" w:rsidRDefault="00CE7F43">
      <w:pPr>
        <w:pStyle w:val="Author-eListParagraph"/>
        <w:numPr>
          <w:ilvl w:val="0"/>
          <w:numId w:val="1140"/>
        </w:numPr>
      </w:pPr>
      <w:r>
        <w:t>tous les accessoires et pièces nécessaires (regards de visite, pièces de raccordement, pièces de jonction, registre, recueil des condensats, etc.).</w:t>
      </w:r>
    </w:p>
    <w:p w14:paraId="5545F286" w14:textId="77777777" w:rsidR="00DF410E" w:rsidRDefault="00CE7F43">
      <w:r>
        <w:rPr>
          <w:u w:val="single"/>
        </w:rPr>
        <w:t>Attention</w:t>
      </w:r>
    </w:p>
    <w:p w14:paraId="7775DB70" w14:textId="77777777" w:rsidR="00DF410E" w:rsidRDefault="00CE7F43">
      <w:r>
        <w:t xml:space="preserve">Seuls les conduits de ventilation qui sont fournis et posés en combinaison avec les conduits de fumée sont compris dans le présent chapitre (voir titre </w:t>
      </w:r>
      <w:hyperlink w:anchor="687" w:history="1">
        <w:r>
          <w:t>27.2 Conduits de ventilation maçonnés</w:t>
        </w:r>
      </w:hyperlink>
      <w:r>
        <w:t>).</w:t>
      </w:r>
    </w:p>
    <w:p w14:paraId="7F7052F1" w14:textId="77777777" w:rsidR="00DF410E" w:rsidRDefault="00CE7F43">
      <w:pPr>
        <w:pStyle w:val="pheading"/>
      </w:pPr>
      <w:r>
        <w:t>MATÉRIAUX</w:t>
      </w:r>
    </w:p>
    <w:p w14:paraId="132AE01D" w14:textId="77777777" w:rsidR="00DF410E" w:rsidRDefault="00CE7F43">
      <w:r>
        <w:t>Les matériaux conviennent pour les installations qui y sont raccordées. Tous les éléments et leurs accessoires sont compatibles mutuellement, accordés l'un à l'autre et formeront, après leur mise en œuvre, un ensemble cohérent. Les accessoires utiles (collecteurs de suie, trappes de ramonage, raccordement de la chaudière, …) sont déterminés en concertation avec l'auteur de projet et sont de préférence livrés par le même fabricant. Les accessoires spécifiques tels que les shunts, les changements de diamètre ou de section, les branchements, … méritent qu'on leur accorde une attention particulière.</w:t>
      </w:r>
    </w:p>
    <w:p w14:paraId="6EE4760C" w14:textId="77777777" w:rsidR="00DF410E" w:rsidRDefault="00CE7F43">
      <w:pPr>
        <w:pStyle w:val="pheading"/>
      </w:pPr>
      <w:r>
        <w:t>EXÉCUTION / MISE EN ŒUVRE</w:t>
      </w:r>
    </w:p>
    <w:p w14:paraId="4D91AF6E" w14:textId="77777777" w:rsidR="00DF410E" w:rsidRDefault="00CE7F43">
      <w:pPr>
        <w:pStyle w:val="heading"/>
      </w:pPr>
      <w:r>
        <w:t>Généralités</w:t>
      </w:r>
    </w:p>
    <w:p w14:paraId="6903FF93" w14:textId="77777777" w:rsidR="00DF410E" w:rsidRDefault="00CE7F43">
      <w:r>
        <w:t>L'exécution s'effectue conformément aux indications sur les plans, les prescriptions du fabricant et les prescriptions en matière de sécurité incendie. A cet effet, l'entrepreneur soumet en temps utile les plans d'exécution à l'approbation de l'auteur de projet, en mentionnant tous les éléments et les accessoires.</w:t>
      </w:r>
    </w:p>
    <w:p w14:paraId="5970AAD4" w14:textId="77777777" w:rsidR="00DF410E" w:rsidRDefault="00CE7F43">
      <w:r>
        <w:t>Il est strictement interdit de brancher des conduits d'évacuation de fumée ou de gaz sur les conduits de ventilation.</w:t>
      </w:r>
    </w:p>
    <w:p w14:paraId="52566D97" w14:textId="77777777" w:rsidR="00DF410E" w:rsidRDefault="00CE7F43">
      <w:r>
        <w:t>Aucun conduit de fumée ne peut être directement en contact avec des éléments de construction ou de parachèvement en bois. Le cas échéant, ces éléments sont particulièrement bien isolés.</w:t>
      </w:r>
    </w:p>
    <w:p w14:paraId="58B72D3E" w14:textId="77777777" w:rsidR="00DF410E" w:rsidRDefault="00CE7F43">
      <w:r>
        <w:t>En ce qui concerne l'intégration des éléments dans les gaines, les manteaux de cheminée, les raccordements étanches des souches de cheminée en maçonnerie de parement, etc., les activités sont particulièrement bien coordonnées avec les travaux de gros-œuvre et de toiture. La résistance mécanique des conduits autoportants est équivalente à celle de la stabilité de l'ensemble de l'ouvrage de construction.</w:t>
      </w:r>
    </w:p>
    <w:p w14:paraId="064F993D" w14:textId="77777777" w:rsidR="00DF410E" w:rsidRDefault="00CE7F43">
      <w:r>
        <w:t>Les conduits doivent être étanches aux gaz, afin d'éviter toute pénétration d'air parasite qui peut nuire au tirage naturel des gaz de cheminée à basse température. Afin d'améliorer le tirage pour les gaz de combustion à faible température du CC, on insère entre les éléments et la maçonnerie de cheminée, une isolation d'épaisseur suffisante. Elle est posée de manière parfaitement jointive.</w:t>
      </w:r>
    </w:p>
    <w:p w14:paraId="36B67A59" w14:textId="77777777" w:rsidR="00DF410E" w:rsidRDefault="00CE7F43">
      <w:r>
        <w:t>Les précautions sont prises pour que l'eau de condensation ne puisse pas couler du conduit de cheminée afin de prévenir la corrosion des autres matériaux et finitions.</w:t>
      </w:r>
    </w:p>
    <w:p w14:paraId="11808339" w14:textId="77777777" w:rsidR="00DF410E" w:rsidRDefault="00CE7F43">
      <w:pPr>
        <w:pStyle w:val="heading"/>
      </w:pPr>
      <w:r>
        <w:t>maçonnerie</w:t>
      </w:r>
    </w:p>
    <w:p w14:paraId="0A36E1D9" w14:textId="77777777" w:rsidR="00DF410E" w:rsidRDefault="00CE7F43">
      <w:r>
        <w:t>Conformément aux indications sur les plans, un mur est érigé autour des conduits d'air. Il est liaisonné en appareil dans les murs porteurs attenants. La maçonnerie satisfait aux prescriptions de la [NBN EN 771-1+A1], complétée par les dispositions de section </w:t>
      </w:r>
      <w:hyperlink w:anchor="293" w:history="1">
        <w:r>
          <w:t>21 Superstructures en maçonnerie</w:t>
        </w:r>
      </w:hyperlink>
    </w:p>
    <w:p w14:paraId="768307E3" w14:textId="77777777" w:rsidR="00DF410E" w:rsidRDefault="00CE7F43">
      <w:r>
        <w:t>(Attention : Compris dans le prix de la maçonnerie intérieure).</w:t>
      </w:r>
    </w:p>
    <w:p w14:paraId="1BD2894D" w14:textId="77777777" w:rsidR="00DF410E" w:rsidRDefault="00CE7F43">
      <w:r>
        <w:t xml:space="preserve">Épaisseur de la maçonnerie : </w:t>
      </w:r>
      <w:r>
        <w:rPr>
          <w:rStyle w:val="optioncarChar"/>
        </w:rPr>
        <w:t>9 / 14 / 19</w:t>
      </w:r>
    </w:p>
    <w:p w14:paraId="76EA0FEF" w14:textId="77777777" w:rsidR="00DF410E" w:rsidRDefault="00CE7F43">
      <w:r>
        <w:t xml:space="preserve">Nombre de faces à maçonner autour du conduit de cheminée : </w:t>
      </w:r>
      <w:r>
        <w:rPr>
          <w:rStyle w:val="optioncarChar"/>
        </w:rPr>
        <w:t>1 / 2 / 3 / 4</w:t>
      </w:r>
      <w:r>
        <w:t>.</w:t>
      </w:r>
    </w:p>
    <w:p w14:paraId="0C72302D" w14:textId="77777777" w:rsidR="00DF410E" w:rsidRDefault="00CE7F43">
      <w:r>
        <w:t xml:space="preserve">Coulisse entre le conduit de fumée et la maçonnerie : </w:t>
      </w:r>
      <w:r>
        <w:rPr>
          <w:rStyle w:val="optioncarChar"/>
        </w:rPr>
        <w:t>*** cm / conformément aux indications sur les plans</w:t>
      </w:r>
      <w:r>
        <w:t> (par défaut) .</w:t>
      </w:r>
    </w:p>
    <w:p w14:paraId="13AED4A4" w14:textId="77777777" w:rsidR="00DF410E" w:rsidRDefault="00CE7F43">
      <w:pPr>
        <w:pStyle w:val="heading"/>
      </w:pPr>
      <w:r>
        <w:t>Sécurité</w:t>
      </w:r>
    </w:p>
    <w:p w14:paraId="35204416" w14:textId="77777777" w:rsidR="00DF410E" w:rsidRDefault="00CE7F43">
      <w:r>
        <w:t xml:space="preserve">Conformément au sous-titre </w:t>
      </w:r>
      <w:hyperlink r:id="rId526" w:history="1" w:docLocation="561">
        <w:r>
          <w:t>01.42 PSS travaux de superstructure</w:t>
        </w:r>
      </w:hyperlink>
      <w:r>
        <w:t>, établie par le coordinateur-projet et annexé au cahier spécial des charges. Toutes les directives en cette matière et les indications concrètes du coordinateur-réalisation sont scrupuleusement respectées.</w:t>
      </w:r>
    </w:p>
    <w:p w14:paraId="31E0D5C9" w14:textId="77777777" w:rsidR="00DF410E" w:rsidRDefault="00CE7F43">
      <w:pPr>
        <w:pStyle w:val="pheading"/>
      </w:pPr>
      <w:r>
        <w:t>DOCUMENTS DE RÉFÉRENCE</w:t>
      </w:r>
    </w:p>
    <w:p w14:paraId="19765909" w14:textId="77777777" w:rsidR="00DF410E" w:rsidRDefault="00CE7F43">
      <w:pPr>
        <w:pStyle w:val="pheading"/>
      </w:pPr>
      <w:r>
        <w:t>- Exécution</w:t>
      </w:r>
    </w:p>
    <w:p w14:paraId="6C428004" w14:textId="77777777" w:rsidR="00DF410E" w:rsidRDefault="00CE7F43">
      <w:r>
        <w:t>[AR 1994-07-07, Arrêté royal fixant les normes de base en matière de prévention contre l'incendie et l'explosion, auxquelles les bâtiments nouveaux doivent satisfaire]</w:t>
      </w:r>
    </w:p>
    <w:p w14:paraId="4E35F9CF" w14:textId="77777777" w:rsidR="00DF410E" w:rsidRDefault="00CE7F43">
      <w:r>
        <w:t>[NBN/DTD B 61-001, Chaufferies et cheminées ]</w:t>
      </w:r>
    </w:p>
    <w:p w14:paraId="07BD6AD2" w14:textId="77777777" w:rsidR="00DF410E" w:rsidRDefault="00CE7F43">
      <w:r>
        <w:t>[NBN/DTD B 61-002, Chaudières de chauffage central dont la puissance nominale est inférieure à 70 kW - Prescriptions concernant leur espace d'installation, leur amenée d'air et leur évacuation de fumée ]</w:t>
      </w:r>
    </w:p>
    <w:p w14:paraId="08B7ADFE" w14:textId="77777777" w:rsidR="00DF410E" w:rsidRDefault="00CE7F43">
      <w:r>
        <w:t>[NBN D 51-003:2010+A2, Installations intérieures alimentées en gaz naturel et placement des appareils d'utilisation - Dispositions générales]</w:t>
      </w:r>
    </w:p>
    <w:p w14:paraId="099AA97E" w14:textId="77777777" w:rsidR="00DF410E" w:rsidRDefault="00CE7F43">
      <w:r>
        <w:t>[NBN S 21-208 série, Protection incendie dans les bâtiments - ]</w:t>
      </w:r>
    </w:p>
    <w:p w14:paraId="0D64ED71" w14:textId="77777777" w:rsidR="00DF410E" w:rsidRDefault="00CE7F43">
      <w:r>
        <w:t>[NBN EN 13501-1, Classement au feu des produits et éléments de construction - Partie 1: Classement à partir des données d'essais de réaction au feu]</w:t>
      </w:r>
    </w:p>
    <w:p w14:paraId="73F5B109"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3958DD2" w14:textId="77777777" w:rsidR="00DF410E" w:rsidRDefault="00CE7F43">
      <w:r>
        <w:t>[NBN EN 771-1+A1, Spécification pour éléments de maçonnerie - Partie 1: Briques de terre cuite]</w:t>
      </w:r>
    </w:p>
    <w:p w14:paraId="0B6E8C55" w14:textId="77777777" w:rsidR="00DF410E" w:rsidRDefault="00CE7F43">
      <w:r>
        <w:t>[NBN EN 1457-1, Conduits de fumée - Conduits intérieurs en terre cuite/céramique - Partie 1: Exigences et méthodes d'essai pour utilisation en conditions sèches]</w:t>
      </w:r>
    </w:p>
    <w:p w14:paraId="2B0A4098" w14:textId="77777777" w:rsidR="00DF410E" w:rsidRDefault="00CE7F43">
      <w:r>
        <w:t>[NBN EN 1457-2, Conduits de fumée - Conduits intérieurs en terre cuite/céramique - Partie 2: Exigences et méthodes d'essai pour utilisation en conditions humides]</w:t>
      </w:r>
    </w:p>
    <w:p w14:paraId="435CC509" w14:textId="77777777" w:rsidR="00DF410E" w:rsidRDefault="00CE7F43">
      <w:r>
        <w:t>[NBN EN 998-2, Définitions et spécifications des mortiers pour maçonnerie - Partie 2: Mortiers de montage des éléments de maçonnerie]</w:t>
      </w:r>
    </w:p>
    <w:p w14:paraId="58FFBE7D" w14:textId="77777777" w:rsidR="00DF410E" w:rsidRDefault="00CE7F43">
      <w:pPr>
        <w:pStyle w:val="Author-eSectionHeading4"/>
      </w:pPr>
      <w:bookmarkStart w:id="2060" w:name="_Toc178839104"/>
      <w:r>
        <w:t>27.11 Hottes de cheminée maçonnées CCTB 01.02</w:t>
      </w:r>
      <w:bookmarkEnd w:id="2060"/>
    </w:p>
    <w:p w14:paraId="663BA18B" w14:textId="77777777" w:rsidR="00DF410E" w:rsidRDefault="00CE7F43">
      <w:pPr>
        <w:pStyle w:val="Author-eSectionHeading5"/>
      </w:pPr>
      <w:bookmarkStart w:id="2061" w:name="_Toc178839105"/>
      <w:r>
        <w:t>27.11.1 Hottes de cheminée maçonnées CCTB 01.02</w:t>
      </w:r>
      <w:bookmarkEnd w:id="2061"/>
    </w:p>
    <w:p w14:paraId="18B12D10" w14:textId="77777777" w:rsidR="00DF410E" w:rsidRDefault="00CE7F43">
      <w:pPr>
        <w:pStyle w:val="Author-eSectionHeading6"/>
      </w:pPr>
      <w:bookmarkStart w:id="2062" w:name="_Toc178839106"/>
      <w:r>
        <w:t>27.11.1a Hottes de cheminée maçonnées en terre cuite CCTB 01.11</w:t>
      </w:r>
      <w:bookmarkEnd w:id="2062"/>
    </w:p>
    <w:p w14:paraId="601A70F0" w14:textId="77777777" w:rsidR="00DF410E" w:rsidRDefault="00CE7F43">
      <w:pPr>
        <w:pStyle w:val="pheading"/>
      </w:pPr>
      <w:r>
        <w:t>MATÉRIAUX</w:t>
      </w:r>
    </w:p>
    <w:p w14:paraId="716B94E1" w14:textId="77777777" w:rsidR="00DF410E" w:rsidRDefault="00CE7F43">
      <w:pPr>
        <w:pStyle w:val="pheading"/>
      </w:pPr>
      <w:r>
        <w:t>- Caractéristiques générales</w:t>
      </w:r>
    </w:p>
    <w:p w14:paraId="473B78F1" w14:textId="77777777" w:rsidR="00DF410E" w:rsidRDefault="00CE7F43">
      <w:r>
        <w:t>Les briques pleines selon la [NBN EN 771-1+A1] satisfont aux essais thermiques selon la [NBN EN 1457-1] et la [NBN EN 1457-2].</w:t>
      </w:r>
    </w:p>
    <w:p w14:paraId="4F9BA378" w14:textId="77777777" w:rsidR="00DF410E" w:rsidRDefault="00CE7F43">
      <w:r>
        <w:t xml:space="preserve">La brique satisfait à : </w:t>
      </w:r>
      <w:r>
        <w:rPr>
          <w:rStyle w:val="optioncarChar"/>
        </w:rPr>
        <w:t>la résistance moyenne à la compression de / la résistance caractéristique à la compression corrigée de</w:t>
      </w:r>
    </w:p>
    <w:p w14:paraId="20DB1E58" w14:textId="77777777" w:rsidR="00DF410E" w:rsidRDefault="00CE7F43">
      <w:pPr>
        <w:pStyle w:val="Author-eListParagraph"/>
        <w:numPr>
          <w:ilvl w:val="0"/>
          <w:numId w:val="1141"/>
        </w:numPr>
      </w:pPr>
      <w:r>
        <w:rPr>
          <w:b/>
        </w:rPr>
        <w:t>(soit)</w:t>
      </w:r>
    </w:p>
    <w:p w14:paraId="1127D117" w14:textId="77777777" w:rsidR="00DF410E" w:rsidRDefault="00CE7F43">
      <w:r>
        <w:rPr>
          <w:rStyle w:val="soitChar"/>
        </w:rPr>
        <w:t xml:space="preserve">1. </w:t>
      </w:r>
      <w:r>
        <w:rPr>
          <w:rStyle w:val="soitChar"/>
          <w:u w:val="single"/>
        </w:rPr>
        <w:t>La résistance moyenne à la compression</w:t>
      </w:r>
      <w:r>
        <w:rPr>
          <w:rStyle w:val="soitChar"/>
        </w:rPr>
        <w:t xml:space="preserve"> des pierres est d'au moins </w:t>
      </w:r>
      <w:r>
        <w:rPr>
          <w:rStyle w:val="optioncarChar"/>
        </w:rPr>
        <w:t>15 </w:t>
      </w:r>
      <w:r>
        <w:t>(par défaut)</w:t>
      </w:r>
      <w:r>
        <w:rPr>
          <w:rStyle w:val="optioncarChar"/>
        </w:rPr>
        <w:t xml:space="preserve"> / ***</w:t>
      </w:r>
      <w:r>
        <w:rPr>
          <w:rStyle w:val="soitChar"/>
        </w:rPr>
        <w:t xml:space="preserve"> N/mm2, de façon à pouvoir ériger les conduits au moins sur trois étages sans support supplémentaire.</w:t>
      </w:r>
    </w:p>
    <w:p w14:paraId="3F8D1EE5" w14:textId="77777777" w:rsidR="00DF410E" w:rsidRDefault="00CE7F43">
      <w:pPr>
        <w:pStyle w:val="Author-eListParagraph"/>
        <w:numPr>
          <w:ilvl w:val="0"/>
          <w:numId w:val="1142"/>
        </w:numPr>
      </w:pPr>
      <w:r>
        <w:rPr>
          <w:b/>
        </w:rPr>
        <w:t>(soit)</w:t>
      </w:r>
    </w:p>
    <w:p w14:paraId="23E7123B" w14:textId="77777777" w:rsidR="00DF410E" w:rsidRDefault="00CE7F43">
      <w:r>
        <w:rPr>
          <w:rStyle w:val="soitChar"/>
        </w:rPr>
        <w:t xml:space="preserve">2. </w:t>
      </w:r>
      <w:r>
        <w:rPr>
          <w:rStyle w:val="soitChar"/>
          <w:u w:val="single"/>
        </w:rPr>
        <w:t>La résistance caractéristique à la compression corrigée</w:t>
      </w:r>
      <w:r>
        <w:rPr>
          <w:rStyle w:val="soitChar"/>
        </w:rPr>
        <w:t xml:space="preserve"> - (f'bk) cor - des pierres est d'au moins </w:t>
      </w:r>
      <w:r>
        <w:rPr>
          <w:rStyle w:val="optioncarChar"/>
        </w:rPr>
        <w:t>***</w:t>
      </w:r>
      <w:r>
        <w:rPr>
          <w:rStyle w:val="soitChar"/>
        </w:rPr>
        <w:t xml:space="preserve"> N/mm2 selon la [NBN EN 1996-1-1+A1] .</w:t>
      </w:r>
    </w:p>
    <w:p w14:paraId="72B32F82" w14:textId="77777777" w:rsidR="00DF410E" w:rsidRDefault="00CE7F43">
      <w:pPr>
        <w:pStyle w:val="pheading"/>
      </w:pPr>
      <w:r>
        <w:t>- Prescriptions complémentaires</w:t>
      </w:r>
    </w:p>
    <w:p w14:paraId="5F327267" w14:textId="77777777" w:rsidR="00DF410E" w:rsidRDefault="00CE7F43">
      <w:pPr>
        <w:pStyle w:val="facult"/>
      </w:pPr>
      <w:r>
        <w:t xml:space="preserve">Pour la maçonnerie destinée à rester apparente, on utilise des briques de dimensions : </w:t>
      </w:r>
      <w:r>
        <w:rPr>
          <w:rStyle w:val="optioncarChar"/>
        </w:rPr>
        <w:t>***</w:t>
      </w:r>
    </w:p>
    <w:p w14:paraId="2D5BD414" w14:textId="77777777" w:rsidR="00DF410E" w:rsidRDefault="00CE7F43">
      <w:pPr>
        <w:pStyle w:val="pheading"/>
      </w:pPr>
      <w:r>
        <w:t>EXÉCUTION / MISE EN ŒUVRE</w:t>
      </w:r>
    </w:p>
    <w:p w14:paraId="36E3C401" w14:textId="77777777" w:rsidR="00DF410E" w:rsidRDefault="00CE7F43">
      <w:pPr>
        <w:pStyle w:val="pheading"/>
      </w:pPr>
      <w:r>
        <w:t>- Prescriptions générales</w:t>
      </w:r>
    </w:p>
    <w:p w14:paraId="5AE331CE" w14:textId="77777777" w:rsidR="00DF410E" w:rsidRDefault="00CE7F43">
      <w:r>
        <w:t>Le mortier de maçonnerie répond à la catégorie</w:t>
      </w:r>
      <w:r>
        <w:rPr>
          <w:rStyle w:val="optioncarChar"/>
        </w:rPr>
        <w:t xml:space="preserve"> *** </w:t>
      </w:r>
      <w:r>
        <w:t>selon la [NBN EN 998-2]. Les joints sont remplis et soigneusement débarrassés de toutes bavures de mortier. Les faces intérieures des conduits de fumée ne peuvent pas présenter d'irrégularités et sont enduites d'un coulis de ciment. Au droit des pénétrations de toiture, on insère une étanchéité, qui est comptée dans l'article concerné.</w:t>
      </w:r>
    </w:p>
    <w:p w14:paraId="58FA84B3" w14:textId="77777777" w:rsidR="00DF410E" w:rsidRDefault="00CE7F43">
      <w:pPr>
        <w:pStyle w:val="pheading"/>
      </w:pPr>
      <w:r>
        <w:t>- Notes d’exécution complémentaires</w:t>
      </w:r>
    </w:p>
    <w:p w14:paraId="1DC1B134" w14:textId="77777777" w:rsidR="00DF410E" w:rsidRDefault="00CE7F43">
      <w:r>
        <w:t>Les conduits sont solidarisés avec les autres éléments du gros-œuvre à l'aide d'armatures de liaison posées dans les joints.</w:t>
      </w:r>
    </w:p>
    <w:p w14:paraId="2AB7DA21" w14:textId="77777777" w:rsidR="00DF410E" w:rsidRDefault="00CE7F43">
      <w:pPr>
        <w:pStyle w:val="pheading"/>
      </w:pPr>
      <w:r>
        <w:t>MESURAGE</w:t>
      </w:r>
    </w:p>
    <w:p w14:paraId="6A37ED57" w14:textId="77777777" w:rsidR="00DF410E" w:rsidRDefault="00CE7F43">
      <w:pPr>
        <w:pStyle w:val="pheading"/>
      </w:pPr>
      <w:r>
        <w:t>- unité de mesure:</w:t>
      </w:r>
    </w:p>
    <w:p w14:paraId="7E991C23" w14:textId="77777777" w:rsidR="00DF410E" w:rsidRDefault="00CE7F43">
      <w:r>
        <w:t>m³</w:t>
      </w:r>
    </w:p>
    <w:p w14:paraId="52D95C61" w14:textId="77777777" w:rsidR="00DF410E" w:rsidRDefault="00CE7F43">
      <w:pPr>
        <w:pStyle w:val="pheading"/>
      </w:pPr>
      <w:r>
        <w:t>- code de mesurage:</w:t>
      </w:r>
    </w:p>
    <w:p w14:paraId="77B9E434" w14:textId="77777777" w:rsidR="00DF410E" w:rsidRDefault="00CE7F43">
      <w:r>
        <w:t>le volume net est compté.</w:t>
      </w:r>
    </w:p>
    <w:p w14:paraId="31749F78" w14:textId="77777777" w:rsidR="00DF410E" w:rsidRDefault="00CE7F43">
      <w:pPr>
        <w:pStyle w:val="pheading"/>
      </w:pPr>
      <w:r>
        <w:t>- nature du marché:</w:t>
      </w:r>
    </w:p>
    <w:p w14:paraId="62168CBE" w14:textId="77777777" w:rsidR="00DF410E" w:rsidRDefault="00CE7F43">
      <w:r>
        <w:t>QF</w:t>
      </w:r>
    </w:p>
    <w:p w14:paraId="1622402C" w14:textId="77777777" w:rsidR="00DF410E" w:rsidRDefault="00CE7F43">
      <w:pPr>
        <w:pStyle w:val="Author-eSectionHeading4"/>
      </w:pPr>
      <w:bookmarkStart w:id="2063" w:name="_Toc178839107"/>
      <w:r>
        <w:t>27.12 Boisseaux maçonnés CCTB 01.02</w:t>
      </w:r>
      <w:bookmarkEnd w:id="2063"/>
    </w:p>
    <w:p w14:paraId="3B04A815" w14:textId="77777777" w:rsidR="00DF410E" w:rsidRDefault="00CE7F43">
      <w:pPr>
        <w:pStyle w:val="Author-eSectionHeading5"/>
      </w:pPr>
      <w:bookmarkStart w:id="2064" w:name="_Toc178839108"/>
      <w:r>
        <w:t>27.12.1 Boisseaux maçonnés CCTB 01.11</w:t>
      </w:r>
      <w:bookmarkEnd w:id="2064"/>
    </w:p>
    <w:p w14:paraId="3CB10E23" w14:textId="77777777" w:rsidR="00DF410E" w:rsidRDefault="00CE7F43">
      <w:pPr>
        <w:pStyle w:val="pheading"/>
      </w:pPr>
      <w:r>
        <w:t>DESCRIPTION</w:t>
      </w:r>
    </w:p>
    <w:p w14:paraId="6F782CC1" w14:textId="77777777" w:rsidR="00DF410E" w:rsidRDefault="00CE7F43">
      <w:pPr>
        <w:pStyle w:val="pheading"/>
      </w:pPr>
      <w:r>
        <w:t>- Définition / Comprend</w:t>
      </w:r>
    </w:p>
    <w:p w14:paraId="7059D25C" w14:textId="77777777" w:rsidR="00DF410E" w:rsidRDefault="00CE7F43">
      <w:r>
        <w:t>Il s'agit des conduits d'évacuation des fumées et/ou de ventilation constitués d'éléments préfabriqués préformés (tuyaux / boisseaux / …), le corps de cheminée pouvant être constitué d'un ou de plusieurs conduits, soit uniquement destinés à l'évacuation des fumées, soit un système intégrant l'évacuation des fumées et d'autres applications (gaines de conduites, évacuation ou amenée d'air pour les installations de traitement d'air et/ou de ventilation, …). Tous les accessoires, moyens de fixation, recueillement des condensats, … sont compris dans le prix.</w:t>
      </w:r>
    </w:p>
    <w:p w14:paraId="40E80324" w14:textId="77777777" w:rsidR="00DF410E" w:rsidRDefault="00CE7F43">
      <w:pPr>
        <w:pStyle w:val="pheading"/>
      </w:pPr>
      <w:r>
        <w:t>MATÉRIAUX</w:t>
      </w:r>
    </w:p>
    <w:p w14:paraId="1FCD4F53" w14:textId="77777777" w:rsidR="00DF410E" w:rsidRDefault="00CE7F43">
      <w:r>
        <w:t>Les éléments de cheminée préfabriqués font partie d'un système modulaire comportant toute une gamme d'accessoires faciles à mettre en œuvre. Chaque conduit comporte suffisamment de regards d'inspection et d'éléments de branchement, conformément à l'affectation respective de la chaudière de chauffage, du feu ouvert, du générateur, etc. La section des conduits de fumée est adaptée à la puissance de la chaudière, selon les indications données par le fabricant de la chaudière.</w:t>
      </w:r>
    </w:p>
    <w:p w14:paraId="2268F56D" w14:textId="77777777" w:rsidR="00DF410E" w:rsidRDefault="00CE7F43">
      <w:pPr>
        <w:pStyle w:val="Author-eSectionHeading6"/>
      </w:pPr>
      <w:bookmarkStart w:id="2065" w:name="_Toc178839109"/>
      <w:r>
        <w:t>27.12.1a Boisseaux maçonnés en éléments préfabriqués en béton CCTB 01.11</w:t>
      </w:r>
      <w:bookmarkEnd w:id="2065"/>
    </w:p>
    <w:p w14:paraId="2F9C1B02" w14:textId="77777777" w:rsidR="00DF410E" w:rsidRDefault="00CE7F43">
      <w:pPr>
        <w:pStyle w:val="pheading"/>
      </w:pPr>
      <w:r>
        <w:t>MATÉRIAUX</w:t>
      </w:r>
    </w:p>
    <w:p w14:paraId="12C4EF5A" w14:textId="77777777" w:rsidR="00DF410E" w:rsidRDefault="00CE7F43">
      <w:pPr>
        <w:pStyle w:val="pheading"/>
      </w:pPr>
      <w:r>
        <w:t>- Caractéristiques générales</w:t>
      </w:r>
    </w:p>
    <w:p w14:paraId="281EF815" w14:textId="77777777" w:rsidR="00DF410E" w:rsidRDefault="00CE7F43">
      <w:r>
        <w:t xml:space="preserve">Il s'agit des éléments préfabriqués à redans fabriqués en: </w:t>
      </w:r>
      <w:r>
        <w:rPr>
          <w:rStyle w:val="optioncarChar"/>
        </w:rPr>
        <w:t>béton réfractaire / béton mélangés avec légers granulats</w:t>
      </w:r>
    </w:p>
    <w:p w14:paraId="472013CC" w14:textId="77777777" w:rsidR="00DF410E" w:rsidRDefault="00CE7F43">
      <w:pPr>
        <w:pStyle w:val="Author-eListParagraph"/>
        <w:numPr>
          <w:ilvl w:val="0"/>
          <w:numId w:val="1143"/>
        </w:numPr>
      </w:pPr>
      <w:r>
        <w:rPr>
          <w:b/>
        </w:rPr>
        <w:t>(soit)</w:t>
      </w:r>
    </w:p>
    <w:p w14:paraId="34A44E9B" w14:textId="77777777" w:rsidR="00DF410E" w:rsidRDefault="00CE7F43">
      <w:r>
        <w:rPr>
          <w:rStyle w:val="soitChar"/>
        </w:rPr>
        <w:t>1. Béton réfractaire, vibré et damé.</w:t>
      </w:r>
    </w:p>
    <w:p w14:paraId="1E684D74" w14:textId="77777777" w:rsidR="00DF410E" w:rsidRDefault="00CE7F43">
      <w:pPr>
        <w:pStyle w:val="Author-eListParagraph"/>
        <w:numPr>
          <w:ilvl w:val="0"/>
          <w:numId w:val="1144"/>
        </w:numPr>
      </w:pPr>
      <w:r>
        <w:rPr>
          <w:b/>
        </w:rPr>
        <w:t xml:space="preserve">(soit) </w:t>
      </w:r>
    </w:p>
    <w:p w14:paraId="22701703" w14:textId="77777777" w:rsidR="00DF410E" w:rsidRDefault="00CE7F43">
      <w:r>
        <w:rPr>
          <w:rStyle w:val="soitChar"/>
        </w:rPr>
        <w:t>2. Béton dans lequel sont mélangés de légers granulats d'une masse volumique maximale de 1.600 kg/m3.</w:t>
      </w:r>
    </w:p>
    <w:p w14:paraId="412F8696" w14:textId="77777777" w:rsidR="00DF410E" w:rsidRDefault="00CE7F43">
      <w:pPr>
        <w:pStyle w:val="heading"/>
      </w:pPr>
      <w:r>
        <w:t>Spécifications</w:t>
      </w:r>
    </w:p>
    <w:p w14:paraId="574B00AF" w14:textId="77777777" w:rsidR="00DF410E" w:rsidRDefault="00CE7F43">
      <w:r>
        <w:t xml:space="preserve">Type : </w:t>
      </w:r>
      <w:r>
        <w:rPr>
          <w:rStyle w:val="optioncarChar"/>
        </w:rPr>
        <w:t>à simple paroi </w:t>
      </w:r>
      <w:r>
        <w:t>(par défaut)</w:t>
      </w:r>
      <w:r>
        <w:rPr>
          <w:rStyle w:val="optioncarChar"/>
        </w:rPr>
        <w:t xml:space="preserve"> / *** </w:t>
      </w:r>
    </w:p>
    <w:p w14:paraId="73660B65" w14:textId="77777777" w:rsidR="00DF410E" w:rsidRDefault="00CE7F43">
      <w:r>
        <w:t xml:space="preserve">Résistance thermique : jusqu'à </w:t>
      </w:r>
      <w:r>
        <w:rPr>
          <w:rStyle w:val="optioncarChar"/>
        </w:rPr>
        <w:t>300 </w:t>
      </w:r>
      <w:r>
        <w:t>(par défaut)</w:t>
      </w:r>
      <w:r>
        <w:rPr>
          <w:rStyle w:val="optioncarChar"/>
        </w:rPr>
        <w:t xml:space="preserve"> / 500 / 900</w:t>
      </w:r>
    </w:p>
    <w:p w14:paraId="2CD00905" w14:textId="77777777" w:rsidR="00DF410E" w:rsidRDefault="00CE7F43">
      <w:r>
        <w:t>Epaisseur des parois : </w:t>
      </w:r>
    </w:p>
    <w:p w14:paraId="43F6CAE0" w14:textId="77777777" w:rsidR="00DF410E" w:rsidRDefault="00CE7F43">
      <w:r>
        <w:t xml:space="preserve">au moins </w:t>
      </w:r>
      <w:r>
        <w:rPr>
          <w:rStyle w:val="optioncarChar"/>
        </w:rPr>
        <w:t>3 </w:t>
      </w:r>
      <w:r>
        <w:t>(par défaut)</w:t>
      </w:r>
      <w:r>
        <w:rPr>
          <w:rStyle w:val="optioncarChar"/>
        </w:rPr>
        <w:t xml:space="preserve"> / ***</w:t>
      </w:r>
      <w:r>
        <w:t xml:space="preserve"> cm pour les sections jusqu'à 25 dm2 </w:t>
      </w:r>
    </w:p>
    <w:p w14:paraId="6DD1C6D8" w14:textId="77777777" w:rsidR="00DF410E" w:rsidRDefault="00CE7F43">
      <w:r>
        <w:t xml:space="preserve">au moins </w:t>
      </w:r>
      <w:r>
        <w:rPr>
          <w:rStyle w:val="optioncarChar"/>
        </w:rPr>
        <w:t xml:space="preserve">5 </w:t>
      </w:r>
      <w:r>
        <w:t>(par défaut) </w:t>
      </w:r>
      <w:r>
        <w:rPr>
          <w:rStyle w:val="optioncarChar"/>
        </w:rPr>
        <w:t>/ ***</w:t>
      </w:r>
      <w:r>
        <w:t xml:space="preserve"> cm pour les sections supérieures à 25 dm2</w:t>
      </w:r>
    </w:p>
    <w:p w14:paraId="23C633A6" w14:textId="77777777" w:rsidR="00DF410E" w:rsidRDefault="00CE7F43">
      <w:r>
        <w:t>Nombre de conduits :</w:t>
      </w:r>
    </w:p>
    <w:p w14:paraId="05B81F6E" w14:textId="77777777" w:rsidR="00DF410E" w:rsidRDefault="00CE7F43">
      <w:r>
        <w:t xml:space="preserve">pour l'évacuation des fumées : conduit </w:t>
      </w:r>
      <w:r>
        <w:rPr>
          <w:rStyle w:val="optioncarChar"/>
        </w:rPr>
        <w:t>simple </w:t>
      </w:r>
      <w:r>
        <w:t>(par défaut)</w:t>
      </w:r>
      <w:r>
        <w:rPr>
          <w:rStyle w:val="optioncarChar"/>
        </w:rPr>
        <w:t xml:space="preserve"> / double / multiple / ***</w:t>
      </w:r>
    </w:p>
    <w:p w14:paraId="039A7450" w14:textId="77777777" w:rsidR="00DF410E" w:rsidRDefault="00CE7F43">
      <w:r>
        <w:t xml:space="preserve">pour d'autres applications : conduit </w:t>
      </w:r>
      <w:r>
        <w:rPr>
          <w:rStyle w:val="optioncarChar"/>
        </w:rPr>
        <w:t>simple </w:t>
      </w:r>
      <w:r>
        <w:t>(par défaut)</w:t>
      </w:r>
      <w:r>
        <w:rPr>
          <w:rStyle w:val="optioncarChar"/>
        </w:rPr>
        <w:t xml:space="preserve"> / double / multiple / ***</w:t>
      </w:r>
    </w:p>
    <w:p w14:paraId="576CE120" w14:textId="77777777" w:rsidR="00DF410E" w:rsidRDefault="00CE7F43">
      <w:r>
        <w:t xml:space="preserve">Les dimensions intérieures des conduits respectifs sont </w:t>
      </w:r>
      <w:r>
        <w:rPr>
          <w:rStyle w:val="optioncarChar"/>
        </w:rPr>
        <w:t>conformes à l'étude / conformes aux indications sur les plans / de dimensions identiques / de dimensions différentes / conformes à la liste ci-dessous</w:t>
      </w:r>
      <w:r>
        <w:t> (par défaut)</w:t>
      </w:r>
      <w:r>
        <w:rPr>
          <w:rStyle w:val="optioncarChar"/>
        </w:rPr>
        <w:t xml:space="preserve"> :</w:t>
      </w:r>
    </w:p>
    <w:p w14:paraId="07056E15" w14:textId="77777777" w:rsidR="00DF410E" w:rsidRDefault="00CE7F43">
      <w:r>
        <w:rPr>
          <w:rStyle w:val="optioncarChar"/>
        </w:rPr>
        <w:t>150x150 </w:t>
      </w:r>
      <w:r>
        <w:t>(par défaut)</w:t>
      </w:r>
      <w:r>
        <w:rPr>
          <w:rStyle w:val="optioncarChar"/>
        </w:rPr>
        <w:t xml:space="preserve"> / 200x200 / 250x250 / 300x300 / 400x400 / *** x ***</w:t>
      </w:r>
      <w:r>
        <w:t xml:space="preserve"> mm</w:t>
      </w:r>
    </w:p>
    <w:p w14:paraId="765CCCDB" w14:textId="77777777" w:rsidR="00DF410E" w:rsidRDefault="00CE7F43">
      <w:r>
        <w:rPr>
          <w:rStyle w:val="optioncarChar"/>
        </w:rPr>
        <w:t xml:space="preserve">150x200 </w:t>
      </w:r>
      <w:r>
        <w:t>(par défaut) </w:t>
      </w:r>
      <w:r>
        <w:rPr>
          <w:rStyle w:val="optioncarChar"/>
        </w:rPr>
        <w:t>/ 250x300 / 300x350 / 400x500 / *** x ***</w:t>
      </w:r>
      <w:r>
        <w:t xml:space="preserve"> mm</w:t>
      </w:r>
    </w:p>
    <w:p w14:paraId="612BD45C" w14:textId="77777777" w:rsidR="00DF410E" w:rsidRDefault="00CE7F43">
      <w:r>
        <w:rPr>
          <w:rStyle w:val="optioncarChar"/>
        </w:rPr>
        <w:t>2x85x200 </w:t>
      </w:r>
      <w:r>
        <w:t>(par défaut)</w:t>
      </w:r>
      <w:r>
        <w:rPr>
          <w:rStyle w:val="optioncarChar"/>
        </w:rPr>
        <w:t xml:space="preserve"> / 200x200 et 120x200 / ***</w:t>
      </w:r>
      <w:r>
        <w:t xml:space="preserve"> mm</w:t>
      </w:r>
    </w:p>
    <w:p w14:paraId="697EAF5A" w14:textId="77777777" w:rsidR="00DF410E" w:rsidRDefault="00CE7F43">
      <w:r>
        <w:rPr>
          <w:rStyle w:val="optioncarChar"/>
        </w:rPr>
        <w:t>350x200 et 125x200</w:t>
      </w:r>
      <w:r>
        <w:t xml:space="preserve"> (par défaut)</w:t>
      </w:r>
      <w:r>
        <w:rPr>
          <w:rStyle w:val="optioncarChar"/>
        </w:rPr>
        <w:t> / 200x200 et 2x85x120 / 355x200 et 2x85x125 / ***</w:t>
      </w:r>
      <w:r>
        <w:t xml:space="preserve"> mm</w:t>
      </w:r>
    </w:p>
    <w:p w14:paraId="3C19F90C" w14:textId="77777777" w:rsidR="00DF410E" w:rsidRDefault="00CE7F43">
      <w:r>
        <w:t xml:space="preserve">Dimensions extérieures : </w:t>
      </w:r>
      <w:r>
        <w:rPr>
          <w:rStyle w:val="optioncarChar"/>
        </w:rPr>
        <w:t>300x300 </w:t>
      </w:r>
      <w:r>
        <w:t>(par défaut)</w:t>
      </w:r>
      <w:r>
        <w:rPr>
          <w:rStyle w:val="optioncarChar"/>
        </w:rPr>
        <w:t xml:space="preserve"> / 350x350 / 450x450 / 550x550 / 650x650 / *** x ***</w:t>
      </w:r>
      <w:r>
        <w:t xml:space="preserve"> mm</w:t>
      </w:r>
    </w:p>
    <w:p w14:paraId="4B7403AC" w14:textId="77777777" w:rsidR="00DF410E" w:rsidRDefault="00CE7F43">
      <w:r>
        <w:t xml:space="preserve">Résistance à la compression : au moins </w:t>
      </w:r>
      <w:r>
        <w:rPr>
          <w:rStyle w:val="optioncarChar"/>
        </w:rPr>
        <w:t>15 </w:t>
      </w:r>
      <w:r>
        <w:t>(par défaut)</w:t>
      </w:r>
      <w:r>
        <w:rPr>
          <w:rStyle w:val="optioncarChar"/>
        </w:rPr>
        <w:t xml:space="preserve"> / ***</w:t>
      </w:r>
      <w:r>
        <w:t xml:space="preserve"> N/mm2</w:t>
      </w:r>
    </w:p>
    <w:p w14:paraId="3CBDADCF" w14:textId="77777777" w:rsidR="00DF410E" w:rsidRDefault="00CE7F43">
      <w:pPr>
        <w:pStyle w:val="pheading"/>
      </w:pPr>
      <w:r>
        <w:t>- Prescriptions complémentaires</w:t>
      </w:r>
    </w:p>
    <w:p w14:paraId="53C1AD3F" w14:textId="77777777" w:rsidR="00DF410E" w:rsidRDefault="00CE7F43">
      <w:r>
        <w:rPr>
          <w:rStyle w:val="facultChar"/>
        </w:rPr>
        <w:t>Isolation : isolation ignifuge - laine de roche, masse volumique mininmale </w:t>
      </w:r>
      <w:r>
        <w:rPr>
          <w:rStyle w:val="optioncarChar"/>
        </w:rPr>
        <w:t>120 </w:t>
      </w:r>
      <w:r>
        <w:t>(par défaut)</w:t>
      </w:r>
      <w:r>
        <w:rPr>
          <w:rStyle w:val="optioncarChar"/>
        </w:rPr>
        <w:t xml:space="preserve"> / ***</w:t>
      </w:r>
      <w:r>
        <w:rPr>
          <w:rStyle w:val="facultChar"/>
        </w:rPr>
        <w:t xml:space="preserve"> kg/m</w:t>
      </w:r>
      <w:r>
        <w:rPr>
          <w:rStyle w:val="facultChar"/>
          <w:vertAlign w:val="superscript"/>
        </w:rPr>
        <w:t>3</w:t>
      </w:r>
      <w:r>
        <w:rPr>
          <w:rStyle w:val="facultChar"/>
        </w:rPr>
        <w:t xml:space="preserve">, épaisseur </w:t>
      </w:r>
      <w:r>
        <w:rPr>
          <w:rStyle w:val="optioncarChar"/>
        </w:rPr>
        <w:t>35</w:t>
      </w:r>
      <w:r>
        <w:rPr>
          <w:rStyle w:val="facultChar"/>
        </w:rPr>
        <w:t> </w:t>
      </w:r>
      <w:r>
        <w:t xml:space="preserve">(par défaut) </w:t>
      </w:r>
      <w:r>
        <w:rPr>
          <w:rStyle w:val="optioncarChar"/>
        </w:rPr>
        <w:t>/ 40 / 50 / ***</w:t>
      </w:r>
      <w:r>
        <w:rPr>
          <w:rStyle w:val="facultChar"/>
        </w:rPr>
        <w:t xml:space="preserve"> mm .</w:t>
      </w:r>
    </w:p>
    <w:p w14:paraId="48203BED" w14:textId="77777777" w:rsidR="00DF410E" w:rsidRDefault="00CE7F43">
      <w:pPr>
        <w:pStyle w:val="pheading"/>
      </w:pPr>
      <w:r>
        <w:t>EXÉCUTION / MISE EN ŒUVRE</w:t>
      </w:r>
    </w:p>
    <w:p w14:paraId="17A7DE79" w14:textId="77777777" w:rsidR="00DF410E" w:rsidRDefault="00CE7F43">
      <w:pPr>
        <w:pStyle w:val="pheading"/>
      </w:pPr>
      <w:r>
        <w:t>- Prescriptions générales</w:t>
      </w:r>
    </w:p>
    <w:p w14:paraId="1E0E8699" w14:textId="77777777" w:rsidR="00DF410E" w:rsidRDefault="00CE7F43">
      <w:r>
        <w:t>Les éléments sont humidifiés avant la pose. Ils sont posés à plein bain de mortier, lissés à l’intérieur et ébarbés. Les éléments sont posés avec le bout mâle dirigé vers le bas. Chaque conduit est pourvu d’un orifice de nettoyage.</w:t>
      </w:r>
    </w:p>
    <w:p w14:paraId="2E4E6FBA" w14:textId="77777777" w:rsidR="00DF410E" w:rsidRDefault="00CE7F43">
      <w:pPr>
        <w:pStyle w:val="pheading"/>
      </w:pPr>
      <w:r>
        <w:t>- Notes d’exécution complémentaires</w:t>
      </w:r>
    </w:p>
    <w:p w14:paraId="12210BBD" w14:textId="77777777" w:rsidR="00DF410E" w:rsidRDefault="00CE7F43">
      <w:r>
        <w:t>Les éléments résistant à des températures d’au moins 300</w:t>
      </w:r>
      <w:r>
        <w:rPr>
          <w:rFonts w:ascii="Symbol"/>
        </w:rPr>
        <w:t>°</w:t>
      </w:r>
      <w:r>
        <w:t> C sont posés au mortier réfractaire.</w:t>
      </w:r>
    </w:p>
    <w:p w14:paraId="18CC0AFC" w14:textId="77777777" w:rsidR="00DF410E" w:rsidRDefault="00CE7F43">
      <w:r>
        <w:t>Conformément aux indications sur les plans, les conduits de fumée sont intégrés dans une gaine maçonnée, qui est liaisonnée en appareil à la maçonnerie attenante. La maçonnerie répond aux prescriptions de la [NBN EN 1457-1] et [NBN EN 1457-2] et aux dispositions du chapitre </w:t>
      </w:r>
      <w:hyperlink w:anchor="293" w:history="1">
        <w:r>
          <w:t>21 Superstructures en maçonnerie</w:t>
        </w:r>
      </w:hyperlink>
      <w:r>
        <w:rPr>
          <w:i/>
        </w:rPr>
        <w:t xml:space="preserve"> (Compris dans le prix de la maçonnerie intérieure).</w:t>
      </w:r>
    </w:p>
    <w:p w14:paraId="66CE174C" w14:textId="77777777" w:rsidR="00DF410E" w:rsidRDefault="00CE7F43">
      <w:r>
        <w:t>Un joint de dilatation doit être prévu avant de poser la dalle de couverture afin d'assurer la libre dilatation des conduits de fumée.</w:t>
      </w:r>
    </w:p>
    <w:p w14:paraId="0B60AFD4" w14:textId="77777777" w:rsidR="00DF410E" w:rsidRDefault="00CE7F43">
      <w:r>
        <w:t>Lorsque l'installation de chauffage prévoit une chaudière de haut rendement ou à condensation, il faut prévoir un bac de recueillement des condensats avec une évacuation vers l'égout.</w:t>
      </w:r>
    </w:p>
    <w:p w14:paraId="17461D1A" w14:textId="77777777" w:rsidR="00DF410E" w:rsidRDefault="00CE7F43">
      <w:pPr>
        <w:pStyle w:val="pheading"/>
      </w:pPr>
      <w:r>
        <w:t>MESURAGE</w:t>
      </w:r>
    </w:p>
    <w:p w14:paraId="77D7340D" w14:textId="77777777" w:rsidR="00DF410E" w:rsidRDefault="00CE7F43">
      <w:pPr>
        <w:pStyle w:val="pheading"/>
      </w:pPr>
      <w:r>
        <w:t>- unité de mesure:</w:t>
      </w:r>
    </w:p>
    <w:p w14:paraId="15F4CD1D" w14:textId="77777777" w:rsidR="00DF410E" w:rsidRDefault="00CE7F43">
      <w:r>
        <w:t xml:space="preserve">Choix opéré : </w:t>
      </w:r>
      <w:r>
        <w:rPr>
          <w:rStyle w:val="optioncarChar"/>
        </w:rPr>
        <w:t xml:space="preserve">m </w:t>
      </w:r>
      <w:r>
        <w:t>(par défaut)</w:t>
      </w:r>
      <w:r>
        <w:rPr>
          <w:rStyle w:val="optioncarChar"/>
        </w:rPr>
        <w:t xml:space="preserve"> / pc</w:t>
      </w:r>
    </w:p>
    <w:p w14:paraId="6B6D84B5" w14:textId="77777777" w:rsidR="00DF410E" w:rsidRDefault="00CE7F43">
      <w:pPr>
        <w:pStyle w:val="pheading"/>
      </w:pPr>
      <w:r>
        <w:t>- code de mesurage:</w:t>
      </w:r>
    </w:p>
    <w:p w14:paraId="63891647" w14:textId="77777777" w:rsidR="00DF410E" w:rsidRDefault="00CE7F43">
      <w:r>
        <w:t xml:space="preserve">Choix opéré : </w:t>
      </w:r>
      <w:r>
        <w:rPr>
          <w:rStyle w:val="optioncarChar"/>
        </w:rPr>
        <w:t>longueur nette de conduit de cheminée / à la pièce</w:t>
      </w:r>
      <w:r>
        <w:t> </w:t>
      </w:r>
    </w:p>
    <w:p w14:paraId="1D288BD2" w14:textId="77777777" w:rsidR="00DF410E" w:rsidRDefault="00CE7F43">
      <w:pPr>
        <w:pStyle w:val="Author-eListParagraph"/>
        <w:numPr>
          <w:ilvl w:val="0"/>
          <w:numId w:val="1145"/>
        </w:numPr>
      </w:pPr>
      <w:r>
        <w:rPr>
          <w:b/>
        </w:rPr>
        <w:t>(soit par défaut)</w:t>
      </w:r>
    </w:p>
    <w:p w14:paraId="3788AB97" w14:textId="77777777" w:rsidR="00DF410E" w:rsidRDefault="00CE7F43">
      <w:r>
        <w:rPr>
          <w:rStyle w:val="soitChar"/>
        </w:rPr>
        <w:t xml:space="preserve">1. </w:t>
      </w:r>
      <w:r>
        <w:rPr>
          <w:rStyle w:val="soitChar"/>
          <w:u w:val="single"/>
        </w:rPr>
        <w:t>Longueur nette de conduit de cheminée</w:t>
      </w:r>
      <w:r>
        <w:rPr>
          <w:rStyle w:val="soitChar"/>
        </w:rPr>
        <w:t xml:space="preserve"> à exécuter, mesurée dans l'axe du conduit, depuis le point le plus bas de l'élément inférieur jusqu'au point le plus haut de l'élément supérieur.</w:t>
      </w:r>
      <w:r>
        <w:t> </w:t>
      </w:r>
    </w:p>
    <w:p w14:paraId="112B9175" w14:textId="77777777" w:rsidR="00DF410E" w:rsidRDefault="00CE7F43">
      <w:pPr>
        <w:pStyle w:val="Author-eListParagraph"/>
        <w:numPr>
          <w:ilvl w:val="0"/>
          <w:numId w:val="1146"/>
        </w:numPr>
      </w:pPr>
      <w:r>
        <w:rPr>
          <w:b/>
        </w:rPr>
        <w:t>(soit)</w:t>
      </w:r>
    </w:p>
    <w:p w14:paraId="4F77E190" w14:textId="77777777" w:rsidR="00DF410E" w:rsidRDefault="00CE7F43">
      <w:r>
        <w:rPr>
          <w:rStyle w:val="soitChar"/>
        </w:rPr>
        <w:t>2. </w:t>
      </w:r>
      <w:r>
        <w:rPr>
          <w:rStyle w:val="soitChar"/>
          <w:u w:val="single"/>
        </w:rPr>
        <w:t>A la pièce</w:t>
      </w:r>
      <w:r>
        <w:rPr>
          <w:rStyle w:val="soitChar"/>
        </w:rPr>
        <w:t>, ventilé selon le type et les dimensions.</w:t>
      </w:r>
    </w:p>
    <w:p w14:paraId="451523A9" w14:textId="77777777" w:rsidR="00DF410E" w:rsidRDefault="00CE7F43">
      <w:pPr>
        <w:pStyle w:val="pheading"/>
      </w:pPr>
      <w:r>
        <w:t>- nature du marché:</w:t>
      </w:r>
    </w:p>
    <w:p w14:paraId="5705D5C5" w14:textId="77777777" w:rsidR="00DF410E" w:rsidRDefault="00CE7F43">
      <w:r>
        <w:t>QF</w:t>
      </w:r>
    </w:p>
    <w:p w14:paraId="15E6DC6E" w14:textId="77777777" w:rsidR="00DF410E" w:rsidRDefault="00CE7F43">
      <w:pPr>
        <w:pStyle w:val="Author-eSectionHeading6"/>
      </w:pPr>
      <w:bookmarkStart w:id="2066" w:name="_Toc178839110"/>
      <w:r>
        <w:t>27.12.1b Boisseaux maçonnés en éléments en terre cuite CCTB 01.10</w:t>
      </w:r>
      <w:bookmarkEnd w:id="2066"/>
    </w:p>
    <w:p w14:paraId="54A33716" w14:textId="77777777" w:rsidR="00DF410E" w:rsidRDefault="00CE7F43">
      <w:pPr>
        <w:pStyle w:val="pheading"/>
      </w:pPr>
      <w:r>
        <w:t>MATÉRIAUX</w:t>
      </w:r>
    </w:p>
    <w:p w14:paraId="148519A4" w14:textId="77777777" w:rsidR="00DF410E" w:rsidRDefault="00CE7F43">
      <w:pPr>
        <w:pStyle w:val="pheading"/>
      </w:pPr>
      <w:r>
        <w:t>- Caractéristiques générales</w:t>
      </w:r>
    </w:p>
    <w:p w14:paraId="51356977" w14:textId="77777777" w:rsidR="00DF410E" w:rsidRDefault="00CE7F43">
      <w:r>
        <w:t xml:space="preserve">Les conduits répondent à la [NBN EN 1457-1] et [NBN EN 1457-2]. Les conduits sont fabriqués à base de chamotte jaune réfractaire. Le matériau du conduit extérieur peut également être constitué de </w:t>
      </w:r>
      <w:r>
        <w:rPr>
          <w:rStyle w:val="optioncarChar"/>
        </w:rPr>
        <w:t xml:space="preserve">fibres-ciment exempt d'amiante / de béton d'argile expansée. </w:t>
      </w:r>
      <w:r>
        <w:t>Le mortier de maçonnerie répond à la catégorie   selon la [NBN EN 998-2]. Les adjuvants dans le mortier ne sont autorisés qu'avec l'accord de l'auteur de projet. Les retardateurs de prise ne sont pas autorisés. </w:t>
      </w:r>
    </w:p>
    <w:p w14:paraId="091BDF9D" w14:textId="77777777" w:rsidR="00DF410E" w:rsidRDefault="00CE7F43">
      <w:pPr>
        <w:pStyle w:val="heading"/>
      </w:pPr>
      <w:r>
        <w:t>Spécifications</w:t>
      </w:r>
    </w:p>
    <w:p w14:paraId="0D5E344C" w14:textId="77777777" w:rsidR="00DF410E" w:rsidRDefault="00CE7F43">
      <w:r>
        <w:t xml:space="preserve">Type : </w:t>
      </w:r>
      <w:r>
        <w:rPr>
          <w:rStyle w:val="optioncarChar"/>
        </w:rPr>
        <w:t>à paroi simple / à double paroi isolée</w:t>
      </w:r>
      <w:r>
        <w:t xml:space="preserve"> (isolation : laine de roche réfractaire, masse volumique minimale 120 kg/m</w:t>
      </w:r>
      <w:r>
        <w:rPr>
          <w:vertAlign w:val="superscript"/>
        </w:rPr>
        <w:t>3</w:t>
      </w:r>
      <w:r>
        <w:t xml:space="preserve">, épaisseur </w:t>
      </w:r>
      <w:r>
        <w:rPr>
          <w:rStyle w:val="optioncarChar"/>
        </w:rPr>
        <w:t>35 </w:t>
      </w:r>
      <w:r>
        <w:t xml:space="preserve">(par défaut) </w:t>
      </w:r>
      <w:r>
        <w:rPr>
          <w:rStyle w:val="optioncarChar"/>
        </w:rPr>
        <w:t>/ 40 / 50 / ***</w:t>
      </w:r>
      <w:r>
        <w:t xml:space="preserve"> mm)</w:t>
      </w:r>
    </w:p>
    <w:p w14:paraId="72090C2B" w14:textId="77777777" w:rsidR="00DF410E" w:rsidRDefault="00CE7F43">
      <w:r>
        <w:t xml:space="preserve">Masse volumique : maximum </w:t>
      </w:r>
      <w:r>
        <w:rPr>
          <w:rStyle w:val="optioncarChar"/>
        </w:rPr>
        <w:t>1.600 </w:t>
      </w:r>
      <w:r>
        <w:t>(par défaut)</w:t>
      </w:r>
      <w:r>
        <w:rPr>
          <w:rStyle w:val="optioncarChar"/>
        </w:rPr>
        <w:t xml:space="preserve"> / ***</w:t>
      </w:r>
      <w:r>
        <w:t xml:space="preserve"> kg/m</w:t>
      </w:r>
      <w:r>
        <w:rPr>
          <w:vertAlign w:val="superscript"/>
        </w:rPr>
        <w:t>3</w:t>
      </w:r>
    </w:p>
    <w:p w14:paraId="6024AF2D" w14:textId="77777777" w:rsidR="00DF410E" w:rsidRDefault="00CE7F43">
      <w:r>
        <w:t xml:space="preserve">Résistance moyenne à la compression : au moins </w:t>
      </w:r>
      <w:r>
        <w:rPr>
          <w:rStyle w:val="optioncarChar"/>
        </w:rPr>
        <w:t>15 </w:t>
      </w:r>
      <w:r>
        <w:t>(par défaut)</w:t>
      </w:r>
      <w:r>
        <w:rPr>
          <w:rStyle w:val="optioncarChar"/>
        </w:rPr>
        <w:t xml:space="preserve"> / ***</w:t>
      </w:r>
      <w:r>
        <w:t xml:space="preserve"> N/mm</w:t>
      </w:r>
      <w:r>
        <w:rPr>
          <w:vertAlign w:val="superscript"/>
        </w:rPr>
        <w:t>2</w:t>
      </w:r>
      <w:r>
        <w:t xml:space="preserve"> (MPa)</w:t>
      </w:r>
    </w:p>
    <w:p w14:paraId="7A613E5D" w14:textId="77777777" w:rsidR="00DF410E" w:rsidRDefault="00CE7F43">
      <w:r>
        <w:t xml:space="preserve">Porosité : inférieure à </w:t>
      </w:r>
      <w:r>
        <w:rPr>
          <w:rStyle w:val="optioncarChar"/>
        </w:rPr>
        <w:t>8 </w:t>
      </w:r>
      <w:r>
        <w:t>(par défaut)</w:t>
      </w:r>
      <w:r>
        <w:rPr>
          <w:rStyle w:val="optioncarChar"/>
        </w:rPr>
        <w:t xml:space="preserve"> / ***</w:t>
      </w:r>
      <w:r>
        <w:t xml:space="preserve"> %</w:t>
      </w:r>
    </w:p>
    <w:p w14:paraId="7FA28100" w14:textId="77777777" w:rsidR="00DF410E" w:rsidRDefault="00CE7F43">
      <w:r>
        <w:t xml:space="preserve">Résistance thermique : au moins jusqu'à </w:t>
      </w:r>
      <w:r>
        <w:rPr>
          <w:rStyle w:val="optioncarChar"/>
        </w:rPr>
        <w:t>300 </w:t>
      </w:r>
      <w:r>
        <w:t>(par défaut)</w:t>
      </w:r>
      <w:r>
        <w:rPr>
          <w:rStyle w:val="optioncarChar"/>
        </w:rPr>
        <w:t xml:space="preserve"> / 500 / 900</w:t>
      </w:r>
    </w:p>
    <w:p w14:paraId="183BC9B9" w14:textId="77777777" w:rsidR="00DF410E" w:rsidRDefault="00CE7F43">
      <w:r>
        <w:t>Autres conduits :</w:t>
      </w:r>
    </w:p>
    <w:p w14:paraId="48B68743" w14:textId="77777777" w:rsidR="00DF410E" w:rsidRDefault="00CE7F43">
      <w:r>
        <w:t xml:space="preserve">de fumée : conduit </w:t>
      </w:r>
      <w:r>
        <w:rPr>
          <w:rStyle w:val="optioncarChar"/>
        </w:rPr>
        <w:t xml:space="preserve">simple </w:t>
      </w:r>
      <w:r>
        <w:t>(par défaut) </w:t>
      </w:r>
      <w:r>
        <w:rPr>
          <w:rStyle w:val="optioncarChar"/>
        </w:rPr>
        <w:t xml:space="preserve">/ double / multiple / *** </w:t>
      </w:r>
    </w:p>
    <w:p w14:paraId="1D6FF301" w14:textId="77777777" w:rsidR="00DF410E" w:rsidRDefault="00CE7F43">
      <w:r>
        <w:t xml:space="preserve">pour d'autres applications : conduit </w:t>
      </w:r>
      <w:r>
        <w:rPr>
          <w:rStyle w:val="optioncarChar"/>
        </w:rPr>
        <w:t>simple </w:t>
      </w:r>
      <w:r>
        <w:t>(par défaut)</w:t>
      </w:r>
      <w:r>
        <w:rPr>
          <w:rStyle w:val="optioncarChar"/>
        </w:rPr>
        <w:t xml:space="preserve"> / double / multiple / ***</w:t>
      </w:r>
    </w:p>
    <w:p w14:paraId="6ACA22C9" w14:textId="77777777" w:rsidR="00DF410E" w:rsidRDefault="00CE7F43">
      <w:r>
        <w:t xml:space="preserve">Les dimensions intérieures des conduits respectifs sont </w:t>
      </w:r>
      <w:r>
        <w:rPr>
          <w:rStyle w:val="optioncarChar"/>
        </w:rPr>
        <w:t>conformes à l'étude / conformes aux indications sur les plans / de dimensions identiques / de dimensions différentes / conformes à la liste ci-dessous </w:t>
      </w:r>
      <w:r>
        <w:t>(par défaut)</w:t>
      </w:r>
      <w:r>
        <w:rPr>
          <w:rStyle w:val="optioncarChar"/>
        </w:rPr>
        <w:t xml:space="preserve"> :</w:t>
      </w:r>
    </w:p>
    <w:p w14:paraId="67A5666A" w14:textId="77777777" w:rsidR="00DF410E" w:rsidRDefault="00CE7F43">
      <w:r>
        <w:t xml:space="preserve">Dimensions intérieures : </w:t>
      </w:r>
      <w:r>
        <w:rPr>
          <w:rStyle w:val="optioncarChar"/>
        </w:rPr>
        <w:t>à simple paroi</w:t>
      </w:r>
      <w:r>
        <w:t> (par défaut)</w:t>
      </w:r>
      <w:r>
        <w:rPr>
          <w:rStyle w:val="optioncarChar"/>
        </w:rPr>
        <w:t xml:space="preserve"> / à double paroi / à double paroi et deux conduits</w:t>
      </w:r>
    </w:p>
    <w:p w14:paraId="4F56D1D7" w14:textId="77777777" w:rsidR="00DF410E" w:rsidRDefault="00CE7F43">
      <w:r>
        <w:rPr>
          <w:b/>
        </w:rPr>
        <w:t>(soit)</w:t>
      </w:r>
      <w:r>
        <w:br/>
      </w:r>
      <w:r>
        <w:rPr>
          <w:rStyle w:val="soitChar"/>
          <w:u w:val="single"/>
        </w:rPr>
        <w:t>à simple paroi</w:t>
      </w:r>
      <w:r>
        <w:rPr>
          <w:rStyle w:val="soitChar"/>
        </w:rPr>
        <w:t xml:space="preserve">, dimensions intérieures : </w:t>
      </w:r>
      <w:r>
        <w:rPr>
          <w:rStyle w:val="optioncarChar"/>
        </w:rPr>
        <w:t>150x150 </w:t>
      </w:r>
      <w:r>
        <w:t>(par défaut)</w:t>
      </w:r>
      <w:r>
        <w:rPr>
          <w:rStyle w:val="optioncarChar"/>
        </w:rPr>
        <w:t xml:space="preserve"> / 200x200 / 200x250 / 200x300 / 250x300 / 300x300 / ***x***</w:t>
      </w:r>
      <w:r>
        <w:rPr>
          <w:rStyle w:val="soitChar"/>
        </w:rPr>
        <w:t xml:space="preserve"> mm</w:t>
      </w:r>
    </w:p>
    <w:p w14:paraId="50BCFD12" w14:textId="77777777" w:rsidR="00DF410E" w:rsidRDefault="00CE7F43">
      <w:r>
        <w:rPr>
          <w:b/>
        </w:rPr>
        <w:t>(soit)</w:t>
      </w:r>
    </w:p>
    <w:p w14:paraId="7D457ED1" w14:textId="77777777" w:rsidR="00DF410E" w:rsidRDefault="00CE7F43">
      <w:r>
        <w:rPr>
          <w:rStyle w:val="soitChar"/>
          <w:u w:val="single"/>
        </w:rPr>
        <w:t>à double paroi</w:t>
      </w:r>
      <w:r>
        <w:rPr>
          <w:rStyle w:val="soitChar"/>
        </w:rPr>
        <w:t xml:space="preserve">, dimensions intérieures. : </w:t>
      </w:r>
      <w:r>
        <w:rPr>
          <w:rStyle w:val="optioncarChar"/>
        </w:rPr>
        <w:t>140x200</w:t>
      </w:r>
      <w:r>
        <w:t> (par défaut)</w:t>
      </w:r>
      <w:r>
        <w:rPr>
          <w:rStyle w:val="optioncarChar"/>
        </w:rPr>
        <w:t xml:space="preserve"> / 200x200 / 250x250 / 200x400 / *** x ***</w:t>
      </w:r>
      <w:r>
        <w:rPr>
          <w:rStyle w:val="soitChar"/>
        </w:rPr>
        <w:t xml:space="preserve"> mm</w:t>
      </w:r>
    </w:p>
    <w:p w14:paraId="6E1F0B9D" w14:textId="77777777" w:rsidR="00DF410E" w:rsidRDefault="00CE7F43">
      <w:r>
        <w:rPr>
          <w:b/>
        </w:rPr>
        <w:t>(soit)</w:t>
      </w:r>
    </w:p>
    <w:p w14:paraId="380D7142" w14:textId="77777777" w:rsidR="00DF410E" w:rsidRDefault="00CE7F43">
      <w:r>
        <w:rPr>
          <w:rStyle w:val="soitChar"/>
          <w:u w:val="single"/>
        </w:rPr>
        <w:t>à double paroi et deux conduits</w:t>
      </w:r>
      <w:r>
        <w:rPr>
          <w:rStyle w:val="optioncarChar"/>
        </w:rPr>
        <w:t>2x140x200 </w:t>
      </w:r>
      <w:r>
        <w:t>(par défaut)</w:t>
      </w:r>
      <w:r>
        <w:rPr>
          <w:rStyle w:val="optioncarChar"/>
        </w:rPr>
        <w:t xml:space="preserve"> / 140x200 et 200x200 / 2x200x200 / *** x ***</w:t>
      </w:r>
      <w:r>
        <w:rPr>
          <w:rStyle w:val="soitChar"/>
        </w:rPr>
        <w:t xml:space="preserve"> mm</w:t>
      </w:r>
    </w:p>
    <w:p w14:paraId="76BEC81D" w14:textId="77777777" w:rsidR="00DF410E" w:rsidRDefault="00CE7F43">
      <w:pPr>
        <w:pStyle w:val="pheading"/>
      </w:pPr>
      <w:r>
        <w:t>EXÉCUTION / MISE EN ŒUVRE</w:t>
      </w:r>
    </w:p>
    <w:p w14:paraId="10100A42" w14:textId="77777777" w:rsidR="00DF410E" w:rsidRDefault="00CE7F43">
      <w:pPr>
        <w:pStyle w:val="pheading"/>
      </w:pPr>
      <w:r>
        <w:t>- Prescriptions générales</w:t>
      </w:r>
    </w:p>
    <w:p w14:paraId="5266340F" w14:textId="77777777" w:rsidR="00DF410E" w:rsidRDefault="00CE7F43">
      <w:r>
        <w:t>Le conduit est étanche aux gaz. Les joints présentent une épaisseur minimale (5 à 10 mm). Le mortier à jointoyer est bien compacté de l'extérieur, et ensuite parfaitement lissé à l’intérieur et ébarbé. Les conduits sont posés avec le bout mâle dirigé vers le bas. Chaque conduit est pourvu d’un orifice de nettoyage.</w:t>
      </w:r>
    </w:p>
    <w:p w14:paraId="35E7F220" w14:textId="77777777" w:rsidR="00DF410E" w:rsidRDefault="00CE7F43">
      <w:pPr>
        <w:pStyle w:val="pheading"/>
      </w:pPr>
      <w:r>
        <w:t>- Notes d’exécution complémentaires</w:t>
      </w:r>
    </w:p>
    <w:p w14:paraId="1E4084D4" w14:textId="77777777" w:rsidR="00DF410E" w:rsidRDefault="00CE7F43">
      <w:r>
        <w:t>Les éléments résistant à des températures d’au moins 300</w:t>
      </w:r>
      <w:r>
        <w:rPr>
          <w:rFonts w:ascii="Symbol"/>
        </w:rPr>
        <w:t>°</w:t>
      </w:r>
      <w:r>
        <w:t> C sont posés au mortier réfractaire.</w:t>
      </w:r>
    </w:p>
    <w:p w14:paraId="2C346C45" w14:textId="77777777" w:rsidR="00DF410E" w:rsidRDefault="00CE7F43">
      <w:r>
        <w:t>Les conduits de fumée sont intégrés dans une gaine maçonnée, qui est liaisonnée en appareil à la maçonnerie attenante. La maçonnerie répond aux prescriptions de la [NBN EN 1457-1] et [NBN EN 1457-2]</w:t>
      </w:r>
      <w:r>
        <w:br/>
        <w:t xml:space="preserve">et aux dispositions du chapitre </w:t>
      </w:r>
      <w:hyperlink w:anchor="293" w:history="1">
        <w:r>
          <w:t>21 Superstructures en maçonnerie</w:t>
        </w:r>
      </w:hyperlink>
      <w:r>
        <w:t>. </w:t>
      </w:r>
    </w:p>
    <w:p w14:paraId="722A4FD5" w14:textId="77777777" w:rsidR="00DF410E" w:rsidRDefault="00CE7F43">
      <w:r>
        <w:t>(Attention : Compris dans le prix de la maçonnerie intérieure).</w:t>
      </w:r>
    </w:p>
    <w:p w14:paraId="5C458421" w14:textId="77777777" w:rsidR="00DF410E" w:rsidRDefault="00CE7F43">
      <w:r>
        <w:t>Un joint de dilatation doit être prévu avant de poser la dalle de couverture afin d'assurer la libre dilatation des conduits de fumée.</w:t>
      </w:r>
    </w:p>
    <w:p w14:paraId="71EAD99A" w14:textId="77777777" w:rsidR="00DF410E" w:rsidRDefault="00CE7F43">
      <w:r>
        <w:t>Lorsque l'installation de chauffage prévoit une chaudière de haut rendement ou à condensation, il faut prévoir un bac de recueillement des condensats avec une évacuation vers l'égout.</w:t>
      </w:r>
    </w:p>
    <w:p w14:paraId="59AACD33" w14:textId="77777777" w:rsidR="00DF410E" w:rsidRDefault="00CE7F43">
      <w:pPr>
        <w:pStyle w:val="pheading"/>
      </w:pPr>
      <w:r>
        <w:t>MESURAGE</w:t>
      </w:r>
    </w:p>
    <w:p w14:paraId="088EF8DE" w14:textId="77777777" w:rsidR="00DF410E" w:rsidRDefault="00CE7F43">
      <w:pPr>
        <w:pStyle w:val="pheading"/>
      </w:pPr>
      <w:r>
        <w:t>- unité de mesure:</w:t>
      </w:r>
    </w:p>
    <w:p w14:paraId="6FEE203B" w14:textId="77777777" w:rsidR="00DF410E" w:rsidRDefault="00CE7F43">
      <w:r>
        <w:t xml:space="preserve">Choix opéré : </w:t>
      </w:r>
      <w:r>
        <w:rPr>
          <w:rStyle w:val="optioncarChar"/>
        </w:rPr>
        <w:t xml:space="preserve">m </w:t>
      </w:r>
      <w:r>
        <w:t>(par défaut)</w:t>
      </w:r>
      <w:r>
        <w:rPr>
          <w:rStyle w:val="optioncarChar"/>
        </w:rPr>
        <w:t xml:space="preserve"> / pc</w:t>
      </w:r>
    </w:p>
    <w:p w14:paraId="1D57717F" w14:textId="77777777" w:rsidR="00DF410E" w:rsidRDefault="00CE7F43">
      <w:pPr>
        <w:pStyle w:val="pheading"/>
      </w:pPr>
      <w:r>
        <w:t>- code de mesurage:</w:t>
      </w:r>
    </w:p>
    <w:p w14:paraId="3EA9C491" w14:textId="77777777" w:rsidR="00DF410E" w:rsidRDefault="00CE7F43">
      <w:r>
        <w:t xml:space="preserve">Choix opéré : </w:t>
      </w:r>
      <w:r>
        <w:rPr>
          <w:rStyle w:val="optioncarChar"/>
        </w:rPr>
        <w:t>longueur nette de conduit de cheminée / à la pièce</w:t>
      </w:r>
      <w:r>
        <w:t> </w:t>
      </w:r>
    </w:p>
    <w:p w14:paraId="11E6C7B2" w14:textId="77777777" w:rsidR="00DF410E" w:rsidRDefault="00CE7F43">
      <w:pPr>
        <w:pStyle w:val="Author-eListParagraph"/>
        <w:numPr>
          <w:ilvl w:val="0"/>
          <w:numId w:val="1147"/>
        </w:numPr>
      </w:pPr>
      <w:r>
        <w:rPr>
          <w:b/>
        </w:rPr>
        <w:t>(soit par défaut)</w:t>
      </w:r>
    </w:p>
    <w:p w14:paraId="5D87A30C" w14:textId="77777777" w:rsidR="00DF410E" w:rsidRDefault="00CE7F43">
      <w:r>
        <w:rPr>
          <w:rStyle w:val="soitChar"/>
        </w:rPr>
        <w:t xml:space="preserve">1. </w:t>
      </w:r>
      <w:r>
        <w:rPr>
          <w:rStyle w:val="soitChar"/>
          <w:u w:val="single"/>
        </w:rPr>
        <w:t>Longueur nette de conduit de cheminée</w:t>
      </w:r>
      <w:r>
        <w:rPr>
          <w:rStyle w:val="soitChar"/>
        </w:rPr>
        <w:t xml:space="preserve"> à exécuter, mesurée dans l'axe du conduit, depuis le point le plus bas de l'élément inférieur jusqu'au point le plus haut de l'élément supérieur.</w:t>
      </w:r>
    </w:p>
    <w:p w14:paraId="3786E3B8" w14:textId="77777777" w:rsidR="00DF410E" w:rsidRDefault="00CE7F43">
      <w:pPr>
        <w:pStyle w:val="Author-eListParagraph"/>
        <w:numPr>
          <w:ilvl w:val="0"/>
          <w:numId w:val="1148"/>
        </w:numPr>
      </w:pPr>
      <w:r>
        <w:rPr>
          <w:b/>
        </w:rPr>
        <w:t>(soit)</w:t>
      </w:r>
    </w:p>
    <w:p w14:paraId="4CDAD3F3" w14:textId="77777777" w:rsidR="00DF410E" w:rsidRDefault="00CE7F43">
      <w:r>
        <w:rPr>
          <w:rStyle w:val="soitChar"/>
        </w:rPr>
        <w:t>2. </w:t>
      </w:r>
      <w:r>
        <w:rPr>
          <w:rStyle w:val="soitChar"/>
          <w:u w:val="single"/>
        </w:rPr>
        <w:t>A la pièce</w:t>
      </w:r>
      <w:r>
        <w:rPr>
          <w:rStyle w:val="soitChar"/>
        </w:rPr>
        <w:t>, ventilé selon le type et les  dimensions.</w:t>
      </w:r>
    </w:p>
    <w:p w14:paraId="0201DD69" w14:textId="77777777" w:rsidR="00DF410E" w:rsidRDefault="00CE7F43">
      <w:pPr>
        <w:pStyle w:val="pheading"/>
      </w:pPr>
      <w:r>
        <w:t>- nature du marché:</w:t>
      </w:r>
    </w:p>
    <w:p w14:paraId="1C97A73D" w14:textId="77777777" w:rsidR="00DF410E" w:rsidRDefault="00CE7F43">
      <w:r>
        <w:t>QF</w:t>
      </w:r>
    </w:p>
    <w:p w14:paraId="00F79B72" w14:textId="77777777" w:rsidR="00DF410E" w:rsidRDefault="00CE7F43">
      <w:pPr>
        <w:pStyle w:val="Author-eSectionHeading3"/>
      </w:pPr>
      <w:bookmarkStart w:id="2067" w:name="_Toc178839111"/>
      <w:r>
        <w:t>27.2 Conduits de ventilation maçonnés CCTB 01.11</w:t>
      </w:r>
      <w:bookmarkEnd w:id="2067"/>
    </w:p>
    <w:p w14:paraId="36130515" w14:textId="77777777" w:rsidR="00DF410E" w:rsidRDefault="00CE7F43">
      <w:pPr>
        <w:pStyle w:val="pheading"/>
      </w:pPr>
      <w:bookmarkStart w:id="2068" w:name="687"/>
      <w:bookmarkEnd w:id="2068"/>
      <w:r>
        <w:t>DESCRIPTION</w:t>
      </w:r>
    </w:p>
    <w:p w14:paraId="12B6D7F7" w14:textId="77777777" w:rsidR="00DF410E" w:rsidRDefault="00CE7F43">
      <w:pPr>
        <w:pStyle w:val="pheading"/>
      </w:pPr>
      <w:r>
        <w:t>- Définition / Comprend</w:t>
      </w:r>
    </w:p>
    <w:p w14:paraId="0B87DBCD" w14:textId="77777777" w:rsidR="00DF410E" w:rsidRDefault="00CE7F43">
      <w:r>
        <w:t>Le poste "conduits de ventilation" comporte tous les travaux et fournitures en vue de l'installation des conduits de de ventilation, composées d'un ou de plusieurs conduits préfabriqués destinés à l'évacuation ou amenée d'air pour les installations de traitement d'air et/ou de ventilation. Toutes les pièces et accessoires, nécessaires à la stabilité et au bon fonctionnement de l'ensemble sont compris, même s'ils ne sont pas explicitement mentionnés dans le présent descriptif (éléments shunt, éléments d'ancrage et de fixation, isolation spéciale, bac de recueillement de condensats, …). Conformément aux dispositions du cahier spécial des charges, les prix unitaires compris dans ce poste, doivent toujours comprendre, soit selon la ventilation explicite du métré récapitulatif, soit dans leur totalité :</w:t>
      </w:r>
    </w:p>
    <w:p w14:paraId="7607FC5E" w14:textId="77777777" w:rsidR="00DF410E" w:rsidRDefault="00CE7F43">
      <w:pPr>
        <w:pStyle w:val="Author-eListParagraph"/>
        <w:numPr>
          <w:ilvl w:val="0"/>
          <w:numId w:val="1149"/>
        </w:numPr>
      </w:pPr>
      <w:r>
        <w:t xml:space="preserve">les éléments de cheminée, éléments shunt , </w:t>
      </w:r>
      <w:r>
        <w:rPr>
          <w:rStyle w:val="optioncarChar"/>
        </w:rPr>
        <w:t>***</w:t>
      </w:r>
      <w:r>
        <w:t>;</w:t>
      </w:r>
    </w:p>
    <w:p w14:paraId="2B69AB7E" w14:textId="77777777" w:rsidR="00DF410E" w:rsidRDefault="00CE7F43">
      <w:pPr>
        <w:pStyle w:val="Author-eListParagraph"/>
        <w:numPr>
          <w:ilvl w:val="0"/>
          <w:numId w:val="1149"/>
        </w:numPr>
      </w:pPr>
      <w:r>
        <w:t>la maçonnerie attenante, dans la mesure où elle n'est pas comprise dans le prix de la maçonnerie d'élévation;</w:t>
      </w:r>
    </w:p>
    <w:p w14:paraId="0FE4D8AB" w14:textId="77777777" w:rsidR="00DF410E" w:rsidRDefault="00CE7F43">
      <w:pPr>
        <w:pStyle w:val="Author-eListParagraph"/>
        <w:numPr>
          <w:ilvl w:val="0"/>
          <w:numId w:val="1149"/>
        </w:numPr>
      </w:pPr>
      <w:r>
        <w:t>les dispositifs pour les pénétrations de toiture, en fonction des matériaux de revêtement de toiture;</w:t>
      </w:r>
    </w:p>
    <w:p w14:paraId="5958CE11" w14:textId="77777777" w:rsidR="00DF410E" w:rsidRDefault="00CE7F43">
      <w:pPr>
        <w:pStyle w:val="Author-eListParagraph"/>
        <w:numPr>
          <w:ilvl w:val="0"/>
          <w:numId w:val="1149"/>
        </w:numPr>
      </w:pPr>
      <w:r>
        <w:t>l'isolation appropriée, permettant d’améliorer la résistance au feu de la paroi;</w:t>
      </w:r>
    </w:p>
    <w:p w14:paraId="3EE659FD" w14:textId="77777777" w:rsidR="00DF410E" w:rsidRDefault="00CE7F43">
      <w:pPr>
        <w:pStyle w:val="Author-eListParagraph"/>
        <w:numPr>
          <w:ilvl w:val="0"/>
          <w:numId w:val="1149"/>
        </w:numPr>
      </w:pPr>
      <w:r>
        <w:t>tous les accessoires et pièces nécessaires (regards de visite, pièces de raccordement, pièces de jonction, registre, recueil des condensats, etc.).</w:t>
      </w:r>
    </w:p>
    <w:p w14:paraId="26170366" w14:textId="77777777" w:rsidR="00DF410E" w:rsidRDefault="00CE7F43">
      <w:pPr>
        <w:pStyle w:val="pheading"/>
      </w:pPr>
      <w:r>
        <w:t>MATÉRIAUX</w:t>
      </w:r>
    </w:p>
    <w:p w14:paraId="5BEA1447" w14:textId="77777777" w:rsidR="00DF410E" w:rsidRDefault="00CE7F43">
      <w:r>
        <w:t>Les matériaux conviennent pour les installations qui y sont raccordées. Tous les éléments et leurs accessoires sont compatibles mutuellement, accordés l'un à l'autre et formeront, après leur mise en œuvre, un ensemble cohérent. Les accessoires utiles sont déterminés en concertation avec l'auteur de projet et sont de préférence livrés par le même fabricant. Les accessoires spécifiques tels que les shunts, les changements de diamètre ou de section, les branchements, … méritent qu'on leur accorde une attention particulière.</w:t>
      </w:r>
    </w:p>
    <w:p w14:paraId="3E18D8C9" w14:textId="77777777" w:rsidR="00DF410E" w:rsidRDefault="00CE7F43">
      <w:pPr>
        <w:pStyle w:val="pheading"/>
      </w:pPr>
      <w:r>
        <w:t>EXÉCUTION / MISE EN ŒUVRE</w:t>
      </w:r>
    </w:p>
    <w:p w14:paraId="5A416D8F" w14:textId="77777777" w:rsidR="00DF410E" w:rsidRDefault="00CE7F43">
      <w:pPr>
        <w:pStyle w:val="heading"/>
      </w:pPr>
      <w:r>
        <w:t>Généralités</w:t>
      </w:r>
    </w:p>
    <w:p w14:paraId="1B14FF49" w14:textId="77777777" w:rsidR="00DF410E" w:rsidRDefault="00CE7F43">
      <w:r>
        <w:t>L'exécution s'effectue conformément aux indications sur les plans, les prescriptions du fabricant et les prescriptions en matière de sécurité incendie. A cet effet, l'entrepreneur soumet en temps utile les plans d'exécution à l'approbation de l'auteur de projet, en mentionnant tous les éléments et les accessoires.</w:t>
      </w:r>
    </w:p>
    <w:p w14:paraId="0F92626C" w14:textId="77777777" w:rsidR="00DF410E" w:rsidRDefault="00CE7F43">
      <w:r>
        <w:t>Il est strictement interdit de brancher des conduits d'évacuation de fumée ou de gaz sur les conduits de ventilation.</w:t>
      </w:r>
    </w:p>
    <w:p w14:paraId="7DD686F9" w14:textId="77777777" w:rsidR="00DF410E" w:rsidRDefault="00CE7F43">
      <w:r>
        <w:t>En ce qui concerne l'intégration des éléments dans les gaines, les activités sont particulièrement bien coordonnées avec les travaux de gros-œuvre et de toiture. La résistance mécanique des conduits autoportants est équivalente à celle de la stabilité de l'ensemble de l'ouvrage de construction.</w:t>
      </w:r>
    </w:p>
    <w:p w14:paraId="2A04F213" w14:textId="77777777" w:rsidR="00DF410E" w:rsidRDefault="00CE7F43">
      <w:r>
        <w:t>Les précautions sont prises pour que l'eau de condensation ne puisse pas couler du conduit de cheminée afin de prévenir la corrosion des autres matériaux et finitions.</w:t>
      </w:r>
    </w:p>
    <w:p w14:paraId="1AC780DF" w14:textId="77777777" w:rsidR="00DF410E" w:rsidRDefault="00CE7F43">
      <w:pPr>
        <w:pStyle w:val="heading"/>
      </w:pPr>
      <w:r>
        <w:t>Maçonnerie</w:t>
      </w:r>
    </w:p>
    <w:p w14:paraId="72A7A6CD" w14:textId="77777777" w:rsidR="00DF410E" w:rsidRDefault="00CE7F43">
      <w:r>
        <w:t>Conformément aux indications sur les plans, un mur est érigé autour des conduits d'air. Il est liaisonné en appareil dans les murs porteurs attenants. La maçonnerie satisfait aux prescriptions de la [NBN EN 1457-1] et [NBN EN 1457-2], complétée par les dispositions de la section </w:t>
      </w:r>
      <w:hyperlink w:anchor="293" w:history="1">
        <w:r>
          <w:t>21 Superstructures en maçonnerie</w:t>
        </w:r>
      </w:hyperlink>
    </w:p>
    <w:p w14:paraId="24B704BB" w14:textId="77777777" w:rsidR="00DF410E" w:rsidRDefault="00CE7F43">
      <w:r>
        <w:t>(Attention : Compris dans le prix de la maçonnerie intérieure).</w:t>
      </w:r>
    </w:p>
    <w:p w14:paraId="1C3D2FF6" w14:textId="77777777" w:rsidR="00DF410E" w:rsidRDefault="00CE7F43">
      <w:r>
        <w:t xml:space="preserve">Épaisseur de la maçonnerie : </w:t>
      </w:r>
      <w:r>
        <w:rPr>
          <w:rStyle w:val="optioncarChar"/>
        </w:rPr>
        <w:t>9 / 14 / 19</w:t>
      </w:r>
    </w:p>
    <w:p w14:paraId="7265A26B" w14:textId="77777777" w:rsidR="00DF410E" w:rsidRDefault="00CE7F43">
      <w:r>
        <w:t xml:space="preserve">Nombre de faces à maçonner autour du conduit de cheminée : </w:t>
      </w:r>
      <w:r>
        <w:rPr>
          <w:rStyle w:val="optioncarChar"/>
        </w:rPr>
        <w:t>1 / 2 / 3 / 4</w:t>
      </w:r>
      <w:r>
        <w:t>. </w:t>
      </w:r>
    </w:p>
    <w:p w14:paraId="4014C999" w14:textId="77777777" w:rsidR="00DF410E" w:rsidRDefault="00CE7F43">
      <w:pPr>
        <w:pStyle w:val="heading"/>
      </w:pPr>
      <w:r>
        <w:t>Sécurité</w:t>
      </w:r>
    </w:p>
    <w:p w14:paraId="7886CD9E" w14:textId="77777777" w:rsidR="00DF410E" w:rsidRDefault="00CE7F43">
      <w:r>
        <w:t xml:space="preserve">Conformément au chapitre   </w:t>
      </w:r>
      <w:hyperlink r:id="rId527" w:history="1" w:docLocation="561">
        <w:r>
          <w:t>01.42 PSS travaux de superstructure</w:t>
        </w:r>
      </w:hyperlink>
      <w:r>
        <w:t>, établie par le coordinateur-projet et annexé au cahier spécial des charges. Toutes les directives en cette matière et les indications concrètes du coordinateur-réalisation sont scrupuleusement respectées.</w:t>
      </w:r>
    </w:p>
    <w:p w14:paraId="668B1AD6" w14:textId="77777777" w:rsidR="00DF410E" w:rsidRDefault="00CE7F43">
      <w:pPr>
        <w:pStyle w:val="Author-eSectionHeading4"/>
      </w:pPr>
      <w:bookmarkStart w:id="2069" w:name="_Toc178839112"/>
      <w:r>
        <w:t>27.21 Conduits de ventilation maçonnés CCTB 01.02</w:t>
      </w:r>
      <w:bookmarkEnd w:id="2069"/>
    </w:p>
    <w:p w14:paraId="01916813" w14:textId="77777777" w:rsidR="00DF410E" w:rsidRDefault="00CE7F43">
      <w:pPr>
        <w:pStyle w:val="Author-eSectionHeading5"/>
      </w:pPr>
      <w:bookmarkStart w:id="2070" w:name="_Toc178839113"/>
      <w:r>
        <w:t>27.21.1 Conduits de ventilation maçonnés CCTB 01.11</w:t>
      </w:r>
      <w:bookmarkEnd w:id="2070"/>
    </w:p>
    <w:p w14:paraId="42525CB2" w14:textId="77777777" w:rsidR="00DF410E" w:rsidRDefault="00CE7F43">
      <w:pPr>
        <w:pStyle w:val="pheading"/>
      </w:pPr>
      <w:r>
        <w:t>EXÉCUTION / MISE EN ŒUVRE</w:t>
      </w:r>
    </w:p>
    <w:p w14:paraId="6CBAF08E" w14:textId="77777777" w:rsidR="00DF410E" w:rsidRDefault="00CE7F43">
      <w:r>
        <w:t>Conformément aux indications sur les plans, un mur est érigé autour des conduits d'air. Il est liaisonné en appareil dans les murs porteurs attenants. </w:t>
      </w:r>
    </w:p>
    <w:p w14:paraId="5AAB5F5C" w14:textId="77777777" w:rsidR="00DF410E" w:rsidRDefault="00CE7F43">
      <w:r>
        <w:t xml:space="preserve">Épaisseur de la maçonnerie : </w:t>
      </w:r>
      <w:r>
        <w:rPr>
          <w:rStyle w:val="optioncarChar"/>
        </w:rPr>
        <w:t xml:space="preserve">9 </w:t>
      </w:r>
      <w:r>
        <w:t>(par défaut) </w:t>
      </w:r>
      <w:r>
        <w:rPr>
          <w:rStyle w:val="optioncarChar"/>
        </w:rPr>
        <w:t>/ 14 / 19</w:t>
      </w:r>
      <w:r>
        <w:t xml:space="preserve"> cm</w:t>
      </w:r>
    </w:p>
    <w:p w14:paraId="7B763C49" w14:textId="77777777" w:rsidR="00DF410E" w:rsidRDefault="00CE7F43">
      <w:r>
        <w:t xml:space="preserve">Nombre de faces à maçonner autour du conduit de cheminée : </w:t>
      </w:r>
      <w:r>
        <w:rPr>
          <w:rStyle w:val="optioncarChar"/>
        </w:rPr>
        <w:t>1 / 2 / 3 / 4 </w:t>
      </w:r>
      <w:r>
        <w:t>(par défaut) .</w:t>
      </w:r>
    </w:p>
    <w:p w14:paraId="01F3C3FE" w14:textId="77777777" w:rsidR="00DF410E" w:rsidRDefault="00CE7F43">
      <w:pPr>
        <w:pStyle w:val="Author-eSectionHeading6"/>
      </w:pPr>
      <w:bookmarkStart w:id="2071" w:name="_Toc178839114"/>
      <w:r>
        <w:t>27.21.1a Conduits de ventilation maçonnés CCTB 01.02</w:t>
      </w:r>
      <w:bookmarkEnd w:id="2071"/>
    </w:p>
    <w:p w14:paraId="7FB2AA55" w14:textId="77777777" w:rsidR="00DF410E" w:rsidRDefault="00CE7F43">
      <w:pPr>
        <w:pStyle w:val="Author-eSectionHeading3"/>
      </w:pPr>
      <w:bookmarkStart w:id="2072" w:name="_Toc178839115"/>
      <w:r>
        <w:t>27.3 Eléments particuliers pour conduits de fumée et de ventilation maçonnés CCTB 01.02</w:t>
      </w:r>
      <w:bookmarkEnd w:id="2072"/>
    </w:p>
    <w:p w14:paraId="043D6E87" w14:textId="77777777" w:rsidR="00DF410E" w:rsidRDefault="00CE7F43">
      <w:pPr>
        <w:pStyle w:val="Author-eSectionHeading4"/>
      </w:pPr>
      <w:bookmarkStart w:id="2073" w:name="_Toc178839116"/>
      <w:r>
        <w:t>27.31 Pénétration de toiture CCTB 01.11</w:t>
      </w:r>
      <w:bookmarkEnd w:id="2073"/>
    </w:p>
    <w:p w14:paraId="43C5EDF6" w14:textId="77777777" w:rsidR="00DF410E" w:rsidRDefault="00CE7F43">
      <w:pPr>
        <w:pStyle w:val="pheading"/>
      </w:pPr>
      <w:r>
        <w:t>DESCRIPTION</w:t>
      </w:r>
    </w:p>
    <w:p w14:paraId="1B46C3B2" w14:textId="77777777" w:rsidR="00DF410E" w:rsidRDefault="00CE7F43">
      <w:pPr>
        <w:pStyle w:val="pheading"/>
      </w:pPr>
      <w:r>
        <w:t>- Définition / Comprend</w:t>
      </w:r>
    </w:p>
    <w:p w14:paraId="04CE4887" w14:textId="77777777" w:rsidR="00DF410E" w:rsidRDefault="00CE7F43">
      <w:r>
        <w:t>Ce poste comprend toutes les fournitures et travaux pour la réalisation des conduits de fumée en toiture et une étanchéité à l'eau parfaite à partir du collier jusqu'aux éléments de couverture prévus.</w:t>
      </w:r>
    </w:p>
    <w:p w14:paraId="78C113BE" w14:textId="77777777" w:rsidR="00DF410E" w:rsidRDefault="00CE7F43">
      <w:r>
        <w:t xml:space="preserve">Le prix unitaire comprend tous les travaux supplémentaires et une indemnisation en raison de la complexité de l'ouvrage pour réaliser un raccordement soigné, étanche à l'eau en surface de la couverture (collier, flasques d'étanchéité, </w:t>
      </w:r>
      <w:r>
        <w:rPr>
          <w:rStyle w:val="optioncarChar"/>
        </w:rPr>
        <w:t>***</w:t>
      </w:r>
      <w:r>
        <w:t xml:space="preserve">) - voir poste </w:t>
      </w:r>
      <w:hyperlink r:id="rId528" w:history="1" w:docLocation="689">
        <w:r>
          <w:t>35.4 Pénétration en toiture et socles</w:t>
        </w:r>
      </w:hyperlink>
      <w:r>
        <w:t xml:space="preserve"> et étanche à l'air en sous-face/du côté chaud de l'isolant, au niveau du pare-vapeur (utilisation de manchons de raccordement, rubans autocollants flexibles, ...) - voir poste </w:t>
      </w:r>
      <w:hyperlink r:id="rId529" w:history="1" w:docLocation="77">
        <w:r>
          <w:t>32.2 Etanchéisation aux matières gazeuses</w:t>
        </w:r>
      </w:hyperlink>
      <w:r>
        <w:t>. </w:t>
      </w:r>
    </w:p>
    <w:p w14:paraId="221F62C7" w14:textId="77777777" w:rsidR="00DF410E" w:rsidRDefault="00CE7F43">
      <w:r>
        <w:t>Une attention particulière est apportée de manière à s'assurer de la continuité de l'isolation au droit de ces nœuds constructifs (voir plans de détails).</w:t>
      </w:r>
    </w:p>
    <w:p w14:paraId="291D1E6C" w14:textId="77777777" w:rsidR="00DF410E" w:rsidRDefault="00CE7F43">
      <w:r>
        <w:t>La maçonnerie d'élévation, l'isolation des murs creux, la maçonnerie de parement, le rejointoiement et les gaines sont tous compris dans les postes respectifs.</w:t>
      </w:r>
    </w:p>
    <w:p w14:paraId="5D24DC91" w14:textId="77777777" w:rsidR="00DF410E" w:rsidRDefault="00CE7F43">
      <w:pPr>
        <w:pStyle w:val="pheading"/>
      </w:pPr>
      <w:r>
        <w:t>EXÉCUTION / MISE EN ŒUVRE</w:t>
      </w:r>
    </w:p>
    <w:p w14:paraId="6A2E7D84" w14:textId="77777777" w:rsidR="00DF410E" w:rsidRDefault="00CE7F43">
      <w:r>
        <w:t>L'exécution doit être réalisée en coordination étroite avec le gros-œuvre (encastrement des éléments dans les gaines, souches de cheminées en maçonnerie de parement, etc.) et les travaux de toiture, en vue:</w:t>
      </w:r>
    </w:p>
    <w:p w14:paraId="14921ECD" w14:textId="77777777" w:rsidR="00DF410E" w:rsidRDefault="00CE7F43">
      <w:pPr>
        <w:pStyle w:val="Author-eListParagraph"/>
        <w:numPr>
          <w:ilvl w:val="0"/>
          <w:numId w:val="1150"/>
        </w:numPr>
      </w:pPr>
      <w:r>
        <w:t>de réaliser un raccordement étanche des éléments en toiture avec le système de couverture de toiture,</w:t>
      </w:r>
    </w:p>
    <w:p w14:paraId="44B45CE3" w14:textId="77777777" w:rsidR="00DF410E" w:rsidRDefault="00CE7F43">
      <w:pPr>
        <w:pStyle w:val="Author-eListParagraph"/>
        <w:numPr>
          <w:ilvl w:val="0"/>
          <w:numId w:val="1150"/>
        </w:numPr>
      </w:pPr>
      <w:r>
        <w:t>de s'assurer d'une continuité du pare-vapeur au droit de la pénétration, de manière à garantir une étanchéité à l'air au droit de cet (ces) élément(s). </w:t>
      </w:r>
    </w:p>
    <w:p w14:paraId="565C5611" w14:textId="77777777" w:rsidR="00DF410E" w:rsidRDefault="00CE7F43">
      <w:r>
        <w:t>L'entrepreneur des ouvrages de maçonnerie établit à l'avance, en concertation avec le couvreur, le niveau exact de la face extérieure de la toiture ainsi que l'emplacement des pénétrations de toiture.</w:t>
      </w:r>
    </w:p>
    <w:p w14:paraId="2F5EAFB4" w14:textId="77777777" w:rsidR="00DF410E" w:rsidRDefault="00CE7F43">
      <w:r>
        <w:t>La hauteur de la cheminée est exécutée conformément aux indications sur les plans et se situe dans la zone I ou II selon la [NBN/DTD B 61-001] ou [NBN/DTD B 61-002].</w:t>
      </w:r>
    </w:p>
    <w:p w14:paraId="5E876AF3" w14:textId="77777777" w:rsidR="00DF410E" w:rsidRDefault="00CE7F43">
      <w:pPr>
        <w:pStyle w:val="Author-eSectionHeading5"/>
      </w:pPr>
      <w:bookmarkStart w:id="2074" w:name="_Toc178839117"/>
      <w:r>
        <w:t>27.31.1 Collet et habillage CCTB 01.02</w:t>
      </w:r>
      <w:bookmarkEnd w:id="2074"/>
    </w:p>
    <w:p w14:paraId="0C1ECEF6" w14:textId="77777777" w:rsidR="00DF410E" w:rsidRDefault="00CE7F43">
      <w:pPr>
        <w:pStyle w:val="Author-eSectionHeading6"/>
      </w:pPr>
      <w:bookmarkStart w:id="2075" w:name="416"/>
      <w:bookmarkStart w:id="2076" w:name="_Toc178839118"/>
      <w:bookmarkEnd w:id="2075"/>
      <w:r>
        <w:t>27.31.1a Collet et habillage en maçonnerie CCTB 01.11</w:t>
      </w:r>
      <w:bookmarkEnd w:id="2076"/>
    </w:p>
    <w:p w14:paraId="14F66F50" w14:textId="77777777" w:rsidR="00DF410E" w:rsidRDefault="00CE7F43">
      <w:pPr>
        <w:pStyle w:val="pheading"/>
      </w:pPr>
      <w:r>
        <w:t>DESCRIPTION</w:t>
      </w:r>
    </w:p>
    <w:p w14:paraId="4D190F87" w14:textId="77777777" w:rsidR="00DF410E" w:rsidRDefault="00CE7F43">
      <w:pPr>
        <w:pStyle w:val="pheading"/>
      </w:pPr>
      <w:r>
        <w:t>- Définition / Comprend</w:t>
      </w:r>
    </w:p>
    <w:p w14:paraId="5575821D" w14:textId="77777777" w:rsidR="00DF410E" w:rsidRDefault="00CE7F43">
      <w:r>
        <w:t>Il s'agit des souches de cheminée en maçonnerie traditionnelle composées d'une dalle de cheminée, d'un fut en maçonnerie, d'une coulisse isolée et du parement.</w:t>
      </w:r>
    </w:p>
    <w:p w14:paraId="180D64BC" w14:textId="77777777" w:rsidR="00DF410E" w:rsidRDefault="00CE7F43">
      <w:pPr>
        <w:pStyle w:val="pheading"/>
      </w:pPr>
      <w:r>
        <w:t>MATÉRIAUX</w:t>
      </w:r>
    </w:p>
    <w:p w14:paraId="54DE3DBD" w14:textId="77777777" w:rsidR="00DF410E" w:rsidRDefault="00CE7F43">
      <w:pPr>
        <w:pStyle w:val="pheading"/>
      </w:pPr>
      <w:r>
        <w:t>- Caractéristiques générales</w:t>
      </w:r>
    </w:p>
    <w:p w14:paraId="6CF35366" w14:textId="77777777" w:rsidR="00DF410E" w:rsidRDefault="00CE7F43">
      <w:r>
        <w:rPr>
          <w:b/>
          <w:sz w:val="24"/>
        </w:rPr>
        <w:t>Matériau &amp; exécution</w:t>
      </w:r>
    </w:p>
    <w:p w14:paraId="4DD364CB" w14:textId="77777777" w:rsidR="00DF410E" w:rsidRDefault="00CE7F43">
      <w:r>
        <w:t xml:space="preserve">Collet : béton armé d'au moins </w:t>
      </w:r>
      <w:r>
        <w:rPr>
          <w:rStyle w:val="optioncarChar"/>
        </w:rPr>
        <w:t xml:space="preserve">8 </w:t>
      </w:r>
      <w:r>
        <w:t>(par défaut) </w:t>
      </w:r>
      <w:r>
        <w:rPr>
          <w:rStyle w:val="optioncarChar"/>
        </w:rPr>
        <w:t>/ 10 / 12 / ***</w:t>
      </w:r>
      <w:r>
        <w:t xml:space="preserve"> cm d'épaisseur (préfabriqué ou coulé en place) posé sur le manteau intérieur de la cheminée (d'une épaisseur et d'une largeur suffisantes pour supporter la construction en maçonnerie). Le raccord au droit des ouvertures avec les conduits de fumée est parfaitement lisse.</w:t>
      </w:r>
    </w:p>
    <w:p w14:paraId="41CE9996" w14:textId="77777777" w:rsidR="00DF410E" w:rsidRDefault="00CE7F43">
      <w:r>
        <w:t>Manteau : autour des conduits de fumée qui sont prolongés, on prévoit :</w:t>
      </w:r>
    </w:p>
    <w:p w14:paraId="2DE6E12A" w14:textId="77777777" w:rsidR="00DF410E" w:rsidRDefault="00CE7F43">
      <w:pPr>
        <w:pStyle w:val="Author-eListParagraph"/>
        <w:numPr>
          <w:ilvl w:val="0"/>
          <w:numId w:val="1151"/>
        </w:numPr>
      </w:pPr>
      <w:r>
        <w:t xml:space="preserve">un mur de contre-façade, d'une épaisseur de </w:t>
      </w:r>
      <w:r>
        <w:rPr>
          <w:rStyle w:val="optioncarChar"/>
        </w:rPr>
        <w:t>9 </w:t>
      </w:r>
      <w:r>
        <w:t>(par défaut)</w:t>
      </w:r>
      <w:r>
        <w:rPr>
          <w:rStyle w:val="optioncarChar"/>
        </w:rPr>
        <w:t xml:space="preserve"> / *** </w:t>
      </w:r>
      <w:r>
        <w:t>cm, selon la rubrique 21.1  mur de contre-façade - généralités</w:t>
      </w:r>
    </w:p>
    <w:p w14:paraId="0D58E1A7" w14:textId="77777777" w:rsidR="00DF410E" w:rsidRDefault="00CE7F43">
      <w:pPr>
        <w:pStyle w:val="Author-eListParagraph"/>
        <w:numPr>
          <w:ilvl w:val="0"/>
          <w:numId w:val="1151"/>
        </w:numPr>
      </w:pPr>
      <w:r>
        <w:t xml:space="preserve">un vide d'environ </w:t>
      </w:r>
      <w:r>
        <w:rPr>
          <w:rStyle w:val="optioncarChar"/>
        </w:rPr>
        <w:t>5 </w:t>
      </w:r>
      <w:r>
        <w:t>(par défaut)</w:t>
      </w:r>
      <w:r>
        <w:rPr>
          <w:rStyle w:val="optioncarChar"/>
        </w:rPr>
        <w:t xml:space="preserve"> / *** </w:t>
      </w:r>
      <w:r>
        <w:t xml:space="preserve">cm, avec une isolation permettant d’améliorer la résistance au feu de la paroi selon l'élément </w:t>
      </w:r>
      <w:hyperlink w:anchor="70" w:history="1">
        <w:r>
          <w:t>26.4 Isolation</w:t>
        </w:r>
      </w:hyperlink>
    </w:p>
    <w:p w14:paraId="25D56B88" w14:textId="77777777" w:rsidR="00DF410E" w:rsidRDefault="00CE7F43">
      <w:pPr>
        <w:pStyle w:val="Author-eListParagraph"/>
        <w:numPr>
          <w:ilvl w:val="0"/>
          <w:numId w:val="1151"/>
        </w:numPr>
      </w:pPr>
      <w:r>
        <w:t xml:space="preserve">une brique de parement, conformément à l'élément </w:t>
      </w:r>
      <w:hyperlink w:anchor="379" w:history="1">
        <w:r>
          <w:t>21.3 Maçonneries de parement</w:t>
        </w:r>
      </w:hyperlink>
    </w:p>
    <w:p w14:paraId="078B0C2A" w14:textId="77777777" w:rsidR="00DF410E" w:rsidRDefault="00CE7F43">
      <w:r>
        <w:t xml:space="preserve">Etanchéité : On insère dans le parement des bavettes en plomb (épaisseur minimum 1,5 mm) </w:t>
      </w:r>
      <w:r>
        <w:rPr>
          <w:rStyle w:val="optioncarChar"/>
        </w:rPr>
        <w:t>parallèlement au versant de toiture / en gradins,</w:t>
      </w:r>
      <w:r>
        <w:t xml:space="preserve"> de façon qu'elles aient, après avoir été repliées sur les solins en plomb de la couverture de toiture, un relevé d'au moins </w:t>
      </w:r>
      <w:r>
        <w:rPr>
          <w:rStyle w:val="optioncarChar"/>
        </w:rPr>
        <w:t>15</w:t>
      </w:r>
      <w:r>
        <w:t> (par défaut)</w:t>
      </w:r>
      <w:r>
        <w:rPr>
          <w:rStyle w:val="optioncarChar"/>
        </w:rPr>
        <w:t xml:space="preserve"> / ***</w:t>
      </w:r>
      <w:r>
        <w:t xml:space="preserve"> cm sur le plus petit côté et dans le sens horizontal, un chevauchement d'au moins </w:t>
      </w:r>
      <w:r>
        <w:rPr>
          <w:rStyle w:val="optioncarChar"/>
        </w:rPr>
        <w:t>10</w:t>
      </w:r>
      <w:r>
        <w:t> (par défaut)</w:t>
      </w:r>
      <w:r>
        <w:rPr>
          <w:rStyle w:val="optioncarChar"/>
        </w:rPr>
        <w:t xml:space="preserve"> / *** </w:t>
      </w:r>
      <w:r>
        <w:t>cm.</w:t>
      </w:r>
    </w:p>
    <w:p w14:paraId="7C5E4CDE" w14:textId="77777777" w:rsidR="00DF410E" w:rsidRDefault="00CE7F43">
      <w:r>
        <w:t xml:space="preserve">Dans la construction du mur creux on pose, également en gradins, une couche d'étanchéité en </w:t>
      </w:r>
      <w:r>
        <w:rPr>
          <w:rStyle w:val="optioncarChar"/>
        </w:rPr>
        <w:t>plomb / feuille de PE</w:t>
      </w:r>
      <w:r>
        <w:t>, qui est fixée un tas plus haut dans la maçonnerie intérieure de façon que l'eau de ruissellement puisse être évacuée au travers des joints montants laissés ouverts dans la face inférieure.</w:t>
      </w:r>
    </w:p>
    <w:p w14:paraId="48B7E7E5" w14:textId="77777777" w:rsidR="00DF410E" w:rsidRDefault="00CE7F43">
      <w:r>
        <w:t xml:space="preserve">Dalle de couverture : conformément au chapitre </w:t>
      </w:r>
      <w:hyperlink w:anchor="688" w:history="1">
        <w:r>
          <w:t>21.36.6 Couvertures de cheminées</w:t>
        </w:r>
      </w:hyperlink>
    </w:p>
    <w:p w14:paraId="524810C9" w14:textId="77777777" w:rsidR="00DF410E" w:rsidRDefault="00CE7F43">
      <w:r>
        <w:t xml:space="preserve">Régulateurs de tirage : conformément au chapitre </w:t>
      </w:r>
      <w:hyperlink w:anchor="414" w:history="1">
        <w:r>
          <w:t>27.32.1 Régulateurs de tirage</w:t>
        </w:r>
      </w:hyperlink>
    </w:p>
    <w:p w14:paraId="31B8CBA2" w14:textId="77777777" w:rsidR="00DF410E" w:rsidRDefault="00CE7F43">
      <w:pPr>
        <w:pStyle w:val="pheading"/>
      </w:pPr>
      <w:r>
        <w:t>MESURAGE</w:t>
      </w:r>
    </w:p>
    <w:p w14:paraId="1968CCD0" w14:textId="77777777" w:rsidR="00DF410E" w:rsidRDefault="00CE7F43">
      <w:pPr>
        <w:pStyle w:val="pheading"/>
      </w:pPr>
      <w:r>
        <w:t>- unité de mesure:</w:t>
      </w:r>
    </w:p>
    <w:p w14:paraId="6485FB90" w14:textId="77777777" w:rsidR="00DF410E" w:rsidRDefault="00CE7F43">
      <w:pPr>
        <w:ind w:left="435"/>
      </w:pPr>
      <w:r>
        <w:t>pc</w:t>
      </w:r>
    </w:p>
    <w:p w14:paraId="03109F67" w14:textId="77777777" w:rsidR="00DF410E" w:rsidRDefault="00CE7F43">
      <w:pPr>
        <w:pStyle w:val="pheading"/>
      </w:pPr>
      <w:r>
        <w:t>- nature du marché:</w:t>
      </w:r>
    </w:p>
    <w:p w14:paraId="2FBFEEF6" w14:textId="77777777" w:rsidR="00DF410E" w:rsidRDefault="00CE7F43">
      <w:r>
        <w:t>QF</w:t>
      </w:r>
    </w:p>
    <w:p w14:paraId="713F2437" w14:textId="77777777" w:rsidR="00DF410E" w:rsidRDefault="00CE7F43">
      <w:pPr>
        <w:pStyle w:val="Author-eSectionHeading6"/>
      </w:pPr>
      <w:bookmarkStart w:id="2077" w:name="_Toc178839119"/>
      <w:r>
        <w:t>27.31.1b Pénétration de toiture en acier inoxydable CCTB 01.11</w:t>
      </w:r>
      <w:bookmarkEnd w:id="2077"/>
    </w:p>
    <w:p w14:paraId="1E5D4273" w14:textId="77777777" w:rsidR="00DF410E" w:rsidRDefault="00CE7F43">
      <w:pPr>
        <w:pStyle w:val="pheading"/>
      </w:pPr>
      <w:r>
        <w:t>MATÉRIAUX</w:t>
      </w:r>
    </w:p>
    <w:p w14:paraId="7ACB01FA" w14:textId="77777777" w:rsidR="00DF410E" w:rsidRDefault="00CE7F43">
      <w:pPr>
        <w:pStyle w:val="pheading"/>
      </w:pPr>
      <w:r>
        <w:t>- Caractéristiques générales</w:t>
      </w:r>
    </w:p>
    <w:p w14:paraId="5917C99B" w14:textId="77777777" w:rsidR="00DF410E" w:rsidRDefault="00CE7F43">
      <w:pPr>
        <w:pStyle w:val="heading"/>
      </w:pPr>
      <w:r>
        <w:t>Spécifications</w:t>
      </w:r>
    </w:p>
    <w:p w14:paraId="009E2DD5" w14:textId="77777777" w:rsidR="00DF410E" w:rsidRDefault="00CE7F43">
      <w:r>
        <w:t xml:space="preserve">Matériau : tuyau en acier inoxydable, </w:t>
      </w:r>
      <w:r>
        <w:rPr>
          <w:rStyle w:val="optioncarChar"/>
        </w:rPr>
        <w:t>à simple paroi / à double paroi / à double paroi avec isolation.</w:t>
      </w:r>
    </w:p>
    <w:p w14:paraId="4F50F4C8" w14:textId="77777777" w:rsidR="00DF410E" w:rsidRDefault="00CE7F43">
      <w:r>
        <w:t xml:space="preserve">Diamètre : </w:t>
      </w:r>
      <w:r>
        <w:rPr>
          <w:rStyle w:val="optioncarChar"/>
        </w:rPr>
        <w:t>intérieur *** mm / extérieur : *** mm / selon les prescriptions du fabricant et en fonction des éléments à raccorder</w:t>
      </w:r>
    </w:p>
    <w:p w14:paraId="6FCB8388" w14:textId="77777777" w:rsidR="00DF410E" w:rsidRDefault="00CE7F43">
      <w:r>
        <w:t xml:space="preserve">Épaisseur des parois : </w:t>
      </w:r>
      <w:r>
        <w:rPr>
          <w:rStyle w:val="optioncarChar"/>
        </w:rPr>
        <w:t>***</w:t>
      </w:r>
    </w:p>
    <w:p w14:paraId="6D81ECC4" w14:textId="77777777" w:rsidR="00DF410E" w:rsidRDefault="00CE7F43">
      <w:r>
        <w:t xml:space="preserve">Accessoires : </w:t>
      </w:r>
      <w:r>
        <w:rPr>
          <w:rStyle w:val="optioncarChar"/>
        </w:rPr>
        <w:t>***</w:t>
      </w:r>
    </w:p>
    <w:p w14:paraId="2C651EDB" w14:textId="77777777" w:rsidR="00DF410E" w:rsidRDefault="00CE7F43">
      <w:r>
        <w:t xml:space="preserve">Plaque de toiture adaptée pour une couverture de toiture </w:t>
      </w:r>
      <w:r>
        <w:rPr>
          <w:rStyle w:val="optioncarChar"/>
        </w:rPr>
        <w:t xml:space="preserve">entuiles / en ardoises / suivant élément pénétré </w:t>
      </w:r>
      <w:r>
        <w:t>(par défaut) </w:t>
      </w:r>
      <w:r>
        <w:rPr>
          <w:rStyle w:val="optioncarChar"/>
        </w:rPr>
        <w:t>/ ***</w:t>
      </w:r>
      <w:r>
        <w:t>,</w:t>
      </w:r>
      <w:r>
        <w:rPr>
          <w:rStyle w:val="optioncarChar"/>
        </w:rPr>
        <w:t xml:space="preserve"> inclinaison *** ° / pour toiture plate</w:t>
      </w:r>
      <w:r>
        <w:t xml:space="preserve"> .</w:t>
      </w:r>
    </w:p>
    <w:p w14:paraId="3E5D7094" w14:textId="77777777" w:rsidR="00DF410E" w:rsidRDefault="00CE7F43">
      <w:pPr>
        <w:pStyle w:val="pheading"/>
      </w:pPr>
      <w:r>
        <w:t>MESURAGE</w:t>
      </w:r>
    </w:p>
    <w:p w14:paraId="21B4C060" w14:textId="77777777" w:rsidR="00DF410E" w:rsidRDefault="00CE7F43">
      <w:pPr>
        <w:pStyle w:val="pheading"/>
      </w:pPr>
      <w:r>
        <w:t>- unité de mesure:</w:t>
      </w:r>
    </w:p>
    <w:p w14:paraId="2E44D7DA" w14:textId="77777777" w:rsidR="00DF410E" w:rsidRDefault="00CE7F43">
      <w:r>
        <w:t>pc</w:t>
      </w:r>
    </w:p>
    <w:p w14:paraId="221989C8" w14:textId="77777777" w:rsidR="00DF410E" w:rsidRDefault="00CE7F43">
      <w:pPr>
        <w:pStyle w:val="pheading"/>
      </w:pPr>
      <w:r>
        <w:t>- nature du marché:</w:t>
      </w:r>
    </w:p>
    <w:p w14:paraId="48C7915A" w14:textId="77777777" w:rsidR="00DF410E" w:rsidRDefault="00CE7F43">
      <w:r>
        <w:t>QF</w:t>
      </w:r>
    </w:p>
    <w:p w14:paraId="2B1FFF6A" w14:textId="77777777" w:rsidR="00DF410E" w:rsidRDefault="00CE7F43">
      <w:pPr>
        <w:pStyle w:val="Author-eSectionHeading4"/>
      </w:pPr>
      <w:bookmarkStart w:id="2078" w:name="_Toc178839120"/>
      <w:r>
        <w:t>27.32 Régulateurs de tirage CCTB 01.02</w:t>
      </w:r>
      <w:bookmarkEnd w:id="2078"/>
    </w:p>
    <w:p w14:paraId="0596578F" w14:textId="77777777" w:rsidR="00DF410E" w:rsidRDefault="00CE7F43">
      <w:pPr>
        <w:pStyle w:val="Author-eSectionHeading5"/>
      </w:pPr>
      <w:bookmarkStart w:id="2079" w:name="413"/>
      <w:bookmarkStart w:id="2080" w:name="_Toc178839121"/>
      <w:bookmarkEnd w:id="2079"/>
      <w:r>
        <w:t>27.32.1 Régulateurs de tirage CCTB 01.04</w:t>
      </w:r>
      <w:bookmarkEnd w:id="2080"/>
    </w:p>
    <w:p w14:paraId="73A9B873" w14:textId="77777777" w:rsidR="00DF410E" w:rsidRDefault="00CE7F43">
      <w:pPr>
        <w:pStyle w:val="pheading"/>
      </w:pPr>
      <w:bookmarkStart w:id="2081" w:name="414"/>
      <w:bookmarkEnd w:id="2081"/>
      <w:r>
        <w:t>DESCRIPTION</w:t>
      </w:r>
    </w:p>
    <w:p w14:paraId="51161A20" w14:textId="77777777" w:rsidR="00DF410E" w:rsidRDefault="00CE7F43">
      <w:pPr>
        <w:pStyle w:val="pheading"/>
      </w:pPr>
      <w:r>
        <w:t>- Définition / Comprend</w:t>
      </w:r>
    </w:p>
    <w:p w14:paraId="57F50B53" w14:textId="77777777" w:rsidR="00DF410E" w:rsidRDefault="00CE7F43">
      <w:r>
        <w:t xml:space="preserve">Il s'agit de tous les travaux et fournitures pour le montage et le raccordement prêt à la mise en service, des régulateurs de tirage, y compris tous les moyens de fixation et les accessoires pour une finition soignée et étanche de la souche de cheminée, le cas échéant, y compris la plaque de couverture intégrée (voir également  le chapitre </w:t>
      </w:r>
      <w:hyperlink w:anchor="688" w:history="1">
        <w:r>
          <w:t>21.36.6 Couvertures de cheminées</w:t>
        </w:r>
      </w:hyperlink>
      <w:r>
        <w:t>).</w:t>
      </w:r>
    </w:p>
    <w:p w14:paraId="6EC056DA" w14:textId="77777777" w:rsidR="00DF410E" w:rsidRDefault="00CE7F43">
      <w:pPr>
        <w:pStyle w:val="pheading"/>
      </w:pPr>
      <w:r>
        <w:t>MATÉRIAUX</w:t>
      </w:r>
    </w:p>
    <w:p w14:paraId="63D0D205" w14:textId="77777777" w:rsidR="00DF410E" w:rsidRDefault="00CE7F43">
      <w:r>
        <w:t>Les matériaux des régulateurs de tirage sont adaptés en fonction de la nature et de la puissance de l'installation pour laquelle ils doivent servir. Ils sont totalement compatibles avec les conduits de fumées sur lesquels ils doivent être placés et proviendront, de préférence, du même fabricant. Ils sont inaltérables, ingélifs et résistants contre les fortes pluies et les vents plongeants.</w:t>
      </w:r>
    </w:p>
    <w:p w14:paraId="5D15E826" w14:textId="77777777" w:rsidR="00DF410E" w:rsidRDefault="00CE7F43">
      <w:pPr>
        <w:pStyle w:val="pheading"/>
      </w:pPr>
      <w:r>
        <w:t>EXÉCUTION / MISE EN ŒUVRE</w:t>
      </w:r>
    </w:p>
    <w:p w14:paraId="2C77EDF2" w14:textId="77777777" w:rsidR="00DF410E" w:rsidRDefault="00CE7F43">
      <w:r>
        <w:t>L'exécution se fait conformément aux prescriptions du fabricant et aux prescriptions en matière de sécurité incendie.</w:t>
      </w:r>
    </w:p>
    <w:p w14:paraId="0FF02539" w14:textId="77777777" w:rsidR="00DF410E" w:rsidRDefault="00CE7F43">
      <w:pPr>
        <w:pStyle w:val="Author-eSectionHeading6"/>
      </w:pPr>
      <w:bookmarkStart w:id="2082" w:name="_Toc178839122"/>
      <w:r>
        <w:t>27.32.1a Régulateurs en éléments préfabriqués en béton CCTB 01.11</w:t>
      </w:r>
      <w:bookmarkEnd w:id="2082"/>
    </w:p>
    <w:p w14:paraId="0AD0BA0D" w14:textId="77777777" w:rsidR="00DF410E" w:rsidRDefault="00CE7F43">
      <w:pPr>
        <w:pStyle w:val="pheading"/>
      </w:pPr>
      <w:r>
        <w:t>MATÉRIAUX</w:t>
      </w:r>
    </w:p>
    <w:p w14:paraId="047E3CFF" w14:textId="77777777" w:rsidR="00DF410E" w:rsidRDefault="00CE7F43">
      <w:pPr>
        <w:pStyle w:val="pheading"/>
      </w:pPr>
      <w:r>
        <w:t>- Caractéristiques générales</w:t>
      </w:r>
    </w:p>
    <w:p w14:paraId="79F6C5EB" w14:textId="77777777" w:rsidR="00DF410E" w:rsidRDefault="00CE7F43">
      <w:r>
        <w:t>Le couronnement des cheminées est équipé d'aspirateurs statiques avec dispositif antiretour en éléments préfabriqués en béton constitués comme suit :</w:t>
      </w:r>
    </w:p>
    <w:p w14:paraId="0B13CCEC" w14:textId="77777777" w:rsidR="00DF410E" w:rsidRDefault="00CE7F43">
      <w:pPr>
        <w:pStyle w:val="Author-eListParagraph"/>
        <w:numPr>
          <w:ilvl w:val="0"/>
          <w:numId w:val="1152"/>
        </w:numPr>
      </w:pPr>
      <w:r>
        <w:t>une plaque de base avec rejet d'eau qui déborde au moins de 5 cm par rapport à la maçonnerie;</w:t>
      </w:r>
    </w:p>
    <w:p w14:paraId="11A939A7" w14:textId="77777777" w:rsidR="00DF410E" w:rsidRDefault="00CE7F43">
      <w:pPr>
        <w:pStyle w:val="Author-eListParagraph"/>
        <w:numPr>
          <w:ilvl w:val="0"/>
          <w:numId w:val="1152"/>
        </w:numPr>
      </w:pPr>
      <w:r>
        <w:t>trois à quatre éléments avec plots et angles extérieurs;</w:t>
      </w:r>
    </w:p>
    <w:p w14:paraId="24156CD3" w14:textId="77777777" w:rsidR="00DF410E" w:rsidRDefault="00CE7F43">
      <w:pPr>
        <w:pStyle w:val="Author-eListParagraph"/>
        <w:numPr>
          <w:ilvl w:val="0"/>
          <w:numId w:val="1152"/>
        </w:numPr>
      </w:pPr>
      <w:r>
        <w:t>le couronnement avec deux encoches pour la pose du diffuseur;</w:t>
      </w:r>
    </w:p>
    <w:p w14:paraId="64FC941F" w14:textId="77777777" w:rsidR="00DF410E" w:rsidRDefault="00CE7F43">
      <w:pPr>
        <w:pStyle w:val="Author-eListParagraph"/>
        <w:numPr>
          <w:ilvl w:val="0"/>
          <w:numId w:val="1152"/>
        </w:numPr>
      </w:pPr>
      <w:r>
        <w:t>le diffuseur pour détourner les vents plongeants et la pluie vers l'extérieur.</w:t>
      </w:r>
    </w:p>
    <w:p w14:paraId="48CB4F50" w14:textId="77777777" w:rsidR="00DF410E" w:rsidRDefault="00CE7F43">
      <w:pPr>
        <w:pStyle w:val="heading"/>
      </w:pPr>
      <w:r>
        <w:t>Spécifications</w:t>
      </w:r>
    </w:p>
    <w:p w14:paraId="3AAE990A" w14:textId="77777777" w:rsidR="00DF410E" w:rsidRDefault="00CE7F43">
      <w:r>
        <w:t xml:space="preserve">Type : pour </w:t>
      </w:r>
      <w:r>
        <w:rPr>
          <w:rStyle w:val="optioncarChar"/>
        </w:rPr>
        <w:t xml:space="preserve">cheminée à simple paroi </w:t>
      </w:r>
      <w:r>
        <w:t>(par défaut) </w:t>
      </w:r>
      <w:r>
        <w:rPr>
          <w:rStyle w:val="optioncarChar"/>
        </w:rPr>
        <w:t>/ cheminée à double paroi isolée.</w:t>
      </w:r>
    </w:p>
    <w:p w14:paraId="5731DA77" w14:textId="77777777" w:rsidR="00DF410E" w:rsidRDefault="00CE7F43">
      <w:r>
        <w:t>Résistance aux chocs thermiques : au moins 500°C.</w:t>
      </w:r>
    </w:p>
    <w:p w14:paraId="2E96EC29" w14:textId="77777777" w:rsidR="00DF410E" w:rsidRDefault="00CE7F43">
      <w:r>
        <w:t>Nombre d'éléments :</w:t>
      </w:r>
      <w:r>
        <w:rPr>
          <w:rStyle w:val="optioncarChar"/>
        </w:rPr>
        <w:t xml:space="preserve"> 2 </w:t>
      </w:r>
      <w:r>
        <w:t>(par défaut)</w:t>
      </w:r>
      <w:r>
        <w:rPr>
          <w:rStyle w:val="optioncarChar"/>
        </w:rPr>
        <w:t xml:space="preserve"> / 3 / 4 / ***</w:t>
      </w:r>
    </w:p>
    <w:p w14:paraId="6EEEAE11" w14:textId="77777777" w:rsidR="00DF410E" w:rsidRDefault="00CE7F43">
      <w:r>
        <w:t>Dimensions :</w:t>
      </w:r>
      <w:r>
        <w:rPr>
          <w:rStyle w:val="optioncarChar"/>
        </w:rPr>
        <w:t xml:space="preserve"> ***x *** mm / adaptées aux sections des conduits de cheminée</w:t>
      </w:r>
      <w:r>
        <w:t> (par défaut).</w:t>
      </w:r>
    </w:p>
    <w:p w14:paraId="5598C5D3" w14:textId="77777777" w:rsidR="00DF410E" w:rsidRDefault="00CE7F43">
      <w:pPr>
        <w:pStyle w:val="pheading"/>
      </w:pPr>
      <w:r>
        <w:t>EXÉCUTION / MISE EN ŒUVRE</w:t>
      </w:r>
    </w:p>
    <w:p w14:paraId="60EA0F09" w14:textId="77777777" w:rsidR="00DF410E" w:rsidRDefault="00CE7F43">
      <w:pPr>
        <w:pStyle w:val="pheading"/>
      </w:pPr>
      <w:r>
        <w:t>- Prescriptions générales</w:t>
      </w:r>
    </w:p>
    <w:p w14:paraId="0E4FAEE1" w14:textId="77777777" w:rsidR="00DF410E" w:rsidRDefault="00CE7F43">
      <w:r>
        <w:t xml:space="preserve">Ils sont raccordés sur des </w:t>
      </w:r>
      <w:r>
        <w:rPr>
          <w:rStyle w:val="optioncarChar"/>
        </w:rPr>
        <w:t xml:space="preserve">conduits en béton </w:t>
      </w:r>
      <w:r>
        <w:t>(par défaut) / </w:t>
      </w:r>
      <w:r>
        <w:rPr>
          <w:rStyle w:val="optioncarChar"/>
        </w:rPr>
        <w:t>conduits en béton intégrés /  ***</w:t>
      </w:r>
    </w:p>
    <w:p w14:paraId="21F4A2B7" w14:textId="77777777" w:rsidR="00DF410E" w:rsidRDefault="00CE7F43">
      <w:pPr>
        <w:pStyle w:val="pheading"/>
      </w:pPr>
      <w:r>
        <w:t>MESURAGE</w:t>
      </w:r>
    </w:p>
    <w:p w14:paraId="41130A11" w14:textId="77777777" w:rsidR="00DF410E" w:rsidRDefault="00CE7F43">
      <w:pPr>
        <w:pStyle w:val="pheading"/>
      </w:pPr>
      <w:r>
        <w:t>- unité de mesure:</w:t>
      </w:r>
    </w:p>
    <w:p w14:paraId="127601E0" w14:textId="77777777" w:rsidR="00DF410E" w:rsidRDefault="00CE7F43">
      <w:r>
        <w:rPr>
          <w:b/>
        </w:rPr>
        <w:t xml:space="preserve">Choix opéré : </w:t>
      </w:r>
      <w:r>
        <w:rPr>
          <w:rStyle w:val="optioncarChar"/>
        </w:rPr>
        <w:t xml:space="preserve">pc / - </w:t>
      </w:r>
    </w:p>
    <w:p w14:paraId="54329DBB" w14:textId="77777777" w:rsidR="00DF410E" w:rsidRDefault="00CE7F43">
      <w:pPr>
        <w:pStyle w:val="pheading"/>
      </w:pPr>
      <w:r>
        <w:t>- code de mesurage:</w:t>
      </w:r>
    </w:p>
    <w:p w14:paraId="34D9E0FB" w14:textId="77777777" w:rsidR="00DF410E" w:rsidRDefault="00CE7F43">
      <w:r>
        <w:rPr>
          <w:b/>
        </w:rPr>
        <w:t>Choix opéré :</w:t>
      </w:r>
      <w:r>
        <w:t xml:space="preserve">  </w:t>
      </w:r>
      <w:r>
        <w:rPr>
          <w:rStyle w:val="optioncarChar"/>
        </w:rPr>
        <w:t>pièces à poser, par type et par dimensions / -</w:t>
      </w:r>
    </w:p>
    <w:p w14:paraId="2598D30E" w14:textId="77777777" w:rsidR="00DF410E" w:rsidRDefault="00CE7F43">
      <w:pPr>
        <w:pStyle w:val="pheading"/>
      </w:pPr>
      <w:r>
        <w:t>- nature du marché:</w:t>
      </w:r>
    </w:p>
    <w:p w14:paraId="72E579B4" w14:textId="77777777" w:rsidR="00DF410E" w:rsidRDefault="00CE7F43">
      <w:r>
        <w:rPr>
          <w:b/>
        </w:rPr>
        <w:t>Choix opéré :</w:t>
      </w:r>
      <w:r>
        <w:t xml:space="preserve">  </w:t>
      </w:r>
      <w:r>
        <w:rPr>
          <w:rStyle w:val="optioncarChar"/>
        </w:rPr>
        <w:t>QF /PM</w:t>
      </w:r>
    </w:p>
    <w:p w14:paraId="687AE261" w14:textId="77777777" w:rsidR="00DF410E" w:rsidRDefault="00CE7F43">
      <w:pPr>
        <w:pStyle w:val="Author-eSectionHeading6"/>
      </w:pPr>
      <w:bookmarkStart w:id="2083" w:name="_Toc178839123"/>
      <w:r>
        <w:t>27.32.1b Régulateurs en fibres-ciment CCTB 01.02</w:t>
      </w:r>
      <w:bookmarkEnd w:id="2083"/>
    </w:p>
    <w:p w14:paraId="4D4B83F8" w14:textId="77777777" w:rsidR="00DF410E" w:rsidRDefault="00CE7F43">
      <w:pPr>
        <w:pStyle w:val="Author-eSectionHeading6"/>
      </w:pPr>
      <w:bookmarkStart w:id="2084" w:name="_Toc178839124"/>
      <w:r>
        <w:t>27.32.1c Régulateurs en acier inoxydable CCTB 01.11</w:t>
      </w:r>
      <w:bookmarkEnd w:id="2084"/>
    </w:p>
    <w:p w14:paraId="6512AE0A" w14:textId="77777777" w:rsidR="00DF410E" w:rsidRDefault="00CE7F43">
      <w:pPr>
        <w:pStyle w:val="pheading"/>
      </w:pPr>
      <w:r>
        <w:t>MESURAGE</w:t>
      </w:r>
    </w:p>
    <w:p w14:paraId="18AB9385" w14:textId="77777777" w:rsidR="00DF410E" w:rsidRDefault="00CE7F43">
      <w:pPr>
        <w:pStyle w:val="pheading"/>
      </w:pPr>
      <w:r>
        <w:t>- unité de mesure:</w:t>
      </w:r>
    </w:p>
    <w:p w14:paraId="09471FA6" w14:textId="77777777" w:rsidR="00DF410E" w:rsidRDefault="00CE7F43">
      <w:r>
        <w:t>1. p</w:t>
      </w:r>
    </w:p>
    <w:p w14:paraId="0895DDFA" w14:textId="77777777" w:rsidR="00DF410E" w:rsidRDefault="00CE7F43">
      <w:r>
        <w:t>2. -</w:t>
      </w:r>
    </w:p>
    <w:p w14:paraId="78717BE9" w14:textId="77777777" w:rsidR="00DF410E" w:rsidRDefault="00CE7F43">
      <w:pPr>
        <w:pStyle w:val="pheading"/>
      </w:pPr>
      <w:r>
        <w:t>- code de mesurage:</w:t>
      </w:r>
    </w:p>
    <w:p w14:paraId="34AB8D69" w14:textId="77777777" w:rsidR="00DF410E" w:rsidRDefault="00CE7F43">
      <w:r>
        <w:t>nombre de pièces à poser, par type et par dimensions</w:t>
      </w:r>
    </w:p>
    <w:p w14:paraId="345CC10C" w14:textId="77777777" w:rsidR="00DF410E" w:rsidRDefault="00CE7F43">
      <w:pPr>
        <w:pStyle w:val="pheading"/>
      </w:pPr>
      <w:r>
        <w:t>- nature du marché:</w:t>
      </w:r>
    </w:p>
    <w:p w14:paraId="6566C345" w14:textId="77777777" w:rsidR="00DF410E" w:rsidRDefault="00CE7F43">
      <w:r>
        <w:rPr>
          <w:rStyle w:val="soitChar"/>
        </w:rPr>
        <w:t>1. QF</w:t>
      </w:r>
    </w:p>
    <w:p w14:paraId="325E2D12" w14:textId="77777777" w:rsidR="00DF410E" w:rsidRDefault="00CE7F43">
      <w:r>
        <w:rPr>
          <w:b/>
        </w:rPr>
        <w:t>(soit)</w:t>
      </w:r>
    </w:p>
    <w:p w14:paraId="61F3E0CE" w14:textId="77777777" w:rsidR="00DF410E" w:rsidRDefault="00CE7F43">
      <w:r>
        <w:rPr>
          <w:rStyle w:val="soitChar"/>
        </w:rPr>
        <w:t>2. PM</w:t>
      </w:r>
    </w:p>
    <w:p w14:paraId="640433CC" w14:textId="77777777" w:rsidR="00DF410E" w:rsidRDefault="00CE7F43">
      <w:pPr>
        <w:pStyle w:val="Author-eSectionHeading4"/>
      </w:pPr>
      <w:bookmarkStart w:id="2085" w:name="_Toc178839125"/>
      <w:r>
        <w:t>27.33 Accessoires CCTB 01.04</w:t>
      </w:r>
      <w:bookmarkEnd w:id="2085"/>
    </w:p>
    <w:p w14:paraId="104407B5" w14:textId="77777777" w:rsidR="00DF410E" w:rsidRDefault="00CE7F43">
      <w:pPr>
        <w:pStyle w:val="pheading"/>
      </w:pPr>
      <w:r>
        <w:t>DESCRIPTION</w:t>
      </w:r>
    </w:p>
    <w:p w14:paraId="1CE86221" w14:textId="77777777" w:rsidR="00DF410E" w:rsidRDefault="00CE7F43">
      <w:pPr>
        <w:pStyle w:val="pheading"/>
      </w:pPr>
      <w:r>
        <w:t>- Définition / Comprend</w:t>
      </w:r>
    </w:p>
    <w:p w14:paraId="1A094862" w14:textId="77777777" w:rsidR="00DF410E" w:rsidRDefault="00CE7F43">
      <w:r>
        <w:t xml:space="preserve">Il s'agit de tous les accessoires nécessaires en vue de faire fonctionner le système correctement et d'effectuer l'entretien périodique des conduits de cheminée (orifices de nettoyage, collecteurs de suie, recueillement des condensats, </w:t>
      </w:r>
      <w:r>
        <w:rPr>
          <w:rStyle w:val="optioncarChar"/>
        </w:rPr>
        <w:t>***</w:t>
      </w:r>
      <w:r>
        <w:t>).</w:t>
      </w:r>
    </w:p>
    <w:p w14:paraId="712A9A83" w14:textId="77777777" w:rsidR="00DF410E" w:rsidRDefault="00CE7F43">
      <w:pPr>
        <w:pStyle w:val="pheading"/>
      </w:pPr>
      <w:r>
        <w:t>MATÉRIAUX</w:t>
      </w:r>
    </w:p>
    <w:p w14:paraId="0A76754D" w14:textId="77777777" w:rsidR="00DF410E" w:rsidRDefault="00CE7F43">
      <w:r>
        <w:t>Les accessoires sont fabriqués dans un matériau adapté aux conduits de fumée prévus et aux installations qui y sont raccordées. Les accessoires proviennent, de préférence, du même fabricant que les conduits. Un modèle est soumis pour approbation à l'auteur de projet.</w:t>
      </w:r>
    </w:p>
    <w:p w14:paraId="7D7EB90D" w14:textId="77777777" w:rsidR="00DF410E" w:rsidRDefault="00CE7F43">
      <w:pPr>
        <w:pStyle w:val="pheading"/>
      </w:pPr>
      <w:r>
        <w:t>EXÉCUTION / MISE EN ŒUVRE</w:t>
      </w:r>
    </w:p>
    <w:p w14:paraId="018E1CC4" w14:textId="77777777" w:rsidR="00DF410E" w:rsidRDefault="00CE7F43">
      <w:r>
        <w:t>Les accessoires sont placés conformément aux prescriptions de la [NBN/DTD B 61-001, Chaufferies et cheminées ]  ou [NBN/DTD B 61-002, Chaudières de chauffage central dont la puissance nominale est inférieure à 70 kW - Prescriptions concernant leur espace d'installation, leur amenée d'air et leur évacuation de fumée ], complété par les prescriptions du fabricant et les directives en matière de sécurité incendie.</w:t>
      </w:r>
    </w:p>
    <w:p w14:paraId="43F23430" w14:textId="77777777" w:rsidR="00DF410E" w:rsidRDefault="00CE7F43">
      <w:pPr>
        <w:pStyle w:val="Author-eSectionHeading5"/>
      </w:pPr>
      <w:bookmarkStart w:id="2086" w:name="_Toc178839126"/>
      <w:r>
        <w:t>27.33.1 Trappes de ramonage CCTB 01.11</w:t>
      </w:r>
      <w:bookmarkEnd w:id="2086"/>
    </w:p>
    <w:p w14:paraId="3DC8FCFD" w14:textId="77777777" w:rsidR="00DF410E" w:rsidRDefault="00CE7F43">
      <w:pPr>
        <w:pStyle w:val="pheading"/>
      </w:pPr>
      <w:r>
        <w:t>MATÉRIAUX</w:t>
      </w:r>
    </w:p>
    <w:p w14:paraId="629E5C43" w14:textId="77777777" w:rsidR="00DF410E" w:rsidRDefault="00CE7F43">
      <w:r>
        <w:t>Un orifice d'entretien doit être prévu dans toute partie accessible en haut et en bas du conduit de fumée. Les trappes de ramonage doivent correspondre à la section des conduits et satisfaire aux exigences suivantes :</w:t>
      </w:r>
    </w:p>
    <w:p w14:paraId="704654D2" w14:textId="77777777" w:rsidR="00DF410E" w:rsidRDefault="00CE7F43">
      <w:pPr>
        <w:pStyle w:val="Author-eListParagraph"/>
        <w:numPr>
          <w:ilvl w:val="0"/>
          <w:numId w:val="1153"/>
        </w:numPr>
      </w:pPr>
      <w:r>
        <w:t>Elles sont suffisamment étanches pour éviter la pénétration d'air parasite qui risque de nuire au tirage naturel pour les fumées de basse température.</w:t>
      </w:r>
    </w:p>
    <w:p w14:paraId="5530FE5D" w14:textId="77777777" w:rsidR="00DF410E" w:rsidRDefault="00CE7F43">
      <w:pPr>
        <w:pStyle w:val="Author-eListParagraph"/>
        <w:numPr>
          <w:ilvl w:val="0"/>
          <w:numId w:val="1153"/>
        </w:numPr>
      </w:pPr>
      <w:r>
        <w:t>Elles sont étanches aux condensats et aux gaz de combustion, afin d'éviter qu'ils ne sortent par la trappe de ramonage ou de visite.</w:t>
      </w:r>
    </w:p>
    <w:p w14:paraId="539B1C36" w14:textId="77777777" w:rsidR="00DF410E" w:rsidRDefault="00CE7F43">
      <w:pPr>
        <w:pStyle w:val="heading"/>
      </w:pPr>
      <w:r>
        <w:t>Spécifications</w:t>
      </w:r>
    </w:p>
    <w:p w14:paraId="00962913" w14:textId="77777777" w:rsidR="00DF410E" w:rsidRDefault="00CE7F43">
      <w:r>
        <w:t xml:space="preserve">Matériau : </w:t>
      </w:r>
      <w:r>
        <w:rPr>
          <w:rStyle w:val="optioncarChar"/>
        </w:rPr>
        <w:t xml:space="preserve">béton </w:t>
      </w:r>
      <w:r>
        <w:t>(par défaut) </w:t>
      </w:r>
      <w:r>
        <w:rPr>
          <w:rStyle w:val="optioncarChar"/>
        </w:rPr>
        <w:t>/ fibres-ciment / acier inoxydable / ***</w:t>
      </w:r>
    </w:p>
    <w:p w14:paraId="1BB26F22" w14:textId="77777777" w:rsidR="00DF410E" w:rsidRDefault="00CE7F43">
      <w:r>
        <w:t xml:space="preserve">Type : </w:t>
      </w:r>
      <w:r>
        <w:rPr>
          <w:rStyle w:val="optioncarChar"/>
        </w:rPr>
        <w:t>collecteur (à double fermeture) / fermeture à baïonnette</w:t>
      </w:r>
    </w:p>
    <w:p w14:paraId="275E2BCB" w14:textId="77777777" w:rsidR="00DF410E" w:rsidRDefault="00CE7F43">
      <w:pPr>
        <w:pStyle w:val="Author-eSectionHeading6"/>
      </w:pPr>
      <w:bookmarkStart w:id="2087" w:name="_Toc178839127"/>
      <w:r>
        <w:t>27.33.1a Trappes de ramonage CCTB 01.11</w:t>
      </w:r>
      <w:bookmarkEnd w:id="2087"/>
    </w:p>
    <w:p w14:paraId="62C2D1D0" w14:textId="77777777" w:rsidR="00DF410E" w:rsidRDefault="00CE7F43">
      <w:pPr>
        <w:pStyle w:val="Author-eSectionHeading5"/>
      </w:pPr>
      <w:bookmarkStart w:id="2088" w:name="_Toc178839128"/>
      <w:r>
        <w:t>27.33.2 Collecteurs de suie CCTB 01.11</w:t>
      </w:r>
      <w:bookmarkEnd w:id="2088"/>
    </w:p>
    <w:p w14:paraId="66F8108F" w14:textId="77777777" w:rsidR="00DF410E" w:rsidRDefault="00CE7F43">
      <w:pPr>
        <w:pStyle w:val="pheading"/>
      </w:pPr>
      <w:r>
        <w:t>MATÉRIAUX</w:t>
      </w:r>
    </w:p>
    <w:p w14:paraId="55A026FF" w14:textId="77777777" w:rsidR="00DF410E" w:rsidRDefault="00CE7F43">
      <w:r>
        <w:t>Un orifice d'entretien doit être prévu dans toute partie accessible en haut et en bas du conduit de fumée. Les collecteurs de suie doivent correspondre à la section des conduits et satisfaire aux exigences suivantes :</w:t>
      </w:r>
    </w:p>
    <w:p w14:paraId="7C04F7CC" w14:textId="77777777" w:rsidR="00DF410E" w:rsidRDefault="00CE7F43">
      <w:pPr>
        <w:pStyle w:val="Author-eListParagraph"/>
        <w:numPr>
          <w:ilvl w:val="0"/>
          <w:numId w:val="1154"/>
        </w:numPr>
      </w:pPr>
      <w:r>
        <w:t>Ils sont suffisamment étanches pour éviter la pénétration d'air parasite qui risque de nuire au tirage naturel pour les fumées de basse température.</w:t>
      </w:r>
    </w:p>
    <w:p w14:paraId="65A35447" w14:textId="77777777" w:rsidR="00DF410E" w:rsidRDefault="00CE7F43">
      <w:pPr>
        <w:pStyle w:val="Author-eListParagraph"/>
        <w:numPr>
          <w:ilvl w:val="0"/>
          <w:numId w:val="1154"/>
        </w:numPr>
      </w:pPr>
      <w:r>
        <w:t>Ils sont étanches aux condensats et aux gaz de combustion.</w:t>
      </w:r>
    </w:p>
    <w:p w14:paraId="45E51BB5" w14:textId="77777777" w:rsidR="00DF410E" w:rsidRDefault="00CE7F43">
      <w:pPr>
        <w:pStyle w:val="heading"/>
      </w:pPr>
      <w:r>
        <w:t>Spécifications</w:t>
      </w:r>
    </w:p>
    <w:p w14:paraId="0164C886" w14:textId="77777777" w:rsidR="00DF410E" w:rsidRDefault="00CE7F43">
      <w:r>
        <w:t xml:space="preserve">Matériau : </w:t>
      </w:r>
      <w:r>
        <w:rPr>
          <w:rStyle w:val="optioncarChar"/>
        </w:rPr>
        <w:t>béton </w:t>
      </w:r>
      <w:r>
        <w:t>(par défaut)</w:t>
      </w:r>
      <w:r>
        <w:rPr>
          <w:rStyle w:val="optioncarChar"/>
        </w:rPr>
        <w:t xml:space="preserve"> / fibres-ciment / acier inoxydable / ***</w:t>
      </w:r>
    </w:p>
    <w:p w14:paraId="126D6106" w14:textId="77777777" w:rsidR="00DF410E" w:rsidRDefault="00CE7F43">
      <w:r>
        <w:t xml:space="preserve">Type : </w:t>
      </w:r>
      <w:r>
        <w:rPr>
          <w:rStyle w:val="optioncarChar"/>
        </w:rPr>
        <w:t>collecteur (à double fermeture)</w:t>
      </w:r>
      <w:r>
        <w:t> </w:t>
      </w:r>
      <w:r>
        <w:rPr>
          <w:rStyle w:val="optioncarChar"/>
        </w:rPr>
        <w:t>/ fermeture à baïonnette</w:t>
      </w:r>
    </w:p>
    <w:p w14:paraId="092FDA55" w14:textId="77777777" w:rsidR="00DF410E" w:rsidRDefault="00CE7F43">
      <w:pPr>
        <w:pStyle w:val="Author-eSectionHeading6"/>
      </w:pPr>
      <w:bookmarkStart w:id="2089" w:name="_Toc178839129"/>
      <w:r>
        <w:t>27.33.2a Collecteurs de suie CCTB 01.11</w:t>
      </w:r>
      <w:bookmarkEnd w:id="2089"/>
    </w:p>
    <w:p w14:paraId="0BD7A1DF" w14:textId="77777777" w:rsidR="00DF410E" w:rsidRDefault="00CE7F43">
      <w:pPr>
        <w:pStyle w:val="Author-eSectionHeading5"/>
      </w:pPr>
      <w:bookmarkStart w:id="2090" w:name="_Toc178839130"/>
      <w:r>
        <w:t>27.33.3 Recueillement des condensats CCTB 01.02</w:t>
      </w:r>
      <w:bookmarkEnd w:id="2090"/>
    </w:p>
    <w:p w14:paraId="6A699F92" w14:textId="77777777" w:rsidR="00DF410E" w:rsidRDefault="00CE7F43">
      <w:pPr>
        <w:pStyle w:val="Author-eSectionHeading6"/>
      </w:pPr>
      <w:bookmarkStart w:id="2091" w:name="_Toc178839131"/>
      <w:r>
        <w:t>27.33.3a Recueillement des condensats CCTB 01.02</w:t>
      </w:r>
      <w:bookmarkEnd w:id="2091"/>
    </w:p>
    <w:p w14:paraId="711B8508" w14:textId="77777777" w:rsidR="00DF410E" w:rsidRDefault="00CE7F43">
      <w:pPr>
        <w:pStyle w:val="pheading"/>
      </w:pPr>
      <w:r>
        <w:t>MESURAGE</w:t>
      </w:r>
    </w:p>
    <w:p w14:paraId="47CB7619" w14:textId="77777777" w:rsidR="00DF410E" w:rsidRDefault="00CE7F43">
      <w:pPr>
        <w:pStyle w:val="pheading"/>
      </w:pPr>
      <w:r>
        <w:t>- nature du marché:</w:t>
      </w:r>
    </w:p>
    <w:p w14:paraId="637E7007" w14:textId="77777777" w:rsidR="00DF410E" w:rsidRDefault="00DF410E"/>
    <w:p w14:paraId="049C994F" w14:textId="77777777" w:rsidR="00DF410E" w:rsidRDefault="00CE7F43">
      <w:pPr>
        <w:pStyle w:val="soit"/>
        <w:numPr>
          <w:ilvl w:val="0"/>
          <w:numId w:val="1155"/>
        </w:numPr>
      </w:pPr>
      <w:r>
        <w:t> </w:t>
      </w:r>
    </w:p>
    <w:p w14:paraId="06B21A3C" w14:textId="77777777" w:rsidR="00DF410E" w:rsidRDefault="00CE7F43">
      <w:pPr>
        <w:pStyle w:val="Author-eSectionHeading3"/>
      </w:pPr>
      <w:bookmarkStart w:id="2092" w:name="_Toc178839132"/>
      <w:r>
        <w:t>27.4 - CCTB 01.02</w:t>
      </w:r>
      <w:bookmarkEnd w:id="2092"/>
    </w:p>
    <w:p w14:paraId="79A51B8D" w14:textId="77777777" w:rsidR="00DF410E" w:rsidRDefault="00CE7F43">
      <w:pPr>
        <w:pStyle w:val="Author-eSectionHeading3"/>
      </w:pPr>
      <w:bookmarkStart w:id="2093" w:name="_Toc178839133"/>
      <w:r>
        <w:t>27.5 - CCTB 01.02</w:t>
      </w:r>
      <w:bookmarkEnd w:id="2093"/>
    </w:p>
    <w:p w14:paraId="4E1EF36C" w14:textId="77777777" w:rsidR="00DF410E" w:rsidRDefault="00CE7F43">
      <w:pPr>
        <w:pStyle w:val="Author-eSectionHeading3"/>
      </w:pPr>
      <w:bookmarkStart w:id="2094" w:name="_Toc178839134"/>
      <w:r>
        <w:t>27.6 - CCTB 01.02</w:t>
      </w:r>
      <w:bookmarkEnd w:id="2094"/>
    </w:p>
    <w:p w14:paraId="146D522D" w14:textId="77777777" w:rsidR="00DF410E" w:rsidRDefault="00CE7F43">
      <w:pPr>
        <w:pStyle w:val="Author-eSectionHeading3"/>
      </w:pPr>
      <w:bookmarkStart w:id="2095" w:name="_Toc178839135"/>
      <w:r>
        <w:t>27.7 -</w:t>
      </w:r>
      <w:bookmarkEnd w:id="2095"/>
    </w:p>
    <w:p w14:paraId="40F636F4" w14:textId="77777777" w:rsidR="00DF410E" w:rsidRDefault="00CE7F43">
      <w:pPr>
        <w:pStyle w:val="Author-eSectionHeading3"/>
      </w:pPr>
      <w:bookmarkStart w:id="2096" w:name="_Toc178839136"/>
      <w:r>
        <w:t>27.8 Conduits de fumée et de ventilation maçonnés - Rénovation CCTB 01.04</w:t>
      </w:r>
      <w:bookmarkEnd w:id="2096"/>
    </w:p>
    <w:p w14:paraId="40A707BB" w14:textId="77777777" w:rsidR="00DF410E" w:rsidRDefault="00CE7F43">
      <w:pPr>
        <w:pStyle w:val="Author-eSectionHeading4"/>
      </w:pPr>
      <w:bookmarkStart w:id="2097" w:name="_Toc178839137"/>
      <w:r>
        <w:t>27.81 Etudes / essais préliminaires CCTB 01.04</w:t>
      </w:r>
      <w:bookmarkEnd w:id="2097"/>
    </w:p>
    <w:p w14:paraId="62E069A6" w14:textId="77777777" w:rsidR="00DF410E" w:rsidRDefault="00CE7F43">
      <w:pPr>
        <w:pStyle w:val="pheading"/>
      </w:pPr>
      <w:bookmarkStart w:id="2098" w:name="698"/>
      <w:bookmarkEnd w:id="2098"/>
      <w:r>
        <w:t>DESCRIPTION</w:t>
      </w:r>
    </w:p>
    <w:p w14:paraId="5641E18A" w14:textId="77777777" w:rsidR="00DF410E" w:rsidRDefault="00CE7F43">
      <w:pPr>
        <w:pStyle w:val="pheading"/>
      </w:pPr>
      <w:r>
        <w:t>- Définition / Comprend</w:t>
      </w:r>
    </w:p>
    <w:p w14:paraId="38765BFA" w14:textId="77777777" w:rsidR="00DF410E" w:rsidRDefault="00CE7F43">
      <w:r>
        <w:t xml:space="preserve"> Renvoi à </w:t>
      </w:r>
      <w:hyperlink r:id="rId530" w:history="1" w:docLocation="85">
        <w:r>
          <w:t>03 Études, essais et contrôles en cours de chantier</w:t>
        </w:r>
      </w:hyperlink>
    </w:p>
    <w:p w14:paraId="2FB34E6D" w14:textId="77777777" w:rsidR="00DF410E" w:rsidRDefault="00CE7F43">
      <w:pPr>
        <w:pStyle w:val="Author-eSectionHeading4"/>
      </w:pPr>
      <w:bookmarkStart w:id="2099" w:name="_Toc178839138"/>
      <w:r>
        <w:t>27.82 Dépose / démontage / percement / déconstruction-démolition CCTB 01.04</w:t>
      </w:r>
      <w:bookmarkEnd w:id="2099"/>
    </w:p>
    <w:p w14:paraId="0CD485D1" w14:textId="77777777" w:rsidR="00DF410E" w:rsidRDefault="00CE7F43">
      <w:pPr>
        <w:pStyle w:val="Author-eSectionHeading5"/>
      </w:pPr>
      <w:bookmarkStart w:id="2100" w:name="693"/>
      <w:bookmarkStart w:id="2101" w:name="_Toc178839139"/>
      <w:bookmarkEnd w:id="2100"/>
      <w:r>
        <w:t>27.82.1 Travaux de stabilisation CCTB 01.04</w:t>
      </w:r>
      <w:bookmarkEnd w:id="2101"/>
    </w:p>
    <w:p w14:paraId="501E4AB6" w14:textId="77777777" w:rsidR="00DF410E" w:rsidRDefault="00CE7F43">
      <w:pPr>
        <w:pStyle w:val="pheading"/>
      </w:pPr>
      <w:r>
        <w:t>DESCRIPTION</w:t>
      </w:r>
    </w:p>
    <w:p w14:paraId="35251344" w14:textId="77777777" w:rsidR="00DF410E" w:rsidRDefault="00CE7F43">
      <w:pPr>
        <w:pStyle w:val="pheading"/>
      </w:pPr>
      <w:r>
        <w:t>- Définition / Comprend</w:t>
      </w:r>
    </w:p>
    <w:p w14:paraId="6A60E7CD" w14:textId="77777777" w:rsidR="00DF410E" w:rsidRDefault="00CE7F43">
      <w:r>
        <w:t xml:space="preserve">Renvoi à </w:t>
      </w:r>
      <w:hyperlink r:id="rId531" w:history="1" w:docLocation="113">
        <w:r>
          <w:t>06.11 Stabilisations de la structure</w:t>
        </w:r>
      </w:hyperlink>
    </w:p>
    <w:p w14:paraId="22A983FB" w14:textId="77777777" w:rsidR="00DF410E" w:rsidRDefault="00CE7F43">
      <w:pPr>
        <w:pStyle w:val="Author-eSectionHeading5"/>
      </w:pPr>
      <w:bookmarkStart w:id="2102" w:name="_Toc178839140"/>
      <w:r>
        <w:t>27.82.2 Dépose d'éléments (pour repose ultérieure) CCTB 01.04</w:t>
      </w:r>
      <w:bookmarkEnd w:id="2102"/>
    </w:p>
    <w:p w14:paraId="5C390C39" w14:textId="77777777" w:rsidR="00DF410E" w:rsidRDefault="00CE7F43">
      <w:pPr>
        <w:pStyle w:val="pheading"/>
      </w:pPr>
      <w:r>
        <w:t>DESCRIPTION</w:t>
      </w:r>
    </w:p>
    <w:p w14:paraId="1396D0F5" w14:textId="77777777" w:rsidR="00DF410E" w:rsidRDefault="00CE7F43">
      <w:pPr>
        <w:pStyle w:val="pheading"/>
      </w:pPr>
      <w:r>
        <w:t>- Définition / Comprend</w:t>
      </w:r>
    </w:p>
    <w:p w14:paraId="1BDB1036" w14:textId="77777777" w:rsidR="00DF410E" w:rsidRDefault="00CE7F43">
      <w:r>
        <w:t xml:space="preserve"> renvoi au § </w:t>
      </w:r>
      <w:hyperlink r:id="rId532" w:history="1" w:docLocation="690">
        <w:r>
          <w:t>06.44 Démontages d'éléments de fermeture et de finitions intérieures</w:t>
        </w:r>
      </w:hyperlink>
    </w:p>
    <w:p w14:paraId="3E09ACDA" w14:textId="77777777" w:rsidR="00DF410E" w:rsidRDefault="00CE7F43">
      <w:pPr>
        <w:pStyle w:val="Author-eSectionHeading5"/>
      </w:pPr>
      <w:bookmarkStart w:id="2103" w:name="_Toc178839141"/>
      <w:r>
        <w:t>27.82.3 Démontage d'éléments (pour récupération)  CCTB 01.04</w:t>
      </w:r>
      <w:bookmarkEnd w:id="2103"/>
    </w:p>
    <w:p w14:paraId="1438FABE" w14:textId="77777777" w:rsidR="00DF410E" w:rsidRDefault="00CE7F43">
      <w:pPr>
        <w:pStyle w:val="pheading"/>
      </w:pPr>
      <w:r>
        <w:t>DESCRIPTION</w:t>
      </w:r>
    </w:p>
    <w:p w14:paraId="68F812CD" w14:textId="77777777" w:rsidR="00DF410E" w:rsidRDefault="00CE7F43">
      <w:pPr>
        <w:pStyle w:val="pheading"/>
      </w:pPr>
      <w:r>
        <w:t>- Définition / Comprend</w:t>
      </w:r>
    </w:p>
    <w:p w14:paraId="0FF64321" w14:textId="77777777" w:rsidR="00DF410E" w:rsidRDefault="00CE7F43">
      <w:r>
        <w:t xml:space="preserve">Renvoi au § </w:t>
      </w:r>
      <w:hyperlink r:id="rId533" w:history="1" w:docLocation="691">
        <w:r>
          <w:t>06.34 Démontages d'éléments de fermetures et de finitions intérieures</w:t>
        </w:r>
      </w:hyperlink>
    </w:p>
    <w:p w14:paraId="7579F7BE" w14:textId="77777777" w:rsidR="00DF410E" w:rsidRDefault="00CE7F43">
      <w:pPr>
        <w:pStyle w:val="Author-eSectionHeading5"/>
      </w:pPr>
      <w:bookmarkStart w:id="2104" w:name="_Toc178839142"/>
      <w:r>
        <w:t>27.82.4 Dégagement d'éléments spécifiques CCTB 01.04</w:t>
      </w:r>
      <w:bookmarkEnd w:id="2104"/>
    </w:p>
    <w:p w14:paraId="63221B0C" w14:textId="77777777" w:rsidR="00DF410E" w:rsidRDefault="00CE7F43">
      <w:pPr>
        <w:pStyle w:val="Author-eSectionHeading5"/>
      </w:pPr>
      <w:bookmarkStart w:id="2105" w:name="_Toc178839143"/>
      <w:r>
        <w:t>27.82.5 Décapage / Déjointoiement (pour évacuation) CCTB 01.04</w:t>
      </w:r>
      <w:bookmarkEnd w:id="2105"/>
    </w:p>
    <w:p w14:paraId="2E749246" w14:textId="77777777" w:rsidR="00DF410E" w:rsidRDefault="00CE7F43">
      <w:pPr>
        <w:pStyle w:val="pheading"/>
      </w:pPr>
      <w:r>
        <w:t>DESCRIPTION</w:t>
      </w:r>
    </w:p>
    <w:p w14:paraId="491C4505" w14:textId="77777777" w:rsidR="00DF410E" w:rsidRDefault="00CE7F43">
      <w:pPr>
        <w:pStyle w:val="pheading"/>
      </w:pPr>
      <w:r>
        <w:t>- Définition / Comprend</w:t>
      </w:r>
    </w:p>
    <w:p w14:paraId="5C90B67E" w14:textId="77777777" w:rsidR="00DF410E" w:rsidRDefault="00CE7F43">
      <w:r>
        <w:t xml:space="preserve">Renvoi à </w:t>
      </w:r>
      <w:hyperlink r:id="rId534" w:history="1" w:docLocation="535">
        <w:r>
          <w:t>06.7 Décapages / déjointoiements (pour évacuation)</w:t>
        </w:r>
      </w:hyperlink>
    </w:p>
    <w:p w14:paraId="36B5EC45"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535" w:history="1" w:docLocation="116">
        <w:r>
          <w:t>07 Déchets, matériaux et éléments réemployables</w:t>
        </w:r>
      </w:hyperlink>
      <w:r>
        <w:t>.</w:t>
      </w:r>
    </w:p>
    <w:p w14:paraId="7C35ED80" w14:textId="77777777" w:rsidR="00DF410E" w:rsidRDefault="00CE7F43">
      <w:pPr>
        <w:pStyle w:val="Author-eSectionHeading5"/>
      </w:pPr>
      <w:bookmarkStart w:id="2106" w:name="_Toc178839144"/>
      <w:r>
        <w:t>27.82.6 Percements / carottages CCTB 01.04</w:t>
      </w:r>
      <w:bookmarkEnd w:id="2106"/>
    </w:p>
    <w:p w14:paraId="3BE550EB" w14:textId="77777777" w:rsidR="00DF410E" w:rsidRDefault="00CE7F43">
      <w:pPr>
        <w:pStyle w:val="pheading"/>
      </w:pPr>
      <w:r>
        <w:t>DESCRIPTION</w:t>
      </w:r>
    </w:p>
    <w:p w14:paraId="675E264E" w14:textId="77777777" w:rsidR="00DF410E" w:rsidRDefault="00CE7F43">
      <w:pPr>
        <w:pStyle w:val="pheading"/>
      </w:pPr>
      <w:r>
        <w:t>- Définition / Comprend</w:t>
      </w:r>
    </w:p>
    <w:p w14:paraId="21F05D7F" w14:textId="77777777" w:rsidR="00DF410E" w:rsidRDefault="00CE7F43">
      <w:r>
        <w:t xml:space="preserve"> Renvoi à </w:t>
      </w:r>
      <w:hyperlink r:id="rId536" w:history="1" w:docLocation="438">
        <w:r>
          <w:t>06.8 Percements / carottages</w:t>
        </w:r>
      </w:hyperlink>
    </w:p>
    <w:p w14:paraId="1D3F9ED7" w14:textId="77777777" w:rsidR="00DF410E" w:rsidRDefault="00CE7F43">
      <w:pPr>
        <w:pStyle w:val="Author-eSectionHeading4"/>
      </w:pPr>
      <w:bookmarkStart w:id="2107" w:name="_Toc178839145"/>
      <w:r>
        <w:t>27.83 Réparation / ragréage / rénovation CCTB 01.04</w:t>
      </w:r>
      <w:bookmarkEnd w:id="2107"/>
    </w:p>
    <w:p w14:paraId="2CBD5F72" w14:textId="77777777" w:rsidR="00DF410E" w:rsidRDefault="00CE7F43">
      <w:pPr>
        <w:pStyle w:val="pheading"/>
      </w:pPr>
      <w:r>
        <w:t>DESCRIPTION</w:t>
      </w:r>
    </w:p>
    <w:p w14:paraId="78035ADF" w14:textId="77777777" w:rsidR="00DF410E" w:rsidRDefault="00CE7F43">
      <w:pPr>
        <w:pStyle w:val="pheading"/>
      </w:pPr>
      <w:r>
        <w:t>- Définition / Comprend</w:t>
      </w:r>
    </w:p>
    <w:p w14:paraId="33C221A3" w14:textId="77777777" w:rsidR="00DF410E" w:rsidRDefault="00CE7F43">
      <w:r>
        <w:t xml:space="preserve">Renvoi à </w:t>
      </w:r>
      <w:hyperlink w:anchor="692" w:history="1">
        <w:r>
          <w:t>21.83 Réparations / ragréages / rénovations</w:t>
        </w:r>
      </w:hyperlink>
    </w:p>
    <w:p w14:paraId="3991312C" w14:textId="77777777" w:rsidR="00DF410E" w:rsidRDefault="00CE7F43">
      <w:pPr>
        <w:pStyle w:val="Author-eSectionHeading5"/>
      </w:pPr>
      <w:bookmarkStart w:id="2108" w:name="_Toc178839146"/>
      <w:r>
        <w:t>27.83.1 Ragréage de souches de cheminée CCTB 01.04</w:t>
      </w:r>
      <w:bookmarkEnd w:id="2108"/>
    </w:p>
    <w:p w14:paraId="12183F5A" w14:textId="77777777" w:rsidR="00DF410E" w:rsidRDefault="00CE7F43">
      <w:pPr>
        <w:pStyle w:val="Author-eSectionHeading6"/>
      </w:pPr>
      <w:bookmarkStart w:id="2109" w:name="_Toc178839147"/>
      <w:r>
        <w:t>27.83.1a Ragréage de souches de cheminée CCTB 01.04</w:t>
      </w:r>
      <w:bookmarkEnd w:id="2109"/>
    </w:p>
    <w:p w14:paraId="4743156B" w14:textId="77777777" w:rsidR="00DF410E" w:rsidRDefault="00CE7F43">
      <w:pPr>
        <w:pStyle w:val="Author-eSectionHeading4"/>
      </w:pPr>
      <w:bookmarkStart w:id="2110" w:name="_Toc178839148"/>
      <w:r>
        <w:t>27.84 Adaptation CCTB 01.12</w:t>
      </w:r>
      <w:bookmarkEnd w:id="2110"/>
    </w:p>
    <w:p w14:paraId="73998CC6" w14:textId="77777777" w:rsidR="00DF410E" w:rsidRDefault="00CE7F43">
      <w:pPr>
        <w:pStyle w:val="pheading"/>
      </w:pPr>
      <w:r>
        <w:t>DESCRIPTION</w:t>
      </w:r>
    </w:p>
    <w:p w14:paraId="64BA7F24" w14:textId="77777777" w:rsidR="00DF410E" w:rsidRDefault="00CE7F43">
      <w:pPr>
        <w:pStyle w:val="pheading"/>
      </w:pPr>
      <w:r>
        <w:t>- Définition / Comprend</w:t>
      </w:r>
    </w:p>
    <w:p w14:paraId="61AC619E" w14:textId="77777777" w:rsidR="00DF410E" w:rsidRDefault="00CE7F43">
      <w:pPr>
        <w:jc w:val="both"/>
      </w:pPr>
      <w:r>
        <w:t>Le travail comprend notamment :</w:t>
      </w:r>
    </w:p>
    <w:p w14:paraId="2D29C690" w14:textId="77777777" w:rsidR="00DF410E" w:rsidRDefault="00CE7F43">
      <w:pPr>
        <w:pStyle w:val="Author-eListParagraph"/>
        <w:numPr>
          <w:ilvl w:val="0"/>
          <w:numId w:val="1156"/>
        </w:numPr>
        <w:jc w:val="both"/>
      </w:pPr>
      <w:r>
        <w:t xml:space="preserve">Les prestations et travaux préparatoires selon le </w:t>
      </w:r>
      <w:hyperlink w:anchor="698" w:history="1">
        <w:r>
          <w:t>27.81 Etudes / essais préliminaires</w:t>
        </w:r>
      </w:hyperlink>
      <w:r>
        <w:t xml:space="preserve"> et notamment : </w:t>
      </w:r>
    </w:p>
    <w:p w14:paraId="36B345D3" w14:textId="77777777" w:rsidR="00DF410E" w:rsidRDefault="00CE7F43">
      <w:pPr>
        <w:pStyle w:val="Author-eListParagraph"/>
        <w:numPr>
          <w:ilvl w:val="1"/>
          <w:numId w:val="1157"/>
        </w:numPr>
        <w:jc w:val="both"/>
      </w:pPr>
      <w:r>
        <w:t>Le repérage et l’inspection des conduits existants</w:t>
      </w:r>
    </w:p>
    <w:p w14:paraId="168A7C62" w14:textId="77777777" w:rsidR="00DF410E" w:rsidRDefault="00CE7F43">
      <w:pPr>
        <w:pStyle w:val="Author-eListParagraph"/>
        <w:numPr>
          <w:ilvl w:val="1"/>
          <w:numId w:val="1157"/>
        </w:numPr>
        <w:jc w:val="both"/>
      </w:pPr>
      <w:r>
        <w:t>La prise et/ou la vérification des mesures in situ</w:t>
      </w:r>
    </w:p>
    <w:p w14:paraId="59D26F13" w14:textId="77777777" w:rsidR="00DF410E" w:rsidRDefault="00CE7F43">
      <w:pPr>
        <w:pStyle w:val="Author-eListParagraph"/>
        <w:numPr>
          <w:ilvl w:val="0"/>
          <w:numId w:val="1156"/>
        </w:numPr>
        <w:jc w:val="both"/>
      </w:pPr>
      <w:r>
        <w:t>Les mesures de sécurité ;</w:t>
      </w:r>
    </w:p>
    <w:p w14:paraId="78FC23EF" w14:textId="77777777" w:rsidR="00DF410E" w:rsidRDefault="00CE7F43">
      <w:pPr>
        <w:pStyle w:val="Author-eListParagraph"/>
        <w:numPr>
          <w:ilvl w:val="0"/>
          <w:numId w:val="1156"/>
        </w:numPr>
        <w:jc w:val="both"/>
      </w:pPr>
      <w:r>
        <w:t>Les moyens d’accès (échafaudages, …) ;</w:t>
      </w:r>
    </w:p>
    <w:p w14:paraId="7BFB8793" w14:textId="77777777" w:rsidR="00DF410E" w:rsidRDefault="00CE7F43">
      <w:pPr>
        <w:pStyle w:val="Author-eListParagraph"/>
        <w:numPr>
          <w:ilvl w:val="0"/>
          <w:numId w:val="1156"/>
        </w:numPr>
        <w:jc w:val="both"/>
      </w:pPr>
      <w:r>
        <w:t>Les moyens de manutention ;</w:t>
      </w:r>
    </w:p>
    <w:p w14:paraId="7B8D0710" w14:textId="77777777" w:rsidR="00DF410E" w:rsidRDefault="00CE7F43">
      <w:pPr>
        <w:pStyle w:val="Author-eListParagraph"/>
        <w:numPr>
          <w:ilvl w:val="0"/>
          <w:numId w:val="1156"/>
        </w:numPr>
        <w:jc w:val="both"/>
      </w:pPr>
      <w:r>
        <w:t>Les moyens de protection du bâtiment, des parois, … ;</w:t>
      </w:r>
    </w:p>
    <w:p w14:paraId="6C54E9F8" w14:textId="77777777" w:rsidR="00DF410E" w:rsidRDefault="00CE7F43">
      <w:pPr>
        <w:pStyle w:val="Author-eListParagraph"/>
        <w:numPr>
          <w:ilvl w:val="0"/>
          <w:numId w:val="1156"/>
        </w:numPr>
        <w:jc w:val="both"/>
      </w:pPr>
      <w:r>
        <w:t>L’étançonnement - étaiement nécessaire ;</w:t>
      </w:r>
    </w:p>
    <w:p w14:paraId="10A0C45C" w14:textId="77777777" w:rsidR="00DF410E" w:rsidRDefault="00CE7F43">
      <w:pPr>
        <w:pStyle w:val="Author-eListParagraph"/>
        <w:numPr>
          <w:ilvl w:val="0"/>
          <w:numId w:val="1156"/>
        </w:numPr>
        <w:jc w:val="both"/>
      </w:pPr>
      <w:r>
        <w:t>L’entretien des moyens cités ci-avant et leur enlèvement complet en fin de chantier ;</w:t>
      </w:r>
    </w:p>
    <w:p w14:paraId="0299BB3E" w14:textId="77777777" w:rsidR="00DF410E" w:rsidRDefault="00CE7F43">
      <w:pPr>
        <w:pStyle w:val="Author-eListParagraph"/>
        <w:numPr>
          <w:ilvl w:val="0"/>
          <w:numId w:val="1156"/>
        </w:numPr>
        <w:jc w:val="both"/>
      </w:pPr>
      <w:r>
        <w:t>La coordination avec les différents intervenants ;</w:t>
      </w:r>
    </w:p>
    <w:p w14:paraId="5EB0E761" w14:textId="77777777" w:rsidR="00DF410E" w:rsidRDefault="00CE7F43">
      <w:pPr>
        <w:pStyle w:val="Author-eListParagraph"/>
        <w:numPr>
          <w:ilvl w:val="0"/>
          <w:numId w:val="1156"/>
        </w:numPr>
        <w:jc w:val="both"/>
      </w:pPr>
      <w:r>
        <w:t>L’adaptation des maçonneries ;</w:t>
      </w:r>
    </w:p>
    <w:p w14:paraId="43A95460" w14:textId="77777777" w:rsidR="00DF410E" w:rsidRDefault="00CE7F43">
      <w:pPr>
        <w:pStyle w:val="Author-eListParagraph"/>
        <w:numPr>
          <w:ilvl w:val="0"/>
          <w:numId w:val="1156"/>
        </w:numPr>
        <w:jc w:val="both"/>
      </w:pPr>
      <w:r>
        <w:t>Les dispositions en matière de protection incendie, selon les descriptions ci-après ;</w:t>
      </w:r>
    </w:p>
    <w:p w14:paraId="5216B314" w14:textId="77777777" w:rsidR="00DF410E" w:rsidRDefault="00CE7F43">
      <w:pPr>
        <w:pStyle w:val="Author-eListParagraph"/>
        <w:numPr>
          <w:ilvl w:val="0"/>
          <w:numId w:val="1156"/>
        </w:numPr>
        <w:jc w:val="both"/>
      </w:pPr>
      <w:r>
        <w:t xml:space="preserve">La gestion des déchets (collecte, tri, traitement, évacuation en dehors du chantier, …), conformément aux </w:t>
      </w:r>
      <w:hyperlink r:id="rId537" w:history="1" w:docLocation="116">
        <w:r>
          <w:t>07 Déchets, matériaux et éléments réemployables</w:t>
        </w:r>
      </w:hyperlink>
      <w:r>
        <w:t xml:space="preserve"> et suivants ;</w:t>
      </w:r>
    </w:p>
    <w:p w14:paraId="4BE0D5B0" w14:textId="77777777" w:rsidR="00DF410E" w:rsidRDefault="00CE7F43">
      <w:pPr>
        <w:pStyle w:val="Author-eListParagraph"/>
        <w:numPr>
          <w:ilvl w:val="0"/>
          <w:numId w:val="1156"/>
        </w:numPr>
        <w:jc w:val="both"/>
      </w:pPr>
      <w:r>
        <w:t>Le nettoyage en fin de chantier.</w:t>
      </w:r>
    </w:p>
    <w:p w14:paraId="0B72AF76" w14:textId="77777777" w:rsidR="00DF410E" w:rsidRDefault="00CE7F43">
      <w:pPr>
        <w:pStyle w:val="Author-eSectionHeading5"/>
      </w:pPr>
      <w:bookmarkStart w:id="2111" w:name="_Toc178839149"/>
      <w:r>
        <w:t>27.84.1 Tubage de cheminée existante CCTB 01.12</w:t>
      </w:r>
      <w:bookmarkEnd w:id="2111"/>
    </w:p>
    <w:p w14:paraId="49C1F245" w14:textId="77777777" w:rsidR="00DF410E" w:rsidRDefault="00CE7F43">
      <w:pPr>
        <w:pStyle w:val="pheading"/>
      </w:pPr>
      <w:r>
        <w:t>DESCRIPTION</w:t>
      </w:r>
    </w:p>
    <w:p w14:paraId="307827F2" w14:textId="77777777" w:rsidR="00DF410E" w:rsidRDefault="00CE7F43">
      <w:pPr>
        <w:pStyle w:val="pheading"/>
      </w:pPr>
      <w:r>
        <w:t>- Définition / Comprend</w:t>
      </w:r>
    </w:p>
    <w:p w14:paraId="0CA13174" w14:textId="77777777" w:rsidR="00DF410E" w:rsidRDefault="00CE7F43">
      <w:pPr>
        <w:jc w:val="both"/>
      </w:pPr>
      <w:r>
        <w:t>Il s’agit de l’adaptation des maçonneries de conduits de fumée et de ventilation existantes, afin de permettre le tubage de ces conduits.</w:t>
      </w:r>
    </w:p>
    <w:p w14:paraId="1EF2EE02" w14:textId="77777777" w:rsidR="00DF410E" w:rsidRDefault="00CE7F43">
      <w:pPr>
        <w:jc w:val="both"/>
      </w:pPr>
      <w:r>
        <w:t>Le démontage et/ou la démolition d’équipements existants (p.ex. : ancien tubage à l’intérieur du conduit) est (sont) décrit(s) et compté(s) aux </w:t>
      </w:r>
      <w:hyperlink r:id="rId538" w:history="1" w:docLocation="135">
        <w:r>
          <w:t>06 Travaux de stabilisation et de déconstruction</w:t>
        </w:r>
      </w:hyperlink>
      <w:r>
        <w:t xml:space="preserve"> et suivants.</w:t>
      </w:r>
    </w:p>
    <w:p w14:paraId="68A18569" w14:textId="77777777" w:rsidR="00DF410E" w:rsidRDefault="00CE7F43">
      <w:pPr>
        <w:jc w:val="both"/>
      </w:pPr>
      <w:r>
        <w:t xml:space="preserve">Les travaux de maçonneries sont notamment réalisés selon les descriptions du </w:t>
      </w:r>
      <w:hyperlink w:anchor="223" w:history="1">
        <w:r>
          <w:t>21.8 Superstructures en maçonnerie - Rénovation</w:t>
        </w:r>
      </w:hyperlink>
      <w:r>
        <w:t xml:space="preserve"> et suivants.</w:t>
      </w:r>
    </w:p>
    <w:p w14:paraId="17880050" w14:textId="77777777" w:rsidR="00DF410E" w:rsidRDefault="00CE7F43">
      <w:pPr>
        <w:jc w:val="both"/>
      </w:pPr>
      <w:r>
        <w:t xml:space="preserve">Les nouveaux équipements (p.ex. conduits rigides ou flexibles, … ) à placer dans les conduits maçonnés adaptés sont décrits et comptés aux </w:t>
      </w:r>
      <w:hyperlink r:id="rId539" w:history="1" w:docLocation="34">
        <w:r>
          <w:t>6 T6 HVAC - sanitaires</w:t>
        </w:r>
      </w:hyperlink>
      <w:r>
        <w:t xml:space="preserve"> et suivants.</w:t>
      </w:r>
    </w:p>
    <w:p w14:paraId="5780B781" w14:textId="77777777" w:rsidR="00DF410E" w:rsidRDefault="00CE7F43">
      <w:pPr>
        <w:jc w:val="both"/>
      </w:pPr>
      <w:r>
        <w:t>Pour rappel, en vue d’établir sa remise de prix, l’entrepreneur visite le chantier et réalise les investigations qu’il estime nécessaires afin d’appréhender correctement les aléas qui pourraient apparaitre.  </w:t>
      </w:r>
    </w:p>
    <w:p w14:paraId="000CC3C8" w14:textId="77777777" w:rsidR="00DF410E" w:rsidRDefault="00CE7F43">
      <w:pPr>
        <w:jc w:val="both"/>
      </w:pPr>
      <w:r>
        <w:t>Si, malgré ces investigations préalables, des éléments singuliers pour ce type de travail apparaissent en cours de réalisation (p.ex. : dimensions, encombrements, … particuliers des conduits), l’entrepreneur fait rapport à la direction des travaux.</w:t>
      </w:r>
    </w:p>
    <w:p w14:paraId="04BF8310" w14:textId="77777777" w:rsidR="00DF410E" w:rsidRDefault="00CE7F43">
      <w:pPr>
        <w:jc w:val="both"/>
      </w:pPr>
      <w:r>
        <w:t xml:space="preserve"> Les mesures appropriées sont définies en accord avec les différents intervenants (voir AIDE).</w:t>
      </w:r>
    </w:p>
    <w:p w14:paraId="4213A128" w14:textId="77777777" w:rsidR="00DF410E" w:rsidRDefault="00CE7F43">
      <w:pPr>
        <w:pStyle w:val="pheading"/>
      </w:pPr>
      <w:r>
        <w:t>MATÉRIAUX</w:t>
      </w:r>
    </w:p>
    <w:p w14:paraId="061A4057" w14:textId="77777777" w:rsidR="00DF410E" w:rsidRDefault="00CE7F43">
      <w:pPr>
        <w:jc w:val="both"/>
      </w:pPr>
      <w:r>
        <w:t>Sauf remarque particulière, les maçonneries à réaliser sont exécutées à l’aide de matériaux identiques ou similaires et au moins équivalents à l’existant.</w:t>
      </w:r>
    </w:p>
    <w:p w14:paraId="3822EB79" w14:textId="77777777" w:rsidR="00DF410E" w:rsidRDefault="00CE7F43">
      <w:pPr>
        <w:jc w:val="both"/>
      </w:pPr>
      <w:r>
        <w:t xml:space="preserve"> Ces matériaux sont conformes aux </w:t>
      </w:r>
      <w:hyperlink w:anchor="293" w:history="1">
        <w:r>
          <w:t>21 Superstructures en maçonnerie</w:t>
        </w:r>
      </w:hyperlink>
      <w:r>
        <w:t xml:space="preserve"> et suivants.</w:t>
      </w:r>
    </w:p>
    <w:p w14:paraId="2EB05EB2" w14:textId="77777777" w:rsidR="00DF410E" w:rsidRDefault="00CE7F43">
      <w:pPr>
        <w:jc w:val="both"/>
      </w:pPr>
      <w:r>
        <w:t xml:space="preserve"> Avant exécution, l’entrepreneur soumet à la direction des travaux les matériaux qu’il souhaite utiliser. L’ensemble fait l’objet d’un accord préalable.</w:t>
      </w:r>
    </w:p>
    <w:p w14:paraId="3F2D8F0F" w14:textId="77777777" w:rsidR="00DF410E" w:rsidRDefault="00CE7F43">
      <w:pPr>
        <w:jc w:val="both"/>
      </w:pPr>
      <w:r>
        <w:t>Le réemploi des matériaux issus des démolitions se fait uniquement si ceux-ci ne sont pas contaminés par les rejets des conduits (présence de bistre, …) et si l’entrepreneur estime qu’ils présentent des qualités suffisantes.</w:t>
      </w:r>
    </w:p>
    <w:p w14:paraId="51D5F55C" w14:textId="77777777" w:rsidR="00DF410E" w:rsidRDefault="00CE7F43">
      <w:pPr>
        <w:jc w:val="both"/>
      </w:pPr>
      <w:r>
        <w:t xml:space="preserve"> Les critères d’acceptabilité et restrictions sont notamment définis aux </w:t>
      </w:r>
      <w:hyperlink r:id="rId540" w:history="1" w:docLocation="695">
        <w:r>
          <w:t>02.4 Matériaux</w:t>
        </w:r>
      </w:hyperlink>
      <w:r>
        <w:t xml:space="preserve"> et suivants.</w:t>
      </w:r>
    </w:p>
    <w:p w14:paraId="1832AC22" w14:textId="77777777" w:rsidR="00DF410E" w:rsidRDefault="00CE7F43">
      <w:pPr>
        <w:pStyle w:val="pheading"/>
      </w:pPr>
      <w:r>
        <w:t>EXÉCUTION / MISE EN ŒUVRE</w:t>
      </w:r>
    </w:p>
    <w:p w14:paraId="6B02426E" w14:textId="77777777" w:rsidR="00DF410E" w:rsidRDefault="00CE7F43">
      <w:pPr>
        <w:jc w:val="both"/>
      </w:pPr>
      <w:r>
        <w:rPr>
          <w:b/>
        </w:rPr>
        <w:t>Généralités </w:t>
      </w:r>
    </w:p>
    <w:p w14:paraId="50BB6B00" w14:textId="77777777" w:rsidR="00DF410E" w:rsidRDefault="00CE7F43">
      <w:pPr>
        <w:jc w:val="both"/>
      </w:pPr>
      <w:r>
        <w:t>L’entrepreneur détermine et utilise tous les moyens appropriés en fonction des conditions rencontrées et des adaptations à réaliser.</w:t>
      </w:r>
    </w:p>
    <w:p w14:paraId="4104AE59" w14:textId="77777777" w:rsidR="00DF410E" w:rsidRDefault="00CE7F43">
      <w:pPr>
        <w:jc w:val="both"/>
      </w:pPr>
      <w:r>
        <w:t xml:space="preserve"> Ces moyens sont notamment adaptés aux matériaux, à l’accessibilité, … des différents éléments.</w:t>
      </w:r>
    </w:p>
    <w:p w14:paraId="6BA173E1" w14:textId="77777777" w:rsidR="00DF410E" w:rsidRDefault="00CE7F43">
      <w:pPr>
        <w:jc w:val="both"/>
      </w:pPr>
      <w:r>
        <w:t>L’entrepreneur coordonne ces travaux avec les différents intervenants et inscrit leur mise en œuvre dans le planning général du chantier.</w:t>
      </w:r>
    </w:p>
    <w:p w14:paraId="2BE77FFE" w14:textId="77777777" w:rsidR="00DF410E" w:rsidRDefault="00CE7F43">
      <w:pPr>
        <w:jc w:val="both"/>
      </w:pPr>
      <w:r>
        <w:t xml:space="preserve">Les travaux de stabilisation / déconstruction / démolition / dépose / démontage des maçonneries sont décrits aux </w:t>
      </w:r>
      <w:hyperlink r:id="rId541" w:history="1" w:docLocation="135">
        <w:r>
          <w:t>06 Travaux de stabilisation et de déconstruction</w:t>
        </w:r>
      </w:hyperlink>
      <w:r>
        <w:t xml:space="preserve"> et suivants</w:t>
      </w:r>
    </w:p>
    <w:p w14:paraId="6B25F37C" w14:textId="77777777" w:rsidR="00DF410E" w:rsidRDefault="00CE7F43">
      <w:pPr>
        <w:jc w:val="both"/>
      </w:pPr>
      <w:r>
        <w:t xml:space="preserve">Pour les maçonneries, les prescriptions du </w:t>
      </w:r>
      <w:hyperlink w:anchor="293" w:history="1">
        <w:r>
          <w:t>21 Superstructures en maçonnerie</w:t>
        </w:r>
      </w:hyperlink>
      <w:r>
        <w:t xml:space="preserve"> sont d’application.</w:t>
      </w:r>
    </w:p>
    <w:p w14:paraId="29FACF70" w14:textId="77777777" w:rsidR="00DF410E" w:rsidRDefault="00CE7F43">
      <w:pPr>
        <w:jc w:val="both"/>
      </w:pPr>
      <w:r>
        <w:rPr>
          <w:b/>
        </w:rPr>
        <w:t>Divers / Mise en œuvre </w:t>
      </w:r>
    </w:p>
    <w:p w14:paraId="15F4CB0A" w14:textId="77777777" w:rsidR="00DF410E" w:rsidRDefault="00CE7F43">
      <w:pPr>
        <w:jc w:val="both"/>
      </w:pPr>
      <w:r>
        <w:t>Les travaux sont réalisés en concertation étroite avec les différents intervenants (direction des travaux, auteur de projet, CSS, …) et en particulier avec l’entrepreneur chargé de la pose du tubage.</w:t>
      </w:r>
    </w:p>
    <w:p w14:paraId="6B1DFFD1" w14:textId="77777777" w:rsidR="00DF410E" w:rsidRDefault="00CE7F43">
      <w:pPr>
        <w:jc w:val="both"/>
      </w:pPr>
      <w:r>
        <w:t>L’entrepreneur adapte de façon ciblée les maçonneries existantes, de manière à permettre le placement du tubage (p.ex. : rigide, flexible, simple ou double paroi, …) selon la documentation technique qui l’accompagne.</w:t>
      </w:r>
    </w:p>
    <w:p w14:paraId="78EBF62D" w14:textId="77777777" w:rsidR="00DF410E" w:rsidRDefault="00CE7F43">
      <w:pPr>
        <w:jc w:val="both"/>
      </w:pPr>
      <w:r>
        <w:t xml:space="preserve"> Cette dernière est fournie, selon les cas, par l’entrepreneur chargé de la réalisation du tubage ou par la direction des travaux. Si nécessaire et avant exécution des travaux, l’entrepreneur chargé de l’adaptation des maçonneries sollicite cette documentation auprès de ces intervenants. </w:t>
      </w:r>
    </w:p>
    <w:p w14:paraId="0F5002EE" w14:textId="77777777" w:rsidR="00DF410E" w:rsidRDefault="00CE7F43">
      <w:pPr>
        <w:jc w:val="both"/>
      </w:pPr>
      <w:r>
        <w:rPr>
          <w:b/>
        </w:rPr>
        <w:t>Protection incendie </w:t>
      </w:r>
    </w:p>
    <w:p w14:paraId="0B8D0B34" w14:textId="77777777" w:rsidR="00DF410E" w:rsidRDefault="00CE7F43">
      <w:pPr>
        <w:jc w:val="both"/>
      </w:pPr>
      <w:r>
        <w:t xml:space="preserve">Les mesures de protection incendie sont notamment décrites et/ou comptées aux </w:t>
      </w:r>
      <w:hyperlink r:id="rId542" w:history="1" w:docLocation="696">
        <w:r>
          <w:t>63.4 Chaleur - rejets des produits de la combustion</w:t>
        </w:r>
      </w:hyperlink>
      <w:r>
        <w:t xml:space="preserve"> / </w:t>
      </w:r>
      <w:hyperlink r:id="rId543" w:history="1" w:docLocation="697">
        <w:r>
          <w:t>66 Lutte contre l'incendie (LCI)</w:t>
        </w:r>
      </w:hyperlink>
      <w:r>
        <w:t xml:space="preserve"> et suivants.</w:t>
      </w:r>
    </w:p>
    <w:p w14:paraId="3CF379D8" w14:textId="77777777" w:rsidR="00DF410E" w:rsidRDefault="00CE7F43">
      <w:pPr>
        <w:jc w:val="both"/>
      </w:pPr>
      <w:r>
        <w:t xml:space="preserve">L’adaptation des maçonneries s’inscrit dans la réalisation d’un compartimentage selon [AR 1994-07-07] : </w:t>
      </w:r>
      <w:r>
        <w:rPr>
          <w:rStyle w:val="optioncarChar"/>
        </w:rPr>
        <w:t xml:space="preserve">non </w:t>
      </w:r>
      <w:r>
        <w:t>(par défaut)</w:t>
      </w:r>
      <w:r>
        <w:rPr>
          <w:rStyle w:val="optioncarChar"/>
        </w:rPr>
        <w:t xml:space="preserve"> / oui</w:t>
      </w:r>
    </w:p>
    <w:p w14:paraId="639636E6" w14:textId="77777777" w:rsidR="00DF410E" w:rsidRDefault="00CE7F43">
      <w:pPr>
        <w:jc w:val="both"/>
      </w:pPr>
      <w:r>
        <w:rPr>
          <w:b/>
        </w:rPr>
        <w:t>(soit par défaut)</w:t>
      </w:r>
    </w:p>
    <w:p w14:paraId="14C4F0D2" w14:textId="77777777" w:rsidR="00DF410E" w:rsidRDefault="00CE7F43">
      <w:pPr>
        <w:jc w:val="both"/>
      </w:pPr>
      <w:r>
        <w:rPr>
          <w:rStyle w:val="soitChar"/>
          <w:u w:val="single"/>
        </w:rPr>
        <w:t>Non :</w:t>
      </w:r>
    </w:p>
    <w:p w14:paraId="625764E7" w14:textId="77777777" w:rsidR="00DF410E" w:rsidRDefault="00CE7F43">
      <w:pPr>
        <w:jc w:val="both"/>
      </w:pPr>
      <w:r>
        <w:rPr>
          <w:rStyle w:val="soitChar"/>
        </w:rPr>
        <w:t>Aucune exigence particulière n’est demandée pour l’adaptation des maçonneries.</w:t>
      </w:r>
    </w:p>
    <w:p w14:paraId="4DC6F019" w14:textId="77777777" w:rsidR="00DF410E" w:rsidRDefault="00CE7F43">
      <w:pPr>
        <w:jc w:val="both"/>
      </w:pPr>
      <w:r>
        <w:rPr>
          <w:b/>
        </w:rPr>
        <w:t>(soit)</w:t>
      </w:r>
    </w:p>
    <w:p w14:paraId="63F5C46C" w14:textId="77777777" w:rsidR="00DF410E" w:rsidRDefault="00CE7F43">
      <w:pPr>
        <w:jc w:val="both"/>
      </w:pPr>
      <w:r>
        <w:rPr>
          <w:rStyle w:val="soitChar"/>
          <w:u w:val="single"/>
        </w:rPr>
        <w:t>Oui :</w:t>
      </w:r>
    </w:p>
    <w:p w14:paraId="667D5F2A" w14:textId="77777777" w:rsidR="00DF410E" w:rsidRDefault="00CE7F43">
      <w:pPr>
        <w:jc w:val="both"/>
      </w:pPr>
      <w:r>
        <w:rPr>
          <w:rStyle w:val="soitChar"/>
        </w:rPr>
        <w:t xml:space="preserve">Les parois verticales des conduits répondent aux exigences de résistance au feu suivantes : </w:t>
      </w:r>
      <w:r>
        <w:rPr>
          <w:rStyle w:val="optioncarChar"/>
        </w:rPr>
        <w:t>EI30 / EI 60 / REI 60 / ***</w:t>
      </w:r>
      <w:r>
        <w:t> </w:t>
      </w:r>
    </w:p>
    <w:p w14:paraId="72B8B8BA" w14:textId="77777777" w:rsidR="00DF410E" w:rsidRDefault="00CE7F43">
      <w:pPr>
        <w:jc w:val="both"/>
      </w:pPr>
      <w:r>
        <w:t xml:space="preserve">Les éventuels écrans horizontaux de compartimentage sont notamment décrits et comptés aux </w:t>
      </w:r>
      <w:hyperlink r:id="rId544" w:history="1" w:docLocation="696">
        <w:r>
          <w:t>63.4 Chaleur - rejets des produits de la combustion</w:t>
        </w:r>
      </w:hyperlink>
      <w:r>
        <w:t xml:space="preserve"> / </w:t>
      </w:r>
      <w:hyperlink r:id="rId545" w:history="1" w:docLocation="697">
        <w:r>
          <w:t>66 Lutte contre l'incendie (LCI)</w:t>
        </w:r>
      </w:hyperlink>
      <w:r>
        <w:t xml:space="preserve"> et suivants.</w:t>
      </w:r>
    </w:p>
    <w:p w14:paraId="3393BC0B" w14:textId="77777777" w:rsidR="00DF410E" w:rsidRDefault="00CE7F43">
      <w:pPr>
        <w:pStyle w:val="pheading"/>
      </w:pPr>
      <w:r>
        <w:t>DOCUMENTS DE RÉFÉRENCE</w:t>
      </w:r>
    </w:p>
    <w:p w14:paraId="45A1D13B" w14:textId="77777777" w:rsidR="00DF410E" w:rsidRDefault="00CE7F43">
      <w:pPr>
        <w:pStyle w:val="pheading"/>
      </w:pPr>
      <w:r>
        <w:t>- Matériau</w:t>
      </w:r>
    </w:p>
    <w:p w14:paraId="6BE4991A" w14:textId="77777777" w:rsidR="00DF410E" w:rsidRDefault="00CE7F43">
      <w:r>
        <w:t>[AR 1994-07-07, Arrêté royal fixant les normes de base en matière de prévention contre l'incendie et l'explosion, auxquelles les bâtiments nouveaux doivent satisfaire] + annexes. </w:t>
      </w:r>
    </w:p>
    <w:p w14:paraId="3BD25E07" w14:textId="77777777" w:rsidR="00DF410E" w:rsidRDefault="00CE7F43">
      <w:r>
        <w:t>[NBN EN 13501-1, Classement au feu des produits et éléments de construction - Partie 1: Classement à partir des données d'essais de réaction au feu]</w:t>
      </w:r>
    </w:p>
    <w:p w14:paraId="106DF575" w14:textId="77777777" w:rsidR="00DF410E" w:rsidRDefault="00CE7F43">
      <w:pPr>
        <w:pStyle w:val="pheading"/>
      </w:pPr>
      <w:r>
        <w:t>- Exécution</w:t>
      </w:r>
    </w:p>
    <w:p w14:paraId="656E44D8" w14:textId="77777777" w:rsidR="00DF410E" w:rsidRDefault="00CE7F43">
      <w:r>
        <w:t>[AR 1994-07-07, Arrêté royal fixant les normes de base en matière de prévention contre l'incendie et l'explosion, auxquelles les bâtiments nouveaux doivent satisfaire] + annexes. </w:t>
      </w:r>
    </w:p>
    <w:p w14:paraId="52540D47" w14:textId="77777777" w:rsidR="00DF410E" w:rsidRDefault="00CE7F43">
      <w:pPr>
        <w:pStyle w:val="pheading"/>
      </w:pPr>
      <w:r>
        <w:t>AIDE</w:t>
      </w:r>
    </w:p>
    <w:p w14:paraId="7D8E2B77" w14:textId="77777777" w:rsidR="00DF410E" w:rsidRDefault="00CE7F43">
      <w:pPr>
        <w:jc w:val="both"/>
      </w:pPr>
      <w:r>
        <w:t xml:space="preserve">En cas de doute important sur l’état des conduits et afin d’éviter tout supplément imprévu, il est conseillé de prévoir un(des) article(s) complémentaires aux </w:t>
      </w:r>
      <w:hyperlink w:anchor="223" w:history="1">
        <w:r>
          <w:t>21.8 Superstructures en maçonnerie - Rénovation</w:t>
        </w:r>
      </w:hyperlink>
      <w:r>
        <w:t xml:space="preserve"> et suivants.</w:t>
      </w:r>
    </w:p>
    <w:p w14:paraId="522669CB" w14:textId="77777777" w:rsidR="00DF410E" w:rsidRDefault="00CE7F43">
      <w:pPr>
        <w:pStyle w:val="Author-eSectionHeading6"/>
      </w:pPr>
      <w:bookmarkStart w:id="2112" w:name="_Toc178839150"/>
      <w:r>
        <w:t>27.84.1a Tubage de cheminée existante CCTB 01.12</w:t>
      </w:r>
      <w:bookmarkEnd w:id="2112"/>
    </w:p>
    <w:p w14:paraId="26B56A70" w14:textId="77777777" w:rsidR="00DF410E" w:rsidRDefault="00CE7F43">
      <w:pPr>
        <w:pStyle w:val="pheading"/>
      </w:pPr>
      <w:r>
        <w:t>DESCRIPTION</w:t>
      </w:r>
    </w:p>
    <w:p w14:paraId="18C10E6D" w14:textId="77777777" w:rsidR="00DF410E" w:rsidRDefault="00CE7F43">
      <w:pPr>
        <w:pStyle w:val="pheading"/>
      </w:pPr>
      <w:r>
        <w:t>- Définition / Comprend</w:t>
      </w:r>
    </w:p>
    <w:p w14:paraId="415326DE" w14:textId="77777777" w:rsidR="00DF410E" w:rsidRDefault="00CE7F43">
      <w:pPr>
        <w:jc w:val="both"/>
      </w:pPr>
      <w:r>
        <w:t>Le travail comprend notamment :</w:t>
      </w:r>
    </w:p>
    <w:p w14:paraId="2E06E020" w14:textId="77777777" w:rsidR="00DF410E" w:rsidRDefault="00CE7F43">
      <w:pPr>
        <w:pStyle w:val="Author-eListParagraph"/>
        <w:numPr>
          <w:ilvl w:val="0"/>
          <w:numId w:val="1158"/>
        </w:numPr>
        <w:jc w:val="both"/>
      </w:pPr>
      <w:r>
        <w:t xml:space="preserve">L’adaptation des conduits existants : </w:t>
      </w:r>
    </w:p>
    <w:p w14:paraId="58D0FE6B" w14:textId="77777777" w:rsidR="00DF410E" w:rsidRDefault="00CE7F43">
      <w:pPr>
        <w:pStyle w:val="Author-eListParagraph"/>
        <w:numPr>
          <w:ilvl w:val="1"/>
          <w:numId w:val="1159"/>
        </w:numPr>
        <w:jc w:val="both"/>
      </w:pPr>
      <w:r>
        <w:t xml:space="preserve">notamment selon </w:t>
      </w:r>
      <w:hyperlink w:anchor="693" w:history="1">
        <w:r>
          <w:t>27.82 Dépose / démontage / percement / déconstruction-démolition</w:t>
        </w:r>
      </w:hyperlink>
      <w:r>
        <w:t xml:space="preserve"> et suivants</w:t>
      </w:r>
    </w:p>
    <w:p w14:paraId="64BD440F" w14:textId="77777777" w:rsidR="00DF410E" w:rsidRDefault="00CE7F43">
      <w:pPr>
        <w:pStyle w:val="Author-eListParagraph"/>
        <w:numPr>
          <w:ilvl w:val="1"/>
          <w:numId w:val="1159"/>
        </w:numPr>
        <w:jc w:val="both"/>
      </w:pPr>
      <w:r>
        <w:t>y compris la fourniture et la mise en œuvre des maçonneries nécessaires</w:t>
      </w:r>
    </w:p>
    <w:p w14:paraId="4BE8D096" w14:textId="77777777" w:rsidR="00DF410E" w:rsidRDefault="00CE7F43">
      <w:pPr>
        <w:pStyle w:val="Author-eListParagraph"/>
        <w:numPr>
          <w:ilvl w:val="0"/>
          <w:numId w:val="1158"/>
        </w:numPr>
        <w:jc w:val="both"/>
      </w:pPr>
      <w:r>
        <w:t>Les ragréages et réfections des maçonneries.</w:t>
      </w:r>
    </w:p>
    <w:p w14:paraId="3D96DBDD" w14:textId="77777777" w:rsidR="00DF410E" w:rsidRDefault="00CE7F43">
      <w:pPr>
        <w:pStyle w:val="pheading"/>
      </w:pPr>
      <w:r>
        <w:t>EXÉCUTION / MISE EN ŒUVRE</w:t>
      </w:r>
    </w:p>
    <w:p w14:paraId="5F7D912A" w14:textId="77777777" w:rsidR="00DF410E" w:rsidRDefault="00CE7F43">
      <w:pPr>
        <w:pStyle w:val="pheading"/>
      </w:pPr>
      <w:r>
        <w:t>- Prescriptions générales</w:t>
      </w:r>
    </w:p>
    <w:p w14:paraId="6F36D6F7" w14:textId="77777777" w:rsidR="00DF410E" w:rsidRDefault="00CE7F43">
      <w:pPr>
        <w:jc w:val="both"/>
      </w:pPr>
      <w:r>
        <w:rPr>
          <w:b/>
        </w:rPr>
        <w:t>Préparation des travaux et mesures de protection provisoires </w:t>
      </w:r>
    </w:p>
    <w:p w14:paraId="25E1B25A" w14:textId="77777777" w:rsidR="00DF410E" w:rsidRDefault="00CE7F43">
      <w:pPr>
        <w:jc w:val="both"/>
      </w:pPr>
      <w:r>
        <w:t xml:space="preserve">L’entrepreneur accorde une attention soutenue aux travaux préparatoires et met en œuvre des mesures de protections particulières : </w:t>
      </w:r>
      <w:r>
        <w:rPr>
          <w:rStyle w:val="optioncarChar"/>
        </w:rPr>
        <w:t>oui</w:t>
      </w:r>
      <w:r>
        <w:t xml:space="preserve"> (par défaut) </w:t>
      </w:r>
      <w:r>
        <w:rPr>
          <w:rStyle w:val="optioncarChar"/>
        </w:rPr>
        <w:t>/ non.</w:t>
      </w:r>
    </w:p>
    <w:p w14:paraId="5E83DA78" w14:textId="77777777" w:rsidR="00DF410E" w:rsidRDefault="00CE7F43">
      <w:pPr>
        <w:jc w:val="both"/>
      </w:pPr>
      <w:r>
        <w:rPr>
          <w:b/>
        </w:rPr>
        <w:t>(soit par défaut)</w:t>
      </w:r>
    </w:p>
    <w:p w14:paraId="03611B25" w14:textId="77777777" w:rsidR="00DF410E" w:rsidRDefault="00CE7F43">
      <w:pPr>
        <w:jc w:val="both"/>
      </w:pPr>
      <w:r>
        <w:rPr>
          <w:rStyle w:val="soitChar"/>
          <w:u w:val="single"/>
        </w:rPr>
        <w:t>Oui :</w:t>
      </w:r>
    </w:p>
    <w:p w14:paraId="3F5AFCFC" w14:textId="77777777" w:rsidR="00DF410E" w:rsidRDefault="00CE7F43">
      <w:pPr>
        <w:jc w:val="both"/>
      </w:pPr>
      <w:r>
        <w:rPr>
          <w:rStyle w:val="soitChar"/>
        </w:rPr>
        <w:t>Les mesures particulières sont adaptées aux circonstances suivantes :</w:t>
      </w:r>
    </w:p>
    <w:p w14:paraId="20A81F46" w14:textId="77777777" w:rsidR="00DF410E" w:rsidRDefault="00CE7F43">
      <w:pPr>
        <w:pStyle w:val="Author-eListParagraph"/>
        <w:numPr>
          <w:ilvl w:val="0"/>
          <w:numId w:val="1160"/>
        </w:numPr>
      </w:pPr>
      <w:r>
        <w:rPr>
          <w:rStyle w:val="soitChar"/>
        </w:rPr>
        <w:t>Les travaux sont réalisés en site occupé de mobiliers et/ou d’occupants : oui (par défaut) / non.</w:t>
      </w:r>
    </w:p>
    <w:p w14:paraId="6CC47E18" w14:textId="77777777" w:rsidR="00DF410E" w:rsidRDefault="00CE7F43">
      <w:pPr>
        <w:pStyle w:val="Author-eListParagraph"/>
        <w:numPr>
          <w:ilvl w:val="0"/>
          <w:numId w:val="1160"/>
        </w:numPr>
      </w:pPr>
      <w:r>
        <w:rPr>
          <w:rStyle w:val="soitChar"/>
        </w:rPr>
        <w:t xml:space="preserve">Des éléments intérieurs (plaques de plâtre, isolants, …) et/ou extérieurs (isolants, zones particulières, …) sont à protéger : </w:t>
      </w:r>
      <w:r>
        <w:rPr>
          <w:rStyle w:val="optioncarChar"/>
        </w:rPr>
        <w:t xml:space="preserve">oui </w:t>
      </w:r>
      <w:r>
        <w:t>(par défaut)</w:t>
      </w:r>
      <w:r>
        <w:rPr>
          <w:rStyle w:val="optioncarChar"/>
        </w:rPr>
        <w:t xml:space="preserve"> / non.</w:t>
      </w:r>
    </w:p>
    <w:p w14:paraId="49264B5D" w14:textId="77777777" w:rsidR="00DF410E" w:rsidRDefault="00CE7F43">
      <w:pPr>
        <w:jc w:val="both"/>
      </w:pPr>
      <w:r>
        <w:rPr>
          <w:rStyle w:val="soitChar"/>
        </w:rPr>
        <w:t xml:space="preserve">Avant le début du chantier et en accord avec le maître d'ouvrage et la personne assumant la CSS, des zones spécifiques sont définies pour les accès aux aires où se déroule les travaux, le stockage des matériaux, l’entrepose du matériel, l’emprise générale des installations provisoires, … : </w:t>
      </w:r>
      <w:r>
        <w:rPr>
          <w:rStyle w:val="optioncarChar"/>
        </w:rPr>
        <w:t xml:space="preserve">oui </w:t>
      </w:r>
      <w:r>
        <w:t xml:space="preserve">(par défaut) </w:t>
      </w:r>
      <w:r>
        <w:rPr>
          <w:rStyle w:val="optioncarChar"/>
        </w:rPr>
        <w:t>/ non.</w:t>
      </w:r>
    </w:p>
    <w:p w14:paraId="5D26174F" w14:textId="77777777" w:rsidR="00DF410E" w:rsidRDefault="00CE7F43">
      <w:pPr>
        <w:jc w:val="both"/>
      </w:pPr>
      <w:r>
        <w:rPr>
          <w:rStyle w:val="soitChar"/>
        </w:rPr>
        <w:t>La zone des travaux est nettoyée au minimum selon une fréquence :</w:t>
      </w:r>
      <w:r>
        <w:rPr>
          <w:rStyle w:val="optioncarChar"/>
        </w:rPr>
        <w:t xml:space="preserve"> journalière </w:t>
      </w:r>
      <w:r>
        <w:t>(par défaut)</w:t>
      </w:r>
      <w:r>
        <w:rPr>
          <w:rStyle w:val="optioncarChar"/>
        </w:rPr>
        <w:t xml:space="preserve"> / hebdomadaire / mensuelle / ***.</w:t>
      </w:r>
    </w:p>
    <w:p w14:paraId="19591A74" w14:textId="77777777" w:rsidR="00DF410E" w:rsidRDefault="00CE7F43">
      <w:pPr>
        <w:jc w:val="both"/>
      </w:pPr>
      <w:r>
        <w:rPr>
          <w:rStyle w:val="soitChar"/>
        </w:rPr>
        <w:t xml:space="preserve">L'entrepreneur se conforme également aux </w:t>
      </w:r>
      <w:hyperlink r:id="rId546" w:history="1" w:docLocation="132">
        <w:r>
          <w:rPr>
            <w:rStyle w:val="soitChar"/>
          </w:rPr>
          <w:t>02.24 Chantier en sites occupés</w:t>
        </w:r>
      </w:hyperlink>
      <w:r>
        <w:rPr>
          <w:rStyle w:val="soitChar"/>
        </w:rPr>
        <w:t xml:space="preserve"> et autres éléments qui en découlent.</w:t>
      </w:r>
    </w:p>
    <w:p w14:paraId="0A588513" w14:textId="77777777" w:rsidR="00DF410E" w:rsidRDefault="00CE7F43">
      <w:pPr>
        <w:jc w:val="both"/>
      </w:pPr>
      <w:r>
        <w:rPr>
          <w:b/>
        </w:rPr>
        <w:t>(soit)</w:t>
      </w:r>
    </w:p>
    <w:p w14:paraId="00F5CE79" w14:textId="77777777" w:rsidR="00DF410E" w:rsidRDefault="00CE7F43">
      <w:pPr>
        <w:jc w:val="both"/>
      </w:pPr>
      <w:r>
        <w:rPr>
          <w:rStyle w:val="soitChar"/>
          <w:u w:val="single"/>
        </w:rPr>
        <w:t>Non :</w:t>
      </w:r>
    </w:p>
    <w:p w14:paraId="70FE9DA5" w14:textId="77777777" w:rsidR="00DF410E" w:rsidRDefault="00CE7F43">
      <w:pPr>
        <w:jc w:val="both"/>
      </w:pPr>
      <w:r>
        <w:rPr>
          <w:rStyle w:val="soitChar"/>
        </w:rPr>
        <w:t>Ces travaux ne nécessitent pas de mesure de protection particulière.</w:t>
      </w:r>
    </w:p>
    <w:p w14:paraId="72F2AACA" w14:textId="77777777" w:rsidR="00DF410E" w:rsidRDefault="00CE7F43">
      <w:pPr>
        <w:jc w:val="both"/>
      </w:pPr>
      <w:r>
        <w:t xml:space="preserve">Dans tous les cas, l'entrepreneur se conforme au </w:t>
      </w:r>
      <w:hyperlink r:id="rId547" w:history="1" w:docLocation="109">
        <w:r>
          <w:t>04.4 Mesures de protection</w:t>
        </w:r>
      </w:hyperlink>
      <w:r>
        <w:t xml:space="preserve"> et suivants.</w:t>
      </w:r>
    </w:p>
    <w:p w14:paraId="628F09AE" w14:textId="77777777" w:rsidR="00DF410E" w:rsidRDefault="00CE7F43">
      <w:pPr>
        <w:jc w:val="both"/>
      </w:pPr>
      <w:r>
        <w:rPr>
          <w:b/>
        </w:rPr>
        <w:t>Divers / Mise en œuvre </w:t>
      </w:r>
    </w:p>
    <w:p w14:paraId="2473539F" w14:textId="77777777" w:rsidR="00DF410E" w:rsidRDefault="00CE7F43">
      <w:pPr>
        <w:jc w:val="both"/>
      </w:pPr>
      <w:r>
        <w:t>Préalablement à la réalisation des travaux, l’entrepreneur :</w:t>
      </w:r>
    </w:p>
    <w:p w14:paraId="775BB474" w14:textId="77777777" w:rsidR="00DF410E" w:rsidRDefault="00CE7F43">
      <w:pPr>
        <w:pStyle w:val="Author-eListParagraph"/>
        <w:numPr>
          <w:ilvl w:val="0"/>
          <w:numId w:val="1161"/>
        </w:numPr>
      </w:pPr>
      <w:r>
        <w:t>se renseigne sur les éléments à placer dans les conduits à adapter</w:t>
      </w:r>
    </w:p>
    <w:p w14:paraId="1426C11A" w14:textId="77777777" w:rsidR="00DF410E" w:rsidRDefault="00CE7F43">
      <w:pPr>
        <w:pStyle w:val="Author-eListParagraph"/>
        <w:numPr>
          <w:ilvl w:val="0"/>
          <w:numId w:val="1161"/>
        </w:numPr>
      </w:pPr>
      <w:r>
        <w:t>repère et inspecte ces conduits</w:t>
      </w:r>
    </w:p>
    <w:p w14:paraId="2DCAB8C5" w14:textId="77777777" w:rsidR="00DF410E" w:rsidRDefault="00CE7F43">
      <w:pPr>
        <w:pStyle w:val="Author-eListParagraph"/>
        <w:numPr>
          <w:ilvl w:val="0"/>
          <w:numId w:val="1161"/>
        </w:numPr>
      </w:pPr>
      <w:r>
        <w:rPr>
          <w:rStyle w:val="optioncarChar"/>
        </w:rPr>
        <w:t>***</w:t>
      </w:r>
    </w:p>
    <w:p w14:paraId="551F2B7E" w14:textId="77777777" w:rsidR="00DF410E" w:rsidRDefault="00CE7F43">
      <w:pPr>
        <w:jc w:val="both"/>
      </w:pPr>
      <w:r>
        <w:t xml:space="preserve">Sauf remarque particulière, l’entrepreneur : </w:t>
      </w:r>
      <w:r>
        <w:rPr>
          <w:rStyle w:val="optioncarChar"/>
        </w:rPr>
        <w:t xml:space="preserve">limite autant que possible les démolitions et adaptations </w:t>
      </w:r>
      <w:r>
        <w:t xml:space="preserve">(par défaut) </w:t>
      </w:r>
      <w:r>
        <w:rPr>
          <w:rStyle w:val="optioncarChar"/>
        </w:rPr>
        <w:t>/ ouvre et adapte les conduits sur toute la longueur du tubage à réaliser / ouvre et adapte les conduits selon les indications aux plans et métré / ***</w:t>
      </w:r>
    </w:p>
    <w:p w14:paraId="27D45705" w14:textId="77777777" w:rsidR="00DF410E" w:rsidRDefault="00CE7F43">
      <w:r>
        <w:t>Les nouvelles maçonneries destinées à refermer les percements et/ou saignées sont réalisées dans l’alignement des maçonneries existantes, sans excroissance.</w:t>
      </w:r>
      <w:r>
        <w:br/>
        <w:t xml:space="preserve"> Elles ne gênent en rien la réalisation des finitions des parois concernées.</w:t>
      </w:r>
    </w:p>
    <w:p w14:paraId="181B10EB" w14:textId="77777777" w:rsidR="00DF410E" w:rsidRDefault="00CE7F43">
      <w:r>
        <w:t>Le travail comprend :</w:t>
      </w:r>
    </w:p>
    <w:p w14:paraId="6164C064" w14:textId="77777777" w:rsidR="00DF410E" w:rsidRDefault="00CE7F43">
      <w:pPr>
        <w:pStyle w:val="Author-eListParagraph"/>
        <w:numPr>
          <w:ilvl w:val="0"/>
          <w:numId w:val="1162"/>
        </w:numPr>
      </w:pPr>
      <w:r>
        <w:t xml:space="preserve">la réalisation des percements nécessaires aux raccordements des appareils, aux trappes de visite, </w:t>
      </w:r>
      <w:r>
        <w:rPr>
          <w:rStyle w:val="optioncarChar"/>
        </w:rPr>
        <w:t xml:space="preserve">… : oui </w:t>
      </w:r>
      <w:r>
        <w:t>(par défaut)</w:t>
      </w:r>
      <w:r>
        <w:rPr>
          <w:rStyle w:val="optioncarChar"/>
        </w:rPr>
        <w:t xml:space="preserve"> / non</w:t>
      </w:r>
    </w:p>
    <w:p w14:paraId="71359EEE" w14:textId="77777777" w:rsidR="00DF410E" w:rsidRDefault="00CE7F43">
      <w:pPr>
        <w:pStyle w:val="Author-eListParagraph"/>
        <w:numPr>
          <w:ilvl w:val="0"/>
          <w:numId w:val="1162"/>
        </w:numPr>
      </w:pPr>
      <w:r>
        <w:rPr>
          <w:rStyle w:val="optioncarChar"/>
        </w:rPr>
        <w:t>***</w:t>
      </w:r>
    </w:p>
    <w:p w14:paraId="311F122A" w14:textId="77777777" w:rsidR="00DF410E" w:rsidRDefault="00CE7F43">
      <w:pPr>
        <w:pStyle w:val="pheading"/>
      </w:pPr>
      <w:r>
        <w:t>MESURAGE</w:t>
      </w:r>
    </w:p>
    <w:p w14:paraId="100898EC" w14:textId="77777777" w:rsidR="00DF410E" w:rsidRDefault="00CE7F43">
      <w:pPr>
        <w:pStyle w:val="pheading"/>
      </w:pPr>
      <w:r>
        <w:t>- unité de mesure:</w:t>
      </w:r>
    </w:p>
    <w:p w14:paraId="34DF4A09" w14:textId="77777777" w:rsidR="00DF410E" w:rsidRDefault="00CE7F43">
      <w:r>
        <w:rPr>
          <w:rStyle w:val="optioncarChar"/>
        </w:rPr>
        <w:t>m</w:t>
      </w:r>
      <w:r>
        <w:t xml:space="preserve"> (par défaut)</w:t>
      </w:r>
      <w:r>
        <w:rPr>
          <w:rStyle w:val="optioncarChar"/>
        </w:rPr>
        <w:t xml:space="preserve"> / fft / -</w:t>
      </w:r>
    </w:p>
    <w:p w14:paraId="75280CDD" w14:textId="77777777" w:rsidR="00DF410E" w:rsidRDefault="00CE7F43">
      <w:r>
        <w:rPr>
          <w:b/>
        </w:rPr>
        <w:t>(soit par défaut)</w:t>
      </w:r>
      <w:r>
        <w:br/>
      </w:r>
      <w:r>
        <w:rPr>
          <w:rStyle w:val="soitChar"/>
        </w:rPr>
        <w:t>1. 2. m</w:t>
      </w:r>
      <w:r>
        <w:br/>
      </w:r>
      <w:r>
        <w:rPr>
          <w:b/>
        </w:rPr>
        <w:t>(soit)</w:t>
      </w:r>
      <w:r>
        <w:br/>
      </w:r>
      <w:r>
        <w:rPr>
          <w:rStyle w:val="soitChar"/>
        </w:rPr>
        <w:t>3. fft</w:t>
      </w:r>
      <w:r>
        <w:br/>
      </w:r>
      <w:r>
        <w:rPr>
          <w:b/>
        </w:rPr>
        <w:t>(soit)</w:t>
      </w:r>
      <w:r>
        <w:br/>
      </w:r>
      <w:r>
        <w:rPr>
          <w:rStyle w:val="soitChar"/>
        </w:rPr>
        <w:t>4. -</w:t>
      </w:r>
    </w:p>
    <w:p w14:paraId="1C827312" w14:textId="77777777" w:rsidR="00DF410E" w:rsidRDefault="00CE7F43">
      <w:pPr>
        <w:pStyle w:val="pheading"/>
      </w:pPr>
      <w:r>
        <w:t>- code de mesurage:</w:t>
      </w:r>
    </w:p>
    <w:p w14:paraId="53854BE2" w14:textId="77777777" w:rsidR="00DF410E" w:rsidRDefault="00CE7F43">
      <w:pPr>
        <w:jc w:val="both"/>
      </w:pPr>
      <w:r>
        <w:rPr>
          <w:rStyle w:val="optioncarChar"/>
        </w:rPr>
        <w:t xml:space="preserve">Longueur nette </w:t>
      </w:r>
      <w:r>
        <w:t>(par défaut)</w:t>
      </w:r>
      <w:r>
        <w:rPr>
          <w:rStyle w:val="optioncarChar"/>
        </w:rPr>
        <w:t xml:space="preserve"> / Pour l'ensemble des prestations à réaliser / Compris</w:t>
      </w:r>
    </w:p>
    <w:p w14:paraId="3BBD0ED8" w14:textId="77777777" w:rsidR="00DF410E" w:rsidRDefault="00CE7F43">
      <w:pPr>
        <w:jc w:val="both"/>
      </w:pPr>
      <w:r>
        <w:rPr>
          <w:b/>
        </w:rPr>
        <w:t>(soit par défaut)</w:t>
      </w:r>
    </w:p>
    <w:p w14:paraId="5EEF43F7" w14:textId="77777777" w:rsidR="00DF410E" w:rsidRDefault="00CE7F43">
      <w:pPr>
        <w:jc w:val="both"/>
      </w:pPr>
      <w:r>
        <w:rPr>
          <w:rStyle w:val="soitChar"/>
        </w:rPr>
        <w:t xml:space="preserve">1. </w:t>
      </w:r>
      <w:r>
        <w:rPr>
          <w:rStyle w:val="soitChar"/>
          <w:u w:val="single"/>
        </w:rPr>
        <w:t>Longueur nette :</w:t>
      </w:r>
    </w:p>
    <w:p w14:paraId="1C0F5038" w14:textId="77777777" w:rsidR="00DF410E" w:rsidRDefault="00CE7F43">
      <w:pPr>
        <w:jc w:val="both"/>
      </w:pPr>
      <w:r>
        <w:rPr>
          <w:rStyle w:val="soitChar"/>
        </w:rPr>
        <w:t>Mesurée dans l’axe du conduit</w:t>
      </w:r>
    </w:p>
    <w:p w14:paraId="128546FE" w14:textId="77777777" w:rsidR="00DF410E" w:rsidRDefault="00CE7F43">
      <w:pPr>
        <w:jc w:val="both"/>
      </w:pPr>
      <w:r>
        <w:rPr>
          <w:rStyle w:val="soitChar"/>
        </w:rPr>
        <w:t>Eventuellement scindée dans différents postes selon le type de conduit, de maçonnerie, la localisation, …</w:t>
      </w:r>
    </w:p>
    <w:p w14:paraId="1E013F2A" w14:textId="77777777" w:rsidR="00DF410E" w:rsidRDefault="00CE7F43">
      <w:pPr>
        <w:jc w:val="both"/>
      </w:pPr>
      <w:r>
        <w:rPr>
          <w:b/>
        </w:rPr>
        <w:t>(soit)</w:t>
      </w:r>
    </w:p>
    <w:p w14:paraId="30E0ED46" w14:textId="77777777" w:rsidR="00DF410E" w:rsidRDefault="00CE7F43">
      <w:pPr>
        <w:jc w:val="both"/>
      </w:pPr>
      <w:r>
        <w:rPr>
          <w:rStyle w:val="soitChar"/>
        </w:rPr>
        <w:t xml:space="preserve">2. </w:t>
      </w:r>
      <w:r>
        <w:rPr>
          <w:rStyle w:val="soitChar"/>
          <w:u w:val="single"/>
        </w:rPr>
        <w:t>Pour l’ensemble des prestations à réaliser :</w:t>
      </w:r>
    </w:p>
    <w:p w14:paraId="3FFB670E" w14:textId="77777777" w:rsidR="00DF410E" w:rsidRDefault="00CE7F43">
      <w:pPr>
        <w:jc w:val="both"/>
      </w:pPr>
      <w:r>
        <w:rPr>
          <w:rStyle w:val="soitChar"/>
        </w:rPr>
        <w:t>Le prix unitaire comprend toutes les prestations nécessaires pour l’exécution de l’ensemble.</w:t>
      </w:r>
    </w:p>
    <w:p w14:paraId="2AAD48A6" w14:textId="77777777" w:rsidR="00DF410E" w:rsidRDefault="00CE7F43">
      <w:pPr>
        <w:jc w:val="both"/>
      </w:pPr>
      <w:r>
        <w:rPr>
          <w:rStyle w:val="soitChar"/>
        </w:rPr>
        <w:t>Eventuellement scindée dans différents postes selon le type de conduit, de maçonnerie, la localisation, …</w:t>
      </w:r>
    </w:p>
    <w:p w14:paraId="54C8C37F" w14:textId="77777777" w:rsidR="00DF410E" w:rsidRDefault="00CE7F43">
      <w:pPr>
        <w:jc w:val="both"/>
      </w:pPr>
      <w:r>
        <w:rPr>
          <w:b/>
        </w:rPr>
        <w:t>(soit)</w:t>
      </w:r>
    </w:p>
    <w:p w14:paraId="3500CC02" w14:textId="77777777" w:rsidR="00DF410E" w:rsidRDefault="00CE7F43">
      <w:pPr>
        <w:jc w:val="both"/>
      </w:pPr>
      <w:r>
        <w:rPr>
          <w:rStyle w:val="soitChar"/>
        </w:rPr>
        <w:t xml:space="preserve">3. </w:t>
      </w:r>
      <w:r>
        <w:rPr>
          <w:rStyle w:val="soitChar"/>
          <w:u w:val="single"/>
        </w:rPr>
        <w:t>Compris :</w:t>
      </w:r>
    </w:p>
    <w:p w14:paraId="7A9F3FA4" w14:textId="77777777" w:rsidR="00DF410E" w:rsidRDefault="00CE7F43">
      <w:pPr>
        <w:jc w:val="both"/>
      </w:pPr>
      <w:r>
        <w:rPr>
          <w:rStyle w:val="soitChar"/>
        </w:rPr>
        <w:t xml:space="preserve">Tous les frais liés à ces prestations sont </w:t>
      </w:r>
      <w:r>
        <w:rPr>
          <w:rStyle w:val="optioncarChar"/>
        </w:rPr>
        <w:t xml:space="preserve">compris et répartis dans la totalité de l'entreprise </w:t>
      </w:r>
      <w:r>
        <w:t>(par défaut)</w:t>
      </w:r>
      <w:r>
        <w:rPr>
          <w:rStyle w:val="optioncarChar"/>
        </w:rPr>
        <w:t xml:space="preserve"> / compris dans le prix de(s) l’article(s) ***</w:t>
      </w:r>
      <w:r>
        <w:rPr>
          <w:rStyle w:val="soitChar"/>
        </w:rPr>
        <w:t>.</w:t>
      </w:r>
    </w:p>
    <w:p w14:paraId="4A596B64" w14:textId="77777777" w:rsidR="00DF410E" w:rsidRDefault="00CE7F43">
      <w:pPr>
        <w:pStyle w:val="pheading"/>
      </w:pPr>
      <w:r>
        <w:t>- nature du marché:</w:t>
      </w:r>
    </w:p>
    <w:p w14:paraId="6379BC0F" w14:textId="77777777" w:rsidR="00DF410E" w:rsidRDefault="00CE7F43">
      <w:r>
        <w:rPr>
          <w:rStyle w:val="optioncarChar"/>
        </w:rPr>
        <w:t>QF</w:t>
      </w:r>
      <w:r>
        <w:t xml:space="preserve"> (par défaut)</w:t>
      </w:r>
      <w:r>
        <w:rPr>
          <w:rStyle w:val="optioncarChar"/>
        </w:rPr>
        <w:t xml:space="preserve"> / QP / PG / PM</w:t>
      </w:r>
    </w:p>
    <w:p w14:paraId="50307865" w14:textId="77777777" w:rsidR="00DF410E" w:rsidRDefault="00CE7F43">
      <w:r>
        <w:rPr>
          <w:b/>
        </w:rPr>
        <w:t>(soit par défaut)</w:t>
      </w:r>
      <w:r>
        <w:br/>
      </w:r>
      <w:r>
        <w:rPr>
          <w:rStyle w:val="soitChar"/>
        </w:rPr>
        <w:t>1. QF</w:t>
      </w:r>
      <w:r>
        <w:br/>
      </w:r>
      <w:r>
        <w:rPr>
          <w:b/>
        </w:rPr>
        <w:t>(soit)</w:t>
      </w:r>
      <w:r>
        <w:br/>
      </w:r>
      <w:r>
        <w:rPr>
          <w:rStyle w:val="soitChar"/>
        </w:rPr>
        <w:t>2. QP</w:t>
      </w:r>
      <w:r>
        <w:br/>
      </w:r>
      <w:r>
        <w:rPr>
          <w:b/>
        </w:rPr>
        <w:t>(soit)</w:t>
      </w:r>
      <w:r>
        <w:br/>
      </w:r>
      <w:r>
        <w:rPr>
          <w:rStyle w:val="soitChar"/>
        </w:rPr>
        <w:t>3. PG</w:t>
      </w:r>
      <w:r>
        <w:br/>
      </w:r>
      <w:r>
        <w:rPr>
          <w:b/>
        </w:rPr>
        <w:t>(soit)</w:t>
      </w:r>
      <w:r>
        <w:br/>
      </w:r>
      <w:r>
        <w:rPr>
          <w:rStyle w:val="soitChar"/>
        </w:rPr>
        <w:t>4. PM</w:t>
      </w:r>
    </w:p>
    <w:p w14:paraId="6E879893" w14:textId="77777777" w:rsidR="00DF410E" w:rsidRDefault="00CE7F43">
      <w:pPr>
        <w:pStyle w:val="Author-eSectionHeading5"/>
      </w:pPr>
      <w:bookmarkStart w:id="2113" w:name="_Toc178839151"/>
      <w:r>
        <w:t>27.84.2 Obturation / condamnation de cheminée existantes CCTB 01.04</w:t>
      </w:r>
      <w:bookmarkEnd w:id="2113"/>
    </w:p>
    <w:p w14:paraId="62F53018" w14:textId="77777777" w:rsidR="00DF410E" w:rsidRDefault="00CE7F43">
      <w:pPr>
        <w:pStyle w:val="Author-eSectionHeading6"/>
      </w:pPr>
      <w:bookmarkStart w:id="2114" w:name="_Toc178839152"/>
      <w:r>
        <w:t>27.84.2a Obturation / condamnation de cheminée existantes CCTB 01.04</w:t>
      </w:r>
      <w:bookmarkEnd w:id="2114"/>
    </w:p>
    <w:p w14:paraId="7342E9C0" w14:textId="77777777" w:rsidR="00DF410E" w:rsidRDefault="00CE7F43">
      <w:pPr>
        <w:pStyle w:val="Author-eSectionHeading4"/>
      </w:pPr>
      <w:bookmarkStart w:id="2115" w:name="_Toc178839153"/>
      <w:r>
        <w:t>27.85 Nettoyage et préparation de surface CCTB 01.04</w:t>
      </w:r>
      <w:bookmarkEnd w:id="2115"/>
    </w:p>
    <w:p w14:paraId="690E4D34" w14:textId="77777777" w:rsidR="00DF410E" w:rsidRDefault="00CE7F43">
      <w:pPr>
        <w:pStyle w:val="Author-eSectionHeading4"/>
      </w:pPr>
      <w:bookmarkStart w:id="2116" w:name="_Toc178839154"/>
      <w:r>
        <w:t>27.86 Traitement et protection CCTB 01.04</w:t>
      </w:r>
      <w:bookmarkEnd w:id="2116"/>
    </w:p>
    <w:p w14:paraId="64B4B7CE" w14:textId="77777777" w:rsidR="00DF410E" w:rsidRDefault="00CE7F43">
      <w:pPr>
        <w:pStyle w:val="pheading"/>
      </w:pPr>
      <w:r>
        <w:t>DESCRIPTION</w:t>
      </w:r>
    </w:p>
    <w:p w14:paraId="03FC339B" w14:textId="77777777" w:rsidR="00DF410E" w:rsidRDefault="00CE7F43">
      <w:pPr>
        <w:pStyle w:val="pheading"/>
      </w:pPr>
      <w:r>
        <w:t>- Définition / Comprend</w:t>
      </w:r>
    </w:p>
    <w:p w14:paraId="7D5465A5" w14:textId="77777777" w:rsidR="00DF410E" w:rsidRDefault="00CE7F43">
      <w:r>
        <w:t xml:space="preserve">Renvoi à </w:t>
      </w:r>
      <w:hyperlink r:id="rId548" w:history="1" w:docLocation="47">
        <w:r>
          <w:t>8 T8 Travaux de peinture / Traitements de surface</w:t>
        </w:r>
      </w:hyperlink>
    </w:p>
    <w:p w14:paraId="29CC6ED1" w14:textId="77777777" w:rsidR="00DF410E" w:rsidRDefault="00CE7F43">
      <w:pPr>
        <w:pStyle w:val="Author-eSectionHeading2"/>
      </w:pPr>
      <w:bookmarkStart w:id="2117" w:name="_Toc178839155"/>
      <w:r>
        <w:t>28 Revêtements de façade en panneaux CCTB 01.11</w:t>
      </w:r>
      <w:bookmarkEnd w:id="2117"/>
    </w:p>
    <w:p w14:paraId="22C415C7" w14:textId="77777777" w:rsidR="00DF410E" w:rsidRDefault="00CE7F43">
      <w:pPr>
        <w:pStyle w:val="pheading"/>
      </w:pPr>
      <w:r>
        <w:t>DESCRIPTION</w:t>
      </w:r>
    </w:p>
    <w:p w14:paraId="57844291" w14:textId="77777777" w:rsidR="00DF410E" w:rsidRDefault="00CE7F43">
      <w:pPr>
        <w:pStyle w:val="pheading"/>
      </w:pPr>
      <w:r>
        <w:t>- Définition / Comprend</w:t>
      </w:r>
    </w:p>
    <w:p w14:paraId="07FA9543" w14:textId="77777777" w:rsidR="00DF410E" w:rsidRDefault="00CE7F43">
      <w:pPr>
        <w:jc w:val="both"/>
      </w:pPr>
      <w:r>
        <w:t>Il s'agit de tous les travaux et fournitures pour la réalisation des revêtements de façade en panneaux de pierre ou de béton préfabriqué.</w:t>
      </w:r>
    </w:p>
    <w:p w14:paraId="333CE3FD" w14:textId="77777777" w:rsidR="00DF410E" w:rsidRDefault="00CE7F43">
      <w:pPr>
        <w:jc w:val="both"/>
      </w:pPr>
      <w:r>
        <w:t>Les travaux comprennent notamment :</w:t>
      </w:r>
    </w:p>
    <w:p w14:paraId="420320AD" w14:textId="77777777" w:rsidR="00DF410E" w:rsidRDefault="00CE7F43">
      <w:pPr>
        <w:pStyle w:val="Author-eListParagraph"/>
        <w:numPr>
          <w:ilvl w:val="0"/>
          <w:numId w:val="1163"/>
        </w:numPr>
        <w:jc w:val="both"/>
      </w:pPr>
      <w:r>
        <w:t>la mise en place et l'enlèvement des échafaudages, des bâches et des ouvrages de protection nécessaires aux travaux ;</w:t>
      </w:r>
    </w:p>
    <w:p w14:paraId="0D09566E" w14:textId="77777777" w:rsidR="00DF410E" w:rsidRDefault="00CE7F43">
      <w:pPr>
        <w:pStyle w:val="Author-eListParagraph"/>
        <w:numPr>
          <w:ilvl w:val="0"/>
          <w:numId w:val="1163"/>
        </w:numPr>
        <w:jc w:val="both"/>
      </w:pPr>
      <w:r>
        <w:t>l'inspection et la préparation du support ou de la construction portante ;</w:t>
      </w:r>
    </w:p>
    <w:p w14:paraId="3A457BAC" w14:textId="77777777" w:rsidR="00DF410E" w:rsidRDefault="00CE7F43">
      <w:pPr>
        <w:pStyle w:val="Author-eListParagraph"/>
        <w:numPr>
          <w:ilvl w:val="0"/>
          <w:numId w:val="1163"/>
        </w:numPr>
        <w:jc w:val="both"/>
      </w:pPr>
      <w:r>
        <w:t>la vérification et le relevé des dimensions exactes pendant ou après l'exécution du gros œuvre, afin de comparer les dessins de détail et/ou les coupes de profil avec les travaux déjà effectués ;</w:t>
      </w:r>
    </w:p>
    <w:p w14:paraId="16A65ACA" w14:textId="77777777" w:rsidR="00DF410E" w:rsidRDefault="00CE7F43">
      <w:pPr>
        <w:pStyle w:val="Author-eListParagraph"/>
        <w:numPr>
          <w:ilvl w:val="0"/>
          <w:numId w:val="1163"/>
        </w:numPr>
        <w:jc w:val="both"/>
      </w:pPr>
      <w:r>
        <w:t>la préparation, les dessins d'atelier et la préfabrication de tous les éléments de façade prévus ;</w:t>
      </w:r>
    </w:p>
    <w:p w14:paraId="06F5C10B" w14:textId="77777777" w:rsidR="00DF410E" w:rsidRDefault="00CE7F43">
      <w:pPr>
        <w:pStyle w:val="Author-eListParagraph"/>
        <w:numPr>
          <w:ilvl w:val="0"/>
          <w:numId w:val="1163"/>
        </w:numPr>
        <w:jc w:val="both"/>
      </w:pPr>
      <w:r>
        <w:t>les éléments de fixation aux autres éléments de construction (pattes et rails d'ancrage, goujons, etc…) ;</w:t>
      </w:r>
    </w:p>
    <w:p w14:paraId="1CFB6551" w14:textId="77777777" w:rsidR="00DF410E" w:rsidRDefault="00CE7F43">
      <w:pPr>
        <w:pStyle w:val="Author-eListParagraph"/>
        <w:numPr>
          <w:ilvl w:val="0"/>
          <w:numId w:val="1163"/>
        </w:numPr>
        <w:jc w:val="both"/>
      </w:pPr>
      <w:r>
        <w:t>la fixation et le scellement des éléments de façade, y compris les mortiers de pose, les éléments d'ancrage, l'isolation contre l'humidité, les joints de dilatation, le rejointoiement, les mastics, etc… ;</w:t>
      </w:r>
    </w:p>
    <w:p w14:paraId="736A8F3E" w14:textId="77777777" w:rsidR="00DF410E" w:rsidRDefault="00CE7F43">
      <w:pPr>
        <w:pStyle w:val="Author-eListParagraph"/>
        <w:numPr>
          <w:ilvl w:val="0"/>
          <w:numId w:val="1163"/>
        </w:numPr>
        <w:jc w:val="both"/>
      </w:pPr>
      <w:r>
        <w:t>les mesures de protection, les traitements à posteriori ;</w:t>
      </w:r>
    </w:p>
    <w:p w14:paraId="5A062DEA" w14:textId="77777777" w:rsidR="00DF410E" w:rsidRDefault="00CE7F43">
      <w:pPr>
        <w:pStyle w:val="Author-eListParagraph"/>
        <w:numPr>
          <w:ilvl w:val="0"/>
          <w:numId w:val="1163"/>
        </w:numPr>
        <w:jc w:val="both"/>
      </w:pPr>
      <w:r>
        <w:t>le déblaiement et le nettoyage du chantier.</w:t>
      </w:r>
    </w:p>
    <w:p w14:paraId="3A1C5588" w14:textId="77777777" w:rsidR="00DF410E" w:rsidRDefault="00CE7F43">
      <w:pPr>
        <w:pStyle w:val="pheading"/>
      </w:pPr>
      <w:r>
        <w:t>EXÉCUTION / MISE EN ŒUVRE</w:t>
      </w:r>
    </w:p>
    <w:p w14:paraId="6C0A0EFB" w14:textId="77777777" w:rsidR="00DF410E" w:rsidRDefault="00CE7F43">
      <w:pPr>
        <w:jc w:val="both"/>
      </w:pPr>
      <w:r>
        <w:rPr>
          <w:b/>
        </w:rPr>
        <w:t>Transport – livraison</w:t>
      </w:r>
    </w:p>
    <w:p w14:paraId="58EDA573" w14:textId="77777777" w:rsidR="00DF410E" w:rsidRDefault="00CE7F43">
      <w:pPr>
        <w:jc w:val="both"/>
      </w:pPr>
      <w:r>
        <w:t xml:space="preserve"> Pendant le transport, les éléments sont recouverts d'une bâche. Les éléments sont déchargés avec soin en utilisant le matériel prescrit par le fabricant. Ceux-ci sont stockés de telle sorte que tout contact avec le sol est évité. L’entrepreneur protège les éléments contre la salissure et les dégradations. Ils sont séparés par des intercalaires qui n’endommagent ni ne salissent les surfaces. Pendant leur séjour sur chantier, ils sont entreposés sur des supports choisis en se basant sur les prescriptions du fabricant, à l'abri des influences atmosphériques, dans un endroit bien ventilé ou sous une bâche de protection. L'entrepreneur ajoute les protections carton entre pierres pour éviter les épaufrures. </w:t>
      </w:r>
    </w:p>
    <w:p w14:paraId="2FF106C4" w14:textId="77777777" w:rsidR="00DF410E" w:rsidRDefault="00CE7F43">
      <w:pPr>
        <w:jc w:val="both"/>
      </w:pPr>
      <w:r>
        <w:rPr>
          <w:b/>
        </w:rPr>
        <w:t>Conception</w:t>
      </w:r>
    </w:p>
    <w:p w14:paraId="4C9D6CD0" w14:textId="77777777" w:rsidR="00DF410E" w:rsidRDefault="00CE7F43">
      <w:pPr>
        <w:jc w:val="both"/>
      </w:pPr>
      <w:r>
        <w:t xml:space="preserve">Sur base des plans annexés aux documents du marché, l'entrepreneur établit préalablement les plans d'exécution indiquant la modulation exacte des panneaux et une documentation reprenant les caractéristiques des systèmes d'ancrage. Le nombre et le dimensionnement de ces ancrages est établi sur base d’une étude de stabilité à charge </w:t>
      </w:r>
      <w:r>
        <w:rPr>
          <w:rStyle w:val="optioncarChar"/>
        </w:rPr>
        <w:t>de l’entrepreneur / du fabricant</w:t>
      </w:r>
      <w:r>
        <w:t xml:space="preserve"> et à soumettre pour approbation à la direction du chantier. Lors de cette étude, il détermine également le système d’ancrage en fonction du type de construction portante et en tenant compte des sollicitations auxquelles ils sont soumis.</w:t>
      </w:r>
    </w:p>
    <w:p w14:paraId="4E6438B6" w14:textId="77777777" w:rsidR="00DF410E" w:rsidRDefault="00CE7F43">
      <w:pPr>
        <w:pStyle w:val="pheading"/>
      </w:pPr>
      <w:r>
        <w:t>CONTRÔLES</w:t>
      </w:r>
    </w:p>
    <w:p w14:paraId="75E06D17" w14:textId="77777777" w:rsidR="00DF410E" w:rsidRDefault="00CE7F43">
      <w:pPr>
        <w:jc w:val="both"/>
      </w:pPr>
      <w:r>
        <w:t>Les panneaux de façade répondent aux chocs selon le guide de [EOTA TR001] et de la [NIT 146]. L’énergie d’impact est choisie en fonction du risque. Les fixations reprennent les charges verticales et horizontales. Un coefficient de sécurité ≥ 3 est utilisé afin de considérer les charges cycliques et les charges permanentes.</w:t>
      </w:r>
    </w:p>
    <w:p w14:paraId="3DC5F66E" w14:textId="77777777" w:rsidR="00DF410E" w:rsidRDefault="00CE7F43">
      <w:pPr>
        <w:pStyle w:val="Author-eSectionHeading3"/>
      </w:pPr>
      <w:bookmarkStart w:id="2118" w:name="_Toc178839156"/>
      <w:r>
        <w:t>28.1 Revêtements de façade en panneaux de pierre CCTB 01.04</w:t>
      </w:r>
      <w:bookmarkEnd w:id="2118"/>
    </w:p>
    <w:p w14:paraId="6E8BA32A" w14:textId="77777777" w:rsidR="00DF410E" w:rsidRDefault="00CE7F43">
      <w:pPr>
        <w:pStyle w:val="pheading"/>
      </w:pPr>
      <w:r>
        <w:t>DOCUMENTS DE RÉFÉRENCE</w:t>
      </w:r>
    </w:p>
    <w:p w14:paraId="7DFF6DDA" w14:textId="77777777" w:rsidR="00DF410E" w:rsidRDefault="00CE7F43">
      <w:pPr>
        <w:pStyle w:val="pheading"/>
      </w:pPr>
      <w:r>
        <w:t>- Exécution</w:t>
      </w:r>
    </w:p>
    <w:p w14:paraId="4B263E1A" w14:textId="77777777" w:rsidR="00DF410E" w:rsidRDefault="00CE7F43">
      <w:r>
        <w:t>[NIT 146, Les revêtements extérieurs verticaux en matériaux pierreux naturels de mince épaisseur (partiellement remplacée par la NIT n°228 en ce qui concerne les méthodes d'essais et les critères de résistance au gel).]</w:t>
      </w:r>
    </w:p>
    <w:p w14:paraId="152959AB" w14:textId="77777777" w:rsidR="00DF410E" w:rsidRDefault="00CE7F43">
      <w:r>
        <w:t>[NIT 228, Pierres naturelles (NIT interactive et évolutive en remplacement de la NIT 205).]</w:t>
      </w:r>
    </w:p>
    <w:p w14:paraId="6E61B003" w14:textId="77777777" w:rsidR="00DF410E" w:rsidRDefault="00CE7F43">
      <w:r>
        <w:t>[NIT 220, La pierre bleue de Belgique dite petit granit d'âge géologique tournaisien (remplace la NIT 156).] </w:t>
      </w:r>
    </w:p>
    <w:p w14:paraId="34AA5A74" w14:textId="77777777" w:rsidR="00DF410E" w:rsidRDefault="00CE7F43">
      <w:pPr>
        <w:pStyle w:val="Author-eSectionHeading4"/>
      </w:pPr>
      <w:bookmarkStart w:id="2119" w:name="_Toc178839157"/>
      <w:r>
        <w:t>28.11 Revêtements de façade en panneaux de pierre CCTB 01.04</w:t>
      </w:r>
      <w:bookmarkEnd w:id="2119"/>
    </w:p>
    <w:p w14:paraId="065CD542" w14:textId="77777777" w:rsidR="00DF410E" w:rsidRDefault="00CE7F43">
      <w:pPr>
        <w:pStyle w:val="Author-eSectionHeading5"/>
      </w:pPr>
      <w:bookmarkStart w:id="2120" w:name="_Toc178839158"/>
      <w:r>
        <w:t>28.11.1 Revêtements de façade en panneaux de pierre CCTB 01.12</w:t>
      </w:r>
      <w:bookmarkEnd w:id="2120"/>
    </w:p>
    <w:p w14:paraId="326DF289" w14:textId="77777777" w:rsidR="00DF410E" w:rsidRDefault="00CE7F43">
      <w:pPr>
        <w:pStyle w:val="pheading"/>
      </w:pPr>
      <w:r>
        <w:t>DESCRIPTION</w:t>
      </w:r>
    </w:p>
    <w:p w14:paraId="3EFE3608" w14:textId="77777777" w:rsidR="00DF410E" w:rsidRDefault="00CE7F43">
      <w:pPr>
        <w:pStyle w:val="pheading"/>
      </w:pPr>
      <w:r>
        <w:t>- Définition / Comprend</w:t>
      </w:r>
    </w:p>
    <w:p w14:paraId="396B9697" w14:textId="77777777" w:rsidR="00DF410E" w:rsidRDefault="00CE7F43">
      <w:pPr>
        <w:jc w:val="both"/>
      </w:pPr>
      <w:r>
        <w:t>Il s'agit de tous les travaux et fournitures pour la réalisation des revêtements de façade en panneaux de pierre naturelle.</w:t>
      </w:r>
    </w:p>
    <w:p w14:paraId="6F7CF5D8" w14:textId="77777777" w:rsidR="00DF410E" w:rsidRDefault="00CE7F43">
      <w:pPr>
        <w:pStyle w:val="pheading"/>
      </w:pPr>
      <w:r>
        <w:t>MATÉRIAUX</w:t>
      </w:r>
    </w:p>
    <w:p w14:paraId="27F05B41" w14:textId="77777777" w:rsidR="00DF410E" w:rsidRDefault="00CE7F43">
      <w:pPr>
        <w:jc w:val="both"/>
      </w:pPr>
      <w:r>
        <w:rPr>
          <w:b/>
        </w:rPr>
        <w:t>Caractéristiques</w:t>
      </w:r>
    </w:p>
    <w:p w14:paraId="4AE982C9" w14:textId="77777777" w:rsidR="00DF410E" w:rsidRDefault="00CE7F43">
      <w:pPr>
        <w:jc w:val="both"/>
      </w:pPr>
      <w:r>
        <w:t>La pierre de façade est conforme aux prescriptions du § 3.11 Homogénéité des pierres de la [NIT 146].</w:t>
      </w:r>
    </w:p>
    <w:p w14:paraId="7B4B3F5E" w14:textId="77777777" w:rsidR="00DF410E" w:rsidRDefault="00CE7F43">
      <w:pPr>
        <w:jc w:val="both"/>
      </w:pPr>
      <w:r>
        <w:rPr>
          <w:b/>
        </w:rPr>
        <w:t>Dimensions &amp; formes</w:t>
      </w:r>
    </w:p>
    <w:p w14:paraId="10CAFE00" w14:textId="77777777" w:rsidR="00DF410E" w:rsidRDefault="00CE7F43">
      <w:pPr>
        <w:jc w:val="both"/>
      </w:pPr>
      <w:r>
        <w:t>Pour des raisons de manipulation, la surface ne peut pas excéder 0,50 m² et la plus grande dimension ne dépasse pas 1 m pour un matériau de 20 mm d'épaisseur. Cette surface maximale est impérative pour les matériaux tendres, même si un moyen de levage mécanique est employé.</w:t>
      </w:r>
    </w:p>
    <w:p w14:paraId="567EFB6C" w14:textId="77777777" w:rsidR="00DF410E" w:rsidRDefault="00CE7F43">
      <w:pPr>
        <w:jc w:val="both"/>
      </w:pPr>
      <w:r>
        <w:t>Pour une surface entre 0,5 et 1 m², les revêtements sont exécutés en matériaux durs et un engin de levage est utilisé (poids maximum autorisé ≤ 65 kg pour une manipulation sans engin).</w:t>
      </w:r>
    </w:p>
    <w:p w14:paraId="60804BA1" w14:textId="77777777" w:rsidR="00DF410E" w:rsidRDefault="00CE7F43">
      <w:pPr>
        <w:jc w:val="both"/>
      </w:pPr>
      <w:r>
        <w:t>Le rapport de la longueur à la largeur pour les plaques de façade est ≤ à 3. Ces valeurs sont sensiblement modifiées selon l'implantation de la plaque (retour de tableau, voussures de baies, jambages, etc...). Voir également § 4.3 Dimensions des pierres [NIT 146].</w:t>
      </w:r>
    </w:p>
    <w:p w14:paraId="34E240D2" w14:textId="77777777" w:rsidR="00DF410E" w:rsidRDefault="00CE7F43">
      <w:pPr>
        <w:jc w:val="both"/>
      </w:pPr>
      <w:r>
        <w:rPr>
          <w:b/>
        </w:rPr>
        <w:t>Tolérances </w:t>
      </w:r>
    </w:p>
    <w:p w14:paraId="66DD9041" w14:textId="77777777" w:rsidR="00DF410E" w:rsidRDefault="00CE7F43">
      <w:pPr>
        <w:jc w:val="both"/>
      </w:pPr>
      <w:r>
        <w:t>Les tolérances des pierres de façade sont conformes aux prescriptions du § 4.33 Tolérances de la [NIT 146].</w:t>
      </w:r>
    </w:p>
    <w:p w14:paraId="5CF3F0E4" w14:textId="77777777" w:rsidR="00DF410E" w:rsidRDefault="00CE7F43">
      <w:pPr>
        <w:jc w:val="both"/>
      </w:pPr>
      <w:r>
        <w:rPr>
          <w:b/>
        </w:rPr>
        <w:t>Fixations</w:t>
      </w:r>
    </w:p>
    <w:p w14:paraId="156D4E85" w14:textId="77777777" w:rsidR="00DF410E" w:rsidRDefault="00CE7F43">
      <w:pPr>
        <w:jc w:val="both"/>
      </w:pPr>
      <w:r>
        <w:t>Est désignée agrafe toute pièce métallique qui sert à la fixation des plaques de revêtement. Cette dénomination couvre les crochets, les pattes d'ancrage, les ancres de scellement, les goujons, etc. , ...</w:t>
      </w:r>
    </w:p>
    <w:p w14:paraId="1D6A092E" w14:textId="77777777" w:rsidR="00DF410E" w:rsidRDefault="00CE7F43">
      <w:pPr>
        <w:jc w:val="both"/>
      </w:pPr>
      <w:r>
        <w:t>Les systèmes d'agrafage des plaques de pierres au support sont généralement composés de trois parties, d'un seul tenant ou non :</w:t>
      </w:r>
    </w:p>
    <w:p w14:paraId="07EEDA6B" w14:textId="77777777" w:rsidR="00DF410E" w:rsidRDefault="00CE7F43">
      <w:pPr>
        <w:pStyle w:val="Author-eListParagraph"/>
        <w:numPr>
          <w:ilvl w:val="0"/>
          <w:numId w:val="1164"/>
        </w:numPr>
      </w:pPr>
      <w:r>
        <w:t>une partie d'ancrage dans le support ;</w:t>
      </w:r>
    </w:p>
    <w:p w14:paraId="713DF0E4" w14:textId="77777777" w:rsidR="00DF410E" w:rsidRDefault="00CE7F43">
      <w:pPr>
        <w:pStyle w:val="Author-eListParagraph"/>
        <w:numPr>
          <w:ilvl w:val="0"/>
          <w:numId w:val="1164"/>
        </w:numPr>
      </w:pPr>
      <w:r>
        <w:t>une partie profilée en console constituée par un plat, une cornière ou un autre profilé métallique associé à un dispositif de réglage qui permet le positionnement correct de la plaque lors de la pose ;</w:t>
      </w:r>
    </w:p>
    <w:p w14:paraId="704F599B" w14:textId="77777777" w:rsidR="00DF410E" w:rsidRDefault="00CE7F43">
      <w:pPr>
        <w:pStyle w:val="Author-eListParagraph"/>
        <w:numPr>
          <w:ilvl w:val="0"/>
          <w:numId w:val="1164"/>
        </w:numPr>
      </w:pPr>
      <w:r>
        <w:t>une pièce de liaison avec la plaque : ergot, goujon, rondelle, retour en cornière, retour en T, etc...</w:t>
      </w:r>
    </w:p>
    <w:p w14:paraId="2F2D7609" w14:textId="77777777" w:rsidR="00DF410E" w:rsidRDefault="00CE7F43">
      <w:pPr>
        <w:jc w:val="both"/>
      </w:pPr>
      <w:r>
        <w:t>La forme des agrafes est fonction du rôle qu’elles ont à remplir dans la construction. Ainsi, on distingue des agrafages porteurs destinés à reprendre le poids de la plaque, des agrafages de retenue destinés à empêcher le déversement sous l'effet d'actions horizontales et des agrafages combinant les deux fonctions.</w:t>
      </w:r>
    </w:p>
    <w:p w14:paraId="7E16124E" w14:textId="77777777" w:rsidR="00DF410E" w:rsidRDefault="00CE7F43">
      <w:pPr>
        <w:jc w:val="both"/>
      </w:pPr>
      <w:r>
        <w:t>Les fixations sont inoxydables dans leur masse et inattaquables par les agents chimiques véhiculés par l'eau. Les matériaux recouverts d'une couche anti-corrosive sont exclus.</w:t>
      </w:r>
    </w:p>
    <w:p w14:paraId="2FC92EC7" w14:textId="77777777" w:rsidR="00DF410E" w:rsidRDefault="00CE7F43">
      <w:pPr>
        <w:jc w:val="both"/>
      </w:pPr>
      <w:r>
        <w:t>Les différentes parties métalliques des fixations ne sont pas de nature à établir un couple électrochimique.</w:t>
      </w:r>
    </w:p>
    <w:p w14:paraId="54144642" w14:textId="77777777" w:rsidR="00DF410E" w:rsidRDefault="00CE7F43">
      <w:pPr>
        <w:jc w:val="both"/>
      </w:pPr>
      <w:r>
        <w:rPr>
          <w:b/>
        </w:rPr>
        <w:t>Joints</w:t>
      </w:r>
    </w:p>
    <w:p w14:paraId="28D83422" w14:textId="77777777" w:rsidR="00DF410E" w:rsidRDefault="00CE7F43">
      <w:pPr>
        <w:jc w:val="both"/>
      </w:pPr>
      <w:r>
        <w:t>Le matériau de remplissage des joints est aussi compressible que possible et ne tache pas les panneaux de parement. </w:t>
      </w:r>
    </w:p>
    <w:p w14:paraId="0954D43F" w14:textId="77777777" w:rsidR="00DF410E" w:rsidRDefault="00CE7F43">
      <w:pPr>
        <w:jc w:val="both"/>
      </w:pPr>
      <w:r>
        <w:t xml:space="preserve">Les joints de dilatation ou de fractionnement sont constitués d’un matériau conforme aux prescriptions du </w:t>
      </w:r>
      <w:hyperlink w:anchor="527" w:history="1">
        <w:r>
          <w:t>22.63.1 Joints de remplissage</w:t>
        </w:r>
      </w:hyperlink>
      <w:r>
        <w:t>.</w:t>
      </w:r>
    </w:p>
    <w:p w14:paraId="165F2AD7" w14:textId="77777777" w:rsidR="00DF410E" w:rsidRDefault="00CE7F43">
      <w:pPr>
        <w:pStyle w:val="pheading"/>
      </w:pPr>
      <w:r>
        <w:t>EXÉCUTION / MISE EN ŒUVRE</w:t>
      </w:r>
    </w:p>
    <w:p w14:paraId="5BFB2530" w14:textId="77777777" w:rsidR="00DF410E" w:rsidRDefault="00CE7F43">
      <w:pPr>
        <w:jc w:val="both"/>
      </w:pPr>
      <w:r>
        <w:t>Les plaques de revêtement sont fixées à la structure de support de manière à créer un espace rempli d'air ventilé entre les deux éléments. La lame d'air permet d'évacuer la vapeur d'eau résultant des murs portants et de la porosité des plaques de revêtement.</w:t>
      </w:r>
    </w:p>
    <w:p w14:paraId="4CCE8D49" w14:textId="77777777" w:rsidR="00DF410E" w:rsidRDefault="00CE7F43">
      <w:pPr>
        <w:jc w:val="both"/>
      </w:pPr>
      <w:r>
        <w:t xml:space="preserve">Epaisseur : ≥ </w:t>
      </w:r>
      <w:r>
        <w:rPr>
          <w:rStyle w:val="optioncarChar"/>
        </w:rPr>
        <w:t xml:space="preserve">20 </w:t>
      </w:r>
      <w:r>
        <w:t>(par défaut)</w:t>
      </w:r>
      <w:r>
        <w:rPr>
          <w:rStyle w:val="optioncarChar"/>
        </w:rPr>
        <w:t xml:space="preserve"> / ***</w:t>
      </w:r>
      <w:r>
        <w:t xml:space="preserve"> mm.</w:t>
      </w:r>
    </w:p>
    <w:p w14:paraId="2B0F041C" w14:textId="77777777" w:rsidR="00DF410E" w:rsidRDefault="00CE7F43">
      <w:pPr>
        <w:jc w:val="both"/>
      </w:pPr>
      <w:r>
        <w:t>La ventilation de cette lame d'air est assurée par des fentes ou des trous d'aération ménagés à la base et au sommet de la façade ainsi qu'aux discontinuités de celle-ci (fenêtres, talon de reprise de charges, etc…) et ce, de manière à obtenir une surface ≥ à 50 cm² d'ouverture par m² de façade. En outre, des dispositions sont prises pour assurer l'évacuation des condensats et des infiltrations à la base de la façade et à tout endroit où cette précaution est requise.</w:t>
      </w:r>
    </w:p>
    <w:p w14:paraId="7A1D70CC" w14:textId="77777777" w:rsidR="00DF410E" w:rsidRDefault="00CE7F43">
      <w:pPr>
        <w:jc w:val="both"/>
      </w:pPr>
      <w:r>
        <w:t>Si le créneau est isolé, outre leurs caractéristiques isolantes, l'isolation est choisie en fonction des facteurs suivants :</w:t>
      </w:r>
    </w:p>
    <w:p w14:paraId="567D3F04" w14:textId="77777777" w:rsidR="00DF410E" w:rsidRDefault="00CE7F43">
      <w:pPr>
        <w:pStyle w:val="Author-eListParagraph"/>
        <w:numPr>
          <w:ilvl w:val="0"/>
          <w:numId w:val="1165"/>
        </w:numPr>
      </w:pPr>
      <w:r>
        <w:t>risque de condensation ;</w:t>
      </w:r>
    </w:p>
    <w:p w14:paraId="1DE74E81" w14:textId="77777777" w:rsidR="00DF410E" w:rsidRDefault="00CE7F43">
      <w:pPr>
        <w:pStyle w:val="Author-eListParagraph"/>
        <w:numPr>
          <w:ilvl w:val="0"/>
          <w:numId w:val="1165"/>
        </w:numPr>
      </w:pPr>
      <w:r>
        <w:t>comportement en présence d'eau ;</w:t>
      </w:r>
    </w:p>
    <w:p w14:paraId="4DBB5A5E" w14:textId="77777777" w:rsidR="00DF410E" w:rsidRDefault="00CE7F43">
      <w:pPr>
        <w:pStyle w:val="Author-eListParagraph"/>
        <w:numPr>
          <w:ilvl w:val="0"/>
          <w:numId w:val="1165"/>
        </w:numPr>
      </w:pPr>
      <w:r>
        <w:t>risque en cas d'incendie ;</w:t>
      </w:r>
    </w:p>
    <w:p w14:paraId="2786A822" w14:textId="77777777" w:rsidR="00DF410E" w:rsidRDefault="00CE7F43">
      <w:pPr>
        <w:pStyle w:val="Author-eListParagraph"/>
        <w:numPr>
          <w:ilvl w:val="0"/>
          <w:numId w:val="1165"/>
        </w:numPr>
      </w:pPr>
      <w:r>
        <w:t>tenue pour éviter notamment le fluage sous le poids propre.</w:t>
      </w:r>
    </w:p>
    <w:p w14:paraId="73ECEDF9" w14:textId="77777777" w:rsidR="00DF410E" w:rsidRDefault="00CE7F43">
      <w:pPr>
        <w:jc w:val="both"/>
      </w:pPr>
      <w:r>
        <w:t xml:space="preserve">Les points d'attache constituant autant de ponts thermiques nuisant à l'efficacité de l'isolation, l’entrepreneur, lors de l’établissement de son étude, tend à réduire le plus possible le nombre d’agrafes et prévoit des plaques de rupture thermique présentant une résistance thermique ≥ à </w:t>
      </w:r>
      <w:r>
        <w:rPr>
          <w:rStyle w:val="optioncarChar"/>
        </w:rPr>
        <w:t xml:space="preserve">0,038 </w:t>
      </w:r>
      <w:r>
        <w:t>(par défaut)</w:t>
      </w:r>
      <w:r>
        <w:rPr>
          <w:rStyle w:val="optioncarChar"/>
        </w:rPr>
        <w:t> / ***</w:t>
      </w:r>
      <w:r>
        <w:t xml:space="preserve"> m²K/W entre les consoles et le mur dans lequel elles viennent s’ancrer.</w:t>
      </w:r>
    </w:p>
    <w:p w14:paraId="6372708D" w14:textId="77777777" w:rsidR="00DF410E" w:rsidRDefault="00CE7F43">
      <w:pPr>
        <w:jc w:val="both"/>
      </w:pPr>
      <w:r>
        <w:t>L'exécution du garnissage est précédée d'une large humidification du joint.</w:t>
      </w:r>
    </w:p>
    <w:p w14:paraId="3854BE3E" w14:textId="77777777" w:rsidR="00DF410E" w:rsidRDefault="00CE7F43">
      <w:pPr>
        <w:jc w:val="both"/>
      </w:pPr>
      <w:r>
        <w:t>L'usage de cales de réglage en bois gorgées d'eau ou de réglettes (joints verticaux) permet d'avoir une plus grande régularité du joint.</w:t>
      </w:r>
    </w:p>
    <w:p w14:paraId="26133561" w14:textId="77777777" w:rsidR="00DF410E" w:rsidRDefault="00CE7F43">
      <w:pPr>
        <w:jc w:val="both"/>
      </w:pPr>
      <w:r>
        <w:t>Il est recommandé de procéder au jointoiement de finition aussi tardivement que possible, après la pose de toute la hauteur de la travée de façade, entre deux joints ou arrêts de revêtement et ce, de manière à pallier les risques de désordres des joints consécutifs au fluage et au retrait.</w:t>
      </w:r>
    </w:p>
    <w:p w14:paraId="49F39072" w14:textId="77777777" w:rsidR="00DF410E" w:rsidRDefault="00CE7F43">
      <w:pPr>
        <w:jc w:val="both"/>
      </w:pPr>
      <w:r>
        <w:t>Les cales de réglage de pose sont retirées avant le calfeutrement des joints en raison des risques de passage d'eau si l'exécution n'est pas parfaite et si les cales sont trop larges.</w:t>
      </w:r>
    </w:p>
    <w:p w14:paraId="1FF946D3" w14:textId="77777777" w:rsidR="00DF410E" w:rsidRDefault="00CE7F43">
      <w:pPr>
        <w:jc w:val="both"/>
      </w:pPr>
      <w:r>
        <w:t>Principe d’implantation des joints de dilatation ou de fractionnement :</w:t>
      </w:r>
    </w:p>
    <w:p w14:paraId="391EC539" w14:textId="77777777" w:rsidR="00DF410E" w:rsidRDefault="00CE7F43">
      <w:pPr>
        <w:pStyle w:val="Author-eListParagraph"/>
        <w:numPr>
          <w:ilvl w:val="0"/>
          <w:numId w:val="1166"/>
        </w:numPr>
      </w:pPr>
      <w:r>
        <w:t>1er cas, les attaches permettent la reprise des déformations au droit de chaque plaque. Ce type d'attaches permet de considérer les joints autour des plaques comme des joints de fractionnement.</w:t>
      </w:r>
    </w:p>
    <w:p w14:paraId="6C80FADD" w14:textId="77777777" w:rsidR="00DF410E" w:rsidRDefault="00CE7F43">
      <w:pPr>
        <w:pStyle w:val="Author-eListParagraph"/>
        <w:numPr>
          <w:ilvl w:val="0"/>
          <w:numId w:val="1166"/>
        </w:numPr>
      </w:pPr>
      <w:r>
        <w:t>2ème cas, les attaches ne permettent pas la reprise des déformations au droit de chaque plaque. Dans ce cas, un joint souple horizontal est créé tous les 3 m (ou tous les niveaux). Le joint horizontal sous la première assise est laissé vide pour assurer la ventilation de la lame d'air. Un joint souple vertical est inséré tous les 8 m.</w:t>
      </w:r>
    </w:p>
    <w:p w14:paraId="2B24E45A" w14:textId="77777777" w:rsidR="00DF410E" w:rsidRDefault="00CE7F43">
      <w:pPr>
        <w:jc w:val="both"/>
      </w:pPr>
      <w:r>
        <w:t>En façade pignon :</w:t>
      </w:r>
    </w:p>
    <w:p w14:paraId="4159121C" w14:textId="77777777" w:rsidR="00DF410E" w:rsidRDefault="00CE7F43">
      <w:pPr>
        <w:pStyle w:val="Author-eListParagraph"/>
        <w:numPr>
          <w:ilvl w:val="0"/>
          <w:numId w:val="1167"/>
        </w:numPr>
      </w:pPr>
      <w:r>
        <w:t>Pour des longueurs ≤ 12 m, le joint intermédiaire préconisé peut être supprimé si l'appareillage permet d'exécuter un joint souple à chaque extrémité de la façade.</w:t>
      </w:r>
    </w:p>
    <w:p w14:paraId="1118859B" w14:textId="77777777" w:rsidR="00DF410E" w:rsidRDefault="00CE7F43">
      <w:pPr>
        <w:pStyle w:val="Author-eListParagraph"/>
        <w:numPr>
          <w:ilvl w:val="0"/>
          <w:numId w:val="1167"/>
        </w:numPr>
      </w:pPr>
      <w:r>
        <w:t>Pour des longueurs ˃ 12 m, un joint vertical intermédiaire s'impose.</w:t>
      </w:r>
    </w:p>
    <w:p w14:paraId="74CA3F15" w14:textId="77777777" w:rsidR="00DF410E" w:rsidRDefault="00CE7F43">
      <w:pPr>
        <w:jc w:val="both"/>
      </w:pPr>
      <w:r>
        <w:t>Pour éviter la mise en compression du revêtement directement sur le support, des joints sont prévus autour des saillies de façade (appuis, balcons, bandeaux, linteaux, etc…) ainsi qu’en prolongement des joints structuraux du support.</w:t>
      </w:r>
    </w:p>
    <w:p w14:paraId="0DE2F62D" w14:textId="77777777" w:rsidR="00DF410E" w:rsidRDefault="00CE7F43">
      <w:pPr>
        <w:pStyle w:val="pheading"/>
      </w:pPr>
      <w:r>
        <w:t>DOCUMENTS DE RÉFÉRENCE</w:t>
      </w:r>
    </w:p>
    <w:p w14:paraId="570AE567" w14:textId="77777777" w:rsidR="00DF410E" w:rsidRDefault="00CE7F43">
      <w:pPr>
        <w:pStyle w:val="pheading"/>
      </w:pPr>
      <w:r>
        <w:t>- Matériau</w:t>
      </w:r>
    </w:p>
    <w:p w14:paraId="580F7E14" w14:textId="77777777" w:rsidR="00DF410E" w:rsidRDefault="00CE7F43">
      <w:r>
        <w:t>[NBN EN 1469, Produits en pierre naturelle - Dalles de revêtement mural - Exigences]</w:t>
      </w:r>
    </w:p>
    <w:p w14:paraId="6564A10D" w14:textId="77777777" w:rsidR="00DF410E" w:rsidRDefault="00CE7F43">
      <w:r>
        <w:t>[NBN EN 15286, Pierres agglomérées - Carreaux et plaques pour finitions murales (intérieures et extérieures)]</w:t>
      </w:r>
    </w:p>
    <w:p w14:paraId="60835D1E" w14:textId="77777777" w:rsidR="00DF410E" w:rsidRDefault="00CE7F43">
      <w:r>
        <w:t>[NIT 146, Les revêtements extérieurs verticaux en matériaux pierreux naturels de mince épaisseur (partiellement remplacée par la NIT n°228 en ce qui concerne les méthodes d'essais et les critères de résistance au gel).]</w:t>
      </w:r>
    </w:p>
    <w:p w14:paraId="2A98293B" w14:textId="77777777" w:rsidR="00DF410E" w:rsidRDefault="00CE7F43">
      <w:r>
        <w:t>[NIT 228, Pierres naturelles (NIT interactive et évolutive en remplacement de la NIT 205).]</w:t>
      </w:r>
    </w:p>
    <w:p w14:paraId="2A729467" w14:textId="77777777" w:rsidR="00DF410E" w:rsidRDefault="00CE7F43">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08B3F057" w14:textId="77777777" w:rsidR="00DF410E" w:rsidRDefault="00CE7F43">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A17E091" w14:textId="77777777" w:rsidR="00DF410E" w:rsidRDefault="00CE7F43">
      <w:pPr>
        <w:pStyle w:val="pheading"/>
      </w:pPr>
      <w:r>
        <w:t>- Exécution</w:t>
      </w:r>
    </w:p>
    <w:p w14:paraId="010F05E7" w14:textId="77777777" w:rsidR="00DF410E" w:rsidRDefault="00CE7F43">
      <w:r>
        <w:t>[NIT 146, Les revêtements extérieurs verticaux en matériaux pierreux naturels de mince épaisseur (partiellement remplacée par la NIT n°228 en ce qui concerne les méthodes d'essais et les critères de résistance au gel).]</w:t>
      </w:r>
    </w:p>
    <w:p w14:paraId="38621FB2" w14:textId="77777777" w:rsidR="00DF410E" w:rsidRDefault="00CE7F43">
      <w:pPr>
        <w:pStyle w:val="Author-eSectionHeading6"/>
      </w:pPr>
      <w:bookmarkStart w:id="2121" w:name="_Toc178839159"/>
      <w:r>
        <w:t>28.11.1a Revêtements de façade en panneaux de pierre naturelle CCTB 01.11</w:t>
      </w:r>
      <w:bookmarkEnd w:id="2121"/>
    </w:p>
    <w:p w14:paraId="2766D306" w14:textId="77777777" w:rsidR="00DF410E" w:rsidRDefault="00CE7F43">
      <w:pPr>
        <w:pStyle w:val="pheading"/>
      </w:pPr>
      <w:r>
        <w:t>DESCRIPTION</w:t>
      </w:r>
    </w:p>
    <w:p w14:paraId="2EBA4693" w14:textId="77777777" w:rsidR="00DF410E" w:rsidRDefault="00CE7F43">
      <w:pPr>
        <w:pStyle w:val="pheading"/>
      </w:pPr>
      <w:r>
        <w:t>- Définition / Comprend</w:t>
      </w:r>
    </w:p>
    <w:p w14:paraId="3B32547D" w14:textId="77777777" w:rsidR="00DF410E" w:rsidRDefault="00CE7F43">
      <w:pPr>
        <w:jc w:val="both"/>
      </w:pPr>
      <w:r>
        <w:t>Il s'agit de tous les travaux et fournitures pour la réalisation des revêtements de façade en panneaux de pierre naturelle.</w:t>
      </w:r>
    </w:p>
    <w:p w14:paraId="14E00625" w14:textId="77777777" w:rsidR="00DF410E" w:rsidRDefault="00CE7F43">
      <w:pPr>
        <w:pStyle w:val="pheading"/>
      </w:pPr>
      <w:r>
        <w:t>MATÉRIAUX</w:t>
      </w:r>
    </w:p>
    <w:p w14:paraId="71587EE6" w14:textId="77777777" w:rsidR="00DF410E" w:rsidRDefault="00CE7F43">
      <w:pPr>
        <w:pStyle w:val="pheading"/>
      </w:pPr>
      <w:r>
        <w:t>- Caractéristiques générales</w:t>
      </w:r>
    </w:p>
    <w:p w14:paraId="6B092601" w14:textId="77777777" w:rsidR="00DF410E" w:rsidRDefault="00CE7F43">
      <w:pPr>
        <w:jc w:val="both"/>
      </w:pPr>
      <w:r>
        <w:t>Les panneaux répondent aux spécifications de la norme [NBN EN 1469] ainsi qu’aux exigences de la [NIT 228].</w:t>
      </w:r>
    </w:p>
    <w:p w14:paraId="5903D64B" w14:textId="77777777" w:rsidR="00DF410E" w:rsidRDefault="00CE7F43">
      <w:pPr>
        <w:jc w:val="both"/>
      </w:pPr>
      <w:r>
        <w:t xml:space="preserve">Nomenclature de la pierre : </w:t>
      </w:r>
      <w:r>
        <w:rPr>
          <w:rStyle w:val="optioncarChar"/>
        </w:rPr>
        <w:t>***</w:t>
      </w:r>
    </w:p>
    <w:p w14:paraId="0340E4AD" w14:textId="77777777" w:rsidR="00DF410E" w:rsidRDefault="00CE7F43">
      <w:pPr>
        <w:jc w:val="both"/>
      </w:pPr>
      <w:r>
        <w:rPr>
          <w:b/>
        </w:rPr>
        <w:t>Fixations :</w:t>
      </w:r>
    </w:p>
    <w:p w14:paraId="6B9163C3" w14:textId="77777777" w:rsidR="00DF410E" w:rsidRDefault="00CE7F43">
      <w:pPr>
        <w:pStyle w:val="Author-eListParagraph"/>
        <w:numPr>
          <w:ilvl w:val="0"/>
          <w:numId w:val="1168"/>
        </w:numPr>
      </w:pPr>
      <w:r>
        <w:t xml:space="preserve">Matière : </w:t>
      </w:r>
      <w:r>
        <w:rPr>
          <w:rStyle w:val="optioncarChar"/>
        </w:rPr>
        <w:t>acier inoxydable</w:t>
      </w:r>
      <w:r>
        <w:t xml:space="preserve"> (par défaut)</w:t>
      </w:r>
      <w:r>
        <w:rPr>
          <w:rStyle w:val="optioncarChar"/>
        </w:rPr>
        <w:t xml:space="preserve"> / ***</w:t>
      </w:r>
    </w:p>
    <w:p w14:paraId="43AD2268" w14:textId="77777777" w:rsidR="00DF410E" w:rsidRDefault="00CE7F43">
      <w:pPr>
        <w:pStyle w:val="Author-eListParagraph"/>
        <w:numPr>
          <w:ilvl w:val="0"/>
          <w:numId w:val="1168"/>
        </w:numPr>
      </w:pPr>
      <w:r>
        <w:t xml:space="preserve">Nombre et emplacement : </w:t>
      </w:r>
      <w:r>
        <w:rPr>
          <w:rStyle w:val="optioncarChar"/>
        </w:rPr>
        <w:t>conformément au dessin des plans d’exécution et notes de calcul approuvés</w:t>
      </w:r>
      <w:r>
        <w:t xml:space="preserve"> (par défaut) </w:t>
      </w:r>
      <w:r>
        <w:rPr>
          <w:rStyle w:val="optioncarChar"/>
        </w:rPr>
        <w:t>/ ***</w:t>
      </w:r>
    </w:p>
    <w:p w14:paraId="640DD635" w14:textId="77777777" w:rsidR="00DF410E" w:rsidRDefault="00CE7F43">
      <w:pPr>
        <w:pStyle w:val="Author-eListParagraph"/>
        <w:numPr>
          <w:ilvl w:val="0"/>
          <w:numId w:val="1168"/>
        </w:numPr>
      </w:pPr>
      <w:r>
        <w:t>Type d'ancrage :</w:t>
      </w:r>
      <w:r>
        <w:rPr>
          <w:rStyle w:val="optioncarChar"/>
        </w:rPr>
        <w:t xml:space="preserve"> agrafes porteuses réglables </w:t>
      </w:r>
      <w:r>
        <w:t>(par défaut)</w:t>
      </w:r>
      <w:r>
        <w:rPr>
          <w:rStyle w:val="optioncarChar"/>
        </w:rPr>
        <w:t xml:space="preserve"> / ***</w:t>
      </w:r>
    </w:p>
    <w:p w14:paraId="01DF94B6" w14:textId="77777777" w:rsidR="00DF410E" w:rsidRDefault="00CE7F43">
      <w:pPr>
        <w:ind w:left="567"/>
        <w:jc w:val="both"/>
      </w:pPr>
      <w:r>
        <w:rPr>
          <w:b/>
        </w:rPr>
        <w:t>(soit par défaut)</w:t>
      </w:r>
    </w:p>
    <w:p w14:paraId="7958BB58" w14:textId="77777777" w:rsidR="00DF410E" w:rsidRDefault="00CE7F43">
      <w:pPr>
        <w:ind w:left="567"/>
        <w:jc w:val="both"/>
      </w:pPr>
      <w:r>
        <w:rPr>
          <w:rStyle w:val="soitChar"/>
          <w:u w:val="single"/>
        </w:rPr>
        <w:t xml:space="preserve">Les agrafes porteuses réglables </w:t>
      </w:r>
      <w:r>
        <w:rPr>
          <w:color w:val="33CCCC"/>
        </w:rPr>
        <w:t xml:space="preserve"> en trois dimensions, qui sont également les contrevents, sont constituées d’une console de support composée et réglable avec, côté panneau, un ergot à manchon coulissant et, côté mur, un boulon d’ancrage ou un ancrage chimique. Les panneaux supérieurs sont pourvus de contrevents constitués d’un élément de fixation à ergot et manchon coulissant et boulon d’ancrage correspondant. La fixation, côté mur, se fait dans une cheville d’ancrage préforée ou une ouverture d’un diamètre approprié. Dans les panneaux de revêtement sont forés des évidements d’un diamètre et d’une profondeur appropriés pour l’introduction de l’ergot et du manchon coulissant.</w:t>
      </w:r>
    </w:p>
    <w:p w14:paraId="5C1805C5" w14:textId="77777777" w:rsidR="00DF410E" w:rsidRDefault="00CE7F43">
      <w:pPr>
        <w:ind w:left="567"/>
        <w:jc w:val="both"/>
      </w:pPr>
      <w:r>
        <w:rPr>
          <w:b/>
        </w:rPr>
        <w:t>(soit)</w:t>
      </w:r>
    </w:p>
    <w:p w14:paraId="20A24F94" w14:textId="77777777" w:rsidR="00DF410E" w:rsidRDefault="00CE7F43">
      <w:pPr>
        <w:ind w:left="567"/>
        <w:jc w:val="both"/>
      </w:pPr>
      <w:r>
        <w:rPr>
          <w:rStyle w:val="optioncarChar"/>
        </w:rPr>
        <w:t>***</w:t>
      </w:r>
    </w:p>
    <w:p w14:paraId="0DD3A1A8" w14:textId="77777777" w:rsidR="00DF410E" w:rsidRDefault="00CE7F43">
      <w:pPr>
        <w:jc w:val="both"/>
      </w:pPr>
      <w:r>
        <w:rPr>
          <w:b/>
        </w:rPr>
        <w:t>Joints :</w:t>
      </w:r>
    </w:p>
    <w:p w14:paraId="0AED690D" w14:textId="77777777" w:rsidR="00DF410E" w:rsidRDefault="00CE7F43">
      <w:pPr>
        <w:pStyle w:val="Author-eListParagraph"/>
        <w:numPr>
          <w:ilvl w:val="0"/>
          <w:numId w:val="1169"/>
        </w:numPr>
      </w:pPr>
      <w:r>
        <w:t xml:space="preserve">Avec produit de jointoiement : </w:t>
      </w:r>
      <w:r>
        <w:rPr>
          <w:rStyle w:val="optioncarChar"/>
        </w:rPr>
        <w:t>oui</w:t>
      </w:r>
      <w:r>
        <w:t xml:space="preserve"> (par défaut) </w:t>
      </w:r>
      <w:r>
        <w:rPr>
          <w:rStyle w:val="optioncarChar"/>
        </w:rPr>
        <w:t>/ non</w:t>
      </w:r>
    </w:p>
    <w:p w14:paraId="50E3C1FB" w14:textId="77777777" w:rsidR="00DF410E" w:rsidRDefault="00CE7F43">
      <w:pPr>
        <w:pStyle w:val="Author-eListParagraph"/>
        <w:numPr>
          <w:ilvl w:val="0"/>
          <w:numId w:val="1169"/>
        </w:numPr>
      </w:pPr>
      <w:r>
        <w:t xml:space="preserve">Joints courants le cas échéant : </w:t>
      </w:r>
      <w:r>
        <w:rPr>
          <w:rStyle w:val="optioncarChar"/>
        </w:rPr>
        <w:t>mortier de liants hydraulique</w:t>
      </w:r>
      <w:r>
        <w:t xml:space="preserve"> (par défaut)</w:t>
      </w:r>
      <w:r>
        <w:rPr>
          <w:rStyle w:val="optioncarChar"/>
        </w:rPr>
        <w:t xml:space="preserve"> / mortiers de résines (époxy ou polyester) / mastics / ***</w:t>
      </w:r>
    </w:p>
    <w:p w14:paraId="4C95A51B" w14:textId="77777777" w:rsidR="00DF410E" w:rsidRDefault="00CE7F43">
      <w:pPr>
        <w:ind w:left="567"/>
        <w:jc w:val="both"/>
      </w:pPr>
      <w:r>
        <w:rPr>
          <w:b/>
        </w:rPr>
        <w:t>(soit par défaut)</w:t>
      </w:r>
    </w:p>
    <w:p w14:paraId="23EBDE5E" w14:textId="77777777" w:rsidR="00DF410E" w:rsidRDefault="00CE7F43">
      <w:pPr>
        <w:ind w:left="567"/>
        <w:jc w:val="both"/>
      </w:pPr>
      <w:r>
        <w:rPr>
          <w:rStyle w:val="soitChar"/>
          <w:u w:val="single"/>
        </w:rPr>
        <w:t>Mortier de liant hydraulique</w:t>
      </w:r>
    </w:p>
    <w:p w14:paraId="2ABE82A8" w14:textId="77777777" w:rsidR="00DF410E" w:rsidRDefault="00CE7F43">
      <w:pPr>
        <w:ind w:left="567"/>
        <w:jc w:val="both"/>
      </w:pPr>
      <w:r>
        <w:rPr>
          <w:b/>
        </w:rPr>
        <w:t>(soit)</w:t>
      </w:r>
    </w:p>
    <w:p w14:paraId="69A73DF2" w14:textId="77777777" w:rsidR="00DF410E" w:rsidRDefault="00CE7F43">
      <w:pPr>
        <w:ind w:left="567"/>
        <w:jc w:val="both"/>
      </w:pPr>
      <w:r>
        <w:rPr>
          <w:rStyle w:val="soitChar"/>
          <w:u w:val="single"/>
        </w:rPr>
        <w:t>Mortiers de résines (époxy ou polyester)</w:t>
      </w:r>
      <w:r>
        <w:rPr>
          <w:rStyle w:val="soitChar"/>
        </w:rPr>
        <w:t>. Ces mortiers possèdent des caractéristiques aussi bien physiques que mécaniques bien supérieures à celles des mortiers ordinaires à base de liants hydrauliques, notamment en ce qui concerne la résistance aux vibrations, aux chocs et à l'impact, la résistance aux variations thermiques, la résistance à l'eau ainsi qu'à un grand nombre de produits chimiques.</w:t>
      </w:r>
    </w:p>
    <w:p w14:paraId="500061BA" w14:textId="77777777" w:rsidR="00DF410E" w:rsidRDefault="00CE7F43">
      <w:pPr>
        <w:ind w:left="567"/>
        <w:jc w:val="both"/>
      </w:pPr>
      <w:r>
        <w:rPr>
          <w:b/>
        </w:rPr>
        <w:t>(soit par défaut)</w:t>
      </w:r>
    </w:p>
    <w:p w14:paraId="39B1FD3B" w14:textId="77777777" w:rsidR="00DF410E" w:rsidRDefault="00CE7F43">
      <w:pPr>
        <w:ind w:left="567"/>
        <w:jc w:val="both"/>
      </w:pPr>
      <w:r>
        <w:rPr>
          <w:rStyle w:val="soitChar"/>
          <w:u w:val="single"/>
        </w:rPr>
        <w:t>Mastic</w:t>
      </w:r>
    </w:p>
    <w:p w14:paraId="7C4C800B" w14:textId="77777777" w:rsidR="00DF410E" w:rsidRDefault="00CE7F43">
      <w:pPr>
        <w:ind w:left="567"/>
        <w:jc w:val="both"/>
      </w:pPr>
      <w:r>
        <w:rPr>
          <w:b/>
        </w:rPr>
        <w:t>(soit)</w:t>
      </w:r>
    </w:p>
    <w:p w14:paraId="1DD92E5E" w14:textId="77777777" w:rsidR="00DF410E" w:rsidRDefault="00CE7F43">
      <w:pPr>
        <w:ind w:left="567"/>
        <w:jc w:val="both"/>
      </w:pPr>
      <w:r>
        <w:rPr>
          <w:rStyle w:val="optioncarChar"/>
        </w:rPr>
        <w:t>***</w:t>
      </w:r>
    </w:p>
    <w:p w14:paraId="2FD4961B" w14:textId="77777777" w:rsidR="00DF410E" w:rsidRDefault="00CE7F43">
      <w:pPr>
        <w:pStyle w:val="Author-eListParagraph"/>
        <w:numPr>
          <w:ilvl w:val="0"/>
          <w:numId w:val="1170"/>
        </w:numPr>
      </w:pPr>
      <w:r>
        <w:t xml:space="preserve">Joints de dilatation ou de fractionnement : matériau conforme aux prescriptions du </w:t>
      </w:r>
      <w:hyperlink w:anchor="527" w:history="1">
        <w:r>
          <w:t>22.63.1 Joints de remplissage</w:t>
        </w:r>
      </w:hyperlink>
      <w:r>
        <w:t>.</w:t>
      </w:r>
    </w:p>
    <w:p w14:paraId="098F4801" w14:textId="77777777" w:rsidR="00DF410E" w:rsidRDefault="00CE7F43">
      <w:pPr>
        <w:jc w:val="both"/>
      </w:pPr>
      <w:r>
        <w:rPr>
          <w:b/>
        </w:rPr>
        <w:t>Comportement au feu :</w:t>
      </w:r>
    </w:p>
    <w:p w14:paraId="58C9F8B2" w14:textId="77777777" w:rsidR="00DF410E" w:rsidRDefault="00CE7F43">
      <w:pPr>
        <w:pStyle w:val="Author-eListParagraph"/>
        <w:numPr>
          <w:ilvl w:val="0"/>
          <w:numId w:val="1171"/>
        </w:numPr>
        <w:jc w:val="both"/>
      </w:pPr>
      <w:r>
        <w:t>Réaction au feu : Selon la [Décision 96/603/CE] et les conditions qui y sont reprises, la pierre appartient à la classe de réaction au feu A1.</w:t>
      </w:r>
    </w:p>
    <w:p w14:paraId="5756B68E" w14:textId="77777777" w:rsidR="00DF410E" w:rsidRDefault="00CE7F43">
      <w:pPr>
        <w:pStyle w:val="Author-eListParagraph"/>
        <w:numPr>
          <w:ilvl w:val="0"/>
          <w:numId w:val="1171"/>
        </w:numPr>
        <w:jc w:val="both"/>
      </w:pPr>
      <w:r>
        <w:t xml:space="preserve">Résistance au feu de l’élément : </w:t>
      </w:r>
      <w:r>
        <w:rPr>
          <w:rStyle w:val="optioncarChar"/>
        </w:rPr>
        <w:t>néant</w:t>
      </w:r>
      <w:r>
        <w:t xml:space="preserve"> (par défaut)</w:t>
      </w:r>
      <w:r>
        <w:rPr>
          <w:rStyle w:val="optioncarChar"/>
        </w:rPr>
        <w:t xml:space="preserve"> / E 30 / E 60 / E 120 /EI 30 / EI 60 / EI 120 selon la [NBN EN 13501-2]</w:t>
      </w:r>
      <w:r>
        <w:t>.</w:t>
      </w:r>
    </w:p>
    <w:p w14:paraId="34A64306" w14:textId="77777777" w:rsidR="00DF410E" w:rsidRDefault="00CE7F43">
      <w:pPr>
        <w:pStyle w:val="pheading"/>
      </w:pPr>
      <w:r>
        <w:t>- Finitions</w:t>
      </w:r>
    </w:p>
    <w:p w14:paraId="6966040F" w14:textId="77777777" w:rsidR="00DF410E" w:rsidRDefault="00CE7F43">
      <w:pPr>
        <w:jc w:val="both"/>
      </w:pPr>
      <w:r>
        <w:rPr>
          <w:b/>
        </w:rPr>
        <w:t>Pierre :</w:t>
      </w:r>
    </w:p>
    <w:p w14:paraId="09B6AD36" w14:textId="77777777" w:rsidR="00DF410E" w:rsidRDefault="00CE7F43">
      <w:pPr>
        <w:pStyle w:val="Author-eListParagraph"/>
        <w:numPr>
          <w:ilvl w:val="0"/>
          <w:numId w:val="1172"/>
        </w:numPr>
      </w:pPr>
      <w:r>
        <w:t xml:space="preserve">Traitement des surfaces : </w:t>
      </w:r>
      <w:r>
        <w:rPr>
          <w:rStyle w:val="optioncarChar"/>
        </w:rPr>
        <w:t>***</w:t>
      </w:r>
    </w:p>
    <w:p w14:paraId="401FAA76" w14:textId="77777777" w:rsidR="00DF410E" w:rsidRDefault="00CE7F43">
      <w:pPr>
        <w:pStyle w:val="Author-eListParagraph"/>
        <w:numPr>
          <w:ilvl w:val="0"/>
          <w:numId w:val="1172"/>
        </w:numPr>
      </w:pPr>
      <w:r>
        <w:t xml:space="preserve">Bords périphériques sur </w:t>
      </w:r>
      <w:r>
        <w:rPr>
          <w:rStyle w:val="optioncarChar"/>
        </w:rPr>
        <w:t>***</w:t>
      </w:r>
      <w:r>
        <w:t xml:space="preserve"> cm d’épaisseur .</w:t>
      </w:r>
    </w:p>
    <w:p w14:paraId="19DB5367" w14:textId="77777777" w:rsidR="00DF410E" w:rsidRDefault="00CE7F43">
      <w:pPr>
        <w:pStyle w:val="Author-eListParagraph"/>
        <w:numPr>
          <w:ilvl w:val="0"/>
          <w:numId w:val="1172"/>
        </w:numPr>
      </w:pPr>
      <w:r>
        <w:t xml:space="preserve">Terminaison des angles : </w:t>
      </w:r>
      <w:r>
        <w:rPr>
          <w:rStyle w:val="optioncarChar"/>
        </w:rPr>
        <w:t xml:space="preserve">pierre d’about en recouvrement avec retour visible dont la finition est identique à la finition extérieure </w:t>
      </w:r>
      <w:r>
        <w:t>(par défaut)</w:t>
      </w:r>
      <w:r>
        <w:rPr>
          <w:rStyle w:val="optioncarChar"/>
        </w:rPr>
        <w:t xml:space="preserve"> / réalisée à l’aide de pierres d’angle spécifiques en respectant la modulation exprimée dans les vues de façade / pierre d’about avec joint oblique muni d’une petite tête perpendiculaire à la face du parement / ***</w:t>
      </w:r>
      <w:r>
        <w:t>.</w:t>
      </w:r>
    </w:p>
    <w:p w14:paraId="0E1B446D" w14:textId="77777777" w:rsidR="00DF410E" w:rsidRDefault="00CE7F43">
      <w:pPr>
        <w:jc w:val="both"/>
      </w:pPr>
      <w:r>
        <w:rPr>
          <w:b/>
        </w:rPr>
        <w:t>Joint (le cas échéant) :</w:t>
      </w:r>
    </w:p>
    <w:p w14:paraId="471CD14E" w14:textId="77777777" w:rsidR="00DF410E" w:rsidRDefault="00CE7F43">
      <w:pPr>
        <w:pStyle w:val="Author-eListParagraph"/>
        <w:numPr>
          <w:ilvl w:val="0"/>
          <w:numId w:val="1173"/>
        </w:numPr>
        <w:jc w:val="both"/>
      </w:pPr>
      <w:r>
        <w:t xml:space="preserve">Teinte : </w:t>
      </w:r>
      <w:r>
        <w:rPr>
          <w:rStyle w:val="optioncarChar"/>
        </w:rPr>
        <w:t xml:space="preserve">similaire à celle de la pierre </w:t>
      </w:r>
      <w:r>
        <w:t>(par défaut)</w:t>
      </w:r>
      <w:r>
        <w:rPr>
          <w:rStyle w:val="optioncarChar"/>
        </w:rPr>
        <w:t xml:space="preserve"> / gris clair / blanc / ***</w:t>
      </w:r>
    </w:p>
    <w:p w14:paraId="379670A8" w14:textId="77777777" w:rsidR="00DF410E" w:rsidRDefault="00CE7F43">
      <w:pPr>
        <w:pStyle w:val="pheading"/>
      </w:pPr>
      <w:r>
        <w:t>EXÉCUTION / MISE EN ŒUVRE</w:t>
      </w:r>
    </w:p>
    <w:p w14:paraId="216CB646" w14:textId="77777777" w:rsidR="00DF410E" w:rsidRDefault="00CE7F43">
      <w:pPr>
        <w:pStyle w:val="pheading"/>
      </w:pPr>
      <w:r>
        <w:t>- Prescriptions générales</w:t>
      </w:r>
    </w:p>
    <w:p w14:paraId="62995BB7" w14:textId="77777777" w:rsidR="00DF410E" w:rsidRDefault="00CE7F43">
      <w:pPr>
        <w:jc w:val="both"/>
      </w:pPr>
      <w:r>
        <w:t xml:space="preserve">Les panneaux sont disposés </w:t>
      </w:r>
      <w:r>
        <w:rPr>
          <w:rStyle w:val="optioncarChar"/>
        </w:rPr>
        <w:t xml:space="preserve">conformément au dessin des plans d’exécution approuvés </w:t>
      </w:r>
      <w:r>
        <w:t>(par défaut)</w:t>
      </w:r>
      <w:r>
        <w:rPr>
          <w:rStyle w:val="optioncarChar"/>
        </w:rPr>
        <w:t xml:space="preserve"> / à joints verticaux continus / à joints verticaux alternés / ***.</w:t>
      </w:r>
    </w:p>
    <w:p w14:paraId="306075D7" w14:textId="77777777" w:rsidR="00DF410E" w:rsidRDefault="00CE7F43">
      <w:pPr>
        <w:jc w:val="both"/>
      </w:pPr>
      <w:r>
        <w:t xml:space="preserve">La largeur des joints courant est ≥ à </w:t>
      </w:r>
      <w:r>
        <w:rPr>
          <w:rStyle w:val="optioncarChar"/>
        </w:rPr>
        <w:t xml:space="preserve">4 / 5 </w:t>
      </w:r>
      <w:r>
        <w:t>(par défaut)</w:t>
      </w:r>
      <w:r>
        <w:rPr>
          <w:rStyle w:val="optioncarChar"/>
        </w:rPr>
        <w:t xml:space="preserve"> / ***</w:t>
      </w:r>
      <w:r>
        <w:t xml:space="preserve"> mm.</w:t>
      </w:r>
    </w:p>
    <w:p w14:paraId="7F958454" w14:textId="77777777" w:rsidR="00DF410E" w:rsidRDefault="00CE7F43">
      <w:pPr>
        <w:jc w:val="both"/>
      </w:pPr>
      <w:r>
        <w:t xml:space="preserve">La largeur des joints de dilatation et de fractionnement est ≥ à </w:t>
      </w:r>
      <w:r>
        <w:rPr>
          <w:rStyle w:val="optioncarChar"/>
        </w:rPr>
        <w:t>8</w:t>
      </w:r>
      <w:r>
        <w:t xml:space="preserve"> (par défaut)</w:t>
      </w:r>
      <w:r>
        <w:rPr>
          <w:rStyle w:val="optioncarChar"/>
        </w:rPr>
        <w:t xml:space="preserve"> / ***</w:t>
      </w:r>
      <w:r>
        <w:t xml:space="preserve"> mm pour les joints horizontaux et ≥ à </w:t>
      </w:r>
      <w:r>
        <w:rPr>
          <w:rStyle w:val="optioncarChar"/>
        </w:rPr>
        <w:t>5</w:t>
      </w:r>
      <w:r>
        <w:t xml:space="preserve"> (par défaut) </w:t>
      </w:r>
      <w:r>
        <w:rPr>
          <w:rStyle w:val="optioncarChar"/>
        </w:rPr>
        <w:t>/ ***</w:t>
      </w:r>
      <w:r>
        <w:t xml:space="preserve"> mm pour les joints verticaux.</w:t>
      </w:r>
    </w:p>
    <w:p w14:paraId="260298CE" w14:textId="77777777" w:rsidR="00DF410E" w:rsidRDefault="00CE7F43">
      <w:pPr>
        <w:jc w:val="both"/>
      </w:pPr>
      <w:r>
        <w:t>Même s’il est décrit par ailleurs, le jointoiement est compris dans le prix unitaire de cet article.</w:t>
      </w:r>
    </w:p>
    <w:p w14:paraId="4CACEE47" w14:textId="77777777" w:rsidR="00DF410E" w:rsidRDefault="00CE7F43">
      <w:pPr>
        <w:pStyle w:val="pheading"/>
      </w:pPr>
      <w:r>
        <w:t>- Échantillons</w:t>
      </w:r>
    </w:p>
    <w:p w14:paraId="213DF2A9" w14:textId="77777777" w:rsidR="00DF410E" w:rsidRDefault="00CE7F43">
      <w:pPr>
        <w:jc w:val="both"/>
      </w:pPr>
      <w:r>
        <w:t xml:space="preserve">En ce qui concerne l'aspect, les coloris et la structure de la surface, il y a lieu de présenter au minimum </w:t>
      </w:r>
      <w:r>
        <w:rPr>
          <w:rStyle w:val="optioncarChar"/>
        </w:rPr>
        <w:t>3</w:t>
      </w:r>
      <w:r>
        <w:t xml:space="preserve"> (par défaut) </w:t>
      </w:r>
      <w:r>
        <w:rPr>
          <w:rStyle w:val="optioncarChar"/>
        </w:rPr>
        <w:t>/ ***</w:t>
      </w:r>
      <w:r>
        <w:t xml:space="preserve"> échantillons (échantillonnage contractuel) qui présentent respectivement l'aspect moyen et les deux aspects voisins de la fourniture. Ces échantillons sont représentatifs des pierres qui sont fournies et présentent donc toutes les particularités d’aspect (veines, trous, fils, …) qui ne sont pas considérées comme défauts.</w:t>
      </w:r>
    </w:p>
    <w:p w14:paraId="60930134" w14:textId="77777777" w:rsidR="00DF410E" w:rsidRDefault="00CE7F43">
      <w:pPr>
        <w:pStyle w:val="pheading"/>
      </w:pPr>
      <w:r>
        <w:t>DOCUMENTS DE RÉFÉRENCE COMPLÉMENTAIRES</w:t>
      </w:r>
    </w:p>
    <w:p w14:paraId="02A2107F" w14:textId="77777777" w:rsidR="00DF410E" w:rsidRDefault="00CE7F43">
      <w:pPr>
        <w:pStyle w:val="pheading"/>
      </w:pPr>
      <w:r>
        <w:t>- Matériau</w:t>
      </w:r>
    </w:p>
    <w:p w14:paraId="1E5F7B21" w14:textId="77777777" w:rsidR="00DF410E" w:rsidRDefault="00CE7F43">
      <w:r>
        <w:t>[NIT 220, La pierre bleue de Belgique dite petit granit d'âge géologique tournaisien (remplace la NIT 156).]</w:t>
      </w:r>
    </w:p>
    <w:p w14:paraId="50037429" w14:textId="77777777" w:rsidR="00DF410E" w:rsidRDefault="00CE7F43">
      <w:r>
        <w:t>[NBN EN 1469, Produits en pierre naturelle - Dalles de revêtement mural - Exigences]</w:t>
      </w:r>
    </w:p>
    <w:p w14:paraId="2F8C2B34" w14:textId="77777777" w:rsidR="00DF410E" w:rsidRDefault="00CE7F43">
      <w:pPr>
        <w:pStyle w:val="pheading"/>
      </w:pPr>
      <w:r>
        <w:t>MESURAGE</w:t>
      </w:r>
    </w:p>
    <w:p w14:paraId="2F62295B" w14:textId="77777777" w:rsidR="00DF410E" w:rsidRDefault="00CE7F43">
      <w:pPr>
        <w:pStyle w:val="pheading"/>
      </w:pPr>
      <w:r>
        <w:t>- unité de mesure:</w:t>
      </w:r>
    </w:p>
    <w:p w14:paraId="63D95C20" w14:textId="77777777" w:rsidR="00DF410E" w:rsidRDefault="00CE7F43">
      <w:r>
        <w:t>m²</w:t>
      </w:r>
    </w:p>
    <w:p w14:paraId="24B03030" w14:textId="77777777" w:rsidR="00DF410E" w:rsidRDefault="00CE7F43">
      <w:pPr>
        <w:pStyle w:val="pheading"/>
      </w:pPr>
      <w:r>
        <w:t>- code de mesurage:</w:t>
      </w:r>
    </w:p>
    <w:p w14:paraId="16355EE2" w14:textId="77777777" w:rsidR="00DF410E" w:rsidRDefault="00CE7F43">
      <w:pPr>
        <w:jc w:val="both"/>
      </w:pPr>
      <w:r>
        <w:t>Surface nette du parement à exécuter distinction faite suivant l’épaisseur et éventuellement la finition des plaques, y compris l’établissement des plans de calepinage et la fourniture des notes de calcul des ancrages, les mortiers de pose, les éléments d'ancrage, l'isolation contre l'humidité, les joints de dilatation, le rejointoiement, les mastics, etc…. Les plaques dont la surface est inférieure à 0,1 m² sont comptées pour 0,1 m². Les réservations dont la superficie est ˃ 0,5 m² sont déduites.</w:t>
      </w:r>
    </w:p>
    <w:p w14:paraId="1885B57B" w14:textId="77777777" w:rsidR="00DF410E" w:rsidRDefault="00CE7F43">
      <w:pPr>
        <w:pStyle w:val="pheading"/>
      </w:pPr>
      <w:r>
        <w:t>- nature du marché:</w:t>
      </w:r>
    </w:p>
    <w:p w14:paraId="5C8FFE0F" w14:textId="77777777" w:rsidR="00DF410E" w:rsidRDefault="00CE7F43">
      <w:r>
        <w:t>QF</w:t>
      </w:r>
    </w:p>
    <w:p w14:paraId="1B125F24" w14:textId="77777777" w:rsidR="00DF410E" w:rsidRDefault="00CE7F43">
      <w:pPr>
        <w:pStyle w:val="pheading"/>
      </w:pPr>
      <w:r>
        <w:t>AIDE</w:t>
      </w:r>
    </w:p>
    <w:p w14:paraId="2AD8ABD1" w14:textId="77777777" w:rsidR="00DF410E" w:rsidRDefault="00CE7F43">
      <w:r>
        <w:t>Résistance au feu de l'élément : support aux prescripteurs : [SWL GSI/T1/C].</w:t>
      </w:r>
    </w:p>
    <w:p w14:paraId="55442C31" w14:textId="77777777" w:rsidR="00DF410E" w:rsidRDefault="00CE7F43">
      <w:pPr>
        <w:pStyle w:val="Author-eSectionHeading6"/>
      </w:pPr>
      <w:bookmarkStart w:id="2122" w:name="_Toc178839160"/>
      <w:r>
        <w:t>28.11.1b Revêtements de façade en panneaux de pierre composée CCTB 01.04</w:t>
      </w:r>
      <w:bookmarkEnd w:id="2122"/>
    </w:p>
    <w:p w14:paraId="336047A4" w14:textId="77777777" w:rsidR="00DF410E" w:rsidRDefault="00CE7F43">
      <w:pPr>
        <w:pStyle w:val="Author-eSectionHeading3"/>
      </w:pPr>
      <w:bookmarkStart w:id="2123" w:name="_Toc178839161"/>
      <w:r>
        <w:t>28.2 Revêtements de façade en panneaux préfabriqués en béton CCTB 01.04</w:t>
      </w:r>
      <w:bookmarkEnd w:id="2123"/>
    </w:p>
    <w:p w14:paraId="0FA93161" w14:textId="77777777" w:rsidR="00DF410E" w:rsidRDefault="00CE7F43">
      <w:pPr>
        <w:pStyle w:val="Author-eSectionHeading4"/>
      </w:pPr>
      <w:bookmarkStart w:id="2124" w:name="_Toc178839162"/>
      <w:r>
        <w:t>28.21 Revêtements de façade en panneaux préfabriqués en béton CCTB 01.04</w:t>
      </w:r>
      <w:bookmarkEnd w:id="2124"/>
    </w:p>
    <w:p w14:paraId="68D7FEB3" w14:textId="77777777" w:rsidR="00DF410E" w:rsidRDefault="00CE7F43">
      <w:pPr>
        <w:pStyle w:val="Author-eSectionHeading5"/>
      </w:pPr>
      <w:bookmarkStart w:id="2125" w:name="534"/>
      <w:bookmarkStart w:id="2126" w:name="_Toc178839163"/>
      <w:bookmarkEnd w:id="2125"/>
      <w:r>
        <w:t>28.21.1 Revêtements de façade en panneaux préfabriqués en béton CCTB 01.11</w:t>
      </w:r>
      <w:bookmarkEnd w:id="2126"/>
    </w:p>
    <w:p w14:paraId="4152F62A" w14:textId="77777777" w:rsidR="00DF410E" w:rsidRDefault="00CE7F43">
      <w:pPr>
        <w:pStyle w:val="pheading"/>
      </w:pPr>
      <w:r>
        <w:t>DESCRIPTION</w:t>
      </w:r>
    </w:p>
    <w:p w14:paraId="26BA7AA2" w14:textId="77777777" w:rsidR="00DF410E" w:rsidRDefault="00CE7F43">
      <w:pPr>
        <w:pStyle w:val="pheading"/>
      </w:pPr>
      <w:r>
        <w:t>- Définition / Comprend</w:t>
      </w:r>
    </w:p>
    <w:p w14:paraId="5AFF565E" w14:textId="77777777" w:rsidR="00DF410E" w:rsidRDefault="00CE7F43">
      <w:pPr>
        <w:jc w:val="both"/>
      </w:pPr>
      <w:r>
        <w:t>Il s'agit de tous les travaux et fournitures pour la réalisation des revêtements de façade en panneaux de béton dont la préfabrication en usine est obligatoire et qui sont ensuite assemblés à d’autres éléments de construction sur chantier.</w:t>
      </w:r>
    </w:p>
    <w:p w14:paraId="10A132DC" w14:textId="77777777" w:rsidR="00DF410E" w:rsidRDefault="00CE7F43">
      <w:pPr>
        <w:jc w:val="both"/>
      </w:pPr>
      <w:r>
        <w:t>Les travaux comprennent notamment :</w:t>
      </w:r>
    </w:p>
    <w:p w14:paraId="1328EC2E" w14:textId="77777777" w:rsidR="00DF410E" w:rsidRDefault="00CE7F43">
      <w:pPr>
        <w:pStyle w:val="Author-eListParagraph"/>
        <w:numPr>
          <w:ilvl w:val="0"/>
          <w:numId w:val="1174"/>
        </w:numPr>
        <w:jc w:val="both"/>
      </w:pPr>
      <w:r>
        <w:t>sur base des plans d’architecture annexés au dossier, l’établissement des plans d’exécution et la fourniture des notes de calcul à l’approbation de la direction du chantier ;</w:t>
      </w:r>
    </w:p>
    <w:p w14:paraId="23F9546A" w14:textId="77777777" w:rsidR="00DF410E" w:rsidRDefault="00CE7F43">
      <w:pPr>
        <w:pStyle w:val="Author-eListParagraph"/>
        <w:numPr>
          <w:ilvl w:val="0"/>
          <w:numId w:val="1174"/>
        </w:numPr>
        <w:jc w:val="both"/>
      </w:pPr>
      <w:r>
        <w:t>la préfabrication des éléments conformément à la forme, aux dimensions et à la finition prescrite ;</w:t>
      </w:r>
    </w:p>
    <w:p w14:paraId="2F2826B9" w14:textId="77777777" w:rsidR="00DF410E" w:rsidRDefault="00CE7F43">
      <w:pPr>
        <w:pStyle w:val="Author-eListParagraph"/>
        <w:numPr>
          <w:ilvl w:val="0"/>
          <w:numId w:val="1174"/>
        </w:numPr>
        <w:jc w:val="both"/>
      </w:pPr>
      <w:r>
        <w:t>l’insertion éventuelle de réservations dans le béton ;</w:t>
      </w:r>
    </w:p>
    <w:p w14:paraId="3262543C" w14:textId="77777777" w:rsidR="00DF410E" w:rsidRDefault="00CE7F43">
      <w:pPr>
        <w:pStyle w:val="Author-eListParagraph"/>
        <w:numPr>
          <w:ilvl w:val="0"/>
          <w:numId w:val="1174"/>
        </w:numPr>
        <w:jc w:val="both"/>
      </w:pPr>
      <w:r>
        <w:t>la préparation du support et/ou des appuis ;</w:t>
      </w:r>
    </w:p>
    <w:p w14:paraId="01465126" w14:textId="77777777" w:rsidR="00DF410E" w:rsidRDefault="00CE7F43">
      <w:pPr>
        <w:pStyle w:val="Author-eListParagraph"/>
        <w:numPr>
          <w:ilvl w:val="0"/>
          <w:numId w:val="1174"/>
        </w:numPr>
        <w:jc w:val="both"/>
      </w:pPr>
      <w:r>
        <w:t>les mesures de protection du parement pendant l’exécution des travaux ;</w:t>
      </w:r>
    </w:p>
    <w:p w14:paraId="01A3DFFF" w14:textId="77777777" w:rsidR="00DF410E" w:rsidRDefault="00CE7F43">
      <w:pPr>
        <w:pStyle w:val="Author-eListParagraph"/>
        <w:numPr>
          <w:ilvl w:val="0"/>
          <w:numId w:val="1174"/>
        </w:numPr>
        <w:jc w:val="both"/>
      </w:pPr>
      <w:r>
        <w:t>le transport et la mise en œuvre des éléments préfabriqués sur les constructions attenantes ;</w:t>
      </w:r>
    </w:p>
    <w:p w14:paraId="06D4EE2B" w14:textId="77777777" w:rsidR="00DF410E" w:rsidRDefault="00CE7F43">
      <w:pPr>
        <w:pStyle w:val="Author-eListParagraph"/>
        <w:numPr>
          <w:ilvl w:val="0"/>
          <w:numId w:val="1174"/>
        </w:numPr>
        <w:jc w:val="both"/>
      </w:pPr>
      <w:r>
        <w:t>la disposition, le réglage et l’ancrage des différents éléments à la construction portante, y compris tous les moyens de fixation et d’appui, tous les dispositifs de rupture thermique et les joints de dilatation ;</w:t>
      </w:r>
    </w:p>
    <w:p w14:paraId="31C18CE6" w14:textId="77777777" w:rsidR="00DF410E" w:rsidRDefault="00CE7F43">
      <w:pPr>
        <w:pStyle w:val="Author-eListParagraph"/>
        <w:numPr>
          <w:ilvl w:val="0"/>
          <w:numId w:val="1174"/>
        </w:numPr>
        <w:jc w:val="both"/>
      </w:pPr>
      <w:r>
        <w:t>le remplissage au béton, le rejointoiement et/ou le colmatage des joints ;</w:t>
      </w:r>
    </w:p>
    <w:p w14:paraId="69471144" w14:textId="77777777" w:rsidR="00DF410E" w:rsidRDefault="00CE7F43">
      <w:pPr>
        <w:pStyle w:val="Author-eListParagraph"/>
        <w:numPr>
          <w:ilvl w:val="0"/>
          <w:numId w:val="1174"/>
        </w:numPr>
        <w:jc w:val="both"/>
      </w:pPr>
      <w:r>
        <w:t>les dispositions relatives à la sécurité liées à la manutention et la pose des éléments préfabriqués en béton pondéreux font l’objet d’un descriptif complet de l’entrepreneur à soumettre pour approbation préalable du coordinateur sécurité &amp; santé.</w:t>
      </w:r>
    </w:p>
    <w:p w14:paraId="666E49E6" w14:textId="77777777" w:rsidR="00DF410E" w:rsidRDefault="00CE7F43">
      <w:pPr>
        <w:pStyle w:val="pheading"/>
      </w:pPr>
      <w:r>
        <w:t>MATÉRIAUX</w:t>
      </w:r>
    </w:p>
    <w:p w14:paraId="3015E17C" w14:textId="77777777" w:rsidR="00DF410E" w:rsidRDefault="00CE7F43">
      <w:pPr>
        <w:jc w:val="both"/>
      </w:pPr>
      <w:r>
        <w:t>Les éléments en béton armé architectonique préfabriqués sont exécutés de manière à rester apparents sans qu'une autre finition que le traitement ultérieur éventuellement prévu ne soit nécessaire. Pour que la couleur de la surface des éléments en béton soit toujours homogène, les mélanges de béton successifs sont toujours de la même composition et de la même consistance</w:t>
      </w:r>
    </w:p>
    <w:p w14:paraId="52781F39" w14:textId="77777777" w:rsidR="00DF410E" w:rsidRDefault="00CE7F43">
      <w:pPr>
        <w:jc w:val="both"/>
      </w:pPr>
      <w:r>
        <w:rPr>
          <w:b/>
        </w:rPr>
        <w:t>Constituants des bétons</w:t>
      </w:r>
    </w:p>
    <w:p w14:paraId="6552AAFE" w14:textId="77777777" w:rsidR="00DF410E" w:rsidRDefault="00CE7F43">
      <w:pPr>
        <w:jc w:val="both"/>
      </w:pPr>
      <w:r>
        <w:t>Outre l'obligation de répondre aux conditions d'aspect, les agrégats employés présentent toutes les garanties de durabilité en présence du ciment et ne sont pas gélifs. Il ne peut y avoir d'éléments dont la composition provoquerait à la longue être à l'origine de taches quelconques.</w:t>
      </w:r>
    </w:p>
    <w:p w14:paraId="2F76B195" w14:textId="77777777" w:rsidR="00DF410E" w:rsidRDefault="00CE7F43">
      <w:pPr>
        <w:jc w:val="both"/>
      </w:pPr>
      <w:r>
        <w:rPr>
          <w:b/>
        </w:rPr>
        <w:t>Coffrage – aspect des éléments</w:t>
      </w:r>
    </w:p>
    <w:p w14:paraId="77877CC3" w14:textId="77777777" w:rsidR="00DF410E" w:rsidRDefault="00CE7F43">
      <w:pPr>
        <w:jc w:val="both"/>
      </w:pPr>
      <w:r>
        <w:t>Les coffrages sont réalisés à l'aide de moules d'une qualité telle qu'ils garantissent l'obtention d'un aspect répondant aux prescriptions suivantes :</w:t>
      </w:r>
    </w:p>
    <w:p w14:paraId="23CA4AAA" w14:textId="77777777" w:rsidR="00DF410E" w:rsidRDefault="00CE7F43">
      <w:pPr>
        <w:pStyle w:val="Author-eListParagraph"/>
        <w:numPr>
          <w:ilvl w:val="0"/>
          <w:numId w:val="1175"/>
        </w:numPr>
      </w:pPr>
      <w:r>
        <w:t>Toutes les faces apparentes sont parfaitement lisses lors du décoffrage ;</w:t>
      </w:r>
    </w:p>
    <w:p w14:paraId="229F1F1F" w14:textId="77777777" w:rsidR="00DF410E" w:rsidRDefault="00CE7F43">
      <w:pPr>
        <w:pStyle w:val="Author-eListParagraph"/>
        <w:numPr>
          <w:ilvl w:val="0"/>
          <w:numId w:val="1175"/>
        </w:numPr>
      </w:pPr>
      <w:r>
        <w:t>Les arêtes sont vives, sans défauts ni ébréchures ;</w:t>
      </w:r>
    </w:p>
    <w:p w14:paraId="4D79A70D" w14:textId="77777777" w:rsidR="00DF410E" w:rsidRDefault="00CE7F43">
      <w:pPr>
        <w:pStyle w:val="Author-eListParagraph"/>
        <w:numPr>
          <w:ilvl w:val="0"/>
          <w:numId w:val="1175"/>
        </w:numPr>
      </w:pPr>
      <w:r>
        <w:t>Toutes les faces apparentes sont parfaitement planes et d'un fini impeccable. Toutes les ébréchures ou imperfections de ces faces sont un motif suffisant de refus des pièces endommagées ;</w:t>
      </w:r>
    </w:p>
    <w:p w14:paraId="4F0A7FCE" w14:textId="77777777" w:rsidR="00DF410E" w:rsidRDefault="00CE7F43">
      <w:pPr>
        <w:pStyle w:val="Author-eListParagraph"/>
        <w:numPr>
          <w:ilvl w:val="0"/>
          <w:numId w:val="1175"/>
        </w:numPr>
      </w:pPr>
      <w:r>
        <w:t>Toutes les faces éventuellement en contact avec le béton armé coulé en place sont rugueuses. Au besoin, elles sont bouchardées pour assurer une solidarité parfaite ;</w:t>
      </w:r>
    </w:p>
    <w:p w14:paraId="60D5D2C2" w14:textId="77777777" w:rsidR="00DF410E" w:rsidRDefault="00CE7F43">
      <w:pPr>
        <w:pStyle w:val="Author-eListParagraph"/>
        <w:numPr>
          <w:ilvl w:val="0"/>
          <w:numId w:val="1175"/>
        </w:numPr>
      </w:pPr>
      <w:r>
        <w:t>Les retouches de faible importance, exécutées par un spécialiste, ne sont tolérées qu'après accord préalable de la direction du chantier ;</w:t>
      </w:r>
    </w:p>
    <w:p w14:paraId="06033CEA" w14:textId="77777777" w:rsidR="00DF410E" w:rsidRDefault="00CE7F43">
      <w:pPr>
        <w:pStyle w:val="Author-eListParagraph"/>
        <w:numPr>
          <w:ilvl w:val="0"/>
          <w:numId w:val="1175"/>
        </w:numPr>
      </w:pPr>
      <w:r>
        <w:t>Toutes les précautions sont prises pour que les attaches, fers en attente, crochets de levage éventuels, ... ne donnent lieu à aucune trace de rouille. Ces éléments sont protégés durablement contre la corrosion ;</w:t>
      </w:r>
    </w:p>
    <w:p w14:paraId="454487B8" w14:textId="77777777" w:rsidR="00DF410E" w:rsidRDefault="00CE7F43">
      <w:pPr>
        <w:pStyle w:val="Author-eListParagraph"/>
        <w:numPr>
          <w:ilvl w:val="0"/>
          <w:numId w:val="1175"/>
        </w:numPr>
      </w:pPr>
      <w:r>
        <w:t>Le fabricant garantit l'aspect et la tenue impeccable dans le temps, sans trace de faïençage, pendant 10 ans.</w:t>
      </w:r>
    </w:p>
    <w:p w14:paraId="711765D9" w14:textId="77777777" w:rsidR="00DF410E" w:rsidRDefault="00CE7F43">
      <w:pPr>
        <w:jc w:val="both"/>
      </w:pPr>
      <w:r>
        <w:rPr>
          <w:b/>
        </w:rPr>
        <w:t>Armatures</w:t>
      </w:r>
    </w:p>
    <w:p w14:paraId="29AB2507" w14:textId="77777777" w:rsidR="00DF410E" w:rsidRDefault="00CE7F43">
      <w:pPr>
        <w:jc w:val="both"/>
      </w:pPr>
      <w:r>
        <w:t>Le diamètre et la section des armatures est déterminée par le fabricant des panneaux en fonction des sollicitations prévues. L’étude est soumise à l’approbation de la direction du chantier.</w:t>
      </w:r>
    </w:p>
    <w:p w14:paraId="25B8464D" w14:textId="77777777" w:rsidR="00DF410E" w:rsidRDefault="00CE7F43">
      <w:pPr>
        <w:jc w:val="both"/>
      </w:pPr>
      <w:r>
        <w:t>Les treillis d'armature sont ligaturés ou soudés électriquement, à l'exclusion de toute autre méthode de soudage non admise par les normes.</w:t>
      </w:r>
    </w:p>
    <w:p w14:paraId="296DB9C3" w14:textId="77777777" w:rsidR="00DF410E" w:rsidRDefault="00CE7F43">
      <w:pPr>
        <w:jc w:val="both"/>
      </w:pPr>
      <w:r>
        <w:t>Pour tous les éléments exposés aux intempéries, l’enrobage de l'armature est ≥ à 40 mm, mesurés au point le plus bas de la couche décorative.</w:t>
      </w:r>
    </w:p>
    <w:p w14:paraId="717C33BF" w14:textId="77777777" w:rsidR="00DF410E" w:rsidRDefault="00CE7F43">
      <w:pPr>
        <w:jc w:val="both"/>
      </w:pPr>
      <w:r>
        <w:t>Le calcul de l'armature tient compte de toutes les sollicitations possibles et des coefficients de sécurité appropriés. Les sollicitations suivantes sont plus particulièrement prises en considération :</w:t>
      </w:r>
    </w:p>
    <w:p w14:paraId="44DA1249" w14:textId="77777777" w:rsidR="00DF410E" w:rsidRDefault="00CE7F43">
      <w:pPr>
        <w:pStyle w:val="Author-eListParagraph"/>
        <w:numPr>
          <w:ilvl w:val="0"/>
          <w:numId w:val="1176"/>
        </w:numPr>
      </w:pPr>
      <w:r>
        <w:t>décoffrage de l'élément lorsque le béton est encore jeune ;</w:t>
      </w:r>
    </w:p>
    <w:p w14:paraId="7CFC4392" w14:textId="77777777" w:rsidR="00DF410E" w:rsidRDefault="00CE7F43">
      <w:pPr>
        <w:pStyle w:val="Author-eListParagraph"/>
        <w:numPr>
          <w:ilvl w:val="0"/>
          <w:numId w:val="1176"/>
        </w:numPr>
      </w:pPr>
      <w:r>
        <w:t>finition, chargement et transport ;</w:t>
      </w:r>
    </w:p>
    <w:p w14:paraId="74B93C0F" w14:textId="77777777" w:rsidR="00DF410E" w:rsidRDefault="00CE7F43">
      <w:pPr>
        <w:pStyle w:val="Author-eListParagraph"/>
        <w:numPr>
          <w:ilvl w:val="0"/>
          <w:numId w:val="1176"/>
        </w:numPr>
      </w:pPr>
      <w:r>
        <w:t>montage et fixation provisoire ;</w:t>
      </w:r>
    </w:p>
    <w:p w14:paraId="01420DC1" w14:textId="77777777" w:rsidR="00DF410E" w:rsidRDefault="00CE7F43">
      <w:pPr>
        <w:pStyle w:val="Author-eListParagraph"/>
        <w:numPr>
          <w:ilvl w:val="0"/>
          <w:numId w:val="1176"/>
        </w:numPr>
      </w:pPr>
      <w:r>
        <w:t>charges auxquelles l'élément est soumis dans le bâtiment du fait de son rôle : charge verticale, moment, vent, etc...</w:t>
      </w:r>
    </w:p>
    <w:p w14:paraId="5E1653CB" w14:textId="77777777" w:rsidR="00DF410E" w:rsidRDefault="00CE7F43">
      <w:pPr>
        <w:jc w:val="both"/>
      </w:pPr>
      <w:r>
        <w:rPr>
          <w:b/>
        </w:rPr>
        <w:t>Fixations</w:t>
      </w:r>
    </w:p>
    <w:p w14:paraId="199972CF" w14:textId="77777777" w:rsidR="00DF410E" w:rsidRDefault="00CE7F43">
      <w:pPr>
        <w:jc w:val="both"/>
      </w:pPr>
      <w:r>
        <w:t>Les fixations sont obligatoirement inoxydables dans leur masse et inattaquables par les agents chimiques véhiculés par l'eau. Les matériaux recouverts d'une couche anti-corrosive sont exclus.</w:t>
      </w:r>
    </w:p>
    <w:p w14:paraId="2ED628E5" w14:textId="77777777" w:rsidR="00DF410E" w:rsidRDefault="00CE7F43">
      <w:pPr>
        <w:jc w:val="both"/>
      </w:pPr>
      <w:r>
        <w:t>Les différentes parties métalliques des fixations sont de nature à ne pas établir un couple électrochimique.</w:t>
      </w:r>
    </w:p>
    <w:p w14:paraId="68EBADC9" w14:textId="77777777" w:rsidR="00DF410E" w:rsidRDefault="00CE7F43">
      <w:pPr>
        <w:pStyle w:val="pheading"/>
      </w:pPr>
      <w:r>
        <w:t>EXÉCUTION / MISE EN ŒUVRE</w:t>
      </w:r>
    </w:p>
    <w:p w14:paraId="3476D4A2" w14:textId="77777777" w:rsidR="00DF410E" w:rsidRDefault="00CE7F43">
      <w:pPr>
        <w:jc w:val="both"/>
      </w:pPr>
      <w:r>
        <w:rPr>
          <w:b/>
        </w:rPr>
        <w:t>Généralités</w:t>
      </w:r>
    </w:p>
    <w:p w14:paraId="4DC811CF" w14:textId="77777777" w:rsidR="00DF410E" w:rsidRDefault="00CE7F43">
      <w:pPr>
        <w:jc w:val="both"/>
      </w:pPr>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  </w:t>
      </w:r>
    </w:p>
    <w:p w14:paraId="0F600C91" w14:textId="77777777" w:rsidR="00DF410E" w:rsidRDefault="00CE7F43">
      <w:pPr>
        <w:jc w:val="both"/>
      </w:pPr>
      <w:r>
        <w:t>Les éléments sont fabriqués en usine par des ouvriers qualifiés spécialisés et sous contrôle permanent.</w:t>
      </w:r>
    </w:p>
    <w:p w14:paraId="72CECC66" w14:textId="77777777" w:rsidR="00DF410E" w:rsidRDefault="00CE7F43">
      <w:pPr>
        <w:jc w:val="both"/>
      </w:pPr>
      <w:r>
        <w:t>Le fabricant et l’entrepreneur veillent à ce que les éléments soient parfaitement compatibles et ajustables aux autres éléments constitutifs, structurels, techniques et de finition de l’ouvrage de construction.</w:t>
      </w:r>
    </w:p>
    <w:p w14:paraId="028447F7" w14:textId="77777777" w:rsidR="00DF410E" w:rsidRDefault="00CE7F43">
      <w:pPr>
        <w:jc w:val="both"/>
      </w:pPr>
      <w:r>
        <w:t>L’entrepreneur coordonne l’ensemble de l’ouvrage de construction de manière, que de tout temps, et pendant toute la durée des manipulations nécessaires et possibles des divers éléments, la stabilité de l’ensemble et de chaque élément en particulier soit garantie en permanence.</w:t>
      </w:r>
    </w:p>
    <w:p w14:paraId="27C97937" w14:textId="77777777" w:rsidR="00DF410E" w:rsidRDefault="00CE7F43">
      <w:pPr>
        <w:jc w:val="both"/>
      </w:pPr>
      <w:r>
        <w:rPr>
          <w:b/>
        </w:rPr>
        <w:t>Stockage et manutention sur le chantier</w:t>
      </w:r>
    </w:p>
    <w:p w14:paraId="773C0C72" w14:textId="77777777" w:rsidR="00DF410E" w:rsidRDefault="00CE7F43">
      <w:pPr>
        <w:jc w:val="both"/>
      </w:pPr>
      <w:r>
        <w:t>Tant le stockage que la manutention des éléments sont conformes au [PTV 21-601] § 6.3.</w:t>
      </w:r>
    </w:p>
    <w:p w14:paraId="55B65D9C" w14:textId="77777777" w:rsidR="00DF410E" w:rsidRDefault="00CE7F43">
      <w:pPr>
        <w:jc w:val="both"/>
      </w:pPr>
      <w:r>
        <w:t>Le levage des éléments est réalisé en utilisant les points de levage prévus par le fabricant et indiqués sur les plans. Les éventuels accessoires prévus par le fabricant sont utilisés suivant les prescriptions du matériel livré. </w:t>
      </w:r>
    </w:p>
    <w:p w14:paraId="50320E9A" w14:textId="77777777" w:rsidR="00DF410E" w:rsidRDefault="00CE7F43">
      <w:pPr>
        <w:jc w:val="both"/>
      </w:pPr>
      <w:r>
        <w:rPr>
          <w:b/>
        </w:rPr>
        <w:t>Montage</w:t>
      </w:r>
    </w:p>
    <w:p w14:paraId="2B66F71F" w14:textId="77777777" w:rsidR="00DF410E" w:rsidRDefault="00CE7F43">
      <w:pPr>
        <w:jc w:val="both"/>
      </w:pPr>
      <w:r>
        <w:t>Le montage des éléments est confié à une entreprise disposant du personnel compétent, des équipements adaptés et du matériel de levage.</w:t>
      </w:r>
    </w:p>
    <w:p w14:paraId="28233D8D" w14:textId="77777777" w:rsidR="00DF410E" w:rsidRDefault="00CE7F43">
      <w:pPr>
        <w:jc w:val="both"/>
      </w:pPr>
      <w:r>
        <w:t>L’entrepreneur assure une collaboration efficace entre l’organisation du montage, le planning de production, les prescriptions du chantier (dont la sécurité) et l’accès au chantier.</w:t>
      </w:r>
    </w:p>
    <w:p w14:paraId="6AFD032A" w14:textId="77777777" w:rsidR="00DF410E" w:rsidRDefault="00CE7F43">
      <w:pPr>
        <w:jc w:val="both"/>
      </w:pPr>
      <w:r>
        <w:t>Les accessoires utilisés pour le calage ou la protection sont conçus pour ne pas occasionner des taches ou d’autres types de dommages aux éléments.</w:t>
      </w:r>
    </w:p>
    <w:p w14:paraId="076F6443" w14:textId="77777777" w:rsidR="00DF410E" w:rsidRDefault="00CE7F43">
      <w:pPr>
        <w:jc w:val="both"/>
      </w:pPr>
      <w:r>
        <w:t>Les liaisons définitives entre les éléments sont exécutées conformément aux plans et aux prescriptions des documents d’exécution établis par le fabricant et approuvés par la direction du chantier.</w:t>
      </w:r>
    </w:p>
    <w:p w14:paraId="57661782" w14:textId="77777777" w:rsidR="00DF410E" w:rsidRDefault="00CE7F43">
      <w:pPr>
        <w:jc w:val="both"/>
      </w:pPr>
      <w:r>
        <w:rPr>
          <w:b/>
        </w:rPr>
        <w:t>Réglage et alignement des éléments</w:t>
      </w:r>
    </w:p>
    <w:p w14:paraId="02A0C6C6" w14:textId="77777777" w:rsidR="00DF410E" w:rsidRDefault="00CE7F43">
      <w:pPr>
        <w:jc w:val="both"/>
      </w:pPr>
      <w:r>
        <w:t>En général, un premier réglage « grossier » est réalisé pendant le montage des éléments, permettant un alignement temporaire. Ensuite, le réglage final est réalisé à l’aide des suspentes de liaisons définitives. Après chaque phase, le monteur procède à un contrôle du réglage des éléments avant de poursuivre les autres travaux de mise en œuvre.</w:t>
      </w:r>
    </w:p>
    <w:p w14:paraId="6CF646A9" w14:textId="77777777" w:rsidR="00DF410E" w:rsidRDefault="00CE7F43">
      <w:pPr>
        <w:jc w:val="both"/>
      </w:pPr>
      <w:r>
        <w:rPr>
          <w:b/>
        </w:rPr>
        <w:t>Fixations</w:t>
      </w:r>
    </w:p>
    <w:p w14:paraId="3F01AC18" w14:textId="77777777" w:rsidR="00DF410E" w:rsidRDefault="00CE7F43">
      <w:pPr>
        <w:jc w:val="both"/>
      </w:pPr>
      <w:r>
        <w:t xml:space="preserve">Les points d'attache constituant autant de ponts thermiques nuisant à l'efficacité de l'isolation, le fabricant, lors de l’établissement de ses plans d’exécution, tend à réduire le plus possible le nombre de fixation et prévoit des plaques de rupture thermique présentant une résistance thermique ≥ à </w:t>
      </w:r>
      <w:r>
        <w:rPr>
          <w:rStyle w:val="optioncarChar"/>
        </w:rPr>
        <w:t>0,038</w:t>
      </w:r>
      <w:r>
        <w:t xml:space="preserve"> (par défaut) </w:t>
      </w:r>
      <w:r>
        <w:rPr>
          <w:rStyle w:val="optioncarChar"/>
        </w:rPr>
        <w:t>/ ***</w:t>
      </w:r>
      <w:r>
        <w:t xml:space="preserve"> m²K/W entre les consoles et le mur dans lequel elles viennent s’ancrer.</w:t>
      </w:r>
    </w:p>
    <w:p w14:paraId="3E33F873" w14:textId="77777777" w:rsidR="00DF410E" w:rsidRDefault="00CE7F43">
      <w:pPr>
        <w:jc w:val="both"/>
      </w:pPr>
      <w:r>
        <w:rPr>
          <w:b/>
        </w:rPr>
        <w:t>Joints</w:t>
      </w:r>
    </w:p>
    <w:p w14:paraId="6ACF248C" w14:textId="77777777" w:rsidR="00DF410E" w:rsidRDefault="00CE7F43">
      <w:pPr>
        <w:jc w:val="both"/>
      </w:pPr>
      <w:r>
        <w:t>L'exécution du garnissage est précédée d'un nettoyage soigné des lèvres des joints notamment pour procéder à l’élimination complète des huiles de coffrage.</w:t>
      </w:r>
    </w:p>
    <w:p w14:paraId="27BA07B8" w14:textId="77777777" w:rsidR="00DF410E" w:rsidRDefault="00CE7F43">
      <w:pPr>
        <w:jc w:val="both"/>
      </w:pPr>
      <w:r>
        <w:t>Il est recommandé de procéder au jointoiement de finition aussi tardivement que possible, après la pose de toute la hauteur de la travée de façade, entre deux joints ou arrêts de revêtement et ce, de manière à pallier les risques de désordres des joints consécutifs au fluage et au retrait.</w:t>
      </w:r>
    </w:p>
    <w:p w14:paraId="26C6F73C" w14:textId="77777777" w:rsidR="00DF410E" w:rsidRDefault="00CE7F43">
      <w:pPr>
        <w:jc w:val="both"/>
      </w:pPr>
      <w:r>
        <w:t>Pour éviter la mise en compression du revêtement directement sur le support, des joints sont prévus autour des saillies de façade (appuis, balcons, bandeaux, linteaux, etc…) ainsi qu’en prolongement des joints structuraux du support.</w:t>
      </w:r>
    </w:p>
    <w:p w14:paraId="3A078706" w14:textId="77777777" w:rsidR="00DF410E" w:rsidRDefault="00CE7F43">
      <w:pPr>
        <w:jc w:val="both"/>
      </w:pPr>
      <w:r>
        <w:rPr>
          <w:b/>
        </w:rPr>
        <w:t>Mesures spéciales pour prévenir les dommages causés par le froid après le montage</w:t>
      </w:r>
    </w:p>
    <w:p w14:paraId="4DD3BCEF" w14:textId="77777777" w:rsidR="00DF410E" w:rsidRDefault="00CE7F43">
      <w:pPr>
        <w:jc w:val="both"/>
      </w:pPr>
      <w:r>
        <w:t>L’entrepreneur prend toutes les mesures nécessaires pour éviter la glaciation dans les évidements et les points de levage. Directement après le montage, il convient donc de boucher les ouvertures de levage à l’aide de mortier résistant au retrait.</w:t>
      </w:r>
    </w:p>
    <w:p w14:paraId="4F03E8CD" w14:textId="77777777" w:rsidR="00DF410E" w:rsidRDefault="00CE7F43">
      <w:pPr>
        <w:jc w:val="both"/>
      </w:pPr>
      <w:r>
        <w:rPr>
          <w:b/>
        </w:rPr>
        <w:t>Protection temporaire (jusqu’à la réception)</w:t>
      </w:r>
    </w:p>
    <w:p w14:paraId="6406E15A" w14:textId="77777777" w:rsidR="00DF410E" w:rsidRDefault="00CE7F43">
      <w:pPr>
        <w:jc w:val="both"/>
      </w:pPr>
      <w:r>
        <w:t>L’entrepreneur protège les éléments contre les risques de salissures et de dommages. Les matériaux utilisés pour la protection n’ont pas d’influence négative permanente sur les éléments.</w:t>
      </w:r>
    </w:p>
    <w:p w14:paraId="77003493" w14:textId="77777777" w:rsidR="00DF410E" w:rsidRDefault="00CE7F43">
      <w:pPr>
        <w:jc w:val="both"/>
      </w:pPr>
      <w:r>
        <w:rPr>
          <w:b/>
        </w:rPr>
        <w:t>Nettoyage</w:t>
      </w:r>
    </w:p>
    <w:p w14:paraId="5DEDE768" w14:textId="77777777" w:rsidR="00DF410E" w:rsidRDefault="00CE7F43">
      <w:pPr>
        <w:jc w:val="both"/>
      </w:pPr>
      <w:r>
        <w:t>Il convient d’éviter toute salissure. Si cela n’est pas possible, il faut immédiatement l’enlever en utilisant de l’eau claire. Toute salissure toujours présente en fin de montage est enlevée par des ouvriers spécialisés.</w:t>
      </w:r>
    </w:p>
    <w:p w14:paraId="0AD3724D" w14:textId="77777777" w:rsidR="00DF410E" w:rsidRDefault="00CE7F43">
      <w:pPr>
        <w:jc w:val="both"/>
      </w:pPr>
      <w:r>
        <w:rPr>
          <w:b/>
        </w:rPr>
        <w:t>Nature des matériaux du support</w:t>
      </w:r>
    </w:p>
    <w:p w14:paraId="6CD4AE90" w14:textId="77777777" w:rsidR="00DF410E" w:rsidRDefault="00CE7F43">
      <w:pPr>
        <w:jc w:val="both"/>
      </w:pPr>
      <w:r>
        <w:t>Le support présente des qualités de résistance suffisantes pour que le scellement du dispositif de fixation et de suspente des panneaux présente toute sécurité vis-à-vis des efforts auxquels il est soumis, à savoir l’arrachement, la flexion et le cisaillement.</w:t>
      </w:r>
    </w:p>
    <w:p w14:paraId="3639CC2A" w14:textId="77777777" w:rsidR="00DF410E" w:rsidRDefault="00CE7F43">
      <w:pPr>
        <w:pStyle w:val="pheading"/>
      </w:pPr>
      <w:r>
        <w:t>CONTRÔLES</w:t>
      </w:r>
    </w:p>
    <w:p w14:paraId="625A38DA" w14:textId="77777777" w:rsidR="00DF410E" w:rsidRDefault="00CE7F43">
      <w:pPr>
        <w:jc w:val="both"/>
      </w:pPr>
      <w:r>
        <w:t>Les éléments préfabriqués sont contrôlés une première fois lors de leur livraison sur chantier, et une seconde fois après la pose.</w:t>
      </w:r>
    </w:p>
    <w:p w14:paraId="3A43FBFB" w14:textId="77777777" w:rsidR="00DF410E" w:rsidRDefault="00CE7F43">
      <w:pPr>
        <w:pStyle w:val="pheading"/>
      </w:pPr>
      <w:r>
        <w:t>DOCUMENTS DE RÉFÉRENCE</w:t>
      </w:r>
    </w:p>
    <w:p w14:paraId="5D269E87" w14:textId="77777777" w:rsidR="00DF410E" w:rsidRDefault="00CE7F43">
      <w:pPr>
        <w:pStyle w:val="pheading"/>
      </w:pPr>
      <w:r>
        <w:t>- Matériau</w:t>
      </w:r>
    </w:p>
    <w:p w14:paraId="2D9C92C9" w14:textId="77777777" w:rsidR="00DF410E" w:rsidRDefault="00CE7F43">
      <w:r>
        <w:t>[NBN EN 13369:2023, Règles communes pour les produits préfabriqués en béton]</w:t>
      </w:r>
    </w:p>
    <w:p w14:paraId="6AB7F884" w14:textId="77777777" w:rsidR="00DF410E" w:rsidRDefault="00CE7F43">
      <w:r>
        <w:t>[NBN B 21-600, Règles communes pour les produits préfabriqués en béton - Complément national à la NBN EN 13369:2004+A1:2006+AC:2006]</w:t>
      </w:r>
    </w:p>
    <w:p w14:paraId="2EC5D571" w14:textId="77777777" w:rsidR="00DF410E" w:rsidRDefault="00CE7F43">
      <w:r>
        <w:t>[NBN EN 14992+A1, Produits préfabriqués en béton - Eléments de mur]  </w:t>
      </w:r>
    </w:p>
    <w:p w14:paraId="769A22B2" w14:textId="77777777" w:rsidR="00DF410E" w:rsidRDefault="00CE7F43">
      <w:r>
        <w:t>[NBN B 21-612, Produits préfabriqués en béton - Eléments de mur - Norme d'application nationale à la NBN EN 14992+A1:2012]</w:t>
      </w:r>
    </w:p>
    <w:p w14:paraId="1231EDEB" w14:textId="77777777" w:rsidR="00DF410E" w:rsidRDefault="00CE7F43">
      <w:r>
        <w:t>[PTV 21-601, Eléments préfabriqués en béton architectonique.]</w:t>
      </w:r>
    </w:p>
    <w:p w14:paraId="20810F8A" w14:textId="77777777" w:rsidR="00DF410E" w:rsidRDefault="00CE7F43">
      <w:r>
        <w:t>[NBN B 15-007, Béton apparent - Classifications et spécifications]</w:t>
      </w:r>
    </w:p>
    <w:p w14:paraId="123DD955" w14:textId="77777777" w:rsidR="00DF410E" w:rsidRDefault="00CE7F43">
      <w:pPr>
        <w:pStyle w:val="pheading"/>
      </w:pPr>
      <w:r>
        <w:t>- Exécution</w:t>
      </w:r>
    </w:p>
    <w:p w14:paraId="69C74E32" w14:textId="77777777" w:rsidR="00DF410E" w:rsidRDefault="00CE7F43">
      <w:r>
        <w:t>[PTV 21-601, Eléments préfabriqués en béton architectonique.]</w:t>
      </w:r>
    </w:p>
    <w:p w14:paraId="1E0FB679" w14:textId="77777777" w:rsidR="00DF410E" w:rsidRDefault="00CE7F43">
      <w:pPr>
        <w:pStyle w:val="Author-eSectionHeading6"/>
      </w:pPr>
      <w:bookmarkStart w:id="2127" w:name="_Toc178839164"/>
      <w:r>
        <w:t>28.21.1a Revêtements de façade en panneaux préfabriqués en béton CCTB 01.11</w:t>
      </w:r>
      <w:bookmarkEnd w:id="2127"/>
    </w:p>
    <w:p w14:paraId="5BD7FF6C" w14:textId="77777777" w:rsidR="00DF410E" w:rsidRDefault="00CE7F43">
      <w:pPr>
        <w:pStyle w:val="pheading"/>
      </w:pPr>
      <w:r>
        <w:t>MESURAGE</w:t>
      </w:r>
    </w:p>
    <w:p w14:paraId="086EA64F" w14:textId="77777777" w:rsidR="00DF410E" w:rsidRDefault="00CE7F43">
      <w:pPr>
        <w:pStyle w:val="pheading"/>
      </w:pPr>
      <w:r>
        <w:t>- unité de mesure:</w:t>
      </w:r>
    </w:p>
    <w:p w14:paraId="17EED089" w14:textId="77777777" w:rsidR="00DF410E" w:rsidRDefault="00CE7F43">
      <w:r>
        <w:t>m2</w:t>
      </w:r>
    </w:p>
    <w:p w14:paraId="3FC2D536" w14:textId="77777777" w:rsidR="00DF410E" w:rsidRDefault="00CE7F43">
      <w:pPr>
        <w:pStyle w:val="pheading"/>
      </w:pPr>
      <w:r>
        <w:t>- code de mesurage:</w:t>
      </w:r>
    </w:p>
    <w:p w14:paraId="307A505C" w14:textId="77777777" w:rsidR="00DF410E" w:rsidRDefault="00CE7F43">
      <w:r>
        <w:t>Surface nette du parement à exécuter. Les plaques dont la surface est inférieure à 0,1 m² sont comptées pour 0,1 m². Les réservations dont la superficie est supérieure à 0,5 m² sont déduites.</w:t>
      </w:r>
    </w:p>
    <w:p w14:paraId="5F69A7CC" w14:textId="77777777" w:rsidR="00DF410E" w:rsidRDefault="00CE7F43">
      <w:pPr>
        <w:pStyle w:val="pheading"/>
      </w:pPr>
      <w:r>
        <w:t>- nature du marché:</w:t>
      </w:r>
    </w:p>
    <w:p w14:paraId="735716CC" w14:textId="77777777" w:rsidR="00DF410E" w:rsidRDefault="00CE7F43">
      <w:r>
        <w:t>QF</w:t>
      </w:r>
    </w:p>
    <w:p w14:paraId="6F127A35" w14:textId="77777777" w:rsidR="00DF410E" w:rsidRDefault="00CE7F43">
      <w:pPr>
        <w:pStyle w:val="Author-eSectionHeading6"/>
      </w:pPr>
      <w:bookmarkStart w:id="2128" w:name="_Toc178839165"/>
      <w:r>
        <w:t>28.21.1b Revêtements de façade en panneaux préfabriqués en béton décoratif / architectonique CCTB 01.11</w:t>
      </w:r>
      <w:bookmarkEnd w:id="2128"/>
    </w:p>
    <w:p w14:paraId="32E724E3" w14:textId="77777777" w:rsidR="00DF410E" w:rsidRDefault="00CE7F43">
      <w:pPr>
        <w:pStyle w:val="pheading"/>
      </w:pPr>
      <w:r>
        <w:t>DESCRIPTION</w:t>
      </w:r>
    </w:p>
    <w:p w14:paraId="687EE603" w14:textId="77777777" w:rsidR="00DF410E" w:rsidRDefault="00CE7F43">
      <w:pPr>
        <w:pStyle w:val="pheading"/>
      </w:pPr>
      <w:r>
        <w:t>- Définition / Comprend</w:t>
      </w:r>
    </w:p>
    <w:p w14:paraId="674B0137" w14:textId="77777777" w:rsidR="00DF410E" w:rsidRDefault="00CE7F43">
      <w:pPr>
        <w:jc w:val="both"/>
      </w:pPr>
      <w:r>
        <w:t>Il s'agit de tous les travaux et fournitures pour la réalisation des revêtements de façade en panneaux préfabriqués en béton décoratif et architectonique.</w:t>
      </w:r>
    </w:p>
    <w:p w14:paraId="437A8C0C" w14:textId="77777777" w:rsidR="00DF410E" w:rsidRDefault="00CE7F43">
      <w:pPr>
        <w:pStyle w:val="pheading"/>
      </w:pPr>
      <w:r>
        <w:t>MATÉRIAUX</w:t>
      </w:r>
    </w:p>
    <w:p w14:paraId="4F5B85DF" w14:textId="77777777" w:rsidR="00DF410E" w:rsidRDefault="00CE7F43">
      <w:pPr>
        <w:pStyle w:val="pheading"/>
      </w:pPr>
      <w:r>
        <w:t>- Caractéristiques générales</w:t>
      </w:r>
    </w:p>
    <w:p w14:paraId="052B89DE" w14:textId="77777777" w:rsidR="00DF410E" w:rsidRDefault="00CE7F43">
      <w:pPr>
        <w:jc w:val="both"/>
      </w:pPr>
      <w:r>
        <w:t>La composition du béton est déterminée par le fabricant mais satisfait toutefois aux exigences suivantes.</w:t>
      </w:r>
    </w:p>
    <w:p w14:paraId="7254B28E" w14:textId="77777777" w:rsidR="00DF410E" w:rsidRDefault="00CE7F43">
      <w:pPr>
        <w:jc w:val="both"/>
      </w:pPr>
      <w:r>
        <w:t>Les granulats ne contiennent aucun minéral susceptible d'altérer, soit par oxydation, soit par attaque acide ou alcaline, l'aspect de la surface décorative du béton. La dureté des granulats est égale à celle du béton.</w:t>
      </w:r>
    </w:p>
    <w:p w14:paraId="3652F888" w14:textId="77777777" w:rsidR="00DF410E" w:rsidRDefault="00CE7F43">
      <w:pPr>
        <w:jc w:val="both"/>
      </w:pPr>
      <w:r>
        <w:t>L'épaisseur de la couche décorative est au moins égale au diamètre du plus gros grain qu'elle contient et jamais inférieure à 40 mm.</w:t>
      </w:r>
    </w:p>
    <w:p w14:paraId="2815587E" w14:textId="77777777" w:rsidR="00DF410E" w:rsidRDefault="00CE7F43">
      <w:pPr>
        <w:jc w:val="both"/>
      </w:pPr>
      <w:r>
        <w:t>Pour le béton architectonique l'uniformité de la teinte est un critère très important qui peut justifier le refus des pièces si elles ne correspondent pas aux prescriptions de la [PTV 21-601].</w:t>
      </w:r>
    </w:p>
    <w:p w14:paraId="55F0A081" w14:textId="77777777" w:rsidR="00DF410E" w:rsidRDefault="00CE7F43">
      <w:pPr>
        <w:jc w:val="both"/>
      </w:pPr>
      <w:r>
        <w:t>Les coffrages sont réalisés à l'aide de moules qui garantissent le respect des tolérances de la [PTV 21-601] pour le béton architectonique et les [NBN EN 14992+A1] + la [NBN B 21-612] pour le béton décoratif.</w:t>
      </w:r>
    </w:p>
    <w:p w14:paraId="0B4A60B0" w14:textId="77777777" w:rsidR="00DF410E" w:rsidRDefault="00CE7F43">
      <w:pPr>
        <w:jc w:val="both"/>
      </w:pPr>
      <w:r>
        <w:t>Le système répond aux spécifications suivantes.</w:t>
      </w:r>
    </w:p>
    <w:p w14:paraId="3F6C0206" w14:textId="77777777" w:rsidR="00DF410E" w:rsidRDefault="00CE7F43">
      <w:pPr>
        <w:jc w:val="both"/>
      </w:pPr>
      <w:r>
        <w:t xml:space="preserve">Épaisseur des panneaux : </w:t>
      </w:r>
      <w:r>
        <w:rPr>
          <w:rStyle w:val="optioncarChar"/>
        </w:rPr>
        <w:t>***</w:t>
      </w:r>
      <w:r>
        <w:t xml:space="preserve"> cm</w:t>
      </w:r>
    </w:p>
    <w:p w14:paraId="2D9681F6" w14:textId="77777777" w:rsidR="00DF410E" w:rsidRDefault="00CE7F43">
      <w:pPr>
        <w:jc w:val="both"/>
      </w:pPr>
      <w:r>
        <w:t xml:space="preserve">Armatures : treillis soudés nuance d'acier </w:t>
      </w:r>
      <w:r>
        <w:rPr>
          <w:rStyle w:val="optioncarChar"/>
        </w:rPr>
        <w:t xml:space="preserve">DE 500 BS </w:t>
      </w:r>
      <w:r>
        <w:t>(par défaut)</w:t>
      </w:r>
      <w:r>
        <w:rPr>
          <w:rStyle w:val="optioncarChar"/>
        </w:rPr>
        <w:t xml:space="preserve"> / BE 500 S / ***</w:t>
      </w:r>
      <w:r>
        <w:t xml:space="preserve"> et les éventuelles armatures complémentaires sont de qualité </w:t>
      </w:r>
      <w:r>
        <w:rPr>
          <w:rStyle w:val="optioncarChar"/>
        </w:rPr>
        <w:t xml:space="preserve">BE 500S </w:t>
      </w:r>
      <w:r>
        <w:t>(par défaut)</w:t>
      </w:r>
      <w:r>
        <w:rPr>
          <w:rStyle w:val="optioncarChar"/>
        </w:rPr>
        <w:t xml:space="preserve"> / ***</w:t>
      </w:r>
      <w:r>
        <w:t>.</w:t>
      </w:r>
    </w:p>
    <w:p w14:paraId="020495C9" w14:textId="77777777" w:rsidR="00DF410E" w:rsidRDefault="00CE7F43">
      <w:pPr>
        <w:jc w:val="both"/>
      </w:pPr>
      <w:r>
        <w:rPr>
          <w:b/>
        </w:rPr>
        <w:t>Fixations :</w:t>
      </w:r>
    </w:p>
    <w:p w14:paraId="04F2E437" w14:textId="77777777" w:rsidR="00DF410E" w:rsidRDefault="00CE7F43">
      <w:pPr>
        <w:pStyle w:val="Author-eListParagraph"/>
        <w:numPr>
          <w:ilvl w:val="0"/>
          <w:numId w:val="1177"/>
        </w:numPr>
      </w:pPr>
      <w:r>
        <w:t xml:space="preserve">Matière : </w:t>
      </w:r>
      <w:r>
        <w:rPr>
          <w:rStyle w:val="optioncarChar"/>
        </w:rPr>
        <w:t xml:space="preserve">acier inoxydable </w:t>
      </w:r>
      <w:r>
        <w:t xml:space="preserve">(par défaut) </w:t>
      </w:r>
      <w:r>
        <w:rPr>
          <w:rStyle w:val="optioncarChar"/>
        </w:rPr>
        <w:t>/ ***</w:t>
      </w:r>
    </w:p>
    <w:p w14:paraId="7529BB31" w14:textId="77777777" w:rsidR="00DF410E" w:rsidRDefault="00CE7F43">
      <w:pPr>
        <w:pStyle w:val="Author-eListParagraph"/>
        <w:numPr>
          <w:ilvl w:val="0"/>
          <w:numId w:val="1177"/>
        </w:numPr>
      </w:pPr>
      <w:r>
        <w:t xml:space="preserve">Nombre et emplacement : </w:t>
      </w:r>
      <w:r>
        <w:rPr>
          <w:rStyle w:val="optioncarChar"/>
        </w:rPr>
        <w:t xml:space="preserve">conformément au dessin des plans d’exécution et notes de calcul approuvés </w:t>
      </w:r>
      <w:r>
        <w:t xml:space="preserve">(par défaut) </w:t>
      </w:r>
      <w:r>
        <w:rPr>
          <w:rStyle w:val="optioncarChar"/>
        </w:rPr>
        <w:t>/ ***</w:t>
      </w:r>
    </w:p>
    <w:p w14:paraId="5CFF33E3" w14:textId="77777777" w:rsidR="00DF410E" w:rsidRDefault="00CE7F43">
      <w:pPr>
        <w:pStyle w:val="Author-eListParagraph"/>
        <w:numPr>
          <w:ilvl w:val="0"/>
          <w:numId w:val="1177"/>
        </w:numPr>
      </w:pPr>
      <w:r>
        <w:t xml:space="preserve">Type d'ancrage : </w:t>
      </w:r>
      <w:r>
        <w:rPr>
          <w:rStyle w:val="optioncarChar"/>
        </w:rPr>
        <w:t>suspentes porteuses réglables</w:t>
      </w:r>
      <w:r>
        <w:t xml:space="preserve"> (par défaut)</w:t>
      </w:r>
      <w:r>
        <w:rPr>
          <w:rStyle w:val="optioncarChar"/>
        </w:rPr>
        <w:t xml:space="preserve"> / ***</w:t>
      </w:r>
    </w:p>
    <w:p w14:paraId="45766827" w14:textId="77777777" w:rsidR="00DF410E" w:rsidRDefault="00CE7F43">
      <w:pPr>
        <w:ind w:left="567"/>
        <w:jc w:val="both"/>
      </w:pPr>
      <w:r>
        <w:rPr>
          <w:b/>
        </w:rPr>
        <w:t>(soit par défaut)</w:t>
      </w:r>
    </w:p>
    <w:p w14:paraId="6A866E17" w14:textId="77777777" w:rsidR="00DF410E" w:rsidRDefault="00CE7F43">
      <w:pPr>
        <w:ind w:left="567"/>
        <w:jc w:val="both"/>
      </w:pPr>
      <w:r>
        <w:rPr>
          <w:rStyle w:val="soitChar"/>
          <w:u w:val="single"/>
        </w:rPr>
        <w:t>Les suspentes porteuses réglables</w:t>
      </w:r>
      <w:r>
        <w:rPr>
          <w:rStyle w:val="soitChar"/>
        </w:rPr>
        <w:t xml:space="preserve"> en trois dimensions, qui sont également les contrevents, sont constituées d’un étrier de suspension intégré dans le panneau de façade lors de la production, d’un étrier de montage fixé contre la structure portante par boulonnage et, entre les deux, d’une pièce d’assemblage oblique. Les panneaux supérieurs sont pourvus de contrevents constitués d’un élément de fixation à ergot et manchon coulissant et boulon d’ancrage correspondant. La fixation, côté mur, se fait dans une cheville d’ancrage préforée ou une ouverture d’un diamètre approprié.</w:t>
      </w:r>
    </w:p>
    <w:p w14:paraId="423A64F6" w14:textId="77777777" w:rsidR="00DF410E" w:rsidRDefault="00CE7F43">
      <w:pPr>
        <w:ind w:left="567"/>
        <w:jc w:val="both"/>
      </w:pPr>
      <w:r>
        <w:rPr>
          <w:b/>
        </w:rPr>
        <w:t>(soit)</w:t>
      </w:r>
    </w:p>
    <w:p w14:paraId="55400DD4" w14:textId="77777777" w:rsidR="00DF410E" w:rsidRDefault="00CE7F43">
      <w:pPr>
        <w:ind w:left="567"/>
        <w:jc w:val="both"/>
      </w:pPr>
      <w:r>
        <w:rPr>
          <w:rStyle w:val="optioncarChar"/>
        </w:rPr>
        <w:t>***</w:t>
      </w:r>
    </w:p>
    <w:p w14:paraId="155F5D67" w14:textId="77777777" w:rsidR="00DF410E" w:rsidRDefault="00CE7F43">
      <w:pPr>
        <w:jc w:val="both"/>
      </w:pPr>
      <w:r>
        <w:rPr>
          <w:b/>
        </w:rPr>
        <w:t>Joints :</w:t>
      </w:r>
      <w:r>
        <w:t xml:space="preserve"> matériau conforme aux prescriptions du </w:t>
      </w:r>
      <w:hyperlink w:anchor="699" w:history="1">
        <w:r>
          <w:t>22.63.1b Joints de remplissage autres qu'en mortier</w:t>
        </w:r>
      </w:hyperlink>
      <w:r>
        <w:t xml:space="preserve"> autres qu'en mortier.</w:t>
      </w:r>
    </w:p>
    <w:p w14:paraId="068EF4AA" w14:textId="77777777" w:rsidR="00DF410E" w:rsidRDefault="00CE7F43">
      <w:pPr>
        <w:jc w:val="both"/>
      </w:pPr>
      <w:r>
        <w:rPr>
          <w:b/>
        </w:rPr>
        <w:t>Comportement au feu :</w:t>
      </w:r>
    </w:p>
    <w:p w14:paraId="354CD2BC" w14:textId="77777777" w:rsidR="00DF410E" w:rsidRDefault="00CE7F43">
      <w:pPr>
        <w:pStyle w:val="Author-eListParagraph"/>
        <w:numPr>
          <w:ilvl w:val="0"/>
          <w:numId w:val="1178"/>
        </w:numPr>
      </w:pPr>
      <w:r>
        <w:t>Réaction au feu : selon la [Décision 96/603/CE] et les conditions qui y ont reprises, le panneau en béton architectonique appartient à la classe de réaction au feu A1.</w:t>
      </w:r>
    </w:p>
    <w:p w14:paraId="5F3D39E1" w14:textId="77777777" w:rsidR="00DF410E" w:rsidRDefault="00CE7F43">
      <w:pPr>
        <w:pStyle w:val="Author-eListParagraph"/>
        <w:numPr>
          <w:ilvl w:val="0"/>
          <w:numId w:val="1178"/>
        </w:numPr>
      </w:pPr>
      <w:r>
        <w:t>Résistance au feu de l’élément :</w:t>
      </w:r>
      <w:r>
        <w:rPr>
          <w:rStyle w:val="optioncarChar"/>
        </w:rPr>
        <w:t xml:space="preserve"> néant</w:t>
      </w:r>
      <w:r>
        <w:t xml:space="preserve"> (par défaut)</w:t>
      </w:r>
      <w:r>
        <w:rPr>
          <w:rStyle w:val="optioncarChar"/>
        </w:rPr>
        <w:t xml:space="preserve"> / E 30 / E 60 / E 120 /EI 30 / EI 60 / EI 120 selon la [NBN EN 13501-2]</w:t>
      </w:r>
      <w:r>
        <w:t>.</w:t>
      </w:r>
    </w:p>
    <w:p w14:paraId="4AE266CC" w14:textId="77777777" w:rsidR="00DF410E" w:rsidRDefault="00CE7F43">
      <w:pPr>
        <w:pStyle w:val="pheading"/>
      </w:pPr>
      <w:r>
        <w:t>- Finitions</w:t>
      </w:r>
    </w:p>
    <w:p w14:paraId="6A8E75D3" w14:textId="77777777" w:rsidR="00DF410E" w:rsidRDefault="00CE7F43">
      <w:pPr>
        <w:jc w:val="both"/>
      </w:pPr>
      <w:r>
        <w:t>Type de béton préfabriqué avec exigences esthétiques : </w:t>
      </w:r>
      <w:r>
        <w:rPr>
          <w:rStyle w:val="optioncarChar"/>
        </w:rPr>
        <w:t>béton architectonique</w:t>
      </w:r>
      <w:r>
        <w:t> (par défaut)</w:t>
      </w:r>
      <w:r>
        <w:rPr>
          <w:rStyle w:val="optioncarChar"/>
        </w:rPr>
        <w:t> / béton décoratif industriel.</w:t>
      </w:r>
    </w:p>
    <w:p w14:paraId="764B180F" w14:textId="77777777" w:rsidR="00DF410E" w:rsidRDefault="00CE7F43">
      <w:pPr>
        <w:pStyle w:val="Author-eListParagraph"/>
        <w:numPr>
          <w:ilvl w:val="0"/>
          <w:numId w:val="1179"/>
        </w:numPr>
      </w:pPr>
      <w:r>
        <w:t>Les éléments en béton architectoniques répondent à la [PTV 21-601].</w:t>
      </w:r>
    </w:p>
    <w:p w14:paraId="39E6F3AE" w14:textId="77777777" w:rsidR="00DF410E" w:rsidRDefault="00CE7F43">
      <w:pPr>
        <w:pStyle w:val="Author-eListParagraph"/>
        <w:numPr>
          <w:ilvl w:val="0"/>
          <w:numId w:val="1179"/>
        </w:numPr>
      </w:pPr>
      <w:r>
        <w:t xml:space="preserve">Les éléments en béton décoratif industriel répondent aux </w:t>
      </w:r>
      <w:r>
        <w:rPr>
          <w:i/>
        </w:rPr>
        <w:t>prescriptions complémentaires</w:t>
      </w:r>
      <w:r>
        <w:t xml:space="preserve"> pour les éléments en béton décoratif industriel de la section </w:t>
      </w:r>
      <w:hyperlink w:anchor="87" w:history="1">
        <w:r>
          <w:t>22 Superstructures en béton</w:t>
        </w:r>
      </w:hyperlink>
      <w:r>
        <w:t>.</w:t>
      </w:r>
    </w:p>
    <w:p w14:paraId="6C1F3A57" w14:textId="77777777" w:rsidR="00DF410E" w:rsidRDefault="00CE7F43">
      <w:pPr>
        <w:jc w:val="both"/>
      </w:pPr>
      <w:r>
        <w:t>Description détaillée des éléments :</w:t>
      </w:r>
    </w:p>
    <w:p w14:paraId="050E1D89" w14:textId="77777777" w:rsidR="00DF410E" w:rsidRDefault="00CE7F43">
      <w:pPr>
        <w:pStyle w:val="Author-eListParagraph"/>
        <w:numPr>
          <w:ilvl w:val="0"/>
          <w:numId w:val="1180"/>
        </w:numPr>
      </w:pPr>
      <w:r>
        <w:t> Couleur : suivant</w:t>
      </w:r>
      <w:r>
        <w:rPr>
          <w:rStyle w:val="optioncarChar"/>
        </w:rPr>
        <w:t xml:space="preserve"> échantillon disponible</w:t>
      </w:r>
      <w:r>
        <w:t> (par défaut)</w:t>
      </w:r>
      <w:r>
        <w:rPr>
          <w:rStyle w:val="optioncarChar"/>
        </w:rPr>
        <w:t> / échantillons à remettre pour approbation par l'architecte / la couleur RAL</w:t>
      </w:r>
    </w:p>
    <w:p w14:paraId="098FC30D" w14:textId="77777777" w:rsidR="00DF410E" w:rsidRDefault="00CE7F43">
      <w:pPr>
        <w:ind w:left="567"/>
        <w:jc w:val="both"/>
      </w:pPr>
      <w:r>
        <w:rPr>
          <w:b/>
        </w:rPr>
        <w:t>(soit par défaut)</w:t>
      </w:r>
    </w:p>
    <w:p w14:paraId="6B3A78A0" w14:textId="77777777" w:rsidR="00DF410E" w:rsidRDefault="00CE7F43">
      <w:pPr>
        <w:ind w:left="567"/>
        <w:jc w:val="both"/>
      </w:pPr>
      <w:r>
        <w:rPr>
          <w:rStyle w:val="soitChar"/>
          <w:u w:val="single"/>
        </w:rPr>
        <w:t>Echantillon disponible</w:t>
      </w:r>
      <w:r>
        <w:t> </w:t>
      </w:r>
      <w:r>
        <w:rPr>
          <w:rStyle w:val="optioncarChar"/>
        </w:rPr>
        <w:t>auprès du bureau d’architecte / sur chantier / auprès du fabricant</w:t>
      </w:r>
    </w:p>
    <w:p w14:paraId="3D328717" w14:textId="77777777" w:rsidR="00DF410E" w:rsidRDefault="00CE7F43">
      <w:pPr>
        <w:ind w:left="567"/>
        <w:jc w:val="both"/>
      </w:pPr>
      <w:r>
        <w:rPr>
          <w:b/>
        </w:rPr>
        <w:t>(soit)</w:t>
      </w:r>
    </w:p>
    <w:p w14:paraId="567545A9" w14:textId="77777777" w:rsidR="00DF410E" w:rsidRDefault="00CE7F43">
      <w:pPr>
        <w:ind w:left="567"/>
        <w:jc w:val="both"/>
      </w:pPr>
      <w:r>
        <w:rPr>
          <w:rStyle w:val="soitChar"/>
          <w:u w:val="single"/>
        </w:rPr>
        <w:t>Echantillons à remettre pour approbation par l’architecte :</w:t>
      </w:r>
      <w:r>
        <w:t>  </w:t>
      </w:r>
      <w:r>
        <w:rPr>
          <w:rStyle w:val="optioncarChar"/>
        </w:rPr>
        <w:t>gris / blanc / vert / anthracite / rouge / ***</w:t>
      </w:r>
    </w:p>
    <w:p w14:paraId="6BFE4919" w14:textId="77777777" w:rsidR="00DF410E" w:rsidRDefault="00CE7F43">
      <w:pPr>
        <w:ind w:left="567"/>
        <w:jc w:val="both"/>
      </w:pPr>
      <w:r>
        <w:rPr>
          <w:b/>
        </w:rPr>
        <w:t>(soit)</w:t>
      </w:r>
    </w:p>
    <w:p w14:paraId="154722B8" w14:textId="77777777" w:rsidR="00DF410E" w:rsidRDefault="00CE7F43">
      <w:pPr>
        <w:ind w:left="567"/>
        <w:jc w:val="both"/>
      </w:pPr>
      <w:r>
        <w:rPr>
          <w:rStyle w:val="soitChar"/>
          <w:u w:val="single"/>
        </w:rPr>
        <w:t>La couleur RAL</w:t>
      </w:r>
      <w:r>
        <w:rPr>
          <w:rStyle w:val="soitChar"/>
        </w:rPr>
        <w:t> se rapprochant le mieux que possible du RAL </w:t>
      </w:r>
      <w:r>
        <w:rPr>
          <w:rStyle w:val="optioncarChar"/>
        </w:rPr>
        <w:t>***</w:t>
      </w:r>
    </w:p>
    <w:p w14:paraId="650BB034" w14:textId="77777777" w:rsidR="00DF410E" w:rsidRDefault="00CE7F43">
      <w:pPr>
        <w:pStyle w:val="Author-eListParagraph"/>
        <w:numPr>
          <w:ilvl w:val="0"/>
          <w:numId w:val="1181"/>
        </w:numPr>
      </w:pPr>
      <w:r>
        <w:t xml:space="preserve"> Texture : suivant </w:t>
      </w:r>
      <w:r>
        <w:rPr>
          <w:rStyle w:val="optioncarChar"/>
        </w:rPr>
        <w:t>échantillon disponible </w:t>
      </w:r>
      <w:r>
        <w:t>(par défaut)</w:t>
      </w:r>
      <w:r>
        <w:rPr>
          <w:rStyle w:val="optioncarChar"/>
        </w:rPr>
        <w:t> / échantillons à remettre pour approbation par l'architecte</w:t>
      </w:r>
    </w:p>
    <w:p w14:paraId="0C73A00C" w14:textId="77777777" w:rsidR="00DF410E" w:rsidRDefault="00CE7F43">
      <w:pPr>
        <w:ind w:left="567"/>
        <w:jc w:val="both"/>
      </w:pPr>
      <w:r>
        <w:rPr>
          <w:b/>
        </w:rPr>
        <w:t>(soit par défaut)</w:t>
      </w:r>
    </w:p>
    <w:p w14:paraId="4ACFA814" w14:textId="77777777" w:rsidR="00DF410E" w:rsidRDefault="00CE7F43">
      <w:pPr>
        <w:ind w:left="567"/>
        <w:jc w:val="both"/>
      </w:pPr>
      <w:r>
        <w:rPr>
          <w:rStyle w:val="soitChar"/>
          <w:u w:val="single"/>
        </w:rPr>
        <w:t>Echantillon disponible</w:t>
      </w:r>
      <w:r>
        <w:rPr>
          <w:rStyle w:val="optioncarChar"/>
        </w:rPr>
        <w:t> auprès du bureau d’architecte / sur chantier / auprès du fabricant</w:t>
      </w:r>
    </w:p>
    <w:p w14:paraId="1B6FD831" w14:textId="77777777" w:rsidR="00DF410E" w:rsidRDefault="00CE7F43">
      <w:pPr>
        <w:ind w:left="567"/>
        <w:jc w:val="both"/>
      </w:pPr>
      <w:r>
        <w:rPr>
          <w:b/>
        </w:rPr>
        <w:t>(soit)</w:t>
      </w:r>
    </w:p>
    <w:p w14:paraId="2CC589DF" w14:textId="77777777" w:rsidR="00DF410E" w:rsidRDefault="00CE7F43">
      <w:pPr>
        <w:ind w:left="567"/>
        <w:jc w:val="both"/>
      </w:pPr>
      <w:r>
        <w:rPr>
          <w:rStyle w:val="soitChar"/>
          <w:u w:val="single"/>
        </w:rPr>
        <w:t>Echantillons à remettre pour approbation par l’architecte :</w:t>
      </w:r>
      <w:r>
        <w:rPr>
          <w:rStyle w:val="soitChar"/>
        </w:rPr>
        <w:t>  </w:t>
      </w:r>
    </w:p>
    <w:p w14:paraId="31470116" w14:textId="77777777" w:rsidR="00DF410E" w:rsidRDefault="00CE7F43">
      <w:pPr>
        <w:ind w:left="567"/>
        <w:jc w:val="both"/>
      </w:pPr>
      <w:r>
        <w:rPr>
          <w:rStyle w:val="soitChar"/>
        </w:rPr>
        <w:t>La surface des éléments en béton est</w:t>
      </w:r>
      <w:r>
        <w:t>  </w:t>
      </w:r>
      <w:r>
        <w:rPr>
          <w:rStyle w:val="optioncarChar"/>
        </w:rPr>
        <w:t xml:space="preserve">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0C017100" w14:textId="77777777" w:rsidR="00DF410E" w:rsidRDefault="00CE7F43">
      <w:pPr>
        <w:pStyle w:val="Author-eListParagraph"/>
        <w:numPr>
          <w:ilvl w:val="0"/>
          <w:numId w:val="1182"/>
        </w:numPr>
      </w:pPr>
      <w:r>
        <w:t> Terminaison des arêtes</w:t>
      </w:r>
      <w:r>
        <w:br/>
        <w:t xml:space="preserve">Les arêtes saillantes des parois sont </w:t>
      </w:r>
      <w:r>
        <w:rPr>
          <w:rStyle w:val="optioncarChar"/>
        </w:rPr>
        <w:t>chanfreinées en triangle /chanfreinées en arrondi / vives</w:t>
      </w:r>
    </w:p>
    <w:p w14:paraId="2E58D5D5" w14:textId="77777777" w:rsidR="00DF410E" w:rsidRDefault="00CE7F43">
      <w:pPr>
        <w:ind w:left="567"/>
        <w:jc w:val="both"/>
      </w:pPr>
      <w:r>
        <w:rPr>
          <w:b/>
        </w:rPr>
        <w:t>(soit)</w:t>
      </w:r>
    </w:p>
    <w:p w14:paraId="21101523" w14:textId="77777777" w:rsidR="00DF410E" w:rsidRDefault="00CE7F43">
      <w:pPr>
        <w:ind w:left="567"/>
        <w:jc w:val="both"/>
      </w:pPr>
      <w:r>
        <w:rPr>
          <w:rStyle w:val="soitChar"/>
          <w:u w:val="single"/>
        </w:rPr>
        <w:t>Chanfreinées en triangle :</w:t>
      </w:r>
    </w:p>
    <w:p w14:paraId="0107A182" w14:textId="77777777" w:rsidR="00DF410E" w:rsidRDefault="00CE7F43">
      <w:pPr>
        <w:ind w:left="567"/>
        <w:jc w:val="both"/>
      </w:pPr>
      <w:r>
        <w:rPr>
          <w:rStyle w:val="soitChar"/>
        </w:rPr>
        <w:t xml:space="preserve"> Les arêtes sont cassées au moyen d'un chanfrein de</w:t>
      </w:r>
      <w:r>
        <w:t> </w:t>
      </w:r>
      <w:r>
        <w:rPr>
          <w:rStyle w:val="optioncarChar"/>
        </w:rPr>
        <w:t>1,5 x 1,5 / 2,5 x 2,5 / ***</w:t>
      </w:r>
      <w:r>
        <w:t>  </w:t>
      </w:r>
      <w:r>
        <w:rPr>
          <w:rStyle w:val="soitChar"/>
        </w:rPr>
        <w:t>cm x</w:t>
      </w:r>
      <w:r>
        <w:t>  </w:t>
      </w:r>
      <w:r>
        <w:rPr>
          <w:rStyle w:val="optioncarChar"/>
        </w:rPr>
        <w:t>***</w:t>
      </w:r>
      <w:r>
        <w:t>  </w:t>
      </w:r>
      <w:r>
        <w:rPr>
          <w:rStyle w:val="soitChar"/>
        </w:rPr>
        <w:t>cm</w:t>
      </w:r>
      <w:r>
        <w:t>.</w:t>
      </w:r>
    </w:p>
    <w:p w14:paraId="1CCB97C6" w14:textId="77777777" w:rsidR="00DF410E" w:rsidRDefault="00CE7F43">
      <w:pPr>
        <w:ind w:left="567"/>
        <w:jc w:val="both"/>
      </w:pPr>
      <w:r>
        <w:rPr>
          <w:b/>
        </w:rPr>
        <w:t>(soit)</w:t>
      </w:r>
    </w:p>
    <w:p w14:paraId="498A4C77" w14:textId="77777777" w:rsidR="00DF410E" w:rsidRDefault="00CE7F43">
      <w:pPr>
        <w:ind w:left="567"/>
        <w:jc w:val="both"/>
      </w:pPr>
      <w:r>
        <w:rPr>
          <w:rStyle w:val="soitChar"/>
          <w:u w:val="single"/>
        </w:rPr>
        <w:t>Chanfreinées en arrondi :</w:t>
      </w:r>
    </w:p>
    <w:p w14:paraId="59A445C9" w14:textId="77777777" w:rsidR="00DF410E" w:rsidRDefault="00CE7F43">
      <w:pPr>
        <w:ind w:left="567"/>
        <w:jc w:val="both"/>
      </w:pPr>
      <w:r>
        <w:rPr>
          <w:rStyle w:val="soitChar"/>
        </w:rPr>
        <w:t>Les arêtes sont cassées au moyen d'un chanfrein de rayon</w:t>
      </w:r>
      <w:r>
        <w:t> </w:t>
      </w:r>
      <w:r>
        <w:rPr>
          <w:rStyle w:val="optioncarChar"/>
        </w:rPr>
        <w:t>1,5 / 2,5 / ***</w:t>
      </w:r>
      <w:r>
        <w:t>  </w:t>
      </w:r>
      <w:r>
        <w:rPr>
          <w:rStyle w:val="soitChar"/>
        </w:rPr>
        <w:t>cm</w:t>
      </w:r>
      <w:r>
        <w:t>.</w:t>
      </w:r>
    </w:p>
    <w:p w14:paraId="0E161C5F" w14:textId="77777777" w:rsidR="00DF410E" w:rsidRDefault="00CE7F43">
      <w:pPr>
        <w:ind w:left="567"/>
        <w:jc w:val="both"/>
      </w:pPr>
      <w:r>
        <w:rPr>
          <w:b/>
        </w:rPr>
        <w:t>(soit)</w:t>
      </w:r>
    </w:p>
    <w:p w14:paraId="014B0EA8" w14:textId="77777777" w:rsidR="00DF410E" w:rsidRDefault="00CE7F43">
      <w:pPr>
        <w:ind w:left="567"/>
        <w:jc w:val="both"/>
      </w:pPr>
      <w:r>
        <w:rPr>
          <w:rStyle w:val="soitChar"/>
          <w:u w:val="single"/>
        </w:rPr>
        <w:t>Vives</w:t>
      </w:r>
    </w:p>
    <w:p w14:paraId="377DE19A" w14:textId="77777777" w:rsidR="00DF410E" w:rsidRDefault="00CE7F43">
      <w:r>
        <w:rPr>
          <w:b/>
        </w:rPr>
        <w:t>Joint :</w:t>
      </w:r>
      <w:r>
        <w:br/>
        <w:t xml:space="preserve">Teinte : </w:t>
      </w:r>
      <w:r>
        <w:rPr>
          <w:rStyle w:val="optioncarChar"/>
        </w:rPr>
        <w:t xml:space="preserve">similaire à celle du béton architectonique </w:t>
      </w:r>
      <w:r>
        <w:t>(par défaut)</w:t>
      </w:r>
      <w:r>
        <w:rPr>
          <w:rStyle w:val="optioncarChar"/>
        </w:rPr>
        <w:t xml:space="preserve"> / gris clair / blanc / ***</w:t>
      </w:r>
    </w:p>
    <w:p w14:paraId="7344AEFB" w14:textId="77777777" w:rsidR="00DF410E" w:rsidRDefault="00CE7F43">
      <w:pPr>
        <w:pStyle w:val="pheading"/>
      </w:pPr>
      <w:r>
        <w:t>EXÉCUTION / MISE EN ŒUVRE</w:t>
      </w:r>
    </w:p>
    <w:p w14:paraId="2CF9B6EA" w14:textId="77777777" w:rsidR="00DF410E" w:rsidRDefault="00CE7F43">
      <w:pPr>
        <w:pStyle w:val="pheading"/>
      </w:pPr>
      <w:r>
        <w:t>- Prescriptions générales</w:t>
      </w:r>
    </w:p>
    <w:p w14:paraId="02EAFFDC" w14:textId="77777777" w:rsidR="00DF410E" w:rsidRDefault="00CE7F43">
      <w:pPr>
        <w:jc w:val="both"/>
      </w:pPr>
      <w:r>
        <w:t>Les panneaux sont disposés conformément au dessin des plans d’exécution approuvés.</w:t>
      </w:r>
    </w:p>
    <w:p w14:paraId="0C664E07" w14:textId="77777777" w:rsidR="00DF410E" w:rsidRDefault="00CE7F43">
      <w:pPr>
        <w:jc w:val="both"/>
      </w:pPr>
      <w:r>
        <w:t>Les liaisons définitives entre les éléments sont exécutées conformément aux plans et aux prescriptions approuvés (mortier, bétonnage après la pose des barres d’attente, injection, jointoiement, soudure, vissage ou dévissage des goujons, etc.).</w:t>
      </w:r>
    </w:p>
    <w:p w14:paraId="4BCC1160" w14:textId="77777777" w:rsidR="00DF410E" w:rsidRDefault="00CE7F43">
      <w:pPr>
        <w:jc w:val="both"/>
      </w:pPr>
      <w:r>
        <w:rPr>
          <w:b/>
        </w:rPr>
        <w:t>Joints :</w:t>
      </w:r>
    </w:p>
    <w:p w14:paraId="6EC36E7F" w14:textId="77777777" w:rsidR="00DF410E" w:rsidRDefault="00CE7F43">
      <w:pPr>
        <w:jc w:val="both"/>
      </w:pPr>
      <w:r>
        <w:t>La largeur des joints de dilatation est précisée dans les schémas de mise en œuvre et est à référer par rapport à la brochure de la FEBE [FEBE G Le béton architectonique].</w:t>
      </w:r>
    </w:p>
    <w:p w14:paraId="5A72FEDD" w14:textId="77777777" w:rsidR="00DF410E" w:rsidRDefault="00CE7F43">
      <w:pPr>
        <w:jc w:val="both"/>
      </w:pPr>
      <w:r>
        <w:t xml:space="preserve">La fourniture et la pose du jointoiement est conforme aux prescriptions du </w:t>
      </w:r>
      <w:hyperlink w:anchor="699" w:history="1">
        <w:r>
          <w:t>22.63.1b Joints de remplissage autres qu'en mortier</w:t>
        </w:r>
      </w:hyperlink>
      <w:r>
        <w:t xml:space="preserve"> et est comprise dans le prix unitaire de cet article.</w:t>
      </w:r>
    </w:p>
    <w:p w14:paraId="08A84087" w14:textId="77777777" w:rsidR="00DF410E" w:rsidRDefault="00CE7F43">
      <w:pPr>
        <w:jc w:val="both"/>
      </w:pPr>
      <w:r>
        <w:t>Les accessoires utilisés pour le calage ou la protection sont conçus de façon à ne pas occasionner des taches ou d’autres types de dommages aux éléments.</w:t>
      </w:r>
    </w:p>
    <w:p w14:paraId="39C01F29" w14:textId="77777777" w:rsidR="00DF410E" w:rsidRDefault="00CE7F43">
      <w:pPr>
        <w:jc w:val="both"/>
      </w:pPr>
      <w:r>
        <w:rPr>
          <w:b/>
        </w:rPr>
        <w:t>Tolérances de pose :</w:t>
      </w:r>
    </w:p>
    <w:p w14:paraId="1A783081" w14:textId="77777777" w:rsidR="00DF410E" w:rsidRDefault="00CE7F43">
      <w:pPr>
        <w:pStyle w:val="Author-eListParagraph"/>
        <w:numPr>
          <w:ilvl w:val="0"/>
          <w:numId w:val="1183"/>
        </w:numPr>
        <w:jc w:val="both"/>
      </w:pPr>
      <w:r>
        <w:t>implantation : ≤ 5 mm ;</w:t>
      </w:r>
    </w:p>
    <w:p w14:paraId="0FE978B8" w14:textId="77777777" w:rsidR="00DF410E" w:rsidRDefault="00CE7F43">
      <w:pPr>
        <w:pStyle w:val="Author-eListParagraph"/>
        <w:numPr>
          <w:ilvl w:val="0"/>
          <w:numId w:val="1183"/>
        </w:numPr>
        <w:jc w:val="both"/>
      </w:pPr>
      <w:r>
        <w:t>verticalité : ≤ 1 mm/m avec un maximum de 5 mm par élément ;</w:t>
      </w:r>
    </w:p>
    <w:p w14:paraId="0AC8D2A2" w14:textId="77777777" w:rsidR="00DF410E" w:rsidRDefault="00CE7F43">
      <w:pPr>
        <w:pStyle w:val="Author-eListParagraph"/>
        <w:numPr>
          <w:ilvl w:val="0"/>
          <w:numId w:val="1183"/>
        </w:numPr>
        <w:jc w:val="both"/>
      </w:pPr>
      <w:r>
        <w:t>horizontalité : ≤ 5 mm ;</w:t>
      </w:r>
    </w:p>
    <w:p w14:paraId="554555A2" w14:textId="77777777" w:rsidR="00DF410E" w:rsidRDefault="00CE7F43">
      <w:pPr>
        <w:pStyle w:val="Author-eListParagraph"/>
        <w:numPr>
          <w:ilvl w:val="0"/>
          <w:numId w:val="1183"/>
        </w:numPr>
        <w:jc w:val="both"/>
      </w:pPr>
      <w:r>
        <w:t>largeur de joint : ≤ 5 mm.</w:t>
      </w:r>
    </w:p>
    <w:p w14:paraId="5FF31E50" w14:textId="77777777" w:rsidR="00DF410E" w:rsidRDefault="00CE7F43">
      <w:pPr>
        <w:pStyle w:val="pheading"/>
      </w:pPr>
      <w:r>
        <w:t>- Échantillons</w:t>
      </w:r>
    </w:p>
    <w:p w14:paraId="0CDEC393" w14:textId="77777777" w:rsidR="00DF410E" w:rsidRDefault="00CE7F43">
      <w:pPr>
        <w:jc w:val="both"/>
      </w:pPr>
      <w:r>
        <w:t>Le fabricant est tenu de soumettre un échantillon de 1 m² à l’approbation de la direction du chantier. Cette opération est répétée jusqu'à l’entière satisfaction de cette dernière. Les éléments présents sur le chantier et refusés sont évacués des aires de stockage.</w:t>
      </w:r>
    </w:p>
    <w:p w14:paraId="59019014" w14:textId="77777777" w:rsidR="00DF410E" w:rsidRDefault="00CE7F43">
      <w:pPr>
        <w:pStyle w:val="pheading"/>
      </w:pPr>
      <w:r>
        <w:t>DOCUMENTS DE RÉFÉRENCE COMPLÉMENTAIRES</w:t>
      </w:r>
    </w:p>
    <w:p w14:paraId="2C013984" w14:textId="77777777" w:rsidR="00DF410E" w:rsidRDefault="00CE7F43">
      <w:pPr>
        <w:pStyle w:val="pheading"/>
      </w:pPr>
      <w:r>
        <w:t>- Matériau</w:t>
      </w:r>
    </w:p>
    <w:p w14:paraId="46084628" w14:textId="77777777" w:rsidR="00DF410E" w:rsidRDefault="00CE7F43">
      <w:r>
        <w:t>[PTV 21-601, Eléments préfabriqués en béton architectonique.]</w:t>
      </w:r>
    </w:p>
    <w:p w14:paraId="46785821" w14:textId="77777777" w:rsidR="00DF410E" w:rsidRDefault="00CE7F43">
      <w:pPr>
        <w:pStyle w:val="pheading"/>
      </w:pPr>
      <w:r>
        <w:t>- Exécution</w:t>
      </w:r>
    </w:p>
    <w:p w14:paraId="11D9BD89" w14:textId="77777777" w:rsidR="00DF410E" w:rsidRDefault="00CE7F43">
      <w:r>
        <w:t>[PTV 21-601, Eléments préfabriqués en béton architectonique.]</w:t>
      </w:r>
    </w:p>
    <w:p w14:paraId="6948F88C" w14:textId="77777777" w:rsidR="00DF410E" w:rsidRDefault="00CE7F43">
      <w:pPr>
        <w:pStyle w:val="pheading"/>
      </w:pPr>
      <w:r>
        <w:t>MESURAGE</w:t>
      </w:r>
    </w:p>
    <w:p w14:paraId="2F741383" w14:textId="77777777" w:rsidR="00DF410E" w:rsidRDefault="00CE7F43">
      <w:pPr>
        <w:pStyle w:val="pheading"/>
      </w:pPr>
      <w:r>
        <w:t>- unité de mesure:</w:t>
      </w:r>
    </w:p>
    <w:p w14:paraId="131D5DB6" w14:textId="77777777" w:rsidR="00DF410E" w:rsidRDefault="00CE7F43">
      <w:r>
        <w:t>m²</w:t>
      </w:r>
    </w:p>
    <w:p w14:paraId="68A0CFC7" w14:textId="77777777" w:rsidR="00DF410E" w:rsidRDefault="00CE7F43">
      <w:pPr>
        <w:pStyle w:val="pheading"/>
      </w:pPr>
      <w:r>
        <w:t>- code de mesurage:</w:t>
      </w:r>
    </w:p>
    <w:p w14:paraId="7C4FFC20" w14:textId="77777777" w:rsidR="00DF410E" w:rsidRDefault="00CE7F43">
      <w:pPr>
        <w:jc w:val="both"/>
      </w:pPr>
      <w:r>
        <w:t>Surface nette à exécuter distinction faites suivant l’épaisseur et éventuellement la finition des panneaux, y compris l’établissement des plans d’exécution et la fourniture des notes de calcul, les éléments d'ancrage, l'isolation contre l'humidité, les joints de dilatation, le rejointoiement, les mastics, etc…. Les réservations dont la superficie est supérieure à 0,5 m² sont déduites.</w:t>
      </w:r>
    </w:p>
    <w:p w14:paraId="23885AFA" w14:textId="77777777" w:rsidR="00DF410E" w:rsidRDefault="00CE7F43">
      <w:pPr>
        <w:pStyle w:val="pheading"/>
      </w:pPr>
      <w:r>
        <w:t>- nature du marché:</w:t>
      </w:r>
    </w:p>
    <w:p w14:paraId="4116EC55" w14:textId="77777777" w:rsidR="00DF410E" w:rsidRDefault="00CE7F43">
      <w:r>
        <w:t>QF</w:t>
      </w:r>
    </w:p>
    <w:p w14:paraId="2775459B" w14:textId="77777777" w:rsidR="00DF410E" w:rsidRDefault="00CE7F43">
      <w:pPr>
        <w:pStyle w:val="pheading"/>
      </w:pPr>
      <w:r>
        <w:t>AIDE</w:t>
      </w:r>
    </w:p>
    <w:p w14:paraId="58FC2525" w14:textId="77777777" w:rsidR="00DF410E" w:rsidRDefault="00CE7F43">
      <w:r>
        <w:t>Résistance au feu de l'élément : support aux prescripteurs : [SWL GSI/T1/C].</w:t>
      </w:r>
    </w:p>
    <w:p w14:paraId="5C29F47A" w14:textId="77777777" w:rsidR="00DF410E" w:rsidRDefault="00CE7F43">
      <w:pPr>
        <w:pStyle w:val="Author-eSectionHeading3"/>
      </w:pPr>
      <w:bookmarkStart w:id="2129" w:name="_Toc178839166"/>
      <w:r>
        <w:t>28.3 - CCTB 01.02</w:t>
      </w:r>
      <w:bookmarkEnd w:id="2129"/>
    </w:p>
    <w:p w14:paraId="5094C5B6" w14:textId="77777777" w:rsidR="00DF410E" w:rsidRDefault="00CE7F43">
      <w:pPr>
        <w:pStyle w:val="Author-eSectionHeading3"/>
      </w:pPr>
      <w:bookmarkStart w:id="2130" w:name="_Toc178839167"/>
      <w:r>
        <w:t>28.4 - CCTB 01.02</w:t>
      </w:r>
      <w:bookmarkEnd w:id="2130"/>
    </w:p>
    <w:p w14:paraId="7671A557" w14:textId="77777777" w:rsidR="00DF410E" w:rsidRDefault="00CE7F43">
      <w:pPr>
        <w:pStyle w:val="Author-eSectionHeading3"/>
      </w:pPr>
      <w:bookmarkStart w:id="2131" w:name="_Toc178839168"/>
      <w:r>
        <w:t>28.5 - CCTB 01.02</w:t>
      </w:r>
      <w:bookmarkEnd w:id="2131"/>
    </w:p>
    <w:p w14:paraId="00E0ECBA" w14:textId="77777777" w:rsidR="00DF410E" w:rsidRDefault="00CE7F43">
      <w:pPr>
        <w:pStyle w:val="Author-eSectionHeading3"/>
      </w:pPr>
      <w:bookmarkStart w:id="2132" w:name="_Toc178839169"/>
      <w:r>
        <w:t>28.6 - CCTB 01.02</w:t>
      </w:r>
      <w:bookmarkEnd w:id="2132"/>
    </w:p>
    <w:p w14:paraId="4FE64142" w14:textId="77777777" w:rsidR="00DF410E" w:rsidRDefault="00CE7F43">
      <w:pPr>
        <w:pStyle w:val="Author-eSectionHeading3"/>
      </w:pPr>
      <w:bookmarkStart w:id="2133" w:name="_Toc178839170"/>
      <w:r>
        <w:t>28.7 - CCTB 01.02</w:t>
      </w:r>
      <w:bookmarkEnd w:id="2133"/>
    </w:p>
    <w:p w14:paraId="4F6268D4" w14:textId="77777777" w:rsidR="00DF410E" w:rsidRDefault="00CE7F43">
      <w:pPr>
        <w:pStyle w:val="Author-eSectionHeading3"/>
      </w:pPr>
      <w:bookmarkStart w:id="2134" w:name="_Toc178839171"/>
      <w:r>
        <w:t>28.8 Revêtements de façade en panneaux - Rénovation CCTB 01.04</w:t>
      </w:r>
      <w:bookmarkEnd w:id="2134"/>
    </w:p>
    <w:p w14:paraId="0D5C68E2" w14:textId="77777777" w:rsidR="00DF410E" w:rsidRDefault="00CE7F43">
      <w:pPr>
        <w:pStyle w:val="Author-eSectionHeading4"/>
      </w:pPr>
      <w:bookmarkStart w:id="2135" w:name="_Toc178839172"/>
      <w:r>
        <w:t>28.81 Etudes / essais préliminaires CCTB 01.02</w:t>
      </w:r>
      <w:bookmarkEnd w:id="2135"/>
    </w:p>
    <w:p w14:paraId="2D304DBD" w14:textId="77777777" w:rsidR="00DF410E" w:rsidRDefault="00CE7F43">
      <w:pPr>
        <w:pStyle w:val="Author-eSectionHeading5"/>
      </w:pPr>
      <w:bookmarkStart w:id="2136" w:name="_Toc178839173"/>
      <w:r>
        <w:t>28.81.1 Mesures d'humidité CCTB 01.04</w:t>
      </w:r>
      <w:bookmarkEnd w:id="2136"/>
    </w:p>
    <w:p w14:paraId="312328DF" w14:textId="77777777" w:rsidR="00DF410E" w:rsidRDefault="00CE7F43">
      <w:pPr>
        <w:pStyle w:val="pheading"/>
      </w:pPr>
      <w:r>
        <w:t>DESCRIPTION</w:t>
      </w:r>
    </w:p>
    <w:p w14:paraId="2CE3CB5B" w14:textId="77777777" w:rsidR="00DF410E" w:rsidRDefault="00CE7F43">
      <w:pPr>
        <w:pStyle w:val="pheading"/>
      </w:pPr>
      <w:r>
        <w:t>- Définition / Comprend</w:t>
      </w:r>
    </w:p>
    <w:p w14:paraId="39FD1B74" w14:textId="77777777" w:rsidR="00DF410E" w:rsidRDefault="00CE7F43">
      <w:r>
        <w:t>Renvoi au §</w:t>
      </w:r>
      <w:hyperlink r:id="rId549" w:history="1" w:docLocation="639">
        <w:r>
          <w:t>03.41.1 Mesures d'humidité</w:t>
        </w:r>
      </w:hyperlink>
    </w:p>
    <w:p w14:paraId="3E13103A" w14:textId="77777777" w:rsidR="00DF410E" w:rsidRDefault="00CE7F43">
      <w:pPr>
        <w:pStyle w:val="Author-eSectionHeading4"/>
      </w:pPr>
      <w:bookmarkStart w:id="2137" w:name="_Toc178839174"/>
      <w:r>
        <w:t>28.82 Dépose / démontage / percement / déconstruction-démolition CCTB 01.02</w:t>
      </w:r>
      <w:bookmarkEnd w:id="2137"/>
    </w:p>
    <w:p w14:paraId="7C6247CD" w14:textId="77777777" w:rsidR="00DF410E" w:rsidRDefault="00CE7F43">
      <w:pPr>
        <w:pStyle w:val="Author-eSectionHeading5"/>
      </w:pPr>
      <w:bookmarkStart w:id="2138" w:name="_Toc178839175"/>
      <w:r>
        <w:t>28.82.1 Travaux de stabilisation CCTB 01.04</w:t>
      </w:r>
      <w:bookmarkEnd w:id="2138"/>
    </w:p>
    <w:p w14:paraId="61696F4B" w14:textId="77777777" w:rsidR="00DF410E" w:rsidRDefault="00CE7F43">
      <w:pPr>
        <w:pStyle w:val="pheading"/>
      </w:pPr>
      <w:r>
        <w:t>DESCRIPTION</w:t>
      </w:r>
    </w:p>
    <w:p w14:paraId="24DF78C6" w14:textId="77777777" w:rsidR="00DF410E" w:rsidRDefault="00CE7F43">
      <w:pPr>
        <w:pStyle w:val="pheading"/>
      </w:pPr>
      <w:r>
        <w:t>- Définition / Comprend</w:t>
      </w:r>
    </w:p>
    <w:p w14:paraId="2C290651" w14:textId="77777777" w:rsidR="00DF410E" w:rsidRDefault="00CE7F43">
      <w:r>
        <w:t>Renvoi à </w:t>
      </w:r>
      <w:hyperlink r:id="rId550" w:history="1" w:docLocation="113">
        <w:r>
          <w:t>06.11 Stabilisations de la structure</w:t>
        </w:r>
      </w:hyperlink>
    </w:p>
    <w:p w14:paraId="3CE428B8" w14:textId="77777777" w:rsidR="00DF410E" w:rsidRDefault="00CE7F43">
      <w:pPr>
        <w:pStyle w:val="Author-eSectionHeading5"/>
      </w:pPr>
      <w:bookmarkStart w:id="2139" w:name="_Toc178839176"/>
      <w:r>
        <w:t>28.82.2 Dépose d'éléments (pour repose ultérieure) CCTB 01.04</w:t>
      </w:r>
      <w:bookmarkEnd w:id="2139"/>
    </w:p>
    <w:p w14:paraId="17FAE5C6" w14:textId="77777777" w:rsidR="00DF410E" w:rsidRDefault="00CE7F43">
      <w:pPr>
        <w:pStyle w:val="pheading"/>
      </w:pPr>
      <w:r>
        <w:t>DESCRIPTION</w:t>
      </w:r>
    </w:p>
    <w:p w14:paraId="0F4DA8FC" w14:textId="77777777" w:rsidR="00DF410E" w:rsidRDefault="00CE7F43">
      <w:pPr>
        <w:pStyle w:val="pheading"/>
      </w:pPr>
      <w:r>
        <w:t>- Définition / Comprend</w:t>
      </w:r>
    </w:p>
    <w:p w14:paraId="31588D09" w14:textId="77777777" w:rsidR="00DF410E" w:rsidRDefault="00CE7F43">
      <w:r>
        <w:t xml:space="preserve">Renvoi au § </w:t>
      </w:r>
      <w:hyperlink r:id="rId551" w:history="1" w:docLocation="700">
        <w:r>
          <w:t>06.55.2 Démontages de revêtement de façades</w:t>
        </w:r>
      </w:hyperlink>
    </w:p>
    <w:p w14:paraId="2D2762AB" w14:textId="77777777" w:rsidR="00DF410E" w:rsidRDefault="00CE7F43">
      <w:pPr>
        <w:pStyle w:val="Author-eSectionHeading5"/>
      </w:pPr>
      <w:bookmarkStart w:id="2140" w:name="_Toc178839177"/>
      <w:r>
        <w:t>28.82.3 Démontage d'éléments (pour récupération) CCTB 01.04</w:t>
      </w:r>
      <w:bookmarkEnd w:id="2140"/>
    </w:p>
    <w:p w14:paraId="5B011023" w14:textId="77777777" w:rsidR="00DF410E" w:rsidRDefault="00CE7F43">
      <w:pPr>
        <w:pStyle w:val="pheading"/>
      </w:pPr>
      <w:r>
        <w:t>DESCRIPTION</w:t>
      </w:r>
    </w:p>
    <w:p w14:paraId="52D4FCA2" w14:textId="77777777" w:rsidR="00DF410E" w:rsidRDefault="00CE7F43">
      <w:pPr>
        <w:pStyle w:val="pheading"/>
      </w:pPr>
      <w:r>
        <w:t>- Définition / Comprend</w:t>
      </w:r>
    </w:p>
    <w:p w14:paraId="4FECBE99" w14:textId="77777777" w:rsidR="00DF410E" w:rsidRDefault="00CE7F43">
      <w:r>
        <w:t xml:space="preserve">Renvoi au § </w:t>
      </w:r>
      <w:hyperlink r:id="rId552" w:history="1" w:docLocation="701">
        <w:r>
          <w:t>06.45.2 Démontages de revêtement de façades</w:t>
        </w:r>
      </w:hyperlink>
    </w:p>
    <w:p w14:paraId="4858D510" w14:textId="77777777" w:rsidR="00DF410E" w:rsidRDefault="00CE7F43">
      <w:pPr>
        <w:pStyle w:val="Author-eSectionHeading5"/>
      </w:pPr>
      <w:bookmarkStart w:id="2141" w:name="_Toc178839178"/>
      <w:r>
        <w:t>28.82.4 Décapage / enlèvement (pour évacuation) CCTB 01.04</w:t>
      </w:r>
      <w:bookmarkEnd w:id="2141"/>
    </w:p>
    <w:p w14:paraId="12F2ACB8" w14:textId="77777777" w:rsidR="00DF410E" w:rsidRDefault="00CE7F43">
      <w:pPr>
        <w:pStyle w:val="pheading"/>
      </w:pPr>
      <w:r>
        <w:t>DESCRIPTION</w:t>
      </w:r>
    </w:p>
    <w:p w14:paraId="02D8C386" w14:textId="77777777" w:rsidR="00DF410E" w:rsidRDefault="00CE7F43">
      <w:pPr>
        <w:pStyle w:val="pheading"/>
      </w:pPr>
      <w:r>
        <w:t>- Définition / Comprend</w:t>
      </w:r>
    </w:p>
    <w:p w14:paraId="50D19364" w14:textId="77777777" w:rsidR="00DF410E" w:rsidRDefault="00CE7F43">
      <w:r>
        <w:t>Renvoi à </w:t>
      </w:r>
      <w:hyperlink r:id="rId553" w:history="1" w:docLocation="535">
        <w:r>
          <w:t>06.7 Décapages / déjointoiements (pour évacuation)</w:t>
        </w:r>
      </w:hyperlink>
    </w:p>
    <w:p w14:paraId="13104783"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554" w:history="1" w:docLocation="116">
        <w:r>
          <w:t>07 Déchets, matériaux et éléments réemployables</w:t>
        </w:r>
      </w:hyperlink>
      <w:r>
        <w:t>.</w:t>
      </w:r>
    </w:p>
    <w:p w14:paraId="72943172" w14:textId="77777777" w:rsidR="00DF410E" w:rsidRDefault="00CE7F43">
      <w:pPr>
        <w:pStyle w:val="Author-eSectionHeading5"/>
      </w:pPr>
      <w:bookmarkStart w:id="2142" w:name="_Toc178839179"/>
      <w:r>
        <w:t>28.82.5 Percements / carottages CCTB 01.04</w:t>
      </w:r>
      <w:bookmarkEnd w:id="2142"/>
    </w:p>
    <w:p w14:paraId="3A39DFD8" w14:textId="77777777" w:rsidR="00DF410E" w:rsidRDefault="00CE7F43">
      <w:pPr>
        <w:pStyle w:val="pheading"/>
      </w:pPr>
      <w:r>
        <w:t>DESCRIPTION</w:t>
      </w:r>
    </w:p>
    <w:p w14:paraId="594D3E01" w14:textId="77777777" w:rsidR="00DF410E" w:rsidRDefault="00CE7F43">
      <w:pPr>
        <w:pStyle w:val="pheading"/>
      </w:pPr>
      <w:r>
        <w:t>- Définition / Comprend</w:t>
      </w:r>
    </w:p>
    <w:p w14:paraId="035092B8" w14:textId="77777777" w:rsidR="00DF410E" w:rsidRDefault="00CE7F43">
      <w:r>
        <w:t>Renvoi à </w:t>
      </w:r>
      <w:hyperlink r:id="rId555" w:history="1" w:docLocation="438">
        <w:r>
          <w:t>06.8 Percements / carottages</w:t>
        </w:r>
      </w:hyperlink>
    </w:p>
    <w:p w14:paraId="451954F7" w14:textId="77777777" w:rsidR="00DF410E" w:rsidRDefault="00CE7F43">
      <w:pPr>
        <w:pStyle w:val="Author-eSectionHeading5"/>
      </w:pPr>
      <w:bookmarkStart w:id="2143" w:name="_Toc178839180"/>
      <w:r>
        <w:t>28.82.6 Démolition / déconstruction (pour évacuation) CCTB 01.04</w:t>
      </w:r>
      <w:bookmarkEnd w:id="2143"/>
    </w:p>
    <w:p w14:paraId="77DD6371" w14:textId="77777777" w:rsidR="00DF410E" w:rsidRDefault="00CE7F43">
      <w:pPr>
        <w:pStyle w:val="pheading"/>
      </w:pPr>
      <w:r>
        <w:t>DESCRIPTION</w:t>
      </w:r>
    </w:p>
    <w:p w14:paraId="033CE37C" w14:textId="77777777" w:rsidR="00DF410E" w:rsidRDefault="00CE7F43">
      <w:pPr>
        <w:pStyle w:val="pheading"/>
      </w:pPr>
      <w:r>
        <w:t>- Définition / Comprend</w:t>
      </w:r>
    </w:p>
    <w:p w14:paraId="51EFC238" w14:textId="77777777" w:rsidR="00DF410E" w:rsidRDefault="00CE7F43">
      <w:r>
        <w:t xml:space="preserve">Renvoi au § </w:t>
      </w:r>
      <w:hyperlink r:id="rId556" w:history="1" w:docLocation="702">
        <w:r>
          <w:t>05.4 Neutralisations et évacuations de citernes et auxiliaires</w:t>
        </w:r>
      </w:hyperlink>
    </w:p>
    <w:p w14:paraId="75FAC4B2" w14:textId="77777777" w:rsidR="00DF410E" w:rsidRDefault="00CE7F43">
      <w:r>
        <w:t xml:space="preserve">L’évacuation et la gestion des déchets issus de travaux de démolition, de rénovation ou de construction font l’objet d’un ou plusieurs postes spécifiques, détaillés dans le Tome 0 en section </w:t>
      </w:r>
      <w:hyperlink r:id="rId557" w:history="1" w:docLocation="116">
        <w:r>
          <w:t>07 Déchets, matériaux et éléments réemployables</w:t>
        </w:r>
      </w:hyperlink>
      <w:r>
        <w:t>.</w:t>
      </w:r>
    </w:p>
    <w:p w14:paraId="3058D627" w14:textId="77777777" w:rsidR="00DF410E" w:rsidRDefault="00CE7F43">
      <w:pPr>
        <w:pStyle w:val="Author-eSectionHeading4"/>
      </w:pPr>
      <w:bookmarkStart w:id="2144" w:name="_Toc178839181"/>
      <w:r>
        <w:t>28.83 Réparation / ragréage / rénovation CCTB 01.04</w:t>
      </w:r>
      <w:bookmarkEnd w:id="2144"/>
    </w:p>
    <w:p w14:paraId="5B1C68D0" w14:textId="77777777" w:rsidR="00DF410E" w:rsidRDefault="00CE7F43">
      <w:pPr>
        <w:pStyle w:val="Author-eSectionHeading4"/>
      </w:pPr>
      <w:bookmarkStart w:id="2145" w:name="_Toc178839182"/>
      <w:r>
        <w:t>28.84 Renforcement CCTB 01.05</w:t>
      </w:r>
      <w:bookmarkEnd w:id="2145"/>
    </w:p>
    <w:p w14:paraId="6BEDDAD0" w14:textId="77777777" w:rsidR="00DF410E" w:rsidRDefault="00CE7F43">
      <w:pPr>
        <w:pStyle w:val="pheading"/>
      </w:pPr>
      <w:r>
        <w:t>DESCRIPTION</w:t>
      </w:r>
    </w:p>
    <w:p w14:paraId="1EF042F1" w14:textId="77777777" w:rsidR="00DF410E" w:rsidRDefault="00CE7F43">
      <w:pPr>
        <w:pStyle w:val="pheading"/>
      </w:pPr>
      <w:r>
        <w:t>- Définition / Comprend</w:t>
      </w:r>
    </w:p>
    <w:p w14:paraId="0244E841" w14:textId="77777777" w:rsidR="00DF410E" w:rsidRDefault="00CE7F43">
      <w:r>
        <w:t xml:space="preserve">Renvoi à l'article </w:t>
      </w:r>
      <w:hyperlink w:anchor="703" w:history="1">
        <w:r>
          <w:t>21.84 Renforcements</w:t>
        </w:r>
      </w:hyperlink>
    </w:p>
    <w:p w14:paraId="288EAAC8" w14:textId="77777777" w:rsidR="00DF410E" w:rsidRDefault="00CE7F43">
      <w:pPr>
        <w:pStyle w:val="Author-eSectionHeading4"/>
      </w:pPr>
      <w:bookmarkStart w:id="2146" w:name="_Toc178839183"/>
      <w:r>
        <w:t>28.85 Adaptation CCTB 01.02</w:t>
      </w:r>
      <w:bookmarkEnd w:id="2146"/>
    </w:p>
    <w:p w14:paraId="043A71BC" w14:textId="77777777" w:rsidR="00DF410E" w:rsidRDefault="00CE7F43">
      <w:pPr>
        <w:pStyle w:val="Author-eSectionHeading4"/>
      </w:pPr>
      <w:bookmarkStart w:id="2147" w:name="_Toc178839184"/>
      <w:r>
        <w:t>28.86 Repose / remplacement (à l'identique) CCTB 01.02</w:t>
      </w:r>
      <w:bookmarkEnd w:id="2147"/>
    </w:p>
    <w:p w14:paraId="5129F0D1" w14:textId="77777777" w:rsidR="00DF410E" w:rsidRDefault="00CE7F43">
      <w:pPr>
        <w:pStyle w:val="Author-eSectionHeading5"/>
      </w:pPr>
      <w:bookmarkStart w:id="2148" w:name="_Toc178839185"/>
      <w:r>
        <w:t>28.86.1 Repose d'éléments récupérés CCTB 01.02</w:t>
      </w:r>
      <w:bookmarkEnd w:id="2148"/>
    </w:p>
    <w:p w14:paraId="5108729E" w14:textId="77777777" w:rsidR="00DF410E" w:rsidRDefault="00CE7F43">
      <w:pPr>
        <w:pStyle w:val="Author-eSectionHeading6"/>
      </w:pPr>
      <w:bookmarkStart w:id="2149" w:name="_Toc178839186"/>
      <w:r>
        <w:t>28.86.1a Repose d'éléments récupérés CCTB 01.02</w:t>
      </w:r>
      <w:bookmarkEnd w:id="2149"/>
    </w:p>
    <w:p w14:paraId="4C21F86E" w14:textId="77777777" w:rsidR="00DF410E" w:rsidRDefault="00CE7F43">
      <w:pPr>
        <w:pStyle w:val="pheading"/>
      </w:pPr>
      <w:r>
        <w:t>MESURAGE</w:t>
      </w:r>
    </w:p>
    <w:p w14:paraId="4E44766B" w14:textId="77777777" w:rsidR="00DF410E" w:rsidRDefault="00CE7F43">
      <w:pPr>
        <w:pStyle w:val="pheading"/>
      </w:pPr>
      <w:r>
        <w:t>- unité de mesure:</w:t>
      </w:r>
    </w:p>
    <w:p w14:paraId="337FB446" w14:textId="77777777" w:rsidR="00DF410E" w:rsidRDefault="00DF410E"/>
    <w:p w14:paraId="4533AD42" w14:textId="77777777" w:rsidR="00DF410E" w:rsidRDefault="00CE7F43">
      <w:pPr>
        <w:pStyle w:val="Author-eSectionHeading5"/>
      </w:pPr>
      <w:bookmarkStart w:id="2150" w:name="_Toc178839187"/>
      <w:r>
        <w:t>28.86.2 Remplacement de matériaux CCTB 01.02</w:t>
      </w:r>
      <w:bookmarkEnd w:id="2150"/>
    </w:p>
    <w:p w14:paraId="6A8A8FEB" w14:textId="77777777" w:rsidR="00DF410E" w:rsidRDefault="00CE7F43">
      <w:pPr>
        <w:pStyle w:val="Author-eSectionHeading6"/>
      </w:pPr>
      <w:bookmarkStart w:id="2151" w:name="_Toc178839188"/>
      <w:r>
        <w:t>28.86.2a Remplacement à l'identique de plaques CCTB 01.02</w:t>
      </w:r>
      <w:bookmarkEnd w:id="2151"/>
    </w:p>
    <w:p w14:paraId="60C02D7E" w14:textId="77777777" w:rsidR="00DF410E" w:rsidRDefault="00CE7F43">
      <w:pPr>
        <w:pStyle w:val="Author-eSectionHeading5"/>
      </w:pPr>
      <w:bookmarkStart w:id="2152" w:name="_Toc178839189"/>
      <w:r>
        <w:t>28.86.3 Rejointoiement CCTB 01.02</w:t>
      </w:r>
      <w:bookmarkEnd w:id="2152"/>
    </w:p>
    <w:p w14:paraId="479E3608" w14:textId="77777777" w:rsidR="00DF410E" w:rsidRDefault="00CE7F43">
      <w:pPr>
        <w:pStyle w:val="Author-eSectionHeading6"/>
      </w:pPr>
      <w:bookmarkStart w:id="2153" w:name="_Toc178839190"/>
      <w:r>
        <w:t>28.86.3a Rejointoiement CCTB 01.04</w:t>
      </w:r>
      <w:bookmarkEnd w:id="2153"/>
    </w:p>
    <w:p w14:paraId="1B8BA308" w14:textId="77777777" w:rsidR="00DF410E" w:rsidRDefault="00CE7F43">
      <w:pPr>
        <w:pStyle w:val="pheading"/>
      </w:pPr>
      <w:r>
        <w:t>DESCRIPTION</w:t>
      </w:r>
    </w:p>
    <w:p w14:paraId="56FA2061" w14:textId="77777777" w:rsidR="00DF410E" w:rsidRDefault="00CE7F43">
      <w:pPr>
        <w:pStyle w:val="pheading"/>
      </w:pPr>
      <w:r>
        <w:t>- Définition / Comprend</w:t>
      </w:r>
    </w:p>
    <w:p w14:paraId="54B90519" w14:textId="77777777" w:rsidR="00DF410E" w:rsidRDefault="00CE7F43">
      <w:r>
        <w:t xml:space="preserve">Renvoi au </w:t>
      </w:r>
      <w:hyperlink w:anchor="704" w:history="1">
        <w:r>
          <w:t>21.61.1a Rejointoyage</w:t>
        </w:r>
      </w:hyperlink>
    </w:p>
    <w:p w14:paraId="59058472" w14:textId="77777777" w:rsidR="00DF410E" w:rsidRDefault="00CE7F43">
      <w:pPr>
        <w:pStyle w:val="Author-eSectionHeading6"/>
      </w:pPr>
      <w:bookmarkStart w:id="2154" w:name="_Toc178839191"/>
      <w:r>
        <w:t>28.86.3b Renouvellement de joints souples &gt; renvoi au § 45.13 CCTB 01.02</w:t>
      </w:r>
      <w:bookmarkEnd w:id="2154"/>
    </w:p>
    <w:p w14:paraId="43B6E6A0" w14:textId="77777777" w:rsidR="00DF410E" w:rsidRDefault="00CE7F43">
      <w:pPr>
        <w:pStyle w:val="Author-eSectionHeading4"/>
      </w:pPr>
      <w:bookmarkStart w:id="2155" w:name="_Toc178839192"/>
      <w:r>
        <w:t>28.87 Nettoyage et préparation de surface CCTB 01.04</w:t>
      </w:r>
      <w:bookmarkEnd w:id="2155"/>
    </w:p>
    <w:p w14:paraId="5ABA6077" w14:textId="77777777" w:rsidR="00DF410E" w:rsidRDefault="00CE7F43">
      <w:pPr>
        <w:pStyle w:val="pheading"/>
      </w:pPr>
      <w:r>
        <w:t>DESCRIPTION</w:t>
      </w:r>
    </w:p>
    <w:p w14:paraId="3B1394FD" w14:textId="77777777" w:rsidR="00DF410E" w:rsidRDefault="00CE7F43">
      <w:pPr>
        <w:pStyle w:val="pheading"/>
      </w:pPr>
      <w:r>
        <w:t>- Définition / Comprend</w:t>
      </w:r>
    </w:p>
    <w:p w14:paraId="79478CFE" w14:textId="77777777" w:rsidR="00DF410E" w:rsidRDefault="00CE7F43">
      <w:r>
        <w:t xml:space="preserve">voir les articles </w:t>
      </w:r>
      <w:hyperlink r:id="rId558" w:history="1" w:docLocation="705">
        <w:r>
          <w:t>82.1 Peintures extérieures sur subjectiles minéraux poreux (béton, blocs de béton, terre cuite, enduits)</w:t>
        </w:r>
      </w:hyperlink>
      <w:r>
        <w:t xml:space="preserve"> et </w:t>
      </w:r>
      <w:hyperlink r:id="rId559" w:history="1" w:docLocation="469">
        <w:r>
          <w:t>83.11 Nettoyage / préparation de surface</w:t>
        </w:r>
      </w:hyperlink>
    </w:p>
    <w:p w14:paraId="48F8D95E" w14:textId="77777777" w:rsidR="00DF410E" w:rsidRDefault="00CE7F43">
      <w:pPr>
        <w:pStyle w:val="Author-eSectionHeading4"/>
      </w:pPr>
      <w:bookmarkStart w:id="2156" w:name="_Toc178839193"/>
      <w:r>
        <w:t>28.88 Traitement et protection CCTB 01.04</w:t>
      </w:r>
      <w:bookmarkEnd w:id="2156"/>
    </w:p>
    <w:p w14:paraId="0DB7D6F9" w14:textId="77777777" w:rsidR="00DF410E" w:rsidRDefault="00CE7F43">
      <w:pPr>
        <w:pStyle w:val="pheading"/>
      </w:pPr>
      <w:r>
        <w:t>DESCRIPTION</w:t>
      </w:r>
    </w:p>
    <w:p w14:paraId="60BED08B" w14:textId="77777777" w:rsidR="00DF410E" w:rsidRDefault="00CE7F43">
      <w:pPr>
        <w:pStyle w:val="pheading"/>
      </w:pPr>
      <w:r>
        <w:t>- Définition / Comprend</w:t>
      </w:r>
    </w:p>
    <w:p w14:paraId="13534648" w14:textId="77777777" w:rsidR="00DF410E" w:rsidRDefault="00CE7F43">
      <w:r>
        <w:t xml:space="preserve">voir l'élément </w:t>
      </w:r>
      <w:hyperlink r:id="rId560" w:history="1" w:docLocation="542">
        <w:r>
          <w:t>83.1 Subjectiles minéraux poreux (béton, blocs de béton, terre cuite, enduits)</w:t>
        </w:r>
      </w:hyperlink>
    </w:p>
    <w:sectPr w:rsidR="00DF410E">
      <w:headerReference w:type="default" r:id="rId561"/>
      <w:footerReference w:type="default" r:id="rId562"/>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1CC17" w14:textId="77777777" w:rsidR="007341F9" w:rsidRDefault="007341F9">
      <w:pPr>
        <w:spacing w:before="0" w:after="0" w:line="240" w:lineRule="auto"/>
      </w:pPr>
      <w:r>
        <w:separator/>
      </w:r>
    </w:p>
  </w:endnote>
  <w:endnote w:type="continuationSeparator" w:id="0">
    <w:p w14:paraId="30D09F99" w14:textId="77777777" w:rsidR="007341F9" w:rsidRDefault="007341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8FD1" w14:textId="77777777" w:rsidR="00DF410E" w:rsidRDefault="00CE7F43">
    <w:r>
      <w:ptab w:relativeTo="margin" w:alignment="center" w:leader="none"/>
    </w:r>
    <w:sdt>
      <w:sdtPr>
        <w:id w:val="-1146045520"/>
      </w:sdtPr>
      <w:sdtEndPr/>
      <w:sdtContent>
        <w:r w:rsidRPr="0004686B">
          <w:rPr>
            <w:b/>
            <w:bCs/>
            <w:sz w:val="16"/>
            <w:szCs w:val="16"/>
          </w:rPr>
          <w:fldChar w:fldCharType="begin"/>
        </w:r>
        <w:r w:rsidRPr="0004686B">
          <w:rPr>
            <w:b/>
            <w:bCs/>
            <w:sz w:val="16"/>
            <w:szCs w:val="16"/>
          </w:rPr>
          <w:instrText>PAGE</w:instrText>
        </w:r>
        <w:r w:rsidRPr="0004686B">
          <w:rPr>
            <w:b/>
            <w:bCs/>
            <w:sz w:val="16"/>
            <w:szCs w:val="16"/>
          </w:rPr>
          <w:fldChar w:fldCharType="separate"/>
        </w:r>
        <w:r w:rsidR="002C1738" w:rsidRPr="0004686B">
          <w:rPr>
            <w:b/>
            <w:bCs/>
            <w:noProof/>
            <w:sz w:val="16"/>
            <w:szCs w:val="16"/>
          </w:rPr>
          <w:t>1</w:t>
        </w:r>
        <w:r w:rsidRPr="0004686B">
          <w:rPr>
            <w:b/>
            <w:bCs/>
            <w:sz w:val="16"/>
            <w:szCs w:val="16"/>
          </w:rPr>
          <w:fldChar w:fldCharType="end"/>
        </w:r>
        <w:r w:rsidRPr="0004686B">
          <w:rPr>
            <w:b/>
            <w:bCs/>
            <w:sz w:val="16"/>
            <w:szCs w:val="16"/>
          </w:rPr>
          <w:t>/</w:t>
        </w:r>
        <w:r w:rsidRPr="0004686B">
          <w:rPr>
            <w:b/>
            <w:bCs/>
            <w:sz w:val="16"/>
            <w:szCs w:val="16"/>
          </w:rPr>
          <w:fldChar w:fldCharType="begin"/>
        </w:r>
        <w:r w:rsidRPr="0004686B">
          <w:rPr>
            <w:b/>
            <w:bCs/>
            <w:sz w:val="16"/>
            <w:szCs w:val="16"/>
          </w:rPr>
          <w:instrText>NUMPAGES</w:instrText>
        </w:r>
        <w:r w:rsidRPr="0004686B">
          <w:rPr>
            <w:b/>
            <w:bCs/>
            <w:sz w:val="16"/>
            <w:szCs w:val="16"/>
          </w:rPr>
          <w:fldChar w:fldCharType="separate"/>
        </w:r>
        <w:r w:rsidR="002C1738" w:rsidRPr="0004686B">
          <w:rPr>
            <w:b/>
            <w:bCs/>
            <w:noProof/>
            <w:sz w:val="16"/>
            <w:szCs w:val="16"/>
          </w:rPr>
          <w:t>2</w:t>
        </w:r>
        <w:r w:rsidRPr="0004686B">
          <w:rPr>
            <w:b/>
            <w:bCs/>
            <w:sz w:val="16"/>
            <w:szCs w:val="16"/>
          </w:rP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CF377" w14:textId="77777777" w:rsidR="007341F9" w:rsidRDefault="007341F9">
      <w:pPr>
        <w:spacing w:before="0" w:after="0" w:line="240" w:lineRule="auto"/>
      </w:pPr>
      <w:r>
        <w:separator/>
      </w:r>
    </w:p>
  </w:footnote>
  <w:footnote w:type="continuationSeparator" w:id="0">
    <w:p w14:paraId="556113DF" w14:textId="77777777" w:rsidR="007341F9" w:rsidRDefault="007341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FA7D" w14:textId="5ED61FEB" w:rsidR="00FD58BF" w:rsidRDefault="00FD58BF" w:rsidP="00FD58BF">
    <w:pPr>
      <w:pStyle w:val="En-tte"/>
      <w:jc w:val="center"/>
    </w:pPr>
    <w:r>
      <w:rPr>
        <w:sz w:val="16"/>
        <w:szCs w:val="16"/>
      </w:rPr>
      <w:t xml:space="preserve">CCTB 01.12 du </w:t>
    </w:r>
    <w:r w:rsidR="00CE7F43">
      <w:rPr>
        <w:sz w:val="16"/>
        <w:szCs w:val="16"/>
      </w:rPr>
      <w:t>18</w:t>
    </w:r>
    <w:r>
      <w:rPr>
        <w:sz w:val="16"/>
        <w:szCs w:val="16"/>
      </w:rPr>
      <w:t>/0</w:t>
    </w:r>
    <w:r w:rsidR="00CE7F43">
      <w:rPr>
        <w:sz w:val="16"/>
        <w:szCs w:val="16"/>
      </w:rPr>
      <w:t>2</w:t>
    </w:r>
    <w:r>
      <w:rPr>
        <w:sz w:val="16"/>
        <w:szCs w:val="16"/>
      </w:rPr>
      <w:t xml:space="preserve">/2025 – </w:t>
    </w:r>
    <w:r w:rsidRPr="00FD58BF">
      <w:rPr>
        <w:sz w:val="16"/>
        <w:szCs w:val="16"/>
      </w:rPr>
      <w:t>T2 Superstructures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CC1"/>
    <w:multiLevelType w:val="hybridMultilevel"/>
    <w:tmpl w:val="421EFAFC"/>
    <w:lvl w:ilvl="0" w:tplc="5AC6E962">
      <w:start w:val="1"/>
      <w:numFmt w:val="bullet"/>
      <w:lvlText w:val=""/>
      <w:lvlJc w:val="left"/>
      <w:pPr>
        <w:ind w:left="720" w:hanging="360"/>
      </w:pPr>
      <w:rPr>
        <w:rFonts w:ascii="Symbol" w:hAnsi="Symbol" w:hint="default"/>
      </w:rPr>
    </w:lvl>
    <w:lvl w:ilvl="1" w:tplc="175EC9BE">
      <w:numFmt w:val="decimal"/>
      <w:lvlText w:val=""/>
      <w:lvlJc w:val="left"/>
    </w:lvl>
    <w:lvl w:ilvl="2" w:tplc="20D04698">
      <w:numFmt w:val="decimal"/>
      <w:lvlText w:val=""/>
      <w:lvlJc w:val="left"/>
    </w:lvl>
    <w:lvl w:ilvl="3" w:tplc="9C7234F8">
      <w:numFmt w:val="decimal"/>
      <w:lvlText w:val=""/>
      <w:lvlJc w:val="left"/>
    </w:lvl>
    <w:lvl w:ilvl="4" w:tplc="6E26037E">
      <w:numFmt w:val="decimal"/>
      <w:lvlText w:val=""/>
      <w:lvlJc w:val="left"/>
    </w:lvl>
    <w:lvl w:ilvl="5" w:tplc="45B220B8">
      <w:numFmt w:val="decimal"/>
      <w:lvlText w:val=""/>
      <w:lvlJc w:val="left"/>
    </w:lvl>
    <w:lvl w:ilvl="6" w:tplc="A9B623DC">
      <w:numFmt w:val="decimal"/>
      <w:lvlText w:val=""/>
      <w:lvlJc w:val="left"/>
    </w:lvl>
    <w:lvl w:ilvl="7" w:tplc="2732F326">
      <w:numFmt w:val="decimal"/>
      <w:lvlText w:val=""/>
      <w:lvlJc w:val="left"/>
    </w:lvl>
    <w:lvl w:ilvl="8" w:tplc="7A7C60A0">
      <w:numFmt w:val="decimal"/>
      <w:lvlText w:val=""/>
      <w:lvlJc w:val="left"/>
    </w:lvl>
  </w:abstractNum>
  <w:abstractNum w:abstractNumId="1" w15:restartNumberingAfterBreak="0">
    <w:nsid w:val="00211C71"/>
    <w:multiLevelType w:val="hybridMultilevel"/>
    <w:tmpl w:val="A038F188"/>
    <w:lvl w:ilvl="0" w:tplc="AAFC1938">
      <w:start w:val="1"/>
      <w:numFmt w:val="bullet"/>
      <w:lvlText w:val=""/>
      <w:lvlJc w:val="left"/>
      <w:pPr>
        <w:ind w:left="720" w:hanging="360"/>
      </w:pPr>
      <w:rPr>
        <w:rFonts w:ascii="Symbol" w:hAnsi="Symbol" w:hint="default"/>
      </w:rPr>
    </w:lvl>
    <w:lvl w:ilvl="1" w:tplc="E5349DF8">
      <w:numFmt w:val="decimal"/>
      <w:lvlText w:val=""/>
      <w:lvlJc w:val="left"/>
    </w:lvl>
    <w:lvl w:ilvl="2" w:tplc="DB1E9604">
      <w:numFmt w:val="decimal"/>
      <w:lvlText w:val=""/>
      <w:lvlJc w:val="left"/>
    </w:lvl>
    <w:lvl w:ilvl="3" w:tplc="8B3E40FA">
      <w:numFmt w:val="decimal"/>
      <w:lvlText w:val=""/>
      <w:lvlJc w:val="left"/>
    </w:lvl>
    <w:lvl w:ilvl="4" w:tplc="215E9E30">
      <w:numFmt w:val="decimal"/>
      <w:lvlText w:val=""/>
      <w:lvlJc w:val="left"/>
    </w:lvl>
    <w:lvl w:ilvl="5" w:tplc="0E6808D2">
      <w:numFmt w:val="decimal"/>
      <w:lvlText w:val=""/>
      <w:lvlJc w:val="left"/>
    </w:lvl>
    <w:lvl w:ilvl="6" w:tplc="AD3C4F20">
      <w:numFmt w:val="decimal"/>
      <w:lvlText w:val=""/>
      <w:lvlJc w:val="left"/>
    </w:lvl>
    <w:lvl w:ilvl="7" w:tplc="DFE4C42A">
      <w:numFmt w:val="decimal"/>
      <w:lvlText w:val=""/>
      <w:lvlJc w:val="left"/>
    </w:lvl>
    <w:lvl w:ilvl="8" w:tplc="1AEC10D6">
      <w:numFmt w:val="decimal"/>
      <w:lvlText w:val=""/>
      <w:lvlJc w:val="left"/>
    </w:lvl>
  </w:abstractNum>
  <w:abstractNum w:abstractNumId="2" w15:restartNumberingAfterBreak="0">
    <w:nsid w:val="002A0001"/>
    <w:multiLevelType w:val="hybridMultilevel"/>
    <w:tmpl w:val="9BA0D24A"/>
    <w:lvl w:ilvl="0" w:tplc="F634D8F6">
      <w:start w:val="1"/>
      <w:numFmt w:val="bullet"/>
      <w:lvlText w:val=""/>
      <w:lvlJc w:val="left"/>
      <w:pPr>
        <w:ind w:left="720" w:hanging="360"/>
      </w:pPr>
      <w:rPr>
        <w:rFonts w:ascii="Symbol" w:hAnsi="Symbol" w:hint="default"/>
      </w:rPr>
    </w:lvl>
    <w:lvl w:ilvl="1" w:tplc="E69CA716">
      <w:numFmt w:val="decimal"/>
      <w:lvlText w:val=""/>
      <w:lvlJc w:val="left"/>
    </w:lvl>
    <w:lvl w:ilvl="2" w:tplc="645A41BA">
      <w:numFmt w:val="decimal"/>
      <w:lvlText w:val=""/>
      <w:lvlJc w:val="left"/>
    </w:lvl>
    <w:lvl w:ilvl="3" w:tplc="F1C0E002">
      <w:numFmt w:val="decimal"/>
      <w:lvlText w:val=""/>
      <w:lvlJc w:val="left"/>
    </w:lvl>
    <w:lvl w:ilvl="4" w:tplc="401C033C">
      <w:numFmt w:val="decimal"/>
      <w:lvlText w:val=""/>
      <w:lvlJc w:val="left"/>
    </w:lvl>
    <w:lvl w:ilvl="5" w:tplc="58ECDB24">
      <w:numFmt w:val="decimal"/>
      <w:lvlText w:val=""/>
      <w:lvlJc w:val="left"/>
    </w:lvl>
    <w:lvl w:ilvl="6" w:tplc="B3AA15B8">
      <w:numFmt w:val="decimal"/>
      <w:lvlText w:val=""/>
      <w:lvlJc w:val="left"/>
    </w:lvl>
    <w:lvl w:ilvl="7" w:tplc="980C8A4A">
      <w:numFmt w:val="decimal"/>
      <w:lvlText w:val=""/>
      <w:lvlJc w:val="left"/>
    </w:lvl>
    <w:lvl w:ilvl="8" w:tplc="AFB41D8A">
      <w:numFmt w:val="decimal"/>
      <w:lvlText w:val=""/>
      <w:lvlJc w:val="left"/>
    </w:lvl>
  </w:abstractNum>
  <w:abstractNum w:abstractNumId="3" w15:restartNumberingAfterBreak="0">
    <w:nsid w:val="0030687A"/>
    <w:multiLevelType w:val="hybridMultilevel"/>
    <w:tmpl w:val="B2D0517E"/>
    <w:lvl w:ilvl="0" w:tplc="AABA0C9E">
      <w:start w:val="1"/>
      <w:numFmt w:val="bullet"/>
      <w:lvlText w:val=""/>
      <w:lvlJc w:val="left"/>
      <w:pPr>
        <w:ind w:left="720" w:hanging="360"/>
      </w:pPr>
      <w:rPr>
        <w:rFonts w:ascii="Symbol" w:hAnsi="Symbol" w:hint="default"/>
      </w:rPr>
    </w:lvl>
    <w:lvl w:ilvl="1" w:tplc="8A40615A">
      <w:numFmt w:val="decimal"/>
      <w:lvlText w:val=""/>
      <w:lvlJc w:val="left"/>
    </w:lvl>
    <w:lvl w:ilvl="2" w:tplc="1440336C">
      <w:numFmt w:val="decimal"/>
      <w:lvlText w:val=""/>
      <w:lvlJc w:val="left"/>
    </w:lvl>
    <w:lvl w:ilvl="3" w:tplc="2DB83166">
      <w:numFmt w:val="decimal"/>
      <w:lvlText w:val=""/>
      <w:lvlJc w:val="left"/>
    </w:lvl>
    <w:lvl w:ilvl="4" w:tplc="7ED08DA8">
      <w:numFmt w:val="decimal"/>
      <w:lvlText w:val=""/>
      <w:lvlJc w:val="left"/>
    </w:lvl>
    <w:lvl w:ilvl="5" w:tplc="E624ABE8">
      <w:numFmt w:val="decimal"/>
      <w:lvlText w:val=""/>
      <w:lvlJc w:val="left"/>
    </w:lvl>
    <w:lvl w:ilvl="6" w:tplc="6B5896BA">
      <w:numFmt w:val="decimal"/>
      <w:lvlText w:val=""/>
      <w:lvlJc w:val="left"/>
    </w:lvl>
    <w:lvl w:ilvl="7" w:tplc="D592D08A">
      <w:numFmt w:val="decimal"/>
      <w:lvlText w:val=""/>
      <w:lvlJc w:val="left"/>
    </w:lvl>
    <w:lvl w:ilvl="8" w:tplc="C8E8EAF4">
      <w:numFmt w:val="decimal"/>
      <w:lvlText w:val=""/>
      <w:lvlJc w:val="left"/>
    </w:lvl>
  </w:abstractNum>
  <w:abstractNum w:abstractNumId="4" w15:restartNumberingAfterBreak="0">
    <w:nsid w:val="005A3BB7"/>
    <w:multiLevelType w:val="hybridMultilevel"/>
    <w:tmpl w:val="51408888"/>
    <w:lvl w:ilvl="0" w:tplc="724C6CD8">
      <w:start w:val="1"/>
      <w:numFmt w:val="bullet"/>
      <w:lvlText w:val=""/>
      <w:lvlJc w:val="left"/>
      <w:pPr>
        <w:ind w:left="720" w:hanging="360"/>
      </w:pPr>
      <w:rPr>
        <w:rFonts w:ascii="Symbol" w:hAnsi="Symbol" w:hint="default"/>
      </w:rPr>
    </w:lvl>
    <w:lvl w:ilvl="1" w:tplc="062AEDBE">
      <w:numFmt w:val="decimal"/>
      <w:lvlText w:val=""/>
      <w:lvlJc w:val="left"/>
    </w:lvl>
    <w:lvl w:ilvl="2" w:tplc="1EF036C2">
      <w:numFmt w:val="decimal"/>
      <w:lvlText w:val=""/>
      <w:lvlJc w:val="left"/>
    </w:lvl>
    <w:lvl w:ilvl="3" w:tplc="180CF28E">
      <w:numFmt w:val="decimal"/>
      <w:lvlText w:val=""/>
      <w:lvlJc w:val="left"/>
    </w:lvl>
    <w:lvl w:ilvl="4" w:tplc="C58E5044">
      <w:numFmt w:val="decimal"/>
      <w:lvlText w:val=""/>
      <w:lvlJc w:val="left"/>
    </w:lvl>
    <w:lvl w:ilvl="5" w:tplc="BE1A94F2">
      <w:numFmt w:val="decimal"/>
      <w:lvlText w:val=""/>
      <w:lvlJc w:val="left"/>
    </w:lvl>
    <w:lvl w:ilvl="6" w:tplc="746006DE">
      <w:numFmt w:val="decimal"/>
      <w:lvlText w:val=""/>
      <w:lvlJc w:val="left"/>
    </w:lvl>
    <w:lvl w:ilvl="7" w:tplc="C39CE448">
      <w:numFmt w:val="decimal"/>
      <w:lvlText w:val=""/>
      <w:lvlJc w:val="left"/>
    </w:lvl>
    <w:lvl w:ilvl="8" w:tplc="4F00342E">
      <w:numFmt w:val="decimal"/>
      <w:lvlText w:val=""/>
      <w:lvlJc w:val="left"/>
    </w:lvl>
  </w:abstractNum>
  <w:abstractNum w:abstractNumId="5" w15:restartNumberingAfterBreak="0">
    <w:nsid w:val="005E384E"/>
    <w:multiLevelType w:val="hybridMultilevel"/>
    <w:tmpl w:val="A7C0E7BC"/>
    <w:lvl w:ilvl="0" w:tplc="9E4C5812">
      <w:start w:val="1"/>
      <w:numFmt w:val="bullet"/>
      <w:lvlText w:val=""/>
      <w:lvlJc w:val="left"/>
      <w:pPr>
        <w:ind w:left="720" w:hanging="360"/>
      </w:pPr>
      <w:rPr>
        <w:rFonts w:ascii="Symbol" w:hAnsi="Symbol" w:hint="default"/>
      </w:rPr>
    </w:lvl>
    <w:lvl w:ilvl="1" w:tplc="45CC18E8">
      <w:numFmt w:val="decimal"/>
      <w:lvlText w:val=""/>
      <w:lvlJc w:val="left"/>
    </w:lvl>
    <w:lvl w:ilvl="2" w:tplc="BB66EA70">
      <w:numFmt w:val="decimal"/>
      <w:lvlText w:val=""/>
      <w:lvlJc w:val="left"/>
    </w:lvl>
    <w:lvl w:ilvl="3" w:tplc="920A1CB4">
      <w:numFmt w:val="decimal"/>
      <w:lvlText w:val=""/>
      <w:lvlJc w:val="left"/>
    </w:lvl>
    <w:lvl w:ilvl="4" w:tplc="7D688206">
      <w:numFmt w:val="decimal"/>
      <w:lvlText w:val=""/>
      <w:lvlJc w:val="left"/>
    </w:lvl>
    <w:lvl w:ilvl="5" w:tplc="C60AE68C">
      <w:numFmt w:val="decimal"/>
      <w:lvlText w:val=""/>
      <w:lvlJc w:val="left"/>
    </w:lvl>
    <w:lvl w:ilvl="6" w:tplc="3B605C86">
      <w:numFmt w:val="decimal"/>
      <w:lvlText w:val=""/>
      <w:lvlJc w:val="left"/>
    </w:lvl>
    <w:lvl w:ilvl="7" w:tplc="F8D4A550">
      <w:numFmt w:val="decimal"/>
      <w:lvlText w:val=""/>
      <w:lvlJc w:val="left"/>
    </w:lvl>
    <w:lvl w:ilvl="8" w:tplc="68086D4E">
      <w:numFmt w:val="decimal"/>
      <w:lvlText w:val=""/>
      <w:lvlJc w:val="left"/>
    </w:lvl>
  </w:abstractNum>
  <w:abstractNum w:abstractNumId="6" w15:restartNumberingAfterBreak="0">
    <w:nsid w:val="00600040"/>
    <w:multiLevelType w:val="hybridMultilevel"/>
    <w:tmpl w:val="6F906BF8"/>
    <w:lvl w:ilvl="0" w:tplc="92147A58">
      <w:start w:val="1"/>
      <w:numFmt w:val="bullet"/>
      <w:lvlText w:val=""/>
      <w:lvlJc w:val="left"/>
      <w:pPr>
        <w:ind w:left="720" w:hanging="360"/>
      </w:pPr>
      <w:rPr>
        <w:rFonts w:ascii="Symbol" w:hAnsi="Symbol" w:hint="default"/>
      </w:rPr>
    </w:lvl>
    <w:lvl w:ilvl="1" w:tplc="0AAEFBDE">
      <w:numFmt w:val="decimal"/>
      <w:lvlText w:val=""/>
      <w:lvlJc w:val="left"/>
    </w:lvl>
    <w:lvl w:ilvl="2" w:tplc="051C8020">
      <w:numFmt w:val="decimal"/>
      <w:lvlText w:val=""/>
      <w:lvlJc w:val="left"/>
    </w:lvl>
    <w:lvl w:ilvl="3" w:tplc="B01EF312">
      <w:numFmt w:val="decimal"/>
      <w:lvlText w:val=""/>
      <w:lvlJc w:val="left"/>
    </w:lvl>
    <w:lvl w:ilvl="4" w:tplc="84E48A8A">
      <w:numFmt w:val="decimal"/>
      <w:lvlText w:val=""/>
      <w:lvlJc w:val="left"/>
    </w:lvl>
    <w:lvl w:ilvl="5" w:tplc="6D8297CA">
      <w:numFmt w:val="decimal"/>
      <w:lvlText w:val=""/>
      <w:lvlJc w:val="left"/>
    </w:lvl>
    <w:lvl w:ilvl="6" w:tplc="A80C46A4">
      <w:numFmt w:val="decimal"/>
      <w:lvlText w:val=""/>
      <w:lvlJc w:val="left"/>
    </w:lvl>
    <w:lvl w:ilvl="7" w:tplc="70ACF870">
      <w:numFmt w:val="decimal"/>
      <w:lvlText w:val=""/>
      <w:lvlJc w:val="left"/>
    </w:lvl>
    <w:lvl w:ilvl="8" w:tplc="81DA1F68">
      <w:numFmt w:val="decimal"/>
      <w:lvlText w:val=""/>
      <w:lvlJc w:val="left"/>
    </w:lvl>
  </w:abstractNum>
  <w:abstractNum w:abstractNumId="7" w15:restartNumberingAfterBreak="0">
    <w:nsid w:val="00630EEE"/>
    <w:multiLevelType w:val="hybridMultilevel"/>
    <w:tmpl w:val="E45C2D58"/>
    <w:lvl w:ilvl="0" w:tplc="EAFE9FAA">
      <w:start w:val="1"/>
      <w:numFmt w:val="bullet"/>
      <w:lvlText w:val=""/>
      <w:lvlJc w:val="left"/>
      <w:pPr>
        <w:ind w:left="720" w:hanging="360"/>
      </w:pPr>
      <w:rPr>
        <w:rFonts w:ascii="Symbol" w:hAnsi="Symbol" w:hint="default"/>
      </w:rPr>
    </w:lvl>
    <w:lvl w:ilvl="1" w:tplc="EDDE011E">
      <w:numFmt w:val="decimal"/>
      <w:lvlText w:val=""/>
      <w:lvlJc w:val="left"/>
    </w:lvl>
    <w:lvl w:ilvl="2" w:tplc="2D56922E">
      <w:numFmt w:val="decimal"/>
      <w:lvlText w:val=""/>
      <w:lvlJc w:val="left"/>
    </w:lvl>
    <w:lvl w:ilvl="3" w:tplc="7C30DDE2">
      <w:numFmt w:val="decimal"/>
      <w:lvlText w:val=""/>
      <w:lvlJc w:val="left"/>
    </w:lvl>
    <w:lvl w:ilvl="4" w:tplc="BD366FEA">
      <w:numFmt w:val="decimal"/>
      <w:lvlText w:val=""/>
      <w:lvlJc w:val="left"/>
    </w:lvl>
    <w:lvl w:ilvl="5" w:tplc="CA769FF0">
      <w:numFmt w:val="decimal"/>
      <w:lvlText w:val=""/>
      <w:lvlJc w:val="left"/>
    </w:lvl>
    <w:lvl w:ilvl="6" w:tplc="40F2001E">
      <w:numFmt w:val="decimal"/>
      <w:lvlText w:val=""/>
      <w:lvlJc w:val="left"/>
    </w:lvl>
    <w:lvl w:ilvl="7" w:tplc="C70A6860">
      <w:numFmt w:val="decimal"/>
      <w:lvlText w:val=""/>
      <w:lvlJc w:val="left"/>
    </w:lvl>
    <w:lvl w:ilvl="8" w:tplc="B41298D0">
      <w:numFmt w:val="decimal"/>
      <w:lvlText w:val=""/>
      <w:lvlJc w:val="left"/>
    </w:lvl>
  </w:abstractNum>
  <w:abstractNum w:abstractNumId="8" w15:restartNumberingAfterBreak="0">
    <w:nsid w:val="007A00AD"/>
    <w:multiLevelType w:val="hybridMultilevel"/>
    <w:tmpl w:val="446E83BE"/>
    <w:lvl w:ilvl="0" w:tplc="B618571A">
      <w:start w:val="1"/>
      <w:numFmt w:val="bullet"/>
      <w:lvlText w:val=""/>
      <w:lvlJc w:val="left"/>
      <w:pPr>
        <w:ind w:left="720" w:hanging="360"/>
      </w:pPr>
      <w:rPr>
        <w:rFonts w:ascii="Symbol" w:hAnsi="Symbol" w:hint="default"/>
      </w:rPr>
    </w:lvl>
    <w:lvl w:ilvl="1" w:tplc="FEFE0C52">
      <w:numFmt w:val="decimal"/>
      <w:lvlText w:val=""/>
      <w:lvlJc w:val="left"/>
    </w:lvl>
    <w:lvl w:ilvl="2" w:tplc="1B920722">
      <w:numFmt w:val="decimal"/>
      <w:lvlText w:val=""/>
      <w:lvlJc w:val="left"/>
    </w:lvl>
    <w:lvl w:ilvl="3" w:tplc="EF24FDC2">
      <w:numFmt w:val="decimal"/>
      <w:lvlText w:val=""/>
      <w:lvlJc w:val="left"/>
    </w:lvl>
    <w:lvl w:ilvl="4" w:tplc="B95A61E4">
      <w:numFmt w:val="decimal"/>
      <w:lvlText w:val=""/>
      <w:lvlJc w:val="left"/>
    </w:lvl>
    <w:lvl w:ilvl="5" w:tplc="0132398A">
      <w:numFmt w:val="decimal"/>
      <w:lvlText w:val=""/>
      <w:lvlJc w:val="left"/>
    </w:lvl>
    <w:lvl w:ilvl="6" w:tplc="D95074C0">
      <w:numFmt w:val="decimal"/>
      <w:lvlText w:val=""/>
      <w:lvlJc w:val="left"/>
    </w:lvl>
    <w:lvl w:ilvl="7" w:tplc="6AC22168">
      <w:numFmt w:val="decimal"/>
      <w:lvlText w:val=""/>
      <w:lvlJc w:val="left"/>
    </w:lvl>
    <w:lvl w:ilvl="8" w:tplc="E1286328">
      <w:numFmt w:val="decimal"/>
      <w:lvlText w:val=""/>
      <w:lvlJc w:val="left"/>
    </w:lvl>
  </w:abstractNum>
  <w:abstractNum w:abstractNumId="9" w15:restartNumberingAfterBreak="0">
    <w:nsid w:val="008F2BF5"/>
    <w:multiLevelType w:val="hybridMultilevel"/>
    <w:tmpl w:val="22E045D2"/>
    <w:lvl w:ilvl="0" w:tplc="1C869D24">
      <w:start w:val="1"/>
      <w:numFmt w:val="bullet"/>
      <w:lvlText w:val=""/>
      <w:lvlJc w:val="left"/>
      <w:pPr>
        <w:ind w:left="720" w:hanging="360"/>
      </w:pPr>
      <w:rPr>
        <w:rFonts w:ascii="Symbol" w:hAnsi="Symbol" w:hint="default"/>
      </w:rPr>
    </w:lvl>
    <w:lvl w:ilvl="1" w:tplc="E52C51A6">
      <w:numFmt w:val="decimal"/>
      <w:lvlText w:val=""/>
      <w:lvlJc w:val="left"/>
    </w:lvl>
    <w:lvl w:ilvl="2" w:tplc="DAB04AE8">
      <w:numFmt w:val="decimal"/>
      <w:lvlText w:val=""/>
      <w:lvlJc w:val="left"/>
    </w:lvl>
    <w:lvl w:ilvl="3" w:tplc="F72CD4E4">
      <w:numFmt w:val="decimal"/>
      <w:lvlText w:val=""/>
      <w:lvlJc w:val="left"/>
    </w:lvl>
    <w:lvl w:ilvl="4" w:tplc="D5AA79F2">
      <w:numFmt w:val="decimal"/>
      <w:lvlText w:val=""/>
      <w:lvlJc w:val="left"/>
    </w:lvl>
    <w:lvl w:ilvl="5" w:tplc="9FD66CD2">
      <w:numFmt w:val="decimal"/>
      <w:lvlText w:val=""/>
      <w:lvlJc w:val="left"/>
    </w:lvl>
    <w:lvl w:ilvl="6" w:tplc="1D56BFD6">
      <w:numFmt w:val="decimal"/>
      <w:lvlText w:val=""/>
      <w:lvlJc w:val="left"/>
    </w:lvl>
    <w:lvl w:ilvl="7" w:tplc="1CAEB246">
      <w:numFmt w:val="decimal"/>
      <w:lvlText w:val=""/>
      <w:lvlJc w:val="left"/>
    </w:lvl>
    <w:lvl w:ilvl="8" w:tplc="BE78B3A4">
      <w:numFmt w:val="decimal"/>
      <w:lvlText w:val=""/>
      <w:lvlJc w:val="left"/>
    </w:lvl>
  </w:abstractNum>
  <w:abstractNum w:abstractNumId="10" w15:restartNumberingAfterBreak="0">
    <w:nsid w:val="00A019D2"/>
    <w:multiLevelType w:val="hybridMultilevel"/>
    <w:tmpl w:val="910E325E"/>
    <w:lvl w:ilvl="0" w:tplc="A53C9EF2">
      <w:numFmt w:val="decimal"/>
      <w:lvlText w:val=""/>
      <w:lvlJc w:val="left"/>
    </w:lvl>
    <w:lvl w:ilvl="1" w:tplc="4814857E">
      <w:start w:val="1"/>
      <w:numFmt w:val="bullet"/>
      <w:lvlText w:val=""/>
      <w:lvlJc w:val="left"/>
      <w:pPr>
        <w:ind w:left="1440" w:hanging="360"/>
      </w:pPr>
      <w:rPr>
        <w:rFonts w:ascii="Symbol" w:hAnsi="Symbol" w:hint="default"/>
      </w:rPr>
    </w:lvl>
    <w:lvl w:ilvl="2" w:tplc="A85C5226">
      <w:numFmt w:val="decimal"/>
      <w:lvlText w:val=""/>
      <w:lvlJc w:val="left"/>
    </w:lvl>
    <w:lvl w:ilvl="3" w:tplc="E18E8DD2">
      <w:numFmt w:val="decimal"/>
      <w:lvlText w:val=""/>
      <w:lvlJc w:val="left"/>
    </w:lvl>
    <w:lvl w:ilvl="4" w:tplc="22A220EE">
      <w:numFmt w:val="decimal"/>
      <w:lvlText w:val=""/>
      <w:lvlJc w:val="left"/>
    </w:lvl>
    <w:lvl w:ilvl="5" w:tplc="91EA38FC">
      <w:numFmt w:val="decimal"/>
      <w:lvlText w:val=""/>
      <w:lvlJc w:val="left"/>
    </w:lvl>
    <w:lvl w:ilvl="6" w:tplc="94FE3844">
      <w:numFmt w:val="decimal"/>
      <w:lvlText w:val=""/>
      <w:lvlJc w:val="left"/>
    </w:lvl>
    <w:lvl w:ilvl="7" w:tplc="E5385B74">
      <w:numFmt w:val="decimal"/>
      <w:lvlText w:val=""/>
      <w:lvlJc w:val="left"/>
    </w:lvl>
    <w:lvl w:ilvl="8" w:tplc="C6425634">
      <w:numFmt w:val="decimal"/>
      <w:lvlText w:val=""/>
      <w:lvlJc w:val="left"/>
    </w:lvl>
  </w:abstractNum>
  <w:abstractNum w:abstractNumId="11" w15:restartNumberingAfterBreak="0">
    <w:nsid w:val="00B7231A"/>
    <w:multiLevelType w:val="hybridMultilevel"/>
    <w:tmpl w:val="B88A132E"/>
    <w:lvl w:ilvl="0" w:tplc="52E69DFA">
      <w:start w:val="1"/>
      <w:numFmt w:val="bullet"/>
      <w:lvlText w:val=""/>
      <w:lvlJc w:val="left"/>
      <w:pPr>
        <w:ind w:left="720" w:hanging="360"/>
      </w:pPr>
      <w:rPr>
        <w:rFonts w:ascii="Symbol" w:hAnsi="Symbol" w:hint="default"/>
      </w:rPr>
    </w:lvl>
    <w:lvl w:ilvl="1" w:tplc="F104D1A6">
      <w:numFmt w:val="decimal"/>
      <w:lvlText w:val=""/>
      <w:lvlJc w:val="left"/>
    </w:lvl>
    <w:lvl w:ilvl="2" w:tplc="70BC5A32">
      <w:numFmt w:val="decimal"/>
      <w:lvlText w:val=""/>
      <w:lvlJc w:val="left"/>
    </w:lvl>
    <w:lvl w:ilvl="3" w:tplc="ACC80B00">
      <w:numFmt w:val="decimal"/>
      <w:lvlText w:val=""/>
      <w:lvlJc w:val="left"/>
    </w:lvl>
    <w:lvl w:ilvl="4" w:tplc="776290BE">
      <w:numFmt w:val="decimal"/>
      <w:lvlText w:val=""/>
      <w:lvlJc w:val="left"/>
    </w:lvl>
    <w:lvl w:ilvl="5" w:tplc="3886C520">
      <w:numFmt w:val="decimal"/>
      <w:lvlText w:val=""/>
      <w:lvlJc w:val="left"/>
    </w:lvl>
    <w:lvl w:ilvl="6" w:tplc="1558331E">
      <w:numFmt w:val="decimal"/>
      <w:lvlText w:val=""/>
      <w:lvlJc w:val="left"/>
    </w:lvl>
    <w:lvl w:ilvl="7" w:tplc="4BD24B02">
      <w:numFmt w:val="decimal"/>
      <w:lvlText w:val=""/>
      <w:lvlJc w:val="left"/>
    </w:lvl>
    <w:lvl w:ilvl="8" w:tplc="F11A345C">
      <w:numFmt w:val="decimal"/>
      <w:lvlText w:val=""/>
      <w:lvlJc w:val="left"/>
    </w:lvl>
  </w:abstractNum>
  <w:abstractNum w:abstractNumId="12" w15:restartNumberingAfterBreak="0">
    <w:nsid w:val="010011FC"/>
    <w:multiLevelType w:val="hybridMultilevel"/>
    <w:tmpl w:val="3A06443E"/>
    <w:lvl w:ilvl="0" w:tplc="7A36CA5C">
      <w:start w:val="1"/>
      <w:numFmt w:val="bullet"/>
      <w:lvlText w:val=""/>
      <w:lvlJc w:val="left"/>
      <w:pPr>
        <w:ind w:left="720" w:hanging="360"/>
      </w:pPr>
      <w:rPr>
        <w:rFonts w:ascii="Symbol" w:hAnsi="Symbol" w:hint="default"/>
      </w:rPr>
    </w:lvl>
    <w:lvl w:ilvl="1" w:tplc="E4F4FE60">
      <w:numFmt w:val="decimal"/>
      <w:lvlText w:val=""/>
      <w:lvlJc w:val="left"/>
    </w:lvl>
    <w:lvl w:ilvl="2" w:tplc="3B36F9AE">
      <w:numFmt w:val="decimal"/>
      <w:lvlText w:val=""/>
      <w:lvlJc w:val="left"/>
    </w:lvl>
    <w:lvl w:ilvl="3" w:tplc="15DA91CE">
      <w:numFmt w:val="decimal"/>
      <w:lvlText w:val=""/>
      <w:lvlJc w:val="left"/>
    </w:lvl>
    <w:lvl w:ilvl="4" w:tplc="F0E2B3E6">
      <w:numFmt w:val="decimal"/>
      <w:lvlText w:val=""/>
      <w:lvlJc w:val="left"/>
    </w:lvl>
    <w:lvl w:ilvl="5" w:tplc="12327442">
      <w:numFmt w:val="decimal"/>
      <w:lvlText w:val=""/>
      <w:lvlJc w:val="left"/>
    </w:lvl>
    <w:lvl w:ilvl="6" w:tplc="A24A6A7C">
      <w:numFmt w:val="decimal"/>
      <w:lvlText w:val=""/>
      <w:lvlJc w:val="left"/>
    </w:lvl>
    <w:lvl w:ilvl="7" w:tplc="86DE8F88">
      <w:numFmt w:val="decimal"/>
      <w:lvlText w:val=""/>
      <w:lvlJc w:val="left"/>
    </w:lvl>
    <w:lvl w:ilvl="8" w:tplc="F5B24DCC">
      <w:numFmt w:val="decimal"/>
      <w:lvlText w:val=""/>
      <w:lvlJc w:val="left"/>
    </w:lvl>
  </w:abstractNum>
  <w:abstractNum w:abstractNumId="13" w15:restartNumberingAfterBreak="0">
    <w:nsid w:val="01011F89"/>
    <w:multiLevelType w:val="hybridMultilevel"/>
    <w:tmpl w:val="EA2E81B4"/>
    <w:lvl w:ilvl="0" w:tplc="4D82CD96">
      <w:start w:val="1"/>
      <w:numFmt w:val="bullet"/>
      <w:lvlText w:val=""/>
      <w:lvlJc w:val="left"/>
      <w:pPr>
        <w:ind w:left="720" w:hanging="360"/>
      </w:pPr>
      <w:rPr>
        <w:rFonts w:ascii="Symbol" w:hAnsi="Symbol" w:hint="default"/>
      </w:rPr>
    </w:lvl>
    <w:lvl w:ilvl="1" w:tplc="A34E96E0">
      <w:numFmt w:val="decimal"/>
      <w:lvlText w:val=""/>
      <w:lvlJc w:val="left"/>
    </w:lvl>
    <w:lvl w:ilvl="2" w:tplc="86AE4F86">
      <w:numFmt w:val="decimal"/>
      <w:lvlText w:val=""/>
      <w:lvlJc w:val="left"/>
    </w:lvl>
    <w:lvl w:ilvl="3" w:tplc="21F620A4">
      <w:numFmt w:val="decimal"/>
      <w:lvlText w:val=""/>
      <w:lvlJc w:val="left"/>
    </w:lvl>
    <w:lvl w:ilvl="4" w:tplc="AFD8A23E">
      <w:numFmt w:val="decimal"/>
      <w:lvlText w:val=""/>
      <w:lvlJc w:val="left"/>
    </w:lvl>
    <w:lvl w:ilvl="5" w:tplc="B5DC43F2">
      <w:numFmt w:val="decimal"/>
      <w:lvlText w:val=""/>
      <w:lvlJc w:val="left"/>
    </w:lvl>
    <w:lvl w:ilvl="6" w:tplc="0CCA0388">
      <w:numFmt w:val="decimal"/>
      <w:lvlText w:val=""/>
      <w:lvlJc w:val="left"/>
    </w:lvl>
    <w:lvl w:ilvl="7" w:tplc="B0F2B85E">
      <w:numFmt w:val="decimal"/>
      <w:lvlText w:val=""/>
      <w:lvlJc w:val="left"/>
    </w:lvl>
    <w:lvl w:ilvl="8" w:tplc="77D82AE0">
      <w:numFmt w:val="decimal"/>
      <w:lvlText w:val=""/>
      <w:lvlJc w:val="left"/>
    </w:lvl>
  </w:abstractNum>
  <w:abstractNum w:abstractNumId="14" w15:restartNumberingAfterBreak="0">
    <w:nsid w:val="010B403E"/>
    <w:multiLevelType w:val="hybridMultilevel"/>
    <w:tmpl w:val="B0ECC3EA"/>
    <w:lvl w:ilvl="0" w:tplc="9E9C782C">
      <w:start w:val="1"/>
      <w:numFmt w:val="bullet"/>
      <w:lvlText w:val=""/>
      <w:lvlJc w:val="left"/>
      <w:pPr>
        <w:ind w:left="720" w:hanging="360"/>
      </w:pPr>
      <w:rPr>
        <w:rFonts w:ascii="Symbol" w:hAnsi="Symbol" w:hint="default"/>
      </w:rPr>
    </w:lvl>
    <w:lvl w:ilvl="1" w:tplc="A2C28E20">
      <w:numFmt w:val="decimal"/>
      <w:lvlText w:val=""/>
      <w:lvlJc w:val="left"/>
    </w:lvl>
    <w:lvl w:ilvl="2" w:tplc="E394692A">
      <w:numFmt w:val="decimal"/>
      <w:lvlText w:val=""/>
      <w:lvlJc w:val="left"/>
    </w:lvl>
    <w:lvl w:ilvl="3" w:tplc="0DCA6E9C">
      <w:numFmt w:val="decimal"/>
      <w:lvlText w:val=""/>
      <w:lvlJc w:val="left"/>
    </w:lvl>
    <w:lvl w:ilvl="4" w:tplc="E168E34E">
      <w:numFmt w:val="decimal"/>
      <w:lvlText w:val=""/>
      <w:lvlJc w:val="left"/>
    </w:lvl>
    <w:lvl w:ilvl="5" w:tplc="ED00B5D4">
      <w:numFmt w:val="decimal"/>
      <w:lvlText w:val=""/>
      <w:lvlJc w:val="left"/>
    </w:lvl>
    <w:lvl w:ilvl="6" w:tplc="021A1C9C">
      <w:numFmt w:val="decimal"/>
      <w:lvlText w:val=""/>
      <w:lvlJc w:val="left"/>
    </w:lvl>
    <w:lvl w:ilvl="7" w:tplc="133063AC">
      <w:numFmt w:val="decimal"/>
      <w:lvlText w:val=""/>
      <w:lvlJc w:val="left"/>
    </w:lvl>
    <w:lvl w:ilvl="8" w:tplc="2E166B42">
      <w:numFmt w:val="decimal"/>
      <w:lvlText w:val=""/>
      <w:lvlJc w:val="left"/>
    </w:lvl>
  </w:abstractNum>
  <w:abstractNum w:abstractNumId="15" w15:restartNumberingAfterBreak="0">
    <w:nsid w:val="01246828"/>
    <w:multiLevelType w:val="hybridMultilevel"/>
    <w:tmpl w:val="112C2AE6"/>
    <w:lvl w:ilvl="0" w:tplc="0DDE6ABE">
      <w:start w:val="1"/>
      <w:numFmt w:val="bullet"/>
      <w:lvlText w:val=""/>
      <w:lvlJc w:val="left"/>
      <w:pPr>
        <w:ind w:left="720" w:hanging="360"/>
      </w:pPr>
      <w:rPr>
        <w:rFonts w:ascii="Symbol" w:hAnsi="Symbol" w:hint="default"/>
      </w:rPr>
    </w:lvl>
    <w:lvl w:ilvl="1" w:tplc="7A245200">
      <w:numFmt w:val="decimal"/>
      <w:lvlText w:val=""/>
      <w:lvlJc w:val="left"/>
    </w:lvl>
    <w:lvl w:ilvl="2" w:tplc="486A5EA6">
      <w:numFmt w:val="decimal"/>
      <w:lvlText w:val=""/>
      <w:lvlJc w:val="left"/>
    </w:lvl>
    <w:lvl w:ilvl="3" w:tplc="6C4E7F22">
      <w:numFmt w:val="decimal"/>
      <w:lvlText w:val=""/>
      <w:lvlJc w:val="left"/>
    </w:lvl>
    <w:lvl w:ilvl="4" w:tplc="A72CE042">
      <w:numFmt w:val="decimal"/>
      <w:lvlText w:val=""/>
      <w:lvlJc w:val="left"/>
    </w:lvl>
    <w:lvl w:ilvl="5" w:tplc="E17E419A">
      <w:numFmt w:val="decimal"/>
      <w:lvlText w:val=""/>
      <w:lvlJc w:val="left"/>
    </w:lvl>
    <w:lvl w:ilvl="6" w:tplc="2D6A9FE4">
      <w:numFmt w:val="decimal"/>
      <w:lvlText w:val=""/>
      <w:lvlJc w:val="left"/>
    </w:lvl>
    <w:lvl w:ilvl="7" w:tplc="86445FF0">
      <w:numFmt w:val="decimal"/>
      <w:lvlText w:val=""/>
      <w:lvlJc w:val="left"/>
    </w:lvl>
    <w:lvl w:ilvl="8" w:tplc="15861704">
      <w:numFmt w:val="decimal"/>
      <w:lvlText w:val=""/>
      <w:lvlJc w:val="left"/>
    </w:lvl>
  </w:abstractNum>
  <w:abstractNum w:abstractNumId="16" w15:restartNumberingAfterBreak="0">
    <w:nsid w:val="012D5ABA"/>
    <w:multiLevelType w:val="hybridMultilevel"/>
    <w:tmpl w:val="C7BAE69C"/>
    <w:lvl w:ilvl="0" w:tplc="7A9AF982">
      <w:start w:val="1"/>
      <w:numFmt w:val="bullet"/>
      <w:lvlText w:val=""/>
      <w:lvlJc w:val="left"/>
      <w:pPr>
        <w:ind w:left="720" w:hanging="360"/>
      </w:pPr>
      <w:rPr>
        <w:rFonts w:ascii="Symbol" w:hAnsi="Symbol" w:hint="default"/>
      </w:rPr>
    </w:lvl>
    <w:lvl w:ilvl="1" w:tplc="8E0001B4">
      <w:numFmt w:val="decimal"/>
      <w:lvlText w:val=""/>
      <w:lvlJc w:val="left"/>
    </w:lvl>
    <w:lvl w:ilvl="2" w:tplc="B894B418">
      <w:numFmt w:val="decimal"/>
      <w:lvlText w:val=""/>
      <w:lvlJc w:val="left"/>
    </w:lvl>
    <w:lvl w:ilvl="3" w:tplc="6BB8E438">
      <w:numFmt w:val="decimal"/>
      <w:lvlText w:val=""/>
      <w:lvlJc w:val="left"/>
    </w:lvl>
    <w:lvl w:ilvl="4" w:tplc="C186DFD6">
      <w:numFmt w:val="decimal"/>
      <w:lvlText w:val=""/>
      <w:lvlJc w:val="left"/>
    </w:lvl>
    <w:lvl w:ilvl="5" w:tplc="CB96B08A">
      <w:numFmt w:val="decimal"/>
      <w:lvlText w:val=""/>
      <w:lvlJc w:val="left"/>
    </w:lvl>
    <w:lvl w:ilvl="6" w:tplc="4F060144">
      <w:numFmt w:val="decimal"/>
      <w:lvlText w:val=""/>
      <w:lvlJc w:val="left"/>
    </w:lvl>
    <w:lvl w:ilvl="7" w:tplc="F548676C">
      <w:numFmt w:val="decimal"/>
      <w:lvlText w:val=""/>
      <w:lvlJc w:val="left"/>
    </w:lvl>
    <w:lvl w:ilvl="8" w:tplc="1A14D9E2">
      <w:numFmt w:val="decimal"/>
      <w:lvlText w:val=""/>
      <w:lvlJc w:val="left"/>
    </w:lvl>
  </w:abstractNum>
  <w:abstractNum w:abstractNumId="17" w15:restartNumberingAfterBreak="0">
    <w:nsid w:val="0151303E"/>
    <w:multiLevelType w:val="hybridMultilevel"/>
    <w:tmpl w:val="09B238A2"/>
    <w:lvl w:ilvl="0" w:tplc="FDD6A098">
      <w:start w:val="1"/>
      <w:numFmt w:val="bullet"/>
      <w:lvlText w:val=""/>
      <w:lvlJc w:val="left"/>
      <w:pPr>
        <w:ind w:left="720" w:hanging="360"/>
      </w:pPr>
      <w:rPr>
        <w:rFonts w:ascii="Symbol" w:hAnsi="Symbol" w:hint="default"/>
      </w:rPr>
    </w:lvl>
    <w:lvl w:ilvl="1" w:tplc="6C2E87DE">
      <w:numFmt w:val="decimal"/>
      <w:lvlText w:val=""/>
      <w:lvlJc w:val="left"/>
    </w:lvl>
    <w:lvl w:ilvl="2" w:tplc="D742B218">
      <w:numFmt w:val="decimal"/>
      <w:lvlText w:val=""/>
      <w:lvlJc w:val="left"/>
    </w:lvl>
    <w:lvl w:ilvl="3" w:tplc="C4DE2D60">
      <w:numFmt w:val="decimal"/>
      <w:lvlText w:val=""/>
      <w:lvlJc w:val="left"/>
    </w:lvl>
    <w:lvl w:ilvl="4" w:tplc="39026E20">
      <w:numFmt w:val="decimal"/>
      <w:lvlText w:val=""/>
      <w:lvlJc w:val="left"/>
    </w:lvl>
    <w:lvl w:ilvl="5" w:tplc="628291C6">
      <w:numFmt w:val="decimal"/>
      <w:lvlText w:val=""/>
      <w:lvlJc w:val="left"/>
    </w:lvl>
    <w:lvl w:ilvl="6" w:tplc="BEE868CC">
      <w:numFmt w:val="decimal"/>
      <w:lvlText w:val=""/>
      <w:lvlJc w:val="left"/>
    </w:lvl>
    <w:lvl w:ilvl="7" w:tplc="BF5CD592">
      <w:numFmt w:val="decimal"/>
      <w:lvlText w:val=""/>
      <w:lvlJc w:val="left"/>
    </w:lvl>
    <w:lvl w:ilvl="8" w:tplc="F62EE3DC">
      <w:numFmt w:val="decimal"/>
      <w:lvlText w:val=""/>
      <w:lvlJc w:val="left"/>
    </w:lvl>
  </w:abstractNum>
  <w:abstractNum w:abstractNumId="18" w15:restartNumberingAfterBreak="0">
    <w:nsid w:val="01820F3B"/>
    <w:multiLevelType w:val="hybridMultilevel"/>
    <w:tmpl w:val="F3D25CAC"/>
    <w:lvl w:ilvl="0" w:tplc="BD585AB0">
      <w:start w:val="1"/>
      <w:numFmt w:val="bullet"/>
      <w:lvlText w:val=""/>
      <w:lvlJc w:val="left"/>
      <w:pPr>
        <w:ind w:left="720" w:hanging="360"/>
      </w:pPr>
      <w:rPr>
        <w:rFonts w:ascii="Symbol" w:hAnsi="Symbol" w:hint="default"/>
      </w:rPr>
    </w:lvl>
    <w:lvl w:ilvl="1" w:tplc="885E0B18">
      <w:numFmt w:val="decimal"/>
      <w:lvlText w:val=""/>
      <w:lvlJc w:val="left"/>
    </w:lvl>
    <w:lvl w:ilvl="2" w:tplc="0C405CB6">
      <w:numFmt w:val="decimal"/>
      <w:lvlText w:val=""/>
      <w:lvlJc w:val="left"/>
    </w:lvl>
    <w:lvl w:ilvl="3" w:tplc="23F8601C">
      <w:numFmt w:val="decimal"/>
      <w:lvlText w:val=""/>
      <w:lvlJc w:val="left"/>
    </w:lvl>
    <w:lvl w:ilvl="4" w:tplc="999ED410">
      <w:numFmt w:val="decimal"/>
      <w:lvlText w:val=""/>
      <w:lvlJc w:val="left"/>
    </w:lvl>
    <w:lvl w:ilvl="5" w:tplc="256295A0">
      <w:numFmt w:val="decimal"/>
      <w:lvlText w:val=""/>
      <w:lvlJc w:val="left"/>
    </w:lvl>
    <w:lvl w:ilvl="6" w:tplc="B472EFEA">
      <w:numFmt w:val="decimal"/>
      <w:lvlText w:val=""/>
      <w:lvlJc w:val="left"/>
    </w:lvl>
    <w:lvl w:ilvl="7" w:tplc="A22AD218">
      <w:numFmt w:val="decimal"/>
      <w:lvlText w:val=""/>
      <w:lvlJc w:val="left"/>
    </w:lvl>
    <w:lvl w:ilvl="8" w:tplc="77765DE0">
      <w:numFmt w:val="decimal"/>
      <w:lvlText w:val=""/>
      <w:lvlJc w:val="left"/>
    </w:lvl>
  </w:abstractNum>
  <w:abstractNum w:abstractNumId="19" w15:restartNumberingAfterBreak="0">
    <w:nsid w:val="019972A1"/>
    <w:multiLevelType w:val="hybridMultilevel"/>
    <w:tmpl w:val="D1125AF0"/>
    <w:lvl w:ilvl="0" w:tplc="0D500A80">
      <w:start w:val="1"/>
      <w:numFmt w:val="bullet"/>
      <w:lvlText w:val=""/>
      <w:lvlJc w:val="left"/>
      <w:pPr>
        <w:ind w:left="720" w:hanging="360"/>
      </w:pPr>
      <w:rPr>
        <w:rFonts w:ascii="Symbol" w:hAnsi="Symbol" w:hint="default"/>
      </w:rPr>
    </w:lvl>
    <w:lvl w:ilvl="1" w:tplc="2A6E088C">
      <w:numFmt w:val="decimal"/>
      <w:lvlText w:val=""/>
      <w:lvlJc w:val="left"/>
    </w:lvl>
    <w:lvl w:ilvl="2" w:tplc="5B204F3A">
      <w:numFmt w:val="decimal"/>
      <w:lvlText w:val=""/>
      <w:lvlJc w:val="left"/>
    </w:lvl>
    <w:lvl w:ilvl="3" w:tplc="CA4EC0AE">
      <w:numFmt w:val="decimal"/>
      <w:lvlText w:val=""/>
      <w:lvlJc w:val="left"/>
    </w:lvl>
    <w:lvl w:ilvl="4" w:tplc="89DE73B0">
      <w:numFmt w:val="decimal"/>
      <w:lvlText w:val=""/>
      <w:lvlJc w:val="left"/>
    </w:lvl>
    <w:lvl w:ilvl="5" w:tplc="888003B4">
      <w:numFmt w:val="decimal"/>
      <w:lvlText w:val=""/>
      <w:lvlJc w:val="left"/>
    </w:lvl>
    <w:lvl w:ilvl="6" w:tplc="82D0ED0C">
      <w:numFmt w:val="decimal"/>
      <w:lvlText w:val=""/>
      <w:lvlJc w:val="left"/>
    </w:lvl>
    <w:lvl w:ilvl="7" w:tplc="7B248BEE">
      <w:numFmt w:val="decimal"/>
      <w:lvlText w:val=""/>
      <w:lvlJc w:val="left"/>
    </w:lvl>
    <w:lvl w:ilvl="8" w:tplc="B56EE2A6">
      <w:numFmt w:val="decimal"/>
      <w:lvlText w:val=""/>
      <w:lvlJc w:val="left"/>
    </w:lvl>
  </w:abstractNum>
  <w:abstractNum w:abstractNumId="20" w15:restartNumberingAfterBreak="0">
    <w:nsid w:val="01BB14E5"/>
    <w:multiLevelType w:val="hybridMultilevel"/>
    <w:tmpl w:val="884EAEAC"/>
    <w:lvl w:ilvl="0" w:tplc="939A23BE">
      <w:start w:val="1"/>
      <w:numFmt w:val="bullet"/>
      <w:lvlText w:val=""/>
      <w:lvlJc w:val="left"/>
      <w:pPr>
        <w:ind w:left="720" w:hanging="360"/>
      </w:pPr>
      <w:rPr>
        <w:rFonts w:ascii="Symbol" w:hAnsi="Symbol" w:hint="default"/>
      </w:rPr>
    </w:lvl>
    <w:lvl w:ilvl="1" w:tplc="95E85ABA">
      <w:numFmt w:val="decimal"/>
      <w:lvlText w:val=""/>
      <w:lvlJc w:val="left"/>
    </w:lvl>
    <w:lvl w:ilvl="2" w:tplc="01404318">
      <w:numFmt w:val="decimal"/>
      <w:lvlText w:val=""/>
      <w:lvlJc w:val="left"/>
    </w:lvl>
    <w:lvl w:ilvl="3" w:tplc="704A3D14">
      <w:numFmt w:val="decimal"/>
      <w:lvlText w:val=""/>
      <w:lvlJc w:val="left"/>
    </w:lvl>
    <w:lvl w:ilvl="4" w:tplc="73BC8996">
      <w:numFmt w:val="decimal"/>
      <w:lvlText w:val=""/>
      <w:lvlJc w:val="left"/>
    </w:lvl>
    <w:lvl w:ilvl="5" w:tplc="E6E20A88">
      <w:numFmt w:val="decimal"/>
      <w:lvlText w:val=""/>
      <w:lvlJc w:val="left"/>
    </w:lvl>
    <w:lvl w:ilvl="6" w:tplc="84E612DE">
      <w:numFmt w:val="decimal"/>
      <w:lvlText w:val=""/>
      <w:lvlJc w:val="left"/>
    </w:lvl>
    <w:lvl w:ilvl="7" w:tplc="14F67BE8">
      <w:numFmt w:val="decimal"/>
      <w:lvlText w:val=""/>
      <w:lvlJc w:val="left"/>
    </w:lvl>
    <w:lvl w:ilvl="8" w:tplc="FDFC32A0">
      <w:numFmt w:val="decimal"/>
      <w:lvlText w:val=""/>
      <w:lvlJc w:val="left"/>
    </w:lvl>
  </w:abstractNum>
  <w:abstractNum w:abstractNumId="21" w15:restartNumberingAfterBreak="0">
    <w:nsid w:val="01E85927"/>
    <w:multiLevelType w:val="hybridMultilevel"/>
    <w:tmpl w:val="0E38F4B4"/>
    <w:lvl w:ilvl="0" w:tplc="5B18FDC0">
      <w:start w:val="1"/>
      <w:numFmt w:val="bullet"/>
      <w:lvlText w:val=""/>
      <w:lvlJc w:val="left"/>
      <w:pPr>
        <w:ind w:left="720" w:hanging="360"/>
      </w:pPr>
      <w:rPr>
        <w:rFonts w:ascii="Symbol" w:hAnsi="Symbol" w:hint="default"/>
      </w:rPr>
    </w:lvl>
    <w:lvl w:ilvl="1" w:tplc="6E7C0430">
      <w:numFmt w:val="decimal"/>
      <w:lvlText w:val=""/>
      <w:lvlJc w:val="left"/>
    </w:lvl>
    <w:lvl w:ilvl="2" w:tplc="F7FC1140">
      <w:numFmt w:val="decimal"/>
      <w:lvlText w:val=""/>
      <w:lvlJc w:val="left"/>
    </w:lvl>
    <w:lvl w:ilvl="3" w:tplc="382A19C6">
      <w:numFmt w:val="decimal"/>
      <w:lvlText w:val=""/>
      <w:lvlJc w:val="left"/>
    </w:lvl>
    <w:lvl w:ilvl="4" w:tplc="4A90D4DE">
      <w:numFmt w:val="decimal"/>
      <w:lvlText w:val=""/>
      <w:lvlJc w:val="left"/>
    </w:lvl>
    <w:lvl w:ilvl="5" w:tplc="D3F849B6">
      <w:numFmt w:val="decimal"/>
      <w:lvlText w:val=""/>
      <w:lvlJc w:val="left"/>
    </w:lvl>
    <w:lvl w:ilvl="6" w:tplc="247AD15E">
      <w:numFmt w:val="decimal"/>
      <w:lvlText w:val=""/>
      <w:lvlJc w:val="left"/>
    </w:lvl>
    <w:lvl w:ilvl="7" w:tplc="8842EAE2">
      <w:numFmt w:val="decimal"/>
      <w:lvlText w:val=""/>
      <w:lvlJc w:val="left"/>
    </w:lvl>
    <w:lvl w:ilvl="8" w:tplc="7736C844">
      <w:numFmt w:val="decimal"/>
      <w:lvlText w:val=""/>
      <w:lvlJc w:val="left"/>
    </w:lvl>
  </w:abstractNum>
  <w:abstractNum w:abstractNumId="22" w15:restartNumberingAfterBreak="0">
    <w:nsid w:val="02214AB4"/>
    <w:multiLevelType w:val="hybridMultilevel"/>
    <w:tmpl w:val="439E781C"/>
    <w:lvl w:ilvl="0" w:tplc="2BC0E2A2">
      <w:start w:val="1"/>
      <w:numFmt w:val="bullet"/>
      <w:lvlText w:val=""/>
      <w:lvlJc w:val="left"/>
      <w:pPr>
        <w:ind w:left="720" w:hanging="360"/>
      </w:pPr>
      <w:rPr>
        <w:rFonts w:ascii="Symbol" w:hAnsi="Symbol" w:hint="default"/>
      </w:rPr>
    </w:lvl>
    <w:lvl w:ilvl="1" w:tplc="E0863204">
      <w:numFmt w:val="decimal"/>
      <w:lvlText w:val=""/>
      <w:lvlJc w:val="left"/>
    </w:lvl>
    <w:lvl w:ilvl="2" w:tplc="32ECD832">
      <w:numFmt w:val="decimal"/>
      <w:lvlText w:val=""/>
      <w:lvlJc w:val="left"/>
    </w:lvl>
    <w:lvl w:ilvl="3" w:tplc="A21CBB60">
      <w:numFmt w:val="decimal"/>
      <w:lvlText w:val=""/>
      <w:lvlJc w:val="left"/>
    </w:lvl>
    <w:lvl w:ilvl="4" w:tplc="E5FCA4FA">
      <w:numFmt w:val="decimal"/>
      <w:lvlText w:val=""/>
      <w:lvlJc w:val="left"/>
    </w:lvl>
    <w:lvl w:ilvl="5" w:tplc="A7480576">
      <w:numFmt w:val="decimal"/>
      <w:lvlText w:val=""/>
      <w:lvlJc w:val="left"/>
    </w:lvl>
    <w:lvl w:ilvl="6" w:tplc="E3749EE6">
      <w:numFmt w:val="decimal"/>
      <w:lvlText w:val=""/>
      <w:lvlJc w:val="left"/>
    </w:lvl>
    <w:lvl w:ilvl="7" w:tplc="7E04E8AC">
      <w:numFmt w:val="decimal"/>
      <w:lvlText w:val=""/>
      <w:lvlJc w:val="left"/>
    </w:lvl>
    <w:lvl w:ilvl="8" w:tplc="9494A0A0">
      <w:numFmt w:val="decimal"/>
      <w:lvlText w:val=""/>
      <w:lvlJc w:val="left"/>
    </w:lvl>
  </w:abstractNum>
  <w:abstractNum w:abstractNumId="23" w15:restartNumberingAfterBreak="0">
    <w:nsid w:val="02286FF3"/>
    <w:multiLevelType w:val="hybridMultilevel"/>
    <w:tmpl w:val="1C6CB880"/>
    <w:lvl w:ilvl="0" w:tplc="B4DAA4AA">
      <w:start w:val="1"/>
      <w:numFmt w:val="bullet"/>
      <w:lvlText w:val=""/>
      <w:lvlJc w:val="left"/>
      <w:pPr>
        <w:ind w:left="720" w:hanging="360"/>
      </w:pPr>
      <w:rPr>
        <w:rFonts w:ascii="Symbol" w:hAnsi="Symbol" w:hint="default"/>
      </w:rPr>
    </w:lvl>
    <w:lvl w:ilvl="1" w:tplc="A950135A">
      <w:numFmt w:val="decimal"/>
      <w:lvlText w:val=""/>
      <w:lvlJc w:val="left"/>
    </w:lvl>
    <w:lvl w:ilvl="2" w:tplc="A87C22CC">
      <w:numFmt w:val="decimal"/>
      <w:lvlText w:val=""/>
      <w:lvlJc w:val="left"/>
    </w:lvl>
    <w:lvl w:ilvl="3" w:tplc="617E880A">
      <w:numFmt w:val="decimal"/>
      <w:lvlText w:val=""/>
      <w:lvlJc w:val="left"/>
    </w:lvl>
    <w:lvl w:ilvl="4" w:tplc="92B494A4">
      <w:numFmt w:val="decimal"/>
      <w:lvlText w:val=""/>
      <w:lvlJc w:val="left"/>
    </w:lvl>
    <w:lvl w:ilvl="5" w:tplc="F4202212">
      <w:numFmt w:val="decimal"/>
      <w:lvlText w:val=""/>
      <w:lvlJc w:val="left"/>
    </w:lvl>
    <w:lvl w:ilvl="6" w:tplc="8C9839D4">
      <w:numFmt w:val="decimal"/>
      <w:lvlText w:val=""/>
      <w:lvlJc w:val="left"/>
    </w:lvl>
    <w:lvl w:ilvl="7" w:tplc="F6B4E7FE">
      <w:numFmt w:val="decimal"/>
      <w:lvlText w:val=""/>
      <w:lvlJc w:val="left"/>
    </w:lvl>
    <w:lvl w:ilvl="8" w:tplc="B4800A7E">
      <w:numFmt w:val="decimal"/>
      <w:lvlText w:val=""/>
      <w:lvlJc w:val="left"/>
    </w:lvl>
  </w:abstractNum>
  <w:abstractNum w:abstractNumId="24" w15:restartNumberingAfterBreak="0">
    <w:nsid w:val="023C786A"/>
    <w:multiLevelType w:val="hybridMultilevel"/>
    <w:tmpl w:val="AC7CAB50"/>
    <w:lvl w:ilvl="0" w:tplc="90F0C74C">
      <w:start w:val="1"/>
      <w:numFmt w:val="bullet"/>
      <w:lvlText w:val=""/>
      <w:lvlJc w:val="left"/>
      <w:pPr>
        <w:ind w:left="720" w:hanging="360"/>
      </w:pPr>
      <w:rPr>
        <w:rFonts w:ascii="Symbol" w:hAnsi="Symbol" w:hint="default"/>
      </w:rPr>
    </w:lvl>
    <w:lvl w:ilvl="1" w:tplc="2DA22BC8">
      <w:numFmt w:val="decimal"/>
      <w:lvlText w:val=""/>
      <w:lvlJc w:val="left"/>
    </w:lvl>
    <w:lvl w:ilvl="2" w:tplc="E9E474D0">
      <w:numFmt w:val="decimal"/>
      <w:lvlText w:val=""/>
      <w:lvlJc w:val="left"/>
    </w:lvl>
    <w:lvl w:ilvl="3" w:tplc="BA28308E">
      <w:numFmt w:val="decimal"/>
      <w:lvlText w:val=""/>
      <w:lvlJc w:val="left"/>
    </w:lvl>
    <w:lvl w:ilvl="4" w:tplc="2892BB6C">
      <w:numFmt w:val="decimal"/>
      <w:lvlText w:val=""/>
      <w:lvlJc w:val="left"/>
    </w:lvl>
    <w:lvl w:ilvl="5" w:tplc="BFBAC300">
      <w:numFmt w:val="decimal"/>
      <w:lvlText w:val=""/>
      <w:lvlJc w:val="left"/>
    </w:lvl>
    <w:lvl w:ilvl="6" w:tplc="79342AAA">
      <w:numFmt w:val="decimal"/>
      <w:lvlText w:val=""/>
      <w:lvlJc w:val="left"/>
    </w:lvl>
    <w:lvl w:ilvl="7" w:tplc="1E6A178E">
      <w:numFmt w:val="decimal"/>
      <w:lvlText w:val=""/>
      <w:lvlJc w:val="left"/>
    </w:lvl>
    <w:lvl w:ilvl="8" w:tplc="E80EFA12">
      <w:numFmt w:val="decimal"/>
      <w:lvlText w:val=""/>
      <w:lvlJc w:val="left"/>
    </w:lvl>
  </w:abstractNum>
  <w:abstractNum w:abstractNumId="25" w15:restartNumberingAfterBreak="0">
    <w:nsid w:val="02425385"/>
    <w:multiLevelType w:val="hybridMultilevel"/>
    <w:tmpl w:val="A5A65CBC"/>
    <w:lvl w:ilvl="0" w:tplc="26E44FA2">
      <w:start w:val="1"/>
      <w:numFmt w:val="bullet"/>
      <w:lvlText w:val=""/>
      <w:lvlJc w:val="left"/>
      <w:pPr>
        <w:ind w:left="720" w:hanging="360"/>
      </w:pPr>
      <w:rPr>
        <w:rFonts w:ascii="Symbol" w:hAnsi="Symbol" w:hint="default"/>
      </w:rPr>
    </w:lvl>
    <w:lvl w:ilvl="1" w:tplc="6BA64BFC">
      <w:numFmt w:val="decimal"/>
      <w:lvlText w:val=""/>
      <w:lvlJc w:val="left"/>
    </w:lvl>
    <w:lvl w:ilvl="2" w:tplc="52588A90">
      <w:numFmt w:val="decimal"/>
      <w:lvlText w:val=""/>
      <w:lvlJc w:val="left"/>
    </w:lvl>
    <w:lvl w:ilvl="3" w:tplc="61AC9186">
      <w:numFmt w:val="decimal"/>
      <w:lvlText w:val=""/>
      <w:lvlJc w:val="left"/>
    </w:lvl>
    <w:lvl w:ilvl="4" w:tplc="2B40A7F0">
      <w:numFmt w:val="decimal"/>
      <w:lvlText w:val=""/>
      <w:lvlJc w:val="left"/>
    </w:lvl>
    <w:lvl w:ilvl="5" w:tplc="0B54D8EA">
      <w:numFmt w:val="decimal"/>
      <w:lvlText w:val=""/>
      <w:lvlJc w:val="left"/>
    </w:lvl>
    <w:lvl w:ilvl="6" w:tplc="2976D96A">
      <w:numFmt w:val="decimal"/>
      <w:lvlText w:val=""/>
      <w:lvlJc w:val="left"/>
    </w:lvl>
    <w:lvl w:ilvl="7" w:tplc="3D80C8E4">
      <w:numFmt w:val="decimal"/>
      <w:lvlText w:val=""/>
      <w:lvlJc w:val="left"/>
    </w:lvl>
    <w:lvl w:ilvl="8" w:tplc="5F4EBD28">
      <w:numFmt w:val="decimal"/>
      <w:lvlText w:val=""/>
      <w:lvlJc w:val="left"/>
    </w:lvl>
  </w:abstractNum>
  <w:abstractNum w:abstractNumId="26" w15:restartNumberingAfterBreak="0">
    <w:nsid w:val="02662AD9"/>
    <w:multiLevelType w:val="hybridMultilevel"/>
    <w:tmpl w:val="018CBFEC"/>
    <w:lvl w:ilvl="0" w:tplc="4FA8593C">
      <w:start w:val="1"/>
      <w:numFmt w:val="bullet"/>
      <w:lvlText w:val=""/>
      <w:lvlJc w:val="left"/>
      <w:pPr>
        <w:ind w:left="720" w:hanging="360"/>
      </w:pPr>
      <w:rPr>
        <w:rFonts w:ascii="Symbol" w:hAnsi="Symbol" w:hint="default"/>
      </w:rPr>
    </w:lvl>
    <w:lvl w:ilvl="1" w:tplc="D06C4646">
      <w:numFmt w:val="decimal"/>
      <w:lvlText w:val=""/>
      <w:lvlJc w:val="left"/>
    </w:lvl>
    <w:lvl w:ilvl="2" w:tplc="7276909E">
      <w:numFmt w:val="decimal"/>
      <w:lvlText w:val=""/>
      <w:lvlJc w:val="left"/>
    </w:lvl>
    <w:lvl w:ilvl="3" w:tplc="8416E070">
      <w:numFmt w:val="decimal"/>
      <w:lvlText w:val=""/>
      <w:lvlJc w:val="left"/>
    </w:lvl>
    <w:lvl w:ilvl="4" w:tplc="EB163438">
      <w:numFmt w:val="decimal"/>
      <w:lvlText w:val=""/>
      <w:lvlJc w:val="left"/>
    </w:lvl>
    <w:lvl w:ilvl="5" w:tplc="96F0F5D8">
      <w:numFmt w:val="decimal"/>
      <w:lvlText w:val=""/>
      <w:lvlJc w:val="left"/>
    </w:lvl>
    <w:lvl w:ilvl="6" w:tplc="2A6CDE42">
      <w:numFmt w:val="decimal"/>
      <w:lvlText w:val=""/>
      <w:lvlJc w:val="left"/>
    </w:lvl>
    <w:lvl w:ilvl="7" w:tplc="4578983C">
      <w:numFmt w:val="decimal"/>
      <w:lvlText w:val=""/>
      <w:lvlJc w:val="left"/>
    </w:lvl>
    <w:lvl w:ilvl="8" w:tplc="B270FD6C">
      <w:numFmt w:val="decimal"/>
      <w:lvlText w:val=""/>
      <w:lvlJc w:val="left"/>
    </w:lvl>
  </w:abstractNum>
  <w:abstractNum w:abstractNumId="27" w15:restartNumberingAfterBreak="0">
    <w:nsid w:val="02693180"/>
    <w:multiLevelType w:val="hybridMultilevel"/>
    <w:tmpl w:val="83B42ADE"/>
    <w:lvl w:ilvl="0" w:tplc="E5EACC6A">
      <w:start w:val="1"/>
      <w:numFmt w:val="bullet"/>
      <w:lvlText w:val=""/>
      <w:lvlJc w:val="left"/>
      <w:pPr>
        <w:ind w:left="720" w:hanging="360"/>
      </w:pPr>
      <w:rPr>
        <w:rFonts w:ascii="Symbol" w:hAnsi="Symbol" w:hint="default"/>
      </w:rPr>
    </w:lvl>
    <w:lvl w:ilvl="1" w:tplc="86D8A620">
      <w:numFmt w:val="decimal"/>
      <w:lvlText w:val=""/>
      <w:lvlJc w:val="left"/>
    </w:lvl>
    <w:lvl w:ilvl="2" w:tplc="8CD65DC0">
      <w:numFmt w:val="decimal"/>
      <w:lvlText w:val=""/>
      <w:lvlJc w:val="left"/>
    </w:lvl>
    <w:lvl w:ilvl="3" w:tplc="F0F203AA">
      <w:numFmt w:val="decimal"/>
      <w:lvlText w:val=""/>
      <w:lvlJc w:val="left"/>
    </w:lvl>
    <w:lvl w:ilvl="4" w:tplc="066CCDC4">
      <w:numFmt w:val="decimal"/>
      <w:lvlText w:val=""/>
      <w:lvlJc w:val="left"/>
    </w:lvl>
    <w:lvl w:ilvl="5" w:tplc="62BA0C78">
      <w:numFmt w:val="decimal"/>
      <w:lvlText w:val=""/>
      <w:lvlJc w:val="left"/>
    </w:lvl>
    <w:lvl w:ilvl="6" w:tplc="9688523E">
      <w:numFmt w:val="decimal"/>
      <w:lvlText w:val=""/>
      <w:lvlJc w:val="left"/>
    </w:lvl>
    <w:lvl w:ilvl="7" w:tplc="729433A0">
      <w:numFmt w:val="decimal"/>
      <w:lvlText w:val=""/>
      <w:lvlJc w:val="left"/>
    </w:lvl>
    <w:lvl w:ilvl="8" w:tplc="ED964094">
      <w:numFmt w:val="decimal"/>
      <w:lvlText w:val=""/>
      <w:lvlJc w:val="left"/>
    </w:lvl>
  </w:abstractNum>
  <w:abstractNum w:abstractNumId="28" w15:restartNumberingAfterBreak="0">
    <w:nsid w:val="02A936F3"/>
    <w:multiLevelType w:val="hybridMultilevel"/>
    <w:tmpl w:val="79AEAF08"/>
    <w:lvl w:ilvl="0" w:tplc="6A9AEFAE">
      <w:start w:val="1"/>
      <w:numFmt w:val="bullet"/>
      <w:lvlText w:val=""/>
      <w:lvlJc w:val="left"/>
      <w:pPr>
        <w:ind w:left="720" w:hanging="360"/>
      </w:pPr>
      <w:rPr>
        <w:rFonts w:ascii="Symbol" w:hAnsi="Symbol" w:hint="default"/>
      </w:rPr>
    </w:lvl>
    <w:lvl w:ilvl="1" w:tplc="7BF024F2">
      <w:numFmt w:val="decimal"/>
      <w:lvlText w:val=""/>
      <w:lvlJc w:val="left"/>
    </w:lvl>
    <w:lvl w:ilvl="2" w:tplc="9B1C08BC">
      <w:numFmt w:val="decimal"/>
      <w:lvlText w:val=""/>
      <w:lvlJc w:val="left"/>
    </w:lvl>
    <w:lvl w:ilvl="3" w:tplc="54EC4B76">
      <w:numFmt w:val="decimal"/>
      <w:lvlText w:val=""/>
      <w:lvlJc w:val="left"/>
    </w:lvl>
    <w:lvl w:ilvl="4" w:tplc="437C4A90">
      <w:numFmt w:val="decimal"/>
      <w:lvlText w:val=""/>
      <w:lvlJc w:val="left"/>
    </w:lvl>
    <w:lvl w:ilvl="5" w:tplc="DF50B448">
      <w:numFmt w:val="decimal"/>
      <w:lvlText w:val=""/>
      <w:lvlJc w:val="left"/>
    </w:lvl>
    <w:lvl w:ilvl="6" w:tplc="C750D5CC">
      <w:numFmt w:val="decimal"/>
      <w:lvlText w:val=""/>
      <w:lvlJc w:val="left"/>
    </w:lvl>
    <w:lvl w:ilvl="7" w:tplc="AF3865BC">
      <w:numFmt w:val="decimal"/>
      <w:lvlText w:val=""/>
      <w:lvlJc w:val="left"/>
    </w:lvl>
    <w:lvl w:ilvl="8" w:tplc="67B88DAE">
      <w:numFmt w:val="decimal"/>
      <w:lvlText w:val=""/>
      <w:lvlJc w:val="left"/>
    </w:lvl>
  </w:abstractNum>
  <w:abstractNum w:abstractNumId="29" w15:restartNumberingAfterBreak="0">
    <w:nsid w:val="02A93EE9"/>
    <w:multiLevelType w:val="hybridMultilevel"/>
    <w:tmpl w:val="858E3CD0"/>
    <w:lvl w:ilvl="0" w:tplc="81505B0C">
      <w:start w:val="1"/>
      <w:numFmt w:val="bullet"/>
      <w:lvlText w:val=""/>
      <w:lvlJc w:val="left"/>
      <w:pPr>
        <w:ind w:left="720" w:hanging="360"/>
      </w:pPr>
      <w:rPr>
        <w:rFonts w:ascii="Symbol" w:hAnsi="Symbol" w:hint="default"/>
      </w:rPr>
    </w:lvl>
    <w:lvl w:ilvl="1" w:tplc="46E4EB5E">
      <w:numFmt w:val="decimal"/>
      <w:lvlText w:val=""/>
      <w:lvlJc w:val="left"/>
    </w:lvl>
    <w:lvl w:ilvl="2" w:tplc="2926F5C4">
      <w:numFmt w:val="decimal"/>
      <w:lvlText w:val=""/>
      <w:lvlJc w:val="left"/>
    </w:lvl>
    <w:lvl w:ilvl="3" w:tplc="1ED074A8">
      <w:numFmt w:val="decimal"/>
      <w:lvlText w:val=""/>
      <w:lvlJc w:val="left"/>
    </w:lvl>
    <w:lvl w:ilvl="4" w:tplc="CCF20BCC">
      <w:numFmt w:val="decimal"/>
      <w:lvlText w:val=""/>
      <w:lvlJc w:val="left"/>
    </w:lvl>
    <w:lvl w:ilvl="5" w:tplc="F4C857A6">
      <w:numFmt w:val="decimal"/>
      <w:lvlText w:val=""/>
      <w:lvlJc w:val="left"/>
    </w:lvl>
    <w:lvl w:ilvl="6" w:tplc="EC4CAAB4">
      <w:numFmt w:val="decimal"/>
      <w:lvlText w:val=""/>
      <w:lvlJc w:val="left"/>
    </w:lvl>
    <w:lvl w:ilvl="7" w:tplc="6FEE7040">
      <w:numFmt w:val="decimal"/>
      <w:lvlText w:val=""/>
      <w:lvlJc w:val="left"/>
    </w:lvl>
    <w:lvl w:ilvl="8" w:tplc="B612745C">
      <w:numFmt w:val="decimal"/>
      <w:lvlText w:val=""/>
      <w:lvlJc w:val="left"/>
    </w:lvl>
  </w:abstractNum>
  <w:abstractNum w:abstractNumId="30" w15:restartNumberingAfterBreak="0">
    <w:nsid w:val="02C316F4"/>
    <w:multiLevelType w:val="hybridMultilevel"/>
    <w:tmpl w:val="953CC3EC"/>
    <w:lvl w:ilvl="0" w:tplc="E1041950">
      <w:numFmt w:val="decimal"/>
      <w:lvlText w:val=""/>
      <w:lvlJc w:val="left"/>
    </w:lvl>
    <w:lvl w:ilvl="1" w:tplc="904A0EC0">
      <w:start w:val="1"/>
      <w:numFmt w:val="bullet"/>
      <w:lvlText w:val=""/>
      <w:lvlJc w:val="left"/>
      <w:pPr>
        <w:ind w:left="1440" w:hanging="360"/>
      </w:pPr>
      <w:rPr>
        <w:rFonts w:ascii="Symbol" w:hAnsi="Symbol" w:hint="default"/>
      </w:rPr>
    </w:lvl>
    <w:lvl w:ilvl="2" w:tplc="5808AB0E">
      <w:numFmt w:val="decimal"/>
      <w:lvlText w:val=""/>
      <w:lvlJc w:val="left"/>
    </w:lvl>
    <w:lvl w:ilvl="3" w:tplc="D44E33DC">
      <w:numFmt w:val="decimal"/>
      <w:lvlText w:val=""/>
      <w:lvlJc w:val="left"/>
    </w:lvl>
    <w:lvl w:ilvl="4" w:tplc="C662559A">
      <w:numFmt w:val="decimal"/>
      <w:lvlText w:val=""/>
      <w:lvlJc w:val="left"/>
    </w:lvl>
    <w:lvl w:ilvl="5" w:tplc="79FE7BA4">
      <w:numFmt w:val="decimal"/>
      <w:lvlText w:val=""/>
      <w:lvlJc w:val="left"/>
    </w:lvl>
    <w:lvl w:ilvl="6" w:tplc="D7601940">
      <w:numFmt w:val="decimal"/>
      <w:lvlText w:val=""/>
      <w:lvlJc w:val="left"/>
    </w:lvl>
    <w:lvl w:ilvl="7" w:tplc="0C322122">
      <w:numFmt w:val="decimal"/>
      <w:lvlText w:val=""/>
      <w:lvlJc w:val="left"/>
    </w:lvl>
    <w:lvl w:ilvl="8" w:tplc="62A839E4">
      <w:numFmt w:val="decimal"/>
      <w:lvlText w:val=""/>
      <w:lvlJc w:val="left"/>
    </w:lvl>
  </w:abstractNum>
  <w:abstractNum w:abstractNumId="31" w15:restartNumberingAfterBreak="0">
    <w:nsid w:val="02E360BB"/>
    <w:multiLevelType w:val="hybridMultilevel"/>
    <w:tmpl w:val="5C1ABB16"/>
    <w:lvl w:ilvl="0" w:tplc="D972805A">
      <w:start w:val="1"/>
      <w:numFmt w:val="bullet"/>
      <w:lvlText w:val=""/>
      <w:lvlJc w:val="left"/>
      <w:pPr>
        <w:ind w:left="720" w:hanging="360"/>
      </w:pPr>
      <w:rPr>
        <w:rFonts w:ascii="Symbol" w:hAnsi="Symbol" w:hint="default"/>
      </w:rPr>
    </w:lvl>
    <w:lvl w:ilvl="1" w:tplc="730CF078">
      <w:numFmt w:val="decimal"/>
      <w:lvlText w:val=""/>
      <w:lvlJc w:val="left"/>
    </w:lvl>
    <w:lvl w:ilvl="2" w:tplc="B9E64AEA">
      <w:numFmt w:val="decimal"/>
      <w:lvlText w:val=""/>
      <w:lvlJc w:val="left"/>
    </w:lvl>
    <w:lvl w:ilvl="3" w:tplc="51D244C8">
      <w:numFmt w:val="decimal"/>
      <w:lvlText w:val=""/>
      <w:lvlJc w:val="left"/>
    </w:lvl>
    <w:lvl w:ilvl="4" w:tplc="01127442">
      <w:numFmt w:val="decimal"/>
      <w:lvlText w:val=""/>
      <w:lvlJc w:val="left"/>
    </w:lvl>
    <w:lvl w:ilvl="5" w:tplc="A3E635D8">
      <w:numFmt w:val="decimal"/>
      <w:lvlText w:val=""/>
      <w:lvlJc w:val="left"/>
    </w:lvl>
    <w:lvl w:ilvl="6" w:tplc="ED4AF892">
      <w:numFmt w:val="decimal"/>
      <w:lvlText w:val=""/>
      <w:lvlJc w:val="left"/>
    </w:lvl>
    <w:lvl w:ilvl="7" w:tplc="B10EE646">
      <w:numFmt w:val="decimal"/>
      <w:lvlText w:val=""/>
      <w:lvlJc w:val="left"/>
    </w:lvl>
    <w:lvl w:ilvl="8" w:tplc="AAA87C28">
      <w:numFmt w:val="decimal"/>
      <w:lvlText w:val=""/>
      <w:lvlJc w:val="left"/>
    </w:lvl>
  </w:abstractNum>
  <w:abstractNum w:abstractNumId="32" w15:restartNumberingAfterBreak="0">
    <w:nsid w:val="033077EA"/>
    <w:multiLevelType w:val="hybridMultilevel"/>
    <w:tmpl w:val="2E6645D6"/>
    <w:lvl w:ilvl="0" w:tplc="952C6298">
      <w:start w:val="1"/>
      <w:numFmt w:val="bullet"/>
      <w:lvlText w:val=""/>
      <w:lvlJc w:val="left"/>
      <w:pPr>
        <w:ind w:left="720" w:hanging="360"/>
      </w:pPr>
      <w:rPr>
        <w:rFonts w:ascii="Symbol" w:hAnsi="Symbol" w:hint="default"/>
      </w:rPr>
    </w:lvl>
    <w:lvl w:ilvl="1" w:tplc="D1205FA0">
      <w:numFmt w:val="decimal"/>
      <w:lvlText w:val=""/>
      <w:lvlJc w:val="left"/>
    </w:lvl>
    <w:lvl w:ilvl="2" w:tplc="047419D8">
      <w:numFmt w:val="decimal"/>
      <w:lvlText w:val=""/>
      <w:lvlJc w:val="left"/>
    </w:lvl>
    <w:lvl w:ilvl="3" w:tplc="D09455DE">
      <w:numFmt w:val="decimal"/>
      <w:lvlText w:val=""/>
      <w:lvlJc w:val="left"/>
    </w:lvl>
    <w:lvl w:ilvl="4" w:tplc="93A22F98">
      <w:numFmt w:val="decimal"/>
      <w:lvlText w:val=""/>
      <w:lvlJc w:val="left"/>
    </w:lvl>
    <w:lvl w:ilvl="5" w:tplc="2C74E25A">
      <w:numFmt w:val="decimal"/>
      <w:lvlText w:val=""/>
      <w:lvlJc w:val="left"/>
    </w:lvl>
    <w:lvl w:ilvl="6" w:tplc="569E657E">
      <w:numFmt w:val="decimal"/>
      <w:lvlText w:val=""/>
      <w:lvlJc w:val="left"/>
    </w:lvl>
    <w:lvl w:ilvl="7" w:tplc="0644B312">
      <w:numFmt w:val="decimal"/>
      <w:lvlText w:val=""/>
      <w:lvlJc w:val="left"/>
    </w:lvl>
    <w:lvl w:ilvl="8" w:tplc="4A9C9098">
      <w:numFmt w:val="decimal"/>
      <w:lvlText w:val=""/>
      <w:lvlJc w:val="left"/>
    </w:lvl>
  </w:abstractNum>
  <w:abstractNum w:abstractNumId="33" w15:restartNumberingAfterBreak="0">
    <w:nsid w:val="03366684"/>
    <w:multiLevelType w:val="hybridMultilevel"/>
    <w:tmpl w:val="50F67B08"/>
    <w:lvl w:ilvl="0" w:tplc="799E3F08">
      <w:start w:val="1"/>
      <w:numFmt w:val="bullet"/>
      <w:lvlText w:val=""/>
      <w:lvlJc w:val="left"/>
      <w:pPr>
        <w:ind w:left="720" w:hanging="360"/>
      </w:pPr>
      <w:rPr>
        <w:rFonts w:ascii="Symbol" w:hAnsi="Symbol" w:hint="default"/>
      </w:rPr>
    </w:lvl>
    <w:lvl w:ilvl="1" w:tplc="834ECC8E">
      <w:numFmt w:val="decimal"/>
      <w:lvlText w:val=""/>
      <w:lvlJc w:val="left"/>
    </w:lvl>
    <w:lvl w:ilvl="2" w:tplc="E57E9F68">
      <w:numFmt w:val="decimal"/>
      <w:lvlText w:val=""/>
      <w:lvlJc w:val="left"/>
    </w:lvl>
    <w:lvl w:ilvl="3" w:tplc="CED67808">
      <w:numFmt w:val="decimal"/>
      <w:lvlText w:val=""/>
      <w:lvlJc w:val="left"/>
    </w:lvl>
    <w:lvl w:ilvl="4" w:tplc="2DFEB924">
      <w:numFmt w:val="decimal"/>
      <w:lvlText w:val=""/>
      <w:lvlJc w:val="left"/>
    </w:lvl>
    <w:lvl w:ilvl="5" w:tplc="436AC128">
      <w:numFmt w:val="decimal"/>
      <w:lvlText w:val=""/>
      <w:lvlJc w:val="left"/>
    </w:lvl>
    <w:lvl w:ilvl="6" w:tplc="92A43A32">
      <w:numFmt w:val="decimal"/>
      <w:lvlText w:val=""/>
      <w:lvlJc w:val="left"/>
    </w:lvl>
    <w:lvl w:ilvl="7" w:tplc="F06E30FC">
      <w:numFmt w:val="decimal"/>
      <w:lvlText w:val=""/>
      <w:lvlJc w:val="left"/>
    </w:lvl>
    <w:lvl w:ilvl="8" w:tplc="9ACC10C0">
      <w:numFmt w:val="decimal"/>
      <w:lvlText w:val=""/>
      <w:lvlJc w:val="left"/>
    </w:lvl>
  </w:abstractNum>
  <w:abstractNum w:abstractNumId="34" w15:restartNumberingAfterBreak="0">
    <w:nsid w:val="03532A54"/>
    <w:multiLevelType w:val="hybridMultilevel"/>
    <w:tmpl w:val="33FA4C02"/>
    <w:lvl w:ilvl="0" w:tplc="3D345506">
      <w:start w:val="1"/>
      <w:numFmt w:val="bullet"/>
      <w:lvlText w:val=""/>
      <w:lvlJc w:val="left"/>
      <w:pPr>
        <w:ind w:left="720" w:hanging="360"/>
      </w:pPr>
      <w:rPr>
        <w:rFonts w:ascii="Symbol" w:hAnsi="Symbol" w:hint="default"/>
      </w:rPr>
    </w:lvl>
    <w:lvl w:ilvl="1" w:tplc="481498AA">
      <w:numFmt w:val="decimal"/>
      <w:lvlText w:val=""/>
      <w:lvlJc w:val="left"/>
    </w:lvl>
    <w:lvl w:ilvl="2" w:tplc="4F689A0A">
      <w:numFmt w:val="decimal"/>
      <w:lvlText w:val=""/>
      <w:lvlJc w:val="left"/>
    </w:lvl>
    <w:lvl w:ilvl="3" w:tplc="00BA2330">
      <w:numFmt w:val="decimal"/>
      <w:lvlText w:val=""/>
      <w:lvlJc w:val="left"/>
    </w:lvl>
    <w:lvl w:ilvl="4" w:tplc="57C6DB44">
      <w:numFmt w:val="decimal"/>
      <w:lvlText w:val=""/>
      <w:lvlJc w:val="left"/>
    </w:lvl>
    <w:lvl w:ilvl="5" w:tplc="3B6AD426">
      <w:numFmt w:val="decimal"/>
      <w:lvlText w:val=""/>
      <w:lvlJc w:val="left"/>
    </w:lvl>
    <w:lvl w:ilvl="6" w:tplc="30D26A10">
      <w:numFmt w:val="decimal"/>
      <w:lvlText w:val=""/>
      <w:lvlJc w:val="left"/>
    </w:lvl>
    <w:lvl w:ilvl="7" w:tplc="6CFED63E">
      <w:numFmt w:val="decimal"/>
      <w:lvlText w:val=""/>
      <w:lvlJc w:val="left"/>
    </w:lvl>
    <w:lvl w:ilvl="8" w:tplc="9136566A">
      <w:numFmt w:val="decimal"/>
      <w:lvlText w:val=""/>
      <w:lvlJc w:val="left"/>
    </w:lvl>
  </w:abstractNum>
  <w:abstractNum w:abstractNumId="35" w15:restartNumberingAfterBreak="0">
    <w:nsid w:val="03587B04"/>
    <w:multiLevelType w:val="hybridMultilevel"/>
    <w:tmpl w:val="38129ACE"/>
    <w:lvl w:ilvl="0" w:tplc="6EE841DC">
      <w:start w:val="1"/>
      <w:numFmt w:val="bullet"/>
      <w:lvlText w:val=""/>
      <w:lvlJc w:val="left"/>
      <w:pPr>
        <w:ind w:left="720" w:hanging="360"/>
      </w:pPr>
      <w:rPr>
        <w:rFonts w:ascii="Symbol" w:hAnsi="Symbol" w:hint="default"/>
      </w:rPr>
    </w:lvl>
    <w:lvl w:ilvl="1" w:tplc="E6947EDA">
      <w:numFmt w:val="decimal"/>
      <w:lvlText w:val=""/>
      <w:lvlJc w:val="left"/>
    </w:lvl>
    <w:lvl w:ilvl="2" w:tplc="DF5C5258">
      <w:numFmt w:val="decimal"/>
      <w:lvlText w:val=""/>
      <w:lvlJc w:val="left"/>
    </w:lvl>
    <w:lvl w:ilvl="3" w:tplc="5C2A4D6E">
      <w:numFmt w:val="decimal"/>
      <w:lvlText w:val=""/>
      <w:lvlJc w:val="left"/>
    </w:lvl>
    <w:lvl w:ilvl="4" w:tplc="F2B80460">
      <w:numFmt w:val="decimal"/>
      <w:lvlText w:val=""/>
      <w:lvlJc w:val="left"/>
    </w:lvl>
    <w:lvl w:ilvl="5" w:tplc="42D42CE8">
      <w:numFmt w:val="decimal"/>
      <w:lvlText w:val=""/>
      <w:lvlJc w:val="left"/>
    </w:lvl>
    <w:lvl w:ilvl="6" w:tplc="2246347C">
      <w:numFmt w:val="decimal"/>
      <w:lvlText w:val=""/>
      <w:lvlJc w:val="left"/>
    </w:lvl>
    <w:lvl w:ilvl="7" w:tplc="F98CFC60">
      <w:numFmt w:val="decimal"/>
      <w:lvlText w:val=""/>
      <w:lvlJc w:val="left"/>
    </w:lvl>
    <w:lvl w:ilvl="8" w:tplc="A2D2EBF6">
      <w:numFmt w:val="decimal"/>
      <w:lvlText w:val=""/>
      <w:lvlJc w:val="left"/>
    </w:lvl>
  </w:abstractNum>
  <w:abstractNum w:abstractNumId="36" w15:restartNumberingAfterBreak="0">
    <w:nsid w:val="03824CCB"/>
    <w:multiLevelType w:val="hybridMultilevel"/>
    <w:tmpl w:val="7640067E"/>
    <w:lvl w:ilvl="0" w:tplc="7AB604E8">
      <w:start w:val="1"/>
      <w:numFmt w:val="bullet"/>
      <w:lvlText w:val=""/>
      <w:lvlJc w:val="left"/>
      <w:pPr>
        <w:ind w:left="720" w:hanging="360"/>
      </w:pPr>
      <w:rPr>
        <w:rFonts w:ascii="Symbol" w:hAnsi="Symbol" w:hint="default"/>
      </w:rPr>
    </w:lvl>
    <w:lvl w:ilvl="1" w:tplc="AFB063D6">
      <w:numFmt w:val="decimal"/>
      <w:lvlText w:val=""/>
      <w:lvlJc w:val="left"/>
    </w:lvl>
    <w:lvl w:ilvl="2" w:tplc="6102E3C2">
      <w:numFmt w:val="decimal"/>
      <w:lvlText w:val=""/>
      <w:lvlJc w:val="left"/>
    </w:lvl>
    <w:lvl w:ilvl="3" w:tplc="17F4702A">
      <w:numFmt w:val="decimal"/>
      <w:lvlText w:val=""/>
      <w:lvlJc w:val="left"/>
    </w:lvl>
    <w:lvl w:ilvl="4" w:tplc="9260E734">
      <w:numFmt w:val="decimal"/>
      <w:lvlText w:val=""/>
      <w:lvlJc w:val="left"/>
    </w:lvl>
    <w:lvl w:ilvl="5" w:tplc="4F32B50E">
      <w:numFmt w:val="decimal"/>
      <w:lvlText w:val=""/>
      <w:lvlJc w:val="left"/>
    </w:lvl>
    <w:lvl w:ilvl="6" w:tplc="870C4370">
      <w:numFmt w:val="decimal"/>
      <w:lvlText w:val=""/>
      <w:lvlJc w:val="left"/>
    </w:lvl>
    <w:lvl w:ilvl="7" w:tplc="B436F1EE">
      <w:numFmt w:val="decimal"/>
      <w:lvlText w:val=""/>
      <w:lvlJc w:val="left"/>
    </w:lvl>
    <w:lvl w:ilvl="8" w:tplc="ED34A300">
      <w:numFmt w:val="decimal"/>
      <w:lvlText w:val=""/>
      <w:lvlJc w:val="left"/>
    </w:lvl>
  </w:abstractNum>
  <w:abstractNum w:abstractNumId="37" w15:restartNumberingAfterBreak="0">
    <w:nsid w:val="038A0311"/>
    <w:multiLevelType w:val="hybridMultilevel"/>
    <w:tmpl w:val="85B0350C"/>
    <w:lvl w:ilvl="0" w:tplc="9858FC6C">
      <w:start w:val="1"/>
      <w:numFmt w:val="bullet"/>
      <w:lvlText w:val=""/>
      <w:lvlJc w:val="left"/>
      <w:pPr>
        <w:ind w:left="720" w:hanging="360"/>
      </w:pPr>
      <w:rPr>
        <w:rFonts w:ascii="Symbol" w:hAnsi="Symbol" w:hint="default"/>
      </w:rPr>
    </w:lvl>
    <w:lvl w:ilvl="1" w:tplc="55285A70">
      <w:numFmt w:val="decimal"/>
      <w:lvlText w:val=""/>
      <w:lvlJc w:val="left"/>
    </w:lvl>
    <w:lvl w:ilvl="2" w:tplc="D8EC4E84">
      <w:numFmt w:val="decimal"/>
      <w:lvlText w:val=""/>
      <w:lvlJc w:val="left"/>
    </w:lvl>
    <w:lvl w:ilvl="3" w:tplc="B7C6968E">
      <w:numFmt w:val="decimal"/>
      <w:lvlText w:val=""/>
      <w:lvlJc w:val="left"/>
    </w:lvl>
    <w:lvl w:ilvl="4" w:tplc="45B0BF8E">
      <w:numFmt w:val="decimal"/>
      <w:lvlText w:val=""/>
      <w:lvlJc w:val="left"/>
    </w:lvl>
    <w:lvl w:ilvl="5" w:tplc="4EAC7FE0">
      <w:numFmt w:val="decimal"/>
      <w:lvlText w:val=""/>
      <w:lvlJc w:val="left"/>
    </w:lvl>
    <w:lvl w:ilvl="6" w:tplc="26760308">
      <w:numFmt w:val="decimal"/>
      <w:lvlText w:val=""/>
      <w:lvlJc w:val="left"/>
    </w:lvl>
    <w:lvl w:ilvl="7" w:tplc="8930A202">
      <w:numFmt w:val="decimal"/>
      <w:lvlText w:val=""/>
      <w:lvlJc w:val="left"/>
    </w:lvl>
    <w:lvl w:ilvl="8" w:tplc="B706059A">
      <w:numFmt w:val="decimal"/>
      <w:lvlText w:val=""/>
      <w:lvlJc w:val="left"/>
    </w:lvl>
  </w:abstractNum>
  <w:abstractNum w:abstractNumId="38" w15:restartNumberingAfterBreak="0">
    <w:nsid w:val="03B7277D"/>
    <w:multiLevelType w:val="hybridMultilevel"/>
    <w:tmpl w:val="626C695E"/>
    <w:lvl w:ilvl="0" w:tplc="DD7A2E96">
      <w:start w:val="1"/>
      <w:numFmt w:val="bullet"/>
      <w:lvlText w:val=""/>
      <w:lvlJc w:val="left"/>
      <w:pPr>
        <w:ind w:left="720" w:hanging="360"/>
      </w:pPr>
      <w:rPr>
        <w:rFonts w:ascii="Symbol" w:hAnsi="Symbol" w:hint="default"/>
      </w:rPr>
    </w:lvl>
    <w:lvl w:ilvl="1" w:tplc="93023454">
      <w:numFmt w:val="decimal"/>
      <w:lvlText w:val=""/>
      <w:lvlJc w:val="left"/>
    </w:lvl>
    <w:lvl w:ilvl="2" w:tplc="E2C06400">
      <w:numFmt w:val="decimal"/>
      <w:lvlText w:val=""/>
      <w:lvlJc w:val="left"/>
    </w:lvl>
    <w:lvl w:ilvl="3" w:tplc="CE983844">
      <w:numFmt w:val="decimal"/>
      <w:lvlText w:val=""/>
      <w:lvlJc w:val="left"/>
    </w:lvl>
    <w:lvl w:ilvl="4" w:tplc="0EAC2DE0">
      <w:numFmt w:val="decimal"/>
      <w:lvlText w:val=""/>
      <w:lvlJc w:val="left"/>
    </w:lvl>
    <w:lvl w:ilvl="5" w:tplc="3F121088">
      <w:numFmt w:val="decimal"/>
      <w:lvlText w:val=""/>
      <w:lvlJc w:val="left"/>
    </w:lvl>
    <w:lvl w:ilvl="6" w:tplc="6C86EA60">
      <w:numFmt w:val="decimal"/>
      <w:lvlText w:val=""/>
      <w:lvlJc w:val="left"/>
    </w:lvl>
    <w:lvl w:ilvl="7" w:tplc="EA402CA8">
      <w:numFmt w:val="decimal"/>
      <w:lvlText w:val=""/>
      <w:lvlJc w:val="left"/>
    </w:lvl>
    <w:lvl w:ilvl="8" w:tplc="7930CCEA">
      <w:numFmt w:val="decimal"/>
      <w:lvlText w:val=""/>
      <w:lvlJc w:val="left"/>
    </w:lvl>
  </w:abstractNum>
  <w:abstractNum w:abstractNumId="39" w15:restartNumberingAfterBreak="0">
    <w:nsid w:val="04125C2F"/>
    <w:multiLevelType w:val="hybridMultilevel"/>
    <w:tmpl w:val="A49EC60E"/>
    <w:lvl w:ilvl="0" w:tplc="8B2EC7DE">
      <w:start w:val="1"/>
      <w:numFmt w:val="bullet"/>
      <w:lvlText w:val=""/>
      <w:lvlJc w:val="left"/>
      <w:pPr>
        <w:ind w:left="720" w:hanging="360"/>
      </w:pPr>
      <w:rPr>
        <w:rFonts w:ascii="Symbol" w:hAnsi="Symbol" w:hint="default"/>
      </w:rPr>
    </w:lvl>
    <w:lvl w:ilvl="1" w:tplc="495A9A5E">
      <w:numFmt w:val="decimal"/>
      <w:lvlText w:val=""/>
      <w:lvlJc w:val="left"/>
    </w:lvl>
    <w:lvl w:ilvl="2" w:tplc="B1A6C3FC">
      <w:numFmt w:val="decimal"/>
      <w:lvlText w:val=""/>
      <w:lvlJc w:val="left"/>
    </w:lvl>
    <w:lvl w:ilvl="3" w:tplc="1E6463FC">
      <w:numFmt w:val="decimal"/>
      <w:lvlText w:val=""/>
      <w:lvlJc w:val="left"/>
    </w:lvl>
    <w:lvl w:ilvl="4" w:tplc="199A6F9A">
      <w:numFmt w:val="decimal"/>
      <w:lvlText w:val=""/>
      <w:lvlJc w:val="left"/>
    </w:lvl>
    <w:lvl w:ilvl="5" w:tplc="028AB6D4">
      <w:numFmt w:val="decimal"/>
      <w:lvlText w:val=""/>
      <w:lvlJc w:val="left"/>
    </w:lvl>
    <w:lvl w:ilvl="6" w:tplc="71AC6E46">
      <w:numFmt w:val="decimal"/>
      <w:lvlText w:val=""/>
      <w:lvlJc w:val="left"/>
    </w:lvl>
    <w:lvl w:ilvl="7" w:tplc="CECA964C">
      <w:numFmt w:val="decimal"/>
      <w:lvlText w:val=""/>
      <w:lvlJc w:val="left"/>
    </w:lvl>
    <w:lvl w:ilvl="8" w:tplc="71540248">
      <w:numFmt w:val="decimal"/>
      <w:lvlText w:val=""/>
      <w:lvlJc w:val="left"/>
    </w:lvl>
  </w:abstractNum>
  <w:abstractNum w:abstractNumId="40" w15:restartNumberingAfterBreak="0">
    <w:nsid w:val="041302EB"/>
    <w:multiLevelType w:val="hybridMultilevel"/>
    <w:tmpl w:val="1F18328C"/>
    <w:lvl w:ilvl="0" w:tplc="6AB669EC">
      <w:start w:val="1"/>
      <w:numFmt w:val="bullet"/>
      <w:lvlText w:val=""/>
      <w:lvlJc w:val="left"/>
      <w:pPr>
        <w:ind w:left="720" w:hanging="360"/>
      </w:pPr>
      <w:rPr>
        <w:rFonts w:ascii="Symbol" w:hAnsi="Symbol" w:hint="default"/>
      </w:rPr>
    </w:lvl>
    <w:lvl w:ilvl="1" w:tplc="0BF4DC7E">
      <w:numFmt w:val="decimal"/>
      <w:lvlText w:val=""/>
      <w:lvlJc w:val="left"/>
    </w:lvl>
    <w:lvl w:ilvl="2" w:tplc="75F0ED76">
      <w:numFmt w:val="decimal"/>
      <w:lvlText w:val=""/>
      <w:lvlJc w:val="left"/>
    </w:lvl>
    <w:lvl w:ilvl="3" w:tplc="7D58103A">
      <w:numFmt w:val="decimal"/>
      <w:lvlText w:val=""/>
      <w:lvlJc w:val="left"/>
    </w:lvl>
    <w:lvl w:ilvl="4" w:tplc="E8A6E0BA">
      <w:numFmt w:val="decimal"/>
      <w:lvlText w:val=""/>
      <w:lvlJc w:val="left"/>
    </w:lvl>
    <w:lvl w:ilvl="5" w:tplc="EEB656E6">
      <w:numFmt w:val="decimal"/>
      <w:lvlText w:val=""/>
      <w:lvlJc w:val="left"/>
    </w:lvl>
    <w:lvl w:ilvl="6" w:tplc="256A960C">
      <w:numFmt w:val="decimal"/>
      <w:lvlText w:val=""/>
      <w:lvlJc w:val="left"/>
    </w:lvl>
    <w:lvl w:ilvl="7" w:tplc="E42878AE">
      <w:numFmt w:val="decimal"/>
      <w:lvlText w:val=""/>
      <w:lvlJc w:val="left"/>
    </w:lvl>
    <w:lvl w:ilvl="8" w:tplc="1468522E">
      <w:numFmt w:val="decimal"/>
      <w:lvlText w:val=""/>
      <w:lvlJc w:val="left"/>
    </w:lvl>
  </w:abstractNum>
  <w:abstractNum w:abstractNumId="41" w15:restartNumberingAfterBreak="0">
    <w:nsid w:val="043A4AC4"/>
    <w:multiLevelType w:val="hybridMultilevel"/>
    <w:tmpl w:val="F822D72A"/>
    <w:lvl w:ilvl="0" w:tplc="01BCFAB0">
      <w:start w:val="1"/>
      <w:numFmt w:val="bullet"/>
      <w:lvlText w:val=""/>
      <w:lvlJc w:val="left"/>
      <w:pPr>
        <w:ind w:left="720" w:hanging="360"/>
      </w:pPr>
      <w:rPr>
        <w:rFonts w:ascii="Symbol" w:hAnsi="Symbol" w:hint="default"/>
      </w:rPr>
    </w:lvl>
    <w:lvl w:ilvl="1" w:tplc="C90415FA">
      <w:numFmt w:val="decimal"/>
      <w:lvlText w:val=""/>
      <w:lvlJc w:val="left"/>
    </w:lvl>
    <w:lvl w:ilvl="2" w:tplc="9D0AFFCE">
      <w:numFmt w:val="decimal"/>
      <w:lvlText w:val=""/>
      <w:lvlJc w:val="left"/>
    </w:lvl>
    <w:lvl w:ilvl="3" w:tplc="0DD27046">
      <w:numFmt w:val="decimal"/>
      <w:lvlText w:val=""/>
      <w:lvlJc w:val="left"/>
    </w:lvl>
    <w:lvl w:ilvl="4" w:tplc="D09229CE">
      <w:numFmt w:val="decimal"/>
      <w:lvlText w:val=""/>
      <w:lvlJc w:val="left"/>
    </w:lvl>
    <w:lvl w:ilvl="5" w:tplc="2692388A">
      <w:numFmt w:val="decimal"/>
      <w:lvlText w:val=""/>
      <w:lvlJc w:val="left"/>
    </w:lvl>
    <w:lvl w:ilvl="6" w:tplc="62A02A0E">
      <w:numFmt w:val="decimal"/>
      <w:lvlText w:val=""/>
      <w:lvlJc w:val="left"/>
    </w:lvl>
    <w:lvl w:ilvl="7" w:tplc="E10E597C">
      <w:numFmt w:val="decimal"/>
      <w:lvlText w:val=""/>
      <w:lvlJc w:val="left"/>
    </w:lvl>
    <w:lvl w:ilvl="8" w:tplc="651A1E32">
      <w:numFmt w:val="decimal"/>
      <w:lvlText w:val=""/>
      <w:lvlJc w:val="left"/>
    </w:lvl>
  </w:abstractNum>
  <w:abstractNum w:abstractNumId="42" w15:restartNumberingAfterBreak="0">
    <w:nsid w:val="043B03CC"/>
    <w:multiLevelType w:val="hybridMultilevel"/>
    <w:tmpl w:val="C1F8FF62"/>
    <w:lvl w:ilvl="0" w:tplc="F726FA88">
      <w:start w:val="1"/>
      <w:numFmt w:val="bullet"/>
      <w:lvlText w:val=""/>
      <w:lvlJc w:val="left"/>
      <w:pPr>
        <w:ind w:left="720" w:hanging="360"/>
      </w:pPr>
      <w:rPr>
        <w:rFonts w:ascii="Symbol" w:hAnsi="Symbol" w:hint="default"/>
      </w:rPr>
    </w:lvl>
    <w:lvl w:ilvl="1" w:tplc="F912B392">
      <w:numFmt w:val="decimal"/>
      <w:lvlText w:val=""/>
      <w:lvlJc w:val="left"/>
    </w:lvl>
    <w:lvl w:ilvl="2" w:tplc="5AC22302">
      <w:numFmt w:val="decimal"/>
      <w:lvlText w:val=""/>
      <w:lvlJc w:val="left"/>
    </w:lvl>
    <w:lvl w:ilvl="3" w:tplc="6FF6B2BE">
      <w:numFmt w:val="decimal"/>
      <w:lvlText w:val=""/>
      <w:lvlJc w:val="left"/>
    </w:lvl>
    <w:lvl w:ilvl="4" w:tplc="B72214B2">
      <w:numFmt w:val="decimal"/>
      <w:lvlText w:val=""/>
      <w:lvlJc w:val="left"/>
    </w:lvl>
    <w:lvl w:ilvl="5" w:tplc="4E8CC2F2">
      <w:numFmt w:val="decimal"/>
      <w:lvlText w:val=""/>
      <w:lvlJc w:val="left"/>
    </w:lvl>
    <w:lvl w:ilvl="6" w:tplc="79E60528">
      <w:numFmt w:val="decimal"/>
      <w:lvlText w:val=""/>
      <w:lvlJc w:val="left"/>
    </w:lvl>
    <w:lvl w:ilvl="7" w:tplc="53847C44">
      <w:numFmt w:val="decimal"/>
      <w:lvlText w:val=""/>
      <w:lvlJc w:val="left"/>
    </w:lvl>
    <w:lvl w:ilvl="8" w:tplc="BBF65A68">
      <w:numFmt w:val="decimal"/>
      <w:lvlText w:val=""/>
      <w:lvlJc w:val="left"/>
    </w:lvl>
  </w:abstractNum>
  <w:abstractNum w:abstractNumId="43" w15:restartNumberingAfterBreak="0">
    <w:nsid w:val="043D4BB8"/>
    <w:multiLevelType w:val="hybridMultilevel"/>
    <w:tmpl w:val="1BD41F16"/>
    <w:lvl w:ilvl="0" w:tplc="074C63E2">
      <w:start w:val="1"/>
      <w:numFmt w:val="bullet"/>
      <w:lvlText w:val=""/>
      <w:lvlJc w:val="left"/>
      <w:pPr>
        <w:ind w:left="720" w:hanging="360"/>
      </w:pPr>
      <w:rPr>
        <w:rFonts w:ascii="Symbol" w:hAnsi="Symbol" w:hint="default"/>
      </w:rPr>
    </w:lvl>
    <w:lvl w:ilvl="1" w:tplc="4CFA9E14">
      <w:numFmt w:val="decimal"/>
      <w:lvlText w:val=""/>
      <w:lvlJc w:val="left"/>
    </w:lvl>
    <w:lvl w:ilvl="2" w:tplc="EB583F06">
      <w:numFmt w:val="decimal"/>
      <w:lvlText w:val=""/>
      <w:lvlJc w:val="left"/>
    </w:lvl>
    <w:lvl w:ilvl="3" w:tplc="5414F63A">
      <w:numFmt w:val="decimal"/>
      <w:lvlText w:val=""/>
      <w:lvlJc w:val="left"/>
    </w:lvl>
    <w:lvl w:ilvl="4" w:tplc="A82C49B6">
      <w:numFmt w:val="decimal"/>
      <w:lvlText w:val=""/>
      <w:lvlJc w:val="left"/>
    </w:lvl>
    <w:lvl w:ilvl="5" w:tplc="4A0E570E">
      <w:numFmt w:val="decimal"/>
      <w:lvlText w:val=""/>
      <w:lvlJc w:val="left"/>
    </w:lvl>
    <w:lvl w:ilvl="6" w:tplc="44D62F94">
      <w:numFmt w:val="decimal"/>
      <w:lvlText w:val=""/>
      <w:lvlJc w:val="left"/>
    </w:lvl>
    <w:lvl w:ilvl="7" w:tplc="91BEB980">
      <w:numFmt w:val="decimal"/>
      <w:lvlText w:val=""/>
      <w:lvlJc w:val="left"/>
    </w:lvl>
    <w:lvl w:ilvl="8" w:tplc="09DEE570">
      <w:numFmt w:val="decimal"/>
      <w:lvlText w:val=""/>
      <w:lvlJc w:val="left"/>
    </w:lvl>
  </w:abstractNum>
  <w:abstractNum w:abstractNumId="44" w15:restartNumberingAfterBreak="0">
    <w:nsid w:val="04456AAF"/>
    <w:multiLevelType w:val="hybridMultilevel"/>
    <w:tmpl w:val="2F2E4AB2"/>
    <w:lvl w:ilvl="0" w:tplc="E62227D4">
      <w:start w:val="1"/>
      <w:numFmt w:val="bullet"/>
      <w:lvlText w:val=""/>
      <w:lvlJc w:val="left"/>
      <w:pPr>
        <w:ind w:left="720" w:hanging="360"/>
      </w:pPr>
      <w:rPr>
        <w:rFonts w:ascii="Symbol" w:hAnsi="Symbol" w:hint="default"/>
      </w:rPr>
    </w:lvl>
    <w:lvl w:ilvl="1" w:tplc="47F84404">
      <w:numFmt w:val="decimal"/>
      <w:lvlText w:val=""/>
      <w:lvlJc w:val="left"/>
    </w:lvl>
    <w:lvl w:ilvl="2" w:tplc="9BDA8CAA">
      <w:numFmt w:val="decimal"/>
      <w:lvlText w:val=""/>
      <w:lvlJc w:val="left"/>
    </w:lvl>
    <w:lvl w:ilvl="3" w:tplc="FA4A7060">
      <w:numFmt w:val="decimal"/>
      <w:lvlText w:val=""/>
      <w:lvlJc w:val="left"/>
    </w:lvl>
    <w:lvl w:ilvl="4" w:tplc="AFA010B6">
      <w:numFmt w:val="decimal"/>
      <w:lvlText w:val=""/>
      <w:lvlJc w:val="left"/>
    </w:lvl>
    <w:lvl w:ilvl="5" w:tplc="9A425D74">
      <w:numFmt w:val="decimal"/>
      <w:lvlText w:val=""/>
      <w:lvlJc w:val="left"/>
    </w:lvl>
    <w:lvl w:ilvl="6" w:tplc="8C96DCCC">
      <w:numFmt w:val="decimal"/>
      <w:lvlText w:val=""/>
      <w:lvlJc w:val="left"/>
    </w:lvl>
    <w:lvl w:ilvl="7" w:tplc="2640F014">
      <w:numFmt w:val="decimal"/>
      <w:lvlText w:val=""/>
      <w:lvlJc w:val="left"/>
    </w:lvl>
    <w:lvl w:ilvl="8" w:tplc="E060533A">
      <w:numFmt w:val="decimal"/>
      <w:lvlText w:val=""/>
      <w:lvlJc w:val="left"/>
    </w:lvl>
  </w:abstractNum>
  <w:abstractNum w:abstractNumId="45" w15:restartNumberingAfterBreak="0">
    <w:nsid w:val="0463763C"/>
    <w:multiLevelType w:val="hybridMultilevel"/>
    <w:tmpl w:val="64CEC886"/>
    <w:lvl w:ilvl="0" w:tplc="445E5E36">
      <w:start w:val="1"/>
      <w:numFmt w:val="bullet"/>
      <w:lvlText w:val=""/>
      <w:lvlJc w:val="left"/>
      <w:pPr>
        <w:ind w:left="720" w:hanging="360"/>
      </w:pPr>
      <w:rPr>
        <w:rFonts w:ascii="Symbol" w:hAnsi="Symbol" w:hint="default"/>
      </w:rPr>
    </w:lvl>
    <w:lvl w:ilvl="1" w:tplc="9E4C41A2">
      <w:numFmt w:val="decimal"/>
      <w:lvlText w:val=""/>
      <w:lvlJc w:val="left"/>
    </w:lvl>
    <w:lvl w:ilvl="2" w:tplc="59A8F03A">
      <w:numFmt w:val="decimal"/>
      <w:lvlText w:val=""/>
      <w:lvlJc w:val="left"/>
    </w:lvl>
    <w:lvl w:ilvl="3" w:tplc="9A5C5298">
      <w:numFmt w:val="decimal"/>
      <w:lvlText w:val=""/>
      <w:lvlJc w:val="left"/>
    </w:lvl>
    <w:lvl w:ilvl="4" w:tplc="E54C39B0">
      <w:numFmt w:val="decimal"/>
      <w:lvlText w:val=""/>
      <w:lvlJc w:val="left"/>
    </w:lvl>
    <w:lvl w:ilvl="5" w:tplc="9F38939A">
      <w:numFmt w:val="decimal"/>
      <w:lvlText w:val=""/>
      <w:lvlJc w:val="left"/>
    </w:lvl>
    <w:lvl w:ilvl="6" w:tplc="0138FDF2">
      <w:numFmt w:val="decimal"/>
      <w:lvlText w:val=""/>
      <w:lvlJc w:val="left"/>
    </w:lvl>
    <w:lvl w:ilvl="7" w:tplc="C6F2B1CA">
      <w:numFmt w:val="decimal"/>
      <w:lvlText w:val=""/>
      <w:lvlJc w:val="left"/>
    </w:lvl>
    <w:lvl w:ilvl="8" w:tplc="3ED25150">
      <w:numFmt w:val="decimal"/>
      <w:lvlText w:val=""/>
      <w:lvlJc w:val="left"/>
    </w:lvl>
  </w:abstractNum>
  <w:abstractNum w:abstractNumId="46" w15:restartNumberingAfterBreak="0">
    <w:nsid w:val="046965D9"/>
    <w:multiLevelType w:val="hybridMultilevel"/>
    <w:tmpl w:val="EB5CB426"/>
    <w:lvl w:ilvl="0" w:tplc="C3A2BE44">
      <w:start w:val="1"/>
      <w:numFmt w:val="bullet"/>
      <w:lvlText w:val=""/>
      <w:lvlJc w:val="left"/>
      <w:pPr>
        <w:ind w:left="720" w:hanging="360"/>
      </w:pPr>
      <w:rPr>
        <w:rFonts w:ascii="Symbol" w:hAnsi="Symbol" w:hint="default"/>
      </w:rPr>
    </w:lvl>
    <w:lvl w:ilvl="1" w:tplc="AD7A9F6E">
      <w:numFmt w:val="decimal"/>
      <w:lvlText w:val=""/>
      <w:lvlJc w:val="left"/>
    </w:lvl>
    <w:lvl w:ilvl="2" w:tplc="E494A96E">
      <w:numFmt w:val="decimal"/>
      <w:lvlText w:val=""/>
      <w:lvlJc w:val="left"/>
    </w:lvl>
    <w:lvl w:ilvl="3" w:tplc="7332CF7C">
      <w:numFmt w:val="decimal"/>
      <w:lvlText w:val=""/>
      <w:lvlJc w:val="left"/>
    </w:lvl>
    <w:lvl w:ilvl="4" w:tplc="757A3EA2">
      <w:numFmt w:val="decimal"/>
      <w:lvlText w:val=""/>
      <w:lvlJc w:val="left"/>
    </w:lvl>
    <w:lvl w:ilvl="5" w:tplc="301860E6">
      <w:numFmt w:val="decimal"/>
      <w:lvlText w:val=""/>
      <w:lvlJc w:val="left"/>
    </w:lvl>
    <w:lvl w:ilvl="6" w:tplc="DDD60EDA">
      <w:numFmt w:val="decimal"/>
      <w:lvlText w:val=""/>
      <w:lvlJc w:val="left"/>
    </w:lvl>
    <w:lvl w:ilvl="7" w:tplc="2844066C">
      <w:numFmt w:val="decimal"/>
      <w:lvlText w:val=""/>
      <w:lvlJc w:val="left"/>
    </w:lvl>
    <w:lvl w:ilvl="8" w:tplc="96A0F966">
      <w:numFmt w:val="decimal"/>
      <w:lvlText w:val=""/>
      <w:lvlJc w:val="left"/>
    </w:lvl>
  </w:abstractNum>
  <w:abstractNum w:abstractNumId="47" w15:restartNumberingAfterBreak="0">
    <w:nsid w:val="046D7E9F"/>
    <w:multiLevelType w:val="hybridMultilevel"/>
    <w:tmpl w:val="B8B692CE"/>
    <w:lvl w:ilvl="0" w:tplc="7B587B88">
      <w:start w:val="1"/>
      <w:numFmt w:val="bullet"/>
      <w:lvlText w:val=""/>
      <w:lvlJc w:val="left"/>
      <w:pPr>
        <w:ind w:left="720" w:hanging="360"/>
      </w:pPr>
      <w:rPr>
        <w:rFonts w:ascii="Symbol" w:hAnsi="Symbol" w:hint="default"/>
      </w:rPr>
    </w:lvl>
    <w:lvl w:ilvl="1" w:tplc="75547E06">
      <w:numFmt w:val="decimal"/>
      <w:lvlText w:val=""/>
      <w:lvlJc w:val="left"/>
    </w:lvl>
    <w:lvl w:ilvl="2" w:tplc="1C82F344">
      <w:numFmt w:val="decimal"/>
      <w:lvlText w:val=""/>
      <w:lvlJc w:val="left"/>
    </w:lvl>
    <w:lvl w:ilvl="3" w:tplc="0620321E">
      <w:numFmt w:val="decimal"/>
      <w:lvlText w:val=""/>
      <w:lvlJc w:val="left"/>
    </w:lvl>
    <w:lvl w:ilvl="4" w:tplc="1CF41E0E">
      <w:numFmt w:val="decimal"/>
      <w:lvlText w:val=""/>
      <w:lvlJc w:val="left"/>
    </w:lvl>
    <w:lvl w:ilvl="5" w:tplc="6BB0DC1E">
      <w:numFmt w:val="decimal"/>
      <w:lvlText w:val=""/>
      <w:lvlJc w:val="left"/>
    </w:lvl>
    <w:lvl w:ilvl="6" w:tplc="274E32C2">
      <w:numFmt w:val="decimal"/>
      <w:lvlText w:val=""/>
      <w:lvlJc w:val="left"/>
    </w:lvl>
    <w:lvl w:ilvl="7" w:tplc="C1709FA4">
      <w:numFmt w:val="decimal"/>
      <w:lvlText w:val=""/>
      <w:lvlJc w:val="left"/>
    </w:lvl>
    <w:lvl w:ilvl="8" w:tplc="F252EC90">
      <w:numFmt w:val="decimal"/>
      <w:lvlText w:val=""/>
      <w:lvlJc w:val="left"/>
    </w:lvl>
  </w:abstractNum>
  <w:abstractNum w:abstractNumId="48" w15:restartNumberingAfterBreak="0">
    <w:nsid w:val="046F4EAF"/>
    <w:multiLevelType w:val="hybridMultilevel"/>
    <w:tmpl w:val="898C62C8"/>
    <w:lvl w:ilvl="0" w:tplc="F6F4760C">
      <w:start w:val="1"/>
      <w:numFmt w:val="bullet"/>
      <w:lvlText w:val=""/>
      <w:lvlJc w:val="left"/>
      <w:pPr>
        <w:ind w:left="720" w:hanging="360"/>
      </w:pPr>
      <w:rPr>
        <w:rFonts w:ascii="Symbol" w:hAnsi="Symbol" w:hint="default"/>
      </w:rPr>
    </w:lvl>
    <w:lvl w:ilvl="1" w:tplc="2B24907E">
      <w:numFmt w:val="decimal"/>
      <w:lvlText w:val=""/>
      <w:lvlJc w:val="left"/>
    </w:lvl>
    <w:lvl w:ilvl="2" w:tplc="D1E278A2">
      <w:numFmt w:val="decimal"/>
      <w:lvlText w:val=""/>
      <w:lvlJc w:val="left"/>
    </w:lvl>
    <w:lvl w:ilvl="3" w:tplc="6CD82E2E">
      <w:numFmt w:val="decimal"/>
      <w:lvlText w:val=""/>
      <w:lvlJc w:val="left"/>
    </w:lvl>
    <w:lvl w:ilvl="4" w:tplc="221CEB2A">
      <w:numFmt w:val="decimal"/>
      <w:lvlText w:val=""/>
      <w:lvlJc w:val="left"/>
    </w:lvl>
    <w:lvl w:ilvl="5" w:tplc="6582B940">
      <w:numFmt w:val="decimal"/>
      <w:lvlText w:val=""/>
      <w:lvlJc w:val="left"/>
    </w:lvl>
    <w:lvl w:ilvl="6" w:tplc="50924814">
      <w:numFmt w:val="decimal"/>
      <w:lvlText w:val=""/>
      <w:lvlJc w:val="left"/>
    </w:lvl>
    <w:lvl w:ilvl="7" w:tplc="9D2C2DDE">
      <w:numFmt w:val="decimal"/>
      <w:lvlText w:val=""/>
      <w:lvlJc w:val="left"/>
    </w:lvl>
    <w:lvl w:ilvl="8" w:tplc="139216C8">
      <w:numFmt w:val="decimal"/>
      <w:lvlText w:val=""/>
      <w:lvlJc w:val="left"/>
    </w:lvl>
  </w:abstractNum>
  <w:abstractNum w:abstractNumId="49" w15:restartNumberingAfterBreak="0">
    <w:nsid w:val="048A4F7E"/>
    <w:multiLevelType w:val="hybridMultilevel"/>
    <w:tmpl w:val="B9209F0C"/>
    <w:lvl w:ilvl="0" w:tplc="3DA687CC">
      <w:start w:val="1"/>
      <w:numFmt w:val="bullet"/>
      <w:lvlText w:val=""/>
      <w:lvlJc w:val="left"/>
      <w:pPr>
        <w:ind w:left="720" w:hanging="360"/>
      </w:pPr>
      <w:rPr>
        <w:rFonts w:ascii="Symbol" w:hAnsi="Symbol" w:hint="default"/>
      </w:rPr>
    </w:lvl>
    <w:lvl w:ilvl="1" w:tplc="2B3CFDDC">
      <w:numFmt w:val="decimal"/>
      <w:lvlText w:val=""/>
      <w:lvlJc w:val="left"/>
    </w:lvl>
    <w:lvl w:ilvl="2" w:tplc="88BAA862">
      <w:numFmt w:val="decimal"/>
      <w:lvlText w:val=""/>
      <w:lvlJc w:val="left"/>
    </w:lvl>
    <w:lvl w:ilvl="3" w:tplc="32123D7C">
      <w:numFmt w:val="decimal"/>
      <w:lvlText w:val=""/>
      <w:lvlJc w:val="left"/>
    </w:lvl>
    <w:lvl w:ilvl="4" w:tplc="21563BC8">
      <w:numFmt w:val="decimal"/>
      <w:lvlText w:val=""/>
      <w:lvlJc w:val="left"/>
    </w:lvl>
    <w:lvl w:ilvl="5" w:tplc="C340E1B4">
      <w:numFmt w:val="decimal"/>
      <w:lvlText w:val=""/>
      <w:lvlJc w:val="left"/>
    </w:lvl>
    <w:lvl w:ilvl="6" w:tplc="770C8A8A">
      <w:numFmt w:val="decimal"/>
      <w:lvlText w:val=""/>
      <w:lvlJc w:val="left"/>
    </w:lvl>
    <w:lvl w:ilvl="7" w:tplc="3E001748">
      <w:numFmt w:val="decimal"/>
      <w:lvlText w:val=""/>
      <w:lvlJc w:val="left"/>
    </w:lvl>
    <w:lvl w:ilvl="8" w:tplc="84146AD2">
      <w:numFmt w:val="decimal"/>
      <w:lvlText w:val=""/>
      <w:lvlJc w:val="left"/>
    </w:lvl>
  </w:abstractNum>
  <w:abstractNum w:abstractNumId="50" w15:restartNumberingAfterBreak="0">
    <w:nsid w:val="04A90218"/>
    <w:multiLevelType w:val="hybridMultilevel"/>
    <w:tmpl w:val="03EE0626"/>
    <w:lvl w:ilvl="0" w:tplc="63B0C814">
      <w:start w:val="1"/>
      <w:numFmt w:val="bullet"/>
      <w:lvlText w:val=""/>
      <w:lvlJc w:val="left"/>
      <w:pPr>
        <w:ind w:left="720" w:hanging="360"/>
      </w:pPr>
      <w:rPr>
        <w:rFonts w:ascii="Symbol" w:hAnsi="Symbol" w:hint="default"/>
      </w:rPr>
    </w:lvl>
    <w:lvl w:ilvl="1" w:tplc="57C6CB04">
      <w:numFmt w:val="decimal"/>
      <w:lvlText w:val=""/>
      <w:lvlJc w:val="left"/>
    </w:lvl>
    <w:lvl w:ilvl="2" w:tplc="D3B0B3BE">
      <w:numFmt w:val="decimal"/>
      <w:lvlText w:val=""/>
      <w:lvlJc w:val="left"/>
    </w:lvl>
    <w:lvl w:ilvl="3" w:tplc="0B48030C">
      <w:numFmt w:val="decimal"/>
      <w:lvlText w:val=""/>
      <w:lvlJc w:val="left"/>
    </w:lvl>
    <w:lvl w:ilvl="4" w:tplc="3A58A932">
      <w:numFmt w:val="decimal"/>
      <w:lvlText w:val=""/>
      <w:lvlJc w:val="left"/>
    </w:lvl>
    <w:lvl w:ilvl="5" w:tplc="5622CE0A">
      <w:numFmt w:val="decimal"/>
      <w:lvlText w:val=""/>
      <w:lvlJc w:val="left"/>
    </w:lvl>
    <w:lvl w:ilvl="6" w:tplc="D6307890">
      <w:numFmt w:val="decimal"/>
      <w:lvlText w:val=""/>
      <w:lvlJc w:val="left"/>
    </w:lvl>
    <w:lvl w:ilvl="7" w:tplc="AFE0C18C">
      <w:numFmt w:val="decimal"/>
      <w:lvlText w:val=""/>
      <w:lvlJc w:val="left"/>
    </w:lvl>
    <w:lvl w:ilvl="8" w:tplc="C4EAC842">
      <w:numFmt w:val="decimal"/>
      <w:lvlText w:val=""/>
      <w:lvlJc w:val="left"/>
    </w:lvl>
  </w:abstractNum>
  <w:abstractNum w:abstractNumId="51" w15:restartNumberingAfterBreak="0">
    <w:nsid w:val="04AF6E4F"/>
    <w:multiLevelType w:val="hybridMultilevel"/>
    <w:tmpl w:val="4726E26C"/>
    <w:lvl w:ilvl="0" w:tplc="ECB8036C">
      <w:start w:val="1"/>
      <w:numFmt w:val="bullet"/>
      <w:lvlText w:val=""/>
      <w:lvlJc w:val="left"/>
      <w:pPr>
        <w:ind w:left="720" w:hanging="360"/>
      </w:pPr>
      <w:rPr>
        <w:rFonts w:ascii="Symbol" w:hAnsi="Symbol" w:hint="default"/>
      </w:rPr>
    </w:lvl>
    <w:lvl w:ilvl="1" w:tplc="B48E182E">
      <w:numFmt w:val="decimal"/>
      <w:lvlText w:val=""/>
      <w:lvlJc w:val="left"/>
    </w:lvl>
    <w:lvl w:ilvl="2" w:tplc="DC60E856">
      <w:numFmt w:val="decimal"/>
      <w:lvlText w:val=""/>
      <w:lvlJc w:val="left"/>
    </w:lvl>
    <w:lvl w:ilvl="3" w:tplc="B85E6CE6">
      <w:numFmt w:val="decimal"/>
      <w:lvlText w:val=""/>
      <w:lvlJc w:val="left"/>
    </w:lvl>
    <w:lvl w:ilvl="4" w:tplc="3F58A1A8">
      <w:numFmt w:val="decimal"/>
      <w:lvlText w:val=""/>
      <w:lvlJc w:val="left"/>
    </w:lvl>
    <w:lvl w:ilvl="5" w:tplc="2F067E16">
      <w:numFmt w:val="decimal"/>
      <w:lvlText w:val=""/>
      <w:lvlJc w:val="left"/>
    </w:lvl>
    <w:lvl w:ilvl="6" w:tplc="773843C2">
      <w:numFmt w:val="decimal"/>
      <w:lvlText w:val=""/>
      <w:lvlJc w:val="left"/>
    </w:lvl>
    <w:lvl w:ilvl="7" w:tplc="C9F68074">
      <w:numFmt w:val="decimal"/>
      <w:lvlText w:val=""/>
      <w:lvlJc w:val="left"/>
    </w:lvl>
    <w:lvl w:ilvl="8" w:tplc="6E7881DE">
      <w:numFmt w:val="decimal"/>
      <w:lvlText w:val=""/>
      <w:lvlJc w:val="left"/>
    </w:lvl>
  </w:abstractNum>
  <w:abstractNum w:abstractNumId="52" w15:restartNumberingAfterBreak="0">
    <w:nsid w:val="04BF4B33"/>
    <w:multiLevelType w:val="hybridMultilevel"/>
    <w:tmpl w:val="6AE2C75E"/>
    <w:lvl w:ilvl="0" w:tplc="0C70AA6C">
      <w:numFmt w:val="decimal"/>
      <w:lvlText w:val=""/>
      <w:lvlJc w:val="left"/>
    </w:lvl>
    <w:lvl w:ilvl="1" w:tplc="88825B0A">
      <w:start w:val="1"/>
      <w:numFmt w:val="bullet"/>
      <w:lvlText w:val=""/>
      <w:lvlJc w:val="left"/>
      <w:pPr>
        <w:ind w:left="1440" w:hanging="360"/>
      </w:pPr>
      <w:rPr>
        <w:rFonts w:ascii="Symbol" w:hAnsi="Symbol" w:hint="default"/>
      </w:rPr>
    </w:lvl>
    <w:lvl w:ilvl="2" w:tplc="2AC29B8A">
      <w:numFmt w:val="decimal"/>
      <w:lvlText w:val=""/>
      <w:lvlJc w:val="left"/>
    </w:lvl>
    <w:lvl w:ilvl="3" w:tplc="998639FE">
      <w:numFmt w:val="decimal"/>
      <w:lvlText w:val=""/>
      <w:lvlJc w:val="left"/>
    </w:lvl>
    <w:lvl w:ilvl="4" w:tplc="350C8FFC">
      <w:numFmt w:val="decimal"/>
      <w:lvlText w:val=""/>
      <w:lvlJc w:val="left"/>
    </w:lvl>
    <w:lvl w:ilvl="5" w:tplc="36FCAFEC">
      <w:numFmt w:val="decimal"/>
      <w:lvlText w:val=""/>
      <w:lvlJc w:val="left"/>
    </w:lvl>
    <w:lvl w:ilvl="6" w:tplc="8E1E8DE4">
      <w:numFmt w:val="decimal"/>
      <w:lvlText w:val=""/>
      <w:lvlJc w:val="left"/>
    </w:lvl>
    <w:lvl w:ilvl="7" w:tplc="FF92220C">
      <w:numFmt w:val="decimal"/>
      <w:lvlText w:val=""/>
      <w:lvlJc w:val="left"/>
    </w:lvl>
    <w:lvl w:ilvl="8" w:tplc="924290A4">
      <w:numFmt w:val="decimal"/>
      <w:lvlText w:val=""/>
      <w:lvlJc w:val="left"/>
    </w:lvl>
  </w:abstractNum>
  <w:abstractNum w:abstractNumId="53" w15:restartNumberingAfterBreak="0">
    <w:nsid w:val="04E86406"/>
    <w:multiLevelType w:val="hybridMultilevel"/>
    <w:tmpl w:val="FE28DE84"/>
    <w:lvl w:ilvl="0" w:tplc="FC829F00">
      <w:start w:val="1"/>
      <w:numFmt w:val="bullet"/>
      <w:lvlText w:val=""/>
      <w:lvlJc w:val="left"/>
      <w:pPr>
        <w:ind w:left="720" w:hanging="360"/>
      </w:pPr>
      <w:rPr>
        <w:rFonts w:ascii="Symbol" w:hAnsi="Symbol" w:hint="default"/>
      </w:rPr>
    </w:lvl>
    <w:lvl w:ilvl="1" w:tplc="2E92F4CA">
      <w:numFmt w:val="decimal"/>
      <w:lvlText w:val=""/>
      <w:lvlJc w:val="left"/>
    </w:lvl>
    <w:lvl w:ilvl="2" w:tplc="6CE2A252">
      <w:numFmt w:val="decimal"/>
      <w:lvlText w:val=""/>
      <w:lvlJc w:val="left"/>
    </w:lvl>
    <w:lvl w:ilvl="3" w:tplc="ACC2160A">
      <w:numFmt w:val="decimal"/>
      <w:lvlText w:val=""/>
      <w:lvlJc w:val="left"/>
    </w:lvl>
    <w:lvl w:ilvl="4" w:tplc="02364C52">
      <w:numFmt w:val="decimal"/>
      <w:lvlText w:val=""/>
      <w:lvlJc w:val="left"/>
    </w:lvl>
    <w:lvl w:ilvl="5" w:tplc="6E1A3BA2">
      <w:numFmt w:val="decimal"/>
      <w:lvlText w:val=""/>
      <w:lvlJc w:val="left"/>
    </w:lvl>
    <w:lvl w:ilvl="6" w:tplc="0D8055EA">
      <w:numFmt w:val="decimal"/>
      <w:lvlText w:val=""/>
      <w:lvlJc w:val="left"/>
    </w:lvl>
    <w:lvl w:ilvl="7" w:tplc="52166E2E">
      <w:numFmt w:val="decimal"/>
      <w:lvlText w:val=""/>
      <w:lvlJc w:val="left"/>
    </w:lvl>
    <w:lvl w:ilvl="8" w:tplc="33327A4E">
      <w:numFmt w:val="decimal"/>
      <w:lvlText w:val=""/>
      <w:lvlJc w:val="left"/>
    </w:lvl>
  </w:abstractNum>
  <w:abstractNum w:abstractNumId="54" w15:restartNumberingAfterBreak="0">
    <w:nsid w:val="04F305E9"/>
    <w:multiLevelType w:val="hybridMultilevel"/>
    <w:tmpl w:val="F6E2C11C"/>
    <w:lvl w:ilvl="0" w:tplc="FA3ED370">
      <w:start w:val="1"/>
      <w:numFmt w:val="bullet"/>
      <w:lvlText w:val=""/>
      <w:lvlJc w:val="left"/>
      <w:pPr>
        <w:ind w:left="720" w:hanging="360"/>
      </w:pPr>
      <w:rPr>
        <w:rFonts w:ascii="Symbol" w:hAnsi="Symbol" w:hint="default"/>
      </w:rPr>
    </w:lvl>
    <w:lvl w:ilvl="1" w:tplc="E8022D98">
      <w:numFmt w:val="decimal"/>
      <w:lvlText w:val=""/>
      <w:lvlJc w:val="left"/>
    </w:lvl>
    <w:lvl w:ilvl="2" w:tplc="7188F864">
      <w:numFmt w:val="decimal"/>
      <w:lvlText w:val=""/>
      <w:lvlJc w:val="left"/>
    </w:lvl>
    <w:lvl w:ilvl="3" w:tplc="9D986E4A">
      <w:numFmt w:val="decimal"/>
      <w:lvlText w:val=""/>
      <w:lvlJc w:val="left"/>
    </w:lvl>
    <w:lvl w:ilvl="4" w:tplc="80ACC3E2">
      <w:numFmt w:val="decimal"/>
      <w:lvlText w:val=""/>
      <w:lvlJc w:val="left"/>
    </w:lvl>
    <w:lvl w:ilvl="5" w:tplc="58842D54">
      <w:numFmt w:val="decimal"/>
      <w:lvlText w:val=""/>
      <w:lvlJc w:val="left"/>
    </w:lvl>
    <w:lvl w:ilvl="6" w:tplc="6834EB5C">
      <w:numFmt w:val="decimal"/>
      <w:lvlText w:val=""/>
      <w:lvlJc w:val="left"/>
    </w:lvl>
    <w:lvl w:ilvl="7" w:tplc="D5EEC998">
      <w:numFmt w:val="decimal"/>
      <w:lvlText w:val=""/>
      <w:lvlJc w:val="left"/>
    </w:lvl>
    <w:lvl w:ilvl="8" w:tplc="7A72E10C">
      <w:numFmt w:val="decimal"/>
      <w:lvlText w:val=""/>
      <w:lvlJc w:val="left"/>
    </w:lvl>
  </w:abstractNum>
  <w:abstractNum w:abstractNumId="55" w15:restartNumberingAfterBreak="0">
    <w:nsid w:val="051C3985"/>
    <w:multiLevelType w:val="hybridMultilevel"/>
    <w:tmpl w:val="B57025F8"/>
    <w:lvl w:ilvl="0" w:tplc="17685FB4">
      <w:start w:val="1"/>
      <w:numFmt w:val="bullet"/>
      <w:lvlText w:val=""/>
      <w:lvlJc w:val="left"/>
      <w:pPr>
        <w:ind w:left="720" w:hanging="360"/>
      </w:pPr>
      <w:rPr>
        <w:rFonts w:ascii="Symbol" w:hAnsi="Symbol" w:hint="default"/>
      </w:rPr>
    </w:lvl>
    <w:lvl w:ilvl="1" w:tplc="D4380CEE">
      <w:numFmt w:val="decimal"/>
      <w:lvlText w:val=""/>
      <w:lvlJc w:val="left"/>
    </w:lvl>
    <w:lvl w:ilvl="2" w:tplc="59C40B4E">
      <w:numFmt w:val="decimal"/>
      <w:lvlText w:val=""/>
      <w:lvlJc w:val="left"/>
    </w:lvl>
    <w:lvl w:ilvl="3" w:tplc="F6B08388">
      <w:numFmt w:val="decimal"/>
      <w:lvlText w:val=""/>
      <w:lvlJc w:val="left"/>
    </w:lvl>
    <w:lvl w:ilvl="4" w:tplc="8F565F1C">
      <w:numFmt w:val="decimal"/>
      <w:lvlText w:val=""/>
      <w:lvlJc w:val="left"/>
    </w:lvl>
    <w:lvl w:ilvl="5" w:tplc="4C523788">
      <w:numFmt w:val="decimal"/>
      <w:lvlText w:val=""/>
      <w:lvlJc w:val="left"/>
    </w:lvl>
    <w:lvl w:ilvl="6" w:tplc="D9A2B6F0">
      <w:numFmt w:val="decimal"/>
      <w:lvlText w:val=""/>
      <w:lvlJc w:val="left"/>
    </w:lvl>
    <w:lvl w:ilvl="7" w:tplc="8EC6EB78">
      <w:numFmt w:val="decimal"/>
      <w:lvlText w:val=""/>
      <w:lvlJc w:val="left"/>
    </w:lvl>
    <w:lvl w:ilvl="8" w:tplc="F9ACC3A2">
      <w:numFmt w:val="decimal"/>
      <w:lvlText w:val=""/>
      <w:lvlJc w:val="left"/>
    </w:lvl>
  </w:abstractNum>
  <w:abstractNum w:abstractNumId="56" w15:restartNumberingAfterBreak="0">
    <w:nsid w:val="05205C70"/>
    <w:multiLevelType w:val="hybridMultilevel"/>
    <w:tmpl w:val="0CB286CC"/>
    <w:lvl w:ilvl="0" w:tplc="B5B8F3FC">
      <w:start w:val="1"/>
      <w:numFmt w:val="bullet"/>
      <w:lvlText w:val=""/>
      <w:lvlJc w:val="left"/>
      <w:pPr>
        <w:ind w:left="720" w:hanging="360"/>
      </w:pPr>
      <w:rPr>
        <w:rFonts w:ascii="Symbol" w:hAnsi="Symbol" w:hint="default"/>
      </w:rPr>
    </w:lvl>
    <w:lvl w:ilvl="1" w:tplc="BC44279C">
      <w:numFmt w:val="decimal"/>
      <w:lvlText w:val=""/>
      <w:lvlJc w:val="left"/>
    </w:lvl>
    <w:lvl w:ilvl="2" w:tplc="D9AE68A6">
      <w:numFmt w:val="decimal"/>
      <w:lvlText w:val=""/>
      <w:lvlJc w:val="left"/>
    </w:lvl>
    <w:lvl w:ilvl="3" w:tplc="3FD40A50">
      <w:numFmt w:val="decimal"/>
      <w:lvlText w:val=""/>
      <w:lvlJc w:val="left"/>
    </w:lvl>
    <w:lvl w:ilvl="4" w:tplc="1E96A09E">
      <w:numFmt w:val="decimal"/>
      <w:lvlText w:val=""/>
      <w:lvlJc w:val="left"/>
    </w:lvl>
    <w:lvl w:ilvl="5" w:tplc="3BC2F2AA">
      <w:numFmt w:val="decimal"/>
      <w:lvlText w:val=""/>
      <w:lvlJc w:val="left"/>
    </w:lvl>
    <w:lvl w:ilvl="6" w:tplc="049AC854">
      <w:numFmt w:val="decimal"/>
      <w:lvlText w:val=""/>
      <w:lvlJc w:val="left"/>
    </w:lvl>
    <w:lvl w:ilvl="7" w:tplc="B66CCDF4">
      <w:numFmt w:val="decimal"/>
      <w:lvlText w:val=""/>
      <w:lvlJc w:val="left"/>
    </w:lvl>
    <w:lvl w:ilvl="8" w:tplc="803AA4FE">
      <w:numFmt w:val="decimal"/>
      <w:lvlText w:val=""/>
      <w:lvlJc w:val="left"/>
    </w:lvl>
  </w:abstractNum>
  <w:abstractNum w:abstractNumId="57" w15:restartNumberingAfterBreak="0">
    <w:nsid w:val="05220D12"/>
    <w:multiLevelType w:val="hybridMultilevel"/>
    <w:tmpl w:val="37F29504"/>
    <w:lvl w:ilvl="0" w:tplc="4A48024A">
      <w:start w:val="1"/>
      <w:numFmt w:val="bullet"/>
      <w:lvlText w:val=""/>
      <w:lvlJc w:val="left"/>
      <w:pPr>
        <w:ind w:left="720" w:hanging="360"/>
      </w:pPr>
      <w:rPr>
        <w:rFonts w:ascii="Symbol" w:hAnsi="Symbol" w:hint="default"/>
      </w:rPr>
    </w:lvl>
    <w:lvl w:ilvl="1" w:tplc="50B6BC0C">
      <w:numFmt w:val="decimal"/>
      <w:lvlText w:val=""/>
      <w:lvlJc w:val="left"/>
    </w:lvl>
    <w:lvl w:ilvl="2" w:tplc="AA10AEC0">
      <w:numFmt w:val="decimal"/>
      <w:lvlText w:val=""/>
      <w:lvlJc w:val="left"/>
    </w:lvl>
    <w:lvl w:ilvl="3" w:tplc="A010ECA0">
      <w:numFmt w:val="decimal"/>
      <w:lvlText w:val=""/>
      <w:lvlJc w:val="left"/>
    </w:lvl>
    <w:lvl w:ilvl="4" w:tplc="57B64FEC">
      <w:numFmt w:val="decimal"/>
      <w:lvlText w:val=""/>
      <w:lvlJc w:val="left"/>
    </w:lvl>
    <w:lvl w:ilvl="5" w:tplc="613A4A28">
      <w:numFmt w:val="decimal"/>
      <w:lvlText w:val=""/>
      <w:lvlJc w:val="left"/>
    </w:lvl>
    <w:lvl w:ilvl="6" w:tplc="4DF41288">
      <w:numFmt w:val="decimal"/>
      <w:lvlText w:val=""/>
      <w:lvlJc w:val="left"/>
    </w:lvl>
    <w:lvl w:ilvl="7" w:tplc="2962E2BC">
      <w:numFmt w:val="decimal"/>
      <w:lvlText w:val=""/>
      <w:lvlJc w:val="left"/>
    </w:lvl>
    <w:lvl w:ilvl="8" w:tplc="D4265D3A">
      <w:numFmt w:val="decimal"/>
      <w:lvlText w:val=""/>
      <w:lvlJc w:val="left"/>
    </w:lvl>
  </w:abstractNum>
  <w:abstractNum w:abstractNumId="58" w15:restartNumberingAfterBreak="0">
    <w:nsid w:val="05233D22"/>
    <w:multiLevelType w:val="hybridMultilevel"/>
    <w:tmpl w:val="212E222A"/>
    <w:lvl w:ilvl="0" w:tplc="EB468A48">
      <w:start w:val="1"/>
      <w:numFmt w:val="bullet"/>
      <w:lvlText w:val=""/>
      <w:lvlJc w:val="left"/>
      <w:pPr>
        <w:ind w:left="720" w:hanging="360"/>
      </w:pPr>
      <w:rPr>
        <w:rFonts w:ascii="Symbol" w:hAnsi="Symbol" w:hint="default"/>
      </w:rPr>
    </w:lvl>
    <w:lvl w:ilvl="1" w:tplc="6A7C94A8">
      <w:numFmt w:val="decimal"/>
      <w:lvlText w:val=""/>
      <w:lvlJc w:val="left"/>
    </w:lvl>
    <w:lvl w:ilvl="2" w:tplc="5B1CA032">
      <w:numFmt w:val="decimal"/>
      <w:lvlText w:val=""/>
      <w:lvlJc w:val="left"/>
    </w:lvl>
    <w:lvl w:ilvl="3" w:tplc="18F6D932">
      <w:numFmt w:val="decimal"/>
      <w:lvlText w:val=""/>
      <w:lvlJc w:val="left"/>
    </w:lvl>
    <w:lvl w:ilvl="4" w:tplc="06183E7C">
      <w:numFmt w:val="decimal"/>
      <w:lvlText w:val=""/>
      <w:lvlJc w:val="left"/>
    </w:lvl>
    <w:lvl w:ilvl="5" w:tplc="98B4C858">
      <w:numFmt w:val="decimal"/>
      <w:lvlText w:val=""/>
      <w:lvlJc w:val="left"/>
    </w:lvl>
    <w:lvl w:ilvl="6" w:tplc="5B625B18">
      <w:numFmt w:val="decimal"/>
      <w:lvlText w:val=""/>
      <w:lvlJc w:val="left"/>
    </w:lvl>
    <w:lvl w:ilvl="7" w:tplc="0C9AF5E4">
      <w:numFmt w:val="decimal"/>
      <w:lvlText w:val=""/>
      <w:lvlJc w:val="left"/>
    </w:lvl>
    <w:lvl w:ilvl="8" w:tplc="B2FE4FAA">
      <w:numFmt w:val="decimal"/>
      <w:lvlText w:val=""/>
      <w:lvlJc w:val="left"/>
    </w:lvl>
  </w:abstractNum>
  <w:abstractNum w:abstractNumId="59" w15:restartNumberingAfterBreak="0">
    <w:nsid w:val="053E45E7"/>
    <w:multiLevelType w:val="hybridMultilevel"/>
    <w:tmpl w:val="D7AEB394"/>
    <w:lvl w:ilvl="0" w:tplc="BF327882">
      <w:start w:val="1"/>
      <w:numFmt w:val="bullet"/>
      <w:lvlText w:val=""/>
      <w:lvlJc w:val="left"/>
      <w:pPr>
        <w:ind w:left="720" w:hanging="360"/>
      </w:pPr>
      <w:rPr>
        <w:rFonts w:ascii="Symbol" w:hAnsi="Symbol" w:hint="default"/>
      </w:rPr>
    </w:lvl>
    <w:lvl w:ilvl="1" w:tplc="987C4F5C">
      <w:numFmt w:val="decimal"/>
      <w:lvlText w:val=""/>
      <w:lvlJc w:val="left"/>
    </w:lvl>
    <w:lvl w:ilvl="2" w:tplc="F4CA8BDE">
      <w:numFmt w:val="decimal"/>
      <w:lvlText w:val=""/>
      <w:lvlJc w:val="left"/>
    </w:lvl>
    <w:lvl w:ilvl="3" w:tplc="35C6554A">
      <w:numFmt w:val="decimal"/>
      <w:lvlText w:val=""/>
      <w:lvlJc w:val="left"/>
    </w:lvl>
    <w:lvl w:ilvl="4" w:tplc="60A29810">
      <w:numFmt w:val="decimal"/>
      <w:lvlText w:val=""/>
      <w:lvlJc w:val="left"/>
    </w:lvl>
    <w:lvl w:ilvl="5" w:tplc="3FBC79B2">
      <w:numFmt w:val="decimal"/>
      <w:lvlText w:val=""/>
      <w:lvlJc w:val="left"/>
    </w:lvl>
    <w:lvl w:ilvl="6" w:tplc="48ECD8F6">
      <w:numFmt w:val="decimal"/>
      <w:lvlText w:val=""/>
      <w:lvlJc w:val="left"/>
    </w:lvl>
    <w:lvl w:ilvl="7" w:tplc="CFDA82AE">
      <w:numFmt w:val="decimal"/>
      <w:lvlText w:val=""/>
      <w:lvlJc w:val="left"/>
    </w:lvl>
    <w:lvl w:ilvl="8" w:tplc="F5D6DE56">
      <w:numFmt w:val="decimal"/>
      <w:lvlText w:val=""/>
      <w:lvlJc w:val="left"/>
    </w:lvl>
  </w:abstractNum>
  <w:abstractNum w:abstractNumId="60" w15:restartNumberingAfterBreak="0">
    <w:nsid w:val="055243E4"/>
    <w:multiLevelType w:val="hybridMultilevel"/>
    <w:tmpl w:val="8D462C20"/>
    <w:lvl w:ilvl="0" w:tplc="1DBE619C">
      <w:start w:val="1"/>
      <w:numFmt w:val="bullet"/>
      <w:lvlText w:val=""/>
      <w:lvlJc w:val="left"/>
      <w:pPr>
        <w:ind w:left="720" w:hanging="360"/>
      </w:pPr>
      <w:rPr>
        <w:rFonts w:ascii="Symbol" w:hAnsi="Symbol" w:hint="default"/>
      </w:rPr>
    </w:lvl>
    <w:lvl w:ilvl="1" w:tplc="F46EE372">
      <w:numFmt w:val="decimal"/>
      <w:lvlText w:val=""/>
      <w:lvlJc w:val="left"/>
    </w:lvl>
    <w:lvl w:ilvl="2" w:tplc="2DAED180">
      <w:numFmt w:val="decimal"/>
      <w:lvlText w:val=""/>
      <w:lvlJc w:val="left"/>
    </w:lvl>
    <w:lvl w:ilvl="3" w:tplc="B7280174">
      <w:numFmt w:val="decimal"/>
      <w:lvlText w:val=""/>
      <w:lvlJc w:val="left"/>
    </w:lvl>
    <w:lvl w:ilvl="4" w:tplc="3CE6D206">
      <w:numFmt w:val="decimal"/>
      <w:lvlText w:val=""/>
      <w:lvlJc w:val="left"/>
    </w:lvl>
    <w:lvl w:ilvl="5" w:tplc="ACEC897A">
      <w:numFmt w:val="decimal"/>
      <w:lvlText w:val=""/>
      <w:lvlJc w:val="left"/>
    </w:lvl>
    <w:lvl w:ilvl="6" w:tplc="72886F48">
      <w:numFmt w:val="decimal"/>
      <w:lvlText w:val=""/>
      <w:lvlJc w:val="left"/>
    </w:lvl>
    <w:lvl w:ilvl="7" w:tplc="AAD65AF8">
      <w:numFmt w:val="decimal"/>
      <w:lvlText w:val=""/>
      <w:lvlJc w:val="left"/>
    </w:lvl>
    <w:lvl w:ilvl="8" w:tplc="55BC6876">
      <w:numFmt w:val="decimal"/>
      <w:lvlText w:val=""/>
      <w:lvlJc w:val="left"/>
    </w:lvl>
  </w:abstractNum>
  <w:abstractNum w:abstractNumId="61" w15:restartNumberingAfterBreak="0">
    <w:nsid w:val="055C500A"/>
    <w:multiLevelType w:val="hybridMultilevel"/>
    <w:tmpl w:val="BF0E1AFE"/>
    <w:lvl w:ilvl="0" w:tplc="F12E1990">
      <w:start w:val="1"/>
      <w:numFmt w:val="bullet"/>
      <w:lvlText w:val=""/>
      <w:lvlJc w:val="left"/>
      <w:pPr>
        <w:ind w:left="720" w:hanging="360"/>
      </w:pPr>
      <w:rPr>
        <w:rFonts w:ascii="Symbol" w:hAnsi="Symbol" w:hint="default"/>
      </w:rPr>
    </w:lvl>
    <w:lvl w:ilvl="1" w:tplc="20025FB4">
      <w:numFmt w:val="decimal"/>
      <w:lvlText w:val=""/>
      <w:lvlJc w:val="left"/>
    </w:lvl>
    <w:lvl w:ilvl="2" w:tplc="E946A914">
      <w:numFmt w:val="decimal"/>
      <w:lvlText w:val=""/>
      <w:lvlJc w:val="left"/>
    </w:lvl>
    <w:lvl w:ilvl="3" w:tplc="DD3CEDCE">
      <w:numFmt w:val="decimal"/>
      <w:lvlText w:val=""/>
      <w:lvlJc w:val="left"/>
    </w:lvl>
    <w:lvl w:ilvl="4" w:tplc="B6686368">
      <w:numFmt w:val="decimal"/>
      <w:lvlText w:val=""/>
      <w:lvlJc w:val="left"/>
    </w:lvl>
    <w:lvl w:ilvl="5" w:tplc="1E6C5A68">
      <w:numFmt w:val="decimal"/>
      <w:lvlText w:val=""/>
      <w:lvlJc w:val="left"/>
    </w:lvl>
    <w:lvl w:ilvl="6" w:tplc="C3D2C62E">
      <w:numFmt w:val="decimal"/>
      <w:lvlText w:val=""/>
      <w:lvlJc w:val="left"/>
    </w:lvl>
    <w:lvl w:ilvl="7" w:tplc="4F6AE61A">
      <w:numFmt w:val="decimal"/>
      <w:lvlText w:val=""/>
      <w:lvlJc w:val="left"/>
    </w:lvl>
    <w:lvl w:ilvl="8" w:tplc="35567694">
      <w:numFmt w:val="decimal"/>
      <w:lvlText w:val=""/>
      <w:lvlJc w:val="left"/>
    </w:lvl>
  </w:abstractNum>
  <w:abstractNum w:abstractNumId="62" w15:restartNumberingAfterBreak="0">
    <w:nsid w:val="05622AEC"/>
    <w:multiLevelType w:val="hybridMultilevel"/>
    <w:tmpl w:val="AF2E2C7A"/>
    <w:lvl w:ilvl="0" w:tplc="D2906658">
      <w:start w:val="1"/>
      <w:numFmt w:val="bullet"/>
      <w:lvlText w:val=""/>
      <w:lvlJc w:val="left"/>
      <w:pPr>
        <w:ind w:left="720" w:hanging="360"/>
      </w:pPr>
      <w:rPr>
        <w:rFonts w:ascii="Symbol" w:hAnsi="Symbol" w:hint="default"/>
      </w:rPr>
    </w:lvl>
    <w:lvl w:ilvl="1" w:tplc="AAF65160">
      <w:numFmt w:val="decimal"/>
      <w:lvlText w:val=""/>
      <w:lvlJc w:val="left"/>
    </w:lvl>
    <w:lvl w:ilvl="2" w:tplc="21668C48">
      <w:numFmt w:val="decimal"/>
      <w:lvlText w:val=""/>
      <w:lvlJc w:val="left"/>
    </w:lvl>
    <w:lvl w:ilvl="3" w:tplc="331045E0">
      <w:numFmt w:val="decimal"/>
      <w:lvlText w:val=""/>
      <w:lvlJc w:val="left"/>
    </w:lvl>
    <w:lvl w:ilvl="4" w:tplc="3208CE04">
      <w:numFmt w:val="decimal"/>
      <w:lvlText w:val=""/>
      <w:lvlJc w:val="left"/>
    </w:lvl>
    <w:lvl w:ilvl="5" w:tplc="E4ECDA80">
      <w:numFmt w:val="decimal"/>
      <w:lvlText w:val=""/>
      <w:lvlJc w:val="left"/>
    </w:lvl>
    <w:lvl w:ilvl="6" w:tplc="D89A1DBC">
      <w:numFmt w:val="decimal"/>
      <w:lvlText w:val=""/>
      <w:lvlJc w:val="left"/>
    </w:lvl>
    <w:lvl w:ilvl="7" w:tplc="05A6F9EE">
      <w:numFmt w:val="decimal"/>
      <w:lvlText w:val=""/>
      <w:lvlJc w:val="left"/>
    </w:lvl>
    <w:lvl w:ilvl="8" w:tplc="E39EDD78">
      <w:numFmt w:val="decimal"/>
      <w:lvlText w:val=""/>
      <w:lvlJc w:val="left"/>
    </w:lvl>
  </w:abstractNum>
  <w:abstractNum w:abstractNumId="63" w15:restartNumberingAfterBreak="0">
    <w:nsid w:val="056357AD"/>
    <w:multiLevelType w:val="hybridMultilevel"/>
    <w:tmpl w:val="7CEAA7CA"/>
    <w:lvl w:ilvl="0" w:tplc="8B0CEDCE">
      <w:start w:val="1"/>
      <w:numFmt w:val="bullet"/>
      <w:lvlText w:val=""/>
      <w:lvlJc w:val="left"/>
      <w:pPr>
        <w:ind w:left="720" w:hanging="360"/>
      </w:pPr>
      <w:rPr>
        <w:rFonts w:ascii="Symbol" w:hAnsi="Symbol" w:hint="default"/>
      </w:rPr>
    </w:lvl>
    <w:lvl w:ilvl="1" w:tplc="9A66B9A4">
      <w:numFmt w:val="decimal"/>
      <w:lvlText w:val=""/>
      <w:lvlJc w:val="left"/>
    </w:lvl>
    <w:lvl w:ilvl="2" w:tplc="4A980EEE">
      <w:numFmt w:val="decimal"/>
      <w:lvlText w:val=""/>
      <w:lvlJc w:val="left"/>
    </w:lvl>
    <w:lvl w:ilvl="3" w:tplc="03A2AF0E">
      <w:numFmt w:val="decimal"/>
      <w:lvlText w:val=""/>
      <w:lvlJc w:val="left"/>
    </w:lvl>
    <w:lvl w:ilvl="4" w:tplc="44FE405E">
      <w:numFmt w:val="decimal"/>
      <w:lvlText w:val=""/>
      <w:lvlJc w:val="left"/>
    </w:lvl>
    <w:lvl w:ilvl="5" w:tplc="DFE6F6C6">
      <w:numFmt w:val="decimal"/>
      <w:lvlText w:val=""/>
      <w:lvlJc w:val="left"/>
    </w:lvl>
    <w:lvl w:ilvl="6" w:tplc="A40A7DF4">
      <w:numFmt w:val="decimal"/>
      <w:lvlText w:val=""/>
      <w:lvlJc w:val="left"/>
    </w:lvl>
    <w:lvl w:ilvl="7" w:tplc="7A56AF02">
      <w:numFmt w:val="decimal"/>
      <w:lvlText w:val=""/>
      <w:lvlJc w:val="left"/>
    </w:lvl>
    <w:lvl w:ilvl="8" w:tplc="822E814E">
      <w:numFmt w:val="decimal"/>
      <w:lvlText w:val=""/>
      <w:lvlJc w:val="left"/>
    </w:lvl>
  </w:abstractNum>
  <w:abstractNum w:abstractNumId="64" w15:restartNumberingAfterBreak="0">
    <w:nsid w:val="0574614F"/>
    <w:multiLevelType w:val="hybridMultilevel"/>
    <w:tmpl w:val="CFE06566"/>
    <w:lvl w:ilvl="0" w:tplc="87507BF0">
      <w:start w:val="1"/>
      <w:numFmt w:val="bullet"/>
      <w:lvlText w:val=""/>
      <w:lvlJc w:val="left"/>
      <w:pPr>
        <w:ind w:left="720" w:hanging="360"/>
      </w:pPr>
      <w:rPr>
        <w:rFonts w:ascii="Symbol" w:hAnsi="Symbol" w:hint="default"/>
      </w:rPr>
    </w:lvl>
    <w:lvl w:ilvl="1" w:tplc="3DAC66F6">
      <w:numFmt w:val="decimal"/>
      <w:lvlText w:val=""/>
      <w:lvlJc w:val="left"/>
    </w:lvl>
    <w:lvl w:ilvl="2" w:tplc="504E4766">
      <w:numFmt w:val="decimal"/>
      <w:lvlText w:val=""/>
      <w:lvlJc w:val="left"/>
    </w:lvl>
    <w:lvl w:ilvl="3" w:tplc="A62ED660">
      <w:numFmt w:val="decimal"/>
      <w:lvlText w:val=""/>
      <w:lvlJc w:val="left"/>
    </w:lvl>
    <w:lvl w:ilvl="4" w:tplc="AF249948">
      <w:numFmt w:val="decimal"/>
      <w:lvlText w:val=""/>
      <w:lvlJc w:val="left"/>
    </w:lvl>
    <w:lvl w:ilvl="5" w:tplc="0FBE6A0E">
      <w:numFmt w:val="decimal"/>
      <w:lvlText w:val=""/>
      <w:lvlJc w:val="left"/>
    </w:lvl>
    <w:lvl w:ilvl="6" w:tplc="2E68BD7C">
      <w:numFmt w:val="decimal"/>
      <w:lvlText w:val=""/>
      <w:lvlJc w:val="left"/>
    </w:lvl>
    <w:lvl w:ilvl="7" w:tplc="B320483C">
      <w:numFmt w:val="decimal"/>
      <w:lvlText w:val=""/>
      <w:lvlJc w:val="left"/>
    </w:lvl>
    <w:lvl w:ilvl="8" w:tplc="9A1A881A">
      <w:numFmt w:val="decimal"/>
      <w:lvlText w:val=""/>
      <w:lvlJc w:val="left"/>
    </w:lvl>
  </w:abstractNum>
  <w:abstractNum w:abstractNumId="65" w15:restartNumberingAfterBreak="0">
    <w:nsid w:val="058025B8"/>
    <w:multiLevelType w:val="hybridMultilevel"/>
    <w:tmpl w:val="86529644"/>
    <w:lvl w:ilvl="0" w:tplc="1E4A6E3A">
      <w:start w:val="1"/>
      <w:numFmt w:val="bullet"/>
      <w:lvlText w:val=""/>
      <w:lvlJc w:val="left"/>
      <w:pPr>
        <w:ind w:left="720" w:hanging="360"/>
      </w:pPr>
      <w:rPr>
        <w:rFonts w:ascii="Symbol" w:hAnsi="Symbol" w:hint="default"/>
      </w:rPr>
    </w:lvl>
    <w:lvl w:ilvl="1" w:tplc="19228CFE">
      <w:numFmt w:val="decimal"/>
      <w:lvlText w:val=""/>
      <w:lvlJc w:val="left"/>
    </w:lvl>
    <w:lvl w:ilvl="2" w:tplc="5EEE23FC">
      <w:numFmt w:val="decimal"/>
      <w:lvlText w:val=""/>
      <w:lvlJc w:val="left"/>
    </w:lvl>
    <w:lvl w:ilvl="3" w:tplc="E174C1E8">
      <w:numFmt w:val="decimal"/>
      <w:lvlText w:val=""/>
      <w:lvlJc w:val="left"/>
    </w:lvl>
    <w:lvl w:ilvl="4" w:tplc="8A80CBFE">
      <w:numFmt w:val="decimal"/>
      <w:lvlText w:val=""/>
      <w:lvlJc w:val="left"/>
    </w:lvl>
    <w:lvl w:ilvl="5" w:tplc="8C74CD22">
      <w:numFmt w:val="decimal"/>
      <w:lvlText w:val=""/>
      <w:lvlJc w:val="left"/>
    </w:lvl>
    <w:lvl w:ilvl="6" w:tplc="1FFECC38">
      <w:numFmt w:val="decimal"/>
      <w:lvlText w:val=""/>
      <w:lvlJc w:val="left"/>
    </w:lvl>
    <w:lvl w:ilvl="7" w:tplc="0EFE7986">
      <w:numFmt w:val="decimal"/>
      <w:lvlText w:val=""/>
      <w:lvlJc w:val="left"/>
    </w:lvl>
    <w:lvl w:ilvl="8" w:tplc="8E805CAE">
      <w:numFmt w:val="decimal"/>
      <w:lvlText w:val=""/>
      <w:lvlJc w:val="left"/>
    </w:lvl>
  </w:abstractNum>
  <w:abstractNum w:abstractNumId="66" w15:restartNumberingAfterBreak="0">
    <w:nsid w:val="059A1976"/>
    <w:multiLevelType w:val="hybridMultilevel"/>
    <w:tmpl w:val="FCE21794"/>
    <w:lvl w:ilvl="0" w:tplc="DD2EDE5C">
      <w:numFmt w:val="decimal"/>
      <w:lvlText w:val=""/>
      <w:lvlJc w:val="left"/>
    </w:lvl>
    <w:lvl w:ilvl="1" w:tplc="F1CA802C">
      <w:start w:val="1"/>
      <w:numFmt w:val="bullet"/>
      <w:lvlText w:val=""/>
      <w:lvlJc w:val="left"/>
      <w:pPr>
        <w:ind w:left="1440" w:hanging="360"/>
      </w:pPr>
      <w:rPr>
        <w:rFonts w:ascii="Symbol" w:hAnsi="Symbol" w:hint="default"/>
      </w:rPr>
    </w:lvl>
    <w:lvl w:ilvl="2" w:tplc="AE50C53C">
      <w:numFmt w:val="decimal"/>
      <w:lvlText w:val=""/>
      <w:lvlJc w:val="left"/>
    </w:lvl>
    <w:lvl w:ilvl="3" w:tplc="0E588DC6">
      <w:numFmt w:val="decimal"/>
      <w:lvlText w:val=""/>
      <w:lvlJc w:val="left"/>
    </w:lvl>
    <w:lvl w:ilvl="4" w:tplc="85186C44">
      <w:numFmt w:val="decimal"/>
      <w:lvlText w:val=""/>
      <w:lvlJc w:val="left"/>
    </w:lvl>
    <w:lvl w:ilvl="5" w:tplc="DEB2D780">
      <w:numFmt w:val="decimal"/>
      <w:lvlText w:val=""/>
      <w:lvlJc w:val="left"/>
    </w:lvl>
    <w:lvl w:ilvl="6" w:tplc="D4DEF0F8">
      <w:numFmt w:val="decimal"/>
      <w:lvlText w:val=""/>
      <w:lvlJc w:val="left"/>
    </w:lvl>
    <w:lvl w:ilvl="7" w:tplc="DF44F28C">
      <w:numFmt w:val="decimal"/>
      <w:lvlText w:val=""/>
      <w:lvlJc w:val="left"/>
    </w:lvl>
    <w:lvl w:ilvl="8" w:tplc="83942DC8">
      <w:numFmt w:val="decimal"/>
      <w:lvlText w:val=""/>
      <w:lvlJc w:val="left"/>
    </w:lvl>
  </w:abstractNum>
  <w:abstractNum w:abstractNumId="67" w15:restartNumberingAfterBreak="0">
    <w:nsid w:val="05D26FA1"/>
    <w:multiLevelType w:val="hybridMultilevel"/>
    <w:tmpl w:val="7B8ADEE6"/>
    <w:lvl w:ilvl="0" w:tplc="D25A82E6">
      <w:start w:val="1"/>
      <w:numFmt w:val="bullet"/>
      <w:lvlText w:val=""/>
      <w:lvlJc w:val="left"/>
      <w:pPr>
        <w:ind w:left="720" w:hanging="360"/>
      </w:pPr>
      <w:rPr>
        <w:rFonts w:ascii="Symbol" w:hAnsi="Symbol" w:hint="default"/>
      </w:rPr>
    </w:lvl>
    <w:lvl w:ilvl="1" w:tplc="34C2863C">
      <w:numFmt w:val="decimal"/>
      <w:lvlText w:val=""/>
      <w:lvlJc w:val="left"/>
    </w:lvl>
    <w:lvl w:ilvl="2" w:tplc="4B3EE3BC">
      <w:numFmt w:val="decimal"/>
      <w:lvlText w:val=""/>
      <w:lvlJc w:val="left"/>
    </w:lvl>
    <w:lvl w:ilvl="3" w:tplc="67ACD010">
      <w:numFmt w:val="decimal"/>
      <w:lvlText w:val=""/>
      <w:lvlJc w:val="left"/>
    </w:lvl>
    <w:lvl w:ilvl="4" w:tplc="8EAE119E">
      <w:numFmt w:val="decimal"/>
      <w:lvlText w:val=""/>
      <w:lvlJc w:val="left"/>
    </w:lvl>
    <w:lvl w:ilvl="5" w:tplc="162276D2">
      <w:numFmt w:val="decimal"/>
      <w:lvlText w:val=""/>
      <w:lvlJc w:val="left"/>
    </w:lvl>
    <w:lvl w:ilvl="6" w:tplc="B9D0E4CA">
      <w:numFmt w:val="decimal"/>
      <w:lvlText w:val=""/>
      <w:lvlJc w:val="left"/>
    </w:lvl>
    <w:lvl w:ilvl="7" w:tplc="9F8AFC4A">
      <w:numFmt w:val="decimal"/>
      <w:lvlText w:val=""/>
      <w:lvlJc w:val="left"/>
    </w:lvl>
    <w:lvl w:ilvl="8" w:tplc="3CC0EAF2">
      <w:numFmt w:val="decimal"/>
      <w:lvlText w:val=""/>
      <w:lvlJc w:val="left"/>
    </w:lvl>
  </w:abstractNum>
  <w:abstractNum w:abstractNumId="68" w15:restartNumberingAfterBreak="0">
    <w:nsid w:val="061874EE"/>
    <w:multiLevelType w:val="hybridMultilevel"/>
    <w:tmpl w:val="535C5414"/>
    <w:lvl w:ilvl="0" w:tplc="EC3EBE3E">
      <w:start w:val="1"/>
      <w:numFmt w:val="bullet"/>
      <w:lvlText w:val=""/>
      <w:lvlJc w:val="left"/>
      <w:pPr>
        <w:ind w:left="720" w:hanging="360"/>
      </w:pPr>
      <w:rPr>
        <w:rFonts w:ascii="Symbol" w:hAnsi="Symbol" w:hint="default"/>
      </w:rPr>
    </w:lvl>
    <w:lvl w:ilvl="1" w:tplc="DE1EA08C">
      <w:numFmt w:val="decimal"/>
      <w:lvlText w:val=""/>
      <w:lvlJc w:val="left"/>
    </w:lvl>
    <w:lvl w:ilvl="2" w:tplc="BA94335C">
      <w:numFmt w:val="decimal"/>
      <w:lvlText w:val=""/>
      <w:lvlJc w:val="left"/>
    </w:lvl>
    <w:lvl w:ilvl="3" w:tplc="D324C4FC">
      <w:numFmt w:val="decimal"/>
      <w:lvlText w:val=""/>
      <w:lvlJc w:val="left"/>
    </w:lvl>
    <w:lvl w:ilvl="4" w:tplc="80D2905E">
      <w:numFmt w:val="decimal"/>
      <w:lvlText w:val=""/>
      <w:lvlJc w:val="left"/>
    </w:lvl>
    <w:lvl w:ilvl="5" w:tplc="0C744174">
      <w:numFmt w:val="decimal"/>
      <w:lvlText w:val=""/>
      <w:lvlJc w:val="left"/>
    </w:lvl>
    <w:lvl w:ilvl="6" w:tplc="78D64F80">
      <w:numFmt w:val="decimal"/>
      <w:lvlText w:val=""/>
      <w:lvlJc w:val="left"/>
    </w:lvl>
    <w:lvl w:ilvl="7" w:tplc="7A881690">
      <w:numFmt w:val="decimal"/>
      <w:lvlText w:val=""/>
      <w:lvlJc w:val="left"/>
    </w:lvl>
    <w:lvl w:ilvl="8" w:tplc="F42E4054">
      <w:numFmt w:val="decimal"/>
      <w:lvlText w:val=""/>
      <w:lvlJc w:val="left"/>
    </w:lvl>
  </w:abstractNum>
  <w:abstractNum w:abstractNumId="69" w15:restartNumberingAfterBreak="0">
    <w:nsid w:val="06245401"/>
    <w:multiLevelType w:val="hybridMultilevel"/>
    <w:tmpl w:val="D75EC852"/>
    <w:lvl w:ilvl="0" w:tplc="A2DE8CB8">
      <w:start w:val="1"/>
      <w:numFmt w:val="bullet"/>
      <w:lvlText w:val=""/>
      <w:lvlJc w:val="left"/>
      <w:pPr>
        <w:ind w:left="720" w:hanging="360"/>
      </w:pPr>
      <w:rPr>
        <w:rFonts w:ascii="Symbol" w:hAnsi="Symbol" w:hint="default"/>
      </w:rPr>
    </w:lvl>
    <w:lvl w:ilvl="1" w:tplc="EEB4F5E4">
      <w:numFmt w:val="decimal"/>
      <w:lvlText w:val=""/>
      <w:lvlJc w:val="left"/>
    </w:lvl>
    <w:lvl w:ilvl="2" w:tplc="F62A73D4">
      <w:numFmt w:val="decimal"/>
      <w:lvlText w:val=""/>
      <w:lvlJc w:val="left"/>
    </w:lvl>
    <w:lvl w:ilvl="3" w:tplc="211A24EE">
      <w:numFmt w:val="decimal"/>
      <w:lvlText w:val=""/>
      <w:lvlJc w:val="left"/>
    </w:lvl>
    <w:lvl w:ilvl="4" w:tplc="28FA503E">
      <w:numFmt w:val="decimal"/>
      <w:lvlText w:val=""/>
      <w:lvlJc w:val="left"/>
    </w:lvl>
    <w:lvl w:ilvl="5" w:tplc="E0D6118A">
      <w:numFmt w:val="decimal"/>
      <w:lvlText w:val=""/>
      <w:lvlJc w:val="left"/>
    </w:lvl>
    <w:lvl w:ilvl="6" w:tplc="5970A9FA">
      <w:numFmt w:val="decimal"/>
      <w:lvlText w:val=""/>
      <w:lvlJc w:val="left"/>
    </w:lvl>
    <w:lvl w:ilvl="7" w:tplc="609259F8">
      <w:numFmt w:val="decimal"/>
      <w:lvlText w:val=""/>
      <w:lvlJc w:val="left"/>
    </w:lvl>
    <w:lvl w:ilvl="8" w:tplc="DEFCFC3C">
      <w:numFmt w:val="decimal"/>
      <w:lvlText w:val=""/>
      <w:lvlJc w:val="left"/>
    </w:lvl>
  </w:abstractNum>
  <w:abstractNum w:abstractNumId="70" w15:restartNumberingAfterBreak="0">
    <w:nsid w:val="066D44E2"/>
    <w:multiLevelType w:val="hybridMultilevel"/>
    <w:tmpl w:val="925C5AD0"/>
    <w:lvl w:ilvl="0" w:tplc="6B540492">
      <w:start w:val="1"/>
      <w:numFmt w:val="bullet"/>
      <w:lvlText w:val=""/>
      <w:lvlJc w:val="left"/>
      <w:pPr>
        <w:ind w:left="720" w:hanging="360"/>
      </w:pPr>
      <w:rPr>
        <w:rFonts w:ascii="Symbol" w:hAnsi="Symbol" w:hint="default"/>
      </w:rPr>
    </w:lvl>
    <w:lvl w:ilvl="1" w:tplc="A57AC2DC">
      <w:numFmt w:val="decimal"/>
      <w:lvlText w:val=""/>
      <w:lvlJc w:val="left"/>
    </w:lvl>
    <w:lvl w:ilvl="2" w:tplc="0A444AFC">
      <w:numFmt w:val="decimal"/>
      <w:lvlText w:val=""/>
      <w:lvlJc w:val="left"/>
    </w:lvl>
    <w:lvl w:ilvl="3" w:tplc="270EBE18">
      <w:numFmt w:val="decimal"/>
      <w:lvlText w:val=""/>
      <w:lvlJc w:val="left"/>
    </w:lvl>
    <w:lvl w:ilvl="4" w:tplc="108ADDE6">
      <w:numFmt w:val="decimal"/>
      <w:lvlText w:val=""/>
      <w:lvlJc w:val="left"/>
    </w:lvl>
    <w:lvl w:ilvl="5" w:tplc="3D08C588">
      <w:numFmt w:val="decimal"/>
      <w:lvlText w:val=""/>
      <w:lvlJc w:val="left"/>
    </w:lvl>
    <w:lvl w:ilvl="6" w:tplc="83AA76A8">
      <w:numFmt w:val="decimal"/>
      <w:lvlText w:val=""/>
      <w:lvlJc w:val="left"/>
    </w:lvl>
    <w:lvl w:ilvl="7" w:tplc="A0F6ABBC">
      <w:numFmt w:val="decimal"/>
      <w:lvlText w:val=""/>
      <w:lvlJc w:val="left"/>
    </w:lvl>
    <w:lvl w:ilvl="8" w:tplc="DF485232">
      <w:numFmt w:val="decimal"/>
      <w:lvlText w:val=""/>
      <w:lvlJc w:val="left"/>
    </w:lvl>
  </w:abstractNum>
  <w:abstractNum w:abstractNumId="71" w15:restartNumberingAfterBreak="0">
    <w:nsid w:val="0670372E"/>
    <w:multiLevelType w:val="hybridMultilevel"/>
    <w:tmpl w:val="5F6E86C8"/>
    <w:lvl w:ilvl="0" w:tplc="4106EEB0">
      <w:start w:val="1"/>
      <w:numFmt w:val="bullet"/>
      <w:lvlText w:val=""/>
      <w:lvlJc w:val="left"/>
      <w:pPr>
        <w:ind w:left="720" w:hanging="360"/>
      </w:pPr>
      <w:rPr>
        <w:rFonts w:ascii="Symbol" w:hAnsi="Symbol" w:hint="default"/>
      </w:rPr>
    </w:lvl>
    <w:lvl w:ilvl="1" w:tplc="9AEAABC6">
      <w:numFmt w:val="decimal"/>
      <w:lvlText w:val=""/>
      <w:lvlJc w:val="left"/>
    </w:lvl>
    <w:lvl w:ilvl="2" w:tplc="801E73F6">
      <w:numFmt w:val="decimal"/>
      <w:lvlText w:val=""/>
      <w:lvlJc w:val="left"/>
    </w:lvl>
    <w:lvl w:ilvl="3" w:tplc="051AF4CA">
      <w:numFmt w:val="decimal"/>
      <w:lvlText w:val=""/>
      <w:lvlJc w:val="left"/>
    </w:lvl>
    <w:lvl w:ilvl="4" w:tplc="9614019C">
      <w:numFmt w:val="decimal"/>
      <w:lvlText w:val=""/>
      <w:lvlJc w:val="left"/>
    </w:lvl>
    <w:lvl w:ilvl="5" w:tplc="3D58AB0C">
      <w:numFmt w:val="decimal"/>
      <w:lvlText w:val=""/>
      <w:lvlJc w:val="left"/>
    </w:lvl>
    <w:lvl w:ilvl="6" w:tplc="7A7EAC48">
      <w:numFmt w:val="decimal"/>
      <w:lvlText w:val=""/>
      <w:lvlJc w:val="left"/>
    </w:lvl>
    <w:lvl w:ilvl="7" w:tplc="F80C79D0">
      <w:numFmt w:val="decimal"/>
      <w:lvlText w:val=""/>
      <w:lvlJc w:val="left"/>
    </w:lvl>
    <w:lvl w:ilvl="8" w:tplc="828CB604">
      <w:numFmt w:val="decimal"/>
      <w:lvlText w:val=""/>
      <w:lvlJc w:val="left"/>
    </w:lvl>
  </w:abstractNum>
  <w:abstractNum w:abstractNumId="72" w15:restartNumberingAfterBreak="0">
    <w:nsid w:val="06807F3A"/>
    <w:multiLevelType w:val="hybridMultilevel"/>
    <w:tmpl w:val="6870F0D8"/>
    <w:lvl w:ilvl="0" w:tplc="2738F44E">
      <w:start w:val="1"/>
      <w:numFmt w:val="bullet"/>
      <w:lvlText w:val=""/>
      <w:lvlJc w:val="left"/>
      <w:pPr>
        <w:ind w:left="720" w:hanging="360"/>
      </w:pPr>
      <w:rPr>
        <w:rFonts w:ascii="Symbol" w:hAnsi="Symbol" w:hint="default"/>
      </w:rPr>
    </w:lvl>
    <w:lvl w:ilvl="1" w:tplc="ED74405A">
      <w:numFmt w:val="decimal"/>
      <w:lvlText w:val=""/>
      <w:lvlJc w:val="left"/>
    </w:lvl>
    <w:lvl w:ilvl="2" w:tplc="2CAC4786">
      <w:numFmt w:val="decimal"/>
      <w:lvlText w:val=""/>
      <w:lvlJc w:val="left"/>
    </w:lvl>
    <w:lvl w:ilvl="3" w:tplc="48B48840">
      <w:numFmt w:val="decimal"/>
      <w:lvlText w:val=""/>
      <w:lvlJc w:val="left"/>
    </w:lvl>
    <w:lvl w:ilvl="4" w:tplc="9398ABBE">
      <w:numFmt w:val="decimal"/>
      <w:lvlText w:val=""/>
      <w:lvlJc w:val="left"/>
    </w:lvl>
    <w:lvl w:ilvl="5" w:tplc="0D64FFCA">
      <w:numFmt w:val="decimal"/>
      <w:lvlText w:val=""/>
      <w:lvlJc w:val="left"/>
    </w:lvl>
    <w:lvl w:ilvl="6" w:tplc="81CE566A">
      <w:numFmt w:val="decimal"/>
      <w:lvlText w:val=""/>
      <w:lvlJc w:val="left"/>
    </w:lvl>
    <w:lvl w:ilvl="7" w:tplc="92041324">
      <w:numFmt w:val="decimal"/>
      <w:lvlText w:val=""/>
      <w:lvlJc w:val="left"/>
    </w:lvl>
    <w:lvl w:ilvl="8" w:tplc="CCE60C70">
      <w:numFmt w:val="decimal"/>
      <w:lvlText w:val=""/>
      <w:lvlJc w:val="left"/>
    </w:lvl>
  </w:abstractNum>
  <w:abstractNum w:abstractNumId="73" w15:restartNumberingAfterBreak="0">
    <w:nsid w:val="06BD23BD"/>
    <w:multiLevelType w:val="hybridMultilevel"/>
    <w:tmpl w:val="6ADAAB70"/>
    <w:lvl w:ilvl="0" w:tplc="70B8AB4E">
      <w:start w:val="1"/>
      <w:numFmt w:val="bullet"/>
      <w:lvlText w:val=""/>
      <w:lvlJc w:val="left"/>
      <w:pPr>
        <w:ind w:left="720" w:hanging="360"/>
      </w:pPr>
      <w:rPr>
        <w:rFonts w:ascii="Symbol" w:hAnsi="Symbol" w:hint="default"/>
      </w:rPr>
    </w:lvl>
    <w:lvl w:ilvl="1" w:tplc="71F665F2">
      <w:numFmt w:val="decimal"/>
      <w:lvlText w:val=""/>
      <w:lvlJc w:val="left"/>
    </w:lvl>
    <w:lvl w:ilvl="2" w:tplc="946A39DA">
      <w:numFmt w:val="decimal"/>
      <w:lvlText w:val=""/>
      <w:lvlJc w:val="left"/>
    </w:lvl>
    <w:lvl w:ilvl="3" w:tplc="E20C750A">
      <w:numFmt w:val="decimal"/>
      <w:lvlText w:val=""/>
      <w:lvlJc w:val="left"/>
    </w:lvl>
    <w:lvl w:ilvl="4" w:tplc="830864A6">
      <w:numFmt w:val="decimal"/>
      <w:lvlText w:val=""/>
      <w:lvlJc w:val="left"/>
    </w:lvl>
    <w:lvl w:ilvl="5" w:tplc="92F434C8">
      <w:numFmt w:val="decimal"/>
      <w:lvlText w:val=""/>
      <w:lvlJc w:val="left"/>
    </w:lvl>
    <w:lvl w:ilvl="6" w:tplc="3506B16E">
      <w:numFmt w:val="decimal"/>
      <w:lvlText w:val=""/>
      <w:lvlJc w:val="left"/>
    </w:lvl>
    <w:lvl w:ilvl="7" w:tplc="5F4A267C">
      <w:numFmt w:val="decimal"/>
      <w:lvlText w:val=""/>
      <w:lvlJc w:val="left"/>
    </w:lvl>
    <w:lvl w:ilvl="8" w:tplc="EC32EECC">
      <w:numFmt w:val="decimal"/>
      <w:lvlText w:val=""/>
      <w:lvlJc w:val="left"/>
    </w:lvl>
  </w:abstractNum>
  <w:abstractNum w:abstractNumId="74" w15:restartNumberingAfterBreak="0">
    <w:nsid w:val="06CD14DF"/>
    <w:multiLevelType w:val="hybridMultilevel"/>
    <w:tmpl w:val="D44C1F50"/>
    <w:lvl w:ilvl="0" w:tplc="B90A6CEC">
      <w:start w:val="1"/>
      <w:numFmt w:val="bullet"/>
      <w:lvlText w:val=""/>
      <w:lvlJc w:val="left"/>
      <w:pPr>
        <w:ind w:left="720" w:hanging="360"/>
      </w:pPr>
      <w:rPr>
        <w:rFonts w:ascii="Symbol" w:hAnsi="Symbol" w:hint="default"/>
      </w:rPr>
    </w:lvl>
    <w:lvl w:ilvl="1" w:tplc="3C54EA06">
      <w:numFmt w:val="decimal"/>
      <w:lvlText w:val=""/>
      <w:lvlJc w:val="left"/>
    </w:lvl>
    <w:lvl w:ilvl="2" w:tplc="AEDA6CCA">
      <w:numFmt w:val="decimal"/>
      <w:lvlText w:val=""/>
      <w:lvlJc w:val="left"/>
    </w:lvl>
    <w:lvl w:ilvl="3" w:tplc="FC422C40">
      <w:numFmt w:val="decimal"/>
      <w:lvlText w:val=""/>
      <w:lvlJc w:val="left"/>
    </w:lvl>
    <w:lvl w:ilvl="4" w:tplc="F238F3B0">
      <w:numFmt w:val="decimal"/>
      <w:lvlText w:val=""/>
      <w:lvlJc w:val="left"/>
    </w:lvl>
    <w:lvl w:ilvl="5" w:tplc="7102D9A8">
      <w:numFmt w:val="decimal"/>
      <w:lvlText w:val=""/>
      <w:lvlJc w:val="left"/>
    </w:lvl>
    <w:lvl w:ilvl="6" w:tplc="B2F2A5FE">
      <w:numFmt w:val="decimal"/>
      <w:lvlText w:val=""/>
      <w:lvlJc w:val="left"/>
    </w:lvl>
    <w:lvl w:ilvl="7" w:tplc="90FCA6B2">
      <w:numFmt w:val="decimal"/>
      <w:lvlText w:val=""/>
      <w:lvlJc w:val="left"/>
    </w:lvl>
    <w:lvl w:ilvl="8" w:tplc="7BD2AF7C">
      <w:numFmt w:val="decimal"/>
      <w:lvlText w:val=""/>
      <w:lvlJc w:val="left"/>
    </w:lvl>
  </w:abstractNum>
  <w:abstractNum w:abstractNumId="75" w15:restartNumberingAfterBreak="0">
    <w:nsid w:val="06E76DD9"/>
    <w:multiLevelType w:val="hybridMultilevel"/>
    <w:tmpl w:val="EBC0CF24"/>
    <w:lvl w:ilvl="0" w:tplc="45903A54">
      <w:start w:val="1"/>
      <w:numFmt w:val="bullet"/>
      <w:lvlText w:val=""/>
      <w:lvlJc w:val="left"/>
      <w:pPr>
        <w:ind w:left="720" w:hanging="360"/>
      </w:pPr>
      <w:rPr>
        <w:rFonts w:ascii="Symbol" w:hAnsi="Symbol" w:hint="default"/>
      </w:rPr>
    </w:lvl>
    <w:lvl w:ilvl="1" w:tplc="1B784D8C">
      <w:numFmt w:val="decimal"/>
      <w:lvlText w:val=""/>
      <w:lvlJc w:val="left"/>
    </w:lvl>
    <w:lvl w:ilvl="2" w:tplc="7ED89138">
      <w:numFmt w:val="decimal"/>
      <w:lvlText w:val=""/>
      <w:lvlJc w:val="left"/>
    </w:lvl>
    <w:lvl w:ilvl="3" w:tplc="A3104CDC">
      <w:numFmt w:val="decimal"/>
      <w:lvlText w:val=""/>
      <w:lvlJc w:val="left"/>
    </w:lvl>
    <w:lvl w:ilvl="4" w:tplc="F9C6D1FA">
      <w:numFmt w:val="decimal"/>
      <w:lvlText w:val=""/>
      <w:lvlJc w:val="left"/>
    </w:lvl>
    <w:lvl w:ilvl="5" w:tplc="25102942">
      <w:numFmt w:val="decimal"/>
      <w:lvlText w:val=""/>
      <w:lvlJc w:val="left"/>
    </w:lvl>
    <w:lvl w:ilvl="6" w:tplc="4BB00356">
      <w:numFmt w:val="decimal"/>
      <w:lvlText w:val=""/>
      <w:lvlJc w:val="left"/>
    </w:lvl>
    <w:lvl w:ilvl="7" w:tplc="408EDA72">
      <w:numFmt w:val="decimal"/>
      <w:lvlText w:val=""/>
      <w:lvlJc w:val="left"/>
    </w:lvl>
    <w:lvl w:ilvl="8" w:tplc="CC300396">
      <w:numFmt w:val="decimal"/>
      <w:lvlText w:val=""/>
      <w:lvlJc w:val="left"/>
    </w:lvl>
  </w:abstractNum>
  <w:abstractNum w:abstractNumId="76" w15:restartNumberingAfterBreak="0">
    <w:nsid w:val="06EC4817"/>
    <w:multiLevelType w:val="hybridMultilevel"/>
    <w:tmpl w:val="D638A40E"/>
    <w:lvl w:ilvl="0" w:tplc="173A72D8">
      <w:start w:val="1"/>
      <w:numFmt w:val="bullet"/>
      <w:lvlText w:val=""/>
      <w:lvlJc w:val="left"/>
      <w:pPr>
        <w:ind w:left="720" w:hanging="360"/>
      </w:pPr>
      <w:rPr>
        <w:rFonts w:ascii="Symbol" w:hAnsi="Symbol" w:hint="default"/>
      </w:rPr>
    </w:lvl>
    <w:lvl w:ilvl="1" w:tplc="57CC9F08">
      <w:numFmt w:val="decimal"/>
      <w:lvlText w:val=""/>
      <w:lvlJc w:val="left"/>
    </w:lvl>
    <w:lvl w:ilvl="2" w:tplc="72F0DFDC">
      <w:numFmt w:val="decimal"/>
      <w:lvlText w:val=""/>
      <w:lvlJc w:val="left"/>
    </w:lvl>
    <w:lvl w:ilvl="3" w:tplc="B10A7C84">
      <w:numFmt w:val="decimal"/>
      <w:lvlText w:val=""/>
      <w:lvlJc w:val="left"/>
    </w:lvl>
    <w:lvl w:ilvl="4" w:tplc="7A64AC60">
      <w:numFmt w:val="decimal"/>
      <w:lvlText w:val=""/>
      <w:lvlJc w:val="left"/>
    </w:lvl>
    <w:lvl w:ilvl="5" w:tplc="883E35C8">
      <w:numFmt w:val="decimal"/>
      <w:lvlText w:val=""/>
      <w:lvlJc w:val="left"/>
    </w:lvl>
    <w:lvl w:ilvl="6" w:tplc="C94C0B8E">
      <w:numFmt w:val="decimal"/>
      <w:lvlText w:val=""/>
      <w:lvlJc w:val="left"/>
    </w:lvl>
    <w:lvl w:ilvl="7" w:tplc="C2442C0E">
      <w:numFmt w:val="decimal"/>
      <w:lvlText w:val=""/>
      <w:lvlJc w:val="left"/>
    </w:lvl>
    <w:lvl w:ilvl="8" w:tplc="6490452A">
      <w:numFmt w:val="decimal"/>
      <w:lvlText w:val=""/>
      <w:lvlJc w:val="left"/>
    </w:lvl>
  </w:abstractNum>
  <w:abstractNum w:abstractNumId="77" w15:restartNumberingAfterBreak="0">
    <w:nsid w:val="06EE0C2B"/>
    <w:multiLevelType w:val="hybridMultilevel"/>
    <w:tmpl w:val="D9043128"/>
    <w:lvl w:ilvl="0" w:tplc="29B8DBE4">
      <w:start w:val="1"/>
      <w:numFmt w:val="bullet"/>
      <w:lvlText w:val=""/>
      <w:lvlJc w:val="left"/>
      <w:pPr>
        <w:ind w:left="720" w:hanging="360"/>
      </w:pPr>
      <w:rPr>
        <w:rFonts w:ascii="Symbol" w:hAnsi="Symbol" w:hint="default"/>
      </w:rPr>
    </w:lvl>
    <w:lvl w:ilvl="1" w:tplc="3C70EC68">
      <w:numFmt w:val="decimal"/>
      <w:lvlText w:val=""/>
      <w:lvlJc w:val="left"/>
    </w:lvl>
    <w:lvl w:ilvl="2" w:tplc="F5F0C248">
      <w:numFmt w:val="decimal"/>
      <w:lvlText w:val=""/>
      <w:lvlJc w:val="left"/>
    </w:lvl>
    <w:lvl w:ilvl="3" w:tplc="F2207C82">
      <w:numFmt w:val="decimal"/>
      <w:lvlText w:val=""/>
      <w:lvlJc w:val="left"/>
    </w:lvl>
    <w:lvl w:ilvl="4" w:tplc="297A9614">
      <w:numFmt w:val="decimal"/>
      <w:lvlText w:val=""/>
      <w:lvlJc w:val="left"/>
    </w:lvl>
    <w:lvl w:ilvl="5" w:tplc="01A0BD12">
      <w:numFmt w:val="decimal"/>
      <w:lvlText w:val=""/>
      <w:lvlJc w:val="left"/>
    </w:lvl>
    <w:lvl w:ilvl="6" w:tplc="040E09AA">
      <w:numFmt w:val="decimal"/>
      <w:lvlText w:val=""/>
      <w:lvlJc w:val="left"/>
    </w:lvl>
    <w:lvl w:ilvl="7" w:tplc="37AACA06">
      <w:numFmt w:val="decimal"/>
      <w:lvlText w:val=""/>
      <w:lvlJc w:val="left"/>
    </w:lvl>
    <w:lvl w:ilvl="8" w:tplc="D5C8E91C">
      <w:numFmt w:val="decimal"/>
      <w:lvlText w:val=""/>
      <w:lvlJc w:val="left"/>
    </w:lvl>
  </w:abstractNum>
  <w:abstractNum w:abstractNumId="78" w15:restartNumberingAfterBreak="0">
    <w:nsid w:val="06FE7186"/>
    <w:multiLevelType w:val="hybridMultilevel"/>
    <w:tmpl w:val="E872EF94"/>
    <w:lvl w:ilvl="0" w:tplc="C1268174">
      <w:start w:val="1"/>
      <w:numFmt w:val="bullet"/>
      <w:lvlText w:val=""/>
      <w:lvlJc w:val="left"/>
      <w:pPr>
        <w:ind w:left="720" w:hanging="360"/>
      </w:pPr>
      <w:rPr>
        <w:rFonts w:ascii="Symbol" w:hAnsi="Symbol" w:hint="default"/>
      </w:rPr>
    </w:lvl>
    <w:lvl w:ilvl="1" w:tplc="E408B428">
      <w:numFmt w:val="decimal"/>
      <w:lvlText w:val=""/>
      <w:lvlJc w:val="left"/>
    </w:lvl>
    <w:lvl w:ilvl="2" w:tplc="093E0C9C">
      <w:numFmt w:val="decimal"/>
      <w:lvlText w:val=""/>
      <w:lvlJc w:val="left"/>
    </w:lvl>
    <w:lvl w:ilvl="3" w:tplc="40FC6686">
      <w:numFmt w:val="decimal"/>
      <w:lvlText w:val=""/>
      <w:lvlJc w:val="left"/>
    </w:lvl>
    <w:lvl w:ilvl="4" w:tplc="9EEAE9F2">
      <w:numFmt w:val="decimal"/>
      <w:lvlText w:val=""/>
      <w:lvlJc w:val="left"/>
    </w:lvl>
    <w:lvl w:ilvl="5" w:tplc="6A8629E4">
      <w:numFmt w:val="decimal"/>
      <w:lvlText w:val=""/>
      <w:lvlJc w:val="left"/>
    </w:lvl>
    <w:lvl w:ilvl="6" w:tplc="6E1ED4EE">
      <w:numFmt w:val="decimal"/>
      <w:lvlText w:val=""/>
      <w:lvlJc w:val="left"/>
    </w:lvl>
    <w:lvl w:ilvl="7" w:tplc="332C75E4">
      <w:numFmt w:val="decimal"/>
      <w:lvlText w:val=""/>
      <w:lvlJc w:val="left"/>
    </w:lvl>
    <w:lvl w:ilvl="8" w:tplc="0AF84DC8">
      <w:numFmt w:val="decimal"/>
      <w:lvlText w:val=""/>
      <w:lvlJc w:val="left"/>
    </w:lvl>
  </w:abstractNum>
  <w:abstractNum w:abstractNumId="79" w15:restartNumberingAfterBreak="0">
    <w:nsid w:val="07477193"/>
    <w:multiLevelType w:val="hybridMultilevel"/>
    <w:tmpl w:val="ABFC5486"/>
    <w:lvl w:ilvl="0" w:tplc="2C80AB82">
      <w:start w:val="1"/>
      <w:numFmt w:val="bullet"/>
      <w:lvlText w:val=""/>
      <w:lvlJc w:val="left"/>
      <w:pPr>
        <w:ind w:left="720" w:hanging="360"/>
      </w:pPr>
      <w:rPr>
        <w:rFonts w:ascii="Symbol" w:hAnsi="Symbol" w:hint="default"/>
      </w:rPr>
    </w:lvl>
    <w:lvl w:ilvl="1" w:tplc="1E0AB090">
      <w:numFmt w:val="decimal"/>
      <w:lvlText w:val=""/>
      <w:lvlJc w:val="left"/>
    </w:lvl>
    <w:lvl w:ilvl="2" w:tplc="30DA736E">
      <w:numFmt w:val="decimal"/>
      <w:lvlText w:val=""/>
      <w:lvlJc w:val="left"/>
    </w:lvl>
    <w:lvl w:ilvl="3" w:tplc="E30001F6">
      <w:numFmt w:val="decimal"/>
      <w:lvlText w:val=""/>
      <w:lvlJc w:val="left"/>
    </w:lvl>
    <w:lvl w:ilvl="4" w:tplc="9D240B86">
      <w:numFmt w:val="decimal"/>
      <w:lvlText w:val=""/>
      <w:lvlJc w:val="left"/>
    </w:lvl>
    <w:lvl w:ilvl="5" w:tplc="4D60CA6A">
      <w:numFmt w:val="decimal"/>
      <w:lvlText w:val=""/>
      <w:lvlJc w:val="left"/>
    </w:lvl>
    <w:lvl w:ilvl="6" w:tplc="C81EABF0">
      <w:numFmt w:val="decimal"/>
      <w:lvlText w:val=""/>
      <w:lvlJc w:val="left"/>
    </w:lvl>
    <w:lvl w:ilvl="7" w:tplc="C7FED45E">
      <w:numFmt w:val="decimal"/>
      <w:lvlText w:val=""/>
      <w:lvlJc w:val="left"/>
    </w:lvl>
    <w:lvl w:ilvl="8" w:tplc="DBF020D6">
      <w:numFmt w:val="decimal"/>
      <w:lvlText w:val=""/>
      <w:lvlJc w:val="left"/>
    </w:lvl>
  </w:abstractNum>
  <w:abstractNum w:abstractNumId="80" w15:restartNumberingAfterBreak="0">
    <w:nsid w:val="077126E1"/>
    <w:multiLevelType w:val="hybridMultilevel"/>
    <w:tmpl w:val="897825F2"/>
    <w:lvl w:ilvl="0" w:tplc="20060722">
      <w:start w:val="1"/>
      <w:numFmt w:val="bullet"/>
      <w:lvlText w:val=""/>
      <w:lvlJc w:val="left"/>
      <w:pPr>
        <w:ind w:left="720" w:hanging="360"/>
      </w:pPr>
      <w:rPr>
        <w:rFonts w:ascii="Symbol" w:hAnsi="Symbol" w:hint="default"/>
      </w:rPr>
    </w:lvl>
    <w:lvl w:ilvl="1" w:tplc="03B69538">
      <w:numFmt w:val="decimal"/>
      <w:lvlText w:val=""/>
      <w:lvlJc w:val="left"/>
    </w:lvl>
    <w:lvl w:ilvl="2" w:tplc="0132162C">
      <w:numFmt w:val="decimal"/>
      <w:lvlText w:val=""/>
      <w:lvlJc w:val="left"/>
    </w:lvl>
    <w:lvl w:ilvl="3" w:tplc="119A93BC">
      <w:numFmt w:val="decimal"/>
      <w:lvlText w:val=""/>
      <w:lvlJc w:val="left"/>
    </w:lvl>
    <w:lvl w:ilvl="4" w:tplc="14AA10D0">
      <w:numFmt w:val="decimal"/>
      <w:lvlText w:val=""/>
      <w:lvlJc w:val="left"/>
    </w:lvl>
    <w:lvl w:ilvl="5" w:tplc="511E47B6">
      <w:numFmt w:val="decimal"/>
      <w:lvlText w:val=""/>
      <w:lvlJc w:val="left"/>
    </w:lvl>
    <w:lvl w:ilvl="6" w:tplc="A000AB58">
      <w:numFmt w:val="decimal"/>
      <w:lvlText w:val=""/>
      <w:lvlJc w:val="left"/>
    </w:lvl>
    <w:lvl w:ilvl="7" w:tplc="F6F23EE8">
      <w:numFmt w:val="decimal"/>
      <w:lvlText w:val=""/>
      <w:lvlJc w:val="left"/>
    </w:lvl>
    <w:lvl w:ilvl="8" w:tplc="C8888CB8">
      <w:numFmt w:val="decimal"/>
      <w:lvlText w:val=""/>
      <w:lvlJc w:val="left"/>
    </w:lvl>
  </w:abstractNum>
  <w:abstractNum w:abstractNumId="81" w15:restartNumberingAfterBreak="0">
    <w:nsid w:val="07962752"/>
    <w:multiLevelType w:val="hybridMultilevel"/>
    <w:tmpl w:val="41D4F772"/>
    <w:lvl w:ilvl="0" w:tplc="8E221B7A">
      <w:start w:val="1"/>
      <w:numFmt w:val="bullet"/>
      <w:lvlText w:val=""/>
      <w:lvlJc w:val="left"/>
      <w:pPr>
        <w:ind w:left="720" w:hanging="360"/>
      </w:pPr>
      <w:rPr>
        <w:rFonts w:ascii="Symbol" w:hAnsi="Symbol" w:hint="default"/>
      </w:rPr>
    </w:lvl>
    <w:lvl w:ilvl="1" w:tplc="5C906376">
      <w:numFmt w:val="decimal"/>
      <w:lvlText w:val=""/>
      <w:lvlJc w:val="left"/>
    </w:lvl>
    <w:lvl w:ilvl="2" w:tplc="152A47BC">
      <w:numFmt w:val="decimal"/>
      <w:lvlText w:val=""/>
      <w:lvlJc w:val="left"/>
    </w:lvl>
    <w:lvl w:ilvl="3" w:tplc="5E22DC64">
      <w:numFmt w:val="decimal"/>
      <w:lvlText w:val=""/>
      <w:lvlJc w:val="left"/>
    </w:lvl>
    <w:lvl w:ilvl="4" w:tplc="75F48172">
      <w:numFmt w:val="decimal"/>
      <w:lvlText w:val=""/>
      <w:lvlJc w:val="left"/>
    </w:lvl>
    <w:lvl w:ilvl="5" w:tplc="912AA5D2">
      <w:numFmt w:val="decimal"/>
      <w:lvlText w:val=""/>
      <w:lvlJc w:val="left"/>
    </w:lvl>
    <w:lvl w:ilvl="6" w:tplc="067047AA">
      <w:numFmt w:val="decimal"/>
      <w:lvlText w:val=""/>
      <w:lvlJc w:val="left"/>
    </w:lvl>
    <w:lvl w:ilvl="7" w:tplc="C7F48156">
      <w:numFmt w:val="decimal"/>
      <w:lvlText w:val=""/>
      <w:lvlJc w:val="left"/>
    </w:lvl>
    <w:lvl w:ilvl="8" w:tplc="2BB401EC">
      <w:numFmt w:val="decimal"/>
      <w:lvlText w:val=""/>
      <w:lvlJc w:val="left"/>
    </w:lvl>
  </w:abstractNum>
  <w:abstractNum w:abstractNumId="82" w15:restartNumberingAfterBreak="0">
    <w:nsid w:val="079E592D"/>
    <w:multiLevelType w:val="hybridMultilevel"/>
    <w:tmpl w:val="BCB63CE8"/>
    <w:lvl w:ilvl="0" w:tplc="E864EE04">
      <w:start w:val="1"/>
      <w:numFmt w:val="bullet"/>
      <w:lvlText w:val=""/>
      <w:lvlJc w:val="left"/>
      <w:pPr>
        <w:ind w:left="720" w:hanging="360"/>
      </w:pPr>
      <w:rPr>
        <w:rFonts w:ascii="Symbol" w:hAnsi="Symbol" w:hint="default"/>
      </w:rPr>
    </w:lvl>
    <w:lvl w:ilvl="1" w:tplc="92A89F34">
      <w:numFmt w:val="decimal"/>
      <w:lvlText w:val=""/>
      <w:lvlJc w:val="left"/>
    </w:lvl>
    <w:lvl w:ilvl="2" w:tplc="F502D8B0">
      <w:numFmt w:val="decimal"/>
      <w:lvlText w:val=""/>
      <w:lvlJc w:val="left"/>
    </w:lvl>
    <w:lvl w:ilvl="3" w:tplc="55B682C8">
      <w:numFmt w:val="decimal"/>
      <w:lvlText w:val=""/>
      <w:lvlJc w:val="left"/>
    </w:lvl>
    <w:lvl w:ilvl="4" w:tplc="C7A805C8">
      <w:numFmt w:val="decimal"/>
      <w:lvlText w:val=""/>
      <w:lvlJc w:val="left"/>
    </w:lvl>
    <w:lvl w:ilvl="5" w:tplc="410AAF02">
      <w:numFmt w:val="decimal"/>
      <w:lvlText w:val=""/>
      <w:lvlJc w:val="left"/>
    </w:lvl>
    <w:lvl w:ilvl="6" w:tplc="4F000A8A">
      <w:numFmt w:val="decimal"/>
      <w:lvlText w:val=""/>
      <w:lvlJc w:val="left"/>
    </w:lvl>
    <w:lvl w:ilvl="7" w:tplc="D5024054">
      <w:numFmt w:val="decimal"/>
      <w:lvlText w:val=""/>
      <w:lvlJc w:val="left"/>
    </w:lvl>
    <w:lvl w:ilvl="8" w:tplc="5ECA096A">
      <w:numFmt w:val="decimal"/>
      <w:lvlText w:val=""/>
      <w:lvlJc w:val="left"/>
    </w:lvl>
  </w:abstractNum>
  <w:abstractNum w:abstractNumId="83" w15:restartNumberingAfterBreak="0">
    <w:nsid w:val="080C5507"/>
    <w:multiLevelType w:val="hybridMultilevel"/>
    <w:tmpl w:val="5B24E140"/>
    <w:lvl w:ilvl="0" w:tplc="FBAEC6BE">
      <w:start w:val="1"/>
      <w:numFmt w:val="bullet"/>
      <w:lvlText w:val=""/>
      <w:lvlJc w:val="left"/>
      <w:pPr>
        <w:ind w:left="720" w:hanging="360"/>
      </w:pPr>
      <w:rPr>
        <w:rFonts w:ascii="Symbol" w:hAnsi="Symbol" w:hint="default"/>
      </w:rPr>
    </w:lvl>
    <w:lvl w:ilvl="1" w:tplc="1E78392E">
      <w:numFmt w:val="decimal"/>
      <w:lvlText w:val=""/>
      <w:lvlJc w:val="left"/>
    </w:lvl>
    <w:lvl w:ilvl="2" w:tplc="0BBC9CC4">
      <w:numFmt w:val="decimal"/>
      <w:lvlText w:val=""/>
      <w:lvlJc w:val="left"/>
    </w:lvl>
    <w:lvl w:ilvl="3" w:tplc="99024BBA">
      <w:numFmt w:val="decimal"/>
      <w:lvlText w:val=""/>
      <w:lvlJc w:val="left"/>
    </w:lvl>
    <w:lvl w:ilvl="4" w:tplc="750A6E2E">
      <w:numFmt w:val="decimal"/>
      <w:lvlText w:val=""/>
      <w:lvlJc w:val="left"/>
    </w:lvl>
    <w:lvl w:ilvl="5" w:tplc="75D62E9A">
      <w:numFmt w:val="decimal"/>
      <w:lvlText w:val=""/>
      <w:lvlJc w:val="left"/>
    </w:lvl>
    <w:lvl w:ilvl="6" w:tplc="4B185782">
      <w:numFmt w:val="decimal"/>
      <w:lvlText w:val=""/>
      <w:lvlJc w:val="left"/>
    </w:lvl>
    <w:lvl w:ilvl="7" w:tplc="AF9A5CEA">
      <w:numFmt w:val="decimal"/>
      <w:lvlText w:val=""/>
      <w:lvlJc w:val="left"/>
    </w:lvl>
    <w:lvl w:ilvl="8" w:tplc="DA881520">
      <w:numFmt w:val="decimal"/>
      <w:lvlText w:val=""/>
      <w:lvlJc w:val="left"/>
    </w:lvl>
  </w:abstractNum>
  <w:abstractNum w:abstractNumId="84" w15:restartNumberingAfterBreak="0">
    <w:nsid w:val="080F5B20"/>
    <w:multiLevelType w:val="hybridMultilevel"/>
    <w:tmpl w:val="23280344"/>
    <w:lvl w:ilvl="0" w:tplc="8162FDE2">
      <w:start w:val="1"/>
      <w:numFmt w:val="bullet"/>
      <w:lvlText w:val=""/>
      <w:lvlJc w:val="left"/>
      <w:pPr>
        <w:ind w:left="720" w:hanging="360"/>
      </w:pPr>
      <w:rPr>
        <w:rFonts w:ascii="Symbol" w:hAnsi="Symbol" w:hint="default"/>
      </w:rPr>
    </w:lvl>
    <w:lvl w:ilvl="1" w:tplc="5F10786A">
      <w:numFmt w:val="decimal"/>
      <w:lvlText w:val=""/>
      <w:lvlJc w:val="left"/>
    </w:lvl>
    <w:lvl w:ilvl="2" w:tplc="F63E2EB8">
      <w:numFmt w:val="decimal"/>
      <w:lvlText w:val=""/>
      <w:lvlJc w:val="left"/>
    </w:lvl>
    <w:lvl w:ilvl="3" w:tplc="B006743C">
      <w:numFmt w:val="decimal"/>
      <w:lvlText w:val=""/>
      <w:lvlJc w:val="left"/>
    </w:lvl>
    <w:lvl w:ilvl="4" w:tplc="96F0F628">
      <w:numFmt w:val="decimal"/>
      <w:lvlText w:val=""/>
      <w:lvlJc w:val="left"/>
    </w:lvl>
    <w:lvl w:ilvl="5" w:tplc="22464A66">
      <w:numFmt w:val="decimal"/>
      <w:lvlText w:val=""/>
      <w:lvlJc w:val="left"/>
    </w:lvl>
    <w:lvl w:ilvl="6" w:tplc="A1E684F0">
      <w:numFmt w:val="decimal"/>
      <w:lvlText w:val=""/>
      <w:lvlJc w:val="left"/>
    </w:lvl>
    <w:lvl w:ilvl="7" w:tplc="784202FA">
      <w:numFmt w:val="decimal"/>
      <w:lvlText w:val=""/>
      <w:lvlJc w:val="left"/>
    </w:lvl>
    <w:lvl w:ilvl="8" w:tplc="97DECEFA">
      <w:numFmt w:val="decimal"/>
      <w:lvlText w:val=""/>
      <w:lvlJc w:val="left"/>
    </w:lvl>
  </w:abstractNum>
  <w:abstractNum w:abstractNumId="85" w15:restartNumberingAfterBreak="0">
    <w:nsid w:val="082F3624"/>
    <w:multiLevelType w:val="hybridMultilevel"/>
    <w:tmpl w:val="80107190"/>
    <w:lvl w:ilvl="0" w:tplc="25E06946">
      <w:start w:val="1"/>
      <w:numFmt w:val="bullet"/>
      <w:lvlText w:val=""/>
      <w:lvlJc w:val="left"/>
      <w:pPr>
        <w:ind w:left="720" w:hanging="360"/>
      </w:pPr>
      <w:rPr>
        <w:rFonts w:ascii="Symbol" w:hAnsi="Symbol" w:hint="default"/>
      </w:rPr>
    </w:lvl>
    <w:lvl w:ilvl="1" w:tplc="3FA6145E">
      <w:numFmt w:val="decimal"/>
      <w:lvlText w:val=""/>
      <w:lvlJc w:val="left"/>
    </w:lvl>
    <w:lvl w:ilvl="2" w:tplc="AAA623E8">
      <w:numFmt w:val="decimal"/>
      <w:lvlText w:val=""/>
      <w:lvlJc w:val="left"/>
    </w:lvl>
    <w:lvl w:ilvl="3" w:tplc="C6926474">
      <w:numFmt w:val="decimal"/>
      <w:lvlText w:val=""/>
      <w:lvlJc w:val="left"/>
    </w:lvl>
    <w:lvl w:ilvl="4" w:tplc="2B1A01F6">
      <w:numFmt w:val="decimal"/>
      <w:lvlText w:val=""/>
      <w:lvlJc w:val="left"/>
    </w:lvl>
    <w:lvl w:ilvl="5" w:tplc="A22E31E8">
      <w:numFmt w:val="decimal"/>
      <w:lvlText w:val=""/>
      <w:lvlJc w:val="left"/>
    </w:lvl>
    <w:lvl w:ilvl="6" w:tplc="EC38E9C6">
      <w:numFmt w:val="decimal"/>
      <w:lvlText w:val=""/>
      <w:lvlJc w:val="left"/>
    </w:lvl>
    <w:lvl w:ilvl="7" w:tplc="02362FCC">
      <w:numFmt w:val="decimal"/>
      <w:lvlText w:val=""/>
      <w:lvlJc w:val="left"/>
    </w:lvl>
    <w:lvl w:ilvl="8" w:tplc="23947178">
      <w:numFmt w:val="decimal"/>
      <w:lvlText w:val=""/>
      <w:lvlJc w:val="left"/>
    </w:lvl>
  </w:abstractNum>
  <w:abstractNum w:abstractNumId="86" w15:restartNumberingAfterBreak="0">
    <w:nsid w:val="083B0275"/>
    <w:multiLevelType w:val="hybridMultilevel"/>
    <w:tmpl w:val="D7FC860C"/>
    <w:lvl w:ilvl="0" w:tplc="D95C3B02">
      <w:start w:val="1"/>
      <w:numFmt w:val="bullet"/>
      <w:lvlText w:val=""/>
      <w:lvlJc w:val="left"/>
      <w:pPr>
        <w:ind w:left="720" w:hanging="360"/>
      </w:pPr>
      <w:rPr>
        <w:rFonts w:ascii="Symbol" w:hAnsi="Symbol" w:hint="default"/>
      </w:rPr>
    </w:lvl>
    <w:lvl w:ilvl="1" w:tplc="29365054">
      <w:numFmt w:val="decimal"/>
      <w:lvlText w:val=""/>
      <w:lvlJc w:val="left"/>
    </w:lvl>
    <w:lvl w:ilvl="2" w:tplc="1F0C7CC8">
      <w:numFmt w:val="decimal"/>
      <w:lvlText w:val=""/>
      <w:lvlJc w:val="left"/>
    </w:lvl>
    <w:lvl w:ilvl="3" w:tplc="AC4EBB7A">
      <w:numFmt w:val="decimal"/>
      <w:lvlText w:val=""/>
      <w:lvlJc w:val="left"/>
    </w:lvl>
    <w:lvl w:ilvl="4" w:tplc="B9AA4CBC">
      <w:numFmt w:val="decimal"/>
      <w:lvlText w:val=""/>
      <w:lvlJc w:val="left"/>
    </w:lvl>
    <w:lvl w:ilvl="5" w:tplc="4E044168">
      <w:numFmt w:val="decimal"/>
      <w:lvlText w:val=""/>
      <w:lvlJc w:val="left"/>
    </w:lvl>
    <w:lvl w:ilvl="6" w:tplc="AB78A284">
      <w:numFmt w:val="decimal"/>
      <w:lvlText w:val=""/>
      <w:lvlJc w:val="left"/>
    </w:lvl>
    <w:lvl w:ilvl="7" w:tplc="40B4ABB0">
      <w:numFmt w:val="decimal"/>
      <w:lvlText w:val=""/>
      <w:lvlJc w:val="left"/>
    </w:lvl>
    <w:lvl w:ilvl="8" w:tplc="2C0E85FE">
      <w:numFmt w:val="decimal"/>
      <w:lvlText w:val=""/>
      <w:lvlJc w:val="left"/>
    </w:lvl>
  </w:abstractNum>
  <w:abstractNum w:abstractNumId="87" w15:restartNumberingAfterBreak="0">
    <w:nsid w:val="08833E92"/>
    <w:multiLevelType w:val="hybridMultilevel"/>
    <w:tmpl w:val="45E0FD26"/>
    <w:lvl w:ilvl="0" w:tplc="1F067508">
      <w:start w:val="1"/>
      <w:numFmt w:val="bullet"/>
      <w:lvlText w:val=""/>
      <w:lvlJc w:val="left"/>
      <w:pPr>
        <w:ind w:left="720" w:hanging="360"/>
      </w:pPr>
      <w:rPr>
        <w:rFonts w:ascii="Symbol" w:hAnsi="Symbol" w:hint="default"/>
      </w:rPr>
    </w:lvl>
    <w:lvl w:ilvl="1" w:tplc="252EE104">
      <w:numFmt w:val="decimal"/>
      <w:lvlText w:val=""/>
      <w:lvlJc w:val="left"/>
    </w:lvl>
    <w:lvl w:ilvl="2" w:tplc="09CC4DB0">
      <w:numFmt w:val="decimal"/>
      <w:lvlText w:val=""/>
      <w:lvlJc w:val="left"/>
    </w:lvl>
    <w:lvl w:ilvl="3" w:tplc="E3EA361A">
      <w:numFmt w:val="decimal"/>
      <w:lvlText w:val=""/>
      <w:lvlJc w:val="left"/>
    </w:lvl>
    <w:lvl w:ilvl="4" w:tplc="F8DCD5FE">
      <w:numFmt w:val="decimal"/>
      <w:lvlText w:val=""/>
      <w:lvlJc w:val="left"/>
    </w:lvl>
    <w:lvl w:ilvl="5" w:tplc="2694570C">
      <w:numFmt w:val="decimal"/>
      <w:lvlText w:val=""/>
      <w:lvlJc w:val="left"/>
    </w:lvl>
    <w:lvl w:ilvl="6" w:tplc="CD18BD28">
      <w:numFmt w:val="decimal"/>
      <w:lvlText w:val=""/>
      <w:lvlJc w:val="left"/>
    </w:lvl>
    <w:lvl w:ilvl="7" w:tplc="3A10D8DC">
      <w:numFmt w:val="decimal"/>
      <w:lvlText w:val=""/>
      <w:lvlJc w:val="left"/>
    </w:lvl>
    <w:lvl w:ilvl="8" w:tplc="2DE61A9A">
      <w:numFmt w:val="decimal"/>
      <w:lvlText w:val=""/>
      <w:lvlJc w:val="left"/>
    </w:lvl>
  </w:abstractNum>
  <w:abstractNum w:abstractNumId="88" w15:restartNumberingAfterBreak="0">
    <w:nsid w:val="08BE04B6"/>
    <w:multiLevelType w:val="hybridMultilevel"/>
    <w:tmpl w:val="B7FCE81C"/>
    <w:lvl w:ilvl="0" w:tplc="0C764EB8">
      <w:start w:val="1"/>
      <w:numFmt w:val="bullet"/>
      <w:lvlText w:val=""/>
      <w:lvlJc w:val="left"/>
      <w:pPr>
        <w:ind w:left="720" w:hanging="360"/>
      </w:pPr>
      <w:rPr>
        <w:rFonts w:ascii="Symbol" w:hAnsi="Symbol" w:hint="default"/>
      </w:rPr>
    </w:lvl>
    <w:lvl w:ilvl="1" w:tplc="5D02A906">
      <w:numFmt w:val="decimal"/>
      <w:lvlText w:val=""/>
      <w:lvlJc w:val="left"/>
    </w:lvl>
    <w:lvl w:ilvl="2" w:tplc="FAD6650A">
      <w:numFmt w:val="decimal"/>
      <w:lvlText w:val=""/>
      <w:lvlJc w:val="left"/>
    </w:lvl>
    <w:lvl w:ilvl="3" w:tplc="C952CD08">
      <w:numFmt w:val="decimal"/>
      <w:lvlText w:val=""/>
      <w:lvlJc w:val="left"/>
    </w:lvl>
    <w:lvl w:ilvl="4" w:tplc="4DCCF89E">
      <w:numFmt w:val="decimal"/>
      <w:lvlText w:val=""/>
      <w:lvlJc w:val="left"/>
    </w:lvl>
    <w:lvl w:ilvl="5" w:tplc="5FEC4E12">
      <w:numFmt w:val="decimal"/>
      <w:lvlText w:val=""/>
      <w:lvlJc w:val="left"/>
    </w:lvl>
    <w:lvl w:ilvl="6" w:tplc="728E53B4">
      <w:numFmt w:val="decimal"/>
      <w:lvlText w:val=""/>
      <w:lvlJc w:val="left"/>
    </w:lvl>
    <w:lvl w:ilvl="7" w:tplc="BBAE964E">
      <w:numFmt w:val="decimal"/>
      <w:lvlText w:val=""/>
      <w:lvlJc w:val="left"/>
    </w:lvl>
    <w:lvl w:ilvl="8" w:tplc="D9F67034">
      <w:numFmt w:val="decimal"/>
      <w:lvlText w:val=""/>
      <w:lvlJc w:val="left"/>
    </w:lvl>
  </w:abstractNum>
  <w:abstractNum w:abstractNumId="89" w15:restartNumberingAfterBreak="0">
    <w:nsid w:val="08F83014"/>
    <w:multiLevelType w:val="hybridMultilevel"/>
    <w:tmpl w:val="5E986E3C"/>
    <w:lvl w:ilvl="0" w:tplc="67A6B3A0">
      <w:start w:val="1"/>
      <w:numFmt w:val="bullet"/>
      <w:lvlText w:val=""/>
      <w:lvlJc w:val="left"/>
      <w:pPr>
        <w:ind w:left="720" w:hanging="360"/>
      </w:pPr>
      <w:rPr>
        <w:rFonts w:ascii="Symbol" w:hAnsi="Symbol" w:hint="default"/>
      </w:rPr>
    </w:lvl>
    <w:lvl w:ilvl="1" w:tplc="77C093F0">
      <w:numFmt w:val="decimal"/>
      <w:lvlText w:val=""/>
      <w:lvlJc w:val="left"/>
    </w:lvl>
    <w:lvl w:ilvl="2" w:tplc="D936889C">
      <w:numFmt w:val="decimal"/>
      <w:lvlText w:val=""/>
      <w:lvlJc w:val="left"/>
    </w:lvl>
    <w:lvl w:ilvl="3" w:tplc="35A0CD26">
      <w:numFmt w:val="decimal"/>
      <w:lvlText w:val=""/>
      <w:lvlJc w:val="left"/>
    </w:lvl>
    <w:lvl w:ilvl="4" w:tplc="B3E605FA">
      <w:numFmt w:val="decimal"/>
      <w:lvlText w:val=""/>
      <w:lvlJc w:val="left"/>
    </w:lvl>
    <w:lvl w:ilvl="5" w:tplc="80A0ECF6">
      <w:numFmt w:val="decimal"/>
      <w:lvlText w:val=""/>
      <w:lvlJc w:val="left"/>
    </w:lvl>
    <w:lvl w:ilvl="6" w:tplc="335EF538">
      <w:numFmt w:val="decimal"/>
      <w:lvlText w:val=""/>
      <w:lvlJc w:val="left"/>
    </w:lvl>
    <w:lvl w:ilvl="7" w:tplc="F55C70B8">
      <w:numFmt w:val="decimal"/>
      <w:lvlText w:val=""/>
      <w:lvlJc w:val="left"/>
    </w:lvl>
    <w:lvl w:ilvl="8" w:tplc="B148B30E">
      <w:numFmt w:val="decimal"/>
      <w:lvlText w:val=""/>
      <w:lvlJc w:val="left"/>
    </w:lvl>
  </w:abstractNum>
  <w:abstractNum w:abstractNumId="90" w15:restartNumberingAfterBreak="0">
    <w:nsid w:val="092C1166"/>
    <w:multiLevelType w:val="hybridMultilevel"/>
    <w:tmpl w:val="4DECB292"/>
    <w:lvl w:ilvl="0" w:tplc="1CD44CEE">
      <w:start w:val="1"/>
      <w:numFmt w:val="bullet"/>
      <w:lvlText w:val=""/>
      <w:lvlJc w:val="left"/>
      <w:pPr>
        <w:ind w:left="720" w:hanging="360"/>
      </w:pPr>
      <w:rPr>
        <w:rFonts w:ascii="Symbol" w:hAnsi="Symbol" w:hint="default"/>
      </w:rPr>
    </w:lvl>
    <w:lvl w:ilvl="1" w:tplc="AB100796">
      <w:numFmt w:val="decimal"/>
      <w:lvlText w:val=""/>
      <w:lvlJc w:val="left"/>
    </w:lvl>
    <w:lvl w:ilvl="2" w:tplc="6C9C0034">
      <w:numFmt w:val="decimal"/>
      <w:lvlText w:val=""/>
      <w:lvlJc w:val="left"/>
    </w:lvl>
    <w:lvl w:ilvl="3" w:tplc="19A4E9D8">
      <w:numFmt w:val="decimal"/>
      <w:lvlText w:val=""/>
      <w:lvlJc w:val="left"/>
    </w:lvl>
    <w:lvl w:ilvl="4" w:tplc="9746BD9C">
      <w:numFmt w:val="decimal"/>
      <w:lvlText w:val=""/>
      <w:lvlJc w:val="left"/>
    </w:lvl>
    <w:lvl w:ilvl="5" w:tplc="C4A45F94">
      <w:numFmt w:val="decimal"/>
      <w:lvlText w:val=""/>
      <w:lvlJc w:val="left"/>
    </w:lvl>
    <w:lvl w:ilvl="6" w:tplc="0FC67B06">
      <w:numFmt w:val="decimal"/>
      <w:lvlText w:val=""/>
      <w:lvlJc w:val="left"/>
    </w:lvl>
    <w:lvl w:ilvl="7" w:tplc="30ACAB3E">
      <w:numFmt w:val="decimal"/>
      <w:lvlText w:val=""/>
      <w:lvlJc w:val="left"/>
    </w:lvl>
    <w:lvl w:ilvl="8" w:tplc="E1AE7148">
      <w:numFmt w:val="decimal"/>
      <w:lvlText w:val=""/>
      <w:lvlJc w:val="left"/>
    </w:lvl>
  </w:abstractNum>
  <w:abstractNum w:abstractNumId="91" w15:restartNumberingAfterBreak="0">
    <w:nsid w:val="0946014D"/>
    <w:multiLevelType w:val="hybridMultilevel"/>
    <w:tmpl w:val="125CA944"/>
    <w:lvl w:ilvl="0" w:tplc="188C0C70">
      <w:start w:val="1"/>
      <w:numFmt w:val="bullet"/>
      <w:lvlText w:val=""/>
      <w:lvlJc w:val="left"/>
      <w:pPr>
        <w:ind w:left="720" w:hanging="360"/>
      </w:pPr>
      <w:rPr>
        <w:rFonts w:ascii="Symbol" w:hAnsi="Symbol" w:hint="default"/>
      </w:rPr>
    </w:lvl>
    <w:lvl w:ilvl="1" w:tplc="84FE6416">
      <w:numFmt w:val="decimal"/>
      <w:lvlText w:val=""/>
      <w:lvlJc w:val="left"/>
    </w:lvl>
    <w:lvl w:ilvl="2" w:tplc="03F42044">
      <w:numFmt w:val="decimal"/>
      <w:lvlText w:val=""/>
      <w:lvlJc w:val="left"/>
    </w:lvl>
    <w:lvl w:ilvl="3" w:tplc="55589D0E">
      <w:numFmt w:val="decimal"/>
      <w:lvlText w:val=""/>
      <w:lvlJc w:val="left"/>
    </w:lvl>
    <w:lvl w:ilvl="4" w:tplc="D1F89F30">
      <w:numFmt w:val="decimal"/>
      <w:lvlText w:val=""/>
      <w:lvlJc w:val="left"/>
    </w:lvl>
    <w:lvl w:ilvl="5" w:tplc="7D44040C">
      <w:numFmt w:val="decimal"/>
      <w:lvlText w:val=""/>
      <w:lvlJc w:val="left"/>
    </w:lvl>
    <w:lvl w:ilvl="6" w:tplc="AFDAEE5A">
      <w:numFmt w:val="decimal"/>
      <w:lvlText w:val=""/>
      <w:lvlJc w:val="left"/>
    </w:lvl>
    <w:lvl w:ilvl="7" w:tplc="8EDE583A">
      <w:numFmt w:val="decimal"/>
      <w:lvlText w:val=""/>
      <w:lvlJc w:val="left"/>
    </w:lvl>
    <w:lvl w:ilvl="8" w:tplc="226849E0">
      <w:numFmt w:val="decimal"/>
      <w:lvlText w:val=""/>
      <w:lvlJc w:val="left"/>
    </w:lvl>
  </w:abstractNum>
  <w:abstractNum w:abstractNumId="92" w15:restartNumberingAfterBreak="0">
    <w:nsid w:val="095A77FC"/>
    <w:multiLevelType w:val="hybridMultilevel"/>
    <w:tmpl w:val="9F424214"/>
    <w:lvl w:ilvl="0" w:tplc="55A8974A">
      <w:start w:val="1"/>
      <w:numFmt w:val="bullet"/>
      <w:lvlText w:val=""/>
      <w:lvlJc w:val="left"/>
      <w:pPr>
        <w:ind w:left="720" w:hanging="360"/>
      </w:pPr>
      <w:rPr>
        <w:rFonts w:ascii="Symbol" w:hAnsi="Symbol" w:hint="default"/>
      </w:rPr>
    </w:lvl>
    <w:lvl w:ilvl="1" w:tplc="88F6B02E">
      <w:numFmt w:val="decimal"/>
      <w:lvlText w:val=""/>
      <w:lvlJc w:val="left"/>
    </w:lvl>
    <w:lvl w:ilvl="2" w:tplc="593A8D5E">
      <w:numFmt w:val="decimal"/>
      <w:lvlText w:val=""/>
      <w:lvlJc w:val="left"/>
    </w:lvl>
    <w:lvl w:ilvl="3" w:tplc="D958BD9E">
      <w:numFmt w:val="decimal"/>
      <w:lvlText w:val=""/>
      <w:lvlJc w:val="left"/>
    </w:lvl>
    <w:lvl w:ilvl="4" w:tplc="D46A9864">
      <w:numFmt w:val="decimal"/>
      <w:lvlText w:val=""/>
      <w:lvlJc w:val="left"/>
    </w:lvl>
    <w:lvl w:ilvl="5" w:tplc="E0ACC89A">
      <w:numFmt w:val="decimal"/>
      <w:lvlText w:val=""/>
      <w:lvlJc w:val="left"/>
    </w:lvl>
    <w:lvl w:ilvl="6" w:tplc="64A4814E">
      <w:numFmt w:val="decimal"/>
      <w:lvlText w:val=""/>
      <w:lvlJc w:val="left"/>
    </w:lvl>
    <w:lvl w:ilvl="7" w:tplc="34645428">
      <w:numFmt w:val="decimal"/>
      <w:lvlText w:val=""/>
      <w:lvlJc w:val="left"/>
    </w:lvl>
    <w:lvl w:ilvl="8" w:tplc="E198054E">
      <w:numFmt w:val="decimal"/>
      <w:lvlText w:val=""/>
      <w:lvlJc w:val="left"/>
    </w:lvl>
  </w:abstractNum>
  <w:abstractNum w:abstractNumId="93" w15:restartNumberingAfterBreak="0">
    <w:nsid w:val="09621C2A"/>
    <w:multiLevelType w:val="hybridMultilevel"/>
    <w:tmpl w:val="4E9ACAA6"/>
    <w:lvl w:ilvl="0" w:tplc="C778C802">
      <w:start w:val="1"/>
      <w:numFmt w:val="bullet"/>
      <w:lvlText w:val=""/>
      <w:lvlJc w:val="left"/>
      <w:pPr>
        <w:ind w:left="720" w:hanging="360"/>
      </w:pPr>
      <w:rPr>
        <w:rFonts w:ascii="Symbol" w:hAnsi="Symbol" w:hint="default"/>
      </w:rPr>
    </w:lvl>
    <w:lvl w:ilvl="1" w:tplc="9BACA9E6">
      <w:numFmt w:val="decimal"/>
      <w:lvlText w:val=""/>
      <w:lvlJc w:val="left"/>
    </w:lvl>
    <w:lvl w:ilvl="2" w:tplc="8C9E1804">
      <w:numFmt w:val="decimal"/>
      <w:lvlText w:val=""/>
      <w:lvlJc w:val="left"/>
    </w:lvl>
    <w:lvl w:ilvl="3" w:tplc="997CA7B0">
      <w:numFmt w:val="decimal"/>
      <w:lvlText w:val=""/>
      <w:lvlJc w:val="left"/>
    </w:lvl>
    <w:lvl w:ilvl="4" w:tplc="7836539E">
      <w:numFmt w:val="decimal"/>
      <w:lvlText w:val=""/>
      <w:lvlJc w:val="left"/>
    </w:lvl>
    <w:lvl w:ilvl="5" w:tplc="46DA7036">
      <w:numFmt w:val="decimal"/>
      <w:lvlText w:val=""/>
      <w:lvlJc w:val="left"/>
    </w:lvl>
    <w:lvl w:ilvl="6" w:tplc="45566E1E">
      <w:numFmt w:val="decimal"/>
      <w:lvlText w:val=""/>
      <w:lvlJc w:val="left"/>
    </w:lvl>
    <w:lvl w:ilvl="7" w:tplc="F8CC34DA">
      <w:numFmt w:val="decimal"/>
      <w:lvlText w:val=""/>
      <w:lvlJc w:val="left"/>
    </w:lvl>
    <w:lvl w:ilvl="8" w:tplc="1B68AD82">
      <w:numFmt w:val="decimal"/>
      <w:lvlText w:val=""/>
      <w:lvlJc w:val="left"/>
    </w:lvl>
  </w:abstractNum>
  <w:abstractNum w:abstractNumId="94" w15:restartNumberingAfterBreak="0">
    <w:nsid w:val="0997113D"/>
    <w:multiLevelType w:val="hybridMultilevel"/>
    <w:tmpl w:val="25C09BCA"/>
    <w:lvl w:ilvl="0" w:tplc="0FF0AB74">
      <w:start w:val="1"/>
      <w:numFmt w:val="bullet"/>
      <w:lvlText w:val=""/>
      <w:lvlJc w:val="left"/>
      <w:pPr>
        <w:ind w:left="720" w:hanging="360"/>
      </w:pPr>
      <w:rPr>
        <w:rFonts w:ascii="Symbol" w:hAnsi="Symbol" w:hint="default"/>
      </w:rPr>
    </w:lvl>
    <w:lvl w:ilvl="1" w:tplc="18281B76">
      <w:numFmt w:val="decimal"/>
      <w:lvlText w:val=""/>
      <w:lvlJc w:val="left"/>
    </w:lvl>
    <w:lvl w:ilvl="2" w:tplc="CDDAE394">
      <w:numFmt w:val="decimal"/>
      <w:lvlText w:val=""/>
      <w:lvlJc w:val="left"/>
    </w:lvl>
    <w:lvl w:ilvl="3" w:tplc="651E879C">
      <w:numFmt w:val="decimal"/>
      <w:lvlText w:val=""/>
      <w:lvlJc w:val="left"/>
    </w:lvl>
    <w:lvl w:ilvl="4" w:tplc="E6586DEC">
      <w:numFmt w:val="decimal"/>
      <w:lvlText w:val=""/>
      <w:lvlJc w:val="left"/>
    </w:lvl>
    <w:lvl w:ilvl="5" w:tplc="87CE5700">
      <w:numFmt w:val="decimal"/>
      <w:lvlText w:val=""/>
      <w:lvlJc w:val="left"/>
    </w:lvl>
    <w:lvl w:ilvl="6" w:tplc="14F8E8F0">
      <w:numFmt w:val="decimal"/>
      <w:lvlText w:val=""/>
      <w:lvlJc w:val="left"/>
    </w:lvl>
    <w:lvl w:ilvl="7" w:tplc="C94CF06C">
      <w:numFmt w:val="decimal"/>
      <w:lvlText w:val=""/>
      <w:lvlJc w:val="left"/>
    </w:lvl>
    <w:lvl w:ilvl="8" w:tplc="13B69016">
      <w:numFmt w:val="decimal"/>
      <w:lvlText w:val=""/>
      <w:lvlJc w:val="left"/>
    </w:lvl>
  </w:abstractNum>
  <w:abstractNum w:abstractNumId="95" w15:restartNumberingAfterBreak="0">
    <w:nsid w:val="09A22D7C"/>
    <w:multiLevelType w:val="hybridMultilevel"/>
    <w:tmpl w:val="7682B9D6"/>
    <w:lvl w:ilvl="0" w:tplc="C9B0E742">
      <w:numFmt w:val="decimal"/>
      <w:lvlText w:val=""/>
      <w:lvlJc w:val="left"/>
    </w:lvl>
    <w:lvl w:ilvl="1" w:tplc="958CC910">
      <w:start w:val="1"/>
      <w:numFmt w:val="bullet"/>
      <w:lvlText w:val=""/>
      <w:lvlJc w:val="left"/>
      <w:pPr>
        <w:ind w:left="1440" w:hanging="360"/>
      </w:pPr>
      <w:rPr>
        <w:rFonts w:ascii="Symbol" w:hAnsi="Symbol" w:hint="default"/>
      </w:rPr>
    </w:lvl>
    <w:lvl w:ilvl="2" w:tplc="10700C94">
      <w:numFmt w:val="decimal"/>
      <w:lvlText w:val=""/>
      <w:lvlJc w:val="left"/>
    </w:lvl>
    <w:lvl w:ilvl="3" w:tplc="FA869B14">
      <w:numFmt w:val="decimal"/>
      <w:lvlText w:val=""/>
      <w:lvlJc w:val="left"/>
    </w:lvl>
    <w:lvl w:ilvl="4" w:tplc="C76649E0">
      <w:numFmt w:val="decimal"/>
      <w:lvlText w:val=""/>
      <w:lvlJc w:val="left"/>
    </w:lvl>
    <w:lvl w:ilvl="5" w:tplc="A886A6D6">
      <w:numFmt w:val="decimal"/>
      <w:lvlText w:val=""/>
      <w:lvlJc w:val="left"/>
    </w:lvl>
    <w:lvl w:ilvl="6" w:tplc="F9328AA2">
      <w:numFmt w:val="decimal"/>
      <w:lvlText w:val=""/>
      <w:lvlJc w:val="left"/>
    </w:lvl>
    <w:lvl w:ilvl="7" w:tplc="E710FCCA">
      <w:numFmt w:val="decimal"/>
      <w:lvlText w:val=""/>
      <w:lvlJc w:val="left"/>
    </w:lvl>
    <w:lvl w:ilvl="8" w:tplc="7C6CD454">
      <w:numFmt w:val="decimal"/>
      <w:lvlText w:val=""/>
      <w:lvlJc w:val="left"/>
    </w:lvl>
  </w:abstractNum>
  <w:abstractNum w:abstractNumId="96" w15:restartNumberingAfterBreak="0">
    <w:nsid w:val="09B22A9F"/>
    <w:multiLevelType w:val="hybridMultilevel"/>
    <w:tmpl w:val="C46A9CCC"/>
    <w:lvl w:ilvl="0" w:tplc="EECE19F0">
      <w:start w:val="1"/>
      <w:numFmt w:val="bullet"/>
      <w:lvlText w:val=""/>
      <w:lvlJc w:val="left"/>
      <w:pPr>
        <w:ind w:left="720" w:hanging="360"/>
      </w:pPr>
      <w:rPr>
        <w:rFonts w:ascii="Symbol" w:hAnsi="Symbol" w:hint="default"/>
      </w:rPr>
    </w:lvl>
    <w:lvl w:ilvl="1" w:tplc="81C4BA8A">
      <w:numFmt w:val="decimal"/>
      <w:lvlText w:val=""/>
      <w:lvlJc w:val="left"/>
    </w:lvl>
    <w:lvl w:ilvl="2" w:tplc="B1C2D67C">
      <w:numFmt w:val="decimal"/>
      <w:lvlText w:val=""/>
      <w:lvlJc w:val="left"/>
    </w:lvl>
    <w:lvl w:ilvl="3" w:tplc="D9449174">
      <w:numFmt w:val="decimal"/>
      <w:lvlText w:val=""/>
      <w:lvlJc w:val="left"/>
    </w:lvl>
    <w:lvl w:ilvl="4" w:tplc="739CA936">
      <w:numFmt w:val="decimal"/>
      <w:lvlText w:val=""/>
      <w:lvlJc w:val="left"/>
    </w:lvl>
    <w:lvl w:ilvl="5" w:tplc="09B0E074">
      <w:numFmt w:val="decimal"/>
      <w:lvlText w:val=""/>
      <w:lvlJc w:val="left"/>
    </w:lvl>
    <w:lvl w:ilvl="6" w:tplc="6854FC4C">
      <w:numFmt w:val="decimal"/>
      <w:lvlText w:val=""/>
      <w:lvlJc w:val="left"/>
    </w:lvl>
    <w:lvl w:ilvl="7" w:tplc="B9744866">
      <w:numFmt w:val="decimal"/>
      <w:lvlText w:val=""/>
      <w:lvlJc w:val="left"/>
    </w:lvl>
    <w:lvl w:ilvl="8" w:tplc="00F4ED4C">
      <w:numFmt w:val="decimal"/>
      <w:lvlText w:val=""/>
      <w:lvlJc w:val="left"/>
    </w:lvl>
  </w:abstractNum>
  <w:abstractNum w:abstractNumId="97" w15:restartNumberingAfterBreak="0">
    <w:nsid w:val="0A064B11"/>
    <w:multiLevelType w:val="hybridMultilevel"/>
    <w:tmpl w:val="195AD5D0"/>
    <w:lvl w:ilvl="0" w:tplc="0B981250">
      <w:start w:val="1"/>
      <w:numFmt w:val="bullet"/>
      <w:lvlText w:val=""/>
      <w:lvlJc w:val="left"/>
      <w:pPr>
        <w:ind w:left="720" w:hanging="360"/>
      </w:pPr>
      <w:rPr>
        <w:rFonts w:ascii="Symbol" w:hAnsi="Symbol" w:hint="default"/>
      </w:rPr>
    </w:lvl>
    <w:lvl w:ilvl="1" w:tplc="D63C34CC">
      <w:numFmt w:val="decimal"/>
      <w:lvlText w:val=""/>
      <w:lvlJc w:val="left"/>
    </w:lvl>
    <w:lvl w:ilvl="2" w:tplc="D3A28606">
      <w:numFmt w:val="decimal"/>
      <w:lvlText w:val=""/>
      <w:lvlJc w:val="left"/>
    </w:lvl>
    <w:lvl w:ilvl="3" w:tplc="0674D6BC">
      <w:numFmt w:val="decimal"/>
      <w:lvlText w:val=""/>
      <w:lvlJc w:val="left"/>
    </w:lvl>
    <w:lvl w:ilvl="4" w:tplc="76C4D0CE">
      <w:numFmt w:val="decimal"/>
      <w:lvlText w:val=""/>
      <w:lvlJc w:val="left"/>
    </w:lvl>
    <w:lvl w:ilvl="5" w:tplc="EF6E0968">
      <w:numFmt w:val="decimal"/>
      <w:lvlText w:val=""/>
      <w:lvlJc w:val="left"/>
    </w:lvl>
    <w:lvl w:ilvl="6" w:tplc="2F369FA4">
      <w:numFmt w:val="decimal"/>
      <w:lvlText w:val=""/>
      <w:lvlJc w:val="left"/>
    </w:lvl>
    <w:lvl w:ilvl="7" w:tplc="BD46E11E">
      <w:numFmt w:val="decimal"/>
      <w:lvlText w:val=""/>
      <w:lvlJc w:val="left"/>
    </w:lvl>
    <w:lvl w:ilvl="8" w:tplc="E06AE30C">
      <w:numFmt w:val="decimal"/>
      <w:lvlText w:val=""/>
      <w:lvlJc w:val="left"/>
    </w:lvl>
  </w:abstractNum>
  <w:abstractNum w:abstractNumId="98" w15:restartNumberingAfterBreak="0">
    <w:nsid w:val="0A0B7092"/>
    <w:multiLevelType w:val="hybridMultilevel"/>
    <w:tmpl w:val="B650CBDC"/>
    <w:lvl w:ilvl="0" w:tplc="5D1464D4">
      <w:start w:val="1"/>
      <w:numFmt w:val="bullet"/>
      <w:lvlText w:val=""/>
      <w:lvlJc w:val="left"/>
      <w:pPr>
        <w:ind w:left="720" w:hanging="360"/>
      </w:pPr>
      <w:rPr>
        <w:rFonts w:ascii="Symbol" w:hAnsi="Symbol" w:hint="default"/>
      </w:rPr>
    </w:lvl>
    <w:lvl w:ilvl="1" w:tplc="9A74E954">
      <w:numFmt w:val="decimal"/>
      <w:lvlText w:val=""/>
      <w:lvlJc w:val="left"/>
    </w:lvl>
    <w:lvl w:ilvl="2" w:tplc="C428C228">
      <w:numFmt w:val="decimal"/>
      <w:lvlText w:val=""/>
      <w:lvlJc w:val="left"/>
    </w:lvl>
    <w:lvl w:ilvl="3" w:tplc="2826A586">
      <w:numFmt w:val="decimal"/>
      <w:lvlText w:val=""/>
      <w:lvlJc w:val="left"/>
    </w:lvl>
    <w:lvl w:ilvl="4" w:tplc="80DC11FC">
      <w:numFmt w:val="decimal"/>
      <w:lvlText w:val=""/>
      <w:lvlJc w:val="left"/>
    </w:lvl>
    <w:lvl w:ilvl="5" w:tplc="4C20F6B0">
      <w:numFmt w:val="decimal"/>
      <w:lvlText w:val=""/>
      <w:lvlJc w:val="left"/>
    </w:lvl>
    <w:lvl w:ilvl="6" w:tplc="4B44F1E6">
      <w:numFmt w:val="decimal"/>
      <w:lvlText w:val=""/>
      <w:lvlJc w:val="left"/>
    </w:lvl>
    <w:lvl w:ilvl="7" w:tplc="8A50853A">
      <w:numFmt w:val="decimal"/>
      <w:lvlText w:val=""/>
      <w:lvlJc w:val="left"/>
    </w:lvl>
    <w:lvl w:ilvl="8" w:tplc="7DE67454">
      <w:numFmt w:val="decimal"/>
      <w:lvlText w:val=""/>
      <w:lvlJc w:val="left"/>
    </w:lvl>
  </w:abstractNum>
  <w:abstractNum w:abstractNumId="99" w15:restartNumberingAfterBreak="0">
    <w:nsid w:val="0A131B33"/>
    <w:multiLevelType w:val="hybridMultilevel"/>
    <w:tmpl w:val="691CBE90"/>
    <w:lvl w:ilvl="0" w:tplc="0A26B100">
      <w:start w:val="1"/>
      <w:numFmt w:val="bullet"/>
      <w:lvlText w:val=""/>
      <w:lvlJc w:val="left"/>
      <w:pPr>
        <w:ind w:left="720" w:hanging="360"/>
      </w:pPr>
      <w:rPr>
        <w:rFonts w:ascii="Symbol" w:hAnsi="Symbol" w:hint="default"/>
      </w:rPr>
    </w:lvl>
    <w:lvl w:ilvl="1" w:tplc="BCDCFB20">
      <w:numFmt w:val="decimal"/>
      <w:lvlText w:val=""/>
      <w:lvlJc w:val="left"/>
    </w:lvl>
    <w:lvl w:ilvl="2" w:tplc="94785926">
      <w:numFmt w:val="decimal"/>
      <w:lvlText w:val=""/>
      <w:lvlJc w:val="left"/>
    </w:lvl>
    <w:lvl w:ilvl="3" w:tplc="9A6A5E26">
      <w:numFmt w:val="decimal"/>
      <w:lvlText w:val=""/>
      <w:lvlJc w:val="left"/>
    </w:lvl>
    <w:lvl w:ilvl="4" w:tplc="2E2CD618">
      <w:numFmt w:val="decimal"/>
      <w:lvlText w:val=""/>
      <w:lvlJc w:val="left"/>
    </w:lvl>
    <w:lvl w:ilvl="5" w:tplc="EF30B75C">
      <w:numFmt w:val="decimal"/>
      <w:lvlText w:val=""/>
      <w:lvlJc w:val="left"/>
    </w:lvl>
    <w:lvl w:ilvl="6" w:tplc="E7B8219C">
      <w:numFmt w:val="decimal"/>
      <w:lvlText w:val=""/>
      <w:lvlJc w:val="left"/>
    </w:lvl>
    <w:lvl w:ilvl="7" w:tplc="D988AF78">
      <w:numFmt w:val="decimal"/>
      <w:lvlText w:val=""/>
      <w:lvlJc w:val="left"/>
    </w:lvl>
    <w:lvl w:ilvl="8" w:tplc="20522D0A">
      <w:numFmt w:val="decimal"/>
      <w:lvlText w:val=""/>
      <w:lvlJc w:val="left"/>
    </w:lvl>
  </w:abstractNum>
  <w:abstractNum w:abstractNumId="100" w15:restartNumberingAfterBreak="0">
    <w:nsid w:val="0A1754C2"/>
    <w:multiLevelType w:val="hybridMultilevel"/>
    <w:tmpl w:val="B6F20BBC"/>
    <w:lvl w:ilvl="0" w:tplc="9306FA7A">
      <w:start w:val="1"/>
      <w:numFmt w:val="bullet"/>
      <w:lvlText w:val=""/>
      <w:lvlJc w:val="left"/>
      <w:pPr>
        <w:ind w:left="720" w:hanging="360"/>
      </w:pPr>
      <w:rPr>
        <w:rFonts w:ascii="Symbol" w:hAnsi="Symbol" w:hint="default"/>
      </w:rPr>
    </w:lvl>
    <w:lvl w:ilvl="1" w:tplc="C61CD90E">
      <w:numFmt w:val="decimal"/>
      <w:lvlText w:val=""/>
      <w:lvlJc w:val="left"/>
    </w:lvl>
    <w:lvl w:ilvl="2" w:tplc="7C962CCC">
      <w:numFmt w:val="decimal"/>
      <w:lvlText w:val=""/>
      <w:lvlJc w:val="left"/>
    </w:lvl>
    <w:lvl w:ilvl="3" w:tplc="16DC5310">
      <w:numFmt w:val="decimal"/>
      <w:lvlText w:val=""/>
      <w:lvlJc w:val="left"/>
    </w:lvl>
    <w:lvl w:ilvl="4" w:tplc="ED80D276">
      <w:numFmt w:val="decimal"/>
      <w:lvlText w:val=""/>
      <w:lvlJc w:val="left"/>
    </w:lvl>
    <w:lvl w:ilvl="5" w:tplc="895E5008">
      <w:numFmt w:val="decimal"/>
      <w:lvlText w:val=""/>
      <w:lvlJc w:val="left"/>
    </w:lvl>
    <w:lvl w:ilvl="6" w:tplc="D5BAEDDC">
      <w:numFmt w:val="decimal"/>
      <w:lvlText w:val=""/>
      <w:lvlJc w:val="left"/>
    </w:lvl>
    <w:lvl w:ilvl="7" w:tplc="990CD94A">
      <w:numFmt w:val="decimal"/>
      <w:lvlText w:val=""/>
      <w:lvlJc w:val="left"/>
    </w:lvl>
    <w:lvl w:ilvl="8" w:tplc="6798CCD8">
      <w:numFmt w:val="decimal"/>
      <w:lvlText w:val=""/>
      <w:lvlJc w:val="left"/>
    </w:lvl>
  </w:abstractNum>
  <w:abstractNum w:abstractNumId="101" w15:restartNumberingAfterBreak="0">
    <w:nsid w:val="0A1A2E5F"/>
    <w:multiLevelType w:val="hybridMultilevel"/>
    <w:tmpl w:val="440C065C"/>
    <w:lvl w:ilvl="0" w:tplc="57DE64DA">
      <w:start w:val="1"/>
      <w:numFmt w:val="bullet"/>
      <w:lvlText w:val=""/>
      <w:lvlJc w:val="left"/>
      <w:pPr>
        <w:ind w:left="720" w:hanging="360"/>
      </w:pPr>
      <w:rPr>
        <w:rFonts w:ascii="Symbol" w:hAnsi="Symbol" w:hint="default"/>
      </w:rPr>
    </w:lvl>
    <w:lvl w:ilvl="1" w:tplc="907EA70E">
      <w:numFmt w:val="decimal"/>
      <w:lvlText w:val=""/>
      <w:lvlJc w:val="left"/>
    </w:lvl>
    <w:lvl w:ilvl="2" w:tplc="5BDC8CEC">
      <w:numFmt w:val="decimal"/>
      <w:lvlText w:val=""/>
      <w:lvlJc w:val="left"/>
    </w:lvl>
    <w:lvl w:ilvl="3" w:tplc="ACFA745A">
      <w:numFmt w:val="decimal"/>
      <w:lvlText w:val=""/>
      <w:lvlJc w:val="left"/>
    </w:lvl>
    <w:lvl w:ilvl="4" w:tplc="4252C37A">
      <w:numFmt w:val="decimal"/>
      <w:lvlText w:val=""/>
      <w:lvlJc w:val="left"/>
    </w:lvl>
    <w:lvl w:ilvl="5" w:tplc="9EFC9DA4">
      <w:numFmt w:val="decimal"/>
      <w:lvlText w:val=""/>
      <w:lvlJc w:val="left"/>
    </w:lvl>
    <w:lvl w:ilvl="6" w:tplc="15883F1E">
      <w:numFmt w:val="decimal"/>
      <w:lvlText w:val=""/>
      <w:lvlJc w:val="left"/>
    </w:lvl>
    <w:lvl w:ilvl="7" w:tplc="BE24F2B4">
      <w:numFmt w:val="decimal"/>
      <w:lvlText w:val=""/>
      <w:lvlJc w:val="left"/>
    </w:lvl>
    <w:lvl w:ilvl="8" w:tplc="93D4C9A8">
      <w:numFmt w:val="decimal"/>
      <w:lvlText w:val=""/>
      <w:lvlJc w:val="left"/>
    </w:lvl>
  </w:abstractNum>
  <w:abstractNum w:abstractNumId="102" w15:restartNumberingAfterBreak="0">
    <w:nsid w:val="0A1B51C5"/>
    <w:multiLevelType w:val="hybridMultilevel"/>
    <w:tmpl w:val="78D610B4"/>
    <w:lvl w:ilvl="0" w:tplc="2E946AB6">
      <w:start w:val="1"/>
      <w:numFmt w:val="bullet"/>
      <w:lvlText w:val=""/>
      <w:lvlJc w:val="left"/>
      <w:pPr>
        <w:ind w:left="720" w:hanging="360"/>
      </w:pPr>
      <w:rPr>
        <w:rFonts w:ascii="Symbol" w:hAnsi="Symbol" w:hint="default"/>
      </w:rPr>
    </w:lvl>
    <w:lvl w:ilvl="1" w:tplc="5BD8CC64">
      <w:numFmt w:val="decimal"/>
      <w:lvlText w:val=""/>
      <w:lvlJc w:val="left"/>
    </w:lvl>
    <w:lvl w:ilvl="2" w:tplc="A4189B38">
      <w:numFmt w:val="decimal"/>
      <w:lvlText w:val=""/>
      <w:lvlJc w:val="left"/>
    </w:lvl>
    <w:lvl w:ilvl="3" w:tplc="4D981E94">
      <w:numFmt w:val="decimal"/>
      <w:lvlText w:val=""/>
      <w:lvlJc w:val="left"/>
    </w:lvl>
    <w:lvl w:ilvl="4" w:tplc="6A56D150">
      <w:numFmt w:val="decimal"/>
      <w:lvlText w:val=""/>
      <w:lvlJc w:val="left"/>
    </w:lvl>
    <w:lvl w:ilvl="5" w:tplc="7952C5F0">
      <w:numFmt w:val="decimal"/>
      <w:lvlText w:val=""/>
      <w:lvlJc w:val="left"/>
    </w:lvl>
    <w:lvl w:ilvl="6" w:tplc="2FE856C2">
      <w:numFmt w:val="decimal"/>
      <w:lvlText w:val=""/>
      <w:lvlJc w:val="left"/>
    </w:lvl>
    <w:lvl w:ilvl="7" w:tplc="EB407352">
      <w:numFmt w:val="decimal"/>
      <w:lvlText w:val=""/>
      <w:lvlJc w:val="left"/>
    </w:lvl>
    <w:lvl w:ilvl="8" w:tplc="9A90EF5C">
      <w:numFmt w:val="decimal"/>
      <w:lvlText w:val=""/>
      <w:lvlJc w:val="left"/>
    </w:lvl>
  </w:abstractNum>
  <w:abstractNum w:abstractNumId="103" w15:restartNumberingAfterBreak="0">
    <w:nsid w:val="0A1D3BB4"/>
    <w:multiLevelType w:val="hybridMultilevel"/>
    <w:tmpl w:val="76FE63F0"/>
    <w:lvl w:ilvl="0" w:tplc="5FC0E4AC">
      <w:start w:val="1"/>
      <w:numFmt w:val="bullet"/>
      <w:lvlText w:val=""/>
      <w:lvlJc w:val="left"/>
      <w:pPr>
        <w:ind w:left="720" w:hanging="360"/>
      </w:pPr>
      <w:rPr>
        <w:rFonts w:ascii="Symbol" w:hAnsi="Symbol" w:hint="default"/>
      </w:rPr>
    </w:lvl>
    <w:lvl w:ilvl="1" w:tplc="2894FE00">
      <w:numFmt w:val="decimal"/>
      <w:lvlText w:val=""/>
      <w:lvlJc w:val="left"/>
    </w:lvl>
    <w:lvl w:ilvl="2" w:tplc="EAF8B554">
      <w:numFmt w:val="decimal"/>
      <w:lvlText w:val=""/>
      <w:lvlJc w:val="left"/>
    </w:lvl>
    <w:lvl w:ilvl="3" w:tplc="C896C964">
      <w:numFmt w:val="decimal"/>
      <w:lvlText w:val=""/>
      <w:lvlJc w:val="left"/>
    </w:lvl>
    <w:lvl w:ilvl="4" w:tplc="984C290A">
      <w:numFmt w:val="decimal"/>
      <w:lvlText w:val=""/>
      <w:lvlJc w:val="left"/>
    </w:lvl>
    <w:lvl w:ilvl="5" w:tplc="D6C02A04">
      <w:numFmt w:val="decimal"/>
      <w:lvlText w:val=""/>
      <w:lvlJc w:val="left"/>
    </w:lvl>
    <w:lvl w:ilvl="6" w:tplc="376C9B8A">
      <w:numFmt w:val="decimal"/>
      <w:lvlText w:val=""/>
      <w:lvlJc w:val="left"/>
    </w:lvl>
    <w:lvl w:ilvl="7" w:tplc="9D3A50E8">
      <w:numFmt w:val="decimal"/>
      <w:lvlText w:val=""/>
      <w:lvlJc w:val="left"/>
    </w:lvl>
    <w:lvl w:ilvl="8" w:tplc="390CEA66">
      <w:numFmt w:val="decimal"/>
      <w:lvlText w:val=""/>
      <w:lvlJc w:val="left"/>
    </w:lvl>
  </w:abstractNum>
  <w:abstractNum w:abstractNumId="104" w15:restartNumberingAfterBreak="0">
    <w:nsid w:val="0A84118F"/>
    <w:multiLevelType w:val="hybridMultilevel"/>
    <w:tmpl w:val="9968903E"/>
    <w:lvl w:ilvl="0" w:tplc="4880DDBA">
      <w:start w:val="1"/>
      <w:numFmt w:val="bullet"/>
      <w:lvlText w:val=""/>
      <w:lvlJc w:val="left"/>
      <w:pPr>
        <w:ind w:left="720" w:hanging="360"/>
      </w:pPr>
      <w:rPr>
        <w:rFonts w:ascii="Symbol" w:hAnsi="Symbol" w:hint="default"/>
      </w:rPr>
    </w:lvl>
    <w:lvl w:ilvl="1" w:tplc="C770B4DA">
      <w:numFmt w:val="decimal"/>
      <w:lvlText w:val=""/>
      <w:lvlJc w:val="left"/>
    </w:lvl>
    <w:lvl w:ilvl="2" w:tplc="C09CBA6C">
      <w:numFmt w:val="decimal"/>
      <w:lvlText w:val=""/>
      <w:lvlJc w:val="left"/>
    </w:lvl>
    <w:lvl w:ilvl="3" w:tplc="61AC584E">
      <w:numFmt w:val="decimal"/>
      <w:lvlText w:val=""/>
      <w:lvlJc w:val="left"/>
    </w:lvl>
    <w:lvl w:ilvl="4" w:tplc="4036CB12">
      <w:numFmt w:val="decimal"/>
      <w:lvlText w:val=""/>
      <w:lvlJc w:val="left"/>
    </w:lvl>
    <w:lvl w:ilvl="5" w:tplc="F65E11DC">
      <w:numFmt w:val="decimal"/>
      <w:lvlText w:val=""/>
      <w:lvlJc w:val="left"/>
    </w:lvl>
    <w:lvl w:ilvl="6" w:tplc="98907B88">
      <w:numFmt w:val="decimal"/>
      <w:lvlText w:val=""/>
      <w:lvlJc w:val="left"/>
    </w:lvl>
    <w:lvl w:ilvl="7" w:tplc="A456FBB8">
      <w:numFmt w:val="decimal"/>
      <w:lvlText w:val=""/>
      <w:lvlJc w:val="left"/>
    </w:lvl>
    <w:lvl w:ilvl="8" w:tplc="630ACAEE">
      <w:numFmt w:val="decimal"/>
      <w:lvlText w:val=""/>
      <w:lvlJc w:val="left"/>
    </w:lvl>
  </w:abstractNum>
  <w:abstractNum w:abstractNumId="105" w15:restartNumberingAfterBreak="0">
    <w:nsid w:val="0A964685"/>
    <w:multiLevelType w:val="hybridMultilevel"/>
    <w:tmpl w:val="58A2B930"/>
    <w:lvl w:ilvl="0" w:tplc="0CA67BD2">
      <w:start w:val="1"/>
      <w:numFmt w:val="bullet"/>
      <w:lvlText w:val=""/>
      <w:lvlJc w:val="left"/>
      <w:pPr>
        <w:ind w:left="720" w:hanging="360"/>
      </w:pPr>
      <w:rPr>
        <w:rFonts w:ascii="Symbol" w:hAnsi="Symbol" w:hint="default"/>
      </w:rPr>
    </w:lvl>
    <w:lvl w:ilvl="1" w:tplc="C65AF184">
      <w:numFmt w:val="decimal"/>
      <w:lvlText w:val=""/>
      <w:lvlJc w:val="left"/>
    </w:lvl>
    <w:lvl w:ilvl="2" w:tplc="1522345A">
      <w:numFmt w:val="decimal"/>
      <w:lvlText w:val=""/>
      <w:lvlJc w:val="left"/>
    </w:lvl>
    <w:lvl w:ilvl="3" w:tplc="AF7E1E4C">
      <w:numFmt w:val="decimal"/>
      <w:lvlText w:val=""/>
      <w:lvlJc w:val="left"/>
    </w:lvl>
    <w:lvl w:ilvl="4" w:tplc="BACA67EE">
      <w:numFmt w:val="decimal"/>
      <w:lvlText w:val=""/>
      <w:lvlJc w:val="left"/>
    </w:lvl>
    <w:lvl w:ilvl="5" w:tplc="967A759C">
      <w:numFmt w:val="decimal"/>
      <w:lvlText w:val=""/>
      <w:lvlJc w:val="left"/>
    </w:lvl>
    <w:lvl w:ilvl="6" w:tplc="8670E518">
      <w:numFmt w:val="decimal"/>
      <w:lvlText w:val=""/>
      <w:lvlJc w:val="left"/>
    </w:lvl>
    <w:lvl w:ilvl="7" w:tplc="72B4D558">
      <w:numFmt w:val="decimal"/>
      <w:lvlText w:val=""/>
      <w:lvlJc w:val="left"/>
    </w:lvl>
    <w:lvl w:ilvl="8" w:tplc="1DD49BFA">
      <w:numFmt w:val="decimal"/>
      <w:lvlText w:val=""/>
      <w:lvlJc w:val="left"/>
    </w:lvl>
  </w:abstractNum>
  <w:abstractNum w:abstractNumId="106" w15:restartNumberingAfterBreak="0">
    <w:nsid w:val="0AB27443"/>
    <w:multiLevelType w:val="hybridMultilevel"/>
    <w:tmpl w:val="EE0E11B0"/>
    <w:lvl w:ilvl="0" w:tplc="0366BA26">
      <w:start w:val="1"/>
      <w:numFmt w:val="bullet"/>
      <w:lvlText w:val=""/>
      <w:lvlJc w:val="left"/>
      <w:pPr>
        <w:ind w:left="720" w:hanging="360"/>
      </w:pPr>
      <w:rPr>
        <w:rFonts w:ascii="Symbol" w:hAnsi="Symbol" w:hint="default"/>
      </w:rPr>
    </w:lvl>
    <w:lvl w:ilvl="1" w:tplc="B7908D8E">
      <w:numFmt w:val="decimal"/>
      <w:lvlText w:val=""/>
      <w:lvlJc w:val="left"/>
    </w:lvl>
    <w:lvl w:ilvl="2" w:tplc="054EF13E">
      <w:numFmt w:val="decimal"/>
      <w:lvlText w:val=""/>
      <w:lvlJc w:val="left"/>
    </w:lvl>
    <w:lvl w:ilvl="3" w:tplc="5A14212E">
      <w:numFmt w:val="decimal"/>
      <w:lvlText w:val=""/>
      <w:lvlJc w:val="left"/>
    </w:lvl>
    <w:lvl w:ilvl="4" w:tplc="5FB86916">
      <w:numFmt w:val="decimal"/>
      <w:lvlText w:val=""/>
      <w:lvlJc w:val="left"/>
    </w:lvl>
    <w:lvl w:ilvl="5" w:tplc="08A06196">
      <w:numFmt w:val="decimal"/>
      <w:lvlText w:val=""/>
      <w:lvlJc w:val="left"/>
    </w:lvl>
    <w:lvl w:ilvl="6" w:tplc="280EF9D6">
      <w:numFmt w:val="decimal"/>
      <w:lvlText w:val=""/>
      <w:lvlJc w:val="left"/>
    </w:lvl>
    <w:lvl w:ilvl="7" w:tplc="101C8130">
      <w:numFmt w:val="decimal"/>
      <w:lvlText w:val=""/>
      <w:lvlJc w:val="left"/>
    </w:lvl>
    <w:lvl w:ilvl="8" w:tplc="8CA87AAE">
      <w:numFmt w:val="decimal"/>
      <w:lvlText w:val=""/>
      <w:lvlJc w:val="left"/>
    </w:lvl>
  </w:abstractNum>
  <w:abstractNum w:abstractNumId="107" w15:restartNumberingAfterBreak="0">
    <w:nsid w:val="0B394AE1"/>
    <w:multiLevelType w:val="hybridMultilevel"/>
    <w:tmpl w:val="B4EEB238"/>
    <w:lvl w:ilvl="0" w:tplc="94B43F38">
      <w:start w:val="1"/>
      <w:numFmt w:val="bullet"/>
      <w:lvlText w:val=""/>
      <w:lvlJc w:val="left"/>
      <w:pPr>
        <w:ind w:left="720" w:hanging="360"/>
      </w:pPr>
      <w:rPr>
        <w:rFonts w:ascii="Symbol" w:hAnsi="Symbol" w:hint="default"/>
      </w:rPr>
    </w:lvl>
    <w:lvl w:ilvl="1" w:tplc="AE1C0D2A">
      <w:numFmt w:val="decimal"/>
      <w:lvlText w:val=""/>
      <w:lvlJc w:val="left"/>
    </w:lvl>
    <w:lvl w:ilvl="2" w:tplc="62221D6E">
      <w:numFmt w:val="decimal"/>
      <w:lvlText w:val=""/>
      <w:lvlJc w:val="left"/>
    </w:lvl>
    <w:lvl w:ilvl="3" w:tplc="74E611E8">
      <w:numFmt w:val="decimal"/>
      <w:lvlText w:val=""/>
      <w:lvlJc w:val="left"/>
    </w:lvl>
    <w:lvl w:ilvl="4" w:tplc="60DA0CD4">
      <w:numFmt w:val="decimal"/>
      <w:lvlText w:val=""/>
      <w:lvlJc w:val="left"/>
    </w:lvl>
    <w:lvl w:ilvl="5" w:tplc="73481850">
      <w:numFmt w:val="decimal"/>
      <w:lvlText w:val=""/>
      <w:lvlJc w:val="left"/>
    </w:lvl>
    <w:lvl w:ilvl="6" w:tplc="FA9AA736">
      <w:numFmt w:val="decimal"/>
      <w:lvlText w:val=""/>
      <w:lvlJc w:val="left"/>
    </w:lvl>
    <w:lvl w:ilvl="7" w:tplc="5BB81010">
      <w:numFmt w:val="decimal"/>
      <w:lvlText w:val=""/>
      <w:lvlJc w:val="left"/>
    </w:lvl>
    <w:lvl w:ilvl="8" w:tplc="952A1452">
      <w:numFmt w:val="decimal"/>
      <w:lvlText w:val=""/>
      <w:lvlJc w:val="left"/>
    </w:lvl>
  </w:abstractNum>
  <w:abstractNum w:abstractNumId="108" w15:restartNumberingAfterBreak="0">
    <w:nsid w:val="0B3A57CD"/>
    <w:multiLevelType w:val="hybridMultilevel"/>
    <w:tmpl w:val="52CE0F80"/>
    <w:lvl w:ilvl="0" w:tplc="FB80E1B8">
      <w:start w:val="1"/>
      <w:numFmt w:val="bullet"/>
      <w:lvlText w:val=""/>
      <w:lvlJc w:val="left"/>
      <w:pPr>
        <w:ind w:left="720" w:hanging="360"/>
      </w:pPr>
      <w:rPr>
        <w:rFonts w:ascii="Symbol" w:hAnsi="Symbol" w:hint="default"/>
      </w:rPr>
    </w:lvl>
    <w:lvl w:ilvl="1" w:tplc="FB78D32A">
      <w:numFmt w:val="decimal"/>
      <w:lvlText w:val=""/>
      <w:lvlJc w:val="left"/>
    </w:lvl>
    <w:lvl w:ilvl="2" w:tplc="7FDA5992">
      <w:numFmt w:val="decimal"/>
      <w:lvlText w:val=""/>
      <w:lvlJc w:val="left"/>
    </w:lvl>
    <w:lvl w:ilvl="3" w:tplc="94424560">
      <w:numFmt w:val="decimal"/>
      <w:lvlText w:val=""/>
      <w:lvlJc w:val="left"/>
    </w:lvl>
    <w:lvl w:ilvl="4" w:tplc="C13A7F46">
      <w:numFmt w:val="decimal"/>
      <w:lvlText w:val=""/>
      <w:lvlJc w:val="left"/>
    </w:lvl>
    <w:lvl w:ilvl="5" w:tplc="25AA5684">
      <w:numFmt w:val="decimal"/>
      <w:lvlText w:val=""/>
      <w:lvlJc w:val="left"/>
    </w:lvl>
    <w:lvl w:ilvl="6" w:tplc="9FB8F446">
      <w:numFmt w:val="decimal"/>
      <w:lvlText w:val=""/>
      <w:lvlJc w:val="left"/>
    </w:lvl>
    <w:lvl w:ilvl="7" w:tplc="A3C2BF5E">
      <w:numFmt w:val="decimal"/>
      <w:lvlText w:val=""/>
      <w:lvlJc w:val="left"/>
    </w:lvl>
    <w:lvl w:ilvl="8" w:tplc="2D348278">
      <w:numFmt w:val="decimal"/>
      <w:lvlText w:val=""/>
      <w:lvlJc w:val="left"/>
    </w:lvl>
  </w:abstractNum>
  <w:abstractNum w:abstractNumId="109" w15:restartNumberingAfterBreak="0">
    <w:nsid w:val="0BCC32D3"/>
    <w:multiLevelType w:val="hybridMultilevel"/>
    <w:tmpl w:val="306CF80A"/>
    <w:lvl w:ilvl="0" w:tplc="3774D57A">
      <w:start w:val="1"/>
      <w:numFmt w:val="bullet"/>
      <w:lvlText w:val=""/>
      <w:lvlJc w:val="left"/>
      <w:pPr>
        <w:ind w:left="720" w:hanging="360"/>
      </w:pPr>
      <w:rPr>
        <w:rFonts w:ascii="Symbol" w:hAnsi="Symbol" w:hint="default"/>
      </w:rPr>
    </w:lvl>
    <w:lvl w:ilvl="1" w:tplc="32427E76">
      <w:numFmt w:val="decimal"/>
      <w:lvlText w:val=""/>
      <w:lvlJc w:val="left"/>
    </w:lvl>
    <w:lvl w:ilvl="2" w:tplc="06BA8B74">
      <w:numFmt w:val="decimal"/>
      <w:lvlText w:val=""/>
      <w:lvlJc w:val="left"/>
    </w:lvl>
    <w:lvl w:ilvl="3" w:tplc="420E7F40">
      <w:numFmt w:val="decimal"/>
      <w:lvlText w:val=""/>
      <w:lvlJc w:val="left"/>
    </w:lvl>
    <w:lvl w:ilvl="4" w:tplc="423A381E">
      <w:numFmt w:val="decimal"/>
      <w:lvlText w:val=""/>
      <w:lvlJc w:val="left"/>
    </w:lvl>
    <w:lvl w:ilvl="5" w:tplc="61767732">
      <w:numFmt w:val="decimal"/>
      <w:lvlText w:val=""/>
      <w:lvlJc w:val="left"/>
    </w:lvl>
    <w:lvl w:ilvl="6" w:tplc="1C2AD168">
      <w:numFmt w:val="decimal"/>
      <w:lvlText w:val=""/>
      <w:lvlJc w:val="left"/>
    </w:lvl>
    <w:lvl w:ilvl="7" w:tplc="FC86649C">
      <w:numFmt w:val="decimal"/>
      <w:lvlText w:val=""/>
      <w:lvlJc w:val="left"/>
    </w:lvl>
    <w:lvl w:ilvl="8" w:tplc="2E469988">
      <w:numFmt w:val="decimal"/>
      <w:lvlText w:val=""/>
      <w:lvlJc w:val="left"/>
    </w:lvl>
  </w:abstractNum>
  <w:abstractNum w:abstractNumId="110" w15:restartNumberingAfterBreak="0">
    <w:nsid w:val="0C0257D3"/>
    <w:multiLevelType w:val="hybridMultilevel"/>
    <w:tmpl w:val="25FCA45E"/>
    <w:lvl w:ilvl="0" w:tplc="2A847C90">
      <w:start w:val="1"/>
      <w:numFmt w:val="bullet"/>
      <w:lvlText w:val=""/>
      <w:lvlJc w:val="left"/>
      <w:pPr>
        <w:ind w:left="720" w:hanging="360"/>
      </w:pPr>
      <w:rPr>
        <w:rFonts w:ascii="Symbol" w:hAnsi="Symbol" w:hint="default"/>
      </w:rPr>
    </w:lvl>
    <w:lvl w:ilvl="1" w:tplc="2822E516">
      <w:numFmt w:val="decimal"/>
      <w:lvlText w:val=""/>
      <w:lvlJc w:val="left"/>
    </w:lvl>
    <w:lvl w:ilvl="2" w:tplc="12CED260">
      <w:numFmt w:val="decimal"/>
      <w:lvlText w:val=""/>
      <w:lvlJc w:val="left"/>
    </w:lvl>
    <w:lvl w:ilvl="3" w:tplc="28FEFB38">
      <w:numFmt w:val="decimal"/>
      <w:lvlText w:val=""/>
      <w:lvlJc w:val="left"/>
    </w:lvl>
    <w:lvl w:ilvl="4" w:tplc="31B413D8">
      <w:numFmt w:val="decimal"/>
      <w:lvlText w:val=""/>
      <w:lvlJc w:val="left"/>
    </w:lvl>
    <w:lvl w:ilvl="5" w:tplc="A6266828">
      <w:numFmt w:val="decimal"/>
      <w:lvlText w:val=""/>
      <w:lvlJc w:val="left"/>
    </w:lvl>
    <w:lvl w:ilvl="6" w:tplc="1DD86B58">
      <w:numFmt w:val="decimal"/>
      <w:lvlText w:val=""/>
      <w:lvlJc w:val="left"/>
    </w:lvl>
    <w:lvl w:ilvl="7" w:tplc="9440E1C4">
      <w:numFmt w:val="decimal"/>
      <w:lvlText w:val=""/>
      <w:lvlJc w:val="left"/>
    </w:lvl>
    <w:lvl w:ilvl="8" w:tplc="9C6ED316">
      <w:numFmt w:val="decimal"/>
      <w:lvlText w:val=""/>
      <w:lvlJc w:val="left"/>
    </w:lvl>
  </w:abstractNum>
  <w:abstractNum w:abstractNumId="111" w15:restartNumberingAfterBreak="0">
    <w:nsid w:val="0C0978D9"/>
    <w:multiLevelType w:val="hybridMultilevel"/>
    <w:tmpl w:val="C7C4448E"/>
    <w:lvl w:ilvl="0" w:tplc="6AF82396">
      <w:start w:val="1"/>
      <w:numFmt w:val="bullet"/>
      <w:lvlText w:val=""/>
      <w:lvlJc w:val="left"/>
      <w:pPr>
        <w:ind w:left="720" w:hanging="360"/>
      </w:pPr>
      <w:rPr>
        <w:rFonts w:ascii="Symbol" w:hAnsi="Symbol" w:hint="default"/>
      </w:rPr>
    </w:lvl>
    <w:lvl w:ilvl="1" w:tplc="7C3ECB56">
      <w:numFmt w:val="decimal"/>
      <w:lvlText w:val=""/>
      <w:lvlJc w:val="left"/>
    </w:lvl>
    <w:lvl w:ilvl="2" w:tplc="39E20ABC">
      <w:numFmt w:val="decimal"/>
      <w:lvlText w:val=""/>
      <w:lvlJc w:val="left"/>
    </w:lvl>
    <w:lvl w:ilvl="3" w:tplc="3B08FD38">
      <w:numFmt w:val="decimal"/>
      <w:lvlText w:val=""/>
      <w:lvlJc w:val="left"/>
    </w:lvl>
    <w:lvl w:ilvl="4" w:tplc="E4866C84">
      <w:numFmt w:val="decimal"/>
      <w:lvlText w:val=""/>
      <w:lvlJc w:val="left"/>
    </w:lvl>
    <w:lvl w:ilvl="5" w:tplc="754664AC">
      <w:numFmt w:val="decimal"/>
      <w:lvlText w:val=""/>
      <w:lvlJc w:val="left"/>
    </w:lvl>
    <w:lvl w:ilvl="6" w:tplc="9C2CE9A6">
      <w:numFmt w:val="decimal"/>
      <w:lvlText w:val=""/>
      <w:lvlJc w:val="left"/>
    </w:lvl>
    <w:lvl w:ilvl="7" w:tplc="22DA83FE">
      <w:numFmt w:val="decimal"/>
      <w:lvlText w:val=""/>
      <w:lvlJc w:val="left"/>
    </w:lvl>
    <w:lvl w:ilvl="8" w:tplc="2FC051DA">
      <w:numFmt w:val="decimal"/>
      <w:lvlText w:val=""/>
      <w:lvlJc w:val="left"/>
    </w:lvl>
  </w:abstractNum>
  <w:abstractNum w:abstractNumId="112" w15:restartNumberingAfterBreak="0">
    <w:nsid w:val="0C194B0B"/>
    <w:multiLevelType w:val="hybridMultilevel"/>
    <w:tmpl w:val="37DAF792"/>
    <w:lvl w:ilvl="0" w:tplc="410CD2BA">
      <w:start w:val="1"/>
      <w:numFmt w:val="bullet"/>
      <w:lvlText w:val=""/>
      <w:lvlJc w:val="left"/>
      <w:pPr>
        <w:ind w:left="720" w:hanging="360"/>
      </w:pPr>
      <w:rPr>
        <w:rFonts w:ascii="Symbol" w:hAnsi="Symbol" w:hint="default"/>
      </w:rPr>
    </w:lvl>
    <w:lvl w:ilvl="1" w:tplc="A150E266">
      <w:numFmt w:val="decimal"/>
      <w:lvlText w:val=""/>
      <w:lvlJc w:val="left"/>
    </w:lvl>
    <w:lvl w:ilvl="2" w:tplc="22DE03F0">
      <w:numFmt w:val="decimal"/>
      <w:lvlText w:val=""/>
      <w:lvlJc w:val="left"/>
    </w:lvl>
    <w:lvl w:ilvl="3" w:tplc="5BD45C52">
      <w:numFmt w:val="decimal"/>
      <w:lvlText w:val=""/>
      <w:lvlJc w:val="left"/>
    </w:lvl>
    <w:lvl w:ilvl="4" w:tplc="35E63106">
      <w:numFmt w:val="decimal"/>
      <w:lvlText w:val=""/>
      <w:lvlJc w:val="left"/>
    </w:lvl>
    <w:lvl w:ilvl="5" w:tplc="2410DCD0">
      <w:numFmt w:val="decimal"/>
      <w:lvlText w:val=""/>
      <w:lvlJc w:val="left"/>
    </w:lvl>
    <w:lvl w:ilvl="6" w:tplc="979E0D74">
      <w:numFmt w:val="decimal"/>
      <w:lvlText w:val=""/>
      <w:lvlJc w:val="left"/>
    </w:lvl>
    <w:lvl w:ilvl="7" w:tplc="56428570">
      <w:numFmt w:val="decimal"/>
      <w:lvlText w:val=""/>
      <w:lvlJc w:val="left"/>
    </w:lvl>
    <w:lvl w:ilvl="8" w:tplc="A65A6382">
      <w:numFmt w:val="decimal"/>
      <w:lvlText w:val=""/>
      <w:lvlJc w:val="left"/>
    </w:lvl>
  </w:abstractNum>
  <w:abstractNum w:abstractNumId="113" w15:restartNumberingAfterBreak="0">
    <w:nsid w:val="0C344606"/>
    <w:multiLevelType w:val="hybridMultilevel"/>
    <w:tmpl w:val="1ACEB436"/>
    <w:lvl w:ilvl="0" w:tplc="2EE2E938">
      <w:start w:val="1"/>
      <w:numFmt w:val="bullet"/>
      <w:lvlText w:val=""/>
      <w:lvlJc w:val="left"/>
      <w:pPr>
        <w:ind w:left="720" w:hanging="360"/>
      </w:pPr>
      <w:rPr>
        <w:rFonts w:ascii="Symbol" w:hAnsi="Symbol" w:hint="default"/>
      </w:rPr>
    </w:lvl>
    <w:lvl w:ilvl="1" w:tplc="954C05E8">
      <w:numFmt w:val="decimal"/>
      <w:lvlText w:val=""/>
      <w:lvlJc w:val="left"/>
    </w:lvl>
    <w:lvl w:ilvl="2" w:tplc="D1D808C8">
      <w:numFmt w:val="decimal"/>
      <w:lvlText w:val=""/>
      <w:lvlJc w:val="left"/>
    </w:lvl>
    <w:lvl w:ilvl="3" w:tplc="53FA35B4">
      <w:numFmt w:val="decimal"/>
      <w:lvlText w:val=""/>
      <w:lvlJc w:val="left"/>
    </w:lvl>
    <w:lvl w:ilvl="4" w:tplc="97EA5EFE">
      <w:numFmt w:val="decimal"/>
      <w:lvlText w:val=""/>
      <w:lvlJc w:val="left"/>
    </w:lvl>
    <w:lvl w:ilvl="5" w:tplc="9C0040D8">
      <w:numFmt w:val="decimal"/>
      <w:lvlText w:val=""/>
      <w:lvlJc w:val="left"/>
    </w:lvl>
    <w:lvl w:ilvl="6" w:tplc="ECAABC74">
      <w:numFmt w:val="decimal"/>
      <w:lvlText w:val=""/>
      <w:lvlJc w:val="left"/>
    </w:lvl>
    <w:lvl w:ilvl="7" w:tplc="371EC3A0">
      <w:numFmt w:val="decimal"/>
      <w:lvlText w:val=""/>
      <w:lvlJc w:val="left"/>
    </w:lvl>
    <w:lvl w:ilvl="8" w:tplc="4598655C">
      <w:numFmt w:val="decimal"/>
      <w:lvlText w:val=""/>
      <w:lvlJc w:val="left"/>
    </w:lvl>
  </w:abstractNum>
  <w:abstractNum w:abstractNumId="114" w15:restartNumberingAfterBreak="0">
    <w:nsid w:val="0C361B7E"/>
    <w:multiLevelType w:val="hybridMultilevel"/>
    <w:tmpl w:val="DFE03772"/>
    <w:lvl w:ilvl="0" w:tplc="603405A8">
      <w:start w:val="1"/>
      <w:numFmt w:val="bullet"/>
      <w:lvlText w:val=""/>
      <w:lvlJc w:val="left"/>
      <w:pPr>
        <w:ind w:left="720" w:hanging="360"/>
      </w:pPr>
      <w:rPr>
        <w:rFonts w:ascii="Symbol" w:hAnsi="Symbol" w:hint="default"/>
      </w:rPr>
    </w:lvl>
    <w:lvl w:ilvl="1" w:tplc="44AA7890">
      <w:numFmt w:val="decimal"/>
      <w:lvlText w:val=""/>
      <w:lvlJc w:val="left"/>
    </w:lvl>
    <w:lvl w:ilvl="2" w:tplc="BDC60874">
      <w:numFmt w:val="decimal"/>
      <w:lvlText w:val=""/>
      <w:lvlJc w:val="left"/>
    </w:lvl>
    <w:lvl w:ilvl="3" w:tplc="B05AFB26">
      <w:numFmt w:val="decimal"/>
      <w:lvlText w:val=""/>
      <w:lvlJc w:val="left"/>
    </w:lvl>
    <w:lvl w:ilvl="4" w:tplc="7C42506A">
      <w:numFmt w:val="decimal"/>
      <w:lvlText w:val=""/>
      <w:lvlJc w:val="left"/>
    </w:lvl>
    <w:lvl w:ilvl="5" w:tplc="4B0A281C">
      <w:numFmt w:val="decimal"/>
      <w:lvlText w:val=""/>
      <w:lvlJc w:val="left"/>
    </w:lvl>
    <w:lvl w:ilvl="6" w:tplc="1FE6FBE0">
      <w:numFmt w:val="decimal"/>
      <w:lvlText w:val=""/>
      <w:lvlJc w:val="left"/>
    </w:lvl>
    <w:lvl w:ilvl="7" w:tplc="48682CB0">
      <w:numFmt w:val="decimal"/>
      <w:lvlText w:val=""/>
      <w:lvlJc w:val="left"/>
    </w:lvl>
    <w:lvl w:ilvl="8" w:tplc="DABCF57A">
      <w:numFmt w:val="decimal"/>
      <w:lvlText w:val=""/>
      <w:lvlJc w:val="left"/>
    </w:lvl>
  </w:abstractNum>
  <w:abstractNum w:abstractNumId="115" w15:restartNumberingAfterBreak="0">
    <w:nsid w:val="0C4B3C3B"/>
    <w:multiLevelType w:val="hybridMultilevel"/>
    <w:tmpl w:val="AFC47C96"/>
    <w:lvl w:ilvl="0" w:tplc="E66C6720">
      <w:start w:val="1"/>
      <w:numFmt w:val="bullet"/>
      <w:lvlText w:val=""/>
      <w:lvlJc w:val="left"/>
      <w:pPr>
        <w:ind w:left="720" w:hanging="360"/>
      </w:pPr>
      <w:rPr>
        <w:rFonts w:ascii="Symbol" w:hAnsi="Symbol" w:hint="default"/>
      </w:rPr>
    </w:lvl>
    <w:lvl w:ilvl="1" w:tplc="BBAC5D94">
      <w:numFmt w:val="decimal"/>
      <w:lvlText w:val=""/>
      <w:lvlJc w:val="left"/>
    </w:lvl>
    <w:lvl w:ilvl="2" w:tplc="48EE5DA0">
      <w:numFmt w:val="decimal"/>
      <w:lvlText w:val=""/>
      <w:lvlJc w:val="left"/>
    </w:lvl>
    <w:lvl w:ilvl="3" w:tplc="534CFFF8">
      <w:numFmt w:val="decimal"/>
      <w:lvlText w:val=""/>
      <w:lvlJc w:val="left"/>
    </w:lvl>
    <w:lvl w:ilvl="4" w:tplc="5E78951A">
      <w:numFmt w:val="decimal"/>
      <w:lvlText w:val=""/>
      <w:lvlJc w:val="left"/>
    </w:lvl>
    <w:lvl w:ilvl="5" w:tplc="96F26B8C">
      <w:numFmt w:val="decimal"/>
      <w:lvlText w:val=""/>
      <w:lvlJc w:val="left"/>
    </w:lvl>
    <w:lvl w:ilvl="6" w:tplc="7B225838">
      <w:numFmt w:val="decimal"/>
      <w:lvlText w:val=""/>
      <w:lvlJc w:val="left"/>
    </w:lvl>
    <w:lvl w:ilvl="7" w:tplc="DE90BFF6">
      <w:numFmt w:val="decimal"/>
      <w:lvlText w:val=""/>
      <w:lvlJc w:val="left"/>
    </w:lvl>
    <w:lvl w:ilvl="8" w:tplc="B5D43720">
      <w:numFmt w:val="decimal"/>
      <w:lvlText w:val=""/>
      <w:lvlJc w:val="left"/>
    </w:lvl>
  </w:abstractNum>
  <w:abstractNum w:abstractNumId="116" w15:restartNumberingAfterBreak="0">
    <w:nsid w:val="0C4F57C9"/>
    <w:multiLevelType w:val="hybridMultilevel"/>
    <w:tmpl w:val="F012754A"/>
    <w:lvl w:ilvl="0" w:tplc="1C344218">
      <w:start w:val="1"/>
      <w:numFmt w:val="bullet"/>
      <w:lvlText w:val=""/>
      <w:lvlJc w:val="left"/>
      <w:pPr>
        <w:ind w:left="720" w:hanging="360"/>
      </w:pPr>
      <w:rPr>
        <w:rFonts w:ascii="Symbol" w:hAnsi="Symbol" w:hint="default"/>
      </w:rPr>
    </w:lvl>
    <w:lvl w:ilvl="1" w:tplc="137823D6">
      <w:numFmt w:val="decimal"/>
      <w:lvlText w:val=""/>
      <w:lvlJc w:val="left"/>
    </w:lvl>
    <w:lvl w:ilvl="2" w:tplc="369C7EBA">
      <w:numFmt w:val="decimal"/>
      <w:lvlText w:val=""/>
      <w:lvlJc w:val="left"/>
    </w:lvl>
    <w:lvl w:ilvl="3" w:tplc="18A26296">
      <w:numFmt w:val="decimal"/>
      <w:lvlText w:val=""/>
      <w:lvlJc w:val="left"/>
    </w:lvl>
    <w:lvl w:ilvl="4" w:tplc="68E2171C">
      <w:numFmt w:val="decimal"/>
      <w:lvlText w:val=""/>
      <w:lvlJc w:val="left"/>
    </w:lvl>
    <w:lvl w:ilvl="5" w:tplc="CB3C6A1C">
      <w:numFmt w:val="decimal"/>
      <w:lvlText w:val=""/>
      <w:lvlJc w:val="left"/>
    </w:lvl>
    <w:lvl w:ilvl="6" w:tplc="550C39A4">
      <w:numFmt w:val="decimal"/>
      <w:lvlText w:val=""/>
      <w:lvlJc w:val="left"/>
    </w:lvl>
    <w:lvl w:ilvl="7" w:tplc="A4BE8A42">
      <w:numFmt w:val="decimal"/>
      <w:lvlText w:val=""/>
      <w:lvlJc w:val="left"/>
    </w:lvl>
    <w:lvl w:ilvl="8" w:tplc="72D0F752">
      <w:numFmt w:val="decimal"/>
      <w:lvlText w:val=""/>
      <w:lvlJc w:val="left"/>
    </w:lvl>
  </w:abstractNum>
  <w:abstractNum w:abstractNumId="117" w15:restartNumberingAfterBreak="0">
    <w:nsid w:val="0C925BDF"/>
    <w:multiLevelType w:val="hybridMultilevel"/>
    <w:tmpl w:val="A668611E"/>
    <w:lvl w:ilvl="0" w:tplc="3544FC22">
      <w:numFmt w:val="decimal"/>
      <w:lvlText w:val=""/>
      <w:lvlJc w:val="left"/>
    </w:lvl>
    <w:lvl w:ilvl="1" w:tplc="58BC9436">
      <w:start w:val="1"/>
      <w:numFmt w:val="bullet"/>
      <w:lvlText w:val=""/>
      <w:lvlJc w:val="left"/>
      <w:pPr>
        <w:ind w:left="1440" w:hanging="360"/>
      </w:pPr>
      <w:rPr>
        <w:rFonts w:ascii="Symbol" w:hAnsi="Symbol" w:hint="default"/>
      </w:rPr>
    </w:lvl>
    <w:lvl w:ilvl="2" w:tplc="50F41608">
      <w:numFmt w:val="decimal"/>
      <w:lvlText w:val=""/>
      <w:lvlJc w:val="left"/>
    </w:lvl>
    <w:lvl w:ilvl="3" w:tplc="95A68614">
      <w:numFmt w:val="decimal"/>
      <w:lvlText w:val=""/>
      <w:lvlJc w:val="left"/>
    </w:lvl>
    <w:lvl w:ilvl="4" w:tplc="32148B0A">
      <w:numFmt w:val="decimal"/>
      <w:lvlText w:val=""/>
      <w:lvlJc w:val="left"/>
    </w:lvl>
    <w:lvl w:ilvl="5" w:tplc="9C7E2114">
      <w:numFmt w:val="decimal"/>
      <w:lvlText w:val=""/>
      <w:lvlJc w:val="left"/>
    </w:lvl>
    <w:lvl w:ilvl="6" w:tplc="54B05104">
      <w:numFmt w:val="decimal"/>
      <w:lvlText w:val=""/>
      <w:lvlJc w:val="left"/>
    </w:lvl>
    <w:lvl w:ilvl="7" w:tplc="728866BC">
      <w:numFmt w:val="decimal"/>
      <w:lvlText w:val=""/>
      <w:lvlJc w:val="left"/>
    </w:lvl>
    <w:lvl w:ilvl="8" w:tplc="AE766754">
      <w:numFmt w:val="decimal"/>
      <w:lvlText w:val=""/>
      <w:lvlJc w:val="left"/>
    </w:lvl>
  </w:abstractNum>
  <w:abstractNum w:abstractNumId="118" w15:restartNumberingAfterBreak="0">
    <w:nsid w:val="0CA82B4D"/>
    <w:multiLevelType w:val="hybridMultilevel"/>
    <w:tmpl w:val="AB58E922"/>
    <w:lvl w:ilvl="0" w:tplc="6B82EF62">
      <w:start w:val="1"/>
      <w:numFmt w:val="bullet"/>
      <w:lvlText w:val=""/>
      <w:lvlJc w:val="left"/>
      <w:pPr>
        <w:ind w:left="720" w:hanging="360"/>
      </w:pPr>
      <w:rPr>
        <w:rFonts w:ascii="Symbol" w:hAnsi="Symbol" w:hint="default"/>
      </w:rPr>
    </w:lvl>
    <w:lvl w:ilvl="1" w:tplc="0D749F96">
      <w:numFmt w:val="decimal"/>
      <w:lvlText w:val=""/>
      <w:lvlJc w:val="left"/>
    </w:lvl>
    <w:lvl w:ilvl="2" w:tplc="DD5EDE4E">
      <w:numFmt w:val="decimal"/>
      <w:lvlText w:val=""/>
      <w:lvlJc w:val="left"/>
    </w:lvl>
    <w:lvl w:ilvl="3" w:tplc="F386F296">
      <w:numFmt w:val="decimal"/>
      <w:lvlText w:val=""/>
      <w:lvlJc w:val="left"/>
    </w:lvl>
    <w:lvl w:ilvl="4" w:tplc="F4E6C68A">
      <w:numFmt w:val="decimal"/>
      <w:lvlText w:val=""/>
      <w:lvlJc w:val="left"/>
    </w:lvl>
    <w:lvl w:ilvl="5" w:tplc="41C4914A">
      <w:numFmt w:val="decimal"/>
      <w:lvlText w:val=""/>
      <w:lvlJc w:val="left"/>
    </w:lvl>
    <w:lvl w:ilvl="6" w:tplc="66AEC210">
      <w:numFmt w:val="decimal"/>
      <w:lvlText w:val=""/>
      <w:lvlJc w:val="left"/>
    </w:lvl>
    <w:lvl w:ilvl="7" w:tplc="8446E176">
      <w:numFmt w:val="decimal"/>
      <w:lvlText w:val=""/>
      <w:lvlJc w:val="left"/>
    </w:lvl>
    <w:lvl w:ilvl="8" w:tplc="20887B6E">
      <w:numFmt w:val="decimal"/>
      <w:lvlText w:val=""/>
      <w:lvlJc w:val="left"/>
    </w:lvl>
  </w:abstractNum>
  <w:abstractNum w:abstractNumId="119" w15:restartNumberingAfterBreak="0">
    <w:nsid w:val="0CA83933"/>
    <w:multiLevelType w:val="hybridMultilevel"/>
    <w:tmpl w:val="2962F5D6"/>
    <w:lvl w:ilvl="0" w:tplc="BAC25D62">
      <w:start w:val="1"/>
      <w:numFmt w:val="bullet"/>
      <w:lvlText w:val=""/>
      <w:lvlJc w:val="left"/>
      <w:pPr>
        <w:ind w:left="720" w:hanging="360"/>
      </w:pPr>
      <w:rPr>
        <w:rFonts w:ascii="Symbol" w:hAnsi="Symbol" w:hint="default"/>
      </w:rPr>
    </w:lvl>
    <w:lvl w:ilvl="1" w:tplc="F6441E0E">
      <w:numFmt w:val="decimal"/>
      <w:lvlText w:val=""/>
      <w:lvlJc w:val="left"/>
    </w:lvl>
    <w:lvl w:ilvl="2" w:tplc="6436F118">
      <w:numFmt w:val="decimal"/>
      <w:lvlText w:val=""/>
      <w:lvlJc w:val="left"/>
    </w:lvl>
    <w:lvl w:ilvl="3" w:tplc="E6C6F63E">
      <w:numFmt w:val="decimal"/>
      <w:lvlText w:val=""/>
      <w:lvlJc w:val="left"/>
    </w:lvl>
    <w:lvl w:ilvl="4" w:tplc="54DC04DE">
      <w:numFmt w:val="decimal"/>
      <w:lvlText w:val=""/>
      <w:lvlJc w:val="left"/>
    </w:lvl>
    <w:lvl w:ilvl="5" w:tplc="F18AC54A">
      <w:numFmt w:val="decimal"/>
      <w:lvlText w:val=""/>
      <w:lvlJc w:val="left"/>
    </w:lvl>
    <w:lvl w:ilvl="6" w:tplc="377CE91A">
      <w:numFmt w:val="decimal"/>
      <w:lvlText w:val=""/>
      <w:lvlJc w:val="left"/>
    </w:lvl>
    <w:lvl w:ilvl="7" w:tplc="4C7CB2D8">
      <w:numFmt w:val="decimal"/>
      <w:lvlText w:val=""/>
      <w:lvlJc w:val="left"/>
    </w:lvl>
    <w:lvl w:ilvl="8" w:tplc="BBC86114">
      <w:numFmt w:val="decimal"/>
      <w:lvlText w:val=""/>
      <w:lvlJc w:val="left"/>
    </w:lvl>
  </w:abstractNum>
  <w:abstractNum w:abstractNumId="120" w15:restartNumberingAfterBreak="0">
    <w:nsid w:val="0CB10E32"/>
    <w:multiLevelType w:val="hybridMultilevel"/>
    <w:tmpl w:val="67185A82"/>
    <w:lvl w:ilvl="0" w:tplc="A65A3D74">
      <w:start w:val="1"/>
      <w:numFmt w:val="bullet"/>
      <w:lvlText w:val=""/>
      <w:lvlJc w:val="left"/>
      <w:pPr>
        <w:ind w:left="720" w:hanging="360"/>
      </w:pPr>
      <w:rPr>
        <w:rFonts w:ascii="Symbol" w:hAnsi="Symbol" w:hint="default"/>
      </w:rPr>
    </w:lvl>
    <w:lvl w:ilvl="1" w:tplc="FF563632">
      <w:numFmt w:val="decimal"/>
      <w:lvlText w:val=""/>
      <w:lvlJc w:val="left"/>
    </w:lvl>
    <w:lvl w:ilvl="2" w:tplc="6834F0EE">
      <w:numFmt w:val="decimal"/>
      <w:lvlText w:val=""/>
      <w:lvlJc w:val="left"/>
    </w:lvl>
    <w:lvl w:ilvl="3" w:tplc="79A06562">
      <w:numFmt w:val="decimal"/>
      <w:lvlText w:val=""/>
      <w:lvlJc w:val="left"/>
    </w:lvl>
    <w:lvl w:ilvl="4" w:tplc="E2405D7A">
      <w:numFmt w:val="decimal"/>
      <w:lvlText w:val=""/>
      <w:lvlJc w:val="left"/>
    </w:lvl>
    <w:lvl w:ilvl="5" w:tplc="7D92ADD8">
      <w:numFmt w:val="decimal"/>
      <w:lvlText w:val=""/>
      <w:lvlJc w:val="left"/>
    </w:lvl>
    <w:lvl w:ilvl="6" w:tplc="DDA8170E">
      <w:numFmt w:val="decimal"/>
      <w:lvlText w:val=""/>
      <w:lvlJc w:val="left"/>
    </w:lvl>
    <w:lvl w:ilvl="7" w:tplc="EB9A0C64">
      <w:numFmt w:val="decimal"/>
      <w:lvlText w:val=""/>
      <w:lvlJc w:val="left"/>
    </w:lvl>
    <w:lvl w:ilvl="8" w:tplc="BDEEF5FC">
      <w:numFmt w:val="decimal"/>
      <w:lvlText w:val=""/>
      <w:lvlJc w:val="left"/>
    </w:lvl>
  </w:abstractNum>
  <w:abstractNum w:abstractNumId="121" w15:restartNumberingAfterBreak="0">
    <w:nsid w:val="0D4D77E8"/>
    <w:multiLevelType w:val="hybridMultilevel"/>
    <w:tmpl w:val="AB7E8CC6"/>
    <w:lvl w:ilvl="0" w:tplc="0DF8526E">
      <w:start w:val="1"/>
      <w:numFmt w:val="bullet"/>
      <w:lvlText w:val=""/>
      <w:lvlJc w:val="left"/>
      <w:pPr>
        <w:ind w:left="720" w:hanging="360"/>
      </w:pPr>
      <w:rPr>
        <w:rFonts w:ascii="Symbol" w:hAnsi="Symbol" w:hint="default"/>
      </w:rPr>
    </w:lvl>
    <w:lvl w:ilvl="1" w:tplc="BAAC0678">
      <w:numFmt w:val="decimal"/>
      <w:lvlText w:val=""/>
      <w:lvlJc w:val="left"/>
    </w:lvl>
    <w:lvl w:ilvl="2" w:tplc="7F7E9AB8">
      <w:numFmt w:val="decimal"/>
      <w:lvlText w:val=""/>
      <w:lvlJc w:val="left"/>
    </w:lvl>
    <w:lvl w:ilvl="3" w:tplc="0A060458">
      <w:numFmt w:val="decimal"/>
      <w:lvlText w:val=""/>
      <w:lvlJc w:val="left"/>
    </w:lvl>
    <w:lvl w:ilvl="4" w:tplc="EE2CCEE8">
      <w:numFmt w:val="decimal"/>
      <w:lvlText w:val=""/>
      <w:lvlJc w:val="left"/>
    </w:lvl>
    <w:lvl w:ilvl="5" w:tplc="1D6898BC">
      <w:numFmt w:val="decimal"/>
      <w:lvlText w:val=""/>
      <w:lvlJc w:val="left"/>
    </w:lvl>
    <w:lvl w:ilvl="6" w:tplc="FA2E64C8">
      <w:numFmt w:val="decimal"/>
      <w:lvlText w:val=""/>
      <w:lvlJc w:val="left"/>
    </w:lvl>
    <w:lvl w:ilvl="7" w:tplc="B956A4C4">
      <w:numFmt w:val="decimal"/>
      <w:lvlText w:val=""/>
      <w:lvlJc w:val="left"/>
    </w:lvl>
    <w:lvl w:ilvl="8" w:tplc="6BB2FDEA">
      <w:numFmt w:val="decimal"/>
      <w:lvlText w:val=""/>
      <w:lvlJc w:val="left"/>
    </w:lvl>
  </w:abstractNum>
  <w:abstractNum w:abstractNumId="122" w15:restartNumberingAfterBreak="0">
    <w:nsid w:val="0D510066"/>
    <w:multiLevelType w:val="hybridMultilevel"/>
    <w:tmpl w:val="DBC6BDB2"/>
    <w:lvl w:ilvl="0" w:tplc="081EBDFA">
      <w:start w:val="1"/>
      <w:numFmt w:val="bullet"/>
      <w:lvlText w:val=""/>
      <w:lvlJc w:val="left"/>
      <w:pPr>
        <w:ind w:left="720" w:hanging="360"/>
      </w:pPr>
      <w:rPr>
        <w:rFonts w:ascii="Symbol" w:hAnsi="Symbol" w:hint="default"/>
      </w:rPr>
    </w:lvl>
    <w:lvl w:ilvl="1" w:tplc="C56C6D80">
      <w:numFmt w:val="decimal"/>
      <w:lvlText w:val=""/>
      <w:lvlJc w:val="left"/>
    </w:lvl>
    <w:lvl w:ilvl="2" w:tplc="26086E60">
      <w:numFmt w:val="decimal"/>
      <w:lvlText w:val=""/>
      <w:lvlJc w:val="left"/>
    </w:lvl>
    <w:lvl w:ilvl="3" w:tplc="E2B6E10A">
      <w:numFmt w:val="decimal"/>
      <w:lvlText w:val=""/>
      <w:lvlJc w:val="left"/>
    </w:lvl>
    <w:lvl w:ilvl="4" w:tplc="CFB29F16">
      <w:numFmt w:val="decimal"/>
      <w:lvlText w:val=""/>
      <w:lvlJc w:val="left"/>
    </w:lvl>
    <w:lvl w:ilvl="5" w:tplc="8A94BDDE">
      <w:numFmt w:val="decimal"/>
      <w:lvlText w:val=""/>
      <w:lvlJc w:val="left"/>
    </w:lvl>
    <w:lvl w:ilvl="6" w:tplc="94F4F4BE">
      <w:numFmt w:val="decimal"/>
      <w:lvlText w:val=""/>
      <w:lvlJc w:val="left"/>
    </w:lvl>
    <w:lvl w:ilvl="7" w:tplc="C0EA4772">
      <w:numFmt w:val="decimal"/>
      <w:lvlText w:val=""/>
      <w:lvlJc w:val="left"/>
    </w:lvl>
    <w:lvl w:ilvl="8" w:tplc="33967BAC">
      <w:numFmt w:val="decimal"/>
      <w:lvlText w:val=""/>
      <w:lvlJc w:val="left"/>
    </w:lvl>
  </w:abstractNum>
  <w:abstractNum w:abstractNumId="123" w15:restartNumberingAfterBreak="0">
    <w:nsid w:val="0D616732"/>
    <w:multiLevelType w:val="hybridMultilevel"/>
    <w:tmpl w:val="66625D32"/>
    <w:lvl w:ilvl="0" w:tplc="CD6E99E4">
      <w:start w:val="1"/>
      <w:numFmt w:val="bullet"/>
      <w:lvlText w:val=""/>
      <w:lvlJc w:val="left"/>
      <w:pPr>
        <w:ind w:left="720" w:hanging="360"/>
      </w:pPr>
      <w:rPr>
        <w:rFonts w:ascii="Symbol" w:hAnsi="Symbol" w:hint="default"/>
      </w:rPr>
    </w:lvl>
    <w:lvl w:ilvl="1" w:tplc="4700199E">
      <w:numFmt w:val="decimal"/>
      <w:lvlText w:val=""/>
      <w:lvlJc w:val="left"/>
    </w:lvl>
    <w:lvl w:ilvl="2" w:tplc="21621DC2">
      <w:numFmt w:val="decimal"/>
      <w:lvlText w:val=""/>
      <w:lvlJc w:val="left"/>
    </w:lvl>
    <w:lvl w:ilvl="3" w:tplc="2046A39C">
      <w:numFmt w:val="decimal"/>
      <w:lvlText w:val=""/>
      <w:lvlJc w:val="left"/>
    </w:lvl>
    <w:lvl w:ilvl="4" w:tplc="3FBEACBE">
      <w:numFmt w:val="decimal"/>
      <w:lvlText w:val=""/>
      <w:lvlJc w:val="left"/>
    </w:lvl>
    <w:lvl w:ilvl="5" w:tplc="A3847D0E">
      <w:numFmt w:val="decimal"/>
      <w:lvlText w:val=""/>
      <w:lvlJc w:val="left"/>
    </w:lvl>
    <w:lvl w:ilvl="6" w:tplc="E0DE34E0">
      <w:numFmt w:val="decimal"/>
      <w:lvlText w:val=""/>
      <w:lvlJc w:val="left"/>
    </w:lvl>
    <w:lvl w:ilvl="7" w:tplc="07C0A9C8">
      <w:numFmt w:val="decimal"/>
      <w:lvlText w:val=""/>
      <w:lvlJc w:val="left"/>
    </w:lvl>
    <w:lvl w:ilvl="8" w:tplc="0E3A019C">
      <w:numFmt w:val="decimal"/>
      <w:lvlText w:val=""/>
      <w:lvlJc w:val="left"/>
    </w:lvl>
  </w:abstractNum>
  <w:abstractNum w:abstractNumId="124" w15:restartNumberingAfterBreak="0">
    <w:nsid w:val="0D9C3E84"/>
    <w:multiLevelType w:val="hybridMultilevel"/>
    <w:tmpl w:val="33081536"/>
    <w:lvl w:ilvl="0" w:tplc="3300F790">
      <w:start w:val="1"/>
      <w:numFmt w:val="bullet"/>
      <w:lvlText w:val=""/>
      <w:lvlJc w:val="left"/>
      <w:pPr>
        <w:ind w:left="720" w:hanging="360"/>
      </w:pPr>
      <w:rPr>
        <w:rFonts w:ascii="Symbol" w:hAnsi="Symbol" w:hint="default"/>
      </w:rPr>
    </w:lvl>
    <w:lvl w:ilvl="1" w:tplc="D9B0EEEA">
      <w:numFmt w:val="decimal"/>
      <w:lvlText w:val=""/>
      <w:lvlJc w:val="left"/>
    </w:lvl>
    <w:lvl w:ilvl="2" w:tplc="105A9156">
      <w:numFmt w:val="decimal"/>
      <w:lvlText w:val=""/>
      <w:lvlJc w:val="left"/>
    </w:lvl>
    <w:lvl w:ilvl="3" w:tplc="3DB4ACEA">
      <w:numFmt w:val="decimal"/>
      <w:lvlText w:val=""/>
      <w:lvlJc w:val="left"/>
    </w:lvl>
    <w:lvl w:ilvl="4" w:tplc="02F6D2EA">
      <w:numFmt w:val="decimal"/>
      <w:lvlText w:val=""/>
      <w:lvlJc w:val="left"/>
    </w:lvl>
    <w:lvl w:ilvl="5" w:tplc="0872661C">
      <w:numFmt w:val="decimal"/>
      <w:lvlText w:val=""/>
      <w:lvlJc w:val="left"/>
    </w:lvl>
    <w:lvl w:ilvl="6" w:tplc="DB3AD002">
      <w:numFmt w:val="decimal"/>
      <w:lvlText w:val=""/>
      <w:lvlJc w:val="left"/>
    </w:lvl>
    <w:lvl w:ilvl="7" w:tplc="9B6889CC">
      <w:numFmt w:val="decimal"/>
      <w:lvlText w:val=""/>
      <w:lvlJc w:val="left"/>
    </w:lvl>
    <w:lvl w:ilvl="8" w:tplc="EE74623A">
      <w:numFmt w:val="decimal"/>
      <w:lvlText w:val=""/>
      <w:lvlJc w:val="left"/>
    </w:lvl>
  </w:abstractNum>
  <w:abstractNum w:abstractNumId="125" w15:restartNumberingAfterBreak="0">
    <w:nsid w:val="0DEF3C56"/>
    <w:multiLevelType w:val="hybridMultilevel"/>
    <w:tmpl w:val="BD5CF4AC"/>
    <w:lvl w:ilvl="0" w:tplc="217C066E">
      <w:start w:val="1"/>
      <w:numFmt w:val="bullet"/>
      <w:lvlText w:val=""/>
      <w:lvlJc w:val="left"/>
      <w:pPr>
        <w:ind w:left="720" w:hanging="360"/>
      </w:pPr>
      <w:rPr>
        <w:rFonts w:ascii="Symbol" w:hAnsi="Symbol" w:hint="default"/>
      </w:rPr>
    </w:lvl>
    <w:lvl w:ilvl="1" w:tplc="079ADBD8">
      <w:numFmt w:val="decimal"/>
      <w:lvlText w:val=""/>
      <w:lvlJc w:val="left"/>
    </w:lvl>
    <w:lvl w:ilvl="2" w:tplc="AF64FA76">
      <w:numFmt w:val="decimal"/>
      <w:lvlText w:val=""/>
      <w:lvlJc w:val="left"/>
    </w:lvl>
    <w:lvl w:ilvl="3" w:tplc="4A728C90">
      <w:numFmt w:val="decimal"/>
      <w:lvlText w:val=""/>
      <w:lvlJc w:val="left"/>
    </w:lvl>
    <w:lvl w:ilvl="4" w:tplc="1876F072">
      <w:numFmt w:val="decimal"/>
      <w:lvlText w:val=""/>
      <w:lvlJc w:val="left"/>
    </w:lvl>
    <w:lvl w:ilvl="5" w:tplc="04186B84">
      <w:numFmt w:val="decimal"/>
      <w:lvlText w:val=""/>
      <w:lvlJc w:val="left"/>
    </w:lvl>
    <w:lvl w:ilvl="6" w:tplc="14765B5C">
      <w:numFmt w:val="decimal"/>
      <w:lvlText w:val=""/>
      <w:lvlJc w:val="left"/>
    </w:lvl>
    <w:lvl w:ilvl="7" w:tplc="2FECD24E">
      <w:numFmt w:val="decimal"/>
      <w:lvlText w:val=""/>
      <w:lvlJc w:val="left"/>
    </w:lvl>
    <w:lvl w:ilvl="8" w:tplc="A3E4CDD6">
      <w:numFmt w:val="decimal"/>
      <w:lvlText w:val=""/>
      <w:lvlJc w:val="left"/>
    </w:lvl>
  </w:abstractNum>
  <w:abstractNum w:abstractNumId="126" w15:restartNumberingAfterBreak="0">
    <w:nsid w:val="0E015C03"/>
    <w:multiLevelType w:val="hybridMultilevel"/>
    <w:tmpl w:val="6F28EF5C"/>
    <w:lvl w:ilvl="0" w:tplc="41C47140">
      <w:start w:val="1"/>
      <w:numFmt w:val="bullet"/>
      <w:lvlText w:val=""/>
      <w:lvlJc w:val="left"/>
      <w:pPr>
        <w:ind w:left="720" w:hanging="360"/>
      </w:pPr>
      <w:rPr>
        <w:rFonts w:ascii="Symbol" w:hAnsi="Symbol" w:hint="default"/>
      </w:rPr>
    </w:lvl>
    <w:lvl w:ilvl="1" w:tplc="309E9304">
      <w:numFmt w:val="decimal"/>
      <w:lvlText w:val=""/>
      <w:lvlJc w:val="left"/>
    </w:lvl>
    <w:lvl w:ilvl="2" w:tplc="7932F7A6">
      <w:numFmt w:val="decimal"/>
      <w:lvlText w:val=""/>
      <w:lvlJc w:val="left"/>
    </w:lvl>
    <w:lvl w:ilvl="3" w:tplc="1CEE597E">
      <w:numFmt w:val="decimal"/>
      <w:lvlText w:val=""/>
      <w:lvlJc w:val="left"/>
    </w:lvl>
    <w:lvl w:ilvl="4" w:tplc="D174CFFC">
      <w:numFmt w:val="decimal"/>
      <w:lvlText w:val=""/>
      <w:lvlJc w:val="left"/>
    </w:lvl>
    <w:lvl w:ilvl="5" w:tplc="A6D4BD80">
      <w:numFmt w:val="decimal"/>
      <w:lvlText w:val=""/>
      <w:lvlJc w:val="left"/>
    </w:lvl>
    <w:lvl w:ilvl="6" w:tplc="5C8A84C6">
      <w:numFmt w:val="decimal"/>
      <w:lvlText w:val=""/>
      <w:lvlJc w:val="left"/>
    </w:lvl>
    <w:lvl w:ilvl="7" w:tplc="0400F798">
      <w:numFmt w:val="decimal"/>
      <w:lvlText w:val=""/>
      <w:lvlJc w:val="left"/>
    </w:lvl>
    <w:lvl w:ilvl="8" w:tplc="2A7C2B9E">
      <w:numFmt w:val="decimal"/>
      <w:lvlText w:val=""/>
      <w:lvlJc w:val="left"/>
    </w:lvl>
  </w:abstractNum>
  <w:abstractNum w:abstractNumId="127" w15:restartNumberingAfterBreak="0">
    <w:nsid w:val="0E0A5B12"/>
    <w:multiLevelType w:val="hybridMultilevel"/>
    <w:tmpl w:val="2020C9C2"/>
    <w:lvl w:ilvl="0" w:tplc="92647AF0">
      <w:start w:val="1"/>
      <w:numFmt w:val="bullet"/>
      <w:lvlText w:val=""/>
      <w:lvlJc w:val="left"/>
      <w:pPr>
        <w:ind w:left="720" w:hanging="360"/>
      </w:pPr>
      <w:rPr>
        <w:rFonts w:ascii="Symbol" w:hAnsi="Symbol" w:hint="default"/>
      </w:rPr>
    </w:lvl>
    <w:lvl w:ilvl="1" w:tplc="CD249484">
      <w:numFmt w:val="decimal"/>
      <w:lvlText w:val=""/>
      <w:lvlJc w:val="left"/>
    </w:lvl>
    <w:lvl w:ilvl="2" w:tplc="265C01CC">
      <w:numFmt w:val="decimal"/>
      <w:lvlText w:val=""/>
      <w:lvlJc w:val="left"/>
    </w:lvl>
    <w:lvl w:ilvl="3" w:tplc="390260B4">
      <w:numFmt w:val="decimal"/>
      <w:lvlText w:val=""/>
      <w:lvlJc w:val="left"/>
    </w:lvl>
    <w:lvl w:ilvl="4" w:tplc="41107CD0">
      <w:numFmt w:val="decimal"/>
      <w:lvlText w:val=""/>
      <w:lvlJc w:val="left"/>
    </w:lvl>
    <w:lvl w:ilvl="5" w:tplc="D3E467DA">
      <w:numFmt w:val="decimal"/>
      <w:lvlText w:val=""/>
      <w:lvlJc w:val="left"/>
    </w:lvl>
    <w:lvl w:ilvl="6" w:tplc="8558FEB8">
      <w:numFmt w:val="decimal"/>
      <w:lvlText w:val=""/>
      <w:lvlJc w:val="left"/>
    </w:lvl>
    <w:lvl w:ilvl="7" w:tplc="71625FAA">
      <w:numFmt w:val="decimal"/>
      <w:lvlText w:val=""/>
      <w:lvlJc w:val="left"/>
    </w:lvl>
    <w:lvl w:ilvl="8" w:tplc="75ACE938">
      <w:numFmt w:val="decimal"/>
      <w:lvlText w:val=""/>
      <w:lvlJc w:val="left"/>
    </w:lvl>
  </w:abstractNum>
  <w:abstractNum w:abstractNumId="128" w15:restartNumberingAfterBreak="0">
    <w:nsid w:val="0E754126"/>
    <w:multiLevelType w:val="hybridMultilevel"/>
    <w:tmpl w:val="081C916A"/>
    <w:lvl w:ilvl="0" w:tplc="272E7176">
      <w:start w:val="1"/>
      <w:numFmt w:val="bullet"/>
      <w:lvlText w:val=""/>
      <w:lvlJc w:val="left"/>
      <w:pPr>
        <w:ind w:left="720" w:hanging="360"/>
      </w:pPr>
      <w:rPr>
        <w:rFonts w:ascii="Symbol" w:hAnsi="Symbol" w:hint="default"/>
      </w:rPr>
    </w:lvl>
    <w:lvl w:ilvl="1" w:tplc="2F60C67C">
      <w:numFmt w:val="decimal"/>
      <w:lvlText w:val=""/>
      <w:lvlJc w:val="left"/>
    </w:lvl>
    <w:lvl w:ilvl="2" w:tplc="3176E050">
      <w:numFmt w:val="decimal"/>
      <w:lvlText w:val=""/>
      <w:lvlJc w:val="left"/>
    </w:lvl>
    <w:lvl w:ilvl="3" w:tplc="226CE872">
      <w:numFmt w:val="decimal"/>
      <w:lvlText w:val=""/>
      <w:lvlJc w:val="left"/>
    </w:lvl>
    <w:lvl w:ilvl="4" w:tplc="05969D2A">
      <w:numFmt w:val="decimal"/>
      <w:lvlText w:val=""/>
      <w:lvlJc w:val="left"/>
    </w:lvl>
    <w:lvl w:ilvl="5" w:tplc="CC60089E">
      <w:numFmt w:val="decimal"/>
      <w:lvlText w:val=""/>
      <w:lvlJc w:val="left"/>
    </w:lvl>
    <w:lvl w:ilvl="6" w:tplc="07C8C36A">
      <w:numFmt w:val="decimal"/>
      <w:lvlText w:val=""/>
      <w:lvlJc w:val="left"/>
    </w:lvl>
    <w:lvl w:ilvl="7" w:tplc="453436FA">
      <w:numFmt w:val="decimal"/>
      <w:lvlText w:val=""/>
      <w:lvlJc w:val="left"/>
    </w:lvl>
    <w:lvl w:ilvl="8" w:tplc="99A4A048">
      <w:numFmt w:val="decimal"/>
      <w:lvlText w:val=""/>
      <w:lvlJc w:val="left"/>
    </w:lvl>
  </w:abstractNum>
  <w:abstractNum w:abstractNumId="129" w15:restartNumberingAfterBreak="0">
    <w:nsid w:val="0EB7273E"/>
    <w:multiLevelType w:val="hybridMultilevel"/>
    <w:tmpl w:val="3FFAED82"/>
    <w:lvl w:ilvl="0" w:tplc="1584A69C">
      <w:numFmt w:val="decimal"/>
      <w:lvlText w:val=""/>
      <w:lvlJc w:val="left"/>
    </w:lvl>
    <w:lvl w:ilvl="1" w:tplc="551A26A0">
      <w:start w:val="1"/>
      <w:numFmt w:val="bullet"/>
      <w:lvlText w:val=""/>
      <w:lvlJc w:val="left"/>
      <w:pPr>
        <w:ind w:left="1440" w:hanging="360"/>
      </w:pPr>
      <w:rPr>
        <w:rFonts w:ascii="Symbol" w:hAnsi="Symbol" w:hint="default"/>
      </w:rPr>
    </w:lvl>
    <w:lvl w:ilvl="2" w:tplc="1F42A2CE">
      <w:numFmt w:val="decimal"/>
      <w:lvlText w:val=""/>
      <w:lvlJc w:val="left"/>
    </w:lvl>
    <w:lvl w:ilvl="3" w:tplc="5B30A9E6">
      <w:numFmt w:val="decimal"/>
      <w:lvlText w:val=""/>
      <w:lvlJc w:val="left"/>
    </w:lvl>
    <w:lvl w:ilvl="4" w:tplc="47B2D250">
      <w:numFmt w:val="decimal"/>
      <w:lvlText w:val=""/>
      <w:lvlJc w:val="left"/>
    </w:lvl>
    <w:lvl w:ilvl="5" w:tplc="E74AAC8A">
      <w:numFmt w:val="decimal"/>
      <w:lvlText w:val=""/>
      <w:lvlJc w:val="left"/>
    </w:lvl>
    <w:lvl w:ilvl="6" w:tplc="BBF09CDE">
      <w:numFmt w:val="decimal"/>
      <w:lvlText w:val=""/>
      <w:lvlJc w:val="left"/>
    </w:lvl>
    <w:lvl w:ilvl="7" w:tplc="5F5018B4">
      <w:numFmt w:val="decimal"/>
      <w:lvlText w:val=""/>
      <w:lvlJc w:val="left"/>
    </w:lvl>
    <w:lvl w:ilvl="8" w:tplc="1C6E09A4">
      <w:numFmt w:val="decimal"/>
      <w:lvlText w:val=""/>
      <w:lvlJc w:val="left"/>
    </w:lvl>
  </w:abstractNum>
  <w:abstractNum w:abstractNumId="130" w15:restartNumberingAfterBreak="0">
    <w:nsid w:val="0EBD140D"/>
    <w:multiLevelType w:val="hybridMultilevel"/>
    <w:tmpl w:val="E4CE56BE"/>
    <w:lvl w:ilvl="0" w:tplc="45A40B32">
      <w:start w:val="1"/>
      <w:numFmt w:val="bullet"/>
      <w:lvlText w:val=""/>
      <w:lvlJc w:val="left"/>
      <w:pPr>
        <w:ind w:left="720" w:hanging="360"/>
      </w:pPr>
      <w:rPr>
        <w:rFonts w:ascii="Symbol" w:hAnsi="Symbol" w:hint="default"/>
      </w:rPr>
    </w:lvl>
    <w:lvl w:ilvl="1" w:tplc="FF8E745C">
      <w:numFmt w:val="decimal"/>
      <w:lvlText w:val=""/>
      <w:lvlJc w:val="left"/>
    </w:lvl>
    <w:lvl w:ilvl="2" w:tplc="7AB2641A">
      <w:numFmt w:val="decimal"/>
      <w:lvlText w:val=""/>
      <w:lvlJc w:val="left"/>
    </w:lvl>
    <w:lvl w:ilvl="3" w:tplc="8DA21642">
      <w:numFmt w:val="decimal"/>
      <w:lvlText w:val=""/>
      <w:lvlJc w:val="left"/>
    </w:lvl>
    <w:lvl w:ilvl="4" w:tplc="5C3CCEB8">
      <w:numFmt w:val="decimal"/>
      <w:lvlText w:val=""/>
      <w:lvlJc w:val="left"/>
    </w:lvl>
    <w:lvl w:ilvl="5" w:tplc="E9D8B924">
      <w:numFmt w:val="decimal"/>
      <w:lvlText w:val=""/>
      <w:lvlJc w:val="left"/>
    </w:lvl>
    <w:lvl w:ilvl="6" w:tplc="39BC5784">
      <w:numFmt w:val="decimal"/>
      <w:lvlText w:val=""/>
      <w:lvlJc w:val="left"/>
    </w:lvl>
    <w:lvl w:ilvl="7" w:tplc="D26ABEF6">
      <w:numFmt w:val="decimal"/>
      <w:lvlText w:val=""/>
      <w:lvlJc w:val="left"/>
    </w:lvl>
    <w:lvl w:ilvl="8" w:tplc="8EAA87E4">
      <w:numFmt w:val="decimal"/>
      <w:lvlText w:val=""/>
      <w:lvlJc w:val="left"/>
    </w:lvl>
  </w:abstractNum>
  <w:abstractNum w:abstractNumId="131" w15:restartNumberingAfterBreak="0">
    <w:nsid w:val="0ECA1A91"/>
    <w:multiLevelType w:val="hybridMultilevel"/>
    <w:tmpl w:val="B65439C2"/>
    <w:lvl w:ilvl="0" w:tplc="2FD0A68A">
      <w:start w:val="1"/>
      <w:numFmt w:val="bullet"/>
      <w:lvlText w:val=""/>
      <w:lvlJc w:val="left"/>
      <w:pPr>
        <w:ind w:left="720" w:hanging="360"/>
      </w:pPr>
      <w:rPr>
        <w:rFonts w:ascii="Symbol" w:hAnsi="Symbol" w:hint="default"/>
      </w:rPr>
    </w:lvl>
    <w:lvl w:ilvl="1" w:tplc="A2B0E92A">
      <w:numFmt w:val="decimal"/>
      <w:lvlText w:val=""/>
      <w:lvlJc w:val="left"/>
    </w:lvl>
    <w:lvl w:ilvl="2" w:tplc="AF689478">
      <w:numFmt w:val="decimal"/>
      <w:lvlText w:val=""/>
      <w:lvlJc w:val="left"/>
    </w:lvl>
    <w:lvl w:ilvl="3" w:tplc="2580F702">
      <w:numFmt w:val="decimal"/>
      <w:lvlText w:val=""/>
      <w:lvlJc w:val="left"/>
    </w:lvl>
    <w:lvl w:ilvl="4" w:tplc="BA2CE33C">
      <w:numFmt w:val="decimal"/>
      <w:lvlText w:val=""/>
      <w:lvlJc w:val="left"/>
    </w:lvl>
    <w:lvl w:ilvl="5" w:tplc="2558032E">
      <w:numFmt w:val="decimal"/>
      <w:lvlText w:val=""/>
      <w:lvlJc w:val="left"/>
    </w:lvl>
    <w:lvl w:ilvl="6" w:tplc="692AEB40">
      <w:numFmt w:val="decimal"/>
      <w:lvlText w:val=""/>
      <w:lvlJc w:val="left"/>
    </w:lvl>
    <w:lvl w:ilvl="7" w:tplc="A0489144">
      <w:numFmt w:val="decimal"/>
      <w:lvlText w:val=""/>
      <w:lvlJc w:val="left"/>
    </w:lvl>
    <w:lvl w:ilvl="8" w:tplc="70EC69E0">
      <w:numFmt w:val="decimal"/>
      <w:lvlText w:val=""/>
      <w:lvlJc w:val="left"/>
    </w:lvl>
  </w:abstractNum>
  <w:abstractNum w:abstractNumId="132" w15:restartNumberingAfterBreak="0">
    <w:nsid w:val="0ED0787B"/>
    <w:multiLevelType w:val="hybridMultilevel"/>
    <w:tmpl w:val="9EEC545A"/>
    <w:lvl w:ilvl="0" w:tplc="895287FE">
      <w:start w:val="1"/>
      <w:numFmt w:val="bullet"/>
      <w:lvlText w:val=""/>
      <w:lvlJc w:val="left"/>
      <w:pPr>
        <w:ind w:left="720" w:hanging="360"/>
      </w:pPr>
      <w:rPr>
        <w:rFonts w:ascii="Symbol" w:hAnsi="Symbol" w:hint="default"/>
      </w:rPr>
    </w:lvl>
    <w:lvl w:ilvl="1" w:tplc="7AC8E8E6">
      <w:numFmt w:val="decimal"/>
      <w:lvlText w:val=""/>
      <w:lvlJc w:val="left"/>
    </w:lvl>
    <w:lvl w:ilvl="2" w:tplc="5EC059F0">
      <w:numFmt w:val="decimal"/>
      <w:lvlText w:val=""/>
      <w:lvlJc w:val="left"/>
    </w:lvl>
    <w:lvl w:ilvl="3" w:tplc="C6625318">
      <w:numFmt w:val="decimal"/>
      <w:lvlText w:val=""/>
      <w:lvlJc w:val="left"/>
    </w:lvl>
    <w:lvl w:ilvl="4" w:tplc="49F8297E">
      <w:numFmt w:val="decimal"/>
      <w:lvlText w:val=""/>
      <w:lvlJc w:val="left"/>
    </w:lvl>
    <w:lvl w:ilvl="5" w:tplc="1082A93A">
      <w:numFmt w:val="decimal"/>
      <w:lvlText w:val=""/>
      <w:lvlJc w:val="left"/>
    </w:lvl>
    <w:lvl w:ilvl="6" w:tplc="924AAD78">
      <w:numFmt w:val="decimal"/>
      <w:lvlText w:val=""/>
      <w:lvlJc w:val="left"/>
    </w:lvl>
    <w:lvl w:ilvl="7" w:tplc="696267E2">
      <w:numFmt w:val="decimal"/>
      <w:lvlText w:val=""/>
      <w:lvlJc w:val="left"/>
    </w:lvl>
    <w:lvl w:ilvl="8" w:tplc="AB94C952">
      <w:numFmt w:val="decimal"/>
      <w:lvlText w:val=""/>
      <w:lvlJc w:val="left"/>
    </w:lvl>
  </w:abstractNum>
  <w:abstractNum w:abstractNumId="133" w15:restartNumberingAfterBreak="0">
    <w:nsid w:val="0F224870"/>
    <w:multiLevelType w:val="hybridMultilevel"/>
    <w:tmpl w:val="51DAAA8A"/>
    <w:lvl w:ilvl="0" w:tplc="F4EC98F4">
      <w:start w:val="1"/>
      <w:numFmt w:val="bullet"/>
      <w:lvlText w:val=""/>
      <w:lvlJc w:val="left"/>
      <w:pPr>
        <w:ind w:left="720" w:hanging="360"/>
      </w:pPr>
      <w:rPr>
        <w:rFonts w:ascii="Symbol" w:hAnsi="Symbol" w:hint="default"/>
      </w:rPr>
    </w:lvl>
    <w:lvl w:ilvl="1" w:tplc="5176975C">
      <w:numFmt w:val="decimal"/>
      <w:lvlText w:val=""/>
      <w:lvlJc w:val="left"/>
    </w:lvl>
    <w:lvl w:ilvl="2" w:tplc="114257A8">
      <w:numFmt w:val="decimal"/>
      <w:lvlText w:val=""/>
      <w:lvlJc w:val="left"/>
    </w:lvl>
    <w:lvl w:ilvl="3" w:tplc="57A25DF2">
      <w:numFmt w:val="decimal"/>
      <w:lvlText w:val=""/>
      <w:lvlJc w:val="left"/>
    </w:lvl>
    <w:lvl w:ilvl="4" w:tplc="927C35AA">
      <w:numFmt w:val="decimal"/>
      <w:lvlText w:val=""/>
      <w:lvlJc w:val="left"/>
    </w:lvl>
    <w:lvl w:ilvl="5" w:tplc="0D0A8E04">
      <w:numFmt w:val="decimal"/>
      <w:lvlText w:val=""/>
      <w:lvlJc w:val="left"/>
    </w:lvl>
    <w:lvl w:ilvl="6" w:tplc="9EA00E92">
      <w:numFmt w:val="decimal"/>
      <w:lvlText w:val=""/>
      <w:lvlJc w:val="left"/>
    </w:lvl>
    <w:lvl w:ilvl="7" w:tplc="676E6588">
      <w:numFmt w:val="decimal"/>
      <w:lvlText w:val=""/>
      <w:lvlJc w:val="left"/>
    </w:lvl>
    <w:lvl w:ilvl="8" w:tplc="AEA6C7BA">
      <w:numFmt w:val="decimal"/>
      <w:lvlText w:val=""/>
      <w:lvlJc w:val="left"/>
    </w:lvl>
  </w:abstractNum>
  <w:abstractNum w:abstractNumId="134" w15:restartNumberingAfterBreak="0">
    <w:nsid w:val="0F4C171C"/>
    <w:multiLevelType w:val="hybridMultilevel"/>
    <w:tmpl w:val="77FC9CB0"/>
    <w:lvl w:ilvl="0" w:tplc="AC4A4708">
      <w:start w:val="1"/>
      <w:numFmt w:val="bullet"/>
      <w:lvlText w:val=""/>
      <w:lvlJc w:val="left"/>
      <w:pPr>
        <w:ind w:left="720" w:hanging="360"/>
      </w:pPr>
      <w:rPr>
        <w:rFonts w:ascii="Symbol" w:hAnsi="Symbol" w:hint="default"/>
      </w:rPr>
    </w:lvl>
    <w:lvl w:ilvl="1" w:tplc="5016E08C">
      <w:numFmt w:val="decimal"/>
      <w:lvlText w:val=""/>
      <w:lvlJc w:val="left"/>
    </w:lvl>
    <w:lvl w:ilvl="2" w:tplc="03B6C036">
      <w:numFmt w:val="decimal"/>
      <w:lvlText w:val=""/>
      <w:lvlJc w:val="left"/>
    </w:lvl>
    <w:lvl w:ilvl="3" w:tplc="4BA2F2A6">
      <w:numFmt w:val="decimal"/>
      <w:lvlText w:val=""/>
      <w:lvlJc w:val="left"/>
    </w:lvl>
    <w:lvl w:ilvl="4" w:tplc="53986B26">
      <w:numFmt w:val="decimal"/>
      <w:lvlText w:val=""/>
      <w:lvlJc w:val="left"/>
    </w:lvl>
    <w:lvl w:ilvl="5" w:tplc="F698B4CE">
      <w:numFmt w:val="decimal"/>
      <w:lvlText w:val=""/>
      <w:lvlJc w:val="left"/>
    </w:lvl>
    <w:lvl w:ilvl="6" w:tplc="D8C8FF7C">
      <w:numFmt w:val="decimal"/>
      <w:lvlText w:val=""/>
      <w:lvlJc w:val="left"/>
    </w:lvl>
    <w:lvl w:ilvl="7" w:tplc="FC8C3BFA">
      <w:numFmt w:val="decimal"/>
      <w:lvlText w:val=""/>
      <w:lvlJc w:val="left"/>
    </w:lvl>
    <w:lvl w:ilvl="8" w:tplc="454A808E">
      <w:numFmt w:val="decimal"/>
      <w:lvlText w:val=""/>
      <w:lvlJc w:val="left"/>
    </w:lvl>
  </w:abstractNum>
  <w:abstractNum w:abstractNumId="135" w15:restartNumberingAfterBreak="0">
    <w:nsid w:val="0F6C5ED4"/>
    <w:multiLevelType w:val="hybridMultilevel"/>
    <w:tmpl w:val="702E29F8"/>
    <w:lvl w:ilvl="0" w:tplc="92008DBE">
      <w:start w:val="1"/>
      <w:numFmt w:val="bullet"/>
      <w:lvlText w:val=""/>
      <w:lvlJc w:val="left"/>
      <w:pPr>
        <w:ind w:left="720" w:hanging="360"/>
      </w:pPr>
      <w:rPr>
        <w:rFonts w:ascii="Symbol" w:hAnsi="Symbol" w:hint="default"/>
      </w:rPr>
    </w:lvl>
    <w:lvl w:ilvl="1" w:tplc="3368778A">
      <w:numFmt w:val="decimal"/>
      <w:lvlText w:val=""/>
      <w:lvlJc w:val="left"/>
    </w:lvl>
    <w:lvl w:ilvl="2" w:tplc="7D00093C">
      <w:numFmt w:val="decimal"/>
      <w:lvlText w:val=""/>
      <w:lvlJc w:val="left"/>
    </w:lvl>
    <w:lvl w:ilvl="3" w:tplc="AEF2E998">
      <w:numFmt w:val="decimal"/>
      <w:lvlText w:val=""/>
      <w:lvlJc w:val="left"/>
    </w:lvl>
    <w:lvl w:ilvl="4" w:tplc="15EE8F1C">
      <w:numFmt w:val="decimal"/>
      <w:lvlText w:val=""/>
      <w:lvlJc w:val="left"/>
    </w:lvl>
    <w:lvl w:ilvl="5" w:tplc="C7020C3A">
      <w:numFmt w:val="decimal"/>
      <w:lvlText w:val=""/>
      <w:lvlJc w:val="left"/>
    </w:lvl>
    <w:lvl w:ilvl="6" w:tplc="850C9526">
      <w:numFmt w:val="decimal"/>
      <w:lvlText w:val=""/>
      <w:lvlJc w:val="left"/>
    </w:lvl>
    <w:lvl w:ilvl="7" w:tplc="75A830AE">
      <w:numFmt w:val="decimal"/>
      <w:lvlText w:val=""/>
      <w:lvlJc w:val="left"/>
    </w:lvl>
    <w:lvl w:ilvl="8" w:tplc="EC041EDA">
      <w:numFmt w:val="decimal"/>
      <w:lvlText w:val=""/>
      <w:lvlJc w:val="left"/>
    </w:lvl>
  </w:abstractNum>
  <w:abstractNum w:abstractNumId="136" w15:restartNumberingAfterBreak="0">
    <w:nsid w:val="0F821D62"/>
    <w:multiLevelType w:val="hybridMultilevel"/>
    <w:tmpl w:val="C3A66292"/>
    <w:lvl w:ilvl="0" w:tplc="F956ED3C">
      <w:start w:val="1"/>
      <w:numFmt w:val="bullet"/>
      <w:lvlText w:val=""/>
      <w:lvlJc w:val="left"/>
      <w:pPr>
        <w:ind w:left="720" w:hanging="360"/>
      </w:pPr>
      <w:rPr>
        <w:rFonts w:ascii="Symbol" w:hAnsi="Symbol" w:hint="default"/>
      </w:rPr>
    </w:lvl>
    <w:lvl w:ilvl="1" w:tplc="A774ADA2">
      <w:numFmt w:val="decimal"/>
      <w:lvlText w:val=""/>
      <w:lvlJc w:val="left"/>
    </w:lvl>
    <w:lvl w:ilvl="2" w:tplc="C5CE0540">
      <w:numFmt w:val="decimal"/>
      <w:lvlText w:val=""/>
      <w:lvlJc w:val="left"/>
    </w:lvl>
    <w:lvl w:ilvl="3" w:tplc="D952D2F6">
      <w:numFmt w:val="decimal"/>
      <w:lvlText w:val=""/>
      <w:lvlJc w:val="left"/>
    </w:lvl>
    <w:lvl w:ilvl="4" w:tplc="B1049DF4">
      <w:numFmt w:val="decimal"/>
      <w:lvlText w:val=""/>
      <w:lvlJc w:val="left"/>
    </w:lvl>
    <w:lvl w:ilvl="5" w:tplc="3BC2E940">
      <w:numFmt w:val="decimal"/>
      <w:lvlText w:val=""/>
      <w:lvlJc w:val="left"/>
    </w:lvl>
    <w:lvl w:ilvl="6" w:tplc="C95A3690">
      <w:numFmt w:val="decimal"/>
      <w:lvlText w:val=""/>
      <w:lvlJc w:val="left"/>
    </w:lvl>
    <w:lvl w:ilvl="7" w:tplc="BB148482">
      <w:numFmt w:val="decimal"/>
      <w:lvlText w:val=""/>
      <w:lvlJc w:val="left"/>
    </w:lvl>
    <w:lvl w:ilvl="8" w:tplc="E4203D6E">
      <w:numFmt w:val="decimal"/>
      <w:lvlText w:val=""/>
      <w:lvlJc w:val="left"/>
    </w:lvl>
  </w:abstractNum>
  <w:abstractNum w:abstractNumId="137" w15:restartNumberingAfterBreak="0">
    <w:nsid w:val="0FB96F12"/>
    <w:multiLevelType w:val="hybridMultilevel"/>
    <w:tmpl w:val="88722018"/>
    <w:lvl w:ilvl="0" w:tplc="BCC205DC">
      <w:start w:val="1"/>
      <w:numFmt w:val="bullet"/>
      <w:lvlText w:val=""/>
      <w:lvlJc w:val="left"/>
      <w:pPr>
        <w:ind w:left="720" w:hanging="360"/>
      </w:pPr>
      <w:rPr>
        <w:rFonts w:ascii="Symbol" w:hAnsi="Symbol" w:hint="default"/>
      </w:rPr>
    </w:lvl>
    <w:lvl w:ilvl="1" w:tplc="31AC064C">
      <w:numFmt w:val="decimal"/>
      <w:lvlText w:val=""/>
      <w:lvlJc w:val="left"/>
    </w:lvl>
    <w:lvl w:ilvl="2" w:tplc="EDA43A1E">
      <w:numFmt w:val="decimal"/>
      <w:lvlText w:val=""/>
      <w:lvlJc w:val="left"/>
    </w:lvl>
    <w:lvl w:ilvl="3" w:tplc="2230CFE4">
      <w:numFmt w:val="decimal"/>
      <w:lvlText w:val=""/>
      <w:lvlJc w:val="left"/>
    </w:lvl>
    <w:lvl w:ilvl="4" w:tplc="DE8AF618">
      <w:numFmt w:val="decimal"/>
      <w:lvlText w:val=""/>
      <w:lvlJc w:val="left"/>
    </w:lvl>
    <w:lvl w:ilvl="5" w:tplc="876E2542">
      <w:numFmt w:val="decimal"/>
      <w:lvlText w:val=""/>
      <w:lvlJc w:val="left"/>
    </w:lvl>
    <w:lvl w:ilvl="6" w:tplc="988A7918">
      <w:numFmt w:val="decimal"/>
      <w:lvlText w:val=""/>
      <w:lvlJc w:val="left"/>
    </w:lvl>
    <w:lvl w:ilvl="7" w:tplc="FE0A650C">
      <w:numFmt w:val="decimal"/>
      <w:lvlText w:val=""/>
      <w:lvlJc w:val="left"/>
    </w:lvl>
    <w:lvl w:ilvl="8" w:tplc="004E0A50">
      <w:numFmt w:val="decimal"/>
      <w:lvlText w:val=""/>
      <w:lvlJc w:val="left"/>
    </w:lvl>
  </w:abstractNum>
  <w:abstractNum w:abstractNumId="138" w15:restartNumberingAfterBreak="0">
    <w:nsid w:val="0FBB37C8"/>
    <w:multiLevelType w:val="hybridMultilevel"/>
    <w:tmpl w:val="7EA03BA6"/>
    <w:lvl w:ilvl="0" w:tplc="B4B07526">
      <w:start w:val="1"/>
      <w:numFmt w:val="bullet"/>
      <w:lvlText w:val=""/>
      <w:lvlJc w:val="left"/>
      <w:pPr>
        <w:ind w:left="720" w:hanging="360"/>
      </w:pPr>
      <w:rPr>
        <w:rFonts w:ascii="Symbol" w:hAnsi="Symbol" w:hint="default"/>
      </w:rPr>
    </w:lvl>
    <w:lvl w:ilvl="1" w:tplc="B5368E3A">
      <w:numFmt w:val="decimal"/>
      <w:lvlText w:val=""/>
      <w:lvlJc w:val="left"/>
    </w:lvl>
    <w:lvl w:ilvl="2" w:tplc="A9246BE6">
      <w:numFmt w:val="decimal"/>
      <w:lvlText w:val=""/>
      <w:lvlJc w:val="left"/>
    </w:lvl>
    <w:lvl w:ilvl="3" w:tplc="BF84A992">
      <w:numFmt w:val="decimal"/>
      <w:lvlText w:val=""/>
      <w:lvlJc w:val="left"/>
    </w:lvl>
    <w:lvl w:ilvl="4" w:tplc="BF6AFB06">
      <w:numFmt w:val="decimal"/>
      <w:lvlText w:val=""/>
      <w:lvlJc w:val="left"/>
    </w:lvl>
    <w:lvl w:ilvl="5" w:tplc="9DD0DDA0">
      <w:numFmt w:val="decimal"/>
      <w:lvlText w:val=""/>
      <w:lvlJc w:val="left"/>
    </w:lvl>
    <w:lvl w:ilvl="6" w:tplc="D82EDC20">
      <w:numFmt w:val="decimal"/>
      <w:lvlText w:val=""/>
      <w:lvlJc w:val="left"/>
    </w:lvl>
    <w:lvl w:ilvl="7" w:tplc="54B044C2">
      <w:numFmt w:val="decimal"/>
      <w:lvlText w:val=""/>
      <w:lvlJc w:val="left"/>
    </w:lvl>
    <w:lvl w:ilvl="8" w:tplc="5D3AE594">
      <w:numFmt w:val="decimal"/>
      <w:lvlText w:val=""/>
      <w:lvlJc w:val="left"/>
    </w:lvl>
  </w:abstractNum>
  <w:abstractNum w:abstractNumId="139" w15:restartNumberingAfterBreak="0">
    <w:nsid w:val="0FD50332"/>
    <w:multiLevelType w:val="hybridMultilevel"/>
    <w:tmpl w:val="8ECA6E0C"/>
    <w:lvl w:ilvl="0" w:tplc="56648CFA">
      <w:start w:val="1"/>
      <w:numFmt w:val="bullet"/>
      <w:lvlText w:val=""/>
      <w:lvlJc w:val="left"/>
      <w:pPr>
        <w:ind w:left="720" w:hanging="360"/>
      </w:pPr>
      <w:rPr>
        <w:rFonts w:ascii="Symbol" w:hAnsi="Symbol" w:hint="default"/>
      </w:rPr>
    </w:lvl>
    <w:lvl w:ilvl="1" w:tplc="F8742874">
      <w:numFmt w:val="decimal"/>
      <w:lvlText w:val=""/>
      <w:lvlJc w:val="left"/>
    </w:lvl>
    <w:lvl w:ilvl="2" w:tplc="44A4C30E">
      <w:numFmt w:val="decimal"/>
      <w:lvlText w:val=""/>
      <w:lvlJc w:val="left"/>
    </w:lvl>
    <w:lvl w:ilvl="3" w:tplc="7DA47A2E">
      <w:numFmt w:val="decimal"/>
      <w:lvlText w:val=""/>
      <w:lvlJc w:val="left"/>
    </w:lvl>
    <w:lvl w:ilvl="4" w:tplc="DD06E432">
      <w:numFmt w:val="decimal"/>
      <w:lvlText w:val=""/>
      <w:lvlJc w:val="left"/>
    </w:lvl>
    <w:lvl w:ilvl="5" w:tplc="EB00F2F2">
      <w:numFmt w:val="decimal"/>
      <w:lvlText w:val=""/>
      <w:lvlJc w:val="left"/>
    </w:lvl>
    <w:lvl w:ilvl="6" w:tplc="F3B6478A">
      <w:numFmt w:val="decimal"/>
      <w:lvlText w:val=""/>
      <w:lvlJc w:val="left"/>
    </w:lvl>
    <w:lvl w:ilvl="7" w:tplc="F4A063A4">
      <w:numFmt w:val="decimal"/>
      <w:lvlText w:val=""/>
      <w:lvlJc w:val="left"/>
    </w:lvl>
    <w:lvl w:ilvl="8" w:tplc="EE6A0A64">
      <w:numFmt w:val="decimal"/>
      <w:lvlText w:val=""/>
      <w:lvlJc w:val="left"/>
    </w:lvl>
  </w:abstractNum>
  <w:abstractNum w:abstractNumId="140" w15:restartNumberingAfterBreak="0">
    <w:nsid w:val="0FFD0542"/>
    <w:multiLevelType w:val="hybridMultilevel"/>
    <w:tmpl w:val="C382D720"/>
    <w:lvl w:ilvl="0" w:tplc="88023C34">
      <w:start w:val="1"/>
      <w:numFmt w:val="bullet"/>
      <w:lvlText w:val=""/>
      <w:lvlJc w:val="left"/>
      <w:pPr>
        <w:ind w:left="720" w:hanging="360"/>
      </w:pPr>
      <w:rPr>
        <w:rFonts w:ascii="Symbol" w:hAnsi="Symbol" w:hint="default"/>
      </w:rPr>
    </w:lvl>
    <w:lvl w:ilvl="1" w:tplc="E334CFE6">
      <w:numFmt w:val="decimal"/>
      <w:lvlText w:val=""/>
      <w:lvlJc w:val="left"/>
    </w:lvl>
    <w:lvl w:ilvl="2" w:tplc="40FC506C">
      <w:numFmt w:val="decimal"/>
      <w:lvlText w:val=""/>
      <w:lvlJc w:val="left"/>
    </w:lvl>
    <w:lvl w:ilvl="3" w:tplc="B4E0677A">
      <w:numFmt w:val="decimal"/>
      <w:lvlText w:val=""/>
      <w:lvlJc w:val="left"/>
    </w:lvl>
    <w:lvl w:ilvl="4" w:tplc="227070AA">
      <w:numFmt w:val="decimal"/>
      <w:lvlText w:val=""/>
      <w:lvlJc w:val="left"/>
    </w:lvl>
    <w:lvl w:ilvl="5" w:tplc="87207CF2">
      <w:numFmt w:val="decimal"/>
      <w:lvlText w:val=""/>
      <w:lvlJc w:val="left"/>
    </w:lvl>
    <w:lvl w:ilvl="6" w:tplc="BE789936">
      <w:numFmt w:val="decimal"/>
      <w:lvlText w:val=""/>
      <w:lvlJc w:val="left"/>
    </w:lvl>
    <w:lvl w:ilvl="7" w:tplc="12D26138">
      <w:numFmt w:val="decimal"/>
      <w:lvlText w:val=""/>
      <w:lvlJc w:val="left"/>
    </w:lvl>
    <w:lvl w:ilvl="8" w:tplc="104EFC08">
      <w:numFmt w:val="decimal"/>
      <w:lvlText w:val=""/>
      <w:lvlJc w:val="left"/>
    </w:lvl>
  </w:abstractNum>
  <w:abstractNum w:abstractNumId="141" w15:restartNumberingAfterBreak="0">
    <w:nsid w:val="100258AB"/>
    <w:multiLevelType w:val="hybridMultilevel"/>
    <w:tmpl w:val="D49E2AC0"/>
    <w:lvl w:ilvl="0" w:tplc="5E8A4E1C">
      <w:start w:val="1"/>
      <w:numFmt w:val="bullet"/>
      <w:lvlText w:val=""/>
      <w:lvlJc w:val="left"/>
      <w:pPr>
        <w:ind w:left="720" w:hanging="360"/>
      </w:pPr>
      <w:rPr>
        <w:rFonts w:ascii="Symbol" w:hAnsi="Symbol" w:hint="default"/>
      </w:rPr>
    </w:lvl>
    <w:lvl w:ilvl="1" w:tplc="0CA44E28">
      <w:numFmt w:val="decimal"/>
      <w:lvlText w:val=""/>
      <w:lvlJc w:val="left"/>
    </w:lvl>
    <w:lvl w:ilvl="2" w:tplc="B07881F6">
      <w:numFmt w:val="decimal"/>
      <w:lvlText w:val=""/>
      <w:lvlJc w:val="left"/>
    </w:lvl>
    <w:lvl w:ilvl="3" w:tplc="5FDAB262">
      <w:numFmt w:val="decimal"/>
      <w:lvlText w:val=""/>
      <w:lvlJc w:val="left"/>
    </w:lvl>
    <w:lvl w:ilvl="4" w:tplc="E3643222">
      <w:numFmt w:val="decimal"/>
      <w:lvlText w:val=""/>
      <w:lvlJc w:val="left"/>
    </w:lvl>
    <w:lvl w:ilvl="5" w:tplc="D2A6BFCA">
      <w:numFmt w:val="decimal"/>
      <w:lvlText w:val=""/>
      <w:lvlJc w:val="left"/>
    </w:lvl>
    <w:lvl w:ilvl="6" w:tplc="1FC8C588">
      <w:numFmt w:val="decimal"/>
      <w:lvlText w:val=""/>
      <w:lvlJc w:val="left"/>
    </w:lvl>
    <w:lvl w:ilvl="7" w:tplc="A3F8FFBA">
      <w:numFmt w:val="decimal"/>
      <w:lvlText w:val=""/>
      <w:lvlJc w:val="left"/>
    </w:lvl>
    <w:lvl w:ilvl="8" w:tplc="47283680">
      <w:numFmt w:val="decimal"/>
      <w:lvlText w:val=""/>
      <w:lvlJc w:val="left"/>
    </w:lvl>
  </w:abstractNum>
  <w:abstractNum w:abstractNumId="142" w15:restartNumberingAfterBreak="0">
    <w:nsid w:val="1009565F"/>
    <w:multiLevelType w:val="hybridMultilevel"/>
    <w:tmpl w:val="A66AC7A6"/>
    <w:lvl w:ilvl="0" w:tplc="CAB65D44">
      <w:start w:val="1"/>
      <w:numFmt w:val="bullet"/>
      <w:lvlText w:val=""/>
      <w:lvlJc w:val="left"/>
      <w:pPr>
        <w:ind w:left="720" w:hanging="360"/>
      </w:pPr>
      <w:rPr>
        <w:rFonts w:ascii="Symbol" w:hAnsi="Symbol" w:hint="default"/>
      </w:rPr>
    </w:lvl>
    <w:lvl w:ilvl="1" w:tplc="64A806C4">
      <w:numFmt w:val="decimal"/>
      <w:lvlText w:val=""/>
      <w:lvlJc w:val="left"/>
    </w:lvl>
    <w:lvl w:ilvl="2" w:tplc="039A8EC8">
      <w:numFmt w:val="decimal"/>
      <w:lvlText w:val=""/>
      <w:lvlJc w:val="left"/>
    </w:lvl>
    <w:lvl w:ilvl="3" w:tplc="FFA297C4">
      <w:numFmt w:val="decimal"/>
      <w:lvlText w:val=""/>
      <w:lvlJc w:val="left"/>
    </w:lvl>
    <w:lvl w:ilvl="4" w:tplc="AC467E2E">
      <w:numFmt w:val="decimal"/>
      <w:lvlText w:val=""/>
      <w:lvlJc w:val="left"/>
    </w:lvl>
    <w:lvl w:ilvl="5" w:tplc="0F1E2FC6">
      <w:numFmt w:val="decimal"/>
      <w:lvlText w:val=""/>
      <w:lvlJc w:val="left"/>
    </w:lvl>
    <w:lvl w:ilvl="6" w:tplc="2BC8121A">
      <w:numFmt w:val="decimal"/>
      <w:lvlText w:val=""/>
      <w:lvlJc w:val="left"/>
    </w:lvl>
    <w:lvl w:ilvl="7" w:tplc="BC92E688">
      <w:numFmt w:val="decimal"/>
      <w:lvlText w:val=""/>
      <w:lvlJc w:val="left"/>
    </w:lvl>
    <w:lvl w:ilvl="8" w:tplc="B72EDC82">
      <w:numFmt w:val="decimal"/>
      <w:lvlText w:val=""/>
      <w:lvlJc w:val="left"/>
    </w:lvl>
  </w:abstractNum>
  <w:abstractNum w:abstractNumId="143" w15:restartNumberingAfterBreak="0">
    <w:nsid w:val="101D4D81"/>
    <w:multiLevelType w:val="hybridMultilevel"/>
    <w:tmpl w:val="057001A2"/>
    <w:lvl w:ilvl="0" w:tplc="0F00E7F4">
      <w:start w:val="1"/>
      <w:numFmt w:val="bullet"/>
      <w:lvlText w:val=""/>
      <w:lvlJc w:val="left"/>
      <w:pPr>
        <w:ind w:left="720" w:hanging="360"/>
      </w:pPr>
      <w:rPr>
        <w:rFonts w:ascii="Symbol" w:hAnsi="Symbol" w:hint="default"/>
      </w:rPr>
    </w:lvl>
    <w:lvl w:ilvl="1" w:tplc="30C09408">
      <w:numFmt w:val="decimal"/>
      <w:lvlText w:val=""/>
      <w:lvlJc w:val="left"/>
    </w:lvl>
    <w:lvl w:ilvl="2" w:tplc="8222F426">
      <w:numFmt w:val="decimal"/>
      <w:lvlText w:val=""/>
      <w:lvlJc w:val="left"/>
    </w:lvl>
    <w:lvl w:ilvl="3" w:tplc="1B60A494">
      <w:numFmt w:val="decimal"/>
      <w:lvlText w:val=""/>
      <w:lvlJc w:val="left"/>
    </w:lvl>
    <w:lvl w:ilvl="4" w:tplc="407C2C6A">
      <w:numFmt w:val="decimal"/>
      <w:lvlText w:val=""/>
      <w:lvlJc w:val="left"/>
    </w:lvl>
    <w:lvl w:ilvl="5" w:tplc="3076775A">
      <w:numFmt w:val="decimal"/>
      <w:lvlText w:val=""/>
      <w:lvlJc w:val="left"/>
    </w:lvl>
    <w:lvl w:ilvl="6" w:tplc="3DA8E906">
      <w:numFmt w:val="decimal"/>
      <w:lvlText w:val=""/>
      <w:lvlJc w:val="left"/>
    </w:lvl>
    <w:lvl w:ilvl="7" w:tplc="3632AA5E">
      <w:numFmt w:val="decimal"/>
      <w:lvlText w:val=""/>
      <w:lvlJc w:val="left"/>
    </w:lvl>
    <w:lvl w:ilvl="8" w:tplc="59E4F80E">
      <w:numFmt w:val="decimal"/>
      <w:lvlText w:val=""/>
      <w:lvlJc w:val="left"/>
    </w:lvl>
  </w:abstractNum>
  <w:abstractNum w:abstractNumId="144" w15:restartNumberingAfterBreak="0">
    <w:nsid w:val="10442F52"/>
    <w:multiLevelType w:val="hybridMultilevel"/>
    <w:tmpl w:val="2BCEDA46"/>
    <w:lvl w:ilvl="0" w:tplc="27EE17DA">
      <w:start w:val="1"/>
      <w:numFmt w:val="bullet"/>
      <w:lvlText w:val=""/>
      <w:lvlJc w:val="left"/>
      <w:pPr>
        <w:ind w:left="720" w:hanging="360"/>
      </w:pPr>
      <w:rPr>
        <w:rFonts w:ascii="Symbol" w:hAnsi="Symbol" w:hint="default"/>
      </w:rPr>
    </w:lvl>
    <w:lvl w:ilvl="1" w:tplc="4DC4EC98">
      <w:numFmt w:val="decimal"/>
      <w:lvlText w:val=""/>
      <w:lvlJc w:val="left"/>
    </w:lvl>
    <w:lvl w:ilvl="2" w:tplc="42BA6E5C">
      <w:numFmt w:val="decimal"/>
      <w:lvlText w:val=""/>
      <w:lvlJc w:val="left"/>
    </w:lvl>
    <w:lvl w:ilvl="3" w:tplc="463C0090">
      <w:numFmt w:val="decimal"/>
      <w:lvlText w:val=""/>
      <w:lvlJc w:val="left"/>
    </w:lvl>
    <w:lvl w:ilvl="4" w:tplc="E550CD72">
      <w:numFmt w:val="decimal"/>
      <w:lvlText w:val=""/>
      <w:lvlJc w:val="left"/>
    </w:lvl>
    <w:lvl w:ilvl="5" w:tplc="38F0AE84">
      <w:numFmt w:val="decimal"/>
      <w:lvlText w:val=""/>
      <w:lvlJc w:val="left"/>
    </w:lvl>
    <w:lvl w:ilvl="6" w:tplc="9FB204D2">
      <w:numFmt w:val="decimal"/>
      <w:lvlText w:val=""/>
      <w:lvlJc w:val="left"/>
    </w:lvl>
    <w:lvl w:ilvl="7" w:tplc="6C1E226E">
      <w:numFmt w:val="decimal"/>
      <w:lvlText w:val=""/>
      <w:lvlJc w:val="left"/>
    </w:lvl>
    <w:lvl w:ilvl="8" w:tplc="21C84F90">
      <w:numFmt w:val="decimal"/>
      <w:lvlText w:val=""/>
      <w:lvlJc w:val="left"/>
    </w:lvl>
  </w:abstractNum>
  <w:abstractNum w:abstractNumId="145" w15:restartNumberingAfterBreak="0">
    <w:nsid w:val="107213A3"/>
    <w:multiLevelType w:val="hybridMultilevel"/>
    <w:tmpl w:val="1E5AD1BA"/>
    <w:lvl w:ilvl="0" w:tplc="53543E12">
      <w:start w:val="1"/>
      <w:numFmt w:val="bullet"/>
      <w:lvlText w:val=""/>
      <w:lvlJc w:val="left"/>
      <w:pPr>
        <w:ind w:left="720" w:hanging="360"/>
      </w:pPr>
      <w:rPr>
        <w:rFonts w:ascii="Symbol" w:hAnsi="Symbol" w:hint="default"/>
      </w:rPr>
    </w:lvl>
    <w:lvl w:ilvl="1" w:tplc="B2B453F4">
      <w:numFmt w:val="decimal"/>
      <w:lvlText w:val=""/>
      <w:lvlJc w:val="left"/>
    </w:lvl>
    <w:lvl w:ilvl="2" w:tplc="2FDA4C72">
      <w:numFmt w:val="decimal"/>
      <w:lvlText w:val=""/>
      <w:lvlJc w:val="left"/>
    </w:lvl>
    <w:lvl w:ilvl="3" w:tplc="2B385ACA">
      <w:numFmt w:val="decimal"/>
      <w:lvlText w:val=""/>
      <w:lvlJc w:val="left"/>
    </w:lvl>
    <w:lvl w:ilvl="4" w:tplc="67F6DE4E">
      <w:numFmt w:val="decimal"/>
      <w:lvlText w:val=""/>
      <w:lvlJc w:val="left"/>
    </w:lvl>
    <w:lvl w:ilvl="5" w:tplc="000C271A">
      <w:numFmt w:val="decimal"/>
      <w:lvlText w:val=""/>
      <w:lvlJc w:val="left"/>
    </w:lvl>
    <w:lvl w:ilvl="6" w:tplc="64128BB4">
      <w:numFmt w:val="decimal"/>
      <w:lvlText w:val=""/>
      <w:lvlJc w:val="left"/>
    </w:lvl>
    <w:lvl w:ilvl="7" w:tplc="F962D376">
      <w:numFmt w:val="decimal"/>
      <w:lvlText w:val=""/>
      <w:lvlJc w:val="left"/>
    </w:lvl>
    <w:lvl w:ilvl="8" w:tplc="EC422B66">
      <w:numFmt w:val="decimal"/>
      <w:lvlText w:val=""/>
      <w:lvlJc w:val="left"/>
    </w:lvl>
  </w:abstractNum>
  <w:abstractNum w:abstractNumId="146" w15:restartNumberingAfterBreak="0">
    <w:nsid w:val="10926B65"/>
    <w:multiLevelType w:val="hybridMultilevel"/>
    <w:tmpl w:val="9E4090E8"/>
    <w:lvl w:ilvl="0" w:tplc="A9FCB844">
      <w:start w:val="1"/>
      <w:numFmt w:val="bullet"/>
      <w:lvlText w:val=""/>
      <w:lvlJc w:val="left"/>
      <w:pPr>
        <w:ind w:left="720" w:hanging="360"/>
      </w:pPr>
      <w:rPr>
        <w:rFonts w:ascii="Symbol" w:hAnsi="Symbol" w:hint="default"/>
      </w:rPr>
    </w:lvl>
    <w:lvl w:ilvl="1" w:tplc="C2885EC8">
      <w:numFmt w:val="decimal"/>
      <w:lvlText w:val=""/>
      <w:lvlJc w:val="left"/>
    </w:lvl>
    <w:lvl w:ilvl="2" w:tplc="8DB62934">
      <w:numFmt w:val="decimal"/>
      <w:lvlText w:val=""/>
      <w:lvlJc w:val="left"/>
    </w:lvl>
    <w:lvl w:ilvl="3" w:tplc="3C22315C">
      <w:numFmt w:val="decimal"/>
      <w:lvlText w:val=""/>
      <w:lvlJc w:val="left"/>
    </w:lvl>
    <w:lvl w:ilvl="4" w:tplc="FE3E3030">
      <w:numFmt w:val="decimal"/>
      <w:lvlText w:val=""/>
      <w:lvlJc w:val="left"/>
    </w:lvl>
    <w:lvl w:ilvl="5" w:tplc="2E26B250">
      <w:numFmt w:val="decimal"/>
      <w:lvlText w:val=""/>
      <w:lvlJc w:val="left"/>
    </w:lvl>
    <w:lvl w:ilvl="6" w:tplc="51BE6DDE">
      <w:numFmt w:val="decimal"/>
      <w:lvlText w:val=""/>
      <w:lvlJc w:val="left"/>
    </w:lvl>
    <w:lvl w:ilvl="7" w:tplc="5E4E56FA">
      <w:numFmt w:val="decimal"/>
      <w:lvlText w:val=""/>
      <w:lvlJc w:val="left"/>
    </w:lvl>
    <w:lvl w:ilvl="8" w:tplc="389C3CF0">
      <w:numFmt w:val="decimal"/>
      <w:lvlText w:val=""/>
      <w:lvlJc w:val="left"/>
    </w:lvl>
  </w:abstractNum>
  <w:abstractNum w:abstractNumId="147" w15:restartNumberingAfterBreak="0">
    <w:nsid w:val="109E1E79"/>
    <w:multiLevelType w:val="hybridMultilevel"/>
    <w:tmpl w:val="841A47A8"/>
    <w:lvl w:ilvl="0" w:tplc="53CAC280">
      <w:start w:val="1"/>
      <w:numFmt w:val="bullet"/>
      <w:lvlText w:val=""/>
      <w:lvlJc w:val="left"/>
      <w:pPr>
        <w:ind w:left="720" w:hanging="360"/>
      </w:pPr>
      <w:rPr>
        <w:rFonts w:ascii="Symbol" w:hAnsi="Symbol" w:hint="default"/>
      </w:rPr>
    </w:lvl>
    <w:lvl w:ilvl="1" w:tplc="290865C4">
      <w:numFmt w:val="decimal"/>
      <w:lvlText w:val=""/>
      <w:lvlJc w:val="left"/>
    </w:lvl>
    <w:lvl w:ilvl="2" w:tplc="77DCB574">
      <w:numFmt w:val="decimal"/>
      <w:lvlText w:val=""/>
      <w:lvlJc w:val="left"/>
    </w:lvl>
    <w:lvl w:ilvl="3" w:tplc="9518315A">
      <w:numFmt w:val="decimal"/>
      <w:lvlText w:val=""/>
      <w:lvlJc w:val="left"/>
    </w:lvl>
    <w:lvl w:ilvl="4" w:tplc="C5E0AFC0">
      <w:numFmt w:val="decimal"/>
      <w:lvlText w:val=""/>
      <w:lvlJc w:val="left"/>
    </w:lvl>
    <w:lvl w:ilvl="5" w:tplc="CFCA2608">
      <w:numFmt w:val="decimal"/>
      <w:lvlText w:val=""/>
      <w:lvlJc w:val="left"/>
    </w:lvl>
    <w:lvl w:ilvl="6" w:tplc="63286084">
      <w:numFmt w:val="decimal"/>
      <w:lvlText w:val=""/>
      <w:lvlJc w:val="left"/>
    </w:lvl>
    <w:lvl w:ilvl="7" w:tplc="13A8553C">
      <w:numFmt w:val="decimal"/>
      <w:lvlText w:val=""/>
      <w:lvlJc w:val="left"/>
    </w:lvl>
    <w:lvl w:ilvl="8" w:tplc="5C908BAA">
      <w:numFmt w:val="decimal"/>
      <w:lvlText w:val=""/>
      <w:lvlJc w:val="left"/>
    </w:lvl>
  </w:abstractNum>
  <w:abstractNum w:abstractNumId="148" w15:restartNumberingAfterBreak="0">
    <w:nsid w:val="10DA2916"/>
    <w:multiLevelType w:val="hybridMultilevel"/>
    <w:tmpl w:val="D46CCB88"/>
    <w:lvl w:ilvl="0" w:tplc="D6643960">
      <w:start w:val="1"/>
      <w:numFmt w:val="bullet"/>
      <w:lvlText w:val=""/>
      <w:lvlJc w:val="left"/>
      <w:pPr>
        <w:ind w:left="720" w:hanging="360"/>
      </w:pPr>
      <w:rPr>
        <w:rFonts w:ascii="Symbol" w:hAnsi="Symbol" w:hint="default"/>
      </w:rPr>
    </w:lvl>
    <w:lvl w:ilvl="1" w:tplc="9CF4D032">
      <w:numFmt w:val="decimal"/>
      <w:lvlText w:val=""/>
      <w:lvlJc w:val="left"/>
    </w:lvl>
    <w:lvl w:ilvl="2" w:tplc="8B245696">
      <w:numFmt w:val="decimal"/>
      <w:lvlText w:val=""/>
      <w:lvlJc w:val="left"/>
    </w:lvl>
    <w:lvl w:ilvl="3" w:tplc="505C5402">
      <w:numFmt w:val="decimal"/>
      <w:lvlText w:val=""/>
      <w:lvlJc w:val="left"/>
    </w:lvl>
    <w:lvl w:ilvl="4" w:tplc="5100C906">
      <w:numFmt w:val="decimal"/>
      <w:lvlText w:val=""/>
      <w:lvlJc w:val="left"/>
    </w:lvl>
    <w:lvl w:ilvl="5" w:tplc="671CF4B2">
      <w:numFmt w:val="decimal"/>
      <w:lvlText w:val=""/>
      <w:lvlJc w:val="left"/>
    </w:lvl>
    <w:lvl w:ilvl="6" w:tplc="F34C52E4">
      <w:numFmt w:val="decimal"/>
      <w:lvlText w:val=""/>
      <w:lvlJc w:val="left"/>
    </w:lvl>
    <w:lvl w:ilvl="7" w:tplc="65D28EB4">
      <w:numFmt w:val="decimal"/>
      <w:lvlText w:val=""/>
      <w:lvlJc w:val="left"/>
    </w:lvl>
    <w:lvl w:ilvl="8" w:tplc="25104368">
      <w:numFmt w:val="decimal"/>
      <w:lvlText w:val=""/>
      <w:lvlJc w:val="left"/>
    </w:lvl>
  </w:abstractNum>
  <w:abstractNum w:abstractNumId="149" w15:restartNumberingAfterBreak="0">
    <w:nsid w:val="10FA7437"/>
    <w:multiLevelType w:val="hybridMultilevel"/>
    <w:tmpl w:val="8740318C"/>
    <w:lvl w:ilvl="0" w:tplc="4E185482">
      <w:start w:val="1"/>
      <w:numFmt w:val="bullet"/>
      <w:lvlText w:val=""/>
      <w:lvlJc w:val="left"/>
      <w:pPr>
        <w:ind w:left="720" w:hanging="360"/>
      </w:pPr>
      <w:rPr>
        <w:rFonts w:ascii="Symbol" w:hAnsi="Symbol" w:hint="default"/>
      </w:rPr>
    </w:lvl>
    <w:lvl w:ilvl="1" w:tplc="8C1818F4">
      <w:numFmt w:val="decimal"/>
      <w:lvlText w:val=""/>
      <w:lvlJc w:val="left"/>
    </w:lvl>
    <w:lvl w:ilvl="2" w:tplc="86E6ADFE">
      <w:numFmt w:val="decimal"/>
      <w:lvlText w:val=""/>
      <w:lvlJc w:val="left"/>
    </w:lvl>
    <w:lvl w:ilvl="3" w:tplc="8E582A3E">
      <w:numFmt w:val="decimal"/>
      <w:lvlText w:val=""/>
      <w:lvlJc w:val="left"/>
    </w:lvl>
    <w:lvl w:ilvl="4" w:tplc="0890F802">
      <w:numFmt w:val="decimal"/>
      <w:lvlText w:val=""/>
      <w:lvlJc w:val="left"/>
    </w:lvl>
    <w:lvl w:ilvl="5" w:tplc="EC4E3168">
      <w:numFmt w:val="decimal"/>
      <w:lvlText w:val=""/>
      <w:lvlJc w:val="left"/>
    </w:lvl>
    <w:lvl w:ilvl="6" w:tplc="DB5AAD78">
      <w:numFmt w:val="decimal"/>
      <w:lvlText w:val=""/>
      <w:lvlJc w:val="left"/>
    </w:lvl>
    <w:lvl w:ilvl="7" w:tplc="5178C36E">
      <w:numFmt w:val="decimal"/>
      <w:lvlText w:val=""/>
      <w:lvlJc w:val="left"/>
    </w:lvl>
    <w:lvl w:ilvl="8" w:tplc="D5628B0E">
      <w:numFmt w:val="decimal"/>
      <w:lvlText w:val=""/>
      <w:lvlJc w:val="left"/>
    </w:lvl>
  </w:abstractNum>
  <w:abstractNum w:abstractNumId="150" w15:restartNumberingAfterBreak="0">
    <w:nsid w:val="11214E7E"/>
    <w:multiLevelType w:val="hybridMultilevel"/>
    <w:tmpl w:val="DD00E34C"/>
    <w:lvl w:ilvl="0" w:tplc="8828EC1E">
      <w:start w:val="1"/>
      <w:numFmt w:val="bullet"/>
      <w:lvlText w:val=""/>
      <w:lvlJc w:val="left"/>
      <w:pPr>
        <w:ind w:left="720" w:hanging="360"/>
      </w:pPr>
      <w:rPr>
        <w:rFonts w:ascii="Symbol" w:hAnsi="Symbol" w:hint="default"/>
      </w:rPr>
    </w:lvl>
    <w:lvl w:ilvl="1" w:tplc="EA68490A">
      <w:numFmt w:val="decimal"/>
      <w:lvlText w:val=""/>
      <w:lvlJc w:val="left"/>
    </w:lvl>
    <w:lvl w:ilvl="2" w:tplc="61265772">
      <w:numFmt w:val="decimal"/>
      <w:lvlText w:val=""/>
      <w:lvlJc w:val="left"/>
    </w:lvl>
    <w:lvl w:ilvl="3" w:tplc="2096747A">
      <w:numFmt w:val="decimal"/>
      <w:lvlText w:val=""/>
      <w:lvlJc w:val="left"/>
    </w:lvl>
    <w:lvl w:ilvl="4" w:tplc="00F87C28">
      <w:numFmt w:val="decimal"/>
      <w:lvlText w:val=""/>
      <w:lvlJc w:val="left"/>
    </w:lvl>
    <w:lvl w:ilvl="5" w:tplc="661CA10A">
      <w:numFmt w:val="decimal"/>
      <w:lvlText w:val=""/>
      <w:lvlJc w:val="left"/>
    </w:lvl>
    <w:lvl w:ilvl="6" w:tplc="99FE239C">
      <w:numFmt w:val="decimal"/>
      <w:lvlText w:val=""/>
      <w:lvlJc w:val="left"/>
    </w:lvl>
    <w:lvl w:ilvl="7" w:tplc="917E1468">
      <w:numFmt w:val="decimal"/>
      <w:lvlText w:val=""/>
      <w:lvlJc w:val="left"/>
    </w:lvl>
    <w:lvl w:ilvl="8" w:tplc="5E3C7DCC">
      <w:numFmt w:val="decimal"/>
      <w:lvlText w:val=""/>
      <w:lvlJc w:val="left"/>
    </w:lvl>
  </w:abstractNum>
  <w:abstractNum w:abstractNumId="151" w15:restartNumberingAfterBreak="0">
    <w:nsid w:val="11354428"/>
    <w:multiLevelType w:val="hybridMultilevel"/>
    <w:tmpl w:val="055CDCB6"/>
    <w:lvl w:ilvl="0" w:tplc="C8D2C0CA">
      <w:start w:val="1"/>
      <w:numFmt w:val="bullet"/>
      <w:lvlText w:val=""/>
      <w:lvlJc w:val="left"/>
      <w:pPr>
        <w:ind w:left="720" w:hanging="360"/>
      </w:pPr>
      <w:rPr>
        <w:rFonts w:ascii="Symbol" w:hAnsi="Symbol" w:hint="default"/>
      </w:rPr>
    </w:lvl>
    <w:lvl w:ilvl="1" w:tplc="AEBC06DE">
      <w:numFmt w:val="decimal"/>
      <w:lvlText w:val=""/>
      <w:lvlJc w:val="left"/>
    </w:lvl>
    <w:lvl w:ilvl="2" w:tplc="D84C8270">
      <w:numFmt w:val="decimal"/>
      <w:lvlText w:val=""/>
      <w:lvlJc w:val="left"/>
    </w:lvl>
    <w:lvl w:ilvl="3" w:tplc="75BC3838">
      <w:numFmt w:val="decimal"/>
      <w:lvlText w:val=""/>
      <w:lvlJc w:val="left"/>
    </w:lvl>
    <w:lvl w:ilvl="4" w:tplc="3C7E3F3C">
      <w:numFmt w:val="decimal"/>
      <w:lvlText w:val=""/>
      <w:lvlJc w:val="left"/>
    </w:lvl>
    <w:lvl w:ilvl="5" w:tplc="694AC5FE">
      <w:numFmt w:val="decimal"/>
      <w:lvlText w:val=""/>
      <w:lvlJc w:val="left"/>
    </w:lvl>
    <w:lvl w:ilvl="6" w:tplc="54247000">
      <w:numFmt w:val="decimal"/>
      <w:lvlText w:val=""/>
      <w:lvlJc w:val="left"/>
    </w:lvl>
    <w:lvl w:ilvl="7" w:tplc="17EE70E8">
      <w:numFmt w:val="decimal"/>
      <w:lvlText w:val=""/>
      <w:lvlJc w:val="left"/>
    </w:lvl>
    <w:lvl w:ilvl="8" w:tplc="E50A5F5A">
      <w:numFmt w:val="decimal"/>
      <w:lvlText w:val=""/>
      <w:lvlJc w:val="left"/>
    </w:lvl>
  </w:abstractNum>
  <w:abstractNum w:abstractNumId="152" w15:restartNumberingAfterBreak="0">
    <w:nsid w:val="1135544A"/>
    <w:multiLevelType w:val="hybridMultilevel"/>
    <w:tmpl w:val="A55C3EB0"/>
    <w:lvl w:ilvl="0" w:tplc="2F9A6D82">
      <w:start w:val="1"/>
      <w:numFmt w:val="bullet"/>
      <w:lvlText w:val=""/>
      <w:lvlJc w:val="left"/>
      <w:pPr>
        <w:ind w:left="720" w:hanging="360"/>
      </w:pPr>
      <w:rPr>
        <w:rFonts w:ascii="Symbol" w:hAnsi="Symbol" w:hint="default"/>
      </w:rPr>
    </w:lvl>
    <w:lvl w:ilvl="1" w:tplc="9EBAE860">
      <w:numFmt w:val="decimal"/>
      <w:lvlText w:val=""/>
      <w:lvlJc w:val="left"/>
    </w:lvl>
    <w:lvl w:ilvl="2" w:tplc="667651CE">
      <w:numFmt w:val="decimal"/>
      <w:lvlText w:val=""/>
      <w:lvlJc w:val="left"/>
    </w:lvl>
    <w:lvl w:ilvl="3" w:tplc="9E9C3ECC">
      <w:numFmt w:val="decimal"/>
      <w:lvlText w:val=""/>
      <w:lvlJc w:val="left"/>
    </w:lvl>
    <w:lvl w:ilvl="4" w:tplc="A2947D6C">
      <w:numFmt w:val="decimal"/>
      <w:lvlText w:val=""/>
      <w:lvlJc w:val="left"/>
    </w:lvl>
    <w:lvl w:ilvl="5" w:tplc="30E404A0">
      <w:numFmt w:val="decimal"/>
      <w:lvlText w:val=""/>
      <w:lvlJc w:val="left"/>
    </w:lvl>
    <w:lvl w:ilvl="6" w:tplc="E8CEB5DA">
      <w:numFmt w:val="decimal"/>
      <w:lvlText w:val=""/>
      <w:lvlJc w:val="left"/>
    </w:lvl>
    <w:lvl w:ilvl="7" w:tplc="119848BA">
      <w:numFmt w:val="decimal"/>
      <w:lvlText w:val=""/>
      <w:lvlJc w:val="left"/>
    </w:lvl>
    <w:lvl w:ilvl="8" w:tplc="5C5236A8">
      <w:numFmt w:val="decimal"/>
      <w:lvlText w:val=""/>
      <w:lvlJc w:val="left"/>
    </w:lvl>
  </w:abstractNum>
  <w:abstractNum w:abstractNumId="153" w15:restartNumberingAfterBreak="0">
    <w:nsid w:val="113E3592"/>
    <w:multiLevelType w:val="hybridMultilevel"/>
    <w:tmpl w:val="AB602660"/>
    <w:lvl w:ilvl="0" w:tplc="A356A3FA">
      <w:start w:val="1"/>
      <w:numFmt w:val="bullet"/>
      <w:lvlText w:val=""/>
      <w:lvlJc w:val="left"/>
      <w:pPr>
        <w:ind w:left="720" w:hanging="360"/>
      </w:pPr>
      <w:rPr>
        <w:rFonts w:ascii="Symbol" w:hAnsi="Symbol" w:hint="default"/>
      </w:rPr>
    </w:lvl>
    <w:lvl w:ilvl="1" w:tplc="18FCC5EC">
      <w:numFmt w:val="decimal"/>
      <w:lvlText w:val=""/>
      <w:lvlJc w:val="left"/>
    </w:lvl>
    <w:lvl w:ilvl="2" w:tplc="6D724FA6">
      <w:numFmt w:val="decimal"/>
      <w:lvlText w:val=""/>
      <w:lvlJc w:val="left"/>
    </w:lvl>
    <w:lvl w:ilvl="3" w:tplc="2D50D27A">
      <w:numFmt w:val="decimal"/>
      <w:lvlText w:val=""/>
      <w:lvlJc w:val="left"/>
    </w:lvl>
    <w:lvl w:ilvl="4" w:tplc="288CD528">
      <w:numFmt w:val="decimal"/>
      <w:lvlText w:val=""/>
      <w:lvlJc w:val="left"/>
    </w:lvl>
    <w:lvl w:ilvl="5" w:tplc="FBD26928">
      <w:numFmt w:val="decimal"/>
      <w:lvlText w:val=""/>
      <w:lvlJc w:val="left"/>
    </w:lvl>
    <w:lvl w:ilvl="6" w:tplc="B5B09912">
      <w:numFmt w:val="decimal"/>
      <w:lvlText w:val=""/>
      <w:lvlJc w:val="left"/>
    </w:lvl>
    <w:lvl w:ilvl="7" w:tplc="DB9466E0">
      <w:numFmt w:val="decimal"/>
      <w:lvlText w:val=""/>
      <w:lvlJc w:val="left"/>
    </w:lvl>
    <w:lvl w:ilvl="8" w:tplc="19681326">
      <w:numFmt w:val="decimal"/>
      <w:lvlText w:val=""/>
      <w:lvlJc w:val="left"/>
    </w:lvl>
  </w:abstractNum>
  <w:abstractNum w:abstractNumId="154" w15:restartNumberingAfterBreak="0">
    <w:nsid w:val="1148223F"/>
    <w:multiLevelType w:val="hybridMultilevel"/>
    <w:tmpl w:val="0002A970"/>
    <w:lvl w:ilvl="0" w:tplc="A15A84E0">
      <w:start w:val="1"/>
      <w:numFmt w:val="bullet"/>
      <w:lvlText w:val=""/>
      <w:lvlJc w:val="left"/>
      <w:pPr>
        <w:ind w:left="720" w:hanging="360"/>
      </w:pPr>
      <w:rPr>
        <w:rFonts w:ascii="Symbol" w:hAnsi="Symbol" w:hint="default"/>
      </w:rPr>
    </w:lvl>
    <w:lvl w:ilvl="1" w:tplc="1E0E6972">
      <w:numFmt w:val="decimal"/>
      <w:lvlText w:val=""/>
      <w:lvlJc w:val="left"/>
    </w:lvl>
    <w:lvl w:ilvl="2" w:tplc="D66A377E">
      <w:numFmt w:val="decimal"/>
      <w:lvlText w:val=""/>
      <w:lvlJc w:val="left"/>
    </w:lvl>
    <w:lvl w:ilvl="3" w:tplc="3B44FD06">
      <w:numFmt w:val="decimal"/>
      <w:lvlText w:val=""/>
      <w:lvlJc w:val="left"/>
    </w:lvl>
    <w:lvl w:ilvl="4" w:tplc="6BAE49E6">
      <w:numFmt w:val="decimal"/>
      <w:lvlText w:val=""/>
      <w:lvlJc w:val="left"/>
    </w:lvl>
    <w:lvl w:ilvl="5" w:tplc="7E5E6714">
      <w:numFmt w:val="decimal"/>
      <w:lvlText w:val=""/>
      <w:lvlJc w:val="left"/>
    </w:lvl>
    <w:lvl w:ilvl="6" w:tplc="E9EEDA02">
      <w:numFmt w:val="decimal"/>
      <w:lvlText w:val=""/>
      <w:lvlJc w:val="left"/>
    </w:lvl>
    <w:lvl w:ilvl="7" w:tplc="1DA48A10">
      <w:numFmt w:val="decimal"/>
      <w:lvlText w:val=""/>
      <w:lvlJc w:val="left"/>
    </w:lvl>
    <w:lvl w:ilvl="8" w:tplc="F0DA8ED0">
      <w:numFmt w:val="decimal"/>
      <w:lvlText w:val=""/>
      <w:lvlJc w:val="left"/>
    </w:lvl>
  </w:abstractNum>
  <w:abstractNum w:abstractNumId="155" w15:restartNumberingAfterBreak="0">
    <w:nsid w:val="114D63B5"/>
    <w:multiLevelType w:val="hybridMultilevel"/>
    <w:tmpl w:val="C5AAB9C6"/>
    <w:lvl w:ilvl="0" w:tplc="7ACE97F2">
      <w:start w:val="1"/>
      <w:numFmt w:val="bullet"/>
      <w:lvlText w:val=""/>
      <w:lvlJc w:val="left"/>
      <w:pPr>
        <w:ind w:left="720" w:hanging="360"/>
      </w:pPr>
      <w:rPr>
        <w:rFonts w:ascii="Symbol" w:hAnsi="Symbol" w:hint="default"/>
      </w:rPr>
    </w:lvl>
    <w:lvl w:ilvl="1" w:tplc="9DD45526">
      <w:numFmt w:val="decimal"/>
      <w:lvlText w:val=""/>
      <w:lvlJc w:val="left"/>
    </w:lvl>
    <w:lvl w:ilvl="2" w:tplc="E6B89D6C">
      <w:numFmt w:val="decimal"/>
      <w:lvlText w:val=""/>
      <w:lvlJc w:val="left"/>
    </w:lvl>
    <w:lvl w:ilvl="3" w:tplc="CE8EA002">
      <w:numFmt w:val="decimal"/>
      <w:lvlText w:val=""/>
      <w:lvlJc w:val="left"/>
    </w:lvl>
    <w:lvl w:ilvl="4" w:tplc="DF4013E4">
      <w:numFmt w:val="decimal"/>
      <w:lvlText w:val=""/>
      <w:lvlJc w:val="left"/>
    </w:lvl>
    <w:lvl w:ilvl="5" w:tplc="5AC80DA0">
      <w:numFmt w:val="decimal"/>
      <w:lvlText w:val=""/>
      <w:lvlJc w:val="left"/>
    </w:lvl>
    <w:lvl w:ilvl="6" w:tplc="FE746DA2">
      <w:numFmt w:val="decimal"/>
      <w:lvlText w:val=""/>
      <w:lvlJc w:val="left"/>
    </w:lvl>
    <w:lvl w:ilvl="7" w:tplc="6AF22E7C">
      <w:numFmt w:val="decimal"/>
      <w:lvlText w:val=""/>
      <w:lvlJc w:val="left"/>
    </w:lvl>
    <w:lvl w:ilvl="8" w:tplc="9DE00340">
      <w:numFmt w:val="decimal"/>
      <w:lvlText w:val=""/>
      <w:lvlJc w:val="left"/>
    </w:lvl>
  </w:abstractNum>
  <w:abstractNum w:abstractNumId="156" w15:restartNumberingAfterBreak="0">
    <w:nsid w:val="1153415D"/>
    <w:multiLevelType w:val="hybridMultilevel"/>
    <w:tmpl w:val="8890A568"/>
    <w:lvl w:ilvl="0" w:tplc="0F987FD4">
      <w:start w:val="1"/>
      <w:numFmt w:val="bullet"/>
      <w:lvlText w:val=""/>
      <w:lvlJc w:val="left"/>
      <w:pPr>
        <w:ind w:left="720" w:hanging="360"/>
      </w:pPr>
      <w:rPr>
        <w:rFonts w:ascii="Symbol" w:hAnsi="Symbol" w:hint="default"/>
      </w:rPr>
    </w:lvl>
    <w:lvl w:ilvl="1" w:tplc="501A52E0">
      <w:numFmt w:val="decimal"/>
      <w:lvlText w:val=""/>
      <w:lvlJc w:val="left"/>
    </w:lvl>
    <w:lvl w:ilvl="2" w:tplc="E2CC2EC6">
      <w:numFmt w:val="decimal"/>
      <w:lvlText w:val=""/>
      <w:lvlJc w:val="left"/>
    </w:lvl>
    <w:lvl w:ilvl="3" w:tplc="E5245268">
      <w:numFmt w:val="decimal"/>
      <w:lvlText w:val=""/>
      <w:lvlJc w:val="left"/>
    </w:lvl>
    <w:lvl w:ilvl="4" w:tplc="BDBC7FBA">
      <w:numFmt w:val="decimal"/>
      <w:lvlText w:val=""/>
      <w:lvlJc w:val="left"/>
    </w:lvl>
    <w:lvl w:ilvl="5" w:tplc="6DE69114">
      <w:numFmt w:val="decimal"/>
      <w:lvlText w:val=""/>
      <w:lvlJc w:val="left"/>
    </w:lvl>
    <w:lvl w:ilvl="6" w:tplc="541ACD6A">
      <w:numFmt w:val="decimal"/>
      <w:lvlText w:val=""/>
      <w:lvlJc w:val="left"/>
    </w:lvl>
    <w:lvl w:ilvl="7" w:tplc="E17AB7E6">
      <w:numFmt w:val="decimal"/>
      <w:lvlText w:val=""/>
      <w:lvlJc w:val="left"/>
    </w:lvl>
    <w:lvl w:ilvl="8" w:tplc="85ACA2E4">
      <w:numFmt w:val="decimal"/>
      <w:lvlText w:val=""/>
      <w:lvlJc w:val="left"/>
    </w:lvl>
  </w:abstractNum>
  <w:abstractNum w:abstractNumId="157" w15:restartNumberingAfterBreak="0">
    <w:nsid w:val="116A3F8A"/>
    <w:multiLevelType w:val="hybridMultilevel"/>
    <w:tmpl w:val="BF9EB736"/>
    <w:lvl w:ilvl="0" w:tplc="37D2CA4E">
      <w:start w:val="1"/>
      <w:numFmt w:val="bullet"/>
      <w:lvlText w:val=""/>
      <w:lvlJc w:val="left"/>
      <w:pPr>
        <w:ind w:left="720" w:hanging="360"/>
      </w:pPr>
      <w:rPr>
        <w:rFonts w:ascii="Symbol" w:hAnsi="Symbol" w:hint="default"/>
      </w:rPr>
    </w:lvl>
    <w:lvl w:ilvl="1" w:tplc="B1606352">
      <w:numFmt w:val="decimal"/>
      <w:lvlText w:val=""/>
      <w:lvlJc w:val="left"/>
    </w:lvl>
    <w:lvl w:ilvl="2" w:tplc="B8064334">
      <w:numFmt w:val="decimal"/>
      <w:lvlText w:val=""/>
      <w:lvlJc w:val="left"/>
    </w:lvl>
    <w:lvl w:ilvl="3" w:tplc="8536F266">
      <w:numFmt w:val="decimal"/>
      <w:lvlText w:val=""/>
      <w:lvlJc w:val="left"/>
    </w:lvl>
    <w:lvl w:ilvl="4" w:tplc="F2D0C8BA">
      <w:numFmt w:val="decimal"/>
      <w:lvlText w:val=""/>
      <w:lvlJc w:val="left"/>
    </w:lvl>
    <w:lvl w:ilvl="5" w:tplc="3B408D4C">
      <w:numFmt w:val="decimal"/>
      <w:lvlText w:val=""/>
      <w:lvlJc w:val="left"/>
    </w:lvl>
    <w:lvl w:ilvl="6" w:tplc="040EF078">
      <w:numFmt w:val="decimal"/>
      <w:lvlText w:val=""/>
      <w:lvlJc w:val="left"/>
    </w:lvl>
    <w:lvl w:ilvl="7" w:tplc="D1868C6C">
      <w:numFmt w:val="decimal"/>
      <w:lvlText w:val=""/>
      <w:lvlJc w:val="left"/>
    </w:lvl>
    <w:lvl w:ilvl="8" w:tplc="8682A256">
      <w:numFmt w:val="decimal"/>
      <w:lvlText w:val=""/>
      <w:lvlJc w:val="left"/>
    </w:lvl>
  </w:abstractNum>
  <w:abstractNum w:abstractNumId="158" w15:restartNumberingAfterBreak="0">
    <w:nsid w:val="11773A6E"/>
    <w:multiLevelType w:val="hybridMultilevel"/>
    <w:tmpl w:val="B140816C"/>
    <w:lvl w:ilvl="0" w:tplc="8FFE777C">
      <w:start w:val="1"/>
      <w:numFmt w:val="bullet"/>
      <w:lvlText w:val=""/>
      <w:lvlJc w:val="left"/>
      <w:pPr>
        <w:ind w:left="720" w:hanging="360"/>
      </w:pPr>
      <w:rPr>
        <w:rFonts w:ascii="Symbol" w:hAnsi="Symbol" w:hint="default"/>
      </w:rPr>
    </w:lvl>
    <w:lvl w:ilvl="1" w:tplc="752A5EA0">
      <w:numFmt w:val="decimal"/>
      <w:lvlText w:val=""/>
      <w:lvlJc w:val="left"/>
    </w:lvl>
    <w:lvl w:ilvl="2" w:tplc="7E063F54">
      <w:numFmt w:val="decimal"/>
      <w:lvlText w:val=""/>
      <w:lvlJc w:val="left"/>
    </w:lvl>
    <w:lvl w:ilvl="3" w:tplc="D02E1FE2">
      <w:numFmt w:val="decimal"/>
      <w:lvlText w:val=""/>
      <w:lvlJc w:val="left"/>
    </w:lvl>
    <w:lvl w:ilvl="4" w:tplc="9CB08F82">
      <w:numFmt w:val="decimal"/>
      <w:lvlText w:val=""/>
      <w:lvlJc w:val="left"/>
    </w:lvl>
    <w:lvl w:ilvl="5" w:tplc="16D8D142">
      <w:numFmt w:val="decimal"/>
      <w:lvlText w:val=""/>
      <w:lvlJc w:val="left"/>
    </w:lvl>
    <w:lvl w:ilvl="6" w:tplc="4F0E5720">
      <w:numFmt w:val="decimal"/>
      <w:lvlText w:val=""/>
      <w:lvlJc w:val="left"/>
    </w:lvl>
    <w:lvl w:ilvl="7" w:tplc="FB407FF2">
      <w:numFmt w:val="decimal"/>
      <w:lvlText w:val=""/>
      <w:lvlJc w:val="left"/>
    </w:lvl>
    <w:lvl w:ilvl="8" w:tplc="D37E4304">
      <w:numFmt w:val="decimal"/>
      <w:lvlText w:val=""/>
      <w:lvlJc w:val="left"/>
    </w:lvl>
  </w:abstractNum>
  <w:abstractNum w:abstractNumId="159" w15:restartNumberingAfterBreak="0">
    <w:nsid w:val="117B3EE8"/>
    <w:multiLevelType w:val="hybridMultilevel"/>
    <w:tmpl w:val="3BFEF14E"/>
    <w:lvl w:ilvl="0" w:tplc="C7F2065A">
      <w:start w:val="1"/>
      <w:numFmt w:val="bullet"/>
      <w:lvlText w:val=""/>
      <w:lvlJc w:val="left"/>
      <w:pPr>
        <w:ind w:left="720" w:hanging="360"/>
      </w:pPr>
      <w:rPr>
        <w:rFonts w:ascii="Symbol" w:hAnsi="Symbol" w:hint="default"/>
      </w:rPr>
    </w:lvl>
    <w:lvl w:ilvl="1" w:tplc="27E4B36A">
      <w:numFmt w:val="decimal"/>
      <w:lvlText w:val=""/>
      <w:lvlJc w:val="left"/>
    </w:lvl>
    <w:lvl w:ilvl="2" w:tplc="5C629724">
      <w:numFmt w:val="decimal"/>
      <w:lvlText w:val=""/>
      <w:lvlJc w:val="left"/>
    </w:lvl>
    <w:lvl w:ilvl="3" w:tplc="EBCC6FC0">
      <w:numFmt w:val="decimal"/>
      <w:lvlText w:val=""/>
      <w:lvlJc w:val="left"/>
    </w:lvl>
    <w:lvl w:ilvl="4" w:tplc="91B65892">
      <w:numFmt w:val="decimal"/>
      <w:lvlText w:val=""/>
      <w:lvlJc w:val="left"/>
    </w:lvl>
    <w:lvl w:ilvl="5" w:tplc="5A4C8846">
      <w:numFmt w:val="decimal"/>
      <w:lvlText w:val=""/>
      <w:lvlJc w:val="left"/>
    </w:lvl>
    <w:lvl w:ilvl="6" w:tplc="88E2D186">
      <w:numFmt w:val="decimal"/>
      <w:lvlText w:val=""/>
      <w:lvlJc w:val="left"/>
    </w:lvl>
    <w:lvl w:ilvl="7" w:tplc="7FAA2190">
      <w:numFmt w:val="decimal"/>
      <w:lvlText w:val=""/>
      <w:lvlJc w:val="left"/>
    </w:lvl>
    <w:lvl w:ilvl="8" w:tplc="FDD68436">
      <w:numFmt w:val="decimal"/>
      <w:lvlText w:val=""/>
      <w:lvlJc w:val="left"/>
    </w:lvl>
  </w:abstractNum>
  <w:abstractNum w:abstractNumId="160" w15:restartNumberingAfterBreak="0">
    <w:nsid w:val="11AA686A"/>
    <w:multiLevelType w:val="hybridMultilevel"/>
    <w:tmpl w:val="0BF62206"/>
    <w:lvl w:ilvl="0" w:tplc="8B3CFA9A">
      <w:numFmt w:val="decimal"/>
      <w:lvlText w:val=""/>
      <w:lvlJc w:val="left"/>
    </w:lvl>
    <w:lvl w:ilvl="1" w:tplc="A2B474CA">
      <w:start w:val="1"/>
      <w:numFmt w:val="bullet"/>
      <w:lvlText w:val=""/>
      <w:lvlJc w:val="left"/>
      <w:pPr>
        <w:ind w:left="1440" w:hanging="360"/>
      </w:pPr>
      <w:rPr>
        <w:rFonts w:ascii="Symbol" w:hAnsi="Symbol" w:hint="default"/>
      </w:rPr>
    </w:lvl>
    <w:lvl w:ilvl="2" w:tplc="CB2AA4E4">
      <w:numFmt w:val="decimal"/>
      <w:lvlText w:val=""/>
      <w:lvlJc w:val="left"/>
    </w:lvl>
    <w:lvl w:ilvl="3" w:tplc="63205AA0">
      <w:numFmt w:val="decimal"/>
      <w:lvlText w:val=""/>
      <w:lvlJc w:val="left"/>
    </w:lvl>
    <w:lvl w:ilvl="4" w:tplc="38461D2A">
      <w:numFmt w:val="decimal"/>
      <w:lvlText w:val=""/>
      <w:lvlJc w:val="left"/>
    </w:lvl>
    <w:lvl w:ilvl="5" w:tplc="424489C0">
      <w:numFmt w:val="decimal"/>
      <w:lvlText w:val=""/>
      <w:lvlJc w:val="left"/>
    </w:lvl>
    <w:lvl w:ilvl="6" w:tplc="019E774E">
      <w:numFmt w:val="decimal"/>
      <w:lvlText w:val=""/>
      <w:lvlJc w:val="left"/>
    </w:lvl>
    <w:lvl w:ilvl="7" w:tplc="6E70567C">
      <w:numFmt w:val="decimal"/>
      <w:lvlText w:val=""/>
      <w:lvlJc w:val="left"/>
    </w:lvl>
    <w:lvl w:ilvl="8" w:tplc="501EDD8A">
      <w:numFmt w:val="decimal"/>
      <w:lvlText w:val=""/>
      <w:lvlJc w:val="left"/>
    </w:lvl>
  </w:abstractNum>
  <w:abstractNum w:abstractNumId="161" w15:restartNumberingAfterBreak="0">
    <w:nsid w:val="11CB4B51"/>
    <w:multiLevelType w:val="hybridMultilevel"/>
    <w:tmpl w:val="4964DE34"/>
    <w:lvl w:ilvl="0" w:tplc="2D0EFD20">
      <w:start w:val="1"/>
      <w:numFmt w:val="bullet"/>
      <w:lvlText w:val=""/>
      <w:lvlJc w:val="left"/>
      <w:pPr>
        <w:ind w:left="720" w:hanging="360"/>
      </w:pPr>
      <w:rPr>
        <w:rFonts w:ascii="Symbol" w:hAnsi="Symbol" w:hint="default"/>
      </w:rPr>
    </w:lvl>
    <w:lvl w:ilvl="1" w:tplc="540A5DFE">
      <w:numFmt w:val="decimal"/>
      <w:lvlText w:val=""/>
      <w:lvlJc w:val="left"/>
    </w:lvl>
    <w:lvl w:ilvl="2" w:tplc="6FACA426">
      <w:numFmt w:val="decimal"/>
      <w:lvlText w:val=""/>
      <w:lvlJc w:val="left"/>
    </w:lvl>
    <w:lvl w:ilvl="3" w:tplc="B2EED392">
      <w:numFmt w:val="decimal"/>
      <w:lvlText w:val=""/>
      <w:lvlJc w:val="left"/>
    </w:lvl>
    <w:lvl w:ilvl="4" w:tplc="172A10D4">
      <w:numFmt w:val="decimal"/>
      <w:lvlText w:val=""/>
      <w:lvlJc w:val="left"/>
    </w:lvl>
    <w:lvl w:ilvl="5" w:tplc="0BA05F56">
      <w:numFmt w:val="decimal"/>
      <w:lvlText w:val=""/>
      <w:lvlJc w:val="left"/>
    </w:lvl>
    <w:lvl w:ilvl="6" w:tplc="DE7CE00E">
      <w:numFmt w:val="decimal"/>
      <w:lvlText w:val=""/>
      <w:lvlJc w:val="left"/>
    </w:lvl>
    <w:lvl w:ilvl="7" w:tplc="1FB25400">
      <w:numFmt w:val="decimal"/>
      <w:lvlText w:val=""/>
      <w:lvlJc w:val="left"/>
    </w:lvl>
    <w:lvl w:ilvl="8" w:tplc="F4BECE20">
      <w:numFmt w:val="decimal"/>
      <w:lvlText w:val=""/>
      <w:lvlJc w:val="left"/>
    </w:lvl>
  </w:abstractNum>
  <w:abstractNum w:abstractNumId="162" w15:restartNumberingAfterBreak="0">
    <w:nsid w:val="11CE5081"/>
    <w:multiLevelType w:val="hybridMultilevel"/>
    <w:tmpl w:val="65D6241C"/>
    <w:lvl w:ilvl="0" w:tplc="C4AA3DCA">
      <w:start w:val="1"/>
      <w:numFmt w:val="bullet"/>
      <w:lvlText w:val=""/>
      <w:lvlJc w:val="left"/>
      <w:pPr>
        <w:ind w:left="720" w:hanging="360"/>
      </w:pPr>
      <w:rPr>
        <w:rFonts w:ascii="Symbol" w:hAnsi="Symbol" w:hint="default"/>
      </w:rPr>
    </w:lvl>
    <w:lvl w:ilvl="1" w:tplc="E8EC59BC">
      <w:numFmt w:val="decimal"/>
      <w:lvlText w:val=""/>
      <w:lvlJc w:val="left"/>
    </w:lvl>
    <w:lvl w:ilvl="2" w:tplc="1270A784">
      <w:numFmt w:val="decimal"/>
      <w:lvlText w:val=""/>
      <w:lvlJc w:val="left"/>
    </w:lvl>
    <w:lvl w:ilvl="3" w:tplc="277E808C">
      <w:numFmt w:val="decimal"/>
      <w:lvlText w:val=""/>
      <w:lvlJc w:val="left"/>
    </w:lvl>
    <w:lvl w:ilvl="4" w:tplc="0E58AC68">
      <w:numFmt w:val="decimal"/>
      <w:lvlText w:val=""/>
      <w:lvlJc w:val="left"/>
    </w:lvl>
    <w:lvl w:ilvl="5" w:tplc="91061E64">
      <w:numFmt w:val="decimal"/>
      <w:lvlText w:val=""/>
      <w:lvlJc w:val="left"/>
    </w:lvl>
    <w:lvl w:ilvl="6" w:tplc="5FC8E2D4">
      <w:numFmt w:val="decimal"/>
      <w:lvlText w:val=""/>
      <w:lvlJc w:val="left"/>
    </w:lvl>
    <w:lvl w:ilvl="7" w:tplc="9AE25314">
      <w:numFmt w:val="decimal"/>
      <w:lvlText w:val=""/>
      <w:lvlJc w:val="left"/>
    </w:lvl>
    <w:lvl w:ilvl="8" w:tplc="A0CAFDA6">
      <w:numFmt w:val="decimal"/>
      <w:lvlText w:val=""/>
      <w:lvlJc w:val="left"/>
    </w:lvl>
  </w:abstractNum>
  <w:abstractNum w:abstractNumId="163" w15:restartNumberingAfterBreak="0">
    <w:nsid w:val="11DC5ADB"/>
    <w:multiLevelType w:val="hybridMultilevel"/>
    <w:tmpl w:val="BFDE2A64"/>
    <w:lvl w:ilvl="0" w:tplc="B34298C8">
      <w:start w:val="1"/>
      <w:numFmt w:val="bullet"/>
      <w:lvlText w:val=""/>
      <w:lvlJc w:val="left"/>
      <w:pPr>
        <w:ind w:left="720" w:hanging="360"/>
      </w:pPr>
      <w:rPr>
        <w:rFonts w:ascii="Symbol" w:hAnsi="Symbol" w:hint="default"/>
      </w:rPr>
    </w:lvl>
    <w:lvl w:ilvl="1" w:tplc="B0D6A106">
      <w:numFmt w:val="decimal"/>
      <w:lvlText w:val=""/>
      <w:lvlJc w:val="left"/>
    </w:lvl>
    <w:lvl w:ilvl="2" w:tplc="14BA8A74">
      <w:numFmt w:val="decimal"/>
      <w:lvlText w:val=""/>
      <w:lvlJc w:val="left"/>
    </w:lvl>
    <w:lvl w:ilvl="3" w:tplc="0BD41032">
      <w:numFmt w:val="decimal"/>
      <w:lvlText w:val=""/>
      <w:lvlJc w:val="left"/>
    </w:lvl>
    <w:lvl w:ilvl="4" w:tplc="9B0EDC82">
      <w:numFmt w:val="decimal"/>
      <w:lvlText w:val=""/>
      <w:lvlJc w:val="left"/>
    </w:lvl>
    <w:lvl w:ilvl="5" w:tplc="E8B2B324">
      <w:numFmt w:val="decimal"/>
      <w:lvlText w:val=""/>
      <w:lvlJc w:val="left"/>
    </w:lvl>
    <w:lvl w:ilvl="6" w:tplc="F7FAD7D4">
      <w:numFmt w:val="decimal"/>
      <w:lvlText w:val=""/>
      <w:lvlJc w:val="left"/>
    </w:lvl>
    <w:lvl w:ilvl="7" w:tplc="867E037A">
      <w:numFmt w:val="decimal"/>
      <w:lvlText w:val=""/>
      <w:lvlJc w:val="left"/>
    </w:lvl>
    <w:lvl w:ilvl="8" w:tplc="BC9AD038">
      <w:numFmt w:val="decimal"/>
      <w:lvlText w:val=""/>
      <w:lvlJc w:val="left"/>
    </w:lvl>
  </w:abstractNum>
  <w:abstractNum w:abstractNumId="164" w15:restartNumberingAfterBreak="0">
    <w:nsid w:val="11E76BD1"/>
    <w:multiLevelType w:val="hybridMultilevel"/>
    <w:tmpl w:val="E6A8365C"/>
    <w:lvl w:ilvl="0" w:tplc="BA98FBD6">
      <w:start w:val="1"/>
      <w:numFmt w:val="bullet"/>
      <w:lvlText w:val=""/>
      <w:lvlJc w:val="left"/>
      <w:pPr>
        <w:ind w:left="720" w:hanging="360"/>
      </w:pPr>
      <w:rPr>
        <w:rFonts w:ascii="Symbol" w:hAnsi="Symbol" w:hint="default"/>
      </w:rPr>
    </w:lvl>
    <w:lvl w:ilvl="1" w:tplc="FC90AF00">
      <w:numFmt w:val="decimal"/>
      <w:lvlText w:val=""/>
      <w:lvlJc w:val="left"/>
    </w:lvl>
    <w:lvl w:ilvl="2" w:tplc="27CE737A">
      <w:numFmt w:val="decimal"/>
      <w:lvlText w:val=""/>
      <w:lvlJc w:val="left"/>
    </w:lvl>
    <w:lvl w:ilvl="3" w:tplc="7A360BD4">
      <w:numFmt w:val="decimal"/>
      <w:lvlText w:val=""/>
      <w:lvlJc w:val="left"/>
    </w:lvl>
    <w:lvl w:ilvl="4" w:tplc="0422D0F8">
      <w:numFmt w:val="decimal"/>
      <w:lvlText w:val=""/>
      <w:lvlJc w:val="left"/>
    </w:lvl>
    <w:lvl w:ilvl="5" w:tplc="7B10BB44">
      <w:numFmt w:val="decimal"/>
      <w:lvlText w:val=""/>
      <w:lvlJc w:val="left"/>
    </w:lvl>
    <w:lvl w:ilvl="6" w:tplc="D132180E">
      <w:numFmt w:val="decimal"/>
      <w:lvlText w:val=""/>
      <w:lvlJc w:val="left"/>
    </w:lvl>
    <w:lvl w:ilvl="7" w:tplc="295E847E">
      <w:numFmt w:val="decimal"/>
      <w:lvlText w:val=""/>
      <w:lvlJc w:val="left"/>
    </w:lvl>
    <w:lvl w:ilvl="8" w:tplc="630073E4">
      <w:numFmt w:val="decimal"/>
      <w:lvlText w:val=""/>
      <w:lvlJc w:val="left"/>
    </w:lvl>
  </w:abstractNum>
  <w:abstractNum w:abstractNumId="165" w15:restartNumberingAfterBreak="0">
    <w:nsid w:val="11E774E0"/>
    <w:multiLevelType w:val="hybridMultilevel"/>
    <w:tmpl w:val="2E6EAD78"/>
    <w:lvl w:ilvl="0" w:tplc="82BA8316">
      <w:start w:val="1"/>
      <w:numFmt w:val="bullet"/>
      <w:lvlText w:val=""/>
      <w:lvlJc w:val="left"/>
      <w:pPr>
        <w:ind w:left="720" w:hanging="360"/>
      </w:pPr>
      <w:rPr>
        <w:rFonts w:ascii="Symbol" w:hAnsi="Symbol" w:hint="default"/>
      </w:rPr>
    </w:lvl>
    <w:lvl w:ilvl="1" w:tplc="83AA7BD0">
      <w:numFmt w:val="decimal"/>
      <w:lvlText w:val=""/>
      <w:lvlJc w:val="left"/>
    </w:lvl>
    <w:lvl w:ilvl="2" w:tplc="5CF48728">
      <w:numFmt w:val="decimal"/>
      <w:lvlText w:val=""/>
      <w:lvlJc w:val="left"/>
    </w:lvl>
    <w:lvl w:ilvl="3" w:tplc="8BEEC0C2">
      <w:numFmt w:val="decimal"/>
      <w:lvlText w:val=""/>
      <w:lvlJc w:val="left"/>
    </w:lvl>
    <w:lvl w:ilvl="4" w:tplc="8D60200E">
      <w:numFmt w:val="decimal"/>
      <w:lvlText w:val=""/>
      <w:lvlJc w:val="left"/>
    </w:lvl>
    <w:lvl w:ilvl="5" w:tplc="168C4C20">
      <w:numFmt w:val="decimal"/>
      <w:lvlText w:val=""/>
      <w:lvlJc w:val="left"/>
    </w:lvl>
    <w:lvl w:ilvl="6" w:tplc="FEF2229E">
      <w:numFmt w:val="decimal"/>
      <w:lvlText w:val=""/>
      <w:lvlJc w:val="left"/>
    </w:lvl>
    <w:lvl w:ilvl="7" w:tplc="75CEFA66">
      <w:numFmt w:val="decimal"/>
      <w:lvlText w:val=""/>
      <w:lvlJc w:val="left"/>
    </w:lvl>
    <w:lvl w:ilvl="8" w:tplc="B9129692">
      <w:numFmt w:val="decimal"/>
      <w:lvlText w:val=""/>
      <w:lvlJc w:val="left"/>
    </w:lvl>
  </w:abstractNum>
  <w:abstractNum w:abstractNumId="166" w15:restartNumberingAfterBreak="0">
    <w:nsid w:val="11F1078D"/>
    <w:multiLevelType w:val="hybridMultilevel"/>
    <w:tmpl w:val="AA864506"/>
    <w:lvl w:ilvl="0" w:tplc="7E78688E">
      <w:start w:val="1"/>
      <w:numFmt w:val="bullet"/>
      <w:lvlText w:val=""/>
      <w:lvlJc w:val="left"/>
      <w:pPr>
        <w:ind w:left="720" w:hanging="360"/>
      </w:pPr>
      <w:rPr>
        <w:rFonts w:ascii="Symbol" w:hAnsi="Symbol" w:hint="default"/>
      </w:rPr>
    </w:lvl>
    <w:lvl w:ilvl="1" w:tplc="8192607E">
      <w:numFmt w:val="decimal"/>
      <w:lvlText w:val=""/>
      <w:lvlJc w:val="left"/>
    </w:lvl>
    <w:lvl w:ilvl="2" w:tplc="1832A090">
      <w:numFmt w:val="decimal"/>
      <w:lvlText w:val=""/>
      <w:lvlJc w:val="left"/>
    </w:lvl>
    <w:lvl w:ilvl="3" w:tplc="23782D1A">
      <w:numFmt w:val="decimal"/>
      <w:lvlText w:val=""/>
      <w:lvlJc w:val="left"/>
    </w:lvl>
    <w:lvl w:ilvl="4" w:tplc="A4E43502">
      <w:numFmt w:val="decimal"/>
      <w:lvlText w:val=""/>
      <w:lvlJc w:val="left"/>
    </w:lvl>
    <w:lvl w:ilvl="5" w:tplc="0DA82C82">
      <w:numFmt w:val="decimal"/>
      <w:lvlText w:val=""/>
      <w:lvlJc w:val="left"/>
    </w:lvl>
    <w:lvl w:ilvl="6" w:tplc="DA7C72F8">
      <w:numFmt w:val="decimal"/>
      <w:lvlText w:val=""/>
      <w:lvlJc w:val="left"/>
    </w:lvl>
    <w:lvl w:ilvl="7" w:tplc="ED7087C4">
      <w:numFmt w:val="decimal"/>
      <w:lvlText w:val=""/>
      <w:lvlJc w:val="left"/>
    </w:lvl>
    <w:lvl w:ilvl="8" w:tplc="D08E577E">
      <w:numFmt w:val="decimal"/>
      <w:lvlText w:val=""/>
      <w:lvlJc w:val="left"/>
    </w:lvl>
  </w:abstractNum>
  <w:abstractNum w:abstractNumId="167" w15:restartNumberingAfterBreak="0">
    <w:nsid w:val="12173606"/>
    <w:multiLevelType w:val="hybridMultilevel"/>
    <w:tmpl w:val="8480A066"/>
    <w:lvl w:ilvl="0" w:tplc="04C8C3B8">
      <w:start w:val="1"/>
      <w:numFmt w:val="bullet"/>
      <w:lvlText w:val=""/>
      <w:lvlJc w:val="left"/>
      <w:pPr>
        <w:ind w:left="720" w:hanging="360"/>
      </w:pPr>
      <w:rPr>
        <w:rFonts w:ascii="Symbol" w:hAnsi="Symbol" w:hint="default"/>
      </w:rPr>
    </w:lvl>
    <w:lvl w:ilvl="1" w:tplc="2624858C">
      <w:numFmt w:val="decimal"/>
      <w:lvlText w:val=""/>
      <w:lvlJc w:val="left"/>
    </w:lvl>
    <w:lvl w:ilvl="2" w:tplc="D00E23A0">
      <w:numFmt w:val="decimal"/>
      <w:lvlText w:val=""/>
      <w:lvlJc w:val="left"/>
    </w:lvl>
    <w:lvl w:ilvl="3" w:tplc="FC40BCC2">
      <w:numFmt w:val="decimal"/>
      <w:lvlText w:val=""/>
      <w:lvlJc w:val="left"/>
    </w:lvl>
    <w:lvl w:ilvl="4" w:tplc="18C6CFBE">
      <w:numFmt w:val="decimal"/>
      <w:lvlText w:val=""/>
      <w:lvlJc w:val="left"/>
    </w:lvl>
    <w:lvl w:ilvl="5" w:tplc="48C080C8">
      <w:numFmt w:val="decimal"/>
      <w:lvlText w:val=""/>
      <w:lvlJc w:val="left"/>
    </w:lvl>
    <w:lvl w:ilvl="6" w:tplc="02FAAA5A">
      <w:numFmt w:val="decimal"/>
      <w:lvlText w:val=""/>
      <w:lvlJc w:val="left"/>
    </w:lvl>
    <w:lvl w:ilvl="7" w:tplc="B74215BE">
      <w:numFmt w:val="decimal"/>
      <w:lvlText w:val=""/>
      <w:lvlJc w:val="left"/>
    </w:lvl>
    <w:lvl w:ilvl="8" w:tplc="7444BB5C">
      <w:numFmt w:val="decimal"/>
      <w:lvlText w:val=""/>
      <w:lvlJc w:val="left"/>
    </w:lvl>
  </w:abstractNum>
  <w:abstractNum w:abstractNumId="168" w15:restartNumberingAfterBreak="0">
    <w:nsid w:val="12212C4D"/>
    <w:multiLevelType w:val="hybridMultilevel"/>
    <w:tmpl w:val="8F8A12DA"/>
    <w:lvl w:ilvl="0" w:tplc="7E68FA6A">
      <w:start w:val="1"/>
      <w:numFmt w:val="bullet"/>
      <w:lvlText w:val=""/>
      <w:lvlJc w:val="left"/>
      <w:pPr>
        <w:ind w:left="720" w:hanging="360"/>
      </w:pPr>
      <w:rPr>
        <w:rFonts w:ascii="Symbol" w:hAnsi="Symbol" w:hint="default"/>
      </w:rPr>
    </w:lvl>
    <w:lvl w:ilvl="1" w:tplc="525020A8">
      <w:numFmt w:val="decimal"/>
      <w:lvlText w:val=""/>
      <w:lvlJc w:val="left"/>
    </w:lvl>
    <w:lvl w:ilvl="2" w:tplc="2F7C249A">
      <w:numFmt w:val="decimal"/>
      <w:lvlText w:val=""/>
      <w:lvlJc w:val="left"/>
    </w:lvl>
    <w:lvl w:ilvl="3" w:tplc="92065982">
      <w:numFmt w:val="decimal"/>
      <w:lvlText w:val=""/>
      <w:lvlJc w:val="left"/>
    </w:lvl>
    <w:lvl w:ilvl="4" w:tplc="692E8F6C">
      <w:numFmt w:val="decimal"/>
      <w:lvlText w:val=""/>
      <w:lvlJc w:val="left"/>
    </w:lvl>
    <w:lvl w:ilvl="5" w:tplc="C5E68BD2">
      <w:numFmt w:val="decimal"/>
      <w:lvlText w:val=""/>
      <w:lvlJc w:val="left"/>
    </w:lvl>
    <w:lvl w:ilvl="6" w:tplc="71F2CD32">
      <w:numFmt w:val="decimal"/>
      <w:lvlText w:val=""/>
      <w:lvlJc w:val="left"/>
    </w:lvl>
    <w:lvl w:ilvl="7" w:tplc="A42E2766">
      <w:numFmt w:val="decimal"/>
      <w:lvlText w:val=""/>
      <w:lvlJc w:val="left"/>
    </w:lvl>
    <w:lvl w:ilvl="8" w:tplc="C8E0CA4E">
      <w:numFmt w:val="decimal"/>
      <w:lvlText w:val=""/>
      <w:lvlJc w:val="left"/>
    </w:lvl>
  </w:abstractNum>
  <w:abstractNum w:abstractNumId="169" w15:restartNumberingAfterBreak="0">
    <w:nsid w:val="12284B7E"/>
    <w:multiLevelType w:val="hybridMultilevel"/>
    <w:tmpl w:val="EB0A9CBC"/>
    <w:lvl w:ilvl="0" w:tplc="7FC066B6">
      <w:start w:val="1"/>
      <w:numFmt w:val="bullet"/>
      <w:lvlText w:val=""/>
      <w:lvlJc w:val="left"/>
      <w:pPr>
        <w:ind w:left="720" w:hanging="360"/>
      </w:pPr>
      <w:rPr>
        <w:rFonts w:ascii="Symbol" w:hAnsi="Symbol" w:hint="default"/>
      </w:rPr>
    </w:lvl>
    <w:lvl w:ilvl="1" w:tplc="D94002A2">
      <w:numFmt w:val="decimal"/>
      <w:lvlText w:val=""/>
      <w:lvlJc w:val="left"/>
    </w:lvl>
    <w:lvl w:ilvl="2" w:tplc="5F7C6D96">
      <w:numFmt w:val="decimal"/>
      <w:lvlText w:val=""/>
      <w:lvlJc w:val="left"/>
    </w:lvl>
    <w:lvl w:ilvl="3" w:tplc="6B7E4C6A">
      <w:numFmt w:val="decimal"/>
      <w:lvlText w:val=""/>
      <w:lvlJc w:val="left"/>
    </w:lvl>
    <w:lvl w:ilvl="4" w:tplc="E70C5B32">
      <w:numFmt w:val="decimal"/>
      <w:lvlText w:val=""/>
      <w:lvlJc w:val="left"/>
    </w:lvl>
    <w:lvl w:ilvl="5" w:tplc="191248AA">
      <w:numFmt w:val="decimal"/>
      <w:lvlText w:val=""/>
      <w:lvlJc w:val="left"/>
    </w:lvl>
    <w:lvl w:ilvl="6" w:tplc="16A88E8E">
      <w:numFmt w:val="decimal"/>
      <w:lvlText w:val=""/>
      <w:lvlJc w:val="left"/>
    </w:lvl>
    <w:lvl w:ilvl="7" w:tplc="76B22652">
      <w:numFmt w:val="decimal"/>
      <w:lvlText w:val=""/>
      <w:lvlJc w:val="left"/>
    </w:lvl>
    <w:lvl w:ilvl="8" w:tplc="8A78867A">
      <w:numFmt w:val="decimal"/>
      <w:lvlText w:val=""/>
      <w:lvlJc w:val="left"/>
    </w:lvl>
  </w:abstractNum>
  <w:abstractNum w:abstractNumId="170" w15:restartNumberingAfterBreak="0">
    <w:nsid w:val="122C5437"/>
    <w:multiLevelType w:val="hybridMultilevel"/>
    <w:tmpl w:val="EDC092F4"/>
    <w:lvl w:ilvl="0" w:tplc="41362788">
      <w:start w:val="1"/>
      <w:numFmt w:val="bullet"/>
      <w:lvlText w:val=""/>
      <w:lvlJc w:val="left"/>
      <w:pPr>
        <w:ind w:left="720" w:hanging="360"/>
      </w:pPr>
      <w:rPr>
        <w:rFonts w:ascii="Symbol" w:hAnsi="Symbol" w:hint="default"/>
      </w:rPr>
    </w:lvl>
    <w:lvl w:ilvl="1" w:tplc="DAC41770">
      <w:numFmt w:val="decimal"/>
      <w:lvlText w:val=""/>
      <w:lvlJc w:val="left"/>
    </w:lvl>
    <w:lvl w:ilvl="2" w:tplc="9A961560">
      <w:numFmt w:val="decimal"/>
      <w:lvlText w:val=""/>
      <w:lvlJc w:val="left"/>
    </w:lvl>
    <w:lvl w:ilvl="3" w:tplc="69F8C540">
      <w:numFmt w:val="decimal"/>
      <w:lvlText w:val=""/>
      <w:lvlJc w:val="left"/>
    </w:lvl>
    <w:lvl w:ilvl="4" w:tplc="B53C6F78">
      <w:numFmt w:val="decimal"/>
      <w:lvlText w:val=""/>
      <w:lvlJc w:val="left"/>
    </w:lvl>
    <w:lvl w:ilvl="5" w:tplc="AFC6F1EE">
      <w:numFmt w:val="decimal"/>
      <w:lvlText w:val=""/>
      <w:lvlJc w:val="left"/>
    </w:lvl>
    <w:lvl w:ilvl="6" w:tplc="00786716">
      <w:numFmt w:val="decimal"/>
      <w:lvlText w:val=""/>
      <w:lvlJc w:val="left"/>
    </w:lvl>
    <w:lvl w:ilvl="7" w:tplc="2A2C2618">
      <w:numFmt w:val="decimal"/>
      <w:lvlText w:val=""/>
      <w:lvlJc w:val="left"/>
    </w:lvl>
    <w:lvl w:ilvl="8" w:tplc="C0B09D2A">
      <w:numFmt w:val="decimal"/>
      <w:lvlText w:val=""/>
      <w:lvlJc w:val="left"/>
    </w:lvl>
  </w:abstractNum>
  <w:abstractNum w:abstractNumId="171" w15:restartNumberingAfterBreak="0">
    <w:nsid w:val="12451D3C"/>
    <w:multiLevelType w:val="hybridMultilevel"/>
    <w:tmpl w:val="98BABDCC"/>
    <w:lvl w:ilvl="0" w:tplc="F61C43F6">
      <w:start w:val="1"/>
      <w:numFmt w:val="bullet"/>
      <w:lvlText w:val=""/>
      <w:lvlJc w:val="left"/>
      <w:pPr>
        <w:ind w:left="720" w:hanging="360"/>
      </w:pPr>
      <w:rPr>
        <w:rFonts w:ascii="Symbol" w:hAnsi="Symbol" w:hint="default"/>
      </w:rPr>
    </w:lvl>
    <w:lvl w:ilvl="1" w:tplc="B77EF7F6">
      <w:numFmt w:val="decimal"/>
      <w:lvlText w:val=""/>
      <w:lvlJc w:val="left"/>
    </w:lvl>
    <w:lvl w:ilvl="2" w:tplc="419EB994">
      <w:numFmt w:val="decimal"/>
      <w:lvlText w:val=""/>
      <w:lvlJc w:val="left"/>
    </w:lvl>
    <w:lvl w:ilvl="3" w:tplc="030E6E08">
      <w:numFmt w:val="decimal"/>
      <w:lvlText w:val=""/>
      <w:lvlJc w:val="left"/>
    </w:lvl>
    <w:lvl w:ilvl="4" w:tplc="C544510A">
      <w:numFmt w:val="decimal"/>
      <w:lvlText w:val=""/>
      <w:lvlJc w:val="left"/>
    </w:lvl>
    <w:lvl w:ilvl="5" w:tplc="46FCA926">
      <w:numFmt w:val="decimal"/>
      <w:lvlText w:val=""/>
      <w:lvlJc w:val="left"/>
    </w:lvl>
    <w:lvl w:ilvl="6" w:tplc="9B3CE156">
      <w:numFmt w:val="decimal"/>
      <w:lvlText w:val=""/>
      <w:lvlJc w:val="left"/>
    </w:lvl>
    <w:lvl w:ilvl="7" w:tplc="1C1A9AF2">
      <w:numFmt w:val="decimal"/>
      <w:lvlText w:val=""/>
      <w:lvlJc w:val="left"/>
    </w:lvl>
    <w:lvl w:ilvl="8" w:tplc="D1A642D0">
      <w:numFmt w:val="decimal"/>
      <w:lvlText w:val=""/>
      <w:lvlJc w:val="left"/>
    </w:lvl>
  </w:abstractNum>
  <w:abstractNum w:abstractNumId="172" w15:restartNumberingAfterBreak="0">
    <w:nsid w:val="124E7629"/>
    <w:multiLevelType w:val="hybridMultilevel"/>
    <w:tmpl w:val="A9BC2A72"/>
    <w:lvl w:ilvl="0" w:tplc="C83E7EC8">
      <w:start w:val="1"/>
      <w:numFmt w:val="bullet"/>
      <w:lvlText w:val=""/>
      <w:lvlJc w:val="left"/>
      <w:pPr>
        <w:ind w:left="720" w:hanging="360"/>
      </w:pPr>
      <w:rPr>
        <w:rFonts w:ascii="Symbol" w:hAnsi="Symbol" w:hint="default"/>
      </w:rPr>
    </w:lvl>
    <w:lvl w:ilvl="1" w:tplc="40EE3D2C">
      <w:numFmt w:val="decimal"/>
      <w:lvlText w:val=""/>
      <w:lvlJc w:val="left"/>
    </w:lvl>
    <w:lvl w:ilvl="2" w:tplc="3B5A6D26">
      <w:numFmt w:val="decimal"/>
      <w:lvlText w:val=""/>
      <w:lvlJc w:val="left"/>
    </w:lvl>
    <w:lvl w:ilvl="3" w:tplc="E44CD946">
      <w:numFmt w:val="decimal"/>
      <w:lvlText w:val=""/>
      <w:lvlJc w:val="left"/>
    </w:lvl>
    <w:lvl w:ilvl="4" w:tplc="D1D8F198">
      <w:numFmt w:val="decimal"/>
      <w:lvlText w:val=""/>
      <w:lvlJc w:val="left"/>
    </w:lvl>
    <w:lvl w:ilvl="5" w:tplc="187A52AA">
      <w:numFmt w:val="decimal"/>
      <w:lvlText w:val=""/>
      <w:lvlJc w:val="left"/>
    </w:lvl>
    <w:lvl w:ilvl="6" w:tplc="97F4EB98">
      <w:numFmt w:val="decimal"/>
      <w:lvlText w:val=""/>
      <w:lvlJc w:val="left"/>
    </w:lvl>
    <w:lvl w:ilvl="7" w:tplc="D2A6C94A">
      <w:numFmt w:val="decimal"/>
      <w:lvlText w:val=""/>
      <w:lvlJc w:val="left"/>
    </w:lvl>
    <w:lvl w:ilvl="8" w:tplc="AE4C2030">
      <w:numFmt w:val="decimal"/>
      <w:lvlText w:val=""/>
      <w:lvlJc w:val="left"/>
    </w:lvl>
  </w:abstractNum>
  <w:abstractNum w:abstractNumId="173" w15:restartNumberingAfterBreak="0">
    <w:nsid w:val="126E47F7"/>
    <w:multiLevelType w:val="hybridMultilevel"/>
    <w:tmpl w:val="312268C0"/>
    <w:lvl w:ilvl="0" w:tplc="07362382">
      <w:start w:val="1"/>
      <w:numFmt w:val="bullet"/>
      <w:lvlText w:val=""/>
      <w:lvlJc w:val="left"/>
      <w:pPr>
        <w:ind w:left="720" w:hanging="360"/>
      </w:pPr>
      <w:rPr>
        <w:rFonts w:ascii="Symbol" w:hAnsi="Symbol" w:hint="default"/>
      </w:rPr>
    </w:lvl>
    <w:lvl w:ilvl="1" w:tplc="86EC6F96">
      <w:numFmt w:val="decimal"/>
      <w:lvlText w:val=""/>
      <w:lvlJc w:val="left"/>
    </w:lvl>
    <w:lvl w:ilvl="2" w:tplc="6A14178E">
      <w:numFmt w:val="decimal"/>
      <w:lvlText w:val=""/>
      <w:lvlJc w:val="left"/>
    </w:lvl>
    <w:lvl w:ilvl="3" w:tplc="F2F43296">
      <w:numFmt w:val="decimal"/>
      <w:lvlText w:val=""/>
      <w:lvlJc w:val="left"/>
    </w:lvl>
    <w:lvl w:ilvl="4" w:tplc="327C1918">
      <w:numFmt w:val="decimal"/>
      <w:lvlText w:val=""/>
      <w:lvlJc w:val="left"/>
    </w:lvl>
    <w:lvl w:ilvl="5" w:tplc="FF32BC56">
      <w:numFmt w:val="decimal"/>
      <w:lvlText w:val=""/>
      <w:lvlJc w:val="left"/>
    </w:lvl>
    <w:lvl w:ilvl="6" w:tplc="C1849E76">
      <w:numFmt w:val="decimal"/>
      <w:lvlText w:val=""/>
      <w:lvlJc w:val="left"/>
    </w:lvl>
    <w:lvl w:ilvl="7" w:tplc="8D40537E">
      <w:numFmt w:val="decimal"/>
      <w:lvlText w:val=""/>
      <w:lvlJc w:val="left"/>
    </w:lvl>
    <w:lvl w:ilvl="8" w:tplc="7AF697FA">
      <w:numFmt w:val="decimal"/>
      <w:lvlText w:val=""/>
      <w:lvlJc w:val="left"/>
    </w:lvl>
  </w:abstractNum>
  <w:abstractNum w:abstractNumId="174" w15:restartNumberingAfterBreak="0">
    <w:nsid w:val="128E019B"/>
    <w:multiLevelType w:val="hybridMultilevel"/>
    <w:tmpl w:val="95E4D75E"/>
    <w:lvl w:ilvl="0" w:tplc="E5EC50B4">
      <w:numFmt w:val="decimal"/>
      <w:lvlText w:val=""/>
      <w:lvlJc w:val="left"/>
    </w:lvl>
    <w:lvl w:ilvl="1" w:tplc="99E808FA">
      <w:start w:val="1"/>
      <w:numFmt w:val="bullet"/>
      <w:lvlText w:val=""/>
      <w:lvlJc w:val="left"/>
      <w:pPr>
        <w:ind w:left="1440" w:hanging="360"/>
      </w:pPr>
      <w:rPr>
        <w:rFonts w:ascii="Symbol" w:hAnsi="Symbol" w:hint="default"/>
      </w:rPr>
    </w:lvl>
    <w:lvl w:ilvl="2" w:tplc="DC8C7BBC">
      <w:numFmt w:val="decimal"/>
      <w:lvlText w:val=""/>
      <w:lvlJc w:val="left"/>
    </w:lvl>
    <w:lvl w:ilvl="3" w:tplc="7592CCB4">
      <w:numFmt w:val="decimal"/>
      <w:lvlText w:val=""/>
      <w:lvlJc w:val="left"/>
    </w:lvl>
    <w:lvl w:ilvl="4" w:tplc="A8F672D2">
      <w:numFmt w:val="decimal"/>
      <w:lvlText w:val=""/>
      <w:lvlJc w:val="left"/>
    </w:lvl>
    <w:lvl w:ilvl="5" w:tplc="6BFE858A">
      <w:numFmt w:val="decimal"/>
      <w:lvlText w:val=""/>
      <w:lvlJc w:val="left"/>
    </w:lvl>
    <w:lvl w:ilvl="6" w:tplc="613E0828">
      <w:numFmt w:val="decimal"/>
      <w:lvlText w:val=""/>
      <w:lvlJc w:val="left"/>
    </w:lvl>
    <w:lvl w:ilvl="7" w:tplc="287ED78A">
      <w:numFmt w:val="decimal"/>
      <w:lvlText w:val=""/>
      <w:lvlJc w:val="left"/>
    </w:lvl>
    <w:lvl w:ilvl="8" w:tplc="894CA4EE">
      <w:numFmt w:val="decimal"/>
      <w:lvlText w:val=""/>
      <w:lvlJc w:val="left"/>
    </w:lvl>
  </w:abstractNum>
  <w:abstractNum w:abstractNumId="175" w15:restartNumberingAfterBreak="0">
    <w:nsid w:val="129E7632"/>
    <w:multiLevelType w:val="hybridMultilevel"/>
    <w:tmpl w:val="7AB6FE14"/>
    <w:lvl w:ilvl="0" w:tplc="102483A2">
      <w:start w:val="1"/>
      <w:numFmt w:val="bullet"/>
      <w:lvlText w:val=""/>
      <w:lvlJc w:val="left"/>
      <w:pPr>
        <w:ind w:left="720" w:hanging="360"/>
      </w:pPr>
      <w:rPr>
        <w:rFonts w:ascii="Symbol" w:hAnsi="Symbol" w:hint="default"/>
      </w:rPr>
    </w:lvl>
    <w:lvl w:ilvl="1" w:tplc="653C050C">
      <w:numFmt w:val="decimal"/>
      <w:lvlText w:val=""/>
      <w:lvlJc w:val="left"/>
    </w:lvl>
    <w:lvl w:ilvl="2" w:tplc="E75A0CA0">
      <w:numFmt w:val="decimal"/>
      <w:lvlText w:val=""/>
      <w:lvlJc w:val="left"/>
    </w:lvl>
    <w:lvl w:ilvl="3" w:tplc="94B6902C">
      <w:numFmt w:val="decimal"/>
      <w:lvlText w:val=""/>
      <w:lvlJc w:val="left"/>
    </w:lvl>
    <w:lvl w:ilvl="4" w:tplc="7506F908">
      <w:numFmt w:val="decimal"/>
      <w:lvlText w:val=""/>
      <w:lvlJc w:val="left"/>
    </w:lvl>
    <w:lvl w:ilvl="5" w:tplc="37FE714A">
      <w:numFmt w:val="decimal"/>
      <w:lvlText w:val=""/>
      <w:lvlJc w:val="left"/>
    </w:lvl>
    <w:lvl w:ilvl="6" w:tplc="95242F76">
      <w:numFmt w:val="decimal"/>
      <w:lvlText w:val=""/>
      <w:lvlJc w:val="left"/>
    </w:lvl>
    <w:lvl w:ilvl="7" w:tplc="50CE3E10">
      <w:numFmt w:val="decimal"/>
      <w:lvlText w:val=""/>
      <w:lvlJc w:val="left"/>
    </w:lvl>
    <w:lvl w:ilvl="8" w:tplc="656AF34C">
      <w:numFmt w:val="decimal"/>
      <w:lvlText w:val=""/>
      <w:lvlJc w:val="left"/>
    </w:lvl>
  </w:abstractNum>
  <w:abstractNum w:abstractNumId="176" w15:restartNumberingAfterBreak="0">
    <w:nsid w:val="12BA2276"/>
    <w:multiLevelType w:val="hybridMultilevel"/>
    <w:tmpl w:val="7F787AF4"/>
    <w:lvl w:ilvl="0" w:tplc="82603A8C">
      <w:start w:val="1"/>
      <w:numFmt w:val="bullet"/>
      <w:lvlText w:val=""/>
      <w:lvlJc w:val="left"/>
      <w:pPr>
        <w:ind w:left="720" w:hanging="360"/>
      </w:pPr>
      <w:rPr>
        <w:rFonts w:ascii="Symbol" w:hAnsi="Symbol" w:hint="default"/>
      </w:rPr>
    </w:lvl>
    <w:lvl w:ilvl="1" w:tplc="A0F444FC">
      <w:numFmt w:val="decimal"/>
      <w:lvlText w:val=""/>
      <w:lvlJc w:val="left"/>
    </w:lvl>
    <w:lvl w:ilvl="2" w:tplc="F41440B2">
      <w:numFmt w:val="decimal"/>
      <w:lvlText w:val=""/>
      <w:lvlJc w:val="left"/>
    </w:lvl>
    <w:lvl w:ilvl="3" w:tplc="7484492E">
      <w:numFmt w:val="decimal"/>
      <w:lvlText w:val=""/>
      <w:lvlJc w:val="left"/>
    </w:lvl>
    <w:lvl w:ilvl="4" w:tplc="F962DC38">
      <w:numFmt w:val="decimal"/>
      <w:lvlText w:val=""/>
      <w:lvlJc w:val="left"/>
    </w:lvl>
    <w:lvl w:ilvl="5" w:tplc="DFA8E71A">
      <w:numFmt w:val="decimal"/>
      <w:lvlText w:val=""/>
      <w:lvlJc w:val="left"/>
    </w:lvl>
    <w:lvl w:ilvl="6" w:tplc="58BCA9B0">
      <w:numFmt w:val="decimal"/>
      <w:lvlText w:val=""/>
      <w:lvlJc w:val="left"/>
    </w:lvl>
    <w:lvl w:ilvl="7" w:tplc="3CEA602A">
      <w:numFmt w:val="decimal"/>
      <w:lvlText w:val=""/>
      <w:lvlJc w:val="left"/>
    </w:lvl>
    <w:lvl w:ilvl="8" w:tplc="A75041B0">
      <w:numFmt w:val="decimal"/>
      <w:lvlText w:val=""/>
      <w:lvlJc w:val="left"/>
    </w:lvl>
  </w:abstractNum>
  <w:abstractNum w:abstractNumId="177" w15:restartNumberingAfterBreak="0">
    <w:nsid w:val="12C00083"/>
    <w:multiLevelType w:val="hybridMultilevel"/>
    <w:tmpl w:val="B74C6BD6"/>
    <w:lvl w:ilvl="0" w:tplc="8CA63122">
      <w:start w:val="1"/>
      <w:numFmt w:val="bullet"/>
      <w:lvlText w:val=""/>
      <w:lvlJc w:val="left"/>
      <w:pPr>
        <w:ind w:left="720" w:hanging="360"/>
      </w:pPr>
      <w:rPr>
        <w:rFonts w:ascii="Symbol" w:hAnsi="Symbol" w:hint="default"/>
      </w:rPr>
    </w:lvl>
    <w:lvl w:ilvl="1" w:tplc="68B09658">
      <w:numFmt w:val="decimal"/>
      <w:lvlText w:val=""/>
      <w:lvlJc w:val="left"/>
    </w:lvl>
    <w:lvl w:ilvl="2" w:tplc="3CCA93B8">
      <w:numFmt w:val="decimal"/>
      <w:lvlText w:val=""/>
      <w:lvlJc w:val="left"/>
    </w:lvl>
    <w:lvl w:ilvl="3" w:tplc="8F76043A">
      <w:numFmt w:val="decimal"/>
      <w:lvlText w:val=""/>
      <w:lvlJc w:val="left"/>
    </w:lvl>
    <w:lvl w:ilvl="4" w:tplc="62BAED60">
      <w:numFmt w:val="decimal"/>
      <w:lvlText w:val=""/>
      <w:lvlJc w:val="left"/>
    </w:lvl>
    <w:lvl w:ilvl="5" w:tplc="203E2EEA">
      <w:numFmt w:val="decimal"/>
      <w:lvlText w:val=""/>
      <w:lvlJc w:val="left"/>
    </w:lvl>
    <w:lvl w:ilvl="6" w:tplc="0DEA4456">
      <w:numFmt w:val="decimal"/>
      <w:lvlText w:val=""/>
      <w:lvlJc w:val="left"/>
    </w:lvl>
    <w:lvl w:ilvl="7" w:tplc="FA60EFE4">
      <w:numFmt w:val="decimal"/>
      <w:lvlText w:val=""/>
      <w:lvlJc w:val="left"/>
    </w:lvl>
    <w:lvl w:ilvl="8" w:tplc="C2AE135E">
      <w:numFmt w:val="decimal"/>
      <w:lvlText w:val=""/>
      <w:lvlJc w:val="left"/>
    </w:lvl>
  </w:abstractNum>
  <w:abstractNum w:abstractNumId="178" w15:restartNumberingAfterBreak="0">
    <w:nsid w:val="12E475FB"/>
    <w:multiLevelType w:val="hybridMultilevel"/>
    <w:tmpl w:val="EAA082E4"/>
    <w:lvl w:ilvl="0" w:tplc="F08603CC">
      <w:start w:val="1"/>
      <w:numFmt w:val="bullet"/>
      <w:lvlText w:val=""/>
      <w:lvlJc w:val="left"/>
      <w:pPr>
        <w:ind w:left="720" w:hanging="360"/>
      </w:pPr>
      <w:rPr>
        <w:rFonts w:ascii="Symbol" w:hAnsi="Symbol" w:hint="default"/>
      </w:rPr>
    </w:lvl>
    <w:lvl w:ilvl="1" w:tplc="E132CC64">
      <w:numFmt w:val="decimal"/>
      <w:lvlText w:val=""/>
      <w:lvlJc w:val="left"/>
    </w:lvl>
    <w:lvl w:ilvl="2" w:tplc="A76C7558">
      <w:numFmt w:val="decimal"/>
      <w:lvlText w:val=""/>
      <w:lvlJc w:val="left"/>
    </w:lvl>
    <w:lvl w:ilvl="3" w:tplc="22C08F86">
      <w:numFmt w:val="decimal"/>
      <w:lvlText w:val=""/>
      <w:lvlJc w:val="left"/>
    </w:lvl>
    <w:lvl w:ilvl="4" w:tplc="AC085508">
      <w:numFmt w:val="decimal"/>
      <w:lvlText w:val=""/>
      <w:lvlJc w:val="left"/>
    </w:lvl>
    <w:lvl w:ilvl="5" w:tplc="77CC4918">
      <w:numFmt w:val="decimal"/>
      <w:lvlText w:val=""/>
      <w:lvlJc w:val="left"/>
    </w:lvl>
    <w:lvl w:ilvl="6" w:tplc="78D03CFC">
      <w:numFmt w:val="decimal"/>
      <w:lvlText w:val=""/>
      <w:lvlJc w:val="left"/>
    </w:lvl>
    <w:lvl w:ilvl="7" w:tplc="00004B16">
      <w:numFmt w:val="decimal"/>
      <w:lvlText w:val=""/>
      <w:lvlJc w:val="left"/>
    </w:lvl>
    <w:lvl w:ilvl="8" w:tplc="F564830E">
      <w:numFmt w:val="decimal"/>
      <w:lvlText w:val=""/>
      <w:lvlJc w:val="left"/>
    </w:lvl>
  </w:abstractNum>
  <w:abstractNum w:abstractNumId="179" w15:restartNumberingAfterBreak="0">
    <w:nsid w:val="12FC0B65"/>
    <w:multiLevelType w:val="hybridMultilevel"/>
    <w:tmpl w:val="833872D8"/>
    <w:lvl w:ilvl="0" w:tplc="626AD3FA">
      <w:start w:val="1"/>
      <w:numFmt w:val="bullet"/>
      <w:lvlText w:val=""/>
      <w:lvlJc w:val="left"/>
      <w:pPr>
        <w:ind w:left="720" w:hanging="360"/>
      </w:pPr>
      <w:rPr>
        <w:rFonts w:ascii="Symbol" w:hAnsi="Symbol" w:hint="default"/>
      </w:rPr>
    </w:lvl>
    <w:lvl w:ilvl="1" w:tplc="AB88065E">
      <w:numFmt w:val="decimal"/>
      <w:lvlText w:val=""/>
      <w:lvlJc w:val="left"/>
    </w:lvl>
    <w:lvl w:ilvl="2" w:tplc="B428EA06">
      <w:numFmt w:val="decimal"/>
      <w:lvlText w:val=""/>
      <w:lvlJc w:val="left"/>
    </w:lvl>
    <w:lvl w:ilvl="3" w:tplc="A10CC9A0">
      <w:numFmt w:val="decimal"/>
      <w:lvlText w:val=""/>
      <w:lvlJc w:val="left"/>
    </w:lvl>
    <w:lvl w:ilvl="4" w:tplc="B0B8290C">
      <w:numFmt w:val="decimal"/>
      <w:lvlText w:val=""/>
      <w:lvlJc w:val="left"/>
    </w:lvl>
    <w:lvl w:ilvl="5" w:tplc="06C404A6">
      <w:numFmt w:val="decimal"/>
      <w:lvlText w:val=""/>
      <w:lvlJc w:val="left"/>
    </w:lvl>
    <w:lvl w:ilvl="6" w:tplc="D3A2A97C">
      <w:numFmt w:val="decimal"/>
      <w:lvlText w:val=""/>
      <w:lvlJc w:val="left"/>
    </w:lvl>
    <w:lvl w:ilvl="7" w:tplc="A1ACD4A4">
      <w:numFmt w:val="decimal"/>
      <w:lvlText w:val=""/>
      <w:lvlJc w:val="left"/>
    </w:lvl>
    <w:lvl w:ilvl="8" w:tplc="241A6E52">
      <w:numFmt w:val="decimal"/>
      <w:lvlText w:val=""/>
      <w:lvlJc w:val="left"/>
    </w:lvl>
  </w:abstractNum>
  <w:abstractNum w:abstractNumId="180" w15:restartNumberingAfterBreak="0">
    <w:nsid w:val="13125372"/>
    <w:multiLevelType w:val="hybridMultilevel"/>
    <w:tmpl w:val="247ABF08"/>
    <w:lvl w:ilvl="0" w:tplc="24E81C2C">
      <w:start w:val="1"/>
      <w:numFmt w:val="bullet"/>
      <w:lvlText w:val=""/>
      <w:lvlJc w:val="left"/>
      <w:pPr>
        <w:ind w:left="720" w:hanging="360"/>
      </w:pPr>
      <w:rPr>
        <w:rFonts w:ascii="Symbol" w:hAnsi="Symbol" w:hint="default"/>
      </w:rPr>
    </w:lvl>
    <w:lvl w:ilvl="1" w:tplc="39862A48">
      <w:numFmt w:val="decimal"/>
      <w:lvlText w:val=""/>
      <w:lvlJc w:val="left"/>
    </w:lvl>
    <w:lvl w:ilvl="2" w:tplc="8B1E8542">
      <w:numFmt w:val="decimal"/>
      <w:lvlText w:val=""/>
      <w:lvlJc w:val="left"/>
    </w:lvl>
    <w:lvl w:ilvl="3" w:tplc="CD1427A6">
      <w:numFmt w:val="decimal"/>
      <w:lvlText w:val=""/>
      <w:lvlJc w:val="left"/>
    </w:lvl>
    <w:lvl w:ilvl="4" w:tplc="847AAC2A">
      <w:numFmt w:val="decimal"/>
      <w:lvlText w:val=""/>
      <w:lvlJc w:val="left"/>
    </w:lvl>
    <w:lvl w:ilvl="5" w:tplc="5EB60922">
      <w:numFmt w:val="decimal"/>
      <w:lvlText w:val=""/>
      <w:lvlJc w:val="left"/>
    </w:lvl>
    <w:lvl w:ilvl="6" w:tplc="96E8EB5C">
      <w:numFmt w:val="decimal"/>
      <w:lvlText w:val=""/>
      <w:lvlJc w:val="left"/>
    </w:lvl>
    <w:lvl w:ilvl="7" w:tplc="BF4A0D0A">
      <w:numFmt w:val="decimal"/>
      <w:lvlText w:val=""/>
      <w:lvlJc w:val="left"/>
    </w:lvl>
    <w:lvl w:ilvl="8" w:tplc="7F58CECC">
      <w:numFmt w:val="decimal"/>
      <w:lvlText w:val=""/>
      <w:lvlJc w:val="left"/>
    </w:lvl>
  </w:abstractNum>
  <w:abstractNum w:abstractNumId="181" w15:restartNumberingAfterBreak="0">
    <w:nsid w:val="13141517"/>
    <w:multiLevelType w:val="hybridMultilevel"/>
    <w:tmpl w:val="A82AD0A8"/>
    <w:lvl w:ilvl="0" w:tplc="5F3CDD14">
      <w:start w:val="1"/>
      <w:numFmt w:val="bullet"/>
      <w:lvlText w:val=""/>
      <w:lvlJc w:val="left"/>
      <w:pPr>
        <w:ind w:left="720" w:hanging="360"/>
      </w:pPr>
      <w:rPr>
        <w:rFonts w:ascii="Symbol" w:hAnsi="Symbol" w:hint="default"/>
      </w:rPr>
    </w:lvl>
    <w:lvl w:ilvl="1" w:tplc="F3DE3728">
      <w:numFmt w:val="decimal"/>
      <w:lvlText w:val=""/>
      <w:lvlJc w:val="left"/>
    </w:lvl>
    <w:lvl w:ilvl="2" w:tplc="8624B54E">
      <w:numFmt w:val="decimal"/>
      <w:lvlText w:val=""/>
      <w:lvlJc w:val="left"/>
    </w:lvl>
    <w:lvl w:ilvl="3" w:tplc="DFC41A60">
      <w:numFmt w:val="decimal"/>
      <w:lvlText w:val=""/>
      <w:lvlJc w:val="left"/>
    </w:lvl>
    <w:lvl w:ilvl="4" w:tplc="32263914">
      <w:numFmt w:val="decimal"/>
      <w:lvlText w:val=""/>
      <w:lvlJc w:val="left"/>
    </w:lvl>
    <w:lvl w:ilvl="5" w:tplc="17B629DC">
      <w:numFmt w:val="decimal"/>
      <w:lvlText w:val=""/>
      <w:lvlJc w:val="left"/>
    </w:lvl>
    <w:lvl w:ilvl="6" w:tplc="5276FA52">
      <w:numFmt w:val="decimal"/>
      <w:lvlText w:val=""/>
      <w:lvlJc w:val="left"/>
    </w:lvl>
    <w:lvl w:ilvl="7" w:tplc="B85C3430">
      <w:numFmt w:val="decimal"/>
      <w:lvlText w:val=""/>
      <w:lvlJc w:val="left"/>
    </w:lvl>
    <w:lvl w:ilvl="8" w:tplc="7B68DB32">
      <w:numFmt w:val="decimal"/>
      <w:lvlText w:val=""/>
      <w:lvlJc w:val="left"/>
    </w:lvl>
  </w:abstractNum>
  <w:abstractNum w:abstractNumId="182" w15:restartNumberingAfterBreak="0">
    <w:nsid w:val="13293CB5"/>
    <w:multiLevelType w:val="hybridMultilevel"/>
    <w:tmpl w:val="575AA8A0"/>
    <w:lvl w:ilvl="0" w:tplc="9A0433F8">
      <w:start w:val="1"/>
      <w:numFmt w:val="bullet"/>
      <w:lvlText w:val=""/>
      <w:lvlJc w:val="left"/>
      <w:pPr>
        <w:ind w:left="720" w:hanging="360"/>
      </w:pPr>
      <w:rPr>
        <w:rFonts w:ascii="Symbol" w:hAnsi="Symbol" w:hint="default"/>
      </w:rPr>
    </w:lvl>
    <w:lvl w:ilvl="1" w:tplc="2AC09570">
      <w:numFmt w:val="decimal"/>
      <w:lvlText w:val=""/>
      <w:lvlJc w:val="left"/>
    </w:lvl>
    <w:lvl w:ilvl="2" w:tplc="5FEC665C">
      <w:numFmt w:val="decimal"/>
      <w:lvlText w:val=""/>
      <w:lvlJc w:val="left"/>
    </w:lvl>
    <w:lvl w:ilvl="3" w:tplc="475056E2">
      <w:numFmt w:val="decimal"/>
      <w:lvlText w:val=""/>
      <w:lvlJc w:val="left"/>
    </w:lvl>
    <w:lvl w:ilvl="4" w:tplc="8FEE38F0">
      <w:numFmt w:val="decimal"/>
      <w:lvlText w:val=""/>
      <w:lvlJc w:val="left"/>
    </w:lvl>
    <w:lvl w:ilvl="5" w:tplc="A18CE492">
      <w:numFmt w:val="decimal"/>
      <w:lvlText w:val=""/>
      <w:lvlJc w:val="left"/>
    </w:lvl>
    <w:lvl w:ilvl="6" w:tplc="5180FFDA">
      <w:numFmt w:val="decimal"/>
      <w:lvlText w:val=""/>
      <w:lvlJc w:val="left"/>
    </w:lvl>
    <w:lvl w:ilvl="7" w:tplc="E0EAFE56">
      <w:numFmt w:val="decimal"/>
      <w:lvlText w:val=""/>
      <w:lvlJc w:val="left"/>
    </w:lvl>
    <w:lvl w:ilvl="8" w:tplc="B3DC7FC2">
      <w:numFmt w:val="decimal"/>
      <w:lvlText w:val=""/>
      <w:lvlJc w:val="left"/>
    </w:lvl>
  </w:abstractNum>
  <w:abstractNum w:abstractNumId="183" w15:restartNumberingAfterBreak="0">
    <w:nsid w:val="13304971"/>
    <w:multiLevelType w:val="hybridMultilevel"/>
    <w:tmpl w:val="9466B518"/>
    <w:lvl w:ilvl="0" w:tplc="ED264B86">
      <w:start w:val="1"/>
      <w:numFmt w:val="bullet"/>
      <w:lvlText w:val=""/>
      <w:lvlJc w:val="left"/>
      <w:pPr>
        <w:ind w:left="720" w:hanging="360"/>
      </w:pPr>
      <w:rPr>
        <w:rFonts w:ascii="Symbol" w:hAnsi="Symbol" w:hint="default"/>
      </w:rPr>
    </w:lvl>
    <w:lvl w:ilvl="1" w:tplc="BF0843A0">
      <w:numFmt w:val="decimal"/>
      <w:lvlText w:val=""/>
      <w:lvlJc w:val="left"/>
    </w:lvl>
    <w:lvl w:ilvl="2" w:tplc="B07C358A">
      <w:numFmt w:val="decimal"/>
      <w:lvlText w:val=""/>
      <w:lvlJc w:val="left"/>
    </w:lvl>
    <w:lvl w:ilvl="3" w:tplc="55700324">
      <w:numFmt w:val="decimal"/>
      <w:lvlText w:val=""/>
      <w:lvlJc w:val="left"/>
    </w:lvl>
    <w:lvl w:ilvl="4" w:tplc="F9408FDA">
      <w:numFmt w:val="decimal"/>
      <w:lvlText w:val=""/>
      <w:lvlJc w:val="left"/>
    </w:lvl>
    <w:lvl w:ilvl="5" w:tplc="0D12BEF6">
      <w:numFmt w:val="decimal"/>
      <w:lvlText w:val=""/>
      <w:lvlJc w:val="left"/>
    </w:lvl>
    <w:lvl w:ilvl="6" w:tplc="5E2649EE">
      <w:numFmt w:val="decimal"/>
      <w:lvlText w:val=""/>
      <w:lvlJc w:val="left"/>
    </w:lvl>
    <w:lvl w:ilvl="7" w:tplc="8ED04372">
      <w:numFmt w:val="decimal"/>
      <w:lvlText w:val=""/>
      <w:lvlJc w:val="left"/>
    </w:lvl>
    <w:lvl w:ilvl="8" w:tplc="E7C40882">
      <w:numFmt w:val="decimal"/>
      <w:lvlText w:val=""/>
      <w:lvlJc w:val="left"/>
    </w:lvl>
  </w:abstractNum>
  <w:abstractNum w:abstractNumId="184" w15:restartNumberingAfterBreak="0">
    <w:nsid w:val="138511A0"/>
    <w:multiLevelType w:val="hybridMultilevel"/>
    <w:tmpl w:val="9A100102"/>
    <w:lvl w:ilvl="0" w:tplc="0E74D0D6">
      <w:start w:val="1"/>
      <w:numFmt w:val="bullet"/>
      <w:lvlText w:val=""/>
      <w:lvlJc w:val="left"/>
      <w:pPr>
        <w:ind w:left="720" w:hanging="360"/>
      </w:pPr>
      <w:rPr>
        <w:rFonts w:ascii="Symbol" w:hAnsi="Symbol" w:hint="default"/>
      </w:rPr>
    </w:lvl>
    <w:lvl w:ilvl="1" w:tplc="223A5670">
      <w:numFmt w:val="decimal"/>
      <w:lvlText w:val=""/>
      <w:lvlJc w:val="left"/>
    </w:lvl>
    <w:lvl w:ilvl="2" w:tplc="7F8E0676">
      <w:numFmt w:val="decimal"/>
      <w:lvlText w:val=""/>
      <w:lvlJc w:val="left"/>
    </w:lvl>
    <w:lvl w:ilvl="3" w:tplc="36D4B70C">
      <w:numFmt w:val="decimal"/>
      <w:lvlText w:val=""/>
      <w:lvlJc w:val="left"/>
    </w:lvl>
    <w:lvl w:ilvl="4" w:tplc="C048FC96">
      <w:numFmt w:val="decimal"/>
      <w:lvlText w:val=""/>
      <w:lvlJc w:val="left"/>
    </w:lvl>
    <w:lvl w:ilvl="5" w:tplc="AB460B16">
      <w:numFmt w:val="decimal"/>
      <w:lvlText w:val=""/>
      <w:lvlJc w:val="left"/>
    </w:lvl>
    <w:lvl w:ilvl="6" w:tplc="AA84F5D2">
      <w:numFmt w:val="decimal"/>
      <w:lvlText w:val=""/>
      <w:lvlJc w:val="left"/>
    </w:lvl>
    <w:lvl w:ilvl="7" w:tplc="13364D14">
      <w:numFmt w:val="decimal"/>
      <w:lvlText w:val=""/>
      <w:lvlJc w:val="left"/>
    </w:lvl>
    <w:lvl w:ilvl="8" w:tplc="733A1A5E">
      <w:numFmt w:val="decimal"/>
      <w:lvlText w:val=""/>
      <w:lvlJc w:val="left"/>
    </w:lvl>
  </w:abstractNum>
  <w:abstractNum w:abstractNumId="185" w15:restartNumberingAfterBreak="0">
    <w:nsid w:val="13857E94"/>
    <w:multiLevelType w:val="hybridMultilevel"/>
    <w:tmpl w:val="760E5982"/>
    <w:lvl w:ilvl="0" w:tplc="56F69C74">
      <w:start w:val="1"/>
      <w:numFmt w:val="bullet"/>
      <w:lvlText w:val=""/>
      <w:lvlJc w:val="left"/>
      <w:pPr>
        <w:ind w:left="720" w:hanging="360"/>
      </w:pPr>
      <w:rPr>
        <w:rFonts w:ascii="Symbol" w:hAnsi="Symbol" w:hint="default"/>
      </w:rPr>
    </w:lvl>
    <w:lvl w:ilvl="1" w:tplc="A83A2984">
      <w:numFmt w:val="decimal"/>
      <w:lvlText w:val=""/>
      <w:lvlJc w:val="left"/>
    </w:lvl>
    <w:lvl w:ilvl="2" w:tplc="3A4C0542">
      <w:numFmt w:val="decimal"/>
      <w:lvlText w:val=""/>
      <w:lvlJc w:val="left"/>
    </w:lvl>
    <w:lvl w:ilvl="3" w:tplc="00D8CF3E">
      <w:numFmt w:val="decimal"/>
      <w:lvlText w:val=""/>
      <w:lvlJc w:val="left"/>
    </w:lvl>
    <w:lvl w:ilvl="4" w:tplc="16F8AA60">
      <w:numFmt w:val="decimal"/>
      <w:lvlText w:val=""/>
      <w:lvlJc w:val="left"/>
    </w:lvl>
    <w:lvl w:ilvl="5" w:tplc="A168B04C">
      <w:numFmt w:val="decimal"/>
      <w:lvlText w:val=""/>
      <w:lvlJc w:val="left"/>
    </w:lvl>
    <w:lvl w:ilvl="6" w:tplc="01AC6630">
      <w:numFmt w:val="decimal"/>
      <w:lvlText w:val=""/>
      <w:lvlJc w:val="left"/>
    </w:lvl>
    <w:lvl w:ilvl="7" w:tplc="9F723F96">
      <w:numFmt w:val="decimal"/>
      <w:lvlText w:val=""/>
      <w:lvlJc w:val="left"/>
    </w:lvl>
    <w:lvl w:ilvl="8" w:tplc="DBB41118">
      <w:numFmt w:val="decimal"/>
      <w:lvlText w:val=""/>
      <w:lvlJc w:val="left"/>
    </w:lvl>
  </w:abstractNum>
  <w:abstractNum w:abstractNumId="186" w15:restartNumberingAfterBreak="0">
    <w:nsid w:val="13A13FF9"/>
    <w:multiLevelType w:val="hybridMultilevel"/>
    <w:tmpl w:val="C442D2D0"/>
    <w:lvl w:ilvl="0" w:tplc="1B167CE4">
      <w:start w:val="1"/>
      <w:numFmt w:val="bullet"/>
      <w:lvlText w:val=""/>
      <w:lvlJc w:val="left"/>
      <w:pPr>
        <w:ind w:left="720" w:hanging="360"/>
      </w:pPr>
      <w:rPr>
        <w:rFonts w:ascii="Symbol" w:hAnsi="Symbol" w:hint="default"/>
      </w:rPr>
    </w:lvl>
    <w:lvl w:ilvl="1" w:tplc="A51CBC90">
      <w:numFmt w:val="decimal"/>
      <w:lvlText w:val=""/>
      <w:lvlJc w:val="left"/>
    </w:lvl>
    <w:lvl w:ilvl="2" w:tplc="4FB690FC">
      <w:numFmt w:val="decimal"/>
      <w:lvlText w:val=""/>
      <w:lvlJc w:val="left"/>
    </w:lvl>
    <w:lvl w:ilvl="3" w:tplc="806ACA80">
      <w:numFmt w:val="decimal"/>
      <w:lvlText w:val=""/>
      <w:lvlJc w:val="left"/>
    </w:lvl>
    <w:lvl w:ilvl="4" w:tplc="4DE0E5F6">
      <w:numFmt w:val="decimal"/>
      <w:lvlText w:val=""/>
      <w:lvlJc w:val="left"/>
    </w:lvl>
    <w:lvl w:ilvl="5" w:tplc="B0B0BDE0">
      <w:numFmt w:val="decimal"/>
      <w:lvlText w:val=""/>
      <w:lvlJc w:val="left"/>
    </w:lvl>
    <w:lvl w:ilvl="6" w:tplc="B3369B88">
      <w:numFmt w:val="decimal"/>
      <w:lvlText w:val=""/>
      <w:lvlJc w:val="left"/>
    </w:lvl>
    <w:lvl w:ilvl="7" w:tplc="1BAA91B0">
      <w:numFmt w:val="decimal"/>
      <w:lvlText w:val=""/>
      <w:lvlJc w:val="left"/>
    </w:lvl>
    <w:lvl w:ilvl="8" w:tplc="ADD44BEE">
      <w:numFmt w:val="decimal"/>
      <w:lvlText w:val=""/>
      <w:lvlJc w:val="left"/>
    </w:lvl>
  </w:abstractNum>
  <w:abstractNum w:abstractNumId="187" w15:restartNumberingAfterBreak="0">
    <w:nsid w:val="140D7D06"/>
    <w:multiLevelType w:val="hybridMultilevel"/>
    <w:tmpl w:val="4B8A3D3C"/>
    <w:lvl w:ilvl="0" w:tplc="B5B42A3C">
      <w:start w:val="1"/>
      <w:numFmt w:val="bullet"/>
      <w:lvlText w:val=""/>
      <w:lvlJc w:val="left"/>
      <w:pPr>
        <w:ind w:left="720" w:hanging="360"/>
      </w:pPr>
      <w:rPr>
        <w:rFonts w:ascii="Symbol" w:hAnsi="Symbol" w:hint="default"/>
      </w:rPr>
    </w:lvl>
    <w:lvl w:ilvl="1" w:tplc="B34625FE">
      <w:numFmt w:val="decimal"/>
      <w:lvlText w:val=""/>
      <w:lvlJc w:val="left"/>
    </w:lvl>
    <w:lvl w:ilvl="2" w:tplc="D6262108">
      <w:numFmt w:val="decimal"/>
      <w:lvlText w:val=""/>
      <w:lvlJc w:val="left"/>
    </w:lvl>
    <w:lvl w:ilvl="3" w:tplc="8E168D1C">
      <w:numFmt w:val="decimal"/>
      <w:lvlText w:val=""/>
      <w:lvlJc w:val="left"/>
    </w:lvl>
    <w:lvl w:ilvl="4" w:tplc="D12E640C">
      <w:numFmt w:val="decimal"/>
      <w:lvlText w:val=""/>
      <w:lvlJc w:val="left"/>
    </w:lvl>
    <w:lvl w:ilvl="5" w:tplc="7BA4C948">
      <w:numFmt w:val="decimal"/>
      <w:lvlText w:val=""/>
      <w:lvlJc w:val="left"/>
    </w:lvl>
    <w:lvl w:ilvl="6" w:tplc="6810843E">
      <w:numFmt w:val="decimal"/>
      <w:lvlText w:val=""/>
      <w:lvlJc w:val="left"/>
    </w:lvl>
    <w:lvl w:ilvl="7" w:tplc="E59A036C">
      <w:numFmt w:val="decimal"/>
      <w:lvlText w:val=""/>
      <w:lvlJc w:val="left"/>
    </w:lvl>
    <w:lvl w:ilvl="8" w:tplc="C36CBC10">
      <w:numFmt w:val="decimal"/>
      <w:lvlText w:val=""/>
      <w:lvlJc w:val="left"/>
    </w:lvl>
  </w:abstractNum>
  <w:abstractNum w:abstractNumId="188" w15:restartNumberingAfterBreak="0">
    <w:nsid w:val="14360EB0"/>
    <w:multiLevelType w:val="hybridMultilevel"/>
    <w:tmpl w:val="59B03506"/>
    <w:lvl w:ilvl="0" w:tplc="70886E2E">
      <w:start w:val="1"/>
      <w:numFmt w:val="bullet"/>
      <w:lvlText w:val=""/>
      <w:lvlJc w:val="left"/>
      <w:pPr>
        <w:ind w:left="720" w:hanging="360"/>
      </w:pPr>
      <w:rPr>
        <w:rFonts w:ascii="Symbol" w:hAnsi="Symbol" w:hint="default"/>
      </w:rPr>
    </w:lvl>
    <w:lvl w:ilvl="1" w:tplc="5EB6C37C">
      <w:numFmt w:val="decimal"/>
      <w:lvlText w:val=""/>
      <w:lvlJc w:val="left"/>
    </w:lvl>
    <w:lvl w:ilvl="2" w:tplc="E298A728">
      <w:numFmt w:val="decimal"/>
      <w:lvlText w:val=""/>
      <w:lvlJc w:val="left"/>
    </w:lvl>
    <w:lvl w:ilvl="3" w:tplc="40D0E4F4">
      <w:numFmt w:val="decimal"/>
      <w:lvlText w:val=""/>
      <w:lvlJc w:val="left"/>
    </w:lvl>
    <w:lvl w:ilvl="4" w:tplc="1CA66DF8">
      <w:numFmt w:val="decimal"/>
      <w:lvlText w:val=""/>
      <w:lvlJc w:val="left"/>
    </w:lvl>
    <w:lvl w:ilvl="5" w:tplc="3544D6B8">
      <w:numFmt w:val="decimal"/>
      <w:lvlText w:val=""/>
      <w:lvlJc w:val="left"/>
    </w:lvl>
    <w:lvl w:ilvl="6" w:tplc="FA5A0484">
      <w:numFmt w:val="decimal"/>
      <w:lvlText w:val=""/>
      <w:lvlJc w:val="left"/>
    </w:lvl>
    <w:lvl w:ilvl="7" w:tplc="8250A104">
      <w:numFmt w:val="decimal"/>
      <w:lvlText w:val=""/>
      <w:lvlJc w:val="left"/>
    </w:lvl>
    <w:lvl w:ilvl="8" w:tplc="A4C82F16">
      <w:numFmt w:val="decimal"/>
      <w:lvlText w:val=""/>
      <w:lvlJc w:val="left"/>
    </w:lvl>
  </w:abstractNum>
  <w:abstractNum w:abstractNumId="189" w15:restartNumberingAfterBreak="0">
    <w:nsid w:val="14677540"/>
    <w:multiLevelType w:val="hybridMultilevel"/>
    <w:tmpl w:val="F984C976"/>
    <w:lvl w:ilvl="0" w:tplc="596A9B7A">
      <w:start w:val="1"/>
      <w:numFmt w:val="bullet"/>
      <w:lvlText w:val=""/>
      <w:lvlJc w:val="left"/>
      <w:pPr>
        <w:ind w:left="720" w:hanging="360"/>
      </w:pPr>
      <w:rPr>
        <w:rFonts w:ascii="Symbol" w:hAnsi="Symbol" w:hint="default"/>
      </w:rPr>
    </w:lvl>
    <w:lvl w:ilvl="1" w:tplc="07905DF6">
      <w:numFmt w:val="decimal"/>
      <w:lvlText w:val=""/>
      <w:lvlJc w:val="left"/>
    </w:lvl>
    <w:lvl w:ilvl="2" w:tplc="1ADE2D98">
      <w:numFmt w:val="decimal"/>
      <w:lvlText w:val=""/>
      <w:lvlJc w:val="left"/>
    </w:lvl>
    <w:lvl w:ilvl="3" w:tplc="869CAF6E">
      <w:numFmt w:val="decimal"/>
      <w:lvlText w:val=""/>
      <w:lvlJc w:val="left"/>
    </w:lvl>
    <w:lvl w:ilvl="4" w:tplc="BEC4E51A">
      <w:numFmt w:val="decimal"/>
      <w:lvlText w:val=""/>
      <w:lvlJc w:val="left"/>
    </w:lvl>
    <w:lvl w:ilvl="5" w:tplc="9168E71E">
      <w:numFmt w:val="decimal"/>
      <w:lvlText w:val=""/>
      <w:lvlJc w:val="left"/>
    </w:lvl>
    <w:lvl w:ilvl="6" w:tplc="100C22E2">
      <w:numFmt w:val="decimal"/>
      <w:lvlText w:val=""/>
      <w:lvlJc w:val="left"/>
    </w:lvl>
    <w:lvl w:ilvl="7" w:tplc="B7606622">
      <w:numFmt w:val="decimal"/>
      <w:lvlText w:val=""/>
      <w:lvlJc w:val="left"/>
    </w:lvl>
    <w:lvl w:ilvl="8" w:tplc="B9DA71F8">
      <w:numFmt w:val="decimal"/>
      <w:lvlText w:val=""/>
      <w:lvlJc w:val="left"/>
    </w:lvl>
  </w:abstractNum>
  <w:abstractNum w:abstractNumId="190" w15:restartNumberingAfterBreak="0">
    <w:nsid w:val="14844B91"/>
    <w:multiLevelType w:val="hybridMultilevel"/>
    <w:tmpl w:val="9BD494D0"/>
    <w:lvl w:ilvl="0" w:tplc="847C1E2A">
      <w:start w:val="1"/>
      <w:numFmt w:val="bullet"/>
      <w:lvlText w:val=""/>
      <w:lvlJc w:val="left"/>
      <w:pPr>
        <w:ind w:left="720" w:hanging="360"/>
      </w:pPr>
      <w:rPr>
        <w:rFonts w:ascii="Symbol" w:hAnsi="Symbol" w:hint="default"/>
      </w:rPr>
    </w:lvl>
    <w:lvl w:ilvl="1" w:tplc="9CB0BD66">
      <w:numFmt w:val="decimal"/>
      <w:lvlText w:val=""/>
      <w:lvlJc w:val="left"/>
    </w:lvl>
    <w:lvl w:ilvl="2" w:tplc="A080CCAE">
      <w:numFmt w:val="decimal"/>
      <w:lvlText w:val=""/>
      <w:lvlJc w:val="left"/>
    </w:lvl>
    <w:lvl w:ilvl="3" w:tplc="A92A4A5E">
      <w:numFmt w:val="decimal"/>
      <w:lvlText w:val=""/>
      <w:lvlJc w:val="left"/>
    </w:lvl>
    <w:lvl w:ilvl="4" w:tplc="7892D392">
      <w:numFmt w:val="decimal"/>
      <w:lvlText w:val=""/>
      <w:lvlJc w:val="left"/>
    </w:lvl>
    <w:lvl w:ilvl="5" w:tplc="0CC406A2">
      <w:numFmt w:val="decimal"/>
      <w:lvlText w:val=""/>
      <w:lvlJc w:val="left"/>
    </w:lvl>
    <w:lvl w:ilvl="6" w:tplc="B1F212D6">
      <w:numFmt w:val="decimal"/>
      <w:lvlText w:val=""/>
      <w:lvlJc w:val="left"/>
    </w:lvl>
    <w:lvl w:ilvl="7" w:tplc="E646C498">
      <w:numFmt w:val="decimal"/>
      <w:lvlText w:val=""/>
      <w:lvlJc w:val="left"/>
    </w:lvl>
    <w:lvl w:ilvl="8" w:tplc="B2B69B9C">
      <w:numFmt w:val="decimal"/>
      <w:lvlText w:val=""/>
      <w:lvlJc w:val="left"/>
    </w:lvl>
  </w:abstractNum>
  <w:abstractNum w:abstractNumId="191" w15:restartNumberingAfterBreak="0">
    <w:nsid w:val="148C0212"/>
    <w:multiLevelType w:val="hybridMultilevel"/>
    <w:tmpl w:val="2EBC6A7E"/>
    <w:lvl w:ilvl="0" w:tplc="D12E809E">
      <w:start w:val="1"/>
      <w:numFmt w:val="bullet"/>
      <w:lvlText w:val=""/>
      <w:lvlJc w:val="left"/>
      <w:pPr>
        <w:ind w:left="720" w:hanging="360"/>
      </w:pPr>
      <w:rPr>
        <w:rFonts w:ascii="Symbol" w:hAnsi="Symbol" w:hint="default"/>
      </w:rPr>
    </w:lvl>
    <w:lvl w:ilvl="1" w:tplc="BF82727E">
      <w:numFmt w:val="decimal"/>
      <w:lvlText w:val=""/>
      <w:lvlJc w:val="left"/>
    </w:lvl>
    <w:lvl w:ilvl="2" w:tplc="C0FC1B32">
      <w:numFmt w:val="decimal"/>
      <w:lvlText w:val=""/>
      <w:lvlJc w:val="left"/>
    </w:lvl>
    <w:lvl w:ilvl="3" w:tplc="CC64BCEA">
      <w:numFmt w:val="decimal"/>
      <w:lvlText w:val=""/>
      <w:lvlJc w:val="left"/>
    </w:lvl>
    <w:lvl w:ilvl="4" w:tplc="1478A9A2">
      <w:numFmt w:val="decimal"/>
      <w:lvlText w:val=""/>
      <w:lvlJc w:val="left"/>
    </w:lvl>
    <w:lvl w:ilvl="5" w:tplc="31A88894">
      <w:numFmt w:val="decimal"/>
      <w:lvlText w:val=""/>
      <w:lvlJc w:val="left"/>
    </w:lvl>
    <w:lvl w:ilvl="6" w:tplc="36CEE9BA">
      <w:numFmt w:val="decimal"/>
      <w:lvlText w:val=""/>
      <w:lvlJc w:val="left"/>
    </w:lvl>
    <w:lvl w:ilvl="7" w:tplc="0DA26352">
      <w:numFmt w:val="decimal"/>
      <w:lvlText w:val=""/>
      <w:lvlJc w:val="left"/>
    </w:lvl>
    <w:lvl w:ilvl="8" w:tplc="CD0A6DA4">
      <w:numFmt w:val="decimal"/>
      <w:lvlText w:val=""/>
      <w:lvlJc w:val="left"/>
    </w:lvl>
  </w:abstractNum>
  <w:abstractNum w:abstractNumId="192" w15:restartNumberingAfterBreak="0">
    <w:nsid w:val="14941ABC"/>
    <w:multiLevelType w:val="hybridMultilevel"/>
    <w:tmpl w:val="96D60568"/>
    <w:lvl w:ilvl="0" w:tplc="A4D4EDF2">
      <w:start w:val="1"/>
      <w:numFmt w:val="bullet"/>
      <w:lvlText w:val=""/>
      <w:lvlJc w:val="left"/>
      <w:pPr>
        <w:ind w:left="720" w:hanging="360"/>
      </w:pPr>
      <w:rPr>
        <w:rFonts w:ascii="Symbol" w:hAnsi="Symbol" w:hint="default"/>
      </w:rPr>
    </w:lvl>
    <w:lvl w:ilvl="1" w:tplc="F43C554A">
      <w:numFmt w:val="decimal"/>
      <w:lvlText w:val=""/>
      <w:lvlJc w:val="left"/>
    </w:lvl>
    <w:lvl w:ilvl="2" w:tplc="7B362EAA">
      <w:numFmt w:val="decimal"/>
      <w:lvlText w:val=""/>
      <w:lvlJc w:val="left"/>
    </w:lvl>
    <w:lvl w:ilvl="3" w:tplc="8E2CDA72">
      <w:numFmt w:val="decimal"/>
      <w:lvlText w:val=""/>
      <w:lvlJc w:val="left"/>
    </w:lvl>
    <w:lvl w:ilvl="4" w:tplc="CF2C4022">
      <w:numFmt w:val="decimal"/>
      <w:lvlText w:val=""/>
      <w:lvlJc w:val="left"/>
    </w:lvl>
    <w:lvl w:ilvl="5" w:tplc="E23489F8">
      <w:numFmt w:val="decimal"/>
      <w:lvlText w:val=""/>
      <w:lvlJc w:val="left"/>
    </w:lvl>
    <w:lvl w:ilvl="6" w:tplc="510A7824">
      <w:numFmt w:val="decimal"/>
      <w:lvlText w:val=""/>
      <w:lvlJc w:val="left"/>
    </w:lvl>
    <w:lvl w:ilvl="7" w:tplc="8BD87FEC">
      <w:numFmt w:val="decimal"/>
      <w:lvlText w:val=""/>
      <w:lvlJc w:val="left"/>
    </w:lvl>
    <w:lvl w:ilvl="8" w:tplc="1EC00DAC">
      <w:numFmt w:val="decimal"/>
      <w:lvlText w:val=""/>
      <w:lvlJc w:val="left"/>
    </w:lvl>
  </w:abstractNum>
  <w:abstractNum w:abstractNumId="193" w15:restartNumberingAfterBreak="0">
    <w:nsid w:val="14CE687F"/>
    <w:multiLevelType w:val="hybridMultilevel"/>
    <w:tmpl w:val="3724B52E"/>
    <w:lvl w:ilvl="0" w:tplc="279044C4">
      <w:start w:val="1"/>
      <w:numFmt w:val="bullet"/>
      <w:lvlText w:val=""/>
      <w:lvlJc w:val="left"/>
      <w:pPr>
        <w:ind w:left="720" w:hanging="360"/>
      </w:pPr>
      <w:rPr>
        <w:rFonts w:ascii="Symbol" w:hAnsi="Symbol" w:hint="default"/>
      </w:rPr>
    </w:lvl>
    <w:lvl w:ilvl="1" w:tplc="7594492A">
      <w:numFmt w:val="decimal"/>
      <w:lvlText w:val=""/>
      <w:lvlJc w:val="left"/>
    </w:lvl>
    <w:lvl w:ilvl="2" w:tplc="4AB80108">
      <w:numFmt w:val="decimal"/>
      <w:lvlText w:val=""/>
      <w:lvlJc w:val="left"/>
    </w:lvl>
    <w:lvl w:ilvl="3" w:tplc="FD068C20">
      <w:numFmt w:val="decimal"/>
      <w:lvlText w:val=""/>
      <w:lvlJc w:val="left"/>
    </w:lvl>
    <w:lvl w:ilvl="4" w:tplc="46DCC184">
      <w:numFmt w:val="decimal"/>
      <w:lvlText w:val=""/>
      <w:lvlJc w:val="left"/>
    </w:lvl>
    <w:lvl w:ilvl="5" w:tplc="5876078A">
      <w:numFmt w:val="decimal"/>
      <w:lvlText w:val=""/>
      <w:lvlJc w:val="left"/>
    </w:lvl>
    <w:lvl w:ilvl="6" w:tplc="AF0E4A08">
      <w:numFmt w:val="decimal"/>
      <w:lvlText w:val=""/>
      <w:lvlJc w:val="left"/>
    </w:lvl>
    <w:lvl w:ilvl="7" w:tplc="8DD4850A">
      <w:numFmt w:val="decimal"/>
      <w:lvlText w:val=""/>
      <w:lvlJc w:val="left"/>
    </w:lvl>
    <w:lvl w:ilvl="8" w:tplc="6EA40F88">
      <w:numFmt w:val="decimal"/>
      <w:lvlText w:val=""/>
      <w:lvlJc w:val="left"/>
    </w:lvl>
  </w:abstractNum>
  <w:abstractNum w:abstractNumId="194" w15:restartNumberingAfterBreak="0">
    <w:nsid w:val="150F2362"/>
    <w:multiLevelType w:val="hybridMultilevel"/>
    <w:tmpl w:val="41B6432A"/>
    <w:lvl w:ilvl="0" w:tplc="153E64B4">
      <w:start w:val="1"/>
      <w:numFmt w:val="bullet"/>
      <w:lvlText w:val=""/>
      <w:lvlJc w:val="left"/>
      <w:pPr>
        <w:ind w:left="720" w:hanging="360"/>
      </w:pPr>
      <w:rPr>
        <w:rFonts w:ascii="Symbol" w:hAnsi="Symbol" w:hint="default"/>
      </w:rPr>
    </w:lvl>
    <w:lvl w:ilvl="1" w:tplc="AD7ACC38">
      <w:numFmt w:val="decimal"/>
      <w:lvlText w:val=""/>
      <w:lvlJc w:val="left"/>
    </w:lvl>
    <w:lvl w:ilvl="2" w:tplc="1EE6C438">
      <w:numFmt w:val="decimal"/>
      <w:lvlText w:val=""/>
      <w:lvlJc w:val="left"/>
    </w:lvl>
    <w:lvl w:ilvl="3" w:tplc="4844CEE6">
      <w:numFmt w:val="decimal"/>
      <w:lvlText w:val=""/>
      <w:lvlJc w:val="left"/>
    </w:lvl>
    <w:lvl w:ilvl="4" w:tplc="D81E8502">
      <w:numFmt w:val="decimal"/>
      <w:lvlText w:val=""/>
      <w:lvlJc w:val="left"/>
    </w:lvl>
    <w:lvl w:ilvl="5" w:tplc="224894A4">
      <w:numFmt w:val="decimal"/>
      <w:lvlText w:val=""/>
      <w:lvlJc w:val="left"/>
    </w:lvl>
    <w:lvl w:ilvl="6" w:tplc="BC0CC7CC">
      <w:numFmt w:val="decimal"/>
      <w:lvlText w:val=""/>
      <w:lvlJc w:val="left"/>
    </w:lvl>
    <w:lvl w:ilvl="7" w:tplc="8E087546">
      <w:numFmt w:val="decimal"/>
      <w:lvlText w:val=""/>
      <w:lvlJc w:val="left"/>
    </w:lvl>
    <w:lvl w:ilvl="8" w:tplc="74346CFA">
      <w:numFmt w:val="decimal"/>
      <w:lvlText w:val=""/>
      <w:lvlJc w:val="left"/>
    </w:lvl>
  </w:abstractNum>
  <w:abstractNum w:abstractNumId="195" w15:restartNumberingAfterBreak="0">
    <w:nsid w:val="15104642"/>
    <w:multiLevelType w:val="hybridMultilevel"/>
    <w:tmpl w:val="3C20F88E"/>
    <w:lvl w:ilvl="0" w:tplc="EA767102">
      <w:start w:val="1"/>
      <w:numFmt w:val="bullet"/>
      <w:lvlText w:val=""/>
      <w:lvlJc w:val="left"/>
      <w:pPr>
        <w:ind w:left="720" w:hanging="360"/>
      </w:pPr>
      <w:rPr>
        <w:rFonts w:ascii="Symbol" w:hAnsi="Symbol" w:hint="default"/>
      </w:rPr>
    </w:lvl>
    <w:lvl w:ilvl="1" w:tplc="F800A6F8">
      <w:numFmt w:val="decimal"/>
      <w:lvlText w:val=""/>
      <w:lvlJc w:val="left"/>
    </w:lvl>
    <w:lvl w:ilvl="2" w:tplc="09A6A6EC">
      <w:numFmt w:val="decimal"/>
      <w:lvlText w:val=""/>
      <w:lvlJc w:val="left"/>
    </w:lvl>
    <w:lvl w:ilvl="3" w:tplc="27DEDACE">
      <w:numFmt w:val="decimal"/>
      <w:lvlText w:val=""/>
      <w:lvlJc w:val="left"/>
    </w:lvl>
    <w:lvl w:ilvl="4" w:tplc="D4A66C2A">
      <w:numFmt w:val="decimal"/>
      <w:lvlText w:val=""/>
      <w:lvlJc w:val="left"/>
    </w:lvl>
    <w:lvl w:ilvl="5" w:tplc="05D8ADC6">
      <w:numFmt w:val="decimal"/>
      <w:lvlText w:val=""/>
      <w:lvlJc w:val="left"/>
    </w:lvl>
    <w:lvl w:ilvl="6" w:tplc="20FCE044">
      <w:numFmt w:val="decimal"/>
      <w:lvlText w:val=""/>
      <w:lvlJc w:val="left"/>
    </w:lvl>
    <w:lvl w:ilvl="7" w:tplc="4D122A32">
      <w:numFmt w:val="decimal"/>
      <w:lvlText w:val=""/>
      <w:lvlJc w:val="left"/>
    </w:lvl>
    <w:lvl w:ilvl="8" w:tplc="31C22562">
      <w:numFmt w:val="decimal"/>
      <w:lvlText w:val=""/>
      <w:lvlJc w:val="left"/>
    </w:lvl>
  </w:abstractNum>
  <w:abstractNum w:abstractNumId="196" w15:restartNumberingAfterBreak="0">
    <w:nsid w:val="15175644"/>
    <w:multiLevelType w:val="hybridMultilevel"/>
    <w:tmpl w:val="4C667384"/>
    <w:lvl w:ilvl="0" w:tplc="0C30F3EA">
      <w:start w:val="1"/>
      <w:numFmt w:val="bullet"/>
      <w:lvlText w:val=""/>
      <w:lvlJc w:val="left"/>
      <w:pPr>
        <w:ind w:left="720" w:hanging="360"/>
      </w:pPr>
      <w:rPr>
        <w:rFonts w:ascii="Symbol" w:hAnsi="Symbol" w:hint="default"/>
      </w:rPr>
    </w:lvl>
    <w:lvl w:ilvl="1" w:tplc="E182F47A">
      <w:numFmt w:val="decimal"/>
      <w:lvlText w:val=""/>
      <w:lvlJc w:val="left"/>
    </w:lvl>
    <w:lvl w:ilvl="2" w:tplc="7674A8A8">
      <w:numFmt w:val="decimal"/>
      <w:lvlText w:val=""/>
      <w:lvlJc w:val="left"/>
    </w:lvl>
    <w:lvl w:ilvl="3" w:tplc="C524B1AE">
      <w:numFmt w:val="decimal"/>
      <w:lvlText w:val=""/>
      <w:lvlJc w:val="left"/>
    </w:lvl>
    <w:lvl w:ilvl="4" w:tplc="E64A61AC">
      <w:numFmt w:val="decimal"/>
      <w:lvlText w:val=""/>
      <w:lvlJc w:val="left"/>
    </w:lvl>
    <w:lvl w:ilvl="5" w:tplc="81FE8906">
      <w:numFmt w:val="decimal"/>
      <w:lvlText w:val=""/>
      <w:lvlJc w:val="left"/>
    </w:lvl>
    <w:lvl w:ilvl="6" w:tplc="1EC60F56">
      <w:numFmt w:val="decimal"/>
      <w:lvlText w:val=""/>
      <w:lvlJc w:val="left"/>
    </w:lvl>
    <w:lvl w:ilvl="7" w:tplc="AED6CE98">
      <w:numFmt w:val="decimal"/>
      <w:lvlText w:val=""/>
      <w:lvlJc w:val="left"/>
    </w:lvl>
    <w:lvl w:ilvl="8" w:tplc="221AC83E">
      <w:numFmt w:val="decimal"/>
      <w:lvlText w:val=""/>
      <w:lvlJc w:val="left"/>
    </w:lvl>
  </w:abstractNum>
  <w:abstractNum w:abstractNumId="197" w15:restartNumberingAfterBreak="0">
    <w:nsid w:val="15186B1A"/>
    <w:multiLevelType w:val="hybridMultilevel"/>
    <w:tmpl w:val="1BF86932"/>
    <w:lvl w:ilvl="0" w:tplc="0848FCA8">
      <w:start w:val="1"/>
      <w:numFmt w:val="bullet"/>
      <w:lvlText w:val=""/>
      <w:lvlJc w:val="left"/>
      <w:pPr>
        <w:ind w:left="720" w:hanging="360"/>
      </w:pPr>
      <w:rPr>
        <w:rFonts w:ascii="Symbol" w:hAnsi="Symbol" w:hint="default"/>
      </w:rPr>
    </w:lvl>
    <w:lvl w:ilvl="1" w:tplc="4E3015D2">
      <w:numFmt w:val="decimal"/>
      <w:lvlText w:val=""/>
      <w:lvlJc w:val="left"/>
    </w:lvl>
    <w:lvl w:ilvl="2" w:tplc="67B2B2F2">
      <w:numFmt w:val="decimal"/>
      <w:lvlText w:val=""/>
      <w:lvlJc w:val="left"/>
    </w:lvl>
    <w:lvl w:ilvl="3" w:tplc="8EACC078">
      <w:numFmt w:val="decimal"/>
      <w:lvlText w:val=""/>
      <w:lvlJc w:val="left"/>
    </w:lvl>
    <w:lvl w:ilvl="4" w:tplc="71A060DC">
      <w:numFmt w:val="decimal"/>
      <w:lvlText w:val=""/>
      <w:lvlJc w:val="left"/>
    </w:lvl>
    <w:lvl w:ilvl="5" w:tplc="488CBB48">
      <w:numFmt w:val="decimal"/>
      <w:lvlText w:val=""/>
      <w:lvlJc w:val="left"/>
    </w:lvl>
    <w:lvl w:ilvl="6" w:tplc="3018656C">
      <w:numFmt w:val="decimal"/>
      <w:lvlText w:val=""/>
      <w:lvlJc w:val="left"/>
    </w:lvl>
    <w:lvl w:ilvl="7" w:tplc="7CB23524">
      <w:numFmt w:val="decimal"/>
      <w:lvlText w:val=""/>
      <w:lvlJc w:val="left"/>
    </w:lvl>
    <w:lvl w:ilvl="8" w:tplc="FBF0D986">
      <w:numFmt w:val="decimal"/>
      <w:lvlText w:val=""/>
      <w:lvlJc w:val="left"/>
    </w:lvl>
  </w:abstractNum>
  <w:abstractNum w:abstractNumId="198" w15:restartNumberingAfterBreak="0">
    <w:nsid w:val="155B706C"/>
    <w:multiLevelType w:val="hybridMultilevel"/>
    <w:tmpl w:val="7F241ECA"/>
    <w:lvl w:ilvl="0" w:tplc="AB3236BC">
      <w:start w:val="1"/>
      <w:numFmt w:val="bullet"/>
      <w:lvlText w:val=""/>
      <w:lvlJc w:val="left"/>
      <w:pPr>
        <w:ind w:left="720" w:hanging="360"/>
      </w:pPr>
      <w:rPr>
        <w:rFonts w:ascii="Symbol" w:hAnsi="Symbol" w:hint="default"/>
      </w:rPr>
    </w:lvl>
    <w:lvl w:ilvl="1" w:tplc="12629CA6">
      <w:numFmt w:val="decimal"/>
      <w:lvlText w:val=""/>
      <w:lvlJc w:val="left"/>
    </w:lvl>
    <w:lvl w:ilvl="2" w:tplc="FAD4289A">
      <w:numFmt w:val="decimal"/>
      <w:lvlText w:val=""/>
      <w:lvlJc w:val="left"/>
    </w:lvl>
    <w:lvl w:ilvl="3" w:tplc="FB98A12E">
      <w:numFmt w:val="decimal"/>
      <w:lvlText w:val=""/>
      <w:lvlJc w:val="left"/>
    </w:lvl>
    <w:lvl w:ilvl="4" w:tplc="DC286E4C">
      <w:numFmt w:val="decimal"/>
      <w:lvlText w:val=""/>
      <w:lvlJc w:val="left"/>
    </w:lvl>
    <w:lvl w:ilvl="5" w:tplc="F7F04A0C">
      <w:numFmt w:val="decimal"/>
      <w:lvlText w:val=""/>
      <w:lvlJc w:val="left"/>
    </w:lvl>
    <w:lvl w:ilvl="6" w:tplc="2A4AA518">
      <w:numFmt w:val="decimal"/>
      <w:lvlText w:val=""/>
      <w:lvlJc w:val="left"/>
    </w:lvl>
    <w:lvl w:ilvl="7" w:tplc="F32A164E">
      <w:numFmt w:val="decimal"/>
      <w:lvlText w:val=""/>
      <w:lvlJc w:val="left"/>
    </w:lvl>
    <w:lvl w:ilvl="8" w:tplc="270A1912">
      <w:numFmt w:val="decimal"/>
      <w:lvlText w:val=""/>
      <w:lvlJc w:val="left"/>
    </w:lvl>
  </w:abstractNum>
  <w:abstractNum w:abstractNumId="199" w15:restartNumberingAfterBreak="0">
    <w:nsid w:val="159365D3"/>
    <w:multiLevelType w:val="hybridMultilevel"/>
    <w:tmpl w:val="2D821B72"/>
    <w:lvl w:ilvl="0" w:tplc="61C070D2">
      <w:start w:val="1"/>
      <w:numFmt w:val="bullet"/>
      <w:lvlText w:val=""/>
      <w:lvlJc w:val="left"/>
      <w:pPr>
        <w:ind w:left="720" w:hanging="360"/>
      </w:pPr>
      <w:rPr>
        <w:rFonts w:ascii="Symbol" w:hAnsi="Symbol" w:hint="default"/>
      </w:rPr>
    </w:lvl>
    <w:lvl w:ilvl="1" w:tplc="BCA0F602">
      <w:numFmt w:val="decimal"/>
      <w:lvlText w:val=""/>
      <w:lvlJc w:val="left"/>
    </w:lvl>
    <w:lvl w:ilvl="2" w:tplc="3A6A5D0E">
      <w:numFmt w:val="decimal"/>
      <w:lvlText w:val=""/>
      <w:lvlJc w:val="left"/>
    </w:lvl>
    <w:lvl w:ilvl="3" w:tplc="3DC87F4A">
      <w:numFmt w:val="decimal"/>
      <w:lvlText w:val=""/>
      <w:lvlJc w:val="left"/>
    </w:lvl>
    <w:lvl w:ilvl="4" w:tplc="D83E43E6">
      <w:numFmt w:val="decimal"/>
      <w:lvlText w:val=""/>
      <w:lvlJc w:val="left"/>
    </w:lvl>
    <w:lvl w:ilvl="5" w:tplc="22580B48">
      <w:numFmt w:val="decimal"/>
      <w:lvlText w:val=""/>
      <w:lvlJc w:val="left"/>
    </w:lvl>
    <w:lvl w:ilvl="6" w:tplc="3042AECA">
      <w:numFmt w:val="decimal"/>
      <w:lvlText w:val=""/>
      <w:lvlJc w:val="left"/>
    </w:lvl>
    <w:lvl w:ilvl="7" w:tplc="2BCC7D06">
      <w:numFmt w:val="decimal"/>
      <w:lvlText w:val=""/>
      <w:lvlJc w:val="left"/>
    </w:lvl>
    <w:lvl w:ilvl="8" w:tplc="CD585CB6">
      <w:numFmt w:val="decimal"/>
      <w:lvlText w:val=""/>
      <w:lvlJc w:val="left"/>
    </w:lvl>
  </w:abstractNum>
  <w:abstractNum w:abstractNumId="200" w15:restartNumberingAfterBreak="0">
    <w:nsid w:val="159535FE"/>
    <w:multiLevelType w:val="hybridMultilevel"/>
    <w:tmpl w:val="0596B89E"/>
    <w:lvl w:ilvl="0" w:tplc="FAC87428">
      <w:start w:val="1"/>
      <w:numFmt w:val="bullet"/>
      <w:lvlText w:val=""/>
      <w:lvlJc w:val="left"/>
      <w:pPr>
        <w:ind w:left="720" w:hanging="360"/>
      </w:pPr>
      <w:rPr>
        <w:rFonts w:ascii="Symbol" w:hAnsi="Symbol" w:hint="default"/>
      </w:rPr>
    </w:lvl>
    <w:lvl w:ilvl="1" w:tplc="8C029118">
      <w:numFmt w:val="decimal"/>
      <w:lvlText w:val=""/>
      <w:lvlJc w:val="left"/>
    </w:lvl>
    <w:lvl w:ilvl="2" w:tplc="E25EF63E">
      <w:numFmt w:val="decimal"/>
      <w:lvlText w:val=""/>
      <w:lvlJc w:val="left"/>
    </w:lvl>
    <w:lvl w:ilvl="3" w:tplc="61BCFCE4">
      <w:numFmt w:val="decimal"/>
      <w:lvlText w:val=""/>
      <w:lvlJc w:val="left"/>
    </w:lvl>
    <w:lvl w:ilvl="4" w:tplc="54FE2D06">
      <w:numFmt w:val="decimal"/>
      <w:lvlText w:val=""/>
      <w:lvlJc w:val="left"/>
    </w:lvl>
    <w:lvl w:ilvl="5" w:tplc="AFB44182">
      <w:numFmt w:val="decimal"/>
      <w:lvlText w:val=""/>
      <w:lvlJc w:val="left"/>
    </w:lvl>
    <w:lvl w:ilvl="6" w:tplc="926A76F2">
      <w:numFmt w:val="decimal"/>
      <w:lvlText w:val=""/>
      <w:lvlJc w:val="left"/>
    </w:lvl>
    <w:lvl w:ilvl="7" w:tplc="818E8590">
      <w:numFmt w:val="decimal"/>
      <w:lvlText w:val=""/>
      <w:lvlJc w:val="left"/>
    </w:lvl>
    <w:lvl w:ilvl="8" w:tplc="741CE10E">
      <w:numFmt w:val="decimal"/>
      <w:lvlText w:val=""/>
      <w:lvlJc w:val="left"/>
    </w:lvl>
  </w:abstractNum>
  <w:abstractNum w:abstractNumId="201" w15:restartNumberingAfterBreak="0">
    <w:nsid w:val="160042A2"/>
    <w:multiLevelType w:val="hybridMultilevel"/>
    <w:tmpl w:val="1A2A012C"/>
    <w:lvl w:ilvl="0" w:tplc="5CA6B732">
      <w:start w:val="1"/>
      <w:numFmt w:val="bullet"/>
      <w:lvlText w:val=""/>
      <w:lvlJc w:val="left"/>
      <w:pPr>
        <w:ind w:left="720" w:hanging="360"/>
      </w:pPr>
      <w:rPr>
        <w:rFonts w:ascii="Symbol" w:hAnsi="Symbol" w:hint="default"/>
      </w:rPr>
    </w:lvl>
    <w:lvl w:ilvl="1" w:tplc="8294D61C">
      <w:numFmt w:val="decimal"/>
      <w:lvlText w:val=""/>
      <w:lvlJc w:val="left"/>
    </w:lvl>
    <w:lvl w:ilvl="2" w:tplc="AE2083CA">
      <w:numFmt w:val="decimal"/>
      <w:lvlText w:val=""/>
      <w:lvlJc w:val="left"/>
    </w:lvl>
    <w:lvl w:ilvl="3" w:tplc="3E2C947E">
      <w:numFmt w:val="decimal"/>
      <w:lvlText w:val=""/>
      <w:lvlJc w:val="left"/>
    </w:lvl>
    <w:lvl w:ilvl="4" w:tplc="50B82F8E">
      <w:numFmt w:val="decimal"/>
      <w:lvlText w:val=""/>
      <w:lvlJc w:val="left"/>
    </w:lvl>
    <w:lvl w:ilvl="5" w:tplc="BB26389C">
      <w:numFmt w:val="decimal"/>
      <w:lvlText w:val=""/>
      <w:lvlJc w:val="left"/>
    </w:lvl>
    <w:lvl w:ilvl="6" w:tplc="025E362A">
      <w:numFmt w:val="decimal"/>
      <w:lvlText w:val=""/>
      <w:lvlJc w:val="left"/>
    </w:lvl>
    <w:lvl w:ilvl="7" w:tplc="74CC1EF8">
      <w:numFmt w:val="decimal"/>
      <w:lvlText w:val=""/>
      <w:lvlJc w:val="left"/>
    </w:lvl>
    <w:lvl w:ilvl="8" w:tplc="522CED94">
      <w:numFmt w:val="decimal"/>
      <w:lvlText w:val=""/>
      <w:lvlJc w:val="left"/>
    </w:lvl>
  </w:abstractNum>
  <w:abstractNum w:abstractNumId="202" w15:restartNumberingAfterBreak="0">
    <w:nsid w:val="1613116E"/>
    <w:multiLevelType w:val="hybridMultilevel"/>
    <w:tmpl w:val="9A24D112"/>
    <w:lvl w:ilvl="0" w:tplc="18F4B462">
      <w:start w:val="1"/>
      <w:numFmt w:val="bullet"/>
      <w:lvlText w:val=""/>
      <w:lvlJc w:val="left"/>
      <w:pPr>
        <w:ind w:left="720" w:hanging="360"/>
      </w:pPr>
      <w:rPr>
        <w:rFonts w:ascii="Symbol" w:hAnsi="Symbol" w:hint="default"/>
      </w:rPr>
    </w:lvl>
    <w:lvl w:ilvl="1" w:tplc="B1B02376">
      <w:numFmt w:val="decimal"/>
      <w:lvlText w:val=""/>
      <w:lvlJc w:val="left"/>
    </w:lvl>
    <w:lvl w:ilvl="2" w:tplc="EBD26DFC">
      <w:numFmt w:val="decimal"/>
      <w:lvlText w:val=""/>
      <w:lvlJc w:val="left"/>
    </w:lvl>
    <w:lvl w:ilvl="3" w:tplc="C5CCA66A">
      <w:numFmt w:val="decimal"/>
      <w:lvlText w:val=""/>
      <w:lvlJc w:val="left"/>
    </w:lvl>
    <w:lvl w:ilvl="4" w:tplc="B5FC2750">
      <w:numFmt w:val="decimal"/>
      <w:lvlText w:val=""/>
      <w:lvlJc w:val="left"/>
    </w:lvl>
    <w:lvl w:ilvl="5" w:tplc="AF2A8B06">
      <w:numFmt w:val="decimal"/>
      <w:lvlText w:val=""/>
      <w:lvlJc w:val="left"/>
    </w:lvl>
    <w:lvl w:ilvl="6" w:tplc="C750BFB6">
      <w:numFmt w:val="decimal"/>
      <w:lvlText w:val=""/>
      <w:lvlJc w:val="left"/>
    </w:lvl>
    <w:lvl w:ilvl="7" w:tplc="26760254">
      <w:numFmt w:val="decimal"/>
      <w:lvlText w:val=""/>
      <w:lvlJc w:val="left"/>
    </w:lvl>
    <w:lvl w:ilvl="8" w:tplc="BE544B60">
      <w:numFmt w:val="decimal"/>
      <w:lvlText w:val=""/>
      <w:lvlJc w:val="left"/>
    </w:lvl>
  </w:abstractNum>
  <w:abstractNum w:abstractNumId="203" w15:restartNumberingAfterBreak="0">
    <w:nsid w:val="16335FF1"/>
    <w:multiLevelType w:val="hybridMultilevel"/>
    <w:tmpl w:val="DF9AD516"/>
    <w:lvl w:ilvl="0" w:tplc="48E84438">
      <w:start w:val="1"/>
      <w:numFmt w:val="bullet"/>
      <w:lvlText w:val=""/>
      <w:lvlJc w:val="left"/>
      <w:pPr>
        <w:ind w:left="720" w:hanging="360"/>
      </w:pPr>
      <w:rPr>
        <w:rFonts w:ascii="Symbol" w:hAnsi="Symbol" w:hint="default"/>
      </w:rPr>
    </w:lvl>
    <w:lvl w:ilvl="1" w:tplc="82AA2580">
      <w:numFmt w:val="decimal"/>
      <w:lvlText w:val=""/>
      <w:lvlJc w:val="left"/>
    </w:lvl>
    <w:lvl w:ilvl="2" w:tplc="F988A0AA">
      <w:numFmt w:val="decimal"/>
      <w:lvlText w:val=""/>
      <w:lvlJc w:val="left"/>
    </w:lvl>
    <w:lvl w:ilvl="3" w:tplc="1704465E">
      <w:numFmt w:val="decimal"/>
      <w:lvlText w:val=""/>
      <w:lvlJc w:val="left"/>
    </w:lvl>
    <w:lvl w:ilvl="4" w:tplc="E9F29B68">
      <w:numFmt w:val="decimal"/>
      <w:lvlText w:val=""/>
      <w:lvlJc w:val="left"/>
    </w:lvl>
    <w:lvl w:ilvl="5" w:tplc="837495E2">
      <w:numFmt w:val="decimal"/>
      <w:lvlText w:val=""/>
      <w:lvlJc w:val="left"/>
    </w:lvl>
    <w:lvl w:ilvl="6" w:tplc="9D44D142">
      <w:numFmt w:val="decimal"/>
      <w:lvlText w:val=""/>
      <w:lvlJc w:val="left"/>
    </w:lvl>
    <w:lvl w:ilvl="7" w:tplc="7378442E">
      <w:numFmt w:val="decimal"/>
      <w:lvlText w:val=""/>
      <w:lvlJc w:val="left"/>
    </w:lvl>
    <w:lvl w:ilvl="8" w:tplc="F1C4B2E4">
      <w:numFmt w:val="decimal"/>
      <w:lvlText w:val=""/>
      <w:lvlJc w:val="left"/>
    </w:lvl>
  </w:abstractNum>
  <w:abstractNum w:abstractNumId="204" w15:restartNumberingAfterBreak="0">
    <w:nsid w:val="16376C1C"/>
    <w:multiLevelType w:val="hybridMultilevel"/>
    <w:tmpl w:val="6C50CEB4"/>
    <w:lvl w:ilvl="0" w:tplc="7F72DBA6">
      <w:start w:val="1"/>
      <w:numFmt w:val="bullet"/>
      <w:lvlText w:val=""/>
      <w:lvlJc w:val="left"/>
      <w:pPr>
        <w:ind w:left="720" w:hanging="360"/>
      </w:pPr>
      <w:rPr>
        <w:rFonts w:ascii="Symbol" w:hAnsi="Symbol" w:hint="default"/>
      </w:rPr>
    </w:lvl>
    <w:lvl w:ilvl="1" w:tplc="2B583890">
      <w:numFmt w:val="decimal"/>
      <w:lvlText w:val=""/>
      <w:lvlJc w:val="left"/>
    </w:lvl>
    <w:lvl w:ilvl="2" w:tplc="780E1924">
      <w:numFmt w:val="decimal"/>
      <w:lvlText w:val=""/>
      <w:lvlJc w:val="left"/>
    </w:lvl>
    <w:lvl w:ilvl="3" w:tplc="E9FAA25C">
      <w:numFmt w:val="decimal"/>
      <w:lvlText w:val=""/>
      <w:lvlJc w:val="left"/>
    </w:lvl>
    <w:lvl w:ilvl="4" w:tplc="3A902F72">
      <w:numFmt w:val="decimal"/>
      <w:lvlText w:val=""/>
      <w:lvlJc w:val="left"/>
    </w:lvl>
    <w:lvl w:ilvl="5" w:tplc="B748E3CC">
      <w:numFmt w:val="decimal"/>
      <w:lvlText w:val=""/>
      <w:lvlJc w:val="left"/>
    </w:lvl>
    <w:lvl w:ilvl="6" w:tplc="9F4825B6">
      <w:numFmt w:val="decimal"/>
      <w:lvlText w:val=""/>
      <w:lvlJc w:val="left"/>
    </w:lvl>
    <w:lvl w:ilvl="7" w:tplc="06D8C5E6">
      <w:numFmt w:val="decimal"/>
      <w:lvlText w:val=""/>
      <w:lvlJc w:val="left"/>
    </w:lvl>
    <w:lvl w:ilvl="8" w:tplc="8392D774">
      <w:numFmt w:val="decimal"/>
      <w:lvlText w:val=""/>
      <w:lvlJc w:val="left"/>
    </w:lvl>
  </w:abstractNum>
  <w:abstractNum w:abstractNumId="205" w15:restartNumberingAfterBreak="0">
    <w:nsid w:val="16476264"/>
    <w:multiLevelType w:val="hybridMultilevel"/>
    <w:tmpl w:val="9E4AE370"/>
    <w:lvl w:ilvl="0" w:tplc="D0F60844">
      <w:start w:val="1"/>
      <w:numFmt w:val="bullet"/>
      <w:lvlText w:val=""/>
      <w:lvlJc w:val="left"/>
      <w:pPr>
        <w:ind w:left="720" w:hanging="360"/>
      </w:pPr>
      <w:rPr>
        <w:rFonts w:ascii="Symbol" w:hAnsi="Symbol" w:hint="default"/>
      </w:rPr>
    </w:lvl>
    <w:lvl w:ilvl="1" w:tplc="73A6298A">
      <w:numFmt w:val="decimal"/>
      <w:lvlText w:val=""/>
      <w:lvlJc w:val="left"/>
    </w:lvl>
    <w:lvl w:ilvl="2" w:tplc="01568B8C">
      <w:numFmt w:val="decimal"/>
      <w:lvlText w:val=""/>
      <w:lvlJc w:val="left"/>
    </w:lvl>
    <w:lvl w:ilvl="3" w:tplc="074C61D8">
      <w:numFmt w:val="decimal"/>
      <w:lvlText w:val=""/>
      <w:lvlJc w:val="left"/>
    </w:lvl>
    <w:lvl w:ilvl="4" w:tplc="F85CAD42">
      <w:numFmt w:val="decimal"/>
      <w:lvlText w:val=""/>
      <w:lvlJc w:val="left"/>
    </w:lvl>
    <w:lvl w:ilvl="5" w:tplc="3A4002AE">
      <w:numFmt w:val="decimal"/>
      <w:lvlText w:val=""/>
      <w:lvlJc w:val="left"/>
    </w:lvl>
    <w:lvl w:ilvl="6" w:tplc="5016BD0C">
      <w:numFmt w:val="decimal"/>
      <w:lvlText w:val=""/>
      <w:lvlJc w:val="left"/>
    </w:lvl>
    <w:lvl w:ilvl="7" w:tplc="FB48B2D0">
      <w:numFmt w:val="decimal"/>
      <w:lvlText w:val=""/>
      <w:lvlJc w:val="left"/>
    </w:lvl>
    <w:lvl w:ilvl="8" w:tplc="563A4D86">
      <w:numFmt w:val="decimal"/>
      <w:lvlText w:val=""/>
      <w:lvlJc w:val="left"/>
    </w:lvl>
  </w:abstractNum>
  <w:abstractNum w:abstractNumId="206" w15:restartNumberingAfterBreak="0">
    <w:nsid w:val="167F3E2E"/>
    <w:multiLevelType w:val="hybridMultilevel"/>
    <w:tmpl w:val="331C0CD0"/>
    <w:lvl w:ilvl="0" w:tplc="06EE464A">
      <w:numFmt w:val="decimal"/>
      <w:lvlText w:val=""/>
      <w:lvlJc w:val="left"/>
    </w:lvl>
    <w:lvl w:ilvl="1" w:tplc="D5D8410E">
      <w:start w:val="1"/>
      <w:numFmt w:val="bullet"/>
      <w:lvlText w:val=""/>
      <w:lvlJc w:val="left"/>
      <w:pPr>
        <w:ind w:left="1440" w:hanging="360"/>
      </w:pPr>
      <w:rPr>
        <w:rFonts w:ascii="Symbol" w:hAnsi="Symbol" w:hint="default"/>
      </w:rPr>
    </w:lvl>
    <w:lvl w:ilvl="2" w:tplc="3E1C1110">
      <w:numFmt w:val="decimal"/>
      <w:lvlText w:val=""/>
      <w:lvlJc w:val="left"/>
    </w:lvl>
    <w:lvl w:ilvl="3" w:tplc="05C6ED74">
      <w:numFmt w:val="decimal"/>
      <w:lvlText w:val=""/>
      <w:lvlJc w:val="left"/>
    </w:lvl>
    <w:lvl w:ilvl="4" w:tplc="14986870">
      <w:numFmt w:val="decimal"/>
      <w:lvlText w:val=""/>
      <w:lvlJc w:val="left"/>
    </w:lvl>
    <w:lvl w:ilvl="5" w:tplc="F412DC16">
      <w:numFmt w:val="decimal"/>
      <w:lvlText w:val=""/>
      <w:lvlJc w:val="left"/>
    </w:lvl>
    <w:lvl w:ilvl="6" w:tplc="C114B9EC">
      <w:numFmt w:val="decimal"/>
      <w:lvlText w:val=""/>
      <w:lvlJc w:val="left"/>
    </w:lvl>
    <w:lvl w:ilvl="7" w:tplc="3CC60914">
      <w:numFmt w:val="decimal"/>
      <w:lvlText w:val=""/>
      <w:lvlJc w:val="left"/>
    </w:lvl>
    <w:lvl w:ilvl="8" w:tplc="ADB43EDA">
      <w:numFmt w:val="decimal"/>
      <w:lvlText w:val=""/>
      <w:lvlJc w:val="left"/>
    </w:lvl>
  </w:abstractNum>
  <w:abstractNum w:abstractNumId="207" w15:restartNumberingAfterBreak="0">
    <w:nsid w:val="16A155B5"/>
    <w:multiLevelType w:val="hybridMultilevel"/>
    <w:tmpl w:val="80327D5A"/>
    <w:lvl w:ilvl="0" w:tplc="6838B57C">
      <w:start w:val="1"/>
      <w:numFmt w:val="bullet"/>
      <w:lvlText w:val=""/>
      <w:lvlJc w:val="left"/>
      <w:pPr>
        <w:ind w:left="720" w:hanging="360"/>
      </w:pPr>
      <w:rPr>
        <w:rFonts w:ascii="Symbol" w:hAnsi="Symbol" w:hint="default"/>
      </w:rPr>
    </w:lvl>
    <w:lvl w:ilvl="1" w:tplc="DD5A8668">
      <w:numFmt w:val="decimal"/>
      <w:lvlText w:val=""/>
      <w:lvlJc w:val="left"/>
    </w:lvl>
    <w:lvl w:ilvl="2" w:tplc="D9BA487C">
      <w:numFmt w:val="decimal"/>
      <w:lvlText w:val=""/>
      <w:lvlJc w:val="left"/>
    </w:lvl>
    <w:lvl w:ilvl="3" w:tplc="18E4237C">
      <w:numFmt w:val="decimal"/>
      <w:lvlText w:val=""/>
      <w:lvlJc w:val="left"/>
    </w:lvl>
    <w:lvl w:ilvl="4" w:tplc="D5EA1DC6">
      <w:numFmt w:val="decimal"/>
      <w:lvlText w:val=""/>
      <w:lvlJc w:val="left"/>
    </w:lvl>
    <w:lvl w:ilvl="5" w:tplc="989C0816">
      <w:numFmt w:val="decimal"/>
      <w:lvlText w:val=""/>
      <w:lvlJc w:val="left"/>
    </w:lvl>
    <w:lvl w:ilvl="6" w:tplc="863C3E32">
      <w:numFmt w:val="decimal"/>
      <w:lvlText w:val=""/>
      <w:lvlJc w:val="left"/>
    </w:lvl>
    <w:lvl w:ilvl="7" w:tplc="73E823C4">
      <w:numFmt w:val="decimal"/>
      <w:lvlText w:val=""/>
      <w:lvlJc w:val="left"/>
    </w:lvl>
    <w:lvl w:ilvl="8" w:tplc="997EFCD6">
      <w:numFmt w:val="decimal"/>
      <w:lvlText w:val=""/>
      <w:lvlJc w:val="left"/>
    </w:lvl>
  </w:abstractNum>
  <w:abstractNum w:abstractNumId="208" w15:restartNumberingAfterBreak="0">
    <w:nsid w:val="16B26A32"/>
    <w:multiLevelType w:val="hybridMultilevel"/>
    <w:tmpl w:val="A7282CDC"/>
    <w:lvl w:ilvl="0" w:tplc="7F7E85C8">
      <w:start w:val="1"/>
      <w:numFmt w:val="bullet"/>
      <w:lvlText w:val=""/>
      <w:lvlJc w:val="left"/>
      <w:pPr>
        <w:ind w:left="720" w:hanging="360"/>
      </w:pPr>
      <w:rPr>
        <w:rFonts w:ascii="Symbol" w:hAnsi="Symbol" w:hint="default"/>
      </w:rPr>
    </w:lvl>
    <w:lvl w:ilvl="1" w:tplc="C5DE8D98">
      <w:numFmt w:val="decimal"/>
      <w:lvlText w:val=""/>
      <w:lvlJc w:val="left"/>
    </w:lvl>
    <w:lvl w:ilvl="2" w:tplc="6EB44FDC">
      <w:numFmt w:val="decimal"/>
      <w:lvlText w:val=""/>
      <w:lvlJc w:val="left"/>
    </w:lvl>
    <w:lvl w:ilvl="3" w:tplc="2FC63000">
      <w:numFmt w:val="decimal"/>
      <w:lvlText w:val=""/>
      <w:lvlJc w:val="left"/>
    </w:lvl>
    <w:lvl w:ilvl="4" w:tplc="E97E0C36">
      <w:numFmt w:val="decimal"/>
      <w:lvlText w:val=""/>
      <w:lvlJc w:val="left"/>
    </w:lvl>
    <w:lvl w:ilvl="5" w:tplc="E4983588">
      <w:numFmt w:val="decimal"/>
      <w:lvlText w:val=""/>
      <w:lvlJc w:val="left"/>
    </w:lvl>
    <w:lvl w:ilvl="6" w:tplc="EC482B9E">
      <w:numFmt w:val="decimal"/>
      <w:lvlText w:val=""/>
      <w:lvlJc w:val="left"/>
    </w:lvl>
    <w:lvl w:ilvl="7" w:tplc="D7EC2056">
      <w:numFmt w:val="decimal"/>
      <w:lvlText w:val=""/>
      <w:lvlJc w:val="left"/>
    </w:lvl>
    <w:lvl w:ilvl="8" w:tplc="081EACD4">
      <w:numFmt w:val="decimal"/>
      <w:lvlText w:val=""/>
      <w:lvlJc w:val="left"/>
    </w:lvl>
  </w:abstractNum>
  <w:abstractNum w:abstractNumId="209" w15:restartNumberingAfterBreak="0">
    <w:nsid w:val="16B6097E"/>
    <w:multiLevelType w:val="hybridMultilevel"/>
    <w:tmpl w:val="C2E0A3C4"/>
    <w:lvl w:ilvl="0" w:tplc="096CCFFE">
      <w:start w:val="1"/>
      <w:numFmt w:val="bullet"/>
      <w:lvlText w:val=""/>
      <w:lvlJc w:val="left"/>
      <w:pPr>
        <w:ind w:left="720" w:hanging="360"/>
      </w:pPr>
      <w:rPr>
        <w:rFonts w:ascii="Symbol" w:hAnsi="Symbol" w:hint="default"/>
      </w:rPr>
    </w:lvl>
    <w:lvl w:ilvl="1" w:tplc="C0AADFFC">
      <w:numFmt w:val="decimal"/>
      <w:lvlText w:val=""/>
      <w:lvlJc w:val="left"/>
    </w:lvl>
    <w:lvl w:ilvl="2" w:tplc="83885C10">
      <w:numFmt w:val="decimal"/>
      <w:lvlText w:val=""/>
      <w:lvlJc w:val="left"/>
    </w:lvl>
    <w:lvl w:ilvl="3" w:tplc="26F278D0">
      <w:numFmt w:val="decimal"/>
      <w:lvlText w:val=""/>
      <w:lvlJc w:val="left"/>
    </w:lvl>
    <w:lvl w:ilvl="4" w:tplc="1F00C274">
      <w:numFmt w:val="decimal"/>
      <w:lvlText w:val=""/>
      <w:lvlJc w:val="left"/>
    </w:lvl>
    <w:lvl w:ilvl="5" w:tplc="5016AD10">
      <w:numFmt w:val="decimal"/>
      <w:lvlText w:val=""/>
      <w:lvlJc w:val="left"/>
    </w:lvl>
    <w:lvl w:ilvl="6" w:tplc="CD4C9818">
      <w:numFmt w:val="decimal"/>
      <w:lvlText w:val=""/>
      <w:lvlJc w:val="left"/>
    </w:lvl>
    <w:lvl w:ilvl="7" w:tplc="6ABAB9FC">
      <w:numFmt w:val="decimal"/>
      <w:lvlText w:val=""/>
      <w:lvlJc w:val="left"/>
    </w:lvl>
    <w:lvl w:ilvl="8" w:tplc="9CF28A86">
      <w:numFmt w:val="decimal"/>
      <w:lvlText w:val=""/>
      <w:lvlJc w:val="left"/>
    </w:lvl>
  </w:abstractNum>
  <w:abstractNum w:abstractNumId="210" w15:restartNumberingAfterBreak="0">
    <w:nsid w:val="16BC5D96"/>
    <w:multiLevelType w:val="hybridMultilevel"/>
    <w:tmpl w:val="01E64ED8"/>
    <w:lvl w:ilvl="0" w:tplc="4B66D6E4">
      <w:start w:val="1"/>
      <w:numFmt w:val="bullet"/>
      <w:lvlText w:val=""/>
      <w:lvlJc w:val="left"/>
      <w:pPr>
        <w:ind w:left="720" w:hanging="360"/>
      </w:pPr>
      <w:rPr>
        <w:rFonts w:ascii="Symbol" w:hAnsi="Symbol" w:hint="default"/>
      </w:rPr>
    </w:lvl>
    <w:lvl w:ilvl="1" w:tplc="9ADA0DB6">
      <w:numFmt w:val="decimal"/>
      <w:lvlText w:val=""/>
      <w:lvlJc w:val="left"/>
    </w:lvl>
    <w:lvl w:ilvl="2" w:tplc="78443F10">
      <w:numFmt w:val="decimal"/>
      <w:lvlText w:val=""/>
      <w:lvlJc w:val="left"/>
    </w:lvl>
    <w:lvl w:ilvl="3" w:tplc="95F6AA0E">
      <w:numFmt w:val="decimal"/>
      <w:lvlText w:val=""/>
      <w:lvlJc w:val="left"/>
    </w:lvl>
    <w:lvl w:ilvl="4" w:tplc="9042CDB6">
      <w:numFmt w:val="decimal"/>
      <w:lvlText w:val=""/>
      <w:lvlJc w:val="left"/>
    </w:lvl>
    <w:lvl w:ilvl="5" w:tplc="4FF28958">
      <w:numFmt w:val="decimal"/>
      <w:lvlText w:val=""/>
      <w:lvlJc w:val="left"/>
    </w:lvl>
    <w:lvl w:ilvl="6" w:tplc="988E1C46">
      <w:numFmt w:val="decimal"/>
      <w:lvlText w:val=""/>
      <w:lvlJc w:val="left"/>
    </w:lvl>
    <w:lvl w:ilvl="7" w:tplc="1F56A014">
      <w:numFmt w:val="decimal"/>
      <w:lvlText w:val=""/>
      <w:lvlJc w:val="left"/>
    </w:lvl>
    <w:lvl w:ilvl="8" w:tplc="B60C9806">
      <w:numFmt w:val="decimal"/>
      <w:lvlText w:val=""/>
      <w:lvlJc w:val="left"/>
    </w:lvl>
  </w:abstractNum>
  <w:abstractNum w:abstractNumId="211" w15:restartNumberingAfterBreak="0">
    <w:nsid w:val="16C24086"/>
    <w:multiLevelType w:val="hybridMultilevel"/>
    <w:tmpl w:val="484850EA"/>
    <w:lvl w:ilvl="0" w:tplc="AEE03B88">
      <w:start w:val="1"/>
      <w:numFmt w:val="bullet"/>
      <w:lvlText w:val=""/>
      <w:lvlJc w:val="left"/>
      <w:pPr>
        <w:ind w:left="720" w:hanging="360"/>
      </w:pPr>
      <w:rPr>
        <w:rFonts w:ascii="Symbol" w:hAnsi="Symbol" w:hint="default"/>
      </w:rPr>
    </w:lvl>
    <w:lvl w:ilvl="1" w:tplc="1A7EB68E">
      <w:numFmt w:val="decimal"/>
      <w:lvlText w:val=""/>
      <w:lvlJc w:val="left"/>
    </w:lvl>
    <w:lvl w:ilvl="2" w:tplc="F2E26C38">
      <w:numFmt w:val="decimal"/>
      <w:lvlText w:val=""/>
      <w:lvlJc w:val="left"/>
    </w:lvl>
    <w:lvl w:ilvl="3" w:tplc="0A8E441E">
      <w:numFmt w:val="decimal"/>
      <w:lvlText w:val=""/>
      <w:lvlJc w:val="left"/>
    </w:lvl>
    <w:lvl w:ilvl="4" w:tplc="88082EE0">
      <w:numFmt w:val="decimal"/>
      <w:lvlText w:val=""/>
      <w:lvlJc w:val="left"/>
    </w:lvl>
    <w:lvl w:ilvl="5" w:tplc="AB568E74">
      <w:numFmt w:val="decimal"/>
      <w:lvlText w:val=""/>
      <w:lvlJc w:val="left"/>
    </w:lvl>
    <w:lvl w:ilvl="6" w:tplc="5AFCE9DA">
      <w:numFmt w:val="decimal"/>
      <w:lvlText w:val=""/>
      <w:lvlJc w:val="left"/>
    </w:lvl>
    <w:lvl w:ilvl="7" w:tplc="07D248B0">
      <w:numFmt w:val="decimal"/>
      <w:lvlText w:val=""/>
      <w:lvlJc w:val="left"/>
    </w:lvl>
    <w:lvl w:ilvl="8" w:tplc="0A304EA8">
      <w:numFmt w:val="decimal"/>
      <w:lvlText w:val=""/>
      <w:lvlJc w:val="left"/>
    </w:lvl>
  </w:abstractNum>
  <w:abstractNum w:abstractNumId="212" w15:restartNumberingAfterBreak="0">
    <w:nsid w:val="1751318A"/>
    <w:multiLevelType w:val="hybridMultilevel"/>
    <w:tmpl w:val="5D60923E"/>
    <w:lvl w:ilvl="0" w:tplc="E93E8838">
      <w:start w:val="1"/>
      <w:numFmt w:val="bullet"/>
      <w:lvlText w:val=""/>
      <w:lvlJc w:val="left"/>
      <w:pPr>
        <w:ind w:left="720" w:hanging="360"/>
      </w:pPr>
      <w:rPr>
        <w:rFonts w:ascii="Symbol" w:hAnsi="Symbol" w:hint="default"/>
      </w:rPr>
    </w:lvl>
    <w:lvl w:ilvl="1" w:tplc="74CC2434">
      <w:numFmt w:val="decimal"/>
      <w:lvlText w:val=""/>
      <w:lvlJc w:val="left"/>
    </w:lvl>
    <w:lvl w:ilvl="2" w:tplc="25163978">
      <w:numFmt w:val="decimal"/>
      <w:lvlText w:val=""/>
      <w:lvlJc w:val="left"/>
    </w:lvl>
    <w:lvl w:ilvl="3" w:tplc="0B786228">
      <w:numFmt w:val="decimal"/>
      <w:lvlText w:val=""/>
      <w:lvlJc w:val="left"/>
    </w:lvl>
    <w:lvl w:ilvl="4" w:tplc="1A98BC3C">
      <w:numFmt w:val="decimal"/>
      <w:lvlText w:val=""/>
      <w:lvlJc w:val="left"/>
    </w:lvl>
    <w:lvl w:ilvl="5" w:tplc="F54634EA">
      <w:numFmt w:val="decimal"/>
      <w:lvlText w:val=""/>
      <w:lvlJc w:val="left"/>
    </w:lvl>
    <w:lvl w:ilvl="6" w:tplc="5AC251A4">
      <w:numFmt w:val="decimal"/>
      <w:lvlText w:val=""/>
      <w:lvlJc w:val="left"/>
    </w:lvl>
    <w:lvl w:ilvl="7" w:tplc="74BAA140">
      <w:numFmt w:val="decimal"/>
      <w:lvlText w:val=""/>
      <w:lvlJc w:val="left"/>
    </w:lvl>
    <w:lvl w:ilvl="8" w:tplc="A4B89356">
      <w:numFmt w:val="decimal"/>
      <w:lvlText w:val=""/>
      <w:lvlJc w:val="left"/>
    </w:lvl>
  </w:abstractNum>
  <w:abstractNum w:abstractNumId="213" w15:restartNumberingAfterBreak="0">
    <w:nsid w:val="1756614A"/>
    <w:multiLevelType w:val="hybridMultilevel"/>
    <w:tmpl w:val="1AA0D2D4"/>
    <w:lvl w:ilvl="0" w:tplc="BE3CBDF2">
      <w:start w:val="1"/>
      <w:numFmt w:val="bullet"/>
      <w:lvlText w:val=""/>
      <w:lvlJc w:val="left"/>
      <w:pPr>
        <w:ind w:left="720" w:hanging="360"/>
      </w:pPr>
      <w:rPr>
        <w:rFonts w:ascii="Symbol" w:hAnsi="Symbol" w:hint="default"/>
      </w:rPr>
    </w:lvl>
    <w:lvl w:ilvl="1" w:tplc="8F542B48">
      <w:numFmt w:val="decimal"/>
      <w:lvlText w:val=""/>
      <w:lvlJc w:val="left"/>
    </w:lvl>
    <w:lvl w:ilvl="2" w:tplc="CE92553E">
      <w:numFmt w:val="decimal"/>
      <w:lvlText w:val=""/>
      <w:lvlJc w:val="left"/>
    </w:lvl>
    <w:lvl w:ilvl="3" w:tplc="AFBEB2BC">
      <w:numFmt w:val="decimal"/>
      <w:lvlText w:val=""/>
      <w:lvlJc w:val="left"/>
    </w:lvl>
    <w:lvl w:ilvl="4" w:tplc="5762B4D4">
      <w:numFmt w:val="decimal"/>
      <w:lvlText w:val=""/>
      <w:lvlJc w:val="left"/>
    </w:lvl>
    <w:lvl w:ilvl="5" w:tplc="BC1AE872">
      <w:numFmt w:val="decimal"/>
      <w:lvlText w:val=""/>
      <w:lvlJc w:val="left"/>
    </w:lvl>
    <w:lvl w:ilvl="6" w:tplc="09CE80B0">
      <w:numFmt w:val="decimal"/>
      <w:lvlText w:val=""/>
      <w:lvlJc w:val="left"/>
    </w:lvl>
    <w:lvl w:ilvl="7" w:tplc="55063786">
      <w:numFmt w:val="decimal"/>
      <w:lvlText w:val=""/>
      <w:lvlJc w:val="left"/>
    </w:lvl>
    <w:lvl w:ilvl="8" w:tplc="6890CEA8">
      <w:numFmt w:val="decimal"/>
      <w:lvlText w:val=""/>
      <w:lvlJc w:val="left"/>
    </w:lvl>
  </w:abstractNum>
  <w:abstractNum w:abstractNumId="214" w15:restartNumberingAfterBreak="0">
    <w:nsid w:val="17781556"/>
    <w:multiLevelType w:val="hybridMultilevel"/>
    <w:tmpl w:val="79CE4C06"/>
    <w:lvl w:ilvl="0" w:tplc="EE7ED6AA">
      <w:start w:val="1"/>
      <w:numFmt w:val="bullet"/>
      <w:lvlText w:val=""/>
      <w:lvlJc w:val="left"/>
      <w:pPr>
        <w:ind w:left="720" w:hanging="360"/>
      </w:pPr>
      <w:rPr>
        <w:rFonts w:ascii="Symbol" w:hAnsi="Symbol" w:hint="default"/>
      </w:rPr>
    </w:lvl>
    <w:lvl w:ilvl="1" w:tplc="EDE28442">
      <w:numFmt w:val="decimal"/>
      <w:lvlText w:val=""/>
      <w:lvlJc w:val="left"/>
    </w:lvl>
    <w:lvl w:ilvl="2" w:tplc="491C3B7A">
      <w:numFmt w:val="decimal"/>
      <w:lvlText w:val=""/>
      <w:lvlJc w:val="left"/>
    </w:lvl>
    <w:lvl w:ilvl="3" w:tplc="FF4A6C78">
      <w:numFmt w:val="decimal"/>
      <w:lvlText w:val=""/>
      <w:lvlJc w:val="left"/>
    </w:lvl>
    <w:lvl w:ilvl="4" w:tplc="CA9C3CEC">
      <w:numFmt w:val="decimal"/>
      <w:lvlText w:val=""/>
      <w:lvlJc w:val="left"/>
    </w:lvl>
    <w:lvl w:ilvl="5" w:tplc="783065CA">
      <w:numFmt w:val="decimal"/>
      <w:lvlText w:val=""/>
      <w:lvlJc w:val="left"/>
    </w:lvl>
    <w:lvl w:ilvl="6" w:tplc="5D388EC6">
      <w:numFmt w:val="decimal"/>
      <w:lvlText w:val=""/>
      <w:lvlJc w:val="left"/>
    </w:lvl>
    <w:lvl w:ilvl="7" w:tplc="BB7C21BE">
      <w:numFmt w:val="decimal"/>
      <w:lvlText w:val=""/>
      <w:lvlJc w:val="left"/>
    </w:lvl>
    <w:lvl w:ilvl="8" w:tplc="E8A458EA">
      <w:numFmt w:val="decimal"/>
      <w:lvlText w:val=""/>
      <w:lvlJc w:val="left"/>
    </w:lvl>
  </w:abstractNum>
  <w:abstractNum w:abstractNumId="215" w15:restartNumberingAfterBreak="0">
    <w:nsid w:val="17984F20"/>
    <w:multiLevelType w:val="hybridMultilevel"/>
    <w:tmpl w:val="ACE431A2"/>
    <w:lvl w:ilvl="0" w:tplc="85462DBE">
      <w:numFmt w:val="decimal"/>
      <w:lvlText w:val=""/>
      <w:lvlJc w:val="left"/>
    </w:lvl>
    <w:lvl w:ilvl="1" w:tplc="215063A2">
      <w:start w:val="1"/>
      <w:numFmt w:val="bullet"/>
      <w:lvlText w:val=""/>
      <w:lvlJc w:val="left"/>
      <w:pPr>
        <w:ind w:left="1440" w:hanging="360"/>
      </w:pPr>
      <w:rPr>
        <w:rFonts w:ascii="Symbol" w:hAnsi="Symbol" w:hint="default"/>
      </w:rPr>
    </w:lvl>
    <w:lvl w:ilvl="2" w:tplc="AB44F9BE">
      <w:numFmt w:val="decimal"/>
      <w:lvlText w:val=""/>
      <w:lvlJc w:val="left"/>
    </w:lvl>
    <w:lvl w:ilvl="3" w:tplc="9D8EC8B6">
      <w:numFmt w:val="decimal"/>
      <w:lvlText w:val=""/>
      <w:lvlJc w:val="left"/>
    </w:lvl>
    <w:lvl w:ilvl="4" w:tplc="8C58AC3E">
      <w:numFmt w:val="decimal"/>
      <w:lvlText w:val=""/>
      <w:lvlJc w:val="left"/>
    </w:lvl>
    <w:lvl w:ilvl="5" w:tplc="5F1C5472">
      <w:numFmt w:val="decimal"/>
      <w:lvlText w:val=""/>
      <w:lvlJc w:val="left"/>
    </w:lvl>
    <w:lvl w:ilvl="6" w:tplc="2D7C7C5E">
      <w:numFmt w:val="decimal"/>
      <w:lvlText w:val=""/>
      <w:lvlJc w:val="left"/>
    </w:lvl>
    <w:lvl w:ilvl="7" w:tplc="A38EECA8">
      <w:numFmt w:val="decimal"/>
      <w:lvlText w:val=""/>
      <w:lvlJc w:val="left"/>
    </w:lvl>
    <w:lvl w:ilvl="8" w:tplc="ADD07D9C">
      <w:numFmt w:val="decimal"/>
      <w:lvlText w:val=""/>
      <w:lvlJc w:val="left"/>
    </w:lvl>
  </w:abstractNum>
  <w:abstractNum w:abstractNumId="216" w15:restartNumberingAfterBreak="0">
    <w:nsid w:val="17AB2247"/>
    <w:multiLevelType w:val="hybridMultilevel"/>
    <w:tmpl w:val="89447B10"/>
    <w:lvl w:ilvl="0" w:tplc="AE708D20">
      <w:start w:val="1"/>
      <w:numFmt w:val="bullet"/>
      <w:lvlText w:val=""/>
      <w:lvlJc w:val="left"/>
      <w:pPr>
        <w:ind w:left="720" w:hanging="360"/>
      </w:pPr>
      <w:rPr>
        <w:rFonts w:ascii="Symbol" w:hAnsi="Symbol" w:hint="default"/>
      </w:rPr>
    </w:lvl>
    <w:lvl w:ilvl="1" w:tplc="77D0F59E">
      <w:numFmt w:val="decimal"/>
      <w:lvlText w:val=""/>
      <w:lvlJc w:val="left"/>
    </w:lvl>
    <w:lvl w:ilvl="2" w:tplc="5228222E">
      <w:numFmt w:val="decimal"/>
      <w:lvlText w:val=""/>
      <w:lvlJc w:val="left"/>
    </w:lvl>
    <w:lvl w:ilvl="3" w:tplc="B770B9DE">
      <w:numFmt w:val="decimal"/>
      <w:lvlText w:val=""/>
      <w:lvlJc w:val="left"/>
    </w:lvl>
    <w:lvl w:ilvl="4" w:tplc="2376A730">
      <w:numFmt w:val="decimal"/>
      <w:lvlText w:val=""/>
      <w:lvlJc w:val="left"/>
    </w:lvl>
    <w:lvl w:ilvl="5" w:tplc="60B20216">
      <w:numFmt w:val="decimal"/>
      <w:lvlText w:val=""/>
      <w:lvlJc w:val="left"/>
    </w:lvl>
    <w:lvl w:ilvl="6" w:tplc="5F189596">
      <w:numFmt w:val="decimal"/>
      <w:lvlText w:val=""/>
      <w:lvlJc w:val="left"/>
    </w:lvl>
    <w:lvl w:ilvl="7" w:tplc="450082CE">
      <w:numFmt w:val="decimal"/>
      <w:lvlText w:val=""/>
      <w:lvlJc w:val="left"/>
    </w:lvl>
    <w:lvl w:ilvl="8" w:tplc="8CA2CF60">
      <w:numFmt w:val="decimal"/>
      <w:lvlText w:val=""/>
      <w:lvlJc w:val="left"/>
    </w:lvl>
  </w:abstractNum>
  <w:abstractNum w:abstractNumId="217" w15:restartNumberingAfterBreak="0">
    <w:nsid w:val="17C63BE2"/>
    <w:multiLevelType w:val="hybridMultilevel"/>
    <w:tmpl w:val="393C2674"/>
    <w:lvl w:ilvl="0" w:tplc="BD502222">
      <w:start w:val="1"/>
      <w:numFmt w:val="bullet"/>
      <w:lvlText w:val=""/>
      <w:lvlJc w:val="left"/>
      <w:pPr>
        <w:ind w:left="720" w:hanging="360"/>
      </w:pPr>
      <w:rPr>
        <w:rFonts w:ascii="Symbol" w:hAnsi="Symbol" w:hint="default"/>
      </w:rPr>
    </w:lvl>
    <w:lvl w:ilvl="1" w:tplc="C114AC1A">
      <w:numFmt w:val="decimal"/>
      <w:lvlText w:val=""/>
      <w:lvlJc w:val="left"/>
    </w:lvl>
    <w:lvl w:ilvl="2" w:tplc="0B283BAE">
      <w:numFmt w:val="decimal"/>
      <w:lvlText w:val=""/>
      <w:lvlJc w:val="left"/>
    </w:lvl>
    <w:lvl w:ilvl="3" w:tplc="10C6D64A">
      <w:numFmt w:val="decimal"/>
      <w:lvlText w:val=""/>
      <w:lvlJc w:val="left"/>
    </w:lvl>
    <w:lvl w:ilvl="4" w:tplc="5F8AA01C">
      <w:numFmt w:val="decimal"/>
      <w:lvlText w:val=""/>
      <w:lvlJc w:val="left"/>
    </w:lvl>
    <w:lvl w:ilvl="5" w:tplc="F2A064FC">
      <w:numFmt w:val="decimal"/>
      <w:lvlText w:val=""/>
      <w:lvlJc w:val="left"/>
    </w:lvl>
    <w:lvl w:ilvl="6" w:tplc="7A48B6BE">
      <w:numFmt w:val="decimal"/>
      <w:lvlText w:val=""/>
      <w:lvlJc w:val="left"/>
    </w:lvl>
    <w:lvl w:ilvl="7" w:tplc="19289850">
      <w:numFmt w:val="decimal"/>
      <w:lvlText w:val=""/>
      <w:lvlJc w:val="left"/>
    </w:lvl>
    <w:lvl w:ilvl="8" w:tplc="DAE4F0F2">
      <w:numFmt w:val="decimal"/>
      <w:lvlText w:val=""/>
      <w:lvlJc w:val="left"/>
    </w:lvl>
  </w:abstractNum>
  <w:abstractNum w:abstractNumId="218" w15:restartNumberingAfterBreak="0">
    <w:nsid w:val="17CB6BFF"/>
    <w:multiLevelType w:val="hybridMultilevel"/>
    <w:tmpl w:val="BA5274B6"/>
    <w:lvl w:ilvl="0" w:tplc="DE364860">
      <w:start w:val="1"/>
      <w:numFmt w:val="bullet"/>
      <w:lvlText w:val=""/>
      <w:lvlJc w:val="left"/>
      <w:pPr>
        <w:ind w:left="720" w:hanging="360"/>
      </w:pPr>
      <w:rPr>
        <w:rFonts w:ascii="Symbol" w:hAnsi="Symbol" w:hint="default"/>
      </w:rPr>
    </w:lvl>
    <w:lvl w:ilvl="1" w:tplc="EBFA7FCC">
      <w:numFmt w:val="decimal"/>
      <w:lvlText w:val=""/>
      <w:lvlJc w:val="left"/>
    </w:lvl>
    <w:lvl w:ilvl="2" w:tplc="54EA2322">
      <w:numFmt w:val="decimal"/>
      <w:lvlText w:val=""/>
      <w:lvlJc w:val="left"/>
    </w:lvl>
    <w:lvl w:ilvl="3" w:tplc="4BBA973C">
      <w:numFmt w:val="decimal"/>
      <w:lvlText w:val=""/>
      <w:lvlJc w:val="left"/>
    </w:lvl>
    <w:lvl w:ilvl="4" w:tplc="84DA16D6">
      <w:numFmt w:val="decimal"/>
      <w:lvlText w:val=""/>
      <w:lvlJc w:val="left"/>
    </w:lvl>
    <w:lvl w:ilvl="5" w:tplc="70E47BEC">
      <w:numFmt w:val="decimal"/>
      <w:lvlText w:val=""/>
      <w:lvlJc w:val="left"/>
    </w:lvl>
    <w:lvl w:ilvl="6" w:tplc="A0902D6E">
      <w:numFmt w:val="decimal"/>
      <w:lvlText w:val=""/>
      <w:lvlJc w:val="left"/>
    </w:lvl>
    <w:lvl w:ilvl="7" w:tplc="251ADE2E">
      <w:numFmt w:val="decimal"/>
      <w:lvlText w:val=""/>
      <w:lvlJc w:val="left"/>
    </w:lvl>
    <w:lvl w:ilvl="8" w:tplc="49ACCD12">
      <w:numFmt w:val="decimal"/>
      <w:lvlText w:val=""/>
      <w:lvlJc w:val="left"/>
    </w:lvl>
  </w:abstractNum>
  <w:abstractNum w:abstractNumId="219" w15:restartNumberingAfterBreak="0">
    <w:nsid w:val="17D16032"/>
    <w:multiLevelType w:val="hybridMultilevel"/>
    <w:tmpl w:val="6FBE5844"/>
    <w:lvl w:ilvl="0" w:tplc="9EDE5B4A">
      <w:start w:val="1"/>
      <w:numFmt w:val="bullet"/>
      <w:lvlText w:val=""/>
      <w:lvlJc w:val="left"/>
      <w:pPr>
        <w:ind w:left="720" w:hanging="360"/>
      </w:pPr>
      <w:rPr>
        <w:rFonts w:ascii="Symbol" w:hAnsi="Symbol" w:hint="default"/>
      </w:rPr>
    </w:lvl>
    <w:lvl w:ilvl="1" w:tplc="87AEBF32">
      <w:numFmt w:val="decimal"/>
      <w:lvlText w:val=""/>
      <w:lvlJc w:val="left"/>
    </w:lvl>
    <w:lvl w:ilvl="2" w:tplc="7E3063AC">
      <w:numFmt w:val="decimal"/>
      <w:lvlText w:val=""/>
      <w:lvlJc w:val="left"/>
    </w:lvl>
    <w:lvl w:ilvl="3" w:tplc="1A8A94C0">
      <w:numFmt w:val="decimal"/>
      <w:lvlText w:val=""/>
      <w:lvlJc w:val="left"/>
    </w:lvl>
    <w:lvl w:ilvl="4" w:tplc="345E6FB6">
      <w:numFmt w:val="decimal"/>
      <w:lvlText w:val=""/>
      <w:lvlJc w:val="left"/>
    </w:lvl>
    <w:lvl w:ilvl="5" w:tplc="FAA4053E">
      <w:numFmt w:val="decimal"/>
      <w:lvlText w:val=""/>
      <w:lvlJc w:val="left"/>
    </w:lvl>
    <w:lvl w:ilvl="6" w:tplc="8D8CD2C8">
      <w:numFmt w:val="decimal"/>
      <w:lvlText w:val=""/>
      <w:lvlJc w:val="left"/>
    </w:lvl>
    <w:lvl w:ilvl="7" w:tplc="CEBC8262">
      <w:numFmt w:val="decimal"/>
      <w:lvlText w:val=""/>
      <w:lvlJc w:val="left"/>
    </w:lvl>
    <w:lvl w:ilvl="8" w:tplc="6C0A15CA">
      <w:numFmt w:val="decimal"/>
      <w:lvlText w:val=""/>
      <w:lvlJc w:val="left"/>
    </w:lvl>
  </w:abstractNum>
  <w:abstractNum w:abstractNumId="220" w15:restartNumberingAfterBreak="0">
    <w:nsid w:val="17D75A54"/>
    <w:multiLevelType w:val="hybridMultilevel"/>
    <w:tmpl w:val="051C5900"/>
    <w:lvl w:ilvl="0" w:tplc="D43A474C">
      <w:start w:val="1"/>
      <w:numFmt w:val="bullet"/>
      <w:lvlText w:val=""/>
      <w:lvlJc w:val="left"/>
      <w:pPr>
        <w:ind w:left="720" w:hanging="360"/>
      </w:pPr>
      <w:rPr>
        <w:rFonts w:ascii="Symbol" w:hAnsi="Symbol" w:hint="default"/>
      </w:rPr>
    </w:lvl>
    <w:lvl w:ilvl="1" w:tplc="86666A02">
      <w:numFmt w:val="decimal"/>
      <w:lvlText w:val=""/>
      <w:lvlJc w:val="left"/>
    </w:lvl>
    <w:lvl w:ilvl="2" w:tplc="3E8629F4">
      <w:numFmt w:val="decimal"/>
      <w:lvlText w:val=""/>
      <w:lvlJc w:val="left"/>
    </w:lvl>
    <w:lvl w:ilvl="3" w:tplc="EF5C1BE0">
      <w:numFmt w:val="decimal"/>
      <w:lvlText w:val=""/>
      <w:lvlJc w:val="left"/>
    </w:lvl>
    <w:lvl w:ilvl="4" w:tplc="E1228D04">
      <w:numFmt w:val="decimal"/>
      <w:lvlText w:val=""/>
      <w:lvlJc w:val="left"/>
    </w:lvl>
    <w:lvl w:ilvl="5" w:tplc="5BF2AC02">
      <w:numFmt w:val="decimal"/>
      <w:lvlText w:val=""/>
      <w:lvlJc w:val="left"/>
    </w:lvl>
    <w:lvl w:ilvl="6" w:tplc="4F8072E4">
      <w:numFmt w:val="decimal"/>
      <w:lvlText w:val=""/>
      <w:lvlJc w:val="left"/>
    </w:lvl>
    <w:lvl w:ilvl="7" w:tplc="2594E3B2">
      <w:numFmt w:val="decimal"/>
      <w:lvlText w:val=""/>
      <w:lvlJc w:val="left"/>
    </w:lvl>
    <w:lvl w:ilvl="8" w:tplc="D11837AA">
      <w:numFmt w:val="decimal"/>
      <w:lvlText w:val=""/>
      <w:lvlJc w:val="left"/>
    </w:lvl>
  </w:abstractNum>
  <w:abstractNum w:abstractNumId="221" w15:restartNumberingAfterBreak="0">
    <w:nsid w:val="17ED035A"/>
    <w:multiLevelType w:val="hybridMultilevel"/>
    <w:tmpl w:val="7E70EF1C"/>
    <w:lvl w:ilvl="0" w:tplc="A5CAD5F8">
      <w:start w:val="1"/>
      <w:numFmt w:val="bullet"/>
      <w:lvlText w:val=""/>
      <w:lvlJc w:val="left"/>
      <w:pPr>
        <w:ind w:left="720" w:hanging="360"/>
      </w:pPr>
      <w:rPr>
        <w:rFonts w:ascii="Symbol" w:hAnsi="Symbol" w:hint="default"/>
      </w:rPr>
    </w:lvl>
    <w:lvl w:ilvl="1" w:tplc="0F720874">
      <w:numFmt w:val="decimal"/>
      <w:lvlText w:val=""/>
      <w:lvlJc w:val="left"/>
    </w:lvl>
    <w:lvl w:ilvl="2" w:tplc="A7108D7A">
      <w:numFmt w:val="decimal"/>
      <w:lvlText w:val=""/>
      <w:lvlJc w:val="left"/>
    </w:lvl>
    <w:lvl w:ilvl="3" w:tplc="11EE1816">
      <w:numFmt w:val="decimal"/>
      <w:lvlText w:val=""/>
      <w:lvlJc w:val="left"/>
    </w:lvl>
    <w:lvl w:ilvl="4" w:tplc="4168B818">
      <w:numFmt w:val="decimal"/>
      <w:lvlText w:val=""/>
      <w:lvlJc w:val="left"/>
    </w:lvl>
    <w:lvl w:ilvl="5" w:tplc="1416EF62">
      <w:numFmt w:val="decimal"/>
      <w:lvlText w:val=""/>
      <w:lvlJc w:val="left"/>
    </w:lvl>
    <w:lvl w:ilvl="6" w:tplc="41E8C890">
      <w:numFmt w:val="decimal"/>
      <w:lvlText w:val=""/>
      <w:lvlJc w:val="left"/>
    </w:lvl>
    <w:lvl w:ilvl="7" w:tplc="CEA63140">
      <w:numFmt w:val="decimal"/>
      <w:lvlText w:val=""/>
      <w:lvlJc w:val="left"/>
    </w:lvl>
    <w:lvl w:ilvl="8" w:tplc="EDD821B6">
      <w:numFmt w:val="decimal"/>
      <w:lvlText w:val=""/>
      <w:lvlJc w:val="left"/>
    </w:lvl>
  </w:abstractNum>
  <w:abstractNum w:abstractNumId="222" w15:restartNumberingAfterBreak="0">
    <w:nsid w:val="184419A3"/>
    <w:multiLevelType w:val="hybridMultilevel"/>
    <w:tmpl w:val="7A00C444"/>
    <w:lvl w:ilvl="0" w:tplc="E9503E56">
      <w:start w:val="1"/>
      <w:numFmt w:val="bullet"/>
      <w:lvlText w:val=""/>
      <w:lvlJc w:val="left"/>
      <w:pPr>
        <w:ind w:left="720" w:hanging="360"/>
      </w:pPr>
      <w:rPr>
        <w:rFonts w:ascii="Symbol" w:hAnsi="Symbol" w:hint="default"/>
      </w:rPr>
    </w:lvl>
    <w:lvl w:ilvl="1" w:tplc="B56473FA">
      <w:numFmt w:val="decimal"/>
      <w:lvlText w:val=""/>
      <w:lvlJc w:val="left"/>
    </w:lvl>
    <w:lvl w:ilvl="2" w:tplc="BDBEA8B0">
      <w:numFmt w:val="decimal"/>
      <w:lvlText w:val=""/>
      <w:lvlJc w:val="left"/>
    </w:lvl>
    <w:lvl w:ilvl="3" w:tplc="1A6042C2">
      <w:numFmt w:val="decimal"/>
      <w:lvlText w:val=""/>
      <w:lvlJc w:val="left"/>
    </w:lvl>
    <w:lvl w:ilvl="4" w:tplc="73DE9030">
      <w:numFmt w:val="decimal"/>
      <w:lvlText w:val=""/>
      <w:lvlJc w:val="left"/>
    </w:lvl>
    <w:lvl w:ilvl="5" w:tplc="F470F914">
      <w:numFmt w:val="decimal"/>
      <w:lvlText w:val=""/>
      <w:lvlJc w:val="left"/>
    </w:lvl>
    <w:lvl w:ilvl="6" w:tplc="205E3654">
      <w:numFmt w:val="decimal"/>
      <w:lvlText w:val=""/>
      <w:lvlJc w:val="left"/>
    </w:lvl>
    <w:lvl w:ilvl="7" w:tplc="B85C226E">
      <w:numFmt w:val="decimal"/>
      <w:lvlText w:val=""/>
      <w:lvlJc w:val="left"/>
    </w:lvl>
    <w:lvl w:ilvl="8" w:tplc="195E7228">
      <w:numFmt w:val="decimal"/>
      <w:lvlText w:val=""/>
      <w:lvlJc w:val="left"/>
    </w:lvl>
  </w:abstractNum>
  <w:abstractNum w:abstractNumId="223" w15:restartNumberingAfterBreak="0">
    <w:nsid w:val="186C2C25"/>
    <w:multiLevelType w:val="hybridMultilevel"/>
    <w:tmpl w:val="6AC20D7E"/>
    <w:lvl w:ilvl="0" w:tplc="1778B30A">
      <w:start w:val="1"/>
      <w:numFmt w:val="bullet"/>
      <w:lvlText w:val=""/>
      <w:lvlJc w:val="left"/>
      <w:pPr>
        <w:ind w:left="720" w:hanging="360"/>
      </w:pPr>
      <w:rPr>
        <w:rFonts w:ascii="Symbol" w:hAnsi="Symbol" w:hint="default"/>
      </w:rPr>
    </w:lvl>
    <w:lvl w:ilvl="1" w:tplc="28A46E7A">
      <w:numFmt w:val="decimal"/>
      <w:lvlText w:val=""/>
      <w:lvlJc w:val="left"/>
    </w:lvl>
    <w:lvl w:ilvl="2" w:tplc="C27EDBBC">
      <w:numFmt w:val="decimal"/>
      <w:lvlText w:val=""/>
      <w:lvlJc w:val="left"/>
    </w:lvl>
    <w:lvl w:ilvl="3" w:tplc="5770CA52">
      <w:numFmt w:val="decimal"/>
      <w:lvlText w:val=""/>
      <w:lvlJc w:val="left"/>
    </w:lvl>
    <w:lvl w:ilvl="4" w:tplc="455A0FF0">
      <w:numFmt w:val="decimal"/>
      <w:lvlText w:val=""/>
      <w:lvlJc w:val="left"/>
    </w:lvl>
    <w:lvl w:ilvl="5" w:tplc="BD54F4E6">
      <w:numFmt w:val="decimal"/>
      <w:lvlText w:val=""/>
      <w:lvlJc w:val="left"/>
    </w:lvl>
    <w:lvl w:ilvl="6" w:tplc="A60A4106">
      <w:numFmt w:val="decimal"/>
      <w:lvlText w:val=""/>
      <w:lvlJc w:val="left"/>
    </w:lvl>
    <w:lvl w:ilvl="7" w:tplc="D6C2548E">
      <w:numFmt w:val="decimal"/>
      <w:lvlText w:val=""/>
      <w:lvlJc w:val="left"/>
    </w:lvl>
    <w:lvl w:ilvl="8" w:tplc="3F527B3C">
      <w:numFmt w:val="decimal"/>
      <w:lvlText w:val=""/>
      <w:lvlJc w:val="left"/>
    </w:lvl>
  </w:abstractNum>
  <w:abstractNum w:abstractNumId="224" w15:restartNumberingAfterBreak="0">
    <w:nsid w:val="18801CB1"/>
    <w:multiLevelType w:val="hybridMultilevel"/>
    <w:tmpl w:val="BF4ECBC4"/>
    <w:lvl w:ilvl="0" w:tplc="D256DDFE">
      <w:start w:val="1"/>
      <w:numFmt w:val="bullet"/>
      <w:lvlText w:val=""/>
      <w:lvlJc w:val="left"/>
      <w:pPr>
        <w:ind w:left="720" w:hanging="360"/>
      </w:pPr>
      <w:rPr>
        <w:rFonts w:ascii="Symbol" w:hAnsi="Symbol" w:hint="default"/>
      </w:rPr>
    </w:lvl>
    <w:lvl w:ilvl="1" w:tplc="E38E3D14">
      <w:numFmt w:val="decimal"/>
      <w:lvlText w:val=""/>
      <w:lvlJc w:val="left"/>
    </w:lvl>
    <w:lvl w:ilvl="2" w:tplc="B5724C50">
      <w:numFmt w:val="decimal"/>
      <w:lvlText w:val=""/>
      <w:lvlJc w:val="left"/>
    </w:lvl>
    <w:lvl w:ilvl="3" w:tplc="1AA479FC">
      <w:numFmt w:val="decimal"/>
      <w:lvlText w:val=""/>
      <w:lvlJc w:val="left"/>
    </w:lvl>
    <w:lvl w:ilvl="4" w:tplc="316E9F80">
      <w:numFmt w:val="decimal"/>
      <w:lvlText w:val=""/>
      <w:lvlJc w:val="left"/>
    </w:lvl>
    <w:lvl w:ilvl="5" w:tplc="8D4295B2">
      <w:numFmt w:val="decimal"/>
      <w:lvlText w:val=""/>
      <w:lvlJc w:val="left"/>
    </w:lvl>
    <w:lvl w:ilvl="6" w:tplc="7402FF1C">
      <w:numFmt w:val="decimal"/>
      <w:lvlText w:val=""/>
      <w:lvlJc w:val="left"/>
    </w:lvl>
    <w:lvl w:ilvl="7" w:tplc="582853DA">
      <w:numFmt w:val="decimal"/>
      <w:lvlText w:val=""/>
      <w:lvlJc w:val="left"/>
    </w:lvl>
    <w:lvl w:ilvl="8" w:tplc="3ED61214">
      <w:numFmt w:val="decimal"/>
      <w:lvlText w:val=""/>
      <w:lvlJc w:val="left"/>
    </w:lvl>
  </w:abstractNum>
  <w:abstractNum w:abstractNumId="225" w15:restartNumberingAfterBreak="0">
    <w:nsid w:val="18A95335"/>
    <w:multiLevelType w:val="hybridMultilevel"/>
    <w:tmpl w:val="9EFA4F7C"/>
    <w:lvl w:ilvl="0" w:tplc="C694C08C">
      <w:start w:val="1"/>
      <w:numFmt w:val="bullet"/>
      <w:lvlText w:val=""/>
      <w:lvlJc w:val="left"/>
      <w:pPr>
        <w:ind w:left="720" w:hanging="360"/>
      </w:pPr>
      <w:rPr>
        <w:rFonts w:ascii="Symbol" w:hAnsi="Symbol" w:hint="default"/>
      </w:rPr>
    </w:lvl>
    <w:lvl w:ilvl="1" w:tplc="37925CD8">
      <w:numFmt w:val="decimal"/>
      <w:lvlText w:val=""/>
      <w:lvlJc w:val="left"/>
    </w:lvl>
    <w:lvl w:ilvl="2" w:tplc="316A05F8">
      <w:numFmt w:val="decimal"/>
      <w:lvlText w:val=""/>
      <w:lvlJc w:val="left"/>
    </w:lvl>
    <w:lvl w:ilvl="3" w:tplc="7B02588C">
      <w:numFmt w:val="decimal"/>
      <w:lvlText w:val=""/>
      <w:lvlJc w:val="left"/>
    </w:lvl>
    <w:lvl w:ilvl="4" w:tplc="8BC6A018">
      <w:numFmt w:val="decimal"/>
      <w:lvlText w:val=""/>
      <w:lvlJc w:val="left"/>
    </w:lvl>
    <w:lvl w:ilvl="5" w:tplc="3632A0BE">
      <w:numFmt w:val="decimal"/>
      <w:lvlText w:val=""/>
      <w:lvlJc w:val="left"/>
    </w:lvl>
    <w:lvl w:ilvl="6" w:tplc="1E16787A">
      <w:numFmt w:val="decimal"/>
      <w:lvlText w:val=""/>
      <w:lvlJc w:val="left"/>
    </w:lvl>
    <w:lvl w:ilvl="7" w:tplc="75220E5E">
      <w:numFmt w:val="decimal"/>
      <w:lvlText w:val=""/>
      <w:lvlJc w:val="left"/>
    </w:lvl>
    <w:lvl w:ilvl="8" w:tplc="7BAAB34E">
      <w:numFmt w:val="decimal"/>
      <w:lvlText w:val=""/>
      <w:lvlJc w:val="left"/>
    </w:lvl>
  </w:abstractNum>
  <w:abstractNum w:abstractNumId="226" w15:restartNumberingAfterBreak="0">
    <w:nsid w:val="18AC40D2"/>
    <w:multiLevelType w:val="hybridMultilevel"/>
    <w:tmpl w:val="CD8ADC18"/>
    <w:lvl w:ilvl="0" w:tplc="30741BC8">
      <w:start w:val="1"/>
      <w:numFmt w:val="bullet"/>
      <w:lvlText w:val=""/>
      <w:lvlJc w:val="left"/>
      <w:pPr>
        <w:ind w:left="720" w:hanging="360"/>
      </w:pPr>
      <w:rPr>
        <w:rFonts w:ascii="Symbol" w:hAnsi="Symbol" w:hint="default"/>
      </w:rPr>
    </w:lvl>
    <w:lvl w:ilvl="1" w:tplc="2326C9AA">
      <w:numFmt w:val="decimal"/>
      <w:lvlText w:val=""/>
      <w:lvlJc w:val="left"/>
    </w:lvl>
    <w:lvl w:ilvl="2" w:tplc="0E08A42C">
      <w:numFmt w:val="decimal"/>
      <w:lvlText w:val=""/>
      <w:lvlJc w:val="left"/>
    </w:lvl>
    <w:lvl w:ilvl="3" w:tplc="B9A20516">
      <w:numFmt w:val="decimal"/>
      <w:lvlText w:val=""/>
      <w:lvlJc w:val="left"/>
    </w:lvl>
    <w:lvl w:ilvl="4" w:tplc="95627E06">
      <w:numFmt w:val="decimal"/>
      <w:lvlText w:val=""/>
      <w:lvlJc w:val="left"/>
    </w:lvl>
    <w:lvl w:ilvl="5" w:tplc="40E6365C">
      <w:numFmt w:val="decimal"/>
      <w:lvlText w:val=""/>
      <w:lvlJc w:val="left"/>
    </w:lvl>
    <w:lvl w:ilvl="6" w:tplc="F96C650A">
      <w:numFmt w:val="decimal"/>
      <w:lvlText w:val=""/>
      <w:lvlJc w:val="left"/>
    </w:lvl>
    <w:lvl w:ilvl="7" w:tplc="BBDC904C">
      <w:numFmt w:val="decimal"/>
      <w:lvlText w:val=""/>
      <w:lvlJc w:val="left"/>
    </w:lvl>
    <w:lvl w:ilvl="8" w:tplc="15CEC420">
      <w:numFmt w:val="decimal"/>
      <w:lvlText w:val=""/>
      <w:lvlJc w:val="left"/>
    </w:lvl>
  </w:abstractNum>
  <w:abstractNum w:abstractNumId="227" w15:restartNumberingAfterBreak="0">
    <w:nsid w:val="18B17CED"/>
    <w:multiLevelType w:val="hybridMultilevel"/>
    <w:tmpl w:val="C7466C62"/>
    <w:lvl w:ilvl="0" w:tplc="79D8CF5E">
      <w:start w:val="1"/>
      <w:numFmt w:val="bullet"/>
      <w:lvlText w:val=""/>
      <w:lvlJc w:val="left"/>
      <w:pPr>
        <w:ind w:left="720" w:hanging="360"/>
      </w:pPr>
      <w:rPr>
        <w:rFonts w:ascii="Symbol" w:hAnsi="Symbol" w:hint="default"/>
      </w:rPr>
    </w:lvl>
    <w:lvl w:ilvl="1" w:tplc="F170EBD4">
      <w:numFmt w:val="decimal"/>
      <w:lvlText w:val=""/>
      <w:lvlJc w:val="left"/>
    </w:lvl>
    <w:lvl w:ilvl="2" w:tplc="B4A0DA8C">
      <w:numFmt w:val="decimal"/>
      <w:lvlText w:val=""/>
      <w:lvlJc w:val="left"/>
    </w:lvl>
    <w:lvl w:ilvl="3" w:tplc="A61E6FCC">
      <w:numFmt w:val="decimal"/>
      <w:lvlText w:val=""/>
      <w:lvlJc w:val="left"/>
    </w:lvl>
    <w:lvl w:ilvl="4" w:tplc="724C4C0E">
      <w:numFmt w:val="decimal"/>
      <w:lvlText w:val=""/>
      <w:lvlJc w:val="left"/>
    </w:lvl>
    <w:lvl w:ilvl="5" w:tplc="0CFEBFF6">
      <w:numFmt w:val="decimal"/>
      <w:lvlText w:val=""/>
      <w:lvlJc w:val="left"/>
    </w:lvl>
    <w:lvl w:ilvl="6" w:tplc="E4F8BCF4">
      <w:numFmt w:val="decimal"/>
      <w:lvlText w:val=""/>
      <w:lvlJc w:val="left"/>
    </w:lvl>
    <w:lvl w:ilvl="7" w:tplc="93E65A70">
      <w:numFmt w:val="decimal"/>
      <w:lvlText w:val=""/>
      <w:lvlJc w:val="left"/>
    </w:lvl>
    <w:lvl w:ilvl="8" w:tplc="0820314C">
      <w:numFmt w:val="decimal"/>
      <w:lvlText w:val=""/>
      <w:lvlJc w:val="left"/>
    </w:lvl>
  </w:abstractNum>
  <w:abstractNum w:abstractNumId="228" w15:restartNumberingAfterBreak="0">
    <w:nsid w:val="18B6395F"/>
    <w:multiLevelType w:val="hybridMultilevel"/>
    <w:tmpl w:val="67A82D52"/>
    <w:lvl w:ilvl="0" w:tplc="1D4A1324">
      <w:start w:val="1"/>
      <w:numFmt w:val="bullet"/>
      <w:lvlText w:val=""/>
      <w:lvlJc w:val="left"/>
      <w:pPr>
        <w:ind w:left="720" w:hanging="360"/>
      </w:pPr>
      <w:rPr>
        <w:rFonts w:ascii="Symbol" w:hAnsi="Symbol" w:hint="default"/>
      </w:rPr>
    </w:lvl>
    <w:lvl w:ilvl="1" w:tplc="D0A879DA">
      <w:numFmt w:val="decimal"/>
      <w:lvlText w:val=""/>
      <w:lvlJc w:val="left"/>
    </w:lvl>
    <w:lvl w:ilvl="2" w:tplc="03202F10">
      <w:numFmt w:val="decimal"/>
      <w:lvlText w:val=""/>
      <w:lvlJc w:val="left"/>
    </w:lvl>
    <w:lvl w:ilvl="3" w:tplc="E6781F02">
      <w:numFmt w:val="decimal"/>
      <w:lvlText w:val=""/>
      <w:lvlJc w:val="left"/>
    </w:lvl>
    <w:lvl w:ilvl="4" w:tplc="1924BC5A">
      <w:numFmt w:val="decimal"/>
      <w:lvlText w:val=""/>
      <w:lvlJc w:val="left"/>
    </w:lvl>
    <w:lvl w:ilvl="5" w:tplc="779E51D6">
      <w:numFmt w:val="decimal"/>
      <w:lvlText w:val=""/>
      <w:lvlJc w:val="left"/>
    </w:lvl>
    <w:lvl w:ilvl="6" w:tplc="FCFCDA02">
      <w:numFmt w:val="decimal"/>
      <w:lvlText w:val=""/>
      <w:lvlJc w:val="left"/>
    </w:lvl>
    <w:lvl w:ilvl="7" w:tplc="31700FDA">
      <w:numFmt w:val="decimal"/>
      <w:lvlText w:val=""/>
      <w:lvlJc w:val="left"/>
    </w:lvl>
    <w:lvl w:ilvl="8" w:tplc="9DB0F2B4">
      <w:numFmt w:val="decimal"/>
      <w:lvlText w:val=""/>
      <w:lvlJc w:val="left"/>
    </w:lvl>
  </w:abstractNum>
  <w:abstractNum w:abstractNumId="229" w15:restartNumberingAfterBreak="0">
    <w:nsid w:val="18D567F1"/>
    <w:multiLevelType w:val="hybridMultilevel"/>
    <w:tmpl w:val="ACBE689A"/>
    <w:lvl w:ilvl="0" w:tplc="6F8A860E">
      <w:start w:val="1"/>
      <w:numFmt w:val="bullet"/>
      <w:lvlText w:val=""/>
      <w:lvlJc w:val="left"/>
      <w:pPr>
        <w:ind w:left="720" w:hanging="360"/>
      </w:pPr>
      <w:rPr>
        <w:rFonts w:ascii="Symbol" w:hAnsi="Symbol" w:hint="default"/>
      </w:rPr>
    </w:lvl>
    <w:lvl w:ilvl="1" w:tplc="650AA6C8">
      <w:numFmt w:val="decimal"/>
      <w:lvlText w:val=""/>
      <w:lvlJc w:val="left"/>
    </w:lvl>
    <w:lvl w:ilvl="2" w:tplc="B78ACEEA">
      <w:numFmt w:val="decimal"/>
      <w:lvlText w:val=""/>
      <w:lvlJc w:val="left"/>
    </w:lvl>
    <w:lvl w:ilvl="3" w:tplc="A06CDFEA">
      <w:numFmt w:val="decimal"/>
      <w:lvlText w:val=""/>
      <w:lvlJc w:val="left"/>
    </w:lvl>
    <w:lvl w:ilvl="4" w:tplc="D3E0F0D0">
      <w:numFmt w:val="decimal"/>
      <w:lvlText w:val=""/>
      <w:lvlJc w:val="left"/>
    </w:lvl>
    <w:lvl w:ilvl="5" w:tplc="DCD2F204">
      <w:numFmt w:val="decimal"/>
      <w:lvlText w:val=""/>
      <w:lvlJc w:val="left"/>
    </w:lvl>
    <w:lvl w:ilvl="6" w:tplc="1506D3AE">
      <w:numFmt w:val="decimal"/>
      <w:lvlText w:val=""/>
      <w:lvlJc w:val="left"/>
    </w:lvl>
    <w:lvl w:ilvl="7" w:tplc="4900EFF8">
      <w:numFmt w:val="decimal"/>
      <w:lvlText w:val=""/>
      <w:lvlJc w:val="left"/>
    </w:lvl>
    <w:lvl w:ilvl="8" w:tplc="83B8BF26">
      <w:numFmt w:val="decimal"/>
      <w:lvlText w:val=""/>
      <w:lvlJc w:val="left"/>
    </w:lvl>
  </w:abstractNum>
  <w:abstractNum w:abstractNumId="230" w15:restartNumberingAfterBreak="0">
    <w:nsid w:val="18DA2305"/>
    <w:multiLevelType w:val="hybridMultilevel"/>
    <w:tmpl w:val="415A7086"/>
    <w:lvl w:ilvl="0" w:tplc="5AEEDFB2">
      <w:start w:val="1"/>
      <w:numFmt w:val="bullet"/>
      <w:lvlText w:val=""/>
      <w:lvlJc w:val="left"/>
      <w:pPr>
        <w:ind w:left="720" w:hanging="360"/>
      </w:pPr>
      <w:rPr>
        <w:rFonts w:ascii="Symbol" w:hAnsi="Symbol" w:hint="default"/>
      </w:rPr>
    </w:lvl>
    <w:lvl w:ilvl="1" w:tplc="53568518">
      <w:numFmt w:val="decimal"/>
      <w:lvlText w:val=""/>
      <w:lvlJc w:val="left"/>
    </w:lvl>
    <w:lvl w:ilvl="2" w:tplc="74C89B14">
      <w:numFmt w:val="decimal"/>
      <w:lvlText w:val=""/>
      <w:lvlJc w:val="left"/>
    </w:lvl>
    <w:lvl w:ilvl="3" w:tplc="F0AC970C">
      <w:numFmt w:val="decimal"/>
      <w:lvlText w:val=""/>
      <w:lvlJc w:val="left"/>
    </w:lvl>
    <w:lvl w:ilvl="4" w:tplc="335E2338">
      <w:numFmt w:val="decimal"/>
      <w:lvlText w:val=""/>
      <w:lvlJc w:val="left"/>
    </w:lvl>
    <w:lvl w:ilvl="5" w:tplc="8C783D6A">
      <w:numFmt w:val="decimal"/>
      <w:lvlText w:val=""/>
      <w:lvlJc w:val="left"/>
    </w:lvl>
    <w:lvl w:ilvl="6" w:tplc="5FE42B10">
      <w:numFmt w:val="decimal"/>
      <w:lvlText w:val=""/>
      <w:lvlJc w:val="left"/>
    </w:lvl>
    <w:lvl w:ilvl="7" w:tplc="657A5CEA">
      <w:numFmt w:val="decimal"/>
      <w:lvlText w:val=""/>
      <w:lvlJc w:val="left"/>
    </w:lvl>
    <w:lvl w:ilvl="8" w:tplc="E27061DA">
      <w:numFmt w:val="decimal"/>
      <w:lvlText w:val=""/>
      <w:lvlJc w:val="left"/>
    </w:lvl>
  </w:abstractNum>
  <w:abstractNum w:abstractNumId="231" w15:restartNumberingAfterBreak="0">
    <w:nsid w:val="18E07AC3"/>
    <w:multiLevelType w:val="hybridMultilevel"/>
    <w:tmpl w:val="BE1478C6"/>
    <w:lvl w:ilvl="0" w:tplc="A3E28C44">
      <w:start w:val="1"/>
      <w:numFmt w:val="bullet"/>
      <w:lvlText w:val=""/>
      <w:lvlJc w:val="left"/>
      <w:pPr>
        <w:ind w:left="720" w:hanging="360"/>
      </w:pPr>
      <w:rPr>
        <w:rFonts w:ascii="Symbol" w:hAnsi="Symbol" w:hint="default"/>
      </w:rPr>
    </w:lvl>
    <w:lvl w:ilvl="1" w:tplc="988476EE">
      <w:numFmt w:val="decimal"/>
      <w:lvlText w:val=""/>
      <w:lvlJc w:val="left"/>
    </w:lvl>
    <w:lvl w:ilvl="2" w:tplc="158AD144">
      <w:numFmt w:val="decimal"/>
      <w:lvlText w:val=""/>
      <w:lvlJc w:val="left"/>
    </w:lvl>
    <w:lvl w:ilvl="3" w:tplc="A22C052E">
      <w:numFmt w:val="decimal"/>
      <w:lvlText w:val=""/>
      <w:lvlJc w:val="left"/>
    </w:lvl>
    <w:lvl w:ilvl="4" w:tplc="0D280C84">
      <w:numFmt w:val="decimal"/>
      <w:lvlText w:val=""/>
      <w:lvlJc w:val="left"/>
    </w:lvl>
    <w:lvl w:ilvl="5" w:tplc="8008480C">
      <w:numFmt w:val="decimal"/>
      <w:lvlText w:val=""/>
      <w:lvlJc w:val="left"/>
    </w:lvl>
    <w:lvl w:ilvl="6" w:tplc="54D4AF70">
      <w:numFmt w:val="decimal"/>
      <w:lvlText w:val=""/>
      <w:lvlJc w:val="left"/>
    </w:lvl>
    <w:lvl w:ilvl="7" w:tplc="D152D87C">
      <w:numFmt w:val="decimal"/>
      <w:lvlText w:val=""/>
      <w:lvlJc w:val="left"/>
    </w:lvl>
    <w:lvl w:ilvl="8" w:tplc="B80633A8">
      <w:numFmt w:val="decimal"/>
      <w:lvlText w:val=""/>
      <w:lvlJc w:val="left"/>
    </w:lvl>
  </w:abstractNum>
  <w:abstractNum w:abstractNumId="232" w15:restartNumberingAfterBreak="0">
    <w:nsid w:val="18E07C27"/>
    <w:multiLevelType w:val="hybridMultilevel"/>
    <w:tmpl w:val="6BBC6E2A"/>
    <w:lvl w:ilvl="0" w:tplc="D200E93E">
      <w:start w:val="1"/>
      <w:numFmt w:val="bullet"/>
      <w:lvlText w:val=""/>
      <w:lvlJc w:val="left"/>
      <w:pPr>
        <w:ind w:left="720" w:hanging="360"/>
      </w:pPr>
      <w:rPr>
        <w:rFonts w:ascii="Symbol" w:hAnsi="Symbol" w:hint="default"/>
      </w:rPr>
    </w:lvl>
    <w:lvl w:ilvl="1" w:tplc="A2481C84">
      <w:numFmt w:val="decimal"/>
      <w:lvlText w:val=""/>
      <w:lvlJc w:val="left"/>
    </w:lvl>
    <w:lvl w:ilvl="2" w:tplc="3E828300">
      <w:numFmt w:val="decimal"/>
      <w:lvlText w:val=""/>
      <w:lvlJc w:val="left"/>
    </w:lvl>
    <w:lvl w:ilvl="3" w:tplc="10980ED4">
      <w:numFmt w:val="decimal"/>
      <w:lvlText w:val=""/>
      <w:lvlJc w:val="left"/>
    </w:lvl>
    <w:lvl w:ilvl="4" w:tplc="424489F6">
      <w:numFmt w:val="decimal"/>
      <w:lvlText w:val=""/>
      <w:lvlJc w:val="left"/>
    </w:lvl>
    <w:lvl w:ilvl="5" w:tplc="049E7088">
      <w:numFmt w:val="decimal"/>
      <w:lvlText w:val=""/>
      <w:lvlJc w:val="left"/>
    </w:lvl>
    <w:lvl w:ilvl="6" w:tplc="AD2AB940">
      <w:numFmt w:val="decimal"/>
      <w:lvlText w:val=""/>
      <w:lvlJc w:val="left"/>
    </w:lvl>
    <w:lvl w:ilvl="7" w:tplc="78A4CC22">
      <w:numFmt w:val="decimal"/>
      <w:lvlText w:val=""/>
      <w:lvlJc w:val="left"/>
    </w:lvl>
    <w:lvl w:ilvl="8" w:tplc="D79E413C">
      <w:numFmt w:val="decimal"/>
      <w:lvlText w:val=""/>
      <w:lvlJc w:val="left"/>
    </w:lvl>
  </w:abstractNum>
  <w:abstractNum w:abstractNumId="233" w15:restartNumberingAfterBreak="0">
    <w:nsid w:val="19063C75"/>
    <w:multiLevelType w:val="hybridMultilevel"/>
    <w:tmpl w:val="38C430E0"/>
    <w:lvl w:ilvl="0" w:tplc="633ECD86">
      <w:start w:val="1"/>
      <w:numFmt w:val="bullet"/>
      <w:lvlText w:val=""/>
      <w:lvlJc w:val="left"/>
      <w:pPr>
        <w:ind w:left="720" w:hanging="360"/>
      </w:pPr>
      <w:rPr>
        <w:rFonts w:ascii="Symbol" w:hAnsi="Symbol" w:hint="default"/>
      </w:rPr>
    </w:lvl>
    <w:lvl w:ilvl="1" w:tplc="2F8C56C2">
      <w:numFmt w:val="decimal"/>
      <w:lvlText w:val=""/>
      <w:lvlJc w:val="left"/>
    </w:lvl>
    <w:lvl w:ilvl="2" w:tplc="EB1C4C1C">
      <w:numFmt w:val="decimal"/>
      <w:lvlText w:val=""/>
      <w:lvlJc w:val="left"/>
    </w:lvl>
    <w:lvl w:ilvl="3" w:tplc="3F1A5054">
      <w:numFmt w:val="decimal"/>
      <w:lvlText w:val=""/>
      <w:lvlJc w:val="left"/>
    </w:lvl>
    <w:lvl w:ilvl="4" w:tplc="2B82896A">
      <w:numFmt w:val="decimal"/>
      <w:lvlText w:val=""/>
      <w:lvlJc w:val="left"/>
    </w:lvl>
    <w:lvl w:ilvl="5" w:tplc="28A227A8">
      <w:numFmt w:val="decimal"/>
      <w:lvlText w:val=""/>
      <w:lvlJc w:val="left"/>
    </w:lvl>
    <w:lvl w:ilvl="6" w:tplc="BC185AB4">
      <w:numFmt w:val="decimal"/>
      <w:lvlText w:val=""/>
      <w:lvlJc w:val="left"/>
    </w:lvl>
    <w:lvl w:ilvl="7" w:tplc="FFD06B9E">
      <w:numFmt w:val="decimal"/>
      <w:lvlText w:val=""/>
      <w:lvlJc w:val="left"/>
    </w:lvl>
    <w:lvl w:ilvl="8" w:tplc="F8E2BA06">
      <w:numFmt w:val="decimal"/>
      <w:lvlText w:val=""/>
      <w:lvlJc w:val="left"/>
    </w:lvl>
  </w:abstractNum>
  <w:abstractNum w:abstractNumId="234" w15:restartNumberingAfterBreak="0">
    <w:nsid w:val="190C1F29"/>
    <w:multiLevelType w:val="hybridMultilevel"/>
    <w:tmpl w:val="41EA0558"/>
    <w:lvl w:ilvl="0" w:tplc="73EA6CDA">
      <w:start w:val="1"/>
      <w:numFmt w:val="bullet"/>
      <w:lvlText w:val=""/>
      <w:lvlJc w:val="left"/>
      <w:pPr>
        <w:ind w:left="720" w:hanging="360"/>
      </w:pPr>
      <w:rPr>
        <w:rFonts w:ascii="Symbol" w:hAnsi="Symbol" w:hint="default"/>
      </w:rPr>
    </w:lvl>
    <w:lvl w:ilvl="1" w:tplc="64A47058">
      <w:numFmt w:val="decimal"/>
      <w:lvlText w:val=""/>
      <w:lvlJc w:val="left"/>
    </w:lvl>
    <w:lvl w:ilvl="2" w:tplc="56705C1E">
      <w:numFmt w:val="decimal"/>
      <w:lvlText w:val=""/>
      <w:lvlJc w:val="left"/>
    </w:lvl>
    <w:lvl w:ilvl="3" w:tplc="72221BEA">
      <w:numFmt w:val="decimal"/>
      <w:lvlText w:val=""/>
      <w:lvlJc w:val="left"/>
    </w:lvl>
    <w:lvl w:ilvl="4" w:tplc="2C48467E">
      <w:numFmt w:val="decimal"/>
      <w:lvlText w:val=""/>
      <w:lvlJc w:val="left"/>
    </w:lvl>
    <w:lvl w:ilvl="5" w:tplc="BB0C520E">
      <w:numFmt w:val="decimal"/>
      <w:lvlText w:val=""/>
      <w:lvlJc w:val="left"/>
    </w:lvl>
    <w:lvl w:ilvl="6" w:tplc="74882338">
      <w:numFmt w:val="decimal"/>
      <w:lvlText w:val=""/>
      <w:lvlJc w:val="left"/>
    </w:lvl>
    <w:lvl w:ilvl="7" w:tplc="7CFC42AE">
      <w:numFmt w:val="decimal"/>
      <w:lvlText w:val=""/>
      <w:lvlJc w:val="left"/>
    </w:lvl>
    <w:lvl w:ilvl="8" w:tplc="74A4162A">
      <w:numFmt w:val="decimal"/>
      <w:lvlText w:val=""/>
      <w:lvlJc w:val="left"/>
    </w:lvl>
  </w:abstractNum>
  <w:abstractNum w:abstractNumId="235" w15:restartNumberingAfterBreak="0">
    <w:nsid w:val="191A4056"/>
    <w:multiLevelType w:val="hybridMultilevel"/>
    <w:tmpl w:val="D68E8FF0"/>
    <w:lvl w:ilvl="0" w:tplc="8286ACA8">
      <w:start w:val="1"/>
      <w:numFmt w:val="bullet"/>
      <w:lvlText w:val=""/>
      <w:lvlJc w:val="left"/>
      <w:pPr>
        <w:ind w:left="720" w:hanging="360"/>
      </w:pPr>
      <w:rPr>
        <w:rFonts w:ascii="Symbol" w:hAnsi="Symbol" w:hint="default"/>
      </w:rPr>
    </w:lvl>
    <w:lvl w:ilvl="1" w:tplc="1C900012">
      <w:numFmt w:val="decimal"/>
      <w:lvlText w:val=""/>
      <w:lvlJc w:val="left"/>
    </w:lvl>
    <w:lvl w:ilvl="2" w:tplc="06E6136C">
      <w:numFmt w:val="decimal"/>
      <w:lvlText w:val=""/>
      <w:lvlJc w:val="left"/>
    </w:lvl>
    <w:lvl w:ilvl="3" w:tplc="8BE42956">
      <w:numFmt w:val="decimal"/>
      <w:lvlText w:val=""/>
      <w:lvlJc w:val="left"/>
    </w:lvl>
    <w:lvl w:ilvl="4" w:tplc="47DC570E">
      <w:numFmt w:val="decimal"/>
      <w:lvlText w:val=""/>
      <w:lvlJc w:val="left"/>
    </w:lvl>
    <w:lvl w:ilvl="5" w:tplc="1AA47A72">
      <w:numFmt w:val="decimal"/>
      <w:lvlText w:val=""/>
      <w:lvlJc w:val="left"/>
    </w:lvl>
    <w:lvl w:ilvl="6" w:tplc="F0348F74">
      <w:numFmt w:val="decimal"/>
      <w:lvlText w:val=""/>
      <w:lvlJc w:val="left"/>
    </w:lvl>
    <w:lvl w:ilvl="7" w:tplc="C8E0C33E">
      <w:numFmt w:val="decimal"/>
      <w:lvlText w:val=""/>
      <w:lvlJc w:val="left"/>
    </w:lvl>
    <w:lvl w:ilvl="8" w:tplc="BF4C38D8">
      <w:numFmt w:val="decimal"/>
      <w:lvlText w:val=""/>
      <w:lvlJc w:val="left"/>
    </w:lvl>
  </w:abstractNum>
  <w:abstractNum w:abstractNumId="236" w15:restartNumberingAfterBreak="0">
    <w:nsid w:val="1929010B"/>
    <w:multiLevelType w:val="hybridMultilevel"/>
    <w:tmpl w:val="4C2CBF9E"/>
    <w:lvl w:ilvl="0" w:tplc="AD52CDBA">
      <w:start w:val="1"/>
      <w:numFmt w:val="bullet"/>
      <w:lvlText w:val=""/>
      <w:lvlJc w:val="left"/>
      <w:pPr>
        <w:ind w:left="720" w:hanging="360"/>
      </w:pPr>
      <w:rPr>
        <w:rFonts w:ascii="Symbol" w:hAnsi="Symbol" w:hint="default"/>
      </w:rPr>
    </w:lvl>
    <w:lvl w:ilvl="1" w:tplc="D94CD25E">
      <w:numFmt w:val="decimal"/>
      <w:lvlText w:val=""/>
      <w:lvlJc w:val="left"/>
    </w:lvl>
    <w:lvl w:ilvl="2" w:tplc="02B4232C">
      <w:numFmt w:val="decimal"/>
      <w:lvlText w:val=""/>
      <w:lvlJc w:val="left"/>
    </w:lvl>
    <w:lvl w:ilvl="3" w:tplc="AF26B5D6">
      <w:numFmt w:val="decimal"/>
      <w:lvlText w:val=""/>
      <w:lvlJc w:val="left"/>
    </w:lvl>
    <w:lvl w:ilvl="4" w:tplc="4800B9E8">
      <w:numFmt w:val="decimal"/>
      <w:lvlText w:val=""/>
      <w:lvlJc w:val="left"/>
    </w:lvl>
    <w:lvl w:ilvl="5" w:tplc="8D78BD30">
      <w:numFmt w:val="decimal"/>
      <w:lvlText w:val=""/>
      <w:lvlJc w:val="left"/>
    </w:lvl>
    <w:lvl w:ilvl="6" w:tplc="5AFE2A80">
      <w:numFmt w:val="decimal"/>
      <w:lvlText w:val=""/>
      <w:lvlJc w:val="left"/>
    </w:lvl>
    <w:lvl w:ilvl="7" w:tplc="E9B68A1A">
      <w:numFmt w:val="decimal"/>
      <w:lvlText w:val=""/>
      <w:lvlJc w:val="left"/>
    </w:lvl>
    <w:lvl w:ilvl="8" w:tplc="7D1E5364">
      <w:numFmt w:val="decimal"/>
      <w:lvlText w:val=""/>
      <w:lvlJc w:val="left"/>
    </w:lvl>
  </w:abstractNum>
  <w:abstractNum w:abstractNumId="237" w15:restartNumberingAfterBreak="0">
    <w:nsid w:val="197F4C57"/>
    <w:multiLevelType w:val="hybridMultilevel"/>
    <w:tmpl w:val="EAF8EE48"/>
    <w:lvl w:ilvl="0" w:tplc="FAA6604E">
      <w:start w:val="1"/>
      <w:numFmt w:val="bullet"/>
      <w:lvlText w:val=""/>
      <w:lvlJc w:val="left"/>
      <w:pPr>
        <w:ind w:left="720" w:hanging="360"/>
      </w:pPr>
      <w:rPr>
        <w:rFonts w:ascii="Symbol" w:hAnsi="Symbol" w:hint="default"/>
      </w:rPr>
    </w:lvl>
    <w:lvl w:ilvl="1" w:tplc="E8E67AF8">
      <w:numFmt w:val="decimal"/>
      <w:lvlText w:val=""/>
      <w:lvlJc w:val="left"/>
    </w:lvl>
    <w:lvl w:ilvl="2" w:tplc="D870D62C">
      <w:numFmt w:val="decimal"/>
      <w:lvlText w:val=""/>
      <w:lvlJc w:val="left"/>
    </w:lvl>
    <w:lvl w:ilvl="3" w:tplc="100AB33E">
      <w:numFmt w:val="decimal"/>
      <w:lvlText w:val=""/>
      <w:lvlJc w:val="left"/>
    </w:lvl>
    <w:lvl w:ilvl="4" w:tplc="D6864EFE">
      <w:numFmt w:val="decimal"/>
      <w:lvlText w:val=""/>
      <w:lvlJc w:val="left"/>
    </w:lvl>
    <w:lvl w:ilvl="5" w:tplc="DC2C261A">
      <w:numFmt w:val="decimal"/>
      <w:lvlText w:val=""/>
      <w:lvlJc w:val="left"/>
    </w:lvl>
    <w:lvl w:ilvl="6" w:tplc="32D4369E">
      <w:numFmt w:val="decimal"/>
      <w:lvlText w:val=""/>
      <w:lvlJc w:val="left"/>
    </w:lvl>
    <w:lvl w:ilvl="7" w:tplc="9EE2E18E">
      <w:numFmt w:val="decimal"/>
      <w:lvlText w:val=""/>
      <w:lvlJc w:val="left"/>
    </w:lvl>
    <w:lvl w:ilvl="8" w:tplc="B316DC82">
      <w:numFmt w:val="decimal"/>
      <w:lvlText w:val=""/>
      <w:lvlJc w:val="left"/>
    </w:lvl>
  </w:abstractNum>
  <w:abstractNum w:abstractNumId="238" w15:restartNumberingAfterBreak="0">
    <w:nsid w:val="19811979"/>
    <w:multiLevelType w:val="hybridMultilevel"/>
    <w:tmpl w:val="D78C9BC2"/>
    <w:lvl w:ilvl="0" w:tplc="F9968C8E">
      <w:start w:val="1"/>
      <w:numFmt w:val="bullet"/>
      <w:lvlText w:val=""/>
      <w:lvlJc w:val="left"/>
      <w:pPr>
        <w:ind w:left="720" w:hanging="360"/>
      </w:pPr>
      <w:rPr>
        <w:rFonts w:ascii="Symbol" w:hAnsi="Symbol" w:hint="default"/>
      </w:rPr>
    </w:lvl>
    <w:lvl w:ilvl="1" w:tplc="C7CC8F60">
      <w:numFmt w:val="decimal"/>
      <w:lvlText w:val=""/>
      <w:lvlJc w:val="left"/>
    </w:lvl>
    <w:lvl w:ilvl="2" w:tplc="E38E699C">
      <w:numFmt w:val="decimal"/>
      <w:lvlText w:val=""/>
      <w:lvlJc w:val="left"/>
    </w:lvl>
    <w:lvl w:ilvl="3" w:tplc="FB105664">
      <w:numFmt w:val="decimal"/>
      <w:lvlText w:val=""/>
      <w:lvlJc w:val="left"/>
    </w:lvl>
    <w:lvl w:ilvl="4" w:tplc="CB806FF6">
      <w:numFmt w:val="decimal"/>
      <w:lvlText w:val=""/>
      <w:lvlJc w:val="left"/>
    </w:lvl>
    <w:lvl w:ilvl="5" w:tplc="8A58D8D0">
      <w:numFmt w:val="decimal"/>
      <w:lvlText w:val=""/>
      <w:lvlJc w:val="left"/>
    </w:lvl>
    <w:lvl w:ilvl="6" w:tplc="3B8CF634">
      <w:numFmt w:val="decimal"/>
      <w:lvlText w:val=""/>
      <w:lvlJc w:val="left"/>
    </w:lvl>
    <w:lvl w:ilvl="7" w:tplc="DFB22F0C">
      <w:numFmt w:val="decimal"/>
      <w:lvlText w:val=""/>
      <w:lvlJc w:val="left"/>
    </w:lvl>
    <w:lvl w:ilvl="8" w:tplc="657A7A60">
      <w:numFmt w:val="decimal"/>
      <w:lvlText w:val=""/>
      <w:lvlJc w:val="left"/>
    </w:lvl>
  </w:abstractNum>
  <w:abstractNum w:abstractNumId="239" w15:restartNumberingAfterBreak="0">
    <w:nsid w:val="19877EA9"/>
    <w:multiLevelType w:val="hybridMultilevel"/>
    <w:tmpl w:val="E200CCFA"/>
    <w:lvl w:ilvl="0" w:tplc="2C984AC6">
      <w:start w:val="1"/>
      <w:numFmt w:val="bullet"/>
      <w:lvlText w:val=""/>
      <w:lvlJc w:val="left"/>
      <w:pPr>
        <w:ind w:left="720" w:hanging="360"/>
      </w:pPr>
      <w:rPr>
        <w:rFonts w:ascii="Symbol" w:hAnsi="Symbol" w:hint="default"/>
      </w:rPr>
    </w:lvl>
    <w:lvl w:ilvl="1" w:tplc="1338B964">
      <w:numFmt w:val="decimal"/>
      <w:lvlText w:val=""/>
      <w:lvlJc w:val="left"/>
    </w:lvl>
    <w:lvl w:ilvl="2" w:tplc="ADAE7340">
      <w:numFmt w:val="decimal"/>
      <w:lvlText w:val=""/>
      <w:lvlJc w:val="left"/>
    </w:lvl>
    <w:lvl w:ilvl="3" w:tplc="C59EB342">
      <w:numFmt w:val="decimal"/>
      <w:lvlText w:val=""/>
      <w:lvlJc w:val="left"/>
    </w:lvl>
    <w:lvl w:ilvl="4" w:tplc="60562AC8">
      <w:numFmt w:val="decimal"/>
      <w:lvlText w:val=""/>
      <w:lvlJc w:val="left"/>
    </w:lvl>
    <w:lvl w:ilvl="5" w:tplc="A00EE80C">
      <w:numFmt w:val="decimal"/>
      <w:lvlText w:val=""/>
      <w:lvlJc w:val="left"/>
    </w:lvl>
    <w:lvl w:ilvl="6" w:tplc="94C0F32E">
      <w:numFmt w:val="decimal"/>
      <w:lvlText w:val=""/>
      <w:lvlJc w:val="left"/>
    </w:lvl>
    <w:lvl w:ilvl="7" w:tplc="AC2495E0">
      <w:numFmt w:val="decimal"/>
      <w:lvlText w:val=""/>
      <w:lvlJc w:val="left"/>
    </w:lvl>
    <w:lvl w:ilvl="8" w:tplc="2376DADC">
      <w:numFmt w:val="decimal"/>
      <w:lvlText w:val=""/>
      <w:lvlJc w:val="left"/>
    </w:lvl>
  </w:abstractNum>
  <w:abstractNum w:abstractNumId="240" w15:restartNumberingAfterBreak="0">
    <w:nsid w:val="19B905E1"/>
    <w:multiLevelType w:val="hybridMultilevel"/>
    <w:tmpl w:val="8EB66A0E"/>
    <w:lvl w:ilvl="0" w:tplc="FD42769E">
      <w:start w:val="1"/>
      <w:numFmt w:val="bullet"/>
      <w:lvlText w:val=""/>
      <w:lvlJc w:val="left"/>
      <w:pPr>
        <w:ind w:left="720" w:hanging="360"/>
      </w:pPr>
      <w:rPr>
        <w:rFonts w:ascii="Symbol" w:hAnsi="Symbol" w:hint="default"/>
      </w:rPr>
    </w:lvl>
    <w:lvl w:ilvl="1" w:tplc="EBA0D5DC">
      <w:numFmt w:val="decimal"/>
      <w:lvlText w:val=""/>
      <w:lvlJc w:val="left"/>
    </w:lvl>
    <w:lvl w:ilvl="2" w:tplc="D8722C16">
      <w:numFmt w:val="decimal"/>
      <w:lvlText w:val=""/>
      <w:lvlJc w:val="left"/>
    </w:lvl>
    <w:lvl w:ilvl="3" w:tplc="9976CA86">
      <w:numFmt w:val="decimal"/>
      <w:lvlText w:val=""/>
      <w:lvlJc w:val="left"/>
    </w:lvl>
    <w:lvl w:ilvl="4" w:tplc="2A86C04A">
      <w:numFmt w:val="decimal"/>
      <w:lvlText w:val=""/>
      <w:lvlJc w:val="left"/>
    </w:lvl>
    <w:lvl w:ilvl="5" w:tplc="71706AFC">
      <w:numFmt w:val="decimal"/>
      <w:lvlText w:val=""/>
      <w:lvlJc w:val="left"/>
    </w:lvl>
    <w:lvl w:ilvl="6" w:tplc="D1D6AB72">
      <w:numFmt w:val="decimal"/>
      <w:lvlText w:val=""/>
      <w:lvlJc w:val="left"/>
    </w:lvl>
    <w:lvl w:ilvl="7" w:tplc="B8565CEC">
      <w:numFmt w:val="decimal"/>
      <w:lvlText w:val=""/>
      <w:lvlJc w:val="left"/>
    </w:lvl>
    <w:lvl w:ilvl="8" w:tplc="2A4CF4CE">
      <w:numFmt w:val="decimal"/>
      <w:lvlText w:val=""/>
      <w:lvlJc w:val="left"/>
    </w:lvl>
  </w:abstractNum>
  <w:abstractNum w:abstractNumId="241" w15:restartNumberingAfterBreak="0">
    <w:nsid w:val="19BC7CC7"/>
    <w:multiLevelType w:val="hybridMultilevel"/>
    <w:tmpl w:val="6D26E252"/>
    <w:lvl w:ilvl="0" w:tplc="F59280D8">
      <w:start w:val="1"/>
      <w:numFmt w:val="bullet"/>
      <w:lvlText w:val=""/>
      <w:lvlJc w:val="left"/>
      <w:pPr>
        <w:ind w:left="720" w:hanging="360"/>
      </w:pPr>
      <w:rPr>
        <w:rFonts w:ascii="Symbol" w:hAnsi="Symbol" w:hint="default"/>
      </w:rPr>
    </w:lvl>
    <w:lvl w:ilvl="1" w:tplc="40DEFA38">
      <w:numFmt w:val="decimal"/>
      <w:lvlText w:val=""/>
      <w:lvlJc w:val="left"/>
    </w:lvl>
    <w:lvl w:ilvl="2" w:tplc="CF86F29E">
      <w:numFmt w:val="decimal"/>
      <w:lvlText w:val=""/>
      <w:lvlJc w:val="left"/>
    </w:lvl>
    <w:lvl w:ilvl="3" w:tplc="26A8854E">
      <w:numFmt w:val="decimal"/>
      <w:lvlText w:val=""/>
      <w:lvlJc w:val="left"/>
    </w:lvl>
    <w:lvl w:ilvl="4" w:tplc="86E47E50">
      <w:numFmt w:val="decimal"/>
      <w:lvlText w:val=""/>
      <w:lvlJc w:val="left"/>
    </w:lvl>
    <w:lvl w:ilvl="5" w:tplc="3B20B2FC">
      <w:numFmt w:val="decimal"/>
      <w:lvlText w:val=""/>
      <w:lvlJc w:val="left"/>
    </w:lvl>
    <w:lvl w:ilvl="6" w:tplc="107E3470">
      <w:numFmt w:val="decimal"/>
      <w:lvlText w:val=""/>
      <w:lvlJc w:val="left"/>
    </w:lvl>
    <w:lvl w:ilvl="7" w:tplc="2B9200AA">
      <w:numFmt w:val="decimal"/>
      <w:lvlText w:val=""/>
      <w:lvlJc w:val="left"/>
    </w:lvl>
    <w:lvl w:ilvl="8" w:tplc="F7E479C2">
      <w:numFmt w:val="decimal"/>
      <w:lvlText w:val=""/>
      <w:lvlJc w:val="left"/>
    </w:lvl>
  </w:abstractNum>
  <w:abstractNum w:abstractNumId="242" w15:restartNumberingAfterBreak="0">
    <w:nsid w:val="19BE4D7F"/>
    <w:multiLevelType w:val="hybridMultilevel"/>
    <w:tmpl w:val="A13869D6"/>
    <w:lvl w:ilvl="0" w:tplc="954AC2DA">
      <w:start w:val="1"/>
      <w:numFmt w:val="bullet"/>
      <w:lvlText w:val=""/>
      <w:lvlJc w:val="left"/>
      <w:pPr>
        <w:ind w:left="720" w:hanging="360"/>
      </w:pPr>
      <w:rPr>
        <w:rFonts w:ascii="Symbol" w:hAnsi="Symbol" w:hint="default"/>
      </w:rPr>
    </w:lvl>
    <w:lvl w:ilvl="1" w:tplc="D61C687A">
      <w:numFmt w:val="decimal"/>
      <w:lvlText w:val=""/>
      <w:lvlJc w:val="left"/>
    </w:lvl>
    <w:lvl w:ilvl="2" w:tplc="749E403E">
      <w:numFmt w:val="decimal"/>
      <w:lvlText w:val=""/>
      <w:lvlJc w:val="left"/>
    </w:lvl>
    <w:lvl w:ilvl="3" w:tplc="D5CCA488">
      <w:numFmt w:val="decimal"/>
      <w:lvlText w:val=""/>
      <w:lvlJc w:val="left"/>
    </w:lvl>
    <w:lvl w:ilvl="4" w:tplc="6FE2CFDA">
      <w:numFmt w:val="decimal"/>
      <w:lvlText w:val=""/>
      <w:lvlJc w:val="left"/>
    </w:lvl>
    <w:lvl w:ilvl="5" w:tplc="7BAE54BE">
      <w:numFmt w:val="decimal"/>
      <w:lvlText w:val=""/>
      <w:lvlJc w:val="left"/>
    </w:lvl>
    <w:lvl w:ilvl="6" w:tplc="8E3AB1F0">
      <w:numFmt w:val="decimal"/>
      <w:lvlText w:val=""/>
      <w:lvlJc w:val="left"/>
    </w:lvl>
    <w:lvl w:ilvl="7" w:tplc="CE3EC7EA">
      <w:numFmt w:val="decimal"/>
      <w:lvlText w:val=""/>
      <w:lvlJc w:val="left"/>
    </w:lvl>
    <w:lvl w:ilvl="8" w:tplc="19CACC22">
      <w:numFmt w:val="decimal"/>
      <w:lvlText w:val=""/>
      <w:lvlJc w:val="left"/>
    </w:lvl>
  </w:abstractNum>
  <w:abstractNum w:abstractNumId="243" w15:restartNumberingAfterBreak="0">
    <w:nsid w:val="19CE3213"/>
    <w:multiLevelType w:val="hybridMultilevel"/>
    <w:tmpl w:val="A086AABA"/>
    <w:lvl w:ilvl="0" w:tplc="20FCCEBA">
      <w:start w:val="1"/>
      <w:numFmt w:val="bullet"/>
      <w:lvlText w:val=""/>
      <w:lvlJc w:val="left"/>
      <w:pPr>
        <w:ind w:left="720" w:hanging="360"/>
      </w:pPr>
      <w:rPr>
        <w:rFonts w:ascii="Symbol" w:hAnsi="Symbol" w:hint="default"/>
      </w:rPr>
    </w:lvl>
    <w:lvl w:ilvl="1" w:tplc="4FB07ECC">
      <w:numFmt w:val="decimal"/>
      <w:lvlText w:val=""/>
      <w:lvlJc w:val="left"/>
    </w:lvl>
    <w:lvl w:ilvl="2" w:tplc="BB32186A">
      <w:numFmt w:val="decimal"/>
      <w:lvlText w:val=""/>
      <w:lvlJc w:val="left"/>
    </w:lvl>
    <w:lvl w:ilvl="3" w:tplc="0FA2FB18">
      <w:numFmt w:val="decimal"/>
      <w:lvlText w:val=""/>
      <w:lvlJc w:val="left"/>
    </w:lvl>
    <w:lvl w:ilvl="4" w:tplc="7B18A620">
      <w:numFmt w:val="decimal"/>
      <w:lvlText w:val=""/>
      <w:lvlJc w:val="left"/>
    </w:lvl>
    <w:lvl w:ilvl="5" w:tplc="9C32ABA8">
      <w:numFmt w:val="decimal"/>
      <w:lvlText w:val=""/>
      <w:lvlJc w:val="left"/>
    </w:lvl>
    <w:lvl w:ilvl="6" w:tplc="CED2E6CE">
      <w:numFmt w:val="decimal"/>
      <w:lvlText w:val=""/>
      <w:lvlJc w:val="left"/>
    </w:lvl>
    <w:lvl w:ilvl="7" w:tplc="E8467D2E">
      <w:numFmt w:val="decimal"/>
      <w:lvlText w:val=""/>
      <w:lvlJc w:val="left"/>
    </w:lvl>
    <w:lvl w:ilvl="8" w:tplc="D93A1FDA">
      <w:numFmt w:val="decimal"/>
      <w:lvlText w:val=""/>
      <w:lvlJc w:val="left"/>
    </w:lvl>
  </w:abstractNum>
  <w:abstractNum w:abstractNumId="244" w15:restartNumberingAfterBreak="0">
    <w:nsid w:val="19E408F3"/>
    <w:multiLevelType w:val="hybridMultilevel"/>
    <w:tmpl w:val="2BD62222"/>
    <w:lvl w:ilvl="0" w:tplc="F23A443A">
      <w:start w:val="1"/>
      <w:numFmt w:val="bullet"/>
      <w:lvlText w:val=""/>
      <w:lvlJc w:val="left"/>
      <w:pPr>
        <w:ind w:left="720" w:hanging="360"/>
      </w:pPr>
      <w:rPr>
        <w:rFonts w:ascii="Symbol" w:hAnsi="Symbol" w:hint="default"/>
      </w:rPr>
    </w:lvl>
    <w:lvl w:ilvl="1" w:tplc="D0EEE71E">
      <w:numFmt w:val="decimal"/>
      <w:lvlText w:val=""/>
      <w:lvlJc w:val="left"/>
    </w:lvl>
    <w:lvl w:ilvl="2" w:tplc="0942A36E">
      <w:numFmt w:val="decimal"/>
      <w:lvlText w:val=""/>
      <w:lvlJc w:val="left"/>
    </w:lvl>
    <w:lvl w:ilvl="3" w:tplc="5B6A525E">
      <w:numFmt w:val="decimal"/>
      <w:lvlText w:val=""/>
      <w:lvlJc w:val="left"/>
    </w:lvl>
    <w:lvl w:ilvl="4" w:tplc="6D20FD62">
      <w:numFmt w:val="decimal"/>
      <w:lvlText w:val=""/>
      <w:lvlJc w:val="left"/>
    </w:lvl>
    <w:lvl w:ilvl="5" w:tplc="6456C3DE">
      <w:numFmt w:val="decimal"/>
      <w:lvlText w:val=""/>
      <w:lvlJc w:val="left"/>
    </w:lvl>
    <w:lvl w:ilvl="6" w:tplc="A28A0312">
      <w:numFmt w:val="decimal"/>
      <w:lvlText w:val=""/>
      <w:lvlJc w:val="left"/>
    </w:lvl>
    <w:lvl w:ilvl="7" w:tplc="332C9EA4">
      <w:numFmt w:val="decimal"/>
      <w:lvlText w:val=""/>
      <w:lvlJc w:val="left"/>
    </w:lvl>
    <w:lvl w:ilvl="8" w:tplc="8948305E">
      <w:numFmt w:val="decimal"/>
      <w:lvlText w:val=""/>
      <w:lvlJc w:val="left"/>
    </w:lvl>
  </w:abstractNum>
  <w:abstractNum w:abstractNumId="245" w15:restartNumberingAfterBreak="0">
    <w:nsid w:val="19F63454"/>
    <w:multiLevelType w:val="hybridMultilevel"/>
    <w:tmpl w:val="6770A2B2"/>
    <w:lvl w:ilvl="0" w:tplc="396AF690">
      <w:start w:val="1"/>
      <w:numFmt w:val="bullet"/>
      <w:lvlText w:val=""/>
      <w:lvlJc w:val="left"/>
      <w:pPr>
        <w:ind w:left="720" w:hanging="360"/>
      </w:pPr>
      <w:rPr>
        <w:rFonts w:ascii="Symbol" w:hAnsi="Symbol" w:hint="default"/>
      </w:rPr>
    </w:lvl>
    <w:lvl w:ilvl="1" w:tplc="9698CF12">
      <w:numFmt w:val="decimal"/>
      <w:lvlText w:val=""/>
      <w:lvlJc w:val="left"/>
    </w:lvl>
    <w:lvl w:ilvl="2" w:tplc="A3348FB6">
      <w:numFmt w:val="decimal"/>
      <w:lvlText w:val=""/>
      <w:lvlJc w:val="left"/>
    </w:lvl>
    <w:lvl w:ilvl="3" w:tplc="BF4A167E">
      <w:numFmt w:val="decimal"/>
      <w:lvlText w:val=""/>
      <w:lvlJc w:val="left"/>
    </w:lvl>
    <w:lvl w:ilvl="4" w:tplc="25AC7EB0">
      <w:numFmt w:val="decimal"/>
      <w:lvlText w:val=""/>
      <w:lvlJc w:val="left"/>
    </w:lvl>
    <w:lvl w:ilvl="5" w:tplc="8D2E9176">
      <w:numFmt w:val="decimal"/>
      <w:lvlText w:val=""/>
      <w:lvlJc w:val="left"/>
    </w:lvl>
    <w:lvl w:ilvl="6" w:tplc="D270C244">
      <w:numFmt w:val="decimal"/>
      <w:lvlText w:val=""/>
      <w:lvlJc w:val="left"/>
    </w:lvl>
    <w:lvl w:ilvl="7" w:tplc="21621540">
      <w:numFmt w:val="decimal"/>
      <w:lvlText w:val=""/>
      <w:lvlJc w:val="left"/>
    </w:lvl>
    <w:lvl w:ilvl="8" w:tplc="BCDCE5F6">
      <w:numFmt w:val="decimal"/>
      <w:lvlText w:val=""/>
      <w:lvlJc w:val="left"/>
    </w:lvl>
  </w:abstractNum>
  <w:abstractNum w:abstractNumId="246" w15:restartNumberingAfterBreak="0">
    <w:nsid w:val="1A0F63D2"/>
    <w:multiLevelType w:val="hybridMultilevel"/>
    <w:tmpl w:val="8E723C2A"/>
    <w:lvl w:ilvl="0" w:tplc="671CFE38">
      <w:start w:val="1"/>
      <w:numFmt w:val="bullet"/>
      <w:lvlText w:val=""/>
      <w:lvlJc w:val="left"/>
      <w:pPr>
        <w:ind w:left="720" w:hanging="360"/>
      </w:pPr>
      <w:rPr>
        <w:rFonts w:ascii="Symbol" w:hAnsi="Symbol" w:hint="default"/>
      </w:rPr>
    </w:lvl>
    <w:lvl w:ilvl="1" w:tplc="5E58D796">
      <w:numFmt w:val="decimal"/>
      <w:lvlText w:val=""/>
      <w:lvlJc w:val="left"/>
    </w:lvl>
    <w:lvl w:ilvl="2" w:tplc="21E82D1E">
      <w:numFmt w:val="decimal"/>
      <w:lvlText w:val=""/>
      <w:lvlJc w:val="left"/>
    </w:lvl>
    <w:lvl w:ilvl="3" w:tplc="4642D110">
      <w:numFmt w:val="decimal"/>
      <w:lvlText w:val=""/>
      <w:lvlJc w:val="left"/>
    </w:lvl>
    <w:lvl w:ilvl="4" w:tplc="0B9EEFDE">
      <w:numFmt w:val="decimal"/>
      <w:lvlText w:val=""/>
      <w:lvlJc w:val="left"/>
    </w:lvl>
    <w:lvl w:ilvl="5" w:tplc="D6B8C86E">
      <w:numFmt w:val="decimal"/>
      <w:lvlText w:val=""/>
      <w:lvlJc w:val="left"/>
    </w:lvl>
    <w:lvl w:ilvl="6" w:tplc="AFA02E4A">
      <w:numFmt w:val="decimal"/>
      <w:lvlText w:val=""/>
      <w:lvlJc w:val="left"/>
    </w:lvl>
    <w:lvl w:ilvl="7" w:tplc="314C990C">
      <w:numFmt w:val="decimal"/>
      <w:lvlText w:val=""/>
      <w:lvlJc w:val="left"/>
    </w:lvl>
    <w:lvl w:ilvl="8" w:tplc="E67EFBF4">
      <w:numFmt w:val="decimal"/>
      <w:lvlText w:val=""/>
      <w:lvlJc w:val="left"/>
    </w:lvl>
  </w:abstractNum>
  <w:abstractNum w:abstractNumId="247" w15:restartNumberingAfterBreak="0">
    <w:nsid w:val="1A1144EC"/>
    <w:multiLevelType w:val="hybridMultilevel"/>
    <w:tmpl w:val="BDA28618"/>
    <w:lvl w:ilvl="0" w:tplc="C204C2FA">
      <w:start w:val="1"/>
      <w:numFmt w:val="bullet"/>
      <w:lvlText w:val=""/>
      <w:lvlJc w:val="left"/>
      <w:pPr>
        <w:ind w:left="720" w:hanging="360"/>
      </w:pPr>
      <w:rPr>
        <w:rFonts w:ascii="Symbol" w:hAnsi="Symbol" w:hint="default"/>
      </w:rPr>
    </w:lvl>
    <w:lvl w:ilvl="1" w:tplc="994A2E62">
      <w:numFmt w:val="decimal"/>
      <w:lvlText w:val=""/>
      <w:lvlJc w:val="left"/>
    </w:lvl>
    <w:lvl w:ilvl="2" w:tplc="C5CCBB9C">
      <w:numFmt w:val="decimal"/>
      <w:lvlText w:val=""/>
      <w:lvlJc w:val="left"/>
    </w:lvl>
    <w:lvl w:ilvl="3" w:tplc="D174C850">
      <w:numFmt w:val="decimal"/>
      <w:lvlText w:val=""/>
      <w:lvlJc w:val="left"/>
    </w:lvl>
    <w:lvl w:ilvl="4" w:tplc="4598685E">
      <w:numFmt w:val="decimal"/>
      <w:lvlText w:val=""/>
      <w:lvlJc w:val="left"/>
    </w:lvl>
    <w:lvl w:ilvl="5" w:tplc="68DC56E0">
      <w:numFmt w:val="decimal"/>
      <w:lvlText w:val=""/>
      <w:lvlJc w:val="left"/>
    </w:lvl>
    <w:lvl w:ilvl="6" w:tplc="2488EEA6">
      <w:numFmt w:val="decimal"/>
      <w:lvlText w:val=""/>
      <w:lvlJc w:val="left"/>
    </w:lvl>
    <w:lvl w:ilvl="7" w:tplc="01185E62">
      <w:numFmt w:val="decimal"/>
      <w:lvlText w:val=""/>
      <w:lvlJc w:val="left"/>
    </w:lvl>
    <w:lvl w:ilvl="8" w:tplc="5928C18A">
      <w:numFmt w:val="decimal"/>
      <w:lvlText w:val=""/>
      <w:lvlJc w:val="left"/>
    </w:lvl>
  </w:abstractNum>
  <w:abstractNum w:abstractNumId="248" w15:restartNumberingAfterBreak="0">
    <w:nsid w:val="1A160720"/>
    <w:multiLevelType w:val="hybridMultilevel"/>
    <w:tmpl w:val="1BF28450"/>
    <w:lvl w:ilvl="0" w:tplc="641024BA">
      <w:start w:val="1"/>
      <w:numFmt w:val="bullet"/>
      <w:lvlText w:val=""/>
      <w:lvlJc w:val="left"/>
      <w:pPr>
        <w:ind w:left="720" w:hanging="360"/>
      </w:pPr>
      <w:rPr>
        <w:rFonts w:ascii="Symbol" w:hAnsi="Symbol" w:hint="default"/>
      </w:rPr>
    </w:lvl>
    <w:lvl w:ilvl="1" w:tplc="5CC8F97A">
      <w:numFmt w:val="decimal"/>
      <w:lvlText w:val=""/>
      <w:lvlJc w:val="left"/>
    </w:lvl>
    <w:lvl w:ilvl="2" w:tplc="4B50B89E">
      <w:numFmt w:val="decimal"/>
      <w:lvlText w:val=""/>
      <w:lvlJc w:val="left"/>
    </w:lvl>
    <w:lvl w:ilvl="3" w:tplc="2B2A72D6">
      <w:numFmt w:val="decimal"/>
      <w:lvlText w:val=""/>
      <w:lvlJc w:val="left"/>
    </w:lvl>
    <w:lvl w:ilvl="4" w:tplc="E9F2A6A8">
      <w:numFmt w:val="decimal"/>
      <w:lvlText w:val=""/>
      <w:lvlJc w:val="left"/>
    </w:lvl>
    <w:lvl w:ilvl="5" w:tplc="29201B22">
      <w:numFmt w:val="decimal"/>
      <w:lvlText w:val=""/>
      <w:lvlJc w:val="left"/>
    </w:lvl>
    <w:lvl w:ilvl="6" w:tplc="60563364">
      <w:numFmt w:val="decimal"/>
      <w:lvlText w:val=""/>
      <w:lvlJc w:val="left"/>
    </w:lvl>
    <w:lvl w:ilvl="7" w:tplc="F7A6401A">
      <w:numFmt w:val="decimal"/>
      <w:lvlText w:val=""/>
      <w:lvlJc w:val="left"/>
    </w:lvl>
    <w:lvl w:ilvl="8" w:tplc="989C0752">
      <w:numFmt w:val="decimal"/>
      <w:lvlText w:val=""/>
      <w:lvlJc w:val="left"/>
    </w:lvl>
  </w:abstractNum>
  <w:abstractNum w:abstractNumId="249" w15:restartNumberingAfterBreak="0">
    <w:nsid w:val="1A487C25"/>
    <w:multiLevelType w:val="hybridMultilevel"/>
    <w:tmpl w:val="C7FC914A"/>
    <w:lvl w:ilvl="0" w:tplc="3962BB1E">
      <w:start w:val="1"/>
      <w:numFmt w:val="bullet"/>
      <w:lvlText w:val=""/>
      <w:lvlJc w:val="left"/>
      <w:pPr>
        <w:ind w:left="720" w:hanging="360"/>
      </w:pPr>
      <w:rPr>
        <w:rFonts w:ascii="Symbol" w:hAnsi="Symbol" w:hint="default"/>
      </w:rPr>
    </w:lvl>
    <w:lvl w:ilvl="1" w:tplc="083E7838">
      <w:numFmt w:val="decimal"/>
      <w:lvlText w:val=""/>
      <w:lvlJc w:val="left"/>
    </w:lvl>
    <w:lvl w:ilvl="2" w:tplc="63A080F8">
      <w:numFmt w:val="decimal"/>
      <w:lvlText w:val=""/>
      <w:lvlJc w:val="left"/>
    </w:lvl>
    <w:lvl w:ilvl="3" w:tplc="1FC298FC">
      <w:numFmt w:val="decimal"/>
      <w:lvlText w:val=""/>
      <w:lvlJc w:val="left"/>
    </w:lvl>
    <w:lvl w:ilvl="4" w:tplc="6A4A0AE0">
      <w:numFmt w:val="decimal"/>
      <w:lvlText w:val=""/>
      <w:lvlJc w:val="left"/>
    </w:lvl>
    <w:lvl w:ilvl="5" w:tplc="9D38EDC2">
      <w:numFmt w:val="decimal"/>
      <w:lvlText w:val=""/>
      <w:lvlJc w:val="left"/>
    </w:lvl>
    <w:lvl w:ilvl="6" w:tplc="C53C3468">
      <w:numFmt w:val="decimal"/>
      <w:lvlText w:val=""/>
      <w:lvlJc w:val="left"/>
    </w:lvl>
    <w:lvl w:ilvl="7" w:tplc="E4485E92">
      <w:numFmt w:val="decimal"/>
      <w:lvlText w:val=""/>
      <w:lvlJc w:val="left"/>
    </w:lvl>
    <w:lvl w:ilvl="8" w:tplc="59F810C2">
      <w:numFmt w:val="decimal"/>
      <w:lvlText w:val=""/>
      <w:lvlJc w:val="left"/>
    </w:lvl>
  </w:abstractNum>
  <w:abstractNum w:abstractNumId="250" w15:restartNumberingAfterBreak="0">
    <w:nsid w:val="1A5572A1"/>
    <w:multiLevelType w:val="hybridMultilevel"/>
    <w:tmpl w:val="99E2180C"/>
    <w:lvl w:ilvl="0" w:tplc="D794CE5C">
      <w:start w:val="1"/>
      <w:numFmt w:val="bullet"/>
      <w:lvlText w:val=""/>
      <w:lvlJc w:val="left"/>
      <w:pPr>
        <w:ind w:left="720" w:hanging="360"/>
      </w:pPr>
      <w:rPr>
        <w:rFonts w:ascii="Symbol" w:hAnsi="Symbol" w:hint="default"/>
      </w:rPr>
    </w:lvl>
    <w:lvl w:ilvl="1" w:tplc="2EE6A4E0">
      <w:numFmt w:val="decimal"/>
      <w:lvlText w:val=""/>
      <w:lvlJc w:val="left"/>
    </w:lvl>
    <w:lvl w:ilvl="2" w:tplc="CF40887A">
      <w:numFmt w:val="decimal"/>
      <w:lvlText w:val=""/>
      <w:lvlJc w:val="left"/>
    </w:lvl>
    <w:lvl w:ilvl="3" w:tplc="5B7E42A2">
      <w:numFmt w:val="decimal"/>
      <w:lvlText w:val=""/>
      <w:lvlJc w:val="left"/>
    </w:lvl>
    <w:lvl w:ilvl="4" w:tplc="D2E64128">
      <w:numFmt w:val="decimal"/>
      <w:lvlText w:val=""/>
      <w:lvlJc w:val="left"/>
    </w:lvl>
    <w:lvl w:ilvl="5" w:tplc="08E82218">
      <w:numFmt w:val="decimal"/>
      <w:lvlText w:val=""/>
      <w:lvlJc w:val="left"/>
    </w:lvl>
    <w:lvl w:ilvl="6" w:tplc="50287384">
      <w:numFmt w:val="decimal"/>
      <w:lvlText w:val=""/>
      <w:lvlJc w:val="left"/>
    </w:lvl>
    <w:lvl w:ilvl="7" w:tplc="F8940C28">
      <w:numFmt w:val="decimal"/>
      <w:lvlText w:val=""/>
      <w:lvlJc w:val="left"/>
    </w:lvl>
    <w:lvl w:ilvl="8" w:tplc="C4A2F6CC">
      <w:numFmt w:val="decimal"/>
      <w:lvlText w:val=""/>
      <w:lvlJc w:val="left"/>
    </w:lvl>
  </w:abstractNum>
  <w:abstractNum w:abstractNumId="251" w15:restartNumberingAfterBreak="0">
    <w:nsid w:val="1A5A2FBB"/>
    <w:multiLevelType w:val="hybridMultilevel"/>
    <w:tmpl w:val="9DB82E06"/>
    <w:lvl w:ilvl="0" w:tplc="E122974C">
      <w:start w:val="1"/>
      <w:numFmt w:val="bullet"/>
      <w:lvlText w:val=""/>
      <w:lvlJc w:val="left"/>
      <w:pPr>
        <w:ind w:left="720" w:hanging="360"/>
      </w:pPr>
      <w:rPr>
        <w:rFonts w:ascii="Symbol" w:hAnsi="Symbol" w:hint="default"/>
      </w:rPr>
    </w:lvl>
    <w:lvl w:ilvl="1" w:tplc="A2BA46DC">
      <w:numFmt w:val="decimal"/>
      <w:lvlText w:val=""/>
      <w:lvlJc w:val="left"/>
    </w:lvl>
    <w:lvl w:ilvl="2" w:tplc="C5608606">
      <w:numFmt w:val="decimal"/>
      <w:lvlText w:val=""/>
      <w:lvlJc w:val="left"/>
    </w:lvl>
    <w:lvl w:ilvl="3" w:tplc="F83A612A">
      <w:numFmt w:val="decimal"/>
      <w:lvlText w:val=""/>
      <w:lvlJc w:val="left"/>
    </w:lvl>
    <w:lvl w:ilvl="4" w:tplc="24645C36">
      <w:numFmt w:val="decimal"/>
      <w:lvlText w:val=""/>
      <w:lvlJc w:val="left"/>
    </w:lvl>
    <w:lvl w:ilvl="5" w:tplc="E996A8E8">
      <w:numFmt w:val="decimal"/>
      <w:lvlText w:val=""/>
      <w:lvlJc w:val="left"/>
    </w:lvl>
    <w:lvl w:ilvl="6" w:tplc="674AEDFA">
      <w:numFmt w:val="decimal"/>
      <w:lvlText w:val=""/>
      <w:lvlJc w:val="left"/>
    </w:lvl>
    <w:lvl w:ilvl="7" w:tplc="0E3ED0B8">
      <w:numFmt w:val="decimal"/>
      <w:lvlText w:val=""/>
      <w:lvlJc w:val="left"/>
    </w:lvl>
    <w:lvl w:ilvl="8" w:tplc="A70282A4">
      <w:numFmt w:val="decimal"/>
      <w:lvlText w:val=""/>
      <w:lvlJc w:val="left"/>
    </w:lvl>
  </w:abstractNum>
  <w:abstractNum w:abstractNumId="252" w15:restartNumberingAfterBreak="0">
    <w:nsid w:val="1A6D6B73"/>
    <w:multiLevelType w:val="hybridMultilevel"/>
    <w:tmpl w:val="CEEE1D24"/>
    <w:lvl w:ilvl="0" w:tplc="64162AFE">
      <w:start w:val="1"/>
      <w:numFmt w:val="bullet"/>
      <w:lvlText w:val=""/>
      <w:lvlJc w:val="left"/>
      <w:pPr>
        <w:ind w:left="720" w:hanging="360"/>
      </w:pPr>
      <w:rPr>
        <w:rFonts w:ascii="Symbol" w:hAnsi="Symbol" w:hint="default"/>
      </w:rPr>
    </w:lvl>
    <w:lvl w:ilvl="1" w:tplc="D032BF78">
      <w:numFmt w:val="decimal"/>
      <w:lvlText w:val=""/>
      <w:lvlJc w:val="left"/>
    </w:lvl>
    <w:lvl w:ilvl="2" w:tplc="FF6EA2FA">
      <w:numFmt w:val="decimal"/>
      <w:lvlText w:val=""/>
      <w:lvlJc w:val="left"/>
    </w:lvl>
    <w:lvl w:ilvl="3" w:tplc="BBA09824">
      <w:numFmt w:val="decimal"/>
      <w:lvlText w:val=""/>
      <w:lvlJc w:val="left"/>
    </w:lvl>
    <w:lvl w:ilvl="4" w:tplc="39166E02">
      <w:numFmt w:val="decimal"/>
      <w:lvlText w:val=""/>
      <w:lvlJc w:val="left"/>
    </w:lvl>
    <w:lvl w:ilvl="5" w:tplc="D84C9D42">
      <w:numFmt w:val="decimal"/>
      <w:lvlText w:val=""/>
      <w:lvlJc w:val="left"/>
    </w:lvl>
    <w:lvl w:ilvl="6" w:tplc="87A40E0E">
      <w:numFmt w:val="decimal"/>
      <w:lvlText w:val=""/>
      <w:lvlJc w:val="left"/>
    </w:lvl>
    <w:lvl w:ilvl="7" w:tplc="7D00EB3C">
      <w:numFmt w:val="decimal"/>
      <w:lvlText w:val=""/>
      <w:lvlJc w:val="left"/>
    </w:lvl>
    <w:lvl w:ilvl="8" w:tplc="1E3EB58C">
      <w:numFmt w:val="decimal"/>
      <w:lvlText w:val=""/>
      <w:lvlJc w:val="left"/>
    </w:lvl>
  </w:abstractNum>
  <w:abstractNum w:abstractNumId="253" w15:restartNumberingAfterBreak="0">
    <w:nsid w:val="1A6D78C3"/>
    <w:multiLevelType w:val="hybridMultilevel"/>
    <w:tmpl w:val="48322706"/>
    <w:lvl w:ilvl="0" w:tplc="90E2D034">
      <w:start w:val="1"/>
      <w:numFmt w:val="bullet"/>
      <w:lvlText w:val=""/>
      <w:lvlJc w:val="left"/>
      <w:pPr>
        <w:ind w:left="720" w:hanging="360"/>
      </w:pPr>
      <w:rPr>
        <w:rFonts w:ascii="Symbol" w:hAnsi="Symbol" w:hint="default"/>
      </w:rPr>
    </w:lvl>
    <w:lvl w:ilvl="1" w:tplc="13E6CEDC">
      <w:numFmt w:val="decimal"/>
      <w:lvlText w:val=""/>
      <w:lvlJc w:val="left"/>
    </w:lvl>
    <w:lvl w:ilvl="2" w:tplc="6F80E040">
      <w:numFmt w:val="decimal"/>
      <w:lvlText w:val=""/>
      <w:lvlJc w:val="left"/>
    </w:lvl>
    <w:lvl w:ilvl="3" w:tplc="B7E2D3B2">
      <w:numFmt w:val="decimal"/>
      <w:lvlText w:val=""/>
      <w:lvlJc w:val="left"/>
    </w:lvl>
    <w:lvl w:ilvl="4" w:tplc="DE0048CE">
      <w:numFmt w:val="decimal"/>
      <w:lvlText w:val=""/>
      <w:lvlJc w:val="left"/>
    </w:lvl>
    <w:lvl w:ilvl="5" w:tplc="6BCE586E">
      <w:numFmt w:val="decimal"/>
      <w:lvlText w:val=""/>
      <w:lvlJc w:val="left"/>
    </w:lvl>
    <w:lvl w:ilvl="6" w:tplc="EBC0AA0C">
      <w:numFmt w:val="decimal"/>
      <w:lvlText w:val=""/>
      <w:lvlJc w:val="left"/>
    </w:lvl>
    <w:lvl w:ilvl="7" w:tplc="1DA8047C">
      <w:numFmt w:val="decimal"/>
      <w:lvlText w:val=""/>
      <w:lvlJc w:val="left"/>
    </w:lvl>
    <w:lvl w:ilvl="8" w:tplc="5C0807B2">
      <w:numFmt w:val="decimal"/>
      <w:lvlText w:val=""/>
      <w:lvlJc w:val="left"/>
    </w:lvl>
  </w:abstractNum>
  <w:abstractNum w:abstractNumId="254" w15:restartNumberingAfterBreak="0">
    <w:nsid w:val="1A846BE0"/>
    <w:multiLevelType w:val="hybridMultilevel"/>
    <w:tmpl w:val="61708726"/>
    <w:lvl w:ilvl="0" w:tplc="5022B022">
      <w:start w:val="1"/>
      <w:numFmt w:val="bullet"/>
      <w:lvlText w:val=""/>
      <w:lvlJc w:val="left"/>
      <w:pPr>
        <w:ind w:left="720" w:hanging="360"/>
      </w:pPr>
      <w:rPr>
        <w:rFonts w:ascii="Symbol" w:hAnsi="Symbol" w:hint="default"/>
      </w:rPr>
    </w:lvl>
    <w:lvl w:ilvl="1" w:tplc="B910101A">
      <w:numFmt w:val="decimal"/>
      <w:lvlText w:val=""/>
      <w:lvlJc w:val="left"/>
    </w:lvl>
    <w:lvl w:ilvl="2" w:tplc="02409AAE">
      <w:numFmt w:val="decimal"/>
      <w:lvlText w:val=""/>
      <w:lvlJc w:val="left"/>
    </w:lvl>
    <w:lvl w:ilvl="3" w:tplc="8CAC4588">
      <w:numFmt w:val="decimal"/>
      <w:lvlText w:val=""/>
      <w:lvlJc w:val="left"/>
    </w:lvl>
    <w:lvl w:ilvl="4" w:tplc="FA54F642">
      <w:numFmt w:val="decimal"/>
      <w:lvlText w:val=""/>
      <w:lvlJc w:val="left"/>
    </w:lvl>
    <w:lvl w:ilvl="5" w:tplc="0194E1D6">
      <w:numFmt w:val="decimal"/>
      <w:lvlText w:val=""/>
      <w:lvlJc w:val="left"/>
    </w:lvl>
    <w:lvl w:ilvl="6" w:tplc="6CB4BE0C">
      <w:numFmt w:val="decimal"/>
      <w:lvlText w:val=""/>
      <w:lvlJc w:val="left"/>
    </w:lvl>
    <w:lvl w:ilvl="7" w:tplc="7EE82864">
      <w:numFmt w:val="decimal"/>
      <w:lvlText w:val=""/>
      <w:lvlJc w:val="left"/>
    </w:lvl>
    <w:lvl w:ilvl="8" w:tplc="0D861C2C">
      <w:numFmt w:val="decimal"/>
      <w:lvlText w:val=""/>
      <w:lvlJc w:val="left"/>
    </w:lvl>
  </w:abstractNum>
  <w:abstractNum w:abstractNumId="255" w15:restartNumberingAfterBreak="0">
    <w:nsid w:val="1A91617D"/>
    <w:multiLevelType w:val="hybridMultilevel"/>
    <w:tmpl w:val="818AF1F6"/>
    <w:lvl w:ilvl="0" w:tplc="05E435A6">
      <w:start w:val="1"/>
      <w:numFmt w:val="bullet"/>
      <w:lvlText w:val=""/>
      <w:lvlJc w:val="left"/>
      <w:pPr>
        <w:ind w:left="720" w:hanging="360"/>
      </w:pPr>
      <w:rPr>
        <w:rFonts w:ascii="Symbol" w:hAnsi="Symbol" w:hint="default"/>
      </w:rPr>
    </w:lvl>
    <w:lvl w:ilvl="1" w:tplc="A6A69E70">
      <w:numFmt w:val="decimal"/>
      <w:lvlText w:val=""/>
      <w:lvlJc w:val="left"/>
    </w:lvl>
    <w:lvl w:ilvl="2" w:tplc="9E74711E">
      <w:numFmt w:val="decimal"/>
      <w:lvlText w:val=""/>
      <w:lvlJc w:val="left"/>
    </w:lvl>
    <w:lvl w:ilvl="3" w:tplc="E5128618">
      <w:numFmt w:val="decimal"/>
      <w:lvlText w:val=""/>
      <w:lvlJc w:val="left"/>
    </w:lvl>
    <w:lvl w:ilvl="4" w:tplc="C42C57AE">
      <w:numFmt w:val="decimal"/>
      <w:lvlText w:val=""/>
      <w:lvlJc w:val="left"/>
    </w:lvl>
    <w:lvl w:ilvl="5" w:tplc="17E04E72">
      <w:numFmt w:val="decimal"/>
      <w:lvlText w:val=""/>
      <w:lvlJc w:val="left"/>
    </w:lvl>
    <w:lvl w:ilvl="6" w:tplc="059A34BA">
      <w:numFmt w:val="decimal"/>
      <w:lvlText w:val=""/>
      <w:lvlJc w:val="left"/>
    </w:lvl>
    <w:lvl w:ilvl="7" w:tplc="11647ADE">
      <w:numFmt w:val="decimal"/>
      <w:lvlText w:val=""/>
      <w:lvlJc w:val="left"/>
    </w:lvl>
    <w:lvl w:ilvl="8" w:tplc="0380B032">
      <w:numFmt w:val="decimal"/>
      <w:lvlText w:val=""/>
      <w:lvlJc w:val="left"/>
    </w:lvl>
  </w:abstractNum>
  <w:abstractNum w:abstractNumId="256" w15:restartNumberingAfterBreak="0">
    <w:nsid w:val="1A9D1D7E"/>
    <w:multiLevelType w:val="hybridMultilevel"/>
    <w:tmpl w:val="38940152"/>
    <w:lvl w:ilvl="0" w:tplc="27CAF94C">
      <w:start w:val="1"/>
      <w:numFmt w:val="bullet"/>
      <w:lvlText w:val=""/>
      <w:lvlJc w:val="left"/>
      <w:pPr>
        <w:ind w:left="720" w:hanging="360"/>
      </w:pPr>
      <w:rPr>
        <w:rFonts w:ascii="Symbol" w:hAnsi="Symbol" w:hint="default"/>
      </w:rPr>
    </w:lvl>
    <w:lvl w:ilvl="1" w:tplc="82604678">
      <w:numFmt w:val="decimal"/>
      <w:lvlText w:val=""/>
      <w:lvlJc w:val="left"/>
    </w:lvl>
    <w:lvl w:ilvl="2" w:tplc="CD166A8E">
      <w:numFmt w:val="decimal"/>
      <w:lvlText w:val=""/>
      <w:lvlJc w:val="left"/>
    </w:lvl>
    <w:lvl w:ilvl="3" w:tplc="486269F0">
      <w:numFmt w:val="decimal"/>
      <w:lvlText w:val=""/>
      <w:lvlJc w:val="left"/>
    </w:lvl>
    <w:lvl w:ilvl="4" w:tplc="8DDCADC2">
      <w:numFmt w:val="decimal"/>
      <w:lvlText w:val=""/>
      <w:lvlJc w:val="left"/>
    </w:lvl>
    <w:lvl w:ilvl="5" w:tplc="55ECB030">
      <w:numFmt w:val="decimal"/>
      <w:lvlText w:val=""/>
      <w:lvlJc w:val="left"/>
    </w:lvl>
    <w:lvl w:ilvl="6" w:tplc="B6348650">
      <w:numFmt w:val="decimal"/>
      <w:lvlText w:val=""/>
      <w:lvlJc w:val="left"/>
    </w:lvl>
    <w:lvl w:ilvl="7" w:tplc="433A9400">
      <w:numFmt w:val="decimal"/>
      <w:lvlText w:val=""/>
      <w:lvlJc w:val="left"/>
    </w:lvl>
    <w:lvl w:ilvl="8" w:tplc="2932C112">
      <w:numFmt w:val="decimal"/>
      <w:lvlText w:val=""/>
      <w:lvlJc w:val="left"/>
    </w:lvl>
  </w:abstractNum>
  <w:abstractNum w:abstractNumId="257" w15:restartNumberingAfterBreak="0">
    <w:nsid w:val="1ABB24A1"/>
    <w:multiLevelType w:val="hybridMultilevel"/>
    <w:tmpl w:val="DBD04ADC"/>
    <w:lvl w:ilvl="0" w:tplc="3BD85128">
      <w:start w:val="1"/>
      <w:numFmt w:val="bullet"/>
      <w:lvlText w:val=""/>
      <w:lvlJc w:val="left"/>
      <w:pPr>
        <w:ind w:left="720" w:hanging="360"/>
      </w:pPr>
      <w:rPr>
        <w:rFonts w:ascii="Symbol" w:hAnsi="Symbol" w:hint="default"/>
      </w:rPr>
    </w:lvl>
    <w:lvl w:ilvl="1" w:tplc="0246A390">
      <w:numFmt w:val="decimal"/>
      <w:lvlText w:val=""/>
      <w:lvlJc w:val="left"/>
    </w:lvl>
    <w:lvl w:ilvl="2" w:tplc="54ACB102">
      <w:numFmt w:val="decimal"/>
      <w:lvlText w:val=""/>
      <w:lvlJc w:val="left"/>
    </w:lvl>
    <w:lvl w:ilvl="3" w:tplc="4D5AD788">
      <w:numFmt w:val="decimal"/>
      <w:lvlText w:val=""/>
      <w:lvlJc w:val="left"/>
    </w:lvl>
    <w:lvl w:ilvl="4" w:tplc="0D969EB2">
      <w:numFmt w:val="decimal"/>
      <w:lvlText w:val=""/>
      <w:lvlJc w:val="left"/>
    </w:lvl>
    <w:lvl w:ilvl="5" w:tplc="79DA1CC2">
      <w:numFmt w:val="decimal"/>
      <w:lvlText w:val=""/>
      <w:lvlJc w:val="left"/>
    </w:lvl>
    <w:lvl w:ilvl="6" w:tplc="85C690F2">
      <w:numFmt w:val="decimal"/>
      <w:lvlText w:val=""/>
      <w:lvlJc w:val="left"/>
    </w:lvl>
    <w:lvl w:ilvl="7" w:tplc="13A02BBA">
      <w:numFmt w:val="decimal"/>
      <w:lvlText w:val=""/>
      <w:lvlJc w:val="left"/>
    </w:lvl>
    <w:lvl w:ilvl="8" w:tplc="FD74DE5C">
      <w:numFmt w:val="decimal"/>
      <w:lvlText w:val=""/>
      <w:lvlJc w:val="left"/>
    </w:lvl>
  </w:abstractNum>
  <w:abstractNum w:abstractNumId="258" w15:restartNumberingAfterBreak="0">
    <w:nsid w:val="1ABF447F"/>
    <w:multiLevelType w:val="hybridMultilevel"/>
    <w:tmpl w:val="F73E8D96"/>
    <w:lvl w:ilvl="0" w:tplc="5F688BF2">
      <w:start w:val="1"/>
      <w:numFmt w:val="bullet"/>
      <w:lvlText w:val=""/>
      <w:lvlJc w:val="left"/>
      <w:pPr>
        <w:ind w:left="720" w:hanging="360"/>
      </w:pPr>
      <w:rPr>
        <w:rFonts w:ascii="Symbol" w:hAnsi="Symbol" w:hint="default"/>
      </w:rPr>
    </w:lvl>
    <w:lvl w:ilvl="1" w:tplc="442E1534">
      <w:numFmt w:val="decimal"/>
      <w:lvlText w:val=""/>
      <w:lvlJc w:val="left"/>
    </w:lvl>
    <w:lvl w:ilvl="2" w:tplc="D9DEB0A4">
      <w:numFmt w:val="decimal"/>
      <w:lvlText w:val=""/>
      <w:lvlJc w:val="left"/>
    </w:lvl>
    <w:lvl w:ilvl="3" w:tplc="22600CF6">
      <w:numFmt w:val="decimal"/>
      <w:lvlText w:val=""/>
      <w:lvlJc w:val="left"/>
    </w:lvl>
    <w:lvl w:ilvl="4" w:tplc="B980DF90">
      <w:numFmt w:val="decimal"/>
      <w:lvlText w:val=""/>
      <w:lvlJc w:val="left"/>
    </w:lvl>
    <w:lvl w:ilvl="5" w:tplc="2DE04920">
      <w:numFmt w:val="decimal"/>
      <w:lvlText w:val=""/>
      <w:lvlJc w:val="left"/>
    </w:lvl>
    <w:lvl w:ilvl="6" w:tplc="A06486BC">
      <w:numFmt w:val="decimal"/>
      <w:lvlText w:val=""/>
      <w:lvlJc w:val="left"/>
    </w:lvl>
    <w:lvl w:ilvl="7" w:tplc="69E4C424">
      <w:numFmt w:val="decimal"/>
      <w:lvlText w:val=""/>
      <w:lvlJc w:val="left"/>
    </w:lvl>
    <w:lvl w:ilvl="8" w:tplc="33D4BB7E">
      <w:numFmt w:val="decimal"/>
      <w:lvlText w:val=""/>
      <w:lvlJc w:val="left"/>
    </w:lvl>
  </w:abstractNum>
  <w:abstractNum w:abstractNumId="259" w15:restartNumberingAfterBreak="0">
    <w:nsid w:val="1AD81640"/>
    <w:multiLevelType w:val="hybridMultilevel"/>
    <w:tmpl w:val="9D486616"/>
    <w:lvl w:ilvl="0" w:tplc="B41291D8">
      <w:start w:val="1"/>
      <w:numFmt w:val="bullet"/>
      <w:lvlText w:val=""/>
      <w:lvlJc w:val="left"/>
      <w:pPr>
        <w:ind w:left="720" w:hanging="360"/>
      </w:pPr>
      <w:rPr>
        <w:rFonts w:ascii="Symbol" w:hAnsi="Symbol" w:hint="default"/>
      </w:rPr>
    </w:lvl>
    <w:lvl w:ilvl="1" w:tplc="A8F2F898">
      <w:numFmt w:val="decimal"/>
      <w:lvlText w:val=""/>
      <w:lvlJc w:val="left"/>
    </w:lvl>
    <w:lvl w:ilvl="2" w:tplc="A1583DAC">
      <w:numFmt w:val="decimal"/>
      <w:lvlText w:val=""/>
      <w:lvlJc w:val="left"/>
    </w:lvl>
    <w:lvl w:ilvl="3" w:tplc="509E2F1E">
      <w:numFmt w:val="decimal"/>
      <w:lvlText w:val=""/>
      <w:lvlJc w:val="left"/>
    </w:lvl>
    <w:lvl w:ilvl="4" w:tplc="F7228E58">
      <w:numFmt w:val="decimal"/>
      <w:lvlText w:val=""/>
      <w:lvlJc w:val="left"/>
    </w:lvl>
    <w:lvl w:ilvl="5" w:tplc="27B23066">
      <w:numFmt w:val="decimal"/>
      <w:lvlText w:val=""/>
      <w:lvlJc w:val="left"/>
    </w:lvl>
    <w:lvl w:ilvl="6" w:tplc="0BFE7F0E">
      <w:numFmt w:val="decimal"/>
      <w:lvlText w:val=""/>
      <w:lvlJc w:val="left"/>
    </w:lvl>
    <w:lvl w:ilvl="7" w:tplc="B8808050">
      <w:numFmt w:val="decimal"/>
      <w:lvlText w:val=""/>
      <w:lvlJc w:val="left"/>
    </w:lvl>
    <w:lvl w:ilvl="8" w:tplc="09FE91C0">
      <w:numFmt w:val="decimal"/>
      <w:lvlText w:val=""/>
      <w:lvlJc w:val="left"/>
    </w:lvl>
  </w:abstractNum>
  <w:abstractNum w:abstractNumId="260" w15:restartNumberingAfterBreak="0">
    <w:nsid w:val="1ADB0377"/>
    <w:multiLevelType w:val="hybridMultilevel"/>
    <w:tmpl w:val="12465B56"/>
    <w:lvl w:ilvl="0" w:tplc="6922B54A">
      <w:start w:val="1"/>
      <w:numFmt w:val="bullet"/>
      <w:lvlText w:val=""/>
      <w:lvlJc w:val="left"/>
      <w:pPr>
        <w:ind w:left="720" w:hanging="360"/>
      </w:pPr>
      <w:rPr>
        <w:rFonts w:ascii="Symbol" w:hAnsi="Symbol" w:hint="default"/>
      </w:rPr>
    </w:lvl>
    <w:lvl w:ilvl="1" w:tplc="57108DB4">
      <w:numFmt w:val="decimal"/>
      <w:lvlText w:val=""/>
      <w:lvlJc w:val="left"/>
    </w:lvl>
    <w:lvl w:ilvl="2" w:tplc="B164BA30">
      <w:numFmt w:val="decimal"/>
      <w:lvlText w:val=""/>
      <w:lvlJc w:val="left"/>
    </w:lvl>
    <w:lvl w:ilvl="3" w:tplc="48742046">
      <w:numFmt w:val="decimal"/>
      <w:lvlText w:val=""/>
      <w:lvlJc w:val="left"/>
    </w:lvl>
    <w:lvl w:ilvl="4" w:tplc="9A66E118">
      <w:numFmt w:val="decimal"/>
      <w:lvlText w:val=""/>
      <w:lvlJc w:val="left"/>
    </w:lvl>
    <w:lvl w:ilvl="5" w:tplc="DF86D766">
      <w:numFmt w:val="decimal"/>
      <w:lvlText w:val=""/>
      <w:lvlJc w:val="left"/>
    </w:lvl>
    <w:lvl w:ilvl="6" w:tplc="09AA172A">
      <w:numFmt w:val="decimal"/>
      <w:lvlText w:val=""/>
      <w:lvlJc w:val="left"/>
    </w:lvl>
    <w:lvl w:ilvl="7" w:tplc="26062C46">
      <w:numFmt w:val="decimal"/>
      <w:lvlText w:val=""/>
      <w:lvlJc w:val="left"/>
    </w:lvl>
    <w:lvl w:ilvl="8" w:tplc="036A68A4">
      <w:numFmt w:val="decimal"/>
      <w:lvlText w:val=""/>
      <w:lvlJc w:val="left"/>
    </w:lvl>
  </w:abstractNum>
  <w:abstractNum w:abstractNumId="261" w15:restartNumberingAfterBreak="0">
    <w:nsid w:val="1AEF6DA9"/>
    <w:multiLevelType w:val="hybridMultilevel"/>
    <w:tmpl w:val="743A3824"/>
    <w:lvl w:ilvl="0" w:tplc="0D62D3F6">
      <w:start w:val="1"/>
      <w:numFmt w:val="bullet"/>
      <w:lvlText w:val=""/>
      <w:lvlJc w:val="left"/>
      <w:pPr>
        <w:ind w:left="720" w:hanging="360"/>
      </w:pPr>
      <w:rPr>
        <w:rFonts w:ascii="Symbol" w:hAnsi="Symbol" w:hint="default"/>
      </w:rPr>
    </w:lvl>
    <w:lvl w:ilvl="1" w:tplc="317CEAA4">
      <w:numFmt w:val="decimal"/>
      <w:lvlText w:val=""/>
      <w:lvlJc w:val="left"/>
    </w:lvl>
    <w:lvl w:ilvl="2" w:tplc="5742E9E2">
      <w:numFmt w:val="decimal"/>
      <w:lvlText w:val=""/>
      <w:lvlJc w:val="left"/>
    </w:lvl>
    <w:lvl w:ilvl="3" w:tplc="260036F8">
      <w:numFmt w:val="decimal"/>
      <w:lvlText w:val=""/>
      <w:lvlJc w:val="left"/>
    </w:lvl>
    <w:lvl w:ilvl="4" w:tplc="1B9A6570">
      <w:numFmt w:val="decimal"/>
      <w:lvlText w:val=""/>
      <w:lvlJc w:val="left"/>
    </w:lvl>
    <w:lvl w:ilvl="5" w:tplc="F2C284FA">
      <w:numFmt w:val="decimal"/>
      <w:lvlText w:val=""/>
      <w:lvlJc w:val="left"/>
    </w:lvl>
    <w:lvl w:ilvl="6" w:tplc="E6249AFA">
      <w:numFmt w:val="decimal"/>
      <w:lvlText w:val=""/>
      <w:lvlJc w:val="left"/>
    </w:lvl>
    <w:lvl w:ilvl="7" w:tplc="D7428B40">
      <w:numFmt w:val="decimal"/>
      <w:lvlText w:val=""/>
      <w:lvlJc w:val="left"/>
    </w:lvl>
    <w:lvl w:ilvl="8" w:tplc="9AC29A2E">
      <w:numFmt w:val="decimal"/>
      <w:lvlText w:val=""/>
      <w:lvlJc w:val="left"/>
    </w:lvl>
  </w:abstractNum>
  <w:abstractNum w:abstractNumId="262" w15:restartNumberingAfterBreak="0">
    <w:nsid w:val="1BBB1308"/>
    <w:multiLevelType w:val="hybridMultilevel"/>
    <w:tmpl w:val="7C041AE4"/>
    <w:lvl w:ilvl="0" w:tplc="1A6CF2FE">
      <w:start w:val="1"/>
      <w:numFmt w:val="bullet"/>
      <w:lvlText w:val=""/>
      <w:lvlJc w:val="left"/>
      <w:pPr>
        <w:ind w:left="720" w:hanging="360"/>
      </w:pPr>
      <w:rPr>
        <w:rFonts w:ascii="Symbol" w:hAnsi="Symbol" w:hint="default"/>
      </w:rPr>
    </w:lvl>
    <w:lvl w:ilvl="1" w:tplc="7F96FE5C">
      <w:numFmt w:val="decimal"/>
      <w:lvlText w:val=""/>
      <w:lvlJc w:val="left"/>
    </w:lvl>
    <w:lvl w:ilvl="2" w:tplc="9E744C06">
      <w:numFmt w:val="decimal"/>
      <w:lvlText w:val=""/>
      <w:lvlJc w:val="left"/>
    </w:lvl>
    <w:lvl w:ilvl="3" w:tplc="03C4F1C2">
      <w:numFmt w:val="decimal"/>
      <w:lvlText w:val=""/>
      <w:lvlJc w:val="left"/>
    </w:lvl>
    <w:lvl w:ilvl="4" w:tplc="2AA2D9E2">
      <w:numFmt w:val="decimal"/>
      <w:lvlText w:val=""/>
      <w:lvlJc w:val="left"/>
    </w:lvl>
    <w:lvl w:ilvl="5" w:tplc="60F85FDC">
      <w:numFmt w:val="decimal"/>
      <w:lvlText w:val=""/>
      <w:lvlJc w:val="left"/>
    </w:lvl>
    <w:lvl w:ilvl="6" w:tplc="FF1A501A">
      <w:numFmt w:val="decimal"/>
      <w:lvlText w:val=""/>
      <w:lvlJc w:val="left"/>
    </w:lvl>
    <w:lvl w:ilvl="7" w:tplc="6E0093A0">
      <w:numFmt w:val="decimal"/>
      <w:lvlText w:val=""/>
      <w:lvlJc w:val="left"/>
    </w:lvl>
    <w:lvl w:ilvl="8" w:tplc="CE4A9C96">
      <w:numFmt w:val="decimal"/>
      <w:lvlText w:val=""/>
      <w:lvlJc w:val="left"/>
    </w:lvl>
  </w:abstractNum>
  <w:abstractNum w:abstractNumId="263" w15:restartNumberingAfterBreak="0">
    <w:nsid w:val="1C052F81"/>
    <w:multiLevelType w:val="hybridMultilevel"/>
    <w:tmpl w:val="5FAEF772"/>
    <w:lvl w:ilvl="0" w:tplc="5A8C1CAE">
      <w:start w:val="1"/>
      <w:numFmt w:val="bullet"/>
      <w:lvlText w:val=""/>
      <w:lvlJc w:val="left"/>
      <w:pPr>
        <w:ind w:left="720" w:hanging="360"/>
      </w:pPr>
      <w:rPr>
        <w:rFonts w:ascii="Symbol" w:hAnsi="Symbol" w:hint="default"/>
      </w:rPr>
    </w:lvl>
    <w:lvl w:ilvl="1" w:tplc="92C0695E">
      <w:numFmt w:val="decimal"/>
      <w:lvlText w:val=""/>
      <w:lvlJc w:val="left"/>
    </w:lvl>
    <w:lvl w:ilvl="2" w:tplc="93AEF248">
      <w:numFmt w:val="decimal"/>
      <w:lvlText w:val=""/>
      <w:lvlJc w:val="left"/>
    </w:lvl>
    <w:lvl w:ilvl="3" w:tplc="3A3A469C">
      <w:numFmt w:val="decimal"/>
      <w:lvlText w:val=""/>
      <w:lvlJc w:val="left"/>
    </w:lvl>
    <w:lvl w:ilvl="4" w:tplc="3B1E3CEA">
      <w:numFmt w:val="decimal"/>
      <w:lvlText w:val=""/>
      <w:lvlJc w:val="left"/>
    </w:lvl>
    <w:lvl w:ilvl="5" w:tplc="454613F4">
      <w:numFmt w:val="decimal"/>
      <w:lvlText w:val=""/>
      <w:lvlJc w:val="left"/>
    </w:lvl>
    <w:lvl w:ilvl="6" w:tplc="DAA22C5A">
      <w:numFmt w:val="decimal"/>
      <w:lvlText w:val=""/>
      <w:lvlJc w:val="left"/>
    </w:lvl>
    <w:lvl w:ilvl="7" w:tplc="C97AE812">
      <w:numFmt w:val="decimal"/>
      <w:lvlText w:val=""/>
      <w:lvlJc w:val="left"/>
    </w:lvl>
    <w:lvl w:ilvl="8" w:tplc="BC9E700A">
      <w:numFmt w:val="decimal"/>
      <w:lvlText w:val=""/>
      <w:lvlJc w:val="left"/>
    </w:lvl>
  </w:abstractNum>
  <w:abstractNum w:abstractNumId="264" w15:restartNumberingAfterBreak="0">
    <w:nsid w:val="1C4D6451"/>
    <w:multiLevelType w:val="hybridMultilevel"/>
    <w:tmpl w:val="94921772"/>
    <w:lvl w:ilvl="0" w:tplc="C9E4B16E">
      <w:start w:val="1"/>
      <w:numFmt w:val="bullet"/>
      <w:lvlText w:val=""/>
      <w:lvlJc w:val="left"/>
      <w:pPr>
        <w:ind w:left="720" w:hanging="360"/>
      </w:pPr>
      <w:rPr>
        <w:rFonts w:ascii="Symbol" w:hAnsi="Symbol" w:hint="default"/>
      </w:rPr>
    </w:lvl>
    <w:lvl w:ilvl="1" w:tplc="40DA6D2C">
      <w:numFmt w:val="decimal"/>
      <w:lvlText w:val=""/>
      <w:lvlJc w:val="left"/>
    </w:lvl>
    <w:lvl w:ilvl="2" w:tplc="CAC44DEA">
      <w:numFmt w:val="decimal"/>
      <w:lvlText w:val=""/>
      <w:lvlJc w:val="left"/>
    </w:lvl>
    <w:lvl w:ilvl="3" w:tplc="61E291F2">
      <w:numFmt w:val="decimal"/>
      <w:lvlText w:val=""/>
      <w:lvlJc w:val="left"/>
    </w:lvl>
    <w:lvl w:ilvl="4" w:tplc="816EF8FA">
      <w:numFmt w:val="decimal"/>
      <w:lvlText w:val=""/>
      <w:lvlJc w:val="left"/>
    </w:lvl>
    <w:lvl w:ilvl="5" w:tplc="3ACAB534">
      <w:numFmt w:val="decimal"/>
      <w:lvlText w:val=""/>
      <w:lvlJc w:val="left"/>
    </w:lvl>
    <w:lvl w:ilvl="6" w:tplc="3EE89AAA">
      <w:numFmt w:val="decimal"/>
      <w:lvlText w:val=""/>
      <w:lvlJc w:val="left"/>
    </w:lvl>
    <w:lvl w:ilvl="7" w:tplc="FE7C8696">
      <w:numFmt w:val="decimal"/>
      <w:lvlText w:val=""/>
      <w:lvlJc w:val="left"/>
    </w:lvl>
    <w:lvl w:ilvl="8" w:tplc="CD7C8D90">
      <w:numFmt w:val="decimal"/>
      <w:lvlText w:val=""/>
      <w:lvlJc w:val="left"/>
    </w:lvl>
  </w:abstractNum>
  <w:abstractNum w:abstractNumId="265" w15:restartNumberingAfterBreak="0">
    <w:nsid w:val="1C7607F6"/>
    <w:multiLevelType w:val="hybridMultilevel"/>
    <w:tmpl w:val="577CC060"/>
    <w:lvl w:ilvl="0" w:tplc="CCB24AB2">
      <w:start w:val="1"/>
      <w:numFmt w:val="bullet"/>
      <w:lvlText w:val=""/>
      <w:lvlJc w:val="left"/>
      <w:pPr>
        <w:ind w:left="720" w:hanging="360"/>
      </w:pPr>
      <w:rPr>
        <w:rFonts w:ascii="Symbol" w:hAnsi="Symbol" w:hint="default"/>
      </w:rPr>
    </w:lvl>
    <w:lvl w:ilvl="1" w:tplc="F1CCE710">
      <w:numFmt w:val="decimal"/>
      <w:lvlText w:val=""/>
      <w:lvlJc w:val="left"/>
    </w:lvl>
    <w:lvl w:ilvl="2" w:tplc="FF561FE4">
      <w:numFmt w:val="decimal"/>
      <w:lvlText w:val=""/>
      <w:lvlJc w:val="left"/>
    </w:lvl>
    <w:lvl w:ilvl="3" w:tplc="C13A6990">
      <w:numFmt w:val="decimal"/>
      <w:lvlText w:val=""/>
      <w:lvlJc w:val="left"/>
    </w:lvl>
    <w:lvl w:ilvl="4" w:tplc="56F2D9E4">
      <w:numFmt w:val="decimal"/>
      <w:lvlText w:val=""/>
      <w:lvlJc w:val="left"/>
    </w:lvl>
    <w:lvl w:ilvl="5" w:tplc="92D0DD66">
      <w:numFmt w:val="decimal"/>
      <w:lvlText w:val=""/>
      <w:lvlJc w:val="left"/>
    </w:lvl>
    <w:lvl w:ilvl="6" w:tplc="4A483A28">
      <w:numFmt w:val="decimal"/>
      <w:lvlText w:val=""/>
      <w:lvlJc w:val="left"/>
    </w:lvl>
    <w:lvl w:ilvl="7" w:tplc="735C347C">
      <w:numFmt w:val="decimal"/>
      <w:lvlText w:val=""/>
      <w:lvlJc w:val="left"/>
    </w:lvl>
    <w:lvl w:ilvl="8" w:tplc="D0FA9A56">
      <w:numFmt w:val="decimal"/>
      <w:lvlText w:val=""/>
      <w:lvlJc w:val="left"/>
    </w:lvl>
  </w:abstractNum>
  <w:abstractNum w:abstractNumId="266" w15:restartNumberingAfterBreak="0">
    <w:nsid w:val="1C81411D"/>
    <w:multiLevelType w:val="hybridMultilevel"/>
    <w:tmpl w:val="5F5CD3E0"/>
    <w:lvl w:ilvl="0" w:tplc="BA0AB11E">
      <w:start w:val="1"/>
      <w:numFmt w:val="bullet"/>
      <w:lvlText w:val=""/>
      <w:lvlJc w:val="left"/>
      <w:pPr>
        <w:ind w:left="720" w:hanging="360"/>
      </w:pPr>
      <w:rPr>
        <w:rFonts w:ascii="Symbol" w:hAnsi="Symbol" w:hint="default"/>
      </w:rPr>
    </w:lvl>
    <w:lvl w:ilvl="1" w:tplc="65000878">
      <w:numFmt w:val="decimal"/>
      <w:lvlText w:val=""/>
      <w:lvlJc w:val="left"/>
    </w:lvl>
    <w:lvl w:ilvl="2" w:tplc="4D7268C6">
      <w:numFmt w:val="decimal"/>
      <w:lvlText w:val=""/>
      <w:lvlJc w:val="left"/>
    </w:lvl>
    <w:lvl w:ilvl="3" w:tplc="047EC426">
      <w:numFmt w:val="decimal"/>
      <w:lvlText w:val=""/>
      <w:lvlJc w:val="left"/>
    </w:lvl>
    <w:lvl w:ilvl="4" w:tplc="75D4A224">
      <w:numFmt w:val="decimal"/>
      <w:lvlText w:val=""/>
      <w:lvlJc w:val="left"/>
    </w:lvl>
    <w:lvl w:ilvl="5" w:tplc="E97E1918">
      <w:numFmt w:val="decimal"/>
      <w:lvlText w:val=""/>
      <w:lvlJc w:val="left"/>
    </w:lvl>
    <w:lvl w:ilvl="6" w:tplc="173A5030">
      <w:numFmt w:val="decimal"/>
      <w:lvlText w:val=""/>
      <w:lvlJc w:val="left"/>
    </w:lvl>
    <w:lvl w:ilvl="7" w:tplc="B0F2B78E">
      <w:numFmt w:val="decimal"/>
      <w:lvlText w:val=""/>
      <w:lvlJc w:val="left"/>
    </w:lvl>
    <w:lvl w:ilvl="8" w:tplc="6C22F4E0">
      <w:numFmt w:val="decimal"/>
      <w:lvlText w:val=""/>
      <w:lvlJc w:val="left"/>
    </w:lvl>
  </w:abstractNum>
  <w:abstractNum w:abstractNumId="267" w15:restartNumberingAfterBreak="0">
    <w:nsid w:val="1C884BCD"/>
    <w:multiLevelType w:val="hybridMultilevel"/>
    <w:tmpl w:val="6D92ED90"/>
    <w:lvl w:ilvl="0" w:tplc="5B983362">
      <w:start w:val="1"/>
      <w:numFmt w:val="bullet"/>
      <w:lvlText w:val=""/>
      <w:lvlJc w:val="left"/>
      <w:pPr>
        <w:ind w:left="720" w:hanging="360"/>
      </w:pPr>
      <w:rPr>
        <w:rFonts w:ascii="Symbol" w:hAnsi="Symbol" w:hint="default"/>
      </w:rPr>
    </w:lvl>
    <w:lvl w:ilvl="1" w:tplc="7FC2C836">
      <w:numFmt w:val="decimal"/>
      <w:lvlText w:val=""/>
      <w:lvlJc w:val="left"/>
    </w:lvl>
    <w:lvl w:ilvl="2" w:tplc="6510850A">
      <w:numFmt w:val="decimal"/>
      <w:lvlText w:val=""/>
      <w:lvlJc w:val="left"/>
    </w:lvl>
    <w:lvl w:ilvl="3" w:tplc="472CEE74">
      <w:numFmt w:val="decimal"/>
      <w:lvlText w:val=""/>
      <w:lvlJc w:val="left"/>
    </w:lvl>
    <w:lvl w:ilvl="4" w:tplc="98F2EEC0">
      <w:numFmt w:val="decimal"/>
      <w:lvlText w:val=""/>
      <w:lvlJc w:val="left"/>
    </w:lvl>
    <w:lvl w:ilvl="5" w:tplc="FBFCA4C2">
      <w:numFmt w:val="decimal"/>
      <w:lvlText w:val=""/>
      <w:lvlJc w:val="left"/>
    </w:lvl>
    <w:lvl w:ilvl="6" w:tplc="32C07390">
      <w:numFmt w:val="decimal"/>
      <w:lvlText w:val=""/>
      <w:lvlJc w:val="left"/>
    </w:lvl>
    <w:lvl w:ilvl="7" w:tplc="E8943614">
      <w:numFmt w:val="decimal"/>
      <w:lvlText w:val=""/>
      <w:lvlJc w:val="left"/>
    </w:lvl>
    <w:lvl w:ilvl="8" w:tplc="EC369750">
      <w:numFmt w:val="decimal"/>
      <w:lvlText w:val=""/>
      <w:lvlJc w:val="left"/>
    </w:lvl>
  </w:abstractNum>
  <w:abstractNum w:abstractNumId="268" w15:restartNumberingAfterBreak="0">
    <w:nsid w:val="1C9E7D2E"/>
    <w:multiLevelType w:val="hybridMultilevel"/>
    <w:tmpl w:val="3C4CA7CA"/>
    <w:lvl w:ilvl="0" w:tplc="65A6FEE8">
      <w:start w:val="1"/>
      <w:numFmt w:val="bullet"/>
      <w:lvlText w:val=""/>
      <w:lvlJc w:val="left"/>
      <w:pPr>
        <w:ind w:left="720" w:hanging="360"/>
      </w:pPr>
      <w:rPr>
        <w:rFonts w:ascii="Symbol" w:hAnsi="Symbol" w:hint="default"/>
      </w:rPr>
    </w:lvl>
    <w:lvl w:ilvl="1" w:tplc="A56CD28C">
      <w:numFmt w:val="decimal"/>
      <w:lvlText w:val=""/>
      <w:lvlJc w:val="left"/>
    </w:lvl>
    <w:lvl w:ilvl="2" w:tplc="BFB62962">
      <w:numFmt w:val="decimal"/>
      <w:lvlText w:val=""/>
      <w:lvlJc w:val="left"/>
    </w:lvl>
    <w:lvl w:ilvl="3" w:tplc="E28820FE">
      <w:numFmt w:val="decimal"/>
      <w:lvlText w:val=""/>
      <w:lvlJc w:val="left"/>
    </w:lvl>
    <w:lvl w:ilvl="4" w:tplc="1BA26F62">
      <w:numFmt w:val="decimal"/>
      <w:lvlText w:val=""/>
      <w:lvlJc w:val="left"/>
    </w:lvl>
    <w:lvl w:ilvl="5" w:tplc="95323692">
      <w:numFmt w:val="decimal"/>
      <w:lvlText w:val=""/>
      <w:lvlJc w:val="left"/>
    </w:lvl>
    <w:lvl w:ilvl="6" w:tplc="E458929E">
      <w:numFmt w:val="decimal"/>
      <w:lvlText w:val=""/>
      <w:lvlJc w:val="left"/>
    </w:lvl>
    <w:lvl w:ilvl="7" w:tplc="46465FB4">
      <w:numFmt w:val="decimal"/>
      <w:lvlText w:val=""/>
      <w:lvlJc w:val="left"/>
    </w:lvl>
    <w:lvl w:ilvl="8" w:tplc="10D03CD0">
      <w:numFmt w:val="decimal"/>
      <w:lvlText w:val=""/>
      <w:lvlJc w:val="left"/>
    </w:lvl>
  </w:abstractNum>
  <w:abstractNum w:abstractNumId="269" w15:restartNumberingAfterBreak="0">
    <w:nsid w:val="1CCC73AA"/>
    <w:multiLevelType w:val="hybridMultilevel"/>
    <w:tmpl w:val="2376AA0C"/>
    <w:lvl w:ilvl="0" w:tplc="43940854">
      <w:start w:val="1"/>
      <w:numFmt w:val="bullet"/>
      <w:lvlText w:val=""/>
      <w:lvlJc w:val="left"/>
      <w:pPr>
        <w:ind w:left="720" w:hanging="360"/>
      </w:pPr>
      <w:rPr>
        <w:rFonts w:ascii="Symbol" w:hAnsi="Symbol" w:hint="default"/>
      </w:rPr>
    </w:lvl>
    <w:lvl w:ilvl="1" w:tplc="CD967AB8">
      <w:numFmt w:val="decimal"/>
      <w:lvlText w:val=""/>
      <w:lvlJc w:val="left"/>
    </w:lvl>
    <w:lvl w:ilvl="2" w:tplc="84F2E08A">
      <w:numFmt w:val="decimal"/>
      <w:lvlText w:val=""/>
      <w:lvlJc w:val="left"/>
    </w:lvl>
    <w:lvl w:ilvl="3" w:tplc="AC56145C">
      <w:numFmt w:val="decimal"/>
      <w:lvlText w:val=""/>
      <w:lvlJc w:val="left"/>
    </w:lvl>
    <w:lvl w:ilvl="4" w:tplc="562AE2C4">
      <w:numFmt w:val="decimal"/>
      <w:lvlText w:val=""/>
      <w:lvlJc w:val="left"/>
    </w:lvl>
    <w:lvl w:ilvl="5" w:tplc="32FC5892">
      <w:numFmt w:val="decimal"/>
      <w:lvlText w:val=""/>
      <w:lvlJc w:val="left"/>
    </w:lvl>
    <w:lvl w:ilvl="6" w:tplc="40B83760">
      <w:numFmt w:val="decimal"/>
      <w:lvlText w:val=""/>
      <w:lvlJc w:val="left"/>
    </w:lvl>
    <w:lvl w:ilvl="7" w:tplc="E2C4FC08">
      <w:numFmt w:val="decimal"/>
      <w:lvlText w:val=""/>
      <w:lvlJc w:val="left"/>
    </w:lvl>
    <w:lvl w:ilvl="8" w:tplc="6FACB76E">
      <w:numFmt w:val="decimal"/>
      <w:lvlText w:val=""/>
      <w:lvlJc w:val="left"/>
    </w:lvl>
  </w:abstractNum>
  <w:abstractNum w:abstractNumId="270" w15:restartNumberingAfterBreak="0">
    <w:nsid w:val="1CCC7CFE"/>
    <w:multiLevelType w:val="hybridMultilevel"/>
    <w:tmpl w:val="FBB4DBE4"/>
    <w:lvl w:ilvl="0" w:tplc="554E0B16">
      <w:start w:val="1"/>
      <w:numFmt w:val="bullet"/>
      <w:lvlText w:val=""/>
      <w:lvlJc w:val="left"/>
      <w:pPr>
        <w:ind w:left="720" w:hanging="360"/>
      </w:pPr>
      <w:rPr>
        <w:rFonts w:ascii="Symbol" w:hAnsi="Symbol" w:hint="default"/>
      </w:rPr>
    </w:lvl>
    <w:lvl w:ilvl="1" w:tplc="AD4A5D9E">
      <w:numFmt w:val="decimal"/>
      <w:lvlText w:val=""/>
      <w:lvlJc w:val="left"/>
    </w:lvl>
    <w:lvl w:ilvl="2" w:tplc="D5385274">
      <w:numFmt w:val="decimal"/>
      <w:lvlText w:val=""/>
      <w:lvlJc w:val="left"/>
    </w:lvl>
    <w:lvl w:ilvl="3" w:tplc="9390854C">
      <w:numFmt w:val="decimal"/>
      <w:lvlText w:val=""/>
      <w:lvlJc w:val="left"/>
    </w:lvl>
    <w:lvl w:ilvl="4" w:tplc="425AC9EA">
      <w:numFmt w:val="decimal"/>
      <w:lvlText w:val=""/>
      <w:lvlJc w:val="left"/>
    </w:lvl>
    <w:lvl w:ilvl="5" w:tplc="A1D296CC">
      <w:numFmt w:val="decimal"/>
      <w:lvlText w:val=""/>
      <w:lvlJc w:val="left"/>
    </w:lvl>
    <w:lvl w:ilvl="6" w:tplc="B3AEBCFC">
      <w:numFmt w:val="decimal"/>
      <w:lvlText w:val=""/>
      <w:lvlJc w:val="left"/>
    </w:lvl>
    <w:lvl w:ilvl="7" w:tplc="B0CC338A">
      <w:numFmt w:val="decimal"/>
      <w:lvlText w:val=""/>
      <w:lvlJc w:val="left"/>
    </w:lvl>
    <w:lvl w:ilvl="8" w:tplc="8CD08DDC">
      <w:numFmt w:val="decimal"/>
      <w:lvlText w:val=""/>
      <w:lvlJc w:val="left"/>
    </w:lvl>
  </w:abstractNum>
  <w:abstractNum w:abstractNumId="271" w15:restartNumberingAfterBreak="0">
    <w:nsid w:val="1CD41F7D"/>
    <w:multiLevelType w:val="hybridMultilevel"/>
    <w:tmpl w:val="8B861444"/>
    <w:lvl w:ilvl="0" w:tplc="FB4C5B72">
      <w:start w:val="1"/>
      <w:numFmt w:val="bullet"/>
      <w:lvlText w:val=""/>
      <w:lvlJc w:val="left"/>
      <w:pPr>
        <w:ind w:left="720" w:hanging="360"/>
      </w:pPr>
      <w:rPr>
        <w:rFonts w:ascii="Symbol" w:hAnsi="Symbol" w:hint="default"/>
      </w:rPr>
    </w:lvl>
    <w:lvl w:ilvl="1" w:tplc="949A6738">
      <w:numFmt w:val="decimal"/>
      <w:lvlText w:val=""/>
      <w:lvlJc w:val="left"/>
    </w:lvl>
    <w:lvl w:ilvl="2" w:tplc="4540F4BE">
      <w:numFmt w:val="decimal"/>
      <w:lvlText w:val=""/>
      <w:lvlJc w:val="left"/>
    </w:lvl>
    <w:lvl w:ilvl="3" w:tplc="D21C1FE0">
      <w:numFmt w:val="decimal"/>
      <w:lvlText w:val=""/>
      <w:lvlJc w:val="left"/>
    </w:lvl>
    <w:lvl w:ilvl="4" w:tplc="23003F68">
      <w:numFmt w:val="decimal"/>
      <w:lvlText w:val=""/>
      <w:lvlJc w:val="left"/>
    </w:lvl>
    <w:lvl w:ilvl="5" w:tplc="D43EDDBE">
      <w:numFmt w:val="decimal"/>
      <w:lvlText w:val=""/>
      <w:lvlJc w:val="left"/>
    </w:lvl>
    <w:lvl w:ilvl="6" w:tplc="59D228B8">
      <w:numFmt w:val="decimal"/>
      <w:lvlText w:val=""/>
      <w:lvlJc w:val="left"/>
    </w:lvl>
    <w:lvl w:ilvl="7" w:tplc="6A0CE3C6">
      <w:numFmt w:val="decimal"/>
      <w:lvlText w:val=""/>
      <w:lvlJc w:val="left"/>
    </w:lvl>
    <w:lvl w:ilvl="8" w:tplc="C9DA6754">
      <w:numFmt w:val="decimal"/>
      <w:lvlText w:val=""/>
      <w:lvlJc w:val="left"/>
    </w:lvl>
  </w:abstractNum>
  <w:abstractNum w:abstractNumId="272" w15:restartNumberingAfterBreak="0">
    <w:nsid w:val="1CD96637"/>
    <w:multiLevelType w:val="hybridMultilevel"/>
    <w:tmpl w:val="24EA92B2"/>
    <w:lvl w:ilvl="0" w:tplc="40F45466">
      <w:start w:val="1"/>
      <w:numFmt w:val="bullet"/>
      <w:lvlText w:val=""/>
      <w:lvlJc w:val="left"/>
      <w:pPr>
        <w:ind w:left="720" w:hanging="360"/>
      </w:pPr>
      <w:rPr>
        <w:rFonts w:ascii="Symbol" w:hAnsi="Symbol" w:hint="default"/>
      </w:rPr>
    </w:lvl>
    <w:lvl w:ilvl="1" w:tplc="4960756A">
      <w:numFmt w:val="decimal"/>
      <w:lvlText w:val=""/>
      <w:lvlJc w:val="left"/>
    </w:lvl>
    <w:lvl w:ilvl="2" w:tplc="C1E0608E">
      <w:numFmt w:val="decimal"/>
      <w:lvlText w:val=""/>
      <w:lvlJc w:val="left"/>
    </w:lvl>
    <w:lvl w:ilvl="3" w:tplc="A4049EDC">
      <w:numFmt w:val="decimal"/>
      <w:lvlText w:val=""/>
      <w:lvlJc w:val="left"/>
    </w:lvl>
    <w:lvl w:ilvl="4" w:tplc="06A09818">
      <w:numFmt w:val="decimal"/>
      <w:lvlText w:val=""/>
      <w:lvlJc w:val="left"/>
    </w:lvl>
    <w:lvl w:ilvl="5" w:tplc="5832EC50">
      <w:numFmt w:val="decimal"/>
      <w:lvlText w:val=""/>
      <w:lvlJc w:val="left"/>
    </w:lvl>
    <w:lvl w:ilvl="6" w:tplc="5C12BA8A">
      <w:numFmt w:val="decimal"/>
      <w:lvlText w:val=""/>
      <w:lvlJc w:val="left"/>
    </w:lvl>
    <w:lvl w:ilvl="7" w:tplc="BED0CD2C">
      <w:numFmt w:val="decimal"/>
      <w:lvlText w:val=""/>
      <w:lvlJc w:val="left"/>
    </w:lvl>
    <w:lvl w:ilvl="8" w:tplc="90908230">
      <w:numFmt w:val="decimal"/>
      <w:lvlText w:val=""/>
      <w:lvlJc w:val="left"/>
    </w:lvl>
  </w:abstractNum>
  <w:abstractNum w:abstractNumId="273" w15:restartNumberingAfterBreak="0">
    <w:nsid w:val="1CDA06C2"/>
    <w:multiLevelType w:val="hybridMultilevel"/>
    <w:tmpl w:val="EDA45A3C"/>
    <w:lvl w:ilvl="0" w:tplc="2A7E700C">
      <w:numFmt w:val="decimal"/>
      <w:lvlText w:val=""/>
      <w:lvlJc w:val="left"/>
    </w:lvl>
    <w:lvl w:ilvl="1" w:tplc="F598661C">
      <w:start w:val="1"/>
      <w:numFmt w:val="bullet"/>
      <w:lvlText w:val=""/>
      <w:lvlJc w:val="left"/>
      <w:pPr>
        <w:ind w:left="1440" w:hanging="360"/>
      </w:pPr>
      <w:rPr>
        <w:rFonts w:ascii="Symbol" w:hAnsi="Symbol" w:hint="default"/>
      </w:rPr>
    </w:lvl>
    <w:lvl w:ilvl="2" w:tplc="A07C467A">
      <w:numFmt w:val="decimal"/>
      <w:lvlText w:val=""/>
      <w:lvlJc w:val="left"/>
    </w:lvl>
    <w:lvl w:ilvl="3" w:tplc="13367FE6">
      <w:numFmt w:val="decimal"/>
      <w:lvlText w:val=""/>
      <w:lvlJc w:val="left"/>
    </w:lvl>
    <w:lvl w:ilvl="4" w:tplc="FF0E4D90">
      <w:numFmt w:val="decimal"/>
      <w:lvlText w:val=""/>
      <w:lvlJc w:val="left"/>
    </w:lvl>
    <w:lvl w:ilvl="5" w:tplc="063ED482">
      <w:numFmt w:val="decimal"/>
      <w:lvlText w:val=""/>
      <w:lvlJc w:val="left"/>
    </w:lvl>
    <w:lvl w:ilvl="6" w:tplc="09764FDC">
      <w:numFmt w:val="decimal"/>
      <w:lvlText w:val=""/>
      <w:lvlJc w:val="left"/>
    </w:lvl>
    <w:lvl w:ilvl="7" w:tplc="22C08094">
      <w:numFmt w:val="decimal"/>
      <w:lvlText w:val=""/>
      <w:lvlJc w:val="left"/>
    </w:lvl>
    <w:lvl w:ilvl="8" w:tplc="2EE699DC">
      <w:numFmt w:val="decimal"/>
      <w:lvlText w:val=""/>
      <w:lvlJc w:val="left"/>
    </w:lvl>
  </w:abstractNum>
  <w:abstractNum w:abstractNumId="274" w15:restartNumberingAfterBreak="0">
    <w:nsid w:val="1CE64CD9"/>
    <w:multiLevelType w:val="hybridMultilevel"/>
    <w:tmpl w:val="A8764638"/>
    <w:lvl w:ilvl="0" w:tplc="66846088">
      <w:start w:val="1"/>
      <w:numFmt w:val="bullet"/>
      <w:lvlText w:val=""/>
      <w:lvlJc w:val="left"/>
      <w:pPr>
        <w:ind w:left="720" w:hanging="360"/>
      </w:pPr>
      <w:rPr>
        <w:rFonts w:ascii="Symbol" w:hAnsi="Symbol" w:hint="default"/>
      </w:rPr>
    </w:lvl>
    <w:lvl w:ilvl="1" w:tplc="9E161C76">
      <w:numFmt w:val="decimal"/>
      <w:lvlText w:val=""/>
      <w:lvlJc w:val="left"/>
    </w:lvl>
    <w:lvl w:ilvl="2" w:tplc="48322138">
      <w:numFmt w:val="decimal"/>
      <w:lvlText w:val=""/>
      <w:lvlJc w:val="left"/>
    </w:lvl>
    <w:lvl w:ilvl="3" w:tplc="E436B1A6">
      <w:numFmt w:val="decimal"/>
      <w:lvlText w:val=""/>
      <w:lvlJc w:val="left"/>
    </w:lvl>
    <w:lvl w:ilvl="4" w:tplc="D618F7EC">
      <w:numFmt w:val="decimal"/>
      <w:lvlText w:val=""/>
      <w:lvlJc w:val="left"/>
    </w:lvl>
    <w:lvl w:ilvl="5" w:tplc="A2A06508">
      <w:numFmt w:val="decimal"/>
      <w:lvlText w:val=""/>
      <w:lvlJc w:val="left"/>
    </w:lvl>
    <w:lvl w:ilvl="6" w:tplc="7B7CAE0A">
      <w:numFmt w:val="decimal"/>
      <w:lvlText w:val=""/>
      <w:lvlJc w:val="left"/>
    </w:lvl>
    <w:lvl w:ilvl="7" w:tplc="51882BC8">
      <w:numFmt w:val="decimal"/>
      <w:lvlText w:val=""/>
      <w:lvlJc w:val="left"/>
    </w:lvl>
    <w:lvl w:ilvl="8" w:tplc="11AE9D28">
      <w:numFmt w:val="decimal"/>
      <w:lvlText w:val=""/>
      <w:lvlJc w:val="left"/>
    </w:lvl>
  </w:abstractNum>
  <w:abstractNum w:abstractNumId="275" w15:restartNumberingAfterBreak="0">
    <w:nsid w:val="1CE70522"/>
    <w:multiLevelType w:val="hybridMultilevel"/>
    <w:tmpl w:val="2B48C4FC"/>
    <w:lvl w:ilvl="0" w:tplc="7FDEF86A">
      <w:start w:val="1"/>
      <w:numFmt w:val="bullet"/>
      <w:lvlText w:val=""/>
      <w:lvlJc w:val="left"/>
      <w:pPr>
        <w:ind w:left="720" w:hanging="360"/>
      </w:pPr>
      <w:rPr>
        <w:rFonts w:ascii="Symbol" w:hAnsi="Symbol" w:hint="default"/>
      </w:rPr>
    </w:lvl>
    <w:lvl w:ilvl="1" w:tplc="82F8C708">
      <w:numFmt w:val="decimal"/>
      <w:lvlText w:val=""/>
      <w:lvlJc w:val="left"/>
    </w:lvl>
    <w:lvl w:ilvl="2" w:tplc="F064C3A6">
      <w:numFmt w:val="decimal"/>
      <w:lvlText w:val=""/>
      <w:lvlJc w:val="left"/>
    </w:lvl>
    <w:lvl w:ilvl="3" w:tplc="53AA38D4">
      <w:numFmt w:val="decimal"/>
      <w:lvlText w:val=""/>
      <w:lvlJc w:val="left"/>
    </w:lvl>
    <w:lvl w:ilvl="4" w:tplc="81A056E6">
      <w:numFmt w:val="decimal"/>
      <w:lvlText w:val=""/>
      <w:lvlJc w:val="left"/>
    </w:lvl>
    <w:lvl w:ilvl="5" w:tplc="1A1AB84A">
      <w:numFmt w:val="decimal"/>
      <w:lvlText w:val=""/>
      <w:lvlJc w:val="left"/>
    </w:lvl>
    <w:lvl w:ilvl="6" w:tplc="66E4C226">
      <w:numFmt w:val="decimal"/>
      <w:lvlText w:val=""/>
      <w:lvlJc w:val="left"/>
    </w:lvl>
    <w:lvl w:ilvl="7" w:tplc="C15C5902">
      <w:numFmt w:val="decimal"/>
      <w:lvlText w:val=""/>
      <w:lvlJc w:val="left"/>
    </w:lvl>
    <w:lvl w:ilvl="8" w:tplc="148A725E">
      <w:numFmt w:val="decimal"/>
      <w:lvlText w:val=""/>
      <w:lvlJc w:val="left"/>
    </w:lvl>
  </w:abstractNum>
  <w:abstractNum w:abstractNumId="276" w15:restartNumberingAfterBreak="0">
    <w:nsid w:val="1CE835CB"/>
    <w:multiLevelType w:val="hybridMultilevel"/>
    <w:tmpl w:val="DFC65756"/>
    <w:lvl w:ilvl="0" w:tplc="03182382">
      <w:numFmt w:val="decimal"/>
      <w:lvlText w:val=""/>
      <w:lvlJc w:val="left"/>
    </w:lvl>
    <w:lvl w:ilvl="1" w:tplc="9D705AF4">
      <w:start w:val="1"/>
      <w:numFmt w:val="bullet"/>
      <w:lvlText w:val=""/>
      <w:lvlJc w:val="left"/>
      <w:pPr>
        <w:ind w:left="1440" w:hanging="360"/>
      </w:pPr>
      <w:rPr>
        <w:rFonts w:ascii="Symbol" w:hAnsi="Symbol" w:hint="default"/>
      </w:rPr>
    </w:lvl>
    <w:lvl w:ilvl="2" w:tplc="B008BF84">
      <w:numFmt w:val="decimal"/>
      <w:lvlText w:val=""/>
      <w:lvlJc w:val="left"/>
    </w:lvl>
    <w:lvl w:ilvl="3" w:tplc="B29A2D1C">
      <w:numFmt w:val="decimal"/>
      <w:lvlText w:val=""/>
      <w:lvlJc w:val="left"/>
    </w:lvl>
    <w:lvl w:ilvl="4" w:tplc="FBF6989A">
      <w:numFmt w:val="decimal"/>
      <w:lvlText w:val=""/>
      <w:lvlJc w:val="left"/>
    </w:lvl>
    <w:lvl w:ilvl="5" w:tplc="D8389E8A">
      <w:numFmt w:val="decimal"/>
      <w:lvlText w:val=""/>
      <w:lvlJc w:val="left"/>
    </w:lvl>
    <w:lvl w:ilvl="6" w:tplc="BC00C5A6">
      <w:numFmt w:val="decimal"/>
      <w:lvlText w:val=""/>
      <w:lvlJc w:val="left"/>
    </w:lvl>
    <w:lvl w:ilvl="7" w:tplc="25F232CE">
      <w:numFmt w:val="decimal"/>
      <w:lvlText w:val=""/>
      <w:lvlJc w:val="left"/>
    </w:lvl>
    <w:lvl w:ilvl="8" w:tplc="5616FD2A">
      <w:numFmt w:val="decimal"/>
      <w:lvlText w:val=""/>
      <w:lvlJc w:val="left"/>
    </w:lvl>
  </w:abstractNum>
  <w:abstractNum w:abstractNumId="277" w15:restartNumberingAfterBreak="0">
    <w:nsid w:val="1CFA49BA"/>
    <w:multiLevelType w:val="hybridMultilevel"/>
    <w:tmpl w:val="5218D0AE"/>
    <w:lvl w:ilvl="0" w:tplc="59E06798">
      <w:start w:val="1"/>
      <w:numFmt w:val="bullet"/>
      <w:lvlText w:val=""/>
      <w:lvlJc w:val="left"/>
      <w:pPr>
        <w:ind w:left="720" w:hanging="360"/>
      </w:pPr>
      <w:rPr>
        <w:rFonts w:ascii="Symbol" w:hAnsi="Symbol" w:hint="default"/>
      </w:rPr>
    </w:lvl>
    <w:lvl w:ilvl="1" w:tplc="C3ECB62E">
      <w:numFmt w:val="decimal"/>
      <w:lvlText w:val=""/>
      <w:lvlJc w:val="left"/>
    </w:lvl>
    <w:lvl w:ilvl="2" w:tplc="B54EEF6E">
      <w:numFmt w:val="decimal"/>
      <w:lvlText w:val=""/>
      <w:lvlJc w:val="left"/>
    </w:lvl>
    <w:lvl w:ilvl="3" w:tplc="D2628BE2">
      <w:numFmt w:val="decimal"/>
      <w:lvlText w:val=""/>
      <w:lvlJc w:val="left"/>
    </w:lvl>
    <w:lvl w:ilvl="4" w:tplc="D578E756">
      <w:numFmt w:val="decimal"/>
      <w:lvlText w:val=""/>
      <w:lvlJc w:val="left"/>
    </w:lvl>
    <w:lvl w:ilvl="5" w:tplc="72EC6C76">
      <w:numFmt w:val="decimal"/>
      <w:lvlText w:val=""/>
      <w:lvlJc w:val="left"/>
    </w:lvl>
    <w:lvl w:ilvl="6" w:tplc="5B647782">
      <w:numFmt w:val="decimal"/>
      <w:lvlText w:val=""/>
      <w:lvlJc w:val="left"/>
    </w:lvl>
    <w:lvl w:ilvl="7" w:tplc="14DCA0EE">
      <w:numFmt w:val="decimal"/>
      <w:lvlText w:val=""/>
      <w:lvlJc w:val="left"/>
    </w:lvl>
    <w:lvl w:ilvl="8" w:tplc="4AE4949E">
      <w:numFmt w:val="decimal"/>
      <w:lvlText w:val=""/>
      <w:lvlJc w:val="left"/>
    </w:lvl>
  </w:abstractNum>
  <w:abstractNum w:abstractNumId="278" w15:restartNumberingAfterBreak="0">
    <w:nsid w:val="1CFD3DE0"/>
    <w:multiLevelType w:val="hybridMultilevel"/>
    <w:tmpl w:val="0ED20F12"/>
    <w:lvl w:ilvl="0" w:tplc="7FD691EA">
      <w:start w:val="1"/>
      <w:numFmt w:val="bullet"/>
      <w:lvlText w:val=""/>
      <w:lvlJc w:val="left"/>
      <w:pPr>
        <w:ind w:left="720" w:hanging="360"/>
      </w:pPr>
      <w:rPr>
        <w:rFonts w:ascii="Symbol" w:hAnsi="Symbol" w:hint="default"/>
      </w:rPr>
    </w:lvl>
    <w:lvl w:ilvl="1" w:tplc="5992AF7A">
      <w:numFmt w:val="decimal"/>
      <w:lvlText w:val=""/>
      <w:lvlJc w:val="left"/>
    </w:lvl>
    <w:lvl w:ilvl="2" w:tplc="82568A82">
      <w:numFmt w:val="decimal"/>
      <w:lvlText w:val=""/>
      <w:lvlJc w:val="left"/>
    </w:lvl>
    <w:lvl w:ilvl="3" w:tplc="2E5ABA48">
      <w:numFmt w:val="decimal"/>
      <w:lvlText w:val=""/>
      <w:lvlJc w:val="left"/>
    </w:lvl>
    <w:lvl w:ilvl="4" w:tplc="0BBA27CA">
      <w:numFmt w:val="decimal"/>
      <w:lvlText w:val=""/>
      <w:lvlJc w:val="left"/>
    </w:lvl>
    <w:lvl w:ilvl="5" w:tplc="CF56BA4C">
      <w:numFmt w:val="decimal"/>
      <w:lvlText w:val=""/>
      <w:lvlJc w:val="left"/>
    </w:lvl>
    <w:lvl w:ilvl="6" w:tplc="67EC2CE2">
      <w:numFmt w:val="decimal"/>
      <w:lvlText w:val=""/>
      <w:lvlJc w:val="left"/>
    </w:lvl>
    <w:lvl w:ilvl="7" w:tplc="598CBB64">
      <w:numFmt w:val="decimal"/>
      <w:lvlText w:val=""/>
      <w:lvlJc w:val="left"/>
    </w:lvl>
    <w:lvl w:ilvl="8" w:tplc="790662A0">
      <w:numFmt w:val="decimal"/>
      <w:lvlText w:val=""/>
      <w:lvlJc w:val="left"/>
    </w:lvl>
  </w:abstractNum>
  <w:abstractNum w:abstractNumId="279" w15:restartNumberingAfterBreak="0">
    <w:nsid w:val="1D0047F5"/>
    <w:multiLevelType w:val="hybridMultilevel"/>
    <w:tmpl w:val="93325F24"/>
    <w:lvl w:ilvl="0" w:tplc="82C67E0A">
      <w:start w:val="1"/>
      <w:numFmt w:val="bullet"/>
      <w:lvlText w:val=""/>
      <w:lvlJc w:val="left"/>
      <w:pPr>
        <w:ind w:left="720" w:hanging="360"/>
      </w:pPr>
      <w:rPr>
        <w:rFonts w:ascii="Symbol" w:hAnsi="Symbol" w:hint="default"/>
      </w:rPr>
    </w:lvl>
    <w:lvl w:ilvl="1" w:tplc="C7DCE580">
      <w:numFmt w:val="decimal"/>
      <w:lvlText w:val=""/>
      <w:lvlJc w:val="left"/>
    </w:lvl>
    <w:lvl w:ilvl="2" w:tplc="FB2ED0A8">
      <w:numFmt w:val="decimal"/>
      <w:lvlText w:val=""/>
      <w:lvlJc w:val="left"/>
    </w:lvl>
    <w:lvl w:ilvl="3" w:tplc="4E52F33E">
      <w:numFmt w:val="decimal"/>
      <w:lvlText w:val=""/>
      <w:lvlJc w:val="left"/>
    </w:lvl>
    <w:lvl w:ilvl="4" w:tplc="1EB69904">
      <w:numFmt w:val="decimal"/>
      <w:lvlText w:val=""/>
      <w:lvlJc w:val="left"/>
    </w:lvl>
    <w:lvl w:ilvl="5" w:tplc="D49AAAF4">
      <w:numFmt w:val="decimal"/>
      <w:lvlText w:val=""/>
      <w:lvlJc w:val="left"/>
    </w:lvl>
    <w:lvl w:ilvl="6" w:tplc="E2BA8064">
      <w:numFmt w:val="decimal"/>
      <w:lvlText w:val=""/>
      <w:lvlJc w:val="left"/>
    </w:lvl>
    <w:lvl w:ilvl="7" w:tplc="1E702DA8">
      <w:numFmt w:val="decimal"/>
      <w:lvlText w:val=""/>
      <w:lvlJc w:val="left"/>
    </w:lvl>
    <w:lvl w:ilvl="8" w:tplc="D616B6AA">
      <w:numFmt w:val="decimal"/>
      <w:lvlText w:val=""/>
      <w:lvlJc w:val="left"/>
    </w:lvl>
  </w:abstractNum>
  <w:abstractNum w:abstractNumId="280" w15:restartNumberingAfterBreak="0">
    <w:nsid w:val="1D0171B9"/>
    <w:multiLevelType w:val="hybridMultilevel"/>
    <w:tmpl w:val="4BB6D4F8"/>
    <w:lvl w:ilvl="0" w:tplc="AD7CF744">
      <w:start w:val="1"/>
      <w:numFmt w:val="bullet"/>
      <w:lvlText w:val=""/>
      <w:lvlJc w:val="left"/>
      <w:pPr>
        <w:ind w:left="720" w:hanging="360"/>
      </w:pPr>
      <w:rPr>
        <w:rFonts w:ascii="Symbol" w:hAnsi="Symbol" w:hint="default"/>
      </w:rPr>
    </w:lvl>
    <w:lvl w:ilvl="1" w:tplc="AC584C1A">
      <w:numFmt w:val="decimal"/>
      <w:lvlText w:val=""/>
      <w:lvlJc w:val="left"/>
    </w:lvl>
    <w:lvl w:ilvl="2" w:tplc="E006C884">
      <w:numFmt w:val="decimal"/>
      <w:lvlText w:val=""/>
      <w:lvlJc w:val="left"/>
    </w:lvl>
    <w:lvl w:ilvl="3" w:tplc="23F4B8B4">
      <w:numFmt w:val="decimal"/>
      <w:lvlText w:val=""/>
      <w:lvlJc w:val="left"/>
    </w:lvl>
    <w:lvl w:ilvl="4" w:tplc="83EA32AA">
      <w:numFmt w:val="decimal"/>
      <w:lvlText w:val=""/>
      <w:lvlJc w:val="left"/>
    </w:lvl>
    <w:lvl w:ilvl="5" w:tplc="274AA212">
      <w:numFmt w:val="decimal"/>
      <w:lvlText w:val=""/>
      <w:lvlJc w:val="left"/>
    </w:lvl>
    <w:lvl w:ilvl="6" w:tplc="3B941294">
      <w:numFmt w:val="decimal"/>
      <w:lvlText w:val=""/>
      <w:lvlJc w:val="left"/>
    </w:lvl>
    <w:lvl w:ilvl="7" w:tplc="291A2046">
      <w:numFmt w:val="decimal"/>
      <w:lvlText w:val=""/>
      <w:lvlJc w:val="left"/>
    </w:lvl>
    <w:lvl w:ilvl="8" w:tplc="5F3E26B6">
      <w:numFmt w:val="decimal"/>
      <w:lvlText w:val=""/>
      <w:lvlJc w:val="left"/>
    </w:lvl>
  </w:abstractNum>
  <w:abstractNum w:abstractNumId="281" w15:restartNumberingAfterBreak="0">
    <w:nsid w:val="1D23705A"/>
    <w:multiLevelType w:val="hybridMultilevel"/>
    <w:tmpl w:val="FEE2C168"/>
    <w:lvl w:ilvl="0" w:tplc="2FD8D706">
      <w:start w:val="1"/>
      <w:numFmt w:val="bullet"/>
      <w:lvlText w:val=""/>
      <w:lvlJc w:val="left"/>
      <w:pPr>
        <w:ind w:left="720" w:hanging="360"/>
      </w:pPr>
      <w:rPr>
        <w:rFonts w:ascii="Symbol" w:hAnsi="Symbol" w:hint="default"/>
      </w:rPr>
    </w:lvl>
    <w:lvl w:ilvl="1" w:tplc="C3A87DFC">
      <w:numFmt w:val="decimal"/>
      <w:lvlText w:val=""/>
      <w:lvlJc w:val="left"/>
    </w:lvl>
    <w:lvl w:ilvl="2" w:tplc="94BC7090">
      <w:numFmt w:val="decimal"/>
      <w:lvlText w:val=""/>
      <w:lvlJc w:val="left"/>
    </w:lvl>
    <w:lvl w:ilvl="3" w:tplc="C4522CD8">
      <w:numFmt w:val="decimal"/>
      <w:lvlText w:val=""/>
      <w:lvlJc w:val="left"/>
    </w:lvl>
    <w:lvl w:ilvl="4" w:tplc="E50C8812">
      <w:numFmt w:val="decimal"/>
      <w:lvlText w:val=""/>
      <w:lvlJc w:val="left"/>
    </w:lvl>
    <w:lvl w:ilvl="5" w:tplc="BBD0D100">
      <w:numFmt w:val="decimal"/>
      <w:lvlText w:val=""/>
      <w:lvlJc w:val="left"/>
    </w:lvl>
    <w:lvl w:ilvl="6" w:tplc="71820ECC">
      <w:numFmt w:val="decimal"/>
      <w:lvlText w:val=""/>
      <w:lvlJc w:val="left"/>
    </w:lvl>
    <w:lvl w:ilvl="7" w:tplc="282228C8">
      <w:numFmt w:val="decimal"/>
      <w:lvlText w:val=""/>
      <w:lvlJc w:val="left"/>
    </w:lvl>
    <w:lvl w:ilvl="8" w:tplc="D4EA996A">
      <w:numFmt w:val="decimal"/>
      <w:lvlText w:val=""/>
      <w:lvlJc w:val="left"/>
    </w:lvl>
  </w:abstractNum>
  <w:abstractNum w:abstractNumId="282" w15:restartNumberingAfterBreak="0">
    <w:nsid w:val="1D2C5351"/>
    <w:multiLevelType w:val="hybridMultilevel"/>
    <w:tmpl w:val="034E39E4"/>
    <w:lvl w:ilvl="0" w:tplc="6E0C4578">
      <w:start w:val="1"/>
      <w:numFmt w:val="bullet"/>
      <w:lvlText w:val=""/>
      <w:lvlJc w:val="left"/>
      <w:pPr>
        <w:ind w:left="720" w:hanging="360"/>
      </w:pPr>
      <w:rPr>
        <w:rFonts w:ascii="Symbol" w:hAnsi="Symbol" w:hint="default"/>
      </w:rPr>
    </w:lvl>
    <w:lvl w:ilvl="1" w:tplc="766C69C0">
      <w:numFmt w:val="decimal"/>
      <w:lvlText w:val=""/>
      <w:lvlJc w:val="left"/>
    </w:lvl>
    <w:lvl w:ilvl="2" w:tplc="4BB6EF5C">
      <w:numFmt w:val="decimal"/>
      <w:lvlText w:val=""/>
      <w:lvlJc w:val="left"/>
    </w:lvl>
    <w:lvl w:ilvl="3" w:tplc="1F9646F2">
      <w:numFmt w:val="decimal"/>
      <w:lvlText w:val=""/>
      <w:lvlJc w:val="left"/>
    </w:lvl>
    <w:lvl w:ilvl="4" w:tplc="198A3ACE">
      <w:numFmt w:val="decimal"/>
      <w:lvlText w:val=""/>
      <w:lvlJc w:val="left"/>
    </w:lvl>
    <w:lvl w:ilvl="5" w:tplc="5AFCF1B4">
      <w:numFmt w:val="decimal"/>
      <w:lvlText w:val=""/>
      <w:lvlJc w:val="left"/>
    </w:lvl>
    <w:lvl w:ilvl="6" w:tplc="48F68492">
      <w:numFmt w:val="decimal"/>
      <w:lvlText w:val=""/>
      <w:lvlJc w:val="left"/>
    </w:lvl>
    <w:lvl w:ilvl="7" w:tplc="40B4842E">
      <w:numFmt w:val="decimal"/>
      <w:lvlText w:val=""/>
      <w:lvlJc w:val="left"/>
    </w:lvl>
    <w:lvl w:ilvl="8" w:tplc="764472D4">
      <w:numFmt w:val="decimal"/>
      <w:lvlText w:val=""/>
      <w:lvlJc w:val="left"/>
    </w:lvl>
  </w:abstractNum>
  <w:abstractNum w:abstractNumId="283" w15:restartNumberingAfterBreak="0">
    <w:nsid w:val="1D5168B4"/>
    <w:multiLevelType w:val="hybridMultilevel"/>
    <w:tmpl w:val="0F742FA0"/>
    <w:lvl w:ilvl="0" w:tplc="597EBBA4">
      <w:numFmt w:val="decimal"/>
      <w:lvlText w:val=""/>
      <w:lvlJc w:val="left"/>
    </w:lvl>
    <w:lvl w:ilvl="1" w:tplc="F28A3D94">
      <w:start w:val="1"/>
      <w:numFmt w:val="bullet"/>
      <w:lvlText w:val=""/>
      <w:lvlJc w:val="left"/>
      <w:pPr>
        <w:ind w:left="1440" w:hanging="360"/>
      </w:pPr>
      <w:rPr>
        <w:rFonts w:ascii="Symbol" w:hAnsi="Symbol" w:hint="default"/>
      </w:rPr>
    </w:lvl>
    <w:lvl w:ilvl="2" w:tplc="E412142A">
      <w:numFmt w:val="decimal"/>
      <w:lvlText w:val=""/>
      <w:lvlJc w:val="left"/>
    </w:lvl>
    <w:lvl w:ilvl="3" w:tplc="F22C23DA">
      <w:numFmt w:val="decimal"/>
      <w:lvlText w:val=""/>
      <w:lvlJc w:val="left"/>
    </w:lvl>
    <w:lvl w:ilvl="4" w:tplc="DBC23E7C">
      <w:numFmt w:val="decimal"/>
      <w:lvlText w:val=""/>
      <w:lvlJc w:val="left"/>
    </w:lvl>
    <w:lvl w:ilvl="5" w:tplc="90B05904">
      <w:numFmt w:val="decimal"/>
      <w:lvlText w:val=""/>
      <w:lvlJc w:val="left"/>
    </w:lvl>
    <w:lvl w:ilvl="6" w:tplc="4B684F38">
      <w:numFmt w:val="decimal"/>
      <w:lvlText w:val=""/>
      <w:lvlJc w:val="left"/>
    </w:lvl>
    <w:lvl w:ilvl="7" w:tplc="70086042">
      <w:numFmt w:val="decimal"/>
      <w:lvlText w:val=""/>
      <w:lvlJc w:val="left"/>
    </w:lvl>
    <w:lvl w:ilvl="8" w:tplc="22A45D10">
      <w:numFmt w:val="decimal"/>
      <w:lvlText w:val=""/>
      <w:lvlJc w:val="left"/>
    </w:lvl>
  </w:abstractNum>
  <w:abstractNum w:abstractNumId="284" w15:restartNumberingAfterBreak="0">
    <w:nsid w:val="1D6A28DE"/>
    <w:multiLevelType w:val="hybridMultilevel"/>
    <w:tmpl w:val="07CEAD84"/>
    <w:lvl w:ilvl="0" w:tplc="49D4E016">
      <w:start w:val="1"/>
      <w:numFmt w:val="bullet"/>
      <w:lvlText w:val=""/>
      <w:lvlJc w:val="left"/>
      <w:pPr>
        <w:ind w:left="720" w:hanging="360"/>
      </w:pPr>
      <w:rPr>
        <w:rFonts w:ascii="Symbol" w:hAnsi="Symbol" w:hint="default"/>
      </w:rPr>
    </w:lvl>
    <w:lvl w:ilvl="1" w:tplc="53C4F068">
      <w:numFmt w:val="decimal"/>
      <w:lvlText w:val=""/>
      <w:lvlJc w:val="left"/>
    </w:lvl>
    <w:lvl w:ilvl="2" w:tplc="7564EA68">
      <w:numFmt w:val="decimal"/>
      <w:lvlText w:val=""/>
      <w:lvlJc w:val="left"/>
    </w:lvl>
    <w:lvl w:ilvl="3" w:tplc="2200D47E">
      <w:numFmt w:val="decimal"/>
      <w:lvlText w:val=""/>
      <w:lvlJc w:val="left"/>
    </w:lvl>
    <w:lvl w:ilvl="4" w:tplc="618E1564">
      <w:numFmt w:val="decimal"/>
      <w:lvlText w:val=""/>
      <w:lvlJc w:val="left"/>
    </w:lvl>
    <w:lvl w:ilvl="5" w:tplc="FD400C00">
      <w:numFmt w:val="decimal"/>
      <w:lvlText w:val=""/>
      <w:lvlJc w:val="left"/>
    </w:lvl>
    <w:lvl w:ilvl="6" w:tplc="A9BE606E">
      <w:numFmt w:val="decimal"/>
      <w:lvlText w:val=""/>
      <w:lvlJc w:val="left"/>
    </w:lvl>
    <w:lvl w:ilvl="7" w:tplc="BB10D91A">
      <w:numFmt w:val="decimal"/>
      <w:lvlText w:val=""/>
      <w:lvlJc w:val="left"/>
    </w:lvl>
    <w:lvl w:ilvl="8" w:tplc="437097EA">
      <w:numFmt w:val="decimal"/>
      <w:lvlText w:val=""/>
      <w:lvlJc w:val="left"/>
    </w:lvl>
  </w:abstractNum>
  <w:abstractNum w:abstractNumId="285" w15:restartNumberingAfterBreak="0">
    <w:nsid w:val="1D8E101A"/>
    <w:multiLevelType w:val="hybridMultilevel"/>
    <w:tmpl w:val="CEFC28C8"/>
    <w:lvl w:ilvl="0" w:tplc="072EC644">
      <w:start w:val="1"/>
      <w:numFmt w:val="bullet"/>
      <w:lvlText w:val=""/>
      <w:lvlJc w:val="left"/>
      <w:pPr>
        <w:ind w:left="720" w:hanging="360"/>
      </w:pPr>
      <w:rPr>
        <w:rFonts w:ascii="Symbol" w:hAnsi="Symbol" w:hint="default"/>
      </w:rPr>
    </w:lvl>
    <w:lvl w:ilvl="1" w:tplc="D076D86E">
      <w:numFmt w:val="decimal"/>
      <w:lvlText w:val=""/>
      <w:lvlJc w:val="left"/>
    </w:lvl>
    <w:lvl w:ilvl="2" w:tplc="85DA7776">
      <w:numFmt w:val="decimal"/>
      <w:lvlText w:val=""/>
      <w:lvlJc w:val="left"/>
    </w:lvl>
    <w:lvl w:ilvl="3" w:tplc="69E2964C">
      <w:numFmt w:val="decimal"/>
      <w:lvlText w:val=""/>
      <w:lvlJc w:val="left"/>
    </w:lvl>
    <w:lvl w:ilvl="4" w:tplc="6492C52C">
      <w:numFmt w:val="decimal"/>
      <w:lvlText w:val=""/>
      <w:lvlJc w:val="left"/>
    </w:lvl>
    <w:lvl w:ilvl="5" w:tplc="B50C27E2">
      <w:numFmt w:val="decimal"/>
      <w:lvlText w:val=""/>
      <w:lvlJc w:val="left"/>
    </w:lvl>
    <w:lvl w:ilvl="6" w:tplc="80967956">
      <w:numFmt w:val="decimal"/>
      <w:lvlText w:val=""/>
      <w:lvlJc w:val="left"/>
    </w:lvl>
    <w:lvl w:ilvl="7" w:tplc="347256E4">
      <w:numFmt w:val="decimal"/>
      <w:lvlText w:val=""/>
      <w:lvlJc w:val="left"/>
    </w:lvl>
    <w:lvl w:ilvl="8" w:tplc="F8E65178">
      <w:numFmt w:val="decimal"/>
      <w:lvlText w:val=""/>
      <w:lvlJc w:val="left"/>
    </w:lvl>
  </w:abstractNum>
  <w:abstractNum w:abstractNumId="286" w15:restartNumberingAfterBreak="0">
    <w:nsid w:val="1D922F61"/>
    <w:multiLevelType w:val="hybridMultilevel"/>
    <w:tmpl w:val="D7961856"/>
    <w:lvl w:ilvl="0" w:tplc="E714AA42">
      <w:start w:val="1"/>
      <w:numFmt w:val="bullet"/>
      <w:lvlText w:val=""/>
      <w:lvlJc w:val="left"/>
      <w:pPr>
        <w:ind w:left="720" w:hanging="360"/>
      </w:pPr>
      <w:rPr>
        <w:rFonts w:ascii="Symbol" w:hAnsi="Symbol" w:hint="default"/>
      </w:rPr>
    </w:lvl>
    <w:lvl w:ilvl="1" w:tplc="18D40402">
      <w:numFmt w:val="decimal"/>
      <w:lvlText w:val=""/>
      <w:lvlJc w:val="left"/>
    </w:lvl>
    <w:lvl w:ilvl="2" w:tplc="3FFAE720">
      <w:numFmt w:val="decimal"/>
      <w:lvlText w:val=""/>
      <w:lvlJc w:val="left"/>
    </w:lvl>
    <w:lvl w:ilvl="3" w:tplc="58AAD51C">
      <w:numFmt w:val="decimal"/>
      <w:lvlText w:val=""/>
      <w:lvlJc w:val="left"/>
    </w:lvl>
    <w:lvl w:ilvl="4" w:tplc="0BF4F772">
      <w:numFmt w:val="decimal"/>
      <w:lvlText w:val=""/>
      <w:lvlJc w:val="left"/>
    </w:lvl>
    <w:lvl w:ilvl="5" w:tplc="66623A96">
      <w:numFmt w:val="decimal"/>
      <w:lvlText w:val=""/>
      <w:lvlJc w:val="left"/>
    </w:lvl>
    <w:lvl w:ilvl="6" w:tplc="1F043EEA">
      <w:numFmt w:val="decimal"/>
      <w:lvlText w:val=""/>
      <w:lvlJc w:val="left"/>
    </w:lvl>
    <w:lvl w:ilvl="7" w:tplc="03FC57C2">
      <w:numFmt w:val="decimal"/>
      <w:lvlText w:val=""/>
      <w:lvlJc w:val="left"/>
    </w:lvl>
    <w:lvl w:ilvl="8" w:tplc="30127600">
      <w:numFmt w:val="decimal"/>
      <w:lvlText w:val=""/>
      <w:lvlJc w:val="left"/>
    </w:lvl>
  </w:abstractNum>
  <w:abstractNum w:abstractNumId="287" w15:restartNumberingAfterBreak="0">
    <w:nsid w:val="1D992544"/>
    <w:multiLevelType w:val="hybridMultilevel"/>
    <w:tmpl w:val="A76EBB36"/>
    <w:lvl w:ilvl="0" w:tplc="9A449552">
      <w:start w:val="1"/>
      <w:numFmt w:val="bullet"/>
      <w:lvlText w:val=""/>
      <w:lvlJc w:val="left"/>
      <w:pPr>
        <w:ind w:left="720" w:hanging="360"/>
      </w:pPr>
      <w:rPr>
        <w:rFonts w:ascii="Symbol" w:hAnsi="Symbol" w:hint="default"/>
      </w:rPr>
    </w:lvl>
    <w:lvl w:ilvl="1" w:tplc="F21816E8">
      <w:numFmt w:val="decimal"/>
      <w:lvlText w:val=""/>
      <w:lvlJc w:val="left"/>
    </w:lvl>
    <w:lvl w:ilvl="2" w:tplc="020C07F6">
      <w:numFmt w:val="decimal"/>
      <w:lvlText w:val=""/>
      <w:lvlJc w:val="left"/>
    </w:lvl>
    <w:lvl w:ilvl="3" w:tplc="A6C445B0">
      <w:numFmt w:val="decimal"/>
      <w:lvlText w:val=""/>
      <w:lvlJc w:val="left"/>
    </w:lvl>
    <w:lvl w:ilvl="4" w:tplc="C89A4AC8">
      <w:numFmt w:val="decimal"/>
      <w:lvlText w:val=""/>
      <w:lvlJc w:val="left"/>
    </w:lvl>
    <w:lvl w:ilvl="5" w:tplc="49968A56">
      <w:numFmt w:val="decimal"/>
      <w:lvlText w:val=""/>
      <w:lvlJc w:val="left"/>
    </w:lvl>
    <w:lvl w:ilvl="6" w:tplc="66CE7A4E">
      <w:numFmt w:val="decimal"/>
      <w:lvlText w:val=""/>
      <w:lvlJc w:val="left"/>
    </w:lvl>
    <w:lvl w:ilvl="7" w:tplc="A68E3B50">
      <w:numFmt w:val="decimal"/>
      <w:lvlText w:val=""/>
      <w:lvlJc w:val="left"/>
    </w:lvl>
    <w:lvl w:ilvl="8" w:tplc="C482674A">
      <w:numFmt w:val="decimal"/>
      <w:lvlText w:val=""/>
      <w:lvlJc w:val="left"/>
    </w:lvl>
  </w:abstractNum>
  <w:abstractNum w:abstractNumId="288" w15:restartNumberingAfterBreak="0">
    <w:nsid w:val="1DD7707C"/>
    <w:multiLevelType w:val="hybridMultilevel"/>
    <w:tmpl w:val="346A3982"/>
    <w:lvl w:ilvl="0" w:tplc="802A6C9E">
      <w:start w:val="1"/>
      <w:numFmt w:val="bullet"/>
      <w:lvlText w:val=""/>
      <w:lvlJc w:val="left"/>
      <w:pPr>
        <w:ind w:left="720" w:hanging="360"/>
      </w:pPr>
      <w:rPr>
        <w:rFonts w:ascii="Symbol" w:hAnsi="Symbol" w:hint="default"/>
      </w:rPr>
    </w:lvl>
    <w:lvl w:ilvl="1" w:tplc="42AC3A3E">
      <w:numFmt w:val="decimal"/>
      <w:lvlText w:val=""/>
      <w:lvlJc w:val="left"/>
    </w:lvl>
    <w:lvl w:ilvl="2" w:tplc="BBA8CA98">
      <w:numFmt w:val="decimal"/>
      <w:lvlText w:val=""/>
      <w:lvlJc w:val="left"/>
    </w:lvl>
    <w:lvl w:ilvl="3" w:tplc="DA1ABF00">
      <w:numFmt w:val="decimal"/>
      <w:lvlText w:val=""/>
      <w:lvlJc w:val="left"/>
    </w:lvl>
    <w:lvl w:ilvl="4" w:tplc="1B001B1E">
      <w:numFmt w:val="decimal"/>
      <w:lvlText w:val=""/>
      <w:lvlJc w:val="left"/>
    </w:lvl>
    <w:lvl w:ilvl="5" w:tplc="D0341104">
      <w:numFmt w:val="decimal"/>
      <w:lvlText w:val=""/>
      <w:lvlJc w:val="left"/>
    </w:lvl>
    <w:lvl w:ilvl="6" w:tplc="061CDA5C">
      <w:numFmt w:val="decimal"/>
      <w:lvlText w:val=""/>
      <w:lvlJc w:val="left"/>
    </w:lvl>
    <w:lvl w:ilvl="7" w:tplc="B316C478">
      <w:numFmt w:val="decimal"/>
      <w:lvlText w:val=""/>
      <w:lvlJc w:val="left"/>
    </w:lvl>
    <w:lvl w:ilvl="8" w:tplc="E8EC564E">
      <w:numFmt w:val="decimal"/>
      <w:lvlText w:val=""/>
      <w:lvlJc w:val="left"/>
    </w:lvl>
  </w:abstractNum>
  <w:abstractNum w:abstractNumId="289" w15:restartNumberingAfterBreak="0">
    <w:nsid w:val="1E167873"/>
    <w:multiLevelType w:val="hybridMultilevel"/>
    <w:tmpl w:val="68AC05D8"/>
    <w:lvl w:ilvl="0" w:tplc="8E92E2F6">
      <w:start w:val="1"/>
      <w:numFmt w:val="bullet"/>
      <w:lvlText w:val=""/>
      <w:lvlJc w:val="left"/>
      <w:pPr>
        <w:ind w:left="720" w:hanging="360"/>
      </w:pPr>
      <w:rPr>
        <w:rFonts w:ascii="Symbol" w:hAnsi="Symbol" w:hint="default"/>
      </w:rPr>
    </w:lvl>
    <w:lvl w:ilvl="1" w:tplc="8DA45B7A">
      <w:numFmt w:val="decimal"/>
      <w:lvlText w:val=""/>
      <w:lvlJc w:val="left"/>
    </w:lvl>
    <w:lvl w:ilvl="2" w:tplc="CFA4598A">
      <w:numFmt w:val="decimal"/>
      <w:lvlText w:val=""/>
      <w:lvlJc w:val="left"/>
    </w:lvl>
    <w:lvl w:ilvl="3" w:tplc="550C47B6">
      <w:numFmt w:val="decimal"/>
      <w:lvlText w:val=""/>
      <w:lvlJc w:val="left"/>
    </w:lvl>
    <w:lvl w:ilvl="4" w:tplc="8F4607F6">
      <w:numFmt w:val="decimal"/>
      <w:lvlText w:val=""/>
      <w:lvlJc w:val="left"/>
    </w:lvl>
    <w:lvl w:ilvl="5" w:tplc="C05289D2">
      <w:numFmt w:val="decimal"/>
      <w:lvlText w:val=""/>
      <w:lvlJc w:val="left"/>
    </w:lvl>
    <w:lvl w:ilvl="6" w:tplc="B39A9050">
      <w:numFmt w:val="decimal"/>
      <w:lvlText w:val=""/>
      <w:lvlJc w:val="left"/>
    </w:lvl>
    <w:lvl w:ilvl="7" w:tplc="B1E4F6EC">
      <w:numFmt w:val="decimal"/>
      <w:lvlText w:val=""/>
      <w:lvlJc w:val="left"/>
    </w:lvl>
    <w:lvl w:ilvl="8" w:tplc="84F633E2">
      <w:numFmt w:val="decimal"/>
      <w:lvlText w:val=""/>
      <w:lvlJc w:val="left"/>
    </w:lvl>
  </w:abstractNum>
  <w:abstractNum w:abstractNumId="290" w15:restartNumberingAfterBreak="0">
    <w:nsid w:val="1E1B354D"/>
    <w:multiLevelType w:val="hybridMultilevel"/>
    <w:tmpl w:val="FD56641E"/>
    <w:lvl w:ilvl="0" w:tplc="414E97C6">
      <w:start w:val="1"/>
      <w:numFmt w:val="bullet"/>
      <w:lvlText w:val=""/>
      <w:lvlJc w:val="left"/>
      <w:pPr>
        <w:ind w:left="720" w:hanging="360"/>
      </w:pPr>
      <w:rPr>
        <w:rFonts w:ascii="Symbol" w:hAnsi="Symbol" w:hint="default"/>
      </w:rPr>
    </w:lvl>
    <w:lvl w:ilvl="1" w:tplc="15CCA0D6">
      <w:numFmt w:val="decimal"/>
      <w:lvlText w:val=""/>
      <w:lvlJc w:val="left"/>
    </w:lvl>
    <w:lvl w:ilvl="2" w:tplc="E2CAFFC2">
      <w:numFmt w:val="decimal"/>
      <w:lvlText w:val=""/>
      <w:lvlJc w:val="left"/>
    </w:lvl>
    <w:lvl w:ilvl="3" w:tplc="83C46D82">
      <w:numFmt w:val="decimal"/>
      <w:lvlText w:val=""/>
      <w:lvlJc w:val="left"/>
    </w:lvl>
    <w:lvl w:ilvl="4" w:tplc="AACCECD8">
      <w:numFmt w:val="decimal"/>
      <w:lvlText w:val=""/>
      <w:lvlJc w:val="left"/>
    </w:lvl>
    <w:lvl w:ilvl="5" w:tplc="BE2E7D58">
      <w:numFmt w:val="decimal"/>
      <w:lvlText w:val=""/>
      <w:lvlJc w:val="left"/>
    </w:lvl>
    <w:lvl w:ilvl="6" w:tplc="2A845C38">
      <w:numFmt w:val="decimal"/>
      <w:lvlText w:val=""/>
      <w:lvlJc w:val="left"/>
    </w:lvl>
    <w:lvl w:ilvl="7" w:tplc="6C662332">
      <w:numFmt w:val="decimal"/>
      <w:lvlText w:val=""/>
      <w:lvlJc w:val="left"/>
    </w:lvl>
    <w:lvl w:ilvl="8" w:tplc="B0F64D86">
      <w:numFmt w:val="decimal"/>
      <w:lvlText w:val=""/>
      <w:lvlJc w:val="left"/>
    </w:lvl>
  </w:abstractNum>
  <w:abstractNum w:abstractNumId="291" w15:restartNumberingAfterBreak="0">
    <w:nsid w:val="1E560E2F"/>
    <w:multiLevelType w:val="hybridMultilevel"/>
    <w:tmpl w:val="C03A0DF4"/>
    <w:lvl w:ilvl="0" w:tplc="CDDC0E7A">
      <w:start w:val="1"/>
      <w:numFmt w:val="bullet"/>
      <w:lvlText w:val=""/>
      <w:lvlJc w:val="left"/>
      <w:pPr>
        <w:ind w:left="720" w:hanging="360"/>
      </w:pPr>
      <w:rPr>
        <w:rFonts w:ascii="Symbol" w:hAnsi="Symbol" w:hint="default"/>
      </w:rPr>
    </w:lvl>
    <w:lvl w:ilvl="1" w:tplc="A27E382C">
      <w:numFmt w:val="decimal"/>
      <w:lvlText w:val=""/>
      <w:lvlJc w:val="left"/>
    </w:lvl>
    <w:lvl w:ilvl="2" w:tplc="43EC0C44">
      <w:numFmt w:val="decimal"/>
      <w:lvlText w:val=""/>
      <w:lvlJc w:val="left"/>
    </w:lvl>
    <w:lvl w:ilvl="3" w:tplc="0898F92E">
      <w:numFmt w:val="decimal"/>
      <w:lvlText w:val=""/>
      <w:lvlJc w:val="left"/>
    </w:lvl>
    <w:lvl w:ilvl="4" w:tplc="EDC66F90">
      <w:numFmt w:val="decimal"/>
      <w:lvlText w:val=""/>
      <w:lvlJc w:val="left"/>
    </w:lvl>
    <w:lvl w:ilvl="5" w:tplc="493E39DE">
      <w:numFmt w:val="decimal"/>
      <w:lvlText w:val=""/>
      <w:lvlJc w:val="left"/>
    </w:lvl>
    <w:lvl w:ilvl="6" w:tplc="846EFA9C">
      <w:numFmt w:val="decimal"/>
      <w:lvlText w:val=""/>
      <w:lvlJc w:val="left"/>
    </w:lvl>
    <w:lvl w:ilvl="7" w:tplc="FA58AA82">
      <w:numFmt w:val="decimal"/>
      <w:lvlText w:val=""/>
      <w:lvlJc w:val="left"/>
    </w:lvl>
    <w:lvl w:ilvl="8" w:tplc="EB9E9158">
      <w:numFmt w:val="decimal"/>
      <w:lvlText w:val=""/>
      <w:lvlJc w:val="left"/>
    </w:lvl>
  </w:abstractNum>
  <w:abstractNum w:abstractNumId="292" w15:restartNumberingAfterBreak="0">
    <w:nsid w:val="1E780C58"/>
    <w:multiLevelType w:val="hybridMultilevel"/>
    <w:tmpl w:val="6E24E6C0"/>
    <w:lvl w:ilvl="0" w:tplc="E5C2EA3C">
      <w:start w:val="1"/>
      <w:numFmt w:val="bullet"/>
      <w:lvlText w:val=""/>
      <w:lvlJc w:val="left"/>
      <w:pPr>
        <w:ind w:left="720" w:hanging="360"/>
      </w:pPr>
      <w:rPr>
        <w:rFonts w:ascii="Symbol" w:hAnsi="Symbol" w:hint="default"/>
      </w:rPr>
    </w:lvl>
    <w:lvl w:ilvl="1" w:tplc="C368F586">
      <w:numFmt w:val="decimal"/>
      <w:lvlText w:val=""/>
      <w:lvlJc w:val="left"/>
    </w:lvl>
    <w:lvl w:ilvl="2" w:tplc="D5EEAF00">
      <w:numFmt w:val="decimal"/>
      <w:lvlText w:val=""/>
      <w:lvlJc w:val="left"/>
    </w:lvl>
    <w:lvl w:ilvl="3" w:tplc="3C48E1B6">
      <w:numFmt w:val="decimal"/>
      <w:lvlText w:val=""/>
      <w:lvlJc w:val="left"/>
    </w:lvl>
    <w:lvl w:ilvl="4" w:tplc="9B8248B8">
      <w:numFmt w:val="decimal"/>
      <w:lvlText w:val=""/>
      <w:lvlJc w:val="left"/>
    </w:lvl>
    <w:lvl w:ilvl="5" w:tplc="165AD338">
      <w:numFmt w:val="decimal"/>
      <w:lvlText w:val=""/>
      <w:lvlJc w:val="left"/>
    </w:lvl>
    <w:lvl w:ilvl="6" w:tplc="998064BE">
      <w:numFmt w:val="decimal"/>
      <w:lvlText w:val=""/>
      <w:lvlJc w:val="left"/>
    </w:lvl>
    <w:lvl w:ilvl="7" w:tplc="33CC7320">
      <w:numFmt w:val="decimal"/>
      <w:lvlText w:val=""/>
      <w:lvlJc w:val="left"/>
    </w:lvl>
    <w:lvl w:ilvl="8" w:tplc="00A8AC54">
      <w:numFmt w:val="decimal"/>
      <w:lvlText w:val=""/>
      <w:lvlJc w:val="left"/>
    </w:lvl>
  </w:abstractNum>
  <w:abstractNum w:abstractNumId="293" w15:restartNumberingAfterBreak="0">
    <w:nsid w:val="1E931C8D"/>
    <w:multiLevelType w:val="hybridMultilevel"/>
    <w:tmpl w:val="2E40C72A"/>
    <w:lvl w:ilvl="0" w:tplc="2C38A52E">
      <w:numFmt w:val="decimal"/>
      <w:lvlText w:val=""/>
      <w:lvlJc w:val="left"/>
    </w:lvl>
    <w:lvl w:ilvl="1" w:tplc="4AA0666E">
      <w:start w:val="1"/>
      <w:numFmt w:val="bullet"/>
      <w:lvlText w:val=""/>
      <w:lvlJc w:val="left"/>
      <w:pPr>
        <w:ind w:left="1440" w:hanging="360"/>
      </w:pPr>
      <w:rPr>
        <w:rFonts w:ascii="Symbol" w:hAnsi="Symbol" w:hint="default"/>
      </w:rPr>
    </w:lvl>
    <w:lvl w:ilvl="2" w:tplc="0A32598A">
      <w:numFmt w:val="decimal"/>
      <w:lvlText w:val=""/>
      <w:lvlJc w:val="left"/>
    </w:lvl>
    <w:lvl w:ilvl="3" w:tplc="64EE8618">
      <w:numFmt w:val="decimal"/>
      <w:lvlText w:val=""/>
      <w:lvlJc w:val="left"/>
    </w:lvl>
    <w:lvl w:ilvl="4" w:tplc="CC5C9ED0">
      <w:numFmt w:val="decimal"/>
      <w:lvlText w:val=""/>
      <w:lvlJc w:val="left"/>
    </w:lvl>
    <w:lvl w:ilvl="5" w:tplc="051ED306">
      <w:numFmt w:val="decimal"/>
      <w:lvlText w:val=""/>
      <w:lvlJc w:val="left"/>
    </w:lvl>
    <w:lvl w:ilvl="6" w:tplc="329845B2">
      <w:numFmt w:val="decimal"/>
      <w:lvlText w:val=""/>
      <w:lvlJc w:val="left"/>
    </w:lvl>
    <w:lvl w:ilvl="7" w:tplc="436841AE">
      <w:numFmt w:val="decimal"/>
      <w:lvlText w:val=""/>
      <w:lvlJc w:val="left"/>
    </w:lvl>
    <w:lvl w:ilvl="8" w:tplc="32EE587C">
      <w:numFmt w:val="decimal"/>
      <w:lvlText w:val=""/>
      <w:lvlJc w:val="left"/>
    </w:lvl>
  </w:abstractNum>
  <w:abstractNum w:abstractNumId="294" w15:restartNumberingAfterBreak="0">
    <w:nsid w:val="1EB1265D"/>
    <w:multiLevelType w:val="hybridMultilevel"/>
    <w:tmpl w:val="E14E0286"/>
    <w:lvl w:ilvl="0" w:tplc="314EE522">
      <w:start w:val="1"/>
      <w:numFmt w:val="bullet"/>
      <w:lvlText w:val=""/>
      <w:lvlJc w:val="left"/>
      <w:pPr>
        <w:ind w:left="720" w:hanging="360"/>
      </w:pPr>
      <w:rPr>
        <w:rFonts w:ascii="Symbol" w:hAnsi="Symbol" w:hint="default"/>
      </w:rPr>
    </w:lvl>
    <w:lvl w:ilvl="1" w:tplc="CFD00182">
      <w:numFmt w:val="decimal"/>
      <w:lvlText w:val=""/>
      <w:lvlJc w:val="left"/>
    </w:lvl>
    <w:lvl w:ilvl="2" w:tplc="3F62FDD4">
      <w:numFmt w:val="decimal"/>
      <w:lvlText w:val=""/>
      <w:lvlJc w:val="left"/>
    </w:lvl>
    <w:lvl w:ilvl="3" w:tplc="4566EC4C">
      <w:numFmt w:val="decimal"/>
      <w:lvlText w:val=""/>
      <w:lvlJc w:val="left"/>
    </w:lvl>
    <w:lvl w:ilvl="4" w:tplc="E63C4612">
      <w:numFmt w:val="decimal"/>
      <w:lvlText w:val=""/>
      <w:lvlJc w:val="left"/>
    </w:lvl>
    <w:lvl w:ilvl="5" w:tplc="9618B050">
      <w:numFmt w:val="decimal"/>
      <w:lvlText w:val=""/>
      <w:lvlJc w:val="left"/>
    </w:lvl>
    <w:lvl w:ilvl="6" w:tplc="63A8B900">
      <w:numFmt w:val="decimal"/>
      <w:lvlText w:val=""/>
      <w:lvlJc w:val="left"/>
    </w:lvl>
    <w:lvl w:ilvl="7" w:tplc="C25A8DC2">
      <w:numFmt w:val="decimal"/>
      <w:lvlText w:val=""/>
      <w:lvlJc w:val="left"/>
    </w:lvl>
    <w:lvl w:ilvl="8" w:tplc="CF82636E">
      <w:numFmt w:val="decimal"/>
      <w:lvlText w:val=""/>
      <w:lvlJc w:val="left"/>
    </w:lvl>
  </w:abstractNum>
  <w:abstractNum w:abstractNumId="295" w15:restartNumberingAfterBreak="0">
    <w:nsid w:val="1EB959FE"/>
    <w:multiLevelType w:val="hybridMultilevel"/>
    <w:tmpl w:val="778A5EB4"/>
    <w:lvl w:ilvl="0" w:tplc="A14EDA10">
      <w:start w:val="1"/>
      <w:numFmt w:val="bullet"/>
      <w:lvlText w:val=""/>
      <w:lvlJc w:val="left"/>
      <w:pPr>
        <w:ind w:left="720" w:hanging="360"/>
      </w:pPr>
      <w:rPr>
        <w:rFonts w:ascii="Symbol" w:hAnsi="Symbol" w:hint="default"/>
      </w:rPr>
    </w:lvl>
    <w:lvl w:ilvl="1" w:tplc="4B66F02E">
      <w:numFmt w:val="decimal"/>
      <w:lvlText w:val=""/>
      <w:lvlJc w:val="left"/>
    </w:lvl>
    <w:lvl w:ilvl="2" w:tplc="9B70ADC4">
      <w:numFmt w:val="decimal"/>
      <w:lvlText w:val=""/>
      <w:lvlJc w:val="left"/>
    </w:lvl>
    <w:lvl w:ilvl="3" w:tplc="AC442548">
      <w:numFmt w:val="decimal"/>
      <w:lvlText w:val=""/>
      <w:lvlJc w:val="left"/>
    </w:lvl>
    <w:lvl w:ilvl="4" w:tplc="8DEAB7A6">
      <w:numFmt w:val="decimal"/>
      <w:lvlText w:val=""/>
      <w:lvlJc w:val="left"/>
    </w:lvl>
    <w:lvl w:ilvl="5" w:tplc="F42E21CA">
      <w:numFmt w:val="decimal"/>
      <w:lvlText w:val=""/>
      <w:lvlJc w:val="left"/>
    </w:lvl>
    <w:lvl w:ilvl="6" w:tplc="8BDAC378">
      <w:numFmt w:val="decimal"/>
      <w:lvlText w:val=""/>
      <w:lvlJc w:val="left"/>
    </w:lvl>
    <w:lvl w:ilvl="7" w:tplc="4CEED62E">
      <w:numFmt w:val="decimal"/>
      <w:lvlText w:val=""/>
      <w:lvlJc w:val="left"/>
    </w:lvl>
    <w:lvl w:ilvl="8" w:tplc="5F584E46">
      <w:numFmt w:val="decimal"/>
      <w:lvlText w:val=""/>
      <w:lvlJc w:val="left"/>
    </w:lvl>
  </w:abstractNum>
  <w:abstractNum w:abstractNumId="296" w15:restartNumberingAfterBreak="0">
    <w:nsid w:val="1ECA5BA4"/>
    <w:multiLevelType w:val="hybridMultilevel"/>
    <w:tmpl w:val="B35453F4"/>
    <w:lvl w:ilvl="0" w:tplc="1E425430">
      <w:start w:val="1"/>
      <w:numFmt w:val="bullet"/>
      <w:lvlText w:val=""/>
      <w:lvlJc w:val="left"/>
      <w:pPr>
        <w:ind w:left="720" w:hanging="360"/>
      </w:pPr>
      <w:rPr>
        <w:rFonts w:ascii="Symbol" w:hAnsi="Symbol" w:hint="default"/>
      </w:rPr>
    </w:lvl>
    <w:lvl w:ilvl="1" w:tplc="0B5E517C">
      <w:numFmt w:val="decimal"/>
      <w:lvlText w:val=""/>
      <w:lvlJc w:val="left"/>
    </w:lvl>
    <w:lvl w:ilvl="2" w:tplc="6972C978">
      <w:numFmt w:val="decimal"/>
      <w:lvlText w:val=""/>
      <w:lvlJc w:val="left"/>
    </w:lvl>
    <w:lvl w:ilvl="3" w:tplc="933CEF28">
      <w:numFmt w:val="decimal"/>
      <w:lvlText w:val=""/>
      <w:lvlJc w:val="left"/>
    </w:lvl>
    <w:lvl w:ilvl="4" w:tplc="8858363E">
      <w:numFmt w:val="decimal"/>
      <w:lvlText w:val=""/>
      <w:lvlJc w:val="left"/>
    </w:lvl>
    <w:lvl w:ilvl="5" w:tplc="4E5A5E88">
      <w:numFmt w:val="decimal"/>
      <w:lvlText w:val=""/>
      <w:lvlJc w:val="left"/>
    </w:lvl>
    <w:lvl w:ilvl="6" w:tplc="19DC5358">
      <w:numFmt w:val="decimal"/>
      <w:lvlText w:val=""/>
      <w:lvlJc w:val="left"/>
    </w:lvl>
    <w:lvl w:ilvl="7" w:tplc="BD669532">
      <w:numFmt w:val="decimal"/>
      <w:lvlText w:val=""/>
      <w:lvlJc w:val="left"/>
    </w:lvl>
    <w:lvl w:ilvl="8" w:tplc="374CDCE4">
      <w:numFmt w:val="decimal"/>
      <w:lvlText w:val=""/>
      <w:lvlJc w:val="left"/>
    </w:lvl>
  </w:abstractNum>
  <w:abstractNum w:abstractNumId="297" w15:restartNumberingAfterBreak="0">
    <w:nsid w:val="1F036348"/>
    <w:multiLevelType w:val="hybridMultilevel"/>
    <w:tmpl w:val="FAC64B5E"/>
    <w:lvl w:ilvl="0" w:tplc="DFF442C6">
      <w:start w:val="1"/>
      <w:numFmt w:val="bullet"/>
      <w:lvlText w:val=""/>
      <w:lvlJc w:val="left"/>
      <w:pPr>
        <w:ind w:left="720" w:hanging="360"/>
      </w:pPr>
      <w:rPr>
        <w:rFonts w:ascii="Symbol" w:hAnsi="Symbol" w:hint="default"/>
      </w:rPr>
    </w:lvl>
    <w:lvl w:ilvl="1" w:tplc="0DD0674E">
      <w:numFmt w:val="decimal"/>
      <w:lvlText w:val=""/>
      <w:lvlJc w:val="left"/>
    </w:lvl>
    <w:lvl w:ilvl="2" w:tplc="B8BCA5CC">
      <w:numFmt w:val="decimal"/>
      <w:lvlText w:val=""/>
      <w:lvlJc w:val="left"/>
    </w:lvl>
    <w:lvl w:ilvl="3" w:tplc="1FC2D268">
      <w:numFmt w:val="decimal"/>
      <w:lvlText w:val=""/>
      <w:lvlJc w:val="left"/>
    </w:lvl>
    <w:lvl w:ilvl="4" w:tplc="91025D70">
      <w:numFmt w:val="decimal"/>
      <w:lvlText w:val=""/>
      <w:lvlJc w:val="left"/>
    </w:lvl>
    <w:lvl w:ilvl="5" w:tplc="F9B2CB2E">
      <w:numFmt w:val="decimal"/>
      <w:lvlText w:val=""/>
      <w:lvlJc w:val="left"/>
    </w:lvl>
    <w:lvl w:ilvl="6" w:tplc="1BACD568">
      <w:numFmt w:val="decimal"/>
      <w:lvlText w:val=""/>
      <w:lvlJc w:val="left"/>
    </w:lvl>
    <w:lvl w:ilvl="7" w:tplc="8CE016BA">
      <w:numFmt w:val="decimal"/>
      <w:lvlText w:val=""/>
      <w:lvlJc w:val="left"/>
    </w:lvl>
    <w:lvl w:ilvl="8" w:tplc="3768DDFA">
      <w:numFmt w:val="decimal"/>
      <w:lvlText w:val=""/>
      <w:lvlJc w:val="left"/>
    </w:lvl>
  </w:abstractNum>
  <w:abstractNum w:abstractNumId="298" w15:restartNumberingAfterBreak="0">
    <w:nsid w:val="1F1474A6"/>
    <w:multiLevelType w:val="hybridMultilevel"/>
    <w:tmpl w:val="87DCA9F6"/>
    <w:lvl w:ilvl="0" w:tplc="F18C296C">
      <w:start w:val="1"/>
      <w:numFmt w:val="bullet"/>
      <w:lvlText w:val=""/>
      <w:lvlJc w:val="left"/>
      <w:pPr>
        <w:ind w:left="720" w:hanging="360"/>
      </w:pPr>
      <w:rPr>
        <w:rFonts w:ascii="Symbol" w:hAnsi="Symbol" w:hint="default"/>
      </w:rPr>
    </w:lvl>
    <w:lvl w:ilvl="1" w:tplc="8B281A62">
      <w:numFmt w:val="decimal"/>
      <w:lvlText w:val=""/>
      <w:lvlJc w:val="left"/>
    </w:lvl>
    <w:lvl w:ilvl="2" w:tplc="7BA02374">
      <w:numFmt w:val="decimal"/>
      <w:lvlText w:val=""/>
      <w:lvlJc w:val="left"/>
    </w:lvl>
    <w:lvl w:ilvl="3" w:tplc="71E261C0">
      <w:numFmt w:val="decimal"/>
      <w:lvlText w:val=""/>
      <w:lvlJc w:val="left"/>
    </w:lvl>
    <w:lvl w:ilvl="4" w:tplc="A03A530C">
      <w:numFmt w:val="decimal"/>
      <w:lvlText w:val=""/>
      <w:lvlJc w:val="left"/>
    </w:lvl>
    <w:lvl w:ilvl="5" w:tplc="5294501C">
      <w:numFmt w:val="decimal"/>
      <w:lvlText w:val=""/>
      <w:lvlJc w:val="left"/>
    </w:lvl>
    <w:lvl w:ilvl="6" w:tplc="AC6050AE">
      <w:numFmt w:val="decimal"/>
      <w:lvlText w:val=""/>
      <w:lvlJc w:val="left"/>
    </w:lvl>
    <w:lvl w:ilvl="7" w:tplc="AE3CA510">
      <w:numFmt w:val="decimal"/>
      <w:lvlText w:val=""/>
      <w:lvlJc w:val="left"/>
    </w:lvl>
    <w:lvl w:ilvl="8" w:tplc="D6C6E24A">
      <w:numFmt w:val="decimal"/>
      <w:lvlText w:val=""/>
      <w:lvlJc w:val="left"/>
    </w:lvl>
  </w:abstractNum>
  <w:abstractNum w:abstractNumId="299" w15:restartNumberingAfterBreak="0">
    <w:nsid w:val="1F650CE6"/>
    <w:multiLevelType w:val="hybridMultilevel"/>
    <w:tmpl w:val="25BAC4BE"/>
    <w:lvl w:ilvl="0" w:tplc="1ECE5048">
      <w:start w:val="1"/>
      <w:numFmt w:val="bullet"/>
      <w:lvlText w:val=""/>
      <w:lvlJc w:val="left"/>
      <w:pPr>
        <w:ind w:left="720" w:hanging="360"/>
      </w:pPr>
      <w:rPr>
        <w:rFonts w:ascii="Symbol" w:hAnsi="Symbol" w:hint="default"/>
      </w:rPr>
    </w:lvl>
    <w:lvl w:ilvl="1" w:tplc="4EC2EFD0">
      <w:numFmt w:val="decimal"/>
      <w:lvlText w:val=""/>
      <w:lvlJc w:val="left"/>
    </w:lvl>
    <w:lvl w:ilvl="2" w:tplc="AD52C250">
      <w:numFmt w:val="decimal"/>
      <w:lvlText w:val=""/>
      <w:lvlJc w:val="left"/>
    </w:lvl>
    <w:lvl w:ilvl="3" w:tplc="1DEE8F8E">
      <w:numFmt w:val="decimal"/>
      <w:lvlText w:val=""/>
      <w:lvlJc w:val="left"/>
    </w:lvl>
    <w:lvl w:ilvl="4" w:tplc="D988DEBC">
      <w:numFmt w:val="decimal"/>
      <w:lvlText w:val=""/>
      <w:lvlJc w:val="left"/>
    </w:lvl>
    <w:lvl w:ilvl="5" w:tplc="8028E5D8">
      <w:numFmt w:val="decimal"/>
      <w:lvlText w:val=""/>
      <w:lvlJc w:val="left"/>
    </w:lvl>
    <w:lvl w:ilvl="6" w:tplc="49D03A8C">
      <w:numFmt w:val="decimal"/>
      <w:lvlText w:val=""/>
      <w:lvlJc w:val="left"/>
    </w:lvl>
    <w:lvl w:ilvl="7" w:tplc="8A346F96">
      <w:numFmt w:val="decimal"/>
      <w:lvlText w:val=""/>
      <w:lvlJc w:val="left"/>
    </w:lvl>
    <w:lvl w:ilvl="8" w:tplc="5CDA82C0">
      <w:numFmt w:val="decimal"/>
      <w:lvlText w:val=""/>
      <w:lvlJc w:val="left"/>
    </w:lvl>
  </w:abstractNum>
  <w:abstractNum w:abstractNumId="300" w15:restartNumberingAfterBreak="0">
    <w:nsid w:val="1F936F85"/>
    <w:multiLevelType w:val="hybridMultilevel"/>
    <w:tmpl w:val="2780BE1A"/>
    <w:lvl w:ilvl="0" w:tplc="670234E0">
      <w:start w:val="1"/>
      <w:numFmt w:val="bullet"/>
      <w:lvlText w:val=""/>
      <w:lvlJc w:val="left"/>
      <w:pPr>
        <w:ind w:left="720" w:hanging="360"/>
      </w:pPr>
      <w:rPr>
        <w:rFonts w:ascii="Symbol" w:hAnsi="Symbol" w:hint="default"/>
      </w:rPr>
    </w:lvl>
    <w:lvl w:ilvl="1" w:tplc="EA020B72">
      <w:numFmt w:val="decimal"/>
      <w:lvlText w:val=""/>
      <w:lvlJc w:val="left"/>
    </w:lvl>
    <w:lvl w:ilvl="2" w:tplc="51A8E93A">
      <w:numFmt w:val="decimal"/>
      <w:lvlText w:val=""/>
      <w:lvlJc w:val="left"/>
    </w:lvl>
    <w:lvl w:ilvl="3" w:tplc="FE5CCD78">
      <w:numFmt w:val="decimal"/>
      <w:lvlText w:val=""/>
      <w:lvlJc w:val="left"/>
    </w:lvl>
    <w:lvl w:ilvl="4" w:tplc="037C2126">
      <w:numFmt w:val="decimal"/>
      <w:lvlText w:val=""/>
      <w:lvlJc w:val="left"/>
    </w:lvl>
    <w:lvl w:ilvl="5" w:tplc="324C02AC">
      <w:numFmt w:val="decimal"/>
      <w:lvlText w:val=""/>
      <w:lvlJc w:val="left"/>
    </w:lvl>
    <w:lvl w:ilvl="6" w:tplc="BC78EBB6">
      <w:numFmt w:val="decimal"/>
      <w:lvlText w:val=""/>
      <w:lvlJc w:val="left"/>
    </w:lvl>
    <w:lvl w:ilvl="7" w:tplc="684209E2">
      <w:numFmt w:val="decimal"/>
      <w:lvlText w:val=""/>
      <w:lvlJc w:val="left"/>
    </w:lvl>
    <w:lvl w:ilvl="8" w:tplc="7214CDF0">
      <w:numFmt w:val="decimal"/>
      <w:lvlText w:val=""/>
      <w:lvlJc w:val="left"/>
    </w:lvl>
  </w:abstractNum>
  <w:abstractNum w:abstractNumId="301" w15:restartNumberingAfterBreak="0">
    <w:nsid w:val="20215A52"/>
    <w:multiLevelType w:val="hybridMultilevel"/>
    <w:tmpl w:val="63E4BA2A"/>
    <w:lvl w:ilvl="0" w:tplc="843EB0B8">
      <w:start w:val="1"/>
      <w:numFmt w:val="bullet"/>
      <w:lvlText w:val=""/>
      <w:lvlJc w:val="left"/>
      <w:pPr>
        <w:ind w:left="720" w:hanging="360"/>
      </w:pPr>
      <w:rPr>
        <w:rFonts w:ascii="Symbol" w:hAnsi="Symbol" w:hint="default"/>
      </w:rPr>
    </w:lvl>
    <w:lvl w:ilvl="1" w:tplc="FA80C8E6">
      <w:numFmt w:val="decimal"/>
      <w:lvlText w:val=""/>
      <w:lvlJc w:val="left"/>
    </w:lvl>
    <w:lvl w:ilvl="2" w:tplc="DB864BF0">
      <w:numFmt w:val="decimal"/>
      <w:lvlText w:val=""/>
      <w:lvlJc w:val="left"/>
    </w:lvl>
    <w:lvl w:ilvl="3" w:tplc="C1D46A3E">
      <w:numFmt w:val="decimal"/>
      <w:lvlText w:val=""/>
      <w:lvlJc w:val="left"/>
    </w:lvl>
    <w:lvl w:ilvl="4" w:tplc="69A08F60">
      <w:numFmt w:val="decimal"/>
      <w:lvlText w:val=""/>
      <w:lvlJc w:val="left"/>
    </w:lvl>
    <w:lvl w:ilvl="5" w:tplc="DB2EFFF4">
      <w:numFmt w:val="decimal"/>
      <w:lvlText w:val=""/>
      <w:lvlJc w:val="left"/>
    </w:lvl>
    <w:lvl w:ilvl="6" w:tplc="DF7422BA">
      <w:numFmt w:val="decimal"/>
      <w:lvlText w:val=""/>
      <w:lvlJc w:val="left"/>
    </w:lvl>
    <w:lvl w:ilvl="7" w:tplc="958E159C">
      <w:numFmt w:val="decimal"/>
      <w:lvlText w:val=""/>
      <w:lvlJc w:val="left"/>
    </w:lvl>
    <w:lvl w:ilvl="8" w:tplc="3E662A9A">
      <w:numFmt w:val="decimal"/>
      <w:lvlText w:val=""/>
      <w:lvlJc w:val="left"/>
    </w:lvl>
  </w:abstractNum>
  <w:abstractNum w:abstractNumId="302" w15:restartNumberingAfterBreak="0">
    <w:nsid w:val="202F5D88"/>
    <w:multiLevelType w:val="hybridMultilevel"/>
    <w:tmpl w:val="C50E37B8"/>
    <w:lvl w:ilvl="0" w:tplc="E384EFE0">
      <w:start w:val="1"/>
      <w:numFmt w:val="bullet"/>
      <w:lvlText w:val=""/>
      <w:lvlJc w:val="left"/>
      <w:pPr>
        <w:ind w:left="720" w:hanging="360"/>
      </w:pPr>
      <w:rPr>
        <w:rFonts w:ascii="Symbol" w:hAnsi="Symbol" w:hint="default"/>
      </w:rPr>
    </w:lvl>
    <w:lvl w:ilvl="1" w:tplc="0BDAEEE4">
      <w:numFmt w:val="decimal"/>
      <w:lvlText w:val=""/>
      <w:lvlJc w:val="left"/>
    </w:lvl>
    <w:lvl w:ilvl="2" w:tplc="54CCA24A">
      <w:numFmt w:val="decimal"/>
      <w:lvlText w:val=""/>
      <w:lvlJc w:val="left"/>
    </w:lvl>
    <w:lvl w:ilvl="3" w:tplc="8A0EDA1C">
      <w:numFmt w:val="decimal"/>
      <w:lvlText w:val=""/>
      <w:lvlJc w:val="left"/>
    </w:lvl>
    <w:lvl w:ilvl="4" w:tplc="0FB86A42">
      <w:numFmt w:val="decimal"/>
      <w:lvlText w:val=""/>
      <w:lvlJc w:val="left"/>
    </w:lvl>
    <w:lvl w:ilvl="5" w:tplc="ED44F97C">
      <w:numFmt w:val="decimal"/>
      <w:lvlText w:val=""/>
      <w:lvlJc w:val="left"/>
    </w:lvl>
    <w:lvl w:ilvl="6" w:tplc="AFF00ACE">
      <w:numFmt w:val="decimal"/>
      <w:lvlText w:val=""/>
      <w:lvlJc w:val="left"/>
    </w:lvl>
    <w:lvl w:ilvl="7" w:tplc="D724308A">
      <w:numFmt w:val="decimal"/>
      <w:lvlText w:val=""/>
      <w:lvlJc w:val="left"/>
    </w:lvl>
    <w:lvl w:ilvl="8" w:tplc="AEF44C0A">
      <w:numFmt w:val="decimal"/>
      <w:lvlText w:val=""/>
      <w:lvlJc w:val="left"/>
    </w:lvl>
  </w:abstractNum>
  <w:abstractNum w:abstractNumId="303" w15:restartNumberingAfterBreak="0">
    <w:nsid w:val="204811B4"/>
    <w:multiLevelType w:val="hybridMultilevel"/>
    <w:tmpl w:val="C36A7230"/>
    <w:lvl w:ilvl="0" w:tplc="FDF64F26">
      <w:start w:val="1"/>
      <w:numFmt w:val="bullet"/>
      <w:lvlText w:val=""/>
      <w:lvlJc w:val="left"/>
      <w:pPr>
        <w:ind w:left="720" w:hanging="360"/>
      </w:pPr>
      <w:rPr>
        <w:rFonts w:ascii="Symbol" w:hAnsi="Symbol" w:hint="default"/>
      </w:rPr>
    </w:lvl>
    <w:lvl w:ilvl="1" w:tplc="F0B6F6F8">
      <w:numFmt w:val="decimal"/>
      <w:lvlText w:val=""/>
      <w:lvlJc w:val="left"/>
    </w:lvl>
    <w:lvl w:ilvl="2" w:tplc="23D295A6">
      <w:numFmt w:val="decimal"/>
      <w:lvlText w:val=""/>
      <w:lvlJc w:val="left"/>
    </w:lvl>
    <w:lvl w:ilvl="3" w:tplc="99A2594E">
      <w:numFmt w:val="decimal"/>
      <w:lvlText w:val=""/>
      <w:lvlJc w:val="left"/>
    </w:lvl>
    <w:lvl w:ilvl="4" w:tplc="70A6F850">
      <w:numFmt w:val="decimal"/>
      <w:lvlText w:val=""/>
      <w:lvlJc w:val="left"/>
    </w:lvl>
    <w:lvl w:ilvl="5" w:tplc="A064C860">
      <w:numFmt w:val="decimal"/>
      <w:lvlText w:val=""/>
      <w:lvlJc w:val="left"/>
    </w:lvl>
    <w:lvl w:ilvl="6" w:tplc="9D34650A">
      <w:numFmt w:val="decimal"/>
      <w:lvlText w:val=""/>
      <w:lvlJc w:val="left"/>
    </w:lvl>
    <w:lvl w:ilvl="7" w:tplc="A5401AF4">
      <w:numFmt w:val="decimal"/>
      <w:lvlText w:val=""/>
      <w:lvlJc w:val="left"/>
    </w:lvl>
    <w:lvl w:ilvl="8" w:tplc="5E58DC30">
      <w:numFmt w:val="decimal"/>
      <w:lvlText w:val=""/>
      <w:lvlJc w:val="left"/>
    </w:lvl>
  </w:abstractNum>
  <w:abstractNum w:abstractNumId="304" w15:restartNumberingAfterBreak="0">
    <w:nsid w:val="206F0798"/>
    <w:multiLevelType w:val="hybridMultilevel"/>
    <w:tmpl w:val="DF161156"/>
    <w:lvl w:ilvl="0" w:tplc="8D964CDA">
      <w:start w:val="1"/>
      <w:numFmt w:val="bullet"/>
      <w:lvlText w:val=""/>
      <w:lvlJc w:val="left"/>
      <w:pPr>
        <w:ind w:left="720" w:hanging="360"/>
      </w:pPr>
      <w:rPr>
        <w:rFonts w:ascii="Symbol" w:hAnsi="Symbol" w:hint="default"/>
      </w:rPr>
    </w:lvl>
    <w:lvl w:ilvl="1" w:tplc="A5DA233C">
      <w:numFmt w:val="decimal"/>
      <w:lvlText w:val=""/>
      <w:lvlJc w:val="left"/>
    </w:lvl>
    <w:lvl w:ilvl="2" w:tplc="099E4DBA">
      <w:numFmt w:val="decimal"/>
      <w:lvlText w:val=""/>
      <w:lvlJc w:val="left"/>
    </w:lvl>
    <w:lvl w:ilvl="3" w:tplc="67CC7596">
      <w:numFmt w:val="decimal"/>
      <w:lvlText w:val=""/>
      <w:lvlJc w:val="left"/>
    </w:lvl>
    <w:lvl w:ilvl="4" w:tplc="687495C0">
      <w:numFmt w:val="decimal"/>
      <w:lvlText w:val=""/>
      <w:lvlJc w:val="left"/>
    </w:lvl>
    <w:lvl w:ilvl="5" w:tplc="67440930">
      <w:numFmt w:val="decimal"/>
      <w:lvlText w:val=""/>
      <w:lvlJc w:val="left"/>
    </w:lvl>
    <w:lvl w:ilvl="6" w:tplc="D3C82456">
      <w:numFmt w:val="decimal"/>
      <w:lvlText w:val=""/>
      <w:lvlJc w:val="left"/>
    </w:lvl>
    <w:lvl w:ilvl="7" w:tplc="3A70547A">
      <w:numFmt w:val="decimal"/>
      <w:lvlText w:val=""/>
      <w:lvlJc w:val="left"/>
    </w:lvl>
    <w:lvl w:ilvl="8" w:tplc="54A83CA2">
      <w:numFmt w:val="decimal"/>
      <w:lvlText w:val=""/>
      <w:lvlJc w:val="left"/>
    </w:lvl>
  </w:abstractNum>
  <w:abstractNum w:abstractNumId="305" w15:restartNumberingAfterBreak="0">
    <w:nsid w:val="207155DE"/>
    <w:multiLevelType w:val="hybridMultilevel"/>
    <w:tmpl w:val="BC209018"/>
    <w:lvl w:ilvl="0" w:tplc="96BADD56">
      <w:start w:val="1"/>
      <w:numFmt w:val="bullet"/>
      <w:lvlText w:val=""/>
      <w:lvlJc w:val="left"/>
      <w:pPr>
        <w:ind w:left="720" w:hanging="360"/>
      </w:pPr>
      <w:rPr>
        <w:rFonts w:ascii="Symbol" w:hAnsi="Symbol" w:hint="default"/>
      </w:rPr>
    </w:lvl>
    <w:lvl w:ilvl="1" w:tplc="A5D2DD88">
      <w:numFmt w:val="decimal"/>
      <w:lvlText w:val=""/>
      <w:lvlJc w:val="left"/>
    </w:lvl>
    <w:lvl w:ilvl="2" w:tplc="3092D378">
      <w:numFmt w:val="decimal"/>
      <w:lvlText w:val=""/>
      <w:lvlJc w:val="left"/>
    </w:lvl>
    <w:lvl w:ilvl="3" w:tplc="3A2E755A">
      <w:numFmt w:val="decimal"/>
      <w:lvlText w:val=""/>
      <w:lvlJc w:val="left"/>
    </w:lvl>
    <w:lvl w:ilvl="4" w:tplc="8AFA1E56">
      <w:numFmt w:val="decimal"/>
      <w:lvlText w:val=""/>
      <w:lvlJc w:val="left"/>
    </w:lvl>
    <w:lvl w:ilvl="5" w:tplc="17DEEE32">
      <w:numFmt w:val="decimal"/>
      <w:lvlText w:val=""/>
      <w:lvlJc w:val="left"/>
    </w:lvl>
    <w:lvl w:ilvl="6" w:tplc="B378B646">
      <w:numFmt w:val="decimal"/>
      <w:lvlText w:val=""/>
      <w:lvlJc w:val="left"/>
    </w:lvl>
    <w:lvl w:ilvl="7" w:tplc="3022D83A">
      <w:numFmt w:val="decimal"/>
      <w:lvlText w:val=""/>
      <w:lvlJc w:val="left"/>
    </w:lvl>
    <w:lvl w:ilvl="8" w:tplc="B214276C">
      <w:numFmt w:val="decimal"/>
      <w:lvlText w:val=""/>
      <w:lvlJc w:val="left"/>
    </w:lvl>
  </w:abstractNum>
  <w:abstractNum w:abstractNumId="306" w15:restartNumberingAfterBreak="0">
    <w:nsid w:val="208536DF"/>
    <w:multiLevelType w:val="hybridMultilevel"/>
    <w:tmpl w:val="6C9E5B0A"/>
    <w:lvl w:ilvl="0" w:tplc="ECF4EDF6">
      <w:start w:val="1"/>
      <w:numFmt w:val="bullet"/>
      <w:lvlText w:val=""/>
      <w:lvlJc w:val="left"/>
      <w:pPr>
        <w:ind w:left="720" w:hanging="360"/>
      </w:pPr>
      <w:rPr>
        <w:rFonts w:ascii="Symbol" w:hAnsi="Symbol" w:hint="default"/>
      </w:rPr>
    </w:lvl>
    <w:lvl w:ilvl="1" w:tplc="BE60ED4E">
      <w:numFmt w:val="decimal"/>
      <w:lvlText w:val=""/>
      <w:lvlJc w:val="left"/>
    </w:lvl>
    <w:lvl w:ilvl="2" w:tplc="922876E2">
      <w:numFmt w:val="decimal"/>
      <w:lvlText w:val=""/>
      <w:lvlJc w:val="left"/>
    </w:lvl>
    <w:lvl w:ilvl="3" w:tplc="41409D9E">
      <w:numFmt w:val="decimal"/>
      <w:lvlText w:val=""/>
      <w:lvlJc w:val="left"/>
    </w:lvl>
    <w:lvl w:ilvl="4" w:tplc="5CCEC28A">
      <w:numFmt w:val="decimal"/>
      <w:lvlText w:val=""/>
      <w:lvlJc w:val="left"/>
    </w:lvl>
    <w:lvl w:ilvl="5" w:tplc="C436FF3A">
      <w:numFmt w:val="decimal"/>
      <w:lvlText w:val=""/>
      <w:lvlJc w:val="left"/>
    </w:lvl>
    <w:lvl w:ilvl="6" w:tplc="FD0E9176">
      <w:numFmt w:val="decimal"/>
      <w:lvlText w:val=""/>
      <w:lvlJc w:val="left"/>
    </w:lvl>
    <w:lvl w:ilvl="7" w:tplc="C914A7AC">
      <w:numFmt w:val="decimal"/>
      <w:lvlText w:val=""/>
      <w:lvlJc w:val="left"/>
    </w:lvl>
    <w:lvl w:ilvl="8" w:tplc="195A037E">
      <w:numFmt w:val="decimal"/>
      <w:lvlText w:val=""/>
      <w:lvlJc w:val="left"/>
    </w:lvl>
  </w:abstractNum>
  <w:abstractNum w:abstractNumId="307" w15:restartNumberingAfterBreak="0">
    <w:nsid w:val="20B873A7"/>
    <w:multiLevelType w:val="hybridMultilevel"/>
    <w:tmpl w:val="47D87AB0"/>
    <w:lvl w:ilvl="0" w:tplc="26CCD160">
      <w:start w:val="1"/>
      <w:numFmt w:val="bullet"/>
      <w:lvlText w:val=""/>
      <w:lvlJc w:val="left"/>
      <w:pPr>
        <w:ind w:left="720" w:hanging="360"/>
      </w:pPr>
      <w:rPr>
        <w:rFonts w:ascii="Symbol" w:hAnsi="Symbol" w:hint="default"/>
      </w:rPr>
    </w:lvl>
    <w:lvl w:ilvl="1" w:tplc="F8020140">
      <w:numFmt w:val="decimal"/>
      <w:lvlText w:val=""/>
      <w:lvlJc w:val="left"/>
    </w:lvl>
    <w:lvl w:ilvl="2" w:tplc="5504F220">
      <w:numFmt w:val="decimal"/>
      <w:lvlText w:val=""/>
      <w:lvlJc w:val="left"/>
    </w:lvl>
    <w:lvl w:ilvl="3" w:tplc="36B40C34">
      <w:numFmt w:val="decimal"/>
      <w:lvlText w:val=""/>
      <w:lvlJc w:val="left"/>
    </w:lvl>
    <w:lvl w:ilvl="4" w:tplc="7AC2CAD0">
      <w:numFmt w:val="decimal"/>
      <w:lvlText w:val=""/>
      <w:lvlJc w:val="left"/>
    </w:lvl>
    <w:lvl w:ilvl="5" w:tplc="2C0AFC20">
      <w:numFmt w:val="decimal"/>
      <w:lvlText w:val=""/>
      <w:lvlJc w:val="left"/>
    </w:lvl>
    <w:lvl w:ilvl="6" w:tplc="EEEA1CF0">
      <w:numFmt w:val="decimal"/>
      <w:lvlText w:val=""/>
      <w:lvlJc w:val="left"/>
    </w:lvl>
    <w:lvl w:ilvl="7" w:tplc="7BD658D6">
      <w:numFmt w:val="decimal"/>
      <w:lvlText w:val=""/>
      <w:lvlJc w:val="left"/>
    </w:lvl>
    <w:lvl w:ilvl="8" w:tplc="90F0DD82">
      <w:numFmt w:val="decimal"/>
      <w:lvlText w:val=""/>
      <w:lvlJc w:val="left"/>
    </w:lvl>
  </w:abstractNum>
  <w:abstractNum w:abstractNumId="308" w15:restartNumberingAfterBreak="0">
    <w:nsid w:val="215B4A35"/>
    <w:multiLevelType w:val="hybridMultilevel"/>
    <w:tmpl w:val="102CD628"/>
    <w:lvl w:ilvl="0" w:tplc="71C6518E">
      <w:start w:val="1"/>
      <w:numFmt w:val="bullet"/>
      <w:lvlText w:val=""/>
      <w:lvlJc w:val="left"/>
      <w:pPr>
        <w:ind w:left="720" w:hanging="360"/>
      </w:pPr>
      <w:rPr>
        <w:rFonts w:ascii="Symbol" w:hAnsi="Symbol" w:hint="default"/>
      </w:rPr>
    </w:lvl>
    <w:lvl w:ilvl="1" w:tplc="44C6C0F0">
      <w:numFmt w:val="decimal"/>
      <w:lvlText w:val=""/>
      <w:lvlJc w:val="left"/>
    </w:lvl>
    <w:lvl w:ilvl="2" w:tplc="529A3412">
      <w:numFmt w:val="decimal"/>
      <w:lvlText w:val=""/>
      <w:lvlJc w:val="left"/>
    </w:lvl>
    <w:lvl w:ilvl="3" w:tplc="1DF8306C">
      <w:numFmt w:val="decimal"/>
      <w:lvlText w:val=""/>
      <w:lvlJc w:val="left"/>
    </w:lvl>
    <w:lvl w:ilvl="4" w:tplc="23EA337E">
      <w:numFmt w:val="decimal"/>
      <w:lvlText w:val=""/>
      <w:lvlJc w:val="left"/>
    </w:lvl>
    <w:lvl w:ilvl="5" w:tplc="D6922C20">
      <w:numFmt w:val="decimal"/>
      <w:lvlText w:val=""/>
      <w:lvlJc w:val="left"/>
    </w:lvl>
    <w:lvl w:ilvl="6" w:tplc="56C06A14">
      <w:numFmt w:val="decimal"/>
      <w:lvlText w:val=""/>
      <w:lvlJc w:val="left"/>
    </w:lvl>
    <w:lvl w:ilvl="7" w:tplc="E26CEE94">
      <w:numFmt w:val="decimal"/>
      <w:lvlText w:val=""/>
      <w:lvlJc w:val="left"/>
    </w:lvl>
    <w:lvl w:ilvl="8" w:tplc="5876FEF8">
      <w:numFmt w:val="decimal"/>
      <w:lvlText w:val=""/>
      <w:lvlJc w:val="left"/>
    </w:lvl>
  </w:abstractNum>
  <w:abstractNum w:abstractNumId="309" w15:restartNumberingAfterBreak="0">
    <w:nsid w:val="216139CB"/>
    <w:multiLevelType w:val="hybridMultilevel"/>
    <w:tmpl w:val="C26889DE"/>
    <w:lvl w:ilvl="0" w:tplc="9BFC8626">
      <w:start w:val="1"/>
      <w:numFmt w:val="bullet"/>
      <w:lvlText w:val=""/>
      <w:lvlJc w:val="left"/>
      <w:pPr>
        <w:ind w:left="720" w:hanging="360"/>
      </w:pPr>
      <w:rPr>
        <w:rFonts w:ascii="Symbol" w:hAnsi="Symbol" w:hint="default"/>
      </w:rPr>
    </w:lvl>
    <w:lvl w:ilvl="1" w:tplc="EC7CE76C">
      <w:numFmt w:val="decimal"/>
      <w:lvlText w:val=""/>
      <w:lvlJc w:val="left"/>
    </w:lvl>
    <w:lvl w:ilvl="2" w:tplc="D40C8006">
      <w:numFmt w:val="decimal"/>
      <w:lvlText w:val=""/>
      <w:lvlJc w:val="left"/>
    </w:lvl>
    <w:lvl w:ilvl="3" w:tplc="DB725D4C">
      <w:numFmt w:val="decimal"/>
      <w:lvlText w:val=""/>
      <w:lvlJc w:val="left"/>
    </w:lvl>
    <w:lvl w:ilvl="4" w:tplc="928EDE02">
      <w:numFmt w:val="decimal"/>
      <w:lvlText w:val=""/>
      <w:lvlJc w:val="left"/>
    </w:lvl>
    <w:lvl w:ilvl="5" w:tplc="6FD603CE">
      <w:numFmt w:val="decimal"/>
      <w:lvlText w:val=""/>
      <w:lvlJc w:val="left"/>
    </w:lvl>
    <w:lvl w:ilvl="6" w:tplc="6024D692">
      <w:numFmt w:val="decimal"/>
      <w:lvlText w:val=""/>
      <w:lvlJc w:val="left"/>
    </w:lvl>
    <w:lvl w:ilvl="7" w:tplc="4E72CA38">
      <w:numFmt w:val="decimal"/>
      <w:lvlText w:val=""/>
      <w:lvlJc w:val="left"/>
    </w:lvl>
    <w:lvl w:ilvl="8" w:tplc="7C6A8838">
      <w:numFmt w:val="decimal"/>
      <w:lvlText w:val=""/>
      <w:lvlJc w:val="left"/>
    </w:lvl>
  </w:abstractNum>
  <w:abstractNum w:abstractNumId="310" w15:restartNumberingAfterBreak="0">
    <w:nsid w:val="216150FE"/>
    <w:multiLevelType w:val="hybridMultilevel"/>
    <w:tmpl w:val="C4CC3F56"/>
    <w:lvl w:ilvl="0" w:tplc="46E2C048">
      <w:start w:val="1"/>
      <w:numFmt w:val="bullet"/>
      <w:lvlText w:val=""/>
      <w:lvlJc w:val="left"/>
      <w:pPr>
        <w:ind w:left="720" w:hanging="360"/>
      </w:pPr>
      <w:rPr>
        <w:rFonts w:ascii="Symbol" w:hAnsi="Symbol" w:hint="default"/>
      </w:rPr>
    </w:lvl>
    <w:lvl w:ilvl="1" w:tplc="1FC42B32">
      <w:numFmt w:val="decimal"/>
      <w:lvlText w:val=""/>
      <w:lvlJc w:val="left"/>
    </w:lvl>
    <w:lvl w:ilvl="2" w:tplc="9C8E8BCA">
      <w:numFmt w:val="decimal"/>
      <w:lvlText w:val=""/>
      <w:lvlJc w:val="left"/>
    </w:lvl>
    <w:lvl w:ilvl="3" w:tplc="4E66371E">
      <w:numFmt w:val="decimal"/>
      <w:lvlText w:val=""/>
      <w:lvlJc w:val="left"/>
    </w:lvl>
    <w:lvl w:ilvl="4" w:tplc="D5DA9910">
      <w:numFmt w:val="decimal"/>
      <w:lvlText w:val=""/>
      <w:lvlJc w:val="left"/>
    </w:lvl>
    <w:lvl w:ilvl="5" w:tplc="7AD606DA">
      <w:numFmt w:val="decimal"/>
      <w:lvlText w:val=""/>
      <w:lvlJc w:val="left"/>
    </w:lvl>
    <w:lvl w:ilvl="6" w:tplc="25C67338">
      <w:numFmt w:val="decimal"/>
      <w:lvlText w:val=""/>
      <w:lvlJc w:val="left"/>
    </w:lvl>
    <w:lvl w:ilvl="7" w:tplc="83FCBF74">
      <w:numFmt w:val="decimal"/>
      <w:lvlText w:val=""/>
      <w:lvlJc w:val="left"/>
    </w:lvl>
    <w:lvl w:ilvl="8" w:tplc="42F0825A">
      <w:numFmt w:val="decimal"/>
      <w:lvlText w:val=""/>
      <w:lvlJc w:val="left"/>
    </w:lvl>
  </w:abstractNum>
  <w:abstractNum w:abstractNumId="311" w15:restartNumberingAfterBreak="0">
    <w:nsid w:val="217B1FA4"/>
    <w:multiLevelType w:val="hybridMultilevel"/>
    <w:tmpl w:val="3C9A6ECA"/>
    <w:lvl w:ilvl="0" w:tplc="D21287BC">
      <w:start w:val="1"/>
      <w:numFmt w:val="bullet"/>
      <w:lvlText w:val=""/>
      <w:lvlJc w:val="left"/>
      <w:pPr>
        <w:ind w:left="720" w:hanging="360"/>
      </w:pPr>
      <w:rPr>
        <w:rFonts w:ascii="Symbol" w:hAnsi="Symbol" w:hint="default"/>
      </w:rPr>
    </w:lvl>
    <w:lvl w:ilvl="1" w:tplc="C1487826">
      <w:numFmt w:val="decimal"/>
      <w:lvlText w:val=""/>
      <w:lvlJc w:val="left"/>
    </w:lvl>
    <w:lvl w:ilvl="2" w:tplc="DA8A6A32">
      <w:numFmt w:val="decimal"/>
      <w:lvlText w:val=""/>
      <w:lvlJc w:val="left"/>
    </w:lvl>
    <w:lvl w:ilvl="3" w:tplc="75BC4FD8">
      <w:numFmt w:val="decimal"/>
      <w:lvlText w:val=""/>
      <w:lvlJc w:val="left"/>
    </w:lvl>
    <w:lvl w:ilvl="4" w:tplc="A2A86ED4">
      <w:numFmt w:val="decimal"/>
      <w:lvlText w:val=""/>
      <w:lvlJc w:val="left"/>
    </w:lvl>
    <w:lvl w:ilvl="5" w:tplc="3384A6A6">
      <w:numFmt w:val="decimal"/>
      <w:lvlText w:val=""/>
      <w:lvlJc w:val="left"/>
    </w:lvl>
    <w:lvl w:ilvl="6" w:tplc="BA8C113A">
      <w:numFmt w:val="decimal"/>
      <w:lvlText w:val=""/>
      <w:lvlJc w:val="left"/>
    </w:lvl>
    <w:lvl w:ilvl="7" w:tplc="297CFBE2">
      <w:numFmt w:val="decimal"/>
      <w:lvlText w:val=""/>
      <w:lvlJc w:val="left"/>
    </w:lvl>
    <w:lvl w:ilvl="8" w:tplc="AE22D3C2">
      <w:numFmt w:val="decimal"/>
      <w:lvlText w:val=""/>
      <w:lvlJc w:val="left"/>
    </w:lvl>
  </w:abstractNum>
  <w:abstractNum w:abstractNumId="312" w15:restartNumberingAfterBreak="0">
    <w:nsid w:val="219E690E"/>
    <w:multiLevelType w:val="hybridMultilevel"/>
    <w:tmpl w:val="315C272C"/>
    <w:lvl w:ilvl="0" w:tplc="370EA01E">
      <w:start w:val="1"/>
      <w:numFmt w:val="bullet"/>
      <w:lvlText w:val=""/>
      <w:lvlJc w:val="left"/>
      <w:pPr>
        <w:ind w:left="720" w:hanging="360"/>
      </w:pPr>
      <w:rPr>
        <w:rFonts w:ascii="Symbol" w:hAnsi="Symbol" w:hint="default"/>
      </w:rPr>
    </w:lvl>
    <w:lvl w:ilvl="1" w:tplc="150E0914">
      <w:numFmt w:val="decimal"/>
      <w:lvlText w:val=""/>
      <w:lvlJc w:val="left"/>
    </w:lvl>
    <w:lvl w:ilvl="2" w:tplc="835E0AB4">
      <w:numFmt w:val="decimal"/>
      <w:lvlText w:val=""/>
      <w:lvlJc w:val="left"/>
    </w:lvl>
    <w:lvl w:ilvl="3" w:tplc="01BA7C5E">
      <w:numFmt w:val="decimal"/>
      <w:lvlText w:val=""/>
      <w:lvlJc w:val="left"/>
    </w:lvl>
    <w:lvl w:ilvl="4" w:tplc="AC9A2FEC">
      <w:numFmt w:val="decimal"/>
      <w:lvlText w:val=""/>
      <w:lvlJc w:val="left"/>
    </w:lvl>
    <w:lvl w:ilvl="5" w:tplc="C9B25268">
      <w:numFmt w:val="decimal"/>
      <w:lvlText w:val=""/>
      <w:lvlJc w:val="left"/>
    </w:lvl>
    <w:lvl w:ilvl="6" w:tplc="CB680388">
      <w:numFmt w:val="decimal"/>
      <w:lvlText w:val=""/>
      <w:lvlJc w:val="left"/>
    </w:lvl>
    <w:lvl w:ilvl="7" w:tplc="E67E1D60">
      <w:numFmt w:val="decimal"/>
      <w:lvlText w:val=""/>
      <w:lvlJc w:val="left"/>
    </w:lvl>
    <w:lvl w:ilvl="8" w:tplc="60AADA20">
      <w:numFmt w:val="decimal"/>
      <w:lvlText w:val=""/>
      <w:lvlJc w:val="left"/>
    </w:lvl>
  </w:abstractNum>
  <w:abstractNum w:abstractNumId="313" w15:restartNumberingAfterBreak="0">
    <w:nsid w:val="219E6DA8"/>
    <w:multiLevelType w:val="hybridMultilevel"/>
    <w:tmpl w:val="09323A1A"/>
    <w:lvl w:ilvl="0" w:tplc="563EF16C">
      <w:start w:val="1"/>
      <w:numFmt w:val="bullet"/>
      <w:lvlText w:val=""/>
      <w:lvlJc w:val="left"/>
      <w:pPr>
        <w:ind w:left="720" w:hanging="360"/>
      </w:pPr>
      <w:rPr>
        <w:rFonts w:ascii="Symbol" w:hAnsi="Symbol" w:hint="default"/>
      </w:rPr>
    </w:lvl>
    <w:lvl w:ilvl="1" w:tplc="5CA0C670">
      <w:numFmt w:val="decimal"/>
      <w:lvlText w:val=""/>
      <w:lvlJc w:val="left"/>
    </w:lvl>
    <w:lvl w:ilvl="2" w:tplc="2FAEAD46">
      <w:numFmt w:val="decimal"/>
      <w:lvlText w:val=""/>
      <w:lvlJc w:val="left"/>
    </w:lvl>
    <w:lvl w:ilvl="3" w:tplc="D4FED01C">
      <w:numFmt w:val="decimal"/>
      <w:lvlText w:val=""/>
      <w:lvlJc w:val="left"/>
    </w:lvl>
    <w:lvl w:ilvl="4" w:tplc="3B3CCAB0">
      <w:numFmt w:val="decimal"/>
      <w:lvlText w:val=""/>
      <w:lvlJc w:val="left"/>
    </w:lvl>
    <w:lvl w:ilvl="5" w:tplc="383EF92E">
      <w:numFmt w:val="decimal"/>
      <w:lvlText w:val=""/>
      <w:lvlJc w:val="left"/>
    </w:lvl>
    <w:lvl w:ilvl="6" w:tplc="DE84F9F6">
      <w:numFmt w:val="decimal"/>
      <w:lvlText w:val=""/>
      <w:lvlJc w:val="left"/>
    </w:lvl>
    <w:lvl w:ilvl="7" w:tplc="DF14B4AA">
      <w:numFmt w:val="decimal"/>
      <w:lvlText w:val=""/>
      <w:lvlJc w:val="left"/>
    </w:lvl>
    <w:lvl w:ilvl="8" w:tplc="5B6EE118">
      <w:numFmt w:val="decimal"/>
      <w:lvlText w:val=""/>
      <w:lvlJc w:val="left"/>
    </w:lvl>
  </w:abstractNum>
  <w:abstractNum w:abstractNumId="314" w15:restartNumberingAfterBreak="0">
    <w:nsid w:val="21D232C4"/>
    <w:multiLevelType w:val="hybridMultilevel"/>
    <w:tmpl w:val="6D2C8ADC"/>
    <w:lvl w:ilvl="0" w:tplc="86A6F84C">
      <w:numFmt w:val="decimal"/>
      <w:lvlText w:val=""/>
      <w:lvlJc w:val="left"/>
    </w:lvl>
    <w:lvl w:ilvl="1" w:tplc="0136B558">
      <w:numFmt w:val="decimal"/>
      <w:lvlText w:val=""/>
      <w:lvlJc w:val="left"/>
    </w:lvl>
    <w:lvl w:ilvl="2" w:tplc="7EF63BD2">
      <w:start w:val="1"/>
      <w:numFmt w:val="bullet"/>
      <w:lvlText w:val=""/>
      <w:lvlJc w:val="left"/>
      <w:pPr>
        <w:ind w:left="2160" w:hanging="360"/>
      </w:pPr>
      <w:rPr>
        <w:rFonts w:ascii="Symbol" w:hAnsi="Symbol" w:hint="default"/>
      </w:rPr>
    </w:lvl>
    <w:lvl w:ilvl="3" w:tplc="4D2CF5B8">
      <w:numFmt w:val="decimal"/>
      <w:lvlText w:val=""/>
      <w:lvlJc w:val="left"/>
    </w:lvl>
    <w:lvl w:ilvl="4" w:tplc="205CCBDA">
      <w:numFmt w:val="decimal"/>
      <w:lvlText w:val=""/>
      <w:lvlJc w:val="left"/>
    </w:lvl>
    <w:lvl w:ilvl="5" w:tplc="E3EEE12E">
      <w:numFmt w:val="decimal"/>
      <w:lvlText w:val=""/>
      <w:lvlJc w:val="left"/>
    </w:lvl>
    <w:lvl w:ilvl="6" w:tplc="33EA11E8">
      <w:numFmt w:val="decimal"/>
      <w:lvlText w:val=""/>
      <w:lvlJc w:val="left"/>
    </w:lvl>
    <w:lvl w:ilvl="7" w:tplc="53D0E2E0">
      <w:numFmt w:val="decimal"/>
      <w:lvlText w:val=""/>
      <w:lvlJc w:val="left"/>
    </w:lvl>
    <w:lvl w:ilvl="8" w:tplc="3F4E111A">
      <w:numFmt w:val="decimal"/>
      <w:lvlText w:val=""/>
      <w:lvlJc w:val="left"/>
    </w:lvl>
  </w:abstractNum>
  <w:abstractNum w:abstractNumId="315" w15:restartNumberingAfterBreak="0">
    <w:nsid w:val="21EA4A87"/>
    <w:multiLevelType w:val="hybridMultilevel"/>
    <w:tmpl w:val="DA824E34"/>
    <w:lvl w:ilvl="0" w:tplc="B7E8C73C">
      <w:start w:val="1"/>
      <w:numFmt w:val="bullet"/>
      <w:lvlText w:val=""/>
      <w:lvlJc w:val="left"/>
      <w:pPr>
        <w:ind w:left="720" w:hanging="360"/>
      </w:pPr>
      <w:rPr>
        <w:rFonts w:ascii="Symbol" w:hAnsi="Symbol" w:hint="default"/>
      </w:rPr>
    </w:lvl>
    <w:lvl w:ilvl="1" w:tplc="F5C63468">
      <w:numFmt w:val="decimal"/>
      <w:lvlText w:val=""/>
      <w:lvlJc w:val="left"/>
    </w:lvl>
    <w:lvl w:ilvl="2" w:tplc="D91CCAB6">
      <w:numFmt w:val="decimal"/>
      <w:lvlText w:val=""/>
      <w:lvlJc w:val="left"/>
    </w:lvl>
    <w:lvl w:ilvl="3" w:tplc="4614C868">
      <w:numFmt w:val="decimal"/>
      <w:lvlText w:val=""/>
      <w:lvlJc w:val="left"/>
    </w:lvl>
    <w:lvl w:ilvl="4" w:tplc="B8C2800E">
      <w:numFmt w:val="decimal"/>
      <w:lvlText w:val=""/>
      <w:lvlJc w:val="left"/>
    </w:lvl>
    <w:lvl w:ilvl="5" w:tplc="36025D22">
      <w:numFmt w:val="decimal"/>
      <w:lvlText w:val=""/>
      <w:lvlJc w:val="left"/>
    </w:lvl>
    <w:lvl w:ilvl="6" w:tplc="3896319C">
      <w:numFmt w:val="decimal"/>
      <w:lvlText w:val=""/>
      <w:lvlJc w:val="left"/>
    </w:lvl>
    <w:lvl w:ilvl="7" w:tplc="89ACF434">
      <w:numFmt w:val="decimal"/>
      <w:lvlText w:val=""/>
      <w:lvlJc w:val="left"/>
    </w:lvl>
    <w:lvl w:ilvl="8" w:tplc="FECEF3E2">
      <w:numFmt w:val="decimal"/>
      <w:lvlText w:val=""/>
      <w:lvlJc w:val="left"/>
    </w:lvl>
  </w:abstractNum>
  <w:abstractNum w:abstractNumId="316" w15:restartNumberingAfterBreak="0">
    <w:nsid w:val="222D4FDF"/>
    <w:multiLevelType w:val="hybridMultilevel"/>
    <w:tmpl w:val="CAD61070"/>
    <w:lvl w:ilvl="0" w:tplc="0890EF38">
      <w:start w:val="1"/>
      <w:numFmt w:val="bullet"/>
      <w:lvlText w:val=""/>
      <w:lvlJc w:val="left"/>
      <w:pPr>
        <w:ind w:left="720" w:hanging="360"/>
      </w:pPr>
      <w:rPr>
        <w:rFonts w:ascii="Symbol" w:hAnsi="Symbol" w:hint="default"/>
      </w:rPr>
    </w:lvl>
    <w:lvl w:ilvl="1" w:tplc="D7A80860">
      <w:numFmt w:val="decimal"/>
      <w:lvlText w:val=""/>
      <w:lvlJc w:val="left"/>
    </w:lvl>
    <w:lvl w:ilvl="2" w:tplc="92068598">
      <w:numFmt w:val="decimal"/>
      <w:lvlText w:val=""/>
      <w:lvlJc w:val="left"/>
    </w:lvl>
    <w:lvl w:ilvl="3" w:tplc="B5A61284">
      <w:numFmt w:val="decimal"/>
      <w:lvlText w:val=""/>
      <w:lvlJc w:val="left"/>
    </w:lvl>
    <w:lvl w:ilvl="4" w:tplc="D63A0CA4">
      <w:numFmt w:val="decimal"/>
      <w:lvlText w:val=""/>
      <w:lvlJc w:val="left"/>
    </w:lvl>
    <w:lvl w:ilvl="5" w:tplc="4A34230A">
      <w:numFmt w:val="decimal"/>
      <w:lvlText w:val=""/>
      <w:lvlJc w:val="left"/>
    </w:lvl>
    <w:lvl w:ilvl="6" w:tplc="77C67F36">
      <w:numFmt w:val="decimal"/>
      <w:lvlText w:val=""/>
      <w:lvlJc w:val="left"/>
    </w:lvl>
    <w:lvl w:ilvl="7" w:tplc="D632C854">
      <w:numFmt w:val="decimal"/>
      <w:lvlText w:val=""/>
      <w:lvlJc w:val="left"/>
    </w:lvl>
    <w:lvl w:ilvl="8" w:tplc="D27C66A6">
      <w:numFmt w:val="decimal"/>
      <w:lvlText w:val=""/>
      <w:lvlJc w:val="left"/>
    </w:lvl>
  </w:abstractNum>
  <w:abstractNum w:abstractNumId="317" w15:restartNumberingAfterBreak="0">
    <w:nsid w:val="22677B3B"/>
    <w:multiLevelType w:val="hybridMultilevel"/>
    <w:tmpl w:val="9ABC8EFE"/>
    <w:lvl w:ilvl="0" w:tplc="098EF322">
      <w:start w:val="1"/>
      <w:numFmt w:val="bullet"/>
      <w:lvlText w:val=""/>
      <w:lvlJc w:val="left"/>
      <w:pPr>
        <w:ind w:left="720" w:hanging="360"/>
      </w:pPr>
      <w:rPr>
        <w:rFonts w:ascii="Symbol" w:hAnsi="Symbol" w:hint="default"/>
      </w:rPr>
    </w:lvl>
    <w:lvl w:ilvl="1" w:tplc="192E565E">
      <w:numFmt w:val="decimal"/>
      <w:lvlText w:val=""/>
      <w:lvlJc w:val="left"/>
    </w:lvl>
    <w:lvl w:ilvl="2" w:tplc="DFAA1E9A">
      <w:numFmt w:val="decimal"/>
      <w:lvlText w:val=""/>
      <w:lvlJc w:val="left"/>
    </w:lvl>
    <w:lvl w:ilvl="3" w:tplc="7D522FBA">
      <w:numFmt w:val="decimal"/>
      <w:lvlText w:val=""/>
      <w:lvlJc w:val="left"/>
    </w:lvl>
    <w:lvl w:ilvl="4" w:tplc="71869146">
      <w:numFmt w:val="decimal"/>
      <w:lvlText w:val=""/>
      <w:lvlJc w:val="left"/>
    </w:lvl>
    <w:lvl w:ilvl="5" w:tplc="A69429BC">
      <w:numFmt w:val="decimal"/>
      <w:lvlText w:val=""/>
      <w:lvlJc w:val="left"/>
    </w:lvl>
    <w:lvl w:ilvl="6" w:tplc="8BDAAD26">
      <w:numFmt w:val="decimal"/>
      <w:lvlText w:val=""/>
      <w:lvlJc w:val="left"/>
    </w:lvl>
    <w:lvl w:ilvl="7" w:tplc="F79A6FCA">
      <w:numFmt w:val="decimal"/>
      <w:lvlText w:val=""/>
      <w:lvlJc w:val="left"/>
    </w:lvl>
    <w:lvl w:ilvl="8" w:tplc="2FCAB6C0">
      <w:numFmt w:val="decimal"/>
      <w:lvlText w:val=""/>
      <w:lvlJc w:val="left"/>
    </w:lvl>
  </w:abstractNum>
  <w:abstractNum w:abstractNumId="318" w15:restartNumberingAfterBreak="0">
    <w:nsid w:val="226F223B"/>
    <w:multiLevelType w:val="hybridMultilevel"/>
    <w:tmpl w:val="F9D297D8"/>
    <w:lvl w:ilvl="0" w:tplc="E8B63D28">
      <w:start w:val="1"/>
      <w:numFmt w:val="bullet"/>
      <w:lvlText w:val=""/>
      <w:lvlJc w:val="left"/>
      <w:pPr>
        <w:ind w:left="720" w:hanging="360"/>
      </w:pPr>
      <w:rPr>
        <w:rFonts w:ascii="Symbol" w:hAnsi="Symbol" w:hint="default"/>
      </w:rPr>
    </w:lvl>
    <w:lvl w:ilvl="1" w:tplc="B2B2F97E">
      <w:numFmt w:val="decimal"/>
      <w:lvlText w:val=""/>
      <w:lvlJc w:val="left"/>
    </w:lvl>
    <w:lvl w:ilvl="2" w:tplc="023E8142">
      <w:numFmt w:val="decimal"/>
      <w:lvlText w:val=""/>
      <w:lvlJc w:val="left"/>
    </w:lvl>
    <w:lvl w:ilvl="3" w:tplc="4F08750A">
      <w:numFmt w:val="decimal"/>
      <w:lvlText w:val=""/>
      <w:lvlJc w:val="left"/>
    </w:lvl>
    <w:lvl w:ilvl="4" w:tplc="98822A36">
      <w:numFmt w:val="decimal"/>
      <w:lvlText w:val=""/>
      <w:lvlJc w:val="left"/>
    </w:lvl>
    <w:lvl w:ilvl="5" w:tplc="A86836F2">
      <w:numFmt w:val="decimal"/>
      <w:lvlText w:val=""/>
      <w:lvlJc w:val="left"/>
    </w:lvl>
    <w:lvl w:ilvl="6" w:tplc="63E6D74C">
      <w:numFmt w:val="decimal"/>
      <w:lvlText w:val=""/>
      <w:lvlJc w:val="left"/>
    </w:lvl>
    <w:lvl w:ilvl="7" w:tplc="1EAAB896">
      <w:numFmt w:val="decimal"/>
      <w:lvlText w:val=""/>
      <w:lvlJc w:val="left"/>
    </w:lvl>
    <w:lvl w:ilvl="8" w:tplc="DF8A4F64">
      <w:numFmt w:val="decimal"/>
      <w:lvlText w:val=""/>
      <w:lvlJc w:val="left"/>
    </w:lvl>
  </w:abstractNum>
  <w:abstractNum w:abstractNumId="319" w15:restartNumberingAfterBreak="0">
    <w:nsid w:val="22816269"/>
    <w:multiLevelType w:val="hybridMultilevel"/>
    <w:tmpl w:val="3272866A"/>
    <w:lvl w:ilvl="0" w:tplc="2354D604">
      <w:start w:val="1"/>
      <w:numFmt w:val="bullet"/>
      <w:lvlText w:val=""/>
      <w:lvlJc w:val="left"/>
      <w:pPr>
        <w:ind w:left="720" w:hanging="360"/>
      </w:pPr>
      <w:rPr>
        <w:rFonts w:ascii="Symbol" w:hAnsi="Symbol" w:hint="default"/>
      </w:rPr>
    </w:lvl>
    <w:lvl w:ilvl="1" w:tplc="0BE478BA">
      <w:numFmt w:val="decimal"/>
      <w:lvlText w:val=""/>
      <w:lvlJc w:val="left"/>
    </w:lvl>
    <w:lvl w:ilvl="2" w:tplc="E60E3FCA">
      <w:numFmt w:val="decimal"/>
      <w:lvlText w:val=""/>
      <w:lvlJc w:val="left"/>
    </w:lvl>
    <w:lvl w:ilvl="3" w:tplc="98E659A8">
      <w:numFmt w:val="decimal"/>
      <w:lvlText w:val=""/>
      <w:lvlJc w:val="left"/>
    </w:lvl>
    <w:lvl w:ilvl="4" w:tplc="16FAF99C">
      <w:numFmt w:val="decimal"/>
      <w:lvlText w:val=""/>
      <w:lvlJc w:val="left"/>
    </w:lvl>
    <w:lvl w:ilvl="5" w:tplc="7F94B956">
      <w:numFmt w:val="decimal"/>
      <w:lvlText w:val=""/>
      <w:lvlJc w:val="left"/>
    </w:lvl>
    <w:lvl w:ilvl="6" w:tplc="9ED4CA68">
      <w:numFmt w:val="decimal"/>
      <w:lvlText w:val=""/>
      <w:lvlJc w:val="left"/>
    </w:lvl>
    <w:lvl w:ilvl="7" w:tplc="874CD3B2">
      <w:numFmt w:val="decimal"/>
      <w:lvlText w:val=""/>
      <w:lvlJc w:val="left"/>
    </w:lvl>
    <w:lvl w:ilvl="8" w:tplc="F6466102">
      <w:numFmt w:val="decimal"/>
      <w:lvlText w:val=""/>
      <w:lvlJc w:val="left"/>
    </w:lvl>
  </w:abstractNum>
  <w:abstractNum w:abstractNumId="320" w15:restartNumberingAfterBreak="0">
    <w:nsid w:val="22AC615E"/>
    <w:multiLevelType w:val="hybridMultilevel"/>
    <w:tmpl w:val="2B908B58"/>
    <w:lvl w:ilvl="0" w:tplc="4BCA01CA">
      <w:start w:val="1"/>
      <w:numFmt w:val="bullet"/>
      <w:lvlText w:val=""/>
      <w:lvlJc w:val="left"/>
      <w:pPr>
        <w:ind w:left="720" w:hanging="360"/>
      </w:pPr>
      <w:rPr>
        <w:rFonts w:ascii="Symbol" w:hAnsi="Symbol" w:hint="default"/>
      </w:rPr>
    </w:lvl>
    <w:lvl w:ilvl="1" w:tplc="F50C5E72">
      <w:numFmt w:val="decimal"/>
      <w:lvlText w:val=""/>
      <w:lvlJc w:val="left"/>
    </w:lvl>
    <w:lvl w:ilvl="2" w:tplc="B0F8BCAA">
      <w:numFmt w:val="decimal"/>
      <w:lvlText w:val=""/>
      <w:lvlJc w:val="left"/>
    </w:lvl>
    <w:lvl w:ilvl="3" w:tplc="79948DDA">
      <w:numFmt w:val="decimal"/>
      <w:lvlText w:val=""/>
      <w:lvlJc w:val="left"/>
    </w:lvl>
    <w:lvl w:ilvl="4" w:tplc="89DC2EB4">
      <w:numFmt w:val="decimal"/>
      <w:lvlText w:val=""/>
      <w:lvlJc w:val="left"/>
    </w:lvl>
    <w:lvl w:ilvl="5" w:tplc="103C48CC">
      <w:numFmt w:val="decimal"/>
      <w:lvlText w:val=""/>
      <w:lvlJc w:val="left"/>
    </w:lvl>
    <w:lvl w:ilvl="6" w:tplc="0E54F660">
      <w:numFmt w:val="decimal"/>
      <w:lvlText w:val=""/>
      <w:lvlJc w:val="left"/>
    </w:lvl>
    <w:lvl w:ilvl="7" w:tplc="66B471D6">
      <w:numFmt w:val="decimal"/>
      <w:lvlText w:val=""/>
      <w:lvlJc w:val="left"/>
    </w:lvl>
    <w:lvl w:ilvl="8" w:tplc="8C94AE5E">
      <w:numFmt w:val="decimal"/>
      <w:lvlText w:val=""/>
      <w:lvlJc w:val="left"/>
    </w:lvl>
  </w:abstractNum>
  <w:abstractNum w:abstractNumId="321" w15:restartNumberingAfterBreak="0">
    <w:nsid w:val="22D4580D"/>
    <w:multiLevelType w:val="hybridMultilevel"/>
    <w:tmpl w:val="6436D1E8"/>
    <w:lvl w:ilvl="0" w:tplc="60D2B04A">
      <w:start w:val="1"/>
      <w:numFmt w:val="bullet"/>
      <w:lvlText w:val=""/>
      <w:lvlJc w:val="left"/>
      <w:pPr>
        <w:ind w:left="720" w:hanging="360"/>
      </w:pPr>
      <w:rPr>
        <w:rFonts w:ascii="Symbol" w:hAnsi="Symbol" w:hint="default"/>
      </w:rPr>
    </w:lvl>
    <w:lvl w:ilvl="1" w:tplc="91AE3896">
      <w:numFmt w:val="decimal"/>
      <w:lvlText w:val=""/>
      <w:lvlJc w:val="left"/>
    </w:lvl>
    <w:lvl w:ilvl="2" w:tplc="2D8CE332">
      <w:numFmt w:val="decimal"/>
      <w:lvlText w:val=""/>
      <w:lvlJc w:val="left"/>
    </w:lvl>
    <w:lvl w:ilvl="3" w:tplc="8CE47DFE">
      <w:numFmt w:val="decimal"/>
      <w:lvlText w:val=""/>
      <w:lvlJc w:val="left"/>
    </w:lvl>
    <w:lvl w:ilvl="4" w:tplc="216ED234">
      <w:numFmt w:val="decimal"/>
      <w:lvlText w:val=""/>
      <w:lvlJc w:val="left"/>
    </w:lvl>
    <w:lvl w:ilvl="5" w:tplc="A29259EA">
      <w:numFmt w:val="decimal"/>
      <w:lvlText w:val=""/>
      <w:lvlJc w:val="left"/>
    </w:lvl>
    <w:lvl w:ilvl="6" w:tplc="D39A40EE">
      <w:numFmt w:val="decimal"/>
      <w:lvlText w:val=""/>
      <w:lvlJc w:val="left"/>
    </w:lvl>
    <w:lvl w:ilvl="7" w:tplc="55F63668">
      <w:numFmt w:val="decimal"/>
      <w:lvlText w:val=""/>
      <w:lvlJc w:val="left"/>
    </w:lvl>
    <w:lvl w:ilvl="8" w:tplc="82EE72B2">
      <w:numFmt w:val="decimal"/>
      <w:lvlText w:val=""/>
      <w:lvlJc w:val="left"/>
    </w:lvl>
  </w:abstractNum>
  <w:abstractNum w:abstractNumId="322" w15:restartNumberingAfterBreak="0">
    <w:nsid w:val="22D63569"/>
    <w:multiLevelType w:val="hybridMultilevel"/>
    <w:tmpl w:val="5F5251D4"/>
    <w:lvl w:ilvl="0" w:tplc="ADCA94D6">
      <w:start w:val="1"/>
      <w:numFmt w:val="bullet"/>
      <w:lvlText w:val=""/>
      <w:lvlJc w:val="left"/>
      <w:pPr>
        <w:ind w:left="720" w:hanging="360"/>
      </w:pPr>
      <w:rPr>
        <w:rFonts w:ascii="Symbol" w:hAnsi="Symbol" w:hint="default"/>
      </w:rPr>
    </w:lvl>
    <w:lvl w:ilvl="1" w:tplc="3AF2B4A8">
      <w:numFmt w:val="decimal"/>
      <w:lvlText w:val=""/>
      <w:lvlJc w:val="left"/>
    </w:lvl>
    <w:lvl w:ilvl="2" w:tplc="2AB24AC6">
      <w:numFmt w:val="decimal"/>
      <w:lvlText w:val=""/>
      <w:lvlJc w:val="left"/>
    </w:lvl>
    <w:lvl w:ilvl="3" w:tplc="14788F7A">
      <w:numFmt w:val="decimal"/>
      <w:lvlText w:val=""/>
      <w:lvlJc w:val="left"/>
    </w:lvl>
    <w:lvl w:ilvl="4" w:tplc="D5EA338C">
      <w:numFmt w:val="decimal"/>
      <w:lvlText w:val=""/>
      <w:lvlJc w:val="left"/>
    </w:lvl>
    <w:lvl w:ilvl="5" w:tplc="FAF40F02">
      <w:numFmt w:val="decimal"/>
      <w:lvlText w:val=""/>
      <w:lvlJc w:val="left"/>
    </w:lvl>
    <w:lvl w:ilvl="6" w:tplc="45CE6502">
      <w:numFmt w:val="decimal"/>
      <w:lvlText w:val=""/>
      <w:lvlJc w:val="left"/>
    </w:lvl>
    <w:lvl w:ilvl="7" w:tplc="8E585B4E">
      <w:numFmt w:val="decimal"/>
      <w:lvlText w:val=""/>
      <w:lvlJc w:val="left"/>
    </w:lvl>
    <w:lvl w:ilvl="8" w:tplc="35C8A232">
      <w:numFmt w:val="decimal"/>
      <w:lvlText w:val=""/>
      <w:lvlJc w:val="left"/>
    </w:lvl>
  </w:abstractNum>
  <w:abstractNum w:abstractNumId="323" w15:restartNumberingAfterBreak="0">
    <w:nsid w:val="22DB66D8"/>
    <w:multiLevelType w:val="hybridMultilevel"/>
    <w:tmpl w:val="5DEA5714"/>
    <w:lvl w:ilvl="0" w:tplc="1C846066">
      <w:start w:val="1"/>
      <w:numFmt w:val="bullet"/>
      <w:lvlText w:val=""/>
      <w:lvlJc w:val="left"/>
      <w:pPr>
        <w:ind w:left="720" w:hanging="360"/>
      </w:pPr>
      <w:rPr>
        <w:rFonts w:ascii="Symbol" w:hAnsi="Symbol" w:hint="default"/>
      </w:rPr>
    </w:lvl>
    <w:lvl w:ilvl="1" w:tplc="84AA036C">
      <w:numFmt w:val="decimal"/>
      <w:lvlText w:val=""/>
      <w:lvlJc w:val="left"/>
    </w:lvl>
    <w:lvl w:ilvl="2" w:tplc="82D24F5C">
      <w:numFmt w:val="decimal"/>
      <w:lvlText w:val=""/>
      <w:lvlJc w:val="left"/>
    </w:lvl>
    <w:lvl w:ilvl="3" w:tplc="E032655A">
      <w:numFmt w:val="decimal"/>
      <w:lvlText w:val=""/>
      <w:lvlJc w:val="left"/>
    </w:lvl>
    <w:lvl w:ilvl="4" w:tplc="A68CC288">
      <w:numFmt w:val="decimal"/>
      <w:lvlText w:val=""/>
      <w:lvlJc w:val="left"/>
    </w:lvl>
    <w:lvl w:ilvl="5" w:tplc="6CB4BC42">
      <w:numFmt w:val="decimal"/>
      <w:lvlText w:val=""/>
      <w:lvlJc w:val="left"/>
    </w:lvl>
    <w:lvl w:ilvl="6" w:tplc="B2FE36CC">
      <w:numFmt w:val="decimal"/>
      <w:lvlText w:val=""/>
      <w:lvlJc w:val="left"/>
    </w:lvl>
    <w:lvl w:ilvl="7" w:tplc="BAF4DBE6">
      <w:numFmt w:val="decimal"/>
      <w:lvlText w:val=""/>
      <w:lvlJc w:val="left"/>
    </w:lvl>
    <w:lvl w:ilvl="8" w:tplc="8C88A7CC">
      <w:numFmt w:val="decimal"/>
      <w:lvlText w:val=""/>
      <w:lvlJc w:val="left"/>
    </w:lvl>
  </w:abstractNum>
  <w:abstractNum w:abstractNumId="324" w15:restartNumberingAfterBreak="0">
    <w:nsid w:val="22F70E81"/>
    <w:multiLevelType w:val="hybridMultilevel"/>
    <w:tmpl w:val="3F74B9E0"/>
    <w:lvl w:ilvl="0" w:tplc="7570C99C">
      <w:start w:val="1"/>
      <w:numFmt w:val="bullet"/>
      <w:lvlText w:val=""/>
      <w:lvlJc w:val="left"/>
      <w:pPr>
        <w:ind w:left="720" w:hanging="360"/>
      </w:pPr>
      <w:rPr>
        <w:rFonts w:ascii="Symbol" w:hAnsi="Symbol" w:hint="default"/>
      </w:rPr>
    </w:lvl>
    <w:lvl w:ilvl="1" w:tplc="DE4224C4">
      <w:numFmt w:val="decimal"/>
      <w:lvlText w:val=""/>
      <w:lvlJc w:val="left"/>
    </w:lvl>
    <w:lvl w:ilvl="2" w:tplc="C646FE3C">
      <w:numFmt w:val="decimal"/>
      <w:lvlText w:val=""/>
      <w:lvlJc w:val="left"/>
    </w:lvl>
    <w:lvl w:ilvl="3" w:tplc="EFC89578">
      <w:numFmt w:val="decimal"/>
      <w:lvlText w:val=""/>
      <w:lvlJc w:val="left"/>
    </w:lvl>
    <w:lvl w:ilvl="4" w:tplc="C5886C82">
      <w:numFmt w:val="decimal"/>
      <w:lvlText w:val=""/>
      <w:lvlJc w:val="left"/>
    </w:lvl>
    <w:lvl w:ilvl="5" w:tplc="0E2AA59E">
      <w:numFmt w:val="decimal"/>
      <w:lvlText w:val=""/>
      <w:lvlJc w:val="left"/>
    </w:lvl>
    <w:lvl w:ilvl="6" w:tplc="427E2A94">
      <w:numFmt w:val="decimal"/>
      <w:lvlText w:val=""/>
      <w:lvlJc w:val="left"/>
    </w:lvl>
    <w:lvl w:ilvl="7" w:tplc="F40AB094">
      <w:numFmt w:val="decimal"/>
      <w:lvlText w:val=""/>
      <w:lvlJc w:val="left"/>
    </w:lvl>
    <w:lvl w:ilvl="8" w:tplc="BB7026EA">
      <w:numFmt w:val="decimal"/>
      <w:lvlText w:val=""/>
      <w:lvlJc w:val="left"/>
    </w:lvl>
  </w:abstractNum>
  <w:abstractNum w:abstractNumId="325" w15:restartNumberingAfterBreak="0">
    <w:nsid w:val="23122ADE"/>
    <w:multiLevelType w:val="hybridMultilevel"/>
    <w:tmpl w:val="6AF0DB08"/>
    <w:lvl w:ilvl="0" w:tplc="60D67700">
      <w:start w:val="1"/>
      <w:numFmt w:val="bullet"/>
      <w:lvlText w:val=""/>
      <w:lvlJc w:val="left"/>
      <w:pPr>
        <w:ind w:left="720" w:hanging="360"/>
      </w:pPr>
      <w:rPr>
        <w:rFonts w:ascii="Symbol" w:hAnsi="Symbol" w:hint="default"/>
      </w:rPr>
    </w:lvl>
    <w:lvl w:ilvl="1" w:tplc="CB6A27E8">
      <w:numFmt w:val="decimal"/>
      <w:lvlText w:val=""/>
      <w:lvlJc w:val="left"/>
    </w:lvl>
    <w:lvl w:ilvl="2" w:tplc="32DC80AA">
      <w:numFmt w:val="decimal"/>
      <w:lvlText w:val=""/>
      <w:lvlJc w:val="left"/>
    </w:lvl>
    <w:lvl w:ilvl="3" w:tplc="7B2A803A">
      <w:numFmt w:val="decimal"/>
      <w:lvlText w:val=""/>
      <w:lvlJc w:val="left"/>
    </w:lvl>
    <w:lvl w:ilvl="4" w:tplc="CC9CFE02">
      <w:numFmt w:val="decimal"/>
      <w:lvlText w:val=""/>
      <w:lvlJc w:val="left"/>
    </w:lvl>
    <w:lvl w:ilvl="5" w:tplc="4CF240A8">
      <w:numFmt w:val="decimal"/>
      <w:lvlText w:val=""/>
      <w:lvlJc w:val="left"/>
    </w:lvl>
    <w:lvl w:ilvl="6" w:tplc="00DE7C6C">
      <w:numFmt w:val="decimal"/>
      <w:lvlText w:val=""/>
      <w:lvlJc w:val="left"/>
    </w:lvl>
    <w:lvl w:ilvl="7" w:tplc="A7AE2FF2">
      <w:numFmt w:val="decimal"/>
      <w:lvlText w:val=""/>
      <w:lvlJc w:val="left"/>
    </w:lvl>
    <w:lvl w:ilvl="8" w:tplc="C03C58A6">
      <w:numFmt w:val="decimal"/>
      <w:lvlText w:val=""/>
      <w:lvlJc w:val="left"/>
    </w:lvl>
  </w:abstractNum>
  <w:abstractNum w:abstractNumId="326" w15:restartNumberingAfterBreak="0">
    <w:nsid w:val="2326229D"/>
    <w:multiLevelType w:val="hybridMultilevel"/>
    <w:tmpl w:val="3732C8CE"/>
    <w:lvl w:ilvl="0" w:tplc="17C6701A">
      <w:start w:val="1"/>
      <w:numFmt w:val="bullet"/>
      <w:lvlText w:val=""/>
      <w:lvlJc w:val="left"/>
      <w:pPr>
        <w:ind w:left="720" w:hanging="360"/>
      </w:pPr>
      <w:rPr>
        <w:rFonts w:ascii="Symbol" w:hAnsi="Symbol" w:hint="default"/>
      </w:rPr>
    </w:lvl>
    <w:lvl w:ilvl="1" w:tplc="0A2EE2F8">
      <w:numFmt w:val="decimal"/>
      <w:lvlText w:val=""/>
      <w:lvlJc w:val="left"/>
    </w:lvl>
    <w:lvl w:ilvl="2" w:tplc="FC9A5F9A">
      <w:numFmt w:val="decimal"/>
      <w:lvlText w:val=""/>
      <w:lvlJc w:val="left"/>
    </w:lvl>
    <w:lvl w:ilvl="3" w:tplc="297CD174">
      <w:numFmt w:val="decimal"/>
      <w:lvlText w:val=""/>
      <w:lvlJc w:val="left"/>
    </w:lvl>
    <w:lvl w:ilvl="4" w:tplc="C94A8E84">
      <w:numFmt w:val="decimal"/>
      <w:lvlText w:val=""/>
      <w:lvlJc w:val="left"/>
    </w:lvl>
    <w:lvl w:ilvl="5" w:tplc="C0B2ED52">
      <w:numFmt w:val="decimal"/>
      <w:lvlText w:val=""/>
      <w:lvlJc w:val="left"/>
    </w:lvl>
    <w:lvl w:ilvl="6" w:tplc="ED2680F2">
      <w:numFmt w:val="decimal"/>
      <w:lvlText w:val=""/>
      <w:lvlJc w:val="left"/>
    </w:lvl>
    <w:lvl w:ilvl="7" w:tplc="5030CAF4">
      <w:numFmt w:val="decimal"/>
      <w:lvlText w:val=""/>
      <w:lvlJc w:val="left"/>
    </w:lvl>
    <w:lvl w:ilvl="8" w:tplc="8940D4B2">
      <w:numFmt w:val="decimal"/>
      <w:lvlText w:val=""/>
      <w:lvlJc w:val="left"/>
    </w:lvl>
  </w:abstractNum>
  <w:abstractNum w:abstractNumId="327" w15:restartNumberingAfterBreak="0">
    <w:nsid w:val="234843C0"/>
    <w:multiLevelType w:val="hybridMultilevel"/>
    <w:tmpl w:val="B81EC512"/>
    <w:lvl w:ilvl="0" w:tplc="DC706B0C">
      <w:start w:val="1"/>
      <w:numFmt w:val="bullet"/>
      <w:lvlText w:val=""/>
      <w:lvlJc w:val="left"/>
      <w:pPr>
        <w:ind w:left="720" w:hanging="360"/>
      </w:pPr>
      <w:rPr>
        <w:rFonts w:ascii="Symbol" w:hAnsi="Symbol" w:hint="default"/>
      </w:rPr>
    </w:lvl>
    <w:lvl w:ilvl="1" w:tplc="3AE6E11A">
      <w:numFmt w:val="decimal"/>
      <w:lvlText w:val=""/>
      <w:lvlJc w:val="left"/>
    </w:lvl>
    <w:lvl w:ilvl="2" w:tplc="585C146C">
      <w:numFmt w:val="decimal"/>
      <w:lvlText w:val=""/>
      <w:lvlJc w:val="left"/>
    </w:lvl>
    <w:lvl w:ilvl="3" w:tplc="CA4A2EB4">
      <w:numFmt w:val="decimal"/>
      <w:lvlText w:val=""/>
      <w:lvlJc w:val="left"/>
    </w:lvl>
    <w:lvl w:ilvl="4" w:tplc="019C1324">
      <w:numFmt w:val="decimal"/>
      <w:lvlText w:val=""/>
      <w:lvlJc w:val="left"/>
    </w:lvl>
    <w:lvl w:ilvl="5" w:tplc="B5F63A40">
      <w:numFmt w:val="decimal"/>
      <w:lvlText w:val=""/>
      <w:lvlJc w:val="left"/>
    </w:lvl>
    <w:lvl w:ilvl="6" w:tplc="20443C5E">
      <w:numFmt w:val="decimal"/>
      <w:lvlText w:val=""/>
      <w:lvlJc w:val="left"/>
    </w:lvl>
    <w:lvl w:ilvl="7" w:tplc="50DA245C">
      <w:numFmt w:val="decimal"/>
      <w:lvlText w:val=""/>
      <w:lvlJc w:val="left"/>
    </w:lvl>
    <w:lvl w:ilvl="8" w:tplc="6078739E">
      <w:numFmt w:val="decimal"/>
      <w:lvlText w:val=""/>
      <w:lvlJc w:val="left"/>
    </w:lvl>
  </w:abstractNum>
  <w:abstractNum w:abstractNumId="328" w15:restartNumberingAfterBreak="0">
    <w:nsid w:val="23727A6F"/>
    <w:multiLevelType w:val="hybridMultilevel"/>
    <w:tmpl w:val="A8E26E74"/>
    <w:lvl w:ilvl="0" w:tplc="DFF07CB8">
      <w:numFmt w:val="decimal"/>
      <w:lvlText w:val=""/>
      <w:lvlJc w:val="left"/>
    </w:lvl>
    <w:lvl w:ilvl="1" w:tplc="3790D73E">
      <w:start w:val="1"/>
      <w:numFmt w:val="bullet"/>
      <w:lvlText w:val=""/>
      <w:lvlJc w:val="left"/>
      <w:pPr>
        <w:ind w:left="1440" w:hanging="360"/>
      </w:pPr>
      <w:rPr>
        <w:rFonts w:ascii="Symbol" w:hAnsi="Symbol" w:hint="default"/>
      </w:rPr>
    </w:lvl>
    <w:lvl w:ilvl="2" w:tplc="1FCC21B6">
      <w:numFmt w:val="decimal"/>
      <w:lvlText w:val=""/>
      <w:lvlJc w:val="left"/>
    </w:lvl>
    <w:lvl w:ilvl="3" w:tplc="89F4F4D2">
      <w:numFmt w:val="decimal"/>
      <w:lvlText w:val=""/>
      <w:lvlJc w:val="left"/>
    </w:lvl>
    <w:lvl w:ilvl="4" w:tplc="DBDC3A54">
      <w:numFmt w:val="decimal"/>
      <w:lvlText w:val=""/>
      <w:lvlJc w:val="left"/>
    </w:lvl>
    <w:lvl w:ilvl="5" w:tplc="093A726C">
      <w:numFmt w:val="decimal"/>
      <w:lvlText w:val=""/>
      <w:lvlJc w:val="left"/>
    </w:lvl>
    <w:lvl w:ilvl="6" w:tplc="F22ACF6C">
      <w:numFmt w:val="decimal"/>
      <w:lvlText w:val=""/>
      <w:lvlJc w:val="left"/>
    </w:lvl>
    <w:lvl w:ilvl="7" w:tplc="14FA21B6">
      <w:numFmt w:val="decimal"/>
      <w:lvlText w:val=""/>
      <w:lvlJc w:val="left"/>
    </w:lvl>
    <w:lvl w:ilvl="8" w:tplc="9E801BCC">
      <w:numFmt w:val="decimal"/>
      <w:lvlText w:val=""/>
      <w:lvlJc w:val="left"/>
    </w:lvl>
  </w:abstractNum>
  <w:abstractNum w:abstractNumId="329" w15:restartNumberingAfterBreak="0">
    <w:nsid w:val="23814681"/>
    <w:multiLevelType w:val="hybridMultilevel"/>
    <w:tmpl w:val="18C4756E"/>
    <w:lvl w:ilvl="0" w:tplc="5AF26F6C">
      <w:start w:val="1"/>
      <w:numFmt w:val="bullet"/>
      <w:lvlText w:val=""/>
      <w:lvlJc w:val="left"/>
      <w:pPr>
        <w:ind w:left="720" w:hanging="360"/>
      </w:pPr>
      <w:rPr>
        <w:rFonts w:ascii="Symbol" w:hAnsi="Symbol" w:hint="default"/>
      </w:rPr>
    </w:lvl>
    <w:lvl w:ilvl="1" w:tplc="FCA2941A">
      <w:numFmt w:val="decimal"/>
      <w:lvlText w:val=""/>
      <w:lvlJc w:val="left"/>
    </w:lvl>
    <w:lvl w:ilvl="2" w:tplc="0C2AF2F4">
      <w:numFmt w:val="decimal"/>
      <w:lvlText w:val=""/>
      <w:lvlJc w:val="left"/>
    </w:lvl>
    <w:lvl w:ilvl="3" w:tplc="21588D8C">
      <w:numFmt w:val="decimal"/>
      <w:lvlText w:val=""/>
      <w:lvlJc w:val="left"/>
    </w:lvl>
    <w:lvl w:ilvl="4" w:tplc="C130DDD6">
      <w:numFmt w:val="decimal"/>
      <w:lvlText w:val=""/>
      <w:lvlJc w:val="left"/>
    </w:lvl>
    <w:lvl w:ilvl="5" w:tplc="F0105966">
      <w:numFmt w:val="decimal"/>
      <w:lvlText w:val=""/>
      <w:lvlJc w:val="left"/>
    </w:lvl>
    <w:lvl w:ilvl="6" w:tplc="2A70859A">
      <w:numFmt w:val="decimal"/>
      <w:lvlText w:val=""/>
      <w:lvlJc w:val="left"/>
    </w:lvl>
    <w:lvl w:ilvl="7" w:tplc="CEA4ED30">
      <w:numFmt w:val="decimal"/>
      <w:lvlText w:val=""/>
      <w:lvlJc w:val="left"/>
    </w:lvl>
    <w:lvl w:ilvl="8" w:tplc="FED244C0">
      <w:numFmt w:val="decimal"/>
      <w:lvlText w:val=""/>
      <w:lvlJc w:val="left"/>
    </w:lvl>
  </w:abstractNum>
  <w:abstractNum w:abstractNumId="330" w15:restartNumberingAfterBreak="0">
    <w:nsid w:val="23DB4F8C"/>
    <w:multiLevelType w:val="hybridMultilevel"/>
    <w:tmpl w:val="DE0C30D6"/>
    <w:lvl w:ilvl="0" w:tplc="053AE052">
      <w:start w:val="1"/>
      <w:numFmt w:val="bullet"/>
      <w:lvlText w:val=""/>
      <w:lvlJc w:val="left"/>
      <w:pPr>
        <w:ind w:left="720" w:hanging="360"/>
      </w:pPr>
      <w:rPr>
        <w:rFonts w:ascii="Symbol" w:hAnsi="Symbol" w:hint="default"/>
      </w:rPr>
    </w:lvl>
    <w:lvl w:ilvl="1" w:tplc="3DF2DB2C">
      <w:numFmt w:val="decimal"/>
      <w:lvlText w:val=""/>
      <w:lvlJc w:val="left"/>
    </w:lvl>
    <w:lvl w:ilvl="2" w:tplc="CAEC50F2">
      <w:numFmt w:val="decimal"/>
      <w:lvlText w:val=""/>
      <w:lvlJc w:val="left"/>
    </w:lvl>
    <w:lvl w:ilvl="3" w:tplc="D0A4CA30">
      <w:numFmt w:val="decimal"/>
      <w:lvlText w:val=""/>
      <w:lvlJc w:val="left"/>
    </w:lvl>
    <w:lvl w:ilvl="4" w:tplc="4CAA670E">
      <w:numFmt w:val="decimal"/>
      <w:lvlText w:val=""/>
      <w:lvlJc w:val="left"/>
    </w:lvl>
    <w:lvl w:ilvl="5" w:tplc="1BAAB6E2">
      <w:numFmt w:val="decimal"/>
      <w:lvlText w:val=""/>
      <w:lvlJc w:val="left"/>
    </w:lvl>
    <w:lvl w:ilvl="6" w:tplc="90DEFA60">
      <w:numFmt w:val="decimal"/>
      <w:lvlText w:val=""/>
      <w:lvlJc w:val="left"/>
    </w:lvl>
    <w:lvl w:ilvl="7" w:tplc="E070C2BE">
      <w:numFmt w:val="decimal"/>
      <w:lvlText w:val=""/>
      <w:lvlJc w:val="left"/>
    </w:lvl>
    <w:lvl w:ilvl="8" w:tplc="A7BA0444">
      <w:numFmt w:val="decimal"/>
      <w:lvlText w:val=""/>
      <w:lvlJc w:val="left"/>
    </w:lvl>
  </w:abstractNum>
  <w:abstractNum w:abstractNumId="331" w15:restartNumberingAfterBreak="0">
    <w:nsid w:val="23FA737F"/>
    <w:multiLevelType w:val="hybridMultilevel"/>
    <w:tmpl w:val="2FF67C22"/>
    <w:lvl w:ilvl="0" w:tplc="87F09C16">
      <w:start w:val="1"/>
      <w:numFmt w:val="bullet"/>
      <w:lvlText w:val=""/>
      <w:lvlJc w:val="left"/>
      <w:pPr>
        <w:ind w:left="720" w:hanging="360"/>
      </w:pPr>
      <w:rPr>
        <w:rFonts w:ascii="Symbol" w:hAnsi="Symbol" w:hint="default"/>
      </w:rPr>
    </w:lvl>
    <w:lvl w:ilvl="1" w:tplc="A104A5CE">
      <w:numFmt w:val="decimal"/>
      <w:lvlText w:val=""/>
      <w:lvlJc w:val="left"/>
    </w:lvl>
    <w:lvl w:ilvl="2" w:tplc="464C5F82">
      <w:numFmt w:val="decimal"/>
      <w:lvlText w:val=""/>
      <w:lvlJc w:val="left"/>
    </w:lvl>
    <w:lvl w:ilvl="3" w:tplc="953EFD78">
      <w:numFmt w:val="decimal"/>
      <w:lvlText w:val=""/>
      <w:lvlJc w:val="left"/>
    </w:lvl>
    <w:lvl w:ilvl="4" w:tplc="9D182E64">
      <w:numFmt w:val="decimal"/>
      <w:lvlText w:val=""/>
      <w:lvlJc w:val="left"/>
    </w:lvl>
    <w:lvl w:ilvl="5" w:tplc="31828ECE">
      <w:numFmt w:val="decimal"/>
      <w:lvlText w:val=""/>
      <w:lvlJc w:val="left"/>
    </w:lvl>
    <w:lvl w:ilvl="6" w:tplc="F08261B8">
      <w:numFmt w:val="decimal"/>
      <w:lvlText w:val=""/>
      <w:lvlJc w:val="left"/>
    </w:lvl>
    <w:lvl w:ilvl="7" w:tplc="5B321E6E">
      <w:numFmt w:val="decimal"/>
      <w:lvlText w:val=""/>
      <w:lvlJc w:val="left"/>
    </w:lvl>
    <w:lvl w:ilvl="8" w:tplc="BE80EF9A">
      <w:numFmt w:val="decimal"/>
      <w:lvlText w:val=""/>
      <w:lvlJc w:val="left"/>
    </w:lvl>
  </w:abstractNum>
  <w:abstractNum w:abstractNumId="332" w15:restartNumberingAfterBreak="0">
    <w:nsid w:val="24156CAD"/>
    <w:multiLevelType w:val="hybridMultilevel"/>
    <w:tmpl w:val="ECCAB81C"/>
    <w:lvl w:ilvl="0" w:tplc="8F26186C">
      <w:start w:val="1"/>
      <w:numFmt w:val="bullet"/>
      <w:lvlText w:val=""/>
      <w:lvlJc w:val="left"/>
      <w:pPr>
        <w:ind w:left="720" w:hanging="360"/>
      </w:pPr>
      <w:rPr>
        <w:rFonts w:ascii="Symbol" w:hAnsi="Symbol" w:hint="default"/>
      </w:rPr>
    </w:lvl>
    <w:lvl w:ilvl="1" w:tplc="5D085D92">
      <w:numFmt w:val="decimal"/>
      <w:lvlText w:val=""/>
      <w:lvlJc w:val="left"/>
    </w:lvl>
    <w:lvl w:ilvl="2" w:tplc="0DA4879E">
      <w:numFmt w:val="decimal"/>
      <w:lvlText w:val=""/>
      <w:lvlJc w:val="left"/>
    </w:lvl>
    <w:lvl w:ilvl="3" w:tplc="3F70FBB8">
      <w:numFmt w:val="decimal"/>
      <w:lvlText w:val=""/>
      <w:lvlJc w:val="left"/>
    </w:lvl>
    <w:lvl w:ilvl="4" w:tplc="556217D4">
      <w:numFmt w:val="decimal"/>
      <w:lvlText w:val=""/>
      <w:lvlJc w:val="left"/>
    </w:lvl>
    <w:lvl w:ilvl="5" w:tplc="606A16FA">
      <w:numFmt w:val="decimal"/>
      <w:lvlText w:val=""/>
      <w:lvlJc w:val="left"/>
    </w:lvl>
    <w:lvl w:ilvl="6" w:tplc="CCE4E8B2">
      <w:numFmt w:val="decimal"/>
      <w:lvlText w:val=""/>
      <w:lvlJc w:val="left"/>
    </w:lvl>
    <w:lvl w:ilvl="7" w:tplc="AC18C392">
      <w:numFmt w:val="decimal"/>
      <w:lvlText w:val=""/>
      <w:lvlJc w:val="left"/>
    </w:lvl>
    <w:lvl w:ilvl="8" w:tplc="6C5691FA">
      <w:numFmt w:val="decimal"/>
      <w:lvlText w:val=""/>
      <w:lvlJc w:val="left"/>
    </w:lvl>
  </w:abstractNum>
  <w:abstractNum w:abstractNumId="333" w15:restartNumberingAfterBreak="0">
    <w:nsid w:val="24157E32"/>
    <w:multiLevelType w:val="hybridMultilevel"/>
    <w:tmpl w:val="20B4E480"/>
    <w:lvl w:ilvl="0" w:tplc="9634BCCE">
      <w:start w:val="1"/>
      <w:numFmt w:val="bullet"/>
      <w:lvlText w:val=""/>
      <w:lvlJc w:val="left"/>
      <w:pPr>
        <w:ind w:left="720" w:hanging="360"/>
      </w:pPr>
      <w:rPr>
        <w:rFonts w:ascii="Symbol" w:hAnsi="Symbol" w:hint="default"/>
      </w:rPr>
    </w:lvl>
    <w:lvl w:ilvl="1" w:tplc="BCD604A8">
      <w:numFmt w:val="decimal"/>
      <w:lvlText w:val=""/>
      <w:lvlJc w:val="left"/>
    </w:lvl>
    <w:lvl w:ilvl="2" w:tplc="15D27BE8">
      <w:numFmt w:val="decimal"/>
      <w:lvlText w:val=""/>
      <w:lvlJc w:val="left"/>
    </w:lvl>
    <w:lvl w:ilvl="3" w:tplc="D76855D0">
      <w:numFmt w:val="decimal"/>
      <w:lvlText w:val=""/>
      <w:lvlJc w:val="left"/>
    </w:lvl>
    <w:lvl w:ilvl="4" w:tplc="7606413E">
      <w:numFmt w:val="decimal"/>
      <w:lvlText w:val=""/>
      <w:lvlJc w:val="left"/>
    </w:lvl>
    <w:lvl w:ilvl="5" w:tplc="366E73B0">
      <w:numFmt w:val="decimal"/>
      <w:lvlText w:val=""/>
      <w:lvlJc w:val="left"/>
    </w:lvl>
    <w:lvl w:ilvl="6" w:tplc="856A931A">
      <w:numFmt w:val="decimal"/>
      <w:lvlText w:val=""/>
      <w:lvlJc w:val="left"/>
    </w:lvl>
    <w:lvl w:ilvl="7" w:tplc="E154171E">
      <w:numFmt w:val="decimal"/>
      <w:lvlText w:val=""/>
      <w:lvlJc w:val="left"/>
    </w:lvl>
    <w:lvl w:ilvl="8" w:tplc="5564491A">
      <w:numFmt w:val="decimal"/>
      <w:lvlText w:val=""/>
      <w:lvlJc w:val="left"/>
    </w:lvl>
  </w:abstractNum>
  <w:abstractNum w:abstractNumId="334" w15:restartNumberingAfterBreak="0">
    <w:nsid w:val="24271D57"/>
    <w:multiLevelType w:val="hybridMultilevel"/>
    <w:tmpl w:val="B1C8E3CA"/>
    <w:lvl w:ilvl="0" w:tplc="6BCC096C">
      <w:start w:val="1"/>
      <w:numFmt w:val="bullet"/>
      <w:lvlText w:val=""/>
      <w:lvlJc w:val="left"/>
      <w:pPr>
        <w:ind w:left="720" w:hanging="360"/>
      </w:pPr>
      <w:rPr>
        <w:rFonts w:ascii="Symbol" w:hAnsi="Symbol" w:hint="default"/>
      </w:rPr>
    </w:lvl>
    <w:lvl w:ilvl="1" w:tplc="D278FFDC">
      <w:numFmt w:val="decimal"/>
      <w:lvlText w:val=""/>
      <w:lvlJc w:val="left"/>
    </w:lvl>
    <w:lvl w:ilvl="2" w:tplc="36CEF8C6">
      <w:numFmt w:val="decimal"/>
      <w:lvlText w:val=""/>
      <w:lvlJc w:val="left"/>
    </w:lvl>
    <w:lvl w:ilvl="3" w:tplc="7898E936">
      <w:numFmt w:val="decimal"/>
      <w:lvlText w:val=""/>
      <w:lvlJc w:val="left"/>
    </w:lvl>
    <w:lvl w:ilvl="4" w:tplc="50DA51C4">
      <w:numFmt w:val="decimal"/>
      <w:lvlText w:val=""/>
      <w:lvlJc w:val="left"/>
    </w:lvl>
    <w:lvl w:ilvl="5" w:tplc="52E8212A">
      <w:numFmt w:val="decimal"/>
      <w:lvlText w:val=""/>
      <w:lvlJc w:val="left"/>
    </w:lvl>
    <w:lvl w:ilvl="6" w:tplc="CF70ADF4">
      <w:numFmt w:val="decimal"/>
      <w:lvlText w:val=""/>
      <w:lvlJc w:val="left"/>
    </w:lvl>
    <w:lvl w:ilvl="7" w:tplc="DE481672">
      <w:numFmt w:val="decimal"/>
      <w:lvlText w:val=""/>
      <w:lvlJc w:val="left"/>
    </w:lvl>
    <w:lvl w:ilvl="8" w:tplc="79341C2A">
      <w:numFmt w:val="decimal"/>
      <w:lvlText w:val=""/>
      <w:lvlJc w:val="left"/>
    </w:lvl>
  </w:abstractNum>
  <w:abstractNum w:abstractNumId="335" w15:restartNumberingAfterBreak="0">
    <w:nsid w:val="242D1545"/>
    <w:multiLevelType w:val="hybridMultilevel"/>
    <w:tmpl w:val="6EC2A7D6"/>
    <w:lvl w:ilvl="0" w:tplc="6C160518">
      <w:start w:val="1"/>
      <w:numFmt w:val="bullet"/>
      <w:lvlText w:val=""/>
      <w:lvlJc w:val="left"/>
      <w:pPr>
        <w:ind w:left="720" w:hanging="360"/>
      </w:pPr>
      <w:rPr>
        <w:rFonts w:ascii="Symbol" w:hAnsi="Symbol" w:hint="default"/>
      </w:rPr>
    </w:lvl>
    <w:lvl w:ilvl="1" w:tplc="DCC05C96">
      <w:numFmt w:val="decimal"/>
      <w:lvlText w:val=""/>
      <w:lvlJc w:val="left"/>
    </w:lvl>
    <w:lvl w:ilvl="2" w:tplc="789A16B0">
      <w:numFmt w:val="decimal"/>
      <w:lvlText w:val=""/>
      <w:lvlJc w:val="left"/>
    </w:lvl>
    <w:lvl w:ilvl="3" w:tplc="D7AED44A">
      <w:numFmt w:val="decimal"/>
      <w:lvlText w:val=""/>
      <w:lvlJc w:val="left"/>
    </w:lvl>
    <w:lvl w:ilvl="4" w:tplc="D196E2F0">
      <w:numFmt w:val="decimal"/>
      <w:lvlText w:val=""/>
      <w:lvlJc w:val="left"/>
    </w:lvl>
    <w:lvl w:ilvl="5" w:tplc="B610F82A">
      <w:numFmt w:val="decimal"/>
      <w:lvlText w:val=""/>
      <w:lvlJc w:val="left"/>
    </w:lvl>
    <w:lvl w:ilvl="6" w:tplc="EBD608CA">
      <w:numFmt w:val="decimal"/>
      <w:lvlText w:val=""/>
      <w:lvlJc w:val="left"/>
    </w:lvl>
    <w:lvl w:ilvl="7" w:tplc="AC8286DC">
      <w:numFmt w:val="decimal"/>
      <w:lvlText w:val=""/>
      <w:lvlJc w:val="left"/>
    </w:lvl>
    <w:lvl w:ilvl="8" w:tplc="39A84FC4">
      <w:numFmt w:val="decimal"/>
      <w:lvlText w:val=""/>
      <w:lvlJc w:val="left"/>
    </w:lvl>
  </w:abstractNum>
  <w:abstractNum w:abstractNumId="336" w15:restartNumberingAfterBreak="0">
    <w:nsid w:val="24352C40"/>
    <w:multiLevelType w:val="hybridMultilevel"/>
    <w:tmpl w:val="AACE3798"/>
    <w:lvl w:ilvl="0" w:tplc="1334FAB4">
      <w:start w:val="1"/>
      <w:numFmt w:val="bullet"/>
      <w:lvlText w:val=""/>
      <w:lvlJc w:val="left"/>
      <w:pPr>
        <w:ind w:left="720" w:hanging="360"/>
      </w:pPr>
      <w:rPr>
        <w:rFonts w:ascii="Symbol" w:hAnsi="Symbol" w:hint="default"/>
      </w:rPr>
    </w:lvl>
    <w:lvl w:ilvl="1" w:tplc="948C6B8E">
      <w:numFmt w:val="decimal"/>
      <w:lvlText w:val=""/>
      <w:lvlJc w:val="left"/>
    </w:lvl>
    <w:lvl w:ilvl="2" w:tplc="B5BA49D0">
      <w:numFmt w:val="decimal"/>
      <w:lvlText w:val=""/>
      <w:lvlJc w:val="left"/>
    </w:lvl>
    <w:lvl w:ilvl="3" w:tplc="31C6D1E0">
      <w:numFmt w:val="decimal"/>
      <w:lvlText w:val=""/>
      <w:lvlJc w:val="left"/>
    </w:lvl>
    <w:lvl w:ilvl="4" w:tplc="000A0072">
      <w:numFmt w:val="decimal"/>
      <w:lvlText w:val=""/>
      <w:lvlJc w:val="left"/>
    </w:lvl>
    <w:lvl w:ilvl="5" w:tplc="838C3410">
      <w:numFmt w:val="decimal"/>
      <w:lvlText w:val=""/>
      <w:lvlJc w:val="left"/>
    </w:lvl>
    <w:lvl w:ilvl="6" w:tplc="BB0E95DA">
      <w:numFmt w:val="decimal"/>
      <w:lvlText w:val=""/>
      <w:lvlJc w:val="left"/>
    </w:lvl>
    <w:lvl w:ilvl="7" w:tplc="57282A92">
      <w:numFmt w:val="decimal"/>
      <w:lvlText w:val=""/>
      <w:lvlJc w:val="left"/>
    </w:lvl>
    <w:lvl w:ilvl="8" w:tplc="96F83EF8">
      <w:numFmt w:val="decimal"/>
      <w:lvlText w:val=""/>
      <w:lvlJc w:val="left"/>
    </w:lvl>
  </w:abstractNum>
  <w:abstractNum w:abstractNumId="337" w15:restartNumberingAfterBreak="0">
    <w:nsid w:val="243538A4"/>
    <w:multiLevelType w:val="hybridMultilevel"/>
    <w:tmpl w:val="67FCCDD2"/>
    <w:lvl w:ilvl="0" w:tplc="A512217E">
      <w:start w:val="1"/>
      <w:numFmt w:val="bullet"/>
      <w:lvlText w:val=""/>
      <w:lvlJc w:val="left"/>
      <w:pPr>
        <w:ind w:left="720" w:hanging="360"/>
      </w:pPr>
      <w:rPr>
        <w:rFonts w:ascii="Symbol" w:hAnsi="Symbol" w:hint="default"/>
      </w:rPr>
    </w:lvl>
    <w:lvl w:ilvl="1" w:tplc="6442C250">
      <w:numFmt w:val="decimal"/>
      <w:lvlText w:val=""/>
      <w:lvlJc w:val="left"/>
    </w:lvl>
    <w:lvl w:ilvl="2" w:tplc="33C214E6">
      <w:numFmt w:val="decimal"/>
      <w:lvlText w:val=""/>
      <w:lvlJc w:val="left"/>
    </w:lvl>
    <w:lvl w:ilvl="3" w:tplc="03645958">
      <w:numFmt w:val="decimal"/>
      <w:lvlText w:val=""/>
      <w:lvlJc w:val="left"/>
    </w:lvl>
    <w:lvl w:ilvl="4" w:tplc="EAAA0D20">
      <w:numFmt w:val="decimal"/>
      <w:lvlText w:val=""/>
      <w:lvlJc w:val="left"/>
    </w:lvl>
    <w:lvl w:ilvl="5" w:tplc="084CB4C4">
      <w:numFmt w:val="decimal"/>
      <w:lvlText w:val=""/>
      <w:lvlJc w:val="left"/>
    </w:lvl>
    <w:lvl w:ilvl="6" w:tplc="4A60CA5A">
      <w:numFmt w:val="decimal"/>
      <w:lvlText w:val=""/>
      <w:lvlJc w:val="left"/>
    </w:lvl>
    <w:lvl w:ilvl="7" w:tplc="5BAA2126">
      <w:numFmt w:val="decimal"/>
      <w:lvlText w:val=""/>
      <w:lvlJc w:val="left"/>
    </w:lvl>
    <w:lvl w:ilvl="8" w:tplc="0376133E">
      <w:numFmt w:val="decimal"/>
      <w:lvlText w:val=""/>
      <w:lvlJc w:val="left"/>
    </w:lvl>
  </w:abstractNum>
  <w:abstractNum w:abstractNumId="338" w15:restartNumberingAfterBreak="0">
    <w:nsid w:val="24407456"/>
    <w:multiLevelType w:val="hybridMultilevel"/>
    <w:tmpl w:val="D354BA58"/>
    <w:lvl w:ilvl="0" w:tplc="3A2C150A">
      <w:start w:val="1"/>
      <w:numFmt w:val="bullet"/>
      <w:lvlText w:val=""/>
      <w:lvlJc w:val="left"/>
      <w:pPr>
        <w:ind w:left="720" w:hanging="360"/>
      </w:pPr>
      <w:rPr>
        <w:rFonts w:ascii="Symbol" w:hAnsi="Symbol" w:hint="default"/>
      </w:rPr>
    </w:lvl>
    <w:lvl w:ilvl="1" w:tplc="7570C2FA">
      <w:numFmt w:val="decimal"/>
      <w:lvlText w:val=""/>
      <w:lvlJc w:val="left"/>
    </w:lvl>
    <w:lvl w:ilvl="2" w:tplc="8BC81046">
      <w:numFmt w:val="decimal"/>
      <w:lvlText w:val=""/>
      <w:lvlJc w:val="left"/>
    </w:lvl>
    <w:lvl w:ilvl="3" w:tplc="CA4439A0">
      <w:numFmt w:val="decimal"/>
      <w:lvlText w:val=""/>
      <w:lvlJc w:val="left"/>
    </w:lvl>
    <w:lvl w:ilvl="4" w:tplc="21B4384E">
      <w:numFmt w:val="decimal"/>
      <w:lvlText w:val=""/>
      <w:lvlJc w:val="left"/>
    </w:lvl>
    <w:lvl w:ilvl="5" w:tplc="8E665710">
      <w:numFmt w:val="decimal"/>
      <w:lvlText w:val=""/>
      <w:lvlJc w:val="left"/>
    </w:lvl>
    <w:lvl w:ilvl="6" w:tplc="7F44D5A6">
      <w:numFmt w:val="decimal"/>
      <w:lvlText w:val=""/>
      <w:lvlJc w:val="left"/>
    </w:lvl>
    <w:lvl w:ilvl="7" w:tplc="F14ECC46">
      <w:numFmt w:val="decimal"/>
      <w:lvlText w:val=""/>
      <w:lvlJc w:val="left"/>
    </w:lvl>
    <w:lvl w:ilvl="8" w:tplc="586CBC88">
      <w:numFmt w:val="decimal"/>
      <w:lvlText w:val=""/>
      <w:lvlJc w:val="left"/>
    </w:lvl>
  </w:abstractNum>
  <w:abstractNum w:abstractNumId="339" w15:restartNumberingAfterBreak="0">
    <w:nsid w:val="245C2153"/>
    <w:multiLevelType w:val="hybridMultilevel"/>
    <w:tmpl w:val="3A10EE7A"/>
    <w:lvl w:ilvl="0" w:tplc="8670FF78">
      <w:start w:val="1"/>
      <w:numFmt w:val="bullet"/>
      <w:lvlText w:val=""/>
      <w:lvlJc w:val="left"/>
      <w:pPr>
        <w:ind w:left="720" w:hanging="360"/>
      </w:pPr>
      <w:rPr>
        <w:rFonts w:ascii="Symbol" w:hAnsi="Symbol" w:hint="default"/>
      </w:rPr>
    </w:lvl>
    <w:lvl w:ilvl="1" w:tplc="402673A2">
      <w:numFmt w:val="decimal"/>
      <w:lvlText w:val=""/>
      <w:lvlJc w:val="left"/>
    </w:lvl>
    <w:lvl w:ilvl="2" w:tplc="9FA62464">
      <w:numFmt w:val="decimal"/>
      <w:lvlText w:val=""/>
      <w:lvlJc w:val="left"/>
    </w:lvl>
    <w:lvl w:ilvl="3" w:tplc="9684C58E">
      <w:numFmt w:val="decimal"/>
      <w:lvlText w:val=""/>
      <w:lvlJc w:val="left"/>
    </w:lvl>
    <w:lvl w:ilvl="4" w:tplc="8DC2AEDE">
      <w:numFmt w:val="decimal"/>
      <w:lvlText w:val=""/>
      <w:lvlJc w:val="left"/>
    </w:lvl>
    <w:lvl w:ilvl="5" w:tplc="F630220E">
      <w:numFmt w:val="decimal"/>
      <w:lvlText w:val=""/>
      <w:lvlJc w:val="left"/>
    </w:lvl>
    <w:lvl w:ilvl="6" w:tplc="BD26FE6A">
      <w:numFmt w:val="decimal"/>
      <w:lvlText w:val=""/>
      <w:lvlJc w:val="left"/>
    </w:lvl>
    <w:lvl w:ilvl="7" w:tplc="BD12D1D0">
      <w:numFmt w:val="decimal"/>
      <w:lvlText w:val=""/>
      <w:lvlJc w:val="left"/>
    </w:lvl>
    <w:lvl w:ilvl="8" w:tplc="947CD94C">
      <w:numFmt w:val="decimal"/>
      <w:lvlText w:val=""/>
      <w:lvlJc w:val="left"/>
    </w:lvl>
  </w:abstractNum>
  <w:abstractNum w:abstractNumId="340" w15:restartNumberingAfterBreak="0">
    <w:nsid w:val="247974EA"/>
    <w:multiLevelType w:val="hybridMultilevel"/>
    <w:tmpl w:val="029EB45C"/>
    <w:lvl w:ilvl="0" w:tplc="E026BE94">
      <w:start w:val="1"/>
      <w:numFmt w:val="bullet"/>
      <w:lvlText w:val=""/>
      <w:lvlJc w:val="left"/>
      <w:pPr>
        <w:ind w:left="720" w:hanging="360"/>
      </w:pPr>
      <w:rPr>
        <w:rFonts w:ascii="Symbol" w:hAnsi="Symbol" w:hint="default"/>
      </w:rPr>
    </w:lvl>
    <w:lvl w:ilvl="1" w:tplc="DFAC837E">
      <w:numFmt w:val="decimal"/>
      <w:lvlText w:val=""/>
      <w:lvlJc w:val="left"/>
    </w:lvl>
    <w:lvl w:ilvl="2" w:tplc="F1028668">
      <w:numFmt w:val="decimal"/>
      <w:lvlText w:val=""/>
      <w:lvlJc w:val="left"/>
    </w:lvl>
    <w:lvl w:ilvl="3" w:tplc="E4E4B55E">
      <w:numFmt w:val="decimal"/>
      <w:lvlText w:val=""/>
      <w:lvlJc w:val="left"/>
    </w:lvl>
    <w:lvl w:ilvl="4" w:tplc="6E58B774">
      <w:numFmt w:val="decimal"/>
      <w:lvlText w:val=""/>
      <w:lvlJc w:val="left"/>
    </w:lvl>
    <w:lvl w:ilvl="5" w:tplc="575006E2">
      <w:numFmt w:val="decimal"/>
      <w:lvlText w:val=""/>
      <w:lvlJc w:val="left"/>
    </w:lvl>
    <w:lvl w:ilvl="6" w:tplc="67C66CFE">
      <w:numFmt w:val="decimal"/>
      <w:lvlText w:val=""/>
      <w:lvlJc w:val="left"/>
    </w:lvl>
    <w:lvl w:ilvl="7" w:tplc="D5666C08">
      <w:numFmt w:val="decimal"/>
      <w:lvlText w:val=""/>
      <w:lvlJc w:val="left"/>
    </w:lvl>
    <w:lvl w:ilvl="8" w:tplc="D046A6D4">
      <w:numFmt w:val="decimal"/>
      <w:lvlText w:val=""/>
      <w:lvlJc w:val="left"/>
    </w:lvl>
  </w:abstractNum>
  <w:abstractNum w:abstractNumId="341" w15:restartNumberingAfterBreak="0">
    <w:nsid w:val="248776FC"/>
    <w:multiLevelType w:val="hybridMultilevel"/>
    <w:tmpl w:val="D87C8ADA"/>
    <w:lvl w:ilvl="0" w:tplc="491AE258">
      <w:numFmt w:val="decimal"/>
      <w:lvlText w:val=""/>
      <w:lvlJc w:val="left"/>
    </w:lvl>
    <w:lvl w:ilvl="1" w:tplc="0F1CE9A8">
      <w:start w:val="1"/>
      <w:numFmt w:val="bullet"/>
      <w:lvlText w:val=""/>
      <w:lvlJc w:val="left"/>
      <w:pPr>
        <w:ind w:left="1440" w:hanging="360"/>
      </w:pPr>
      <w:rPr>
        <w:rFonts w:ascii="Symbol" w:hAnsi="Symbol" w:hint="default"/>
      </w:rPr>
    </w:lvl>
    <w:lvl w:ilvl="2" w:tplc="6B32BF86">
      <w:numFmt w:val="decimal"/>
      <w:lvlText w:val=""/>
      <w:lvlJc w:val="left"/>
    </w:lvl>
    <w:lvl w:ilvl="3" w:tplc="1700DC76">
      <w:numFmt w:val="decimal"/>
      <w:lvlText w:val=""/>
      <w:lvlJc w:val="left"/>
    </w:lvl>
    <w:lvl w:ilvl="4" w:tplc="3796D9E4">
      <w:numFmt w:val="decimal"/>
      <w:lvlText w:val=""/>
      <w:lvlJc w:val="left"/>
    </w:lvl>
    <w:lvl w:ilvl="5" w:tplc="A8D68BA8">
      <w:numFmt w:val="decimal"/>
      <w:lvlText w:val=""/>
      <w:lvlJc w:val="left"/>
    </w:lvl>
    <w:lvl w:ilvl="6" w:tplc="2B4E985C">
      <w:numFmt w:val="decimal"/>
      <w:lvlText w:val=""/>
      <w:lvlJc w:val="left"/>
    </w:lvl>
    <w:lvl w:ilvl="7" w:tplc="689E16BA">
      <w:numFmt w:val="decimal"/>
      <w:lvlText w:val=""/>
      <w:lvlJc w:val="left"/>
    </w:lvl>
    <w:lvl w:ilvl="8" w:tplc="5A5603EC">
      <w:numFmt w:val="decimal"/>
      <w:lvlText w:val=""/>
      <w:lvlJc w:val="left"/>
    </w:lvl>
  </w:abstractNum>
  <w:abstractNum w:abstractNumId="342" w15:restartNumberingAfterBreak="0">
    <w:nsid w:val="248C4FC7"/>
    <w:multiLevelType w:val="hybridMultilevel"/>
    <w:tmpl w:val="8B8633B4"/>
    <w:lvl w:ilvl="0" w:tplc="F38CD39E">
      <w:start w:val="1"/>
      <w:numFmt w:val="bullet"/>
      <w:lvlText w:val=""/>
      <w:lvlJc w:val="left"/>
      <w:pPr>
        <w:ind w:left="720" w:hanging="360"/>
      </w:pPr>
      <w:rPr>
        <w:rFonts w:ascii="Symbol" w:hAnsi="Symbol" w:hint="default"/>
      </w:rPr>
    </w:lvl>
    <w:lvl w:ilvl="1" w:tplc="FF4CA4F0">
      <w:numFmt w:val="decimal"/>
      <w:lvlText w:val=""/>
      <w:lvlJc w:val="left"/>
    </w:lvl>
    <w:lvl w:ilvl="2" w:tplc="056EA5B2">
      <w:numFmt w:val="decimal"/>
      <w:lvlText w:val=""/>
      <w:lvlJc w:val="left"/>
    </w:lvl>
    <w:lvl w:ilvl="3" w:tplc="09AA29A6">
      <w:numFmt w:val="decimal"/>
      <w:lvlText w:val=""/>
      <w:lvlJc w:val="left"/>
    </w:lvl>
    <w:lvl w:ilvl="4" w:tplc="2B3C1E94">
      <w:numFmt w:val="decimal"/>
      <w:lvlText w:val=""/>
      <w:lvlJc w:val="left"/>
    </w:lvl>
    <w:lvl w:ilvl="5" w:tplc="95F8C8DC">
      <w:numFmt w:val="decimal"/>
      <w:lvlText w:val=""/>
      <w:lvlJc w:val="left"/>
    </w:lvl>
    <w:lvl w:ilvl="6" w:tplc="45AA1122">
      <w:numFmt w:val="decimal"/>
      <w:lvlText w:val=""/>
      <w:lvlJc w:val="left"/>
    </w:lvl>
    <w:lvl w:ilvl="7" w:tplc="9EA839D4">
      <w:numFmt w:val="decimal"/>
      <w:lvlText w:val=""/>
      <w:lvlJc w:val="left"/>
    </w:lvl>
    <w:lvl w:ilvl="8" w:tplc="DF8205FA">
      <w:numFmt w:val="decimal"/>
      <w:lvlText w:val=""/>
      <w:lvlJc w:val="left"/>
    </w:lvl>
  </w:abstractNum>
  <w:abstractNum w:abstractNumId="343" w15:restartNumberingAfterBreak="0">
    <w:nsid w:val="24935868"/>
    <w:multiLevelType w:val="hybridMultilevel"/>
    <w:tmpl w:val="9008F146"/>
    <w:lvl w:ilvl="0" w:tplc="C4F81208">
      <w:start w:val="1"/>
      <w:numFmt w:val="bullet"/>
      <w:lvlText w:val=""/>
      <w:lvlJc w:val="left"/>
      <w:pPr>
        <w:ind w:left="720" w:hanging="360"/>
      </w:pPr>
      <w:rPr>
        <w:rFonts w:ascii="Symbol" w:hAnsi="Symbol" w:hint="default"/>
      </w:rPr>
    </w:lvl>
    <w:lvl w:ilvl="1" w:tplc="164821C2">
      <w:numFmt w:val="decimal"/>
      <w:lvlText w:val=""/>
      <w:lvlJc w:val="left"/>
    </w:lvl>
    <w:lvl w:ilvl="2" w:tplc="8482071A">
      <w:numFmt w:val="decimal"/>
      <w:lvlText w:val=""/>
      <w:lvlJc w:val="left"/>
    </w:lvl>
    <w:lvl w:ilvl="3" w:tplc="B1C0AB00">
      <w:numFmt w:val="decimal"/>
      <w:lvlText w:val=""/>
      <w:lvlJc w:val="left"/>
    </w:lvl>
    <w:lvl w:ilvl="4" w:tplc="8B0012C8">
      <w:numFmt w:val="decimal"/>
      <w:lvlText w:val=""/>
      <w:lvlJc w:val="left"/>
    </w:lvl>
    <w:lvl w:ilvl="5" w:tplc="049C440E">
      <w:numFmt w:val="decimal"/>
      <w:lvlText w:val=""/>
      <w:lvlJc w:val="left"/>
    </w:lvl>
    <w:lvl w:ilvl="6" w:tplc="2A5EC68A">
      <w:numFmt w:val="decimal"/>
      <w:lvlText w:val=""/>
      <w:lvlJc w:val="left"/>
    </w:lvl>
    <w:lvl w:ilvl="7" w:tplc="2DE65D4E">
      <w:numFmt w:val="decimal"/>
      <w:lvlText w:val=""/>
      <w:lvlJc w:val="left"/>
    </w:lvl>
    <w:lvl w:ilvl="8" w:tplc="00CC0CC2">
      <w:numFmt w:val="decimal"/>
      <w:lvlText w:val=""/>
      <w:lvlJc w:val="left"/>
    </w:lvl>
  </w:abstractNum>
  <w:abstractNum w:abstractNumId="344" w15:restartNumberingAfterBreak="0">
    <w:nsid w:val="24AD347E"/>
    <w:multiLevelType w:val="hybridMultilevel"/>
    <w:tmpl w:val="173A5AD0"/>
    <w:lvl w:ilvl="0" w:tplc="440E4EC0">
      <w:start w:val="1"/>
      <w:numFmt w:val="bullet"/>
      <w:lvlText w:val=""/>
      <w:lvlJc w:val="left"/>
      <w:pPr>
        <w:ind w:left="720" w:hanging="360"/>
      </w:pPr>
      <w:rPr>
        <w:rFonts w:ascii="Symbol" w:hAnsi="Symbol" w:hint="default"/>
      </w:rPr>
    </w:lvl>
    <w:lvl w:ilvl="1" w:tplc="9C7E18CE">
      <w:numFmt w:val="decimal"/>
      <w:lvlText w:val=""/>
      <w:lvlJc w:val="left"/>
    </w:lvl>
    <w:lvl w:ilvl="2" w:tplc="D9D20BC8">
      <w:numFmt w:val="decimal"/>
      <w:lvlText w:val=""/>
      <w:lvlJc w:val="left"/>
    </w:lvl>
    <w:lvl w:ilvl="3" w:tplc="678C065C">
      <w:numFmt w:val="decimal"/>
      <w:lvlText w:val=""/>
      <w:lvlJc w:val="left"/>
    </w:lvl>
    <w:lvl w:ilvl="4" w:tplc="2FFA0150">
      <w:numFmt w:val="decimal"/>
      <w:lvlText w:val=""/>
      <w:lvlJc w:val="left"/>
    </w:lvl>
    <w:lvl w:ilvl="5" w:tplc="D774F7C2">
      <w:numFmt w:val="decimal"/>
      <w:lvlText w:val=""/>
      <w:lvlJc w:val="left"/>
    </w:lvl>
    <w:lvl w:ilvl="6" w:tplc="75D297AA">
      <w:numFmt w:val="decimal"/>
      <w:lvlText w:val=""/>
      <w:lvlJc w:val="left"/>
    </w:lvl>
    <w:lvl w:ilvl="7" w:tplc="00D89C2E">
      <w:numFmt w:val="decimal"/>
      <w:lvlText w:val=""/>
      <w:lvlJc w:val="left"/>
    </w:lvl>
    <w:lvl w:ilvl="8" w:tplc="1A14C3C4">
      <w:numFmt w:val="decimal"/>
      <w:lvlText w:val=""/>
      <w:lvlJc w:val="left"/>
    </w:lvl>
  </w:abstractNum>
  <w:abstractNum w:abstractNumId="345" w15:restartNumberingAfterBreak="0">
    <w:nsid w:val="24B60B44"/>
    <w:multiLevelType w:val="hybridMultilevel"/>
    <w:tmpl w:val="B44687EE"/>
    <w:lvl w:ilvl="0" w:tplc="4AAC1E28">
      <w:start w:val="1"/>
      <w:numFmt w:val="bullet"/>
      <w:lvlText w:val=""/>
      <w:lvlJc w:val="left"/>
      <w:pPr>
        <w:ind w:left="720" w:hanging="360"/>
      </w:pPr>
      <w:rPr>
        <w:rFonts w:ascii="Symbol" w:hAnsi="Symbol" w:hint="default"/>
      </w:rPr>
    </w:lvl>
    <w:lvl w:ilvl="1" w:tplc="574C73F2">
      <w:numFmt w:val="decimal"/>
      <w:lvlText w:val=""/>
      <w:lvlJc w:val="left"/>
    </w:lvl>
    <w:lvl w:ilvl="2" w:tplc="646E6E66">
      <w:numFmt w:val="decimal"/>
      <w:lvlText w:val=""/>
      <w:lvlJc w:val="left"/>
    </w:lvl>
    <w:lvl w:ilvl="3" w:tplc="AB28B208">
      <w:numFmt w:val="decimal"/>
      <w:lvlText w:val=""/>
      <w:lvlJc w:val="left"/>
    </w:lvl>
    <w:lvl w:ilvl="4" w:tplc="88BC181E">
      <w:numFmt w:val="decimal"/>
      <w:lvlText w:val=""/>
      <w:lvlJc w:val="left"/>
    </w:lvl>
    <w:lvl w:ilvl="5" w:tplc="A3EE71C2">
      <w:numFmt w:val="decimal"/>
      <w:lvlText w:val=""/>
      <w:lvlJc w:val="left"/>
    </w:lvl>
    <w:lvl w:ilvl="6" w:tplc="8E04D6E2">
      <w:numFmt w:val="decimal"/>
      <w:lvlText w:val=""/>
      <w:lvlJc w:val="left"/>
    </w:lvl>
    <w:lvl w:ilvl="7" w:tplc="134802F0">
      <w:numFmt w:val="decimal"/>
      <w:lvlText w:val=""/>
      <w:lvlJc w:val="left"/>
    </w:lvl>
    <w:lvl w:ilvl="8" w:tplc="1362ECE2">
      <w:numFmt w:val="decimal"/>
      <w:lvlText w:val=""/>
      <w:lvlJc w:val="left"/>
    </w:lvl>
  </w:abstractNum>
  <w:abstractNum w:abstractNumId="346" w15:restartNumberingAfterBreak="0">
    <w:nsid w:val="24C26FAB"/>
    <w:multiLevelType w:val="hybridMultilevel"/>
    <w:tmpl w:val="A47A6FEA"/>
    <w:lvl w:ilvl="0" w:tplc="FD30A89C">
      <w:start w:val="1"/>
      <w:numFmt w:val="bullet"/>
      <w:lvlText w:val="○"/>
      <w:lvlJc w:val="left"/>
      <w:pPr>
        <w:ind w:left="720" w:hanging="360"/>
      </w:pPr>
      <w:rPr>
        <w:rFonts w:ascii="Courier New" w:hAnsi="Courier New" w:hint="default"/>
      </w:rPr>
    </w:lvl>
    <w:lvl w:ilvl="1" w:tplc="E66C5B5E">
      <w:numFmt w:val="decimal"/>
      <w:lvlText w:val=""/>
      <w:lvlJc w:val="left"/>
    </w:lvl>
    <w:lvl w:ilvl="2" w:tplc="B4F806AC">
      <w:numFmt w:val="decimal"/>
      <w:lvlText w:val=""/>
      <w:lvlJc w:val="left"/>
    </w:lvl>
    <w:lvl w:ilvl="3" w:tplc="409E5CE2">
      <w:numFmt w:val="decimal"/>
      <w:lvlText w:val=""/>
      <w:lvlJc w:val="left"/>
    </w:lvl>
    <w:lvl w:ilvl="4" w:tplc="E14019BC">
      <w:numFmt w:val="decimal"/>
      <w:lvlText w:val=""/>
      <w:lvlJc w:val="left"/>
    </w:lvl>
    <w:lvl w:ilvl="5" w:tplc="C9C05C6E">
      <w:numFmt w:val="decimal"/>
      <w:lvlText w:val=""/>
      <w:lvlJc w:val="left"/>
    </w:lvl>
    <w:lvl w:ilvl="6" w:tplc="848ED692">
      <w:numFmt w:val="decimal"/>
      <w:lvlText w:val=""/>
      <w:lvlJc w:val="left"/>
    </w:lvl>
    <w:lvl w:ilvl="7" w:tplc="35DEE4BE">
      <w:numFmt w:val="decimal"/>
      <w:lvlText w:val=""/>
      <w:lvlJc w:val="left"/>
    </w:lvl>
    <w:lvl w:ilvl="8" w:tplc="DACC879A">
      <w:numFmt w:val="decimal"/>
      <w:lvlText w:val=""/>
      <w:lvlJc w:val="left"/>
    </w:lvl>
  </w:abstractNum>
  <w:abstractNum w:abstractNumId="347" w15:restartNumberingAfterBreak="0">
    <w:nsid w:val="24D717A4"/>
    <w:multiLevelType w:val="hybridMultilevel"/>
    <w:tmpl w:val="6A2A3B48"/>
    <w:lvl w:ilvl="0" w:tplc="9FD05BFA">
      <w:start w:val="1"/>
      <w:numFmt w:val="bullet"/>
      <w:lvlText w:val=""/>
      <w:lvlJc w:val="left"/>
      <w:pPr>
        <w:ind w:left="720" w:hanging="360"/>
      </w:pPr>
      <w:rPr>
        <w:rFonts w:ascii="Symbol" w:hAnsi="Symbol" w:hint="default"/>
      </w:rPr>
    </w:lvl>
    <w:lvl w:ilvl="1" w:tplc="203C1B94">
      <w:numFmt w:val="decimal"/>
      <w:lvlText w:val=""/>
      <w:lvlJc w:val="left"/>
    </w:lvl>
    <w:lvl w:ilvl="2" w:tplc="7D50005C">
      <w:numFmt w:val="decimal"/>
      <w:lvlText w:val=""/>
      <w:lvlJc w:val="left"/>
    </w:lvl>
    <w:lvl w:ilvl="3" w:tplc="40B2400E">
      <w:numFmt w:val="decimal"/>
      <w:lvlText w:val=""/>
      <w:lvlJc w:val="left"/>
    </w:lvl>
    <w:lvl w:ilvl="4" w:tplc="D8246B20">
      <w:numFmt w:val="decimal"/>
      <w:lvlText w:val=""/>
      <w:lvlJc w:val="left"/>
    </w:lvl>
    <w:lvl w:ilvl="5" w:tplc="43B4AB82">
      <w:numFmt w:val="decimal"/>
      <w:lvlText w:val=""/>
      <w:lvlJc w:val="left"/>
    </w:lvl>
    <w:lvl w:ilvl="6" w:tplc="4E8E2A90">
      <w:numFmt w:val="decimal"/>
      <w:lvlText w:val=""/>
      <w:lvlJc w:val="left"/>
    </w:lvl>
    <w:lvl w:ilvl="7" w:tplc="594C23AC">
      <w:numFmt w:val="decimal"/>
      <w:lvlText w:val=""/>
      <w:lvlJc w:val="left"/>
    </w:lvl>
    <w:lvl w:ilvl="8" w:tplc="F8BE201A">
      <w:numFmt w:val="decimal"/>
      <w:lvlText w:val=""/>
      <w:lvlJc w:val="left"/>
    </w:lvl>
  </w:abstractNum>
  <w:abstractNum w:abstractNumId="348" w15:restartNumberingAfterBreak="0">
    <w:nsid w:val="24D83ADD"/>
    <w:multiLevelType w:val="hybridMultilevel"/>
    <w:tmpl w:val="F614F254"/>
    <w:lvl w:ilvl="0" w:tplc="4636F7E6">
      <w:start w:val="1"/>
      <w:numFmt w:val="bullet"/>
      <w:lvlText w:val=""/>
      <w:lvlJc w:val="left"/>
      <w:pPr>
        <w:ind w:left="720" w:hanging="360"/>
      </w:pPr>
      <w:rPr>
        <w:rFonts w:ascii="Symbol" w:hAnsi="Symbol" w:hint="default"/>
      </w:rPr>
    </w:lvl>
    <w:lvl w:ilvl="1" w:tplc="D9121CEE">
      <w:numFmt w:val="decimal"/>
      <w:lvlText w:val=""/>
      <w:lvlJc w:val="left"/>
    </w:lvl>
    <w:lvl w:ilvl="2" w:tplc="1F9CEAA0">
      <w:numFmt w:val="decimal"/>
      <w:lvlText w:val=""/>
      <w:lvlJc w:val="left"/>
    </w:lvl>
    <w:lvl w:ilvl="3" w:tplc="B906898E">
      <w:numFmt w:val="decimal"/>
      <w:lvlText w:val=""/>
      <w:lvlJc w:val="left"/>
    </w:lvl>
    <w:lvl w:ilvl="4" w:tplc="A46C383E">
      <w:numFmt w:val="decimal"/>
      <w:lvlText w:val=""/>
      <w:lvlJc w:val="left"/>
    </w:lvl>
    <w:lvl w:ilvl="5" w:tplc="F51AA366">
      <w:numFmt w:val="decimal"/>
      <w:lvlText w:val=""/>
      <w:lvlJc w:val="left"/>
    </w:lvl>
    <w:lvl w:ilvl="6" w:tplc="257ED202">
      <w:numFmt w:val="decimal"/>
      <w:lvlText w:val=""/>
      <w:lvlJc w:val="left"/>
    </w:lvl>
    <w:lvl w:ilvl="7" w:tplc="4460AD5C">
      <w:numFmt w:val="decimal"/>
      <w:lvlText w:val=""/>
      <w:lvlJc w:val="left"/>
    </w:lvl>
    <w:lvl w:ilvl="8" w:tplc="13285A20">
      <w:numFmt w:val="decimal"/>
      <w:lvlText w:val=""/>
      <w:lvlJc w:val="left"/>
    </w:lvl>
  </w:abstractNum>
  <w:abstractNum w:abstractNumId="349" w15:restartNumberingAfterBreak="0">
    <w:nsid w:val="24F21ABA"/>
    <w:multiLevelType w:val="hybridMultilevel"/>
    <w:tmpl w:val="2E68DB4E"/>
    <w:lvl w:ilvl="0" w:tplc="C42A134A">
      <w:start w:val="1"/>
      <w:numFmt w:val="bullet"/>
      <w:lvlText w:val=""/>
      <w:lvlJc w:val="left"/>
      <w:pPr>
        <w:ind w:left="720" w:hanging="360"/>
      </w:pPr>
      <w:rPr>
        <w:rFonts w:ascii="Symbol" w:hAnsi="Symbol" w:hint="default"/>
      </w:rPr>
    </w:lvl>
    <w:lvl w:ilvl="1" w:tplc="78AAA216">
      <w:numFmt w:val="decimal"/>
      <w:lvlText w:val=""/>
      <w:lvlJc w:val="left"/>
    </w:lvl>
    <w:lvl w:ilvl="2" w:tplc="94588FE8">
      <w:numFmt w:val="decimal"/>
      <w:lvlText w:val=""/>
      <w:lvlJc w:val="left"/>
    </w:lvl>
    <w:lvl w:ilvl="3" w:tplc="4FA04740">
      <w:numFmt w:val="decimal"/>
      <w:lvlText w:val=""/>
      <w:lvlJc w:val="left"/>
    </w:lvl>
    <w:lvl w:ilvl="4" w:tplc="D94CCD5C">
      <w:numFmt w:val="decimal"/>
      <w:lvlText w:val=""/>
      <w:lvlJc w:val="left"/>
    </w:lvl>
    <w:lvl w:ilvl="5" w:tplc="BE4C0810">
      <w:numFmt w:val="decimal"/>
      <w:lvlText w:val=""/>
      <w:lvlJc w:val="left"/>
    </w:lvl>
    <w:lvl w:ilvl="6" w:tplc="B5DE9B3A">
      <w:numFmt w:val="decimal"/>
      <w:lvlText w:val=""/>
      <w:lvlJc w:val="left"/>
    </w:lvl>
    <w:lvl w:ilvl="7" w:tplc="A57AD69C">
      <w:numFmt w:val="decimal"/>
      <w:lvlText w:val=""/>
      <w:lvlJc w:val="left"/>
    </w:lvl>
    <w:lvl w:ilvl="8" w:tplc="DDCEA782">
      <w:numFmt w:val="decimal"/>
      <w:lvlText w:val=""/>
      <w:lvlJc w:val="left"/>
    </w:lvl>
  </w:abstractNum>
  <w:abstractNum w:abstractNumId="350" w15:restartNumberingAfterBreak="0">
    <w:nsid w:val="24F86EC3"/>
    <w:multiLevelType w:val="hybridMultilevel"/>
    <w:tmpl w:val="F09E6924"/>
    <w:lvl w:ilvl="0" w:tplc="EB0E10FE">
      <w:start w:val="1"/>
      <w:numFmt w:val="bullet"/>
      <w:lvlText w:val=""/>
      <w:lvlJc w:val="left"/>
      <w:pPr>
        <w:ind w:left="720" w:hanging="360"/>
      </w:pPr>
      <w:rPr>
        <w:rFonts w:ascii="Symbol" w:hAnsi="Symbol" w:hint="default"/>
      </w:rPr>
    </w:lvl>
    <w:lvl w:ilvl="1" w:tplc="468A9E58">
      <w:numFmt w:val="decimal"/>
      <w:lvlText w:val=""/>
      <w:lvlJc w:val="left"/>
    </w:lvl>
    <w:lvl w:ilvl="2" w:tplc="237EFECE">
      <w:numFmt w:val="decimal"/>
      <w:lvlText w:val=""/>
      <w:lvlJc w:val="left"/>
    </w:lvl>
    <w:lvl w:ilvl="3" w:tplc="C61A83F8">
      <w:numFmt w:val="decimal"/>
      <w:lvlText w:val=""/>
      <w:lvlJc w:val="left"/>
    </w:lvl>
    <w:lvl w:ilvl="4" w:tplc="3AD0ACD2">
      <w:numFmt w:val="decimal"/>
      <w:lvlText w:val=""/>
      <w:lvlJc w:val="left"/>
    </w:lvl>
    <w:lvl w:ilvl="5" w:tplc="9A961262">
      <w:numFmt w:val="decimal"/>
      <w:lvlText w:val=""/>
      <w:lvlJc w:val="left"/>
    </w:lvl>
    <w:lvl w:ilvl="6" w:tplc="928ED924">
      <w:numFmt w:val="decimal"/>
      <w:lvlText w:val=""/>
      <w:lvlJc w:val="left"/>
    </w:lvl>
    <w:lvl w:ilvl="7" w:tplc="CF547252">
      <w:numFmt w:val="decimal"/>
      <w:lvlText w:val=""/>
      <w:lvlJc w:val="left"/>
    </w:lvl>
    <w:lvl w:ilvl="8" w:tplc="376A516A">
      <w:numFmt w:val="decimal"/>
      <w:lvlText w:val=""/>
      <w:lvlJc w:val="left"/>
    </w:lvl>
  </w:abstractNum>
  <w:abstractNum w:abstractNumId="351" w15:restartNumberingAfterBreak="0">
    <w:nsid w:val="2513798F"/>
    <w:multiLevelType w:val="hybridMultilevel"/>
    <w:tmpl w:val="766CA1F8"/>
    <w:lvl w:ilvl="0" w:tplc="17BAAF2E">
      <w:numFmt w:val="decimal"/>
      <w:lvlText w:val=""/>
      <w:lvlJc w:val="left"/>
    </w:lvl>
    <w:lvl w:ilvl="1" w:tplc="07F0C38E">
      <w:start w:val="1"/>
      <w:numFmt w:val="bullet"/>
      <w:lvlText w:val=""/>
      <w:lvlJc w:val="left"/>
      <w:pPr>
        <w:ind w:left="1440" w:hanging="360"/>
      </w:pPr>
      <w:rPr>
        <w:rFonts w:ascii="Symbol" w:hAnsi="Symbol" w:hint="default"/>
      </w:rPr>
    </w:lvl>
    <w:lvl w:ilvl="2" w:tplc="AD18E07E">
      <w:numFmt w:val="decimal"/>
      <w:lvlText w:val=""/>
      <w:lvlJc w:val="left"/>
    </w:lvl>
    <w:lvl w:ilvl="3" w:tplc="F29CDF44">
      <w:numFmt w:val="decimal"/>
      <w:lvlText w:val=""/>
      <w:lvlJc w:val="left"/>
    </w:lvl>
    <w:lvl w:ilvl="4" w:tplc="DB0290A6">
      <w:numFmt w:val="decimal"/>
      <w:lvlText w:val=""/>
      <w:lvlJc w:val="left"/>
    </w:lvl>
    <w:lvl w:ilvl="5" w:tplc="B9E054F6">
      <w:numFmt w:val="decimal"/>
      <w:lvlText w:val=""/>
      <w:lvlJc w:val="left"/>
    </w:lvl>
    <w:lvl w:ilvl="6" w:tplc="EAF44DFC">
      <w:numFmt w:val="decimal"/>
      <w:lvlText w:val=""/>
      <w:lvlJc w:val="left"/>
    </w:lvl>
    <w:lvl w:ilvl="7" w:tplc="0FC42D56">
      <w:numFmt w:val="decimal"/>
      <w:lvlText w:val=""/>
      <w:lvlJc w:val="left"/>
    </w:lvl>
    <w:lvl w:ilvl="8" w:tplc="98568462">
      <w:numFmt w:val="decimal"/>
      <w:lvlText w:val=""/>
      <w:lvlJc w:val="left"/>
    </w:lvl>
  </w:abstractNum>
  <w:abstractNum w:abstractNumId="352" w15:restartNumberingAfterBreak="0">
    <w:nsid w:val="252C549F"/>
    <w:multiLevelType w:val="hybridMultilevel"/>
    <w:tmpl w:val="579A148C"/>
    <w:lvl w:ilvl="0" w:tplc="7E723F62">
      <w:start w:val="1"/>
      <w:numFmt w:val="bullet"/>
      <w:lvlText w:val=""/>
      <w:lvlJc w:val="left"/>
      <w:pPr>
        <w:ind w:left="720" w:hanging="360"/>
      </w:pPr>
      <w:rPr>
        <w:rFonts w:ascii="Symbol" w:hAnsi="Symbol" w:hint="default"/>
      </w:rPr>
    </w:lvl>
    <w:lvl w:ilvl="1" w:tplc="1CEA91CA">
      <w:numFmt w:val="decimal"/>
      <w:lvlText w:val=""/>
      <w:lvlJc w:val="left"/>
    </w:lvl>
    <w:lvl w:ilvl="2" w:tplc="789674E0">
      <w:numFmt w:val="decimal"/>
      <w:lvlText w:val=""/>
      <w:lvlJc w:val="left"/>
    </w:lvl>
    <w:lvl w:ilvl="3" w:tplc="53F0934E">
      <w:numFmt w:val="decimal"/>
      <w:lvlText w:val=""/>
      <w:lvlJc w:val="left"/>
    </w:lvl>
    <w:lvl w:ilvl="4" w:tplc="9CFAB49E">
      <w:numFmt w:val="decimal"/>
      <w:lvlText w:val=""/>
      <w:lvlJc w:val="left"/>
    </w:lvl>
    <w:lvl w:ilvl="5" w:tplc="9956E904">
      <w:numFmt w:val="decimal"/>
      <w:lvlText w:val=""/>
      <w:lvlJc w:val="left"/>
    </w:lvl>
    <w:lvl w:ilvl="6" w:tplc="CA3E3F7A">
      <w:numFmt w:val="decimal"/>
      <w:lvlText w:val=""/>
      <w:lvlJc w:val="left"/>
    </w:lvl>
    <w:lvl w:ilvl="7" w:tplc="BC20C9DA">
      <w:numFmt w:val="decimal"/>
      <w:lvlText w:val=""/>
      <w:lvlJc w:val="left"/>
    </w:lvl>
    <w:lvl w:ilvl="8" w:tplc="3DC03A7A">
      <w:numFmt w:val="decimal"/>
      <w:lvlText w:val=""/>
      <w:lvlJc w:val="left"/>
    </w:lvl>
  </w:abstractNum>
  <w:abstractNum w:abstractNumId="353" w15:restartNumberingAfterBreak="0">
    <w:nsid w:val="253C200F"/>
    <w:multiLevelType w:val="hybridMultilevel"/>
    <w:tmpl w:val="12FA6B04"/>
    <w:lvl w:ilvl="0" w:tplc="0876D8BE">
      <w:start w:val="1"/>
      <w:numFmt w:val="bullet"/>
      <w:lvlText w:val=""/>
      <w:lvlJc w:val="left"/>
      <w:pPr>
        <w:ind w:left="720" w:hanging="360"/>
      </w:pPr>
      <w:rPr>
        <w:rFonts w:ascii="Symbol" w:hAnsi="Symbol" w:hint="default"/>
      </w:rPr>
    </w:lvl>
    <w:lvl w:ilvl="1" w:tplc="AAFCFAAC">
      <w:numFmt w:val="decimal"/>
      <w:lvlText w:val=""/>
      <w:lvlJc w:val="left"/>
    </w:lvl>
    <w:lvl w:ilvl="2" w:tplc="529EFD2A">
      <w:numFmt w:val="decimal"/>
      <w:lvlText w:val=""/>
      <w:lvlJc w:val="left"/>
    </w:lvl>
    <w:lvl w:ilvl="3" w:tplc="C0B2FE8A">
      <w:numFmt w:val="decimal"/>
      <w:lvlText w:val=""/>
      <w:lvlJc w:val="left"/>
    </w:lvl>
    <w:lvl w:ilvl="4" w:tplc="AC9ECBE0">
      <w:numFmt w:val="decimal"/>
      <w:lvlText w:val=""/>
      <w:lvlJc w:val="left"/>
    </w:lvl>
    <w:lvl w:ilvl="5" w:tplc="062E5AB0">
      <w:numFmt w:val="decimal"/>
      <w:lvlText w:val=""/>
      <w:lvlJc w:val="left"/>
    </w:lvl>
    <w:lvl w:ilvl="6" w:tplc="A5588BBE">
      <w:numFmt w:val="decimal"/>
      <w:lvlText w:val=""/>
      <w:lvlJc w:val="left"/>
    </w:lvl>
    <w:lvl w:ilvl="7" w:tplc="6DDAD20A">
      <w:numFmt w:val="decimal"/>
      <w:lvlText w:val=""/>
      <w:lvlJc w:val="left"/>
    </w:lvl>
    <w:lvl w:ilvl="8" w:tplc="6E9A8084">
      <w:numFmt w:val="decimal"/>
      <w:lvlText w:val=""/>
      <w:lvlJc w:val="left"/>
    </w:lvl>
  </w:abstractNum>
  <w:abstractNum w:abstractNumId="354" w15:restartNumberingAfterBreak="0">
    <w:nsid w:val="25416376"/>
    <w:multiLevelType w:val="hybridMultilevel"/>
    <w:tmpl w:val="0A1AD66E"/>
    <w:lvl w:ilvl="0" w:tplc="C5CE107C">
      <w:start w:val="1"/>
      <w:numFmt w:val="bullet"/>
      <w:lvlText w:val=""/>
      <w:lvlJc w:val="left"/>
      <w:pPr>
        <w:ind w:left="720" w:hanging="360"/>
      </w:pPr>
      <w:rPr>
        <w:rFonts w:ascii="Symbol" w:hAnsi="Symbol" w:hint="default"/>
      </w:rPr>
    </w:lvl>
    <w:lvl w:ilvl="1" w:tplc="EB28EED4">
      <w:numFmt w:val="decimal"/>
      <w:lvlText w:val=""/>
      <w:lvlJc w:val="left"/>
    </w:lvl>
    <w:lvl w:ilvl="2" w:tplc="F8C40E9A">
      <w:numFmt w:val="decimal"/>
      <w:lvlText w:val=""/>
      <w:lvlJc w:val="left"/>
    </w:lvl>
    <w:lvl w:ilvl="3" w:tplc="971A4952">
      <w:numFmt w:val="decimal"/>
      <w:lvlText w:val=""/>
      <w:lvlJc w:val="left"/>
    </w:lvl>
    <w:lvl w:ilvl="4" w:tplc="247CFA82">
      <w:numFmt w:val="decimal"/>
      <w:lvlText w:val=""/>
      <w:lvlJc w:val="left"/>
    </w:lvl>
    <w:lvl w:ilvl="5" w:tplc="FBF0D630">
      <w:numFmt w:val="decimal"/>
      <w:lvlText w:val=""/>
      <w:lvlJc w:val="left"/>
    </w:lvl>
    <w:lvl w:ilvl="6" w:tplc="82009C76">
      <w:numFmt w:val="decimal"/>
      <w:lvlText w:val=""/>
      <w:lvlJc w:val="left"/>
    </w:lvl>
    <w:lvl w:ilvl="7" w:tplc="C77C5DE2">
      <w:numFmt w:val="decimal"/>
      <w:lvlText w:val=""/>
      <w:lvlJc w:val="left"/>
    </w:lvl>
    <w:lvl w:ilvl="8" w:tplc="FA425532">
      <w:numFmt w:val="decimal"/>
      <w:lvlText w:val=""/>
      <w:lvlJc w:val="left"/>
    </w:lvl>
  </w:abstractNum>
  <w:abstractNum w:abstractNumId="355" w15:restartNumberingAfterBreak="0">
    <w:nsid w:val="25432A5C"/>
    <w:multiLevelType w:val="hybridMultilevel"/>
    <w:tmpl w:val="78E0CF98"/>
    <w:lvl w:ilvl="0" w:tplc="82544A74">
      <w:numFmt w:val="decimal"/>
      <w:lvlText w:val=""/>
      <w:lvlJc w:val="left"/>
    </w:lvl>
    <w:lvl w:ilvl="1" w:tplc="92541A06">
      <w:start w:val="1"/>
      <w:numFmt w:val="bullet"/>
      <w:lvlText w:val=""/>
      <w:lvlJc w:val="left"/>
      <w:pPr>
        <w:ind w:left="1440" w:hanging="360"/>
      </w:pPr>
      <w:rPr>
        <w:rFonts w:ascii="Symbol" w:hAnsi="Symbol" w:hint="default"/>
      </w:rPr>
    </w:lvl>
    <w:lvl w:ilvl="2" w:tplc="BC8834D0">
      <w:numFmt w:val="decimal"/>
      <w:lvlText w:val=""/>
      <w:lvlJc w:val="left"/>
    </w:lvl>
    <w:lvl w:ilvl="3" w:tplc="63B456BA">
      <w:numFmt w:val="decimal"/>
      <w:lvlText w:val=""/>
      <w:lvlJc w:val="left"/>
    </w:lvl>
    <w:lvl w:ilvl="4" w:tplc="B9601364">
      <w:numFmt w:val="decimal"/>
      <w:lvlText w:val=""/>
      <w:lvlJc w:val="left"/>
    </w:lvl>
    <w:lvl w:ilvl="5" w:tplc="698A5372">
      <w:numFmt w:val="decimal"/>
      <w:lvlText w:val=""/>
      <w:lvlJc w:val="left"/>
    </w:lvl>
    <w:lvl w:ilvl="6" w:tplc="8C66B560">
      <w:numFmt w:val="decimal"/>
      <w:lvlText w:val=""/>
      <w:lvlJc w:val="left"/>
    </w:lvl>
    <w:lvl w:ilvl="7" w:tplc="9C029EB6">
      <w:numFmt w:val="decimal"/>
      <w:lvlText w:val=""/>
      <w:lvlJc w:val="left"/>
    </w:lvl>
    <w:lvl w:ilvl="8" w:tplc="40DA3E74">
      <w:numFmt w:val="decimal"/>
      <w:lvlText w:val=""/>
      <w:lvlJc w:val="left"/>
    </w:lvl>
  </w:abstractNum>
  <w:abstractNum w:abstractNumId="356" w15:restartNumberingAfterBreak="0">
    <w:nsid w:val="257A76E8"/>
    <w:multiLevelType w:val="hybridMultilevel"/>
    <w:tmpl w:val="F282F2F4"/>
    <w:lvl w:ilvl="0" w:tplc="108629BE">
      <w:start w:val="1"/>
      <w:numFmt w:val="bullet"/>
      <w:lvlText w:val=""/>
      <w:lvlJc w:val="left"/>
      <w:pPr>
        <w:ind w:left="720" w:hanging="360"/>
      </w:pPr>
      <w:rPr>
        <w:rFonts w:ascii="Symbol" w:hAnsi="Symbol" w:hint="default"/>
      </w:rPr>
    </w:lvl>
    <w:lvl w:ilvl="1" w:tplc="C028352C">
      <w:numFmt w:val="decimal"/>
      <w:lvlText w:val=""/>
      <w:lvlJc w:val="left"/>
    </w:lvl>
    <w:lvl w:ilvl="2" w:tplc="3B4E75B8">
      <w:numFmt w:val="decimal"/>
      <w:lvlText w:val=""/>
      <w:lvlJc w:val="left"/>
    </w:lvl>
    <w:lvl w:ilvl="3" w:tplc="7A22D764">
      <w:numFmt w:val="decimal"/>
      <w:lvlText w:val=""/>
      <w:lvlJc w:val="left"/>
    </w:lvl>
    <w:lvl w:ilvl="4" w:tplc="9EF6DF78">
      <w:numFmt w:val="decimal"/>
      <w:lvlText w:val=""/>
      <w:lvlJc w:val="left"/>
    </w:lvl>
    <w:lvl w:ilvl="5" w:tplc="9138B5A6">
      <w:numFmt w:val="decimal"/>
      <w:lvlText w:val=""/>
      <w:lvlJc w:val="left"/>
    </w:lvl>
    <w:lvl w:ilvl="6" w:tplc="3AE49820">
      <w:numFmt w:val="decimal"/>
      <w:lvlText w:val=""/>
      <w:lvlJc w:val="left"/>
    </w:lvl>
    <w:lvl w:ilvl="7" w:tplc="B2AE4DB2">
      <w:numFmt w:val="decimal"/>
      <w:lvlText w:val=""/>
      <w:lvlJc w:val="left"/>
    </w:lvl>
    <w:lvl w:ilvl="8" w:tplc="2FC64FCC">
      <w:numFmt w:val="decimal"/>
      <w:lvlText w:val=""/>
      <w:lvlJc w:val="left"/>
    </w:lvl>
  </w:abstractNum>
  <w:abstractNum w:abstractNumId="357" w15:restartNumberingAfterBreak="0">
    <w:nsid w:val="25864ECF"/>
    <w:multiLevelType w:val="hybridMultilevel"/>
    <w:tmpl w:val="51B4FC08"/>
    <w:lvl w:ilvl="0" w:tplc="5860C532">
      <w:start w:val="1"/>
      <w:numFmt w:val="bullet"/>
      <w:lvlText w:val=""/>
      <w:lvlJc w:val="left"/>
      <w:pPr>
        <w:ind w:left="720" w:hanging="360"/>
      </w:pPr>
      <w:rPr>
        <w:rFonts w:ascii="Symbol" w:hAnsi="Symbol" w:hint="default"/>
      </w:rPr>
    </w:lvl>
    <w:lvl w:ilvl="1" w:tplc="C240A720">
      <w:numFmt w:val="decimal"/>
      <w:lvlText w:val=""/>
      <w:lvlJc w:val="left"/>
    </w:lvl>
    <w:lvl w:ilvl="2" w:tplc="2842D0AA">
      <w:numFmt w:val="decimal"/>
      <w:lvlText w:val=""/>
      <w:lvlJc w:val="left"/>
    </w:lvl>
    <w:lvl w:ilvl="3" w:tplc="B3125BE2">
      <w:numFmt w:val="decimal"/>
      <w:lvlText w:val=""/>
      <w:lvlJc w:val="left"/>
    </w:lvl>
    <w:lvl w:ilvl="4" w:tplc="73BEE070">
      <w:numFmt w:val="decimal"/>
      <w:lvlText w:val=""/>
      <w:lvlJc w:val="left"/>
    </w:lvl>
    <w:lvl w:ilvl="5" w:tplc="E9AE4616">
      <w:numFmt w:val="decimal"/>
      <w:lvlText w:val=""/>
      <w:lvlJc w:val="left"/>
    </w:lvl>
    <w:lvl w:ilvl="6" w:tplc="17EC2174">
      <w:numFmt w:val="decimal"/>
      <w:lvlText w:val=""/>
      <w:lvlJc w:val="left"/>
    </w:lvl>
    <w:lvl w:ilvl="7" w:tplc="B01804A4">
      <w:numFmt w:val="decimal"/>
      <w:lvlText w:val=""/>
      <w:lvlJc w:val="left"/>
    </w:lvl>
    <w:lvl w:ilvl="8" w:tplc="67965AE2">
      <w:numFmt w:val="decimal"/>
      <w:lvlText w:val=""/>
      <w:lvlJc w:val="left"/>
    </w:lvl>
  </w:abstractNum>
  <w:abstractNum w:abstractNumId="358" w15:restartNumberingAfterBreak="0">
    <w:nsid w:val="25974FDC"/>
    <w:multiLevelType w:val="hybridMultilevel"/>
    <w:tmpl w:val="CCCAD69E"/>
    <w:lvl w:ilvl="0" w:tplc="0F50F2D4">
      <w:start w:val="1"/>
      <w:numFmt w:val="bullet"/>
      <w:lvlText w:val=""/>
      <w:lvlJc w:val="left"/>
      <w:pPr>
        <w:ind w:left="720" w:hanging="360"/>
      </w:pPr>
      <w:rPr>
        <w:rFonts w:ascii="Symbol" w:hAnsi="Symbol" w:hint="default"/>
      </w:rPr>
    </w:lvl>
    <w:lvl w:ilvl="1" w:tplc="358A6756">
      <w:numFmt w:val="decimal"/>
      <w:lvlText w:val=""/>
      <w:lvlJc w:val="left"/>
    </w:lvl>
    <w:lvl w:ilvl="2" w:tplc="B2C23956">
      <w:numFmt w:val="decimal"/>
      <w:lvlText w:val=""/>
      <w:lvlJc w:val="left"/>
    </w:lvl>
    <w:lvl w:ilvl="3" w:tplc="F54E3F6A">
      <w:numFmt w:val="decimal"/>
      <w:lvlText w:val=""/>
      <w:lvlJc w:val="left"/>
    </w:lvl>
    <w:lvl w:ilvl="4" w:tplc="1FAC8238">
      <w:numFmt w:val="decimal"/>
      <w:lvlText w:val=""/>
      <w:lvlJc w:val="left"/>
    </w:lvl>
    <w:lvl w:ilvl="5" w:tplc="1AFC9C82">
      <w:numFmt w:val="decimal"/>
      <w:lvlText w:val=""/>
      <w:lvlJc w:val="left"/>
    </w:lvl>
    <w:lvl w:ilvl="6" w:tplc="BD5E64B0">
      <w:numFmt w:val="decimal"/>
      <w:lvlText w:val=""/>
      <w:lvlJc w:val="left"/>
    </w:lvl>
    <w:lvl w:ilvl="7" w:tplc="3294B4E6">
      <w:numFmt w:val="decimal"/>
      <w:lvlText w:val=""/>
      <w:lvlJc w:val="left"/>
    </w:lvl>
    <w:lvl w:ilvl="8" w:tplc="6772DBBE">
      <w:numFmt w:val="decimal"/>
      <w:lvlText w:val=""/>
      <w:lvlJc w:val="left"/>
    </w:lvl>
  </w:abstractNum>
  <w:abstractNum w:abstractNumId="359" w15:restartNumberingAfterBreak="0">
    <w:nsid w:val="25B6652C"/>
    <w:multiLevelType w:val="hybridMultilevel"/>
    <w:tmpl w:val="12D48BF0"/>
    <w:lvl w:ilvl="0" w:tplc="DEEEFDD4">
      <w:start w:val="1"/>
      <w:numFmt w:val="bullet"/>
      <w:lvlText w:val=""/>
      <w:lvlJc w:val="left"/>
      <w:pPr>
        <w:ind w:left="720" w:hanging="360"/>
      </w:pPr>
      <w:rPr>
        <w:rFonts w:ascii="Symbol" w:hAnsi="Symbol" w:hint="default"/>
      </w:rPr>
    </w:lvl>
    <w:lvl w:ilvl="1" w:tplc="3300DD46">
      <w:numFmt w:val="decimal"/>
      <w:lvlText w:val=""/>
      <w:lvlJc w:val="left"/>
    </w:lvl>
    <w:lvl w:ilvl="2" w:tplc="4A5E8B50">
      <w:numFmt w:val="decimal"/>
      <w:lvlText w:val=""/>
      <w:lvlJc w:val="left"/>
    </w:lvl>
    <w:lvl w:ilvl="3" w:tplc="02FE12AA">
      <w:numFmt w:val="decimal"/>
      <w:lvlText w:val=""/>
      <w:lvlJc w:val="left"/>
    </w:lvl>
    <w:lvl w:ilvl="4" w:tplc="47947B84">
      <w:numFmt w:val="decimal"/>
      <w:lvlText w:val=""/>
      <w:lvlJc w:val="left"/>
    </w:lvl>
    <w:lvl w:ilvl="5" w:tplc="F6C0CF06">
      <w:numFmt w:val="decimal"/>
      <w:lvlText w:val=""/>
      <w:lvlJc w:val="left"/>
    </w:lvl>
    <w:lvl w:ilvl="6" w:tplc="B6E2798E">
      <w:numFmt w:val="decimal"/>
      <w:lvlText w:val=""/>
      <w:lvlJc w:val="left"/>
    </w:lvl>
    <w:lvl w:ilvl="7" w:tplc="9F7A7846">
      <w:numFmt w:val="decimal"/>
      <w:lvlText w:val=""/>
      <w:lvlJc w:val="left"/>
    </w:lvl>
    <w:lvl w:ilvl="8" w:tplc="9812716A">
      <w:numFmt w:val="decimal"/>
      <w:lvlText w:val=""/>
      <w:lvlJc w:val="left"/>
    </w:lvl>
  </w:abstractNum>
  <w:abstractNum w:abstractNumId="360" w15:restartNumberingAfterBreak="0">
    <w:nsid w:val="25CD6A80"/>
    <w:multiLevelType w:val="hybridMultilevel"/>
    <w:tmpl w:val="1202276A"/>
    <w:lvl w:ilvl="0" w:tplc="62CA4D0E">
      <w:start w:val="1"/>
      <w:numFmt w:val="bullet"/>
      <w:lvlText w:val=""/>
      <w:lvlJc w:val="left"/>
      <w:pPr>
        <w:ind w:left="720" w:hanging="360"/>
      </w:pPr>
      <w:rPr>
        <w:rFonts w:ascii="Symbol" w:hAnsi="Symbol" w:hint="default"/>
      </w:rPr>
    </w:lvl>
    <w:lvl w:ilvl="1" w:tplc="680E6526">
      <w:numFmt w:val="decimal"/>
      <w:lvlText w:val=""/>
      <w:lvlJc w:val="left"/>
    </w:lvl>
    <w:lvl w:ilvl="2" w:tplc="D44ABFD0">
      <w:numFmt w:val="decimal"/>
      <w:lvlText w:val=""/>
      <w:lvlJc w:val="left"/>
    </w:lvl>
    <w:lvl w:ilvl="3" w:tplc="0448B47A">
      <w:numFmt w:val="decimal"/>
      <w:lvlText w:val=""/>
      <w:lvlJc w:val="left"/>
    </w:lvl>
    <w:lvl w:ilvl="4" w:tplc="39C0CB12">
      <w:numFmt w:val="decimal"/>
      <w:lvlText w:val=""/>
      <w:lvlJc w:val="left"/>
    </w:lvl>
    <w:lvl w:ilvl="5" w:tplc="15E67094">
      <w:numFmt w:val="decimal"/>
      <w:lvlText w:val=""/>
      <w:lvlJc w:val="left"/>
    </w:lvl>
    <w:lvl w:ilvl="6" w:tplc="73FAA804">
      <w:numFmt w:val="decimal"/>
      <w:lvlText w:val=""/>
      <w:lvlJc w:val="left"/>
    </w:lvl>
    <w:lvl w:ilvl="7" w:tplc="40C64CEC">
      <w:numFmt w:val="decimal"/>
      <w:lvlText w:val=""/>
      <w:lvlJc w:val="left"/>
    </w:lvl>
    <w:lvl w:ilvl="8" w:tplc="6E9818AA">
      <w:numFmt w:val="decimal"/>
      <w:lvlText w:val=""/>
      <w:lvlJc w:val="left"/>
    </w:lvl>
  </w:abstractNum>
  <w:abstractNum w:abstractNumId="361" w15:restartNumberingAfterBreak="0">
    <w:nsid w:val="26221021"/>
    <w:multiLevelType w:val="hybridMultilevel"/>
    <w:tmpl w:val="E0D61074"/>
    <w:lvl w:ilvl="0" w:tplc="82D8333A">
      <w:start w:val="1"/>
      <w:numFmt w:val="bullet"/>
      <w:lvlText w:val=""/>
      <w:lvlJc w:val="left"/>
      <w:pPr>
        <w:ind w:left="720" w:hanging="360"/>
      </w:pPr>
      <w:rPr>
        <w:rFonts w:ascii="Symbol" w:hAnsi="Symbol" w:hint="default"/>
      </w:rPr>
    </w:lvl>
    <w:lvl w:ilvl="1" w:tplc="AE2EC994">
      <w:numFmt w:val="decimal"/>
      <w:lvlText w:val=""/>
      <w:lvlJc w:val="left"/>
    </w:lvl>
    <w:lvl w:ilvl="2" w:tplc="BAAE3846">
      <w:numFmt w:val="decimal"/>
      <w:lvlText w:val=""/>
      <w:lvlJc w:val="left"/>
    </w:lvl>
    <w:lvl w:ilvl="3" w:tplc="507893AE">
      <w:numFmt w:val="decimal"/>
      <w:lvlText w:val=""/>
      <w:lvlJc w:val="left"/>
    </w:lvl>
    <w:lvl w:ilvl="4" w:tplc="16CACCEC">
      <w:numFmt w:val="decimal"/>
      <w:lvlText w:val=""/>
      <w:lvlJc w:val="left"/>
    </w:lvl>
    <w:lvl w:ilvl="5" w:tplc="17CEAAEE">
      <w:numFmt w:val="decimal"/>
      <w:lvlText w:val=""/>
      <w:lvlJc w:val="left"/>
    </w:lvl>
    <w:lvl w:ilvl="6" w:tplc="EE82B08C">
      <w:numFmt w:val="decimal"/>
      <w:lvlText w:val=""/>
      <w:lvlJc w:val="left"/>
    </w:lvl>
    <w:lvl w:ilvl="7" w:tplc="774E6794">
      <w:numFmt w:val="decimal"/>
      <w:lvlText w:val=""/>
      <w:lvlJc w:val="left"/>
    </w:lvl>
    <w:lvl w:ilvl="8" w:tplc="0EE82844">
      <w:numFmt w:val="decimal"/>
      <w:lvlText w:val=""/>
      <w:lvlJc w:val="left"/>
    </w:lvl>
  </w:abstractNum>
  <w:abstractNum w:abstractNumId="362" w15:restartNumberingAfterBreak="0">
    <w:nsid w:val="263E6123"/>
    <w:multiLevelType w:val="hybridMultilevel"/>
    <w:tmpl w:val="9F5C2F4A"/>
    <w:lvl w:ilvl="0" w:tplc="A620912C">
      <w:start w:val="1"/>
      <w:numFmt w:val="bullet"/>
      <w:lvlText w:val=""/>
      <w:lvlJc w:val="left"/>
      <w:pPr>
        <w:ind w:left="720" w:hanging="360"/>
      </w:pPr>
      <w:rPr>
        <w:rFonts w:ascii="Symbol" w:hAnsi="Symbol" w:hint="default"/>
      </w:rPr>
    </w:lvl>
    <w:lvl w:ilvl="1" w:tplc="E6D64156">
      <w:numFmt w:val="decimal"/>
      <w:lvlText w:val=""/>
      <w:lvlJc w:val="left"/>
    </w:lvl>
    <w:lvl w:ilvl="2" w:tplc="CADA813E">
      <w:numFmt w:val="decimal"/>
      <w:lvlText w:val=""/>
      <w:lvlJc w:val="left"/>
    </w:lvl>
    <w:lvl w:ilvl="3" w:tplc="A8EC18A8">
      <w:numFmt w:val="decimal"/>
      <w:lvlText w:val=""/>
      <w:lvlJc w:val="left"/>
    </w:lvl>
    <w:lvl w:ilvl="4" w:tplc="611A8D38">
      <w:numFmt w:val="decimal"/>
      <w:lvlText w:val=""/>
      <w:lvlJc w:val="left"/>
    </w:lvl>
    <w:lvl w:ilvl="5" w:tplc="3FE834A6">
      <w:numFmt w:val="decimal"/>
      <w:lvlText w:val=""/>
      <w:lvlJc w:val="left"/>
    </w:lvl>
    <w:lvl w:ilvl="6" w:tplc="199CF234">
      <w:numFmt w:val="decimal"/>
      <w:lvlText w:val=""/>
      <w:lvlJc w:val="left"/>
    </w:lvl>
    <w:lvl w:ilvl="7" w:tplc="7CFE80D6">
      <w:numFmt w:val="decimal"/>
      <w:lvlText w:val=""/>
      <w:lvlJc w:val="left"/>
    </w:lvl>
    <w:lvl w:ilvl="8" w:tplc="3496B500">
      <w:numFmt w:val="decimal"/>
      <w:lvlText w:val=""/>
      <w:lvlJc w:val="left"/>
    </w:lvl>
  </w:abstractNum>
  <w:abstractNum w:abstractNumId="363" w15:restartNumberingAfterBreak="0">
    <w:nsid w:val="26914B66"/>
    <w:multiLevelType w:val="hybridMultilevel"/>
    <w:tmpl w:val="7794D22C"/>
    <w:lvl w:ilvl="0" w:tplc="830CD0BA">
      <w:start w:val="1"/>
      <w:numFmt w:val="bullet"/>
      <w:lvlText w:val=""/>
      <w:lvlJc w:val="left"/>
      <w:pPr>
        <w:ind w:left="720" w:hanging="360"/>
      </w:pPr>
      <w:rPr>
        <w:rFonts w:ascii="Symbol" w:hAnsi="Symbol" w:hint="default"/>
      </w:rPr>
    </w:lvl>
    <w:lvl w:ilvl="1" w:tplc="F3BE45F6">
      <w:numFmt w:val="decimal"/>
      <w:lvlText w:val=""/>
      <w:lvlJc w:val="left"/>
    </w:lvl>
    <w:lvl w:ilvl="2" w:tplc="6D049B34">
      <w:numFmt w:val="decimal"/>
      <w:lvlText w:val=""/>
      <w:lvlJc w:val="left"/>
    </w:lvl>
    <w:lvl w:ilvl="3" w:tplc="B9EE4D56">
      <w:numFmt w:val="decimal"/>
      <w:lvlText w:val=""/>
      <w:lvlJc w:val="left"/>
    </w:lvl>
    <w:lvl w:ilvl="4" w:tplc="67A0D010">
      <w:numFmt w:val="decimal"/>
      <w:lvlText w:val=""/>
      <w:lvlJc w:val="left"/>
    </w:lvl>
    <w:lvl w:ilvl="5" w:tplc="9BDE0820">
      <w:numFmt w:val="decimal"/>
      <w:lvlText w:val=""/>
      <w:lvlJc w:val="left"/>
    </w:lvl>
    <w:lvl w:ilvl="6" w:tplc="0C00D4DA">
      <w:numFmt w:val="decimal"/>
      <w:lvlText w:val=""/>
      <w:lvlJc w:val="left"/>
    </w:lvl>
    <w:lvl w:ilvl="7" w:tplc="65642C7C">
      <w:numFmt w:val="decimal"/>
      <w:lvlText w:val=""/>
      <w:lvlJc w:val="left"/>
    </w:lvl>
    <w:lvl w:ilvl="8" w:tplc="048A7122">
      <w:numFmt w:val="decimal"/>
      <w:lvlText w:val=""/>
      <w:lvlJc w:val="left"/>
    </w:lvl>
  </w:abstractNum>
  <w:abstractNum w:abstractNumId="364" w15:restartNumberingAfterBreak="0">
    <w:nsid w:val="269970AF"/>
    <w:multiLevelType w:val="hybridMultilevel"/>
    <w:tmpl w:val="570279F2"/>
    <w:lvl w:ilvl="0" w:tplc="D568A786">
      <w:start w:val="1"/>
      <w:numFmt w:val="bullet"/>
      <w:lvlText w:val=""/>
      <w:lvlJc w:val="left"/>
      <w:pPr>
        <w:ind w:left="720" w:hanging="360"/>
      </w:pPr>
      <w:rPr>
        <w:rFonts w:ascii="Symbol" w:hAnsi="Symbol" w:hint="default"/>
      </w:rPr>
    </w:lvl>
    <w:lvl w:ilvl="1" w:tplc="48F8A082">
      <w:numFmt w:val="decimal"/>
      <w:lvlText w:val=""/>
      <w:lvlJc w:val="left"/>
    </w:lvl>
    <w:lvl w:ilvl="2" w:tplc="47AE4668">
      <w:numFmt w:val="decimal"/>
      <w:lvlText w:val=""/>
      <w:lvlJc w:val="left"/>
    </w:lvl>
    <w:lvl w:ilvl="3" w:tplc="87343588">
      <w:numFmt w:val="decimal"/>
      <w:lvlText w:val=""/>
      <w:lvlJc w:val="left"/>
    </w:lvl>
    <w:lvl w:ilvl="4" w:tplc="1BD88878">
      <w:numFmt w:val="decimal"/>
      <w:lvlText w:val=""/>
      <w:lvlJc w:val="left"/>
    </w:lvl>
    <w:lvl w:ilvl="5" w:tplc="C4348410">
      <w:numFmt w:val="decimal"/>
      <w:lvlText w:val=""/>
      <w:lvlJc w:val="left"/>
    </w:lvl>
    <w:lvl w:ilvl="6" w:tplc="BB88C668">
      <w:numFmt w:val="decimal"/>
      <w:lvlText w:val=""/>
      <w:lvlJc w:val="left"/>
    </w:lvl>
    <w:lvl w:ilvl="7" w:tplc="3236B082">
      <w:numFmt w:val="decimal"/>
      <w:lvlText w:val=""/>
      <w:lvlJc w:val="left"/>
    </w:lvl>
    <w:lvl w:ilvl="8" w:tplc="E8B4D72C">
      <w:numFmt w:val="decimal"/>
      <w:lvlText w:val=""/>
      <w:lvlJc w:val="left"/>
    </w:lvl>
  </w:abstractNum>
  <w:abstractNum w:abstractNumId="365" w15:restartNumberingAfterBreak="0">
    <w:nsid w:val="26A124F6"/>
    <w:multiLevelType w:val="hybridMultilevel"/>
    <w:tmpl w:val="420638BE"/>
    <w:lvl w:ilvl="0" w:tplc="1B7A8A00">
      <w:start w:val="1"/>
      <w:numFmt w:val="bullet"/>
      <w:lvlText w:val=""/>
      <w:lvlJc w:val="left"/>
      <w:pPr>
        <w:ind w:left="720" w:hanging="360"/>
      </w:pPr>
      <w:rPr>
        <w:rFonts w:ascii="Symbol" w:hAnsi="Symbol" w:hint="default"/>
      </w:rPr>
    </w:lvl>
    <w:lvl w:ilvl="1" w:tplc="8A86AED2">
      <w:numFmt w:val="decimal"/>
      <w:lvlText w:val=""/>
      <w:lvlJc w:val="left"/>
    </w:lvl>
    <w:lvl w:ilvl="2" w:tplc="2B9EB60E">
      <w:numFmt w:val="decimal"/>
      <w:lvlText w:val=""/>
      <w:lvlJc w:val="left"/>
    </w:lvl>
    <w:lvl w:ilvl="3" w:tplc="EDF8CF52">
      <w:numFmt w:val="decimal"/>
      <w:lvlText w:val=""/>
      <w:lvlJc w:val="left"/>
    </w:lvl>
    <w:lvl w:ilvl="4" w:tplc="124C2AF6">
      <w:numFmt w:val="decimal"/>
      <w:lvlText w:val=""/>
      <w:lvlJc w:val="left"/>
    </w:lvl>
    <w:lvl w:ilvl="5" w:tplc="A976A040">
      <w:numFmt w:val="decimal"/>
      <w:lvlText w:val=""/>
      <w:lvlJc w:val="left"/>
    </w:lvl>
    <w:lvl w:ilvl="6" w:tplc="269A2FA6">
      <w:numFmt w:val="decimal"/>
      <w:lvlText w:val=""/>
      <w:lvlJc w:val="left"/>
    </w:lvl>
    <w:lvl w:ilvl="7" w:tplc="75363280">
      <w:numFmt w:val="decimal"/>
      <w:lvlText w:val=""/>
      <w:lvlJc w:val="left"/>
    </w:lvl>
    <w:lvl w:ilvl="8" w:tplc="CADE3A56">
      <w:numFmt w:val="decimal"/>
      <w:lvlText w:val=""/>
      <w:lvlJc w:val="left"/>
    </w:lvl>
  </w:abstractNum>
  <w:abstractNum w:abstractNumId="366" w15:restartNumberingAfterBreak="0">
    <w:nsid w:val="26DF62D7"/>
    <w:multiLevelType w:val="hybridMultilevel"/>
    <w:tmpl w:val="47B45772"/>
    <w:lvl w:ilvl="0" w:tplc="47340906">
      <w:start w:val="1"/>
      <w:numFmt w:val="bullet"/>
      <w:lvlText w:val=""/>
      <w:lvlJc w:val="left"/>
      <w:pPr>
        <w:ind w:left="720" w:hanging="360"/>
      </w:pPr>
      <w:rPr>
        <w:rFonts w:ascii="Symbol" w:hAnsi="Symbol" w:hint="default"/>
      </w:rPr>
    </w:lvl>
    <w:lvl w:ilvl="1" w:tplc="7062D2E4">
      <w:numFmt w:val="decimal"/>
      <w:lvlText w:val=""/>
      <w:lvlJc w:val="left"/>
    </w:lvl>
    <w:lvl w:ilvl="2" w:tplc="1EF4E6DA">
      <w:numFmt w:val="decimal"/>
      <w:lvlText w:val=""/>
      <w:lvlJc w:val="left"/>
    </w:lvl>
    <w:lvl w:ilvl="3" w:tplc="B630FD96">
      <w:numFmt w:val="decimal"/>
      <w:lvlText w:val=""/>
      <w:lvlJc w:val="left"/>
    </w:lvl>
    <w:lvl w:ilvl="4" w:tplc="01A6A394">
      <w:numFmt w:val="decimal"/>
      <w:lvlText w:val=""/>
      <w:lvlJc w:val="left"/>
    </w:lvl>
    <w:lvl w:ilvl="5" w:tplc="17627FF6">
      <w:numFmt w:val="decimal"/>
      <w:lvlText w:val=""/>
      <w:lvlJc w:val="left"/>
    </w:lvl>
    <w:lvl w:ilvl="6" w:tplc="A56A4B6E">
      <w:numFmt w:val="decimal"/>
      <w:lvlText w:val=""/>
      <w:lvlJc w:val="left"/>
    </w:lvl>
    <w:lvl w:ilvl="7" w:tplc="19289C20">
      <w:numFmt w:val="decimal"/>
      <w:lvlText w:val=""/>
      <w:lvlJc w:val="left"/>
    </w:lvl>
    <w:lvl w:ilvl="8" w:tplc="F68880C8">
      <w:numFmt w:val="decimal"/>
      <w:lvlText w:val=""/>
      <w:lvlJc w:val="left"/>
    </w:lvl>
  </w:abstractNum>
  <w:abstractNum w:abstractNumId="367" w15:restartNumberingAfterBreak="0">
    <w:nsid w:val="26E01788"/>
    <w:multiLevelType w:val="hybridMultilevel"/>
    <w:tmpl w:val="C57CB946"/>
    <w:lvl w:ilvl="0" w:tplc="47D8A120">
      <w:start w:val="1"/>
      <w:numFmt w:val="bullet"/>
      <w:lvlText w:val=""/>
      <w:lvlJc w:val="left"/>
      <w:pPr>
        <w:ind w:left="720" w:hanging="360"/>
      </w:pPr>
      <w:rPr>
        <w:rFonts w:ascii="Symbol" w:hAnsi="Symbol" w:hint="default"/>
      </w:rPr>
    </w:lvl>
    <w:lvl w:ilvl="1" w:tplc="C17C4AAE">
      <w:numFmt w:val="decimal"/>
      <w:lvlText w:val=""/>
      <w:lvlJc w:val="left"/>
    </w:lvl>
    <w:lvl w:ilvl="2" w:tplc="4956BFAC">
      <w:numFmt w:val="decimal"/>
      <w:lvlText w:val=""/>
      <w:lvlJc w:val="left"/>
    </w:lvl>
    <w:lvl w:ilvl="3" w:tplc="BE9013F2">
      <w:numFmt w:val="decimal"/>
      <w:lvlText w:val=""/>
      <w:lvlJc w:val="left"/>
    </w:lvl>
    <w:lvl w:ilvl="4" w:tplc="778A60A4">
      <w:numFmt w:val="decimal"/>
      <w:lvlText w:val=""/>
      <w:lvlJc w:val="left"/>
    </w:lvl>
    <w:lvl w:ilvl="5" w:tplc="F43C69E0">
      <w:numFmt w:val="decimal"/>
      <w:lvlText w:val=""/>
      <w:lvlJc w:val="left"/>
    </w:lvl>
    <w:lvl w:ilvl="6" w:tplc="285E111C">
      <w:numFmt w:val="decimal"/>
      <w:lvlText w:val=""/>
      <w:lvlJc w:val="left"/>
    </w:lvl>
    <w:lvl w:ilvl="7" w:tplc="E3083EC2">
      <w:numFmt w:val="decimal"/>
      <w:lvlText w:val=""/>
      <w:lvlJc w:val="left"/>
    </w:lvl>
    <w:lvl w:ilvl="8" w:tplc="00725E58">
      <w:numFmt w:val="decimal"/>
      <w:lvlText w:val=""/>
      <w:lvlJc w:val="left"/>
    </w:lvl>
  </w:abstractNum>
  <w:abstractNum w:abstractNumId="368" w15:restartNumberingAfterBreak="0">
    <w:nsid w:val="26F1367B"/>
    <w:multiLevelType w:val="hybridMultilevel"/>
    <w:tmpl w:val="A482A912"/>
    <w:lvl w:ilvl="0" w:tplc="A6A200F0">
      <w:start w:val="1"/>
      <w:numFmt w:val="bullet"/>
      <w:lvlText w:val=""/>
      <w:lvlJc w:val="left"/>
      <w:pPr>
        <w:ind w:left="720" w:hanging="360"/>
      </w:pPr>
      <w:rPr>
        <w:rFonts w:ascii="Symbol" w:hAnsi="Symbol" w:hint="default"/>
      </w:rPr>
    </w:lvl>
    <w:lvl w:ilvl="1" w:tplc="5A3AC724">
      <w:numFmt w:val="decimal"/>
      <w:lvlText w:val=""/>
      <w:lvlJc w:val="left"/>
    </w:lvl>
    <w:lvl w:ilvl="2" w:tplc="51DCDC88">
      <w:numFmt w:val="decimal"/>
      <w:lvlText w:val=""/>
      <w:lvlJc w:val="left"/>
    </w:lvl>
    <w:lvl w:ilvl="3" w:tplc="FB0ED0DE">
      <w:numFmt w:val="decimal"/>
      <w:lvlText w:val=""/>
      <w:lvlJc w:val="left"/>
    </w:lvl>
    <w:lvl w:ilvl="4" w:tplc="703A006C">
      <w:numFmt w:val="decimal"/>
      <w:lvlText w:val=""/>
      <w:lvlJc w:val="left"/>
    </w:lvl>
    <w:lvl w:ilvl="5" w:tplc="688EA9EA">
      <w:numFmt w:val="decimal"/>
      <w:lvlText w:val=""/>
      <w:lvlJc w:val="left"/>
    </w:lvl>
    <w:lvl w:ilvl="6" w:tplc="E57ECBFE">
      <w:numFmt w:val="decimal"/>
      <w:lvlText w:val=""/>
      <w:lvlJc w:val="left"/>
    </w:lvl>
    <w:lvl w:ilvl="7" w:tplc="76BC6B3C">
      <w:numFmt w:val="decimal"/>
      <w:lvlText w:val=""/>
      <w:lvlJc w:val="left"/>
    </w:lvl>
    <w:lvl w:ilvl="8" w:tplc="35F8DFD6">
      <w:numFmt w:val="decimal"/>
      <w:lvlText w:val=""/>
      <w:lvlJc w:val="left"/>
    </w:lvl>
  </w:abstractNum>
  <w:abstractNum w:abstractNumId="369" w15:restartNumberingAfterBreak="0">
    <w:nsid w:val="270B1B99"/>
    <w:multiLevelType w:val="hybridMultilevel"/>
    <w:tmpl w:val="ECD2F566"/>
    <w:lvl w:ilvl="0" w:tplc="FC54A9EC">
      <w:start w:val="1"/>
      <w:numFmt w:val="bullet"/>
      <w:lvlText w:val=""/>
      <w:lvlJc w:val="left"/>
      <w:pPr>
        <w:ind w:left="720" w:hanging="360"/>
      </w:pPr>
      <w:rPr>
        <w:rFonts w:ascii="Symbol" w:hAnsi="Symbol" w:hint="default"/>
      </w:rPr>
    </w:lvl>
    <w:lvl w:ilvl="1" w:tplc="3754DCA4">
      <w:numFmt w:val="decimal"/>
      <w:lvlText w:val=""/>
      <w:lvlJc w:val="left"/>
    </w:lvl>
    <w:lvl w:ilvl="2" w:tplc="FAFACD98">
      <w:numFmt w:val="decimal"/>
      <w:lvlText w:val=""/>
      <w:lvlJc w:val="left"/>
    </w:lvl>
    <w:lvl w:ilvl="3" w:tplc="C42C68CE">
      <w:numFmt w:val="decimal"/>
      <w:lvlText w:val=""/>
      <w:lvlJc w:val="left"/>
    </w:lvl>
    <w:lvl w:ilvl="4" w:tplc="03F8AEB0">
      <w:numFmt w:val="decimal"/>
      <w:lvlText w:val=""/>
      <w:lvlJc w:val="left"/>
    </w:lvl>
    <w:lvl w:ilvl="5" w:tplc="08CA938A">
      <w:numFmt w:val="decimal"/>
      <w:lvlText w:val=""/>
      <w:lvlJc w:val="left"/>
    </w:lvl>
    <w:lvl w:ilvl="6" w:tplc="C0C4982C">
      <w:numFmt w:val="decimal"/>
      <w:lvlText w:val=""/>
      <w:lvlJc w:val="left"/>
    </w:lvl>
    <w:lvl w:ilvl="7" w:tplc="6E6C92B6">
      <w:numFmt w:val="decimal"/>
      <w:lvlText w:val=""/>
      <w:lvlJc w:val="left"/>
    </w:lvl>
    <w:lvl w:ilvl="8" w:tplc="B24ECB38">
      <w:numFmt w:val="decimal"/>
      <w:lvlText w:val=""/>
      <w:lvlJc w:val="left"/>
    </w:lvl>
  </w:abstractNum>
  <w:abstractNum w:abstractNumId="370" w15:restartNumberingAfterBreak="0">
    <w:nsid w:val="271D3E93"/>
    <w:multiLevelType w:val="hybridMultilevel"/>
    <w:tmpl w:val="A9F8332E"/>
    <w:lvl w:ilvl="0" w:tplc="C1CE84DE">
      <w:start w:val="1"/>
      <w:numFmt w:val="bullet"/>
      <w:lvlText w:val=""/>
      <w:lvlJc w:val="left"/>
      <w:pPr>
        <w:ind w:left="720" w:hanging="360"/>
      </w:pPr>
      <w:rPr>
        <w:rFonts w:ascii="Symbol" w:hAnsi="Symbol" w:hint="default"/>
      </w:rPr>
    </w:lvl>
    <w:lvl w:ilvl="1" w:tplc="C89CBD6E">
      <w:numFmt w:val="decimal"/>
      <w:lvlText w:val=""/>
      <w:lvlJc w:val="left"/>
    </w:lvl>
    <w:lvl w:ilvl="2" w:tplc="CD6667C0">
      <w:numFmt w:val="decimal"/>
      <w:lvlText w:val=""/>
      <w:lvlJc w:val="left"/>
    </w:lvl>
    <w:lvl w:ilvl="3" w:tplc="B65220EC">
      <w:numFmt w:val="decimal"/>
      <w:lvlText w:val=""/>
      <w:lvlJc w:val="left"/>
    </w:lvl>
    <w:lvl w:ilvl="4" w:tplc="57920B8E">
      <w:numFmt w:val="decimal"/>
      <w:lvlText w:val=""/>
      <w:lvlJc w:val="left"/>
    </w:lvl>
    <w:lvl w:ilvl="5" w:tplc="91B2BF9E">
      <w:numFmt w:val="decimal"/>
      <w:lvlText w:val=""/>
      <w:lvlJc w:val="left"/>
    </w:lvl>
    <w:lvl w:ilvl="6" w:tplc="B67EB250">
      <w:numFmt w:val="decimal"/>
      <w:lvlText w:val=""/>
      <w:lvlJc w:val="left"/>
    </w:lvl>
    <w:lvl w:ilvl="7" w:tplc="53BCEC84">
      <w:numFmt w:val="decimal"/>
      <w:lvlText w:val=""/>
      <w:lvlJc w:val="left"/>
    </w:lvl>
    <w:lvl w:ilvl="8" w:tplc="330CD174">
      <w:numFmt w:val="decimal"/>
      <w:lvlText w:val=""/>
      <w:lvlJc w:val="left"/>
    </w:lvl>
  </w:abstractNum>
  <w:abstractNum w:abstractNumId="371" w15:restartNumberingAfterBreak="0">
    <w:nsid w:val="27261080"/>
    <w:multiLevelType w:val="hybridMultilevel"/>
    <w:tmpl w:val="738C436C"/>
    <w:lvl w:ilvl="0" w:tplc="DD50E446">
      <w:start w:val="1"/>
      <w:numFmt w:val="bullet"/>
      <w:lvlText w:val=""/>
      <w:lvlJc w:val="left"/>
      <w:pPr>
        <w:ind w:left="720" w:hanging="360"/>
      </w:pPr>
      <w:rPr>
        <w:rFonts w:ascii="Symbol" w:hAnsi="Symbol" w:hint="default"/>
      </w:rPr>
    </w:lvl>
    <w:lvl w:ilvl="1" w:tplc="150A789A">
      <w:numFmt w:val="decimal"/>
      <w:lvlText w:val=""/>
      <w:lvlJc w:val="left"/>
    </w:lvl>
    <w:lvl w:ilvl="2" w:tplc="4D4CE03A">
      <w:numFmt w:val="decimal"/>
      <w:lvlText w:val=""/>
      <w:lvlJc w:val="left"/>
    </w:lvl>
    <w:lvl w:ilvl="3" w:tplc="96362C52">
      <w:numFmt w:val="decimal"/>
      <w:lvlText w:val=""/>
      <w:lvlJc w:val="left"/>
    </w:lvl>
    <w:lvl w:ilvl="4" w:tplc="C27825E8">
      <w:numFmt w:val="decimal"/>
      <w:lvlText w:val=""/>
      <w:lvlJc w:val="left"/>
    </w:lvl>
    <w:lvl w:ilvl="5" w:tplc="85FE0BF2">
      <w:numFmt w:val="decimal"/>
      <w:lvlText w:val=""/>
      <w:lvlJc w:val="left"/>
    </w:lvl>
    <w:lvl w:ilvl="6" w:tplc="82A4429A">
      <w:numFmt w:val="decimal"/>
      <w:lvlText w:val=""/>
      <w:lvlJc w:val="left"/>
    </w:lvl>
    <w:lvl w:ilvl="7" w:tplc="6270C022">
      <w:numFmt w:val="decimal"/>
      <w:lvlText w:val=""/>
      <w:lvlJc w:val="left"/>
    </w:lvl>
    <w:lvl w:ilvl="8" w:tplc="59B4E8CC">
      <w:numFmt w:val="decimal"/>
      <w:lvlText w:val=""/>
      <w:lvlJc w:val="left"/>
    </w:lvl>
  </w:abstractNum>
  <w:abstractNum w:abstractNumId="372" w15:restartNumberingAfterBreak="0">
    <w:nsid w:val="272A1D57"/>
    <w:multiLevelType w:val="hybridMultilevel"/>
    <w:tmpl w:val="7D5CD468"/>
    <w:lvl w:ilvl="0" w:tplc="204ECC32">
      <w:start w:val="1"/>
      <w:numFmt w:val="bullet"/>
      <w:lvlText w:val=""/>
      <w:lvlJc w:val="left"/>
      <w:pPr>
        <w:ind w:left="720" w:hanging="360"/>
      </w:pPr>
      <w:rPr>
        <w:rFonts w:ascii="Symbol" w:hAnsi="Symbol" w:hint="default"/>
      </w:rPr>
    </w:lvl>
    <w:lvl w:ilvl="1" w:tplc="28522258">
      <w:numFmt w:val="decimal"/>
      <w:lvlText w:val=""/>
      <w:lvlJc w:val="left"/>
    </w:lvl>
    <w:lvl w:ilvl="2" w:tplc="EC24B916">
      <w:numFmt w:val="decimal"/>
      <w:lvlText w:val=""/>
      <w:lvlJc w:val="left"/>
    </w:lvl>
    <w:lvl w:ilvl="3" w:tplc="093ED648">
      <w:numFmt w:val="decimal"/>
      <w:lvlText w:val=""/>
      <w:lvlJc w:val="left"/>
    </w:lvl>
    <w:lvl w:ilvl="4" w:tplc="031A4EB6">
      <w:numFmt w:val="decimal"/>
      <w:lvlText w:val=""/>
      <w:lvlJc w:val="left"/>
    </w:lvl>
    <w:lvl w:ilvl="5" w:tplc="0C6E4E84">
      <w:numFmt w:val="decimal"/>
      <w:lvlText w:val=""/>
      <w:lvlJc w:val="left"/>
    </w:lvl>
    <w:lvl w:ilvl="6" w:tplc="AF7A5708">
      <w:numFmt w:val="decimal"/>
      <w:lvlText w:val=""/>
      <w:lvlJc w:val="left"/>
    </w:lvl>
    <w:lvl w:ilvl="7" w:tplc="34E48E62">
      <w:numFmt w:val="decimal"/>
      <w:lvlText w:val=""/>
      <w:lvlJc w:val="left"/>
    </w:lvl>
    <w:lvl w:ilvl="8" w:tplc="DE1A3BA0">
      <w:numFmt w:val="decimal"/>
      <w:lvlText w:val=""/>
      <w:lvlJc w:val="left"/>
    </w:lvl>
  </w:abstractNum>
  <w:abstractNum w:abstractNumId="373" w15:restartNumberingAfterBreak="0">
    <w:nsid w:val="273675C1"/>
    <w:multiLevelType w:val="hybridMultilevel"/>
    <w:tmpl w:val="80F6F0D2"/>
    <w:lvl w:ilvl="0" w:tplc="58426E64">
      <w:start w:val="1"/>
      <w:numFmt w:val="bullet"/>
      <w:lvlText w:val=""/>
      <w:lvlJc w:val="left"/>
      <w:pPr>
        <w:ind w:left="720" w:hanging="360"/>
      </w:pPr>
      <w:rPr>
        <w:rFonts w:ascii="Symbol" w:hAnsi="Symbol" w:hint="default"/>
      </w:rPr>
    </w:lvl>
    <w:lvl w:ilvl="1" w:tplc="573E779C">
      <w:numFmt w:val="decimal"/>
      <w:lvlText w:val=""/>
      <w:lvlJc w:val="left"/>
    </w:lvl>
    <w:lvl w:ilvl="2" w:tplc="1ED8B4E4">
      <w:numFmt w:val="decimal"/>
      <w:lvlText w:val=""/>
      <w:lvlJc w:val="left"/>
    </w:lvl>
    <w:lvl w:ilvl="3" w:tplc="FD16CE66">
      <w:numFmt w:val="decimal"/>
      <w:lvlText w:val=""/>
      <w:lvlJc w:val="left"/>
    </w:lvl>
    <w:lvl w:ilvl="4" w:tplc="A5AC3494">
      <w:numFmt w:val="decimal"/>
      <w:lvlText w:val=""/>
      <w:lvlJc w:val="left"/>
    </w:lvl>
    <w:lvl w:ilvl="5" w:tplc="7A5A3D02">
      <w:numFmt w:val="decimal"/>
      <w:lvlText w:val=""/>
      <w:lvlJc w:val="left"/>
    </w:lvl>
    <w:lvl w:ilvl="6" w:tplc="CF9E81A0">
      <w:numFmt w:val="decimal"/>
      <w:lvlText w:val=""/>
      <w:lvlJc w:val="left"/>
    </w:lvl>
    <w:lvl w:ilvl="7" w:tplc="408216A6">
      <w:numFmt w:val="decimal"/>
      <w:lvlText w:val=""/>
      <w:lvlJc w:val="left"/>
    </w:lvl>
    <w:lvl w:ilvl="8" w:tplc="2E7EF9B4">
      <w:numFmt w:val="decimal"/>
      <w:lvlText w:val=""/>
      <w:lvlJc w:val="left"/>
    </w:lvl>
  </w:abstractNum>
  <w:abstractNum w:abstractNumId="374" w15:restartNumberingAfterBreak="0">
    <w:nsid w:val="273A0E5E"/>
    <w:multiLevelType w:val="hybridMultilevel"/>
    <w:tmpl w:val="A1AE1EFE"/>
    <w:lvl w:ilvl="0" w:tplc="481CAA70">
      <w:start w:val="1"/>
      <w:numFmt w:val="bullet"/>
      <w:lvlText w:val=""/>
      <w:lvlJc w:val="left"/>
      <w:pPr>
        <w:ind w:left="720" w:hanging="360"/>
      </w:pPr>
      <w:rPr>
        <w:rFonts w:ascii="Symbol" w:hAnsi="Symbol" w:hint="default"/>
      </w:rPr>
    </w:lvl>
    <w:lvl w:ilvl="1" w:tplc="0CCE911E">
      <w:numFmt w:val="decimal"/>
      <w:lvlText w:val=""/>
      <w:lvlJc w:val="left"/>
    </w:lvl>
    <w:lvl w:ilvl="2" w:tplc="AB3816BC">
      <w:numFmt w:val="decimal"/>
      <w:lvlText w:val=""/>
      <w:lvlJc w:val="left"/>
    </w:lvl>
    <w:lvl w:ilvl="3" w:tplc="72848C20">
      <w:numFmt w:val="decimal"/>
      <w:lvlText w:val=""/>
      <w:lvlJc w:val="left"/>
    </w:lvl>
    <w:lvl w:ilvl="4" w:tplc="14D46B74">
      <w:numFmt w:val="decimal"/>
      <w:lvlText w:val=""/>
      <w:lvlJc w:val="left"/>
    </w:lvl>
    <w:lvl w:ilvl="5" w:tplc="97807846">
      <w:numFmt w:val="decimal"/>
      <w:lvlText w:val=""/>
      <w:lvlJc w:val="left"/>
    </w:lvl>
    <w:lvl w:ilvl="6" w:tplc="817CDA52">
      <w:numFmt w:val="decimal"/>
      <w:lvlText w:val=""/>
      <w:lvlJc w:val="left"/>
    </w:lvl>
    <w:lvl w:ilvl="7" w:tplc="25C45608">
      <w:numFmt w:val="decimal"/>
      <w:lvlText w:val=""/>
      <w:lvlJc w:val="left"/>
    </w:lvl>
    <w:lvl w:ilvl="8" w:tplc="C2665652">
      <w:numFmt w:val="decimal"/>
      <w:lvlText w:val=""/>
      <w:lvlJc w:val="left"/>
    </w:lvl>
  </w:abstractNum>
  <w:abstractNum w:abstractNumId="375" w15:restartNumberingAfterBreak="0">
    <w:nsid w:val="27407375"/>
    <w:multiLevelType w:val="hybridMultilevel"/>
    <w:tmpl w:val="2766D3AC"/>
    <w:lvl w:ilvl="0" w:tplc="183C02E4">
      <w:start w:val="1"/>
      <w:numFmt w:val="bullet"/>
      <w:lvlText w:val=""/>
      <w:lvlJc w:val="left"/>
      <w:pPr>
        <w:ind w:left="720" w:hanging="360"/>
      </w:pPr>
      <w:rPr>
        <w:rFonts w:ascii="Symbol" w:hAnsi="Symbol" w:hint="default"/>
      </w:rPr>
    </w:lvl>
    <w:lvl w:ilvl="1" w:tplc="254079EA">
      <w:numFmt w:val="decimal"/>
      <w:lvlText w:val=""/>
      <w:lvlJc w:val="left"/>
    </w:lvl>
    <w:lvl w:ilvl="2" w:tplc="7DF0DE4A">
      <w:numFmt w:val="decimal"/>
      <w:lvlText w:val=""/>
      <w:lvlJc w:val="left"/>
    </w:lvl>
    <w:lvl w:ilvl="3" w:tplc="61C2A9DE">
      <w:numFmt w:val="decimal"/>
      <w:lvlText w:val=""/>
      <w:lvlJc w:val="left"/>
    </w:lvl>
    <w:lvl w:ilvl="4" w:tplc="38ACAA10">
      <w:numFmt w:val="decimal"/>
      <w:lvlText w:val=""/>
      <w:lvlJc w:val="left"/>
    </w:lvl>
    <w:lvl w:ilvl="5" w:tplc="9A3C5714">
      <w:numFmt w:val="decimal"/>
      <w:lvlText w:val=""/>
      <w:lvlJc w:val="left"/>
    </w:lvl>
    <w:lvl w:ilvl="6" w:tplc="2E166732">
      <w:numFmt w:val="decimal"/>
      <w:lvlText w:val=""/>
      <w:lvlJc w:val="left"/>
    </w:lvl>
    <w:lvl w:ilvl="7" w:tplc="89C60268">
      <w:numFmt w:val="decimal"/>
      <w:lvlText w:val=""/>
      <w:lvlJc w:val="left"/>
    </w:lvl>
    <w:lvl w:ilvl="8" w:tplc="BAACD63C">
      <w:numFmt w:val="decimal"/>
      <w:lvlText w:val=""/>
      <w:lvlJc w:val="left"/>
    </w:lvl>
  </w:abstractNum>
  <w:abstractNum w:abstractNumId="376" w15:restartNumberingAfterBreak="0">
    <w:nsid w:val="27494D0C"/>
    <w:multiLevelType w:val="hybridMultilevel"/>
    <w:tmpl w:val="13667992"/>
    <w:lvl w:ilvl="0" w:tplc="77F8D1F4">
      <w:start w:val="1"/>
      <w:numFmt w:val="bullet"/>
      <w:lvlText w:val=""/>
      <w:lvlJc w:val="left"/>
      <w:pPr>
        <w:ind w:left="720" w:hanging="360"/>
      </w:pPr>
      <w:rPr>
        <w:rFonts w:ascii="Symbol" w:hAnsi="Symbol" w:hint="default"/>
      </w:rPr>
    </w:lvl>
    <w:lvl w:ilvl="1" w:tplc="FC201C4A">
      <w:numFmt w:val="decimal"/>
      <w:lvlText w:val=""/>
      <w:lvlJc w:val="left"/>
    </w:lvl>
    <w:lvl w:ilvl="2" w:tplc="A3E28968">
      <w:numFmt w:val="decimal"/>
      <w:lvlText w:val=""/>
      <w:lvlJc w:val="left"/>
    </w:lvl>
    <w:lvl w:ilvl="3" w:tplc="CC32458C">
      <w:numFmt w:val="decimal"/>
      <w:lvlText w:val=""/>
      <w:lvlJc w:val="left"/>
    </w:lvl>
    <w:lvl w:ilvl="4" w:tplc="8C3AF6FC">
      <w:numFmt w:val="decimal"/>
      <w:lvlText w:val=""/>
      <w:lvlJc w:val="left"/>
    </w:lvl>
    <w:lvl w:ilvl="5" w:tplc="D52204EA">
      <w:numFmt w:val="decimal"/>
      <w:lvlText w:val=""/>
      <w:lvlJc w:val="left"/>
    </w:lvl>
    <w:lvl w:ilvl="6" w:tplc="081EE73C">
      <w:numFmt w:val="decimal"/>
      <w:lvlText w:val=""/>
      <w:lvlJc w:val="left"/>
    </w:lvl>
    <w:lvl w:ilvl="7" w:tplc="799492CE">
      <w:numFmt w:val="decimal"/>
      <w:lvlText w:val=""/>
      <w:lvlJc w:val="left"/>
    </w:lvl>
    <w:lvl w:ilvl="8" w:tplc="713A1CDE">
      <w:numFmt w:val="decimal"/>
      <w:lvlText w:val=""/>
      <w:lvlJc w:val="left"/>
    </w:lvl>
  </w:abstractNum>
  <w:abstractNum w:abstractNumId="377" w15:restartNumberingAfterBreak="0">
    <w:nsid w:val="274B18A6"/>
    <w:multiLevelType w:val="hybridMultilevel"/>
    <w:tmpl w:val="9AC88C3C"/>
    <w:lvl w:ilvl="0" w:tplc="747E7BBA">
      <w:start w:val="1"/>
      <w:numFmt w:val="bullet"/>
      <w:lvlText w:val=""/>
      <w:lvlJc w:val="left"/>
      <w:pPr>
        <w:ind w:left="720" w:hanging="360"/>
      </w:pPr>
      <w:rPr>
        <w:rFonts w:ascii="Symbol" w:hAnsi="Symbol" w:hint="default"/>
      </w:rPr>
    </w:lvl>
    <w:lvl w:ilvl="1" w:tplc="08A02D48">
      <w:numFmt w:val="decimal"/>
      <w:lvlText w:val=""/>
      <w:lvlJc w:val="left"/>
    </w:lvl>
    <w:lvl w:ilvl="2" w:tplc="972868DA">
      <w:numFmt w:val="decimal"/>
      <w:lvlText w:val=""/>
      <w:lvlJc w:val="left"/>
    </w:lvl>
    <w:lvl w:ilvl="3" w:tplc="DCAEC27E">
      <w:numFmt w:val="decimal"/>
      <w:lvlText w:val=""/>
      <w:lvlJc w:val="left"/>
    </w:lvl>
    <w:lvl w:ilvl="4" w:tplc="0066B234">
      <w:numFmt w:val="decimal"/>
      <w:lvlText w:val=""/>
      <w:lvlJc w:val="left"/>
    </w:lvl>
    <w:lvl w:ilvl="5" w:tplc="0F64E4C8">
      <w:numFmt w:val="decimal"/>
      <w:lvlText w:val=""/>
      <w:lvlJc w:val="left"/>
    </w:lvl>
    <w:lvl w:ilvl="6" w:tplc="8752F708">
      <w:numFmt w:val="decimal"/>
      <w:lvlText w:val=""/>
      <w:lvlJc w:val="left"/>
    </w:lvl>
    <w:lvl w:ilvl="7" w:tplc="96747AD2">
      <w:numFmt w:val="decimal"/>
      <w:lvlText w:val=""/>
      <w:lvlJc w:val="left"/>
    </w:lvl>
    <w:lvl w:ilvl="8" w:tplc="6986ABEE">
      <w:numFmt w:val="decimal"/>
      <w:lvlText w:val=""/>
      <w:lvlJc w:val="left"/>
    </w:lvl>
  </w:abstractNum>
  <w:abstractNum w:abstractNumId="378" w15:restartNumberingAfterBreak="0">
    <w:nsid w:val="276E617F"/>
    <w:multiLevelType w:val="hybridMultilevel"/>
    <w:tmpl w:val="37589408"/>
    <w:lvl w:ilvl="0" w:tplc="70E0E44E">
      <w:start w:val="1"/>
      <w:numFmt w:val="bullet"/>
      <w:lvlText w:val=""/>
      <w:lvlJc w:val="left"/>
      <w:pPr>
        <w:ind w:left="720" w:hanging="360"/>
      </w:pPr>
      <w:rPr>
        <w:rFonts w:ascii="Symbol" w:hAnsi="Symbol" w:hint="default"/>
      </w:rPr>
    </w:lvl>
    <w:lvl w:ilvl="1" w:tplc="0C66FA2A">
      <w:numFmt w:val="decimal"/>
      <w:lvlText w:val=""/>
      <w:lvlJc w:val="left"/>
    </w:lvl>
    <w:lvl w:ilvl="2" w:tplc="E312CB62">
      <w:numFmt w:val="decimal"/>
      <w:lvlText w:val=""/>
      <w:lvlJc w:val="left"/>
    </w:lvl>
    <w:lvl w:ilvl="3" w:tplc="21D08C7C">
      <w:numFmt w:val="decimal"/>
      <w:lvlText w:val=""/>
      <w:lvlJc w:val="left"/>
    </w:lvl>
    <w:lvl w:ilvl="4" w:tplc="F354650E">
      <w:numFmt w:val="decimal"/>
      <w:lvlText w:val=""/>
      <w:lvlJc w:val="left"/>
    </w:lvl>
    <w:lvl w:ilvl="5" w:tplc="416EAE90">
      <w:numFmt w:val="decimal"/>
      <w:lvlText w:val=""/>
      <w:lvlJc w:val="left"/>
    </w:lvl>
    <w:lvl w:ilvl="6" w:tplc="811C80CE">
      <w:numFmt w:val="decimal"/>
      <w:lvlText w:val=""/>
      <w:lvlJc w:val="left"/>
    </w:lvl>
    <w:lvl w:ilvl="7" w:tplc="CAD87848">
      <w:numFmt w:val="decimal"/>
      <w:lvlText w:val=""/>
      <w:lvlJc w:val="left"/>
    </w:lvl>
    <w:lvl w:ilvl="8" w:tplc="D7B612BE">
      <w:numFmt w:val="decimal"/>
      <w:lvlText w:val=""/>
      <w:lvlJc w:val="left"/>
    </w:lvl>
  </w:abstractNum>
  <w:abstractNum w:abstractNumId="379" w15:restartNumberingAfterBreak="0">
    <w:nsid w:val="277145F0"/>
    <w:multiLevelType w:val="hybridMultilevel"/>
    <w:tmpl w:val="796801E2"/>
    <w:lvl w:ilvl="0" w:tplc="80884674">
      <w:start w:val="1"/>
      <w:numFmt w:val="bullet"/>
      <w:lvlText w:val=""/>
      <w:lvlJc w:val="left"/>
      <w:pPr>
        <w:ind w:left="720" w:hanging="360"/>
      </w:pPr>
      <w:rPr>
        <w:rFonts w:ascii="Symbol" w:hAnsi="Symbol" w:hint="default"/>
      </w:rPr>
    </w:lvl>
    <w:lvl w:ilvl="1" w:tplc="4B9639C4">
      <w:numFmt w:val="decimal"/>
      <w:lvlText w:val=""/>
      <w:lvlJc w:val="left"/>
    </w:lvl>
    <w:lvl w:ilvl="2" w:tplc="67D4A742">
      <w:numFmt w:val="decimal"/>
      <w:lvlText w:val=""/>
      <w:lvlJc w:val="left"/>
    </w:lvl>
    <w:lvl w:ilvl="3" w:tplc="FD8C795C">
      <w:numFmt w:val="decimal"/>
      <w:lvlText w:val=""/>
      <w:lvlJc w:val="left"/>
    </w:lvl>
    <w:lvl w:ilvl="4" w:tplc="358CC054">
      <w:numFmt w:val="decimal"/>
      <w:lvlText w:val=""/>
      <w:lvlJc w:val="left"/>
    </w:lvl>
    <w:lvl w:ilvl="5" w:tplc="D0F4DC56">
      <w:numFmt w:val="decimal"/>
      <w:lvlText w:val=""/>
      <w:lvlJc w:val="left"/>
    </w:lvl>
    <w:lvl w:ilvl="6" w:tplc="7E4825F2">
      <w:numFmt w:val="decimal"/>
      <w:lvlText w:val=""/>
      <w:lvlJc w:val="left"/>
    </w:lvl>
    <w:lvl w:ilvl="7" w:tplc="3BCE9B52">
      <w:numFmt w:val="decimal"/>
      <w:lvlText w:val=""/>
      <w:lvlJc w:val="left"/>
    </w:lvl>
    <w:lvl w:ilvl="8" w:tplc="04269644">
      <w:numFmt w:val="decimal"/>
      <w:lvlText w:val=""/>
      <w:lvlJc w:val="left"/>
    </w:lvl>
  </w:abstractNum>
  <w:abstractNum w:abstractNumId="380" w15:restartNumberingAfterBreak="0">
    <w:nsid w:val="278F5185"/>
    <w:multiLevelType w:val="hybridMultilevel"/>
    <w:tmpl w:val="3D9275AA"/>
    <w:lvl w:ilvl="0" w:tplc="9D0A2902">
      <w:start w:val="1"/>
      <w:numFmt w:val="bullet"/>
      <w:lvlText w:val=""/>
      <w:lvlJc w:val="left"/>
      <w:pPr>
        <w:ind w:left="720" w:hanging="360"/>
      </w:pPr>
      <w:rPr>
        <w:rFonts w:ascii="Symbol" w:hAnsi="Symbol" w:hint="default"/>
      </w:rPr>
    </w:lvl>
    <w:lvl w:ilvl="1" w:tplc="B3C63126">
      <w:numFmt w:val="decimal"/>
      <w:lvlText w:val=""/>
      <w:lvlJc w:val="left"/>
    </w:lvl>
    <w:lvl w:ilvl="2" w:tplc="FEEEAF7C">
      <w:numFmt w:val="decimal"/>
      <w:lvlText w:val=""/>
      <w:lvlJc w:val="left"/>
    </w:lvl>
    <w:lvl w:ilvl="3" w:tplc="9F82EEFA">
      <w:numFmt w:val="decimal"/>
      <w:lvlText w:val=""/>
      <w:lvlJc w:val="left"/>
    </w:lvl>
    <w:lvl w:ilvl="4" w:tplc="B6BE2DF2">
      <w:numFmt w:val="decimal"/>
      <w:lvlText w:val=""/>
      <w:lvlJc w:val="left"/>
    </w:lvl>
    <w:lvl w:ilvl="5" w:tplc="EFFC4F28">
      <w:numFmt w:val="decimal"/>
      <w:lvlText w:val=""/>
      <w:lvlJc w:val="left"/>
    </w:lvl>
    <w:lvl w:ilvl="6" w:tplc="FF84F372">
      <w:numFmt w:val="decimal"/>
      <w:lvlText w:val=""/>
      <w:lvlJc w:val="left"/>
    </w:lvl>
    <w:lvl w:ilvl="7" w:tplc="1076CC98">
      <w:numFmt w:val="decimal"/>
      <w:lvlText w:val=""/>
      <w:lvlJc w:val="left"/>
    </w:lvl>
    <w:lvl w:ilvl="8" w:tplc="7DE68528">
      <w:numFmt w:val="decimal"/>
      <w:lvlText w:val=""/>
      <w:lvlJc w:val="left"/>
    </w:lvl>
  </w:abstractNum>
  <w:abstractNum w:abstractNumId="381" w15:restartNumberingAfterBreak="0">
    <w:nsid w:val="27CA213C"/>
    <w:multiLevelType w:val="hybridMultilevel"/>
    <w:tmpl w:val="6AA47542"/>
    <w:lvl w:ilvl="0" w:tplc="C7D031B8">
      <w:start w:val="1"/>
      <w:numFmt w:val="bullet"/>
      <w:lvlText w:val=""/>
      <w:lvlJc w:val="left"/>
      <w:pPr>
        <w:ind w:left="720" w:hanging="360"/>
      </w:pPr>
      <w:rPr>
        <w:rFonts w:ascii="Symbol" w:hAnsi="Symbol" w:hint="default"/>
      </w:rPr>
    </w:lvl>
    <w:lvl w:ilvl="1" w:tplc="C1B6D8AA">
      <w:numFmt w:val="decimal"/>
      <w:lvlText w:val=""/>
      <w:lvlJc w:val="left"/>
    </w:lvl>
    <w:lvl w:ilvl="2" w:tplc="6DA82AE8">
      <w:numFmt w:val="decimal"/>
      <w:lvlText w:val=""/>
      <w:lvlJc w:val="left"/>
    </w:lvl>
    <w:lvl w:ilvl="3" w:tplc="8A881ED6">
      <w:numFmt w:val="decimal"/>
      <w:lvlText w:val=""/>
      <w:lvlJc w:val="left"/>
    </w:lvl>
    <w:lvl w:ilvl="4" w:tplc="6D4EBAF6">
      <w:numFmt w:val="decimal"/>
      <w:lvlText w:val=""/>
      <w:lvlJc w:val="left"/>
    </w:lvl>
    <w:lvl w:ilvl="5" w:tplc="1004BAFE">
      <w:numFmt w:val="decimal"/>
      <w:lvlText w:val=""/>
      <w:lvlJc w:val="left"/>
    </w:lvl>
    <w:lvl w:ilvl="6" w:tplc="24D2E4B8">
      <w:numFmt w:val="decimal"/>
      <w:lvlText w:val=""/>
      <w:lvlJc w:val="left"/>
    </w:lvl>
    <w:lvl w:ilvl="7" w:tplc="2AFA0D2C">
      <w:numFmt w:val="decimal"/>
      <w:lvlText w:val=""/>
      <w:lvlJc w:val="left"/>
    </w:lvl>
    <w:lvl w:ilvl="8" w:tplc="D0F60EA6">
      <w:numFmt w:val="decimal"/>
      <w:lvlText w:val=""/>
      <w:lvlJc w:val="left"/>
    </w:lvl>
  </w:abstractNum>
  <w:abstractNum w:abstractNumId="382" w15:restartNumberingAfterBreak="0">
    <w:nsid w:val="27CB3E3A"/>
    <w:multiLevelType w:val="hybridMultilevel"/>
    <w:tmpl w:val="08C48F48"/>
    <w:lvl w:ilvl="0" w:tplc="629EE47C">
      <w:start w:val="1"/>
      <w:numFmt w:val="bullet"/>
      <w:lvlText w:val=""/>
      <w:lvlJc w:val="left"/>
      <w:pPr>
        <w:ind w:left="720" w:hanging="360"/>
      </w:pPr>
      <w:rPr>
        <w:rFonts w:ascii="Symbol" w:hAnsi="Symbol" w:hint="default"/>
      </w:rPr>
    </w:lvl>
    <w:lvl w:ilvl="1" w:tplc="057A883C">
      <w:numFmt w:val="decimal"/>
      <w:lvlText w:val=""/>
      <w:lvlJc w:val="left"/>
    </w:lvl>
    <w:lvl w:ilvl="2" w:tplc="05480EF4">
      <w:numFmt w:val="decimal"/>
      <w:lvlText w:val=""/>
      <w:lvlJc w:val="left"/>
    </w:lvl>
    <w:lvl w:ilvl="3" w:tplc="289C72DC">
      <w:numFmt w:val="decimal"/>
      <w:lvlText w:val=""/>
      <w:lvlJc w:val="left"/>
    </w:lvl>
    <w:lvl w:ilvl="4" w:tplc="F1D28F74">
      <w:numFmt w:val="decimal"/>
      <w:lvlText w:val=""/>
      <w:lvlJc w:val="left"/>
    </w:lvl>
    <w:lvl w:ilvl="5" w:tplc="FA08B0E0">
      <w:numFmt w:val="decimal"/>
      <w:lvlText w:val=""/>
      <w:lvlJc w:val="left"/>
    </w:lvl>
    <w:lvl w:ilvl="6" w:tplc="33E402A8">
      <w:numFmt w:val="decimal"/>
      <w:lvlText w:val=""/>
      <w:lvlJc w:val="left"/>
    </w:lvl>
    <w:lvl w:ilvl="7" w:tplc="1FE88D94">
      <w:numFmt w:val="decimal"/>
      <w:lvlText w:val=""/>
      <w:lvlJc w:val="left"/>
    </w:lvl>
    <w:lvl w:ilvl="8" w:tplc="02EEDF36">
      <w:numFmt w:val="decimal"/>
      <w:lvlText w:val=""/>
      <w:lvlJc w:val="left"/>
    </w:lvl>
  </w:abstractNum>
  <w:abstractNum w:abstractNumId="383" w15:restartNumberingAfterBreak="0">
    <w:nsid w:val="27DE1D92"/>
    <w:multiLevelType w:val="hybridMultilevel"/>
    <w:tmpl w:val="25A0D7D8"/>
    <w:lvl w:ilvl="0" w:tplc="295E3FCE">
      <w:start w:val="1"/>
      <w:numFmt w:val="bullet"/>
      <w:lvlText w:val=""/>
      <w:lvlJc w:val="left"/>
      <w:pPr>
        <w:ind w:left="720" w:hanging="360"/>
      </w:pPr>
      <w:rPr>
        <w:rFonts w:ascii="Symbol" w:hAnsi="Symbol" w:hint="default"/>
      </w:rPr>
    </w:lvl>
    <w:lvl w:ilvl="1" w:tplc="161EF864">
      <w:numFmt w:val="decimal"/>
      <w:lvlText w:val=""/>
      <w:lvlJc w:val="left"/>
    </w:lvl>
    <w:lvl w:ilvl="2" w:tplc="C9881FF0">
      <w:numFmt w:val="decimal"/>
      <w:lvlText w:val=""/>
      <w:lvlJc w:val="left"/>
    </w:lvl>
    <w:lvl w:ilvl="3" w:tplc="8856B368">
      <w:numFmt w:val="decimal"/>
      <w:lvlText w:val=""/>
      <w:lvlJc w:val="left"/>
    </w:lvl>
    <w:lvl w:ilvl="4" w:tplc="45CE53F0">
      <w:numFmt w:val="decimal"/>
      <w:lvlText w:val=""/>
      <w:lvlJc w:val="left"/>
    </w:lvl>
    <w:lvl w:ilvl="5" w:tplc="7F64C72E">
      <w:numFmt w:val="decimal"/>
      <w:lvlText w:val=""/>
      <w:lvlJc w:val="left"/>
    </w:lvl>
    <w:lvl w:ilvl="6" w:tplc="A80081C4">
      <w:numFmt w:val="decimal"/>
      <w:lvlText w:val=""/>
      <w:lvlJc w:val="left"/>
    </w:lvl>
    <w:lvl w:ilvl="7" w:tplc="D8969918">
      <w:numFmt w:val="decimal"/>
      <w:lvlText w:val=""/>
      <w:lvlJc w:val="left"/>
    </w:lvl>
    <w:lvl w:ilvl="8" w:tplc="AEB8662E">
      <w:numFmt w:val="decimal"/>
      <w:lvlText w:val=""/>
      <w:lvlJc w:val="left"/>
    </w:lvl>
  </w:abstractNum>
  <w:abstractNum w:abstractNumId="384" w15:restartNumberingAfterBreak="0">
    <w:nsid w:val="27E7736A"/>
    <w:multiLevelType w:val="hybridMultilevel"/>
    <w:tmpl w:val="E3000D68"/>
    <w:lvl w:ilvl="0" w:tplc="BE0EA092">
      <w:start w:val="1"/>
      <w:numFmt w:val="bullet"/>
      <w:lvlText w:val=""/>
      <w:lvlJc w:val="left"/>
      <w:pPr>
        <w:ind w:left="720" w:hanging="360"/>
      </w:pPr>
      <w:rPr>
        <w:rFonts w:ascii="Symbol" w:hAnsi="Symbol" w:hint="default"/>
      </w:rPr>
    </w:lvl>
    <w:lvl w:ilvl="1" w:tplc="B09A7D4C">
      <w:numFmt w:val="decimal"/>
      <w:lvlText w:val=""/>
      <w:lvlJc w:val="left"/>
    </w:lvl>
    <w:lvl w:ilvl="2" w:tplc="6680B5C0">
      <w:numFmt w:val="decimal"/>
      <w:lvlText w:val=""/>
      <w:lvlJc w:val="left"/>
    </w:lvl>
    <w:lvl w:ilvl="3" w:tplc="06D0C116">
      <w:numFmt w:val="decimal"/>
      <w:lvlText w:val=""/>
      <w:lvlJc w:val="left"/>
    </w:lvl>
    <w:lvl w:ilvl="4" w:tplc="FF3E7E08">
      <w:numFmt w:val="decimal"/>
      <w:lvlText w:val=""/>
      <w:lvlJc w:val="left"/>
    </w:lvl>
    <w:lvl w:ilvl="5" w:tplc="8F42750E">
      <w:numFmt w:val="decimal"/>
      <w:lvlText w:val=""/>
      <w:lvlJc w:val="left"/>
    </w:lvl>
    <w:lvl w:ilvl="6" w:tplc="1DCA1566">
      <w:numFmt w:val="decimal"/>
      <w:lvlText w:val=""/>
      <w:lvlJc w:val="left"/>
    </w:lvl>
    <w:lvl w:ilvl="7" w:tplc="539E5B12">
      <w:numFmt w:val="decimal"/>
      <w:lvlText w:val=""/>
      <w:lvlJc w:val="left"/>
    </w:lvl>
    <w:lvl w:ilvl="8" w:tplc="5156AF08">
      <w:numFmt w:val="decimal"/>
      <w:lvlText w:val=""/>
      <w:lvlJc w:val="left"/>
    </w:lvl>
  </w:abstractNum>
  <w:abstractNum w:abstractNumId="385" w15:restartNumberingAfterBreak="0">
    <w:nsid w:val="27FA6E3A"/>
    <w:multiLevelType w:val="hybridMultilevel"/>
    <w:tmpl w:val="DD024B92"/>
    <w:lvl w:ilvl="0" w:tplc="84A08956">
      <w:start w:val="1"/>
      <w:numFmt w:val="bullet"/>
      <w:lvlText w:val=""/>
      <w:lvlJc w:val="left"/>
      <w:pPr>
        <w:ind w:left="720" w:hanging="360"/>
      </w:pPr>
      <w:rPr>
        <w:rFonts w:ascii="Symbol" w:hAnsi="Symbol" w:hint="default"/>
      </w:rPr>
    </w:lvl>
    <w:lvl w:ilvl="1" w:tplc="1174D8EE">
      <w:numFmt w:val="decimal"/>
      <w:lvlText w:val=""/>
      <w:lvlJc w:val="left"/>
    </w:lvl>
    <w:lvl w:ilvl="2" w:tplc="C8748A16">
      <w:numFmt w:val="decimal"/>
      <w:lvlText w:val=""/>
      <w:lvlJc w:val="left"/>
    </w:lvl>
    <w:lvl w:ilvl="3" w:tplc="DD662570">
      <w:numFmt w:val="decimal"/>
      <w:lvlText w:val=""/>
      <w:lvlJc w:val="left"/>
    </w:lvl>
    <w:lvl w:ilvl="4" w:tplc="B9B862E6">
      <w:numFmt w:val="decimal"/>
      <w:lvlText w:val=""/>
      <w:lvlJc w:val="left"/>
    </w:lvl>
    <w:lvl w:ilvl="5" w:tplc="6DDE78C4">
      <w:numFmt w:val="decimal"/>
      <w:lvlText w:val=""/>
      <w:lvlJc w:val="left"/>
    </w:lvl>
    <w:lvl w:ilvl="6" w:tplc="53741FEC">
      <w:numFmt w:val="decimal"/>
      <w:lvlText w:val=""/>
      <w:lvlJc w:val="left"/>
    </w:lvl>
    <w:lvl w:ilvl="7" w:tplc="E28E0D3A">
      <w:numFmt w:val="decimal"/>
      <w:lvlText w:val=""/>
      <w:lvlJc w:val="left"/>
    </w:lvl>
    <w:lvl w:ilvl="8" w:tplc="C4AA48F6">
      <w:numFmt w:val="decimal"/>
      <w:lvlText w:val=""/>
      <w:lvlJc w:val="left"/>
    </w:lvl>
  </w:abstractNum>
  <w:abstractNum w:abstractNumId="386" w15:restartNumberingAfterBreak="0">
    <w:nsid w:val="280C0E0F"/>
    <w:multiLevelType w:val="hybridMultilevel"/>
    <w:tmpl w:val="0E461144"/>
    <w:lvl w:ilvl="0" w:tplc="DF148B42">
      <w:start w:val="1"/>
      <w:numFmt w:val="bullet"/>
      <w:lvlText w:val=""/>
      <w:lvlJc w:val="left"/>
      <w:pPr>
        <w:ind w:left="720" w:hanging="360"/>
      </w:pPr>
      <w:rPr>
        <w:rFonts w:ascii="Symbol" w:hAnsi="Symbol" w:hint="default"/>
      </w:rPr>
    </w:lvl>
    <w:lvl w:ilvl="1" w:tplc="CB925604">
      <w:numFmt w:val="decimal"/>
      <w:lvlText w:val=""/>
      <w:lvlJc w:val="left"/>
    </w:lvl>
    <w:lvl w:ilvl="2" w:tplc="64208B5A">
      <w:numFmt w:val="decimal"/>
      <w:lvlText w:val=""/>
      <w:lvlJc w:val="left"/>
    </w:lvl>
    <w:lvl w:ilvl="3" w:tplc="77068CE0">
      <w:numFmt w:val="decimal"/>
      <w:lvlText w:val=""/>
      <w:lvlJc w:val="left"/>
    </w:lvl>
    <w:lvl w:ilvl="4" w:tplc="0C045662">
      <w:numFmt w:val="decimal"/>
      <w:lvlText w:val=""/>
      <w:lvlJc w:val="left"/>
    </w:lvl>
    <w:lvl w:ilvl="5" w:tplc="65607852">
      <w:numFmt w:val="decimal"/>
      <w:lvlText w:val=""/>
      <w:lvlJc w:val="left"/>
    </w:lvl>
    <w:lvl w:ilvl="6" w:tplc="7FBCC294">
      <w:numFmt w:val="decimal"/>
      <w:lvlText w:val=""/>
      <w:lvlJc w:val="left"/>
    </w:lvl>
    <w:lvl w:ilvl="7" w:tplc="554CA382">
      <w:numFmt w:val="decimal"/>
      <w:lvlText w:val=""/>
      <w:lvlJc w:val="left"/>
    </w:lvl>
    <w:lvl w:ilvl="8" w:tplc="54163934">
      <w:numFmt w:val="decimal"/>
      <w:lvlText w:val=""/>
      <w:lvlJc w:val="left"/>
    </w:lvl>
  </w:abstractNum>
  <w:abstractNum w:abstractNumId="387" w15:restartNumberingAfterBreak="0">
    <w:nsid w:val="280E5562"/>
    <w:multiLevelType w:val="hybridMultilevel"/>
    <w:tmpl w:val="D5723606"/>
    <w:lvl w:ilvl="0" w:tplc="FB6AD016">
      <w:numFmt w:val="decimal"/>
      <w:lvlText w:val=""/>
      <w:lvlJc w:val="left"/>
    </w:lvl>
    <w:lvl w:ilvl="1" w:tplc="58A66D76">
      <w:start w:val="1"/>
      <w:numFmt w:val="bullet"/>
      <w:lvlText w:val=""/>
      <w:lvlJc w:val="left"/>
      <w:pPr>
        <w:ind w:left="1440" w:hanging="360"/>
      </w:pPr>
      <w:rPr>
        <w:rFonts w:ascii="Symbol" w:hAnsi="Symbol" w:hint="default"/>
      </w:rPr>
    </w:lvl>
    <w:lvl w:ilvl="2" w:tplc="A5285920">
      <w:numFmt w:val="decimal"/>
      <w:lvlText w:val=""/>
      <w:lvlJc w:val="left"/>
    </w:lvl>
    <w:lvl w:ilvl="3" w:tplc="AC060DF4">
      <w:numFmt w:val="decimal"/>
      <w:lvlText w:val=""/>
      <w:lvlJc w:val="left"/>
    </w:lvl>
    <w:lvl w:ilvl="4" w:tplc="A9D86114">
      <w:numFmt w:val="decimal"/>
      <w:lvlText w:val=""/>
      <w:lvlJc w:val="left"/>
    </w:lvl>
    <w:lvl w:ilvl="5" w:tplc="A3E4F10E">
      <w:numFmt w:val="decimal"/>
      <w:lvlText w:val=""/>
      <w:lvlJc w:val="left"/>
    </w:lvl>
    <w:lvl w:ilvl="6" w:tplc="2AB6FCE0">
      <w:numFmt w:val="decimal"/>
      <w:lvlText w:val=""/>
      <w:lvlJc w:val="left"/>
    </w:lvl>
    <w:lvl w:ilvl="7" w:tplc="C49AE480">
      <w:numFmt w:val="decimal"/>
      <w:lvlText w:val=""/>
      <w:lvlJc w:val="left"/>
    </w:lvl>
    <w:lvl w:ilvl="8" w:tplc="9A181E30">
      <w:numFmt w:val="decimal"/>
      <w:lvlText w:val=""/>
      <w:lvlJc w:val="left"/>
    </w:lvl>
  </w:abstractNum>
  <w:abstractNum w:abstractNumId="388" w15:restartNumberingAfterBreak="0">
    <w:nsid w:val="282B2B59"/>
    <w:multiLevelType w:val="hybridMultilevel"/>
    <w:tmpl w:val="56B246E2"/>
    <w:lvl w:ilvl="0" w:tplc="9BE06F04">
      <w:start w:val="1"/>
      <w:numFmt w:val="bullet"/>
      <w:lvlText w:val=""/>
      <w:lvlJc w:val="left"/>
      <w:pPr>
        <w:ind w:left="720" w:hanging="360"/>
      </w:pPr>
      <w:rPr>
        <w:rFonts w:ascii="Symbol" w:hAnsi="Symbol" w:hint="default"/>
      </w:rPr>
    </w:lvl>
    <w:lvl w:ilvl="1" w:tplc="65B69866">
      <w:numFmt w:val="decimal"/>
      <w:lvlText w:val=""/>
      <w:lvlJc w:val="left"/>
    </w:lvl>
    <w:lvl w:ilvl="2" w:tplc="10FE35FE">
      <w:numFmt w:val="decimal"/>
      <w:lvlText w:val=""/>
      <w:lvlJc w:val="left"/>
    </w:lvl>
    <w:lvl w:ilvl="3" w:tplc="D86AEBA6">
      <w:numFmt w:val="decimal"/>
      <w:lvlText w:val=""/>
      <w:lvlJc w:val="left"/>
    </w:lvl>
    <w:lvl w:ilvl="4" w:tplc="BD8C3750">
      <w:numFmt w:val="decimal"/>
      <w:lvlText w:val=""/>
      <w:lvlJc w:val="left"/>
    </w:lvl>
    <w:lvl w:ilvl="5" w:tplc="4E907DB2">
      <w:numFmt w:val="decimal"/>
      <w:lvlText w:val=""/>
      <w:lvlJc w:val="left"/>
    </w:lvl>
    <w:lvl w:ilvl="6" w:tplc="8074684A">
      <w:numFmt w:val="decimal"/>
      <w:lvlText w:val=""/>
      <w:lvlJc w:val="left"/>
    </w:lvl>
    <w:lvl w:ilvl="7" w:tplc="7A9C1156">
      <w:numFmt w:val="decimal"/>
      <w:lvlText w:val=""/>
      <w:lvlJc w:val="left"/>
    </w:lvl>
    <w:lvl w:ilvl="8" w:tplc="5F862834">
      <w:numFmt w:val="decimal"/>
      <w:lvlText w:val=""/>
      <w:lvlJc w:val="left"/>
    </w:lvl>
  </w:abstractNum>
  <w:abstractNum w:abstractNumId="389" w15:restartNumberingAfterBreak="0">
    <w:nsid w:val="28323A12"/>
    <w:multiLevelType w:val="hybridMultilevel"/>
    <w:tmpl w:val="17160D34"/>
    <w:lvl w:ilvl="0" w:tplc="F4006A3A">
      <w:start w:val="1"/>
      <w:numFmt w:val="bullet"/>
      <w:lvlText w:val=""/>
      <w:lvlJc w:val="left"/>
      <w:pPr>
        <w:ind w:left="720" w:hanging="360"/>
      </w:pPr>
      <w:rPr>
        <w:rFonts w:ascii="Symbol" w:hAnsi="Symbol" w:hint="default"/>
      </w:rPr>
    </w:lvl>
    <w:lvl w:ilvl="1" w:tplc="A134D95C">
      <w:numFmt w:val="decimal"/>
      <w:lvlText w:val=""/>
      <w:lvlJc w:val="left"/>
    </w:lvl>
    <w:lvl w:ilvl="2" w:tplc="320A3592">
      <w:numFmt w:val="decimal"/>
      <w:lvlText w:val=""/>
      <w:lvlJc w:val="left"/>
    </w:lvl>
    <w:lvl w:ilvl="3" w:tplc="9312C4C0">
      <w:numFmt w:val="decimal"/>
      <w:lvlText w:val=""/>
      <w:lvlJc w:val="left"/>
    </w:lvl>
    <w:lvl w:ilvl="4" w:tplc="89A89548">
      <w:numFmt w:val="decimal"/>
      <w:lvlText w:val=""/>
      <w:lvlJc w:val="left"/>
    </w:lvl>
    <w:lvl w:ilvl="5" w:tplc="6B622990">
      <w:numFmt w:val="decimal"/>
      <w:lvlText w:val=""/>
      <w:lvlJc w:val="left"/>
    </w:lvl>
    <w:lvl w:ilvl="6" w:tplc="FA3C6BF0">
      <w:numFmt w:val="decimal"/>
      <w:lvlText w:val=""/>
      <w:lvlJc w:val="left"/>
    </w:lvl>
    <w:lvl w:ilvl="7" w:tplc="5F8AC850">
      <w:numFmt w:val="decimal"/>
      <w:lvlText w:val=""/>
      <w:lvlJc w:val="left"/>
    </w:lvl>
    <w:lvl w:ilvl="8" w:tplc="4C280880">
      <w:numFmt w:val="decimal"/>
      <w:lvlText w:val=""/>
      <w:lvlJc w:val="left"/>
    </w:lvl>
  </w:abstractNum>
  <w:abstractNum w:abstractNumId="390" w15:restartNumberingAfterBreak="0">
    <w:nsid w:val="28615A14"/>
    <w:multiLevelType w:val="hybridMultilevel"/>
    <w:tmpl w:val="F55A4652"/>
    <w:lvl w:ilvl="0" w:tplc="0728D302">
      <w:start w:val="1"/>
      <w:numFmt w:val="bullet"/>
      <w:lvlText w:val=""/>
      <w:lvlJc w:val="left"/>
      <w:pPr>
        <w:ind w:left="720" w:hanging="360"/>
      </w:pPr>
      <w:rPr>
        <w:rFonts w:ascii="Symbol" w:hAnsi="Symbol" w:hint="default"/>
      </w:rPr>
    </w:lvl>
    <w:lvl w:ilvl="1" w:tplc="7B001A4C">
      <w:numFmt w:val="decimal"/>
      <w:lvlText w:val=""/>
      <w:lvlJc w:val="left"/>
    </w:lvl>
    <w:lvl w:ilvl="2" w:tplc="4AFC2950">
      <w:numFmt w:val="decimal"/>
      <w:lvlText w:val=""/>
      <w:lvlJc w:val="left"/>
    </w:lvl>
    <w:lvl w:ilvl="3" w:tplc="2D9E8072">
      <w:numFmt w:val="decimal"/>
      <w:lvlText w:val=""/>
      <w:lvlJc w:val="left"/>
    </w:lvl>
    <w:lvl w:ilvl="4" w:tplc="3EAE0266">
      <w:numFmt w:val="decimal"/>
      <w:lvlText w:val=""/>
      <w:lvlJc w:val="left"/>
    </w:lvl>
    <w:lvl w:ilvl="5" w:tplc="5172115A">
      <w:numFmt w:val="decimal"/>
      <w:lvlText w:val=""/>
      <w:lvlJc w:val="left"/>
    </w:lvl>
    <w:lvl w:ilvl="6" w:tplc="2C203906">
      <w:numFmt w:val="decimal"/>
      <w:lvlText w:val=""/>
      <w:lvlJc w:val="left"/>
    </w:lvl>
    <w:lvl w:ilvl="7" w:tplc="13CE356E">
      <w:numFmt w:val="decimal"/>
      <w:lvlText w:val=""/>
      <w:lvlJc w:val="left"/>
    </w:lvl>
    <w:lvl w:ilvl="8" w:tplc="08B0B4D6">
      <w:numFmt w:val="decimal"/>
      <w:lvlText w:val=""/>
      <w:lvlJc w:val="left"/>
    </w:lvl>
  </w:abstractNum>
  <w:abstractNum w:abstractNumId="391" w15:restartNumberingAfterBreak="0">
    <w:nsid w:val="286E430F"/>
    <w:multiLevelType w:val="hybridMultilevel"/>
    <w:tmpl w:val="C952D774"/>
    <w:lvl w:ilvl="0" w:tplc="14AAFBBC">
      <w:start w:val="1"/>
      <w:numFmt w:val="bullet"/>
      <w:lvlText w:val=""/>
      <w:lvlJc w:val="left"/>
      <w:pPr>
        <w:ind w:left="720" w:hanging="360"/>
      </w:pPr>
      <w:rPr>
        <w:rFonts w:ascii="Symbol" w:hAnsi="Symbol" w:hint="default"/>
      </w:rPr>
    </w:lvl>
    <w:lvl w:ilvl="1" w:tplc="232007D8">
      <w:numFmt w:val="decimal"/>
      <w:lvlText w:val=""/>
      <w:lvlJc w:val="left"/>
    </w:lvl>
    <w:lvl w:ilvl="2" w:tplc="69D45C8C">
      <w:numFmt w:val="decimal"/>
      <w:lvlText w:val=""/>
      <w:lvlJc w:val="left"/>
    </w:lvl>
    <w:lvl w:ilvl="3" w:tplc="002612B2">
      <w:numFmt w:val="decimal"/>
      <w:lvlText w:val=""/>
      <w:lvlJc w:val="left"/>
    </w:lvl>
    <w:lvl w:ilvl="4" w:tplc="A9443CFE">
      <w:numFmt w:val="decimal"/>
      <w:lvlText w:val=""/>
      <w:lvlJc w:val="left"/>
    </w:lvl>
    <w:lvl w:ilvl="5" w:tplc="699E3A46">
      <w:numFmt w:val="decimal"/>
      <w:lvlText w:val=""/>
      <w:lvlJc w:val="left"/>
    </w:lvl>
    <w:lvl w:ilvl="6" w:tplc="EFFC29FC">
      <w:numFmt w:val="decimal"/>
      <w:lvlText w:val=""/>
      <w:lvlJc w:val="left"/>
    </w:lvl>
    <w:lvl w:ilvl="7" w:tplc="0186F38E">
      <w:numFmt w:val="decimal"/>
      <w:lvlText w:val=""/>
      <w:lvlJc w:val="left"/>
    </w:lvl>
    <w:lvl w:ilvl="8" w:tplc="3CC2433C">
      <w:numFmt w:val="decimal"/>
      <w:lvlText w:val=""/>
      <w:lvlJc w:val="left"/>
    </w:lvl>
  </w:abstractNum>
  <w:abstractNum w:abstractNumId="392" w15:restartNumberingAfterBreak="0">
    <w:nsid w:val="289224B9"/>
    <w:multiLevelType w:val="hybridMultilevel"/>
    <w:tmpl w:val="0950A7BE"/>
    <w:lvl w:ilvl="0" w:tplc="C7F204C2">
      <w:start w:val="1"/>
      <w:numFmt w:val="bullet"/>
      <w:lvlText w:val=""/>
      <w:lvlJc w:val="left"/>
      <w:pPr>
        <w:ind w:left="720" w:hanging="360"/>
      </w:pPr>
      <w:rPr>
        <w:rFonts w:ascii="Symbol" w:hAnsi="Symbol" w:hint="default"/>
      </w:rPr>
    </w:lvl>
    <w:lvl w:ilvl="1" w:tplc="E1FE59B4">
      <w:numFmt w:val="decimal"/>
      <w:lvlText w:val=""/>
      <w:lvlJc w:val="left"/>
    </w:lvl>
    <w:lvl w:ilvl="2" w:tplc="E4B48CD2">
      <w:numFmt w:val="decimal"/>
      <w:lvlText w:val=""/>
      <w:lvlJc w:val="left"/>
    </w:lvl>
    <w:lvl w:ilvl="3" w:tplc="BB94B954">
      <w:numFmt w:val="decimal"/>
      <w:lvlText w:val=""/>
      <w:lvlJc w:val="left"/>
    </w:lvl>
    <w:lvl w:ilvl="4" w:tplc="49D6015E">
      <w:numFmt w:val="decimal"/>
      <w:lvlText w:val=""/>
      <w:lvlJc w:val="left"/>
    </w:lvl>
    <w:lvl w:ilvl="5" w:tplc="D5C80C00">
      <w:numFmt w:val="decimal"/>
      <w:lvlText w:val=""/>
      <w:lvlJc w:val="left"/>
    </w:lvl>
    <w:lvl w:ilvl="6" w:tplc="C38C87D8">
      <w:numFmt w:val="decimal"/>
      <w:lvlText w:val=""/>
      <w:lvlJc w:val="left"/>
    </w:lvl>
    <w:lvl w:ilvl="7" w:tplc="0BDE9EE6">
      <w:numFmt w:val="decimal"/>
      <w:lvlText w:val=""/>
      <w:lvlJc w:val="left"/>
    </w:lvl>
    <w:lvl w:ilvl="8" w:tplc="75DABC22">
      <w:numFmt w:val="decimal"/>
      <w:lvlText w:val=""/>
      <w:lvlJc w:val="left"/>
    </w:lvl>
  </w:abstractNum>
  <w:abstractNum w:abstractNumId="393" w15:restartNumberingAfterBreak="0">
    <w:nsid w:val="28AB5D7C"/>
    <w:multiLevelType w:val="hybridMultilevel"/>
    <w:tmpl w:val="2FA65D42"/>
    <w:lvl w:ilvl="0" w:tplc="3AB47804">
      <w:start w:val="1"/>
      <w:numFmt w:val="bullet"/>
      <w:lvlText w:val=""/>
      <w:lvlJc w:val="left"/>
      <w:pPr>
        <w:ind w:left="720" w:hanging="360"/>
      </w:pPr>
      <w:rPr>
        <w:rFonts w:ascii="Symbol" w:hAnsi="Symbol" w:hint="default"/>
      </w:rPr>
    </w:lvl>
    <w:lvl w:ilvl="1" w:tplc="A0ECF51E">
      <w:numFmt w:val="decimal"/>
      <w:lvlText w:val=""/>
      <w:lvlJc w:val="left"/>
    </w:lvl>
    <w:lvl w:ilvl="2" w:tplc="05748896">
      <w:numFmt w:val="decimal"/>
      <w:lvlText w:val=""/>
      <w:lvlJc w:val="left"/>
    </w:lvl>
    <w:lvl w:ilvl="3" w:tplc="71A6900E">
      <w:numFmt w:val="decimal"/>
      <w:lvlText w:val=""/>
      <w:lvlJc w:val="left"/>
    </w:lvl>
    <w:lvl w:ilvl="4" w:tplc="D9B6D7CE">
      <w:numFmt w:val="decimal"/>
      <w:lvlText w:val=""/>
      <w:lvlJc w:val="left"/>
    </w:lvl>
    <w:lvl w:ilvl="5" w:tplc="887CA826">
      <w:numFmt w:val="decimal"/>
      <w:lvlText w:val=""/>
      <w:lvlJc w:val="left"/>
    </w:lvl>
    <w:lvl w:ilvl="6" w:tplc="407AD502">
      <w:numFmt w:val="decimal"/>
      <w:lvlText w:val=""/>
      <w:lvlJc w:val="left"/>
    </w:lvl>
    <w:lvl w:ilvl="7" w:tplc="59F8F69C">
      <w:numFmt w:val="decimal"/>
      <w:lvlText w:val=""/>
      <w:lvlJc w:val="left"/>
    </w:lvl>
    <w:lvl w:ilvl="8" w:tplc="42A63E9A">
      <w:numFmt w:val="decimal"/>
      <w:lvlText w:val=""/>
      <w:lvlJc w:val="left"/>
    </w:lvl>
  </w:abstractNum>
  <w:abstractNum w:abstractNumId="394" w15:restartNumberingAfterBreak="0">
    <w:nsid w:val="28B14EB0"/>
    <w:multiLevelType w:val="hybridMultilevel"/>
    <w:tmpl w:val="17E87D68"/>
    <w:lvl w:ilvl="0" w:tplc="60169B02">
      <w:start w:val="1"/>
      <w:numFmt w:val="bullet"/>
      <w:lvlText w:val=""/>
      <w:lvlJc w:val="left"/>
      <w:pPr>
        <w:ind w:left="720" w:hanging="360"/>
      </w:pPr>
      <w:rPr>
        <w:rFonts w:ascii="Symbol" w:hAnsi="Symbol" w:hint="default"/>
      </w:rPr>
    </w:lvl>
    <w:lvl w:ilvl="1" w:tplc="248EDE78">
      <w:numFmt w:val="decimal"/>
      <w:lvlText w:val=""/>
      <w:lvlJc w:val="left"/>
    </w:lvl>
    <w:lvl w:ilvl="2" w:tplc="503A2C72">
      <w:numFmt w:val="decimal"/>
      <w:lvlText w:val=""/>
      <w:lvlJc w:val="left"/>
    </w:lvl>
    <w:lvl w:ilvl="3" w:tplc="81BC9E9A">
      <w:numFmt w:val="decimal"/>
      <w:lvlText w:val=""/>
      <w:lvlJc w:val="left"/>
    </w:lvl>
    <w:lvl w:ilvl="4" w:tplc="2184147A">
      <w:numFmt w:val="decimal"/>
      <w:lvlText w:val=""/>
      <w:lvlJc w:val="left"/>
    </w:lvl>
    <w:lvl w:ilvl="5" w:tplc="ED601278">
      <w:numFmt w:val="decimal"/>
      <w:lvlText w:val=""/>
      <w:lvlJc w:val="left"/>
    </w:lvl>
    <w:lvl w:ilvl="6" w:tplc="E57EC7D0">
      <w:numFmt w:val="decimal"/>
      <w:lvlText w:val=""/>
      <w:lvlJc w:val="left"/>
    </w:lvl>
    <w:lvl w:ilvl="7" w:tplc="F42E511E">
      <w:numFmt w:val="decimal"/>
      <w:lvlText w:val=""/>
      <w:lvlJc w:val="left"/>
    </w:lvl>
    <w:lvl w:ilvl="8" w:tplc="4D0059D0">
      <w:numFmt w:val="decimal"/>
      <w:lvlText w:val=""/>
      <w:lvlJc w:val="left"/>
    </w:lvl>
  </w:abstractNum>
  <w:abstractNum w:abstractNumId="395" w15:restartNumberingAfterBreak="0">
    <w:nsid w:val="28DD4E89"/>
    <w:multiLevelType w:val="hybridMultilevel"/>
    <w:tmpl w:val="38E40568"/>
    <w:lvl w:ilvl="0" w:tplc="A1E0BFC8">
      <w:start w:val="1"/>
      <w:numFmt w:val="bullet"/>
      <w:lvlText w:val=""/>
      <w:lvlJc w:val="left"/>
      <w:pPr>
        <w:ind w:left="720" w:hanging="360"/>
      </w:pPr>
      <w:rPr>
        <w:rFonts w:ascii="Symbol" w:hAnsi="Symbol" w:hint="default"/>
      </w:rPr>
    </w:lvl>
    <w:lvl w:ilvl="1" w:tplc="D8F258FC">
      <w:numFmt w:val="decimal"/>
      <w:lvlText w:val=""/>
      <w:lvlJc w:val="left"/>
    </w:lvl>
    <w:lvl w:ilvl="2" w:tplc="10807208">
      <w:numFmt w:val="decimal"/>
      <w:lvlText w:val=""/>
      <w:lvlJc w:val="left"/>
    </w:lvl>
    <w:lvl w:ilvl="3" w:tplc="34DAEE62">
      <w:numFmt w:val="decimal"/>
      <w:lvlText w:val=""/>
      <w:lvlJc w:val="left"/>
    </w:lvl>
    <w:lvl w:ilvl="4" w:tplc="AE08F56A">
      <w:numFmt w:val="decimal"/>
      <w:lvlText w:val=""/>
      <w:lvlJc w:val="left"/>
    </w:lvl>
    <w:lvl w:ilvl="5" w:tplc="96B41080">
      <w:numFmt w:val="decimal"/>
      <w:lvlText w:val=""/>
      <w:lvlJc w:val="left"/>
    </w:lvl>
    <w:lvl w:ilvl="6" w:tplc="514E9AAA">
      <w:numFmt w:val="decimal"/>
      <w:lvlText w:val=""/>
      <w:lvlJc w:val="left"/>
    </w:lvl>
    <w:lvl w:ilvl="7" w:tplc="E16EE4B2">
      <w:numFmt w:val="decimal"/>
      <w:lvlText w:val=""/>
      <w:lvlJc w:val="left"/>
    </w:lvl>
    <w:lvl w:ilvl="8" w:tplc="23864360">
      <w:numFmt w:val="decimal"/>
      <w:lvlText w:val=""/>
      <w:lvlJc w:val="left"/>
    </w:lvl>
  </w:abstractNum>
  <w:abstractNum w:abstractNumId="396" w15:restartNumberingAfterBreak="0">
    <w:nsid w:val="293B6C0F"/>
    <w:multiLevelType w:val="hybridMultilevel"/>
    <w:tmpl w:val="9E70A76C"/>
    <w:lvl w:ilvl="0" w:tplc="7CAA282C">
      <w:start w:val="1"/>
      <w:numFmt w:val="bullet"/>
      <w:lvlText w:val=""/>
      <w:lvlJc w:val="left"/>
      <w:pPr>
        <w:ind w:left="720" w:hanging="360"/>
      </w:pPr>
      <w:rPr>
        <w:rFonts w:ascii="Symbol" w:hAnsi="Symbol" w:hint="default"/>
      </w:rPr>
    </w:lvl>
    <w:lvl w:ilvl="1" w:tplc="74CAD6F2">
      <w:numFmt w:val="decimal"/>
      <w:lvlText w:val=""/>
      <w:lvlJc w:val="left"/>
    </w:lvl>
    <w:lvl w:ilvl="2" w:tplc="C44AE9D0">
      <w:numFmt w:val="decimal"/>
      <w:lvlText w:val=""/>
      <w:lvlJc w:val="left"/>
    </w:lvl>
    <w:lvl w:ilvl="3" w:tplc="70D076E8">
      <w:numFmt w:val="decimal"/>
      <w:lvlText w:val=""/>
      <w:lvlJc w:val="left"/>
    </w:lvl>
    <w:lvl w:ilvl="4" w:tplc="40E88DDC">
      <w:numFmt w:val="decimal"/>
      <w:lvlText w:val=""/>
      <w:lvlJc w:val="left"/>
    </w:lvl>
    <w:lvl w:ilvl="5" w:tplc="C8585428">
      <w:numFmt w:val="decimal"/>
      <w:lvlText w:val=""/>
      <w:lvlJc w:val="left"/>
    </w:lvl>
    <w:lvl w:ilvl="6" w:tplc="ED600068">
      <w:numFmt w:val="decimal"/>
      <w:lvlText w:val=""/>
      <w:lvlJc w:val="left"/>
    </w:lvl>
    <w:lvl w:ilvl="7" w:tplc="07A8016E">
      <w:numFmt w:val="decimal"/>
      <w:lvlText w:val=""/>
      <w:lvlJc w:val="left"/>
    </w:lvl>
    <w:lvl w:ilvl="8" w:tplc="290AAE00">
      <w:numFmt w:val="decimal"/>
      <w:lvlText w:val=""/>
      <w:lvlJc w:val="left"/>
    </w:lvl>
  </w:abstractNum>
  <w:abstractNum w:abstractNumId="397" w15:restartNumberingAfterBreak="0">
    <w:nsid w:val="295F5E3D"/>
    <w:multiLevelType w:val="hybridMultilevel"/>
    <w:tmpl w:val="34D2BBB6"/>
    <w:lvl w:ilvl="0" w:tplc="E63289C6">
      <w:start w:val="1"/>
      <w:numFmt w:val="bullet"/>
      <w:lvlText w:val=""/>
      <w:lvlJc w:val="left"/>
      <w:pPr>
        <w:ind w:left="720" w:hanging="360"/>
      </w:pPr>
      <w:rPr>
        <w:rFonts w:ascii="Symbol" w:hAnsi="Symbol" w:hint="default"/>
      </w:rPr>
    </w:lvl>
    <w:lvl w:ilvl="1" w:tplc="FC54BB26">
      <w:numFmt w:val="decimal"/>
      <w:lvlText w:val=""/>
      <w:lvlJc w:val="left"/>
    </w:lvl>
    <w:lvl w:ilvl="2" w:tplc="4866EEAE">
      <w:numFmt w:val="decimal"/>
      <w:lvlText w:val=""/>
      <w:lvlJc w:val="left"/>
    </w:lvl>
    <w:lvl w:ilvl="3" w:tplc="3014B5C8">
      <w:numFmt w:val="decimal"/>
      <w:lvlText w:val=""/>
      <w:lvlJc w:val="left"/>
    </w:lvl>
    <w:lvl w:ilvl="4" w:tplc="3ABE0316">
      <w:numFmt w:val="decimal"/>
      <w:lvlText w:val=""/>
      <w:lvlJc w:val="left"/>
    </w:lvl>
    <w:lvl w:ilvl="5" w:tplc="DE341882">
      <w:numFmt w:val="decimal"/>
      <w:lvlText w:val=""/>
      <w:lvlJc w:val="left"/>
    </w:lvl>
    <w:lvl w:ilvl="6" w:tplc="91F6FC78">
      <w:numFmt w:val="decimal"/>
      <w:lvlText w:val=""/>
      <w:lvlJc w:val="left"/>
    </w:lvl>
    <w:lvl w:ilvl="7" w:tplc="26247BEA">
      <w:numFmt w:val="decimal"/>
      <w:lvlText w:val=""/>
      <w:lvlJc w:val="left"/>
    </w:lvl>
    <w:lvl w:ilvl="8" w:tplc="4B488CBE">
      <w:numFmt w:val="decimal"/>
      <w:lvlText w:val=""/>
      <w:lvlJc w:val="left"/>
    </w:lvl>
  </w:abstractNum>
  <w:abstractNum w:abstractNumId="398" w15:restartNumberingAfterBreak="0">
    <w:nsid w:val="298A5EC1"/>
    <w:multiLevelType w:val="hybridMultilevel"/>
    <w:tmpl w:val="D778B7DC"/>
    <w:lvl w:ilvl="0" w:tplc="F29875A0">
      <w:start w:val="1"/>
      <w:numFmt w:val="bullet"/>
      <w:lvlText w:val=""/>
      <w:lvlJc w:val="left"/>
      <w:pPr>
        <w:ind w:left="720" w:hanging="360"/>
      </w:pPr>
      <w:rPr>
        <w:rFonts w:ascii="Symbol" w:hAnsi="Symbol" w:hint="default"/>
      </w:rPr>
    </w:lvl>
    <w:lvl w:ilvl="1" w:tplc="0E566060">
      <w:numFmt w:val="decimal"/>
      <w:lvlText w:val=""/>
      <w:lvlJc w:val="left"/>
    </w:lvl>
    <w:lvl w:ilvl="2" w:tplc="CD2EE04A">
      <w:numFmt w:val="decimal"/>
      <w:lvlText w:val=""/>
      <w:lvlJc w:val="left"/>
    </w:lvl>
    <w:lvl w:ilvl="3" w:tplc="3C0C1B48">
      <w:numFmt w:val="decimal"/>
      <w:lvlText w:val=""/>
      <w:lvlJc w:val="left"/>
    </w:lvl>
    <w:lvl w:ilvl="4" w:tplc="18D02C8E">
      <w:numFmt w:val="decimal"/>
      <w:lvlText w:val=""/>
      <w:lvlJc w:val="left"/>
    </w:lvl>
    <w:lvl w:ilvl="5" w:tplc="A52E52FC">
      <w:numFmt w:val="decimal"/>
      <w:lvlText w:val=""/>
      <w:lvlJc w:val="left"/>
    </w:lvl>
    <w:lvl w:ilvl="6" w:tplc="FEC6BECE">
      <w:numFmt w:val="decimal"/>
      <w:lvlText w:val=""/>
      <w:lvlJc w:val="left"/>
    </w:lvl>
    <w:lvl w:ilvl="7" w:tplc="68B0B4C2">
      <w:numFmt w:val="decimal"/>
      <w:lvlText w:val=""/>
      <w:lvlJc w:val="left"/>
    </w:lvl>
    <w:lvl w:ilvl="8" w:tplc="10D28C90">
      <w:numFmt w:val="decimal"/>
      <w:lvlText w:val=""/>
      <w:lvlJc w:val="left"/>
    </w:lvl>
  </w:abstractNum>
  <w:abstractNum w:abstractNumId="399" w15:restartNumberingAfterBreak="0">
    <w:nsid w:val="299451BD"/>
    <w:multiLevelType w:val="hybridMultilevel"/>
    <w:tmpl w:val="26D896FE"/>
    <w:lvl w:ilvl="0" w:tplc="325AF682">
      <w:start w:val="1"/>
      <w:numFmt w:val="bullet"/>
      <w:lvlText w:val=""/>
      <w:lvlJc w:val="left"/>
      <w:pPr>
        <w:ind w:left="720" w:hanging="360"/>
      </w:pPr>
      <w:rPr>
        <w:rFonts w:ascii="Symbol" w:hAnsi="Symbol" w:hint="default"/>
      </w:rPr>
    </w:lvl>
    <w:lvl w:ilvl="1" w:tplc="A4CA78F8">
      <w:numFmt w:val="decimal"/>
      <w:lvlText w:val=""/>
      <w:lvlJc w:val="left"/>
    </w:lvl>
    <w:lvl w:ilvl="2" w:tplc="2FB826BE">
      <w:numFmt w:val="decimal"/>
      <w:lvlText w:val=""/>
      <w:lvlJc w:val="left"/>
    </w:lvl>
    <w:lvl w:ilvl="3" w:tplc="C2AA7FBA">
      <w:numFmt w:val="decimal"/>
      <w:lvlText w:val=""/>
      <w:lvlJc w:val="left"/>
    </w:lvl>
    <w:lvl w:ilvl="4" w:tplc="833ACC82">
      <w:numFmt w:val="decimal"/>
      <w:lvlText w:val=""/>
      <w:lvlJc w:val="left"/>
    </w:lvl>
    <w:lvl w:ilvl="5" w:tplc="0AE0B04C">
      <w:numFmt w:val="decimal"/>
      <w:lvlText w:val=""/>
      <w:lvlJc w:val="left"/>
    </w:lvl>
    <w:lvl w:ilvl="6" w:tplc="FD0C7AF8">
      <w:numFmt w:val="decimal"/>
      <w:lvlText w:val=""/>
      <w:lvlJc w:val="left"/>
    </w:lvl>
    <w:lvl w:ilvl="7" w:tplc="09B4A17E">
      <w:numFmt w:val="decimal"/>
      <w:lvlText w:val=""/>
      <w:lvlJc w:val="left"/>
    </w:lvl>
    <w:lvl w:ilvl="8" w:tplc="DFD20364">
      <w:numFmt w:val="decimal"/>
      <w:lvlText w:val=""/>
      <w:lvlJc w:val="left"/>
    </w:lvl>
  </w:abstractNum>
  <w:abstractNum w:abstractNumId="400" w15:restartNumberingAfterBreak="0">
    <w:nsid w:val="299D22E5"/>
    <w:multiLevelType w:val="hybridMultilevel"/>
    <w:tmpl w:val="ACACE438"/>
    <w:lvl w:ilvl="0" w:tplc="C220E0D4">
      <w:start w:val="1"/>
      <w:numFmt w:val="bullet"/>
      <w:lvlText w:val=""/>
      <w:lvlJc w:val="left"/>
      <w:pPr>
        <w:ind w:left="720" w:hanging="360"/>
      </w:pPr>
      <w:rPr>
        <w:rFonts w:ascii="Symbol" w:hAnsi="Symbol" w:hint="default"/>
      </w:rPr>
    </w:lvl>
    <w:lvl w:ilvl="1" w:tplc="A43883D2">
      <w:numFmt w:val="decimal"/>
      <w:lvlText w:val=""/>
      <w:lvlJc w:val="left"/>
    </w:lvl>
    <w:lvl w:ilvl="2" w:tplc="B3044752">
      <w:numFmt w:val="decimal"/>
      <w:lvlText w:val=""/>
      <w:lvlJc w:val="left"/>
    </w:lvl>
    <w:lvl w:ilvl="3" w:tplc="73EA7B50">
      <w:numFmt w:val="decimal"/>
      <w:lvlText w:val=""/>
      <w:lvlJc w:val="left"/>
    </w:lvl>
    <w:lvl w:ilvl="4" w:tplc="482E846E">
      <w:numFmt w:val="decimal"/>
      <w:lvlText w:val=""/>
      <w:lvlJc w:val="left"/>
    </w:lvl>
    <w:lvl w:ilvl="5" w:tplc="034487E4">
      <w:numFmt w:val="decimal"/>
      <w:lvlText w:val=""/>
      <w:lvlJc w:val="left"/>
    </w:lvl>
    <w:lvl w:ilvl="6" w:tplc="C322902C">
      <w:numFmt w:val="decimal"/>
      <w:lvlText w:val=""/>
      <w:lvlJc w:val="left"/>
    </w:lvl>
    <w:lvl w:ilvl="7" w:tplc="8384D708">
      <w:numFmt w:val="decimal"/>
      <w:lvlText w:val=""/>
      <w:lvlJc w:val="left"/>
    </w:lvl>
    <w:lvl w:ilvl="8" w:tplc="E64EFA62">
      <w:numFmt w:val="decimal"/>
      <w:lvlText w:val=""/>
      <w:lvlJc w:val="left"/>
    </w:lvl>
  </w:abstractNum>
  <w:abstractNum w:abstractNumId="401" w15:restartNumberingAfterBreak="0">
    <w:nsid w:val="29AF518E"/>
    <w:multiLevelType w:val="hybridMultilevel"/>
    <w:tmpl w:val="F12A60B2"/>
    <w:lvl w:ilvl="0" w:tplc="22DE096C">
      <w:start w:val="1"/>
      <w:numFmt w:val="bullet"/>
      <w:lvlText w:val=""/>
      <w:lvlJc w:val="left"/>
      <w:pPr>
        <w:ind w:left="720" w:hanging="360"/>
      </w:pPr>
      <w:rPr>
        <w:rFonts w:ascii="Symbol" w:hAnsi="Symbol" w:hint="default"/>
      </w:rPr>
    </w:lvl>
    <w:lvl w:ilvl="1" w:tplc="F3F007B6">
      <w:numFmt w:val="decimal"/>
      <w:lvlText w:val=""/>
      <w:lvlJc w:val="left"/>
    </w:lvl>
    <w:lvl w:ilvl="2" w:tplc="2954E676">
      <w:numFmt w:val="decimal"/>
      <w:lvlText w:val=""/>
      <w:lvlJc w:val="left"/>
    </w:lvl>
    <w:lvl w:ilvl="3" w:tplc="D1368650">
      <w:numFmt w:val="decimal"/>
      <w:lvlText w:val=""/>
      <w:lvlJc w:val="left"/>
    </w:lvl>
    <w:lvl w:ilvl="4" w:tplc="52C84B52">
      <w:numFmt w:val="decimal"/>
      <w:lvlText w:val=""/>
      <w:lvlJc w:val="left"/>
    </w:lvl>
    <w:lvl w:ilvl="5" w:tplc="0A20AB8A">
      <w:numFmt w:val="decimal"/>
      <w:lvlText w:val=""/>
      <w:lvlJc w:val="left"/>
    </w:lvl>
    <w:lvl w:ilvl="6" w:tplc="61600F7E">
      <w:numFmt w:val="decimal"/>
      <w:lvlText w:val=""/>
      <w:lvlJc w:val="left"/>
    </w:lvl>
    <w:lvl w:ilvl="7" w:tplc="D3C83172">
      <w:numFmt w:val="decimal"/>
      <w:lvlText w:val=""/>
      <w:lvlJc w:val="left"/>
    </w:lvl>
    <w:lvl w:ilvl="8" w:tplc="73922D6C">
      <w:numFmt w:val="decimal"/>
      <w:lvlText w:val=""/>
      <w:lvlJc w:val="left"/>
    </w:lvl>
  </w:abstractNum>
  <w:abstractNum w:abstractNumId="402" w15:restartNumberingAfterBreak="0">
    <w:nsid w:val="29C766F4"/>
    <w:multiLevelType w:val="hybridMultilevel"/>
    <w:tmpl w:val="DCAE8CFA"/>
    <w:lvl w:ilvl="0" w:tplc="FFE47A54">
      <w:start w:val="1"/>
      <w:numFmt w:val="bullet"/>
      <w:lvlText w:val=""/>
      <w:lvlJc w:val="left"/>
      <w:pPr>
        <w:ind w:left="720" w:hanging="360"/>
      </w:pPr>
      <w:rPr>
        <w:rFonts w:ascii="Symbol" w:hAnsi="Symbol" w:hint="default"/>
      </w:rPr>
    </w:lvl>
    <w:lvl w:ilvl="1" w:tplc="6AC68F78">
      <w:numFmt w:val="decimal"/>
      <w:lvlText w:val=""/>
      <w:lvlJc w:val="left"/>
    </w:lvl>
    <w:lvl w:ilvl="2" w:tplc="55481020">
      <w:numFmt w:val="decimal"/>
      <w:lvlText w:val=""/>
      <w:lvlJc w:val="left"/>
    </w:lvl>
    <w:lvl w:ilvl="3" w:tplc="EC16963C">
      <w:numFmt w:val="decimal"/>
      <w:lvlText w:val=""/>
      <w:lvlJc w:val="left"/>
    </w:lvl>
    <w:lvl w:ilvl="4" w:tplc="E19A52B2">
      <w:numFmt w:val="decimal"/>
      <w:lvlText w:val=""/>
      <w:lvlJc w:val="left"/>
    </w:lvl>
    <w:lvl w:ilvl="5" w:tplc="F838370A">
      <w:numFmt w:val="decimal"/>
      <w:lvlText w:val=""/>
      <w:lvlJc w:val="left"/>
    </w:lvl>
    <w:lvl w:ilvl="6" w:tplc="D494CEA0">
      <w:numFmt w:val="decimal"/>
      <w:lvlText w:val=""/>
      <w:lvlJc w:val="left"/>
    </w:lvl>
    <w:lvl w:ilvl="7" w:tplc="744AAA2C">
      <w:numFmt w:val="decimal"/>
      <w:lvlText w:val=""/>
      <w:lvlJc w:val="left"/>
    </w:lvl>
    <w:lvl w:ilvl="8" w:tplc="F04E8C64">
      <w:numFmt w:val="decimal"/>
      <w:lvlText w:val=""/>
      <w:lvlJc w:val="left"/>
    </w:lvl>
  </w:abstractNum>
  <w:abstractNum w:abstractNumId="403" w15:restartNumberingAfterBreak="0">
    <w:nsid w:val="29C77915"/>
    <w:multiLevelType w:val="hybridMultilevel"/>
    <w:tmpl w:val="D04698D6"/>
    <w:lvl w:ilvl="0" w:tplc="D722DD02">
      <w:start w:val="1"/>
      <w:numFmt w:val="bullet"/>
      <w:lvlText w:val=""/>
      <w:lvlJc w:val="left"/>
      <w:pPr>
        <w:ind w:left="720" w:hanging="360"/>
      </w:pPr>
      <w:rPr>
        <w:rFonts w:ascii="Symbol" w:hAnsi="Symbol" w:hint="default"/>
      </w:rPr>
    </w:lvl>
    <w:lvl w:ilvl="1" w:tplc="1FA8BBA8">
      <w:numFmt w:val="decimal"/>
      <w:lvlText w:val=""/>
      <w:lvlJc w:val="left"/>
    </w:lvl>
    <w:lvl w:ilvl="2" w:tplc="C14C3C94">
      <w:numFmt w:val="decimal"/>
      <w:lvlText w:val=""/>
      <w:lvlJc w:val="left"/>
    </w:lvl>
    <w:lvl w:ilvl="3" w:tplc="6C66FA2A">
      <w:numFmt w:val="decimal"/>
      <w:lvlText w:val=""/>
      <w:lvlJc w:val="left"/>
    </w:lvl>
    <w:lvl w:ilvl="4" w:tplc="B7C0E642">
      <w:numFmt w:val="decimal"/>
      <w:lvlText w:val=""/>
      <w:lvlJc w:val="left"/>
    </w:lvl>
    <w:lvl w:ilvl="5" w:tplc="F0545FE8">
      <w:numFmt w:val="decimal"/>
      <w:lvlText w:val=""/>
      <w:lvlJc w:val="left"/>
    </w:lvl>
    <w:lvl w:ilvl="6" w:tplc="CA1A00F2">
      <w:numFmt w:val="decimal"/>
      <w:lvlText w:val=""/>
      <w:lvlJc w:val="left"/>
    </w:lvl>
    <w:lvl w:ilvl="7" w:tplc="97645EE2">
      <w:numFmt w:val="decimal"/>
      <w:lvlText w:val=""/>
      <w:lvlJc w:val="left"/>
    </w:lvl>
    <w:lvl w:ilvl="8" w:tplc="76A8B006">
      <w:numFmt w:val="decimal"/>
      <w:lvlText w:val=""/>
      <w:lvlJc w:val="left"/>
    </w:lvl>
  </w:abstractNum>
  <w:abstractNum w:abstractNumId="404" w15:restartNumberingAfterBreak="0">
    <w:nsid w:val="29DE56E2"/>
    <w:multiLevelType w:val="hybridMultilevel"/>
    <w:tmpl w:val="ECA8AFE8"/>
    <w:lvl w:ilvl="0" w:tplc="06E2824A">
      <w:start w:val="1"/>
      <w:numFmt w:val="bullet"/>
      <w:lvlText w:val=""/>
      <w:lvlJc w:val="left"/>
      <w:pPr>
        <w:ind w:left="720" w:hanging="360"/>
      </w:pPr>
      <w:rPr>
        <w:rFonts w:ascii="Symbol" w:hAnsi="Symbol" w:hint="default"/>
      </w:rPr>
    </w:lvl>
    <w:lvl w:ilvl="1" w:tplc="D3145DBE">
      <w:numFmt w:val="decimal"/>
      <w:lvlText w:val=""/>
      <w:lvlJc w:val="left"/>
    </w:lvl>
    <w:lvl w:ilvl="2" w:tplc="B248DFBC">
      <w:numFmt w:val="decimal"/>
      <w:lvlText w:val=""/>
      <w:lvlJc w:val="left"/>
    </w:lvl>
    <w:lvl w:ilvl="3" w:tplc="B9D6C1EA">
      <w:numFmt w:val="decimal"/>
      <w:lvlText w:val=""/>
      <w:lvlJc w:val="left"/>
    </w:lvl>
    <w:lvl w:ilvl="4" w:tplc="C4267642">
      <w:numFmt w:val="decimal"/>
      <w:lvlText w:val=""/>
      <w:lvlJc w:val="left"/>
    </w:lvl>
    <w:lvl w:ilvl="5" w:tplc="350EE4FA">
      <w:numFmt w:val="decimal"/>
      <w:lvlText w:val=""/>
      <w:lvlJc w:val="left"/>
    </w:lvl>
    <w:lvl w:ilvl="6" w:tplc="C8CCE4B8">
      <w:numFmt w:val="decimal"/>
      <w:lvlText w:val=""/>
      <w:lvlJc w:val="left"/>
    </w:lvl>
    <w:lvl w:ilvl="7" w:tplc="F9C46AB4">
      <w:numFmt w:val="decimal"/>
      <w:lvlText w:val=""/>
      <w:lvlJc w:val="left"/>
    </w:lvl>
    <w:lvl w:ilvl="8" w:tplc="FFB20FAC">
      <w:numFmt w:val="decimal"/>
      <w:lvlText w:val=""/>
      <w:lvlJc w:val="left"/>
    </w:lvl>
  </w:abstractNum>
  <w:abstractNum w:abstractNumId="405" w15:restartNumberingAfterBreak="0">
    <w:nsid w:val="29EF729E"/>
    <w:multiLevelType w:val="hybridMultilevel"/>
    <w:tmpl w:val="C42C5454"/>
    <w:lvl w:ilvl="0" w:tplc="808C22A6">
      <w:start w:val="1"/>
      <w:numFmt w:val="bullet"/>
      <w:lvlText w:val=""/>
      <w:lvlJc w:val="left"/>
      <w:pPr>
        <w:ind w:left="720" w:hanging="360"/>
      </w:pPr>
      <w:rPr>
        <w:rFonts w:ascii="Symbol" w:hAnsi="Symbol" w:hint="default"/>
      </w:rPr>
    </w:lvl>
    <w:lvl w:ilvl="1" w:tplc="7FAEAC66">
      <w:numFmt w:val="decimal"/>
      <w:lvlText w:val=""/>
      <w:lvlJc w:val="left"/>
    </w:lvl>
    <w:lvl w:ilvl="2" w:tplc="32CC4094">
      <w:numFmt w:val="decimal"/>
      <w:lvlText w:val=""/>
      <w:lvlJc w:val="left"/>
    </w:lvl>
    <w:lvl w:ilvl="3" w:tplc="EBB057DC">
      <w:numFmt w:val="decimal"/>
      <w:lvlText w:val=""/>
      <w:lvlJc w:val="left"/>
    </w:lvl>
    <w:lvl w:ilvl="4" w:tplc="FDF0A0FC">
      <w:numFmt w:val="decimal"/>
      <w:lvlText w:val=""/>
      <w:lvlJc w:val="left"/>
    </w:lvl>
    <w:lvl w:ilvl="5" w:tplc="7F6856CA">
      <w:numFmt w:val="decimal"/>
      <w:lvlText w:val=""/>
      <w:lvlJc w:val="left"/>
    </w:lvl>
    <w:lvl w:ilvl="6" w:tplc="EE224FBE">
      <w:numFmt w:val="decimal"/>
      <w:lvlText w:val=""/>
      <w:lvlJc w:val="left"/>
    </w:lvl>
    <w:lvl w:ilvl="7" w:tplc="C1C8C3DA">
      <w:numFmt w:val="decimal"/>
      <w:lvlText w:val=""/>
      <w:lvlJc w:val="left"/>
    </w:lvl>
    <w:lvl w:ilvl="8" w:tplc="F78C7732">
      <w:numFmt w:val="decimal"/>
      <w:lvlText w:val=""/>
      <w:lvlJc w:val="left"/>
    </w:lvl>
  </w:abstractNum>
  <w:abstractNum w:abstractNumId="406" w15:restartNumberingAfterBreak="0">
    <w:nsid w:val="2A1A6CFE"/>
    <w:multiLevelType w:val="hybridMultilevel"/>
    <w:tmpl w:val="3CDAD602"/>
    <w:lvl w:ilvl="0" w:tplc="8860418C">
      <w:start w:val="1"/>
      <w:numFmt w:val="bullet"/>
      <w:lvlText w:val=""/>
      <w:lvlJc w:val="left"/>
      <w:pPr>
        <w:ind w:left="720" w:hanging="360"/>
      </w:pPr>
      <w:rPr>
        <w:rFonts w:ascii="Symbol" w:hAnsi="Symbol" w:hint="default"/>
      </w:rPr>
    </w:lvl>
    <w:lvl w:ilvl="1" w:tplc="23F023C4">
      <w:numFmt w:val="decimal"/>
      <w:lvlText w:val=""/>
      <w:lvlJc w:val="left"/>
    </w:lvl>
    <w:lvl w:ilvl="2" w:tplc="846A50C8">
      <w:numFmt w:val="decimal"/>
      <w:lvlText w:val=""/>
      <w:lvlJc w:val="left"/>
    </w:lvl>
    <w:lvl w:ilvl="3" w:tplc="806AED0C">
      <w:numFmt w:val="decimal"/>
      <w:lvlText w:val=""/>
      <w:lvlJc w:val="left"/>
    </w:lvl>
    <w:lvl w:ilvl="4" w:tplc="6DD4DD30">
      <w:numFmt w:val="decimal"/>
      <w:lvlText w:val=""/>
      <w:lvlJc w:val="left"/>
    </w:lvl>
    <w:lvl w:ilvl="5" w:tplc="0AB65F70">
      <w:numFmt w:val="decimal"/>
      <w:lvlText w:val=""/>
      <w:lvlJc w:val="left"/>
    </w:lvl>
    <w:lvl w:ilvl="6" w:tplc="C1B6115A">
      <w:numFmt w:val="decimal"/>
      <w:lvlText w:val=""/>
      <w:lvlJc w:val="left"/>
    </w:lvl>
    <w:lvl w:ilvl="7" w:tplc="01AEF0C4">
      <w:numFmt w:val="decimal"/>
      <w:lvlText w:val=""/>
      <w:lvlJc w:val="left"/>
    </w:lvl>
    <w:lvl w:ilvl="8" w:tplc="458434E6">
      <w:numFmt w:val="decimal"/>
      <w:lvlText w:val=""/>
      <w:lvlJc w:val="left"/>
    </w:lvl>
  </w:abstractNum>
  <w:abstractNum w:abstractNumId="407" w15:restartNumberingAfterBreak="0">
    <w:nsid w:val="2A3E3539"/>
    <w:multiLevelType w:val="hybridMultilevel"/>
    <w:tmpl w:val="02888E4E"/>
    <w:lvl w:ilvl="0" w:tplc="DD8CEBB4">
      <w:start w:val="1"/>
      <w:numFmt w:val="bullet"/>
      <w:lvlText w:val=""/>
      <w:lvlJc w:val="left"/>
      <w:pPr>
        <w:ind w:left="720" w:hanging="360"/>
      </w:pPr>
      <w:rPr>
        <w:rFonts w:ascii="Symbol" w:hAnsi="Symbol" w:hint="default"/>
      </w:rPr>
    </w:lvl>
    <w:lvl w:ilvl="1" w:tplc="F6363C9E">
      <w:numFmt w:val="decimal"/>
      <w:lvlText w:val=""/>
      <w:lvlJc w:val="left"/>
    </w:lvl>
    <w:lvl w:ilvl="2" w:tplc="D8E6A3FA">
      <w:numFmt w:val="decimal"/>
      <w:lvlText w:val=""/>
      <w:lvlJc w:val="left"/>
    </w:lvl>
    <w:lvl w:ilvl="3" w:tplc="41AA9A72">
      <w:numFmt w:val="decimal"/>
      <w:lvlText w:val=""/>
      <w:lvlJc w:val="left"/>
    </w:lvl>
    <w:lvl w:ilvl="4" w:tplc="6F5A663E">
      <w:numFmt w:val="decimal"/>
      <w:lvlText w:val=""/>
      <w:lvlJc w:val="left"/>
    </w:lvl>
    <w:lvl w:ilvl="5" w:tplc="E0A261BA">
      <w:numFmt w:val="decimal"/>
      <w:lvlText w:val=""/>
      <w:lvlJc w:val="left"/>
    </w:lvl>
    <w:lvl w:ilvl="6" w:tplc="BA7A65CA">
      <w:numFmt w:val="decimal"/>
      <w:lvlText w:val=""/>
      <w:lvlJc w:val="left"/>
    </w:lvl>
    <w:lvl w:ilvl="7" w:tplc="97529EAE">
      <w:numFmt w:val="decimal"/>
      <w:lvlText w:val=""/>
      <w:lvlJc w:val="left"/>
    </w:lvl>
    <w:lvl w:ilvl="8" w:tplc="F0AA30E6">
      <w:numFmt w:val="decimal"/>
      <w:lvlText w:val=""/>
      <w:lvlJc w:val="left"/>
    </w:lvl>
  </w:abstractNum>
  <w:abstractNum w:abstractNumId="408" w15:restartNumberingAfterBreak="0">
    <w:nsid w:val="2A3E54AE"/>
    <w:multiLevelType w:val="hybridMultilevel"/>
    <w:tmpl w:val="D4D0A78A"/>
    <w:lvl w:ilvl="0" w:tplc="FAA646B0">
      <w:numFmt w:val="decimal"/>
      <w:lvlText w:val=""/>
      <w:lvlJc w:val="left"/>
    </w:lvl>
    <w:lvl w:ilvl="1" w:tplc="2CE0FD9A">
      <w:start w:val="1"/>
      <w:numFmt w:val="bullet"/>
      <w:lvlText w:val=""/>
      <w:lvlJc w:val="left"/>
      <w:pPr>
        <w:ind w:left="1440" w:hanging="360"/>
      </w:pPr>
      <w:rPr>
        <w:rFonts w:ascii="Symbol" w:hAnsi="Symbol" w:hint="default"/>
      </w:rPr>
    </w:lvl>
    <w:lvl w:ilvl="2" w:tplc="81E468D0">
      <w:numFmt w:val="decimal"/>
      <w:lvlText w:val=""/>
      <w:lvlJc w:val="left"/>
    </w:lvl>
    <w:lvl w:ilvl="3" w:tplc="822A2582">
      <w:numFmt w:val="decimal"/>
      <w:lvlText w:val=""/>
      <w:lvlJc w:val="left"/>
    </w:lvl>
    <w:lvl w:ilvl="4" w:tplc="4A9A8114">
      <w:numFmt w:val="decimal"/>
      <w:lvlText w:val=""/>
      <w:lvlJc w:val="left"/>
    </w:lvl>
    <w:lvl w:ilvl="5" w:tplc="779046E0">
      <w:numFmt w:val="decimal"/>
      <w:lvlText w:val=""/>
      <w:lvlJc w:val="left"/>
    </w:lvl>
    <w:lvl w:ilvl="6" w:tplc="915E6706">
      <w:numFmt w:val="decimal"/>
      <w:lvlText w:val=""/>
      <w:lvlJc w:val="left"/>
    </w:lvl>
    <w:lvl w:ilvl="7" w:tplc="B630ECE6">
      <w:numFmt w:val="decimal"/>
      <w:lvlText w:val=""/>
      <w:lvlJc w:val="left"/>
    </w:lvl>
    <w:lvl w:ilvl="8" w:tplc="F2BA54EC">
      <w:numFmt w:val="decimal"/>
      <w:lvlText w:val=""/>
      <w:lvlJc w:val="left"/>
    </w:lvl>
  </w:abstractNum>
  <w:abstractNum w:abstractNumId="409" w15:restartNumberingAfterBreak="0">
    <w:nsid w:val="2A467245"/>
    <w:multiLevelType w:val="hybridMultilevel"/>
    <w:tmpl w:val="372AD81A"/>
    <w:lvl w:ilvl="0" w:tplc="144885C2">
      <w:start w:val="1"/>
      <w:numFmt w:val="bullet"/>
      <w:lvlText w:val=""/>
      <w:lvlJc w:val="left"/>
      <w:pPr>
        <w:ind w:left="720" w:hanging="360"/>
      </w:pPr>
      <w:rPr>
        <w:rFonts w:ascii="Symbol" w:hAnsi="Symbol" w:hint="default"/>
      </w:rPr>
    </w:lvl>
    <w:lvl w:ilvl="1" w:tplc="FE62A67A">
      <w:numFmt w:val="decimal"/>
      <w:lvlText w:val=""/>
      <w:lvlJc w:val="left"/>
    </w:lvl>
    <w:lvl w:ilvl="2" w:tplc="15F2502A">
      <w:numFmt w:val="decimal"/>
      <w:lvlText w:val=""/>
      <w:lvlJc w:val="left"/>
    </w:lvl>
    <w:lvl w:ilvl="3" w:tplc="AA50405E">
      <w:numFmt w:val="decimal"/>
      <w:lvlText w:val=""/>
      <w:lvlJc w:val="left"/>
    </w:lvl>
    <w:lvl w:ilvl="4" w:tplc="E006C30A">
      <w:numFmt w:val="decimal"/>
      <w:lvlText w:val=""/>
      <w:lvlJc w:val="left"/>
    </w:lvl>
    <w:lvl w:ilvl="5" w:tplc="D390C256">
      <w:numFmt w:val="decimal"/>
      <w:lvlText w:val=""/>
      <w:lvlJc w:val="left"/>
    </w:lvl>
    <w:lvl w:ilvl="6" w:tplc="0032D538">
      <w:numFmt w:val="decimal"/>
      <w:lvlText w:val=""/>
      <w:lvlJc w:val="left"/>
    </w:lvl>
    <w:lvl w:ilvl="7" w:tplc="87BCC088">
      <w:numFmt w:val="decimal"/>
      <w:lvlText w:val=""/>
      <w:lvlJc w:val="left"/>
    </w:lvl>
    <w:lvl w:ilvl="8" w:tplc="ABBE3012">
      <w:numFmt w:val="decimal"/>
      <w:lvlText w:val=""/>
      <w:lvlJc w:val="left"/>
    </w:lvl>
  </w:abstractNum>
  <w:abstractNum w:abstractNumId="410" w15:restartNumberingAfterBreak="0">
    <w:nsid w:val="2AAB2036"/>
    <w:multiLevelType w:val="hybridMultilevel"/>
    <w:tmpl w:val="C676416A"/>
    <w:lvl w:ilvl="0" w:tplc="CB54E9DA">
      <w:start w:val="1"/>
      <w:numFmt w:val="bullet"/>
      <w:lvlText w:val=""/>
      <w:lvlJc w:val="left"/>
      <w:pPr>
        <w:ind w:left="720" w:hanging="360"/>
      </w:pPr>
      <w:rPr>
        <w:rFonts w:ascii="Symbol" w:hAnsi="Symbol" w:hint="default"/>
      </w:rPr>
    </w:lvl>
    <w:lvl w:ilvl="1" w:tplc="EDEE7276">
      <w:numFmt w:val="decimal"/>
      <w:lvlText w:val=""/>
      <w:lvlJc w:val="left"/>
    </w:lvl>
    <w:lvl w:ilvl="2" w:tplc="BD74A8D2">
      <w:numFmt w:val="decimal"/>
      <w:lvlText w:val=""/>
      <w:lvlJc w:val="left"/>
    </w:lvl>
    <w:lvl w:ilvl="3" w:tplc="F0766FEC">
      <w:numFmt w:val="decimal"/>
      <w:lvlText w:val=""/>
      <w:lvlJc w:val="left"/>
    </w:lvl>
    <w:lvl w:ilvl="4" w:tplc="0CB4B966">
      <w:numFmt w:val="decimal"/>
      <w:lvlText w:val=""/>
      <w:lvlJc w:val="left"/>
    </w:lvl>
    <w:lvl w:ilvl="5" w:tplc="351A7A5C">
      <w:numFmt w:val="decimal"/>
      <w:lvlText w:val=""/>
      <w:lvlJc w:val="left"/>
    </w:lvl>
    <w:lvl w:ilvl="6" w:tplc="A8EE651A">
      <w:numFmt w:val="decimal"/>
      <w:lvlText w:val=""/>
      <w:lvlJc w:val="left"/>
    </w:lvl>
    <w:lvl w:ilvl="7" w:tplc="0FBA930C">
      <w:numFmt w:val="decimal"/>
      <w:lvlText w:val=""/>
      <w:lvlJc w:val="left"/>
    </w:lvl>
    <w:lvl w:ilvl="8" w:tplc="A680FEC4">
      <w:numFmt w:val="decimal"/>
      <w:lvlText w:val=""/>
      <w:lvlJc w:val="left"/>
    </w:lvl>
  </w:abstractNum>
  <w:abstractNum w:abstractNumId="411" w15:restartNumberingAfterBreak="0">
    <w:nsid w:val="2AB2224D"/>
    <w:multiLevelType w:val="hybridMultilevel"/>
    <w:tmpl w:val="3EE08FD4"/>
    <w:lvl w:ilvl="0" w:tplc="3F841CC8">
      <w:start w:val="1"/>
      <w:numFmt w:val="bullet"/>
      <w:lvlText w:val=""/>
      <w:lvlJc w:val="left"/>
      <w:pPr>
        <w:ind w:left="720" w:hanging="360"/>
      </w:pPr>
      <w:rPr>
        <w:rFonts w:ascii="Symbol" w:hAnsi="Symbol" w:hint="default"/>
      </w:rPr>
    </w:lvl>
    <w:lvl w:ilvl="1" w:tplc="6446441A">
      <w:numFmt w:val="decimal"/>
      <w:lvlText w:val=""/>
      <w:lvlJc w:val="left"/>
    </w:lvl>
    <w:lvl w:ilvl="2" w:tplc="082A6EEC">
      <w:numFmt w:val="decimal"/>
      <w:lvlText w:val=""/>
      <w:lvlJc w:val="left"/>
    </w:lvl>
    <w:lvl w:ilvl="3" w:tplc="BF804406">
      <w:numFmt w:val="decimal"/>
      <w:lvlText w:val=""/>
      <w:lvlJc w:val="left"/>
    </w:lvl>
    <w:lvl w:ilvl="4" w:tplc="2C8070DC">
      <w:numFmt w:val="decimal"/>
      <w:lvlText w:val=""/>
      <w:lvlJc w:val="left"/>
    </w:lvl>
    <w:lvl w:ilvl="5" w:tplc="0BEEFEEC">
      <w:numFmt w:val="decimal"/>
      <w:lvlText w:val=""/>
      <w:lvlJc w:val="left"/>
    </w:lvl>
    <w:lvl w:ilvl="6" w:tplc="5CEE911C">
      <w:numFmt w:val="decimal"/>
      <w:lvlText w:val=""/>
      <w:lvlJc w:val="left"/>
    </w:lvl>
    <w:lvl w:ilvl="7" w:tplc="7E5894E2">
      <w:numFmt w:val="decimal"/>
      <w:lvlText w:val=""/>
      <w:lvlJc w:val="left"/>
    </w:lvl>
    <w:lvl w:ilvl="8" w:tplc="228A76CE">
      <w:numFmt w:val="decimal"/>
      <w:lvlText w:val=""/>
      <w:lvlJc w:val="left"/>
    </w:lvl>
  </w:abstractNum>
  <w:abstractNum w:abstractNumId="412" w15:restartNumberingAfterBreak="0">
    <w:nsid w:val="2AE26D49"/>
    <w:multiLevelType w:val="hybridMultilevel"/>
    <w:tmpl w:val="A5A66F94"/>
    <w:lvl w:ilvl="0" w:tplc="E77E5710">
      <w:start w:val="1"/>
      <w:numFmt w:val="bullet"/>
      <w:lvlText w:val=""/>
      <w:lvlJc w:val="left"/>
      <w:pPr>
        <w:ind w:left="720" w:hanging="360"/>
      </w:pPr>
      <w:rPr>
        <w:rFonts w:ascii="Symbol" w:hAnsi="Symbol" w:hint="default"/>
      </w:rPr>
    </w:lvl>
    <w:lvl w:ilvl="1" w:tplc="7062CED6">
      <w:numFmt w:val="decimal"/>
      <w:lvlText w:val=""/>
      <w:lvlJc w:val="left"/>
    </w:lvl>
    <w:lvl w:ilvl="2" w:tplc="76868BAE">
      <w:numFmt w:val="decimal"/>
      <w:lvlText w:val=""/>
      <w:lvlJc w:val="left"/>
    </w:lvl>
    <w:lvl w:ilvl="3" w:tplc="F780A9CE">
      <w:numFmt w:val="decimal"/>
      <w:lvlText w:val=""/>
      <w:lvlJc w:val="left"/>
    </w:lvl>
    <w:lvl w:ilvl="4" w:tplc="D93A07E6">
      <w:numFmt w:val="decimal"/>
      <w:lvlText w:val=""/>
      <w:lvlJc w:val="left"/>
    </w:lvl>
    <w:lvl w:ilvl="5" w:tplc="5AC0F2CC">
      <w:numFmt w:val="decimal"/>
      <w:lvlText w:val=""/>
      <w:lvlJc w:val="left"/>
    </w:lvl>
    <w:lvl w:ilvl="6" w:tplc="3DB26728">
      <w:numFmt w:val="decimal"/>
      <w:lvlText w:val=""/>
      <w:lvlJc w:val="left"/>
    </w:lvl>
    <w:lvl w:ilvl="7" w:tplc="0A06F9D4">
      <w:numFmt w:val="decimal"/>
      <w:lvlText w:val=""/>
      <w:lvlJc w:val="left"/>
    </w:lvl>
    <w:lvl w:ilvl="8" w:tplc="E690C4BC">
      <w:numFmt w:val="decimal"/>
      <w:lvlText w:val=""/>
      <w:lvlJc w:val="left"/>
    </w:lvl>
  </w:abstractNum>
  <w:abstractNum w:abstractNumId="413" w15:restartNumberingAfterBreak="0">
    <w:nsid w:val="2B226B04"/>
    <w:multiLevelType w:val="hybridMultilevel"/>
    <w:tmpl w:val="6F047896"/>
    <w:lvl w:ilvl="0" w:tplc="8FDC4EFE">
      <w:start w:val="1"/>
      <w:numFmt w:val="bullet"/>
      <w:lvlText w:val=""/>
      <w:lvlJc w:val="left"/>
      <w:pPr>
        <w:ind w:left="720" w:hanging="360"/>
      </w:pPr>
      <w:rPr>
        <w:rFonts w:ascii="Symbol" w:hAnsi="Symbol" w:hint="default"/>
      </w:rPr>
    </w:lvl>
    <w:lvl w:ilvl="1" w:tplc="E34A24BC">
      <w:numFmt w:val="decimal"/>
      <w:lvlText w:val=""/>
      <w:lvlJc w:val="left"/>
    </w:lvl>
    <w:lvl w:ilvl="2" w:tplc="85E2C810">
      <w:numFmt w:val="decimal"/>
      <w:lvlText w:val=""/>
      <w:lvlJc w:val="left"/>
    </w:lvl>
    <w:lvl w:ilvl="3" w:tplc="C7929E16">
      <w:numFmt w:val="decimal"/>
      <w:lvlText w:val=""/>
      <w:lvlJc w:val="left"/>
    </w:lvl>
    <w:lvl w:ilvl="4" w:tplc="24CCF400">
      <w:numFmt w:val="decimal"/>
      <w:lvlText w:val=""/>
      <w:lvlJc w:val="left"/>
    </w:lvl>
    <w:lvl w:ilvl="5" w:tplc="67908D9E">
      <w:numFmt w:val="decimal"/>
      <w:lvlText w:val=""/>
      <w:lvlJc w:val="left"/>
    </w:lvl>
    <w:lvl w:ilvl="6" w:tplc="9200B1D4">
      <w:numFmt w:val="decimal"/>
      <w:lvlText w:val=""/>
      <w:lvlJc w:val="left"/>
    </w:lvl>
    <w:lvl w:ilvl="7" w:tplc="7E946912">
      <w:numFmt w:val="decimal"/>
      <w:lvlText w:val=""/>
      <w:lvlJc w:val="left"/>
    </w:lvl>
    <w:lvl w:ilvl="8" w:tplc="3FB693B8">
      <w:numFmt w:val="decimal"/>
      <w:lvlText w:val=""/>
      <w:lvlJc w:val="left"/>
    </w:lvl>
  </w:abstractNum>
  <w:abstractNum w:abstractNumId="414" w15:restartNumberingAfterBreak="0">
    <w:nsid w:val="2B2D207D"/>
    <w:multiLevelType w:val="hybridMultilevel"/>
    <w:tmpl w:val="48483EB6"/>
    <w:lvl w:ilvl="0" w:tplc="54301C20">
      <w:start w:val="1"/>
      <w:numFmt w:val="bullet"/>
      <w:lvlText w:val=""/>
      <w:lvlJc w:val="left"/>
      <w:pPr>
        <w:ind w:left="720" w:hanging="360"/>
      </w:pPr>
      <w:rPr>
        <w:rFonts w:ascii="Symbol" w:hAnsi="Symbol" w:hint="default"/>
      </w:rPr>
    </w:lvl>
    <w:lvl w:ilvl="1" w:tplc="7100A3BA">
      <w:numFmt w:val="decimal"/>
      <w:lvlText w:val=""/>
      <w:lvlJc w:val="left"/>
    </w:lvl>
    <w:lvl w:ilvl="2" w:tplc="A464322C">
      <w:numFmt w:val="decimal"/>
      <w:lvlText w:val=""/>
      <w:lvlJc w:val="left"/>
    </w:lvl>
    <w:lvl w:ilvl="3" w:tplc="2ED63B94">
      <w:numFmt w:val="decimal"/>
      <w:lvlText w:val=""/>
      <w:lvlJc w:val="left"/>
    </w:lvl>
    <w:lvl w:ilvl="4" w:tplc="2ED65288">
      <w:numFmt w:val="decimal"/>
      <w:lvlText w:val=""/>
      <w:lvlJc w:val="left"/>
    </w:lvl>
    <w:lvl w:ilvl="5" w:tplc="9E2CAD98">
      <w:numFmt w:val="decimal"/>
      <w:lvlText w:val=""/>
      <w:lvlJc w:val="left"/>
    </w:lvl>
    <w:lvl w:ilvl="6" w:tplc="11D6ADE8">
      <w:numFmt w:val="decimal"/>
      <w:lvlText w:val=""/>
      <w:lvlJc w:val="left"/>
    </w:lvl>
    <w:lvl w:ilvl="7" w:tplc="08D8989A">
      <w:numFmt w:val="decimal"/>
      <w:lvlText w:val=""/>
      <w:lvlJc w:val="left"/>
    </w:lvl>
    <w:lvl w:ilvl="8" w:tplc="BB4CC848">
      <w:numFmt w:val="decimal"/>
      <w:lvlText w:val=""/>
      <w:lvlJc w:val="left"/>
    </w:lvl>
  </w:abstractNum>
  <w:abstractNum w:abstractNumId="415" w15:restartNumberingAfterBreak="0">
    <w:nsid w:val="2B354718"/>
    <w:multiLevelType w:val="hybridMultilevel"/>
    <w:tmpl w:val="3BF0CA94"/>
    <w:lvl w:ilvl="0" w:tplc="295C1C54">
      <w:start w:val="1"/>
      <w:numFmt w:val="bullet"/>
      <w:lvlText w:val=""/>
      <w:lvlJc w:val="left"/>
      <w:pPr>
        <w:ind w:left="720" w:hanging="360"/>
      </w:pPr>
      <w:rPr>
        <w:rFonts w:ascii="Symbol" w:hAnsi="Symbol" w:hint="default"/>
      </w:rPr>
    </w:lvl>
    <w:lvl w:ilvl="1" w:tplc="368886DC">
      <w:numFmt w:val="decimal"/>
      <w:lvlText w:val=""/>
      <w:lvlJc w:val="left"/>
    </w:lvl>
    <w:lvl w:ilvl="2" w:tplc="2A44CA70">
      <w:numFmt w:val="decimal"/>
      <w:lvlText w:val=""/>
      <w:lvlJc w:val="left"/>
    </w:lvl>
    <w:lvl w:ilvl="3" w:tplc="D4DCB5BC">
      <w:numFmt w:val="decimal"/>
      <w:lvlText w:val=""/>
      <w:lvlJc w:val="left"/>
    </w:lvl>
    <w:lvl w:ilvl="4" w:tplc="5FD010AE">
      <w:numFmt w:val="decimal"/>
      <w:lvlText w:val=""/>
      <w:lvlJc w:val="left"/>
    </w:lvl>
    <w:lvl w:ilvl="5" w:tplc="3FBC9B00">
      <w:numFmt w:val="decimal"/>
      <w:lvlText w:val=""/>
      <w:lvlJc w:val="left"/>
    </w:lvl>
    <w:lvl w:ilvl="6" w:tplc="D136B13E">
      <w:numFmt w:val="decimal"/>
      <w:lvlText w:val=""/>
      <w:lvlJc w:val="left"/>
    </w:lvl>
    <w:lvl w:ilvl="7" w:tplc="0B04E42C">
      <w:numFmt w:val="decimal"/>
      <w:lvlText w:val=""/>
      <w:lvlJc w:val="left"/>
    </w:lvl>
    <w:lvl w:ilvl="8" w:tplc="1590BCD0">
      <w:numFmt w:val="decimal"/>
      <w:lvlText w:val=""/>
      <w:lvlJc w:val="left"/>
    </w:lvl>
  </w:abstractNum>
  <w:abstractNum w:abstractNumId="416" w15:restartNumberingAfterBreak="0">
    <w:nsid w:val="2B481B56"/>
    <w:multiLevelType w:val="hybridMultilevel"/>
    <w:tmpl w:val="D040ACEE"/>
    <w:lvl w:ilvl="0" w:tplc="9CAE5000">
      <w:numFmt w:val="decimal"/>
      <w:lvlText w:val=""/>
      <w:lvlJc w:val="left"/>
    </w:lvl>
    <w:lvl w:ilvl="1" w:tplc="8F4CF53C">
      <w:start w:val="1"/>
      <w:numFmt w:val="bullet"/>
      <w:lvlText w:val=""/>
      <w:lvlJc w:val="left"/>
      <w:pPr>
        <w:ind w:left="1440" w:hanging="360"/>
      </w:pPr>
      <w:rPr>
        <w:rFonts w:ascii="Symbol" w:hAnsi="Symbol" w:hint="default"/>
      </w:rPr>
    </w:lvl>
    <w:lvl w:ilvl="2" w:tplc="BDF01E4E">
      <w:numFmt w:val="decimal"/>
      <w:lvlText w:val=""/>
      <w:lvlJc w:val="left"/>
    </w:lvl>
    <w:lvl w:ilvl="3" w:tplc="EDC42BFC">
      <w:numFmt w:val="decimal"/>
      <w:lvlText w:val=""/>
      <w:lvlJc w:val="left"/>
    </w:lvl>
    <w:lvl w:ilvl="4" w:tplc="B0C85708">
      <w:numFmt w:val="decimal"/>
      <w:lvlText w:val=""/>
      <w:lvlJc w:val="left"/>
    </w:lvl>
    <w:lvl w:ilvl="5" w:tplc="50867B2E">
      <w:numFmt w:val="decimal"/>
      <w:lvlText w:val=""/>
      <w:lvlJc w:val="left"/>
    </w:lvl>
    <w:lvl w:ilvl="6" w:tplc="EF148A8A">
      <w:numFmt w:val="decimal"/>
      <w:lvlText w:val=""/>
      <w:lvlJc w:val="left"/>
    </w:lvl>
    <w:lvl w:ilvl="7" w:tplc="747653B6">
      <w:numFmt w:val="decimal"/>
      <w:lvlText w:val=""/>
      <w:lvlJc w:val="left"/>
    </w:lvl>
    <w:lvl w:ilvl="8" w:tplc="BF1AF2A4">
      <w:numFmt w:val="decimal"/>
      <w:lvlText w:val=""/>
      <w:lvlJc w:val="left"/>
    </w:lvl>
  </w:abstractNum>
  <w:abstractNum w:abstractNumId="417" w15:restartNumberingAfterBreak="0">
    <w:nsid w:val="2B4D5D4A"/>
    <w:multiLevelType w:val="hybridMultilevel"/>
    <w:tmpl w:val="36C0F342"/>
    <w:lvl w:ilvl="0" w:tplc="DAB4B4D4">
      <w:start w:val="1"/>
      <w:numFmt w:val="bullet"/>
      <w:lvlText w:val=""/>
      <w:lvlJc w:val="left"/>
      <w:pPr>
        <w:ind w:left="720" w:hanging="360"/>
      </w:pPr>
      <w:rPr>
        <w:rFonts w:ascii="Symbol" w:hAnsi="Symbol" w:hint="default"/>
      </w:rPr>
    </w:lvl>
    <w:lvl w:ilvl="1" w:tplc="D772EA04">
      <w:numFmt w:val="decimal"/>
      <w:lvlText w:val=""/>
      <w:lvlJc w:val="left"/>
    </w:lvl>
    <w:lvl w:ilvl="2" w:tplc="3B06AAF0">
      <w:numFmt w:val="decimal"/>
      <w:lvlText w:val=""/>
      <w:lvlJc w:val="left"/>
    </w:lvl>
    <w:lvl w:ilvl="3" w:tplc="394205FE">
      <w:numFmt w:val="decimal"/>
      <w:lvlText w:val=""/>
      <w:lvlJc w:val="left"/>
    </w:lvl>
    <w:lvl w:ilvl="4" w:tplc="53204EE6">
      <w:numFmt w:val="decimal"/>
      <w:lvlText w:val=""/>
      <w:lvlJc w:val="left"/>
    </w:lvl>
    <w:lvl w:ilvl="5" w:tplc="61042A6E">
      <w:numFmt w:val="decimal"/>
      <w:lvlText w:val=""/>
      <w:lvlJc w:val="left"/>
    </w:lvl>
    <w:lvl w:ilvl="6" w:tplc="1E0282C4">
      <w:numFmt w:val="decimal"/>
      <w:lvlText w:val=""/>
      <w:lvlJc w:val="left"/>
    </w:lvl>
    <w:lvl w:ilvl="7" w:tplc="28549C04">
      <w:numFmt w:val="decimal"/>
      <w:lvlText w:val=""/>
      <w:lvlJc w:val="left"/>
    </w:lvl>
    <w:lvl w:ilvl="8" w:tplc="CB563DC0">
      <w:numFmt w:val="decimal"/>
      <w:lvlText w:val=""/>
      <w:lvlJc w:val="left"/>
    </w:lvl>
  </w:abstractNum>
  <w:abstractNum w:abstractNumId="418" w15:restartNumberingAfterBreak="0">
    <w:nsid w:val="2B550518"/>
    <w:multiLevelType w:val="hybridMultilevel"/>
    <w:tmpl w:val="240E712C"/>
    <w:lvl w:ilvl="0" w:tplc="29588072">
      <w:start w:val="1"/>
      <w:numFmt w:val="bullet"/>
      <w:lvlText w:val=""/>
      <w:lvlJc w:val="left"/>
      <w:pPr>
        <w:ind w:left="720" w:hanging="360"/>
      </w:pPr>
      <w:rPr>
        <w:rFonts w:ascii="Symbol" w:hAnsi="Symbol" w:hint="default"/>
      </w:rPr>
    </w:lvl>
    <w:lvl w:ilvl="1" w:tplc="FAD8E6EA">
      <w:numFmt w:val="decimal"/>
      <w:lvlText w:val=""/>
      <w:lvlJc w:val="left"/>
    </w:lvl>
    <w:lvl w:ilvl="2" w:tplc="669003BE">
      <w:numFmt w:val="decimal"/>
      <w:lvlText w:val=""/>
      <w:lvlJc w:val="left"/>
    </w:lvl>
    <w:lvl w:ilvl="3" w:tplc="CA8AC44E">
      <w:numFmt w:val="decimal"/>
      <w:lvlText w:val=""/>
      <w:lvlJc w:val="left"/>
    </w:lvl>
    <w:lvl w:ilvl="4" w:tplc="9DF44B14">
      <w:numFmt w:val="decimal"/>
      <w:lvlText w:val=""/>
      <w:lvlJc w:val="left"/>
    </w:lvl>
    <w:lvl w:ilvl="5" w:tplc="BBF4F622">
      <w:numFmt w:val="decimal"/>
      <w:lvlText w:val=""/>
      <w:lvlJc w:val="left"/>
    </w:lvl>
    <w:lvl w:ilvl="6" w:tplc="02503270">
      <w:numFmt w:val="decimal"/>
      <w:lvlText w:val=""/>
      <w:lvlJc w:val="left"/>
    </w:lvl>
    <w:lvl w:ilvl="7" w:tplc="44E21B16">
      <w:numFmt w:val="decimal"/>
      <w:lvlText w:val=""/>
      <w:lvlJc w:val="left"/>
    </w:lvl>
    <w:lvl w:ilvl="8" w:tplc="637029D4">
      <w:numFmt w:val="decimal"/>
      <w:lvlText w:val=""/>
      <w:lvlJc w:val="left"/>
    </w:lvl>
  </w:abstractNum>
  <w:abstractNum w:abstractNumId="419" w15:restartNumberingAfterBreak="0">
    <w:nsid w:val="2B644EFC"/>
    <w:multiLevelType w:val="hybridMultilevel"/>
    <w:tmpl w:val="CD7A78DE"/>
    <w:lvl w:ilvl="0" w:tplc="78643882">
      <w:start w:val="1"/>
      <w:numFmt w:val="bullet"/>
      <w:lvlText w:val=""/>
      <w:lvlJc w:val="left"/>
      <w:pPr>
        <w:ind w:left="720" w:hanging="360"/>
      </w:pPr>
      <w:rPr>
        <w:rFonts w:ascii="Symbol" w:hAnsi="Symbol" w:hint="default"/>
      </w:rPr>
    </w:lvl>
    <w:lvl w:ilvl="1" w:tplc="646C12AE">
      <w:numFmt w:val="decimal"/>
      <w:lvlText w:val=""/>
      <w:lvlJc w:val="left"/>
    </w:lvl>
    <w:lvl w:ilvl="2" w:tplc="F97A84F0">
      <w:numFmt w:val="decimal"/>
      <w:lvlText w:val=""/>
      <w:lvlJc w:val="left"/>
    </w:lvl>
    <w:lvl w:ilvl="3" w:tplc="4F7EF5CE">
      <w:numFmt w:val="decimal"/>
      <w:lvlText w:val=""/>
      <w:lvlJc w:val="left"/>
    </w:lvl>
    <w:lvl w:ilvl="4" w:tplc="91828D6A">
      <w:numFmt w:val="decimal"/>
      <w:lvlText w:val=""/>
      <w:lvlJc w:val="left"/>
    </w:lvl>
    <w:lvl w:ilvl="5" w:tplc="8A103274">
      <w:numFmt w:val="decimal"/>
      <w:lvlText w:val=""/>
      <w:lvlJc w:val="left"/>
    </w:lvl>
    <w:lvl w:ilvl="6" w:tplc="DB1AEE2A">
      <w:numFmt w:val="decimal"/>
      <w:lvlText w:val=""/>
      <w:lvlJc w:val="left"/>
    </w:lvl>
    <w:lvl w:ilvl="7" w:tplc="4BB82C76">
      <w:numFmt w:val="decimal"/>
      <w:lvlText w:val=""/>
      <w:lvlJc w:val="left"/>
    </w:lvl>
    <w:lvl w:ilvl="8" w:tplc="F3B4CDE2">
      <w:numFmt w:val="decimal"/>
      <w:lvlText w:val=""/>
      <w:lvlJc w:val="left"/>
    </w:lvl>
  </w:abstractNum>
  <w:abstractNum w:abstractNumId="420" w15:restartNumberingAfterBreak="0">
    <w:nsid w:val="2B7B375E"/>
    <w:multiLevelType w:val="hybridMultilevel"/>
    <w:tmpl w:val="BC4C2BAE"/>
    <w:lvl w:ilvl="0" w:tplc="3402A1F8">
      <w:start w:val="1"/>
      <w:numFmt w:val="bullet"/>
      <w:lvlText w:val=""/>
      <w:lvlJc w:val="left"/>
      <w:pPr>
        <w:ind w:left="720" w:hanging="360"/>
      </w:pPr>
      <w:rPr>
        <w:rFonts w:ascii="Symbol" w:hAnsi="Symbol" w:hint="default"/>
      </w:rPr>
    </w:lvl>
    <w:lvl w:ilvl="1" w:tplc="32A41C6E">
      <w:numFmt w:val="decimal"/>
      <w:lvlText w:val=""/>
      <w:lvlJc w:val="left"/>
    </w:lvl>
    <w:lvl w:ilvl="2" w:tplc="F01C219C">
      <w:numFmt w:val="decimal"/>
      <w:lvlText w:val=""/>
      <w:lvlJc w:val="left"/>
    </w:lvl>
    <w:lvl w:ilvl="3" w:tplc="DE809396">
      <w:numFmt w:val="decimal"/>
      <w:lvlText w:val=""/>
      <w:lvlJc w:val="left"/>
    </w:lvl>
    <w:lvl w:ilvl="4" w:tplc="81ECD050">
      <w:numFmt w:val="decimal"/>
      <w:lvlText w:val=""/>
      <w:lvlJc w:val="left"/>
    </w:lvl>
    <w:lvl w:ilvl="5" w:tplc="1CD44096">
      <w:numFmt w:val="decimal"/>
      <w:lvlText w:val=""/>
      <w:lvlJc w:val="left"/>
    </w:lvl>
    <w:lvl w:ilvl="6" w:tplc="4080ED22">
      <w:numFmt w:val="decimal"/>
      <w:lvlText w:val=""/>
      <w:lvlJc w:val="left"/>
    </w:lvl>
    <w:lvl w:ilvl="7" w:tplc="DA9AEFA6">
      <w:numFmt w:val="decimal"/>
      <w:lvlText w:val=""/>
      <w:lvlJc w:val="left"/>
    </w:lvl>
    <w:lvl w:ilvl="8" w:tplc="4E7C70AC">
      <w:numFmt w:val="decimal"/>
      <w:lvlText w:val=""/>
      <w:lvlJc w:val="left"/>
    </w:lvl>
  </w:abstractNum>
  <w:abstractNum w:abstractNumId="421" w15:restartNumberingAfterBreak="0">
    <w:nsid w:val="2B9D63C0"/>
    <w:multiLevelType w:val="hybridMultilevel"/>
    <w:tmpl w:val="FF46B398"/>
    <w:lvl w:ilvl="0" w:tplc="4328C698">
      <w:start w:val="1"/>
      <w:numFmt w:val="bullet"/>
      <w:lvlText w:val=""/>
      <w:lvlJc w:val="left"/>
      <w:pPr>
        <w:ind w:left="720" w:hanging="360"/>
      </w:pPr>
      <w:rPr>
        <w:rFonts w:ascii="Symbol" w:hAnsi="Symbol" w:hint="default"/>
      </w:rPr>
    </w:lvl>
    <w:lvl w:ilvl="1" w:tplc="6688E8F8">
      <w:numFmt w:val="decimal"/>
      <w:lvlText w:val=""/>
      <w:lvlJc w:val="left"/>
    </w:lvl>
    <w:lvl w:ilvl="2" w:tplc="288CE95C">
      <w:numFmt w:val="decimal"/>
      <w:lvlText w:val=""/>
      <w:lvlJc w:val="left"/>
    </w:lvl>
    <w:lvl w:ilvl="3" w:tplc="FC889DA4">
      <w:numFmt w:val="decimal"/>
      <w:lvlText w:val=""/>
      <w:lvlJc w:val="left"/>
    </w:lvl>
    <w:lvl w:ilvl="4" w:tplc="04D4BBD8">
      <w:numFmt w:val="decimal"/>
      <w:lvlText w:val=""/>
      <w:lvlJc w:val="left"/>
    </w:lvl>
    <w:lvl w:ilvl="5" w:tplc="E160D2D6">
      <w:numFmt w:val="decimal"/>
      <w:lvlText w:val=""/>
      <w:lvlJc w:val="left"/>
    </w:lvl>
    <w:lvl w:ilvl="6" w:tplc="E79E3442">
      <w:numFmt w:val="decimal"/>
      <w:lvlText w:val=""/>
      <w:lvlJc w:val="left"/>
    </w:lvl>
    <w:lvl w:ilvl="7" w:tplc="2DBAC154">
      <w:numFmt w:val="decimal"/>
      <w:lvlText w:val=""/>
      <w:lvlJc w:val="left"/>
    </w:lvl>
    <w:lvl w:ilvl="8" w:tplc="55A0733E">
      <w:numFmt w:val="decimal"/>
      <w:lvlText w:val=""/>
      <w:lvlJc w:val="left"/>
    </w:lvl>
  </w:abstractNum>
  <w:abstractNum w:abstractNumId="422" w15:restartNumberingAfterBreak="0">
    <w:nsid w:val="2BAC10EC"/>
    <w:multiLevelType w:val="hybridMultilevel"/>
    <w:tmpl w:val="E1A0446C"/>
    <w:lvl w:ilvl="0" w:tplc="3648D810">
      <w:start w:val="1"/>
      <w:numFmt w:val="bullet"/>
      <w:lvlText w:val=""/>
      <w:lvlJc w:val="left"/>
      <w:pPr>
        <w:ind w:left="720" w:hanging="360"/>
      </w:pPr>
      <w:rPr>
        <w:rFonts w:ascii="Symbol" w:hAnsi="Symbol" w:hint="default"/>
      </w:rPr>
    </w:lvl>
    <w:lvl w:ilvl="1" w:tplc="609CE01C">
      <w:numFmt w:val="decimal"/>
      <w:lvlText w:val=""/>
      <w:lvlJc w:val="left"/>
    </w:lvl>
    <w:lvl w:ilvl="2" w:tplc="337C6D7A">
      <w:numFmt w:val="decimal"/>
      <w:lvlText w:val=""/>
      <w:lvlJc w:val="left"/>
    </w:lvl>
    <w:lvl w:ilvl="3" w:tplc="40CC3A1C">
      <w:numFmt w:val="decimal"/>
      <w:lvlText w:val=""/>
      <w:lvlJc w:val="left"/>
    </w:lvl>
    <w:lvl w:ilvl="4" w:tplc="B35A3820">
      <w:numFmt w:val="decimal"/>
      <w:lvlText w:val=""/>
      <w:lvlJc w:val="left"/>
    </w:lvl>
    <w:lvl w:ilvl="5" w:tplc="81F072EC">
      <w:numFmt w:val="decimal"/>
      <w:lvlText w:val=""/>
      <w:lvlJc w:val="left"/>
    </w:lvl>
    <w:lvl w:ilvl="6" w:tplc="58D4447C">
      <w:numFmt w:val="decimal"/>
      <w:lvlText w:val=""/>
      <w:lvlJc w:val="left"/>
    </w:lvl>
    <w:lvl w:ilvl="7" w:tplc="A4BC451C">
      <w:numFmt w:val="decimal"/>
      <w:lvlText w:val=""/>
      <w:lvlJc w:val="left"/>
    </w:lvl>
    <w:lvl w:ilvl="8" w:tplc="D59C61DC">
      <w:numFmt w:val="decimal"/>
      <w:lvlText w:val=""/>
      <w:lvlJc w:val="left"/>
    </w:lvl>
  </w:abstractNum>
  <w:abstractNum w:abstractNumId="423" w15:restartNumberingAfterBreak="0">
    <w:nsid w:val="2BCB331F"/>
    <w:multiLevelType w:val="hybridMultilevel"/>
    <w:tmpl w:val="B5D8BDF0"/>
    <w:lvl w:ilvl="0" w:tplc="41326EEA">
      <w:start w:val="1"/>
      <w:numFmt w:val="bullet"/>
      <w:lvlText w:val=""/>
      <w:lvlJc w:val="left"/>
      <w:pPr>
        <w:ind w:left="720" w:hanging="360"/>
      </w:pPr>
      <w:rPr>
        <w:rFonts w:ascii="Symbol" w:hAnsi="Symbol" w:hint="default"/>
      </w:rPr>
    </w:lvl>
    <w:lvl w:ilvl="1" w:tplc="7A8EFC0C">
      <w:numFmt w:val="decimal"/>
      <w:lvlText w:val=""/>
      <w:lvlJc w:val="left"/>
    </w:lvl>
    <w:lvl w:ilvl="2" w:tplc="17881ED8">
      <w:numFmt w:val="decimal"/>
      <w:lvlText w:val=""/>
      <w:lvlJc w:val="left"/>
    </w:lvl>
    <w:lvl w:ilvl="3" w:tplc="BFD013D0">
      <w:numFmt w:val="decimal"/>
      <w:lvlText w:val=""/>
      <w:lvlJc w:val="left"/>
    </w:lvl>
    <w:lvl w:ilvl="4" w:tplc="9260D48A">
      <w:numFmt w:val="decimal"/>
      <w:lvlText w:val=""/>
      <w:lvlJc w:val="left"/>
    </w:lvl>
    <w:lvl w:ilvl="5" w:tplc="3D2ACFCA">
      <w:numFmt w:val="decimal"/>
      <w:lvlText w:val=""/>
      <w:lvlJc w:val="left"/>
    </w:lvl>
    <w:lvl w:ilvl="6" w:tplc="294826FE">
      <w:numFmt w:val="decimal"/>
      <w:lvlText w:val=""/>
      <w:lvlJc w:val="left"/>
    </w:lvl>
    <w:lvl w:ilvl="7" w:tplc="52E0C5D0">
      <w:numFmt w:val="decimal"/>
      <w:lvlText w:val=""/>
      <w:lvlJc w:val="left"/>
    </w:lvl>
    <w:lvl w:ilvl="8" w:tplc="46E41D9A">
      <w:numFmt w:val="decimal"/>
      <w:lvlText w:val=""/>
      <w:lvlJc w:val="left"/>
    </w:lvl>
  </w:abstractNum>
  <w:abstractNum w:abstractNumId="424" w15:restartNumberingAfterBreak="0">
    <w:nsid w:val="2BE062FB"/>
    <w:multiLevelType w:val="hybridMultilevel"/>
    <w:tmpl w:val="2BA6C460"/>
    <w:lvl w:ilvl="0" w:tplc="106C45B8">
      <w:start w:val="1"/>
      <w:numFmt w:val="bullet"/>
      <w:lvlText w:val=""/>
      <w:lvlJc w:val="left"/>
      <w:pPr>
        <w:ind w:left="720" w:hanging="360"/>
      </w:pPr>
      <w:rPr>
        <w:rFonts w:ascii="Symbol" w:hAnsi="Symbol" w:hint="default"/>
      </w:rPr>
    </w:lvl>
    <w:lvl w:ilvl="1" w:tplc="24E0F964">
      <w:numFmt w:val="decimal"/>
      <w:lvlText w:val=""/>
      <w:lvlJc w:val="left"/>
    </w:lvl>
    <w:lvl w:ilvl="2" w:tplc="3AA095E2">
      <w:numFmt w:val="decimal"/>
      <w:lvlText w:val=""/>
      <w:lvlJc w:val="left"/>
    </w:lvl>
    <w:lvl w:ilvl="3" w:tplc="822EAED2">
      <w:numFmt w:val="decimal"/>
      <w:lvlText w:val=""/>
      <w:lvlJc w:val="left"/>
    </w:lvl>
    <w:lvl w:ilvl="4" w:tplc="42D8A546">
      <w:numFmt w:val="decimal"/>
      <w:lvlText w:val=""/>
      <w:lvlJc w:val="left"/>
    </w:lvl>
    <w:lvl w:ilvl="5" w:tplc="134A3DE0">
      <w:numFmt w:val="decimal"/>
      <w:lvlText w:val=""/>
      <w:lvlJc w:val="left"/>
    </w:lvl>
    <w:lvl w:ilvl="6" w:tplc="09C6484C">
      <w:numFmt w:val="decimal"/>
      <w:lvlText w:val=""/>
      <w:lvlJc w:val="left"/>
    </w:lvl>
    <w:lvl w:ilvl="7" w:tplc="1F0C69E8">
      <w:numFmt w:val="decimal"/>
      <w:lvlText w:val=""/>
      <w:lvlJc w:val="left"/>
    </w:lvl>
    <w:lvl w:ilvl="8" w:tplc="7B969AB4">
      <w:numFmt w:val="decimal"/>
      <w:lvlText w:val=""/>
      <w:lvlJc w:val="left"/>
    </w:lvl>
  </w:abstractNum>
  <w:abstractNum w:abstractNumId="425" w15:restartNumberingAfterBreak="0">
    <w:nsid w:val="2BE36D1C"/>
    <w:multiLevelType w:val="hybridMultilevel"/>
    <w:tmpl w:val="401025EE"/>
    <w:lvl w:ilvl="0" w:tplc="86C22394">
      <w:start w:val="1"/>
      <w:numFmt w:val="bullet"/>
      <w:lvlText w:val=""/>
      <w:lvlJc w:val="left"/>
      <w:pPr>
        <w:ind w:left="720" w:hanging="360"/>
      </w:pPr>
      <w:rPr>
        <w:rFonts w:ascii="Symbol" w:hAnsi="Symbol" w:hint="default"/>
      </w:rPr>
    </w:lvl>
    <w:lvl w:ilvl="1" w:tplc="282C829E">
      <w:numFmt w:val="decimal"/>
      <w:lvlText w:val=""/>
      <w:lvlJc w:val="left"/>
    </w:lvl>
    <w:lvl w:ilvl="2" w:tplc="5FF0E59A">
      <w:numFmt w:val="decimal"/>
      <w:lvlText w:val=""/>
      <w:lvlJc w:val="left"/>
    </w:lvl>
    <w:lvl w:ilvl="3" w:tplc="C1F44972">
      <w:numFmt w:val="decimal"/>
      <w:lvlText w:val=""/>
      <w:lvlJc w:val="left"/>
    </w:lvl>
    <w:lvl w:ilvl="4" w:tplc="E8D6E10E">
      <w:numFmt w:val="decimal"/>
      <w:lvlText w:val=""/>
      <w:lvlJc w:val="left"/>
    </w:lvl>
    <w:lvl w:ilvl="5" w:tplc="76A06DEC">
      <w:numFmt w:val="decimal"/>
      <w:lvlText w:val=""/>
      <w:lvlJc w:val="left"/>
    </w:lvl>
    <w:lvl w:ilvl="6" w:tplc="66625B64">
      <w:numFmt w:val="decimal"/>
      <w:lvlText w:val=""/>
      <w:lvlJc w:val="left"/>
    </w:lvl>
    <w:lvl w:ilvl="7" w:tplc="8C2278E4">
      <w:numFmt w:val="decimal"/>
      <w:lvlText w:val=""/>
      <w:lvlJc w:val="left"/>
    </w:lvl>
    <w:lvl w:ilvl="8" w:tplc="461C2D3E">
      <w:numFmt w:val="decimal"/>
      <w:lvlText w:val=""/>
      <w:lvlJc w:val="left"/>
    </w:lvl>
  </w:abstractNum>
  <w:abstractNum w:abstractNumId="426" w15:restartNumberingAfterBreak="0">
    <w:nsid w:val="2BF927B9"/>
    <w:multiLevelType w:val="hybridMultilevel"/>
    <w:tmpl w:val="3176C4FA"/>
    <w:lvl w:ilvl="0" w:tplc="34E80E7A">
      <w:start w:val="1"/>
      <w:numFmt w:val="bullet"/>
      <w:lvlText w:val=""/>
      <w:lvlJc w:val="left"/>
      <w:pPr>
        <w:ind w:left="720" w:hanging="360"/>
      </w:pPr>
      <w:rPr>
        <w:rFonts w:ascii="Symbol" w:hAnsi="Symbol" w:hint="default"/>
      </w:rPr>
    </w:lvl>
    <w:lvl w:ilvl="1" w:tplc="DDC6B02C">
      <w:numFmt w:val="decimal"/>
      <w:lvlText w:val=""/>
      <w:lvlJc w:val="left"/>
    </w:lvl>
    <w:lvl w:ilvl="2" w:tplc="010A34DC">
      <w:numFmt w:val="decimal"/>
      <w:lvlText w:val=""/>
      <w:lvlJc w:val="left"/>
    </w:lvl>
    <w:lvl w:ilvl="3" w:tplc="2A36CCCA">
      <w:numFmt w:val="decimal"/>
      <w:lvlText w:val=""/>
      <w:lvlJc w:val="left"/>
    </w:lvl>
    <w:lvl w:ilvl="4" w:tplc="126AD6BC">
      <w:numFmt w:val="decimal"/>
      <w:lvlText w:val=""/>
      <w:lvlJc w:val="left"/>
    </w:lvl>
    <w:lvl w:ilvl="5" w:tplc="A4143772">
      <w:numFmt w:val="decimal"/>
      <w:lvlText w:val=""/>
      <w:lvlJc w:val="left"/>
    </w:lvl>
    <w:lvl w:ilvl="6" w:tplc="589A9CB8">
      <w:numFmt w:val="decimal"/>
      <w:lvlText w:val=""/>
      <w:lvlJc w:val="left"/>
    </w:lvl>
    <w:lvl w:ilvl="7" w:tplc="AFEEDDC0">
      <w:numFmt w:val="decimal"/>
      <w:lvlText w:val=""/>
      <w:lvlJc w:val="left"/>
    </w:lvl>
    <w:lvl w:ilvl="8" w:tplc="BE66CA36">
      <w:numFmt w:val="decimal"/>
      <w:lvlText w:val=""/>
      <w:lvlJc w:val="left"/>
    </w:lvl>
  </w:abstractNum>
  <w:abstractNum w:abstractNumId="427" w15:restartNumberingAfterBreak="0">
    <w:nsid w:val="2BFF20DC"/>
    <w:multiLevelType w:val="hybridMultilevel"/>
    <w:tmpl w:val="8670F26A"/>
    <w:lvl w:ilvl="0" w:tplc="630A02EA">
      <w:start w:val="1"/>
      <w:numFmt w:val="bullet"/>
      <w:lvlText w:val=""/>
      <w:lvlJc w:val="left"/>
      <w:pPr>
        <w:ind w:left="720" w:hanging="360"/>
      </w:pPr>
      <w:rPr>
        <w:rFonts w:ascii="Symbol" w:hAnsi="Symbol" w:hint="default"/>
      </w:rPr>
    </w:lvl>
    <w:lvl w:ilvl="1" w:tplc="07F0DF04">
      <w:numFmt w:val="decimal"/>
      <w:lvlText w:val=""/>
      <w:lvlJc w:val="left"/>
    </w:lvl>
    <w:lvl w:ilvl="2" w:tplc="39DE6F08">
      <w:numFmt w:val="decimal"/>
      <w:lvlText w:val=""/>
      <w:lvlJc w:val="left"/>
    </w:lvl>
    <w:lvl w:ilvl="3" w:tplc="ECBA2E18">
      <w:numFmt w:val="decimal"/>
      <w:lvlText w:val=""/>
      <w:lvlJc w:val="left"/>
    </w:lvl>
    <w:lvl w:ilvl="4" w:tplc="D95AE2D8">
      <w:numFmt w:val="decimal"/>
      <w:lvlText w:val=""/>
      <w:lvlJc w:val="left"/>
    </w:lvl>
    <w:lvl w:ilvl="5" w:tplc="384C360C">
      <w:numFmt w:val="decimal"/>
      <w:lvlText w:val=""/>
      <w:lvlJc w:val="left"/>
    </w:lvl>
    <w:lvl w:ilvl="6" w:tplc="C728C960">
      <w:numFmt w:val="decimal"/>
      <w:lvlText w:val=""/>
      <w:lvlJc w:val="left"/>
    </w:lvl>
    <w:lvl w:ilvl="7" w:tplc="FBE29618">
      <w:numFmt w:val="decimal"/>
      <w:lvlText w:val=""/>
      <w:lvlJc w:val="left"/>
    </w:lvl>
    <w:lvl w:ilvl="8" w:tplc="A5C4C3D2">
      <w:numFmt w:val="decimal"/>
      <w:lvlText w:val=""/>
      <w:lvlJc w:val="left"/>
    </w:lvl>
  </w:abstractNum>
  <w:abstractNum w:abstractNumId="428" w15:restartNumberingAfterBreak="0">
    <w:nsid w:val="2C144057"/>
    <w:multiLevelType w:val="hybridMultilevel"/>
    <w:tmpl w:val="017422AE"/>
    <w:lvl w:ilvl="0" w:tplc="DA08FA5E">
      <w:start w:val="1"/>
      <w:numFmt w:val="bullet"/>
      <w:lvlText w:val=""/>
      <w:lvlJc w:val="left"/>
      <w:pPr>
        <w:ind w:left="720" w:hanging="360"/>
      </w:pPr>
      <w:rPr>
        <w:rFonts w:ascii="Symbol" w:hAnsi="Symbol" w:hint="default"/>
      </w:rPr>
    </w:lvl>
    <w:lvl w:ilvl="1" w:tplc="9294AC02">
      <w:numFmt w:val="decimal"/>
      <w:lvlText w:val=""/>
      <w:lvlJc w:val="left"/>
    </w:lvl>
    <w:lvl w:ilvl="2" w:tplc="56AA199A">
      <w:numFmt w:val="decimal"/>
      <w:lvlText w:val=""/>
      <w:lvlJc w:val="left"/>
    </w:lvl>
    <w:lvl w:ilvl="3" w:tplc="7CD807BC">
      <w:numFmt w:val="decimal"/>
      <w:lvlText w:val=""/>
      <w:lvlJc w:val="left"/>
    </w:lvl>
    <w:lvl w:ilvl="4" w:tplc="FE581C56">
      <w:numFmt w:val="decimal"/>
      <w:lvlText w:val=""/>
      <w:lvlJc w:val="left"/>
    </w:lvl>
    <w:lvl w:ilvl="5" w:tplc="943E9410">
      <w:numFmt w:val="decimal"/>
      <w:lvlText w:val=""/>
      <w:lvlJc w:val="left"/>
    </w:lvl>
    <w:lvl w:ilvl="6" w:tplc="BFBC31B6">
      <w:numFmt w:val="decimal"/>
      <w:lvlText w:val=""/>
      <w:lvlJc w:val="left"/>
    </w:lvl>
    <w:lvl w:ilvl="7" w:tplc="89F26BB8">
      <w:numFmt w:val="decimal"/>
      <w:lvlText w:val=""/>
      <w:lvlJc w:val="left"/>
    </w:lvl>
    <w:lvl w:ilvl="8" w:tplc="CD3AAD30">
      <w:numFmt w:val="decimal"/>
      <w:lvlText w:val=""/>
      <w:lvlJc w:val="left"/>
    </w:lvl>
  </w:abstractNum>
  <w:abstractNum w:abstractNumId="429" w15:restartNumberingAfterBreak="0">
    <w:nsid w:val="2C237274"/>
    <w:multiLevelType w:val="hybridMultilevel"/>
    <w:tmpl w:val="5E52D8EC"/>
    <w:lvl w:ilvl="0" w:tplc="739C8A08">
      <w:numFmt w:val="decimal"/>
      <w:lvlText w:val=""/>
      <w:lvlJc w:val="left"/>
    </w:lvl>
    <w:lvl w:ilvl="1" w:tplc="F2567854">
      <w:start w:val="1"/>
      <w:numFmt w:val="bullet"/>
      <w:lvlText w:val=""/>
      <w:lvlJc w:val="left"/>
      <w:pPr>
        <w:ind w:left="1440" w:hanging="360"/>
      </w:pPr>
      <w:rPr>
        <w:rFonts w:ascii="Symbol" w:hAnsi="Symbol" w:hint="default"/>
      </w:rPr>
    </w:lvl>
    <w:lvl w:ilvl="2" w:tplc="920A2280">
      <w:numFmt w:val="decimal"/>
      <w:lvlText w:val=""/>
      <w:lvlJc w:val="left"/>
    </w:lvl>
    <w:lvl w:ilvl="3" w:tplc="F4A03356">
      <w:numFmt w:val="decimal"/>
      <w:lvlText w:val=""/>
      <w:lvlJc w:val="left"/>
    </w:lvl>
    <w:lvl w:ilvl="4" w:tplc="B0E27EE4">
      <w:numFmt w:val="decimal"/>
      <w:lvlText w:val=""/>
      <w:lvlJc w:val="left"/>
    </w:lvl>
    <w:lvl w:ilvl="5" w:tplc="93EC5B26">
      <w:numFmt w:val="decimal"/>
      <w:lvlText w:val=""/>
      <w:lvlJc w:val="left"/>
    </w:lvl>
    <w:lvl w:ilvl="6" w:tplc="5D5C1DE4">
      <w:numFmt w:val="decimal"/>
      <w:lvlText w:val=""/>
      <w:lvlJc w:val="left"/>
    </w:lvl>
    <w:lvl w:ilvl="7" w:tplc="35DEE824">
      <w:numFmt w:val="decimal"/>
      <w:lvlText w:val=""/>
      <w:lvlJc w:val="left"/>
    </w:lvl>
    <w:lvl w:ilvl="8" w:tplc="64CEB314">
      <w:numFmt w:val="decimal"/>
      <w:lvlText w:val=""/>
      <w:lvlJc w:val="left"/>
    </w:lvl>
  </w:abstractNum>
  <w:abstractNum w:abstractNumId="430" w15:restartNumberingAfterBreak="0">
    <w:nsid w:val="2C32299B"/>
    <w:multiLevelType w:val="hybridMultilevel"/>
    <w:tmpl w:val="A81017EE"/>
    <w:lvl w:ilvl="0" w:tplc="460EFE1C">
      <w:start w:val="1"/>
      <w:numFmt w:val="bullet"/>
      <w:lvlText w:val=""/>
      <w:lvlJc w:val="left"/>
      <w:pPr>
        <w:ind w:left="720" w:hanging="360"/>
      </w:pPr>
      <w:rPr>
        <w:rFonts w:ascii="Symbol" w:hAnsi="Symbol" w:hint="default"/>
      </w:rPr>
    </w:lvl>
    <w:lvl w:ilvl="1" w:tplc="0F5EF1B0">
      <w:numFmt w:val="decimal"/>
      <w:lvlText w:val=""/>
      <w:lvlJc w:val="left"/>
    </w:lvl>
    <w:lvl w:ilvl="2" w:tplc="A42EE320">
      <w:numFmt w:val="decimal"/>
      <w:lvlText w:val=""/>
      <w:lvlJc w:val="left"/>
    </w:lvl>
    <w:lvl w:ilvl="3" w:tplc="E0FA8038">
      <w:numFmt w:val="decimal"/>
      <w:lvlText w:val=""/>
      <w:lvlJc w:val="left"/>
    </w:lvl>
    <w:lvl w:ilvl="4" w:tplc="8AB245E8">
      <w:numFmt w:val="decimal"/>
      <w:lvlText w:val=""/>
      <w:lvlJc w:val="left"/>
    </w:lvl>
    <w:lvl w:ilvl="5" w:tplc="35542FC8">
      <w:numFmt w:val="decimal"/>
      <w:lvlText w:val=""/>
      <w:lvlJc w:val="left"/>
    </w:lvl>
    <w:lvl w:ilvl="6" w:tplc="530C8ED4">
      <w:numFmt w:val="decimal"/>
      <w:lvlText w:val=""/>
      <w:lvlJc w:val="left"/>
    </w:lvl>
    <w:lvl w:ilvl="7" w:tplc="C7301112">
      <w:numFmt w:val="decimal"/>
      <w:lvlText w:val=""/>
      <w:lvlJc w:val="left"/>
    </w:lvl>
    <w:lvl w:ilvl="8" w:tplc="456A45FA">
      <w:numFmt w:val="decimal"/>
      <w:lvlText w:val=""/>
      <w:lvlJc w:val="left"/>
    </w:lvl>
  </w:abstractNum>
  <w:abstractNum w:abstractNumId="431" w15:restartNumberingAfterBreak="0">
    <w:nsid w:val="2C64315F"/>
    <w:multiLevelType w:val="hybridMultilevel"/>
    <w:tmpl w:val="A052FCA8"/>
    <w:lvl w:ilvl="0" w:tplc="41025D66">
      <w:start w:val="1"/>
      <w:numFmt w:val="bullet"/>
      <w:lvlText w:val=""/>
      <w:lvlJc w:val="left"/>
      <w:pPr>
        <w:ind w:left="720" w:hanging="360"/>
      </w:pPr>
      <w:rPr>
        <w:rFonts w:ascii="Symbol" w:hAnsi="Symbol" w:hint="default"/>
      </w:rPr>
    </w:lvl>
    <w:lvl w:ilvl="1" w:tplc="8EEA4C80">
      <w:numFmt w:val="decimal"/>
      <w:lvlText w:val=""/>
      <w:lvlJc w:val="left"/>
    </w:lvl>
    <w:lvl w:ilvl="2" w:tplc="1EB6844C">
      <w:numFmt w:val="decimal"/>
      <w:lvlText w:val=""/>
      <w:lvlJc w:val="left"/>
    </w:lvl>
    <w:lvl w:ilvl="3" w:tplc="EC7848F4">
      <w:numFmt w:val="decimal"/>
      <w:lvlText w:val=""/>
      <w:lvlJc w:val="left"/>
    </w:lvl>
    <w:lvl w:ilvl="4" w:tplc="4230923A">
      <w:numFmt w:val="decimal"/>
      <w:lvlText w:val=""/>
      <w:lvlJc w:val="left"/>
    </w:lvl>
    <w:lvl w:ilvl="5" w:tplc="371A642C">
      <w:numFmt w:val="decimal"/>
      <w:lvlText w:val=""/>
      <w:lvlJc w:val="left"/>
    </w:lvl>
    <w:lvl w:ilvl="6" w:tplc="6D76A85E">
      <w:numFmt w:val="decimal"/>
      <w:lvlText w:val=""/>
      <w:lvlJc w:val="left"/>
    </w:lvl>
    <w:lvl w:ilvl="7" w:tplc="C7CC592C">
      <w:numFmt w:val="decimal"/>
      <w:lvlText w:val=""/>
      <w:lvlJc w:val="left"/>
    </w:lvl>
    <w:lvl w:ilvl="8" w:tplc="4EAEE9A6">
      <w:numFmt w:val="decimal"/>
      <w:lvlText w:val=""/>
      <w:lvlJc w:val="left"/>
    </w:lvl>
  </w:abstractNum>
  <w:abstractNum w:abstractNumId="432" w15:restartNumberingAfterBreak="0">
    <w:nsid w:val="2C986E82"/>
    <w:multiLevelType w:val="hybridMultilevel"/>
    <w:tmpl w:val="7C483EA6"/>
    <w:lvl w:ilvl="0" w:tplc="EAF66FAC">
      <w:start w:val="1"/>
      <w:numFmt w:val="bullet"/>
      <w:lvlText w:val=""/>
      <w:lvlJc w:val="left"/>
      <w:pPr>
        <w:ind w:left="720" w:hanging="360"/>
      </w:pPr>
      <w:rPr>
        <w:rFonts w:ascii="Symbol" w:hAnsi="Symbol" w:hint="default"/>
      </w:rPr>
    </w:lvl>
    <w:lvl w:ilvl="1" w:tplc="B54A463E">
      <w:numFmt w:val="decimal"/>
      <w:lvlText w:val=""/>
      <w:lvlJc w:val="left"/>
    </w:lvl>
    <w:lvl w:ilvl="2" w:tplc="1BE8F5A2">
      <w:numFmt w:val="decimal"/>
      <w:lvlText w:val=""/>
      <w:lvlJc w:val="left"/>
    </w:lvl>
    <w:lvl w:ilvl="3" w:tplc="041850D8">
      <w:numFmt w:val="decimal"/>
      <w:lvlText w:val=""/>
      <w:lvlJc w:val="left"/>
    </w:lvl>
    <w:lvl w:ilvl="4" w:tplc="DAE2B7B2">
      <w:numFmt w:val="decimal"/>
      <w:lvlText w:val=""/>
      <w:lvlJc w:val="left"/>
    </w:lvl>
    <w:lvl w:ilvl="5" w:tplc="A3348FA0">
      <w:numFmt w:val="decimal"/>
      <w:lvlText w:val=""/>
      <w:lvlJc w:val="left"/>
    </w:lvl>
    <w:lvl w:ilvl="6" w:tplc="95ECE818">
      <w:numFmt w:val="decimal"/>
      <w:lvlText w:val=""/>
      <w:lvlJc w:val="left"/>
    </w:lvl>
    <w:lvl w:ilvl="7" w:tplc="801C2A8E">
      <w:numFmt w:val="decimal"/>
      <w:lvlText w:val=""/>
      <w:lvlJc w:val="left"/>
    </w:lvl>
    <w:lvl w:ilvl="8" w:tplc="03727542">
      <w:numFmt w:val="decimal"/>
      <w:lvlText w:val=""/>
      <w:lvlJc w:val="left"/>
    </w:lvl>
  </w:abstractNum>
  <w:abstractNum w:abstractNumId="433" w15:restartNumberingAfterBreak="0">
    <w:nsid w:val="2CD075FD"/>
    <w:multiLevelType w:val="hybridMultilevel"/>
    <w:tmpl w:val="904C2A80"/>
    <w:lvl w:ilvl="0" w:tplc="F490C8EC">
      <w:start w:val="1"/>
      <w:numFmt w:val="bullet"/>
      <w:lvlText w:val=""/>
      <w:lvlJc w:val="left"/>
      <w:pPr>
        <w:ind w:left="720" w:hanging="360"/>
      </w:pPr>
      <w:rPr>
        <w:rFonts w:ascii="Symbol" w:hAnsi="Symbol" w:hint="default"/>
      </w:rPr>
    </w:lvl>
    <w:lvl w:ilvl="1" w:tplc="AE7C57B4">
      <w:numFmt w:val="decimal"/>
      <w:lvlText w:val=""/>
      <w:lvlJc w:val="left"/>
    </w:lvl>
    <w:lvl w:ilvl="2" w:tplc="122ED0C6">
      <w:numFmt w:val="decimal"/>
      <w:lvlText w:val=""/>
      <w:lvlJc w:val="left"/>
    </w:lvl>
    <w:lvl w:ilvl="3" w:tplc="B65EDF3A">
      <w:numFmt w:val="decimal"/>
      <w:lvlText w:val=""/>
      <w:lvlJc w:val="left"/>
    </w:lvl>
    <w:lvl w:ilvl="4" w:tplc="596E5FD4">
      <w:numFmt w:val="decimal"/>
      <w:lvlText w:val=""/>
      <w:lvlJc w:val="left"/>
    </w:lvl>
    <w:lvl w:ilvl="5" w:tplc="DB784742">
      <w:numFmt w:val="decimal"/>
      <w:lvlText w:val=""/>
      <w:lvlJc w:val="left"/>
    </w:lvl>
    <w:lvl w:ilvl="6" w:tplc="FB882B5C">
      <w:numFmt w:val="decimal"/>
      <w:lvlText w:val=""/>
      <w:lvlJc w:val="left"/>
    </w:lvl>
    <w:lvl w:ilvl="7" w:tplc="F1A4DC80">
      <w:numFmt w:val="decimal"/>
      <w:lvlText w:val=""/>
      <w:lvlJc w:val="left"/>
    </w:lvl>
    <w:lvl w:ilvl="8" w:tplc="D5F25ABE">
      <w:numFmt w:val="decimal"/>
      <w:lvlText w:val=""/>
      <w:lvlJc w:val="left"/>
    </w:lvl>
  </w:abstractNum>
  <w:abstractNum w:abstractNumId="434" w15:restartNumberingAfterBreak="0">
    <w:nsid w:val="2CE45EB5"/>
    <w:multiLevelType w:val="hybridMultilevel"/>
    <w:tmpl w:val="427C115A"/>
    <w:lvl w:ilvl="0" w:tplc="E9C0330A">
      <w:start w:val="1"/>
      <w:numFmt w:val="bullet"/>
      <w:lvlText w:val=""/>
      <w:lvlJc w:val="left"/>
      <w:pPr>
        <w:ind w:left="720" w:hanging="360"/>
      </w:pPr>
      <w:rPr>
        <w:rFonts w:ascii="Symbol" w:hAnsi="Symbol" w:hint="default"/>
      </w:rPr>
    </w:lvl>
    <w:lvl w:ilvl="1" w:tplc="5BE6F358">
      <w:numFmt w:val="decimal"/>
      <w:lvlText w:val=""/>
      <w:lvlJc w:val="left"/>
    </w:lvl>
    <w:lvl w:ilvl="2" w:tplc="3DDA31B4">
      <w:numFmt w:val="decimal"/>
      <w:lvlText w:val=""/>
      <w:lvlJc w:val="left"/>
    </w:lvl>
    <w:lvl w:ilvl="3" w:tplc="3C46CCD4">
      <w:numFmt w:val="decimal"/>
      <w:lvlText w:val=""/>
      <w:lvlJc w:val="left"/>
    </w:lvl>
    <w:lvl w:ilvl="4" w:tplc="74F437C8">
      <w:numFmt w:val="decimal"/>
      <w:lvlText w:val=""/>
      <w:lvlJc w:val="left"/>
    </w:lvl>
    <w:lvl w:ilvl="5" w:tplc="7C3A3D6A">
      <w:numFmt w:val="decimal"/>
      <w:lvlText w:val=""/>
      <w:lvlJc w:val="left"/>
    </w:lvl>
    <w:lvl w:ilvl="6" w:tplc="9E84CEA2">
      <w:numFmt w:val="decimal"/>
      <w:lvlText w:val=""/>
      <w:lvlJc w:val="left"/>
    </w:lvl>
    <w:lvl w:ilvl="7" w:tplc="B6FC6AD8">
      <w:numFmt w:val="decimal"/>
      <w:lvlText w:val=""/>
      <w:lvlJc w:val="left"/>
    </w:lvl>
    <w:lvl w:ilvl="8" w:tplc="3ACC3442">
      <w:numFmt w:val="decimal"/>
      <w:lvlText w:val=""/>
      <w:lvlJc w:val="left"/>
    </w:lvl>
  </w:abstractNum>
  <w:abstractNum w:abstractNumId="435" w15:restartNumberingAfterBreak="0">
    <w:nsid w:val="2CE763FA"/>
    <w:multiLevelType w:val="hybridMultilevel"/>
    <w:tmpl w:val="91C47A52"/>
    <w:lvl w:ilvl="0" w:tplc="2F4A865E">
      <w:numFmt w:val="decimal"/>
      <w:lvlText w:val=""/>
      <w:lvlJc w:val="left"/>
    </w:lvl>
    <w:lvl w:ilvl="1" w:tplc="451258BE">
      <w:start w:val="1"/>
      <w:numFmt w:val="bullet"/>
      <w:lvlText w:val=""/>
      <w:lvlJc w:val="left"/>
      <w:pPr>
        <w:ind w:left="1440" w:hanging="360"/>
      </w:pPr>
      <w:rPr>
        <w:rFonts w:ascii="Symbol" w:hAnsi="Symbol" w:hint="default"/>
      </w:rPr>
    </w:lvl>
    <w:lvl w:ilvl="2" w:tplc="E9947840">
      <w:numFmt w:val="decimal"/>
      <w:lvlText w:val=""/>
      <w:lvlJc w:val="left"/>
    </w:lvl>
    <w:lvl w:ilvl="3" w:tplc="A208AB32">
      <w:numFmt w:val="decimal"/>
      <w:lvlText w:val=""/>
      <w:lvlJc w:val="left"/>
    </w:lvl>
    <w:lvl w:ilvl="4" w:tplc="1D2EB346">
      <w:numFmt w:val="decimal"/>
      <w:lvlText w:val=""/>
      <w:lvlJc w:val="left"/>
    </w:lvl>
    <w:lvl w:ilvl="5" w:tplc="FD86929A">
      <w:numFmt w:val="decimal"/>
      <w:lvlText w:val=""/>
      <w:lvlJc w:val="left"/>
    </w:lvl>
    <w:lvl w:ilvl="6" w:tplc="A6209B6E">
      <w:numFmt w:val="decimal"/>
      <w:lvlText w:val=""/>
      <w:lvlJc w:val="left"/>
    </w:lvl>
    <w:lvl w:ilvl="7" w:tplc="55AE7266">
      <w:numFmt w:val="decimal"/>
      <w:lvlText w:val=""/>
      <w:lvlJc w:val="left"/>
    </w:lvl>
    <w:lvl w:ilvl="8" w:tplc="34CAAE50">
      <w:numFmt w:val="decimal"/>
      <w:lvlText w:val=""/>
      <w:lvlJc w:val="left"/>
    </w:lvl>
  </w:abstractNum>
  <w:abstractNum w:abstractNumId="436" w15:restartNumberingAfterBreak="0">
    <w:nsid w:val="2D095C8A"/>
    <w:multiLevelType w:val="hybridMultilevel"/>
    <w:tmpl w:val="D0EA203C"/>
    <w:lvl w:ilvl="0" w:tplc="1186B406">
      <w:start w:val="1"/>
      <w:numFmt w:val="bullet"/>
      <w:lvlText w:val=""/>
      <w:lvlJc w:val="left"/>
      <w:pPr>
        <w:ind w:left="720" w:hanging="360"/>
      </w:pPr>
      <w:rPr>
        <w:rFonts w:ascii="Symbol" w:hAnsi="Symbol" w:hint="default"/>
      </w:rPr>
    </w:lvl>
    <w:lvl w:ilvl="1" w:tplc="FB86DEB2">
      <w:numFmt w:val="decimal"/>
      <w:lvlText w:val=""/>
      <w:lvlJc w:val="left"/>
    </w:lvl>
    <w:lvl w:ilvl="2" w:tplc="FD1A8622">
      <w:numFmt w:val="decimal"/>
      <w:lvlText w:val=""/>
      <w:lvlJc w:val="left"/>
    </w:lvl>
    <w:lvl w:ilvl="3" w:tplc="67FCB9C8">
      <w:numFmt w:val="decimal"/>
      <w:lvlText w:val=""/>
      <w:lvlJc w:val="left"/>
    </w:lvl>
    <w:lvl w:ilvl="4" w:tplc="DE5AE392">
      <w:numFmt w:val="decimal"/>
      <w:lvlText w:val=""/>
      <w:lvlJc w:val="left"/>
    </w:lvl>
    <w:lvl w:ilvl="5" w:tplc="FB44F02E">
      <w:numFmt w:val="decimal"/>
      <w:lvlText w:val=""/>
      <w:lvlJc w:val="left"/>
    </w:lvl>
    <w:lvl w:ilvl="6" w:tplc="DAD6F178">
      <w:numFmt w:val="decimal"/>
      <w:lvlText w:val=""/>
      <w:lvlJc w:val="left"/>
    </w:lvl>
    <w:lvl w:ilvl="7" w:tplc="1AA21D56">
      <w:numFmt w:val="decimal"/>
      <w:lvlText w:val=""/>
      <w:lvlJc w:val="left"/>
    </w:lvl>
    <w:lvl w:ilvl="8" w:tplc="F36AB088">
      <w:numFmt w:val="decimal"/>
      <w:lvlText w:val=""/>
      <w:lvlJc w:val="left"/>
    </w:lvl>
  </w:abstractNum>
  <w:abstractNum w:abstractNumId="437" w15:restartNumberingAfterBreak="0">
    <w:nsid w:val="2D166ED1"/>
    <w:multiLevelType w:val="hybridMultilevel"/>
    <w:tmpl w:val="47922594"/>
    <w:lvl w:ilvl="0" w:tplc="203C2A44">
      <w:start w:val="1"/>
      <w:numFmt w:val="bullet"/>
      <w:lvlText w:val=""/>
      <w:lvlJc w:val="left"/>
      <w:pPr>
        <w:ind w:left="720" w:hanging="360"/>
      </w:pPr>
      <w:rPr>
        <w:rFonts w:ascii="Symbol" w:hAnsi="Symbol" w:hint="default"/>
      </w:rPr>
    </w:lvl>
    <w:lvl w:ilvl="1" w:tplc="D8387F38">
      <w:numFmt w:val="decimal"/>
      <w:lvlText w:val=""/>
      <w:lvlJc w:val="left"/>
    </w:lvl>
    <w:lvl w:ilvl="2" w:tplc="2EA00F38">
      <w:numFmt w:val="decimal"/>
      <w:lvlText w:val=""/>
      <w:lvlJc w:val="left"/>
    </w:lvl>
    <w:lvl w:ilvl="3" w:tplc="1C86A4E6">
      <w:numFmt w:val="decimal"/>
      <w:lvlText w:val=""/>
      <w:lvlJc w:val="left"/>
    </w:lvl>
    <w:lvl w:ilvl="4" w:tplc="9A36AE98">
      <w:numFmt w:val="decimal"/>
      <w:lvlText w:val=""/>
      <w:lvlJc w:val="left"/>
    </w:lvl>
    <w:lvl w:ilvl="5" w:tplc="A3741382">
      <w:numFmt w:val="decimal"/>
      <w:lvlText w:val=""/>
      <w:lvlJc w:val="left"/>
    </w:lvl>
    <w:lvl w:ilvl="6" w:tplc="A140C07E">
      <w:numFmt w:val="decimal"/>
      <w:lvlText w:val=""/>
      <w:lvlJc w:val="left"/>
    </w:lvl>
    <w:lvl w:ilvl="7" w:tplc="1A823590">
      <w:numFmt w:val="decimal"/>
      <w:lvlText w:val=""/>
      <w:lvlJc w:val="left"/>
    </w:lvl>
    <w:lvl w:ilvl="8" w:tplc="536A8446">
      <w:numFmt w:val="decimal"/>
      <w:lvlText w:val=""/>
      <w:lvlJc w:val="left"/>
    </w:lvl>
  </w:abstractNum>
  <w:abstractNum w:abstractNumId="438" w15:restartNumberingAfterBreak="0">
    <w:nsid w:val="2D320EEB"/>
    <w:multiLevelType w:val="hybridMultilevel"/>
    <w:tmpl w:val="12A6AB72"/>
    <w:lvl w:ilvl="0" w:tplc="BB84536A">
      <w:start w:val="1"/>
      <w:numFmt w:val="bullet"/>
      <w:lvlText w:val=""/>
      <w:lvlJc w:val="left"/>
      <w:pPr>
        <w:ind w:left="720" w:hanging="360"/>
      </w:pPr>
      <w:rPr>
        <w:rFonts w:ascii="Symbol" w:hAnsi="Symbol" w:hint="default"/>
      </w:rPr>
    </w:lvl>
    <w:lvl w:ilvl="1" w:tplc="749A98A0">
      <w:numFmt w:val="decimal"/>
      <w:lvlText w:val=""/>
      <w:lvlJc w:val="left"/>
    </w:lvl>
    <w:lvl w:ilvl="2" w:tplc="D9AAE5A2">
      <w:numFmt w:val="decimal"/>
      <w:lvlText w:val=""/>
      <w:lvlJc w:val="left"/>
    </w:lvl>
    <w:lvl w:ilvl="3" w:tplc="F96C57E4">
      <w:numFmt w:val="decimal"/>
      <w:lvlText w:val=""/>
      <w:lvlJc w:val="left"/>
    </w:lvl>
    <w:lvl w:ilvl="4" w:tplc="55FC304E">
      <w:numFmt w:val="decimal"/>
      <w:lvlText w:val=""/>
      <w:lvlJc w:val="left"/>
    </w:lvl>
    <w:lvl w:ilvl="5" w:tplc="8760E334">
      <w:numFmt w:val="decimal"/>
      <w:lvlText w:val=""/>
      <w:lvlJc w:val="left"/>
    </w:lvl>
    <w:lvl w:ilvl="6" w:tplc="0286492A">
      <w:numFmt w:val="decimal"/>
      <w:lvlText w:val=""/>
      <w:lvlJc w:val="left"/>
    </w:lvl>
    <w:lvl w:ilvl="7" w:tplc="3E0A9992">
      <w:numFmt w:val="decimal"/>
      <w:lvlText w:val=""/>
      <w:lvlJc w:val="left"/>
    </w:lvl>
    <w:lvl w:ilvl="8" w:tplc="1F7659F0">
      <w:numFmt w:val="decimal"/>
      <w:lvlText w:val=""/>
      <w:lvlJc w:val="left"/>
    </w:lvl>
  </w:abstractNum>
  <w:abstractNum w:abstractNumId="439" w15:restartNumberingAfterBreak="0">
    <w:nsid w:val="2D345364"/>
    <w:multiLevelType w:val="hybridMultilevel"/>
    <w:tmpl w:val="E3AA8D74"/>
    <w:lvl w:ilvl="0" w:tplc="30B88AFE">
      <w:start w:val="1"/>
      <w:numFmt w:val="bullet"/>
      <w:lvlText w:val=""/>
      <w:lvlJc w:val="left"/>
      <w:pPr>
        <w:ind w:left="720" w:hanging="360"/>
      </w:pPr>
      <w:rPr>
        <w:rFonts w:ascii="Symbol" w:hAnsi="Symbol" w:hint="default"/>
      </w:rPr>
    </w:lvl>
    <w:lvl w:ilvl="1" w:tplc="ABC2A66C">
      <w:numFmt w:val="decimal"/>
      <w:lvlText w:val=""/>
      <w:lvlJc w:val="left"/>
    </w:lvl>
    <w:lvl w:ilvl="2" w:tplc="EC10BC0E">
      <w:numFmt w:val="decimal"/>
      <w:lvlText w:val=""/>
      <w:lvlJc w:val="left"/>
    </w:lvl>
    <w:lvl w:ilvl="3" w:tplc="E0D88386">
      <w:numFmt w:val="decimal"/>
      <w:lvlText w:val=""/>
      <w:lvlJc w:val="left"/>
    </w:lvl>
    <w:lvl w:ilvl="4" w:tplc="2892E2EC">
      <w:numFmt w:val="decimal"/>
      <w:lvlText w:val=""/>
      <w:lvlJc w:val="left"/>
    </w:lvl>
    <w:lvl w:ilvl="5" w:tplc="3B56A0D6">
      <w:numFmt w:val="decimal"/>
      <w:lvlText w:val=""/>
      <w:lvlJc w:val="left"/>
    </w:lvl>
    <w:lvl w:ilvl="6" w:tplc="E16EC5EE">
      <w:numFmt w:val="decimal"/>
      <w:lvlText w:val=""/>
      <w:lvlJc w:val="left"/>
    </w:lvl>
    <w:lvl w:ilvl="7" w:tplc="B4325382">
      <w:numFmt w:val="decimal"/>
      <w:lvlText w:val=""/>
      <w:lvlJc w:val="left"/>
    </w:lvl>
    <w:lvl w:ilvl="8" w:tplc="131A115E">
      <w:numFmt w:val="decimal"/>
      <w:lvlText w:val=""/>
      <w:lvlJc w:val="left"/>
    </w:lvl>
  </w:abstractNum>
  <w:abstractNum w:abstractNumId="440" w15:restartNumberingAfterBreak="0">
    <w:nsid w:val="2D665F9D"/>
    <w:multiLevelType w:val="hybridMultilevel"/>
    <w:tmpl w:val="9F700EAA"/>
    <w:lvl w:ilvl="0" w:tplc="FF0E4160">
      <w:start w:val="1"/>
      <w:numFmt w:val="bullet"/>
      <w:lvlText w:val=""/>
      <w:lvlJc w:val="left"/>
      <w:pPr>
        <w:ind w:left="720" w:hanging="360"/>
      </w:pPr>
      <w:rPr>
        <w:rFonts w:ascii="Symbol" w:hAnsi="Symbol" w:hint="default"/>
      </w:rPr>
    </w:lvl>
    <w:lvl w:ilvl="1" w:tplc="7E7487FC">
      <w:numFmt w:val="decimal"/>
      <w:lvlText w:val=""/>
      <w:lvlJc w:val="left"/>
    </w:lvl>
    <w:lvl w:ilvl="2" w:tplc="6D62AFB4">
      <w:numFmt w:val="decimal"/>
      <w:lvlText w:val=""/>
      <w:lvlJc w:val="left"/>
    </w:lvl>
    <w:lvl w:ilvl="3" w:tplc="278CAA5A">
      <w:numFmt w:val="decimal"/>
      <w:lvlText w:val=""/>
      <w:lvlJc w:val="left"/>
    </w:lvl>
    <w:lvl w:ilvl="4" w:tplc="DC5A1380">
      <w:numFmt w:val="decimal"/>
      <w:lvlText w:val=""/>
      <w:lvlJc w:val="left"/>
    </w:lvl>
    <w:lvl w:ilvl="5" w:tplc="92262A2A">
      <w:numFmt w:val="decimal"/>
      <w:lvlText w:val=""/>
      <w:lvlJc w:val="left"/>
    </w:lvl>
    <w:lvl w:ilvl="6" w:tplc="187A7DD4">
      <w:numFmt w:val="decimal"/>
      <w:lvlText w:val=""/>
      <w:lvlJc w:val="left"/>
    </w:lvl>
    <w:lvl w:ilvl="7" w:tplc="8D5A35AC">
      <w:numFmt w:val="decimal"/>
      <w:lvlText w:val=""/>
      <w:lvlJc w:val="left"/>
    </w:lvl>
    <w:lvl w:ilvl="8" w:tplc="95A0B0C8">
      <w:numFmt w:val="decimal"/>
      <w:lvlText w:val=""/>
      <w:lvlJc w:val="left"/>
    </w:lvl>
  </w:abstractNum>
  <w:abstractNum w:abstractNumId="441" w15:restartNumberingAfterBreak="0">
    <w:nsid w:val="2D6E1860"/>
    <w:multiLevelType w:val="hybridMultilevel"/>
    <w:tmpl w:val="ACB410B4"/>
    <w:lvl w:ilvl="0" w:tplc="409E4A20">
      <w:start w:val="1"/>
      <w:numFmt w:val="bullet"/>
      <w:lvlText w:val=""/>
      <w:lvlJc w:val="left"/>
      <w:pPr>
        <w:ind w:left="720" w:hanging="360"/>
      </w:pPr>
      <w:rPr>
        <w:rFonts w:ascii="Symbol" w:hAnsi="Symbol" w:hint="default"/>
      </w:rPr>
    </w:lvl>
    <w:lvl w:ilvl="1" w:tplc="1186A8A0">
      <w:numFmt w:val="decimal"/>
      <w:lvlText w:val=""/>
      <w:lvlJc w:val="left"/>
    </w:lvl>
    <w:lvl w:ilvl="2" w:tplc="968CE424">
      <w:numFmt w:val="decimal"/>
      <w:lvlText w:val=""/>
      <w:lvlJc w:val="left"/>
    </w:lvl>
    <w:lvl w:ilvl="3" w:tplc="F38277BE">
      <w:numFmt w:val="decimal"/>
      <w:lvlText w:val=""/>
      <w:lvlJc w:val="left"/>
    </w:lvl>
    <w:lvl w:ilvl="4" w:tplc="2A6E1370">
      <w:numFmt w:val="decimal"/>
      <w:lvlText w:val=""/>
      <w:lvlJc w:val="left"/>
    </w:lvl>
    <w:lvl w:ilvl="5" w:tplc="F82AF780">
      <w:numFmt w:val="decimal"/>
      <w:lvlText w:val=""/>
      <w:lvlJc w:val="left"/>
    </w:lvl>
    <w:lvl w:ilvl="6" w:tplc="A254E440">
      <w:numFmt w:val="decimal"/>
      <w:lvlText w:val=""/>
      <w:lvlJc w:val="left"/>
    </w:lvl>
    <w:lvl w:ilvl="7" w:tplc="1FB490AC">
      <w:numFmt w:val="decimal"/>
      <w:lvlText w:val=""/>
      <w:lvlJc w:val="left"/>
    </w:lvl>
    <w:lvl w:ilvl="8" w:tplc="9C281E3A">
      <w:numFmt w:val="decimal"/>
      <w:lvlText w:val=""/>
      <w:lvlJc w:val="left"/>
    </w:lvl>
  </w:abstractNum>
  <w:abstractNum w:abstractNumId="442" w15:restartNumberingAfterBreak="0">
    <w:nsid w:val="2D6F2926"/>
    <w:multiLevelType w:val="hybridMultilevel"/>
    <w:tmpl w:val="9EE8C204"/>
    <w:lvl w:ilvl="0" w:tplc="86ECA8EC">
      <w:start w:val="1"/>
      <w:numFmt w:val="bullet"/>
      <w:lvlText w:val=""/>
      <w:lvlJc w:val="left"/>
      <w:pPr>
        <w:ind w:left="720" w:hanging="360"/>
      </w:pPr>
      <w:rPr>
        <w:rFonts w:ascii="Symbol" w:hAnsi="Symbol" w:hint="default"/>
      </w:rPr>
    </w:lvl>
    <w:lvl w:ilvl="1" w:tplc="16A07870">
      <w:numFmt w:val="decimal"/>
      <w:lvlText w:val=""/>
      <w:lvlJc w:val="left"/>
    </w:lvl>
    <w:lvl w:ilvl="2" w:tplc="F4C26ABA">
      <w:numFmt w:val="decimal"/>
      <w:lvlText w:val=""/>
      <w:lvlJc w:val="left"/>
    </w:lvl>
    <w:lvl w:ilvl="3" w:tplc="E4A4060E">
      <w:numFmt w:val="decimal"/>
      <w:lvlText w:val=""/>
      <w:lvlJc w:val="left"/>
    </w:lvl>
    <w:lvl w:ilvl="4" w:tplc="B768C406">
      <w:numFmt w:val="decimal"/>
      <w:lvlText w:val=""/>
      <w:lvlJc w:val="left"/>
    </w:lvl>
    <w:lvl w:ilvl="5" w:tplc="AADAE074">
      <w:numFmt w:val="decimal"/>
      <w:lvlText w:val=""/>
      <w:lvlJc w:val="left"/>
    </w:lvl>
    <w:lvl w:ilvl="6" w:tplc="76B2F4B0">
      <w:numFmt w:val="decimal"/>
      <w:lvlText w:val=""/>
      <w:lvlJc w:val="left"/>
    </w:lvl>
    <w:lvl w:ilvl="7" w:tplc="8F345284">
      <w:numFmt w:val="decimal"/>
      <w:lvlText w:val=""/>
      <w:lvlJc w:val="left"/>
    </w:lvl>
    <w:lvl w:ilvl="8" w:tplc="F140E9B4">
      <w:numFmt w:val="decimal"/>
      <w:lvlText w:val=""/>
      <w:lvlJc w:val="left"/>
    </w:lvl>
  </w:abstractNum>
  <w:abstractNum w:abstractNumId="443" w15:restartNumberingAfterBreak="0">
    <w:nsid w:val="2D803CDC"/>
    <w:multiLevelType w:val="hybridMultilevel"/>
    <w:tmpl w:val="1764DBD8"/>
    <w:lvl w:ilvl="0" w:tplc="9ABEE3A2">
      <w:start w:val="1"/>
      <w:numFmt w:val="bullet"/>
      <w:lvlText w:val=""/>
      <w:lvlJc w:val="left"/>
      <w:pPr>
        <w:ind w:left="720" w:hanging="360"/>
      </w:pPr>
      <w:rPr>
        <w:rFonts w:ascii="Symbol" w:hAnsi="Symbol" w:hint="default"/>
      </w:rPr>
    </w:lvl>
    <w:lvl w:ilvl="1" w:tplc="4CE09A46">
      <w:numFmt w:val="decimal"/>
      <w:lvlText w:val=""/>
      <w:lvlJc w:val="left"/>
    </w:lvl>
    <w:lvl w:ilvl="2" w:tplc="03AAE2CA">
      <w:numFmt w:val="decimal"/>
      <w:lvlText w:val=""/>
      <w:lvlJc w:val="left"/>
    </w:lvl>
    <w:lvl w:ilvl="3" w:tplc="E940C288">
      <w:numFmt w:val="decimal"/>
      <w:lvlText w:val=""/>
      <w:lvlJc w:val="left"/>
    </w:lvl>
    <w:lvl w:ilvl="4" w:tplc="69ECF128">
      <w:numFmt w:val="decimal"/>
      <w:lvlText w:val=""/>
      <w:lvlJc w:val="left"/>
    </w:lvl>
    <w:lvl w:ilvl="5" w:tplc="4868410A">
      <w:numFmt w:val="decimal"/>
      <w:lvlText w:val=""/>
      <w:lvlJc w:val="left"/>
    </w:lvl>
    <w:lvl w:ilvl="6" w:tplc="9E1620B6">
      <w:numFmt w:val="decimal"/>
      <w:lvlText w:val=""/>
      <w:lvlJc w:val="left"/>
    </w:lvl>
    <w:lvl w:ilvl="7" w:tplc="41C230C8">
      <w:numFmt w:val="decimal"/>
      <w:lvlText w:val=""/>
      <w:lvlJc w:val="left"/>
    </w:lvl>
    <w:lvl w:ilvl="8" w:tplc="CFBE4826">
      <w:numFmt w:val="decimal"/>
      <w:lvlText w:val=""/>
      <w:lvlJc w:val="left"/>
    </w:lvl>
  </w:abstractNum>
  <w:abstractNum w:abstractNumId="444" w15:restartNumberingAfterBreak="0">
    <w:nsid w:val="2D92713F"/>
    <w:multiLevelType w:val="hybridMultilevel"/>
    <w:tmpl w:val="A86601B2"/>
    <w:lvl w:ilvl="0" w:tplc="688C2F58">
      <w:start w:val="1"/>
      <w:numFmt w:val="bullet"/>
      <w:lvlText w:val=""/>
      <w:lvlJc w:val="left"/>
      <w:pPr>
        <w:ind w:left="720" w:hanging="360"/>
      </w:pPr>
      <w:rPr>
        <w:rFonts w:ascii="Symbol" w:hAnsi="Symbol" w:hint="default"/>
      </w:rPr>
    </w:lvl>
    <w:lvl w:ilvl="1" w:tplc="A4B65EAC">
      <w:numFmt w:val="decimal"/>
      <w:lvlText w:val=""/>
      <w:lvlJc w:val="left"/>
    </w:lvl>
    <w:lvl w:ilvl="2" w:tplc="3F68C85C">
      <w:numFmt w:val="decimal"/>
      <w:lvlText w:val=""/>
      <w:lvlJc w:val="left"/>
    </w:lvl>
    <w:lvl w:ilvl="3" w:tplc="18246EB2">
      <w:numFmt w:val="decimal"/>
      <w:lvlText w:val=""/>
      <w:lvlJc w:val="left"/>
    </w:lvl>
    <w:lvl w:ilvl="4" w:tplc="30B4F9F0">
      <w:numFmt w:val="decimal"/>
      <w:lvlText w:val=""/>
      <w:lvlJc w:val="left"/>
    </w:lvl>
    <w:lvl w:ilvl="5" w:tplc="340AD238">
      <w:numFmt w:val="decimal"/>
      <w:lvlText w:val=""/>
      <w:lvlJc w:val="left"/>
    </w:lvl>
    <w:lvl w:ilvl="6" w:tplc="34E239F6">
      <w:numFmt w:val="decimal"/>
      <w:lvlText w:val=""/>
      <w:lvlJc w:val="left"/>
    </w:lvl>
    <w:lvl w:ilvl="7" w:tplc="0E5882DA">
      <w:numFmt w:val="decimal"/>
      <w:lvlText w:val=""/>
      <w:lvlJc w:val="left"/>
    </w:lvl>
    <w:lvl w:ilvl="8" w:tplc="4432B730">
      <w:numFmt w:val="decimal"/>
      <w:lvlText w:val=""/>
      <w:lvlJc w:val="left"/>
    </w:lvl>
  </w:abstractNum>
  <w:abstractNum w:abstractNumId="445" w15:restartNumberingAfterBreak="0">
    <w:nsid w:val="2DD164CE"/>
    <w:multiLevelType w:val="hybridMultilevel"/>
    <w:tmpl w:val="F0B61764"/>
    <w:lvl w:ilvl="0" w:tplc="DE6C851C">
      <w:start w:val="1"/>
      <w:numFmt w:val="bullet"/>
      <w:lvlText w:val=""/>
      <w:lvlJc w:val="left"/>
      <w:pPr>
        <w:ind w:left="720" w:hanging="360"/>
      </w:pPr>
      <w:rPr>
        <w:rFonts w:ascii="Symbol" w:hAnsi="Symbol" w:hint="default"/>
      </w:rPr>
    </w:lvl>
    <w:lvl w:ilvl="1" w:tplc="047455C0">
      <w:numFmt w:val="decimal"/>
      <w:lvlText w:val=""/>
      <w:lvlJc w:val="left"/>
    </w:lvl>
    <w:lvl w:ilvl="2" w:tplc="130AA6A0">
      <w:numFmt w:val="decimal"/>
      <w:lvlText w:val=""/>
      <w:lvlJc w:val="left"/>
    </w:lvl>
    <w:lvl w:ilvl="3" w:tplc="B5F880FE">
      <w:numFmt w:val="decimal"/>
      <w:lvlText w:val=""/>
      <w:lvlJc w:val="left"/>
    </w:lvl>
    <w:lvl w:ilvl="4" w:tplc="1B3E6692">
      <w:numFmt w:val="decimal"/>
      <w:lvlText w:val=""/>
      <w:lvlJc w:val="left"/>
    </w:lvl>
    <w:lvl w:ilvl="5" w:tplc="70AAB946">
      <w:numFmt w:val="decimal"/>
      <w:lvlText w:val=""/>
      <w:lvlJc w:val="left"/>
    </w:lvl>
    <w:lvl w:ilvl="6" w:tplc="5DE0ED0C">
      <w:numFmt w:val="decimal"/>
      <w:lvlText w:val=""/>
      <w:lvlJc w:val="left"/>
    </w:lvl>
    <w:lvl w:ilvl="7" w:tplc="64C8B43A">
      <w:numFmt w:val="decimal"/>
      <w:lvlText w:val=""/>
      <w:lvlJc w:val="left"/>
    </w:lvl>
    <w:lvl w:ilvl="8" w:tplc="CA7A4010">
      <w:numFmt w:val="decimal"/>
      <w:lvlText w:val=""/>
      <w:lvlJc w:val="left"/>
    </w:lvl>
  </w:abstractNum>
  <w:abstractNum w:abstractNumId="446" w15:restartNumberingAfterBreak="0">
    <w:nsid w:val="2DD209CA"/>
    <w:multiLevelType w:val="hybridMultilevel"/>
    <w:tmpl w:val="94D8C580"/>
    <w:lvl w:ilvl="0" w:tplc="490CBBDA">
      <w:start w:val="1"/>
      <w:numFmt w:val="bullet"/>
      <w:lvlText w:val=""/>
      <w:lvlJc w:val="left"/>
      <w:pPr>
        <w:ind w:left="720" w:hanging="360"/>
      </w:pPr>
      <w:rPr>
        <w:rFonts w:ascii="Symbol" w:hAnsi="Symbol" w:hint="default"/>
      </w:rPr>
    </w:lvl>
    <w:lvl w:ilvl="1" w:tplc="2C9CA6D8">
      <w:numFmt w:val="decimal"/>
      <w:lvlText w:val=""/>
      <w:lvlJc w:val="left"/>
    </w:lvl>
    <w:lvl w:ilvl="2" w:tplc="1668E5DC">
      <w:numFmt w:val="decimal"/>
      <w:lvlText w:val=""/>
      <w:lvlJc w:val="left"/>
    </w:lvl>
    <w:lvl w:ilvl="3" w:tplc="DC068F6C">
      <w:numFmt w:val="decimal"/>
      <w:lvlText w:val=""/>
      <w:lvlJc w:val="left"/>
    </w:lvl>
    <w:lvl w:ilvl="4" w:tplc="A6CA1C70">
      <w:numFmt w:val="decimal"/>
      <w:lvlText w:val=""/>
      <w:lvlJc w:val="left"/>
    </w:lvl>
    <w:lvl w:ilvl="5" w:tplc="41F01E96">
      <w:numFmt w:val="decimal"/>
      <w:lvlText w:val=""/>
      <w:lvlJc w:val="left"/>
    </w:lvl>
    <w:lvl w:ilvl="6" w:tplc="B0DC63A4">
      <w:numFmt w:val="decimal"/>
      <w:lvlText w:val=""/>
      <w:lvlJc w:val="left"/>
    </w:lvl>
    <w:lvl w:ilvl="7" w:tplc="FA40F39E">
      <w:numFmt w:val="decimal"/>
      <w:lvlText w:val=""/>
      <w:lvlJc w:val="left"/>
    </w:lvl>
    <w:lvl w:ilvl="8" w:tplc="7F7AED6C">
      <w:numFmt w:val="decimal"/>
      <w:lvlText w:val=""/>
      <w:lvlJc w:val="left"/>
    </w:lvl>
  </w:abstractNum>
  <w:abstractNum w:abstractNumId="447" w15:restartNumberingAfterBreak="0">
    <w:nsid w:val="2DE72AB8"/>
    <w:multiLevelType w:val="hybridMultilevel"/>
    <w:tmpl w:val="170C9430"/>
    <w:lvl w:ilvl="0" w:tplc="8EA49C00">
      <w:start w:val="1"/>
      <w:numFmt w:val="bullet"/>
      <w:lvlText w:val=""/>
      <w:lvlJc w:val="left"/>
      <w:pPr>
        <w:ind w:left="720" w:hanging="360"/>
      </w:pPr>
      <w:rPr>
        <w:rFonts w:ascii="Symbol" w:hAnsi="Symbol" w:hint="default"/>
      </w:rPr>
    </w:lvl>
    <w:lvl w:ilvl="1" w:tplc="1274649E">
      <w:numFmt w:val="decimal"/>
      <w:lvlText w:val=""/>
      <w:lvlJc w:val="left"/>
    </w:lvl>
    <w:lvl w:ilvl="2" w:tplc="9BF8EC4C">
      <w:numFmt w:val="decimal"/>
      <w:lvlText w:val=""/>
      <w:lvlJc w:val="left"/>
    </w:lvl>
    <w:lvl w:ilvl="3" w:tplc="A74C92D0">
      <w:numFmt w:val="decimal"/>
      <w:lvlText w:val=""/>
      <w:lvlJc w:val="left"/>
    </w:lvl>
    <w:lvl w:ilvl="4" w:tplc="C4CAEF5C">
      <w:numFmt w:val="decimal"/>
      <w:lvlText w:val=""/>
      <w:lvlJc w:val="left"/>
    </w:lvl>
    <w:lvl w:ilvl="5" w:tplc="50D2FA88">
      <w:numFmt w:val="decimal"/>
      <w:lvlText w:val=""/>
      <w:lvlJc w:val="left"/>
    </w:lvl>
    <w:lvl w:ilvl="6" w:tplc="C526DFA6">
      <w:numFmt w:val="decimal"/>
      <w:lvlText w:val=""/>
      <w:lvlJc w:val="left"/>
    </w:lvl>
    <w:lvl w:ilvl="7" w:tplc="8CA2C8AC">
      <w:numFmt w:val="decimal"/>
      <w:lvlText w:val=""/>
      <w:lvlJc w:val="left"/>
    </w:lvl>
    <w:lvl w:ilvl="8" w:tplc="F2DA4782">
      <w:numFmt w:val="decimal"/>
      <w:lvlText w:val=""/>
      <w:lvlJc w:val="left"/>
    </w:lvl>
  </w:abstractNum>
  <w:abstractNum w:abstractNumId="448" w15:restartNumberingAfterBreak="0">
    <w:nsid w:val="2E1D4E37"/>
    <w:multiLevelType w:val="hybridMultilevel"/>
    <w:tmpl w:val="B55E8934"/>
    <w:lvl w:ilvl="0" w:tplc="F23C8586">
      <w:start w:val="1"/>
      <w:numFmt w:val="bullet"/>
      <w:lvlText w:val=""/>
      <w:lvlJc w:val="left"/>
      <w:pPr>
        <w:ind w:left="720" w:hanging="360"/>
      </w:pPr>
      <w:rPr>
        <w:rFonts w:ascii="Symbol" w:hAnsi="Symbol" w:hint="default"/>
      </w:rPr>
    </w:lvl>
    <w:lvl w:ilvl="1" w:tplc="0C92A11C">
      <w:numFmt w:val="decimal"/>
      <w:lvlText w:val=""/>
      <w:lvlJc w:val="left"/>
    </w:lvl>
    <w:lvl w:ilvl="2" w:tplc="4F783880">
      <w:numFmt w:val="decimal"/>
      <w:lvlText w:val=""/>
      <w:lvlJc w:val="left"/>
    </w:lvl>
    <w:lvl w:ilvl="3" w:tplc="0B1A3E9E">
      <w:numFmt w:val="decimal"/>
      <w:lvlText w:val=""/>
      <w:lvlJc w:val="left"/>
    </w:lvl>
    <w:lvl w:ilvl="4" w:tplc="8FE49D1A">
      <w:numFmt w:val="decimal"/>
      <w:lvlText w:val=""/>
      <w:lvlJc w:val="left"/>
    </w:lvl>
    <w:lvl w:ilvl="5" w:tplc="58645C40">
      <w:numFmt w:val="decimal"/>
      <w:lvlText w:val=""/>
      <w:lvlJc w:val="left"/>
    </w:lvl>
    <w:lvl w:ilvl="6" w:tplc="75BC4004">
      <w:numFmt w:val="decimal"/>
      <w:lvlText w:val=""/>
      <w:lvlJc w:val="left"/>
    </w:lvl>
    <w:lvl w:ilvl="7" w:tplc="60FE4B4E">
      <w:numFmt w:val="decimal"/>
      <w:lvlText w:val=""/>
      <w:lvlJc w:val="left"/>
    </w:lvl>
    <w:lvl w:ilvl="8" w:tplc="4C526EFE">
      <w:numFmt w:val="decimal"/>
      <w:lvlText w:val=""/>
      <w:lvlJc w:val="left"/>
    </w:lvl>
  </w:abstractNum>
  <w:abstractNum w:abstractNumId="449" w15:restartNumberingAfterBreak="0">
    <w:nsid w:val="2E2A44C6"/>
    <w:multiLevelType w:val="hybridMultilevel"/>
    <w:tmpl w:val="3A46F98C"/>
    <w:lvl w:ilvl="0" w:tplc="118A2F3A">
      <w:start w:val="1"/>
      <w:numFmt w:val="bullet"/>
      <w:lvlText w:val=""/>
      <w:lvlJc w:val="left"/>
      <w:pPr>
        <w:ind w:left="720" w:hanging="360"/>
      </w:pPr>
      <w:rPr>
        <w:rFonts w:ascii="Symbol" w:hAnsi="Symbol" w:hint="default"/>
      </w:rPr>
    </w:lvl>
    <w:lvl w:ilvl="1" w:tplc="45948D74">
      <w:numFmt w:val="decimal"/>
      <w:lvlText w:val=""/>
      <w:lvlJc w:val="left"/>
    </w:lvl>
    <w:lvl w:ilvl="2" w:tplc="14987274">
      <w:numFmt w:val="decimal"/>
      <w:lvlText w:val=""/>
      <w:lvlJc w:val="left"/>
    </w:lvl>
    <w:lvl w:ilvl="3" w:tplc="2E805A7A">
      <w:numFmt w:val="decimal"/>
      <w:lvlText w:val=""/>
      <w:lvlJc w:val="left"/>
    </w:lvl>
    <w:lvl w:ilvl="4" w:tplc="800242DE">
      <w:numFmt w:val="decimal"/>
      <w:lvlText w:val=""/>
      <w:lvlJc w:val="left"/>
    </w:lvl>
    <w:lvl w:ilvl="5" w:tplc="B4A4AF78">
      <w:numFmt w:val="decimal"/>
      <w:lvlText w:val=""/>
      <w:lvlJc w:val="left"/>
    </w:lvl>
    <w:lvl w:ilvl="6" w:tplc="419ED44E">
      <w:numFmt w:val="decimal"/>
      <w:lvlText w:val=""/>
      <w:lvlJc w:val="left"/>
    </w:lvl>
    <w:lvl w:ilvl="7" w:tplc="325C3C2E">
      <w:numFmt w:val="decimal"/>
      <w:lvlText w:val=""/>
      <w:lvlJc w:val="left"/>
    </w:lvl>
    <w:lvl w:ilvl="8" w:tplc="FE3A861A">
      <w:numFmt w:val="decimal"/>
      <w:lvlText w:val=""/>
      <w:lvlJc w:val="left"/>
    </w:lvl>
  </w:abstractNum>
  <w:abstractNum w:abstractNumId="450" w15:restartNumberingAfterBreak="0">
    <w:nsid w:val="2E331C17"/>
    <w:multiLevelType w:val="hybridMultilevel"/>
    <w:tmpl w:val="936895FA"/>
    <w:lvl w:ilvl="0" w:tplc="269EF22A">
      <w:start w:val="1"/>
      <w:numFmt w:val="bullet"/>
      <w:lvlText w:val=""/>
      <w:lvlJc w:val="left"/>
      <w:pPr>
        <w:ind w:left="720" w:hanging="360"/>
      </w:pPr>
      <w:rPr>
        <w:rFonts w:ascii="Symbol" w:hAnsi="Symbol" w:hint="default"/>
      </w:rPr>
    </w:lvl>
    <w:lvl w:ilvl="1" w:tplc="CFB88568">
      <w:numFmt w:val="decimal"/>
      <w:lvlText w:val=""/>
      <w:lvlJc w:val="left"/>
    </w:lvl>
    <w:lvl w:ilvl="2" w:tplc="90BE54F6">
      <w:numFmt w:val="decimal"/>
      <w:lvlText w:val=""/>
      <w:lvlJc w:val="left"/>
    </w:lvl>
    <w:lvl w:ilvl="3" w:tplc="D48EF312">
      <w:numFmt w:val="decimal"/>
      <w:lvlText w:val=""/>
      <w:lvlJc w:val="left"/>
    </w:lvl>
    <w:lvl w:ilvl="4" w:tplc="BFD86A8E">
      <w:numFmt w:val="decimal"/>
      <w:lvlText w:val=""/>
      <w:lvlJc w:val="left"/>
    </w:lvl>
    <w:lvl w:ilvl="5" w:tplc="37B482FE">
      <w:numFmt w:val="decimal"/>
      <w:lvlText w:val=""/>
      <w:lvlJc w:val="left"/>
    </w:lvl>
    <w:lvl w:ilvl="6" w:tplc="C264EA04">
      <w:numFmt w:val="decimal"/>
      <w:lvlText w:val=""/>
      <w:lvlJc w:val="left"/>
    </w:lvl>
    <w:lvl w:ilvl="7" w:tplc="19D2E724">
      <w:numFmt w:val="decimal"/>
      <w:lvlText w:val=""/>
      <w:lvlJc w:val="left"/>
    </w:lvl>
    <w:lvl w:ilvl="8" w:tplc="F7844B7A">
      <w:numFmt w:val="decimal"/>
      <w:lvlText w:val=""/>
      <w:lvlJc w:val="left"/>
    </w:lvl>
  </w:abstractNum>
  <w:abstractNum w:abstractNumId="451" w15:restartNumberingAfterBreak="0">
    <w:nsid w:val="2E4E2224"/>
    <w:multiLevelType w:val="hybridMultilevel"/>
    <w:tmpl w:val="FD009C32"/>
    <w:lvl w:ilvl="0" w:tplc="C47A2CE6">
      <w:start w:val="1"/>
      <w:numFmt w:val="bullet"/>
      <w:lvlText w:val=""/>
      <w:lvlJc w:val="left"/>
      <w:pPr>
        <w:ind w:left="720" w:hanging="360"/>
      </w:pPr>
      <w:rPr>
        <w:rFonts w:ascii="Symbol" w:hAnsi="Symbol" w:hint="default"/>
      </w:rPr>
    </w:lvl>
    <w:lvl w:ilvl="1" w:tplc="D138CDF6">
      <w:numFmt w:val="decimal"/>
      <w:lvlText w:val=""/>
      <w:lvlJc w:val="left"/>
    </w:lvl>
    <w:lvl w:ilvl="2" w:tplc="F2F8D7FC">
      <w:numFmt w:val="decimal"/>
      <w:lvlText w:val=""/>
      <w:lvlJc w:val="left"/>
    </w:lvl>
    <w:lvl w:ilvl="3" w:tplc="56FA43B4">
      <w:numFmt w:val="decimal"/>
      <w:lvlText w:val=""/>
      <w:lvlJc w:val="left"/>
    </w:lvl>
    <w:lvl w:ilvl="4" w:tplc="CCBCE3CE">
      <w:numFmt w:val="decimal"/>
      <w:lvlText w:val=""/>
      <w:lvlJc w:val="left"/>
    </w:lvl>
    <w:lvl w:ilvl="5" w:tplc="DB284318">
      <w:numFmt w:val="decimal"/>
      <w:lvlText w:val=""/>
      <w:lvlJc w:val="left"/>
    </w:lvl>
    <w:lvl w:ilvl="6" w:tplc="74AECB54">
      <w:numFmt w:val="decimal"/>
      <w:lvlText w:val=""/>
      <w:lvlJc w:val="left"/>
    </w:lvl>
    <w:lvl w:ilvl="7" w:tplc="C912722E">
      <w:numFmt w:val="decimal"/>
      <w:lvlText w:val=""/>
      <w:lvlJc w:val="left"/>
    </w:lvl>
    <w:lvl w:ilvl="8" w:tplc="E1086B42">
      <w:numFmt w:val="decimal"/>
      <w:lvlText w:val=""/>
      <w:lvlJc w:val="left"/>
    </w:lvl>
  </w:abstractNum>
  <w:abstractNum w:abstractNumId="452" w15:restartNumberingAfterBreak="0">
    <w:nsid w:val="2E6C12DE"/>
    <w:multiLevelType w:val="hybridMultilevel"/>
    <w:tmpl w:val="EB18BF32"/>
    <w:lvl w:ilvl="0" w:tplc="5C36FC32">
      <w:start w:val="1"/>
      <w:numFmt w:val="bullet"/>
      <w:lvlText w:val=""/>
      <w:lvlJc w:val="left"/>
      <w:pPr>
        <w:ind w:left="720" w:hanging="360"/>
      </w:pPr>
      <w:rPr>
        <w:rFonts w:ascii="Symbol" w:hAnsi="Symbol" w:hint="default"/>
      </w:rPr>
    </w:lvl>
    <w:lvl w:ilvl="1" w:tplc="9CFE24D6">
      <w:numFmt w:val="decimal"/>
      <w:lvlText w:val=""/>
      <w:lvlJc w:val="left"/>
    </w:lvl>
    <w:lvl w:ilvl="2" w:tplc="79BA5660">
      <w:numFmt w:val="decimal"/>
      <w:lvlText w:val=""/>
      <w:lvlJc w:val="left"/>
    </w:lvl>
    <w:lvl w:ilvl="3" w:tplc="18664A12">
      <w:numFmt w:val="decimal"/>
      <w:lvlText w:val=""/>
      <w:lvlJc w:val="left"/>
    </w:lvl>
    <w:lvl w:ilvl="4" w:tplc="E3C46584">
      <w:numFmt w:val="decimal"/>
      <w:lvlText w:val=""/>
      <w:lvlJc w:val="left"/>
    </w:lvl>
    <w:lvl w:ilvl="5" w:tplc="0994F0AE">
      <w:numFmt w:val="decimal"/>
      <w:lvlText w:val=""/>
      <w:lvlJc w:val="left"/>
    </w:lvl>
    <w:lvl w:ilvl="6" w:tplc="0A4685B2">
      <w:numFmt w:val="decimal"/>
      <w:lvlText w:val=""/>
      <w:lvlJc w:val="left"/>
    </w:lvl>
    <w:lvl w:ilvl="7" w:tplc="A1F60CF6">
      <w:numFmt w:val="decimal"/>
      <w:lvlText w:val=""/>
      <w:lvlJc w:val="left"/>
    </w:lvl>
    <w:lvl w:ilvl="8" w:tplc="979E093E">
      <w:numFmt w:val="decimal"/>
      <w:lvlText w:val=""/>
      <w:lvlJc w:val="left"/>
    </w:lvl>
  </w:abstractNum>
  <w:abstractNum w:abstractNumId="453" w15:restartNumberingAfterBreak="0">
    <w:nsid w:val="2E6C2698"/>
    <w:multiLevelType w:val="hybridMultilevel"/>
    <w:tmpl w:val="90B4C7DA"/>
    <w:lvl w:ilvl="0" w:tplc="809AF410">
      <w:start w:val="1"/>
      <w:numFmt w:val="bullet"/>
      <w:lvlText w:val=""/>
      <w:lvlJc w:val="left"/>
      <w:pPr>
        <w:ind w:left="720" w:hanging="360"/>
      </w:pPr>
      <w:rPr>
        <w:rFonts w:ascii="Symbol" w:hAnsi="Symbol" w:hint="default"/>
      </w:rPr>
    </w:lvl>
    <w:lvl w:ilvl="1" w:tplc="928C8F6E">
      <w:numFmt w:val="decimal"/>
      <w:lvlText w:val=""/>
      <w:lvlJc w:val="left"/>
    </w:lvl>
    <w:lvl w:ilvl="2" w:tplc="03D2ED44">
      <w:numFmt w:val="decimal"/>
      <w:lvlText w:val=""/>
      <w:lvlJc w:val="left"/>
    </w:lvl>
    <w:lvl w:ilvl="3" w:tplc="DF3462DC">
      <w:numFmt w:val="decimal"/>
      <w:lvlText w:val=""/>
      <w:lvlJc w:val="left"/>
    </w:lvl>
    <w:lvl w:ilvl="4" w:tplc="2CE8496E">
      <w:numFmt w:val="decimal"/>
      <w:lvlText w:val=""/>
      <w:lvlJc w:val="left"/>
    </w:lvl>
    <w:lvl w:ilvl="5" w:tplc="81400962">
      <w:numFmt w:val="decimal"/>
      <w:lvlText w:val=""/>
      <w:lvlJc w:val="left"/>
    </w:lvl>
    <w:lvl w:ilvl="6" w:tplc="38045BD2">
      <w:numFmt w:val="decimal"/>
      <w:lvlText w:val=""/>
      <w:lvlJc w:val="left"/>
    </w:lvl>
    <w:lvl w:ilvl="7" w:tplc="FDE84D14">
      <w:numFmt w:val="decimal"/>
      <w:lvlText w:val=""/>
      <w:lvlJc w:val="left"/>
    </w:lvl>
    <w:lvl w:ilvl="8" w:tplc="8BA26748">
      <w:numFmt w:val="decimal"/>
      <w:lvlText w:val=""/>
      <w:lvlJc w:val="left"/>
    </w:lvl>
  </w:abstractNum>
  <w:abstractNum w:abstractNumId="454" w15:restartNumberingAfterBreak="0">
    <w:nsid w:val="2E762D44"/>
    <w:multiLevelType w:val="hybridMultilevel"/>
    <w:tmpl w:val="95627FA0"/>
    <w:lvl w:ilvl="0" w:tplc="BEB4BAF0">
      <w:start w:val="1"/>
      <w:numFmt w:val="bullet"/>
      <w:lvlText w:val=""/>
      <w:lvlJc w:val="left"/>
      <w:pPr>
        <w:ind w:left="720" w:hanging="360"/>
      </w:pPr>
      <w:rPr>
        <w:rFonts w:ascii="Symbol" w:hAnsi="Symbol" w:hint="default"/>
      </w:rPr>
    </w:lvl>
    <w:lvl w:ilvl="1" w:tplc="1CC07734">
      <w:numFmt w:val="decimal"/>
      <w:lvlText w:val=""/>
      <w:lvlJc w:val="left"/>
    </w:lvl>
    <w:lvl w:ilvl="2" w:tplc="6B9EF110">
      <w:numFmt w:val="decimal"/>
      <w:lvlText w:val=""/>
      <w:lvlJc w:val="left"/>
    </w:lvl>
    <w:lvl w:ilvl="3" w:tplc="9DBEF5B2">
      <w:numFmt w:val="decimal"/>
      <w:lvlText w:val=""/>
      <w:lvlJc w:val="left"/>
    </w:lvl>
    <w:lvl w:ilvl="4" w:tplc="35C2BF38">
      <w:numFmt w:val="decimal"/>
      <w:lvlText w:val=""/>
      <w:lvlJc w:val="left"/>
    </w:lvl>
    <w:lvl w:ilvl="5" w:tplc="5A560BBC">
      <w:numFmt w:val="decimal"/>
      <w:lvlText w:val=""/>
      <w:lvlJc w:val="left"/>
    </w:lvl>
    <w:lvl w:ilvl="6" w:tplc="977ACBF2">
      <w:numFmt w:val="decimal"/>
      <w:lvlText w:val=""/>
      <w:lvlJc w:val="left"/>
    </w:lvl>
    <w:lvl w:ilvl="7" w:tplc="8B409134">
      <w:numFmt w:val="decimal"/>
      <w:lvlText w:val=""/>
      <w:lvlJc w:val="left"/>
    </w:lvl>
    <w:lvl w:ilvl="8" w:tplc="16807AC6">
      <w:numFmt w:val="decimal"/>
      <w:lvlText w:val=""/>
      <w:lvlJc w:val="left"/>
    </w:lvl>
  </w:abstractNum>
  <w:abstractNum w:abstractNumId="455" w15:restartNumberingAfterBreak="0">
    <w:nsid w:val="2ED424D7"/>
    <w:multiLevelType w:val="hybridMultilevel"/>
    <w:tmpl w:val="1F28A41E"/>
    <w:lvl w:ilvl="0" w:tplc="A044D9D6">
      <w:start w:val="1"/>
      <w:numFmt w:val="bullet"/>
      <w:lvlText w:val=""/>
      <w:lvlJc w:val="left"/>
      <w:pPr>
        <w:ind w:left="720" w:hanging="360"/>
      </w:pPr>
      <w:rPr>
        <w:rFonts w:ascii="Symbol" w:hAnsi="Symbol" w:hint="default"/>
      </w:rPr>
    </w:lvl>
    <w:lvl w:ilvl="1" w:tplc="7CEA7F1A">
      <w:numFmt w:val="decimal"/>
      <w:lvlText w:val=""/>
      <w:lvlJc w:val="left"/>
    </w:lvl>
    <w:lvl w:ilvl="2" w:tplc="730C0AD6">
      <w:numFmt w:val="decimal"/>
      <w:lvlText w:val=""/>
      <w:lvlJc w:val="left"/>
    </w:lvl>
    <w:lvl w:ilvl="3" w:tplc="163C6A50">
      <w:numFmt w:val="decimal"/>
      <w:lvlText w:val=""/>
      <w:lvlJc w:val="left"/>
    </w:lvl>
    <w:lvl w:ilvl="4" w:tplc="0A941B4A">
      <w:numFmt w:val="decimal"/>
      <w:lvlText w:val=""/>
      <w:lvlJc w:val="left"/>
    </w:lvl>
    <w:lvl w:ilvl="5" w:tplc="3E70CA7C">
      <w:numFmt w:val="decimal"/>
      <w:lvlText w:val=""/>
      <w:lvlJc w:val="left"/>
    </w:lvl>
    <w:lvl w:ilvl="6" w:tplc="B5BEDE46">
      <w:numFmt w:val="decimal"/>
      <w:lvlText w:val=""/>
      <w:lvlJc w:val="left"/>
    </w:lvl>
    <w:lvl w:ilvl="7" w:tplc="A3022560">
      <w:numFmt w:val="decimal"/>
      <w:lvlText w:val=""/>
      <w:lvlJc w:val="left"/>
    </w:lvl>
    <w:lvl w:ilvl="8" w:tplc="5D061A74">
      <w:numFmt w:val="decimal"/>
      <w:lvlText w:val=""/>
      <w:lvlJc w:val="left"/>
    </w:lvl>
  </w:abstractNum>
  <w:abstractNum w:abstractNumId="456" w15:restartNumberingAfterBreak="0">
    <w:nsid w:val="2ED96620"/>
    <w:multiLevelType w:val="hybridMultilevel"/>
    <w:tmpl w:val="354E5E58"/>
    <w:lvl w:ilvl="0" w:tplc="A8EE2F06">
      <w:start w:val="1"/>
      <w:numFmt w:val="bullet"/>
      <w:lvlText w:val=""/>
      <w:lvlJc w:val="left"/>
      <w:pPr>
        <w:ind w:left="720" w:hanging="360"/>
      </w:pPr>
      <w:rPr>
        <w:rFonts w:ascii="Symbol" w:hAnsi="Symbol" w:hint="default"/>
      </w:rPr>
    </w:lvl>
    <w:lvl w:ilvl="1" w:tplc="81D42526">
      <w:numFmt w:val="decimal"/>
      <w:lvlText w:val=""/>
      <w:lvlJc w:val="left"/>
    </w:lvl>
    <w:lvl w:ilvl="2" w:tplc="89E221DE">
      <w:numFmt w:val="decimal"/>
      <w:lvlText w:val=""/>
      <w:lvlJc w:val="left"/>
    </w:lvl>
    <w:lvl w:ilvl="3" w:tplc="CB4012C2">
      <w:numFmt w:val="decimal"/>
      <w:lvlText w:val=""/>
      <w:lvlJc w:val="left"/>
    </w:lvl>
    <w:lvl w:ilvl="4" w:tplc="E7C63590">
      <w:numFmt w:val="decimal"/>
      <w:lvlText w:val=""/>
      <w:lvlJc w:val="left"/>
    </w:lvl>
    <w:lvl w:ilvl="5" w:tplc="329E539C">
      <w:numFmt w:val="decimal"/>
      <w:lvlText w:val=""/>
      <w:lvlJc w:val="left"/>
    </w:lvl>
    <w:lvl w:ilvl="6" w:tplc="E3724D3E">
      <w:numFmt w:val="decimal"/>
      <w:lvlText w:val=""/>
      <w:lvlJc w:val="left"/>
    </w:lvl>
    <w:lvl w:ilvl="7" w:tplc="C5C6D4EA">
      <w:numFmt w:val="decimal"/>
      <w:lvlText w:val=""/>
      <w:lvlJc w:val="left"/>
    </w:lvl>
    <w:lvl w:ilvl="8" w:tplc="A224D7BA">
      <w:numFmt w:val="decimal"/>
      <w:lvlText w:val=""/>
      <w:lvlJc w:val="left"/>
    </w:lvl>
  </w:abstractNum>
  <w:abstractNum w:abstractNumId="457" w15:restartNumberingAfterBreak="0">
    <w:nsid w:val="2EDB44EA"/>
    <w:multiLevelType w:val="hybridMultilevel"/>
    <w:tmpl w:val="08D66C26"/>
    <w:lvl w:ilvl="0" w:tplc="6292D722">
      <w:start w:val="1"/>
      <w:numFmt w:val="bullet"/>
      <w:lvlText w:val=""/>
      <w:lvlJc w:val="left"/>
      <w:pPr>
        <w:ind w:left="720" w:hanging="360"/>
      </w:pPr>
      <w:rPr>
        <w:rFonts w:ascii="Symbol" w:hAnsi="Symbol" w:hint="default"/>
      </w:rPr>
    </w:lvl>
    <w:lvl w:ilvl="1" w:tplc="D6BEEADC">
      <w:numFmt w:val="decimal"/>
      <w:lvlText w:val=""/>
      <w:lvlJc w:val="left"/>
    </w:lvl>
    <w:lvl w:ilvl="2" w:tplc="A022DB94">
      <w:numFmt w:val="decimal"/>
      <w:lvlText w:val=""/>
      <w:lvlJc w:val="left"/>
    </w:lvl>
    <w:lvl w:ilvl="3" w:tplc="4936F69C">
      <w:numFmt w:val="decimal"/>
      <w:lvlText w:val=""/>
      <w:lvlJc w:val="left"/>
    </w:lvl>
    <w:lvl w:ilvl="4" w:tplc="5330EFB0">
      <w:numFmt w:val="decimal"/>
      <w:lvlText w:val=""/>
      <w:lvlJc w:val="left"/>
    </w:lvl>
    <w:lvl w:ilvl="5" w:tplc="D4681870">
      <w:numFmt w:val="decimal"/>
      <w:lvlText w:val=""/>
      <w:lvlJc w:val="left"/>
    </w:lvl>
    <w:lvl w:ilvl="6" w:tplc="F086C726">
      <w:numFmt w:val="decimal"/>
      <w:lvlText w:val=""/>
      <w:lvlJc w:val="left"/>
    </w:lvl>
    <w:lvl w:ilvl="7" w:tplc="9F6A40B6">
      <w:numFmt w:val="decimal"/>
      <w:lvlText w:val=""/>
      <w:lvlJc w:val="left"/>
    </w:lvl>
    <w:lvl w:ilvl="8" w:tplc="1B5014D4">
      <w:numFmt w:val="decimal"/>
      <w:lvlText w:val=""/>
      <w:lvlJc w:val="left"/>
    </w:lvl>
  </w:abstractNum>
  <w:abstractNum w:abstractNumId="458" w15:restartNumberingAfterBreak="0">
    <w:nsid w:val="2EDF6414"/>
    <w:multiLevelType w:val="hybridMultilevel"/>
    <w:tmpl w:val="29784996"/>
    <w:lvl w:ilvl="0" w:tplc="4CEC5C4C">
      <w:start w:val="1"/>
      <w:numFmt w:val="bullet"/>
      <w:lvlText w:val=""/>
      <w:lvlJc w:val="left"/>
      <w:pPr>
        <w:ind w:left="720" w:hanging="360"/>
      </w:pPr>
      <w:rPr>
        <w:rFonts w:ascii="Symbol" w:hAnsi="Symbol" w:hint="default"/>
      </w:rPr>
    </w:lvl>
    <w:lvl w:ilvl="1" w:tplc="2F309A68">
      <w:numFmt w:val="decimal"/>
      <w:lvlText w:val=""/>
      <w:lvlJc w:val="left"/>
    </w:lvl>
    <w:lvl w:ilvl="2" w:tplc="11426F88">
      <w:numFmt w:val="decimal"/>
      <w:lvlText w:val=""/>
      <w:lvlJc w:val="left"/>
    </w:lvl>
    <w:lvl w:ilvl="3" w:tplc="4142D096">
      <w:numFmt w:val="decimal"/>
      <w:lvlText w:val=""/>
      <w:lvlJc w:val="left"/>
    </w:lvl>
    <w:lvl w:ilvl="4" w:tplc="BA56019C">
      <w:numFmt w:val="decimal"/>
      <w:lvlText w:val=""/>
      <w:lvlJc w:val="left"/>
    </w:lvl>
    <w:lvl w:ilvl="5" w:tplc="05FA8882">
      <w:numFmt w:val="decimal"/>
      <w:lvlText w:val=""/>
      <w:lvlJc w:val="left"/>
    </w:lvl>
    <w:lvl w:ilvl="6" w:tplc="7D7C71FA">
      <w:numFmt w:val="decimal"/>
      <w:lvlText w:val=""/>
      <w:lvlJc w:val="left"/>
    </w:lvl>
    <w:lvl w:ilvl="7" w:tplc="27FE8CFA">
      <w:numFmt w:val="decimal"/>
      <w:lvlText w:val=""/>
      <w:lvlJc w:val="left"/>
    </w:lvl>
    <w:lvl w:ilvl="8" w:tplc="C7BC344A">
      <w:numFmt w:val="decimal"/>
      <w:lvlText w:val=""/>
      <w:lvlJc w:val="left"/>
    </w:lvl>
  </w:abstractNum>
  <w:abstractNum w:abstractNumId="459" w15:restartNumberingAfterBreak="0">
    <w:nsid w:val="2EF65E0C"/>
    <w:multiLevelType w:val="hybridMultilevel"/>
    <w:tmpl w:val="967A3782"/>
    <w:lvl w:ilvl="0" w:tplc="EDE62194">
      <w:start w:val="1"/>
      <w:numFmt w:val="bullet"/>
      <w:lvlText w:val=""/>
      <w:lvlJc w:val="left"/>
      <w:pPr>
        <w:ind w:left="720" w:hanging="360"/>
      </w:pPr>
      <w:rPr>
        <w:rFonts w:ascii="Symbol" w:hAnsi="Symbol" w:hint="default"/>
      </w:rPr>
    </w:lvl>
    <w:lvl w:ilvl="1" w:tplc="93CA227A">
      <w:numFmt w:val="decimal"/>
      <w:lvlText w:val=""/>
      <w:lvlJc w:val="left"/>
    </w:lvl>
    <w:lvl w:ilvl="2" w:tplc="E2D6CB64">
      <w:numFmt w:val="decimal"/>
      <w:lvlText w:val=""/>
      <w:lvlJc w:val="left"/>
    </w:lvl>
    <w:lvl w:ilvl="3" w:tplc="504E28D4">
      <w:numFmt w:val="decimal"/>
      <w:lvlText w:val=""/>
      <w:lvlJc w:val="left"/>
    </w:lvl>
    <w:lvl w:ilvl="4" w:tplc="A8DEE03E">
      <w:numFmt w:val="decimal"/>
      <w:lvlText w:val=""/>
      <w:lvlJc w:val="left"/>
    </w:lvl>
    <w:lvl w:ilvl="5" w:tplc="66E6E094">
      <w:numFmt w:val="decimal"/>
      <w:lvlText w:val=""/>
      <w:lvlJc w:val="left"/>
    </w:lvl>
    <w:lvl w:ilvl="6" w:tplc="1856DD86">
      <w:numFmt w:val="decimal"/>
      <w:lvlText w:val=""/>
      <w:lvlJc w:val="left"/>
    </w:lvl>
    <w:lvl w:ilvl="7" w:tplc="E0BAC69E">
      <w:numFmt w:val="decimal"/>
      <w:lvlText w:val=""/>
      <w:lvlJc w:val="left"/>
    </w:lvl>
    <w:lvl w:ilvl="8" w:tplc="25184ECA">
      <w:numFmt w:val="decimal"/>
      <w:lvlText w:val=""/>
      <w:lvlJc w:val="left"/>
    </w:lvl>
  </w:abstractNum>
  <w:abstractNum w:abstractNumId="460" w15:restartNumberingAfterBreak="0">
    <w:nsid w:val="2F0D34D8"/>
    <w:multiLevelType w:val="hybridMultilevel"/>
    <w:tmpl w:val="E604A8E4"/>
    <w:lvl w:ilvl="0" w:tplc="CFF0E84E">
      <w:start w:val="1"/>
      <w:numFmt w:val="bullet"/>
      <w:lvlText w:val=""/>
      <w:lvlJc w:val="left"/>
      <w:pPr>
        <w:ind w:left="720" w:hanging="360"/>
      </w:pPr>
      <w:rPr>
        <w:rFonts w:ascii="Symbol" w:hAnsi="Symbol" w:hint="default"/>
      </w:rPr>
    </w:lvl>
    <w:lvl w:ilvl="1" w:tplc="7F5C4FB4">
      <w:numFmt w:val="decimal"/>
      <w:lvlText w:val=""/>
      <w:lvlJc w:val="left"/>
    </w:lvl>
    <w:lvl w:ilvl="2" w:tplc="4168B92E">
      <w:numFmt w:val="decimal"/>
      <w:lvlText w:val=""/>
      <w:lvlJc w:val="left"/>
    </w:lvl>
    <w:lvl w:ilvl="3" w:tplc="B4A4928A">
      <w:numFmt w:val="decimal"/>
      <w:lvlText w:val=""/>
      <w:lvlJc w:val="left"/>
    </w:lvl>
    <w:lvl w:ilvl="4" w:tplc="3CBEB472">
      <w:numFmt w:val="decimal"/>
      <w:lvlText w:val=""/>
      <w:lvlJc w:val="left"/>
    </w:lvl>
    <w:lvl w:ilvl="5" w:tplc="F632907A">
      <w:numFmt w:val="decimal"/>
      <w:lvlText w:val=""/>
      <w:lvlJc w:val="left"/>
    </w:lvl>
    <w:lvl w:ilvl="6" w:tplc="FA1214EC">
      <w:numFmt w:val="decimal"/>
      <w:lvlText w:val=""/>
      <w:lvlJc w:val="left"/>
    </w:lvl>
    <w:lvl w:ilvl="7" w:tplc="206ADF42">
      <w:numFmt w:val="decimal"/>
      <w:lvlText w:val=""/>
      <w:lvlJc w:val="left"/>
    </w:lvl>
    <w:lvl w:ilvl="8" w:tplc="7CBC9B70">
      <w:numFmt w:val="decimal"/>
      <w:lvlText w:val=""/>
      <w:lvlJc w:val="left"/>
    </w:lvl>
  </w:abstractNum>
  <w:abstractNum w:abstractNumId="461" w15:restartNumberingAfterBreak="0">
    <w:nsid w:val="2F451AC2"/>
    <w:multiLevelType w:val="hybridMultilevel"/>
    <w:tmpl w:val="9B7EDB6C"/>
    <w:lvl w:ilvl="0" w:tplc="721ADCA8">
      <w:start w:val="1"/>
      <w:numFmt w:val="bullet"/>
      <w:lvlText w:val=""/>
      <w:lvlJc w:val="left"/>
      <w:pPr>
        <w:ind w:left="720" w:hanging="360"/>
      </w:pPr>
      <w:rPr>
        <w:rFonts w:ascii="Symbol" w:hAnsi="Symbol" w:hint="default"/>
      </w:rPr>
    </w:lvl>
    <w:lvl w:ilvl="1" w:tplc="9872B2C2">
      <w:numFmt w:val="decimal"/>
      <w:lvlText w:val=""/>
      <w:lvlJc w:val="left"/>
    </w:lvl>
    <w:lvl w:ilvl="2" w:tplc="3A5A0A30">
      <w:numFmt w:val="decimal"/>
      <w:lvlText w:val=""/>
      <w:lvlJc w:val="left"/>
    </w:lvl>
    <w:lvl w:ilvl="3" w:tplc="53066374">
      <w:numFmt w:val="decimal"/>
      <w:lvlText w:val=""/>
      <w:lvlJc w:val="left"/>
    </w:lvl>
    <w:lvl w:ilvl="4" w:tplc="B998A642">
      <w:numFmt w:val="decimal"/>
      <w:lvlText w:val=""/>
      <w:lvlJc w:val="left"/>
    </w:lvl>
    <w:lvl w:ilvl="5" w:tplc="DBD895BA">
      <w:numFmt w:val="decimal"/>
      <w:lvlText w:val=""/>
      <w:lvlJc w:val="left"/>
    </w:lvl>
    <w:lvl w:ilvl="6" w:tplc="8CAE9360">
      <w:numFmt w:val="decimal"/>
      <w:lvlText w:val=""/>
      <w:lvlJc w:val="left"/>
    </w:lvl>
    <w:lvl w:ilvl="7" w:tplc="588A2316">
      <w:numFmt w:val="decimal"/>
      <w:lvlText w:val=""/>
      <w:lvlJc w:val="left"/>
    </w:lvl>
    <w:lvl w:ilvl="8" w:tplc="56B6F54A">
      <w:numFmt w:val="decimal"/>
      <w:lvlText w:val=""/>
      <w:lvlJc w:val="left"/>
    </w:lvl>
  </w:abstractNum>
  <w:abstractNum w:abstractNumId="462" w15:restartNumberingAfterBreak="0">
    <w:nsid w:val="2F521F4A"/>
    <w:multiLevelType w:val="hybridMultilevel"/>
    <w:tmpl w:val="17E02F9A"/>
    <w:lvl w:ilvl="0" w:tplc="96188DA2">
      <w:start w:val="1"/>
      <w:numFmt w:val="bullet"/>
      <w:lvlText w:val=""/>
      <w:lvlJc w:val="left"/>
      <w:pPr>
        <w:ind w:left="720" w:hanging="360"/>
      </w:pPr>
      <w:rPr>
        <w:rFonts w:ascii="Symbol" w:hAnsi="Symbol" w:hint="default"/>
      </w:rPr>
    </w:lvl>
    <w:lvl w:ilvl="1" w:tplc="02A25ADC">
      <w:numFmt w:val="decimal"/>
      <w:lvlText w:val=""/>
      <w:lvlJc w:val="left"/>
    </w:lvl>
    <w:lvl w:ilvl="2" w:tplc="2F80CFDA">
      <w:numFmt w:val="decimal"/>
      <w:lvlText w:val=""/>
      <w:lvlJc w:val="left"/>
    </w:lvl>
    <w:lvl w:ilvl="3" w:tplc="9A54FD4C">
      <w:numFmt w:val="decimal"/>
      <w:lvlText w:val=""/>
      <w:lvlJc w:val="left"/>
    </w:lvl>
    <w:lvl w:ilvl="4" w:tplc="F30EF9EC">
      <w:numFmt w:val="decimal"/>
      <w:lvlText w:val=""/>
      <w:lvlJc w:val="left"/>
    </w:lvl>
    <w:lvl w:ilvl="5" w:tplc="80444FEC">
      <w:numFmt w:val="decimal"/>
      <w:lvlText w:val=""/>
      <w:lvlJc w:val="left"/>
    </w:lvl>
    <w:lvl w:ilvl="6" w:tplc="9054781A">
      <w:numFmt w:val="decimal"/>
      <w:lvlText w:val=""/>
      <w:lvlJc w:val="left"/>
    </w:lvl>
    <w:lvl w:ilvl="7" w:tplc="12D25084">
      <w:numFmt w:val="decimal"/>
      <w:lvlText w:val=""/>
      <w:lvlJc w:val="left"/>
    </w:lvl>
    <w:lvl w:ilvl="8" w:tplc="2F36ACEC">
      <w:numFmt w:val="decimal"/>
      <w:lvlText w:val=""/>
      <w:lvlJc w:val="left"/>
    </w:lvl>
  </w:abstractNum>
  <w:abstractNum w:abstractNumId="463" w15:restartNumberingAfterBreak="0">
    <w:nsid w:val="2F725CB9"/>
    <w:multiLevelType w:val="hybridMultilevel"/>
    <w:tmpl w:val="DE701C04"/>
    <w:lvl w:ilvl="0" w:tplc="2312C102">
      <w:start w:val="1"/>
      <w:numFmt w:val="bullet"/>
      <w:lvlText w:val=""/>
      <w:lvlJc w:val="left"/>
      <w:pPr>
        <w:ind w:left="720" w:hanging="360"/>
      </w:pPr>
      <w:rPr>
        <w:rFonts w:ascii="Symbol" w:hAnsi="Symbol" w:hint="default"/>
      </w:rPr>
    </w:lvl>
    <w:lvl w:ilvl="1" w:tplc="DB804D50">
      <w:numFmt w:val="decimal"/>
      <w:lvlText w:val=""/>
      <w:lvlJc w:val="left"/>
    </w:lvl>
    <w:lvl w:ilvl="2" w:tplc="87A43A62">
      <w:numFmt w:val="decimal"/>
      <w:lvlText w:val=""/>
      <w:lvlJc w:val="left"/>
    </w:lvl>
    <w:lvl w:ilvl="3" w:tplc="4F9A36DA">
      <w:numFmt w:val="decimal"/>
      <w:lvlText w:val=""/>
      <w:lvlJc w:val="left"/>
    </w:lvl>
    <w:lvl w:ilvl="4" w:tplc="9D264B32">
      <w:numFmt w:val="decimal"/>
      <w:lvlText w:val=""/>
      <w:lvlJc w:val="left"/>
    </w:lvl>
    <w:lvl w:ilvl="5" w:tplc="1DBC34A0">
      <w:numFmt w:val="decimal"/>
      <w:lvlText w:val=""/>
      <w:lvlJc w:val="left"/>
    </w:lvl>
    <w:lvl w:ilvl="6" w:tplc="70AAB868">
      <w:numFmt w:val="decimal"/>
      <w:lvlText w:val=""/>
      <w:lvlJc w:val="left"/>
    </w:lvl>
    <w:lvl w:ilvl="7" w:tplc="FBAA4510">
      <w:numFmt w:val="decimal"/>
      <w:lvlText w:val=""/>
      <w:lvlJc w:val="left"/>
    </w:lvl>
    <w:lvl w:ilvl="8" w:tplc="C26A083E">
      <w:numFmt w:val="decimal"/>
      <w:lvlText w:val=""/>
      <w:lvlJc w:val="left"/>
    </w:lvl>
  </w:abstractNum>
  <w:abstractNum w:abstractNumId="464" w15:restartNumberingAfterBreak="0">
    <w:nsid w:val="2F9D471B"/>
    <w:multiLevelType w:val="hybridMultilevel"/>
    <w:tmpl w:val="3F086C06"/>
    <w:lvl w:ilvl="0" w:tplc="7B84120A">
      <w:start w:val="1"/>
      <w:numFmt w:val="bullet"/>
      <w:lvlText w:val=""/>
      <w:lvlJc w:val="left"/>
      <w:pPr>
        <w:ind w:left="720" w:hanging="360"/>
      </w:pPr>
      <w:rPr>
        <w:rFonts w:ascii="Symbol" w:hAnsi="Symbol" w:hint="default"/>
      </w:rPr>
    </w:lvl>
    <w:lvl w:ilvl="1" w:tplc="811CA922">
      <w:numFmt w:val="decimal"/>
      <w:lvlText w:val=""/>
      <w:lvlJc w:val="left"/>
    </w:lvl>
    <w:lvl w:ilvl="2" w:tplc="EC08AE8C">
      <w:numFmt w:val="decimal"/>
      <w:lvlText w:val=""/>
      <w:lvlJc w:val="left"/>
    </w:lvl>
    <w:lvl w:ilvl="3" w:tplc="BC2A3A92">
      <w:numFmt w:val="decimal"/>
      <w:lvlText w:val=""/>
      <w:lvlJc w:val="left"/>
    </w:lvl>
    <w:lvl w:ilvl="4" w:tplc="4BC075FA">
      <w:numFmt w:val="decimal"/>
      <w:lvlText w:val=""/>
      <w:lvlJc w:val="left"/>
    </w:lvl>
    <w:lvl w:ilvl="5" w:tplc="70EEE89E">
      <w:numFmt w:val="decimal"/>
      <w:lvlText w:val=""/>
      <w:lvlJc w:val="left"/>
    </w:lvl>
    <w:lvl w:ilvl="6" w:tplc="8CF04AB4">
      <w:numFmt w:val="decimal"/>
      <w:lvlText w:val=""/>
      <w:lvlJc w:val="left"/>
    </w:lvl>
    <w:lvl w:ilvl="7" w:tplc="4D2C27DC">
      <w:numFmt w:val="decimal"/>
      <w:lvlText w:val=""/>
      <w:lvlJc w:val="left"/>
    </w:lvl>
    <w:lvl w:ilvl="8" w:tplc="A090651E">
      <w:numFmt w:val="decimal"/>
      <w:lvlText w:val=""/>
      <w:lvlJc w:val="left"/>
    </w:lvl>
  </w:abstractNum>
  <w:abstractNum w:abstractNumId="465" w15:restartNumberingAfterBreak="0">
    <w:nsid w:val="2FBD23FE"/>
    <w:multiLevelType w:val="hybridMultilevel"/>
    <w:tmpl w:val="E76E1156"/>
    <w:lvl w:ilvl="0" w:tplc="88C8D0B8">
      <w:numFmt w:val="decimal"/>
      <w:lvlText w:val=""/>
      <w:lvlJc w:val="left"/>
    </w:lvl>
    <w:lvl w:ilvl="1" w:tplc="A16C2B12">
      <w:numFmt w:val="decimal"/>
      <w:lvlText w:val=""/>
      <w:lvlJc w:val="left"/>
    </w:lvl>
    <w:lvl w:ilvl="2" w:tplc="E13EAD4C">
      <w:start w:val="1"/>
      <w:numFmt w:val="bullet"/>
      <w:lvlText w:val=""/>
      <w:lvlJc w:val="left"/>
      <w:pPr>
        <w:ind w:left="2160" w:hanging="360"/>
      </w:pPr>
      <w:rPr>
        <w:rFonts w:ascii="Symbol" w:hAnsi="Symbol" w:hint="default"/>
      </w:rPr>
    </w:lvl>
    <w:lvl w:ilvl="3" w:tplc="F216B880">
      <w:numFmt w:val="decimal"/>
      <w:lvlText w:val=""/>
      <w:lvlJc w:val="left"/>
    </w:lvl>
    <w:lvl w:ilvl="4" w:tplc="7764C814">
      <w:numFmt w:val="decimal"/>
      <w:lvlText w:val=""/>
      <w:lvlJc w:val="left"/>
    </w:lvl>
    <w:lvl w:ilvl="5" w:tplc="4D4845B6">
      <w:numFmt w:val="decimal"/>
      <w:lvlText w:val=""/>
      <w:lvlJc w:val="left"/>
    </w:lvl>
    <w:lvl w:ilvl="6" w:tplc="C786E918">
      <w:numFmt w:val="decimal"/>
      <w:lvlText w:val=""/>
      <w:lvlJc w:val="left"/>
    </w:lvl>
    <w:lvl w:ilvl="7" w:tplc="CAEEC9E6">
      <w:numFmt w:val="decimal"/>
      <w:lvlText w:val=""/>
      <w:lvlJc w:val="left"/>
    </w:lvl>
    <w:lvl w:ilvl="8" w:tplc="FD2298EC">
      <w:numFmt w:val="decimal"/>
      <w:lvlText w:val=""/>
      <w:lvlJc w:val="left"/>
    </w:lvl>
  </w:abstractNum>
  <w:abstractNum w:abstractNumId="466" w15:restartNumberingAfterBreak="0">
    <w:nsid w:val="2FE21C79"/>
    <w:multiLevelType w:val="hybridMultilevel"/>
    <w:tmpl w:val="2B3E47B0"/>
    <w:lvl w:ilvl="0" w:tplc="7D5A6470">
      <w:start w:val="1"/>
      <w:numFmt w:val="bullet"/>
      <w:lvlText w:val=""/>
      <w:lvlJc w:val="left"/>
      <w:pPr>
        <w:ind w:left="720" w:hanging="360"/>
      </w:pPr>
      <w:rPr>
        <w:rFonts w:ascii="Symbol" w:hAnsi="Symbol" w:hint="default"/>
      </w:rPr>
    </w:lvl>
    <w:lvl w:ilvl="1" w:tplc="9D543604">
      <w:numFmt w:val="decimal"/>
      <w:lvlText w:val=""/>
      <w:lvlJc w:val="left"/>
    </w:lvl>
    <w:lvl w:ilvl="2" w:tplc="91D64A6A">
      <w:numFmt w:val="decimal"/>
      <w:lvlText w:val=""/>
      <w:lvlJc w:val="left"/>
    </w:lvl>
    <w:lvl w:ilvl="3" w:tplc="2DAC9012">
      <w:numFmt w:val="decimal"/>
      <w:lvlText w:val=""/>
      <w:lvlJc w:val="left"/>
    </w:lvl>
    <w:lvl w:ilvl="4" w:tplc="A73E8798">
      <w:numFmt w:val="decimal"/>
      <w:lvlText w:val=""/>
      <w:lvlJc w:val="left"/>
    </w:lvl>
    <w:lvl w:ilvl="5" w:tplc="38848E92">
      <w:numFmt w:val="decimal"/>
      <w:lvlText w:val=""/>
      <w:lvlJc w:val="left"/>
    </w:lvl>
    <w:lvl w:ilvl="6" w:tplc="1A90704A">
      <w:numFmt w:val="decimal"/>
      <w:lvlText w:val=""/>
      <w:lvlJc w:val="left"/>
    </w:lvl>
    <w:lvl w:ilvl="7" w:tplc="2F44C658">
      <w:numFmt w:val="decimal"/>
      <w:lvlText w:val=""/>
      <w:lvlJc w:val="left"/>
    </w:lvl>
    <w:lvl w:ilvl="8" w:tplc="D182F1F0">
      <w:numFmt w:val="decimal"/>
      <w:lvlText w:val=""/>
      <w:lvlJc w:val="left"/>
    </w:lvl>
  </w:abstractNum>
  <w:abstractNum w:abstractNumId="467" w15:restartNumberingAfterBreak="0">
    <w:nsid w:val="30137B11"/>
    <w:multiLevelType w:val="hybridMultilevel"/>
    <w:tmpl w:val="10A4AE60"/>
    <w:lvl w:ilvl="0" w:tplc="0742C674">
      <w:start w:val="1"/>
      <w:numFmt w:val="bullet"/>
      <w:lvlText w:val=""/>
      <w:lvlJc w:val="left"/>
      <w:pPr>
        <w:ind w:left="720" w:hanging="360"/>
      </w:pPr>
      <w:rPr>
        <w:rFonts w:ascii="Symbol" w:hAnsi="Symbol" w:hint="default"/>
      </w:rPr>
    </w:lvl>
    <w:lvl w:ilvl="1" w:tplc="061CAC16">
      <w:numFmt w:val="decimal"/>
      <w:lvlText w:val=""/>
      <w:lvlJc w:val="left"/>
    </w:lvl>
    <w:lvl w:ilvl="2" w:tplc="6818E37C">
      <w:numFmt w:val="decimal"/>
      <w:lvlText w:val=""/>
      <w:lvlJc w:val="left"/>
    </w:lvl>
    <w:lvl w:ilvl="3" w:tplc="92983FCA">
      <w:numFmt w:val="decimal"/>
      <w:lvlText w:val=""/>
      <w:lvlJc w:val="left"/>
    </w:lvl>
    <w:lvl w:ilvl="4" w:tplc="ACA8344C">
      <w:numFmt w:val="decimal"/>
      <w:lvlText w:val=""/>
      <w:lvlJc w:val="left"/>
    </w:lvl>
    <w:lvl w:ilvl="5" w:tplc="B83C433C">
      <w:numFmt w:val="decimal"/>
      <w:lvlText w:val=""/>
      <w:lvlJc w:val="left"/>
    </w:lvl>
    <w:lvl w:ilvl="6" w:tplc="DC5EC2BC">
      <w:numFmt w:val="decimal"/>
      <w:lvlText w:val=""/>
      <w:lvlJc w:val="left"/>
    </w:lvl>
    <w:lvl w:ilvl="7" w:tplc="5E4E41F8">
      <w:numFmt w:val="decimal"/>
      <w:lvlText w:val=""/>
      <w:lvlJc w:val="left"/>
    </w:lvl>
    <w:lvl w:ilvl="8" w:tplc="4E66F32A">
      <w:numFmt w:val="decimal"/>
      <w:lvlText w:val=""/>
      <w:lvlJc w:val="left"/>
    </w:lvl>
  </w:abstractNum>
  <w:abstractNum w:abstractNumId="468" w15:restartNumberingAfterBreak="0">
    <w:nsid w:val="305E3A79"/>
    <w:multiLevelType w:val="hybridMultilevel"/>
    <w:tmpl w:val="D88AB120"/>
    <w:lvl w:ilvl="0" w:tplc="938E3CE2">
      <w:start w:val="1"/>
      <w:numFmt w:val="bullet"/>
      <w:lvlText w:val=""/>
      <w:lvlJc w:val="left"/>
      <w:pPr>
        <w:ind w:left="720" w:hanging="360"/>
      </w:pPr>
      <w:rPr>
        <w:rFonts w:ascii="Symbol" w:hAnsi="Symbol" w:hint="default"/>
      </w:rPr>
    </w:lvl>
    <w:lvl w:ilvl="1" w:tplc="2230D420">
      <w:numFmt w:val="decimal"/>
      <w:lvlText w:val=""/>
      <w:lvlJc w:val="left"/>
    </w:lvl>
    <w:lvl w:ilvl="2" w:tplc="7410EEEE">
      <w:numFmt w:val="decimal"/>
      <w:lvlText w:val=""/>
      <w:lvlJc w:val="left"/>
    </w:lvl>
    <w:lvl w:ilvl="3" w:tplc="A8E609B8">
      <w:numFmt w:val="decimal"/>
      <w:lvlText w:val=""/>
      <w:lvlJc w:val="left"/>
    </w:lvl>
    <w:lvl w:ilvl="4" w:tplc="57642D66">
      <w:numFmt w:val="decimal"/>
      <w:lvlText w:val=""/>
      <w:lvlJc w:val="left"/>
    </w:lvl>
    <w:lvl w:ilvl="5" w:tplc="24A40540">
      <w:numFmt w:val="decimal"/>
      <w:lvlText w:val=""/>
      <w:lvlJc w:val="left"/>
    </w:lvl>
    <w:lvl w:ilvl="6" w:tplc="CCA677D6">
      <w:numFmt w:val="decimal"/>
      <w:lvlText w:val=""/>
      <w:lvlJc w:val="left"/>
    </w:lvl>
    <w:lvl w:ilvl="7" w:tplc="CA0252A4">
      <w:numFmt w:val="decimal"/>
      <w:lvlText w:val=""/>
      <w:lvlJc w:val="left"/>
    </w:lvl>
    <w:lvl w:ilvl="8" w:tplc="BDF61842">
      <w:numFmt w:val="decimal"/>
      <w:lvlText w:val=""/>
      <w:lvlJc w:val="left"/>
    </w:lvl>
  </w:abstractNum>
  <w:abstractNum w:abstractNumId="469" w15:restartNumberingAfterBreak="0">
    <w:nsid w:val="308808B1"/>
    <w:multiLevelType w:val="hybridMultilevel"/>
    <w:tmpl w:val="419205CC"/>
    <w:lvl w:ilvl="0" w:tplc="A51A58AA">
      <w:start w:val="1"/>
      <w:numFmt w:val="bullet"/>
      <w:lvlText w:val=""/>
      <w:lvlJc w:val="left"/>
      <w:pPr>
        <w:ind w:left="720" w:hanging="360"/>
      </w:pPr>
      <w:rPr>
        <w:rFonts w:ascii="Symbol" w:hAnsi="Symbol" w:hint="default"/>
      </w:rPr>
    </w:lvl>
    <w:lvl w:ilvl="1" w:tplc="0C68537E">
      <w:numFmt w:val="decimal"/>
      <w:lvlText w:val=""/>
      <w:lvlJc w:val="left"/>
    </w:lvl>
    <w:lvl w:ilvl="2" w:tplc="7DF0E7DC">
      <w:numFmt w:val="decimal"/>
      <w:lvlText w:val=""/>
      <w:lvlJc w:val="left"/>
    </w:lvl>
    <w:lvl w:ilvl="3" w:tplc="6916E5F8">
      <w:numFmt w:val="decimal"/>
      <w:lvlText w:val=""/>
      <w:lvlJc w:val="left"/>
    </w:lvl>
    <w:lvl w:ilvl="4" w:tplc="00561D5C">
      <w:numFmt w:val="decimal"/>
      <w:lvlText w:val=""/>
      <w:lvlJc w:val="left"/>
    </w:lvl>
    <w:lvl w:ilvl="5" w:tplc="CCA69F3E">
      <w:numFmt w:val="decimal"/>
      <w:lvlText w:val=""/>
      <w:lvlJc w:val="left"/>
    </w:lvl>
    <w:lvl w:ilvl="6" w:tplc="76C03254">
      <w:numFmt w:val="decimal"/>
      <w:lvlText w:val=""/>
      <w:lvlJc w:val="left"/>
    </w:lvl>
    <w:lvl w:ilvl="7" w:tplc="19D8C076">
      <w:numFmt w:val="decimal"/>
      <w:lvlText w:val=""/>
      <w:lvlJc w:val="left"/>
    </w:lvl>
    <w:lvl w:ilvl="8" w:tplc="F8324EA0">
      <w:numFmt w:val="decimal"/>
      <w:lvlText w:val=""/>
      <w:lvlJc w:val="left"/>
    </w:lvl>
  </w:abstractNum>
  <w:abstractNum w:abstractNumId="470" w15:restartNumberingAfterBreak="0">
    <w:nsid w:val="30A56780"/>
    <w:multiLevelType w:val="hybridMultilevel"/>
    <w:tmpl w:val="EC840D98"/>
    <w:lvl w:ilvl="0" w:tplc="F11A3654">
      <w:start w:val="1"/>
      <w:numFmt w:val="bullet"/>
      <w:lvlText w:val=""/>
      <w:lvlJc w:val="left"/>
      <w:pPr>
        <w:ind w:left="720" w:hanging="360"/>
      </w:pPr>
      <w:rPr>
        <w:rFonts w:ascii="Symbol" w:hAnsi="Symbol" w:hint="default"/>
      </w:rPr>
    </w:lvl>
    <w:lvl w:ilvl="1" w:tplc="93A006B0">
      <w:numFmt w:val="decimal"/>
      <w:lvlText w:val=""/>
      <w:lvlJc w:val="left"/>
    </w:lvl>
    <w:lvl w:ilvl="2" w:tplc="DF58F6DC">
      <w:numFmt w:val="decimal"/>
      <w:lvlText w:val=""/>
      <w:lvlJc w:val="left"/>
    </w:lvl>
    <w:lvl w:ilvl="3" w:tplc="179C2BFC">
      <w:numFmt w:val="decimal"/>
      <w:lvlText w:val=""/>
      <w:lvlJc w:val="left"/>
    </w:lvl>
    <w:lvl w:ilvl="4" w:tplc="BACE166E">
      <w:numFmt w:val="decimal"/>
      <w:lvlText w:val=""/>
      <w:lvlJc w:val="left"/>
    </w:lvl>
    <w:lvl w:ilvl="5" w:tplc="E416CA30">
      <w:numFmt w:val="decimal"/>
      <w:lvlText w:val=""/>
      <w:lvlJc w:val="left"/>
    </w:lvl>
    <w:lvl w:ilvl="6" w:tplc="1438E964">
      <w:numFmt w:val="decimal"/>
      <w:lvlText w:val=""/>
      <w:lvlJc w:val="left"/>
    </w:lvl>
    <w:lvl w:ilvl="7" w:tplc="50702D30">
      <w:numFmt w:val="decimal"/>
      <w:lvlText w:val=""/>
      <w:lvlJc w:val="left"/>
    </w:lvl>
    <w:lvl w:ilvl="8" w:tplc="F9224916">
      <w:numFmt w:val="decimal"/>
      <w:lvlText w:val=""/>
      <w:lvlJc w:val="left"/>
    </w:lvl>
  </w:abstractNum>
  <w:abstractNum w:abstractNumId="471" w15:restartNumberingAfterBreak="0">
    <w:nsid w:val="30C837D7"/>
    <w:multiLevelType w:val="hybridMultilevel"/>
    <w:tmpl w:val="D4925B7C"/>
    <w:lvl w:ilvl="0" w:tplc="28A24BE6">
      <w:start w:val="1"/>
      <w:numFmt w:val="bullet"/>
      <w:lvlText w:val=""/>
      <w:lvlJc w:val="left"/>
      <w:pPr>
        <w:ind w:left="720" w:hanging="360"/>
      </w:pPr>
      <w:rPr>
        <w:rFonts w:ascii="Symbol" w:hAnsi="Symbol" w:hint="default"/>
      </w:rPr>
    </w:lvl>
    <w:lvl w:ilvl="1" w:tplc="464084E8">
      <w:numFmt w:val="decimal"/>
      <w:lvlText w:val=""/>
      <w:lvlJc w:val="left"/>
    </w:lvl>
    <w:lvl w:ilvl="2" w:tplc="60FC0C94">
      <w:numFmt w:val="decimal"/>
      <w:lvlText w:val=""/>
      <w:lvlJc w:val="left"/>
    </w:lvl>
    <w:lvl w:ilvl="3" w:tplc="007499E2">
      <w:numFmt w:val="decimal"/>
      <w:lvlText w:val=""/>
      <w:lvlJc w:val="left"/>
    </w:lvl>
    <w:lvl w:ilvl="4" w:tplc="1E02ADF6">
      <w:numFmt w:val="decimal"/>
      <w:lvlText w:val=""/>
      <w:lvlJc w:val="left"/>
    </w:lvl>
    <w:lvl w:ilvl="5" w:tplc="4CF60E2E">
      <w:numFmt w:val="decimal"/>
      <w:lvlText w:val=""/>
      <w:lvlJc w:val="left"/>
    </w:lvl>
    <w:lvl w:ilvl="6" w:tplc="7AC660BE">
      <w:numFmt w:val="decimal"/>
      <w:lvlText w:val=""/>
      <w:lvlJc w:val="left"/>
    </w:lvl>
    <w:lvl w:ilvl="7" w:tplc="BDDE88A2">
      <w:numFmt w:val="decimal"/>
      <w:lvlText w:val=""/>
      <w:lvlJc w:val="left"/>
    </w:lvl>
    <w:lvl w:ilvl="8" w:tplc="5538AFFA">
      <w:numFmt w:val="decimal"/>
      <w:lvlText w:val=""/>
      <w:lvlJc w:val="left"/>
    </w:lvl>
  </w:abstractNum>
  <w:abstractNum w:abstractNumId="472" w15:restartNumberingAfterBreak="0">
    <w:nsid w:val="30EC7D08"/>
    <w:multiLevelType w:val="hybridMultilevel"/>
    <w:tmpl w:val="E1F06A54"/>
    <w:lvl w:ilvl="0" w:tplc="A320A232">
      <w:start w:val="1"/>
      <w:numFmt w:val="bullet"/>
      <w:lvlText w:val=""/>
      <w:lvlJc w:val="left"/>
      <w:pPr>
        <w:ind w:left="720" w:hanging="360"/>
      </w:pPr>
      <w:rPr>
        <w:rFonts w:ascii="Symbol" w:hAnsi="Symbol" w:hint="default"/>
      </w:rPr>
    </w:lvl>
    <w:lvl w:ilvl="1" w:tplc="C00AF6B6">
      <w:numFmt w:val="decimal"/>
      <w:lvlText w:val=""/>
      <w:lvlJc w:val="left"/>
    </w:lvl>
    <w:lvl w:ilvl="2" w:tplc="586E0582">
      <w:numFmt w:val="decimal"/>
      <w:lvlText w:val=""/>
      <w:lvlJc w:val="left"/>
    </w:lvl>
    <w:lvl w:ilvl="3" w:tplc="8A207CE2">
      <w:numFmt w:val="decimal"/>
      <w:lvlText w:val=""/>
      <w:lvlJc w:val="left"/>
    </w:lvl>
    <w:lvl w:ilvl="4" w:tplc="7B68BB82">
      <w:numFmt w:val="decimal"/>
      <w:lvlText w:val=""/>
      <w:lvlJc w:val="left"/>
    </w:lvl>
    <w:lvl w:ilvl="5" w:tplc="0AF014D2">
      <w:numFmt w:val="decimal"/>
      <w:lvlText w:val=""/>
      <w:lvlJc w:val="left"/>
    </w:lvl>
    <w:lvl w:ilvl="6" w:tplc="0E843A2A">
      <w:numFmt w:val="decimal"/>
      <w:lvlText w:val=""/>
      <w:lvlJc w:val="left"/>
    </w:lvl>
    <w:lvl w:ilvl="7" w:tplc="ED4AF0CE">
      <w:numFmt w:val="decimal"/>
      <w:lvlText w:val=""/>
      <w:lvlJc w:val="left"/>
    </w:lvl>
    <w:lvl w:ilvl="8" w:tplc="A944406C">
      <w:numFmt w:val="decimal"/>
      <w:lvlText w:val=""/>
      <w:lvlJc w:val="left"/>
    </w:lvl>
  </w:abstractNum>
  <w:abstractNum w:abstractNumId="473" w15:restartNumberingAfterBreak="0">
    <w:nsid w:val="31036DEF"/>
    <w:multiLevelType w:val="hybridMultilevel"/>
    <w:tmpl w:val="4E3481E8"/>
    <w:lvl w:ilvl="0" w:tplc="3F109CB2">
      <w:start w:val="1"/>
      <w:numFmt w:val="bullet"/>
      <w:lvlText w:val=""/>
      <w:lvlJc w:val="left"/>
      <w:pPr>
        <w:ind w:left="720" w:hanging="360"/>
      </w:pPr>
      <w:rPr>
        <w:rFonts w:ascii="Symbol" w:hAnsi="Symbol" w:hint="default"/>
      </w:rPr>
    </w:lvl>
    <w:lvl w:ilvl="1" w:tplc="D29414E8">
      <w:numFmt w:val="decimal"/>
      <w:lvlText w:val=""/>
      <w:lvlJc w:val="left"/>
    </w:lvl>
    <w:lvl w:ilvl="2" w:tplc="8D70927A">
      <w:numFmt w:val="decimal"/>
      <w:lvlText w:val=""/>
      <w:lvlJc w:val="left"/>
    </w:lvl>
    <w:lvl w:ilvl="3" w:tplc="F01272FA">
      <w:numFmt w:val="decimal"/>
      <w:lvlText w:val=""/>
      <w:lvlJc w:val="left"/>
    </w:lvl>
    <w:lvl w:ilvl="4" w:tplc="4AC4B1D6">
      <w:numFmt w:val="decimal"/>
      <w:lvlText w:val=""/>
      <w:lvlJc w:val="left"/>
    </w:lvl>
    <w:lvl w:ilvl="5" w:tplc="E88CFB36">
      <w:numFmt w:val="decimal"/>
      <w:lvlText w:val=""/>
      <w:lvlJc w:val="left"/>
    </w:lvl>
    <w:lvl w:ilvl="6" w:tplc="F8E8A428">
      <w:numFmt w:val="decimal"/>
      <w:lvlText w:val=""/>
      <w:lvlJc w:val="left"/>
    </w:lvl>
    <w:lvl w:ilvl="7" w:tplc="0EA054F4">
      <w:numFmt w:val="decimal"/>
      <w:lvlText w:val=""/>
      <w:lvlJc w:val="left"/>
    </w:lvl>
    <w:lvl w:ilvl="8" w:tplc="9E52279A">
      <w:numFmt w:val="decimal"/>
      <w:lvlText w:val=""/>
      <w:lvlJc w:val="left"/>
    </w:lvl>
  </w:abstractNum>
  <w:abstractNum w:abstractNumId="474" w15:restartNumberingAfterBreak="0">
    <w:nsid w:val="310671B3"/>
    <w:multiLevelType w:val="hybridMultilevel"/>
    <w:tmpl w:val="42E0F90E"/>
    <w:lvl w:ilvl="0" w:tplc="17B84A8A">
      <w:start w:val="1"/>
      <w:numFmt w:val="bullet"/>
      <w:lvlText w:val=""/>
      <w:lvlJc w:val="left"/>
      <w:pPr>
        <w:ind w:left="720" w:hanging="360"/>
      </w:pPr>
      <w:rPr>
        <w:rFonts w:ascii="Symbol" w:hAnsi="Symbol" w:hint="default"/>
      </w:rPr>
    </w:lvl>
    <w:lvl w:ilvl="1" w:tplc="EEC2211C">
      <w:numFmt w:val="decimal"/>
      <w:lvlText w:val=""/>
      <w:lvlJc w:val="left"/>
    </w:lvl>
    <w:lvl w:ilvl="2" w:tplc="7B0847A0">
      <w:numFmt w:val="decimal"/>
      <w:lvlText w:val=""/>
      <w:lvlJc w:val="left"/>
    </w:lvl>
    <w:lvl w:ilvl="3" w:tplc="3FDC5DEC">
      <w:numFmt w:val="decimal"/>
      <w:lvlText w:val=""/>
      <w:lvlJc w:val="left"/>
    </w:lvl>
    <w:lvl w:ilvl="4" w:tplc="AAA06686">
      <w:numFmt w:val="decimal"/>
      <w:lvlText w:val=""/>
      <w:lvlJc w:val="left"/>
    </w:lvl>
    <w:lvl w:ilvl="5" w:tplc="A65CA018">
      <w:numFmt w:val="decimal"/>
      <w:lvlText w:val=""/>
      <w:lvlJc w:val="left"/>
    </w:lvl>
    <w:lvl w:ilvl="6" w:tplc="44E2024C">
      <w:numFmt w:val="decimal"/>
      <w:lvlText w:val=""/>
      <w:lvlJc w:val="left"/>
    </w:lvl>
    <w:lvl w:ilvl="7" w:tplc="9FC606E4">
      <w:numFmt w:val="decimal"/>
      <w:lvlText w:val=""/>
      <w:lvlJc w:val="left"/>
    </w:lvl>
    <w:lvl w:ilvl="8" w:tplc="9836E61A">
      <w:numFmt w:val="decimal"/>
      <w:lvlText w:val=""/>
      <w:lvlJc w:val="left"/>
    </w:lvl>
  </w:abstractNum>
  <w:abstractNum w:abstractNumId="475" w15:restartNumberingAfterBreak="0">
    <w:nsid w:val="310C4C59"/>
    <w:multiLevelType w:val="hybridMultilevel"/>
    <w:tmpl w:val="521C72FC"/>
    <w:lvl w:ilvl="0" w:tplc="99D4E47C">
      <w:start w:val="1"/>
      <w:numFmt w:val="bullet"/>
      <w:lvlText w:val=""/>
      <w:lvlJc w:val="left"/>
      <w:pPr>
        <w:ind w:left="720" w:hanging="360"/>
      </w:pPr>
      <w:rPr>
        <w:rFonts w:ascii="Symbol" w:hAnsi="Symbol" w:hint="default"/>
      </w:rPr>
    </w:lvl>
    <w:lvl w:ilvl="1" w:tplc="FA3C727A">
      <w:numFmt w:val="decimal"/>
      <w:lvlText w:val=""/>
      <w:lvlJc w:val="left"/>
    </w:lvl>
    <w:lvl w:ilvl="2" w:tplc="251E6858">
      <w:numFmt w:val="decimal"/>
      <w:lvlText w:val=""/>
      <w:lvlJc w:val="left"/>
    </w:lvl>
    <w:lvl w:ilvl="3" w:tplc="7042F7D8">
      <w:numFmt w:val="decimal"/>
      <w:lvlText w:val=""/>
      <w:lvlJc w:val="left"/>
    </w:lvl>
    <w:lvl w:ilvl="4" w:tplc="D20EF316">
      <w:numFmt w:val="decimal"/>
      <w:lvlText w:val=""/>
      <w:lvlJc w:val="left"/>
    </w:lvl>
    <w:lvl w:ilvl="5" w:tplc="3D78A4DC">
      <w:numFmt w:val="decimal"/>
      <w:lvlText w:val=""/>
      <w:lvlJc w:val="left"/>
    </w:lvl>
    <w:lvl w:ilvl="6" w:tplc="19C60B62">
      <w:numFmt w:val="decimal"/>
      <w:lvlText w:val=""/>
      <w:lvlJc w:val="left"/>
    </w:lvl>
    <w:lvl w:ilvl="7" w:tplc="29CAB42A">
      <w:numFmt w:val="decimal"/>
      <w:lvlText w:val=""/>
      <w:lvlJc w:val="left"/>
    </w:lvl>
    <w:lvl w:ilvl="8" w:tplc="62500044">
      <w:numFmt w:val="decimal"/>
      <w:lvlText w:val=""/>
      <w:lvlJc w:val="left"/>
    </w:lvl>
  </w:abstractNum>
  <w:abstractNum w:abstractNumId="476" w15:restartNumberingAfterBreak="0">
    <w:nsid w:val="312F1212"/>
    <w:multiLevelType w:val="hybridMultilevel"/>
    <w:tmpl w:val="D346C166"/>
    <w:lvl w:ilvl="0" w:tplc="F83EE442">
      <w:start w:val="1"/>
      <w:numFmt w:val="bullet"/>
      <w:lvlText w:val=""/>
      <w:lvlJc w:val="left"/>
      <w:pPr>
        <w:ind w:left="720" w:hanging="360"/>
      </w:pPr>
      <w:rPr>
        <w:rFonts w:ascii="Symbol" w:hAnsi="Symbol" w:hint="default"/>
      </w:rPr>
    </w:lvl>
    <w:lvl w:ilvl="1" w:tplc="55FE8A4C">
      <w:numFmt w:val="decimal"/>
      <w:lvlText w:val=""/>
      <w:lvlJc w:val="left"/>
    </w:lvl>
    <w:lvl w:ilvl="2" w:tplc="28F6C9B0">
      <w:numFmt w:val="decimal"/>
      <w:lvlText w:val=""/>
      <w:lvlJc w:val="left"/>
    </w:lvl>
    <w:lvl w:ilvl="3" w:tplc="DE82E5C4">
      <w:numFmt w:val="decimal"/>
      <w:lvlText w:val=""/>
      <w:lvlJc w:val="left"/>
    </w:lvl>
    <w:lvl w:ilvl="4" w:tplc="19C63B38">
      <w:numFmt w:val="decimal"/>
      <w:lvlText w:val=""/>
      <w:lvlJc w:val="left"/>
    </w:lvl>
    <w:lvl w:ilvl="5" w:tplc="33466F10">
      <w:numFmt w:val="decimal"/>
      <w:lvlText w:val=""/>
      <w:lvlJc w:val="left"/>
    </w:lvl>
    <w:lvl w:ilvl="6" w:tplc="1B32984C">
      <w:numFmt w:val="decimal"/>
      <w:lvlText w:val=""/>
      <w:lvlJc w:val="left"/>
    </w:lvl>
    <w:lvl w:ilvl="7" w:tplc="240C33B6">
      <w:numFmt w:val="decimal"/>
      <w:lvlText w:val=""/>
      <w:lvlJc w:val="left"/>
    </w:lvl>
    <w:lvl w:ilvl="8" w:tplc="1B668346">
      <w:numFmt w:val="decimal"/>
      <w:lvlText w:val=""/>
      <w:lvlJc w:val="left"/>
    </w:lvl>
  </w:abstractNum>
  <w:abstractNum w:abstractNumId="477" w15:restartNumberingAfterBreak="0">
    <w:nsid w:val="31454E40"/>
    <w:multiLevelType w:val="hybridMultilevel"/>
    <w:tmpl w:val="5D82BD98"/>
    <w:lvl w:ilvl="0" w:tplc="1B7239D8">
      <w:numFmt w:val="decimal"/>
      <w:lvlText w:val=""/>
      <w:lvlJc w:val="left"/>
    </w:lvl>
    <w:lvl w:ilvl="1" w:tplc="7C4C041C">
      <w:start w:val="1"/>
      <w:numFmt w:val="bullet"/>
      <w:lvlText w:val=""/>
      <w:lvlJc w:val="left"/>
      <w:pPr>
        <w:ind w:left="1440" w:hanging="360"/>
      </w:pPr>
      <w:rPr>
        <w:rFonts w:ascii="Symbol" w:hAnsi="Symbol" w:hint="default"/>
      </w:rPr>
    </w:lvl>
    <w:lvl w:ilvl="2" w:tplc="EDA803F2">
      <w:numFmt w:val="decimal"/>
      <w:lvlText w:val=""/>
      <w:lvlJc w:val="left"/>
    </w:lvl>
    <w:lvl w:ilvl="3" w:tplc="BE82289E">
      <w:numFmt w:val="decimal"/>
      <w:lvlText w:val=""/>
      <w:lvlJc w:val="left"/>
    </w:lvl>
    <w:lvl w:ilvl="4" w:tplc="85DCBE70">
      <w:numFmt w:val="decimal"/>
      <w:lvlText w:val=""/>
      <w:lvlJc w:val="left"/>
    </w:lvl>
    <w:lvl w:ilvl="5" w:tplc="4266A51A">
      <w:numFmt w:val="decimal"/>
      <w:lvlText w:val=""/>
      <w:lvlJc w:val="left"/>
    </w:lvl>
    <w:lvl w:ilvl="6" w:tplc="704A2E80">
      <w:numFmt w:val="decimal"/>
      <w:lvlText w:val=""/>
      <w:lvlJc w:val="left"/>
    </w:lvl>
    <w:lvl w:ilvl="7" w:tplc="34D2B234">
      <w:numFmt w:val="decimal"/>
      <w:lvlText w:val=""/>
      <w:lvlJc w:val="left"/>
    </w:lvl>
    <w:lvl w:ilvl="8" w:tplc="EACE8434">
      <w:numFmt w:val="decimal"/>
      <w:lvlText w:val=""/>
      <w:lvlJc w:val="left"/>
    </w:lvl>
  </w:abstractNum>
  <w:abstractNum w:abstractNumId="478" w15:restartNumberingAfterBreak="0">
    <w:nsid w:val="318D3BC6"/>
    <w:multiLevelType w:val="hybridMultilevel"/>
    <w:tmpl w:val="CA2A5C46"/>
    <w:lvl w:ilvl="0" w:tplc="7CD69004">
      <w:start w:val="1"/>
      <w:numFmt w:val="bullet"/>
      <w:lvlText w:val=""/>
      <w:lvlJc w:val="left"/>
      <w:pPr>
        <w:ind w:left="720" w:hanging="360"/>
      </w:pPr>
      <w:rPr>
        <w:rFonts w:ascii="Symbol" w:hAnsi="Symbol" w:hint="default"/>
      </w:rPr>
    </w:lvl>
    <w:lvl w:ilvl="1" w:tplc="5EA095C0">
      <w:numFmt w:val="decimal"/>
      <w:lvlText w:val=""/>
      <w:lvlJc w:val="left"/>
    </w:lvl>
    <w:lvl w:ilvl="2" w:tplc="71228D3C">
      <w:numFmt w:val="decimal"/>
      <w:lvlText w:val=""/>
      <w:lvlJc w:val="left"/>
    </w:lvl>
    <w:lvl w:ilvl="3" w:tplc="BFC80178">
      <w:numFmt w:val="decimal"/>
      <w:lvlText w:val=""/>
      <w:lvlJc w:val="left"/>
    </w:lvl>
    <w:lvl w:ilvl="4" w:tplc="ACA60042">
      <w:numFmt w:val="decimal"/>
      <w:lvlText w:val=""/>
      <w:lvlJc w:val="left"/>
    </w:lvl>
    <w:lvl w:ilvl="5" w:tplc="577E170E">
      <w:numFmt w:val="decimal"/>
      <w:lvlText w:val=""/>
      <w:lvlJc w:val="left"/>
    </w:lvl>
    <w:lvl w:ilvl="6" w:tplc="FB801BEA">
      <w:numFmt w:val="decimal"/>
      <w:lvlText w:val=""/>
      <w:lvlJc w:val="left"/>
    </w:lvl>
    <w:lvl w:ilvl="7" w:tplc="5A2A833C">
      <w:numFmt w:val="decimal"/>
      <w:lvlText w:val=""/>
      <w:lvlJc w:val="left"/>
    </w:lvl>
    <w:lvl w:ilvl="8" w:tplc="FE5A6C30">
      <w:numFmt w:val="decimal"/>
      <w:lvlText w:val=""/>
      <w:lvlJc w:val="left"/>
    </w:lvl>
  </w:abstractNum>
  <w:abstractNum w:abstractNumId="479" w15:restartNumberingAfterBreak="0">
    <w:nsid w:val="31A42A5B"/>
    <w:multiLevelType w:val="hybridMultilevel"/>
    <w:tmpl w:val="1DC0C57C"/>
    <w:lvl w:ilvl="0" w:tplc="97564A6C">
      <w:start w:val="1"/>
      <w:numFmt w:val="bullet"/>
      <w:lvlText w:val=""/>
      <w:lvlJc w:val="left"/>
      <w:pPr>
        <w:ind w:left="720" w:hanging="360"/>
      </w:pPr>
      <w:rPr>
        <w:rFonts w:ascii="Symbol" w:hAnsi="Symbol" w:hint="default"/>
      </w:rPr>
    </w:lvl>
    <w:lvl w:ilvl="1" w:tplc="A064B976">
      <w:numFmt w:val="decimal"/>
      <w:lvlText w:val=""/>
      <w:lvlJc w:val="left"/>
    </w:lvl>
    <w:lvl w:ilvl="2" w:tplc="6A7A4396">
      <w:numFmt w:val="decimal"/>
      <w:lvlText w:val=""/>
      <w:lvlJc w:val="left"/>
    </w:lvl>
    <w:lvl w:ilvl="3" w:tplc="486E2882">
      <w:numFmt w:val="decimal"/>
      <w:lvlText w:val=""/>
      <w:lvlJc w:val="left"/>
    </w:lvl>
    <w:lvl w:ilvl="4" w:tplc="6E1C9478">
      <w:numFmt w:val="decimal"/>
      <w:lvlText w:val=""/>
      <w:lvlJc w:val="left"/>
    </w:lvl>
    <w:lvl w:ilvl="5" w:tplc="5150F26C">
      <w:numFmt w:val="decimal"/>
      <w:lvlText w:val=""/>
      <w:lvlJc w:val="left"/>
    </w:lvl>
    <w:lvl w:ilvl="6" w:tplc="B9FCB1C0">
      <w:numFmt w:val="decimal"/>
      <w:lvlText w:val=""/>
      <w:lvlJc w:val="left"/>
    </w:lvl>
    <w:lvl w:ilvl="7" w:tplc="A6FCBFEC">
      <w:numFmt w:val="decimal"/>
      <w:lvlText w:val=""/>
      <w:lvlJc w:val="left"/>
    </w:lvl>
    <w:lvl w:ilvl="8" w:tplc="44ACF6B2">
      <w:numFmt w:val="decimal"/>
      <w:lvlText w:val=""/>
      <w:lvlJc w:val="left"/>
    </w:lvl>
  </w:abstractNum>
  <w:abstractNum w:abstractNumId="480" w15:restartNumberingAfterBreak="0">
    <w:nsid w:val="31A71936"/>
    <w:multiLevelType w:val="hybridMultilevel"/>
    <w:tmpl w:val="DA104530"/>
    <w:lvl w:ilvl="0" w:tplc="97F4E5B4">
      <w:start w:val="1"/>
      <w:numFmt w:val="bullet"/>
      <w:lvlText w:val=""/>
      <w:lvlJc w:val="left"/>
      <w:pPr>
        <w:ind w:left="720" w:hanging="360"/>
      </w:pPr>
      <w:rPr>
        <w:rFonts w:ascii="Symbol" w:hAnsi="Symbol" w:hint="default"/>
      </w:rPr>
    </w:lvl>
    <w:lvl w:ilvl="1" w:tplc="B56697F4">
      <w:numFmt w:val="decimal"/>
      <w:lvlText w:val=""/>
      <w:lvlJc w:val="left"/>
    </w:lvl>
    <w:lvl w:ilvl="2" w:tplc="166C9D14">
      <w:numFmt w:val="decimal"/>
      <w:lvlText w:val=""/>
      <w:lvlJc w:val="left"/>
    </w:lvl>
    <w:lvl w:ilvl="3" w:tplc="73FAB33E">
      <w:numFmt w:val="decimal"/>
      <w:lvlText w:val=""/>
      <w:lvlJc w:val="left"/>
    </w:lvl>
    <w:lvl w:ilvl="4" w:tplc="EA16E098">
      <w:numFmt w:val="decimal"/>
      <w:lvlText w:val=""/>
      <w:lvlJc w:val="left"/>
    </w:lvl>
    <w:lvl w:ilvl="5" w:tplc="CBA2901C">
      <w:numFmt w:val="decimal"/>
      <w:lvlText w:val=""/>
      <w:lvlJc w:val="left"/>
    </w:lvl>
    <w:lvl w:ilvl="6" w:tplc="FE8CDF52">
      <w:numFmt w:val="decimal"/>
      <w:lvlText w:val=""/>
      <w:lvlJc w:val="left"/>
    </w:lvl>
    <w:lvl w:ilvl="7" w:tplc="E790025C">
      <w:numFmt w:val="decimal"/>
      <w:lvlText w:val=""/>
      <w:lvlJc w:val="left"/>
    </w:lvl>
    <w:lvl w:ilvl="8" w:tplc="EFB81416">
      <w:numFmt w:val="decimal"/>
      <w:lvlText w:val=""/>
      <w:lvlJc w:val="left"/>
    </w:lvl>
  </w:abstractNum>
  <w:abstractNum w:abstractNumId="481" w15:restartNumberingAfterBreak="0">
    <w:nsid w:val="31B23117"/>
    <w:multiLevelType w:val="hybridMultilevel"/>
    <w:tmpl w:val="E7984F28"/>
    <w:lvl w:ilvl="0" w:tplc="0A887702">
      <w:start w:val="1"/>
      <w:numFmt w:val="bullet"/>
      <w:lvlText w:val=""/>
      <w:lvlJc w:val="left"/>
      <w:pPr>
        <w:ind w:left="720" w:hanging="360"/>
      </w:pPr>
      <w:rPr>
        <w:rFonts w:ascii="Symbol" w:hAnsi="Symbol" w:hint="default"/>
      </w:rPr>
    </w:lvl>
    <w:lvl w:ilvl="1" w:tplc="07580800">
      <w:numFmt w:val="decimal"/>
      <w:lvlText w:val=""/>
      <w:lvlJc w:val="left"/>
    </w:lvl>
    <w:lvl w:ilvl="2" w:tplc="695C844E">
      <w:numFmt w:val="decimal"/>
      <w:lvlText w:val=""/>
      <w:lvlJc w:val="left"/>
    </w:lvl>
    <w:lvl w:ilvl="3" w:tplc="362223E2">
      <w:numFmt w:val="decimal"/>
      <w:lvlText w:val=""/>
      <w:lvlJc w:val="left"/>
    </w:lvl>
    <w:lvl w:ilvl="4" w:tplc="E6BA24B2">
      <w:numFmt w:val="decimal"/>
      <w:lvlText w:val=""/>
      <w:lvlJc w:val="left"/>
    </w:lvl>
    <w:lvl w:ilvl="5" w:tplc="328467CE">
      <w:numFmt w:val="decimal"/>
      <w:lvlText w:val=""/>
      <w:lvlJc w:val="left"/>
    </w:lvl>
    <w:lvl w:ilvl="6" w:tplc="E118F98C">
      <w:numFmt w:val="decimal"/>
      <w:lvlText w:val=""/>
      <w:lvlJc w:val="left"/>
    </w:lvl>
    <w:lvl w:ilvl="7" w:tplc="39001748">
      <w:numFmt w:val="decimal"/>
      <w:lvlText w:val=""/>
      <w:lvlJc w:val="left"/>
    </w:lvl>
    <w:lvl w:ilvl="8" w:tplc="8DFEEFFC">
      <w:numFmt w:val="decimal"/>
      <w:lvlText w:val=""/>
      <w:lvlJc w:val="left"/>
    </w:lvl>
  </w:abstractNum>
  <w:abstractNum w:abstractNumId="482" w15:restartNumberingAfterBreak="0">
    <w:nsid w:val="31B366E2"/>
    <w:multiLevelType w:val="hybridMultilevel"/>
    <w:tmpl w:val="92B6D884"/>
    <w:lvl w:ilvl="0" w:tplc="C04EE468">
      <w:start w:val="1"/>
      <w:numFmt w:val="bullet"/>
      <w:lvlText w:val=""/>
      <w:lvlJc w:val="left"/>
      <w:pPr>
        <w:ind w:left="720" w:hanging="360"/>
      </w:pPr>
      <w:rPr>
        <w:rFonts w:ascii="Symbol" w:hAnsi="Symbol" w:hint="default"/>
      </w:rPr>
    </w:lvl>
    <w:lvl w:ilvl="1" w:tplc="11CC1826">
      <w:numFmt w:val="decimal"/>
      <w:lvlText w:val=""/>
      <w:lvlJc w:val="left"/>
    </w:lvl>
    <w:lvl w:ilvl="2" w:tplc="D6BC7EA2">
      <w:numFmt w:val="decimal"/>
      <w:lvlText w:val=""/>
      <w:lvlJc w:val="left"/>
    </w:lvl>
    <w:lvl w:ilvl="3" w:tplc="6FAA480A">
      <w:numFmt w:val="decimal"/>
      <w:lvlText w:val=""/>
      <w:lvlJc w:val="left"/>
    </w:lvl>
    <w:lvl w:ilvl="4" w:tplc="257EBD6C">
      <w:numFmt w:val="decimal"/>
      <w:lvlText w:val=""/>
      <w:lvlJc w:val="left"/>
    </w:lvl>
    <w:lvl w:ilvl="5" w:tplc="8DF8D844">
      <w:numFmt w:val="decimal"/>
      <w:lvlText w:val=""/>
      <w:lvlJc w:val="left"/>
    </w:lvl>
    <w:lvl w:ilvl="6" w:tplc="20AAA01C">
      <w:numFmt w:val="decimal"/>
      <w:lvlText w:val=""/>
      <w:lvlJc w:val="left"/>
    </w:lvl>
    <w:lvl w:ilvl="7" w:tplc="BB7649EA">
      <w:numFmt w:val="decimal"/>
      <w:lvlText w:val=""/>
      <w:lvlJc w:val="left"/>
    </w:lvl>
    <w:lvl w:ilvl="8" w:tplc="E7F8DBC8">
      <w:numFmt w:val="decimal"/>
      <w:lvlText w:val=""/>
      <w:lvlJc w:val="left"/>
    </w:lvl>
  </w:abstractNum>
  <w:abstractNum w:abstractNumId="483" w15:restartNumberingAfterBreak="0">
    <w:nsid w:val="31DC0D62"/>
    <w:multiLevelType w:val="hybridMultilevel"/>
    <w:tmpl w:val="583A0CF6"/>
    <w:lvl w:ilvl="0" w:tplc="B08A3B12">
      <w:start w:val="1"/>
      <w:numFmt w:val="bullet"/>
      <w:lvlText w:val=""/>
      <w:lvlJc w:val="left"/>
      <w:pPr>
        <w:ind w:left="720" w:hanging="360"/>
      </w:pPr>
      <w:rPr>
        <w:rFonts w:ascii="Symbol" w:hAnsi="Symbol" w:hint="default"/>
      </w:rPr>
    </w:lvl>
    <w:lvl w:ilvl="1" w:tplc="73389860">
      <w:numFmt w:val="decimal"/>
      <w:lvlText w:val=""/>
      <w:lvlJc w:val="left"/>
    </w:lvl>
    <w:lvl w:ilvl="2" w:tplc="3000DFCC">
      <w:numFmt w:val="decimal"/>
      <w:lvlText w:val=""/>
      <w:lvlJc w:val="left"/>
    </w:lvl>
    <w:lvl w:ilvl="3" w:tplc="374AA482">
      <w:numFmt w:val="decimal"/>
      <w:lvlText w:val=""/>
      <w:lvlJc w:val="left"/>
    </w:lvl>
    <w:lvl w:ilvl="4" w:tplc="A448086C">
      <w:numFmt w:val="decimal"/>
      <w:lvlText w:val=""/>
      <w:lvlJc w:val="left"/>
    </w:lvl>
    <w:lvl w:ilvl="5" w:tplc="90A801B2">
      <w:numFmt w:val="decimal"/>
      <w:lvlText w:val=""/>
      <w:lvlJc w:val="left"/>
    </w:lvl>
    <w:lvl w:ilvl="6" w:tplc="583A2854">
      <w:numFmt w:val="decimal"/>
      <w:lvlText w:val=""/>
      <w:lvlJc w:val="left"/>
    </w:lvl>
    <w:lvl w:ilvl="7" w:tplc="A164F91C">
      <w:numFmt w:val="decimal"/>
      <w:lvlText w:val=""/>
      <w:lvlJc w:val="left"/>
    </w:lvl>
    <w:lvl w:ilvl="8" w:tplc="665AF8CA">
      <w:numFmt w:val="decimal"/>
      <w:lvlText w:val=""/>
      <w:lvlJc w:val="left"/>
    </w:lvl>
  </w:abstractNum>
  <w:abstractNum w:abstractNumId="484" w15:restartNumberingAfterBreak="0">
    <w:nsid w:val="31E01933"/>
    <w:multiLevelType w:val="hybridMultilevel"/>
    <w:tmpl w:val="E728A3BE"/>
    <w:lvl w:ilvl="0" w:tplc="5A82A976">
      <w:start w:val="1"/>
      <w:numFmt w:val="bullet"/>
      <w:lvlText w:val=""/>
      <w:lvlJc w:val="left"/>
      <w:pPr>
        <w:ind w:left="720" w:hanging="360"/>
      </w:pPr>
      <w:rPr>
        <w:rFonts w:ascii="Symbol" w:hAnsi="Symbol" w:hint="default"/>
      </w:rPr>
    </w:lvl>
    <w:lvl w:ilvl="1" w:tplc="8DB28B54">
      <w:numFmt w:val="decimal"/>
      <w:lvlText w:val=""/>
      <w:lvlJc w:val="left"/>
    </w:lvl>
    <w:lvl w:ilvl="2" w:tplc="A7A84428">
      <w:numFmt w:val="decimal"/>
      <w:lvlText w:val=""/>
      <w:lvlJc w:val="left"/>
    </w:lvl>
    <w:lvl w:ilvl="3" w:tplc="31422804">
      <w:numFmt w:val="decimal"/>
      <w:lvlText w:val=""/>
      <w:lvlJc w:val="left"/>
    </w:lvl>
    <w:lvl w:ilvl="4" w:tplc="81B6AB06">
      <w:numFmt w:val="decimal"/>
      <w:lvlText w:val=""/>
      <w:lvlJc w:val="left"/>
    </w:lvl>
    <w:lvl w:ilvl="5" w:tplc="9F26FEDA">
      <w:numFmt w:val="decimal"/>
      <w:lvlText w:val=""/>
      <w:lvlJc w:val="left"/>
    </w:lvl>
    <w:lvl w:ilvl="6" w:tplc="79DC8796">
      <w:numFmt w:val="decimal"/>
      <w:lvlText w:val=""/>
      <w:lvlJc w:val="left"/>
    </w:lvl>
    <w:lvl w:ilvl="7" w:tplc="E46E0722">
      <w:numFmt w:val="decimal"/>
      <w:lvlText w:val=""/>
      <w:lvlJc w:val="left"/>
    </w:lvl>
    <w:lvl w:ilvl="8" w:tplc="042C5400">
      <w:numFmt w:val="decimal"/>
      <w:lvlText w:val=""/>
      <w:lvlJc w:val="left"/>
    </w:lvl>
  </w:abstractNum>
  <w:abstractNum w:abstractNumId="485" w15:restartNumberingAfterBreak="0">
    <w:nsid w:val="3202354D"/>
    <w:multiLevelType w:val="hybridMultilevel"/>
    <w:tmpl w:val="F39C35B8"/>
    <w:lvl w:ilvl="0" w:tplc="5260A296">
      <w:start w:val="1"/>
      <w:numFmt w:val="bullet"/>
      <w:lvlText w:val=""/>
      <w:lvlJc w:val="left"/>
      <w:pPr>
        <w:ind w:left="720" w:hanging="360"/>
      </w:pPr>
      <w:rPr>
        <w:rFonts w:ascii="Symbol" w:hAnsi="Symbol" w:hint="default"/>
      </w:rPr>
    </w:lvl>
    <w:lvl w:ilvl="1" w:tplc="D5B87632">
      <w:numFmt w:val="decimal"/>
      <w:lvlText w:val=""/>
      <w:lvlJc w:val="left"/>
    </w:lvl>
    <w:lvl w:ilvl="2" w:tplc="DD2EB74C">
      <w:numFmt w:val="decimal"/>
      <w:lvlText w:val=""/>
      <w:lvlJc w:val="left"/>
    </w:lvl>
    <w:lvl w:ilvl="3" w:tplc="6E22A3A4">
      <w:numFmt w:val="decimal"/>
      <w:lvlText w:val=""/>
      <w:lvlJc w:val="left"/>
    </w:lvl>
    <w:lvl w:ilvl="4" w:tplc="5EF8D9CC">
      <w:numFmt w:val="decimal"/>
      <w:lvlText w:val=""/>
      <w:lvlJc w:val="left"/>
    </w:lvl>
    <w:lvl w:ilvl="5" w:tplc="E5AEC59E">
      <w:numFmt w:val="decimal"/>
      <w:lvlText w:val=""/>
      <w:lvlJc w:val="left"/>
    </w:lvl>
    <w:lvl w:ilvl="6" w:tplc="EE34EA8E">
      <w:numFmt w:val="decimal"/>
      <w:lvlText w:val=""/>
      <w:lvlJc w:val="left"/>
    </w:lvl>
    <w:lvl w:ilvl="7" w:tplc="EF8A4148">
      <w:numFmt w:val="decimal"/>
      <w:lvlText w:val=""/>
      <w:lvlJc w:val="left"/>
    </w:lvl>
    <w:lvl w:ilvl="8" w:tplc="E4CE68C6">
      <w:numFmt w:val="decimal"/>
      <w:lvlText w:val=""/>
      <w:lvlJc w:val="left"/>
    </w:lvl>
  </w:abstractNum>
  <w:abstractNum w:abstractNumId="486" w15:restartNumberingAfterBreak="0">
    <w:nsid w:val="32330B06"/>
    <w:multiLevelType w:val="hybridMultilevel"/>
    <w:tmpl w:val="14462CDE"/>
    <w:lvl w:ilvl="0" w:tplc="96801E54">
      <w:start w:val="1"/>
      <w:numFmt w:val="bullet"/>
      <w:lvlText w:val=""/>
      <w:lvlJc w:val="left"/>
      <w:pPr>
        <w:ind w:left="720" w:hanging="360"/>
      </w:pPr>
      <w:rPr>
        <w:rFonts w:ascii="Symbol" w:hAnsi="Symbol" w:hint="default"/>
      </w:rPr>
    </w:lvl>
    <w:lvl w:ilvl="1" w:tplc="E842BBFA">
      <w:numFmt w:val="decimal"/>
      <w:lvlText w:val=""/>
      <w:lvlJc w:val="left"/>
    </w:lvl>
    <w:lvl w:ilvl="2" w:tplc="116CC766">
      <w:numFmt w:val="decimal"/>
      <w:lvlText w:val=""/>
      <w:lvlJc w:val="left"/>
    </w:lvl>
    <w:lvl w:ilvl="3" w:tplc="4C8AADD8">
      <w:numFmt w:val="decimal"/>
      <w:lvlText w:val=""/>
      <w:lvlJc w:val="left"/>
    </w:lvl>
    <w:lvl w:ilvl="4" w:tplc="DCE01CD4">
      <w:numFmt w:val="decimal"/>
      <w:lvlText w:val=""/>
      <w:lvlJc w:val="left"/>
    </w:lvl>
    <w:lvl w:ilvl="5" w:tplc="5FB4E5BC">
      <w:numFmt w:val="decimal"/>
      <w:lvlText w:val=""/>
      <w:lvlJc w:val="left"/>
    </w:lvl>
    <w:lvl w:ilvl="6" w:tplc="0C4E52E8">
      <w:numFmt w:val="decimal"/>
      <w:lvlText w:val=""/>
      <w:lvlJc w:val="left"/>
    </w:lvl>
    <w:lvl w:ilvl="7" w:tplc="10444A92">
      <w:numFmt w:val="decimal"/>
      <w:lvlText w:val=""/>
      <w:lvlJc w:val="left"/>
    </w:lvl>
    <w:lvl w:ilvl="8" w:tplc="421218A8">
      <w:numFmt w:val="decimal"/>
      <w:lvlText w:val=""/>
      <w:lvlJc w:val="left"/>
    </w:lvl>
  </w:abstractNum>
  <w:abstractNum w:abstractNumId="487" w15:restartNumberingAfterBreak="0">
    <w:nsid w:val="324C4208"/>
    <w:multiLevelType w:val="hybridMultilevel"/>
    <w:tmpl w:val="E5741D8E"/>
    <w:lvl w:ilvl="0" w:tplc="139CC15A">
      <w:start w:val="1"/>
      <w:numFmt w:val="bullet"/>
      <w:lvlText w:val=""/>
      <w:lvlJc w:val="left"/>
      <w:pPr>
        <w:ind w:left="720" w:hanging="360"/>
      </w:pPr>
      <w:rPr>
        <w:rFonts w:ascii="Symbol" w:hAnsi="Symbol" w:hint="default"/>
      </w:rPr>
    </w:lvl>
    <w:lvl w:ilvl="1" w:tplc="333E5F2C">
      <w:numFmt w:val="decimal"/>
      <w:lvlText w:val=""/>
      <w:lvlJc w:val="left"/>
    </w:lvl>
    <w:lvl w:ilvl="2" w:tplc="AD10E17A">
      <w:numFmt w:val="decimal"/>
      <w:lvlText w:val=""/>
      <w:lvlJc w:val="left"/>
    </w:lvl>
    <w:lvl w:ilvl="3" w:tplc="B09E53A6">
      <w:numFmt w:val="decimal"/>
      <w:lvlText w:val=""/>
      <w:lvlJc w:val="left"/>
    </w:lvl>
    <w:lvl w:ilvl="4" w:tplc="A3047F72">
      <w:numFmt w:val="decimal"/>
      <w:lvlText w:val=""/>
      <w:lvlJc w:val="left"/>
    </w:lvl>
    <w:lvl w:ilvl="5" w:tplc="B92C6D18">
      <w:numFmt w:val="decimal"/>
      <w:lvlText w:val=""/>
      <w:lvlJc w:val="left"/>
    </w:lvl>
    <w:lvl w:ilvl="6" w:tplc="A0BAACBE">
      <w:numFmt w:val="decimal"/>
      <w:lvlText w:val=""/>
      <w:lvlJc w:val="left"/>
    </w:lvl>
    <w:lvl w:ilvl="7" w:tplc="AA6C68E4">
      <w:numFmt w:val="decimal"/>
      <w:lvlText w:val=""/>
      <w:lvlJc w:val="left"/>
    </w:lvl>
    <w:lvl w:ilvl="8" w:tplc="93FA6A76">
      <w:numFmt w:val="decimal"/>
      <w:lvlText w:val=""/>
      <w:lvlJc w:val="left"/>
    </w:lvl>
  </w:abstractNum>
  <w:abstractNum w:abstractNumId="488" w15:restartNumberingAfterBreak="0">
    <w:nsid w:val="32C329B0"/>
    <w:multiLevelType w:val="hybridMultilevel"/>
    <w:tmpl w:val="DEB41D62"/>
    <w:lvl w:ilvl="0" w:tplc="A1060C2A">
      <w:start w:val="1"/>
      <w:numFmt w:val="bullet"/>
      <w:lvlText w:val=""/>
      <w:lvlJc w:val="left"/>
      <w:pPr>
        <w:ind w:left="720" w:hanging="360"/>
      </w:pPr>
      <w:rPr>
        <w:rFonts w:ascii="Symbol" w:hAnsi="Symbol" w:hint="default"/>
      </w:rPr>
    </w:lvl>
    <w:lvl w:ilvl="1" w:tplc="FB7A1116">
      <w:numFmt w:val="decimal"/>
      <w:lvlText w:val=""/>
      <w:lvlJc w:val="left"/>
    </w:lvl>
    <w:lvl w:ilvl="2" w:tplc="F4D070D8">
      <w:numFmt w:val="decimal"/>
      <w:lvlText w:val=""/>
      <w:lvlJc w:val="left"/>
    </w:lvl>
    <w:lvl w:ilvl="3" w:tplc="B178C096">
      <w:numFmt w:val="decimal"/>
      <w:lvlText w:val=""/>
      <w:lvlJc w:val="left"/>
    </w:lvl>
    <w:lvl w:ilvl="4" w:tplc="BBEA82BE">
      <w:numFmt w:val="decimal"/>
      <w:lvlText w:val=""/>
      <w:lvlJc w:val="left"/>
    </w:lvl>
    <w:lvl w:ilvl="5" w:tplc="27E27BA6">
      <w:numFmt w:val="decimal"/>
      <w:lvlText w:val=""/>
      <w:lvlJc w:val="left"/>
    </w:lvl>
    <w:lvl w:ilvl="6" w:tplc="2BA4AEA8">
      <w:numFmt w:val="decimal"/>
      <w:lvlText w:val=""/>
      <w:lvlJc w:val="left"/>
    </w:lvl>
    <w:lvl w:ilvl="7" w:tplc="059A5902">
      <w:numFmt w:val="decimal"/>
      <w:lvlText w:val=""/>
      <w:lvlJc w:val="left"/>
    </w:lvl>
    <w:lvl w:ilvl="8" w:tplc="248C4FF2">
      <w:numFmt w:val="decimal"/>
      <w:lvlText w:val=""/>
      <w:lvlJc w:val="left"/>
    </w:lvl>
  </w:abstractNum>
  <w:abstractNum w:abstractNumId="489" w15:restartNumberingAfterBreak="0">
    <w:nsid w:val="32D41FC7"/>
    <w:multiLevelType w:val="hybridMultilevel"/>
    <w:tmpl w:val="A9C0CB46"/>
    <w:lvl w:ilvl="0" w:tplc="B2A26CF6">
      <w:start w:val="1"/>
      <w:numFmt w:val="bullet"/>
      <w:lvlText w:val=""/>
      <w:lvlJc w:val="left"/>
      <w:pPr>
        <w:ind w:left="720" w:hanging="360"/>
      </w:pPr>
      <w:rPr>
        <w:rFonts w:ascii="Symbol" w:hAnsi="Symbol" w:hint="default"/>
      </w:rPr>
    </w:lvl>
    <w:lvl w:ilvl="1" w:tplc="A57E582C">
      <w:numFmt w:val="decimal"/>
      <w:lvlText w:val=""/>
      <w:lvlJc w:val="left"/>
    </w:lvl>
    <w:lvl w:ilvl="2" w:tplc="EDF0C218">
      <w:numFmt w:val="decimal"/>
      <w:lvlText w:val=""/>
      <w:lvlJc w:val="left"/>
    </w:lvl>
    <w:lvl w:ilvl="3" w:tplc="8DEAB6A6">
      <w:numFmt w:val="decimal"/>
      <w:lvlText w:val=""/>
      <w:lvlJc w:val="left"/>
    </w:lvl>
    <w:lvl w:ilvl="4" w:tplc="B58AFE30">
      <w:numFmt w:val="decimal"/>
      <w:lvlText w:val=""/>
      <w:lvlJc w:val="left"/>
    </w:lvl>
    <w:lvl w:ilvl="5" w:tplc="17CE8FBE">
      <w:numFmt w:val="decimal"/>
      <w:lvlText w:val=""/>
      <w:lvlJc w:val="left"/>
    </w:lvl>
    <w:lvl w:ilvl="6" w:tplc="0E3EC8C6">
      <w:numFmt w:val="decimal"/>
      <w:lvlText w:val=""/>
      <w:lvlJc w:val="left"/>
    </w:lvl>
    <w:lvl w:ilvl="7" w:tplc="DB62DDB4">
      <w:numFmt w:val="decimal"/>
      <w:lvlText w:val=""/>
      <w:lvlJc w:val="left"/>
    </w:lvl>
    <w:lvl w:ilvl="8" w:tplc="0562E22C">
      <w:numFmt w:val="decimal"/>
      <w:lvlText w:val=""/>
      <w:lvlJc w:val="left"/>
    </w:lvl>
  </w:abstractNum>
  <w:abstractNum w:abstractNumId="490" w15:restartNumberingAfterBreak="0">
    <w:nsid w:val="32DC50C2"/>
    <w:multiLevelType w:val="hybridMultilevel"/>
    <w:tmpl w:val="F16428DE"/>
    <w:lvl w:ilvl="0" w:tplc="1CD44360">
      <w:start w:val="1"/>
      <w:numFmt w:val="bullet"/>
      <w:lvlText w:val=""/>
      <w:lvlJc w:val="left"/>
      <w:pPr>
        <w:ind w:left="720" w:hanging="360"/>
      </w:pPr>
      <w:rPr>
        <w:rFonts w:ascii="Symbol" w:hAnsi="Symbol" w:hint="default"/>
      </w:rPr>
    </w:lvl>
    <w:lvl w:ilvl="1" w:tplc="44BA0F32">
      <w:numFmt w:val="decimal"/>
      <w:lvlText w:val=""/>
      <w:lvlJc w:val="left"/>
    </w:lvl>
    <w:lvl w:ilvl="2" w:tplc="5D18C944">
      <w:numFmt w:val="decimal"/>
      <w:lvlText w:val=""/>
      <w:lvlJc w:val="left"/>
    </w:lvl>
    <w:lvl w:ilvl="3" w:tplc="D6A621E2">
      <w:numFmt w:val="decimal"/>
      <w:lvlText w:val=""/>
      <w:lvlJc w:val="left"/>
    </w:lvl>
    <w:lvl w:ilvl="4" w:tplc="56DCA3AA">
      <w:numFmt w:val="decimal"/>
      <w:lvlText w:val=""/>
      <w:lvlJc w:val="left"/>
    </w:lvl>
    <w:lvl w:ilvl="5" w:tplc="2AE622F2">
      <w:numFmt w:val="decimal"/>
      <w:lvlText w:val=""/>
      <w:lvlJc w:val="left"/>
    </w:lvl>
    <w:lvl w:ilvl="6" w:tplc="21F2A32A">
      <w:numFmt w:val="decimal"/>
      <w:lvlText w:val=""/>
      <w:lvlJc w:val="left"/>
    </w:lvl>
    <w:lvl w:ilvl="7" w:tplc="F6FCB5F6">
      <w:numFmt w:val="decimal"/>
      <w:lvlText w:val=""/>
      <w:lvlJc w:val="left"/>
    </w:lvl>
    <w:lvl w:ilvl="8" w:tplc="5406E58C">
      <w:numFmt w:val="decimal"/>
      <w:lvlText w:val=""/>
      <w:lvlJc w:val="left"/>
    </w:lvl>
  </w:abstractNum>
  <w:abstractNum w:abstractNumId="491" w15:restartNumberingAfterBreak="0">
    <w:nsid w:val="32E713A8"/>
    <w:multiLevelType w:val="hybridMultilevel"/>
    <w:tmpl w:val="AA424CE2"/>
    <w:lvl w:ilvl="0" w:tplc="CD6AFFA2">
      <w:start w:val="1"/>
      <w:numFmt w:val="bullet"/>
      <w:lvlText w:val=""/>
      <w:lvlJc w:val="left"/>
      <w:pPr>
        <w:ind w:left="720" w:hanging="360"/>
      </w:pPr>
      <w:rPr>
        <w:rFonts w:ascii="Symbol" w:hAnsi="Symbol" w:hint="default"/>
      </w:rPr>
    </w:lvl>
    <w:lvl w:ilvl="1" w:tplc="B10A51E8">
      <w:numFmt w:val="decimal"/>
      <w:lvlText w:val=""/>
      <w:lvlJc w:val="left"/>
    </w:lvl>
    <w:lvl w:ilvl="2" w:tplc="840088A6">
      <w:numFmt w:val="decimal"/>
      <w:lvlText w:val=""/>
      <w:lvlJc w:val="left"/>
    </w:lvl>
    <w:lvl w:ilvl="3" w:tplc="E15E8728">
      <w:numFmt w:val="decimal"/>
      <w:lvlText w:val=""/>
      <w:lvlJc w:val="left"/>
    </w:lvl>
    <w:lvl w:ilvl="4" w:tplc="B09E1AEC">
      <w:numFmt w:val="decimal"/>
      <w:lvlText w:val=""/>
      <w:lvlJc w:val="left"/>
    </w:lvl>
    <w:lvl w:ilvl="5" w:tplc="1242C378">
      <w:numFmt w:val="decimal"/>
      <w:lvlText w:val=""/>
      <w:lvlJc w:val="left"/>
    </w:lvl>
    <w:lvl w:ilvl="6" w:tplc="47EA6016">
      <w:numFmt w:val="decimal"/>
      <w:lvlText w:val=""/>
      <w:lvlJc w:val="left"/>
    </w:lvl>
    <w:lvl w:ilvl="7" w:tplc="B6D4730E">
      <w:numFmt w:val="decimal"/>
      <w:lvlText w:val=""/>
      <w:lvlJc w:val="left"/>
    </w:lvl>
    <w:lvl w:ilvl="8" w:tplc="71D0CFFA">
      <w:numFmt w:val="decimal"/>
      <w:lvlText w:val=""/>
      <w:lvlJc w:val="left"/>
    </w:lvl>
  </w:abstractNum>
  <w:abstractNum w:abstractNumId="492" w15:restartNumberingAfterBreak="0">
    <w:nsid w:val="32F92D79"/>
    <w:multiLevelType w:val="hybridMultilevel"/>
    <w:tmpl w:val="4FFA8BD8"/>
    <w:lvl w:ilvl="0" w:tplc="72F25114">
      <w:start w:val="1"/>
      <w:numFmt w:val="bullet"/>
      <w:lvlText w:val=""/>
      <w:lvlJc w:val="left"/>
      <w:pPr>
        <w:ind w:left="720" w:hanging="360"/>
      </w:pPr>
      <w:rPr>
        <w:rFonts w:ascii="Symbol" w:hAnsi="Symbol" w:hint="default"/>
      </w:rPr>
    </w:lvl>
    <w:lvl w:ilvl="1" w:tplc="BBF42094">
      <w:numFmt w:val="decimal"/>
      <w:lvlText w:val=""/>
      <w:lvlJc w:val="left"/>
    </w:lvl>
    <w:lvl w:ilvl="2" w:tplc="2660A83A">
      <w:numFmt w:val="decimal"/>
      <w:lvlText w:val=""/>
      <w:lvlJc w:val="left"/>
    </w:lvl>
    <w:lvl w:ilvl="3" w:tplc="3F9E164E">
      <w:numFmt w:val="decimal"/>
      <w:lvlText w:val=""/>
      <w:lvlJc w:val="left"/>
    </w:lvl>
    <w:lvl w:ilvl="4" w:tplc="13E82E50">
      <w:numFmt w:val="decimal"/>
      <w:lvlText w:val=""/>
      <w:lvlJc w:val="left"/>
    </w:lvl>
    <w:lvl w:ilvl="5" w:tplc="2B1E7A9C">
      <w:numFmt w:val="decimal"/>
      <w:lvlText w:val=""/>
      <w:lvlJc w:val="left"/>
    </w:lvl>
    <w:lvl w:ilvl="6" w:tplc="239A2150">
      <w:numFmt w:val="decimal"/>
      <w:lvlText w:val=""/>
      <w:lvlJc w:val="left"/>
    </w:lvl>
    <w:lvl w:ilvl="7" w:tplc="6B062F4C">
      <w:numFmt w:val="decimal"/>
      <w:lvlText w:val=""/>
      <w:lvlJc w:val="left"/>
    </w:lvl>
    <w:lvl w:ilvl="8" w:tplc="0664808A">
      <w:numFmt w:val="decimal"/>
      <w:lvlText w:val=""/>
      <w:lvlJc w:val="left"/>
    </w:lvl>
  </w:abstractNum>
  <w:abstractNum w:abstractNumId="493" w15:restartNumberingAfterBreak="0">
    <w:nsid w:val="33016A77"/>
    <w:multiLevelType w:val="hybridMultilevel"/>
    <w:tmpl w:val="6172EC6C"/>
    <w:lvl w:ilvl="0" w:tplc="6A9E9A24">
      <w:numFmt w:val="decimal"/>
      <w:lvlText w:val=""/>
      <w:lvlJc w:val="left"/>
    </w:lvl>
    <w:lvl w:ilvl="1" w:tplc="D7661B8E">
      <w:start w:val="1"/>
      <w:numFmt w:val="bullet"/>
      <w:lvlText w:val=""/>
      <w:lvlJc w:val="left"/>
      <w:pPr>
        <w:ind w:left="1440" w:hanging="360"/>
      </w:pPr>
      <w:rPr>
        <w:rFonts w:ascii="Symbol" w:hAnsi="Symbol" w:hint="default"/>
      </w:rPr>
    </w:lvl>
    <w:lvl w:ilvl="2" w:tplc="8F8A0CD8">
      <w:numFmt w:val="decimal"/>
      <w:lvlText w:val=""/>
      <w:lvlJc w:val="left"/>
    </w:lvl>
    <w:lvl w:ilvl="3" w:tplc="2F16D296">
      <w:numFmt w:val="decimal"/>
      <w:lvlText w:val=""/>
      <w:lvlJc w:val="left"/>
    </w:lvl>
    <w:lvl w:ilvl="4" w:tplc="5F780DA4">
      <w:numFmt w:val="decimal"/>
      <w:lvlText w:val=""/>
      <w:lvlJc w:val="left"/>
    </w:lvl>
    <w:lvl w:ilvl="5" w:tplc="C0D8D1D2">
      <w:numFmt w:val="decimal"/>
      <w:lvlText w:val=""/>
      <w:lvlJc w:val="left"/>
    </w:lvl>
    <w:lvl w:ilvl="6" w:tplc="EBFA6D34">
      <w:numFmt w:val="decimal"/>
      <w:lvlText w:val=""/>
      <w:lvlJc w:val="left"/>
    </w:lvl>
    <w:lvl w:ilvl="7" w:tplc="C2DCF2CC">
      <w:numFmt w:val="decimal"/>
      <w:lvlText w:val=""/>
      <w:lvlJc w:val="left"/>
    </w:lvl>
    <w:lvl w:ilvl="8" w:tplc="38663498">
      <w:numFmt w:val="decimal"/>
      <w:lvlText w:val=""/>
      <w:lvlJc w:val="left"/>
    </w:lvl>
  </w:abstractNum>
  <w:abstractNum w:abstractNumId="494" w15:restartNumberingAfterBreak="0">
    <w:nsid w:val="330334C9"/>
    <w:multiLevelType w:val="hybridMultilevel"/>
    <w:tmpl w:val="7D20DCDE"/>
    <w:lvl w:ilvl="0" w:tplc="B0DC9354">
      <w:start w:val="1"/>
      <w:numFmt w:val="bullet"/>
      <w:lvlText w:val=""/>
      <w:lvlJc w:val="left"/>
      <w:pPr>
        <w:ind w:left="720" w:hanging="360"/>
      </w:pPr>
      <w:rPr>
        <w:rFonts w:ascii="Symbol" w:hAnsi="Symbol" w:hint="default"/>
      </w:rPr>
    </w:lvl>
    <w:lvl w:ilvl="1" w:tplc="67FEE08C">
      <w:numFmt w:val="decimal"/>
      <w:lvlText w:val=""/>
      <w:lvlJc w:val="left"/>
    </w:lvl>
    <w:lvl w:ilvl="2" w:tplc="E5A8D902">
      <w:numFmt w:val="decimal"/>
      <w:lvlText w:val=""/>
      <w:lvlJc w:val="left"/>
    </w:lvl>
    <w:lvl w:ilvl="3" w:tplc="9EA6D442">
      <w:numFmt w:val="decimal"/>
      <w:lvlText w:val=""/>
      <w:lvlJc w:val="left"/>
    </w:lvl>
    <w:lvl w:ilvl="4" w:tplc="90545444">
      <w:numFmt w:val="decimal"/>
      <w:lvlText w:val=""/>
      <w:lvlJc w:val="left"/>
    </w:lvl>
    <w:lvl w:ilvl="5" w:tplc="13807FFA">
      <w:numFmt w:val="decimal"/>
      <w:lvlText w:val=""/>
      <w:lvlJc w:val="left"/>
    </w:lvl>
    <w:lvl w:ilvl="6" w:tplc="FDF2D674">
      <w:numFmt w:val="decimal"/>
      <w:lvlText w:val=""/>
      <w:lvlJc w:val="left"/>
    </w:lvl>
    <w:lvl w:ilvl="7" w:tplc="E086F352">
      <w:numFmt w:val="decimal"/>
      <w:lvlText w:val=""/>
      <w:lvlJc w:val="left"/>
    </w:lvl>
    <w:lvl w:ilvl="8" w:tplc="1C5EA444">
      <w:numFmt w:val="decimal"/>
      <w:lvlText w:val=""/>
      <w:lvlJc w:val="left"/>
    </w:lvl>
  </w:abstractNum>
  <w:abstractNum w:abstractNumId="495" w15:restartNumberingAfterBreak="0">
    <w:nsid w:val="33144EBE"/>
    <w:multiLevelType w:val="hybridMultilevel"/>
    <w:tmpl w:val="2F58C2DA"/>
    <w:lvl w:ilvl="0" w:tplc="AAAC2096">
      <w:start w:val="1"/>
      <w:numFmt w:val="bullet"/>
      <w:lvlText w:val=""/>
      <w:lvlJc w:val="left"/>
      <w:pPr>
        <w:ind w:left="720" w:hanging="360"/>
      </w:pPr>
      <w:rPr>
        <w:rFonts w:ascii="Symbol" w:hAnsi="Symbol" w:hint="default"/>
      </w:rPr>
    </w:lvl>
    <w:lvl w:ilvl="1" w:tplc="840E9544">
      <w:numFmt w:val="decimal"/>
      <w:lvlText w:val=""/>
      <w:lvlJc w:val="left"/>
    </w:lvl>
    <w:lvl w:ilvl="2" w:tplc="C220DB28">
      <w:numFmt w:val="decimal"/>
      <w:lvlText w:val=""/>
      <w:lvlJc w:val="left"/>
    </w:lvl>
    <w:lvl w:ilvl="3" w:tplc="4CA6D898">
      <w:numFmt w:val="decimal"/>
      <w:lvlText w:val=""/>
      <w:lvlJc w:val="left"/>
    </w:lvl>
    <w:lvl w:ilvl="4" w:tplc="B854ECC0">
      <w:numFmt w:val="decimal"/>
      <w:lvlText w:val=""/>
      <w:lvlJc w:val="left"/>
    </w:lvl>
    <w:lvl w:ilvl="5" w:tplc="180CD416">
      <w:numFmt w:val="decimal"/>
      <w:lvlText w:val=""/>
      <w:lvlJc w:val="left"/>
    </w:lvl>
    <w:lvl w:ilvl="6" w:tplc="F7C019EC">
      <w:numFmt w:val="decimal"/>
      <w:lvlText w:val=""/>
      <w:lvlJc w:val="left"/>
    </w:lvl>
    <w:lvl w:ilvl="7" w:tplc="E0C8EF42">
      <w:numFmt w:val="decimal"/>
      <w:lvlText w:val=""/>
      <w:lvlJc w:val="left"/>
    </w:lvl>
    <w:lvl w:ilvl="8" w:tplc="53D6C986">
      <w:numFmt w:val="decimal"/>
      <w:lvlText w:val=""/>
      <w:lvlJc w:val="left"/>
    </w:lvl>
  </w:abstractNum>
  <w:abstractNum w:abstractNumId="496" w15:restartNumberingAfterBreak="0">
    <w:nsid w:val="334114D3"/>
    <w:multiLevelType w:val="hybridMultilevel"/>
    <w:tmpl w:val="30A240F8"/>
    <w:lvl w:ilvl="0" w:tplc="E49A7BAA">
      <w:start w:val="1"/>
      <w:numFmt w:val="bullet"/>
      <w:lvlText w:val=""/>
      <w:lvlJc w:val="left"/>
      <w:pPr>
        <w:ind w:left="720" w:hanging="360"/>
      </w:pPr>
      <w:rPr>
        <w:rFonts w:ascii="Symbol" w:hAnsi="Symbol" w:hint="default"/>
      </w:rPr>
    </w:lvl>
    <w:lvl w:ilvl="1" w:tplc="9D86951C">
      <w:numFmt w:val="decimal"/>
      <w:lvlText w:val=""/>
      <w:lvlJc w:val="left"/>
    </w:lvl>
    <w:lvl w:ilvl="2" w:tplc="BDCE0D34">
      <w:numFmt w:val="decimal"/>
      <w:lvlText w:val=""/>
      <w:lvlJc w:val="left"/>
    </w:lvl>
    <w:lvl w:ilvl="3" w:tplc="F28A42A2">
      <w:numFmt w:val="decimal"/>
      <w:lvlText w:val=""/>
      <w:lvlJc w:val="left"/>
    </w:lvl>
    <w:lvl w:ilvl="4" w:tplc="9C90C602">
      <w:numFmt w:val="decimal"/>
      <w:lvlText w:val=""/>
      <w:lvlJc w:val="left"/>
    </w:lvl>
    <w:lvl w:ilvl="5" w:tplc="B4664528">
      <w:numFmt w:val="decimal"/>
      <w:lvlText w:val=""/>
      <w:lvlJc w:val="left"/>
    </w:lvl>
    <w:lvl w:ilvl="6" w:tplc="943EAAFA">
      <w:numFmt w:val="decimal"/>
      <w:lvlText w:val=""/>
      <w:lvlJc w:val="left"/>
    </w:lvl>
    <w:lvl w:ilvl="7" w:tplc="AFC80F8E">
      <w:numFmt w:val="decimal"/>
      <w:lvlText w:val=""/>
      <w:lvlJc w:val="left"/>
    </w:lvl>
    <w:lvl w:ilvl="8" w:tplc="35B494D8">
      <w:numFmt w:val="decimal"/>
      <w:lvlText w:val=""/>
      <w:lvlJc w:val="left"/>
    </w:lvl>
  </w:abstractNum>
  <w:abstractNum w:abstractNumId="497" w15:restartNumberingAfterBreak="0">
    <w:nsid w:val="33493ED4"/>
    <w:multiLevelType w:val="hybridMultilevel"/>
    <w:tmpl w:val="08B6921A"/>
    <w:lvl w:ilvl="0" w:tplc="8298A0BC">
      <w:start w:val="1"/>
      <w:numFmt w:val="bullet"/>
      <w:lvlText w:val=""/>
      <w:lvlJc w:val="left"/>
      <w:pPr>
        <w:ind w:left="720" w:hanging="360"/>
      </w:pPr>
      <w:rPr>
        <w:rFonts w:ascii="Symbol" w:hAnsi="Symbol" w:hint="default"/>
      </w:rPr>
    </w:lvl>
    <w:lvl w:ilvl="1" w:tplc="ECD0A314">
      <w:numFmt w:val="decimal"/>
      <w:lvlText w:val=""/>
      <w:lvlJc w:val="left"/>
    </w:lvl>
    <w:lvl w:ilvl="2" w:tplc="D2582C88">
      <w:numFmt w:val="decimal"/>
      <w:lvlText w:val=""/>
      <w:lvlJc w:val="left"/>
    </w:lvl>
    <w:lvl w:ilvl="3" w:tplc="B1E6321A">
      <w:numFmt w:val="decimal"/>
      <w:lvlText w:val=""/>
      <w:lvlJc w:val="left"/>
    </w:lvl>
    <w:lvl w:ilvl="4" w:tplc="91C81F96">
      <w:numFmt w:val="decimal"/>
      <w:lvlText w:val=""/>
      <w:lvlJc w:val="left"/>
    </w:lvl>
    <w:lvl w:ilvl="5" w:tplc="0C8213EE">
      <w:numFmt w:val="decimal"/>
      <w:lvlText w:val=""/>
      <w:lvlJc w:val="left"/>
    </w:lvl>
    <w:lvl w:ilvl="6" w:tplc="EF16ABFC">
      <w:numFmt w:val="decimal"/>
      <w:lvlText w:val=""/>
      <w:lvlJc w:val="left"/>
    </w:lvl>
    <w:lvl w:ilvl="7" w:tplc="59B04B58">
      <w:numFmt w:val="decimal"/>
      <w:lvlText w:val=""/>
      <w:lvlJc w:val="left"/>
    </w:lvl>
    <w:lvl w:ilvl="8" w:tplc="F47E3726">
      <w:numFmt w:val="decimal"/>
      <w:lvlText w:val=""/>
      <w:lvlJc w:val="left"/>
    </w:lvl>
  </w:abstractNum>
  <w:abstractNum w:abstractNumId="498" w15:restartNumberingAfterBreak="0">
    <w:nsid w:val="33503F5C"/>
    <w:multiLevelType w:val="hybridMultilevel"/>
    <w:tmpl w:val="DD382764"/>
    <w:lvl w:ilvl="0" w:tplc="8A7A12F8">
      <w:start w:val="1"/>
      <w:numFmt w:val="bullet"/>
      <w:lvlText w:val=""/>
      <w:lvlJc w:val="left"/>
      <w:pPr>
        <w:ind w:left="720" w:hanging="360"/>
      </w:pPr>
      <w:rPr>
        <w:rFonts w:ascii="Symbol" w:hAnsi="Symbol" w:hint="default"/>
      </w:rPr>
    </w:lvl>
    <w:lvl w:ilvl="1" w:tplc="32D80FE8">
      <w:numFmt w:val="decimal"/>
      <w:lvlText w:val=""/>
      <w:lvlJc w:val="left"/>
    </w:lvl>
    <w:lvl w:ilvl="2" w:tplc="93F21D18">
      <w:numFmt w:val="decimal"/>
      <w:lvlText w:val=""/>
      <w:lvlJc w:val="left"/>
    </w:lvl>
    <w:lvl w:ilvl="3" w:tplc="6AE0B546">
      <w:numFmt w:val="decimal"/>
      <w:lvlText w:val=""/>
      <w:lvlJc w:val="left"/>
    </w:lvl>
    <w:lvl w:ilvl="4" w:tplc="ACF0F10E">
      <w:numFmt w:val="decimal"/>
      <w:lvlText w:val=""/>
      <w:lvlJc w:val="left"/>
    </w:lvl>
    <w:lvl w:ilvl="5" w:tplc="40DA6C80">
      <w:numFmt w:val="decimal"/>
      <w:lvlText w:val=""/>
      <w:lvlJc w:val="left"/>
    </w:lvl>
    <w:lvl w:ilvl="6" w:tplc="FE522B6E">
      <w:numFmt w:val="decimal"/>
      <w:lvlText w:val=""/>
      <w:lvlJc w:val="left"/>
    </w:lvl>
    <w:lvl w:ilvl="7" w:tplc="AA5868C8">
      <w:numFmt w:val="decimal"/>
      <w:lvlText w:val=""/>
      <w:lvlJc w:val="left"/>
    </w:lvl>
    <w:lvl w:ilvl="8" w:tplc="4224C4F4">
      <w:numFmt w:val="decimal"/>
      <w:lvlText w:val=""/>
      <w:lvlJc w:val="left"/>
    </w:lvl>
  </w:abstractNum>
  <w:abstractNum w:abstractNumId="499" w15:restartNumberingAfterBreak="0">
    <w:nsid w:val="3350530A"/>
    <w:multiLevelType w:val="hybridMultilevel"/>
    <w:tmpl w:val="C03EB0D4"/>
    <w:lvl w:ilvl="0" w:tplc="420E726A">
      <w:start w:val="1"/>
      <w:numFmt w:val="bullet"/>
      <w:lvlText w:val=""/>
      <w:lvlJc w:val="left"/>
      <w:pPr>
        <w:ind w:left="720" w:hanging="360"/>
      </w:pPr>
      <w:rPr>
        <w:rFonts w:ascii="Symbol" w:hAnsi="Symbol" w:hint="default"/>
      </w:rPr>
    </w:lvl>
    <w:lvl w:ilvl="1" w:tplc="AD88B900">
      <w:numFmt w:val="decimal"/>
      <w:lvlText w:val=""/>
      <w:lvlJc w:val="left"/>
    </w:lvl>
    <w:lvl w:ilvl="2" w:tplc="AD5E5DC2">
      <w:numFmt w:val="decimal"/>
      <w:lvlText w:val=""/>
      <w:lvlJc w:val="left"/>
    </w:lvl>
    <w:lvl w:ilvl="3" w:tplc="473A0AEC">
      <w:numFmt w:val="decimal"/>
      <w:lvlText w:val=""/>
      <w:lvlJc w:val="left"/>
    </w:lvl>
    <w:lvl w:ilvl="4" w:tplc="45AE8664">
      <w:numFmt w:val="decimal"/>
      <w:lvlText w:val=""/>
      <w:lvlJc w:val="left"/>
    </w:lvl>
    <w:lvl w:ilvl="5" w:tplc="3130895A">
      <w:numFmt w:val="decimal"/>
      <w:lvlText w:val=""/>
      <w:lvlJc w:val="left"/>
    </w:lvl>
    <w:lvl w:ilvl="6" w:tplc="A5288A4C">
      <w:numFmt w:val="decimal"/>
      <w:lvlText w:val=""/>
      <w:lvlJc w:val="left"/>
    </w:lvl>
    <w:lvl w:ilvl="7" w:tplc="2C726E0A">
      <w:numFmt w:val="decimal"/>
      <w:lvlText w:val=""/>
      <w:lvlJc w:val="left"/>
    </w:lvl>
    <w:lvl w:ilvl="8" w:tplc="DC5AFF8C">
      <w:numFmt w:val="decimal"/>
      <w:lvlText w:val=""/>
      <w:lvlJc w:val="left"/>
    </w:lvl>
  </w:abstractNum>
  <w:abstractNum w:abstractNumId="500" w15:restartNumberingAfterBreak="0">
    <w:nsid w:val="33737136"/>
    <w:multiLevelType w:val="hybridMultilevel"/>
    <w:tmpl w:val="C512E572"/>
    <w:lvl w:ilvl="0" w:tplc="E26C0A44">
      <w:start w:val="1"/>
      <w:numFmt w:val="bullet"/>
      <w:lvlText w:val=""/>
      <w:lvlJc w:val="left"/>
      <w:pPr>
        <w:ind w:left="720" w:hanging="360"/>
      </w:pPr>
      <w:rPr>
        <w:rFonts w:ascii="Symbol" w:hAnsi="Symbol" w:hint="default"/>
      </w:rPr>
    </w:lvl>
    <w:lvl w:ilvl="1" w:tplc="40D23970">
      <w:numFmt w:val="decimal"/>
      <w:lvlText w:val=""/>
      <w:lvlJc w:val="left"/>
    </w:lvl>
    <w:lvl w:ilvl="2" w:tplc="0370187C">
      <w:numFmt w:val="decimal"/>
      <w:lvlText w:val=""/>
      <w:lvlJc w:val="left"/>
    </w:lvl>
    <w:lvl w:ilvl="3" w:tplc="989E915E">
      <w:numFmt w:val="decimal"/>
      <w:lvlText w:val=""/>
      <w:lvlJc w:val="left"/>
    </w:lvl>
    <w:lvl w:ilvl="4" w:tplc="4732B1C8">
      <w:numFmt w:val="decimal"/>
      <w:lvlText w:val=""/>
      <w:lvlJc w:val="left"/>
    </w:lvl>
    <w:lvl w:ilvl="5" w:tplc="F634B146">
      <w:numFmt w:val="decimal"/>
      <w:lvlText w:val=""/>
      <w:lvlJc w:val="left"/>
    </w:lvl>
    <w:lvl w:ilvl="6" w:tplc="6908F402">
      <w:numFmt w:val="decimal"/>
      <w:lvlText w:val=""/>
      <w:lvlJc w:val="left"/>
    </w:lvl>
    <w:lvl w:ilvl="7" w:tplc="7F6CF3BA">
      <w:numFmt w:val="decimal"/>
      <w:lvlText w:val=""/>
      <w:lvlJc w:val="left"/>
    </w:lvl>
    <w:lvl w:ilvl="8" w:tplc="EF38F656">
      <w:numFmt w:val="decimal"/>
      <w:lvlText w:val=""/>
      <w:lvlJc w:val="left"/>
    </w:lvl>
  </w:abstractNum>
  <w:abstractNum w:abstractNumId="501" w15:restartNumberingAfterBreak="0">
    <w:nsid w:val="338364CB"/>
    <w:multiLevelType w:val="hybridMultilevel"/>
    <w:tmpl w:val="0BBA2068"/>
    <w:lvl w:ilvl="0" w:tplc="AF0AB4AE">
      <w:start w:val="1"/>
      <w:numFmt w:val="bullet"/>
      <w:lvlText w:val=""/>
      <w:lvlJc w:val="left"/>
      <w:pPr>
        <w:ind w:left="720" w:hanging="360"/>
      </w:pPr>
      <w:rPr>
        <w:rFonts w:ascii="Symbol" w:hAnsi="Symbol" w:hint="default"/>
      </w:rPr>
    </w:lvl>
    <w:lvl w:ilvl="1" w:tplc="F2A424E8">
      <w:numFmt w:val="decimal"/>
      <w:lvlText w:val=""/>
      <w:lvlJc w:val="left"/>
    </w:lvl>
    <w:lvl w:ilvl="2" w:tplc="44B8B998">
      <w:numFmt w:val="decimal"/>
      <w:lvlText w:val=""/>
      <w:lvlJc w:val="left"/>
    </w:lvl>
    <w:lvl w:ilvl="3" w:tplc="B4D01DF0">
      <w:numFmt w:val="decimal"/>
      <w:lvlText w:val=""/>
      <w:lvlJc w:val="left"/>
    </w:lvl>
    <w:lvl w:ilvl="4" w:tplc="F5C05FC0">
      <w:numFmt w:val="decimal"/>
      <w:lvlText w:val=""/>
      <w:lvlJc w:val="left"/>
    </w:lvl>
    <w:lvl w:ilvl="5" w:tplc="9BDAA05A">
      <w:numFmt w:val="decimal"/>
      <w:lvlText w:val=""/>
      <w:lvlJc w:val="left"/>
    </w:lvl>
    <w:lvl w:ilvl="6" w:tplc="2EAA76C4">
      <w:numFmt w:val="decimal"/>
      <w:lvlText w:val=""/>
      <w:lvlJc w:val="left"/>
    </w:lvl>
    <w:lvl w:ilvl="7" w:tplc="C04A6934">
      <w:numFmt w:val="decimal"/>
      <w:lvlText w:val=""/>
      <w:lvlJc w:val="left"/>
    </w:lvl>
    <w:lvl w:ilvl="8" w:tplc="78E0BD6A">
      <w:numFmt w:val="decimal"/>
      <w:lvlText w:val=""/>
      <w:lvlJc w:val="left"/>
    </w:lvl>
  </w:abstractNum>
  <w:abstractNum w:abstractNumId="502" w15:restartNumberingAfterBreak="0">
    <w:nsid w:val="33CF401F"/>
    <w:multiLevelType w:val="hybridMultilevel"/>
    <w:tmpl w:val="363021FA"/>
    <w:lvl w:ilvl="0" w:tplc="FA6801F2">
      <w:start w:val="1"/>
      <w:numFmt w:val="bullet"/>
      <w:lvlText w:val=""/>
      <w:lvlJc w:val="left"/>
      <w:pPr>
        <w:ind w:left="720" w:hanging="360"/>
      </w:pPr>
      <w:rPr>
        <w:rFonts w:ascii="Symbol" w:hAnsi="Symbol" w:hint="default"/>
      </w:rPr>
    </w:lvl>
    <w:lvl w:ilvl="1" w:tplc="F6523CAE">
      <w:numFmt w:val="decimal"/>
      <w:lvlText w:val=""/>
      <w:lvlJc w:val="left"/>
    </w:lvl>
    <w:lvl w:ilvl="2" w:tplc="35521256">
      <w:numFmt w:val="decimal"/>
      <w:lvlText w:val=""/>
      <w:lvlJc w:val="left"/>
    </w:lvl>
    <w:lvl w:ilvl="3" w:tplc="E6AE5B68">
      <w:numFmt w:val="decimal"/>
      <w:lvlText w:val=""/>
      <w:lvlJc w:val="left"/>
    </w:lvl>
    <w:lvl w:ilvl="4" w:tplc="0422E384">
      <w:numFmt w:val="decimal"/>
      <w:lvlText w:val=""/>
      <w:lvlJc w:val="left"/>
    </w:lvl>
    <w:lvl w:ilvl="5" w:tplc="F0DA6124">
      <w:numFmt w:val="decimal"/>
      <w:lvlText w:val=""/>
      <w:lvlJc w:val="left"/>
    </w:lvl>
    <w:lvl w:ilvl="6" w:tplc="0136AC18">
      <w:numFmt w:val="decimal"/>
      <w:lvlText w:val=""/>
      <w:lvlJc w:val="left"/>
    </w:lvl>
    <w:lvl w:ilvl="7" w:tplc="A3626724">
      <w:numFmt w:val="decimal"/>
      <w:lvlText w:val=""/>
      <w:lvlJc w:val="left"/>
    </w:lvl>
    <w:lvl w:ilvl="8" w:tplc="6DC21B12">
      <w:numFmt w:val="decimal"/>
      <w:lvlText w:val=""/>
      <w:lvlJc w:val="left"/>
    </w:lvl>
  </w:abstractNum>
  <w:abstractNum w:abstractNumId="503" w15:restartNumberingAfterBreak="0">
    <w:nsid w:val="33D236C2"/>
    <w:multiLevelType w:val="hybridMultilevel"/>
    <w:tmpl w:val="E4A2D754"/>
    <w:lvl w:ilvl="0" w:tplc="60F05B1E">
      <w:start w:val="1"/>
      <w:numFmt w:val="bullet"/>
      <w:lvlText w:val=""/>
      <w:lvlJc w:val="left"/>
      <w:pPr>
        <w:ind w:left="720" w:hanging="360"/>
      </w:pPr>
      <w:rPr>
        <w:rFonts w:ascii="Symbol" w:hAnsi="Symbol" w:hint="default"/>
      </w:rPr>
    </w:lvl>
    <w:lvl w:ilvl="1" w:tplc="F468DBEE">
      <w:numFmt w:val="decimal"/>
      <w:lvlText w:val=""/>
      <w:lvlJc w:val="left"/>
    </w:lvl>
    <w:lvl w:ilvl="2" w:tplc="F8E61306">
      <w:numFmt w:val="decimal"/>
      <w:lvlText w:val=""/>
      <w:lvlJc w:val="left"/>
    </w:lvl>
    <w:lvl w:ilvl="3" w:tplc="0B08AD98">
      <w:numFmt w:val="decimal"/>
      <w:lvlText w:val=""/>
      <w:lvlJc w:val="left"/>
    </w:lvl>
    <w:lvl w:ilvl="4" w:tplc="3EA8320C">
      <w:numFmt w:val="decimal"/>
      <w:lvlText w:val=""/>
      <w:lvlJc w:val="left"/>
    </w:lvl>
    <w:lvl w:ilvl="5" w:tplc="570CDC04">
      <w:numFmt w:val="decimal"/>
      <w:lvlText w:val=""/>
      <w:lvlJc w:val="left"/>
    </w:lvl>
    <w:lvl w:ilvl="6" w:tplc="460829BA">
      <w:numFmt w:val="decimal"/>
      <w:lvlText w:val=""/>
      <w:lvlJc w:val="left"/>
    </w:lvl>
    <w:lvl w:ilvl="7" w:tplc="0CBAA11A">
      <w:numFmt w:val="decimal"/>
      <w:lvlText w:val=""/>
      <w:lvlJc w:val="left"/>
    </w:lvl>
    <w:lvl w:ilvl="8" w:tplc="CA14E29E">
      <w:numFmt w:val="decimal"/>
      <w:lvlText w:val=""/>
      <w:lvlJc w:val="left"/>
    </w:lvl>
  </w:abstractNum>
  <w:abstractNum w:abstractNumId="504" w15:restartNumberingAfterBreak="0">
    <w:nsid w:val="33FA2C0B"/>
    <w:multiLevelType w:val="hybridMultilevel"/>
    <w:tmpl w:val="C10EABF8"/>
    <w:lvl w:ilvl="0" w:tplc="F8FA3F7A">
      <w:start w:val="1"/>
      <w:numFmt w:val="bullet"/>
      <w:lvlText w:val=""/>
      <w:lvlJc w:val="left"/>
      <w:pPr>
        <w:ind w:left="720" w:hanging="360"/>
      </w:pPr>
      <w:rPr>
        <w:rFonts w:ascii="Symbol" w:hAnsi="Symbol" w:hint="default"/>
      </w:rPr>
    </w:lvl>
    <w:lvl w:ilvl="1" w:tplc="8154DFD6">
      <w:numFmt w:val="decimal"/>
      <w:lvlText w:val=""/>
      <w:lvlJc w:val="left"/>
    </w:lvl>
    <w:lvl w:ilvl="2" w:tplc="B8680CA6">
      <w:numFmt w:val="decimal"/>
      <w:lvlText w:val=""/>
      <w:lvlJc w:val="left"/>
    </w:lvl>
    <w:lvl w:ilvl="3" w:tplc="A41EA104">
      <w:numFmt w:val="decimal"/>
      <w:lvlText w:val=""/>
      <w:lvlJc w:val="left"/>
    </w:lvl>
    <w:lvl w:ilvl="4" w:tplc="993E54E0">
      <w:numFmt w:val="decimal"/>
      <w:lvlText w:val=""/>
      <w:lvlJc w:val="left"/>
    </w:lvl>
    <w:lvl w:ilvl="5" w:tplc="6D9C77A6">
      <w:numFmt w:val="decimal"/>
      <w:lvlText w:val=""/>
      <w:lvlJc w:val="left"/>
    </w:lvl>
    <w:lvl w:ilvl="6" w:tplc="7790599C">
      <w:numFmt w:val="decimal"/>
      <w:lvlText w:val=""/>
      <w:lvlJc w:val="left"/>
    </w:lvl>
    <w:lvl w:ilvl="7" w:tplc="3ED4C974">
      <w:numFmt w:val="decimal"/>
      <w:lvlText w:val=""/>
      <w:lvlJc w:val="left"/>
    </w:lvl>
    <w:lvl w:ilvl="8" w:tplc="DAF20AB2">
      <w:numFmt w:val="decimal"/>
      <w:lvlText w:val=""/>
      <w:lvlJc w:val="left"/>
    </w:lvl>
  </w:abstractNum>
  <w:abstractNum w:abstractNumId="505" w15:restartNumberingAfterBreak="0">
    <w:nsid w:val="34112A3E"/>
    <w:multiLevelType w:val="hybridMultilevel"/>
    <w:tmpl w:val="990CCB0E"/>
    <w:lvl w:ilvl="0" w:tplc="8236F37A">
      <w:start w:val="1"/>
      <w:numFmt w:val="bullet"/>
      <w:lvlText w:val=""/>
      <w:lvlJc w:val="left"/>
      <w:pPr>
        <w:ind w:left="720" w:hanging="360"/>
      </w:pPr>
      <w:rPr>
        <w:rFonts w:ascii="Symbol" w:hAnsi="Symbol" w:hint="default"/>
      </w:rPr>
    </w:lvl>
    <w:lvl w:ilvl="1" w:tplc="334C7612">
      <w:numFmt w:val="decimal"/>
      <w:lvlText w:val=""/>
      <w:lvlJc w:val="left"/>
    </w:lvl>
    <w:lvl w:ilvl="2" w:tplc="16CAB98A">
      <w:numFmt w:val="decimal"/>
      <w:lvlText w:val=""/>
      <w:lvlJc w:val="left"/>
    </w:lvl>
    <w:lvl w:ilvl="3" w:tplc="6A9ECCCA">
      <w:numFmt w:val="decimal"/>
      <w:lvlText w:val=""/>
      <w:lvlJc w:val="left"/>
    </w:lvl>
    <w:lvl w:ilvl="4" w:tplc="F526787E">
      <w:numFmt w:val="decimal"/>
      <w:lvlText w:val=""/>
      <w:lvlJc w:val="left"/>
    </w:lvl>
    <w:lvl w:ilvl="5" w:tplc="ED3CCC9C">
      <w:numFmt w:val="decimal"/>
      <w:lvlText w:val=""/>
      <w:lvlJc w:val="left"/>
    </w:lvl>
    <w:lvl w:ilvl="6" w:tplc="3AC4C0E8">
      <w:numFmt w:val="decimal"/>
      <w:lvlText w:val=""/>
      <w:lvlJc w:val="left"/>
    </w:lvl>
    <w:lvl w:ilvl="7" w:tplc="11902C5A">
      <w:numFmt w:val="decimal"/>
      <w:lvlText w:val=""/>
      <w:lvlJc w:val="left"/>
    </w:lvl>
    <w:lvl w:ilvl="8" w:tplc="C50E5E38">
      <w:numFmt w:val="decimal"/>
      <w:lvlText w:val=""/>
      <w:lvlJc w:val="left"/>
    </w:lvl>
  </w:abstractNum>
  <w:abstractNum w:abstractNumId="506" w15:restartNumberingAfterBreak="0">
    <w:nsid w:val="342C4B98"/>
    <w:multiLevelType w:val="hybridMultilevel"/>
    <w:tmpl w:val="B9DEFF42"/>
    <w:lvl w:ilvl="0" w:tplc="2DFC8BB0">
      <w:start w:val="1"/>
      <w:numFmt w:val="bullet"/>
      <w:lvlText w:val=""/>
      <w:lvlJc w:val="left"/>
      <w:pPr>
        <w:ind w:left="720" w:hanging="360"/>
      </w:pPr>
      <w:rPr>
        <w:rFonts w:ascii="Symbol" w:hAnsi="Symbol" w:hint="default"/>
      </w:rPr>
    </w:lvl>
    <w:lvl w:ilvl="1" w:tplc="87C64FFE">
      <w:numFmt w:val="decimal"/>
      <w:lvlText w:val=""/>
      <w:lvlJc w:val="left"/>
    </w:lvl>
    <w:lvl w:ilvl="2" w:tplc="365248C8">
      <w:numFmt w:val="decimal"/>
      <w:lvlText w:val=""/>
      <w:lvlJc w:val="left"/>
    </w:lvl>
    <w:lvl w:ilvl="3" w:tplc="B9381712">
      <w:numFmt w:val="decimal"/>
      <w:lvlText w:val=""/>
      <w:lvlJc w:val="left"/>
    </w:lvl>
    <w:lvl w:ilvl="4" w:tplc="4FBC354A">
      <w:numFmt w:val="decimal"/>
      <w:lvlText w:val=""/>
      <w:lvlJc w:val="left"/>
    </w:lvl>
    <w:lvl w:ilvl="5" w:tplc="C21EAFA8">
      <w:numFmt w:val="decimal"/>
      <w:lvlText w:val=""/>
      <w:lvlJc w:val="left"/>
    </w:lvl>
    <w:lvl w:ilvl="6" w:tplc="6B44822E">
      <w:numFmt w:val="decimal"/>
      <w:lvlText w:val=""/>
      <w:lvlJc w:val="left"/>
    </w:lvl>
    <w:lvl w:ilvl="7" w:tplc="7D9C6F42">
      <w:numFmt w:val="decimal"/>
      <w:lvlText w:val=""/>
      <w:lvlJc w:val="left"/>
    </w:lvl>
    <w:lvl w:ilvl="8" w:tplc="ACEEBA66">
      <w:numFmt w:val="decimal"/>
      <w:lvlText w:val=""/>
      <w:lvlJc w:val="left"/>
    </w:lvl>
  </w:abstractNum>
  <w:abstractNum w:abstractNumId="507" w15:restartNumberingAfterBreak="0">
    <w:nsid w:val="346077A9"/>
    <w:multiLevelType w:val="hybridMultilevel"/>
    <w:tmpl w:val="C2A83FC2"/>
    <w:lvl w:ilvl="0" w:tplc="7C8C8F8A">
      <w:start w:val="1"/>
      <w:numFmt w:val="bullet"/>
      <w:lvlText w:val=""/>
      <w:lvlJc w:val="left"/>
      <w:pPr>
        <w:ind w:left="720" w:hanging="360"/>
      </w:pPr>
      <w:rPr>
        <w:rFonts w:ascii="Symbol" w:hAnsi="Symbol" w:hint="default"/>
      </w:rPr>
    </w:lvl>
    <w:lvl w:ilvl="1" w:tplc="43C40B0E">
      <w:numFmt w:val="decimal"/>
      <w:lvlText w:val=""/>
      <w:lvlJc w:val="left"/>
    </w:lvl>
    <w:lvl w:ilvl="2" w:tplc="9C5E4B9A">
      <w:numFmt w:val="decimal"/>
      <w:lvlText w:val=""/>
      <w:lvlJc w:val="left"/>
    </w:lvl>
    <w:lvl w:ilvl="3" w:tplc="DBB686AA">
      <w:numFmt w:val="decimal"/>
      <w:lvlText w:val=""/>
      <w:lvlJc w:val="left"/>
    </w:lvl>
    <w:lvl w:ilvl="4" w:tplc="BA40C596">
      <w:numFmt w:val="decimal"/>
      <w:lvlText w:val=""/>
      <w:lvlJc w:val="left"/>
    </w:lvl>
    <w:lvl w:ilvl="5" w:tplc="B03EC6DA">
      <w:numFmt w:val="decimal"/>
      <w:lvlText w:val=""/>
      <w:lvlJc w:val="left"/>
    </w:lvl>
    <w:lvl w:ilvl="6" w:tplc="1474F8C2">
      <w:numFmt w:val="decimal"/>
      <w:lvlText w:val=""/>
      <w:lvlJc w:val="left"/>
    </w:lvl>
    <w:lvl w:ilvl="7" w:tplc="E3D05774">
      <w:numFmt w:val="decimal"/>
      <w:lvlText w:val=""/>
      <w:lvlJc w:val="left"/>
    </w:lvl>
    <w:lvl w:ilvl="8" w:tplc="58F4121E">
      <w:numFmt w:val="decimal"/>
      <w:lvlText w:val=""/>
      <w:lvlJc w:val="left"/>
    </w:lvl>
  </w:abstractNum>
  <w:abstractNum w:abstractNumId="508" w15:restartNumberingAfterBreak="0">
    <w:nsid w:val="347C26AE"/>
    <w:multiLevelType w:val="hybridMultilevel"/>
    <w:tmpl w:val="5338E8C8"/>
    <w:lvl w:ilvl="0" w:tplc="FECA2E22">
      <w:start w:val="1"/>
      <w:numFmt w:val="bullet"/>
      <w:lvlText w:val=""/>
      <w:lvlJc w:val="left"/>
      <w:pPr>
        <w:ind w:left="720" w:hanging="360"/>
      </w:pPr>
      <w:rPr>
        <w:rFonts w:ascii="Symbol" w:hAnsi="Symbol" w:hint="default"/>
      </w:rPr>
    </w:lvl>
    <w:lvl w:ilvl="1" w:tplc="523053E0">
      <w:numFmt w:val="decimal"/>
      <w:lvlText w:val=""/>
      <w:lvlJc w:val="left"/>
    </w:lvl>
    <w:lvl w:ilvl="2" w:tplc="232E0F66">
      <w:numFmt w:val="decimal"/>
      <w:lvlText w:val=""/>
      <w:lvlJc w:val="left"/>
    </w:lvl>
    <w:lvl w:ilvl="3" w:tplc="383250A2">
      <w:numFmt w:val="decimal"/>
      <w:lvlText w:val=""/>
      <w:lvlJc w:val="left"/>
    </w:lvl>
    <w:lvl w:ilvl="4" w:tplc="B55E64FC">
      <w:numFmt w:val="decimal"/>
      <w:lvlText w:val=""/>
      <w:lvlJc w:val="left"/>
    </w:lvl>
    <w:lvl w:ilvl="5" w:tplc="8C340F1A">
      <w:numFmt w:val="decimal"/>
      <w:lvlText w:val=""/>
      <w:lvlJc w:val="left"/>
    </w:lvl>
    <w:lvl w:ilvl="6" w:tplc="D6BC999A">
      <w:numFmt w:val="decimal"/>
      <w:lvlText w:val=""/>
      <w:lvlJc w:val="left"/>
    </w:lvl>
    <w:lvl w:ilvl="7" w:tplc="2720682E">
      <w:numFmt w:val="decimal"/>
      <w:lvlText w:val=""/>
      <w:lvlJc w:val="left"/>
    </w:lvl>
    <w:lvl w:ilvl="8" w:tplc="4224A9D0">
      <w:numFmt w:val="decimal"/>
      <w:lvlText w:val=""/>
      <w:lvlJc w:val="left"/>
    </w:lvl>
  </w:abstractNum>
  <w:abstractNum w:abstractNumId="509" w15:restartNumberingAfterBreak="0">
    <w:nsid w:val="348E6DC8"/>
    <w:multiLevelType w:val="hybridMultilevel"/>
    <w:tmpl w:val="9F8E7738"/>
    <w:lvl w:ilvl="0" w:tplc="40E06748">
      <w:start w:val="1"/>
      <w:numFmt w:val="bullet"/>
      <w:lvlText w:val=""/>
      <w:lvlJc w:val="left"/>
      <w:pPr>
        <w:ind w:left="720" w:hanging="360"/>
      </w:pPr>
      <w:rPr>
        <w:rFonts w:ascii="Symbol" w:hAnsi="Symbol" w:hint="default"/>
      </w:rPr>
    </w:lvl>
    <w:lvl w:ilvl="1" w:tplc="8B8E5D04">
      <w:numFmt w:val="decimal"/>
      <w:lvlText w:val=""/>
      <w:lvlJc w:val="left"/>
    </w:lvl>
    <w:lvl w:ilvl="2" w:tplc="E9946A22">
      <w:numFmt w:val="decimal"/>
      <w:lvlText w:val=""/>
      <w:lvlJc w:val="left"/>
    </w:lvl>
    <w:lvl w:ilvl="3" w:tplc="0A2C9088">
      <w:numFmt w:val="decimal"/>
      <w:lvlText w:val=""/>
      <w:lvlJc w:val="left"/>
    </w:lvl>
    <w:lvl w:ilvl="4" w:tplc="59021B08">
      <w:numFmt w:val="decimal"/>
      <w:lvlText w:val=""/>
      <w:lvlJc w:val="left"/>
    </w:lvl>
    <w:lvl w:ilvl="5" w:tplc="78886AEE">
      <w:numFmt w:val="decimal"/>
      <w:lvlText w:val=""/>
      <w:lvlJc w:val="left"/>
    </w:lvl>
    <w:lvl w:ilvl="6" w:tplc="B1A22CD0">
      <w:numFmt w:val="decimal"/>
      <w:lvlText w:val=""/>
      <w:lvlJc w:val="left"/>
    </w:lvl>
    <w:lvl w:ilvl="7" w:tplc="B14E88B4">
      <w:numFmt w:val="decimal"/>
      <w:lvlText w:val=""/>
      <w:lvlJc w:val="left"/>
    </w:lvl>
    <w:lvl w:ilvl="8" w:tplc="05E0BE34">
      <w:numFmt w:val="decimal"/>
      <w:lvlText w:val=""/>
      <w:lvlJc w:val="left"/>
    </w:lvl>
  </w:abstractNum>
  <w:abstractNum w:abstractNumId="510" w15:restartNumberingAfterBreak="0">
    <w:nsid w:val="34932B31"/>
    <w:multiLevelType w:val="hybridMultilevel"/>
    <w:tmpl w:val="69927736"/>
    <w:lvl w:ilvl="0" w:tplc="DBCA56B4">
      <w:start w:val="1"/>
      <w:numFmt w:val="bullet"/>
      <w:lvlText w:val=""/>
      <w:lvlJc w:val="left"/>
      <w:pPr>
        <w:ind w:left="720" w:hanging="360"/>
      </w:pPr>
      <w:rPr>
        <w:rFonts w:ascii="Symbol" w:hAnsi="Symbol" w:hint="default"/>
      </w:rPr>
    </w:lvl>
    <w:lvl w:ilvl="1" w:tplc="9500B066">
      <w:numFmt w:val="decimal"/>
      <w:lvlText w:val=""/>
      <w:lvlJc w:val="left"/>
    </w:lvl>
    <w:lvl w:ilvl="2" w:tplc="BB8A2AEC">
      <w:numFmt w:val="decimal"/>
      <w:lvlText w:val=""/>
      <w:lvlJc w:val="left"/>
    </w:lvl>
    <w:lvl w:ilvl="3" w:tplc="290031C6">
      <w:numFmt w:val="decimal"/>
      <w:lvlText w:val=""/>
      <w:lvlJc w:val="left"/>
    </w:lvl>
    <w:lvl w:ilvl="4" w:tplc="05EC9A22">
      <w:numFmt w:val="decimal"/>
      <w:lvlText w:val=""/>
      <w:lvlJc w:val="left"/>
    </w:lvl>
    <w:lvl w:ilvl="5" w:tplc="85080348">
      <w:numFmt w:val="decimal"/>
      <w:lvlText w:val=""/>
      <w:lvlJc w:val="left"/>
    </w:lvl>
    <w:lvl w:ilvl="6" w:tplc="189A264C">
      <w:numFmt w:val="decimal"/>
      <w:lvlText w:val=""/>
      <w:lvlJc w:val="left"/>
    </w:lvl>
    <w:lvl w:ilvl="7" w:tplc="91FE33B0">
      <w:numFmt w:val="decimal"/>
      <w:lvlText w:val=""/>
      <w:lvlJc w:val="left"/>
    </w:lvl>
    <w:lvl w:ilvl="8" w:tplc="57E085A6">
      <w:numFmt w:val="decimal"/>
      <w:lvlText w:val=""/>
      <w:lvlJc w:val="left"/>
    </w:lvl>
  </w:abstractNum>
  <w:abstractNum w:abstractNumId="511" w15:restartNumberingAfterBreak="0">
    <w:nsid w:val="34B412B7"/>
    <w:multiLevelType w:val="hybridMultilevel"/>
    <w:tmpl w:val="5C78FFA6"/>
    <w:lvl w:ilvl="0" w:tplc="26666A70">
      <w:start w:val="1"/>
      <w:numFmt w:val="bullet"/>
      <w:lvlText w:val=""/>
      <w:lvlJc w:val="left"/>
      <w:pPr>
        <w:ind w:left="720" w:hanging="360"/>
      </w:pPr>
      <w:rPr>
        <w:rFonts w:ascii="Symbol" w:hAnsi="Symbol" w:hint="default"/>
      </w:rPr>
    </w:lvl>
    <w:lvl w:ilvl="1" w:tplc="CB1460A0">
      <w:numFmt w:val="decimal"/>
      <w:lvlText w:val=""/>
      <w:lvlJc w:val="left"/>
    </w:lvl>
    <w:lvl w:ilvl="2" w:tplc="4E9ABA52">
      <w:numFmt w:val="decimal"/>
      <w:lvlText w:val=""/>
      <w:lvlJc w:val="left"/>
    </w:lvl>
    <w:lvl w:ilvl="3" w:tplc="88CEE986">
      <w:numFmt w:val="decimal"/>
      <w:lvlText w:val=""/>
      <w:lvlJc w:val="left"/>
    </w:lvl>
    <w:lvl w:ilvl="4" w:tplc="5CBE7F10">
      <w:numFmt w:val="decimal"/>
      <w:lvlText w:val=""/>
      <w:lvlJc w:val="left"/>
    </w:lvl>
    <w:lvl w:ilvl="5" w:tplc="21566080">
      <w:numFmt w:val="decimal"/>
      <w:lvlText w:val=""/>
      <w:lvlJc w:val="left"/>
    </w:lvl>
    <w:lvl w:ilvl="6" w:tplc="8FD43C98">
      <w:numFmt w:val="decimal"/>
      <w:lvlText w:val=""/>
      <w:lvlJc w:val="left"/>
    </w:lvl>
    <w:lvl w:ilvl="7" w:tplc="1EBEE712">
      <w:numFmt w:val="decimal"/>
      <w:lvlText w:val=""/>
      <w:lvlJc w:val="left"/>
    </w:lvl>
    <w:lvl w:ilvl="8" w:tplc="3C18EB3A">
      <w:numFmt w:val="decimal"/>
      <w:lvlText w:val=""/>
      <w:lvlJc w:val="left"/>
    </w:lvl>
  </w:abstractNum>
  <w:abstractNum w:abstractNumId="512" w15:restartNumberingAfterBreak="0">
    <w:nsid w:val="34B54BD5"/>
    <w:multiLevelType w:val="hybridMultilevel"/>
    <w:tmpl w:val="EC86794C"/>
    <w:lvl w:ilvl="0" w:tplc="E49257D8">
      <w:start w:val="1"/>
      <w:numFmt w:val="bullet"/>
      <w:lvlText w:val=""/>
      <w:lvlJc w:val="left"/>
      <w:pPr>
        <w:ind w:left="720" w:hanging="360"/>
      </w:pPr>
      <w:rPr>
        <w:rFonts w:ascii="Symbol" w:hAnsi="Symbol" w:hint="default"/>
      </w:rPr>
    </w:lvl>
    <w:lvl w:ilvl="1" w:tplc="7AAC78CA">
      <w:numFmt w:val="decimal"/>
      <w:lvlText w:val=""/>
      <w:lvlJc w:val="left"/>
    </w:lvl>
    <w:lvl w:ilvl="2" w:tplc="46EA1552">
      <w:numFmt w:val="decimal"/>
      <w:lvlText w:val=""/>
      <w:lvlJc w:val="left"/>
    </w:lvl>
    <w:lvl w:ilvl="3" w:tplc="6B68DEFC">
      <w:numFmt w:val="decimal"/>
      <w:lvlText w:val=""/>
      <w:lvlJc w:val="left"/>
    </w:lvl>
    <w:lvl w:ilvl="4" w:tplc="0ADAB630">
      <w:numFmt w:val="decimal"/>
      <w:lvlText w:val=""/>
      <w:lvlJc w:val="left"/>
    </w:lvl>
    <w:lvl w:ilvl="5" w:tplc="01184E56">
      <w:numFmt w:val="decimal"/>
      <w:lvlText w:val=""/>
      <w:lvlJc w:val="left"/>
    </w:lvl>
    <w:lvl w:ilvl="6" w:tplc="9D065638">
      <w:numFmt w:val="decimal"/>
      <w:lvlText w:val=""/>
      <w:lvlJc w:val="left"/>
    </w:lvl>
    <w:lvl w:ilvl="7" w:tplc="14D8E68A">
      <w:numFmt w:val="decimal"/>
      <w:lvlText w:val=""/>
      <w:lvlJc w:val="left"/>
    </w:lvl>
    <w:lvl w:ilvl="8" w:tplc="BF3CFAB4">
      <w:numFmt w:val="decimal"/>
      <w:lvlText w:val=""/>
      <w:lvlJc w:val="left"/>
    </w:lvl>
  </w:abstractNum>
  <w:abstractNum w:abstractNumId="513" w15:restartNumberingAfterBreak="0">
    <w:nsid w:val="34D62872"/>
    <w:multiLevelType w:val="hybridMultilevel"/>
    <w:tmpl w:val="CFDCB38A"/>
    <w:lvl w:ilvl="0" w:tplc="4FEC7792">
      <w:start w:val="1"/>
      <w:numFmt w:val="bullet"/>
      <w:lvlText w:val=""/>
      <w:lvlJc w:val="left"/>
      <w:pPr>
        <w:ind w:left="720" w:hanging="360"/>
      </w:pPr>
      <w:rPr>
        <w:rFonts w:ascii="Symbol" w:hAnsi="Symbol" w:hint="default"/>
      </w:rPr>
    </w:lvl>
    <w:lvl w:ilvl="1" w:tplc="8CBCB438">
      <w:numFmt w:val="decimal"/>
      <w:lvlText w:val=""/>
      <w:lvlJc w:val="left"/>
    </w:lvl>
    <w:lvl w:ilvl="2" w:tplc="7AEAD896">
      <w:numFmt w:val="decimal"/>
      <w:lvlText w:val=""/>
      <w:lvlJc w:val="left"/>
    </w:lvl>
    <w:lvl w:ilvl="3" w:tplc="75801910">
      <w:numFmt w:val="decimal"/>
      <w:lvlText w:val=""/>
      <w:lvlJc w:val="left"/>
    </w:lvl>
    <w:lvl w:ilvl="4" w:tplc="F4A4B72E">
      <w:numFmt w:val="decimal"/>
      <w:lvlText w:val=""/>
      <w:lvlJc w:val="left"/>
    </w:lvl>
    <w:lvl w:ilvl="5" w:tplc="DD3AAA5A">
      <w:numFmt w:val="decimal"/>
      <w:lvlText w:val=""/>
      <w:lvlJc w:val="left"/>
    </w:lvl>
    <w:lvl w:ilvl="6" w:tplc="B17C7A7C">
      <w:numFmt w:val="decimal"/>
      <w:lvlText w:val=""/>
      <w:lvlJc w:val="left"/>
    </w:lvl>
    <w:lvl w:ilvl="7" w:tplc="5FD2621A">
      <w:numFmt w:val="decimal"/>
      <w:lvlText w:val=""/>
      <w:lvlJc w:val="left"/>
    </w:lvl>
    <w:lvl w:ilvl="8" w:tplc="E556B086">
      <w:numFmt w:val="decimal"/>
      <w:lvlText w:val=""/>
      <w:lvlJc w:val="left"/>
    </w:lvl>
  </w:abstractNum>
  <w:abstractNum w:abstractNumId="514" w15:restartNumberingAfterBreak="0">
    <w:nsid w:val="34D7503F"/>
    <w:multiLevelType w:val="hybridMultilevel"/>
    <w:tmpl w:val="8842B100"/>
    <w:lvl w:ilvl="0" w:tplc="BFD03B20">
      <w:start w:val="1"/>
      <w:numFmt w:val="bullet"/>
      <w:lvlText w:val=""/>
      <w:lvlJc w:val="left"/>
      <w:pPr>
        <w:ind w:left="720" w:hanging="360"/>
      </w:pPr>
      <w:rPr>
        <w:rFonts w:ascii="Symbol" w:hAnsi="Symbol" w:hint="default"/>
      </w:rPr>
    </w:lvl>
    <w:lvl w:ilvl="1" w:tplc="BC8CCAD6">
      <w:numFmt w:val="decimal"/>
      <w:lvlText w:val=""/>
      <w:lvlJc w:val="left"/>
    </w:lvl>
    <w:lvl w:ilvl="2" w:tplc="22C89F76">
      <w:numFmt w:val="decimal"/>
      <w:lvlText w:val=""/>
      <w:lvlJc w:val="left"/>
    </w:lvl>
    <w:lvl w:ilvl="3" w:tplc="F06E37A0">
      <w:numFmt w:val="decimal"/>
      <w:lvlText w:val=""/>
      <w:lvlJc w:val="left"/>
    </w:lvl>
    <w:lvl w:ilvl="4" w:tplc="7E308F14">
      <w:numFmt w:val="decimal"/>
      <w:lvlText w:val=""/>
      <w:lvlJc w:val="left"/>
    </w:lvl>
    <w:lvl w:ilvl="5" w:tplc="546E6B62">
      <w:numFmt w:val="decimal"/>
      <w:lvlText w:val=""/>
      <w:lvlJc w:val="left"/>
    </w:lvl>
    <w:lvl w:ilvl="6" w:tplc="153C0F10">
      <w:numFmt w:val="decimal"/>
      <w:lvlText w:val=""/>
      <w:lvlJc w:val="left"/>
    </w:lvl>
    <w:lvl w:ilvl="7" w:tplc="480A2422">
      <w:numFmt w:val="decimal"/>
      <w:lvlText w:val=""/>
      <w:lvlJc w:val="left"/>
    </w:lvl>
    <w:lvl w:ilvl="8" w:tplc="7994810C">
      <w:numFmt w:val="decimal"/>
      <w:lvlText w:val=""/>
      <w:lvlJc w:val="left"/>
    </w:lvl>
  </w:abstractNum>
  <w:abstractNum w:abstractNumId="515" w15:restartNumberingAfterBreak="0">
    <w:nsid w:val="351E7B96"/>
    <w:multiLevelType w:val="hybridMultilevel"/>
    <w:tmpl w:val="DE2484F6"/>
    <w:lvl w:ilvl="0" w:tplc="61C8D304">
      <w:start w:val="1"/>
      <w:numFmt w:val="bullet"/>
      <w:lvlText w:val=""/>
      <w:lvlJc w:val="left"/>
      <w:pPr>
        <w:ind w:left="720" w:hanging="360"/>
      </w:pPr>
      <w:rPr>
        <w:rFonts w:ascii="Symbol" w:hAnsi="Symbol" w:hint="default"/>
      </w:rPr>
    </w:lvl>
    <w:lvl w:ilvl="1" w:tplc="FF6A3C6A">
      <w:numFmt w:val="decimal"/>
      <w:lvlText w:val=""/>
      <w:lvlJc w:val="left"/>
    </w:lvl>
    <w:lvl w:ilvl="2" w:tplc="09625E8C">
      <w:numFmt w:val="decimal"/>
      <w:lvlText w:val=""/>
      <w:lvlJc w:val="left"/>
    </w:lvl>
    <w:lvl w:ilvl="3" w:tplc="8BA23D02">
      <w:numFmt w:val="decimal"/>
      <w:lvlText w:val=""/>
      <w:lvlJc w:val="left"/>
    </w:lvl>
    <w:lvl w:ilvl="4" w:tplc="E482133C">
      <w:numFmt w:val="decimal"/>
      <w:lvlText w:val=""/>
      <w:lvlJc w:val="left"/>
    </w:lvl>
    <w:lvl w:ilvl="5" w:tplc="33CC84DC">
      <w:numFmt w:val="decimal"/>
      <w:lvlText w:val=""/>
      <w:lvlJc w:val="left"/>
    </w:lvl>
    <w:lvl w:ilvl="6" w:tplc="7AEC4BBA">
      <w:numFmt w:val="decimal"/>
      <w:lvlText w:val=""/>
      <w:lvlJc w:val="left"/>
    </w:lvl>
    <w:lvl w:ilvl="7" w:tplc="78BA0D3E">
      <w:numFmt w:val="decimal"/>
      <w:lvlText w:val=""/>
      <w:lvlJc w:val="left"/>
    </w:lvl>
    <w:lvl w:ilvl="8" w:tplc="85EA051E">
      <w:numFmt w:val="decimal"/>
      <w:lvlText w:val=""/>
      <w:lvlJc w:val="left"/>
    </w:lvl>
  </w:abstractNum>
  <w:abstractNum w:abstractNumId="516" w15:restartNumberingAfterBreak="0">
    <w:nsid w:val="352D3DEC"/>
    <w:multiLevelType w:val="hybridMultilevel"/>
    <w:tmpl w:val="6DDAC3F6"/>
    <w:lvl w:ilvl="0" w:tplc="36BAEC3E">
      <w:start w:val="1"/>
      <w:numFmt w:val="bullet"/>
      <w:lvlText w:val=""/>
      <w:lvlJc w:val="left"/>
      <w:pPr>
        <w:ind w:left="720" w:hanging="360"/>
      </w:pPr>
      <w:rPr>
        <w:rFonts w:ascii="Symbol" w:hAnsi="Symbol" w:hint="default"/>
      </w:rPr>
    </w:lvl>
    <w:lvl w:ilvl="1" w:tplc="C4C8DEDC">
      <w:numFmt w:val="decimal"/>
      <w:lvlText w:val=""/>
      <w:lvlJc w:val="left"/>
    </w:lvl>
    <w:lvl w:ilvl="2" w:tplc="5E22A034">
      <w:numFmt w:val="decimal"/>
      <w:lvlText w:val=""/>
      <w:lvlJc w:val="left"/>
    </w:lvl>
    <w:lvl w:ilvl="3" w:tplc="9C6C722E">
      <w:numFmt w:val="decimal"/>
      <w:lvlText w:val=""/>
      <w:lvlJc w:val="left"/>
    </w:lvl>
    <w:lvl w:ilvl="4" w:tplc="D612FACA">
      <w:numFmt w:val="decimal"/>
      <w:lvlText w:val=""/>
      <w:lvlJc w:val="left"/>
    </w:lvl>
    <w:lvl w:ilvl="5" w:tplc="9B8CB2B4">
      <w:numFmt w:val="decimal"/>
      <w:lvlText w:val=""/>
      <w:lvlJc w:val="left"/>
    </w:lvl>
    <w:lvl w:ilvl="6" w:tplc="3F40D57C">
      <w:numFmt w:val="decimal"/>
      <w:lvlText w:val=""/>
      <w:lvlJc w:val="left"/>
    </w:lvl>
    <w:lvl w:ilvl="7" w:tplc="B7443478">
      <w:numFmt w:val="decimal"/>
      <w:lvlText w:val=""/>
      <w:lvlJc w:val="left"/>
    </w:lvl>
    <w:lvl w:ilvl="8" w:tplc="555867A4">
      <w:numFmt w:val="decimal"/>
      <w:lvlText w:val=""/>
      <w:lvlJc w:val="left"/>
    </w:lvl>
  </w:abstractNum>
  <w:abstractNum w:abstractNumId="517" w15:restartNumberingAfterBreak="0">
    <w:nsid w:val="354730BB"/>
    <w:multiLevelType w:val="hybridMultilevel"/>
    <w:tmpl w:val="7D582D1E"/>
    <w:lvl w:ilvl="0" w:tplc="2B3AB9DA">
      <w:start w:val="1"/>
      <w:numFmt w:val="bullet"/>
      <w:lvlText w:val=""/>
      <w:lvlJc w:val="left"/>
      <w:pPr>
        <w:ind w:left="720" w:hanging="360"/>
      </w:pPr>
      <w:rPr>
        <w:rFonts w:ascii="Symbol" w:hAnsi="Symbol" w:hint="default"/>
      </w:rPr>
    </w:lvl>
    <w:lvl w:ilvl="1" w:tplc="7FEAA5C8">
      <w:numFmt w:val="decimal"/>
      <w:lvlText w:val=""/>
      <w:lvlJc w:val="left"/>
    </w:lvl>
    <w:lvl w:ilvl="2" w:tplc="791CB95E">
      <w:numFmt w:val="decimal"/>
      <w:lvlText w:val=""/>
      <w:lvlJc w:val="left"/>
    </w:lvl>
    <w:lvl w:ilvl="3" w:tplc="04429846">
      <w:numFmt w:val="decimal"/>
      <w:lvlText w:val=""/>
      <w:lvlJc w:val="left"/>
    </w:lvl>
    <w:lvl w:ilvl="4" w:tplc="4EB87B96">
      <w:numFmt w:val="decimal"/>
      <w:lvlText w:val=""/>
      <w:lvlJc w:val="left"/>
    </w:lvl>
    <w:lvl w:ilvl="5" w:tplc="C008864A">
      <w:numFmt w:val="decimal"/>
      <w:lvlText w:val=""/>
      <w:lvlJc w:val="left"/>
    </w:lvl>
    <w:lvl w:ilvl="6" w:tplc="2758BF8C">
      <w:numFmt w:val="decimal"/>
      <w:lvlText w:val=""/>
      <w:lvlJc w:val="left"/>
    </w:lvl>
    <w:lvl w:ilvl="7" w:tplc="D662073E">
      <w:numFmt w:val="decimal"/>
      <w:lvlText w:val=""/>
      <w:lvlJc w:val="left"/>
    </w:lvl>
    <w:lvl w:ilvl="8" w:tplc="1BDAC0E6">
      <w:numFmt w:val="decimal"/>
      <w:lvlText w:val=""/>
      <w:lvlJc w:val="left"/>
    </w:lvl>
  </w:abstractNum>
  <w:abstractNum w:abstractNumId="518" w15:restartNumberingAfterBreak="0">
    <w:nsid w:val="3559548E"/>
    <w:multiLevelType w:val="hybridMultilevel"/>
    <w:tmpl w:val="3818498E"/>
    <w:lvl w:ilvl="0" w:tplc="5CA2276C">
      <w:numFmt w:val="decimal"/>
      <w:lvlText w:val=""/>
      <w:lvlJc w:val="left"/>
    </w:lvl>
    <w:lvl w:ilvl="1" w:tplc="B2BC81CE">
      <w:start w:val="1"/>
      <w:numFmt w:val="bullet"/>
      <w:lvlText w:val=""/>
      <w:lvlJc w:val="left"/>
      <w:pPr>
        <w:ind w:left="1440" w:hanging="360"/>
      </w:pPr>
      <w:rPr>
        <w:rFonts w:ascii="Symbol" w:hAnsi="Symbol" w:hint="default"/>
      </w:rPr>
    </w:lvl>
    <w:lvl w:ilvl="2" w:tplc="2E7EF3B0">
      <w:numFmt w:val="decimal"/>
      <w:lvlText w:val=""/>
      <w:lvlJc w:val="left"/>
    </w:lvl>
    <w:lvl w:ilvl="3" w:tplc="5F42F2B2">
      <w:numFmt w:val="decimal"/>
      <w:lvlText w:val=""/>
      <w:lvlJc w:val="left"/>
    </w:lvl>
    <w:lvl w:ilvl="4" w:tplc="4D063F16">
      <w:numFmt w:val="decimal"/>
      <w:lvlText w:val=""/>
      <w:lvlJc w:val="left"/>
    </w:lvl>
    <w:lvl w:ilvl="5" w:tplc="95A44842">
      <w:numFmt w:val="decimal"/>
      <w:lvlText w:val=""/>
      <w:lvlJc w:val="left"/>
    </w:lvl>
    <w:lvl w:ilvl="6" w:tplc="58EEF578">
      <w:numFmt w:val="decimal"/>
      <w:lvlText w:val=""/>
      <w:lvlJc w:val="left"/>
    </w:lvl>
    <w:lvl w:ilvl="7" w:tplc="9684D6EE">
      <w:numFmt w:val="decimal"/>
      <w:lvlText w:val=""/>
      <w:lvlJc w:val="left"/>
    </w:lvl>
    <w:lvl w:ilvl="8" w:tplc="F6EEA5EE">
      <w:numFmt w:val="decimal"/>
      <w:lvlText w:val=""/>
      <w:lvlJc w:val="left"/>
    </w:lvl>
  </w:abstractNum>
  <w:abstractNum w:abstractNumId="519" w15:restartNumberingAfterBreak="0">
    <w:nsid w:val="3583150D"/>
    <w:multiLevelType w:val="hybridMultilevel"/>
    <w:tmpl w:val="9E246298"/>
    <w:lvl w:ilvl="0" w:tplc="BEFE9BC0">
      <w:start w:val="1"/>
      <w:numFmt w:val="bullet"/>
      <w:lvlText w:val=""/>
      <w:lvlJc w:val="left"/>
      <w:pPr>
        <w:ind w:left="720" w:hanging="360"/>
      </w:pPr>
      <w:rPr>
        <w:rFonts w:ascii="Symbol" w:hAnsi="Symbol" w:hint="default"/>
      </w:rPr>
    </w:lvl>
    <w:lvl w:ilvl="1" w:tplc="C570EF20">
      <w:numFmt w:val="decimal"/>
      <w:lvlText w:val=""/>
      <w:lvlJc w:val="left"/>
    </w:lvl>
    <w:lvl w:ilvl="2" w:tplc="217E5368">
      <w:numFmt w:val="decimal"/>
      <w:lvlText w:val=""/>
      <w:lvlJc w:val="left"/>
    </w:lvl>
    <w:lvl w:ilvl="3" w:tplc="157E031E">
      <w:numFmt w:val="decimal"/>
      <w:lvlText w:val=""/>
      <w:lvlJc w:val="left"/>
    </w:lvl>
    <w:lvl w:ilvl="4" w:tplc="EB54A092">
      <w:numFmt w:val="decimal"/>
      <w:lvlText w:val=""/>
      <w:lvlJc w:val="left"/>
    </w:lvl>
    <w:lvl w:ilvl="5" w:tplc="8CBA44C0">
      <w:numFmt w:val="decimal"/>
      <w:lvlText w:val=""/>
      <w:lvlJc w:val="left"/>
    </w:lvl>
    <w:lvl w:ilvl="6" w:tplc="0D1420BA">
      <w:numFmt w:val="decimal"/>
      <w:lvlText w:val=""/>
      <w:lvlJc w:val="left"/>
    </w:lvl>
    <w:lvl w:ilvl="7" w:tplc="E9AADF20">
      <w:numFmt w:val="decimal"/>
      <w:lvlText w:val=""/>
      <w:lvlJc w:val="left"/>
    </w:lvl>
    <w:lvl w:ilvl="8" w:tplc="64E6343C">
      <w:numFmt w:val="decimal"/>
      <w:lvlText w:val=""/>
      <w:lvlJc w:val="left"/>
    </w:lvl>
  </w:abstractNum>
  <w:abstractNum w:abstractNumId="520" w15:restartNumberingAfterBreak="0">
    <w:nsid w:val="35887067"/>
    <w:multiLevelType w:val="hybridMultilevel"/>
    <w:tmpl w:val="CBD65B64"/>
    <w:lvl w:ilvl="0" w:tplc="6520DFDE">
      <w:start w:val="1"/>
      <w:numFmt w:val="bullet"/>
      <w:lvlText w:val=""/>
      <w:lvlJc w:val="left"/>
      <w:pPr>
        <w:ind w:left="720" w:hanging="360"/>
      </w:pPr>
      <w:rPr>
        <w:rFonts w:ascii="Symbol" w:hAnsi="Symbol" w:hint="default"/>
      </w:rPr>
    </w:lvl>
    <w:lvl w:ilvl="1" w:tplc="FC4ECFA4">
      <w:numFmt w:val="decimal"/>
      <w:lvlText w:val=""/>
      <w:lvlJc w:val="left"/>
    </w:lvl>
    <w:lvl w:ilvl="2" w:tplc="48DC9180">
      <w:numFmt w:val="decimal"/>
      <w:lvlText w:val=""/>
      <w:lvlJc w:val="left"/>
    </w:lvl>
    <w:lvl w:ilvl="3" w:tplc="3F366724">
      <w:numFmt w:val="decimal"/>
      <w:lvlText w:val=""/>
      <w:lvlJc w:val="left"/>
    </w:lvl>
    <w:lvl w:ilvl="4" w:tplc="6836625E">
      <w:numFmt w:val="decimal"/>
      <w:lvlText w:val=""/>
      <w:lvlJc w:val="left"/>
    </w:lvl>
    <w:lvl w:ilvl="5" w:tplc="3A96F0AA">
      <w:numFmt w:val="decimal"/>
      <w:lvlText w:val=""/>
      <w:lvlJc w:val="left"/>
    </w:lvl>
    <w:lvl w:ilvl="6" w:tplc="3C749ABE">
      <w:numFmt w:val="decimal"/>
      <w:lvlText w:val=""/>
      <w:lvlJc w:val="left"/>
    </w:lvl>
    <w:lvl w:ilvl="7" w:tplc="0BCE4750">
      <w:numFmt w:val="decimal"/>
      <w:lvlText w:val=""/>
      <w:lvlJc w:val="left"/>
    </w:lvl>
    <w:lvl w:ilvl="8" w:tplc="2D6C16E8">
      <w:numFmt w:val="decimal"/>
      <w:lvlText w:val=""/>
      <w:lvlJc w:val="left"/>
    </w:lvl>
  </w:abstractNum>
  <w:abstractNum w:abstractNumId="521" w15:restartNumberingAfterBreak="0">
    <w:nsid w:val="35A95890"/>
    <w:multiLevelType w:val="hybridMultilevel"/>
    <w:tmpl w:val="B24CC3EA"/>
    <w:lvl w:ilvl="0" w:tplc="77C07AFC">
      <w:start w:val="1"/>
      <w:numFmt w:val="bullet"/>
      <w:lvlText w:val=""/>
      <w:lvlJc w:val="left"/>
      <w:pPr>
        <w:ind w:left="720" w:hanging="360"/>
      </w:pPr>
      <w:rPr>
        <w:rFonts w:ascii="Symbol" w:hAnsi="Symbol" w:hint="default"/>
      </w:rPr>
    </w:lvl>
    <w:lvl w:ilvl="1" w:tplc="991E9D9C">
      <w:numFmt w:val="decimal"/>
      <w:lvlText w:val=""/>
      <w:lvlJc w:val="left"/>
    </w:lvl>
    <w:lvl w:ilvl="2" w:tplc="13CCEABC">
      <w:numFmt w:val="decimal"/>
      <w:lvlText w:val=""/>
      <w:lvlJc w:val="left"/>
    </w:lvl>
    <w:lvl w:ilvl="3" w:tplc="B270255E">
      <w:numFmt w:val="decimal"/>
      <w:lvlText w:val=""/>
      <w:lvlJc w:val="left"/>
    </w:lvl>
    <w:lvl w:ilvl="4" w:tplc="1122B554">
      <w:numFmt w:val="decimal"/>
      <w:lvlText w:val=""/>
      <w:lvlJc w:val="left"/>
    </w:lvl>
    <w:lvl w:ilvl="5" w:tplc="0E0C690A">
      <w:numFmt w:val="decimal"/>
      <w:lvlText w:val=""/>
      <w:lvlJc w:val="left"/>
    </w:lvl>
    <w:lvl w:ilvl="6" w:tplc="3D8EDE3C">
      <w:numFmt w:val="decimal"/>
      <w:lvlText w:val=""/>
      <w:lvlJc w:val="left"/>
    </w:lvl>
    <w:lvl w:ilvl="7" w:tplc="30163318">
      <w:numFmt w:val="decimal"/>
      <w:lvlText w:val=""/>
      <w:lvlJc w:val="left"/>
    </w:lvl>
    <w:lvl w:ilvl="8" w:tplc="83886C26">
      <w:numFmt w:val="decimal"/>
      <w:lvlText w:val=""/>
      <w:lvlJc w:val="left"/>
    </w:lvl>
  </w:abstractNum>
  <w:abstractNum w:abstractNumId="522" w15:restartNumberingAfterBreak="0">
    <w:nsid w:val="35C87C6C"/>
    <w:multiLevelType w:val="hybridMultilevel"/>
    <w:tmpl w:val="30CA2A52"/>
    <w:lvl w:ilvl="0" w:tplc="0B24D660">
      <w:start w:val="1"/>
      <w:numFmt w:val="bullet"/>
      <w:lvlText w:val=""/>
      <w:lvlJc w:val="left"/>
      <w:pPr>
        <w:ind w:left="720" w:hanging="360"/>
      </w:pPr>
      <w:rPr>
        <w:rFonts w:ascii="Symbol" w:hAnsi="Symbol" w:hint="default"/>
      </w:rPr>
    </w:lvl>
    <w:lvl w:ilvl="1" w:tplc="9FFAB702">
      <w:numFmt w:val="decimal"/>
      <w:lvlText w:val=""/>
      <w:lvlJc w:val="left"/>
    </w:lvl>
    <w:lvl w:ilvl="2" w:tplc="7F5A3EB8">
      <w:numFmt w:val="decimal"/>
      <w:lvlText w:val=""/>
      <w:lvlJc w:val="left"/>
    </w:lvl>
    <w:lvl w:ilvl="3" w:tplc="A36CDD2E">
      <w:numFmt w:val="decimal"/>
      <w:lvlText w:val=""/>
      <w:lvlJc w:val="left"/>
    </w:lvl>
    <w:lvl w:ilvl="4" w:tplc="F118DC32">
      <w:numFmt w:val="decimal"/>
      <w:lvlText w:val=""/>
      <w:lvlJc w:val="left"/>
    </w:lvl>
    <w:lvl w:ilvl="5" w:tplc="0F98C126">
      <w:numFmt w:val="decimal"/>
      <w:lvlText w:val=""/>
      <w:lvlJc w:val="left"/>
    </w:lvl>
    <w:lvl w:ilvl="6" w:tplc="6D5CC7BE">
      <w:numFmt w:val="decimal"/>
      <w:lvlText w:val=""/>
      <w:lvlJc w:val="left"/>
    </w:lvl>
    <w:lvl w:ilvl="7" w:tplc="4FE8FB6E">
      <w:numFmt w:val="decimal"/>
      <w:lvlText w:val=""/>
      <w:lvlJc w:val="left"/>
    </w:lvl>
    <w:lvl w:ilvl="8" w:tplc="4510E050">
      <w:numFmt w:val="decimal"/>
      <w:lvlText w:val=""/>
      <w:lvlJc w:val="left"/>
    </w:lvl>
  </w:abstractNum>
  <w:abstractNum w:abstractNumId="523" w15:restartNumberingAfterBreak="0">
    <w:nsid w:val="35D60314"/>
    <w:multiLevelType w:val="hybridMultilevel"/>
    <w:tmpl w:val="6D863D7C"/>
    <w:lvl w:ilvl="0" w:tplc="3BAEEF2E">
      <w:start w:val="1"/>
      <w:numFmt w:val="bullet"/>
      <w:lvlText w:val=""/>
      <w:lvlJc w:val="left"/>
      <w:pPr>
        <w:ind w:left="720" w:hanging="360"/>
      </w:pPr>
      <w:rPr>
        <w:rFonts w:ascii="Symbol" w:hAnsi="Symbol" w:hint="default"/>
      </w:rPr>
    </w:lvl>
    <w:lvl w:ilvl="1" w:tplc="80C0C9E4">
      <w:numFmt w:val="decimal"/>
      <w:lvlText w:val=""/>
      <w:lvlJc w:val="left"/>
    </w:lvl>
    <w:lvl w:ilvl="2" w:tplc="A630119A">
      <w:numFmt w:val="decimal"/>
      <w:lvlText w:val=""/>
      <w:lvlJc w:val="left"/>
    </w:lvl>
    <w:lvl w:ilvl="3" w:tplc="B8AAC200">
      <w:numFmt w:val="decimal"/>
      <w:lvlText w:val=""/>
      <w:lvlJc w:val="left"/>
    </w:lvl>
    <w:lvl w:ilvl="4" w:tplc="004A6FA4">
      <w:numFmt w:val="decimal"/>
      <w:lvlText w:val=""/>
      <w:lvlJc w:val="left"/>
    </w:lvl>
    <w:lvl w:ilvl="5" w:tplc="83A6FC84">
      <w:numFmt w:val="decimal"/>
      <w:lvlText w:val=""/>
      <w:lvlJc w:val="left"/>
    </w:lvl>
    <w:lvl w:ilvl="6" w:tplc="E1FAC678">
      <w:numFmt w:val="decimal"/>
      <w:lvlText w:val=""/>
      <w:lvlJc w:val="left"/>
    </w:lvl>
    <w:lvl w:ilvl="7" w:tplc="5D78276C">
      <w:numFmt w:val="decimal"/>
      <w:lvlText w:val=""/>
      <w:lvlJc w:val="left"/>
    </w:lvl>
    <w:lvl w:ilvl="8" w:tplc="9CBE8BE0">
      <w:numFmt w:val="decimal"/>
      <w:lvlText w:val=""/>
      <w:lvlJc w:val="left"/>
    </w:lvl>
  </w:abstractNum>
  <w:abstractNum w:abstractNumId="524" w15:restartNumberingAfterBreak="0">
    <w:nsid w:val="35E01155"/>
    <w:multiLevelType w:val="hybridMultilevel"/>
    <w:tmpl w:val="4ED46B00"/>
    <w:lvl w:ilvl="0" w:tplc="4A5626E8">
      <w:start w:val="1"/>
      <w:numFmt w:val="bullet"/>
      <w:lvlText w:val=""/>
      <w:lvlJc w:val="left"/>
      <w:pPr>
        <w:ind w:left="720" w:hanging="360"/>
      </w:pPr>
      <w:rPr>
        <w:rFonts w:ascii="Symbol" w:hAnsi="Symbol" w:hint="default"/>
      </w:rPr>
    </w:lvl>
    <w:lvl w:ilvl="1" w:tplc="D7C8A900">
      <w:numFmt w:val="decimal"/>
      <w:lvlText w:val=""/>
      <w:lvlJc w:val="left"/>
    </w:lvl>
    <w:lvl w:ilvl="2" w:tplc="D7349120">
      <w:numFmt w:val="decimal"/>
      <w:lvlText w:val=""/>
      <w:lvlJc w:val="left"/>
    </w:lvl>
    <w:lvl w:ilvl="3" w:tplc="F3722008">
      <w:numFmt w:val="decimal"/>
      <w:lvlText w:val=""/>
      <w:lvlJc w:val="left"/>
    </w:lvl>
    <w:lvl w:ilvl="4" w:tplc="5B706A3A">
      <w:numFmt w:val="decimal"/>
      <w:lvlText w:val=""/>
      <w:lvlJc w:val="left"/>
    </w:lvl>
    <w:lvl w:ilvl="5" w:tplc="93E2DEF6">
      <w:numFmt w:val="decimal"/>
      <w:lvlText w:val=""/>
      <w:lvlJc w:val="left"/>
    </w:lvl>
    <w:lvl w:ilvl="6" w:tplc="0E08C050">
      <w:numFmt w:val="decimal"/>
      <w:lvlText w:val=""/>
      <w:lvlJc w:val="left"/>
    </w:lvl>
    <w:lvl w:ilvl="7" w:tplc="63FE6230">
      <w:numFmt w:val="decimal"/>
      <w:lvlText w:val=""/>
      <w:lvlJc w:val="left"/>
    </w:lvl>
    <w:lvl w:ilvl="8" w:tplc="2E722504">
      <w:numFmt w:val="decimal"/>
      <w:lvlText w:val=""/>
      <w:lvlJc w:val="left"/>
    </w:lvl>
  </w:abstractNum>
  <w:abstractNum w:abstractNumId="525" w15:restartNumberingAfterBreak="0">
    <w:nsid w:val="35EE1900"/>
    <w:multiLevelType w:val="hybridMultilevel"/>
    <w:tmpl w:val="B2224F44"/>
    <w:lvl w:ilvl="0" w:tplc="59CA29BE">
      <w:start w:val="1"/>
      <w:numFmt w:val="bullet"/>
      <w:lvlText w:val=""/>
      <w:lvlJc w:val="left"/>
      <w:pPr>
        <w:ind w:left="720" w:hanging="360"/>
      </w:pPr>
      <w:rPr>
        <w:rFonts w:ascii="Symbol" w:hAnsi="Symbol" w:hint="default"/>
      </w:rPr>
    </w:lvl>
    <w:lvl w:ilvl="1" w:tplc="C07CE0F2">
      <w:numFmt w:val="decimal"/>
      <w:lvlText w:val=""/>
      <w:lvlJc w:val="left"/>
    </w:lvl>
    <w:lvl w:ilvl="2" w:tplc="2EE442E2">
      <w:numFmt w:val="decimal"/>
      <w:lvlText w:val=""/>
      <w:lvlJc w:val="left"/>
    </w:lvl>
    <w:lvl w:ilvl="3" w:tplc="4A805E22">
      <w:numFmt w:val="decimal"/>
      <w:lvlText w:val=""/>
      <w:lvlJc w:val="left"/>
    </w:lvl>
    <w:lvl w:ilvl="4" w:tplc="BF5E20C4">
      <w:numFmt w:val="decimal"/>
      <w:lvlText w:val=""/>
      <w:lvlJc w:val="left"/>
    </w:lvl>
    <w:lvl w:ilvl="5" w:tplc="515001A8">
      <w:numFmt w:val="decimal"/>
      <w:lvlText w:val=""/>
      <w:lvlJc w:val="left"/>
    </w:lvl>
    <w:lvl w:ilvl="6" w:tplc="DB18AF32">
      <w:numFmt w:val="decimal"/>
      <w:lvlText w:val=""/>
      <w:lvlJc w:val="left"/>
    </w:lvl>
    <w:lvl w:ilvl="7" w:tplc="809A0F2E">
      <w:numFmt w:val="decimal"/>
      <w:lvlText w:val=""/>
      <w:lvlJc w:val="left"/>
    </w:lvl>
    <w:lvl w:ilvl="8" w:tplc="C5A85F74">
      <w:numFmt w:val="decimal"/>
      <w:lvlText w:val=""/>
      <w:lvlJc w:val="left"/>
    </w:lvl>
  </w:abstractNum>
  <w:abstractNum w:abstractNumId="526" w15:restartNumberingAfterBreak="0">
    <w:nsid w:val="360D465F"/>
    <w:multiLevelType w:val="hybridMultilevel"/>
    <w:tmpl w:val="BABEB364"/>
    <w:lvl w:ilvl="0" w:tplc="844CB5B0">
      <w:start w:val="1"/>
      <w:numFmt w:val="bullet"/>
      <w:lvlText w:val=""/>
      <w:lvlJc w:val="left"/>
      <w:pPr>
        <w:ind w:left="720" w:hanging="360"/>
      </w:pPr>
      <w:rPr>
        <w:rFonts w:ascii="Symbol" w:hAnsi="Symbol" w:hint="default"/>
      </w:rPr>
    </w:lvl>
    <w:lvl w:ilvl="1" w:tplc="AD5E9888">
      <w:numFmt w:val="decimal"/>
      <w:lvlText w:val=""/>
      <w:lvlJc w:val="left"/>
    </w:lvl>
    <w:lvl w:ilvl="2" w:tplc="27729130">
      <w:numFmt w:val="decimal"/>
      <w:lvlText w:val=""/>
      <w:lvlJc w:val="left"/>
    </w:lvl>
    <w:lvl w:ilvl="3" w:tplc="7AEAE6BA">
      <w:numFmt w:val="decimal"/>
      <w:lvlText w:val=""/>
      <w:lvlJc w:val="left"/>
    </w:lvl>
    <w:lvl w:ilvl="4" w:tplc="0756D2EE">
      <w:numFmt w:val="decimal"/>
      <w:lvlText w:val=""/>
      <w:lvlJc w:val="left"/>
    </w:lvl>
    <w:lvl w:ilvl="5" w:tplc="AA88AFBC">
      <w:numFmt w:val="decimal"/>
      <w:lvlText w:val=""/>
      <w:lvlJc w:val="left"/>
    </w:lvl>
    <w:lvl w:ilvl="6" w:tplc="41B87FB2">
      <w:numFmt w:val="decimal"/>
      <w:lvlText w:val=""/>
      <w:lvlJc w:val="left"/>
    </w:lvl>
    <w:lvl w:ilvl="7" w:tplc="386CEACC">
      <w:numFmt w:val="decimal"/>
      <w:lvlText w:val=""/>
      <w:lvlJc w:val="left"/>
    </w:lvl>
    <w:lvl w:ilvl="8" w:tplc="59045154">
      <w:numFmt w:val="decimal"/>
      <w:lvlText w:val=""/>
      <w:lvlJc w:val="left"/>
    </w:lvl>
  </w:abstractNum>
  <w:abstractNum w:abstractNumId="527" w15:restartNumberingAfterBreak="0">
    <w:nsid w:val="36256271"/>
    <w:multiLevelType w:val="hybridMultilevel"/>
    <w:tmpl w:val="C19E3DE8"/>
    <w:lvl w:ilvl="0" w:tplc="5FDAA200">
      <w:numFmt w:val="decimal"/>
      <w:lvlText w:val=""/>
      <w:lvlJc w:val="left"/>
    </w:lvl>
    <w:lvl w:ilvl="1" w:tplc="5E6E0364">
      <w:start w:val="1"/>
      <w:numFmt w:val="bullet"/>
      <w:lvlText w:val=""/>
      <w:lvlJc w:val="left"/>
      <w:pPr>
        <w:ind w:left="1440" w:hanging="360"/>
      </w:pPr>
      <w:rPr>
        <w:rFonts w:ascii="Symbol" w:hAnsi="Symbol" w:hint="default"/>
      </w:rPr>
    </w:lvl>
    <w:lvl w:ilvl="2" w:tplc="7452D5FA">
      <w:numFmt w:val="decimal"/>
      <w:lvlText w:val=""/>
      <w:lvlJc w:val="left"/>
    </w:lvl>
    <w:lvl w:ilvl="3" w:tplc="6F7C801C">
      <w:numFmt w:val="decimal"/>
      <w:lvlText w:val=""/>
      <w:lvlJc w:val="left"/>
    </w:lvl>
    <w:lvl w:ilvl="4" w:tplc="392EF90A">
      <w:numFmt w:val="decimal"/>
      <w:lvlText w:val=""/>
      <w:lvlJc w:val="left"/>
    </w:lvl>
    <w:lvl w:ilvl="5" w:tplc="BCB61510">
      <w:numFmt w:val="decimal"/>
      <w:lvlText w:val=""/>
      <w:lvlJc w:val="left"/>
    </w:lvl>
    <w:lvl w:ilvl="6" w:tplc="8C7048CC">
      <w:numFmt w:val="decimal"/>
      <w:lvlText w:val=""/>
      <w:lvlJc w:val="left"/>
    </w:lvl>
    <w:lvl w:ilvl="7" w:tplc="0B96D67A">
      <w:numFmt w:val="decimal"/>
      <w:lvlText w:val=""/>
      <w:lvlJc w:val="left"/>
    </w:lvl>
    <w:lvl w:ilvl="8" w:tplc="C0CAA38A">
      <w:numFmt w:val="decimal"/>
      <w:lvlText w:val=""/>
      <w:lvlJc w:val="left"/>
    </w:lvl>
  </w:abstractNum>
  <w:abstractNum w:abstractNumId="528" w15:restartNumberingAfterBreak="0">
    <w:nsid w:val="364E1733"/>
    <w:multiLevelType w:val="hybridMultilevel"/>
    <w:tmpl w:val="578C2196"/>
    <w:lvl w:ilvl="0" w:tplc="BF42BAF8">
      <w:start w:val="1"/>
      <w:numFmt w:val="bullet"/>
      <w:lvlText w:val=""/>
      <w:lvlJc w:val="left"/>
      <w:pPr>
        <w:ind w:left="720" w:hanging="360"/>
      </w:pPr>
      <w:rPr>
        <w:rFonts w:ascii="Symbol" w:hAnsi="Symbol" w:hint="default"/>
      </w:rPr>
    </w:lvl>
    <w:lvl w:ilvl="1" w:tplc="34F2ACC0">
      <w:numFmt w:val="decimal"/>
      <w:lvlText w:val=""/>
      <w:lvlJc w:val="left"/>
    </w:lvl>
    <w:lvl w:ilvl="2" w:tplc="B6300290">
      <w:numFmt w:val="decimal"/>
      <w:lvlText w:val=""/>
      <w:lvlJc w:val="left"/>
    </w:lvl>
    <w:lvl w:ilvl="3" w:tplc="BAC8104A">
      <w:numFmt w:val="decimal"/>
      <w:lvlText w:val=""/>
      <w:lvlJc w:val="left"/>
    </w:lvl>
    <w:lvl w:ilvl="4" w:tplc="697E7A92">
      <w:numFmt w:val="decimal"/>
      <w:lvlText w:val=""/>
      <w:lvlJc w:val="left"/>
    </w:lvl>
    <w:lvl w:ilvl="5" w:tplc="938CEC40">
      <w:numFmt w:val="decimal"/>
      <w:lvlText w:val=""/>
      <w:lvlJc w:val="left"/>
    </w:lvl>
    <w:lvl w:ilvl="6" w:tplc="10B073D6">
      <w:numFmt w:val="decimal"/>
      <w:lvlText w:val=""/>
      <w:lvlJc w:val="left"/>
    </w:lvl>
    <w:lvl w:ilvl="7" w:tplc="79287F0E">
      <w:numFmt w:val="decimal"/>
      <w:lvlText w:val=""/>
      <w:lvlJc w:val="left"/>
    </w:lvl>
    <w:lvl w:ilvl="8" w:tplc="BCBE79EC">
      <w:numFmt w:val="decimal"/>
      <w:lvlText w:val=""/>
      <w:lvlJc w:val="left"/>
    </w:lvl>
  </w:abstractNum>
  <w:abstractNum w:abstractNumId="529" w15:restartNumberingAfterBreak="0">
    <w:nsid w:val="365A509C"/>
    <w:multiLevelType w:val="hybridMultilevel"/>
    <w:tmpl w:val="5D2CBD66"/>
    <w:lvl w:ilvl="0" w:tplc="9AAC1EF8">
      <w:start w:val="1"/>
      <w:numFmt w:val="bullet"/>
      <w:lvlText w:val=""/>
      <w:lvlJc w:val="left"/>
      <w:pPr>
        <w:ind w:left="720" w:hanging="360"/>
      </w:pPr>
      <w:rPr>
        <w:rFonts w:ascii="Symbol" w:hAnsi="Symbol" w:hint="default"/>
      </w:rPr>
    </w:lvl>
    <w:lvl w:ilvl="1" w:tplc="8A18207E">
      <w:numFmt w:val="decimal"/>
      <w:lvlText w:val=""/>
      <w:lvlJc w:val="left"/>
    </w:lvl>
    <w:lvl w:ilvl="2" w:tplc="EAE4EE4C">
      <w:numFmt w:val="decimal"/>
      <w:lvlText w:val=""/>
      <w:lvlJc w:val="left"/>
    </w:lvl>
    <w:lvl w:ilvl="3" w:tplc="6DF0F36A">
      <w:numFmt w:val="decimal"/>
      <w:lvlText w:val=""/>
      <w:lvlJc w:val="left"/>
    </w:lvl>
    <w:lvl w:ilvl="4" w:tplc="C896C42C">
      <w:numFmt w:val="decimal"/>
      <w:lvlText w:val=""/>
      <w:lvlJc w:val="left"/>
    </w:lvl>
    <w:lvl w:ilvl="5" w:tplc="57F49968">
      <w:numFmt w:val="decimal"/>
      <w:lvlText w:val=""/>
      <w:lvlJc w:val="left"/>
    </w:lvl>
    <w:lvl w:ilvl="6" w:tplc="D968E89A">
      <w:numFmt w:val="decimal"/>
      <w:lvlText w:val=""/>
      <w:lvlJc w:val="left"/>
    </w:lvl>
    <w:lvl w:ilvl="7" w:tplc="00E012E2">
      <w:numFmt w:val="decimal"/>
      <w:lvlText w:val=""/>
      <w:lvlJc w:val="left"/>
    </w:lvl>
    <w:lvl w:ilvl="8" w:tplc="E6DE629C">
      <w:numFmt w:val="decimal"/>
      <w:lvlText w:val=""/>
      <w:lvlJc w:val="left"/>
    </w:lvl>
  </w:abstractNum>
  <w:abstractNum w:abstractNumId="530" w15:restartNumberingAfterBreak="0">
    <w:nsid w:val="36687D2F"/>
    <w:multiLevelType w:val="hybridMultilevel"/>
    <w:tmpl w:val="8E0273FE"/>
    <w:lvl w:ilvl="0" w:tplc="396AF2A4">
      <w:start w:val="1"/>
      <w:numFmt w:val="bullet"/>
      <w:lvlText w:val=""/>
      <w:lvlJc w:val="left"/>
      <w:pPr>
        <w:ind w:left="720" w:hanging="360"/>
      </w:pPr>
      <w:rPr>
        <w:rFonts w:ascii="Symbol" w:hAnsi="Symbol" w:hint="default"/>
      </w:rPr>
    </w:lvl>
    <w:lvl w:ilvl="1" w:tplc="24624ED6">
      <w:numFmt w:val="decimal"/>
      <w:lvlText w:val=""/>
      <w:lvlJc w:val="left"/>
    </w:lvl>
    <w:lvl w:ilvl="2" w:tplc="B9CAEEDE">
      <w:numFmt w:val="decimal"/>
      <w:lvlText w:val=""/>
      <w:lvlJc w:val="left"/>
    </w:lvl>
    <w:lvl w:ilvl="3" w:tplc="3992FE28">
      <w:numFmt w:val="decimal"/>
      <w:lvlText w:val=""/>
      <w:lvlJc w:val="left"/>
    </w:lvl>
    <w:lvl w:ilvl="4" w:tplc="095AFDF4">
      <w:numFmt w:val="decimal"/>
      <w:lvlText w:val=""/>
      <w:lvlJc w:val="left"/>
    </w:lvl>
    <w:lvl w:ilvl="5" w:tplc="057830BA">
      <w:numFmt w:val="decimal"/>
      <w:lvlText w:val=""/>
      <w:lvlJc w:val="left"/>
    </w:lvl>
    <w:lvl w:ilvl="6" w:tplc="C75C9CAA">
      <w:numFmt w:val="decimal"/>
      <w:lvlText w:val=""/>
      <w:lvlJc w:val="left"/>
    </w:lvl>
    <w:lvl w:ilvl="7" w:tplc="9A180B78">
      <w:numFmt w:val="decimal"/>
      <w:lvlText w:val=""/>
      <w:lvlJc w:val="left"/>
    </w:lvl>
    <w:lvl w:ilvl="8" w:tplc="62EED858">
      <w:numFmt w:val="decimal"/>
      <w:lvlText w:val=""/>
      <w:lvlJc w:val="left"/>
    </w:lvl>
  </w:abstractNum>
  <w:abstractNum w:abstractNumId="531" w15:restartNumberingAfterBreak="0">
    <w:nsid w:val="36941075"/>
    <w:multiLevelType w:val="hybridMultilevel"/>
    <w:tmpl w:val="2890A174"/>
    <w:lvl w:ilvl="0" w:tplc="67686670">
      <w:start w:val="1"/>
      <w:numFmt w:val="bullet"/>
      <w:lvlText w:val=""/>
      <w:lvlJc w:val="left"/>
      <w:pPr>
        <w:ind w:left="720" w:hanging="360"/>
      </w:pPr>
      <w:rPr>
        <w:rFonts w:ascii="Symbol" w:hAnsi="Symbol" w:hint="default"/>
      </w:rPr>
    </w:lvl>
    <w:lvl w:ilvl="1" w:tplc="3CC259A4">
      <w:numFmt w:val="decimal"/>
      <w:lvlText w:val=""/>
      <w:lvlJc w:val="left"/>
    </w:lvl>
    <w:lvl w:ilvl="2" w:tplc="4AA2B174">
      <w:numFmt w:val="decimal"/>
      <w:lvlText w:val=""/>
      <w:lvlJc w:val="left"/>
    </w:lvl>
    <w:lvl w:ilvl="3" w:tplc="3FF061C2">
      <w:numFmt w:val="decimal"/>
      <w:lvlText w:val=""/>
      <w:lvlJc w:val="left"/>
    </w:lvl>
    <w:lvl w:ilvl="4" w:tplc="EB42E430">
      <w:numFmt w:val="decimal"/>
      <w:lvlText w:val=""/>
      <w:lvlJc w:val="left"/>
    </w:lvl>
    <w:lvl w:ilvl="5" w:tplc="C1BAB4FC">
      <w:numFmt w:val="decimal"/>
      <w:lvlText w:val=""/>
      <w:lvlJc w:val="left"/>
    </w:lvl>
    <w:lvl w:ilvl="6" w:tplc="A94C3CCA">
      <w:numFmt w:val="decimal"/>
      <w:lvlText w:val=""/>
      <w:lvlJc w:val="left"/>
    </w:lvl>
    <w:lvl w:ilvl="7" w:tplc="700AC128">
      <w:numFmt w:val="decimal"/>
      <w:lvlText w:val=""/>
      <w:lvlJc w:val="left"/>
    </w:lvl>
    <w:lvl w:ilvl="8" w:tplc="8E34C916">
      <w:numFmt w:val="decimal"/>
      <w:lvlText w:val=""/>
      <w:lvlJc w:val="left"/>
    </w:lvl>
  </w:abstractNum>
  <w:abstractNum w:abstractNumId="532" w15:restartNumberingAfterBreak="0">
    <w:nsid w:val="36B02D93"/>
    <w:multiLevelType w:val="hybridMultilevel"/>
    <w:tmpl w:val="4C0E1774"/>
    <w:lvl w:ilvl="0" w:tplc="3F8096D6">
      <w:start w:val="1"/>
      <w:numFmt w:val="bullet"/>
      <w:lvlText w:val=""/>
      <w:lvlJc w:val="left"/>
      <w:pPr>
        <w:ind w:left="720" w:hanging="360"/>
      </w:pPr>
      <w:rPr>
        <w:rFonts w:ascii="Symbol" w:hAnsi="Symbol" w:hint="default"/>
      </w:rPr>
    </w:lvl>
    <w:lvl w:ilvl="1" w:tplc="1D4EBA4C">
      <w:numFmt w:val="decimal"/>
      <w:lvlText w:val=""/>
      <w:lvlJc w:val="left"/>
    </w:lvl>
    <w:lvl w:ilvl="2" w:tplc="719E2486">
      <w:numFmt w:val="decimal"/>
      <w:lvlText w:val=""/>
      <w:lvlJc w:val="left"/>
    </w:lvl>
    <w:lvl w:ilvl="3" w:tplc="84182260">
      <w:numFmt w:val="decimal"/>
      <w:lvlText w:val=""/>
      <w:lvlJc w:val="left"/>
    </w:lvl>
    <w:lvl w:ilvl="4" w:tplc="481A7744">
      <w:numFmt w:val="decimal"/>
      <w:lvlText w:val=""/>
      <w:lvlJc w:val="left"/>
    </w:lvl>
    <w:lvl w:ilvl="5" w:tplc="DBAC061A">
      <w:numFmt w:val="decimal"/>
      <w:lvlText w:val=""/>
      <w:lvlJc w:val="left"/>
    </w:lvl>
    <w:lvl w:ilvl="6" w:tplc="8F507B5A">
      <w:numFmt w:val="decimal"/>
      <w:lvlText w:val=""/>
      <w:lvlJc w:val="left"/>
    </w:lvl>
    <w:lvl w:ilvl="7" w:tplc="8CA0617A">
      <w:numFmt w:val="decimal"/>
      <w:lvlText w:val=""/>
      <w:lvlJc w:val="left"/>
    </w:lvl>
    <w:lvl w:ilvl="8" w:tplc="14B276D4">
      <w:numFmt w:val="decimal"/>
      <w:lvlText w:val=""/>
      <w:lvlJc w:val="left"/>
    </w:lvl>
  </w:abstractNum>
  <w:abstractNum w:abstractNumId="533" w15:restartNumberingAfterBreak="0">
    <w:nsid w:val="36CF707C"/>
    <w:multiLevelType w:val="hybridMultilevel"/>
    <w:tmpl w:val="261A37D8"/>
    <w:lvl w:ilvl="0" w:tplc="BD26EA14">
      <w:start w:val="1"/>
      <w:numFmt w:val="bullet"/>
      <w:lvlText w:val=""/>
      <w:lvlJc w:val="left"/>
      <w:pPr>
        <w:ind w:left="720" w:hanging="360"/>
      </w:pPr>
      <w:rPr>
        <w:rFonts w:ascii="Symbol" w:hAnsi="Symbol" w:hint="default"/>
      </w:rPr>
    </w:lvl>
    <w:lvl w:ilvl="1" w:tplc="993054E4">
      <w:numFmt w:val="decimal"/>
      <w:lvlText w:val=""/>
      <w:lvlJc w:val="left"/>
    </w:lvl>
    <w:lvl w:ilvl="2" w:tplc="49A6ED2E">
      <w:numFmt w:val="decimal"/>
      <w:lvlText w:val=""/>
      <w:lvlJc w:val="left"/>
    </w:lvl>
    <w:lvl w:ilvl="3" w:tplc="C302B1F0">
      <w:numFmt w:val="decimal"/>
      <w:lvlText w:val=""/>
      <w:lvlJc w:val="left"/>
    </w:lvl>
    <w:lvl w:ilvl="4" w:tplc="D93A1862">
      <w:numFmt w:val="decimal"/>
      <w:lvlText w:val=""/>
      <w:lvlJc w:val="left"/>
    </w:lvl>
    <w:lvl w:ilvl="5" w:tplc="B9F6AC8E">
      <w:numFmt w:val="decimal"/>
      <w:lvlText w:val=""/>
      <w:lvlJc w:val="left"/>
    </w:lvl>
    <w:lvl w:ilvl="6" w:tplc="54B0773A">
      <w:numFmt w:val="decimal"/>
      <w:lvlText w:val=""/>
      <w:lvlJc w:val="left"/>
    </w:lvl>
    <w:lvl w:ilvl="7" w:tplc="51F8192E">
      <w:numFmt w:val="decimal"/>
      <w:lvlText w:val=""/>
      <w:lvlJc w:val="left"/>
    </w:lvl>
    <w:lvl w:ilvl="8" w:tplc="5742E0CE">
      <w:numFmt w:val="decimal"/>
      <w:lvlText w:val=""/>
      <w:lvlJc w:val="left"/>
    </w:lvl>
  </w:abstractNum>
  <w:abstractNum w:abstractNumId="534" w15:restartNumberingAfterBreak="0">
    <w:nsid w:val="36D36D1E"/>
    <w:multiLevelType w:val="hybridMultilevel"/>
    <w:tmpl w:val="EDA6C15E"/>
    <w:lvl w:ilvl="0" w:tplc="CDB8BB58">
      <w:start w:val="1"/>
      <w:numFmt w:val="bullet"/>
      <w:lvlText w:val=""/>
      <w:lvlJc w:val="left"/>
      <w:pPr>
        <w:ind w:left="720" w:hanging="360"/>
      </w:pPr>
      <w:rPr>
        <w:rFonts w:ascii="Symbol" w:hAnsi="Symbol" w:hint="default"/>
      </w:rPr>
    </w:lvl>
    <w:lvl w:ilvl="1" w:tplc="A814BA5A">
      <w:numFmt w:val="decimal"/>
      <w:lvlText w:val=""/>
      <w:lvlJc w:val="left"/>
    </w:lvl>
    <w:lvl w:ilvl="2" w:tplc="AC70AF34">
      <w:numFmt w:val="decimal"/>
      <w:lvlText w:val=""/>
      <w:lvlJc w:val="left"/>
    </w:lvl>
    <w:lvl w:ilvl="3" w:tplc="FDD8D61A">
      <w:numFmt w:val="decimal"/>
      <w:lvlText w:val=""/>
      <w:lvlJc w:val="left"/>
    </w:lvl>
    <w:lvl w:ilvl="4" w:tplc="1B945B06">
      <w:numFmt w:val="decimal"/>
      <w:lvlText w:val=""/>
      <w:lvlJc w:val="left"/>
    </w:lvl>
    <w:lvl w:ilvl="5" w:tplc="7F765C9A">
      <w:numFmt w:val="decimal"/>
      <w:lvlText w:val=""/>
      <w:lvlJc w:val="left"/>
    </w:lvl>
    <w:lvl w:ilvl="6" w:tplc="EE62C632">
      <w:numFmt w:val="decimal"/>
      <w:lvlText w:val=""/>
      <w:lvlJc w:val="left"/>
    </w:lvl>
    <w:lvl w:ilvl="7" w:tplc="10BC5F58">
      <w:numFmt w:val="decimal"/>
      <w:lvlText w:val=""/>
      <w:lvlJc w:val="left"/>
    </w:lvl>
    <w:lvl w:ilvl="8" w:tplc="37EE19EA">
      <w:numFmt w:val="decimal"/>
      <w:lvlText w:val=""/>
      <w:lvlJc w:val="left"/>
    </w:lvl>
  </w:abstractNum>
  <w:abstractNum w:abstractNumId="535" w15:restartNumberingAfterBreak="0">
    <w:nsid w:val="36E35B07"/>
    <w:multiLevelType w:val="hybridMultilevel"/>
    <w:tmpl w:val="E7CAF344"/>
    <w:lvl w:ilvl="0" w:tplc="195065A6">
      <w:start w:val="1"/>
      <w:numFmt w:val="bullet"/>
      <w:lvlText w:val=""/>
      <w:lvlJc w:val="left"/>
      <w:pPr>
        <w:ind w:left="720" w:hanging="360"/>
      </w:pPr>
      <w:rPr>
        <w:rFonts w:ascii="Symbol" w:hAnsi="Symbol" w:hint="default"/>
      </w:rPr>
    </w:lvl>
    <w:lvl w:ilvl="1" w:tplc="164A927A">
      <w:numFmt w:val="decimal"/>
      <w:lvlText w:val=""/>
      <w:lvlJc w:val="left"/>
    </w:lvl>
    <w:lvl w:ilvl="2" w:tplc="E8AE0D28">
      <w:numFmt w:val="decimal"/>
      <w:lvlText w:val=""/>
      <w:lvlJc w:val="left"/>
    </w:lvl>
    <w:lvl w:ilvl="3" w:tplc="FE0476BC">
      <w:numFmt w:val="decimal"/>
      <w:lvlText w:val=""/>
      <w:lvlJc w:val="left"/>
    </w:lvl>
    <w:lvl w:ilvl="4" w:tplc="8E3ABCFC">
      <w:numFmt w:val="decimal"/>
      <w:lvlText w:val=""/>
      <w:lvlJc w:val="left"/>
    </w:lvl>
    <w:lvl w:ilvl="5" w:tplc="AA4A8570">
      <w:numFmt w:val="decimal"/>
      <w:lvlText w:val=""/>
      <w:lvlJc w:val="left"/>
    </w:lvl>
    <w:lvl w:ilvl="6" w:tplc="96DC1370">
      <w:numFmt w:val="decimal"/>
      <w:lvlText w:val=""/>
      <w:lvlJc w:val="left"/>
    </w:lvl>
    <w:lvl w:ilvl="7" w:tplc="2B606B90">
      <w:numFmt w:val="decimal"/>
      <w:lvlText w:val=""/>
      <w:lvlJc w:val="left"/>
    </w:lvl>
    <w:lvl w:ilvl="8" w:tplc="E3E0857C">
      <w:numFmt w:val="decimal"/>
      <w:lvlText w:val=""/>
      <w:lvlJc w:val="left"/>
    </w:lvl>
  </w:abstractNum>
  <w:abstractNum w:abstractNumId="536" w15:restartNumberingAfterBreak="0">
    <w:nsid w:val="36F467DD"/>
    <w:multiLevelType w:val="hybridMultilevel"/>
    <w:tmpl w:val="B54CD406"/>
    <w:lvl w:ilvl="0" w:tplc="81B452C2">
      <w:start w:val="1"/>
      <w:numFmt w:val="bullet"/>
      <w:lvlText w:val=""/>
      <w:lvlJc w:val="left"/>
      <w:pPr>
        <w:ind w:left="720" w:hanging="360"/>
      </w:pPr>
      <w:rPr>
        <w:rFonts w:ascii="Symbol" w:hAnsi="Symbol" w:hint="default"/>
      </w:rPr>
    </w:lvl>
    <w:lvl w:ilvl="1" w:tplc="7220D42C">
      <w:numFmt w:val="decimal"/>
      <w:lvlText w:val=""/>
      <w:lvlJc w:val="left"/>
    </w:lvl>
    <w:lvl w:ilvl="2" w:tplc="42841E96">
      <w:numFmt w:val="decimal"/>
      <w:lvlText w:val=""/>
      <w:lvlJc w:val="left"/>
    </w:lvl>
    <w:lvl w:ilvl="3" w:tplc="D5AE23E2">
      <w:numFmt w:val="decimal"/>
      <w:lvlText w:val=""/>
      <w:lvlJc w:val="left"/>
    </w:lvl>
    <w:lvl w:ilvl="4" w:tplc="1EE45B72">
      <w:numFmt w:val="decimal"/>
      <w:lvlText w:val=""/>
      <w:lvlJc w:val="left"/>
    </w:lvl>
    <w:lvl w:ilvl="5" w:tplc="83E69884">
      <w:numFmt w:val="decimal"/>
      <w:lvlText w:val=""/>
      <w:lvlJc w:val="left"/>
    </w:lvl>
    <w:lvl w:ilvl="6" w:tplc="8CAC4840">
      <w:numFmt w:val="decimal"/>
      <w:lvlText w:val=""/>
      <w:lvlJc w:val="left"/>
    </w:lvl>
    <w:lvl w:ilvl="7" w:tplc="2E2E2202">
      <w:numFmt w:val="decimal"/>
      <w:lvlText w:val=""/>
      <w:lvlJc w:val="left"/>
    </w:lvl>
    <w:lvl w:ilvl="8" w:tplc="FB3A9F14">
      <w:numFmt w:val="decimal"/>
      <w:lvlText w:val=""/>
      <w:lvlJc w:val="left"/>
    </w:lvl>
  </w:abstractNum>
  <w:abstractNum w:abstractNumId="537" w15:restartNumberingAfterBreak="0">
    <w:nsid w:val="36FD5499"/>
    <w:multiLevelType w:val="hybridMultilevel"/>
    <w:tmpl w:val="76BA301E"/>
    <w:lvl w:ilvl="0" w:tplc="3BB850F4">
      <w:start w:val="1"/>
      <w:numFmt w:val="bullet"/>
      <w:lvlText w:val=""/>
      <w:lvlJc w:val="left"/>
      <w:pPr>
        <w:ind w:left="720" w:hanging="360"/>
      </w:pPr>
      <w:rPr>
        <w:rFonts w:ascii="Symbol" w:hAnsi="Symbol" w:hint="default"/>
      </w:rPr>
    </w:lvl>
    <w:lvl w:ilvl="1" w:tplc="0ED09974">
      <w:numFmt w:val="decimal"/>
      <w:lvlText w:val=""/>
      <w:lvlJc w:val="left"/>
    </w:lvl>
    <w:lvl w:ilvl="2" w:tplc="7AAC839C">
      <w:numFmt w:val="decimal"/>
      <w:lvlText w:val=""/>
      <w:lvlJc w:val="left"/>
    </w:lvl>
    <w:lvl w:ilvl="3" w:tplc="9D6CCFD6">
      <w:numFmt w:val="decimal"/>
      <w:lvlText w:val=""/>
      <w:lvlJc w:val="left"/>
    </w:lvl>
    <w:lvl w:ilvl="4" w:tplc="E20EBF10">
      <w:numFmt w:val="decimal"/>
      <w:lvlText w:val=""/>
      <w:lvlJc w:val="left"/>
    </w:lvl>
    <w:lvl w:ilvl="5" w:tplc="6CC2D16A">
      <w:numFmt w:val="decimal"/>
      <w:lvlText w:val=""/>
      <w:lvlJc w:val="left"/>
    </w:lvl>
    <w:lvl w:ilvl="6" w:tplc="49E68242">
      <w:numFmt w:val="decimal"/>
      <w:lvlText w:val=""/>
      <w:lvlJc w:val="left"/>
    </w:lvl>
    <w:lvl w:ilvl="7" w:tplc="AC12CB98">
      <w:numFmt w:val="decimal"/>
      <w:lvlText w:val=""/>
      <w:lvlJc w:val="left"/>
    </w:lvl>
    <w:lvl w:ilvl="8" w:tplc="289C4F86">
      <w:numFmt w:val="decimal"/>
      <w:lvlText w:val=""/>
      <w:lvlJc w:val="left"/>
    </w:lvl>
  </w:abstractNum>
  <w:abstractNum w:abstractNumId="538" w15:restartNumberingAfterBreak="0">
    <w:nsid w:val="371B4597"/>
    <w:multiLevelType w:val="hybridMultilevel"/>
    <w:tmpl w:val="CA223488"/>
    <w:lvl w:ilvl="0" w:tplc="972CF118">
      <w:numFmt w:val="decimal"/>
      <w:lvlText w:val=""/>
      <w:lvlJc w:val="left"/>
    </w:lvl>
    <w:lvl w:ilvl="1" w:tplc="A80AF922">
      <w:start w:val="1"/>
      <w:numFmt w:val="bullet"/>
      <w:lvlText w:val=""/>
      <w:lvlJc w:val="left"/>
      <w:pPr>
        <w:ind w:left="1440" w:hanging="360"/>
      </w:pPr>
      <w:rPr>
        <w:rFonts w:ascii="Symbol" w:hAnsi="Symbol" w:hint="default"/>
      </w:rPr>
    </w:lvl>
    <w:lvl w:ilvl="2" w:tplc="5A525674">
      <w:numFmt w:val="decimal"/>
      <w:lvlText w:val=""/>
      <w:lvlJc w:val="left"/>
    </w:lvl>
    <w:lvl w:ilvl="3" w:tplc="0D827A8E">
      <w:numFmt w:val="decimal"/>
      <w:lvlText w:val=""/>
      <w:lvlJc w:val="left"/>
    </w:lvl>
    <w:lvl w:ilvl="4" w:tplc="0400E6FC">
      <w:numFmt w:val="decimal"/>
      <w:lvlText w:val=""/>
      <w:lvlJc w:val="left"/>
    </w:lvl>
    <w:lvl w:ilvl="5" w:tplc="15D86DC4">
      <w:numFmt w:val="decimal"/>
      <w:lvlText w:val=""/>
      <w:lvlJc w:val="left"/>
    </w:lvl>
    <w:lvl w:ilvl="6" w:tplc="8C225DAE">
      <w:numFmt w:val="decimal"/>
      <w:lvlText w:val=""/>
      <w:lvlJc w:val="left"/>
    </w:lvl>
    <w:lvl w:ilvl="7" w:tplc="69208B1E">
      <w:numFmt w:val="decimal"/>
      <w:lvlText w:val=""/>
      <w:lvlJc w:val="left"/>
    </w:lvl>
    <w:lvl w:ilvl="8" w:tplc="6B32E638">
      <w:numFmt w:val="decimal"/>
      <w:lvlText w:val=""/>
      <w:lvlJc w:val="left"/>
    </w:lvl>
  </w:abstractNum>
  <w:abstractNum w:abstractNumId="539" w15:restartNumberingAfterBreak="0">
    <w:nsid w:val="3733598F"/>
    <w:multiLevelType w:val="hybridMultilevel"/>
    <w:tmpl w:val="06343E50"/>
    <w:lvl w:ilvl="0" w:tplc="0702126C">
      <w:start w:val="1"/>
      <w:numFmt w:val="bullet"/>
      <w:lvlText w:val=""/>
      <w:lvlJc w:val="left"/>
      <w:pPr>
        <w:ind w:left="720" w:hanging="360"/>
      </w:pPr>
      <w:rPr>
        <w:rFonts w:ascii="Symbol" w:hAnsi="Symbol" w:hint="default"/>
      </w:rPr>
    </w:lvl>
    <w:lvl w:ilvl="1" w:tplc="2B549BCA">
      <w:numFmt w:val="decimal"/>
      <w:lvlText w:val=""/>
      <w:lvlJc w:val="left"/>
    </w:lvl>
    <w:lvl w:ilvl="2" w:tplc="3C7E0EEA">
      <w:numFmt w:val="decimal"/>
      <w:lvlText w:val=""/>
      <w:lvlJc w:val="left"/>
    </w:lvl>
    <w:lvl w:ilvl="3" w:tplc="9C029D44">
      <w:numFmt w:val="decimal"/>
      <w:lvlText w:val=""/>
      <w:lvlJc w:val="left"/>
    </w:lvl>
    <w:lvl w:ilvl="4" w:tplc="E408C946">
      <w:numFmt w:val="decimal"/>
      <w:lvlText w:val=""/>
      <w:lvlJc w:val="left"/>
    </w:lvl>
    <w:lvl w:ilvl="5" w:tplc="016CF84C">
      <w:numFmt w:val="decimal"/>
      <w:lvlText w:val=""/>
      <w:lvlJc w:val="left"/>
    </w:lvl>
    <w:lvl w:ilvl="6" w:tplc="2D6CF844">
      <w:numFmt w:val="decimal"/>
      <w:lvlText w:val=""/>
      <w:lvlJc w:val="left"/>
    </w:lvl>
    <w:lvl w:ilvl="7" w:tplc="02B2A78C">
      <w:numFmt w:val="decimal"/>
      <w:lvlText w:val=""/>
      <w:lvlJc w:val="left"/>
    </w:lvl>
    <w:lvl w:ilvl="8" w:tplc="4E72D472">
      <w:numFmt w:val="decimal"/>
      <w:lvlText w:val=""/>
      <w:lvlJc w:val="left"/>
    </w:lvl>
  </w:abstractNum>
  <w:abstractNum w:abstractNumId="540" w15:restartNumberingAfterBreak="0">
    <w:nsid w:val="37504660"/>
    <w:multiLevelType w:val="hybridMultilevel"/>
    <w:tmpl w:val="4EB26EAE"/>
    <w:lvl w:ilvl="0" w:tplc="9A2884A6">
      <w:start w:val="1"/>
      <w:numFmt w:val="bullet"/>
      <w:lvlText w:val=""/>
      <w:lvlJc w:val="left"/>
      <w:pPr>
        <w:ind w:left="720" w:hanging="360"/>
      </w:pPr>
      <w:rPr>
        <w:rFonts w:ascii="Symbol" w:hAnsi="Symbol" w:hint="default"/>
      </w:rPr>
    </w:lvl>
    <w:lvl w:ilvl="1" w:tplc="5712BDFC">
      <w:numFmt w:val="decimal"/>
      <w:lvlText w:val=""/>
      <w:lvlJc w:val="left"/>
    </w:lvl>
    <w:lvl w:ilvl="2" w:tplc="0142C3E8">
      <w:numFmt w:val="decimal"/>
      <w:lvlText w:val=""/>
      <w:lvlJc w:val="left"/>
    </w:lvl>
    <w:lvl w:ilvl="3" w:tplc="1ABE495E">
      <w:numFmt w:val="decimal"/>
      <w:lvlText w:val=""/>
      <w:lvlJc w:val="left"/>
    </w:lvl>
    <w:lvl w:ilvl="4" w:tplc="338CD88A">
      <w:numFmt w:val="decimal"/>
      <w:lvlText w:val=""/>
      <w:lvlJc w:val="left"/>
    </w:lvl>
    <w:lvl w:ilvl="5" w:tplc="B4FA8AFA">
      <w:numFmt w:val="decimal"/>
      <w:lvlText w:val=""/>
      <w:lvlJc w:val="left"/>
    </w:lvl>
    <w:lvl w:ilvl="6" w:tplc="0B44B4DC">
      <w:numFmt w:val="decimal"/>
      <w:lvlText w:val=""/>
      <w:lvlJc w:val="left"/>
    </w:lvl>
    <w:lvl w:ilvl="7" w:tplc="D4E28C34">
      <w:numFmt w:val="decimal"/>
      <w:lvlText w:val=""/>
      <w:lvlJc w:val="left"/>
    </w:lvl>
    <w:lvl w:ilvl="8" w:tplc="4186FCB6">
      <w:numFmt w:val="decimal"/>
      <w:lvlText w:val=""/>
      <w:lvlJc w:val="left"/>
    </w:lvl>
  </w:abstractNum>
  <w:abstractNum w:abstractNumId="541" w15:restartNumberingAfterBreak="0">
    <w:nsid w:val="377668BC"/>
    <w:multiLevelType w:val="hybridMultilevel"/>
    <w:tmpl w:val="62D4B608"/>
    <w:lvl w:ilvl="0" w:tplc="DACC3C28">
      <w:start w:val="1"/>
      <w:numFmt w:val="bullet"/>
      <w:lvlText w:val=""/>
      <w:lvlJc w:val="left"/>
      <w:pPr>
        <w:ind w:left="720" w:hanging="360"/>
      </w:pPr>
      <w:rPr>
        <w:rFonts w:ascii="Symbol" w:hAnsi="Symbol" w:hint="default"/>
      </w:rPr>
    </w:lvl>
    <w:lvl w:ilvl="1" w:tplc="5D0AC462">
      <w:numFmt w:val="decimal"/>
      <w:lvlText w:val=""/>
      <w:lvlJc w:val="left"/>
    </w:lvl>
    <w:lvl w:ilvl="2" w:tplc="64605174">
      <w:numFmt w:val="decimal"/>
      <w:lvlText w:val=""/>
      <w:lvlJc w:val="left"/>
    </w:lvl>
    <w:lvl w:ilvl="3" w:tplc="54F83DD8">
      <w:numFmt w:val="decimal"/>
      <w:lvlText w:val=""/>
      <w:lvlJc w:val="left"/>
    </w:lvl>
    <w:lvl w:ilvl="4" w:tplc="D5A6E2CC">
      <w:numFmt w:val="decimal"/>
      <w:lvlText w:val=""/>
      <w:lvlJc w:val="left"/>
    </w:lvl>
    <w:lvl w:ilvl="5" w:tplc="2984FE10">
      <w:numFmt w:val="decimal"/>
      <w:lvlText w:val=""/>
      <w:lvlJc w:val="left"/>
    </w:lvl>
    <w:lvl w:ilvl="6" w:tplc="6F8CDD04">
      <w:numFmt w:val="decimal"/>
      <w:lvlText w:val=""/>
      <w:lvlJc w:val="left"/>
    </w:lvl>
    <w:lvl w:ilvl="7" w:tplc="7200EB48">
      <w:numFmt w:val="decimal"/>
      <w:lvlText w:val=""/>
      <w:lvlJc w:val="left"/>
    </w:lvl>
    <w:lvl w:ilvl="8" w:tplc="DC0E8BEE">
      <w:numFmt w:val="decimal"/>
      <w:lvlText w:val=""/>
      <w:lvlJc w:val="left"/>
    </w:lvl>
  </w:abstractNum>
  <w:abstractNum w:abstractNumId="542" w15:restartNumberingAfterBreak="0">
    <w:nsid w:val="3796293B"/>
    <w:multiLevelType w:val="hybridMultilevel"/>
    <w:tmpl w:val="CFD84100"/>
    <w:lvl w:ilvl="0" w:tplc="FAD432AE">
      <w:start w:val="1"/>
      <w:numFmt w:val="bullet"/>
      <w:lvlText w:val=""/>
      <w:lvlJc w:val="left"/>
      <w:pPr>
        <w:ind w:left="720" w:hanging="360"/>
      </w:pPr>
      <w:rPr>
        <w:rFonts w:ascii="Symbol" w:hAnsi="Symbol" w:hint="default"/>
      </w:rPr>
    </w:lvl>
    <w:lvl w:ilvl="1" w:tplc="C15209C4">
      <w:numFmt w:val="decimal"/>
      <w:lvlText w:val=""/>
      <w:lvlJc w:val="left"/>
    </w:lvl>
    <w:lvl w:ilvl="2" w:tplc="E200CA60">
      <w:numFmt w:val="decimal"/>
      <w:lvlText w:val=""/>
      <w:lvlJc w:val="left"/>
    </w:lvl>
    <w:lvl w:ilvl="3" w:tplc="6E924D2E">
      <w:numFmt w:val="decimal"/>
      <w:lvlText w:val=""/>
      <w:lvlJc w:val="left"/>
    </w:lvl>
    <w:lvl w:ilvl="4" w:tplc="54ACE3F0">
      <w:numFmt w:val="decimal"/>
      <w:lvlText w:val=""/>
      <w:lvlJc w:val="left"/>
    </w:lvl>
    <w:lvl w:ilvl="5" w:tplc="10D2A9A6">
      <w:numFmt w:val="decimal"/>
      <w:lvlText w:val=""/>
      <w:lvlJc w:val="left"/>
    </w:lvl>
    <w:lvl w:ilvl="6" w:tplc="D0CA7382">
      <w:numFmt w:val="decimal"/>
      <w:lvlText w:val=""/>
      <w:lvlJc w:val="left"/>
    </w:lvl>
    <w:lvl w:ilvl="7" w:tplc="C4A6BEE0">
      <w:numFmt w:val="decimal"/>
      <w:lvlText w:val=""/>
      <w:lvlJc w:val="left"/>
    </w:lvl>
    <w:lvl w:ilvl="8" w:tplc="49B88218">
      <w:numFmt w:val="decimal"/>
      <w:lvlText w:val=""/>
      <w:lvlJc w:val="left"/>
    </w:lvl>
  </w:abstractNum>
  <w:abstractNum w:abstractNumId="543" w15:restartNumberingAfterBreak="0">
    <w:nsid w:val="37AF0140"/>
    <w:multiLevelType w:val="hybridMultilevel"/>
    <w:tmpl w:val="5288C352"/>
    <w:lvl w:ilvl="0" w:tplc="DAF486B4">
      <w:start w:val="1"/>
      <w:numFmt w:val="bullet"/>
      <w:lvlText w:val=""/>
      <w:lvlJc w:val="left"/>
      <w:pPr>
        <w:ind w:left="720" w:hanging="360"/>
      </w:pPr>
      <w:rPr>
        <w:rFonts w:ascii="Symbol" w:hAnsi="Symbol" w:hint="default"/>
      </w:rPr>
    </w:lvl>
    <w:lvl w:ilvl="1" w:tplc="3DF06A08">
      <w:numFmt w:val="decimal"/>
      <w:lvlText w:val=""/>
      <w:lvlJc w:val="left"/>
    </w:lvl>
    <w:lvl w:ilvl="2" w:tplc="250C8DB2">
      <w:numFmt w:val="decimal"/>
      <w:lvlText w:val=""/>
      <w:lvlJc w:val="left"/>
    </w:lvl>
    <w:lvl w:ilvl="3" w:tplc="8398CE9C">
      <w:numFmt w:val="decimal"/>
      <w:lvlText w:val=""/>
      <w:lvlJc w:val="left"/>
    </w:lvl>
    <w:lvl w:ilvl="4" w:tplc="D2525428">
      <w:numFmt w:val="decimal"/>
      <w:lvlText w:val=""/>
      <w:lvlJc w:val="left"/>
    </w:lvl>
    <w:lvl w:ilvl="5" w:tplc="19B47584">
      <w:numFmt w:val="decimal"/>
      <w:lvlText w:val=""/>
      <w:lvlJc w:val="left"/>
    </w:lvl>
    <w:lvl w:ilvl="6" w:tplc="CD2A3C58">
      <w:numFmt w:val="decimal"/>
      <w:lvlText w:val=""/>
      <w:lvlJc w:val="left"/>
    </w:lvl>
    <w:lvl w:ilvl="7" w:tplc="4F04AF10">
      <w:numFmt w:val="decimal"/>
      <w:lvlText w:val=""/>
      <w:lvlJc w:val="left"/>
    </w:lvl>
    <w:lvl w:ilvl="8" w:tplc="928EFAD4">
      <w:numFmt w:val="decimal"/>
      <w:lvlText w:val=""/>
      <w:lvlJc w:val="left"/>
    </w:lvl>
  </w:abstractNum>
  <w:abstractNum w:abstractNumId="544" w15:restartNumberingAfterBreak="0">
    <w:nsid w:val="37E170BC"/>
    <w:multiLevelType w:val="hybridMultilevel"/>
    <w:tmpl w:val="486EF426"/>
    <w:lvl w:ilvl="0" w:tplc="F4F4C310">
      <w:start w:val="1"/>
      <w:numFmt w:val="bullet"/>
      <w:lvlText w:val=""/>
      <w:lvlJc w:val="left"/>
      <w:pPr>
        <w:ind w:left="720" w:hanging="360"/>
      </w:pPr>
      <w:rPr>
        <w:rFonts w:ascii="Symbol" w:hAnsi="Symbol" w:hint="default"/>
      </w:rPr>
    </w:lvl>
    <w:lvl w:ilvl="1" w:tplc="E7680C76">
      <w:numFmt w:val="decimal"/>
      <w:lvlText w:val=""/>
      <w:lvlJc w:val="left"/>
    </w:lvl>
    <w:lvl w:ilvl="2" w:tplc="5D784AD4">
      <w:numFmt w:val="decimal"/>
      <w:lvlText w:val=""/>
      <w:lvlJc w:val="left"/>
    </w:lvl>
    <w:lvl w:ilvl="3" w:tplc="2092EBCC">
      <w:numFmt w:val="decimal"/>
      <w:lvlText w:val=""/>
      <w:lvlJc w:val="left"/>
    </w:lvl>
    <w:lvl w:ilvl="4" w:tplc="9546122C">
      <w:numFmt w:val="decimal"/>
      <w:lvlText w:val=""/>
      <w:lvlJc w:val="left"/>
    </w:lvl>
    <w:lvl w:ilvl="5" w:tplc="771C07EA">
      <w:numFmt w:val="decimal"/>
      <w:lvlText w:val=""/>
      <w:lvlJc w:val="left"/>
    </w:lvl>
    <w:lvl w:ilvl="6" w:tplc="FC0626BA">
      <w:numFmt w:val="decimal"/>
      <w:lvlText w:val=""/>
      <w:lvlJc w:val="left"/>
    </w:lvl>
    <w:lvl w:ilvl="7" w:tplc="17BA809E">
      <w:numFmt w:val="decimal"/>
      <w:lvlText w:val=""/>
      <w:lvlJc w:val="left"/>
    </w:lvl>
    <w:lvl w:ilvl="8" w:tplc="D286069E">
      <w:numFmt w:val="decimal"/>
      <w:lvlText w:val=""/>
      <w:lvlJc w:val="left"/>
    </w:lvl>
  </w:abstractNum>
  <w:abstractNum w:abstractNumId="545" w15:restartNumberingAfterBreak="0">
    <w:nsid w:val="37E2160C"/>
    <w:multiLevelType w:val="hybridMultilevel"/>
    <w:tmpl w:val="11460C00"/>
    <w:lvl w:ilvl="0" w:tplc="A410A494">
      <w:start w:val="1"/>
      <w:numFmt w:val="bullet"/>
      <w:lvlText w:val=""/>
      <w:lvlJc w:val="left"/>
      <w:pPr>
        <w:ind w:left="720" w:hanging="360"/>
      </w:pPr>
      <w:rPr>
        <w:rFonts w:ascii="Symbol" w:hAnsi="Symbol" w:hint="default"/>
      </w:rPr>
    </w:lvl>
    <w:lvl w:ilvl="1" w:tplc="5B9CD258">
      <w:numFmt w:val="decimal"/>
      <w:lvlText w:val=""/>
      <w:lvlJc w:val="left"/>
    </w:lvl>
    <w:lvl w:ilvl="2" w:tplc="F92CAFA4">
      <w:numFmt w:val="decimal"/>
      <w:lvlText w:val=""/>
      <w:lvlJc w:val="left"/>
    </w:lvl>
    <w:lvl w:ilvl="3" w:tplc="A24E2762">
      <w:numFmt w:val="decimal"/>
      <w:lvlText w:val=""/>
      <w:lvlJc w:val="left"/>
    </w:lvl>
    <w:lvl w:ilvl="4" w:tplc="4874104A">
      <w:numFmt w:val="decimal"/>
      <w:lvlText w:val=""/>
      <w:lvlJc w:val="left"/>
    </w:lvl>
    <w:lvl w:ilvl="5" w:tplc="389287A2">
      <w:numFmt w:val="decimal"/>
      <w:lvlText w:val=""/>
      <w:lvlJc w:val="left"/>
    </w:lvl>
    <w:lvl w:ilvl="6" w:tplc="B3DC9548">
      <w:numFmt w:val="decimal"/>
      <w:lvlText w:val=""/>
      <w:lvlJc w:val="left"/>
    </w:lvl>
    <w:lvl w:ilvl="7" w:tplc="75EEB58C">
      <w:numFmt w:val="decimal"/>
      <w:lvlText w:val=""/>
      <w:lvlJc w:val="left"/>
    </w:lvl>
    <w:lvl w:ilvl="8" w:tplc="35F441F0">
      <w:numFmt w:val="decimal"/>
      <w:lvlText w:val=""/>
      <w:lvlJc w:val="left"/>
    </w:lvl>
  </w:abstractNum>
  <w:abstractNum w:abstractNumId="546" w15:restartNumberingAfterBreak="0">
    <w:nsid w:val="385A1D64"/>
    <w:multiLevelType w:val="hybridMultilevel"/>
    <w:tmpl w:val="5B94B650"/>
    <w:lvl w:ilvl="0" w:tplc="9E28F99E">
      <w:start w:val="1"/>
      <w:numFmt w:val="bullet"/>
      <w:lvlText w:val=""/>
      <w:lvlJc w:val="left"/>
      <w:pPr>
        <w:ind w:left="720" w:hanging="360"/>
      </w:pPr>
      <w:rPr>
        <w:rFonts w:ascii="Symbol" w:hAnsi="Symbol" w:hint="default"/>
      </w:rPr>
    </w:lvl>
    <w:lvl w:ilvl="1" w:tplc="E1FC2942">
      <w:numFmt w:val="decimal"/>
      <w:lvlText w:val=""/>
      <w:lvlJc w:val="left"/>
    </w:lvl>
    <w:lvl w:ilvl="2" w:tplc="3644198C">
      <w:numFmt w:val="decimal"/>
      <w:lvlText w:val=""/>
      <w:lvlJc w:val="left"/>
    </w:lvl>
    <w:lvl w:ilvl="3" w:tplc="69A8BB52">
      <w:numFmt w:val="decimal"/>
      <w:lvlText w:val=""/>
      <w:lvlJc w:val="left"/>
    </w:lvl>
    <w:lvl w:ilvl="4" w:tplc="B31014AE">
      <w:numFmt w:val="decimal"/>
      <w:lvlText w:val=""/>
      <w:lvlJc w:val="left"/>
    </w:lvl>
    <w:lvl w:ilvl="5" w:tplc="A1E8CA4A">
      <w:numFmt w:val="decimal"/>
      <w:lvlText w:val=""/>
      <w:lvlJc w:val="left"/>
    </w:lvl>
    <w:lvl w:ilvl="6" w:tplc="FD8C76A6">
      <w:numFmt w:val="decimal"/>
      <w:lvlText w:val=""/>
      <w:lvlJc w:val="left"/>
    </w:lvl>
    <w:lvl w:ilvl="7" w:tplc="27B823E6">
      <w:numFmt w:val="decimal"/>
      <w:lvlText w:val=""/>
      <w:lvlJc w:val="left"/>
    </w:lvl>
    <w:lvl w:ilvl="8" w:tplc="9A1CC3D6">
      <w:numFmt w:val="decimal"/>
      <w:lvlText w:val=""/>
      <w:lvlJc w:val="left"/>
    </w:lvl>
  </w:abstractNum>
  <w:abstractNum w:abstractNumId="547" w15:restartNumberingAfterBreak="0">
    <w:nsid w:val="387949EC"/>
    <w:multiLevelType w:val="hybridMultilevel"/>
    <w:tmpl w:val="42D436FA"/>
    <w:lvl w:ilvl="0" w:tplc="7742BCA2">
      <w:start w:val="1"/>
      <w:numFmt w:val="bullet"/>
      <w:lvlText w:val=""/>
      <w:lvlJc w:val="left"/>
      <w:pPr>
        <w:ind w:left="720" w:hanging="360"/>
      </w:pPr>
      <w:rPr>
        <w:rFonts w:ascii="Symbol" w:hAnsi="Symbol" w:hint="default"/>
      </w:rPr>
    </w:lvl>
    <w:lvl w:ilvl="1" w:tplc="299A7B6E">
      <w:numFmt w:val="decimal"/>
      <w:lvlText w:val=""/>
      <w:lvlJc w:val="left"/>
    </w:lvl>
    <w:lvl w:ilvl="2" w:tplc="C91E340A">
      <w:numFmt w:val="decimal"/>
      <w:lvlText w:val=""/>
      <w:lvlJc w:val="left"/>
    </w:lvl>
    <w:lvl w:ilvl="3" w:tplc="D9DA2B1A">
      <w:numFmt w:val="decimal"/>
      <w:lvlText w:val=""/>
      <w:lvlJc w:val="left"/>
    </w:lvl>
    <w:lvl w:ilvl="4" w:tplc="06A07E7A">
      <w:numFmt w:val="decimal"/>
      <w:lvlText w:val=""/>
      <w:lvlJc w:val="left"/>
    </w:lvl>
    <w:lvl w:ilvl="5" w:tplc="9C40E12C">
      <w:numFmt w:val="decimal"/>
      <w:lvlText w:val=""/>
      <w:lvlJc w:val="left"/>
    </w:lvl>
    <w:lvl w:ilvl="6" w:tplc="FC7488CC">
      <w:numFmt w:val="decimal"/>
      <w:lvlText w:val=""/>
      <w:lvlJc w:val="left"/>
    </w:lvl>
    <w:lvl w:ilvl="7" w:tplc="8166A8F2">
      <w:numFmt w:val="decimal"/>
      <w:lvlText w:val=""/>
      <w:lvlJc w:val="left"/>
    </w:lvl>
    <w:lvl w:ilvl="8" w:tplc="E8F8FDA4">
      <w:numFmt w:val="decimal"/>
      <w:lvlText w:val=""/>
      <w:lvlJc w:val="left"/>
    </w:lvl>
  </w:abstractNum>
  <w:abstractNum w:abstractNumId="548" w15:restartNumberingAfterBreak="0">
    <w:nsid w:val="38A41E72"/>
    <w:multiLevelType w:val="hybridMultilevel"/>
    <w:tmpl w:val="545243D0"/>
    <w:lvl w:ilvl="0" w:tplc="F872C9E0">
      <w:start w:val="1"/>
      <w:numFmt w:val="bullet"/>
      <w:lvlText w:val=""/>
      <w:lvlJc w:val="left"/>
      <w:pPr>
        <w:ind w:left="720" w:hanging="360"/>
      </w:pPr>
      <w:rPr>
        <w:rFonts w:ascii="Symbol" w:hAnsi="Symbol" w:hint="default"/>
      </w:rPr>
    </w:lvl>
    <w:lvl w:ilvl="1" w:tplc="256C0606">
      <w:numFmt w:val="decimal"/>
      <w:lvlText w:val=""/>
      <w:lvlJc w:val="left"/>
    </w:lvl>
    <w:lvl w:ilvl="2" w:tplc="77080458">
      <w:numFmt w:val="decimal"/>
      <w:lvlText w:val=""/>
      <w:lvlJc w:val="left"/>
    </w:lvl>
    <w:lvl w:ilvl="3" w:tplc="E8FEDA9C">
      <w:numFmt w:val="decimal"/>
      <w:lvlText w:val=""/>
      <w:lvlJc w:val="left"/>
    </w:lvl>
    <w:lvl w:ilvl="4" w:tplc="0BA896BE">
      <w:numFmt w:val="decimal"/>
      <w:lvlText w:val=""/>
      <w:lvlJc w:val="left"/>
    </w:lvl>
    <w:lvl w:ilvl="5" w:tplc="87EE48FA">
      <w:numFmt w:val="decimal"/>
      <w:lvlText w:val=""/>
      <w:lvlJc w:val="left"/>
    </w:lvl>
    <w:lvl w:ilvl="6" w:tplc="F30E061C">
      <w:numFmt w:val="decimal"/>
      <w:lvlText w:val=""/>
      <w:lvlJc w:val="left"/>
    </w:lvl>
    <w:lvl w:ilvl="7" w:tplc="D41CE806">
      <w:numFmt w:val="decimal"/>
      <w:lvlText w:val=""/>
      <w:lvlJc w:val="left"/>
    </w:lvl>
    <w:lvl w:ilvl="8" w:tplc="B6D4758E">
      <w:numFmt w:val="decimal"/>
      <w:lvlText w:val=""/>
      <w:lvlJc w:val="left"/>
    </w:lvl>
  </w:abstractNum>
  <w:abstractNum w:abstractNumId="549" w15:restartNumberingAfterBreak="0">
    <w:nsid w:val="38AB3D93"/>
    <w:multiLevelType w:val="hybridMultilevel"/>
    <w:tmpl w:val="F656DA10"/>
    <w:lvl w:ilvl="0" w:tplc="3FC841B0">
      <w:start w:val="1"/>
      <w:numFmt w:val="bullet"/>
      <w:lvlText w:val=""/>
      <w:lvlJc w:val="left"/>
      <w:pPr>
        <w:ind w:left="720" w:hanging="360"/>
      </w:pPr>
      <w:rPr>
        <w:rFonts w:ascii="Symbol" w:hAnsi="Symbol" w:hint="default"/>
      </w:rPr>
    </w:lvl>
    <w:lvl w:ilvl="1" w:tplc="78527D62">
      <w:numFmt w:val="decimal"/>
      <w:lvlText w:val=""/>
      <w:lvlJc w:val="left"/>
    </w:lvl>
    <w:lvl w:ilvl="2" w:tplc="A16AFCF0">
      <w:numFmt w:val="decimal"/>
      <w:lvlText w:val=""/>
      <w:lvlJc w:val="left"/>
    </w:lvl>
    <w:lvl w:ilvl="3" w:tplc="437201B6">
      <w:numFmt w:val="decimal"/>
      <w:lvlText w:val=""/>
      <w:lvlJc w:val="left"/>
    </w:lvl>
    <w:lvl w:ilvl="4" w:tplc="F3B28AC0">
      <w:numFmt w:val="decimal"/>
      <w:lvlText w:val=""/>
      <w:lvlJc w:val="left"/>
    </w:lvl>
    <w:lvl w:ilvl="5" w:tplc="76AE9306">
      <w:numFmt w:val="decimal"/>
      <w:lvlText w:val=""/>
      <w:lvlJc w:val="left"/>
    </w:lvl>
    <w:lvl w:ilvl="6" w:tplc="D96EFA50">
      <w:numFmt w:val="decimal"/>
      <w:lvlText w:val=""/>
      <w:lvlJc w:val="left"/>
    </w:lvl>
    <w:lvl w:ilvl="7" w:tplc="891A1168">
      <w:numFmt w:val="decimal"/>
      <w:lvlText w:val=""/>
      <w:lvlJc w:val="left"/>
    </w:lvl>
    <w:lvl w:ilvl="8" w:tplc="3E501366">
      <w:numFmt w:val="decimal"/>
      <w:lvlText w:val=""/>
      <w:lvlJc w:val="left"/>
    </w:lvl>
  </w:abstractNum>
  <w:abstractNum w:abstractNumId="550" w15:restartNumberingAfterBreak="0">
    <w:nsid w:val="38C1113F"/>
    <w:multiLevelType w:val="hybridMultilevel"/>
    <w:tmpl w:val="96FA97A4"/>
    <w:lvl w:ilvl="0" w:tplc="FE14CA10">
      <w:start w:val="1"/>
      <w:numFmt w:val="bullet"/>
      <w:lvlText w:val=""/>
      <w:lvlJc w:val="left"/>
      <w:pPr>
        <w:ind w:left="720" w:hanging="360"/>
      </w:pPr>
      <w:rPr>
        <w:rFonts w:ascii="Symbol" w:hAnsi="Symbol" w:hint="default"/>
      </w:rPr>
    </w:lvl>
    <w:lvl w:ilvl="1" w:tplc="8652650E">
      <w:numFmt w:val="decimal"/>
      <w:lvlText w:val=""/>
      <w:lvlJc w:val="left"/>
    </w:lvl>
    <w:lvl w:ilvl="2" w:tplc="260E741C">
      <w:numFmt w:val="decimal"/>
      <w:lvlText w:val=""/>
      <w:lvlJc w:val="left"/>
    </w:lvl>
    <w:lvl w:ilvl="3" w:tplc="B34055C6">
      <w:numFmt w:val="decimal"/>
      <w:lvlText w:val=""/>
      <w:lvlJc w:val="left"/>
    </w:lvl>
    <w:lvl w:ilvl="4" w:tplc="1FEAC83E">
      <w:numFmt w:val="decimal"/>
      <w:lvlText w:val=""/>
      <w:lvlJc w:val="left"/>
    </w:lvl>
    <w:lvl w:ilvl="5" w:tplc="7D88390E">
      <w:numFmt w:val="decimal"/>
      <w:lvlText w:val=""/>
      <w:lvlJc w:val="left"/>
    </w:lvl>
    <w:lvl w:ilvl="6" w:tplc="155A5B48">
      <w:numFmt w:val="decimal"/>
      <w:lvlText w:val=""/>
      <w:lvlJc w:val="left"/>
    </w:lvl>
    <w:lvl w:ilvl="7" w:tplc="69FE8D60">
      <w:numFmt w:val="decimal"/>
      <w:lvlText w:val=""/>
      <w:lvlJc w:val="left"/>
    </w:lvl>
    <w:lvl w:ilvl="8" w:tplc="02F488C0">
      <w:numFmt w:val="decimal"/>
      <w:lvlText w:val=""/>
      <w:lvlJc w:val="left"/>
    </w:lvl>
  </w:abstractNum>
  <w:abstractNum w:abstractNumId="551" w15:restartNumberingAfterBreak="0">
    <w:nsid w:val="38D05491"/>
    <w:multiLevelType w:val="hybridMultilevel"/>
    <w:tmpl w:val="2416BCF8"/>
    <w:lvl w:ilvl="0" w:tplc="FDCC3F16">
      <w:start w:val="1"/>
      <w:numFmt w:val="bullet"/>
      <w:lvlText w:val=""/>
      <w:lvlJc w:val="left"/>
      <w:pPr>
        <w:ind w:left="720" w:hanging="360"/>
      </w:pPr>
      <w:rPr>
        <w:rFonts w:ascii="Symbol" w:hAnsi="Symbol" w:hint="default"/>
      </w:rPr>
    </w:lvl>
    <w:lvl w:ilvl="1" w:tplc="BD54BCCE">
      <w:numFmt w:val="decimal"/>
      <w:lvlText w:val=""/>
      <w:lvlJc w:val="left"/>
    </w:lvl>
    <w:lvl w:ilvl="2" w:tplc="B6E05B40">
      <w:numFmt w:val="decimal"/>
      <w:lvlText w:val=""/>
      <w:lvlJc w:val="left"/>
    </w:lvl>
    <w:lvl w:ilvl="3" w:tplc="3D64A26C">
      <w:numFmt w:val="decimal"/>
      <w:lvlText w:val=""/>
      <w:lvlJc w:val="left"/>
    </w:lvl>
    <w:lvl w:ilvl="4" w:tplc="ACE0C260">
      <w:numFmt w:val="decimal"/>
      <w:lvlText w:val=""/>
      <w:lvlJc w:val="left"/>
    </w:lvl>
    <w:lvl w:ilvl="5" w:tplc="78D647C0">
      <w:numFmt w:val="decimal"/>
      <w:lvlText w:val=""/>
      <w:lvlJc w:val="left"/>
    </w:lvl>
    <w:lvl w:ilvl="6" w:tplc="26A03F1A">
      <w:numFmt w:val="decimal"/>
      <w:lvlText w:val=""/>
      <w:lvlJc w:val="left"/>
    </w:lvl>
    <w:lvl w:ilvl="7" w:tplc="1F4AE34E">
      <w:numFmt w:val="decimal"/>
      <w:lvlText w:val=""/>
      <w:lvlJc w:val="left"/>
    </w:lvl>
    <w:lvl w:ilvl="8" w:tplc="B136167A">
      <w:numFmt w:val="decimal"/>
      <w:lvlText w:val=""/>
      <w:lvlJc w:val="left"/>
    </w:lvl>
  </w:abstractNum>
  <w:abstractNum w:abstractNumId="552" w15:restartNumberingAfterBreak="0">
    <w:nsid w:val="38D46A29"/>
    <w:multiLevelType w:val="hybridMultilevel"/>
    <w:tmpl w:val="EC7AC80C"/>
    <w:lvl w:ilvl="0" w:tplc="EFB23924">
      <w:start w:val="1"/>
      <w:numFmt w:val="bullet"/>
      <w:lvlText w:val=""/>
      <w:lvlJc w:val="left"/>
      <w:pPr>
        <w:ind w:left="720" w:hanging="360"/>
      </w:pPr>
      <w:rPr>
        <w:rFonts w:ascii="Symbol" w:hAnsi="Symbol" w:hint="default"/>
      </w:rPr>
    </w:lvl>
    <w:lvl w:ilvl="1" w:tplc="9438C796">
      <w:numFmt w:val="decimal"/>
      <w:lvlText w:val=""/>
      <w:lvlJc w:val="left"/>
    </w:lvl>
    <w:lvl w:ilvl="2" w:tplc="4C7C8B72">
      <w:numFmt w:val="decimal"/>
      <w:lvlText w:val=""/>
      <w:lvlJc w:val="left"/>
    </w:lvl>
    <w:lvl w:ilvl="3" w:tplc="1E32CAAE">
      <w:numFmt w:val="decimal"/>
      <w:lvlText w:val=""/>
      <w:lvlJc w:val="left"/>
    </w:lvl>
    <w:lvl w:ilvl="4" w:tplc="15C810F2">
      <w:numFmt w:val="decimal"/>
      <w:lvlText w:val=""/>
      <w:lvlJc w:val="left"/>
    </w:lvl>
    <w:lvl w:ilvl="5" w:tplc="9932BC76">
      <w:numFmt w:val="decimal"/>
      <w:lvlText w:val=""/>
      <w:lvlJc w:val="left"/>
    </w:lvl>
    <w:lvl w:ilvl="6" w:tplc="A88EE554">
      <w:numFmt w:val="decimal"/>
      <w:lvlText w:val=""/>
      <w:lvlJc w:val="left"/>
    </w:lvl>
    <w:lvl w:ilvl="7" w:tplc="42BEBFFE">
      <w:numFmt w:val="decimal"/>
      <w:lvlText w:val=""/>
      <w:lvlJc w:val="left"/>
    </w:lvl>
    <w:lvl w:ilvl="8" w:tplc="1BD88DB8">
      <w:numFmt w:val="decimal"/>
      <w:lvlText w:val=""/>
      <w:lvlJc w:val="left"/>
    </w:lvl>
  </w:abstractNum>
  <w:abstractNum w:abstractNumId="553" w15:restartNumberingAfterBreak="0">
    <w:nsid w:val="38F267E1"/>
    <w:multiLevelType w:val="hybridMultilevel"/>
    <w:tmpl w:val="BBAAFCA6"/>
    <w:lvl w:ilvl="0" w:tplc="2B9A1EF6">
      <w:start w:val="1"/>
      <w:numFmt w:val="bullet"/>
      <w:lvlText w:val=""/>
      <w:lvlJc w:val="left"/>
      <w:pPr>
        <w:ind w:left="720" w:hanging="360"/>
      </w:pPr>
      <w:rPr>
        <w:rFonts w:ascii="Symbol" w:hAnsi="Symbol" w:hint="default"/>
      </w:rPr>
    </w:lvl>
    <w:lvl w:ilvl="1" w:tplc="254A0D42">
      <w:numFmt w:val="decimal"/>
      <w:lvlText w:val=""/>
      <w:lvlJc w:val="left"/>
    </w:lvl>
    <w:lvl w:ilvl="2" w:tplc="140A3182">
      <w:numFmt w:val="decimal"/>
      <w:lvlText w:val=""/>
      <w:lvlJc w:val="left"/>
    </w:lvl>
    <w:lvl w:ilvl="3" w:tplc="AAFCF378">
      <w:numFmt w:val="decimal"/>
      <w:lvlText w:val=""/>
      <w:lvlJc w:val="left"/>
    </w:lvl>
    <w:lvl w:ilvl="4" w:tplc="D43456E8">
      <w:numFmt w:val="decimal"/>
      <w:lvlText w:val=""/>
      <w:lvlJc w:val="left"/>
    </w:lvl>
    <w:lvl w:ilvl="5" w:tplc="637E61E4">
      <w:numFmt w:val="decimal"/>
      <w:lvlText w:val=""/>
      <w:lvlJc w:val="left"/>
    </w:lvl>
    <w:lvl w:ilvl="6" w:tplc="DD767B40">
      <w:numFmt w:val="decimal"/>
      <w:lvlText w:val=""/>
      <w:lvlJc w:val="left"/>
    </w:lvl>
    <w:lvl w:ilvl="7" w:tplc="C5A4C784">
      <w:numFmt w:val="decimal"/>
      <w:lvlText w:val=""/>
      <w:lvlJc w:val="left"/>
    </w:lvl>
    <w:lvl w:ilvl="8" w:tplc="9DA08586">
      <w:numFmt w:val="decimal"/>
      <w:lvlText w:val=""/>
      <w:lvlJc w:val="left"/>
    </w:lvl>
  </w:abstractNum>
  <w:abstractNum w:abstractNumId="554" w15:restartNumberingAfterBreak="0">
    <w:nsid w:val="39024947"/>
    <w:multiLevelType w:val="hybridMultilevel"/>
    <w:tmpl w:val="D38C4A78"/>
    <w:lvl w:ilvl="0" w:tplc="569E7382">
      <w:start w:val="1"/>
      <w:numFmt w:val="bullet"/>
      <w:lvlText w:val=""/>
      <w:lvlJc w:val="left"/>
      <w:pPr>
        <w:ind w:left="720" w:hanging="360"/>
      </w:pPr>
      <w:rPr>
        <w:rFonts w:ascii="Symbol" w:hAnsi="Symbol" w:hint="default"/>
      </w:rPr>
    </w:lvl>
    <w:lvl w:ilvl="1" w:tplc="BCC4284C">
      <w:numFmt w:val="decimal"/>
      <w:lvlText w:val=""/>
      <w:lvlJc w:val="left"/>
    </w:lvl>
    <w:lvl w:ilvl="2" w:tplc="72048B04">
      <w:numFmt w:val="decimal"/>
      <w:lvlText w:val=""/>
      <w:lvlJc w:val="left"/>
    </w:lvl>
    <w:lvl w:ilvl="3" w:tplc="89F64792">
      <w:numFmt w:val="decimal"/>
      <w:lvlText w:val=""/>
      <w:lvlJc w:val="left"/>
    </w:lvl>
    <w:lvl w:ilvl="4" w:tplc="26D05AE6">
      <w:numFmt w:val="decimal"/>
      <w:lvlText w:val=""/>
      <w:lvlJc w:val="left"/>
    </w:lvl>
    <w:lvl w:ilvl="5" w:tplc="B736443E">
      <w:numFmt w:val="decimal"/>
      <w:lvlText w:val=""/>
      <w:lvlJc w:val="left"/>
    </w:lvl>
    <w:lvl w:ilvl="6" w:tplc="4FD4E10C">
      <w:numFmt w:val="decimal"/>
      <w:lvlText w:val=""/>
      <w:lvlJc w:val="left"/>
    </w:lvl>
    <w:lvl w:ilvl="7" w:tplc="1020DDFA">
      <w:numFmt w:val="decimal"/>
      <w:lvlText w:val=""/>
      <w:lvlJc w:val="left"/>
    </w:lvl>
    <w:lvl w:ilvl="8" w:tplc="77405C30">
      <w:numFmt w:val="decimal"/>
      <w:lvlText w:val=""/>
      <w:lvlJc w:val="left"/>
    </w:lvl>
  </w:abstractNum>
  <w:abstractNum w:abstractNumId="555" w15:restartNumberingAfterBreak="0">
    <w:nsid w:val="394D7744"/>
    <w:multiLevelType w:val="hybridMultilevel"/>
    <w:tmpl w:val="60040C10"/>
    <w:lvl w:ilvl="0" w:tplc="04FA5EF0">
      <w:start w:val="1"/>
      <w:numFmt w:val="bullet"/>
      <w:lvlText w:val=""/>
      <w:lvlJc w:val="left"/>
      <w:pPr>
        <w:ind w:left="720" w:hanging="360"/>
      </w:pPr>
      <w:rPr>
        <w:rFonts w:ascii="Symbol" w:hAnsi="Symbol" w:hint="default"/>
      </w:rPr>
    </w:lvl>
    <w:lvl w:ilvl="1" w:tplc="9E5C9D02">
      <w:numFmt w:val="decimal"/>
      <w:lvlText w:val=""/>
      <w:lvlJc w:val="left"/>
    </w:lvl>
    <w:lvl w:ilvl="2" w:tplc="C4A21F84">
      <w:numFmt w:val="decimal"/>
      <w:lvlText w:val=""/>
      <w:lvlJc w:val="left"/>
    </w:lvl>
    <w:lvl w:ilvl="3" w:tplc="73F87844">
      <w:numFmt w:val="decimal"/>
      <w:lvlText w:val=""/>
      <w:lvlJc w:val="left"/>
    </w:lvl>
    <w:lvl w:ilvl="4" w:tplc="23723CD4">
      <w:numFmt w:val="decimal"/>
      <w:lvlText w:val=""/>
      <w:lvlJc w:val="left"/>
    </w:lvl>
    <w:lvl w:ilvl="5" w:tplc="1E0AAB56">
      <w:numFmt w:val="decimal"/>
      <w:lvlText w:val=""/>
      <w:lvlJc w:val="left"/>
    </w:lvl>
    <w:lvl w:ilvl="6" w:tplc="9EFA8EEC">
      <w:numFmt w:val="decimal"/>
      <w:lvlText w:val=""/>
      <w:lvlJc w:val="left"/>
    </w:lvl>
    <w:lvl w:ilvl="7" w:tplc="5D74C730">
      <w:numFmt w:val="decimal"/>
      <w:lvlText w:val=""/>
      <w:lvlJc w:val="left"/>
    </w:lvl>
    <w:lvl w:ilvl="8" w:tplc="32880262">
      <w:numFmt w:val="decimal"/>
      <w:lvlText w:val=""/>
      <w:lvlJc w:val="left"/>
    </w:lvl>
  </w:abstractNum>
  <w:abstractNum w:abstractNumId="556" w15:restartNumberingAfterBreak="0">
    <w:nsid w:val="394E23DF"/>
    <w:multiLevelType w:val="hybridMultilevel"/>
    <w:tmpl w:val="B3F2D6FC"/>
    <w:lvl w:ilvl="0" w:tplc="017EA2D6">
      <w:start w:val="1"/>
      <w:numFmt w:val="bullet"/>
      <w:lvlText w:val=""/>
      <w:lvlJc w:val="left"/>
      <w:pPr>
        <w:ind w:left="720" w:hanging="360"/>
      </w:pPr>
      <w:rPr>
        <w:rFonts w:ascii="Symbol" w:hAnsi="Symbol" w:hint="default"/>
      </w:rPr>
    </w:lvl>
    <w:lvl w:ilvl="1" w:tplc="9C5604C6">
      <w:numFmt w:val="decimal"/>
      <w:lvlText w:val=""/>
      <w:lvlJc w:val="left"/>
    </w:lvl>
    <w:lvl w:ilvl="2" w:tplc="A0D6C3D4">
      <w:numFmt w:val="decimal"/>
      <w:lvlText w:val=""/>
      <w:lvlJc w:val="left"/>
    </w:lvl>
    <w:lvl w:ilvl="3" w:tplc="1646E55C">
      <w:numFmt w:val="decimal"/>
      <w:lvlText w:val=""/>
      <w:lvlJc w:val="left"/>
    </w:lvl>
    <w:lvl w:ilvl="4" w:tplc="7C60EA4A">
      <w:numFmt w:val="decimal"/>
      <w:lvlText w:val=""/>
      <w:lvlJc w:val="left"/>
    </w:lvl>
    <w:lvl w:ilvl="5" w:tplc="AE1C0CEE">
      <w:numFmt w:val="decimal"/>
      <w:lvlText w:val=""/>
      <w:lvlJc w:val="left"/>
    </w:lvl>
    <w:lvl w:ilvl="6" w:tplc="8B969632">
      <w:numFmt w:val="decimal"/>
      <w:lvlText w:val=""/>
      <w:lvlJc w:val="left"/>
    </w:lvl>
    <w:lvl w:ilvl="7" w:tplc="7DFEE238">
      <w:numFmt w:val="decimal"/>
      <w:lvlText w:val=""/>
      <w:lvlJc w:val="left"/>
    </w:lvl>
    <w:lvl w:ilvl="8" w:tplc="15FCCBD4">
      <w:numFmt w:val="decimal"/>
      <w:lvlText w:val=""/>
      <w:lvlJc w:val="left"/>
    </w:lvl>
  </w:abstractNum>
  <w:abstractNum w:abstractNumId="557" w15:restartNumberingAfterBreak="0">
    <w:nsid w:val="39617B9C"/>
    <w:multiLevelType w:val="hybridMultilevel"/>
    <w:tmpl w:val="B91A9F44"/>
    <w:lvl w:ilvl="0" w:tplc="7070F374">
      <w:start w:val="1"/>
      <w:numFmt w:val="bullet"/>
      <w:lvlText w:val=""/>
      <w:lvlJc w:val="left"/>
      <w:pPr>
        <w:ind w:left="720" w:hanging="360"/>
      </w:pPr>
      <w:rPr>
        <w:rFonts w:ascii="Symbol" w:hAnsi="Symbol" w:hint="default"/>
      </w:rPr>
    </w:lvl>
    <w:lvl w:ilvl="1" w:tplc="299E0ED6">
      <w:numFmt w:val="decimal"/>
      <w:lvlText w:val=""/>
      <w:lvlJc w:val="left"/>
    </w:lvl>
    <w:lvl w:ilvl="2" w:tplc="A5320E82">
      <w:numFmt w:val="decimal"/>
      <w:lvlText w:val=""/>
      <w:lvlJc w:val="left"/>
    </w:lvl>
    <w:lvl w:ilvl="3" w:tplc="08EEEF3C">
      <w:numFmt w:val="decimal"/>
      <w:lvlText w:val=""/>
      <w:lvlJc w:val="left"/>
    </w:lvl>
    <w:lvl w:ilvl="4" w:tplc="7500DA54">
      <w:numFmt w:val="decimal"/>
      <w:lvlText w:val=""/>
      <w:lvlJc w:val="left"/>
    </w:lvl>
    <w:lvl w:ilvl="5" w:tplc="4ADEA09C">
      <w:numFmt w:val="decimal"/>
      <w:lvlText w:val=""/>
      <w:lvlJc w:val="left"/>
    </w:lvl>
    <w:lvl w:ilvl="6" w:tplc="29A89764">
      <w:numFmt w:val="decimal"/>
      <w:lvlText w:val=""/>
      <w:lvlJc w:val="left"/>
    </w:lvl>
    <w:lvl w:ilvl="7" w:tplc="42A658C2">
      <w:numFmt w:val="decimal"/>
      <w:lvlText w:val=""/>
      <w:lvlJc w:val="left"/>
    </w:lvl>
    <w:lvl w:ilvl="8" w:tplc="84181B26">
      <w:numFmt w:val="decimal"/>
      <w:lvlText w:val=""/>
      <w:lvlJc w:val="left"/>
    </w:lvl>
  </w:abstractNum>
  <w:abstractNum w:abstractNumId="558" w15:restartNumberingAfterBreak="0">
    <w:nsid w:val="39647DBA"/>
    <w:multiLevelType w:val="hybridMultilevel"/>
    <w:tmpl w:val="40568A6E"/>
    <w:lvl w:ilvl="0" w:tplc="43C66C86">
      <w:numFmt w:val="decimal"/>
      <w:lvlText w:val=""/>
      <w:lvlJc w:val="left"/>
    </w:lvl>
    <w:lvl w:ilvl="1" w:tplc="D90C48C6">
      <w:start w:val="1"/>
      <w:numFmt w:val="bullet"/>
      <w:lvlText w:val=""/>
      <w:lvlJc w:val="left"/>
      <w:pPr>
        <w:ind w:left="1440" w:hanging="360"/>
      </w:pPr>
      <w:rPr>
        <w:rFonts w:ascii="Symbol" w:hAnsi="Symbol" w:hint="default"/>
      </w:rPr>
    </w:lvl>
    <w:lvl w:ilvl="2" w:tplc="405A43BC">
      <w:numFmt w:val="decimal"/>
      <w:lvlText w:val=""/>
      <w:lvlJc w:val="left"/>
    </w:lvl>
    <w:lvl w:ilvl="3" w:tplc="0206ECBA">
      <w:numFmt w:val="decimal"/>
      <w:lvlText w:val=""/>
      <w:lvlJc w:val="left"/>
    </w:lvl>
    <w:lvl w:ilvl="4" w:tplc="1ECE1EDA">
      <w:numFmt w:val="decimal"/>
      <w:lvlText w:val=""/>
      <w:lvlJc w:val="left"/>
    </w:lvl>
    <w:lvl w:ilvl="5" w:tplc="F5349606">
      <w:numFmt w:val="decimal"/>
      <w:lvlText w:val=""/>
      <w:lvlJc w:val="left"/>
    </w:lvl>
    <w:lvl w:ilvl="6" w:tplc="D0B0AAC0">
      <w:numFmt w:val="decimal"/>
      <w:lvlText w:val=""/>
      <w:lvlJc w:val="left"/>
    </w:lvl>
    <w:lvl w:ilvl="7" w:tplc="FAEA831C">
      <w:numFmt w:val="decimal"/>
      <w:lvlText w:val=""/>
      <w:lvlJc w:val="left"/>
    </w:lvl>
    <w:lvl w:ilvl="8" w:tplc="2D38254C">
      <w:numFmt w:val="decimal"/>
      <w:lvlText w:val=""/>
      <w:lvlJc w:val="left"/>
    </w:lvl>
  </w:abstractNum>
  <w:abstractNum w:abstractNumId="559" w15:restartNumberingAfterBreak="0">
    <w:nsid w:val="39BE6DBB"/>
    <w:multiLevelType w:val="hybridMultilevel"/>
    <w:tmpl w:val="CCB00880"/>
    <w:lvl w:ilvl="0" w:tplc="57583CFC">
      <w:start w:val="1"/>
      <w:numFmt w:val="bullet"/>
      <w:lvlText w:val=""/>
      <w:lvlJc w:val="left"/>
      <w:pPr>
        <w:ind w:left="720" w:hanging="360"/>
      </w:pPr>
      <w:rPr>
        <w:rFonts w:ascii="Symbol" w:hAnsi="Symbol" w:hint="default"/>
      </w:rPr>
    </w:lvl>
    <w:lvl w:ilvl="1" w:tplc="F73C68D0">
      <w:numFmt w:val="decimal"/>
      <w:lvlText w:val=""/>
      <w:lvlJc w:val="left"/>
    </w:lvl>
    <w:lvl w:ilvl="2" w:tplc="9176C1A0">
      <w:numFmt w:val="decimal"/>
      <w:lvlText w:val=""/>
      <w:lvlJc w:val="left"/>
    </w:lvl>
    <w:lvl w:ilvl="3" w:tplc="9768F36A">
      <w:numFmt w:val="decimal"/>
      <w:lvlText w:val=""/>
      <w:lvlJc w:val="left"/>
    </w:lvl>
    <w:lvl w:ilvl="4" w:tplc="C48A5AC4">
      <w:numFmt w:val="decimal"/>
      <w:lvlText w:val=""/>
      <w:lvlJc w:val="left"/>
    </w:lvl>
    <w:lvl w:ilvl="5" w:tplc="6C5A4B1C">
      <w:numFmt w:val="decimal"/>
      <w:lvlText w:val=""/>
      <w:lvlJc w:val="left"/>
    </w:lvl>
    <w:lvl w:ilvl="6" w:tplc="CCF8D4BC">
      <w:numFmt w:val="decimal"/>
      <w:lvlText w:val=""/>
      <w:lvlJc w:val="left"/>
    </w:lvl>
    <w:lvl w:ilvl="7" w:tplc="B860E8F0">
      <w:numFmt w:val="decimal"/>
      <w:lvlText w:val=""/>
      <w:lvlJc w:val="left"/>
    </w:lvl>
    <w:lvl w:ilvl="8" w:tplc="CF12768C">
      <w:numFmt w:val="decimal"/>
      <w:lvlText w:val=""/>
      <w:lvlJc w:val="left"/>
    </w:lvl>
  </w:abstractNum>
  <w:abstractNum w:abstractNumId="560" w15:restartNumberingAfterBreak="0">
    <w:nsid w:val="39EF3B64"/>
    <w:multiLevelType w:val="hybridMultilevel"/>
    <w:tmpl w:val="56045CDA"/>
    <w:lvl w:ilvl="0" w:tplc="6D968F52">
      <w:start w:val="1"/>
      <w:numFmt w:val="bullet"/>
      <w:lvlText w:val=""/>
      <w:lvlJc w:val="left"/>
      <w:pPr>
        <w:ind w:left="720" w:hanging="360"/>
      </w:pPr>
      <w:rPr>
        <w:rFonts w:ascii="Symbol" w:hAnsi="Symbol" w:hint="default"/>
      </w:rPr>
    </w:lvl>
    <w:lvl w:ilvl="1" w:tplc="E664173A">
      <w:numFmt w:val="decimal"/>
      <w:lvlText w:val=""/>
      <w:lvlJc w:val="left"/>
    </w:lvl>
    <w:lvl w:ilvl="2" w:tplc="58D8BFF4">
      <w:numFmt w:val="decimal"/>
      <w:lvlText w:val=""/>
      <w:lvlJc w:val="left"/>
    </w:lvl>
    <w:lvl w:ilvl="3" w:tplc="7F8C9BCC">
      <w:numFmt w:val="decimal"/>
      <w:lvlText w:val=""/>
      <w:lvlJc w:val="left"/>
    </w:lvl>
    <w:lvl w:ilvl="4" w:tplc="48543648">
      <w:numFmt w:val="decimal"/>
      <w:lvlText w:val=""/>
      <w:lvlJc w:val="left"/>
    </w:lvl>
    <w:lvl w:ilvl="5" w:tplc="DBDE4BD2">
      <w:numFmt w:val="decimal"/>
      <w:lvlText w:val=""/>
      <w:lvlJc w:val="left"/>
    </w:lvl>
    <w:lvl w:ilvl="6" w:tplc="215C4F18">
      <w:numFmt w:val="decimal"/>
      <w:lvlText w:val=""/>
      <w:lvlJc w:val="left"/>
    </w:lvl>
    <w:lvl w:ilvl="7" w:tplc="C982093C">
      <w:numFmt w:val="decimal"/>
      <w:lvlText w:val=""/>
      <w:lvlJc w:val="left"/>
    </w:lvl>
    <w:lvl w:ilvl="8" w:tplc="8D36C1AC">
      <w:numFmt w:val="decimal"/>
      <w:lvlText w:val=""/>
      <w:lvlJc w:val="left"/>
    </w:lvl>
  </w:abstractNum>
  <w:abstractNum w:abstractNumId="561" w15:restartNumberingAfterBreak="0">
    <w:nsid w:val="3A092D18"/>
    <w:multiLevelType w:val="hybridMultilevel"/>
    <w:tmpl w:val="4D38DDE8"/>
    <w:lvl w:ilvl="0" w:tplc="D1960D06">
      <w:start w:val="1"/>
      <w:numFmt w:val="bullet"/>
      <w:lvlText w:val=""/>
      <w:lvlJc w:val="left"/>
      <w:pPr>
        <w:ind w:left="720" w:hanging="360"/>
      </w:pPr>
      <w:rPr>
        <w:rFonts w:ascii="Symbol" w:hAnsi="Symbol" w:hint="default"/>
      </w:rPr>
    </w:lvl>
    <w:lvl w:ilvl="1" w:tplc="084CAF46">
      <w:numFmt w:val="decimal"/>
      <w:lvlText w:val=""/>
      <w:lvlJc w:val="left"/>
    </w:lvl>
    <w:lvl w:ilvl="2" w:tplc="B6CC2616">
      <w:numFmt w:val="decimal"/>
      <w:lvlText w:val=""/>
      <w:lvlJc w:val="left"/>
    </w:lvl>
    <w:lvl w:ilvl="3" w:tplc="9CACDAA2">
      <w:numFmt w:val="decimal"/>
      <w:lvlText w:val=""/>
      <w:lvlJc w:val="left"/>
    </w:lvl>
    <w:lvl w:ilvl="4" w:tplc="1ACEBD74">
      <w:numFmt w:val="decimal"/>
      <w:lvlText w:val=""/>
      <w:lvlJc w:val="left"/>
    </w:lvl>
    <w:lvl w:ilvl="5" w:tplc="85FC9CD0">
      <w:numFmt w:val="decimal"/>
      <w:lvlText w:val=""/>
      <w:lvlJc w:val="left"/>
    </w:lvl>
    <w:lvl w:ilvl="6" w:tplc="75BE6808">
      <w:numFmt w:val="decimal"/>
      <w:lvlText w:val=""/>
      <w:lvlJc w:val="left"/>
    </w:lvl>
    <w:lvl w:ilvl="7" w:tplc="7F4C1356">
      <w:numFmt w:val="decimal"/>
      <w:lvlText w:val=""/>
      <w:lvlJc w:val="left"/>
    </w:lvl>
    <w:lvl w:ilvl="8" w:tplc="2D9C3D24">
      <w:numFmt w:val="decimal"/>
      <w:lvlText w:val=""/>
      <w:lvlJc w:val="left"/>
    </w:lvl>
  </w:abstractNum>
  <w:abstractNum w:abstractNumId="562" w15:restartNumberingAfterBreak="0">
    <w:nsid w:val="3A85525D"/>
    <w:multiLevelType w:val="hybridMultilevel"/>
    <w:tmpl w:val="1E9CA870"/>
    <w:lvl w:ilvl="0" w:tplc="4E56BF2A">
      <w:start w:val="1"/>
      <w:numFmt w:val="bullet"/>
      <w:lvlText w:val=""/>
      <w:lvlJc w:val="left"/>
      <w:pPr>
        <w:ind w:left="720" w:hanging="360"/>
      </w:pPr>
      <w:rPr>
        <w:rFonts w:ascii="Symbol" w:hAnsi="Symbol" w:hint="default"/>
      </w:rPr>
    </w:lvl>
    <w:lvl w:ilvl="1" w:tplc="2990F748">
      <w:numFmt w:val="decimal"/>
      <w:lvlText w:val=""/>
      <w:lvlJc w:val="left"/>
    </w:lvl>
    <w:lvl w:ilvl="2" w:tplc="3846317A">
      <w:numFmt w:val="decimal"/>
      <w:lvlText w:val=""/>
      <w:lvlJc w:val="left"/>
    </w:lvl>
    <w:lvl w:ilvl="3" w:tplc="7BF0319C">
      <w:numFmt w:val="decimal"/>
      <w:lvlText w:val=""/>
      <w:lvlJc w:val="left"/>
    </w:lvl>
    <w:lvl w:ilvl="4" w:tplc="94AE7A14">
      <w:numFmt w:val="decimal"/>
      <w:lvlText w:val=""/>
      <w:lvlJc w:val="left"/>
    </w:lvl>
    <w:lvl w:ilvl="5" w:tplc="B25AD6B2">
      <w:numFmt w:val="decimal"/>
      <w:lvlText w:val=""/>
      <w:lvlJc w:val="left"/>
    </w:lvl>
    <w:lvl w:ilvl="6" w:tplc="05FCFB0C">
      <w:numFmt w:val="decimal"/>
      <w:lvlText w:val=""/>
      <w:lvlJc w:val="left"/>
    </w:lvl>
    <w:lvl w:ilvl="7" w:tplc="8A041E08">
      <w:numFmt w:val="decimal"/>
      <w:lvlText w:val=""/>
      <w:lvlJc w:val="left"/>
    </w:lvl>
    <w:lvl w:ilvl="8" w:tplc="8272DB00">
      <w:numFmt w:val="decimal"/>
      <w:lvlText w:val=""/>
      <w:lvlJc w:val="left"/>
    </w:lvl>
  </w:abstractNum>
  <w:abstractNum w:abstractNumId="563" w15:restartNumberingAfterBreak="0">
    <w:nsid w:val="3A87043C"/>
    <w:multiLevelType w:val="hybridMultilevel"/>
    <w:tmpl w:val="546E8092"/>
    <w:lvl w:ilvl="0" w:tplc="F94095DA">
      <w:start w:val="1"/>
      <w:numFmt w:val="bullet"/>
      <w:lvlText w:val=""/>
      <w:lvlJc w:val="left"/>
      <w:pPr>
        <w:ind w:left="720" w:hanging="360"/>
      </w:pPr>
      <w:rPr>
        <w:rFonts w:ascii="Symbol" w:hAnsi="Symbol" w:hint="default"/>
      </w:rPr>
    </w:lvl>
    <w:lvl w:ilvl="1" w:tplc="40742706">
      <w:numFmt w:val="decimal"/>
      <w:lvlText w:val=""/>
      <w:lvlJc w:val="left"/>
    </w:lvl>
    <w:lvl w:ilvl="2" w:tplc="7326008C">
      <w:numFmt w:val="decimal"/>
      <w:lvlText w:val=""/>
      <w:lvlJc w:val="left"/>
    </w:lvl>
    <w:lvl w:ilvl="3" w:tplc="6F4C2138">
      <w:numFmt w:val="decimal"/>
      <w:lvlText w:val=""/>
      <w:lvlJc w:val="left"/>
    </w:lvl>
    <w:lvl w:ilvl="4" w:tplc="E1785F06">
      <w:numFmt w:val="decimal"/>
      <w:lvlText w:val=""/>
      <w:lvlJc w:val="left"/>
    </w:lvl>
    <w:lvl w:ilvl="5" w:tplc="0180F4DC">
      <w:numFmt w:val="decimal"/>
      <w:lvlText w:val=""/>
      <w:lvlJc w:val="left"/>
    </w:lvl>
    <w:lvl w:ilvl="6" w:tplc="5804EB7A">
      <w:numFmt w:val="decimal"/>
      <w:lvlText w:val=""/>
      <w:lvlJc w:val="left"/>
    </w:lvl>
    <w:lvl w:ilvl="7" w:tplc="54AA97E4">
      <w:numFmt w:val="decimal"/>
      <w:lvlText w:val=""/>
      <w:lvlJc w:val="left"/>
    </w:lvl>
    <w:lvl w:ilvl="8" w:tplc="6B9E073E">
      <w:numFmt w:val="decimal"/>
      <w:lvlText w:val=""/>
      <w:lvlJc w:val="left"/>
    </w:lvl>
  </w:abstractNum>
  <w:abstractNum w:abstractNumId="564" w15:restartNumberingAfterBreak="0">
    <w:nsid w:val="3A9102DE"/>
    <w:multiLevelType w:val="hybridMultilevel"/>
    <w:tmpl w:val="3E74466A"/>
    <w:lvl w:ilvl="0" w:tplc="CDA00264">
      <w:start w:val="1"/>
      <w:numFmt w:val="bullet"/>
      <w:lvlText w:val=""/>
      <w:lvlJc w:val="left"/>
      <w:pPr>
        <w:ind w:left="720" w:hanging="360"/>
      </w:pPr>
      <w:rPr>
        <w:rFonts w:ascii="Symbol" w:hAnsi="Symbol" w:hint="default"/>
      </w:rPr>
    </w:lvl>
    <w:lvl w:ilvl="1" w:tplc="FA96F66A">
      <w:numFmt w:val="decimal"/>
      <w:lvlText w:val=""/>
      <w:lvlJc w:val="left"/>
    </w:lvl>
    <w:lvl w:ilvl="2" w:tplc="CD34F32C">
      <w:numFmt w:val="decimal"/>
      <w:lvlText w:val=""/>
      <w:lvlJc w:val="left"/>
    </w:lvl>
    <w:lvl w:ilvl="3" w:tplc="5E5A0318">
      <w:numFmt w:val="decimal"/>
      <w:lvlText w:val=""/>
      <w:lvlJc w:val="left"/>
    </w:lvl>
    <w:lvl w:ilvl="4" w:tplc="04BAA6BC">
      <w:numFmt w:val="decimal"/>
      <w:lvlText w:val=""/>
      <w:lvlJc w:val="left"/>
    </w:lvl>
    <w:lvl w:ilvl="5" w:tplc="270A303C">
      <w:numFmt w:val="decimal"/>
      <w:lvlText w:val=""/>
      <w:lvlJc w:val="left"/>
    </w:lvl>
    <w:lvl w:ilvl="6" w:tplc="C6FA0BB8">
      <w:numFmt w:val="decimal"/>
      <w:lvlText w:val=""/>
      <w:lvlJc w:val="left"/>
    </w:lvl>
    <w:lvl w:ilvl="7" w:tplc="09A67572">
      <w:numFmt w:val="decimal"/>
      <w:lvlText w:val=""/>
      <w:lvlJc w:val="left"/>
    </w:lvl>
    <w:lvl w:ilvl="8" w:tplc="FEDE3C78">
      <w:numFmt w:val="decimal"/>
      <w:lvlText w:val=""/>
      <w:lvlJc w:val="left"/>
    </w:lvl>
  </w:abstractNum>
  <w:abstractNum w:abstractNumId="565" w15:restartNumberingAfterBreak="0">
    <w:nsid w:val="3A970257"/>
    <w:multiLevelType w:val="hybridMultilevel"/>
    <w:tmpl w:val="F05A46E0"/>
    <w:lvl w:ilvl="0" w:tplc="56C89928">
      <w:start w:val="1"/>
      <w:numFmt w:val="bullet"/>
      <w:lvlText w:val=""/>
      <w:lvlJc w:val="left"/>
      <w:pPr>
        <w:ind w:left="720" w:hanging="360"/>
      </w:pPr>
      <w:rPr>
        <w:rFonts w:ascii="Symbol" w:hAnsi="Symbol" w:hint="default"/>
      </w:rPr>
    </w:lvl>
    <w:lvl w:ilvl="1" w:tplc="1234D98A">
      <w:numFmt w:val="decimal"/>
      <w:lvlText w:val=""/>
      <w:lvlJc w:val="left"/>
    </w:lvl>
    <w:lvl w:ilvl="2" w:tplc="0BBC72AA">
      <w:numFmt w:val="decimal"/>
      <w:lvlText w:val=""/>
      <w:lvlJc w:val="left"/>
    </w:lvl>
    <w:lvl w:ilvl="3" w:tplc="3D7889A6">
      <w:numFmt w:val="decimal"/>
      <w:lvlText w:val=""/>
      <w:lvlJc w:val="left"/>
    </w:lvl>
    <w:lvl w:ilvl="4" w:tplc="4294AF30">
      <w:numFmt w:val="decimal"/>
      <w:lvlText w:val=""/>
      <w:lvlJc w:val="left"/>
    </w:lvl>
    <w:lvl w:ilvl="5" w:tplc="40AECE54">
      <w:numFmt w:val="decimal"/>
      <w:lvlText w:val=""/>
      <w:lvlJc w:val="left"/>
    </w:lvl>
    <w:lvl w:ilvl="6" w:tplc="11CE4EE6">
      <w:numFmt w:val="decimal"/>
      <w:lvlText w:val=""/>
      <w:lvlJc w:val="left"/>
    </w:lvl>
    <w:lvl w:ilvl="7" w:tplc="5694CDAE">
      <w:numFmt w:val="decimal"/>
      <w:lvlText w:val=""/>
      <w:lvlJc w:val="left"/>
    </w:lvl>
    <w:lvl w:ilvl="8" w:tplc="4B78C894">
      <w:numFmt w:val="decimal"/>
      <w:lvlText w:val=""/>
      <w:lvlJc w:val="left"/>
    </w:lvl>
  </w:abstractNum>
  <w:abstractNum w:abstractNumId="566" w15:restartNumberingAfterBreak="0">
    <w:nsid w:val="3AA80605"/>
    <w:multiLevelType w:val="hybridMultilevel"/>
    <w:tmpl w:val="359E3C4E"/>
    <w:lvl w:ilvl="0" w:tplc="E89421CA">
      <w:start w:val="1"/>
      <w:numFmt w:val="bullet"/>
      <w:lvlText w:val=""/>
      <w:lvlJc w:val="left"/>
      <w:pPr>
        <w:ind w:left="720" w:hanging="360"/>
      </w:pPr>
      <w:rPr>
        <w:rFonts w:ascii="Symbol" w:hAnsi="Symbol" w:hint="default"/>
      </w:rPr>
    </w:lvl>
    <w:lvl w:ilvl="1" w:tplc="AD3A2052">
      <w:numFmt w:val="decimal"/>
      <w:lvlText w:val=""/>
      <w:lvlJc w:val="left"/>
    </w:lvl>
    <w:lvl w:ilvl="2" w:tplc="59DA6510">
      <w:numFmt w:val="decimal"/>
      <w:lvlText w:val=""/>
      <w:lvlJc w:val="left"/>
    </w:lvl>
    <w:lvl w:ilvl="3" w:tplc="7EE69E44">
      <w:numFmt w:val="decimal"/>
      <w:lvlText w:val=""/>
      <w:lvlJc w:val="left"/>
    </w:lvl>
    <w:lvl w:ilvl="4" w:tplc="054A3BCE">
      <w:numFmt w:val="decimal"/>
      <w:lvlText w:val=""/>
      <w:lvlJc w:val="left"/>
    </w:lvl>
    <w:lvl w:ilvl="5" w:tplc="BD2609DC">
      <w:numFmt w:val="decimal"/>
      <w:lvlText w:val=""/>
      <w:lvlJc w:val="left"/>
    </w:lvl>
    <w:lvl w:ilvl="6" w:tplc="C11E57FC">
      <w:numFmt w:val="decimal"/>
      <w:lvlText w:val=""/>
      <w:lvlJc w:val="left"/>
    </w:lvl>
    <w:lvl w:ilvl="7" w:tplc="DB922862">
      <w:numFmt w:val="decimal"/>
      <w:lvlText w:val=""/>
      <w:lvlJc w:val="left"/>
    </w:lvl>
    <w:lvl w:ilvl="8" w:tplc="7EC4C792">
      <w:numFmt w:val="decimal"/>
      <w:lvlText w:val=""/>
      <w:lvlJc w:val="left"/>
    </w:lvl>
  </w:abstractNum>
  <w:abstractNum w:abstractNumId="567" w15:restartNumberingAfterBreak="0">
    <w:nsid w:val="3ABD36D4"/>
    <w:multiLevelType w:val="hybridMultilevel"/>
    <w:tmpl w:val="2A347F06"/>
    <w:lvl w:ilvl="0" w:tplc="74729EFC">
      <w:start w:val="1"/>
      <w:numFmt w:val="bullet"/>
      <w:lvlText w:val=""/>
      <w:lvlJc w:val="left"/>
      <w:pPr>
        <w:ind w:left="720" w:hanging="360"/>
      </w:pPr>
      <w:rPr>
        <w:rFonts w:ascii="Symbol" w:hAnsi="Symbol" w:hint="default"/>
      </w:rPr>
    </w:lvl>
    <w:lvl w:ilvl="1" w:tplc="D4649D28">
      <w:numFmt w:val="decimal"/>
      <w:lvlText w:val=""/>
      <w:lvlJc w:val="left"/>
    </w:lvl>
    <w:lvl w:ilvl="2" w:tplc="810E8AD4">
      <w:numFmt w:val="decimal"/>
      <w:lvlText w:val=""/>
      <w:lvlJc w:val="left"/>
    </w:lvl>
    <w:lvl w:ilvl="3" w:tplc="6B4E1D68">
      <w:numFmt w:val="decimal"/>
      <w:lvlText w:val=""/>
      <w:lvlJc w:val="left"/>
    </w:lvl>
    <w:lvl w:ilvl="4" w:tplc="7B12D4BE">
      <w:numFmt w:val="decimal"/>
      <w:lvlText w:val=""/>
      <w:lvlJc w:val="left"/>
    </w:lvl>
    <w:lvl w:ilvl="5" w:tplc="FBDCCD94">
      <w:numFmt w:val="decimal"/>
      <w:lvlText w:val=""/>
      <w:lvlJc w:val="left"/>
    </w:lvl>
    <w:lvl w:ilvl="6" w:tplc="381E2B5E">
      <w:numFmt w:val="decimal"/>
      <w:lvlText w:val=""/>
      <w:lvlJc w:val="left"/>
    </w:lvl>
    <w:lvl w:ilvl="7" w:tplc="3C227864">
      <w:numFmt w:val="decimal"/>
      <w:lvlText w:val=""/>
      <w:lvlJc w:val="left"/>
    </w:lvl>
    <w:lvl w:ilvl="8" w:tplc="0584D232">
      <w:numFmt w:val="decimal"/>
      <w:lvlText w:val=""/>
      <w:lvlJc w:val="left"/>
    </w:lvl>
  </w:abstractNum>
  <w:abstractNum w:abstractNumId="568" w15:restartNumberingAfterBreak="0">
    <w:nsid w:val="3AC84F44"/>
    <w:multiLevelType w:val="hybridMultilevel"/>
    <w:tmpl w:val="65F6096E"/>
    <w:lvl w:ilvl="0" w:tplc="27541790">
      <w:start w:val="1"/>
      <w:numFmt w:val="bullet"/>
      <w:lvlText w:val=""/>
      <w:lvlJc w:val="left"/>
      <w:pPr>
        <w:ind w:left="720" w:hanging="360"/>
      </w:pPr>
      <w:rPr>
        <w:rFonts w:ascii="Symbol" w:hAnsi="Symbol" w:hint="default"/>
      </w:rPr>
    </w:lvl>
    <w:lvl w:ilvl="1" w:tplc="5126A43C">
      <w:numFmt w:val="decimal"/>
      <w:lvlText w:val=""/>
      <w:lvlJc w:val="left"/>
    </w:lvl>
    <w:lvl w:ilvl="2" w:tplc="2E0CD020">
      <w:numFmt w:val="decimal"/>
      <w:lvlText w:val=""/>
      <w:lvlJc w:val="left"/>
    </w:lvl>
    <w:lvl w:ilvl="3" w:tplc="E38E5338">
      <w:numFmt w:val="decimal"/>
      <w:lvlText w:val=""/>
      <w:lvlJc w:val="left"/>
    </w:lvl>
    <w:lvl w:ilvl="4" w:tplc="EA961D8E">
      <w:numFmt w:val="decimal"/>
      <w:lvlText w:val=""/>
      <w:lvlJc w:val="left"/>
    </w:lvl>
    <w:lvl w:ilvl="5" w:tplc="4912B21E">
      <w:numFmt w:val="decimal"/>
      <w:lvlText w:val=""/>
      <w:lvlJc w:val="left"/>
    </w:lvl>
    <w:lvl w:ilvl="6" w:tplc="9B9E8126">
      <w:numFmt w:val="decimal"/>
      <w:lvlText w:val=""/>
      <w:lvlJc w:val="left"/>
    </w:lvl>
    <w:lvl w:ilvl="7" w:tplc="18FAB1C4">
      <w:numFmt w:val="decimal"/>
      <w:lvlText w:val=""/>
      <w:lvlJc w:val="left"/>
    </w:lvl>
    <w:lvl w:ilvl="8" w:tplc="516E601E">
      <w:numFmt w:val="decimal"/>
      <w:lvlText w:val=""/>
      <w:lvlJc w:val="left"/>
    </w:lvl>
  </w:abstractNum>
  <w:abstractNum w:abstractNumId="569" w15:restartNumberingAfterBreak="0">
    <w:nsid w:val="3ACD7F86"/>
    <w:multiLevelType w:val="hybridMultilevel"/>
    <w:tmpl w:val="2D78DD6C"/>
    <w:lvl w:ilvl="0" w:tplc="101A0656">
      <w:start w:val="1"/>
      <w:numFmt w:val="bullet"/>
      <w:lvlText w:val=""/>
      <w:lvlJc w:val="left"/>
      <w:pPr>
        <w:ind w:left="720" w:hanging="360"/>
      </w:pPr>
      <w:rPr>
        <w:rFonts w:ascii="Symbol" w:hAnsi="Symbol" w:hint="default"/>
      </w:rPr>
    </w:lvl>
    <w:lvl w:ilvl="1" w:tplc="49ACD7B2">
      <w:numFmt w:val="decimal"/>
      <w:lvlText w:val=""/>
      <w:lvlJc w:val="left"/>
    </w:lvl>
    <w:lvl w:ilvl="2" w:tplc="46F6C56A">
      <w:numFmt w:val="decimal"/>
      <w:lvlText w:val=""/>
      <w:lvlJc w:val="left"/>
    </w:lvl>
    <w:lvl w:ilvl="3" w:tplc="085067F8">
      <w:numFmt w:val="decimal"/>
      <w:lvlText w:val=""/>
      <w:lvlJc w:val="left"/>
    </w:lvl>
    <w:lvl w:ilvl="4" w:tplc="F126FB14">
      <w:numFmt w:val="decimal"/>
      <w:lvlText w:val=""/>
      <w:lvlJc w:val="left"/>
    </w:lvl>
    <w:lvl w:ilvl="5" w:tplc="DDE67422">
      <w:numFmt w:val="decimal"/>
      <w:lvlText w:val=""/>
      <w:lvlJc w:val="left"/>
    </w:lvl>
    <w:lvl w:ilvl="6" w:tplc="A8B6DEE0">
      <w:numFmt w:val="decimal"/>
      <w:lvlText w:val=""/>
      <w:lvlJc w:val="left"/>
    </w:lvl>
    <w:lvl w:ilvl="7" w:tplc="BCF23920">
      <w:numFmt w:val="decimal"/>
      <w:lvlText w:val=""/>
      <w:lvlJc w:val="left"/>
    </w:lvl>
    <w:lvl w:ilvl="8" w:tplc="D930C484">
      <w:numFmt w:val="decimal"/>
      <w:lvlText w:val=""/>
      <w:lvlJc w:val="left"/>
    </w:lvl>
  </w:abstractNum>
  <w:abstractNum w:abstractNumId="570" w15:restartNumberingAfterBreak="0">
    <w:nsid w:val="3B154793"/>
    <w:multiLevelType w:val="hybridMultilevel"/>
    <w:tmpl w:val="501CC038"/>
    <w:lvl w:ilvl="0" w:tplc="D6262D3E">
      <w:start w:val="1"/>
      <w:numFmt w:val="bullet"/>
      <w:lvlText w:val=""/>
      <w:lvlJc w:val="left"/>
      <w:pPr>
        <w:ind w:left="720" w:hanging="360"/>
      </w:pPr>
      <w:rPr>
        <w:rFonts w:ascii="Symbol" w:hAnsi="Symbol" w:hint="default"/>
      </w:rPr>
    </w:lvl>
    <w:lvl w:ilvl="1" w:tplc="1F520FD8">
      <w:numFmt w:val="decimal"/>
      <w:lvlText w:val=""/>
      <w:lvlJc w:val="left"/>
    </w:lvl>
    <w:lvl w:ilvl="2" w:tplc="43380BB2">
      <w:numFmt w:val="decimal"/>
      <w:lvlText w:val=""/>
      <w:lvlJc w:val="left"/>
    </w:lvl>
    <w:lvl w:ilvl="3" w:tplc="F8A0C536">
      <w:numFmt w:val="decimal"/>
      <w:lvlText w:val=""/>
      <w:lvlJc w:val="left"/>
    </w:lvl>
    <w:lvl w:ilvl="4" w:tplc="54C6BB26">
      <w:numFmt w:val="decimal"/>
      <w:lvlText w:val=""/>
      <w:lvlJc w:val="left"/>
    </w:lvl>
    <w:lvl w:ilvl="5" w:tplc="580083A0">
      <w:numFmt w:val="decimal"/>
      <w:lvlText w:val=""/>
      <w:lvlJc w:val="left"/>
    </w:lvl>
    <w:lvl w:ilvl="6" w:tplc="F4AAA02E">
      <w:numFmt w:val="decimal"/>
      <w:lvlText w:val=""/>
      <w:lvlJc w:val="left"/>
    </w:lvl>
    <w:lvl w:ilvl="7" w:tplc="AE6E52A4">
      <w:numFmt w:val="decimal"/>
      <w:lvlText w:val=""/>
      <w:lvlJc w:val="left"/>
    </w:lvl>
    <w:lvl w:ilvl="8" w:tplc="CA303B58">
      <w:numFmt w:val="decimal"/>
      <w:lvlText w:val=""/>
      <w:lvlJc w:val="left"/>
    </w:lvl>
  </w:abstractNum>
  <w:abstractNum w:abstractNumId="571" w15:restartNumberingAfterBreak="0">
    <w:nsid w:val="3B2E1A19"/>
    <w:multiLevelType w:val="hybridMultilevel"/>
    <w:tmpl w:val="C680D948"/>
    <w:lvl w:ilvl="0" w:tplc="534A97FE">
      <w:start w:val="1"/>
      <w:numFmt w:val="bullet"/>
      <w:lvlText w:val=""/>
      <w:lvlJc w:val="left"/>
      <w:pPr>
        <w:ind w:left="720" w:hanging="360"/>
      </w:pPr>
      <w:rPr>
        <w:rFonts w:ascii="Symbol" w:hAnsi="Symbol" w:hint="default"/>
      </w:rPr>
    </w:lvl>
    <w:lvl w:ilvl="1" w:tplc="84D8D644">
      <w:numFmt w:val="decimal"/>
      <w:lvlText w:val=""/>
      <w:lvlJc w:val="left"/>
    </w:lvl>
    <w:lvl w:ilvl="2" w:tplc="675EE4AA">
      <w:numFmt w:val="decimal"/>
      <w:lvlText w:val=""/>
      <w:lvlJc w:val="left"/>
    </w:lvl>
    <w:lvl w:ilvl="3" w:tplc="E2BA90F0">
      <w:numFmt w:val="decimal"/>
      <w:lvlText w:val=""/>
      <w:lvlJc w:val="left"/>
    </w:lvl>
    <w:lvl w:ilvl="4" w:tplc="E030272C">
      <w:numFmt w:val="decimal"/>
      <w:lvlText w:val=""/>
      <w:lvlJc w:val="left"/>
    </w:lvl>
    <w:lvl w:ilvl="5" w:tplc="4C76A3CE">
      <w:numFmt w:val="decimal"/>
      <w:lvlText w:val=""/>
      <w:lvlJc w:val="left"/>
    </w:lvl>
    <w:lvl w:ilvl="6" w:tplc="BF8E2790">
      <w:numFmt w:val="decimal"/>
      <w:lvlText w:val=""/>
      <w:lvlJc w:val="left"/>
    </w:lvl>
    <w:lvl w:ilvl="7" w:tplc="09A69904">
      <w:numFmt w:val="decimal"/>
      <w:lvlText w:val=""/>
      <w:lvlJc w:val="left"/>
    </w:lvl>
    <w:lvl w:ilvl="8" w:tplc="A984D528">
      <w:numFmt w:val="decimal"/>
      <w:lvlText w:val=""/>
      <w:lvlJc w:val="left"/>
    </w:lvl>
  </w:abstractNum>
  <w:abstractNum w:abstractNumId="572" w15:restartNumberingAfterBreak="0">
    <w:nsid w:val="3B4B7C9C"/>
    <w:multiLevelType w:val="hybridMultilevel"/>
    <w:tmpl w:val="93F6B3D4"/>
    <w:lvl w:ilvl="0" w:tplc="57B29EC2">
      <w:start w:val="1"/>
      <w:numFmt w:val="bullet"/>
      <w:lvlText w:val=""/>
      <w:lvlJc w:val="left"/>
      <w:pPr>
        <w:ind w:left="720" w:hanging="360"/>
      </w:pPr>
      <w:rPr>
        <w:rFonts w:ascii="Symbol" w:hAnsi="Symbol" w:hint="default"/>
      </w:rPr>
    </w:lvl>
    <w:lvl w:ilvl="1" w:tplc="F6E8E6E0">
      <w:numFmt w:val="decimal"/>
      <w:lvlText w:val=""/>
      <w:lvlJc w:val="left"/>
    </w:lvl>
    <w:lvl w:ilvl="2" w:tplc="C9E8511C">
      <w:numFmt w:val="decimal"/>
      <w:lvlText w:val=""/>
      <w:lvlJc w:val="left"/>
    </w:lvl>
    <w:lvl w:ilvl="3" w:tplc="366E6654">
      <w:numFmt w:val="decimal"/>
      <w:lvlText w:val=""/>
      <w:lvlJc w:val="left"/>
    </w:lvl>
    <w:lvl w:ilvl="4" w:tplc="14DC95C4">
      <w:numFmt w:val="decimal"/>
      <w:lvlText w:val=""/>
      <w:lvlJc w:val="left"/>
    </w:lvl>
    <w:lvl w:ilvl="5" w:tplc="20D62448">
      <w:numFmt w:val="decimal"/>
      <w:lvlText w:val=""/>
      <w:lvlJc w:val="left"/>
    </w:lvl>
    <w:lvl w:ilvl="6" w:tplc="241232E8">
      <w:numFmt w:val="decimal"/>
      <w:lvlText w:val=""/>
      <w:lvlJc w:val="left"/>
    </w:lvl>
    <w:lvl w:ilvl="7" w:tplc="3F6ECDE6">
      <w:numFmt w:val="decimal"/>
      <w:lvlText w:val=""/>
      <w:lvlJc w:val="left"/>
    </w:lvl>
    <w:lvl w:ilvl="8" w:tplc="783C3832">
      <w:numFmt w:val="decimal"/>
      <w:lvlText w:val=""/>
      <w:lvlJc w:val="left"/>
    </w:lvl>
  </w:abstractNum>
  <w:abstractNum w:abstractNumId="573" w15:restartNumberingAfterBreak="0">
    <w:nsid w:val="3B626FDD"/>
    <w:multiLevelType w:val="hybridMultilevel"/>
    <w:tmpl w:val="9D24DF3C"/>
    <w:lvl w:ilvl="0" w:tplc="A4DADC26">
      <w:start w:val="1"/>
      <w:numFmt w:val="bullet"/>
      <w:lvlText w:val=""/>
      <w:lvlJc w:val="left"/>
      <w:pPr>
        <w:ind w:left="720" w:hanging="360"/>
      </w:pPr>
      <w:rPr>
        <w:rFonts w:ascii="Symbol" w:hAnsi="Symbol" w:hint="default"/>
      </w:rPr>
    </w:lvl>
    <w:lvl w:ilvl="1" w:tplc="35128598">
      <w:numFmt w:val="decimal"/>
      <w:lvlText w:val=""/>
      <w:lvlJc w:val="left"/>
    </w:lvl>
    <w:lvl w:ilvl="2" w:tplc="BECAD73E">
      <w:numFmt w:val="decimal"/>
      <w:lvlText w:val=""/>
      <w:lvlJc w:val="left"/>
    </w:lvl>
    <w:lvl w:ilvl="3" w:tplc="DF22CBB4">
      <w:numFmt w:val="decimal"/>
      <w:lvlText w:val=""/>
      <w:lvlJc w:val="left"/>
    </w:lvl>
    <w:lvl w:ilvl="4" w:tplc="34786F02">
      <w:numFmt w:val="decimal"/>
      <w:lvlText w:val=""/>
      <w:lvlJc w:val="left"/>
    </w:lvl>
    <w:lvl w:ilvl="5" w:tplc="1816470C">
      <w:numFmt w:val="decimal"/>
      <w:lvlText w:val=""/>
      <w:lvlJc w:val="left"/>
    </w:lvl>
    <w:lvl w:ilvl="6" w:tplc="12E66F50">
      <w:numFmt w:val="decimal"/>
      <w:lvlText w:val=""/>
      <w:lvlJc w:val="left"/>
    </w:lvl>
    <w:lvl w:ilvl="7" w:tplc="E3527596">
      <w:numFmt w:val="decimal"/>
      <w:lvlText w:val=""/>
      <w:lvlJc w:val="left"/>
    </w:lvl>
    <w:lvl w:ilvl="8" w:tplc="9112D8AE">
      <w:numFmt w:val="decimal"/>
      <w:lvlText w:val=""/>
      <w:lvlJc w:val="left"/>
    </w:lvl>
  </w:abstractNum>
  <w:abstractNum w:abstractNumId="574" w15:restartNumberingAfterBreak="0">
    <w:nsid w:val="3B7953EB"/>
    <w:multiLevelType w:val="hybridMultilevel"/>
    <w:tmpl w:val="3AE02FA6"/>
    <w:lvl w:ilvl="0" w:tplc="62C0E038">
      <w:start w:val="1"/>
      <w:numFmt w:val="bullet"/>
      <w:lvlText w:val=""/>
      <w:lvlJc w:val="left"/>
      <w:pPr>
        <w:ind w:left="720" w:hanging="360"/>
      </w:pPr>
      <w:rPr>
        <w:rFonts w:ascii="Symbol" w:hAnsi="Symbol" w:hint="default"/>
      </w:rPr>
    </w:lvl>
    <w:lvl w:ilvl="1" w:tplc="77D0F646">
      <w:numFmt w:val="decimal"/>
      <w:lvlText w:val=""/>
      <w:lvlJc w:val="left"/>
    </w:lvl>
    <w:lvl w:ilvl="2" w:tplc="9BA6B8FC">
      <w:numFmt w:val="decimal"/>
      <w:lvlText w:val=""/>
      <w:lvlJc w:val="left"/>
    </w:lvl>
    <w:lvl w:ilvl="3" w:tplc="308236E4">
      <w:numFmt w:val="decimal"/>
      <w:lvlText w:val=""/>
      <w:lvlJc w:val="left"/>
    </w:lvl>
    <w:lvl w:ilvl="4" w:tplc="0FA0DC00">
      <w:numFmt w:val="decimal"/>
      <w:lvlText w:val=""/>
      <w:lvlJc w:val="left"/>
    </w:lvl>
    <w:lvl w:ilvl="5" w:tplc="A9046F9E">
      <w:numFmt w:val="decimal"/>
      <w:lvlText w:val=""/>
      <w:lvlJc w:val="left"/>
    </w:lvl>
    <w:lvl w:ilvl="6" w:tplc="6BF076A0">
      <w:numFmt w:val="decimal"/>
      <w:lvlText w:val=""/>
      <w:lvlJc w:val="left"/>
    </w:lvl>
    <w:lvl w:ilvl="7" w:tplc="377CE5C8">
      <w:numFmt w:val="decimal"/>
      <w:lvlText w:val=""/>
      <w:lvlJc w:val="left"/>
    </w:lvl>
    <w:lvl w:ilvl="8" w:tplc="E97486E8">
      <w:numFmt w:val="decimal"/>
      <w:lvlText w:val=""/>
      <w:lvlJc w:val="left"/>
    </w:lvl>
  </w:abstractNum>
  <w:abstractNum w:abstractNumId="575" w15:restartNumberingAfterBreak="0">
    <w:nsid w:val="3BBF4B22"/>
    <w:multiLevelType w:val="hybridMultilevel"/>
    <w:tmpl w:val="26667964"/>
    <w:lvl w:ilvl="0" w:tplc="8080165E">
      <w:start w:val="1"/>
      <w:numFmt w:val="bullet"/>
      <w:lvlText w:val=""/>
      <w:lvlJc w:val="left"/>
      <w:pPr>
        <w:ind w:left="720" w:hanging="360"/>
      </w:pPr>
      <w:rPr>
        <w:rFonts w:ascii="Symbol" w:hAnsi="Symbol" w:hint="default"/>
      </w:rPr>
    </w:lvl>
    <w:lvl w:ilvl="1" w:tplc="575855B2">
      <w:numFmt w:val="decimal"/>
      <w:lvlText w:val=""/>
      <w:lvlJc w:val="left"/>
    </w:lvl>
    <w:lvl w:ilvl="2" w:tplc="E5987AB2">
      <w:numFmt w:val="decimal"/>
      <w:lvlText w:val=""/>
      <w:lvlJc w:val="left"/>
    </w:lvl>
    <w:lvl w:ilvl="3" w:tplc="61A45EC2">
      <w:numFmt w:val="decimal"/>
      <w:lvlText w:val=""/>
      <w:lvlJc w:val="left"/>
    </w:lvl>
    <w:lvl w:ilvl="4" w:tplc="9608587A">
      <w:numFmt w:val="decimal"/>
      <w:lvlText w:val=""/>
      <w:lvlJc w:val="left"/>
    </w:lvl>
    <w:lvl w:ilvl="5" w:tplc="9F62DF32">
      <w:numFmt w:val="decimal"/>
      <w:lvlText w:val=""/>
      <w:lvlJc w:val="left"/>
    </w:lvl>
    <w:lvl w:ilvl="6" w:tplc="29D893E2">
      <w:numFmt w:val="decimal"/>
      <w:lvlText w:val=""/>
      <w:lvlJc w:val="left"/>
    </w:lvl>
    <w:lvl w:ilvl="7" w:tplc="BA689A64">
      <w:numFmt w:val="decimal"/>
      <w:lvlText w:val=""/>
      <w:lvlJc w:val="left"/>
    </w:lvl>
    <w:lvl w:ilvl="8" w:tplc="8A0A23F0">
      <w:numFmt w:val="decimal"/>
      <w:lvlText w:val=""/>
      <w:lvlJc w:val="left"/>
    </w:lvl>
  </w:abstractNum>
  <w:abstractNum w:abstractNumId="576" w15:restartNumberingAfterBreak="0">
    <w:nsid w:val="3BC23D85"/>
    <w:multiLevelType w:val="hybridMultilevel"/>
    <w:tmpl w:val="A5B23532"/>
    <w:lvl w:ilvl="0" w:tplc="3056D7B2">
      <w:start w:val="1"/>
      <w:numFmt w:val="bullet"/>
      <w:lvlText w:val=""/>
      <w:lvlJc w:val="left"/>
      <w:pPr>
        <w:ind w:left="720" w:hanging="360"/>
      </w:pPr>
      <w:rPr>
        <w:rFonts w:ascii="Symbol" w:hAnsi="Symbol" w:hint="default"/>
      </w:rPr>
    </w:lvl>
    <w:lvl w:ilvl="1" w:tplc="654EC96C">
      <w:numFmt w:val="decimal"/>
      <w:lvlText w:val=""/>
      <w:lvlJc w:val="left"/>
    </w:lvl>
    <w:lvl w:ilvl="2" w:tplc="D3A4D664">
      <w:numFmt w:val="decimal"/>
      <w:lvlText w:val=""/>
      <w:lvlJc w:val="left"/>
    </w:lvl>
    <w:lvl w:ilvl="3" w:tplc="510212E8">
      <w:numFmt w:val="decimal"/>
      <w:lvlText w:val=""/>
      <w:lvlJc w:val="left"/>
    </w:lvl>
    <w:lvl w:ilvl="4" w:tplc="A67C95F0">
      <w:numFmt w:val="decimal"/>
      <w:lvlText w:val=""/>
      <w:lvlJc w:val="left"/>
    </w:lvl>
    <w:lvl w:ilvl="5" w:tplc="98044B26">
      <w:numFmt w:val="decimal"/>
      <w:lvlText w:val=""/>
      <w:lvlJc w:val="left"/>
    </w:lvl>
    <w:lvl w:ilvl="6" w:tplc="6066AC7C">
      <w:numFmt w:val="decimal"/>
      <w:lvlText w:val=""/>
      <w:lvlJc w:val="left"/>
    </w:lvl>
    <w:lvl w:ilvl="7" w:tplc="8C18F0A4">
      <w:numFmt w:val="decimal"/>
      <w:lvlText w:val=""/>
      <w:lvlJc w:val="left"/>
    </w:lvl>
    <w:lvl w:ilvl="8" w:tplc="6D667B14">
      <w:numFmt w:val="decimal"/>
      <w:lvlText w:val=""/>
      <w:lvlJc w:val="left"/>
    </w:lvl>
  </w:abstractNum>
  <w:abstractNum w:abstractNumId="577" w15:restartNumberingAfterBreak="0">
    <w:nsid w:val="3C0F45B8"/>
    <w:multiLevelType w:val="hybridMultilevel"/>
    <w:tmpl w:val="C24443FC"/>
    <w:lvl w:ilvl="0" w:tplc="79845764">
      <w:start w:val="1"/>
      <w:numFmt w:val="bullet"/>
      <w:lvlText w:val=""/>
      <w:lvlJc w:val="left"/>
      <w:pPr>
        <w:ind w:left="720" w:hanging="360"/>
      </w:pPr>
      <w:rPr>
        <w:rFonts w:ascii="Symbol" w:hAnsi="Symbol" w:hint="default"/>
      </w:rPr>
    </w:lvl>
    <w:lvl w:ilvl="1" w:tplc="1454585A">
      <w:numFmt w:val="decimal"/>
      <w:lvlText w:val=""/>
      <w:lvlJc w:val="left"/>
    </w:lvl>
    <w:lvl w:ilvl="2" w:tplc="D82EE956">
      <w:numFmt w:val="decimal"/>
      <w:lvlText w:val=""/>
      <w:lvlJc w:val="left"/>
    </w:lvl>
    <w:lvl w:ilvl="3" w:tplc="13784C76">
      <w:numFmt w:val="decimal"/>
      <w:lvlText w:val=""/>
      <w:lvlJc w:val="left"/>
    </w:lvl>
    <w:lvl w:ilvl="4" w:tplc="A79A58AE">
      <w:numFmt w:val="decimal"/>
      <w:lvlText w:val=""/>
      <w:lvlJc w:val="left"/>
    </w:lvl>
    <w:lvl w:ilvl="5" w:tplc="8A2AF82E">
      <w:numFmt w:val="decimal"/>
      <w:lvlText w:val=""/>
      <w:lvlJc w:val="left"/>
    </w:lvl>
    <w:lvl w:ilvl="6" w:tplc="8CD42084">
      <w:numFmt w:val="decimal"/>
      <w:lvlText w:val=""/>
      <w:lvlJc w:val="left"/>
    </w:lvl>
    <w:lvl w:ilvl="7" w:tplc="AB08025C">
      <w:numFmt w:val="decimal"/>
      <w:lvlText w:val=""/>
      <w:lvlJc w:val="left"/>
    </w:lvl>
    <w:lvl w:ilvl="8" w:tplc="E81AD6CC">
      <w:numFmt w:val="decimal"/>
      <w:lvlText w:val=""/>
      <w:lvlJc w:val="left"/>
    </w:lvl>
  </w:abstractNum>
  <w:abstractNum w:abstractNumId="578" w15:restartNumberingAfterBreak="0">
    <w:nsid w:val="3C140E06"/>
    <w:multiLevelType w:val="hybridMultilevel"/>
    <w:tmpl w:val="58B81AB0"/>
    <w:lvl w:ilvl="0" w:tplc="3306FA8C">
      <w:start w:val="1"/>
      <w:numFmt w:val="bullet"/>
      <w:lvlText w:val=""/>
      <w:lvlJc w:val="left"/>
      <w:pPr>
        <w:ind w:left="720" w:hanging="360"/>
      </w:pPr>
      <w:rPr>
        <w:rFonts w:ascii="Symbol" w:hAnsi="Symbol" w:hint="default"/>
      </w:rPr>
    </w:lvl>
    <w:lvl w:ilvl="1" w:tplc="90C42312">
      <w:numFmt w:val="decimal"/>
      <w:lvlText w:val=""/>
      <w:lvlJc w:val="left"/>
    </w:lvl>
    <w:lvl w:ilvl="2" w:tplc="F0C0A43C">
      <w:numFmt w:val="decimal"/>
      <w:lvlText w:val=""/>
      <w:lvlJc w:val="left"/>
    </w:lvl>
    <w:lvl w:ilvl="3" w:tplc="0128C858">
      <w:numFmt w:val="decimal"/>
      <w:lvlText w:val=""/>
      <w:lvlJc w:val="left"/>
    </w:lvl>
    <w:lvl w:ilvl="4" w:tplc="72C0922C">
      <w:numFmt w:val="decimal"/>
      <w:lvlText w:val=""/>
      <w:lvlJc w:val="left"/>
    </w:lvl>
    <w:lvl w:ilvl="5" w:tplc="38AA4A82">
      <w:numFmt w:val="decimal"/>
      <w:lvlText w:val=""/>
      <w:lvlJc w:val="left"/>
    </w:lvl>
    <w:lvl w:ilvl="6" w:tplc="DED89678">
      <w:numFmt w:val="decimal"/>
      <w:lvlText w:val=""/>
      <w:lvlJc w:val="left"/>
    </w:lvl>
    <w:lvl w:ilvl="7" w:tplc="1EEA64FA">
      <w:numFmt w:val="decimal"/>
      <w:lvlText w:val=""/>
      <w:lvlJc w:val="left"/>
    </w:lvl>
    <w:lvl w:ilvl="8" w:tplc="544A0C0C">
      <w:numFmt w:val="decimal"/>
      <w:lvlText w:val=""/>
      <w:lvlJc w:val="left"/>
    </w:lvl>
  </w:abstractNum>
  <w:abstractNum w:abstractNumId="579" w15:restartNumberingAfterBreak="0">
    <w:nsid w:val="3C234707"/>
    <w:multiLevelType w:val="hybridMultilevel"/>
    <w:tmpl w:val="4706FF32"/>
    <w:lvl w:ilvl="0" w:tplc="E226859E">
      <w:start w:val="1"/>
      <w:numFmt w:val="bullet"/>
      <w:lvlText w:val=""/>
      <w:lvlJc w:val="left"/>
      <w:pPr>
        <w:ind w:left="720" w:hanging="360"/>
      </w:pPr>
      <w:rPr>
        <w:rFonts w:ascii="Symbol" w:hAnsi="Symbol" w:hint="default"/>
      </w:rPr>
    </w:lvl>
    <w:lvl w:ilvl="1" w:tplc="6E8EAD62">
      <w:numFmt w:val="decimal"/>
      <w:lvlText w:val=""/>
      <w:lvlJc w:val="left"/>
    </w:lvl>
    <w:lvl w:ilvl="2" w:tplc="071AD72A">
      <w:numFmt w:val="decimal"/>
      <w:lvlText w:val=""/>
      <w:lvlJc w:val="left"/>
    </w:lvl>
    <w:lvl w:ilvl="3" w:tplc="E6D03818">
      <w:numFmt w:val="decimal"/>
      <w:lvlText w:val=""/>
      <w:lvlJc w:val="left"/>
    </w:lvl>
    <w:lvl w:ilvl="4" w:tplc="39E0C7CC">
      <w:numFmt w:val="decimal"/>
      <w:lvlText w:val=""/>
      <w:lvlJc w:val="left"/>
    </w:lvl>
    <w:lvl w:ilvl="5" w:tplc="707CB9F4">
      <w:numFmt w:val="decimal"/>
      <w:lvlText w:val=""/>
      <w:lvlJc w:val="left"/>
    </w:lvl>
    <w:lvl w:ilvl="6" w:tplc="5EDA2C46">
      <w:numFmt w:val="decimal"/>
      <w:lvlText w:val=""/>
      <w:lvlJc w:val="left"/>
    </w:lvl>
    <w:lvl w:ilvl="7" w:tplc="C6E254CC">
      <w:numFmt w:val="decimal"/>
      <w:lvlText w:val=""/>
      <w:lvlJc w:val="left"/>
    </w:lvl>
    <w:lvl w:ilvl="8" w:tplc="994A5776">
      <w:numFmt w:val="decimal"/>
      <w:lvlText w:val=""/>
      <w:lvlJc w:val="left"/>
    </w:lvl>
  </w:abstractNum>
  <w:abstractNum w:abstractNumId="580" w15:restartNumberingAfterBreak="0">
    <w:nsid w:val="3C247A04"/>
    <w:multiLevelType w:val="hybridMultilevel"/>
    <w:tmpl w:val="6D0A7026"/>
    <w:lvl w:ilvl="0" w:tplc="D56884E6">
      <w:start w:val="1"/>
      <w:numFmt w:val="bullet"/>
      <w:lvlText w:val=""/>
      <w:lvlJc w:val="left"/>
      <w:pPr>
        <w:ind w:left="720" w:hanging="360"/>
      </w:pPr>
      <w:rPr>
        <w:rFonts w:ascii="Symbol" w:hAnsi="Symbol" w:hint="default"/>
      </w:rPr>
    </w:lvl>
    <w:lvl w:ilvl="1" w:tplc="FF749680">
      <w:numFmt w:val="decimal"/>
      <w:lvlText w:val=""/>
      <w:lvlJc w:val="left"/>
    </w:lvl>
    <w:lvl w:ilvl="2" w:tplc="1354E6AE">
      <w:numFmt w:val="decimal"/>
      <w:lvlText w:val=""/>
      <w:lvlJc w:val="left"/>
    </w:lvl>
    <w:lvl w:ilvl="3" w:tplc="451EF8CE">
      <w:numFmt w:val="decimal"/>
      <w:lvlText w:val=""/>
      <w:lvlJc w:val="left"/>
    </w:lvl>
    <w:lvl w:ilvl="4" w:tplc="94F640F8">
      <w:numFmt w:val="decimal"/>
      <w:lvlText w:val=""/>
      <w:lvlJc w:val="left"/>
    </w:lvl>
    <w:lvl w:ilvl="5" w:tplc="C58C0972">
      <w:numFmt w:val="decimal"/>
      <w:lvlText w:val=""/>
      <w:lvlJc w:val="left"/>
    </w:lvl>
    <w:lvl w:ilvl="6" w:tplc="C2141A0E">
      <w:numFmt w:val="decimal"/>
      <w:lvlText w:val=""/>
      <w:lvlJc w:val="left"/>
    </w:lvl>
    <w:lvl w:ilvl="7" w:tplc="043494B0">
      <w:numFmt w:val="decimal"/>
      <w:lvlText w:val=""/>
      <w:lvlJc w:val="left"/>
    </w:lvl>
    <w:lvl w:ilvl="8" w:tplc="C846A9C8">
      <w:numFmt w:val="decimal"/>
      <w:lvlText w:val=""/>
      <w:lvlJc w:val="left"/>
    </w:lvl>
  </w:abstractNum>
  <w:abstractNum w:abstractNumId="581" w15:restartNumberingAfterBreak="0">
    <w:nsid w:val="3C3D22C4"/>
    <w:multiLevelType w:val="hybridMultilevel"/>
    <w:tmpl w:val="ED58C6FE"/>
    <w:lvl w:ilvl="0" w:tplc="811A3200">
      <w:start w:val="1"/>
      <w:numFmt w:val="bullet"/>
      <w:lvlText w:val=""/>
      <w:lvlJc w:val="left"/>
      <w:pPr>
        <w:ind w:left="720" w:hanging="360"/>
      </w:pPr>
      <w:rPr>
        <w:rFonts w:ascii="Symbol" w:hAnsi="Symbol" w:hint="default"/>
      </w:rPr>
    </w:lvl>
    <w:lvl w:ilvl="1" w:tplc="9F0893C6">
      <w:numFmt w:val="decimal"/>
      <w:lvlText w:val=""/>
      <w:lvlJc w:val="left"/>
    </w:lvl>
    <w:lvl w:ilvl="2" w:tplc="79D8C0CC">
      <w:numFmt w:val="decimal"/>
      <w:lvlText w:val=""/>
      <w:lvlJc w:val="left"/>
    </w:lvl>
    <w:lvl w:ilvl="3" w:tplc="EFE60E26">
      <w:numFmt w:val="decimal"/>
      <w:lvlText w:val=""/>
      <w:lvlJc w:val="left"/>
    </w:lvl>
    <w:lvl w:ilvl="4" w:tplc="38FA5DBE">
      <w:numFmt w:val="decimal"/>
      <w:lvlText w:val=""/>
      <w:lvlJc w:val="left"/>
    </w:lvl>
    <w:lvl w:ilvl="5" w:tplc="BA6A1676">
      <w:numFmt w:val="decimal"/>
      <w:lvlText w:val=""/>
      <w:lvlJc w:val="left"/>
    </w:lvl>
    <w:lvl w:ilvl="6" w:tplc="FF12FDF6">
      <w:numFmt w:val="decimal"/>
      <w:lvlText w:val=""/>
      <w:lvlJc w:val="left"/>
    </w:lvl>
    <w:lvl w:ilvl="7" w:tplc="79F89C36">
      <w:numFmt w:val="decimal"/>
      <w:lvlText w:val=""/>
      <w:lvlJc w:val="left"/>
    </w:lvl>
    <w:lvl w:ilvl="8" w:tplc="502AADCC">
      <w:numFmt w:val="decimal"/>
      <w:lvlText w:val=""/>
      <w:lvlJc w:val="left"/>
    </w:lvl>
  </w:abstractNum>
  <w:abstractNum w:abstractNumId="582" w15:restartNumberingAfterBreak="0">
    <w:nsid w:val="3C420266"/>
    <w:multiLevelType w:val="hybridMultilevel"/>
    <w:tmpl w:val="69F8A99E"/>
    <w:lvl w:ilvl="0" w:tplc="C63A1AEC">
      <w:start w:val="1"/>
      <w:numFmt w:val="bullet"/>
      <w:lvlText w:val=""/>
      <w:lvlJc w:val="left"/>
      <w:pPr>
        <w:ind w:left="720" w:hanging="360"/>
      </w:pPr>
      <w:rPr>
        <w:rFonts w:ascii="Symbol" w:hAnsi="Symbol" w:hint="default"/>
      </w:rPr>
    </w:lvl>
    <w:lvl w:ilvl="1" w:tplc="50B811E0">
      <w:numFmt w:val="decimal"/>
      <w:lvlText w:val=""/>
      <w:lvlJc w:val="left"/>
    </w:lvl>
    <w:lvl w:ilvl="2" w:tplc="313C5A84">
      <w:numFmt w:val="decimal"/>
      <w:lvlText w:val=""/>
      <w:lvlJc w:val="left"/>
    </w:lvl>
    <w:lvl w:ilvl="3" w:tplc="CF381BA8">
      <w:numFmt w:val="decimal"/>
      <w:lvlText w:val=""/>
      <w:lvlJc w:val="left"/>
    </w:lvl>
    <w:lvl w:ilvl="4" w:tplc="57327C86">
      <w:numFmt w:val="decimal"/>
      <w:lvlText w:val=""/>
      <w:lvlJc w:val="left"/>
    </w:lvl>
    <w:lvl w:ilvl="5" w:tplc="97D41FAA">
      <w:numFmt w:val="decimal"/>
      <w:lvlText w:val=""/>
      <w:lvlJc w:val="left"/>
    </w:lvl>
    <w:lvl w:ilvl="6" w:tplc="151AE878">
      <w:numFmt w:val="decimal"/>
      <w:lvlText w:val=""/>
      <w:lvlJc w:val="left"/>
    </w:lvl>
    <w:lvl w:ilvl="7" w:tplc="E9DE962E">
      <w:numFmt w:val="decimal"/>
      <w:lvlText w:val=""/>
      <w:lvlJc w:val="left"/>
    </w:lvl>
    <w:lvl w:ilvl="8" w:tplc="D114943C">
      <w:numFmt w:val="decimal"/>
      <w:lvlText w:val=""/>
      <w:lvlJc w:val="left"/>
    </w:lvl>
  </w:abstractNum>
  <w:abstractNum w:abstractNumId="583" w15:restartNumberingAfterBreak="0">
    <w:nsid w:val="3C44434E"/>
    <w:multiLevelType w:val="hybridMultilevel"/>
    <w:tmpl w:val="807CB660"/>
    <w:lvl w:ilvl="0" w:tplc="1A34C6FC">
      <w:start w:val="1"/>
      <w:numFmt w:val="bullet"/>
      <w:lvlText w:val=""/>
      <w:lvlJc w:val="left"/>
      <w:pPr>
        <w:ind w:left="720" w:hanging="360"/>
      </w:pPr>
      <w:rPr>
        <w:rFonts w:ascii="Symbol" w:hAnsi="Symbol" w:hint="default"/>
      </w:rPr>
    </w:lvl>
    <w:lvl w:ilvl="1" w:tplc="595451F0">
      <w:numFmt w:val="decimal"/>
      <w:lvlText w:val=""/>
      <w:lvlJc w:val="left"/>
    </w:lvl>
    <w:lvl w:ilvl="2" w:tplc="E2A0A6A2">
      <w:numFmt w:val="decimal"/>
      <w:lvlText w:val=""/>
      <w:lvlJc w:val="left"/>
    </w:lvl>
    <w:lvl w:ilvl="3" w:tplc="FE3AAAC2">
      <w:numFmt w:val="decimal"/>
      <w:lvlText w:val=""/>
      <w:lvlJc w:val="left"/>
    </w:lvl>
    <w:lvl w:ilvl="4" w:tplc="4A483CCA">
      <w:numFmt w:val="decimal"/>
      <w:lvlText w:val=""/>
      <w:lvlJc w:val="left"/>
    </w:lvl>
    <w:lvl w:ilvl="5" w:tplc="5F4C85B0">
      <w:numFmt w:val="decimal"/>
      <w:lvlText w:val=""/>
      <w:lvlJc w:val="left"/>
    </w:lvl>
    <w:lvl w:ilvl="6" w:tplc="1A42968E">
      <w:numFmt w:val="decimal"/>
      <w:lvlText w:val=""/>
      <w:lvlJc w:val="left"/>
    </w:lvl>
    <w:lvl w:ilvl="7" w:tplc="355EAA72">
      <w:numFmt w:val="decimal"/>
      <w:lvlText w:val=""/>
      <w:lvlJc w:val="left"/>
    </w:lvl>
    <w:lvl w:ilvl="8" w:tplc="41E2EBE8">
      <w:numFmt w:val="decimal"/>
      <w:lvlText w:val=""/>
      <w:lvlJc w:val="left"/>
    </w:lvl>
  </w:abstractNum>
  <w:abstractNum w:abstractNumId="584" w15:restartNumberingAfterBreak="0">
    <w:nsid w:val="3C512BC3"/>
    <w:multiLevelType w:val="hybridMultilevel"/>
    <w:tmpl w:val="246E1C2C"/>
    <w:lvl w:ilvl="0" w:tplc="0714D578">
      <w:start w:val="1"/>
      <w:numFmt w:val="bullet"/>
      <w:lvlText w:val=""/>
      <w:lvlJc w:val="left"/>
      <w:pPr>
        <w:ind w:left="720" w:hanging="360"/>
      </w:pPr>
      <w:rPr>
        <w:rFonts w:ascii="Symbol" w:hAnsi="Symbol" w:hint="default"/>
      </w:rPr>
    </w:lvl>
    <w:lvl w:ilvl="1" w:tplc="1D64CB1C">
      <w:numFmt w:val="decimal"/>
      <w:lvlText w:val=""/>
      <w:lvlJc w:val="left"/>
    </w:lvl>
    <w:lvl w:ilvl="2" w:tplc="93D61FDA">
      <w:numFmt w:val="decimal"/>
      <w:lvlText w:val=""/>
      <w:lvlJc w:val="left"/>
    </w:lvl>
    <w:lvl w:ilvl="3" w:tplc="2F042D4E">
      <w:numFmt w:val="decimal"/>
      <w:lvlText w:val=""/>
      <w:lvlJc w:val="left"/>
    </w:lvl>
    <w:lvl w:ilvl="4" w:tplc="95069C5A">
      <w:numFmt w:val="decimal"/>
      <w:lvlText w:val=""/>
      <w:lvlJc w:val="left"/>
    </w:lvl>
    <w:lvl w:ilvl="5" w:tplc="BA806C94">
      <w:numFmt w:val="decimal"/>
      <w:lvlText w:val=""/>
      <w:lvlJc w:val="left"/>
    </w:lvl>
    <w:lvl w:ilvl="6" w:tplc="EABA681C">
      <w:numFmt w:val="decimal"/>
      <w:lvlText w:val=""/>
      <w:lvlJc w:val="left"/>
    </w:lvl>
    <w:lvl w:ilvl="7" w:tplc="6EE47BE8">
      <w:numFmt w:val="decimal"/>
      <w:lvlText w:val=""/>
      <w:lvlJc w:val="left"/>
    </w:lvl>
    <w:lvl w:ilvl="8" w:tplc="F09C39D2">
      <w:numFmt w:val="decimal"/>
      <w:lvlText w:val=""/>
      <w:lvlJc w:val="left"/>
    </w:lvl>
  </w:abstractNum>
  <w:abstractNum w:abstractNumId="585" w15:restartNumberingAfterBreak="0">
    <w:nsid w:val="3C973EBD"/>
    <w:multiLevelType w:val="hybridMultilevel"/>
    <w:tmpl w:val="38EE4A70"/>
    <w:lvl w:ilvl="0" w:tplc="1C5E873A">
      <w:start w:val="1"/>
      <w:numFmt w:val="bullet"/>
      <w:lvlText w:val=""/>
      <w:lvlJc w:val="left"/>
      <w:pPr>
        <w:ind w:left="720" w:hanging="360"/>
      </w:pPr>
      <w:rPr>
        <w:rFonts w:ascii="Symbol" w:hAnsi="Symbol" w:hint="default"/>
      </w:rPr>
    </w:lvl>
    <w:lvl w:ilvl="1" w:tplc="6238898A">
      <w:numFmt w:val="decimal"/>
      <w:lvlText w:val=""/>
      <w:lvlJc w:val="left"/>
    </w:lvl>
    <w:lvl w:ilvl="2" w:tplc="EA58BD00">
      <w:numFmt w:val="decimal"/>
      <w:lvlText w:val=""/>
      <w:lvlJc w:val="left"/>
    </w:lvl>
    <w:lvl w:ilvl="3" w:tplc="49247AE6">
      <w:numFmt w:val="decimal"/>
      <w:lvlText w:val=""/>
      <w:lvlJc w:val="left"/>
    </w:lvl>
    <w:lvl w:ilvl="4" w:tplc="6A1A0404">
      <w:numFmt w:val="decimal"/>
      <w:lvlText w:val=""/>
      <w:lvlJc w:val="left"/>
    </w:lvl>
    <w:lvl w:ilvl="5" w:tplc="4CE2CCD8">
      <w:numFmt w:val="decimal"/>
      <w:lvlText w:val=""/>
      <w:lvlJc w:val="left"/>
    </w:lvl>
    <w:lvl w:ilvl="6" w:tplc="1A72F2FE">
      <w:numFmt w:val="decimal"/>
      <w:lvlText w:val=""/>
      <w:lvlJc w:val="left"/>
    </w:lvl>
    <w:lvl w:ilvl="7" w:tplc="97A86C46">
      <w:numFmt w:val="decimal"/>
      <w:lvlText w:val=""/>
      <w:lvlJc w:val="left"/>
    </w:lvl>
    <w:lvl w:ilvl="8" w:tplc="52A052DA">
      <w:numFmt w:val="decimal"/>
      <w:lvlText w:val=""/>
      <w:lvlJc w:val="left"/>
    </w:lvl>
  </w:abstractNum>
  <w:abstractNum w:abstractNumId="586" w15:restartNumberingAfterBreak="0">
    <w:nsid w:val="3CA128E3"/>
    <w:multiLevelType w:val="hybridMultilevel"/>
    <w:tmpl w:val="B2284CCA"/>
    <w:lvl w:ilvl="0" w:tplc="4DAACE10">
      <w:start w:val="1"/>
      <w:numFmt w:val="bullet"/>
      <w:lvlText w:val=""/>
      <w:lvlJc w:val="left"/>
      <w:pPr>
        <w:ind w:left="720" w:hanging="360"/>
      </w:pPr>
      <w:rPr>
        <w:rFonts w:ascii="Symbol" w:hAnsi="Symbol" w:hint="default"/>
      </w:rPr>
    </w:lvl>
    <w:lvl w:ilvl="1" w:tplc="F80809A4">
      <w:numFmt w:val="decimal"/>
      <w:lvlText w:val=""/>
      <w:lvlJc w:val="left"/>
    </w:lvl>
    <w:lvl w:ilvl="2" w:tplc="52006336">
      <w:numFmt w:val="decimal"/>
      <w:lvlText w:val=""/>
      <w:lvlJc w:val="left"/>
    </w:lvl>
    <w:lvl w:ilvl="3" w:tplc="69AC4292">
      <w:numFmt w:val="decimal"/>
      <w:lvlText w:val=""/>
      <w:lvlJc w:val="left"/>
    </w:lvl>
    <w:lvl w:ilvl="4" w:tplc="44001F26">
      <w:numFmt w:val="decimal"/>
      <w:lvlText w:val=""/>
      <w:lvlJc w:val="left"/>
    </w:lvl>
    <w:lvl w:ilvl="5" w:tplc="5FD61A8C">
      <w:numFmt w:val="decimal"/>
      <w:lvlText w:val=""/>
      <w:lvlJc w:val="left"/>
    </w:lvl>
    <w:lvl w:ilvl="6" w:tplc="C59A2FC4">
      <w:numFmt w:val="decimal"/>
      <w:lvlText w:val=""/>
      <w:lvlJc w:val="left"/>
    </w:lvl>
    <w:lvl w:ilvl="7" w:tplc="D9B0D906">
      <w:numFmt w:val="decimal"/>
      <w:lvlText w:val=""/>
      <w:lvlJc w:val="left"/>
    </w:lvl>
    <w:lvl w:ilvl="8" w:tplc="3432DEE0">
      <w:numFmt w:val="decimal"/>
      <w:lvlText w:val=""/>
      <w:lvlJc w:val="left"/>
    </w:lvl>
  </w:abstractNum>
  <w:abstractNum w:abstractNumId="587" w15:restartNumberingAfterBreak="0">
    <w:nsid w:val="3CA7202A"/>
    <w:multiLevelType w:val="hybridMultilevel"/>
    <w:tmpl w:val="2F30CD82"/>
    <w:lvl w:ilvl="0" w:tplc="A476DC52">
      <w:start w:val="1"/>
      <w:numFmt w:val="bullet"/>
      <w:lvlText w:val=""/>
      <w:lvlJc w:val="left"/>
      <w:pPr>
        <w:ind w:left="720" w:hanging="360"/>
      </w:pPr>
      <w:rPr>
        <w:rFonts w:ascii="Symbol" w:hAnsi="Symbol" w:hint="default"/>
      </w:rPr>
    </w:lvl>
    <w:lvl w:ilvl="1" w:tplc="B9FCAB32">
      <w:numFmt w:val="decimal"/>
      <w:lvlText w:val=""/>
      <w:lvlJc w:val="left"/>
    </w:lvl>
    <w:lvl w:ilvl="2" w:tplc="50D6A250">
      <w:numFmt w:val="decimal"/>
      <w:lvlText w:val=""/>
      <w:lvlJc w:val="left"/>
    </w:lvl>
    <w:lvl w:ilvl="3" w:tplc="3E40A588">
      <w:numFmt w:val="decimal"/>
      <w:lvlText w:val=""/>
      <w:lvlJc w:val="left"/>
    </w:lvl>
    <w:lvl w:ilvl="4" w:tplc="BF048A26">
      <w:numFmt w:val="decimal"/>
      <w:lvlText w:val=""/>
      <w:lvlJc w:val="left"/>
    </w:lvl>
    <w:lvl w:ilvl="5" w:tplc="7CD22732">
      <w:numFmt w:val="decimal"/>
      <w:lvlText w:val=""/>
      <w:lvlJc w:val="left"/>
    </w:lvl>
    <w:lvl w:ilvl="6" w:tplc="FC0A90A8">
      <w:numFmt w:val="decimal"/>
      <w:lvlText w:val=""/>
      <w:lvlJc w:val="left"/>
    </w:lvl>
    <w:lvl w:ilvl="7" w:tplc="E2D22B06">
      <w:numFmt w:val="decimal"/>
      <w:lvlText w:val=""/>
      <w:lvlJc w:val="left"/>
    </w:lvl>
    <w:lvl w:ilvl="8" w:tplc="C8366942">
      <w:numFmt w:val="decimal"/>
      <w:lvlText w:val=""/>
      <w:lvlJc w:val="left"/>
    </w:lvl>
  </w:abstractNum>
  <w:abstractNum w:abstractNumId="588" w15:restartNumberingAfterBreak="0">
    <w:nsid w:val="3CB52700"/>
    <w:multiLevelType w:val="hybridMultilevel"/>
    <w:tmpl w:val="AAC27594"/>
    <w:lvl w:ilvl="0" w:tplc="16C0041E">
      <w:start w:val="1"/>
      <w:numFmt w:val="bullet"/>
      <w:lvlText w:val=""/>
      <w:lvlJc w:val="left"/>
      <w:pPr>
        <w:ind w:left="720" w:hanging="360"/>
      </w:pPr>
      <w:rPr>
        <w:rFonts w:ascii="Symbol" w:hAnsi="Symbol" w:hint="default"/>
      </w:rPr>
    </w:lvl>
    <w:lvl w:ilvl="1" w:tplc="6E2E4856">
      <w:numFmt w:val="decimal"/>
      <w:lvlText w:val=""/>
      <w:lvlJc w:val="left"/>
    </w:lvl>
    <w:lvl w:ilvl="2" w:tplc="61F8D282">
      <w:numFmt w:val="decimal"/>
      <w:lvlText w:val=""/>
      <w:lvlJc w:val="left"/>
    </w:lvl>
    <w:lvl w:ilvl="3" w:tplc="840AD768">
      <w:numFmt w:val="decimal"/>
      <w:lvlText w:val=""/>
      <w:lvlJc w:val="left"/>
    </w:lvl>
    <w:lvl w:ilvl="4" w:tplc="482EA31E">
      <w:numFmt w:val="decimal"/>
      <w:lvlText w:val=""/>
      <w:lvlJc w:val="left"/>
    </w:lvl>
    <w:lvl w:ilvl="5" w:tplc="61161624">
      <w:numFmt w:val="decimal"/>
      <w:lvlText w:val=""/>
      <w:lvlJc w:val="left"/>
    </w:lvl>
    <w:lvl w:ilvl="6" w:tplc="AF4212D4">
      <w:numFmt w:val="decimal"/>
      <w:lvlText w:val=""/>
      <w:lvlJc w:val="left"/>
    </w:lvl>
    <w:lvl w:ilvl="7" w:tplc="AE3E1C40">
      <w:numFmt w:val="decimal"/>
      <w:lvlText w:val=""/>
      <w:lvlJc w:val="left"/>
    </w:lvl>
    <w:lvl w:ilvl="8" w:tplc="1152B2C2">
      <w:numFmt w:val="decimal"/>
      <w:lvlText w:val=""/>
      <w:lvlJc w:val="left"/>
    </w:lvl>
  </w:abstractNum>
  <w:abstractNum w:abstractNumId="589" w15:restartNumberingAfterBreak="0">
    <w:nsid w:val="3CDF0546"/>
    <w:multiLevelType w:val="hybridMultilevel"/>
    <w:tmpl w:val="169481F2"/>
    <w:lvl w:ilvl="0" w:tplc="8902B540">
      <w:start w:val="1"/>
      <w:numFmt w:val="bullet"/>
      <w:lvlText w:val=""/>
      <w:lvlJc w:val="left"/>
      <w:pPr>
        <w:ind w:left="720" w:hanging="360"/>
      </w:pPr>
      <w:rPr>
        <w:rFonts w:ascii="Symbol" w:hAnsi="Symbol" w:hint="default"/>
      </w:rPr>
    </w:lvl>
    <w:lvl w:ilvl="1" w:tplc="01FC7134">
      <w:numFmt w:val="decimal"/>
      <w:lvlText w:val=""/>
      <w:lvlJc w:val="left"/>
    </w:lvl>
    <w:lvl w:ilvl="2" w:tplc="7264EE9A">
      <w:numFmt w:val="decimal"/>
      <w:lvlText w:val=""/>
      <w:lvlJc w:val="left"/>
    </w:lvl>
    <w:lvl w:ilvl="3" w:tplc="3670E432">
      <w:numFmt w:val="decimal"/>
      <w:lvlText w:val=""/>
      <w:lvlJc w:val="left"/>
    </w:lvl>
    <w:lvl w:ilvl="4" w:tplc="CD3CF6DC">
      <w:numFmt w:val="decimal"/>
      <w:lvlText w:val=""/>
      <w:lvlJc w:val="left"/>
    </w:lvl>
    <w:lvl w:ilvl="5" w:tplc="D7D0C27E">
      <w:numFmt w:val="decimal"/>
      <w:lvlText w:val=""/>
      <w:lvlJc w:val="left"/>
    </w:lvl>
    <w:lvl w:ilvl="6" w:tplc="CE40E164">
      <w:numFmt w:val="decimal"/>
      <w:lvlText w:val=""/>
      <w:lvlJc w:val="left"/>
    </w:lvl>
    <w:lvl w:ilvl="7" w:tplc="73CA9948">
      <w:numFmt w:val="decimal"/>
      <w:lvlText w:val=""/>
      <w:lvlJc w:val="left"/>
    </w:lvl>
    <w:lvl w:ilvl="8" w:tplc="0FD81E60">
      <w:numFmt w:val="decimal"/>
      <w:lvlText w:val=""/>
      <w:lvlJc w:val="left"/>
    </w:lvl>
  </w:abstractNum>
  <w:abstractNum w:abstractNumId="590" w15:restartNumberingAfterBreak="0">
    <w:nsid w:val="3CF07B9C"/>
    <w:multiLevelType w:val="hybridMultilevel"/>
    <w:tmpl w:val="BA9432C4"/>
    <w:lvl w:ilvl="0" w:tplc="1458D582">
      <w:start w:val="1"/>
      <w:numFmt w:val="bullet"/>
      <w:lvlText w:val=""/>
      <w:lvlJc w:val="left"/>
      <w:pPr>
        <w:ind w:left="720" w:hanging="360"/>
      </w:pPr>
      <w:rPr>
        <w:rFonts w:ascii="Symbol" w:hAnsi="Symbol" w:hint="default"/>
      </w:rPr>
    </w:lvl>
    <w:lvl w:ilvl="1" w:tplc="9C8AC772">
      <w:numFmt w:val="decimal"/>
      <w:lvlText w:val=""/>
      <w:lvlJc w:val="left"/>
    </w:lvl>
    <w:lvl w:ilvl="2" w:tplc="EFB47560">
      <w:numFmt w:val="decimal"/>
      <w:lvlText w:val=""/>
      <w:lvlJc w:val="left"/>
    </w:lvl>
    <w:lvl w:ilvl="3" w:tplc="7556EAA4">
      <w:numFmt w:val="decimal"/>
      <w:lvlText w:val=""/>
      <w:lvlJc w:val="left"/>
    </w:lvl>
    <w:lvl w:ilvl="4" w:tplc="53404D34">
      <w:numFmt w:val="decimal"/>
      <w:lvlText w:val=""/>
      <w:lvlJc w:val="left"/>
    </w:lvl>
    <w:lvl w:ilvl="5" w:tplc="40648840">
      <w:numFmt w:val="decimal"/>
      <w:lvlText w:val=""/>
      <w:lvlJc w:val="left"/>
    </w:lvl>
    <w:lvl w:ilvl="6" w:tplc="72F6DF0A">
      <w:numFmt w:val="decimal"/>
      <w:lvlText w:val=""/>
      <w:lvlJc w:val="left"/>
    </w:lvl>
    <w:lvl w:ilvl="7" w:tplc="33022908">
      <w:numFmt w:val="decimal"/>
      <w:lvlText w:val=""/>
      <w:lvlJc w:val="left"/>
    </w:lvl>
    <w:lvl w:ilvl="8" w:tplc="731ED46C">
      <w:numFmt w:val="decimal"/>
      <w:lvlText w:val=""/>
      <w:lvlJc w:val="left"/>
    </w:lvl>
  </w:abstractNum>
  <w:abstractNum w:abstractNumId="591" w15:restartNumberingAfterBreak="0">
    <w:nsid w:val="3D187A51"/>
    <w:multiLevelType w:val="hybridMultilevel"/>
    <w:tmpl w:val="96969AFE"/>
    <w:lvl w:ilvl="0" w:tplc="7A9670F0">
      <w:numFmt w:val="decimal"/>
      <w:lvlText w:val=""/>
      <w:lvlJc w:val="left"/>
    </w:lvl>
    <w:lvl w:ilvl="1" w:tplc="FF7245B6">
      <w:start w:val="1"/>
      <w:numFmt w:val="bullet"/>
      <w:lvlText w:val=""/>
      <w:lvlJc w:val="left"/>
      <w:pPr>
        <w:ind w:left="1440" w:hanging="360"/>
      </w:pPr>
      <w:rPr>
        <w:rFonts w:ascii="Symbol" w:hAnsi="Symbol" w:hint="default"/>
      </w:rPr>
    </w:lvl>
    <w:lvl w:ilvl="2" w:tplc="B1A46054">
      <w:numFmt w:val="decimal"/>
      <w:lvlText w:val=""/>
      <w:lvlJc w:val="left"/>
    </w:lvl>
    <w:lvl w:ilvl="3" w:tplc="EF0AEB5E">
      <w:numFmt w:val="decimal"/>
      <w:lvlText w:val=""/>
      <w:lvlJc w:val="left"/>
    </w:lvl>
    <w:lvl w:ilvl="4" w:tplc="09C07456">
      <w:numFmt w:val="decimal"/>
      <w:lvlText w:val=""/>
      <w:lvlJc w:val="left"/>
    </w:lvl>
    <w:lvl w:ilvl="5" w:tplc="7BE81480">
      <w:numFmt w:val="decimal"/>
      <w:lvlText w:val=""/>
      <w:lvlJc w:val="left"/>
    </w:lvl>
    <w:lvl w:ilvl="6" w:tplc="D360C86E">
      <w:numFmt w:val="decimal"/>
      <w:lvlText w:val=""/>
      <w:lvlJc w:val="left"/>
    </w:lvl>
    <w:lvl w:ilvl="7" w:tplc="D4544D86">
      <w:numFmt w:val="decimal"/>
      <w:lvlText w:val=""/>
      <w:lvlJc w:val="left"/>
    </w:lvl>
    <w:lvl w:ilvl="8" w:tplc="71E85CB2">
      <w:numFmt w:val="decimal"/>
      <w:lvlText w:val=""/>
      <w:lvlJc w:val="left"/>
    </w:lvl>
  </w:abstractNum>
  <w:abstractNum w:abstractNumId="592" w15:restartNumberingAfterBreak="0">
    <w:nsid w:val="3D1A61D3"/>
    <w:multiLevelType w:val="hybridMultilevel"/>
    <w:tmpl w:val="3C48217E"/>
    <w:lvl w:ilvl="0" w:tplc="2BA484D0">
      <w:start w:val="1"/>
      <w:numFmt w:val="bullet"/>
      <w:lvlText w:val=""/>
      <w:lvlJc w:val="left"/>
      <w:pPr>
        <w:ind w:left="720" w:hanging="360"/>
      </w:pPr>
      <w:rPr>
        <w:rFonts w:ascii="Symbol" w:hAnsi="Symbol" w:hint="default"/>
      </w:rPr>
    </w:lvl>
    <w:lvl w:ilvl="1" w:tplc="C35413C0">
      <w:numFmt w:val="decimal"/>
      <w:lvlText w:val=""/>
      <w:lvlJc w:val="left"/>
    </w:lvl>
    <w:lvl w:ilvl="2" w:tplc="32F2EED4">
      <w:numFmt w:val="decimal"/>
      <w:lvlText w:val=""/>
      <w:lvlJc w:val="left"/>
    </w:lvl>
    <w:lvl w:ilvl="3" w:tplc="E62CA6C2">
      <w:numFmt w:val="decimal"/>
      <w:lvlText w:val=""/>
      <w:lvlJc w:val="left"/>
    </w:lvl>
    <w:lvl w:ilvl="4" w:tplc="10FAA6D8">
      <w:numFmt w:val="decimal"/>
      <w:lvlText w:val=""/>
      <w:lvlJc w:val="left"/>
    </w:lvl>
    <w:lvl w:ilvl="5" w:tplc="1C3206AC">
      <w:numFmt w:val="decimal"/>
      <w:lvlText w:val=""/>
      <w:lvlJc w:val="left"/>
    </w:lvl>
    <w:lvl w:ilvl="6" w:tplc="6886541A">
      <w:numFmt w:val="decimal"/>
      <w:lvlText w:val=""/>
      <w:lvlJc w:val="left"/>
    </w:lvl>
    <w:lvl w:ilvl="7" w:tplc="FBCA39A0">
      <w:numFmt w:val="decimal"/>
      <w:lvlText w:val=""/>
      <w:lvlJc w:val="left"/>
    </w:lvl>
    <w:lvl w:ilvl="8" w:tplc="3702DAD6">
      <w:numFmt w:val="decimal"/>
      <w:lvlText w:val=""/>
      <w:lvlJc w:val="left"/>
    </w:lvl>
  </w:abstractNum>
  <w:abstractNum w:abstractNumId="593" w15:restartNumberingAfterBreak="0">
    <w:nsid w:val="3D302C27"/>
    <w:multiLevelType w:val="hybridMultilevel"/>
    <w:tmpl w:val="0F325C02"/>
    <w:lvl w:ilvl="0" w:tplc="31282258">
      <w:numFmt w:val="decimal"/>
      <w:lvlText w:val=""/>
      <w:lvlJc w:val="left"/>
    </w:lvl>
    <w:lvl w:ilvl="1" w:tplc="D736E372">
      <w:start w:val="1"/>
      <w:numFmt w:val="bullet"/>
      <w:lvlText w:val=""/>
      <w:lvlJc w:val="left"/>
      <w:pPr>
        <w:ind w:left="1440" w:hanging="360"/>
      </w:pPr>
      <w:rPr>
        <w:rFonts w:ascii="Symbol" w:hAnsi="Symbol" w:hint="default"/>
      </w:rPr>
    </w:lvl>
    <w:lvl w:ilvl="2" w:tplc="28769F8C">
      <w:numFmt w:val="decimal"/>
      <w:lvlText w:val=""/>
      <w:lvlJc w:val="left"/>
    </w:lvl>
    <w:lvl w:ilvl="3" w:tplc="64268844">
      <w:numFmt w:val="decimal"/>
      <w:lvlText w:val=""/>
      <w:lvlJc w:val="left"/>
    </w:lvl>
    <w:lvl w:ilvl="4" w:tplc="2CF62B96">
      <w:numFmt w:val="decimal"/>
      <w:lvlText w:val=""/>
      <w:lvlJc w:val="left"/>
    </w:lvl>
    <w:lvl w:ilvl="5" w:tplc="823490B2">
      <w:numFmt w:val="decimal"/>
      <w:lvlText w:val=""/>
      <w:lvlJc w:val="left"/>
    </w:lvl>
    <w:lvl w:ilvl="6" w:tplc="711258CE">
      <w:numFmt w:val="decimal"/>
      <w:lvlText w:val=""/>
      <w:lvlJc w:val="left"/>
    </w:lvl>
    <w:lvl w:ilvl="7" w:tplc="2F08B866">
      <w:numFmt w:val="decimal"/>
      <w:lvlText w:val=""/>
      <w:lvlJc w:val="left"/>
    </w:lvl>
    <w:lvl w:ilvl="8" w:tplc="D4A2FB6A">
      <w:numFmt w:val="decimal"/>
      <w:lvlText w:val=""/>
      <w:lvlJc w:val="left"/>
    </w:lvl>
  </w:abstractNum>
  <w:abstractNum w:abstractNumId="594" w15:restartNumberingAfterBreak="0">
    <w:nsid w:val="3D400110"/>
    <w:multiLevelType w:val="hybridMultilevel"/>
    <w:tmpl w:val="D9ECDAE4"/>
    <w:lvl w:ilvl="0" w:tplc="022E1604">
      <w:numFmt w:val="decimal"/>
      <w:lvlText w:val=""/>
      <w:lvlJc w:val="left"/>
    </w:lvl>
    <w:lvl w:ilvl="1" w:tplc="0506106E">
      <w:start w:val="1"/>
      <w:numFmt w:val="bullet"/>
      <w:lvlText w:val=""/>
      <w:lvlJc w:val="left"/>
      <w:pPr>
        <w:ind w:left="1440" w:hanging="360"/>
      </w:pPr>
      <w:rPr>
        <w:rFonts w:ascii="Symbol" w:hAnsi="Symbol" w:hint="default"/>
      </w:rPr>
    </w:lvl>
    <w:lvl w:ilvl="2" w:tplc="8F820D6C">
      <w:numFmt w:val="decimal"/>
      <w:lvlText w:val=""/>
      <w:lvlJc w:val="left"/>
    </w:lvl>
    <w:lvl w:ilvl="3" w:tplc="4B74F118">
      <w:numFmt w:val="decimal"/>
      <w:lvlText w:val=""/>
      <w:lvlJc w:val="left"/>
    </w:lvl>
    <w:lvl w:ilvl="4" w:tplc="C7DA9E88">
      <w:numFmt w:val="decimal"/>
      <w:lvlText w:val=""/>
      <w:lvlJc w:val="left"/>
    </w:lvl>
    <w:lvl w:ilvl="5" w:tplc="35849364">
      <w:numFmt w:val="decimal"/>
      <w:lvlText w:val=""/>
      <w:lvlJc w:val="left"/>
    </w:lvl>
    <w:lvl w:ilvl="6" w:tplc="E0CA1F9E">
      <w:numFmt w:val="decimal"/>
      <w:lvlText w:val=""/>
      <w:lvlJc w:val="left"/>
    </w:lvl>
    <w:lvl w:ilvl="7" w:tplc="4A16BCE2">
      <w:numFmt w:val="decimal"/>
      <w:lvlText w:val=""/>
      <w:lvlJc w:val="left"/>
    </w:lvl>
    <w:lvl w:ilvl="8" w:tplc="A99AF414">
      <w:numFmt w:val="decimal"/>
      <w:lvlText w:val=""/>
      <w:lvlJc w:val="left"/>
    </w:lvl>
  </w:abstractNum>
  <w:abstractNum w:abstractNumId="595" w15:restartNumberingAfterBreak="0">
    <w:nsid w:val="3D831093"/>
    <w:multiLevelType w:val="hybridMultilevel"/>
    <w:tmpl w:val="19E83634"/>
    <w:lvl w:ilvl="0" w:tplc="D5A2372A">
      <w:start w:val="1"/>
      <w:numFmt w:val="bullet"/>
      <w:lvlText w:val=""/>
      <w:lvlJc w:val="left"/>
      <w:pPr>
        <w:ind w:left="720" w:hanging="360"/>
      </w:pPr>
      <w:rPr>
        <w:rFonts w:ascii="Symbol" w:hAnsi="Symbol" w:hint="default"/>
      </w:rPr>
    </w:lvl>
    <w:lvl w:ilvl="1" w:tplc="BF14E2E8">
      <w:numFmt w:val="decimal"/>
      <w:lvlText w:val=""/>
      <w:lvlJc w:val="left"/>
    </w:lvl>
    <w:lvl w:ilvl="2" w:tplc="828C9442">
      <w:numFmt w:val="decimal"/>
      <w:lvlText w:val=""/>
      <w:lvlJc w:val="left"/>
    </w:lvl>
    <w:lvl w:ilvl="3" w:tplc="11CC2254">
      <w:numFmt w:val="decimal"/>
      <w:lvlText w:val=""/>
      <w:lvlJc w:val="left"/>
    </w:lvl>
    <w:lvl w:ilvl="4" w:tplc="6A6C3154">
      <w:numFmt w:val="decimal"/>
      <w:lvlText w:val=""/>
      <w:lvlJc w:val="left"/>
    </w:lvl>
    <w:lvl w:ilvl="5" w:tplc="F29A7DA6">
      <w:numFmt w:val="decimal"/>
      <w:lvlText w:val=""/>
      <w:lvlJc w:val="left"/>
    </w:lvl>
    <w:lvl w:ilvl="6" w:tplc="B8980CEC">
      <w:numFmt w:val="decimal"/>
      <w:lvlText w:val=""/>
      <w:lvlJc w:val="left"/>
    </w:lvl>
    <w:lvl w:ilvl="7" w:tplc="1C0C6E7C">
      <w:numFmt w:val="decimal"/>
      <w:lvlText w:val=""/>
      <w:lvlJc w:val="left"/>
    </w:lvl>
    <w:lvl w:ilvl="8" w:tplc="0F069EF4">
      <w:numFmt w:val="decimal"/>
      <w:lvlText w:val=""/>
      <w:lvlJc w:val="left"/>
    </w:lvl>
  </w:abstractNum>
  <w:abstractNum w:abstractNumId="596" w15:restartNumberingAfterBreak="0">
    <w:nsid w:val="3D982C20"/>
    <w:multiLevelType w:val="hybridMultilevel"/>
    <w:tmpl w:val="105CDF28"/>
    <w:lvl w:ilvl="0" w:tplc="BC5A616C">
      <w:start w:val="1"/>
      <w:numFmt w:val="bullet"/>
      <w:lvlText w:val=""/>
      <w:lvlJc w:val="left"/>
      <w:pPr>
        <w:ind w:left="720" w:hanging="360"/>
      </w:pPr>
      <w:rPr>
        <w:rFonts w:ascii="Symbol" w:hAnsi="Symbol" w:hint="default"/>
      </w:rPr>
    </w:lvl>
    <w:lvl w:ilvl="1" w:tplc="D6F641CA">
      <w:numFmt w:val="decimal"/>
      <w:lvlText w:val=""/>
      <w:lvlJc w:val="left"/>
    </w:lvl>
    <w:lvl w:ilvl="2" w:tplc="37AE9312">
      <w:numFmt w:val="decimal"/>
      <w:lvlText w:val=""/>
      <w:lvlJc w:val="left"/>
    </w:lvl>
    <w:lvl w:ilvl="3" w:tplc="AB123B36">
      <w:numFmt w:val="decimal"/>
      <w:lvlText w:val=""/>
      <w:lvlJc w:val="left"/>
    </w:lvl>
    <w:lvl w:ilvl="4" w:tplc="135E7F78">
      <w:numFmt w:val="decimal"/>
      <w:lvlText w:val=""/>
      <w:lvlJc w:val="left"/>
    </w:lvl>
    <w:lvl w:ilvl="5" w:tplc="85580A2A">
      <w:numFmt w:val="decimal"/>
      <w:lvlText w:val=""/>
      <w:lvlJc w:val="left"/>
    </w:lvl>
    <w:lvl w:ilvl="6" w:tplc="47785BC4">
      <w:numFmt w:val="decimal"/>
      <w:lvlText w:val=""/>
      <w:lvlJc w:val="left"/>
    </w:lvl>
    <w:lvl w:ilvl="7" w:tplc="FE58381A">
      <w:numFmt w:val="decimal"/>
      <w:lvlText w:val=""/>
      <w:lvlJc w:val="left"/>
    </w:lvl>
    <w:lvl w:ilvl="8" w:tplc="8FAE7EB4">
      <w:numFmt w:val="decimal"/>
      <w:lvlText w:val=""/>
      <w:lvlJc w:val="left"/>
    </w:lvl>
  </w:abstractNum>
  <w:abstractNum w:abstractNumId="597" w15:restartNumberingAfterBreak="0">
    <w:nsid w:val="3DFE0A50"/>
    <w:multiLevelType w:val="hybridMultilevel"/>
    <w:tmpl w:val="C608CD3E"/>
    <w:lvl w:ilvl="0" w:tplc="676AA496">
      <w:start w:val="1"/>
      <w:numFmt w:val="bullet"/>
      <w:lvlText w:val=""/>
      <w:lvlJc w:val="left"/>
      <w:pPr>
        <w:ind w:left="720" w:hanging="360"/>
      </w:pPr>
      <w:rPr>
        <w:rFonts w:ascii="Symbol" w:hAnsi="Symbol" w:hint="default"/>
      </w:rPr>
    </w:lvl>
    <w:lvl w:ilvl="1" w:tplc="BE160AC8">
      <w:numFmt w:val="decimal"/>
      <w:lvlText w:val=""/>
      <w:lvlJc w:val="left"/>
    </w:lvl>
    <w:lvl w:ilvl="2" w:tplc="FE6282E8">
      <w:numFmt w:val="decimal"/>
      <w:lvlText w:val=""/>
      <w:lvlJc w:val="left"/>
    </w:lvl>
    <w:lvl w:ilvl="3" w:tplc="A4A60C72">
      <w:numFmt w:val="decimal"/>
      <w:lvlText w:val=""/>
      <w:lvlJc w:val="left"/>
    </w:lvl>
    <w:lvl w:ilvl="4" w:tplc="AF8C00B6">
      <w:numFmt w:val="decimal"/>
      <w:lvlText w:val=""/>
      <w:lvlJc w:val="left"/>
    </w:lvl>
    <w:lvl w:ilvl="5" w:tplc="C306576E">
      <w:numFmt w:val="decimal"/>
      <w:lvlText w:val=""/>
      <w:lvlJc w:val="left"/>
    </w:lvl>
    <w:lvl w:ilvl="6" w:tplc="6CDA5A48">
      <w:numFmt w:val="decimal"/>
      <w:lvlText w:val=""/>
      <w:lvlJc w:val="left"/>
    </w:lvl>
    <w:lvl w:ilvl="7" w:tplc="E55807C8">
      <w:numFmt w:val="decimal"/>
      <w:lvlText w:val=""/>
      <w:lvlJc w:val="left"/>
    </w:lvl>
    <w:lvl w:ilvl="8" w:tplc="BD201C16">
      <w:numFmt w:val="decimal"/>
      <w:lvlText w:val=""/>
      <w:lvlJc w:val="left"/>
    </w:lvl>
  </w:abstractNum>
  <w:abstractNum w:abstractNumId="598" w15:restartNumberingAfterBreak="0">
    <w:nsid w:val="3E114693"/>
    <w:multiLevelType w:val="hybridMultilevel"/>
    <w:tmpl w:val="61EAB742"/>
    <w:lvl w:ilvl="0" w:tplc="0E4CFFD8">
      <w:start w:val="1"/>
      <w:numFmt w:val="bullet"/>
      <w:lvlText w:val=""/>
      <w:lvlJc w:val="left"/>
      <w:pPr>
        <w:ind w:left="720" w:hanging="360"/>
      </w:pPr>
      <w:rPr>
        <w:rFonts w:ascii="Symbol" w:hAnsi="Symbol" w:hint="default"/>
      </w:rPr>
    </w:lvl>
    <w:lvl w:ilvl="1" w:tplc="8F2AC962">
      <w:numFmt w:val="decimal"/>
      <w:lvlText w:val=""/>
      <w:lvlJc w:val="left"/>
    </w:lvl>
    <w:lvl w:ilvl="2" w:tplc="5B30A2AE">
      <w:numFmt w:val="decimal"/>
      <w:lvlText w:val=""/>
      <w:lvlJc w:val="left"/>
    </w:lvl>
    <w:lvl w:ilvl="3" w:tplc="659EBAAE">
      <w:numFmt w:val="decimal"/>
      <w:lvlText w:val=""/>
      <w:lvlJc w:val="left"/>
    </w:lvl>
    <w:lvl w:ilvl="4" w:tplc="3036F850">
      <w:numFmt w:val="decimal"/>
      <w:lvlText w:val=""/>
      <w:lvlJc w:val="left"/>
    </w:lvl>
    <w:lvl w:ilvl="5" w:tplc="C06EAC5C">
      <w:numFmt w:val="decimal"/>
      <w:lvlText w:val=""/>
      <w:lvlJc w:val="left"/>
    </w:lvl>
    <w:lvl w:ilvl="6" w:tplc="ED9289EA">
      <w:numFmt w:val="decimal"/>
      <w:lvlText w:val=""/>
      <w:lvlJc w:val="left"/>
    </w:lvl>
    <w:lvl w:ilvl="7" w:tplc="3D1CAC04">
      <w:numFmt w:val="decimal"/>
      <w:lvlText w:val=""/>
      <w:lvlJc w:val="left"/>
    </w:lvl>
    <w:lvl w:ilvl="8" w:tplc="B0B49C92">
      <w:numFmt w:val="decimal"/>
      <w:lvlText w:val=""/>
      <w:lvlJc w:val="left"/>
    </w:lvl>
  </w:abstractNum>
  <w:abstractNum w:abstractNumId="599" w15:restartNumberingAfterBreak="0">
    <w:nsid w:val="3E16107F"/>
    <w:multiLevelType w:val="hybridMultilevel"/>
    <w:tmpl w:val="17A44126"/>
    <w:lvl w:ilvl="0" w:tplc="A9081C82">
      <w:start w:val="1"/>
      <w:numFmt w:val="bullet"/>
      <w:lvlText w:val=""/>
      <w:lvlJc w:val="left"/>
      <w:pPr>
        <w:ind w:left="720" w:hanging="360"/>
      </w:pPr>
      <w:rPr>
        <w:rFonts w:ascii="Symbol" w:hAnsi="Symbol" w:hint="default"/>
      </w:rPr>
    </w:lvl>
    <w:lvl w:ilvl="1" w:tplc="EE2C8BA8">
      <w:numFmt w:val="decimal"/>
      <w:lvlText w:val=""/>
      <w:lvlJc w:val="left"/>
    </w:lvl>
    <w:lvl w:ilvl="2" w:tplc="25CA12B2">
      <w:numFmt w:val="decimal"/>
      <w:lvlText w:val=""/>
      <w:lvlJc w:val="left"/>
    </w:lvl>
    <w:lvl w:ilvl="3" w:tplc="8A3494B8">
      <w:numFmt w:val="decimal"/>
      <w:lvlText w:val=""/>
      <w:lvlJc w:val="left"/>
    </w:lvl>
    <w:lvl w:ilvl="4" w:tplc="D9F8B6F0">
      <w:numFmt w:val="decimal"/>
      <w:lvlText w:val=""/>
      <w:lvlJc w:val="left"/>
    </w:lvl>
    <w:lvl w:ilvl="5" w:tplc="B35696B6">
      <w:numFmt w:val="decimal"/>
      <w:lvlText w:val=""/>
      <w:lvlJc w:val="left"/>
    </w:lvl>
    <w:lvl w:ilvl="6" w:tplc="5204CFD8">
      <w:numFmt w:val="decimal"/>
      <w:lvlText w:val=""/>
      <w:lvlJc w:val="left"/>
    </w:lvl>
    <w:lvl w:ilvl="7" w:tplc="3372020E">
      <w:numFmt w:val="decimal"/>
      <w:lvlText w:val=""/>
      <w:lvlJc w:val="left"/>
    </w:lvl>
    <w:lvl w:ilvl="8" w:tplc="2F8E9F82">
      <w:numFmt w:val="decimal"/>
      <w:lvlText w:val=""/>
      <w:lvlJc w:val="left"/>
    </w:lvl>
  </w:abstractNum>
  <w:abstractNum w:abstractNumId="600" w15:restartNumberingAfterBreak="0">
    <w:nsid w:val="3E306AC5"/>
    <w:multiLevelType w:val="hybridMultilevel"/>
    <w:tmpl w:val="CFB63276"/>
    <w:lvl w:ilvl="0" w:tplc="5D24CC6E">
      <w:start w:val="1"/>
      <w:numFmt w:val="bullet"/>
      <w:lvlText w:val=""/>
      <w:lvlJc w:val="left"/>
      <w:pPr>
        <w:ind w:left="720" w:hanging="360"/>
      </w:pPr>
      <w:rPr>
        <w:rFonts w:ascii="Symbol" w:hAnsi="Symbol" w:hint="default"/>
      </w:rPr>
    </w:lvl>
    <w:lvl w:ilvl="1" w:tplc="21307C6C">
      <w:numFmt w:val="decimal"/>
      <w:lvlText w:val=""/>
      <w:lvlJc w:val="left"/>
    </w:lvl>
    <w:lvl w:ilvl="2" w:tplc="D9B2FC9C">
      <w:numFmt w:val="decimal"/>
      <w:lvlText w:val=""/>
      <w:lvlJc w:val="left"/>
    </w:lvl>
    <w:lvl w:ilvl="3" w:tplc="B036743C">
      <w:numFmt w:val="decimal"/>
      <w:lvlText w:val=""/>
      <w:lvlJc w:val="left"/>
    </w:lvl>
    <w:lvl w:ilvl="4" w:tplc="B54CBBDC">
      <w:numFmt w:val="decimal"/>
      <w:lvlText w:val=""/>
      <w:lvlJc w:val="left"/>
    </w:lvl>
    <w:lvl w:ilvl="5" w:tplc="9246F506">
      <w:numFmt w:val="decimal"/>
      <w:lvlText w:val=""/>
      <w:lvlJc w:val="left"/>
    </w:lvl>
    <w:lvl w:ilvl="6" w:tplc="A3AA3ADE">
      <w:numFmt w:val="decimal"/>
      <w:lvlText w:val=""/>
      <w:lvlJc w:val="left"/>
    </w:lvl>
    <w:lvl w:ilvl="7" w:tplc="C67AEDCE">
      <w:numFmt w:val="decimal"/>
      <w:lvlText w:val=""/>
      <w:lvlJc w:val="left"/>
    </w:lvl>
    <w:lvl w:ilvl="8" w:tplc="76A868EA">
      <w:numFmt w:val="decimal"/>
      <w:lvlText w:val=""/>
      <w:lvlJc w:val="left"/>
    </w:lvl>
  </w:abstractNum>
  <w:abstractNum w:abstractNumId="601" w15:restartNumberingAfterBreak="0">
    <w:nsid w:val="3E64444A"/>
    <w:multiLevelType w:val="hybridMultilevel"/>
    <w:tmpl w:val="11008330"/>
    <w:lvl w:ilvl="0" w:tplc="59545412">
      <w:start w:val="1"/>
      <w:numFmt w:val="bullet"/>
      <w:lvlText w:val=""/>
      <w:lvlJc w:val="left"/>
      <w:pPr>
        <w:ind w:left="720" w:hanging="360"/>
      </w:pPr>
      <w:rPr>
        <w:rFonts w:ascii="Symbol" w:hAnsi="Symbol" w:hint="default"/>
      </w:rPr>
    </w:lvl>
    <w:lvl w:ilvl="1" w:tplc="BE0E92D6">
      <w:numFmt w:val="decimal"/>
      <w:lvlText w:val=""/>
      <w:lvlJc w:val="left"/>
    </w:lvl>
    <w:lvl w:ilvl="2" w:tplc="8BACB3CE">
      <w:numFmt w:val="decimal"/>
      <w:lvlText w:val=""/>
      <w:lvlJc w:val="left"/>
    </w:lvl>
    <w:lvl w:ilvl="3" w:tplc="87C880AE">
      <w:numFmt w:val="decimal"/>
      <w:lvlText w:val=""/>
      <w:lvlJc w:val="left"/>
    </w:lvl>
    <w:lvl w:ilvl="4" w:tplc="1642685A">
      <w:numFmt w:val="decimal"/>
      <w:lvlText w:val=""/>
      <w:lvlJc w:val="left"/>
    </w:lvl>
    <w:lvl w:ilvl="5" w:tplc="BC521B70">
      <w:numFmt w:val="decimal"/>
      <w:lvlText w:val=""/>
      <w:lvlJc w:val="left"/>
    </w:lvl>
    <w:lvl w:ilvl="6" w:tplc="1C78AB10">
      <w:numFmt w:val="decimal"/>
      <w:lvlText w:val=""/>
      <w:lvlJc w:val="left"/>
    </w:lvl>
    <w:lvl w:ilvl="7" w:tplc="1AB29BD8">
      <w:numFmt w:val="decimal"/>
      <w:lvlText w:val=""/>
      <w:lvlJc w:val="left"/>
    </w:lvl>
    <w:lvl w:ilvl="8" w:tplc="2B664F60">
      <w:numFmt w:val="decimal"/>
      <w:lvlText w:val=""/>
      <w:lvlJc w:val="left"/>
    </w:lvl>
  </w:abstractNum>
  <w:abstractNum w:abstractNumId="602" w15:restartNumberingAfterBreak="0">
    <w:nsid w:val="3E7C5072"/>
    <w:multiLevelType w:val="hybridMultilevel"/>
    <w:tmpl w:val="B804F6F6"/>
    <w:lvl w:ilvl="0" w:tplc="07B877BA">
      <w:start w:val="1"/>
      <w:numFmt w:val="bullet"/>
      <w:lvlText w:val=""/>
      <w:lvlJc w:val="left"/>
      <w:pPr>
        <w:ind w:left="720" w:hanging="360"/>
      </w:pPr>
      <w:rPr>
        <w:rFonts w:ascii="Symbol" w:hAnsi="Symbol" w:hint="default"/>
      </w:rPr>
    </w:lvl>
    <w:lvl w:ilvl="1" w:tplc="B78ABE60">
      <w:numFmt w:val="decimal"/>
      <w:lvlText w:val=""/>
      <w:lvlJc w:val="left"/>
    </w:lvl>
    <w:lvl w:ilvl="2" w:tplc="E556C5C8">
      <w:numFmt w:val="decimal"/>
      <w:lvlText w:val=""/>
      <w:lvlJc w:val="left"/>
    </w:lvl>
    <w:lvl w:ilvl="3" w:tplc="049664F0">
      <w:numFmt w:val="decimal"/>
      <w:lvlText w:val=""/>
      <w:lvlJc w:val="left"/>
    </w:lvl>
    <w:lvl w:ilvl="4" w:tplc="D940EC1E">
      <w:numFmt w:val="decimal"/>
      <w:lvlText w:val=""/>
      <w:lvlJc w:val="left"/>
    </w:lvl>
    <w:lvl w:ilvl="5" w:tplc="FC003FCC">
      <w:numFmt w:val="decimal"/>
      <w:lvlText w:val=""/>
      <w:lvlJc w:val="left"/>
    </w:lvl>
    <w:lvl w:ilvl="6" w:tplc="C81ECA40">
      <w:numFmt w:val="decimal"/>
      <w:lvlText w:val=""/>
      <w:lvlJc w:val="left"/>
    </w:lvl>
    <w:lvl w:ilvl="7" w:tplc="A0509688">
      <w:numFmt w:val="decimal"/>
      <w:lvlText w:val=""/>
      <w:lvlJc w:val="left"/>
    </w:lvl>
    <w:lvl w:ilvl="8" w:tplc="701C73B8">
      <w:numFmt w:val="decimal"/>
      <w:lvlText w:val=""/>
      <w:lvlJc w:val="left"/>
    </w:lvl>
  </w:abstractNum>
  <w:abstractNum w:abstractNumId="603" w15:restartNumberingAfterBreak="0">
    <w:nsid w:val="3E882378"/>
    <w:multiLevelType w:val="hybridMultilevel"/>
    <w:tmpl w:val="EAC88252"/>
    <w:lvl w:ilvl="0" w:tplc="E236E956">
      <w:numFmt w:val="decimal"/>
      <w:lvlText w:val=""/>
      <w:lvlJc w:val="left"/>
    </w:lvl>
    <w:lvl w:ilvl="1" w:tplc="24C6183E">
      <w:start w:val="1"/>
      <w:numFmt w:val="bullet"/>
      <w:lvlText w:val=""/>
      <w:lvlJc w:val="left"/>
      <w:pPr>
        <w:ind w:left="1440" w:hanging="360"/>
      </w:pPr>
      <w:rPr>
        <w:rFonts w:ascii="Symbol" w:hAnsi="Symbol" w:hint="default"/>
      </w:rPr>
    </w:lvl>
    <w:lvl w:ilvl="2" w:tplc="51185CB8">
      <w:numFmt w:val="decimal"/>
      <w:lvlText w:val=""/>
      <w:lvlJc w:val="left"/>
    </w:lvl>
    <w:lvl w:ilvl="3" w:tplc="8F808A30">
      <w:numFmt w:val="decimal"/>
      <w:lvlText w:val=""/>
      <w:lvlJc w:val="left"/>
    </w:lvl>
    <w:lvl w:ilvl="4" w:tplc="F0300962">
      <w:numFmt w:val="decimal"/>
      <w:lvlText w:val=""/>
      <w:lvlJc w:val="left"/>
    </w:lvl>
    <w:lvl w:ilvl="5" w:tplc="69F2D786">
      <w:numFmt w:val="decimal"/>
      <w:lvlText w:val=""/>
      <w:lvlJc w:val="left"/>
    </w:lvl>
    <w:lvl w:ilvl="6" w:tplc="E5162628">
      <w:numFmt w:val="decimal"/>
      <w:lvlText w:val=""/>
      <w:lvlJc w:val="left"/>
    </w:lvl>
    <w:lvl w:ilvl="7" w:tplc="4A0E818A">
      <w:numFmt w:val="decimal"/>
      <w:lvlText w:val=""/>
      <w:lvlJc w:val="left"/>
    </w:lvl>
    <w:lvl w:ilvl="8" w:tplc="FB3CB514">
      <w:numFmt w:val="decimal"/>
      <w:lvlText w:val=""/>
      <w:lvlJc w:val="left"/>
    </w:lvl>
  </w:abstractNum>
  <w:abstractNum w:abstractNumId="604" w15:restartNumberingAfterBreak="0">
    <w:nsid w:val="3E90543C"/>
    <w:multiLevelType w:val="hybridMultilevel"/>
    <w:tmpl w:val="90769E10"/>
    <w:lvl w:ilvl="0" w:tplc="5F7C6E48">
      <w:start w:val="1"/>
      <w:numFmt w:val="bullet"/>
      <w:lvlText w:val=""/>
      <w:lvlJc w:val="left"/>
      <w:pPr>
        <w:ind w:left="720" w:hanging="360"/>
      </w:pPr>
      <w:rPr>
        <w:rFonts w:ascii="Symbol" w:hAnsi="Symbol" w:hint="default"/>
      </w:rPr>
    </w:lvl>
    <w:lvl w:ilvl="1" w:tplc="579C8A4E">
      <w:numFmt w:val="decimal"/>
      <w:lvlText w:val=""/>
      <w:lvlJc w:val="left"/>
    </w:lvl>
    <w:lvl w:ilvl="2" w:tplc="716EFA48">
      <w:numFmt w:val="decimal"/>
      <w:lvlText w:val=""/>
      <w:lvlJc w:val="left"/>
    </w:lvl>
    <w:lvl w:ilvl="3" w:tplc="58DC62A8">
      <w:numFmt w:val="decimal"/>
      <w:lvlText w:val=""/>
      <w:lvlJc w:val="left"/>
    </w:lvl>
    <w:lvl w:ilvl="4" w:tplc="460EE548">
      <w:numFmt w:val="decimal"/>
      <w:lvlText w:val=""/>
      <w:lvlJc w:val="left"/>
    </w:lvl>
    <w:lvl w:ilvl="5" w:tplc="C2ACD90E">
      <w:numFmt w:val="decimal"/>
      <w:lvlText w:val=""/>
      <w:lvlJc w:val="left"/>
    </w:lvl>
    <w:lvl w:ilvl="6" w:tplc="AFF281EC">
      <w:numFmt w:val="decimal"/>
      <w:lvlText w:val=""/>
      <w:lvlJc w:val="left"/>
    </w:lvl>
    <w:lvl w:ilvl="7" w:tplc="AC8AD172">
      <w:numFmt w:val="decimal"/>
      <w:lvlText w:val=""/>
      <w:lvlJc w:val="left"/>
    </w:lvl>
    <w:lvl w:ilvl="8" w:tplc="B5EEF946">
      <w:numFmt w:val="decimal"/>
      <w:lvlText w:val=""/>
      <w:lvlJc w:val="left"/>
    </w:lvl>
  </w:abstractNum>
  <w:abstractNum w:abstractNumId="605" w15:restartNumberingAfterBreak="0">
    <w:nsid w:val="3E9F2C07"/>
    <w:multiLevelType w:val="hybridMultilevel"/>
    <w:tmpl w:val="9CCEF9EE"/>
    <w:lvl w:ilvl="0" w:tplc="DD94066A">
      <w:start w:val="1"/>
      <w:numFmt w:val="bullet"/>
      <w:lvlText w:val=""/>
      <w:lvlJc w:val="left"/>
      <w:pPr>
        <w:ind w:left="720" w:hanging="360"/>
      </w:pPr>
      <w:rPr>
        <w:rFonts w:ascii="Symbol" w:hAnsi="Symbol" w:hint="default"/>
      </w:rPr>
    </w:lvl>
    <w:lvl w:ilvl="1" w:tplc="64E8A0B6">
      <w:numFmt w:val="decimal"/>
      <w:lvlText w:val=""/>
      <w:lvlJc w:val="left"/>
    </w:lvl>
    <w:lvl w:ilvl="2" w:tplc="03DC6820">
      <w:numFmt w:val="decimal"/>
      <w:lvlText w:val=""/>
      <w:lvlJc w:val="left"/>
    </w:lvl>
    <w:lvl w:ilvl="3" w:tplc="21840D8C">
      <w:numFmt w:val="decimal"/>
      <w:lvlText w:val=""/>
      <w:lvlJc w:val="left"/>
    </w:lvl>
    <w:lvl w:ilvl="4" w:tplc="08D4FEEC">
      <w:numFmt w:val="decimal"/>
      <w:lvlText w:val=""/>
      <w:lvlJc w:val="left"/>
    </w:lvl>
    <w:lvl w:ilvl="5" w:tplc="5308C542">
      <w:numFmt w:val="decimal"/>
      <w:lvlText w:val=""/>
      <w:lvlJc w:val="left"/>
    </w:lvl>
    <w:lvl w:ilvl="6" w:tplc="E8709B0E">
      <w:numFmt w:val="decimal"/>
      <w:lvlText w:val=""/>
      <w:lvlJc w:val="left"/>
    </w:lvl>
    <w:lvl w:ilvl="7" w:tplc="CE226D42">
      <w:numFmt w:val="decimal"/>
      <w:lvlText w:val=""/>
      <w:lvlJc w:val="left"/>
    </w:lvl>
    <w:lvl w:ilvl="8" w:tplc="03006AFC">
      <w:numFmt w:val="decimal"/>
      <w:lvlText w:val=""/>
      <w:lvlJc w:val="left"/>
    </w:lvl>
  </w:abstractNum>
  <w:abstractNum w:abstractNumId="606" w15:restartNumberingAfterBreak="0">
    <w:nsid w:val="3EA1670D"/>
    <w:multiLevelType w:val="hybridMultilevel"/>
    <w:tmpl w:val="55E47EB6"/>
    <w:lvl w:ilvl="0" w:tplc="76E4ACF6">
      <w:start w:val="1"/>
      <w:numFmt w:val="bullet"/>
      <w:lvlText w:val=""/>
      <w:lvlJc w:val="left"/>
      <w:pPr>
        <w:ind w:left="720" w:hanging="360"/>
      </w:pPr>
      <w:rPr>
        <w:rFonts w:ascii="Symbol" w:hAnsi="Symbol" w:hint="default"/>
      </w:rPr>
    </w:lvl>
    <w:lvl w:ilvl="1" w:tplc="F732D7B4">
      <w:numFmt w:val="decimal"/>
      <w:lvlText w:val=""/>
      <w:lvlJc w:val="left"/>
    </w:lvl>
    <w:lvl w:ilvl="2" w:tplc="8B98B92C">
      <w:numFmt w:val="decimal"/>
      <w:lvlText w:val=""/>
      <w:lvlJc w:val="left"/>
    </w:lvl>
    <w:lvl w:ilvl="3" w:tplc="3E906364">
      <w:numFmt w:val="decimal"/>
      <w:lvlText w:val=""/>
      <w:lvlJc w:val="left"/>
    </w:lvl>
    <w:lvl w:ilvl="4" w:tplc="5448BA6E">
      <w:numFmt w:val="decimal"/>
      <w:lvlText w:val=""/>
      <w:lvlJc w:val="left"/>
    </w:lvl>
    <w:lvl w:ilvl="5" w:tplc="B2225EE2">
      <w:numFmt w:val="decimal"/>
      <w:lvlText w:val=""/>
      <w:lvlJc w:val="left"/>
    </w:lvl>
    <w:lvl w:ilvl="6" w:tplc="6AF6E184">
      <w:numFmt w:val="decimal"/>
      <w:lvlText w:val=""/>
      <w:lvlJc w:val="left"/>
    </w:lvl>
    <w:lvl w:ilvl="7" w:tplc="350ECC04">
      <w:numFmt w:val="decimal"/>
      <w:lvlText w:val=""/>
      <w:lvlJc w:val="left"/>
    </w:lvl>
    <w:lvl w:ilvl="8" w:tplc="5E8EE52C">
      <w:numFmt w:val="decimal"/>
      <w:lvlText w:val=""/>
      <w:lvlJc w:val="left"/>
    </w:lvl>
  </w:abstractNum>
  <w:abstractNum w:abstractNumId="607" w15:restartNumberingAfterBreak="0">
    <w:nsid w:val="3EDE1E8F"/>
    <w:multiLevelType w:val="hybridMultilevel"/>
    <w:tmpl w:val="1D92D75E"/>
    <w:lvl w:ilvl="0" w:tplc="C30AF538">
      <w:start w:val="1"/>
      <w:numFmt w:val="bullet"/>
      <w:lvlText w:val=""/>
      <w:lvlJc w:val="left"/>
      <w:pPr>
        <w:ind w:left="720" w:hanging="360"/>
      </w:pPr>
      <w:rPr>
        <w:rFonts w:ascii="Symbol" w:hAnsi="Symbol" w:hint="default"/>
      </w:rPr>
    </w:lvl>
    <w:lvl w:ilvl="1" w:tplc="11DEF380">
      <w:numFmt w:val="decimal"/>
      <w:lvlText w:val=""/>
      <w:lvlJc w:val="left"/>
    </w:lvl>
    <w:lvl w:ilvl="2" w:tplc="16CC0F28">
      <w:numFmt w:val="decimal"/>
      <w:lvlText w:val=""/>
      <w:lvlJc w:val="left"/>
    </w:lvl>
    <w:lvl w:ilvl="3" w:tplc="B82E48E8">
      <w:numFmt w:val="decimal"/>
      <w:lvlText w:val=""/>
      <w:lvlJc w:val="left"/>
    </w:lvl>
    <w:lvl w:ilvl="4" w:tplc="7A105B00">
      <w:numFmt w:val="decimal"/>
      <w:lvlText w:val=""/>
      <w:lvlJc w:val="left"/>
    </w:lvl>
    <w:lvl w:ilvl="5" w:tplc="A044F910">
      <w:numFmt w:val="decimal"/>
      <w:lvlText w:val=""/>
      <w:lvlJc w:val="left"/>
    </w:lvl>
    <w:lvl w:ilvl="6" w:tplc="5FCA4410">
      <w:numFmt w:val="decimal"/>
      <w:lvlText w:val=""/>
      <w:lvlJc w:val="left"/>
    </w:lvl>
    <w:lvl w:ilvl="7" w:tplc="8B48D0CE">
      <w:numFmt w:val="decimal"/>
      <w:lvlText w:val=""/>
      <w:lvlJc w:val="left"/>
    </w:lvl>
    <w:lvl w:ilvl="8" w:tplc="F6A22E42">
      <w:numFmt w:val="decimal"/>
      <w:lvlText w:val=""/>
      <w:lvlJc w:val="left"/>
    </w:lvl>
  </w:abstractNum>
  <w:abstractNum w:abstractNumId="608" w15:restartNumberingAfterBreak="0">
    <w:nsid w:val="3EE34119"/>
    <w:multiLevelType w:val="hybridMultilevel"/>
    <w:tmpl w:val="2AFA14D6"/>
    <w:lvl w:ilvl="0" w:tplc="994A461A">
      <w:start w:val="1"/>
      <w:numFmt w:val="bullet"/>
      <w:lvlText w:val=""/>
      <w:lvlJc w:val="left"/>
      <w:pPr>
        <w:ind w:left="720" w:hanging="360"/>
      </w:pPr>
      <w:rPr>
        <w:rFonts w:ascii="Symbol" w:hAnsi="Symbol" w:hint="default"/>
      </w:rPr>
    </w:lvl>
    <w:lvl w:ilvl="1" w:tplc="C6BCCBA0">
      <w:numFmt w:val="decimal"/>
      <w:lvlText w:val=""/>
      <w:lvlJc w:val="left"/>
    </w:lvl>
    <w:lvl w:ilvl="2" w:tplc="60087ECA">
      <w:numFmt w:val="decimal"/>
      <w:lvlText w:val=""/>
      <w:lvlJc w:val="left"/>
    </w:lvl>
    <w:lvl w:ilvl="3" w:tplc="984AF104">
      <w:numFmt w:val="decimal"/>
      <w:lvlText w:val=""/>
      <w:lvlJc w:val="left"/>
    </w:lvl>
    <w:lvl w:ilvl="4" w:tplc="E49CF02C">
      <w:numFmt w:val="decimal"/>
      <w:lvlText w:val=""/>
      <w:lvlJc w:val="left"/>
    </w:lvl>
    <w:lvl w:ilvl="5" w:tplc="602AB0E4">
      <w:numFmt w:val="decimal"/>
      <w:lvlText w:val=""/>
      <w:lvlJc w:val="left"/>
    </w:lvl>
    <w:lvl w:ilvl="6" w:tplc="AB5C671C">
      <w:numFmt w:val="decimal"/>
      <w:lvlText w:val=""/>
      <w:lvlJc w:val="left"/>
    </w:lvl>
    <w:lvl w:ilvl="7" w:tplc="300829D8">
      <w:numFmt w:val="decimal"/>
      <w:lvlText w:val=""/>
      <w:lvlJc w:val="left"/>
    </w:lvl>
    <w:lvl w:ilvl="8" w:tplc="9A52E526">
      <w:numFmt w:val="decimal"/>
      <w:lvlText w:val=""/>
      <w:lvlJc w:val="left"/>
    </w:lvl>
  </w:abstractNum>
  <w:abstractNum w:abstractNumId="609" w15:restartNumberingAfterBreak="0">
    <w:nsid w:val="3F3A5B0D"/>
    <w:multiLevelType w:val="hybridMultilevel"/>
    <w:tmpl w:val="A3BE2D84"/>
    <w:lvl w:ilvl="0" w:tplc="77DA5448">
      <w:start w:val="1"/>
      <w:numFmt w:val="bullet"/>
      <w:lvlText w:val=""/>
      <w:lvlJc w:val="left"/>
      <w:pPr>
        <w:ind w:left="720" w:hanging="360"/>
      </w:pPr>
      <w:rPr>
        <w:rFonts w:ascii="Symbol" w:hAnsi="Symbol" w:hint="default"/>
      </w:rPr>
    </w:lvl>
    <w:lvl w:ilvl="1" w:tplc="E426401A">
      <w:numFmt w:val="decimal"/>
      <w:lvlText w:val=""/>
      <w:lvlJc w:val="left"/>
    </w:lvl>
    <w:lvl w:ilvl="2" w:tplc="B392964A">
      <w:numFmt w:val="decimal"/>
      <w:lvlText w:val=""/>
      <w:lvlJc w:val="left"/>
    </w:lvl>
    <w:lvl w:ilvl="3" w:tplc="20F81132">
      <w:numFmt w:val="decimal"/>
      <w:lvlText w:val=""/>
      <w:lvlJc w:val="left"/>
    </w:lvl>
    <w:lvl w:ilvl="4" w:tplc="151EA6FA">
      <w:numFmt w:val="decimal"/>
      <w:lvlText w:val=""/>
      <w:lvlJc w:val="left"/>
    </w:lvl>
    <w:lvl w:ilvl="5" w:tplc="3CEC77BE">
      <w:numFmt w:val="decimal"/>
      <w:lvlText w:val=""/>
      <w:lvlJc w:val="left"/>
    </w:lvl>
    <w:lvl w:ilvl="6" w:tplc="3FC85FA4">
      <w:numFmt w:val="decimal"/>
      <w:lvlText w:val=""/>
      <w:lvlJc w:val="left"/>
    </w:lvl>
    <w:lvl w:ilvl="7" w:tplc="9D16D666">
      <w:numFmt w:val="decimal"/>
      <w:lvlText w:val=""/>
      <w:lvlJc w:val="left"/>
    </w:lvl>
    <w:lvl w:ilvl="8" w:tplc="C17C3FC4">
      <w:numFmt w:val="decimal"/>
      <w:lvlText w:val=""/>
      <w:lvlJc w:val="left"/>
    </w:lvl>
  </w:abstractNum>
  <w:abstractNum w:abstractNumId="610" w15:restartNumberingAfterBreak="0">
    <w:nsid w:val="3F46155F"/>
    <w:multiLevelType w:val="hybridMultilevel"/>
    <w:tmpl w:val="24C88A02"/>
    <w:lvl w:ilvl="0" w:tplc="031CA8AA">
      <w:start w:val="1"/>
      <w:numFmt w:val="bullet"/>
      <w:lvlText w:val=""/>
      <w:lvlJc w:val="left"/>
      <w:pPr>
        <w:ind w:left="720" w:hanging="360"/>
      </w:pPr>
      <w:rPr>
        <w:rFonts w:ascii="Symbol" w:hAnsi="Symbol" w:hint="default"/>
      </w:rPr>
    </w:lvl>
    <w:lvl w:ilvl="1" w:tplc="342834E8">
      <w:numFmt w:val="decimal"/>
      <w:lvlText w:val=""/>
      <w:lvlJc w:val="left"/>
    </w:lvl>
    <w:lvl w:ilvl="2" w:tplc="FFD43646">
      <w:numFmt w:val="decimal"/>
      <w:lvlText w:val=""/>
      <w:lvlJc w:val="left"/>
    </w:lvl>
    <w:lvl w:ilvl="3" w:tplc="6AC6A234">
      <w:numFmt w:val="decimal"/>
      <w:lvlText w:val=""/>
      <w:lvlJc w:val="left"/>
    </w:lvl>
    <w:lvl w:ilvl="4" w:tplc="3CAE2DD4">
      <w:numFmt w:val="decimal"/>
      <w:lvlText w:val=""/>
      <w:lvlJc w:val="left"/>
    </w:lvl>
    <w:lvl w:ilvl="5" w:tplc="8B084DFA">
      <w:numFmt w:val="decimal"/>
      <w:lvlText w:val=""/>
      <w:lvlJc w:val="left"/>
    </w:lvl>
    <w:lvl w:ilvl="6" w:tplc="CFF43B10">
      <w:numFmt w:val="decimal"/>
      <w:lvlText w:val=""/>
      <w:lvlJc w:val="left"/>
    </w:lvl>
    <w:lvl w:ilvl="7" w:tplc="210E8158">
      <w:numFmt w:val="decimal"/>
      <w:lvlText w:val=""/>
      <w:lvlJc w:val="left"/>
    </w:lvl>
    <w:lvl w:ilvl="8" w:tplc="787CB89C">
      <w:numFmt w:val="decimal"/>
      <w:lvlText w:val=""/>
      <w:lvlJc w:val="left"/>
    </w:lvl>
  </w:abstractNum>
  <w:abstractNum w:abstractNumId="611" w15:restartNumberingAfterBreak="0">
    <w:nsid w:val="3F4746B9"/>
    <w:multiLevelType w:val="hybridMultilevel"/>
    <w:tmpl w:val="F678FD34"/>
    <w:lvl w:ilvl="0" w:tplc="7C428988">
      <w:start w:val="1"/>
      <w:numFmt w:val="bullet"/>
      <w:lvlText w:val=""/>
      <w:lvlJc w:val="left"/>
      <w:pPr>
        <w:ind w:left="720" w:hanging="360"/>
      </w:pPr>
      <w:rPr>
        <w:rFonts w:ascii="Symbol" w:hAnsi="Symbol" w:hint="default"/>
      </w:rPr>
    </w:lvl>
    <w:lvl w:ilvl="1" w:tplc="AC689FBA">
      <w:numFmt w:val="decimal"/>
      <w:lvlText w:val=""/>
      <w:lvlJc w:val="left"/>
    </w:lvl>
    <w:lvl w:ilvl="2" w:tplc="12CC62A0">
      <w:numFmt w:val="decimal"/>
      <w:lvlText w:val=""/>
      <w:lvlJc w:val="left"/>
    </w:lvl>
    <w:lvl w:ilvl="3" w:tplc="EDC65AB2">
      <w:numFmt w:val="decimal"/>
      <w:lvlText w:val=""/>
      <w:lvlJc w:val="left"/>
    </w:lvl>
    <w:lvl w:ilvl="4" w:tplc="BF802E54">
      <w:numFmt w:val="decimal"/>
      <w:lvlText w:val=""/>
      <w:lvlJc w:val="left"/>
    </w:lvl>
    <w:lvl w:ilvl="5" w:tplc="D794DC02">
      <w:numFmt w:val="decimal"/>
      <w:lvlText w:val=""/>
      <w:lvlJc w:val="left"/>
    </w:lvl>
    <w:lvl w:ilvl="6" w:tplc="C0CCC7B4">
      <w:numFmt w:val="decimal"/>
      <w:lvlText w:val=""/>
      <w:lvlJc w:val="left"/>
    </w:lvl>
    <w:lvl w:ilvl="7" w:tplc="F0C69B32">
      <w:numFmt w:val="decimal"/>
      <w:lvlText w:val=""/>
      <w:lvlJc w:val="left"/>
    </w:lvl>
    <w:lvl w:ilvl="8" w:tplc="7CB6EE5A">
      <w:numFmt w:val="decimal"/>
      <w:lvlText w:val=""/>
      <w:lvlJc w:val="left"/>
    </w:lvl>
  </w:abstractNum>
  <w:abstractNum w:abstractNumId="612" w15:restartNumberingAfterBreak="0">
    <w:nsid w:val="3F961749"/>
    <w:multiLevelType w:val="hybridMultilevel"/>
    <w:tmpl w:val="FECEB41C"/>
    <w:lvl w:ilvl="0" w:tplc="32461B86">
      <w:start w:val="1"/>
      <w:numFmt w:val="bullet"/>
      <w:lvlText w:val=""/>
      <w:lvlJc w:val="left"/>
      <w:pPr>
        <w:ind w:left="720" w:hanging="360"/>
      </w:pPr>
      <w:rPr>
        <w:rFonts w:ascii="Symbol" w:hAnsi="Symbol" w:hint="default"/>
      </w:rPr>
    </w:lvl>
    <w:lvl w:ilvl="1" w:tplc="2340BE08">
      <w:numFmt w:val="decimal"/>
      <w:lvlText w:val=""/>
      <w:lvlJc w:val="left"/>
    </w:lvl>
    <w:lvl w:ilvl="2" w:tplc="EE4457AC">
      <w:numFmt w:val="decimal"/>
      <w:lvlText w:val=""/>
      <w:lvlJc w:val="left"/>
    </w:lvl>
    <w:lvl w:ilvl="3" w:tplc="ECD2E490">
      <w:numFmt w:val="decimal"/>
      <w:lvlText w:val=""/>
      <w:lvlJc w:val="left"/>
    </w:lvl>
    <w:lvl w:ilvl="4" w:tplc="25186D62">
      <w:numFmt w:val="decimal"/>
      <w:lvlText w:val=""/>
      <w:lvlJc w:val="left"/>
    </w:lvl>
    <w:lvl w:ilvl="5" w:tplc="D74C0A42">
      <w:numFmt w:val="decimal"/>
      <w:lvlText w:val=""/>
      <w:lvlJc w:val="left"/>
    </w:lvl>
    <w:lvl w:ilvl="6" w:tplc="0AD4BF16">
      <w:numFmt w:val="decimal"/>
      <w:lvlText w:val=""/>
      <w:lvlJc w:val="left"/>
    </w:lvl>
    <w:lvl w:ilvl="7" w:tplc="5D3895EA">
      <w:numFmt w:val="decimal"/>
      <w:lvlText w:val=""/>
      <w:lvlJc w:val="left"/>
    </w:lvl>
    <w:lvl w:ilvl="8" w:tplc="BA76C044">
      <w:numFmt w:val="decimal"/>
      <w:lvlText w:val=""/>
      <w:lvlJc w:val="left"/>
    </w:lvl>
  </w:abstractNum>
  <w:abstractNum w:abstractNumId="613" w15:restartNumberingAfterBreak="0">
    <w:nsid w:val="3F9F7B5A"/>
    <w:multiLevelType w:val="hybridMultilevel"/>
    <w:tmpl w:val="13E80634"/>
    <w:lvl w:ilvl="0" w:tplc="44E22870">
      <w:start w:val="1"/>
      <w:numFmt w:val="bullet"/>
      <w:lvlText w:val=""/>
      <w:lvlJc w:val="left"/>
      <w:pPr>
        <w:ind w:left="720" w:hanging="360"/>
      </w:pPr>
      <w:rPr>
        <w:rFonts w:ascii="Symbol" w:hAnsi="Symbol" w:hint="default"/>
      </w:rPr>
    </w:lvl>
    <w:lvl w:ilvl="1" w:tplc="B3986E86">
      <w:numFmt w:val="decimal"/>
      <w:lvlText w:val=""/>
      <w:lvlJc w:val="left"/>
    </w:lvl>
    <w:lvl w:ilvl="2" w:tplc="AB74233E">
      <w:numFmt w:val="decimal"/>
      <w:lvlText w:val=""/>
      <w:lvlJc w:val="left"/>
    </w:lvl>
    <w:lvl w:ilvl="3" w:tplc="7FFC6596">
      <w:numFmt w:val="decimal"/>
      <w:lvlText w:val=""/>
      <w:lvlJc w:val="left"/>
    </w:lvl>
    <w:lvl w:ilvl="4" w:tplc="B268B188">
      <w:numFmt w:val="decimal"/>
      <w:lvlText w:val=""/>
      <w:lvlJc w:val="left"/>
    </w:lvl>
    <w:lvl w:ilvl="5" w:tplc="5D5E3F0C">
      <w:numFmt w:val="decimal"/>
      <w:lvlText w:val=""/>
      <w:lvlJc w:val="left"/>
    </w:lvl>
    <w:lvl w:ilvl="6" w:tplc="FA8EBE06">
      <w:numFmt w:val="decimal"/>
      <w:lvlText w:val=""/>
      <w:lvlJc w:val="left"/>
    </w:lvl>
    <w:lvl w:ilvl="7" w:tplc="91027DBE">
      <w:numFmt w:val="decimal"/>
      <w:lvlText w:val=""/>
      <w:lvlJc w:val="left"/>
    </w:lvl>
    <w:lvl w:ilvl="8" w:tplc="7E0AA94C">
      <w:numFmt w:val="decimal"/>
      <w:lvlText w:val=""/>
      <w:lvlJc w:val="left"/>
    </w:lvl>
  </w:abstractNum>
  <w:abstractNum w:abstractNumId="614" w15:restartNumberingAfterBreak="0">
    <w:nsid w:val="3FDE66B9"/>
    <w:multiLevelType w:val="hybridMultilevel"/>
    <w:tmpl w:val="452C15EC"/>
    <w:lvl w:ilvl="0" w:tplc="7CD20F58">
      <w:start w:val="1"/>
      <w:numFmt w:val="bullet"/>
      <w:lvlText w:val=""/>
      <w:lvlJc w:val="left"/>
      <w:pPr>
        <w:ind w:left="720" w:hanging="360"/>
      </w:pPr>
      <w:rPr>
        <w:rFonts w:ascii="Symbol" w:hAnsi="Symbol" w:hint="default"/>
      </w:rPr>
    </w:lvl>
    <w:lvl w:ilvl="1" w:tplc="F64AFFF0">
      <w:numFmt w:val="decimal"/>
      <w:lvlText w:val=""/>
      <w:lvlJc w:val="left"/>
    </w:lvl>
    <w:lvl w:ilvl="2" w:tplc="2E98D17E">
      <w:numFmt w:val="decimal"/>
      <w:lvlText w:val=""/>
      <w:lvlJc w:val="left"/>
    </w:lvl>
    <w:lvl w:ilvl="3" w:tplc="4D5C53B0">
      <w:numFmt w:val="decimal"/>
      <w:lvlText w:val=""/>
      <w:lvlJc w:val="left"/>
    </w:lvl>
    <w:lvl w:ilvl="4" w:tplc="DBEA250A">
      <w:numFmt w:val="decimal"/>
      <w:lvlText w:val=""/>
      <w:lvlJc w:val="left"/>
    </w:lvl>
    <w:lvl w:ilvl="5" w:tplc="797E34D4">
      <w:numFmt w:val="decimal"/>
      <w:lvlText w:val=""/>
      <w:lvlJc w:val="left"/>
    </w:lvl>
    <w:lvl w:ilvl="6" w:tplc="F1F6F2D8">
      <w:numFmt w:val="decimal"/>
      <w:lvlText w:val=""/>
      <w:lvlJc w:val="left"/>
    </w:lvl>
    <w:lvl w:ilvl="7" w:tplc="EAA8E49C">
      <w:numFmt w:val="decimal"/>
      <w:lvlText w:val=""/>
      <w:lvlJc w:val="left"/>
    </w:lvl>
    <w:lvl w:ilvl="8" w:tplc="BF2CAF94">
      <w:numFmt w:val="decimal"/>
      <w:lvlText w:val=""/>
      <w:lvlJc w:val="left"/>
    </w:lvl>
  </w:abstractNum>
  <w:abstractNum w:abstractNumId="615" w15:restartNumberingAfterBreak="0">
    <w:nsid w:val="3FE61048"/>
    <w:multiLevelType w:val="hybridMultilevel"/>
    <w:tmpl w:val="BC0E012A"/>
    <w:lvl w:ilvl="0" w:tplc="EB3A954C">
      <w:start w:val="1"/>
      <w:numFmt w:val="bullet"/>
      <w:lvlText w:val=""/>
      <w:lvlJc w:val="left"/>
      <w:pPr>
        <w:ind w:left="720" w:hanging="360"/>
      </w:pPr>
      <w:rPr>
        <w:rFonts w:ascii="Symbol" w:hAnsi="Symbol" w:hint="default"/>
      </w:rPr>
    </w:lvl>
    <w:lvl w:ilvl="1" w:tplc="23B4FCC6">
      <w:numFmt w:val="decimal"/>
      <w:lvlText w:val=""/>
      <w:lvlJc w:val="left"/>
    </w:lvl>
    <w:lvl w:ilvl="2" w:tplc="CAE42B48">
      <w:numFmt w:val="decimal"/>
      <w:lvlText w:val=""/>
      <w:lvlJc w:val="left"/>
    </w:lvl>
    <w:lvl w:ilvl="3" w:tplc="CC28C26C">
      <w:numFmt w:val="decimal"/>
      <w:lvlText w:val=""/>
      <w:lvlJc w:val="left"/>
    </w:lvl>
    <w:lvl w:ilvl="4" w:tplc="496E789C">
      <w:numFmt w:val="decimal"/>
      <w:lvlText w:val=""/>
      <w:lvlJc w:val="left"/>
    </w:lvl>
    <w:lvl w:ilvl="5" w:tplc="54E43D82">
      <w:numFmt w:val="decimal"/>
      <w:lvlText w:val=""/>
      <w:lvlJc w:val="left"/>
    </w:lvl>
    <w:lvl w:ilvl="6" w:tplc="097067B4">
      <w:numFmt w:val="decimal"/>
      <w:lvlText w:val=""/>
      <w:lvlJc w:val="left"/>
    </w:lvl>
    <w:lvl w:ilvl="7" w:tplc="E1B0CE9A">
      <w:numFmt w:val="decimal"/>
      <w:lvlText w:val=""/>
      <w:lvlJc w:val="left"/>
    </w:lvl>
    <w:lvl w:ilvl="8" w:tplc="904429A0">
      <w:numFmt w:val="decimal"/>
      <w:lvlText w:val=""/>
      <w:lvlJc w:val="left"/>
    </w:lvl>
  </w:abstractNum>
  <w:abstractNum w:abstractNumId="616" w15:restartNumberingAfterBreak="0">
    <w:nsid w:val="401C3E5D"/>
    <w:multiLevelType w:val="hybridMultilevel"/>
    <w:tmpl w:val="868C313C"/>
    <w:lvl w:ilvl="0" w:tplc="542C8E24">
      <w:start w:val="1"/>
      <w:numFmt w:val="bullet"/>
      <w:lvlText w:val=""/>
      <w:lvlJc w:val="left"/>
      <w:pPr>
        <w:ind w:left="720" w:hanging="360"/>
      </w:pPr>
      <w:rPr>
        <w:rFonts w:ascii="Symbol" w:hAnsi="Symbol" w:hint="default"/>
      </w:rPr>
    </w:lvl>
    <w:lvl w:ilvl="1" w:tplc="7E1A4D70">
      <w:numFmt w:val="decimal"/>
      <w:lvlText w:val=""/>
      <w:lvlJc w:val="left"/>
    </w:lvl>
    <w:lvl w:ilvl="2" w:tplc="3DAA2912">
      <w:numFmt w:val="decimal"/>
      <w:lvlText w:val=""/>
      <w:lvlJc w:val="left"/>
    </w:lvl>
    <w:lvl w:ilvl="3" w:tplc="246EF55A">
      <w:numFmt w:val="decimal"/>
      <w:lvlText w:val=""/>
      <w:lvlJc w:val="left"/>
    </w:lvl>
    <w:lvl w:ilvl="4" w:tplc="411C2A6C">
      <w:numFmt w:val="decimal"/>
      <w:lvlText w:val=""/>
      <w:lvlJc w:val="left"/>
    </w:lvl>
    <w:lvl w:ilvl="5" w:tplc="FBACA6EE">
      <w:numFmt w:val="decimal"/>
      <w:lvlText w:val=""/>
      <w:lvlJc w:val="left"/>
    </w:lvl>
    <w:lvl w:ilvl="6" w:tplc="95A439B8">
      <w:numFmt w:val="decimal"/>
      <w:lvlText w:val=""/>
      <w:lvlJc w:val="left"/>
    </w:lvl>
    <w:lvl w:ilvl="7" w:tplc="9528A7CC">
      <w:numFmt w:val="decimal"/>
      <w:lvlText w:val=""/>
      <w:lvlJc w:val="left"/>
    </w:lvl>
    <w:lvl w:ilvl="8" w:tplc="B31016A8">
      <w:numFmt w:val="decimal"/>
      <w:lvlText w:val=""/>
      <w:lvlJc w:val="left"/>
    </w:lvl>
  </w:abstractNum>
  <w:abstractNum w:abstractNumId="617" w15:restartNumberingAfterBreak="0">
    <w:nsid w:val="40216E6A"/>
    <w:multiLevelType w:val="hybridMultilevel"/>
    <w:tmpl w:val="4DDC58B4"/>
    <w:lvl w:ilvl="0" w:tplc="65501392">
      <w:start w:val="1"/>
      <w:numFmt w:val="bullet"/>
      <w:lvlText w:val=""/>
      <w:lvlJc w:val="left"/>
      <w:pPr>
        <w:ind w:left="720" w:hanging="360"/>
      </w:pPr>
      <w:rPr>
        <w:rFonts w:ascii="Symbol" w:hAnsi="Symbol" w:hint="default"/>
      </w:rPr>
    </w:lvl>
    <w:lvl w:ilvl="1" w:tplc="1A9059DC">
      <w:numFmt w:val="decimal"/>
      <w:lvlText w:val=""/>
      <w:lvlJc w:val="left"/>
    </w:lvl>
    <w:lvl w:ilvl="2" w:tplc="DB94805A">
      <w:numFmt w:val="decimal"/>
      <w:lvlText w:val=""/>
      <w:lvlJc w:val="left"/>
    </w:lvl>
    <w:lvl w:ilvl="3" w:tplc="9E0EE8FA">
      <w:numFmt w:val="decimal"/>
      <w:lvlText w:val=""/>
      <w:lvlJc w:val="left"/>
    </w:lvl>
    <w:lvl w:ilvl="4" w:tplc="4242440A">
      <w:numFmt w:val="decimal"/>
      <w:lvlText w:val=""/>
      <w:lvlJc w:val="left"/>
    </w:lvl>
    <w:lvl w:ilvl="5" w:tplc="88EC4A8C">
      <w:numFmt w:val="decimal"/>
      <w:lvlText w:val=""/>
      <w:lvlJc w:val="left"/>
    </w:lvl>
    <w:lvl w:ilvl="6" w:tplc="2982B910">
      <w:numFmt w:val="decimal"/>
      <w:lvlText w:val=""/>
      <w:lvlJc w:val="left"/>
    </w:lvl>
    <w:lvl w:ilvl="7" w:tplc="1C66DC38">
      <w:numFmt w:val="decimal"/>
      <w:lvlText w:val=""/>
      <w:lvlJc w:val="left"/>
    </w:lvl>
    <w:lvl w:ilvl="8" w:tplc="D8527FB4">
      <w:numFmt w:val="decimal"/>
      <w:lvlText w:val=""/>
      <w:lvlJc w:val="left"/>
    </w:lvl>
  </w:abstractNum>
  <w:abstractNum w:abstractNumId="618" w15:restartNumberingAfterBreak="0">
    <w:nsid w:val="404C63EE"/>
    <w:multiLevelType w:val="hybridMultilevel"/>
    <w:tmpl w:val="EA7C20B4"/>
    <w:lvl w:ilvl="0" w:tplc="F42CF9B8">
      <w:start w:val="1"/>
      <w:numFmt w:val="bullet"/>
      <w:lvlText w:val=""/>
      <w:lvlJc w:val="left"/>
      <w:pPr>
        <w:ind w:left="720" w:hanging="360"/>
      </w:pPr>
      <w:rPr>
        <w:rFonts w:ascii="Symbol" w:hAnsi="Symbol" w:hint="default"/>
      </w:rPr>
    </w:lvl>
    <w:lvl w:ilvl="1" w:tplc="8BB42060">
      <w:numFmt w:val="decimal"/>
      <w:lvlText w:val=""/>
      <w:lvlJc w:val="left"/>
    </w:lvl>
    <w:lvl w:ilvl="2" w:tplc="7034DA2A">
      <w:numFmt w:val="decimal"/>
      <w:lvlText w:val=""/>
      <w:lvlJc w:val="left"/>
    </w:lvl>
    <w:lvl w:ilvl="3" w:tplc="13502A32">
      <w:numFmt w:val="decimal"/>
      <w:lvlText w:val=""/>
      <w:lvlJc w:val="left"/>
    </w:lvl>
    <w:lvl w:ilvl="4" w:tplc="3F5ACD82">
      <w:numFmt w:val="decimal"/>
      <w:lvlText w:val=""/>
      <w:lvlJc w:val="left"/>
    </w:lvl>
    <w:lvl w:ilvl="5" w:tplc="B448E5AA">
      <w:numFmt w:val="decimal"/>
      <w:lvlText w:val=""/>
      <w:lvlJc w:val="left"/>
    </w:lvl>
    <w:lvl w:ilvl="6" w:tplc="29DAF320">
      <w:numFmt w:val="decimal"/>
      <w:lvlText w:val=""/>
      <w:lvlJc w:val="left"/>
    </w:lvl>
    <w:lvl w:ilvl="7" w:tplc="A90E0F14">
      <w:numFmt w:val="decimal"/>
      <w:lvlText w:val=""/>
      <w:lvlJc w:val="left"/>
    </w:lvl>
    <w:lvl w:ilvl="8" w:tplc="B5865F32">
      <w:numFmt w:val="decimal"/>
      <w:lvlText w:val=""/>
      <w:lvlJc w:val="left"/>
    </w:lvl>
  </w:abstractNum>
  <w:abstractNum w:abstractNumId="619" w15:restartNumberingAfterBreak="0">
    <w:nsid w:val="40AF4C00"/>
    <w:multiLevelType w:val="hybridMultilevel"/>
    <w:tmpl w:val="D292A5A6"/>
    <w:lvl w:ilvl="0" w:tplc="85BE7492">
      <w:start w:val="1"/>
      <w:numFmt w:val="bullet"/>
      <w:lvlText w:val=""/>
      <w:lvlJc w:val="left"/>
      <w:pPr>
        <w:ind w:left="720" w:hanging="360"/>
      </w:pPr>
      <w:rPr>
        <w:rFonts w:ascii="Symbol" w:hAnsi="Symbol" w:hint="default"/>
      </w:rPr>
    </w:lvl>
    <w:lvl w:ilvl="1" w:tplc="65303B94">
      <w:numFmt w:val="decimal"/>
      <w:lvlText w:val=""/>
      <w:lvlJc w:val="left"/>
    </w:lvl>
    <w:lvl w:ilvl="2" w:tplc="175C7F94">
      <w:numFmt w:val="decimal"/>
      <w:lvlText w:val=""/>
      <w:lvlJc w:val="left"/>
    </w:lvl>
    <w:lvl w:ilvl="3" w:tplc="DB806B84">
      <w:numFmt w:val="decimal"/>
      <w:lvlText w:val=""/>
      <w:lvlJc w:val="left"/>
    </w:lvl>
    <w:lvl w:ilvl="4" w:tplc="30242D16">
      <w:numFmt w:val="decimal"/>
      <w:lvlText w:val=""/>
      <w:lvlJc w:val="left"/>
    </w:lvl>
    <w:lvl w:ilvl="5" w:tplc="F9000AA4">
      <w:numFmt w:val="decimal"/>
      <w:lvlText w:val=""/>
      <w:lvlJc w:val="left"/>
    </w:lvl>
    <w:lvl w:ilvl="6" w:tplc="99FAA1C8">
      <w:numFmt w:val="decimal"/>
      <w:lvlText w:val=""/>
      <w:lvlJc w:val="left"/>
    </w:lvl>
    <w:lvl w:ilvl="7" w:tplc="0872421C">
      <w:numFmt w:val="decimal"/>
      <w:lvlText w:val=""/>
      <w:lvlJc w:val="left"/>
    </w:lvl>
    <w:lvl w:ilvl="8" w:tplc="A1A4B250">
      <w:numFmt w:val="decimal"/>
      <w:lvlText w:val=""/>
      <w:lvlJc w:val="left"/>
    </w:lvl>
  </w:abstractNum>
  <w:abstractNum w:abstractNumId="620" w15:restartNumberingAfterBreak="0">
    <w:nsid w:val="40D445DA"/>
    <w:multiLevelType w:val="hybridMultilevel"/>
    <w:tmpl w:val="040A4752"/>
    <w:lvl w:ilvl="0" w:tplc="A4EA3A80">
      <w:start w:val="1"/>
      <w:numFmt w:val="bullet"/>
      <w:lvlText w:val=""/>
      <w:lvlJc w:val="left"/>
      <w:pPr>
        <w:ind w:left="720" w:hanging="360"/>
      </w:pPr>
      <w:rPr>
        <w:rFonts w:ascii="Symbol" w:hAnsi="Symbol" w:hint="default"/>
      </w:rPr>
    </w:lvl>
    <w:lvl w:ilvl="1" w:tplc="9FDC236A">
      <w:numFmt w:val="decimal"/>
      <w:lvlText w:val=""/>
      <w:lvlJc w:val="left"/>
    </w:lvl>
    <w:lvl w:ilvl="2" w:tplc="1C2C149C">
      <w:numFmt w:val="decimal"/>
      <w:lvlText w:val=""/>
      <w:lvlJc w:val="left"/>
    </w:lvl>
    <w:lvl w:ilvl="3" w:tplc="020E4A66">
      <w:numFmt w:val="decimal"/>
      <w:lvlText w:val=""/>
      <w:lvlJc w:val="left"/>
    </w:lvl>
    <w:lvl w:ilvl="4" w:tplc="A1B4F1C0">
      <w:numFmt w:val="decimal"/>
      <w:lvlText w:val=""/>
      <w:lvlJc w:val="left"/>
    </w:lvl>
    <w:lvl w:ilvl="5" w:tplc="09764D26">
      <w:numFmt w:val="decimal"/>
      <w:lvlText w:val=""/>
      <w:lvlJc w:val="left"/>
    </w:lvl>
    <w:lvl w:ilvl="6" w:tplc="0FDE0C66">
      <w:numFmt w:val="decimal"/>
      <w:lvlText w:val=""/>
      <w:lvlJc w:val="left"/>
    </w:lvl>
    <w:lvl w:ilvl="7" w:tplc="0876E138">
      <w:numFmt w:val="decimal"/>
      <w:lvlText w:val=""/>
      <w:lvlJc w:val="left"/>
    </w:lvl>
    <w:lvl w:ilvl="8" w:tplc="C964BF30">
      <w:numFmt w:val="decimal"/>
      <w:lvlText w:val=""/>
      <w:lvlJc w:val="left"/>
    </w:lvl>
  </w:abstractNum>
  <w:abstractNum w:abstractNumId="621" w15:restartNumberingAfterBreak="0">
    <w:nsid w:val="412B4AE5"/>
    <w:multiLevelType w:val="hybridMultilevel"/>
    <w:tmpl w:val="FE849F86"/>
    <w:lvl w:ilvl="0" w:tplc="6EE6D1B8">
      <w:start w:val="1"/>
      <w:numFmt w:val="bullet"/>
      <w:lvlText w:val=""/>
      <w:lvlJc w:val="left"/>
      <w:pPr>
        <w:ind w:left="720" w:hanging="360"/>
      </w:pPr>
      <w:rPr>
        <w:rFonts w:ascii="Symbol" w:hAnsi="Symbol" w:hint="default"/>
      </w:rPr>
    </w:lvl>
    <w:lvl w:ilvl="1" w:tplc="3A926570">
      <w:numFmt w:val="decimal"/>
      <w:lvlText w:val=""/>
      <w:lvlJc w:val="left"/>
    </w:lvl>
    <w:lvl w:ilvl="2" w:tplc="D6E8FB94">
      <w:numFmt w:val="decimal"/>
      <w:lvlText w:val=""/>
      <w:lvlJc w:val="left"/>
    </w:lvl>
    <w:lvl w:ilvl="3" w:tplc="0936CF5C">
      <w:numFmt w:val="decimal"/>
      <w:lvlText w:val=""/>
      <w:lvlJc w:val="left"/>
    </w:lvl>
    <w:lvl w:ilvl="4" w:tplc="7568BAC8">
      <w:numFmt w:val="decimal"/>
      <w:lvlText w:val=""/>
      <w:lvlJc w:val="left"/>
    </w:lvl>
    <w:lvl w:ilvl="5" w:tplc="0EFC3812">
      <w:numFmt w:val="decimal"/>
      <w:lvlText w:val=""/>
      <w:lvlJc w:val="left"/>
    </w:lvl>
    <w:lvl w:ilvl="6" w:tplc="9BBAC5A2">
      <w:numFmt w:val="decimal"/>
      <w:lvlText w:val=""/>
      <w:lvlJc w:val="left"/>
    </w:lvl>
    <w:lvl w:ilvl="7" w:tplc="8E9ED0FE">
      <w:numFmt w:val="decimal"/>
      <w:lvlText w:val=""/>
      <w:lvlJc w:val="left"/>
    </w:lvl>
    <w:lvl w:ilvl="8" w:tplc="5154809A">
      <w:numFmt w:val="decimal"/>
      <w:lvlText w:val=""/>
      <w:lvlJc w:val="left"/>
    </w:lvl>
  </w:abstractNum>
  <w:abstractNum w:abstractNumId="622" w15:restartNumberingAfterBreak="0">
    <w:nsid w:val="41464CB9"/>
    <w:multiLevelType w:val="hybridMultilevel"/>
    <w:tmpl w:val="18AAAF04"/>
    <w:lvl w:ilvl="0" w:tplc="BB729A3E">
      <w:start w:val="1"/>
      <w:numFmt w:val="bullet"/>
      <w:lvlText w:val=""/>
      <w:lvlJc w:val="left"/>
      <w:pPr>
        <w:ind w:left="720" w:hanging="360"/>
      </w:pPr>
      <w:rPr>
        <w:rFonts w:ascii="Symbol" w:hAnsi="Symbol" w:hint="default"/>
      </w:rPr>
    </w:lvl>
    <w:lvl w:ilvl="1" w:tplc="A9107556">
      <w:numFmt w:val="decimal"/>
      <w:lvlText w:val=""/>
      <w:lvlJc w:val="left"/>
    </w:lvl>
    <w:lvl w:ilvl="2" w:tplc="CAF0EE36">
      <w:numFmt w:val="decimal"/>
      <w:lvlText w:val=""/>
      <w:lvlJc w:val="left"/>
    </w:lvl>
    <w:lvl w:ilvl="3" w:tplc="565EC18A">
      <w:numFmt w:val="decimal"/>
      <w:lvlText w:val=""/>
      <w:lvlJc w:val="left"/>
    </w:lvl>
    <w:lvl w:ilvl="4" w:tplc="7AE64CEA">
      <w:numFmt w:val="decimal"/>
      <w:lvlText w:val=""/>
      <w:lvlJc w:val="left"/>
    </w:lvl>
    <w:lvl w:ilvl="5" w:tplc="0F34C0F2">
      <w:numFmt w:val="decimal"/>
      <w:lvlText w:val=""/>
      <w:lvlJc w:val="left"/>
    </w:lvl>
    <w:lvl w:ilvl="6" w:tplc="BF6E6634">
      <w:numFmt w:val="decimal"/>
      <w:lvlText w:val=""/>
      <w:lvlJc w:val="left"/>
    </w:lvl>
    <w:lvl w:ilvl="7" w:tplc="62A6ED48">
      <w:numFmt w:val="decimal"/>
      <w:lvlText w:val=""/>
      <w:lvlJc w:val="left"/>
    </w:lvl>
    <w:lvl w:ilvl="8" w:tplc="724AE930">
      <w:numFmt w:val="decimal"/>
      <w:lvlText w:val=""/>
      <w:lvlJc w:val="left"/>
    </w:lvl>
  </w:abstractNum>
  <w:abstractNum w:abstractNumId="623" w15:restartNumberingAfterBreak="0">
    <w:nsid w:val="41627CE3"/>
    <w:multiLevelType w:val="hybridMultilevel"/>
    <w:tmpl w:val="E4EE20BE"/>
    <w:lvl w:ilvl="0" w:tplc="9FD2B98C">
      <w:start w:val="1"/>
      <w:numFmt w:val="bullet"/>
      <w:lvlText w:val=""/>
      <w:lvlJc w:val="left"/>
      <w:pPr>
        <w:ind w:left="720" w:hanging="360"/>
      </w:pPr>
      <w:rPr>
        <w:rFonts w:ascii="Symbol" w:hAnsi="Symbol" w:hint="default"/>
      </w:rPr>
    </w:lvl>
    <w:lvl w:ilvl="1" w:tplc="E724FC3E">
      <w:numFmt w:val="decimal"/>
      <w:lvlText w:val=""/>
      <w:lvlJc w:val="left"/>
    </w:lvl>
    <w:lvl w:ilvl="2" w:tplc="9C6A123E">
      <w:numFmt w:val="decimal"/>
      <w:lvlText w:val=""/>
      <w:lvlJc w:val="left"/>
    </w:lvl>
    <w:lvl w:ilvl="3" w:tplc="516C366E">
      <w:numFmt w:val="decimal"/>
      <w:lvlText w:val=""/>
      <w:lvlJc w:val="left"/>
    </w:lvl>
    <w:lvl w:ilvl="4" w:tplc="77B2459A">
      <w:numFmt w:val="decimal"/>
      <w:lvlText w:val=""/>
      <w:lvlJc w:val="left"/>
    </w:lvl>
    <w:lvl w:ilvl="5" w:tplc="8A6A7016">
      <w:numFmt w:val="decimal"/>
      <w:lvlText w:val=""/>
      <w:lvlJc w:val="left"/>
    </w:lvl>
    <w:lvl w:ilvl="6" w:tplc="97C25484">
      <w:numFmt w:val="decimal"/>
      <w:lvlText w:val=""/>
      <w:lvlJc w:val="left"/>
    </w:lvl>
    <w:lvl w:ilvl="7" w:tplc="A92A60FA">
      <w:numFmt w:val="decimal"/>
      <w:lvlText w:val=""/>
      <w:lvlJc w:val="left"/>
    </w:lvl>
    <w:lvl w:ilvl="8" w:tplc="BE8C96DA">
      <w:numFmt w:val="decimal"/>
      <w:lvlText w:val=""/>
      <w:lvlJc w:val="left"/>
    </w:lvl>
  </w:abstractNum>
  <w:abstractNum w:abstractNumId="624" w15:restartNumberingAfterBreak="0">
    <w:nsid w:val="41B62A53"/>
    <w:multiLevelType w:val="hybridMultilevel"/>
    <w:tmpl w:val="B458170A"/>
    <w:lvl w:ilvl="0" w:tplc="29D08D12">
      <w:start w:val="1"/>
      <w:numFmt w:val="bullet"/>
      <w:lvlText w:val=""/>
      <w:lvlJc w:val="left"/>
      <w:pPr>
        <w:ind w:left="720" w:hanging="360"/>
      </w:pPr>
      <w:rPr>
        <w:rFonts w:ascii="Symbol" w:hAnsi="Symbol" w:hint="default"/>
      </w:rPr>
    </w:lvl>
    <w:lvl w:ilvl="1" w:tplc="74CC4812">
      <w:numFmt w:val="decimal"/>
      <w:lvlText w:val=""/>
      <w:lvlJc w:val="left"/>
    </w:lvl>
    <w:lvl w:ilvl="2" w:tplc="27D45CD6">
      <w:numFmt w:val="decimal"/>
      <w:lvlText w:val=""/>
      <w:lvlJc w:val="left"/>
    </w:lvl>
    <w:lvl w:ilvl="3" w:tplc="E4006C8C">
      <w:numFmt w:val="decimal"/>
      <w:lvlText w:val=""/>
      <w:lvlJc w:val="left"/>
    </w:lvl>
    <w:lvl w:ilvl="4" w:tplc="C25A6A2A">
      <w:numFmt w:val="decimal"/>
      <w:lvlText w:val=""/>
      <w:lvlJc w:val="left"/>
    </w:lvl>
    <w:lvl w:ilvl="5" w:tplc="31A87D16">
      <w:numFmt w:val="decimal"/>
      <w:lvlText w:val=""/>
      <w:lvlJc w:val="left"/>
    </w:lvl>
    <w:lvl w:ilvl="6" w:tplc="2EDE7682">
      <w:numFmt w:val="decimal"/>
      <w:lvlText w:val=""/>
      <w:lvlJc w:val="left"/>
    </w:lvl>
    <w:lvl w:ilvl="7" w:tplc="DEAAA5B6">
      <w:numFmt w:val="decimal"/>
      <w:lvlText w:val=""/>
      <w:lvlJc w:val="left"/>
    </w:lvl>
    <w:lvl w:ilvl="8" w:tplc="C060DCD8">
      <w:numFmt w:val="decimal"/>
      <w:lvlText w:val=""/>
      <w:lvlJc w:val="left"/>
    </w:lvl>
  </w:abstractNum>
  <w:abstractNum w:abstractNumId="625" w15:restartNumberingAfterBreak="0">
    <w:nsid w:val="41C31C83"/>
    <w:multiLevelType w:val="hybridMultilevel"/>
    <w:tmpl w:val="019E6D70"/>
    <w:lvl w:ilvl="0" w:tplc="D0DADD02">
      <w:start w:val="1"/>
      <w:numFmt w:val="bullet"/>
      <w:lvlText w:val=""/>
      <w:lvlJc w:val="left"/>
      <w:pPr>
        <w:ind w:left="720" w:hanging="360"/>
      </w:pPr>
      <w:rPr>
        <w:rFonts w:ascii="Symbol" w:hAnsi="Symbol" w:hint="default"/>
      </w:rPr>
    </w:lvl>
    <w:lvl w:ilvl="1" w:tplc="271A8A9A">
      <w:numFmt w:val="decimal"/>
      <w:lvlText w:val=""/>
      <w:lvlJc w:val="left"/>
    </w:lvl>
    <w:lvl w:ilvl="2" w:tplc="BAFA8730">
      <w:numFmt w:val="decimal"/>
      <w:lvlText w:val=""/>
      <w:lvlJc w:val="left"/>
    </w:lvl>
    <w:lvl w:ilvl="3" w:tplc="C9567AAC">
      <w:numFmt w:val="decimal"/>
      <w:lvlText w:val=""/>
      <w:lvlJc w:val="left"/>
    </w:lvl>
    <w:lvl w:ilvl="4" w:tplc="B65EC77E">
      <w:numFmt w:val="decimal"/>
      <w:lvlText w:val=""/>
      <w:lvlJc w:val="left"/>
    </w:lvl>
    <w:lvl w:ilvl="5" w:tplc="EA8A4A7E">
      <w:numFmt w:val="decimal"/>
      <w:lvlText w:val=""/>
      <w:lvlJc w:val="left"/>
    </w:lvl>
    <w:lvl w:ilvl="6" w:tplc="25E62C12">
      <w:numFmt w:val="decimal"/>
      <w:lvlText w:val=""/>
      <w:lvlJc w:val="left"/>
    </w:lvl>
    <w:lvl w:ilvl="7" w:tplc="374CC250">
      <w:numFmt w:val="decimal"/>
      <w:lvlText w:val=""/>
      <w:lvlJc w:val="left"/>
    </w:lvl>
    <w:lvl w:ilvl="8" w:tplc="FE36F5E8">
      <w:numFmt w:val="decimal"/>
      <w:lvlText w:val=""/>
      <w:lvlJc w:val="left"/>
    </w:lvl>
  </w:abstractNum>
  <w:abstractNum w:abstractNumId="626" w15:restartNumberingAfterBreak="0">
    <w:nsid w:val="41D00C68"/>
    <w:multiLevelType w:val="hybridMultilevel"/>
    <w:tmpl w:val="664A7D20"/>
    <w:lvl w:ilvl="0" w:tplc="9398AEA6">
      <w:start w:val="1"/>
      <w:numFmt w:val="bullet"/>
      <w:lvlText w:val=""/>
      <w:lvlJc w:val="left"/>
      <w:pPr>
        <w:ind w:left="720" w:hanging="360"/>
      </w:pPr>
      <w:rPr>
        <w:rFonts w:ascii="Symbol" w:hAnsi="Symbol" w:hint="default"/>
      </w:rPr>
    </w:lvl>
    <w:lvl w:ilvl="1" w:tplc="AD02A458">
      <w:numFmt w:val="decimal"/>
      <w:lvlText w:val=""/>
      <w:lvlJc w:val="left"/>
    </w:lvl>
    <w:lvl w:ilvl="2" w:tplc="3766C0B4">
      <w:numFmt w:val="decimal"/>
      <w:lvlText w:val=""/>
      <w:lvlJc w:val="left"/>
    </w:lvl>
    <w:lvl w:ilvl="3" w:tplc="5FB28A48">
      <w:numFmt w:val="decimal"/>
      <w:lvlText w:val=""/>
      <w:lvlJc w:val="left"/>
    </w:lvl>
    <w:lvl w:ilvl="4" w:tplc="85BAAF66">
      <w:numFmt w:val="decimal"/>
      <w:lvlText w:val=""/>
      <w:lvlJc w:val="left"/>
    </w:lvl>
    <w:lvl w:ilvl="5" w:tplc="8D3CC752">
      <w:numFmt w:val="decimal"/>
      <w:lvlText w:val=""/>
      <w:lvlJc w:val="left"/>
    </w:lvl>
    <w:lvl w:ilvl="6" w:tplc="177EA082">
      <w:numFmt w:val="decimal"/>
      <w:lvlText w:val=""/>
      <w:lvlJc w:val="left"/>
    </w:lvl>
    <w:lvl w:ilvl="7" w:tplc="07328B02">
      <w:numFmt w:val="decimal"/>
      <w:lvlText w:val=""/>
      <w:lvlJc w:val="left"/>
    </w:lvl>
    <w:lvl w:ilvl="8" w:tplc="6EDC4B30">
      <w:numFmt w:val="decimal"/>
      <w:lvlText w:val=""/>
      <w:lvlJc w:val="left"/>
    </w:lvl>
  </w:abstractNum>
  <w:abstractNum w:abstractNumId="627" w15:restartNumberingAfterBreak="0">
    <w:nsid w:val="41D26512"/>
    <w:multiLevelType w:val="hybridMultilevel"/>
    <w:tmpl w:val="7EBEA41C"/>
    <w:lvl w:ilvl="0" w:tplc="4148DA98">
      <w:start w:val="1"/>
      <w:numFmt w:val="bullet"/>
      <w:lvlText w:val=""/>
      <w:lvlJc w:val="left"/>
      <w:pPr>
        <w:ind w:left="720" w:hanging="360"/>
      </w:pPr>
      <w:rPr>
        <w:rFonts w:ascii="Symbol" w:hAnsi="Symbol" w:hint="default"/>
      </w:rPr>
    </w:lvl>
    <w:lvl w:ilvl="1" w:tplc="A3A68D36">
      <w:numFmt w:val="decimal"/>
      <w:lvlText w:val=""/>
      <w:lvlJc w:val="left"/>
    </w:lvl>
    <w:lvl w:ilvl="2" w:tplc="C8806712">
      <w:numFmt w:val="decimal"/>
      <w:lvlText w:val=""/>
      <w:lvlJc w:val="left"/>
    </w:lvl>
    <w:lvl w:ilvl="3" w:tplc="7F88E882">
      <w:numFmt w:val="decimal"/>
      <w:lvlText w:val=""/>
      <w:lvlJc w:val="left"/>
    </w:lvl>
    <w:lvl w:ilvl="4" w:tplc="711A75E0">
      <w:numFmt w:val="decimal"/>
      <w:lvlText w:val=""/>
      <w:lvlJc w:val="left"/>
    </w:lvl>
    <w:lvl w:ilvl="5" w:tplc="964454E8">
      <w:numFmt w:val="decimal"/>
      <w:lvlText w:val=""/>
      <w:lvlJc w:val="left"/>
    </w:lvl>
    <w:lvl w:ilvl="6" w:tplc="A34288D0">
      <w:numFmt w:val="decimal"/>
      <w:lvlText w:val=""/>
      <w:lvlJc w:val="left"/>
    </w:lvl>
    <w:lvl w:ilvl="7" w:tplc="F2CAD3BA">
      <w:numFmt w:val="decimal"/>
      <w:lvlText w:val=""/>
      <w:lvlJc w:val="left"/>
    </w:lvl>
    <w:lvl w:ilvl="8" w:tplc="127A4E76">
      <w:numFmt w:val="decimal"/>
      <w:lvlText w:val=""/>
      <w:lvlJc w:val="left"/>
    </w:lvl>
  </w:abstractNum>
  <w:abstractNum w:abstractNumId="628" w15:restartNumberingAfterBreak="0">
    <w:nsid w:val="42004571"/>
    <w:multiLevelType w:val="hybridMultilevel"/>
    <w:tmpl w:val="6206EF96"/>
    <w:lvl w:ilvl="0" w:tplc="FDA40E1A">
      <w:start w:val="1"/>
      <w:numFmt w:val="bullet"/>
      <w:lvlText w:val=""/>
      <w:lvlJc w:val="left"/>
      <w:pPr>
        <w:ind w:left="720" w:hanging="360"/>
      </w:pPr>
      <w:rPr>
        <w:rFonts w:ascii="Symbol" w:hAnsi="Symbol" w:hint="default"/>
      </w:rPr>
    </w:lvl>
    <w:lvl w:ilvl="1" w:tplc="3F96C94C">
      <w:numFmt w:val="decimal"/>
      <w:lvlText w:val=""/>
      <w:lvlJc w:val="left"/>
    </w:lvl>
    <w:lvl w:ilvl="2" w:tplc="01C4F3A8">
      <w:numFmt w:val="decimal"/>
      <w:lvlText w:val=""/>
      <w:lvlJc w:val="left"/>
    </w:lvl>
    <w:lvl w:ilvl="3" w:tplc="3ECA2B6A">
      <w:numFmt w:val="decimal"/>
      <w:lvlText w:val=""/>
      <w:lvlJc w:val="left"/>
    </w:lvl>
    <w:lvl w:ilvl="4" w:tplc="DC206A58">
      <w:numFmt w:val="decimal"/>
      <w:lvlText w:val=""/>
      <w:lvlJc w:val="left"/>
    </w:lvl>
    <w:lvl w:ilvl="5" w:tplc="521EC238">
      <w:numFmt w:val="decimal"/>
      <w:lvlText w:val=""/>
      <w:lvlJc w:val="left"/>
    </w:lvl>
    <w:lvl w:ilvl="6" w:tplc="5C9401D8">
      <w:numFmt w:val="decimal"/>
      <w:lvlText w:val=""/>
      <w:lvlJc w:val="left"/>
    </w:lvl>
    <w:lvl w:ilvl="7" w:tplc="216EBFE0">
      <w:numFmt w:val="decimal"/>
      <w:lvlText w:val=""/>
      <w:lvlJc w:val="left"/>
    </w:lvl>
    <w:lvl w:ilvl="8" w:tplc="66E00222">
      <w:numFmt w:val="decimal"/>
      <w:lvlText w:val=""/>
      <w:lvlJc w:val="left"/>
    </w:lvl>
  </w:abstractNum>
  <w:abstractNum w:abstractNumId="629" w15:restartNumberingAfterBreak="0">
    <w:nsid w:val="423061F3"/>
    <w:multiLevelType w:val="hybridMultilevel"/>
    <w:tmpl w:val="FB50D120"/>
    <w:lvl w:ilvl="0" w:tplc="678A7C06">
      <w:numFmt w:val="decimal"/>
      <w:lvlText w:val=""/>
      <w:lvlJc w:val="left"/>
    </w:lvl>
    <w:lvl w:ilvl="1" w:tplc="8D0EEEF6">
      <w:start w:val="1"/>
      <w:numFmt w:val="bullet"/>
      <w:lvlText w:val=""/>
      <w:lvlJc w:val="left"/>
      <w:pPr>
        <w:ind w:left="1440" w:hanging="360"/>
      </w:pPr>
      <w:rPr>
        <w:rFonts w:ascii="Symbol" w:hAnsi="Symbol" w:hint="default"/>
      </w:rPr>
    </w:lvl>
    <w:lvl w:ilvl="2" w:tplc="D15EA4CE">
      <w:numFmt w:val="decimal"/>
      <w:lvlText w:val=""/>
      <w:lvlJc w:val="left"/>
    </w:lvl>
    <w:lvl w:ilvl="3" w:tplc="EACEA522">
      <w:numFmt w:val="decimal"/>
      <w:lvlText w:val=""/>
      <w:lvlJc w:val="left"/>
    </w:lvl>
    <w:lvl w:ilvl="4" w:tplc="730C0B92">
      <w:numFmt w:val="decimal"/>
      <w:lvlText w:val=""/>
      <w:lvlJc w:val="left"/>
    </w:lvl>
    <w:lvl w:ilvl="5" w:tplc="3506A3EA">
      <w:numFmt w:val="decimal"/>
      <w:lvlText w:val=""/>
      <w:lvlJc w:val="left"/>
    </w:lvl>
    <w:lvl w:ilvl="6" w:tplc="B114C4EC">
      <w:numFmt w:val="decimal"/>
      <w:lvlText w:val=""/>
      <w:lvlJc w:val="left"/>
    </w:lvl>
    <w:lvl w:ilvl="7" w:tplc="126AF39E">
      <w:numFmt w:val="decimal"/>
      <w:lvlText w:val=""/>
      <w:lvlJc w:val="left"/>
    </w:lvl>
    <w:lvl w:ilvl="8" w:tplc="98E87818">
      <w:numFmt w:val="decimal"/>
      <w:lvlText w:val=""/>
      <w:lvlJc w:val="left"/>
    </w:lvl>
  </w:abstractNum>
  <w:abstractNum w:abstractNumId="630" w15:restartNumberingAfterBreak="0">
    <w:nsid w:val="4230783F"/>
    <w:multiLevelType w:val="hybridMultilevel"/>
    <w:tmpl w:val="A59616B0"/>
    <w:lvl w:ilvl="0" w:tplc="E3D02D16">
      <w:start w:val="1"/>
      <w:numFmt w:val="bullet"/>
      <w:lvlText w:val=""/>
      <w:lvlJc w:val="left"/>
      <w:pPr>
        <w:ind w:left="720" w:hanging="360"/>
      </w:pPr>
      <w:rPr>
        <w:rFonts w:ascii="Symbol" w:hAnsi="Symbol" w:hint="default"/>
      </w:rPr>
    </w:lvl>
    <w:lvl w:ilvl="1" w:tplc="10D641F2">
      <w:numFmt w:val="decimal"/>
      <w:lvlText w:val=""/>
      <w:lvlJc w:val="left"/>
    </w:lvl>
    <w:lvl w:ilvl="2" w:tplc="2D90772C">
      <w:numFmt w:val="decimal"/>
      <w:lvlText w:val=""/>
      <w:lvlJc w:val="left"/>
    </w:lvl>
    <w:lvl w:ilvl="3" w:tplc="56461FFE">
      <w:numFmt w:val="decimal"/>
      <w:lvlText w:val=""/>
      <w:lvlJc w:val="left"/>
    </w:lvl>
    <w:lvl w:ilvl="4" w:tplc="D4DA48B4">
      <w:numFmt w:val="decimal"/>
      <w:lvlText w:val=""/>
      <w:lvlJc w:val="left"/>
    </w:lvl>
    <w:lvl w:ilvl="5" w:tplc="809A037A">
      <w:numFmt w:val="decimal"/>
      <w:lvlText w:val=""/>
      <w:lvlJc w:val="left"/>
    </w:lvl>
    <w:lvl w:ilvl="6" w:tplc="D9320982">
      <w:numFmt w:val="decimal"/>
      <w:lvlText w:val=""/>
      <w:lvlJc w:val="left"/>
    </w:lvl>
    <w:lvl w:ilvl="7" w:tplc="071AB8C4">
      <w:numFmt w:val="decimal"/>
      <w:lvlText w:val=""/>
      <w:lvlJc w:val="left"/>
    </w:lvl>
    <w:lvl w:ilvl="8" w:tplc="CC820CA0">
      <w:numFmt w:val="decimal"/>
      <w:lvlText w:val=""/>
      <w:lvlJc w:val="left"/>
    </w:lvl>
  </w:abstractNum>
  <w:abstractNum w:abstractNumId="631" w15:restartNumberingAfterBreak="0">
    <w:nsid w:val="42323DD3"/>
    <w:multiLevelType w:val="hybridMultilevel"/>
    <w:tmpl w:val="F38CDB24"/>
    <w:lvl w:ilvl="0" w:tplc="A90477A6">
      <w:start w:val="1"/>
      <w:numFmt w:val="bullet"/>
      <w:lvlText w:val=""/>
      <w:lvlJc w:val="left"/>
      <w:pPr>
        <w:ind w:left="720" w:hanging="360"/>
      </w:pPr>
      <w:rPr>
        <w:rFonts w:ascii="Symbol" w:hAnsi="Symbol" w:hint="default"/>
      </w:rPr>
    </w:lvl>
    <w:lvl w:ilvl="1" w:tplc="A37AFBE8">
      <w:numFmt w:val="decimal"/>
      <w:lvlText w:val=""/>
      <w:lvlJc w:val="left"/>
    </w:lvl>
    <w:lvl w:ilvl="2" w:tplc="7B943FAC">
      <w:numFmt w:val="decimal"/>
      <w:lvlText w:val=""/>
      <w:lvlJc w:val="left"/>
    </w:lvl>
    <w:lvl w:ilvl="3" w:tplc="1BACD93C">
      <w:numFmt w:val="decimal"/>
      <w:lvlText w:val=""/>
      <w:lvlJc w:val="left"/>
    </w:lvl>
    <w:lvl w:ilvl="4" w:tplc="930A8B50">
      <w:numFmt w:val="decimal"/>
      <w:lvlText w:val=""/>
      <w:lvlJc w:val="left"/>
    </w:lvl>
    <w:lvl w:ilvl="5" w:tplc="FB208F60">
      <w:numFmt w:val="decimal"/>
      <w:lvlText w:val=""/>
      <w:lvlJc w:val="left"/>
    </w:lvl>
    <w:lvl w:ilvl="6" w:tplc="DBA26340">
      <w:numFmt w:val="decimal"/>
      <w:lvlText w:val=""/>
      <w:lvlJc w:val="left"/>
    </w:lvl>
    <w:lvl w:ilvl="7" w:tplc="F6466564">
      <w:numFmt w:val="decimal"/>
      <w:lvlText w:val=""/>
      <w:lvlJc w:val="left"/>
    </w:lvl>
    <w:lvl w:ilvl="8" w:tplc="12B62062">
      <w:numFmt w:val="decimal"/>
      <w:lvlText w:val=""/>
      <w:lvlJc w:val="left"/>
    </w:lvl>
  </w:abstractNum>
  <w:abstractNum w:abstractNumId="632" w15:restartNumberingAfterBreak="0">
    <w:nsid w:val="42347C00"/>
    <w:multiLevelType w:val="hybridMultilevel"/>
    <w:tmpl w:val="A164258E"/>
    <w:lvl w:ilvl="0" w:tplc="316AFD96">
      <w:start w:val="1"/>
      <w:numFmt w:val="bullet"/>
      <w:lvlText w:val=""/>
      <w:lvlJc w:val="left"/>
      <w:pPr>
        <w:ind w:left="720" w:hanging="360"/>
      </w:pPr>
      <w:rPr>
        <w:rFonts w:ascii="Symbol" w:hAnsi="Symbol" w:hint="default"/>
      </w:rPr>
    </w:lvl>
    <w:lvl w:ilvl="1" w:tplc="F75E7478">
      <w:numFmt w:val="decimal"/>
      <w:lvlText w:val=""/>
      <w:lvlJc w:val="left"/>
    </w:lvl>
    <w:lvl w:ilvl="2" w:tplc="884E7968">
      <w:numFmt w:val="decimal"/>
      <w:lvlText w:val=""/>
      <w:lvlJc w:val="left"/>
    </w:lvl>
    <w:lvl w:ilvl="3" w:tplc="F2A2BEBE">
      <w:numFmt w:val="decimal"/>
      <w:lvlText w:val=""/>
      <w:lvlJc w:val="left"/>
    </w:lvl>
    <w:lvl w:ilvl="4" w:tplc="15001624">
      <w:numFmt w:val="decimal"/>
      <w:lvlText w:val=""/>
      <w:lvlJc w:val="left"/>
    </w:lvl>
    <w:lvl w:ilvl="5" w:tplc="AEAC8E80">
      <w:numFmt w:val="decimal"/>
      <w:lvlText w:val=""/>
      <w:lvlJc w:val="left"/>
    </w:lvl>
    <w:lvl w:ilvl="6" w:tplc="27405076">
      <w:numFmt w:val="decimal"/>
      <w:lvlText w:val=""/>
      <w:lvlJc w:val="left"/>
    </w:lvl>
    <w:lvl w:ilvl="7" w:tplc="20827666">
      <w:numFmt w:val="decimal"/>
      <w:lvlText w:val=""/>
      <w:lvlJc w:val="left"/>
    </w:lvl>
    <w:lvl w:ilvl="8" w:tplc="87E279A4">
      <w:numFmt w:val="decimal"/>
      <w:lvlText w:val=""/>
      <w:lvlJc w:val="left"/>
    </w:lvl>
  </w:abstractNum>
  <w:abstractNum w:abstractNumId="633" w15:restartNumberingAfterBreak="0">
    <w:nsid w:val="423A7CF0"/>
    <w:multiLevelType w:val="hybridMultilevel"/>
    <w:tmpl w:val="BAE0CCB6"/>
    <w:lvl w:ilvl="0" w:tplc="DCB21328">
      <w:start w:val="1"/>
      <w:numFmt w:val="bullet"/>
      <w:lvlText w:val=""/>
      <w:lvlJc w:val="left"/>
      <w:pPr>
        <w:ind w:left="720" w:hanging="360"/>
      </w:pPr>
      <w:rPr>
        <w:rFonts w:ascii="Symbol" w:hAnsi="Symbol" w:hint="default"/>
      </w:rPr>
    </w:lvl>
    <w:lvl w:ilvl="1" w:tplc="49B0782C">
      <w:numFmt w:val="decimal"/>
      <w:lvlText w:val=""/>
      <w:lvlJc w:val="left"/>
    </w:lvl>
    <w:lvl w:ilvl="2" w:tplc="C7EC2778">
      <w:numFmt w:val="decimal"/>
      <w:lvlText w:val=""/>
      <w:lvlJc w:val="left"/>
    </w:lvl>
    <w:lvl w:ilvl="3" w:tplc="89EC9D42">
      <w:numFmt w:val="decimal"/>
      <w:lvlText w:val=""/>
      <w:lvlJc w:val="left"/>
    </w:lvl>
    <w:lvl w:ilvl="4" w:tplc="85CA060C">
      <w:numFmt w:val="decimal"/>
      <w:lvlText w:val=""/>
      <w:lvlJc w:val="left"/>
    </w:lvl>
    <w:lvl w:ilvl="5" w:tplc="3972328C">
      <w:numFmt w:val="decimal"/>
      <w:lvlText w:val=""/>
      <w:lvlJc w:val="left"/>
    </w:lvl>
    <w:lvl w:ilvl="6" w:tplc="AEC8E4B8">
      <w:numFmt w:val="decimal"/>
      <w:lvlText w:val=""/>
      <w:lvlJc w:val="left"/>
    </w:lvl>
    <w:lvl w:ilvl="7" w:tplc="08C6D276">
      <w:numFmt w:val="decimal"/>
      <w:lvlText w:val=""/>
      <w:lvlJc w:val="left"/>
    </w:lvl>
    <w:lvl w:ilvl="8" w:tplc="710C7174">
      <w:numFmt w:val="decimal"/>
      <w:lvlText w:val=""/>
      <w:lvlJc w:val="left"/>
    </w:lvl>
  </w:abstractNum>
  <w:abstractNum w:abstractNumId="634" w15:restartNumberingAfterBreak="0">
    <w:nsid w:val="4248174C"/>
    <w:multiLevelType w:val="hybridMultilevel"/>
    <w:tmpl w:val="091CC95C"/>
    <w:lvl w:ilvl="0" w:tplc="870C44F6">
      <w:start w:val="1"/>
      <w:numFmt w:val="bullet"/>
      <w:lvlText w:val=""/>
      <w:lvlJc w:val="left"/>
      <w:pPr>
        <w:ind w:left="720" w:hanging="360"/>
      </w:pPr>
      <w:rPr>
        <w:rFonts w:ascii="Symbol" w:hAnsi="Symbol" w:hint="default"/>
      </w:rPr>
    </w:lvl>
    <w:lvl w:ilvl="1" w:tplc="03BCA28C">
      <w:numFmt w:val="decimal"/>
      <w:lvlText w:val=""/>
      <w:lvlJc w:val="left"/>
    </w:lvl>
    <w:lvl w:ilvl="2" w:tplc="434AF2DE">
      <w:numFmt w:val="decimal"/>
      <w:lvlText w:val=""/>
      <w:lvlJc w:val="left"/>
    </w:lvl>
    <w:lvl w:ilvl="3" w:tplc="E18E9ED6">
      <w:numFmt w:val="decimal"/>
      <w:lvlText w:val=""/>
      <w:lvlJc w:val="left"/>
    </w:lvl>
    <w:lvl w:ilvl="4" w:tplc="27706A86">
      <w:numFmt w:val="decimal"/>
      <w:lvlText w:val=""/>
      <w:lvlJc w:val="left"/>
    </w:lvl>
    <w:lvl w:ilvl="5" w:tplc="078254D8">
      <w:numFmt w:val="decimal"/>
      <w:lvlText w:val=""/>
      <w:lvlJc w:val="left"/>
    </w:lvl>
    <w:lvl w:ilvl="6" w:tplc="3F46DEF0">
      <w:numFmt w:val="decimal"/>
      <w:lvlText w:val=""/>
      <w:lvlJc w:val="left"/>
    </w:lvl>
    <w:lvl w:ilvl="7" w:tplc="18944E14">
      <w:numFmt w:val="decimal"/>
      <w:lvlText w:val=""/>
      <w:lvlJc w:val="left"/>
    </w:lvl>
    <w:lvl w:ilvl="8" w:tplc="CEF62C3E">
      <w:numFmt w:val="decimal"/>
      <w:lvlText w:val=""/>
      <w:lvlJc w:val="left"/>
    </w:lvl>
  </w:abstractNum>
  <w:abstractNum w:abstractNumId="635" w15:restartNumberingAfterBreak="0">
    <w:nsid w:val="42492BD2"/>
    <w:multiLevelType w:val="hybridMultilevel"/>
    <w:tmpl w:val="A34E7458"/>
    <w:lvl w:ilvl="0" w:tplc="DCDED268">
      <w:start w:val="1"/>
      <w:numFmt w:val="bullet"/>
      <w:lvlText w:val=""/>
      <w:lvlJc w:val="left"/>
      <w:pPr>
        <w:ind w:left="720" w:hanging="360"/>
      </w:pPr>
      <w:rPr>
        <w:rFonts w:ascii="Symbol" w:hAnsi="Symbol" w:hint="default"/>
      </w:rPr>
    </w:lvl>
    <w:lvl w:ilvl="1" w:tplc="5686EDE8">
      <w:numFmt w:val="decimal"/>
      <w:lvlText w:val=""/>
      <w:lvlJc w:val="left"/>
    </w:lvl>
    <w:lvl w:ilvl="2" w:tplc="5C78DBDA">
      <w:numFmt w:val="decimal"/>
      <w:lvlText w:val=""/>
      <w:lvlJc w:val="left"/>
    </w:lvl>
    <w:lvl w:ilvl="3" w:tplc="F8BE28EA">
      <w:numFmt w:val="decimal"/>
      <w:lvlText w:val=""/>
      <w:lvlJc w:val="left"/>
    </w:lvl>
    <w:lvl w:ilvl="4" w:tplc="E4925278">
      <w:numFmt w:val="decimal"/>
      <w:lvlText w:val=""/>
      <w:lvlJc w:val="left"/>
    </w:lvl>
    <w:lvl w:ilvl="5" w:tplc="46D24562">
      <w:numFmt w:val="decimal"/>
      <w:lvlText w:val=""/>
      <w:lvlJc w:val="left"/>
    </w:lvl>
    <w:lvl w:ilvl="6" w:tplc="44EEC8C6">
      <w:numFmt w:val="decimal"/>
      <w:lvlText w:val=""/>
      <w:lvlJc w:val="left"/>
    </w:lvl>
    <w:lvl w:ilvl="7" w:tplc="ED8A6A5E">
      <w:numFmt w:val="decimal"/>
      <w:lvlText w:val=""/>
      <w:lvlJc w:val="left"/>
    </w:lvl>
    <w:lvl w:ilvl="8" w:tplc="26E46D84">
      <w:numFmt w:val="decimal"/>
      <w:lvlText w:val=""/>
      <w:lvlJc w:val="left"/>
    </w:lvl>
  </w:abstractNum>
  <w:abstractNum w:abstractNumId="636" w15:restartNumberingAfterBreak="0">
    <w:nsid w:val="425C0BC0"/>
    <w:multiLevelType w:val="hybridMultilevel"/>
    <w:tmpl w:val="0C661E2C"/>
    <w:lvl w:ilvl="0" w:tplc="C324E05C">
      <w:start w:val="1"/>
      <w:numFmt w:val="bullet"/>
      <w:lvlText w:val=""/>
      <w:lvlJc w:val="left"/>
      <w:pPr>
        <w:ind w:left="720" w:hanging="360"/>
      </w:pPr>
      <w:rPr>
        <w:rFonts w:ascii="Symbol" w:hAnsi="Symbol" w:hint="default"/>
      </w:rPr>
    </w:lvl>
    <w:lvl w:ilvl="1" w:tplc="D3D677BA">
      <w:numFmt w:val="decimal"/>
      <w:lvlText w:val=""/>
      <w:lvlJc w:val="left"/>
    </w:lvl>
    <w:lvl w:ilvl="2" w:tplc="A0869CD8">
      <w:numFmt w:val="decimal"/>
      <w:lvlText w:val=""/>
      <w:lvlJc w:val="left"/>
    </w:lvl>
    <w:lvl w:ilvl="3" w:tplc="774E6A96">
      <w:numFmt w:val="decimal"/>
      <w:lvlText w:val=""/>
      <w:lvlJc w:val="left"/>
    </w:lvl>
    <w:lvl w:ilvl="4" w:tplc="80C6A400">
      <w:numFmt w:val="decimal"/>
      <w:lvlText w:val=""/>
      <w:lvlJc w:val="left"/>
    </w:lvl>
    <w:lvl w:ilvl="5" w:tplc="27984B3E">
      <w:numFmt w:val="decimal"/>
      <w:lvlText w:val=""/>
      <w:lvlJc w:val="left"/>
    </w:lvl>
    <w:lvl w:ilvl="6" w:tplc="F692CF7C">
      <w:numFmt w:val="decimal"/>
      <w:lvlText w:val=""/>
      <w:lvlJc w:val="left"/>
    </w:lvl>
    <w:lvl w:ilvl="7" w:tplc="6060B204">
      <w:numFmt w:val="decimal"/>
      <w:lvlText w:val=""/>
      <w:lvlJc w:val="left"/>
    </w:lvl>
    <w:lvl w:ilvl="8" w:tplc="F768E03E">
      <w:numFmt w:val="decimal"/>
      <w:lvlText w:val=""/>
      <w:lvlJc w:val="left"/>
    </w:lvl>
  </w:abstractNum>
  <w:abstractNum w:abstractNumId="637" w15:restartNumberingAfterBreak="0">
    <w:nsid w:val="425D3A07"/>
    <w:multiLevelType w:val="hybridMultilevel"/>
    <w:tmpl w:val="B840FFF2"/>
    <w:lvl w:ilvl="0" w:tplc="88827D4A">
      <w:start w:val="1"/>
      <w:numFmt w:val="bullet"/>
      <w:lvlText w:val=""/>
      <w:lvlJc w:val="left"/>
      <w:pPr>
        <w:ind w:left="720" w:hanging="360"/>
      </w:pPr>
      <w:rPr>
        <w:rFonts w:ascii="Symbol" w:hAnsi="Symbol" w:hint="default"/>
      </w:rPr>
    </w:lvl>
    <w:lvl w:ilvl="1" w:tplc="F104DD08">
      <w:numFmt w:val="decimal"/>
      <w:lvlText w:val=""/>
      <w:lvlJc w:val="left"/>
    </w:lvl>
    <w:lvl w:ilvl="2" w:tplc="1024A4E8">
      <w:numFmt w:val="decimal"/>
      <w:lvlText w:val=""/>
      <w:lvlJc w:val="left"/>
    </w:lvl>
    <w:lvl w:ilvl="3" w:tplc="050E5E9E">
      <w:numFmt w:val="decimal"/>
      <w:lvlText w:val=""/>
      <w:lvlJc w:val="left"/>
    </w:lvl>
    <w:lvl w:ilvl="4" w:tplc="66AC5E12">
      <w:numFmt w:val="decimal"/>
      <w:lvlText w:val=""/>
      <w:lvlJc w:val="left"/>
    </w:lvl>
    <w:lvl w:ilvl="5" w:tplc="6CF692FC">
      <w:numFmt w:val="decimal"/>
      <w:lvlText w:val=""/>
      <w:lvlJc w:val="left"/>
    </w:lvl>
    <w:lvl w:ilvl="6" w:tplc="35B6E82E">
      <w:numFmt w:val="decimal"/>
      <w:lvlText w:val=""/>
      <w:lvlJc w:val="left"/>
    </w:lvl>
    <w:lvl w:ilvl="7" w:tplc="E6A26CB4">
      <w:numFmt w:val="decimal"/>
      <w:lvlText w:val=""/>
      <w:lvlJc w:val="left"/>
    </w:lvl>
    <w:lvl w:ilvl="8" w:tplc="A0D22F0E">
      <w:numFmt w:val="decimal"/>
      <w:lvlText w:val=""/>
      <w:lvlJc w:val="left"/>
    </w:lvl>
  </w:abstractNum>
  <w:abstractNum w:abstractNumId="638" w15:restartNumberingAfterBreak="0">
    <w:nsid w:val="42631CF7"/>
    <w:multiLevelType w:val="hybridMultilevel"/>
    <w:tmpl w:val="BEDA47B8"/>
    <w:lvl w:ilvl="0" w:tplc="BECAD140">
      <w:start w:val="1"/>
      <w:numFmt w:val="bullet"/>
      <w:lvlText w:val=""/>
      <w:lvlJc w:val="left"/>
      <w:pPr>
        <w:ind w:left="720" w:hanging="360"/>
      </w:pPr>
      <w:rPr>
        <w:rFonts w:ascii="Symbol" w:hAnsi="Symbol" w:hint="default"/>
      </w:rPr>
    </w:lvl>
    <w:lvl w:ilvl="1" w:tplc="1730E7EA">
      <w:numFmt w:val="decimal"/>
      <w:lvlText w:val=""/>
      <w:lvlJc w:val="left"/>
    </w:lvl>
    <w:lvl w:ilvl="2" w:tplc="93828296">
      <w:numFmt w:val="decimal"/>
      <w:lvlText w:val=""/>
      <w:lvlJc w:val="left"/>
    </w:lvl>
    <w:lvl w:ilvl="3" w:tplc="5CD6DC8A">
      <w:numFmt w:val="decimal"/>
      <w:lvlText w:val=""/>
      <w:lvlJc w:val="left"/>
    </w:lvl>
    <w:lvl w:ilvl="4" w:tplc="5D9A70E0">
      <w:numFmt w:val="decimal"/>
      <w:lvlText w:val=""/>
      <w:lvlJc w:val="left"/>
    </w:lvl>
    <w:lvl w:ilvl="5" w:tplc="B06EF894">
      <w:numFmt w:val="decimal"/>
      <w:lvlText w:val=""/>
      <w:lvlJc w:val="left"/>
    </w:lvl>
    <w:lvl w:ilvl="6" w:tplc="04DCD0BC">
      <w:numFmt w:val="decimal"/>
      <w:lvlText w:val=""/>
      <w:lvlJc w:val="left"/>
    </w:lvl>
    <w:lvl w:ilvl="7" w:tplc="6DD85C5A">
      <w:numFmt w:val="decimal"/>
      <w:lvlText w:val=""/>
      <w:lvlJc w:val="left"/>
    </w:lvl>
    <w:lvl w:ilvl="8" w:tplc="84506F98">
      <w:numFmt w:val="decimal"/>
      <w:lvlText w:val=""/>
      <w:lvlJc w:val="left"/>
    </w:lvl>
  </w:abstractNum>
  <w:abstractNum w:abstractNumId="639" w15:restartNumberingAfterBreak="0">
    <w:nsid w:val="427071BE"/>
    <w:multiLevelType w:val="hybridMultilevel"/>
    <w:tmpl w:val="C4F0A264"/>
    <w:lvl w:ilvl="0" w:tplc="506CB7A4">
      <w:start w:val="1"/>
      <w:numFmt w:val="bullet"/>
      <w:lvlText w:val=""/>
      <w:lvlJc w:val="left"/>
      <w:pPr>
        <w:ind w:left="720" w:hanging="360"/>
      </w:pPr>
      <w:rPr>
        <w:rFonts w:ascii="Symbol" w:hAnsi="Symbol" w:hint="default"/>
      </w:rPr>
    </w:lvl>
    <w:lvl w:ilvl="1" w:tplc="8A6A75D2">
      <w:numFmt w:val="decimal"/>
      <w:lvlText w:val=""/>
      <w:lvlJc w:val="left"/>
    </w:lvl>
    <w:lvl w:ilvl="2" w:tplc="7618E2CE">
      <w:numFmt w:val="decimal"/>
      <w:lvlText w:val=""/>
      <w:lvlJc w:val="left"/>
    </w:lvl>
    <w:lvl w:ilvl="3" w:tplc="B664D1EC">
      <w:numFmt w:val="decimal"/>
      <w:lvlText w:val=""/>
      <w:lvlJc w:val="left"/>
    </w:lvl>
    <w:lvl w:ilvl="4" w:tplc="08784E94">
      <w:numFmt w:val="decimal"/>
      <w:lvlText w:val=""/>
      <w:lvlJc w:val="left"/>
    </w:lvl>
    <w:lvl w:ilvl="5" w:tplc="E38E743E">
      <w:numFmt w:val="decimal"/>
      <w:lvlText w:val=""/>
      <w:lvlJc w:val="left"/>
    </w:lvl>
    <w:lvl w:ilvl="6" w:tplc="DAE4E4C4">
      <w:numFmt w:val="decimal"/>
      <w:lvlText w:val=""/>
      <w:lvlJc w:val="left"/>
    </w:lvl>
    <w:lvl w:ilvl="7" w:tplc="DD047EEE">
      <w:numFmt w:val="decimal"/>
      <w:lvlText w:val=""/>
      <w:lvlJc w:val="left"/>
    </w:lvl>
    <w:lvl w:ilvl="8" w:tplc="D4160466">
      <w:numFmt w:val="decimal"/>
      <w:lvlText w:val=""/>
      <w:lvlJc w:val="left"/>
    </w:lvl>
  </w:abstractNum>
  <w:abstractNum w:abstractNumId="640" w15:restartNumberingAfterBreak="0">
    <w:nsid w:val="42810D6B"/>
    <w:multiLevelType w:val="hybridMultilevel"/>
    <w:tmpl w:val="0062EBCE"/>
    <w:lvl w:ilvl="0" w:tplc="D10E8084">
      <w:start w:val="1"/>
      <w:numFmt w:val="bullet"/>
      <w:lvlText w:val=""/>
      <w:lvlJc w:val="left"/>
      <w:pPr>
        <w:ind w:left="720" w:hanging="360"/>
      </w:pPr>
      <w:rPr>
        <w:rFonts w:ascii="Symbol" w:hAnsi="Symbol" w:hint="default"/>
      </w:rPr>
    </w:lvl>
    <w:lvl w:ilvl="1" w:tplc="F0AA515E">
      <w:numFmt w:val="decimal"/>
      <w:lvlText w:val=""/>
      <w:lvlJc w:val="left"/>
    </w:lvl>
    <w:lvl w:ilvl="2" w:tplc="D2CC9C7C">
      <w:numFmt w:val="decimal"/>
      <w:lvlText w:val=""/>
      <w:lvlJc w:val="left"/>
    </w:lvl>
    <w:lvl w:ilvl="3" w:tplc="B080927A">
      <w:numFmt w:val="decimal"/>
      <w:lvlText w:val=""/>
      <w:lvlJc w:val="left"/>
    </w:lvl>
    <w:lvl w:ilvl="4" w:tplc="BD4C9C1E">
      <w:numFmt w:val="decimal"/>
      <w:lvlText w:val=""/>
      <w:lvlJc w:val="left"/>
    </w:lvl>
    <w:lvl w:ilvl="5" w:tplc="9F8A0A3E">
      <w:numFmt w:val="decimal"/>
      <w:lvlText w:val=""/>
      <w:lvlJc w:val="left"/>
    </w:lvl>
    <w:lvl w:ilvl="6" w:tplc="391C5276">
      <w:numFmt w:val="decimal"/>
      <w:lvlText w:val=""/>
      <w:lvlJc w:val="left"/>
    </w:lvl>
    <w:lvl w:ilvl="7" w:tplc="0F00E2BE">
      <w:numFmt w:val="decimal"/>
      <w:lvlText w:val=""/>
      <w:lvlJc w:val="left"/>
    </w:lvl>
    <w:lvl w:ilvl="8" w:tplc="3320AC00">
      <w:numFmt w:val="decimal"/>
      <w:lvlText w:val=""/>
      <w:lvlJc w:val="left"/>
    </w:lvl>
  </w:abstractNum>
  <w:abstractNum w:abstractNumId="641" w15:restartNumberingAfterBreak="0">
    <w:nsid w:val="42B71879"/>
    <w:multiLevelType w:val="hybridMultilevel"/>
    <w:tmpl w:val="3D7AF16E"/>
    <w:lvl w:ilvl="0" w:tplc="C6761CDE">
      <w:start w:val="1"/>
      <w:numFmt w:val="bullet"/>
      <w:lvlText w:val=""/>
      <w:lvlJc w:val="left"/>
      <w:pPr>
        <w:ind w:left="720" w:hanging="360"/>
      </w:pPr>
      <w:rPr>
        <w:rFonts w:ascii="Symbol" w:hAnsi="Symbol" w:hint="default"/>
      </w:rPr>
    </w:lvl>
    <w:lvl w:ilvl="1" w:tplc="FB2E985A">
      <w:numFmt w:val="decimal"/>
      <w:lvlText w:val=""/>
      <w:lvlJc w:val="left"/>
    </w:lvl>
    <w:lvl w:ilvl="2" w:tplc="423A04E0">
      <w:numFmt w:val="decimal"/>
      <w:lvlText w:val=""/>
      <w:lvlJc w:val="left"/>
    </w:lvl>
    <w:lvl w:ilvl="3" w:tplc="840E6DE2">
      <w:numFmt w:val="decimal"/>
      <w:lvlText w:val=""/>
      <w:lvlJc w:val="left"/>
    </w:lvl>
    <w:lvl w:ilvl="4" w:tplc="DF8457DA">
      <w:numFmt w:val="decimal"/>
      <w:lvlText w:val=""/>
      <w:lvlJc w:val="left"/>
    </w:lvl>
    <w:lvl w:ilvl="5" w:tplc="D2A20928">
      <w:numFmt w:val="decimal"/>
      <w:lvlText w:val=""/>
      <w:lvlJc w:val="left"/>
    </w:lvl>
    <w:lvl w:ilvl="6" w:tplc="AB709366">
      <w:numFmt w:val="decimal"/>
      <w:lvlText w:val=""/>
      <w:lvlJc w:val="left"/>
    </w:lvl>
    <w:lvl w:ilvl="7" w:tplc="32A4244C">
      <w:numFmt w:val="decimal"/>
      <w:lvlText w:val=""/>
      <w:lvlJc w:val="left"/>
    </w:lvl>
    <w:lvl w:ilvl="8" w:tplc="FC56201C">
      <w:numFmt w:val="decimal"/>
      <w:lvlText w:val=""/>
      <w:lvlJc w:val="left"/>
    </w:lvl>
  </w:abstractNum>
  <w:abstractNum w:abstractNumId="642" w15:restartNumberingAfterBreak="0">
    <w:nsid w:val="42DC2631"/>
    <w:multiLevelType w:val="hybridMultilevel"/>
    <w:tmpl w:val="C08C4AFA"/>
    <w:lvl w:ilvl="0" w:tplc="A670930A">
      <w:start w:val="1"/>
      <w:numFmt w:val="bullet"/>
      <w:lvlText w:val=""/>
      <w:lvlJc w:val="left"/>
      <w:pPr>
        <w:ind w:left="720" w:hanging="360"/>
      </w:pPr>
      <w:rPr>
        <w:rFonts w:ascii="Symbol" w:hAnsi="Symbol" w:hint="default"/>
      </w:rPr>
    </w:lvl>
    <w:lvl w:ilvl="1" w:tplc="75D85F18">
      <w:numFmt w:val="decimal"/>
      <w:lvlText w:val=""/>
      <w:lvlJc w:val="left"/>
    </w:lvl>
    <w:lvl w:ilvl="2" w:tplc="6F127DD6">
      <w:numFmt w:val="decimal"/>
      <w:lvlText w:val=""/>
      <w:lvlJc w:val="left"/>
    </w:lvl>
    <w:lvl w:ilvl="3" w:tplc="F3C0C90E">
      <w:numFmt w:val="decimal"/>
      <w:lvlText w:val=""/>
      <w:lvlJc w:val="left"/>
    </w:lvl>
    <w:lvl w:ilvl="4" w:tplc="912CBBCE">
      <w:numFmt w:val="decimal"/>
      <w:lvlText w:val=""/>
      <w:lvlJc w:val="left"/>
    </w:lvl>
    <w:lvl w:ilvl="5" w:tplc="66B4937A">
      <w:numFmt w:val="decimal"/>
      <w:lvlText w:val=""/>
      <w:lvlJc w:val="left"/>
    </w:lvl>
    <w:lvl w:ilvl="6" w:tplc="16F6504C">
      <w:numFmt w:val="decimal"/>
      <w:lvlText w:val=""/>
      <w:lvlJc w:val="left"/>
    </w:lvl>
    <w:lvl w:ilvl="7" w:tplc="C9680FD4">
      <w:numFmt w:val="decimal"/>
      <w:lvlText w:val=""/>
      <w:lvlJc w:val="left"/>
    </w:lvl>
    <w:lvl w:ilvl="8" w:tplc="87BA5F62">
      <w:numFmt w:val="decimal"/>
      <w:lvlText w:val=""/>
      <w:lvlJc w:val="left"/>
    </w:lvl>
  </w:abstractNum>
  <w:abstractNum w:abstractNumId="643" w15:restartNumberingAfterBreak="0">
    <w:nsid w:val="42E87265"/>
    <w:multiLevelType w:val="hybridMultilevel"/>
    <w:tmpl w:val="B9C8CC22"/>
    <w:lvl w:ilvl="0" w:tplc="E6F2690C">
      <w:start w:val="1"/>
      <w:numFmt w:val="bullet"/>
      <w:lvlText w:val=""/>
      <w:lvlJc w:val="left"/>
      <w:pPr>
        <w:ind w:left="720" w:hanging="360"/>
      </w:pPr>
      <w:rPr>
        <w:rFonts w:ascii="Symbol" w:hAnsi="Symbol" w:hint="default"/>
      </w:rPr>
    </w:lvl>
    <w:lvl w:ilvl="1" w:tplc="79845EDE">
      <w:numFmt w:val="decimal"/>
      <w:lvlText w:val=""/>
      <w:lvlJc w:val="left"/>
    </w:lvl>
    <w:lvl w:ilvl="2" w:tplc="F1F62102">
      <w:numFmt w:val="decimal"/>
      <w:lvlText w:val=""/>
      <w:lvlJc w:val="left"/>
    </w:lvl>
    <w:lvl w:ilvl="3" w:tplc="B95C7900">
      <w:numFmt w:val="decimal"/>
      <w:lvlText w:val=""/>
      <w:lvlJc w:val="left"/>
    </w:lvl>
    <w:lvl w:ilvl="4" w:tplc="921E1132">
      <w:numFmt w:val="decimal"/>
      <w:lvlText w:val=""/>
      <w:lvlJc w:val="left"/>
    </w:lvl>
    <w:lvl w:ilvl="5" w:tplc="3104C2B0">
      <w:numFmt w:val="decimal"/>
      <w:lvlText w:val=""/>
      <w:lvlJc w:val="left"/>
    </w:lvl>
    <w:lvl w:ilvl="6" w:tplc="4D02DE42">
      <w:numFmt w:val="decimal"/>
      <w:lvlText w:val=""/>
      <w:lvlJc w:val="left"/>
    </w:lvl>
    <w:lvl w:ilvl="7" w:tplc="31B42BD0">
      <w:numFmt w:val="decimal"/>
      <w:lvlText w:val=""/>
      <w:lvlJc w:val="left"/>
    </w:lvl>
    <w:lvl w:ilvl="8" w:tplc="0DEA49D8">
      <w:numFmt w:val="decimal"/>
      <w:lvlText w:val=""/>
      <w:lvlJc w:val="left"/>
    </w:lvl>
  </w:abstractNum>
  <w:abstractNum w:abstractNumId="644" w15:restartNumberingAfterBreak="0">
    <w:nsid w:val="43264D63"/>
    <w:multiLevelType w:val="hybridMultilevel"/>
    <w:tmpl w:val="2D3832AE"/>
    <w:lvl w:ilvl="0" w:tplc="B4BAFAF2">
      <w:start w:val="1"/>
      <w:numFmt w:val="bullet"/>
      <w:lvlText w:val=""/>
      <w:lvlJc w:val="left"/>
      <w:pPr>
        <w:ind w:left="720" w:hanging="360"/>
      </w:pPr>
      <w:rPr>
        <w:rFonts w:ascii="Symbol" w:hAnsi="Symbol" w:hint="default"/>
      </w:rPr>
    </w:lvl>
    <w:lvl w:ilvl="1" w:tplc="B15A3C4E">
      <w:numFmt w:val="decimal"/>
      <w:lvlText w:val=""/>
      <w:lvlJc w:val="left"/>
    </w:lvl>
    <w:lvl w:ilvl="2" w:tplc="D82EDA28">
      <w:numFmt w:val="decimal"/>
      <w:lvlText w:val=""/>
      <w:lvlJc w:val="left"/>
    </w:lvl>
    <w:lvl w:ilvl="3" w:tplc="CE286A26">
      <w:numFmt w:val="decimal"/>
      <w:lvlText w:val=""/>
      <w:lvlJc w:val="left"/>
    </w:lvl>
    <w:lvl w:ilvl="4" w:tplc="94227D68">
      <w:numFmt w:val="decimal"/>
      <w:lvlText w:val=""/>
      <w:lvlJc w:val="left"/>
    </w:lvl>
    <w:lvl w:ilvl="5" w:tplc="6128D0D4">
      <w:numFmt w:val="decimal"/>
      <w:lvlText w:val=""/>
      <w:lvlJc w:val="left"/>
    </w:lvl>
    <w:lvl w:ilvl="6" w:tplc="F50C6196">
      <w:numFmt w:val="decimal"/>
      <w:lvlText w:val=""/>
      <w:lvlJc w:val="left"/>
    </w:lvl>
    <w:lvl w:ilvl="7" w:tplc="1B9EEECE">
      <w:numFmt w:val="decimal"/>
      <w:lvlText w:val=""/>
      <w:lvlJc w:val="left"/>
    </w:lvl>
    <w:lvl w:ilvl="8" w:tplc="1E10A5FE">
      <w:numFmt w:val="decimal"/>
      <w:lvlText w:val=""/>
      <w:lvlJc w:val="left"/>
    </w:lvl>
  </w:abstractNum>
  <w:abstractNum w:abstractNumId="645" w15:restartNumberingAfterBreak="0">
    <w:nsid w:val="43473530"/>
    <w:multiLevelType w:val="hybridMultilevel"/>
    <w:tmpl w:val="4476C2A2"/>
    <w:lvl w:ilvl="0" w:tplc="6B344102">
      <w:start w:val="1"/>
      <w:numFmt w:val="bullet"/>
      <w:lvlText w:val=""/>
      <w:lvlJc w:val="left"/>
      <w:pPr>
        <w:ind w:left="720" w:hanging="360"/>
      </w:pPr>
      <w:rPr>
        <w:rFonts w:ascii="Symbol" w:hAnsi="Symbol" w:hint="default"/>
      </w:rPr>
    </w:lvl>
    <w:lvl w:ilvl="1" w:tplc="7F58C6C4">
      <w:numFmt w:val="decimal"/>
      <w:lvlText w:val=""/>
      <w:lvlJc w:val="left"/>
    </w:lvl>
    <w:lvl w:ilvl="2" w:tplc="FC9A320A">
      <w:numFmt w:val="decimal"/>
      <w:lvlText w:val=""/>
      <w:lvlJc w:val="left"/>
    </w:lvl>
    <w:lvl w:ilvl="3" w:tplc="221AB106">
      <w:numFmt w:val="decimal"/>
      <w:lvlText w:val=""/>
      <w:lvlJc w:val="left"/>
    </w:lvl>
    <w:lvl w:ilvl="4" w:tplc="9E92B97E">
      <w:numFmt w:val="decimal"/>
      <w:lvlText w:val=""/>
      <w:lvlJc w:val="left"/>
    </w:lvl>
    <w:lvl w:ilvl="5" w:tplc="85BABE84">
      <w:numFmt w:val="decimal"/>
      <w:lvlText w:val=""/>
      <w:lvlJc w:val="left"/>
    </w:lvl>
    <w:lvl w:ilvl="6" w:tplc="42DEC032">
      <w:numFmt w:val="decimal"/>
      <w:lvlText w:val=""/>
      <w:lvlJc w:val="left"/>
    </w:lvl>
    <w:lvl w:ilvl="7" w:tplc="BA52963A">
      <w:numFmt w:val="decimal"/>
      <w:lvlText w:val=""/>
      <w:lvlJc w:val="left"/>
    </w:lvl>
    <w:lvl w:ilvl="8" w:tplc="CF7C47EA">
      <w:numFmt w:val="decimal"/>
      <w:lvlText w:val=""/>
      <w:lvlJc w:val="left"/>
    </w:lvl>
  </w:abstractNum>
  <w:abstractNum w:abstractNumId="646" w15:restartNumberingAfterBreak="0">
    <w:nsid w:val="434A26F4"/>
    <w:multiLevelType w:val="hybridMultilevel"/>
    <w:tmpl w:val="39E45942"/>
    <w:lvl w:ilvl="0" w:tplc="CE3C8DD0">
      <w:start w:val="1"/>
      <w:numFmt w:val="bullet"/>
      <w:lvlText w:val=""/>
      <w:lvlJc w:val="left"/>
      <w:pPr>
        <w:ind w:left="720" w:hanging="360"/>
      </w:pPr>
      <w:rPr>
        <w:rFonts w:ascii="Symbol" w:hAnsi="Symbol" w:hint="default"/>
      </w:rPr>
    </w:lvl>
    <w:lvl w:ilvl="1" w:tplc="E918C3CC">
      <w:numFmt w:val="decimal"/>
      <w:lvlText w:val=""/>
      <w:lvlJc w:val="left"/>
    </w:lvl>
    <w:lvl w:ilvl="2" w:tplc="02B08880">
      <w:numFmt w:val="decimal"/>
      <w:lvlText w:val=""/>
      <w:lvlJc w:val="left"/>
    </w:lvl>
    <w:lvl w:ilvl="3" w:tplc="05B4350E">
      <w:numFmt w:val="decimal"/>
      <w:lvlText w:val=""/>
      <w:lvlJc w:val="left"/>
    </w:lvl>
    <w:lvl w:ilvl="4" w:tplc="B0D2F53E">
      <w:numFmt w:val="decimal"/>
      <w:lvlText w:val=""/>
      <w:lvlJc w:val="left"/>
    </w:lvl>
    <w:lvl w:ilvl="5" w:tplc="FF8C21D8">
      <w:numFmt w:val="decimal"/>
      <w:lvlText w:val=""/>
      <w:lvlJc w:val="left"/>
    </w:lvl>
    <w:lvl w:ilvl="6" w:tplc="B95A361E">
      <w:numFmt w:val="decimal"/>
      <w:lvlText w:val=""/>
      <w:lvlJc w:val="left"/>
    </w:lvl>
    <w:lvl w:ilvl="7" w:tplc="6C8811AE">
      <w:numFmt w:val="decimal"/>
      <w:lvlText w:val=""/>
      <w:lvlJc w:val="left"/>
    </w:lvl>
    <w:lvl w:ilvl="8" w:tplc="A90E30E6">
      <w:numFmt w:val="decimal"/>
      <w:lvlText w:val=""/>
      <w:lvlJc w:val="left"/>
    </w:lvl>
  </w:abstractNum>
  <w:abstractNum w:abstractNumId="647" w15:restartNumberingAfterBreak="0">
    <w:nsid w:val="43501540"/>
    <w:multiLevelType w:val="hybridMultilevel"/>
    <w:tmpl w:val="F77E34C0"/>
    <w:lvl w:ilvl="0" w:tplc="2928588A">
      <w:start w:val="1"/>
      <w:numFmt w:val="bullet"/>
      <w:lvlText w:val=""/>
      <w:lvlJc w:val="left"/>
      <w:pPr>
        <w:ind w:left="720" w:hanging="360"/>
      </w:pPr>
      <w:rPr>
        <w:rFonts w:ascii="Symbol" w:hAnsi="Symbol" w:hint="default"/>
      </w:rPr>
    </w:lvl>
    <w:lvl w:ilvl="1" w:tplc="370AD59E">
      <w:numFmt w:val="decimal"/>
      <w:lvlText w:val=""/>
      <w:lvlJc w:val="left"/>
    </w:lvl>
    <w:lvl w:ilvl="2" w:tplc="A76C7706">
      <w:numFmt w:val="decimal"/>
      <w:lvlText w:val=""/>
      <w:lvlJc w:val="left"/>
    </w:lvl>
    <w:lvl w:ilvl="3" w:tplc="B734C69A">
      <w:numFmt w:val="decimal"/>
      <w:lvlText w:val=""/>
      <w:lvlJc w:val="left"/>
    </w:lvl>
    <w:lvl w:ilvl="4" w:tplc="7492745E">
      <w:numFmt w:val="decimal"/>
      <w:lvlText w:val=""/>
      <w:lvlJc w:val="left"/>
    </w:lvl>
    <w:lvl w:ilvl="5" w:tplc="DCC654BA">
      <w:numFmt w:val="decimal"/>
      <w:lvlText w:val=""/>
      <w:lvlJc w:val="left"/>
    </w:lvl>
    <w:lvl w:ilvl="6" w:tplc="DF3CA34C">
      <w:numFmt w:val="decimal"/>
      <w:lvlText w:val=""/>
      <w:lvlJc w:val="left"/>
    </w:lvl>
    <w:lvl w:ilvl="7" w:tplc="0380AE40">
      <w:numFmt w:val="decimal"/>
      <w:lvlText w:val=""/>
      <w:lvlJc w:val="left"/>
    </w:lvl>
    <w:lvl w:ilvl="8" w:tplc="6562DC1E">
      <w:numFmt w:val="decimal"/>
      <w:lvlText w:val=""/>
      <w:lvlJc w:val="left"/>
    </w:lvl>
  </w:abstractNum>
  <w:abstractNum w:abstractNumId="648" w15:restartNumberingAfterBreak="0">
    <w:nsid w:val="4356076B"/>
    <w:multiLevelType w:val="hybridMultilevel"/>
    <w:tmpl w:val="9E9424C0"/>
    <w:lvl w:ilvl="0" w:tplc="3D96194E">
      <w:start w:val="1"/>
      <w:numFmt w:val="bullet"/>
      <w:lvlText w:val=""/>
      <w:lvlJc w:val="left"/>
      <w:pPr>
        <w:ind w:left="720" w:hanging="360"/>
      </w:pPr>
      <w:rPr>
        <w:rFonts w:ascii="Symbol" w:hAnsi="Symbol" w:hint="default"/>
      </w:rPr>
    </w:lvl>
    <w:lvl w:ilvl="1" w:tplc="27C88996">
      <w:numFmt w:val="decimal"/>
      <w:lvlText w:val=""/>
      <w:lvlJc w:val="left"/>
    </w:lvl>
    <w:lvl w:ilvl="2" w:tplc="BB982576">
      <w:numFmt w:val="decimal"/>
      <w:lvlText w:val=""/>
      <w:lvlJc w:val="left"/>
    </w:lvl>
    <w:lvl w:ilvl="3" w:tplc="6BC8693A">
      <w:numFmt w:val="decimal"/>
      <w:lvlText w:val=""/>
      <w:lvlJc w:val="left"/>
    </w:lvl>
    <w:lvl w:ilvl="4" w:tplc="6852AE6E">
      <w:numFmt w:val="decimal"/>
      <w:lvlText w:val=""/>
      <w:lvlJc w:val="left"/>
    </w:lvl>
    <w:lvl w:ilvl="5" w:tplc="603AFE7C">
      <w:numFmt w:val="decimal"/>
      <w:lvlText w:val=""/>
      <w:lvlJc w:val="left"/>
    </w:lvl>
    <w:lvl w:ilvl="6" w:tplc="A7784ABC">
      <w:numFmt w:val="decimal"/>
      <w:lvlText w:val=""/>
      <w:lvlJc w:val="left"/>
    </w:lvl>
    <w:lvl w:ilvl="7" w:tplc="9B964CE2">
      <w:numFmt w:val="decimal"/>
      <w:lvlText w:val=""/>
      <w:lvlJc w:val="left"/>
    </w:lvl>
    <w:lvl w:ilvl="8" w:tplc="CE3A29C8">
      <w:numFmt w:val="decimal"/>
      <w:lvlText w:val=""/>
      <w:lvlJc w:val="left"/>
    </w:lvl>
  </w:abstractNum>
  <w:abstractNum w:abstractNumId="649" w15:restartNumberingAfterBreak="0">
    <w:nsid w:val="435E40C8"/>
    <w:multiLevelType w:val="hybridMultilevel"/>
    <w:tmpl w:val="E2465D1C"/>
    <w:lvl w:ilvl="0" w:tplc="566CE17C">
      <w:start w:val="1"/>
      <w:numFmt w:val="bullet"/>
      <w:lvlText w:val=""/>
      <w:lvlJc w:val="left"/>
      <w:pPr>
        <w:ind w:left="720" w:hanging="360"/>
      </w:pPr>
      <w:rPr>
        <w:rFonts w:ascii="Symbol" w:hAnsi="Symbol" w:hint="default"/>
      </w:rPr>
    </w:lvl>
    <w:lvl w:ilvl="1" w:tplc="036EFC98">
      <w:numFmt w:val="decimal"/>
      <w:lvlText w:val=""/>
      <w:lvlJc w:val="left"/>
    </w:lvl>
    <w:lvl w:ilvl="2" w:tplc="FC387BD4">
      <w:numFmt w:val="decimal"/>
      <w:lvlText w:val=""/>
      <w:lvlJc w:val="left"/>
    </w:lvl>
    <w:lvl w:ilvl="3" w:tplc="F28A4788">
      <w:numFmt w:val="decimal"/>
      <w:lvlText w:val=""/>
      <w:lvlJc w:val="left"/>
    </w:lvl>
    <w:lvl w:ilvl="4" w:tplc="81C61D86">
      <w:numFmt w:val="decimal"/>
      <w:lvlText w:val=""/>
      <w:lvlJc w:val="left"/>
    </w:lvl>
    <w:lvl w:ilvl="5" w:tplc="24A2B7BE">
      <w:numFmt w:val="decimal"/>
      <w:lvlText w:val=""/>
      <w:lvlJc w:val="left"/>
    </w:lvl>
    <w:lvl w:ilvl="6" w:tplc="837834F4">
      <w:numFmt w:val="decimal"/>
      <w:lvlText w:val=""/>
      <w:lvlJc w:val="left"/>
    </w:lvl>
    <w:lvl w:ilvl="7" w:tplc="066CBE2A">
      <w:numFmt w:val="decimal"/>
      <w:lvlText w:val=""/>
      <w:lvlJc w:val="left"/>
    </w:lvl>
    <w:lvl w:ilvl="8" w:tplc="EE7CA1EE">
      <w:numFmt w:val="decimal"/>
      <w:lvlText w:val=""/>
      <w:lvlJc w:val="left"/>
    </w:lvl>
  </w:abstractNum>
  <w:abstractNum w:abstractNumId="650" w15:restartNumberingAfterBreak="0">
    <w:nsid w:val="43891FD0"/>
    <w:multiLevelType w:val="hybridMultilevel"/>
    <w:tmpl w:val="4E80F40E"/>
    <w:lvl w:ilvl="0" w:tplc="585E7398">
      <w:numFmt w:val="decimal"/>
      <w:lvlText w:val=""/>
      <w:lvlJc w:val="left"/>
    </w:lvl>
    <w:lvl w:ilvl="1" w:tplc="1572002E">
      <w:start w:val="1"/>
      <w:numFmt w:val="bullet"/>
      <w:lvlText w:val=""/>
      <w:lvlJc w:val="left"/>
      <w:pPr>
        <w:ind w:left="1440" w:hanging="360"/>
      </w:pPr>
      <w:rPr>
        <w:rFonts w:ascii="Symbol" w:hAnsi="Symbol" w:hint="default"/>
      </w:rPr>
    </w:lvl>
    <w:lvl w:ilvl="2" w:tplc="1F6CEF98">
      <w:numFmt w:val="decimal"/>
      <w:lvlText w:val=""/>
      <w:lvlJc w:val="left"/>
    </w:lvl>
    <w:lvl w:ilvl="3" w:tplc="20B0609E">
      <w:numFmt w:val="decimal"/>
      <w:lvlText w:val=""/>
      <w:lvlJc w:val="left"/>
    </w:lvl>
    <w:lvl w:ilvl="4" w:tplc="E4E01CF0">
      <w:numFmt w:val="decimal"/>
      <w:lvlText w:val=""/>
      <w:lvlJc w:val="left"/>
    </w:lvl>
    <w:lvl w:ilvl="5" w:tplc="75F2348E">
      <w:numFmt w:val="decimal"/>
      <w:lvlText w:val=""/>
      <w:lvlJc w:val="left"/>
    </w:lvl>
    <w:lvl w:ilvl="6" w:tplc="B76C3500">
      <w:numFmt w:val="decimal"/>
      <w:lvlText w:val=""/>
      <w:lvlJc w:val="left"/>
    </w:lvl>
    <w:lvl w:ilvl="7" w:tplc="CE38C9F4">
      <w:numFmt w:val="decimal"/>
      <w:lvlText w:val=""/>
      <w:lvlJc w:val="left"/>
    </w:lvl>
    <w:lvl w:ilvl="8" w:tplc="2D988126">
      <w:numFmt w:val="decimal"/>
      <w:lvlText w:val=""/>
      <w:lvlJc w:val="left"/>
    </w:lvl>
  </w:abstractNum>
  <w:abstractNum w:abstractNumId="651" w15:restartNumberingAfterBreak="0">
    <w:nsid w:val="43990D83"/>
    <w:multiLevelType w:val="hybridMultilevel"/>
    <w:tmpl w:val="2682B636"/>
    <w:lvl w:ilvl="0" w:tplc="DD7675DA">
      <w:start w:val="1"/>
      <w:numFmt w:val="bullet"/>
      <w:lvlText w:val=""/>
      <w:lvlJc w:val="left"/>
      <w:pPr>
        <w:ind w:left="720" w:hanging="360"/>
      </w:pPr>
      <w:rPr>
        <w:rFonts w:ascii="Symbol" w:hAnsi="Symbol" w:hint="default"/>
      </w:rPr>
    </w:lvl>
    <w:lvl w:ilvl="1" w:tplc="A3E29848">
      <w:numFmt w:val="decimal"/>
      <w:lvlText w:val=""/>
      <w:lvlJc w:val="left"/>
    </w:lvl>
    <w:lvl w:ilvl="2" w:tplc="A384A0DA">
      <w:numFmt w:val="decimal"/>
      <w:lvlText w:val=""/>
      <w:lvlJc w:val="left"/>
    </w:lvl>
    <w:lvl w:ilvl="3" w:tplc="4DDED240">
      <w:numFmt w:val="decimal"/>
      <w:lvlText w:val=""/>
      <w:lvlJc w:val="left"/>
    </w:lvl>
    <w:lvl w:ilvl="4" w:tplc="9E20CCBA">
      <w:numFmt w:val="decimal"/>
      <w:lvlText w:val=""/>
      <w:lvlJc w:val="left"/>
    </w:lvl>
    <w:lvl w:ilvl="5" w:tplc="B3BE0DEA">
      <w:numFmt w:val="decimal"/>
      <w:lvlText w:val=""/>
      <w:lvlJc w:val="left"/>
    </w:lvl>
    <w:lvl w:ilvl="6" w:tplc="3CDC4F52">
      <w:numFmt w:val="decimal"/>
      <w:lvlText w:val=""/>
      <w:lvlJc w:val="left"/>
    </w:lvl>
    <w:lvl w:ilvl="7" w:tplc="4E14E822">
      <w:numFmt w:val="decimal"/>
      <w:lvlText w:val=""/>
      <w:lvlJc w:val="left"/>
    </w:lvl>
    <w:lvl w:ilvl="8" w:tplc="217CE634">
      <w:numFmt w:val="decimal"/>
      <w:lvlText w:val=""/>
      <w:lvlJc w:val="left"/>
    </w:lvl>
  </w:abstractNum>
  <w:abstractNum w:abstractNumId="652" w15:restartNumberingAfterBreak="0">
    <w:nsid w:val="43AA0F28"/>
    <w:multiLevelType w:val="hybridMultilevel"/>
    <w:tmpl w:val="5406BD98"/>
    <w:lvl w:ilvl="0" w:tplc="F73A00CA">
      <w:start w:val="1"/>
      <w:numFmt w:val="bullet"/>
      <w:lvlText w:val=""/>
      <w:lvlJc w:val="left"/>
      <w:pPr>
        <w:ind w:left="720" w:hanging="360"/>
      </w:pPr>
      <w:rPr>
        <w:rFonts w:ascii="Symbol" w:hAnsi="Symbol" w:hint="default"/>
      </w:rPr>
    </w:lvl>
    <w:lvl w:ilvl="1" w:tplc="A7BC6A82">
      <w:numFmt w:val="decimal"/>
      <w:lvlText w:val=""/>
      <w:lvlJc w:val="left"/>
    </w:lvl>
    <w:lvl w:ilvl="2" w:tplc="5836966E">
      <w:numFmt w:val="decimal"/>
      <w:lvlText w:val=""/>
      <w:lvlJc w:val="left"/>
    </w:lvl>
    <w:lvl w:ilvl="3" w:tplc="863C1EA2">
      <w:numFmt w:val="decimal"/>
      <w:lvlText w:val=""/>
      <w:lvlJc w:val="left"/>
    </w:lvl>
    <w:lvl w:ilvl="4" w:tplc="B1103CC6">
      <w:numFmt w:val="decimal"/>
      <w:lvlText w:val=""/>
      <w:lvlJc w:val="left"/>
    </w:lvl>
    <w:lvl w:ilvl="5" w:tplc="D27C5522">
      <w:numFmt w:val="decimal"/>
      <w:lvlText w:val=""/>
      <w:lvlJc w:val="left"/>
    </w:lvl>
    <w:lvl w:ilvl="6" w:tplc="63901AB4">
      <w:numFmt w:val="decimal"/>
      <w:lvlText w:val=""/>
      <w:lvlJc w:val="left"/>
    </w:lvl>
    <w:lvl w:ilvl="7" w:tplc="EB8E235C">
      <w:numFmt w:val="decimal"/>
      <w:lvlText w:val=""/>
      <w:lvlJc w:val="left"/>
    </w:lvl>
    <w:lvl w:ilvl="8" w:tplc="09F2E5FE">
      <w:numFmt w:val="decimal"/>
      <w:lvlText w:val=""/>
      <w:lvlJc w:val="left"/>
    </w:lvl>
  </w:abstractNum>
  <w:abstractNum w:abstractNumId="653" w15:restartNumberingAfterBreak="0">
    <w:nsid w:val="43BA05D5"/>
    <w:multiLevelType w:val="hybridMultilevel"/>
    <w:tmpl w:val="C7686612"/>
    <w:lvl w:ilvl="0" w:tplc="1D5229D0">
      <w:start w:val="1"/>
      <w:numFmt w:val="bullet"/>
      <w:lvlText w:val=""/>
      <w:lvlJc w:val="left"/>
      <w:pPr>
        <w:ind w:left="720" w:hanging="360"/>
      </w:pPr>
      <w:rPr>
        <w:rFonts w:ascii="Symbol" w:hAnsi="Symbol" w:hint="default"/>
      </w:rPr>
    </w:lvl>
    <w:lvl w:ilvl="1" w:tplc="91084D4A">
      <w:numFmt w:val="decimal"/>
      <w:lvlText w:val=""/>
      <w:lvlJc w:val="left"/>
    </w:lvl>
    <w:lvl w:ilvl="2" w:tplc="88B624F6">
      <w:numFmt w:val="decimal"/>
      <w:lvlText w:val=""/>
      <w:lvlJc w:val="left"/>
    </w:lvl>
    <w:lvl w:ilvl="3" w:tplc="487C4D0C">
      <w:numFmt w:val="decimal"/>
      <w:lvlText w:val=""/>
      <w:lvlJc w:val="left"/>
    </w:lvl>
    <w:lvl w:ilvl="4" w:tplc="5DFCFBAC">
      <w:numFmt w:val="decimal"/>
      <w:lvlText w:val=""/>
      <w:lvlJc w:val="left"/>
    </w:lvl>
    <w:lvl w:ilvl="5" w:tplc="8F8C9324">
      <w:numFmt w:val="decimal"/>
      <w:lvlText w:val=""/>
      <w:lvlJc w:val="left"/>
    </w:lvl>
    <w:lvl w:ilvl="6" w:tplc="623AAC58">
      <w:numFmt w:val="decimal"/>
      <w:lvlText w:val=""/>
      <w:lvlJc w:val="left"/>
    </w:lvl>
    <w:lvl w:ilvl="7" w:tplc="5F22F3EC">
      <w:numFmt w:val="decimal"/>
      <w:lvlText w:val=""/>
      <w:lvlJc w:val="left"/>
    </w:lvl>
    <w:lvl w:ilvl="8" w:tplc="3926CEC2">
      <w:numFmt w:val="decimal"/>
      <w:lvlText w:val=""/>
      <w:lvlJc w:val="left"/>
    </w:lvl>
  </w:abstractNum>
  <w:abstractNum w:abstractNumId="654" w15:restartNumberingAfterBreak="0">
    <w:nsid w:val="43E4558E"/>
    <w:multiLevelType w:val="hybridMultilevel"/>
    <w:tmpl w:val="06B23974"/>
    <w:lvl w:ilvl="0" w:tplc="7A6CE658">
      <w:start w:val="1"/>
      <w:numFmt w:val="bullet"/>
      <w:lvlText w:val=""/>
      <w:lvlJc w:val="left"/>
      <w:pPr>
        <w:ind w:left="720" w:hanging="360"/>
      </w:pPr>
      <w:rPr>
        <w:rFonts w:ascii="Symbol" w:hAnsi="Symbol" w:hint="default"/>
      </w:rPr>
    </w:lvl>
    <w:lvl w:ilvl="1" w:tplc="7A46548C">
      <w:numFmt w:val="decimal"/>
      <w:lvlText w:val=""/>
      <w:lvlJc w:val="left"/>
    </w:lvl>
    <w:lvl w:ilvl="2" w:tplc="067E70FE">
      <w:numFmt w:val="decimal"/>
      <w:lvlText w:val=""/>
      <w:lvlJc w:val="left"/>
    </w:lvl>
    <w:lvl w:ilvl="3" w:tplc="58A06C14">
      <w:numFmt w:val="decimal"/>
      <w:lvlText w:val=""/>
      <w:lvlJc w:val="left"/>
    </w:lvl>
    <w:lvl w:ilvl="4" w:tplc="B9080610">
      <w:numFmt w:val="decimal"/>
      <w:lvlText w:val=""/>
      <w:lvlJc w:val="left"/>
    </w:lvl>
    <w:lvl w:ilvl="5" w:tplc="EDBCFA00">
      <w:numFmt w:val="decimal"/>
      <w:lvlText w:val=""/>
      <w:lvlJc w:val="left"/>
    </w:lvl>
    <w:lvl w:ilvl="6" w:tplc="81066120">
      <w:numFmt w:val="decimal"/>
      <w:lvlText w:val=""/>
      <w:lvlJc w:val="left"/>
    </w:lvl>
    <w:lvl w:ilvl="7" w:tplc="90EE83B6">
      <w:numFmt w:val="decimal"/>
      <w:lvlText w:val=""/>
      <w:lvlJc w:val="left"/>
    </w:lvl>
    <w:lvl w:ilvl="8" w:tplc="48820AE2">
      <w:numFmt w:val="decimal"/>
      <w:lvlText w:val=""/>
      <w:lvlJc w:val="left"/>
    </w:lvl>
  </w:abstractNum>
  <w:abstractNum w:abstractNumId="655" w15:restartNumberingAfterBreak="0">
    <w:nsid w:val="44250CFD"/>
    <w:multiLevelType w:val="hybridMultilevel"/>
    <w:tmpl w:val="017EA426"/>
    <w:lvl w:ilvl="0" w:tplc="F898A9C8">
      <w:start w:val="1"/>
      <w:numFmt w:val="bullet"/>
      <w:lvlText w:val=""/>
      <w:lvlJc w:val="left"/>
      <w:pPr>
        <w:ind w:left="720" w:hanging="360"/>
      </w:pPr>
      <w:rPr>
        <w:rFonts w:ascii="Symbol" w:hAnsi="Symbol" w:hint="default"/>
      </w:rPr>
    </w:lvl>
    <w:lvl w:ilvl="1" w:tplc="C820FDCE">
      <w:numFmt w:val="decimal"/>
      <w:lvlText w:val=""/>
      <w:lvlJc w:val="left"/>
    </w:lvl>
    <w:lvl w:ilvl="2" w:tplc="7A962AA8">
      <w:numFmt w:val="decimal"/>
      <w:lvlText w:val=""/>
      <w:lvlJc w:val="left"/>
    </w:lvl>
    <w:lvl w:ilvl="3" w:tplc="C82849A4">
      <w:numFmt w:val="decimal"/>
      <w:lvlText w:val=""/>
      <w:lvlJc w:val="left"/>
    </w:lvl>
    <w:lvl w:ilvl="4" w:tplc="8070C632">
      <w:numFmt w:val="decimal"/>
      <w:lvlText w:val=""/>
      <w:lvlJc w:val="left"/>
    </w:lvl>
    <w:lvl w:ilvl="5" w:tplc="F04E771A">
      <w:numFmt w:val="decimal"/>
      <w:lvlText w:val=""/>
      <w:lvlJc w:val="left"/>
    </w:lvl>
    <w:lvl w:ilvl="6" w:tplc="AAA27712">
      <w:numFmt w:val="decimal"/>
      <w:lvlText w:val=""/>
      <w:lvlJc w:val="left"/>
    </w:lvl>
    <w:lvl w:ilvl="7" w:tplc="5A549FDA">
      <w:numFmt w:val="decimal"/>
      <w:lvlText w:val=""/>
      <w:lvlJc w:val="left"/>
    </w:lvl>
    <w:lvl w:ilvl="8" w:tplc="E92E23DC">
      <w:numFmt w:val="decimal"/>
      <w:lvlText w:val=""/>
      <w:lvlJc w:val="left"/>
    </w:lvl>
  </w:abstractNum>
  <w:abstractNum w:abstractNumId="656" w15:restartNumberingAfterBreak="0">
    <w:nsid w:val="443B5CAD"/>
    <w:multiLevelType w:val="hybridMultilevel"/>
    <w:tmpl w:val="64ACAC4E"/>
    <w:lvl w:ilvl="0" w:tplc="D4C41E18">
      <w:start w:val="1"/>
      <w:numFmt w:val="bullet"/>
      <w:lvlText w:val=""/>
      <w:lvlJc w:val="left"/>
      <w:pPr>
        <w:ind w:left="720" w:hanging="360"/>
      </w:pPr>
      <w:rPr>
        <w:rFonts w:ascii="Symbol" w:hAnsi="Symbol" w:hint="default"/>
      </w:rPr>
    </w:lvl>
    <w:lvl w:ilvl="1" w:tplc="D4488D66">
      <w:numFmt w:val="decimal"/>
      <w:lvlText w:val=""/>
      <w:lvlJc w:val="left"/>
    </w:lvl>
    <w:lvl w:ilvl="2" w:tplc="ED7097B4">
      <w:numFmt w:val="decimal"/>
      <w:lvlText w:val=""/>
      <w:lvlJc w:val="left"/>
    </w:lvl>
    <w:lvl w:ilvl="3" w:tplc="532AC5AE">
      <w:numFmt w:val="decimal"/>
      <w:lvlText w:val=""/>
      <w:lvlJc w:val="left"/>
    </w:lvl>
    <w:lvl w:ilvl="4" w:tplc="602A8CCE">
      <w:numFmt w:val="decimal"/>
      <w:lvlText w:val=""/>
      <w:lvlJc w:val="left"/>
    </w:lvl>
    <w:lvl w:ilvl="5" w:tplc="36920E3E">
      <w:numFmt w:val="decimal"/>
      <w:lvlText w:val=""/>
      <w:lvlJc w:val="left"/>
    </w:lvl>
    <w:lvl w:ilvl="6" w:tplc="AE92AAEC">
      <w:numFmt w:val="decimal"/>
      <w:lvlText w:val=""/>
      <w:lvlJc w:val="left"/>
    </w:lvl>
    <w:lvl w:ilvl="7" w:tplc="CEDAFDB2">
      <w:numFmt w:val="decimal"/>
      <w:lvlText w:val=""/>
      <w:lvlJc w:val="left"/>
    </w:lvl>
    <w:lvl w:ilvl="8" w:tplc="343A139A">
      <w:numFmt w:val="decimal"/>
      <w:lvlText w:val=""/>
      <w:lvlJc w:val="left"/>
    </w:lvl>
  </w:abstractNum>
  <w:abstractNum w:abstractNumId="657" w15:restartNumberingAfterBreak="0">
    <w:nsid w:val="443C633F"/>
    <w:multiLevelType w:val="hybridMultilevel"/>
    <w:tmpl w:val="65EC8F40"/>
    <w:lvl w:ilvl="0" w:tplc="1116EDB6">
      <w:start w:val="1"/>
      <w:numFmt w:val="bullet"/>
      <w:lvlText w:val=""/>
      <w:lvlJc w:val="left"/>
      <w:pPr>
        <w:ind w:left="720" w:hanging="360"/>
      </w:pPr>
      <w:rPr>
        <w:rFonts w:ascii="Symbol" w:hAnsi="Symbol" w:hint="default"/>
      </w:rPr>
    </w:lvl>
    <w:lvl w:ilvl="1" w:tplc="E35AB9D6">
      <w:numFmt w:val="decimal"/>
      <w:lvlText w:val=""/>
      <w:lvlJc w:val="left"/>
    </w:lvl>
    <w:lvl w:ilvl="2" w:tplc="FEC675DE">
      <w:numFmt w:val="decimal"/>
      <w:lvlText w:val=""/>
      <w:lvlJc w:val="left"/>
    </w:lvl>
    <w:lvl w:ilvl="3" w:tplc="3BB6218E">
      <w:numFmt w:val="decimal"/>
      <w:lvlText w:val=""/>
      <w:lvlJc w:val="left"/>
    </w:lvl>
    <w:lvl w:ilvl="4" w:tplc="877C2E90">
      <w:numFmt w:val="decimal"/>
      <w:lvlText w:val=""/>
      <w:lvlJc w:val="left"/>
    </w:lvl>
    <w:lvl w:ilvl="5" w:tplc="B59E00B6">
      <w:numFmt w:val="decimal"/>
      <w:lvlText w:val=""/>
      <w:lvlJc w:val="left"/>
    </w:lvl>
    <w:lvl w:ilvl="6" w:tplc="A35EF148">
      <w:numFmt w:val="decimal"/>
      <w:lvlText w:val=""/>
      <w:lvlJc w:val="left"/>
    </w:lvl>
    <w:lvl w:ilvl="7" w:tplc="20F00AF6">
      <w:numFmt w:val="decimal"/>
      <w:lvlText w:val=""/>
      <w:lvlJc w:val="left"/>
    </w:lvl>
    <w:lvl w:ilvl="8" w:tplc="C798A43A">
      <w:numFmt w:val="decimal"/>
      <w:lvlText w:val=""/>
      <w:lvlJc w:val="left"/>
    </w:lvl>
  </w:abstractNum>
  <w:abstractNum w:abstractNumId="658" w15:restartNumberingAfterBreak="0">
    <w:nsid w:val="44426CA6"/>
    <w:multiLevelType w:val="hybridMultilevel"/>
    <w:tmpl w:val="BF245FBA"/>
    <w:lvl w:ilvl="0" w:tplc="E8FCA3BC">
      <w:start w:val="1"/>
      <w:numFmt w:val="bullet"/>
      <w:lvlText w:val=""/>
      <w:lvlJc w:val="left"/>
      <w:pPr>
        <w:ind w:left="720" w:hanging="360"/>
      </w:pPr>
      <w:rPr>
        <w:rFonts w:ascii="Symbol" w:hAnsi="Symbol" w:hint="default"/>
      </w:rPr>
    </w:lvl>
    <w:lvl w:ilvl="1" w:tplc="E9E8E6CA">
      <w:numFmt w:val="decimal"/>
      <w:lvlText w:val=""/>
      <w:lvlJc w:val="left"/>
    </w:lvl>
    <w:lvl w:ilvl="2" w:tplc="5FC47462">
      <w:numFmt w:val="decimal"/>
      <w:lvlText w:val=""/>
      <w:lvlJc w:val="left"/>
    </w:lvl>
    <w:lvl w:ilvl="3" w:tplc="3B88260C">
      <w:numFmt w:val="decimal"/>
      <w:lvlText w:val=""/>
      <w:lvlJc w:val="left"/>
    </w:lvl>
    <w:lvl w:ilvl="4" w:tplc="00CE5C74">
      <w:numFmt w:val="decimal"/>
      <w:lvlText w:val=""/>
      <w:lvlJc w:val="left"/>
    </w:lvl>
    <w:lvl w:ilvl="5" w:tplc="24764F6C">
      <w:numFmt w:val="decimal"/>
      <w:lvlText w:val=""/>
      <w:lvlJc w:val="left"/>
    </w:lvl>
    <w:lvl w:ilvl="6" w:tplc="32C404AA">
      <w:numFmt w:val="decimal"/>
      <w:lvlText w:val=""/>
      <w:lvlJc w:val="left"/>
    </w:lvl>
    <w:lvl w:ilvl="7" w:tplc="416C53C2">
      <w:numFmt w:val="decimal"/>
      <w:lvlText w:val=""/>
      <w:lvlJc w:val="left"/>
    </w:lvl>
    <w:lvl w:ilvl="8" w:tplc="A856891C">
      <w:numFmt w:val="decimal"/>
      <w:lvlText w:val=""/>
      <w:lvlJc w:val="left"/>
    </w:lvl>
  </w:abstractNum>
  <w:abstractNum w:abstractNumId="659" w15:restartNumberingAfterBreak="0">
    <w:nsid w:val="446E6B49"/>
    <w:multiLevelType w:val="hybridMultilevel"/>
    <w:tmpl w:val="5E067AB0"/>
    <w:lvl w:ilvl="0" w:tplc="1C3A4CE8">
      <w:start w:val="1"/>
      <w:numFmt w:val="bullet"/>
      <w:lvlText w:val=""/>
      <w:lvlJc w:val="left"/>
      <w:pPr>
        <w:ind w:left="720" w:hanging="360"/>
      </w:pPr>
      <w:rPr>
        <w:rFonts w:ascii="Symbol" w:hAnsi="Symbol" w:hint="default"/>
      </w:rPr>
    </w:lvl>
    <w:lvl w:ilvl="1" w:tplc="F95E1052">
      <w:numFmt w:val="decimal"/>
      <w:lvlText w:val=""/>
      <w:lvlJc w:val="left"/>
    </w:lvl>
    <w:lvl w:ilvl="2" w:tplc="90FA3E28">
      <w:numFmt w:val="decimal"/>
      <w:lvlText w:val=""/>
      <w:lvlJc w:val="left"/>
    </w:lvl>
    <w:lvl w:ilvl="3" w:tplc="FE024846">
      <w:numFmt w:val="decimal"/>
      <w:lvlText w:val=""/>
      <w:lvlJc w:val="left"/>
    </w:lvl>
    <w:lvl w:ilvl="4" w:tplc="02D4FD64">
      <w:numFmt w:val="decimal"/>
      <w:lvlText w:val=""/>
      <w:lvlJc w:val="left"/>
    </w:lvl>
    <w:lvl w:ilvl="5" w:tplc="A02EB32A">
      <w:numFmt w:val="decimal"/>
      <w:lvlText w:val=""/>
      <w:lvlJc w:val="left"/>
    </w:lvl>
    <w:lvl w:ilvl="6" w:tplc="DBDAD23E">
      <w:numFmt w:val="decimal"/>
      <w:lvlText w:val=""/>
      <w:lvlJc w:val="left"/>
    </w:lvl>
    <w:lvl w:ilvl="7" w:tplc="09BA8BCA">
      <w:numFmt w:val="decimal"/>
      <w:lvlText w:val=""/>
      <w:lvlJc w:val="left"/>
    </w:lvl>
    <w:lvl w:ilvl="8" w:tplc="65669010">
      <w:numFmt w:val="decimal"/>
      <w:lvlText w:val=""/>
      <w:lvlJc w:val="left"/>
    </w:lvl>
  </w:abstractNum>
  <w:abstractNum w:abstractNumId="660" w15:restartNumberingAfterBreak="0">
    <w:nsid w:val="44773B66"/>
    <w:multiLevelType w:val="hybridMultilevel"/>
    <w:tmpl w:val="D5E0734C"/>
    <w:lvl w:ilvl="0" w:tplc="91365DB2">
      <w:start w:val="1"/>
      <w:numFmt w:val="bullet"/>
      <w:lvlText w:val=""/>
      <w:lvlJc w:val="left"/>
      <w:pPr>
        <w:ind w:left="720" w:hanging="360"/>
      </w:pPr>
      <w:rPr>
        <w:rFonts w:ascii="Symbol" w:hAnsi="Symbol" w:hint="default"/>
      </w:rPr>
    </w:lvl>
    <w:lvl w:ilvl="1" w:tplc="F15E4F32">
      <w:numFmt w:val="decimal"/>
      <w:lvlText w:val=""/>
      <w:lvlJc w:val="left"/>
    </w:lvl>
    <w:lvl w:ilvl="2" w:tplc="7F9CE6F2">
      <w:numFmt w:val="decimal"/>
      <w:lvlText w:val=""/>
      <w:lvlJc w:val="left"/>
    </w:lvl>
    <w:lvl w:ilvl="3" w:tplc="730C1FC8">
      <w:numFmt w:val="decimal"/>
      <w:lvlText w:val=""/>
      <w:lvlJc w:val="left"/>
    </w:lvl>
    <w:lvl w:ilvl="4" w:tplc="87A8AF2E">
      <w:numFmt w:val="decimal"/>
      <w:lvlText w:val=""/>
      <w:lvlJc w:val="left"/>
    </w:lvl>
    <w:lvl w:ilvl="5" w:tplc="FF1A168E">
      <w:numFmt w:val="decimal"/>
      <w:lvlText w:val=""/>
      <w:lvlJc w:val="left"/>
    </w:lvl>
    <w:lvl w:ilvl="6" w:tplc="90EA0DE4">
      <w:numFmt w:val="decimal"/>
      <w:lvlText w:val=""/>
      <w:lvlJc w:val="left"/>
    </w:lvl>
    <w:lvl w:ilvl="7" w:tplc="4CAEFD5A">
      <w:numFmt w:val="decimal"/>
      <w:lvlText w:val=""/>
      <w:lvlJc w:val="left"/>
    </w:lvl>
    <w:lvl w:ilvl="8" w:tplc="E90056E0">
      <w:numFmt w:val="decimal"/>
      <w:lvlText w:val=""/>
      <w:lvlJc w:val="left"/>
    </w:lvl>
  </w:abstractNum>
  <w:abstractNum w:abstractNumId="661" w15:restartNumberingAfterBreak="0">
    <w:nsid w:val="447B73FA"/>
    <w:multiLevelType w:val="hybridMultilevel"/>
    <w:tmpl w:val="1C52FC00"/>
    <w:lvl w:ilvl="0" w:tplc="2E221D82">
      <w:start w:val="1"/>
      <w:numFmt w:val="bullet"/>
      <w:lvlText w:val=""/>
      <w:lvlJc w:val="left"/>
      <w:pPr>
        <w:ind w:left="720" w:hanging="360"/>
      </w:pPr>
      <w:rPr>
        <w:rFonts w:ascii="Symbol" w:hAnsi="Symbol" w:hint="default"/>
      </w:rPr>
    </w:lvl>
    <w:lvl w:ilvl="1" w:tplc="8F985DD8">
      <w:numFmt w:val="decimal"/>
      <w:lvlText w:val=""/>
      <w:lvlJc w:val="left"/>
    </w:lvl>
    <w:lvl w:ilvl="2" w:tplc="BE50A906">
      <w:numFmt w:val="decimal"/>
      <w:lvlText w:val=""/>
      <w:lvlJc w:val="left"/>
    </w:lvl>
    <w:lvl w:ilvl="3" w:tplc="F228A69E">
      <w:numFmt w:val="decimal"/>
      <w:lvlText w:val=""/>
      <w:lvlJc w:val="left"/>
    </w:lvl>
    <w:lvl w:ilvl="4" w:tplc="A4725A7A">
      <w:numFmt w:val="decimal"/>
      <w:lvlText w:val=""/>
      <w:lvlJc w:val="left"/>
    </w:lvl>
    <w:lvl w:ilvl="5" w:tplc="7F427876">
      <w:numFmt w:val="decimal"/>
      <w:lvlText w:val=""/>
      <w:lvlJc w:val="left"/>
    </w:lvl>
    <w:lvl w:ilvl="6" w:tplc="B72220D4">
      <w:numFmt w:val="decimal"/>
      <w:lvlText w:val=""/>
      <w:lvlJc w:val="left"/>
    </w:lvl>
    <w:lvl w:ilvl="7" w:tplc="DD408702">
      <w:numFmt w:val="decimal"/>
      <w:lvlText w:val=""/>
      <w:lvlJc w:val="left"/>
    </w:lvl>
    <w:lvl w:ilvl="8" w:tplc="B658F52E">
      <w:numFmt w:val="decimal"/>
      <w:lvlText w:val=""/>
      <w:lvlJc w:val="left"/>
    </w:lvl>
  </w:abstractNum>
  <w:abstractNum w:abstractNumId="662" w15:restartNumberingAfterBreak="0">
    <w:nsid w:val="449A069E"/>
    <w:multiLevelType w:val="hybridMultilevel"/>
    <w:tmpl w:val="03206652"/>
    <w:lvl w:ilvl="0" w:tplc="F0826C18">
      <w:start w:val="1"/>
      <w:numFmt w:val="bullet"/>
      <w:lvlText w:val=""/>
      <w:lvlJc w:val="left"/>
      <w:pPr>
        <w:ind w:left="720" w:hanging="360"/>
      </w:pPr>
      <w:rPr>
        <w:rFonts w:ascii="Symbol" w:hAnsi="Symbol" w:hint="default"/>
      </w:rPr>
    </w:lvl>
    <w:lvl w:ilvl="1" w:tplc="5192CD6E">
      <w:numFmt w:val="decimal"/>
      <w:lvlText w:val=""/>
      <w:lvlJc w:val="left"/>
    </w:lvl>
    <w:lvl w:ilvl="2" w:tplc="7F7E6342">
      <w:numFmt w:val="decimal"/>
      <w:lvlText w:val=""/>
      <w:lvlJc w:val="left"/>
    </w:lvl>
    <w:lvl w:ilvl="3" w:tplc="7A68537A">
      <w:numFmt w:val="decimal"/>
      <w:lvlText w:val=""/>
      <w:lvlJc w:val="left"/>
    </w:lvl>
    <w:lvl w:ilvl="4" w:tplc="E1E4A7FC">
      <w:numFmt w:val="decimal"/>
      <w:lvlText w:val=""/>
      <w:lvlJc w:val="left"/>
    </w:lvl>
    <w:lvl w:ilvl="5" w:tplc="08A4F8B2">
      <w:numFmt w:val="decimal"/>
      <w:lvlText w:val=""/>
      <w:lvlJc w:val="left"/>
    </w:lvl>
    <w:lvl w:ilvl="6" w:tplc="6DEEBABE">
      <w:numFmt w:val="decimal"/>
      <w:lvlText w:val=""/>
      <w:lvlJc w:val="left"/>
    </w:lvl>
    <w:lvl w:ilvl="7" w:tplc="B4300892">
      <w:numFmt w:val="decimal"/>
      <w:lvlText w:val=""/>
      <w:lvlJc w:val="left"/>
    </w:lvl>
    <w:lvl w:ilvl="8" w:tplc="0B1A36CE">
      <w:numFmt w:val="decimal"/>
      <w:lvlText w:val=""/>
      <w:lvlJc w:val="left"/>
    </w:lvl>
  </w:abstractNum>
  <w:abstractNum w:abstractNumId="663" w15:restartNumberingAfterBreak="0">
    <w:nsid w:val="449D0BD5"/>
    <w:multiLevelType w:val="hybridMultilevel"/>
    <w:tmpl w:val="3904A95E"/>
    <w:lvl w:ilvl="0" w:tplc="2C54F50C">
      <w:start w:val="1"/>
      <w:numFmt w:val="bullet"/>
      <w:lvlText w:val=""/>
      <w:lvlJc w:val="left"/>
      <w:pPr>
        <w:ind w:left="720" w:hanging="360"/>
      </w:pPr>
      <w:rPr>
        <w:rFonts w:ascii="Symbol" w:hAnsi="Symbol" w:hint="default"/>
      </w:rPr>
    </w:lvl>
    <w:lvl w:ilvl="1" w:tplc="52B8B6F6">
      <w:numFmt w:val="decimal"/>
      <w:lvlText w:val=""/>
      <w:lvlJc w:val="left"/>
    </w:lvl>
    <w:lvl w:ilvl="2" w:tplc="845AEC98">
      <w:numFmt w:val="decimal"/>
      <w:lvlText w:val=""/>
      <w:lvlJc w:val="left"/>
    </w:lvl>
    <w:lvl w:ilvl="3" w:tplc="32CAD29A">
      <w:numFmt w:val="decimal"/>
      <w:lvlText w:val=""/>
      <w:lvlJc w:val="left"/>
    </w:lvl>
    <w:lvl w:ilvl="4" w:tplc="EFECD400">
      <w:numFmt w:val="decimal"/>
      <w:lvlText w:val=""/>
      <w:lvlJc w:val="left"/>
    </w:lvl>
    <w:lvl w:ilvl="5" w:tplc="B31813DE">
      <w:numFmt w:val="decimal"/>
      <w:lvlText w:val=""/>
      <w:lvlJc w:val="left"/>
    </w:lvl>
    <w:lvl w:ilvl="6" w:tplc="8662F81C">
      <w:numFmt w:val="decimal"/>
      <w:lvlText w:val=""/>
      <w:lvlJc w:val="left"/>
    </w:lvl>
    <w:lvl w:ilvl="7" w:tplc="FFC6EEBA">
      <w:numFmt w:val="decimal"/>
      <w:lvlText w:val=""/>
      <w:lvlJc w:val="left"/>
    </w:lvl>
    <w:lvl w:ilvl="8" w:tplc="EAF08D9A">
      <w:numFmt w:val="decimal"/>
      <w:lvlText w:val=""/>
      <w:lvlJc w:val="left"/>
    </w:lvl>
  </w:abstractNum>
  <w:abstractNum w:abstractNumId="664" w15:restartNumberingAfterBreak="0">
    <w:nsid w:val="44C623C2"/>
    <w:multiLevelType w:val="hybridMultilevel"/>
    <w:tmpl w:val="0088D6C6"/>
    <w:lvl w:ilvl="0" w:tplc="F8020620">
      <w:start w:val="1"/>
      <w:numFmt w:val="bullet"/>
      <w:lvlText w:val=""/>
      <w:lvlJc w:val="left"/>
      <w:pPr>
        <w:ind w:left="720" w:hanging="360"/>
      </w:pPr>
      <w:rPr>
        <w:rFonts w:ascii="Symbol" w:hAnsi="Symbol" w:hint="default"/>
      </w:rPr>
    </w:lvl>
    <w:lvl w:ilvl="1" w:tplc="6ED09ABC">
      <w:numFmt w:val="decimal"/>
      <w:lvlText w:val=""/>
      <w:lvlJc w:val="left"/>
    </w:lvl>
    <w:lvl w:ilvl="2" w:tplc="89786702">
      <w:numFmt w:val="decimal"/>
      <w:lvlText w:val=""/>
      <w:lvlJc w:val="left"/>
    </w:lvl>
    <w:lvl w:ilvl="3" w:tplc="294A7476">
      <w:numFmt w:val="decimal"/>
      <w:lvlText w:val=""/>
      <w:lvlJc w:val="left"/>
    </w:lvl>
    <w:lvl w:ilvl="4" w:tplc="3E0E2F4A">
      <w:numFmt w:val="decimal"/>
      <w:lvlText w:val=""/>
      <w:lvlJc w:val="left"/>
    </w:lvl>
    <w:lvl w:ilvl="5" w:tplc="78BE9F7C">
      <w:numFmt w:val="decimal"/>
      <w:lvlText w:val=""/>
      <w:lvlJc w:val="left"/>
    </w:lvl>
    <w:lvl w:ilvl="6" w:tplc="06AA0F52">
      <w:numFmt w:val="decimal"/>
      <w:lvlText w:val=""/>
      <w:lvlJc w:val="left"/>
    </w:lvl>
    <w:lvl w:ilvl="7" w:tplc="26668126">
      <w:numFmt w:val="decimal"/>
      <w:lvlText w:val=""/>
      <w:lvlJc w:val="left"/>
    </w:lvl>
    <w:lvl w:ilvl="8" w:tplc="17D815CC">
      <w:numFmt w:val="decimal"/>
      <w:lvlText w:val=""/>
      <w:lvlJc w:val="left"/>
    </w:lvl>
  </w:abstractNum>
  <w:abstractNum w:abstractNumId="665" w15:restartNumberingAfterBreak="0">
    <w:nsid w:val="44DD0B29"/>
    <w:multiLevelType w:val="hybridMultilevel"/>
    <w:tmpl w:val="C3B44540"/>
    <w:lvl w:ilvl="0" w:tplc="315A98C0">
      <w:start w:val="1"/>
      <w:numFmt w:val="bullet"/>
      <w:lvlText w:val=""/>
      <w:lvlJc w:val="left"/>
      <w:pPr>
        <w:ind w:left="720" w:hanging="360"/>
      </w:pPr>
      <w:rPr>
        <w:rFonts w:ascii="Symbol" w:hAnsi="Symbol" w:hint="default"/>
      </w:rPr>
    </w:lvl>
    <w:lvl w:ilvl="1" w:tplc="9014CEF0">
      <w:numFmt w:val="decimal"/>
      <w:lvlText w:val=""/>
      <w:lvlJc w:val="left"/>
    </w:lvl>
    <w:lvl w:ilvl="2" w:tplc="7324CD7A">
      <w:numFmt w:val="decimal"/>
      <w:lvlText w:val=""/>
      <w:lvlJc w:val="left"/>
    </w:lvl>
    <w:lvl w:ilvl="3" w:tplc="7D9C2804">
      <w:numFmt w:val="decimal"/>
      <w:lvlText w:val=""/>
      <w:lvlJc w:val="left"/>
    </w:lvl>
    <w:lvl w:ilvl="4" w:tplc="753E424E">
      <w:numFmt w:val="decimal"/>
      <w:lvlText w:val=""/>
      <w:lvlJc w:val="left"/>
    </w:lvl>
    <w:lvl w:ilvl="5" w:tplc="06D8E7AA">
      <w:numFmt w:val="decimal"/>
      <w:lvlText w:val=""/>
      <w:lvlJc w:val="left"/>
    </w:lvl>
    <w:lvl w:ilvl="6" w:tplc="1A3CDD42">
      <w:numFmt w:val="decimal"/>
      <w:lvlText w:val=""/>
      <w:lvlJc w:val="left"/>
    </w:lvl>
    <w:lvl w:ilvl="7" w:tplc="CBD2D53E">
      <w:numFmt w:val="decimal"/>
      <w:lvlText w:val=""/>
      <w:lvlJc w:val="left"/>
    </w:lvl>
    <w:lvl w:ilvl="8" w:tplc="2D0A22BA">
      <w:numFmt w:val="decimal"/>
      <w:lvlText w:val=""/>
      <w:lvlJc w:val="left"/>
    </w:lvl>
  </w:abstractNum>
  <w:abstractNum w:abstractNumId="666" w15:restartNumberingAfterBreak="0">
    <w:nsid w:val="44EC5E05"/>
    <w:multiLevelType w:val="hybridMultilevel"/>
    <w:tmpl w:val="7AC442FE"/>
    <w:lvl w:ilvl="0" w:tplc="7E309C1A">
      <w:start w:val="1"/>
      <w:numFmt w:val="bullet"/>
      <w:lvlText w:val=""/>
      <w:lvlJc w:val="left"/>
      <w:pPr>
        <w:ind w:left="720" w:hanging="360"/>
      </w:pPr>
      <w:rPr>
        <w:rFonts w:ascii="Symbol" w:hAnsi="Symbol" w:hint="default"/>
      </w:rPr>
    </w:lvl>
    <w:lvl w:ilvl="1" w:tplc="21BED62C">
      <w:numFmt w:val="decimal"/>
      <w:lvlText w:val=""/>
      <w:lvlJc w:val="left"/>
    </w:lvl>
    <w:lvl w:ilvl="2" w:tplc="D31EDF08">
      <w:numFmt w:val="decimal"/>
      <w:lvlText w:val=""/>
      <w:lvlJc w:val="left"/>
    </w:lvl>
    <w:lvl w:ilvl="3" w:tplc="E24038A0">
      <w:numFmt w:val="decimal"/>
      <w:lvlText w:val=""/>
      <w:lvlJc w:val="left"/>
    </w:lvl>
    <w:lvl w:ilvl="4" w:tplc="D2B63240">
      <w:numFmt w:val="decimal"/>
      <w:lvlText w:val=""/>
      <w:lvlJc w:val="left"/>
    </w:lvl>
    <w:lvl w:ilvl="5" w:tplc="4762F3C4">
      <w:numFmt w:val="decimal"/>
      <w:lvlText w:val=""/>
      <w:lvlJc w:val="left"/>
    </w:lvl>
    <w:lvl w:ilvl="6" w:tplc="3CD4E3B4">
      <w:numFmt w:val="decimal"/>
      <w:lvlText w:val=""/>
      <w:lvlJc w:val="left"/>
    </w:lvl>
    <w:lvl w:ilvl="7" w:tplc="0A1060E6">
      <w:numFmt w:val="decimal"/>
      <w:lvlText w:val=""/>
      <w:lvlJc w:val="left"/>
    </w:lvl>
    <w:lvl w:ilvl="8" w:tplc="E530161A">
      <w:numFmt w:val="decimal"/>
      <w:lvlText w:val=""/>
      <w:lvlJc w:val="left"/>
    </w:lvl>
  </w:abstractNum>
  <w:abstractNum w:abstractNumId="667" w15:restartNumberingAfterBreak="0">
    <w:nsid w:val="44FB03D9"/>
    <w:multiLevelType w:val="hybridMultilevel"/>
    <w:tmpl w:val="9D72ACA0"/>
    <w:lvl w:ilvl="0" w:tplc="E63E8430">
      <w:start w:val="1"/>
      <w:numFmt w:val="bullet"/>
      <w:lvlText w:val=""/>
      <w:lvlJc w:val="left"/>
      <w:pPr>
        <w:ind w:left="720" w:hanging="360"/>
      </w:pPr>
      <w:rPr>
        <w:rFonts w:ascii="Symbol" w:hAnsi="Symbol" w:hint="default"/>
      </w:rPr>
    </w:lvl>
    <w:lvl w:ilvl="1" w:tplc="C3400472">
      <w:numFmt w:val="decimal"/>
      <w:lvlText w:val=""/>
      <w:lvlJc w:val="left"/>
    </w:lvl>
    <w:lvl w:ilvl="2" w:tplc="C8341FE6">
      <w:numFmt w:val="decimal"/>
      <w:lvlText w:val=""/>
      <w:lvlJc w:val="left"/>
    </w:lvl>
    <w:lvl w:ilvl="3" w:tplc="21145F9A">
      <w:numFmt w:val="decimal"/>
      <w:lvlText w:val=""/>
      <w:lvlJc w:val="left"/>
    </w:lvl>
    <w:lvl w:ilvl="4" w:tplc="2D0A3088">
      <w:numFmt w:val="decimal"/>
      <w:lvlText w:val=""/>
      <w:lvlJc w:val="left"/>
    </w:lvl>
    <w:lvl w:ilvl="5" w:tplc="3B245A64">
      <w:numFmt w:val="decimal"/>
      <w:lvlText w:val=""/>
      <w:lvlJc w:val="left"/>
    </w:lvl>
    <w:lvl w:ilvl="6" w:tplc="10F4D570">
      <w:numFmt w:val="decimal"/>
      <w:lvlText w:val=""/>
      <w:lvlJc w:val="left"/>
    </w:lvl>
    <w:lvl w:ilvl="7" w:tplc="C9AAF77E">
      <w:numFmt w:val="decimal"/>
      <w:lvlText w:val=""/>
      <w:lvlJc w:val="left"/>
    </w:lvl>
    <w:lvl w:ilvl="8" w:tplc="5CFCB1BE">
      <w:numFmt w:val="decimal"/>
      <w:lvlText w:val=""/>
      <w:lvlJc w:val="left"/>
    </w:lvl>
  </w:abstractNum>
  <w:abstractNum w:abstractNumId="668" w15:restartNumberingAfterBreak="0">
    <w:nsid w:val="45133D19"/>
    <w:multiLevelType w:val="hybridMultilevel"/>
    <w:tmpl w:val="5D306E0C"/>
    <w:lvl w:ilvl="0" w:tplc="363C254A">
      <w:start w:val="1"/>
      <w:numFmt w:val="bullet"/>
      <w:lvlText w:val=""/>
      <w:lvlJc w:val="left"/>
      <w:pPr>
        <w:ind w:left="720" w:hanging="360"/>
      </w:pPr>
      <w:rPr>
        <w:rFonts w:ascii="Symbol" w:hAnsi="Symbol" w:hint="default"/>
      </w:rPr>
    </w:lvl>
    <w:lvl w:ilvl="1" w:tplc="0DEA465C">
      <w:numFmt w:val="decimal"/>
      <w:lvlText w:val=""/>
      <w:lvlJc w:val="left"/>
    </w:lvl>
    <w:lvl w:ilvl="2" w:tplc="B09A8CD2">
      <w:numFmt w:val="decimal"/>
      <w:lvlText w:val=""/>
      <w:lvlJc w:val="left"/>
    </w:lvl>
    <w:lvl w:ilvl="3" w:tplc="B8CC1516">
      <w:numFmt w:val="decimal"/>
      <w:lvlText w:val=""/>
      <w:lvlJc w:val="left"/>
    </w:lvl>
    <w:lvl w:ilvl="4" w:tplc="4EF09F06">
      <w:numFmt w:val="decimal"/>
      <w:lvlText w:val=""/>
      <w:lvlJc w:val="left"/>
    </w:lvl>
    <w:lvl w:ilvl="5" w:tplc="4EC2FA60">
      <w:numFmt w:val="decimal"/>
      <w:lvlText w:val=""/>
      <w:lvlJc w:val="left"/>
    </w:lvl>
    <w:lvl w:ilvl="6" w:tplc="F6A47FFA">
      <w:numFmt w:val="decimal"/>
      <w:lvlText w:val=""/>
      <w:lvlJc w:val="left"/>
    </w:lvl>
    <w:lvl w:ilvl="7" w:tplc="3078EDCE">
      <w:numFmt w:val="decimal"/>
      <w:lvlText w:val=""/>
      <w:lvlJc w:val="left"/>
    </w:lvl>
    <w:lvl w:ilvl="8" w:tplc="91B65704">
      <w:numFmt w:val="decimal"/>
      <w:lvlText w:val=""/>
      <w:lvlJc w:val="left"/>
    </w:lvl>
  </w:abstractNum>
  <w:abstractNum w:abstractNumId="669" w15:restartNumberingAfterBreak="0">
    <w:nsid w:val="45296A12"/>
    <w:multiLevelType w:val="hybridMultilevel"/>
    <w:tmpl w:val="EE9A4454"/>
    <w:lvl w:ilvl="0" w:tplc="9726008E">
      <w:start w:val="1"/>
      <w:numFmt w:val="bullet"/>
      <w:lvlText w:val=""/>
      <w:lvlJc w:val="left"/>
      <w:pPr>
        <w:ind w:left="720" w:hanging="360"/>
      </w:pPr>
      <w:rPr>
        <w:rFonts w:ascii="Symbol" w:hAnsi="Symbol" w:hint="default"/>
      </w:rPr>
    </w:lvl>
    <w:lvl w:ilvl="1" w:tplc="8D740EEE">
      <w:numFmt w:val="decimal"/>
      <w:lvlText w:val=""/>
      <w:lvlJc w:val="left"/>
    </w:lvl>
    <w:lvl w:ilvl="2" w:tplc="29B422A8">
      <w:numFmt w:val="decimal"/>
      <w:lvlText w:val=""/>
      <w:lvlJc w:val="left"/>
    </w:lvl>
    <w:lvl w:ilvl="3" w:tplc="CADA8C26">
      <w:numFmt w:val="decimal"/>
      <w:lvlText w:val=""/>
      <w:lvlJc w:val="left"/>
    </w:lvl>
    <w:lvl w:ilvl="4" w:tplc="1A4E7632">
      <w:numFmt w:val="decimal"/>
      <w:lvlText w:val=""/>
      <w:lvlJc w:val="left"/>
    </w:lvl>
    <w:lvl w:ilvl="5" w:tplc="D82A4DB0">
      <w:numFmt w:val="decimal"/>
      <w:lvlText w:val=""/>
      <w:lvlJc w:val="left"/>
    </w:lvl>
    <w:lvl w:ilvl="6" w:tplc="C77A1BEC">
      <w:numFmt w:val="decimal"/>
      <w:lvlText w:val=""/>
      <w:lvlJc w:val="left"/>
    </w:lvl>
    <w:lvl w:ilvl="7" w:tplc="6FA2F1A8">
      <w:numFmt w:val="decimal"/>
      <w:lvlText w:val=""/>
      <w:lvlJc w:val="left"/>
    </w:lvl>
    <w:lvl w:ilvl="8" w:tplc="5D66751C">
      <w:numFmt w:val="decimal"/>
      <w:lvlText w:val=""/>
      <w:lvlJc w:val="left"/>
    </w:lvl>
  </w:abstractNum>
  <w:abstractNum w:abstractNumId="670" w15:restartNumberingAfterBreak="0">
    <w:nsid w:val="45522005"/>
    <w:multiLevelType w:val="hybridMultilevel"/>
    <w:tmpl w:val="292282C8"/>
    <w:lvl w:ilvl="0" w:tplc="DC38CA42">
      <w:start w:val="1"/>
      <w:numFmt w:val="bullet"/>
      <w:lvlText w:val=""/>
      <w:lvlJc w:val="left"/>
      <w:pPr>
        <w:ind w:left="720" w:hanging="360"/>
      </w:pPr>
      <w:rPr>
        <w:rFonts w:ascii="Symbol" w:hAnsi="Symbol" w:hint="default"/>
      </w:rPr>
    </w:lvl>
    <w:lvl w:ilvl="1" w:tplc="E3D60CAA">
      <w:numFmt w:val="decimal"/>
      <w:lvlText w:val=""/>
      <w:lvlJc w:val="left"/>
    </w:lvl>
    <w:lvl w:ilvl="2" w:tplc="2BF6CF62">
      <w:numFmt w:val="decimal"/>
      <w:lvlText w:val=""/>
      <w:lvlJc w:val="left"/>
    </w:lvl>
    <w:lvl w:ilvl="3" w:tplc="59BAAD22">
      <w:numFmt w:val="decimal"/>
      <w:lvlText w:val=""/>
      <w:lvlJc w:val="left"/>
    </w:lvl>
    <w:lvl w:ilvl="4" w:tplc="9384D940">
      <w:numFmt w:val="decimal"/>
      <w:lvlText w:val=""/>
      <w:lvlJc w:val="left"/>
    </w:lvl>
    <w:lvl w:ilvl="5" w:tplc="17DCA51A">
      <w:numFmt w:val="decimal"/>
      <w:lvlText w:val=""/>
      <w:lvlJc w:val="left"/>
    </w:lvl>
    <w:lvl w:ilvl="6" w:tplc="825EF82E">
      <w:numFmt w:val="decimal"/>
      <w:lvlText w:val=""/>
      <w:lvlJc w:val="left"/>
    </w:lvl>
    <w:lvl w:ilvl="7" w:tplc="B46C16A0">
      <w:numFmt w:val="decimal"/>
      <w:lvlText w:val=""/>
      <w:lvlJc w:val="left"/>
    </w:lvl>
    <w:lvl w:ilvl="8" w:tplc="66CC2830">
      <w:numFmt w:val="decimal"/>
      <w:lvlText w:val=""/>
      <w:lvlJc w:val="left"/>
    </w:lvl>
  </w:abstractNum>
  <w:abstractNum w:abstractNumId="671" w15:restartNumberingAfterBreak="0">
    <w:nsid w:val="45807CC0"/>
    <w:multiLevelType w:val="hybridMultilevel"/>
    <w:tmpl w:val="4A46EB00"/>
    <w:lvl w:ilvl="0" w:tplc="129C2C56">
      <w:start w:val="1"/>
      <w:numFmt w:val="bullet"/>
      <w:lvlText w:val=""/>
      <w:lvlJc w:val="left"/>
      <w:pPr>
        <w:ind w:left="720" w:hanging="360"/>
      </w:pPr>
      <w:rPr>
        <w:rFonts w:ascii="Symbol" w:hAnsi="Symbol" w:hint="default"/>
      </w:rPr>
    </w:lvl>
    <w:lvl w:ilvl="1" w:tplc="445E2CE4">
      <w:numFmt w:val="decimal"/>
      <w:lvlText w:val=""/>
      <w:lvlJc w:val="left"/>
    </w:lvl>
    <w:lvl w:ilvl="2" w:tplc="A72CBAB6">
      <w:numFmt w:val="decimal"/>
      <w:lvlText w:val=""/>
      <w:lvlJc w:val="left"/>
    </w:lvl>
    <w:lvl w:ilvl="3" w:tplc="51940966">
      <w:numFmt w:val="decimal"/>
      <w:lvlText w:val=""/>
      <w:lvlJc w:val="left"/>
    </w:lvl>
    <w:lvl w:ilvl="4" w:tplc="E57C60B8">
      <w:numFmt w:val="decimal"/>
      <w:lvlText w:val=""/>
      <w:lvlJc w:val="left"/>
    </w:lvl>
    <w:lvl w:ilvl="5" w:tplc="D93A1F14">
      <w:numFmt w:val="decimal"/>
      <w:lvlText w:val=""/>
      <w:lvlJc w:val="left"/>
    </w:lvl>
    <w:lvl w:ilvl="6" w:tplc="B0E49360">
      <w:numFmt w:val="decimal"/>
      <w:lvlText w:val=""/>
      <w:lvlJc w:val="left"/>
    </w:lvl>
    <w:lvl w:ilvl="7" w:tplc="4FEA14EA">
      <w:numFmt w:val="decimal"/>
      <w:lvlText w:val=""/>
      <w:lvlJc w:val="left"/>
    </w:lvl>
    <w:lvl w:ilvl="8" w:tplc="CE4A7658">
      <w:numFmt w:val="decimal"/>
      <w:lvlText w:val=""/>
      <w:lvlJc w:val="left"/>
    </w:lvl>
  </w:abstractNum>
  <w:abstractNum w:abstractNumId="672" w15:restartNumberingAfterBreak="0">
    <w:nsid w:val="45953028"/>
    <w:multiLevelType w:val="hybridMultilevel"/>
    <w:tmpl w:val="70CE2186"/>
    <w:lvl w:ilvl="0" w:tplc="5AFA8800">
      <w:start w:val="1"/>
      <w:numFmt w:val="bullet"/>
      <w:lvlText w:val=""/>
      <w:lvlJc w:val="left"/>
      <w:pPr>
        <w:ind w:left="720" w:hanging="360"/>
      </w:pPr>
      <w:rPr>
        <w:rFonts w:ascii="Symbol" w:hAnsi="Symbol" w:hint="default"/>
      </w:rPr>
    </w:lvl>
    <w:lvl w:ilvl="1" w:tplc="F7B8DF1C">
      <w:numFmt w:val="decimal"/>
      <w:lvlText w:val=""/>
      <w:lvlJc w:val="left"/>
    </w:lvl>
    <w:lvl w:ilvl="2" w:tplc="EB5CE24A">
      <w:numFmt w:val="decimal"/>
      <w:lvlText w:val=""/>
      <w:lvlJc w:val="left"/>
    </w:lvl>
    <w:lvl w:ilvl="3" w:tplc="D6A89170">
      <w:numFmt w:val="decimal"/>
      <w:lvlText w:val=""/>
      <w:lvlJc w:val="left"/>
    </w:lvl>
    <w:lvl w:ilvl="4" w:tplc="0898FF9C">
      <w:numFmt w:val="decimal"/>
      <w:lvlText w:val=""/>
      <w:lvlJc w:val="left"/>
    </w:lvl>
    <w:lvl w:ilvl="5" w:tplc="A6F0DF9E">
      <w:numFmt w:val="decimal"/>
      <w:lvlText w:val=""/>
      <w:lvlJc w:val="left"/>
    </w:lvl>
    <w:lvl w:ilvl="6" w:tplc="48347092">
      <w:numFmt w:val="decimal"/>
      <w:lvlText w:val=""/>
      <w:lvlJc w:val="left"/>
    </w:lvl>
    <w:lvl w:ilvl="7" w:tplc="1A0228F6">
      <w:numFmt w:val="decimal"/>
      <w:lvlText w:val=""/>
      <w:lvlJc w:val="left"/>
    </w:lvl>
    <w:lvl w:ilvl="8" w:tplc="E304C7F0">
      <w:numFmt w:val="decimal"/>
      <w:lvlText w:val=""/>
      <w:lvlJc w:val="left"/>
    </w:lvl>
  </w:abstractNum>
  <w:abstractNum w:abstractNumId="673" w15:restartNumberingAfterBreak="0">
    <w:nsid w:val="459F23F3"/>
    <w:multiLevelType w:val="hybridMultilevel"/>
    <w:tmpl w:val="AD2CF3B4"/>
    <w:lvl w:ilvl="0" w:tplc="CCB26560">
      <w:start w:val="1"/>
      <w:numFmt w:val="bullet"/>
      <w:lvlText w:val=""/>
      <w:lvlJc w:val="left"/>
      <w:pPr>
        <w:ind w:left="720" w:hanging="360"/>
      </w:pPr>
      <w:rPr>
        <w:rFonts w:ascii="Symbol" w:hAnsi="Symbol" w:hint="default"/>
      </w:rPr>
    </w:lvl>
    <w:lvl w:ilvl="1" w:tplc="872E7390">
      <w:numFmt w:val="decimal"/>
      <w:lvlText w:val=""/>
      <w:lvlJc w:val="left"/>
    </w:lvl>
    <w:lvl w:ilvl="2" w:tplc="E14E1376">
      <w:numFmt w:val="decimal"/>
      <w:lvlText w:val=""/>
      <w:lvlJc w:val="left"/>
    </w:lvl>
    <w:lvl w:ilvl="3" w:tplc="EDB26012">
      <w:numFmt w:val="decimal"/>
      <w:lvlText w:val=""/>
      <w:lvlJc w:val="left"/>
    </w:lvl>
    <w:lvl w:ilvl="4" w:tplc="275A2EA6">
      <w:numFmt w:val="decimal"/>
      <w:lvlText w:val=""/>
      <w:lvlJc w:val="left"/>
    </w:lvl>
    <w:lvl w:ilvl="5" w:tplc="1D2C84C2">
      <w:numFmt w:val="decimal"/>
      <w:lvlText w:val=""/>
      <w:lvlJc w:val="left"/>
    </w:lvl>
    <w:lvl w:ilvl="6" w:tplc="AF549838">
      <w:numFmt w:val="decimal"/>
      <w:lvlText w:val=""/>
      <w:lvlJc w:val="left"/>
    </w:lvl>
    <w:lvl w:ilvl="7" w:tplc="190C55DE">
      <w:numFmt w:val="decimal"/>
      <w:lvlText w:val=""/>
      <w:lvlJc w:val="left"/>
    </w:lvl>
    <w:lvl w:ilvl="8" w:tplc="B3262A10">
      <w:numFmt w:val="decimal"/>
      <w:lvlText w:val=""/>
      <w:lvlJc w:val="left"/>
    </w:lvl>
  </w:abstractNum>
  <w:abstractNum w:abstractNumId="674" w15:restartNumberingAfterBreak="0">
    <w:nsid w:val="45B736F2"/>
    <w:multiLevelType w:val="hybridMultilevel"/>
    <w:tmpl w:val="2DE057B0"/>
    <w:lvl w:ilvl="0" w:tplc="8F3C9ABA">
      <w:start w:val="1"/>
      <w:numFmt w:val="bullet"/>
      <w:lvlText w:val=""/>
      <w:lvlJc w:val="left"/>
      <w:pPr>
        <w:ind w:left="720" w:hanging="360"/>
      </w:pPr>
      <w:rPr>
        <w:rFonts w:ascii="Symbol" w:hAnsi="Symbol" w:hint="default"/>
      </w:rPr>
    </w:lvl>
    <w:lvl w:ilvl="1" w:tplc="75802B76">
      <w:numFmt w:val="decimal"/>
      <w:lvlText w:val=""/>
      <w:lvlJc w:val="left"/>
    </w:lvl>
    <w:lvl w:ilvl="2" w:tplc="AA422AD0">
      <w:numFmt w:val="decimal"/>
      <w:lvlText w:val=""/>
      <w:lvlJc w:val="left"/>
    </w:lvl>
    <w:lvl w:ilvl="3" w:tplc="EF8093BC">
      <w:numFmt w:val="decimal"/>
      <w:lvlText w:val=""/>
      <w:lvlJc w:val="left"/>
    </w:lvl>
    <w:lvl w:ilvl="4" w:tplc="2D6A8A98">
      <w:numFmt w:val="decimal"/>
      <w:lvlText w:val=""/>
      <w:lvlJc w:val="left"/>
    </w:lvl>
    <w:lvl w:ilvl="5" w:tplc="878EBB50">
      <w:numFmt w:val="decimal"/>
      <w:lvlText w:val=""/>
      <w:lvlJc w:val="left"/>
    </w:lvl>
    <w:lvl w:ilvl="6" w:tplc="94CE48E2">
      <w:numFmt w:val="decimal"/>
      <w:lvlText w:val=""/>
      <w:lvlJc w:val="left"/>
    </w:lvl>
    <w:lvl w:ilvl="7" w:tplc="7C960982">
      <w:numFmt w:val="decimal"/>
      <w:lvlText w:val=""/>
      <w:lvlJc w:val="left"/>
    </w:lvl>
    <w:lvl w:ilvl="8" w:tplc="2C6EC8AC">
      <w:numFmt w:val="decimal"/>
      <w:lvlText w:val=""/>
      <w:lvlJc w:val="left"/>
    </w:lvl>
  </w:abstractNum>
  <w:abstractNum w:abstractNumId="675" w15:restartNumberingAfterBreak="0">
    <w:nsid w:val="45CD1B20"/>
    <w:multiLevelType w:val="hybridMultilevel"/>
    <w:tmpl w:val="807A4564"/>
    <w:lvl w:ilvl="0" w:tplc="5A722FA8">
      <w:start w:val="1"/>
      <w:numFmt w:val="bullet"/>
      <w:lvlText w:val=""/>
      <w:lvlJc w:val="left"/>
      <w:pPr>
        <w:ind w:left="720" w:hanging="360"/>
      </w:pPr>
      <w:rPr>
        <w:rFonts w:ascii="Symbol" w:hAnsi="Symbol" w:hint="default"/>
      </w:rPr>
    </w:lvl>
    <w:lvl w:ilvl="1" w:tplc="B5A03DAE">
      <w:numFmt w:val="decimal"/>
      <w:lvlText w:val=""/>
      <w:lvlJc w:val="left"/>
    </w:lvl>
    <w:lvl w:ilvl="2" w:tplc="A0A6819C">
      <w:numFmt w:val="decimal"/>
      <w:lvlText w:val=""/>
      <w:lvlJc w:val="left"/>
    </w:lvl>
    <w:lvl w:ilvl="3" w:tplc="A702699E">
      <w:numFmt w:val="decimal"/>
      <w:lvlText w:val=""/>
      <w:lvlJc w:val="left"/>
    </w:lvl>
    <w:lvl w:ilvl="4" w:tplc="33E2EF2E">
      <w:numFmt w:val="decimal"/>
      <w:lvlText w:val=""/>
      <w:lvlJc w:val="left"/>
    </w:lvl>
    <w:lvl w:ilvl="5" w:tplc="58F64360">
      <w:numFmt w:val="decimal"/>
      <w:lvlText w:val=""/>
      <w:lvlJc w:val="left"/>
    </w:lvl>
    <w:lvl w:ilvl="6" w:tplc="4C604CE6">
      <w:numFmt w:val="decimal"/>
      <w:lvlText w:val=""/>
      <w:lvlJc w:val="left"/>
    </w:lvl>
    <w:lvl w:ilvl="7" w:tplc="64BE3D1C">
      <w:numFmt w:val="decimal"/>
      <w:lvlText w:val=""/>
      <w:lvlJc w:val="left"/>
    </w:lvl>
    <w:lvl w:ilvl="8" w:tplc="C3B81DD2">
      <w:numFmt w:val="decimal"/>
      <w:lvlText w:val=""/>
      <w:lvlJc w:val="left"/>
    </w:lvl>
  </w:abstractNum>
  <w:abstractNum w:abstractNumId="676" w15:restartNumberingAfterBreak="0">
    <w:nsid w:val="46101FB4"/>
    <w:multiLevelType w:val="hybridMultilevel"/>
    <w:tmpl w:val="0B0891DA"/>
    <w:lvl w:ilvl="0" w:tplc="CC2EB686">
      <w:start w:val="1"/>
      <w:numFmt w:val="bullet"/>
      <w:lvlText w:val=""/>
      <w:lvlJc w:val="left"/>
      <w:pPr>
        <w:ind w:left="720" w:hanging="360"/>
      </w:pPr>
      <w:rPr>
        <w:rFonts w:ascii="Symbol" w:hAnsi="Symbol" w:hint="default"/>
      </w:rPr>
    </w:lvl>
    <w:lvl w:ilvl="1" w:tplc="BF8AB5C0">
      <w:numFmt w:val="decimal"/>
      <w:lvlText w:val=""/>
      <w:lvlJc w:val="left"/>
    </w:lvl>
    <w:lvl w:ilvl="2" w:tplc="3F2ABAC8">
      <w:numFmt w:val="decimal"/>
      <w:lvlText w:val=""/>
      <w:lvlJc w:val="left"/>
    </w:lvl>
    <w:lvl w:ilvl="3" w:tplc="38F4711E">
      <w:numFmt w:val="decimal"/>
      <w:lvlText w:val=""/>
      <w:lvlJc w:val="left"/>
    </w:lvl>
    <w:lvl w:ilvl="4" w:tplc="EDDCC244">
      <w:numFmt w:val="decimal"/>
      <w:lvlText w:val=""/>
      <w:lvlJc w:val="left"/>
    </w:lvl>
    <w:lvl w:ilvl="5" w:tplc="3566FA66">
      <w:numFmt w:val="decimal"/>
      <w:lvlText w:val=""/>
      <w:lvlJc w:val="left"/>
    </w:lvl>
    <w:lvl w:ilvl="6" w:tplc="D58282BE">
      <w:numFmt w:val="decimal"/>
      <w:lvlText w:val=""/>
      <w:lvlJc w:val="left"/>
    </w:lvl>
    <w:lvl w:ilvl="7" w:tplc="48D6B20E">
      <w:numFmt w:val="decimal"/>
      <w:lvlText w:val=""/>
      <w:lvlJc w:val="left"/>
    </w:lvl>
    <w:lvl w:ilvl="8" w:tplc="5F328494">
      <w:numFmt w:val="decimal"/>
      <w:lvlText w:val=""/>
      <w:lvlJc w:val="left"/>
    </w:lvl>
  </w:abstractNum>
  <w:abstractNum w:abstractNumId="677" w15:restartNumberingAfterBreak="0">
    <w:nsid w:val="462075DA"/>
    <w:multiLevelType w:val="hybridMultilevel"/>
    <w:tmpl w:val="04CA1B7A"/>
    <w:lvl w:ilvl="0" w:tplc="853E33A0">
      <w:start w:val="1"/>
      <w:numFmt w:val="bullet"/>
      <w:lvlText w:val=""/>
      <w:lvlJc w:val="left"/>
      <w:pPr>
        <w:ind w:left="720" w:hanging="360"/>
      </w:pPr>
      <w:rPr>
        <w:rFonts w:ascii="Symbol" w:hAnsi="Symbol" w:hint="default"/>
      </w:rPr>
    </w:lvl>
    <w:lvl w:ilvl="1" w:tplc="FB3CDB8A">
      <w:numFmt w:val="decimal"/>
      <w:lvlText w:val=""/>
      <w:lvlJc w:val="left"/>
    </w:lvl>
    <w:lvl w:ilvl="2" w:tplc="EEB89676">
      <w:numFmt w:val="decimal"/>
      <w:lvlText w:val=""/>
      <w:lvlJc w:val="left"/>
    </w:lvl>
    <w:lvl w:ilvl="3" w:tplc="DAD26BD0">
      <w:numFmt w:val="decimal"/>
      <w:lvlText w:val=""/>
      <w:lvlJc w:val="left"/>
    </w:lvl>
    <w:lvl w:ilvl="4" w:tplc="8C041954">
      <w:numFmt w:val="decimal"/>
      <w:lvlText w:val=""/>
      <w:lvlJc w:val="left"/>
    </w:lvl>
    <w:lvl w:ilvl="5" w:tplc="01BCC3A0">
      <w:numFmt w:val="decimal"/>
      <w:lvlText w:val=""/>
      <w:lvlJc w:val="left"/>
    </w:lvl>
    <w:lvl w:ilvl="6" w:tplc="635C2886">
      <w:numFmt w:val="decimal"/>
      <w:lvlText w:val=""/>
      <w:lvlJc w:val="left"/>
    </w:lvl>
    <w:lvl w:ilvl="7" w:tplc="15884B04">
      <w:numFmt w:val="decimal"/>
      <w:lvlText w:val=""/>
      <w:lvlJc w:val="left"/>
    </w:lvl>
    <w:lvl w:ilvl="8" w:tplc="2E967A7C">
      <w:numFmt w:val="decimal"/>
      <w:lvlText w:val=""/>
      <w:lvlJc w:val="left"/>
    </w:lvl>
  </w:abstractNum>
  <w:abstractNum w:abstractNumId="678" w15:restartNumberingAfterBreak="0">
    <w:nsid w:val="46347F37"/>
    <w:multiLevelType w:val="hybridMultilevel"/>
    <w:tmpl w:val="76725EBA"/>
    <w:lvl w:ilvl="0" w:tplc="91388F1E">
      <w:start w:val="1"/>
      <w:numFmt w:val="bullet"/>
      <w:lvlText w:val=""/>
      <w:lvlJc w:val="left"/>
      <w:pPr>
        <w:ind w:left="720" w:hanging="360"/>
      </w:pPr>
      <w:rPr>
        <w:rFonts w:ascii="Symbol" w:hAnsi="Symbol" w:hint="default"/>
      </w:rPr>
    </w:lvl>
    <w:lvl w:ilvl="1" w:tplc="F2EE35AC">
      <w:numFmt w:val="decimal"/>
      <w:lvlText w:val=""/>
      <w:lvlJc w:val="left"/>
    </w:lvl>
    <w:lvl w:ilvl="2" w:tplc="68561B50">
      <w:numFmt w:val="decimal"/>
      <w:lvlText w:val=""/>
      <w:lvlJc w:val="left"/>
    </w:lvl>
    <w:lvl w:ilvl="3" w:tplc="34FCEDB4">
      <w:numFmt w:val="decimal"/>
      <w:lvlText w:val=""/>
      <w:lvlJc w:val="left"/>
    </w:lvl>
    <w:lvl w:ilvl="4" w:tplc="B40CE4E0">
      <w:numFmt w:val="decimal"/>
      <w:lvlText w:val=""/>
      <w:lvlJc w:val="left"/>
    </w:lvl>
    <w:lvl w:ilvl="5" w:tplc="0DEC8328">
      <w:numFmt w:val="decimal"/>
      <w:lvlText w:val=""/>
      <w:lvlJc w:val="left"/>
    </w:lvl>
    <w:lvl w:ilvl="6" w:tplc="1186AD1C">
      <w:numFmt w:val="decimal"/>
      <w:lvlText w:val=""/>
      <w:lvlJc w:val="left"/>
    </w:lvl>
    <w:lvl w:ilvl="7" w:tplc="7D6C10C0">
      <w:numFmt w:val="decimal"/>
      <w:lvlText w:val=""/>
      <w:lvlJc w:val="left"/>
    </w:lvl>
    <w:lvl w:ilvl="8" w:tplc="F67EC016">
      <w:numFmt w:val="decimal"/>
      <w:lvlText w:val=""/>
      <w:lvlJc w:val="left"/>
    </w:lvl>
  </w:abstractNum>
  <w:abstractNum w:abstractNumId="679" w15:restartNumberingAfterBreak="0">
    <w:nsid w:val="464A3CB8"/>
    <w:multiLevelType w:val="hybridMultilevel"/>
    <w:tmpl w:val="22B61558"/>
    <w:lvl w:ilvl="0" w:tplc="0FE4E6E4">
      <w:start w:val="1"/>
      <w:numFmt w:val="bullet"/>
      <w:lvlText w:val=""/>
      <w:lvlJc w:val="left"/>
      <w:pPr>
        <w:ind w:left="720" w:hanging="360"/>
      </w:pPr>
      <w:rPr>
        <w:rFonts w:ascii="Symbol" w:hAnsi="Symbol" w:hint="default"/>
      </w:rPr>
    </w:lvl>
    <w:lvl w:ilvl="1" w:tplc="64E295C0">
      <w:numFmt w:val="decimal"/>
      <w:lvlText w:val=""/>
      <w:lvlJc w:val="left"/>
    </w:lvl>
    <w:lvl w:ilvl="2" w:tplc="7D9A0A04">
      <w:numFmt w:val="decimal"/>
      <w:lvlText w:val=""/>
      <w:lvlJc w:val="left"/>
    </w:lvl>
    <w:lvl w:ilvl="3" w:tplc="AF561B0E">
      <w:numFmt w:val="decimal"/>
      <w:lvlText w:val=""/>
      <w:lvlJc w:val="left"/>
    </w:lvl>
    <w:lvl w:ilvl="4" w:tplc="4A66C402">
      <w:numFmt w:val="decimal"/>
      <w:lvlText w:val=""/>
      <w:lvlJc w:val="left"/>
    </w:lvl>
    <w:lvl w:ilvl="5" w:tplc="1EE6CD6A">
      <w:numFmt w:val="decimal"/>
      <w:lvlText w:val=""/>
      <w:lvlJc w:val="left"/>
    </w:lvl>
    <w:lvl w:ilvl="6" w:tplc="013A496E">
      <w:numFmt w:val="decimal"/>
      <w:lvlText w:val=""/>
      <w:lvlJc w:val="left"/>
    </w:lvl>
    <w:lvl w:ilvl="7" w:tplc="897CE96E">
      <w:numFmt w:val="decimal"/>
      <w:lvlText w:val=""/>
      <w:lvlJc w:val="left"/>
    </w:lvl>
    <w:lvl w:ilvl="8" w:tplc="A5984D04">
      <w:numFmt w:val="decimal"/>
      <w:lvlText w:val=""/>
      <w:lvlJc w:val="left"/>
    </w:lvl>
  </w:abstractNum>
  <w:abstractNum w:abstractNumId="680" w15:restartNumberingAfterBreak="0">
    <w:nsid w:val="46741ED3"/>
    <w:multiLevelType w:val="hybridMultilevel"/>
    <w:tmpl w:val="7F461E40"/>
    <w:lvl w:ilvl="0" w:tplc="E25A4CCC">
      <w:start w:val="1"/>
      <w:numFmt w:val="bullet"/>
      <w:lvlText w:val=""/>
      <w:lvlJc w:val="left"/>
      <w:pPr>
        <w:ind w:left="720" w:hanging="360"/>
      </w:pPr>
      <w:rPr>
        <w:rFonts w:ascii="Symbol" w:hAnsi="Symbol" w:hint="default"/>
      </w:rPr>
    </w:lvl>
    <w:lvl w:ilvl="1" w:tplc="8C24EAD4">
      <w:numFmt w:val="decimal"/>
      <w:lvlText w:val=""/>
      <w:lvlJc w:val="left"/>
    </w:lvl>
    <w:lvl w:ilvl="2" w:tplc="6C4AC886">
      <w:numFmt w:val="decimal"/>
      <w:lvlText w:val=""/>
      <w:lvlJc w:val="left"/>
    </w:lvl>
    <w:lvl w:ilvl="3" w:tplc="4110658E">
      <w:numFmt w:val="decimal"/>
      <w:lvlText w:val=""/>
      <w:lvlJc w:val="left"/>
    </w:lvl>
    <w:lvl w:ilvl="4" w:tplc="7C368280">
      <w:numFmt w:val="decimal"/>
      <w:lvlText w:val=""/>
      <w:lvlJc w:val="left"/>
    </w:lvl>
    <w:lvl w:ilvl="5" w:tplc="FFF041A6">
      <w:numFmt w:val="decimal"/>
      <w:lvlText w:val=""/>
      <w:lvlJc w:val="left"/>
    </w:lvl>
    <w:lvl w:ilvl="6" w:tplc="C7826D02">
      <w:numFmt w:val="decimal"/>
      <w:lvlText w:val=""/>
      <w:lvlJc w:val="left"/>
    </w:lvl>
    <w:lvl w:ilvl="7" w:tplc="6F9A0288">
      <w:numFmt w:val="decimal"/>
      <w:lvlText w:val=""/>
      <w:lvlJc w:val="left"/>
    </w:lvl>
    <w:lvl w:ilvl="8" w:tplc="63506FD4">
      <w:numFmt w:val="decimal"/>
      <w:lvlText w:val=""/>
      <w:lvlJc w:val="left"/>
    </w:lvl>
  </w:abstractNum>
  <w:abstractNum w:abstractNumId="681" w15:restartNumberingAfterBreak="0">
    <w:nsid w:val="46963C90"/>
    <w:multiLevelType w:val="hybridMultilevel"/>
    <w:tmpl w:val="413E53EE"/>
    <w:lvl w:ilvl="0" w:tplc="5BC899CC">
      <w:start w:val="1"/>
      <w:numFmt w:val="bullet"/>
      <w:lvlText w:val=""/>
      <w:lvlJc w:val="left"/>
      <w:pPr>
        <w:ind w:left="720" w:hanging="360"/>
      </w:pPr>
      <w:rPr>
        <w:rFonts w:ascii="Symbol" w:hAnsi="Symbol" w:hint="default"/>
      </w:rPr>
    </w:lvl>
    <w:lvl w:ilvl="1" w:tplc="C1ECFF30">
      <w:numFmt w:val="decimal"/>
      <w:lvlText w:val=""/>
      <w:lvlJc w:val="left"/>
    </w:lvl>
    <w:lvl w:ilvl="2" w:tplc="94365584">
      <w:numFmt w:val="decimal"/>
      <w:lvlText w:val=""/>
      <w:lvlJc w:val="left"/>
    </w:lvl>
    <w:lvl w:ilvl="3" w:tplc="33547C40">
      <w:numFmt w:val="decimal"/>
      <w:lvlText w:val=""/>
      <w:lvlJc w:val="left"/>
    </w:lvl>
    <w:lvl w:ilvl="4" w:tplc="2702E49E">
      <w:numFmt w:val="decimal"/>
      <w:lvlText w:val=""/>
      <w:lvlJc w:val="left"/>
    </w:lvl>
    <w:lvl w:ilvl="5" w:tplc="1FFA0B58">
      <w:numFmt w:val="decimal"/>
      <w:lvlText w:val=""/>
      <w:lvlJc w:val="left"/>
    </w:lvl>
    <w:lvl w:ilvl="6" w:tplc="82B252AE">
      <w:numFmt w:val="decimal"/>
      <w:lvlText w:val=""/>
      <w:lvlJc w:val="left"/>
    </w:lvl>
    <w:lvl w:ilvl="7" w:tplc="63ECADCC">
      <w:numFmt w:val="decimal"/>
      <w:lvlText w:val=""/>
      <w:lvlJc w:val="left"/>
    </w:lvl>
    <w:lvl w:ilvl="8" w:tplc="0B3444FE">
      <w:numFmt w:val="decimal"/>
      <w:lvlText w:val=""/>
      <w:lvlJc w:val="left"/>
    </w:lvl>
  </w:abstractNum>
  <w:abstractNum w:abstractNumId="682" w15:restartNumberingAfterBreak="0">
    <w:nsid w:val="46A44F1C"/>
    <w:multiLevelType w:val="hybridMultilevel"/>
    <w:tmpl w:val="61080804"/>
    <w:lvl w:ilvl="0" w:tplc="FEBE43C6">
      <w:start w:val="1"/>
      <w:numFmt w:val="bullet"/>
      <w:lvlText w:val=""/>
      <w:lvlJc w:val="left"/>
      <w:pPr>
        <w:ind w:left="720" w:hanging="360"/>
      </w:pPr>
      <w:rPr>
        <w:rFonts w:ascii="Symbol" w:hAnsi="Symbol" w:hint="default"/>
      </w:rPr>
    </w:lvl>
    <w:lvl w:ilvl="1" w:tplc="51E8A750">
      <w:numFmt w:val="decimal"/>
      <w:lvlText w:val=""/>
      <w:lvlJc w:val="left"/>
    </w:lvl>
    <w:lvl w:ilvl="2" w:tplc="32FA246C">
      <w:numFmt w:val="decimal"/>
      <w:lvlText w:val=""/>
      <w:lvlJc w:val="left"/>
    </w:lvl>
    <w:lvl w:ilvl="3" w:tplc="B0205BBA">
      <w:numFmt w:val="decimal"/>
      <w:lvlText w:val=""/>
      <w:lvlJc w:val="left"/>
    </w:lvl>
    <w:lvl w:ilvl="4" w:tplc="63D2CCBA">
      <w:numFmt w:val="decimal"/>
      <w:lvlText w:val=""/>
      <w:lvlJc w:val="left"/>
    </w:lvl>
    <w:lvl w:ilvl="5" w:tplc="9228AC66">
      <w:numFmt w:val="decimal"/>
      <w:lvlText w:val=""/>
      <w:lvlJc w:val="left"/>
    </w:lvl>
    <w:lvl w:ilvl="6" w:tplc="76029998">
      <w:numFmt w:val="decimal"/>
      <w:lvlText w:val=""/>
      <w:lvlJc w:val="left"/>
    </w:lvl>
    <w:lvl w:ilvl="7" w:tplc="F6C697F4">
      <w:numFmt w:val="decimal"/>
      <w:lvlText w:val=""/>
      <w:lvlJc w:val="left"/>
    </w:lvl>
    <w:lvl w:ilvl="8" w:tplc="DE201D02">
      <w:numFmt w:val="decimal"/>
      <w:lvlText w:val=""/>
      <w:lvlJc w:val="left"/>
    </w:lvl>
  </w:abstractNum>
  <w:abstractNum w:abstractNumId="683" w15:restartNumberingAfterBreak="0">
    <w:nsid w:val="46D467E8"/>
    <w:multiLevelType w:val="hybridMultilevel"/>
    <w:tmpl w:val="12185F20"/>
    <w:lvl w:ilvl="0" w:tplc="D0C24D82">
      <w:numFmt w:val="decimal"/>
      <w:lvlText w:val=""/>
      <w:lvlJc w:val="left"/>
    </w:lvl>
    <w:lvl w:ilvl="1" w:tplc="E1A2B848">
      <w:start w:val="1"/>
      <w:numFmt w:val="bullet"/>
      <w:lvlText w:val=""/>
      <w:lvlJc w:val="left"/>
      <w:pPr>
        <w:ind w:left="1440" w:hanging="360"/>
      </w:pPr>
      <w:rPr>
        <w:rFonts w:ascii="Symbol" w:hAnsi="Symbol" w:hint="default"/>
      </w:rPr>
    </w:lvl>
    <w:lvl w:ilvl="2" w:tplc="3DEABB72">
      <w:numFmt w:val="decimal"/>
      <w:lvlText w:val=""/>
      <w:lvlJc w:val="left"/>
    </w:lvl>
    <w:lvl w:ilvl="3" w:tplc="755CB1B6">
      <w:numFmt w:val="decimal"/>
      <w:lvlText w:val=""/>
      <w:lvlJc w:val="left"/>
    </w:lvl>
    <w:lvl w:ilvl="4" w:tplc="40DCB55C">
      <w:numFmt w:val="decimal"/>
      <w:lvlText w:val=""/>
      <w:lvlJc w:val="left"/>
    </w:lvl>
    <w:lvl w:ilvl="5" w:tplc="162012D4">
      <w:numFmt w:val="decimal"/>
      <w:lvlText w:val=""/>
      <w:lvlJc w:val="left"/>
    </w:lvl>
    <w:lvl w:ilvl="6" w:tplc="94A406E4">
      <w:numFmt w:val="decimal"/>
      <w:lvlText w:val=""/>
      <w:lvlJc w:val="left"/>
    </w:lvl>
    <w:lvl w:ilvl="7" w:tplc="CEDC75BE">
      <w:numFmt w:val="decimal"/>
      <w:lvlText w:val=""/>
      <w:lvlJc w:val="left"/>
    </w:lvl>
    <w:lvl w:ilvl="8" w:tplc="5554FF2A">
      <w:numFmt w:val="decimal"/>
      <w:lvlText w:val=""/>
      <w:lvlJc w:val="left"/>
    </w:lvl>
  </w:abstractNum>
  <w:abstractNum w:abstractNumId="684" w15:restartNumberingAfterBreak="0">
    <w:nsid w:val="46E462B5"/>
    <w:multiLevelType w:val="hybridMultilevel"/>
    <w:tmpl w:val="2060529E"/>
    <w:lvl w:ilvl="0" w:tplc="09F66724">
      <w:start w:val="1"/>
      <w:numFmt w:val="bullet"/>
      <w:lvlText w:val=""/>
      <w:lvlJc w:val="left"/>
      <w:pPr>
        <w:ind w:left="720" w:hanging="360"/>
      </w:pPr>
      <w:rPr>
        <w:rFonts w:ascii="Symbol" w:hAnsi="Symbol" w:hint="default"/>
      </w:rPr>
    </w:lvl>
    <w:lvl w:ilvl="1" w:tplc="366048F6">
      <w:numFmt w:val="decimal"/>
      <w:lvlText w:val=""/>
      <w:lvlJc w:val="left"/>
    </w:lvl>
    <w:lvl w:ilvl="2" w:tplc="78500E82">
      <w:numFmt w:val="decimal"/>
      <w:lvlText w:val=""/>
      <w:lvlJc w:val="left"/>
    </w:lvl>
    <w:lvl w:ilvl="3" w:tplc="179AC014">
      <w:numFmt w:val="decimal"/>
      <w:lvlText w:val=""/>
      <w:lvlJc w:val="left"/>
    </w:lvl>
    <w:lvl w:ilvl="4" w:tplc="4DCE5ED6">
      <w:numFmt w:val="decimal"/>
      <w:lvlText w:val=""/>
      <w:lvlJc w:val="left"/>
    </w:lvl>
    <w:lvl w:ilvl="5" w:tplc="BC8CDF9A">
      <w:numFmt w:val="decimal"/>
      <w:lvlText w:val=""/>
      <w:lvlJc w:val="left"/>
    </w:lvl>
    <w:lvl w:ilvl="6" w:tplc="973A2DBE">
      <w:numFmt w:val="decimal"/>
      <w:lvlText w:val=""/>
      <w:lvlJc w:val="left"/>
    </w:lvl>
    <w:lvl w:ilvl="7" w:tplc="4AB2E25A">
      <w:numFmt w:val="decimal"/>
      <w:lvlText w:val=""/>
      <w:lvlJc w:val="left"/>
    </w:lvl>
    <w:lvl w:ilvl="8" w:tplc="5BF43954">
      <w:numFmt w:val="decimal"/>
      <w:lvlText w:val=""/>
      <w:lvlJc w:val="left"/>
    </w:lvl>
  </w:abstractNum>
  <w:abstractNum w:abstractNumId="685" w15:restartNumberingAfterBreak="0">
    <w:nsid w:val="470005CA"/>
    <w:multiLevelType w:val="hybridMultilevel"/>
    <w:tmpl w:val="A1D2A6E0"/>
    <w:lvl w:ilvl="0" w:tplc="6352A91E">
      <w:start w:val="1"/>
      <w:numFmt w:val="bullet"/>
      <w:lvlText w:val=""/>
      <w:lvlJc w:val="left"/>
      <w:pPr>
        <w:ind w:left="720" w:hanging="360"/>
      </w:pPr>
      <w:rPr>
        <w:rFonts w:ascii="Symbol" w:hAnsi="Symbol" w:hint="default"/>
      </w:rPr>
    </w:lvl>
    <w:lvl w:ilvl="1" w:tplc="4D10C7F2">
      <w:numFmt w:val="decimal"/>
      <w:lvlText w:val=""/>
      <w:lvlJc w:val="left"/>
    </w:lvl>
    <w:lvl w:ilvl="2" w:tplc="1A20B69A">
      <w:numFmt w:val="decimal"/>
      <w:lvlText w:val=""/>
      <w:lvlJc w:val="left"/>
    </w:lvl>
    <w:lvl w:ilvl="3" w:tplc="E3F844EA">
      <w:numFmt w:val="decimal"/>
      <w:lvlText w:val=""/>
      <w:lvlJc w:val="left"/>
    </w:lvl>
    <w:lvl w:ilvl="4" w:tplc="2D822ED6">
      <w:numFmt w:val="decimal"/>
      <w:lvlText w:val=""/>
      <w:lvlJc w:val="left"/>
    </w:lvl>
    <w:lvl w:ilvl="5" w:tplc="1C347812">
      <w:numFmt w:val="decimal"/>
      <w:lvlText w:val=""/>
      <w:lvlJc w:val="left"/>
    </w:lvl>
    <w:lvl w:ilvl="6" w:tplc="F056C8B2">
      <w:numFmt w:val="decimal"/>
      <w:lvlText w:val=""/>
      <w:lvlJc w:val="left"/>
    </w:lvl>
    <w:lvl w:ilvl="7" w:tplc="0CA441D8">
      <w:numFmt w:val="decimal"/>
      <w:lvlText w:val=""/>
      <w:lvlJc w:val="left"/>
    </w:lvl>
    <w:lvl w:ilvl="8" w:tplc="80D28DAA">
      <w:numFmt w:val="decimal"/>
      <w:lvlText w:val=""/>
      <w:lvlJc w:val="left"/>
    </w:lvl>
  </w:abstractNum>
  <w:abstractNum w:abstractNumId="686" w15:restartNumberingAfterBreak="0">
    <w:nsid w:val="470C481D"/>
    <w:multiLevelType w:val="hybridMultilevel"/>
    <w:tmpl w:val="99E8035C"/>
    <w:lvl w:ilvl="0" w:tplc="29B676C0">
      <w:start w:val="1"/>
      <w:numFmt w:val="bullet"/>
      <w:lvlText w:val=""/>
      <w:lvlJc w:val="left"/>
      <w:pPr>
        <w:ind w:left="720" w:hanging="360"/>
      </w:pPr>
      <w:rPr>
        <w:rFonts w:ascii="Symbol" w:hAnsi="Symbol" w:hint="default"/>
      </w:rPr>
    </w:lvl>
    <w:lvl w:ilvl="1" w:tplc="3698E9D2">
      <w:numFmt w:val="decimal"/>
      <w:lvlText w:val=""/>
      <w:lvlJc w:val="left"/>
    </w:lvl>
    <w:lvl w:ilvl="2" w:tplc="A470E838">
      <w:numFmt w:val="decimal"/>
      <w:lvlText w:val=""/>
      <w:lvlJc w:val="left"/>
    </w:lvl>
    <w:lvl w:ilvl="3" w:tplc="52E6CA12">
      <w:numFmt w:val="decimal"/>
      <w:lvlText w:val=""/>
      <w:lvlJc w:val="left"/>
    </w:lvl>
    <w:lvl w:ilvl="4" w:tplc="A36AC9AC">
      <w:numFmt w:val="decimal"/>
      <w:lvlText w:val=""/>
      <w:lvlJc w:val="left"/>
    </w:lvl>
    <w:lvl w:ilvl="5" w:tplc="7534E692">
      <w:numFmt w:val="decimal"/>
      <w:lvlText w:val=""/>
      <w:lvlJc w:val="left"/>
    </w:lvl>
    <w:lvl w:ilvl="6" w:tplc="02C8EC06">
      <w:numFmt w:val="decimal"/>
      <w:lvlText w:val=""/>
      <w:lvlJc w:val="left"/>
    </w:lvl>
    <w:lvl w:ilvl="7" w:tplc="4288F1E8">
      <w:numFmt w:val="decimal"/>
      <w:lvlText w:val=""/>
      <w:lvlJc w:val="left"/>
    </w:lvl>
    <w:lvl w:ilvl="8" w:tplc="DA14E97E">
      <w:numFmt w:val="decimal"/>
      <w:lvlText w:val=""/>
      <w:lvlJc w:val="left"/>
    </w:lvl>
  </w:abstractNum>
  <w:abstractNum w:abstractNumId="687" w15:restartNumberingAfterBreak="0">
    <w:nsid w:val="470E181C"/>
    <w:multiLevelType w:val="hybridMultilevel"/>
    <w:tmpl w:val="4F3E527A"/>
    <w:lvl w:ilvl="0" w:tplc="72EC5066">
      <w:start w:val="1"/>
      <w:numFmt w:val="bullet"/>
      <w:lvlText w:val=""/>
      <w:lvlJc w:val="left"/>
      <w:pPr>
        <w:ind w:left="720" w:hanging="360"/>
      </w:pPr>
      <w:rPr>
        <w:rFonts w:ascii="Symbol" w:hAnsi="Symbol" w:hint="default"/>
      </w:rPr>
    </w:lvl>
    <w:lvl w:ilvl="1" w:tplc="CFAC79D8">
      <w:numFmt w:val="decimal"/>
      <w:lvlText w:val=""/>
      <w:lvlJc w:val="left"/>
    </w:lvl>
    <w:lvl w:ilvl="2" w:tplc="D0608D70">
      <w:numFmt w:val="decimal"/>
      <w:lvlText w:val=""/>
      <w:lvlJc w:val="left"/>
    </w:lvl>
    <w:lvl w:ilvl="3" w:tplc="6A384512">
      <w:numFmt w:val="decimal"/>
      <w:lvlText w:val=""/>
      <w:lvlJc w:val="left"/>
    </w:lvl>
    <w:lvl w:ilvl="4" w:tplc="51CC74D0">
      <w:numFmt w:val="decimal"/>
      <w:lvlText w:val=""/>
      <w:lvlJc w:val="left"/>
    </w:lvl>
    <w:lvl w:ilvl="5" w:tplc="AFEC96C8">
      <w:numFmt w:val="decimal"/>
      <w:lvlText w:val=""/>
      <w:lvlJc w:val="left"/>
    </w:lvl>
    <w:lvl w:ilvl="6" w:tplc="1AEACA34">
      <w:numFmt w:val="decimal"/>
      <w:lvlText w:val=""/>
      <w:lvlJc w:val="left"/>
    </w:lvl>
    <w:lvl w:ilvl="7" w:tplc="E4F67458">
      <w:numFmt w:val="decimal"/>
      <w:lvlText w:val=""/>
      <w:lvlJc w:val="left"/>
    </w:lvl>
    <w:lvl w:ilvl="8" w:tplc="B32ACE9C">
      <w:numFmt w:val="decimal"/>
      <w:lvlText w:val=""/>
      <w:lvlJc w:val="left"/>
    </w:lvl>
  </w:abstractNum>
  <w:abstractNum w:abstractNumId="688" w15:restartNumberingAfterBreak="0">
    <w:nsid w:val="470E2F0A"/>
    <w:multiLevelType w:val="hybridMultilevel"/>
    <w:tmpl w:val="8D6E3654"/>
    <w:lvl w:ilvl="0" w:tplc="7D28F0A0">
      <w:start w:val="1"/>
      <w:numFmt w:val="bullet"/>
      <w:lvlText w:val=""/>
      <w:lvlJc w:val="left"/>
      <w:pPr>
        <w:ind w:left="720" w:hanging="360"/>
      </w:pPr>
      <w:rPr>
        <w:rFonts w:ascii="Symbol" w:hAnsi="Symbol" w:hint="default"/>
      </w:rPr>
    </w:lvl>
    <w:lvl w:ilvl="1" w:tplc="BCF804AC">
      <w:numFmt w:val="decimal"/>
      <w:lvlText w:val=""/>
      <w:lvlJc w:val="left"/>
    </w:lvl>
    <w:lvl w:ilvl="2" w:tplc="8A16D55C">
      <w:numFmt w:val="decimal"/>
      <w:lvlText w:val=""/>
      <w:lvlJc w:val="left"/>
    </w:lvl>
    <w:lvl w:ilvl="3" w:tplc="ABC40B46">
      <w:numFmt w:val="decimal"/>
      <w:lvlText w:val=""/>
      <w:lvlJc w:val="left"/>
    </w:lvl>
    <w:lvl w:ilvl="4" w:tplc="B9DC9FDC">
      <w:numFmt w:val="decimal"/>
      <w:lvlText w:val=""/>
      <w:lvlJc w:val="left"/>
    </w:lvl>
    <w:lvl w:ilvl="5" w:tplc="64EAC5B4">
      <w:numFmt w:val="decimal"/>
      <w:lvlText w:val=""/>
      <w:lvlJc w:val="left"/>
    </w:lvl>
    <w:lvl w:ilvl="6" w:tplc="1FA0BDBC">
      <w:numFmt w:val="decimal"/>
      <w:lvlText w:val=""/>
      <w:lvlJc w:val="left"/>
    </w:lvl>
    <w:lvl w:ilvl="7" w:tplc="6AA833F8">
      <w:numFmt w:val="decimal"/>
      <w:lvlText w:val=""/>
      <w:lvlJc w:val="left"/>
    </w:lvl>
    <w:lvl w:ilvl="8" w:tplc="FC8E68B4">
      <w:numFmt w:val="decimal"/>
      <w:lvlText w:val=""/>
      <w:lvlJc w:val="left"/>
    </w:lvl>
  </w:abstractNum>
  <w:abstractNum w:abstractNumId="689" w15:restartNumberingAfterBreak="0">
    <w:nsid w:val="47251AE1"/>
    <w:multiLevelType w:val="hybridMultilevel"/>
    <w:tmpl w:val="C66802B2"/>
    <w:lvl w:ilvl="0" w:tplc="A66059B0">
      <w:start w:val="1"/>
      <w:numFmt w:val="bullet"/>
      <w:lvlText w:val=""/>
      <w:lvlJc w:val="left"/>
      <w:pPr>
        <w:ind w:left="720" w:hanging="360"/>
      </w:pPr>
      <w:rPr>
        <w:rFonts w:ascii="Symbol" w:hAnsi="Symbol" w:hint="default"/>
      </w:rPr>
    </w:lvl>
    <w:lvl w:ilvl="1" w:tplc="15DAD154">
      <w:numFmt w:val="decimal"/>
      <w:lvlText w:val=""/>
      <w:lvlJc w:val="left"/>
    </w:lvl>
    <w:lvl w:ilvl="2" w:tplc="2D1E6214">
      <w:numFmt w:val="decimal"/>
      <w:lvlText w:val=""/>
      <w:lvlJc w:val="left"/>
    </w:lvl>
    <w:lvl w:ilvl="3" w:tplc="F4505372">
      <w:numFmt w:val="decimal"/>
      <w:lvlText w:val=""/>
      <w:lvlJc w:val="left"/>
    </w:lvl>
    <w:lvl w:ilvl="4" w:tplc="CF5A3D58">
      <w:numFmt w:val="decimal"/>
      <w:lvlText w:val=""/>
      <w:lvlJc w:val="left"/>
    </w:lvl>
    <w:lvl w:ilvl="5" w:tplc="D36C7B50">
      <w:numFmt w:val="decimal"/>
      <w:lvlText w:val=""/>
      <w:lvlJc w:val="left"/>
    </w:lvl>
    <w:lvl w:ilvl="6" w:tplc="4C48EFA8">
      <w:numFmt w:val="decimal"/>
      <w:lvlText w:val=""/>
      <w:lvlJc w:val="left"/>
    </w:lvl>
    <w:lvl w:ilvl="7" w:tplc="994682A6">
      <w:numFmt w:val="decimal"/>
      <w:lvlText w:val=""/>
      <w:lvlJc w:val="left"/>
    </w:lvl>
    <w:lvl w:ilvl="8" w:tplc="9760DA8E">
      <w:numFmt w:val="decimal"/>
      <w:lvlText w:val=""/>
      <w:lvlJc w:val="left"/>
    </w:lvl>
  </w:abstractNum>
  <w:abstractNum w:abstractNumId="690" w15:restartNumberingAfterBreak="0">
    <w:nsid w:val="47362043"/>
    <w:multiLevelType w:val="hybridMultilevel"/>
    <w:tmpl w:val="A2447434"/>
    <w:lvl w:ilvl="0" w:tplc="5DBC65F2">
      <w:start w:val="1"/>
      <w:numFmt w:val="bullet"/>
      <w:lvlText w:val=""/>
      <w:lvlJc w:val="left"/>
      <w:pPr>
        <w:ind w:left="720" w:hanging="360"/>
      </w:pPr>
      <w:rPr>
        <w:rFonts w:ascii="Symbol" w:hAnsi="Symbol" w:hint="default"/>
      </w:rPr>
    </w:lvl>
    <w:lvl w:ilvl="1" w:tplc="65D6536C">
      <w:numFmt w:val="decimal"/>
      <w:lvlText w:val=""/>
      <w:lvlJc w:val="left"/>
    </w:lvl>
    <w:lvl w:ilvl="2" w:tplc="C09CC9A0">
      <w:numFmt w:val="decimal"/>
      <w:lvlText w:val=""/>
      <w:lvlJc w:val="left"/>
    </w:lvl>
    <w:lvl w:ilvl="3" w:tplc="969C8CD4">
      <w:numFmt w:val="decimal"/>
      <w:lvlText w:val=""/>
      <w:lvlJc w:val="left"/>
    </w:lvl>
    <w:lvl w:ilvl="4" w:tplc="244241D4">
      <w:numFmt w:val="decimal"/>
      <w:lvlText w:val=""/>
      <w:lvlJc w:val="left"/>
    </w:lvl>
    <w:lvl w:ilvl="5" w:tplc="E9E0B5EC">
      <w:numFmt w:val="decimal"/>
      <w:lvlText w:val=""/>
      <w:lvlJc w:val="left"/>
    </w:lvl>
    <w:lvl w:ilvl="6" w:tplc="CB54E132">
      <w:numFmt w:val="decimal"/>
      <w:lvlText w:val=""/>
      <w:lvlJc w:val="left"/>
    </w:lvl>
    <w:lvl w:ilvl="7" w:tplc="D270A89E">
      <w:numFmt w:val="decimal"/>
      <w:lvlText w:val=""/>
      <w:lvlJc w:val="left"/>
    </w:lvl>
    <w:lvl w:ilvl="8" w:tplc="3A56673E">
      <w:numFmt w:val="decimal"/>
      <w:lvlText w:val=""/>
      <w:lvlJc w:val="left"/>
    </w:lvl>
  </w:abstractNum>
  <w:abstractNum w:abstractNumId="691" w15:restartNumberingAfterBreak="0">
    <w:nsid w:val="474724F8"/>
    <w:multiLevelType w:val="hybridMultilevel"/>
    <w:tmpl w:val="F560104A"/>
    <w:lvl w:ilvl="0" w:tplc="2CAE5B54">
      <w:start w:val="1"/>
      <w:numFmt w:val="bullet"/>
      <w:lvlText w:val=""/>
      <w:lvlJc w:val="left"/>
      <w:pPr>
        <w:ind w:left="720" w:hanging="360"/>
      </w:pPr>
      <w:rPr>
        <w:rFonts w:ascii="Symbol" w:hAnsi="Symbol" w:hint="default"/>
      </w:rPr>
    </w:lvl>
    <w:lvl w:ilvl="1" w:tplc="091CC8DC">
      <w:numFmt w:val="decimal"/>
      <w:lvlText w:val=""/>
      <w:lvlJc w:val="left"/>
    </w:lvl>
    <w:lvl w:ilvl="2" w:tplc="37922976">
      <w:numFmt w:val="decimal"/>
      <w:lvlText w:val=""/>
      <w:lvlJc w:val="left"/>
    </w:lvl>
    <w:lvl w:ilvl="3" w:tplc="082A7BFA">
      <w:numFmt w:val="decimal"/>
      <w:lvlText w:val=""/>
      <w:lvlJc w:val="left"/>
    </w:lvl>
    <w:lvl w:ilvl="4" w:tplc="98EE6A8A">
      <w:numFmt w:val="decimal"/>
      <w:lvlText w:val=""/>
      <w:lvlJc w:val="left"/>
    </w:lvl>
    <w:lvl w:ilvl="5" w:tplc="8A647F0E">
      <w:numFmt w:val="decimal"/>
      <w:lvlText w:val=""/>
      <w:lvlJc w:val="left"/>
    </w:lvl>
    <w:lvl w:ilvl="6" w:tplc="985C8BCE">
      <w:numFmt w:val="decimal"/>
      <w:lvlText w:val=""/>
      <w:lvlJc w:val="left"/>
    </w:lvl>
    <w:lvl w:ilvl="7" w:tplc="E0F0D78E">
      <w:numFmt w:val="decimal"/>
      <w:lvlText w:val=""/>
      <w:lvlJc w:val="left"/>
    </w:lvl>
    <w:lvl w:ilvl="8" w:tplc="216A6A0A">
      <w:numFmt w:val="decimal"/>
      <w:lvlText w:val=""/>
      <w:lvlJc w:val="left"/>
    </w:lvl>
  </w:abstractNum>
  <w:abstractNum w:abstractNumId="692" w15:restartNumberingAfterBreak="0">
    <w:nsid w:val="476D52EE"/>
    <w:multiLevelType w:val="hybridMultilevel"/>
    <w:tmpl w:val="879CFE0E"/>
    <w:lvl w:ilvl="0" w:tplc="12D034F0">
      <w:start w:val="1"/>
      <w:numFmt w:val="bullet"/>
      <w:lvlText w:val=""/>
      <w:lvlJc w:val="left"/>
      <w:pPr>
        <w:ind w:left="720" w:hanging="360"/>
      </w:pPr>
      <w:rPr>
        <w:rFonts w:ascii="Symbol" w:hAnsi="Symbol" w:hint="default"/>
      </w:rPr>
    </w:lvl>
    <w:lvl w:ilvl="1" w:tplc="47C488C0">
      <w:numFmt w:val="decimal"/>
      <w:lvlText w:val=""/>
      <w:lvlJc w:val="left"/>
    </w:lvl>
    <w:lvl w:ilvl="2" w:tplc="C0E0D772">
      <w:numFmt w:val="decimal"/>
      <w:lvlText w:val=""/>
      <w:lvlJc w:val="left"/>
    </w:lvl>
    <w:lvl w:ilvl="3" w:tplc="B4327E16">
      <w:numFmt w:val="decimal"/>
      <w:lvlText w:val=""/>
      <w:lvlJc w:val="left"/>
    </w:lvl>
    <w:lvl w:ilvl="4" w:tplc="9E76AC9E">
      <w:numFmt w:val="decimal"/>
      <w:lvlText w:val=""/>
      <w:lvlJc w:val="left"/>
    </w:lvl>
    <w:lvl w:ilvl="5" w:tplc="DF10274C">
      <w:numFmt w:val="decimal"/>
      <w:lvlText w:val=""/>
      <w:lvlJc w:val="left"/>
    </w:lvl>
    <w:lvl w:ilvl="6" w:tplc="E0F6D574">
      <w:numFmt w:val="decimal"/>
      <w:lvlText w:val=""/>
      <w:lvlJc w:val="left"/>
    </w:lvl>
    <w:lvl w:ilvl="7" w:tplc="7C6259A8">
      <w:numFmt w:val="decimal"/>
      <w:lvlText w:val=""/>
      <w:lvlJc w:val="left"/>
    </w:lvl>
    <w:lvl w:ilvl="8" w:tplc="EF206706">
      <w:numFmt w:val="decimal"/>
      <w:lvlText w:val=""/>
      <w:lvlJc w:val="left"/>
    </w:lvl>
  </w:abstractNum>
  <w:abstractNum w:abstractNumId="693" w15:restartNumberingAfterBreak="0">
    <w:nsid w:val="47AE3481"/>
    <w:multiLevelType w:val="hybridMultilevel"/>
    <w:tmpl w:val="0F989380"/>
    <w:lvl w:ilvl="0" w:tplc="10C6C71C">
      <w:start w:val="1"/>
      <w:numFmt w:val="bullet"/>
      <w:lvlText w:val=""/>
      <w:lvlJc w:val="left"/>
      <w:pPr>
        <w:ind w:left="720" w:hanging="360"/>
      </w:pPr>
      <w:rPr>
        <w:rFonts w:ascii="Symbol" w:hAnsi="Symbol" w:hint="default"/>
      </w:rPr>
    </w:lvl>
    <w:lvl w:ilvl="1" w:tplc="33DABD72">
      <w:numFmt w:val="decimal"/>
      <w:lvlText w:val=""/>
      <w:lvlJc w:val="left"/>
    </w:lvl>
    <w:lvl w:ilvl="2" w:tplc="68D8BC4E">
      <w:numFmt w:val="decimal"/>
      <w:lvlText w:val=""/>
      <w:lvlJc w:val="left"/>
    </w:lvl>
    <w:lvl w:ilvl="3" w:tplc="9CFC184A">
      <w:numFmt w:val="decimal"/>
      <w:lvlText w:val=""/>
      <w:lvlJc w:val="left"/>
    </w:lvl>
    <w:lvl w:ilvl="4" w:tplc="379A729A">
      <w:numFmt w:val="decimal"/>
      <w:lvlText w:val=""/>
      <w:lvlJc w:val="left"/>
    </w:lvl>
    <w:lvl w:ilvl="5" w:tplc="1CB6FCF4">
      <w:numFmt w:val="decimal"/>
      <w:lvlText w:val=""/>
      <w:lvlJc w:val="left"/>
    </w:lvl>
    <w:lvl w:ilvl="6" w:tplc="DCA07B6A">
      <w:numFmt w:val="decimal"/>
      <w:lvlText w:val=""/>
      <w:lvlJc w:val="left"/>
    </w:lvl>
    <w:lvl w:ilvl="7" w:tplc="3184DAAE">
      <w:numFmt w:val="decimal"/>
      <w:lvlText w:val=""/>
      <w:lvlJc w:val="left"/>
    </w:lvl>
    <w:lvl w:ilvl="8" w:tplc="FB546484">
      <w:numFmt w:val="decimal"/>
      <w:lvlText w:val=""/>
      <w:lvlJc w:val="left"/>
    </w:lvl>
  </w:abstractNum>
  <w:abstractNum w:abstractNumId="694" w15:restartNumberingAfterBreak="0">
    <w:nsid w:val="483E3021"/>
    <w:multiLevelType w:val="hybridMultilevel"/>
    <w:tmpl w:val="53C4F148"/>
    <w:lvl w:ilvl="0" w:tplc="1CB47B14">
      <w:numFmt w:val="decimal"/>
      <w:lvlText w:val=""/>
      <w:lvlJc w:val="left"/>
    </w:lvl>
    <w:lvl w:ilvl="1" w:tplc="0CDCD6F4">
      <w:start w:val="1"/>
      <w:numFmt w:val="bullet"/>
      <w:lvlText w:val=""/>
      <w:lvlJc w:val="left"/>
      <w:pPr>
        <w:ind w:left="1440" w:hanging="360"/>
      </w:pPr>
      <w:rPr>
        <w:rFonts w:ascii="Symbol" w:hAnsi="Symbol" w:hint="default"/>
      </w:rPr>
    </w:lvl>
    <w:lvl w:ilvl="2" w:tplc="DEC48516">
      <w:numFmt w:val="decimal"/>
      <w:lvlText w:val=""/>
      <w:lvlJc w:val="left"/>
    </w:lvl>
    <w:lvl w:ilvl="3" w:tplc="2DEE4E46">
      <w:numFmt w:val="decimal"/>
      <w:lvlText w:val=""/>
      <w:lvlJc w:val="left"/>
    </w:lvl>
    <w:lvl w:ilvl="4" w:tplc="2FD8BBB2">
      <w:numFmt w:val="decimal"/>
      <w:lvlText w:val=""/>
      <w:lvlJc w:val="left"/>
    </w:lvl>
    <w:lvl w:ilvl="5" w:tplc="28628A80">
      <w:numFmt w:val="decimal"/>
      <w:lvlText w:val=""/>
      <w:lvlJc w:val="left"/>
    </w:lvl>
    <w:lvl w:ilvl="6" w:tplc="C82E4898">
      <w:numFmt w:val="decimal"/>
      <w:lvlText w:val=""/>
      <w:lvlJc w:val="left"/>
    </w:lvl>
    <w:lvl w:ilvl="7" w:tplc="40124A92">
      <w:numFmt w:val="decimal"/>
      <w:lvlText w:val=""/>
      <w:lvlJc w:val="left"/>
    </w:lvl>
    <w:lvl w:ilvl="8" w:tplc="22B02DD6">
      <w:numFmt w:val="decimal"/>
      <w:lvlText w:val=""/>
      <w:lvlJc w:val="left"/>
    </w:lvl>
  </w:abstractNum>
  <w:abstractNum w:abstractNumId="695" w15:restartNumberingAfterBreak="0">
    <w:nsid w:val="487A24BF"/>
    <w:multiLevelType w:val="hybridMultilevel"/>
    <w:tmpl w:val="F8904F80"/>
    <w:lvl w:ilvl="0" w:tplc="77B6FA9A">
      <w:start w:val="1"/>
      <w:numFmt w:val="bullet"/>
      <w:lvlText w:val=""/>
      <w:lvlJc w:val="left"/>
      <w:pPr>
        <w:ind w:left="720" w:hanging="360"/>
      </w:pPr>
      <w:rPr>
        <w:rFonts w:ascii="Symbol" w:hAnsi="Symbol" w:hint="default"/>
      </w:rPr>
    </w:lvl>
    <w:lvl w:ilvl="1" w:tplc="AE00CB9A">
      <w:numFmt w:val="decimal"/>
      <w:lvlText w:val=""/>
      <w:lvlJc w:val="left"/>
    </w:lvl>
    <w:lvl w:ilvl="2" w:tplc="62D2AA52">
      <w:numFmt w:val="decimal"/>
      <w:lvlText w:val=""/>
      <w:lvlJc w:val="left"/>
    </w:lvl>
    <w:lvl w:ilvl="3" w:tplc="84D675CE">
      <w:numFmt w:val="decimal"/>
      <w:lvlText w:val=""/>
      <w:lvlJc w:val="left"/>
    </w:lvl>
    <w:lvl w:ilvl="4" w:tplc="D972A1C6">
      <w:numFmt w:val="decimal"/>
      <w:lvlText w:val=""/>
      <w:lvlJc w:val="left"/>
    </w:lvl>
    <w:lvl w:ilvl="5" w:tplc="98EADC94">
      <w:numFmt w:val="decimal"/>
      <w:lvlText w:val=""/>
      <w:lvlJc w:val="left"/>
    </w:lvl>
    <w:lvl w:ilvl="6" w:tplc="CB703C60">
      <w:numFmt w:val="decimal"/>
      <w:lvlText w:val=""/>
      <w:lvlJc w:val="left"/>
    </w:lvl>
    <w:lvl w:ilvl="7" w:tplc="87507AA2">
      <w:numFmt w:val="decimal"/>
      <w:lvlText w:val=""/>
      <w:lvlJc w:val="left"/>
    </w:lvl>
    <w:lvl w:ilvl="8" w:tplc="38ACA3AA">
      <w:numFmt w:val="decimal"/>
      <w:lvlText w:val=""/>
      <w:lvlJc w:val="left"/>
    </w:lvl>
  </w:abstractNum>
  <w:abstractNum w:abstractNumId="696" w15:restartNumberingAfterBreak="0">
    <w:nsid w:val="48842E9C"/>
    <w:multiLevelType w:val="hybridMultilevel"/>
    <w:tmpl w:val="9AD433AA"/>
    <w:lvl w:ilvl="0" w:tplc="88F21DBE">
      <w:start w:val="1"/>
      <w:numFmt w:val="bullet"/>
      <w:lvlText w:val=""/>
      <w:lvlJc w:val="left"/>
      <w:pPr>
        <w:ind w:left="720" w:hanging="360"/>
      </w:pPr>
      <w:rPr>
        <w:rFonts w:ascii="Symbol" w:hAnsi="Symbol" w:hint="default"/>
      </w:rPr>
    </w:lvl>
    <w:lvl w:ilvl="1" w:tplc="6708132E">
      <w:numFmt w:val="decimal"/>
      <w:lvlText w:val=""/>
      <w:lvlJc w:val="left"/>
    </w:lvl>
    <w:lvl w:ilvl="2" w:tplc="23A269F4">
      <w:numFmt w:val="decimal"/>
      <w:lvlText w:val=""/>
      <w:lvlJc w:val="left"/>
    </w:lvl>
    <w:lvl w:ilvl="3" w:tplc="0D723FF8">
      <w:numFmt w:val="decimal"/>
      <w:lvlText w:val=""/>
      <w:lvlJc w:val="left"/>
    </w:lvl>
    <w:lvl w:ilvl="4" w:tplc="8C9483F6">
      <w:numFmt w:val="decimal"/>
      <w:lvlText w:val=""/>
      <w:lvlJc w:val="left"/>
    </w:lvl>
    <w:lvl w:ilvl="5" w:tplc="0526CFBE">
      <w:numFmt w:val="decimal"/>
      <w:lvlText w:val=""/>
      <w:lvlJc w:val="left"/>
    </w:lvl>
    <w:lvl w:ilvl="6" w:tplc="5C98B7D6">
      <w:numFmt w:val="decimal"/>
      <w:lvlText w:val=""/>
      <w:lvlJc w:val="left"/>
    </w:lvl>
    <w:lvl w:ilvl="7" w:tplc="17E8A792">
      <w:numFmt w:val="decimal"/>
      <w:lvlText w:val=""/>
      <w:lvlJc w:val="left"/>
    </w:lvl>
    <w:lvl w:ilvl="8" w:tplc="056A369C">
      <w:numFmt w:val="decimal"/>
      <w:lvlText w:val=""/>
      <w:lvlJc w:val="left"/>
    </w:lvl>
  </w:abstractNum>
  <w:abstractNum w:abstractNumId="697" w15:restartNumberingAfterBreak="0">
    <w:nsid w:val="489C4263"/>
    <w:multiLevelType w:val="hybridMultilevel"/>
    <w:tmpl w:val="3B9EA050"/>
    <w:lvl w:ilvl="0" w:tplc="A91AE1AE">
      <w:start w:val="1"/>
      <w:numFmt w:val="bullet"/>
      <w:lvlText w:val=""/>
      <w:lvlJc w:val="left"/>
      <w:pPr>
        <w:ind w:left="720" w:hanging="360"/>
      </w:pPr>
      <w:rPr>
        <w:rFonts w:ascii="Symbol" w:hAnsi="Symbol" w:hint="default"/>
      </w:rPr>
    </w:lvl>
    <w:lvl w:ilvl="1" w:tplc="8162FFA6">
      <w:numFmt w:val="decimal"/>
      <w:lvlText w:val=""/>
      <w:lvlJc w:val="left"/>
    </w:lvl>
    <w:lvl w:ilvl="2" w:tplc="2D72CBDE">
      <w:numFmt w:val="decimal"/>
      <w:lvlText w:val=""/>
      <w:lvlJc w:val="left"/>
    </w:lvl>
    <w:lvl w:ilvl="3" w:tplc="9190DB10">
      <w:numFmt w:val="decimal"/>
      <w:lvlText w:val=""/>
      <w:lvlJc w:val="left"/>
    </w:lvl>
    <w:lvl w:ilvl="4" w:tplc="8F509BD8">
      <w:numFmt w:val="decimal"/>
      <w:lvlText w:val=""/>
      <w:lvlJc w:val="left"/>
    </w:lvl>
    <w:lvl w:ilvl="5" w:tplc="3604C13A">
      <w:numFmt w:val="decimal"/>
      <w:lvlText w:val=""/>
      <w:lvlJc w:val="left"/>
    </w:lvl>
    <w:lvl w:ilvl="6" w:tplc="4B4AA712">
      <w:numFmt w:val="decimal"/>
      <w:lvlText w:val=""/>
      <w:lvlJc w:val="left"/>
    </w:lvl>
    <w:lvl w:ilvl="7" w:tplc="11B2230E">
      <w:numFmt w:val="decimal"/>
      <w:lvlText w:val=""/>
      <w:lvlJc w:val="left"/>
    </w:lvl>
    <w:lvl w:ilvl="8" w:tplc="22882A7E">
      <w:numFmt w:val="decimal"/>
      <w:lvlText w:val=""/>
      <w:lvlJc w:val="left"/>
    </w:lvl>
  </w:abstractNum>
  <w:abstractNum w:abstractNumId="698" w15:restartNumberingAfterBreak="0">
    <w:nsid w:val="48B50C0E"/>
    <w:multiLevelType w:val="hybridMultilevel"/>
    <w:tmpl w:val="5566AF56"/>
    <w:lvl w:ilvl="0" w:tplc="111CA91A">
      <w:start w:val="1"/>
      <w:numFmt w:val="bullet"/>
      <w:lvlText w:val=""/>
      <w:lvlJc w:val="left"/>
      <w:pPr>
        <w:ind w:left="720" w:hanging="360"/>
      </w:pPr>
      <w:rPr>
        <w:rFonts w:ascii="Symbol" w:hAnsi="Symbol" w:hint="default"/>
      </w:rPr>
    </w:lvl>
    <w:lvl w:ilvl="1" w:tplc="E2AC8626">
      <w:numFmt w:val="decimal"/>
      <w:lvlText w:val=""/>
      <w:lvlJc w:val="left"/>
    </w:lvl>
    <w:lvl w:ilvl="2" w:tplc="FD9E3B18">
      <w:numFmt w:val="decimal"/>
      <w:lvlText w:val=""/>
      <w:lvlJc w:val="left"/>
    </w:lvl>
    <w:lvl w:ilvl="3" w:tplc="8D6258EC">
      <w:numFmt w:val="decimal"/>
      <w:lvlText w:val=""/>
      <w:lvlJc w:val="left"/>
    </w:lvl>
    <w:lvl w:ilvl="4" w:tplc="C6AADB06">
      <w:numFmt w:val="decimal"/>
      <w:lvlText w:val=""/>
      <w:lvlJc w:val="left"/>
    </w:lvl>
    <w:lvl w:ilvl="5" w:tplc="0A9207EC">
      <w:numFmt w:val="decimal"/>
      <w:lvlText w:val=""/>
      <w:lvlJc w:val="left"/>
    </w:lvl>
    <w:lvl w:ilvl="6" w:tplc="3BAE071E">
      <w:numFmt w:val="decimal"/>
      <w:lvlText w:val=""/>
      <w:lvlJc w:val="left"/>
    </w:lvl>
    <w:lvl w:ilvl="7" w:tplc="46EEA258">
      <w:numFmt w:val="decimal"/>
      <w:lvlText w:val=""/>
      <w:lvlJc w:val="left"/>
    </w:lvl>
    <w:lvl w:ilvl="8" w:tplc="97ECE6B8">
      <w:numFmt w:val="decimal"/>
      <w:lvlText w:val=""/>
      <w:lvlJc w:val="left"/>
    </w:lvl>
  </w:abstractNum>
  <w:abstractNum w:abstractNumId="699" w15:restartNumberingAfterBreak="0">
    <w:nsid w:val="48B51A24"/>
    <w:multiLevelType w:val="hybridMultilevel"/>
    <w:tmpl w:val="FD04508A"/>
    <w:lvl w:ilvl="0" w:tplc="421453C2">
      <w:start w:val="1"/>
      <w:numFmt w:val="bullet"/>
      <w:lvlText w:val=""/>
      <w:lvlJc w:val="left"/>
      <w:pPr>
        <w:ind w:left="720" w:hanging="360"/>
      </w:pPr>
      <w:rPr>
        <w:rFonts w:ascii="Symbol" w:hAnsi="Symbol" w:hint="default"/>
      </w:rPr>
    </w:lvl>
    <w:lvl w:ilvl="1" w:tplc="BA84D27A">
      <w:numFmt w:val="decimal"/>
      <w:lvlText w:val=""/>
      <w:lvlJc w:val="left"/>
    </w:lvl>
    <w:lvl w:ilvl="2" w:tplc="1E76FC12">
      <w:numFmt w:val="decimal"/>
      <w:lvlText w:val=""/>
      <w:lvlJc w:val="left"/>
    </w:lvl>
    <w:lvl w:ilvl="3" w:tplc="F10E2D64">
      <w:numFmt w:val="decimal"/>
      <w:lvlText w:val=""/>
      <w:lvlJc w:val="left"/>
    </w:lvl>
    <w:lvl w:ilvl="4" w:tplc="B6766E5A">
      <w:numFmt w:val="decimal"/>
      <w:lvlText w:val=""/>
      <w:lvlJc w:val="left"/>
    </w:lvl>
    <w:lvl w:ilvl="5" w:tplc="DBCE19AC">
      <w:numFmt w:val="decimal"/>
      <w:lvlText w:val=""/>
      <w:lvlJc w:val="left"/>
    </w:lvl>
    <w:lvl w:ilvl="6" w:tplc="59C42CAE">
      <w:numFmt w:val="decimal"/>
      <w:lvlText w:val=""/>
      <w:lvlJc w:val="left"/>
    </w:lvl>
    <w:lvl w:ilvl="7" w:tplc="9D74D6DA">
      <w:numFmt w:val="decimal"/>
      <w:lvlText w:val=""/>
      <w:lvlJc w:val="left"/>
    </w:lvl>
    <w:lvl w:ilvl="8" w:tplc="EA4CEA04">
      <w:numFmt w:val="decimal"/>
      <w:lvlText w:val=""/>
      <w:lvlJc w:val="left"/>
    </w:lvl>
  </w:abstractNum>
  <w:abstractNum w:abstractNumId="700" w15:restartNumberingAfterBreak="0">
    <w:nsid w:val="48E829CE"/>
    <w:multiLevelType w:val="hybridMultilevel"/>
    <w:tmpl w:val="E42E4272"/>
    <w:lvl w:ilvl="0" w:tplc="7494C348">
      <w:start w:val="1"/>
      <w:numFmt w:val="bullet"/>
      <w:lvlText w:val=""/>
      <w:lvlJc w:val="left"/>
      <w:pPr>
        <w:ind w:left="720" w:hanging="360"/>
      </w:pPr>
      <w:rPr>
        <w:rFonts w:ascii="Symbol" w:hAnsi="Symbol" w:hint="default"/>
      </w:rPr>
    </w:lvl>
    <w:lvl w:ilvl="1" w:tplc="41282AB6">
      <w:numFmt w:val="decimal"/>
      <w:lvlText w:val=""/>
      <w:lvlJc w:val="left"/>
    </w:lvl>
    <w:lvl w:ilvl="2" w:tplc="0A5A9FB6">
      <w:numFmt w:val="decimal"/>
      <w:lvlText w:val=""/>
      <w:lvlJc w:val="left"/>
    </w:lvl>
    <w:lvl w:ilvl="3" w:tplc="93DA82F8">
      <w:numFmt w:val="decimal"/>
      <w:lvlText w:val=""/>
      <w:lvlJc w:val="left"/>
    </w:lvl>
    <w:lvl w:ilvl="4" w:tplc="00AAD2FC">
      <w:numFmt w:val="decimal"/>
      <w:lvlText w:val=""/>
      <w:lvlJc w:val="left"/>
    </w:lvl>
    <w:lvl w:ilvl="5" w:tplc="9D4254B8">
      <w:numFmt w:val="decimal"/>
      <w:lvlText w:val=""/>
      <w:lvlJc w:val="left"/>
    </w:lvl>
    <w:lvl w:ilvl="6" w:tplc="7DBC3808">
      <w:numFmt w:val="decimal"/>
      <w:lvlText w:val=""/>
      <w:lvlJc w:val="left"/>
    </w:lvl>
    <w:lvl w:ilvl="7" w:tplc="DA301C74">
      <w:numFmt w:val="decimal"/>
      <w:lvlText w:val=""/>
      <w:lvlJc w:val="left"/>
    </w:lvl>
    <w:lvl w:ilvl="8" w:tplc="ED46444E">
      <w:numFmt w:val="decimal"/>
      <w:lvlText w:val=""/>
      <w:lvlJc w:val="left"/>
    </w:lvl>
  </w:abstractNum>
  <w:abstractNum w:abstractNumId="701" w15:restartNumberingAfterBreak="0">
    <w:nsid w:val="48F76F2F"/>
    <w:multiLevelType w:val="hybridMultilevel"/>
    <w:tmpl w:val="3960647A"/>
    <w:lvl w:ilvl="0" w:tplc="FA542C6E">
      <w:start w:val="1"/>
      <w:numFmt w:val="bullet"/>
      <w:lvlText w:val=""/>
      <w:lvlJc w:val="left"/>
      <w:pPr>
        <w:ind w:left="720" w:hanging="360"/>
      </w:pPr>
      <w:rPr>
        <w:rFonts w:ascii="Symbol" w:hAnsi="Symbol" w:hint="default"/>
      </w:rPr>
    </w:lvl>
    <w:lvl w:ilvl="1" w:tplc="E0F80926">
      <w:numFmt w:val="decimal"/>
      <w:lvlText w:val=""/>
      <w:lvlJc w:val="left"/>
    </w:lvl>
    <w:lvl w:ilvl="2" w:tplc="5DB6956E">
      <w:numFmt w:val="decimal"/>
      <w:lvlText w:val=""/>
      <w:lvlJc w:val="left"/>
    </w:lvl>
    <w:lvl w:ilvl="3" w:tplc="475623E2">
      <w:numFmt w:val="decimal"/>
      <w:lvlText w:val=""/>
      <w:lvlJc w:val="left"/>
    </w:lvl>
    <w:lvl w:ilvl="4" w:tplc="13B6A36A">
      <w:numFmt w:val="decimal"/>
      <w:lvlText w:val=""/>
      <w:lvlJc w:val="left"/>
    </w:lvl>
    <w:lvl w:ilvl="5" w:tplc="85C8CDAC">
      <w:numFmt w:val="decimal"/>
      <w:lvlText w:val=""/>
      <w:lvlJc w:val="left"/>
    </w:lvl>
    <w:lvl w:ilvl="6" w:tplc="C6CACDF6">
      <w:numFmt w:val="decimal"/>
      <w:lvlText w:val=""/>
      <w:lvlJc w:val="left"/>
    </w:lvl>
    <w:lvl w:ilvl="7" w:tplc="F4949752">
      <w:numFmt w:val="decimal"/>
      <w:lvlText w:val=""/>
      <w:lvlJc w:val="left"/>
    </w:lvl>
    <w:lvl w:ilvl="8" w:tplc="CFA81392">
      <w:numFmt w:val="decimal"/>
      <w:lvlText w:val=""/>
      <w:lvlJc w:val="left"/>
    </w:lvl>
  </w:abstractNum>
  <w:abstractNum w:abstractNumId="702" w15:restartNumberingAfterBreak="0">
    <w:nsid w:val="491B63AB"/>
    <w:multiLevelType w:val="hybridMultilevel"/>
    <w:tmpl w:val="E72E65AA"/>
    <w:lvl w:ilvl="0" w:tplc="BDEA35D0">
      <w:start w:val="1"/>
      <w:numFmt w:val="bullet"/>
      <w:lvlText w:val=""/>
      <w:lvlJc w:val="left"/>
      <w:pPr>
        <w:ind w:left="720" w:hanging="360"/>
      </w:pPr>
      <w:rPr>
        <w:rFonts w:ascii="Symbol" w:hAnsi="Symbol" w:hint="default"/>
      </w:rPr>
    </w:lvl>
    <w:lvl w:ilvl="1" w:tplc="B320584E">
      <w:numFmt w:val="decimal"/>
      <w:lvlText w:val=""/>
      <w:lvlJc w:val="left"/>
    </w:lvl>
    <w:lvl w:ilvl="2" w:tplc="FD28A85E">
      <w:numFmt w:val="decimal"/>
      <w:lvlText w:val=""/>
      <w:lvlJc w:val="left"/>
    </w:lvl>
    <w:lvl w:ilvl="3" w:tplc="97A07E24">
      <w:numFmt w:val="decimal"/>
      <w:lvlText w:val=""/>
      <w:lvlJc w:val="left"/>
    </w:lvl>
    <w:lvl w:ilvl="4" w:tplc="8AEC0CCE">
      <w:numFmt w:val="decimal"/>
      <w:lvlText w:val=""/>
      <w:lvlJc w:val="left"/>
    </w:lvl>
    <w:lvl w:ilvl="5" w:tplc="B70254A4">
      <w:numFmt w:val="decimal"/>
      <w:lvlText w:val=""/>
      <w:lvlJc w:val="left"/>
    </w:lvl>
    <w:lvl w:ilvl="6" w:tplc="AA586C9A">
      <w:numFmt w:val="decimal"/>
      <w:lvlText w:val=""/>
      <w:lvlJc w:val="left"/>
    </w:lvl>
    <w:lvl w:ilvl="7" w:tplc="C2B404F8">
      <w:numFmt w:val="decimal"/>
      <w:lvlText w:val=""/>
      <w:lvlJc w:val="left"/>
    </w:lvl>
    <w:lvl w:ilvl="8" w:tplc="F4FAB646">
      <w:numFmt w:val="decimal"/>
      <w:lvlText w:val=""/>
      <w:lvlJc w:val="left"/>
    </w:lvl>
  </w:abstractNum>
  <w:abstractNum w:abstractNumId="703" w15:restartNumberingAfterBreak="0">
    <w:nsid w:val="49371022"/>
    <w:multiLevelType w:val="hybridMultilevel"/>
    <w:tmpl w:val="2C8A2520"/>
    <w:lvl w:ilvl="0" w:tplc="B64AA5C4">
      <w:start w:val="1"/>
      <w:numFmt w:val="bullet"/>
      <w:lvlText w:val=""/>
      <w:lvlJc w:val="left"/>
      <w:pPr>
        <w:ind w:left="720" w:hanging="360"/>
      </w:pPr>
      <w:rPr>
        <w:rFonts w:ascii="Symbol" w:hAnsi="Symbol" w:hint="default"/>
      </w:rPr>
    </w:lvl>
    <w:lvl w:ilvl="1" w:tplc="D3A05C4C">
      <w:numFmt w:val="decimal"/>
      <w:lvlText w:val=""/>
      <w:lvlJc w:val="left"/>
    </w:lvl>
    <w:lvl w:ilvl="2" w:tplc="6AE06CAE">
      <w:numFmt w:val="decimal"/>
      <w:lvlText w:val=""/>
      <w:lvlJc w:val="left"/>
    </w:lvl>
    <w:lvl w:ilvl="3" w:tplc="AE2A0C6E">
      <w:numFmt w:val="decimal"/>
      <w:lvlText w:val=""/>
      <w:lvlJc w:val="left"/>
    </w:lvl>
    <w:lvl w:ilvl="4" w:tplc="4EDA9A70">
      <w:numFmt w:val="decimal"/>
      <w:lvlText w:val=""/>
      <w:lvlJc w:val="left"/>
    </w:lvl>
    <w:lvl w:ilvl="5" w:tplc="30580076">
      <w:numFmt w:val="decimal"/>
      <w:lvlText w:val=""/>
      <w:lvlJc w:val="left"/>
    </w:lvl>
    <w:lvl w:ilvl="6" w:tplc="101C5654">
      <w:numFmt w:val="decimal"/>
      <w:lvlText w:val=""/>
      <w:lvlJc w:val="left"/>
    </w:lvl>
    <w:lvl w:ilvl="7" w:tplc="39D86C4A">
      <w:numFmt w:val="decimal"/>
      <w:lvlText w:val=""/>
      <w:lvlJc w:val="left"/>
    </w:lvl>
    <w:lvl w:ilvl="8" w:tplc="E57A2DBA">
      <w:numFmt w:val="decimal"/>
      <w:lvlText w:val=""/>
      <w:lvlJc w:val="left"/>
    </w:lvl>
  </w:abstractNum>
  <w:abstractNum w:abstractNumId="704" w15:restartNumberingAfterBreak="0">
    <w:nsid w:val="494D6644"/>
    <w:multiLevelType w:val="hybridMultilevel"/>
    <w:tmpl w:val="00B6BB9C"/>
    <w:lvl w:ilvl="0" w:tplc="C14E7A2A">
      <w:start w:val="1"/>
      <w:numFmt w:val="bullet"/>
      <w:lvlText w:val=""/>
      <w:lvlJc w:val="left"/>
      <w:pPr>
        <w:ind w:left="720" w:hanging="360"/>
      </w:pPr>
      <w:rPr>
        <w:rFonts w:ascii="Symbol" w:hAnsi="Symbol" w:hint="default"/>
      </w:rPr>
    </w:lvl>
    <w:lvl w:ilvl="1" w:tplc="FCB2E076">
      <w:numFmt w:val="decimal"/>
      <w:lvlText w:val=""/>
      <w:lvlJc w:val="left"/>
    </w:lvl>
    <w:lvl w:ilvl="2" w:tplc="A02E6CCA">
      <w:numFmt w:val="decimal"/>
      <w:lvlText w:val=""/>
      <w:lvlJc w:val="left"/>
    </w:lvl>
    <w:lvl w:ilvl="3" w:tplc="DD580116">
      <w:numFmt w:val="decimal"/>
      <w:lvlText w:val=""/>
      <w:lvlJc w:val="left"/>
    </w:lvl>
    <w:lvl w:ilvl="4" w:tplc="164CA11A">
      <w:numFmt w:val="decimal"/>
      <w:lvlText w:val=""/>
      <w:lvlJc w:val="left"/>
    </w:lvl>
    <w:lvl w:ilvl="5" w:tplc="F9DE4B96">
      <w:numFmt w:val="decimal"/>
      <w:lvlText w:val=""/>
      <w:lvlJc w:val="left"/>
    </w:lvl>
    <w:lvl w:ilvl="6" w:tplc="20608AC2">
      <w:numFmt w:val="decimal"/>
      <w:lvlText w:val=""/>
      <w:lvlJc w:val="left"/>
    </w:lvl>
    <w:lvl w:ilvl="7" w:tplc="C3702408">
      <w:numFmt w:val="decimal"/>
      <w:lvlText w:val=""/>
      <w:lvlJc w:val="left"/>
    </w:lvl>
    <w:lvl w:ilvl="8" w:tplc="AD7C1B62">
      <w:numFmt w:val="decimal"/>
      <w:lvlText w:val=""/>
      <w:lvlJc w:val="left"/>
    </w:lvl>
  </w:abstractNum>
  <w:abstractNum w:abstractNumId="705" w15:restartNumberingAfterBreak="0">
    <w:nsid w:val="495212C5"/>
    <w:multiLevelType w:val="hybridMultilevel"/>
    <w:tmpl w:val="A390444C"/>
    <w:lvl w:ilvl="0" w:tplc="9312C70E">
      <w:start w:val="1"/>
      <w:numFmt w:val="bullet"/>
      <w:lvlText w:val=""/>
      <w:lvlJc w:val="left"/>
      <w:pPr>
        <w:ind w:left="720" w:hanging="360"/>
      </w:pPr>
      <w:rPr>
        <w:rFonts w:ascii="Symbol" w:hAnsi="Symbol" w:hint="default"/>
      </w:rPr>
    </w:lvl>
    <w:lvl w:ilvl="1" w:tplc="E062C7C0">
      <w:numFmt w:val="decimal"/>
      <w:lvlText w:val=""/>
      <w:lvlJc w:val="left"/>
    </w:lvl>
    <w:lvl w:ilvl="2" w:tplc="CCAC604A">
      <w:numFmt w:val="decimal"/>
      <w:lvlText w:val=""/>
      <w:lvlJc w:val="left"/>
    </w:lvl>
    <w:lvl w:ilvl="3" w:tplc="87344750">
      <w:numFmt w:val="decimal"/>
      <w:lvlText w:val=""/>
      <w:lvlJc w:val="left"/>
    </w:lvl>
    <w:lvl w:ilvl="4" w:tplc="49B045BA">
      <w:numFmt w:val="decimal"/>
      <w:lvlText w:val=""/>
      <w:lvlJc w:val="left"/>
    </w:lvl>
    <w:lvl w:ilvl="5" w:tplc="5CD23B7A">
      <w:numFmt w:val="decimal"/>
      <w:lvlText w:val=""/>
      <w:lvlJc w:val="left"/>
    </w:lvl>
    <w:lvl w:ilvl="6" w:tplc="39C0F83C">
      <w:numFmt w:val="decimal"/>
      <w:lvlText w:val=""/>
      <w:lvlJc w:val="left"/>
    </w:lvl>
    <w:lvl w:ilvl="7" w:tplc="D4A8D99A">
      <w:numFmt w:val="decimal"/>
      <w:lvlText w:val=""/>
      <w:lvlJc w:val="left"/>
    </w:lvl>
    <w:lvl w:ilvl="8" w:tplc="6B0044BA">
      <w:numFmt w:val="decimal"/>
      <w:lvlText w:val=""/>
      <w:lvlJc w:val="left"/>
    </w:lvl>
  </w:abstractNum>
  <w:abstractNum w:abstractNumId="706" w15:restartNumberingAfterBreak="0">
    <w:nsid w:val="495628D3"/>
    <w:multiLevelType w:val="hybridMultilevel"/>
    <w:tmpl w:val="A5A8A8DA"/>
    <w:lvl w:ilvl="0" w:tplc="1E809ED0">
      <w:start w:val="1"/>
      <w:numFmt w:val="bullet"/>
      <w:lvlText w:val=""/>
      <w:lvlJc w:val="left"/>
      <w:pPr>
        <w:ind w:left="720" w:hanging="360"/>
      </w:pPr>
      <w:rPr>
        <w:rFonts w:ascii="Symbol" w:hAnsi="Symbol" w:hint="default"/>
      </w:rPr>
    </w:lvl>
    <w:lvl w:ilvl="1" w:tplc="22FC6176">
      <w:numFmt w:val="decimal"/>
      <w:lvlText w:val=""/>
      <w:lvlJc w:val="left"/>
    </w:lvl>
    <w:lvl w:ilvl="2" w:tplc="401ABB74">
      <w:numFmt w:val="decimal"/>
      <w:lvlText w:val=""/>
      <w:lvlJc w:val="left"/>
    </w:lvl>
    <w:lvl w:ilvl="3" w:tplc="EA4E6A26">
      <w:numFmt w:val="decimal"/>
      <w:lvlText w:val=""/>
      <w:lvlJc w:val="left"/>
    </w:lvl>
    <w:lvl w:ilvl="4" w:tplc="A924428C">
      <w:numFmt w:val="decimal"/>
      <w:lvlText w:val=""/>
      <w:lvlJc w:val="left"/>
    </w:lvl>
    <w:lvl w:ilvl="5" w:tplc="4AB446B2">
      <w:numFmt w:val="decimal"/>
      <w:lvlText w:val=""/>
      <w:lvlJc w:val="left"/>
    </w:lvl>
    <w:lvl w:ilvl="6" w:tplc="996AECEE">
      <w:numFmt w:val="decimal"/>
      <w:lvlText w:val=""/>
      <w:lvlJc w:val="left"/>
    </w:lvl>
    <w:lvl w:ilvl="7" w:tplc="F56483CA">
      <w:numFmt w:val="decimal"/>
      <w:lvlText w:val=""/>
      <w:lvlJc w:val="left"/>
    </w:lvl>
    <w:lvl w:ilvl="8" w:tplc="5E541E48">
      <w:numFmt w:val="decimal"/>
      <w:lvlText w:val=""/>
      <w:lvlJc w:val="left"/>
    </w:lvl>
  </w:abstractNum>
  <w:abstractNum w:abstractNumId="707" w15:restartNumberingAfterBreak="0">
    <w:nsid w:val="49591F92"/>
    <w:multiLevelType w:val="hybridMultilevel"/>
    <w:tmpl w:val="CAB29AD4"/>
    <w:lvl w:ilvl="0" w:tplc="6262E250">
      <w:start w:val="1"/>
      <w:numFmt w:val="bullet"/>
      <w:lvlText w:val=""/>
      <w:lvlJc w:val="left"/>
      <w:pPr>
        <w:ind w:left="720" w:hanging="360"/>
      </w:pPr>
      <w:rPr>
        <w:rFonts w:ascii="Symbol" w:hAnsi="Symbol" w:hint="default"/>
      </w:rPr>
    </w:lvl>
    <w:lvl w:ilvl="1" w:tplc="A99693DA">
      <w:numFmt w:val="decimal"/>
      <w:lvlText w:val=""/>
      <w:lvlJc w:val="left"/>
    </w:lvl>
    <w:lvl w:ilvl="2" w:tplc="94E0F17E">
      <w:numFmt w:val="decimal"/>
      <w:lvlText w:val=""/>
      <w:lvlJc w:val="left"/>
    </w:lvl>
    <w:lvl w:ilvl="3" w:tplc="F092D612">
      <w:numFmt w:val="decimal"/>
      <w:lvlText w:val=""/>
      <w:lvlJc w:val="left"/>
    </w:lvl>
    <w:lvl w:ilvl="4" w:tplc="E83026C6">
      <w:numFmt w:val="decimal"/>
      <w:lvlText w:val=""/>
      <w:lvlJc w:val="left"/>
    </w:lvl>
    <w:lvl w:ilvl="5" w:tplc="EFB6C55C">
      <w:numFmt w:val="decimal"/>
      <w:lvlText w:val=""/>
      <w:lvlJc w:val="left"/>
    </w:lvl>
    <w:lvl w:ilvl="6" w:tplc="F96AF74A">
      <w:numFmt w:val="decimal"/>
      <w:lvlText w:val=""/>
      <w:lvlJc w:val="left"/>
    </w:lvl>
    <w:lvl w:ilvl="7" w:tplc="7CC619F4">
      <w:numFmt w:val="decimal"/>
      <w:lvlText w:val=""/>
      <w:lvlJc w:val="left"/>
    </w:lvl>
    <w:lvl w:ilvl="8" w:tplc="13109BAA">
      <w:numFmt w:val="decimal"/>
      <w:lvlText w:val=""/>
      <w:lvlJc w:val="left"/>
    </w:lvl>
  </w:abstractNum>
  <w:abstractNum w:abstractNumId="708" w15:restartNumberingAfterBreak="0">
    <w:nsid w:val="4974364C"/>
    <w:multiLevelType w:val="hybridMultilevel"/>
    <w:tmpl w:val="6C7093E2"/>
    <w:lvl w:ilvl="0" w:tplc="B8484A6E">
      <w:start w:val="1"/>
      <w:numFmt w:val="bullet"/>
      <w:lvlText w:val=""/>
      <w:lvlJc w:val="left"/>
      <w:pPr>
        <w:ind w:left="720" w:hanging="360"/>
      </w:pPr>
      <w:rPr>
        <w:rFonts w:ascii="Symbol" w:hAnsi="Symbol" w:hint="default"/>
      </w:rPr>
    </w:lvl>
    <w:lvl w:ilvl="1" w:tplc="ADFE98E2">
      <w:numFmt w:val="decimal"/>
      <w:lvlText w:val=""/>
      <w:lvlJc w:val="left"/>
    </w:lvl>
    <w:lvl w:ilvl="2" w:tplc="A66AC100">
      <w:numFmt w:val="decimal"/>
      <w:lvlText w:val=""/>
      <w:lvlJc w:val="left"/>
    </w:lvl>
    <w:lvl w:ilvl="3" w:tplc="AA483FC0">
      <w:numFmt w:val="decimal"/>
      <w:lvlText w:val=""/>
      <w:lvlJc w:val="left"/>
    </w:lvl>
    <w:lvl w:ilvl="4" w:tplc="1AEC5A20">
      <w:numFmt w:val="decimal"/>
      <w:lvlText w:val=""/>
      <w:lvlJc w:val="left"/>
    </w:lvl>
    <w:lvl w:ilvl="5" w:tplc="E6A4A0DC">
      <w:numFmt w:val="decimal"/>
      <w:lvlText w:val=""/>
      <w:lvlJc w:val="left"/>
    </w:lvl>
    <w:lvl w:ilvl="6" w:tplc="C366CEF2">
      <w:numFmt w:val="decimal"/>
      <w:lvlText w:val=""/>
      <w:lvlJc w:val="left"/>
    </w:lvl>
    <w:lvl w:ilvl="7" w:tplc="9FF2A2C0">
      <w:numFmt w:val="decimal"/>
      <w:lvlText w:val=""/>
      <w:lvlJc w:val="left"/>
    </w:lvl>
    <w:lvl w:ilvl="8" w:tplc="1C22C6D8">
      <w:numFmt w:val="decimal"/>
      <w:lvlText w:val=""/>
      <w:lvlJc w:val="left"/>
    </w:lvl>
  </w:abstractNum>
  <w:abstractNum w:abstractNumId="709" w15:restartNumberingAfterBreak="0">
    <w:nsid w:val="497A047A"/>
    <w:multiLevelType w:val="hybridMultilevel"/>
    <w:tmpl w:val="F3AEE896"/>
    <w:lvl w:ilvl="0" w:tplc="543863EA">
      <w:numFmt w:val="decimal"/>
      <w:lvlText w:val=""/>
      <w:lvlJc w:val="left"/>
    </w:lvl>
    <w:lvl w:ilvl="1" w:tplc="90C0A82A">
      <w:numFmt w:val="decimal"/>
      <w:lvlText w:val=""/>
      <w:lvlJc w:val="left"/>
    </w:lvl>
    <w:lvl w:ilvl="2" w:tplc="02C8FD86">
      <w:start w:val="1"/>
      <w:numFmt w:val="bullet"/>
      <w:lvlText w:val=""/>
      <w:lvlJc w:val="left"/>
      <w:pPr>
        <w:ind w:left="2160" w:hanging="360"/>
      </w:pPr>
      <w:rPr>
        <w:rFonts w:ascii="Symbol" w:hAnsi="Symbol" w:hint="default"/>
      </w:rPr>
    </w:lvl>
    <w:lvl w:ilvl="3" w:tplc="88468FDE">
      <w:numFmt w:val="decimal"/>
      <w:lvlText w:val=""/>
      <w:lvlJc w:val="left"/>
    </w:lvl>
    <w:lvl w:ilvl="4" w:tplc="E2DA55FE">
      <w:numFmt w:val="decimal"/>
      <w:lvlText w:val=""/>
      <w:lvlJc w:val="left"/>
    </w:lvl>
    <w:lvl w:ilvl="5" w:tplc="878EDE98">
      <w:numFmt w:val="decimal"/>
      <w:lvlText w:val=""/>
      <w:lvlJc w:val="left"/>
    </w:lvl>
    <w:lvl w:ilvl="6" w:tplc="FF8656D0">
      <w:numFmt w:val="decimal"/>
      <w:lvlText w:val=""/>
      <w:lvlJc w:val="left"/>
    </w:lvl>
    <w:lvl w:ilvl="7" w:tplc="F07E95A6">
      <w:numFmt w:val="decimal"/>
      <w:lvlText w:val=""/>
      <w:lvlJc w:val="left"/>
    </w:lvl>
    <w:lvl w:ilvl="8" w:tplc="6E506064">
      <w:numFmt w:val="decimal"/>
      <w:lvlText w:val=""/>
      <w:lvlJc w:val="left"/>
    </w:lvl>
  </w:abstractNum>
  <w:abstractNum w:abstractNumId="710" w15:restartNumberingAfterBreak="0">
    <w:nsid w:val="49921F05"/>
    <w:multiLevelType w:val="hybridMultilevel"/>
    <w:tmpl w:val="50568544"/>
    <w:lvl w:ilvl="0" w:tplc="F8A69F0A">
      <w:numFmt w:val="decimal"/>
      <w:lvlText w:val=""/>
      <w:lvlJc w:val="left"/>
    </w:lvl>
    <w:lvl w:ilvl="1" w:tplc="B77A7830">
      <w:start w:val="1"/>
      <w:numFmt w:val="bullet"/>
      <w:lvlText w:val=""/>
      <w:lvlJc w:val="left"/>
      <w:pPr>
        <w:ind w:left="1440" w:hanging="360"/>
      </w:pPr>
      <w:rPr>
        <w:rFonts w:ascii="Symbol" w:hAnsi="Symbol" w:hint="default"/>
      </w:rPr>
    </w:lvl>
    <w:lvl w:ilvl="2" w:tplc="62B66376">
      <w:numFmt w:val="decimal"/>
      <w:lvlText w:val=""/>
      <w:lvlJc w:val="left"/>
    </w:lvl>
    <w:lvl w:ilvl="3" w:tplc="1C7640A2">
      <w:numFmt w:val="decimal"/>
      <w:lvlText w:val=""/>
      <w:lvlJc w:val="left"/>
    </w:lvl>
    <w:lvl w:ilvl="4" w:tplc="05C6F092">
      <w:numFmt w:val="decimal"/>
      <w:lvlText w:val=""/>
      <w:lvlJc w:val="left"/>
    </w:lvl>
    <w:lvl w:ilvl="5" w:tplc="B860D2D2">
      <w:numFmt w:val="decimal"/>
      <w:lvlText w:val=""/>
      <w:lvlJc w:val="left"/>
    </w:lvl>
    <w:lvl w:ilvl="6" w:tplc="3F645A7E">
      <w:numFmt w:val="decimal"/>
      <w:lvlText w:val=""/>
      <w:lvlJc w:val="left"/>
    </w:lvl>
    <w:lvl w:ilvl="7" w:tplc="1D664FE8">
      <w:numFmt w:val="decimal"/>
      <w:lvlText w:val=""/>
      <w:lvlJc w:val="left"/>
    </w:lvl>
    <w:lvl w:ilvl="8" w:tplc="FAB207D2">
      <w:numFmt w:val="decimal"/>
      <w:lvlText w:val=""/>
      <w:lvlJc w:val="left"/>
    </w:lvl>
  </w:abstractNum>
  <w:abstractNum w:abstractNumId="711" w15:restartNumberingAfterBreak="0">
    <w:nsid w:val="4A130AE8"/>
    <w:multiLevelType w:val="hybridMultilevel"/>
    <w:tmpl w:val="4E244D0A"/>
    <w:lvl w:ilvl="0" w:tplc="E4DC899A">
      <w:start w:val="1"/>
      <w:numFmt w:val="bullet"/>
      <w:lvlText w:val=""/>
      <w:lvlJc w:val="left"/>
      <w:pPr>
        <w:ind w:left="720" w:hanging="360"/>
      </w:pPr>
      <w:rPr>
        <w:rFonts w:ascii="Symbol" w:hAnsi="Symbol" w:hint="default"/>
      </w:rPr>
    </w:lvl>
    <w:lvl w:ilvl="1" w:tplc="3E689E92">
      <w:numFmt w:val="decimal"/>
      <w:lvlText w:val=""/>
      <w:lvlJc w:val="left"/>
    </w:lvl>
    <w:lvl w:ilvl="2" w:tplc="E8DA71C6">
      <w:numFmt w:val="decimal"/>
      <w:lvlText w:val=""/>
      <w:lvlJc w:val="left"/>
    </w:lvl>
    <w:lvl w:ilvl="3" w:tplc="36C22528">
      <w:numFmt w:val="decimal"/>
      <w:lvlText w:val=""/>
      <w:lvlJc w:val="left"/>
    </w:lvl>
    <w:lvl w:ilvl="4" w:tplc="E63AED04">
      <w:numFmt w:val="decimal"/>
      <w:lvlText w:val=""/>
      <w:lvlJc w:val="left"/>
    </w:lvl>
    <w:lvl w:ilvl="5" w:tplc="3FD4F1C8">
      <w:numFmt w:val="decimal"/>
      <w:lvlText w:val=""/>
      <w:lvlJc w:val="left"/>
    </w:lvl>
    <w:lvl w:ilvl="6" w:tplc="34BEBE28">
      <w:numFmt w:val="decimal"/>
      <w:lvlText w:val=""/>
      <w:lvlJc w:val="left"/>
    </w:lvl>
    <w:lvl w:ilvl="7" w:tplc="AE3CA1E8">
      <w:numFmt w:val="decimal"/>
      <w:lvlText w:val=""/>
      <w:lvlJc w:val="left"/>
    </w:lvl>
    <w:lvl w:ilvl="8" w:tplc="BE5A33FE">
      <w:numFmt w:val="decimal"/>
      <w:lvlText w:val=""/>
      <w:lvlJc w:val="left"/>
    </w:lvl>
  </w:abstractNum>
  <w:abstractNum w:abstractNumId="712" w15:restartNumberingAfterBreak="0">
    <w:nsid w:val="4A251FE7"/>
    <w:multiLevelType w:val="hybridMultilevel"/>
    <w:tmpl w:val="518E0DBE"/>
    <w:lvl w:ilvl="0" w:tplc="7FAC6F88">
      <w:start w:val="1"/>
      <w:numFmt w:val="bullet"/>
      <w:lvlText w:val=""/>
      <w:lvlJc w:val="left"/>
      <w:pPr>
        <w:ind w:left="720" w:hanging="360"/>
      </w:pPr>
      <w:rPr>
        <w:rFonts w:ascii="Symbol" w:hAnsi="Symbol" w:hint="default"/>
      </w:rPr>
    </w:lvl>
    <w:lvl w:ilvl="1" w:tplc="27147E4C">
      <w:numFmt w:val="decimal"/>
      <w:lvlText w:val=""/>
      <w:lvlJc w:val="left"/>
    </w:lvl>
    <w:lvl w:ilvl="2" w:tplc="B9AEE21A">
      <w:numFmt w:val="decimal"/>
      <w:lvlText w:val=""/>
      <w:lvlJc w:val="left"/>
    </w:lvl>
    <w:lvl w:ilvl="3" w:tplc="A352F0D2">
      <w:numFmt w:val="decimal"/>
      <w:lvlText w:val=""/>
      <w:lvlJc w:val="left"/>
    </w:lvl>
    <w:lvl w:ilvl="4" w:tplc="62AE26F2">
      <w:numFmt w:val="decimal"/>
      <w:lvlText w:val=""/>
      <w:lvlJc w:val="left"/>
    </w:lvl>
    <w:lvl w:ilvl="5" w:tplc="8FFE8A18">
      <w:numFmt w:val="decimal"/>
      <w:lvlText w:val=""/>
      <w:lvlJc w:val="left"/>
    </w:lvl>
    <w:lvl w:ilvl="6" w:tplc="30466C8C">
      <w:numFmt w:val="decimal"/>
      <w:lvlText w:val=""/>
      <w:lvlJc w:val="left"/>
    </w:lvl>
    <w:lvl w:ilvl="7" w:tplc="AB324AFC">
      <w:numFmt w:val="decimal"/>
      <w:lvlText w:val=""/>
      <w:lvlJc w:val="left"/>
    </w:lvl>
    <w:lvl w:ilvl="8" w:tplc="166A346C">
      <w:numFmt w:val="decimal"/>
      <w:lvlText w:val=""/>
      <w:lvlJc w:val="left"/>
    </w:lvl>
  </w:abstractNum>
  <w:abstractNum w:abstractNumId="713" w15:restartNumberingAfterBreak="0">
    <w:nsid w:val="4A4E4C70"/>
    <w:multiLevelType w:val="hybridMultilevel"/>
    <w:tmpl w:val="79F64F1A"/>
    <w:lvl w:ilvl="0" w:tplc="F4761200">
      <w:numFmt w:val="decimal"/>
      <w:lvlText w:val=""/>
      <w:lvlJc w:val="left"/>
    </w:lvl>
    <w:lvl w:ilvl="1" w:tplc="F1F6EFC2">
      <w:start w:val="1"/>
      <w:numFmt w:val="bullet"/>
      <w:lvlText w:val=""/>
      <w:lvlJc w:val="left"/>
      <w:pPr>
        <w:ind w:left="1440" w:hanging="360"/>
      </w:pPr>
      <w:rPr>
        <w:rFonts w:ascii="Symbol" w:hAnsi="Symbol" w:hint="default"/>
      </w:rPr>
    </w:lvl>
    <w:lvl w:ilvl="2" w:tplc="90B88A3C">
      <w:numFmt w:val="decimal"/>
      <w:lvlText w:val=""/>
      <w:lvlJc w:val="left"/>
    </w:lvl>
    <w:lvl w:ilvl="3" w:tplc="A1E8D6E2">
      <w:numFmt w:val="decimal"/>
      <w:lvlText w:val=""/>
      <w:lvlJc w:val="left"/>
    </w:lvl>
    <w:lvl w:ilvl="4" w:tplc="15CC7E58">
      <w:numFmt w:val="decimal"/>
      <w:lvlText w:val=""/>
      <w:lvlJc w:val="left"/>
    </w:lvl>
    <w:lvl w:ilvl="5" w:tplc="88327A18">
      <w:numFmt w:val="decimal"/>
      <w:lvlText w:val=""/>
      <w:lvlJc w:val="left"/>
    </w:lvl>
    <w:lvl w:ilvl="6" w:tplc="55C833A2">
      <w:numFmt w:val="decimal"/>
      <w:lvlText w:val=""/>
      <w:lvlJc w:val="left"/>
    </w:lvl>
    <w:lvl w:ilvl="7" w:tplc="5CD4A7CA">
      <w:numFmt w:val="decimal"/>
      <w:lvlText w:val=""/>
      <w:lvlJc w:val="left"/>
    </w:lvl>
    <w:lvl w:ilvl="8" w:tplc="687A99F8">
      <w:numFmt w:val="decimal"/>
      <w:lvlText w:val=""/>
      <w:lvlJc w:val="left"/>
    </w:lvl>
  </w:abstractNum>
  <w:abstractNum w:abstractNumId="714" w15:restartNumberingAfterBreak="0">
    <w:nsid w:val="4A95023C"/>
    <w:multiLevelType w:val="hybridMultilevel"/>
    <w:tmpl w:val="B936EC2A"/>
    <w:lvl w:ilvl="0" w:tplc="B686C63C">
      <w:start w:val="1"/>
      <w:numFmt w:val="bullet"/>
      <w:lvlText w:val=""/>
      <w:lvlJc w:val="left"/>
      <w:pPr>
        <w:ind w:left="720" w:hanging="360"/>
      </w:pPr>
      <w:rPr>
        <w:rFonts w:ascii="Symbol" w:hAnsi="Symbol" w:hint="default"/>
      </w:rPr>
    </w:lvl>
    <w:lvl w:ilvl="1" w:tplc="85963C3A">
      <w:numFmt w:val="decimal"/>
      <w:lvlText w:val=""/>
      <w:lvlJc w:val="left"/>
    </w:lvl>
    <w:lvl w:ilvl="2" w:tplc="FD78A85A">
      <w:numFmt w:val="decimal"/>
      <w:lvlText w:val=""/>
      <w:lvlJc w:val="left"/>
    </w:lvl>
    <w:lvl w:ilvl="3" w:tplc="2144A204">
      <w:numFmt w:val="decimal"/>
      <w:lvlText w:val=""/>
      <w:lvlJc w:val="left"/>
    </w:lvl>
    <w:lvl w:ilvl="4" w:tplc="E7985ABE">
      <w:numFmt w:val="decimal"/>
      <w:lvlText w:val=""/>
      <w:lvlJc w:val="left"/>
    </w:lvl>
    <w:lvl w:ilvl="5" w:tplc="80943884">
      <w:numFmt w:val="decimal"/>
      <w:lvlText w:val=""/>
      <w:lvlJc w:val="left"/>
    </w:lvl>
    <w:lvl w:ilvl="6" w:tplc="9760A2B4">
      <w:numFmt w:val="decimal"/>
      <w:lvlText w:val=""/>
      <w:lvlJc w:val="left"/>
    </w:lvl>
    <w:lvl w:ilvl="7" w:tplc="6A86FCE2">
      <w:numFmt w:val="decimal"/>
      <w:lvlText w:val=""/>
      <w:lvlJc w:val="left"/>
    </w:lvl>
    <w:lvl w:ilvl="8" w:tplc="F9DE775A">
      <w:numFmt w:val="decimal"/>
      <w:lvlText w:val=""/>
      <w:lvlJc w:val="left"/>
    </w:lvl>
  </w:abstractNum>
  <w:abstractNum w:abstractNumId="715" w15:restartNumberingAfterBreak="0">
    <w:nsid w:val="4B1B153A"/>
    <w:multiLevelType w:val="hybridMultilevel"/>
    <w:tmpl w:val="FC340DD8"/>
    <w:lvl w:ilvl="0" w:tplc="8252E6D2">
      <w:start w:val="1"/>
      <w:numFmt w:val="bullet"/>
      <w:lvlText w:val=""/>
      <w:lvlJc w:val="left"/>
      <w:pPr>
        <w:ind w:left="720" w:hanging="360"/>
      </w:pPr>
      <w:rPr>
        <w:rFonts w:ascii="Symbol" w:hAnsi="Symbol" w:hint="default"/>
      </w:rPr>
    </w:lvl>
    <w:lvl w:ilvl="1" w:tplc="970A03C6">
      <w:numFmt w:val="decimal"/>
      <w:lvlText w:val=""/>
      <w:lvlJc w:val="left"/>
    </w:lvl>
    <w:lvl w:ilvl="2" w:tplc="235873C0">
      <w:numFmt w:val="decimal"/>
      <w:lvlText w:val=""/>
      <w:lvlJc w:val="left"/>
    </w:lvl>
    <w:lvl w:ilvl="3" w:tplc="1332BFE0">
      <w:numFmt w:val="decimal"/>
      <w:lvlText w:val=""/>
      <w:lvlJc w:val="left"/>
    </w:lvl>
    <w:lvl w:ilvl="4" w:tplc="96224382">
      <w:numFmt w:val="decimal"/>
      <w:lvlText w:val=""/>
      <w:lvlJc w:val="left"/>
    </w:lvl>
    <w:lvl w:ilvl="5" w:tplc="65DAEDAE">
      <w:numFmt w:val="decimal"/>
      <w:lvlText w:val=""/>
      <w:lvlJc w:val="left"/>
    </w:lvl>
    <w:lvl w:ilvl="6" w:tplc="F56243B2">
      <w:numFmt w:val="decimal"/>
      <w:lvlText w:val=""/>
      <w:lvlJc w:val="left"/>
    </w:lvl>
    <w:lvl w:ilvl="7" w:tplc="6C5A118A">
      <w:numFmt w:val="decimal"/>
      <w:lvlText w:val=""/>
      <w:lvlJc w:val="left"/>
    </w:lvl>
    <w:lvl w:ilvl="8" w:tplc="5ED6B9DC">
      <w:numFmt w:val="decimal"/>
      <w:lvlText w:val=""/>
      <w:lvlJc w:val="left"/>
    </w:lvl>
  </w:abstractNum>
  <w:abstractNum w:abstractNumId="716" w15:restartNumberingAfterBreak="0">
    <w:nsid w:val="4B2213E8"/>
    <w:multiLevelType w:val="hybridMultilevel"/>
    <w:tmpl w:val="B7FCD692"/>
    <w:lvl w:ilvl="0" w:tplc="197E6292">
      <w:start w:val="1"/>
      <w:numFmt w:val="bullet"/>
      <w:lvlText w:val=""/>
      <w:lvlJc w:val="left"/>
      <w:pPr>
        <w:ind w:left="720" w:hanging="360"/>
      </w:pPr>
      <w:rPr>
        <w:rFonts w:ascii="Symbol" w:hAnsi="Symbol" w:hint="default"/>
      </w:rPr>
    </w:lvl>
    <w:lvl w:ilvl="1" w:tplc="DB18A31C">
      <w:numFmt w:val="decimal"/>
      <w:lvlText w:val=""/>
      <w:lvlJc w:val="left"/>
    </w:lvl>
    <w:lvl w:ilvl="2" w:tplc="F272B34C">
      <w:numFmt w:val="decimal"/>
      <w:lvlText w:val=""/>
      <w:lvlJc w:val="left"/>
    </w:lvl>
    <w:lvl w:ilvl="3" w:tplc="F41C5FAC">
      <w:numFmt w:val="decimal"/>
      <w:lvlText w:val=""/>
      <w:lvlJc w:val="left"/>
    </w:lvl>
    <w:lvl w:ilvl="4" w:tplc="B81A3DBC">
      <w:numFmt w:val="decimal"/>
      <w:lvlText w:val=""/>
      <w:lvlJc w:val="left"/>
    </w:lvl>
    <w:lvl w:ilvl="5" w:tplc="B8F2D17C">
      <w:numFmt w:val="decimal"/>
      <w:lvlText w:val=""/>
      <w:lvlJc w:val="left"/>
    </w:lvl>
    <w:lvl w:ilvl="6" w:tplc="26D2AEEA">
      <w:numFmt w:val="decimal"/>
      <w:lvlText w:val=""/>
      <w:lvlJc w:val="left"/>
    </w:lvl>
    <w:lvl w:ilvl="7" w:tplc="CBDC5C9C">
      <w:numFmt w:val="decimal"/>
      <w:lvlText w:val=""/>
      <w:lvlJc w:val="left"/>
    </w:lvl>
    <w:lvl w:ilvl="8" w:tplc="41AAA788">
      <w:numFmt w:val="decimal"/>
      <w:lvlText w:val=""/>
      <w:lvlJc w:val="left"/>
    </w:lvl>
  </w:abstractNum>
  <w:abstractNum w:abstractNumId="717" w15:restartNumberingAfterBreak="0">
    <w:nsid w:val="4B3203B1"/>
    <w:multiLevelType w:val="hybridMultilevel"/>
    <w:tmpl w:val="8B48BD8C"/>
    <w:lvl w:ilvl="0" w:tplc="56A8068E">
      <w:start w:val="1"/>
      <w:numFmt w:val="bullet"/>
      <w:lvlText w:val=""/>
      <w:lvlJc w:val="left"/>
      <w:pPr>
        <w:ind w:left="720" w:hanging="360"/>
      </w:pPr>
      <w:rPr>
        <w:rFonts w:ascii="Symbol" w:hAnsi="Symbol" w:hint="default"/>
      </w:rPr>
    </w:lvl>
    <w:lvl w:ilvl="1" w:tplc="E2EC0412">
      <w:numFmt w:val="decimal"/>
      <w:lvlText w:val=""/>
      <w:lvlJc w:val="left"/>
    </w:lvl>
    <w:lvl w:ilvl="2" w:tplc="8D6E59D8">
      <w:numFmt w:val="decimal"/>
      <w:lvlText w:val=""/>
      <w:lvlJc w:val="left"/>
    </w:lvl>
    <w:lvl w:ilvl="3" w:tplc="4BC4FB0E">
      <w:numFmt w:val="decimal"/>
      <w:lvlText w:val=""/>
      <w:lvlJc w:val="left"/>
    </w:lvl>
    <w:lvl w:ilvl="4" w:tplc="D11CB9D2">
      <w:numFmt w:val="decimal"/>
      <w:lvlText w:val=""/>
      <w:lvlJc w:val="left"/>
    </w:lvl>
    <w:lvl w:ilvl="5" w:tplc="1DDE3C56">
      <w:numFmt w:val="decimal"/>
      <w:lvlText w:val=""/>
      <w:lvlJc w:val="left"/>
    </w:lvl>
    <w:lvl w:ilvl="6" w:tplc="299EEA78">
      <w:numFmt w:val="decimal"/>
      <w:lvlText w:val=""/>
      <w:lvlJc w:val="left"/>
    </w:lvl>
    <w:lvl w:ilvl="7" w:tplc="B9FC9EFA">
      <w:numFmt w:val="decimal"/>
      <w:lvlText w:val=""/>
      <w:lvlJc w:val="left"/>
    </w:lvl>
    <w:lvl w:ilvl="8" w:tplc="659EFF46">
      <w:numFmt w:val="decimal"/>
      <w:lvlText w:val=""/>
      <w:lvlJc w:val="left"/>
    </w:lvl>
  </w:abstractNum>
  <w:abstractNum w:abstractNumId="718" w15:restartNumberingAfterBreak="0">
    <w:nsid w:val="4B385759"/>
    <w:multiLevelType w:val="hybridMultilevel"/>
    <w:tmpl w:val="8A624CA8"/>
    <w:lvl w:ilvl="0" w:tplc="4EAC7440">
      <w:start w:val="1"/>
      <w:numFmt w:val="bullet"/>
      <w:lvlText w:val=""/>
      <w:lvlJc w:val="left"/>
      <w:pPr>
        <w:ind w:left="720" w:hanging="360"/>
      </w:pPr>
      <w:rPr>
        <w:rFonts w:ascii="Symbol" w:hAnsi="Symbol" w:hint="default"/>
      </w:rPr>
    </w:lvl>
    <w:lvl w:ilvl="1" w:tplc="5A9EDCEA">
      <w:numFmt w:val="decimal"/>
      <w:lvlText w:val=""/>
      <w:lvlJc w:val="left"/>
    </w:lvl>
    <w:lvl w:ilvl="2" w:tplc="AB94E8DC">
      <w:numFmt w:val="decimal"/>
      <w:lvlText w:val=""/>
      <w:lvlJc w:val="left"/>
    </w:lvl>
    <w:lvl w:ilvl="3" w:tplc="039EFF00">
      <w:numFmt w:val="decimal"/>
      <w:lvlText w:val=""/>
      <w:lvlJc w:val="left"/>
    </w:lvl>
    <w:lvl w:ilvl="4" w:tplc="5B5E824E">
      <w:numFmt w:val="decimal"/>
      <w:lvlText w:val=""/>
      <w:lvlJc w:val="left"/>
    </w:lvl>
    <w:lvl w:ilvl="5" w:tplc="7CC4CA5C">
      <w:numFmt w:val="decimal"/>
      <w:lvlText w:val=""/>
      <w:lvlJc w:val="left"/>
    </w:lvl>
    <w:lvl w:ilvl="6" w:tplc="E7E4BDD4">
      <w:numFmt w:val="decimal"/>
      <w:lvlText w:val=""/>
      <w:lvlJc w:val="left"/>
    </w:lvl>
    <w:lvl w:ilvl="7" w:tplc="067AEEC2">
      <w:numFmt w:val="decimal"/>
      <w:lvlText w:val=""/>
      <w:lvlJc w:val="left"/>
    </w:lvl>
    <w:lvl w:ilvl="8" w:tplc="122A1944">
      <w:numFmt w:val="decimal"/>
      <w:lvlText w:val=""/>
      <w:lvlJc w:val="left"/>
    </w:lvl>
  </w:abstractNum>
  <w:abstractNum w:abstractNumId="719" w15:restartNumberingAfterBreak="0">
    <w:nsid w:val="4B4F57CE"/>
    <w:multiLevelType w:val="hybridMultilevel"/>
    <w:tmpl w:val="9392BFDC"/>
    <w:lvl w:ilvl="0" w:tplc="DA581F88">
      <w:start w:val="1"/>
      <w:numFmt w:val="bullet"/>
      <w:lvlText w:val=""/>
      <w:lvlJc w:val="left"/>
      <w:pPr>
        <w:ind w:left="720" w:hanging="360"/>
      </w:pPr>
      <w:rPr>
        <w:rFonts w:ascii="Symbol" w:hAnsi="Symbol" w:hint="default"/>
      </w:rPr>
    </w:lvl>
    <w:lvl w:ilvl="1" w:tplc="2EDCFBA8">
      <w:numFmt w:val="decimal"/>
      <w:lvlText w:val=""/>
      <w:lvlJc w:val="left"/>
    </w:lvl>
    <w:lvl w:ilvl="2" w:tplc="DF964240">
      <w:numFmt w:val="decimal"/>
      <w:lvlText w:val=""/>
      <w:lvlJc w:val="left"/>
    </w:lvl>
    <w:lvl w:ilvl="3" w:tplc="1E88B550">
      <w:numFmt w:val="decimal"/>
      <w:lvlText w:val=""/>
      <w:lvlJc w:val="left"/>
    </w:lvl>
    <w:lvl w:ilvl="4" w:tplc="5232AB5E">
      <w:numFmt w:val="decimal"/>
      <w:lvlText w:val=""/>
      <w:lvlJc w:val="left"/>
    </w:lvl>
    <w:lvl w:ilvl="5" w:tplc="DFBE2114">
      <w:numFmt w:val="decimal"/>
      <w:lvlText w:val=""/>
      <w:lvlJc w:val="left"/>
    </w:lvl>
    <w:lvl w:ilvl="6" w:tplc="5C9E722A">
      <w:numFmt w:val="decimal"/>
      <w:lvlText w:val=""/>
      <w:lvlJc w:val="left"/>
    </w:lvl>
    <w:lvl w:ilvl="7" w:tplc="439C1502">
      <w:numFmt w:val="decimal"/>
      <w:lvlText w:val=""/>
      <w:lvlJc w:val="left"/>
    </w:lvl>
    <w:lvl w:ilvl="8" w:tplc="2E5A8002">
      <w:numFmt w:val="decimal"/>
      <w:lvlText w:val=""/>
      <w:lvlJc w:val="left"/>
    </w:lvl>
  </w:abstractNum>
  <w:abstractNum w:abstractNumId="720" w15:restartNumberingAfterBreak="0">
    <w:nsid w:val="4B62420C"/>
    <w:multiLevelType w:val="hybridMultilevel"/>
    <w:tmpl w:val="2D00D484"/>
    <w:lvl w:ilvl="0" w:tplc="52865E5E">
      <w:start w:val="1"/>
      <w:numFmt w:val="bullet"/>
      <w:lvlText w:val=""/>
      <w:lvlJc w:val="left"/>
      <w:pPr>
        <w:ind w:left="720" w:hanging="360"/>
      </w:pPr>
      <w:rPr>
        <w:rFonts w:ascii="Symbol" w:hAnsi="Symbol" w:hint="default"/>
      </w:rPr>
    </w:lvl>
    <w:lvl w:ilvl="1" w:tplc="BB90149C">
      <w:numFmt w:val="decimal"/>
      <w:lvlText w:val=""/>
      <w:lvlJc w:val="left"/>
    </w:lvl>
    <w:lvl w:ilvl="2" w:tplc="F36ADD6E">
      <w:numFmt w:val="decimal"/>
      <w:lvlText w:val=""/>
      <w:lvlJc w:val="left"/>
    </w:lvl>
    <w:lvl w:ilvl="3" w:tplc="5A6EBF30">
      <w:numFmt w:val="decimal"/>
      <w:lvlText w:val=""/>
      <w:lvlJc w:val="left"/>
    </w:lvl>
    <w:lvl w:ilvl="4" w:tplc="3136579C">
      <w:numFmt w:val="decimal"/>
      <w:lvlText w:val=""/>
      <w:lvlJc w:val="left"/>
    </w:lvl>
    <w:lvl w:ilvl="5" w:tplc="986275B2">
      <w:numFmt w:val="decimal"/>
      <w:lvlText w:val=""/>
      <w:lvlJc w:val="left"/>
    </w:lvl>
    <w:lvl w:ilvl="6" w:tplc="C6682D9E">
      <w:numFmt w:val="decimal"/>
      <w:lvlText w:val=""/>
      <w:lvlJc w:val="left"/>
    </w:lvl>
    <w:lvl w:ilvl="7" w:tplc="4D2E67A8">
      <w:numFmt w:val="decimal"/>
      <w:lvlText w:val=""/>
      <w:lvlJc w:val="left"/>
    </w:lvl>
    <w:lvl w:ilvl="8" w:tplc="22A6B010">
      <w:numFmt w:val="decimal"/>
      <w:lvlText w:val=""/>
      <w:lvlJc w:val="left"/>
    </w:lvl>
  </w:abstractNum>
  <w:abstractNum w:abstractNumId="721" w15:restartNumberingAfterBreak="0">
    <w:nsid w:val="4BA0777E"/>
    <w:multiLevelType w:val="hybridMultilevel"/>
    <w:tmpl w:val="E7544362"/>
    <w:lvl w:ilvl="0" w:tplc="7228CD00">
      <w:start w:val="1"/>
      <w:numFmt w:val="bullet"/>
      <w:lvlText w:val=""/>
      <w:lvlJc w:val="left"/>
      <w:pPr>
        <w:ind w:left="720" w:hanging="360"/>
      </w:pPr>
      <w:rPr>
        <w:rFonts w:ascii="Symbol" w:hAnsi="Symbol" w:hint="default"/>
      </w:rPr>
    </w:lvl>
    <w:lvl w:ilvl="1" w:tplc="0068E8C6">
      <w:numFmt w:val="decimal"/>
      <w:lvlText w:val=""/>
      <w:lvlJc w:val="left"/>
    </w:lvl>
    <w:lvl w:ilvl="2" w:tplc="790422F0">
      <w:numFmt w:val="decimal"/>
      <w:lvlText w:val=""/>
      <w:lvlJc w:val="left"/>
    </w:lvl>
    <w:lvl w:ilvl="3" w:tplc="D2BCF2AE">
      <w:numFmt w:val="decimal"/>
      <w:lvlText w:val=""/>
      <w:lvlJc w:val="left"/>
    </w:lvl>
    <w:lvl w:ilvl="4" w:tplc="A4143E24">
      <w:numFmt w:val="decimal"/>
      <w:lvlText w:val=""/>
      <w:lvlJc w:val="left"/>
    </w:lvl>
    <w:lvl w:ilvl="5" w:tplc="75304A0C">
      <w:numFmt w:val="decimal"/>
      <w:lvlText w:val=""/>
      <w:lvlJc w:val="left"/>
    </w:lvl>
    <w:lvl w:ilvl="6" w:tplc="046E4C20">
      <w:numFmt w:val="decimal"/>
      <w:lvlText w:val=""/>
      <w:lvlJc w:val="left"/>
    </w:lvl>
    <w:lvl w:ilvl="7" w:tplc="B93E2474">
      <w:numFmt w:val="decimal"/>
      <w:lvlText w:val=""/>
      <w:lvlJc w:val="left"/>
    </w:lvl>
    <w:lvl w:ilvl="8" w:tplc="C952C72E">
      <w:numFmt w:val="decimal"/>
      <w:lvlText w:val=""/>
      <w:lvlJc w:val="left"/>
    </w:lvl>
  </w:abstractNum>
  <w:abstractNum w:abstractNumId="722" w15:restartNumberingAfterBreak="0">
    <w:nsid w:val="4C366A16"/>
    <w:multiLevelType w:val="hybridMultilevel"/>
    <w:tmpl w:val="57D27218"/>
    <w:lvl w:ilvl="0" w:tplc="9782EFD6">
      <w:numFmt w:val="decimal"/>
      <w:lvlText w:val=""/>
      <w:lvlJc w:val="left"/>
    </w:lvl>
    <w:lvl w:ilvl="1" w:tplc="75D6F412">
      <w:start w:val="1"/>
      <w:numFmt w:val="bullet"/>
      <w:lvlText w:val=""/>
      <w:lvlJc w:val="left"/>
      <w:pPr>
        <w:ind w:left="1440" w:hanging="360"/>
      </w:pPr>
      <w:rPr>
        <w:rFonts w:ascii="Symbol" w:hAnsi="Symbol" w:hint="default"/>
      </w:rPr>
    </w:lvl>
    <w:lvl w:ilvl="2" w:tplc="07465EE8">
      <w:numFmt w:val="decimal"/>
      <w:lvlText w:val=""/>
      <w:lvlJc w:val="left"/>
    </w:lvl>
    <w:lvl w:ilvl="3" w:tplc="71D21BC4">
      <w:numFmt w:val="decimal"/>
      <w:lvlText w:val=""/>
      <w:lvlJc w:val="left"/>
    </w:lvl>
    <w:lvl w:ilvl="4" w:tplc="7AE89744">
      <w:numFmt w:val="decimal"/>
      <w:lvlText w:val=""/>
      <w:lvlJc w:val="left"/>
    </w:lvl>
    <w:lvl w:ilvl="5" w:tplc="8E6E7F9A">
      <w:numFmt w:val="decimal"/>
      <w:lvlText w:val=""/>
      <w:lvlJc w:val="left"/>
    </w:lvl>
    <w:lvl w:ilvl="6" w:tplc="B41C2588">
      <w:numFmt w:val="decimal"/>
      <w:lvlText w:val=""/>
      <w:lvlJc w:val="left"/>
    </w:lvl>
    <w:lvl w:ilvl="7" w:tplc="47EA470A">
      <w:numFmt w:val="decimal"/>
      <w:lvlText w:val=""/>
      <w:lvlJc w:val="left"/>
    </w:lvl>
    <w:lvl w:ilvl="8" w:tplc="C3680260">
      <w:numFmt w:val="decimal"/>
      <w:lvlText w:val=""/>
      <w:lvlJc w:val="left"/>
    </w:lvl>
  </w:abstractNum>
  <w:abstractNum w:abstractNumId="723" w15:restartNumberingAfterBreak="0">
    <w:nsid w:val="4C3F53AF"/>
    <w:multiLevelType w:val="hybridMultilevel"/>
    <w:tmpl w:val="4306A234"/>
    <w:lvl w:ilvl="0" w:tplc="44C23878">
      <w:numFmt w:val="decimal"/>
      <w:lvlText w:val=""/>
      <w:lvlJc w:val="left"/>
    </w:lvl>
    <w:lvl w:ilvl="1" w:tplc="C28882FA">
      <w:start w:val="1"/>
      <w:numFmt w:val="bullet"/>
      <w:lvlText w:val=""/>
      <w:lvlJc w:val="left"/>
      <w:pPr>
        <w:ind w:left="1440" w:hanging="360"/>
      </w:pPr>
      <w:rPr>
        <w:rFonts w:ascii="Symbol" w:hAnsi="Symbol" w:hint="default"/>
      </w:rPr>
    </w:lvl>
    <w:lvl w:ilvl="2" w:tplc="428C56BE">
      <w:numFmt w:val="decimal"/>
      <w:lvlText w:val=""/>
      <w:lvlJc w:val="left"/>
    </w:lvl>
    <w:lvl w:ilvl="3" w:tplc="1F5E9936">
      <w:numFmt w:val="decimal"/>
      <w:lvlText w:val=""/>
      <w:lvlJc w:val="left"/>
    </w:lvl>
    <w:lvl w:ilvl="4" w:tplc="1D3E3214">
      <w:numFmt w:val="decimal"/>
      <w:lvlText w:val=""/>
      <w:lvlJc w:val="left"/>
    </w:lvl>
    <w:lvl w:ilvl="5" w:tplc="743A3680">
      <w:numFmt w:val="decimal"/>
      <w:lvlText w:val=""/>
      <w:lvlJc w:val="left"/>
    </w:lvl>
    <w:lvl w:ilvl="6" w:tplc="4DD43B1E">
      <w:numFmt w:val="decimal"/>
      <w:lvlText w:val=""/>
      <w:lvlJc w:val="left"/>
    </w:lvl>
    <w:lvl w:ilvl="7" w:tplc="698E088C">
      <w:numFmt w:val="decimal"/>
      <w:lvlText w:val=""/>
      <w:lvlJc w:val="left"/>
    </w:lvl>
    <w:lvl w:ilvl="8" w:tplc="1BA87732">
      <w:numFmt w:val="decimal"/>
      <w:lvlText w:val=""/>
      <w:lvlJc w:val="left"/>
    </w:lvl>
  </w:abstractNum>
  <w:abstractNum w:abstractNumId="724" w15:restartNumberingAfterBreak="0">
    <w:nsid w:val="4CA22507"/>
    <w:multiLevelType w:val="hybridMultilevel"/>
    <w:tmpl w:val="485ECC42"/>
    <w:lvl w:ilvl="0" w:tplc="9E049A3C">
      <w:start w:val="1"/>
      <w:numFmt w:val="bullet"/>
      <w:lvlText w:val=""/>
      <w:lvlJc w:val="left"/>
      <w:pPr>
        <w:ind w:left="720" w:hanging="360"/>
      </w:pPr>
      <w:rPr>
        <w:rFonts w:ascii="Symbol" w:hAnsi="Symbol" w:hint="default"/>
      </w:rPr>
    </w:lvl>
    <w:lvl w:ilvl="1" w:tplc="827072AA">
      <w:numFmt w:val="decimal"/>
      <w:lvlText w:val=""/>
      <w:lvlJc w:val="left"/>
    </w:lvl>
    <w:lvl w:ilvl="2" w:tplc="71CC3BBA">
      <w:numFmt w:val="decimal"/>
      <w:lvlText w:val=""/>
      <w:lvlJc w:val="left"/>
    </w:lvl>
    <w:lvl w:ilvl="3" w:tplc="AB4AADD8">
      <w:numFmt w:val="decimal"/>
      <w:lvlText w:val=""/>
      <w:lvlJc w:val="left"/>
    </w:lvl>
    <w:lvl w:ilvl="4" w:tplc="D040DA32">
      <w:numFmt w:val="decimal"/>
      <w:lvlText w:val=""/>
      <w:lvlJc w:val="left"/>
    </w:lvl>
    <w:lvl w:ilvl="5" w:tplc="46BC2996">
      <w:numFmt w:val="decimal"/>
      <w:lvlText w:val=""/>
      <w:lvlJc w:val="left"/>
    </w:lvl>
    <w:lvl w:ilvl="6" w:tplc="AA0C0C96">
      <w:numFmt w:val="decimal"/>
      <w:lvlText w:val=""/>
      <w:lvlJc w:val="left"/>
    </w:lvl>
    <w:lvl w:ilvl="7" w:tplc="4308E652">
      <w:numFmt w:val="decimal"/>
      <w:lvlText w:val=""/>
      <w:lvlJc w:val="left"/>
    </w:lvl>
    <w:lvl w:ilvl="8" w:tplc="6564127E">
      <w:numFmt w:val="decimal"/>
      <w:lvlText w:val=""/>
      <w:lvlJc w:val="left"/>
    </w:lvl>
  </w:abstractNum>
  <w:abstractNum w:abstractNumId="725" w15:restartNumberingAfterBreak="0">
    <w:nsid w:val="4CC97CA0"/>
    <w:multiLevelType w:val="hybridMultilevel"/>
    <w:tmpl w:val="C85A99A8"/>
    <w:lvl w:ilvl="0" w:tplc="5274ACDC">
      <w:start w:val="1"/>
      <w:numFmt w:val="bullet"/>
      <w:lvlText w:val=""/>
      <w:lvlJc w:val="left"/>
      <w:pPr>
        <w:ind w:left="720" w:hanging="360"/>
      </w:pPr>
      <w:rPr>
        <w:rFonts w:ascii="Symbol" w:hAnsi="Symbol" w:hint="default"/>
      </w:rPr>
    </w:lvl>
    <w:lvl w:ilvl="1" w:tplc="FCACEA30">
      <w:numFmt w:val="decimal"/>
      <w:lvlText w:val=""/>
      <w:lvlJc w:val="left"/>
    </w:lvl>
    <w:lvl w:ilvl="2" w:tplc="C87E0270">
      <w:numFmt w:val="decimal"/>
      <w:lvlText w:val=""/>
      <w:lvlJc w:val="left"/>
    </w:lvl>
    <w:lvl w:ilvl="3" w:tplc="C1E4D84A">
      <w:numFmt w:val="decimal"/>
      <w:lvlText w:val=""/>
      <w:lvlJc w:val="left"/>
    </w:lvl>
    <w:lvl w:ilvl="4" w:tplc="4524F234">
      <w:numFmt w:val="decimal"/>
      <w:lvlText w:val=""/>
      <w:lvlJc w:val="left"/>
    </w:lvl>
    <w:lvl w:ilvl="5" w:tplc="4F8AF780">
      <w:numFmt w:val="decimal"/>
      <w:lvlText w:val=""/>
      <w:lvlJc w:val="left"/>
    </w:lvl>
    <w:lvl w:ilvl="6" w:tplc="93AEECB4">
      <w:numFmt w:val="decimal"/>
      <w:lvlText w:val=""/>
      <w:lvlJc w:val="left"/>
    </w:lvl>
    <w:lvl w:ilvl="7" w:tplc="61BE3986">
      <w:numFmt w:val="decimal"/>
      <w:lvlText w:val=""/>
      <w:lvlJc w:val="left"/>
    </w:lvl>
    <w:lvl w:ilvl="8" w:tplc="3F9E25B8">
      <w:numFmt w:val="decimal"/>
      <w:lvlText w:val=""/>
      <w:lvlJc w:val="left"/>
    </w:lvl>
  </w:abstractNum>
  <w:abstractNum w:abstractNumId="726" w15:restartNumberingAfterBreak="0">
    <w:nsid w:val="4CF06494"/>
    <w:multiLevelType w:val="hybridMultilevel"/>
    <w:tmpl w:val="8B941876"/>
    <w:lvl w:ilvl="0" w:tplc="B5502CBA">
      <w:start w:val="1"/>
      <w:numFmt w:val="bullet"/>
      <w:lvlText w:val=""/>
      <w:lvlJc w:val="left"/>
      <w:pPr>
        <w:ind w:left="720" w:hanging="360"/>
      </w:pPr>
      <w:rPr>
        <w:rFonts w:ascii="Symbol" w:hAnsi="Symbol" w:hint="default"/>
      </w:rPr>
    </w:lvl>
    <w:lvl w:ilvl="1" w:tplc="4C48DC90">
      <w:numFmt w:val="decimal"/>
      <w:lvlText w:val=""/>
      <w:lvlJc w:val="left"/>
    </w:lvl>
    <w:lvl w:ilvl="2" w:tplc="0CAC7F52">
      <w:numFmt w:val="decimal"/>
      <w:lvlText w:val=""/>
      <w:lvlJc w:val="left"/>
    </w:lvl>
    <w:lvl w:ilvl="3" w:tplc="FB520640">
      <w:numFmt w:val="decimal"/>
      <w:lvlText w:val=""/>
      <w:lvlJc w:val="left"/>
    </w:lvl>
    <w:lvl w:ilvl="4" w:tplc="337A53BE">
      <w:numFmt w:val="decimal"/>
      <w:lvlText w:val=""/>
      <w:lvlJc w:val="left"/>
    </w:lvl>
    <w:lvl w:ilvl="5" w:tplc="005E747A">
      <w:numFmt w:val="decimal"/>
      <w:lvlText w:val=""/>
      <w:lvlJc w:val="left"/>
    </w:lvl>
    <w:lvl w:ilvl="6" w:tplc="E5A23072">
      <w:numFmt w:val="decimal"/>
      <w:lvlText w:val=""/>
      <w:lvlJc w:val="left"/>
    </w:lvl>
    <w:lvl w:ilvl="7" w:tplc="D7F6887C">
      <w:numFmt w:val="decimal"/>
      <w:lvlText w:val=""/>
      <w:lvlJc w:val="left"/>
    </w:lvl>
    <w:lvl w:ilvl="8" w:tplc="9230CC3E">
      <w:numFmt w:val="decimal"/>
      <w:lvlText w:val=""/>
      <w:lvlJc w:val="left"/>
    </w:lvl>
  </w:abstractNum>
  <w:abstractNum w:abstractNumId="727" w15:restartNumberingAfterBreak="0">
    <w:nsid w:val="4CF3518D"/>
    <w:multiLevelType w:val="hybridMultilevel"/>
    <w:tmpl w:val="B96CF182"/>
    <w:lvl w:ilvl="0" w:tplc="BAA4B4B6">
      <w:numFmt w:val="decimal"/>
      <w:lvlText w:val=""/>
      <w:lvlJc w:val="left"/>
    </w:lvl>
    <w:lvl w:ilvl="1" w:tplc="3C2248AE">
      <w:start w:val="1"/>
      <w:numFmt w:val="bullet"/>
      <w:lvlText w:val=""/>
      <w:lvlJc w:val="left"/>
      <w:pPr>
        <w:ind w:left="1440" w:hanging="360"/>
      </w:pPr>
      <w:rPr>
        <w:rFonts w:ascii="Symbol" w:hAnsi="Symbol" w:hint="default"/>
      </w:rPr>
    </w:lvl>
    <w:lvl w:ilvl="2" w:tplc="8D28E266">
      <w:numFmt w:val="decimal"/>
      <w:lvlText w:val=""/>
      <w:lvlJc w:val="left"/>
    </w:lvl>
    <w:lvl w:ilvl="3" w:tplc="059ED6C8">
      <w:numFmt w:val="decimal"/>
      <w:lvlText w:val=""/>
      <w:lvlJc w:val="left"/>
    </w:lvl>
    <w:lvl w:ilvl="4" w:tplc="5DDAEF6E">
      <w:numFmt w:val="decimal"/>
      <w:lvlText w:val=""/>
      <w:lvlJc w:val="left"/>
    </w:lvl>
    <w:lvl w:ilvl="5" w:tplc="0C6E59A2">
      <w:numFmt w:val="decimal"/>
      <w:lvlText w:val=""/>
      <w:lvlJc w:val="left"/>
    </w:lvl>
    <w:lvl w:ilvl="6" w:tplc="1C22BED6">
      <w:numFmt w:val="decimal"/>
      <w:lvlText w:val=""/>
      <w:lvlJc w:val="left"/>
    </w:lvl>
    <w:lvl w:ilvl="7" w:tplc="90E4E7F8">
      <w:numFmt w:val="decimal"/>
      <w:lvlText w:val=""/>
      <w:lvlJc w:val="left"/>
    </w:lvl>
    <w:lvl w:ilvl="8" w:tplc="D20C94BE">
      <w:numFmt w:val="decimal"/>
      <w:lvlText w:val=""/>
      <w:lvlJc w:val="left"/>
    </w:lvl>
  </w:abstractNum>
  <w:abstractNum w:abstractNumId="728" w15:restartNumberingAfterBreak="0">
    <w:nsid w:val="4D062FBB"/>
    <w:multiLevelType w:val="hybridMultilevel"/>
    <w:tmpl w:val="93663EAE"/>
    <w:lvl w:ilvl="0" w:tplc="2A7C4B34">
      <w:start w:val="1"/>
      <w:numFmt w:val="bullet"/>
      <w:lvlText w:val=""/>
      <w:lvlJc w:val="left"/>
      <w:pPr>
        <w:ind w:left="720" w:hanging="360"/>
      </w:pPr>
      <w:rPr>
        <w:rFonts w:ascii="Symbol" w:hAnsi="Symbol" w:hint="default"/>
      </w:rPr>
    </w:lvl>
    <w:lvl w:ilvl="1" w:tplc="8AE84A2A">
      <w:numFmt w:val="decimal"/>
      <w:lvlText w:val=""/>
      <w:lvlJc w:val="left"/>
    </w:lvl>
    <w:lvl w:ilvl="2" w:tplc="A78C1538">
      <w:numFmt w:val="decimal"/>
      <w:lvlText w:val=""/>
      <w:lvlJc w:val="left"/>
    </w:lvl>
    <w:lvl w:ilvl="3" w:tplc="5EF08C6A">
      <w:numFmt w:val="decimal"/>
      <w:lvlText w:val=""/>
      <w:lvlJc w:val="left"/>
    </w:lvl>
    <w:lvl w:ilvl="4" w:tplc="6824B2AA">
      <w:numFmt w:val="decimal"/>
      <w:lvlText w:val=""/>
      <w:lvlJc w:val="left"/>
    </w:lvl>
    <w:lvl w:ilvl="5" w:tplc="A148C86A">
      <w:numFmt w:val="decimal"/>
      <w:lvlText w:val=""/>
      <w:lvlJc w:val="left"/>
    </w:lvl>
    <w:lvl w:ilvl="6" w:tplc="46B4C57C">
      <w:numFmt w:val="decimal"/>
      <w:lvlText w:val=""/>
      <w:lvlJc w:val="left"/>
    </w:lvl>
    <w:lvl w:ilvl="7" w:tplc="C40E022E">
      <w:numFmt w:val="decimal"/>
      <w:lvlText w:val=""/>
      <w:lvlJc w:val="left"/>
    </w:lvl>
    <w:lvl w:ilvl="8" w:tplc="F2FC4D88">
      <w:numFmt w:val="decimal"/>
      <w:lvlText w:val=""/>
      <w:lvlJc w:val="left"/>
    </w:lvl>
  </w:abstractNum>
  <w:abstractNum w:abstractNumId="729" w15:restartNumberingAfterBreak="0">
    <w:nsid w:val="4D0B6895"/>
    <w:multiLevelType w:val="hybridMultilevel"/>
    <w:tmpl w:val="CAC0E444"/>
    <w:lvl w:ilvl="0" w:tplc="B50C05B4">
      <w:start w:val="1"/>
      <w:numFmt w:val="bullet"/>
      <w:lvlText w:val=""/>
      <w:lvlJc w:val="left"/>
      <w:pPr>
        <w:ind w:left="720" w:hanging="360"/>
      </w:pPr>
      <w:rPr>
        <w:rFonts w:ascii="Symbol" w:hAnsi="Symbol" w:hint="default"/>
      </w:rPr>
    </w:lvl>
    <w:lvl w:ilvl="1" w:tplc="419EC81C">
      <w:numFmt w:val="decimal"/>
      <w:lvlText w:val=""/>
      <w:lvlJc w:val="left"/>
    </w:lvl>
    <w:lvl w:ilvl="2" w:tplc="6EA08E56">
      <w:numFmt w:val="decimal"/>
      <w:lvlText w:val=""/>
      <w:lvlJc w:val="left"/>
    </w:lvl>
    <w:lvl w:ilvl="3" w:tplc="F6549FCA">
      <w:numFmt w:val="decimal"/>
      <w:lvlText w:val=""/>
      <w:lvlJc w:val="left"/>
    </w:lvl>
    <w:lvl w:ilvl="4" w:tplc="7E6EA3E8">
      <w:numFmt w:val="decimal"/>
      <w:lvlText w:val=""/>
      <w:lvlJc w:val="left"/>
    </w:lvl>
    <w:lvl w:ilvl="5" w:tplc="995243FE">
      <w:numFmt w:val="decimal"/>
      <w:lvlText w:val=""/>
      <w:lvlJc w:val="left"/>
    </w:lvl>
    <w:lvl w:ilvl="6" w:tplc="D020D0A8">
      <w:numFmt w:val="decimal"/>
      <w:lvlText w:val=""/>
      <w:lvlJc w:val="left"/>
    </w:lvl>
    <w:lvl w:ilvl="7" w:tplc="704C98B8">
      <w:numFmt w:val="decimal"/>
      <w:lvlText w:val=""/>
      <w:lvlJc w:val="left"/>
    </w:lvl>
    <w:lvl w:ilvl="8" w:tplc="471A2D0C">
      <w:numFmt w:val="decimal"/>
      <w:lvlText w:val=""/>
      <w:lvlJc w:val="left"/>
    </w:lvl>
  </w:abstractNum>
  <w:abstractNum w:abstractNumId="730" w15:restartNumberingAfterBreak="0">
    <w:nsid w:val="4D1677FF"/>
    <w:multiLevelType w:val="hybridMultilevel"/>
    <w:tmpl w:val="98800BD2"/>
    <w:lvl w:ilvl="0" w:tplc="EDE071B0">
      <w:start w:val="1"/>
      <w:numFmt w:val="bullet"/>
      <w:lvlText w:val=""/>
      <w:lvlJc w:val="left"/>
      <w:pPr>
        <w:ind w:left="720" w:hanging="360"/>
      </w:pPr>
      <w:rPr>
        <w:rFonts w:ascii="Symbol" w:hAnsi="Symbol" w:hint="default"/>
      </w:rPr>
    </w:lvl>
    <w:lvl w:ilvl="1" w:tplc="D1844A62">
      <w:numFmt w:val="decimal"/>
      <w:lvlText w:val=""/>
      <w:lvlJc w:val="left"/>
    </w:lvl>
    <w:lvl w:ilvl="2" w:tplc="02F25F00">
      <w:numFmt w:val="decimal"/>
      <w:lvlText w:val=""/>
      <w:lvlJc w:val="left"/>
    </w:lvl>
    <w:lvl w:ilvl="3" w:tplc="D9948BCC">
      <w:numFmt w:val="decimal"/>
      <w:lvlText w:val=""/>
      <w:lvlJc w:val="left"/>
    </w:lvl>
    <w:lvl w:ilvl="4" w:tplc="73AE5246">
      <w:numFmt w:val="decimal"/>
      <w:lvlText w:val=""/>
      <w:lvlJc w:val="left"/>
    </w:lvl>
    <w:lvl w:ilvl="5" w:tplc="B81CA730">
      <w:numFmt w:val="decimal"/>
      <w:lvlText w:val=""/>
      <w:lvlJc w:val="left"/>
    </w:lvl>
    <w:lvl w:ilvl="6" w:tplc="8848A5D8">
      <w:numFmt w:val="decimal"/>
      <w:lvlText w:val=""/>
      <w:lvlJc w:val="left"/>
    </w:lvl>
    <w:lvl w:ilvl="7" w:tplc="E59C3F2A">
      <w:numFmt w:val="decimal"/>
      <w:lvlText w:val=""/>
      <w:lvlJc w:val="left"/>
    </w:lvl>
    <w:lvl w:ilvl="8" w:tplc="8BFE0D2A">
      <w:numFmt w:val="decimal"/>
      <w:lvlText w:val=""/>
      <w:lvlJc w:val="left"/>
    </w:lvl>
  </w:abstractNum>
  <w:abstractNum w:abstractNumId="731" w15:restartNumberingAfterBreak="0">
    <w:nsid w:val="4D1B551B"/>
    <w:multiLevelType w:val="hybridMultilevel"/>
    <w:tmpl w:val="611AAE12"/>
    <w:lvl w:ilvl="0" w:tplc="9162C752">
      <w:start w:val="1"/>
      <w:numFmt w:val="bullet"/>
      <w:lvlText w:val=""/>
      <w:lvlJc w:val="left"/>
      <w:pPr>
        <w:ind w:left="720" w:hanging="360"/>
      </w:pPr>
      <w:rPr>
        <w:rFonts w:ascii="Symbol" w:hAnsi="Symbol" w:hint="default"/>
      </w:rPr>
    </w:lvl>
    <w:lvl w:ilvl="1" w:tplc="1688A572">
      <w:numFmt w:val="decimal"/>
      <w:lvlText w:val=""/>
      <w:lvlJc w:val="left"/>
    </w:lvl>
    <w:lvl w:ilvl="2" w:tplc="96165B92">
      <w:numFmt w:val="decimal"/>
      <w:lvlText w:val=""/>
      <w:lvlJc w:val="left"/>
    </w:lvl>
    <w:lvl w:ilvl="3" w:tplc="611CF09C">
      <w:numFmt w:val="decimal"/>
      <w:lvlText w:val=""/>
      <w:lvlJc w:val="left"/>
    </w:lvl>
    <w:lvl w:ilvl="4" w:tplc="41EED932">
      <w:numFmt w:val="decimal"/>
      <w:lvlText w:val=""/>
      <w:lvlJc w:val="left"/>
    </w:lvl>
    <w:lvl w:ilvl="5" w:tplc="E6362E06">
      <w:numFmt w:val="decimal"/>
      <w:lvlText w:val=""/>
      <w:lvlJc w:val="left"/>
    </w:lvl>
    <w:lvl w:ilvl="6" w:tplc="1CB26180">
      <w:numFmt w:val="decimal"/>
      <w:lvlText w:val=""/>
      <w:lvlJc w:val="left"/>
    </w:lvl>
    <w:lvl w:ilvl="7" w:tplc="D32E01A6">
      <w:numFmt w:val="decimal"/>
      <w:lvlText w:val=""/>
      <w:lvlJc w:val="left"/>
    </w:lvl>
    <w:lvl w:ilvl="8" w:tplc="ADBE0066">
      <w:numFmt w:val="decimal"/>
      <w:lvlText w:val=""/>
      <w:lvlJc w:val="left"/>
    </w:lvl>
  </w:abstractNum>
  <w:abstractNum w:abstractNumId="732" w15:restartNumberingAfterBreak="0">
    <w:nsid w:val="4D1F5E20"/>
    <w:multiLevelType w:val="hybridMultilevel"/>
    <w:tmpl w:val="9CC26C1C"/>
    <w:lvl w:ilvl="0" w:tplc="C576EA06">
      <w:start w:val="1"/>
      <w:numFmt w:val="bullet"/>
      <w:lvlText w:val=""/>
      <w:lvlJc w:val="left"/>
      <w:pPr>
        <w:ind w:left="720" w:hanging="360"/>
      </w:pPr>
      <w:rPr>
        <w:rFonts w:ascii="Symbol" w:hAnsi="Symbol" w:hint="default"/>
      </w:rPr>
    </w:lvl>
    <w:lvl w:ilvl="1" w:tplc="8F5A1B76">
      <w:numFmt w:val="decimal"/>
      <w:lvlText w:val=""/>
      <w:lvlJc w:val="left"/>
    </w:lvl>
    <w:lvl w:ilvl="2" w:tplc="F7EE17BA">
      <w:numFmt w:val="decimal"/>
      <w:lvlText w:val=""/>
      <w:lvlJc w:val="left"/>
    </w:lvl>
    <w:lvl w:ilvl="3" w:tplc="AB14CBB4">
      <w:numFmt w:val="decimal"/>
      <w:lvlText w:val=""/>
      <w:lvlJc w:val="left"/>
    </w:lvl>
    <w:lvl w:ilvl="4" w:tplc="58EAA02E">
      <w:numFmt w:val="decimal"/>
      <w:lvlText w:val=""/>
      <w:lvlJc w:val="left"/>
    </w:lvl>
    <w:lvl w:ilvl="5" w:tplc="6E485CEA">
      <w:numFmt w:val="decimal"/>
      <w:lvlText w:val=""/>
      <w:lvlJc w:val="left"/>
    </w:lvl>
    <w:lvl w:ilvl="6" w:tplc="FBB4D394">
      <w:numFmt w:val="decimal"/>
      <w:lvlText w:val=""/>
      <w:lvlJc w:val="left"/>
    </w:lvl>
    <w:lvl w:ilvl="7" w:tplc="6D18A424">
      <w:numFmt w:val="decimal"/>
      <w:lvlText w:val=""/>
      <w:lvlJc w:val="left"/>
    </w:lvl>
    <w:lvl w:ilvl="8" w:tplc="9430A2E2">
      <w:numFmt w:val="decimal"/>
      <w:lvlText w:val=""/>
      <w:lvlJc w:val="left"/>
    </w:lvl>
  </w:abstractNum>
  <w:abstractNum w:abstractNumId="733" w15:restartNumberingAfterBreak="0">
    <w:nsid w:val="4D3B17C9"/>
    <w:multiLevelType w:val="hybridMultilevel"/>
    <w:tmpl w:val="7D687FD2"/>
    <w:lvl w:ilvl="0" w:tplc="02CC95B8">
      <w:start w:val="1"/>
      <w:numFmt w:val="bullet"/>
      <w:lvlText w:val=""/>
      <w:lvlJc w:val="left"/>
      <w:pPr>
        <w:ind w:left="720" w:hanging="360"/>
      </w:pPr>
      <w:rPr>
        <w:rFonts w:ascii="Symbol" w:hAnsi="Symbol" w:hint="default"/>
      </w:rPr>
    </w:lvl>
    <w:lvl w:ilvl="1" w:tplc="3EAE2742">
      <w:numFmt w:val="decimal"/>
      <w:lvlText w:val=""/>
      <w:lvlJc w:val="left"/>
    </w:lvl>
    <w:lvl w:ilvl="2" w:tplc="64744C58">
      <w:numFmt w:val="decimal"/>
      <w:lvlText w:val=""/>
      <w:lvlJc w:val="left"/>
    </w:lvl>
    <w:lvl w:ilvl="3" w:tplc="439284D8">
      <w:numFmt w:val="decimal"/>
      <w:lvlText w:val=""/>
      <w:lvlJc w:val="left"/>
    </w:lvl>
    <w:lvl w:ilvl="4" w:tplc="DD84AD6E">
      <w:numFmt w:val="decimal"/>
      <w:lvlText w:val=""/>
      <w:lvlJc w:val="left"/>
    </w:lvl>
    <w:lvl w:ilvl="5" w:tplc="DC960CBE">
      <w:numFmt w:val="decimal"/>
      <w:lvlText w:val=""/>
      <w:lvlJc w:val="left"/>
    </w:lvl>
    <w:lvl w:ilvl="6" w:tplc="245A1424">
      <w:numFmt w:val="decimal"/>
      <w:lvlText w:val=""/>
      <w:lvlJc w:val="left"/>
    </w:lvl>
    <w:lvl w:ilvl="7" w:tplc="E976E268">
      <w:numFmt w:val="decimal"/>
      <w:lvlText w:val=""/>
      <w:lvlJc w:val="left"/>
    </w:lvl>
    <w:lvl w:ilvl="8" w:tplc="5628A7F6">
      <w:numFmt w:val="decimal"/>
      <w:lvlText w:val=""/>
      <w:lvlJc w:val="left"/>
    </w:lvl>
  </w:abstractNum>
  <w:abstractNum w:abstractNumId="734" w15:restartNumberingAfterBreak="0">
    <w:nsid w:val="4D574664"/>
    <w:multiLevelType w:val="hybridMultilevel"/>
    <w:tmpl w:val="74E88B60"/>
    <w:lvl w:ilvl="0" w:tplc="697E8CEA">
      <w:start w:val="1"/>
      <w:numFmt w:val="bullet"/>
      <w:lvlText w:val=""/>
      <w:lvlJc w:val="left"/>
      <w:pPr>
        <w:ind w:left="720" w:hanging="360"/>
      </w:pPr>
      <w:rPr>
        <w:rFonts w:ascii="Symbol" w:hAnsi="Symbol" w:hint="default"/>
      </w:rPr>
    </w:lvl>
    <w:lvl w:ilvl="1" w:tplc="9842C77C">
      <w:numFmt w:val="decimal"/>
      <w:lvlText w:val=""/>
      <w:lvlJc w:val="left"/>
    </w:lvl>
    <w:lvl w:ilvl="2" w:tplc="700E224E">
      <w:numFmt w:val="decimal"/>
      <w:lvlText w:val=""/>
      <w:lvlJc w:val="left"/>
    </w:lvl>
    <w:lvl w:ilvl="3" w:tplc="58E48618">
      <w:numFmt w:val="decimal"/>
      <w:lvlText w:val=""/>
      <w:lvlJc w:val="left"/>
    </w:lvl>
    <w:lvl w:ilvl="4" w:tplc="DB4A32F6">
      <w:numFmt w:val="decimal"/>
      <w:lvlText w:val=""/>
      <w:lvlJc w:val="left"/>
    </w:lvl>
    <w:lvl w:ilvl="5" w:tplc="70EEF626">
      <w:numFmt w:val="decimal"/>
      <w:lvlText w:val=""/>
      <w:lvlJc w:val="left"/>
    </w:lvl>
    <w:lvl w:ilvl="6" w:tplc="C80ADFA2">
      <w:numFmt w:val="decimal"/>
      <w:lvlText w:val=""/>
      <w:lvlJc w:val="left"/>
    </w:lvl>
    <w:lvl w:ilvl="7" w:tplc="CF8006C8">
      <w:numFmt w:val="decimal"/>
      <w:lvlText w:val=""/>
      <w:lvlJc w:val="left"/>
    </w:lvl>
    <w:lvl w:ilvl="8" w:tplc="7BA267B4">
      <w:numFmt w:val="decimal"/>
      <w:lvlText w:val=""/>
      <w:lvlJc w:val="left"/>
    </w:lvl>
  </w:abstractNum>
  <w:abstractNum w:abstractNumId="735" w15:restartNumberingAfterBreak="0">
    <w:nsid w:val="4DAF7104"/>
    <w:multiLevelType w:val="hybridMultilevel"/>
    <w:tmpl w:val="126C3B98"/>
    <w:lvl w:ilvl="0" w:tplc="BCFEE75A">
      <w:start w:val="1"/>
      <w:numFmt w:val="bullet"/>
      <w:lvlText w:val=""/>
      <w:lvlJc w:val="left"/>
      <w:pPr>
        <w:ind w:left="720" w:hanging="360"/>
      </w:pPr>
      <w:rPr>
        <w:rFonts w:ascii="Symbol" w:hAnsi="Symbol" w:hint="default"/>
      </w:rPr>
    </w:lvl>
    <w:lvl w:ilvl="1" w:tplc="0CEC39A2">
      <w:numFmt w:val="decimal"/>
      <w:lvlText w:val=""/>
      <w:lvlJc w:val="left"/>
    </w:lvl>
    <w:lvl w:ilvl="2" w:tplc="59EAE5EA">
      <w:numFmt w:val="decimal"/>
      <w:lvlText w:val=""/>
      <w:lvlJc w:val="left"/>
    </w:lvl>
    <w:lvl w:ilvl="3" w:tplc="CD605C28">
      <w:numFmt w:val="decimal"/>
      <w:lvlText w:val=""/>
      <w:lvlJc w:val="left"/>
    </w:lvl>
    <w:lvl w:ilvl="4" w:tplc="DE7A8F84">
      <w:numFmt w:val="decimal"/>
      <w:lvlText w:val=""/>
      <w:lvlJc w:val="left"/>
    </w:lvl>
    <w:lvl w:ilvl="5" w:tplc="589A6F4E">
      <w:numFmt w:val="decimal"/>
      <w:lvlText w:val=""/>
      <w:lvlJc w:val="left"/>
    </w:lvl>
    <w:lvl w:ilvl="6" w:tplc="865E25B4">
      <w:numFmt w:val="decimal"/>
      <w:lvlText w:val=""/>
      <w:lvlJc w:val="left"/>
    </w:lvl>
    <w:lvl w:ilvl="7" w:tplc="B464FA7A">
      <w:numFmt w:val="decimal"/>
      <w:lvlText w:val=""/>
      <w:lvlJc w:val="left"/>
    </w:lvl>
    <w:lvl w:ilvl="8" w:tplc="C3A87778">
      <w:numFmt w:val="decimal"/>
      <w:lvlText w:val=""/>
      <w:lvlJc w:val="left"/>
    </w:lvl>
  </w:abstractNum>
  <w:abstractNum w:abstractNumId="736" w15:restartNumberingAfterBreak="0">
    <w:nsid w:val="4E085F47"/>
    <w:multiLevelType w:val="hybridMultilevel"/>
    <w:tmpl w:val="CCE29032"/>
    <w:lvl w:ilvl="0" w:tplc="75ACB7AC">
      <w:start w:val="1"/>
      <w:numFmt w:val="bullet"/>
      <w:lvlText w:val=""/>
      <w:lvlJc w:val="left"/>
      <w:pPr>
        <w:ind w:left="720" w:hanging="360"/>
      </w:pPr>
      <w:rPr>
        <w:rFonts w:ascii="Symbol" w:hAnsi="Symbol" w:hint="default"/>
      </w:rPr>
    </w:lvl>
    <w:lvl w:ilvl="1" w:tplc="E1B0AF28">
      <w:numFmt w:val="decimal"/>
      <w:lvlText w:val=""/>
      <w:lvlJc w:val="left"/>
    </w:lvl>
    <w:lvl w:ilvl="2" w:tplc="21A2BD48">
      <w:numFmt w:val="decimal"/>
      <w:lvlText w:val=""/>
      <w:lvlJc w:val="left"/>
    </w:lvl>
    <w:lvl w:ilvl="3" w:tplc="26783C92">
      <w:numFmt w:val="decimal"/>
      <w:lvlText w:val=""/>
      <w:lvlJc w:val="left"/>
    </w:lvl>
    <w:lvl w:ilvl="4" w:tplc="06EE1FFE">
      <w:numFmt w:val="decimal"/>
      <w:lvlText w:val=""/>
      <w:lvlJc w:val="left"/>
    </w:lvl>
    <w:lvl w:ilvl="5" w:tplc="D130C1FE">
      <w:numFmt w:val="decimal"/>
      <w:lvlText w:val=""/>
      <w:lvlJc w:val="left"/>
    </w:lvl>
    <w:lvl w:ilvl="6" w:tplc="B40CD7E4">
      <w:numFmt w:val="decimal"/>
      <w:lvlText w:val=""/>
      <w:lvlJc w:val="left"/>
    </w:lvl>
    <w:lvl w:ilvl="7" w:tplc="E9E6A248">
      <w:numFmt w:val="decimal"/>
      <w:lvlText w:val=""/>
      <w:lvlJc w:val="left"/>
    </w:lvl>
    <w:lvl w:ilvl="8" w:tplc="4A66AD94">
      <w:numFmt w:val="decimal"/>
      <w:lvlText w:val=""/>
      <w:lvlJc w:val="left"/>
    </w:lvl>
  </w:abstractNum>
  <w:abstractNum w:abstractNumId="737" w15:restartNumberingAfterBreak="0">
    <w:nsid w:val="4E3C12FE"/>
    <w:multiLevelType w:val="hybridMultilevel"/>
    <w:tmpl w:val="C29EBD54"/>
    <w:lvl w:ilvl="0" w:tplc="F2428A5C">
      <w:start w:val="1"/>
      <w:numFmt w:val="bullet"/>
      <w:lvlText w:val=""/>
      <w:lvlJc w:val="left"/>
      <w:pPr>
        <w:ind w:left="720" w:hanging="360"/>
      </w:pPr>
      <w:rPr>
        <w:rFonts w:ascii="Symbol" w:hAnsi="Symbol" w:hint="default"/>
      </w:rPr>
    </w:lvl>
    <w:lvl w:ilvl="1" w:tplc="564AC5F2">
      <w:numFmt w:val="decimal"/>
      <w:lvlText w:val=""/>
      <w:lvlJc w:val="left"/>
    </w:lvl>
    <w:lvl w:ilvl="2" w:tplc="6452F1FA">
      <w:numFmt w:val="decimal"/>
      <w:lvlText w:val=""/>
      <w:lvlJc w:val="left"/>
    </w:lvl>
    <w:lvl w:ilvl="3" w:tplc="8D0C666A">
      <w:numFmt w:val="decimal"/>
      <w:lvlText w:val=""/>
      <w:lvlJc w:val="left"/>
    </w:lvl>
    <w:lvl w:ilvl="4" w:tplc="647EB4A2">
      <w:numFmt w:val="decimal"/>
      <w:lvlText w:val=""/>
      <w:lvlJc w:val="left"/>
    </w:lvl>
    <w:lvl w:ilvl="5" w:tplc="4040226C">
      <w:numFmt w:val="decimal"/>
      <w:lvlText w:val=""/>
      <w:lvlJc w:val="left"/>
    </w:lvl>
    <w:lvl w:ilvl="6" w:tplc="11A669E6">
      <w:numFmt w:val="decimal"/>
      <w:lvlText w:val=""/>
      <w:lvlJc w:val="left"/>
    </w:lvl>
    <w:lvl w:ilvl="7" w:tplc="2214AA02">
      <w:numFmt w:val="decimal"/>
      <w:lvlText w:val=""/>
      <w:lvlJc w:val="left"/>
    </w:lvl>
    <w:lvl w:ilvl="8" w:tplc="783C1D66">
      <w:numFmt w:val="decimal"/>
      <w:lvlText w:val=""/>
      <w:lvlJc w:val="left"/>
    </w:lvl>
  </w:abstractNum>
  <w:abstractNum w:abstractNumId="738" w15:restartNumberingAfterBreak="0">
    <w:nsid w:val="4E5C5CE9"/>
    <w:multiLevelType w:val="hybridMultilevel"/>
    <w:tmpl w:val="52B43B66"/>
    <w:lvl w:ilvl="0" w:tplc="0CC40888">
      <w:start w:val="1"/>
      <w:numFmt w:val="bullet"/>
      <w:lvlText w:val=""/>
      <w:lvlJc w:val="left"/>
      <w:pPr>
        <w:ind w:left="720" w:hanging="360"/>
      </w:pPr>
      <w:rPr>
        <w:rFonts w:ascii="Symbol" w:hAnsi="Symbol" w:hint="default"/>
      </w:rPr>
    </w:lvl>
    <w:lvl w:ilvl="1" w:tplc="B0A88C86">
      <w:numFmt w:val="decimal"/>
      <w:lvlText w:val=""/>
      <w:lvlJc w:val="left"/>
    </w:lvl>
    <w:lvl w:ilvl="2" w:tplc="66DA598A">
      <w:numFmt w:val="decimal"/>
      <w:lvlText w:val=""/>
      <w:lvlJc w:val="left"/>
    </w:lvl>
    <w:lvl w:ilvl="3" w:tplc="79504D74">
      <w:numFmt w:val="decimal"/>
      <w:lvlText w:val=""/>
      <w:lvlJc w:val="left"/>
    </w:lvl>
    <w:lvl w:ilvl="4" w:tplc="B0B83400">
      <w:numFmt w:val="decimal"/>
      <w:lvlText w:val=""/>
      <w:lvlJc w:val="left"/>
    </w:lvl>
    <w:lvl w:ilvl="5" w:tplc="58342DD2">
      <w:numFmt w:val="decimal"/>
      <w:lvlText w:val=""/>
      <w:lvlJc w:val="left"/>
    </w:lvl>
    <w:lvl w:ilvl="6" w:tplc="19A063B4">
      <w:numFmt w:val="decimal"/>
      <w:lvlText w:val=""/>
      <w:lvlJc w:val="left"/>
    </w:lvl>
    <w:lvl w:ilvl="7" w:tplc="6FB0347E">
      <w:numFmt w:val="decimal"/>
      <w:lvlText w:val=""/>
      <w:lvlJc w:val="left"/>
    </w:lvl>
    <w:lvl w:ilvl="8" w:tplc="1412422E">
      <w:numFmt w:val="decimal"/>
      <w:lvlText w:val=""/>
      <w:lvlJc w:val="left"/>
    </w:lvl>
  </w:abstractNum>
  <w:abstractNum w:abstractNumId="739" w15:restartNumberingAfterBreak="0">
    <w:nsid w:val="4E764238"/>
    <w:multiLevelType w:val="hybridMultilevel"/>
    <w:tmpl w:val="632E5486"/>
    <w:lvl w:ilvl="0" w:tplc="33EE92C8">
      <w:start w:val="1"/>
      <w:numFmt w:val="bullet"/>
      <w:lvlText w:val=""/>
      <w:lvlJc w:val="left"/>
      <w:pPr>
        <w:ind w:left="720" w:hanging="360"/>
      </w:pPr>
      <w:rPr>
        <w:rFonts w:ascii="Symbol" w:hAnsi="Symbol" w:hint="default"/>
      </w:rPr>
    </w:lvl>
    <w:lvl w:ilvl="1" w:tplc="9CCE2CCE">
      <w:numFmt w:val="decimal"/>
      <w:lvlText w:val=""/>
      <w:lvlJc w:val="left"/>
    </w:lvl>
    <w:lvl w:ilvl="2" w:tplc="5AFC0252">
      <w:numFmt w:val="decimal"/>
      <w:lvlText w:val=""/>
      <w:lvlJc w:val="left"/>
    </w:lvl>
    <w:lvl w:ilvl="3" w:tplc="51406BDA">
      <w:numFmt w:val="decimal"/>
      <w:lvlText w:val=""/>
      <w:lvlJc w:val="left"/>
    </w:lvl>
    <w:lvl w:ilvl="4" w:tplc="1864FF1E">
      <w:numFmt w:val="decimal"/>
      <w:lvlText w:val=""/>
      <w:lvlJc w:val="left"/>
    </w:lvl>
    <w:lvl w:ilvl="5" w:tplc="B8C849E4">
      <w:numFmt w:val="decimal"/>
      <w:lvlText w:val=""/>
      <w:lvlJc w:val="left"/>
    </w:lvl>
    <w:lvl w:ilvl="6" w:tplc="0A362E8A">
      <w:numFmt w:val="decimal"/>
      <w:lvlText w:val=""/>
      <w:lvlJc w:val="left"/>
    </w:lvl>
    <w:lvl w:ilvl="7" w:tplc="D7C8D000">
      <w:numFmt w:val="decimal"/>
      <w:lvlText w:val=""/>
      <w:lvlJc w:val="left"/>
    </w:lvl>
    <w:lvl w:ilvl="8" w:tplc="18B67F30">
      <w:numFmt w:val="decimal"/>
      <w:lvlText w:val=""/>
      <w:lvlJc w:val="left"/>
    </w:lvl>
  </w:abstractNum>
  <w:abstractNum w:abstractNumId="740" w15:restartNumberingAfterBreak="0">
    <w:nsid w:val="4E915F60"/>
    <w:multiLevelType w:val="hybridMultilevel"/>
    <w:tmpl w:val="4F2A5BC2"/>
    <w:lvl w:ilvl="0" w:tplc="8996B276">
      <w:start w:val="1"/>
      <w:numFmt w:val="bullet"/>
      <w:lvlText w:val=""/>
      <w:lvlJc w:val="left"/>
      <w:pPr>
        <w:ind w:left="720" w:hanging="360"/>
      </w:pPr>
      <w:rPr>
        <w:rFonts w:ascii="Symbol" w:hAnsi="Symbol" w:hint="default"/>
      </w:rPr>
    </w:lvl>
    <w:lvl w:ilvl="1" w:tplc="F0964EDC">
      <w:numFmt w:val="decimal"/>
      <w:lvlText w:val=""/>
      <w:lvlJc w:val="left"/>
    </w:lvl>
    <w:lvl w:ilvl="2" w:tplc="B96637AE">
      <w:numFmt w:val="decimal"/>
      <w:lvlText w:val=""/>
      <w:lvlJc w:val="left"/>
    </w:lvl>
    <w:lvl w:ilvl="3" w:tplc="9CDABC78">
      <w:numFmt w:val="decimal"/>
      <w:lvlText w:val=""/>
      <w:lvlJc w:val="left"/>
    </w:lvl>
    <w:lvl w:ilvl="4" w:tplc="D1D4378E">
      <w:numFmt w:val="decimal"/>
      <w:lvlText w:val=""/>
      <w:lvlJc w:val="left"/>
    </w:lvl>
    <w:lvl w:ilvl="5" w:tplc="A55A0880">
      <w:numFmt w:val="decimal"/>
      <w:lvlText w:val=""/>
      <w:lvlJc w:val="left"/>
    </w:lvl>
    <w:lvl w:ilvl="6" w:tplc="7944A11C">
      <w:numFmt w:val="decimal"/>
      <w:lvlText w:val=""/>
      <w:lvlJc w:val="left"/>
    </w:lvl>
    <w:lvl w:ilvl="7" w:tplc="34F28F32">
      <w:numFmt w:val="decimal"/>
      <w:lvlText w:val=""/>
      <w:lvlJc w:val="left"/>
    </w:lvl>
    <w:lvl w:ilvl="8" w:tplc="F84AD9F0">
      <w:numFmt w:val="decimal"/>
      <w:lvlText w:val=""/>
      <w:lvlJc w:val="left"/>
    </w:lvl>
  </w:abstractNum>
  <w:abstractNum w:abstractNumId="741" w15:restartNumberingAfterBreak="0">
    <w:nsid w:val="4E960EC8"/>
    <w:multiLevelType w:val="hybridMultilevel"/>
    <w:tmpl w:val="9C6AFF70"/>
    <w:lvl w:ilvl="0" w:tplc="FEEE9B62">
      <w:start w:val="1"/>
      <w:numFmt w:val="bullet"/>
      <w:lvlText w:val=""/>
      <w:lvlJc w:val="left"/>
      <w:pPr>
        <w:ind w:left="720" w:hanging="360"/>
      </w:pPr>
      <w:rPr>
        <w:rFonts w:ascii="Symbol" w:hAnsi="Symbol" w:hint="default"/>
      </w:rPr>
    </w:lvl>
    <w:lvl w:ilvl="1" w:tplc="84C4FCB0">
      <w:numFmt w:val="decimal"/>
      <w:lvlText w:val=""/>
      <w:lvlJc w:val="left"/>
    </w:lvl>
    <w:lvl w:ilvl="2" w:tplc="7012F91C">
      <w:numFmt w:val="decimal"/>
      <w:lvlText w:val=""/>
      <w:lvlJc w:val="left"/>
    </w:lvl>
    <w:lvl w:ilvl="3" w:tplc="7300427C">
      <w:numFmt w:val="decimal"/>
      <w:lvlText w:val=""/>
      <w:lvlJc w:val="left"/>
    </w:lvl>
    <w:lvl w:ilvl="4" w:tplc="23421888">
      <w:numFmt w:val="decimal"/>
      <w:lvlText w:val=""/>
      <w:lvlJc w:val="left"/>
    </w:lvl>
    <w:lvl w:ilvl="5" w:tplc="65D2A506">
      <w:numFmt w:val="decimal"/>
      <w:lvlText w:val=""/>
      <w:lvlJc w:val="left"/>
    </w:lvl>
    <w:lvl w:ilvl="6" w:tplc="585E7462">
      <w:numFmt w:val="decimal"/>
      <w:lvlText w:val=""/>
      <w:lvlJc w:val="left"/>
    </w:lvl>
    <w:lvl w:ilvl="7" w:tplc="5F2A5774">
      <w:numFmt w:val="decimal"/>
      <w:lvlText w:val=""/>
      <w:lvlJc w:val="left"/>
    </w:lvl>
    <w:lvl w:ilvl="8" w:tplc="7C903866">
      <w:numFmt w:val="decimal"/>
      <w:lvlText w:val=""/>
      <w:lvlJc w:val="left"/>
    </w:lvl>
  </w:abstractNum>
  <w:abstractNum w:abstractNumId="742" w15:restartNumberingAfterBreak="0">
    <w:nsid w:val="4E973B4C"/>
    <w:multiLevelType w:val="hybridMultilevel"/>
    <w:tmpl w:val="32A08F24"/>
    <w:lvl w:ilvl="0" w:tplc="0514080C">
      <w:start w:val="1"/>
      <w:numFmt w:val="bullet"/>
      <w:lvlText w:val=""/>
      <w:lvlJc w:val="left"/>
      <w:pPr>
        <w:ind w:left="720" w:hanging="360"/>
      </w:pPr>
      <w:rPr>
        <w:rFonts w:ascii="Symbol" w:hAnsi="Symbol" w:hint="default"/>
      </w:rPr>
    </w:lvl>
    <w:lvl w:ilvl="1" w:tplc="12EA0034">
      <w:numFmt w:val="decimal"/>
      <w:lvlText w:val=""/>
      <w:lvlJc w:val="left"/>
    </w:lvl>
    <w:lvl w:ilvl="2" w:tplc="05F25BAE">
      <w:numFmt w:val="decimal"/>
      <w:lvlText w:val=""/>
      <w:lvlJc w:val="left"/>
    </w:lvl>
    <w:lvl w:ilvl="3" w:tplc="A7B6853A">
      <w:numFmt w:val="decimal"/>
      <w:lvlText w:val=""/>
      <w:lvlJc w:val="left"/>
    </w:lvl>
    <w:lvl w:ilvl="4" w:tplc="951E2724">
      <w:numFmt w:val="decimal"/>
      <w:lvlText w:val=""/>
      <w:lvlJc w:val="left"/>
    </w:lvl>
    <w:lvl w:ilvl="5" w:tplc="EC3EB500">
      <w:numFmt w:val="decimal"/>
      <w:lvlText w:val=""/>
      <w:lvlJc w:val="left"/>
    </w:lvl>
    <w:lvl w:ilvl="6" w:tplc="68B2DE4E">
      <w:numFmt w:val="decimal"/>
      <w:lvlText w:val=""/>
      <w:lvlJc w:val="left"/>
    </w:lvl>
    <w:lvl w:ilvl="7" w:tplc="1146E8DA">
      <w:numFmt w:val="decimal"/>
      <w:lvlText w:val=""/>
      <w:lvlJc w:val="left"/>
    </w:lvl>
    <w:lvl w:ilvl="8" w:tplc="8F24BF06">
      <w:numFmt w:val="decimal"/>
      <w:lvlText w:val=""/>
      <w:lvlJc w:val="left"/>
    </w:lvl>
  </w:abstractNum>
  <w:abstractNum w:abstractNumId="743" w15:restartNumberingAfterBreak="0">
    <w:nsid w:val="4E985933"/>
    <w:multiLevelType w:val="hybridMultilevel"/>
    <w:tmpl w:val="A3B033E8"/>
    <w:lvl w:ilvl="0" w:tplc="AAAC01FE">
      <w:start w:val="1"/>
      <w:numFmt w:val="bullet"/>
      <w:lvlText w:val=""/>
      <w:lvlJc w:val="left"/>
      <w:pPr>
        <w:ind w:left="720" w:hanging="360"/>
      </w:pPr>
      <w:rPr>
        <w:rFonts w:ascii="Symbol" w:hAnsi="Symbol" w:hint="default"/>
      </w:rPr>
    </w:lvl>
    <w:lvl w:ilvl="1" w:tplc="D9EE3212">
      <w:numFmt w:val="decimal"/>
      <w:lvlText w:val=""/>
      <w:lvlJc w:val="left"/>
    </w:lvl>
    <w:lvl w:ilvl="2" w:tplc="3424AC96">
      <w:numFmt w:val="decimal"/>
      <w:lvlText w:val=""/>
      <w:lvlJc w:val="left"/>
    </w:lvl>
    <w:lvl w:ilvl="3" w:tplc="8E48FA68">
      <w:numFmt w:val="decimal"/>
      <w:lvlText w:val=""/>
      <w:lvlJc w:val="left"/>
    </w:lvl>
    <w:lvl w:ilvl="4" w:tplc="EBB4FDF8">
      <w:numFmt w:val="decimal"/>
      <w:lvlText w:val=""/>
      <w:lvlJc w:val="left"/>
    </w:lvl>
    <w:lvl w:ilvl="5" w:tplc="CCD6BDF4">
      <w:numFmt w:val="decimal"/>
      <w:lvlText w:val=""/>
      <w:lvlJc w:val="left"/>
    </w:lvl>
    <w:lvl w:ilvl="6" w:tplc="AE42B5D6">
      <w:numFmt w:val="decimal"/>
      <w:lvlText w:val=""/>
      <w:lvlJc w:val="left"/>
    </w:lvl>
    <w:lvl w:ilvl="7" w:tplc="6B5C1C7C">
      <w:numFmt w:val="decimal"/>
      <w:lvlText w:val=""/>
      <w:lvlJc w:val="left"/>
    </w:lvl>
    <w:lvl w:ilvl="8" w:tplc="20CE0604">
      <w:numFmt w:val="decimal"/>
      <w:lvlText w:val=""/>
      <w:lvlJc w:val="left"/>
    </w:lvl>
  </w:abstractNum>
  <w:abstractNum w:abstractNumId="744" w15:restartNumberingAfterBreak="0">
    <w:nsid w:val="4EAB2C3A"/>
    <w:multiLevelType w:val="hybridMultilevel"/>
    <w:tmpl w:val="EAD6C326"/>
    <w:lvl w:ilvl="0" w:tplc="14A08028">
      <w:start w:val="1"/>
      <w:numFmt w:val="bullet"/>
      <w:lvlText w:val=""/>
      <w:lvlJc w:val="left"/>
      <w:pPr>
        <w:ind w:left="720" w:hanging="360"/>
      </w:pPr>
      <w:rPr>
        <w:rFonts w:ascii="Symbol" w:hAnsi="Symbol" w:hint="default"/>
      </w:rPr>
    </w:lvl>
    <w:lvl w:ilvl="1" w:tplc="1284D724">
      <w:numFmt w:val="decimal"/>
      <w:lvlText w:val=""/>
      <w:lvlJc w:val="left"/>
    </w:lvl>
    <w:lvl w:ilvl="2" w:tplc="401CFF4C">
      <w:numFmt w:val="decimal"/>
      <w:lvlText w:val=""/>
      <w:lvlJc w:val="left"/>
    </w:lvl>
    <w:lvl w:ilvl="3" w:tplc="996420E4">
      <w:numFmt w:val="decimal"/>
      <w:lvlText w:val=""/>
      <w:lvlJc w:val="left"/>
    </w:lvl>
    <w:lvl w:ilvl="4" w:tplc="139CBCB2">
      <w:numFmt w:val="decimal"/>
      <w:lvlText w:val=""/>
      <w:lvlJc w:val="left"/>
    </w:lvl>
    <w:lvl w:ilvl="5" w:tplc="78FE06CA">
      <w:numFmt w:val="decimal"/>
      <w:lvlText w:val=""/>
      <w:lvlJc w:val="left"/>
    </w:lvl>
    <w:lvl w:ilvl="6" w:tplc="C7F4533A">
      <w:numFmt w:val="decimal"/>
      <w:lvlText w:val=""/>
      <w:lvlJc w:val="left"/>
    </w:lvl>
    <w:lvl w:ilvl="7" w:tplc="51E8B7A6">
      <w:numFmt w:val="decimal"/>
      <w:lvlText w:val=""/>
      <w:lvlJc w:val="left"/>
    </w:lvl>
    <w:lvl w:ilvl="8" w:tplc="F558D946">
      <w:numFmt w:val="decimal"/>
      <w:lvlText w:val=""/>
      <w:lvlJc w:val="left"/>
    </w:lvl>
  </w:abstractNum>
  <w:abstractNum w:abstractNumId="745" w15:restartNumberingAfterBreak="0">
    <w:nsid w:val="4EC512F2"/>
    <w:multiLevelType w:val="hybridMultilevel"/>
    <w:tmpl w:val="FA74CCAC"/>
    <w:lvl w:ilvl="0" w:tplc="A19677B8">
      <w:start w:val="1"/>
      <w:numFmt w:val="bullet"/>
      <w:lvlText w:val=""/>
      <w:lvlJc w:val="left"/>
      <w:pPr>
        <w:ind w:left="720" w:hanging="360"/>
      </w:pPr>
      <w:rPr>
        <w:rFonts w:ascii="Symbol" w:hAnsi="Symbol" w:hint="default"/>
      </w:rPr>
    </w:lvl>
    <w:lvl w:ilvl="1" w:tplc="3528A684">
      <w:numFmt w:val="decimal"/>
      <w:lvlText w:val=""/>
      <w:lvlJc w:val="left"/>
    </w:lvl>
    <w:lvl w:ilvl="2" w:tplc="965CF1A2">
      <w:numFmt w:val="decimal"/>
      <w:lvlText w:val=""/>
      <w:lvlJc w:val="left"/>
    </w:lvl>
    <w:lvl w:ilvl="3" w:tplc="6E68E724">
      <w:numFmt w:val="decimal"/>
      <w:lvlText w:val=""/>
      <w:lvlJc w:val="left"/>
    </w:lvl>
    <w:lvl w:ilvl="4" w:tplc="CD4EBEA6">
      <w:numFmt w:val="decimal"/>
      <w:lvlText w:val=""/>
      <w:lvlJc w:val="left"/>
    </w:lvl>
    <w:lvl w:ilvl="5" w:tplc="737E27AA">
      <w:numFmt w:val="decimal"/>
      <w:lvlText w:val=""/>
      <w:lvlJc w:val="left"/>
    </w:lvl>
    <w:lvl w:ilvl="6" w:tplc="224059DE">
      <w:numFmt w:val="decimal"/>
      <w:lvlText w:val=""/>
      <w:lvlJc w:val="left"/>
    </w:lvl>
    <w:lvl w:ilvl="7" w:tplc="05EEE03A">
      <w:numFmt w:val="decimal"/>
      <w:lvlText w:val=""/>
      <w:lvlJc w:val="left"/>
    </w:lvl>
    <w:lvl w:ilvl="8" w:tplc="8D069BF8">
      <w:numFmt w:val="decimal"/>
      <w:lvlText w:val=""/>
      <w:lvlJc w:val="left"/>
    </w:lvl>
  </w:abstractNum>
  <w:abstractNum w:abstractNumId="746" w15:restartNumberingAfterBreak="0">
    <w:nsid w:val="4EC64C05"/>
    <w:multiLevelType w:val="hybridMultilevel"/>
    <w:tmpl w:val="61A8E896"/>
    <w:lvl w:ilvl="0" w:tplc="51EC41E0">
      <w:start w:val="1"/>
      <w:numFmt w:val="bullet"/>
      <w:lvlText w:val=""/>
      <w:lvlJc w:val="left"/>
      <w:pPr>
        <w:ind w:left="720" w:hanging="360"/>
      </w:pPr>
      <w:rPr>
        <w:rFonts w:ascii="Symbol" w:hAnsi="Symbol" w:hint="default"/>
      </w:rPr>
    </w:lvl>
    <w:lvl w:ilvl="1" w:tplc="80D4B990">
      <w:numFmt w:val="decimal"/>
      <w:lvlText w:val=""/>
      <w:lvlJc w:val="left"/>
    </w:lvl>
    <w:lvl w:ilvl="2" w:tplc="47FE3F5E">
      <w:numFmt w:val="decimal"/>
      <w:lvlText w:val=""/>
      <w:lvlJc w:val="left"/>
    </w:lvl>
    <w:lvl w:ilvl="3" w:tplc="8BD26E4A">
      <w:numFmt w:val="decimal"/>
      <w:lvlText w:val=""/>
      <w:lvlJc w:val="left"/>
    </w:lvl>
    <w:lvl w:ilvl="4" w:tplc="7968EABA">
      <w:numFmt w:val="decimal"/>
      <w:lvlText w:val=""/>
      <w:lvlJc w:val="left"/>
    </w:lvl>
    <w:lvl w:ilvl="5" w:tplc="65643E3A">
      <w:numFmt w:val="decimal"/>
      <w:lvlText w:val=""/>
      <w:lvlJc w:val="left"/>
    </w:lvl>
    <w:lvl w:ilvl="6" w:tplc="A63CE682">
      <w:numFmt w:val="decimal"/>
      <w:lvlText w:val=""/>
      <w:lvlJc w:val="left"/>
    </w:lvl>
    <w:lvl w:ilvl="7" w:tplc="C9C650F4">
      <w:numFmt w:val="decimal"/>
      <w:lvlText w:val=""/>
      <w:lvlJc w:val="left"/>
    </w:lvl>
    <w:lvl w:ilvl="8" w:tplc="0FAC85A6">
      <w:numFmt w:val="decimal"/>
      <w:lvlText w:val=""/>
      <w:lvlJc w:val="left"/>
    </w:lvl>
  </w:abstractNum>
  <w:abstractNum w:abstractNumId="747" w15:restartNumberingAfterBreak="0">
    <w:nsid w:val="4ED03C69"/>
    <w:multiLevelType w:val="hybridMultilevel"/>
    <w:tmpl w:val="76869656"/>
    <w:lvl w:ilvl="0" w:tplc="03FC4CFE">
      <w:start w:val="1"/>
      <w:numFmt w:val="bullet"/>
      <w:lvlText w:val=""/>
      <w:lvlJc w:val="left"/>
      <w:pPr>
        <w:ind w:left="720" w:hanging="360"/>
      </w:pPr>
      <w:rPr>
        <w:rFonts w:ascii="Symbol" w:hAnsi="Symbol" w:hint="default"/>
      </w:rPr>
    </w:lvl>
    <w:lvl w:ilvl="1" w:tplc="04185744">
      <w:numFmt w:val="decimal"/>
      <w:lvlText w:val=""/>
      <w:lvlJc w:val="left"/>
    </w:lvl>
    <w:lvl w:ilvl="2" w:tplc="2604B03C">
      <w:numFmt w:val="decimal"/>
      <w:lvlText w:val=""/>
      <w:lvlJc w:val="left"/>
    </w:lvl>
    <w:lvl w:ilvl="3" w:tplc="60D2E5A6">
      <w:numFmt w:val="decimal"/>
      <w:lvlText w:val=""/>
      <w:lvlJc w:val="left"/>
    </w:lvl>
    <w:lvl w:ilvl="4" w:tplc="CAD86ABE">
      <w:numFmt w:val="decimal"/>
      <w:lvlText w:val=""/>
      <w:lvlJc w:val="left"/>
    </w:lvl>
    <w:lvl w:ilvl="5" w:tplc="7C4AC234">
      <w:numFmt w:val="decimal"/>
      <w:lvlText w:val=""/>
      <w:lvlJc w:val="left"/>
    </w:lvl>
    <w:lvl w:ilvl="6" w:tplc="CD129FE4">
      <w:numFmt w:val="decimal"/>
      <w:lvlText w:val=""/>
      <w:lvlJc w:val="left"/>
    </w:lvl>
    <w:lvl w:ilvl="7" w:tplc="862CD600">
      <w:numFmt w:val="decimal"/>
      <w:lvlText w:val=""/>
      <w:lvlJc w:val="left"/>
    </w:lvl>
    <w:lvl w:ilvl="8" w:tplc="59ACA5CE">
      <w:numFmt w:val="decimal"/>
      <w:lvlText w:val=""/>
      <w:lvlJc w:val="left"/>
    </w:lvl>
  </w:abstractNum>
  <w:abstractNum w:abstractNumId="748" w15:restartNumberingAfterBreak="0">
    <w:nsid w:val="4F4855BE"/>
    <w:multiLevelType w:val="hybridMultilevel"/>
    <w:tmpl w:val="631A6BBE"/>
    <w:lvl w:ilvl="0" w:tplc="C76AC44E">
      <w:start w:val="1"/>
      <w:numFmt w:val="bullet"/>
      <w:lvlText w:val=""/>
      <w:lvlJc w:val="left"/>
      <w:pPr>
        <w:ind w:left="720" w:hanging="360"/>
      </w:pPr>
      <w:rPr>
        <w:rFonts w:ascii="Symbol" w:hAnsi="Symbol" w:hint="default"/>
      </w:rPr>
    </w:lvl>
    <w:lvl w:ilvl="1" w:tplc="8ABE0FD6">
      <w:numFmt w:val="decimal"/>
      <w:lvlText w:val=""/>
      <w:lvlJc w:val="left"/>
    </w:lvl>
    <w:lvl w:ilvl="2" w:tplc="E2B01204">
      <w:numFmt w:val="decimal"/>
      <w:lvlText w:val=""/>
      <w:lvlJc w:val="left"/>
    </w:lvl>
    <w:lvl w:ilvl="3" w:tplc="5FE66196">
      <w:numFmt w:val="decimal"/>
      <w:lvlText w:val=""/>
      <w:lvlJc w:val="left"/>
    </w:lvl>
    <w:lvl w:ilvl="4" w:tplc="3A9CD68A">
      <w:numFmt w:val="decimal"/>
      <w:lvlText w:val=""/>
      <w:lvlJc w:val="left"/>
    </w:lvl>
    <w:lvl w:ilvl="5" w:tplc="131EC790">
      <w:numFmt w:val="decimal"/>
      <w:lvlText w:val=""/>
      <w:lvlJc w:val="left"/>
    </w:lvl>
    <w:lvl w:ilvl="6" w:tplc="73867908">
      <w:numFmt w:val="decimal"/>
      <w:lvlText w:val=""/>
      <w:lvlJc w:val="left"/>
    </w:lvl>
    <w:lvl w:ilvl="7" w:tplc="8A2AD290">
      <w:numFmt w:val="decimal"/>
      <w:lvlText w:val=""/>
      <w:lvlJc w:val="left"/>
    </w:lvl>
    <w:lvl w:ilvl="8" w:tplc="8F309E9A">
      <w:numFmt w:val="decimal"/>
      <w:lvlText w:val=""/>
      <w:lvlJc w:val="left"/>
    </w:lvl>
  </w:abstractNum>
  <w:abstractNum w:abstractNumId="749" w15:restartNumberingAfterBreak="0">
    <w:nsid w:val="4F605F70"/>
    <w:multiLevelType w:val="hybridMultilevel"/>
    <w:tmpl w:val="3432DB74"/>
    <w:lvl w:ilvl="0" w:tplc="8E087160">
      <w:start w:val="1"/>
      <w:numFmt w:val="bullet"/>
      <w:lvlText w:val=""/>
      <w:lvlJc w:val="left"/>
      <w:pPr>
        <w:ind w:left="720" w:hanging="360"/>
      </w:pPr>
      <w:rPr>
        <w:rFonts w:ascii="Symbol" w:hAnsi="Symbol" w:hint="default"/>
      </w:rPr>
    </w:lvl>
    <w:lvl w:ilvl="1" w:tplc="CBECBF4A">
      <w:numFmt w:val="decimal"/>
      <w:lvlText w:val=""/>
      <w:lvlJc w:val="left"/>
    </w:lvl>
    <w:lvl w:ilvl="2" w:tplc="075A6E2A">
      <w:numFmt w:val="decimal"/>
      <w:lvlText w:val=""/>
      <w:lvlJc w:val="left"/>
    </w:lvl>
    <w:lvl w:ilvl="3" w:tplc="A4F00A36">
      <w:numFmt w:val="decimal"/>
      <w:lvlText w:val=""/>
      <w:lvlJc w:val="left"/>
    </w:lvl>
    <w:lvl w:ilvl="4" w:tplc="FA820432">
      <w:numFmt w:val="decimal"/>
      <w:lvlText w:val=""/>
      <w:lvlJc w:val="left"/>
    </w:lvl>
    <w:lvl w:ilvl="5" w:tplc="4DCE58CE">
      <w:numFmt w:val="decimal"/>
      <w:lvlText w:val=""/>
      <w:lvlJc w:val="left"/>
    </w:lvl>
    <w:lvl w:ilvl="6" w:tplc="34EC8856">
      <w:numFmt w:val="decimal"/>
      <w:lvlText w:val=""/>
      <w:lvlJc w:val="left"/>
    </w:lvl>
    <w:lvl w:ilvl="7" w:tplc="CBF4DC9A">
      <w:numFmt w:val="decimal"/>
      <w:lvlText w:val=""/>
      <w:lvlJc w:val="left"/>
    </w:lvl>
    <w:lvl w:ilvl="8" w:tplc="AB4E80E0">
      <w:numFmt w:val="decimal"/>
      <w:lvlText w:val=""/>
      <w:lvlJc w:val="left"/>
    </w:lvl>
  </w:abstractNum>
  <w:abstractNum w:abstractNumId="750" w15:restartNumberingAfterBreak="0">
    <w:nsid w:val="4F6650BC"/>
    <w:multiLevelType w:val="hybridMultilevel"/>
    <w:tmpl w:val="1D78C534"/>
    <w:lvl w:ilvl="0" w:tplc="F10613A2">
      <w:numFmt w:val="decimal"/>
      <w:lvlText w:val=""/>
      <w:lvlJc w:val="left"/>
    </w:lvl>
    <w:lvl w:ilvl="1" w:tplc="9AAC6434">
      <w:start w:val="1"/>
      <w:numFmt w:val="bullet"/>
      <w:lvlText w:val=""/>
      <w:lvlJc w:val="left"/>
      <w:pPr>
        <w:ind w:left="1440" w:hanging="360"/>
      </w:pPr>
      <w:rPr>
        <w:rFonts w:ascii="Symbol" w:hAnsi="Symbol" w:hint="default"/>
      </w:rPr>
    </w:lvl>
    <w:lvl w:ilvl="2" w:tplc="A90CD990">
      <w:numFmt w:val="decimal"/>
      <w:lvlText w:val=""/>
      <w:lvlJc w:val="left"/>
    </w:lvl>
    <w:lvl w:ilvl="3" w:tplc="2A740FD4">
      <w:numFmt w:val="decimal"/>
      <w:lvlText w:val=""/>
      <w:lvlJc w:val="left"/>
    </w:lvl>
    <w:lvl w:ilvl="4" w:tplc="8A6CF0C0">
      <w:numFmt w:val="decimal"/>
      <w:lvlText w:val=""/>
      <w:lvlJc w:val="left"/>
    </w:lvl>
    <w:lvl w:ilvl="5" w:tplc="A57AAAA4">
      <w:numFmt w:val="decimal"/>
      <w:lvlText w:val=""/>
      <w:lvlJc w:val="left"/>
    </w:lvl>
    <w:lvl w:ilvl="6" w:tplc="F40C2A74">
      <w:numFmt w:val="decimal"/>
      <w:lvlText w:val=""/>
      <w:lvlJc w:val="left"/>
    </w:lvl>
    <w:lvl w:ilvl="7" w:tplc="E95C3114">
      <w:numFmt w:val="decimal"/>
      <w:lvlText w:val=""/>
      <w:lvlJc w:val="left"/>
    </w:lvl>
    <w:lvl w:ilvl="8" w:tplc="210E9270">
      <w:numFmt w:val="decimal"/>
      <w:lvlText w:val=""/>
      <w:lvlJc w:val="left"/>
    </w:lvl>
  </w:abstractNum>
  <w:abstractNum w:abstractNumId="751" w15:restartNumberingAfterBreak="0">
    <w:nsid w:val="4F8E3602"/>
    <w:multiLevelType w:val="hybridMultilevel"/>
    <w:tmpl w:val="4DD07B32"/>
    <w:lvl w:ilvl="0" w:tplc="D3A043D6">
      <w:start w:val="1"/>
      <w:numFmt w:val="bullet"/>
      <w:lvlText w:val=""/>
      <w:lvlJc w:val="left"/>
      <w:pPr>
        <w:ind w:left="720" w:hanging="360"/>
      </w:pPr>
      <w:rPr>
        <w:rFonts w:ascii="Symbol" w:hAnsi="Symbol" w:hint="default"/>
      </w:rPr>
    </w:lvl>
    <w:lvl w:ilvl="1" w:tplc="BDE80372">
      <w:numFmt w:val="decimal"/>
      <w:lvlText w:val=""/>
      <w:lvlJc w:val="left"/>
    </w:lvl>
    <w:lvl w:ilvl="2" w:tplc="6D9801BC">
      <w:numFmt w:val="decimal"/>
      <w:lvlText w:val=""/>
      <w:lvlJc w:val="left"/>
    </w:lvl>
    <w:lvl w:ilvl="3" w:tplc="F7CA9E02">
      <w:numFmt w:val="decimal"/>
      <w:lvlText w:val=""/>
      <w:lvlJc w:val="left"/>
    </w:lvl>
    <w:lvl w:ilvl="4" w:tplc="5622B586">
      <w:numFmt w:val="decimal"/>
      <w:lvlText w:val=""/>
      <w:lvlJc w:val="left"/>
    </w:lvl>
    <w:lvl w:ilvl="5" w:tplc="5B728B7C">
      <w:numFmt w:val="decimal"/>
      <w:lvlText w:val=""/>
      <w:lvlJc w:val="left"/>
    </w:lvl>
    <w:lvl w:ilvl="6" w:tplc="99B2E3E8">
      <w:numFmt w:val="decimal"/>
      <w:lvlText w:val=""/>
      <w:lvlJc w:val="left"/>
    </w:lvl>
    <w:lvl w:ilvl="7" w:tplc="D8A0F032">
      <w:numFmt w:val="decimal"/>
      <w:lvlText w:val=""/>
      <w:lvlJc w:val="left"/>
    </w:lvl>
    <w:lvl w:ilvl="8" w:tplc="2E607B40">
      <w:numFmt w:val="decimal"/>
      <w:lvlText w:val=""/>
      <w:lvlJc w:val="left"/>
    </w:lvl>
  </w:abstractNum>
  <w:abstractNum w:abstractNumId="752" w15:restartNumberingAfterBreak="0">
    <w:nsid w:val="4FAB249A"/>
    <w:multiLevelType w:val="hybridMultilevel"/>
    <w:tmpl w:val="A1361FA0"/>
    <w:lvl w:ilvl="0" w:tplc="A01CF0AE">
      <w:start w:val="1"/>
      <w:numFmt w:val="bullet"/>
      <w:lvlText w:val=""/>
      <w:lvlJc w:val="left"/>
      <w:pPr>
        <w:ind w:left="720" w:hanging="360"/>
      </w:pPr>
      <w:rPr>
        <w:rFonts w:ascii="Symbol" w:hAnsi="Symbol" w:hint="default"/>
      </w:rPr>
    </w:lvl>
    <w:lvl w:ilvl="1" w:tplc="E652876C">
      <w:numFmt w:val="decimal"/>
      <w:lvlText w:val=""/>
      <w:lvlJc w:val="left"/>
    </w:lvl>
    <w:lvl w:ilvl="2" w:tplc="AEFA25BA">
      <w:numFmt w:val="decimal"/>
      <w:lvlText w:val=""/>
      <w:lvlJc w:val="left"/>
    </w:lvl>
    <w:lvl w:ilvl="3" w:tplc="C64E4CE8">
      <w:numFmt w:val="decimal"/>
      <w:lvlText w:val=""/>
      <w:lvlJc w:val="left"/>
    </w:lvl>
    <w:lvl w:ilvl="4" w:tplc="F034C068">
      <w:numFmt w:val="decimal"/>
      <w:lvlText w:val=""/>
      <w:lvlJc w:val="left"/>
    </w:lvl>
    <w:lvl w:ilvl="5" w:tplc="CE82CBD4">
      <w:numFmt w:val="decimal"/>
      <w:lvlText w:val=""/>
      <w:lvlJc w:val="left"/>
    </w:lvl>
    <w:lvl w:ilvl="6" w:tplc="42F63DFE">
      <w:numFmt w:val="decimal"/>
      <w:lvlText w:val=""/>
      <w:lvlJc w:val="left"/>
    </w:lvl>
    <w:lvl w:ilvl="7" w:tplc="A7EE0322">
      <w:numFmt w:val="decimal"/>
      <w:lvlText w:val=""/>
      <w:lvlJc w:val="left"/>
    </w:lvl>
    <w:lvl w:ilvl="8" w:tplc="ADCA8E32">
      <w:numFmt w:val="decimal"/>
      <w:lvlText w:val=""/>
      <w:lvlJc w:val="left"/>
    </w:lvl>
  </w:abstractNum>
  <w:abstractNum w:abstractNumId="753" w15:restartNumberingAfterBreak="0">
    <w:nsid w:val="4FCF6F38"/>
    <w:multiLevelType w:val="hybridMultilevel"/>
    <w:tmpl w:val="FC1EAC28"/>
    <w:lvl w:ilvl="0" w:tplc="FF68E8CC">
      <w:start w:val="1"/>
      <w:numFmt w:val="bullet"/>
      <w:lvlText w:val=""/>
      <w:lvlJc w:val="left"/>
      <w:pPr>
        <w:ind w:left="720" w:hanging="360"/>
      </w:pPr>
      <w:rPr>
        <w:rFonts w:ascii="Symbol" w:hAnsi="Symbol" w:hint="default"/>
      </w:rPr>
    </w:lvl>
    <w:lvl w:ilvl="1" w:tplc="8F844E78">
      <w:numFmt w:val="decimal"/>
      <w:lvlText w:val=""/>
      <w:lvlJc w:val="left"/>
    </w:lvl>
    <w:lvl w:ilvl="2" w:tplc="CE1EEEEC">
      <w:numFmt w:val="decimal"/>
      <w:lvlText w:val=""/>
      <w:lvlJc w:val="left"/>
    </w:lvl>
    <w:lvl w:ilvl="3" w:tplc="9928FC28">
      <w:numFmt w:val="decimal"/>
      <w:lvlText w:val=""/>
      <w:lvlJc w:val="left"/>
    </w:lvl>
    <w:lvl w:ilvl="4" w:tplc="31306032">
      <w:numFmt w:val="decimal"/>
      <w:lvlText w:val=""/>
      <w:lvlJc w:val="left"/>
    </w:lvl>
    <w:lvl w:ilvl="5" w:tplc="FB325164">
      <w:numFmt w:val="decimal"/>
      <w:lvlText w:val=""/>
      <w:lvlJc w:val="left"/>
    </w:lvl>
    <w:lvl w:ilvl="6" w:tplc="DAAA4D4E">
      <w:numFmt w:val="decimal"/>
      <w:lvlText w:val=""/>
      <w:lvlJc w:val="left"/>
    </w:lvl>
    <w:lvl w:ilvl="7" w:tplc="284400E8">
      <w:numFmt w:val="decimal"/>
      <w:lvlText w:val=""/>
      <w:lvlJc w:val="left"/>
    </w:lvl>
    <w:lvl w:ilvl="8" w:tplc="1F008ECE">
      <w:numFmt w:val="decimal"/>
      <w:lvlText w:val=""/>
      <w:lvlJc w:val="left"/>
    </w:lvl>
  </w:abstractNum>
  <w:abstractNum w:abstractNumId="754" w15:restartNumberingAfterBreak="0">
    <w:nsid w:val="4FD25F06"/>
    <w:multiLevelType w:val="hybridMultilevel"/>
    <w:tmpl w:val="4ACCD22E"/>
    <w:lvl w:ilvl="0" w:tplc="AACE5164">
      <w:start w:val="1"/>
      <w:numFmt w:val="bullet"/>
      <w:lvlText w:val=""/>
      <w:lvlJc w:val="left"/>
      <w:pPr>
        <w:ind w:left="720" w:hanging="360"/>
      </w:pPr>
      <w:rPr>
        <w:rFonts w:ascii="Symbol" w:hAnsi="Symbol" w:hint="default"/>
      </w:rPr>
    </w:lvl>
    <w:lvl w:ilvl="1" w:tplc="EF4CBE74">
      <w:numFmt w:val="decimal"/>
      <w:lvlText w:val=""/>
      <w:lvlJc w:val="left"/>
    </w:lvl>
    <w:lvl w:ilvl="2" w:tplc="EEB4EF72">
      <w:numFmt w:val="decimal"/>
      <w:lvlText w:val=""/>
      <w:lvlJc w:val="left"/>
    </w:lvl>
    <w:lvl w:ilvl="3" w:tplc="9EE4067A">
      <w:numFmt w:val="decimal"/>
      <w:lvlText w:val=""/>
      <w:lvlJc w:val="left"/>
    </w:lvl>
    <w:lvl w:ilvl="4" w:tplc="B648761A">
      <w:numFmt w:val="decimal"/>
      <w:lvlText w:val=""/>
      <w:lvlJc w:val="left"/>
    </w:lvl>
    <w:lvl w:ilvl="5" w:tplc="4A88A2E6">
      <w:numFmt w:val="decimal"/>
      <w:lvlText w:val=""/>
      <w:lvlJc w:val="left"/>
    </w:lvl>
    <w:lvl w:ilvl="6" w:tplc="D5769F4A">
      <w:numFmt w:val="decimal"/>
      <w:lvlText w:val=""/>
      <w:lvlJc w:val="left"/>
    </w:lvl>
    <w:lvl w:ilvl="7" w:tplc="6972A3FA">
      <w:numFmt w:val="decimal"/>
      <w:lvlText w:val=""/>
      <w:lvlJc w:val="left"/>
    </w:lvl>
    <w:lvl w:ilvl="8" w:tplc="5D587236">
      <w:numFmt w:val="decimal"/>
      <w:lvlText w:val=""/>
      <w:lvlJc w:val="left"/>
    </w:lvl>
  </w:abstractNum>
  <w:abstractNum w:abstractNumId="755" w15:restartNumberingAfterBreak="0">
    <w:nsid w:val="4FE140FE"/>
    <w:multiLevelType w:val="hybridMultilevel"/>
    <w:tmpl w:val="3E0240A6"/>
    <w:lvl w:ilvl="0" w:tplc="B1A0B2DE">
      <w:start w:val="1"/>
      <w:numFmt w:val="bullet"/>
      <w:lvlText w:val=""/>
      <w:lvlJc w:val="left"/>
      <w:pPr>
        <w:ind w:left="720" w:hanging="360"/>
      </w:pPr>
      <w:rPr>
        <w:rFonts w:ascii="Symbol" w:hAnsi="Symbol" w:hint="default"/>
      </w:rPr>
    </w:lvl>
    <w:lvl w:ilvl="1" w:tplc="7FA43A1C">
      <w:numFmt w:val="decimal"/>
      <w:lvlText w:val=""/>
      <w:lvlJc w:val="left"/>
    </w:lvl>
    <w:lvl w:ilvl="2" w:tplc="BEA8E4A2">
      <w:numFmt w:val="decimal"/>
      <w:lvlText w:val=""/>
      <w:lvlJc w:val="left"/>
    </w:lvl>
    <w:lvl w:ilvl="3" w:tplc="ACD2A7FC">
      <w:numFmt w:val="decimal"/>
      <w:lvlText w:val=""/>
      <w:lvlJc w:val="left"/>
    </w:lvl>
    <w:lvl w:ilvl="4" w:tplc="1C3CB222">
      <w:numFmt w:val="decimal"/>
      <w:lvlText w:val=""/>
      <w:lvlJc w:val="left"/>
    </w:lvl>
    <w:lvl w:ilvl="5" w:tplc="37F29076">
      <w:numFmt w:val="decimal"/>
      <w:lvlText w:val=""/>
      <w:lvlJc w:val="left"/>
    </w:lvl>
    <w:lvl w:ilvl="6" w:tplc="A4B2E44E">
      <w:numFmt w:val="decimal"/>
      <w:lvlText w:val=""/>
      <w:lvlJc w:val="left"/>
    </w:lvl>
    <w:lvl w:ilvl="7" w:tplc="0C1E184C">
      <w:numFmt w:val="decimal"/>
      <w:lvlText w:val=""/>
      <w:lvlJc w:val="left"/>
    </w:lvl>
    <w:lvl w:ilvl="8" w:tplc="683417CC">
      <w:numFmt w:val="decimal"/>
      <w:lvlText w:val=""/>
      <w:lvlJc w:val="left"/>
    </w:lvl>
  </w:abstractNum>
  <w:abstractNum w:abstractNumId="756" w15:restartNumberingAfterBreak="0">
    <w:nsid w:val="4FE37843"/>
    <w:multiLevelType w:val="hybridMultilevel"/>
    <w:tmpl w:val="FA6EDD50"/>
    <w:lvl w:ilvl="0" w:tplc="C478E956">
      <w:start w:val="1"/>
      <w:numFmt w:val="bullet"/>
      <w:lvlText w:val=""/>
      <w:lvlJc w:val="left"/>
      <w:pPr>
        <w:ind w:left="720" w:hanging="360"/>
      </w:pPr>
      <w:rPr>
        <w:rFonts w:ascii="Symbol" w:hAnsi="Symbol" w:hint="default"/>
      </w:rPr>
    </w:lvl>
    <w:lvl w:ilvl="1" w:tplc="366AD494">
      <w:numFmt w:val="decimal"/>
      <w:lvlText w:val=""/>
      <w:lvlJc w:val="left"/>
    </w:lvl>
    <w:lvl w:ilvl="2" w:tplc="C728F6A0">
      <w:numFmt w:val="decimal"/>
      <w:lvlText w:val=""/>
      <w:lvlJc w:val="left"/>
    </w:lvl>
    <w:lvl w:ilvl="3" w:tplc="08AC2F48">
      <w:numFmt w:val="decimal"/>
      <w:lvlText w:val=""/>
      <w:lvlJc w:val="left"/>
    </w:lvl>
    <w:lvl w:ilvl="4" w:tplc="4F525AD2">
      <w:numFmt w:val="decimal"/>
      <w:lvlText w:val=""/>
      <w:lvlJc w:val="left"/>
    </w:lvl>
    <w:lvl w:ilvl="5" w:tplc="7E20F832">
      <w:numFmt w:val="decimal"/>
      <w:lvlText w:val=""/>
      <w:lvlJc w:val="left"/>
    </w:lvl>
    <w:lvl w:ilvl="6" w:tplc="2CE0DF72">
      <w:numFmt w:val="decimal"/>
      <w:lvlText w:val=""/>
      <w:lvlJc w:val="left"/>
    </w:lvl>
    <w:lvl w:ilvl="7" w:tplc="977AC574">
      <w:numFmt w:val="decimal"/>
      <w:lvlText w:val=""/>
      <w:lvlJc w:val="left"/>
    </w:lvl>
    <w:lvl w:ilvl="8" w:tplc="8834D56A">
      <w:numFmt w:val="decimal"/>
      <w:lvlText w:val=""/>
      <w:lvlJc w:val="left"/>
    </w:lvl>
  </w:abstractNum>
  <w:abstractNum w:abstractNumId="757" w15:restartNumberingAfterBreak="0">
    <w:nsid w:val="50104F18"/>
    <w:multiLevelType w:val="hybridMultilevel"/>
    <w:tmpl w:val="051C3BAE"/>
    <w:lvl w:ilvl="0" w:tplc="EC668E5A">
      <w:start w:val="1"/>
      <w:numFmt w:val="bullet"/>
      <w:lvlText w:val=""/>
      <w:lvlJc w:val="left"/>
      <w:pPr>
        <w:ind w:left="720" w:hanging="360"/>
      </w:pPr>
      <w:rPr>
        <w:rFonts w:ascii="Symbol" w:hAnsi="Symbol" w:hint="default"/>
      </w:rPr>
    </w:lvl>
    <w:lvl w:ilvl="1" w:tplc="BB8215FE">
      <w:numFmt w:val="decimal"/>
      <w:lvlText w:val=""/>
      <w:lvlJc w:val="left"/>
    </w:lvl>
    <w:lvl w:ilvl="2" w:tplc="1B4A372E">
      <w:numFmt w:val="decimal"/>
      <w:lvlText w:val=""/>
      <w:lvlJc w:val="left"/>
    </w:lvl>
    <w:lvl w:ilvl="3" w:tplc="63760644">
      <w:numFmt w:val="decimal"/>
      <w:lvlText w:val=""/>
      <w:lvlJc w:val="left"/>
    </w:lvl>
    <w:lvl w:ilvl="4" w:tplc="E10C0AF4">
      <w:numFmt w:val="decimal"/>
      <w:lvlText w:val=""/>
      <w:lvlJc w:val="left"/>
    </w:lvl>
    <w:lvl w:ilvl="5" w:tplc="9CA00BA6">
      <w:numFmt w:val="decimal"/>
      <w:lvlText w:val=""/>
      <w:lvlJc w:val="left"/>
    </w:lvl>
    <w:lvl w:ilvl="6" w:tplc="259A0E0C">
      <w:numFmt w:val="decimal"/>
      <w:lvlText w:val=""/>
      <w:lvlJc w:val="left"/>
    </w:lvl>
    <w:lvl w:ilvl="7" w:tplc="3F622002">
      <w:numFmt w:val="decimal"/>
      <w:lvlText w:val=""/>
      <w:lvlJc w:val="left"/>
    </w:lvl>
    <w:lvl w:ilvl="8" w:tplc="3542740E">
      <w:numFmt w:val="decimal"/>
      <w:lvlText w:val=""/>
      <w:lvlJc w:val="left"/>
    </w:lvl>
  </w:abstractNum>
  <w:abstractNum w:abstractNumId="758" w15:restartNumberingAfterBreak="0">
    <w:nsid w:val="50160F92"/>
    <w:multiLevelType w:val="hybridMultilevel"/>
    <w:tmpl w:val="0AC8D492"/>
    <w:lvl w:ilvl="0" w:tplc="89FA9EB4">
      <w:start w:val="1"/>
      <w:numFmt w:val="bullet"/>
      <w:lvlText w:val=""/>
      <w:lvlJc w:val="left"/>
      <w:pPr>
        <w:ind w:left="720" w:hanging="360"/>
      </w:pPr>
      <w:rPr>
        <w:rFonts w:ascii="Symbol" w:hAnsi="Symbol" w:hint="default"/>
      </w:rPr>
    </w:lvl>
    <w:lvl w:ilvl="1" w:tplc="F80ED986">
      <w:numFmt w:val="decimal"/>
      <w:lvlText w:val=""/>
      <w:lvlJc w:val="left"/>
    </w:lvl>
    <w:lvl w:ilvl="2" w:tplc="6D2CC1A8">
      <w:numFmt w:val="decimal"/>
      <w:lvlText w:val=""/>
      <w:lvlJc w:val="left"/>
    </w:lvl>
    <w:lvl w:ilvl="3" w:tplc="FC1A2316">
      <w:numFmt w:val="decimal"/>
      <w:lvlText w:val=""/>
      <w:lvlJc w:val="left"/>
    </w:lvl>
    <w:lvl w:ilvl="4" w:tplc="6846E5FE">
      <w:numFmt w:val="decimal"/>
      <w:lvlText w:val=""/>
      <w:lvlJc w:val="left"/>
    </w:lvl>
    <w:lvl w:ilvl="5" w:tplc="E53E082C">
      <w:numFmt w:val="decimal"/>
      <w:lvlText w:val=""/>
      <w:lvlJc w:val="left"/>
    </w:lvl>
    <w:lvl w:ilvl="6" w:tplc="C8CE25B8">
      <w:numFmt w:val="decimal"/>
      <w:lvlText w:val=""/>
      <w:lvlJc w:val="left"/>
    </w:lvl>
    <w:lvl w:ilvl="7" w:tplc="884402BA">
      <w:numFmt w:val="decimal"/>
      <w:lvlText w:val=""/>
      <w:lvlJc w:val="left"/>
    </w:lvl>
    <w:lvl w:ilvl="8" w:tplc="E9E23A56">
      <w:numFmt w:val="decimal"/>
      <w:lvlText w:val=""/>
      <w:lvlJc w:val="left"/>
    </w:lvl>
  </w:abstractNum>
  <w:abstractNum w:abstractNumId="759" w15:restartNumberingAfterBreak="0">
    <w:nsid w:val="502B59CB"/>
    <w:multiLevelType w:val="hybridMultilevel"/>
    <w:tmpl w:val="28E2E270"/>
    <w:lvl w:ilvl="0" w:tplc="8BD83FD0">
      <w:start w:val="1"/>
      <w:numFmt w:val="bullet"/>
      <w:lvlText w:val=""/>
      <w:lvlJc w:val="left"/>
      <w:pPr>
        <w:ind w:left="720" w:hanging="360"/>
      </w:pPr>
      <w:rPr>
        <w:rFonts w:ascii="Symbol" w:hAnsi="Symbol" w:hint="default"/>
      </w:rPr>
    </w:lvl>
    <w:lvl w:ilvl="1" w:tplc="7EEEF28E">
      <w:numFmt w:val="decimal"/>
      <w:lvlText w:val=""/>
      <w:lvlJc w:val="left"/>
    </w:lvl>
    <w:lvl w:ilvl="2" w:tplc="B8A4DDEC">
      <w:numFmt w:val="decimal"/>
      <w:lvlText w:val=""/>
      <w:lvlJc w:val="left"/>
    </w:lvl>
    <w:lvl w:ilvl="3" w:tplc="1F846492">
      <w:numFmt w:val="decimal"/>
      <w:lvlText w:val=""/>
      <w:lvlJc w:val="left"/>
    </w:lvl>
    <w:lvl w:ilvl="4" w:tplc="96D28CB4">
      <w:numFmt w:val="decimal"/>
      <w:lvlText w:val=""/>
      <w:lvlJc w:val="left"/>
    </w:lvl>
    <w:lvl w:ilvl="5" w:tplc="5A9EBCD2">
      <w:numFmt w:val="decimal"/>
      <w:lvlText w:val=""/>
      <w:lvlJc w:val="left"/>
    </w:lvl>
    <w:lvl w:ilvl="6" w:tplc="5830B17E">
      <w:numFmt w:val="decimal"/>
      <w:lvlText w:val=""/>
      <w:lvlJc w:val="left"/>
    </w:lvl>
    <w:lvl w:ilvl="7" w:tplc="DF30D782">
      <w:numFmt w:val="decimal"/>
      <w:lvlText w:val=""/>
      <w:lvlJc w:val="left"/>
    </w:lvl>
    <w:lvl w:ilvl="8" w:tplc="0DD4FD86">
      <w:numFmt w:val="decimal"/>
      <w:lvlText w:val=""/>
      <w:lvlJc w:val="left"/>
    </w:lvl>
  </w:abstractNum>
  <w:abstractNum w:abstractNumId="760" w15:restartNumberingAfterBreak="0">
    <w:nsid w:val="50366775"/>
    <w:multiLevelType w:val="hybridMultilevel"/>
    <w:tmpl w:val="7B586716"/>
    <w:lvl w:ilvl="0" w:tplc="0EA634C8">
      <w:start w:val="1"/>
      <w:numFmt w:val="bullet"/>
      <w:lvlText w:val=""/>
      <w:lvlJc w:val="left"/>
      <w:pPr>
        <w:ind w:left="720" w:hanging="360"/>
      </w:pPr>
      <w:rPr>
        <w:rFonts w:ascii="Symbol" w:hAnsi="Symbol" w:hint="default"/>
      </w:rPr>
    </w:lvl>
    <w:lvl w:ilvl="1" w:tplc="44969C34">
      <w:numFmt w:val="decimal"/>
      <w:lvlText w:val=""/>
      <w:lvlJc w:val="left"/>
    </w:lvl>
    <w:lvl w:ilvl="2" w:tplc="008418DA">
      <w:numFmt w:val="decimal"/>
      <w:lvlText w:val=""/>
      <w:lvlJc w:val="left"/>
    </w:lvl>
    <w:lvl w:ilvl="3" w:tplc="ADF051D2">
      <w:numFmt w:val="decimal"/>
      <w:lvlText w:val=""/>
      <w:lvlJc w:val="left"/>
    </w:lvl>
    <w:lvl w:ilvl="4" w:tplc="42EA9C84">
      <w:numFmt w:val="decimal"/>
      <w:lvlText w:val=""/>
      <w:lvlJc w:val="left"/>
    </w:lvl>
    <w:lvl w:ilvl="5" w:tplc="D9B6BC46">
      <w:numFmt w:val="decimal"/>
      <w:lvlText w:val=""/>
      <w:lvlJc w:val="left"/>
    </w:lvl>
    <w:lvl w:ilvl="6" w:tplc="600C25D4">
      <w:numFmt w:val="decimal"/>
      <w:lvlText w:val=""/>
      <w:lvlJc w:val="left"/>
    </w:lvl>
    <w:lvl w:ilvl="7" w:tplc="8AE4F8E8">
      <w:numFmt w:val="decimal"/>
      <w:lvlText w:val=""/>
      <w:lvlJc w:val="left"/>
    </w:lvl>
    <w:lvl w:ilvl="8" w:tplc="734C9E44">
      <w:numFmt w:val="decimal"/>
      <w:lvlText w:val=""/>
      <w:lvlJc w:val="left"/>
    </w:lvl>
  </w:abstractNum>
  <w:abstractNum w:abstractNumId="761" w15:restartNumberingAfterBreak="0">
    <w:nsid w:val="5053351A"/>
    <w:multiLevelType w:val="hybridMultilevel"/>
    <w:tmpl w:val="EEF02684"/>
    <w:lvl w:ilvl="0" w:tplc="F8D0FB2A">
      <w:start w:val="1"/>
      <w:numFmt w:val="bullet"/>
      <w:lvlText w:val=""/>
      <w:lvlJc w:val="left"/>
      <w:pPr>
        <w:ind w:left="720" w:hanging="360"/>
      </w:pPr>
      <w:rPr>
        <w:rFonts w:ascii="Symbol" w:hAnsi="Symbol" w:hint="default"/>
      </w:rPr>
    </w:lvl>
    <w:lvl w:ilvl="1" w:tplc="47AC266C">
      <w:numFmt w:val="decimal"/>
      <w:lvlText w:val=""/>
      <w:lvlJc w:val="left"/>
    </w:lvl>
    <w:lvl w:ilvl="2" w:tplc="523642C4">
      <w:numFmt w:val="decimal"/>
      <w:lvlText w:val=""/>
      <w:lvlJc w:val="left"/>
    </w:lvl>
    <w:lvl w:ilvl="3" w:tplc="C016B790">
      <w:numFmt w:val="decimal"/>
      <w:lvlText w:val=""/>
      <w:lvlJc w:val="left"/>
    </w:lvl>
    <w:lvl w:ilvl="4" w:tplc="7D7463F2">
      <w:numFmt w:val="decimal"/>
      <w:lvlText w:val=""/>
      <w:lvlJc w:val="left"/>
    </w:lvl>
    <w:lvl w:ilvl="5" w:tplc="93C4645A">
      <w:numFmt w:val="decimal"/>
      <w:lvlText w:val=""/>
      <w:lvlJc w:val="left"/>
    </w:lvl>
    <w:lvl w:ilvl="6" w:tplc="270673F2">
      <w:numFmt w:val="decimal"/>
      <w:lvlText w:val=""/>
      <w:lvlJc w:val="left"/>
    </w:lvl>
    <w:lvl w:ilvl="7" w:tplc="8DEAAF7E">
      <w:numFmt w:val="decimal"/>
      <w:lvlText w:val=""/>
      <w:lvlJc w:val="left"/>
    </w:lvl>
    <w:lvl w:ilvl="8" w:tplc="1A1C2312">
      <w:numFmt w:val="decimal"/>
      <w:lvlText w:val=""/>
      <w:lvlJc w:val="left"/>
    </w:lvl>
  </w:abstractNum>
  <w:abstractNum w:abstractNumId="762" w15:restartNumberingAfterBreak="0">
    <w:nsid w:val="505C1D76"/>
    <w:multiLevelType w:val="hybridMultilevel"/>
    <w:tmpl w:val="D958BE44"/>
    <w:lvl w:ilvl="0" w:tplc="DA12854E">
      <w:start w:val="1"/>
      <w:numFmt w:val="bullet"/>
      <w:lvlText w:val=""/>
      <w:lvlJc w:val="left"/>
      <w:pPr>
        <w:ind w:left="720" w:hanging="360"/>
      </w:pPr>
      <w:rPr>
        <w:rFonts w:ascii="Symbol" w:hAnsi="Symbol" w:hint="default"/>
      </w:rPr>
    </w:lvl>
    <w:lvl w:ilvl="1" w:tplc="A6208810">
      <w:numFmt w:val="decimal"/>
      <w:lvlText w:val=""/>
      <w:lvlJc w:val="left"/>
    </w:lvl>
    <w:lvl w:ilvl="2" w:tplc="4C52654A">
      <w:numFmt w:val="decimal"/>
      <w:lvlText w:val=""/>
      <w:lvlJc w:val="left"/>
    </w:lvl>
    <w:lvl w:ilvl="3" w:tplc="32B238F6">
      <w:numFmt w:val="decimal"/>
      <w:lvlText w:val=""/>
      <w:lvlJc w:val="left"/>
    </w:lvl>
    <w:lvl w:ilvl="4" w:tplc="84A64152">
      <w:numFmt w:val="decimal"/>
      <w:lvlText w:val=""/>
      <w:lvlJc w:val="left"/>
    </w:lvl>
    <w:lvl w:ilvl="5" w:tplc="7C5E9712">
      <w:numFmt w:val="decimal"/>
      <w:lvlText w:val=""/>
      <w:lvlJc w:val="left"/>
    </w:lvl>
    <w:lvl w:ilvl="6" w:tplc="2834C250">
      <w:numFmt w:val="decimal"/>
      <w:lvlText w:val=""/>
      <w:lvlJc w:val="left"/>
    </w:lvl>
    <w:lvl w:ilvl="7" w:tplc="24F880DC">
      <w:numFmt w:val="decimal"/>
      <w:lvlText w:val=""/>
      <w:lvlJc w:val="left"/>
    </w:lvl>
    <w:lvl w:ilvl="8" w:tplc="094CF942">
      <w:numFmt w:val="decimal"/>
      <w:lvlText w:val=""/>
      <w:lvlJc w:val="left"/>
    </w:lvl>
  </w:abstractNum>
  <w:abstractNum w:abstractNumId="763" w15:restartNumberingAfterBreak="0">
    <w:nsid w:val="50952621"/>
    <w:multiLevelType w:val="hybridMultilevel"/>
    <w:tmpl w:val="D444BA28"/>
    <w:lvl w:ilvl="0" w:tplc="23386BF6">
      <w:start w:val="1"/>
      <w:numFmt w:val="bullet"/>
      <w:lvlText w:val=""/>
      <w:lvlJc w:val="left"/>
      <w:pPr>
        <w:ind w:left="720" w:hanging="360"/>
      </w:pPr>
      <w:rPr>
        <w:rFonts w:ascii="Symbol" w:hAnsi="Symbol" w:hint="default"/>
      </w:rPr>
    </w:lvl>
    <w:lvl w:ilvl="1" w:tplc="2218768E">
      <w:numFmt w:val="decimal"/>
      <w:lvlText w:val=""/>
      <w:lvlJc w:val="left"/>
    </w:lvl>
    <w:lvl w:ilvl="2" w:tplc="C114999A">
      <w:numFmt w:val="decimal"/>
      <w:lvlText w:val=""/>
      <w:lvlJc w:val="left"/>
    </w:lvl>
    <w:lvl w:ilvl="3" w:tplc="257C5B10">
      <w:numFmt w:val="decimal"/>
      <w:lvlText w:val=""/>
      <w:lvlJc w:val="left"/>
    </w:lvl>
    <w:lvl w:ilvl="4" w:tplc="F536E29E">
      <w:numFmt w:val="decimal"/>
      <w:lvlText w:val=""/>
      <w:lvlJc w:val="left"/>
    </w:lvl>
    <w:lvl w:ilvl="5" w:tplc="6C601278">
      <w:numFmt w:val="decimal"/>
      <w:lvlText w:val=""/>
      <w:lvlJc w:val="left"/>
    </w:lvl>
    <w:lvl w:ilvl="6" w:tplc="0112584A">
      <w:numFmt w:val="decimal"/>
      <w:lvlText w:val=""/>
      <w:lvlJc w:val="left"/>
    </w:lvl>
    <w:lvl w:ilvl="7" w:tplc="69CC405C">
      <w:numFmt w:val="decimal"/>
      <w:lvlText w:val=""/>
      <w:lvlJc w:val="left"/>
    </w:lvl>
    <w:lvl w:ilvl="8" w:tplc="7AC67344">
      <w:numFmt w:val="decimal"/>
      <w:lvlText w:val=""/>
      <w:lvlJc w:val="left"/>
    </w:lvl>
  </w:abstractNum>
  <w:abstractNum w:abstractNumId="764" w15:restartNumberingAfterBreak="0">
    <w:nsid w:val="50B44038"/>
    <w:multiLevelType w:val="hybridMultilevel"/>
    <w:tmpl w:val="AB8CCE02"/>
    <w:lvl w:ilvl="0" w:tplc="BC908C3A">
      <w:start w:val="1"/>
      <w:numFmt w:val="bullet"/>
      <w:lvlText w:val=""/>
      <w:lvlJc w:val="left"/>
      <w:pPr>
        <w:ind w:left="720" w:hanging="360"/>
      </w:pPr>
      <w:rPr>
        <w:rFonts w:ascii="Symbol" w:hAnsi="Symbol" w:hint="default"/>
      </w:rPr>
    </w:lvl>
    <w:lvl w:ilvl="1" w:tplc="2F10C608">
      <w:numFmt w:val="decimal"/>
      <w:lvlText w:val=""/>
      <w:lvlJc w:val="left"/>
    </w:lvl>
    <w:lvl w:ilvl="2" w:tplc="BE60E744">
      <w:numFmt w:val="decimal"/>
      <w:lvlText w:val=""/>
      <w:lvlJc w:val="left"/>
    </w:lvl>
    <w:lvl w:ilvl="3" w:tplc="B8CC02E4">
      <w:numFmt w:val="decimal"/>
      <w:lvlText w:val=""/>
      <w:lvlJc w:val="left"/>
    </w:lvl>
    <w:lvl w:ilvl="4" w:tplc="358ECF56">
      <w:numFmt w:val="decimal"/>
      <w:lvlText w:val=""/>
      <w:lvlJc w:val="left"/>
    </w:lvl>
    <w:lvl w:ilvl="5" w:tplc="9304811E">
      <w:numFmt w:val="decimal"/>
      <w:lvlText w:val=""/>
      <w:lvlJc w:val="left"/>
    </w:lvl>
    <w:lvl w:ilvl="6" w:tplc="B9D48B9A">
      <w:numFmt w:val="decimal"/>
      <w:lvlText w:val=""/>
      <w:lvlJc w:val="left"/>
    </w:lvl>
    <w:lvl w:ilvl="7" w:tplc="10725340">
      <w:numFmt w:val="decimal"/>
      <w:lvlText w:val=""/>
      <w:lvlJc w:val="left"/>
    </w:lvl>
    <w:lvl w:ilvl="8" w:tplc="2CF40CB2">
      <w:numFmt w:val="decimal"/>
      <w:lvlText w:val=""/>
      <w:lvlJc w:val="left"/>
    </w:lvl>
  </w:abstractNum>
  <w:abstractNum w:abstractNumId="765" w15:restartNumberingAfterBreak="0">
    <w:nsid w:val="50DC5C5B"/>
    <w:multiLevelType w:val="hybridMultilevel"/>
    <w:tmpl w:val="D34EF782"/>
    <w:lvl w:ilvl="0" w:tplc="E5FC8D6E">
      <w:start w:val="1"/>
      <w:numFmt w:val="bullet"/>
      <w:lvlText w:val=""/>
      <w:lvlJc w:val="left"/>
      <w:pPr>
        <w:ind w:left="720" w:hanging="360"/>
      </w:pPr>
      <w:rPr>
        <w:rFonts w:ascii="Symbol" w:hAnsi="Symbol" w:hint="default"/>
      </w:rPr>
    </w:lvl>
    <w:lvl w:ilvl="1" w:tplc="3CE442FE">
      <w:numFmt w:val="decimal"/>
      <w:lvlText w:val=""/>
      <w:lvlJc w:val="left"/>
    </w:lvl>
    <w:lvl w:ilvl="2" w:tplc="69ECE648">
      <w:numFmt w:val="decimal"/>
      <w:lvlText w:val=""/>
      <w:lvlJc w:val="left"/>
    </w:lvl>
    <w:lvl w:ilvl="3" w:tplc="DAC44608">
      <w:numFmt w:val="decimal"/>
      <w:lvlText w:val=""/>
      <w:lvlJc w:val="left"/>
    </w:lvl>
    <w:lvl w:ilvl="4" w:tplc="2AA44DCA">
      <w:numFmt w:val="decimal"/>
      <w:lvlText w:val=""/>
      <w:lvlJc w:val="left"/>
    </w:lvl>
    <w:lvl w:ilvl="5" w:tplc="8F02D728">
      <w:numFmt w:val="decimal"/>
      <w:lvlText w:val=""/>
      <w:lvlJc w:val="left"/>
    </w:lvl>
    <w:lvl w:ilvl="6" w:tplc="BC8250DE">
      <w:numFmt w:val="decimal"/>
      <w:lvlText w:val=""/>
      <w:lvlJc w:val="left"/>
    </w:lvl>
    <w:lvl w:ilvl="7" w:tplc="C54A3C32">
      <w:numFmt w:val="decimal"/>
      <w:lvlText w:val=""/>
      <w:lvlJc w:val="left"/>
    </w:lvl>
    <w:lvl w:ilvl="8" w:tplc="92567DC6">
      <w:numFmt w:val="decimal"/>
      <w:lvlText w:val=""/>
      <w:lvlJc w:val="left"/>
    </w:lvl>
  </w:abstractNum>
  <w:abstractNum w:abstractNumId="766" w15:restartNumberingAfterBreak="0">
    <w:nsid w:val="50DD77C2"/>
    <w:multiLevelType w:val="hybridMultilevel"/>
    <w:tmpl w:val="4A02848E"/>
    <w:lvl w:ilvl="0" w:tplc="B7DA972C">
      <w:start w:val="1"/>
      <w:numFmt w:val="bullet"/>
      <w:lvlText w:val=""/>
      <w:lvlJc w:val="left"/>
      <w:pPr>
        <w:ind w:left="720" w:hanging="360"/>
      </w:pPr>
      <w:rPr>
        <w:rFonts w:ascii="Symbol" w:hAnsi="Symbol" w:hint="default"/>
      </w:rPr>
    </w:lvl>
    <w:lvl w:ilvl="1" w:tplc="E294C82E">
      <w:numFmt w:val="decimal"/>
      <w:lvlText w:val=""/>
      <w:lvlJc w:val="left"/>
    </w:lvl>
    <w:lvl w:ilvl="2" w:tplc="4680F7AC">
      <w:numFmt w:val="decimal"/>
      <w:lvlText w:val=""/>
      <w:lvlJc w:val="left"/>
    </w:lvl>
    <w:lvl w:ilvl="3" w:tplc="23200336">
      <w:numFmt w:val="decimal"/>
      <w:lvlText w:val=""/>
      <w:lvlJc w:val="left"/>
    </w:lvl>
    <w:lvl w:ilvl="4" w:tplc="807EC5CC">
      <w:numFmt w:val="decimal"/>
      <w:lvlText w:val=""/>
      <w:lvlJc w:val="left"/>
    </w:lvl>
    <w:lvl w:ilvl="5" w:tplc="CF7445C6">
      <w:numFmt w:val="decimal"/>
      <w:lvlText w:val=""/>
      <w:lvlJc w:val="left"/>
    </w:lvl>
    <w:lvl w:ilvl="6" w:tplc="130C105C">
      <w:numFmt w:val="decimal"/>
      <w:lvlText w:val=""/>
      <w:lvlJc w:val="left"/>
    </w:lvl>
    <w:lvl w:ilvl="7" w:tplc="116CA768">
      <w:numFmt w:val="decimal"/>
      <w:lvlText w:val=""/>
      <w:lvlJc w:val="left"/>
    </w:lvl>
    <w:lvl w:ilvl="8" w:tplc="DFD826D2">
      <w:numFmt w:val="decimal"/>
      <w:lvlText w:val=""/>
      <w:lvlJc w:val="left"/>
    </w:lvl>
  </w:abstractNum>
  <w:abstractNum w:abstractNumId="767" w15:restartNumberingAfterBreak="0">
    <w:nsid w:val="512550C0"/>
    <w:multiLevelType w:val="hybridMultilevel"/>
    <w:tmpl w:val="5CB4EAE4"/>
    <w:lvl w:ilvl="0" w:tplc="BE7C3206">
      <w:start w:val="1"/>
      <w:numFmt w:val="bullet"/>
      <w:lvlText w:val=""/>
      <w:lvlJc w:val="left"/>
      <w:pPr>
        <w:ind w:left="720" w:hanging="360"/>
      </w:pPr>
      <w:rPr>
        <w:rFonts w:ascii="Symbol" w:hAnsi="Symbol" w:hint="default"/>
      </w:rPr>
    </w:lvl>
    <w:lvl w:ilvl="1" w:tplc="9C34ED46">
      <w:numFmt w:val="decimal"/>
      <w:lvlText w:val=""/>
      <w:lvlJc w:val="left"/>
    </w:lvl>
    <w:lvl w:ilvl="2" w:tplc="56406D30">
      <w:numFmt w:val="decimal"/>
      <w:lvlText w:val=""/>
      <w:lvlJc w:val="left"/>
    </w:lvl>
    <w:lvl w:ilvl="3" w:tplc="226A82D4">
      <w:numFmt w:val="decimal"/>
      <w:lvlText w:val=""/>
      <w:lvlJc w:val="left"/>
    </w:lvl>
    <w:lvl w:ilvl="4" w:tplc="7E8E6D76">
      <w:numFmt w:val="decimal"/>
      <w:lvlText w:val=""/>
      <w:lvlJc w:val="left"/>
    </w:lvl>
    <w:lvl w:ilvl="5" w:tplc="B310F146">
      <w:numFmt w:val="decimal"/>
      <w:lvlText w:val=""/>
      <w:lvlJc w:val="left"/>
    </w:lvl>
    <w:lvl w:ilvl="6" w:tplc="95C079E2">
      <w:numFmt w:val="decimal"/>
      <w:lvlText w:val=""/>
      <w:lvlJc w:val="left"/>
    </w:lvl>
    <w:lvl w:ilvl="7" w:tplc="682E4862">
      <w:numFmt w:val="decimal"/>
      <w:lvlText w:val=""/>
      <w:lvlJc w:val="left"/>
    </w:lvl>
    <w:lvl w:ilvl="8" w:tplc="5C8E3090">
      <w:numFmt w:val="decimal"/>
      <w:lvlText w:val=""/>
      <w:lvlJc w:val="left"/>
    </w:lvl>
  </w:abstractNum>
  <w:abstractNum w:abstractNumId="768" w15:restartNumberingAfterBreak="0">
    <w:nsid w:val="514B78F3"/>
    <w:multiLevelType w:val="hybridMultilevel"/>
    <w:tmpl w:val="A9AE1072"/>
    <w:lvl w:ilvl="0" w:tplc="616E53C8">
      <w:start w:val="1"/>
      <w:numFmt w:val="bullet"/>
      <w:lvlText w:val=""/>
      <w:lvlJc w:val="left"/>
      <w:pPr>
        <w:ind w:left="720" w:hanging="360"/>
      </w:pPr>
      <w:rPr>
        <w:rFonts w:ascii="Symbol" w:hAnsi="Symbol" w:hint="default"/>
      </w:rPr>
    </w:lvl>
    <w:lvl w:ilvl="1" w:tplc="7F2EA92A">
      <w:numFmt w:val="decimal"/>
      <w:lvlText w:val=""/>
      <w:lvlJc w:val="left"/>
    </w:lvl>
    <w:lvl w:ilvl="2" w:tplc="273EBEEC">
      <w:numFmt w:val="decimal"/>
      <w:lvlText w:val=""/>
      <w:lvlJc w:val="left"/>
    </w:lvl>
    <w:lvl w:ilvl="3" w:tplc="063465F8">
      <w:numFmt w:val="decimal"/>
      <w:lvlText w:val=""/>
      <w:lvlJc w:val="left"/>
    </w:lvl>
    <w:lvl w:ilvl="4" w:tplc="35427F54">
      <w:numFmt w:val="decimal"/>
      <w:lvlText w:val=""/>
      <w:lvlJc w:val="left"/>
    </w:lvl>
    <w:lvl w:ilvl="5" w:tplc="2E5CD8AA">
      <w:numFmt w:val="decimal"/>
      <w:lvlText w:val=""/>
      <w:lvlJc w:val="left"/>
    </w:lvl>
    <w:lvl w:ilvl="6" w:tplc="8FB82564">
      <w:numFmt w:val="decimal"/>
      <w:lvlText w:val=""/>
      <w:lvlJc w:val="left"/>
    </w:lvl>
    <w:lvl w:ilvl="7" w:tplc="D22C68D4">
      <w:numFmt w:val="decimal"/>
      <w:lvlText w:val=""/>
      <w:lvlJc w:val="left"/>
    </w:lvl>
    <w:lvl w:ilvl="8" w:tplc="1304E8B6">
      <w:numFmt w:val="decimal"/>
      <w:lvlText w:val=""/>
      <w:lvlJc w:val="left"/>
    </w:lvl>
  </w:abstractNum>
  <w:abstractNum w:abstractNumId="769" w15:restartNumberingAfterBreak="0">
    <w:nsid w:val="51614861"/>
    <w:multiLevelType w:val="hybridMultilevel"/>
    <w:tmpl w:val="EDD0EC76"/>
    <w:lvl w:ilvl="0" w:tplc="195645F2">
      <w:start w:val="1"/>
      <w:numFmt w:val="bullet"/>
      <w:lvlText w:val=""/>
      <w:lvlJc w:val="left"/>
      <w:pPr>
        <w:ind w:left="720" w:hanging="360"/>
      </w:pPr>
      <w:rPr>
        <w:rFonts w:ascii="Symbol" w:hAnsi="Symbol" w:hint="default"/>
      </w:rPr>
    </w:lvl>
    <w:lvl w:ilvl="1" w:tplc="AB6A7CD0">
      <w:numFmt w:val="decimal"/>
      <w:lvlText w:val=""/>
      <w:lvlJc w:val="left"/>
    </w:lvl>
    <w:lvl w:ilvl="2" w:tplc="CBE6E96C">
      <w:numFmt w:val="decimal"/>
      <w:lvlText w:val=""/>
      <w:lvlJc w:val="left"/>
    </w:lvl>
    <w:lvl w:ilvl="3" w:tplc="7B8AC6B6">
      <w:numFmt w:val="decimal"/>
      <w:lvlText w:val=""/>
      <w:lvlJc w:val="left"/>
    </w:lvl>
    <w:lvl w:ilvl="4" w:tplc="C30668CE">
      <w:numFmt w:val="decimal"/>
      <w:lvlText w:val=""/>
      <w:lvlJc w:val="left"/>
    </w:lvl>
    <w:lvl w:ilvl="5" w:tplc="130C0FAC">
      <w:numFmt w:val="decimal"/>
      <w:lvlText w:val=""/>
      <w:lvlJc w:val="left"/>
    </w:lvl>
    <w:lvl w:ilvl="6" w:tplc="8D185CA8">
      <w:numFmt w:val="decimal"/>
      <w:lvlText w:val=""/>
      <w:lvlJc w:val="left"/>
    </w:lvl>
    <w:lvl w:ilvl="7" w:tplc="2EA6FCCE">
      <w:numFmt w:val="decimal"/>
      <w:lvlText w:val=""/>
      <w:lvlJc w:val="left"/>
    </w:lvl>
    <w:lvl w:ilvl="8" w:tplc="31304D9E">
      <w:numFmt w:val="decimal"/>
      <w:lvlText w:val=""/>
      <w:lvlJc w:val="left"/>
    </w:lvl>
  </w:abstractNum>
  <w:abstractNum w:abstractNumId="770" w15:restartNumberingAfterBreak="0">
    <w:nsid w:val="516433B5"/>
    <w:multiLevelType w:val="hybridMultilevel"/>
    <w:tmpl w:val="BC1AA582"/>
    <w:lvl w:ilvl="0" w:tplc="05D07640">
      <w:start w:val="1"/>
      <w:numFmt w:val="bullet"/>
      <w:lvlText w:val=""/>
      <w:lvlJc w:val="left"/>
      <w:pPr>
        <w:ind w:left="720" w:hanging="360"/>
      </w:pPr>
      <w:rPr>
        <w:rFonts w:ascii="Symbol" w:hAnsi="Symbol" w:hint="default"/>
      </w:rPr>
    </w:lvl>
    <w:lvl w:ilvl="1" w:tplc="E64480F6">
      <w:numFmt w:val="decimal"/>
      <w:lvlText w:val=""/>
      <w:lvlJc w:val="left"/>
    </w:lvl>
    <w:lvl w:ilvl="2" w:tplc="E57C4220">
      <w:numFmt w:val="decimal"/>
      <w:lvlText w:val=""/>
      <w:lvlJc w:val="left"/>
    </w:lvl>
    <w:lvl w:ilvl="3" w:tplc="252437A8">
      <w:numFmt w:val="decimal"/>
      <w:lvlText w:val=""/>
      <w:lvlJc w:val="left"/>
    </w:lvl>
    <w:lvl w:ilvl="4" w:tplc="8EBC69FA">
      <w:numFmt w:val="decimal"/>
      <w:lvlText w:val=""/>
      <w:lvlJc w:val="left"/>
    </w:lvl>
    <w:lvl w:ilvl="5" w:tplc="1646D28A">
      <w:numFmt w:val="decimal"/>
      <w:lvlText w:val=""/>
      <w:lvlJc w:val="left"/>
    </w:lvl>
    <w:lvl w:ilvl="6" w:tplc="857A17EC">
      <w:numFmt w:val="decimal"/>
      <w:lvlText w:val=""/>
      <w:lvlJc w:val="left"/>
    </w:lvl>
    <w:lvl w:ilvl="7" w:tplc="186EA8A0">
      <w:numFmt w:val="decimal"/>
      <w:lvlText w:val=""/>
      <w:lvlJc w:val="left"/>
    </w:lvl>
    <w:lvl w:ilvl="8" w:tplc="ABC8B6B0">
      <w:numFmt w:val="decimal"/>
      <w:lvlText w:val=""/>
      <w:lvlJc w:val="left"/>
    </w:lvl>
  </w:abstractNum>
  <w:abstractNum w:abstractNumId="771" w15:restartNumberingAfterBreak="0">
    <w:nsid w:val="516A1FF6"/>
    <w:multiLevelType w:val="hybridMultilevel"/>
    <w:tmpl w:val="BA2E211A"/>
    <w:lvl w:ilvl="0" w:tplc="68805C78">
      <w:start w:val="1"/>
      <w:numFmt w:val="bullet"/>
      <w:lvlText w:val=""/>
      <w:lvlJc w:val="left"/>
      <w:pPr>
        <w:ind w:left="720" w:hanging="360"/>
      </w:pPr>
      <w:rPr>
        <w:rFonts w:ascii="Symbol" w:hAnsi="Symbol" w:hint="default"/>
      </w:rPr>
    </w:lvl>
    <w:lvl w:ilvl="1" w:tplc="C9CC3C40">
      <w:numFmt w:val="decimal"/>
      <w:lvlText w:val=""/>
      <w:lvlJc w:val="left"/>
    </w:lvl>
    <w:lvl w:ilvl="2" w:tplc="BF6E5CC6">
      <w:numFmt w:val="decimal"/>
      <w:lvlText w:val=""/>
      <w:lvlJc w:val="left"/>
    </w:lvl>
    <w:lvl w:ilvl="3" w:tplc="910A9802">
      <w:numFmt w:val="decimal"/>
      <w:lvlText w:val=""/>
      <w:lvlJc w:val="left"/>
    </w:lvl>
    <w:lvl w:ilvl="4" w:tplc="EECEE1BC">
      <w:numFmt w:val="decimal"/>
      <w:lvlText w:val=""/>
      <w:lvlJc w:val="left"/>
    </w:lvl>
    <w:lvl w:ilvl="5" w:tplc="91946FBC">
      <w:numFmt w:val="decimal"/>
      <w:lvlText w:val=""/>
      <w:lvlJc w:val="left"/>
    </w:lvl>
    <w:lvl w:ilvl="6" w:tplc="E02A259C">
      <w:numFmt w:val="decimal"/>
      <w:lvlText w:val=""/>
      <w:lvlJc w:val="left"/>
    </w:lvl>
    <w:lvl w:ilvl="7" w:tplc="361EA1AA">
      <w:numFmt w:val="decimal"/>
      <w:lvlText w:val=""/>
      <w:lvlJc w:val="left"/>
    </w:lvl>
    <w:lvl w:ilvl="8" w:tplc="9F1687F0">
      <w:numFmt w:val="decimal"/>
      <w:lvlText w:val=""/>
      <w:lvlJc w:val="left"/>
    </w:lvl>
  </w:abstractNum>
  <w:abstractNum w:abstractNumId="772" w15:restartNumberingAfterBreak="0">
    <w:nsid w:val="516B4ED6"/>
    <w:multiLevelType w:val="hybridMultilevel"/>
    <w:tmpl w:val="5462BB5C"/>
    <w:lvl w:ilvl="0" w:tplc="4F5A7F3C">
      <w:start w:val="1"/>
      <w:numFmt w:val="bullet"/>
      <w:lvlText w:val=""/>
      <w:lvlJc w:val="left"/>
      <w:pPr>
        <w:ind w:left="720" w:hanging="360"/>
      </w:pPr>
      <w:rPr>
        <w:rFonts w:ascii="Symbol" w:hAnsi="Symbol" w:hint="default"/>
      </w:rPr>
    </w:lvl>
    <w:lvl w:ilvl="1" w:tplc="8B084F84">
      <w:numFmt w:val="decimal"/>
      <w:lvlText w:val=""/>
      <w:lvlJc w:val="left"/>
    </w:lvl>
    <w:lvl w:ilvl="2" w:tplc="04E06302">
      <w:numFmt w:val="decimal"/>
      <w:lvlText w:val=""/>
      <w:lvlJc w:val="left"/>
    </w:lvl>
    <w:lvl w:ilvl="3" w:tplc="AB4AC91A">
      <w:numFmt w:val="decimal"/>
      <w:lvlText w:val=""/>
      <w:lvlJc w:val="left"/>
    </w:lvl>
    <w:lvl w:ilvl="4" w:tplc="7D1C1F52">
      <w:numFmt w:val="decimal"/>
      <w:lvlText w:val=""/>
      <w:lvlJc w:val="left"/>
    </w:lvl>
    <w:lvl w:ilvl="5" w:tplc="10BA0F62">
      <w:numFmt w:val="decimal"/>
      <w:lvlText w:val=""/>
      <w:lvlJc w:val="left"/>
    </w:lvl>
    <w:lvl w:ilvl="6" w:tplc="5F162BDA">
      <w:numFmt w:val="decimal"/>
      <w:lvlText w:val=""/>
      <w:lvlJc w:val="left"/>
    </w:lvl>
    <w:lvl w:ilvl="7" w:tplc="C1B6010E">
      <w:numFmt w:val="decimal"/>
      <w:lvlText w:val=""/>
      <w:lvlJc w:val="left"/>
    </w:lvl>
    <w:lvl w:ilvl="8" w:tplc="D3F02BBC">
      <w:numFmt w:val="decimal"/>
      <w:lvlText w:val=""/>
      <w:lvlJc w:val="left"/>
    </w:lvl>
  </w:abstractNum>
  <w:abstractNum w:abstractNumId="773" w15:restartNumberingAfterBreak="0">
    <w:nsid w:val="51740B57"/>
    <w:multiLevelType w:val="hybridMultilevel"/>
    <w:tmpl w:val="6F823724"/>
    <w:lvl w:ilvl="0" w:tplc="C41E4582">
      <w:start w:val="1"/>
      <w:numFmt w:val="bullet"/>
      <w:lvlText w:val=""/>
      <w:lvlJc w:val="left"/>
      <w:pPr>
        <w:ind w:left="720" w:hanging="360"/>
      </w:pPr>
      <w:rPr>
        <w:rFonts w:ascii="Symbol" w:hAnsi="Symbol" w:hint="default"/>
      </w:rPr>
    </w:lvl>
    <w:lvl w:ilvl="1" w:tplc="0008B2FA">
      <w:numFmt w:val="decimal"/>
      <w:lvlText w:val=""/>
      <w:lvlJc w:val="left"/>
    </w:lvl>
    <w:lvl w:ilvl="2" w:tplc="9CF28AD0">
      <w:numFmt w:val="decimal"/>
      <w:lvlText w:val=""/>
      <w:lvlJc w:val="left"/>
    </w:lvl>
    <w:lvl w:ilvl="3" w:tplc="CAE403AC">
      <w:numFmt w:val="decimal"/>
      <w:lvlText w:val=""/>
      <w:lvlJc w:val="left"/>
    </w:lvl>
    <w:lvl w:ilvl="4" w:tplc="60D8BBA8">
      <w:numFmt w:val="decimal"/>
      <w:lvlText w:val=""/>
      <w:lvlJc w:val="left"/>
    </w:lvl>
    <w:lvl w:ilvl="5" w:tplc="AA0C129C">
      <w:numFmt w:val="decimal"/>
      <w:lvlText w:val=""/>
      <w:lvlJc w:val="left"/>
    </w:lvl>
    <w:lvl w:ilvl="6" w:tplc="28CC6750">
      <w:numFmt w:val="decimal"/>
      <w:lvlText w:val=""/>
      <w:lvlJc w:val="left"/>
    </w:lvl>
    <w:lvl w:ilvl="7" w:tplc="F4260B48">
      <w:numFmt w:val="decimal"/>
      <w:lvlText w:val=""/>
      <w:lvlJc w:val="left"/>
    </w:lvl>
    <w:lvl w:ilvl="8" w:tplc="3E025B36">
      <w:numFmt w:val="decimal"/>
      <w:lvlText w:val=""/>
      <w:lvlJc w:val="left"/>
    </w:lvl>
  </w:abstractNum>
  <w:abstractNum w:abstractNumId="774" w15:restartNumberingAfterBreak="0">
    <w:nsid w:val="518D5002"/>
    <w:multiLevelType w:val="hybridMultilevel"/>
    <w:tmpl w:val="3EA821D0"/>
    <w:lvl w:ilvl="0" w:tplc="8F6475A6">
      <w:start w:val="1"/>
      <w:numFmt w:val="bullet"/>
      <w:lvlText w:val=""/>
      <w:lvlJc w:val="left"/>
      <w:pPr>
        <w:ind w:left="720" w:hanging="360"/>
      </w:pPr>
      <w:rPr>
        <w:rFonts w:ascii="Symbol" w:hAnsi="Symbol" w:hint="default"/>
      </w:rPr>
    </w:lvl>
    <w:lvl w:ilvl="1" w:tplc="BFB656FC">
      <w:numFmt w:val="decimal"/>
      <w:lvlText w:val=""/>
      <w:lvlJc w:val="left"/>
    </w:lvl>
    <w:lvl w:ilvl="2" w:tplc="85082C3A">
      <w:numFmt w:val="decimal"/>
      <w:lvlText w:val=""/>
      <w:lvlJc w:val="left"/>
    </w:lvl>
    <w:lvl w:ilvl="3" w:tplc="FAEE4476">
      <w:numFmt w:val="decimal"/>
      <w:lvlText w:val=""/>
      <w:lvlJc w:val="left"/>
    </w:lvl>
    <w:lvl w:ilvl="4" w:tplc="C562D8A4">
      <w:numFmt w:val="decimal"/>
      <w:lvlText w:val=""/>
      <w:lvlJc w:val="left"/>
    </w:lvl>
    <w:lvl w:ilvl="5" w:tplc="BE70464E">
      <w:numFmt w:val="decimal"/>
      <w:lvlText w:val=""/>
      <w:lvlJc w:val="left"/>
    </w:lvl>
    <w:lvl w:ilvl="6" w:tplc="9EDAB9C2">
      <w:numFmt w:val="decimal"/>
      <w:lvlText w:val=""/>
      <w:lvlJc w:val="left"/>
    </w:lvl>
    <w:lvl w:ilvl="7" w:tplc="E1E234DC">
      <w:numFmt w:val="decimal"/>
      <w:lvlText w:val=""/>
      <w:lvlJc w:val="left"/>
    </w:lvl>
    <w:lvl w:ilvl="8" w:tplc="33F21852">
      <w:numFmt w:val="decimal"/>
      <w:lvlText w:val=""/>
      <w:lvlJc w:val="left"/>
    </w:lvl>
  </w:abstractNum>
  <w:abstractNum w:abstractNumId="775" w15:restartNumberingAfterBreak="0">
    <w:nsid w:val="5195796E"/>
    <w:multiLevelType w:val="hybridMultilevel"/>
    <w:tmpl w:val="6CC09434"/>
    <w:lvl w:ilvl="0" w:tplc="37620AD0">
      <w:start w:val="1"/>
      <w:numFmt w:val="bullet"/>
      <w:lvlText w:val=""/>
      <w:lvlJc w:val="left"/>
      <w:pPr>
        <w:ind w:left="720" w:hanging="360"/>
      </w:pPr>
      <w:rPr>
        <w:rFonts w:ascii="Symbol" w:hAnsi="Symbol" w:hint="default"/>
      </w:rPr>
    </w:lvl>
    <w:lvl w:ilvl="1" w:tplc="3E84A498">
      <w:numFmt w:val="decimal"/>
      <w:lvlText w:val=""/>
      <w:lvlJc w:val="left"/>
    </w:lvl>
    <w:lvl w:ilvl="2" w:tplc="D13A3FEE">
      <w:numFmt w:val="decimal"/>
      <w:lvlText w:val=""/>
      <w:lvlJc w:val="left"/>
    </w:lvl>
    <w:lvl w:ilvl="3" w:tplc="1D7A3C1C">
      <w:numFmt w:val="decimal"/>
      <w:lvlText w:val=""/>
      <w:lvlJc w:val="left"/>
    </w:lvl>
    <w:lvl w:ilvl="4" w:tplc="4D04EA98">
      <w:numFmt w:val="decimal"/>
      <w:lvlText w:val=""/>
      <w:lvlJc w:val="left"/>
    </w:lvl>
    <w:lvl w:ilvl="5" w:tplc="852EA0BE">
      <w:numFmt w:val="decimal"/>
      <w:lvlText w:val=""/>
      <w:lvlJc w:val="left"/>
    </w:lvl>
    <w:lvl w:ilvl="6" w:tplc="23004214">
      <w:numFmt w:val="decimal"/>
      <w:lvlText w:val=""/>
      <w:lvlJc w:val="left"/>
    </w:lvl>
    <w:lvl w:ilvl="7" w:tplc="7F30D0D2">
      <w:numFmt w:val="decimal"/>
      <w:lvlText w:val=""/>
      <w:lvlJc w:val="left"/>
    </w:lvl>
    <w:lvl w:ilvl="8" w:tplc="8466E500">
      <w:numFmt w:val="decimal"/>
      <w:lvlText w:val=""/>
      <w:lvlJc w:val="left"/>
    </w:lvl>
  </w:abstractNum>
  <w:abstractNum w:abstractNumId="776" w15:restartNumberingAfterBreak="0">
    <w:nsid w:val="51C069BF"/>
    <w:multiLevelType w:val="hybridMultilevel"/>
    <w:tmpl w:val="1D86EDB8"/>
    <w:lvl w:ilvl="0" w:tplc="4936EE5C">
      <w:start w:val="1"/>
      <w:numFmt w:val="bullet"/>
      <w:lvlText w:val=""/>
      <w:lvlJc w:val="left"/>
      <w:pPr>
        <w:ind w:left="720" w:hanging="360"/>
      </w:pPr>
      <w:rPr>
        <w:rFonts w:ascii="Symbol" w:hAnsi="Symbol" w:hint="default"/>
      </w:rPr>
    </w:lvl>
    <w:lvl w:ilvl="1" w:tplc="D81C6C2C">
      <w:numFmt w:val="decimal"/>
      <w:lvlText w:val=""/>
      <w:lvlJc w:val="left"/>
    </w:lvl>
    <w:lvl w:ilvl="2" w:tplc="441E886A">
      <w:numFmt w:val="decimal"/>
      <w:lvlText w:val=""/>
      <w:lvlJc w:val="left"/>
    </w:lvl>
    <w:lvl w:ilvl="3" w:tplc="DDA8F284">
      <w:numFmt w:val="decimal"/>
      <w:lvlText w:val=""/>
      <w:lvlJc w:val="left"/>
    </w:lvl>
    <w:lvl w:ilvl="4" w:tplc="4238B852">
      <w:numFmt w:val="decimal"/>
      <w:lvlText w:val=""/>
      <w:lvlJc w:val="left"/>
    </w:lvl>
    <w:lvl w:ilvl="5" w:tplc="D22EB888">
      <w:numFmt w:val="decimal"/>
      <w:lvlText w:val=""/>
      <w:lvlJc w:val="left"/>
    </w:lvl>
    <w:lvl w:ilvl="6" w:tplc="D70ECB6E">
      <w:numFmt w:val="decimal"/>
      <w:lvlText w:val=""/>
      <w:lvlJc w:val="left"/>
    </w:lvl>
    <w:lvl w:ilvl="7" w:tplc="E0F0E42E">
      <w:numFmt w:val="decimal"/>
      <w:lvlText w:val=""/>
      <w:lvlJc w:val="left"/>
    </w:lvl>
    <w:lvl w:ilvl="8" w:tplc="5A9CAC00">
      <w:numFmt w:val="decimal"/>
      <w:lvlText w:val=""/>
      <w:lvlJc w:val="left"/>
    </w:lvl>
  </w:abstractNum>
  <w:abstractNum w:abstractNumId="777" w15:restartNumberingAfterBreak="0">
    <w:nsid w:val="51C95464"/>
    <w:multiLevelType w:val="hybridMultilevel"/>
    <w:tmpl w:val="9182B0B2"/>
    <w:lvl w:ilvl="0" w:tplc="0A42DE48">
      <w:start w:val="1"/>
      <w:numFmt w:val="bullet"/>
      <w:lvlText w:val=""/>
      <w:lvlJc w:val="left"/>
      <w:pPr>
        <w:ind w:left="720" w:hanging="360"/>
      </w:pPr>
      <w:rPr>
        <w:rFonts w:ascii="Symbol" w:hAnsi="Symbol" w:hint="default"/>
      </w:rPr>
    </w:lvl>
    <w:lvl w:ilvl="1" w:tplc="F0F21F04">
      <w:numFmt w:val="decimal"/>
      <w:lvlText w:val=""/>
      <w:lvlJc w:val="left"/>
    </w:lvl>
    <w:lvl w:ilvl="2" w:tplc="6644AC5A">
      <w:numFmt w:val="decimal"/>
      <w:lvlText w:val=""/>
      <w:lvlJc w:val="left"/>
    </w:lvl>
    <w:lvl w:ilvl="3" w:tplc="94529A5E">
      <w:numFmt w:val="decimal"/>
      <w:lvlText w:val=""/>
      <w:lvlJc w:val="left"/>
    </w:lvl>
    <w:lvl w:ilvl="4" w:tplc="934669C6">
      <w:numFmt w:val="decimal"/>
      <w:lvlText w:val=""/>
      <w:lvlJc w:val="left"/>
    </w:lvl>
    <w:lvl w:ilvl="5" w:tplc="6C8A54B2">
      <w:numFmt w:val="decimal"/>
      <w:lvlText w:val=""/>
      <w:lvlJc w:val="left"/>
    </w:lvl>
    <w:lvl w:ilvl="6" w:tplc="A61869E4">
      <w:numFmt w:val="decimal"/>
      <w:lvlText w:val=""/>
      <w:lvlJc w:val="left"/>
    </w:lvl>
    <w:lvl w:ilvl="7" w:tplc="CFA6C6E2">
      <w:numFmt w:val="decimal"/>
      <w:lvlText w:val=""/>
      <w:lvlJc w:val="left"/>
    </w:lvl>
    <w:lvl w:ilvl="8" w:tplc="52A0447A">
      <w:numFmt w:val="decimal"/>
      <w:lvlText w:val=""/>
      <w:lvlJc w:val="left"/>
    </w:lvl>
  </w:abstractNum>
  <w:abstractNum w:abstractNumId="778" w15:restartNumberingAfterBreak="0">
    <w:nsid w:val="523A4B21"/>
    <w:multiLevelType w:val="hybridMultilevel"/>
    <w:tmpl w:val="D1CE5CAC"/>
    <w:lvl w:ilvl="0" w:tplc="B0DEE97E">
      <w:start w:val="1"/>
      <w:numFmt w:val="bullet"/>
      <w:lvlText w:val=""/>
      <w:lvlJc w:val="left"/>
      <w:pPr>
        <w:ind w:left="720" w:hanging="360"/>
      </w:pPr>
      <w:rPr>
        <w:rFonts w:ascii="Symbol" w:hAnsi="Symbol" w:hint="default"/>
      </w:rPr>
    </w:lvl>
    <w:lvl w:ilvl="1" w:tplc="24AC3D26">
      <w:numFmt w:val="decimal"/>
      <w:lvlText w:val=""/>
      <w:lvlJc w:val="left"/>
    </w:lvl>
    <w:lvl w:ilvl="2" w:tplc="26EA51C0">
      <w:numFmt w:val="decimal"/>
      <w:lvlText w:val=""/>
      <w:lvlJc w:val="left"/>
    </w:lvl>
    <w:lvl w:ilvl="3" w:tplc="8ED04AC2">
      <w:numFmt w:val="decimal"/>
      <w:lvlText w:val=""/>
      <w:lvlJc w:val="left"/>
    </w:lvl>
    <w:lvl w:ilvl="4" w:tplc="8B083540">
      <w:numFmt w:val="decimal"/>
      <w:lvlText w:val=""/>
      <w:lvlJc w:val="left"/>
    </w:lvl>
    <w:lvl w:ilvl="5" w:tplc="3D4E409A">
      <w:numFmt w:val="decimal"/>
      <w:lvlText w:val=""/>
      <w:lvlJc w:val="left"/>
    </w:lvl>
    <w:lvl w:ilvl="6" w:tplc="CF160B1C">
      <w:numFmt w:val="decimal"/>
      <w:lvlText w:val=""/>
      <w:lvlJc w:val="left"/>
    </w:lvl>
    <w:lvl w:ilvl="7" w:tplc="886E72F0">
      <w:numFmt w:val="decimal"/>
      <w:lvlText w:val=""/>
      <w:lvlJc w:val="left"/>
    </w:lvl>
    <w:lvl w:ilvl="8" w:tplc="C66C96D4">
      <w:numFmt w:val="decimal"/>
      <w:lvlText w:val=""/>
      <w:lvlJc w:val="left"/>
    </w:lvl>
  </w:abstractNum>
  <w:abstractNum w:abstractNumId="779" w15:restartNumberingAfterBreak="0">
    <w:nsid w:val="52512BF9"/>
    <w:multiLevelType w:val="hybridMultilevel"/>
    <w:tmpl w:val="658066C0"/>
    <w:lvl w:ilvl="0" w:tplc="5CFA6226">
      <w:start w:val="1"/>
      <w:numFmt w:val="bullet"/>
      <w:lvlText w:val=""/>
      <w:lvlJc w:val="left"/>
      <w:pPr>
        <w:ind w:left="720" w:hanging="360"/>
      </w:pPr>
      <w:rPr>
        <w:rFonts w:ascii="Symbol" w:hAnsi="Symbol" w:hint="default"/>
      </w:rPr>
    </w:lvl>
    <w:lvl w:ilvl="1" w:tplc="B1E09368">
      <w:numFmt w:val="decimal"/>
      <w:lvlText w:val=""/>
      <w:lvlJc w:val="left"/>
    </w:lvl>
    <w:lvl w:ilvl="2" w:tplc="8AD0D170">
      <w:numFmt w:val="decimal"/>
      <w:lvlText w:val=""/>
      <w:lvlJc w:val="left"/>
    </w:lvl>
    <w:lvl w:ilvl="3" w:tplc="619E7158">
      <w:numFmt w:val="decimal"/>
      <w:lvlText w:val=""/>
      <w:lvlJc w:val="left"/>
    </w:lvl>
    <w:lvl w:ilvl="4" w:tplc="B2F6F33E">
      <w:numFmt w:val="decimal"/>
      <w:lvlText w:val=""/>
      <w:lvlJc w:val="left"/>
    </w:lvl>
    <w:lvl w:ilvl="5" w:tplc="37E4A3C6">
      <w:numFmt w:val="decimal"/>
      <w:lvlText w:val=""/>
      <w:lvlJc w:val="left"/>
    </w:lvl>
    <w:lvl w:ilvl="6" w:tplc="87D2224E">
      <w:numFmt w:val="decimal"/>
      <w:lvlText w:val=""/>
      <w:lvlJc w:val="left"/>
    </w:lvl>
    <w:lvl w:ilvl="7" w:tplc="9014B98A">
      <w:numFmt w:val="decimal"/>
      <w:lvlText w:val=""/>
      <w:lvlJc w:val="left"/>
    </w:lvl>
    <w:lvl w:ilvl="8" w:tplc="8DAEBF6C">
      <w:numFmt w:val="decimal"/>
      <w:lvlText w:val=""/>
      <w:lvlJc w:val="left"/>
    </w:lvl>
  </w:abstractNum>
  <w:abstractNum w:abstractNumId="780" w15:restartNumberingAfterBreak="0">
    <w:nsid w:val="529978C5"/>
    <w:multiLevelType w:val="hybridMultilevel"/>
    <w:tmpl w:val="E3B2D802"/>
    <w:lvl w:ilvl="0" w:tplc="61B6015C">
      <w:start w:val="1"/>
      <w:numFmt w:val="bullet"/>
      <w:lvlText w:val=""/>
      <w:lvlJc w:val="left"/>
      <w:pPr>
        <w:ind w:left="720" w:hanging="360"/>
      </w:pPr>
      <w:rPr>
        <w:rFonts w:ascii="Symbol" w:hAnsi="Symbol" w:hint="default"/>
      </w:rPr>
    </w:lvl>
    <w:lvl w:ilvl="1" w:tplc="9E56E26C">
      <w:numFmt w:val="decimal"/>
      <w:lvlText w:val=""/>
      <w:lvlJc w:val="left"/>
    </w:lvl>
    <w:lvl w:ilvl="2" w:tplc="DD440D8E">
      <w:numFmt w:val="decimal"/>
      <w:lvlText w:val=""/>
      <w:lvlJc w:val="left"/>
    </w:lvl>
    <w:lvl w:ilvl="3" w:tplc="3F507428">
      <w:numFmt w:val="decimal"/>
      <w:lvlText w:val=""/>
      <w:lvlJc w:val="left"/>
    </w:lvl>
    <w:lvl w:ilvl="4" w:tplc="B87E3384">
      <w:numFmt w:val="decimal"/>
      <w:lvlText w:val=""/>
      <w:lvlJc w:val="left"/>
    </w:lvl>
    <w:lvl w:ilvl="5" w:tplc="DBA28870">
      <w:numFmt w:val="decimal"/>
      <w:lvlText w:val=""/>
      <w:lvlJc w:val="left"/>
    </w:lvl>
    <w:lvl w:ilvl="6" w:tplc="B9D23898">
      <w:numFmt w:val="decimal"/>
      <w:lvlText w:val=""/>
      <w:lvlJc w:val="left"/>
    </w:lvl>
    <w:lvl w:ilvl="7" w:tplc="6DB63A5E">
      <w:numFmt w:val="decimal"/>
      <w:lvlText w:val=""/>
      <w:lvlJc w:val="left"/>
    </w:lvl>
    <w:lvl w:ilvl="8" w:tplc="824AB2A8">
      <w:numFmt w:val="decimal"/>
      <w:lvlText w:val=""/>
      <w:lvlJc w:val="left"/>
    </w:lvl>
  </w:abstractNum>
  <w:abstractNum w:abstractNumId="781" w15:restartNumberingAfterBreak="0">
    <w:nsid w:val="52A600D8"/>
    <w:multiLevelType w:val="hybridMultilevel"/>
    <w:tmpl w:val="3C1C5D6C"/>
    <w:lvl w:ilvl="0" w:tplc="6DDAC03A">
      <w:start w:val="1"/>
      <w:numFmt w:val="bullet"/>
      <w:lvlText w:val=""/>
      <w:lvlJc w:val="left"/>
      <w:pPr>
        <w:ind w:left="720" w:hanging="360"/>
      </w:pPr>
      <w:rPr>
        <w:rFonts w:ascii="Symbol" w:hAnsi="Symbol" w:hint="default"/>
      </w:rPr>
    </w:lvl>
    <w:lvl w:ilvl="1" w:tplc="FE42D976">
      <w:numFmt w:val="decimal"/>
      <w:lvlText w:val=""/>
      <w:lvlJc w:val="left"/>
    </w:lvl>
    <w:lvl w:ilvl="2" w:tplc="2092F1E2">
      <w:numFmt w:val="decimal"/>
      <w:lvlText w:val=""/>
      <w:lvlJc w:val="left"/>
    </w:lvl>
    <w:lvl w:ilvl="3" w:tplc="17BE2BB0">
      <w:numFmt w:val="decimal"/>
      <w:lvlText w:val=""/>
      <w:lvlJc w:val="left"/>
    </w:lvl>
    <w:lvl w:ilvl="4" w:tplc="44D6191E">
      <w:numFmt w:val="decimal"/>
      <w:lvlText w:val=""/>
      <w:lvlJc w:val="left"/>
    </w:lvl>
    <w:lvl w:ilvl="5" w:tplc="F950F46A">
      <w:numFmt w:val="decimal"/>
      <w:lvlText w:val=""/>
      <w:lvlJc w:val="left"/>
    </w:lvl>
    <w:lvl w:ilvl="6" w:tplc="3ACC0530">
      <w:numFmt w:val="decimal"/>
      <w:lvlText w:val=""/>
      <w:lvlJc w:val="left"/>
    </w:lvl>
    <w:lvl w:ilvl="7" w:tplc="54EC5338">
      <w:numFmt w:val="decimal"/>
      <w:lvlText w:val=""/>
      <w:lvlJc w:val="left"/>
    </w:lvl>
    <w:lvl w:ilvl="8" w:tplc="03808920">
      <w:numFmt w:val="decimal"/>
      <w:lvlText w:val=""/>
      <w:lvlJc w:val="left"/>
    </w:lvl>
  </w:abstractNum>
  <w:abstractNum w:abstractNumId="782" w15:restartNumberingAfterBreak="0">
    <w:nsid w:val="52A725FF"/>
    <w:multiLevelType w:val="hybridMultilevel"/>
    <w:tmpl w:val="E5C0A558"/>
    <w:lvl w:ilvl="0" w:tplc="9C0AB132">
      <w:start w:val="1"/>
      <w:numFmt w:val="bullet"/>
      <w:lvlText w:val=""/>
      <w:lvlJc w:val="left"/>
      <w:pPr>
        <w:ind w:left="720" w:hanging="360"/>
      </w:pPr>
      <w:rPr>
        <w:rFonts w:ascii="Symbol" w:hAnsi="Symbol" w:hint="default"/>
      </w:rPr>
    </w:lvl>
    <w:lvl w:ilvl="1" w:tplc="604A537C">
      <w:numFmt w:val="decimal"/>
      <w:lvlText w:val=""/>
      <w:lvlJc w:val="left"/>
    </w:lvl>
    <w:lvl w:ilvl="2" w:tplc="290E5E36">
      <w:numFmt w:val="decimal"/>
      <w:lvlText w:val=""/>
      <w:lvlJc w:val="left"/>
    </w:lvl>
    <w:lvl w:ilvl="3" w:tplc="9048C0C0">
      <w:numFmt w:val="decimal"/>
      <w:lvlText w:val=""/>
      <w:lvlJc w:val="left"/>
    </w:lvl>
    <w:lvl w:ilvl="4" w:tplc="3616508A">
      <w:numFmt w:val="decimal"/>
      <w:lvlText w:val=""/>
      <w:lvlJc w:val="left"/>
    </w:lvl>
    <w:lvl w:ilvl="5" w:tplc="48A439F4">
      <w:numFmt w:val="decimal"/>
      <w:lvlText w:val=""/>
      <w:lvlJc w:val="left"/>
    </w:lvl>
    <w:lvl w:ilvl="6" w:tplc="A8821CEA">
      <w:numFmt w:val="decimal"/>
      <w:lvlText w:val=""/>
      <w:lvlJc w:val="left"/>
    </w:lvl>
    <w:lvl w:ilvl="7" w:tplc="9348C748">
      <w:numFmt w:val="decimal"/>
      <w:lvlText w:val=""/>
      <w:lvlJc w:val="left"/>
    </w:lvl>
    <w:lvl w:ilvl="8" w:tplc="C278FFE6">
      <w:numFmt w:val="decimal"/>
      <w:lvlText w:val=""/>
      <w:lvlJc w:val="left"/>
    </w:lvl>
  </w:abstractNum>
  <w:abstractNum w:abstractNumId="783" w15:restartNumberingAfterBreak="0">
    <w:nsid w:val="52B36BE9"/>
    <w:multiLevelType w:val="hybridMultilevel"/>
    <w:tmpl w:val="251E3E5C"/>
    <w:lvl w:ilvl="0" w:tplc="C150A5A8">
      <w:start w:val="1"/>
      <w:numFmt w:val="bullet"/>
      <w:lvlText w:val=""/>
      <w:lvlJc w:val="left"/>
      <w:pPr>
        <w:ind w:left="720" w:hanging="360"/>
      </w:pPr>
      <w:rPr>
        <w:rFonts w:ascii="Symbol" w:hAnsi="Symbol" w:hint="default"/>
      </w:rPr>
    </w:lvl>
    <w:lvl w:ilvl="1" w:tplc="8F646F4E">
      <w:numFmt w:val="decimal"/>
      <w:lvlText w:val=""/>
      <w:lvlJc w:val="left"/>
    </w:lvl>
    <w:lvl w:ilvl="2" w:tplc="91C6BE20">
      <w:numFmt w:val="decimal"/>
      <w:lvlText w:val=""/>
      <w:lvlJc w:val="left"/>
    </w:lvl>
    <w:lvl w:ilvl="3" w:tplc="6F3E0BF8">
      <w:numFmt w:val="decimal"/>
      <w:lvlText w:val=""/>
      <w:lvlJc w:val="left"/>
    </w:lvl>
    <w:lvl w:ilvl="4" w:tplc="74DC8B58">
      <w:numFmt w:val="decimal"/>
      <w:lvlText w:val=""/>
      <w:lvlJc w:val="left"/>
    </w:lvl>
    <w:lvl w:ilvl="5" w:tplc="45FC5B96">
      <w:numFmt w:val="decimal"/>
      <w:lvlText w:val=""/>
      <w:lvlJc w:val="left"/>
    </w:lvl>
    <w:lvl w:ilvl="6" w:tplc="F4EC8C5A">
      <w:numFmt w:val="decimal"/>
      <w:lvlText w:val=""/>
      <w:lvlJc w:val="left"/>
    </w:lvl>
    <w:lvl w:ilvl="7" w:tplc="C3ECD272">
      <w:numFmt w:val="decimal"/>
      <w:lvlText w:val=""/>
      <w:lvlJc w:val="left"/>
    </w:lvl>
    <w:lvl w:ilvl="8" w:tplc="1CD68A62">
      <w:numFmt w:val="decimal"/>
      <w:lvlText w:val=""/>
      <w:lvlJc w:val="left"/>
    </w:lvl>
  </w:abstractNum>
  <w:abstractNum w:abstractNumId="784" w15:restartNumberingAfterBreak="0">
    <w:nsid w:val="52B47B21"/>
    <w:multiLevelType w:val="hybridMultilevel"/>
    <w:tmpl w:val="F418BEA4"/>
    <w:lvl w:ilvl="0" w:tplc="3F841F68">
      <w:numFmt w:val="decimal"/>
      <w:lvlText w:val=""/>
      <w:lvlJc w:val="left"/>
    </w:lvl>
    <w:lvl w:ilvl="1" w:tplc="3BEEA08E">
      <w:start w:val="1"/>
      <w:numFmt w:val="bullet"/>
      <w:lvlText w:val=""/>
      <w:lvlJc w:val="left"/>
      <w:pPr>
        <w:ind w:left="1440" w:hanging="360"/>
      </w:pPr>
      <w:rPr>
        <w:rFonts w:ascii="Symbol" w:hAnsi="Symbol" w:hint="default"/>
      </w:rPr>
    </w:lvl>
    <w:lvl w:ilvl="2" w:tplc="0D12A872">
      <w:numFmt w:val="decimal"/>
      <w:lvlText w:val=""/>
      <w:lvlJc w:val="left"/>
    </w:lvl>
    <w:lvl w:ilvl="3" w:tplc="C2548BE6">
      <w:numFmt w:val="decimal"/>
      <w:lvlText w:val=""/>
      <w:lvlJc w:val="left"/>
    </w:lvl>
    <w:lvl w:ilvl="4" w:tplc="6902F4D2">
      <w:numFmt w:val="decimal"/>
      <w:lvlText w:val=""/>
      <w:lvlJc w:val="left"/>
    </w:lvl>
    <w:lvl w:ilvl="5" w:tplc="CA9AED3C">
      <w:numFmt w:val="decimal"/>
      <w:lvlText w:val=""/>
      <w:lvlJc w:val="left"/>
    </w:lvl>
    <w:lvl w:ilvl="6" w:tplc="9A2060B6">
      <w:numFmt w:val="decimal"/>
      <w:lvlText w:val=""/>
      <w:lvlJc w:val="left"/>
    </w:lvl>
    <w:lvl w:ilvl="7" w:tplc="8822026C">
      <w:numFmt w:val="decimal"/>
      <w:lvlText w:val=""/>
      <w:lvlJc w:val="left"/>
    </w:lvl>
    <w:lvl w:ilvl="8" w:tplc="55BEBB1E">
      <w:numFmt w:val="decimal"/>
      <w:lvlText w:val=""/>
      <w:lvlJc w:val="left"/>
    </w:lvl>
  </w:abstractNum>
  <w:abstractNum w:abstractNumId="785" w15:restartNumberingAfterBreak="0">
    <w:nsid w:val="52CC13A6"/>
    <w:multiLevelType w:val="hybridMultilevel"/>
    <w:tmpl w:val="EDAC62E0"/>
    <w:lvl w:ilvl="0" w:tplc="B64C127E">
      <w:start w:val="1"/>
      <w:numFmt w:val="bullet"/>
      <w:lvlText w:val=""/>
      <w:lvlJc w:val="left"/>
      <w:pPr>
        <w:ind w:left="720" w:hanging="360"/>
      </w:pPr>
      <w:rPr>
        <w:rFonts w:ascii="Symbol" w:hAnsi="Symbol" w:hint="default"/>
      </w:rPr>
    </w:lvl>
    <w:lvl w:ilvl="1" w:tplc="D6C4B1D8">
      <w:numFmt w:val="decimal"/>
      <w:lvlText w:val=""/>
      <w:lvlJc w:val="left"/>
    </w:lvl>
    <w:lvl w:ilvl="2" w:tplc="547A1FE6">
      <w:numFmt w:val="decimal"/>
      <w:lvlText w:val=""/>
      <w:lvlJc w:val="left"/>
    </w:lvl>
    <w:lvl w:ilvl="3" w:tplc="17D48A00">
      <w:numFmt w:val="decimal"/>
      <w:lvlText w:val=""/>
      <w:lvlJc w:val="left"/>
    </w:lvl>
    <w:lvl w:ilvl="4" w:tplc="82B02BB4">
      <w:numFmt w:val="decimal"/>
      <w:lvlText w:val=""/>
      <w:lvlJc w:val="left"/>
    </w:lvl>
    <w:lvl w:ilvl="5" w:tplc="26BC8898">
      <w:numFmt w:val="decimal"/>
      <w:lvlText w:val=""/>
      <w:lvlJc w:val="left"/>
    </w:lvl>
    <w:lvl w:ilvl="6" w:tplc="C61CA6C6">
      <w:numFmt w:val="decimal"/>
      <w:lvlText w:val=""/>
      <w:lvlJc w:val="left"/>
    </w:lvl>
    <w:lvl w:ilvl="7" w:tplc="7898048A">
      <w:numFmt w:val="decimal"/>
      <w:lvlText w:val=""/>
      <w:lvlJc w:val="left"/>
    </w:lvl>
    <w:lvl w:ilvl="8" w:tplc="708294EA">
      <w:numFmt w:val="decimal"/>
      <w:lvlText w:val=""/>
      <w:lvlJc w:val="left"/>
    </w:lvl>
  </w:abstractNum>
  <w:abstractNum w:abstractNumId="786" w15:restartNumberingAfterBreak="0">
    <w:nsid w:val="53216776"/>
    <w:multiLevelType w:val="hybridMultilevel"/>
    <w:tmpl w:val="AB60F25C"/>
    <w:lvl w:ilvl="0" w:tplc="6A00F074">
      <w:start w:val="1"/>
      <w:numFmt w:val="bullet"/>
      <w:lvlText w:val=""/>
      <w:lvlJc w:val="left"/>
      <w:pPr>
        <w:ind w:left="720" w:hanging="360"/>
      </w:pPr>
      <w:rPr>
        <w:rFonts w:ascii="Symbol" w:hAnsi="Symbol" w:hint="default"/>
      </w:rPr>
    </w:lvl>
    <w:lvl w:ilvl="1" w:tplc="565A2F12">
      <w:numFmt w:val="decimal"/>
      <w:lvlText w:val=""/>
      <w:lvlJc w:val="left"/>
    </w:lvl>
    <w:lvl w:ilvl="2" w:tplc="47085AFE">
      <w:numFmt w:val="decimal"/>
      <w:lvlText w:val=""/>
      <w:lvlJc w:val="left"/>
    </w:lvl>
    <w:lvl w:ilvl="3" w:tplc="458EAE22">
      <w:numFmt w:val="decimal"/>
      <w:lvlText w:val=""/>
      <w:lvlJc w:val="left"/>
    </w:lvl>
    <w:lvl w:ilvl="4" w:tplc="04C683AE">
      <w:numFmt w:val="decimal"/>
      <w:lvlText w:val=""/>
      <w:lvlJc w:val="left"/>
    </w:lvl>
    <w:lvl w:ilvl="5" w:tplc="18EC536A">
      <w:numFmt w:val="decimal"/>
      <w:lvlText w:val=""/>
      <w:lvlJc w:val="left"/>
    </w:lvl>
    <w:lvl w:ilvl="6" w:tplc="5A167B30">
      <w:numFmt w:val="decimal"/>
      <w:lvlText w:val=""/>
      <w:lvlJc w:val="left"/>
    </w:lvl>
    <w:lvl w:ilvl="7" w:tplc="58EEFA14">
      <w:numFmt w:val="decimal"/>
      <w:lvlText w:val=""/>
      <w:lvlJc w:val="left"/>
    </w:lvl>
    <w:lvl w:ilvl="8" w:tplc="6EFA0D56">
      <w:numFmt w:val="decimal"/>
      <w:lvlText w:val=""/>
      <w:lvlJc w:val="left"/>
    </w:lvl>
  </w:abstractNum>
  <w:abstractNum w:abstractNumId="787" w15:restartNumberingAfterBreak="0">
    <w:nsid w:val="53441CD0"/>
    <w:multiLevelType w:val="hybridMultilevel"/>
    <w:tmpl w:val="FDFA1D48"/>
    <w:lvl w:ilvl="0" w:tplc="C200FC2E">
      <w:start w:val="1"/>
      <w:numFmt w:val="bullet"/>
      <w:lvlText w:val=""/>
      <w:lvlJc w:val="left"/>
      <w:pPr>
        <w:ind w:left="720" w:hanging="360"/>
      </w:pPr>
      <w:rPr>
        <w:rFonts w:ascii="Symbol" w:hAnsi="Symbol" w:hint="default"/>
      </w:rPr>
    </w:lvl>
    <w:lvl w:ilvl="1" w:tplc="2CDE8860">
      <w:numFmt w:val="decimal"/>
      <w:lvlText w:val=""/>
      <w:lvlJc w:val="left"/>
    </w:lvl>
    <w:lvl w:ilvl="2" w:tplc="698A2916">
      <w:numFmt w:val="decimal"/>
      <w:lvlText w:val=""/>
      <w:lvlJc w:val="left"/>
    </w:lvl>
    <w:lvl w:ilvl="3" w:tplc="A476CD4E">
      <w:numFmt w:val="decimal"/>
      <w:lvlText w:val=""/>
      <w:lvlJc w:val="left"/>
    </w:lvl>
    <w:lvl w:ilvl="4" w:tplc="CAA25850">
      <w:numFmt w:val="decimal"/>
      <w:lvlText w:val=""/>
      <w:lvlJc w:val="left"/>
    </w:lvl>
    <w:lvl w:ilvl="5" w:tplc="5B30D062">
      <w:numFmt w:val="decimal"/>
      <w:lvlText w:val=""/>
      <w:lvlJc w:val="left"/>
    </w:lvl>
    <w:lvl w:ilvl="6" w:tplc="FDC06012">
      <w:numFmt w:val="decimal"/>
      <w:lvlText w:val=""/>
      <w:lvlJc w:val="left"/>
    </w:lvl>
    <w:lvl w:ilvl="7" w:tplc="1418275A">
      <w:numFmt w:val="decimal"/>
      <w:lvlText w:val=""/>
      <w:lvlJc w:val="left"/>
    </w:lvl>
    <w:lvl w:ilvl="8" w:tplc="166EC6EE">
      <w:numFmt w:val="decimal"/>
      <w:lvlText w:val=""/>
      <w:lvlJc w:val="left"/>
    </w:lvl>
  </w:abstractNum>
  <w:abstractNum w:abstractNumId="788" w15:restartNumberingAfterBreak="0">
    <w:nsid w:val="53733C52"/>
    <w:multiLevelType w:val="hybridMultilevel"/>
    <w:tmpl w:val="C74C2FCC"/>
    <w:lvl w:ilvl="0" w:tplc="33A24D6C">
      <w:start w:val="1"/>
      <w:numFmt w:val="bullet"/>
      <w:lvlText w:val=""/>
      <w:lvlJc w:val="left"/>
      <w:pPr>
        <w:ind w:left="720" w:hanging="360"/>
      </w:pPr>
      <w:rPr>
        <w:rFonts w:ascii="Symbol" w:hAnsi="Symbol" w:hint="default"/>
      </w:rPr>
    </w:lvl>
    <w:lvl w:ilvl="1" w:tplc="B62E85AA">
      <w:numFmt w:val="decimal"/>
      <w:lvlText w:val=""/>
      <w:lvlJc w:val="left"/>
    </w:lvl>
    <w:lvl w:ilvl="2" w:tplc="2A7E7B46">
      <w:numFmt w:val="decimal"/>
      <w:lvlText w:val=""/>
      <w:lvlJc w:val="left"/>
    </w:lvl>
    <w:lvl w:ilvl="3" w:tplc="8B607330">
      <w:numFmt w:val="decimal"/>
      <w:lvlText w:val=""/>
      <w:lvlJc w:val="left"/>
    </w:lvl>
    <w:lvl w:ilvl="4" w:tplc="92D6B0AE">
      <w:numFmt w:val="decimal"/>
      <w:lvlText w:val=""/>
      <w:lvlJc w:val="left"/>
    </w:lvl>
    <w:lvl w:ilvl="5" w:tplc="91A62E4E">
      <w:numFmt w:val="decimal"/>
      <w:lvlText w:val=""/>
      <w:lvlJc w:val="left"/>
    </w:lvl>
    <w:lvl w:ilvl="6" w:tplc="F30CA902">
      <w:numFmt w:val="decimal"/>
      <w:lvlText w:val=""/>
      <w:lvlJc w:val="left"/>
    </w:lvl>
    <w:lvl w:ilvl="7" w:tplc="60FC2D48">
      <w:numFmt w:val="decimal"/>
      <w:lvlText w:val=""/>
      <w:lvlJc w:val="left"/>
    </w:lvl>
    <w:lvl w:ilvl="8" w:tplc="A5AC2646">
      <w:numFmt w:val="decimal"/>
      <w:lvlText w:val=""/>
      <w:lvlJc w:val="left"/>
    </w:lvl>
  </w:abstractNum>
  <w:abstractNum w:abstractNumId="789" w15:restartNumberingAfterBreak="0">
    <w:nsid w:val="537D23DA"/>
    <w:multiLevelType w:val="hybridMultilevel"/>
    <w:tmpl w:val="3BA493FE"/>
    <w:lvl w:ilvl="0" w:tplc="E5A81D56">
      <w:start w:val="1"/>
      <w:numFmt w:val="bullet"/>
      <w:lvlText w:val=""/>
      <w:lvlJc w:val="left"/>
      <w:pPr>
        <w:ind w:left="720" w:hanging="360"/>
      </w:pPr>
      <w:rPr>
        <w:rFonts w:ascii="Symbol" w:hAnsi="Symbol" w:hint="default"/>
      </w:rPr>
    </w:lvl>
    <w:lvl w:ilvl="1" w:tplc="C554D258">
      <w:numFmt w:val="decimal"/>
      <w:lvlText w:val=""/>
      <w:lvlJc w:val="left"/>
    </w:lvl>
    <w:lvl w:ilvl="2" w:tplc="219A9A80">
      <w:numFmt w:val="decimal"/>
      <w:lvlText w:val=""/>
      <w:lvlJc w:val="left"/>
    </w:lvl>
    <w:lvl w:ilvl="3" w:tplc="95A09D06">
      <w:numFmt w:val="decimal"/>
      <w:lvlText w:val=""/>
      <w:lvlJc w:val="left"/>
    </w:lvl>
    <w:lvl w:ilvl="4" w:tplc="8946E28A">
      <w:numFmt w:val="decimal"/>
      <w:lvlText w:val=""/>
      <w:lvlJc w:val="left"/>
    </w:lvl>
    <w:lvl w:ilvl="5" w:tplc="4832F2C8">
      <w:numFmt w:val="decimal"/>
      <w:lvlText w:val=""/>
      <w:lvlJc w:val="left"/>
    </w:lvl>
    <w:lvl w:ilvl="6" w:tplc="942E5342">
      <w:numFmt w:val="decimal"/>
      <w:lvlText w:val=""/>
      <w:lvlJc w:val="left"/>
    </w:lvl>
    <w:lvl w:ilvl="7" w:tplc="5B8A1DFE">
      <w:numFmt w:val="decimal"/>
      <w:lvlText w:val=""/>
      <w:lvlJc w:val="left"/>
    </w:lvl>
    <w:lvl w:ilvl="8" w:tplc="0F082D36">
      <w:numFmt w:val="decimal"/>
      <w:lvlText w:val=""/>
      <w:lvlJc w:val="left"/>
    </w:lvl>
  </w:abstractNum>
  <w:abstractNum w:abstractNumId="790" w15:restartNumberingAfterBreak="0">
    <w:nsid w:val="539F40C8"/>
    <w:multiLevelType w:val="hybridMultilevel"/>
    <w:tmpl w:val="FFBEDC62"/>
    <w:lvl w:ilvl="0" w:tplc="50401334">
      <w:numFmt w:val="decimal"/>
      <w:lvlText w:val=""/>
      <w:lvlJc w:val="left"/>
    </w:lvl>
    <w:lvl w:ilvl="1" w:tplc="1FF6820C">
      <w:start w:val="1"/>
      <w:numFmt w:val="bullet"/>
      <w:lvlText w:val=""/>
      <w:lvlJc w:val="left"/>
      <w:pPr>
        <w:ind w:left="1440" w:hanging="360"/>
      </w:pPr>
      <w:rPr>
        <w:rFonts w:ascii="Symbol" w:hAnsi="Symbol" w:hint="default"/>
      </w:rPr>
    </w:lvl>
    <w:lvl w:ilvl="2" w:tplc="743CA518">
      <w:numFmt w:val="decimal"/>
      <w:lvlText w:val=""/>
      <w:lvlJc w:val="left"/>
    </w:lvl>
    <w:lvl w:ilvl="3" w:tplc="029EC7BA">
      <w:numFmt w:val="decimal"/>
      <w:lvlText w:val=""/>
      <w:lvlJc w:val="left"/>
    </w:lvl>
    <w:lvl w:ilvl="4" w:tplc="AF865752">
      <w:numFmt w:val="decimal"/>
      <w:lvlText w:val=""/>
      <w:lvlJc w:val="left"/>
    </w:lvl>
    <w:lvl w:ilvl="5" w:tplc="5A644456">
      <w:numFmt w:val="decimal"/>
      <w:lvlText w:val=""/>
      <w:lvlJc w:val="left"/>
    </w:lvl>
    <w:lvl w:ilvl="6" w:tplc="1F14A4E8">
      <w:numFmt w:val="decimal"/>
      <w:lvlText w:val=""/>
      <w:lvlJc w:val="left"/>
    </w:lvl>
    <w:lvl w:ilvl="7" w:tplc="014AF6F8">
      <w:numFmt w:val="decimal"/>
      <w:lvlText w:val=""/>
      <w:lvlJc w:val="left"/>
    </w:lvl>
    <w:lvl w:ilvl="8" w:tplc="532AEF9C">
      <w:numFmt w:val="decimal"/>
      <w:lvlText w:val=""/>
      <w:lvlJc w:val="left"/>
    </w:lvl>
  </w:abstractNum>
  <w:abstractNum w:abstractNumId="791" w15:restartNumberingAfterBreak="0">
    <w:nsid w:val="53A40668"/>
    <w:multiLevelType w:val="hybridMultilevel"/>
    <w:tmpl w:val="C5A62842"/>
    <w:lvl w:ilvl="0" w:tplc="F8266662">
      <w:numFmt w:val="decimal"/>
      <w:lvlText w:val=""/>
      <w:lvlJc w:val="left"/>
    </w:lvl>
    <w:lvl w:ilvl="1" w:tplc="4B520C7E">
      <w:start w:val="1"/>
      <w:numFmt w:val="bullet"/>
      <w:lvlText w:val=""/>
      <w:lvlJc w:val="left"/>
      <w:pPr>
        <w:ind w:left="1440" w:hanging="360"/>
      </w:pPr>
      <w:rPr>
        <w:rFonts w:ascii="Symbol" w:hAnsi="Symbol" w:hint="default"/>
      </w:rPr>
    </w:lvl>
    <w:lvl w:ilvl="2" w:tplc="A058B9EC">
      <w:numFmt w:val="decimal"/>
      <w:lvlText w:val=""/>
      <w:lvlJc w:val="left"/>
    </w:lvl>
    <w:lvl w:ilvl="3" w:tplc="4220281A">
      <w:numFmt w:val="decimal"/>
      <w:lvlText w:val=""/>
      <w:lvlJc w:val="left"/>
    </w:lvl>
    <w:lvl w:ilvl="4" w:tplc="DFF0A182">
      <w:numFmt w:val="decimal"/>
      <w:lvlText w:val=""/>
      <w:lvlJc w:val="left"/>
    </w:lvl>
    <w:lvl w:ilvl="5" w:tplc="84681A3E">
      <w:numFmt w:val="decimal"/>
      <w:lvlText w:val=""/>
      <w:lvlJc w:val="left"/>
    </w:lvl>
    <w:lvl w:ilvl="6" w:tplc="443AEAFA">
      <w:numFmt w:val="decimal"/>
      <w:lvlText w:val=""/>
      <w:lvlJc w:val="left"/>
    </w:lvl>
    <w:lvl w:ilvl="7" w:tplc="FF32D510">
      <w:numFmt w:val="decimal"/>
      <w:lvlText w:val=""/>
      <w:lvlJc w:val="left"/>
    </w:lvl>
    <w:lvl w:ilvl="8" w:tplc="578AD374">
      <w:numFmt w:val="decimal"/>
      <w:lvlText w:val=""/>
      <w:lvlJc w:val="left"/>
    </w:lvl>
  </w:abstractNum>
  <w:abstractNum w:abstractNumId="792" w15:restartNumberingAfterBreak="0">
    <w:nsid w:val="53B2218D"/>
    <w:multiLevelType w:val="hybridMultilevel"/>
    <w:tmpl w:val="CEC88602"/>
    <w:lvl w:ilvl="0" w:tplc="A2540224">
      <w:start w:val="1"/>
      <w:numFmt w:val="bullet"/>
      <w:lvlText w:val=""/>
      <w:lvlJc w:val="left"/>
      <w:pPr>
        <w:ind w:left="720" w:hanging="360"/>
      </w:pPr>
      <w:rPr>
        <w:rFonts w:ascii="Symbol" w:hAnsi="Symbol" w:hint="default"/>
      </w:rPr>
    </w:lvl>
    <w:lvl w:ilvl="1" w:tplc="9BAED136">
      <w:numFmt w:val="decimal"/>
      <w:lvlText w:val=""/>
      <w:lvlJc w:val="left"/>
    </w:lvl>
    <w:lvl w:ilvl="2" w:tplc="A072DA64">
      <w:numFmt w:val="decimal"/>
      <w:lvlText w:val=""/>
      <w:lvlJc w:val="left"/>
    </w:lvl>
    <w:lvl w:ilvl="3" w:tplc="AC0CE248">
      <w:numFmt w:val="decimal"/>
      <w:lvlText w:val=""/>
      <w:lvlJc w:val="left"/>
    </w:lvl>
    <w:lvl w:ilvl="4" w:tplc="60B807BC">
      <w:numFmt w:val="decimal"/>
      <w:lvlText w:val=""/>
      <w:lvlJc w:val="left"/>
    </w:lvl>
    <w:lvl w:ilvl="5" w:tplc="1BB69D4A">
      <w:numFmt w:val="decimal"/>
      <w:lvlText w:val=""/>
      <w:lvlJc w:val="left"/>
    </w:lvl>
    <w:lvl w:ilvl="6" w:tplc="8B06C874">
      <w:numFmt w:val="decimal"/>
      <w:lvlText w:val=""/>
      <w:lvlJc w:val="left"/>
    </w:lvl>
    <w:lvl w:ilvl="7" w:tplc="9B7C821E">
      <w:numFmt w:val="decimal"/>
      <w:lvlText w:val=""/>
      <w:lvlJc w:val="left"/>
    </w:lvl>
    <w:lvl w:ilvl="8" w:tplc="620CD464">
      <w:numFmt w:val="decimal"/>
      <w:lvlText w:val=""/>
      <w:lvlJc w:val="left"/>
    </w:lvl>
  </w:abstractNum>
  <w:abstractNum w:abstractNumId="793" w15:restartNumberingAfterBreak="0">
    <w:nsid w:val="53C038DA"/>
    <w:multiLevelType w:val="hybridMultilevel"/>
    <w:tmpl w:val="8556C2A2"/>
    <w:lvl w:ilvl="0" w:tplc="6F80EB9C">
      <w:start w:val="1"/>
      <w:numFmt w:val="bullet"/>
      <w:lvlText w:val=""/>
      <w:lvlJc w:val="left"/>
      <w:pPr>
        <w:ind w:left="720" w:hanging="360"/>
      </w:pPr>
      <w:rPr>
        <w:rFonts w:ascii="Symbol" w:hAnsi="Symbol" w:hint="default"/>
      </w:rPr>
    </w:lvl>
    <w:lvl w:ilvl="1" w:tplc="529C8CC6">
      <w:numFmt w:val="decimal"/>
      <w:lvlText w:val=""/>
      <w:lvlJc w:val="left"/>
    </w:lvl>
    <w:lvl w:ilvl="2" w:tplc="1DA45EAE">
      <w:numFmt w:val="decimal"/>
      <w:lvlText w:val=""/>
      <w:lvlJc w:val="left"/>
    </w:lvl>
    <w:lvl w:ilvl="3" w:tplc="A7DC492C">
      <w:numFmt w:val="decimal"/>
      <w:lvlText w:val=""/>
      <w:lvlJc w:val="left"/>
    </w:lvl>
    <w:lvl w:ilvl="4" w:tplc="AFFA81EE">
      <w:numFmt w:val="decimal"/>
      <w:lvlText w:val=""/>
      <w:lvlJc w:val="left"/>
    </w:lvl>
    <w:lvl w:ilvl="5" w:tplc="F0DA7314">
      <w:numFmt w:val="decimal"/>
      <w:lvlText w:val=""/>
      <w:lvlJc w:val="left"/>
    </w:lvl>
    <w:lvl w:ilvl="6" w:tplc="2C9E0396">
      <w:numFmt w:val="decimal"/>
      <w:lvlText w:val=""/>
      <w:lvlJc w:val="left"/>
    </w:lvl>
    <w:lvl w:ilvl="7" w:tplc="CBBA5CA4">
      <w:numFmt w:val="decimal"/>
      <w:lvlText w:val=""/>
      <w:lvlJc w:val="left"/>
    </w:lvl>
    <w:lvl w:ilvl="8" w:tplc="95C6383C">
      <w:numFmt w:val="decimal"/>
      <w:lvlText w:val=""/>
      <w:lvlJc w:val="left"/>
    </w:lvl>
  </w:abstractNum>
  <w:abstractNum w:abstractNumId="794" w15:restartNumberingAfterBreak="0">
    <w:nsid w:val="53D009F0"/>
    <w:multiLevelType w:val="hybridMultilevel"/>
    <w:tmpl w:val="CA14FB14"/>
    <w:lvl w:ilvl="0" w:tplc="DB863DD4">
      <w:start w:val="1"/>
      <w:numFmt w:val="bullet"/>
      <w:lvlText w:val=""/>
      <w:lvlJc w:val="left"/>
      <w:pPr>
        <w:ind w:left="720" w:hanging="360"/>
      </w:pPr>
      <w:rPr>
        <w:rFonts w:ascii="Symbol" w:hAnsi="Symbol" w:hint="default"/>
      </w:rPr>
    </w:lvl>
    <w:lvl w:ilvl="1" w:tplc="3F7AA696">
      <w:numFmt w:val="decimal"/>
      <w:lvlText w:val=""/>
      <w:lvlJc w:val="left"/>
    </w:lvl>
    <w:lvl w:ilvl="2" w:tplc="549E92EE">
      <w:numFmt w:val="decimal"/>
      <w:lvlText w:val=""/>
      <w:lvlJc w:val="left"/>
    </w:lvl>
    <w:lvl w:ilvl="3" w:tplc="338C0798">
      <w:numFmt w:val="decimal"/>
      <w:lvlText w:val=""/>
      <w:lvlJc w:val="left"/>
    </w:lvl>
    <w:lvl w:ilvl="4" w:tplc="B44A0B64">
      <w:numFmt w:val="decimal"/>
      <w:lvlText w:val=""/>
      <w:lvlJc w:val="left"/>
    </w:lvl>
    <w:lvl w:ilvl="5" w:tplc="5238B3A4">
      <w:numFmt w:val="decimal"/>
      <w:lvlText w:val=""/>
      <w:lvlJc w:val="left"/>
    </w:lvl>
    <w:lvl w:ilvl="6" w:tplc="36A01D3E">
      <w:numFmt w:val="decimal"/>
      <w:lvlText w:val=""/>
      <w:lvlJc w:val="left"/>
    </w:lvl>
    <w:lvl w:ilvl="7" w:tplc="358A6154">
      <w:numFmt w:val="decimal"/>
      <w:lvlText w:val=""/>
      <w:lvlJc w:val="left"/>
    </w:lvl>
    <w:lvl w:ilvl="8" w:tplc="2B7826A4">
      <w:numFmt w:val="decimal"/>
      <w:lvlText w:val=""/>
      <w:lvlJc w:val="left"/>
    </w:lvl>
  </w:abstractNum>
  <w:abstractNum w:abstractNumId="795" w15:restartNumberingAfterBreak="0">
    <w:nsid w:val="53D14F74"/>
    <w:multiLevelType w:val="hybridMultilevel"/>
    <w:tmpl w:val="BA388970"/>
    <w:lvl w:ilvl="0" w:tplc="1466F530">
      <w:start w:val="1"/>
      <w:numFmt w:val="bullet"/>
      <w:lvlText w:val=""/>
      <w:lvlJc w:val="left"/>
      <w:pPr>
        <w:ind w:left="720" w:hanging="360"/>
      </w:pPr>
      <w:rPr>
        <w:rFonts w:ascii="Symbol" w:hAnsi="Symbol" w:hint="default"/>
      </w:rPr>
    </w:lvl>
    <w:lvl w:ilvl="1" w:tplc="C21C516C">
      <w:numFmt w:val="decimal"/>
      <w:lvlText w:val=""/>
      <w:lvlJc w:val="left"/>
    </w:lvl>
    <w:lvl w:ilvl="2" w:tplc="11BEEB8C">
      <w:numFmt w:val="decimal"/>
      <w:lvlText w:val=""/>
      <w:lvlJc w:val="left"/>
    </w:lvl>
    <w:lvl w:ilvl="3" w:tplc="00308BDC">
      <w:numFmt w:val="decimal"/>
      <w:lvlText w:val=""/>
      <w:lvlJc w:val="left"/>
    </w:lvl>
    <w:lvl w:ilvl="4" w:tplc="F9A02A82">
      <w:numFmt w:val="decimal"/>
      <w:lvlText w:val=""/>
      <w:lvlJc w:val="left"/>
    </w:lvl>
    <w:lvl w:ilvl="5" w:tplc="390CE2C6">
      <w:numFmt w:val="decimal"/>
      <w:lvlText w:val=""/>
      <w:lvlJc w:val="left"/>
    </w:lvl>
    <w:lvl w:ilvl="6" w:tplc="6414AE20">
      <w:numFmt w:val="decimal"/>
      <w:lvlText w:val=""/>
      <w:lvlJc w:val="left"/>
    </w:lvl>
    <w:lvl w:ilvl="7" w:tplc="9620ED86">
      <w:numFmt w:val="decimal"/>
      <w:lvlText w:val=""/>
      <w:lvlJc w:val="left"/>
    </w:lvl>
    <w:lvl w:ilvl="8" w:tplc="C8C4BFF0">
      <w:numFmt w:val="decimal"/>
      <w:lvlText w:val=""/>
      <w:lvlJc w:val="left"/>
    </w:lvl>
  </w:abstractNum>
  <w:abstractNum w:abstractNumId="796" w15:restartNumberingAfterBreak="0">
    <w:nsid w:val="53FB0A3F"/>
    <w:multiLevelType w:val="hybridMultilevel"/>
    <w:tmpl w:val="9B28D0B6"/>
    <w:lvl w:ilvl="0" w:tplc="8E0040FA">
      <w:start w:val="1"/>
      <w:numFmt w:val="bullet"/>
      <w:lvlText w:val=""/>
      <w:lvlJc w:val="left"/>
      <w:pPr>
        <w:ind w:left="720" w:hanging="360"/>
      </w:pPr>
      <w:rPr>
        <w:rFonts w:ascii="Symbol" w:hAnsi="Symbol" w:hint="default"/>
      </w:rPr>
    </w:lvl>
    <w:lvl w:ilvl="1" w:tplc="30021668">
      <w:numFmt w:val="decimal"/>
      <w:lvlText w:val=""/>
      <w:lvlJc w:val="left"/>
    </w:lvl>
    <w:lvl w:ilvl="2" w:tplc="F5462414">
      <w:numFmt w:val="decimal"/>
      <w:lvlText w:val=""/>
      <w:lvlJc w:val="left"/>
    </w:lvl>
    <w:lvl w:ilvl="3" w:tplc="739A430E">
      <w:numFmt w:val="decimal"/>
      <w:lvlText w:val=""/>
      <w:lvlJc w:val="left"/>
    </w:lvl>
    <w:lvl w:ilvl="4" w:tplc="F3721164">
      <w:numFmt w:val="decimal"/>
      <w:lvlText w:val=""/>
      <w:lvlJc w:val="left"/>
    </w:lvl>
    <w:lvl w:ilvl="5" w:tplc="7D6C39B8">
      <w:numFmt w:val="decimal"/>
      <w:lvlText w:val=""/>
      <w:lvlJc w:val="left"/>
    </w:lvl>
    <w:lvl w:ilvl="6" w:tplc="AC105C8E">
      <w:numFmt w:val="decimal"/>
      <w:lvlText w:val=""/>
      <w:lvlJc w:val="left"/>
    </w:lvl>
    <w:lvl w:ilvl="7" w:tplc="24A2BC72">
      <w:numFmt w:val="decimal"/>
      <w:lvlText w:val=""/>
      <w:lvlJc w:val="left"/>
    </w:lvl>
    <w:lvl w:ilvl="8" w:tplc="E4366680">
      <w:numFmt w:val="decimal"/>
      <w:lvlText w:val=""/>
      <w:lvlJc w:val="left"/>
    </w:lvl>
  </w:abstractNum>
  <w:abstractNum w:abstractNumId="797" w15:restartNumberingAfterBreak="0">
    <w:nsid w:val="53FE7952"/>
    <w:multiLevelType w:val="hybridMultilevel"/>
    <w:tmpl w:val="42725BC4"/>
    <w:lvl w:ilvl="0" w:tplc="C2F256E4">
      <w:start w:val="1"/>
      <w:numFmt w:val="bullet"/>
      <w:lvlText w:val=""/>
      <w:lvlJc w:val="left"/>
      <w:pPr>
        <w:ind w:left="720" w:hanging="360"/>
      </w:pPr>
      <w:rPr>
        <w:rFonts w:ascii="Symbol" w:hAnsi="Symbol" w:hint="default"/>
      </w:rPr>
    </w:lvl>
    <w:lvl w:ilvl="1" w:tplc="D18EB97E">
      <w:numFmt w:val="decimal"/>
      <w:lvlText w:val=""/>
      <w:lvlJc w:val="left"/>
    </w:lvl>
    <w:lvl w:ilvl="2" w:tplc="87983C44">
      <w:numFmt w:val="decimal"/>
      <w:lvlText w:val=""/>
      <w:lvlJc w:val="left"/>
    </w:lvl>
    <w:lvl w:ilvl="3" w:tplc="7EA290C0">
      <w:numFmt w:val="decimal"/>
      <w:lvlText w:val=""/>
      <w:lvlJc w:val="left"/>
    </w:lvl>
    <w:lvl w:ilvl="4" w:tplc="A9FEFAAC">
      <w:numFmt w:val="decimal"/>
      <w:lvlText w:val=""/>
      <w:lvlJc w:val="left"/>
    </w:lvl>
    <w:lvl w:ilvl="5" w:tplc="2B720ADA">
      <w:numFmt w:val="decimal"/>
      <w:lvlText w:val=""/>
      <w:lvlJc w:val="left"/>
    </w:lvl>
    <w:lvl w:ilvl="6" w:tplc="897016A6">
      <w:numFmt w:val="decimal"/>
      <w:lvlText w:val=""/>
      <w:lvlJc w:val="left"/>
    </w:lvl>
    <w:lvl w:ilvl="7" w:tplc="26F024B0">
      <w:numFmt w:val="decimal"/>
      <w:lvlText w:val=""/>
      <w:lvlJc w:val="left"/>
    </w:lvl>
    <w:lvl w:ilvl="8" w:tplc="D00E6240">
      <w:numFmt w:val="decimal"/>
      <w:lvlText w:val=""/>
      <w:lvlJc w:val="left"/>
    </w:lvl>
  </w:abstractNum>
  <w:abstractNum w:abstractNumId="798" w15:restartNumberingAfterBreak="0">
    <w:nsid w:val="541B4651"/>
    <w:multiLevelType w:val="hybridMultilevel"/>
    <w:tmpl w:val="A91C39B6"/>
    <w:lvl w:ilvl="0" w:tplc="8E281DA6">
      <w:start w:val="1"/>
      <w:numFmt w:val="bullet"/>
      <w:lvlText w:val=""/>
      <w:lvlJc w:val="left"/>
      <w:pPr>
        <w:ind w:left="720" w:hanging="360"/>
      </w:pPr>
      <w:rPr>
        <w:rFonts w:ascii="Symbol" w:hAnsi="Symbol" w:hint="default"/>
      </w:rPr>
    </w:lvl>
    <w:lvl w:ilvl="1" w:tplc="DD2A111E">
      <w:numFmt w:val="decimal"/>
      <w:lvlText w:val=""/>
      <w:lvlJc w:val="left"/>
    </w:lvl>
    <w:lvl w:ilvl="2" w:tplc="F754079C">
      <w:numFmt w:val="decimal"/>
      <w:lvlText w:val=""/>
      <w:lvlJc w:val="left"/>
    </w:lvl>
    <w:lvl w:ilvl="3" w:tplc="5C907E1C">
      <w:numFmt w:val="decimal"/>
      <w:lvlText w:val=""/>
      <w:lvlJc w:val="left"/>
    </w:lvl>
    <w:lvl w:ilvl="4" w:tplc="988A6060">
      <w:numFmt w:val="decimal"/>
      <w:lvlText w:val=""/>
      <w:lvlJc w:val="left"/>
    </w:lvl>
    <w:lvl w:ilvl="5" w:tplc="DFE6008C">
      <w:numFmt w:val="decimal"/>
      <w:lvlText w:val=""/>
      <w:lvlJc w:val="left"/>
    </w:lvl>
    <w:lvl w:ilvl="6" w:tplc="5B683B32">
      <w:numFmt w:val="decimal"/>
      <w:lvlText w:val=""/>
      <w:lvlJc w:val="left"/>
    </w:lvl>
    <w:lvl w:ilvl="7" w:tplc="52586310">
      <w:numFmt w:val="decimal"/>
      <w:lvlText w:val=""/>
      <w:lvlJc w:val="left"/>
    </w:lvl>
    <w:lvl w:ilvl="8" w:tplc="D57EE5B4">
      <w:numFmt w:val="decimal"/>
      <w:lvlText w:val=""/>
      <w:lvlJc w:val="left"/>
    </w:lvl>
  </w:abstractNum>
  <w:abstractNum w:abstractNumId="799" w15:restartNumberingAfterBreak="0">
    <w:nsid w:val="541D265D"/>
    <w:multiLevelType w:val="hybridMultilevel"/>
    <w:tmpl w:val="0BD8BD06"/>
    <w:lvl w:ilvl="0" w:tplc="415AAB22">
      <w:start w:val="1"/>
      <w:numFmt w:val="bullet"/>
      <w:lvlText w:val=""/>
      <w:lvlJc w:val="left"/>
      <w:pPr>
        <w:ind w:left="720" w:hanging="360"/>
      </w:pPr>
      <w:rPr>
        <w:rFonts w:ascii="Symbol" w:hAnsi="Symbol" w:hint="default"/>
      </w:rPr>
    </w:lvl>
    <w:lvl w:ilvl="1" w:tplc="C5CA6D7C">
      <w:numFmt w:val="decimal"/>
      <w:lvlText w:val=""/>
      <w:lvlJc w:val="left"/>
    </w:lvl>
    <w:lvl w:ilvl="2" w:tplc="88B870CA">
      <w:numFmt w:val="decimal"/>
      <w:lvlText w:val=""/>
      <w:lvlJc w:val="left"/>
    </w:lvl>
    <w:lvl w:ilvl="3" w:tplc="983A723E">
      <w:numFmt w:val="decimal"/>
      <w:lvlText w:val=""/>
      <w:lvlJc w:val="left"/>
    </w:lvl>
    <w:lvl w:ilvl="4" w:tplc="3698E006">
      <w:numFmt w:val="decimal"/>
      <w:lvlText w:val=""/>
      <w:lvlJc w:val="left"/>
    </w:lvl>
    <w:lvl w:ilvl="5" w:tplc="F814CDDE">
      <w:numFmt w:val="decimal"/>
      <w:lvlText w:val=""/>
      <w:lvlJc w:val="left"/>
    </w:lvl>
    <w:lvl w:ilvl="6" w:tplc="64EE794E">
      <w:numFmt w:val="decimal"/>
      <w:lvlText w:val=""/>
      <w:lvlJc w:val="left"/>
    </w:lvl>
    <w:lvl w:ilvl="7" w:tplc="2DB27D52">
      <w:numFmt w:val="decimal"/>
      <w:lvlText w:val=""/>
      <w:lvlJc w:val="left"/>
    </w:lvl>
    <w:lvl w:ilvl="8" w:tplc="53045846">
      <w:numFmt w:val="decimal"/>
      <w:lvlText w:val=""/>
      <w:lvlJc w:val="left"/>
    </w:lvl>
  </w:abstractNum>
  <w:abstractNum w:abstractNumId="800" w15:restartNumberingAfterBreak="0">
    <w:nsid w:val="54440DEF"/>
    <w:multiLevelType w:val="hybridMultilevel"/>
    <w:tmpl w:val="61CE7C60"/>
    <w:lvl w:ilvl="0" w:tplc="0A220BBE">
      <w:start w:val="1"/>
      <w:numFmt w:val="bullet"/>
      <w:lvlText w:val=""/>
      <w:lvlJc w:val="left"/>
      <w:pPr>
        <w:ind w:left="720" w:hanging="360"/>
      </w:pPr>
      <w:rPr>
        <w:rFonts w:ascii="Symbol" w:hAnsi="Symbol" w:hint="default"/>
      </w:rPr>
    </w:lvl>
    <w:lvl w:ilvl="1" w:tplc="D9342BB0">
      <w:numFmt w:val="decimal"/>
      <w:lvlText w:val=""/>
      <w:lvlJc w:val="left"/>
    </w:lvl>
    <w:lvl w:ilvl="2" w:tplc="85582952">
      <w:numFmt w:val="decimal"/>
      <w:lvlText w:val=""/>
      <w:lvlJc w:val="left"/>
    </w:lvl>
    <w:lvl w:ilvl="3" w:tplc="8E12E6A8">
      <w:numFmt w:val="decimal"/>
      <w:lvlText w:val=""/>
      <w:lvlJc w:val="left"/>
    </w:lvl>
    <w:lvl w:ilvl="4" w:tplc="54FCBE14">
      <w:numFmt w:val="decimal"/>
      <w:lvlText w:val=""/>
      <w:lvlJc w:val="left"/>
    </w:lvl>
    <w:lvl w:ilvl="5" w:tplc="BF20CD7A">
      <w:numFmt w:val="decimal"/>
      <w:lvlText w:val=""/>
      <w:lvlJc w:val="left"/>
    </w:lvl>
    <w:lvl w:ilvl="6" w:tplc="41DE4166">
      <w:numFmt w:val="decimal"/>
      <w:lvlText w:val=""/>
      <w:lvlJc w:val="left"/>
    </w:lvl>
    <w:lvl w:ilvl="7" w:tplc="6C0EDA8A">
      <w:numFmt w:val="decimal"/>
      <w:lvlText w:val=""/>
      <w:lvlJc w:val="left"/>
    </w:lvl>
    <w:lvl w:ilvl="8" w:tplc="72301380">
      <w:numFmt w:val="decimal"/>
      <w:lvlText w:val=""/>
      <w:lvlJc w:val="left"/>
    </w:lvl>
  </w:abstractNum>
  <w:abstractNum w:abstractNumId="801" w15:restartNumberingAfterBreak="0">
    <w:nsid w:val="54586A08"/>
    <w:multiLevelType w:val="hybridMultilevel"/>
    <w:tmpl w:val="196EF6C0"/>
    <w:lvl w:ilvl="0" w:tplc="A92A3AFE">
      <w:start w:val="1"/>
      <w:numFmt w:val="bullet"/>
      <w:lvlText w:val=""/>
      <w:lvlJc w:val="left"/>
      <w:pPr>
        <w:ind w:left="720" w:hanging="360"/>
      </w:pPr>
      <w:rPr>
        <w:rFonts w:ascii="Symbol" w:hAnsi="Symbol" w:hint="default"/>
      </w:rPr>
    </w:lvl>
    <w:lvl w:ilvl="1" w:tplc="942CE36E">
      <w:numFmt w:val="decimal"/>
      <w:lvlText w:val=""/>
      <w:lvlJc w:val="left"/>
    </w:lvl>
    <w:lvl w:ilvl="2" w:tplc="8080247A">
      <w:numFmt w:val="decimal"/>
      <w:lvlText w:val=""/>
      <w:lvlJc w:val="left"/>
    </w:lvl>
    <w:lvl w:ilvl="3" w:tplc="C8FC200C">
      <w:numFmt w:val="decimal"/>
      <w:lvlText w:val=""/>
      <w:lvlJc w:val="left"/>
    </w:lvl>
    <w:lvl w:ilvl="4" w:tplc="F27AE9A6">
      <w:numFmt w:val="decimal"/>
      <w:lvlText w:val=""/>
      <w:lvlJc w:val="left"/>
    </w:lvl>
    <w:lvl w:ilvl="5" w:tplc="29A05DBC">
      <w:numFmt w:val="decimal"/>
      <w:lvlText w:val=""/>
      <w:lvlJc w:val="left"/>
    </w:lvl>
    <w:lvl w:ilvl="6" w:tplc="5C8020D2">
      <w:numFmt w:val="decimal"/>
      <w:lvlText w:val=""/>
      <w:lvlJc w:val="left"/>
    </w:lvl>
    <w:lvl w:ilvl="7" w:tplc="9F24D346">
      <w:numFmt w:val="decimal"/>
      <w:lvlText w:val=""/>
      <w:lvlJc w:val="left"/>
    </w:lvl>
    <w:lvl w:ilvl="8" w:tplc="A4A6E23A">
      <w:numFmt w:val="decimal"/>
      <w:lvlText w:val=""/>
      <w:lvlJc w:val="left"/>
    </w:lvl>
  </w:abstractNum>
  <w:abstractNum w:abstractNumId="802" w15:restartNumberingAfterBreak="0">
    <w:nsid w:val="547B3F91"/>
    <w:multiLevelType w:val="hybridMultilevel"/>
    <w:tmpl w:val="A22274D2"/>
    <w:lvl w:ilvl="0" w:tplc="1312E6EE">
      <w:start w:val="1"/>
      <w:numFmt w:val="bullet"/>
      <w:lvlText w:val=""/>
      <w:lvlJc w:val="left"/>
      <w:pPr>
        <w:ind w:left="720" w:hanging="360"/>
      </w:pPr>
      <w:rPr>
        <w:rFonts w:ascii="Symbol" w:hAnsi="Symbol" w:hint="default"/>
      </w:rPr>
    </w:lvl>
    <w:lvl w:ilvl="1" w:tplc="B756F6D0">
      <w:numFmt w:val="decimal"/>
      <w:lvlText w:val=""/>
      <w:lvlJc w:val="left"/>
    </w:lvl>
    <w:lvl w:ilvl="2" w:tplc="4FA610AA">
      <w:numFmt w:val="decimal"/>
      <w:lvlText w:val=""/>
      <w:lvlJc w:val="left"/>
    </w:lvl>
    <w:lvl w:ilvl="3" w:tplc="A96AE710">
      <w:numFmt w:val="decimal"/>
      <w:lvlText w:val=""/>
      <w:lvlJc w:val="left"/>
    </w:lvl>
    <w:lvl w:ilvl="4" w:tplc="10BC47B4">
      <w:numFmt w:val="decimal"/>
      <w:lvlText w:val=""/>
      <w:lvlJc w:val="left"/>
    </w:lvl>
    <w:lvl w:ilvl="5" w:tplc="3220579E">
      <w:numFmt w:val="decimal"/>
      <w:lvlText w:val=""/>
      <w:lvlJc w:val="left"/>
    </w:lvl>
    <w:lvl w:ilvl="6" w:tplc="A016EC2A">
      <w:numFmt w:val="decimal"/>
      <w:lvlText w:val=""/>
      <w:lvlJc w:val="left"/>
    </w:lvl>
    <w:lvl w:ilvl="7" w:tplc="9E9C375A">
      <w:numFmt w:val="decimal"/>
      <w:lvlText w:val=""/>
      <w:lvlJc w:val="left"/>
    </w:lvl>
    <w:lvl w:ilvl="8" w:tplc="BF8296DA">
      <w:numFmt w:val="decimal"/>
      <w:lvlText w:val=""/>
      <w:lvlJc w:val="left"/>
    </w:lvl>
  </w:abstractNum>
  <w:abstractNum w:abstractNumId="803" w15:restartNumberingAfterBreak="0">
    <w:nsid w:val="5491016C"/>
    <w:multiLevelType w:val="hybridMultilevel"/>
    <w:tmpl w:val="7250E970"/>
    <w:lvl w:ilvl="0" w:tplc="3134212A">
      <w:start w:val="1"/>
      <w:numFmt w:val="bullet"/>
      <w:lvlText w:val=""/>
      <w:lvlJc w:val="left"/>
      <w:pPr>
        <w:ind w:left="720" w:hanging="360"/>
      </w:pPr>
      <w:rPr>
        <w:rFonts w:ascii="Symbol" w:hAnsi="Symbol" w:hint="default"/>
      </w:rPr>
    </w:lvl>
    <w:lvl w:ilvl="1" w:tplc="A4C826AA">
      <w:numFmt w:val="decimal"/>
      <w:lvlText w:val=""/>
      <w:lvlJc w:val="left"/>
    </w:lvl>
    <w:lvl w:ilvl="2" w:tplc="CE0E7440">
      <w:numFmt w:val="decimal"/>
      <w:lvlText w:val=""/>
      <w:lvlJc w:val="left"/>
    </w:lvl>
    <w:lvl w:ilvl="3" w:tplc="5A3E8D32">
      <w:numFmt w:val="decimal"/>
      <w:lvlText w:val=""/>
      <w:lvlJc w:val="left"/>
    </w:lvl>
    <w:lvl w:ilvl="4" w:tplc="390046CE">
      <w:numFmt w:val="decimal"/>
      <w:lvlText w:val=""/>
      <w:lvlJc w:val="left"/>
    </w:lvl>
    <w:lvl w:ilvl="5" w:tplc="D9565C86">
      <w:numFmt w:val="decimal"/>
      <w:lvlText w:val=""/>
      <w:lvlJc w:val="left"/>
    </w:lvl>
    <w:lvl w:ilvl="6" w:tplc="DB608DD8">
      <w:numFmt w:val="decimal"/>
      <w:lvlText w:val=""/>
      <w:lvlJc w:val="left"/>
    </w:lvl>
    <w:lvl w:ilvl="7" w:tplc="415859CC">
      <w:numFmt w:val="decimal"/>
      <w:lvlText w:val=""/>
      <w:lvlJc w:val="left"/>
    </w:lvl>
    <w:lvl w:ilvl="8" w:tplc="4E1A8D78">
      <w:numFmt w:val="decimal"/>
      <w:lvlText w:val=""/>
      <w:lvlJc w:val="left"/>
    </w:lvl>
  </w:abstractNum>
  <w:abstractNum w:abstractNumId="804" w15:restartNumberingAfterBreak="0">
    <w:nsid w:val="54917EC8"/>
    <w:multiLevelType w:val="hybridMultilevel"/>
    <w:tmpl w:val="05F0052E"/>
    <w:lvl w:ilvl="0" w:tplc="3A089022">
      <w:start w:val="1"/>
      <w:numFmt w:val="bullet"/>
      <w:lvlText w:val=""/>
      <w:lvlJc w:val="left"/>
      <w:pPr>
        <w:ind w:left="720" w:hanging="360"/>
      </w:pPr>
      <w:rPr>
        <w:rFonts w:ascii="Symbol" w:hAnsi="Symbol" w:hint="default"/>
      </w:rPr>
    </w:lvl>
    <w:lvl w:ilvl="1" w:tplc="E65ACEAA">
      <w:numFmt w:val="decimal"/>
      <w:lvlText w:val=""/>
      <w:lvlJc w:val="left"/>
    </w:lvl>
    <w:lvl w:ilvl="2" w:tplc="D936708A">
      <w:numFmt w:val="decimal"/>
      <w:lvlText w:val=""/>
      <w:lvlJc w:val="left"/>
    </w:lvl>
    <w:lvl w:ilvl="3" w:tplc="CB54CD90">
      <w:numFmt w:val="decimal"/>
      <w:lvlText w:val=""/>
      <w:lvlJc w:val="left"/>
    </w:lvl>
    <w:lvl w:ilvl="4" w:tplc="AF9A5DBE">
      <w:numFmt w:val="decimal"/>
      <w:lvlText w:val=""/>
      <w:lvlJc w:val="left"/>
    </w:lvl>
    <w:lvl w:ilvl="5" w:tplc="BBFC4022">
      <w:numFmt w:val="decimal"/>
      <w:lvlText w:val=""/>
      <w:lvlJc w:val="left"/>
    </w:lvl>
    <w:lvl w:ilvl="6" w:tplc="E6A25C2A">
      <w:numFmt w:val="decimal"/>
      <w:lvlText w:val=""/>
      <w:lvlJc w:val="left"/>
    </w:lvl>
    <w:lvl w:ilvl="7" w:tplc="251E4D4A">
      <w:numFmt w:val="decimal"/>
      <w:lvlText w:val=""/>
      <w:lvlJc w:val="left"/>
    </w:lvl>
    <w:lvl w:ilvl="8" w:tplc="A9BE5E06">
      <w:numFmt w:val="decimal"/>
      <w:lvlText w:val=""/>
      <w:lvlJc w:val="left"/>
    </w:lvl>
  </w:abstractNum>
  <w:abstractNum w:abstractNumId="805" w15:restartNumberingAfterBreak="0">
    <w:nsid w:val="54981F42"/>
    <w:multiLevelType w:val="hybridMultilevel"/>
    <w:tmpl w:val="CB6A5AEE"/>
    <w:lvl w:ilvl="0" w:tplc="F5B6D3AE">
      <w:start w:val="1"/>
      <w:numFmt w:val="bullet"/>
      <w:lvlText w:val=""/>
      <w:lvlJc w:val="left"/>
      <w:pPr>
        <w:ind w:left="720" w:hanging="360"/>
      </w:pPr>
      <w:rPr>
        <w:rFonts w:ascii="Symbol" w:hAnsi="Symbol" w:hint="default"/>
      </w:rPr>
    </w:lvl>
    <w:lvl w:ilvl="1" w:tplc="71AC4BCA">
      <w:numFmt w:val="decimal"/>
      <w:lvlText w:val=""/>
      <w:lvlJc w:val="left"/>
    </w:lvl>
    <w:lvl w:ilvl="2" w:tplc="D4CC572E">
      <w:numFmt w:val="decimal"/>
      <w:lvlText w:val=""/>
      <w:lvlJc w:val="left"/>
    </w:lvl>
    <w:lvl w:ilvl="3" w:tplc="1C2E8E2E">
      <w:numFmt w:val="decimal"/>
      <w:lvlText w:val=""/>
      <w:lvlJc w:val="left"/>
    </w:lvl>
    <w:lvl w:ilvl="4" w:tplc="00A8745A">
      <w:numFmt w:val="decimal"/>
      <w:lvlText w:val=""/>
      <w:lvlJc w:val="left"/>
    </w:lvl>
    <w:lvl w:ilvl="5" w:tplc="279AB470">
      <w:numFmt w:val="decimal"/>
      <w:lvlText w:val=""/>
      <w:lvlJc w:val="left"/>
    </w:lvl>
    <w:lvl w:ilvl="6" w:tplc="D7A8D508">
      <w:numFmt w:val="decimal"/>
      <w:lvlText w:val=""/>
      <w:lvlJc w:val="left"/>
    </w:lvl>
    <w:lvl w:ilvl="7" w:tplc="3CA01C00">
      <w:numFmt w:val="decimal"/>
      <w:lvlText w:val=""/>
      <w:lvlJc w:val="left"/>
    </w:lvl>
    <w:lvl w:ilvl="8" w:tplc="7AB6F946">
      <w:numFmt w:val="decimal"/>
      <w:lvlText w:val=""/>
      <w:lvlJc w:val="left"/>
    </w:lvl>
  </w:abstractNum>
  <w:abstractNum w:abstractNumId="806" w15:restartNumberingAfterBreak="0">
    <w:nsid w:val="54BF6D95"/>
    <w:multiLevelType w:val="hybridMultilevel"/>
    <w:tmpl w:val="94282778"/>
    <w:lvl w:ilvl="0" w:tplc="8E164AB6">
      <w:start w:val="1"/>
      <w:numFmt w:val="bullet"/>
      <w:lvlText w:val=""/>
      <w:lvlJc w:val="left"/>
      <w:pPr>
        <w:ind w:left="720" w:hanging="360"/>
      </w:pPr>
      <w:rPr>
        <w:rFonts w:ascii="Symbol" w:hAnsi="Symbol" w:hint="default"/>
      </w:rPr>
    </w:lvl>
    <w:lvl w:ilvl="1" w:tplc="9FF26FB2">
      <w:numFmt w:val="decimal"/>
      <w:lvlText w:val=""/>
      <w:lvlJc w:val="left"/>
    </w:lvl>
    <w:lvl w:ilvl="2" w:tplc="5FE43AE4">
      <w:numFmt w:val="decimal"/>
      <w:lvlText w:val=""/>
      <w:lvlJc w:val="left"/>
    </w:lvl>
    <w:lvl w:ilvl="3" w:tplc="A9C44CCE">
      <w:numFmt w:val="decimal"/>
      <w:lvlText w:val=""/>
      <w:lvlJc w:val="left"/>
    </w:lvl>
    <w:lvl w:ilvl="4" w:tplc="CD62A888">
      <w:numFmt w:val="decimal"/>
      <w:lvlText w:val=""/>
      <w:lvlJc w:val="left"/>
    </w:lvl>
    <w:lvl w:ilvl="5" w:tplc="D75C6374">
      <w:numFmt w:val="decimal"/>
      <w:lvlText w:val=""/>
      <w:lvlJc w:val="left"/>
    </w:lvl>
    <w:lvl w:ilvl="6" w:tplc="C5748764">
      <w:numFmt w:val="decimal"/>
      <w:lvlText w:val=""/>
      <w:lvlJc w:val="left"/>
    </w:lvl>
    <w:lvl w:ilvl="7" w:tplc="A22E6806">
      <w:numFmt w:val="decimal"/>
      <w:lvlText w:val=""/>
      <w:lvlJc w:val="left"/>
    </w:lvl>
    <w:lvl w:ilvl="8" w:tplc="2460E9D0">
      <w:numFmt w:val="decimal"/>
      <w:lvlText w:val=""/>
      <w:lvlJc w:val="left"/>
    </w:lvl>
  </w:abstractNum>
  <w:abstractNum w:abstractNumId="807" w15:restartNumberingAfterBreak="0">
    <w:nsid w:val="54C1420C"/>
    <w:multiLevelType w:val="hybridMultilevel"/>
    <w:tmpl w:val="0B423F5E"/>
    <w:lvl w:ilvl="0" w:tplc="64CA0D46">
      <w:start w:val="1"/>
      <w:numFmt w:val="bullet"/>
      <w:lvlText w:val=""/>
      <w:lvlJc w:val="left"/>
      <w:pPr>
        <w:ind w:left="720" w:hanging="360"/>
      </w:pPr>
      <w:rPr>
        <w:rFonts w:ascii="Symbol" w:hAnsi="Symbol" w:hint="default"/>
      </w:rPr>
    </w:lvl>
    <w:lvl w:ilvl="1" w:tplc="745A1366">
      <w:numFmt w:val="decimal"/>
      <w:lvlText w:val=""/>
      <w:lvlJc w:val="left"/>
    </w:lvl>
    <w:lvl w:ilvl="2" w:tplc="85163C4C">
      <w:numFmt w:val="decimal"/>
      <w:lvlText w:val=""/>
      <w:lvlJc w:val="left"/>
    </w:lvl>
    <w:lvl w:ilvl="3" w:tplc="9804529A">
      <w:numFmt w:val="decimal"/>
      <w:lvlText w:val=""/>
      <w:lvlJc w:val="left"/>
    </w:lvl>
    <w:lvl w:ilvl="4" w:tplc="4348AEA6">
      <w:numFmt w:val="decimal"/>
      <w:lvlText w:val=""/>
      <w:lvlJc w:val="left"/>
    </w:lvl>
    <w:lvl w:ilvl="5" w:tplc="B820496C">
      <w:numFmt w:val="decimal"/>
      <w:lvlText w:val=""/>
      <w:lvlJc w:val="left"/>
    </w:lvl>
    <w:lvl w:ilvl="6" w:tplc="335A59A8">
      <w:numFmt w:val="decimal"/>
      <w:lvlText w:val=""/>
      <w:lvlJc w:val="left"/>
    </w:lvl>
    <w:lvl w:ilvl="7" w:tplc="D46E0BC8">
      <w:numFmt w:val="decimal"/>
      <w:lvlText w:val=""/>
      <w:lvlJc w:val="left"/>
    </w:lvl>
    <w:lvl w:ilvl="8" w:tplc="547698A6">
      <w:numFmt w:val="decimal"/>
      <w:lvlText w:val=""/>
      <w:lvlJc w:val="left"/>
    </w:lvl>
  </w:abstractNum>
  <w:abstractNum w:abstractNumId="808" w15:restartNumberingAfterBreak="0">
    <w:nsid w:val="54C72C4E"/>
    <w:multiLevelType w:val="hybridMultilevel"/>
    <w:tmpl w:val="B90203BC"/>
    <w:lvl w:ilvl="0" w:tplc="906261D6">
      <w:start w:val="1"/>
      <w:numFmt w:val="bullet"/>
      <w:lvlText w:val=""/>
      <w:lvlJc w:val="left"/>
      <w:pPr>
        <w:ind w:left="720" w:hanging="360"/>
      </w:pPr>
      <w:rPr>
        <w:rFonts w:ascii="Symbol" w:hAnsi="Symbol" w:hint="default"/>
      </w:rPr>
    </w:lvl>
    <w:lvl w:ilvl="1" w:tplc="B4280B00">
      <w:numFmt w:val="decimal"/>
      <w:lvlText w:val=""/>
      <w:lvlJc w:val="left"/>
    </w:lvl>
    <w:lvl w:ilvl="2" w:tplc="67EC2522">
      <w:numFmt w:val="decimal"/>
      <w:lvlText w:val=""/>
      <w:lvlJc w:val="left"/>
    </w:lvl>
    <w:lvl w:ilvl="3" w:tplc="CB18E5CC">
      <w:numFmt w:val="decimal"/>
      <w:lvlText w:val=""/>
      <w:lvlJc w:val="left"/>
    </w:lvl>
    <w:lvl w:ilvl="4" w:tplc="77D805BA">
      <w:numFmt w:val="decimal"/>
      <w:lvlText w:val=""/>
      <w:lvlJc w:val="left"/>
    </w:lvl>
    <w:lvl w:ilvl="5" w:tplc="F8D48E3A">
      <w:numFmt w:val="decimal"/>
      <w:lvlText w:val=""/>
      <w:lvlJc w:val="left"/>
    </w:lvl>
    <w:lvl w:ilvl="6" w:tplc="DD78CB6A">
      <w:numFmt w:val="decimal"/>
      <w:lvlText w:val=""/>
      <w:lvlJc w:val="left"/>
    </w:lvl>
    <w:lvl w:ilvl="7" w:tplc="320AF0A6">
      <w:numFmt w:val="decimal"/>
      <w:lvlText w:val=""/>
      <w:lvlJc w:val="left"/>
    </w:lvl>
    <w:lvl w:ilvl="8" w:tplc="ACEEDB42">
      <w:numFmt w:val="decimal"/>
      <w:lvlText w:val=""/>
      <w:lvlJc w:val="left"/>
    </w:lvl>
  </w:abstractNum>
  <w:abstractNum w:abstractNumId="809" w15:restartNumberingAfterBreak="0">
    <w:nsid w:val="54CE3AFB"/>
    <w:multiLevelType w:val="hybridMultilevel"/>
    <w:tmpl w:val="CA9C4B7C"/>
    <w:lvl w:ilvl="0" w:tplc="2EF2639E">
      <w:start w:val="1"/>
      <w:numFmt w:val="decimal"/>
      <w:lvlText w:val="%1."/>
      <w:lvlJc w:val="left"/>
      <w:pPr>
        <w:ind w:left="720" w:hanging="360"/>
      </w:pPr>
    </w:lvl>
    <w:lvl w:ilvl="1" w:tplc="0B889B2A">
      <w:numFmt w:val="decimal"/>
      <w:lvlText w:val=""/>
      <w:lvlJc w:val="left"/>
    </w:lvl>
    <w:lvl w:ilvl="2" w:tplc="463A9018">
      <w:numFmt w:val="decimal"/>
      <w:lvlText w:val=""/>
      <w:lvlJc w:val="left"/>
    </w:lvl>
    <w:lvl w:ilvl="3" w:tplc="84287F0E">
      <w:numFmt w:val="decimal"/>
      <w:lvlText w:val=""/>
      <w:lvlJc w:val="left"/>
    </w:lvl>
    <w:lvl w:ilvl="4" w:tplc="A4B2EB18">
      <w:numFmt w:val="decimal"/>
      <w:lvlText w:val=""/>
      <w:lvlJc w:val="left"/>
    </w:lvl>
    <w:lvl w:ilvl="5" w:tplc="7F3A7A46">
      <w:numFmt w:val="decimal"/>
      <w:lvlText w:val=""/>
      <w:lvlJc w:val="left"/>
    </w:lvl>
    <w:lvl w:ilvl="6" w:tplc="332A4428">
      <w:numFmt w:val="decimal"/>
      <w:lvlText w:val=""/>
      <w:lvlJc w:val="left"/>
    </w:lvl>
    <w:lvl w:ilvl="7" w:tplc="2A265988">
      <w:numFmt w:val="decimal"/>
      <w:lvlText w:val=""/>
      <w:lvlJc w:val="left"/>
    </w:lvl>
    <w:lvl w:ilvl="8" w:tplc="4A1457D8">
      <w:numFmt w:val="decimal"/>
      <w:lvlText w:val=""/>
      <w:lvlJc w:val="left"/>
    </w:lvl>
  </w:abstractNum>
  <w:abstractNum w:abstractNumId="810" w15:restartNumberingAfterBreak="0">
    <w:nsid w:val="54DF3435"/>
    <w:multiLevelType w:val="hybridMultilevel"/>
    <w:tmpl w:val="0608B45A"/>
    <w:lvl w:ilvl="0" w:tplc="5E882024">
      <w:start w:val="1"/>
      <w:numFmt w:val="bullet"/>
      <w:lvlText w:val=""/>
      <w:lvlJc w:val="left"/>
      <w:pPr>
        <w:ind w:left="720" w:hanging="360"/>
      </w:pPr>
      <w:rPr>
        <w:rFonts w:ascii="Symbol" w:hAnsi="Symbol" w:hint="default"/>
      </w:rPr>
    </w:lvl>
    <w:lvl w:ilvl="1" w:tplc="6CA6B6D4">
      <w:numFmt w:val="decimal"/>
      <w:lvlText w:val=""/>
      <w:lvlJc w:val="left"/>
    </w:lvl>
    <w:lvl w:ilvl="2" w:tplc="8A60242C">
      <w:numFmt w:val="decimal"/>
      <w:lvlText w:val=""/>
      <w:lvlJc w:val="left"/>
    </w:lvl>
    <w:lvl w:ilvl="3" w:tplc="FE42CF78">
      <w:numFmt w:val="decimal"/>
      <w:lvlText w:val=""/>
      <w:lvlJc w:val="left"/>
    </w:lvl>
    <w:lvl w:ilvl="4" w:tplc="EE3CF8BE">
      <w:numFmt w:val="decimal"/>
      <w:lvlText w:val=""/>
      <w:lvlJc w:val="left"/>
    </w:lvl>
    <w:lvl w:ilvl="5" w:tplc="5C14BF76">
      <w:numFmt w:val="decimal"/>
      <w:lvlText w:val=""/>
      <w:lvlJc w:val="left"/>
    </w:lvl>
    <w:lvl w:ilvl="6" w:tplc="9D147154">
      <w:numFmt w:val="decimal"/>
      <w:lvlText w:val=""/>
      <w:lvlJc w:val="left"/>
    </w:lvl>
    <w:lvl w:ilvl="7" w:tplc="07882EFA">
      <w:numFmt w:val="decimal"/>
      <w:lvlText w:val=""/>
      <w:lvlJc w:val="left"/>
    </w:lvl>
    <w:lvl w:ilvl="8" w:tplc="8BCC944A">
      <w:numFmt w:val="decimal"/>
      <w:lvlText w:val=""/>
      <w:lvlJc w:val="left"/>
    </w:lvl>
  </w:abstractNum>
  <w:abstractNum w:abstractNumId="811" w15:restartNumberingAfterBreak="0">
    <w:nsid w:val="55402D9F"/>
    <w:multiLevelType w:val="hybridMultilevel"/>
    <w:tmpl w:val="BF5E2E66"/>
    <w:lvl w:ilvl="0" w:tplc="44221B8C">
      <w:start w:val="1"/>
      <w:numFmt w:val="bullet"/>
      <w:lvlText w:val=""/>
      <w:lvlJc w:val="left"/>
      <w:pPr>
        <w:ind w:left="720" w:hanging="360"/>
      </w:pPr>
      <w:rPr>
        <w:rFonts w:ascii="Symbol" w:hAnsi="Symbol" w:hint="default"/>
      </w:rPr>
    </w:lvl>
    <w:lvl w:ilvl="1" w:tplc="51AE1666">
      <w:numFmt w:val="decimal"/>
      <w:lvlText w:val=""/>
      <w:lvlJc w:val="left"/>
    </w:lvl>
    <w:lvl w:ilvl="2" w:tplc="CCF67684">
      <w:numFmt w:val="decimal"/>
      <w:lvlText w:val=""/>
      <w:lvlJc w:val="left"/>
    </w:lvl>
    <w:lvl w:ilvl="3" w:tplc="39D40A68">
      <w:numFmt w:val="decimal"/>
      <w:lvlText w:val=""/>
      <w:lvlJc w:val="left"/>
    </w:lvl>
    <w:lvl w:ilvl="4" w:tplc="912A83FE">
      <w:numFmt w:val="decimal"/>
      <w:lvlText w:val=""/>
      <w:lvlJc w:val="left"/>
    </w:lvl>
    <w:lvl w:ilvl="5" w:tplc="1DF0FB62">
      <w:numFmt w:val="decimal"/>
      <w:lvlText w:val=""/>
      <w:lvlJc w:val="left"/>
    </w:lvl>
    <w:lvl w:ilvl="6" w:tplc="A9021D74">
      <w:numFmt w:val="decimal"/>
      <w:lvlText w:val=""/>
      <w:lvlJc w:val="left"/>
    </w:lvl>
    <w:lvl w:ilvl="7" w:tplc="74AECD82">
      <w:numFmt w:val="decimal"/>
      <w:lvlText w:val=""/>
      <w:lvlJc w:val="left"/>
    </w:lvl>
    <w:lvl w:ilvl="8" w:tplc="85EADB04">
      <w:numFmt w:val="decimal"/>
      <w:lvlText w:val=""/>
      <w:lvlJc w:val="left"/>
    </w:lvl>
  </w:abstractNum>
  <w:abstractNum w:abstractNumId="812" w15:restartNumberingAfterBreak="0">
    <w:nsid w:val="554929D9"/>
    <w:multiLevelType w:val="hybridMultilevel"/>
    <w:tmpl w:val="4C0E1600"/>
    <w:lvl w:ilvl="0" w:tplc="73BC5794">
      <w:start w:val="1"/>
      <w:numFmt w:val="bullet"/>
      <w:lvlText w:val=""/>
      <w:lvlJc w:val="left"/>
      <w:pPr>
        <w:ind w:left="720" w:hanging="360"/>
      </w:pPr>
      <w:rPr>
        <w:rFonts w:ascii="Symbol" w:hAnsi="Symbol" w:hint="default"/>
      </w:rPr>
    </w:lvl>
    <w:lvl w:ilvl="1" w:tplc="65D4D754">
      <w:numFmt w:val="decimal"/>
      <w:lvlText w:val=""/>
      <w:lvlJc w:val="left"/>
    </w:lvl>
    <w:lvl w:ilvl="2" w:tplc="5A920FDC">
      <w:numFmt w:val="decimal"/>
      <w:lvlText w:val=""/>
      <w:lvlJc w:val="left"/>
    </w:lvl>
    <w:lvl w:ilvl="3" w:tplc="B2726974">
      <w:numFmt w:val="decimal"/>
      <w:lvlText w:val=""/>
      <w:lvlJc w:val="left"/>
    </w:lvl>
    <w:lvl w:ilvl="4" w:tplc="EFE256AE">
      <w:numFmt w:val="decimal"/>
      <w:lvlText w:val=""/>
      <w:lvlJc w:val="left"/>
    </w:lvl>
    <w:lvl w:ilvl="5" w:tplc="B3B0E122">
      <w:numFmt w:val="decimal"/>
      <w:lvlText w:val=""/>
      <w:lvlJc w:val="left"/>
    </w:lvl>
    <w:lvl w:ilvl="6" w:tplc="78F844D6">
      <w:numFmt w:val="decimal"/>
      <w:lvlText w:val=""/>
      <w:lvlJc w:val="left"/>
    </w:lvl>
    <w:lvl w:ilvl="7" w:tplc="2CB0CB92">
      <w:numFmt w:val="decimal"/>
      <w:lvlText w:val=""/>
      <w:lvlJc w:val="left"/>
    </w:lvl>
    <w:lvl w:ilvl="8" w:tplc="37A2D340">
      <w:numFmt w:val="decimal"/>
      <w:lvlText w:val=""/>
      <w:lvlJc w:val="left"/>
    </w:lvl>
  </w:abstractNum>
  <w:abstractNum w:abstractNumId="813" w15:restartNumberingAfterBreak="0">
    <w:nsid w:val="55641A8E"/>
    <w:multiLevelType w:val="hybridMultilevel"/>
    <w:tmpl w:val="D90E9B78"/>
    <w:lvl w:ilvl="0" w:tplc="D66471FC">
      <w:start w:val="1"/>
      <w:numFmt w:val="bullet"/>
      <w:lvlText w:val=""/>
      <w:lvlJc w:val="left"/>
      <w:pPr>
        <w:ind w:left="720" w:hanging="360"/>
      </w:pPr>
      <w:rPr>
        <w:rFonts w:ascii="Symbol" w:hAnsi="Symbol" w:hint="default"/>
      </w:rPr>
    </w:lvl>
    <w:lvl w:ilvl="1" w:tplc="66FC4C00">
      <w:numFmt w:val="decimal"/>
      <w:lvlText w:val=""/>
      <w:lvlJc w:val="left"/>
    </w:lvl>
    <w:lvl w:ilvl="2" w:tplc="EB2EE854">
      <w:numFmt w:val="decimal"/>
      <w:lvlText w:val=""/>
      <w:lvlJc w:val="left"/>
    </w:lvl>
    <w:lvl w:ilvl="3" w:tplc="5C1883B6">
      <w:numFmt w:val="decimal"/>
      <w:lvlText w:val=""/>
      <w:lvlJc w:val="left"/>
    </w:lvl>
    <w:lvl w:ilvl="4" w:tplc="53D47846">
      <w:numFmt w:val="decimal"/>
      <w:lvlText w:val=""/>
      <w:lvlJc w:val="left"/>
    </w:lvl>
    <w:lvl w:ilvl="5" w:tplc="8A50AF3C">
      <w:numFmt w:val="decimal"/>
      <w:lvlText w:val=""/>
      <w:lvlJc w:val="left"/>
    </w:lvl>
    <w:lvl w:ilvl="6" w:tplc="2F7CF218">
      <w:numFmt w:val="decimal"/>
      <w:lvlText w:val=""/>
      <w:lvlJc w:val="left"/>
    </w:lvl>
    <w:lvl w:ilvl="7" w:tplc="49CC7DF6">
      <w:numFmt w:val="decimal"/>
      <w:lvlText w:val=""/>
      <w:lvlJc w:val="left"/>
    </w:lvl>
    <w:lvl w:ilvl="8" w:tplc="AA32B944">
      <w:numFmt w:val="decimal"/>
      <w:lvlText w:val=""/>
      <w:lvlJc w:val="left"/>
    </w:lvl>
  </w:abstractNum>
  <w:abstractNum w:abstractNumId="814" w15:restartNumberingAfterBreak="0">
    <w:nsid w:val="5594620C"/>
    <w:multiLevelType w:val="hybridMultilevel"/>
    <w:tmpl w:val="87AEC15C"/>
    <w:lvl w:ilvl="0" w:tplc="69E26D5E">
      <w:start w:val="1"/>
      <w:numFmt w:val="bullet"/>
      <w:lvlText w:val=""/>
      <w:lvlJc w:val="left"/>
      <w:pPr>
        <w:ind w:left="720" w:hanging="360"/>
      </w:pPr>
      <w:rPr>
        <w:rFonts w:ascii="Symbol" w:hAnsi="Symbol" w:hint="default"/>
      </w:rPr>
    </w:lvl>
    <w:lvl w:ilvl="1" w:tplc="0C487084">
      <w:numFmt w:val="decimal"/>
      <w:lvlText w:val=""/>
      <w:lvlJc w:val="left"/>
    </w:lvl>
    <w:lvl w:ilvl="2" w:tplc="E47ACFAC">
      <w:numFmt w:val="decimal"/>
      <w:lvlText w:val=""/>
      <w:lvlJc w:val="left"/>
    </w:lvl>
    <w:lvl w:ilvl="3" w:tplc="739E17E2">
      <w:numFmt w:val="decimal"/>
      <w:lvlText w:val=""/>
      <w:lvlJc w:val="left"/>
    </w:lvl>
    <w:lvl w:ilvl="4" w:tplc="7D64FBF2">
      <w:numFmt w:val="decimal"/>
      <w:lvlText w:val=""/>
      <w:lvlJc w:val="left"/>
    </w:lvl>
    <w:lvl w:ilvl="5" w:tplc="31E22B10">
      <w:numFmt w:val="decimal"/>
      <w:lvlText w:val=""/>
      <w:lvlJc w:val="left"/>
    </w:lvl>
    <w:lvl w:ilvl="6" w:tplc="73A865B6">
      <w:numFmt w:val="decimal"/>
      <w:lvlText w:val=""/>
      <w:lvlJc w:val="left"/>
    </w:lvl>
    <w:lvl w:ilvl="7" w:tplc="79705074">
      <w:numFmt w:val="decimal"/>
      <w:lvlText w:val=""/>
      <w:lvlJc w:val="left"/>
    </w:lvl>
    <w:lvl w:ilvl="8" w:tplc="FC1669DC">
      <w:numFmt w:val="decimal"/>
      <w:lvlText w:val=""/>
      <w:lvlJc w:val="left"/>
    </w:lvl>
  </w:abstractNum>
  <w:abstractNum w:abstractNumId="815" w15:restartNumberingAfterBreak="0">
    <w:nsid w:val="55B55AD5"/>
    <w:multiLevelType w:val="hybridMultilevel"/>
    <w:tmpl w:val="F04A1190"/>
    <w:lvl w:ilvl="0" w:tplc="359E799E">
      <w:start w:val="1"/>
      <w:numFmt w:val="bullet"/>
      <w:lvlText w:val=""/>
      <w:lvlJc w:val="left"/>
      <w:pPr>
        <w:ind w:left="720" w:hanging="360"/>
      </w:pPr>
      <w:rPr>
        <w:rFonts w:ascii="Symbol" w:hAnsi="Symbol" w:hint="default"/>
      </w:rPr>
    </w:lvl>
    <w:lvl w:ilvl="1" w:tplc="3E04B44E">
      <w:numFmt w:val="decimal"/>
      <w:lvlText w:val=""/>
      <w:lvlJc w:val="left"/>
    </w:lvl>
    <w:lvl w:ilvl="2" w:tplc="C8E0D114">
      <w:numFmt w:val="decimal"/>
      <w:lvlText w:val=""/>
      <w:lvlJc w:val="left"/>
    </w:lvl>
    <w:lvl w:ilvl="3" w:tplc="8E749D3C">
      <w:numFmt w:val="decimal"/>
      <w:lvlText w:val=""/>
      <w:lvlJc w:val="left"/>
    </w:lvl>
    <w:lvl w:ilvl="4" w:tplc="9A8C7C62">
      <w:numFmt w:val="decimal"/>
      <w:lvlText w:val=""/>
      <w:lvlJc w:val="left"/>
    </w:lvl>
    <w:lvl w:ilvl="5" w:tplc="45BCA1D0">
      <w:numFmt w:val="decimal"/>
      <w:lvlText w:val=""/>
      <w:lvlJc w:val="left"/>
    </w:lvl>
    <w:lvl w:ilvl="6" w:tplc="52BC8B6A">
      <w:numFmt w:val="decimal"/>
      <w:lvlText w:val=""/>
      <w:lvlJc w:val="left"/>
    </w:lvl>
    <w:lvl w:ilvl="7" w:tplc="D9CE6BDE">
      <w:numFmt w:val="decimal"/>
      <w:lvlText w:val=""/>
      <w:lvlJc w:val="left"/>
    </w:lvl>
    <w:lvl w:ilvl="8" w:tplc="865E69F2">
      <w:numFmt w:val="decimal"/>
      <w:lvlText w:val=""/>
      <w:lvlJc w:val="left"/>
    </w:lvl>
  </w:abstractNum>
  <w:abstractNum w:abstractNumId="816" w15:restartNumberingAfterBreak="0">
    <w:nsid w:val="55CE7FD3"/>
    <w:multiLevelType w:val="hybridMultilevel"/>
    <w:tmpl w:val="0F629576"/>
    <w:lvl w:ilvl="0" w:tplc="4C62B86A">
      <w:start w:val="1"/>
      <w:numFmt w:val="bullet"/>
      <w:lvlText w:val=""/>
      <w:lvlJc w:val="left"/>
      <w:pPr>
        <w:ind w:left="720" w:hanging="360"/>
      </w:pPr>
      <w:rPr>
        <w:rFonts w:ascii="Symbol" w:hAnsi="Symbol" w:hint="default"/>
      </w:rPr>
    </w:lvl>
    <w:lvl w:ilvl="1" w:tplc="590A3A2E">
      <w:numFmt w:val="decimal"/>
      <w:lvlText w:val=""/>
      <w:lvlJc w:val="left"/>
    </w:lvl>
    <w:lvl w:ilvl="2" w:tplc="43265CE2">
      <w:numFmt w:val="decimal"/>
      <w:lvlText w:val=""/>
      <w:lvlJc w:val="left"/>
    </w:lvl>
    <w:lvl w:ilvl="3" w:tplc="DBB6510C">
      <w:numFmt w:val="decimal"/>
      <w:lvlText w:val=""/>
      <w:lvlJc w:val="left"/>
    </w:lvl>
    <w:lvl w:ilvl="4" w:tplc="C29A3AB2">
      <w:numFmt w:val="decimal"/>
      <w:lvlText w:val=""/>
      <w:lvlJc w:val="left"/>
    </w:lvl>
    <w:lvl w:ilvl="5" w:tplc="4D1C9F62">
      <w:numFmt w:val="decimal"/>
      <w:lvlText w:val=""/>
      <w:lvlJc w:val="left"/>
    </w:lvl>
    <w:lvl w:ilvl="6" w:tplc="DB609612">
      <w:numFmt w:val="decimal"/>
      <w:lvlText w:val=""/>
      <w:lvlJc w:val="left"/>
    </w:lvl>
    <w:lvl w:ilvl="7" w:tplc="B98837B0">
      <w:numFmt w:val="decimal"/>
      <w:lvlText w:val=""/>
      <w:lvlJc w:val="left"/>
    </w:lvl>
    <w:lvl w:ilvl="8" w:tplc="D56C27BE">
      <w:numFmt w:val="decimal"/>
      <w:lvlText w:val=""/>
      <w:lvlJc w:val="left"/>
    </w:lvl>
  </w:abstractNum>
  <w:abstractNum w:abstractNumId="817" w15:restartNumberingAfterBreak="0">
    <w:nsid w:val="55DF20CF"/>
    <w:multiLevelType w:val="hybridMultilevel"/>
    <w:tmpl w:val="BDE8ED9C"/>
    <w:lvl w:ilvl="0" w:tplc="3F38A9E4">
      <w:start w:val="1"/>
      <w:numFmt w:val="bullet"/>
      <w:lvlText w:val=""/>
      <w:lvlJc w:val="left"/>
      <w:pPr>
        <w:ind w:left="720" w:hanging="360"/>
      </w:pPr>
      <w:rPr>
        <w:rFonts w:ascii="Symbol" w:hAnsi="Symbol" w:hint="default"/>
      </w:rPr>
    </w:lvl>
    <w:lvl w:ilvl="1" w:tplc="41B08A9A">
      <w:numFmt w:val="decimal"/>
      <w:lvlText w:val=""/>
      <w:lvlJc w:val="left"/>
    </w:lvl>
    <w:lvl w:ilvl="2" w:tplc="CDF275D0">
      <w:numFmt w:val="decimal"/>
      <w:lvlText w:val=""/>
      <w:lvlJc w:val="left"/>
    </w:lvl>
    <w:lvl w:ilvl="3" w:tplc="36E8ED14">
      <w:numFmt w:val="decimal"/>
      <w:lvlText w:val=""/>
      <w:lvlJc w:val="left"/>
    </w:lvl>
    <w:lvl w:ilvl="4" w:tplc="E20A44C6">
      <w:numFmt w:val="decimal"/>
      <w:lvlText w:val=""/>
      <w:lvlJc w:val="left"/>
    </w:lvl>
    <w:lvl w:ilvl="5" w:tplc="C368EC42">
      <w:numFmt w:val="decimal"/>
      <w:lvlText w:val=""/>
      <w:lvlJc w:val="left"/>
    </w:lvl>
    <w:lvl w:ilvl="6" w:tplc="400EA6A6">
      <w:numFmt w:val="decimal"/>
      <w:lvlText w:val=""/>
      <w:lvlJc w:val="left"/>
    </w:lvl>
    <w:lvl w:ilvl="7" w:tplc="9AC891F6">
      <w:numFmt w:val="decimal"/>
      <w:lvlText w:val=""/>
      <w:lvlJc w:val="left"/>
    </w:lvl>
    <w:lvl w:ilvl="8" w:tplc="0E40F1FE">
      <w:numFmt w:val="decimal"/>
      <w:lvlText w:val=""/>
      <w:lvlJc w:val="left"/>
    </w:lvl>
  </w:abstractNum>
  <w:abstractNum w:abstractNumId="818" w15:restartNumberingAfterBreak="0">
    <w:nsid w:val="55E33CA6"/>
    <w:multiLevelType w:val="hybridMultilevel"/>
    <w:tmpl w:val="D59EB17E"/>
    <w:lvl w:ilvl="0" w:tplc="DA0CBA16">
      <w:start w:val="1"/>
      <w:numFmt w:val="bullet"/>
      <w:lvlText w:val=""/>
      <w:lvlJc w:val="left"/>
      <w:pPr>
        <w:ind w:left="720" w:hanging="360"/>
      </w:pPr>
      <w:rPr>
        <w:rFonts w:ascii="Symbol" w:hAnsi="Symbol" w:hint="default"/>
      </w:rPr>
    </w:lvl>
    <w:lvl w:ilvl="1" w:tplc="6AB640A8">
      <w:numFmt w:val="decimal"/>
      <w:lvlText w:val=""/>
      <w:lvlJc w:val="left"/>
    </w:lvl>
    <w:lvl w:ilvl="2" w:tplc="CA1E6376">
      <w:numFmt w:val="decimal"/>
      <w:lvlText w:val=""/>
      <w:lvlJc w:val="left"/>
    </w:lvl>
    <w:lvl w:ilvl="3" w:tplc="FCA85D52">
      <w:numFmt w:val="decimal"/>
      <w:lvlText w:val=""/>
      <w:lvlJc w:val="left"/>
    </w:lvl>
    <w:lvl w:ilvl="4" w:tplc="74986006">
      <w:numFmt w:val="decimal"/>
      <w:lvlText w:val=""/>
      <w:lvlJc w:val="left"/>
    </w:lvl>
    <w:lvl w:ilvl="5" w:tplc="21729A16">
      <w:numFmt w:val="decimal"/>
      <w:lvlText w:val=""/>
      <w:lvlJc w:val="left"/>
    </w:lvl>
    <w:lvl w:ilvl="6" w:tplc="E4B6DD2A">
      <w:numFmt w:val="decimal"/>
      <w:lvlText w:val=""/>
      <w:lvlJc w:val="left"/>
    </w:lvl>
    <w:lvl w:ilvl="7" w:tplc="27EE2E3C">
      <w:numFmt w:val="decimal"/>
      <w:lvlText w:val=""/>
      <w:lvlJc w:val="left"/>
    </w:lvl>
    <w:lvl w:ilvl="8" w:tplc="3D4E4A74">
      <w:numFmt w:val="decimal"/>
      <w:lvlText w:val=""/>
      <w:lvlJc w:val="left"/>
    </w:lvl>
  </w:abstractNum>
  <w:abstractNum w:abstractNumId="819" w15:restartNumberingAfterBreak="0">
    <w:nsid w:val="55E91F23"/>
    <w:multiLevelType w:val="hybridMultilevel"/>
    <w:tmpl w:val="802800CA"/>
    <w:lvl w:ilvl="0" w:tplc="C0AC3D64">
      <w:start w:val="1"/>
      <w:numFmt w:val="bullet"/>
      <w:lvlText w:val=""/>
      <w:lvlJc w:val="left"/>
      <w:pPr>
        <w:ind w:left="720" w:hanging="360"/>
      </w:pPr>
      <w:rPr>
        <w:rFonts w:ascii="Symbol" w:hAnsi="Symbol" w:hint="default"/>
      </w:rPr>
    </w:lvl>
    <w:lvl w:ilvl="1" w:tplc="AC0A6AF4">
      <w:numFmt w:val="decimal"/>
      <w:lvlText w:val=""/>
      <w:lvlJc w:val="left"/>
    </w:lvl>
    <w:lvl w:ilvl="2" w:tplc="95EAA668">
      <w:numFmt w:val="decimal"/>
      <w:lvlText w:val=""/>
      <w:lvlJc w:val="left"/>
    </w:lvl>
    <w:lvl w:ilvl="3" w:tplc="6CB6E17A">
      <w:numFmt w:val="decimal"/>
      <w:lvlText w:val=""/>
      <w:lvlJc w:val="left"/>
    </w:lvl>
    <w:lvl w:ilvl="4" w:tplc="BC7A3240">
      <w:numFmt w:val="decimal"/>
      <w:lvlText w:val=""/>
      <w:lvlJc w:val="left"/>
    </w:lvl>
    <w:lvl w:ilvl="5" w:tplc="0F32685E">
      <w:numFmt w:val="decimal"/>
      <w:lvlText w:val=""/>
      <w:lvlJc w:val="left"/>
    </w:lvl>
    <w:lvl w:ilvl="6" w:tplc="76E0D946">
      <w:numFmt w:val="decimal"/>
      <w:lvlText w:val=""/>
      <w:lvlJc w:val="left"/>
    </w:lvl>
    <w:lvl w:ilvl="7" w:tplc="DD824EE4">
      <w:numFmt w:val="decimal"/>
      <w:lvlText w:val=""/>
      <w:lvlJc w:val="left"/>
    </w:lvl>
    <w:lvl w:ilvl="8" w:tplc="D842ED5E">
      <w:numFmt w:val="decimal"/>
      <w:lvlText w:val=""/>
      <w:lvlJc w:val="left"/>
    </w:lvl>
  </w:abstractNum>
  <w:abstractNum w:abstractNumId="820" w15:restartNumberingAfterBreak="0">
    <w:nsid w:val="55F13723"/>
    <w:multiLevelType w:val="hybridMultilevel"/>
    <w:tmpl w:val="CCE641D6"/>
    <w:lvl w:ilvl="0" w:tplc="2DFED77A">
      <w:start w:val="1"/>
      <w:numFmt w:val="bullet"/>
      <w:lvlText w:val=""/>
      <w:lvlJc w:val="left"/>
      <w:pPr>
        <w:ind w:left="720" w:hanging="360"/>
      </w:pPr>
      <w:rPr>
        <w:rFonts w:ascii="Symbol" w:hAnsi="Symbol" w:hint="default"/>
      </w:rPr>
    </w:lvl>
    <w:lvl w:ilvl="1" w:tplc="F7E6E48E">
      <w:numFmt w:val="decimal"/>
      <w:lvlText w:val=""/>
      <w:lvlJc w:val="left"/>
    </w:lvl>
    <w:lvl w:ilvl="2" w:tplc="C3FAF5A4">
      <w:numFmt w:val="decimal"/>
      <w:lvlText w:val=""/>
      <w:lvlJc w:val="left"/>
    </w:lvl>
    <w:lvl w:ilvl="3" w:tplc="150E0B30">
      <w:numFmt w:val="decimal"/>
      <w:lvlText w:val=""/>
      <w:lvlJc w:val="left"/>
    </w:lvl>
    <w:lvl w:ilvl="4" w:tplc="727A2622">
      <w:numFmt w:val="decimal"/>
      <w:lvlText w:val=""/>
      <w:lvlJc w:val="left"/>
    </w:lvl>
    <w:lvl w:ilvl="5" w:tplc="6B609A88">
      <w:numFmt w:val="decimal"/>
      <w:lvlText w:val=""/>
      <w:lvlJc w:val="left"/>
    </w:lvl>
    <w:lvl w:ilvl="6" w:tplc="BFA6DE7A">
      <w:numFmt w:val="decimal"/>
      <w:lvlText w:val=""/>
      <w:lvlJc w:val="left"/>
    </w:lvl>
    <w:lvl w:ilvl="7" w:tplc="AFC81080">
      <w:numFmt w:val="decimal"/>
      <w:lvlText w:val=""/>
      <w:lvlJc w:val="left"/>
    </w:lvl>
    <w:lvl w:ilvl="8" w:tplc="7A907AF0">
      <w:numFmt w:val="decimal"/>
      <w:lvlText w:val=""/>
      <w:lvlJc w:val="left"/>
    </w:lvl>
  </w:abstractNum>
  <w:abstractNum w:abstractNumId="821" w15:restartNumberingAfterBreak="0">
    <w:nsid w:val="56012C0E"/>
    <w:multiLevelType w:val="hybridMultilevel"/>
    <w:tmpl w:val="A2169BFC"/>
    <w:lvl w:ilvl="0" w:tplc="8D00BC9E">
      <w:start w:val="1"/>
      <w:numFmt w:val="bullet"/>
      <w:lvlText w:val=""/>
      <w:lvlJc w:val="left"/>
      <w:pPr>
        <w:ind w:left="720" w:hanging="360"/>
      </w:pPr>
      <w:rPr>
        <w:rFonts w:ascii="Symbol" w:hAnsi="Symbol" w:hint="default"/>
      </w:rPr>
    </w:lvl>
    <w:lvl w:ilvl="1" w:tplc="99D4CB36">
      <w:numFmt w:val="decimal"/>
      <w:lvlText w:val=""/>
      <w:lvlJc w:val="left"/>
    </w:lvl>
    <w:lvl w:ilvl="2" w:tplc="7ECE3A48">
      <w:numFmt w:val="decimal"/>
      <w:lvlText w:val=""/>
      <w:lvlJc w:val="left"/>
    </w:lvl>
    <w:lvl w:ilvl="3" w:tplc="394220AC">
      <w:numFmt w:val="decimal"/>
      <w:lvlText w:val=""/>
      <w:lvlJc w:val="left"/>
    </w:lvl>
    <w:lvl w:ilvl="4" w:tplc="F1A27F4A">
      <w:numFmt w:val="decimal"/>
      <w:lvlText w:val=""/>
      <w:lvlJc w:val="left"/>
    </w:lvl>
    <w:lvl w:ilvl="5" w:tplc="BFA22A8E">
      <w:numFmt w:val="decimal"/>
      <w:lvlText w:val=""/>
      <w:lvlJc w:val="left"/>
    </w:lvl>
    <w:lvl w:ilvl="6" w:tplc="DF52CF5E">
      <w:numFmt w:val="decimal"/>
      <w:lvlText w:val=""/>
      <w:lvlJc w:val="left"/>
    </w:lvl>
    <w:lvl w:ilvl="7" w:tplc="D2AA60E6">
      <w:numFmt w:val="decimal"/>
      <w:lvlText w:val=""/>
      <w:lvlJc w:val="left"/>
    </w:lvl>
    <w:lvl w:ilvl="8" w:tplc="F4AC01E0">
      <w:numFmt w:val="decimal"/>
      <w:lvlText w:val=""/>
      <w:lvlJc w:val="left"/>
    </w:lvl>
  </w:abstractNum>
  <w:abstractNum w:abstractNumId="822" w15:restartNumberingAfterBreak="0">
    <w:nsid w:val="56140AC1"/>
    <w:multiLevelType w:val="hybridMultilevel"/>
    <w:tmpl w:val="5EF69B70"/>
    <w:lvl w:ilvl="0" w:tplc="A2229A4E">
      <w:start w:val="1"/>
      <w:numFmt w:val="bullet"/>
      <w:lvlText w:val=""/>
      <w:lvlJc w:val="left"/>
      <w:pPr>
        <w:ind w:left="720" w:hanging="360"/>
      </w:pPr>
      <w:rPr>
        <w:rFonts w:ascii="Symbol" w:hAnsi="Symbol" w:hint="default"/>
      </w:rPr>
    </w:lvl>
    <w:lvl w:ilvl="1" w:tplc="51BE3EFA">
      <w:numFmt w:val="decimal"/>
      <w:lvlText w:val=""/>
      <w:lvlJc w:val="left"/>
    </w:lvl>
    <w:lvl w:ilvl="2" w:tplc="537E628C">
      <w:numFmt w:val="decimal"/>
      <w:lvlText w:val=""/>
      <w:lvlJc w:val="left"/>
    </w:lvl>
    <w:lvl w:ilvl="3" w:tplc="1882B406">
      <w:numFmt w:val="decimal"/>
      <w:lvlText w:val=""/>
      <w:lvlJc w:val="left"/>
    </w:lvl>
    <w:lvl w:ilvl="4" w:tplc="E626024C">
      <w:numFmt w:val="decimal"/>
      <w:lvlText w:val=""/>
      <w:lvlJc w:val="left"/>
    </w:lvl>
    <w:lvl w:ilvl="5" w:tplc="7FF43514">
      <w:numFmt w:val="decimal"/>
      <w:lvlText w:val=""/>
      <w:lvlJc w:val="left"/>
    </w:lvl>
    <w:lvl w:ilvl="6" w:tplc="A4E6B1E2">
      <w:numFmt w:val="decimal"/>
      <w:lvlText w:val=""/>
      <w:lvlJc w:val="left"/>
    </w:lvl>
    <w:lvl w:ilvl="7" w:tplc="E278C13C">
      <w:numFmt w:val="decimal"/>
      <w:lvlText w:val=""/>
      <w:lvlJc w:val="left"/>
    </w:lvl>
    <w:lvl w:ilvl="8" w:tplc="9F8C2D10">
      <w:numFmt w:val="decimal"/>
      <w:lvlText w:val=""/>
      <w:lvlJc w:val="left"/>
    </w:lvl>
  </w:abstractNum>
  <w:abstractNum w:abstractNumId="823" w15:restartNumberingAfterBreak="0">
    <w:nsid w:val="56247429"/>
    <w:multiLevelType w:val="hybridMultilevel"/>
    <w:tmpl w:val="27F8D6B2"/>
    <w:lvl w:ilvl="0" w:tplc="26FCF3BC">
      <w:start w:val="1"/>
      <w:numFmt w:val="bullet"/>
      <w:lvlText w:val=""/>
      <w:lvlJc w:val="left"/>
      <w:pPr>
        <w:ind w:left="720" w:hanging="360"/>
      </w:pPr>
      <w:rPr>
        <w:rFonts w:ascii="Symbol" w:hAnsi="Symbol" w:hint="default"/>
      </w:rPr>
    </w:lvl>
    <w:lvl w:ilvl="1" w:tplc="27C2984E">
      <w:numFmt w:val="decimal"/>
      <w:lvlText w:val=""/>
      <w:lvlJc w:val="left"/>
    </w:lvl>
    <w:lvl w:ilvl="2" w:tplc="5160312A">
      <w:numFmt w:val="decimal"/>
      <w:lvlText w:val=""/>
      <w:lvlJc w:val="left"/>
    </w:lvl>
    <w:lvl w:ilvl="3" w:tplc="89F4C2FC">
      <w:numFmt w:val="decimal"/>
      <w:lvlText w:val=""/>
      <w:lvlJc w:val="left"/>
    </w:lvl>
    <w:lvl w:ilvl="4" w:tplc="B5120032">
      <w:numFmt w:val="decimal"/>
      <w:lvlText w:val=""/>
      <w:lvlJc w:val="left"/>
    </w:lvl>
    <w:lvl w:ilvl="5" w:tplc="CBBC70A0">
      <w:numFmt w:val="decimal"/>
      <w:lvlText w:val=""/>
      <w:lvlJc w:val="left"/>
    </w:lvl>
    <w:lvl w:ilvl="6" w:tplc="1ECCF652">
      <w:numFmt w:val="decimal"/>
      <w:lvlText w:val=""/>
      <w:lvlJc w:val="left"/>
    </w:lvl>
    <w:lvl w:ilvl="7" w:tplc="46EE6696">
      <w:numFmt w:val="decimal"/>
      <w:lvlText w:val=""/>
      <w:lvlJc w:val="left"/>
    </w:lvl>
    <w:lvl w:ilvl="8" w:tplc="F398B63C">
      <w:numFmt w:val="decimal"/>
      <w:lvlText w:val=""/>
      <w:lvlJc w:val="left"/>
    </w:lvl>
  </w:abstractNum>
  <w:abstractNum w:abstractNumId="824" w15:restartNumberingAfterBreak="0">
    <w:nsid w:val="563C73AA"/>
    <w:multiLevelType w:val="hybridMultilevel"/>
    <w:tmpl w:val="488C8D84"/>
    <w:lvl w:ilvl="0" w:tplc="8CBEF7A6">
      <w:start w:val="1"/>
      <w:numFmt w:val="bullet"/>
      <w:lvlText w:val=""/>
      <w:lvlJc w:val="left"/>
      <w:pPr>
        <w:ind w:left="720" w:hanging="360"/>
      </w:pPr>
      <w:rPr>
        <w:rFonts w:ascii="Symbol" w:hAnsi="Symbol" w:hint="default"/>
      </w:rPr>
    </w:lvl>
    <w:lvl w:ilvl="1" w:tplc="4A9C9280">
      <w:numFmt w:val="decimal"/>
      <w:lvlText w:val=""/>
      <w:lvlJc w:val="left"/>
    </w:lvl>
    <w:lvl w:ilvl="2" w:tplc="AD5418A0">
      <w:numFmt w:val="decimal"/>
      <w:lvlText w:val=""/>
      <w:lvlJc w:val="left"/>
    </w:lvl>
    <w:lvl w:ilvl="3" w:tplc="18E21092">
      <w:numFmt w:val="decimal"/>
      <w:lvlText w:val=""/>
      <w:lvlJc w:val="left"/>
    </w:lvl>
    <w:lvl w:ilvl="4" w:tplc="301AA186">
      <w:numFmt w:val="decimal"/>
      <w:lvlText w:val=""/>
      <w:lvlJc w:val="left"/>
    </w:lvl>
    <w:lvl w:ilvl="5" w:tplc="21C85AD0">
      <w:numFmt w:val="decimal"/>
      <w:lvlText w:val=""/>
      <w:lvlJc w:val="left"/>
    </w:lvl>
    <w:lvl w:ilvl="6" w:tplc="5D8EA8F0">
      <w:numFmt w:val="decimal"/>
      <w:lvlText w:val=""/>
      <w:lvlJc w:val="left"/>
    </w:lvl>
    <w:lvl w:ilvl="7" w:tplc="AD4269C0">
      <w:numFmt w:val="decimal"/>
      <w:lvlText w:val=""/>
      <w:lvlJc w:val="left"/>
    </w:lvl>
    <w:lvl w:ilvl="8" w:tplc="6884F686">
      <w:numFmt w:val="decimal"/>
      <w:lvlText w:val=""/>
      <w:lvlJc w:val="left"/>
    </w:lvl>
  </w:abstractNum>
  <w:abstractNum w:abstractNumId="825" w15:restartNumberingAfterBreak="0">
    <w:nsid w:val="56704216"/>
    <w:multiLevelType w:val="hybridMultilevel"/>
    <w:tmpl w:val="07FE1084"/>
    <w:lvl w:ilvl="0" w:tplc="E9C6D35E">
      <w:start w:val="1"/>
      <w:numFmt w:val="bullet"/>
      <w:lvlText w:val=""/>
      <w:lvlJc w:val="left"/>
      <w:pPr>
        <w:ind w:left="720" w:hanging="360"/>
      </w:pPr>
      <w:rPr>
        <w:rFonts w:ascii="Symbol" w:hAnsi="Symbol" w:hint="default"/>
      </w:rPr>
    </w:lvl>
    <w:lvl w:ilvl="1" w:tplc="4E7A29A0">
      <w:numFmt w:val="decimal"/>
      <w:lvlText w:val=""/>
      <w:lvlJc w:val="left"/>
    </w:lvl>
    <w:lvl w:ilvl="2" w:tplc="61DA4932">
      <w:numFmt w:val="decimal"/>
      <w:lvlText w:val=""/>
      <w:lvlJc w:val="left"/>
    </w:lvl>
    <w:lvl w:ilvl="3" w:tplc="663224FC">
      <w:numFmt w:val="decimal"/>
      <w:lvlText w:val=""/>
      <w:lvlJc w:val="left"/>
    </w:lvl>
    <w:lvl w:ilvl="4" w:tplc="2FA2E03A">
      <w:numFmt w:val="decimal"/>
      <w:lvlText w:val=""/>
      <w:lvlJc w:val="left"/>
    </w:lvl>
    <w:lvl w:ilvl="5" w:tplc="CBAE8748">
      <w:numFmt w:val="decimal"/>
      <w:lvlText w:val=""/>
      <w:lvlJc w:val="left"/>
    </w:lvl>
    <w:lvl w:ilvl="6" w:tplc="5054FDD8">
      <w:numFmt w:val="decimal"/>
      <w:lvlText w:val=""/>
      <w:lvlJc w:val="left"/>
    </w:lvl>
    <w:lvl w:ilvl="7" w:tplc="DAD6BB90">
      <w:numFmt w:val="decimal"/>
      <w:lvlText w:val=""/>
      <w:lvlJc w:val="left"/>
    </w:lvl>
    <w:lvl w:ilvl="8" w:tplc="F8EC277E">
      <w:numFmt w:val="decimal"/>
      <w:lvlText w:val=""/>
      <w:lvlJc w:val="left"/>
    </w:lvl>
  </w:abstractNum>
  <w:abstractNum w:abstractNumId="826" w15:restartNumberingAfterBreak="0">
    <w:nsid w:val="567B7A4F"/>
    <w:multiLevelType w:val="hybridMultilevel"/>
    <w:tmpl w:val="0FACAFE2"/>
    <w:lvl w:ilvl="0" w:tplc="15E8CFA0">
      <w:start w:val="1"/>
      <w:numFmt w:val="bullet"/>
      <w:lvlText w:val=""/>
      <w:lvlJc w:val="left"/>
      <w:pPr>
        <w:ind w:left="720" w:hanging="360"/>
      </w:pPr>
      <w:rPr>
        <w:rFonts w:ascii="Symbol" w:hAnsi="Symbol" w:hint="default"/>
      </w:rPr>
    </w:lvl>
    <w:lvl w:ilvl="1" w:tplc="BFF8136E">
      <w:numFmt w:val="decimal"/>
      <w:lvlText w:val=""/>
      <w:lvlJc w:val="left"/>
    </w:lvl>
    <w:lvl w:ilvl="2" w:tplc="B72C9302">
      <w:numFmt w:val="decimal"/>
      <w:lvlText w:val=""/>
      <w:lvlJc w:val="left"/>
    </w:lvl>
    <w:lvl w:ilvl="3" w:tplc="170228EA">
      <w:numFmt w:val="decimal"/>
      <w:lvlText w:val=""/>
      <w:lvlJc w:val="left"/>
    </w:lvl>
    <w:lvl w:ilvl="4" w:tplc="11B0C8B8">
      <w:numFmt w:val="decimal"/>
      <w:lvlText w:val=""/>
      <w:lvlJc w:val="left"/>
    </w:lvl>
    <w:lvl w:ilvl="5" w:tplc="F1AA9682">
      <w:numFmt w:val="decimal"/>
      <w:lvlText w:val=""/>
      <w:lvlJc w:val="left"/>
    </w:lvl>
    <w:lvl w:ilvl="6" w:tplc="79EA937C">
      <w:numFmt w:val="decimal"/>
      <w:lvlText w:val=""/>
      <w:lvlJc w:val="left"/>
    </w:lvl>
    <w:lvl w:ilvl="7" w:tplc="843A437C">
      <w:numFmt w:val="decimal"/>
      <w:lvlText w:val=""/>
      <w:lvlJc w:val="left"/>
    </w:lvl>
    <w:lvl w:ilvl="8" w:tplc="7EEEEC76">
      <w:numFmt w:val="decimal"/>
      <w:lvlText w:val=""/>
      <w:lvlJc w:val="left"/>
    </w:lvl>
  </w:abstractNum>
  <w:abstractNum w:abstractNumId="827" w15:restartNumberingAfterBreak="0">
    <w:nsid w:val="56AE1A02"/>
    <w:multiLevelType w:val="hybridMultilevel"/>
    <w:tmpl w:val="CD98E166"/>
    <w:lvl w:ilvl="0" w:tplc="B5DEB906">
      <w:start w:val="1"/>
      <w:numFmt w:val="bullet"/>
      <w:lvlText w:val=""/>
      <w:lvlJc w:val="left"/>
      <w:pPr>
        <w:ind w:left="720" w:hanging="360"/>
      </w:pPr>
      <w:rPr>
        <w:rFonts w:ascii="Symbol" w:hAnsi="Symbol" w:hint="default"/>
      </w:rPr>
    </w:lvl>
    <w:lvl w:ilvl="1" w:tplc="BBD09448">
      <w:numFmt w:val="decimal"/>
      <w:lvlText w:val=""/>
      <w:lvlJc w:val="left"/>
    </w:lvl>
    <w:lvl w:ilvl="2" w:tplc="1464C890">
      <w:numFmt w:val="decimal"/>
      <w:lvlText w:val=""/>
      <w:lvlJc w:val="left"/>
    </w:lvl>
    <w:lvl w:ilvl="3" w:tplc="EDA2DEFE">
      <w:numFmt w:val="decimal"/>
      <w:lvlText w:val=""/>
      <w:lvlJc w:val="left"/>
    </w:lvl>
    <w:lvl w:ilvl="4" w:tplc="6E88BBEA">
      <w:numFmt w:val="decimal"/>
      <w:lvlText w:val=""/>
      <w:lvlJc w:val="left"/>
    </w:lvl>
    <w:lvl w:ilvl="5" w:tplc="9504557C">
      <w:numFmt w:val="decimal"/>
      <w:lvlText w:val=""/>
      <w:lvlJc w:val="left"/>
    </w:lvl>
    <w:lvl w:ilvl="6" w:tplc="EB884754">
      <w:numFmt w:val="decimal"/>
      <w:lvlText w:val=""/>
      <w:lvlJc w:val="left"/>
    </w:lvl>
    <w:lvl w:ilvl="7" w:tplc="B7D03A0C">
      <w:numFmt w:val="decimal"/>
      <w:lvlText w:val=""/>
      <w:lvlJc w:val="left"/>
    </w:lvl>
    <w:lvl w:ilvl="8" w:tplc="5C38571E">
      <w:numFmt w:val="decimal"/>
      <w:lvlText w:val=""/>
      <w:lvlJc w:val="left"/>
    </w:lvl>
  </w:abstractNum>
  <w:abstractNum w:abstractNumId="828" w15:restartNumberingAfterBreak="0">
    <w:nsid w:val="56E42133"/>
    <w:multiLevelType w:val="hybridMultilevel"/>
    <w:tmpl w:val="C5AAC2F4"/>
    <w:lvl w:ilvl="0" w:tplc="A1B89522">
      <w:start w:val="1"/>
      <w:numFmt w:val="bullet"/>
      <w:lvlText w:val=""/>
      <w:lvlJc w:val="left"/>
      <w:pPr>
        <w:ind w:left="720" w:hanging="360"/>
      </w:pPr>
      <w:rPr>
        <w:rFonts w:ascii="Symbol" w:hAnsi="Symbol" w:hint="default"/>
      </w:rPr>
    </w:lvl>
    <w:lvl w:ilvl="1" w:tplc="C01EFA12">
      <w:numFmt w:val="decimal"/>
      <w:lvlText w:val=""/>
      <w:lvlJc w:val="left"/>
    </w:lvl>
    <w:lvl w:ilvl="2" w:tplc="2B3CFF24">
      <w:numFmt w:val="decimal"/>
      <w:lvlText w:val=""/>
      <w:lvlJc w:val="left"/>
    </w:lvl>
    <w:lvl w:ilvl="3" w:tplc="9084BD38">
      <w:numFmt w:val="decimal"/>
      <w:lvlText w:val=""/>
      <w:lvlJc w:val="left"/>
    </w:lvl>
    <w:lvl w:ilvl="4" w:tplc="B47219A6">
      <w:numFmt w:val="decimal"/>
      <w:lvlText w:val=""/>
      <w:lvlJc w:val="left"/>
    </w:lvl>
    <w:lvl w:ilvl="5" w:tplc="55E83C12">
      <w:numFmt w:val="decimal"/>
      <w:lvlText w:val=""/>
      <w:lvlJc w:val="left"/>
    </w:lvl>
    <w:lvl w:ilvl="6" w:tplc="F98CFDC4">
      <w:numFmt w:val="decimal"/>
      <w:lvlText w:val=""/>
      <w:lvlJc w:val="left"/>
    </w:lvl>
    <w:lvl w:ilvl="7" w:tplc="16808746">
      <w:numFmt w:val="decimal"/>
      <w:lvlText w:val=""/>
      <w:lvlJc w:val="left"/>
    </w:lvl>
    <w:lvl w:ilvl="8" w:tplc="055E65EC">
      <w:numFmt w:val="decimal"/>
      <w:lvlText w:val=""/>
      <w:lvlJc w:val="left"/>
    </w:lvl>
  </w:abstractNum>
  <w:abstractNum w:abstractNumId="829" w15:restartNumberingAfterBreak="0">
    <w:nsid w:val="5789779E"/>
    <w:multiLevelType w:val="hybridMultilevel"/>
    <w:tmpl w:val="5602F144"/>
    <w:lvl w:ilvl="0" w:tplc="81561D52">
      <w:start w:val="1"/>
      <w:numFmt w:val="bullet"/>
      <w:lvlText w:val=""/>
      <w:lvlJc w:val="left"/>
      <w:pPr>
        <w:ind w:left="720" w:hanging="360"/>
      </w:pPr>
      <w:rPr>
        <w:rFonts w:ascii="Symbol" w:hAnsi="Symbol" w:hint="default"/>
      </w:rPr>
    </w:lvl>
    <w:lvl w:ilvl="1" w:tplc="2DB4C568">
      <w:numFmt w:val="decimal"/>
      <w:lvlText w:val=""/>
      <w:lvlJc w:val="left"/>
    </w:lvl>
    <w:lvl w:ilvl="2" w:tplc="A7E0C61E">
      <w:numFmt w:val="decimal"/>
      <w:lvlText w:val=""/>
      <w:lvlJc w:val="left"/>
    </w:lvl>
    <w:lvl w:ilvl="3" w:tplc="04FC8C8C">
      <w:numFmt w:val="decimal"/>
      <w:lvlText w:val=""/>
      <w:lvlJc w:val="left"/>
    </w:lvl>
    <w:lvl w:ilvl="4" w:tplc="3BB85E44">
      <w:numFmt w:val="decimal"/>
      <w:lvlText w:val=""/>
      <w:lvlJc w:val="left"/>
    </w:lvl>
    <w:lvl w:ilvl="5" w:tplc="BD6A18DC">
      <w:numFmt w:val="decimal"/>
      <w:lvlText w:val=""/>
      <w:lvlJc w:val="left"/>
    </w:lvl>
    <w:lvl w:ilvl="6" w:tplc="F9C0EDC4">
      <w:numFmt w:val="decimal"/>
      <w:lvlText w:val=""/>
      <w:lvlJc w:val="left"/>
    </w:lvl>
    <w:lvl w:ilvl="7" w:tplc="07A6DDF6">
      <w:numFmt w:val="decimal"/>
      <w:lvlText w:val=""/>
      <w:lvlJc w:val="left"/>
    </w:lvl>
    <w:lvl w:ilvl="8" w:tplc="E420654A">
      <w:numFmt w:val="decimal"/>
      <w:lvlText w:val=""/>
      <w:lvlJc w:val="left"/>
    </w:lvl>
  </w:abstractNum>
  <w:abstractNum w:abstractNumId="830" w15:restartNumberingAfterBreak="0">
    <w:nsid w:val="57B449CA"/>
    <w:multiLevelType w:val="hybridMultilevel"/>
    <w:tmpl w:val="3E4680BE"/>
    <w:lvl w:ilvl="0" w:tplc="7A8A8092">
      <w:start w:val="1"/>
      <w:numFmt w:val="bullet"/>
      <w:lvlText w:val=""/>
      <w:lvlJc w:val="left"/>
      <w:pPr>
        <w:ind w:left="720" w:hanging="360"/>
      </w:pPr>
      <w:rPr>
        <w:rFonts w:ascii="Symbol" w:hAnsi="Symbol" w:hint="default"/>
      </w:rPr>
    </w:lvl>
    <w:lvl w:ilvl="1" w:tplc="E65E3900">
      <w:numFmt w:val="decimal"/>
      <w:lvlText w:val=""/>
      <w:lvlJc w:val="left"/>
    </w:lvl>
    <w:lvl w:ilvl="2" w:tplc="3AB823E4">
      <w:numFmt w:val="decimal"/>
      <w:lvlText w:val=""/>
      <w:lvlJc w:val="left"/>
    </w:lvl>
    <w:lvl w:ilvl="3" w:tplc="596A9F32">
      <w:numFmt w:val="decimal"/>
      <w:lvlText w:val=""/>
      <w:lvlJc w:val="left"/>
    </w:lvl>
    <w:lvl w:ilvl="4" w:tplc="E6DAC28E">
      <w:numFmt w:val="decimal"/>
      <w:lvlText w:val=""/>
      <w:lvlJc w:val="left"/>
    </w:lvl>
    <w:lvl w:ilvl="5" w:tplc="5F2802B8">
      <w:numFmt w:val="decimal"/>
      <w:lvlText w:val=""/>
      <w:lvlJc w:val="left"/>
    </w:lvl>
    <w:lvl w:ilvl="6" w:tplc="9D28B8EC">
      <w:numFmt w:val="decimal"/>
      <w:lvlText w:val=""/>
      <w:lvlJc w:val="left"/>
    </w:lvl>
    <w:lvl w:ilvl="7" w:tplc="D5523F10">
      <w:numFmt w:val="decimal"/>
      <w:lvlText w:val=""/>
      <w:lvlJc w:val="left"/>
    </w:lvl>
    <w:lvl w:ilvl="8" w:tplc="CA22387C">
      <w:numFmt w:val="decimal"/>
      <w:lvlText w:val=""/>
      <w:lvlJc w:val="left"/>
    </w:lvl>
  </w:abstractNum>
  <w:abstractNum w:abstractNumId="831" w15:restartNumberingAfterBreak="0">
    <w:nsid w:val="581F70A4"/>
    <w:multiLevelType w:val="hybridMultilevel"/>
    <w:tmpl w:val="3E76AC78"/>
    <w:lvl w:ilvl="0" w:tplc="0DEEA926">
      <w:start w:val="1"/>
      <w:numFmt w:val="bullet"/>
      <w:lvlText w:val=""/>
      <w:lvlJc w:val="left"/>
      <w:pPr>
        <w:ind w:left="720" w:hanging="360"/>
      </w:pPr>
      <w:rPr>
        <w:rFonts w:ascii="Symbol" w:hAnsi="Symbol" w:hint="default"/>
      </w:rPr>
    </w:lvl>
    <w:lvl w:ilvl="1" w:tplc="C5E09462">
      <w:numFmt w:val="decimal"/>
      <w:lvlText w:val=""/>
      <w:lvlJc w:val="left"/>
    </w:lvl>
    <w:lvl w:ilvl="2" w:tplc="E946B878">
      <w:numFmt w:val="decimal"/>
      <w:lvlText w:val=""/>
      <w:lvlJc w:val="left"/>
    </w:lvl>
    <w:lvl w:ilvl="3" w:tplc="88B646AC">
      <w:numFmt w:val="decimal"/>
      <w:lvlText w:val=""/>
      <w:lvlJc w:val="left"/>
    </w:lvl>
    <w:lvl w:ilvl="4" w:tplc="8A845BA0">
      <w:numFmt w:val="decimal"/>
      <w:lvlText w:val=""/>
      <w:lvlJc w:val="left"/>
    </w:lvl>
    <w:lvl w:ilvl="5" w:tplc="95E64764">
      <w:numFmt w:val="decimal"/>
      <w:lvlText w:val=""/>
      <w:lvlJc w:val="left"/>
    </w:lvl>
    <w:lvl w:ilvl="6" w:tplc="20525364">
      <w:numFmt w:val="decimal"/>
      <w:lvlText w:val=""/>
      <w:lvlJc w:val="left"/>
    </w:lvl>
    <w:lvl w:ilvl="7" w:tplc="8C005278">
      <w:numFmt w:val="decimal"/>
      <w:lvlText w:val=""/>
      <w:lvlJc w:val="left"/>
    </w:lvl>
    <w:lvl w:ilvl="8" w:tplc="4C0614C0">
      <w:numFmt w:val="decimal"/>
      <w:lvlText w:val=""/>
      <w:lvlJc w:val="left"/>
    </w:lvl>
  </w:abstractNum>
  <w:abstractNum w:abstractNumId="832" w15:restartNumberingAfterBreak="0">
    <w:nsid w:val="583075D9"/>
    <w:multiLevelType w:val="hybridMultilevel"/>
    <w:tmpl w:val="C9C04DB8"/>
    <w:lvl w:ilvl="0" w:tplc="E5300BC6">
      <w:start w:val="1"/>
      <w:numFmt w:val="bullet"/>
      <w:lvlText w:val=""/>
      <w:lvlJc w:val="left"/>
      <w:pPr>
        <w:ind w:left="720" w:hanging="360"/>
      </w:pPr>
      <w:rPr>
        <w:rFonts w:ascii="Symbol" w:hAnsi="Symbol" w:hint="default"/>
      </w:rPr>
    </w:lvl>
    <w:lvl w:ilvl="1" w:tplc="0212EAAA">
      <w:numFmt w:val="decimal"/>
      <w:lvlText w:val=""/>
      <w:lvlJc w:val="left"/>
    </w:lvl>
    <w:lvl w:ilvl="2" w:tplc="38C2B3F0">
      <w:numFmt w:val="decimal"/>
      <w:lvlText w:val=""/>
      <w:lvlJc w:val="left"/>
    </w:lvl>
    <w:lvl w:ilvl="3" w:tplc="913A07B0">
      <w:numFmt w:val="decimal"/>
      <w:lvlText w:val=""/>
      <w:lvlJc w:val="left"/>
    </w:lvl>
    <w:lvl w:ilvl="4" w:tplc="304E792A">
      <w:numFmt w:val="decimal"/>
      <w:lvlText w:val=""/>
      <w:lvlJc w:val="left"/>
    </w:lvl>
    <w:lvl w:ilvl="5" w:tplc="A54A8B4E">
      <w:numFmt w:val="decimal"/>
      <w:lvlText w:val=""/>
      <w:lvlJc w:val="left"/>
    </w:lvl>
    <w:lvl w:ilvl="6" w:tplc="ADE6D7C0">
      <w:numFmt w:val="decimal"/>
      <w:lvlText w:val=""/>
      <w:lvlJc w:val="left"/>
    </w:lvl>
    <w:lvl w:ilvl="7" w:tplc="67F0E1BA">
      <w:numFmt w:val="decimal"/>
      <w:lvlText w:val=""/>
      <w:lvlJc w:val="left"/>
    </w:lvl>
    <w:lvl w:ilvl="8" w:tplc="44481068">
      <w:numFmt w:val="decimal"/>
      <w:lvlText w:val=""/>
      <w:lvlJc w:val="left"/>
    </w:lvl>
  </w:abstractNum>
  <w:abstractNum w:abstractNumId="833" w15:restartNumberingAfterBreak="0">
    <w:nsid w:val="583B2377"/>
    <w:multiLevelType w:val="hybridMultilevel"/>
    <w:tmpl w:val="A4BA22F2"/>
    <w:lvl w:ilvl="0" w:tplc="FAEE416A">
      <w:start w:val="1"/>
      <w:numFmt w:val="bullet"/>
      <w:lvlText w:val=""/>
      <w:lvlJc w:val="left"/>
      <w:pPr>
        <w:ind w:left="720" w:hanging="360"/>
      </w:pPr>
      <w:rPr>
        <w:rFonts w:ascii="Symbol" w:hAnsi="Symbol" w:hint="default"/>
      </w:rPr>
    </w:lvl>
    <w:lvl w:ilvl="1" w:tplc="E2FEC1A2">
      <w:numFmt w:val="decimal"/>
      <w:lvlText w:val=""/>
      <w:lvlJc w:val="left"/>
    </w:lvl>
    <w:lvl w:ilvl="2" w:tplc="EFBA538C">
      <w:numFmt w:val="decimal"/>
      <w:lvlText w:val=""/>
      <w:lvlJc w:val="left"/>
    </w:lvl>
    <w:lvl w:ilvl="3" w:tplc="A522A9D0">
      <w:numFmt w:val="decimal"/>
      <w:lvlText w:val=""/>
      <w:lvlJc w:val="left"/>
    </w:lvl>
    <w:lvl w:ilvl="4" w:tplc="06FE7B50">
      <w:numFmt w:val="decimal"/>
      <w:lvlText w:val=""/>
      <w:lvlJc w:val="left"/>
    </w:lvl>
    <w:lvl w:ilvl="5" w:tplc="4A982890">
      <w:numFmt w:val="decimal"/>
      <w:lvlText w:val=""/>
      <w:lvlJc w:val="left"/>
    </w:lvl>
    <w:lvl w:ilvl="6" w:tplc="A5B69FB0">
      <w:numFmt w:val="decimal"/>
      <w:lvlText w:val=""/>
      <w:lvlJc w:val="left"/>
    </w:lvl>
    <w:lvl w:ilvl="7" w:tplc="B2701F78">
      <w:numFmt w:val="decimal"/>
      <w:lvlText w:val=""/>
      <w:lvlJc w:val="left"/>
    </w:lvl>
    <w:lvl w:ilvl="8" w:tplc="91BEA808">
      <w:numFmt w:val="decimal"/>
      <w:lvlText w:val=""/>
      <w:lvlJc w:val="left"/>
    </w:lvl>
  </w:abstractNum>
  <w:abstractNum w:abstractNumId="834" w15:restartNumberingAfterBreak="0">
    <w:nsid w:val="584B7D3E"/>
    <w:multiLevelType w:val="hybridMultilevel"/>
    <w:tmpl w:val="E910CF0E"/>
    <w:lvl w:ilvl="0" w:tplc="0BCC016C">
      <w:numFmt w:val="decimal"/>
      <w:lvlText w:val=""/>
      <w:lvlJc w:val="left"/>
    </w:lvl>
    <w:lvl w:ilvl="1" w:tplc="CBAE5F80">
      <w:numFmt w:val="decimal"/>
      <w:lvlText w:val=""/>
      <w:lvlJc w:val="left"/>
    </w:lvl>
    <w:lvl w:ilvl="2" w:tplc="167CE58C">
      <w:start w:val="1"/>
      <w:numFmt w:val="bullet"/>
      <w:lvlText w:val=""/>
      <w:lvlJc w:val="left"/>
      <w:pPr>
        <w:ind w:left="2160" w:hanging="360"/>
      </w:pPr>
      <w:rPr>
        <w:rFonts w:ascii="Symbol" w:hAnsi="Symbol" w:hint="default"/>
      </w:rPr>
    </w:lvl>
    <w:lvl w:ilvl="3" w:tplc="BA422966">
      <w:numFmt w:val="decimal"/>
      <w:lvlText w:val=""/>
      <w:lvlJc w:val="left"/>
    </w:lvl>
    <w:lvl w:ilvl="4" w:tplc="750CD364">
      <w:numFmt w:val="decimal"/>
      <w:lvlText w:val=""/>
      <w:lvlJc w:val="left"/>
    </w:lvl>
    <w:lvl w:ilvl="5" w:tplc="401020A6">
      <w:numFmt w:val="decimal"/>
      <w:lvlText w:val=""/>
      <w:lvlJc w:val="left"/>
    </w:lvl>
    <w:lvl w:ilvl="6" w:tplc="DFEAB360">
      <w:numFmt w:val="decimal"/>
      <w:lvlText w:val=""/>
      <w:lvlJc w:val="left"/>
    </w:lvl>
    <w:lvl w:ilvl="7" w:tplc="1F124DA4">
      <w:numFmt w:val="decimal"/>
      <w:lvlText w:val=""/>
      <w:lvlJc w:val="left"/>
    </w:lvl>
    <w:lvl w:ilvl="8" w:tplc="F12CEDA0">
      <w:numFmt w:val="decimal"/>
      <w:lvlText w:val=""/>
      <w:lvlJc w:val="left"/>
    </w:lvl>
  </w:abstractNum>
  <w:abstractNum w:abstractNumId="835" w15:restartNumberingAfterBreak="0">
    <w:nsid w:val="584F20B9"/>
    <w:multiLevelType w:val="hybridMultilevel"/>
    <w:tmpl w:val="2DFECEC4"/>
    <w:lvl w:ilvl="0" w:tplc="D6589C4E">
      <w:start w:val="1"/>
      <w:numFmt w:val="bullet"/>
      <w:lvlText w:val=""/>
      <w:lvlJc w:val="left"/>
      <w:pPr>
        <w:ind w:left="720" w:hanging="360"/>
      </w:pPr>
      <w:rPr>
        <w:rFonts w:ascii="Symbol" w:hAnsi="Symbol" w:hint="default"/>
      </w:rPr>
    </w:lvl>
    <w:lvl w:ilvl="1" w:tplc="D91C8690">
      <w:numFmt w:val="decimal"/>
      <w:lvlText w:val=""/>
      <w:lvlJc w:val="left"/>
    </w:lvl>
    <w:lvl w:ilvl="2" w:tplc="CD9A23B6">
      <w:numFmt w:val="decimal"/>
      <w:lvlText w:val=""/>
      <w:lvlJc w:val="left"/>
    </w:lvl>
    <w:lvl w:ilvl="3" w:tplc="4170F626">
      <w:numFmt w:val="decimal"/>
      <w:lvlText w:val=""/>
      <w:lvlJc w:val="left"/>
    </w:lvl>
    <w:lvl w:ilvl="4" w:tplc="940C2F6C">
      <w:numFmt w:val="decimal"/>
      <w:lvlText w:val=""/>
      <w:lvlJc w:val="left"/>
    </w:lvl>
    <w:lvl w:ilvl="5" w:tplc="92F09882">
      <w:numFmt w:val="decimal"/>
      <w:lvlText w:val=""/>
      <w:lvlJc w:val="left"/>
    </w:lvl>
    <w:lvl w:ilvl="6" w:tplc="38DEE8D4">
      <w:numFmt w:val="decimal"/>
      <w:lvlText w:val=""/>
      <w:lvlJc w:val="left"/>
    </w:lvl>
    <w:lvl w:ilvl="7" w:tplc="9A043442">
      <w:numFmt w:val="decimal"/>
      <w:lvlText w:val=""/>
      <w:lvlJc w:val="left"/>
    </w:lvl>
    <w:lvl w:ilvl="8" w:tplc="440E4E04">
      <w:numFmt w:val="decimal"/>
      <w:lvlText w:val=""/>
      <w:lvlJc w:val="left"/>
    </w:lvl>
  </w:abstractNum>
  <w:abstractNum w:abstractNumId="836" w15:restartNumberingAfterBreak="0">
    <w:nsid w:val="5859234D"/>
    <w:multiLevelType w:val="hybridMultilevel"/>
    <w:tmpl w:val="0B96FE4C"/>
    <w:lvl w:ilvl="0" w:tplc="54A81B52">
      <w:start w:val="1"/>
      <w:numFmt w:val="bullet"/>
      <w:lvlText w:val=""/>
      <w:lvlJc w:val="left"/>
      <w:pPr>
        <w:ind w:left="720" w:hanging="360"/>
      </w:pPr>
      <w:rPr>
        <w:rFonts w:ascii="Symbol" w:hAnsi="Symbol" w:hint="default"/>
      </w:rPr>
    </w:lvl>
    <w:lvl w:ilvl="1" w:tplc="766A4914">
      <w:numFmt w:val="decimal"/>
      <w:lvlText w:val=""/>
      <w:lvlJc w:val="left"/>
    </w:lvl>
    <w:lvl w:ilvl="2" w:tplc="E6447C7E">
      <w:numFmt w:val="decimal"/>
      <w:lvlText w:val=""/>
      <w:lvlJc w:val="left"/>
    </w:lvl>
    <w:lvl w:ilvl="3" w:tplc="4F6EB55A">
      <w:numFmt w:val="decimal"/>
      <w:lvlText w:val=""/>
      <w:lvlJc w:val="left"/>
    </w:lvl>
    <w:lvl w:ilvl="4" w:tplc="DDDE4DAC">
      <w:numFmt w:val="decimal"/>
      <w:lvlText w:val=""/>
      <w:lvlJc w:val="left"/>
    </w:lvl>
    <w:lvl w:ilvl="5" w:tplc="15F24454">
      <w:numFmt w:val="decimal"/>
      <w:lvlText w:val=""/>
      <w:lvlJc w:val="left"/>
    </w:lvl>
    <w:lvl w:ilvl="6" w:tplc="D5D4E2F4">
      <w:numFmt w:val="decimal"/>
      <w:lvlText w:val=""/>
      <w:lvlJc w:val="left"/>
    </w:lvl>
    <w:lvl w:ilvl="7" w:tplc="4C0AA7BA">
      <w:numFmt w:val="decimal"/>
      <w:lvlText w:val=""/>
      <w:lvlJc w:val="left"/>
    </w:lvl>
    <w:lvl w:ilvl="8" w:tplc="0292FF28">
      <w:numFmt w:val="decimal"/>
      <w:lvlText w:val=""/>
      <w:lvlJc w:val="left"/>
    </w:lvl>
  </w:abstractNum>
  <w:abstractNum w:abstractNumId="837" w15:restartNumberingAfterBreak="0">
    <w:nsid w:val="586969C7"/>
    <w:multiLevelType w:val="hybridMultilevel"/>
    <w:tmpl w:val="AA368962"/>
    <w:lvl w:ilvl="0" w:tplc="1556DA1A">
      <w:start w:val="1"/>
      <w:numFmt w:val="bullet"/>
      <w:lvlText w:val=""/>
      <w:lvlJc w:val="left"/>
      <w:pPr>
        <w:ind w:left="720" w:hanging="360"/>
      </w:pPr>
      <w:rPr>
        <w:rFonts w:ascii="Symbol" w:hAnsi="Symbol" w:hint="default"/>
      </w:rPr>
    </w:lvl>
    <w:lvl w:ilvl="1" w:tplc="9D323244">
      <w:numFmt w:val="decimal"/>
      <w:lvlText w:val=""/>
      <w:lvlJc w:val="left"/>
    </w:lvl>
    <w:lvl w:ilvl="2" w:tplc="B402255A">
      <w:numFmt w:val="decimal"/>
      <w:lvlText w:val=""/>
      <w:lvlJc w:val="left"/>
    </w:lvl>
    <w:lvl w:ilvl="3" w:tplc="703C30D4">
      <w:numFmt w:val="decimal"/>
      <w:lvlText w:val=""/>
      <w:lvlJc w:val="left"/>
    </w:lvl>
    <w:lvl w:ilvl="4" w:tplc="9A9CBC10">
      <w:numFmt w:val="decimal"/>
      <w:lvlText w:val=""/>
      <w:lvlJc w:val="left"/>
    </w:lvl>
    <w:lvl w:ilvl="5" w:tplc="221ABA2C">
      <w:numFmt w:val="decimal"/>
      <w:lvlText w:val=""/>
      <w:lvlJc w:val="left"/>
    </w:lvl>
    <w:lvl w:ilvl="6" w:tplc="BE8444EE">
      <w:numFmt w:val="decimal"/>
      <w:lvlText w:val=""/>
      <w:lvlJc w:val="left"/>
    </w:lvl>
    <w:lvl w:ilvl="7" w:tplc="EE8C00FC">
      <w:numFmt w:val="decimal"/>
      <w:lvlText w:val=""/>
      <w:lvlJc w:val="left"/>
    </w:lvl>
    <w:lvl w:ilvl="8" w:tplc="1C122394">
      <w:numFmt w:val="decimal"/>
      <w:lvlText w:val=""/>
      <w:lvlJc w:val="left"/>
    </w:lvl>
  </w:abstractNum>
  <w:abstractNum w:abstractNumId="838" w15:restartNumberingAfterBreak="0">
    <w:nsid w:val="587E23B9"/>
    <w:multiLevelType w:val="hybridMultilevel"/>
    <w:tmpl w:val="6B30B292"/>
    <w:lvl w:ilvl="0" w:tplc="31F034C2">
      <w:start w:val="1"/>
      <w:numFmt w:val="bullet"/>
      <w:lvlText w:val=""/>
      <w:lvlJc w:val="left"/>
      <w:pPr>
        <w:ind w:left="720" w:hanging="360"/>
      </w:pPr>
      <w:rPr>
        <w:rFonts w:ascii="Symbol" w:hAnsi="Symbol" w:hint="default"/>
      </w:rPr>
    </w:lvl>
    <w:lvl w:ilvl="1" w:tplc="664831FE">
      <w:numFmt w:val="decimal"/>
      <w:lvlText w:val=""/>
      <w:lvlJc w:val="left"/>
    </w:lvl>
    <w:lvl w:ilvl="2" w:tplc="4B929AE2">
      <w:numFmt w:val="decimal"/>
      <w:lvlText w:val=""/>
      <w:lvlJc w:val="left"/>
    </w:lvl>
    <w:lvl w:ilvl="3" w:tplc="47F4E632">
      <w:numFmt w:val="decimal"/>
      <w:lvlText w:val=""/>
      <w:lvlJc w:val="left"/>
    </w:lvl>
    <w:lvl w:ilvl="4" w:tplc="AAB43E84">
      <w:numFmt w:val="decimal"/>
      <w:lvlText w:val=""/>
      <w:lvlJc w:val="left"/>
    </w:lvl>
    <w:lvl w:ilvl="5" w:tplc="DC402F92">
      <w:numFmt w:val="decimal"/>
      <w:lvlText w:val=""/>
      <w:lvlJc w:val="left"/>
    </w:lvl>
    <w:lvl w:ilvl="6" w:tplc="427CEFAC">
      <w:numFmt w:val="decimal"/>
      <w:lvlText w:val=""/>
      <w:lvlJc w:val="left"/>
    </w:lvl>
    <w:lvl w:ilvl="7" w:tplc="2C04E3CC">
      <w:numFmt w:val="decimal"/>
      <w:lvlText w:val=""/>
      <w:lvlJc w:val="left"/>
    </w:lvl>
    <w:lvl w:ilvl="8" w:tplc="A440DA48">
      <w:numFmt w:val="decimal"/>
      <w:lvlText w:val=""/>
      <w:lvlJc w:val="left"/>
    </w:lvl>
  </w:abstractNum>
  <w:abstractNum w:abstractNumId="839" w15:restartNumberingAfterBreak="0">
    <w:nsid w:val="587F3EC1"/>
    <w:multiLevelType w:val="hybridMultilevel"/>
    <w:tmpl w:val="825A4010"/>
    <w:lvl w:ilvl="0" w:tplc="14764A2A">
      <w:start w:val="1"/>
      <w:numFmt w:val="bullet"/>
      <w:lvlText w:val=""/>
      <w:lvlJc w:val="left"/>
      <w:pPr>
        <w:ind w:left="720" w:hanging="360"/>
      </w:pPr>
      <w:rPr>
        <w:rFonts w:ascii="Symbol" w:hAnsi="Symbol" w:hint="default"/>
      </w:rPr>
    </w:lvl>
    <w:lvl w:ilvl="1" w:tplc="88B658B4">
      <w:numFmt w:val="decimal"/>
      <w:lvlText w:val=""/>
      <w:lvlJc w:val="left"/>
    </w:lvl>
    <w:lvl w:ilvl="2" w:tplc="7E785CA8">
      <w:numFmt w:val="decimal"/>
      <w:lvlText w:val=""/>
      <w:lvlJc w:val="left"/>
    </w:lvl>
    <w:lvl w:ilvl="3" w:tplc="05AA9B9A">
      <w:numFmt w:val="decimal"/>
      <w:lvlText w:val=""/>
      <w:lvlJc w:val="left"/>
    </w:lvl>
    <w:lvl w:ilvl="4" w:tplc="F440CFA4">
      <w:numFmt w:val="decimal"/>
      <w:lvlText w:val=""/>
      <w:lvlJc w:val="left"/>
    </w:lvl>
    <w:lvl w:ilvl="5" w:tplc="7E1EB78A">
      <w:numFmt w:val="decimal"/>
      <w:lvlText w:val=""/>
      <w:lvlJc w:val="left"/>
    </w:lvl>
    <w:lvl w:ilvl="6" w:tplc="A8ECDC76">
      <w:numFmt w:val="decimal"/>
      <w:lvlText w:val=""/>
      <w:lvlJc w:val="left"/>
    </w:lvl>
    <w:lvl w:ilvl="7" w:tplc="36547FAC">
      <w:numFmt w:val="decimal"/>
      <w:lvlText w:val=""/>
      <w:lvlJc w:val="left"/>
    </w:lvl>
    <w:lvl w:ilvl="8" w:tplc="4BCA0BE2">
      <w:numFmt w:val="decimal"/>
      <w:lvlText w:val=""/>
      <w:lvlJc w:val="left"/>
    </w:lvl>
  </w:abstractNum>
  <w:abstractNum w:abstractNumId="840" w15:restartNumberingAfterBreak="0">
    <w:nsid w:val="588B11C8"/>
    <w:multiLevelType w:val="hybridMultilevel"/>
    <w:tmpl w:val="A06A7836"/>
    <w:lvl w:ilvl="0" w:tplc="2D44FD34">
      <w:start w:val="1"/>
      <w:numFmt w:val="bullet"/>
      <w:lvlText w:val=""/>
      <w:lvlJc w:val="left"/>
      <w:pPr>
        <w:ind w:left="720" w:hanging="360"/>
      </w:pPr>
      <w:rPr>
        <w:rFonts w:ascii="Symbol" w:hAnsi="Symbol" w:hint="default"/>
      </w:rPr>
    </w:lvl>
    <w:lvl w:ilvl="1" w:tplc="7558210E">
      <w:numFmt w:val="decimal"/>
      <w:lvlText w:val=""/>
      <w:lvlJc w:val="left"/>
    </w:lvl>
    <w:lvl w:ilvl="2" w:tplc="84346940">
      <w:numFmt w:val="decimal"/>
      <w:lvlText w:val=""/>
      <w:lvlJc w:val="left"/>
    </w:lvl>
    <w:lvl w:ilvl="3" w:tplc="2AD2416A">
      <w:numFmt w:val="decimal"/>
      <w:lvlText w:val=""/>
      <w:lvlJc w:val="left"/>
    </w:lvl>
    <w:lvl w:ilvl="4" w:tplc="0F72D51A">
      <w:numFmt w:val="decimal"/>
      <w:lvlText w:val=""/>
      <w:lvlJc w:val="left"/>
    </w:lvl>
    <w:lvl w:ilvl="5" w:tplc="F058283E">
      <w:numFmt w:val="decimal"/>
      <w:lvlText w:val=""/>
      <w:lvlJc w:val="left"/>
    </w:lvl>
    <w:lvl w:ilvl="6" w:tplc="551C9788">
      <w:numFmt w:val="decimal"/>
      <w:lvlText w:val=""/>
      <w:lvlJc w:val="left"/>
    </w:lvl>
    <w:lvl w:ilvl="7" w:tplc="DAB28F6E">
      <w:numFmt w:val="decimal"/>
      <w:lvlText w:val=""/>
      <w:lvlJc w:val="left"/>
    </w:lvl>
    <w:lvl w:ilvl="8" w:tplc="DD0EDB5E">
      <w:numFmt w:val="decimal"/>
      <w:lvlText w:val=""/>
      <w:lvlJc w:val="left"/>
    </w:lvl>
  </w:abstractNum>
  <w:abstractNum w:abstractNumId="841" w15:restartNumberingAfterBreak="0">
    <w:nsid w:val="588C2AE8"/>
    <w:multiLevelType w:val="hybridMultilevel"/>
    <w:tmpl w:val="9E5A8148"/>
    <w:lvl w:ilvl="0" w:tplc="288ABF50">
      <w:start w:val="1"/>
      <w:numFmt w:val="bullet"/>
      <w:lvlText w:val=""/>
      <w:lvlJc w:val="left"/>
      <w:pPr>
        <w:ind w:left="720" w:hanging="360"/>
      </w:pPr>
      <w:rPr>
        <w:rFonts w:ascii="Symbol" w:hAnsi="Symbol" w:hint="default"/>
      </w:rPr>
    </w:lvl>
    <w:lvl w:ilvl="1" w:tplc="D3C4A53C">
      <w:numFmt w:val="decimal"/>
      <w:lvlText w:val=""/>
      <w:lvlJc w:val="left"/>
    </w:lvl>
    <w:lvl w:ilvl="2" w:tplc="870AF56E">
      <w:numFmt w:val="decimal"/>
      <w:lvlText w:val=""/>
      <w:lvlJc w:val="left"/>
    </w:lvl>
    <w:lvl w:ilvl="3" w:tplc="3756480A">
      <w:numFmt w:val="decimal"/>
      <w:lvlText w:val=""/>
      <w:lvlJc w:val="left"/>
    </w:lvl>
    <w:lvl w:ilvl="4" w:tplc="0D92D9C8">
      <w:numFmt w:val="decimal"/>
      <w:lvlText w:val=""/>
      <w:lvlJc w:val="left"/>
    </w:lvl>
    <w:lvl w:ilvl="5" w:tplc="63C6184C">
      <w:numFmt w:val="decimal"/>
      <w:lvlText w:val=""/>
      <w:lvlJc w:val="left"/>
    </w:lvl>
    <w:lvl w:ilvl="6" w:tplc="7E60852E">
      <w:numFmt w:val="decimal"/>
      <w:lvlText w:val=""/>
      <w:lvlJc w:val="left"/>
    </w:lvl>
    <w:lvl w:ilvl="7" w:tplc="AE08D902">
      <w:numFmt w:val="decimal"/>
      <w:lvlText w:val=""/>
      <w:lvlJc w:val="left"/>
    </w:lvl>
    <w:lvl w:ilvl="8" w:tplc="AFCCC25C">
      <w:numFmt w:val="decimal"/>
      <w:lvlText w:val=""/>
      <w:lvlJc w:val="left"/>
    </w:lvl>
  </w:abstractNum>
  <w:abstractNum w:abstractNumId="842" w15:restartNumberingAfterBreak="0">
    <w:nsid w:val="58947C28"/>
    <w:multiLevelType w:val="hybridMultilevel"/>
    <w:tmpl w:val="ADF64642"/>
    <w:lvl w:ilvl="0" w:tplc="E0CA61F8">
      <w:start w:val="1"/>
      <w:numFmt w:val="bullet"/>
      <w:lvlText w:val=""/>
      <w:lvlJc w:val="left"/>
      <w:pPr>
        <w:ind w:left="720" w:hanging="360"/>
      </w:pPr>
      <w:rPr>
        <w:rFonts w:ascii="Symbol" w:hAnsi="Symbol" w:hint="default"/>
      </w:rPr>
    </w:lvl>
    <w:lvl w:ilvl="1" w:tplc="C64A939C">
      <w:numFmt w:val="decimal"/>
      <w:lvlText w:val=""/>
      <w:lvlJc w:val="left"/>
    </w:lvl>
    <w:lvl w:ilvl="2" w:tplc="54C0C050">
      <w:numFmt w:val="decimal"/>
      <w:lvlText w:val=""/>
      <w:lvlJc w:val="left"/>
    </w:lvl>
    <w:lvl w:ilvl="3" w:tplc="72442C30">
      <w:numFmt w:val="decimal"/>
      <w:lvlText w:val=""/>
      <w:lvlJc w:val="left"/>
    </w:lvl>
    <w:lvl w:ilvl="4" w:tplc="B71AEE0E">
      <w:numFmt w:val="decimal"/>
      <w:lvlText w:val=""/>
      <w:lvlJc w:val="left"/>
    </w:lvl>
    <w:lvl w:ilvl="5" w:tplc="56D21984">
      <w:numFmt w:val="decimal"/>
      <w:lvlText w:val=""/>
      <w:lvlJc w:val="left"/>
    </w:lvl>
    <w:lvl w:ilvl="6" w:tplc="3EBAEACA">
      <w:numFmt w:val="decimal"/>
      <w:lvlText w:val=""/>
      <w:lvlJc w:val="left"/>
    </w:lvl>
    <w:lvl w:ilvl="7" w:tplc="0ECC1318">
      <w:numFmt w:val="decimal"/>
      <w:lvlText w:val=""/>
      <w:lvlJc w:val="left"/>
    </w:lvl>
    <w:lvl w:ilvl="8" w:tplc="054A492A">
      <w:numFmt w:val="decimal"/>
      <w:lvlText w:val=""/>
      <w:lvlJc w:val="left"/>
    </w:lvl>
  </w:abstractNum>
  <w:abstractNum w:abstractNumId="843" w15:restartNumberingAfterBreak="0">
    <w:nsid w:val="589638B5"/>
    <w:multiLevelType w:val="hybridMultilevel"/>
    <w:tmpl w:val="7780DADA"/>
    <w:lvl w:ilvl="0" w:tplc="74E25C30">
      <w:start w:val="1"/>
      <w:numFmt w:val="bullet"/>
      <w:lvlText w:val=""/>
      <w:lvlJc w:val="left"/>
      <w:pPr>
        <w:ind w:left="720" w:hanging="360"/>
      </w:pPr>
      <w:rPr>
        <w:rFonts w:ascii="Symbol" w:hAnsi="Symbol" w:hint="default"/>
      </w:rPr>
    </w:lvl>
    <w:lvl w:ilvl="1" w:tplc="21E6CA8A">
      <w:numFmt w:val="decimal"/>
      <w:lvlText w:val=""/>
      <w:lvlJc w:val="left"/>
    </w:lvl>
    <w:lvl w:ilvl="2" w:tplc="A9022958">
      <w:numFmt w:val="decimal"/>
      <w:lvlText w:val=""/>
      <w:lvlJc w:val="left"/>
    </w:lvl>
    <w:lvl w:ilvl="3" w:tplc="5EA68740">
      <w:numFmt w:val="decimal"/>
      <w:lvlText w:val=""/>
      <w:lvlJc w:val="left"/>
    </w:lvl>
    <w:lvl w:ilvl="4" w:tplc="352C2178">
      <w:numFmt w:val="decimal"/>
      <w:lvlText w:val=""/>
      <w:lvlJc w:val="left"/>
    </w:lvl>
    <w:lvl w:ilvl="5" w:tplc="7D3E3C64">
      <w:numFmt w:val="decimal"/>
      <w:lvlText w:val=""/>
      <w:lvlJc w:val="left"/>
    </w:lvl>
    <w:lvl w:ilvl="6" w:tplc="35985F1E">
      <w:numFmt w:val="decimal"/>
      <w:lvlText w:val=""/>
      <w:lvlJc w:val="left"/>
    </w:lvl>
    <w:lvl w:ilvl="7" w:tplc="5E22C336">
      <w:numFmt w:val="decimal"/>
      <w:lvlText w:val=""/>
      <w:lvlJc w:val="left"/>
    </w:lvl>
    <w:lvl w:ilvl="8" w:tplc="6874B31E">
      <w:numFmt w:val="decimal"/>
      <w:lvlText w:val=""/>
      <w:lvlJc w:val="left"/>
    </w:lvl>
  </w:abstractNum>
  <w:abstractNum w:abstractNumId="844" w15:restartNumberingAfterBreak="0">
    <w:nsid w:val="58AD4005"/>
    <w:multiLevelType w:val="hybridMultilevel"/>
    <w:tmpl w:val="9CFCE516"/>
    <w:lvl w:ilvl="0" w:tplc="3DB00516">
      <w:start w:val="1"/>
      <w:numFmt w:val="bullet"/>
      <w:lvlText w:val=""/>
      <w:lvlJc w:val="left"/>
      <w:pPr>
        <w:ind w:left="720" w:hanging="360"/>
      </w:pPr>
      <w:rPr>
        <w:rFonts w:ascii="Symbol" w:hAnsi="Symbol" w:hint="default"/>
      </w:rPr>
    </w:lvl>
    <w:lvl w:ilvl="1" w:tplc="A03E1BA0">
      <w:numFmt w:val="decimal"/>
      <w:lvlText w:val=""/>
      <w:lvlJc w:val="left"/>
    </w:lvl>
    <w:lvl w:ilvl="2" w:tplc="13B8F6A0">
      <w:numFmt w:val="decimal"/>
      <w:lvlText w:val=""/>
      <w:lvlJc w:val="left"/>
    </w:lvl>
    <w:lvl w:ilvl="3" w:tplc="137E0B2E">
      <w:numFmt w:val="decimal"/>
      <w:lvlText w:val=""/>
      <w:lvlJc w:val="left"/>
    </w:lvl>
    <w:lvl w:ilvl="4" w:tplc="1E48FEC6">
      <w:numFmt w:val="decimal"/>
      <w:lvlText w:val=""/>
      <w:lvlJc w:val="left"/>
    </w:lvl>
    <w:lvl w:ilvl="5" w:tplc="A7E81D48">
      <w:numFmt w:val="decimal"/>
      <w:lvlText w:val=""/>
      <w:lvlJc w:val="left"/>
    </w:lvl>
    <w:lvl w:ilvl="6" w:tplc="ABC42656">
      <w:numFmt w:val="decimal"/>
      <w:lvlText w:val=""/>
      <w:lvlJc w:val="left"/>
    </w:lvl>
    <w:lvl w:ilvl="7" w:tplc="09F8C832">
      <w:numFmt w:val="decimal"/>
      <w:lvlText w:val=""/>
      <w:lvlJc w:val="left"/>
    </w:lvl>
    <w:lvl w:ilvl="8" w:tplc="AFD2A322">
      <w:numFmt w:val="decimal"/>
      <w:lvlText w:val=""/>
      <w:lvlJc w:val="left"/>
    </w:lvl>
  </w:abstractNum>
  <w:abstractNum w:abstractNumId="845" w15:restartNumberingAfterBreak="0">
    <w:nsid w:val="58CE145D"/>
    <w:multiLevelType w:val="hybridMultilevel"/>
    <w:tmpl w:val="E32491F0"/>
    <w:lvl w:ilvl="0" w:tplc="2BE092B0">
      <w:start w:val="1"/>
      <w:numFmt w:val="bullet"/>
      <w:lvlText w:val=""/>
      <w:lvlJc w:val="left"/>
      <w:pPr>
        <w:ind w:left="720" w:hanging="360"/>
      </w:pPr>
      <w:rPr>
        <w:rFonts w:ascii="Symbol" w:hAnsi="Symbol" w:hint="default"/>
      </w:rPr>
    </w:lvl>
    <w:lvl w:ilvl="1" w:tplc="16E24498">
      <w:numFmt w:val="decimal"/>
      <w:lvlText w:val=""/>
      <w:lvlJc w:val="left"/>
    </w:lvl>
    <w:lvl w:ilvl="2" w:tplc="F57AE1FA">
      <w:numFmt w:val="decimal"/>
      <w:lvlText w:val=""/>
      <w:lvlJc w:val="left"/>
    </w:lvl>
    <w:lvl w:ilvl="3" w:tplc="F4F8850A">
      <w:numFmt w:val="decimal"/>
      <w:lvlText w:val=""/>
      <w:lvlJc w:val="left"/>
    </w:lvl>
    <w:lvl w:ilvl="4" w:tplc="4F9ED860">
      <w:numFmt w:val="decimal"/>
      <w:lvlText w:val=""/>
      <w:lvlJc w:val="left"/>
    </w:lvl>
    <w:lvl w:ilvl="5" w:tplc="9CA4C2A8">
      <w:numFmt w:val="decimal"/>
      <w:lvlText w:val=""/>
      <w:lvlJc w:val="left"/>
    </w:lvl>
    <w:lvl w:ilvl="6" w:tplc="51382F4E">
      <w:numFmt w:val="decimal"/>
      <w:lvlText w:val=""/>
      <w:lvlJc w:val="left"/>
    </w:lvl>
    <w:lvl w:ilvl="7" w:tplc="21DAEBC2">
      <w:numFmt w:val="decimal"/>
      <w:lvlText w:val=""/>
      <w:lvlJc w:val="left"/>
    </w:lvl>
    <w:lvl w:ilvl="8" w:tplc="365CD7E6">
      <w:numFmt w:val="decimal"/>
      <w:lvlText w:val=""/>
      <w:lvlJc w:val="left"/>
    </w:lvl>
  </w:abstractNum>
  <w:abstractNum w:abstractNumId="846" w15:restartNumberingAfterBreak="0">
    <w:nsid w:val="591B318E"/>
    <w:multiLevelType w:val="hybridMultilevel"/>
    <w:tmpl w:val="9DD6AAE4"/>
    <w:lvl w:ilvl="0" w:tplc="6B2ACCF8">
      <w:start w:val="1"/>
      <w:numFmt w:val="bullet"/>
      <w:lvlText w:val=""/>
      <w:lvlJc w:val="left"/>
      <w:pPr>
        <w:ind w:left="720" w:hanging="360"/>
      </w:pPr>
      <w:rPr>
        <w:rFonts w:ascii="Symbol" w:hAnsi="Symbol" w:hint="default"/>
      </w:rPr>
    </w:lvl>
    <w:lvl w:ilvl="1" w:tplc="EEA49FAE">
      <w:numFmt w:val="decimal"/>
      <w:lvlText w:val=""/>
      <w:lvlJc w:val="left"/>
    </w:lvl>
    <w:lvl w:ilvl="2" w:tplc="56F2EA2A">
      <w:numFmt w:val="decimal"/>
      <w:lvlText w:val=""/>
      <w:lvlJc w:val="left"/>
    </w:lvl>
    <w:lvl w:ilvl="3" w:tplc="E732F1F6">
      <w:numFmt w:val="decimal"/>
      <w:lvlText w:val=""/>
      <w:lvlJc w:val="left"/>
    </w:lvl>
    <w:lvl w:ilvl="4" w:tplc="0108DB84">
      <w:numFmt w:val="decimal"/>
      <w:lvlText w:val=""/>
      <w:lvlJc w:val="left"/>
    </w:lvl>
    <w:lvl w:ilvl="5" w:tplc="193A12C4">
      <w:numFmt w:val="decimal"/>
      <w:lvlText w:val=""/>
      <w:lvlJc w:val="left"/>
    </w:lvl>
    <w:lvl w:ilvl="6" w:tplc="431AD0D4">
      <w:numFmt w:val="decimal"/>
      <w:lvlText w:val=""/>
      <w:lvlJc w:val="left"/>
    </w:lvl>
    <w:lvl w:ilvl="7" w:tplc="065AF634">
      <w:numFmt w:val="decimal"/>
      <w:lvlText w:val=""/>
      <w:lvlJc w:val="left"/>
    </w:lvl>
    <w:lvl w:ilvl="8" w:tplc="DE0AAA92">
      <w:numFmt w:val="decimal"/>
      <w:lvlText w:val=""/>
      <w:lvlJc w:val="left"/>
    </w:lvl>
  </w:abstractNum>
  <w:abstractNum w:abstractNumId="847" w15:restartNumberingAfterBreak="0">
    <w:nsid w:val="592406D4"/>
    <w:multiLevelType w:val="hybridMultilevel"/>
    <w:tmpl w:val="5DAAC96C"/>
    <w:lvl w:ilvl="0" w:tplc="DF7635C8">
      <w:start w:val="1"/>
      <w:numFmt w:val="bullet"/>
      <w:lvlText w:val=""/>
      <w:lvlJc w:val="left"/>
      <w:pPr>
        <w:ind w:left="720" w:hanging="360"/>
      </w:pPr>
      <w:rPr>
        <w:rFonts w:ascii="Symbol" w:hAnsi="Symbol" w:hint="default"/>
      </w:rPr>
    </w:lvl>
    <w:lvl w:ilvl="1" w:tplc="B2284E56">
      <w:numFmt w:val="decimal"/>
      <w:lvlText w:val=""/>
      <w:lvlJc w:val="left"/>
    </w:lvl>
    <w:lvl w:ilvl="2" w:tplc="9E964800">
      <w:numFmt w:val="decimal"/>
      <w:lvlText w:val=""/>
      <w:lvlJc w:val="left"/>
    </w:lvl>
    <w:lvl w:ilvl="3" w:tplc="A3BCE458">
      <w:numFmt w:val="decimal"/>
      <w:lvlText w:val=""/>
      <w:lvlJc w:val="left"/>
    </w:lvl>
    <w:lvl w:ilvl="4" w:tplc="A3FA6124">
      <w:numFmt w:val="decimal"/>
      <w:lvlText w:val=""/>
      <w:lvlJc w:val="left"/>
    </w:lvl>
    <w:lvl w:ilvl="5" w:tplc="34866AD0">
      <w:numFmt w:val="decimal"/>
      <w:lvlText w:val=""/>
      <w:lvlJc w:val="left"/>
    </w:lvl>
    <w:lvl w:ilvl="6" w:tplc="39CC9A26">
      <w:numFmt w:val="decimal"/>
      <w:lvlText w:val=""/>
      <w:lvlJc w:val="left"/>
    </w:lvl>
    <w:lvl w:ilvl="7" w:tplc="129067B8">
      <w:numFmt w:val="decimal"/>
      <w:lvlText w:val=""/>
      <w:lvlJc w:val="left"/>
    </w:lvl>
    <w:lvl w:ilvl="8" w:tplc="77E0478A">
      <w:numFmt w:val="decimal"/>
      <w:lvlText w:val=""/>
      <w:lvlJc w:val="left"/>
    </w:lvl>
  </w:abstractNum>
  <w:abstractNum w:abstractNumId="848" w15:restartNumberingAfterBreak="0">
    <w:nsid w:val="592E7781"/>
    <w:multiLevelType w:val="hybridMultilevel"/>
    <w:tmpl w:val="A2EA9DE0"/>
    <w:lvl w:ilvl="0" w:tplc="0CBAA0A4">
      <w:start w:val="1"/>
      <w:numFmt w:val="bullet"/>
      <w:lvlText w:val=""/>
      <w:lvlJc w:val="left"/>
      <w:pPr>
        <w:ind w:left="720" w:hanging="360"/>
      </w:pPr>
      <w:rPr>
        <w:rFonts w:ascii="Symbol" w:hAnsi="Symbol" w:hint="default"/>
      </w:rPr>
    </w:lvl>
    <w:lvl w:ilvl="1" w:tplc="27764C82">
      <w:numFmt w:val="decimal"/>
      <w:lvlText w:val=""/>
      <w:lvlJc w:val="left"/>
    </w:lvl>
    <w:lvl w:ilvl="2" w:tplc="96968CBA">
      <w:numFmt w:val="decimal"/>
      <w:lvlText w:val=""/>
      <w:lvlJc w:val="left"/>
    </w:lvl>
    <w:lvl w:ilvl="3" w:tplc="61D6EA42">
      <w:numFmt w:val="decimal"/>
      <w:lvlText w:val=""/>
      <w:lvlJc w:val="left"/>
    </w:lvl>
    <w:lvl w:ilvl="4" w:tplc="962EF678">
      <w:numFmt w:val="decimal"/>
      <w:lvlText w:val=""/>
      <w:lvlJc w:val="left"/>
    </w:lvl>
    <w:lvl w:ilvl="5" w:tplc="E04C71FA">
      <w:numFmt w:val="decimal"/>
      <w:lvlText w:val=""/>
      <w:lvlJc w:val="left"/>
    </w:lvl>
    <w:lvl w:ilvl="6" w:tplc="2856D3C6">
      <w:numFmt w:val="decimal"/>
      <w:lvlText w:val=""/>
      <w:lvlJc w:val="left"/>
    </w:lvl>
    <w:lvl w:ilvl="7" w:tplc="D4B6DF00">
      <w:numFmt w:val="decimal"/>
      <w:lvlText w:val=""/>
      <w:lvlJc w:val="left"/>
    </w:lvl>
    <w:lvl w:ilvl="8" w:tplc="AD3ED45C">
      <w:numFmt w:val="decimal"/>
      <w:lvlText w:val=""/>
      <w:lvlJc w:val="left"/>
    </w:lvl>
  </w:abstractNum>
  <w:abstractNum w:abstractNumId="849" w15:restartNumberingAfterBreak="0">
    <w:nsid w:val="59350E74"/>
    <w:multiLevelType w:val="hybridMultilevel"/>
    <w:tmpl w:val="54BAC148"/>
    <w:lvl w:ilvl="0" w:tplc="A2EE3234">
      <w:start w:val="1"/>
      <w:numFmt w:val="bullet"/>
      <w:lvlText w:val=""/>
      <w:lvlJc w:val="left"/>
      <w:pPr>
        <w:ind w:left="720" w:hanging="360"/>
      </w:pPr>
      <w:rPr>
        <w:rFonts w:ascii="Symbol" w:hAnsi="Symbol" w:hint="default"/>
      </w:rPr>
    </w:lvl>
    <w:lvl w:ilvl="1" w:tplc="52A01378">
      <w:numFmt w:val="decimal"/>
      <w:lvlText w:val=""/>
      <w:lvlJc w:val="left"/>
    </w:lvl>
    <w:lvl w:ilvl="2" w:tplc="27B6E734">
      <w:numFmt w:val="decimal"/>
      <w:lvlText w:val=""/>
      <w:lvlJc w:val="left"/>
    </w:lvl>
    <w:lvl w:ilvl="3" w:tplc="6D4A238E">
      <w:numFmt w:val="decimal"/>
      <w:lvlText w:val=""/>
      <w:lvlJc w:val="left"/>
    </w:lvl>
    <w:lvl w:ilvl="4" w:tplc="65165600">
      <w:numFmt w:val="decimal"/>
      <w:lvlText w:val=""/>
      <w:lvlJc w:val="left"/>
    </w:lvl>
    <w:lvl w:ilvl="5" w:tplc="93ACCF68">
      <w:numFmt w:val="decimal"/>
      <w:lvlText w:val=""/>
      <w:lvlJc w:val="left"/>
    </w:lvl>
    <w:lvl w:ilvl="6" w:tplc="63C86966">
      <w:numFmt w:val="decimal"/>
      <w:lvlText w:val=""/>
      <w:lvlJc w:val="left"/>
    </w:lvl>
    <w:lvl w:ilvl="7" w:tplc="C97E5E80">
      <w:numFmt w:val="decimal"/>
      <w:lvlText w:val=""/>
      <w:lvlJc w:val="left"/>
    </w:lvl>
    <w:lvl w:ilvl="8" w:tplc="D5C6946E">
      <w:numFmt w:val="decimal"/>
      <w:lvlText w:val=""/>
      <w:lvlJc w:val="left"/>
    </w:lvl>
  </w:abstractNum>
  <w:abstractNum w:abstractNumId="850" w15:restartNumberingAfterBreak="0">
    <w:nsid w:val="59387A30"/>
    <w:multiLevelType w:val="hybridMultilevel"/>
    <w:tmpl w:val="BEE4DC3E"/>
    <w:lvl w:ilvl="0" w:tplc="F49CAE76">
      <w:start w:val="1"/>
      <w:numFmt w:val="bullet"/>
      <w:lvlText w:val=""/>
      <w:lvlJc w:val="left"/>
      <w:pPr>
        <w:ind w:left="720" w:hanging="360"/>
      </w:pPr>
      <w:rPr>
        <w:rFonts w:ascii="Symbol" w:hAnsi="Symbol" w:hint="default"/>
      </w:rPr>
    </w:lvl>
    <w:lvl w:ilvl="1" w:tplc="8B162B78">
      <w:numFmt w:val="decimal"/>
      <w:lvlText w:val=""/>
      <w:lvlJc w:val="left"/>
    </w:lvl>
    <w:lvl w:ilvl="2" w:tplc="EF703180">
      <w:numFmt w:val="decimal"/>
      <w:lvlText w:val=""/>
      <w:lvlJc w:val="left"/>
    </w:lvl>
    <w:lvl w:ilvl="3" w:tplc="780A8618">
      <w:numFmt w:val="decimal"/>
      <w:lvlText w:val=""/>
      <w:lvlJc w:val="left"/>
    </w:lvl>
    <w:lvl w:ilvl="4" w:tplc="B7FAA0E2">
      <w:numFmt w:val="decimal"/>
      <w:lvlText w:val=""/>
      <w:lvlJc w:val="left"/>
    </w:lvl>
    <w:lvl w:ilvl="5" w:tplc="A000A114">
      <w:numFmt w:val="decimal"/>
      <w:lvlText w:val=""/>
      <w:lvlJc w:val="left"/>
    </w:lvl>
    <w:lvl w:ilvl="6" w:tplc="0A0A758A">
      <w:numFmt w:val="decimal"/>
      <w:lvlText w:val=""/>
      <w:lvlJc w:val="left"/>
    </w:lvl>
    <w:lvl w:ilvl="7" w:tplc="B78AA932">
      <w:numFmt w:val="decimal"/>
      <w:lvlText w:val=""/>
      <w:lvlJc w:val="left"/>
    </w:lvl>
    <w:lvl w:ilvl="8" w:tplc="931C4248">
      <w:numFmt w:val="decimal"/>
      <w:lvlText w:val=""/>
      <w:lvlJc w:val="left"/>
    </w:lvl>
  </w:abstractNum>
  <w:abstractNum w:abstractNumId="851" w15:restartNumberingAfterBreak="0">
    <w:nsid w:val="594033B0"/>
    <w:multiLevelType w:val="hybridMultilevel"/>
    <w:tmpl w:val="3AF89030"/>
    <w:lvl w:ilvl="0" w:tplc="F3884B3A">
      <w:start w:val="1"/>
      <w:numFmt w:val="bullet"/>
      <w:lvlText w:val=""/>
      <w:lvlJc w:val="left"/>
      <w:pPr>
        <w:ind w:left="720" w:hanging="360"/>
      </w:pPr>
      <w:rPr>
        <w:rFonts w:ascii="Symbol" w:hAnsi="Symbol" w:hint="default"/>
      </w:rPr>
    </w:lvl>
    <w:lvl w:ilvl="1" w:tplc="7C680F4E">
      <w:numFmt w:val="decimal"/>
      <w:lvlText w:val=""/>
      <w:lvlJc w:val="left"/>
    </w:lvl>
    <w:lvl w:ilvl="2" w:tplc="72BC15E4">
      <w:numFmt w:val="decimal"/>
      <w:lvlText w:val=""/>
      <w:lvlJc w:val="left"/>
    </w:lvl>
    <w:lvl w:ilvl="3" w:tplc="2370CC80">
      <w:numFmt w:val="decimal"/>
      <w:lvlText w:val=""/>
      <w:lvlJc w:val="left"/>
    </w:lvl>
    <w:lvl w:ilvl="4" w:tplc="E4F0754E">
      <w:numFmt w:val="decimal"/>
      <w:lvlText w:val=""/>
      <w:lvlJc w:val="left"/>
    </w:lvl>
    <w:lvl w:ilvl="5" w:tplc="A46EBFAC">
      <w:numFmt w:val="decimal"/>
      <w:lvlText w:val=""/>
      <w:lvlJc w:val="left"/>
    </w:lvl>
    <w:lvl w:ilvl="6" w:tplc="D516431A">
      <w:numFmt w:val="decimal"/>
      <w:lvlText w:val=""/>
      <w:lvlJc w:val="left"/>
    </w:lvl>
    <w:lvl w:ilvl="7" w:tplc="AAD09418">
      <w:numFmt w:val="decimal"/>
      <w:lvlText w:val=""/>
      <w:lvlJc w:val="left"/>
    </w:lvl>
    <w:lvl w:ilvl="8" w:tplc="033C90BC">
      <w:numFmt w:val="decimal"/>
      <w:lvlText w:val=""/>
      <w:lvlJc w:val="left"/>
    </w:lvl>
  </w:abstractNum>
  <w:abstractNum w:abstractNumId="852" w15:restartNumberingAfterBreak="0">
    <w:nsid w:val="59642101"/>
    <w:multiLevelType w:val="hybridMultilevel"/>
    <w:tmpl w:val="D4C66E3C"/>
    <w:lvl w:ilvl="0" w:tplc="94E20E32">
      <w:start w:val="1"/>
      <w:numFmt w:val="bullet"/>
      <w:lvlText w:val=""/>
      <w:lvlJc w:val="left"/>
      <w:pPr>
        <w:ind w:left="720" w:hanging="360"/>
      </w:pPr>
      <w:rPr>
        <w:rFonts w:ascii="Symbol" w:hAnsi="Symbol" w:hint="default"/>
      </w:rPr>
    </w:lvl>
    <w:lvl w:ilvl="1" w:tplc="034CC210">
      <w:numFmt w:val="decimal"/>
      <w:lvlText w:val=""/>
      <w:lvlJc w:val="left"/>
    </w:lvl>
    <w:lvl w:ilvl="2" w:tplc="7C123816">
      <w:numFmt w:val="decimal"/>
      <w:lvlText w:val=""/>
      <w:lvlJc w:val="left"/>
    </w:lvl>
    <w:lvl w:ilvl="3" w:tplc="0C020CA8">
      <w:numFmt w:val="decimal"/>
      <w:lvlText w:val=""/>
      <w:lvlJc w:val="left"/>
    </w:lvl>
    <w:lvl w:ilvl="4" w:tplc="07D8527A">
      <w:numFmt w:val="decimal"/>
      <w:lvlText w:val=""/>
      <w:lvlJc w:val="left"/>
    </w:lvl>
    <w:lvl w:ilvl="5" w:tplc="9F0C21CC">
      <w:numFmt w:val="decimal"/>
      <w:lvlText w:val=""/>
      <w:lvlJc w:val="left"/>
    </w:lvl>
    <w:lvl w:ilvl="6" w:tplc="0E10C9B8">
      <w:numFmt w:val="decimal"/>
      <w:lvlText w:val=""/>
      <w:lvlJc w:val="left"/>
    </w:lvl>
    <w:lvl w:ilvl="7" w:tplc="27C66222">
      <w:numFmt w:val="decimal"/>
      <w:lvlText w:val=""/>
      <w:lvlJc w:val="left"/>
    </w:lvl>
    <w:lvl w:ilvl="8" w:tplc="31A88288">
      <w:numFmt w:val="decimal"/>
      <w:lvlText w:val=""/>
      <w:lvlJc w:val="left"/>
    </w:lvl>
  </w:abstractNum>
  <w:abstractNum w:abstractNumId="853" w15:restartNumberingAfterBreak="0">
    <w:nsid w:val="59BB3673"/>
    <w:multiLevelType w:val="hybridMultilevel"/>
    <w:tmpl w:val="289AFFC6"/>
    <w:lvl w:ilvl="0" w:tplc="EDBCDBD0">
      <w:start w:val="1"/>
      <w:numFmt w:val="bullet"/>
      <w:lvlText w:val=""/>
      <w:lvlJc w:val="left"/>
      <w:pPr>
        <w:ind w:left="720" w:hanging="360"/>
      </w:pPr>
      <w:rPr>
        <w:rFonts w:ascii="Symbol" w:hAnsi="Symbol" w:hint="default"/>
      </w:rPr>
    </w:lvl>
    <w:lvl w:ilvl="1" w:tplc="6604013C">
      <w:numFmt w:val="decimal"/>
      <w:lvlText w:val=""/>
      <w:lvlJc w:val="left"/>
    </w:lvl>
    <w:lvl w:ilvl="2" w:tplc="9B3E09E4">
      <w:numFmt w:val="decimal"/>
      <w:lvlText w:val=""/>
      <w:lvlJc w:val="left"/>
    </w:lvl>
    <w:lvl w:ilvl="3" w:tplc="DC568892">
      <w:numFmt w:val="decimal"/>
      <w:lvlText w:val=""/>
      <w:lvlJc w:val="left"/>
    </w:lvl>
    <w:lvl w:ilvl="4" w:tplc="D1F2BA00">
      <w:numFmt w:val="decimal"/>
      <w:lvlText w:val=""/>
      <w:lvlJc w:val="left"/>
    </w:lvl>
    <w:lvl w:ilvl="5" w:tplc="0ED0813E">
      <w:numFmt w:val="decimal"/>
      <w:lvlText w:val=""/>
      <w:lvlJc w:val="left"/>
    </w:lvl>
    <w:lvl w:ilvl="6" w:tplc="B6E6116A">
      <w:numFmt w:val="decimal"/>
      <w:lvlText w:val=""/>
      <w:lvlJc w:val="left"/>
    </w:lvl>
    <w:lvl w:ilvl="7" w:tplc="734244B6">
      <w:numFmt w:val="decimal"/>
      <w:lvlText w:val=""/>
      <w:lvlJc w:val="left"/>
    </w:lvl>
    <w:lvl w:ilvl="8" w:tplc="609EFF64">
      <w:numFmt w:val="decimal"/>
      <w:lvlText w:val=""/>
      <w:lvlJc w:val="left"/>
    </w:lvl>
  </w:abstractNum>
  <w:abstractNum w:abstractNumId="854" w15:restartNumberingAfterBreak="0">
    <w:nsid w:val="59EF5DE3"/>
    <w:multiLevelType w:val="hybridMultilevel"/>
    <w:tmpl w:val="50182996"/>
    <w:lvl w:ilvl="0" w:tplc="DFDC775E">
      <w:start w:val="1"/>
      <w:numFmt w:val="bullet"/>
      <w:lvlText w:val=""/>
      <w:lvlJc w:val="left"/>
      <w:pPr>
        <w:ind w:left="720" w:hanging="360"/>
      </w:pPr>
      <w:rPr>
        <w:rFonts w:ascii="Symbol" w:hAnsi="Symbol" w:hint="default"/>
      </w:rPr>
    </w:lvl>
    <w:lvl w:ilvl="1" w:tplc="DB2A78F6">
      <w:numFmt w:val="decimal"/>
      <w:lvlText w:val=""/>
      <w:lvlJc w:val="left"/>
    </w:lvl>
    <w:lvl w:ilvl="2" w:tplc="1294196A">
      <w:numFmt w:val="decimal"/>
      <w:lvlText w:val=""/>
      <w:lvlJc w:val="left"/>
    </w:lvl>
    <w:lvl w:ilvl="3" w:tplc="4FE6C1F8">
      <w:numFmt w:val="decimal"/>
      <w:lvlText w:val=""/>
      <w:lvlJc w:val="left"/>
    </w:lvl>
    <w:lvl w:ilvl="4" w:tplc="DF683124">
      <w:numFmt w:val="decimal"/>
      <w:lvlText w:val=""/>
      <w:lvlJc w:val="left"/>
    </w:lvl>
    <w:lvl w:ilvl="5" w:tplc="AE66F3BA">
      <w:numFmt w:val="decimal"/>
      <w:lvlText w:val=""/>
      <w:lvlJc w:val="left"/>
    </w:lvl>
    <w:lvl w:ilvl="6" w:tplc="CC9E83AE">
      <w:numFmt w:val="decimal"/>
      <w:lvlText w:val=""/>
      <w:lvlJc w:val="left"/>
    </w:lvl>
    <w:lvl w:ilvl="7" w:tplc="34EA4592">
      <w:numFmt w:val="decimal"/>
      <w:lvlText w:val=""/>
      <w:lvlJc w:val="left"/>
    </w:lvl>
    <w:lvl w:ilvl="8" w:tplc="55589F46">
      <w:numFmt w:val="decimal"/>
      <w:lvlText w:val=""/>
      <w:lvlJc w:val="left"/>
    </w:lvl>
  </w:abstractNum>
  <w:abstractNum w:abstractNumId="855" w15:restartNumberingAfterBreak="0">
    <w:nsid w:val="5A327662"/>
    <w:multiLevelType w:val="hybridMultilevel"/>
    <w:tmpl w:val="D234AA08"/>
    <w:lvl w:ilvl="0" w:tplc="96B083D8">
      <w:start w:val="1"/>
      <w:numFmt w:val="bullet"/>
      <w:lvlText w:val=""/>
      <w:lvlJc w:val="left"/>
      <w:pPr>
        <w:ind w:left="720" w:hanging="360"/>
      </w:pPr>
      <w:rPr>
        <w:rFonts w:ascii="Symbol" w:hAnsi="Symbol" w:hint="default"/>
      </w:rPr>
    </w:lvl>
    <w:lvl w:ilvl="1" w:tplc="918AF8CA">
      <w:numFmt w:val="decimal"/>
      <w:lvlText w:val=""/>
      <w:lvlJc w:val="left"/>
    </w:lvl>
    <w:lvl w:ilvl="2" w:tplc="2A6A8C72">
      <w:numFmt w:val="decimal"/>
      <w:lvlText w:val=""/>
      <w:lvlJc w:val="left"/>
    </w:lvl>
    <w:lvl w:ilvl="3" w:tplc="7CF64AEE">
      <w:numFmt w:val="decimal"/>
      <w:lvlText w:val=""/>
      <w:lvlJc w:val="left"/>
    </w:lvl>
    <w:lvl w:ilvl="4" w:tplc="1310C35A">
      <w:numFmt w:val="decimal"/>
      <w:lvlText w:val=""/>
      <w:lvlJc w:val="left"/>
    </w:lvl>
    <w:lvl w:ilvl="5" w:tplc="CD7E0A22">
      <w:numFmt w:val="decimal"/>
      <w:lvlText w:val=""/>
      <w:lvlJc w:val="left"/>
    </w:lvl>
    <w:lvl w:ilvl="6" w:tplc="04741EA0">
      <w:numFmt w:val="decimal"/>
      <w:lvlText w:val=""/>
      <w:lvlJc w:val="left"/>
    </w:lvl>
    <w:lvl w:ilvl="7" w:tplc="3E9AF19C">
      <w:numFmt w:val="decimal"/>
      <w:lvlText w:val=""/>
      <w:lvlJc w:val="left"/>
    </w:lvl>
    <w:lvl w:ilvl="8" w:tplc="A0BA997A">
      <w:numFmt w:val="decimal"/>
      <w:lvlText w:val=""/>
      <w:lvlJc w:val="left"/>
    </w:lvl>
  </w:abstractNum>
  <w:abstractNum w:abstractNumId="856" w15:restartNumberingAfterBreak="0">
    <w:nsid w:val="5A454058"/>
    <w:multiLevelType w:val="hybridMultilevel"/>
    <w:tmpl w:val="4A367E1E"/>
    <w:lvl w:ilvl="0" w:tplc="E6969B00">
      <w:start w:val="1"/>
      <w:numFmt w:val="bullet"/>
      <w:lvlText w:val=""/>
      <w:lvlJc w:val="left"/>
      <w:pPr>
        <w:ind w:left="720" w:hanging="360"/>
      </w:pPr>
      <w:rPr>
        <w:rFonts w:ascii="Symbol" w:hAnsi="Symbol" w:hint="default"/>
      </w:rPr>
    </w:lvl>
    <w:lvl w:ilvl="1" w:tplc="ECDC5030">
      <w:numFmt w:val="decimal"/>
      <w:lvlText w:val=""/>
      <w:lvlJc w:val="left"/>
    </w:lvl>
    <w:lvl w:ilvl="2" w:tplc="93FC9AC6">
      <w:numFmt w:val="decimal"/>
      <w:lvlText w:val=""/>
      <w:lvlJc w:val="left"/>
    </w:lvl>
    <w:lvl w:ilvl="3" w:tplc="43C091B8">
      <w:numFmt w:val="decimal"/>
      <w:lvlText w:val=""/>
      <w:lvlJc w:val="left"/>
    </w:lvl>
    <w:lvl w:ilvl="4" w:tplc="ACD61D80">
      <w:numFmt w:val="decimal"/>
      <w:lvlText w:val=""/>
      <w:lvlJc w:val="left"/>
    </w:lvl>
    <w:lvl w:ilvl="5" w:tplc="275C4A76">
      <w:numFmt w:val="decimal"/>
      <w:lvlText w:val=""/>
      <w:lvlJc w:val="left"/>
    </w:lvl>
    <w:lvl w:ilvl="6" w:tplc="E2A8EFE6">
      <w:numFmt w:val="decimal"/>
      <w:lvlText w:val=""/>
      <w:lvlJc w:val="left"/>
    </w:lvl>
    <w:lvl w:ilvl="7" w:tplc="FBAECCAC">
      <w:numFmt w:val="decimal"/>
      <w:lvlText w:val=""/>
      <w:lvlJc w:val="left"/>
    </w:lvl>
    <w:lvl w:ilvl="8" w:tplc="892275F2">
      <w:numFmt w:val="decimal"/>
      <w:lvlText w:val=""/>
      <w:lvlJc w:val="left"/>
    </w:lvl>
  </w:abstractNum>
  <w:abstractNum w:abstractNumId="857" w15:restartNumberingAfterBreak="0">
    <w:nsid w:val="5A65217F"/>
    <w:multiLevelType w:val="hybridMultilevel"/>
    <w:tmpl w:val="92F2B430"/>
    <w:lvl w:ilvl="0" w:tplc="3D6E3640">
      <w:start w:val="1"/>
      <w:numFmt w:val="bullet"/>
      <w:lvlText w:val=""/>
      <w:lvlJc w:val="left"/>
      <w:pPr>
        <w:ind w:left="720" w:hanging="360"/>
      </w:pPr>
      <w:rPr>
        <w:rFonts w:ascii="Symbol" w:hAnsi="Symbol" w:hint="default"/>
      </w:rPr>
    </w:lvl>
    <w:lvl w:ilvl="1" w:tplc="A5065042">
      <w:numFmt w:val="decimal"/>
      <w:lvlText w:val=""/>
      <w:lvlJc w:val="left"/>
    </w:lvl>
    <w:lvl w:ilvl="2" w:tplc="8E783C6C">
      <w:numFmt w:val="decimal"/>
      <w:lvlText w:val=""/>
      <w:lvlJc w:val="left"/>
    </w:lvl>
    <w:lvl w:ilvl="3" w:tplc="8D2C6CCC">
      <w:numFmt w:val="decimal"/>
      <w:lvlText w:val=""/>
      <w:lvlJc w:val="left"/>
    </w:lvl>
    <w:lvl w:ilvl="4" w:tplc="64163D82">
      <w:numFmt w:val="decimal"/>
      <w:lvlText w:val=""/>
      <w:lvlJc w:val="left"/>
    </w:lvl>
    <w:lvl w:ilvl="5" w:tplc="0A0A9DE4">
      <w:numFmt w:val="decimal"/>
      <w:lvlText w:val=""/>
      <w:lvlJc w:val="left"/>
    </w:lvl>
    <w:lvl w:ilvl="6" w:tplc="AD88AC46">
      <w:numFmt w:val="decimal"/>
      <w:lvlText w:val=""/>
      <w:lvlJc w:val="left"/>
    </w:lvl>
    <w:lvl w:ilvl="7" w:tplc="A1221D64">
      <w:numFmt w:val="decimal"/>
      <w:lvlText w:val=""/>
      <w:lvlJc w:val="left"/>
    </w:lvl>
    <w:lvl w:ilvl="8" w:tplc="0DA6DADC">
      <w:numFmt w:val="decimal"/>
      <w:lvlText w:val=""/>
      <w:lvlJc w:val="left"/>
    </w:lvl>
  </w:abstractNum>
  <w:abstractNum w:abstractNumId="858" w15:restartNumberingAfterBreak="0">
    <w:nsid w:val="5A792B93"/>
    <w:multiLevelType w:val="hybridMultilevel"/>
    <w:tmpl w:val="B6489CD0"/>
    <w:lvl w:ilvl="0" w:tplc="5A0C00E6">
      <w:start w:val="1"/>
      <w:numFmt w:val="bullet"/>
      <w:lvlText w:val=""/>
      <w:lvlJc w:val="left"/>
      <w:pPr>
        <w:ind w:left="720" w:hanging="360"/>
      </w:pPr>
      <w:rPr>
        <w:rFonts w:ascii="Symbol" w:hAnsi="Symbol" w:hint="default"/>
      </w:rPr>
    </w:lvl>
    <w:lvl w:ilvl="1" w:tplc="F776F19E">
      <w:numFmt w:val="decimal"/>
      <w:lvlText w:val=""/>
      <w:lvlJc w:val="left"/>
    </w:lvl>
    <w:lvl w:ilvl="2" w:tplc="CA8273B6">
      <w:numFmt w:val="decimal"/>
      <w:lvlText w:val=""/>
      <w:lvlJc w:val="left"/>
    </w:lvl>
    <w:lvl w:ilvl="3" w:tplc="69CC318C">
      <w:numFmt w:val="decimal"/>
      <w:lvlText w:val=""/>
      <w:lvlJc w:val="left"/>
    </w:lvl>
    <w:lvl w:ilvl="4" w:tplc="23389DAC">
      <w:numFmt w:val="decimal"/>
      <w:lvlText w:val=""/>
      <w:lvlJc w:val="left"/>
    </w:lvl>
    <w:lvl w:ilvl="5" w:tplc="3F3A192E">
      <w:numFmt w:val="decimal"/>
      <w:lvlText w:val=""/>
      <w:lvlJc w:val="left"/>
    </w:lvl>
    <w:lvl w:ilvl="6" w:tplc="4822C8EC">
      <w:numFmt w:val="decimal"/>
      <w:lvlText w:val=""/>
      <w:lvlJc w:val="left"/>
    </w:lvl>
    <w:lvl w:ilvl="7" w:tplc="A41A1BC6">
      <w:numFmt w:val="decimal"/>
      <w:lvlText w:val=""/>
      <w:lvlJc w:val="left"/>
    </w:lvl>
    <w:lvl w:ilvl="8" w:tplc="D13A2E58">
      <w:numFmt w:val="decimal"/>
      <w:lvlText w:val=""/>
      <w:lvlJc w:val="left"/>
    </w:lvl>
  </w:abstractNum>
  <w:abstractNum w:abstractNumId="859" w15:restartNumberingAfterBreak="0">
    <w:nsid w:val="5AB1082C"/>
    <w:multiLevelType w:val="hybridMultilevel"/>
    <w:tmpl w:val="70F61A1C"/>
    <w:lvl w:ilvl="0" w:tplc="FF8EB90C">
      <w:start w:val="1"/>
      <w:numFmt w:val="bullet"/>
      <w:lvlText w:val=""/>
      <w:lvlJc w:val="left"/>
      <w:pPr>
        <w:ind w:left="720" w:hanging="360"/>
      </w:pPr>
      <w:rPr>
        <w:rFonts w:ascii="Symbol" w:hAnsi="Symbol" w:hint="default"/>
      </w:rPr>
    </w:lvl>
    <w:lvl w:ilvl="1" w:tplc="797E5AE6">
      <w:numFmt w:val="decimal"/>
      <w:lvlText w:val=""/>
      <w:lvlJc w:val="left"/>
    </w:lvl>
    <w:lvl w:ilvl="2" w:tplc="85A696CE">
      <w:numFmt w:val="decimal"/>
      <w:lvlText w:val=""/>
      <w:lvlJc w:val="left"/>
    </w:lvl>
    <w:lvl w:ilvl="3" w:tplc="086A258E">
      <w:numFmt w:val="decimal"/>
      <w:lvlText w:val=""/>
      <w:lvlJc w:val="left"/>
    </w:lvl>
    <w:lvl w:ilvl="4" w:tplc="011C05D6">
      <w:numFmt w:val="decimal"/>
      <w:lvlText w:val=""/>
      <w:lvlJc w:val="left"/>
    </w:lvl>
    <w:lvl w:ilvl="5" w:tplc="2D0E0104">
      <w:numFmt w:val="decimal"/>
      <w:lvlText w:val=""/>
      <w:lvlJc w:val="left"/>
    </w:lvl>
    <w:lvl w:ilvl="6" w:tplc="4078CD6C">
      <w:numFmt w:val="decimal"/>
      <w:lvlText w:val=""/>
      <w:lvlJc w:val="left"/>
    </w:lvl>
    <w:lvl w:ilvl="7" w:tplc="2548BB26">
      <w:numFmt w:val="decimal"/>
      <w:lvlText w:val=""/>
      <w:lvlJc w:val="left"/>
    </w:lvl>
    <w:lvl w:ilvl="8" w:tplc="58562D28">
      <w:numFmt w:val="decimal"/>
      <w:lvlText w:val=""/>
      <w:lvlJc w:val="left"/>
    </w:lvl>
  </w:abstractNum>
  <w:abstractNum w:abstractNumId="860" w15:restartNumberingAfterBreak="0">
    <w:nsid w:val="5AB218F0"/>
    <w:multiLevelType w:val="hybridMultilevel"/>
    <w:tmpl w:val="BC44F306"/>
    <w:lvl w:ilvl="0" w:tplc="C6EE3D02">
      <w:start w:val="1"/>
      <w:numFmt w:val="bullet"/>
      <w:lvlText w:val=""/>
      <w:lvlJc w:val="left"/>
      <w:pPr>
        <w:ind w:left="720" w:hanging="360"/>
      </w:pPr>
      <w:rPr>
        <w:rFonts w:ascii="Symbol" w:hAnsi="Symbol" w:hint="default"/>
      </w:rPr>
    </w:lvl>
    <w:lvl w:ilvl="1" w:tplc="CD0CC5DA">
      <w:numFmt w:val="decimal"/>
      <w:lvlText w:val=""/>
      <w:lvlJc w:val="left"/>
    </w:lvl>
    <w:lvl w:ilvl="2" w:tplc="C92884EC">
      <w:numFmt w:val="decimal"/>
      <w:lvlText w:val=""/>
      <w:lvlJc w:val="left"/>
    </w:lvl>
    <w:lvl w:ilvl="3" w:tplc="E2380DA6">
      <w:numFmt w:val="decimal"/>
      <w:lvlText w:val=""/>
      <w:lvlJc w:val="left"/>
    </w:lvl>
    <w:lvl w:ilvl="4" w:tplc="DE145788">
      <w:numFmt w:val="decimal"/>
      <w:lvlText w:val=""/>
      <w:lvlJc w:val="left"/>
    </w:lvl>
    <w:lvl w:ilvl="5" w:tplc="646875F0">
      <w:numFmt w:val="decimal"/>
      <w:lvlText w:val=""/>
      <w:lvlJc w:val="left"/>
    </w:lvl>
    <w:lvl w:ilvl="6" w:tplc="E76EF284">
      <w:numFmt w:val="decimal"/>
      <w:lvlText w:val=""/>
      <w:lvlJc w:val="left"/>
    </w:lvl>
    <w:lvl w:ilvl="7" w:tplc="5BF4F7CA">
      <w:numFmt w:val="decimal"/>
      <w:lvlText w:val=""/>
      <w:lvlJc w:val="left"/>
    </w:lvl>
    <w:lvl w:ilvl="8" w:tplc="930EE77E">
      <w:numFmt w:val="decimal"/>
      <w:lvlText w:val=""/>
      <w:lvlJc w:val="left"/>
    </w:lvl>
  </w:abstractNum>
  <w:abstractNum w:abstractNumId="861" w15:restartNumberingAfterBreak="0">
    <w:nsid w:val="5AB33D5F"/>
    <w:multiLevelType w:val="hybridMultilevel"/>
    <w:tmpl w:val="412EFF62"/>
    <w:lvl w:ilvl="0" w:tplc="E42878D2">
      <w:start w:val="1"/>
      <w:numFmt w:val="bullet"/>
      <w:lvlText w:val=""/>
      <w:lvlJc w:val="left"/>
      <w:pPr>
        <w:ind w:left="720" w:hanging="360"/>
      </w:pPr>
      <w:rPr>
        <w:rFonts w:ascii="Symbol" w:hAnsi="Symbol" w:hint="default"/>
      </w:rPr>
    </w:lvl>
    <w:lvl w:ilvl="1" w:tplc="9042C2F6">
      <w:numFmt w:val="decimal"/>
      <w:lvlText w:val=""/>
      <w:lvlJc w:val="left"/>
    </w:lvl>
    <w:lvl w:ilvl="2" w:tplc="F350DDBE">
      <w:numFmt w:val="decimal"/>
      <w:lvlText w:val=""/>
      <w:lvlJc w:val="left"/>
    </w:lvl>
    <w:lvl w:ilvl="3" w:tplc="48820AAE">
      <w:numFmt w:val="decimal"/>
      <w:lvlText w:val=""/>
      <w:lvlJc w:val="left"/>
    </w:lvl>
    <w:lvl w:ilvl="4" w:tplc="FD80A150">
      <w:numFmt w:val="decimal"/>
      <w:lvlText w:val=""/>
      <w:lvlJc w:val="left"/>
    </w:lvl>
    <w:lvl w:ilvl="5" w:tplc="0F1CE9A6">
      <w:numFmt w:val="decimal"/>
      <w:lvlText w:val=""/>
      <w:lvlJc w:val="left"/>
    </w:lvl>
    <w:lvl w:ilvl="6" w:tplc="2FE276B2">
      <w:numFmt w:val="decimal"/>
      <w:lvlText w:val=""/>
      <w:lvlJc w:val="left"/>
    </w:lvl>
    <w:lvl w:ilvl="7" w:tplc="0A78F666">
      <w:numFmt w:val="decimal"/>
      <w:lvlText w:val=""/>
      <w:lvlJc w:val="left"/>
    </w:lvl>
    <w:lvl w:ilvl="8" w:tplc="703E6502">
      <w:numFmt w:val="decimal"/>
      <w:lvlText w:val=""/>
      <w:lvlJc w:val="left"/>
    </w:lvl>
  </w:abstractNum>
  <w:abstractNum w:abstractNumId="862" w15:restartNumberingAfterBreak="0">
    <w:nsid w:val="5AB64064"/>
    <w:multiLevelType w:val="hybridMultilevel"/>
    <w:tmpl w:val="E690C2A2"/>
    <w:lvl w:ilvl="0" w:tplc="6554D3C6">
      <w:start w:val="1"/>
      <w:numFmt w:val="bullet"/>
      <w:lvlText w:val=""/>
      <w:lvlJc w:val="left"/>
      <w:pPr>
        <w:ind w:left="720" w:hanging="360"/>
      </w:pPr>
      <w:rPr>
        <w:rFonts w:ascii="Symbol" w:hAnsi="Symbol" w:hint="default"/>
      </w:rPr>
    </w:lvl>
    <w:lvl w:ilvl="1" w:tplc="EDBE23DE">
      <w:numFmt w:val="decimal"/>
      <w:lvlText w:val=""/>
      <w:lvlJc w:val="left"/>
    </w:lvl>
    <w:lvl w:ilvl="2" w:tplc="7DF49BF4">
      <w:numFmt w:val="decimal"/>
      <w:lvlText w:val=""/>
      <w:lvlJc w:val="left"/>
    </w:lvl>
    <w:lvl w:ilvl="3" w:tplc="54AA8544">
      <w:numFmt w:val="decimal"/>
      <w:lvlText w:val=""/>
      <w:lvlJc w:val="left"/>
    </w:lvl>
    <w:lvl w:ilvl="4" w:tplc="208ABE94">
      <w:numFmt w:val="decimal"/>
      <w:lvlText w:val=""/>
      <w:lvlJc w:val="left"/>
    </w:lvl>
    <w:lvl w:ilvl="5" w:tplc="BECC2228">
      <w:numFmt w:val="decimal"/>
      <w:lvlText w:val=""/>
      <w:lvlJc w:val="left"/>
    </w:lvl>
    <w:lvl w:ilvl="6" w:tplc="C2BE9BE2">
      <w:numFmt w:val="decimal"/>
      <w:lvlText w:val=""/>
      <w:lvlJc w:val="left"/>
    </w:lvl>
    <w:lvl w:ilvl="7" w:tplc="947E275A">
      <w:numFmt w:val="decimal"/>
      <w:lvlText w:val=""/>
      <w:lvlJc w:val="left"/>
    </w:lvl>
    <w:lvl w:ilvl="8" w:tplc="F9723582">
      <w:numFmt w:val="decimal"/>
      <w:lvlText w:val=""/>
      <w:lvlJc w:val="left"/>
    </w:lvl>
  </w:abstractNum>
  <w:abstractNum w:abstractNumId="863" w15:restartNumberingAfterBreak="0">
    <w:nsid w:val="5ADA332F"/>
    <w:multiLevelType w:val="hybridMultilevel"/>
    <w:tmpl w:val="8AB83438"/>
    <w:lvl w:ilvl="0" w:tplc="B9185E9A">
      <w:start w:val="1"/>
      <w:numFmt w:val="bullet"/>
      <w:lvlText w:val=""/>
      <w:lvlJc w:val="left"/>
      <w:pPr>
        <w:ind w:left="720" w:hanging="360"/>
      </w:pPr>
      <w:rPr>
        <w:rFonts w:ascii="Symbol" w:hAnsi="Symbol" w:hint="default"/>
      </w:rPr>
    </w:lvl>
    <w:lvl w:ilvl="1" w:tplc="C82CDAF2">
      <w:numFmt w:val="decimal"/>
      <w:lvlText w:val=""/>
      <w:lvlJc w:val="left"/>
    </w:lvl>
    <w:lvl w:ilvl="2" w:tplc="1E74C644">
      <w:numFmt w:val="decimal"/>
      <w:lvlText w:val=""/>
      <w:lvlJc w:val="left"/>
    </w:lvl>
    <w:lvl w:ilvl="3" w:tplc="DA301900">
      <w:numFmt w:val="decimal"/>
      <w:lvlText w:val=""/>
      <w:lvlJc w:val="left"/>
    </w:lvl>
    <w:lvl w:ilvl="4" w:tplc="6DD044FA">
      <w:numFmt w:val="decimal"/>
      <w:lvlText w:val=""/>
      <w:lvlJc w:val="left"/>
    </w:lvl>
    <w:lvl w:ilvl="5" w:tplc="8E7C9E2A">
      <w:numFmt w:val="decimal"/>
      <w:lvlText w:val=""/>
      <w:lvlJc w:val="left"/>
    </w:lvl>
    <w:lvl w:ilvl="6" w:tplc="46245C34">
      <w:numFmt w:val="decimal"/>
      <w:lvlText w:val=""/>
      <w:lvlJc w:val="left"/>
    </w:lvl>
    <w:lvl w:ilvl="7" w:tplc="A438A8AA">
      <w:numFmt w:val="decimal"/>
      <w:lvlText w:val=""/>
      <w:lvlJc w:val="left"/>
    </w:lvl>
    <w:lvl w:ilvl="8" w:tplc="1BC84BF4">
      <w:numFmt w:val="decimal"/>
      <w:lvlText w:val=""/>
      <w:lvlJc w:val="left"/>
    </w:lvl>
  </w:abstractNum>
  <w:abstractNum w:abstractNumId="864" w15:restartNumberingAfterBreak="0">
    <w:nsid w:val="5ADC69BA"/>
    <w:multiLevelType w:val="hybridMultilevel"/>
    <w:tmpl w:val="8D3A7410"/>
    <w:lvl w:ilvl="0" w:tplc="1390F406">
      <w:start w:val="1"/>
      <w:numFmt w:val="bullet"/>
      <w:lvlText w:val=""/>
      <w:lvlJc w:val="left"/>
      <w:pPr>
        <w:ind w:left="720" w:hanging="360"/>
      </w:pPr>
      <w:rPr>
        <w:rFonts w:ascii="Symbol" w:hAnsi="Symbol" w:hint="default"/>
      </w:rPr>
    </w:lvl>
    <w:lvl w:ilvl="1" w:tplc="50B24B3A">
      <w:numFmt w:val="decimal"/>
      <w:lvlText w:val=""/>
      <w:lvlJc w:val="left"/>
    </w:lvl>
    <w:lvl w:ilvl="2" w:tplc="41001192">
      <w:numFmt w:val="decimal"/>
      <w:lvlText w:val=""/>
      <w:lvlJc w:val="left"/>
    </w:lvl>
    <w:lvl w:ilvl="3" w:tplc="91FA978C">
      <w:numFmt w:val="decimal"/>
      <w:lvlText w:val=""/>
      <w:lvlJc w:val="left"/>
    </w:lvl>
    <w:lvl w:ilvl="4" w:tplc="46488CEE">
      <w:numFmt w:val="decimal"/>
      <w:lvlText w:val=""/>
      <w:lvlJc w:val="left"/>
    </w:lvl>
    <w:lvl w:ilvl="5" w:tplc="F58A5DF0">
      <w:numFmt w:val="decimal"/>
      <w:lvlText w:val=""/>
      <w:lvlJc w:val="left"/>
    </w:lvl>
    <w:lvl w:ilvl="6" w:tplc="5CFCACA0">
      <w:numFmt w:val="decimal"/>
      <w:lvlText w:val=""/>
      <w:lvlJc w:val="left"/>
    </w:lvl>
    <w:lvl w:ilvl="7" w:tplc="23BAFD2A">
      <w:numFmt w:val="decimal"/>
      <w:lvlText w:val=""/>
      <w:lvlJc w:val="left"/>
    </w:lvl>
    <w:lvl w:ilvl="8" w:tplc="C63A41FA">
      <w:numFmt w:val="decimal"/>
      <w:lvlText w:val=""/>
      <w:lvlJc w:val="left"/>
    </w:lvl>
  </w:abstractNum>
  <w:abstractNum w:abstractNumId="865" w15:restartNumberingAfterBreak="0">
    <w:nsid w:val="5ADD0C0E"/>
    <w:multiLevelType w:val="hybridMultilevel"/>
    <w:tmpl w:val="3CBA0134"/>
    <w:lvl w:ilvl="0" w:tplc="7732401A">
      <w:start w:val="1"/>
      <w:numFmt w:val="bullet"/>
      <w:lvlText w:val=""/>
      <w:lvlJc w:val="left"/>
      <w:pPr>
        <w:ind w:left="720" w:hanging="360"/>
      </w:pPr>
      <w:rPr>
        <w:rFonts w:ascii="Symbol" w:hAnsi="Symbol" w:hint="default"/>
      </w:rPr>
    </w:lvl>
    <w:lvl w:ilvl="1" w:tplc="A6FEDE2A">
      <w:numFmt w:val="decimal"/>
      <w:lvlText w:val=""/>
      <w:lvlJc w:val="left"/>
    </w:lvl>
    <w:lvl w:ilvl="2" w:tplc="6BB8F86E">
      <w:numFmt w:val="decimal"/>
      <w:lvlText w:val=""/>
      <w:lvlJc w:val="left"/>
    </w:lvl>
    <w:lvl w:ilvl="3" w:tplc="611A7FC6">
      <w:numFmt w:val="decimal"/>
      <w:lvlText w:val=""/>
      <w:lvlJc w:val="left"/>
    </w:lvl>
    <w:lvl w:ilvl="4" w:tplc="603447BE">
      <w:numFmt w:val="decimal"/>
      <w:lvlText w:val=""/>
      <w:lvlJc w:val="left"/>
    </w:lvl>
    <w:lvl w:ilvl="5" w:tplc="A52AC710">
      <w:numFmt w:val="decimal"/>
      <w:lvlText w:val=""/>
      <w:lvlJc w:val="left"/>
    </w:lvl>
    <w:lvl w:ilvl="6" w:tplc="5FACD832">
      <w:numFmt w:val="decimal"/>
      <w:lvlText w:val=""/>
      <w:lvlJc w:val="left"/>
    </w:lvl>
    <w:lvl w:ilvl="7" w:tplc="7BA8526C">
      <w:numFmt w:val="decimal"/>
      <w:lvlText w:val=""/>
      <w:lvlJc w:val="left"/>
    </w:lvl>
    <w:lvl w:ilvl="8" w:tplc="53F2CD08">
      <w:numFmt w:val="decimal"/>
      <w:lvlText w:val=""/>
      <w:lvlJc w:val="left"/>
    </w:lvl>
  </w:abstractNum>
  <w:abstractNum w:abstractNumId="866" w15:restartNumberingAfterBreak="0">
    <w:nsid w:val="5B63206F"/>
    <w:multiLevelType w:val="hybridMultilevel"/>
    <w:tmpl w:val="F9ACDDEC"/>
    <w:lvl w:ilvl="0" w:tplc="20B06C7C">
      <w:start w:val="1"/>
      <w:numFmt w:val="bullet"/>
      <w:lvlText w:val=""/>
      <w:lvlJc w:val="left"/>
      <w:pPr>
        <w:ind w:left="720" w:hanging="360"/>
      </w:pPr>
      <w:rPr>
        <w:rFonts w:ascii="Symbol" w:hAnsi="Symbol" w:hint="default"/>
      </w:rPr>
    </w:lvl>
    <w:lvl w:ilvl="1" w:tplc="36A26E0E">
      <w:numFmt w:val="decimal"/>
      <w:lvlText w:val=""/>
      <w:lvlJc w:val="left"/>
    </w:lvl>
    <w:lvl w:ilvl="2" w:tplc="802C7DF0">
      <w:numFmt w:val="decimal"/>
      <w:lvlText w:val=""/>
      <w:lvlJc w:val="left"/>
    </w:lvl>
    <w:lvl w:ilvl="3" w:tplc="C7E65A82">
      <w:numFmt w:val="decimal"/>
      <w:lvlText w:val=""/>
      <w:lvlJc w:val="left"/>
    </w:lvl>
    <w:lvl w:ilvl="4" w:tplc="871A70B6">
      <w:numFmt w:val="decimal"/>
      <w:lvlText w:val=""/>
      <w:lvlJc w:val="left"/>
    </w:lvl>
    <w:lvl w:ilvl="5" w:tplc="5192C91A">
      <w:numFmt w:val="decimal"/>
      <w:lvlText w:val=""/>
      <w:lvlJc w:val="left"/>
    </w:lvl>
    <w:lvl w:ilvl="6" w:tplc="A32EA366">
      <w:numFmt w:val="decimal"/>
      <w:lvlText w:val=""/>
      <w:lvlJc w:val="left"/>
    </w:lvl>
    <w:lvl w:ilvl="7" w:tplc="F25C44C4">
      <w:numFmt w:val="decimal"/>
      <w:lvlText w:val=""/>
      <w:lvlJc w:val="left"/>
    </w:lvl>
    <w:lvl w:ilvl="8" w:tplc="A2B45294">
      <w:numFmt w:val="decimal"/>
      <w:lvlText w:val=""/>
      <w:lvlJc w:val="left"/>
    </w:lvl>
  </w:abstractNum>
  <w:abstractNum w:abstractNumId="867" w15:restartNumberingAfterBreak="0">
    <w:nsid w:val="5B703460"/>
    <w:multiLevelType w:val="hybridMultilevel"/>
    <w:tmpl w:val="FBE41C28"/>
    <w:lvl w:ilvl="0" w:tplc="7EDA00F4">
      <w:start w:val="1"/>
      <w:numFmt w:val="bullet"/>
      <w:lvlText w:val=""/>
      <w:lvlJc w:val="left"/>
      <w:pPr>
        <w:ind w:left="720" w:hanging="360"/>
      </w:pPr>
      <w:rPr>
        <w:rFonts w:ascii="Symbol" w:hAnsi="Symbol" w:hint="default"/>
      </w:rPr>
    </w:lvl>
    <w:lvl w:ilvl="1" w:tplc="E8F6A406">
      <w:numFmt w:val="decimal"/>
      <w:lvlText w:val=""/>
      <w:lvlJc w:val="left"/>
    </w:lvl>
    <w:lvl w:ilvl="2" w:tplc="F31C0C2E">
      <w:numFmt w:val="decimal"/>
      <w:lvlText w:val=""/>
      <w:lvlJc w:val="left"/>
    </w:lvl>
    <w:lvl w:ilvl="3" w:tplc="A58680E0">
      <w:numFmt w:val="decimal"/>
      <w:lvlText w:val=""/>
      <w:lvlJc w:val="left"/>
    </w:lvl>
    <w:lvl w:ilvl="4" w:tplc="ADB21A92">
      <w:numFmt w:val="decimal"/>
      <w:lvlText w:val=""/>
      <w:lvlJc w:val="left"/>
    </w:lvl>
    <w:lvl w:ilvl="5" w:tplc="A0B85C58">
      <w:numFmt w:val="decimal"/>
      <w:lvlText w:val=""/>
      <w:lvlJc w:val="left"/>
    </w:lvl>
    <w:lvl w:ilvl="6" w:tplc="F596126A">
      <w:numFmt w:val="decimal"/>
      <w:lvlText w:val=""/>
      <w:lvlJc w:val="left"/>
    </w:lvl>
    <w:lvl w:ilvl="7" w:tplc="BA64464C">
      <w:numFmt w:val="decimal"/>
      <w:lvlText w:val=""/>
      <w:lvlJc w:val="left"/>
    </w:lvl>
    <w:lvl w:ilvl="8" w:tplc="4224CB20">
      <w:numFmt w:val="decimal"/>
      <w:lvlText w:val=""/>
      <w:lvlJc w:val="left"/>
    </w:lvl>
  </w:abstractNum>
  <w:abstractNum w:abstractNumId="868" w15:restartNumberingAfterBreak="0">
    <w:nsid w:val="5B7C5E46"/>
    <w:multiLevelType w:val="hybridMultilevel"/>
    <w:tmpl w:val="BC26B24E"/>
    <w:lvl w:ilvl="0" w:tplc="10804626">
      <w:start w:val="1"/>
      <w:numFmt w:val="bullet"/>
      <w:lvlText w:val=""/>
      <w:lvlJc w:val="left"/>
      <w:pPr>
        <w:ind w:left="720" w:hanging="360"/>
      </w:pPr>
      <w:rPr>
        <w:rFonts w:ascii="Symbol" w:hAnsi="Symbol" w:hint="default"/>
      </w:rPr>
    </w:lvl>
    <w:lvl w:ilvl="1" w:tplc="B22E1768">
      <w:numFmt w:val="decimal"/>
      <w:lvlText w:val=""/>
      <w:lvlJc w:val="left"/>
    </w:lvl>
    <w:lvl w:ilvl="2" w:tplc="3BEAF2E0">
      <w:numFmt w:val="decimal"/>
      <w:lvlText w:val=""/>
      <w:lvlJc w:val="left"/>
    </w:lvl>
    <w:lvl w:ilvl="3" w:tplc="40A80122">
      <w:numFmt w:val="decimal"/>
      <w:lvlText w:val=""/>
      <w:lvlJc w:val="left"/>
    </w:lvl>
    <w:lvl w:ilvl="4" w:tplc="F2FAE9A2">
      <w:numFmt w:val="decimal"/>
      <w:lvlText w:val=""/>
      <w:lvlJc w:val="left"/>
    </w:lvl>
    <w:lvl w:ilvl="5" w:tplc="796A39FA">
      <w:numFmt w:val="decimal"/>
      <w:lvlText w:val=""/>
      <w:lvlJc w:val="left"/>
    </w:lvl>
    <w:lvl w:ilvl="6" w:tplc="7C94AFFA">
      <w:numFmt w:val="decimal"/>
      <w:lvlText w:val=""/>
      <w:lvlJc w:val="left"/>
    </w:lvl>
    <w:lvl w:ilvl="7" w:tplc="AF20E8A0">
      <w:numFmt w:val="decimal"/>
      <w:lvlText w:val=""/>
      <w:lvlJc w:val="left"/>
    </w:lvl>
    <w:lvl w:ilvl="8" w:tplc="C77A456A">
      <w:numFmt w:val="decimal"/>
      <w:lvlText w:val=""/>
      <w:lvlJc w:val="left"/>
    </w:lvl>
  </w:abstractNum>
  <w:abstractNum w:abstractNumId="869" w15:restartNumberingAfterBreak="0">
    <w:nsid w:val="5BB27D1D"/>
    <w:multiLevelType w:val="hybridMultilevel"/>
    <w:tmpl w:val="09742BB6"/>
    <w:lvl w:ilvl="0" w:tplc="5FDCE48E">
      <w:start w:val="1"/>
      <w:numFmt w:val="bullet"/>
      <w:lvlText w:val=""/>
      <w:lvlJc w:val="left"/>
      <w:pPr>
        <w:ind w:left="720" w:hanging="360"/>
      </w:pPr>
      <w:rPr>
        <w:rFonts w:ascii="Symbol" w:hAnsi="Symbol" w:hint="default"/>
      </w:rPr>
    </w:lvl>
    <w:lvl w:ilvl="1" w:tplc="9D2663FE">
      <w:numFmt w:val="decimal"/>
      <w:lvlText w:val=""/>
      <w:lvlJc w:val="left"/>
    </w:lvl>
    <w:lvl w:ilvl="2" w:tplc="6482595E">
      <w:numFmt w:val="decimal"/>
      <w:lvlText w:val=""/>
      <w:lvlJc w:val="left"/>
    </w:lvl>
    <w:lvl w:ilvl="3" w:tplc="E1702636">
      <w:numFmt w:val="decimal"/>
      <w:lvlText w:val=""/>
      <w:lvlJc w:val="left"/>
    </w:lvl>
    <w:lvl w:ilvl="4" w:tplc="5A56271E">
      <w:numFmt w:val="decimal"/>
      <w:lvlText w:val=""/>
      <w:lvlJc w:val="left"/>
    </w:lvl>
    <w:lvl w:ilvl="5" w:tplc="1562C1C4">
      <w:numFmt w:val="decimal"/>
      <w:lvlText w:val=""/>
      <w:lvlJc w:val="left"/>
    </w:lvl>
    <w:lvl w:ilvl="6" w:tplc="16AABDA0">
      <w:numFmt w:val="decimal"/>
      <w:lvlText w:val=""/>
      <w:lvlJc w:val="left"/>
    </w:lvl>
    <w:lvl w:ilvl="7" w:tplc="55AE6DCA">
      <w:numFmt w:val="decimal"/>
      <w:lvlText w:val=""/>
      <w:lvlJc w:val="left"/>
    </w:lvl>
    <w:lvl w:ilvl="8" w:tplc="73922546">
      <w:numFmt w:val="decimal"/>
      <w:lvlText w:val=""/>
      <w:lvlJc w:val="left"/>
    </w:lvl>
  </w:abstractNum>
  <w:abstractNum w:abstractNumId="870" w15:restartNumberingAfterBreak="0">
    <w:nsid w:val="5BB73EFC"/>
    <w:multiLevelType w:val="hybridMultilevel"/>
    <w:tmpl w:val="20F01896"/>
    <w:lvl w:ilvl="0" w:tplc="99BC39B8">
      <w:start w:val="1"/>
      <w:numFmt w:val="bullet"/>
      <w:lvlText w:val=""/>
      <w:lvlJc w:val="left"/>
      <w:pPr>
        <w:ind w:left="720" w:hanging="360"/>
      </w:pPr>
      <w:rPr>
        <w:rFonts w:ascii="Symbol" w:hAnsi="Symbol" w:hint="default"/>
      </w:rPr>
    </w:lvl>
    <w:lvl w:ilvl="1" w:tplc="B65A4D0C">
      <w:numFmt w:val="decimal"/>
      <w:lvlText w:val=""/>
      <w:lvlJc w:val="left"/>
    </w:lvl>
    <w:lvl w:ilvl="2" w:tplc="48AEA2E2">
      <w:numFmt w:val="decimal"/>
      <w:lvlText w:val=""/>
      <w:lvlJc w:val="left"/>
    </w:lvl>
    <w:lvl w:ilvl="3" w:tplc="5874B914">
      <w:numFmt w:val="decimal"/>
      <w:lvlText w:val=""/>
      <w:lvlJc w:val="left"/>
    </w:lvl>
    <w:lvl w:ilvl="4" w:tplc="DFF44B66">
      <w:numFmt w:val="decimal"/>
      <w:lvlText w:val=""/>
      <w:lvlJc w:val="left"/>
    </w:lvl>
    <w:lvl w:ilvl="5" w:tplc="00900408">
      <w:numFmt w:val="decimal"/>
      <w:lvlText w:val=""/>
      <w:lvlJc w:val="left"/>
    </w:lvl>
    <w:lvl w:ilvl="6" w:tplc="E52C78F6">
      <w:numFmt w:val="decimal"/>
      <w:lvlText w:val=""/>
      <w:lvlJc w:val="left"/>
    </w:lvl>
    <w:lvl w:ilvl="7" w:tplc="E5F0CD40">
      <w:numFmt w:val="decimal"/>
      <w:lvlText w:val=""/>
      <w:lvlJc w:val="left"/>
    </w:lvl>
    <w:lvl w:ilvl="8" w:tplc="CDF6CFB0">
      <w:numFmt w:val="decimal"/>
      <w:lvlText w:val=""/>
      <w:lvlJc w:val="left"/>
    </w:lvl>
  </w:abstractNum>
  <w:abstractNum w:abstractNumId="871" w15:restartNumberingAfterBreak="0">
    <w:nsid w:val="5BC977D5"/>
    <w:multiLevelType w:val="hybridMultilevel"/>
    <w:tmpl w:val="E2383712"/>
    <w:lvl w:ilvl="0" w:tplc="044EA620">
      <w:start w:val="1"/>
      <w:numFmt w:val="bullet"/>
      <w:lvlText w:val=""/>
      <w:lvlJc w:val="left"/>
      <w:pPr>
        <w:ind w:left="720" w:hanging="360"/>
      </w:pPr>
      <w:rPr>
        <w:rFonts w:ascii="Symbol" w:hAnsi="Symbol" w:hint="default"/>
      </w:rPr>
    </w:lvl>
    <w:lvl w:ilvl="1" w:tplc="8B16378E">
      <w:numFmt w:val="decimal"/>
      <w:lvlText w:val=""/>
      <w:lvlJc w:val="left"/>
    </w:lvl>
    <w:lvl w:ilvl="2" w:tplc="94B20BFC">
      <w:numFmt w:val="decimal"/>
      <w:lvlText w:val=""/>
      <w:lvlJc w:val="left"/>
    </w:lvl>
    <w:lvl w:ilvl="3" w:tplc="205CD712">
      <w:numFmt w:val="decimal"/>
      <w:lvlText w:val=""/>
      <w:lvlJc w:val="left"/>
    </w:lvl>
    <w:lvl w:ilvl="4" w:tplc="8A324A0C">
      <w:numFmt w:val="decimal"/>
      <w:lvlText w:val=""/>
      <w:lvlJc w:val="left"/>
    </w:lvl>
    <w:lvl w:ilvl="5" w:tplc="0FE07E6A">
      <w:numFmt w:val="decimal"/>
      <w:lvlText w:val=""/>
      <w:lvlJc w:val="left"/>
    </w:lvl>
    <w:lvl w:ilvl="6" w:tplc="20187922">
      <w:numFmt w:val="decimal"/>
      <w:lvlText w:val=""/>
      <w:lvlJc w:val="left"/>
    </w:lvl>
    <w:lvl w:ilvl="7" w:tplc="8D568334">
      <w:numFmt w:val="decimal"/>
      <w:lvlText w:val=""/>
      <w:lvlJc w:val="left"/>
    </w:lvl>
    <w:lvl w:ilvl="8" w:tplc="03787474">
      <w:numFmt w:val="decimal"/>
      <w:lvlText w:val=""/>
      <w:lvlJc w:val="left"/>
    </w:lvl>
  </w:abstractNum>
  <w:abstractNum w:abstractNumId="872" w15:restartNumberingAfterBreak="0">
    <w:nsid w:val="5BEF2C3F"/>
    <w:multiLevelType w:val="hybridMultilevel"/>
    <w:tmpl w:val="4D66B19C"/>
    <w:lvl w:ilvl="0" w:tplc="5F12B7F0">
      <w:start w:val="1"/>
      <w:numFmt w:val="bullet"/>
      <w:lvlText w:val=""/>
      <w:lvlJc w:val="left"/>
      <w:pPr>
        <w:ind w:left="720" w:hanging="360"/>
      </w:pPr>
      <w:rPr>
        <w:rFonts w:ascii="Symbol" w:hAnsi="Symbol" w:hint="default"/>
      </w:rPr>
    </w:lvl>
    <w:lvl w:ilvl="1" w:tplc="1A78E4D2">
      <w:numFmt w:val="decimal"/>
      <w:lvlText w:val=""/>
      <w:lvlJc w:val="left"/>
    </w:lvl>
    <w:lvl w:ilvl="2" w:tplc="06D2F824">
      <w:numFmt w:val="decimal"/>
      <w:lvlText w:val=""/>
      <w:lvlJc w:val="left"/>
    </w:lvl>
    <w:lvl w:ilvl="3" w:tplc="1DFCBA40">
      <w:numFmt w:val="decimal"/>
      <w:lvlText w:val=""/>
      <w:lvlJc w:val="left"/>
    </w:lvl>
    <w:lvl w:ilvl="4" w:tplc="B7F4C500">
      <w:numFmt w:val="decimal"/>
      <w:lvlText w:val=""/>
      <w:lvlJc w:val="left"/>
    </w:lvl>
    <w:lvl w:ilvl="5" w:tplc="02584CC8">
      <w:numFmt w:val="decimal"/>
      <w:lvlText w:val=""/>
      <w:lvlJc w:val="left"/>
    </w:lvl>
    <w:lvl w:ilvl="6" w:tplc="050634B2">
      <w:numFmt w:val="decimal"/>
      <w:lvlText w:val=""/>
      <w:lvlJc w:val="left"/>
    </w:lvl>
    <w:lvl w:ilvl="7" w:tplc="FCB43936">
      <w:numFmt w:val="decimal"/>
      <w:lvlText w:val=""/>
      <w:lvlJc w:val="left"/>
    </w:lvl>
    <w:lvl w:ilvl="8" w:tplc="2C2E3596">
      <w:numFmt w:val="decimal"/>
      <w:lvlText w:val=""/>
      <w:lvlJc w:val="left"/>
    </w:lvl>
  </w:abstractNum>
  <w:abstractNum w:abstractNumId="873" w15:restartNumberingAfterBreak="0">
    <w:nsid w:val="5C2D66D9"/>
    <w:multiLevelType w:val="hybridMultilevel"/>
    <w:tmpl w:val="9FE467A0"/>
    <w:lvl w:ilvl="0" w:tplc="C4545BD0">
      <w:start w:val="1"/>
      <w:numFmt w:val="bullet"/>
      <w:lvlText w:val=""/>
      <w:lvlJc w:val="left"/>
      <w:pPr>
        <w:ind w:left="720" w:hanging="360"/>
      </w:pPr>
      <w:rPr>
        <w:rFonts w:ascii="Symbol" w:hAnsi="Symbol" w:hint="default"/>
      </w:rPr>
    </w:lvl>
    <w:lvl w:ilvl="1" w:tplc="BB74F1A4">
      <w:numFmt w:val="decimal"/>
      <w:lvlText w:val=""/>
      <w:lvlJc w:val="left"/>
    </w:lvl>
    <w:lvl w:ilvl="2" w:tplc="E7C06E92">
      <w:numFmt w:val="decimal"/>
      <w:lvlText w:val=""/>
      <w:lvlJc w:val="left"/>
    </w:lvl>
    <w:lvl w:ilvl="3" w:tplc="5450DF2A">
      <w:numFmt w:val="decimal"/>
      <w:lvlText w:val=""/>
      <w:lvlJc w:val="left"/>
    </w:lvl>
    <w:lvl w:ilvl="4" w:tplc="C9101B60">
      <w:numFmt w:val="decimal"/>
      <w:lvlText w:val=""/>
      <w:lvlJc w:val="left"/>
    </w:lvl>
    <w:lvl w:ilvl="5" w:tplc="77BE12E8">
      <w:numFmt w:val="decimal"/>
      <w:lvlText w:val=""/>
      <w:lvlJc w:val="left"/>
    </w:lvl>
    <w:lvl w:ilvl="6" w:tplc="ABA684BA">
      <w:numFmt w:val="decimal"/>
      <w:lvlText w:val=""/>
      <w:lvlJc w:val="left"/>
    </w:lvl>
    <w:lvl w:ilvl="7" w:tplc="37C84066">
      <w:numFmt w:val="decimal"/>
      <w:lvlText w:val=""/>
      <w:lvlJc w:val="left"/>
    </w:lvl>
    <w:lvl w:ilvl="8" w:tplc="F156F6DA">
      <w:numFmt w:val="decimal"/>
      <w:lvlText w:val=""/>
      <w:lvlJc w:val="left"/>
    </w:lvl>
  </w:abstractNum>
  <w:abstractNum w:abstractNumId="874" w15:restartNumberingAfterBreak="0">
    <w:nsid w:val="5C4930AD"/>
    <w:multiLevelType w:val="hybridMultilevel"/>
    <w:tmpl w:val="53485166"/>
    <w:lvl w:ilvl="0" w:tplc="363892D0">
      <w:start w:val="1"/>
      <w:numFmt w:val="bullet"/>
      <w:lvlText w:val=""/>
      <w:lvlJc w:val="left"/>
      <w:pPr>
        <w:ind w:left="720" w:hanging="360"/>
      </w:pPr>
      <w:rPr>
        <w:rFonts w:ascii="Symbol" w:hAnsi="Symbol" w:hint="default"/>
      </w:rPr>
    </w:lvl>
    <w:lvl w:ilvl="1" w:tplc="B9DCC422">
      <w:numFmt w:val="decimal"/>
      <w:lvlText w:val=""/>
      <w:lvlJc w:val="left"/>
    </w:lvl>
    <w:lvl w:ilvl="2" w:tplc="FA984556">
      <w:numFmt w:val="decimal"/>
      <w:lvlText w:val=""/>
      <w:lvlJc w:val="left"/>
    </w:lvl>
    <w:lvl w:ilvl="3" w:tplc="754C4446">
      <w:numFmt w:val="decimal"/>
      <w:lvlText w:val=""/>
      <w:lvlJc w:val="left"/>
    </w:lvl>
    <w:lvl w:ilvl="4" w:tplc="8C424BBC">
      <w:numFmt w:val="decimal"/>
      <w:lvlText w:val=""/>
      <w:lvlJc w:val="left"/>
    </w:lvl>
    <w:lvl w:ilvl="5" w:tplc="CA34C370">
      <w:numFmt w:val="decimal"/>
      <w:lvlText w:val=""/>
      <w:lvlJc w:val="left"/>
    </w:lvl>
    <w:lvl w:ilvl="6" w:tplc="27DA3116">
      <w:numFmt w:val="decimal"/>
      <w:lvlText w:val=""/>
      <w:lvlJc w:val="left"/>
    </w:lvl>
    <w:lvl w:ilvl="7" w:tplc="A9A6B414">
      <w:numFmt w:val="decimal"/>
      <w:lvlText w:val=""/>
      <w:lvlJc w:val="left"/>
    </w:lvl>
    <w:lvl w:ilvl="8" w:tplc="FF1A37B2">
      <w:numFmt w:val="decimal"/>
      <w:lvlText w:val=""/>
      <w:lvlJc w:val="left"/>
    </w:lvl>
  </w:abstractNum>
  <w:abstractNum w:abstractNumId="875" w15:restartNumberingAfterBreak="0">
    <w:nsid w:val="5C560945"/>
    <w:multiLevelType w:val="hybridMultilevel"/>
    <w:tmpl w:val="9222A808"/>
    <w:lvl w:ilvl="0" w:tplc="DA6C0110">
      <w:start w:val="1"/>
      <w:numFmt w:val="bullet"/>
      <w:lvlText w:val=""/>
      <w:lvlJc w:val="left"/>
      <w:pPr>
        <w:ind w:left="720" w:hanging="360"/>
      </w:pPr>
      <w:rPr>
        <w:rFonts w:ascii="Symbol" w:hAnsi="Symbol" w:hint="default"/>
      </w:rPr>
    </w:lvl>
    <w:lvl w:ilvl="1" w:tplc="2938A64E">
      <w:numFmt w:val="decimal"/>
      <w:lvlText w:val=""/>
      <w:lvlJc w:val="left"/>
    </w:lvl>
    <w:lvl w:ilvl="2" w:tplc="7A381B6A">
      <w:numFmt w:val="decimal"/>
      <w:lvlText w:val=""/>
      <w:lvlJc w:val="left"/>
    </w:lvl>
    <w:lvl w:ilvl="3" w:tplc="368637B4">
      <w:numFmt w:val="decimal"/>
      <w:lvlText w:val=""/>
      <w:lvlJc w:val="left"/>
    </w:lvl>
    <w:lvl w:ilvl="4" w:tplc="555AF524">
      <w:numFmt w:val="decimal"/>
      <w:lvlText w:val=""/>
      <w:lvlJc w:val="left"/>
    </w:lvl>
    <w:lvl w:ilvl="5" w:tplc="04B8754A">
      <w:numFmt w:val="decimal"/>
      <w:lvlText w:val=""/>
      <w:lvlJc w:val="left"/>
    </w:lvl>
    <w:lvl w:ilvl="6" w:tplc="31E4534E">
      <w:numFmt w:val="decimal"/>
      <w:lvlText w:val=""/>
      <w:lvlJc w:val="left"/>
    </w:lvl>
    <w:lvl w:ilvl="7" w:tplc="30A23C50">
      <w:numFmt w:val="decimal"/>
      <w:lvlText w:val=""/>
      <w:lvlJc w:val="left"/>
    </w:lvl>
    <w:lvl w:ilvl="8" w:tplc="364C77EE">
      <w:numFmt w:val="decimal"/>
      <w:lvlText w:val=""/>
      <w:lvlJc w:val="left"/>
    </w:lvl>
  </w:abstractNum>
  <w:abstractNum w:abstractNumId="876" w15:restartNumberingAfterBreak="0">
    <w:nsid w:val="5C5611C9"/>
    <w:multiLevelType w:val="hybridMultilevel"/>
    <w:tmpl w:val="12188A6A"/>
    <w:lvl w:ilvl="0" w:tplc="9D9017F6">
      <w:start w:val="1"/>
      <w:numFmt w:val="bullet"/>
      <w:lvlText w:val=""/>
      <w:lvlJc w:val="left"/>
      <w:pPr>
        <w:ind w:left="720" w:hanging="360"/>
      </w:pPr>
      <w:rPr>
        <w:rFonts w:ascii="Symbol" w:hAnsi="Symbol" w:hint="default"/>
      </w:rPr>
    </w:lvl>
    <w:lvl w:ilvl="1" w:tplc="B0C28E04">
      <w:numFmt w:val="decimal"/>
      <w:lvlText w:val=""/>
      <w:lvlJc w:val="left"/>
    </w:lvl>
    <w:lvl w:ilvl="2" w:tplc="952AD6AE">
      <w:numFmt w:val="decimal"/>
      <w:lvlText w:val=""/>
      <w:lvlJc w:val="left"/>
    </w:lvl>
    <w:lvl w:ilvl="3" w:tplc="51C2CE50">
      <w:numFmt w:val="decimal"/>
      <w:lvlText w:val=""/>
      <w:lvlJc w:val="left"/>
    </w:lvl>
    <w:lvl w:ilvl="4" w:tplc="7FDCBF9A">
      <w:numFmt w:val="decimal"/>
      <w:lvlText w:val=""/>
      <w:lvlJc w:val="left"/>
    </w:lvl>
    <w:lvl w:ilvl="5" w:tplc="2FBA5D40">
      <w:numFmt w:val="decimal"/>
      <w:lvlText w:val=""/>
      <w:lvlJc w:val="left"/>
    </w:lvl>
    <w:lvl w:ilvl="6" w:tplc="E94EEF06">
      <w:numFmt w:val="decimal"/>
      <w:lvlText w:val=""/>
      <w:lvlJc w:val="left"/>
    </w:lvl>
    <w:lvl w:ilvl="7" w:tplc="7F72D6AC">
      <w:numFmt w:val="decimal"/>
      <w:lvlText w:val=""/>
      <w:lvlJc w:val="left"/>
    </w:lvl>
    <w:lvl w:ilvl="8" w:tplc="18D4EE6E">
      <w:numFmt w:val="decimal"/>
      <w:lvlText w:val=""/>
      <w:lvlJc w:val="left"/>
    </w:lvl>
  </w:abstractNum>
  <w:abstractNum w:abstractNumId="877" w15:restartNumberingAfterBreak="0">
    <w:nsid w:val="5C590AC5"/>
    <w:multiLevelType w:val="hybridMultilevel"/>
    <w:tmpl w:val="BBF062B0"/>
    <w:lvl w:ilvl="0" w:tplc="5ED4805A">
      <w:start w:val="1"/>
      <w:numFmt w:val="bullet"/>
      <w:lvlText w:val=""/>
      <w:lvlJc w:val="left"/>
      <w:pPr>
        <w:ind w:left="720" w:hanging="360"/>
      </w:pPr>
      <w:rPr>
        <w:rFonts w:ascii="Symbol" w:hAnsi="Symbol" w:hint="default"/>
      </w:rPr>
    </w:lvl>
    <w:lvl w:ilvl="1" w:tplc="91805C5C">
      <w:numFmt w:val="decimal"/>
      <w:lvlText w:val=""/>
      <w:lvlJc w:val="left"/>
    </w:lvl>
    <w:lvl w:ilvl="2" w:tplc="B1C8D0C4">
      <w:numFmt w:val="decimal"/>
      <w:lvlText w:val=""/>
      <w:lvlJc w:val="left"/>
    </w:lvl>
    <w:lvl w:ilvl="3" w:tplc="77BE3CD8">
      <w:numFmt w:val="decimal"/>
      <w:lvlText w:val=""/>
      <w:lvlJc w:val="left"/>
    </w:lvl>
    <w:lvl w:ilvl="4" w:tplc="B112AF80">
      <w:numFmt w:val="decimal"/>
      <w:lvlText w:val=""/>
      <w:lvlJc w:val="left"/>
    </w:lvl>
    <w:lvl w:ilvl="5" w:tplc="41B092A4">
      <w:numFmt w:val="decimal"/>
      <w:lvlText w:val=""/>
      <w:lvlJc w:val="left"/>
    </w:lvl>
    <w:lvl w:ilvl="6" w:tplc="3B24294E">
      <w:numFmt w:val="decimal"/>
      <w:lvlText w:val=""/>
      <w:lvlJc w:val="left"/>
    </w:lvl>
    <w:lvl w:ilvl="7" w:tplc="0952FCEA">
      <w:numFmt w:val="decimal"/>
      <w:lvlText w:val=""/>
      <w:lvlJc w:val="left"/>
    </w:lvl>
    <w:lvl w:ilvl="8" w:tplc="58DEC864">
      <w:numFmt w:val="decimal"/>
      <w:lvlText w:val=""/>
      <w:lvlJc w:val="left"/>
    </w:lvl>
  </w:abstractNum>
  <w:abstractNum w:abstractNumId="878" w15:restartNumberingAfterBreak="0">
    <w:nsid w:val="5C7A0416"/>
    <w:multiLevelType w:val="hybridMultilevel"/>
    <w:tmpl w:val="D09433EE"/>
    <w:lvl w:ilvl="0" w:tplc="936899AC">
      <w:numFmt w:val="decimal"/>
      <w:lvlText w:val=""/>
      <w:lvlJc w:val="left"/>
    </w:lvl>
    <w:lvl w:ilvl="1" w:tplc="DF6E2D38">
      <w:numFmt w:val="decimal"/>
      <w:lvlText w:val=""/>
      <w:lvlJc w:val="left"/>
    </w:lvl>
    <w:lvl w:ilvl="2" w:tplc="3414510E">
      <w:start w:val="1"/>
      <w:numFmt w:val="bullet"/>
      <w:lvlText w:val=""/>
      <w:lvlJc w:val="left"/>
      <w:pPr>
        <w:ind w:left="2160" w:hanging="360"/>
      </w:pPr>
      <w:rPr>
        <w:rFonts w:ascii="Symbol" w:hAnsi="Symbol" w:hint="default"/>
      </w:rPr>
    </w:lvl>
    <w:lvl w:ilvl="3" w:tplc="F1F2845A">
      <w:numFmt w:val="decimal"/>
      <w:lvlText w:val=""/>
      <w:lvlJc w:val="left"/>
    </w:lvl>
    <w:lvl w:ilvl="4" w:tplc="17883090">
      <w:numFmt w:val="decimal"/>
      <w:lvlText w:val=""/>
      <w:lvlJc w:val="left"/>
    </w:lvl>
    <w:lvl w:ilvl="5" w:tplc="8F24C7CA">
      <w:numFmt w:val="decimal"/>
      <w:lvlText w:val=""/>
      <w:lvlJc w:val="left"/>
    </w:lvl>
    <w:lvl w:ilvl="6" w:tplc="44E2FA72">
      <w:numFmt w:val="decimal"/>
      <w:lvlText w:val=""/>
      <w:lvlJc w:val="left"/>
    </w:lvl>
    <w:lvl w:ilvl="7" w:tplc="723CE73E">
      <w:numFmt w:val="decimal"/>
      <w:lvlText w:val=""/>
      <w:lvlJc w:val="left"/>
    </w:lvl>
    <w:lvl w:ilvl="8" w:tplc="E03A9B3C">
      <w:numFmt w:val="decimal"/>
      <w:lvlText w:val=""/>
      <w:lvlJc w:val="left"/>
    </w:lvl>
  </w:abstractNum>
  <w:abstractNum w:abstractNumId="879" w15:restartNumberingAfterBreak="0">
    <w:nsid w:val="5CB96BA3"/>
    <w:multiLevelType w:val="hybridMultilevel"/>
    <w:tmpl w:val="43EE4E1C"/>
    <w:lvl w:ilvl="0" w:tplc="F3F0CF0C">
      <w:start w:val="1"/>
      <w:numFmt w:val="bullet"/>
      <w:lvlText w:val=""/>
      <w:lvlJc w:val="left"/>
      <w:pPr>
        <w:ind w:left="720" w:hanging="360"/>
      </w:pPr>
      <w:rPr>
        <w:rFonts w:ascii="Symbol" w:hAnsi="Symbol" w:hint="default"/>
      </w:rPr>
    </w:lvl>
    <w:lvl w:ilvl="1" w:tplc="9BD2575E">
      <w:numFmt w:val="decimal"/>
      <w:lvlText w:val=""/>
      <w:lvlJc w:val="left"/>
    </w:lvl>
    <w:lvl w:ilvl="2" w:tplc="2850F3A2">
      <w:numFmt w:val="decimal"/>
      <w:lvlText w:val=""/>
      <w:lvlJc w:val="left"/>
    </w:lvl>
    <w:lvl w:ilvl="3" w:tplc="241EF586">
      <w:numFmt w:val="decimal"/>
      <w:lvlText w:val=""/>
      <w:lvlJc w:val="left"/>
    </w:lvl>
    <w:lvl w:ilvl="4" w:tplc="9F0655A6">
      <w:numFmt w:val="decimal"/>
      <w:lvlText w:val=""/>
      <w:lvlJc w:val="left"/>
    </w:lvl>
    <w:lvl w:ilvl="5" w:tplc="11E017F2">
      <w:numFmt w:val="decimal"/>
      <w:lvlText w:val=""/>
      <w:lvlJc w:val="left"/>
    </w:lvl>
    <w:lvl w:ilvl="6" w:tplc="0FEA084A">
      <w:numFmt w:val="decimal"/>
      <w:lvlText w:val=""/>
      <w:lvlJc w:val="left"/>
    </w:lvl>
    <w:lvl w:ilvl="7" w:tplc="7DE43838">
      <w:numFmt w:val="decimal"/>
      <w:lvlText w:val=""/>
      <w:lvlJc w:val="left"/>
    </w:lvl>
    <w:lvl w:ilvl="8" w:tplc="070CB59E">
      <w:numFmt w:val="decimal"/>
      <w:lvlText w:val=""/>
      <w:lvlJc w:val="left"/>
    </w:lvl>
  </w:abstractNum>
  <w:abstractNum w:abstractNumId="880" w15:restartNumberingAfterBreak="0">
    <w:nsid w:val="5CC24AD6"/>
    <w:multiLevelType w:val="hybridMultilevel"/>
    <w:tmpl w:val="68EA300E"/>
    <w:lvl w:ilvl="0" w:tplc="CE84339E">
      <w:start w:val="1"/>
      <w:numFmt w:val="bullet"/>
      <w:lvlText w:val=""/>
      <w:lvlJc w:val="left"/>
      <w:pPr>
        <w:ind w:left="720" w:hanging="360"/>
      </w:pPr>
      <w:rPr>
        <w:rFonts w:ascii="Symbol" w:hAnsi="Symbol" w:hint="default"/>
      </w:rPr>
    </w:lvl>
    <w:lvl w:ilvl="1" w:tplc="C56C6504">
      <w:numFmt w:val="decimal"/>
      <w:lvlText w:val=""/>
      <w:lvlJc w:val="left"/>
    </w:lvl>
    <w:lvl w:ilvl="2" w:tplc="C2E089FE">
      <w:numFmt w:val="decimal"/>
      <w:lvlText w:val=""/>
      <w:lvlJc w:val="left"/>
    </w:lvl>
    <w:lvl w:ilvl="3" w:tplc="3BE2AFEE">
      <w:numFmt w:val="decimal"/>
      <w:lvlText w:val=""/>
      <w:lvlJc w:val="left"/>
    </w:lvl>
    <w:lvl w:ilvl="4" w:tplc="D5803F4E">
      <w:numFmt w:val="decimal"/>
      <w:lvlText w:val=""/>
      <w:lvlJc w:val="left"/>
    </w:lvl>
    <w:lvl w:ilvl="5" w:tplc="103AEE0C">
      <w:numFmt w:val="decimal"/>
      <w:lvlText w:val=""/>
      <w:lvlJc w:val="left"/>
    </w:lvl>
    <w:lvl w:ilvl="6" w:tplc="C5EC964E">
      <w:numFmt w:val="decimal"/>
      <w:lvlText w:val=""/>
      <w:lvlJc w:val="left"/>
    </w:lvl>
    <w:lvl w:ilvl="7" w:tplc="D3143DA2">
      <w:numFmt w:val="decimal"/>
      <w:lvlText w:val=""/>
      <w:lvlJc w:val="left"/>
    </w:lvl>
    <w:lvl w:ilvl="8" w:tplc="F2FA091C">
      <w:numFmt w:val="decimal"/>
      <w:lvlText w:val=""/>
      <w:lvlJc w:val="left"/>
    </w:lvl>
  </w:abstractNum>
  <w:abstractNum w:abstractNumId="881" w15:restartNumberingAfterBreak="0">
    <w:nsid w:val="5CCF29BB"/>
    <w:multiLevelType w:val="hybridMultilevel"/>
    <w:tmpl w:val="7132FAB8"/>
    <w:lvl w:ilvl="0" w:tplc="1F348A6A">
      <w:start w:val="1"/>
      <w:numFmt w:val="bullet"/>
      <w:lvlText w:val=""/>
      <w:lvlJc w:val="left"/>
      <w:pPr>
        <w:ind w:left="720" w:hanging="360"/>
      </w:pPr>
      <w:rPr>
        <w:rFonts w:ascii="Symbol" w:hAnsi="Symbol" w:hint="default"/>
      </w:rPr>
    </w:lvl>
    <w:lvl w:ilvl="1" w:tplc="AFE6820E">
      <w:numFmt w:val="decimal"/>
      <w:lvlText w:val=""/>
      <w:lvlJc w:val="left"/>
    </w:lvl>
    <w:lvl w:ilvl="2" w:tplc="F4808690">
      <w:numFmt w:val="decimal"/>
      <w:lvlText w:val=""/>
      <w:lvlJc w:val="left"/>
    </w:lvl>
    <w:lvl w:ilvl="3" w:tplc="BC1E69EA">
      <w:numFmt w:val="decimal"/>
      <w:lvlText w:val=""/>
      <w:lvlJc w:val="left"/>
    </w:lvl>
    <w:lvl w:ilvl="4" w:tplc="A7BC80E2">
      <w:numFmt w:val="decimal"/>
      <w:lvlText w:val=""/>
      <w:lvlJc w:val="left"/>
    </w:lvl>
    <w:lvl w:ilvl="5" w:tplc="DE82D62C">
      <w:numFmt w:val="decimal"/>
      <w:lvlText w:val=""/>
      <w:lvlJc w:val="left"/>
    </w:lvl>
    <w:lvl w:ilvl="6" w:tplc="F13050EA">
      <w:numFmt w:val="decimal"/>
      <w:lvlText w:val=""/>
      <w:lvlJc w:val="left"/>
    </w:lvl>
    <w:lvl w:ilvl="7" w:tplc="7812DCEC">
      <w:numFmt w:val="decimal"/>
      <w:lvlText w:val=""/>
      <w:lvlJc w:val="left"/>
    </w:lvl>
    <w:lvl w:ilvl="8" w:tplc="F7B68A6A">
      <w:numFmt w:val="decimal"/>
      <w:lvlText w:val=""/>
      <w:lvlJc w:val="left"/>
    </w:lvl>
  </w:abstractNum>
  <w:abstractNum w:abstractNumId="882" w15:restartNumberingAfterBreak="0">
    <w:nsid w:val="5CDF2081"/>
    <w:multiLevelType w:val="hybridMultilevel"/>
    <w:tmpl w:val="79E6EDB4"/>
    <w:lvl w:ilvl="0" w:tplc="AC302D1E">
      <w:start w:val="1"/>
      <w:numFmt w:val="bullet"/>
      <w:lvlText w:val=""/>
      <w:lvlJc w:val="left"/>
      <w:pPr>
        <w:ind w:left="720" w:hanging="360"/>
      </w:pPr>
      <w:rPr>
        <w:rFonts w:ascii="Symbol" w:hAnsi="Symbol" w:hint="default"/>
      </w:rPr>
    </w:lvl>
    <w:lvl w:ilvl="1" w:tplc="4066101A">
      <w:numFmt w:val="decimal"/>
      <w:lvlText w:val=""/>
      <w:lvlJc w:val="left"/>
    </w:lvl>
    <w:lvl w:ilvl="2" w:tplc="39E2F466">
      <w:numFmt w:val="decimal"/>
      <w:lvlText w:val=""/>
      <w:lvlJc w:val="left"/>
    </w:lvl>
    <w:lvl w:ilvl="3" w:tplc="933C12D6">
      <w:numFmt w:val="decimal"/>
      <w:lvlText w:val=""/>
      <w:lvlJc w:val="left"/>
    </w:lvl>
    <w:lvl w:ilvl="4" w:tplc="17C667F6">
      <w:numFmt w:val="decimal"/>
      <w:lvlText w:val=""/>
      <w:lvlJc w:val="left"/>
    </w:lvl>
    <w:lvl w:ilvl="5" w:tplc="C2969C9A">
      <w:numFmt w:val="decimal"/>
      <w:lvlText w:val=""/>
      <w:lvlJc w:val="left"/>
    </w:lvl>
    <w:lvl w:ilvl="6" w:tplc="66D0C614">
      <w:numFmt w:val="decimal"/>
      <w:lvlText w:val=""/>
      <w:lvlJc w:val="left"/>
    </w:lvl>
    <w:lvl w:ilvl="7" w:tplc="5F02688E">
      <w:numFmt w:val="decimal"/>
      <w:lvlText w:val=""/>
      <w:lvlJc w:val="left"/>
    </w:lvl>
    <w:lvl w:ilvl="8" w:tplc="93D4D184">
      <w:numFmt w:val="decimal"/>
      <w:lvlText w:val=""/>
      <w:lvlJc w:val="left"/>
    </w:lvl>
  </w:abstractNum>
  <w:abstractNum w:abstractNumId="883" w15:restartNumberingAfterBreak="0">
    <w:nsid w:val="5CF1413A"/>
    <w:multiLevelType w:val="hybridMultilevel"/>
    <w:tmpl w:val="10F84BAA"/>
    <w:lvl w:ilvl="0" w:tplc="3056B2CC">
      <w:numFmt w:val="decimal"/>
      <w:lvlText w:val=""/>
      <w:lvlJc w:val="left"/>
    </w:lvl>
    <w:lvl w:ilvl="1" w:tplc="AADE862C">
      <w:start w:val="1"/>
      <w:numFmt w:val="bullet"/>
      <w:lvlText w:val=""/>
      <w:lvlJc w:val="left"/>
      <w:pPr>
        <w:ind w:left="1440" w:hanging="360"/>
      </w:pPr>
      <w:rPr>
        <w:rFonts w:ascii="Symbol" w:hAnsi="Symbol" w:hint="default"/>
      </w:rPr>
    </w:lvl>
    <w:lvl w:ilvl="2" w:tplc="E8DE49E6">
      <w:numFmt w:val="decimal"/>
      <w:lvlText w:val=""/>
      <w:lvlJc w:val="left"/>
    </w:lvl>
    <w:lvl w:ilvl="3" w:tplc="7AACAE7C">
      <w:numFmt w:val="decimal"/>
      <w:lvlText w:val=""/>
      <w:lvlJc w:val="left"/>
    </w:lvl>
    <w:lvl w:ilvl="4" w:tplc="4C62B79E">
      <w:numFmt w:val="decimal"/>
      <w:lvlText w:val=""/>
      <w:lvlJc w:val="left"/>
    </w:lvl>
    <w:lvl w:ilvl="5" w:tplc="D690D0C6">
      <w:numFmt w:val="decimal"/>
      <w:lvlText w:val=""/>
      <w:lvlJc w:val="left"/>
    </w:lvl>
    <w:lvl w:ilvl="6" w:tplc="C96838BA">
      <w:numFmt w:val="decimal"/>
      <w:lvlText w:val=""/>
      <w:lvlJc w:val="left"/>
    </w:lvl>
    <w:lvl w:ilvl="7" w:tplc="A6D6E440">
      <w:numFmt w:val="decimal"/>
      <w:lvlText w:val=""/>
      <w:lvlJc w:val="left"/>
    </w:lvl>
    <w:lvl w:ilvl="8" w:tplc="13C24886">
      <w:numFmt w:val="decimal"/>
      <w:lvlText w:val=""/>
      <w:lvlJc w:val="left"/>
    </w:lvl>
  </w:abstractNum>
  <w:abstractNum w:abstractNumId="884" w15:restartNumberingAfterBreak="0">
    <w:nsid w:val="5CFB60B3"/>
    <w:multiLevelType w:val="hybridMultilevel"/>
    <w:tmpl w:val="E7B6CF4A"/>
    <w:lvl w:ilvl="0" w:tplc="ECFE5314">
      <w:start w:val="1"/>
      <w:numFmt w:val="bullet"/>
      <w:lvlText w:val=""/>
      <w:lvlJc w:val="left"/>
      <w:pPr>
        <w:ind w:left="720" w:hanging="360"/>
      </w:pPr>
      <w:rPr>
        <w:rFonts w:ascii="Symbol" w:hAnsi="Symbol" w:hint="default"/>
      </w:rPr>
    </w:lvl>
    <w:lvl w:ilvl="1" w:tplc="A7E8F2AA">
      <w:numFmt w:val="decimal"/>
      <w:lvlText w:val=""/>
      <w:lvlJc w:val="left"/>
    </w:lvl>
    <w:lvl w:ilvl="2" w:tplc="1E3E770E">
      <w:numFmt w:val="decimal"/>
      <w:lvlText w:val=""/>
      <w:lvlJc w:val="left"/>
    </w:lvl>
    <w:lvl w:ilvl="3" w:tplc="B0C4BD10">
      <w:numFmt w:val="decimal"/>
      <w:lvlText w:val=""/>
      <w:lvlJc w:val="left"/>
    </w:lvl>
    <w:lvl w:ilvl="4" w:tplc="7FE052A4">
      <w:numFmt w:val="decimal"/>
      <w:lvlText w:val=""/>
      <w:lvlJc w:val="left"/>
    </w:lvl>
    <w:lvl w:ilvl="5" w:tplc="F8022D60">
      <w:numFmt w:val="decimal"/>
      <w:lvlText w:val=""/>
      <w:lvlJc w:val="left"/>
    </w:lvl>
    <w:lvl w:ilvl="6" w:tplc="3B92BEB6">
      <w:numFmt w:val="decimal"/>
      <w:lvlText w:val=""/>
      <w:lvlJc w:val="left"/>
    </w:lvl>
    <w:lvl w:ilvl="7" w:tplc="CC3227D8">
      <w:numFmt w:val="decimal"/>
      <w:lvlText w:val=""/>
      <w:lvlJc w:val="left"/>
    </w:lvl>
    <w:lvl w:ilvl="8" w:tplc="E18E9FA0">
      <w:numFmt w:val="decimal"/>
      <w:lvlText w:val=""/>
      <w:lvlJc w:val="left"/>
    </w:lvl>
  </w:abstractNum>
  <w:abstractNum w:abstractNumId="885" w15:restartNumberingAfterBreak="0">
    <w:nsid w:val="5D0F4C47"/>
    <w:multiLevelType w:val="hybridMultilevel"/>
    <w:tmpl w:val="2EEC6456"/>
    <w:lvl w:ilvl="0" w:tplc="CEDED488">
      <w:start w:val="1"/>
      <w:numFmt w:val="bullet"/>
      <w:lvlText w:val=""/>
      <w:lvlJc w:val="left"/>
      <w:pPr>
        <w:ind w:left="720" w:hanging="360"/>
      </w:pPr>
      <w:rPr>
        <w:rFonts w:ascii="Symbol" w:hAnsi="Symbol" w:hint="default"/>
      </w:rPr>
    </w:lvl>
    <w:lvl w:ilvl="1" w:tplc="EBF6D92E">
      <w:numFmt w:val="decimal"/>
      <w:lvlText w:val=""/>
      <w:lvlJc w:val="left"/>
    </w:lvl>
    <w:lvl w:ilvl="2" w:tplc="76400F52">
      <w:numFmt w:val="decimal"/>
      <w:lvlText w:val=""/>
      <w:lvlJc w:val="left"/>
    </w:lvl>
    <w:lvl w:ilvl="3" w:tplc="3AC2B392">
      <w:numFmt w:val="decimal"/>
      <w:lvlText w:val=""/>
      <w:lvlJc w:val="left"/>
    </w:lvl>
    <w:lvl w:ilvl="4" w:tplc="5BE4C8FE">
      <w:numFmt w:val="decimal"/>
      <w:lvlText w:val=""/>
      <w:lvlJc w:val="left"/>
    </w:lvl>
    <w:lvl w:ilvl="5" w:tplc="721E5C92">
      <w:numFmt w:val="decimal"/>
      <w:lvlText w:val=""/>
      <w:lvlJc w:val="left"/>
    </w:lvl>
    <w:lvl w:ilvl="6" w:tplc="C7B2B422">
      <w:numFmt w:val="decimal"/>
      <w:lvlText w:val=""/>
      <w:lvlJc w:val="left"/>
    </w:lvl>
    <w:lvl w:ilvl="7" w:tplc="F4227814">
      <w:numFmt w:val="decimal"/>
      <w:lvlText w:val=""/>
      <w:lvlJc w:val="left"/>
    </w:lvl>
    <w:lvl w:ilvl="8" w:tplc="09EAB862">
      <w:numFmt w:val="decimal"/>
      <w:lvlText w:val=""/>
      <w:lvlJc w:val="left"/>
    </w:lvl>
  </w:abstractNum>
  <w:abstractNum w:abstractNumId="886" w15:restartNumberingAfterBreak="0">
    <w:nsid w:val="5D1B1B3D"/>
    <w:multiLevelType w:val="hybridMultilevel"/>
    <w:tmpl w:val="52D4DEE2"/>
    <w:lvl w:ilvl="0" w:tplc="29947AB8">
      <w:start w:val="1"/>
      <w:numFmt w:val="bullet"/>
      <w:lvlText w:val=""/>
      <w:lvlJc w:val="left"/>
      <w:pPr>
        <w:ind w:left="720" w:hanging="360"/>
      </w:pPr>
      <w:rPr>
        <w:rFonts w:ascii="Symbol" w:hAnsi="Symbol" w:hint="default"/>
      </w:rPr>
    </w:lvl>
    <w:lvl w:ilvl="1" w:tplc="50D670BA">
      <w:numFmt w:val="decimal"/>
      <w:lvlText w:val=""/>
      <w:lvlJc w:val="left"/>
    </w:lvl>
    <w:lvl w:ilvl="2" w:tplc="2684E9E8">
      <w:numFmt w:val="decimal"/>
      <w:lvlText w:val=""/>
      <w:lvlJc w:val="left"/>
    </w:lvl>
    <w:lvl w:ilvl="3" w:tplc="09205688">
      <w:numFmt w:val="decimal"/>
      <w:lvlText w:val=""/>
      <w:lvlJc w:val="left"/>
    </w:lvl>
    <w:lvl w:ilvl="4" w:tplc="FEA482AC">
      <w:numFmt w:val="decimal"/>
      <w:lvlText w:val=""/>
      <w:lvlJc w:val="left"/>
    </w:lvl>
    <w:lvl w:ilvl="5" w:tplc="72DCC4AE">
      <w:numFmt w:val="decimal"/>
      <w:lvlText w:val=""/>
      <w:lvlJc w:val="left"/>
    </w:lvl>
    <w:lvl w:ilvl="6" w:tplc="E1609EAC">
      <w:numFmt w:val="decimal"/>
      <w:lvlText w:val=""/>
      <w:lvlJc w:val="left"/>
    </w:lvl>
    <w:lvl w:ilvl="7" w:tplc="A9E4FF4E">
      <w:numFmt w:val="decimal"/>
      <w:lvlText w:val=""/>
      <w:lvlJc w:val="left"/>
    </w:lvl>
    <w:lvl w:ilvl="8" w:tplc="E2A45866">
      <w:numFmt w:val="decimal"/>
      <w:lvlText w:val=""/>
      <w:lvlJc w:val="left"/>
    </w:lvl>
  </w:abstractNum>
  <w:abstractNum w:abstractNumId="887" w15:restartNumberingAfterBreak="0">
    <w:nsid w:val="5D746BCA"/>
    <w:multiLevelType w:val="hybridMultilevel"/>
    <w:tmpl w:val="E30CC86C"/>
    <w:lvl w:ilvl="0" w:tplc="524C847A">
      <w:start w:val="1"/>
      <w:numFmt w:val="bullet"/>
      <w:lvlText w:val=""/>
      <w:lvlJc w:val="left"/>
      <w:pPr>
        <w:ind w:left="720" w:hanging="360"/>
      </w:pPr>
      <w:rPr>
        <w:rFonts w:ascii="Symbol" w:hAnsi="Symbol" w:hint="default"/>
      </w:rPr>
    </w:lvl>
    <w:lvl w:ilvl="1" w:tplc="C04A661C">
      <w:numFmt w:val="decimal"/>
      <w:lvlText w:val=""/>
      <w:lvlJc w:val="left"/>
    </w:lvl>
    <w:lvl w:ilvl="2" w:tplc="B8726450">
      <w:numFmt w:val="decimal"/>
      <w:lvlText w:val=""/>
      <w:lvlJc w:val="left"/>
    </w:lvl>
    <w:lvl w:ilvl="3" w:tplc="D1F2BF44">
      <w:numFmt w:val="decimal"/>
      <w:lvlText w:val=""/>
      <w:lvlJc w:val="left"/>
    </w:lvl>
    <w:lvl w:ilvl="4" w:tplc="22100224">
      <w:numFmt w:val="decimal"/>
      <w:lvlText w:val=""/>
      <w:lvlJc w:val="left"/>
    </w:lvl>
    <w:lvl w:ilvl="5" w:tplc="69CAF436">
      <w:numFmt w:val="decimal"/>
      <w:lvlText w:val=""/>
      <w:lvlJc w:val="left"/>
    </w:lvl>
    <w:lvl w:ilvl="6" w:tplc="7C16D54E">
      <w:numFmt w:val="decimal"/>
      <w:lvlText w:val=""/>
      <w:lvlJc w:val="left"/>
    </w:lvl>
    <w:lvl w:ilvl="7" w:tplc="A516C452">
      <w:numFmt w:val="decimal"/>
      <w:lvlText w:val=""/>
      <w:lvlJc w:val="left"/>
    </w:lvl>
    <w:lvl w:ilvl="8" w:tplc="F94A3EE6">
      <w:numFmt w:val="decimal"/>
      <w:lvlText w:val=""/>
      <w:lvlJc w:val="left"/>
    </w:lvl>
  </w:abstractNum>
  <w:abstractNum w:abstractNumId="888" w15:restartNumberingAfterBreak="0">
    <w:nsid w:val="5D7F1BCD"/>
    <w:multiLevelType w:val="hybridMultilevel"/>
    <w:tmpl w:val="9E603DFE"/>
    <w:lvl w:ilvl="0" w:tplc="A260A99E">
      <w:start w:val="1"/>
      <w:numFmt w:val="bullet"/>
      <w:lvlText w:val=""/>
      <w:lvlJc w:val="left"/>
      <w:pPr>
        <w:ind w:left="720" w:hanging="360"/>
      </w:pPr>
      <w:rPr>
        <w:rFonts w:ascii="Symbol" w:hAnsi="Symbol" w:hint="default"/>
      </w:rPr>
    </w:lvl>
    <w:lvl w:ilvl="1" w:tplc="AF00419A">
      <w:numFmt w:val="decimal"/>
      <w:lvlText w:val=""/>
      <w:lvlJc w:val="left"/>
    </w:lvl>
    <w:lvl w:ilvl="2" w:tplc="27C2C29E">
      <w:numFmt w:val="decimal"/>
      <w:lvlText w:val=""/>
      <w:lvlJc w:val="left"/>
    </w:lvl>
    <w:lvl w:ilvl="3" w:tplc="B6EAB818">
      <w:numFmt w:val="decimal"/>
      <w:lvlText w:val=""/>
      <w:lvlJc w:val="left"/>
    </w:lvl>
    <w:lvl w:ilvl="4" w:tplc="05280CCE">
      <w:numFmt w:val="decimal"/>
      <w:lvlText w:val=""/>
      <w:lvlJc w:val="left"/>
    </w:lvl>
    <w:lvl w:ilvl="5" w:tplc="8890A4EC">
      <w:numFmt w:val="decimal"/>
      <w:lvlText w:val=""/>
      <w:lvlJc w:val="left"/>
    </w:lvl>
    <w:lvl w:ilvl="6" w:tplc="5ED488E6">
      <w:numFmt w:val="decimal"/>
      <w:lvlText w:val=""/>
      <w:lvlJc w:val="left"/>
    </w:lvl>
    <w:lvl w:ilvl="7" w:tplc="7EEC89A2">
      <w:numFmt w:val="decimal"/>
      <w:lvlText w:val=""/>
      <w:lvlJc w:val="left"/>
    </w:lvl>
    <w:lvl w:ilvl="8" w:tplc="701C7330">
      <w:numFmt w:val="decimal"/>
      <w:lvlText w:val=""/>
      <w:lvlJc w:val="left"/>
    </w:lvl>
  </w:abstractNum>
  <w:abstractNum w:abstractNumId="889" w15:restartNumberingAfterBreak="0">
    <w:nsid w:val="5DCC2F79"/>
    <w:multiLevelType w:val="hybridMultilevel"/>
    <w:tmpl w:val="DA28BD0E"/>
    <w:lvl w:ilvl="0" w:tplc="6FFA662C">
      <w:start w:val="1"/>
      <w:numFmt w:val="bullet"/>
      <w:lvlText w:val=""/>
      <w:lvlJc w:val="left"/>
      <w:pPr>
        <w:ind w:left="720" w:hanging="360"/>
      </w:pPr>
      <w:rPr>
        <w:rFonts w:ascii="Symbol" w:hAnsi="Symbol" w:hint="default"/>
      </w:rPr>
    </w:lvl>
    <w:lvl w:ilvl="1" w:tplc="3280D8CC">
      <w:numFmt w:val="decimal"/>
      <w:lvlText w:val=""/>
      <w:lvlJc w:val="left"/>
    </w:lvl>
    <w:lvl w:ilvl="2" w:tplc="89D2C446">
      <w:numFmt w:val="decimal"/>
      <w:lvlText w:val=""/>
      <w:lvlJc w:val="left"/>
    </w:lvl>
    <w:lvl w:ilvl="3" w:tplc="57FA6310">
      <w:numFmt w:val="decimal"/>
      <w:lvlText w:val=""/>
      <w:lvlJc w:val="left"/>
    </w:lvl>
    <w:lvl w:ilvl="4" w:tplc="D62A9EA8">
      <w:numFmt w:val="decimal"/>
      <w:lvlText w:val=""/>
      <w:lvlJc w:val="left"/>
    </w:lvl>
    <w:lvl w:ilvl="5" w:tplc="140A0BEE">
      <w:numFmt w:val="decimal"/>
      <w:lvlText w:val=""/>
      <w:lvlJc w:val="left"/>
    </w:lvl>
    <w:lvl w:ilvl="6" w:tplc="21923396">
      <w:numFmt w:val="decimal"/>
      <w:lvlText w:val=""/>
      <w:lvlJc w:val="left"/>
    </w:lvl>
    <w:lvl w:ilvl="7" w:tplc="488CA3C6">
      <w:numFmt w:val="decimal"/>
      <w:lvlText w:val=""/>
      <w:lvlJc w:val="left"/>
    </w:lvl>
    <w:lvl w:ilvl="8" w:tplc="8DA227C6">
      <w:numFmt w:val="decimal"/>
      <w:lvlText w:val=""/>
      <w:lvlJc w:val="left"/>
    </w:lvl>
  </w:abstractNum>
  <w:abstractNum w:abstractNumId="890" w15:restartNumberingAfterBreak="0">
    <w:nsid w:val="5E01207F"/>
    <w:multiLevelType w:val="hybridMultilevel"/>
    <w:tmpl w:val="C2F47C9E"/>
    <w:lvl w:ilvl="0" w:tplc="3DFEC160">
      <w:start w:val="1"/>
      <w:numFmt w:val="bullet"/>
      <w:lvlText w:val=""/>
      <w:lvlJc w:val="left"/>
      <w:pPr>
        <w:ind w:left="720" w:hanging="360"/>
      </w:pPr>
      <w:rPr>
        <w:rFonts w:ascii="Symbol" w:hAnsi="Symbol" w:hint="default"/>
      </w:rPr>
    </w:lvl>
    <w:lvl w:ilvl="1" w:tplc="2E48F834">
      <w:numFmt w:val="decimal"/>
      <w:lvlText w:val=""/>
      <w:lvlJc w:val="left"/>
    </w:lvl>
    <w:lvl w:ilvl="2" w:tplc="7166EBDC">
      <w:numFmt w:val="decimal"/>
      <w:lvlText w:val=""/>
      <w:lvlJc w:val="left"/>
    </w:lvl>
    <w:lvl w:ilvl="3" w:tplc="FDF06CFC">
      <w:numFmt w:val="decimal"/>
      <w:lvlText w:val=""/>
      <w:lvlJc w:val="left"/>
    </w:lvl>
    <w:lvl w:ilvl="4" w:tplc="80AA5A7A">
      <w:numFmt w:val="decimal"/>
      <w:lvlText w:val=""/>
      <w:lvlJc w:val="left"/>
    </w:lvl>
    <w:lvl w:ilvl="5" w:tplc="886AF024">
      <w:numFmt w:val="decimal"/>
      <w:lvlText w:val=""/>
      <w:lvlJc w:val="left"/>
    </w:lvl>
    <w:lvl w:ilvl="6" w:tplc="3BD834FE">
      <w:numFmt w:val="decimal"/>
      <w:lvlText w:val=""/>
      <w:lvlJc w:val="left"/>
    </w:lvl>
    <w:lvl w:ilvl="7" w:tplc="712C1E20">
      <w:numFmt w:val="decimal"/>
      <w:lvlText w:val=""/>
      <w:lvlJc w:val="left"/>
    </w:lvl>
    <w:lvl w:ilvl="8" w:tplc="FBAEF6BE">
      <w:numFmt w:val="decimal"/>
      <w:lvlText w:val=""/>
      <w:lvlJc w:val="left"/>
    </w:lvl>
  </w:abstractNum>
  <w:abstractNum w:abstractNumId="891" w15:restartNumberingAfterBreak="0">
    <w:nsid w:val="5E0942D2"/>
    <w:multiLevelType w:val="hybridMultilevel"/>
    <w:tmpl w:val="6FBA8B98"/>
    <w:lvl w:ilvl="0" w:tplc="AD96D0F8">
      <w:start w:val="1"/>
      <w:numFmt w:val="bullet"/>
      <w:lvlText w:val=""/>
      <w:lvlJc w:val="left"/>
      <w:pPr>
        <w:ind w:left="720" w:hanging="360"/>
      </w:pPr>
      <w:rPr>
        <w:rFonts w:ascii="Symbol" w:hAnsi="Symbol" w:hint="default"/>
      </w:rPr>
    </w:lvl>
    <w:lvl w:ilvl="1" w:tplc="6D4C5790">
      <w:numFmt w:val="decimal"/>
      <w:lvlText w:val=""/>
      <w:lvlJc w:val="left"/>
    </w:lvl>
    <w:lvl w:ilvl="2" w:tplc="AC0CFB6C">
      <w:numFmt w:val="decimal"/>
      <w:lvlText w:val=""/>
      <w:lvlJc w:val="left"/>
    </w:lvl>
    <w:lvl w:ilvl="3" w:tplc="FA36B18C">
      <w:numFmt w:val="decimal"/>
      <w:lvlText w:val=""/>
      <w:lvlJc w:val="left"/>
    </w:lvl>
    <w:lvl w:ilvl="4" w:tplc="E5CEAD62">
      <w:numFmt w:val="decimal"/>
      <w:lvlText w:val=""/>
      <w:lvlJc w:val="left"/>
    </w:lvl>
    <w:lvl w:ilvl="5" w:tplc="26BA2FF4">
      <w:numFmt w:val="decimal"/>
      <w:lvlText w:val=""/>
      <w:lvlJc w:val="left"/>
    </w:lvl>
    <w:lvl w:ilvl="6" w:tplc="14C07C9E">
      <w:numFmt w:val="decimal"/>
      <w:lvlText w:val=""/>
      <w:lvlJc w:val="left"/>
    </w:lvl>
    <w:lvl w:ilvl="7" w:tplc="404C1D1E">
      <w:numFmt w:val="decimal"/>
      <w:lvlText w:val=""/>
      <w:lvlJc w:val="left"/>
    </w:lvl>
    <w:lvl w:ilvl="8" w:tplc="7F6E1872">
      <w:numFmt w:val="decimal"/>
      <w:lvlText w:val=""/>
      <w:lvlJc w:val="left"/>
    </w:lvl>
  </w:abstractNum>
  <w:abstractNum w:abstractNumId="892" w15:restartNumberingAfterBreak="0">
    <w:nsid w:val="5E0E102E"/>
    <w:multiLevelType w:val="hybridMultilevel"/>
    <w:tmpl w:val="BB4AA302"/>
    <w:lvl w:ilvl="0" w:tplc="1868D346">
      <w:start w:val="1"/>
      <w:numFmt w:val="bullet"/>
      <w:lvlText w:val=""/>
      <w:lvlJc w:val="left"/>
      <w:pPr>
        <w:ind w:left="720" w:hanging="360"/>
      </w:pPr>
      <w:rPr>
        <w:rFonts w:ascii="Symbol" w:hAnsi="Symbol" w:hint="default"/>
      </w:rPr>
    </w:lvl>
    <w:lvl w:ilvl="1" w:tplc="E4D07D9A">
      <w:numFmt w:val="decimal"/>
      <w:lvlText w:val=""/>
      <w:lvlJc w:val="left"/>
    </w:lvl>
    <w:lvl w:ilvl="2" w:tplc="D996FB0E">
      <w:numFmt w:val="decimal"/>
      <w:lvlText w:val=""/>
      <w:lvlJc w:val="left"/>
    </w:lvl>
    <w:lvl w:ilvl="3" w:tplc="0ED6A272">
      <w:numFmt w:val="decimal"/>
      <w:lvlText w:val=""/>
      <w:lvlJc w:val="left"/>
    </w:lvl>
    <w:lvl w:ilvl="4" w:tplc="86AE4120">
      <w:numFmt w:val="decimal"/>
      <w:lvlText w:val=""/>
      <w:lvlJc w:val="left"/>
    </w:lvl>
    <w:lvl w:ilvl="5" w:tplc="E1BEC476">
      <w:numFmt w:val="decimal"/>
      <w:lvlText w:val=""/>
      <w:lvlJc w:val="left"/>
    </w:lvl>
    <w:lvl w:ilvl="6" w:tplc="5EFEC91C">
      <w:numFmt w:val="decimal"/>
      <w:lvlText w:val=""/>
      <w:lvlJc w:val="left"/>
    </w:lvl>
    <w:lvl w:ilvl="7" w:tplc="B4AA8C1A">
      <w:numFmt w:val="decimal"/>
      <w:lvlText w:val=""/>
      <w:lvlJc w:val="left"/>
    </w:lvl>
    <w:lvl w:ilvl="8" w:tplc="453C8D7E">
      <w:numFmt w:val="decimal"/>
      <w:lvlText w:val=""/>
      <w:lvlJc w:val="left"/>
    </w:lvl>
  </w:abstractNum>
  <w:abstractNum w:abstractNumId="893" w15:restartNumberingAfterBreak="0">
    <w:nsid w:val="5E151297"/>
    <w:multiLevelType w:val="hybridMultilevel"/>
    <w:tmpl w:val="C14C2980"/>
    <w:lvl w:ilvl="0" w:tplc="6F52F692">
      <w:start w:val="1"/>
      <w:numFmt w:val="bullet"/>
      <w:lvlText w:val=""/>
      <w:lvlJc w:val="left"/>
      <w:pPr>
        <w:ind w:left="720" w:hanging="360"/>
      </w:pPr>
      <w:rPr>
        <w:rFonts w:ascii="Symbol" w:hAnsi="Symbol" w:hint="default"/>
      </w:rPr>
    </w:lvl>
    <w:lvl w:ilvl="1" w:tplc="C7F82828">
      <w:numFmt w:val="decimal"/>
      <w:lvlText w:val=""/>
      <w:lvlJc w:val="left"/>
    </w:lvl>
    <w:lvl w:ilvl="2" w:tplc="03984BAA">
      <w:numFmt w:val="decimal"/>
      <w:lvlText w:val=""/>
      <w:lvlJc w:val="left"/>
    </w:lvl>
    <w:lvl w:ilvl="3" w:tplc="2A7EAC00">
      <w:numFmt w:val="decimal"/>
      <w:lvlText w:val=""/>
      <w:lvlJc w:val="left"/>
    </w:lvl>
    <w:lvl w:ilvl="4" w:tplc="E868A210">
      <w:numFmt w:val="decimal"/>
      <w:lvlText w:val=""/>
      <w:lvlJc w:val="left"/>
    </w:lvl>
    <w:lvl w:ilvl="5" w:tplc="D76A7918">
      <w:numFmt w:val="decimal"/>
      <w:lvlText w:val=""/>
      <w:lvlJc w:val="left"/>
    </w:lvl>
    <w:lvl w:ilvl="6" w:tplc="F4027F34">
      <w:numFmt w:val="decimal"/>
      <w:lvlText w:val=""/>
      <w:lvlJc w:val="left"/>
    </w:lvl>
    <w:lvl w:ilvl="7" w:tplc="7EF29EA0">
      <w:numFmt w:val="decimal"/>
      <w:lvlText w:val=""/>
      <w:lvlJc w:val="left"/>
    </w:lvl>
    <w:lvl w:ilvl="8" w:tplc="053C4CCE">
      <w:numFmt w:val="decimal"/>
      <w:lvlText w:val=""/>
      <w:lvlJc w:val="left"/>
    </w:lvl>
  </w:abstractNum>
  <w:abstractNum w:abstractNumId="894" w15:restartNumberingAfterBreak="0">
    <w:nsid w:val="5E1813FB"/>
    <w:multiLevelType w:val="hybridMultilevel"/>
    <w:tmpl w:val="6D9A4E16"/>
    <w:lvl w:ilvl="0" w:tplc="26BE987E">
      <w:start w:val="1"/>
      <w:numFmt w:val="bullet"/>
      <w:lvlText w:val=""/>
      <w:lvlJc w:val="left"/>
      <w:pPr>
        <w:ind w:left="720" w:hanging="360"/>
      </w:pPr>
      <w:rPr>
        <w:rFonts w:ascii="Symbol" w:hAnsi="Symbol" w:hint="default"/>
      </w:rPr>
    </w:lvl>
    <w:lvl w:ilvl="1" w:tplc="95183E00">
      <w:numFmt w:val="decimal"/>
      <w:lvlText w:val=""/>
      <w:lvlJc w:val="left"/>
    </w:lvl>
    <w:lvl w:ilvl="2" w:tplc="F85EB866">
      <w:numFmt w:val="decimal"/>
      <w:lvlText w:val=""/>
      <w:lvlJc w:val="left"/>
    </w:lvl>
    <w:lvl w:ilvl="3" w:tplc="C1F0A1CC">
      <w:numFmt w:val="decimal"/>
      <w:lvlText w:val=""/>
      <w:lvlJc w:val="left"/>
    </w:lvl>
    <w:lvl w:ilvl="4" w:tplc="A45CCB0C">
      <w:numFmt w:val="decimal"/>
      <w:lvlText w:val=""/>
      <w:lvlJc w:val="left"/>
    </w:lvl>
    <w:lvl w:ilvl="5" w:tplc="452AD596">
      <w:numFmt w:val="decimal"/>
      <w:lvlText w:val=""/>
      <w:lvlJc w:val="left"/>
    </w:lvl>
    <w:lvl w:ilvl="6" w:tplc="732256F6">
      <w:numFmt w:val="decimal"/>
      <w:lvlText w:val=""/>
      <w:lvlJc w:val="left"/>
    </w:lvl>
    <w:lvl w:ilvl="7" w:tplc="91C0F16C">
      <w:numFmt w:val="decimal"/>
      <w:lvlText w:val=""/>
      <w:lvlJc w:val="left"/>
    </w:lvl>
    <w:lvl w:ilvl="8" w:tplc="5B1EE938">
      <w:numFmt w:val="decimal"/>
      <w:lvlText w:val=""/>
      <w:lvlJc w:val="left"/>
    </w:lvl>
  </w:abstractNum>
  <w:abstractNum w:abstractNumId="895" w15:restartNumberingAfterBreak="0">
    <w:nsid w:val="5E2C1A66"/>
    <w:multiLevelType w:val="hybridMultilevel"/>
    <w:tmpl w:val="CDD865EA"/>
    <w:lvl w:ilvl="0" w:tplc="2F02DE88">
      <w:numFmt w:val="decimal"/>
      <w:lvlText w:val=""/>
      <w:lvlJc w:val="left"/>
    </w:lvl>
    <w:lvl w:ilvl="1" w:tplc="BCB63C5C">
      <w:start w:val="1"/>
      <w:numFmt w:val="bullet"/>
      <w:lvlText w:val=""/>
      <w:lvlJc w:val="left"/>
      <w:pPr>
        <w:ind w:left="1440" w:hanging="360"/>
      </w:pPr>
      <w:rPr>
        <w:rFonts w:ascii="Symbol" w:hAnsi="Symbol" w:hint="default"/>
      </w:rPr>
    </w:lvl>
    <w:lvl w:ilvl="2" w:tplc="E5F6D40C">
      <w:numFmt w:val="decimal"/>
      <w:lvlText w:val=""/>
      <w:lvlJc w:val="left"/>
    </w:lvl>
    <w:lvl w:ilvl="3" w:tplc="8BEC875C">
      <w:numFmt w:val="decimal"/>
      <w:lvlText w:val=""/>
      <w:lvlJc w:val="left"/>
    </w:lvl>
    <w:lvl w:ilvl="4" w:tplc="35C2C692">
      <w:numFmt w:val="decimal"/>
      <w:lvlText w:val=""/>
      <w:lvlJc w:val="left"/>
    </w:lvl>
    <w:lvl w:ilvl="5" w:tplc="5832FAD2">
      <w:numFmt w:val="decimal"/>
      <w:lvlText w:val=""/>
      <w:lvlJc w:val="left"/>
    </w:lvl>
    <w:lvl w:ilvl="6" w:tplc="D0201CAC">
      <w:numFmt w:val="decimal"/>
      <w:lvlText w:val=""/>
      <w:lvlJc w:val="left"/>
    </w:lvl>
    <w:lvl w:ilvl="7" w:tplc="73B670F4">
      <w:numFmt w:val="decimal"/>
      <w:lvlText w:val=""/>
      <w:lvlJc w:val="left"/>
    </w:lvl>
    <w:lvl w:ilvl="8" w:tplc="A0043908">
      <w:numFmt w:val="decimal"/>
      <w:lvlText w:val=""/>
      <w:lvlJc w:val="left"/>
    </w:lvl>
  </w:abstractNum>
  <w:abstractNum w:abstractNumId="896" w15:restartNumberingAfterBreak="0">
    <w:nsid w:val="5E6D4B43"/>
    <w:multiLevelType w:val="hybridMultilevel"/>
    <w:tmpl w:val="234A48B6"/>
    <w:lvl w:ilvl="0" w:tplc="E084B83C">
      <w:start w:val="1"/>
      <w:numFmt w:val="bullet"/>
      <w:lvlText w:val=""/>
      <w:lvlJc w:val="left"/>
      <w:pPr>
        <w:ind w:left="720" w:hanging="360"/>
      </w:pPr>
      <w:rPr>
        <w:rFonts w:ascii="Symbol" w:hAnsi="Symbol" w:hint="default"/>
      </w:rPr>
    </w:lvl>
    <w:lvl w:ilvl="1" w:tplc="7D3AA860">
      <w:numFmt w:val="decimal"/>
      <w:lvlText w:val=""/>
      <w:lvlJc w:val="left"/>
    </w:lvl>
    <w:lvl w:ilvl="2" w:tplc="F4A29D22">
      <w:numFmt w:val="decimal"/>
      <w:lvlText w:val=""/>
      <w:lvlJc w:val="left"/>
    </w:lvl>
    <w:lvl w:ilvl="3" w:tplc="BFE445D8">
      <w:numFmt w:val="decimal"/>
      <w:lvlText w:val=""/>
      <w:lvlJc w:val="left"/>
    </w:lvl>
    <w:lvl w:ilvl="4" w:tplc="D270C78C">
      <w:numFmt w:val="decimal"/>
      <w:lvlText w:val=""/>
      <w:lvlJc w:val="left"/>
    </w:lvl>
    <w:lvl w:ilvl="5" w:tplc="D1E4D688">
      <w:numFmt w:val="decimal"/>
      <w:lvlText w:val=""/>
      <w:lvlJc w:val="left"/>
    </w:lvl>
    <w:lvl w:ilvl="6" w:tplc="E0EC6C8C">
      <w:numFmt w:val="decimal"/>
      <w:lvlText w:val=""/>
      <w:lvlJc w:val="left"/>
    </w:lvl>
    <w:lvl w:ilvl="7" w:tplc="A75CDFE4">
      <w:numFmt w:val="decimal"/>
      <w:lvlText w:val=""/>
      <w:lvlJc w:val="left"/>
    </w:lvl>
    <w:lvl w:ilvl="8" w:tplc="F1A4A562">
      <w:numFmt w:val="decimal"/>
      <w:lvlText w:val=""/>
      <w:lvlJc w:val="left"/>
    </w:lvl>
  </w:abstractNum>
  <w:abstractNum w:abstractNumId="897" w15:restartNumberingAfterBreak="0">
    <w:nsid w:val="5EB22302"/>
    <w:multiLevelType w:val="hybridMultilevel"/>
    <w:tmpl w:val="82AC876E"/>
    <w:lvl w:ilvl="0" w:tplc="1FECED08">
      <w:start w:val="1"/>
      <w:numFmt w:val="bullet"/>
      <w:lvlText w:val=""/>
      <w:lvlJc w:val="left"/>
      <w:pPr>
        <w:ind w:left="720" w:hanging="360"/>
      </w:pPr>
      <w:rPr>
        <w:rFonts w:ascii="Symbol" w:hAnsi="Symbol" w:hint="default"/>
      </w:rPr>
    </w:lvl>
    <w:lvl w:ilvl="1" w:tplc="F498263A">
      <w:numFmt w:val="decimal"/>
      <w:lvlText w:val=""/>
      <w:lvlJc w:val="left"/>
    </w:lvl>
    <w:lvl w:ilvl="2" w:tplc="CE147856">
      <w:numFmt w:val="decimal"/>
      <w:lvlText w:val=""/>
      <w:lvlJc w:val="left"/>
    </w:lvl>
    <w:lvl w:ilvl="3" w:tplc="0C8480BC">
      <w:numFmt w:val="decimal"/>
      <w:lvlText w:val=""/>
      <w:lvlJc w:val="left"/>
    </w:lvl>
    <w:lvl w:ilvl="4" w:tplc="128621AE">
      <w:numFmt w:val="decimal"/>
      <w:lvlText w:val=""/>
      <w:lvlJc w:val="left"/>
    </w:lvl>
    <w:lvl w:ilvl="5" w:tplc="7FFC66F2">
      <w:numFmt w:val="decimal"/>
      <w:lvlText w:val=""/>
      <w:lvlJc w:val="left"/>
    </w:lvl>
    <w:lvl w:ilvl="6" w:tplc="F2F41998">
      <w:numFmt w:val="decimal"/>
      <w:lvlText w:val=""/>
      <w:lvlJc w:val="left"/>
    </w:lvl>
    <w:lvl w:ilvl="7" w:tplc="2BA82F0A">
      <w:numFmt w:val="decimal"/>
      <w:lvlText w:val=""/>
      <w:lvlJc w:val="left"/>
    </w:lvl>
    <w:lvl w:ilvl="8" w:tplc="D81056CE">
      <w:numFmt w:val="decimal"/>
      <w:lvlText w:val=""/>
      <w:lvlJc w:val="left"/>
    </w:lvl>
  </w:abstractNum>
  <w:abstractNum w:abstractNumId="898" w15:restartNumberingAfterBreak="0">
    <w:nsid w:val="5F0C1131"/>
    <w:multiLevelType w:val="hybridMultilevel"/>
    <w:tmpl w:val="800CB12A"/>
    <w:lvl w:ilvl="0" w:tplc="42900772">
      <w:start w:val="1"/>
      <w:numFmt w:val="bullet"/>
      <w:lvlText w:val=""/>
      <w:lvlJc w:val="left"/>
      <w:pPr>
        <w:ind w:left="720" w:hanging="360"/>
      </w:pPr>
      <w:rPr>
        <w:rFonts w:ascii="Symbol" w:hAnsi="Symbol" w:hint="default"/>
      </w:rPr>
    </w:lvl>
    <w:lvl w:ilvl="1" w:tplc="086E9FD4">
      <w:numFmt w:val="decimal"/>
      <w:lvlText w:val=""/>
      <w:lvlJc w:val="left"/>
    </w:lvl>
    <w:lvl w:ilvl="2" w:tplc="FF3EA8F8">
      <w:numFmt w:val="decimal"/>
      <w:lvlText w:val=""/>
      <w:lvlJc w:val="left"/>
    </w:lvl>
    <w:lvl w:ilvl="3" w:tplc="C57E1090">
      <w:numFmt w:val="decimal"/>
      <w:lvlText w:val=""/>
      <w:lvlJc w:val="left"/>
    </w:lvl>
    <w:lvl w:ilvl="4" w:tplc="BC7EB54C">
      <w:numFmt w:val="decimal"/>
      <w:lvlText w:val=""/>
      <w:lvlJc w:val="left"/>
    </w:lvl>
    <w:lvl w:ilvl="5" w:tplc="93721D06">
      <w:numFmt w:val="decimal"/>
      <w:lvlText w:val=""/>
      <w:lvlJc w:val="left"/>
    </w:lvl>
    <w:lvl w:ilvl="6" w:tplc="CE9E1E4A">
      <w:numFmt w:val="decimal"/>
      <w:lvlText w:val=""/>
      <w:lvlJc w:val="left"/>
    </w:lvl>
    <w:lvl w:ilvl="7" w:tplc="4E2A1590">
      <w:numFmt w:val="decimal"/>
      <w:lvlText w:val=""/>
      <w:lvlJc w:val="left"/>
    </w:lvl>
    <w:lvl w:ilvl="8" w:tplc="8FEA8A0C">
      <w:numFmt w:val="decimal"/>
      <w:lvlText w:val=""/>
      <w:lvlJc w:val="left"/>
    </w:lvl>
  </w:abstractNum>
  <w:abstractNum w:abstractNumId="899" w15:restartNumberingAfterBreak="0">
    <w:nsid w:val="5F242BBA"/>
    <w:multiLevelType w:val="hybridMultilevel"/>
    <w:tmpl w:val="8C983F9E"/>
    <w:lvl w:ilvl="0" w:tplc="FE5A8C5E">
      <w:start w:val="1"/>
      <w:numFmt w:val="bullet"/>
      <w:lvlText w:val=""/>
      <w:lvlJc w:val="left"/>
      <w:pPr>
        <w:ind w:left="720" w:hanging="360"/>
      </w:pPr>
      <w:rPr>
        <w:rFonts w:ascii="Symbol" w:hAnsi="Symbol" w:hint="default"/>
      </w:rPr>
    </w:lvl>
    <w:lvl w:ilvl="1" w:tplc="9D70601E">
      <w:numFmt w:val="decimal"/>
      <w:lvlText w:val=""/>
      <w:lvlJc w:val="left"/>
    </w:lvl>
    <w:lvl w:ilvl="2" w:tplc="CA6628C6">
      <w:numFmt w:val="decimal"/>
      <w:lvlText w:val=""/>
      <w:lvlJc w:val="left"/>
    </w:lvl>
    <w:lvl w:ilvl="3" w:tplc="960CBDB8">
      <w:numFmt w:val="decimal"/>
      <w:lvlText w:val=""/>
      <w:lvlJc w:val="left"/>
    </w:lvl>
    <w:lvl w:ilvl="4" w:tplc="E3421064">
      <w:numFmt w:val="decimal"/>
      <w:lvlText w:val=""/>
      <w:lvlJc w:val="left"/>
    </w:lvl>
    <w:lvl w:ilvl="5" w:tplc="0EECC788">
      <w:numFmt w:val="decimal"/>
      <w:lvlText w:val=""/>
      <w:lvlJc w:val="left"/>
    </w:lvl>
    <w:lvl w:ilvl="6" w:tplc="353A6AD2">
      <w:numFmt w:val="decimal"/>
      <w:lvlText w:val=""/>
      <w:lvlJc w:val="left"/>
    </w:lvl>
    <w:lvl w:ilvl="7" w:tplc="7F08C5C0">
      <w:numFmt w:val="decimal"/>
      <w:lvlText w:val=""/>
      <w:lvlJc w:val="left"/>
    </w:lvl>
    <w:lvl w:ilvl="8" w:tplc="D55828EE">
      <w:numFmt w:val="decimal"/>
      <w:lvlText w:val=""/>
      <w:lvlJc w:val="left"/>
    </w:lvl>
  </w:abstractNum>
  <w:abstractNum w:abstractNumId="900" w15:restartNumberingAfterBreak="0">
    <w:nsid w:val="5F2E272F"/>
    <w:multiLevelType w:val="hybridMultilevel"/>
    <w:tmpl w:val="CCCC4236"/>
    <w:lvl w:ilvl="0" w:tplc="9C502E80">
      <w:start w:val="1"/>
      <w:numFmt w:val="bullet"/>
      <w:lvlText w:val=""/>
      <w:lvlJc w:val="left"/>
      <w:pPr>
        <w:ind w:left="720" w:hanging="360"/>
      </w:pPr>
      <w:rPr>
        <w:rFonts w:ascii="Symbol" w:hAnsi="Symbol" w:hint="default"/>
      </w:rPr>
    </w:lvl>
    <w:lvl w:ilvl="1" w:tplc="5DCA8724">
      <w:numFmt w:val="decimal"/>
      <w:lvlText w:val=""/>
      <w:lvlJc w:val="left"/>
    </w:lvl>
    <w:lvl w:ilvl="2" w:tplc="13C61254">
      <w:numFmt w:val="decimal"/>
      <w:lvlText w:val=""/>
      <w:lvlJc w:val="left"/>
    </w:lvl>
    <w:lvl w:ilvl="3" w:tplc="6FAEC382">
      <w:numFmt w:val="decimal"/>
      <w:lvlText w:val=""/>
      <w:lvlJc w:val="left"/>
    </w:lvl>
    <w:lvl w:ilvl="4" w:tplc="DDB854F2">
      <w:numFmt w:val="decimal"/>
      <w:lvlText w:val=""/>
      <w:lvlJc w:val="left"/>
    </w:lvl>
    <w:lvl w:ilvl="5" w:tplc="528AED96">
      <w:numFmt w:val="decimal"/>
      <w:lvlText w:val=""/>
      <w:lvlJc w:val="left"/>
    </w:lvl>
    <w:lvl w:ilvl="6" w:tplc="3490D3A8">
      <w:numFmt w:val="decimal"/>
      <w:lvlText w:val=""/>
      <w:lvlJc w:val="left"/>
    </w:lvl>
    <w:lvl w:ilvl="7" w:tplc="52D08482">
      <w:numFmt w:val="decimal"/>
      <w:lvlText w:val=""/>
      <w:lvlJc w:val="left"/>
    </w:lvl>
    <w:lvl w:ilvl="8" w:tplc="096EFE22">
      <w:numFmt w:val="decimal"/>
      <w:lvlText w:val=""/>
      <w:lvlJc w:val="left"/>
    </w:lvl>
  </w:abstractNum>
  <w:abstractNum w:abstractNumId="901" w15:restartNumberingAfterBreak="0">
    <w:nsid w:val="5F3409FE"/>
    <w:multiLevelType w:val="hybridMultilevel"/>
    <w:tmpl w:val="26AACBD4"/>
    <w:lvl w:ilvl="0" w:tplc="19286998">
      <w:start w:val="1"/>
      <w:numFmt w:val="bullet"/>
      <w:lvlText w:val=""/>
      <w:lvlJc w:val="left"/>
      <w:pPr>
        <w:ind w:left="720" w:hanging="360"/>
      </w:pPr>
      <w:rPr>
        <w:rFonts w:ascii="Symbol" w:hAnsi="Symbol" w:hint="default"/>
      </w:rPr>
    </w:lvl>
    <w:lvl w:ilvl="1" w:tplc="5504DACA">
      <w:numFmt w:val="decimal"/>
      <w:lvlText w:val=""/>
      <w:lvlJc w:val="left"/>
    </w:lvl>
    <w:lvl w:ilvl="2" w:tplc="F4C24518">
      <w:numFmt w:val="decimal"/>
      <w:lvlText w:val=""/>
      <w:lvlJc w:val="left"/>
    </w:lvl>
    <w:lvl w:ilvl="3" w:tplc="FBF0F228">
      <w:numFmt w:val="decimal"/>
      <w:lvlText w:val=""/>
      <w:lvlJc w:val="left"/>
    </w:lvl>
    <w:lvl w:ilvl="4" w:tplc="88D4B612">
      <w:numFmt w:val="decimal"/>
      <w:lvlText w:val=""/>
      <w:lvlJc w:val="left"/>
    </w:lvl>
    <w:lvl w:ilvl="5" w:tplc="43741F4E">
      <w:numFmt w:val="decimal"/>
      <w:lvlText w:val=""/>
      <w:lvlJc w:val="left"/>
    </w:lvl>
    <w:lvl w:ilvl="6" w:tplc="76D8D62A">
      <w:numFmt w:val="decimal"/>
      <w:lvlText w:val=""/>
      <w:lvlJc w:val="left"/>
    </w:lvl>
    <w:lvl w:ilvl="7" w:tplc="B902224E">
      <w:numFmt w:val="decimal"/>
      <w:lvlText w:val=""/>
      <w:lvlJc w:val="left"/>
    </w:lvl>
    <w:lvl w:ilvl="8" w:tplc="83302684">
      <w:numFmt w:val="decimal"/>
      <w:lvlText w:val=""/>
      <w:lvlJc w:val="left"/>
    </w:lvl>
  </w:abstractNum>
  <w:abstractNum w:abstractNumId="902" w15:restartNumberingAfterBreak="0">
    <w:nsid w:val="5F3834D1"/>
    <w:multiLevelType w:val="hybridMultilevel"/>
    <w:tmpl w:val="037E307E"/>
    <w:lvl w:ilvl="0" w:tplc="CCE8787E">
      <w:start w:val="1"/>
      <w:numFmt w:val="bullet"/>
      <w:lvlText w:val=""/>
      <w:lvlJc w:val="left"/>
      <w:pPr>
        <w:ind w:left="720" w:hanging="360"/>
      </w:pPr>
      <w:rPr>
        <w:rFonts w:ascii="Symbol" w:hAnsi="Symbol" w:hint="default"/>
      </w:rPr>
    </w:lvl>
    <w:lvl w:ilvl="1" w:tplc="E7925D1A">
      <w:numFmt w:val="decimal"/>
      <w:lvlText w:val=""/>
      <w:lvlJc w:val="left"/>
    </w:lvl>
    <w:lvl w:ilvl="2" w:tplc="2D1E4EA0">
      <w:numFmt w:val="decimal"/>
      <w:lvlText w:val=""/>
      <w:lvlJc w:val="left"/>
    </w:lvl>
    <w:lvl w:ilvl="3" w:tplc="CA62CF96">
      <w:numFmt w:val="decimal"/>
      <w:lvlText w:val=""/>
      <w:lvlJc w:val="left"/>
    </w:lvl>
    <w:lvl w:ilvl="4" w:tplc="4168C068">
      <w:numFmt w:val="decimal"/>
      <w:lvlText w:val=""/>
      <w:lvlJc w:val="left"/>
    </w:lvl>
    <w:lvl w:ilvl="5" w:tplc="D0527932">
      <w:numFmt w:val="decimal"/>
      <w:lvlText w:val=""/>
      <w:lvlJc w:val="left"/>
    </w:lvl>
    <w:lvl w:ilvl="6" w:tplc="0B143BC8">
      <w:numFmt w:val="decimal"/>
      <w:lvlText w:val=""/>
      <w:lvlJc w:val="left"/>
    </w:lvl>
    <w:lvl w:ilvl="7" w:tplc="C2F0EEC6">
      <w:numFmt w:val="decimal"/>
      <w:lvlText w:val=""/>
      <w:lvlJc w:val="left"/>
    </w:lvl>
    <w:lvl w:ilvl="8" w:tplc="B762D2AC">
      <w:numFmt w:val="decimal"/>
      <w:lvlText w:val=""/>
      <w:lvlJc w:val="left"/>
    </w:lvl>
  </w:abstractNum>
  <w:abstractNum w:abstractNumId="903" w15:restartNumberingAfterBreak="0">
    <w:nsid w:val="5F9760BC"/>
    <w:multiLevelType w:val="hybridMultilevel"/>
    <w:tmpl w:val="C562EF68"/>
    <w:lvl w:ilvl="0" w:tplc="E7E28C96">
      <w:start w:val="1"/>
      <w:numFmt w:val="bullet"/>
      <w:lvlText w:val=""/>
      <w:lvlJc w:val="left"/>
      <w:pPr>
        <w:ind w:left="720" w:hanging="360"/>
      </w:pPr>
      <w:rPr>
        <w:rFonts w:ascii="Symbol" w:hAnsi="Symbol" w:hint="default"/>
      </w:rPr>
    </w:lvl>
    <w:lvl w:ilvl="1" w:tplc="CE62457A">
      <w:numFmt w:val="decimal"/>
      <w:lvlText w:val=""/>
      <w:lvlJc w:val="left"/>
    </w:lvl>
    <w:lvl w:ilvl="2" w:tplc="AEA454B0">
      <w:numFmt w:val="decimal"/>
      <w:lvlText w:val=""/>
      <w:lvlJc w:val="left"/>
    </w:lvl>
    <w:lvl w:ilvl="3" w:tplc="5D0852AC">
      <w:numFmt w:val="decimal"/>
      <w:lvlText w:val=""/>
      <w:lvlJc w:val="left"/>
    </w:lvl>
    <w:lvl w:ilvl="4" w:tplc="EA80B6A6">
      <w:numFmt w:val="decimal"/>
      <w:lvlText w:val=""/>
      <w:lvlJc w:val="left"/>
    </w:lvl>
    <w:lvl w:ilvl="5" w:tplc="8D84A528">
      <w:numFmt w:val="decimal"/>
      <w:lvlText w:val=""/>
      <w:lvlJc w:val="left"/>
    </w:lvl>
    <w:lvl w:ilvl="6" w:tplc="6D3E4D66">
      <w:numFmt w:val="decimal"/>
      <w:lvlText w:val=""/>
      <w:lvlJc w:val="left"/>
    </w:lvl>
    <w:lvl w:ilvl="7" w:tplc="D62268BA">
      <w:numFmt w:val="decimal"/>
      <w:lvlText w:val=""/>
      <w:lvlJc w:val="left"/>
    </w:lvl>
    <w:lvl w:ilvl="8" w:tplc="070E0670">
      <w:numFmt w:val="decimal"/>
      <w:lvlText w:val=""/>
      <w:lvlJc w:val="left"/>
    </w:lvl>
  </w:abstractNum>
  <w:abstractNum w:abstractNumId="904" w15:restartNumberingAfterBreak="0">
    <w:nsid w:val="5FA452E9"/>
    <w:multiLevelType w:val="hybridMultilevel"/>
    <w:tmpl w:val="1B362B14"/>
    <w:lvl w:ilvl="0" w:tplc="20522B62">
      <w:start w:val="1"/>
      <w:numFmt w:val="bullet"/>
      <w:lvlText w:val=""/>
      <w:lvlJc w:val="left"/>
      <w:pPr>
        <w:ind w:left="720" w:hanging="360"/>
      </w:pPr>
      <w:rPr>
        <w:rFonts w:ascii="Symbol" w:hAnsi="Symbol" w:hint="default"/>
      </w:rPr>
    </w:lvl>
    <w:lvl w:ilvl="1" w:tplc="CFB617A8">
      <w:numFmt w:val="decimal"/>
      <w:lvlText w:val=""/>
      <w:lvlJc w:val="left"/>
    </w:lvl>
    <w:lvl w:ilvl="2" w:tplc="E3224F8C">
      <w:numFmt w:val="decimal"/>
      <w:lvlText w:val=""/>
      <w:lvlJc w:val="left"/>
    </w:lvl>
    <w:lvl w:ilvl="3" w:tplc="05EA1A7A">
      <w:numFmt w:val="decimal"/>
      <w:lvlText w:val=""/>
      <w:lvlJc w:val="left"/>
    </w:lvl>
    <w:lvl w:ilvl="4" w:tplc="0DE0AE66">
      <w:numFmt w:val="decimal"/>
      <w:lvlText w:val=""/>
      <w:lvlJc w:val="left"/>
    </w:lvl>
    <w:lvl w:ilvl="5" w:tplc="21E23070">
      <w:numFmt w:val="decimal"/>
      <w:lvlText w:val=""/>
      <w:lvlJc w:val="left"/>
    </w:lvl>
    <w:lvl w:ilvl="6" w:tplc="90465FFE">
      <w:numFmt w:val="decimal"/>
      <w:lvlText w:val=""/>
      <w:lvlJc w:val="left"/>
    </w:lvl>
    <w:lvl w:ilvl="7" w:tplc="0FB8625E">
      <w:numFmt w:val="decimal"/>
      <w:lvlText w:val=""/>
      <w:lvlJc w:val="left"/>
    </w:lvl>
    <w:lvl w:ilvl="8" w:tplc="17184BE4">
      <w:numFmt w:val="decimal"/>
      <w:lvlText w:val=""/>
      <w:lvlJc w:val="left"/>
    </w:lvl>
  </w:abstractNum>
  <w:abstractNum w:abstractNumId="905" w15:restartNumberingAfterBreak="0">
    <w:nsid w:val="5FCC68C8"/>
    <w:multiLevelType w:val="hybridMultilevel"/>
    <w:tmpl w:val="394096AE"/>
    <w:lvl w:ilvl="0" w:tplc="07B4F3FC">
      <w:start w:val="1"/>
      <w:numFmt w:val="bullet"/>
      <w:lvlText w:val=""/>
      <w:lvlJc w:val="left"/>
      <w:pPr>
        <w:ind w:left="720" w:hanging="360"/>
      </w:pPr>
      <w:rPr>
        <w:rFonts w:ascii="Symbol" w:hAnsi="Symbol" w:hint="default"/>
      </w:rPr>
    </w:lvl>
    <w:lvl w:ilvl="1" w:tplc="AD4821B8">
      <w:numFmt w:val="decimal"/>
      <w:lvlText w:val=""/>
      <w:lvlJc w:val="left"/>
    </w:lvl>
    <w:lvl w:ilvl="2" w:tplc="EDB25114">
      <w:numFmt w:val="decimal"/>
      <w:lvlText w:val=""/>
      <w:lvlJc w:val="left"/>
    </w:lvl>
    <w:lvl w:ilvl="3" w:tplc="C53AFB5A">
      <w:numFmt w:val="decimal"/>
      <w:lvlText w:val=""/>
      <w:lvlJc w:val="left"/>
    </w:lvl>
    <w:lvl w:ilvl="4" w:tplc="567656D4">
      <w:numFmt w:val="decimal"/>
      <w:lvlText w:val=""/>
      <w:lvlJc w:val="left"/>
    </w:lvl>
    <w:lvl w:ilvl="5" w:tplc="91FCF00A">
      <w:numFmt w:val="decimal"/>
      <w:lvlText w:val=""/>
      <w:lvlJc w:val="left"/>
    </w:lvl>
    <w:lvl w:ilvl="6" w:tplc="76BC6E80">
      <w:numFmt w:val="decimal"/>
      <w:lvlText w:val=""/>
      <w:lvlJc w:val="left"/>
    </w:lvl>
    <w:lvl w:ilvl="7" w:tplc="A59A7A82">
      <w:numFmt w:val="decimal"/>
      <w:lvlText w:val=""/>
      <w:lvlJc w:val="left"/>
    </w:lvl>
    <w:lvl w:ilvl="8" w:tplc="639E225E">
      <w:numFmt w:val="decimal"/>
      <w:lvlText w:val=""/>
      <w:lvlJc w:val="left"/>
    </w:lvl>
  </w:abstractNum>
  <w:abstractNum w:abstractNumId="906" w15:restartNumberingAfterBreak="0">
    <w:nsid w:val="5FD54294"/>
    <w:multiLevelType w:val="hybridMultilevel"/>
    <w:tmpl w:val="D248B010"/>
    <w:lvl w:ilvl="0" w:tplc="D56047DE">
      <w:start w:val="1"/>
      <w:numFmt w:val="bullet"/>
      <w:lvlText w:val=""/>
      <w:lvlJc w:val="left"/>
      <w:pPr>
        <w:ind w:left="720" w:hanging="360"/>
      </w:pPr>
      <w:rPr>
        <w:rFonts w:ascii="Symbol" w:hAnsi="Symbol" w:hint="default"/>
      </w:rPr>
    </w:lvl>
    <w:lvl w:ilvl="1" w:tplc="68668CF8">
      <w:numFmt w:val="decimal"/>
      <w:lvlText w:val=""/>
      <w:lvlJc w:val="left"/>
    </w:lvl>
    <w:lvl w:ilvl="2" w:tplc="92BCC64C">
      <w:numFmt w:val="decimal"/>
      <w:lvlText w:val=""/>
      <w:lvlJc w:val="left"/>
    </w:lvl>
    <w:lvl w:ilvl="3" w:tplc="F074134E">
      <w:numFmt w:val="decimal"/>
      <w:lvlText w:val=""/>
      <w:lvlJc w:val="left"/>
    </w:lvl>
    <w:lvl w:ilvl="4" w:tplc="10F4A87C">
      <w:numFmt w:val="decimal"/>
      <w:lvlText w:val=""/>
      <w:lvlJc w:val="left"/>
    </w:lvl>
    <w:lvl w:ilvl="5" w:tplc="2C4E088E">
      <w:numFmt w:val="decimal"/>
      <w:lvlText w:val=""/>
      <w:lvlJc w:val="left"/>
    </w:lvl>
    <w:lvl w:ilvl="6" w:tplc="87F671C0">
      <w:numFmt w:val="decimal"/>
      <w:lvlText w:val=""/>
      <w:lvlJc w:val="left"/>
    </w:lvl>
    <w:lvl w:ilvl="7" w:tplc="6C6ABF16">
      <w:numFmt w:val="decimal"/>
      <w:lvlText w:val=""/>
      <w:lvlJc w:val="left"/>
    </w:lvl>
    <w:lvl w:ilvl="8" w:tplc="4F3627E2">
      <w:numFmt w:val="decimal"/>
      <w:lvlText w:val=""/>
      <w:lvlJc w:val="left"/>
    </w:lvl>
  </w:abstractNum>
  <w:abstractNum w:abstractNumId="907" w15:restartNumberingAfterBreak="0">
    <w:nsid w:val="5FEB0854"/>
    <w:multiLevelType w:val="hybridMultilevel"/>
    <w:tmpl w:val="63F2BB54"/>
    <w:lvl w:ilvl="0" w:tplc="3BEAD76C">
      <w:start w:val="1"/>
      <w:numFmt w:val="bullet"/>
      <w:lvlText w:val=""/>
      <w:lvlJc w:val="left"/>
      <w:pPr>
        <w:ind w:left="720" w:hanging="360"/>
      </w:pPr>
      <w:rPr>
        <w:rFonts w:ascii="Symbol" w:hAnsi="Symbol" w:hint="default"/>
      </w:rPr>
    </w:lvl>
    <w:lvl w:ilvl="1" w:tplc="D24AF6E4">
      <w:numFmt w:val="decimal"/>
      <w:lvlText w:val=""/>
      <w:lvlJc w:val="left"/>
    </w:lvl>
    <w:lvl w:ilvl="2" w:tplc="0CC8A13C">
      <w:numFmt w:val="decimal"/>
      <w:lvlText w:val=""/>
      <w:lvlJc w:val="left"/>
    </w:lvl>
    <w:lvl w:ilvl="3" w:tplc="F8EAE984">
      <w:numFmt w:val="decimal"/>
      <w:lvlText w:val=""/>
      <w:lvlJc w:val="left"/>
    </w:lvl>
    <w:lvl w:ilvl="4" w:tplc="0E6A6576">
      <w:numFmt w:val="decimal"/>
      <w:lvlText w:val=""/>
      <w:lvlJc w:val="left"/>
    </w:lvl>
    <w:lvl w:ilvl="5" w:tplc="BC72D3AA">
      <w:numFmt w:val="decimal"/>
      <w:lvlText w:val=""/>
      <w:lvlJc w:val="left"/>
    </w:lvl>
    <w:lvl w:ilvl="6" w:tplc="D23269B2">
      <w:numFmt w:val="decimal"/>
      <w:lvlText w:val=""/>
      <w:lvlJc w:val="left"/>
    </w:lvl>
    <w:lvl w:ilvl="7" w:tplc="30AA356E">
      <w:numFmt w:val="decimal"/>
      <w:lvlText w:val=""/>
      <w:lvlJc w:val="left"/>
    </w:lvl>
    <w:lvl w:ilvl="8" w:tplc="396A1EB6">
      <w:numFmt w:val="decimal"/>
      <w:lvlText w:val=""/>
      <w:lvlJc w:val="left"/>
    </w:lvl>
  </w:abstractNum>
  <w:abstractNum w:abstractNumId="908" w15:restartNumberingAfterBreak="0">
    <w:nsid w:val="5FEF18F1"/>
    <w:multiLevelType w:val="hybridMultilevel"/>
    <w:tmpl w:val="126AC9E6"/>
    <w:lvl w:ilvl="0" w:tplc="2A4AD358">
      <w:start w:val="1"/>
      <w:numFmt w:val="bullet"/>
      <w:lvlText w:val=""/>
      <w:lvlJc w:val="left"/>
      <w:pPr>
        <w:ind w:left="720" w:hanging="360"/>
      </w:pPr>
      <w:rPr>
        <w:rFonts w:ascii="Symbol" w:hAnsi="Symbol" w:hint="default"/>
      </w:rPr>
    </w:lvl>
    <w:lvl w:ilvl="1" w:tplc="82BAB01A">
      <w:numFmt w:val="decimal"/>
      <w:lvlText w:val=""/>
      <w:lvlJc w:val="left"/>
    </w:lvl>
    <w:lvl w:ilvl="2" w:tplc="7182003A">
      <w:numFmt w:val="decimal"/>
      <w:lvlText w:val=""/>
      <w:lvlJc w:val="left"/>
    </w:lvl>
    <w:lvl w:ilvl="3" w:tplc="FD74FB4C">
      <w:numFmt w:val="decimal"/>
      <w:lvlText w:val=""/>
      <w:lvlJc w:val="left"/>
    </w:lvl>
    <w:lvl w:ilvl="4" w:tplc="250A42EE">
      <w:numFmt w:val="decimal"/>
      <w:lvlText w:val=""/>
      <w:lvlJc w:val="left"/>
    </w:lvl>
    <w:lvl w:ilvl="5" w:tplc="0DACD020">
      <w:numFmt w:val="decimal"/>
      <w:lvlText w:val=""/>
      <w:lvlJc w:val="left"/>
    </w:lvl>
    <w:lvl w:ilvl="6" w:tplc="EC341306">
      <w:numFmt w:val="decimal"/>
      <w:lvlText w:val=""/>
      <w:lvlJc w:val="left"/>
    </w:lvl>
    <w:lvl w:ilvl="7" w:tplc="1A5A6C6C">
      <w:numFmt w:val="decimal"/>
      <w:lvlText w:val=""/>
      <w:lvlJc w:val="left"/>
    </w:lvl>
    <w:lvl w:ilvl="8" w:tplc="F8963028">
      <w:numFmt w:val="decimal"/>
      <w:lvlText w:val=""/>
      <w:lvlJc w:val="left"/>
    </w:lvl>
  </w:abstractNum>
  <w:abstractNum w:abstractNumId="909" w15:restartNumberingAfterBreak="0">
    <w:nsid w:val="601607D0"/>
    <w:multiLevelType w:val="hybridMultilevel"/>
    <w:tmpl w:val="DD466C0C"/>
    <w:lvl w:ilvl="0" w:tplc="880808BA">
      <w:numFmt w:val="decimal"/>
      <w:lvlText w:val=""/>
      <w:lvlJc w:val="left"/>
    </w:lvl>
    <w:lvl w:ilvl="1" w:tplc="0A107094">
      <w:start w:val="1"/>
      <w:numFmt w:val="bullet"/>
      <w:lvlText w:val=""/>
      <w:lvlJc w:val="left"/>
      <w:pPr>
        <w:ind w:left="1440" w:hanging="360"/>
      </w:pPr>
      <w:rPr>
        <w:rFonts w:ascii="Symbol" w:hAnsi="Symbol" w:hint="default"/>
      </w:rPr>
    </w:lvl>
    <w:lvl w:ilvl="2" w:tplc="772C632C">
      <w:numFmt w:val="decimal"/>
      <w:lvlText w:val=""/>
      <w:lvlJc w:val="left"/>
    </w:lvl>
    <w:lvl w:ilvl="3" w:tplc="E85C93A6">
      <w:numFmt w:val="decimal"/>
      <w:lvlText w:val=""/>
      <w:lvlJc w:val="left"/>
    </w:lvl>
    <w:lvl w:ilvl="4" w:tplc="B95A5E02">
      <w:numFmt w:val="decimal"/>
      <w:lvlText w:val=""/>
      <w:lvlJc w:val="left"/>
    </w:lvl>
    <w:lvl w:ilvl="5" w:tplc="ED380CC2">
      <w:numFmt w:val="decimal"/>
      <w:lvlText w:val=""/>
      <w:lvlJc w:val="left"/>
    </w:lvl>
    <w:lvl w:ilvl="6" w:tplc="CA384DF6">
      <w:numFmt w:val="decimal"/>
      <w:lvlText w:val=""/>
      <w:lvlJc w:val="left"/>
    </w:lvl>
    <w:lvl w:ilvl="7" w:tplc="54188030">
      <w:numFmt w:val="decimal"/>
      <w:lvlText w:val=""/>
      <w:lvlJc w:val="left"/>
    </w:lvl>
    <w:lvl w:ilvl="8" w:tplc="5442D2CE">
      <w:numFmt w:val="decimal"/>
      <w:lvlText w:val=""/>
      <w:lvlJc w:val="left"/>
    </w:lvl>
  </w:abstractNum>
  <w:abstractNum w:abstractNumId="910" w15:restartNumberingAfterBreak="0">
    <w:nsid w:val="608C2BF7"/>
    <w:multiLevelType w:val="hybridMultilevel"/>
    <w:tmpl w:val="E120322E"/>
    <w:lvl w:ilvl="0" w:tplc="54467190">
      <w:start w:val="1"/>
      <w:numFmt w:val="bullet"/>
      <w:lvlText w:val=""/>
      <w:lvlJc w:val="left"/>
      <w:pPr>
        <w:ind w:left="720" w:hanging="360"/>
      </w:pPr>
      <w:rPr>
        <w:rFonts w:ascii="Symbol" w:hAnsi="Symbol" w:hint="default"/>
      </w:rPr>
    </w:lvl>
    <w:lvl w:ilvl="1" w:tplc="3C1C833E">
      <w:numFmt w:val="decimal"/>
      <w:lvlText w:val=""/>
      <w:lvlJc w:val="left"/>
    </w:lvl>
    <w:lvl w:ilvl="2" w:tplc="6304FACE">
      <w:numFmt w:val="decimal"/>
      <w:lvlText w:val=""/>
      <w:lvlJc w:val="left"/>
    </w:lvl>
    <w:lvl w:ilvl="3" w:tplc="7386546A">
      <w:numFmt w:val="decimal"/>
      <w:lvlText w:val=""/>
      <w:lvlJc w:val="left"/>
    </w:lvl>
    <w:lvl w:ilvl="4" w:tplc="DC28A0AE">
      <w:numFmt w:val="decimal"/>
      <w:lvlText w:val=""/>
      <w:lvlJc w:val="left"/>
    </w:lvl>
    <w:lvl w:ilvl="5" w:tplc="E4EE02BE">
      <w:numFmt w:val="decimal"/>
      <w:lvlText w:val=""/>
      <w:lvlJc w:val="left"/>
    </w:lvl>
    <w:lvl w:ilvl="6" w:tplc="76F4D5F6">
      <w:numFmt w:val="decimal"/>
      <w:lvlText w:val=""/>
      <w:lvlJc w:val="left"/>
    </w:lvl>
    <w:lvl w:ilvl="7" w:tplc="C0B69FB6">
      <w:numFmt w:val="decimal"/>
      <w:lvlText w:val=""/>
      <w:lvlJc w:val="left"/>
    </w:lvl>
    <w:lvl w:ilvl="8" w:tplc="B334777C">
      <w:numFmt w:val="decimal"/>
      <w:lvlText w:val=""/>
      <w:lvlJc w:val="left"/>
    </w:lvl>
  </w:abstractNum>
  <w:abstractNum w:abstractNumId="911" w15:restartNumberingAfterBreak="0">
    <w:nsid w:val="608F1ECE"/>
    <w:multiLevelType w:val="hybridMultilevel"/>
    <w:tmpl w:val="0480F216"/>
    <w:lvl w:ilvl="0" w:tplc="EF2C0812">
      <w:start w:val="1"/>
      <w:numFmt w:val="bullet"/>
      <w:lvlText w:val=""/>
      <w:lvlJc w:val="left"/>
      <w:pPr>
        <w:ind w:left="720" w:hanging="360"/>
      </w:pPr>
      <w:rPr>
        <w:rFonts w:ascii="Symbol" w:hAnsi="Symbol" w:hint="default"/>
      </w:rPr>
    </w:lvl>
    <w:lvl w:ilvl="1" w:tplc="017A10AE">
      <w:numFmt w:val="decimal"/>
      <w:lvlText w:val=""/>
      <w:lvlJc w:val="left"/>
    </w:lvl>
    <w:lvl w:ilvl="2" w:tplc="63926AC2">
      <w:numFmt w:val="decimal"/>
      <w:lvlText w:val=""/>
      <w:lvlJc w:val="left"/>
    </w:lvl>
    <w:lvl w:ilvl="3" w:tplc="F0128E32">
      <w:numFmt w:val="decimal"/>
      <w:lvlText w:val=""/>
      <w:lvlJc w:val="left"/>
    </w:lvl>
    <w:lvl w:ilvl="4" w:tplc="A89275A2">
      <w:numFmt w:val="decimal"/>
      <w:lvlText w:val=""/>
      <w:lvlJc w:val="left"/>
    </w:lvl>
    <w:lvl w:ilvl="5" w:tplc="584CC846">
      <w:numFmt w:val="decimal"/>
      <w:lvlText w:val=""/>
      <w:lvlJc w:val="left"/>
    </w:lvl>
    <w:lvl w:ilvl="6" w:tplc="DFE62FEA">
      <w:numFmt w:val="decimal"/>
      <w:lvlText w:val=""/>
      <w:lvlJc w:val="left"/>
    </w:lvl>
    <w:lvl w:ilvl="7" w:tplc="90B02156">
      <w:numFmt w:val="decimal"/>
      <w:lvlText w:val=""/>
      <w:lvlJc w:val="left"/>
    </w:lvl>
    <w:lvl w:ilvl="8" w:tplc="3AD46278">
      <w:numFmt w:val="decimal"/>
      <w:lvlText w:val=""/>
      <w:lvlJc w:val="left"/>
    </w:lvl>
  </w:abstractNum>
  <w:abstractNum w:abstractNumId="912" w15:restartNumberingAfterBreak="0">
    <w:nsid w:val="609A2C85"/>
    <w:multiLevelType w:val="hybridMultilevel"/>
    <w:tmpl w:val="32AA0186"/>
    <w:lvl w:ilvl="0" w:tplc="B3F0879C">
      <w:start w:val="1"/>
      <w:numFmt w:val="bullet"/>
      <w:lvlText w:val=""/>
      <w:lvlJc w:val="left"/>
      <w:pPr>
        <w:ind w:left="720" w:hanging="360"/>
      </w:pPr>
      <w:rPr>
        <w:rFonts w:ascii="Symbol" w:hAnsi="Symbol" w:hint="default"/>
      </w:rPr>
    </w:lvl>
    <w:lvl w:ilvl="1" w:tplc="E2300EF6">
      <w:numFmt w:val="decimal"/>
      <w:lvlText w:val=""/>
      <w:lvlJc w:val="left"/>
    </w:lvl>
    <w:lvl w:ilvl="2" w:tplc="7446FB0E">
      <w:numFmt w:val="decimal"/>
      <w:lvlText w:val=""/>
      <w:lvlJc w:val="left"/>
    </w:lvl>
    <w:lvl w:ilvl="3" w:tplc="EA3CB8D0">
      <w:numFmt w:val="decimal"/>
      <w:lvlText w:val=""/>
      <w:lvlJc w:val="left"/>
    </w:lvl>
    <w:lvl w:ilvl="4" w:tplc="7EEEE40A">
      <w:numFmt w:val="decimal"/>
      <w:lvlText w:val=""/>
      <w:lvlJc w:val="left"/>
    </w:lvl>
    <w:lvl w:ilvl="5" w:tplc="EDDE23D4">
      <w:numFmt w:val="decimal"/>
      <w:lvlText w:val=""/>
      <w:lvlJc w:val="left"/>
    </w:lvl>
    <w:lvl w:ilvl="6" w:tplc="EEB8ADBC">
      <w:numFmt w:val="decimal"/>
      <w:lvlText w:val=""/>
      <w:lvlJc w:val="left"/>
    </w:lvl>
    <w:lvl w:ilvl="7" w:tplc="8DDA90BE">
      <w:numFmt w:val="decimal"/>
      <w:lvlText w:val=""/>
      <w:lvlJc w:val="left"/>
    </w:lvl>
    <w:lvl w:ilvl="8" w:tplc="3C04EC56">
      <w:numFmt w:val="decimal"/>
      <w:lvlText w:val=""/>
      <w:lvlJc w:val="left"/>
    </w:lvl>
  </w:abstractNum>
  <w:abstractNum w:abstractNumId="913" w15:restartNumberingAfterBreak="0">
    <w:nsid w:val="60C359E9"/>
    <w:multiLevelType w:val="hybridMultilevel"/>
    <w:tmpl w:val="FD1258E2"/>
    <w:lvl w:ilvl="0" w:tplc="376ED81A">
      <w:numFmt w:val="decimal"/>
      <w:lvlText w:val=""/>
      <w:lvlJc w:val="left"/>
    </w:lvl>
    <w:lvl w:ilvl="1" w:tplc="F09051A6">
      <w:start w:val="1"/>
      <w:numFmt w:val="bullet"/>
      <w:lvlText w:val=""/>
      <w:lvlJc w:val="left"/>
      <w:pPr>
        <w:ind w:left="1440" w:hanging="360"/>
      </w:pPr>
      <w:rPr>
        <w:rFonts w:ascii="Symbol" w:hAnsi="Symbol" w:hint="default"/>
      </w:rPr>
    </w:lvl>
    <w:lvl w:ilvl="2" w:tplc="DF7EA718">
      <w:numFmt w:val="decimal"/>
      <w:lvlText w:val=""/>
      <w:lvlJc w:val="left"/>
    </w:lvl>
    <w:lvl w:ilvl="3" w:tplc="E55A2938">
      <w:numFmt w:val="decimal"/>
      <w:lvlText w:val=""/>
      <w:lvlJc w:val="left"/>
    </w:lvl>
    <w:lvl w:ilvl="4" w:tplc="A216BD1E">
      <w:numFmt w:val="decimal"/>
      <w:lvlText w:val=""/>
      <w:lvlJc w:val="left"/>
    </w:lvl>
    <w:lvl w:ilvl="5" w:tplc="A082262A">
      <w:numFmt w:val="decimal"/>
      <w:lvlText w:val=""/>
      <w:lvlJc w:val="left"/>
    </w:lvl>
    <w:lvl w:ilvl="6" w:tplc="7A08037C">
      <w:numFmt w:val="decimal"/>
      <w:lvlText w:val=""/>
      <w:lvlJc w:val="left"/>
    </w:lvl>
    <w:lvl w:ilvl="7" w:tplc="0FE04608">
      <w:numFmt w:val="decimal"/>
      <w:lvlText w:val=""/>
      <w:lvlJc w:val="left"/>
    </w:lvl>
    <w:lvl w:ilvl="8" w:tplc="18642C62">
      <w:numFmt w:val="decimal"/>
      <w:lvlText w:val=""/>
      <w:lvlJc w:val="left"/>
    </w:lvl>
  </w:abstractNum>
  <w:abstractNum w:abstractNumId="914" w15:restartNumberingAfterBreak="0">
    <w:nsid w:val="60C37230"/>
    <w:multiLevelType w:val="hybridMultilevel"/>
    <w:tmpl w:val="FD88D206"/>
    <w:lvl w:ilvl="0" w:tplc="E7C62668">
      <w:start w:val="1"/>
      <w:numFmt w:val="bullet"/>
      <w:lvlText w:val=""/>
      <w:lvlJc w:val="left"/>
      <w:pPr>
        <w:ind w:left="720" w:hanging="360"/>
      </w:pPr>
      <w:rPr>
        <w:rFonts w:ascii="Symbol" w:hAnsi="Symbol" w:hint="default"/>
      </w:rPr>
    </w:lvl>
    <w:lvl w:ilvl="1" w:tplc="AB848CB2">
      <w:numFmt w:val="decimal"/>
      <w:lvlText w:val=""/>
      <w:lvlJc w:val="left"/>
    </w:lvl>
    <w:lvl w:ilvl="2" w:tplc="0DC80D24">
      <w:numFmt w:val="decimal"/>
      <w:lvlText w:val=""/>
      <w:lvlJc w:val="left"/>
    </w:lvl>
    <w:lvl w:ilvl="3" w:tplc="6B982EAC">
      <w:numFmt w:val="decimal"/>
      <w:lvlText w:val=""/>
      <w:lvlJc w:val="left"/>
    </w:lvl>
    <w:lvl w:ilvl="4" w:tplc="FBA23C04">
      <w:numFmt w:val="decimal"/>
      <w:lvlText w:val=""/>
      <w:lvlJc w:val="left"/>
    </w:lvl>
    <w:lvl w:ilvl="5" w:tplc="ED50D5DC">
      <w:numFmt w:val="decimal"/>
      <w:lvlText w:val=""/>
      <w:lvlJc w:val="left"/>
    </w:lvl>
    <w:lvl w:ilvl="6" w:tplc="00202A22">
      <w:numFmt w:val="decimal"/>
      <w:lvlText w:val=""/>
      <w:lvlJc w:val="left"/>
    </w:lvl>
    <w:lvl w:ilvl="7" w:tplc="B4803828">
      <w:numFmt w:val="decimal"/>
      <w:lvlText w:val=""/>
      <w:lvlJc w:val="left"/>
    </w:lvl>
    <w:lvl w:ilvl="8" w:tplc="B600C08E">
      <w:numFmt w:val="decimal"/>
      <w:lvlText w:val=""/>
      <w:lvlJc w:val="left"/>
    </w:lvl>
  </w:abstractNum>
  <w:abstractNum w:abstractNumId="915" w15:restartNumberingAfterBreak="0">
    <w:nsid w:val="610E29CA"/>
    <w:multiLevelType w:val="hybridMultilevel"/>
    <w:tmpl w:val="DDACC364"/>
    <w:lvl w:ilvl="0" w:tplc="82E62EDA">
      <w:start w:val="1"/>
      <w:numFmt w:val="bullet"/>
      <w:lvlText w:val=""/>
      <w:lvlJc w:val="left"/>
      <w:pPr>
        <w:ind w:left="720" w:hanging="360"/>
      </w:pPr>
      <w:rPr>
        <w:rFonts w:ascii="Symbol" w:hAnsi="Symbol" w:hint="default"/>
      </w:rPr>
    </w:lvl>
    <w:lvl w:ilvl="1" w:tplc="BC942EBE">
      <w:numFmt w:val="decimal"/>
      <w:lvlText w:val=""/>
      <w:lvlJc w:val="left"/>
    </w:lvl>
    <w:lvl w:ilvl="2" w:tplc="7CD67D4E">
      <w:numFmt w:val="decimal"/>
      <w:lvlText w:val=""/>
      <w:lvlJc w:val="left"/>
    </w:lvl>
    <w:lvl w:ilvl="3" w:tplc="9EC8FBFE">
      <w:numFmt w:val="decimal"/>
      <w:lvlText w:val=""/>
      <w:lvlJc w:val="left"/>
    </w:lvl>
    <w:lvl w:ilvl="4" w:tplc="EEBC5B3E">
      <w:numFmt w:val="decimal"/>
      <w:lvlText w:val=""/>
      <w:lvlJc w:val="left"/>
    </w:lvl>
    <w:lvl w:ilvl="5" w:tplc="F4003138">
      <w:numFmt w:val="decimal"/>
      <w:lvlText w:val=""/>
      <w:lvlJc w:val="left"/>
    </w:lvl>
    <w:lvl w:ilvl="6" w:tplc="7FA0BC54">
      <w:numFmt w:val="decimal"/>
      <w:lvlText w:val=""/>
      <w:lvlJc w:val="left"/>
    </w:lvl>
    <w:lvl w:ilvl="7" w:tplc="7BCE1F58">
      <w:numFmt w:val="decimal"/>
      <w:lvlText w:val=""/>
      <w:lvlJc w:val="left"/>
    </w:lvl>
    <w:lvl w:ilvl="8" w:tplc="FB28B00A">
      <w:numFmt w:val="decimal"/>
      <w:lvlText w:val=""/>
      <w:lvlJc w:val="left"/>
    </w:lvl>
  </w:abstractNum>
  <w:abstractNum w:abstractNumId="916" w15:restartNumberingAfterBreak="0">
    <w:nsid w:val="61107C2E"/>
    <w:multiLevelType w:val="hybridMultilevel"/>
    <w:tmpl w:val="9DF4026A"/>
    <w:lvl w:ilvl="0" w:tplc="E7741044">
      <w:start w:val="1"/>
      <w:numFmt w:val="bullet"/>
      <w:lvlText w:val=""/>
      <w:lvlJc w:val="left"/>
      <w:pPr>
        <w:ind w:left="720" w:hanging="360"/>
      </w:pPr>
      <w:rPr>
        <w:rFonts w:ascii="Symbol" w:hAnsi="Symbol" w:hint="default"/>
      </w:rPr>
    </w:lvl>
    <w:lvl w:ilvl="1" w:tplc="6598F472">
      <w:numFmt w:val="decimal"/>
      <w:lvlText w:val=""/>
      <w:lvlJc w:val="left"/>
    </w:lvl>
    <w:lvl w:ilvl="2" w:tplc="6660CFA2">
      <w:numFmt w:val="decimal"/>
      <w:lvlText w:val=""/>
      <w:lvlJc w:val="left"/>
    </w:lvl>
    <w:lvl w:ilvl="3" w:tplc="2EFA8394">
      <w:numFmt w:val="decimal"/>
      <w:lvlText w:val=""/>
      <w:lvlJc w:val="left"/>
    </w:lvl>
    <w:lvl w:ilvl="4" w:tplc="5E3CB742">
      <w:numFmt w:val="decimal"/>
      <w:lvlText w:val=""/>
      <w:lvlJc w:val="left"/>
    </w:lvl>
    <w:lvl w:ilvl="5" w:tplc="17BE1F90">
      <w:numFmt w:val="decimal"/>
      <w:lvlText w:val=""/>
      <w:lvlJc w:val="left"/>
    </w:lvl>
    <w:lvl w:ilvl="6" w:tplc="45B6EA70">
      <w:numFmt w:val="decimal"/>
      <w:lvlText w:val=""/>
      <w:lvlJc w:val="left"/>
    </w:lvl>
    <w:lvl w:ilvl="7" w:tplc="7CF41EF6">
      <w:numFmt w:val="decimal"/>
      <w:lvlText w:val=""/>
      <w:lvlJc w:val="left"/>
    </w:lvl>
    <w:lvl w:ilvl="8" w:tplc="4876354A">
      <w:numFmt w:val="decimal"/>
      <w:lvlText w:val=""/>
      <w:lvlJc w:val="left"/>
    </w:lvl>
  </w:abstractNum>
  <w:abstractNum w:abstractNumId="917" w15:restartNumberingAfterBreak="0">
    <w:nsid w:val="614A242D"/>
    <w:multiLevelType w:val="hybridMultilevel"/>
    <w:tmpl w:val="FEDA8614"/>
    <w:lvl w:ilvl="0" w:tplc="4DCABCE4">
      <w:start w:val="1"/>
      <w:numFmt w:val="bullet"/>
      <w:lvlText w:val=""/>
      <w:lvlJc w:val="left"/>
      <w:pPr>
        <w:ind w:left="720" w:hanging="360"/>
      </w:pPr>
      <w:rPr>
        <w:rFonts w:ascii="Symbol" w:hAnsi="Symbol" w:hint="default"/>
      </w:rPr>
    </w:lvl>
    <w:lvl w:ilvl="1" w:tplc="1E26DAAA">
      <w:numFmt w:val="decimal"/>
      <w:lvlText w:val=""/>
      <w:lvlJc w:val="left"/>
    </w:lvl>
    <w:lvl w:ilvl="2" w:tplc="2ADEF9BE">
      <w:numFmt w:val="decimal"/>
      <w:lvlText w:val=""/>
      <w:lvlJc w:val="left"/>
    </w:lvl>
    <w:lvl w:ilvl="3" w:tplc="88FCD49A">
      <w:numFmt w:val="decimal"/>
      <w:lvlText w:val=""/>
      <w:lvlJc w:val="left"/>
    </w:lvl>
    <w:lvl w:ilvl="4" w:tplc="9ED26128">
      <w:numFmt w:val="decimal"/>
      <w:lvlText w:val=""/>
      <w:lvlJc w:val="left"/>
    </w:lvl>
    <w:lvl w:ilvl="5" w:tplc="BA26F4C4">
      <w:numFmt w:val="decimal"/>
      <w:lvlText w:val=""/>
      <w:lvlJc w:val="left"/>
    </w:lvl>
    <w:lvl w:ilvl="6" w:tplc="88BE564C">
      <w:numFmt w:val="decimal"/>
      <w:lvlText w:val=""/>
      <w:lvlJc w:val="left"/>
    </w:lvl>
    <w:lvl w:ilvl="7" w:tplc="1C868392">
      <w:numFmt w:val="decimal"/>
      <w:lvlText w:val=""/>
      <w:lvlJc w:val="left"/>
    </w:lvl>
    <w:lvl w:ilvl="8" w:tplc="F1E6CB32">
      <w:numFmt w:val="decimal"/>
      <w:lvlText w:val=""/>
      <w:lvlJc w:val="left"/>
    </w:lvl>
  </w:abstractNum>
  <w:abstractNum w:abstractNumId="918" w15:restartNumberingAfterBreak="0">
    <w:nsid w:val="61C17CEA"/>
    <w:multiLevelType w:val="hybridMultilevel"/>
    <w:tmpl w:val="D53AAE12"/>
    <w:lvl w:ilvl="0" w:tplc="874AAC80">
      <w:start w:val="1"/>
      <w:numFmt w:val="bullet"/>
      <w:lvlText w:val=""/>
      <w:lvlJc w:val="left"/>
      <w:pPr>
        <w:ind w:left="720" w:hanging="360"/>
      </w:pPr>
      <w:rPr>
        <w:rFonts w:ascii="Symbol" w:hAnsi="Symbol" w:hint="default"/>
      </w:rPr>
    </w:lvl>
    <w:lvl w:ilvl="1" w:tplc="5D98FE9A">
      <w:numFmt w:val="decimal"/>
      <w:lvlText w:val=""/>
      <w:lvlJc w:val="left"/>
    </w:lvl>
    <w:lvl w:ilvl="2" w:tplc="04DCC1D8">
      <w:numFmt w:val="decimal"/>
      <w:lvlText w:val=""/>
      <w:lvlJc w:val="left"/>
    </w:lvl>
    <w:lvl w:ilvl="3" w:tplc="F9BAD834">
      <w:numFmt w:val="decimal"/>
      <w:lvlText w:val=""/>
      <w:lvlJc w:val="left"/>
    </w:lvl>
    <w:lvl w:ilvl="4" w:tplc="DC0406F2">
      <w:numFmt w:val="decimal"/>
      <w:lvlText w:val=""/>
      <w:lvlJc w:val="left"/>
    </w:lvl>
    <w:lvl w:ilvl="5" w:tplc="C8BC58D2">
      <w:numFmt w:val="decimal"/>
      <w:lvlText w:val=""/>
      <w:lvlJc w:val="left"/>
    </w:lvl>
    <w:lvl w:ilvl="6" w:tplc="E9EA6CD2">
      <w:numFmt w:val="decimal"/>
      <w:lvlText w:val=""/>
      <w:lvlJc w:val="left"/>
    </w:lvl>
    <w:lvl w:ilvl="7" w:tplc="45AC4056">
      <w:numFmt w:val="decimal"/>
      <w:lvlText w:val=""/>
      <w:lvlJc w:val="left"/>
    </w:lvl>
    <w:lvl w:ilvl="8" w:tplc="A198F0FC">
      <w:numFmt w:val="decimal"/>
      <w:lvlText w:val=""/>
      <w:lvlJc w:val="left"/>
    </w:lvl>
  </w:abstractNum>
  <w:abstractNum w:abstractNumId="919" w15:restartNumberingAfterBreak="0">
    <w:nsid w:val="61C624E3"/>
    <w:multiLevelType w:val="hybridMultilevel"/>
    <w:tmpl w:val="A8900A5A"/>
    <w:lvl w:ilvl="0" w:tplc="64941840">
      <w:start w:val="1"/>
      <w:numFmt w:val="bullet"/>
      <w:lvlText w:val=""/>
      <w:lvlJc w:val="left"/>
      <w:pPr>
        <w:ind w:left="720" w:hanging="360"/>
      </w:pPr>
      <w:rPr>
        <w:rFonts w:ascii="Symbol" w:hAnsi="Symbol" w:hint="default"/>
      </w:rPr>
    </w:lvl>
    <w:lvl w:ilvl="1" w:tplc="937810D4">
      <w:numFmt w:val="decimal"/>
      <w:lvlText w:val=""/>
      <w:lvlJc w:val="left"/>
    </w:lvl>
    <w:lvl w:ilvl="2" w:tplc="1AA813EE">
      <w:numFmt w:val="decimal"/>
      <w:lvlText w:val=""/>
      <w:lvlJc w:val="left"/>
    </w:lvl>
    <w:lvl w:ilvl="3" w:tplc="F4F6241C">
      <w:numFmt w:val="decimal"/>
      <w:lvlText w:val=""/>
      <w:lvlJc w:val="left"/>
    </w:lvl>
    <w:lvl w:ilvl="4" w:tplc="C2166D68">
      <w:numFmt w:val="decimal"/>
      <w:lvlText w:val=""/>
      <w:lvlJc w:val="left"/>
    </w:lvl>
    <w:lvl w:ilvl="5" w:tplc="909420B6">
      <w:numFmt w:val="decimal"/>
      <w:lvlText w:val=""/>
      <w:lvlJc w:val="left"/>
    </w:lvl>
    <w:lvl w:ilvl="6" w:tplc="3CA27E08">
      <w:numFmt w:val="decimal"/>
      <w:lvlText w:val=""/>
      <w:lvlJc w:val="left"/>
    </w:lvl>
    <w:lvl w:ilvl="7" w:tplc="69A2EF30">
      <w:numFmt w:val="decimal"/>
      <w:lvlText w:val=""/>
      <w:lvlJc w:val="left"/>
    </w:lvl>
    <w:lvl w:ilvl="8" w:tplc="9AEE293C">
      <w:numFmt w:val="decimal"/>
      <w:lvlText w:val=""/>
      <w:lvlJc w:val="left"/>
    </w:lvl>
  </w:abstractNum>
  <w:abstractNum w:abstractNumId="920" w15:restartNumberingAfterBreak="0">
    <w:nsid w:val="62010520"/>
    <w:multiLevelType w:val="hybridMultilevel"/>
    <w:tmpl w:val="BA26E38E"/>
    <w:lvl w:ilvl="0" w:tplc="58F412F2">
      <w:start w:val="1"/>
      <w:numFmt w:val="bullet"/>
      <w:lvlText w:val=""/>
      <w:lvlJc w:val="left"/>
      <w:pPr>
        <w:ind w:left="720" w:hanging="360"/>
      </w:pPr>
      <w:rPr>
        <w:rFonts w:ascii="Symbol" w:hAnsi="Symbol" w:hint="default"/>
      </w:rPr>
    </w:lvl>
    <w:lvl w:ilvl="1" w:tplc="4102435E">
      <w:numFmt w:val="decimal"/>
      <w:lvlText w:val=""/>
      <w:lvlJc w:val="left"/>
    </w:lvl>
    <w:lvl w:ilvl="2" w:tplc="D0BA2EC4">
      <w:numFmt w:val="decimal"/>
      <w:lvlText w:val=""/>
      <w:lvlJc w:val="left"/>
    </w:lvl>
    <w:lvl w:ilvl="3" w:tplc="8F3432DE">
      <w:numFmt w:val="decimal"/>
      <w:lvlText w:val=""/>
      <w:lvlJc w:val="left"/>
    </w:lvl>
    <w:lvl w:ilvl="4" w:tplc="DA4C5978">
      <w:numFmt w:val="decimal"/>
      <w:lvlText w:val=""/>
      <w:lvlJc w:val="left"/>
    </w:lvl>
    <w:lvl w:ilvl="5" w:tplc="EC7E2B30">
      <w:numFmt w:val="decimal"/>
      <w:lvlText w:val=""/>
      <w:lvlJc w:val="left"/>
    </w:lvl>
    <w:lvl w:ilvl="6" w:tplc="2782F146">
      <w:numFmt w:val="decimal"/>
      <w:lvlText w:val=""/>
      <w:lvlJc w:val="left"/>
    </w:lvl>
    <w:lvl w:ilvl="7" w:tplc="AF1A16A6">
      <w:numFmt w:val="decimal"/>
      <w:lvlText w:val=""/>
      <w:lvlJc w:val="left"/>
    </w:lvl>
    <w:lvl w:ilvl="8" w:tplc="61DA7CE4">
      <w:numFmt w:val="decimal"/>
      <w:lvlText w:val=""/>
      <w:lvlJc w:val="left"/>
    </w:lvl>
  </w:abstractNum>
  <w:abstractNum w:abstractNumId="921" w15:restartNumberingAfterBreak="0">
    <w:nsid w:val="62034E2C"/>
    <w:multiLevelType w:val="hybridMultilevel"/>
    <w:tmpl w:val="4C8893F6"/>
    <w:lvl w:ilvl="0" w:tplc="AFCA704E">
      <w:start w:val="1"/>
      <w:numFmt w:val="bullet"/>
      <w:lvlText w:val=""/>
      <w:lvlJc w:val="left"/>
      <w:pPr>
        <w:ind w:left="720" w:hanging="360"/>
      </w:pPr>
      <w:rPr>
        <w:rFonts w:ascii="Symbol" w:hAnsi="Symbol" w:hint="default"/>
      </w:rPr>
    </w:lvl>
    <w:lvl w:ilvl="1" w:tplc="EC4CB524">
      <w:numFmt w:val="decimal"/>
      <w:lvlText w:val=""/>
      <w:lvlJc w:val="left"/>
    </w:lvl>
    <w:lvl w:ilvl="2" w:tplc="B498B50A">
      <w:numFmt w:val="decimal"/>
      <w:lvlText w:val=""/>
      <w:lvlJc w:val="left"/>
    </w:lvl>
    <w:lvl w:ilvl="3" w:tplc="F49485C2">
      <w:numFmt w:val="decimal"/>
      <w:lvlText w:val=""/>
      <w:lvlJc w:val="left"/>
    </w:lvl>
    <w:lvl w:ilvl="4" w:tplc="F580C412">
      <w:numFmt w:val="decimal"/>
      <w:lvlText w:val=""/>
      <w:lvlJc w:val="left"/>
    </w:lvl>
    <w:lvl w:ilvl="5" w:tplc="63BEC514">
      <w:numFmt w:val="decimal"/>
      <w:lvlText w:val=""/>
      <w:lvlJc w:val="left"/>
    </w:lvl>
    <w:lvl w:ilvl="6" w:tplc="43A6BC1E">
      <w:numFmt w:val="decimal"/>
      <w:lvlText w:val=""/>
      <w:lvlJc w:val="left"/>
    </w:lvl>
    <w:lvl w:ilvl="7" w:tplc="76785800">
      <w:numFmt w:val="decimal"/>
      <w:lvlText w:val=""/>
      <w:lvlJc w:val="left"/>
    </w:lvl>
    <w:lvl w:ilvl="8" w:tplc="4E6035F2">
      <w:numFmt w:val="decimal"/>
      <w:lvlText w:val=""/>
      <w:lvlJc w:val="left"/>
    </w:lvl>
  </w:abstractNum>
  <w:abstractNum w:abstractNumId="922" w15:restartNumberingAfterBreak="0">
    <w:nsid w:val="6212092C"/>
    <w:multiLevelType w:val="hybridMultilevel"/>
    <w:tmpl w:val="4164149C"/>
    <w:lvl w:ilvl="0" w:tplc="F180712E">
      <w:start w:val="1"/>
      <w:numFmt w:val="bullet"/>
      <w:lvlText w:val=""/>
      <w:lvlJc w:val="left"/>
      <w:pPr>
        <w:ind w:left="720" w:hanging="360"/>
      </w:pPr>
      <w:rPr>
        <w:rFonts w:ascii="Symbol" w:hAnsi="Symbol" w:hint="default"/>
      </w:rPr>
    </w:lvl>
    <w:lvl w:ilvl="1" w:tplc="5D528E62">
      <w:numFmt w:val="decimal"/>
      <w:lvlText w:val=""/>
      <w:lvlJc w:val="left"/>
    </w:lvl>
    <w:lvl w:ilvl="2" w:tplc="D8582512">
      <w:numFmt w:val="decimal"/>
      <w:lvlText w:val=""/>
      <w:lvlJc w:val="left"/>
    </w:lvl>
    <w:lvl w:ilvl="3" w:tplc="795655A4">
      <w:numFmt w:val="decimal"/>
      <w:lvlText w:val=""/>
      <w:lvlJc w:val="left"/>
    </w:lvl>
    <w:lvl w:ilvl="4" w:tplc="DC3A54D0">
      <w:numFmt w:val="decimal"/>
      <w:lvlText w:val=""/>
      <w:lvlJc w:val="left"/>
    </w:lvl>
    <w:lvl w:ilvl="5" w:tplc="40822D02">
      <w:numFmt w:val="decimal"/>
      <w:lvlText w:val=""/>
      <w:lvlJc w:val="left"/>
    </w:lvl>
    <w:lvl w:ilvl="6" w:tplc="20A0E828">
      <w:numFmt w:val="decimal"/>
      <w:lvlText w:val=""/>
      <w:lvlJc w:val="left"/>
    </w:lvl>
    <w:lvl w:ilvl="7" w:tplc="D96E07B0">
      <w:numFmt w:val="decimal"/>
      <w:lvlText w:val=""/>
      <w:lvlJc w:val="left"/>
    </w:lvl>
    <w:lvl w:ilvl="8" w:tplc="3BAEF012">
      <w:numFmt w:val="decimal"/>
      <w:lvlText w:val=""/>
      <w:lvlJc w:val="left"/>
    </w:lvl>
  </w:abstractNum>
  <w:abstractNum w:abstractNumId="923" w15:restartNumberingAfterBreak="0">
    <w:nsid w:val="621B76C3"/>
    <w:multiLevelType w:val="hybridMultilevel"/>
    <w:tmpl w:val="BDAE3BAA"/>
    <w:lvl w:ilvl="0" w:tplc="403A4CEE">
      <w:numFmt w:val="decimal"/>
      <w:lvlText w:val=""/>
      <w:lvlJc w:val="left"/>
    </w:lvl>
    <w:lvl w:ilvl="1" w:tplc="AF609DD8">
      <w:start w:val="1"/>
      <w:numFmt w:val="bullet"/>
      <w:lvlText w:val=""/>
      <w:lvlJc w:val="left"/>
      <w:pPr>
        <w:ind w:left="1440" w:hanging="360"/>
      </w:pPr>
      <w:rPr>
        <w:rFonts w:ascii="Symbol" w:hAnsi="Symbol" w:hint="default"/>
      </w:rPr>
    </w:lvl>
    <w:lvl w:ilvl="2" w:tplc="14B02AB4">
      <w:numFmt w:val="decimal"/>
      <w:lvlText w:val=""/>
      <w:lvlJc w:val="left"/>
    </w:lvl>
    <w:lvl w:ilvl="3" w:tplc="A518FD36">
      <w:numFmt w:val="decimal"/>
      <w:lvlText w:val=""/>
      <w:lvlJc w:val="left"/>
    </w:lvl>
    <w:lvl w:ilvl="4" w:tplc="C910101E">
      <w:numFmt w:val="decimal"/>
      <w:lvlText w:val=""/>
      <w:lvlJc w:val="left"/>
    </w:lvl>
    <w:lvl w:ilvl="5" w:tplc="A31C1B68">
      <w:numFmt w:val="decimal"/>
      <w:lvlText w:val=""/>
      <w:lvlJc w:val="left"/>
    </w:lvl>
    <w:lvl w:ilvl="6" w:tplc="E47AE1B2">
      <w:numFmt w:val="decimal"/>
      <w:lvlText w:val=""/>
      <w:lvlJc w:val="left"/>
    </w:lvl>
    <w:lvl w:ilvl="7" w:tplc="0A523050">
      <w:numFmt w:val="decimal"/>
      <w:lvlText w:val=""/>
      <w:lvlJc w:val="left"/>
    </w:lvl>
    <w:lvl w:ilvl="8" w:tplc="EB281E2C">
      <w:numFmt w:val="decimal"/>
      <w:lvlText w:val=""/>
      <w:lvlJc w:val="left"/>
    </w:lvl>
  </w:abstractNum>
  <w:abstractNum w:abstractNumId="924" w15:restartNumberingAfterBreak="0">
    <w:nsid w:val="622E5745"/>
    <w:multiLevelType w:val="hybridMultilevel"/>
    <w:tmpl w:val="65DAE9B6"/>
    <w:lvl w:ilvl="0" w:tplc="769490F6">
      <w:start w:val="1"/>
      <w:numFmt w:val="bullet"/>
      <w:lvlText w:val=""/>
      <w:lvlJc w:val="left"/>
      <w:pPr>
        <w:ind w:left="720" w:hanging="360"/>
      </w:pPr>
      <w:rPr>
        <w:rFonts w:ascii="Symbol" w:hAnsi="Symbol" w:hint="default"/>
      </w:rPr>
    </w:lvl>
    <w:lvl w:ilvl="1" w:tplc="9BCC803C">
      <w:numFmt w:val="decimal"/>
      <w:lvlText w:val=""/>
      <w:lvlJc w:val="left"/>
    </w:lvl>
    <w:lvl w:ilvl="2" w:tplc="23106A78">
      <w:numFmt w:val="decimal"/>
      <w:lvlText w:val=""/>
      <w:lvlJc w:val="left"/>
    </w:lvl>
    <w:lvl w:ilvl="3" w:tplc="152A7278">
      <w:numFmt w:val="decimal"/>
      <w:lvlText w:val=""/>
      <w:lvlJc w:val="left"/>
    </w:lvl>
    <w:lvl w:ilvl="4" w:tplc="087E0470">
      <w:numFmt w:val="decimal"/>
      <w:lvlText w:val=""/>
      <w:lvlJc w:val="left"/>
    </w:lvl>
    <w:lvl w:ilvl="5" w:tplc="802A6770">
      <w:numFmt w:val="decimal"/>
      <w:lvlText w:val=""/>
      <w:lvlJc w:val="left"/>
    </w:lvl>
    <w:lvl w:ilvl="6" w:tplc="B96258A4">
      <w:numFmt w:val="decimal"/>
      <w:lvlText w:val=""/>
      <w:lvlJc w:val="left"/>
    </w:lvl>
    <w:lvl w:ilvl="7" w:tplc="FD74DD78">
      <w:numFmt w:val="decimal"/>
      <w:lvlText w:val=""/>
      <w:lvlJc w:val="left"/>
    </w:lvl>
    <w:lvl w:ilvl="8" w:tplc="FCF28720">
      <w:numFmt w:val="decimal"/>
      <w:lvlText w:val=""/>
      <w:lvlJc w:val="left"/>
    </w:lvl>
  </w:abstractNum>
  <w:abstractNum w:abstractNumId="925" w15:restartNumberingAfterBreak="0">
    <w:nsid w:val="62580A18"/>
    <w:multiLevelType w:val="hybridMultilevel"/>
    <w:tmpl w:val="D9B8F658"/>
    <w:lvl w:ilvl="0" w:tplc="552252F6">
      <w:start w:val="1"/>
      <w:numFmt w:val="bullet"/>
      <w:lvlText w:val=""/>
      <w:lvlJc w:val="left"/>
      <w:pPr>
        <w:ind w:left="720" w:hanging="360"/>
      </w:pPr>
      <w:rPr>
        <w:rFonts w:ascii="Symbol" w:hAnsi="Symbol" w:hint="default"/>
      </w:rPr>
    </w:lvl>
    <w:lvl w:ilvl="1" w:tplc="1990FB34">
      <w:numFmt w:val="decimal"/>
      <w:lvlText w:val=""/>
      <w:lvlJc w:val="left"/>
    </w:lvl>
    <w:lvl w:ilvl="2" w:tplc="7D3850F2">
      <w:numFmt w:val="decimal"/>
      <w:lvlText w:val=""/>
      <w:lvlJc w:val="left"/>
    </w:lvl>
    <w:lvl w:ilvl="3" w:tplc="B2C6CB1E">
      <w:numFmt w:val="decimal"/>
      <w:lvlText w:val=""/>
      <w:lvlJc w:val="left"/>
    </w:lvl>
    <w:lvl w:ilvl="4" w:tplc="D7CEB2C4">
      <w:numFmt w:val="decimal"/>
      <w:lvlText w:val=""/>
      <w:lvlJc w:val="left"/>
    </w:lvl>
    <w:lvl w:ilvl="5" w:tplc="AEE4EA30">
      <w:numFmt w:val="decimal"/>
      <w:lvlText w:val=""/>
      <w:lvlJc w:val="left"/>
    </w:lvl>
    <w:lvl w:ilvl="6" w:tplc="D102BADC">
      <w:numFmt w:val="decimal"/>
      <w:lvlText w:val=""/>
      <w:lvlJc w:val="left"/>
    </w:lvl>
    <w:lvl w:ilvl="7" w:tplc="3A40118C">
      <w:numFmt w:val="decimal"/>
      <w:lvlText w:val=""/>
      <w:lvlJc w:val="left"/>
    </w:lvl>
    <w:lvl w:ilvl="8" w:tplc="6A62A61A">
      <w:numFmt w:val="decimal"/>
      <w:lvlText w:val=""/>
      <w:lvlJc w:val="left"/>
    </w:lvl>
  </w:abstractNum>
  <w:abstractNum w:abstractNumId="926" w15:restartNumberingAfterBreak="0">
    <w:nsid w:val="626A4A77"/>
    <w:multiLevelType w:val="hybridMultilevel"/>
    <w:tmpl w:val="E7400A2E"/>
    <w:lvl w:ilvl="0" w:tplc="03DA36CE">
      <w:start w:val="1"/>
      <w:numFmt w:val="bullet"/>
      <w:lvlText w:val=""/>
      <w:lvlJc w:val="left"/>
      <w:pPr>
        <w:ind w:left="720" w:hanging="360"/>
      </w:pPr>
      <w:rPr>
        <w:rFonts w:ascii="Symbol" w:hAnsi="Symbol" w:hint="default"/>
      </w:rPr>
    </w:lvl>
    <w:lvl w:ilvl="1" w:tplc="EB082AC6">
      <w:numFmt w:val="decimal"/>
      <w:lvlText w:val=""/>
      <w:lvlJc w:val="left"/>
    </w:lvl>
    <w:lvl w:ilvl="2" w:tplc="50E00352">
      <w:numFmt w:val="decimal"/>
      <w:lvlText w:val=""/>
      <w:lvlJc w:val="left"/>
    </w:lvl>
    <w:lvl w:ilvl="3" w:tplc="DCF642A8">
      <w:numFmt w:val="decimal"/>
      <w:lvlText w:val=""/>
      <w:lvlJc w:val="left"/>
    </w:lvl>
    <w:lvl w:ilvl="4" w:tplc="A22048C0">
      <w:numFmt w:val="decimal"/>
      <w:lvlText w:val=""/>
      <w:lvlJc w:val="left"/>
    </w:lvl>
    <w:lvl w:ilvl="5" w:tplc="5562F56A">
      <w:numFmt w:val="decimal"/>
      <w:lvlText w:val=""/>
      <w:lvlJc w:val="left"/>
    </w:lvl>
    <w:lvl w:ilvl="6" w:tplc="79A2B34A">
      <w:numFmt w:val="decimal"/>
      <w:lvlText w:val=""/>
      <w:lvlJc w:val="left"/>
    </w:lvl>
    <w:lvl w:ilvl="7" w:tplc="AEE2890C">
      <w:numFmt w:val="decimal"/>
      <w:lvlText w:val=""/>
      <w:lvlJc w:val="left"/>
    </w:lvl>
    <w:lvl w:ilvl="8" w:tplc="F6EAFC7C">
      <w:numFmt w:val="decimal"/>
      <w:lvlText w:val=""/>
      <w:lvlJc w:val="left"/>
    </w:lvl>
  </w:abstractNum>
  <w:abstractNum w:abstractNumId="927" w15:restartNumberingAfterBreak="0">
    <w:nsid w:val="627E5127"/>
    <w:multiLevelType w:val="hybridMultilevel"/>
    <w:tmpl w:val="06B6B180"/>
    <w:lvl w:ilvl="0" w:tplc="F46C97CA">
      <w:start w:val="1"/>
      <w:numFmt w:val="bullet"/>
      <w:lvlText w:val=""/>
      <w:lvlJc w:val="left"/>
      <w:pPr>
        <w:ind w:left="720" w:hanging="360"/>
      </w:pPr>
      <w:rPr>
        <w:rFonts w:ascii="Symbol" w:hAnsi="Symbol" w:hint="default"/>
      </w:rPr>
    </w:lvl>
    <w:lvl w:ilvl="1" w:tplc="C7466A20">
      <w:numFmt w:val="decimal"/>
      <w:lvlText w:val=""/>
      <w:lvlJc w:val="left"/>
    </w:lvl>
    <w:lvl w:ilvl="2" w:tplc="D04A31FC">
      <w:numFmt w:val="decimal"/>
      <w:lvlText w:val=""/>
      <w:lvlJc w:val="left"/>
    </w:lvl>
    <w:lvl w:ilvl="3" w:tplc="FC14577C">
      <w:numFmt w:val="decimal"/>
      <w:lvlText w:val=""/>
      <w:lvlJc w:val="left"/>
    </w:lvl>
    <w:lvl w:ilvl="4" w:tplc="985099F4">
      <w:numFmt w:val="decimal"/>
      <w:lvlText w:val=""/>
      <w:lvlJc w:val="left"/>
    </w:lvl>
    <w:lvl w:ilvl="5" w:tplc="A42E2B44">
      <w:numFmt w:val="decimal"/>
      <w:lvlText w:val=""/>
      <w:lvlJc w:val="left"/>
    </w:lvl>
    <w:lvl w:ilvl="6" w:tplc="5CD8477C">
      <w:numFmt w:val="decimal"/>
      <w:lvlText w:val=""/>
      <w:lvlJc w:val="left"/>
    </w:lvl>
    <w:lvl w:ilvl="7" w:tplc="F27C3F52">
      <w:numFmt w:val="decimal"/>
      <w:lvlText w:val=""/>
      <w:lvlJc w:val="left"/>
    </w:lvl>
    <w:lvl w:ilvl="8" w:tplc="C02AAF8C">
      <w:numFmt w:val="decimal"/>
      <w:lvlText w:val=""/>
      <w:lvlJc w:val="left"/>
    </w:lvl>
  </w:abstractNum>
  <w:abstractNum w:abstractNumId="928" w15:restartNumberingAfterBreak="0">
    <w:nsid w:val="628E1E01"/>
    <w:multiLevelType w:val="hybridMultilevel"/>
    <w:tmpl w:val="9DE24DB8"/>
    <w:lvl w:ilvl="0" w:tplc="127C718A">
      <w:start w:val="1"/>
      <w:numFmt w:val="bullet"/>
      <w:lvlText w:val=""/>
      <w:lvlJc w:val="left"/>
      <w:pPr>
        <w:ind w:left="720" w:hanging="360"/>
      </w:pPr>
      <w:rPr>
        <w:rFonts w:ascii="Symbol" w:hAnsi="Symbol" w:hint="default"/>
      </w:rPr>
    </w:lvl>
    <w:lvl w:ilvl="1" w:tplc="55FE66FC">
      <w:numFmt w:val="decimal"/>
      <w:lvlText w:val=""/>
      <w:lvlJc w:val="left"/>
    </w:lvl>
    <w:lvl w:ilvl="2" w:tplc="72B031FC">
      <w:numFmt w:val="decimal"/>
      <w:lvlText w:val=""/>
      <w:lvlJc w:val="left"/>
    </w:lvl>
    <w:lvl w:ilvl="3" w:tplc="0060AE28">
      <w:numFmt w:val="decimal"/>
      <w:lvlText w:val=""/>
      <w:lvlJc w:val="left"/>
    </w:lvl>
    <w:lvl w:ilvl="4" w:tplc="E7D215EE">
      <w:numFmt w:val="decimal"/>
      <w:lvlText w:val=""/>
      <w:lvlJc w:val="left"/>
    </w:lvl>
    <w:lvl w:ilvl="5" w:tplc="8C9241B4">
      <w:numFmt w:val="decimal"/>
      <w:lvlText w:val=""/>
      <w:lvlJc w:val="left"/>
    </w:lvl>
    <w:lvl w:ilvl="6" w:tplc="261A2BC2">
      <w:numFmt w:val="decimal"/>
      <w:lvlText w:val=""/>
      <w:lvlJc w:val="left"/>
    </w:lvl>
    <w:lvl w:ilvl="7" w:tplc="31003E9E">
      <w:numFmt w:val="decimal"/>
      <w:lvlText w:val=""/>
      <w:lvlJc w:val="left"/>
    </w:lvl>
    <w:lvl w:ilvl="8" w:tplc="BF6AE8C0">
      <w:numFmt w:val="decimal"/>
      <w:lvlText w:val=""/>
      <w:lvlJc w:val="left"/>
    </w:lvl>
  </w:abstractNum>
  <w:abstractNum w:abstractNumId="929" w15:restartNumberingAfterBreak="0">
    <w:nsid w:val="62D302E5"/>
    <w:multiLevelType w:val="hybridMultilevel"/>
    <w:tmpl w:val="7786D40A"/>
    <w:lvl w:ilvl="0" w:tplc="340875C8">
      <w:start w:val="1"/>
      <w:numFmt w:val="bullet"/>
      <w:lvlText w:val=""/>
      <w:lvlJc w:val="left"/>
      <w:pPr>
        <w:ind w:left="720" w:hanging="360"/>
      </w:pPr>
      <w:rPr>
        <w:rFonts w:ascii="Symbol" w:hAnsi="Symbol" w:hint="default"/>
      </w:rPr>
    </w:lvl>
    <w:lvl w:ilvl="1" w:tplc="DD023556">
      <w:numFmt w:val="decimal"/>
      <w:lvlText w:val=""/>
      <w:lvlJc w:val="left"/>
    </w:lvl>
    <w:lvl w:ilvl="2" w:tplc="8C2ACAB8">
      <w:numFmt w:val="decimal"/>
      <w:lvlText w:val=""/>
      <w:lvlJc w:val="left"/>
    </w:lvl>
    <w:lvl w:ilvl="3" w:tplc="9C8652DE">
      <w:numFmt w:val="decimal"/>
      <w:lvlText w:val=""/>
      <w:lvlJc w:val="left"/>
    </w:lvl>
    <w:lvl w:ilvl="4" w:tplc="7FEC1E64">
      <w:numFmt w:val="decimal"/>
      <w:lvlText w:val=""/>
      <w:lvlJc w:val="left"/>
    </w:lvl>
    <w:lvl w:ilvl="5" w:tplc="6C6A907E">
      <w:numFmt w:val="decimal"/>
      <w:lvlText w:val=""/>
      <w:lvlJc w:val="left"/>
    </w:lvl>
    <w:lvl w:ilvl="6" w:tplc="B9A8DCB6">
      <w:numFmt w:val="decimal"/>
      <w:lvlText w:val=""/>
      <w:lvlJc w:val="left"/>
    </w:lvl>
    <w:lvl w:ilvl="7" w:tplc="CFDE039E">
      <w:numFmt w:val="decimal"/>
      <w:lvlText w:val=""/>
      <w:lvlJc w:val="left"/>
    </w:lvl>
    <w:lvl w:ilvl="8" w:tplc="2C7E2CB6">
      <w:numFmt w:val="decimal"/>
      <w:lvlText w:val=""/>
      <w:lvlJc w:val="left"/>
    </w:lvl>
  </w:abstractNum>
  <w:abstractNum w:abstractNumId="930" w15:restartNumberingAfterBreak="0">
    <w:nsid w:val="62E11C8D"/>
    <w:multiLevelType w:val="hybridMultilevel"/>
    <w:tmpl w:val="FF006E8C"/>
    <w:lvl w:ilvl="0" w:tplc="5F2ED058">
      <w:start w:val="1"/>
      <w:numFmt w:val="bullet"/>
      <w:lvlText w:val=""/>
      <w:lvlJc w:val="left"/>
      <w:pPr>
        <w:ind w:left="720" w:hanging="360"/>
      </w:pPr>
      <w:rPr>
        <w:rFonts w:ascii="Symbol" w:hAnsi="Symbol" w:hint="default"/>
      </w:rPr>
    </w:lvl>
    <w:lvl w:ilvl="1" w:tplc="5330ADA2">
      <w:numFmt w:val="decimal"/>
      <w:lvlText w:val=""/>
      <w:lvlJc w:val="left"/>
    </w:lvl>
    <w:lvl w:ilvl="2" w:tplc="CAF46D5C">
      <w:numFmt w:val="decimal"/>
      <w:lvlText w:val=""/>
      <w:lvlJc w:val="left"/>
    </w:lvl>
    <w:lvl w:ilvl="3" w:tplc="EA1842D0">
      <w:numFmt w:val="decimal"/>
      <w:lvlText w:val=""/>
      <w:lvlJc w:val="left"/>
    </w:lvl>
    <w:lvl w:ilvl="4" w:tplc="B64ADA54">
      <w:numFmt w:val="decimal"/>
      <w:lvlText w:val=""/>
      <w:lvlJc w:val="left"/>
    </w:lvl>
    <w:lvl w:ilvl="5" w:tplc="767A8EC4">
      <w:numFmt w:val="decimal"/>
      <w:lvlText w:val=""/>
      <w:lvlJc w:val="left"/>
    </w:lvl>
    <w:lvl w:ilvl="6" w:tplc="78D2842A">
      <w:numFmt w:val="decimal"/>
      <w:lvlText w:val=""/>
      <w:lvlJc w:val="left"/>
    </w:lvl>
    <w:lvl w:ilvl="7" w:tplc="B0A2ACF6">
      <w:numFmt w:val="decimal"/>
      <w:lvlText w:val=""/>
      <w:lvlJc w:val="left"/>
    </w:lvl>
    <w:lvl w:ilvl="8" w:tplc="0FB2745A">
      <w:numFmt w:val="decimal"/>
      <w:lvlText w:val=""/>
      <w:lvlJc w:val="left"/>
    </w:lvl>
  </w:abstractNum>
  <w:abstractNum w:abstractNumId="931" w15:restartNumberingAfterBreak="0">
    <w:nsid w:val="62E2571F"/>
    <w:multiLevelType w:val="hybridMultilevel"/>
    <w:tmpl w:val="05FA9B66"/>
    <w:lvl w:ilvl="0" w:tplc="1C0C45E2">
      <w:start w:val="1"/>
      <w:numFmt w:val="bullet"/>
      <w:lvlText w:val=""/>
      <w:lvlJc w:val="left"/>
      <w:pPr>
        <w:ind w:left="720" w:hanging="360"/>
      </w:pPr>
      <w:rPr>
        <w:rFonts w:ascii="Symbol" w:hAnsi="Symbol" w:hint="default"/>
      </w:rPr>
    </w:lvl>
    <w:lvl w:ilvl="1" w:tplc="5EEE426C">
      <w:numFmt w:val="decimal"/>
      <w:lvlText w:val=""/>
      <w:lvlJc w:val="left"/>
    </w:lvl>
    <w:lvl w:ilvl="2" w:tplc="869A3D5A">
      <w:numFmt w:val="decimal"/>
      <w:lvlText w:val=""/>
      <w:lvlJc w:val="left"/>
    </w:lvl>
    <w:lvl w:ilvl="3" w:tplc="0802A942">
      <w:numFmt w:val="decimal"/>
      <w:lvlText w:val=""/>
      <w:lvlJc w:val="left"/>
    </w:lvl>
    <w:lvl w:ilvl="4" w:tplc="C61C966E">
      <w:numFmt w:val="decimal"/>
      <w:lvlText w:val=""/>
      <w:lvlJc w:val="left"/>
    </w:lvl>
    <w:lvl w:ilvl="5" w:tplc="936AF302">
      <w:numFmt w:val="decimal"/>
      <w:lvlText w:val=""/>
      <w:lvlJc w:val="left"/>
    </w:lvl>
    <w:lvl w:ilvl="6" w:tplc="22C67096">
      <w:numFmt w:val="decimal"/>
      <w:lvlText w:val=""/>
      <w:lvlJc w:val="left"/>
    </w:lvl>
    <w:lvl w:ilvl="7" w:tplc="C812DE78">
      <w:numFmt w:val="decimal"/>
      <w:lvlText w:val=""/>
      <w:lvlJc w:val="left"/>
    </w:lvl>
    <w:lvl w:ilvl="8" w:tplc="32263566">
      <w:numFmt w:val="decimal"/>
      <w:lvlText w:val=""/>
      <w:lvlJc w:val="left"/>
    </w:lvl>
  </w:abstractNum>
  <w:abstractNum w:abstractNumId="932" w15:restartNumberingAfterBreak="0">
    <w:nsid w:val="62FC2FCE"/>
    <w:multiLevelType w:val="hybridMultilevel"/>
    <w:tmpl w:val="4CDCE4A0"/>
    <w:lvl w:ilvl="0" w:tplc="62AA77D6">
      <w:start w:val="1"/>
      <w:numFmt w:val="bullet"/>
      <w:lvlText w:val=""/>
      <w:lvlJc w:val="left"/>
      <w:pPr>
        <w:ind w:left="720" w:hanging="360"/>
      </w:pPr>
      <w:rPr>
        <w:rFonts w:ascii="Symbol" w:hAnsi="Symbol" w:hint="default"/>
      </w:rPr>
    </w:lvl>
    <w:lvl w:ilvl="1" w:tplc="CF5C8B72">
      <w:numFmt w:val="decimal"/>
      <w:lvlText w:val=""/>
      <w:lvlJc w:val="left"/>
    </w:lvl>
    <w:lvl w:ilvl="2" w:tplc="F7B80F5A">
      <w:numFmt w:val="decimal"/>
      <w:lvlText w:val=""/>
      <w:lvlJc w:val="left"/>
    </w:lvl>
    <w:lvl w:ilvl="3" w:tplc="71F892B8">
      <w:numFmt w:val="decimal"/>
      <w:lvlText w:val=""/>
      <w:lvlJc w:val="left"/>
    </w:lvl>
    <w:lvl w:ilvl="4" w:tplc="249A6D0A">
      <w:numFmt w:val="decimal"/>
      <w:lvlText w:val=""/>
      <w:lvlJc w:val="left"/>
    </w:lvl>
    <w:lvl w:ilvl="5" w:tplc="825224B4">
      <w:numFmt w:val="decimal"/>
      <w:lvlText w:val=""/>
      <w:lvlJc w:val="left"/>
    </w:lvl>
    <w:lvl w:ilvl="6" w:tplc="7A2EDC04">
      <w:numFmt w:val="decimal"/>
      <w:lvlText w:val=""/>
      <w:lvlJc w:val="left"/>
    </w:lvl>
    <w:lvl w:ilvl="7" w:tplc="1352891E">
      <w:numFmt w:val="decimal"/>
      <w:lvlText w:val=""/>
      <w:lvlJc w:val="left"/>
    </w:lvl>
    <w:lvl w:ilvl="8" w:tplc="B470ACA4">
      <w:numFmt w:val="decimal"/>
      <w:lvlText w:val=""/>
      <w:lvlJc w:val="left"/>
    </w:lvl>
  </w:abstractNum>
  <w:abstractNum w:abstractNumId="933" w15:restartNumberingAfterBreak="0">
    <w:nsid w:val="631605A4"/>
    <w:multiLevelType w:val="hybridMultilevel"/>
    <w:tmpl w:val="3E6C26FA"/>
    <w:lvl w:ilvl="0" w:tplc="8C1C7C1E">
      <w:start w:val="1"/>
      <w:numFmt w:val="bullet"/>
      <w:lvlText w:val=""/>
      <w:lvlJc w:val="left"/>
      <w:pPr>
        <w:ind w:left="720" w:hanging="360"/>
      </w:pPr>
      <w:rPr>
        <w:rFonts w:ascii="Symbol" w:hAnsi="Symbol" w:hint="default"/>
      </w:rPr>
    </w:lvl>
    <w:lvl w:ilvl="1" w:tplc="EA9053B0">
      <w:numFmt w:val="decimal"/>
      <w:lvlText w:val=""/>
      <w:lvlJc w:val="left"/>
    </w:lvl>
    <w:lvl w:ilvl="2" w:tplc="DBB2E9C8">
      <w:numFmt w:val="decimal"/>
      <w:lvlText w:val=""/>
      <w:lvlJc w:val="left"/>
    </w:lvl>
    <w:lvl w:ilvl="3" w:tplc="623E6A9A">
      <w:numFmt w:val="decimal"/>
      <w:lvlText w:val=""/>
      <w:lvlJc w:val="left"/>
    </w:lvl>
    <w:lvl w:ilvl="4" w:tplc="FAF2C270">
      <w:numFmt w:val="decimal"/>
      <w:lvlText w:val=""/>
      <w:lvlJc w:val="left"/>
    </w:lvl>
    <w:lvl w:ilvl="5" w:tplc="E6060B9E">
      <w:numFmt w:val="decimal"/>
      <w:lvlText w:val=""/>
      <w:lvlJc w:val="left"/>
    </w:lvl>
    <w:lvl w:ilvl="6" w:tplc="2062CC48">
      <w:numFmt w:val="decimal"/>
      <w:lvlText w:val=""/>
      <w:lvlJc w:val="left"/>
    </w:lvl>
    <w:lvl w:ilvl="7" w:tplc="88E66E0C">
      <w:numFmt w:val="decimal"/>
      <w:lvlText w:val=""/>
      <w:lvlJc w:val="left"/>
    </w:lvl>
    <w:lvl w:ilvl="8" w:tplc="2CE6EE7A">
      <w:numFmt w:val="decimal"/>
      <w:lvlText w:val=""/>
      <w:lvlJc w:val="left"/>
    </w:lvl>
  </w:abstractNum>
  <w:abstractNum w:abstractNumId="934" w15:restartNumberingAfterBreak="0">
    <w:nsid w:val="631E442E"/>
    <w:multiLevelType w:val="hybridMultilevel"/>
    <w:tmpl w:val="CED8AC8A"/>
    <w:lvl w:ilvl="0" w:tplc="D0AC01E2">
      <w:start w:val="1"/>
      <w:numFmt w:val="bullet"/>
      <w:lvlText w:val=""/>
      <w:lvlJc w:val="left"/>
      <w:pPr>
        <w:ind w:left="720" w:hanging="360"/>
      </w:pPr>
      <w:rPr>
        <w:rFonts w:ascii="Symbol" w:hAnsi="Symbol" w:hint="default"/>
      </w:rPr>
    </w:lvl>
    <w:lvl w:ilvl="1" w:tplc="B07402B4">
      <w:numFmt w:val="decimal"/>
      <w:lvlText w:val=""/>
      <w:lvlJc w:val="left"/>
    </w:lvl>
    <w:lvl w:ilvl="2" w:tplc="026C3BBC">
      <w:numFmt w:val="decimal"/>
      <w:lvlText w:val=""/>
      <w:lvlJc w:val="left"/>
    </w:lvl>
    <w:lvl w:ilvl="3" w:tplc="23B641A6">
      <w:numFmt w:val="decimal"/>
      <w:lvlText w:val=""/>
      <w:lvlJc w:val="left"/>
    </w:lvl>
    <w:lvl w:ilvl="4" w:tplc="FA4CEB9C">
      <w:numFmt w:val="decimal"/>
      <w:lvlText w:val=""/>
      <w:lvlJc w:val="left"/>
    </w:lvl>
    <w:lvl w:ilvl="5" w:tplc="41DAA06E">
      <w:numFmt w:val="decimal"/>
      <w:lvlText w:val=""/>
      <w:lvlJc w:val="left"/>
    </w:lvl>
    <w:lvl w:ilvl="6" w:tplc="4D065FF0">
      <w:numFmt w:val="decimal"/>
      <w:lvlText w:val=""/>
      <w:lvlJc w:val="left"/>
    </w:lvl>
    <w:lvl w:ilvl="7" w:tplc="061008FA">
      <w:numFmt w:val="decimal"/>
      <w:lvlText w:val=""/>
      <w:lvlJc w:val="left"/>
    </w:lvl>
    <w:lvl w:ilvl="8" w:tplc="D7660444">
      <w:numFmt w:val="decimal"/>
      <w:lvlText w:val=""/>
      <w:lvlJc w:val="left"/>
    </w:lvl>
  </w:abstractNum>
  <w:abstractNum w:abstractNumId="935" w15:restartNumberingAfterBreak="0">
    <w:nsid w:val="636974A6"/>
    <w:multiLevelType w:val="hybridMultilevel"/>
    <w:tmpl w:val="86C48038"/>
    <w:lvl w:ilvl="0" w:tplc="41D2A2F6">
      <w:start w:val="1"/>
      <w:numFmt w:val="bullet"/>
      <w:lvlText w:val=""/>
      <w:lvlJc w:val="left"/>
      <w:pPr>
        <w:ind w:left="720" w:hanging="360"/>
      </w:pPr>
      <w:rPr>
        <w:rFonts w:ascii="Symbol" w:hAnsi="Symbol" w:hint="default"/>
      </w:rPr>
    </w:lvl>
    <w:lvl w:ilvl="1" w:tplc="4D7A9F6E">
      <w:numFmt w:val="decimal"/>
      <w:lvlText w:val=""/>
      <w:lvlJc w:val="left"/>
    </w:lvl>
    <w:lvl w:ilvl="2" w:tplc="DB328F76">
      <w:numFmt w:val="decimal"/>
      <w:lvlText w:val=""/>
      <w:lvlJc w:val="left"/>
    </w:lvl>
    <w:lvl w:ilvl="3" w:tplc="2B5CB9BE">
      <w:numFmt w:val="decimal"/>
      <w:lvlText w:val=""/>
      <w:lvlJc w:val="left"/>
    </w:lvl>
    <w:lvl w:ilvl="4" w:tplc="556465AE">
      <w:numFmt w:val="decimal"/>
      <w:lvlText w:val=""/>
      <w:lvlJc w:val="left"/>
    </w:lvl>
    <w:lvl w:ilvl="5" w:tplc="36560C6A">
      <w:numFmt w:val="decimal"/>
      <w:lvlText w:val=""/>
      <w:lvlJc w:val="left"/>
    </w:lvl>
    <w:lvl w:ilvl="6" w:tplc="7E5C0AFC">
      <w:numFmt w:val="decimal"/>
      <w:lvlText w:val=""/>
      <w:lvlJc w:val="left"/>
    </w:lvl>
    <w:lvl w:ilvl="7" w:tplc="E8FA7556">
      <w:numFmt w:val="decimal"/>
      <w:lvlText w:val=""/>
      <w:lvlJc w:val="left"/>
    </w:lvl>
    <w:lvl w:ilvl="8" w:tplc="C6424698">
      <w:numFmt w:val="decimal"/>
      <w:lvlText w:val=""/>
      <w:lvlJc w:val="left"/>
    </w:lvl>
  </w:abstractNum>
  <w:abstractNum w:abstractNumId="936" w15:restartNumberingAfterBreak="0">
    <w:nsid w:val="63737FD7"/>
    <w:multiLevelType w:val="hybridMultilevel"/>
    <w:tmpl w:val="83689FEE"/>
    <w:lvl w:ilvl="0" w:tplc="1F823928">
      <w:start w:val="1"/>
      <w:numFmt w:val="bullet"/>
      <w:lvlText w:val=""/>
      <w:lvlJc w:val="left"/>
      <w:pPr>
        <w:ind w:left="720" w:hanging="360"/>
      </w:pPr>
      <w:rPr>
        <w:rFonts w:ascii="Symbol" w:hAnsi="Symbol" w:hint="default"/>
      </w:rPr>
    </w:lvl>
    <w:lvl w:ilvl="1" w:tplc="24FEA7C2">
      <w:numFmt w:val="decimal"/>
      <w:lvlText w:val=""/>
      <w:lvlJc w:val="left"/>
    </w:lvl>
    <w:lvl w:ilvl="2" w:tplc="4A9E1F5A">
      <w:numFmt w:val="decimal"/>
      <w:lvlText w:val=""/>
      <w:lvlJc w:val="left"/>
    </w:lvl>
    <w:lvl w:ilvl="3" w:tplc="14B24CCA">
      <w:numFmt w:val="decimal"/>
      <w:lvlText w:val=""/>
      <w:lvlJc w:val="left"/>
    </w:lvl>
    <w:lvl w:ilvl="4" w:tplc="301C0958">
      <w:numFmt w:val="decimal"/>
      <w:lvlText w:val=""/>
      <w:lvlJc w:val="left"/>
    </w:lvl>
    <w:lvl w:ilvl="5" w:tplc="E830FD1E">
      <w:numFmt w:val="decimal"/>
      <w:lvlText w:val=""/>
      <w:lvlJc w:val="left"/>
    </w:lvl>
    <w:lvl w:ilvl="6" w:tplc="26A629E2">
      <w:numFmt w:val="decimal"/>
      <w:lvlText w:val=""/>
      <w:lvlJc w:val="left"/>
    </w:lvl>
    <w:lvl w:ilvl="7" w:tplc="2C4E1722">
      <w:numFmt w:val="decimal"/>
      <w:lvlText w:val=""/>
      <w:lvlJc w:val="left"/>
    </w:lvl>
    <w:lvl w:ilvl="8" w:tplc="E820C594">
      <w:numFmt w:val="decimal"/>
      <w:lvlText w:val=""/>
      <w:lvlJc w:val="left"/>
    </w:lvl>
  </w:abstractNum>
  <w:abstractNum w:abstractNumId="937" w15:restartNumberingAfterBreak="0">
    <w:nsid w:val="638707CE"/>
    <w:multiLevelType w:val="hybridMultilevel"/>
    <w:tmpl w:val="2CA29EDA"/>
    <w:lvl w:ilvl="0" w:tplc="89F89342">
      <w:start w:val="1"/>
      <w:numFmt w:val="bullet"/>
      <w:lvlText w:val=""/>
      <w:lvlJc w:val="left"/>
      <w:pPr>
        <w:ind w:left="720" w:hanging="360"/>
      </w:pPr>
      <w:rPr>
        <w:rFonts w:ascii="Symbol" w:hAnsi="Symbol" w:hint="default"/>
      </w:rPr>
    </w:lvl>
    <w:lvl w:ilvl="1" w:tplc="BA109814">
      <w:numFmt w:val="decimal"/>
      <w:lvlText w:val=""/>
      <w:lvlJc w:val="left"/>
    </w:lvl>
    <w:lvl w:ilvl="2" w:tplc="ABDEFC0E">
      <w:numFmt w:val="decimal"/>
      <w:lvlText w:val=""/>
      <w:lvlJc w:val="left"/>
    </w:lvl>
    <w:lvl w:ilvl="3" w:tplc="366408FA">
      <w:numFmt w:val="decimal"/>
      <w:lvlText w:val=""/>
      <w:lvlJc w:val="left"/>
    </w:lvl>
    <w:lvl w:ilvl="4" w:tplc="C0C831A8">
      <w:numFmt w:val="decimal"/>
      <w:lvlText w:val=""/>
      <w:lvlJc w:val="left"/>
    </w:lvl>
    <w:lvl w:ilvl="5" w:tplc="7C7AD31C">
      <w:numFmt w:val="decimal"/>
      <w:lvlText w:val=""/>
      <w:lvlJc w:val="left"/>
    </w:lvl>
    <w:lvl w:ilvl="6" w:tplc="5658E58C">
      <w:numFmt w:val="decimal"/>
      <w:lvlText w:val=""/>
      <w:lvlJc w:val="left"/>
    </w:lvl>
    <w:lvl w:ilvl="7" w:tplc="F29A8402">
      <w:numFmt w:val="decimal"/>
      <w:lvlText w:val=""/>
      <w:lvlJc w:val="left"/>
    </w:lvl>
    <w:lvl w:ilvl="8" w:tplc="A5C285EE">
      <w:numFmt w:val="decimal"/>
      <w:lvlText w:val=""/>
      <w:lvlJc w:val="left"/>
    </w:lvl>
  </w:abstractNum>
  <w:abstractNum w:abstractNumId="938" w15:restartNumberingAfterBreak="0">
    <w:nsid w:val="63B020C5"/>
    <w:multiLevelType w:val="hybridMultilevel"/>
    <w:tmpl w:val="9BB4B7D4"/>
    <w:lvl w:ilvl="0" w:tplc="EB2A7220">
      <w:start w:val="1"/>
      <w:numFmt w:val="bullet"/>
      <w:lvlText w:val=""/>
      <w:lvlJc w:val="left"/>
      <w:pPr>
        <w:ind w:left="720" w:hanging="360"/>
      </w:pPr>
      <w:rPr>
        <w:rFonts w:ascii="Symbol" w:hAnsi="Symbol" w:hint="default"/>
      </w:rPr>
    </w:lvl>
    <w:lvl w:ilvl="1" w:tplc="BFE06BA6">
      <w:numFmt w:val="decimal"/>
      <w:lvlText w:val=""/>
      <w:lvlJc w:val="left"/>
    </w:lvl>
    <w:lvl w:ilvl="2" w:tplc="2B32A1E2">
      <w:numFmt w:val="decimal"/>
      <w:lvlText w:val=""/>
      <w:lvlJc w:val="left"/>
    </w:lvl>
    <w:lvl w:ilvl="3" w:tplc="FA089634">
      <w:numFmt w:val="decimal"/>
      <w:lvlText w:val=""/>
      <w:lvlJc w:val="left"/>
    </w:lvl>
    <w:lvl w:ilvl="4" w:tplc="C48228E4">
      <w:numFmt w:val="decimal"/>
      <w:lvlText w:val=""/>
      <w:lvlJc w:val="left"/>
    </w:lvl>
    <w:lvl w:ilvl="5" w:tplc="1D9C2AEC">
      <w:numFmt w:val="decimal"/>
      <w:lvlText w:val=""/>
      <w:lvlJc w:val="left"/>
    </w:lvl>
    <w:lvl w:ilvl="6" w:tplc="E724DACE">
      <w:numFmt w:val="decimal"/>
      <w:lvlText w:val=""/>
      <w:lvlJc w:val="left"/>
    </w:lvl>
    <w:lvl w:ilvl="7" w:tplc="C3F07328">
      <w:numFmt w:val="decimal"/>
      <w:lvlText w:val=""/>
      <w:lvlJc w:val="left"/>
    </w:lvl>
    <w:lvl w:ilvl="8" w:tplc="30E0760A">
      <w:numFmt w:val="decimal"/>
      <w:lvlText w:val=""/>
      <w:lvlJc w:val="left"/>
    </w:lvl>
  </w:abstractNum>
  <w:abstractNum w:abstractNumId="939" w15:restartNumberingAfterBreak="0">
    <w:nsid w:val="63B26645"/>
    <w:multiLevelType w:val="hybridMultilevel"/>
    <w:tmpl w:val="78523CEE"/>
    <w:lvl w:ilvl="0" w:tplc="034CD49A">
      <w:start w:val="1"/>
      <w:numFmt w:val="bullet"/>
      <w:lvlText w:val=""/>
      <w:lvlJc w:val="left"/>
      <w:pPr>
        <w:ind w:left="720" w:hanging="360"/>
      </w:pPr>
      <w:rPr>
        <w:rFonts w:ascii="Symbol" w:hAnsi="Symbol" w:hint="default"/>
      </w:rPr>
    </w:lvl>
    <w:lvl w:ilvl="1" w:tplc="A89A9380">
      <w:numFmt w:val="decimal"/>
      <w:lvlText w:val=""/>
      <w:lvlJc w:val="left"/>
    </w:lvl>
    <w:lvl w:ilvl="2" w:tplc="2F36B5BC">
      <w:numFmt w:val="decimal"/>
      <w:lvlText w:val=""/>
      <w:lvlJc w:val="left"/>
    </w:lvl>
    <w:lvl w:ilvl="3" w:tplc="973E89B6">
      <w:numFmt w:val="decimal"/>
      <w:lvlText w:val=""/>
      <w:lvlJc w:val="left"/>
    </w:lvl>
    <w:lvl w:ilvl="4" w:tplc="B5A28892">
      <w:numFmt w:val="decimal"/>
      <w:lvlText w:val=""/>
      <w:lvlJc w:val="left"/>
    </w:lvl>
    <w:lvl w:ilvl="5" w:tplc="AF5259AC">
      <w:numFmt w:val="decimal"/>
      <w:lvlText w:val=""/>
      <w:lvlJc w:val="left"/>
    </w:lvl>
    <w:lvl w:ilvl="6" w:tplc="B5E21F28">
      <w:numFmt w:val="decimal"/>
      <w:lvlText w:val=""/>
      <w:lvlJc w:val="left"/>
    </w:lvl>
    <w:lvl w:ilvl="7" w:tplc="BA784714">
      <w:numFmt w:val="decimal"/>
      <w:lvlText w:val=""/>
      <w:lvlJc w:val="left"/>
    </w:lvl>
    <w:lvl w:ilvl="8" w:tplc="3B3CE420">
      <w:numFmt w:val="decimal"/>
      <w:lvlText w:val=""/>
      <w:lvlJc w:val="left"/>
    </w:lvl>
  </w:abstractNum>
  <w:abstractNum w:abstractNumId="940" w15:restartNumberingAfterBreak="0">
    <w:nsid w:val="63BF6535"/>
    <w:multiLevelType w:val="hybridMultilevel"/>
    <w:tmpl w:val="EE1AF344"/>
    <w:lvl w:ilvl="0" w:tplc="FC7E27BC">
      <w:start w:val="1"/>
      <w:numFmt w:val="bullet"/>
      <w:lvlText w:val=""/>
      <w:lvlJc w:val="left"/>
      <w:pPr>
        <w:ind w:left="720" w:hanging="360"/>
      </w:pPr>
      <w:rPr>
        <w:rFonts w:ascii="Symbol" w:hAnsi="Symbol" w:hint="default"/>
      </w:rPr>
    </w:lvl>
    <w:lvl w:ilvl="1" w:tplc="D4208614">
      <w:numFmt w:val="decimal"/>
      <w:lvlText w:val=""/>
      <w:lvlJc w:val="left"/>
    </w:lvl>
    <w:lvl w:ilvl="2" w:tplc="1FF6A300">
      <w:numFmt w:val="decimal"/>
      <w:lvlText w:val=""/>
      <w:lvlJc w:val="left"/>
    </w:lvl>
    <w:lvl w:ilvl="3" w:tplc="D27A308A">
      <w:numFmt w:val="decimal"/>
      <w:lvlText w:val=""/>
      <w:lvlJc w:val="left"/>
    </w:lvl>
    <w:lvl w:ilvl="4" w:tplc="8E302B26">
      <w:numFmt w:val="decimal"/>
      <w:lvlText w:val=""/>
      <w:lvlJc w:val="left"/>
    </w:lvl>
    <w:lvl w:ilvl="5" w:tplc="CC380860">
      <w:numFmt w:val="decimal"/>
      <w:lvlText w:val=""/>
      <w:lvlJc w:val="left"/>
    </w:lvl>
    <w:lvl w:ilvl="6" w:tplc="9356BEA0">
      <w:numFmt w:val="decimal"/>
      <w:lvlText w:val=""/>
      <w:lvlJc w:val="left"/>
    </w:lvl>
    <w:lvl w:ilvl="7" w:tplc="9F88CC5E">
      <w:numFmt w:val="decimal"/>
      <w:lvlText w:val=""/>
      <w:lvlJc w:val="left"/>
    </w:lvl>
    <w:lvl w:ilvl="8" w:tplc="D0A01EE6">
      <w:numFmt w:val="decimal"/>
      <w:lvlText w:val=""/>
      <w:lvlJc w:val="left"/>
    </w:lvl>
  </w:abstractNum>
  <w:abstractNum w:abstractNumId="941" w15:restartNumberingAfterBreak="0">
    <w:nsid w:val="63F27BF1"/>
    <w:multiLevelType w:val="hybridMultilevel"/>
    <w:tmpl w:val="57DAA584"/>
    <w:lvl w:ilvl="0" w:tplc="66184322">
      <w:start w:val="1"/>
      <w:numFmt w:val="bullet"/>
      <w:lvlText w:val=""/>
      <w:lvlJc w:val="left"/>
      <w:pPr>
        <w:ind w:left="720" w:hanging="360"/>
      </w:pPr>
      <w:rPr>
        <w:rFonts w:ascii="Symbol" w:hAnsi="Symbol" w:hint="default"/>
      </w:rPr>
    </w:lvl>
    <w:lvl w:ilvl="1" w:tplc="DAD0F5B0">
      <w:numFmt w:val="decimal"/>
      <w:lvlText w:val=""/>
      <w:lvlJc w:val="left"/>
    </w:lvl>
    <w:lvl w:ilvl="2" w:tplc="E294D24A">
      <w:numFmt w:val="decimal"/>
      <w:lvlText w:val=""/>
      <w:lvlJc w:val="left"/>
    </w:lvl>
    <w:lvl w:ilvl="3" w:tplc="223E0A94">
      <w:numFmt w:val="decimal"/>
      <w:lvlText w:val=""/>
      <w:lvlJc w:val="left"/>
    </w:lvl>
    <w:lvl w:ilvl="4" w:tplc="25E673A8">
      <w:numFmt w:val="decimal"/>
      <w:lvlText w:val=""/>
      <w:lvlJc w:val="left"/>
    </w:lvl>
    <w:lvl w:ilvl="5" w:tplc="59B02B68">
      <w:numFmt w:val="decimal"/>
      <w:lvlText w:val=""/>
      <w:lvlJc w:val="left"/>
    </w:lvl>
    <w:lvl w:ilvl="6" w:tplc="8078DA1A">
      <w:numFmt w:val="decimal"/>
      <w:lvlText w:val=""/>
      <w:lvlJc w:val="left"/>
    </w:lvl>
    <w:lvl w:ilvl="7" w:tplc="D6005966">
      <w:numFmt w:val="decimal"/>
      <w:lvlText w:val=""/>
      <w:lvlJc w:val="left"/>
    </w:lvl>
    <w:lvl w:ilvl="8" w:tplc="1562917C">
      <w:numFmt w:val="decimal"/>
      <w:lvlText w:val=""/>
      <w:lvlJc w:val="left"/>
    </w:lvl>
  </w:abstractNum>
  <w:abstractNum w:abstractNumId="942" w15:restartNumberingAfterBreak="0">
    <w:nsid w:val="64183EF6"/>
    <w:multiLevelType w:val="hybridMultilevel"/>
    <w:tmpl w:val="38EE928E"/>
    <w:lvl w:ilvl="0" w:tplc="EFD0BD3E">
      <w:start w:val="1"/>
      <w:numFmt w:val="bullet"/>
      <w:lvlText w:val=""/>
      <w:lvlJc w:val="left"/>
      <w:pPr>
        <w:ind w:left="720" w:hanging="360"/>
      </w:pPr>
      <w:rPr>
        <w:rFonts w:ascii="Symbol" w:hAnsi="Symbol" w:hint="default"/>
      </w:rPr>
    </w:lvl>
    <w:lvl w:ilvl="1" w:tplc="912CE910">
      <w:numFmt w:val="decimal"/>
      <w:lvlText w:val=""/>
      <w:lvlJc w:val="left"/>
    </w:lvl>
    <w:lvl w:ilvl="2" w:tplc="A46892CA">
      <w:numFmt w:val="decimal"/>
      <w:lvlText w:val=""/>
      <w:lvlJc w:val="left"/>
    </w:lvl>
    <w:lvl w:ilvl="3" w:tplc="DF0C8CAC">
      <w:numFmt w:val="decimal"/>
      <w:lvlText w:val=""/>
      <w:lvlJc w:val="left"/>
    </w:lvl>
    <w:lvl w:ilvl="4" w:tplc="2FBA43AA">
      <w:numFmt w:val="decimal"/>
      <w:lvlText w:val=""/>
      <w:lvlJc w:val="left"/>
    </w:lvl>
    <w:lvl w:ilvl="5" w:tplc="670CA7C6">
      <w:numFmt w:val="decimal"/>
      <w:lvlText w:val=""/>
      <w:lvlJc w:val="left"/>
    </w:lvl>
    <w:lvl w:ilvl="6" w:tplc="0786F4B6">
      <w:numFmt w:val="decimal"/>
      <w:lvlText w:val=""/>
      <w:lvlJc w:val="left"/>
    </w:lvl>
    <w:lvl w:ilvl="7" w:tplc="961642E8">
      <w:numFmt w:val="decimal"/>
      <w:lvlText w:val=""/>
      <w:lvlJc w:val="left"/>
    </w:lvl>
    <w:lvl w:ilvl="8" w:tplc="0902D62A">
      <w:numFmt w:val="decimal"/>
      <w:lvlText w:val=""/>
      <w:lvlJc w:val="left"/>
    </w:lvl>
  </w:abstractNum>
  <w:abstractNum w:abstractNumId="943" w15:restartNumberingAfterBreak="0">
    <w:nsid w:val="641842AF"/>
    <w:multiLevelType w:val="hybridMultilevel"/>
    <w:tmpl w:val="FFE6B4F2"/>
    <w:lvl w:ilvl="0" w:tplc="14C8B826">
      <w:start w:val="1"/>
      <w:numFmt w:val="bullet"/>
      <w:lvlText w:val=""/>
      <w:lvlJc w:val="left"/>
      <w:pPr>
        <w:ind w:left="720" w:hanging="360"/>
      </w:pPr>
      <w:rPr>
        <w:rFonts w:ascii="Symbol" w:hAnsi="Symbol" w:hint="default"/>
      </w:rPr>
    </w:lvl>
    <w:lvl w:ilvl="1" w:tplc="FF2A994C">
      <w:numFmt w:val="decimal"/>
      <w:lvlText w:val=""/>
      <w:lvlJc w:val="left"/>
    </w:lvl>
    <w:lvl w:ilvl="2" w:tplc="9622165C">
      <w:numFmt w:val="decimal"/>
      <w:lvlText w:val=""/>
      <w:lvlJc w:val="left"/>
    </w:lvl>
    <w:lvl w:ilvl="3" w:tplc="3516EEFC">
      <w:numFmt w:val="decimal"/>
      <w:lvlText w:val=""/>
      <w:lvlJc w:val="left"/>
    </w:lvl>
    <w:lvl w:ilvl="4" w:tplc="EA24F0D6">
      <w:numFmt w:val="decimal"/>
      <w:lvlText w:val=""/>
      <w:lvlJc w:val="left"/>
    </w:lvl>
    <w:lvl w:ilvl="5" w:tplc="05D07C6E">
      <w:numFmt w:val="decimal"/>
      <w:lvlText w:val=""/>
      <w:lvlJc w:val="left"/>
    </w:lvl>
    <w:lvl w:ilvl="6" w:tplc="1794D226">
      <w:numFmt w:val="decimal"/>
      <w:lvlText w:val=""/>
      <w:lvlJc w:val="left"/>
    </w:lvl>
    <w:lvl w:ilvl="7" w:tplc="79FC43CC">
      <w:numFmt w:val="decimal"/>
      <w:lvlText w:val=""/>
      <w:lvlJc w:val="left"/>
    </w:lvl>
    <w:lvl w:ilvl="8" w:tplc="5232A22A">
      <w:numFmt w:val="decimal"/>
      <w:lvlText w:val=""/>
      <w:lvlJc w:val="left"/>
    </w:lvl>
  </w:abstractNum>
  <w:abstractNum w:abstractNumId="944" w15:restartNumberingAfterBreak="0">
    <w:nsid w:val="641C4C68"/>
    <w:multiLevelType w:val="hybridMultilevel"/>
    <w:tmpl w:val="D3FE5A80"/>
    <w:lvl w:ilvl="0" w:tplc="3D1CCE2E">
      <w:start w:val="1"/>
      <w:numFmt w:val="bullet"/>
      <w:lvlText w:val=""/>
      <w:lvlJc w:val="left"/>
      <w:pPr>
        <w:ind w:left="720" w:hanging="360"/>
      </w:pPr>
      <w:rPr>
        <w:rFonts w:ascii="Symbol" w:hAnsi="Symbol" w:hint="default"/>
      </w:rPr>
    </w:lvl>
    <w:lvl w:ilvl="1" w:tplc="4BDA7CC4">
      <w:numFmt w:val="decimal"/>
      <w:lvlText w:val=""/>
      <w:lvlJc w:val="left"/>
    </w:lvl>
    <w:lvl w:ilvl="2" w:tplc="D1F64492">
      <w:numFmt w:val="decimal"/>
      <w:lvlText w:val=""/>
      <w:lvlJc w:val="left"/>
    </w:lvl>
    <w:lvl w:ilvl="3" w:tplc="EE328FC2">
      <w:numFmt w:val="decimal"/>
      <w:lvlText w:val=""/>
      <w:lvlJc w:val="left"/>
    </w:lvl>
    <w:lvl w:ilvl="4" w:tplc="A80698C4">
      <w:numFmt w:val="decimal"/>
      <w:lvlText w:val=""/>
      <w:lvlJc w:val="left"/>
    </w:lvl>
    <w:lvl w:ilvl="5" w:tplc="031E00B6">
      <w:numFmt w:val="decimal"/>
      <w:lvlText w:val=""/>
      <w:lvlJc w:val="left"/>
    </w:lvl>
    <w:lvl w:ilvl="6" w:tplc="B762DCB4">
      <w:numFmt w:val="decimal"/>
      <w:lvlText w:val=""/>
      <w:lvlJc w:val="left"/>
    </w:lvl>
    <w:lvl w:ilvl="7" w:tplc="9A820C2E">
      <w:numFmt w:val="decimal"/>
      <w:lvlText w:val=""/>
      <w:lvlJc w:val="left"/>
    </w:lvl>
    <w:lvl w:ilvl="8" w:tplc="A88225A2">
      <w:numFmt w:val="decimal"/>
      <w:lvlText w:val=""/>
      <w:lvlJc w:val="left"/>
    </w:lvl>
  </w:abstractNum>
  <w:abstractNum w:abstractNumId="945" w15:restartNumberingAfterBreak="0">
    <w:nsid w:val="644C73DA"/>
    <w:multiLevelType w:val="hybridMultilevel"/>
    <w:tmpl w:val="9C3AFF80"/>
    <w:lvl w:ilvl="0" w:tplc="74CAC644">
      <w:start w:val="1"/>
      <w:numFmt w:val="bullet"/>
      <w:lvlText w:val=""/>
      <w:lvlJc w:val="left"/>
      <w:pPr>
        <w:ind w:left="720" w:hanging="360"/>
      </w:pPr>
      <w:rPr>
        <w:rFonts w:ascii="Symbol" w:hAnsi="Symbol" w:hint="default"/>
      </w:rPr>
    </w:lvl>
    <w:lvl w:ilvl="1" w:tplc="966E6D1C">
      <w:numFmt w:val="decimal"/>
      <w:lvlText w:val=""/>
      <w:lvlJc w:val="left"/>
    </w:lvl>
    <w:lvl w:ilvl="2" w:tplc="4E48B28C">
      <w:numFmt w:val="decimal"/>
      <w:lvlText w:val=""/>
      <w:lvlJc w:val="left"/>
    </w:lvl>
    <w:lvl w:ilvl="3" w:tplc="3CD67214">
      <w:numFmt w:val="decimal"/>
      <w:lvlText w:val=""/>
      <w:lvlJc w:val="left"/>
    </w:lvl>
    <w:lvl w:ilvl="4" w:tplc="E078DA04">
      <w:numFmt w:val="decimal"/>
      <w:lvlText w:val=""/>
      <w:lvlJc w:val="left"/>
    </w:lvl>
    <w:lvl w:ilvl="5" w:tplc="7F8459E4">
      <w:numFmt w:val="decimal"/>
      <w:lvlText w:val=""/>
      <w:lvlJc w:val="left"/>
    </w:lvl>
    <w:lvl w:ilvl="6" w:tplc="0B3EABF2">
      <w:numFmt w:val="decimal"/>
      <w:lvlText w:val=""/>
      <w:lvlJc w:val="left"/>
    </w:lvl>
    <w:lvl w:ilvl="7" w:tplc="DBE6C5BA">
      <w:numFmt w:val="decimal"/>
      <w:lvlText w:val=""/>
      <w:lvlJc w:val="left"/>
    </w:lvl>
    <w:lvl w:ilvl="8" w:tplc="FF8AD5F4">
      <w:numFmt w:val="decimal"/>
      <w:lvlText w:val=""/>
      <w:lvlJc w:val="left"/>
    </w:lvl>
  </w:abstractNum>
  <w:abstractNum w:abstractNumId="946" w15:restartNumberingAfterBreak="0">
    <w:nsid w:val="644E5F97"/>
    <w:multiLevelType w:val="hybridMultilevel"/>
    <w:tmpl w:val="DBBA0192"/>
    <w:lvl w:ilvl="0" w:tplc="974CD584">
      <w:start w:val="1"/>
      <w:numFmt w:val="bullet"/>
      <w:lvlText w:val=""/>
      <w:lvlJc w:val="left"/>
      <w:pPr>
        <w:ind w:left="720" w:hanging="360"/>
      </w:pPr>
      <w:rPr>
        <w:rFonts w:ascii="Symbol" w:hAnsi="Symbol" w:hint="default"/>
      </w:rPr>
    </w:lvl>
    <w:lvl w:ilvl="1" w:tplc="BB96F748">
      <w:numFmt w:val="decimal"/>
      <w:lvlText w:val=""/>
      <w:lvlJc w:val="left"/>
    </w:lvl>
    <w:lvl w:ilvl="2" w:tplc="210AC60C">
      <w:numFmt w:val="decimal"/>
      <w:lvlText w:val=""/>
      <w:lvlJc w:val="left"/>
    </w:lvl>
    <w:lvl w:ilvl="3" w:tplc="40021C0C">
      <w:numFmt w:val="decimal"/>
      <w:lvlText w:val=""/>
      <w:lvlJc w:val="left"/>
    </w:lvl>
    <w:lvl w:ilvl="4" w:tplc="39B4F728">
      <w:numFmt w:val="decimal"/>
      <w:lvlText w:val=""/>
      <w:lvlJc w:val="left"/>
    </w:lvl>
    <w:lvl w:ilvl="5" w:tplc="7E608540">
      <w:numFmt w:val="decimal"/>
      <w:lvlText w:val=""/>
      <w:lvlJc w:val="left"/>
    </w:lvl>
    <w:lvl w:ilvl="6" w:tplc="7BB66D50">
      <w:numFmt w:val="decimal"/>
      <w:lvlText w:val=""/>
      <w:lvlJc w:val="left"/>
    </w:lvl>
    <w:lvl w:ilvl="7" w:tplc="2116A7E8">
      <w:numFmt w:val="decimal"/>
      <w:lvlText w:val=""/>
      <w:lvlJc w:val="left"/>
    </w:lvl>
    <w:lvl w:ilvl="8" w:tplc="18806376">
      <w:numFmt w:val="decimal"/>
      <w:lvlText w:val=""/>
      <w:lvlJc w:val="left"/>
    </w:lvl>
  </w:abstractNum>
  <w:abstractNum w:abstractNumId="947" w15:restartNumberingAfterBreak="0">
    <w:nsid w:val="64AA2CCA"/>
    <w:multiLevelType w:val="hybridMultilevel"/>
    <w:tmpl w:val="11B83880"/>
    <w:lvl w:ilvl="0" w:tplc="F5D20198">
      <w:start w:val="1"/>
      <w:numFmt w:val="bullet"/>
      <w:lvlText w:val=""/>
      <w:lvlJc w:val="left"/>
      <w:pPr>
        <w:ind w:left="720" w:hanging="360"/>
      </w:pPr>
      <w:rPr>
        <w:rFonts w:ascii="Symbol" w:hAnsi="Symbol" w:hint="default"/>
      </w:rPr>
    </w:lvl>
    <w:lvl w:ilvl="1" w:tplc="8FF0589E">
      <w:numFmt w:val="decimal"/>
      <w:lvlText w:val=""/>
      <w:lvlJc w:val="left"/>
    </w:lvl>
    <w:lvl w:ilvl="2" w:tplc="08C010FE">
      <w:numFmt w:val="decimal"/>
      <w:lvlText w:val=""/>
      <w:lvlJc w:val="left"/>
    </w:lvl>
    <w:lvl w:ilvl="3" w:tplc="63AAD2D4">
      <w:numFmt w:val="decimal"/>
      <w:lvlText w:val=""/>
      <w:lvlJc w:val="left"/>
    </w:lvl>
    <w:lvl w:ilvl="4" w:tplc="B66CEFAE">
      <w:numFmt w:val="decimal"/>
      <w:lvlText w:val=""/>
      <w:lvlJc w:val="left"/>
    </w:lvl>
    <w:lvl w:ilvl="5" w:tplc="64767CFE">
      <w:numFmt w:val="decimal"/>
      <w:lvlText w:val=""/>
      <w:lvlJc w:val="left"/>
    </w:lvl>
    <w:lvl w:ilvl="6" w:tplc="A9F0D778">
      <w:numFmt w:val="decimal"/>
      <w:lvlText w:val=""/>
      <w:lvlJc w:val="left"/>
    </w:lvl>
    <w:lvl w:ilvl="7" w:tplc="AAC00F0E">
      <w:numFmt w:val="decimal"/>
      <w:lvlText w:val=""/>
      <w:lvlJc w:val="left"/>
    </w:lvl>
    <w:lvl w:ilvl="8" w:tplc="E1249ED8">
      <w:numFmt w:val="decimal"/>
      <w:lvlText w:val=""/>
      <w:lvlJc w:val="left"/>
    </w:lvl>
  </w:abstractNum>
  <w:abstractNum w:abstractNumId="948" w15:restartNumberingAfterBreak="0">
    <w:nsid w:val="64AB5262"/>
    <w:multiLevelType w:val="hybridMultilevel"/>
    <w:tmpl w:val="A19431F0"/>
    <w:lvl w:ilvl="0" w:tplc="3AD2041C">
      <w:start w:val="1"/>
      <w:numFmt w:val="bullet"/>
      <w:lvlText w:val=""/>
      <w:lvlJc w:val="left"/>
      <w:pPr>
        <w:ind w:left="720" w:hanging="360"/>
      </w:pPr>
      <w:rPr>
        <w:rFonts w:ascii="Symbol" w:hAnsi="Symbol" w:hint="default"/>
      </w:rPr>
    </w:lvl>
    <w:lvl w:ilvl="1" w:tplc="1EE0C56C">
      <w:numFmt w:val="decimal"/>
      <w:lvlText w:val=""/>
      <w:lvlJc w:val="left"/>
    </w:lvl>
    <w:lvl w:ilvl="2" w:tplc="5378BCF4">
      <w:numFmt w:val="decimal"/>
      <w:lvlText w:val=""/>
      <w:lvlJc w:val="left"/>
    </w:lvl>
    <w:lvl w:ilvl="3" w:tplc="7D8CFACA">
      <w:numFmt w:val="decimal"/>
      <w:lvlText w:val=""/>
      <w:lvlJc w:val="left"/>
    </w:lvl>
    <w:lvl w:ilvl="4" w:tplc="D204716E">
      <w:numFmt w:val="decimal"/>
      <w:lvlText w:val=""/>
      <w:lvlJc w:val="left"/>
    </w:lvl>
    <w:lvl w:ilvl="5" w:tplc="0A04B900">
      <w:numFmt w:val="decimal"/>
      <w:lvlText w:val=""/>
      <w:lvlJc w:val="left"/>
    </w:lvl>
    <w:lvl w:ilvl="6" w:tplc="D8EA3EDE">
      <w:numFmt w:val="decimal"/>
      <w:lvlText w:val=""/>
      <w:lvlJc w:val="left"/>
    </w:lvl>
    <w:lvl w:ilvl="7" w:tplc="28EC692A">
      <w:numFmt w:val="decimal"/>
      <w:lvlText w:val=""/>
      <w:lvlJc w:val="left"/>
    </w:lvl>
    <w:lvl w:ilvl="8" w:tplc="E424B7C6">
      <w:numFmt w:val="decimal"/>
      <w:lvlText w:val=""/>
      <w:lvlJc w:val="left"/>
    </w:lvl>
  </w:abstractNum>
  <w:abstractNum w:abstractNumId="949" w15:restartNumberingAfterBreak="0">
    <w:nsid w:val="64AE41B3"/>
    <w:multiLevelType w:val="hybridMultilevel"/>
    <w:tmpl w:val="86BA09FC"/>
    <w:lvl w:ilvl="0" w:tplc="7B389968">
      <w:start w:val="1"/>
      <w:numFmt w:val="bullet"/>
      <w:lvlText w:val=""/>
      <w:lvlJc w:val="left"/>
      <w:pPr>
        <w:ind w:left="720" w:hanging="360"/>
      </w:pPr>
      <w:rPr>
        <w:rFonts w:ascii="Symbol" w:hAnsi="Symbol" w:hint="default"/>
      </w:rPr>
    </w:lvl>
    <w:lvl w:ilvl="1" w:tplc="D7960F24">
      <w:numFmt w:val="decimal"/>
      <w:lvlText w:val=""/>
      <w:lvlJc w:val="left"/>
    </w:lvl>
    <w:lvl w:ilvl="2" w:tplc="305A7A2A">
      <w:numFmt w:val="decimal"/>
      <w:lvlText w:val=""/>
      <w:lvlJc w:val="left"/>
    </w:lvl>
    <w:lvl w:ilvl="3" w:tplc="17F0B958">
      <w:numFmt w:val="decimal"/>
      <w:lvlText w:val=""/>
      <w:lvlJc w:val="left"/>
    </w:lvl>
    <w:lvl w:ilvl="4" w:tplc="F8D8013E">
      <w:numFmt w:val="decimal"/>
      <w:lvlText w:val=""/>
      <w:lvlJc w:val="left"/>
    </w:lvl>
    <w:lvl w:ilvl="5" w:tplc="1DC8EE04">
      <w:numFmt w:val="decimal"/>
      <w:lvlText w:val=""/>
      <w:lvlJc w:val="left"/>
    </w:lvl>
    <w:lvl w:ilvl="6" w:tplc="BA0E5DD0">
      <w:numFmt w:val="decimal"/>
      <w:lvlText w:val=""/>
      <w:lvlJc w:val="left"/>
    </w:lvl>
    <w:lvl w:ilvl="7" w:tplc="6A582982">
      <w:numFmt w:val="decimal"/>
      <w:lvlText w:val=""/>
      <w:lvlJc w:val="left"/>
    </w:lvl>
    <w:lvl w:ilvl="8" w:tplc="DD827324">
      <w:numFmt w:val="decimal"/>
      <w:lvlText w:val=""/>
      <w:lvlJc w:val="left"/>
    </w:lvl>
  </w:abstractNum>
  <w:abstractNum w:abstractNumId="950" w15:restartNumberingAfterBreak="0">
    <w:nsid w:val="64BC4749"/>
    <w:multiLevelType w:val="hybridMultilevel"/>
    <w:tmpl w:val="236A0F6E"/>
    <w:lvl w:ilvl="0" w:tplc="3EB0692E">
      <w:start w:val="1"/>
      <w:numFmt w:val="bullet"/>
      <w:lvlText w:val=""/>
      <w:lvlJc w:val="left"/>
      <w:pPr>
        <w:ind w:left="720" w:hanging="360"/>
      </w:pPr>
      <w:rPr>
        <w:rFonts w:ascii="Symbol" w:hAnsi="Symbol" w:hint="default"/>
      </w:rPr>
    </w:lvl>
    <w:lvl w:ilvl="1" w:tplc="A85C6060">
      <w:numFmt w:val="decimal"/>
      <w:lvlText w:val=""/>
      <w:lvlJc w:val="left"/>
    </w:lvl>
    <w:lvl w:ilvl="2" w:tplc="B9C68CD2">
      <w:numFmt w:val="decimal"/>
      <w:lvlText w:val=""/>
      <w:lvlJc w:val="left"/>
    </w:lvl>
    <w:lvl w:ilvl="3" w:tplc="C85E5514">
      <w:numFmt w:val="decimal"/>
      <w:lvlText w:val=""/>
      <w:lvlJc w:val="left"/>
    </w:lvl>
    <w:lvl w:ilvl="4" w:tplc="6BCE59F6">
      <w:numFmt w:val="decimal"/>
      <w:lvlText w:val=""/>
      <w:lvlJc w:val="left"/>
    </w:lvl>
    <w:lvl w:ilvl="5" w:tplc="9530E548">
      <w:numFmt w:val="decimal"/>
      <w:lvlText w:val=""/>
      <w:lvlJc w:val="left"/>
    </w:lvl>
    <w:lvl w:ilvl="6" w:tplc="9EE8ABA0">
      <w:numFmt w:val="decimal"/>
      <w:lvlText w:val=""/>
      <w:lvlJc w:val="left"/>
    </w:lvl>
    <w:lvl w:ilvl="7" w:tplc="8E9C6FFC">
      <w:numFmt w:val="decimal"/>
      <w:lvlText w:val=""/>
      <w:lvlJc w:val="left"/>
    </w:lvl>
    <w:lvl w:ilvl="8" w:tplc="71286C1E">
      <w:numFmt w:val="decimal"/>
      <w:lvlText w:val=""/>
      <w:lvlJc w:val="left"/>
    </w:lvl>
  </w:abstractNum>
  <w:abstractNum w:abstractNumId="951" w15:restartNumberingAfterBreak="0">
    <w:nsid w:val="64D87B32"/>
    <w:multiLevelType w:val="hybridMultilevel"/>
    <w:tmpl w:val="DEB41B98"/>
    <w:lvl w:ilvl="0" w:tplc="F5AC5032">
      <w:start w:val="1"/>
      <w:numFmt w:val="bullet"/>
      <w:lvlText w:val=""/>
      <w:lvlJc w:val="left"/>
      <w:pPr>
        <w:ind w:left="720" w:hanging="360"/>
      </w:pPr>
      <w:rPr>
        <w:rFonts w:ascii="Symbol" w:hAnsi="Symbol" w:hint="default"/>
      </w:rPr>
    </w:lvl>
    <w:lvl w:ilvl="1" w:tplc="28DCE03E">
      <w:numFmt w:val="decimal"/>
      <w:lvlText w:val=""/>
      <w:lvlJc w:val="left"/>
    </w:lvl>
    <w:lvl w:ilvl="2" w:tplc="66AC52FA">
      <w:numFmt w:val="decimal"/>
      <w:lvlText w:val=""/>
      <w:lvlJc w:val="left"/>
    </w:lvl>
    <w:lvl w:ilvl="3" w:tplc="CBD89710">
      <w:numFmt w:val="decimal"/>
      <w:lvlText w:val=""/>
      <w:lvlJc w:val="left"/>
    </w:lvl>
    <w:lvl w:ilvl="4" w:tplc="E258E586">
      <w:numFmt w:val="decimal"/>
      <w:lvlText w:val=""/>
      <w:lvlJc w:val="left"/>
    </w:lvl>
    <w:lvl w:ilvl="5" w:tplc="0568C2A0">
      <w:numFmt w:val="decimal"/>
      <w:lvlText w:val=""/>
      <w:lvlJc w:val="left"/>
    </w:lvl>
    <w:lvl w:ilvl="6" w:tplc="EDC672B2">
      <w:numFmt w:val="decimal"/>
      <w:lvlText w:val=""/>
      <w:lvlJc w:val="left"/>
    </w:lvl>
    <w:lvl w:ilvl="7" w:tplc="BA7CB932">
      <w:numFmt w:val="decimal"/>
      <w:lvlText w:val=""/>
      <w:lvlJc w:val="left"/>
    </w:lvl>
    <w:lvl w:ilvl="8" w:tplc="68EA4400">
      <w:numFmt w:val="decimal"/>
      <w:lvlText w:val=""/>
      <w:lvlJc w:val="left"/>
    </w:lvl>
  </w:abstractNum>
  <w:abstractNum w:abstractNumId="952" w15:restartNumberingAfterBreak="0">
    <w:nsid w:val="65041E2B"/>
    <w:multiLevelType w:val="hybridMultilevel"/>
    <w:tmpl w:val="03F2DE98"/>
    <w:lvl w:ilvl="0" w:tplc="217036A6">
      <w:start w:val="1"/>
      <w:numFmt w:val="bullet"/>
      <w:lvlText w:val=""/>
      <w:lvlJc w:val="left"/>
      <w:pPr>
        <w:ind w:left="720" w:hanging="360"/>
      </w:pPr>
      <w:rPr>
        <w:rFonts w:ascii="Symbol" w:hAnsi="Symbol" w:hint="default"/>
      </w:rPr>
    </w:lvl>
    <w:lvl w:ilvl="1" w:tplc="F8629222">
      <w:numFmt w:val="decimal"/>
      <w:lvlText w:val=""/>
      <w:lvlJc w:val="left"/>
    </w:lvl>
    <w:lvl w:ilvl="2" w:tplc="CC903834">
      <w:numFmt w:val="decimal"/>
      <w:lvlText w:val=""/>
      <w:lvlJc w:val="left"/>
    </w:lvl>
    <w:lvl w:ilvl="3" w:tplc="94DE9A7E">
      <w:numFmt w:val="decimal"/>
      <w:lvlText w:val=""/>
      <w:lvlJc w:val="left"/>
    </w:lvl>
    <w:lvl w:ilvl="4" w:tplc="5832DB48">
      <w:numFmt w:val="decimal"/>
      <w:lvlText w:val=""/>
      <w:lvlJc w:val="left"/>
    </w:lvl>
    <w:lvl w:ilvl="5" w:tplc="11D69C02">
      <w:numFmt w:val="decimal"/>
      <w:lvlText w:val=""/>
      <w:lvlJc w:val="left"/>
    </w:lvl>
    <w:lvl w:ilvl="6" w:tplc="9DC893FE">
      <w:numFmt w:val="decimal"/>
      <w:lvlText w:val=""/>
      <w:lvlJc w:val="left"/>
    </w:lvl>
    <w:lvl w:ilvl="7" w:tplc="0008AE42">
      <w:numFmt w:val="decimal"/>
      <w:lvlText w:val=""/>
      <w:lvlJc w:val="left"/>
    </w:lvl>
    <w:lvl w:ilvl="8" w:tplc="9516E360">
      <w:numFmt w:val="decimal"/>
      <w:lvlText w:val=""/>
      <w:lvlJc w:val="left"/>
    </w:lvl>
  </w:abstractNum>
  <w:abstractNum w:abstractNumId="953" w15:restartNumberingAfterBreak="0">
    <w:nsid w:val="65263EDE"/>
    <w:multiLevelType w:val="hybridMultilevel"/>
    <w:tmpl w:val="FF32DA42"/>
    <w:lvl w:ilvl="0" w:tplc="945AC180">
      <w:start w:val="1"/>
      <w:numFmt w:val="bullet"/>
      <w:lvlText w:val=""/>
      <w:lvlJc w:val="left"/>
      <w:pPr>
        <w:ind w:left="720" w:hanging="360"/>
      </w:pPr>
      <w:rPr>
        <w:rFonts w:ascii="Symbol" w:hAnsi="Symbol" w:hint="default"/>
      </w:rPr>
    </w:lvl>
    <w:lvl w:ilvl="1" w:tplc="CE4E3C90">
      <w:numFmt w:val="decimal"/>
      <w:lvlText w:val=""/>
      <w:lvlJc w:val="left"/>
    </w:lvl>
    <w:lvl w:ilvl="2" w:tplc="AC2A611C">
      <w:numFmt w:val="decimal"/>
      <w:lvlText w:val=""/>
      <w:lvlJc w:val="left"/>
    </w:lvl>
    <w:lvl w:ilvl="3" w:tplc="0AC43CCA">
      <w:numFmt w:val="decimal"/>
      <w:lvlText w:val=""/>
      <w:lvlJc w:val="left"/>
    </w:lvl>
    <w:lvl w:ilvl="4" w:tplc="9112FA08">
      <w:numFmt w:val="decimal"/>
      <w:lvlText w:val=""/>
      <w:lvlJc w:val="left"/>
    </w:lvl>
    <w:lvl w:ilvl="5" w:tplc="C75CA3F2">
      <w:numFmt w:val="decimal"/>
      <w:lvlText w:val=""/>
      <w:lvlJc w:val="left"/>
    </w:lvl>
    <w:lvl w:ilvl="6" w:tplc="21D09E90">
      <w:numFmt w:val="decimal"/>
      <w:lvlText w:val=""/>
      <w:lvlJc w:val="left"/>
    </w:lvl>
    <w:lvl w:ilvl="7" w:tplc="9A461DA6">
      <w:numFmt w:val="decimal"/>
      <w:lvlText w:val=""/>
      <w:lvlJc w:val="left"/>
    </w:lvl>
    <w:lvl w:ilvl="8" w:tplc="C9880E9A">
      <w:numFmt w:val="decimal"/>
      <w:lvlText w:val=""/>
      <w:lvlJc w:val="left"/>
    </w:lvl>
  </w:abstractNum>
  <w:abstractNum w:abstractNumId="954" w15:restartNumberingAfterBreak="0">
    <w:nsid w:val="652D3009"/>
    <w:multiLevelType w:val="hybridMultilevel"/>
    <w:tmpl w:val="EE90D3B0"/>
    <w:lvl w:ilvl="0" w:tplc="B55E5D48">
      <w:start w:val="1"/>
      <w:numFmt w:val="bullet"/>
      <w:lvlText w:val=""/>
      <w:lvlJc w:val="left"/>
      <w:pPr>
        <w:ind w:left="720" w:hanging="360"/>
      </w:pPr>
      <w:rPr>
        <w:rFonts w:ascii="Symbol" w:hAnsi="Symbol" w:hint="default"/>
      </w:rPr>
    </w:lvl>
    <w:lvl w:ilvl="1" w:tplc="187A5204">
      <w:numFmt w:val="decimal"/>
      <w:lvlText w:val=""/>
      <w:lvlJc w:val="left"/>
    </w:lvl>
    <w:lvl w:ilvl="2" w:tplc="F1BC789E">
      <w:numFmt w:val="decimal"/>
      <w:lvlText w:val=""/>
      <w:lvlJc w:val="left"/>
    </w:lvl>
    <w:lvl w:ilvl="3" w:tplc="B27E17C4">
      <w:numFmt w:val="decimal"/>
      <w:lvlText w:val=""/>
      <w:lvlJc w:val="left"/>
    </w:lvl>
    <w:lvl w:ilvl="4" w:tplc="0EF672C8">
      <w:numFmt w:val="decimal"/>
      <w:lvlText w:val=""/>
      <w:lvlJc w:val="left"/>
    </w:lvl>
    <w:lvl w:ilvl="5" w:tplc="DE68F2D6">
      <w:numFmt w:val="decimal"/>
      <w:lvlText w:val=""/>
      <w:lvlJc w:val="left"/>
    </w:lvl>
    <w:lvl w:ilvl="6" w:tplc="7BC6CE24">
      <w:numFmt w:val="decimal"/>
      <w:lvlText w:val=""/>
      <w:lvlJc w:val="left"/>
    </w:lvl>
    <w:lvl w:ilvl="7" w:tplc="C8FE59EE">
      <w:numFmt w:val="decimal"/>
      <w:lvlText w:val=""/>
      <w:lvlJc w:val="left"/>
    </w:lvl>
    <w:lvl w:ilvl="8" w:tplc="8C52B2DA">
      <w:numFmt w:val="decimal"/>
      <w:lvlText w:val=""/>
      <w:lvlJc w:val="left"/>
    </w:lvl>
  </w:abstractNum>
  <w:abstractNum w:abstractNumId="955" w15:restartNumberingAfterBreak="0">
    <w:nsid w:val="6550753A"/>
    <w:multiLevelType w:val="hybridMultilevel"/>
    <w:tmpl w:val="2D045086"/>
    <w:lvl w:ilvl="0" w:tplc="7C88FC9C">
      <w:start w:val="1"/>
      <w:numFmt w:val="bullet"/>
      <w:lvlText w:val=""/>
      <w:lvlJc w:val="left"/>
      <w:pPr>
        <w:ind w:left="720" w:hanging="360"/>
      </w:pPr>
      <w:rPr>
        <w:rFonts w:ascii="Symbol" w:hAnsi="Symbol" w:hint="default"/>
      </w:rPr>
    </w:lvl>
    <w:lvl w:ilvl="1" w:tplc="90C0B830">
      <w:numFmt w:val="decimal"/>
      <w:lvlText w:val=""/>
      <w:lvlJc w:val="left"/>
    </w:lvl>
    <w:lvl w:ilvl="2" w:tplc="9CB8CC5E">
      <w:numFmt w:val="decimal"/>
      <w:lvlText w:val=""/>
      <w:lvlJc w:val="left"/>
    </w:lvl>
    <w:lvl w:ilvl="3" w:tplc="CDE681D6">
      <w:numFmt w:val="decimal"/>
      <w:lvlText w:val=""/>
      <w:lvlJc w:val="left"/>
    </w:lvl>
    <w:lvl w:ilvl="4" w:tplc="72721764">
      <w:numFmt w:val="decimal"/>
      <w:lvlText w:val=""/>
      <w:lvlJc w:val="left"/>
    </w:lvl>
    <w:lvl w:ilvl="5" w:tplc="9EA825A6">
      <w:numFmt w:val="decimal"/>
      <w:lvlText w:val=""/>
      <w:lvlJc w:val="left"/>
    </w:lvl>
    <w:lvl w:ilvl="6" w:tplc="B46E7EA8">
      <w:numFmt w:val="decimal"/>
      <w:lvlText w:val=""/>
      <w:lvlJc w:val="left"/>
    </w:lvl>
    <w:lvl w:ilvl="7" w:tplc="73D8ACA4">
      <w:numFmt w:val="decimal"/>
      <w:lvlText w:val=""/>
      <w:lvlJc w:val="left"/>
    </w:lvl>
    <w:lvl w:ilvl="8" w:tplc="B68462B8">
      <w:numFmt w:val="decimal"/>
      <w:lvlText w:val=""/>
      <w:lvlJc w:val="left"/>
    </w:lvl>
  </w:abstractNum>
  <w:abstractNum w:abstractNumId="956" w15:restartNumberingAfterBreak="0">
    <w:nsid w:val="655D7DD2"/>
    <w:multiLevelType w:val="hybridMultilevel"/>
    <w:tmpl w:val="6F0EFD3E"/>
    <w:lvl w:ilvl="0" w:tplc="E8D864C8">
      <w:start w:val="1"/>
      <w:numFmt w:val="bullet"/>
      <w:lvlText w:val=""/>
      <w:lvlJc w:val="left"/>
      <w:pPr>
        <w:ind w:left="720" w:hanging="360"/>
      </w:pPr>
      <w:rPr>
        <w:rFonts w:ascii="Symbol" w:hAnsi="Symbol" w:hint="default"/>
      </w:rPr>
    </w:lvl>
    <w:lvl w:ilvl="1" w:tplc="AE381608">
      <w:numFmt w:val="decimal"/>
      <w:lvlText w:val=""/>
      <w:lvlJc w:val="left"/>
    </w:lvl>
    <w:lvl w:ilvl="2" w:tplc="A71A0832">
      <w:numFmt w:val="decimal"/>
      <w:lvlText w:val=""/>
      <w:lvlJc w:val="left"/>
    </w:lvl>
    <w:lvl w:ilvl="3" w:tplc="B4D863AE">
      <w:numFmt w:val="decimal"/>
      <w:lvlText w:val=""/>
      <w:lvlJc w:val="left"/>
    </w:lvl>
    <w:lvl w:ilvl="4" w:tplc="9E103A26">
      <w:numFmt w:val="decimal"/>
      <w:lvlText w:val=""/>
      <w:lvlJc w:val="left"/>
    </w:lvl>
    <w:lvl w:ilvl="5" w:tplc="526EDE6A">
      <w:numFmt w:val="decimal"/>
      <w:lvlText w:val=""/>
      <w:lvlJc w:val="left"/>
    </w:lvl>
    <w:lvl w:ilvl="6" w:tplc="3CFE2C70">
      <w:numFmt w:val="decimal"/>
      <w:lvlText w:val=""/>
      <w:lvlJc w:val="left"/>
    </w:lvl>
    <w:lvl w:ilvl="7" w:tplc="3C0ACC7E">
      <w:numFmt w:val="decimal"/>
      <w:lvlText w:val=""/>
      <w:lvlJc w:val="left"/>
    </w:lvl>
    <w:lvl w:ilvl="8" w:tplc="BD70F220">
      <w:numFmt w:val="decimal"/>
      <w:lvlText w:val=""/>
      <w:lvlJc w:val="left"/>
    </w:lvl>
  </w:abstractNum>
  <w:abstractNum w:abstractNumId="957" w15:restartNumberingAfterBreak="0">
    <w:nsid w:val="65650D60"/>
    <w:multiLevelType w:val="hybridMultilevel"/>
    <w:tmpl w:val="76B0B02A"/>
    <w:lvl w:ilvl="0" w:tplc="B7222250">
      <w:start w:val="1"/>
      <w:numFmt w:val="bullet"/>
      <w:lvlText w:val=""/>
      <w:lvlJc w:val="left"/>
      <w:pPr>
        <w:ind w:left="720" w:hanging="360"/>
      </w:pPr>
      <w:rPr>
        <w:rFonts w:ascii="Symbol" w:hAnsi="Symbol" w:hint="default"/>
      </w:rPr>
    </w:lvl>
    <w:lvl w:ilvl="1" w:tplc="A052E008">
      <w:numFmt w:val="decimal"/>
      <w:lvlText w:val=""/>
      <w:lvlJc w:val="left"/>
    </w:lvl>
    <w:lvl w:ilvl="2" w:tplc="2B28157C">
      <w:numFmt w:val="decimal"/>
      <w:lvlText w:val=""/>
      <w:lvlJc w:val="left"/>
    </w:lvl>
    <w:lvl w:ilvl="3" w:tplc="8EDE571E">
      <w:numFmt w:val="decimal"/>
      <w:lvlText w:val=""/>
      <w:lvlJc w:val="left"/>
    </w:lvl>
    <w:lvl w:ilvl="4" w:tplc="8FCC25AE">
      <w:numFmt w:val="decimal"/>
      <w:lvlText w:val=""/>
      <w:lvlJc w:val="left"/>
    </w:lvl>
    <w:lvl w:ilvl="5" w:tplc="E97CF198">
      <w:numFmt w:val="decimal"/>
      <w:lvlText w:val=""/>
      <w:lvlJc w:val="left"/>
    </w:lvl>
    <w:lvl w:ilvl="6" w:tplc="11D0A594">
      <w:numFmt w:val="decimal"/>
      <w:lvlText w:val=""/>
      <w:lvlJc w:val="left"/>
    </w:lvl>
    <w:lvl w:ilvl="7" w:tplc="C1186554">
      <w:numFmt w:val="decimal"/>
      <w:lvlText w:val=""/>
      <w:lvlJc w:val="left"/>
    </w:lvl>
    <w:lvl w:ilvl="8" w:tplc="CD802376">
      <w:numFmt w:val="decimal"/>
      <w:lvlText w:val=""/>
      <w:lvlJc w:val="left"/>
    </w:lvl>
  </w:abstractNum>
  <w:abstractNum w:abstractNumId="958" w15:restartNumberingAfterBreak="0">
    <w:nsid w:val="65751045"/>
    <w:multiLevelType w:val="hybridMultilevel"/>
    <w:tmpl w:val="C59A2F94"/>
    <w:lvl w:ilvl="0" w:tplc="D1A6673C">
      <w:start w:val="1"/>
      <w:numFmt w:val="bullet"/>
      <w:lvlText w:val=""/>
      <w:lvlJc w:val="left"/>
      <w:pPr>
        <w:ind w:left="720" w:hanging="360"/>
      </w:pPr>
      <w:rPr>
        <w:rFonts w:ascii="Symbol" w:hAnsi="Symbol" w:hint="default"/>
      </w:rPr>
    </w:lvl>
    <w:lvl w:ilvl="1" w:tplc="E5FA2A4E">
      <w:numFmt w:val="decimal"/>
      <w:lvlText w:val=""/>
      <w:lvlJc w:val="left"/>
    </w:lvl>
    <w:lvl w:ilvl="2" w:tplc="81BEDC84">
      <w:numFmt w:val="decimal"/>
      <w:lvlText w:val=""/>
      <w:lvlJc w:val="left"/>
    </w:lvl>
    <w:lvl w:ilvl="3" w:tplc="33141102">
      <w:numFmt w:val="decimal"/>
      <w:lvlText w:val=""/>
      <w:lvlJc w:val="left"/>
    </w:lvl>
    <w:lvl w:ilvl="4" w:tplc="DC623F32">
      <w:numFmt w:val="decimal"/>
      <w:lvlText w:val=""/>
      <w:lvlJc w:val="left"/>
    </w:lvl>
    <w:lvl w:ilvl="5" w:tplc="CAEC72A0">
      <w:numFmt w:val="decimal"/>
      <w:lvlText w:val=""/>
      <w:lvlJc w:val="left"/>
    </w:lvl>
    <w:lvl w:ilvl="6" w:tplc="E8D274B6">
      <w:numFmt w:val="decimal"/>
      <w:lvlText w:val=""/>
      <w:lvlJc w:val="left"/>
    </w:lvl>
    <w:lvl w:ilvl="7" w:tplc="C736E4D8">
      <w:numFmt w:val="decimal"/>
      <w:lvlText w:val=""/>
      <w:lvlJc w:val="left"/>
    </w:lvl>
    <w:lvl w:ilvl="8" w:tplc="D8642704">
      <w:numFmt w:val="decimal"/>
      <w:lvlText w:val=""/>
      <w:lvlJc w:val="left"/>
    </w:lvl>
  </w:abstractNum>
  <w:abstractNum w:abstractNumId="959" w15:restartNumberingAfterBreak="0">
    <w:nsid w:val="6585652C"/>
    <w:multiLevelType w:val="hybridMultilevel"/>
    <w:tmpl w:val="4CB2C58C"/>
    <w:lvl w:ilvl="0" w:tplc="06F05EA2">
      <w:start w:val="1"/>
      <w:numFmt w:val="bullet"/>
      <w:lvlText w:val=""/>
      <w:lvlJc w:val="left"/>
      <w:pPr>
        <w:ind w:left="720" w:hanging="360"/>
      </w:pPr>
      <w:rPr>
        <w:rFonts w:ascii="Symbol" w:hAnsi="Symbol" w:hint="default"/>
      </w:rPr>
    </w:lvl>
    <w:lvl w:ilvl="1" w:tplc="E4263C08">
      <w:numFmt w:val="decimal"/>
      <w:lvlText w:val=""/>
      <w:lvlJc w:val="left"/>
    </w:lvl>
    <w:lvl w:ilvl="2" w:tplc="8F1E08E2">
      <w:numFmt w:val="decimal"/>
      <w:lvlText w:val=""/>
      <w:lvlJc w:val="left"/>
    </w:lvl>
    <w:lvl w:ilvl="3" w:tplc="137CBD5C">
      <w:numFmt w:val="decimal"/>
      <w:lvlText w:val=""/>
      <w:lvlJc w:val="left"/>
    </w:lvl>
    <w:lvl w:ilvl="4" w:tplc="00540308">
      <w:numFmt w:val="decimal"/>
      <w:lvlText w:val=""/>
      <w:lvlJc w:val="left"/>
    </w:lvl>
    <w:lvl w:ilvl="5" w:tplc="C72685C4">
      <w:numFmt w:val="decimal"/>
      <w:lvlText w:val=""/>
      <w:lvlJc w:val="left"/>
    </w:lvl>
    <w:lvl w:ilvl="6" w:tplc="17881754">
      <w:numFmt w:val="decimal"/>
      <w:lvlText w:val=""/>
      <w:lvlJc w:val="left"/>
    </w:lvl>
    <w:lvl w:ilvl="7" w:tplc="64127718">
      <w:numFmt w:val="decimal"/>
      <w:lvlText w:val=""/>
      <w:lvlJc w:val="left"/>
    </w:lvl>
    <w:lvl w:ilvl="8" w:tplc="46E42C4C">
      <w:numFmt w:val="decimal"/>
      <w:lvlText w:val=""/>
      <w:lvlJc w:val="left"/>
    </w:lvl>
  </w:abstractNum>
  <w:abstractNum w:abstractNumId="960" w15:restartNumberingAfterBreak="0">
    <w:nsid w:val="65B77BDB"/>
    <w:multiLevelType w:val="hybridMultilevel"/>
    <w:tmpl w:val="85BC0EDE"/>
    <w:lvl w:ilvl="0" w:tplc="A7F4EF5E">
      <w:start w:val="1"/>
      <w:numFmt w:val="bullet"/>
      <w:lvlText w:val=""/>
      <w:lvlJc w:val="left"/>
      <w:pPr>
        <w:ind w:left="720" w:hanging="360"/>
      </w:pPr>
      <w:rPr>
        <w:rFonts w:ascii="Symbol" w:hAnsi="Symbol" w:hint="default"/>
      </w:rPr>
    </w:lvl>
    <w:lvl w:ilvl="1" w:tplc="A21A3BB4">
      <w:numFmt w:val="decimal"/>
      <w:lvlText w:val=""/>
      <w:lvlJc w:val="left"/>
    </w:lvl>
    <w:lvl w:ilvl="2" w:tplc="FBA0B210">
      <w:numFmt w:val="decimal"/>
      <w:lvlText w:val=""/>
      <w:lvlJc w:val="left"/>
    </w:lvl>
    <w:lvl w:ilvl="3" w:tplc="821284F2">
      <w:numFmt w:val="decimal"/>
      <w:lvlText w:val=""/>
      <w:lvlJc w:val="left"/>
    </w:lvl>
    <w:lvl w:ilvl="4" w:tplc="E01E9918">
      <w:numFmt w:val="decimal"/>
      <w:lvlText w:val=""/>
      <w:lvlJc w:val="left"/>
    </w:lvl>
    <w:lvl w:ilvl="5" w:tplc="D554A4FE">
      <w:numFmt w:val="decimal"/>
      <w:lvlText w:val=""/>
      <w:lvlJc w:val="left"/>
    </w:lvl>
    <w:lvl w:ilvl="6" w:tplc="48F43EAC">
      <w:numFmt w:val="decimal"/>
      <w:lvlText w:val=""/>
      <w:lvlJc w:val="left"/>
    </w:lvl>
    <w:lvl w:ilvl="7" w:tplc="9BACACA8">
      <w:numFmt w:val="decimal"/>
      <w:lvlText w:val=""/>
      <w:lvlJc w:val="left"/>
    </w:lvl>
    <w:lvl w:ilvl="8" w:tplc="3FA87238">
      <w:numFmt w:val="decimal"/>
      <w:lvlText w:val=""/>
      <w:lvlJc w:val="left"/>
    </w:lvl>
  </w:abstractNum>
  <w:abstractNum w:abstractNumId="961" w15:restartNumberingAfterBreak="0">
    <w:nsid w:val="65BF1A4D"/>
    <w:multiLevelType w:val="hybridMultilevel"/>
    <w:tmpl w:val="80BC1AEE"/>
    <w:lvl w:ilvl="0" w:tplc="8E8650EC">
      <w:start w:val="1"/>
      <w:numFmt w:val="bullet"/>
      <w:lvlText w:val=""/>
      <w:lvlJc w:val="left"/>
      <w:pPr>
        <w:ind w:left="720" w:hanging="360"/>
      </w:pPr>
      <w:rPr>
        <w:rFonts w:ascii="Symbol" w:hAnsi="Symbol" w:hint="default"/>
      </w:rPr>
    </w:lvl>
    <w:lvl w:ilvl="1" w:tplc="FFF89162">
      <w:numFmt w:val="decimal"/>
      <w:lvlText w:val=""/>
      <w:lvlJc w:val="left"/>
    </w:lvl>
    <w:lvl w:ilvl="2" w:tplc="C2C22F4E">
      <w:numFmt w:val="decimal"/>
      <w:lvlText w:val=""/>
      <w:lvlJc w:val="left"/>
    </w:lvl>
    <w:lvl w:ilvl="3" w:tplc="4B8000CE">
      <w:numFmt w:val="decimal"/>
      <w:lvlText w:val=""/>
      <w:lvlJc w:val="left"/>
    </w:lvl>
    <w:lvl w:ilvl="4" w:tplc="5ADACFF8">
      <w:numFmt w:val="decimal"/>
      <w:lvlText w:val=""/>
      <w:lvlJc w:val="left"/>
    </w:lvl>
    <w:lvl w:ilvl="5" w:tplc="F822FB90">
      <w:numFmt w:val="decimal"/>
      <w:lvlText w:val=""/>
      <w:lvlJc w:val="left"/>
    </w:lvl>
    <w:lvl w:ilvl="6" w:tplc="519069EA">
      <w:numFmt w:val="decimal"/>
      <w:lvlText w:val=""/>
      <w:lvlJc w:val="left"/>
    </w:lvl>
    <w:lvl w:ilvl="7" w:tplc="97FC116A">
      <w:numFmt w:val="decimal"/>
      <w:lvlText w:val=""/>
      <w:lvlJc w:val="left"/>
    </w:lvl>
    <w:lvl w:ilvl="8" w:tplc="79DC8E1A">
      <w:numFmt w:val="decimal"/>
      <w:lvlText w:val=""/>
      <w:lvlJc w:val="left"/>
    </w:lvl>
  </w:abstractNum>
  <w:abstractNum w:abstractNumId="962" w15:restartNumberingAfterBreak="0">
    <w:nsid w:val="65C45FCC"/>
    <w:multiLevelType w:val="hybridMultilevel"/>
    <w:tmpl w:val="BC025044"/>
    <w:lvl w:ilvl="0" w:tplc="A09E33F8">
      <w:start w:val="1"/>
      <w:numFmt w:val="bullet"/>
      <w:lvlText w:val=""/>
      <w:lvlJc w:val="left"/>
      <w:pPr>
        <w:ind w:left="720" w:hanging="360"/>
      </w:pPr>
      <w:rPr>
        <w:rFonts w:ascii="Symbol" w:hAnsi="Symbol" w:hint="default"/>
      </w:rPr>
    </w:lvl>
    <w:lvl w:ilvl="1" w:tplc="29FAE15C">
      <w:numFmt w:val="decimal"/>
      <w:lvlText w:val=""/>
      <w:lvlJc w:val="left"/>
    </w:lvl>
    <w:lvl w:ilvl="2" w:tplc="3A8EBE46">
      <w:numFmt w:val="decimal"/>
      <w:lvlText w:val=""/>
      <w:lvlJc w:val="left"/>
    </w:lvl>
    <w:lvl w:ilvl="3" w:tplc="1450C0DA">
      <w:numFmt w:val="decimal"/>
      <w:lvlText w:val=""/>
      <w:lvlJc w:val="left"/>
    </w:lvl>
    <w:lvl w:ilvl="4" w:tplc="EF2049A8">
      <w:numFmt w:val="decimal"/>
      <w:lvlText w:val=""/>
      <w:lvlJc w:val="left"/>
    </w:lvl>
    <w:lvl w:ilvl="5" w:tplc="0DE209F6">
      <w:numFmt w:val="decimal"/>
      <w:lvlText w:val=""/>
      <w:lvlJc w:val="left"/>
    </w:lvl>
    <w:lvl w:ilvl="6" w:tplc="90FA6866">
      <w:numFmt w:val="decimal"/>
      <w:lvlText w:val=""/>
      <w:lvlJc w:val="left"/>
    </w:lvl>
    <w:lvl w:ilvl="7" w:tplc="AC7EC8DA">
      <w:numFmt w:val="decimal"/>
      <w:lvlText w:val=""/>
      <w:lvlJc w:val="left"/>
    </w:lvl>
    <w:lvl w:ilvl="8" w:tplc="FF1C870A">
      <w:numFmt w:val="decimal"/>
      <w:lvlText w:val=""/>
      <w:lvlJc w:val="left"/>
    </w:lvl>
  </w:abstractNum>
  <w:abstractNum w:abstractNumId="963" w15:restartNumberingAfterBreak="0">
    <w:nsid w:val="65C5110D"/>
    <w:multiLevelType w:val="hybridMultilevel"/>
    <w:tmpl w:val="96C46DA4"/>
    <w:lvl w:ilvl="0" w:tplc="B13280D2">
      <w:start w:val="1"/>
      <w:numFmt w:val="bullet"/>
      <w:lvlText w:val=""/>
      <w:lvlJc w:val="left"/>
      <w:pPr>
        <w:ind w:left="720" w:hanging="360"/>
      </w:pPr>
      <w:rPr>
        <w:rFonts w:ascii="Symbol" w:hAnsi="Symbol" w:hint="default"/>
      </w:rPr>
    </w:lvl>
    <w:lvl w:ilvl="1" w:tplc="5D9C8438">
      <w:numFmt w:val="decimal"/>
      <w:lvlText w:val=""/>
      <w:lvlJc w:val="left"/>
    </w:lvl>
    <w:lvl w:ilvl="2" w:tplc="C826068E">
      <w:numFmt w:val="decimal"/>
      <w:lvlText w:val=""/>
      <w:lvlJc w:val="left"/>
    </w:lvl>
    <w:lvl w:ilvl="3" w:tplc="C7DE1562">
      <w:numFmt w:val="decimal"/>
      <w:lvlText w:val=""/>
      <w:lvlJc w:val="left"/>
    </w:lvl>
    <w:lvl w:ilvl="4" w:tplc="AF76D536">
      <w:numFmt w:val="decimal"/>
      <w:lvlText w:val=""/>
      <w:lvlJc w:val="left"/>
    </w:lvl>
    <w:lvl w:ilvl="5" w:tplc="34CCBCE6">
      <w:numFmt w:val="decimal"/>
      <w:lvlText w:val=""/>
      <w:lvlJc w:val="left"/>
    </w:lvl>
    <w:lvl w:ilvl="6" w:tplc="5628BA0C">
      <w:numFmt w:val="decimal"/>
      <w:lvlText w:val=""/>
      <w:lvlJc w:val="left"/>
    </w:lvl>
    <w:lvl w:ilvl="7" w:tplc="055E4D2E">
      <w:numFmt w:val="decimal"/>
      <w:lvlText w:val=""/>
      <w:lvlJc w:val="left"/>
    </w:lvl>
    <w:lvl w:ilvl="8" w:tplc="365CC24C">
      <w:numFmt w:val="decimal"/>
      <w:lvlText w:val=""/>
      <w:lvlJc w:val="left"/>
    </w:lvl>
  </w:abstractNum>
  <w:abstractNum w:abstractNumId="964" w15:restartNumberingAfterBreak="0">
    <w:nsid w:val="65CA5108"/>
    <w:multiLevelType w:val="hybridMultilevel"/>
    <w:tmpl w:val="ECAADFD4"/>
    <w:lvl w:ilvl="0" w:tplc="4ADAE6C4">
      <w:start w:val="1"/>
      <w:numFmt w:val="bullet"/>
      <w:lvlText w:val=""/>
      <w:lvlJc w:val="left"/>
      <w:pPr>
        <w:ind w:left="720" w:hanging="360"/>
      </w:pPr>
      <w:rPr>
        <w:rFonts w:ascii="Symbol" w:hAnsi="Symbol" w:hint="default"/>
      </w:rPr>
    </w:lvl>
    <w:lvl w:ilvl="1" w:tplc="B064A290">
      <w:numFmt w:val="decimal"/>
      <w:lvlText w:val=""/>
      <w:lvlJc w:val="left"/>
    </w:lvl>
    <w:lvl w:ilvl="2" w:tplc="E61416B8">
      <w:numFmt w:val="decimal"/>
      <w:lvlText w:val=""/>
      <w:lvlJc w:val="left"/>
    </w:lvl>
    <w:lvl w:ilvl="3" w:tplc="E37EE17C">
      <w:numFmt w:val="decimal"/>
      <w:lvlText w:val=""/>
      <w:lvlJc w:val="left"/>
    </w:lvl>
    <w:lvl w:ilvl="4" w:tplc="E58CE550">
      <w:numFmt w:val="decimal"/>
      <w:lvlText w:val=""/>
      <w:lvlJc w:val="left"/>
    </w:lvl>
    <w:lvl w:ilvl="5" w:tplc="CE5A00DE">
      <w:numFmt w:val="decimal"/>
      <w:lvlText w:val=""/>
      <w:lvlJc w:val="left"/>
    </w:lvl>
    <w:lvl w:ilvl="6" w:tplc="88D84746">
      <w:numFmt w:val="decimal"/>
      <w:lvlText w:val=""/>
      <w:lvlJc w:val="left"/>
    </w:lvl>
    <w:lvl w:ilvl="7" w:tplc="9A48573A">
      <w:numFmt w:val="decimal"/>
      <w:lvlText w:val=""/>
      <w:lvlJc w:val="left"/>
    </w:lvl>
    <w:lvl w:ilvl="8" w:tplc="9D7C4FA6">
      <w:numFmt w:val="decimal"/>
      <w:lvlText w:val=""/>
      <w:lvlJc w:val="left"/>
    </w:lvl>
  </w:abstractNum>
  <w:abstractNum w:abstractNumId="965" w15:restartNumberingAfterBreak="0">
    <w:nsid w:val="65DB5241"/>
    <w:multiLevelType w:val="hybridMultilevel"/>
    <w:tmpl w:val="A330D908"/>
    <w:lvl w:ilvl="0" w:tplc="A2D4270A">
      <w:start w:val="1"/>
      <w:numFmt w:val="bullet"/>
      <w:lvlText w:val=""/>
      <w:lvlJc w:val="left"/>
      <w:pPr>
        <w:ind w:left="720" w:hanging="360"/>
      </w:pPr>
      <w:rPr>
        <w:rFonts w:ascii="Symbol" w:hAnsi="Symbol" w:hint="default"/>
      </w:rPr>
    </w:lvl>
    <w:lvl w:ilvl="1" w:tplc="148CA79E">
      <w:numFmt w:val="decimal"/>
      <w:lvlText w:val=""/>
      <w:lvlJc w:val="left"/>
    </w:lvl>
    <w:lvl w:ilvl="2" w:tplc="F2044160">
      <w:numFmt w:val="decimal"/>
      <w:lvlText w:val=""/>
      <w:lvlJc w:val="left"/>
    </w:lvl>
    <w:lvl w:ilvl="3" w:tplc="925AEB52">
      <w:numFmt w:val="decimal"/>
      <w:lvlText w:val=""/>
      <w:lvlJc w:val="left"/>
    </w:lvl>
    <w:lvl w:ilvl="4" w:tplc="4A1C7274">
      <w:numFmt w:val="decimal"/>
      <w:lvlText w:val=""/>
      <w:lvlJc w:val="left"/>
    </w:lvl>
    <w:lvl w:ilvl="5" w:tplc="4740BFFA">
      <w:numFmt w:val="decimal"/>
      <w:lvlText w:val=""/>
      <w:lvlJc w:val="left"/>
    </w:lvl>
    <w:lvl w:ilvl="6" w:tplc="536A8088">
      <w:numFmt w:val="decimal"/>
      <w:lvlText w:val=""/>
      <w:lvlJc w:val="left"/>
    </w:lvl>
    <w:lvl w:ilvl="7" w:tplc="5CD83C90">
      <w:numFmt w:val="decimal"/>
      <w:lvlText w:val=""/>
      <w:lvlJc w:val="left"/>
    </w:lvl>
    <w:lvl w:ilvl="8" w:tplc="B762D02C">
      <w:numFmt w:val="decimal"/>
      <w:lvlText w:val=""/>
      <w:lvlJc w:val="left"/>
    </w:lvl>
  </w:abstractNum>
  <w:abstractNum w:abstractNumId="966" w15:restartNumberingAfterBreak="0">
    <w:nsid w:val="65E84455"/>
    <w:multiLevelType w:val="hybridMultilevel"/>
    <w:tmpl w:val="87C63B54"/>
    <w:lvl w:ilvl="0" w:tplc="5F909A72">
      <w:start w:val="1"/>
      <w:numFmt w:val="bullet"/>
      <w:lvlText w:val=""/>
      <w:lvlJc w:val="left"/>
      <w:pPr>
        <w:ind w:left="720" w:hanging="360"/>
      </w:pPr>
      <w:rPr>
        <w:rFonts w:ascii="Symbol" w:hAnsi="Symbol" w:hint="default"/>
      </w:rPr>
    </w:lvl>
    <w:lvl w:ilvl="1" w:tplc="7CD8DA0E">
      <w:numFmt w:val="decimal"/>
      <w:lvlText w:val=""/>
      <w:lvlJc w:val="left"/>
    </w:lvl>
    <w:lvl w:ilvl="2" w:tplc="ECB680C0">
      <w:numFmt w:val="decimal"/>
      <w:lvlText w:val=""/>
      <w:lvlJc w:val="left"/>
    </w:lvl>
    <w:lvl w:ilvl="3" w:tplc="BDAAB824">
      <w:numFmt w:val="decimal"/>
      <w:lvlText w:val=""/>
      <w:lvlJc w:val="left"/>
    </w:lvl>
    <w:lvl w:ilvl="4" w:tplc="E140EBFE">
      <w:numFmt w:val="decimal"/>
      <w:lvlText w:val=""/>
      <w:lvlJc w:val="left"/>
    </w:lvl>
    <w:lvl w:ilvl="5" w:tplc="0E58C028">
      <w:numFmt w:val="decimal"/>
      <w:lvlText w:val=""/>
      <w:lvlJc w:val="left"/>
    </w:lvl>
    <w:lvl w:ilvl="6" w:tplc="7004E25C">
      <w:numFmt w:val="decimal"/>
      <w:lvlText w:val=""/>
      <w:lvlJc w:val="left"/>
    </w:lvl>
    <w:lvl w:ilvl="7" w:tplc="A9104B68">
      <w:numFmt w:val="decimal"/>
      <w:lvlText w:val=""/>
      <w:lvlJc w:val="left"/>
    </w:lvl>
    <w:lvl w:ilvl="8" w:tplc="5F469E06">
      <w:numFmt w:val="decimal"/>
      <w:lvlText w:val=""/>
      <w:lvlJc w:val="left"/>
    </w:lvl>
  </w:abstractNum>
  <w:abstractNum w:abstractNumId="967" w15:restartNumberingAfterBreak="0">
    <w:nsid w:val="66161A84"/>
    <w:multiLevelType w:val="hybridMultilevel"/>
    <w:tmpl w:val="E23EFA7E"/>
    <w:lvl w:ilvl="0" w:tplc="4926B274">
      <w:start w:val="1"/>
      <w:numFmt w:val="bullet"/>
      <w:lvlText w:val=""/>
      <w:lvlJc w:val="left"/>
      <w:pPr>
        <w:ind w:left="720" w:hanging="360"/>
      </w:pPr>
      <w:rPr>
        <w:rFonts w:ascii="Symbol" w:hAnsi="Symbol" w:hint="default"/>
      </w:rPr>
    </w:lvl>
    <w:lvl w:ilvl="1" w:tplc="B80C593A">
      <w:numFmt w:val="decimal"/>
      <w:lvlText w:val=""/>
      <w:lvlJc w:val="left"/>
    </w:lvl>
    <w:lvl w:ilvl="2" w:tplc="6A6AD9B6">
      <w:numFmt w:val="decimal"/>
      <w:lvlText w:val=""/>
      <w:lvlJc w:val="left"/>
    </w:lvl>
    <w:lvl w:ilvl="3" w:tplc="966AF20E">
      <w:numFmt w:val="decimal"/>
      <w:lvlText w:val=""/>
      <w:lvlJc w:val="left"/>
    </w:lvl>
    <w:lvl w:ilvl="4" w:tplc="8908578C">
      <w:numFmt w:val="decimal"/>
      <w:lvlText w:val=""/>
      <w:lvlJc w:val="left"/>
    </w:lvl>
    <w:lvl w:ilvl="5" w:tplc="22CAFF18">
      <w:numFmt w:val="decimal"/>
      <w:lvlText w:val=""/>
      <w:lvlJc w:val="left"/>
    </w:lvl>
    <w:lvl w:ilvl="6" w:tplc="EBC8D806">
      <w:numFmt w:val="decimal"/>
      <w:lvlText w:val=""/>
      <w:lvlJc w:val="left"/>
    </w:lvl>
    <w:lvl w:ilvl="7" w:tplc="1EB2FD88">
      <w:numFmt w:val="decimal"/>
      <w:lvlText w:val=""/>
      <w:lvlJc w:val="left"/>
    </w:lvl>
    <w:lvl w:ilvl="8" w:tplc="176A8E22">
      <w:numFmt w:val="decimal"/>
      <w:lvlText w:val=""/>
      <w:lvlJc w:val="left"/>
    </w:lvl>
  </w:abstractNum>
  <w:abstractNum w:abstractNumId="968" w15:restartNumberingAfterBreak="0">
    <w:nsid w:val="663C5491"/>
    <w:multiLevelType w:val="hybridMultilevel"/>
    <w:tmpl w:val="10224CC6"/>
    <w:lvl w:ilvl="0" w:tplc="97FC4604">
      <w:start w:val="1"/>
      <w:numFmt w:val="bullet"/>
      <w:lvlText w:val=""/>
      <w:lvlJc w:val="left"/>
      <w:pPr>
        <w:ind w:left="720" w:hanging="360"/>
      </w:pPr>
      <w:rPr>
        <w:rFonts w:ascii="Symbol" w:hAnsi="Symbol" w:hint="default"/>
      </w:rPr>
    </w:lvl>
    <w:lvl w:ilvl="1" w:tplc="550AD372">
      <w:numFmt w:val="decimal"/>
      <w:lvlText w:val=""/>
      <w:lvlJc w:val="left"/>
    </w:lvl>
    <w:lvl w:ilvl="2" w:tplc="717C453C">
      <w:numFmt w:val="decimal"/>
      <w:lvlText w:val=""/>
      <w:lvlJc w:val="left"/>
    </w:lvl>
    <w:lvl w:ilvl="3" w:tplc="80F6F846">
      <w:numFmt w:val="decimal"/>
      <w:lvlText w:val=""/>
      <w:lvlJc w:val="left"/>
    </w:lvl>
    <w:lvl w:ilvl="4" w:tplc="233AEAB0">
      <w:numFmt w:val="decimal"/>
      <w:lvlText w:val=""/>
      <w:lvlJc w:val="left"/>
    </w:lvl>
    <w:lvl w:ilvl="5" w:tplc="125A86B0">
      <w:numFmt w:val="decimal"/>
      <w:lvlText w:val=""/>
      <w:lvlJc w:val="left"/>
    </w:lvl>
    <w:lvl w:ilvl="6" w:tplc="8896472C">
      <w:numFmt w:val="decimal"/>
      <w:lvlText w:val=""/>
      <w:lvlJc w:val="left"/>
    </w:lvl>
    <w:lvl w:ilvl="7" w:tplc="B0A428D4">
      <w:numFmt w:val="decimal"/>
      <w:lvlText w:val=""/>
      <w:lvlJc w:val="left"/>
    </w:lvl>
    <w:lvl w:ilvl="8" w:tplc="B208786E">
      <w:numFmt w:val="decimal"/>
      <w:lvlText w:val=""/>
      <w:lvlJc w:val="left"/>
    </w:lvl>
  </w:abstractNum>
  <w:abstractNum w:abstractNumId="969" w15:restartNumberingAfterBreak="0">
    <w:nsid w:val="666E6715"/>
    <w:multiLevelType w:val="hybridMultilevel"/>
    <w:tmpl w:val="A202A59C"/>
    <w:lvl w:ilvl="0" w:tplc="E500D1FA">
      <w:start w:val="1"/>
      <w:numFmt w:val="bullet"/>
      <w:lvlText w:val=""/>
      <w:lvlJc w:val="left"/>
      <w:pPr>
        <w:ind w:left="720" w:hanging="360"/>
      </w:pPr>
      <w:rPr>
        <w:rFonts w:ascii="Symbol" w:hAnsi="Symbol" w:hint="default"/>
      </w:rPr>
    </w:lvl>
    <w:lvl w:ilvl="1" w:tplc="22965164">
      <w:numFmt w:val="decimal"/>
      <w:lvlText w:val=""/>
      <w:lvlJc w:val="left"/>
    </w:lvl>
    <w:lvl w:ilvl="2" w:tplc="D3E81B30">
      <w:numFmt w:val="decimal"/>
      <w:lvlText w:val=""/>
      <w:lvlJc w:val="left"/>
    </w:lvl>
    <w:lvl w:ilvl="3" w:tplc="658283F2">
      <w:numFmt w:val="decimal"/>
      <w:lvlText w:val=""/>
      <w:lvlJc w:val="left"/>
    </w:lvl>
    <w:lvl w:ilvl="4" w:tplc="6AFA8F4A">
      <w:numFmt w:val="decimal"/>
      <w:lvlText w:val=""/>
      <w:lvlJc w:val="left"/>
    </w:lvl>
    <w:lvl w:ilvl="5" w:tplc="A83A6186">
      <w:numFmt w:val="decimal"/>
      <w:lvlText w:val=""/>
      <w:lvlJc w:val="left"/>
    </w:lvl>
    <w:lvl w:ilvl="6" w:tplc="B4A6E0D2">
      <w:numFmt w:val="decimal"/>
      <w:lvlText w:val=""/>
      <w:lvlJc w:val="left"/>
    </w:lvl>
    <w:lvl w:ilvl="7" w:tplc="67FA8350">
      <w:numFmt w:val="decimal"/>
      <w:lvlText w:val=""/>
      <w:lvlJc w:val="left"/>
    </w:lvl>
    <w:lvl w:ilvl="8" w:tplc="26EA3B10">
      <w:numFmt w:val="decimal"/>
      <w:lvlText w:val=""/>
      <w:lvlJc w:val="left"/>
    </w:lvl>
  </w:abstractNum>
  <w:abstractNum w:abstractNumId="970" w15:restartNumberingAfterBreak="0">
    <w:nsid w:val="66756B73"/>
    <w:multiLevelType w:val="hybridMultilevel"/>
    <w:tmpl w:val="C8E23BDC"/>
    <w:lvl w:ilvl="0" w:tplc="D1E606D0">
      <w:start w:val="1"/>
      <w:numFmt w:val="bullet"/>
      <w:lvlText w:val=""/>
      <w:lvlJc w:val="left"/>
      <w:pPr>
        <w:ind w:left="720" w:hanging="360"/>
      </w:pPr>
      <w:rPr>
        <w:rFonts w:ascii="Symbol" w:hAnsi="Symbol" w:hint="default"/>
      </w:rPr>
    </w:lvl>
    <w:lvl w:ilvl="1" w:tplc="DDCA4512">
      <w:numFmt w:val="decimal"/>
      <w:lvlText w:val=""/>
      <w:lvlJc w:val="left"/>
    </w:lvl>
    <w:lvl w:ilvl="2" w:tplc="3E12C826">
      <w:numFmt w:val="decimal"/>
      <w:lvlText w:val=""/>
      <w:lvlJc w:val="left"/>
    </w:lvl>
    <w:lvl w:ilvl="3" w:tplc="F7F2C83A">
      <w:numFmt w:val="decimal"/>
      <w:lvlText w:val=""/>
      <w:lvlJc w:val="left"/>
    </w:lvl>
    <w:lvl w:ilvl="4" w:tplc="133EA7E2">
      <w:numFmt w:val="decimal"/>
      <w:lvlText w:val=""/>
      <w:lvlJc w:val="left"/>
    </w:lvl>
    <w:lvl w:ilvl="5" w:tplc="1C86B63A">
      <w:numFmt w:val="decimal"/>
      <w:lvlText w:val=""/>
      <w:lvlJc w:val="left"/>
    </w:lvl>
    <w:lvl w:ilvl="6" w:tplc="4BDEE6F8">
      <w:numFmt w:val="decimal"/>
      <w:lvlText w:val=""/>
      <w:lvlJc w:val="left"/>
    </w:lvl>
    <w:lvl w:ilvl="7" w:tplc="662C271C">
      <w:numFmt w:val="decimal"/>
      <w:lvlText w:val=""/>
      <w:lvlJc w:val="left"/>
    </w:lvl>
    <w:lvl w:ilvl="8" w:tplc="E4FEA3CE">
      <w:numFmt w:val="decimal"/>
      <w:lvlText w:val=""/>
      <w:lvlJc w:val="left"/>
    </w:lvl>
  </w:abstractNum>
  <w:abstractNum w:abstractNumId="971" w15:restartNumberingAfterBreak="0">
    <w:nsid w:val="667721FB"/>
    <w:multiLevelType w:val="hybridMultilevel"/>
    <w:tmpl w:val="9F0E7694"/>
    <w:lvl w:ilvl="0" w:tplc="92CC324A">
      <w:start w:val="1"/>
      <w:numFmt w:val="bullet"/>
      <w:lvlText w:val=""/>
      <w:lvlJc w:val="left"/>
      <w:pPr>
        <w:ind w:left="720" w:hanging="360"/>
      </w:pPr>
      <w:rPr>
        <w:rFonts w:ascii="Symbol" w:hAnsi="Symbol" w:hint="default"/>
      </w:rPr>
    </w:lvl>
    <w:lvl w:ilvl="1" w:tplc="C3029BF8">
      <w:numFmt w:val="decimal"/>
      <w:lvlText w:val=""/>
      <w:lvlJc w:val="left"/>
    </w:lvl>
    <w:lvl w:ilvl="2" w:tplc="15F4B65C">
      <w:numFmt w:val="decimal"/>
      <w:lvlText w:val=""/>
      <w:lvlJc w:val="left"/>
    </w:lvl>
    <w:lvl w:ilvl="3" w:tplc="8CFAE246">
      <w:numFmt w:val="decimal"/>
      <w:lvlText w:val=""/>
      <w:lvlJc w:val="left"/>
    </w:lvl>
    <w:lvl w:ilvl="4" w:tplc="14C63D2E">
      <w:numFmt w:val="decimal"/>
      <w:lvlText w:val=""/>
      <w:lvlJc w:val="left"/>
    </w:lvl>
    <w:lvl w:ilvl="5" w:tplc="8646ADC0">
      <w:numFmt w:val="decimal"/>
      <w:lvlText w:val=""/>
      <w:lvlJc w:val="left"/>
    </w:lvl>
    <w:lvl w:ilvl="6" w:tplc="4678EC26">
      <w:numFmt w:val="decimal"/>
      <w:lvlText w:val=""/>
      <w:lvlJc w:val="left"/>
    </w:lvl>
    <w:lvl w:ilvl="7" w:tplc="F9ACEBD0">
      <w:numFmt w:val="decimal"/>
      <w:lvlText w:val=""/>
      <w:lvlJc w:val="left"/>
    </w:lvl>
    <w:lvl w:ilvl="8" w:tplc="0E52C93E">
      <w:numFmt w:val="decimal"/>
      <w:lvlText w:val=""/>
      <w:lvlJc w:val="left"/>
    </w:lvl>
  </w:abstractNum>
  <w:abstractNum w:abstractNumId="972" w15:restartNumberingAfterBreak="0">
    <w:nsid w:val="66BF7E50"/>
    <w:multiLevelType w:val="hybridMultilevel"/>
    <w:tmpl w:val="27FC5F0E"/>
    <w:lvl w:ilvl="0" w:tplc="0D5857EC">
      <w:start w:val="1"/>
      <w:numFmt w:val="bullet"/>
      <w:lvlText w:val=""/>
      <w:lvlJc w:val="left"/>
      <w:pPr>
        <w:ind w:left="720" w:hanging="360"/>
      </w:pPr>
      <w:rPr>
        <w:rFonts w:ascii="Symbol" w:hAnsi="Symbol" w:hint="default"/>
      </w:rPr>
    </w:lvl>
    <w:lvl w:ilvl="1" w:tplc="66402BC6">
      <w:numFmt w:val="decimal"/>
      <w:lvlText w:val=""/>
      <w:lvlJc w:val="left"/>
    </w:lvl>
    <w:lvl w:ilvl="2" w:tplc="B642ACA8">
      <w:numFmt w:val="decimal"/>
      <w:lvlText w:val=""/>
      <w:lvlJc w:val="left"/>
    </w:lvl>
    <w:lvl w:ilvl="3" w:tplc="24E27446">
      <w:numFmt w:val="decimal"/>
      <w:lvlText w:val=""/>
      <w:lvlJc w:val="left"/>
    </w:lvl>
    <w:lvl w:ilvl="4" w:tplc="2B2EF0A2">
      <w:numFmt w:val="decimal"/>
      <w:lvlText w:val=""/>
      <w:lvlJc w:val="left"/>
    </w:lvl>
    <w:lvl w:ilvl="5" w:tplc="34F2AA4E">
      <w:numFmt w:val="decimal"/>
      <w:lvlText w:val=""/>
      <w:lvlJc w:val="left"/>
    </w:lvl>
    <w:lvl w:ilvl="6" w:tplc="EB4426DE">
      <w:numFmt w:val="decimal"/>
      <w:lvlText w:val=""/>
      <w:lvlJc w:val="left"/>
    </w:lvl>
    <w:lvl w:ilvl="7" w:tplc="66B45DFA">
      <w:numFmt w:val="decimal"/>
      <w:lvlText w:val=""/>
      <w:lvlJc w:val="left"/>
    </w:lvl>
    <w:lvl w:ilvl="8" w:tplc="CF5EE1FE">
      <w:numFmt w:val="decimal"/>
      <w:lvlText w:val=""/>
      <w:lvlJc w:val="left"/>
    </w:lvl>
  </w:abstractNum>
  <w:abstractNum w:abstractNumId="973" w15:restartNumberingAfterBreak="0">
    <w:nsid w:val="66C0231E"/>
    <w:multiLevelType w:val="hybridMultilevel"/>
    <w:tmpl w:val="F96E9194"/>
    <w:lvl w:ilvl="0" w:tplc="4D7CFFEE">
      <w:start w:val="1"/>
      <w:numFmt w:val="bullet"/>
      <w:lvlText w:val=""/>
      <w:lvlJc w:val="left"/>
      <w:pPr>
        <w:ind w:left="720" w:hanging="360"/>
      </w:pPr>
      <w:rPr>
        <w:rFonts w:ascii="Symbol" w:hAnsi="Symbol" w:hint="default"/>
      </w:rPr>
    </w:lvl>
    <w:lvl w:ilvl="1" w:tplc="F830F64C">
      <w:numFmt w:val="decimal"/>
      <w:lvlText w:val=""/>
      <w:lvlJc w:val="left"/>
    </w:lvl>
    <w:lvl w:ilvl="2" w:tplc="5A2CD020">
      <w:numFmt w:val="decimal"/>
      <w:lvlText w:val=""/>
      <w:lvlJc w:val="left"/>
    </w:lvl>
    <w:lvl w:ilvl="3" w:tplc="E59E802E">
      <w:numFmt w:val="decimal"/>
      <w:lvlText w:val=""/>
      <w:lvlJc w:val="left"/>
    </w:lvl>
    <w:lvl w:ilvl="4" w:tplc="C7220A6E">
      <w:numFmt w:val="decimal"/>
      <w:lvlText w:val=""/>
      <w:lvlJc w:val="left"/>
    </w:lvl>
    <w:lvl w:ilvl="5" w:tplc="673CE6DE">
      <w:numFmt w:val="decimal"/>
      <w:lvlText w:val=""/>
      <w:lvlJc w:val="left"/>
    </w:lvl>
    <w:lvl w:ilvl="6" w:tplc="9A9AB5DC">
      <w:numFmt w:val="decimal"/>
      <w:lvlText w:val=""/>
      <w:lvlJc w:val="left"/>
    </w:lvl>
    <w:lvl w:ilvl="7" w:tplc="6358ABDE">
      <w:numFmt w:val="decimal"/>
      <w:lvlText w:val=""/>
      <w:lvlJc w:val="left"/>
    </w:lvl>
    <w:lvl w:ilvl="8" w:tplc="DC901416">
      <w:numFmt w:val="decimal"/>
      <w:lvlText w:val=""/>
      <w:lvlJc w:val="left"/>
    </w:lvl>
  </w:abstractNum>
  <w:abstractNum w:abstractNumId="974" w15:restartNumberingAfterBreak="0">
    <w:nsid w:val="66C26EC1"/>
    <w:multiLevelType w:val="hybridMultilevel"/>
    <w:tmpl w:val="57B67216"/>
    <w:lvl w:ilvl="0" w:tplc="4BC2A6FA">
      <w:start w:val="1"/>
      <w:numFmt w:val="bullet"/>
      <w:lvlText w:val=""/>
      <w:lvlJc w:val="left"/>
      <w:pPr>
        <w:ind w:left="720" w:hanging="360"/>
      </w:pPr>
      <w:rPr>
        <w:rFonts w:ascii="Symbol" w:hAnsi="Symbol" w:hint="default"/>
      </w:rPr>
    </w:lvl>
    <w:lvl w:ilvl="1" w:tplc="32122D44">
      <w:numFmt w:val="decimal"/>
      <w:lvlText w:val=""/>
      <w:lvlJc w:val="left"/>
    </w:lvl>
    <w:lvl w:ilvl="2" w:tplc="ECE6FBE6">
      <w:numFmt w:val="decimal"/>
      <w:lvlText w:val=""/>
      <w:lvlJc w:val="left"/>
    </w:lvl>
    <w:lvl w:ilvl="3" w:tplc="299C8D16">
      <w:numFmt w:val="decimal"/>
      <w:lvlText w:val=""/>
      <w:lvlJc w:val="left"/>
    </w:lvl>
    <w:lvl w:ilvl="4" w:tplc="01A8E42C">
      <w:numFmt w:val="decimal"/>
      <w:lvlText w:val=""/>
      <w:lvlJc w:val="left"/>
    </w:lvl>
    <w:lvl w:ilvl="5" w:tplc="1430FA86">
      <w:numFmt w:val="decimal"/>
      <w:lvlText w:val=""/>
      <w:lvlJc w:val="left"/>
    </w:lvl>
    <w:lvl w:ilvl="6" w:tplc="83EC7602">
      <w:numFmt w:val="decimal"/>
      <w:lvlText w:val=""/>
      <w:lvlJc w:val="left"/>
    </w:lvl>
    <w:lvl w:ilvl="7" w:tplc="D09C9F50">
      <w:numFmt w:val="decimal"/>
      <w:lvlText w:val=""/>
      <w:lvlJc w:val="left"/>
    </w:lvl>
    <w:lvl w:ilvl="8" w:tplc="41C0AE62">
      <w:numFmt w:val="decimal"/>
      <w:lvlText w:val=""/>
      <w:lvlJc w:val="left"/>
    </w:lvl>
  </w:abstractNum>
  <w:abstractNum w:abstractNumId="975" w15:restartNumberingAfterBreak="0">
    <w:nsid w:val="66CC7D75"/>
    <w:multiLevelType w:val="hybridMultilevel"/>
    <w:tmpl w:val="84983C4C"/>
    <w:lvl w:ilvl="0" w:tplc="C074B3E0">
      <w:start w:val="1"/>
      <w:numFmt w:val="bullet"/>
      <w:lvlText w:val=""/>
      <w:lvlJc w:val="left"/>
      <w:pPr>
        <w:ind w:left="720" w:hanging="360"/>
      </w:pPr>
      <w:rPr>
        <w:rFonts w:ascii="Symbol" w:hAnsi="Symbol" w:hint="default"/>
      </w:rPr>
    </w:lvl>
    <w:lvl w:ilvl="1" w:tplc="07500212">
      <w:numFmt w:val="decimal"/>
      <w:lvlText w:val=""/>
      <w:lvlJc w:val="left"/>
    </w:lvl>
    <w:lvl w:ilvl="2" w:tplc="E368A6F6">
      <w:numFmt w:val="decimal"/>
      <w:lvlText w:val=""/>
      <w:lvlJc w:val="left"/>
    </w:lvl>
    <w:lvl w:ilvl="3" w:tplc="AD0E84D8">
      <w:numFmt w:val="decimal"/>
      <w:lvlText w:val=""/>
      <w:lvlJc w:val="left"/>
    </w:lvl>
    <w:lvl w:ilvl="4" w:tplc="D71AB668">
      <w:numFmt w:val="decimal"/>
      <w:lvlText w:val=""/>
      <w:lvlJc w:val="left"/>
    </w:lvl>
    <w:lvl w:ilvl="5" w:tplc="4C34CDD6">
      <w:numFmt w:val="decimal"/>
      <w:lvlText w:val=""/>
      <w:lvlJc w:val="left"/>
    </w:lvl>
    <w:lvl w:ilvl="6" w:tplc="030C58D0">
      <w:numFmt w:val="decimal"/>
      <w:lvlText w:val=""/>
      <w:lvlJc w:val="left"/>
    </w:lvl>
    <w:lvl w:ilvl="7" w:tplc="9B20BD98">
      <w:numFmt w:val="decimal"/>
      <w:lvlText w:val=""/>
      <w:lvlJc w:val="left"/>
    </w:lvl>
    <w:lvl w:ilvl="8" w:tplc="209A149A">
      <w:numFmt w:val="decimal"/>
      <w:lvlText w:val=""/>
      <w:lvlJc w:val="left"/>
    </w:lvl>
  </w:abstractNum>
  <w:abstractNum w:abstractNumId="976" w15:restartNumberingAfterBreak="0">
    <w:nsid w:val="66FA4FBE"/>
    <w:multiLevelType w:val="hybridMultilevel"/>
    <w:tmpl w:val="C48A73A6"/>
    <w:lvl w:ilvl="0" w:tplc="37B44438">
      <w:start w:val="1"/>
      <w:numFmt w:val="bullet"/>
      <w:lvlText w:val=""/>
      <w:lvlJc w:val="left"/>
      <w:pPr>
        <w:ind w:left="720" w:hanging="360"/>
      </w:pPr>
      <w:rPr>
        <w:rFonts w:ascii="Symbol" w:hAnsi="Symbol" w:hint="default"/>
      </w:rPr>
    </w:lvl>
    <w:lvl w:ilvl="1" w:tplc="8676E19C">
      <w:numFmt w:val="decimal"/>
      <w:lvlText w:val=""/>
      <w:lvlJc w:val="left"/>
    </w:lvl>
    <w:lvl w:ilvl="2" w:tplc="9D36B412">
      <w:numFmt w:val="decimal"/>
      <w:lvlText w:val=""/>
      <w:lvlJc w:val="left"/>
    </w:lvl>
    <w:lvl w:ilvl="3" w:tplc="B896D692">
      <w:numFmt w:val="decimal"/>
      <w:lvlText w:val=""/>
      <w:lvlJc w:val="left"/>
    </w:lvl>
    <w:lvl w:ilvl="4" w:tplc="2DDA83C8">
      <w:numFmt w:val="decimal"/>
      <w:lvlText w:val=""/>
      <w:lvlJc w:val="left"/>
    </w:lvl>
    <w:lvl w:ilvl="5" w:tplc="31D052BA">
      <w:numFmt w:val="decimal"/>
      <w:lvlText w:val=""/>
      <w:lvlJc w:val="left"/>
    </w:lvl>
    <w:lvl w:ilvl="6" w:tplc="3A9AB230">
      <w:numFmt w:val="decimal"/>
      <w:lvlText w:val=""/>
      <w:lvlJc w:val="left"/>
    </w:lvl>
    <w:lvl w:ilvl="7" w:tplc="6CDE156A">
      <w:numFmt w:val="decimal"/>
      <w:lvlText w:val=""/>
      <w:lvlJc w:val="left"/>
    </w:lvl>
    <w:lvl w:ilvl="8" w:tplc="F112FA58">
      <w:numFmt w:val="decimal"/>
      <w:lvlText w:val=""/>
      <w:lvlJc w:val="left"/>
    </w:lvl>
  </w:abstractNum>
  <w:abstractNum w:abstractNumId="977" w15:restartNumberingAfterBreak="0">
    <w:nsid w:val="670864F2"/>
    <w:multiLevelType w:val="hybridMultilevel"/>
    <w:tmpl w:val="D4926CE4"/>
    <w:lvl w:ilvl="0" w:tplc="D4C8B298">
      <w:start w:val="1"/>
      <w:numFmt w:val="bullet"/>
      <w:lvlText w:val=""/>
      <w:lvlJc w:val="left"/>
      <w:pPr>
        <w:ind w:left="720" w:hanging="360"/>
      </w:pPr>
      <w:rPr>
        <w:rFonts w:ascii="Symbol" w:hAnsi="Symbol" w:hint="default"/>
      </w:rPr>
    </w:lvl>
    <w:lvl w:ilvl="1" w:tplc="E842DA2E">
      <w:numFmt w:val="decimal"/>
      <w:lvlText w:val=""/>
      <w:lvlJc w:val="left"/>
    </w:lvl>
    <w:lvl w:ilvl="2" w:tplc="BB203FD0">
      <w:numFmt w:val="decimal"/>
      <w:lvlText w:val=""/>
      <w:lvlJc w:val="left"/>
    </w:lvl>
    <w:lvl w:ilvl="3" w:tplc="5A282A0C">
      <w:numFmt w:val="decimal"/>
      <w:lvlText w:val=""/>
      <w:lvlJc w:val="left"/>
    </w:lvl>
    <w:lvl w:ilvl="4" w:tplc="6B726D6E">
      <w:numFmt w:val="decimal"/>
      <w:lvlText w:val=""/>
      <w:lvlJc w:val="left"/>
    </w:lvl>
    <w:lvl w:ilvl="5" w:tplc="85D23094">
      <w:numFmt w:val="decimal"/>
      <w:lvlText w:val=""/>
      <w:lvlJc w:val="left"/>
    </w:lvl>
    <w:lvl w:ilvl="6" w:tplc="F4200734">
      <w:numFmt w:val="decimal"/>
      <w:lvlText w:val=""/>
      <w:lvlJc w:val="left"/>
    </w:lvl>
    <w:lvl w:ilvl="7" w:tplc="BEA67AC4">
      <w:numFmt w:val="decimal"/>
      <w:lvlText w:val=""/>
      <w:lvlJc w:val="left"/>
    </w:lvl>
    <w:lvl w:ilvl="8" w:tplc="18225862">
      <w:numFmt w:val="decimal"/>
      <w:lvlText w:val=""/>
      <w:lvlJc w:val="left"/>
    </w:lvl>
  </w:abstractNum>
  <w:abstractNum w:abstractNumId="978" w15:restartNumberingAfterBreak="0">
    <w:nsid w:val="67254E82"/>
    <w:multiLevelType w:val="hybridMultilevel"/>
    <w:tmpl w:val="45F2A642"/>
    <w:lvl w:ilvl="0" w:tplc="DA440BC2">
      <w:start w:val="1"/>
      <w:numFmt w:val="bullet"/>
      <w:lvlText w:val=""/>
      <w:lvlJc w:val="left"/>
      <w:pPr>
        <w:ind w:left="720" w:hanging="360"/>
      </w:pPr>
      <w:rPr>
        <w:rFonts w:ascii="Symbol" w:hAnsi="Symbol" w:hint="default"/>
      </w:rPr>
    </w:lvl>
    <w:lvl w:ilvl="1" w:tplc="6E44B8AE">
      <w:numFmt w:val="decimal"/>
      <w:lvlText w:val=""/>
      <w:lvlJc w:val="left"/>
    </w:lvl>
    <w:lvl w:ilvl="2" w:tplc="A1361034">
      <w:numFmt w:val="decimal"/>
      <w:lvlText w:val=""/>
      <w:lvlJc w:val="left"/>
    </w:lvl>
    <w:lvl w:ilvl="3" w:tplc="0CDCCE32">
      <w:numFmt w:val="decimal"/>
      <w:lvlText w:val=""/>
      <w:lvlJc w:val="left"/>
    </w:lvl>
    <w:lvl w:ilvl="4" w:tplc="FF6A20AC">
      <w:numFmt w:val="decimal"/>
      <w:lvlText w:val=""/>
      <w:lvlJc w:val="left"/>
    </w:lvl>
    <w:lvl w:ilvl="5" w:tplc="C5FAA418">
      <w:numFmt w:val="decimal"/>
      <w:lvlText w:val=""/>
      <w:lvlJc w:val="left"/>
    </w:lvl>
    <w:lvl w:ilvl="6" w:tplc="AEDCADB4">
      <w:numFmt w:val="decimal"/>
      <w:lvlText w:val=""/>
      <w:lvlJc w:val="left"/>
    </w:lvl>
    <w:lvl w:ilvl="7" w:tplc="82B039B0">
      <w:numFmt w:val="decimal"/>
      <w:lvlText w:val=""/>
      <w:lvlJc w:val="left"/>
    </w:lvl>
    <w:lvl w:ilvl="8" w:tplc="6D0E4ED4">
      <w:numFmt w:val="decimal"/>
      <w:lvlText w:val=""/>
      <w:lvlJc w:val="left"/>
    </w:lvl>
  </w:abstractNum>
  <w:abstractNum w:abstractNumId="979" w15:restartNumberingAfterBreak="0">
    <w:nsid w:val="674C2BB2"/>
    <w:multiLevelType w:val="hybridMultilevel"/>
    <w:tmpl w:val="02E447C2"/>
    <w:lvl w:ilvl="0" w:tplc="5632507A">
      <w:start w:val="1"/>
      <w:numFmt w:val="bullet"/>
      <w:lvlText w:val=""/>
      <w:lvlJc w:val="left"/>
      <w:pPr>
        <w:ind w:left="720" w:hanging="360"/>
      </w:pPr>
      <w:rPr>
        <w:rFonts w:ascii="Symbol" w:hAnsi="Symbol" w:hint="default"/>
      </w:rPr>
    </w:lvl>
    <w:lvl w:ilvl="1" w:tplc="D952A858">
      <w:numFmt w:val="decimal"/>
      <w:lvlText w:val=""/>
      <w:lvlJc w:val="left"/>
    </w:lvl>
    <w:lvl w:ilvl="2" w:tplc="DBD636AE">
      <w:numFmt w:val="decimal"/>
      <w:lvlText w:val=""/>
      <w:lvlJc w:val="left"/>
    </w:lvl>
    <w:lvl w:ilvl="3" w:tplc="1EC264C8">
      <w:numFmt w:val="decimal"/>
      <w:lvlText w:val=""/>
      <w:lvlJc w:val="left"/>
    </w:lvl>
    <w:lvl w:ilvl="4" w:tplc="CFD4A4EA">
      <w:numFmt w:val="decimal"/>
      <w:lvlText w:val=""/>
      <w:lvlJc w:val="left"/>
    </w:lvl>
    <w:lvl w:ilvl="5" w:tplc="146486E2">
      <w:numFmt w:val="decimal"/>
      <w:lvlText w:val=""/>
      <w:lvlJc w:val="left"/>
    </w:lvl>
    <w:lvl w:ilvl="6" w:tplc="FB5A5556">
      <w:numFmt w:val="decimal"/>
      <w:lvlText w:val=""/>
      <w:lvlJc w:val="left"/>
    </w:lvl>
    <w:lvl w:ilvl="7" w:tplc="28FCB6E0">
      <w:numFmt w:val="decimal"/>
      <w:lvlText w:val=""/>
      <w:lvlJc w:val="left"/>
    </w:lvl>
    <w:lvl w:ilvl="8" w:tplc="43546A3A">
      <w:numFmt w:val="decimal"/>
      <w:lvlText w:val=""/>
      <w:lvlJc w:val="left"/>
    </w:lvl>
  </w:abstractNum>
  <w:abstractNum w:abstractNumId="980" w15:restartNumberingAfterBreak="0">
    <w:nsid w:val="67504405"/>
    <w:multiLevelType w:val="hybridMultilevel"/>
    <w:tmpl w:val="52E466AE"/>
    <w:lvl w:ilvl="0" w:tplc="8EAAA256">
      <w:start w:val="1"/>
      <w:numFmt w:val="bullet"/>
      <w:lvlText w:val=""/>
      <w:lvlJc w:val="left"/>
      <w:pPr>
        <w:ind w:left="720" w:hanging="360"/>
      </w:pPr>
      <w:rPr>
        <w:rFonts w:ascii="Symbol" w:hAnsi="Symbol" w:hint="default"/>
      </w:rPr>
    </w:lvl>
    <w:lvl w:ilvl="1" w:tplc="2B665754">
      <w:numFmt w:val="decimal"/>
      <w:lvlText w:val=""/>
      <w:lvlJc w:val="left"/>
    </w:lvl>
    <w:lvl w:ilvl="2" w:tplc="AF5E2572">
      <w:numFmt w:val="decimal"/>
      <w:lvlText w:val=""/>
      <w:lvlJc w:val="left"/>
    </w:lvl>
    <w:lvl w:ilvl="3" w:tplc="FF144F16">
      <w:numFmt w:val="decimal"/>
      <w:lvlText w:val=""/>
      <w:lvlJc w:val="left"/>
    </w:lvl>
    <w:lvl w:ilvl="4" w:tplc="62221868">
      <w:numFmt w:val="decimal"/>
      <w:lvlText w:val=""/>
      <w:lvlJc w:val="left"/>
    </w:lvl>
    <w:lvl w:ilvl="5" w:tplc="CA8AA54A">
      <w:numFmt w:val="decimal"/>
      <w:lvlText w:val=""/>
      <w:lvlJc w:val="left"/>
    </w:lvl>
    <w:lvl w:ilvl="6" w:tplc="904AD2C8">
      <w:numFmt w:val="decimal"/>
      <w:lvlText w:val=""/>
      <w:lvlJc w:val="left"/>
    </w:lvl>
    <w:lvl w:ilvl="7" w:tplc="DBDE5AA6">
      <w:numFmt w:val="decimal"/>
      <w:lvlText w:val=""/>
      <w:lvlJc w:val="left"/>
    </w:lvl>
    <w:lvl w:ilvl="8" w:tplc="070A4C16">
      <w:numFmt w:val="decimal"/>
      <w:lvlText w:val=""/>
      <w:lvlJc w:val="left"/>
    </w:lvl>
  </w:abstractNum>
  <w:abstractNum w:abstractNumId="981" w15:restartNumberingAfterBreak="0">
    <w:nsid w:val="6765572D"/>
    <w:multiLevelType w:val="hybridMultilevel"/>
    <w:tmpl w:val="52808AF0"/>
    <w:lvl w:ilvl="0" w:tplc="8E1EADA4">
      <w:start w:val="1"/>
      <w:numFmt w:val="bullet"/>
      <w:lvlText w:val=""/>
      <w:lvlJc w:val="left"/>
      <w:pPr>
        <w:ind w:left="720" w:hanging="360"/>
      </w:pPr>
      <w:rPr>
        <w:rFonts w:ascii="Symbol" w:hAnsi="Symbol" w:hint="default"/>
      </w:rPr>
    </w:lvl>
    <w:lvl w:ilvl="1" w:tplc="D7929C18">
      <w:numFmt w:val="decimal"/>
      <w:lvlText w:val=""/>
      <w:lvlJc w:val="left"/>
    </w:lvl>
    <w:lvl w:ilvl="2" w:tplc="B3AA2ACA">
      <w:numFmt w:val="decimal"/>
      <w:lvlText w:val=""/>
      <w:lvlJc w:val="left"/>
    </w:lvl>
    <w:lvl w:ilvl="3" w:tplc="F058E68E">
      <w:numFmt w:val="decimal"/>
      <w:lvlText w:val=""/>
      <w:lvlJc w:val="left"/>
    </w:lvl>
    <w:lvl w:ilvl="4" w:tplc="712AB4D0">
      <w:numFmt w:val="decimal"/>
      <w:lvlText w:val=""/>
      <w:lvlJc w:val="left"/>
    </w:lvl>
    <w:lvl w:ilvl="5" w:tplc="29006A10">
      <w:numFmt w:val="decimal"/>
      <w:lvlText w:val=""/>
      <w:lvlJc w:val="left"/>
    </w:lvl>
    <w:lvl w:ilvl="6" w:tplc="3EFCCB26">
      <w:numFmt w:val="decimal"/>
      <w:lvlText w:val=""/>
      <w:lvlJc w:val="left"/>
    </w:lvl>
    <w:lvl w:ilvl="7" w:tplc="FF389266">
      <w:numFmt w:val="decimal"/>
      <w:lvlText w:val=""/>
      <w:lvlJc w:val="left"/>
    </w:lvl>
    <w:lvl w:ilvl="8" w:tplc="E358457E">
      <w:numFmt w:val="decimal"/>
      <w:lvlText w:val=""/>
      <w:lvlJc w:val="left"/>
    </w:lvl>
  </w:abstractNum>
  <w:abstractNum w:abstractNumId="982" w15:restartNumberingAfterBreak="0">
    <w:nsid w:val="67767818"/>
    <w:multiLevelType w:val="hybridMultilevel"/>
    <w:tmpl w:val="E4B45E70"/>
    <w:lvl w:ilvl="0" w:tplc="611AA108">
      <w:start w:val="1"/>
      <w:numFmt w:val="bullet"/>
      <w:lvlText w:val=""/>
      <w:lvlJc w:val="left"/>
      <w:pPr>
        <w:ind w:left="720" w:hanging="360"/>
      </w:pPr>
      <w:rPr>
        <w:rFonts w:ascii="Symbol" w:hAnsi="Symbol" w:hint="default"/>
      </w:rPr>
    </w:lvl>
    <w:lvl w:ilvl="1" w:tplc="2342FD38">
      <w:numFmt w:val="decimal"/>
      <w:lvlText w:val=""/>
      <w:lvlJc w:val="left"/>
    </w:lvl>
    <w:lvl w:ilvl="2" w:tplc="D5420328">
      <w:numFmt w:val="decimal"/>
      <w:lvlText w:val=""/>
      <w:lvlJc w:val="left"/>
    </w:lvl>
    <w:lvl w:ilvl="3" w:tplc="92E60DD4">
      <w:numFmt w:val="decimal"/>
      <w:lvlText w:val=""/>
      <w:lvlJc w:val="left"/>
    </w:lvl>
    <w:lvl w:ilvl="4" w:tplc="C8D4268E">
      <w:numFmt w:val="decimal"/>
      <w:lvlText w:val=""/>
      <w:lvlJc w:val="left"/>
    </w:lvl>
    <w:lvl w:ilvl="5" w:tplc="887A5796">
      <w:numFmt w:val="decimal"/>
      <w:lvlText w:val=""/>
      <w:lvlJc w:val="left"/>
    </w:lvl>
    <w:lvl w:ilvl="6" w:tplc="797026C2">
      <w:numFmt w:val="decimal"/>
      <w:lvlText w:val=""/>
      <w:lvlJc w:val="left"/>
    </w:lvl>
    <w:lvl w:ilvl="7" w:tplc="42BEFD92">
      <w:numFmt w:val="decimal"/>
      <w:lvlText w:val=""/>
      <w:lvlJc w:val="left"/>
    </w:lvl>
    <w:lvl w:ilvl="8" w:tplc="7F9C0D2A">
      <w:numFmt w:val="decimal"/>
      <w:lvlText w:val=""/>
      <w:lvlJc w:val="left"/>
    </w:lvl>
  </w:abstractNum>
  <w:abstractNum w:abstractNumId="983" w15:restartNumberingAfterBreak="0">
    <w:nsid w:val="679769CD"/>
    <w:multiLevelType w:val="hybridMultilevel"/>
    <w:tmpl w:val="68088892"/>
    <w:lvl w:ilvl="0" w:tplc="B77A474A">
      <w:start w:val="1"/>
      <w:numFmt w:val="bullet"/>
      <w:lvlText w:val=""/>
      <w:lvlJc w:val="left"/>
      <w:pPr>
        <w:ind w:left="720" w:hanging="360"/>
      </w:pPr>
      <w:rPr>
        <w:rFonts w:ascii="Symbol" w:hAnsi="Symbol" w:hint="default"/>
      </w:rPr>
    </w:lvl>
    <w:lvl w:ilvl="1" w:tplc="3B3032A4">
      <w:numFmt w:val="decimal"/>
      <w:lvlText w:val=""/>
      <w:lvlJc w:val="left"/>
    </w:lvl>
    <w:lvl w:ilvl="2" w:tplc="29D8B3EA">
      <w:numFmt w:val="decimal"/>
      <w:lvlText w:val=""/>
      <w:lvlJc w:val="left"/>
    </w:lvl>
    <w:lvl w:ilvl="3" w:tplc="AC1095D2">
      <w:numFmt w:val="decimal"/>
      <w:lvlText w:val=""/>
      <w:lvlJc w:val="left"/>
    </w:lvl>
    <w:lvl w:ilvl="4" w:tplc="191A523C">
      <w:numFmt w:val="decimal"/>
      <w:lvlText w:val=""/>
      <w:lvlJc w:val="left"/>
    </w:lvl>
    <w:lvl w:ilvl="5" w:tplc="3E4689EA">
      <w:numFmt w:val="decimal"/>
      <w:lvlText w:val=""/>
      <w:lvlJc w:val="left"/>
    </w:lvl>
    <w:lvl w:ilvl="6" w:tplc="60BC945A">
      <w:numFmt w:val="decimal"/>
      <w:lvlText w:val=""/>
      <w:lvlJc w:val="left"/>
    </w:lvl>
    <w:lvl w:ilvl="7" w:tplc="C66CA07C">
      <w:numFmt w:val="decimal"/>
      <w:lvlText w:val=""/>
      <w:lvlJc w:val="left"/>
    </w:lvl>
    <w:lvl w:ilvl="8" w:tplc="60C24660">
      <w:numFmt w:val="decimal"/>
      <w:lvlText w:val=""/>
      <w:lvlJc w:val="left"/>
    </w:lvl>
  </w:abstractNum>
  <w:abstractNum w:abstractNumId="984" w15:restartNumberingAfterBreak="0">
    <w:nsid w:val="67BB2F54"/>
    <w:multiLevelType w:val="hybridMultilevel"/>
    <w:tmpl w:val="BA8C0B80"/>
    <w:lvl w:ilvl="0" w:tplc="AB600ECC">
      <w:start w:val="1"/>
      <w:numFmt w:val="bullet"/>
      <w:lvlText w:val=""/>
      <w:lvlJc w:val="left"/>
      <w:pPr>
        <w:ind w:left="720" w:hanging="360"/>
      </w:pPr>
      <w:rPr>
        <w:rFonts w:ascii="Symbol" w:hAnsi="Symbol" w:hint="default"/>
      </w:rPr>
    </w:lvl>
    <w:lvl w:ilvl="1" w:tplc="099E4738">
      <w:numFmt w:val="decimal"/>
      <w:lvlText w:val=""/>
      <w:lvlJc w:val="left"/>
    </w:lvl>
    <w:lvl w:ilvl="2" w:tplc="98989CC6">
      <w:numFmt w:val="decimal"/>
      <w:lvlText w:val=""/>
      <w:lvlJc w:val="left"/>
    </w:lvl>
    <w:lvl w:ilvl="3" w:tplc="F33CC440">
      <w:numFmt w:val="decimal"/>
      <w:lvlText w:val=""/>
      <w:lvlJc w:val="left"/>
    </w:lvl>
    <w:lvl w:ilvl="4" w:tplc="64A6B7D6">
      <w:numFmt w:val="decimal"/>
      <w:lvlText w:val=""/>
      <w:lvlJc w:val="left"/>
    </w:lvl>
    <w:lvl w:ilvl="5" w:tplc="0D4C8A34">
      <w:numFmt w:val="decimal"/>
      <w:lvlText w:val=""/>
      <w:lvlJc w:val="left"/>
    </w:lvl>
    <w:lvl w:ilvl="6" w:tplc="666E1E1E">
      <w:numFmt w:val="decimal"/>
      <w:lvlText w:val=""/>
      <w:lvlJc w:val="left"/>
    </w:lvl>
    <w:lvl w:ilvl="7" w:tplc="D11CDC84">
      <w:numFmt w:val="decimal"/>
      <w:lvlText w:val=""/>
      <w:lvlJc w:val="left"/>
    </w:lvl>
    <w:lvl w:ilvl="8" w:tplc="3CACE924">
      <w:numFmt w:val="decimal"/>
      <w:lvlText w:val=""/>
      <w:lvlJc w:val="left"/>
    </w:lvl>
  </w:abstractNum>
  <w:abstractNum w:abstractNumId="985" w15:restartNumberingAfterBreak="0">
    <w:nsid w:val="67E515DF"/>
    <w:multiLevelType w:val="hybridMultilevel"/>
    <w:tmpl w:val="77EAE50E"/>
    <w:lvl w:ilvl="0" w:tplc="D968F730">
      <w:start w:val="1"/>
      <w:numFmt w:val="bullet"/>
      <w:lvlText w:val=""/>
      <w:lvlJc w:val="left"/>
      <w:pPr>
        <w:ind w:left="720" w:hanging="360"/>
      </w:pPr>
      <w:rPr>
        <w:rFonts w:ascii="Symbol" w:hAnsi="Symbol" w:hint="default"/>
      </w:rPr>
    </w:lvl>
    <w:lvl w:ilvl="1" w:tplc="A3683448">
      <w:numFmt w:val="decimal"/>
      <w:lvlText w:val=""/>
      <w:lvlJc w:val="left"/>
    </w:lvl>
    <w:lvl w:ilvl="2" w:tplc="1AA81BC4">
      <w:numFmt w:val="decimal"/>
      <w:lvlText w:val=""/>
      <w:lvlJc w:val="left"/>
    </w:lvl>
    <w:lvl w:ilvl="3" w:tplc="8E0001E6">
      <w:numFmt w:val="decimal"/>
      <w:lvlText w:val=""/>
      <w:lvlJc w:val="left"/>
    </w:lvl>
    <w:lvl w:ilvl="4" w:tplc="15721FA2">
      <w:numFmt w:val="decimal"/>
      <w:lvlText w:val=""/>
      <w:lvlJc w:val="left"/>
    </w:lvl>
    <w:lvl w:ilvl="5" w:tplc="0BC62EE2">
      <w:numFmt w:val="decimal"/>
      <w:lvlText w:val=""/>
      <w:lvlJc w:val="left"/>
    </w:lvl>
    <w:lvl w:ilvl="6" w:tplc="DE7CF1B2">
      <w:numFmt w:val="decimal"/>
      <w:lvlText w:val=""/>
      <w:lvlJc w:val="left"/>
    </w:lvl>
    <w:lvl w:ilvl="7" w:tplc="E0E44F28">
      <w:numFmt w:val="decimal"/>
      <w:lvlText w:val=""/>
      <w:lvlJc w:val="left"/>
    </w:lvl>
    <w:lvl w:ilvl="8" w:tplc="3476FA12">
      <w:numFmt w:val="decimal"/>
      <w:lvlText w:val=""/>
      <w:lvlJc w:val="left"/>
    </w:lvl>
  </w:abstractNum>
  <w:abstractNum w:abstractNumId="986" w15:restartNumberingAfterBreak="0">
    <w:nsid w:val="67EC0E70"/>
    <w:multiLevelType w:val="hybridMultilevel"/>
    <w:tmpl w:val="18EC55A0"/>
    <w:lvl w:ilvl="0" w:tplc="504A9836">
      <w:start w:val="1"/>
      <w:numFmt w:val="bullet"/>
      <w:lvlText w:val=""/>
      <w:lvlJc w:val="left"/>
      <w:pPr>
        <w:ind w:left="720" w:hanging="360"/>
      </w:pPr>
      <w:rPr>
        <w:rFonts w:ascii="Symbol" w:hAnsi="Symbol" w:hint="default"/>
      </w:rPr>
    </w:lvl>
    <w:lvl w:ilvl="1" w:tplc="CC64AE84">
      <w:numFmt w:val="decimal"/>
      <w:lvlText w:val=""/>
      <w:lvlJc w:val="left"/>
    </w:lvl>
    <w:lvl w:ilvl="2" w:tplc="6B7E4B36">
      <w:numFmt w:val="decimal"/>
      <w:lvlText w:val=""/>
      <w:lvlJc w:val="left"/>
    </w:lvl>
    <w:lvl w:ilvl="3" w:tplc="AD8A1D84">
      <w:numFmt w:val="decimal"/>
      <w:lvlText w:val=""/>
      <w:lvlJc w:val="left"/>
    </w:lvl>
    <w:lvl w:ilvl="4" w:tplc="BA1C7106">
      <w:numFmt w:val="decimal"/>
      <w:lvlText w:val=""/>
      <w:lvlJc w:val="left"/>
    </w:lvl>
    <w:lvl w:ilvl="5" w:tplc="978672CE">
      <w:numFmt w:val="decimal"/>
      <w:lvlText w:val=""/>
      <w:lvlJc w:val="left"/>
    </w:lvl>
    <w:lvl w:ilvl="6" w:tplc="CA84B282">
      <w:numFmt w:val="decimal"/>
      <w:lvlText w:val=""/>
      <w:lvlJc w:val="left"/>
    </w:lvl>
    <w:lvl w:ilvl="7" w:tplc="9CDC4BE0">
      <w:numFmt w:val="decimal"/>
      <w:lvlText w:val=""/>
      <w:lvlJc w:val="left"/>
    </w:lvl>
    <w:lvl w:ilvl="8" w:tplc="2EFAB152">
      <w:numFmt w:val="decimal"/>
      <w:lvlText w:val=""/>
      <w:lvlJc w:val="left"/>
    </w:lvl>
  </w:abstractNum>
  <w:abstractNum w:abstractNumId="987" w15:restartNumberingAfterBreak="0">
    <w:nsid w:val="67F73488"/>
    <w:multiLevelType w:val="hybridMultilevel"/>
    <w:tmpl w:val="E49485F2"/>
    <w:lvl w:ilvl="0" w:tplc="095ED378">
      <w:start w:val="1"/>
      <w:numFmt w:val="bullet"/>
      <w:lvlText w:val=""/>
      <w:lvlJc w:val="left"/>
      <w:pPr>
        <w:ind w:left="720" w:hanging="360"/>
      </w:pPr>
      <w:rPr>
        <w:rFonts w:ascii="Symbol" w:hAnsi="Symbol" w:hint="default"/>
      </w:rPr>
    </w:lvl>
    <w:lvl w:ilvl="1" w:tplc="5B761B16">
      <w:numFmt w:val="decimal"/>
      <w:lvlText w:val=""/>
      <w:lvlJc w:val="left"/>
    </w:lvl>
    <w:lvl w:ilvl="2" w:tplc="793C6472">
      <w:numFmt w:val="decimal"/>
      <w:lvlText w:val=""/>
      <w:lvlJc w:val="left"/>
    </w:lvl>
    <w:lvl w:ilvl="3" w:tplc="07CC81AC">
      <w:numFmt w:val="decimal"/>
      <w:lvlText w:val=""/>
      <w:lvlJc w:val="left"/>
    </w:lvl>
    <w:lvl w:ilvl="4" w:tplc="24EE4504">
      <w:numFmt w:val="decimal"/>
      <w:lvlText w:val=""/>
      <w:lvlJc w:val="left"/>
    </w:lvl>
    <w:lvl w:ilvl="5" w:tplc="316C74FE">
      <w:numFmt w:val="decimal"/>
      <w:lvlText w:val=""/>
      <w:lvlJc w:val="left"/>
    </w:lvl>
    <w:lvl w:ilvl="6" w:tplc="AA7E2E86">
      <w:numFmt w:val="decimal"/>
      <w:lvlText w:val=""/>
      <w:lvlJc w:val="left"/>
    </w:lvl>
    <w:lvl w:ilvl="7" w:tplc="37A2CBEC">
      <w:numFmt w:val="decimal"/>
      <w:lvlText w:val=""/>
      <w:lvlJc w:val="left"/>
    </w:lvl>
    <w:lvl w:ilvl="8" w:tplc="C6BA80F4">
      <w:numFmt w:val="decimal"/>
      <w:lvlText w:val=""/>
      <w:lvlJc w:val="left"/>
    </w:lvl>
  </w:abstractNum>
  <w:abstractNum w:abstractNumId="988" w15:restartNumberingAfterBreak="0">
    <w:nsid w:val="68012CAF"/>
    <w:multiLevelType w:val="hybridMultilevel"/>
    <w:tmpl w:val="C230404A"/>
    <w:lvl w:ilvl="0" w:tplc="E7E4D7AC">
      <w:start w:val="1"/>
      <w:numFmt w:val="bullet"/>
      <w:lvlText w:val=""/>
      <w:lvlJc w:val="left"/>
      <w:pPr>
        <w:ind w:left="720" w:hanging="360"/>
      </w:pPr>
      <w:rPr>
        <w:rFonts w:ascii="Symbol" w:hAnsi="Symbol" w:hint="default"/>
      </w:rPr>
    </w:lvl>
    <w:lvl w:ilvl="1" w:tplc="67325E12">
      <w:numFmt w:val="decimal"/>
      <w:lvlText w:val=""/>
      <w:lvlJc w:val="left"/>
    </w:lvl>
    <w:lvl w:ilvl="2" w:tplc="72FC9014">
      <w:numFmt w:val="decimal"/>
      <w:lvlText w:val=""/>
      <w:lvlJc w:val="left"/>
    </w:lvl>
    <w:lvl w:ilvl="3" w:tplc="D6423C68">
      <w:numFmt w:val="decimal"/>
      <w:lvlText w:val=""/>
      <w:lvlJc w:val="left"/>
    </w:lvl>
    <w:lvl w:ilvl="4" w:tplc="AD02A154">
      <w:numFmt w:val="decimal"/>
      <w:lvlText w:val=""/>
      <w:lvlJc w:val="left"/>
    </w:lvl>
    <w:lvl w:ilvl="5" w:tplc="B978A18E">
      <w:numFmt w:val="decimal"/>
      <w:lvlText w:val=""/>
      <w:lvlJc w:val="left"/>
    </w:lvl>
    <w:lvl w:ilvl="6" w:tplc="6AFA93A8">
      <w:numFmt w:val="decimal"/>
      <w:lvlText w:val=""/>
      <w:lvlJc w:val="left"/>
    </w:lvl>
    <w:lvl w:ilvl="7" w:tplc="F96402CE">
      <w:numFmt w:val="decimal"/>
      <w:lvlText w:val=""/>
      <w:lvlJc w:val="left"/>
    </w:lvl>
    <w:lvl w:ilvl="8" w:tplc="095EB266">
      <w:numFmt w:val="decimal"/>
      <w:lvlText w:val=""/>
      <w:lvlJc w:val="left"/>
    </w:lvl>
  </w:abstractNum>
  <w:abstractNum w:abstractNumId="989" w15:restartNumberingAfterBreak="0">
    <w:nsid w:val="682E0A58"/>
    <w:multiLevelType w:val="hybridMultilevel"/>
    <w:tmpl w:val="1C30BC8C"/>
    <w:lvl w:ilvl="0" w:tplc="E1AE6DB2">
      <w:start w:val="1"/>
      <w:numFmt w:val="bullet"/>
      <w:lvlText w:val=""/>
      <w:lvlJc w:val="left"/>
      <w:pPr>
        <w:ind w:left="720" w:hanging="360"/>
      </w:pPr>
      <w:rPr>
        <w:rFonts w:ascii="Symbol" w:hAnsi="Symbol" w:hint="default"/>
      </w:rPr>
    </w:lvl>
    <w:lvl w:ilvl="1" w:tplc="D27EB3A8">
      <w:numFmt w:val="decimal"/>
      <w:lvlText w:val=""/>
      <w:lvlJc w:val="left"/>
    </w:lvl>
    <w:lvl w:ilvl="2" w:tplc="DD22DEF0">
      <w:numFmt w:val="decimal"/>
      <w:lvlText w:val=""/>
      <w:lvlJc w:val="left"/>
    </w:lvl>
    <w:lvl w:ilvl="3" w:tplc="27F64FCE">
      <w:numFmt w:val="decimal"/>
      <w:lvlText w:val=""/>
      <w:lvlJc w:val="left"/>
    </w:lvl>
    <w:lvl w:ilvl="4" w:tplc="E58A5F22">
      <w:numFmt w:val="decimal"/>
      <w:lvlText w:val=""/>
      <w:lvlJc w:val="left"/>
    </w:lvl>
    <w:lvl w:ilvl="5" w:tplc="0D3ADFBE">
      <w:numFmt w:val="decimal"/>
      <w:lvlText w:val=""/>
      <w:lvlJc w:val="left"/>
    </w:lvl>
    <w:lvl w:ilvl="6" w:tplc="3F7AA540">
      <w:numFmt w:val="decimal"/>
      <w:lvlText w:val=""/>
      <w:lvlJc w:val="left"/>
    </w:lvl>
    <w:lvl w:ilvl="7" w:tplc="F084BF46">
      <w:numFmt w:val="decimal"/>
      <w:lvlText w:val=""/>
      <w:lvlJc w:val="left"/>
    </w:lvl>
    <w:lvl w:ilvl="8" w:tplc="58227370">
      <w:numFmt w:val="decimal"/>
      <w:lvlText w:val=""/>
      <w:lvlJc w:val="left"/>
    </w:lvl>
  </w:abstractNum>
  <w:abstractNum w:abstractNumId="990" w15:restartNumberingAfterBreak="0">
    <w:nsid w:val="683165D7"/>
    <w:multiLevelType w:val="hybridMultilevel"/>
    <w:tmpl w:val="56C42184"/>
    <w:lvl w:ilvl="0" w:tplc="37286EAA">
      <w:start w:val="1"/>
      <w:numFmt w:val="bullet"/>
      <w:lvlText w:val=""/>
      <w:lvlJc w:val="left"/>
      <w:pPr>
        <w:ind w:left="720" w:hanging="360"/>
      </w:pPr>
      <w:rPr>
        <w:rFonts w:ascii="Symbol" w:hAnsi="Symbol" w:hint="default"/>
      </w:rPr>
    </w:lvl>
    <w:lvl w:ilvl="1" w:tplc="04D48D84">
      <w:numFmt w:val="decimal"/>
      <w:lvlText w:val=""/>
      <w:lvlJc w:val="left"/>
    </w:lvl>
    <w:lvl w:ilvl="2" w:tplc="6576CD48">
      <w:numFmt w:val="decimal"/>
      <w:lvlText w:val=""/>
      <w:lvlJc w:val="left"/>
    </w:lvl>
    <w:lvl w:ilvl="3" w:tplc="F976AB0E">
      <w:numFmt w:val="decimal"/>
      <w:lvlText w:val=""/>
      <w:lvlJc w:val="left"/>
    </w:lvl>
    <w:lvl w:ilvl="4" w:tplc="A45033C0">
      <w:numFmt w:val="decimal"/>
      <w:lvlText w:val=""/>
      <w:lvlJc w:val="left"/>
    </w:lvl>
    <w:lvl w:ilvl="5" w:tplc="A7420336">
      <w:numFmt w:val="decimal"/>
      <w:lvlText w:val=""/>
      <w:lvlJc w:val="left"/>
    </w:lvl>
    <w:lvl w:ilvl="6" w:tplc="A428FFDC">
      <w:numFmt w:val="decimal"/>
      <w:lvlText w:val=""/>
      <w:lvlJc w:val="left"/>
    </w:lvl>
    <w:lvl w:ilvl="7" w:tplc="5A3AC9E6">
      <w:numFmt w:val="decimal"/>
      <w:lvlText w:val=""/>
      <w:lvlJc w:val="left"/>
    </w:lvl>
    <w:lvl w:ilvl="8" w:tplc="360836EE">
      <w:numFmt w:val="decimal"/>
      <w:lvlText w:val=""/>
      <w:lvlJc w:val="left"/>
    </w:lvl>
  </w:abstractNum>
  <w:abstractNum w:abstractNumId="991" w15:restartNumberingAfterBreak="0">
    <w:nsid w:val="68376051"/>
    <w:multiLevelType w:val="hybridMultilevel"/>
    <w:tmpl w:val="9D0C6984"/>
    <w:lvl w:ilvl="0" w:tplc="49C45C3A">
      <w:numFmt w:val="decimal"/>
      <w:lvlText w:val=""/>
      <w:lvlJc w:val="left"/>
    </w:lvl>
    <w:lvl w:ilvl="1" w:tplc="B8AAFB66">
      <w:start w:val="1"/>
      <w:numFmt w:val="bullet"/>
      <w:lvlText w:val=""/>
      <w:lvlJc w:val="left"/>
      <w:pPr>
        <w:ind w:left="1440" w:hanging="360"/>
      </w:pPr>
      <w:rPr>
        <w:rFonts w:ascii="Symbol" w:hAnsi="Symbol" w:hint="default"/>
      </w:rPr>
    </w:lvl>
    <w:lvl w:ilvl="2" w:tplc="3CBC577E">
      <w:numFmt w:val="decimal"/>
      <w:lvlText w:val=""/>
      <w:lvlJc w:val="left"/>
    </w:lvl>
    <w:lvl w:ilvl="3" w:tplc="14A081EC">
      <w:numFmt w:val="decimal"/>
      <w:lvlText w:val=""/>
      <w:lvlJc w:val="left"/>
    </w:lvl>
    <w:lvl w:ilvl="4" w:tplc="AC64EFE2">
      <w:numFmt w:val="decimal"/>
      <w:lvlText w:val=""/>
      <w:lvlJc w:val="left"/>
    </w:lvl>
    <w:lvl w:ilvl="5" w:tplc="6DB08B00">
      <w:numFmt w:val="decimal"/>
      <w:lvlText w:val=""/>
      <w:lvlJc w:val="left"/>
    </w:lvl>
    <w:lvl w:ilvl="6" w:tplc="F9168848">
      <w:numFmt w:val="decimal"/>
      <w:lvlText w:val=""/>
      <w:lvlJc w:val="left"/>
    </w:lvl>
    <w:lvl w:ilvl="7" w:tplc="AA449A70">
      <w:numFmt w:val="decimal"/>
      <w:lvlText w:val=""/>
      <w:lvlJc w:val="left"/>
    </w:lvl>
    <w:lvl w:ilvl="8" w:tplc="33B2AD56">
      <w:numFmt w:val="decimal"/>
      <w:lvlText w:val=""/>
      <w:lvlJc w:val="left"/>
    </w:lvl>
  </w:abstractNum>
  <w:abstractNum w:abstractNumId="992" w15:restartNumberingAfterBreak="0">
    <w:nsid w:val="68815C5E"/>
    <w:multiLevelType w:val="hybridMultilevel"/>
    <w:tmpl w:val="90E65814"/>
    <w:lvl w:ilvl="0" w:tplc="52781732">
      <w:start w:val="1"/>
      <w:numFmt w:val="bullet"/>
      <w:lvlText w:val=""/>
      <w:lvlJc w:val="left"/>
      <w:pPr>
        <w:ind w:left="720" w:hanging="360"/>
      </w:pPr>
      <w:rPr>
        <w:rFonts w:ascii="Symbol" w:hAnsi="Symbol" w:hint="default"/>
      </w:rPr>
    </w:lvl>
    <w:lvl w:ilvl="1" w:tplc="1846B114">
      <w:numFmt w:val="decimal"/>
      <w:lvlText w:val=""/>
      <w:lvlJc w:val="left"/>
    </w:lvl>
    <w:lvl w:ilvl="2" w:tplc="FD28A6F8">
      <w:numFmt w:val="decimal"/>
      <w:lvlText w:val=""/>
      <w:lvlJc w:val="left"/>
    </w:lvl>
    <w:lvl w:ilvl="3" w:tplc="1BE69950">
      <w:numFmt w:val="decimal"/>
      <w:lvlText w:val=""/>
      <w:lvlJc w:val="left"/>
    </w:lvl>
    <w:lvl w:ilvl="4" w:tplc="3E744E44">
      <w:numFmt w:val="decimal"/>
      <w:lvlText w:val=""/>
      <w:lvlJc w:val="left"/>
    </w:lvl>
    <w:lvl w:ilvl="5" w:tplc="088E92FE">
      <w:numFmt w:val="decimal"/>
      <w:lvlText w:val=""/>
      <w:lvlJc w:val="left"/>
    </w:lvl>
    <w:lvl w:ilvl="6" w:tplc="910C0E4A">
      <w:numFmt w:val="decimal"/>
      <w:lvlText w:val=""/>
      <w:lvlJc w:val="left"/>
    </w:lvl>
    <w:lvl w:ilvl="7" w:tplc="AB205906">
      <w:numFmt w:val="decimal"/>
      <w:lvlText w:val=""/>
      <w:lvlJc w:val="left"/>
    </w:lvl>
    <w:lvl w:ilvl="8" w:tplc="9812614E">
      <w:numFmt w:val="decimal"/>
      <w:lvlText w:val=""/>
      <w:lvlJc w:val="left"/>
    </w:lvl>
  </w:abstractNum>
  <w:abstractNum w:abstractNumId="993" w15:restartNumberingAfterBreak="0">
    <w:nsid w:val="688B6D8E"/>
    <w:multiLevelType w:val="hybridMultilevel"/>
    <w:tmpl w:val="5EB6D5FA"/>
    <w:lvl w:ilvl="0" w:tplc="52AABADE">
      <w:start w:val="1"/>
      <w:numFmt w:val="bullet"/>
      <w:lvlText w:val=""/>
      <w:lvlJc w:val="left"/>
      <w:pPr>
        <w:ind w:left="720" w:hanging="360"/>
      </w:pPr>
      <w:rPr>
        <w:rFonts w:ascii="Symbol" w:hAnsi="Symbol" w:hint="default"/>
      </w:rPr>
    </w:lvl>
    <w:lvl w:ilvl="1" w:tplc="6C20610A">
      <w:numFmt w:val="decimal"/>
      <w:lvlText w:val=""/>
      <w:lvlJc w:val="left"/>
    </w:lvl>
    <w:lvl w:ilvl="2" w:tplc="18865090">
      <w:numFmt w:val="decimal"/>
      <w:lvlText w:val=""/>
      <w:lvlJc w:val="left"/>
    </w:lvl>
    <w:lvl w:ilvl="3" w:tplc="085AA02C">
      <w:numFmt w:val="decimal"/>
      <w:lvlText w:val=""/>
      <w:lvlJc w:val="left"/>
    </w:lvl>
    <w:lvl w:ilvl="4" w:tplc="28BAEEE6">
      <w:numFmt w:val="decimal"/>
      <w:lvlText w:val=""/>
      <w:lvlJc w:val="left"/>
    </w:lvl>
    <w:lvl w:ilvl="5" w:tplc="8A6E2A90">
      <w:numFmt w:val="decimal"/>
      <w:lvlText w:val=""/>
      <w:lvlJc w:val="left"/>
    </w:lvl>
    <w:lvl w:ilvl="6" w:tplc="4BA42CC4">
      <w:numFmt w:val="decimal"/>
      <w:lvlText w:val=""/>
      <w:lvlJc w:val="left"/>
    </w:lvl>
    <w:lvl w:ilvl="7" w:tplc="B3843C5A">
      <w:numFmt w:val="decimal"/>
      <w:lvlText w:val=""/>
      <w:lvlJc w:val="left"/>
    </w:lvl>
    <w:lvl w:ilvl="8" w:tplc="D3FAA872">
      <w:numFmt w:val="decimal"/>
      <w:lvlText w:val=""/>
      <w:lvlJc w:val="left"/>
    </w:lvl>
  </w:abstractNum>
  <w:abstractNum w:abstractNumId="994" w15:restartNumberingAfterBreak="0">
    <w:nsid w:val="68B06FB2"/>
    <w:multiLevelType w:val="hybridMultilevel"/>
    <w:tmpl w:val="7EA61BA6"/>
    <w:lvl w:ilvl="0" w:tplc="F1DA001C">
      <w:start w:val="1"/>
      <w:numFmt w:val="bullet"/>
      <w:lvlText w:val=""/>
      <w:lvlJc w:val="left"/>
      <w:pPr>
        <w:ind w:left="720" w:hanging="360"/>
      </w:pPr>
      <w:rPr>
        <w:rFonts w:ascii="Symbol" w:hAnsi="Symbol" w:hint="default"/>
      </w:rPr>
    </w:lvl>
    <w:lvl w:ilvl="1" w:tplc="B0EE309E">
      <w:numFmt w:val="decimal"/>
      <w:lvlText w:val=""/>
      <w:lvlJc w:val="left"/>
    </w:lvl>
    <w:lvl w:ilvl="2" w:tplc="75AE2348">
      <w:numFmt w:val="decimal"/>
      <w:lvlText w:val=""/>
      <w:lvlJc w:val="left"/>
    </w:lvl>
    <w:lvl w:ilvl="3" w:tplc="0E18037C">
      <w:numFmt w:val="decimal"/>
      <w:lvlText w:val=""/>
      <w:lvlJc w:val="left"/>
    </w:lvl>
    <w:lvl w:ilvl="4" w:tplc="2DB848C8">
      <w:numFmt w:val="decimal"/>
      <w:lvlText w:val=""/>
      <w:lvlJc w:val="left"/>
    </w:lvl>
    <w:lvl w:ilvl="5" w:tplc="783E5DCC">
      <w:numFmt w:val="decimal"/>
      <w:lvlText w:val=""/>
      <w:lvlJc w:val="left"/>
    </w:lvl>
    <w:lvl w:ilvl="6" w:tplc="E2F8F1F2">
      <w:numFmt w:val="decimal"/>
      <w:lvlText w:val=""/>
      <w:lvlJc w:val="left"/>
    </w:lvl>
    <w:lvl w:ilvl="7" w:tplc="8D7EA006">
      <w:numFmt w:val="decimal"/>
      <w:lvlText w:val=""/>
      <w:lvlJc w:val="left"/>
    </w:lvl>
    <w:lvl w:ilvl="8" w:tplc="9E1C0FC2">
      <w:numFmt w:val="decimal"/>
      <w:lvlText w:val=""/>
      <w:lvlJc w:val="left"/>
    </w:lvl>
  </w:abstractNum>
  <w:abstractNum w:abstractNumId="995" w15:restartNumberingAfterBreak="0">
    <w:nsid w:val="68B251DE"/>
    <w:multiLevelType w:val="hybridMultilevel"/>
    <w:tmpl w:val="1668FF32"/>
    <w:lvl w:ilvl="0" w:tplc="CB4A66F2">
      <w:start w:val="1"/>
      <w:numFmt w:val="bullet"/>
      <w:lvlText w:val=""/>
      <w:lvlJc w:val="left"/>
      <w:pPr>
        <w:ind w:left="720" w:hanging="360"/>
      </w:pPr>
      <w:rPr>
        <w:rFonts w:ascii="Symbol" w:hAnsi="Symbol" w:hint="default"/>
      </w:rPr>
    </w:lvl>
    <w:lvl w:ilvl="1" w:tplc="EC8A1A10">
      <w:numFmt w:val="decimal"/>
      <w:lvlText w:val=""/>
      <w:lvlJc w:val="left"/>
    </w:lvl>
    <w:lvl w:ilvl="2" w:tplc="16C62C32">
      <w:numFmt w:val="decimal"/>
      <w:lvlText w:val=""/>
      <w:lvlJc w:val="left"/>
    </w:lvl>
    <w:lvl w:ilvl="3" w:tplc="F3104354">
      <w:numFmt w:val="decimal"/>
      <w:lvlText w:val=""/>
      <w:lvlJc w:val="left"/>
    </w:lvl>
    <w:lvl w:ilvl="4" w:tplc="7E724638">
      <w:numFmt w:val="decimal"/>
      <w:lvlText w:val=""/>
      <w:lvlJc w:val="left"/>
    </w:lvl>
    <w:lvl w:ilvl="5" w:tplc="2F3EAAB0">
      <w:numFmt w:val="decimal"/>
      <w:lvlText w:val=""/>
      <w:lvlJc w:val="left"/>
    </w:lvl>
    <w:lvl w:ilvl="6" w:tplc="A8AEC71C">
      <w:numFmt w:val="decimal"/>
      <w:lvlText w:val=""/>
      <w:lvlJc w:val="left"/>
    </w:lvl>
    <w:lvl w:ilvl="7" w:tplc="125819A2">
      <w:numFmt w:val="decimal"/>
      <w:lvlText w:val=""/>
      <w:lvlJc w:val="left"/>
    </w:lvl>
    <w:lvl w:ilvl="8" w:tplc="CE9E1F62">
      <w:numFmt w:val="decimal"/>
      <w:lvlText w:val=""/>
      <w:lvlJc w:val="left"/>
    </w:lvl>
  </w:abstractNum>
  <w:abstractNum w:abstractNumId="996" w15:restartNumberingAfterBreak="0">
    <w:nsid w:val="69896AA6"/>
    <w:multiLevelType w:val="hybridMultilevel"/>
    <w:tmpl w:val="693CB14A"/>
    <w:lvl w:ilvl="0" w:tplc="143EFA70">
      <w:start w:val="1"/>
      <w:numFmt w:val="bullet"/>
      <w:lvlText w:val=""/>
      <w:lvlJc w:val="left"/>
      <w:pPr>
        <w:ind w:left="720" w:hanging="360"/>
      </w:pPr>
      <w:rPr>
        <w:rFonts w:ascii="Symbol" w:hAnsi="Symbol" w:hint="default"/>
      </w:rPr>
    </w:lvl>
    <w:lvl w:ilvl="1" w:tplc="51686422">
      <w:numFmt w:val="decimal"/>
      <w:lvlText w:val=""/>
      <w:lvlJc w:val="left"/>
    </w:lvl>
    <w:lvl w:ilvl="2" w:tplc="D8803F54">
      <w:numFmt w:val="decimal"/>
      <w:lvlText w:val=""/>
      <w:lvlJc w:val="left"/>
    </w:lvl>
    <w:lvl w:ilvl="3" w:tplc="DC368324">
      <w:numFmt w:val="decimal"/>
      <w:lvlText w:val=""/>
      <w:lvlJc w:val="left"/>
    </w:lvl>
    <w:lvl w:ilvl="4" w:tplc="90860AE6">
      <w:numFmt w:val="decimal"/>
      <w:lvlText w:val=""/>
      <w:lvlJc w:val="left"/>
    </w:lvl>
    <w:lvl w:ilvl="5" w:tplc="9A2AB0F4">
      <w:numFmt w:val="decimal"/>
      <w:lvlText w:val=""/>
      <w:lvlJc w:val="left"/>
    </w:lvl>
    <w:lvl w:ilvl="6" w:tplc="0FBA9B02">
      <w:numFmt w:val="decimal"/>
      <w:lvlText w:val=""/>
      <w:lvlJc w:val="left"/>
    </w:lvl>
    <w:lvl w:ilvl="7" w:tplc="00E83548">
      <w:numFmt w:val="decimal"/>
      <w:lvlText w:val=""/>
      <w:lvlJc w:val="left"/>
    </w:lvl>
    <w:lvl w:ilvl="8" w:tplc="7632E060">
      <w:numFmt w:val="decimal"/>
      <w:lvlText w:val=""/>
      <w:lvlJc w:val="left"/>
    </w:lvl>
  </w:abstractNum>
  <w:abstractNum w:abstractNumId="997" w15:restartNumberingAfterBreak="0">
    <w:nsid w:val="69937AA5"/>
    <w:multiLevelType w:val="hybridMultilevel"/>
    <w:tmpl w:val="E2DEF256"/>
    <w:lvl w:ilvl="0" w:tplc="73BC809E">
      <w:numFmt w:val="decimal"/>
      <w:lvlText w:val=""/>
      <w:lvlJc w:val="left"/>
    </w:lvl>
    <w:lvl w:ilvl="1" w:tplc="9BB03870">
      <w:start w:val="1"/>
      <w:numFmt w:val="bullet"/>
      <w:lvlText w:val=""/>
      <w:lvlJc w:val="left"/>
      <w:pPr>
        <w:ind w:left="1440" w:hanging="360"/>
      </w:pPr>
      <w:rPr>
        <w:rFonts w:ascii="Symbol" w:hAnsi="Symbol" w:hint="default"/>
      </w:rPr>
    </w:lvl>
    <w:lvl w:ilvl="2" w:tplc="90963EF0">
      <w:numFmt w:val="decimal"/>
      <w:lvlText w:val=""/>
      <w:lvlJc w:val="left"/>
    </w:lvl>
    <w:lvl w:ilvl="3" w:tplc="D3A88BF0">
      <w:numFmt w:val="decimal"/>
      <w:lvlText w:val=""/>
      <w:lvlJc w:val="left"/>
    </w:lvl>
    <w:lvl w:ilvl="4" w:tplc="E74AC7B2">
      <w:numFmt w:val="decimal"/>
      <w:lvlText w:val=""/>
      <w:lvlJc w:val="left"/>
    </w:lvl>
    <w:lvl w:ilvl="5" w:tplc="9098BD04">
      <w:numFmt w:val="decimal"/>
      <w:lvlText w:val=""/>
      <w:lvlJc w:val="left"/>
    </w:lvl>
    <w:lvl w:ilvl="6" w:tplc="EC5887F2">
      <w:numFmt w:val="decimal"/>
      <w:lvlText w:val=""/>
      <w:lvlJc w:val="left"/>
    </w:lvl>
    <w:lvl w:ilvl="7" w:tplc="EC2838B0">
      <w:numFmt w:val="decimal"/>
      <w:lvlText w:val=""/>
      <w:lvlJc w:val="left"/>
    </w:lvl>
    <w:lvl w:ilvl="8" w:tplc="33383A90">
      <w:numFmt w:val="decimal"/>
      <w:lvlText w:val=""/>
      <w:lvlJc w:val="left"/>
    </w:lvl>
  </w:abstractNum>
  <w:abstractNum w:abstractNumId="998" w15:restartNumberingAfterBreak="0">
    <w:nsid w:val="69A4085E"/>
    <w:multiLevelType w:val="hybridMultilevel"/>
    <w:tmpl w:val="57E2DDC0"/>
    <w:lvl w:ilvl="0" w:tplc="AD948BA4">
      <w:start w:val="1"/>
      <w:numFmt w:val="bullet"/>
      <w:lvlText w:val=""/>
      <w:lvlJc w:val="left"/>
      <w:pPr>
        <w:ind w:left="720" w:hanging="360"/>
      </w:pPr>
      <w:rPr>
        <w:rFonts w:ascii="Symbol" w:hAnsi="Symbol" w:hint="default"/>
      </w:rPr>
    </w:lvl>
    <w:lvl w:ilvl="1" w:tplc="821AAAB8">
      <w:numFmt w:val="decimal"/>
      <w:lvlText w:val=""/>
      <w:lvlJc w:val="left"/>
    </w:lvl>
    <w:lvl w:ilvl="2" w:tplc="EB50FD1A">
      <w:numFmt w:val="decimal"/>
      <w:lvlText w:val=""/>
      <w:lvlJc w:val="left"/>
    </w:lvl>
    <w:lvl w:ilvl="3" w:tplc="723E4856">
      <w:numFmt w:val="decimal"/>
      <w:lvlText w:val=""/>
      <w:lvlJc w:val="left"/>
    </w:lvl>
    <w:lvl w:ilvl="4" w:tplc="7F14C48C">
      <w:numFmt w:val="decimal"/>
      <w:lvlText w:val=""/>
      <w:lvlJc w:val="left"/>
    </w:lvl>
    <w:lvl w:ilvl="5" w:tplc="D7348A22">
      <w:numFmt w:val="decimal"/>
      <w:lvlText w:val=""/>
      <w:lvlJc w:val="left"/>
    </w:lvl>
    <w:lvl w:ilvl="6" w:tplc="AC56F02C">
      <w:numFmt w:val="decimal"/>
      <w:lvlText w:val=""/>
      <w:lvlJc w:val="left"/>
    </w:lvl>
    <w:lvl w:ilvl="7" w:tplc="63007D5A">
      <w:numFmt w:val="decimal"/>
      <w:lvlText w:val=""/>
      <w:lvlJc w:val="left"/>
    </w:lvl>
    <w:lvl w:ilvl="8" w:tplc="856261F2">
      <w:numFmt w:val="decimal"/>
      <w:lvlText w:val=""/>
      <w:lvlJc w:val="left"/>
    </w:lvl>
  </w:abstractNum>
  <w:abstractNum w:abstractNumId="999" w15:restartNumberingAfterBreak="0">
    <w:nsid w:val="69BB7A1B"/>
    <w:multiLevelType w:val="hybridMultilevel"/>
    <w:tmpl w:val="6AB28FCA"/>
    <w:lvl w:ilvl="0" w:tplc="D6A4F7F4">
      <w:start w:val="1"/>
      <w:numFmt w:val="bullet"/>
      <w:lvlText w:val=""/>
      <w:lvlJc w:val="left"/>
      <w:pPr>
        <w:ind w:left="720" w:hanging="360"/>
      </w:pPr>
      <w:rPr>
        <w:rFonts w:ascii="Symbol" w:hAnsi="Symbol" w:hint="default"/>
      </w:rPr>
    </w:lvl>
    <w:lvl w:ilvl="1" w:tplc="CDE2099A">
      <w:numFmt w:val="decimal"/>
      <w:lvlText w:val=""/>
      <w:lvlJc w:val="left"/>
    </w:lvl>
    <w:lvl w:ilvl="2" w:tplc="C9AEAFC4">
      <w:numFmt w:val="decimal"/>
      <w:lvlText w:val=""/>
      <w:lvlJc w:val="left"/>
    </w:lvl>
    <w:lvl w:ilvl="3" w:tplc="97981536">
      <w:numFmt w:val="decimal"/>
      <w:lvlText w:val=""/>
      <w:lvlJc w:val="left"/>
    </w:lvl>
    <w:lvl w:ilvl="4" w:tplc="2D3A5720">
      <w:numFmt w:val="decimal"/>
      <w:lvlText w:val=""/>
      <w:lvlJc w:val="left"/>
    </w:lvl>
    <w:lvl w:ilvl="5" w:tplc="C59C721A">
      <w:numFmt w:val="decimal"/>
      <w:lvlText w:val=""/>
      <w:lvlJc w:val="left"/>
    </w:lvl>
    <w:lvl w:ilvl="6" w:tplc="B9E2AE28">
      <w:numFmt w:val="decimal"/>
      <w:lvlText w:val=""/>
      <w:lvlJc w:val="left"/>
    </w:lvl>
    <w:lvl w:ilvl="7" w:tplc="DF8EEDB4">
      <w:numFmt w:val="decimal"/>
      <w:lvlText w:val=""/>
      <w:lvlJc w:val="left"/>
    </w:lvl>
    <w:lvl w:ilvl="8" w:tplc="AB6A9F1C">
      <w:numFmt w:val="decimal"/>
      <w:lvlText w:val=""/>
      <w:lvlJc w:val="left"/>
    </w:lvl>
  </w:abstractNum>
  <w:abstractNum w:abstractNumId="1000" w15:restartNumberingAfterBreak="0">
    <w:nsid w:val="69E66EA2"/>
    <w:multiLevelType w:val="hybridMultilevel"/>
    <w:tmpl w:val="20CC7978"/>
    <w:lvl w:ilvl="0" w:tplc="75A83982">
      <w:start w:val="1"/>
      <w:numFmt w:val="bullet"/>
      <w:lvlText w:val=""/>
      <w:lvlJc w:val="left"/>
      <w:pPr>
        <w:ind w:left="720" w:hanging="360"/>
      </w:pPr>
      <w:rPr>
        <w:rFonts w:ascii="Symbol" w:hAnsi="Symbol" w:hint="default"/>
      </w:rPr>
    </w:lvl>
    <w:lvl w:ilvl="1" w:tplc="9AB0FBBA">
      <w:numFmt w:val="decimal"/>
      <w:lvlText w:val=""/>
      <w:lvlJc w:val="left"/>
    </w:lvl>
    <w:lvl w:ilvl="2" w:tplc="CC0C93BE">
      <w:numFmt w:val="decimal"/>
      <w:lvlText w:val=""/>
      <w:lvlJc w:val="left"/>
    </w:lvl>
    <w:lvl w:ilvl="3" w:tplc="66ECFA54">
      <w:numFmt w:val="decimal"/>
      <w:lvlText w:val=""/>
      <w:lvlJc w:val="left"/>
    </w:lvl>
    <w:lvl w:ilvl="4" w:tplc="EB9A0B66">
      <w:numFmt w:val="decimal"/>
      <w:lvlText w:val=""/>
      <w:lvlJc w:val="left"/>
    </w:lvl>
    <w:lvl w:ilvl="5" w:tplc="BCDE1EC4">
      <w:numFmt w:val="decimal"/>
      <w:lvlText w:val=""/>
      <w:lvlJc w:val="left"/>
    </w:lvl>
    <w:lvl w:ilvl="6" w:tplc="CD4445E6">
      <w:numFmt w:val="decimal"/>
      <w:lvlText w:val=""/>
      <w:lvlJc w:val="left"/>
    </w:lvl>
    <w:lvl w:ilvl="7" w:tplc="F0768CB0">
      <w:numFmt w:val="decimal"/>
      <w:lvlText w:val=""/>
      <w:lvlJc w:val="left"/>
    </w:lvl>
    <w:lvl w:ilvl="8" w:tplc="CE0E9980">
      <w:numFmt w:val="decimal"/>
      <w:lvlText w:val=""/>
      <w:lvlJc w:val="left"/>
    </w:lvl>
  </w:abstractNum>
  <w:abstractNum w:abstractNumId="1001" w15:restartNumberingAfterBreak="0">
    <w:nsid w:val="6A6E505D"/>
    <w:multiLevelType w:val="hybridMultilevel"/>
    <w:tmpl w:val="7DCA3BB2"/>
    <w:lvl w:ilvl="0" w:tplc="A72A5EB0">
      <w:start w:val="1"/>
      <w:numFmt w:val="bullet"/>
      <w:lvlText w:val=""/>
      <w:lvlJc w:val="left"/>
      <w:pPr>
        <w:ind w:left="720" w:hanging="360"/>
      </w:pPr>
      <w:rPr>
        <w:rFonts w:ascii="Symbol" w:hAnsi="Symbol" w:hint="default"/>
      </w:rPr>
    </w:lvl>
    <w:lvl w:ilvl="1" w:tplc="E27642FE">
      <w:numFmt w:val="decimal"/>
      <w:lvlText w:val=""/>
      <w:lvlJc w:val="left"/>
    </w:lvl>
    <w:lvl w:ilvl="2" w:tplc="54860214">
      <w:numFmt w:val="decimal"/>
      <w:lvlText w:val=""/>
      <w:lvlJc w:val="left"/>
    </w:lvl>
    <w:lvl w:ilvl="3" w:tplc="0B84476A">
      <w:numFmt w:val="decimal"/>
      <w:lvlText w:val=""/>
      <w:lvlJc w:val="left"/>
    </w:lvl>
    <w:lvl w:ilvl="4" w:tplc="3E0CE66C">
      <w:numFmt w:val="decimal"/>
      <w:lvlText w:val=""/>
      <w:lvlJc w:val="left"/>
    </w:lvl>
    <w:lvl w:ilvl="5" w:tplc="54000CF8">
      <w:numFmt w:val="decimal"/>
      <w:lvlText w:val=""/>
      <w:lvlJc w:val="left"/>
    </w:lvl>
    <w:lvl w:ilvl="6" w:tplc="C1AEE198">
      <w:numFmt w:val="decimal"/>
      <w:lvlText w:val=""/>
      <w:lvlJc w:val="left"/>
    </w:lvl>
    <w:lvl w:ilvl="7" w:tplc="32728532">
      <w:numFmt w:val="decimal"/>
      <w:lvlText w:val=""/>
      <w:lvlJc w:val="left"/>
    </w:lvl>
    <w:lvl w:ilvl="8" w:tplc="76EE09FE">
      <w:numFmt w:val="decimal"/>
      <w:lvlText w:val=""/>
      <w:lvlJc w:val="left"/>
    </w:lvl>
  </w:abstractNum>
  <w:abstractNum w:abstractNumId="1002" w15:restartNumberingAfterBreak="0">
    <w:nsid w:val="6A7013CC"/>
    <w:multiLevelType w:val="hybridMultilevel"/>
    <w:tmpl w:val="5942B158"/>
    <w:lvl w:ilvl="0" w:tplc="F53A6D10">
      <w:start w:val="1"/>
      <w:numFmt w:val="bullet"/>
      <w:lvlText w:val=""/>
      <w:lvlJc w:val="left"/>
      <w:pPr>
        <w:ind w:left="720" w:hanging="360"/>
      </w:pPr>
      <w:rPr>
        <w:rFonts w:ascii="Symbol" w:hAnsi="Symbol" w:hint="default"/>
      </w:rPr>
    </w:lvl>
    <w:lvl w:ilvl="1" w:tplc="832A5F20">
      <w:numFmt w:val="decimal"/>
      <w:lvlText w:val=""/>
      <w:lvlJc w:val="left"/>
    </w:lvl>
    <w:lvl w:ilvl="2" w:tplc="E0EA34E8">
      <w:numFmt w:val="decimal"/>
      <w:lvlText w:val=""/>
      <w:lvlJc w:val="left"/>
    </w:lvl>
    <w:lvl w:ilvl="3" w:tplc="38C67E4E">
      <w:numFmt w:val="decimal"/>
      <w:lvlText w:val=""/>
      <w:lvlJc w:val="left"/>
    </w:lvl>
    <w:lvl w:ilvl="4" w:tplc="11066FCA">
      <w:numFmt w:val="decimal"/>
      <w:lvlText w:val=""/>
      <w:lvlJc w:val="left"/>
    </w:lvl>
    <w:lvl w:ilvl="5" w:tplc="32BEF040">
      <w:numFmt w:val="decimal"/>
      <w:lvlText w:val=""/>
      <w:lvlJc w:val="left"/>
    </w:lvl>
    <w:lvl w:ilvl="6" w:tplc="8EB2ED86">
      <w:numFmt w:val="decimal"/>
      <w:lvlText w:val=""/>
      <w:lvlJc w:val="left"/>
    </w:lvl>
    <w:lvl w:ilvl="7" w:tplc="EF60C9C4">
      <w:numFmt w:val="decimal"/>
      <w:lvlText w:val=""/>
      <w:lvlJc w:val="left"/>
    </w:lvl>
    <w:lvl w:ilvl="8" w:tplc="D730DC46">
      <w:numFmt w:val="decimal"/>
      <w:lvlText w:val=""/>
      <w:lvlJc w:val="left"/>
    </w:lvl>
  </w:abstractNum>
  <w:abstractNum w:abstractNumId="1003" w15:restartNumberingAfterBreak="0">
    <w:nsid w:val="6A894C20"/>
    <w:multiLevelType w:val="hybridMultilevel"/>
    <w:tmpl w:val="5F3270F2"/>
    <w:lvl w:ilvl="0" w:tplc="5984716C">
      <w:start w:val="1"/>
      <w:numFmt w:val="bullet"/>
      <w:lvlText w:val=""/>
      <w:lvlJc w:val="left"/>
      <w:pPr>
        <w:ind w:left="720" w:hanging="360"/>
      </w:pPr>
      <w:rPr>
        <w:rFonts w:ascii="Symbol" w:hAnsi="Symbol" w:hint="default"/>
      </w:rPr>
    </w:lvl>
    <w:lvl w:ilvl="1" w:tplc="B5B42C38">
      <w:numFmt w:val="decimal"/>
      <w:lvlText w:val=""/>
      <w:lvlJc w:val="left"/>
    </w:lvl>
    <w:lvl w:ilvl="2" w:tplc="D0DE792C">
      <w:numFmt w:val="decimal"/>
      <w:lvlText w:val=""/>
      <w:lvlJc w:val="left"/>
    </w:lvl>
    <w:lvl w:ilvl="3" w:tplc="F3DCE22C">
      <w:numFmt w:val="decimal"/>
      <w:lvlText w:val=""/>
      <w:lvlJc w:val="left"/>
    </w:lvl>
    <w:lvl w:ilvl="4" w:tplc="363C130C">
      <w:numFmt w:val="decimal"/>
      <w:lvlText w:val=""/>
      <w:lvlJc w:val="left"/>
    </w:lvl>
    <w:lvl w:ilvl="5" w:tplc="37700F90">
      <w:numFmt w:val="decimal"/>
      <w:lvlText w:val=""/>
      <w:lvlJc w:val="left"/>
    </w:lvl>
    <w:lvl w:ilvl="6" w:tplc="443AB6D6">
      <w:numFmt w:val="decimal"/>
      <w:lvlText w:val=""/>
      <w:lvlJc w:val="left"/>
    </w:lvl>
    <w:lvl w:ilvl="7" w:tplc="A306C55C">
      <w:numFmt w:val="decimal"/>
      <w:lvlText w:val=""/>
      <w:lvlJc w:val="left"/>
    </w:lvl>
    <w:lvl w:ilvl="8" w:tplc="FC16A46A">
      <w:numFmt w:val="decimal"/>
      <w:lvlText w:val=""/>
      <w:lvlJc w:val="left"/>
    </w:lvl>
  </w:abstractNum>
  <w:abstractNum w:abstractNumId="1004" w15:restartNumberingAfterBreak="0">
    <w:nsid w:val="6ABD3573"/>
    <w:multiLevelType w:val="hybridMultilevel"/>
    <w:tmpl w:val="5914AFB2"/>
    <w:lvl w:ilvl="0" w:tplc="CF96597A">
      <w:start w:val="1"/>
      <w:numFmt w:val="bullet"/>
      <w:lvlText w:val=""/>
      <w:lvlJc w:val="left"/>
      <w:pPr>
        <w:ind w:left="720" w:hanging="360"/>
      </w:pPr>
      <w:rPr>
        <w:rFonts w:ascii="Symbol" w:hAnsi="Symbol" w:hint="default"/>
      </w:rPr>
    </w:lvl>
    <w:lvl w:ilvl="1" w:tplc="FEFA6CE0">
      <w:numFmt w:val="decimal"/>
      <w:lvlText w:val=""/>
      <w:lvlJc w:val="left"/>
    </w:lvl>
    <w:lvl w:ilvl="2" w:tplc="2F3EE75E">
      <w:numFmt w:val="decimal"/>
      <w:lvlText w:val=""/>
      <w:lvlJc w:val="left"/>
    </w:lvl>
    <w:lvl w:ilvl="3" w:tplc="A6BAD986">
      <w:numFmt w:val="decimal"/>
      <w:lvlText w:val=""/>
      <w:lvlJc w:val="left"/>
    </w:lvl>
    <w:lvl w:ilvl="4" w:tplc="7E82B7F6">
      <w:numFmt w:val="decimal"/>
      <w:lvlText w:val=""/>
      <w:lvlJc w:val="left"/>
    </w:lvl>
    <w:lvl w:ilvl="5" w:tplc="E22E86EE">
      <w:numFmt w:val="decimal"/>
      <w:lvlText w:val=""/>
      <w:lvlJc w:val="left"/>
    </w:lvl>
    <w:lvl w:ilvl="6" w:tplc="CFD25144">
      <w:numFmt w:val="decimal"/>
      <w:lvlText w:val=""/>
      <w:lvlJc w:val="left"/>
    </w:lvl>
    <w:lvl w:ilvl="7" w:tplc="02642120">
      <w:numFmt w:val="decimal"/>
      <w:lvlText w:val=""/>
      <w:lvlJc w:val="left"/>
    </w:lvl>
    <w:lvl w:ilvl="8" w:tplc="3D6E0092">
      <w:numFmt w:val="decimal"/>
      <w:lvlText w:val=""/>
      <w:lvlJc w:val="left"/>
    </w:lvl>
  </w:abstractNum>
  <w:abstractNum w:abstractNumId="1005" w15:restartNumberingAfterBreak="0">
    <w:nsid w:val="6ADB33B6"/>
    <w:multiLevelType w:val="hybridMultilevel"/>
    <w:tmpl w:val="042C8284"/>
    <w:lvl w:ilvl="0" w:tplc="7FBE25E2">
      <w:start w:val="1"/>
      <w:numFmt w:val="bullet"/>
      <w:lvlText w:val=""/>
      <w:lvlJc w:val="left"/>
      <w:pPr>
        <w:ind w:left="720" w:hanging="360"/>
      </w:pPr>
      <w:rPr>
        <w:rFonts w:ascii="Symbol" w:hAnsi="Symbol" w:hint="default"/>
      </w:rPr>
    </w:lvl>
    <w:lvl w:ilvl="1" w:tplc="B21EA862">
      <w:numFmt w:val="decimal"/>
      <w:lvlText w:val=""/>
      <w:lvlJc w:val="left"/>
    </w:lvl>
    <w:lvl w:ilvl="2" w:tplc="67ACBB96">
      <w:numFmt w:val="decimal"/>
      <w:lvlText w:val=""/>
      <w:lvlJc w:val="left"/>
    </w:lvl>
    <w:lvl w:ilvl="3" w:tplc="1B0E2C4C">
      <w:numFmt w:val="decimal"/>
      <w:lvlText w:val=""/>
      <w:lvlJc w:val="left"/>
    </w:lvl>
    <w:lvl w:ilvl="4" w:tplc="AA26F70A">
      <w:numFmt w:val="decimal"/>
      <w:lvlText w:val=""/>
      <w:lvlJc w:val="left"/>
    </w:lvl>
    <w:lvl w:ilvl="5" w:tplc="D460060C">
      <w:numFmt w:val="decimal"/>
      <w:lvlText w:val=""/>
      <w:lvlJc w:val="left"/>
    </w:lvl>
    <w:lvl w:ilvl="6" w:tplc="45F0756C">
      <w:numFmt w:val="decimal"/>
      <w:lvlText w:val=""/>
      <w:lvlJc w:val="left"/>
    </w:lvl>
    <w:lvl w:ilvl="7" w:tplc="1ED6475E">
      <w:numFmt w:val="decimal"/>
      <w:lvlText w:val=""/>
      <w:lvlJc w:val="left"/>
    </w:lvl>
    <w:lvl w:ilvl="8" w:tplc="6EBEED74">
      <w:numFmt w:val="decimal"/>
      <w:lvlText w:val=""/>
      <w:lvlJc w:val="left"/>
    </w:lvl>
  </w:abstractNum>
  <w:abstractNum w:abstractNumId="1006" w15:restartNumberingAfterBreak="0">
    <w:nsid w:val="6AEA6EFF"/>
    <w:multiLevelType w:val="hybridMultilevel"/>
    <w:tmpl w:val="F2E2622C"/>
    <w:lvl w:ilvl="0" w:tplc="D090A182">
      <w:start w:val="1"/>
      <w:numFmt w:val="bullet"/>
      <w:lvlText w:val=""/>
      <w:lvlJc w:val="left"/>
      <w:pPr>
        <w:ind w:left="720" w:hanging="360"/>
      </w:pPr>
      <w:rPr>
        <w:rFonts w:ascii="Symbol" w:hAnsi="Symbol" w:hint="default"/>
      </w:rPr>
    </w:lvl>
    <w:lvl w:ilvl="1" w:tplc="90605A1E">
      <w:numFmt w:val="decimal"/>
      <w:lvlText w:val=""/>
      <w:lvlJc w:val="left"/>
    </w:lvl>
    <w:lvl w:ilvl="2" w:tplc="9338580C">
      <w:numFmt w:val="decimal"/>
      <w:lvlText w:val=""/>
      <w:lvlJc w:val="left"/>
    </w:lvl>
    <w:lvl w:ilvl="3" w:tplc="4992B32A">
      <w:numFmt w:val="decimal"/>
      <w:lvlText w:val=""/>
      <w:lvlJc w:val="left"/>
    </w:lvl>
    <w:lvl w:ilvl="4" w:tplc="CEA657B0">
      <w:numFmt w:val="decimal"/>
      <w:lvlText w:val=""/>
      <w:lvlJc w:val="left"/>
    </w:lvl>
    <w:lvl w:ilvl="5" w:tplc="513AAC16">
      <w:numFmt w:val="decimal"/>
      <w:lvlText w:val=""/>
      <w:lvlJc w:val="left"/>
    </w:lvl>
    <w:lvl w:ilvl="6" w:tplc="60A06824">
      <w:numFmt w:val="decimal"/>
      <w:lvlText w:val=""/>
      <w:lvlJc w:val="left"/>
    </w:lvl>
    <w:lvl w:ilvl="7" w:tplc="A6DAA948">
      <w:numFmt w:val="decimal"/>
      <w:lvlText w:val=""/>
      <w:lvlJc w:val="left"/>
    </w:lvl>
    <w:lvl w:ilvl="8" w:tplc="DBF4AC2E">
      <w:numFmt w:val="decimal"/>
      <w:lvlText w:val=""/>
      <w:lvlJc w:val="left"/>
    </w:lvl>
  </w:abstractNum>
  <w:abstractNum w:abstractNumId="1007" w15:restartNumberingAfterBreak="0">
    <w:nsid w:val="6B475F5A"/>
    <w:multiLevelType w:val="hybridMultilevel"/>
    <w:tmpl w:val="8F1C8D92"/>
    <w:lvl w:ilvl="0" w:tplc="A3B01220">
      <w:start w:val="1"/>
      <w:numFmt w:val="bullet"/>
      <w:lvlText w:val=""/>
      <w:lvlJc w:val="left"/>
      <w:pPr>
        <w:ind w:left="720" w:hanging="360"/>
      </w:pPr>
      <w:rPr>
        <w:rFonts w:ascii="Symbol" w:hAnsi="Symbol" w:hint="default"/>
      </w:rPr>
    </w:lvl>
    <w:lvl w:ilvl="1" w:tplc="B336D138">
      <w:numFmt w:val="decimal"/>
      <w:lvlText w:val=""/>
      <w:lvlJc w:val="left"/>
    </w:lvl>
    <w:lvl w:ilvl="2" w:tplc="04A0EDE8">
      <w:numFmt w:val="decimal"/>
      <w:lvlText w:val=""/>
      <w:lvlJc w:val="left"/>
    </w:lvl>
    <w:lvl w:ilvl="3" w:tplc="666A8720">
      <w:numFmt w:val="decimal"/>
      <w:lvlText w:val=""/>
      <w:lvlJc w:val="left"/>
    </w:lvl>
    <w:lvl w:ilvl="4" w:tplc="6534D2B2">
      <w:numFmt w:val="decimal"/>
      <w:lvlText w:val=""/>
      <w:lvlJc w:val="left"/>
    </w:lvl>
    <w:lvl w:ilvl="5" w:tplc="94BA13CE">
      <w:numFmt w:val="decimal"/>
      <w:lvlText w:val=""/>
      <w:lvlJc w:val="left"/>
    </w:lvl>
    <w:lvl w:ilvl="6" w:tplc="2AC40B56">
      <w:numFmt w:val="decimal"/>
      <w:lvlText w:val=""/>
      <w:lvlJc w:val="left"/>
    </w:lvl>
    <w:lvl w:ilvl="7" w:tplc="4E269F9C">
      <w:numFmt w:val="decimal"/>
      <w:lvlText w:val=""/>
      <w:lvlJc w:val="left"/>
    </w:lvl>
    <w:lvl w:ilvl="8" w:tplc="AEF0BB7A">
      <w:numFmt w:val="decimal"/>
      <w:lvlText w:val=""/>
      <w:lvlJc w:val="left"/>
    </w:lvl>
  </w:abstractNum>
  <w:abstractNum w:abstractNumId="1008" w15:restartNumberingAfterBreak="0">
    <w:nsid w:val="6B7D7381"/>
    <w:multiLevelType w:val="hybridMultilevel"/>
    <w:tmpl w:val="E626ECAA"/>
    <w:lvl w:ilvl="0" w:tplc="D65059C4">
      <w:start w:val="1"/>
      <w:numFmt w:val="bullet"/>
      <w:lvlText w:val=""/>
      <w:lvlJc w:val="left"/>
      <w:pPr>
        <w:ind w:left="720" w:hanging="360"/>
      </w:pPr>
      <w:rPr>
        <w:rFonts w:ascii="Symbol" w:hAnsi="Symbol" w:hint="default"/>
      </w:rPr>
    </w:lvl>
    <w:lvl w:ilvl="1" w:tplc="51B4E448">
      <w:numFmt w:val="decimal"/>
      <w:lvlText w:val=""/>
      <w:lvlJc w:val="left"/>
    </w:lvl>
    <w:lvl w:ilvl="2" w:tplc="1D20D1E4">
      <w:numFmt w:val="decimal"/>
      <w:lvlText w:val=""/>
      <w:lvlJc w:val="left"/>
    </w:lvl>
    <w:lvl w:ilvl="3" w:tplc="9346511E">
      <w:numFmt w:val="decimal"/>
      <w:lvlText w:val=""/>
      <w:lvlJc w:val="left"/>
    </w:lvl>
    <w:lvl w:ilvl="4" w:tplc="615215D0">
      <w:numFmt w:val="decimal"/>
      <w:lvlText w:val=""/>
      <w:lvlJc w:val="left"/>
    </w:lvl>
    <w:lvl w:ilvl="5" w:tplc="2C82DEA4">
      <w:numFmt w:val="decimal"/>
      <w:lvlText w:val=""/>
      <w:lvlJc w:val="left"/>
    </w:lvl>
    <w:lvl w:ilvl="6" w:tplc="B85E96F4">
      <w:numFmt w:val="decimal"/>
      <w:lvlText w:val=""/>
      <w:lvlJc w:val="left"/>
    </w:lvl>
    <w:lvl w:ilvl="7" w:tplc="9146C666">
      <w:numFmt w:val="decimal"/>
      <w:lvlText w:val=""/>
      <w:lvlJc w:val="left"/>
    </w:lvl>
    <w:lvl w:ilvl="8" w:tplc="E79876AC">
      <w:numFmt w:val="decimal"/>
      <w:lvlText w:val=""/>
      <w:lvlJc w:val="left"/>
    </w:lvl>
  </w:abstractNum>
  <w:abstractNum w:abstractNumId="1009" w15:restartNumberingAfterBreak="0">
    <w:nsid w:val="6B7E0E85"/>
    <w:multiLevelType w:val="hybridMultilevel"/>
    <w:tmpl w:val="825A4316"/>
    <w:lvl w:ilvl="0" w:tplc="0D6EB358">
      <w:start w:val="1"/>
      <w:numFmt w:val="bullet"/>
      <w:lvlText w:val=""/>
      <w:lvlJc w:val="left"/>
      <w:pPr>
        <w:ind w:left="720" w:hanging="360"/>
      </w:pPr>
      <w:rPr>
        <w:rFonts w:ascii="Symbol" w:hAnsi="Symbol" w:hint="default"/>
      </w:rPr>
    </w:lvl>
    <w:lvl w:ilvl="1" w:tplc="A9FE081A">
      <w:numFmt w:val="decimal"/>
      <w:lvlText w:val=""/>
      <w:lvlJc w:val="left"/>
    </w:lvl>
    <w:lvl w:ilvl="2" w:tplc="14127B7A">
      <w:numFmt w:val="decimal"/>
      <w:lvlText w:val=""/>
      <w:lvlJc w:val="left"/>
    </w:lvl>
    <w:lvl w:ilvl="3" w:tplc="828488FA">
      <w:numFmt w:val="decimal"/>
      <w:lvlText w:val=""/>
      <w:lvlJc w:val="left"/>
    </w:lvl>
    <w:lvl w:ilvl="4" w:tplc="4E9299C0">
      <w:numFmt w:val="decimal"/>
      <w:lvlText w:val=""/>
      <w:lvlJc w:val="left"/>
    </w:lvl>
    <w:lvl w:ilvl="5" w:tplc="C99AD770">
      <w:numFmt w:val="decimal"/>
      <w:lvlText w:val=""/>
      <w:lvlJc w:val="left"/>
    </w:lvl>
    <w:lvl w:ilvl="6" w:tplc="5FF4A858">
      <w:numFmt w:val="decimal"/>
      <w:lvlText w:val=""/>
      <w:lvlJc w:val="left"/>
    </w:lvl>
    <w:lvl w:ilvl="7" w:tplc="C03C3BCC">
      <w:numFmt w:val="decimal"/>
      <w:lvlText w:val=""/>
      <w:lvlJc w:val="left"/>
    </w:lvl>
    <w:lvl w:ilvl="8" w:tplc="6386A40E">
      <w:numFmt w:val="decimal"/>
      <w:lvlText w:val=""/>
      <w:lvlJc w:val="left"/>
    </w:lvl>
  </w:abstractNum>
  <w:abstractNum w:abstractNumId="1010" w15:restartNumberingAfterBreak="0">
    <w:nsid w:val="6BB37535"/>
    <w:multiLevelType w:val="hybridMultilevel"/>
    <w:tmpl w:val="8DD6C3AC"/>
    <w:lvl w:ilvl="0" w:tplc="19008F2C">
      <w:start w:val="1"/>
      <w:numFmt w:val="bullet"/>
      <w:lvlText w:val=""/>
      <w:lvlJc w:val="left"/>
      <w:pPr>
        <w:ind w:left="720" w:hanging="360"/>
      </w:pPr>
      <w:rPr>
        <w:rFonts w:ascii="Symbol" w:hAnsi="Symbol" w:hint="default"/>
      </w:rPr>
    </w:lvl>
    <w:lvl w:ilvl="1" w:tplc="2012B8E2">
      <w:numFmt w:val="decimal"/>
      <w:lvlText w:val=""/>
      <w:lvlJc w:val="left"/>
    </w:lvl>
    <w:lvl w:ilvl="2" w:tplc="4C363138">
      <w:numFmt w:val="decimal"/>
      <w:lvlText w:val=""/>
      <w:lvlJc w:val="left"/>
    </w:lvl>
    <w:lvl w:ilvl="3" w:tplc="840E8900">
      <w:numFmt w:val="decimal"/>
      <w:lvlText w:val=""/>
      <w:lvlJc w:val="left"/>
    </w:lvl>
    <w:lvl w:ilvl="4" w:tplc="608E9DDA">
      <w:numFmt w:val="decimal"/>
      <w:lvlText w:val=""/>
      <w:lvlJc w:val="left"/>
    </w:lvl>
    <w:lvl w:ilvl="5" w:tplc="387C7034">
      <w:numFmt w:val="decimal"/>
      <w:lvlText w:val=""/>
      <w:lvlJc w:val="left"/>
    </w:lvl>
    <w:lvl w:ilvl="6" w:tplc="D6D440E4">
      <w:numFmt w:val="decimal"/>
      <w:lvlText w:val=""/>
      <w:lvlJc w:val="left"/>
    </w:lvl>
    <w:lvl w:ilvl="7" w:tplc="D5B8A4EA">
      <w:numFmt w:val="decimal"/>
      <w:lvlText w:val=""/>
      <w:lvlJc w:val="left"/>
    </w:lvl>
    <w:lvl w:ilvl="8" w:tplc="2B5E3932">
      <w:numFmt w:val="decimal"/>
      <w:lvlText w:val=""/>
      <w:lvlJc w:val="left"/>
    </w:lvl>
  </w:abstractNum>
  <w:abstractNum w:abstractNumId="1011" w15:restartNumberingAfterBreak="0">
    <w:nsid w:val="6BB67D70"/>
    <w:multiLevelType w:val="hybridMultilevel"/>
    <w:tmpl w:val="1FA201D4"/>
    <w:lvl w:ilvl="0" w:tplc="722C7FC0">
      <w:start w:val="1"/>
      <w:numFmt w:val="bullet"/>
      <w:lvlText w:val=""/>
      <w:lvlJc w:val="left"/>
      <w:pPr>
        <w:ind w:left="720" w:hanging="360"/>
      </w:pPr>
      <w:rPr>
        <w:rFonts w:ascii="Symbol" w:hAnsi="Symbol" w:hint="default"/>
      </w:rPr>
    </w:lvl>
    <w:lvl w:ilvl="1" w:tplc="664CE0E2">
      <w:numFmt w:val="decimal"/>
      <w:lvlText w:val=""/>
      <w:lvlJc w:val="left"/>
    </w:lvl>
    <w:lvl w:ilvl="2" w:tplc="021685EC">
      <w:numFmt w:val="decimal"/>
      <w:lvlText w:val=""/>
      <w:lvlJc w:val="left"/>
    </w:lvl>
    <w:lvl w:ilvl="3" w:tplc="16CE52D8">
      <w:numFmt w:val="decimal"/>
      <w:lvlText w:val=""/>
      <w:lvlJc w:val="left"/>
    </w:lvl>
    <w:lvl w:ilvl="4" w:tplc="7BA4C0F4">
      <w:numFmt w:val="decimal"/>
      <w:lvlText w:val=""/>
      <w:lvlJc w:val="left"/>
    </w:lvl>
    <w:lvl w:ilvl="5" w:tplc="EB1C3DFA">
      <w:numFmt w:val="decimal"/>
      <w:lvlText w:val=""/>
      <w:lvlJc w:val="left"/>
    </w:lvl>
    <w:lvl w:ilvl="6" w:tplc="0278359C">
      <w:numFmt w:val="decimal"/>
      <w:lvlText w:val=""/>
      <w:lvlJc w:val="left"/>
    </w:lvl>
    <w:lvl w:ilvl="7" w:tplc="F0B0157E">
      <w:numFmt w:val="decimal"/>
      <w:lvlText w:val=""/>
      <w:lvlJc w:val="left"/>
    </w:lvl>
    <w:lvl w:ilvl="8" w:tplc="D932E566">
      <w:numFmt w:val="decimal"/>
      <w:lvlText w:val=""/>
      <w:lvlJc w:val="left"/>
    </w:lvl>
  </w:abstractNum>
  <w:abstractNum w:abstractNumId="1012" w15:restartNumberingAfterBreak="0">
    <w:nsid w:val="6BC10FA2"/>
    <w:multiLevelType w:val="hybridMultilevel"/>
    <w:tmpl w:val="B99C4F76"/>
    <w:lvl w:ilvl="0" w:tplc="BB66E61C">
      <w:start w:val="1"/>
      <w:numFmt w:val="bullet"/>
      <w:lvlText w:val=""/>
      <w:lvlJc w:val="left"/>
      <w:pPr>
        <w:ind w:left="720" w:hanging="360"/>
      </w:pPr>
      <w:rPr>
        <w:rFonts w:ascii="Symbol" w:hAnsi="Symbol" w:hint="default"/>
      </w:rPr>
    </w:lvl>
    <w:lvl w:ilvl="1" w:tplc="7E7C0394">
      <w:numFmt w:val="decimal"/>
      <w:lvlText w:val=""/>
      <w:lvlJc w:val="left"/>
    </w:lvl>
    <w:lvl w:ilvl="2" w:tplc="92B2339A">
      <w:numFmt w:val="decimal"/>
      <w:lvlText w:val=""/>
      <w:lvlJc w:val="left"/>
    </w:lvl>
    <w:lvl w:ilvl="3" w:tplc="12EA13F6">
      <w:numFmt w:val="decimal"/>
      <w:lvlText w:val=""/>
      <w:lvlJc w:val="left"/>
    </w:lvl>
    <w:lvl w:ilvl="4" w:tplc="336C41DA">
      <w:numFmt w:val="decimal"/>
      <w:lvlText w:val=""/>
      <w:lvlJc w:val="left"/>
    </w:lvl>
    <w:lvl w:ilvl="5" w:tplc="9F88A6DE">
      <w:numFmt w:val="decimal"/>
      <w:lvlText w:val=""/>
      <w:lvlJc w:val="left"/>
    </w:lvl>
    <w:lvl w:ilvl="6" w:tplc="3CAAB58C">
      <w:numFmt w:val="decimal"/>
      <w:lvlText w:val=""/>
      <w:lvlJc w:val="left"/>
    </w:lvl>
    <w:lvl w:ilvl="7" w:tplc="62EEB00A">
      <w:numFmt w:val="decimal"/>
      <w:lvlText w:val=""/>
      <w:lvlJc w:val="left"/>
    </w:lvl>
    <w:lvl w:ilvl="8" w:tplc="F3CA38EE">
      <w:numFmt w:val="decimal"/>
      <w:lvlText w:val=""/>
      <w:lvlJc w:val="left"/>
    </w:lvl>
  </w:abstractNum>
  <w:abstractNum w:abstractNumId="1013" w15:restartNumberingAfterBreak="0">
    <w:nsid w:val="6BCD7109"/>
    <w:multiLevelType w:val="hybridMultilevel"/>
    <w:tmpl w:val="8410BDD6"/>
    <w:lvl w:ilvl="0" w:tplc="501830E0">
      <w:start w:val="1"/>
      <w:numFmt w:val="bullet"/>
      <w:lvlText w:val=""/>
      <w:lvlJc w:val="left"/>
      <w:pPr>
        <w:ind w:left="720" w:hanging="360"/>
      </w:pPr>
      <w:rPr>
        <w:rFonts w:ascii="Symbol" w:hAnsi="Symbol" w:hint="default"/>
      </w:rPr>
    </w:lvl>
    <w:lvl w:ilvl="1" w:tplc="88909E92">
      <w:numFmt w:val="decimal"/>
      <w:lvlText w:val=""/>
      <w:lvlJc w:val="left"/>
    </w:lvl>
    <w:lvl w:ilvl="2" w:tplc="EC54D024">
      <w:numFmt w:val="decimal"/>
      <w:lvlText w:val=""/>
      <w:lvlJc w:val="left"/>
    </w:lvl>
    <w:lvl w:ilvl="3" w:tplc="B276F534">
      <w:numFmt w:val="decimal"/>
      <w:lvlText w:val=""/>
      <w:lvlJc w:val="left"/>
    </w:lvl>
    <w:lvl w:ilvl="4" w:tplc="8690A8CE">
      <w:numFmt w:val="decimal"/>
      <w:lvlText w:val=""/>
      <w:lvlJc w:val="left"/>
    </w:lvl>
    <w:lvl w:ilvl="5" w:tplc="9872D1B8">
      <w:numFmt w:val="decimal"/>
      <w:lvlText w:val=""/>
      <w:lvlJc w:val="left"/>
    </w:lvl>
    <w:lvl w:ilvl="6" w:tplc="136EE95C">
      <w:numFmt w:val="decimal"/>
      <w:lvlText w:val=""/>
      <w:lvlJc w:val="left"/>
    </w:lvl>
    <w:lvl w:ilvl="7" w:tplc="EB36326A">
      <w:numFmt w:val="decimal"/>
      <w:lvlText w:val=""/>
      <w:lvlJc w:val="left"/>
    </w:lvl>
    <w:lvl w:ilvl="8" w:tplc="8996C6CC">
      <w:numFmt w:val="decimal"/>
      <w:lvlText w:val=""/>
      <w:lvlJc w:val="left"/>
    </w:lvl>
  </w:abstractNum>
  <w:abstractNum w:abstractNumId="1014" w15:restartNumberingAfterBreak="0">
    <w:nsid w:val="6BDB1164"/>
    <w:multiLevelType w:val="hybridMultilevel"/>
    <w:tmpl w:val="C324B4E0"/>
    <w:lvl w:ilvl="0" w:tplc="7826C818">
      <w:start w:val="1"/>
      <w:numFmt w:val="bullet"/>
      <w:lvlText w:val=""/>
      <w:lvlJc w:val="left"/>
      <w:pPr>
        <w:ind w:left="720" w:hanging="360"/>
      </w:pPr>
      <w:rPr>
        <w:rFonts w:ascii="Symbol" w:hAnsi="Symbol" w:hint="default"/>
      </w:rPr>
    </w:lvl>
    <w:lvl w:ilvl="1" w:tplc="C8F863BA">
      <w:numFmt w:val="decimal"/>
      <w:lvlText w:val=""/>
      <w:lvlJc w:val="left"/>
    </w:lvl>
    <w:lvl w:ilvl="2" w:tplc="30324512">
      <w:numFmt w:val="decimal"/>
      <w:lvlText w:val=""/>
      <w:lvlJc w:val="left"/>
    </w:lvl>
    <w:lvl w:ilvl="3" w:tplc="0EAC50C0">
      <w:numFmt w:val="decimal"/>
      <w:lvlText w:val=""/>
      <w:lvlJc w:val="left"/>
    </w:lvl>
    <w:lvl w:ilvl="4" w:tplc="5F1647E4">
      <w:numFmt w:val="decimal"/>
      <w:lvlText w:val=""/>
      <w:lvlJc w:val="left"/>
    </w:lvl>
    <w:lvl w:ilvl="5" w:tplc="4740B438">
      <w:numFmt w:val="decimal"/>
      <w:lvlText w:val=""/>
      <w:lvlJc w:val="left"/>
    </w:lvl>
    <w:lvl w:ilvl="6" w:tplc="45D0ACBE">
      <w:numFmt w:val="decimal"/>
      <w:lvlText w:val=""/>
      <w:lvlJc w:val="left"/>
    </w:lvl>
    <w:lvl w:ilvl="7" w:tplc="6B7E560C">
      <w:numFmt w:val="decimal"/>
      <w:lvlText w:val=""/>
      <w:lvlJc w:val="left"/>
    </w:lvl>
    <w:lvl w:ilvl="8" w:tplc="A014B62C">
      <w:numFmt w:val="decimal"/>
      <w:lvlText w:val=""/>
      <w:lvlJc w:val="left"/>
    </w:lvl>
  </w:abstractNum>
  <w:abstractNum w:abstractNumId="1015" w15:restartNumberingAfterBreak="0">
    <w:nsid w:val="6BEF0F3D"/>
    <w:multiLevelType w:val="hybridMultilevel"/>
    <w:tmpl w:val="76FC31EC"/>
    <w:lvl w:ilvl="0" w:tplc="B68A49E2">
      <w:start w:val="1"/>
      <w:numFmt w:val="bullet"/>
      <w:lvlText w:val=""/>
      <w:lvlJc w:val="left"/>
      <w:pPr>
        <w:ind w:left="720" w:hanging="360"/>
      </w:pPr>
      <w:rPr>
        <w:rFonts w:ascii="Symbol" w:hAnsi="Symbol" w:hint="default"/>
      </w:rPr>
    </w:lvl>
    <w:lvl w:ilvl="1" w:tplc="EC3C6444">
      <w:numFmt w:val="decimal"/>
      <w:lvlText w:val=""/>
      <w:lvlJc w:val="left"/>
    </w:lvl>
    <w:lvl w:ilvl="2" w:tplc="107CCA00">
      <w:numFmt w:val="decimal"/>
      <w:lvlText w:val=""/>
      <w:lvlJc w:val="left"/>
    </w:lvl>
    <w:lvl w:ilvl="3" w:tplc="EA0C58E2">
      <w:numFmt w:val="decimal"/>
      <w:lvlText w:val=""/>
      <w:lvlJc w:val="left"/>
    </w:lvl>
    <w:lvl w:ilvl="4" w:tplc="58D425A6">
      <w:numFmt w:val="decimal"/>
      <w:lvlText w:val=""/>
      <w:lvlJc w:val="left"/>
    </w:lvl>
    <w:lvl w:ilvl="5" w:tplc="CD860A92">
      <w:numFmt w:val="decimal"/>
      <w:lvlText w:val=""/>
      <w:lvlJc w:val="left"/>
    </w:lvl>
    <w:lvl w:ilvl="6" w:tplc="02FA6D50">
      <w:numFmt w:val="decimal"/>
      <w:lvlText w:val=""/>
      <w:lvlJc w:val="left"/>
    </w:lvl>
    <w:lvl w:ilvl="7" w:tplc="F936516E">
      <w:numFmt w:val="decimal"/>
      <w:lvlText w:val=""/>
      <w:lvlJc w:val="left"/>
    </w:lvl>
    <w:lvl w:ilvl="8" w:tplc="4DBA3966">
      <w:numFmt w:val="decimal"/>
      <w:lvlText w:val=""/>
      <w:lvlJc w:val="left"/>
    </w:lvl>
  </w:abstractNum>
  <w:abstractNum w:abstractNumId="1016" w15:restartNumberingAfterBreak="0">
    <w:nsid w:val="6C0E1C8F"/>
    <w:multiLevelType w:val="hybridMultilevel"/>
    <w:tmpl w:val="9E76ADD8"/>
    <w:lvl w:ilvl="0" w:tplc="D3982A44">
      <w:start w:val="1"/>
      <w:numFmt w:val="bullet"/>
      <w:lvlText w:val=""/>
      <w:lvlJc w:val="left"/>
      <w:pPr>
        <w:ind w:left="720" w:hanging="360"/>
      </w:pPr>
      <w:rPr>
        <w:rFonts w:ascii="Symbol" w:hAnsi="Symbol" w:hint="default"/>
      </w:rPr>
    </w:lvl>
    <w:lvl w:ilvl="1" w:tplc="D50CEDC2">
      <w:numFmt w:val="decimal"/>
      <w:lvlText w:val=""/>
      <w:lvlJc w:val="left"/>
    </w:lvl>
    <w:lvl w:ilvl="2" w:tplc="E33E57AA">
      <w:numFmt w:val="decimal"/>
      <w:lvlText w:val=""/>
      <w:lvlJc w:val="left"/>
    </w:lvl>
    <w:lvl w:ilvl="3" w:tplc="665A13FA">
      <w:numFmt w:val="decimal"/>
      <w:lvlText w:val=""/>
      <w:lvlJc w:val="left"/>
    </w:lvl>
    <w:lvl w:ilvl="4" w:tplc="A4586904">
      <w:numFmt w:val="decimal"/>
      <w:lvlText w:val=""/>
      <w:lvlJc w:val="left"/>
    </w:lvl>
    <w:lvl w:ilvl="5" w:tplc="4704C2B2">
      <w:numFmt w:val="decimal"/>
      <w:lvlText w:val=""/>
      <w:lvlJc w:val="left"/>
    </w:lvl>
    <w:lvl w:ilvl="6" w:tplc="D5EAFC62">
      <w:numFmt w:val="decimal"/>
      <w:lvlText w:val=""/>
      <w:lvlJc w:val="left"/>
    </w:lvl>
    <w:lvl w:ilvl="7" w:tplc="CE58A316">
      <w:numFmt w:val="decimal"/>
      <w:lvlText w:val=""/>
      <w:lvlJc w:val="left"/>
    </w:lvl>
    <w:lvl w:ilvl="8" w:tplc="27D0BE5E">
      <w:numFmt w:val="decimal"/>
      <w:lvlText w:val=""/>
      <w:lvlJc w:val="left"/>
    </w:lvl>
  </w:abstractNum>
  <w:abstractNum w:abstractNumId="1017" w15:restartNumberingAfterBreak="0">
    <w:nsid w:val="6C373B28"/>
    <w:multiLevelType w:val="hybridMultilevel"/>
    <w:tmpl w:val="7444D156"/>
    <w:lvl w:ilvl="0" w:tplc="7B609A04">
      <w:start w:val="1"/>
      <w:numFmt w:val="bullet"/>
      <w:lvlText w:val=""/>
      <w:lvlJc w:val="left"/>
      <w:pPr>
        <w:ind w:left="720" w:hanging="360"/>
      </w:pPr>
      <w:rPr>
        <w:rFonts w:ascii="Symbol" w:hAnsi="Symbol" w:hint="default"/>
      </w:rPr>
    </w:lvl>
    <w:lvl w:ilvl="1" w:tplc="03565CEE">
      <w:numFmt w:val="decimal"/>
      <w:lvlText w:val=""/>
      <w:lvlJc w:val="left"/>
    </w:lvl>
    <w:lvl w:ilvl="2" w:tplc="97AE9AA8">
      <w:numFmt w:val="decimal"/>
      <w:lvlText w:val=""/>
      <w:lvlJc w:val="left"/>
    </w:lvl>
    <w:lvl w:ilvl="3" w:tplc="CF8602B2">
      <w:numFmt w:val="decimal"/>
      <w:lvlText w:val=""/>
      <w:lvlJc w:val="left"/>
    </w:lvl>
    <w:lvl w:ilvl="4" w:tplc="A1000C08">
      <w:numFmt w:val="decimal"/>
      <w:lvlText w:val=""/>
      <w:lvlJc w:val="left"/>
    </w:lvl>
    <w:lvl w:ilvl="5" w:tplc="FE603450">
      <w:numFmt w:val="decimal"/>
      <w:lvlText w:val=""/>
      <w:lvlJc w:val="left"/>
    </w:lvl>
    <w:lvl w:ilvl="6" w:tplc="60C6FE40">
      <w:numFmt w:val="decimal"/>
      <w:lvlText w:val=""/>
      <w:lvlJc w:val="left"/>
    </w:lvl>
    <w:lvl w:ilvl="7" w:tplc="A76EA4C6">
      <w:numFmt w:val="decimal"/>
      <w:lvlText w:val=""/>
      <w:lvlJc w:val="left"/>
    </w:lvl>
    <w:lvl w:ilvl="8" w:tplc="D4BE3ED6">
      <w:numFmt w:val="decimal"/>
      <w:lvlText w:val=""/>
      <w:lvlJc w:val="left"/>
    </w:lvl>
  </w:abstractNum>
  <w:abstractNum w:abstractNumId="1018" w15:restartNumberingAfterBreak="0">
    <w:nsid w:val="6C4D1B55"/>
    <w:multiLevelType w:val="hybridMultilevel"/>
    <w:tmpl w:val="92E4B7DC"/>
    <w:lvl w:ilvl="0" w:tplc="F4C851EE">
      <w:start w:val="1"/>
      <w:numFmt w:val="bullet"/>
      <w:lvlText w:val=""/>
      <w:lvlJc w:val="left"/>
      <w:pPr>
        <w:ind w:left="720" w:hanging="360"/>
      </w:pPr>
      <w:rPr>
        <w:rFonts w:ascii="Symbol" w:hAnsi="Symbol" w:hint="default"/>
      </w:rPr>
    </w:lvl>
    <w:lvl w:ilvl="1" w:tplc="75DE61BC">
      <w:numFmt w:val="decimal"/>
      <w:lvlText w:val=""/>
      <w:lvlJc w:val="left"/>
    </w:lvl>
    <w:lvl w:ilvl="2" w:tplc="BEC292D0">
      <w:numFmt w:val="decimal"/>
      <w:lvlText w:val=""/>
      <w:lvlJc w:val="left"/>
    </w:lvl>
    <w:lvl w:ilvl="3" w:tplc="C6624EC0">
      <w:numFmt w:val="decimal"/>
      <w:lvlText w:val=""/>
      <w:lvlJc w:val="left"/>
    </w:lvl>
    <w:lvl w:ilvl="4" w:tplc="7EE6B0E4">
      <w:numFmt w:val="decimal"/>
      <w:lvlText w:val=""/>
      <w:lvlJc w:val="left"/>
    </w:lvl>
    <w:lvl w:ilvl="5" w:tplc="95B00AA4">
      <w:numFmt w:val="decimal"/>
      <w:lvlText w:val=""/>
      <w:lvlJc w:val="left"/>
    </w:lvl>
    <w:lvl w:ilvl="6" w:tplc="A502EC70">
      <w:numFmt w:val="decimal"/>
      <w:lvlText w:val=""/>
      <w:lvlJc w:val="left"/>
    </w:lvl>
    <w:lvl w:ilvl="7" w:tplc="4492EF66">
      <w:numFmt w:val="decimal"/>
      <w:lvlText w:val=""/>
      <w:lvlJc w:val="left"/>
    </w:lvl>
    <w:lvl w:ilvl="8" w:tplc="A9EC35C4">
      <w:numFmt w:val="decimal"/>
      <w:lvlText w:val=""/>
      <w:lvlJc w:val="left"/>
    </w:lvl>
  </w:abstractNum>
  <w:abstractNum w:abstractNumId="1019" w15:restartNumberingAfterBreak="0">
    <w:nsid w:val="6C6C48F3"/>
    <w:multiLevelType w:val="hybridMultilevel"/>
    <w:tmpl w:val="A7AE3AD2"/>
    <w:lvl w:ilvl="0" w:tplc="E20ED27E">
      <w:start w:val="1"/>
      <w:numFmt w:val="bullet"/>
      <w:lvlText w:val=""/>
      <w:lvlJc w:val="left"/>
      <w:pPr>
        <w:ind w:left="720" w:hanging="360"/>
      </w:pPr>
      <w:rPr>
        <w:rFonts w:ascii="Symbol" w:hAnsi="Symbol" w:hint="default"/>
      </w:rPr>
    </w:lvl>
    <w:lvl w:ilvl="1" w:tplc="E2C2CDCC">
      <w:numFmt w:val="decimal"/>
      <w:lvlText w:val=""/>
      <w:lvlJc w:val="left"/>
    </w:lvl>
    <w:lvl w:ilvl="2" w:tplc="8A8E14F8">
      <w:numFmt w:val="decimal"/>
      <w:lvlText w:val=""/>
      <w:lvlJc w:val="left"/>
    </w:lvl>
    <w:lvl w:ilvl="3" w:tplc="BD8C28A8">
      <w:numFmt w:val="decimal"/>
      <w:lvlText w:val=""/>
      <w:lvlJc w:val="left"/>
    </w:lvl>
    <w:lvl w:ilvl="4" w:tplc="23BA0746">
      <w:numFmt w:val="decimal"/>
      <w:lvlText w:val=""/>
      <w:lvlJc w:val="left"/>
    </w:lvl>
    <w:lvl w:ilvl="5" w:tplc="730ABF26">
      <w:numFmt w:val="decimal"/>
      <w:lvlText w:val=""/>
      <w:lvlJc w:val="left"/>
    </w:lvl>
    <w:lvl w:ilvl="6" w:tplc="941C84DE">
      <w:numFmt w:val="decimal"/>
      <w:lvlText w:val=""/>
      <w:lvlJc w:val="left"/>
    </w:lvl>
    <w:lvl w:ilvl="7" w:tplc="BED0E63A">
      <w:numFmt w:val="decimal"/>
      <w:lvlText w:val=""/>
      <w:lvlJc w:val="left"/>
    </w:lvl>
    <w:lvl w:ilvl="8" w:tplc="E9725042">
      <w:numFmt w:val="decimal"/>
      <w:lvlText w:val=""/>
      <w:lvlJc w:val="left"/>
    </w:lvl>
  </w:abstractNum>
  <w:abstractNum w:abstractNumId="1020" w15:restartNumberingAfterBreak="0">
    <w:nsid w:val="6C723239"/>
    <w:multiLevelType w:val="hybridMultilevel"/>
    <w:tmpl w:val="F110854C"/>
    <w:lvl w:ilvl="0" w:tplc="51EE88BA">
      <w:start w:val="1"/>
      <w:numFmt w:val="bullet"/>
      <w:lvlText w:val=""/>
      <w:lvlJc w:val="left"/>
      <w:pPr>
        <w:ind w:left="720" w:hanging="360"/>
      </w:pPr>
      <w:rPr>
        <w:rFonts w:ascii="Symbol" w:hAnsi="Symbol" w:hint="default"/>
      </w:rPr>
    </w:lvl>
    <w:lvl w:ilvl="1" w:tplc="C526D274">
      <w:numFmt w:val="decimal"/>
      <w:lvlText w:val=""/>
      <w:lvlJc w:val="left"/>
    </w:lvl>
    <w:lvl w:ilvl="2" w:tplc="65FAB760">
      <w:numFmt w:val="decimal"/>
      <w:lvlText w:val=""/>
      <w:lvlJc w:val="left"/>
    </w:lvl>
    <w:lvl w:ilvl="3" w:tplc="5686DCBC">
      <w:numFmt w:val="decimal"/>
      <w:lvlText w:val=""/>
      <w:lvlJc w:val="left"/>
    </w:lvl>
    <w:lvl w:ilvl="4" w:tplc="BD560AF6">
      <w:numFmt w:val="decimal"/>
      <w:lvlText w:val=""/>
      <w:lvlJc w:val="left"/>
    </w:lvl>
    <w:lvl w:ilvl="5" w:tplc="D004A3C4">
      <w:numFmt w:val="decimal"/>
      <w:lvlText w:val=""/>
      <w:lvlJc w:val="left"/>
    </w:lvl>
    <w:lvl w:ilvl="6" w:tplc="077A258C">
      <w:numFmt w:val="decimal"/>
      <w:lvlText w:val=""/>
      <w:lvlJc w:val="left"/>
    </w:lvl>
    <w:lvl w:ilvl="7" w:tplc="D51899A4">
      <w:numFmt w:val="decimal"/>
      <w:lvlText w:val=""/>
      <w:lvlJc w:val="left"/>
    </w:lvl>
    <w:lvl w:ilvl="8" w:tplc="95C2B79C">
      <w:numFmt w:val="decimal"/>
      <w:lvlText w:val=""/>
      <w:lvlJc w:val="left"/>
    </w:lvl>
  </w:abstractNum>
  <w:abstractNum w:abstractNumId="1021" w15:restartNumberingAfterBreak="0">
    <w:nsid w:val="6C863189"/>
    <w:multiLevelType w:val="hybridMultilevel"/>
    <w:tmpl w:val="2DC67042"/>
    <w:lvl w:ilvl="0" w:tplc="28EC3A62">
      <w:start w:val="1"/>
      <w:numFmt w:val="bullet"/>
      <w:lvlText w:val=""/>
      <w:lvlJc w:val="left"/>
      <w:pPr>
        <w:ind w:left="720" w:hanging="360"/>
      </w:pPr>
      <w:rPr>
        <w:rFonts w:ascii="Symbol" w:hAnsi="Symbol" w:hint="default"/>
      </w:rPr>
    </w:lvl>
    <w:lvl w:ilvl="1" w:tplc="2528E4D0">
      <w:numFmt w:val="decimal"/>
      <w:lvlText w:val=""/>
      <w:lvlJc w:val="left"/>
    </w:lvl>
    <w:lvl w:ilvl="2" w:tplc="9D4A9204">
      <w:numFmt w:val="decimal"/>
      <w:lvlText w:val=""/>
      <w:lvlJc w:val="left"/>
    </w:lvl>
    <w:lvl w:ilvl="3" w:tplc="45C88348">
      <w:numFmt w:val="decimal"/>
      <w:lvlText w:val=""/>
      <w:lvlJc w:val="left"/>
    </w:lvl>
    <w:lvl w:ilvl="4" w:tplc="D13A49A4">
      <w:numFmt w:val="decimal"/>
      <w:lvlText w:val=""/>
      <w:lvlJc w:val="left"/>
    </w:lvl>
    <w:lvl w:ilvl="5" w:tplc="85268B22">
      <w:numFmt w:val="decimal"/>
      <w:lvlText w:val=""/>
      <w:lvlJc w:val="left"/>
    </w:lvl>
    <w:lvl w:ilvl="6" w:tplc="406E12B8">
      <w:numFmt w:val="decimal"/>
      <w:lvlText w:val=""/>
      <w:lvlJc w:val="left"/>
    </w:lvl>
    <w:lvl w:ilvl="7" w:tplc="7B9CA88C">
      <w:numFmt w:val="decimal"/>
      <w:lvlText w:val=""/>
      <w:lvlJc w:val="left"/>
    </w:lvl>
    <w:lvl w:ilvl="8" w:tplc="A8FA1B46">
      <w:numFmt w:val="decimal"/>
      <w:lvlText w:val=""/>
      <w:lvlJc w:val="left"/>
    </w:lvl>
  </w:abstractNum>
  <w:abstractNum w:abstractNumId="1022" w15:restartNumberingAfterBreak="0">
    <w:nsid w:val="6C8B55AA"/>
    <w:multiLevelType w:val="hybridMultilevel"/>
    <w:tmpl w:val="354AACA4"/>
    <w:lvl w:ilvl="0" w:tplc="8214C1B8">
      <w:start w:val="1"/>
      <w:numFmt w:val="bullet"/>
      <w:lvlText w:val=""/>
      <w:lvlJc w:val="left"/>
      <w:pPr>
        <w:ind w:left="720" w:hanging="360"/>
      </w:pPr>
      <w:rPr>
        <w:rFonts w:ascii="Symbol" w:hAnsi="Symbol" w:hint="default"/>
      </w:rPr>
    </w:lvl>
    <w:lvl w:ilvl="1" w:tplc="266C724C">
      <w:numFmt w:val="decimal"/>
      <w:lvlText w:val=""/>
      <w:lvlJc w:val="left"/>
    </w:lvl>
    <w:lvl w:ilvl="2" w:tplc="54CEEEA6">
      <w:numFmt w:val="decimal"/>
      <w:lvlText w:val=""/>
      <w:lvlJc w:val="left"/>
    </w:lvl>
    <w:lvl w:ilvl="3" w:tplc="E10AF454">
      <w:numFmt w:val="decimal"/>
      <w:lvlText w:val=""/>
      <w:lvlJc w:val="left"/>
    </w:lvl>
    <w:lvl w:ilvl="4" w:tplc="BC9A104A">
      <w:numFmt w:val="decimal"/>
      <w:lvlText w:val=""/>
      <w:lvlJc w:val="left"/>
    </w:lvl>
    <w:lvl w:ilvl="5" w:tplc="5CDE358A">
      <w:numFmt w:val="decimal"/>
      <w:lvlText w:val=""/>
      <w:lvlJc w:val="left"/>
    </w:lvl>
    <w:lvl w:ilvl="6" w:tplc="4BBA6E4E">
      <w:numFmt w:val="decimal"/>
      <w:lvlText w:val=""/>
      <w:lvlJc w:val="left"/>
    </w:lvl>
    <w:lvl w:ilvl="7" w:tplc="23F4CB7A">
      <w:numFmt w:val="decimal"/>
      <w:lvlText w:val=""/>
      <w:lvlJc w:val="left"/>
    </w:lvl>
    <w:lvl w:ilvl="8" w:tplc="C1FA4E72">
      <w:numFmt w:val="decimal"/>
      <w:lvlText w:val=""/>
      <w:lvlJc w:val="left"/>
    </w:lvl>
  </w:abstractNum>
  <w:abstractNum w:abstractNumId="1023" w15:restartNumberingAfterBreak="0">
    <w:nsid w:val="6CAD6B81"/>
    <w:multiLevelType w:val="hybridMultilevel"/>
    <w:tmpl w:val="F252B464"/>
    <w:lvl w:ilvl="0" w:tplc="F9FCF75E">
      <w:start w:val="1"/>
      <w:numFmt w:val="bullet"/>
      <w:lvlText w:val=""/>
      <w:lvlJc w:val="left"/>
      <w:pPr>
        <w:ind w:left="720" w:hanging="360"/>
      </w:pPr>
      <w:rPr>
        <w:rFonts w:ascii="Symbol" w:hAnsi="Symbol" w:hint="default"/>
      </w:rPr>
    </w:lvl>
    <w:lvl w:ilvl="1" w:tplc="61B035B0">
      <w:numFmt w:val="decimal"/>
      <w:lvlText w:val=""/>
      <w:lvlJc w:val="left"/>
    </w:lvl>
    <w:lvl w:ilvl="2" w:tplc="124894CA">
      <w:numFmt w:val="decimal"/>
      <w:lvlText w:val=""/>
      <w:lvlJc w:val="left"/>
    </w:lvl>
    <w:lvl w:ilvl="3" w:tplc="7B32CCF8">
      <w:numFmt w:val="decimal"/>
      <w:lvlText w:val=""/>
      <w:lvlJc w:val="left"/>
    </w:lvl>
    <w:lvl w:ilvl="4" w:tplc="BBB21C02">
      <w:numFmt w:val="decimal"/>
      <w:lvlText w:val=""/>
      <w:lvlJc w:val="left"/>
    </w:lvl>
    <w:lvl w:ilvl="5" w:tplc="BC769E1A">
      <w:numFmt w:val="decimal"/>
      <w:lvlText w:val=""/>
      <w:lvlJc w:val="left"/>
    </w:lvl>
    <w:lvl w:ilvl="6" w:tplc="DB60813C">
      <w:numFmt w:val="decimal"/>
      <w:lvlText w:val=""/>
      <w:lvlJc w:val="left"/>
    </w:lvl>
    <w:lvl w:ilvl="7" w:tplc="495818DC">
      <w:numFmt w:val="decimal"/>
      <w:lvlText w:val=""/>
      <w:lvlJc w:val="left"/>
    </w:lvl>
    <w:lvl w:ilvl="8" w:tplc="0DA84562">
      <w:numFmt w:val="decimal"/>
      <w:lvlText w:val=""/>
      <w:lvlJc w:val="left"/>
    </w:lvl>
  </w:abstractNum>
  <w:abstractNum w:abstractNumId="1024" w15:restartNumberingAfterBreak="0">
    <w:nsid w:val="6CB3521D"/>
    <w:multiLevelType w:val="hybridMultilevel"/>
    <w:tmpl w:val="D7DC99BA"/>
    <w:lvl w:ilvl="0" w:tplc="11646A98">
      <w:start w:val="1"/>
      <w:numFmt w:val="bullet"/>
      <w:lvlText w:val=""/>
      <w:lvlJc w:val="left"/>
      <w:pPr>
        <w:ind w:left="720" w:hanging="360"/>
      </w:pPr>
      <w:rPr>
        <w:rFonts w:ascii="Symbol" w:hAnsi="Symbol" w:hint="default"/>
      </w:rPr>
    </w:lvl>
    <w:lvl w:ilvl="1" w:tplc="A3C689D6">
      <w:numFmt w:val="decimal"/>
      <w:lvlText w:val=""/>
      <w:lvlJc w:val="left"/>
    </w:lvl>
    <w:lvl w:ilvl="2" w:tplc="4C9A054A">
      <w:numFmt w:val="decimal"/>
      <w:lvlText w:val=""/>
      <w:lvlJc w:val="left"/>
    </w:lvl>
    <w:lvl w:ilvl="3" w:tplc="22C2E5B6">
      <w:numFmt w:val="decimal"/>
      <w:lvlText w:val=""/>
      <w:lvlJc w:val="left"/>
    </w:lvl>
    <w:lvl w:ilvl="4" w:tplc="0E9CCC26">
      <w:numFmt w:val="decimal"/>
      <w:lvlText w:val=""/>
      <w:lvlJc w:val="left"/>
    </w:lvl>
    <w:lvl w:ilvl="5" w:tplc="8C120DB8">
      <w:numFmt w:val="decimal"/>
      <w:lvlText w:val=""/>
      <w:lvlJc w:val="left"/>
    </w:lvl>
    <w:lvl w:ilvl="6" w:tplc="92F08590">
      <w:numFmt w:val="decimal"/>
      <w:lvlText w:val=""/>
      <w:lvlJc w:val="left"/>
    </w:lvl>
    <w:lvl w:ilvl="7" w:tplc="767C0E30">
      <w:numFmt w:val="decimal"/>
      <w:lvlText w:val=""/>
      <w:lvlJc w:val="left"/>
    </w:lvl>
    <w:lvl w:ilvl="8" w:tplc="A6C460F6">
      <w:numFmt w:val="decimal"/>
      <w:lvlText w:val=""/>
      <w:lvlJc w:val="left"/>
    </w:lvl>
  </w:abstractNum>
  <w:abstractNum w:abstractNumId="1025" w15:restartNumberingAfterBreak="0">
    <w:nsid w:val="6CB812EE"/>
    <w:multiLevelType w:val="hybridMultilevel"/>
    <w:tmpl w:val="E7762868"/>
    <w:lvl w:ilvl="0" w:tplc="76008398">
      <w:start w:val="1"/>
      <w:numFmt w:val="bullet"/>
      <w:lvlText w:val=""/>
      <w:lvlJc w:val="left"/>
      <w:pPr>
        <w:ind w:left="720" w:hanging="360"/>
      </w:pPr>
      <w:rPr>
        <w:rFonts w:ascii="Symbol" w:hAnsi="Symbol" w:hint="default"/>
      </w:rPr>
    </w:lvl>
    <w:lvl w:ilvl="1" w:tplc="C8BA2784">
      <w:numFmt w:val="decimal"/>
      <w:lvlText w:val=""/>
      <w:lvlJc w:val="left"/>
    </w:lvl>
    <w:lvl w:ilvl="2" w:tplc="762CD006">
      <w:numFmt w:val="decimal"/>
      <w:lvlText w:val=""/>
      <w:lvlJc w:val="left"/>
    </w:lvl>
    <w:lvl w:ilvl="3" w:tplc="F9584872">
      <w:numFmt w:val="decimal"/>
      <w:lvlText w:val=""/>
      <w:lvlJc w:val="left"/>
    </w:lvl>
    <w:lvl w:ilvl="4" w:tplc="CE622F7C">
      <w:numFmt w:val="decimal"/>
      <w:lvlText w:val=""/>
      <w:lvlJc w:val="left"/>
    </w:lvl>
    <w:lvl w:ilvl="5" w:tplc="278C75BE">
      <w:numFmt w:val="decimal"/>
      <w:lvlText w:val=""/>
      <w:lvlJc w:val="left"/>
    </w:lvl>
    <w:lvl w:ilvl="6" w:tplc="8132FB18">
      <w:numFmt w:val="decimal"/>
      <w:lvlText w:val=""/>
      <w:lvlJc w:val="left"/>
    </w:lvl>
    <w:lvl w:ilvl="7" w:tplc="50949D90">
      <w:numFmt w:val="decimal"/>
      <w:lvlText w:val=""/>
      <w:lvlJc w:val="left"/>
    </w:lvl>
    <w:lvl w:ilvl="8" w:tplc="432A3556">
      <w:numFmt w:val="decimal"/>
      <w:lvlText w:val=""/>
      <w:lvlJc w:val="left"/>
    </w:lvl>
  </w:abstractNum>
  <w:abstractNum w:abstractNumId="1026" w15:restartNumberingAfterBreak="0">
    <w:nsid w:val="6CD60996"/>
    <w:multiLevelType w:val="hybridMultilevel"/>
    <w:tmpl w:val="C1C8A982"/>
    <w:lvl w:ilvl="0" w:tplc="771A85E2">
      <w:start w:val="1"/>
      <w:numFmt w:val="bullet"/>
      <w:lvlText w:val=""/>
      <w:lvlJc w:val="left"/>
      <w:pPr>
        <w:ind w:left="720" w:hanging="360"/>
      </w:pPr>
      <w:rPr>
        <w:rFonts w:ascii="Symbol" w:hAnsi="Symbol" w:hint="default"/>
      </w:rPr>
    </w:lvl>
    <w:lvl w:ilvl="1" w:tplc="A9C8EB2A">
      <w:numFmt w:val="decimal"/>
      <w:lvlText w:val=""/>
      <w:lvlJc w:val="left"/>
    </w:lvl>
    <w:lvl w:ilvl="2" w:tplc="6F069CC4">
      <w:numFmt w:val="decimal"/>
      <w:lvlText w:val=""/>
      <w:lvlJc w:val="left"/>
    </w:lvl>
    <w:lvl w:ilvl="3" w:tplc="895E8416">
      <w:numFmt w:val="decimal"/>
      <w:lvlText w:val=""/>
      <w:lvlJc w:val="left"/>
    </w:lvl>
    <w:lvl w:ilvl="4" w:tplc="DBA49F82">
      <w:numFmt w:val="decimal"/>
      <w:lvlText w:val=""/>
      <w:lvlJc w:val="left"/>
    </w:lvl>
    <w:lvl w:ilvl="5" w:tplc="CD1C53C2">
      <w:numFmt w:val="decimal"/>
      <w:lvlText w:val=""/>
      <w:lvlJc w:val="left"/>
    </w:lvl>
    <w:lvl w:ilvl="6" w:tplc="C22C8CB4">
      <w:numFmt w:val="decimal"/>
      <w:lvlText w:val=""/>
      <w:lvlJc w:val="left"/>
    </w:lvl>
    <w:lvl w:ilvl="7" w:tplc="4C744FD4">
      <w:numFmt w:val="decimal"/>
      <w:lvlText w:val=""/>
      <w:lvlJc w:val="left"/>
    </w:lvl>
    <w:lvl w:ilvl="8" w:tplc="01D48750">
      <w:numFmt w:val="decimal"/>
      <w:lvlText w:val=""/>
      <w:lvlJc w:val="left"/>
    </w:lvl>
  </w:abstractNum>
  <w:abstractNum w:abstractNumId="1027" w15:restartNumberingAfterBreak="0">
    <w:nsid w:val="6CF533E9"/>
    <w:multiLevelType w:val="hybridMultilevel"/>
    <w:tmpl w:val="46E07638"/>
    <w:lvl w:ilvl="0" w:tplc="E4BCA7D4">
      <w:start w:val="1"/>
      <w:numFmt w:val="bullet"/>
      <w:lvlText w:val=""/>
      <w:lvlJc w:val="left"/>
      <w:pPr>
        <w:ind w:left="720" w:hanging="360"/>
      </w:pPr>
      <w:rPr>
        <w:rFonts w:ascii="Symbol" w:hAnsi="Symbol" w:hint="default"/>
      </w:rPr>
    </w:lvl>
    <w:lvl w:ilvl="1" w:tplc="E2BA7496">
      <w:numFmt w:val="decimal"/>
      <w:lvlText w:val=""/>
      <w:lvlJc w:val="left"/>
    </w:lvl>
    <w:lvl w:ilvl="2" w:tplc="37A0520A">
      <w:numFmt w:val="decimal"/>
      <w:lvlText w:val=""/>
      <w:lvlJc w:val="left"/>
    </w:lvl>
    <w:lvl w:ilvl="3" w:tplc="CE36A842">
      <w:numFmt w:val="decimal"/>
      <w:lvlText w:val=""/>
      <w:lvlJc w:val="left"/>
    </w:lvl>
    <w:lvl w:ilvl="4" w:tplc="5C409300">
      <w:numFmt w:val="decimal"/>
      <w:lvlText w:val=""/>
      <w:lvlJc w:val="left"/>
    </w:lvl>
    <w:lvl w:ilvl="5" w:tplc="038445FA">
      <w:numFmt w:val="decimal"/>
      <w:lvlText w:val=""/>
      <w:lvlJc w:val="left"/>
    </w:lvl>
    <w:lvl w:ilvl="6" w:tplc="F2D43AA8">
      <w:numFmt w:val="decimal"/>
      <w:lvlText w:val=""/>
      <w:lvlJc w:val="left"/>
    </w:lvl>
    <w:lvl w:ilvl="7" w:tplc="8F1243BC">
      <w:numFmt w:val="decimal"/>
      <w:lvlText w:val=""/>
      <w:lvlJc w:val="left"/>
    </w:lvl>
    <w:lvl w:ilvl="8" w:tplc="F06042EA">
      <w:numFmt w:val="decimal"/>
      <w:lvlText w:val=""/>
      <w:lvlJc w:val="left"/>
    </w:lvl>
  </w:abstractNum>
  <w:abstractNum w:abstractNumId="1028" w15:restartNumberingAfterBreak="0">
    <w:nsid w:val="6CFC3E69"/>
    <w:multiLevelType w:val="hybridMultilevel"/>
    <w:tmpl w:val="E2E8897E"/>
    <w:lvl w:ilvl="0" w:tplc="3A3696D4">
      <w:start w:val="1"/>
      <w:numFmt w:val="bullet"/>
      <w:lvlText w:val=""/>
      <w:lvlJc w:val="left"/>
      <w:pPr>
        <w:ind w:left="720" w:hanging="360"/>
      </w:pPr>
      <w:rPr>
        <w:rFonts w:ascii="Symbol" w:hAnsi="Symbol" w:hint="default"/>
      </w:rPr>
    </w:lvl>
    <w:lvl w:ilvl="1" w:tplc="BEB25BF6">
      <w:numFmt w:val="decimal"/>
      <w:lvlText w:val=""/>
      <w:lvlJc w:val="left"/>
    </w:lvl>
    <w:lvl w:ilvl="2" w:tplc="7390F9F0">
      <w:numFmt w:val="decimal"/>
      <w:lvlText w:val=""/>
      <w:lvlJc w:val="left"/>
    </w:lvl>
    <w:lvl w:ilvl="3" w:tplc="365CB5BA">
      <w:numFmt w:val="decimal"/>
      <w:lvlText w:val=""/>
      <w:lvlJc w:val="left"/>
    </w:lvl>
    <w:lvl w:ilvl="4" w:tplc="4C00FF5A">
      <w:numFmt w:val="decimal"/>
      <w:lvlText w:val=""/>
      <w:lvlJc w:val="left"/>
    </w:lvl>
    <w:lvl w:ilvl="5" w:tplc="ED1620EE">
      <w:numFmt w:val="decimal"/>
      <w:lvlText w:val=""/>
      <w:lvlJc w:val="left"/>
    </w:lvl>
    <w:lvl w:ilvl="6" w:tplc="C01C8118">
      <w:numFmt w:val="decimal"/>
      <w:lvlText w:val=""/>
      <w:lvlJc w:val="left"/>
    </w:lvl>
    <w:lvl w:ilvl="7" w:tplc="EE7812EC">
      <w:numFmt w:val="decimal"/>
      <w:lvlText w:val=""/>
      <w:lvlJc w:val="left"/>
    </w:lvl>
    <w:lvl w:ilvl="8" w:tplc="6960E48C">
      <w:numFmt w:val="decimal"/>
      <w:lvlText w:val=""/>
      <w:lvlJc w:val="left"/>
    </w:lvl>
  </w:abstractNum>
  <w:abstractNum w:abstractNumId="1029" w15:restartNumberingAfterBreak="0">
    <w:nsid w:val="6D256401"/>
    <w:multiLevelType w:val="hybridMultilevel"/>
    <w:tmpl w:val="7390E5B2"/>
    <w:lvl w:ilvl="0" w:tplc="6FDCB140">
      <w:start w:val="1"/>
      <w:numFmt w:val="bullet"/>
      <w:lvlText w:val=""/>
      <w:lvlJc w:val="left"/>
      <w:pPr>
        <w:ind w:left="720" w:hanging="360"/>
      </w:pPr>
      <w:rPr>
        <w:rFonts w:ascii="Symbol" w:hAnsi="Symbol" w:hint="default"/>
      </w:rPr>
    </w:lvl>
    <w:lvl w:ilvl="1" w:tplc="538A3226">
      <w:numFmt w:val="decimal"/>
      <w:lvlText w:val=""/>
      <w:lvlJc w:val="left"/>
    </w:lvl>
    <w:lvl w:ilvl="2" w:tplc="5154603C">
      <w:numFmt w:val="decimal"/>
      <w:lvlText w:val=""/>
      <w:lvlJc w:val="left"/>
    </w:lvl>
    <w:lvl w:ilvl="3" w:tplc="72F48766">
      <w:numFmt w:val="decimal"/>
      <w:lvlText w:val=""/>
      <w:lvlJc w:val="left"/>
    </w:lvl>
    <w:lvl w:ilvl="4" w:tplc="F1FAAFDA">
      <w:numFmt w:val="decimal"/>
      <w:lvlText w:val=""/>
      <w:lvlJc w:val="left"/>
    </w:lvl>
    <w:lvl w:ilvl="5" w:tplc="B436006E">
      <w:numFmt w:val="decimal"/>
      <w:lvlText w:val=""/>
      <w:lvlJc w:val="left"/>
    </w:lvl>
    <w:lvl w:ilvl="6" w:tplc="E9A2AEB6">
      <w:numFmt w:val="decimal"/>
      <w:lvlText w:val=""/>
      <w:lvlJc w:val="left"/>
    </w:lvl>
    <w:lvl w:ilvl="7" w:tplc="20D27876">
      <w:numFmt w:val="decimal"/>
      <w:lvlText w:val=""/>
      <w:lvlJc w:val="left"/>
    </w:lvl>
    <w:lvl w:ilvl="8" w:tplc="A3624DB6">
      <w:numFmt w:val="decimal"/>
      <w:lvlText w:val=""/>
      <w:lvlJc w:val="left"/>
    </w:lvl>
  </w:abstractNum>
  <w:abstractNum w:abstractNumId="1030" w15:restartNumberingAfterBreak="0">
    <w:nsid w:val="6D262743"/>
    <w:multiLevelType w:val="hybridMultilevel"/>
    <w:tmpl w:val="BCB2920E"/>
    <w:lvl w:ilvl="0" w:tplc="9E12C2C4">
      <w:start w:val="1"/>
      <w:numFmt w:val="bullet"/>
      <w:lvlText w:val=""/>
      <w:lvlJc w:val="left"/>
      <w:pPr>
        <w:ind w:left="720" w:hanging="360"/>
      </w:pPr>
      <w:rPr>
        <w:rFonts w:ascii="Symbol" w:hAnsi="Symbol" w:hint="default"/>
      </w:rPr>
    </w:lvl>
    <w:lvl w:ilvl="1" w:tplc="678280C4">
      <w:numFmt w:val="decimal"/>
      <w:lvlText w:val=""/>
      <w:lvlJc w:val="left"/>
    </w:lvl>
    <w:lvl w:ilvl="2" w:tplc="57C44AEC">
      <w:numFmt w:val="decimal"/>
      <w:lvlText w:val=""/>
      <w:lvlJc w:val="left"/>
    </w:lvl>
    <w:lvl w:ilvl="3" w:tplc="AD36889C">
      <w:numFmt w:val="decimal"/>
      <w:lvlText w:val=""/>
      <w:lvlJc w:val="left"/>
    </w:lvl>
    <w:lvl w:ilvl="4" w:tplc="4FC6F0A6">
      <w:numFmt w:val="decimal"/>
      <w:lvlText w:val=""/>
      <w:lvlJc w:val="left"/>
    </w:lvl>
    <w:lvl w:ilvl="5" w:tplc="C778BCEE">
      <w:numFmt w:val="decimal"/>
      <w:lvlText w:val=""/>
      <w:lvlJc w:val="left"/>
    </w:lvl>
    <w:lvl w:ilvl="6" w:tplc="B0EE1D68">
      <w:numFmt w:val="decimal"/>
      <w:lvlText w:val=""/>
      <w:lvlJc w:val="left"/>
    </w:lvl>
    <w:lvl w:ilvl="7" w:tplc="78FA9DFA">
      <w:numFmt w:val="decimal"/>
      <w:lvlText w:val=""/>
      <w:lvlJc w:val="left"/>
    </w:lvl>
    <w:lvl w:ilvl="8" w:tplc="2042E81C">
      <w:numFmt w:val="decimal"/>
      <w:lvlText w:val=""/>
      <w:lvlJc w:val="left"/>
    </w:lvl>
  </w:abstractNum>
  <w:abstractNum w:abstractNumId="1031" w15:restartNumberingAfterBreak="0">
    <w:nsid w:val="6D2A23C0"/>
    <w:multiLevelType w:val="hybridMultilevel"/>
    <w:tmpl w:val="581C917C"/>
    <w:lvl w:ilvl="0" w:tplc="E8EA2160">
      <w:start w:val="1"/>
      <w:numFmt w:val="bullet"/>
      <w:lvlText w:val=""/>
      <w:lvlJc w:val="left"/>
      <w:pPr>
        <w:ind w:left="720" w:hanging="360"/>
      </w:pPr>
      <w:rPr>
        <w:rFonts w:ascii="Symbol" w:hAnsi="Symbol" w:hint="default"/>
      </w:rPr>
    </w:lvl>
    <w:lvl w:ilvl="1" w:tplc="AD74EDF8">
      <w:numFmt w:val="decimal"/>
      <w:lvlText w:val=""/>
      <w:lvlJc w:val="left"/>
    </w:lvl>
    <w:lvl w:ilvl="2" w:tplc="FAECC9E4">
      <w:numFmt w:val="decimal"/>
      <w:lvlText w:val=""/>
      <w:lvlJc w:val="left"/>
    </w:lvl>
    <w:lvl w:ilvl="3" w:tplc="D5F0DCA4">
      <w:numFmt w:val="decimal"/>
      <w:lvlText w:val=""/>
      <w:lvlJc w:val="left"/>
    </w:lvl>
    <w:lvl w:ilvl="4" w:tplc="292AAA16">
      <w:numFmt w:val="decimal"/>
      <w:lvlText w:val=""/>
      <w:lvlJc w:val="left"/>
    </w:lvl>
    <w:lvl w:ilvl="5" w:tplc="B18CCA76">
      <w:numFmt w:val="decimal"/>
      <w:lvlText w:val=""/>
      <w:lvlJc w:val="left"/>
    </w:lvl>
    <w:lvl w:ilvl="6" w:tplc="8610BCC8">
      <w:numFmt w:val="decimal"/>
      <w:lvlText w:val=""/>
      <w:lvlJc w:val="left"/>
    </w:lvl>
    <w:lvl w:ilvl="7" w:tplc="B57E243E">
      <w:numFmt w:val="decimal"/>
      <w:lvlText w:val=""/>
      <w:lvlJc w:val="left"/>
    </w:lvl>
    <w:lvl w:ilvl="8" w:tplc="BBB8F5D0">
      <w:numFmt w:val="decimal"/>
      <w:lvlText w:val=""/>
      <w:lvlJc w:val="left"/>
    </w:lvl>
  </w:abstractNum>
  <w:abstractNum w:abstractNumId="1032" w15:restartNumberingAfterBreak="0">
    <w:nsid w:val="6D5E79D9"/>
    <w:multiLevelType w:val="hybridMultilevel"/>
    <w:tmpl w:val="8EB890E8"/>
    <w:lvl w:ilvl="0" w:tplc="7E6094EA">
      <w:start w:val="1"/>
      <w:numFmt w:val="bullet"/>
      <w:lvlText w:val=""/>
      <w:lvlJc w:val="left"/>
      <w:pPr>
        <w:ind w:left="720" w:hanging="360"/>
      </w:pPr>
      <w:rPr>
        <w:rFonts w:ascii="Symbol" w:hAnsi="Symbol" w:hint="default"/>
      </w:rPr>
    </w:lvl>
    <w:lvl w:ilvl="1" w:tplc="80248B10">
      <w:numFmt w:val="decimal"/>
      <w:lvlText w:val=""/>
      <w:lvlJc w:val="left"/>
    </w:lvl>
    <w:lvl w:ilvl="2" w:tplc="6C50D31A">
      <w:numFmt w:val="decimal"/>
      <w:lvlText w:val=""/>
      <w:lvlJc w:val="left"/>
    </w:lvl>
    <w:lvl w:ilvl="3" w:tplc="29B0A9E0">
      <w:numFmt w:val="decimal"/>
      <w:lvlText w:val=""/>
      <w:lvlJc w:val="left"/>
    </w:lvl>
    <w:lvl w:ilvl="4" w:tplc="6D3ABEA4">
      <w:numFmt w:val="decimal"/>
      <w:lvlText w:val=""/>
      <w:lvlJc w:val="left"/>
    </w:lvl>
    <w:lvl w:ilvl="5" w:tplc="0BC62A18">
      <w:numFmt w:val="decimal"/>
      <w:lvlText w:val=""/>
      <w:lvlJc w:val="left"/>
    </w:lvl>
    <w:lvl w:ilvl="6" w:tplc="5CA22DEE">
      <w:numFmt w:val="decimal"/>
      <w:lvlText w:val=""/>
      <w:lvlJc w:val="left"/>
    </w:lvl>
    <w:lvl w:ilvl="7" w:tplc="901040A2">
      <w:numFmt w:val="decimal"/>
      <w:lvlText w:val=""/>
      <w:lvlJc w:val="left"/>
    </w:lvl>
    <w:lvl w:ilvl="8" w:tplc="D8B65794">
      <w:numFmt w:val="decimal"/>
      <w:lvlText w:val=""/>
      <w:lvlJc w:val="left"/>
    </w:lvl>
  </w:abstractNum>
  <w:abstractNum w:abstractNumId="1033" w15:restartNumberingAfterBreak="0">
    <w:nsid w:val="6D7E5BB2"/>
    <w:multiLevelType w:val="hybridMultilevel"/>
    <w:tmpl w:val="F8CA0998"/>
    <w:lvl w:ilvl="0" w:tplc="8F6C9DE6">
      <w:start w:val="1"/>
      <w:numFmt w:val="bullet"/>
      <w:lvlText w:val=""/>
      <w:lvlJc w:val="left"/>
      <w:pPr>
        <w:ind w:left="720" w:hanging="360"/>
      </w:pPr>
      <w:rPr>
        <w:rFonts w:ascii="Symbol" w:hAnsi="Symbol" w:hint="default"/>
      </w:rPr>
    </w:lvl>
    <w:lvl w:ilvl="1" w:tplc="EC5E6978">
      <w:numFmt w:val="decimal"/>
      <w:lvlText w:val=""/>
      <w:lvlJc w:val="left"/>
    </w:lvl>
    <w:lvl w:ilvl="2" w:tplc="79D45C6C">
      <w:numFmt w:val="decimal"/>
      <w:lvlText w:val=""/>
      <w:lvlJc w:val="left"/>
    </w:lvl>
    <w:lvl w:ilvl="3" w:tplc="EE2466DA">
      <w:numFmt w:val="decimal"/>
      <w:lvlText w:val=""/>
      <w:lvlJc w:val="left"/>
    </w:lvl>
    <w:lvl w:ilvl="4" w:tplc="244CD670">
      <w:numFmt w:val="decimal"/>
      <w:lvlText w:val=""/>
      <w:lvlJc w:val="left"/>
    </w:lvl>
    <w:lvl w:ilvl="5" w:tplc="0CEABBCA">
      <w:numFmt w:val="decimal"/>
      <w:lvlText w:val=""/>
      <w:lvlJc w:val="left"/>
    </w:lvl>
    <w:lvl w:ilvl="6" w:tplc="DD8CE1EC">
      <w:numFmt w:val="decimal"/>
      <w:lvlText w:val=""/>
      <w:lvlJc w:val="left"/>
    </w:lvl>
    <w:lvl w:ilvl="7" w:tplc="AC22298E">
      <w:numFmt w:val="decimal"/>
      <w:lvlText w:val=""/>
      <w:lvlJc w:val="left"/>
    </w:lvl>
    <w:lvl w:ilvl="8" w:tplc="8878D112">
      <w:numFmt w:val="decimal"/>
      <w:lvlText w:val=""/>
      <w:lvlJc w:val="left"/>
    </w:lvl>
  </w:abstractNum>
  <w:abstractNum w:abstractNumId="1034" w15:restartNumberingAfterBreak="0">
    <w:nsid w:val="6D814BFF"/>
    <w:multiLevelType w:val="hybridMultilevel"/>
    <w:tmpl w:val="585E5FC0"/>
    <w:lvl w:ilvl="0" w:tplc="B58EB20A">
      <w:start w:val="1"/>
      <w:numFmt w:val="bullet"/>
      <w:lvlText w:val=""/>
      <w:lvlJc w:val="left"/>
      <w:pPr>
        <w:ind w:left="720" w:hanging="360"/>
      </w:pPr>
      <w:rPr>
        <w:rFonts w:ascii="Symbol" w:hAnsi="Symbol" w:hint="default"/>
      </w:rPr>
    </w:lvl>
    <w:lvl w:ilvl="1" w:tplc="C7326608">
      <w:numFmt w:val="decimal"/>
      <w:lvlText w:val=""/>
      <w:lvlJc w:val="left"/>
    </w:lvl>
    <w:lvl w:ilvl="2" w:tplc="9926DB10">
      <w:numFmt w:val="decimal"/>
      <w:lvlText w:val=""/>
      <w:lvlJc w:val="left"/>
    </w:lvl>
    <w:lvl w:ilvl="3" w:tplc="82C40DE8">
      <w:numFmt w:val="decimal"/>
      <w:lvlText w:val=""/>
      <w:lvlJc w:val="left"/>
    </w:lvl>
    <w:lvl w:ilvl="4" w:tplc="D11CA554">
      <w:numFmt w:val="decimal"/>
      <w:lvlText w:val=""/>
      <w:lvlJc w:val="left"/>
    </w:lvl>
    <w:lvl w:ilvl="5" w:tplc="3296240E">
      <w:numFmt w:val="decimal"/>
      <w:lvlText w:val=""/>
      <w:lvlJc w:val="left"/>
    </w:lvl>
    <w:lvl w:ilvl="6" w:tplc="751883AE">
      <w:numFmt w:val="decimal"/>
      <w:lvlText w:val=""/>
      <w:lvlJc w:val="left"/>
    </w:lvl>
    <w:lvl w:ilvl="7" w:tplc="33EE807C">
      <w:numFmt w:val="decimal"/>
      <w:lvlText w:val=""/>
      <w:lvlJc w:val="left"/>
    </w:lvl>
    <w:lvl w:ilvl="8" w:tplc="9F7AA470">
      <w:numFmt w:val="decimal"/>
      <w:lvlText w:val=""/>
      <w:lvlJc w:val="left"/>
    </w:lvl>
  </w:abstractNum>
  <w:abstractNum w:abstractNumId="1035" w15:restartNumberingAfterBreak="0">
    <w:nsid w:val="6D907CBF"/>
    <w:multiLevelType w:val="hybridMultilevel"/>
    <w:tmpl w:val="F51CD64A"/>
    <w:lvl w:ilvl="0" w:tplc="659A3758">
      <w:start w:val="1"/>
      <w:numFmt w:val="bullet"/>
      <w:lvlText w:val=""/>
      <w:lvlJc w:val="left"/>
      <w:pPr>
        <w:ind w:left="720" w:hanging="360"/>
      </w:pPr>
      <w:rPr>
        <w:rFonts w:ascii="Symbol" w:hAnsi="Symbol" w:hint="default"/>
      </w:rPr>
    </w:lvl>
    <w:lvl w:ilvl="1" w:tplc="95C64B8E">
      <w:numFmt w:val="decimal"/>
      <w:lvlText w:val=""/>
      <w:lvlJc w:val="left"/>
    </w:lvl>
    <w:lvl w:ilvl="2" w:tplc="F970D9F2">
      <w:numFmt w:val="decimal"/>
      <w:lvlText w:val=""/>
      <w:lvlJc w:val="left"/>
    </w:lvl>
    <w:lvl w:ilvl="3" w:tplc="A36A90CC">
      <w:numFmt w:val="decimal"/>
      <w:lvlText w:val=""/>
      <w:lvlJc w:val="left"/>
    </w:lvl>
    <w:lvl w:ilvl="4" w:tplc="6292D65A">
      <w:numFmt w:val="decimal"/>
      <w:lvlText w:val=""/>
      <w:lvlJc w:val="left"/>
    </w:lvl>
    <w:lvl w:ilvl="5" w:tplc="EDA0DA24">
      <w:numFmt w:val="decimal"/>
      <w:lvlText w:val=""/>
      <w:lvlJc w:val="left"/>
    </w:lvl>
    <w:lvl w:ilvl="6" w:tplc="1BD6588E">
      <w:numFmt w:val="decimal"/>
      <w:lvlText w:val=""/>
      <w:lvlJc w:val="left"/>
    </w:lvl>
    <w:lvl w:ilvl="7" w:tplc="B4221AE6">
      <w:numFmt w:val="decimal"/>
      <w:lvlText w:val=""/>
      <w:lvlJc w:val="left"/>
    </w:lvl>
    <w:lvl w:ilvl="8" w:tplc="469A10AE">
      <w:numFmt w:val="decimal"/>
      <w:lvlText w:val=""/>
      <w:lvlJc w:val="left"/>
    </w:lvl>
  </w:abstractNum>
  <w:abstractNum w:abstractNumId="1036" w15:restartNumberingAfterBreak="0">
    <w:nsid w:val="6DA35680"/>
    <w:multiLevelType w:val="hybridMultilevel"/>
    <w:tmpl w:val="8972403C"/>
    <w:lvl w:ilvl="0" w:tplc="BCFA7C72">
      <w:start w:val="1"/>
      <w:numFmt w:val="bullet"/>
      <w:lvlText w:val=""/>
      <w:lvlJc w:val="left"/>
      <w:pPr>
        <w:ind w:left="720" w:hanging="360"/>
      </w:pPr>
      <w:rPr>
        <w:rFonts w:ascii="Symbol" w:hAnsi="Symbol" w:hint="default"/>
      </w:rPr>
    </w:lvl>
    <w:lvl w:ilvl="1" w:tplc="9FEEDB62">
      <w:numFmt w:val="decimal"/>
      <w:lvlText w:val=""/>
      <w:lvlJc w:val="left"/>
    </w:lvl>
    <w:lvl w:ilvl="2" w:tplc="C996095A">
      <w:numFmt w:val="decimal"/>
      <w:lvlText w:val=""/>
      <w:lvlJc w:val="left"/>
    </w:lvl>
    <w:lvl w:ilvl="3" w:tplc="213673CA">
      <w:numFmt w:val="decimal"/>
      <w:lvlText w:val=""/>
      <w:lvlJc w:val="left"/>
    </w:lvl>
    <w:lvl w:ilvl="4" w:tplc="9402A488">
      <w:numFmt w:val="decimal"/>
      <w:lvlText w:val=""/>
      <w:lvlJc w:val="left"/>
    </w:lvl>
    <w:lvl w:ilvl="5" w:tplc="9482E1B8">
      <w:numFmt w:val="decimal"/>
      <w:lvlText w:val=""/>
      <w:lvlJc w:val="left"/>
    </w:lvl>
    <w:lvl w:ilvl="6" w:tplc="DFE2944A">
      <w:numFmt w:val="decimal"/>
      <w:lvlText w:val=""/>
      <w:lvlJc w:val="left"/>
    </w:lvl>
    <w:lvl w:ilvl="7" w:tplc="72242CCE">
      <w:numFmt w:val="decimal"/>
      <w:lvlText w:val=""/>
      <w:lvlJc w:val="left"/>
    </w:lvl>
    <w:lvl w:ilvl="8" w:tplc="49FCDB2E">
      <w:numFmt w:val="decimal"/>
      <w:lvlText w:val=""/>
      <w:lvlJc w:val="left"/>
    </w:lvl>
  </w:abstractNum>
  <w:abstractNum w:abstractNumId="1037" w15:restartNumberingAfterBreak="0">
    <w:nsid w:val="6DE3731A"/>
    <w:multiLevelType w:val="hybridMultilevel"/>
    <w:tmpl w:val="DEC48EFC"/>
    <w:lvl w:ilvl="0" w:tplc="D046CB94">
      <w:start w:val="1"/>
      <w:numFmt w:val="bullet"/>
      <w:lvlText w:val=""/>
      <w:lvlJc w:val="left"/>
      <w:pPr>
        <w:ind w:left="720" w:hanging="360"/>
      </w:pPr>
      <w:rPr>
        <w:rFonts w:ascii="Symbol" w:hAnsi="Symbol" w:hint="default"/>
      </w:rPr>
    </w:lvl>
    <w:lvl w:ilvl="1" w:tplc="8BE65DF4">
      <w:numFmt w:val="decimal"/>
      <w:lvlText w:val=""/>
      <w:lvlJc w:val="left"/>
    </w:lvl>
    <w:lvl w:ilvl="2" w:tplc="ED8C9E20">
      <w:numFmt w:val="decimal"/>
      <w:lvlText w:val=""/>
      <w:lvlJc w:val="left"/>
    </w:lvl>
    <w:lvl w:ilvl="3" w:tplc="D67AA3E6">
      <w:numFmt w:val="decimal"/>
      <w:lvlText w:val=""/>
      <w:lvlJc w:val="left"/>
    </w:lvl>
    <w:lvl w:ilvl="4" w:tplc="37288210">
      <w:numFmt w:val="decimal"/>
      <w:lvlText w:val=""/>
      <w:lvlJc w:val="left"/>
    </w:lvl>
    <w:lvl w:ilvl="5" w:tplc="35A6AC60">
      <w:numFmt w:val="decimal"/>
      <w:lvlText w:val=""/>
      <w:lvlJc w:val="left"/>
    </w:lvl>
    <w:lvl w:ilvl="6" w:tplc="69BA935E">
      <w:numFmt w:val="decimal"/>
      <w:lvlText w:val=""/>
      <w:lvlJc w:val="left"/>
    </w:lvl>
    <w:lvl w:ilvl="7" w:tplc="27E2836C">
      <w:numFmt w:val="decimal"/>
      <w:lvlText w:val=""/>
      <w:lvlJc w:val="left"/>
    </w:lvl>
    <w:lvl w:ilvl="8" w:tplc="44C46D28">
      <w:numFmt w:val="decimal"/>
      <w:lvlText w:val=""/>
      <w:lvlJc w:val="left"/>
    </w:lvl>
  </w:abstractNum>
  <w:abstractNum w:abstractNumId="1038" w15:restartNumberingAfterBreak="0">
    <w:nsid w:val="6DEE0516"/>
    <w:multiLevelType w:val="hybridMultilevel"/>
    <w:tmpl w:val="88DAA76A"/>
    <w:lvl w:ilvl="0" w:tplc="3D9E53AA">
      <w:start w:val="1"/>
      <w:numFmt w:val="bullet"/>
      <w:lvlText w:val=""/>
      <w:lvlJc w:val="left"/>
      <w:pPr>
        <w:ind w:left="720" w:hanging="360"/>
      </w:pPr>
      <w:rPr>
        <w:rFonts w:ascii="Symbol" w:hAnsi="Symbol" w:hint="default"/>
      </w:rPr>
    </w:lvl>
    <w:lvl w:ilvl="1" w:tplc="F50207A6">
      <w:numFmt w:val="decimal"/>
      <w:lvlText w:val=""/>
      <w:lvlJc w:val="left"/>
    </w:lvl>
    <w:lvl w:ilvl="2" w:tplc="A3D255C8">
      <w:numFmt w:val="decimal"/>
      <w:lvlText w:val=""/>
      <w:lvlJc w:val="left"/>
    </w:lvl>
    <w:lvl w:ilvl="3" w:tplc="6FCC8748">
      <w:numFmt w:val="decimal"/>
      <w:lvlText w:val=""/>
      <w:lvlJc w:val="left"/>
    </w:lvl>
    <w:lvl w:ilvl="4" w:tplc="466E439E">
      <w:numFmt w:val="decimal"/>
      <w:lvlText w:val=""/>
      <w:lvlJc w:val="left"/>
    </w:lvl>
    <w:lvl w:ilvl="5" w:tplc="90C2FBBE">
      <w:numFmt w:val="decimal"/>
      <w:lvlText w:val=""/>
      <w:lvlJc w:val="left"/>
    </w:lvl>
    <w:lvl w:ilvl="6" w:tplc="4AE467F2">
      <w:numFmt w:val="decimal"/>
      <w:lvlText w:val=""/>
      <w:lvlJc w:val="left"/>
    </w:lvl>
    <w:lvl w:ilvl="7" w:tplc="2FB49C02">
      <w:numFmt w:val="decimal"/>
      <w:lvlText w:val=""/>
      <w:lvlJc w:val="left"/>
    </w:lvl>
    <w:lvl w:ilvl="8" w:tplc="65363346">
      <w:numFmt w:val="decimal"/>
      <w:lvlText w:val=""/>
      <w:lvlJc w:val="left"/>
    </w:lvl>
  </w:abstractNum>
  <w:abstractNum w:abstractNumId="1039" w15:restartNumberingAfterBreak="0">
    <w:nsid w:val="6DF1086D"/>
    <w:multiLevelType w:val="hybridMultilevel"/>
    <w:tmpl w:val="FA285D4E"/>
    <w:lvl w:ilvl="0" w:tplc="FE825892">
      <w:start w:val="1"/>
      <w:numFmt w:val="bullet"/>
      <w:lvlText w:val=""/>
      <w:lvlJc w:val="left"/>
      <w:pPr>
        <w:ind w:left="720" w:hanging="360"/>
      </w:pPr>
      <w:rPr>
        <w:rFonts w:ascii="Symbol" w:hAnsi="Symbol" w:hint="default"/>
      </w:rPr>
    </w:lvl>
    <w:lvl w:ilvl="1" w:tplc="65922E34">
      <w:numFmt w:val="decimal"/>
      <w:lvlText w:val=""/>
      <w:lvlJc w:val="left"/>
    </w:lvl>
    <w:lvl w:ilvl="2" w:tplc="E75EBD40">
      <w:numFmt w:val="decimal"/>
      <w:lvlText w:val=""/>
      <w:lvlJc w:val="left"/>
    </w:lvl>
    <w:lvl w:ilvl="3" w:tplc="C1F2E4EC">
      <w:numFmt w:val="decimal"/>
      <w:lvlText w:val=""/>
      <w:lvlJc w:val="left"/>
    </w:lvl>
    <w:lvl w:ilvl="4" w:tplc="E4D8CC54">
      <w:numFmt w:val="decimal"/>
      <w:lvlText w:val=""/>
      <w:lvlJc w:val="left"/>
    </w:lvl>
    <w:lvl w:ilvl="5" w:tplc="32E014A6">
      <w:numFmt w:val="decimal"/>
      <w:lvlText w:val=""/>
      <w:lvlJc w:val="left"/>
    </w:lvl>
    <w:lvl w:ilvl="6" w:tplc="7FB26334">
      <w:numFmt w:val="decimal"/>
      <w:lvlText w:val=""/>
      <w:lvlJc w:val="left"/>
    </w:lvl>
    <w:lvl w:ilvl="7" w:tplc="5E6CDA52">
      <w:numFmt w:val="decimal"/>
      <w:lvlText w:val=""/>
      <w:lvlJc w:val="left"/>
    </w:lvl>
    <w:lvl w:ilvl="8" w:tplc="0352B13A">
      <w:numFmt w:val="decimal"/>
      <w:lvlText w:val=""/>
      <w:lvlJc w:val="left"/>
    </w:lvl>
  </w:abstractNum>
  <w:abstractNum w:abstractNumId="1040" w15:restartNumberingAfterBreak="0">
    <w:nsid w:val="6E1728A9"/>
    <w:multiLevelType w:val="hybridMultilevel"/>
    <w:tmpl w:val="2856B156"/>
    <w:lvl w:ilvl="0" w:tplc="D21AAE86">
      <w:start w:val="1"/>
      <w:numFmt w:val="bullet"/>
      <w:lvlText w:val=""/>
      <w:lvlJc w:val="left"/>
      <w:pPr>
        <w:ind w:left="720" w:hanging="360"/>
      </w:pPr>
      <w:rPr>
        <w:rFonts w:ascii="Symbol" w:hAnsi="Symbol" w:hint="default"/>
      </w:rPr>
    </w:lvl>
    <w:lvl w:ilvl="1" w:tplc="E5DE1A58">
      <w:numFmt w:val="decimal"/>
      <w:lvlText w:val=""/>
      <w:lvlJc w:val="left"/>
    </w:lvl>
    <w:lvl w:ilvl="2" w:tplc="E910AD86">
      <w:numFmt w:val="decimal"/>
      <w:lvlText w:val=""/>
      <w:lvlJc w:val="left"/>
    </w:lvl>
    <w:lvl w:ilvl="3" w:tplc="A0CE8C50">
      <w:numFmt w:val="decimal"/>
      <w:lvlText w:val=""/>
      <w:lvlJc w:val="left"/>
    </w:lvl>
    <w:lvl w:ilvl="4" w:tplc="85A0D11C">
      <w:numFmt w:val="decimal"/>
      <w:lvlText w:val=""/>
      <w:lvlJc w:val="left"/>
    </w:lvl>
    <w:lvl w:ilvl="5" w:tplc="B8E84130">
      <w:numFmt w:val="decimal"/>
      <w:lvlText w:val=""/>
      <w:lvlJc w:val="left"/>
    </w:lvl>
    <w:lvl w:ilvl="6" w:tplc="5166498A">
      <w:numFmt w:val="decimal"/>
      <w:lvlText w:val=""/>
      <w:lvlJc w:val="left"/>
    </w:lvl>
    <w:lvl w:ilvl="7" w:tplc="89783EDC">
      <w:numFmt w:val="decimal"/>
      <w:lvlText w:val=""/>
      <w:lvlJc w:val="left"/>
    </w:lvl>
    <w:lvl w:ilvl="8" w:tplc="DCE4B0A2">
      <w:numFmt w:val="decimal"/>
      <w:lvlText w:val=""/>
      <w:lvlJc w:val="left"/>
    </w:lvl>
  </w:abstractNum>
  <w:abstractNum w:abstractNumId="1041" w15:restartNumberingAfterBreak="0">
    <w:nsid w:val="6E173972"/>
    <w:multiLevelType w:val="hybridMultilevel"/>
    <w:tmpl w:val="F0187A2A"/>
    <w:lvl w:ilvl="0" w:tplc="22428356">
      <w:start w:val="1"/>
      <w:numFmt w:val="bullet"/>
      <w:lvlText w:val=""/>
      <w:lvlJc w:val="left"/>
      <w:pPr>
        <w:ind w:left="720" w:hanging="360"/>
      </w:pPr>
      <w:rPr>
        <w:rFonts w:ascii="Symbol" w:hAnsi="Symbol" w:hint="default"/>
      </w:rPr>
    </w:lvl>
    <w:lvl w:ilvl="1" w:tplc="F8AC73DC">
      <w:numFmt w:val="decimal"/>
      <w:lvlText w:val=""/>
      <w:lvlJc w:val="left"/>
    </w:lvl>
    <w:lvl w:ilvl="2" w:tplc="17EE4A1E">
      <w:numFmt w:val="decimal"/>
      <w:lvlText w:val=""/>
      <w:lvlJc w:val="left"/>
    </w:lvl>
    <w:lvl w:ilvl="3" w:tplc="C04C9582">
      <w:numFmt w:val="decimal"/>
      <w:lvlText w:val=""/>
      <w:lvlJc w:val="left"/>
    </w:lvl>
    <w:lvl w:ilvl="4" w:tplc="3E385D40">
      <w:numFmt w:val="decimal"/>
      <w:lvlText w:val=""/>
      <w:lvlJc w:val="left"/>
    </w:lvl>
    <w:lvl w:ilvl="5" w:tplc="CFDCAF78">
      <w:numFmt w:val="decimal"/>
      <w:lvlText w:val=""/>
      <w:lvlJc w:val="left"/>
    </w:lvl>
    <w:lvl w:ilvl="6" w:tplc="14FC8780">
      <w:numFmt w:val="decimal"/>
      <w:lvlText w:val=""/>
      <w:lvlJc w:val="left"/>
    </w:lvl>
    <w:lvl w:ilvl="7" w:tplc="B4768A90">
      <w:numFmt w:val="decimal"/>
      <w:lvlText w:val=""/>
      <w:lvlJc w:val="left"/>
    </w:lvl>
    <w:lvl w:ilvl="8" w:tplc="3668AC5E">
      <w:numFmt w:val="decimal"/>
      <w:lvlText w:val=""/>
      <w:lvlJc w:val="left"/>
    </w:lvl>
  </w:abstractNum>
  <w:abstractNum w:abstractNumId="1042" w15:restartNumberingAfterBreak="0">
    <w:nsid w:val="6E1745E5"/>
    <w:multiLevelType w:val="hybridMultilevel"/>
    <w:tmpl w:val="5956D312"/>
    <w:lvl w:ilvl="0" w:tplc="059CA72C">
      <w:start w:val="1"/>
      <w:numFmt w:val="bullet"/>
      <w:lvlText w:val=""/>
      <w:lvlJc w:val="left"/>
      <w:pPr>
        <w:ind w:left="720" w:hanging="360"/>
      </w:pPr>
      <w:rPr>
        <w:rFonts w:ascii="Symbol" w:hAnsi="Symbol" w:hint="default"/>
      </w:rPr>
    </w:lvl>
    <w:lvl w:ilvl="1" w:tplc="BEB00CD2">
      <w:numFmt w:val="decimal"/>
      <w:lvlText w:val=""/>
      <w:lvlJc w:val="left"/>
    </w:lvl>
    <w:lvl w:ilvl="2" w:tplc="1F5C894E">
      <w:numFmt w:val="decimal"/>
      <w:lvlText w:val=""/>
      <w:lvlJc w:val="left"/>
    </w:lvl>
    <w:lvl w:ilvl="3" w:tplc="11043AB6">
      <w:numFmt w:val="decimal"/>
      <w:lvlText w:val=""/>
      <w:lvlJc w:val="left"/>
    </w:lvl>
    <w:lvl w:ilvl="4" w:tplc="B09E4BF6">
      <w:numFmt w:val="decimal"/>
      <w:lvlText w:val=""/>
      <w:lvlJc w:val="left"/>
    </w:lvl>
    <w:lvl w:ilvl="5" w:tplc="89C0FA30">
      <w:numFmt w:val="decimal"/>
      <w:lvlText w:val=""/>
      <w:lvlJc w:val="left"/>
    </w:lvl>
    <w:lvl w:ilvl="6" w:tplc="9DA8E194">
      <w:numFmt w:val="decimal"/>
      <w:lvlText w:val=""/>
      <w:lvlJc w:val="left"/>
    </w:lvl>
    <w:lvl w:ilvl="7" w:tplc="7E249146">
      <w:numFmt w:val="decimal"/>
      <w:lvlText w:val=""/>
      <w:lvlJc w:val="left"/>
    </w:lvl>
    <w:lvl w:ilvl="8" w:tplc="D37A8924">
      <w:numFmt w:val="decimal"/>
      <w:lvlText w:val=""/>
      <w:lvlJc w:val="left"/>
    </w:lvl>
  </w:abstractNum>
  <w:abstractNum w:abstractNumId="1043" w15:restartNumberingAfterBreak="0">
    <w:nsid w:val="6E464D35"/>
    <w:multiLevelType w:val="hybridMultilevel"/>
    <w:tmpl w:val="4D8EAC5C"/>
    <w:lvl w:ilvl="0" w:tplc="BCD8617E">
      <w:start w:val="1"/>
      <w:numFmt w:val="bullet"/>
      <w:lvlText w:val=""/>
      <w:lvlJc w:val="left"/>
      <w:pPr>
        <w:ind w:left="720" w:hanging="360"/>
      </w:pPr>
      <w:rPr>
        <w:rFonts w:ascii="Symbol" w:hAnsi="Symbol" w:hint="default"/>
      </w:rPr>
    </w:lvl>
    <w:lvl w:ilvl="1" w:tplc="9B20C650">
      <w:numFmt w:val="decimal"/>
      <w:lvlText w:val=""/>
      <w:lvlJc w:val="left"/>
    </w:lvl>
    <w:lvl w:ilvl="2" w:tplc="5FE6737A">
      <w:numFmt w:val="decimal"/>
      <w:lvlText w:val=""/>
      <w:lvlJc w:val="left"/>
    </w:lvl>
    <w:lvl w:ilvl="3" w:tplc="9B22CD26">
      <w:numFmt w:val="decimal"/>
      <w:lvlText w:val=""/>
      <w:lvlJc w:val="left"/>
    </w:lvl>
    <w:lvl w:ilvl="4" w:tplc="B8C29842">
      <w:numFmt w:val="decimal"/>
      <w:lvlText w:val=""/>
      <w:lvlJc w:val="left"/>
    </w:lvl>
    <w:lvl w:ilvl="5" w:tplc="B9E2C646">
      <w:numFmt w:val="decimal"/>
      <w:lvlText w:val=""/>
      <w:lvlJc w:val="left"/>
    </w:lvl>
    <w:lvl w:ilvl="6" w:tplc="149269CA">
      <w:numFmt w:val="decimal"/>
      <w:lvlText w:val=""/>
      <w:lvlJc w:val="left"/>
    </w:lvl>
    <w:lvl w:ilvl="7" w:tplc="DA3008AA">
      <w:numFmt w:val="decimal"/>
      <w:lvlText w:val=""/>
      <w:lvlJc w:val="left"/>
    </w:lvl>
    <w:lvl w:ilvl="8" w:tplc="B76E9DE4">
      <w:numFmt w:val="decimal"/>
      <w:lvlText w:val=""/>
      <w:lvlJc w:val="left"/>
    </w:lvl>
  </w:abstractNum>
  <w:abstractNum w:abstractNumId="1044" w15:restartNumberingAfterBreak="0">
    <w:nsid w:val="6E9D53DA"/>
    <w:multiLevelType w:val="hybridMultilevel"/>
    <w:tmpl w:val="31D40EB4"/>
    <w:lvl w:ilvl="0" w:tplc="754ECABE">
      <w:start w:val="1"/>
      <w:numFmt w:val="bullet"/>
      <w:lvlText w:val=""/>
      <w:lvlJc w:val="left"/>
      <w:pPr>
        <w:ind w:left="720" w:hanging="360"/>
      </w:pPr>
      <w:rPr>
        <w:rFonts w:ascii="Symbol" w:hAnsi="Symbol" w:hint="default"/>
      </w:rPr>
    </w:lvl>
    <w:lvl w:ilvl="1" w:tplc="871476AC">
      <w:numFmt w:val="decimal"/>
      <w:lvlText w:val=""/>
      <w:lvlJc w:val="left"/>
    </w:lvl>
    <w:lvl w:ilvl="2" w:tplc="3F62F4F4">
      <w:numFmt w:val="decimal"/>
      <w:lvlText w:val=""/>
      <w:lvlJc w:val="left"/>
    </w:lvl>
    <w:lvl w:ilvl="3" w:tplc="E3A005AA">
      <w:numFmt w:val="decimal"/>
      <w:lvlText w:val=""/>
      <w:lvlJc w:val="left"/>
    </w:lvl>
    <w:lvl w:ilvl="4" w:tplc="B3BA9A48">
      <w:numFmt w:val="decimal"/>
      <w:lvlText w:val=""/>
      <w:lvlJc w:val="left"/>
    </w:lvl>
    <w:lvl w:ilvl="5" w:tplc="586A5B8E">
      <w:numFmt w:val="decimal"/>
      <w:lvlText w:val=""/>
      <w:lvlJc w:val="left"/>
    </w:lvl>
    <w:lvl w:ilvl="6" w:tplc="C166E556">
      <w:numFmt w:val="decimal"/>
      <w:lvlText w:val=""/>
      <w:lvlJc w:val="left"/>
    </w:lvl>
    <w:lvl w:ilvl="7" w:tplc="AE2AEE86">
      <w:numFmt w:val="decimal"/>
      <w:lvlText w:val=""/>
      <w:lvlJc w:val="left"/>
    </w:lvl>
    <w:lvl w:ilvl="8" w:tplc="438E1B1E">
      <w:numFmt w:val="decimal"/>
      <w:lvlText w:val=""/>
      <w:lvlJc w:val="left"/>
    </w:lvl>
  </w:abstractNum>
  <w:abstractNum w:abstractNumId="1045" w15:restartNumberingAfterBreak="0">
    <w:nsid w:val="6EB73B51"/>
    <w:multiLevelType w:val="hybridMultilevel"/>
    <w:tmpl w:val="A0161466"/>
    <w:lvl w:ilvl="0" w:tplc="F98AA42E">
      <w:start w:val="1"/>
      <w:numFmt w:val="bullet"/>
      <w:lvlText w:val=""/>
      <w:lvlJc w:val="left"/>
      <w:pPr>
        <w:ind w:left="720" w:hanging="360"/>
      </w:pPr>
      <w:rPr>
        <w:rFonts w:ascii="Symbol" w:hAnsi="Symbol" w:hint="default"/>
      </w:rPr>
    </w:lvl>
    <w:lvl w:ilvl="1" w:tplc="FD52EF08">
      <w:numFmt w:val="decimal"/>
      <w:lvlText w:val=""/>
      <w:lvlJc w:val="left"/>
    </w:lvl>
    <w:lvl w:ilvl="2" w:tplc="B4501900">
      <w:numFmt w:val="decimal"/>
      <w:lvlText w:val=""/>
      <w:lvlJc w:val="left"/>
    </w:lvl>
    <w:lvl w:ilvl="3" w:tplc="9EC2F4C0">
      <w:numFmt w:val="decimal"/>
      <w:lvlText w:val=""/>
      <w:lvlJc w:val="left"/>
    </w:lvl>
    <w:lvl w:ilvl="4" w:tplc="FC02A090">
      <w:numFmt w:val="decimal"/>
      <w:lvlText w:val=""/>
      <w:lvlJc w:val="left"/>
    </w:lvl>
    <w:lvl w:ilvl="5" w:tplc="536A689C">
      <w:numFmt w:val="decimal"/>
      <w:lvlText w:val=""/>
      <w:lvlJc w:val="left"/>
    </w:lvl>
    <w:lvl w:ilvl="6" w:tplc="9D2C3BA2">
      <w:numFmt w:val="decimal"/>
      <w:lvlText w:val=""/>
      <w:lvlJc w:val="left"/>
    </w:lvl>
    <w:lvl w:ilvl="7" w:tplc="3E8622EA">
      <w:numFmt w:val="decimal"/>
      <w:lvlText w:val=""/>
      <w:lvlJc w:val="left"/>
    </w:lvl>
    <w:lvl w:ilvl="8" w:tplc="D8642598">
      <w:numFmt w:val="decimal"/>
      <w:lvlText w:val=""/>
      <w:lvlJc w:val="left"/>
    </w:lvl>
  </w:abstractNum>
  <w:abstractNum w:abstractNumId="1046" w15:restartNumberingAfterBreak="0">
    <w:nsid w:val="6EE16F27"/>
    <w:multiLevelType w:val="hybridMultilevel"/>
    <w:tmpl w:val="13F4D90E"/>
    <w:lvl w:ilvl="0" w:tplc="72BE604A">
      <w:start w:val="1"/>
      <w:numFmt w:val="bullet"/>
      <w:lvlText w:val=""/>
      <w:lvlJc w:val="left"/>
      <w:pPr>
        <w:ind w:left="720" w:hanging="360"/>
      </w:pPr>
      <w:rPr>
        <w:rFonts w:ascii="Symbol" w:hAnsi="Symbol" w:hint="default"/>
      </w:rPr>
    </w:lvl>
    <w:lvl w:ilvl="1" w:tplc="66E00CA6">
      <w:numFmt w:val="decimal"/>
      <w:lvlText w:val=""/>
      <w:lvlJc w:val="left"/>
    </w:lvl>
    <w:lvl w:ilvl="2" w:tplc="B540F83A">
      <w:numFmt w:val="decimal"/>
      <w:lvlText w:val=""/>
      <w:lvlJc w:val="left"/>
    </w:lvl>
    <w:lvl w:ilvl="3" w:tplc="717C3FEC">
      <w:numFmt w:val="decimal"/>
      <w:lvlText w:val=""/>
      <w:lvlJc w:val="left"/>
    </w:lvl>
    <w:lvl w:ilvl="4" w:tplc="CE52DC10">
      <w:numFmt w:val="decimal"/>
      <w:lvlText w:val=""/>
      <w:lvlJc w:val="left"/>
    </w:lvl>
    <w:lvl w:ilvl="5" w:tplc="D6783110">
      <w:numFmt w:val="decimal"/>
      <w:lvlText w:val=""/>
      <w:lvlJc w:val="left"/>
    </w:lvl>
    <w:lvl w:ilvl="6" w:tplc="BFF0F062">
      <w:numFmt w:val="decimal"/>
      <w:lvlText w:val=""/>
      <w:lvlJc w:val="left"/>
    </w:lvl>
    <w:lvl w:ilvl="7" w:tplc="6944E162">
      <w:numFmt w:val="decimal"/>
      <w:lvlText w:val=""/>
      <w:lvlJc w:val="left"/>
    </w:lvl>
    <w:lvl w:ilvl="8" w:tplc="2482099E">
      <w:numFmt w:val="decimal"/>
      <w:lvlText w:val=""/>
      <w:lvlJc w:val="left"/>
    </w:lvl>
  </w:abstractNum>
  <w:abstractNum w:abstractNumId="1047" w15:restartNumberingAfterBreak="0">
    <w:nsid w:val="6EEA650C"/>
    <w:multiLevelType w:val="hybridMultilevel"/>
    <w:tmpl w:val="97563E3E"/>
    <w:lvl w:ilvl="0" w:tplc="3B8CF4EC">
      <w:start w:val="1"/>
      <w:numFmt w:val="bullet"/>
      <w:lvlText w:val=""/>
      <w:lvlJc w:val="left"/>
      <w:pPr>
        <w:ind w:left="720" w:hanging="360"/>
      </w:pPr>
      <w:rPr>
        <w:rFonts w:ascii="Symbol" w:hAnsi="Symbol" w:hint="default"/>
      </w:rPr>
    </w:lvl>
    <w:lvl w:ilvl="1" w:tplc="C2A23D42">
      <w:numFmt w:val="decimal"/>
      <w:lvlText w:val=""/>
      <w:lvlJc w:val="left"/>
    </w:lvl>
    <w:lvl w:ilvl="2" w:tplc="7C8470C4">
      <w:numFmt w:val="decimal"/>
      <w:lvlText w:val=""/>
      <w:lvlJc w:val="left"/>
    </w:lvl>
    <w:lvl w:ilvl="3" w:tplc="77EAC08C">
      <w:numFmt w:val="decimal"/>
      <w:lvlText w:val=""/>
      <w:lvlJc w:val="left"/>
    </w:lvl>
    <w:lvl w:ilvl="4" w:tplc="3110A3B2">
      <w:numFmt w:val="decimal"/>
      <w:lvlText w:val=""/>
      <w:lvlJc w:val="left"/>
    </w:lvl>
    <w:lvl w:ilvl="5" w:tplc="5CCEDE38">
      <w:numFmt w:val="decimal"/>
      <w:lvlText w:val=""/>
      <w:lvlJc w:val="left"/>
    </w:lvl>
    <w:lvl w:ilvl="6" w:tplc="8376C678">
      <w:numFmt w:val="decimal"/>
      <w:lvlText w:val=""/>
      <w:lvlJc w:val="left"/>
    </w:lvl>
    <w:lvl w:ilvl="7" w:tplc="7D98D26C">
      <w:numFmt w:val="decimal"/>
      <w:lvlText w:val=""/>
      <w:lvlJc w:val="left"/>
    </w:lvl>
    <w:lvl w:ilvl="8" w:tplc="014AF0B6">
      <w:numFmt w:val="decimal"/>
      <w:lvlText w:val=""/>
      <w:lvlJc w:val="left"/>
    </w:lvl>
  </w:abstractNum>
  <w:abstractNum w:abstractNumId="1048" w15:restartNumberingAfterBreak="0">
    <w:nsid w:val="6F07399D"/>
    <w:multiLevelType w:val="hybridMultilevel"/>
    <w:tmpl w:val="DA742AE4"/>
    <w:lvl w:ilvl="0" w:tplc="C9124170">
      <w:start w:val="1"/>
      <w:numFmt w:val="bullet"/>
      <w:lvlText w:val=""/>
      <w:lvlJc w:val="left"/>
      <w:pPr>
        <w:ind w:left="720" w:hanging="360"/>
      </w:pPr>
      <w:rPr>
        <w:rFonts w:ascii="Symbol" w:hAnsi="Symbol" w:hint="default"/>
      </w:rPr>
    </w:lvl>
    <w:lvl w:ilvl="1" w:tplc="E2428A84">
      <w:numFmt w:val="decimal"/>
      <w:lvlText w:val=""/>
      <w:lvlJc w:val="left"/>
    </w:lvl>
    <w:lvl w:ilvl="2" w:tplc="8E92DA5C">
      <w:numFmt w:val="decimal"/>
      <w:lvlText w:val=""/>
      <w:lvlJc w:val="left"/>
    </w:lvl>
    <w:lvl w:ilvl="3" w:tplc="B150E410">
      <w:numFmt w:val="decimal"/>
      <w:lvlText w:val=""/>
      <w:lvlJc w:val="left"/>
    </w:lvl>
    <w:lvl w:ilvl="4" w:tplc="BD6E99BC">
      <w:numFmt w:val="decimal"/>
      <w:lvlText w:val=""/>
      <w:lvlJc w:val="left"/>
    </w:lvl>
    <w:lvl w:ilvl="5" w:tplc="3120EBDC">
      <w:numFmt w:val="decimal"/>
      <w:lvlText w:val=""/>
      <w:lvlJc w:val="left"/>
    </w:lvl>
    <w:lvl w:ilvl="6" w:tplc="E95028BA">
      <w:numFmt w:val="decimal"/>
      <w:lvlText w:val=""/>
      <w:lvlJc w:val="left"/>
    </w:lvl>
    <w:lvl w:ilvl="7" w:tplc="E9D634A8">
      <w:numFmt w:val="decimal"/>
      <w:lvlText w:val=""/>
      <w:lvlJc w:val="left"/>
    </w:lvl>
    <w:lvl w:ilvl="8" w:tplc="5BC611A6">
      <w:numFmt w:val="decimal"/>
      <w:lvlText w:val=""/>
      <w:lvlJc w:val="left"/>
    </w:lvl>
  </w:abstractNum>
  <w:abstractNum w:abstractNumId="1049" w15:restartNumberingAfterBreak="0">
    <w:nsid w:val="6F09710A"/>
    <w:multiLevelType w:val="hybridMultilevel"/>
    <w:tmpl w:val="96C699AE"/>
    <w:lvl w:ilvl="0" w:tplc="3BD6D4B8">
      <w:start w:val="1"/>
      <w:numFmt w:val="bullet"/>
      <w:lvlText w:val=""/>
      <w:lvlJc w:val="left"/>
      <w:pPr>
        <w:ind w:left="720" w:hanging="360"/>
      </w:pPr>
      <w:rPr>
        <w:rFonts w:ascii="Symbol" w:hAnsi="Symbol" w:hint="default"/>
      </w:rPr>
    </w:lvl>
    <w:lvl w:ilvl="1" w:tplc="4D80BEA0">
      <w:numFmt w:val="decimal"/>
      <w:lvlText w:val=""/>
      <w:lvlJc w:val="left"/>
    </w:lvl>
    <w:lvl w:ilvl="2" w:tplc="AD4E2308">
      <w:numFmt w:val="decimal"/>
      <w:lvlText w:val=""/>
      <w:lvlJc w:val="left"/>
    </w:lvl>
    <w:lvl w:ilvl="3" w:tplc="6344C640">
      <w:numFmt w:val="decimal"/>
      <w:lvlText w:val=""/>
      <w:lvlJc w:val="left"/>
    </w:lvl>
    <w:lvl w:ilvl="4" w:tplc="0B7C153C">
      <w:numFmt w:val="decimal"/>
      <w:lvlText w:val=""/>
      <w:lvlJc w:val="left"/>
    </w:lvl>
    <w:lvl w:ilvl="5" w:tplc="22BE5B42">
      <w:numFmt w:val="decimal"/>
      <w:lvlText w:val=""/>
      <w:lvlJc w:val="left"/>
    </w:lvl>
    <w:lvl w:ilvl="6" w:tplc="8E8E8240">
      <w:numFmt w:val="decimal"/>
      <w:lvlText w:val=""/>
      <w:lvlJc w:val="left"/>
    </w:lvl>
    <w:lvl w:ilvl="7" w:tplc="6AE2FCDA">
      <w:numFmt w:val="decimal"/>
      <w:lvlText w:val=""/>
      <w:lvlJc w:val="left"/>
    </w:lvl>
    <w:lvl w:ilvl="8" w:tplc="B9E298CA">
      <w:numFmt w:val="decimal"/>
      <w:lvlText w:val=""/>
      <w:lvlJc w:val="left"/>
    </w:lvl>
  </w:abstractNum>
  <w:abstractNum w:abstractNumId="1050" w15:restartNumberingAfterBreak="0">
    <w:nsid w:val="6F0A33AE"/>
    <w:multiLevelType w:val="hybridMultilevel"/>
    <w:tmpl w:val="8DD803EC"/>
    <w:lvl w:ilvl="0" w:tplc="DDDE50F0">
      <w:start w:val="1"/>
      <w:numFmt w:val="bullet"/>
      <w:lvlText w:val=""/>
      <w:lvlJc w:val="left"/>
      <w:pPr>
        <w:ind w:left="720" w:hanging="360"/>
      </w:pPr>
      <w:rPr>
        <w:rFonts w:ascii="Symbol" w:hAnsi="Symbol" w:hint="default"/>
      </w:rPr>
    </w:lvl>
    <w:lvl w:ilvl="1" w:tplc="62860F36">
      <w:numFmt w:val="decimal"/>
      <w:lvlText w:val=""/>
      <w:lvlJc w:val="left"/>
    </w:lvl>
    <w:lvl w:ilvl="2" w:tplc="C5AC1384">
      <w:numFmt w:val="decimal"/>
      <w:lvlText w:val=""/>
      <w:lvlJc w:val="left"/>
    </w:lvl>
    <w:lvl w:ilvl="3" w:tplc="10B43A6C">
      <w:numFmt w:val="decimal"/>
      <w:lvlText w:val=""/>
      <w:lvlJc w:val="left"/>
    </w:lvl>
    <w:lvl w:ilvl="4" w:tplc="CFA8E816">
      <w:numFmt w:val="decimal"/>
      <w:lvlText w:val=""/>
      <w:lvlJc w:val="left"/>
    </w:lvl>
    <w:lvl w:ilvl="5" w:tplc="21B8DEEE">
      <w:numFmt w:val="decimal"/>
      <w:lvlText w:val=""/>
      <w:lvlJc w:val="left"/>
    </w:lvl>
    <w:lvl w:ilvl="6" w:tplc="0FB292BE">
      <w:numFmt w:val="decimal"/>
      <w:lvlText w:val=""/>
      <w:lvlJc w:val="left"/>
    </w:lvl>
    <w:lvl w:ilvl="7" w:tplc="29F85312">
      <w:numFmt w:val="decimal"/>
      <w:lvlText w:val=""/>
      <w:lvlJc w:val="left"/>
    </w:lvl>
    <w:lvl w:ilvl="8" w:tplc="67D0F3EA">
      <w:numFmt w:val="decimal"/>
      <w:lvlText w:val=""/>
      <w:lvlJc w:val="left"/>
    </w:lvl>
  </w:abstractNum>
  <w:abstractNum w:abstractNumId="1051" w15:restartNumberingAfterBreak="0">
    <w:nsid w:val="6F485B28"/>
    <w:multiLevelType w:val="hybridMultilevel"/>
    <w:tmpl w:val="D45A416E"/>
    <w:lvl w:ilvl="0" w:tplc="A1FA7D36">
      <w:start w:val="1"/>
      <w:numFmt w:val="bullet"/>
      <w:lvlText w:val=""/>
      <w:lvlJc w:val="left"/>
      <w:pPr>
        <w:ind w:left="720" w:hanging="360"/>
      </w:pPr>
      <w:rPr>
        <w:rFonts w:ascii="Symbol" w:hAnsi="Symbol" w:hint="default"/>
      </w:rPr>
    </w:lvl>
    <w:lvl w:ilvl="1" w:tplc="0380C286">
      <w:numFmt w:val="decimal"/>
      <w:lvlText w:val=""/>
      <w:lvlJc w:val="left"/>
    </w:lvl>
    <w:lvl w:ilvl="2" w:tplc="0C8A8FDE">
      <w:numFmt w:val="decimal"/>
      <w:lvlText w:val=""/>
      <w:lvlJc w:val="left"/>
    </w:lvl>
    <w:lvl w:ilvl="3" w:tplc="D8B64B66">
      <w:numFmt w:val="decimal"/>
      <w:lvlText w:val=""/>
      <w:lvlJc w:val="left"/>
    </w:lvl>
    <w:lvl w:ilvl="4" w:tplc="F1EA5F80">
      <w:numFmt w:val="decimal"/>
      <w:lvlText w:val=""/>
      <w:lvlJc w:val="left"/>
    </w:lvl>
    <w:lvl w:ilvl="5" w:tplc="34F28766">
      <w:numFmt w:val="decimal"/>
      <w:lvlText w:val=""/>
      <w:lvlJc w:val="left"/>
    </w:lvl>
    <w:lvl w:ilvl="6" w:tplc="F00C99EA">
      <w:numFmt w:val="decimal"/>
      <w:lvlText w:val=""/>
      <w:lvlJc w:val="left"/>
    </w:lvl>
    <w:lvl w:ilvl="7" w:tplc="0A801EB6">
      <w:numFmt w:val="decimal"/>
      <w:lvlText w:val=""/>
      <w:lvlJc w:val="left"/>
    </w:lvl>
    <w:lvl w:ilvl="8" w:tplc="910876EA">
      <w:numFmt w:val="decimal"/>
      <w:lvlText w:val=""/>
      <w:lvlJc w:val="left"/>
    </w:lvl>
  </w:abstractNum>
  <w:abstractNum w:abstractNumId="1052" w15:restartNumberingAfterBreak="0">
    <w:nsid w:val="6F5E2CD2"/>
    <w:multiLevelType w:val="hybridMultilevel"/>
    <w:tmpl w:val="6270F5E2"/>
    <w:lvl w:ilvl="0" w:tplc="721E8D46">
      <w:start w:val="1"/>
      <w:numFmt w:val="bullet"/>
      <w:lvlText w:val=""/>
      <w:lvlJc w:val="left"/>
      <w:pPr>
        <w:ind w:left="720" w:hanging="360"/>
      </w:pPr>
      <w:rPr>
        <w:rFonts w:ascii="Symbol" w:hAnsi="Symbol" w:hint="default"/>
      </w:rPr>
    </w:lvl>
    <w:lvl w:ilvl="1" w:tplc="2F4A6E58">
      <w:numFmt w:val="decimal"/>
      <w:lvlText w:val=""/>
      <w:lvlJc w:val="left"/>
    </w:lvl>
    <w:lvl w:ilvl="2" w:tplc="98464226">
      <w:numFmt w:val="decimal"/>
      <w:lvlText w:val=""/>
      <w:lvlJc w:val="left"/>
    </w:lvl>
    <w:lvl w:ilvl="3" w:tplc="301C1150">
      <w:numFmt w:val="decimal"/>
      <w:lvlText w:val=""/>
      <w:lvlJc w:val="left"/>
    </w:lvl>
    <w:lvl w:ilvl="4" w:tplc="990C118C">
      <w:numFmt w:val="decimal"/>
      <w:lvlText w:val=""/>
      <w:lvlJc w:val="left"/>
    </w:lvl>
    <w:lvl w:ilvl="5" w:tplc="72A45B7A">
      <w:numFmt w:val="decimal"/>
      <w:lvlText w:val=""/>
      <w:lvlJc w:val="left"/>
    </w:lvl>
    <w:lvl w:ilvl="6" w:tplc="E4542216">
      <w:numFmt w:val="decimal"/>
      <w:lvlText w:val=""/>
      <w:lvlJc w:val="left"/>
    </w:lvl>
    <w:lvl w:ilvl="7" w:tplc="0A64F15E">
      <w:numFmt w:val="decimal"/>
      <w:lvlText w:val=""/>
      <w:lvlJc w:val="left"/>
    </w:lvl>
    <w:lvl w:ilvl="8" w:tplc="365A7B82">
      <w:numFmt w:val="decimal"/>
      <w:lvlText w:val=""/>
      <w:lvlJc w:val="left"/>
    </w:lvl>
  </w:abstractNum>
  <w:abstractNum w:abstractNumId="1053" w15:restartNumberingAfterBreak="0">
    <w:nsid w:val="6F7A7D4D"/>
    <w:multiLevelType w:val="hybridMultilevel"/>
    <w:tmpl w:val="B0B21786"/>
    <w:lvl w:ilvl="0" w:tplc="BD108674">
      <w:start w:val="1"/>
      <w:numFmt w:val="bullet"/>
      <w:lvlText w:val=""/>
      <w:lvlJc w:val="left"/>
      <w:pPr>
        <w:ind w:left="720" w:hanging="360"/>
      </w:pPr>
      <w:rPr>
        <w:rFonts w:ascii="Symbol" w:hAnsi="Symbol" w:hint="default"/>
      </w:rPr>
    </w:lvl>
    <w:lvl w:ilvl="1" w:tplc="703C4720">
      <w:numFmt w:val="decimal"/>
      <w:lvlText w:val=""/>
      <w:lvlJc w:val="left"/>
    </w:lvl>
    <w:lvl w:ilvl="2" w:tplc="08A2705C">
      <w:numFmt w:val="decimal"/>
      <w:lvlText w:val=""/>
      <w:lvlJc w:val="left"/>
    </w:lvl>
    <w:lvl w:ilvl="3" w:tplc="ECD2F2FE">
      <w:numFmt w:val="decimal"/>
      <w:lvlText w:val=""/>
      <w:lvlJc w:val="left"/>
    </w:lvl>
    <w:lvl w:ilvl="4" w:tplc="A3E05D5A">
      <w:numFmt w:val="decimal"/>
      <w:lvlText w:val=""/>
      <w:lvlJc w:val="left"/>
    </w:lvl>
    <w:lvl w:ilvl="5" w:tplc="D142768E">
      <w:numFmt w:val="decimal"/>
      <w:lvlText w:val=""/>
      <w:lvlJc w:val="left"/>
    </w:lvl>
    <w:lvl w:ilvl="6" w:tplc="C0BEC474">
      <w:numFmt w:val="decimal"/>
      <w:lvlText w:val=""/>
      <w:lvlJc w:val="left"/>
    </w:lvl>
    <w:lvl w:ilvl="7" w:tplc="449A17B4">
      <w:numFmt w:val="decimal"/>
      <w:lvlText w:val=""/>
      <w:lvlJc w:val="left"/>
    </w:lvl>
    <w:lvl w:ilvl="8" w:tplc="C23E7C46">
      <w:numFmt w:val="decimal"/>
      <w:lvlText w:val=""/>
      <w:lvlJc w:val="left"/>
    </w:lvl>
  </w:abstractNum>
  <w:abstractNum w:abstractNumId="1054" w15:restartNumberingAfterBreak="0">
    <w:nsid w:val="6F880FFB"/>
    <w:multiLevelType w:val="hybridMultilevel"/>
    <w:tmpl w:val="9D22C36E"/>
    <w:lvl w:ilvl="0" w:tplc="DA16FBBA">
      <w:numFmt w:val="decimal"/>
      <w:lvlText w:val=""/>
      <w:lvlJc w:val="left"/>
    </w:lvl>
    <w:lvl w:ilvl="1" w:tplc="DA906CCA">
      <w:start w:val="1"/>
      <w:numFmt w:val="bullet"/>
      <w:lvlText w:val=""/>
      <w:lvlJc w:val="left"/>
      <w:pPr>
        <w:ind w:left="1440" w:hanging="360"/>
      </w:pPr>
      <w:rPr>
        <w:rFonts w:ascii="Symbol" w:hAnsi="Symbol" w:hint="default"/>
      </w:rPr>
    </w:lvl>
    <w:lvl w:ilvl="2" w:tplc="0EDEB1CA">
      <w:numFmt w:val="decimal"/>
      <w:lvlText w:val=""/>
      <w:lvlJc w:val="left"/>
    </w:lvl>
    <w:lvl w:ilvl="3" w:tplc="4424ACEA">
      <w:numFmt w:val="decimal"/>
      <w:lvlText w:val=""/>
      <w:lvlJc w:val="left"/>
    </w:lvl>
    <w:lvl w:ilvl="4" w:tplc="1F3217D4">
      <w:numFmt w:val="decimal"/>
      <w:lvlText w:val=""/>
      <w:lvlJc w:val="left"/>
    </w:lvl>
    <w:lvl w:ilvl="5" w:tplc="A8788190">
      <w:numFmt w:val="decimal"/>
      <w:lvlText w:val=""/>
      <w:lvlJc w:val="left"/>
    </w:lvl>
    <w:lvl w:ilvl="6" w:tplc="D00850B4">
      <w:numFmt w:val="decimal"/>
      <w:lvlText w:val=""/>
      <w:lvlJc w:val="left"/>
    </w:lvl>
    <w:lvl w:ilvl="7" w:tplc="9AD097A4">
      <w:numFmt w:val="decimal"/>
      <w:lvlText w:val=""/>
      <w:lvlJc w:val="left"/>
    </w:lvl>
    <w:lvl w:ilvl="8" w:tplc="D86AD8A0">
      <w:numFmt w:val="decimal"/>
      <w:lvlText w:val=""/>
      <w:lvlJc w:val="left"/>
    </w:lvl>
  </w:abstractNum>
  <w:abstractNum w:abstractNumId="1055" w15:restartNumberingAfterBreak="0">
    <w:nsid w:val="6FC34F26"/>
    <w:multiLevelType w:val="hybridMultilevel"/>
    <w:tmpl w:val="35A20DEC"/>
    <w:lvl w:ilvl="0" w:tplc="5F92D5D8">
      <w:start w:val="1"/>
      <w:numFmt w:val="bullet"/>
      <w:lvlText w:val=""/>
      <w:lvlJc w:val="left"/>
      <w:pPr>
        <w:ind w:left="720" w:hanging="360"/>
      </w:pPr>
      <w:rPr>
        <w:rFonts w:ascii="Symbol" w:hAnsi="Symbol" w:hint="default"/>
      </w:rPr>
    </w:lvl>
    <w:lvl w:ilvl="1" w:tplc="5BD44DB8">
      <w:numFmt w:val="decimal"/>
      <w:lvlText w:val=""/>
      <w:lvlJc w:val="left"/>
    </w:lvl>
    <w:lvl w:ilvl="2" w:tplc="24E25636">
      <w:numFmt w:val="decimal"/>
      <w:lvlText w:val=""/>
      <w:lvlJc w:val="left"/>
    </w:lvl>
    <w:lvl w:ilvl="3" w:tplc="AE18744A">
      <w:numFmt w:val="decimal"/>
      <w:lvlText w:val=""/>
      <w:lvlJc w:val="left"/>
    </w:lvl>
    <w:lvl w:ilvl="4" w:tplc="D89C8430">
      <w:numFmt w:val="decimal"/>
      <w:lvlText w:val=""/>
      <w:lvlJc w:val="left"/>
    </w:lvl>
    <w:lvl w:ilvl="5" w:tplc="94AAB4A2">
      <w:numFmt w:val="decimal"/>
      <w:lvlText w:val=""/>
      <w:lvlJc w:val="left"/>
    </w:lvl>
    <w:lvl w:ilvl="6" w:tplc="61AC8F20">
      <w:numFmt w:val="decimal"/>
      <w:lvlText w:val=""/>
      <w:lvlJc w:val="left"/>
    </w:lvl>
    <w:lvl w:ilvl="7" w:tplc="3CD29C66">
      <w:numFmt w:val="decimal"/>
      <w:lvlText w:val=""/>
      <w:lvlJc w:val="left"/>
    </w:lvl>
    <w:lvl w:ilvl="8" w:tplc="6D5CE48A">
      <w:numFmt w:val="decimal"/>
      <w:lvlText w:val=""/>
      <w:lvlJc w:val="left"/>
    </w:lvl>
  </w:abstractNum>
  <w:abstractNum w:abstractNumId="1056" w15:restartNumberingAfterBreak="0">
    <w:nsid w:val="6FCF229F"/>
    <w:multiLevelType w:val="hybridMultilevel"/>
    <w:tmpl w:val="A8AA00B6"/>
    <w:lvl w:ilvl="0" w:tplc="A3A2FC6E">
      <w:start w:val="1"/>
      <w:numFmt w:val="bullet"/>
      <w:lvlText w:val=""/>
      <w:lvlJc w:val="left"/>
      <w:pPr>
        <w:ind w:left="720" w:hanging="360"/>
      </w:pPr>
      <w:rPr>
        <w:rFonts w:ascii="Symbol" w:hAnsi="Symbol" w:hint="default"/>
      </w:rPr>
    </w:lvl>
    <w:lvl w:ilvl="1" w:tplc="B7BC16D0">
      <w:numFmt w:val="decimal"/>
      <w:lvlText w:val=""/>
      <w:lvlJc w:val="left"/>
    </w:lvl>
    <w:lvl w:ilvl="2" w:tplc="931AB1D0">
      <w:numFmt w:val="decimal"/>
      <w:lvlText w:val=""/>
      <w:lvlJc w:val="left"/>
    </w:lvl>
    <w:lvl w:ilvl="3" w:tplc="E6002B62">
      <w:numFmt w:val="decimal"/>
      <w:lvlText w:val=""/>
      <w:lvlJc w:val="left"/>
    </w:lvl>
    <w:lvl w:ilvl="4" w:tplc="CCC8B110">
      <w:numFmt w:val="decimal"/>
      <w:lvlText w:val=""/>
      <w:lvlJc w:val="left"/>
    </w:lvl>
    <w:lvl w:ilvl="5" w:tplc="24A64FA4">
      <w:numFmt w:val="decimal"/>
      <w:lvlText w:val=""/>
      <w:lvlJc w:val="left"/>
    </w:lvl>
    <w:lvl w:ilvl="6" w:tplc="CE60E65E">
      <w:numFmt w:val="decimal"/>
      <w:lvlText w:val=""/>
      <w:lvlJc w:val="left"/>
    </w:lvl>
    <w:lvl w:ilvl="7" w:tplc="35DA49F0">
      <w:numFmt w:val="decimal"/>
      <w:lvlText w:val=""/>
      <w:lvlJc w:val="left"/>
    </w:lvl>
    <w:lvl w:ilvl="8" w:tplc="0C88FDAC">
      <w:numFmt w:val="decimal"/>
      <w:lvlText w:val=""/>
      <w:lvlJc w:val="left"/>
    </w:lvl>
  </w:abstractNum>
  <w:abstractNum w:abstractNumId="1057" w15:restartNumberingAfterBreak="0">
    <w:nsid w:val="70001028"/>
    <w:multiLevelType w:val="hybridMultilevel"/>
    <w:tmpl w:val="07EEAC3A"/>
    <w:lvl w:ilvl="0" w:tplc="C5CE159E">
      <w:start w:val="1"/>
      <w:numFmt w:val="bullet"/>
      <w:lvlText w:val=""/>
      <w:lvlJc w:val="left"/>
      <w:pPr>
        <w:ind w:left="720" w:hanging="360"/>
      </w:pPr>
      <w:rPr>
        <w:rFonts w:ascii="Symbol" w:hAnsi="Symbol" w:hint="default"/>
      </w:rPr>
    </w:lvl>
    <w:lvl w:ilvl="1" w:tplc="B71AF62A">
      <w:numFmt w:val="decimal"/>
      <w:lvlText w:val=""/>
      <w:lvlJc w:val="left"/>
    </w:lvl>
    <w:lvl w:ilvl="2" w:tplc="3AAAF9A4">
      <w:numFmt w:val="decimal"/>
      <w:lvlText w:val=""/>
      <w:lvlJc w:val="left"/>
    </w:lvl>
    <w:lvl w:ilvl="3" w:tplc="AA2836F6">
      <w:numFmt w:val="decimal"/>
      <w:lvlText w:val=""/>
      <w:lvlJc w:val="left"/>
    </w:lvl>
    <w:lvl w:ilvl="4" w:tplc="D99A615E">
      <w:numFmt w:val="decimal"/>
      <w:lvlText w:val=""/>
      <w:lvlJc w:val="left"/>
    </w:lvl>
    <w:lvl w:ilvl="5" w:tplc="ED96206A">
      <w:numFmt w:val="decimal"/>
      <w:lvlText w:val=""/>
      <w:lvlJc w:val="left"/>
    </w:lvl>
    <w:lvl w:ilvl="6" w:tplc="01A21BDE">
      <w:numFmt w:val="decimal"/>
      <w:lvlText w:val=""/>
      <w:lvlJc w:val="left"/>
    </w:lvl>
    <w:lvl w:ilvl="7" w:tplc="5D12DE30">
      <w:numFmt w:val="decimal"/>
      <w:lvlText w:val=""/>
      <w:lvlJc w:val="left"/>
    </w:lvl>
    <w:lvl w:ilvl="8" w:tplc="5BBA6AF4">
      <w:numFmt w:val="decimal"/>
      <w:lvlText w:val=""/>
      <w:lvlJc w:val="left"/>
    </w:lvl>
  </w:abstractNum>
  <w:abstractNum w:abstractNumId="1058" w15:restartNumberingAfterBreak="0">
    <w:nsid w:val="7005406F"/>
    <w:multiLevelType w:val="hybridMultilevel"/>
    <w:tmpl w:val="41B071D0"/>
    <w:lvl w:ilvl="0" w:tplc="A18ABEE6">
      <w:start w:val="1"/>
      <w:numFmt w:val="bullet"/>
      <w:lvlText w:val=""/>
      <w:lvlJc w:val="left"/>
      <w:pPr>
        <w:ind w:left="720" w:hanging="360"/>
      </w:pPr>
      <w:rPr>
        <w:rFonts w:ascii="Symbol" w:hAnsi="Symbol" w:hint="default"/>
      </w:rPr>
    </w:lvl>
    <w:lvl w:ilvl="1" w:tplc="06124A80">
      <w:numFmt w:val="decimal"/>
      <w:lvlText w:val=""/>
      <w:lvlJc w:val="left"/>
    </w:lvl>
    <w:lvl w:ilvl="2" w:tplc="8D4C4510">
      <w:numFmt w:val="decimal"/>
      <w:lvlText w:val=""/>
      <w:lvlJc w:val="left"/>
    </w:lvl>
    <w:lvl w:ilvl="3" w:tplc="C7A82A3E">
      <w:numFmt w:val="decimal"/>
      <w:lvlText w:val=""/>
      <w:lvlJc w:val="left"/>
    </w:lvl>
    <w:lvl w:ilvl="4" w:tplc="DE8A02EE">
      <w:numFmt w:val="decimal"/>
      <w:lvlText w:val=""/>
      <w:lvlJc w:val="left"/>
    </w:lvl>
    <w:lvl w:ilvl="5" w:tplc="B0ECBA2E">
      <w:numFmt w:val="decimal"/>
      <w:lvlText w:val=""/>
      <w:lvlJc w:val="left"/>
    </w:lvl>
    <w:lvl w:ilvl="6" w:tplc="26EC8922">
      <w:numFmt w:val="decimal"/>
      <w:lvlText w:val=""/>
      <w:lvlJc w:val="left"/>
    </w:lvl>
    <w:lvl w:ilvl="7" w:tplc="63C6165E">
      <w:numFmt w:val="decimal"/>
      <w:lvlText w:val=""/>
      <w:lvlJc w:val="left"/>
    </w:lvl>
    <w:lvl w:ilvl="8" w:tplc="7C2069E8">
      <w:numFmt w:val="decimal"/>
      <w:lvlText w:val=""/>
      <w:lvlJc w:val="left"/>
    </w:lvl>
  </w:abstractNum>
  <w:abstractNum w:abstractNumId="1059" w15:restartNumberingAfterBreak="0">
    <w:nsid w:val="700A7001"/>
    <w:multiLevelType w:val="hybridMultilevel"/>
    <w:tmpl w:val="523053F8"/>
    <w:lvl w:ilvl="0" w:tplc="ADA87872">
      <w:start w:val="1"/>
      <w:numFmt w:val="bullet"/>
      <w:lvlText w:val=""/>
      <w:lvlJc w:val="left"/>
      <w:pPr>
        <w:ind w:left="720" w:hanging="360"/>
      </w:pPr>
      <w:rPr>
        <w:rFonts w:ascii="Symbol" w:hAnsi="Symbol" w:hint="default"/>
      </w:rPr>
    </w:lvl>
    <w:lvl w:ilvl="1" w:tplc="47B68E2E">
      <w:numFmt w:val="decimal"/>
      <w:lvlText w:val=""/>
      <w:lvlJc w:val="left"/>
    </w:lvl>
    <w:lvl w:ilvl="2" w:tplc="FDA432B8">
      <w:numFmt w:val="decimal"/>
      <w:lvlText w:val=""/>
      <w:lvlJc w:val="left"/>
    </w:lvl>
    <w:lvl w:ilvl="3" w:tplc="397EEE8A">
      <w:numFmt w:val="decimal"/>
      <w:lvlText w:val=""/>
      <w:lvlJc w:val="left"/>
    </w:lvl>
    <w:lvl w:ilvl="4" w:tplc="C32A96C4">
      <w:numFmt w:val="decimal"/>
      <w:lvlText w:val=""/>
      <w:lvlJc w:val="left"/>
    </w:lvl>
    <w:lvl w:ilvl="5" w:tplc="7C1C9AFC">
      <w:numFmt w:val="decimal"/>
      <w:lvlText w:val=""/>
      <w:lvlJc w:val="left"/>
    </w:lvl>
    <w:lvl w:ilvl="6" w:tplc="1CBCB10E">
      <w:numFmt w:val="decimal"/>
      <w:lvlText w:val=""/>
      <w:lvlJc w:val="left"/>
    </w:lvl>
    <w:lvl w:ilvl="7" w:tplc="FE583D06">
      <w:numFmt w:val="decimal"/>
      <w:lvlText w:val=""/>
      <w:lvlJc w:val="left"/>
    </w:lvl>
    <w:lvl w:ilvl="8" w:tplc="71265580">
      <w:numFmt w:val="decimal"/>
      <w:lvlText w:val=""/>
      <w:lvlJc w:val="left"/>
    </w:lvl>
  </w:abstractNum>
  <w:abstractNum w:abstractNumId="1060" w15:restartNumberingAfterBreak="0">
    <w:nsid w:val="7021010D"/>
    <w:multiLevelType w:val="hybridMultilevel"/>
    <w:tmpl w:val="1DE08E60"/>
    <w:lvl w:ilvl="0" w:tplc="784C5DA0">
      <w:start w:val="1"/>
      <w:numFmt w:val="bullet"/>
      <w:lvlText w:val=""/>
      <w:lvlJc w:val="left"/>
      <w:pPr>
        <w:ind w:left="720" w:hanging="360"/>
      </w:pPr>
      <w:rPr>
        <w:rFonts w:ascii="Symbol" w:hAnsi="Symbol" w:hint="default"/>
      </w:rPr>
    </w:lvl>
    <w:lvl w:ilvl="1" w:tplc="56F09640">
      <w:numFmt w:val="decimal"/>
      <w:lvlText w:val=""/>
      <w:lvlJc w:val="left"/>
    </w:lvl>
    <w:lvl w:ilvl="2" w:tplc="B192E5CA">
      <w:numFmt w:val="decimal"/>
      <w:lvlText w:val=""/>
      <w:lvlJc w:val="left"/>
    </w:lvl>
    <w:lvl w:ilvl="3" w:tplc="215E6D04">
      <w:numFmt w:val="decimal"/>
      <w:lvlText w:val=""/>
      <w:lvlJc w:val="left"/>
    </w:lvl>
    <w:lvl w:ilvl="4" w:tplc="9DB0DD40">
      <w:numFmt w:val="decimal"/>
      <w:lvlText w:val=""/>
      <w:lvlJc w:val="left"/>
    </w:lvl>
    <w:lvl w:ilvl="5" w:tplc="7D78E2FE">
      <w:numFmt w:val="decimal"/>
      <w:lvlText w:val=""/>
      <w:lvlJc w:val="left"/>
    </w:lvl>
    <w:lvl w:ilvl="6" w:tplc="A9326EBA">
      <w:numFmt w:val="decimal"/>
      <w:lvlText w:val=""/>
      <w:lvlJc w:val="left"/>
    </w:lvl>
    <w:lvl w:ilvl="7" w:tplc="4A168DFA">
      <w:numFmt w:val="decimal"/>
      <w:lvlText w:val=""/>
      <w:lvlJc w:val="left"/>
    </w:lvl>
    <w:lvl w:ilvl="8" w:tplc="4B1CF5F4">
      <w:numFmt w:val="decimal"/>
      <w:lvlText w:val=""/>
      <w:lvlJc w:val="left"/>
    </w:lvl>
  </w:abstractNum>
  <w:abstractNum w:abstractNumId="1061" w15:restartNumberingAfterBreak="0">
    <w:nsid w:val="702E6C47"/>
    <w:multiLevelType w:val="hybridMultilevel"/>
    <w:tmpl w:val="424E2EB2"/>
    <w:lvl w:ilvl="0" w:tplc="D3921DA4">
      <w:start w:val="1"/>
      <w:numFmt w:val="bullet"/>
      <w:lvlText w:val=""/>
      <w:lvlJc w:val="left"/>
      <w:pPr>
        <w:ind w:left="720" w:hanging="360"/>
      </w:pPr>
      <w:rPr>
        <w:rFonts w:ascii="Symbol" w:hAnsi="Symbol" w:hint="default"/>
      </w:rPr>
    </w:lvl>
    <w:lvl w:ilvl="1" w:tplc="8DF68320">
      <w:numFmt w:val="decimal"/>
      <w:lvlText w:val=""/>
      <w:lvlJc w:val="left"/>
    </w:lvl>
    <w:lvl w:ilvl="2" w:tplc="F164238C">
      <w:numFmt w:val="decimal"/>
      <w:lvlText w:val=""/>
      <w:lvlJc w:val="left"/>
    </w:lvl>
    <w:lvl w:ilvl="3" w:tplc="07C8F49E">
      <w:numFmt w:val="decimal"/>
      <w:lvlText w:val=""/>
      <w:lvlJc w:val="left"/>
    </w:lvl>
    <w:lvl w:ilvl="4" w:tplc="EBFA71DC">
      <w:numFmt w:val="decimal"/>
      <w:lvlText w:val=""/>
      <w:lvlJc w:val="left"/>
    </w:lvl>
    <w:lvl w:ilvl="5" w:tplc="8B20E27A">
      <w:numFmt w:val="decimal"/>
      <w:lvlText w:val=""/>
      <w:lvlJc w:val="left"/>
    </w:lvl>
    <w:lvl w:ilvl="6" w:tplc="0E18198C">
      <w:numFmt w:val="decimal"/>
      <w:lvlText w:val=""/>
      <w:lvlJc w:val="left"/>
    </w:lvl>
    <w:lvl w:ilvl="7" w:tplc="9190D124">
      <w:numFmt w:val="decimal"/>
      <w:lvlText w:val=""/>
      <w:lvlJc w:val="left"/>
    </w:lvl>
    <w:lvl w:ilvl="8" w:tplc="0F68532E">
      <w:numFmt w:val="decimal"/>
      <w:lvlText w:val=""/>
      <w:lvlJc w:val="left"/>
    </w:lvl>
  </w:abstractNum>
  <w:abstractNum w:abstractNumId="1062" w15:restartNumberingAfterBreak="0">
    <w:nsid w:val="704008A8"/>
    <w:multiLevelType w:val="hybridMultilevel"/>
    <w:tmpl w:val="802EC872"/>
    <w:lvl w:ilvl="0" w:tplc="502613F0">
      <w:start w:val="1"/>
      <w:numFmt w:val="bullet"/>
      <w:lvlText w:val=""/>
      <w:lvlJc w:val="left"/>
      <w:pPr>
        <w:ind w:left="720" w:hanging="360"/>
      </w:pPr>
      <w:rPr>
        <w:rFonts w:ascii="Symbol" w:hAnsi="Symbol" w:hint="default"/>
      </w:rPr>
    </w:lvl>
    <w:lvl w:ilvl="1" w:tplc="2F96D6F6">
      <w:numFmt w:val="decimal"/>
      <w:lvlText w:val=""/>
      <w:lvlJc w:val="left"/>
    </w:lvl>
    <w:lvl w:ilvl="2" w:tplc="5B843E26">
      <w:numFmt w:val="decimal"/>
      <w:lvlText w:val=""/>
      <w:lvlJc w:val="left"/>
    </w:lvl>
    <w:lvl w:ilvl="3" w:tplc="C7C674E2">
      <w:numFmt w:val="decimal"/>
      <w:lvlText w:val=""/>
      <w:lvlJc w:val="left"/>
    </w:lvl>
    <w:lvl w:ilvl="4" w:tplc="84B6C96C">
      <w:numFmt w:val="decimal"/>
      <w:lvlText w:val=""/>
      <w:lvlJc w:val="left"/>
    </w:lvl>
    <w:lvl w:ilvl="5" w:tplc="A866C4B0">
      <w:numFmt w:val="decimal"/>
      <w:lvlText w:val=""/>
      <w:lvlJc w:val="left"/>
    </w:lvl>
    <w:lvl w:ilvl="6" w:tplc="40B4A95A">
      <w:numFmt w:val="decimal"/>
      <w:lvlText w:val=""/>
      <w:lvlJc w:val="left"/>
    </w:lvl>
    <w:lvl w:ilvl="7" w:tplc="8E32821E">
      <w:numFmt w:val="decimal"/>
      <w:lvlText w:val=""/>
      <w:lvlJc w:val="left"/>
    </w:lvl>
    <w:lvl w:ilvl="8" w:tplc="3D6E248E">
      <w:numFmt w:val="decimal"/>
      <w:lvlText w:val=""/>
      <w:lvlJc w:val="left"/>
    </w:lvl>
  </w:abstractNum>
  <w:abstractNum w:abstractNumId="1063" w15:restartNumberingAfterBreak="0">
    <w:nsid w:val="70844A34"/>
    <w:multiLevelType w:val="hybridMultilevel"/>
    <w:tmpl w:val="E780D420"/>
    <w:lvl w:ilvl="0" w:tplc="8004BD2A">
      <w:start w:val="1"/>
      <w:numFmt w:val="bullet"/>
      <w:lvlText w:val=""/>
      <w:lvlJc w:val="left"/>
      <w:pPr>
        <w:ind w:left="720" w:hanging="360"/>
      </w:pPr>
      <w:rPr>
        <w:rFonts w:ascii="Symbol" w:hAnsi="Symbol" w:hint="default"/>
      </w:rPr>
    </w:lvl>
    <w:lvl w:ilvl="1" w:tplc="A85A1608">
      <w:numFmt w:val="decimal"/>
      <w:lvlText w:val=""/>
      <w:lvlJc w:val="left"/>
    </w:lvl>
    <w:lvl w:ilvl="2" w:tplc="9B7A246E">
      <w:numFmt w:val="decimal"/>
      <w:lvlText w:val=""/>
      <w:lvlJc w:val="left"/>
    </w:lvl>
    <w:lvl w:ilvl="3" w:tplc="08E21520">
      <w:numFmt w:val="decimal"/>
      <w:lvlText w:val=""/>
      <w:lvlJc w:val="left"/>
    </w:lvl>
    <w:lvl w:ilvl="4" w:tplc="BEAA23E4">
      <w:numFmt w:val="decimal"/>
      <w:lvlText w:val=""/>
      <w:lvlJc w:val="left"/>
    </w:lvl>
    <w:lvl w:ilvl="5" w:tplc="3CA04880">
      <w:numFmt w:val="decimal"/>
      <w:lvlText w:val=""/>
      <w:lvlJc w:val="left"/>
    </w:lvl>
    <w:lvl w:ilvl="6" w:tplc="E4960096">
      <w:numFmt w:val="decimal"/>
      <w:lvlText w:val=""/>
      <w:lvlJc w:val="left"/>
    </w:lvl>
    <w:lvl w:ilvl="7" w:tplc="E38C339E">
      <w:numFmt w:val="decimal"/>
      <w:lvlText w:val=""/>
      <w:lvlJc w:val="left"/>
    </w:lvl>
    <w:lvl w:ilvl="8" w:tplc="B97EA328">
      <w:numFmt w:val="decimal"/>
      <w:lvlText w:val=""/>
      <w:lvlJc w:val="left"/>
    </w:lvl>
  </w:abstractNum>
  <w:abstractNum w:abstractNumId="1064" w15:restartNumberingAfterBreak="0">
    <w:nsid w:val="70D453A2"/>
    <w:multiLevelType w:val="hybridMultilevel"/>
    <w:tmpl w:val="7A7661BA"/>
    <w:lvl w:ilvl="0" w:tplc="B016ACB4">
      <w:start w:val="1"/>
      <w:numFmt w:val="bullet"/>
      <w:lvlText w:val=""/>
      <w:lvlJc w:val="left"/>
      <w:pPr>
        <w:ind w:left="720" w:hanging="360"/>
      </w:pPr>
      <w:rPr>
        <w:rFonts w:ascii="Symbol" w:hAnsi="Symbol" w:hint="default"/>
      </w:rPr>
    </w:lvl>
    <w:lvl w:ilvl="1" w:tplc="10A263A4">
      <w:numFmt w:val="decimal"/>
      <w:lvlText w:val=""/>
      <w:lvlJc w:val="left"/>
    </w:lvl>
    <w:lvl w:ilvl="2" w:tplc="0332143C">
      <w:numFmt w:val="decimal"/>
      <w:lvlText w:val=""/>
      <w:lvlJc w:val="left"/>
    </w:lvl>
    <w:lvl w:ilvl="3" w:tplc="7F5C4AB4">
      <w:numFmt w:val="decimal"/>
      <w:lvlText w:val=""/>
      <w:lvlJc w:val="left"/>
    </w:lvl>
    <w:lvl w:ilvl="4" w:tplc="325A2AD2">
      <w:numFmt w:val="decimal"/>
      <w:lvlText w:val=""/>
      <w:lvlJc w:val="left"/>
    </w:lvl>
    <w:lvl w:ilvl="5" w:tplc="25D0F106">
      <w:numFmt w:val="decimal"/>
      <w:lvlText w:val=""/>
      <w:lvlJc w:val="left"/>
    </w:lvl>
    <w:lvl w:ilvl="6" w:tplc="2B9C6C7C">
      <w:numFmt w:val="decimal"/>
      <w:lvlText w:val=""/>
      <w:lvlJc w:val="left"/>
    </w:lvl>
    <w:lvl w:ilvl="7" w:tplc="6374AD40">
      <w:numFmt w:val="decimal"/>
      <w:lvlText w:val=""/>
      <w:lvlJc w:val="left"/>
    </w:lvl>
    <w:lvl w:ilvl="8" w:tplc="ED8CA708">
      <w:numFmt w:val="decimal"/>
      <w:lvlText w:val=""/>
      <w:lvlJc w:val="left"/>
    </w:lvl>
  </w:abstractNum>
  <w:abstractNum w:abstractNumId="1065" w15:restartNumberingAfterBreak="0">
    <w:nsid w:val="70E12C9A"/>
    <w:multiLevelType w:val="hybridMultilevel"/>
    <w:tmpl w:val="7B5855D6"/>
    <w:lvl w:ilvl="0" w:tplc="82C652C6">
      <w:start w:val="1"/>
      <w:numFmt w:val="bullet"/>
      <w:lvlText w:val=""/>
      <w:lvlJc w:val="left"/>
      <w:pPr>
        <w:ind w:left="720" w:hanging="360"/>
      </w:pPr>
      <w:rPr>
        <w:rFonts w:ascii="Symbol" w:hAnsi="Symbol" w:hint="default"/>
      </w:rPr>
    </w:lvl>
    <w:lvl w:ilvl="1" w:tplc="080893AC">
      <w:numFmt w:val="decimal"/>
      <w:lvlText w:val=""/>
      <w:lvlJc w:val="left"/>
    </w:lvl>
    <w:lvl w:ilvl="2" w:tplc="C6B830E6">
      <w:numFmt w:val="decimal"/>
      <w:lvlText w:val=""/>
      <w:lvlJc w:val="left"/>
    </w:lvl>
    <w:lvl w:ilvl="3" w:tplc="67ACB70E">
      <w:numFmt w:val="decimal"/>
      <w:lvlText w:val=""/>
      <w:lvlJc w:val="left"/>
    </w:lvl>
    <w:lvl w:ilvl="4" w:tplc="03620670">
      <w:numFmt w:val="decimal"/>
      <w:lvlText w:val=""/>
      <w:lvlJc w:val="left"/>
    </w:lvl>
    <w:lvl w:ilvl="5" w:tplc="36EC8B92">
      <w:numFmt w:val="decimal"/>
      <w:lvlText w:val=""/>
      <w:lvlJc w:val="left"/>
    </w:lvl>
    <w:lvl w:ilvl="6" w:tplc="C1B852EC">
      <w:numFmt w:val="decimal"/>
      <w:lvlText w:val=""/>
      <w:lvlJc w:val="left"/>
    </w:lvl>
    <w:lvl w:ilvl="7" w:tplc="9258AB5E">
      <w:numFmt w:val="decimal"/>
      <w:lvlText w:val=""/>
      <w:lvlJc w:val="left"/>
    </w:lvl>
    <w:lvl w:ilvl="8" w:tplc="A3F8E664">
      <w:numFmt w:val="decimal"/>
      <w:lvlText w:val=""/>
      <w:lvlJc w:val="left"/>
    </w:lvl>
  </w:abstractNum>
  <w:abstractNum w:abstractNumId="1066" w15:restartNumberingAfterBreak="0">
    <w:nsid w:val="71190CFC"/>
    <w:multiLevelType w:val="hybridMultilevel"/>
    <w:tmpl w:val="9B5A309A"/>
    <w:lvl w:ilvl="0" w:tplc="0A8265BA">
      <w:start w:val="1"/>
      <w:numFmt w:val="bullet"/>
      <w:lvlText w:val=""/>
      <w:lvlJc w:val="left"/>
      <w:pPr>
        <w:ind w:left="720" w:hanging="360"/>
      </w:pPr>
      <w:rPr>
        <w:rFonts w:ascii="Symbol" w:hAnsi="Symbol" w:hint="default"/>
      </w:rPr>
    </w:lvl>
    <w:lvl w:ilvl="1" w:tplc="20ACC280">
      <w:numFmt w:val="decimal"/>
      <w:lvlText w:val=""/>
      <w:lvlJc w:val="left"/>
    </w:lvl>
    <w:lvl w:ilvl="2" w:tplc="2EAE46BE">
      <w:numFmt w:val="decimal"/>
      <w:lvlText w:val=""/>
      <w:lvlJc w:val="left"/>
    </w:lvl>
    <w:lvl w:ilvl="3" w:tplc="6DFA9DAA">
      <w:numFmt w:val="decimal"/>
      <w:lvlText w:val=""/>
      <w:lvlJc w:val="left"/>
    </w:lvl>
    <w:lvl w:ilvl="4" w:tplc="30CC8F62">
      <w:numFmt w:val="decimal"/>
      <w:lvlText w:val=""/>
      <w:lvlJc w:val="left"/>
    </w:lvl>
    <w:lvl w:ilvl="5" w:tplc="32985246">
      <w:numFmt w:val="decimal"/>
      <w:lvlText w:val=""/>
      <w:lvlJc w:val="left"/>
    </w:lvl>
    <w:lvl w:ilvl="6" w:tplc="D17C3120">
      <w:numFmt w:val="decimal"/>
      <w:lvlText w:val=""/>
      <w:lvlJc w:val="left"/>
    </w:lvl>
    <w:lvl w:ilvl="7" w:tplc="0F9C1C3E">
      <w:numFmt w:val="decimal"/>
      <w:lvlText w:val=""/>
      <w:lvlJc w:val="left"/>
    </w:lvl>
    <w:lvl w:ilvl="8" w:tplc="FDA66BBE">
      <w:numFmt w:val="decimal"/>
      <w:lvlText w:val=""/>
      <w:lvlJc w:val="left"/>
    </w:lvl>
  </w:abstractNum>
  <w:abstractNum w:abstractNumId="1067" w15:restartNumberingAfterBreak="0">
    <w:nsid w:val="711F7889"/>
    <w:multiLevelType w:val="hybridMultilevel"/>
    <w:tmpl w:val="C930DD52"/>
    <w:lvl w:ilvl="0" w:tplc="2B408D7A">
      <w:start w:val="1"/>
      <w:numFmt w:val="bullet"/>
      <w:lvlText w:val=""/>
      <w:lvlJc w:val="left"/>
      <w:pPr>
        <w:ind w:left="720" w:hanging="360"/>
      </w:pPr>
      <w:rPr>
        <w:rFonts w:ascii="Symbol" w:hAnsi="Symbol" w:hint="default"/>
      </w:rPr>
    </w:lvl>
    <w:lvl w:ilvl="1" w:tplc="EE0E1E76">
      <w:numFmt w:val="decimal"/>
      <w:lvlText w:val=""/>
      <w:lvlJc w:val="left"/>
    </w:lvl>
    <w:lvl w:ilvl="2" w:tplc="E56055A4">
      <w:numFmt w:val="decimal"/>
      <w:lvlText w:val=""/>
      <w:lvlJc w:val="left"/>
    </w:lvl>
    <w:lvl w:ilvl="3" w:tplc="EC68F296">
      <w:numFmt w:val="decimal"/>
      <w:lvlText w:val=""/>
      <w:lvlJc w:val="left"/>
    </w:lvl>
    <w:lvl w:ilvl="4" w:tplc="071032C0">
      <w:numFmt w:val="decimal"/>
      <w:lvlText w:val=""/>
      <w:lvlJc w:val="left"/>
    </w:lvl>
    <w:lvl w:ilvl="5" w:tplc="7C60E114">
      <w:numFmt w:val="decimal"/>
      <w:lvlText w:val=""/>
      <w:lvlJc w:val="left"/>
    </w:lvl>
    <w:lvl w:ilvl="6" w:tplc="647EA29C">
      <w:numFmt w:val="decimal"/>
      <w:lvlText w:val=""/>
      <w:lvlJc w:val="left"/>
    </w:lvl>
    <w:lvl w:ilvl="7" w:tplc="DD78E1D4">
      <w:numFmt w:val="decimal"/>
      <w:lvlText w:val=""/>
      <w:lvlJc w:val="left"/>
    </w:lvl>
    <w:lvl w:ilvl="8" w:tplc="364EDD72">
      <w:numFmt w:val="decimal"/>
      <w:lvlText w:val=""/>
      <w:lvlJc w:val="left"/>
    </w:lvl>
  </w:abstractNum>
  <w:abstractNum w:abstractNumId="1068" w15:restartNumberingAfterBreak="0">
    <w:nsid w:val="713D7D70"/>
    <w:multiLevelType w:val="hybridMultilevel"/>
    <w:tmpl w:val="E75EC68A"/>
    <w:lvl w:ilvl="0" w:tplc="55E83536">
      <w:start w:val="1"/>
      <w:numFmt w:val="bullet"/>
      <w:lvlText w:val=""/>
      <w:lvlJc w:val="left"/>
      <w:pPr>
        <w:ind w:left="720" w:hanging="360"/>
      </w:pPr>
      <w:rPr>
        <w:rFonts w:ascii="Symbol" w:hAnsi="Symbol" w:hint="default"/>
      </w:rPr>
    </w:lvl>
    <w:lvl w:ilvl="1" w:tplc="E83E26F8">
      <w:numFmt w:val="decimal"/>
      <w:lvlText w:val=""/>
      <w:lvlJc w:val="left"/>
    </w:lvl>
    <w:lvl w:ilvl="2" w:tplc="592C41E4">
      <w:numFmt w:val="decimal"/>
      <w:lvlText w:val=""/>
      <w:lvlJc w:val="left"/>
    </w:lvl>
    <w:lvl w:ilvl="3" w:tplc="5B7E4FCE">
      <w:numFmt w:val="decimal"/>
      <w:lvlText w:val=""/>
      <w:lvlJc w:val="left"/>
    </w:lvl>
    <w:lvl w:ilvl="4" w:tplc="0EAEA4E4">
      <w:numFmt w:val="decimal"/>
      <w:lvlText w:val=""/>
      <w:lvlJc w:val="left"/>
    </w:lvl>
    <w:lvl w:ilvl="5" w:tplc="27903944">
      <w:numFmt w:val="decimal"/>
      <w:lvlText w:val=""/>
      <w:lvlJc w:val="left"/>
    </w:lvl>
    <w:lvl w:ilvl="6" w:tplc="74DA6288">
      <w:numFmt w:val="decimal"/>
      <w:lvlText w:val=""/>
      <w:lvlJc w:val="left"/>
    </w:lvl>
    <w:lvl w:ilvl="7" w:tplc="6122E2C6">
      <w:numFmt w:val="decimal"/>
      <w:lvlText w:val=""/>
      <w:lvlJc w:val="left"/>
    </w:lvl>
    <w:lvl w:ilvl="8" w:tplc="80D4A560">
      <w:numFmt w:val="decimal"/>
      <w:lvlText w:val=""/>
      <w:lvlJc w:val="left"/>
    </w:lvl>
  </w:abstractNum>
  <w:abstractNum w:abstractNumId="1069" w15:restartNumberingAfterBreak="0">
    <w:nsid w:val="715B7017"/>
    <w:multiLevelType w:val="hybridMultilevel"/>
    <w:tmpl w:val="C0FC1C60"/>
    <w:lvl w:ilvl="0" w:tplc="D8549338">
      <w:start w:val="1"/>
      <w:numFmt w:val="bullet"/>
      <w:lvlText w:val=""/>
      <w:lvlJc w:val="left"/>
      <w:pPr>
        <w:ind w:left="720" w:hanging="360"/>
      </w:pPr>
      <w:rPr>
        <w:rFonts w:ascii="Symbol" w:hAnsi="Symbol" w:hint="default"/>
      </w:rPr>
    </w:lvl>
    <w:lvl w:ilvl="1" w:tplc="6F161ABC">
      <w:numFmt w:val="decimal"/>
      <w:lvlText w:val=""/>
      <w:lvlJc w:val="left"/>
    </w:lvl>
    <w:lvl w:ilvl="2" w:tplc="1B96AEB4">
      <w:numFmt w:val="decimal"/>
      <w:lvlText w:val=""/>
      <w:lvlJc w:val="left"/>
    </w:lvl>
    <w:lvl w:ilvl="3" w:tplc="DB26CA78">
      <w:numFmt w:val="decimal"/>
      <w:lvlText w:val=""/>
      <w:lvlJc w:val="left"/>
    </w:lvl>
    <w:lvl w:ilvl="4" w:tplc="F31656C2">
      <w:numFmt w:val="decimal"/>
      <w:lvlText w:val=""/>
      <w:lvlJc w:val="left"/>
    </w:lvl>
    <w:lvl w:ilvl="5" w:tplc="AEB61ABE">
      <w:numFmt w:val="decimal"/>
      <w:lvlText w:val=""/>
      <w:lvlJc w:val="left"/>
    </w:lvl>
    <w:lvl w:ilvl="6" w:tplc="604EFE10">
      <w:numFmt w:val="decimal"/>
      <w:lvlText w:val=""/>
      <w:lvlJc w:val="left"/>
    </w:lvl>
    <w:lvl w:ilvl="7" w:tplc="7A5E0F26">
      <w:numFmt w:val="decimal"/>
      <w:lvlText w:val=""/>
      <w:lvlJc w:val="left"/>
    </w:lvl>
    <w:lvl w:ilvl="8" w:tplc="8152C78C">
      <w:numFmt w:val="decimal"/>
      <w:lvlText w:val=""/>
      <w:lvlJc w:val="left"/>
    </w:lvl>
  </w:abstractNum>
  <w:abstractNum w:abstractNumId="1070" w15:restartNumberingAfterBreak="0">
    <w:nsid w:val="717725D5"/>
    <w:multiLevelType w:val="hybridMultilevel"/>
    <w:tmpl w:val="24C2B072"/>
    <w:lvl w:ilvl="0" w:tplc="7B88924E">
      <w:numFmt w:val="decimal"/>
      <w:lvlText w:val=""/>
      <w:lvlJc w:val="left"/>
    </w:lvl>
    <w:lvl w:ilvl="1" w:tplc="1EA06A04">
      <w:start w:val="1"/>
      <w:numFmt w:val="bullet"/>
      <w:lvlText w:val=""/>
      <w:lvlJc w:val="left"/>
      <w:pPr>
        <w:ind w:left="1440" w:hanging="360"/>
      </w:pPr>
      <w:rPr>
        <w:rFonts w:ascii="Symbol" w:hAnsi="Symbol" w:hint="default"/>
      </w:rPr>
    </w:lvl>
    <w:lvl w:ilvl="2" w:tplc="961C17D2">
      <w:numFmt w:val="decimal"/>
      <w:lvlText w:val=""/>
      <w:lvlJc w:val="left"/>
    </w:lvl>
    <w:lvl w:ilvl="3" w:tplc="4D9EFE4E">
      <w:numFmt w:val="decimal"/>
      <w:lvlText w:val=""/>
      <w:lvlJc w:val="left"/>
    </w:lvl>
    <w:lvl w:ilvl="4" w:tplc="9E604EFE">
      <w:numFmt w:val="decimal"/>
      <w:lvlText w:val=""/>
      <w:lvlJc w:val="left"/>
    </w:lvl>
    <w:lvl w:ilvl="5" w:tplc="BADC2274">
      <w:numFmt w:val="decimal"/>
      <w:lvlText w:val=""/>
      <w:lvlJc w:val="left"/>
    </w:lvl>
    <w:lvl w:ilvl="6" w:tplc="00D0728C">
      <w:numFmt w:val="decimal"/>
      <w:lvlText w:val=""/>
      <w:lvlJc w:val="left"/>
    </w:lvl>
    <w:lvl w:ilvl="7" w:tplc="CB0ACD5E">
      <w:numFmt w:val="decimal"/>
      <w:lvlText w:val=""/>
      <w:lvlJc w:val="left"/>
    </w:lvl>
    <w:lvl w:ilvl="8" w:tplc="13E22F24">
      <w:numFmt w:val="decimal"/>
      <w:lvlText w:val=""/>
      <w:lvlJc w:val="left"/>
    </w:lvl>
  </w:abstractNum>
  <w:abstractNum w:abstractNumId="1071" w15:restartNumberingAfterBreak="0">
    <w:nsid w:val="718F4A7D"/>
    <w:multiLevelType w:val="hybridMultilevel"/>
    <w:tmpl w:val="B3F2BCEE"/>
    <w:lvl w:ilvl="0" w:tplc="7588607C">
      <w:start w:val="1"/>
      <w:numFmt w:val="bullet"/>
      <w:lvlText w:val=""/>
      <w:lvlJc w:val="left"/>
      <w:pPr>
        <w:ind w:left="720" w:hanging="360"/>
      </w:pPr>
      <w:rPr>
        <w:rFonts w:ascii="Symbol" w:hAnsi="Symbol" w:hint="default"/>
      </w:rPr>
    </w:lvl>
    <w:lvl w:ilvl="1" w:tplc="F3D27C44">
      <w:numFmt w:val="decimal"/>
      <w:lvlText w:val=""/>
      <w:lvlJc w:val="left"/>
    </w:lvl>
    <w:lvl w:ilvl="2" w:tplc="B5900A44">
      <w:numFmt w:val="decimal"/>
      <w:lvlText w:val=""/>
      <w:lvlJc w:val="left"/>
    </w:lvl>
    <w:lvl w:ilvl="3" w:tplc="12B8A1DE">
      <w:numFmt w:val="decimal"/>
      <w:lvlText w:val=""/>
      <w:lvlJc w:val="left"/>
    </w:lvl>
    <w:lvl w:ilvl="4" w:tplc="5B6EF9E2">
      <w:numFmt w:val="decimal"/>
      <w:lvlText w:val=""/>
      <w:lvlJc w:val="left"/>
    </w:lvl>
    <w:lvl w:ilvl="5" w:tplc="17EC0AB6">
      <w:numFmt w:val="decimal"/>
      <w:lvlText w:val=""/>
      <w:lvlJc w:val="left"/>
    </w:lvl>
    <w:lvl w:ilvl="6" w:tplc="5808978C">
      <w:numFmt w:val="decimal"/>
      <w:lvlText w:val=""/>
      <w:lvlJc w:val="left"/>
    </w:lvl>
    <w:lvl w:ilvl="7" w:tplc="77068006">
      <w:numFmt w:val="decimal"/>
      <w:lvlText w:val=""/>
      <w:lvlJc w:val="left"/>
    </w:lvl>
    <w:lvl w:ilvl="8" w:tplc="D83ACE4E">
      <w:numFmt w:val="decimal"/>
      <w:lvlText w:val=""/>
      <w:lvlJc w:val="left"/>
    </w:lvl>
  </w:abstractNum>
  <w:abstractNum w:abstractNumId="1072" w15:restartNumberingAfterBreak="0">
    <w:nsid w:val="719B1053"/>
    <w:multiLevelType w:val="hybridMultilevel"/>
    <w:tmpl w:val="055E5A9E"/>
    <w:lvl w:ilvl="0" w:tplc="D6866EF4">
      <w:start w:val="1"/>
      <w:numFmt w:val="bullet"/>
      <w:lvlText w:val=""/>
      <w:lvlJc w:val="left"/>
      <w:pPr>
        <w:ind w:left="720" w:hanging="360"/>
      </w:pPr>
      <w:rPr>
        <w:rFonts w:ascii="Symbol" w:hAnsi="Symbol" w:hint="default"/>
      </w:rPr>
    </w:lvl>
    <w:lvl w:ilvl="1" w:tplc="05421E1A">
      <w:numFmt w:val="decimal"/>
      <w:lvlText w:val=""/>
      <w:lvlJc w:val="left"/>
    </w:lvl>
    <w:lvl w:ilvl="2" w:tplc="29F0409C">
      <w:numFmt w:val="decimal"/>
      <w:lvlText w:val=""/>
      <w:lvlJc w:val="left"/>
    </w:lvl>
    <w:lvl w:ilvl="3" w:tplc="1174F48A">
      <w:numFmt w:val="decimal"/>
      <w:lvlText w:val=""/>
      <w:lvlJc w:val="left"/>
    </w:lvl>
    <w:lvl w:ilvl="4" w:tplc="D2E071FC">
      <w:numFmt w:val="decimal"/>
      <w:lvlText w:val=""/>
      <w:lvlJc w:val="left"/>
    </w:lvl>
    <w:lvl w:ilvl="5" w:tplc="72ACB06E">
      <w:numFmt w:val="decimal"/>
      <w:lvlText w:val=""/>
      <w:lvlJc w:val="left"/>
    </w:lvl>
    <w:lvl w:ilvl="6" w:tplc="01264DD0">
      <w:numFmt w:val="decimal"/>
      <w:lvlText w:val=""/>
      <w:lvlJc w:val="left"/>
    </w:lvl>
    <w:lvl w:ilvl="7" w:tplc="903E3246">
      <w:numFmt w:val="decimal"/>
      <w:lvlText w:val=""/>
      <w:lvlJc w:val="left"/>
    </w:lvl>
    <w:lvl w:ilvl="8" w:tplc="14044BE4">
      <w:numFmt w:val="decimal"/>
      <w:lvlText w:val=""/>
      <w:lvlJc w:val="left"/>
    </w:lvl>
  </w:abstractNum>
  <w:abstractNum w:abstractNumId="1073" w15:restartNumberingAfterBreak="0">
    <w:nsid w:val="71A8015B"/>
    <w:multiLevelType w:val="hybridMultilevel"/>
    <w:tmpl w:val="6C2EBDD6"/>
    <w:lvl w:ilvl="0" w:tplc="58121AF6">
      <w:start w:val="1"/>
      <w:numFmt w:val="bullet"/>
      <w:lvlText w:val=""/>
      <w:lvlJc w:val="left"/>
      <w:pPr>
        <w:ind w:left="720" w:hanging="360"/>
      </w:pPr>
      <w:rPr>
        <w:rFonts w:ascii="Symbol" w:hAnsi="Symbol" w:hint="default"/>
      </w:rPr>
    </w:lvl>
    <w:lvl w:ilvl="1" w:tplc="C6A891AC">
      <w:numFmt w:val="decimal"/>
      <w:lvlText w:val=""/>
      <w:lvlJc w:val="left"/>
    </w:lvl>
    <w:lvl w:ilvl="2" w:tplc="0FB29864">
      <w:numFmt w:val="decimal"/>
      <w:lvlText w:val=""/>
      <w:lvlJc w:val="left"/>
    </w:lvl>
    <w:lvl w:ilvl="3" w:tplc="B5A05B56">
      <w:numFmt w:val="decimal"/>
      <w:lvlText w:val=""/>
      <w:lvlJc w:val="left"/>
    </w:lvl>
    <w:lvl w:ilvl="4" w:tplc="6D12D5E6">
      <w:numFmt w:val="decimal"/>
      <w:lvlText w:val=""/>
      <w:lvlJc w:val="left"/>
    </w:lvl>
    <w:lvl w:ilvl="5" w:tplc="6F70912A">
      <w:numFmt w:val="decimal"/>
      <w:lvlText w:val=""/>
      <w:lvlJc w:val="left"/>
    </w:lvl>
    <w:lvl w:ilvl="6" w:tplc="9C3AD5B4">
      <w:numFmt w:val="decimal"/>
      <w:lvlText w:val=""/>
      <w:lvlJc w:val="left"/>
    </w:lvl>
    <w:lvl w:ilvl="7" w:tplc="E280C6DA">
      <w:numFmt w:val="decimal"/>
      <w:lvlText w:val=""/>
      <w:lvlJc w:val="left"/>
    </w:lvl>
    <w:lvl w:ilvl="8" w:tplc="49406E5A">
      <w:numFmt w:val="decimal"/>
      <w:lvlText w:val=""/>
      <w:lvlJc w:val="left"/>
    </w:lvl>
  </w:abstractNum>
  <w:abstractNum w:abstractNumId="1074" w15:restartNumberingAfterBreak="0">
    <w:nsid w:val="71BD4013"/>
    <w:multiLevelType w:val="hybridMultilevel"/>
    <w:tmpl w:val="CEA42066"/>
    <w:lvl w:ilvl="0" w:tplc="62920EEC">
      <w:start w:val="1"/>
      <w:numFmt w:val="bullet"/>
      <w:lvlText w:val=""/>
      <w:lvlJc w:val="left"/>
      <w:pPr>
        <w:ind w:left="720" w:hanging="360"/>
      </w:pPr>
      <w:rPr>
        <w:rFonts w:ascii="Symbol" w:hAnsi="Symbol" w:hint="default"/>
      </w:rPr>
    </w:lvl>
    <w:lvl w:ilvl="1" w:tplc="DAE62F28">
      <w:numFmt w:val="decimal"/>
      <w:lvlText w:val=""/>
      <w:lvlJc w:val="left"/>
    </w:lvl>
    <w:lvl w:ilvl="2" w:tplc="9A02CD94">
      <w:numFmt w:val="decimal"/>
      <w:lvlText w:val=""/>
      <w:lvlJc w:val="left"/>
    </w:lvl>
    <w:lvl w:ilvl="3" w:tplc="60F2A3A6">
      <w:numFmt w:val="decimal"/>
      <w:lvlText w:val=""/>
      <w:lvlJc w:val="left"/>
    </w:lvl>
    <w:lvl w:ilvl="4" w:tplc="9C641488">
      <w:numFmt w:val="decimal"/>
      <w:lvlText w:val=""/>
      <w:lvlJc w:val="left"/>
    </w:lvl>
    <w:lvl w:ilvl="5" w:tplc="E1E223D0">
      <w:numFmt w:val="decimal"/>
      <w:lvlText w:val=""/>
      <w:lvlJc w:val="left"/>
    </w:lvl>
    <w:lvl w:ilvl="6" w:tplc="461AC63E">
      <w:numFmt w:val="decimal"/>
      <w:lvlText w:val=""/>
      <w:lvlJc w:val="left"/>
    </w:lvl>
    <w:lvl w:ilvl="7" w:tplc="B07E7AD4">
      <w:numFmt w:val="decimal"/>
      <w:lvlText w:val=""/>
      <w:lvlJc w:val="left"/>
    </w:lvl>
    <w:lvl w:ilvl="8" w:tplc="92F426CC">
      <w:numFmt w:val="decimal"/>
      <w:lvlText w:val=""/>
      <w:lvlJc w:val="left"/>
    </w:lvl>
  </w:abstractNum>
  <w:abstractNum w:abstractNumId="1075" w15:restartNumberingAfterBreak="0">
    <w:nsid w:val="71FB69EF"/>
    <w:multiLevelType w:val="hybridMultilevel"/>
    <w:tmpl w:val="8A602702"/>
    <w:lvl w:ilvl="0" w:tplc="DFF2CD58">
      <w:start w:val="1"/>
      <w:numFmt w:val="bullet"/>
      <w:lvlText w:val=""/>
      <w:lvlJc w:val="left"/>
      <w:pPr>
        <w:ind w:left="720" w:hanging="360"/>
      </w:pPr>
      <w:rPr>
        <w:rFonts w:ascii="Symbol" w:hAnsi="Symbol" w:hint="default"/>
      </w:rPr>
    </w:lvl>
    <w:lvl w:ilvl="1" w:tplc="427ACA54">
      <w:numFmt w:val="decimal"/>
      <w:lvlText w:val=""/>
      <w:lvlJc w:val="left"/>
    </w:lvl>
    <w:lvl w:ilvl="2" w:tplc="B17A3B5C">
      <w:numFmt w:val="decimal"/>
      <w:lvlText w:val=""/>
      <w:lvlJc w:val="left"/>
    </w:lvl>
    <w:lvl w:ilvl="3" w:tplc="B5586708">
      <w:numFmt w:val="decimal"/>
      <w:lvlText w:val=""/>
      <w:lvlJc w:val="left"/>
    </w:lvl>
    <w:lvl w:ilvl="4" w:tplc="22C08ED6">
      <w:numFmt w:val="decimal"/>
      <w:lvlText w:val=""/>
      <w:lvlJc w:val="left"/>
    </w:lvl>
    <w:lvl w:ilvl="5" w:tplc="193C5B76">
      <w:numFmt w:val="decimal"/>
      <w:lvlText w:val=""/>
      <w:lvlJc w:val="left"/>
    </w:lvl>
    <w:lvl w:ilvl="6" w:tplc="280CB898">
      <w:numFmt w:val="decimal"/>
      <w:lvlText w:val=""/>
      <w:lvlJc w:val="left"/>
    </w:lvl>
    <w:lvl w:ilvl="7" w:tplc="3C22746A">
      <w:numFmt w:val="decimal"/>
      <w:lvlText w:val=""/>
      <w:lvlJc w:val="left"/>
    </w:lvl>
    <w:lvl w:ilvl="8" w:tplc="6242DEA2">
      <w:numFmt w:val="decimal"/>
      <w:lvlText w:val=""/>
      <w:lvlJc w:val="left"/>
    </w:lvl>
  </w:abstractNum>
  <w:abstractNum w:abstractNumId="1076" w15:restartNumberingAfterBreak="0">
    <w:nsid w:val="72160D17"/>
    <w:multiLevelType w:val="hybridMultilevel"/>
    <w:tmpl w:val="D74629AC"/>
    <w:lvl w:ilvl="0" w:tplc="22E2BF54">
      <w:start w:val="1"/>
      <w:numFmt w:val="bullet"/>
      <w:lvlText w:val=""/>
      <w:lvlJc w:val="left"/>
      <w:pPr>
        <w:ind w:left="720" w:hanging="360"/>
      </w:pPr>
      <w:rPr>
        <w:rFonts w:ascii="Symbol" w:hAnsi="Symbol" w:hint="default"/>
      </w:rPr>
    </w:lvl>
    <w:lvl w:ilvl="1" w:tplc="9C7854E4">
      <w:numFmt w:val="decimal"/>
      <w:lvlText w:val=""/>
      <w:lvlJc w:val="left"/>
    </w:lvl>
    <w:lvl w:ilvl="2" w:tplc="291C6F4C">
      <w:numFmt w:val="decimal"/>
      <w:lvlText w:val=""/>
      <w:lvlJc w:val="left"/>
    </w:lvl>
    <w:lvl w:ilvl="3" w:tplc="400C7498">
      <w:numFmt w:val="decimal"/>
      <w:lvlText w:val=""/>
      <w:lvlJc w:val="left"/>
    </w:lvl>
    <w:lvl w:ilvl="4" w:tplc="71564ADA">
      <w:numFmt w:val="decimal"/>
      <w:lvlText w:val=""/>
      <w:lvlJc w:val="left"/>
    </w:lvl>
    <w:lvl w:ilvl="5" w:tplc="F4F8544E">
      <w:numFmt w:val="decimal"/>
      <w:lvlText w:val=""/>
      <w:lvlJc w:val="left"/>
    </w:lvl>
    <w:lvl w:ilvl="6" w:tplc="C526CC9E">
      <w:numFmt w:val="decimal"/>
      <w:lvlText w:val=""/>
      <w:lvlJc w:val="left"/>
    </w:lvl>
    <w:lvl w:ilvl="7" w:tplc="5B68319C">
      <w:numFmt w:val="decimal"/>
      <w:lvlText w:val=""/>
      <w:lvlJc w:val="left"/>
    </w:lvl>
    <w:lvl w:ilvl="8" w:tplc="A15E2F24">
      <w:numFmt w:val="decimal"/>
      <w:lvlText w:val=""/>
      <w:lvlJc w:val="left"/>
    </w:lvl>
  </w:abstractNum>
  <w:abstractNum w:abstractNumId="1077" w15:restartNumberingAfterBreak="0">
    <w:nsid w:val="72271F45"/>
    <w:multiLevelType w:val="hybridMultilevel"/>
    <w:tmpl w:val="8F94C3AA"/>
    <w:lvl w:ilvl="0" w:tplc="CC7EA3EC">
      <w:numFmt w:val="decimal"/>
      <w:lvlText w:val=""/>
      <w:lvlJc w:val="left"/>
    </w:lvl>
    <w:lvl w:ilvl="1" w:tplc="1B144DDA">
      <w:start w:val="1"/>
      <w:numFmt w:val="bullet"/>
      <w:lvlText w:val=""/>
      <w:lvlJc w:val="left"/>
      <w:pPr>
        <w:ind w:left="1440" w:hanging="360"/>
      </w:pPr>
      <w:rPr>
        <w:rFonts w:ascii="Symbol" w:hAnsi="Symbol" w:hint="default"/>
      </w:rPr>
    </w:lvl>
    <w:lvl w:ilvl="2" w:tplc="14BE29AE">
      <w:numFmt w:val="decimal"/>
      <w:lvlText w:val=""/>
      <w:lvlJc w:val="left"/>
    </w:lvl>
    <w:lvl w:ilvl="3" w:tplc="51F4851E">
      <w:numFmt w:val="decimal"/>
      <w:lvlText w:val=""/>
      <w:lvlJc w:val="left"/>
    </w:lvl>
    <w:lvl w:ilvl="4" w:tplc="42BA5510">
      <w:numFmt w:val="decimal"/>
      <w:lvlText w:val=""/>
      <w:lvlJc w:val="left"/>
    </w:lvl>
    <w:lvl w:ilvl="5" w:tplc="AE06CC74">
      <w:numFmt w:val="decimal"/>
      <w:lvlText w:val=""/>
      <w:lvlJc w:val="left"/>
    </w:lvl>
    <w:lvl w:ilvl="6" w:tplc="3B1AB7C0">
      <w:numFmt w:val="decimal"/>
      <w:lvlText w:val=""/>
      <w:lvlJc w:val="left"/>
    </w:lvl>
    <w:lvl w:ilvl="7" w:tplc="FA6497B6">
      <w:numFmt w:val="decimal"/>
      <w:lvlText w:val=""/>
      <w:lvlJc w:val="left"/>
    </w:lvl>
    <w:lvl w:ilvl="8" w:tplc="8E2E26D2">
      <w:numFmt w:val="decimal"/>
      <w:lvlText w:val=""/>
      <w:lvlJc w:val="left"/>
    </w:lvl>
  </w:abstractNum>
  <w:abstractNum w:abstractNumId="1078" w15:restartNumberingAfterBreak="0">
    <w:nsid w:val="72556D8A"/>
    <w:multiLevelType w:val="hybridMultilevel"/>
    <w:tmpl w:val="2B84CF5A"/>
    <w:lvl w:ilvl="0" w:tplc="6590B750">
      <w:start w:val="1"/>
      <w:numFmt w:val="bullet"/>
      <w:lvlText w:val=""/>
      <w:lvlJc w:val="left"/>
      <w:pPr>
        <w:ind w:left="720" w:hanging="360"/>
      </w:pPr>
      <w:rPr>
        <w:rFonts w:ascii="Symbol" w:hAnsi="Symbol" w:hint="default"/>
      </w:rPr>
    </w:lvl>
    <w:lvl w:ilvl="1" w:tplc="F808F3B2">
      <w:numFmt w:val="decimal"/>
      <w:lvlText w:val=""/>
      <w:lvlJc w:val="left"/>
    </w:lvl>
    <w:lvl w:ilvl="2" w:tplc="7FDA2FAA">
      <w:numFmt w:val="decimal"/>
      <w:lvlText w:val=""/>
      <w:lvlJc w:val="left"/>
    </w:lvl>
    <w:lvl w:ilvl="3" w:tplc="07884E14">
      <w:numFmt w:val="decimal"/>
      <w:lvlText w:val=""/>
      <w:lvlJc w:val="left"/>
    </w:lvl>
    <w:lvl w:ilvl="4" w:tplc="EBEECAC6">
      <w:numFmt w:val="decimal"/>
      <w:lvlText w:val=""/>
      <w:lvlJc w:val="left"/>
    </w:lvl>
    <w:lvl w:ilvl="5" w:tplc="94E48766">
      <w:numFmt w:val="decimal"/>
      <w:lvlText w:val=""/>
      <w:lvlJc w:val="left"/>
    </w:lvl>
    <w:lvl w:ilvl="6" w:tplc="CB12E782">
      <w:numFmt w:val="decimal"/>
      <w:lvlText w:val=""/>
      <w:lvlJc w:val="left"/>
    </w:lvl>
    <w:lvl w:ilvl="7" w:tplc="F3163E0A">
      <w:numFmt w:val="decimal"/>
      <w:lvlText w:val=""/>
      <w:lvlJc w:val="left"/>
    </w:lvl>
    <w:lvl w:ilvl="8" w:tplc="7970579C">
      <w:numFmt w:val="decimal"/>
      <w:lvlText w:val=""/>
      <w:lvlJc w:val="left"/>
    </w:lvl>
  </w:abstractNum>
  <w:abstractNum w:abstractNumId="1079" w15:restartNumberingAfterBreak="0">
    <w:nsid w:val="725731FA"/>
    <w:multiLevelType w:val="hybridMultilevel"/>
    <w:tmpl w:val="22F0A4FA"/>
    <w:lvl w:ilvl="0" w:tplc="976CB426">
      <w:start w:val="1"/>
      <w:numFmt w:val="bullet"/>
      <w:lvlText w:val=""/>
      <w:lvlJc w:val="left"/>
      <w:pPr>
        <w:ind w:left="720" w:hanging="360"/>
      </w:pPr>
      <w:rPr>
        <w:rFonts w:ascii="Symbol" w:hAnsi="Symbol" w:hint="default"/>
      </w:rPr>
    </w:lvl>
    <w:lvl w:ilvl="1" w:tplc="C1D80C1C">
      <w:numFmt w:val="decimal"/>
      <w:lvlText w:val=""/>
      <w:lvlJc w:val="left"/>
    </w:lvl>
    <w:lvl w:ilvl="2" w:tplc="E6DADAB6">
      <w:numFmt w:val="decimal"/>
      <w:lvlText w:val=""/>
      <w:lvlJc w:val="left"/>
    </w:lvl>
    <w:lvl w:ilvl="3" w:tplc="099AC678">
      <w:numFmt w:val="decimal"/>
      <w:lvlText w:val=""/>
      <w:lvlJc w:val="left"/>
    </w:lvl>
    <w:lvl w:ilvl="4" w:tplc="8B060D68">
      <w:numFmt w:val="decimal"/>
      <w:lvlText w:val=""/>
      <w:lvlJc w:val="left"/>
    </w:lvl>
    <w:lvl w:ilvl="5" w:tplc="A72A660E">
      <w:numFmt w:val="decimal"/>
      <w:lvlText w:val=""/>
      <w:lvlJc w:val="left"/>
    </w:lvl>
    <w:lvl w:ilvl="6" w:tplc="8544169C">
      <w:numFmt w:val="decimal"/>
      <w:lvlText w:val=""/>
      <w:lvlJc w:val="left"/>
    </w:lvl>
    <w:lvl w:ilvl="7" w:tplc="CE3EAC4C">
      <w:numFmt w:val="decimal"/>
      <w:lvlText w:val=""/>
      <w:lvlJc w:val="left"/>
    </w:lvl>
    <w:lvl w:ilvl="8" w:tplc="937200BE">
      <w:numFmt w:val="decimal"/>
      <w:lvlText w:val=""/>
      <w:lvlJc w:val="left"/>
    </w:lvl>
  </w:abstractNum>
  <w:abstractNum w:abstractNumId="1080" w15:restartNumberingAfterBreak="0">
    <w:nsid w:val="72880BA2"/>
    <w:multiLevelType w:val="hybridMultilevel"/>
    <w:tmpl w:val="ECAAF9E4"/>
    <w:lvl w:ilvl="0" w:tplc="513E3056">
      <w:start w:val="1"/>
      <w:numFmt w:val="bullet"/>
      <w:lvlText w:val=""/>
      <w:lvlJc w:val="left"/>
      <w:pPr>
        <w:ind w:left="720" w:hanging="360"/>
      </w:pPr>
      <w:rPr>
        <w:rFonts w:ascii="Symbol" w:hAnsi="Symbol" w:hint="default"/>
      </w:rPr>
    </w:lvl>
    <w:lvl w:ilvl="1" w:tplc="AFE0CB66">
      <w:numFmt w:val="decimal"/>
      <w:lvlText w:val=""/>
      <w:lvlJc w:val="left"/>
    </w:lvl>
    <w:lvl w:ilvl="2" w:tplc="91ACF24A">
      <w:numFmt w:val="decimal"/>
      <w:lvlText w:val=""/>
      <w:lvlJc w:val="left"/>
    </w:lvl>
    <w:lvl w:ilvl="3" w:tplc="A72A9DA8">
      <w:numFmt w:val="decimal"/>
      <w:lvlText w:val=""/>
      <w:lvlJc w:val="left"/>
    </w:lvl>
    <w:lvl w:ilvl="4" w:tplc="9BEC3B58">
      <w:numFmt w:val="decimal"/>
      <w:lvlText w:val=""/>
      <w:lvlJc w:val="left"/>
    </w:lvl>
    <w:lvl w:ilvl="5" w:tplc="EEA6D814">
      <w:numFmt w:val="decimal"/>
      <w:lvlText w:val=""/>
      <w:lvlJc w:val="left"/>
    </w:lvl>
    <w:lvl w:ilvl="6" w:tplc="16FE7DA2">
      <w:numFmt w:val="decimal"/>
      <w:lvlText w:val=""/>
      <w:lvlJc w:val="left"/>
    </w:lvl>
    <w:lvl w:ilvl="7" w:tplc="2892DC16">
      <w:numFmt w:val="decimal"/>
      <w:lvlText w:val=""/>
      <w:lvlJc w:val="left"/>
    </w:lvl>
    <w:lvl w:ilvl="8" w:tplc="F88A5CD0">
      <w:numFmt w:val="decimal"/>
      <w:lvlText w:val=""/>
      <w:lvlJc w:val="left"/>
    </w:lvl>
  </w:abstractNum>
  <w:abstractNum w:abstractNumId="1081" w15:restartNumberingAfterBreak="0">
    <w:nsid w:val="73054663"/>
    <w:multiLevelType w:val="hybridMultilevel"/>
    <w:tmpl w:val="28128F22"/>
    <w:lvl w:ilvl="0" w:tplc="8D9633A8">
      <w:start w:val="1"/>
      <w:numFmt w:val="bullet"/>
      <w:lvlText w:val=""/>
      <w:lvlJc w:val="left"/>
      <w:pPr>
        <w:ind w:left="720" w:hanging="360"/>
      </w:pPr>
      <w:rPr>
        <w:rFonts w:ascii="Symbol" w:hAnsi="Symbol" w:hint="default"/>
      </w:rPr>
    </w:lvl>
    <w:lvl w:ilvl="1" w:tplc="2D0EF87C">
      <w:numFmt w:val="decimal"/>
      <w:lvlText w:val=""/>
      <w:lvlJc w:val="left"/>
    </w:lvl>
    <w:lvl w:ilvl="2" w:tplc="50E6E32C">
      <w:numFmt w:val="decimal"/>
      <w:lvlText w:val=""/>
      <w:lvlJc w:val="left"/>
    </w:lvl>
    <w:lvl w:ilvl="3" w:tplc="A3FA308A">
      <w:numFmt w:val="decimal"/>
      <w:lvlText w:val=""/>
      <w:lvlJc w:val="left"/>
    </w:lvl>
    <w:lvl w:ilvl="4" w:tplc="6D2EEAB4">
      <w:numFmt w:val="decimal"/>
      <w:lvlText w:val=""/>
      <w:lvlJc w:val="left"/>
    </w:lvl>
    <w:lvl w:ilvl="5" w:tplc="9CE23B3E">
      <w:numFmt w:val="decimal"/>
      <w:lvlText w:val=""/>
      <w:lvlJc w:val="left"/>
    </w:lvl>
    <w:lvl w:ilvl="6" w:tplc="4ACA9F98">
      <w:numFmt w:val="decimal"/>
      <w:lvlText w:val=""/>
      <w:lvlJc w:val="left"/>
    </w:lvl>
    <w:lvl w:ilvl="7" w:tplc="15920A70">
      <w:numFmt w:val="decimal"/>
      <w:lvlText w:val=""/>
      <w:lvlJc w:val="left"/>
    </w:lvl>
    <w:lvl w:ilvl="8" w:tplc="A69665FC">
      <w:numFmt w:val="decimal"/>
      <w:lvlText w:val=""/>
      <w:lvlJc w:val="left"/>
    </w:lvl>
  </w:abstractNum>
  <w:abstractNum w:abstractNumId="1082" w15:restartNumberingAfterBreak="0">
    <w:nsid w:val="730671B6"/>
    <w:multiLevelType w:val="hybridMultilevel"/>
    <w:tmpl w:val="4A0C0EB8"/>
    <w:lvl w:ilvl="0" w:tplc="1946D36C">
      <w:start w:val="1"/>
      <w:numFmt w:val="bullet"/>
      <w:lvlText w:val=""/>
      <w:lvlJc w:val="left"/>
      <w:pPr>
        <w:ind w:left="720" w:hanging="360"/>
      </w:pPr>
      <w:rPr>
        <w:rFonts w:ascii="Symbol" w:hAnsi="Symbol" w:hint="default"/>
      </w:rPr>
    </w:lvl>
    <w:lvl w:ilvl="1" w:tplc="7C7AB4D2">
      <w:numFmt w:val="decimal"/>
      <w:lvlText w:val=""/>
      <w:lvlJc w:val="left"/>
    </w:lvl>
    <w:lvl w:ilvl="2" w:tplc="536479F4">
      <w:numFmt w:val="decimal"/>
      <w:lvlText w:val=""/>
      <w:lvlJc w:val="left"/>
    </w:lvl>
    <w:lvl w:ilvl="3" w:tplc="2CE82FD0">
      <w:numFmt w:val="decimal"/>
      <w:lvlText w:val=""/>
      <w:lvlJc w:val="left"/>
    </w:lvl>
    <w:lvl w:ilvl="4" w:tplc="B9FEC8FA">
      <w:numFmt w:val="decimal"/>
      <w:lvlText w:val=""/>
      <w:lvlJc w:val="left"/>
    </w:lvl>
    <w:lvl w:ilvl="5" w:tplc="DBE810C4">
      <w:numFmt w:val="decimal"/>
      <w:lvlText w:val=""/>
      <w:lvlJc w:val="left"/>
    </w:lvl>
    <w:lvl w:ilvl="6" w:tplc="ADD0AA9A">
      <w:numFmt w:val="decimal"/>
      <w:lvlText w:val=""/>
      <w:lvlJc w:val="left"/>
    </w:lvl>
    <w:lvl w:ilvl="7" w:tplc="4FBAE7B2">
      <w:numFmt w:val="decimal"/>
      <w:lvlText w:val=""/>
      <w:lvlJc w:val="left"/>
    </w:lvl>
    <w:lvl w:ilvl="8" w:tplc="237E1288">
      <w:numFmt w:val="decimal"/>
      <w:lvlText w:val=""/>
      <w:lvlJc w:val="left"/>
    </w:lvl>
  </w:abstractNum>
  <w:abstractNum w:abstractNumId="1083" w15:restartNumberingAfterBreak="0">
    <w:nsid w:val="732812F8"/>
    <w:multiLevelType w:val="hybridMultilevel"/>
    <w:tmpl w:val="F004755E"/>
    <w:lvl w:ilvl="0" w:tplc="0C9623F0">
      <w:start w:val="1"/>
      <w:numFmt w:val="bullet"/>
      <w:lvlText w:val=""/>
      <w:lvlJc w:val="left"/>
      <w:pPr>
        <w:ind w:left="720" w:hanging="360"/>
      </w:pPr>
      <w:rPr>
        <w:rFonts w:ascii="Symbol" w:hAnsi="Symbol" w:hint="default"/>
      </w:rPr>
    </w:lvl>
    <w:lvl w:ilvl="1" w:tplc="065409D0">
      <w:numFmt w:val="decimal"/>
      <w:lvlText w:val=""/>
      <w:lvlJc w:val="left"/>
    </w:lvl>
    <w:lvl w:ilvl="2" w:tplc="E896675E">
      <w:numFmt w:val="decimal"/>
      <w:lvlText w:val=""/>
      <w:lvlJc w:val="left"/>
    </w:lvl>
    <w:lvl w:ilvl="3" w:tplc="F1B8E016">
      <w:numFmt w:val="decimal"/>
      <w:lvlText w:val=""/>
      <w:lvlJc w:val="left"/>
    </w:lvl>
    <w:lvl w:ilvl="4" w:tplc="27A077F4">
      <w:numFmt w:val="decimal"/>
      <w:lvlText w:val=""/>
      <w:lvlJc w:val="left"/>
    </w:lvl>
    <w:lvl w:ilvl="5" w:tplc="56C8C9F6">
      <w:numFmt w:val="decimal"/>
      <w:lvlText w:val=""/>
      <w:lvlJc w:val="left"/>
    </w:lvl>
    <w:lvl w:ilvl="6" w:tplc="9982ACCE">
      <w:numFmt w:val="decimal"/>
      <w:lvlText w:val=""/>
      <w:lvlJc w:val="left"/>
    </w:lvl>
    <w:lvl w:ilvl="7" w:tplc="FDB4A176">
      <w:numFmt w:val="decimal"/>
      <w:lvlText w:val=""/>
      <w:lvlJc w:val="left"/>
    </w:lvl>
    <w:lvl w:ilvl="8" w:tplc="C9846D38">
      <w:numFmt w:val="decimal"/>
      <w:lvlText w:val=""/>
      <w:lvlJc w:val="left"/>
    </w:lvl>
  </w:abstractNum>
  <w:abstractNum w:abstractNumId="1084" w15:restartNumberingAfterBreak="0">
    <w:nsid w:val="733C0781"/>
    <w:multiLevelType w:val="hybridMultilevel"/>
    <w:tmpl w:val="422C1BCE"/>
    <w:lvl w:ilvl="0" w:tplc="FB3278C4">
      <w:start w:val="1"/>
      <w:numFmt w:val="bullet"/>
      <w:lvlText w:val=""/>
      <w:lvlJc w:val="left"/>
      <w:pPr>
        <w:ind w:left="720" w:hanging="360"/>
      </w:pPr>
      <w:rPr>
        <w:rFonts w:ascii="Symbol" w:hAnsi="Symbol" w:hint="default"/>
      </w:rPr>
    </w:lvl>
    <w:lvl w:ilvl="1" w:tplc="63E6FA0E">
      <w:numFmt w:val="decimal"/>
      <w:lvlText w:val=""/>
      <w:lvlJc w:val="left"/>
    </w:lvl>
    <w:lvl w:ilvl="2" w:tplc="B5BC99A4">
      <w:numFmt w:val="decimal"/>
      <w:lvlText w:val=""/>
      <w:lvlJc w:val="left"/>
    </w:lvl>
    <w:lvl w:ilvl="3" w:tplc="B53A1976">
      <w:numFmt w:val="decimal"/>
      <w:lvlText w:val=""/>
      <w:lvlJc w:val="left"/>
    </w:lvl>
    <w:lvl w:ilvl="4" w:tplc="3C307D94">
      <w:numFmt w:val="decimal"/>
      <w:lvlText w:val=""/>
      <w:lvlJc w:val="left"/>
    </w:lvl>
    <w:lvl w:ilvl="5" w:tplc="F5FA2ED6">
      <w:numFmt w:val="decimal"/>
      <w:lvlText w:val=""/>
      <w:lvlJc w:val="left"/>
    </w:lvl>
    <w:lvl w:ilvl="6" w:tplc="1C925818">
      <w:numFmt w:val="decimal"/>
      <w:lvlText w:val=""/>
      <w:lvlJc w:val="left"/>
    </w:lvl>
    <w:lvl w:ilvl="7" w:tplc="2AB24146">
      <w:numFmt w:val="decimal"/>
      <w:lvlText w:val=""/>
      <w:lvlJc w:val="left"/>
    </w:lvl>
    <w:lvl w:ilvl="8" w:tplc="A4B67E7A">
      <w:numFmt w:val="decimal"/>
      <w:lvlText w:val=""/>
      <w:lvlJc w:val="left"/>
    </w:lvl>
  </w:abstractNum>
  <w:abstractNum w:abstractNumId="1085" w15:restartNumberingAfterBreak="0">
    <w:nsid w:val="73665168"/>
    <w:multiLevelType w:val="hybridMultilevel"/>
    <w:tmpl w:val="A31A8494"/>
    <w:lvl w:ilvl="0" w:tplc="82C67BD0">
      <w:numFmt w:val="decimal"/>
      <w:lvlText w:val=""/>
      <w:lvlJc w:val="left"/>
    </w:lvl>
    <w:lvl w:ilvl="1" w:tplc="73C4C07C">
      <w:start w:val="1"/>
      <w:numFmt w:val="bullet"/>
      <w:lvlText w:val=""/>
      <w:lvlJc w:val="left"/>
      <w:pPr>
        <w:ind w:left="1440" w:hanging="360"/>
      </w:pPr>
      <w:rPr>
        <w:rFonts w:ascii="Symbol" w:hAnsi="Symbol" w:hint="default"/>
      </w:rPr>
    </w:lvl>
    <w:lvl w:ilvl="2" w:tplc="CD049A7E">
      <w:numFmt w:val="decimal"/>
      <w:lvlText w:val=""/>
      <w:lvlJc w:val="left"/>
    </w:lvl>
    <w:lvl w:ilvl="3" w:tplc="75828500">
      <w:numFmt w:val="decimal"/>
      <w:lvlText w:val=""/>
      <w:lvlJc w:val="left"/>
    </w:lvl>
    <w:lvl w:ilvl="4" w:tplc="D12C21D2">
      <w:numFmt w:val="decimal"/>
      <w:lvlText w:val=""/>
      <w:lvlJc w:val="left"/>
    </w:lvl>
    <w:lvl w:ilvl="5" w:tplc="B62411FC">
      <w:numFmt w:val="decimal"/>
      <w:lvlText w:val=""/>
      <w:lvlJc w:val="left"/>
    </w:lvl>
    <w:lvl w:ilvl="6" w:tplc="44FE40AE">
      <w:numFmt w:val="decimal"/>
      <w:lvlText w:val=""/>
      <w:lvlJc w:val="left"/>
    </w:lvl>
    <w:lvl w:ilvl="7" w:tplc="C408F7EA">
      <w:numFmt w:val="decimal"/>
      <w:lvlText w:val=""/>
      <w:lvlJc w:val="left"/>
    </w:lvl>
    <w:lvl w:ilvl="8" w:tplc="6102F356">
      <w:numFmt w:val="decimal"/>
      <w:lvlText w:val=""/>
      <w:lvlJc w:val="left"/>
    </w:lvl>
  </w:abstractNum>
  <w:abstractNum w:abstractNumId="1086" w15:restartNumberingAfterBreak="0">
    <w:nsid w:val="7377673F"/>
    <w:multiLevelType w:val="hybridMultilevel"/>
    <w:tmpl w:val="3542A89E"/>
    <w:lvl w:ilvl="0" w:tplc="5AAE59EC">
      <w:start w:val="1"/>
      <w:numFmt w:val="bullet"/>
      <w:lvlText w:val=""/>
      <w:lvlJc w:val="left"/>
      <w:pPr>
        <w:ind w:left="720" w:hanging="360"/>
      </w:pPr>
      <w:rPr>
        <w:rFonts w:ascii="Symbol" w:hAnsi="Symbol" w:hint="default"/>
      </w:rPr>
    </w:lvl>
    <w:lvl w:ilvl="1" w:tplc="16806EAA">
      <w:numFmt w:val="decimal"/>
      <w:lvlText w:val=""/>
      <w:lvlJc w:val="left"/>
    </w:lvl>
    <w:lvl w:ilvl="2" w:tplc="112C18C6">
      <w:numFmt w:val="decimal"/>
      <w:lvlText w:val=""/>
      <w:lvlJc w:val="left"/>
    </w:lvl>
    <w:lvl w:ilvl="3" w:tplc="E0DCE358">
      <w:numFmt w:val="decimal"/>
      <w:lvlText w:val=""/>
      <w:lvlJc w:val="left"/>
    </w:lvl>
    <w:lvl w:ilvl="4" w:tplc="68B0849C">
      <w:numFmt w:val="decimal"/>
      <w:lvlText w:val=""/>
      <w:lvlJc w:val="left"/>
    </w:lvl>
    <w:lvl w:ilvl="5" w:tplc="D630A638">
      <w:numFmt w:val="decimal"/>
      <w:lvlText w:val=""/>
      <w:lvlJc w:val="left"/>
    </w:lvl>
    <w:lvl w:ilvl="6" w:tplc="4CF60E12">
      <w:numFmt w:val="decimal"/>
      <w:lvlText w:val=""/>
      <w:lvlJc w:val="left"/>
    </w:lvl>
    <w:lvl w:ilvl="7" w:tplc="04B4B886">
      <w:numFmt w:val="decimal"/>
      <w:lvlText w:val=""/>
      <w:lvlJc w:val="left"/>
    </w:lvl>
    <w:lvl w:ilvl="8" w:tplc="5DA60864">
      <w:numFmt w:val="decimal"/>
      <w:lvlText w:val=""/>
      <w:lvlJc w:val="left"/>
    </w:lvl>
  </w:abstractNum>
  <w:abstractNum w:abstractNumId="1087" w15:restartNumberingAfterBreak="0">
    <w:nsid w:val="73A72965"/>
    <w:multiLevelType w:val="hybridMultilevel"/>
    <w:tmpl w:val="833ACE56"/>
    <w:lvl w:ilvl="0" w:tplc="50A8A1FC">
      <w:start w:val="1"/>
      <w:numFmt w:val="bullet"/>
      <w:lvlText w:val=""/>
      <w:lvlJc w:val="left"/>
      <w:pPr>
        <w:ind w:left="720" w:hanging="360"/>
      </w:pPr>
      <w:rPr>
        <w:rFonts w:ascii="Symbol" w:hAnsi="Symbol" w:hint="default"/>
      </w:rPr>
    </w:lvl>
    <w:lvl w:ilvl="1" w:tplc="DB3C0A56">
      <w:numFmt w:val="decimal"/>
      <w:lvlText w:val=""/>
      <w:lvlJc w:val="left"/>
    </w:lvl>
    <w:lvl w:ilvl="2" w:tplc="D396D962">
      <w:numFmt w:val="decimal"/>
      <w:lvlText w:val=""/>
      <w:lvlJc w:val="left"/>
    </w:lvl>
    <w:lvl w:ilvl="3" w:tplc="020609EE">
      <w:numFmt w:val="decimal"/>
      <w:lvlText w:val=""/>
      <w:lvlJc w:val="left"/>
    </w:lvl>
    <w:lvl w:ilvl="4" w:tplc="52D2DB52">
      <w:numFmt w:val="decimal"/>
      <w:lvlText w:val=""/>
      <w:lvlJc w:val="left"/>
    </w:lvl>
    <w:lvl w:ilvl="5" w:tplc="8AE4B6E6">
      <w:numFmt w:val="decimal"/>
      <w:lvlText w:val=""/>
      <w:lvlJc w:val="left"/>
    </w:lvl>
    <w:lvl w:ilvl="6" w:tplc="0F7432E4">
      <w:numFmt w:val="decimal"/>
      <w:lvlText w:val=""/>
      <w:lvlJc w:val="left"/>
    </w:lvl>
    <w:lvl w:ilvl="7" w:tplc="D0A0160E">
      <w:numFmt w:val="decimal"/>
      <w:lvlText w:val=""/>
      <w:lvlJc w:val="left"/>
    </w:lvl>
    <w:lvl w:ilvl="8" w:tplc="5CC09FB6">
      <w:numFmt w:val="decimal"/>
      <w:lvlText w:val=""/>
      <w:lvlJc w:val="left"/>
    </w:lvl>
  </w:abstractNum>
  <w:abstractNum w:abstractNumId="1088" w15:restartNumberingAfterBreak="0">
    <w:nsid w:val="73B37B4A"/>
    <w:multiLevelType w:val="hybridMultilevel"/>
    <w:tmpl w:val="4EBCF42A"/>
    <w:lvl w:ilvl="0" w:tplc="8CB22C02">
      <w:start w:val="1"/>
      <w:numFmt w:val="bullet"/>
      <w:lvlText w:val=""/>
      <w:lvlJc w:val="left"/>
      <w:pPr>
        <w:ind w:left="720" w:hanging="360"/>
      </w:pPr>
      <w:rPr>
        <w:rFonts w:ascii="Symbol" w:hAnsi="Symbol" w:hint="default"/>
      </w:rPr>
    </w:lvl>
    <w:lvl w:ilvl="1" w:tplc="CEAC56DA">
      <w:numFmt w:val="decimal"/>
      <w:lvlText w:val=""/>
      <w:lvlJc w:val="left"/>
    </w:lvl>
    <w:lvl w:ilvl="2" w:tplc="72F0DAD6">
      <w:numFmt w:val="decimal"/>
      <w:lvlText w:val=""/>
      <w:lvlJc w:val="left"/>
    </w:lvl>
    <w:lvl w:ilvl="3" w:tplc="EA08C1F8">
      <w:numFmt w:val="decimal"/>
      <w:lvlText w:val=""/>
      <w:lvlJc w:val="left"/>
    </w:lvl>
    <w:lvl w:ilvl="4" w:tplc="C9183B88">
      <w:numFmt w:val="decimal"/>
      <w:lvlText w:val=""/>
      <w:lvlJc w:val="left"/>
    </w:lvl>
    <w:lvl w:ilvl="5" w:tplc="1890951E">
      <w:numFmt w:val="decimal"/>
      <w:lvlText w:val=""/>
      <w:lvlJc w:val="left"/>
    </w:lvl>
    <w:lvl w:ilvl="6" w:tplc="2F845944">
      <w:numFmt w:val="decimal"/>
      <w:lvlText w:val=""/>
      <w:lvlJc w:val="left"/>
    </w:lvl>
    <w:lvl w:ilvl="7" w:tplc="0B2279D6">
      <w:numFmt w:val="decimal"/>
      <w:lvlText w:val=""/>
      <w:lvlJc w:val="left"/>
    </w:lvl>
    <w:lvl w:ilvl="8" w:tplc="91D650A2">
      <w:numFmt w:val="decimal"/>
      <w:lvlText w:val=""/>
      <w:lvlJc w:val="left"/>
    </w:lvl>
  </w:abstractNum>
  <w:abstractNum w:abstractNumId="1089" w15:restartNumberingAfterBreak="0">
    <w:nsid w:val="73B41549"/>
    <w:multiLevelType w:val="hybridMultilevel"/>
    <w:tmpl w:val="6F462926"/>
    <w:lvl w:ilvl="0" w:tplc="207A42AE">
      <w:start w:val="1"/>
      <w:numFmt w:val="bullet"/>
      <w:lvlText w:val=""/>
      <w:lvlJc w:val="left"/>
      <w:pPr>
        <w:ind w:left="720" w:hanging="360"/>
      </w:pPr>
      <w:rPr>
        <w:rFonts w:ascii="Symbol" w:hAnsi="Symbol" w:hint="default"/>
      </w:rPr>
    </w:lvl>
    <w:lvl w:ilvl="1" w:tplc="6F72D070">
      <w:numFmt w:val="decimal"/>
      <w:lvlText w:val=""/>
      <w:lvlJc w:val="left"/>
    </w:lvl>
    <w:lvl w:ilvl="2" w:tplc="CF660C3E">
      <w:numFmt w:val="decimal"/>
      <w:lvlText w:val=""/>
      <w:lvlJc w:val="left"/>
    </w:lvl>
    <w:lvl w:ilvl="3" w:tplc="1E38AB6C">
      <w:numFmt w:val="decimal"/>
      <w:lvlText w:val=""/>
      <w:lvlJc w:val="left"/>
    </w:lvl>
    <w:lvl w:ilvl="4" w:tplc="DF928C14">
      <w:numFmt w:val="decimal"/>
      <w:lvlText w:val=""/>
      <w:lvlJc w:val="left"/>
    </w:lvl>
    <w:lvl w:ilvl="5" w:tplc="416C4E5E">
      <w:numFmt w:val="decimal"/>
      <w:lvlText w:val=""/>
      <w:lvlJc w:val="left"/>
    </w:lvl>
    <w:lvl w:ilvl="6" w:tplc="E006C60E">
      <w:numFmt w:val="decimal"/>
      <w:lvlText w:val=""/>
      <w:lvlJc w:val="left"/>
    </w:lvl>
    <w:lvl w:ilvl="7" w:tplc="C4126022">
      <w:numFmt w:val="decimal"/>
      <w:lvlText w:val=""/>
      <w:lvlJc w:val="left"/>
    </w:lvl>
    <w:lvl w:ilvl="8" w:tplc="6AB4FEE2">
      <w:numFmt w:val="decimal"/>
      <w:lvlText w:val=""/>
      <w:lvlJc w:val="left"/>
    </w:lvl>
  </w:abstractNum>
  <w:abstractNum w:abstractNumId="1090" w15:restartNumberingAfterBreak="0">
    <w:nsid w:val="73B94178"/>
    <w:multiLevelType w:val="hybridMultilevel"/>
    <w:tmpl w:val="C55AB1F8"/>
    <w:lvl w:ilvl="0" w:tplc="2BD62C1E">
      <w:start w:val="1"/>
      <w:numFmt w:val="bullet"/>
      <w:lvlText w:val=""/>
      <w:lvlJc w:val="left"/>
      <w:pPr>
        <w:ind w:left="720" w:hanging="360"/>
      </w:pPr>
      <w:rPr>
        <w:rFonts w:ascii="Symbol" w:hAnsi="Symbol" w:hint="default"/>
      </w:rPr>
    </w:lvl>
    <w:lvl w:ilvl="1" w:tplc="F79A780C">
      <w:numFmt w:val="decimal"/>
      <w:lvlText w:val=""/>
      <w:lvlJc w:val="left"/>
    </w:lvl>
    <w:lvl w:ilvl="2" w:tplc="F6FCCB2C">
      <w:numFmt w:val="decimal"/>
      <w:lvlText w:val=""/>
      <w:lvlJc w:val="left"/>
    </w:lvl>
    <w:lvl w:ilvl="3" w:tplc="041C1734">
      <w:numFmt w:val="decimal"/>
      <w:lvlText w:val=""/>
      <w:lvlJc w:val="left"/>
    </w:lvl>
    <w:lvl w:ilvl="4" w:tplc="956A742C">
      <w:numFmt w:val="decimal"/>
      <w:lvlText w:val=""/>
      <w:lvlJc w:val="left"/>
    </w:lvl>
    <w:lvl w:ilvl="5" w:tplc="4426B67A">
      <w:numFmt w:val="decimal"/>
      <w:lvlText w:val=""/>
      <w:lvlJc w:val="left"/>
    </w:lvl>
    <w:lvl w:ilvl="6" w:tplc="FF04E84A">
      <w:numFmt w:val="decimal"/>
      <w:lvlText w:val=""/>
      <w:lvlJc w:val="left"/>
    </w:lvl>
    <w:lvl w:ilvl="7" w:tplc="1D6ADE90">
      <w:numFmt w:val="decimal"/>
      <w:lvlText w:val=""/>
      <w:lvlJc w:val="left"/>
    </w:lvl>
    <w:lvl w:ilvl="8" w:tplc="F1BA14DA">
      <w:numFmt w:val="decimal"/>
      <w:lvlText w:val=""/>
      <w:lvlJc w:val="left"/>
    </w:lvl>
  </w:abstractNum>
  <w:abstractNum w:abstractNumId="1091" w15:restartNumberingAfterBreak="0">
    <w:nsid w:val="73BA6CAC"/>
    <w:multiLevelType w:val="hybridMultilevel"/>
    <w:tmpl w:val="B040F964"/>
    <w:lvl w:ilvl="0" w:tplc="1F02F79A">
      <w:start w:val="1"/>
      <w:numFmt w:val="bullet"/>
      <w:lvlText w:val=""/>
      <w:lvlJc w:val="left"/>
      <w:pPr>
        <w:ind w:left="720" w:hanging="360"/>
      </w:pPr>
      <w:rPr>
        <w:rFonts w:ascii="Symbol" w:hAnsi="Symbol" w:hint="default"/>
      </w:rPr>
    </w:lvl>
    <w:lvl w:ilvl="1" w:tplc="546650C2">
      <w:numFmt w:val="decimal"/>
      <w:lvlText w:val=""/>
      <w:lvlJc w:val="left"/>
    </w:lvl>
    <w:lvl w:ilvl="2" w:tplc="A9C21EBE">
      <w:numFmt w:val="decimal"/>
      <w:lvlText w:val=""/>
      <w:lvlJc w:val="left"/>
    </w:lvl>
    <w:lvl w:ilvl="3" w:tplc="D83AEA1C">
      <w:numFmt w:val="decimal"/>
      <w:lvlText w:val=""/>
      <w:lvlJc w:val="left"/>
    </w:lvl>
    <w:lvl w:ilvl="4" w:tplc="CD1EB73A">
      <w:numFmt w:val="decimal"/>
      <w:lvlText w:val=""/>
      <w:lvlJc w:val="left"/>
    </w:lvl>
    <w:lvl w:ilvl="5" w:tplc="C0CA7EBC">
      <w:numFmt w:val="decimal"/>
      <w:lvlText w:val=""/>
      <w:lvlJc w:val="left"/>
    </w:lvl>
    <w:lvl w:ilvl="6" w:tplc="5DC4C19E">
      <w:numFmt w:val="decimal"/>
      <w:lvlText w:val=""/>
      <w:lvlJc w:val="left"/>
    </w:lvl>
    <w:lvl w:ilvl="7" w:tplc="4BA8F430">
      <w:numFmt w:val="decimal"/>
      <w:lvlText w:val=""/>
      <w:lvlJc w:val="left"/>
    </w:lvl>
    <w:lvl w:ilvl="8" w:tplc="709210E2">
      <w:numFmt w:val="decimal"/>
      <w:lvlText w:val=""/>
      <w:lvlJc w:val="left"/>
    </w:lvl>
  </w:abstractNum>
  <w:abstractNum w:abstractNumId="1092" w15:restartNumberingAfterBreak="0">
    <w:nsid w:val="73CB7D3C"/>
    <w:multiLevelType w:val="hybridMultilevel"/>
    <w:tmpl w:val="56508F4A"/>
    <w:lvl w:ilvl="0" w:tplc="B5BC721C">
      <w:start w:val="1"/>
      <w:numFmt w:val="bullet"/>
      <w:lvlText w:val=""/>
      <w:lvlJc w:val="left"/>
      <w:pPr>
        <w:ind w:left="720" w:hanging="360"/>
      </w:pPr>
      <w:rPr>
        <w:rFonts w:ascii="Symbol" w:hAnsi="Symbol" w:hint="default"/>
      </w:rPr>
    </w:lvl>
    <w:lvl w:ilvl="1" w:tplc="0D06DFE4">
      <w:numFmt w:val="decimal"/>
      <w:lvlText w:val=""/>
      <w:lvlJc w:val="left"/>
    </w:lvl>
    <w:lvl w:ilvl="2" w:tplc="EB469260">
      <w:numFmt w:val="decimal"/>
      <w:lvlText w:val=""/>
      <w:lvlJc w:val="left"/>
    </w:lvl>
    <w:lvl w:ilvl="3" w:tplc="008A2338">
      <w:numFmt w:val="decimal"/>
      <w:lvlText w:val=""/>
      <w:lvlJc w:val="left"/>
    </w:lvl>
    <w:lvl w:ilvl="4" w:tplc="854E8B96">
      <w:numFmt w:val="decimal"/>
      <w:lvlText w:val=""/>
      <w:lvlJc w:val="left"/>
    </w:lvl>
    <w:lvl w:ilvl="5" w:tplc="989E7866">
      <w:numFmt w:val="decimal"/>
      <w:lvlText w:val=""/>
      <w:lvlJc w:val="left"/>
    </w:lvl>
    <w:lvl w:ilvl="6" w:tplc="7E2E2C60">
      <w:numFmt w:val="decimal"/>
      <w:lvlText w:val=""/>
      <w:lvlJc w:val="left"/>
    </w:lvl>
    <w:lvl w:ilvl="7" w:tplc="AEE2B9B0">
      <w:numFmt w:val="decimal"/>
      <w:lvlText w:val=""/>
      <w:lvlJc w:val="left"/>
    </w:lvl>
    <w:lvl w:ilvl="8" w:tplc="4434FCA4">
      <w:numFmt w:val="decimal"/>
      <w:lvlText w:val=""/>
      <w:lvlJc w:val="left"/>
    </w:lvl>
  </w:abstractNum>
  <w:abstractNum w:abstractNumId="1093" w15:restartNumberingAfterBreak="0">
    <w:nsid w:val="73E9773A"/>
    <w:multiLevelType w:val="hybridMultilevel"/>
    <w:tmpl w:val="74C65FC2"/>
    <w:lvl w:ilvl="0" w:tplc="FC10BEBA">
      <w:start w:val="1"/>
      <w:numFmt w:val="bullet"/>
      <w:lvlText w:val=""/>
      <w:lvlJc w:val="left"/>
      <w:pPr>
        <w:ind w:left="720" w:hanging="360"/>
      </w:pPr>
      <w:rPr>
        <w:rFonts w:ascii="Symbol" w:hAnsi="Symbol" w:hint="default"/>
      </w:rPr>
    </w:lvl>
    <w:lvl w:ilvl="1" w:tplc="5A723DC2">
      <w:numFmt w:val="decimal"/>
      <w:lvlText w:val=""/>
      <w:lvlJc w:val="left"/>
    </w:lvl>
    <w:lvl w:ilvl="2" w:tplc="9B6875F8">
      <w:numFmt w:val="decimal"/>
      <w:lvlText w:val=""/>
      <w:lvlJc w:val="left"/>
    </w:lvl>
    <w:lvl w:ilvl="3" w:tplc="346C6EA2">
      <w:numFmt w:val="decimal"/>
      <w:lvlText w:val=""/>
      <w:lvlJc w:val="left"/>
    </w:lvl>
    <w:lvl w:ilvl="4" w:tplc="BF56BEEC">
      <w:numFmt w:val="decimal"/>
      <w:lvlText w:val=""/>
      <w:lvlJc w:val="left"/>
    </w:lvl>
    <w:lvl w:ilvl="5" w:tplc="EB106C56">
      <w:numFmt w:val="decimal"/>
      <w:lvlText w:val=""/>
      <w:lvlJc w:val="left"/>
    </w:lvl>
    <w:lvl w:ilvl="6" w:tplc="864A3F02">
      <w:numFmt w:val="decimal"/>
      <w:lvlText w:val=""/>
      <w:lvlJc w:val="left"/>
    </w:lvl>
    <w:lvl w:ilvl="7" w:tplc="C3900BE4">
      <w:numFmt w:val="decimal"/>
      <w:lvlText w:val=""/>
      <w:lvlJc w:val="left"/>
    </w:lvl>
    <w:lvl w:ilvl="8" w:tplc="AAC84DE0">
      <w:numFmt w:val="decimal"/>
      <w:lvlText w:val=""/>
      <w:lvlJc w:val="left"/>
    </w:lvl>
  </w:abstractNum>
  <w:abstractNum w:abstractNumId="1094" w15:restartNumberingAfterBreak="0">
    <w:nsid w:val="73F1440C"/>
    <w:multiLevelType w:val="hybridMultilevel"/>
    <w:tmpl w:val="6F9E6BDA"/>
    <w:lvl w:ilvl="0" w:tplc="1A929380">
      <w:start w:val="1"/>
      <w:numFmt w:val="bullet"/>
      <w:lvlText w:val=""/>
      <w:lvlJc w:val="left"/>
      <w:pPr>
        <w:ind w:left="720" w:hanging="360"/>
      </w:pPr>
      <w:rPr>
        <w:rFonts w:ascii="Symbol" w:hAnsi="Symbol" w:hint="default"/>
      </w:rPr>
    </w:lvl>
    <w:lvl w:ilvl="1" w:tplc="189EB53C">
      <w:numFmt w:val="decimal"/>
      <w:lvlText w:val=""/>
      <w:lvlJc w:val="left"/>
    </w:lvl>
    <w:lvl w:ilvl="2" w:tplc="61FEB1CC">
      <w:numFmt w:val="decimal"/>
      <w:lvlText w:val=""/>
      <w:lvlJc w:val="left"/>
    </w:lvl>
    <w:lvl w:ilvl="3" w:tplc="504613B2">
      <w:numFmt w:val="decimal"/>
      <w:lvlText w:val=""/>
      <w:lvlJc w:val="left"/>
    </w:lvl>
    <w:lvl w:ilvl="4" w:tplc="1928843C">
      <w:numFmt w:val="decimal"/>
      <w:lvlText w:val=""/>
      <w:lvlJc w:val="left"/>
    </w:lvl>
    <w:lvl w:ilvl="5" w:tplc="86445BB2">
      <w:numFmt w:val="decimal"/>
      <w:lvlText w:val=""/>
      <w:lvlJc w:val="left"/>
    </w:lvl>
    <w:lvl w:ilvl="6" w:tplc="3C3A09F6">
      <w:numFmt w:val="decimal"/>
      <w:lvlText w:val=""/>
      <w:lvlJc w:val="left"/>
    </w:lvl>
    <w:lvl w:ilvl="7" w:tplc="67BE5870">
      <w:numFmt w:val="decimal"/>
      <w:lvlText w:val=""/>
      <w:lvlJc w:val="left"/>
    </w:lvl>
    <w:lvl w:ilvl="8" w:tplc="27E83FCA">
      <w:numFmt w:val="decimal"/>
      <w:lvlText w:val=""/>
      <w:lvlJc w:val="left"/>
    </w:lvl>
  </w:abstractNum>
  <w:abstractNum w:abstractNumId="1095" w15:restartNumberingAfterBreak="0">
    <w:nsid w:val="74274630"/>
    <w:multiLevelType w:val="hybridMultilevel"/>
    <w:tmpl w:val="A1AE2F08"/>
    <w:lvl w:ilvl="0" w:tplc="D14E261E">
      <w:start w:val="1"/>
      <w:numFmt w:val="bullet"/>
      <w:lvlText w:val=""/>
      <w:lvlJc w:val="left"/>
      <w:pPr>
        <w:ind w:left="720" w:hanging="360"/>
      </w:pPr>
      <w:rPr>
        <w:rFonts w:ascii="Symbol" w:hAnsi="Symbol" w:hint="default"/>
      </w:rPr>
    </w:lvl>
    <w:lvl w:ilvl="1" w:tplc="D650369C">
      <w:numFmt w:val="decimal"/>
      <w:lvlText w:val=""/>
      <w:lvlJc w:val="left"/>
    </w:lvl>
    <w:lvl w:ilvl="2" w:tplc="5DF0180C">
      <w:numFmt w:val="decimal"/>
      <w:lvlText w:val=""/>
      <w:lvlJc w:val="left"/>
    </w:lvl>
    <w:lvl w:ilvl="3" w:tplc="E744AE2E">
      <w:numFmt w:val="decimal"/>
      <w:lvlText w:val=""/>
      <w:lvlJc w:val="left"/>
    </w:lvl>
    <w:lvl w:ilvl="4" w:tplc="86A4A658">
      <w:numFmt w:val="decimal"/>
      <w:lvlText w:val=""/>
      <w:lvlJc w:val="left"/>
    </w:lvl>
    <w:lvl w:ilvl="5" w:tplc="FD5A1FB0">
      <w:numFmt w:val="decimal"/>
      <w:lvlText w:val=""/>
      <w:lvlJc w:val="left"/>
    </w:lvl>
    <w:lvl w:ilvl="6" w:tplc="2A58C734">
      <w:numFmt w:val="decimal"/>
      <w:lvlText w:val=""/>
      <w:lvlJc w:val="left"/>
    </w:lvl>
    <w:lvl w:ilvl="7" w:tplc="BD760840">
      <w:numFmt w:val="decimal"/>
      <w:lvlText w:val=""/>
      <w:lvlJc w:val="left"/>
    </w:lvl>
    <w:lvl w:ilvl="8" w:tplc="C8FE4F98">
      <w:numFmt w:val="decimal"/>
      <w:lvlText w:val=""/>
      <w:lvlJc w:val="left"/>
    </w:lvl>
  </w:abstractNum>
  <w:abstractNum w:abstractNumId="1096" w15:restartNumberingAfterBreak="0">
    <w:nsid w:val="742C0DDB"/>
    <w:multiLevelType w:val="hybridMultilevel"/>
    <w:tmpl w:val="664275B4"/>
    <w:lvl w:ilvl="0" w:tplc="E5F2FB3E">
      <w:start w:val="1"/>
      <w:numFmt w:val="bullet"/>
      <w:lvlText w:val=""/>
      <w:lvlJc w:val="left"/>
      <w:pPr>
        <w:ind w:left="720" w:hanging="360"/>
      </w:pPr>
      <w:rPr>
        <w:rFonts w:ascii="Symbol" w:hAnsi="Symbol" w:hint="default"/>
      </w:rPr>
    </w:lvl>
    <w:lvl w:ilvl="1" w:tplc="3990D6C8">
      <w:numFmt w:val="decimal"/>
      <w:lvlText w:val=""/>
      <w:lvlJc w:val="left"/>
    </w:lvl>
    <w:lvl w:ilvl="2" w:tplc="5DDE7E42">
      <w:numFmt w:val="decimal"/>
      <w:lvlText w:val=""/>
      <w:lvlJc w:val="left"/>
    </w:lvl>
    <w:lvl w:ilvl="3" w:tplc="503C991E">
      <w:numFmt w:val="decimal"/>
      <w:lvlText w:val=""/>
      <w:lvlJc w:val="left"/>
    </w:lvl>
    <w:lvl w:ilvl="4" w:tplc="91803F70">
      <w:numFmt w:val="decimal"/>
      <w:lvlText w:val=""/>
      <w:lvlJc w:val="left"/>
    </w:lvl>
    <w:lvl w:ilvl="5" w:tplc="1378453E">
      <w:numFmt w:val="decimal"/>
      <w:lvlText w:val=""/>
      <w:lvlJc w:val="left"/>
    </w:lvl>
    <w:lvl w:ilvl="6" w:tplc="E86C0FEA">
      <w:numFmt w:val="decimal"/>
      <w:lvlText w:val=""/>
      <w:lvlJc w:val="left"/>
    </w:lvl>
    <w:lvl w:ilvl="7" w:tplc="DD92BCB2">
      <w:numFmt w:val="decimal"/>
      <w:lvlText w:val=""/>
      <w:lvlJc w:val="left"/>
    </w:lvl>
    <w:lvl w:ilvl="8" w:tplc="67627E98">
      <w:numFmt w:val="decimal"/>
      <w:lvlText w:val=""/>
      <w:lvlJc w:val="left"/>
    </w:lvl>
  </w:abstractNum>
  <w:abstractNum w:abstractNumId="1097" w15:restartNumberingAfterBreak="0">
    <w:nsid w:val="745829F5"/>
    <w:multiLevelType w:val="hybridMultilevel"/>
    <w:tmpl w:val="A1522E46"/>
    <w:lvl w:ilvl="0" w:tplc="BE1EF9CC">
      <w:start w:val="1"/>
      <w:numFmt w:val="bullet"/>
      <w:lvlText w:val=""/>
      <w:lvlJc w:val="left"/>
      <w:pPr>
        <w:ind w:left="720" w:hanging="360"/>
      </w:pPr>
      <w:rPr>
        <w:rFonts w:ascii="Symbol" w:hAnsi="Symbol" w:hint="default"/>
      </w:rPr>
    </w:lvl>
    <w:lvl w:ilvl="1" w:tplc="9182AE32">
      <w:numFmt w:val="decimal"/>
      <w:lvlText w:val=""/>
      <w:lvlJc w:val="left"/>
    </w:lvl>
    <w:lvl w:ilvl="2" w:tplc="5010F688">
      <w:numFmt w:val="decimal"/>
      <w:lvlText w:val=""/>
      <w:lvlJc w:val="left"/>
    </w:lvl>
    <w:lvl w:ilvl="3" w:tplc="5C54643C">
      <w:numFmt w:val="decimal"/>
      <w:lvlText w:val=""/>
      <w:lvlJc w:val="left"/>
    </w:lvl>
    <w:lvl w:ilvl="4" w:tplc="BC3CDC3A">
      <w:numFmt w:val="decimal"/>
      <w:lvlText w:val=""/>
      <w:lvlJc w:val="left"/>
    </w:lvl>
    <w:lvl w:ilvl="5" w:tplc="56FC6486">
      <w:numFmt w:val="decimal"/>
      <w:lvlText w:val=""/>
      <w:lvlJc w:val="left"/>
    </w:lvl>
    <w:lvl w:ilvl="6" w:tplc="EA5EB19E">
      <w:numFmt w:val="decimal"/>
      <w:lvlText w:val=""/>
      <w:lvlJc w:val="left"/>
    </w:lvl>
    <w:lvl w:ilvl="7" w:tplc="A3661D42">
      <w:numFmt w:val="decimal"/>
      <w:lvlText w:val=""/>
      <w:lvlJc w:val="left"/>
    </w:lvl>
    <w:lvl w:ilvl="8" w:tplc="E2C6765E">
      <w:numFmt w:val="decimal"/>
      <w:lvlText w:val=""/>
      <w:lvlJc w:val="left"/>
    </w:lvl>
  </w:abstractNum>
  <w:abstractNum w:abstractNumId="1098" w15:restartNumberingAfterBreak="0">
    <w:nsid w:val="747172E0"/>
    <w:multiLevelType w:val="hybridMultilevel"/>
    <w:tmpl w:val="A18C29D0"/>
    <w:lvl w:ilvl="0" w:tplc="7760125E">
      <w:start w:val="1"/>
      <w:numFmt w:val="bullet"/>
      <w:lvlText w:val=""/>
      <w:lvlJc w:val="left"/>
      <w:pPr>
        <w:ind w:left="720" w:hanging="360"/>
      </w:pPr>
      <w:rPr>
        <w:rFonts w:ascii="Symbol" w:hAnsi="Symbol" w:hint="default"/>
      </w:rPr>
    </w:lvl>
    <w:lvl w:ilvl="1" w:tplc="100E59CA">
      <w:numFmt w:val="decimal"/>
      <w:lvlText w:val=""/>
      <w:lvlJc w:val="left"/>
    </w:lvl>
    <w:lvl w:ilvl="2" w:tplc="F928F6E2">
      <w:numFmt w:val="decimal"/>
      <w:lvlText w:val=""/>
      <w:lvlJc w:val="left"/>
    </w:lvl>
    <w:lvl w:ilvl="3" w:tplc="BC7EB470">
      <w:numFmt w:val="decimal"/>
      <w:lvlText w:val=""/>
      <w:lvlJc w:val="left"/>
    </w:lvl>
    <w:lvl w:ilvl="4" w:tplc="DA9058D6">
      <w:numFmt w:val="decimal"/>
      <w:lvlText w:val=""/>
      <w:lvlJc w:val="left"/>
    </w:lvl>
    <w:lvl w:ilvl="5" w:tplc="7396E4DE">
      <w:numFmt w:val="decimal"/>
      <w:lvlText w:val=""/>
      <w:lvlJc w:val="left"/>
    </w:lvl>
    <w:lvl w:ilvl="6" w:tplc="DF8EF284">
      <w:numFmt w:val="decimal"/>
      <w:lvlText w:val=""/>
      <w:lvlJc w:val="left"/>
    </w:lvl>
    <w:lvl w:ilvl="7" w:tplc="598A6414">
      <w:numFmt w:val="decimal"/>
      <w:lvlText w:val=""/>
      <w:lvlJc w:val="left"/>
    </w:lvl>
    <w:lvl w:ilvl="8" w:tplc="B6BAA586">
      <w:numFmt w:val="decimal"/>
      <w:lvlText w:val=""/>
      <w:lvlJc w:val="left"/>
    </w:lvl>
  </w:abstractNum>
  <w:abstractNum w:abstractNumId="1099" w15:restartNumberingAfterBreak="0">
    <w:nsid w:val="747A4F5A"/>
    <w:multiLevelType w:val="hybridMultilevel"/>
    <w:tmpl w:val="F634DD58"/>
    <w:lvl w:ilvl="0" w:tplc="2F869D30">
      <w:start w:val="1"/>
      <w:numFmt w:val="bullet"/>
      <w:lvlText w:val=""/>
      <w:lvlJc w:val="left"/>
      <w:pPr>
        <w:ind w:left="720" w:hanging="360"/>
      </w:pPr>
      <w:rPr>
        <w:rFonts w:ascii="Symbol" w:hAnsi="Symbol" w:hint="default"/>
      </w:rPr>
    </w:lvl>
    <w:lvl w:ilvl="1" w:tplc="B36A66FC">
      <w:numFmt w:val="decimal"/>
      <w:lvlText w:val=""/>
      <w:lvlJc w:val="left"/>
    </w:lvl>
    <w:lvl w:ilvl="2" w:tplc="5CFA5278">
      <w:numFmt w:val="decimal"/>
      <w:lvlText w:val=""/>
      <w:lvlJc w:val="left"/>
    </w:lvl>
    <w:lvl w:ilvl="3" w:tplc="18445B4E">
      <w:numFmt w:val="decimal"/>
      <w:lvlText w:val=""/>
      <w:lvlJc w:val="left"/>
    </w:lvl>
    <w:lvl w:ilvl="4" w:tplc="150AA6D6">
      <w:numFmt w:val="decimal"/>
      <w:lvlText w:val=""/>
      <w:lvlJc w:val="left"/>
    </w:lvl>
    <w:lvl w:ilvl="5" w:tplc="E53A7400">
      <w:numFmt w:val="decimal"/>
      <w:lvlText w:val=""/>
      <w:lvlJc w:val="left"/>
    </w:lvl>
    <w:lvl w:ilvl="6" w:tplc="C0680F46">
      <w:numFmt w:val="decimal"/>
      <w:lvlText w:val=""/>
      <w:lvlJc w:val="left"/>
    </w:lvl>
    <w:lvl w:ilvl="7" w:tplc="73201392">
      <w:numFmt w:val="decimal"/>
      <w:lvlText w:val=""/>
      <w:lvlJc w:val="left"/>
    </w:lvl>
    <w:lvl w:ilvl="8" w:tplc="12F0EFA8">
      <w:numFmt w:val="decimal"/>
      <w:lvlText w:val=""/>
      <w:lvlJc w:val="left"/>
    </w:lvl>
  </w:abstractNum>
  <w:abstractNum w:abstractNumId="1100" w15:restartNumberingAfterBreak="0">
    <w:nsid w:val="747F0909"/>
    <w:multiLevelType w:val="hybridMultilevel"/>
    <w:tmpl w:val="9D009032"/>
    <w:lvl w:ilvl="0" w:tplc="72E2C4A0">
      <w:start w:val="1"/>
      <w:numFmt w:val="bullet"/>
      <w:lvlText w:val=""/>
      <w:lvlJc w:val="left"/>
      <w:pPr>
        <w:ind w:left="720" w:hanging="360"/>
      </w:pPr>
      <w:rPr>
        <w:rFonts w:ascii="Symbol" w:hAnsi="Symbol" w:hint="default"/>
      </w:rPr>
    </w:lvl>
    <w:lvl w:ilvl="1" w:tplc="D076E2C2">
      <w:numFmt w:val="decimal"/>
      <w:lvlText w:val=""/>
      <w:lvlJc w:val="left"/>
    </w:lvl>
    <w:lvl w:ilvl="2" w:tplc="E54AE83E">
      <w:numFmt w:val="decimal"/>
      <w:lvlText w:val=""/>
      <w:lvlJc w:val="left"/>
    </w:lvl>
    <w:lvl w:ilvl="3" w:tplc="562C5268">
      <w:numFmt w:val="decimal"/>
      <w:lvlText w:val=""/>
      <w:lvlJc w:val="left"/>
    </w:lvl>
    <w:lvl w:ilvl="4" w:tplc="CB6EE22A">
      <w:numFmt w:val="decimal"/>
      <w:lvlText w:val=""/>
      <w:lvlJc w:val="left"/>
    </w:lvl>
    <w:lvl w:ilvl="5" w:tplc="0C429014">
      <w:numFmt w:val="decimal"/>
      <w:lvlText w:val=""/>
      <w:lvlJc w:val="left"/>
    </w:lvl>
    <w:lvl w:ilvl="6" w:tplc="C25E1CCC">
      <w:numFmt w:val="decimal"/>
      <w:lvlText w:val=""/>
      <w:lvlJc w:val="left"/>
    </w:lvl>
    <w:lvl w:ilvl="7" w:tplc="2B6894B2">
      <w:numFmt w:val="decimal"/>
      <w:lvlText w:val=""/>
      <w:lvlJc w:val="left"/>
    </w:lvl>
    <w:lvl w:ilvl="8" w:tplc="EB104B6C">
      <w:numFmt w:val="decimal"/>
      <w:lvlText w:val=""/>
      <w:lvlJc w:val="left"/>
    </w:lvl>
  </w:abstractNum>
  <w:abstractNum w:abstractNumId="1101" w15:restartNumberingAfterBreak="0">
    <w:nsid w:val="74A937F4"/>
    <w:multiLevelType w:val="hybridMultilevel"/>
    <w:tmpl w:val="7D8CF204"/>
    <w:lvl w:ilvl="0" w:tplc="22B85706">
      <w:start w:val="1"/>
      <w:numFmt w:val="bullet"/>
      <w:lvlText w:val=""/>
      <w:lvlJc w:val="left"/>
      <w:pPr>
        <w:ind w:left="720" w:hanging="360"/>
      </w:pPr>
      <w:rPr>
        <w:rFonts w:ascii="Symbol" w:hAnsi="Symbol" w:hint="default"/>
      </w:rPr>
    </w:lvl>
    <w:lvl w:ilvl="1" w:tplc="0942AE64">
      <w:numFmt w:val="decimal"/>
      <w:lvlText w:val=""/>
      <w:lvlJc w:val="left"/>
    </w:lvl>
    <w:lvl w:ilvl="2" w:tplc="CED2F7D8">
      <w:numFmt w:val="decimal"/>
      <w:lvlText w:val=""/>
      <w:lvlJc w:val="left"/>
    </w:lvl>
    <w:lvl w:ilvl="3" w:tplc="AF2810CE">
      <w:numFmt w:val="decimal"/>
      <w:lvlText w:val=""/>
      <w:lvlJc w:val="left"/>
    </w:lvl>
    <w:lvl w:ilvl="4" w:tplc="FB1C05E4">
      <w:numFmt w:val="decimal"/>
      <w:lvlText w:val=""/>
      <w:lvlJc w:val="left"/>
    </w:lvl>
    <w:lvl w:ilvl="5" w:tplc="4EAEBA0E">
      <w:numFmt w:val="decimal"/>
      <w:lvlText w:val=""/>
      <w:lvlJc w:val="left"/>
    </w:lvl>
    <w:lvl w:ilvl="6" w:tplc="5BD0A938">
      <w:numFmt w:val="decimal"/>
      <w:lvlText w:val=""/>
      <w:lvlJc w:val="left"/>
    </w:lvl>
    <w:lvl w:ilvl="7" w:tplc="38741E4C">
      <w:numFmt w:val="decimal"/>
      <w:lvlText w:val=""/>
      <w:lvlJc w:val="left"/>
    </w:lvl>
    <w:lvl w:ilvl="8" w:tplc="9BA204E6">
      <w:numFmt w:val="decimal"/>
      <w:lvlText w:val=""/>
      <w:lvlJc w:val="left"/>
    </w:lvl>
  </w:abstractNum>
  <w:abstractNum w:abstractNumId="1102" w15:restartNumberingAfterBreak="0">
    <w:nsid w:val="74DB411E"/>
    <w:multiLevelType w:val="hybridMultilevel"/>
    <w:tmpl w:val="D31EA30E"/>
    <w:lvl w:ilvl="0" w:tplc="FAB8F626">
      <w:start w:val="1"/>
      <w:numFmt w:val="bullet"/>
      <w:lvlText w:val=""/>
      <w:lvlJc w:val="left"/>
      <w:pPr>
        <w:ind w:left="720" w:hanging="360"/>
      </w:pPr>
      <w:rPr>
        <w:rFonts w:ascii="Symbol" w:hAnsi="Symbol" w:hint="default"/>
      </w:rPr>
    </w:lvl>
    <w:lvl w:ilvl="1" w:tplc="D4FAFDA2">
      <w:numFmt w:val="decimal"/>
      <w:lvlText w:val=""/>
      <w:lvlJc w:val="left"/>
    </w:lvl>
    <w:lvl w:ilvl="2" w:tplc="EB107364">
      <w:numFmt w:val="decimal"/>
      <w:lvlText w:val=""/>
      <w:lvlJc w:val="left"/>
    </w:lvl>
    <w:lvl w:ilvl="3" w:tplc="2154D47E">
      <w:numFmt w:val="decimal"/>
      <w:lvlText w:val=""/>
      <w:lvlJc w:val="left"/>
    </w:lvl>
    <w:lvl w:ilvl="4" w:tplc="78B41920">
      <w:numFmt w:val="decimal"/>
      <w:lvlText w:val=""/>
      <w:lvlJc w:val="left"/>
    </w:lvl>
    <w:lvl w:ilvl="5" w:tplc="5044D81A">
      <w:numFmt w:val="decimal"/>
      <w:lvlText w:val=""/>
      <w:lvlJc w:val="left"/>
    </w:lvl>
    <w:lvl w:ilvl="6" w:tplc="0436CDD0">
      <w:numFmt w:val="decimal"/>
      <w:lvlText w:val=""/>
      <w:lvlJc w:val="left"/>
    </w:lvl>
    <w:lvl w:ilvl="7" w:tplc="4EB4A514">
      <w:numFmt w:val="decimal"/>
      <w:lvlText w:val=""/>
      <w:lvlJc w:val="left"/>
    </w:lvl>
    <w:lvl w:ilvl="8" w:tplc="58E6EADA">
      <w:numFmt w:val="decimal"/>
      <w:lvlText w:val=""/>
      <w:lvlJc w:val="left"/>
    </w:lvl>
  </w:abstractNum>
  <w:abstractNum w:abstractNumId="1103" w15:restartNumberingAfterBreak="0">
    <w:nsid w:val="752B4591"/>
    <w:multiLevelType w:val="hybridMultilevel"/>
    <w:tmpl w:val="29145696"/>
    <w:lvl w:ilvl="0" w:tplc="2AD23648">
      <w:start w:val="1"/>
      <w:numFmt w:val="bullet"/>
      <w:lvlText w:val=""/>
      <w:lvlJc w:val="left"/>
      <w:pPr>
        <w:ind w:left="720" w:hanging="360"/>
      </w:pPr>
      <w:rPr>
        <w:rFonts w:ascii="Symbol" w:hAnsi="Symbol" w:hint="default"/>
      </w:rPr>
    </w:lvl>
    <w:lvl w:ilvl="1" w:tplc="F21486CA">
      <w:numFmt w:val="decimal"/>
      <w:lvlText w:val=""/>
      <w:lvlJc w:val="left"/>
    </w:lvl>
    <w:lvl w:ilvl="2" w:tplc="562C5958">
      <w:numFmt w:val="decimal"/>
      <w:lvlText w:val=""/>
      <w:lvlJc w:val="left"/>
    </w:lvl>
    <w:lvl w:ilvl="3" w:tplc="15B8A9B0">
      <w:numFmt w:val="decimal"/>
      <w:lvlText w:val=""/>
      <w:lvlJc w:val="left"/>
    </w:lvl>
    <w:lvl w:ilvl="4" w:tplc="578026E2">
      <w:numFmt w:val="decimal"/>
      <w:lvlText w:val=""/>
      <w:lvlJc w:val="left"/>
    </w:lvl>
    <w:lvl w:ilvl="5" w:tplc="34A4DA16">
      <w:numFmt w:val="decimal"/>
      <w:lvlText w:val=""/>
      <w:lvlJc w:val="left"/>
    </w:lvl>
    <w:lvl w:ilvl="6" w:tplc="0D2E1AE2">
      <w:numFmt w:val="decimal"/>
      <w:lvlText w:val=""/>
      <w:lvlJc w:val="left"/>
    </w:lvl>
    <w:lvl w:ilvl="7" w:tplc="ABC6452C">
      <w:numFmt w:val="decimal"/>
      <w:lvlText w:val=""/>
      <w:lvlJc w:val="left"/>
    </w:lvl>
    <w:lvl w:ilvl="8" w:tplc="23A24282">
      <w:numFmt w:val="decimal"/>
      <w:lvlText w:val=""/>
      <w:lvlJc w:val="left"/>
    </w:lvl>
  </w:abstractNum>
  <w:abstractNum w:abstractNumId="1104" w15:restartNumberingAfterBreak="0">
    <w:nsid w:val="755505CA"/>
    <w:multiLevelType w:val="hybridMultilevel"/>
    <w:tmpl w:val="9BA23F7A"/>
    <w:lvl w:ilvl="0" w:tplc="A8EC0260">
      <w:start w:val="1"/>
      <w:numFmt w:val="bullet"/>
      <w:lvlText w:val=""/>
      <w:lvlJc w:val="left"/>
      <w:pPr>
        <w:ind w:left="720" w:hanging="360"/>
      </w:pPr>
      <w:rPr>
        <w:rFonts w:ascii="Symbol" w:hAnsi="Symbol" w:hint="default"/>
      </w:rPr>
    </w:lvl>
    <w:lvl w:ilvl="1" w:tplc="8C4829C2">
      <w:numFmt w:val="decimal"/>
      <w:lvlText w:val=""/>
      <w:lvlJc w:val="left"/>
    </w:lvl>
    <w:lvl w:ilvl="2" w:tplc="3C724398">
      <w:numFmt w:val="decimal"/>
      <w:lvlText w:val=""/>
      <w:lvlJc w:val="left"/>
    </w:lvl>
    <w:lvl w:ilvl="3" w:tplc="AEA0A0F8">
      <w:numFmt w:val="decimal"/>
      <w:lvlText w:val=""/>
      <w:lvlJc w:val="left"/>
    </w:lvl>
    <w:lvl w:ilvl="4" w:tplc="EA8EEFCC">
      <w:numFmt w:val="decimal"/>
      <w:lvlText w:val=""/>
      <w:lvlJc w:val="left"/>
    </w:lvl>
    <w:lvl w:ilvl="5" w:tplc="E91ED308">
      <w:numFmt w:val="decimal"/>
      <w:lvlText w:val=""/>
      <w:lvlJc w:val="left"/>
    </w:lvl>
    <w:lvl w:ilvl="6" w:tplc="843EA4DE">
      <w:numFmt w:val="decimal"/>
      <w:lvlText w:val=""/>
      <w:lvlJc w:val="left"/>
    </w:lvl>
    <w:lvl w:ilvl="7" w:tplc="7BA02D4A">
      <w:numFmt w:val="decimal"/>
      <w:lvlText w:val=""/>
      <w:lvlJc w:val="left"/>
    </w:lvl>
    <w:lvl w:ilvl="8" w:tplc="C39841C2">
      <w:numFmt w:val="decimal"/>
      <w:lvlText w:val=""/>
      <w:lvlJc w:val="left"/>
    </w:lvl>
  </w:abstractNum>
  <w:abstractNum w:abstractNumId="1105" w15:restartNumberingAfterBreak="0">
    <w:nsid w:val="7567444C"/>
    <w:multiLevelType w:val="hybridMultilevel"/>
    <w:tmpl w:val="9FEC9B16"/>
    <w:lvl w:ilvl="0" w:tplc="151C4F4A">
      <w:start w:val="1"/>
      <w:numFmt w:val="bullet"/>
      <w:lvlText w:val=""/>
      <w:lvlJc w:val="left"/>
      <w:pPr>
        <w:ind w:left="720" w:hanging="360"/>
      </w:pPr>
      <w:rPr>
        <w:rFonts w:ascii="Symbol" w:hAnsi="Symbol" w:hint="default"/>
      </w:rPr>
    </w:lvl>
    <w:lvl w:ilvl="1" w:tplc="3B40788A">
      <w:numFmt w:val="decimal"/>
      <w:lvlText w:val=""/>
      <w:lvlJc w:val="left"/>
    </w:lvl>
    <w:lvl w:ilvl="2" w:tplc="BE14BCEA">
      <w:numFmt w:val="decimal"/>
      <w:lvlText w:val=""/>
      <w:lvlJc w:val="left"/>
    </w:lvl>
    <w:lvl w:ilvl="3" w:tplc="CD6AEF56">
      <w:numFmt w:val="decimal"/>
      <w:lvlText w:val=""/>
      <w:lvlJc w:val="left"/>
    </w:lvl>
    <w:lvl w:ilvl="4" w:tplc="7E34FBFC">
      <w:numFmt w:val="decimal"/>
      <w:lvlText w:val=""/>
      <w:lvlJc w:val="left"/>
    </w:lvl>
    <w:lvl w:ilvl="5" w:tplc="8F54EFB2">
      <w:numFmt w:val="decimal"/>
      <w:lvlText w:val=""/>
      <w:lvlJc w:val="left"/>
    </w:lvl>
    <w:lvl w:ilvl="6" w:tplc="0DFA8106">
      <w:numFmt w:val="decimal"/>
      <w:lvlText w:val=""/>
      <w:lvlJc w:val="left"/>
    </w:lvl>
    <w:lvl w:ilvl="7" w:tplc="3F86585A">
      <w:numFmt w:val="decimal"/>
      <w:lvlText w:val=""/>
      <w:lvlJc w:val="left"/>
    </w:lvl>
    <w:lvl w:ilvl="8" w:tplc="EC7CCF00">
      <w:numFmt w:val="decimal"/>
      <w:lvlText w:val=""/>
      <w:lvlJc w:val="left"/>
    </w:lvl>
  </w:abstractNum>
  <w:abstractNum w:abstractNumId="1106" w15:restartNumberingAfterBreak="0">
    <w:nsid w:val="757A09CC"/>
    <w:multiLevelType w:val="hybridMultilevel"/>
    <w:tmpl w:val="EF7C2292"/>
    <w:lvl w:ilvl="0" w:tplc="7F741EA6">
      <w:start w:val="1"/>
      <w:numFmt w:val="bullet"/>
      <w:lvlText w:val=""/>
      <w:lvlJc w:val="left"/>
      <w:pPr>
        <w:ind w:left="720" w:hanging="360"/>
      </w:pPr>
      <w:rPr>
        <w:rFonts w:ascii="Symbol" w:hAnsi="Symbol" w:hint="default"/>
      </w:rPr>
    </w:lvl>
    <w:lvl w:ilvl="1" w:tplc="3DDC8CCC">
      <w:numFmt w:val="decimal"/>
      <w:lvlText w:val=""/>
      <w:lvlJc w:val="left"/>
    </w:lvl>
    <w:lvl w:ilvl="2" w:tplc="05363432">
      <w:numFmt w:val="decimal"/>
      <w:lvlText w:val=""/>
      <w:lvlJc w:val="left"/>
    </w:lvl>
    <w:lvl w:ilvl="3" w:tplc="F2288E38">
      <w:numFmt w:val="decimal"/>
      <w:lvlText w:val=""/>
      <w:lvlJc w:val="left"/>
    </w:lvl>
    <w:lvl w:ilvl="4" w:tplc="6192A9D2">
      <w:numFmt w:val="decimal"/>
      <w:lvlText w:val=""/>
      <w:lvlJc w:val="left"/>
    </w:lvl>
    <w:lvl w:ilvl="5" w:tplc="69D6AA68">
      <w:numFmt w:val="decimal"/>
      <w:lvlText w:val=""/>
      <w:lvlJc w:val="left"/>
    </w:lvl>
    <w:lvl w:ilvl="6" w:tplc="F4A86D60">
      <w:numFmt w:val="decimal"/>
      <w:lvlText w:val=""/>
      <w:lvlJc w:val="left"/>
    </w:lvl>
    <w:lvl w:ilvl="7" w:tplc="72C2E6C6">
      <w:numFmt w:val="decimal"/>
      <w:lvlText w:val=""/>
      <w:lvlJc w:val="left"/>
    </w:lvl>
    <w:lvl w:ilvl="8" w:tplc="BBA09EC4">
      <w:numFmt w:val="decimal"/>
      <w:lvlText w:val=""/>
      <w:lvlJc w:val="left"/>
    </w:lvl>
  </w:abstractNum>
  <w:abstractNum w:abstractNumId="1107" w15:restartNumberingAfterBreak="0">
    <w:nsid w:val="75964FC4"/>
    <w:multiLevelType w:val="hybridMultilevel"/>
    <w:tmpl w:val="A7D2C450"/>
    <w:lvl w:ilvl="0" w:tplc="C7A82884">
      <w:start w:val="1"/>
      <w:numFmt w:val="bullet"/>
      <w:lvlText w:val=""/>
      <w:lvlJc w:val="left"/>
      <w:pPr>
        <w:ind w:left="720" w:hanging="360"/>
      </w:pPr>
      <w:rPr>
        <w:rFonts w:ascii="Symbol" w:hAnsi="Symbol" w:hint="default"/>
      </w:rPr>
    </w:lvl>
    <w:lvl w:ilvl="1" w:tplc="A04294BC">
      <w:numFmt w:val="decimal"/>
      <w:lvlText w:val=""/>
      <w:lvlJc w:val="left"/>
    </w:lvl>
    <w:lvl w:ilvl="2" w:tplc="534AAFB0">
      <w:numFmt w:val="decimal"/>
      <w:lvlText w:val=""/>
      <w:lvlJc w:val="left"/>
    </w:lvl>
    <w:lvl w:ilvl="3" w:tplc="98522576">
      <w:numFmt w:val="decimal"/>
      <w:lvlText w:val=""/>
      <w:lvlJc w:val="left"/>
    </w:lvl>
    <w:lvl w:ilvl="4" w:tplc="81C00C26">
      <w:numFmt w:val="decimal"/>
      <w:lvlText w:val=""/>
      <w:lvlJc w:val="left"/>
    </w:lvl>
    <w:lvl w:ilvl="5" w:tplc="55A2BA4C">
      <w:numFmt w:val="decimal"/>
      <w:lvlText w:val=""/>
      <w:lvlJc w:val="left"/>
    </w:lvl>
    <w:lvl w:ilvl="6" w:tplc="8BC452A0">
      <w:numFmt w:val="decimal"/>
      <w:lvlText w:val=""/>
      <w:lvlJc w:val="left"/>
    </w:lvl>
    <w:lvl w:ilvl="7" w:tplc="3B5202C0">
      <w:numFmt w:val="decimal"/>
      <w:lvlText w:val=""/>
      <w:lvlJc w:val="left"/>
    </w:lvl>
    <w:lvl w:ilvl="8" w:tplc="E97CC43E">
      <w:numFmt w:val="decimal"/>
      <w:lvlText w:val=""/>
      <w:lvlJc w:val="left"/>
    </w:lvl>
  </w:abstractNum>
  <w:abstractNum w:abstractNumId="1108" w15:restartNumberingAfterBreak="0">
    <w:nsid w:val="759E73A7"/>
    <w:multiLevelType w:val="hybridMultilevel"/>
    <w:tmpl w:val="39DE71C4"/>
    <w:lvl w:ilvl="0" w:tplc="C88E8CA2">
      <w:start w:val="1"/>
      <w:numFmt w:val="bullet"/>
      <w:lvlText w:val=""/>
      <w:lvlJc w:val="left"/>
      <w:pPr>
        <w:ind w:left="720" w:hanging="360"/>
      </w:pPr>
      <w:rPr>
        <w:rFonts w:ascii="Symbol" w:hAnsi="Symbol" w:hint="default"/>
      </w:rPr>
    </w:lvl>
    <w:lvl w:ilvl="1" w:tplc="8E92F746">
      <w:numFmt w:val="decimal"/>
      <w:lvlText w:val=""/>
      <w:lvlJc w:val="left"/>
    </w:lvl>
    <w:lvl w:ilvl="2" w:tplc="C02C0582">
      <w:numFmt w:val="decimal"/>
      <w:lvlText w:val=""/>
      <w:lvlJc w:val="left"/>
    </w:lvl>
    <w:lvl w:ilvl="3" w:tplc="B4361F22">
      <w:numFmt w:val="decimal"/>
      <w:lvlText w:val=""/>
      <w:lvlJc w:val="left"/>
    </w:lvl>
    <w:lvl w:ilvl="4" w:tplc="CE8C54BE">
      <w:numFmt w:val="decimal"/>
      <w:lvlText w:val=""/>
      <w:lvlJc w:val="left"/>
    </w:lvl>
    <w:lvl w:ilvl="5" w:tplc="85F45A1E">
      <w:numFmt w:val="decimal"/>
      <w:lvlText w:val=""/>
      <w:lvlJc w:val="left"/>
    </w:lvl>
    <w:lvl w:ilvl="6" w:tplc="832EEF00">
      <w:numFmt w:val="decimal"/>
      <w:lvlText w:val=""/>
      <w:lvlJc w:val="left"/>
    </w:lvl>
    <w:lvl w:ilvl="7" w:tplc="81A4CF68">
      <w:numFmt w:val="decimal"/>
      <w:lvlText w:val=""/>
      <w:lvlJc w:val="left"/>
    </w:lvl>
    <w:lvl w:ilvl="8" w:tplc="509A7992">
      <w:numFmt w:val="decimal"/>
      <w:lvlText w:val=""/>
      <w:lvlJc w:val="left"/>
    </w:lvl>
  </w:abstractNum>
  <w:abstractNum w:abstractNumId="1109" w15:restartNumberingAfterBreak="0">
    <w:nsid w:val="75E17C76"/>
    <w:multiLevelType w:val="hybridMultilevel"/>
    <w:tmpl w:val="32BA77B2"/>
    <w:lvl w:ilvl="0" w:tplc="6FAC953C">
      <w:start w:val="1"/>
      <w:numFmt w:val="bullet"/>
      <w:lvlText w:val=""/>
      <w:lvlJc w:val="left"/>
      <w:pPr>
        <w:ind w:left="720" w:hanging="360"/>
      </w:pPr>
      <w:rPr>
        <w:rFonts w:ascii="Symbol" w:hAnsi="Symbol" w:hint="default"/>
      </w:rPr>
    </w:lvl>
    <w:lvl w:ilvl="1" w:tplc="81DC72D4">
      <w:numFmt w:val="decimal"/>
      <w:lvlText w:val=""/>
      <w:lvlJc w:val="left"/>
    </w:lvl>
    <w:lvl w:ilvl="2" w:tplc="A276F35E">
      <w:numFmt w:val="decimal"/>
      <w:lvlText w:val=""/>
      <w:lvlJc w:val="left"/>
    </w:lvl>
    <w:lvl w:ilvl="3" w:tplc="F6803F9C">
      <w:numFmt w:val="decimal"/>
      <w:lvlText w:val=""/>
      <w:lvlJc w:val="left"/>
    </w:lvl>
    <w:lvl w:ilvl="4" w:tplc="BD6A301C">
      <w:numFmt w:val="decimal"/>
      <w:lvlText w:val=""/>
      <w:lvlJc w:val="left"/>
    </w:lvl>
    <w:lvl w:ilvl="5" w:tplc="21E48C44">
      <w:numFmt w:val="decimal"/>
      <w:lvlText w:val=""/>
      <w:lvlJc w:val="left"/>
    </w:lvl>
    <w:lvl w:ilvl="6" w:tplc="7D9C627C">
      <w:numFmt w:val="decimal"/>
      <w:lvlText w:val=""/>
      <w:lvlJc w:val="left"/>
    </w:lvl>
    <w:lvl w:ilvl="7" w:tplc="A47A5494">
      <w:numFmt w:val="decimal"/>
      <w:lvlText w:val=""/>
      <w:lvlJc w:val="left"/>
    </w:lvl>
    <w:lvl w:ilvl="8" w:tplc="3140C90C">
      <w:numFmt w:val="decimal"/>
      <w:lvlText w:val=""/>
      <w:lvlJc w:val="left"/>
    </w:lvl>
  </w:abstractNum>
  <w:abstractNum w:abstractNumId="1110" w15:restartNumberingAfterBreak="0">
    <w:nsid w:val="76130F4C"/>
    <w:multiLevelType w:val="hybridMultilevel"/>
    <w:tmpl w:val="329CD7B6"/>
    <w:lvl w:ilvl="0" w:tplc="E1A86FFE">
      <w:start w:val="1"/>
      <w:numFmt w:val="bullet"/>
      <w:lvlText w:val=""/>
      <w:lvlJc w:val="left"/>
      <w:pPr>
        <w:ind w:left="720" w:hanging="360"/>
      </w:pPr>
      <w:rPr>
        <w:rFonts w:ascii="Symbol" w:hAnsi="Symbol" w:hint="default"/>
      </w:rPr>
    </w:lvl>
    <w:lvl w:ilvl="1" w:tplc="FBD005A0">
      <w:numFmt w:val="decimal"/>
      <w:lvlText w:val=""/>
      <w:lvlJc w:val="left"/>
    </w:lvl>
    <w:lvl w:ilvl="2" w:tplc="0FDCDD12">
      <w:numFmt w:val="decimal"/>
      <w:lvlText w:val=""/>
      <w:lvlJc w:val="left"/>
    </w:lvl>
    <w:lvl w:ilvl="3" w:tplc="7C44CAF0">
      <w:numFmt w:val="decimal"/>
      <w:lvlText w:val=""/>
      <w:lvlJc w:val="left"/>
    </w:lvl>
    <w:lvl w:ilvl="4" w:tplc="FDAE9FBC">
      <w:numFmt w:val="decimal"/>
      <w:lvlText w:val=""/>
      <w:lvlJc w:val="left"/>
    </w:lvl>
    <w:lvl w:ilvl="5" w:tplc="5C0E0F0E">
      <w:numFmt w:val="decimal"/>
      <w:lvlText w:val=""/>
      <w:lvlJc w:val="left"/>
    </w:lvl>
    <w:lvl w:ilvl="6" w:tplc="CEB0B0D8">
      <w:numFmt w:val="decimal"/>
      <w:lvlText w:val=""/>
      <w:lvlJc w:val="left"/>
    </w:lvl>
    <w:lvl w:ilvl="7" w:tplc="BBFEA0CC">
      <w:numFmt w:val="decimal"/>
      <w:lvlText w:val=""/>
      <w:lvlJc w:val="left"/>
    </w:lvl>
    <w:lvl w:ilvl="8" w:tplc="33D03D2A">
      <w:numFmt w:val="decimal"/>
      <w:lvlText w:val=""/>
      <w:lvlJc w:val="left"/>
    </w:lvl>
  </w:abstractNum>
  <w:abstractNum w:abstractNumId="1111" w15:restartNumberingAfterBreak="0">
    <w:nsid w:val="761C54B1"/>
    <w:multiLevelType w:val="hybridMultilevel"/>
    <w:tmpl w:val="A6323CD4"/>
    <w:lvl w:ilvl="0" w:tplc="FA123012">
      <w:start w:val="1"/>
      <w:numFmt w:val="bullet"/>
      <w:lvlText w:val=""/>
      <w:lvlJc w:val="left"/>
      <w:pPr>
        <w:ind w:left="720" w:hanging="360"/>
      </w:pPr>
      <w:rPr>
        <w:rFonts w:ascii="Symbol" w:hAnsi="Symbol" w:hint="default"/>
      </w:rPr>
    </w:lvl>
    <w:lvl w:ilvl="1" w:tplc="6E1A3D3C">
      <w:numFmt w:val="decimal"/>
      <w:lvlText w:val=""/>
      <w:lvlJc w:val="left"/>
    </w:lvl>
    <w:lvl w:ilvl="2" w:tplc="7584C57E">
      <w:numFmt w:val="decimal"/>
      <w:lvlText w:val=""/>
      <w:lvlJc w:val="left"/>
    </w:lvl>
    <w:lvl w:ilvl="3" w:tplc="0268A490">
      <w:numFmt w:val="decimal"/>
      <w:lvlText w:val=""/>
      <w:lvlJc w:val="left"/>
    </w:lvl>
    <w:lvl w:ilvl="4" w:tplc="D2BC03AA">
      <w:numFmt w:val="decimal"/>
      <w:lvlText w:val=""/>
      <w:lvlJc w:val="left"/>
    </w:lvl>
    <w:lvl w:ilvl="5" w:tplc="F4E8E7F8">
      <w:numFmt w:val="decimal"/>
      <w:lvlText w:val=""/>
      <w:lvlJc w:val="left"/>
    </w:lvl>
    <w:lvl w:ilvl="6" w:tplc="B0286098">
      <w:numFmt w:val="decimal"/>
      <w:lvlText w:val=""/>
      <w:lvlJc w:val="left"/>
    </w:lvl>
    <w:lvl w:ilvl="7" w:tplc="2842AE94">
      <w:numFmt w:val="decimal"/>
      <w:lvlText w:val=""/>
      <w:lvlJc w:val="left"/>
    </w:lvl>
    <w:lvl w:ilvl="8" w:tplc="09D6B350">
      <w:numFmt w:val="decimal"/>
      <w:lvlText w:val=""/>
      <w:lvlJc w:val="left"/>
    </w:lvl>
  </w:abstractNum>
  <w:abstractNum w:abstractNumId="1112" w15:restartNumberingAfterBreak="0">
    <w:nsid w:val="761F60AE"/>
    <w:multiLevelType w:val="hybridMultilevel"/>
    <w:tmpl w:val="8968CAAC"/>
    <w:lvl w:ilvl="0" w:tplc="A106FD76">
      <w:start w:val="1"/>
      <w:numFmt w:val="bullet"/>
      <w:lvlText w:val=""/>
      <w:lvlJc w:val="left"/>
      <w:pPr>
        <w:ind w:left="720" w:hanging="360"/>
      </w:pPr>
      <w:rPr>
        <w:rFonts w:ascii="Symbol" w:hAnsi="Symbol" w:hint="default"/>
      </w:rPr>
    </w:lvl>
    <w:lvl w:ilvl="1" w:tplc="1A4E8522">
      <w:numFmt w:val="decimal"/>
      <w:lvlText w:val=""/>
      <w:lvlJc w:val="left"/>
    </w:lvl>
    <w:lvl w:ilvl="2" w:tplc="F83CE136">
      <w:numFmt w:val="decimal"/>
      <w:lvlText w:val=""/>
      <w:lvlJc w:val="left"/>
    </w:lvl>
    <w:lvl w:ilvl="3" w:tplc="77825B0E">
      <w:numFmt w:val="decimal"/>
      <w:lvlText w:val=""/>
      <w:lvlJc w:val="left"/>
    </w:lvl>
    <w:lvl w:ilvl="4" w:tplc="8F16E6B8">
      <w:numFmt w:val="decimal"/>
      <w:lvlText w:val=""/>
      <w:lvlJc w:val="left"/>
    </w:lvl>
    <w:lvl w:ilvl="5" w:tplc="B13E16F0">
      <w:numFmt w:val="decimal"/>
      <w:lvlText w:val=""/>
      <w:lvlJc w:val="left"/>
    </w:lvl>
    <w:lvl w:ilvl="6" w:tplc="677EAAA6">
      <w:numFmt w:val="decimal"/>
      <w:lvlText w:val=""/>
      <w:lvlJc w:val="left"/>
    </w:lvl>
    <w:lvl w:ilvl="7" w:tplc="178E1DBE">
      <w:numFmt w:val="decimal"/>
      <w:lvlText w:val=""/>
      <w:lvlJc w:val="left"/>
    </w:lvl>
    <w:lvl w:ilvl="8" w:tplc="489025D8">
      <w:numFmt w:val="decimal"/>
      <w:lvlText w:val=""/>
      <w:lvlJc w:val="left"/>
    </w:lvl>
  </w:abstractNum>
  <w:abstractNum w:abstractNumId="1113" w15:restartNumberingAfterBreak="0">
    <w:nsid w:val="76334924"/>
    <w:multiLevelType w:val="hybridMultilevel"/>
    <w:tmpl w:val="50D4260E"/>
    <w:lvl w:ilvl="0" w:tplc="4A8AEB7E">
      <w:start w:val="1"/>
      <w:numFmt w:val="bullet"/>
      <w:lvlText w:val=""/>
      <w:lvlJc w:val="left"/>
      <w:pPr>
        <w:ind w:left="720" w:hanging="360"/>
      </w:pPr>
      <w:rPr>
        <w:rFonts w:ascii="Symbol" w:hAnsi="Symbol" w:hint="default"/>
      </w:rPr>
    </w:lvl>
    <w:lvl w:ilvl="1" w:tplc="F34A00B8">
      <w:numFmt w:val="decimal"/>
      <w:lvlText w:val=""/>
      <w:lvlJc w:val="left"/>
    </w:lvl>
    <w:lvl w:ilvl="2" w:tplc="FE00F074">
      <w:numFmt w:val="decimal"/>
      <w:lvlText w:val=""/>
      <w:lvlJc w:val="left"/>
    </w:lvl>
    <w:lvl w:ilvl="3" w:tplc="4F5AB300">
      <w:numFmt w:val="decimal"/>
      <w:lvlText w:val=""/>
      <w:lvlJc w:val="left"/>
    </w:lvl>
    <w:lvl w:ilvl="4" w:tplc="9E04A0B8">
      <w:numFmt w:val="decimal"/>
      <w:lvlText w:val=""/>
      <w:lvlJc w:val="left"/>
    </w:lvl>
    <w:lvl w:ilvl="5" w:tplc="3DBA9CDE">
      <w:numFmt w:val="decimal"/>
      <w:lvlText w:val=""/>
      <w:lvlJc w:val="left"/>
    </w:lvl>
    <w:lvl w:ilvl="6" w:tplc="5622D6F8">
      <w:numFmt w:val="decimal"/>
      <w:lvlText w:val=""/>
      <w:lvlJc w:val="left"/>
    </w:lvl>
    <w:lvl w:ilvl="7" w:tplc="766A237C">
      <w:numFmt w:val="decimal"/>
      <w:lvlText w:val=""/>
      <w:lvlJc w:val="left"/>
    </w:lvl>
    <w:lvl w:ilvl="8" w:tplc="BEBCBF4C">
      <w:numFmt w:val="decimal"/>
      <w:lvlText w:val=""/>
      <w:lvlJc w:val="left"/>
    </w:lvl>
  </w:abstractNum>
  <w:abstractNum w:abstractNumId="1114" w15:restartNumberingAfterBreak="0">
    <w:nsid w:val="763F3338"/>
    <w:multiLevelType w:val="hybridMultilevel"/>
    <w:tmpl w:val="571E9E2A"/>
    <w:lvl w:ilvl="0" w:tplc="32EE1A44">
      <w:start w:val="1"/>
      <w:numFmt w:val="bullet"/>
      <w:lvlText w:val=""/>
      <w:lvlJc w:val="left"/>
      <w:pPr>
        <w:ind w:left="720" w:hanging="360"/>
      </w:pPr>
      <w:rPr>
        <w:rFonts w:ascii="Symbol" w:hAnsi="Symbol" w:hint="default"/>
      </w:rPr>
    </w:lvl>
    <w:lvl w:ilvl="1" w:tplc="0F0816E0">
      <w:numFmt w:val="decimal"/>
      <w:lvlText w:val=""/>
      <w:lvlJc w:val="left"/>
    </w:lvl>
    <w:lvl w:ilvl="2" w:tplc="0AEAED06">
      <w:numFmt w:val="decimal"/>
      <w:lvlText w:val=""/>
      <w:lvlJc w:val="left"/>
    </w:lvl>
    <w:lvl w:ilvl="3" w:tplc="9F061008">
      <w:numFmt w:val="decimal"/>
      <w:lvlText w:val=""/>
      <w:lvlJc w:val="left"/>
    </w:lvl>
    <w:lvl w:ilvl="4" w:tplc="5938103C">
      <w:numFmt w:val="decimal"/>
      <w:lvlText w:val=""/>
      <w:lvlJc w:val="left"/>
    </w:lvl>
    <w:lvl w:ilvl="5" w:tplc="4E6E2958">
      <w:numFmt w:val="decimal"/>
      <w:lvlText w:val=""/>
      <w:lvlJc w:val="left"/>
    </w:lvl>
    <w:lvl w:ilvl="6" w:tplc="974E2D70">
      <w:numFmt w:val="decimal"/>
      <w:lvlText w:val=""/>
      <w:lvlJc w:val="left"/>
    </w:lvl>
    <w:lvl w:ilvl="7" w:tplc="94DAF824">
      <w:numFmt w:val="decimal"/>
      <w:lvlText w:val=""/>
      <w:lvlJc w:val="left"/>
    </w:lvl>
    <w:lvl w:ilvl="8" w:tplc="FF7E164E">
      <w:numFmt w:val="decimal"/>
      <w:lvlText w:val=""/>
      <w:lvlJc w:val="left"/>
    </w:lvl>
  </w:abstractNum>
  <w:abstractNum w:abstractNumId="1115" w15:restartNumberingAfterBreak="0">
    <w:nsid w:val="764800FF"/>
    <w:multiLevelType w:val="hybridMultilevel"/>
    <w:tmpl w:val="C6DA572A"/>
    <w:lvl w:ilvl="0" w:tplc="6DCEF432">
      <w:start w:val="1"/>
      <w:numFmt w:val="bullet"/>
      <w:lvlText w:val=""/>
      <w:lvlJc w:val="left"/>
      <w:pPr>
        <w:ind w:left="720" w:hanging="360"/>
      </w:pPr>
      <w:rPr>
        <w:rFonts w:ascii="Symbol" w:hAnsi="Symbol" w:hint="default"/>
      </w:rPr>
    </w:lvl>
    <w:lvl w:ilvl="1" w:tplc="C422E6FA">
      <w:numFmt w:val="decimal"/>
      <w:lvlText w:val=""/>
      <w:lvlJc w:val="left"/>
    </w:lvl>
    <w:lvl w:ilvl="2" w:tplc="93E4FFE6">
      <w:numFmt w:val="decimal"/>
      <w:lvlText w:val=""/>
      <w:lvlJc w:val="left"/>
    </w:lvl>
    <w:lvl w:ilvl="3" w:tplc="DE2A92B0">
      <w:numFmt w:val="decimal"/>
      <w:lvlText w:val=""/>
      <w:lvlJc w:val="left"/>
    </w:lvl>
    <w:lvl w:ilvl="4" w:tplc="E2D8F296">
      <w:numFmt w:val="decimal"/>
      <w:lvlText w:val=""/>
      <w:lvlJc w:val="left"/>
    </w:lvl>
    <w:lvl w:ilvl="5" w:tplc="EEBA181A">
      <w:numFmt w:val="decimal"/>
      <w:lvlText w:val=""/>
      <w:lvlJc w:val="left"/>
    </w:lvl>
    <w:lvl w:ilvl="6" w:tplc="0A0E20D6">
      <w:numFmt w:val="decimal"/>
      <w:lvlText w:val=""/>
      <w:lvlJc w:val="left"/>
    </w:lvl>
    <w:lvl w:ilvl="7" w:tplc="230A97C0">
      <w:numFmt w:val="decimal"/>
      <w:lvlText w:val=""/>
      <w:lvlJc w:val="left"/>
    </w:lvl>
    <w:lvl w:ilvl="8" w:tplc="25C423A4">
      <w:numFmt w:val="decimal"/>
      <w:lvlText w:val=""/>
      <w:lvlJc w:val="left"/>
    </w:lvl>
  </w:abstractNum>
  <w:abstractNum w:abstractNumId="1116" w15:restartNumberingAfterBreak="0">
    <w:nsid w:val="765E54C9"/>
    <w:multiLevelType w:val="hybridMultilevel"/>
    <w:tmpl w:val="E2A0B7B4"/>
    <w:lvl w:ilvl="0" w:tplc="FA8A2E52">
      <w:start w:val="1"/>
      <w:numFmt w:val="bullet"/>
      <w:lvlText w:val=""/>
      <w:lvlJc w:val="left"/>
      <w:pPr>
        <w:ind w:left="720" w:hanging="360"/>
      </w:pPr>
      <w:rPr>
        <w:rFonts w:ascii="Symbol" w:hAnsi="Symbol" w:hint="default"/>
      </w:rPr>
    </w:lvl>
    <w:lvl w:ilvl="1" w:tplc="51C668E6">
      <w:numFmt w:val="decimal"/>
      <w:lvlText w:val=""/>
      <w:lvlJc w:val="left"/>
    </w:lvl>
    <w:lvl w:ilvl="2" w:tplc="98742B1E">
      <w:numFmt w:val="decimal"/>
      <w:lvlText w:val=""/>
      <w:lvlJc w:val="left"/>
    </w:lvl>
    <w:lvl w:ilvl="3" w:tplc="660EC13A">
      <w:numFmt w:val="decimal"/>
      <w:lvlText w:val=""/>
      <w:lvlJc w:val="left"/>
    </w:lvl>
    <w:lvl w:ilvl="4" w:tplc="7DEEA028">
      <w:numFmt w:val="decimal"/>
      <w:lvlText w:val=""/>
      <w:lvlJc w:val="left"/>
    </w:lvl>
    <w:lvl w:ilvl="5" w:tplc="904E6D2A">
      <w:numFmt w:val="decimal"/>
      <w:lvlText w:val=""/>
      <w:lvlJc w:val="left"/>
    </w:lvl>
    <w:lvl w:ilvl="6" w:tplc="52528D88">
      <w:numFmt w:val="decimal"/>
      <w:lvlText w:val=""/>
      <w:lvlJc w:val="left"/>
    </w:lvl>
    <w:lvl w:ilvl="7" w:tplc="200AA4D8">
      <w:numFmt w:val="decimal"/>
      <w:lvlText w:val=""/>
      <w:lvlJc w:val="left"/>
    </w:lvl>
    <w:lvl w:ilvl="8" w:tplc="84B20F4C">
      <w:numFmt w:val="decimal"/>
      <w:lvlText w:val=""/>
      <w:lvlJc w:val="left"/>
    </w:lvl>
  </w:abstractNum>
  <w:abstractNum w:abstractNumId="1117" w15:restartNumberingAfterBreak="0">
    <w:nsid w:val="77037995"/>
    <w:multiLevelType w:val="hybridMultilevel"/>
    <w:tmpl w:val="2EB644D8"/>
    <w:lvl w:ilvl="0" w:tplc="6984775A">
      <w:start w:val="1"/>
      <w:numFmt w:val="bullet"/>
      <w:lvlText w:val=""/>
      <w:lvlJc w:val="left"/>
      <w:pPr>
        <w:ind w:left="720" w:hanging="360"/>
      </w:pPr>
      <w:rPr>
        <w:rFonts w:ascii="Symbol" w:hAnsi="Symbol" w:hint="default"/>
      </w:rPr>
    </w:lvl>
    <w:lvl w:ilvl="1" w:tplc="2CA635A8">
      <w:numFmt w:val="decimal"/>
      <w:lvlText w:val=""/>
      <w:lvlJc w:val="left"/>
    </w:lvl>
    <w:lvl w:ilvl="2" w:tplc="CF48A296">
      <w:numFmt w:val="decimal"/>
      <w:lvlText w:val=""/>
      <w:lvlJc w:val="left"/>
    </w:lvl>
    <w:lvl w:ilvl="3" w:tplc="025E3EA6">
      <w:numFmt w:val="decimal"/>
      <w:lvlText w:val=""/>
      <w:lvlJc w:val="left"/>
    </w:lvl>
    <w:lvl w:ilvl="4" w:tplc="E7F64794">
      <w:numFmt w:val="decimal"/>
      <w:lvlText w:val=""/>
      <w:lvlJc w:val="left"/>
    </w:lvl>
    <w:lvl w:ilvl="5" w:tplc="58180AA6">
      <w:numFmt w:val="decimal"/>
      <w:lvlText w:val=""/>
      <w:lvlJc w:val="left"/>
    </w:lvl>
    <w:lvl w:ilvl="6" w:tplc="F2AEACF2">
      <w:numFmt w:val="decimal"/>
      <w:lvlText w:val=""/>
      <w:lvlJc w:val="left"/>
    </w:lvl>
    <w:lvl w:ilvl="7" w:tplc="505AF75A">
      <w:numFmt w:val="decimal"/>
      <w:lvlText w:val=""/>
      <w:lvlJc w:val="left"/>
    </w:lvl>
    <w:lvl w:ilvl="8" w:tplc="F3CA31F6">
      <w:numFmt w:val="decimal"/>
      <w:lvlText w:val=""/>
      <w:lvlJc w:val="left"/>
    </w:lvl>
  </w:abstractNum>
  <w:abstractNum w:abstractNumId="1118" w15:restartNumberingAfterBreak="0">
    <w:nsid w:val="77246C8C"/>
    <w:multiLevelType w:val="hybridMultilevel"/>
    <w:tmpl w:val="FD9CD820"/>
    <w:lvl w:ilvl="0" w:tplc="00DA1E16">
      <w:start w:val="1"/>
      <w:numFmt w:val="bullet"/>
      <w:lvlText w:val=""/>
      <w:lvlJc w:val="left"/>
      <w:pPr>
        <w:ind w:left="720" w:hanging="360"/>
      </w:pPr>
      <w:rPr>
        <w:rFonts w:ascii="Symbol" w:hAnsi="Symbol" w:hint="default"/>
      </w:rPr>
    </w:lvl>
    <w:lvl w:ilvl="1" w:tplc="89203224">
      <w:numFmt w:val="decimal"/>
      <w:lvlText w:val=""/>
      <w:lvlJc w:val="left"/>
    </w:lvl>
    <w:lvl w:ilvl="2" w:tplc="0704A61A">
      <w:numFmt w:val="decimal"/>
      <w:lvlText w:val=""/>
      <w:lvlJc w:val="left"/>
    </w:lvl>
    <w:lvl w:ilvl="3" w:tplc="CF406F9A">
      <w:numFmt w:val="decimal"/>
      <w:lvlText w:val=""/>
      <w:lvlJc w:val="left"/>
    </w:lvl>
    <w:lvl w:ilvl="4" w:tplc="FB42C188">
      <w:numFmt w:val="decimal"/>
      <w:lvlText w:val=""/>
      <w:lvlJc w:val="left"/>
    </w:lvl>
    <w:lvl w:ilvl="5" w:tplc="01463628">
      <w:numFmt w:val="decimal"/>
      <w:lvlText w:val=""/>
      <w:lvlJc w:val="left"/>
    </w:lvl>
    <w:lvl w:ilvl="6" w:tplc="03760ED6">
      <w:numFmt w:val="decimal"/>
      <w:lvlText w:val=""/>
      <w:lvlJc w:val="left"/>
    </w:lvl>
    <w:lvl w:ilvl="7" w:tplc="AB86A52C">
      <w:numFmt w:val="decimal"/>
      <w:lvlText w:val=""/>
      <w:lvlJc w:val="left"/>
    </w:lvl>
    <w:lvl w:ilvl="8" w:tplc="00E25310">
      <w:numFmt w:val="decimal"/>
      <w:lvlText w:val=""/>
      <w:lvlJc w:val="left"/>
    </w:lvl>
  </w:abstractNum>
  <w:abstractNum w:abstractNumId="1119" w15:restartNumberingAfterBreak="0">
    <w:nsid w:val="77287D04"/>
    <w:multiLevelType w:val="hybridMultilevel"/>
    <w:tmpl w:val="BE78B49C"/>
    <w:lvl w:ilvl="0" w:tplc="32C4189C">
      <w:start w:val="1"/>
      <w:numFmt w:val="bullet"/>
      <w:lvlText w:val=""/>
      <w:lvlJc w:val="left"/>
      <w:pPr>
        <w:ind w:left="720" w:hanging="360"/>
      </w:pPr>
      <w:rPr>
        <w:rFonts w:ascii="Symbol" w:hAnsi="Symbol" w:hint="default"/>
      </w:rPr>
    </w:lvl>
    <w:lvl w:ilvl="1" w:tplc="89E0D3E2">
      <w:numFmt w:val="decimal"/>
      <w:lvlText w:val=""/>
      <w:lvlJc w:val="left"/>
    </w:lvl>
    <w:lvl w:ilvl="2" w:tplc="06264260">
      <w:numFmt w:val="decimal"/>
      <w:lvlText w:val=""/>
      <w:lvlJc w:val="left"/>
    </w:lvl>
    <w:lvl w:ilvl="3" w:tplc="E0CA4E54">
      <w:numFmt w:val="decimal"/>
      <w:lvlText w:val=""/>
      <w:lvlJc w:val="left"/>
    </w:lvl>
    <w:lvl w:ilvl="4" w:tplc="625CB9F4">
      <w:numFmt w:val="decimal"/>
      <w:lvlText w:val=""/>
      <w:lvlJc w:val="left"/>
    </w:lvl>
    <w:lvl w:ilvl="5" w:tplc="4780505C">
      <w:numFmt w:val="decimal"/>
      <w:lvlText w:val=""/>
      <w:lvlJc w:val="left"/>
    </w:lvl>
    <w:lvl w:ilvl="6" w:tplc="67B26CE8">
      <w:numFmt w:val="decimal"/>
      <w:lvlText w:val=""/>
      <w:lvlJc w:val="left"/>
    </w:lvl>
    <w:lvl w:ilvl="7" w:tplc="9C586884">
      <w:numFmt w:val="decimal"/>
      <w:lvlText w:val=""/>
      <w:lvlJc w:val="left"/>
    </w:lvl>
    <w:lvl w:ilvl="8" w:tplc="E8D49500">
      <w:numFmt w:val="decimal"/>
      <w:lvlText w:val=""/>
      <w:lvlJc w:val="left"/>
    </w:lvl>
  </w:abstractNum>
  <w:abstractNum w:abstractNumId="1120" w15:restartNumberingAfterBreak="0">
    <w:nsid w:val="77402FAB"/>
    <w:multiLevelType w:val="hybridMultilevel"/>
    <w:tmpl w:val="E642016C"/>
    <w:lvl w:ilvl="0" w:tplc="0C16E586">
      <w:numFmt w:val="decimal"/>
      <w:lvlText w:val=""/>
      <w:lvlJc w:val="left"/>
    </w:lvl>
    <w:lvl w:ilvl="1" w:tplc="F2AC67FA">
      <w:start w:val="1"/>
      <w:numFmt w:val="bullet"/>
      <w:lvlText w:val=""/>
      <w:lvlJc w:val="left"/>
      <w:pPr>
        <w:ind w:left="1440" w:hanging="360"/>
      </w:pPr>
      <w:rPr>
        <w:rFonts w:ascii="Symbol" w:hAnsi="Symbol" w:hint="default"/>
      </w:rPr>
    </w:lvl>
    <w:lvl w:ilvl="2" w:tplc="5C1645F4">
      <w:numFmt w:val="decimal"/>
      <w:lvlText w:val=""/>
      <w:lvlJc w:val="left"/>
    </w:lvl>
    <w:lvl w:ilvl="3" w:tplc="173496D2">
      <w:numFmt w:val="decimal"/>
      <w:lvlText w:val=""/>
      <w:lvlJc w:val="left"/>
    </w:lvl>
    <w:lvl w:ilvl="4" w:tplc="8E8AF000">
      <w:numFmt w:val="decimal"/>
      <w:lvlText w:val=""/>
      <w:lvlJc w:val="left"/>
    </w:lvl>
    <w:lvl w:ilvl="5" w:tplc="C8A28DE4">
      <w:numFmt w:val="decimal"/>
      <w:lvlText w:val=""/>
      <w:lvlJc w:val="left"/>
    </w:lvl>
    <w:lvl w:ilvl="6" w:tplc="D36EA5CA">
      <w:numFmt w:val="decimal"/>
      <w:lvlText w:val=""/>
      <w:lvlJc w:val="left"/>
    </w:lvl>
    <w:lvl w:ilvl="7" w:tplc="DAAA38E0">
      <w:numFmt w:val="decimal"/>
      <w:lvlText w:val=""/>
      <w:lvlJc w:val="left"/>
    </w:lvl>
    <w:lvl w:ilvl="8" w:tplc="4B14D3FC">
      <w:numFmt w:val="decimal"/>
      <w:lvlText w:val=""/>
      <w:lvlJc w:val="left"/>
    </w:lvl>
  </w:abstractNum>
  <w:abstractNum w:abstractNumId="1121" w15:restartNumberingAfterBreak="0">
    <w:nsid w:val="7770683C"/>
    <w:multiLevelType w:val="hybridMultilevel"/>
    <w:tmpl w:val="4A98F6D2"/>
    <w:lvl w:ilvl="0" w:tplc="56AA4F86">
      <w:start w:val="1"/>
      <w:numFmt w:val="bullet"/>
      <w:lvlText w:val=""/>
      <w:lvlJc w:val="left"/>
      <w:pPr>
        <w:ind w:left="720" w:hanging="360"/>
      </w:pPr>
      <w:rPr>
        <w:rFonts w:ascii="Symbol" w:hAnsi="Symbol" w:hint="default"/>
      </w:rPr>
    </w:lvl>
    <w:lvl w:ilvl="1" w:tplc="2E0267A8">
      <w:numFmt w:val="decimal"/>
      <w:lvlText w:val=""/>
      <w:lvlJc w:val="left"/>
    </w:lvl>
    <w:lvl w:ilvl="2" w:tplc="36DE7044">
      <w:numFmt w:val="decimal"/>
      <w:lvlText w:val=""/>
      <w:lvlJc w:val="left"/>
    </w:lvl>
    <w:lvl w:ilvl="3" w:tplc="6956AA40">
      <w:numFmt w:val="decimal"/>
      <w:lvlText w:val=""/>
      <w:lvlJc w:val="left"/>
    </w:lvl>
    <w:lvl w:ilvl="4" w:tplc="0D9EB570">
      <w:numFmt w:val="decimal"/>
      <w:lvlText w:val=""/>
      <w:lvlJc w:val="left"/>
    </w:lvl>
    <w:lvl w:ilvl="5" w:tplc="1748A952">
      <w:numFmt w:val="decimal"/>
      <w:lvlText w:val=""/>
      <w:lvlJc w:val="left"/>
    </w:lvl>
    <w:lvl w:ilvl="6" w:tplc="230CE522">
      <w:numFmt w:val="decimal"/>
      <w:lvlText w:val=""/>
      <w:lvlJc w:val="left"/>
    </w:lvl>
    <w:lvl w:ilvl="7" w:tplc="04AEE7A8">
      <w:numFmt w:val="decimal"/>
      <w:lvlText w:val=""/>
      <w:lvlJc w:val="left"/>
    </w:lvl>
    <w:lvl w:ilvl="8" w:tplc="A55E773C">
      <w:numFmt w:val="decimal"/>
      <w:lvlText w:val=""/>
      <w:lvlJc w:val="left"/>
    </w:lvl>
  </w:abstractNum>
  <w:abstractNum w:abstractNumId="1122" w15:restartNumberingAfterBreak="0">
    <w:nsid w:val="77762B67"/>
    <w:multiLevelType w:val="hybridMultilevel"/>
    <w:tmpl w:val="B81E064C"/>
    <w:lvl w:ilvl="0" w:tplc="02B2B834">
      <w:start w:val="1"/>
      <w:numFmt w:val="bullet"/>
      <w:lvlText w:val=""/>
      <w:lvlJc w:val="left"/>
      <w:pPr>
        <w:ind w:left="720" w:hanging="360"/>
      </w:pPr>
      <w:rPr>
        <w:rFonts w:ascii="Symbol" w:hAnsi="Symbol" w:hint="default"/>
      </w:rPr>
    </w:lvl>
    <w:lvl w:ilvl="1" w:tplc="11123212">
      <w:numFmt w:val="decimal"/>
      <w:lvlText w:val=""/>
      <w:lvlJc w:val="left"/>
    </w:lvl>
    <w:lvl w:ilvl="2" w:tplc="59F0A7A6">
      <w:numFmt w:val="decimal"/>
      <w:lvlText w:val=""/>
      <w:lvlJc w:val="left"/>
    </w:lvl>
    <w:lvl w:ilvl="3" w:tplc="01C8B840">
      <w:numFmt w:val="decimal"/>
      <w:lvlText w:val=""/>
      <w:lvlJc w:val="left"/>
    </w:lvl>
    <w:lvl w:ilvl="4" w:tplc="24BCC92A">
      <w:numFmt w:val="decimal"/>
      <w:lvlText w:val=""/>
      <w:lvlJc w:val="left"/>
    </w:lvl>
    <w:lvl w:ilvl="5" w:tplc="F4FC0B58">
      <w:numFmt w:val="decimal"/>
      <w:lvlText w:val=""/>
      <w:lvlJc w:val="left"/>
    </w:lvl>
    <w:lvl w:ilvl="6" w:tplc="729C429E">
      <w:numFmt w:val="decimal"/>
      <w:lvlText w:val=""/>
      <w:lvlJc w:val="left"/>
    </w:lvl>
    <w:lvl w:ilvl="7" w:tplc="15A26D78">
      <w:numFmt w:val="decimal"/>
      <w:lvlText w:val=""/>
      <w:lvlJc w:val="left"/>
    </w:lvl>
    <w:lvl w:ilvl="8" w:tplc="1B12F120">
      <w:numFmt w:val="decimal"/>
      <w:lvlText w:val=""/>
      <w:lvlJc w:val="left"/>
    </w:lvl>
  </w:abstractNum>
  <w:abstractNum w:abstractNumId="1123" w15:restartNumberingAfterBreak="0">
    <w:nsid w:val="7783276F"/>
    <w:multiLevelType w:val="hybridMultilevel"/>
    <w:tmpl w:val="2068BA04"/>
    <w:lvl w:ilvl="0" w:tplc="A34AEA00">
      <w:start w:val="1"/>
      <w:numFmt w:val="bullet"/>
      <w:lvlText w:val=""/>
      <w:lvlJc w:val="left"/>
      <w:pPr>
        <w:ind w:left="720" w:hanging="360"/>
      </w:pPr>
      <w:rPr>
        <w:rFonts w:ascii="Symbol" w:hAnsi="Symbol" w:hint="default"/>
      </w:rPr>
    </w:lvl>
    <w:lvl w:ilvl="1" w:tplc="C1AC6DAE">
      <w:numFmt w:val="decimal"/>
      <w:lvlText w:val=""/>
      <w:lvlJc w:val="left"/>
    </w:lvl>
    <w:lvl w:ilvl="2" w:tplc="4F3C2432">
      <w:numFmt w:val="decimal"/>
      <w:lvlText w:val=""/>
      <w:lvlJc w:val="left"/>
    </w:lvl>
    <w:lvl w:ilvl="3" w:tplc="DDEADA40">
      <w:numFmt w:val="decimal"/>
      <w:lvlText w:val=""/>
      <w:lvlJc w:val="left"/>
    </w:lvl>
    <w:lvl w:ilvl="4" w:tplc="8C44B5B0">
      <w:numFmt w:val="decimal"/>
      <w:lvlText w:val=""/>
      <w:lvlJc w:val="left"/>
    </w:lvl>
    <w:lvl w:ilvl="5" w:tplc="CA34B08C">
      <w:numFmt w:val="decimal"/>
      <w:lvlText w:val=""/>
      <w:lvlJc w:val="left"/>
    </w:lvl>
    <w:lvl w:ilvl="6" w:tplc="883CDBE2">
      <w:numFmt w:val="decimal"/>
      <w:lvlText w:val=""/>
      <w:lvlJc w:val="left"/>
    </w:lvl>
    <w:lvl w:ilvl="7" w:tplc="0C06A68E">
      <w:numFmt w:val="decimal"/>
      <w:lvlText w:val=""/>
      <w:lvlJc w:val="left"/>
    </w:lvl>
    <w:lvl w:ilvl="8" w:tplc="0696EF48">
      <w:numFmt w:val="decimal"/>
      <w:lvlText w:val=""/>
      <w:lvlJc w:val="left"/>
    </w:lvl>
  </w:abstractNum>
  <w:abstractNum w:abstractNumId="1124" w15:restartNumberingAfterBreak="0">
    <w:nsid w:val="77972778"/>
    <w:multiLevelType w:val="hybridMultilevel"/>
    <w:tmpl w:val="9F38C014"/>
    <w:lvl w:ilvl="0" w:tplc="3F120FD6">
      <w:numFmt w:val="decimal"/>
      <w:lvlText w:val=""/>
      <w:lvlJc w:val="left"/>
    </w:lvl>
    <w:lvl w:ilvl="1" w:tplc="F75C26F2">
      <w:start w:val="1"/>
      <w:numFmt w:val="bullet"/>
      <w:lvlText w:val=""/>
      <w:lvlJc w:val="left"/>
      <w:pPr>
        <w:ind w:left="1440" w:hanging="360"/>
      </w:pPr>
      <w:rPr>
        <w:rFonts w:ascii="Symbol" w:hAnsi="Symbol" w:hint="default"/>
      </w:rPr>
    </w:lvl>
    <w:lvl w:ilvl="2" w:tplc="9D7AF6E0">
      <w:numFmt w:val="decimal"/>
      <w:lvlText w:val=""/>
      <w:lvlJc w:val="left"/>
    </w:lvl>
    <w:lvl w:ilvl="3" w:tplc="942A7AF4">
      <w:numFmt w:val="decimal"/>
      <w:lvlText w:val=""/>
      <w:lvlJc w:val="left"/>
    </w:lvl>
    <w:lvl w:ilvl="4" w:tplc="7914934C">
      <w:numFmt w:val="decimal"/>
      <w:lvlText w:val=""/>
      <w:lvlJc w:val="left"/>
    </w:lvl>
    <w:lvl w:ilvl="5" w:tplc="4426FC00">
      <w:numFmt w:val="decimal"/>
      <w:lvlText w:val=""/>
      <w:lvlJc w:val="left"/>
    </w:lvl>
    <w:lvl w:ilvl="6" w:tplc="24A6495E">
      <w:numFmt w:val="decimal"/>
      <w:lvlText w:val=""/>
      <w:lvlJc w:val="left"/>
    </w:lvl>
    <w:lvl w:ilvl="7" w:tplc="FE3AC52E">
      <w:numFmt w:val="decimal"/>
      <w:lvlText w:val=""/>
      <w:lvlJc w:val="left"/>
    </w:lvl>
    <w:lvl w:ilvl="8" w:tplc="33141302">
      <w:numFmt w:val="decimal"/>
      <w:lvlText w:val=""/>
      <w:lvlJc w:val="left"/>
    </w:lvl>
  </w:abstractNum>
  <w:abstractNum w:abstractNumId="1125" w15:restartNumberingAfterBreak="0">
    <w:nsid w:val="77A96D42"/>
    <w:multiLevelType w:val="hybridMultilevel"/>
    <w:tmpl w:val="78BC300E"/>
    <w:lvl w:ilvl="0" w:tplc="09BA980E">
      <w:numFmt w:val="decimal"/>
      <w:lvlText w:val=""/>
      <w:lvlJc w:val="left"/>
    </w:lvl>
    <w:lvl w:ilvl="1" w:tplc="DE4EECEE">
      <w:start w:val="1"/>
      <w:numFmt w:val="bullet"/>
      <w:lvlText w:val=""/>
      <w:lvlJc w:val="left"/>
      <w:pPr>
        <w:ind w:left="1440" w:hanging="360"/>
      </w:pPr>
      <w:rPr>
        <w:rFonts w:ascii="Symbol" w:hAnsi="Symbol" w:hint="default"/>
      </w:rPr>
    </w:lvl>
    <w:lvl w:ilvl="2" w:tplc="FBF20504">
      <w:numFmt w:val="decimal"/>
      <w:lvlText w:val=""/>
      <w:lvlJc w:val="left"/>
    </w:lvl>
    <w:lvl w:ilvl="3" w:tplc="E30A9034">
      <w:numFmt w:val="decimal"/>
      <w:lvlText w:val=""/>
      <w:lvlJc w:val="left"/>
    </w:lvl>
    <w:lvl w:ilvl="4" w:tplc="A99AF8DC">
      <w:numFmt w:val="decimal"/>
      <w:lvlText w:val=""/>
      <w:lvlJc w:val="left"/>
    </w:lvl>
    <w:lvl w:ilvl="5" w:tplc="DCA6471E">
      <w:numFmt w:val="decimal"/>
      <w:lvlText w:val=""/>
      <w:lvlJc w:val="left"/>
    </w:lvl>
    <w:lvl w:ilvl="6" w:tplc="C354145E">
      <w:numFmt w:val="decimal"/>
      <w:lvlText w:val=""/>
      <w:lvlJc w:val="left"/>
    </w:lvl>
    <w:lvl w:ilvl="7" w:tplc="B2AE3846">
      <w:numFmt w:val="decimal"/>
      <w:lvlText w:val=""/>
      <w:lvlJc w:val="left"/>
    </w:lvl>
    <w:lvl w:ilvl="8" w:tplc="26644EE8">
      <w:numFmt w:val="decimal"/>
      <w:lvlText w:val=""/>
      <w:lvlJc w:val="left"/>
    </w:lvl>
  </w:abstractNum>
  <w:abstractNum w:abstractNumId="1126" w15:restartNumberingAfterBreak="0">
    <w:nsid w:val="77BE05D4"/>
    <w:multiLevelType w:val="hybridMultilevel"/>
    <w:tmpl w:val="A50AE688"/>
    <w:lvl w:ilvl="0" w:tplc="85B03B28">
      <w:start w:val="1"/>
      <w:numFmt w:val="bullet"/>
      <w:lvlText w:val=""/>
      <w:lvlJc w:val="left"/>
      <w:pPr>
        <w:ind w:left="720" w:hanging="360"/>
      </w:pPr>
      <w:rPr>
        <w:rFonts w:ascii="Symbol" w:hAnsi="Symbol" w:hint="default"/>
      </w:rPr>
    </w:lvl>
    <w:lvl w:ilvl="1" w:tplc="B63CAA54">
      <w:numFmt w:val="decimal"/>
      <w:lvlText w:val=""/>
      <w:lvlJc w:val="left"/>
    </w:lvl>
    <w:lvl w:ilvl="2" w:tplc="FA4CC3E4">
      <w:numFmt w:val="decimal"/>
      <w:lvlText w:val=""/>
      <w:lvlJc w:val="left"/>
    </w:lvl>
    <w:lvl w:ilvl="3" w:tplc="A050AFAA">
      <w:numFmt w:val="decimal"/>
      <w:lvlText w:val=""/>
      <w:lvlJc w:val="left"/>
    </w:lvl>
    <w:lvl w:ilvl="4" w:tplc="A3685202">
      <w:numFmt w:val="decimal"/>
      <w:lvlText w:val=""/>
      <w:lvlJc w:val="left"/>
    </w:lvl>
    <w:lvl w:ilvl="5" w:tplc="71DC8998">
      <w:numFmt w:val="decimal"/>
      <w:lvlText w:val=""/>
      <w:lvlJc w:val="left"/>
    </w:lvl>
    <w:lvl w:ilvl="6" w:tplc="05A4CBA8">
      <w:numFmt w:val="decimal"/>
      <w:lvlText w:val=""/>
      <w:lvlJc w:val="left"/>
    </w:lvl>
    <w:lvl w:ilvl="7" w:tplc="9D986210">
      <w:numFmt w:val="decimal"/>
      <w:lvlText w:val=""/>
      <w:lvlJc w:val="left"/>
    </w:lvl>
    <w:lvl w:ilvl="8" w:tplc="5B1EE3AC">
      <w:numFmt w:val="decimal"/>
      <w:lvlText w:val=""/>
      <w:lvlJc w:val="left"/>
    </w:lvl>
  </w:abstractNum>
  <w:abstractNum w:abstractNumId="1127" w15:restartNumberingAfterBreak="0">
    <w:nsid w:val="77D209F5"/>
    <w:multiLevelType w:val="hybridMultilevel"/>
    <w:tmpl w:val="7A70945C"/>
    <w:lvl w:ilvl="0" w:tplc="19563BB0">
      <w:start w:val="1"/>
      <w:numFmt w:val="bullet"/>
      <w:lvlText w:val=""/>
      <w:lvlJc w:val="left"/>
      <w:pPr>
        <w:ind w:left="720" w:hanging="360"/>
      </w:pPr>
      <w:rPr>
        <w:rFonts w:ascii="Symbol" w:hAnsi="Symbol" w:hint="default"/>
      </w:rPr>
    </w:lvl>
    <w:lvl w:ilvl="1" w:tplc="3D0C634C">
      <w:numFmt w:val="decimal"/>
      <w:lvlText w:val=""/>
      <w:lvlJc w:val="left"/>
    </w:lvl>
    <w:lvl w:ilvl="2" w:tplc="EC7CD2B2">
      <w:numFmt w:val="decimal"/>
      <w:lvlText w:val=""/>
      <w:lvlJc w:val="left"/>
    </w:lvl>
    <w:lvl w:ilvl="3" w:tplc="7188CFF0">
      <w:numFmt w:val="decimal"/>
      <w:lvlText w:val=""/>
      <w:lvlJc w:val="left"/>
    </w:lvl>
    <w:lvl w:ilvl="4" w:tplc="CD9C5A3C">
      <w:numFmt w:val="decimal"/>
      <w:lvlText w:val=""/>
      <w:lvlJc w:val="left"/>
    </w:lvl>
    <w:lvl w:ilvl="5" w:tplc="25FA7128">
      <w:numFmt w:val="decimal"/>
      <w:lvlText w:val=""/>
      <w:lvlJc w:val="left"/>
    </w:lvl>
    <w:lvl w:ilvl="6" w:tplc="71B81B24">
      <w:numFmt w:val="decimal"/>
      <w:lvlText w:val=""/>
      <w:lvlJc w:val="left"/>
    </w:lvl>
    <w:lvl w:ilvl="7" w:tplc="A7F021C8">
      <w:numFmt w:val="decimal"/>
      <w:lvlText w:val=""/>
      <w:lvlJc w:val="left"/>
    </w:lvl>
    <w:lvl w:ilvl="8" w:tplc="75E8D236">
      <w:numFmt w:val="decimal"/>
      <w:lvlText w:val=""/>
      <w:lvlJc w:val="left"/>
    </w:lvl>
  </w:abstractNum>
  <w:abstractNum w:abstractNumId="1128" w15:restartNumberingAfterBreak="0">
    <w:nsid w:val="77FE19BD"/>
    <w:multiLevelType w:val="hybridMultilevel"/>
    <w:tmpl w:val="4896EFC0"/>
    <w:lvl w:ilvl="0" w:tplc="1882B490">
      <w:start w:val="1"/>
      <w:numFmt w:val="bullet"/>
      <w:lvlText w:val=""/>
      <w:lvlJc w:val="left"/>
      <w:pPr>
        <w:ind w:left="720" w:hanging="360"/>
      </w:pPr>
      <w:rPr>
        <w:rFonts w:ascii="Symbol" w:hAnsi="Symbol" w:hint="default"/>
      </w:rPr>
    </w:lvl>
    <w:lvl w:ilvl="1" w:tplc="8D4C0414">
      <w:numFmt w:val="decimal"/>
      <w:lvlText w:val=""/>
      <w:lvlJc w:val="left"/>
    </w:lvl>
    <w:lvl w:ilvl="2" w:tplc="C922CCF4">
      <w:numFmt w:val="decimal"/>
      <w:lvlText w:val=""/>
      <w:lvlJc w:val="left"/>
    </w:lvl>
    <w:lvl w:ilvl="3" w:tplc="248A21EC">
      <w:numFmt w:val="decimal"/>
      <w:lvlText w:val=""/>
      <w:lvlJc w:val="left"/>
    </w:lvl>
    <w:lvl w:ilvl="4" w:tplc="BE487D82">
      <w:numFmt w:val="decimal"/>
      <w:lvlText w:val=""/>
      <w:lvlJc w:val="left"/>
    </w:lvl>
    <w:lvl w:ilvl="5" w:tplc="58E26B2E">
      <w:numFmt w:val="decimal"/>
      <w:lvlText w:val=""/>
      <w:lvlJc w:val="left"/>
    </w:lvl>
    <w:lvl w:ilvl="6" w:tplc="54780434">
      <w:numFmt w:val="decimal"/>
      <w:lvlText w:val=""/>
      <w:lvlJc w:val="left"/>
    </w:lvl>
    <w:lvl w:ilvl="7" w:tplc="B9CEC980">
      <w:numFmt w:val="decimal"/>
      <w:lvlText w:val=""/>
      <w:lvlJc w:val="left"/>
    </w:lvl>
    <w:lvl w:ilvl="8" w:tplc="D708D5AA">
      <w:numFmt w:val="decimal"/>
      <w:lvlText w:val=""/>
      <w:lvlJc w:val="left"/>
    </w:lvl>
  </w:abstractNum>
  <w:abstractNum w:abstractNumId="1129" w15:restartNumberingAfterBreak="0">
    <w:nsid w:val="78093E48"/>
    <w:multiLevelType w:val="hybridMultilevel"/>
    <w:tmpl w:val="FD92868E"/>
    <w:lvl w:ilvl="0" w:tplc="70C6D9BE">
      <w:start w:val="1"/>
      <w:numFmt w:val="bullet"/>
      <w:lvlText w:val=""/>
      <w:lvlJc w:val="left"/>
      <w:pPr>
        <w:ind w:left="720" w:hanging="360"/>
      </w:pPr>
      <w:rPr>
        <w:rFonts w:ascii="Symbol" w:hAnsi="Symbol" w:hint="default"/>
      </w:rPr>
    </w:lvl>
    <w:lvl w:ilvl="1" w:tplc="F8F6876A">
      <w:numFmt w:val="decimal"/>
      <w:lvlText w:val=""/>
      <w:lvlJc w:val="left"/>
    </w:lvl>
    <w:lvl w:ilvl="2" w:tplc="4CA2751E">
      <w:numFmt w:val="decimal"/>
      <w:lvlText w:val=""/>
      <w:lvlJc w:val="left"/>
    </w:lvl>
    <w:lvl w:ilvl="3" w:tplc="631EF182">
      <w:numFmt w:val="decimal"/>
      <w:lvlText w:val=""/>
      <w:lvlJc w:val="left"/>
    </w:lvl>
    <w:lvl w:ilvl="4" w:tplc="ABBCFBDA">
      <w:numFmt w:val="decimal"/>
      <w:lvlText w:val=""/>
      <w:lvlJc w:val="left"/>
    </w:lvl>
    <w:lvl w:ilvl="5" w:tplc="9814E4DE">
      <w:numFmt w:val="decimal"/>
      <w:lvlText w:val=""/>
      <w:lvlJc w:val="left"/>
    </w:lvl>
    <w:lvl w:ilvl="6" w:tplc="9B8A84A2">
      <w:numFmt w:val="decimal"/>
      <w:lvlText w:val=""/>
      <w:lvlJc w:val="left"/>
    </w:lvl>
    <w:lvl w:ilvl="7" w:tplc="9EEE8E2A">
      <w:numFmt w:val="decimal"/>
      <w:lvlText w:val=""/>
      <w:lvlJc w:val="left"/>
    </w:lvl>
    <w:lvl w:ilvl="8" w:tplc="48D0D6A0">
      <w:numFmt w:val="decimal"/>
      <w:lvlText w:val=""/>
      <w:lvlJc w:val="left"/>
    </w:lvl>
  </w:abstractNum>
  <w:abstractNum w:abstractNumId="1130" w15:restartNumberingAfterBreak="0">
    <w:nsid w:val="784552D1"/>
    <w:multiLevelType w:val="hybridMultilevel"/>
    <w:tmpl w:val="A10CDCA8"/>
    <w:lvl w:ilvl="0" w:tplc="AF8E7DAA">
      <w:start w:val="1"/>
      <w:numFmt w:val="bullet"/>
      <w:lvlText w:val=""/>
      <w:lvlJc w:val="left"/>
      <w:pPr>
        <w:ind w:left="720" w:hanging="360"/>
      </w:pPr>
      <w:rPr>
        <w:rFonts w:ascii="Symbol" w:hAnsi="Symbol" w:hint="default"/>
      </w:rPr>
    </w:lvl>
    <w:lvl w:ilvl="1" w:tplc="865C0CB8">
      <w:numFmt w:val="decimal"/>
      <w:lvlText w:val=""/>
      <w:lvlJc w:val="left"/>
    </w:lvl>
    <w:lvl w:ilvl="2" w:tplc="4ED4AAB2">
      <w:numFmt w:val="decimal"/>
      <w:lvlText w:val=""/>
      <w:lvlJc w:val="left"/>
    </w:lvl>
    <w:lvl w:ilvl="3" w:tplc="EAB6E02E">
      <w:numFmt w:val="decimal"/>
      <w:lvlText w:val=""/>
      <w:lvlJc w:val="left"/>
    </w:lvl>
    <w:lvl w:ilvl="4" w:tplc="FD125256">
      <w:numFmt w:val="decimal"/>
      <w:lvlText w:val=""/>
      <w:lvlJc w:val="left"/>
    </w:lvl>
    <w:lvl w:ilvl="5" w:tplc="2C1476E0">
      <w:numFmt w:val="decimal"/>
      <w:lvlText w:val=""/>
      <w:lvlJc w:val="left"/>
    </w:lvl>
    <w:lvl w:ilvl="6" w:tplc="E1867788">
      <w:numFmt w:val="decimal"/>
      <w:lvlText w:val=""/>
      <w:lvlJc w:val="left"/>
    </w:lvl>
    <w:lvl w:ilvl="7" w:tplc="0076EA28">
      <w:numFmt w:val="decimal"/>
      <w:lvlText w:val=""/>
      <w:lvlJc w:val="left"/>
    </w:lvl>
    <w:lvl w:ilvl="8" w:tplc="920C626C">
      <w:numFmt w:val="decimal"/>
      <w:lvlText w:val=""/>
      <w:lvlJc w:val="left"/>
    </w:lvl>
  </w:abstractNum>
  <w:abstractNum w:abstractNumId="1131" w15:restartNumberingAfterBreak="0">
    <w:nsid w:val="78646A4E"/>
    <w:multiLevelType w:val="hybridMultilevel"/>
    <w:tmpl w:val="F54CFF5C"/>
    <w:lvl w:ilvl="0" w:tplc="2814F5DA">
      <w:start w:val="1"/>
      <w:numFmt w:val="bullet"/>
      <w:lvlText w:val=""/>
      <w:lvlJc w:val="left"/>
      <w:pPr>
        <w:ind w:left="720" w:hanging="360"/>
      </w:pPr>
      <w:rPr>
        <w:rFonts w:ascii="Symbol" w:hAnsi="Symbol" w:hint="default"/>
      </w:rPr>
    </w:lvl>
    <w:lvl w:ilvl="1" w:tplc="51BAB54E">
      <w:numFmt w:val="decimal"/>
      <w:lvlText w:val=""/>
      <w:lvlJc w:val="left"/>
    </w:lvl>
    <w:lvl w:ilvl="2" w:tplc="DF4CF746">
      <w:numFmt w:val="decimal"/>
      <w:lvlText w:val=""/>
      <w:lvlJc w:val="left"/>
    </w:lvl>
    <w:lvl w:ilvl="3" w:tplc="D4DEE442">
      <w:numFmt w:val="decimal"/>
      <w:lvlText w:val=""/>
      <w:lvlJc w:val="left"/>
    </w:lvl>
    <w:lvl w:ilvl="4" w:tplc="75A020F6">
      <w:numFmt w:val="decimal"/>
      <w:lvlText w:val=""/>
      <w:lvlJc w:val="left"/>
    </w:lvl>
    <w:lvl w:ilvl="5" w:tplc="D66A2E32">
      <w:numFmt w:val="decimal"/>
      <w:lvlText w:val=""/>
      <w:lvlJc w:val="left"/>
    </w:lvl>
    <w:lvl w:ilvl="6" w:tplc="88385370">
      <w:numFmt w:val="decimal"/>
      <w:lvlText w:val=""/>
      <w:lvlJc w:val="left"/>
    </w:lvl>
    <w:lvl w:ilvl="7" w:tplc="783E515C">
      <w:numFmt w:val="decimal"/>
      <w:lvlText w:val=""/>
      <w:lvlJc w:val="left"/>
    </w:lvl>
    <w:lvl w:ilvl="8" w:tplc="A0D6D1F0">
      <w:numFmt w:val="decimal"/>
      <w:lvlText w:val=""/>
      <w:lvlJc w:val="left"/>
    </w:lvl>
  </w:abstractNum>
  <w:abstractNum w:abstractNumId="1132" w15:restartNumberingAfterBreak="0">
    <w:nsid w:val="786B726D"/>
    <w:multiLevelType w:val="hybridMultilevel"/>
    <w:tmpl w:val="1B34F6F6"/>
    <w:lvl w:ilvl="0" w:tplc="D94E091A">
      <w:start w:val="1"/>
      <w:numFmt w:val="bullet"/>
      <w:lvlText w:val=""/>
      <w:lvlJc w:val="left"/>
      <w:pPr>
        <w:ind w:left="720" w:hanging="360"/>
      </w:pPr>
      <w:rPr>
        <w:rFonts w:ascii="Symbol" w:hAnsi="Symbol" w:hint="default"/>
      </w:rPr>
    </w:lvl>
    <w:lvl w:ilvl="1" w:tplc="769C9AEC">
      <w:numFmt w:val="decimal"/>
      <w:lvlText w:val=""/>
      <w:lvlJc w:val="left"/>
    </w:lvl>
    <w:lvl w:ilvl="2" w:tplc="FC4468D4">
      <w:numFmt w:val="decimal"/>
      <w:lvlText w:val=""/>
      <w:lvlJc w:val="left"/>
    </w:lvl>
    <w:lvl w:ilvl="3" w:tplc="2A489340">
      <w:numFmt w:val="decimal"/>
      <w:lvlText w:val=""/>
      <w:lvlJc w:val="left"/>
    </w:lvl>
    <w:lvl w:ilvl="4" w:tplc="A92A1D56">
      <w:numFmt w:val="decimal"/>
      <w:lvlText w:val=""/>
      <w:lvlJc w:val="left"/>
    </w:lvl>
    <w:lvl w:ilvl="5" w:tplc="CC14D54E">
      <w:numFmt w:val="decimal"/>
      <w:lvlText w:val=""/>
      <w:lvlJc w:val="left"/>
    </w:lvl>
    <w:lvl w:ilvl="6" w:tplc="B122FB70">
      <w:numFmt w:val="decimal"/>
      <w:lvlText w:val=""/>
      <w:lvlJc w:val="left"/>
    </w:lvl>
    <w:lvl w:ilvl="7" w:tplc="8AD6CED0">
      <w:numFmt w:val="decimal"/>
      <w:lvlText w:val=""/>
      <w:lvlJc w:val="left"/>
    </w:lvl>
    <w:lvl w:ilvl="8" w:tplc="969AFECA">
      <w:numFmt w:val="decimal"/>
      <w:lvlText w:val=""/>
      <w:lvlJc w:val="left"/>
    </w:lvl>
  </w:abstractNum>
  <w:abstractNum w:abstractNumId="1133" w15:restartNumberingAfterBreak="0">
    <w:nsid w:val="7876129D"/>
    <w:multiLevelType w:val="hybridMultilevel"/>
    <w:tmpl w:val="6A363552"/>
    <w:lvl w:ilvl="0" w:tplc="E78ECC54">
      <w:start w:val="1"/>
      <w:numFmt w:val="bullet"/>
      <w:lvlText w:val=""/>
      <w:lvlJc w:val="left"/>
      <w:pPr>
        <w:ind w:left="720" w:hanging="360"/>
      </w:pPr>
      <w:rPr>
        <w:rFonts w:ascii="Symbol" w:hAnsi="Symbol" w:hint="default"/>
      </w:rPr>
    </w:lvl>
    <w:lvl w:ilvl="1" w:tplc="68C4BE06">
      <w:numFmt w:val="decimal"/>
      <w:lvlText w:val=""/>
      <w:lvlJc w:val="left"/>
    </w:lvl>
    <w:lvl w:ilvl="2" w:tplc="6A14F4CA">
      <w:numFmt w:val="decimal"/>
      <w:lvlText w:val=""/>
      <w:lvlJc w:val="left"/>
    </w:lvl>
    <w:lvl w:ilvl="3" w:tplc="72A6E756">
      <w:numFmt w:val="decimal"/>
      <w:lvlText w:val=""/>
      <w:lvlJc w:val="left"/>
    </w:lvl>
    <w:lvl w:ilvl="4" w:tplc="7D5CADBC">
      <w:numFmt w:val="decimal"/>
      <w:lvlText w:val=""/>
      <w:lvlJc w:val="left"/>
    </w:lvl>
    <w:lvl w:ilvl="5" w:tplc="893067A4">
      <w:numFmt w:val="decimal"/>
      <w:lvlText w:val=""/>
      <w:lvlJc w:val="left"/>
    </w:lvl>
    <w:lvl w:ilvl="6" w:tplc="684ED864">
      <w:numFmt w:val="decimal"/>
      <w:lvlText w:val=""/>
      <w:lvlJc w:val="left"/>
    </w:lvl>
    <w:lvl w:ilvl="7" w:tplc="03F42AC6">
      <w:numFmt w:val="decimal"/>
      <w:lvlText w:val=""/>
      <w:lvlJc w:val="left"/>
    </w:lvl>
    <w:lvl w:ilvl="8" w:tplc="3CFAD7E0">
      <w:numFmt w:val="decimal"/>
      <w:lvlText w:val=""/>
      <w:lvlJc w:val="left"/>
    </w:lvl>
  </w:abstractNum>
  <w:abstractNum w:abstractNumId="1134" w15:restartNumberingAfterBreak="0">
    <w:nsid w:val="788D18F2"/>
    <w:multiLevelType w:val="hybridMultilevel"/>
    <w:tmpl w:val="88BAD996"/>
    <w:lvl w:ilvl="0" w:tplc="FAC63B94">
      <w:start w:val="1"/>
      <w:numFmt w:val="bullet"/>
      <w:lvlText w:val=""/>
      <w:lvlJc w:val="left"/>
      <w:pPr>
        <w:ind w:left="720" w:hanging="360"/>
      </w:pPr>
      <w:rPr>
        <w:rFonts w:ascii="Symbol" w:hAnsi="Symbol" w:hint="default"/>
      </w:rPr>
    </w:lvl>
    <w:lvl w:ilvl="1" w:tplc="01AEBCA8">
      <w:numFmt w:val="decimal"/>
      <w:lvlText w:val=""/>
      <w:lvlJc w:val="left"/>
    </w:lvl>
    <w:lvl w:ilvl="2" w:tplc="0AE8A244">
      <w:numFmt w:val="decimal"/>
      <w:lvlText w:val=""/>
      <w:lvlJc w:val="left"/>
    </w:lvl>
    <w:lvl w:ilvl="3" w:tplc="A154AAD0">
      <w:numFmt w:val="decimal"/>
      <w:lvlText w:val=""/>
      <w:lvlJc w:val="left"/>
    </w:lvl>
    <w:lvl w:ilvl="4" w:tplc="671C323C">
      <w:numFmt w:val="decimal"/>
      <w:lvlText w:val=""/>
      <w:lvlJc w:val="left"/>
    </w:lvl>
    <w:lvl w:ilvl="5" w:tplc="9DE252EE">
      <w:numFmt w:val="decimal"/>
      <w:lvlText w:val=""/>
      <w:lvlJc w:val="left"/>
    </w:lvl>
    <w:lvl w:ilvl="6" w:tplc="0110323C">
      <w:numFmt w:val="decimal"/>
      <w:lvlText w:val=""/>
      <w:lvlJc w:val="left"/>
    </w:lvl>
    <w:lvl w:ilvl="7" w:tplc="82961D38">
      <w:numFmt w:val="decimal"/>
      <w:lvlText w:val=""/>
      <w:lvlJc w:val="left"/>
    </w:lvl>
    <w:lvl w:ilvl="8" w:tplc="3FD2E4D0">
      <w:numFmt w:val="decimal"/>
      <w:lvlText w:val=""/>
      <w:lvlJc w:val="left"/>
    </w:lvl>
  </w:abstractNum>
  <w:abstractNum w:abstractNumId="1135" w15:restartNumberingAfterBreak="0">
    <w:nsid w:val="78E12A7A"/>
    <w:multiLevelType w:val="hybridMultilevel"/>
    <w:tmpl w:val="8F88EF36"/>
    <w:lvl w:ilvl="0" w:tplc="6A440F72">
      <w:start w:val="1"/>
      <w:numFmt w:val="bullet"/>
      <w:lvlText w:val=""/>
      <w:lvlJc w:val="left"/>
      <w:pPr>
        <w:ind w:left="720" w:hanging="360"/>
      </w:pPr>
      <w:rPr>
        <w:rFonts w:ascii="Symbol" w:hAnsi="Symbol" w:hint="default"/>
      </w:rPr>
    </w:lvl>
    <w:lvl w:ilvl="1" w:tplc="093C9848">
      <w:numFmt w:val="decimal"/>
      <w:lvlText w:val=""/>
      <w:lvlJc w:val="left"/>
    </w:lvl>
    <w:lvl w:ilvl="2" w:tplc="A0CAE372">
      <w:numFmt w:val="decimal"/>
      <w:lvlText w:val=""/>
      <w:lvlJc w:val="left"/>
    </w:lvl>
    <w:lvl w:ilvl="3" w:tplc="4CBA06E4">
      <w:numFmt w:val="decimal"/>
      <w:lvlText w:val=""/>
      <w:lvlJc w:val="left"/>
    </w:lvl>
    <w:lvl w:ilvl="4" w:tplc="B456D2D4">
      <w:numFmt w:val="decimal"/>
      <w:lvlText w:val=""/>
      <w:lvlJc w:val="left"/>
    </w:lvl>
    <w:lvl w:ilvl="5" w:tplc="CB4EF26A">
      <w:numFmt w:val="decimal"/>
      <w:lvlText w:val=""/>
      <w:lvlJc w:val="left"/>
    </w:lvl>
    <w:lvl w:ilvl="6" w:tplc="53FAFE28">
      <w:numFmt w:val="decimal"/>
      <w:lvlText w:val=""/>
      <w:lvlJc w:val="left"/>
    </w:lvl>
    <w:lvl w:ilvl="7" w:tplc="CAF4A196">
      <w:numFmt w:val="decimal"/>
      <w:lvlText w:val=""/>
      <w:lvlJc w:val="left"/>
    </w:lvl>
    <w:lvl w:ilvl="8" w:tplc="7F125ED4">
      <w:numFmt w:val="decimal"/>
      <w:lvlText w:val=""/>
      <w:lvlJc w:val="left"/>
    </w:lvl>
  </w:abstractNum>
  <w:abstractNum w:abstractNumId="1136" w15:restartNumberingAfterBreak="0">
    <w:nsid w:val="78E94AD7"/>
    <w:multiLevelType w:val="hybridMultilevel"/>
    <w:tmpl w:val="C8F86A7A"/>
    <w:lvl w:ilvl="0" w:tplc="5FC0D11C">
      <w:start w:val="1"/>
      <w:numFmt w:val="bullet"/>
      <w:lvlText w:val=""/>
      <w:lvlJc w:val="left"/>
      <w:pPr>
        <w:ind w:left="720" w:hanging="360"/>
      </w:pPr>
      <w:rPr>
        <w:rFonts w:ascii="Symbol" w:hAnsi="Symbol" w:hint="default"/>
      </w:rPr>
    </w:lvl>
    <w:lvl w:ilvl="1" w:tplc="9BA81D86">
      <w:numFmt w:val="decimal"/>
      <w:lvlText w:val=""/>
      <w:lvlJc w:val="left"/>
    </w:lvl>
    <w:lvl w:ilvl="2" w:tplc="E3840326">
      <w:numFmt w:val="decimal"/>
      <w:lvlText w:val=""/>
      <w:lvlJc w:val="left"/>
    </w:lvl>
    <w:lvl w:ilvl="3" w:tplc="262CAB8E">
      <w:numFmt w:val="decimal"/>
      <w:lvlText w:val=""/>
      <w:lvlJc w:val="left"/>
    </w:lvl>
    <w:lvl w:ilvl="4" w:tplc="090A177A">
      <w:numFmt w:val="decimal"/>
      <w:lvlText w:val=""/>
      <w:lvlJc w:val="left"/>
    </w:lvl>
    <w:lvl w:ilvl="5" w:tplc="E8C0A062">
      <w:numFmt w:val="decimal"/>
      <w:lvlText w:val=""/>
      <w:lvlJc w:val="left"/>
    </w:lvl>
    <w:lvl w:ilvl="6" w:tplc="5C464DC0">
      <w:numFmt w:val="decimal"/>
      <w:lvlText w:val=""/>
      <w:lvlJc w:val="left"/>
    </w:lvl>
    <w:lvl w:ilvl="7" w:tplc="0D5494E0">
      <w:numFmt w:val="decimal"/>
      <w:lvlText w:val=""/>
      <w:lvlJc w:val="left"/>
    </w:lvl>
    <w:lvl w:ilvl="8" w:tplc="D65E51EC">
      <w:numFmt w:val="decimal"/>
      <w:lvlText w:val=""/>
      <w:lvlJc w:val="left"/>
    </w:lvl>
  </w:abstractNum>
  <w:abstractNum w:abstractNumId="1137" w15:restartNumberingAfterBreak="0">
    <w:nsid w:val="78F17CAD"/>
    <w:multiLevelType w:val="hybridMultilevel"/>
    <w:tmpl w:val="ADAC4E1C"/>
    <w:lvl w:ilvl="0" w:tplc="F782D762">
      <w:start w:val="1"/>
      <w:numFmt w:val="bullet"/>
      <w:lvlText w:val=""/>
      <w:lvlJc w:val="left"/>
      <w:pPr>
        <w:ind w:left="720" w:hanging="360"/>
      </w:pPr>
      <w:rPr>
        <w:rFonts w:ascii="Symbol" w:hAnsi="Symbol" w:hint="default"/>
      </w:rPr>
    </w:lvl>
    <w:lvl w:ilvl="1" w:tplc="5BD456C8">
      <w:numFmt w:val="decimal"/>
      <w:lvlText w:val=""/>
      <w:lvlJc w:val="left"/>
    </w:lvl>
    <w:lvl w:ilvl="2" w:tplc="C360CDBC">
      <w:numFmt w:val="decimal"/>
      <w:lvlText w:val=""/>
      <w:lvlJc w:val="left"/>
    </w:lvl>
    <w:lvl w:ilvl="3" w:tplc="63144A5A">
      <w:numFmt w:val="decimal"/>
      <w:lvlText w:val=""/>
      <w:lvlJc w:val="left"/>
    </w:lvl>
    <w:lvl w:ilvl="4" w:tplc="CAB2A6FA">
      <w:numFmt w:val="decimal"/>
      <w:lvlText w:val=""/>
      <w:lvlJc w:val="left"/>
    </w:lvl>
    <w:lvl w:ilvl="5" w:tplc="787CC6F6">
      <w:numFmt w:val="decimal"/>
      <w:lvlText w:val=""/>
      <w:lvlJc w:val="left"/>
    </w:lvl>
    <w:lvl w:ilvl="6" w:tplc="3E84B7B6">
      <w:numFmt w:val="decimal"/>
      <w:lvlText w:val=""/>
      <w:lvlJc w:val="left"/>
    </w:lvl>
    <w:lvl w:ilvl="7" w:tplc="3C247CC4">
      <w:numFmt w:val="decimal"/>
      <w:lvlText w:val=""/>
      <w:lvlJc w:val="left"/>
    </w:lvl>
    <w:lvl w:ilvl="8" w:tplc="C95087C6">
      <w:numFmt w:val="decimal"/>
      <w:lvlText w:val=""/>
      <w:lvlJc w:val="left"/>
    </w:lvl>
  </w:abstractNum>
  <w:abstractNum w:abstractNumId="1138" w15:restartNumberingAfterBreak="0">
    <w:nsid w:val="79050BC2"/>
    <w:multiLevelType w:val="hybridMultilevel"/>
    <w:tmpl w:val="A6488AE4"/>
    <w:lvl w:ilvl="0" w:tplc="BF280598">
      <w:start w:val="1"/>
      <w:numFmt w:val="bullet"/>
      <w:lvlText w:val=""/>
      <w:lvlJc w:val="left"/>
      <w:pPr>
        <w:ind w:left="720" w:hanging="360"/>
      </w:pPr>
      <w:rPr>
        <w:rFonts w:ascii="Symbol" w:hAnsi="Symbol" w:hint="default"/>
      </w:rPr>
    </w:lvl>
    <w:lvl w:ilvl="1" w:tplc="DCFE9414">
      <w:numFmt w:val="decimal"/>
      <w:lvlText w:val=""/>
      <w:lvlJc w:val="left"/>
    </w:lvl>
    <w:lvl w:ilvl="2" w:tplc="6C1CED1A">
      <w:numFmt w:val="decimal"/>
      <w:lvlText w:val=""/>
      <w:lvlJc w:val="left"/>
    </w:lvl>
    <w:lvl w:ilvl="3" w:tplc="83A86BA8">
      <w:numFmt w:val="decimal"/>
      <w:lvlText w:val=""/>
      <w:lvlJc w:val="left"/>
    </w:lvl>
    <w:lvl w:ilvl="4" w:tplc="98E05D58">
      <w:numFmt w:val="decimal"/>
      <w:lvlText w:val=""/>
      <w:lvlJc w:val="left"/>
    </w:lvl>
    <w:lvl w:ilvl="5" w:tplc="4DC61B5A">
      <w:numFmt w:val="decimal"/>
      <w:lvlText w:val=""/>
      <w:lvlJc w:val="left"/>
    </w:lvl>
    <w:lvl w:ilvl="6" w:tplc="9EE42DA4">
      <w:numFmt w:val="decimal"/>
      <w:lvlText w:val=""/>
      <w:lvlJc w:val="left"/>
    </w:lvl>
    <w:lvl w:ilvl="7" w:tplc="61A442FC">
      <w:numFmt w:val="decimal"/>
      <w:lvlText w:val=""/>
      <w:lvlJc w:val="left"/>
    </w:lvl>
    <w:lvl w:ilvl="8" w:tplc="0D5A71B0">
      <w:numFmt w:val="decimal"/>
      <w:lvlText w:val=""/>
      <w:lvlJc w:val="left"/>
    </w:lvl>
  </w:abstractNum>
  <w:abstractNum w:abstractNumId="1139" w15:restartNumberingAfterBreak="0">
    <w:nsid w:val="79237D68"/>
    <w:multiLevelType w:val="hybridMultilevel"/>
    <w:tmpl w:val="A2062F8C"/>
    <w:lvl w:ilvl="0" w:tplc="63CC26DA">
      <w:start w:val="1"/>
      <w:numFmt w:val="bullet"/>
      <w:lvlText w:val=""/>
      <w:lvlJc w:val="left"/>
      <w:pPr>
        <w:ind w:left="720" w:hanging="360"/>
      </w:pPr>
      <w:rPr>
        <w:rFonts w:ascii="Symbol" w:hAnsi="Symbol" w:hint="default"/>
      </w:rPr>
    </w:lvl>
    <w:lvl w:ilvl="1" w:tplc="D3C4AE7E">
      <w:numFmt w:val="decimal"/>
      <w:lvlText w:val=""/>
      <w:lvlJc w:val="left"/>
    </w:lvl>
    <w:lvl w:ilvl="2" w:tplc="BEDEEDF2">
      <w:numFmt w:val="decimal"/>
      <w:lvlText w:val=""/>
      <w:lvlJc w:val="left"/>
    </w:lvl>
    <w:lvl w:ilvl="3" w:tplc="EFECDCB0">
      <w:numFmt w:val="decimal"/>
      <w:lvlText w:val=""/>
      <w:lvlJc w:val="left"/>
    </w:lvl>
    <w:lvl w:ilvl="4" w:tplc="E5CA3130">
      <w:numFmt w:val="decimal"/>
      <w:lvlText w:val=""/>
      <w:lvlJc w:val="left"/>
    </w:lvl>
    <w:lvl w:ilvl="5" w:tplc="6414C5C2">
      <w:numFmt w:val="decimal"/>
      <w:lvlText w:val=""/>
      <w:lvlJc w:val="left"/>
    </w:lvl>
    <w:lvl w:ilvl="6" w:tplc="2BE0AECA">
      <w:numFmt w:val="decimal"/>
      <w:lvlText w:val=""/>
      <w:lvlJc w:val="left"/>
    </w:lvl>
    <w:lvl w:ilvl="7" w:tplc="2C565B46">
      <w:numFmt w:val="decimal"/>
      <w:lvlText w:val=""/>
      <w:lvlJc w:val="left"/>
    </w:lvl>
    <w:lvl w:ilvl="8" w:tplc="FD16E0F6">
      <w:numFmt w:val="decimal"/>
      <w:lvlText w:val=""/>
      <w:lvlJc w:val="left"/>
    </w:lvl>
  </w:abstractNum>
  <w:abstractNum w:abstractNumId="1140" w15:restartNumberingAfterBreak="0">
    <w:nsid w:val="79631CA3"/>
    <w:multiLevelType w:val="hybridMultilevel"/>
    <w:tmpl w:val="95F43DFA"/>
    <w:lvl w:ilvl="0" w:tplc="0E66B638">
      <w:start w:val="1"/>
      <w:numFmt w:val="bullet"/>
      <w:lvlText w:val=""/>
      <w:lvlJc w:val="left"/>
      <w:pPr>
        <w:ind w:left="720" w:hanging="360"/>
      </w:pPr>
      <w:rPr>
        <w:rFonts w:ascii="Symbol" w:hAnsi="Symbol" w:hint="default"/>
      </w:rPr>
    </w:lvl>
    <w:lvl w:ilvl="1" w:tplc="23C458B0">
      <w:numFmt w:val="decimal"/>
      <w:lvlText w:val=""/>
      <w:lvlJc w:val="left"/>
    </w:lvl>
    <w:lvl w:ilvl="2" w:tplc="CE369DD2">
      <w:numFmt w:val="decimal"/>
      <w:lvlText w:val=""/>
      <w:lvlJc w:val="left"/>
    </w:lvl>
    <w:lvl w:ilvl="3" w:tplc="F408835E">
      <w:numFmt w:val="decimal"/>
      <w:lvlText w:val=""/>
      <w:lvlJc w:val="left"/>
    </w:lvl>
    <w:lvl w:ilvl="4" w:tplc="1EAC34E0">
      <w:numFmt w:val="decimal"/>
      <w:lvlText w:val=""/>
      <w:lvlJc w:val="left"/>
    </w:lvl>
    <w:lvl w:ilvl="5" w:tplc="C5A85346">
      <w:numFmt w:val="decimal"/>
      <w:lvlText w:val=""/>
      <w:lvlJc w:val="left"/>
    </w:lvl>
    <w:lvl w:ilvl="6" w:tplc="2084D704">
      <w:numFmt w:val="decimal"/>
      <w:lvlText w:val=""/>
      <w:lvlJc w:val="left"/>
    </w:lvl>
    <w:lvl w:ilvl="7" w:tplc="2CF29D54">
      <w:numFmt w:val="decimal"/>
      <w:lvlText w:val=""/>
      <w:lvlJc w:val="left"/>
    </w:lvl>
    <w:lvl w:ilvl="8" w:tplc="2012D3C8">
      <w:numFmt w:val="decimal"/>
      <w:lvlText w:val=""/>
      <w:lvlJc w:val="left"/>
    </w:lvl>
  </w:abstractNum>
  <w:abstractNum w:abstractNumId="1141" w15:restartNumberingAfterBreak="0">
    <w:nsid w:val="79755D1C"/>
    <w:multiLevelType w:val="hybridMultilevel"/>
    <w:tmpl w:val="7514F0C6"/>
    <w:lvl w:ilvl="0" w:tplc="6FA809CE">
      <w:start w:val="1"/>
      <w:numFmt w:val="bullet"/>
      <w:lvlText w:val=""/>
      <w:lvlJc w:val="left"/>
      <w:pPr>
        <w:ind w:left="720" w:hanging="360"/>
      </w:pPr>
      <w:rPr>
        <w:rFonts w:ascii="Symbol" w:hAnsi="Symbol" w:hint="default"/>
      </w:rPr>
    </w:lvl>
    <w:lvl w:ilvl="1" w:tplc="8C088460">
      <w:numFmt w:val="decimal"/>
      <w:lvlText w:val=""/>
      <w:lvlJc w:val="left"/>
    </w:lvl>
    <w:lvl w:ilvl="2" w:tplc="FE8A77BA">
      <w:numFmt w:val="decimal"/>
      <w:lvlText w:val=""/>
      <w:lvlJc w:val="left"/>
    </w:lvl>
    <w:lvl w:ilvl="3" w:tplc="97C2793A">
      <w:numFmt w:val="decimal"/>
      <w:lvlText w:val=""/>
      <w:lvlJc w:val="left"/>
    </w:lvl>
    <w:lvl w:ilvl="4" w:tplc="0A90AE32">
      <w:numFmt w:val="decimal"/>
      <w:lvlText w:val=""/>
      <w:lvlJc w:val="left"/>
    </w:lvl>
    <w:lvl w:ilvl="5" w:tplc="6A98C9C4">
      <w:numFmt w:val="decimal"/>
      <w:lvlText w:val=""/>
      <w:lvlJc w:val="left"/>
    </w:lvl>
    <w:lvl w:ilvl="6" w:tplc="E62CE400">
      <w:numFmt w:val="decimal"/>
      <w:lvlText w:val=""/>
      <w:lvlJc w:val="left"/>
    </w:lvl>
    <w:lvl w:ilvl="7" w:tplc="76A4DA04">
      <w:numFmt w:val="decimal"/>
      <w:lvlText w:val=""/>
      <w:lvlJc w:val="left"/>
    </w:lvl>
    <w:lvl w:ilvl="8" w:tplc="861A1996">
      <w:numFmt w:val="decimal"/>
      <w:lvlText w:val=""/>
      <w:lvlJc w:val="left"/>
    </w:lvl>
  </w:abstractNum>
  <w:abstractNum w:abstractNumId="1142" w15:restartNumberingAfterBreak="0">
    <w:nsid w:val="797F541A"/>
    <w:multiLevelType w:val="hybridMultilevel"/>
    <w:tmpl w:val="5B927B38"/>
    <w:lvl w:ilvl="0" w:tplc="B706F218">
      <w:start w:val="1"/>
      <w:numFmt w:val="bullet"/>
      <w:lvlText w:val=""/>
      <w:lvlJc w:val="left"/>
      <w:pPr>
        <w:ind w:left="720" w:hanging="360"/>
      </w:pPr>
      <w:rPr>
        <w:rFonts w:ascii="Symbol" w:hAnsi="Symbol" w:hint="default"/>
      </w:rPr>
    </w:lvl>
    <w:lvl w:ilvl="1" w:tplc="06461D0E">
      <w:numFmt w:val="decimal"/>
      <w:lvlText w:val=""/>
      <w:lvlJc w:val="left"/>
    </w:lvl>
    <w:lvl w:ilvl="2" w:tplc="123A939C">
      <w:numFmt w:val="decimal"/>
      <w:lvlText w:val=""/>
      <w:lvlJc w:val="left"/>
    </w:lvl>
    <w:lvl w:ilvl="3" w:tplc="2E664502">
      <w:numFmt w:val="decimal"/>
      <w:lvlText w:val=""/>
      <w:lvlJc w:val="left"/>
    </w:lvl>
    <w:lvl w:ilvl="4" w:tplc="C690091E">
      <w:numFmt w:val="decimal"/>
      <w:lvlText w:val=""/>
      <w:lvlJc w:val="left"/>
    </w:lvl>
    <w:lvl w:ilvl="5" w:tplc="41A25AC2">
      <w:numFmt w:val="decimal"/>
      <w:lvlText w:val=""/>
      <w:lvlJc w:val="left"/>
    </w:lvl>
    <w:lvl w:ilvl="6" w:tplc="47980B62">
      <w:numFmt w:val="decimal"/>
      <w:lvlText w:val=""/>
      <w:lvlJc w:val="left"/>
    </w:lvl>
    <w:lvl w:ilvl="7" w:tplc="0A7A55AE">
      <w:numFmt w:val="decimal"/>
      <w:lvlText w:val=""/>
      <w:lvlJc w:val="left"/>
    </w:lvl>
    <w:lvl w:ilvl="8" w:tplc="8878E726">
      <w:numFmt w:val="decimal"/>
      <w:lvlText w:val=""/>
      <w:lvlJc w:val="left"/>
    </w:lvl>
  </w:abstractNum>
  <w:abstractNum w:abstractNumId="1143" w15:restartNumberingAfterBreak="0">
    <w:nsid w:val="798D6AAD"/>
    <w:multiLevelType w:val="hybridMultilevel"/>
    <w:tmpl w:val="6BBEE514"/>
    <w:lvl w:ilvl="0" w:tplc="E3363F94">
      <w:start w:val="1"/>
      <w:numFmt w:val="bullet"/>
      <w:lvlText w:val=""/>
      <w:lvlJc w:val="left"/>
      <w:pPr>
        <w:ind w:left="720" w:hanging="360"/>
      </w:pPr>
      <w:rPr>
        <w:rFonts w:ascii="Symbol" w:hAnsi="Symbol" w:hint="default"/>
      </w:rPr>
    </w:lvl>
    <w:lvl w:ilvl="1" w:tplc="7C1E1A36">
      <w:numFmt w:val="decimal"/>
      <w:lvlText w:val=""/>
      <w:lvlJc w:val="left"/>
    </w:lvl>
    <w:lvl w:ilvl="2" w:tplc="E3EA33B8">
      <w:numFmt w:val="decimal"/>
      <w:lvlText w:val=""/>
      <w:lvlJc w:val="left"/>
    </w:lvl>
    <w:lvl w:ilvl="3" w:tplc="70FE5ED2">
      <w:numFmt w:val="decimal"/>
      <w:lvlText w:val=""/>
      <w:lvlJc w:val="left"/>
    </w:lvl>
    <w:lvl w:ilvl="4" w:tplc="1200E806">
      <w:numFmt w:val="decimal"/>
      <w:lvlText w:val=""/>
      <w:lvlJc w:val="left"/>
    </w:lvl>
    <w:lvl w:ilvl="5" w:tplc="EBBAEFC8">
      <w:numFmt w:val="decimal"/>
      <w:lvlText w:val=""/>
      <w:lvlJc w:val="left"/>
    </w:lvl>
    <w:lvl w:ilvl="6" w:tplc="62A49956">
      <w:numFmt w:val="decimal"/>
      <w:lvlText w:val=""/>
      <w:lvlJc w:val="left"/>
    </w:lvl>
    <w:lvl w:ilvl="7" w:tplc="15000A52">
      <w:numFmt w:val="decimal"/>
      <w:lvlText w:val=""/>
      <w:lvlJc w:val="left"/>
    </w:lvl>
    <w:lvl w:ilvl="8" w:tplc="6F28ADF0">
      <w:numFmt w:val="decimal"/>
      <w:lvlText w:val=""/>
      <w:lvlJc w:val="left"/>
    </w:lvl>
  </w:abstractNum>
  <w:abstractNum w:abstractNumId="1144" w15:restartNumberingAfterBreak="0">
    <w:nsid w:val="79992225"/>
    <w:multiLevelType w:val="hybridMultilevel"/>
    <w:tmpl w:val="5A562950"/>
    <w:lvl w:ilvl="0" w:tplc="2E7471E4">
      <w:start w:val="1"/>
      <w:numFmt w:val="bullet"/>
      <w:lvlText w:val=""/>
      <w:lvlJc w:val="left"/>
      <w:pPr>
        <w:ind w:left="720" w:hanging="360"/>
      </w:pPr>
      <w:rPr>
        <w:rFonts w:ascii="Symbol" w:hAnsi="Symbol" w:hint="default"/>
      </w:rPr>
    </w:lvl>
    <w:lvl w:ilvl="1" w:tplc="D15E8898">
      <w:numFmt w:val="decimal"/>
      <w:lvlText w:val=""/>
      <w:lvlJc w:val="left"/>
    </w:lvl>
    <w:lvl w:ilvl="2" w:tplc="A7421554">
      <w:numFmt w:val="decimal"/>
      <w:lvlText w:val=""/>
      <w:lvlJc w:val="left"/>
    </w:lvl>
    <w:lvl w:ilvl="3" w:tplc="A00683A0">
      <w:numFmt w:val="decimal"/>
      <w:lvlText w:val=""/>
      <w:lvlJc w:val="left"/>
    </w:lvl>
    <w:lvl w:ilvl="4" w:tplc="0B344686">
      <w:numFmt w:val="decimal"/>
      <w:lvlText w:val=""/>
      <w:lvlJc w:val="left"/>
    </w:lvl>
    <w:lvl w:ilvl="5" w:tplc="FD204412">
      <w:numFmt w:val="decimal"/>
      <w:lvlText w:val=""/>
      <w:lvlJc w:val="left"/>
    </w:lvl>
    <w:lvl w:ilvl="6" w:tplc="F0B614EA">
      <w:numFmt w:val="decimal"/>
      <w:lvlText w:val=""/>
      <w:lvlJc w:val="left"/>
    </w:lvl>
    <w:lvl w:ilvl="7" w:tplc="CA2A6A20">
      <w:numFmt w:val="decimal"/>
      <w:lvlText w:val=""/>
      <w:lvlJc w:val="left"/>
    </w:lvl>
    <w:lvl w:ilvl="8" w:tplc="AFAE4254">
      <w:numFmt w:val="decimal"/>
      <w:lvlText w:val=""/>
      <w:lvlJc w:val="left"/>
    </w:lvl>
  </w:abstractNum>
  <w:abstractNum w:abstractNumId="1145" w15:restartNumberingAfterBreak="0">
    <w:nsid w:val="7A0146B9"/>
    <w:multiLevelType w:val="hybridMultilevel"/>
    <w:tmpl w:val="E5187248"/>
    <w:lvl w:ilvl="0" w:tplc="A664BFF8">
      <w:start w:val="1"/>
      <w:numFmt w:val="bullet"/>
      <w:lvlText w:val=""/>
      <w:lvlJc w:val="left"/>
      <w:pPr>
        <w:ind w:left="720" w:hanging="360"/>
      </w:pPr>
      <w:rPr>
        <w:rFonts w:ascii="Symbol" w:hAnsi="Symbol" w:hint="default"/>
      </w:rPr>
    </w:lvl>
    <w:lvl w:ilvl="1" w:tplc="1F1010E2">
      <w:numFmt w:val="decimal"/>
      <w:lvlText w:val=""/>
      <w:lvlJc w:val="left"/>
    </w:lvl>
    <w:lvl w:ilvl="2" w:tplc="F822B8CC">
      <w:numFmt w:val="decimal"/>
      <w:lvlText w:val=""/>
      <w:lvlJc w:val="left"/>
    </w:lvl>
    <w:lvl w:ilvl="3" w:tplc="FFD2CBE6">
      <w:numFmt w:val="decimal"/>
      <w:lvlText w:val=""/>
      <w:lvlJc w:val="left"/>
    </w:lvl>
    <w:lvl w:ilvl="4" w:tplc="C30E7002">
      <w:numFmt w:val="decimal"/>
      <w:lvlText w:val=""/>
      <w:lvlJc w:val="left"/>
    </w:lvl>
    <w:lvl w:ilvl="5" w:tplc="663A272E">
      <w:numFmt w:val="decimal"/>
      <w:lvlText w:val=""/>
      <w:lvlJc w:val="left"/>
    </w:lvl>
    <w:lvl w:ilvl="6" w:tplc="65A0151A">
      <w:numFmt w:val="decimal"/>
      <w:lvlText w:val=""/>
      <w:lvlJc w:val="left"/>
    </w:lvl>
    <w:lvl w:ilvl="7" w:tplc="CB58887E">
      <w:numFmt w:val="decimal"/>
      <w:lvlText w:val=""/>
      <w:lvlJc w:val="left"/>
    </w:lvl>
    <w:lvl w:ilvl="8" w:tplc="D3945E5E">
      <w:numFmt w:val="decimal"/>
      <w:lvlText w:val=""/>
      <w:lvlJc w:val="left"/>
    </w:lvl>
  </w:abstractNum>
  <w:abstractNum w:abstractNumId="1146" w15:restartNumberingAfterBreak="0">
    <w:nsid w:val="7A084C67"/>
    <w:multiLevelType w:val="hybridMultilevel"/>
    <w:tmpl w:val="A81A7EA6"/>
    <w:lvl w:ilvl="0" w:tplc="49A80A90">
      <w:start w:val="1"/>
      <w:numFmt w:val="bullet"/>
      <w:lvlText w:val=""/>
      <w:lvlJc w:val="left"/>
      <w:pPr>
        <w:ind w:left="720" w:hanging="360"/>
      </w:pPr>
      <w:rPr>
        <w:rFonts w:ascii="Symbol" w:hAnsi="Symbol" w:hint="default"/>
      </w:rPr>
    </w:lvl>
    <w:lvl w:ilvl="1" w:tplc="A778123E">
      <w:numFmt w:val="decimal"/>
      <w:lvlText w:val=""/>
      <w:lvlJc w:val="left"/>
    </w:lvl>
    <w:lvl w:ilvl="2" w:tplc="3964448E">
      <w:numFmt w:val="decimal"/>
      <w:lvlText w:val=""/>
      <w:lvlJc w:val="left"/>
    </w:lvl>
    <w:lvl w:ilvl="3" w:tplc="54F84A38">
      <w:numFmt w:val="decimal"/>
      <w:lvlText w:val=""/>
      <w:lvlJc w:val="left"/>
    </w:lvl>
    <w:lvl w:ilvl="4" w:tplc="DA428DA4">
      <w:numFmt w:val="decimal"/>
      <w:lvlText w:val=""/>
      <w:lvlJc w:val="left"/>
    </w:lvl>
    <w:lvl w:ilvl="5" w:tplc="337C9260">
      <w:numFmt w:val="decimal"/>
      <w:lvlText w:val=""/>
      <w:lvlJc w:val="left"/>
    </w:lvl>
    <w:lvl w:ilvl="6" w:tplc="E61EA842">
      <w:numFmt w:val="decimal"/>
      <w:lvlText w:val=""/>
      <w:lvlJc w:val="left"/>
    </w:lvl>
    <w:lvl w:ilvl="7" w:tplc="65AE3AE4">
      <w:numFmt w:val="decimal"/>
      <w:lvlText w:val=""/>
      <w:lvlJc w:val="left"/>
    </w:lvl>
    <w:lvl w:ilvl="8" w:tplc="A2B0E9B8">
      <w:numFmt w:val="decimal"/>
      <w:lvlText w:val=""/>
      <w:lvlJc w:val="left"/>
    </w:lvl>
  </w:abstractNum>
  <w:abstractNum w:abstractNumId="1147" w15:restartNumberingAfterBreak="0">
    <w:nsid w:val="7AAE3964"/>
    <w:multiLevelType w:val="hybridMultilevel"/>
    <w:tmpl w:val="02EC6DE8"/>
    <w:lvl w:ilvl="0" w:tplc="FA4022C4">
      <w:start w:val="1"/>
      <w:numFmt w:val="bullet"/>
      <w:lvlText w:val=""/>
      <w:lvlJc w:val="left"/>
      <w:pPr>
        <w:ind w:left="720" w:hanging="360"/>
      </w:pPr>
      <w:rPr>
        <w:rFonts w:ascii="Symbol" w:hAnsi="Symbol" w:hint="default"/>
      </w:rPr>
    </w:lvl>
    <w:lvl w:ilvl="1" w:tplc="041AB062">
      <w:numFmt w:val="decimal"/>
      <w:lvlText w:val=""/>
      <w:lvlJc w:val="left"/>
    </w:lvl>
    <w:lvl w:ilvl="2" w:tplc="244E3C84">
      <w:numFmt w:val="decimal"/>
      <w:lvlText w:val=""/>
      <w:lvlJc w:val="left"/>
    </w:lvl>
    <w:lvl w:ilvl="3" w:tplc="EEACC4B8">
      <w:numFmt w:val="decimal"/>
      <w:lvlText w:val=""/>
      <w:lvlJc w:val="left"/>
    </w:lvl>
    <w:lvl w:ilvl="4" w:tplc="685ADF26">
      <w:numFmt w:val="decimal"/>
      <w:lvlText w:val=""/>
      <w:lvlJc w:val="left"/>
    </w:lvl>
    <w:lvl w:ilvl="5" w:tplc="54244286">
      <w:numFmt w:val="decimal"/>
      <w:lvlText w:val=""/>
      <w:lvlJc w:val="left"/>
    </w:lvl>
    <w:lvl w:ilvl="6" w:tplc="64520D78">
      <w:numFmt w:val="decimal"/>
      <w:lvlText w:val=""/>
      <w:lvlJc w:val="left"/>
    </w:lvl>
    <w:lvl w:ilvl="7" w:tplc="0582A2DE">
      <w:numFmt w:val="decimal"/>
      <w:lvlText w:val=""/>
      <w:lvlJc w:val="left"/>
    </w:lvl>
    <w:lvl w:ilvl="8" w:tplc="9904B59C">
      <w:numFmt w:val="decimal"/>
      <w:lvlText w:val=""/>
      <w:lvlJc w:val="left"/>
    </w:lvl>
  </w:abstractNum>
  <w:abstractNum w:abstractNumId="1148" w15:restartNumberingAfterBreak="0">
    <w:nsid w:val="7B05439D"/>
    <w:multiLevelType w:val="hybridMultilevel"/>
    <w:tmpl w:val="23F858B8"/>
    <w:lvl w:ilvl="0" w:tplc="05948334">
      <w:start w:val="1"/>
      <w:numFmt w:val="bullet"/>
      <w:lvlText w:val=""/>
      <w:lvlJc w:val="left"/>
      <w:pPr>
        <w:ind w:left="720" w:hanging="360"/>
      </w:pPr>
      <w:rPr>
        <w:rFonts w:ascii="Symbol" w:hAnsi="Symbol" w:hint="default"/>
      </w:rPr>
    </w:lvl>
    <w:lvl w:ilvl="1" w:tplc="E34EA946">
      <w:numFmt w:val="decimal"/>
      <w:lvlText w:val=""/>
      <w:lvlJc w:val="left"/>
    </w:lvl>
    <w:lvl w:ilvl="2" w:tplc="70E47B7A">
      <w:numFmt w:val="decimal"/>
      <w:lvlText w:val=""/>
      <w:lvlJc w:val="left"/>
    </w:lvl>
    <w:lvl w:ilvl="3" w:tplc="63D07698">
      <w:numFmt w:val="decimal"/>
      <w:lvlText w:val=""/>
      <w:lvlJc w:val="left"/>
    </w:lvl>
    <w:lvl w:ilvl="4" w:tplc="19788432">
      <w:numFmt w:val="decimal"/>
      <w:lvlText w:val=""/>
      <w:lvlJc w:val="left"/>
    </w:lvl>
    <w:lvl w:ilvl="5" w:tplc="F01C11FC">
      <w:numFmt w:val="decimal"/>
      <w:lvlText w:val=""/>
      <w:lvlJc w:val="left"/>
    </w:lvl>
    <w:lvl w:ilvl="6" w:tplc="432EC382">
      <w:numFmt w:val="decimal"/>
      <w:lvlText w:val=""/>
      <w:lvlJc w:val="left"/>
    </w:lvl>
    <w:lvl w:ilvl="7" w:tplc="D0724592">
      <w:numFmt w:val="decimal"/>
      <w:lvlText w:val=""/>
      <w:lvlJc w:val="left"/>
    </w:lvl>
    <w:lvl w:ilvl="8" w:tplc="669CDA2C">
      <w:numFmt w:val="decimal"/>
      <w:lvlText w:val=""/>
      <w:lvlJc w:val="left"/>
    </w:lvl>
  </w:abstractNum>
  <w:abstractNum w:abstractNumId="1149" w15:restartNumberingAfterBreak="0">
    <w:nsid w:val="7B3C0DFA"/>
    <w:multiLevelType w:val="hybridMultilevel"/>
    <w:tmpl w:val="E5326DF4"/>
    <w:lvl w:ilvl="0" w:tplc="CC56846C">
      <w:start w:val="1"/>
      <w:numFmt w:val="bullet"/>
      <w:lvlText w:val=""/>
      <w:lvlJc w:val="left"/>
      <w:pPr>
        <w:ind w:left="720" w:hanging="360"/>
      </w:pPr>
      <w:rPr>
        <w:rFonts w:ascii="Symbol" w:hAnsi="Symbol" w:hint="default"/>
      </w:rPr>
    </w:lvl>
    <w:lvl w:ilvl="1" w:tplc="CC543F08">
      <w:numFmt w:val="decimal"/>
      <w:lvlText w:val=""/>
      <w:lvlJc w:val="left"/>
    </w:lvl>
    <w:lvl w:ilvl="2" w:tplc="71E4B314">
      <w:numFmt w:val="decimal"/>
      <w:lvlText w:val=""/>
      <w:lvlJc w:val="left"/>
    </w:lvl>
    <w:lvl w:ilvl="3" w:tplc="98E28F1A">
      <w:numFmt w:val="decimal"/>
      <w:lvlText w:val=""/>
      <w:lvlJc w:val="left"/>
    </w:lvl>
    <w:lvl w:ilvl="4" w:tplc="6492ACB6">
      <w:numFmt w:val="decimal"/>
      <w:lvlText w:val=""/>
      <w:lvlJc w:val="left"/>
    </w:lvl>
    <w:lvl w:ilvl="5" w:tplc="54885F36">
      <w:numFmt w:val="decimal"/>
      <w:lvlText w:val=""/>
      <w:lvlJc w:val="left"/>
    </w:lvl>
    <w:lvl w:ilvl="6" w:tplc="F578B402">
      <w:numFmt w:val="decimal"/>
      <w:lvlText w:val=""/>
      <w:lvlJc w:val="left"/>
    </w:lvl>
    <w:lvl w:ilvl="7" w:tplc="3CE48374">
      <w:numFmt w:val="decimal"/>
      <w:lvlText w:val=""/>
      <w:lvlJc w:val="left"/>
    </w:lvl>
    <w:lvl w:ilvl="8" w:tplc="83C80DB6">
      <w:numFmt w:val="decimal"/>
      <w:lvlText w:val=""/>
      <w:lvlJc w:val="left"/>
    </w:lvl>
  </w:abstractNum>
  <w:abstractNum w:abstractNumId="1150" w15:restartNumberingAfterBreak="0">
    <w:nsid w:val="7B425ADD"/>
    <w:multiLevelType w:val="hybridMultilevel"/>
    <w:tmpl w:val="10FCFF7C"/>
    <w:lvl w:ilvl="0" w:tplc="C0700F92">
      <w:start w:val="1"/>
      <w:numFmt w:val="bullet"/>
      <w:lvlText w:val=""/>
      <w:lvlJc w:val="left"/>
      <w:pPr>
        <w:ind w:left="720" w:hanging="360"/>
      </w:pPr>
      <w:rPr>
        <w:rFonts w:ascii="Symbol" w:hAnsi="Symbol" w:hint="default"/>
      </w:rPr>
    </w:lvl>
    <w:lvl w:ilvl="1" w:tplc="94AADA3A">
      <w:numFmt w:val="decimal"/>
      <w:lvlText w:val=""/>
      <w:lvlJc w:val="left"/>
    </w:lvl>
    <w:lvl w:ilvl="2" w:tplc="A0E634AE">
      <w:numFmt w:val="decimal"/>
      <w:lvlText w:val=""/>
      <w:lvlJc w:val="left"/>
    </w:lvl>
    <w:lvl w:ilvl="3" w:tplc="635645D6">
      <w:numFmt w:val="decimal"/>
      <w:lvlText w:val=""/>
      <w:lvlJc w:val="left"/>
    </w:lvl>
    <w:lvl w:ilvl="4" w:tplc="947019A8">
      <w:numFmt w:val="decimal"/>
      <w:lvlText w:val=""/>
      <w:lvlJc w:val="left"/>
    </w:lvl>
    <w:lvl w:ilvl="5" w:tplc="82FC5C10">
      <w:numFmt w:val="decimal"/>
      <w:lvlText w:val=""/>
      <w:lvlJc w:val="left"/>
    </w:lvl>
    <w:lvl w:ilvl="6" w:tplc="283A9A4C">
      <w:numFmt w:val="decimal"/>
      <w:lvlText w:val=""/>
      <w:lvlJc w:val="left"/>
    </w:lvl>
    <w:lvl w:ilvl="7" w:tplc="C928BED6">
      <w:numFmt w:val="decimal"/>
      <w:lvlText w:val=""/>
      <w:lvlJc w:val="left"/>
    </w:lvl>
    <w:lvl w:ilvl="8" w:tplc="B0AAE668">
      <w:numFmt w:val="decimal"/>
      <w:lvlText w:val=""/>
      <w:lvlJc w:val="left"/>
    </w:lvl>
  </w:abstractNum>
  <w:abstractNum w:abstractNumId="1151" w15:restartNumberingAfterBreak="0">
    <w:nsid w:val="7B5C47E3"/>
    <w:multiLevelType w:val="hybridMultilevel"/>
    <w:tmpl w:val="0EFE8E8E"/>
    <w:lvl w:ilvl="0" w:tplc="3FC83298">
      <w:start w:val="1"/>
      <w:numFmt w:val="bullet"/>
      <w:lvlText w:val=""/>
      <w:lvlJc w:val="left"/>
      <w:pPr>
        <w:ind w:left="720" w:hanging="360"/>
      </w:pPr>
      <w:rPr>
        <w:rFonts w:ascii="Symbol" w:hAnsi="Symbol" w:hint="default"/>
      </w:rPr>
    </w:lvl>
    <w:lvl w:ilvl="1" w:tplc="42AE5792">
      <w:numFmt w:val="decimal"/>
      <w:lvlText w:val=""/>
      <w:lvlJc w:val="left"/>
    </w:lvl>
    <w:lvl w:ilvl="2" w:tplc="D64E246E">
      <w:numFmt w:val="decimal"/>
      <w:lvlText w:val=""/>
      <w:lvlJc w:val="left"/>
    </w:lvl>
    <w:lvl w:ilvl="3" w:tplc="F42E42BC">
      <w:numFmt w:val="decimal"/>
      <w:lvlText w:val=""/>
      <w:lvlJc w:val="left"/>
    </w:lvl>
    <w:lvl w:ilvl="4" w:tplc="B062312A">
      <w:numFmt w:val="decimal"/>
      <w:lvlText w:val=""/>
      <w:lvlJc w:val="left"/>
    </w:lvl>
    <w:lvl w:ilvl="5" w:tplc="7CD22AD0">
      <w:numFmt w:val="decimal"/>
      <w:lvlText w:val=""/>
      <w:lvlJc w:val="left"/>
    </w:lvl>
    <w:lvl w:ilvl="6" w:tplc="E414537C">
      <w:numFmt w:val="decimal"/>
      <w:lvlText w:val=""/>
      <w:lvlJc w:val="left"/>
    </w:lvl>
    <w:lvl w:ilvl="7" w:tplc="479EEBBA">
      <w:numFmt w:val="decimal"/>
      <w:lvlText w:val=""/>
      <w:lvlJc w:val="left"/>
    </w:lvl>
    <w:lvl w:ilvl="8" w:tplc="DBFAC522">
      <w:numFmt w:val="decimal"/>
      <w:lvlText w:val=""/>
      <w:lvlJc w:val="left"/>
    </w:lvl>
  </w:abstractNum>
  <w:abstractNum w:abstractNumId="1152" w15:restartNumberingAfterBreak="0">
    <w:nsid w:val="7B5E26F9"/>
    <w:multiLevelType w:val="hybridMultilevel"/>
    <w:tmpl w:val="9732FFBA"/>
    <w:lvl w:ilvl="0" w:tplc="3ED248EA">
      <w:start w:val="1"/>
      <w:numFmt w:val="bullet"/>
      <w:lvlText w:val=""/>
      <w:lvlJc w:val="left"/>
      <w:pPr>
        <w:ind w:left="720" w:hanging="360"/>
      </w:pPr>
      <w:rPr>
        <w:rFonts w:ascii="Symbol" w:hAnsi="Symbol" w:hint="default"/>
      </w:rPr>
    </w:lvl>
    <w:lvl w:ilvl="1" w:tplc="9C0C1ACC">
      <w:numFmt w:val="decimal"/>
      <w:lvlText w:val=""/>
      <w:lvlJc w:val="left"/>
    </w:lvl>
    <w:lvl w:ilvl="2" w:tplc="7D62BFD4">
      <w:numFmt w:val="decimal"/>
      <w:lvlText w:val=""/>
      <w:lvlJc w:val="left"/>
    </w:lvl>
    <w:lvl w:ilvl="3" w:tplc="C48CD014">
      <w:numFmt w:val="decimal"/>
      <w:lvlText w:val=""/>
      <w:lvlJc w:val="left"/>
    </w:lvl>
    <w:lvl w:ilvl="4" w:tplc="4FBAF8E4">
      <w:numFmt w:val="decimal"/>
      <w:lvlText w:val=""/>
      <w:lvlJc w:val="left"/>
    </w:lvl>
    <w:lvl w:ilvl="5" w:tplc="C7A46152">
      <w:numFmt w:val="decimal"/>
      <w:lvlText w:val=""/>
      <w:lvlJc w:val="left"/>
    </w:lvl>
    <w:lvl w:ilvl="6" w:tplc="122A1936">
      <w:numFmt w:val="decimal"/>
      <w:lvlText w:val=""/>
      <w:lvlJc w:val="left"/>
    </w:lvl>
    <w:lvl w:ilvl="7" w:tplc="7116F6A6">
      <w:numFmt w:val="decimal"/>
      <w:lvlText w:val=""/>
      <w:lvlJc w:val="left"/>
    </w:lvl>
    <w:lvl w:ilvl="8" w:tplc="C52CE3A6">
      <w:numFmt w:val="decimal"/>
      <w:lvlText w:val=""/>
      <w:lvlJc w:val="left"/>
    </w:lvl>
  </w:abstractNum>
  <w:abstractNum w:abstractNumId="1153" w15:restartNumberingAfterBreak="0">
    <w:nsid w:val="7B7D5093"/>
    <w:multiLevelType w:val="hybridMultilevel"/>
    <w:tmpl w:val="AC86370C"/>
    <w:lvl w:ilvl="0" w:tplc="1B40C3DA">
      <w:start w:val="1"/>
      <w:numFmt w:val="bullet"/>
      <w:lvlText w:val=""/>
      <w:lvlJc w:val="left"/>
      <w:pPr>
        <w:ind w:left="720" w:hanging="360"/>
      </w:pPr>
      <w:rPr>
        <w:rFonts w:ascii="Symbol" w:hAnsi="Symbol" w:hint="default"/>
      </w:rPr>
    </w:lvl>
    <w:lvl w:ilvl="1" w:tplc="3EDCF392">
      <w:numFmt w:val="decimal"/>
      <w:lvlText w:val=""/>
      <w:lvlJc w:val="left"/>
    </w:lvl>
    <w:lvl w:ilvl="2" w:tplc="DBF26226">
      <w:numFmt w:val="decimal"/>
      <w:lvlText w:val=""/>
      <w:lvlJc w:val="left"/>
    </w:lvl>
    <w:lvl w:ilvl="3" w:tplc="B4300CDC">
      <w:numFmt w:val="decimal"/>
      <w:lvlText w:val=""/>
      <w:lvlJc w:val="left"/>
    </w:lvl>
    <w:lvl w:ilvl="4" w:tplc="A7C00874">
      <w:numFmt w:val="decimal"/>
      <w:lvlText w:val=""/>
      <w:lvlJc w:val="left"/>
    </w:lvl>
    <w:lvl w:ilvl="5" w:tplc="A6FC94E2">
      <w:numFmt w:val="decimal"/>
      <w:lvlText w:val=""/>
      <w:lvlJc w:val="left"/>
    </w:lvl>
    <w:lvl w:ilvl="6" w:tplc="1E5E6976">
      <w:numFmt w:val="decimal"/>
      <w:lvlText w:val=""/>
      <w:lvlJc w:val="left"/>
    </w:lvl>
    <w:lvl w:ilvl="7" w:tplc="668EB594">
      <w:numFmt w:val="decimal"/>
      <w:lvlText w:val=""/>
      <w:lvlJc w:val="left"/>
    </w:lvl>
    <w:lvl w:ilvl="8" w:tplc="A3709DA2">
      <w:numFmt w:val="decimal"/>
      <w:lvlText w:val=""/>
      <w:lvlJc w:val="left"/>
    </w:lvl>
  </w:abstractNum>
  <w:abstractNum w:abstractNumId="1154" w15:restartNumberingAfterBreak="0">
    <w:nsid w:val="7B990274"/>
    <w:multiLevelType w:val="hybridMultilevel"/>
    <w:tmpl w:val="8842DD7A"/>
    <w:lvl w:ilvl="0" w:tplc="18C25356">
      <w:start w:val="1"/>
      <w:numFmt w:val="bullet"/>
      <w:lvlText w:val=""/>
      <w:lvlJc w:val="left"/>
      <w:pPr>
        <w:ind w:left="720" w:hanging="360"/>
      </w:pPr>
      <w:rPr>
        <w:rFonts w:ascii="Symbol" w:hAnsi="Symbol" w:hint="default"/>
      </w:rPr>
    </w:lvl>
    <w:lvl w:ilvl="1" w:tplc="7CDC9C74">
      <w:numFmt w:val="decimal"/>
      <w:lvlText w:val=""/>
      <w:lvlJc w:val="left"/>
    </w:lvl>
    <w:lvl w:ilvl="2" w:tplc="8E2E1B08">
      <w:numFmt w:val="decimal"/>
      <w:lvlText w:val=""/>
      <w:lvlJc w:val="left"/>
    </w:lvl>
    <w:lvl w:ilvl="3" w:tplc="4D6451C0">
      <w:numFmt w:val="decimal"/>
      <w:lvlText w:val=""/>
      <w:lvlJc w:val="left"/>
    </w:lvl>
    <w:lvl w:ilvl="4" w:tplc="81E81428">
      <w:numFmt w:val="decimal"/>
      <w:lvlText w:val=""/>
      <w:lvlJc w:val="left"/>
    </w:lvl>
    <w:lvl w:ilvl="5" w:tplc="93C447DC">
      <w:numFmt w:val="decimal"/>
      <w:lvlText w:val=""/>
      <w:lvlJc w:val="left"/>
    </w:lvl>
    <w:lvl w:ilvl="6" w:tplc="2B62B4F8">
      <w:numFmt w:val="decimal"/>
      <w:lvlText w:val=""/>
      <w:lvlJc w:val="left"/>
    </w:lvl>
    <w:lvl w:ilvl="7" w:tplc="41B89336">
      <w:numFmt w:val="decimal"/>
      <w:lvlText w:val=""/>
      <w:lvlJc w:val="left"/>
    </w:lvl>
    <w:lvl w:ilvl="8" w:tplc="E6CA9512">
      <w:numFmt w:val="decimal"/>
      <w:lvlText w:val=""/>
      <w:lvlJc w:val="left"/>
    </w:lvl>
  </w:abstractNum>
  <w:abstractNum w:abstractNumId="1155" w15:restartNumberingAfterBreak="0">
    <w:nsid w:val="7C354A14"/>
    <w:multiLevelType w:val="hybridMultilevel"/>
    <w:tmpl w:val="4B78C668"/>
    <w:lvl w:ilvl="0" w:tplc="299C9514">
      <w:start w:val="1"/>
      <w:numFmt w:val="bullet"/>
      <w:lvlText w:val=""/>
      <w:lvlJc w:val="left"/>
      <w:pPr>
        <w:ind w:left="720" w:hanging="360"/>
      </w:pPr>
      <w:rPr>
        <w:rFonts w:ascii="Symbol" w:hAnsi="Symbol" w:hint="default"/>
      </w:rPr>
    </w:lvl>
    <w:lvl w:ilvl="1" w:tplc="9662DA86">
      <w:numFmt w:val="decimal"/>
      <w:lvlText w:val=""/>
      <w:lvlJc w:val="left"/>
    </w:lvl>
    <w:lvl w:ilvl="2" w:tplc="D3CA9E96">
      <w:numFmt w:val="decimal"/>
      <w:lvlText w:val=""/>
      <w:lvlJc w:val="left"/>
    </w:lvl>
    <w:lvl w:ilvl="3" w:tplc="6FB2A2EA">
      <w:numFmt w:val="decimal"/>
      <w:lvlText w:val=""/>
      <w:lvlJc w:val="left"/>
    </w:lvl>
    <w:lvl w:ilvl="4" w:tplc="721C1818">
      <w:numFmt w:val="decimal"/>
      <w:lvlText w:val=""/>
      <w:lvlJc w:val="left"/>
    </w:lvl>
    <w:lvl w:ilvl="5" w:tplc="B0D693B4">
      <w:numFmt w:val="decimal"/>
      <w:lvlText w:val=""/>
      <w:lvlJc w:val="left"/>
    </w:lvl>
    <w:lvl w:ilvl="6" w:tplc="0AFEFAB8">
      <w:numFmt w:val="decimal"/>
      <w:lvlText w:val=""/>
      <w:lvlJc w:val="left"/>
    </w:lvl>
    <w:lvl w:ilvl="7" w:tplc="FD5E82DE">
      <w:numFmt w:val="decimal"/>
      <w:lvlText w:val=""/>
      <w:lvlJc w:val="left"/>
    </w:lvl>
    <w:lvl w:ilvl="8" w:tplc="E6D2C096">
      <w:numFmt w:val="decimal"/>
      <w:lvlText w:val=""/>
      <w:lvlJc w:val="left"/>
    </w:lvl>
  </w:abstractNum>
  <w:abstractNum w:abstractNumId="1156" w15:restartNumberingAfterBreak="0">
    <w:nsid w:val="7C4C4B5A"/>
    <w:multiLevelType w:val="hybridMultilevel"/>
    <w:tmpl w:val="0644D0D2"/>
    <w:lvl w:ilvl="0" w:tplc="A06CF388">
      <w:start w:val="1"/>
      <w:numFmt w:val="bullet"/>
      <w:lvlText w:val=""/>
      <w:lvlJc w:val="left"/>
      <w:pPr>
        <w:ind w:left="720" w:hanging="360"/>
      </w:pPr>
      <w:rPr>
        <w:rFonts w:ascii="Symbol" w:hAnsi="Symbol" w:hint="default"/>
      </w:rPr>
    </w:lvl>
    <w:lvl w:ilvl="1" w:tplc="5FBC3554">
      <w:numFmt w:val="decimal"/>
      <w:lvlText w:val=""/>
      <w:lvlJc w:val="left"/>
    </w:lvl>
    <w:lvl w:ilvl="2" w:tplc="20F0F52E">
      <w:numFmt w:val="decimal"/>
      <w:lvlText w:val=""/>
      <w:lvlJc w:val="left"/>
    </w:lvl>
    <w:lvl w:ilvl="3" w:tplc="B1B61A70">
      <w:numFmt w:val="decimal"/>
      <w:lvlText w:val=""/>
      <w:lvlJc w:val="left"/>
    </w:lvl>
    <w:lvl w:ilvl="4" w:tplc="9646709C">
      <w:numFmt w:val="decimal"/>
      <w:lvlText w:val=""/>
      <w:lvlJc w:val="left"/>
    </w:lvl>
    <w:lvl w:ilvl="5" w:tplc="92F8DA64">
      <w:numFmt w:val="decimal"/>
      <w:lvlText w:val=""/>
      <w:lvlJc w:val="left"/>
    </w:lvl>
    <w:lvl w:ilvl="6" w:tplc="CA94294E">
      <w:numFmt w:val="decimal"/>
      <w:lvlText w:val=""/>
      <w:lvlJc w:val="left"/>
    </w:lvl>
    <w:lvl w:ilvl="7" w:tplc="FA704A8C">
      <w:numFmt w:val="decimal"/>
      <w:lvlText w:val=""/>
      <w:lvlJc w:val="left"/>
    </w:lvl>
    <w:lvl w:ilvl="8" w:tplc="327E6984">
      <w:numFmt w:val="decimal"/>
      <w:lvlText w:val=""/>
      <w:lvlJc w:val="left"/>
    </w:lvl>
  </w:abstractNum>
  <w:abstractNum w:abstractNumId="1157" w15:restartNumberingAfterBreak="0">
    <w:nsid w:val="7C54045A"/>
    <w:multiLevelType w:val="hybridMultilevel"/>
    <w:tmpl w:val="45567C7A"/>
    <w:lvl w:ilvl="0" w:tplc="F3E06C98">
      <w:start w:val="1"/>
      <w:numFmt w:val="bullet"/>
      <w:lvlText w:val=""/>
      <w:lvlJc w:val="left"/>
      <w:pPr>
        <w:ind w:left="720" w:hanging="360"/>
      </w:pPr>
      <w:rPr>
        <w:rFonts w:ascii="Symbol" w:hAnsi="Symbol" w:hint="default"/>
      </w:rPr>
    </w:lvl>
    <w:lvl w:ilvl="1" w:tplc="6082CE06">
      <w:numFmt w:val="decimal"/>
      <w:lvlText w:val=""/>
      <w:lvlJc w:val="left"/>
    </w:lvl>
    <w:lvl w:ilvl="2" w:tplc="713C9726">
      <w:numFmt w:val="decimal"/>
      <w:lvlText w:val=""/>
      <w:lvlJc w:val="left"/>
    </w:lvl>
    <w:lvl w:ilvl="3" w:tplc="0F86D2F2">
      <w:numFmt w:val="decimal"/>
      <w:lvlText w:val=""/>
      <w:lvlJc w:val="left"/>
    </w:lvl>
    <w:lvl w:ilvl="4" w:tplc="4E2683A6">
      <w:numFmt w:val="decimal"/>
      <w:lvlText w:val=""/>
      <w:lvlJc w:val="left"/>
    </w:lvl>
    <w:lvl w:ilvl="5" w:tplc="F7DEC3DE">
      <w:numFmt w:val="decimal"/>
      <w:lvlText w:val=""/>
      <w:lvlJc w:val="left"/>
    </w:lvl>
    <w:lvl w:ilvl="6" w:tplc="9AF89FB6">
      <w:numFmt w:val="decimal"/>
      <w:lvlText w:val=""/>
      <w:lvlJc w:val="left"/>
    </w:lvl>
    <w:lvl w:ilvl="7" w:tplc="A6162458">
      <w:numFmt w:val="decimal"/>
      <w:lvlText w:val=""/>
      <w:lvlJc w:val="left"/>
    </w:lvl>
    <w:lvl w:ilvl="8" w:tplc="B6764F5C">
      <w:numFmt w:val="decimal"/>
      <w:lvlText w:val=""/>
      <w:lvlJc w:val="left"/>
    </w:lvl>
  </w:abstractNum>
  <w:abstractNum w:abstractNumId="1158" w15:restartNumberingAfterBreak="0">
    <w:nsid w:val="7CA936C5"/>
    <w:multiLevelType w:val="hybridMultilevel"/>
    <w:tmpl w:val="AE2C51B2"/>
    <w:lvl w:ilvl="0" w:tplc="74C4E8B6">
      <w:start w:val="1"/>
      <w:numFmt w:val="bullet"/>
      <w:lvlText w:val=""/>
      <w:lvlJc w:val="left"/>
      <w:pPr>
        <w:ind w:left="720" w:hanging="360"/>
      </w:pPr>
      <w:rPr>
        <w:rFonts w:ascii="Symbol" w:hAnsi="Symbol" w:hint="default"/>
      </w:rPr>
    </w:lvl>
    <w:lvl w:ilvl="1" w:tplc="22C67730">
      <w:numFmt w:val="decimal"/>
      <w:lvlText w:val=""/>
      <w:lvlJc w:val="left"/>
    </w:lvl>
    <w:lvl w:ilvl="2" w:tplc="071E5BE8">
      <w:numFmt w:val="decimal"/>
      <w:lvlText w:val=""/>
      <w:lvlJc w:val="left"/>
    </w:lvl>
    <w:lvl w:ilvl="3" w:tplc="27CADA26">
      <w:numFmt w:val="decimal"/>
      <w:lvlText w:val=""/>
      <w:lvlJc w:val="left"/>
    </w:lvl>
    <w:lvl w:ilvl="4" w:tplc="8D1E289E">
      <w:numFmt w:val="decimal"/>
      <w:lvlText w:val=""/>
      <w:lvlJc w:val="left"/>
    </w:lvl>
    <w:lvl w:ilvl="5" w:tplc="8B6E9114">
      <w:numFmt w:val="decimal"/>
      <w:lvlText w:val=""/>
      <w:lvlJc w:val="left"/>
    </w:lvl>
    <w:lvl w:ilvl="6" w:tplc="5074ED94">
      <w:numFmt w:val="decimal"/>
      <w:lvlText w:val=""/>
      <w:lvlJc w:val="left"/>
    </w:lvl>
    <w:lvl w:ilvl="7" w:tplc="10C804AA">
      <w:numFmt w:val="decimal"/>
      <w:lvlText w:val=""/>
      <w:lvlJc w:val="left"/>
    </w:lvl>
    <w:lvl w:ilvl="8" w:tplc="64021588">
      <w:numFmt w:val="decimal"/>
      <w:lvlText w:val=""/>
      <w:lvlJc w:val="left"/>
    </w:lvl>
  </w:abstractNum>
  <w:abstractNum w:abstractNumId="1159" w15:restartNumberingAfterBreak="0">
    <w:nsid w:val="7CCD1EC6"/>
    <w:multiLevelType w:val="hybridMultilevel"/>
    <w:tmpl w:val="ABF0B220"/>
    <w:lvl w:ilvl="0" w:tplc="1B34ED3A">
      <w:start w:val="1"/>
      <w:numFmt w:val="bullet"/>
      <w:lvlText w:val=""/>
      <w:lvlJc w:val="left"/>
      <w:pPr>
        <w:ind w:left="720" w:hanging="360"/>
      </w:pPr>
      <w:rPr>
        <w:rFonts w:ascii="Symbol" w:hAnsi="Symbol" w:hint="default"/>
      </w:rPr>
    </w:lvl>
    <w:lvl w:ilvl="1" w:tplc="718EC532">
      <w:numFmt w:val="decimal"/>
      <w:lvlText w:val=""/>
      <w:lvlJc w:val="left"/>
    </w:lvl>
    <w:lvl w:ilvl="2" w:tplc="B2BA198C">
      <w:numFmt w:val="decimal"/>
      <w:lvlText w:val=""/>
      <w:lvlJc w:val="left"/>
    </w:lvl>
    <w:lvl w:ilvl="3" w:tplc="5CA48296">
      <w:numFmt w:val="decimal"/>
      <w:lvlText w:val=""/>
      <w:lvlJc w:val="left"/>
    </w:lvl>
    <w:lvl w:ilvl="4" w:tplc="1FCACF3A">
      <w:numFmt w:val="decimal"/>
      <w:lvlText w:val=""/>
      <w:lvlJc w:val="left"/>
    </w:lvl>
    <w:lvl w:ilvl="5" w:tplc="6B6A55C2">
      <w:numFmt w:val="decimal"/>
      <w:lvlText w:val=""/>
      <w:lvlJc w:val="left"/>
    </w:lvl>
    <w:lvl w:ilvl="6" w:tplc="62B2E4F8">
      <w:numFmt w:val="decimal"/>
      <w:lvlText w:val=""/>
      <w:lvlJc w:val="left"/>
    </w:lvl>
    <w:lvl w:ilvl="7" w:tplc="8BCC9908">
      <w:numFmt w:val="decimal"/>
      <w:lvlText w:val=""/>
      <w:lvlJc w:val="left"/>
    </w:lvl>
    <w:lvl w:ilvl="8" w:tplc="75D034A8">
      <w:numFmt w:val="decimal"/>
      <w:lvlText w:val=""/>
      <w:lvlJc w:val="left"/>
    </w:lvl>
  </w:abstractNum>
  <w:abstractNum w:abstractNumId="1160" w15:restartNumberingAfterBreak="0">
    <w:nsid w:val="7D0A402E"/>
    <w:multiLevelType w:val="hybridMultilevel"/>
    <w:tmpl w:val="C2D27D86"/>
    <w:lvl w:ilvl="0" w:tplc="FE8014EE">
      <w:start w:val="1"/>
      <w:numFmt w:val="bullet"/>
      <w:lvlText w:val=""/>
      <w:lvlJc w:val="left"/>
      <w:pPr>
        <w:ind w:left="720" w:hanging="360"/>
      </w:pPr>
      <w:rPr>
        <w:rFonts w:ascii="Symbol" w:hAnsi="Symbol" w:hint="default"/>
      </w:rPr>
    </w:lvl>
    <w:lvl w:ilvl="1" w:tplc="4EE2C94A">
      <w:numFmt w:val="decimal"/>
      <w:lvlText w:val=""/>
      <w:lvlJc w:val="left"/>
    </w:lvl>
    <w:lvl w:ilvl="2" w:tplc="B26C80D4">
      <w:numFmt w:val="decimal"/>
      <w:lvlText w:val=""/>
      <w:lvlJc w:val="left"/>
    </w:lvl>
    <w:lvl w:ilvl="3" w:tplc="AAF4CC14">
      <w:numFmt w:val="decimal"/>
      <w:lvlText w:val=""/>
      <w:lvlJc w:val="left"/>
    </w:lvl>
    <w:lvl w:ilvl="4" w:tplc="90F0ECD6">
      <w:numFmt w:val="decimal"/>
      <w:lvlText w:val=""/>
      <w:lvlJc w:val="left"/>
    </w:lvl>
    <w:lvl w:ilvl="5" w:tplc="71844554">
      <w:numFmt w:val="decimal"/>
      <w:lvlText w:val=""/>
      <w:lvlJc w:val="left"/>
    </w:lvl>
    <w:lvl w:ilvl="6" w:tplc="F3165D36">
      <w:numFmt w:val="decimal"/>
      <w:lvlText w:val=""/>
      <w:lvlJc w:val="left"/>
    </w:lvl>
    <w:lvl w:ilvl="7" w:tplc="598489EC">
      <w:numFmt w:val="decimal"/>
      <w:lvlText w:val=""/>
      <w:lvlJc w:val="left"/>
    </w:lvl>
    <w:lvl w:ilvl="8" w:tplc="C1D23B78">
      <w:numFmt w:val="decimal"/>
      <w:lvlText w:val=""/>
      <w:lvlJc w:val="left"/>
    </w:lvl>
  </w:abstractNum>
  <w:abstractNum w:abstractNumId="1161" w15:restartNumberingAfterBreak="0">
    <w:nsid w:val="7D1C67A2"/>
    <w:multiLevelType w:val="hybridMultilevel"/>
    <w:tmpl w:val="05E210B6"/>
    <w:lvl w:ilvl="0" w:tplc="5CB4D8CA">
      <w:start w:val="1"/>
      <w:numFmt w:val="bullet"/>
      <w:lvlText w:val=""/>
      <w:lvlJc w:val="left"/>
      <w:pPr>
        <w:ind w:left="720" w:hanging="360"/>
      </w:pPr>
      <w:rPr>
        <w:rFonts w:ascii="Symbol" w:hAnsi="Symbol" w:hint="default"/>
      </w:rPr>
    </w:lvl>
    <w:lvl w:ilvl="1" w:tplc="515A6B2E">
      <w:numFmt w:val="decimal"/>
      <w:lvlText w:val=""/>
      <w:lvlJc w:val="left"/>
    </w:lvl>
    <w:lvl w:ilvl="2" w:tplc="2B6400E6">
      <w:numFmt w:val="decimal"/>
      <w:lvlText w:val=""/>
      <w:lvlJc w:val="left"/>
    </w:lvl>
    <w:lvl w:ilvl="3" w:tplc="C11E20D2">
      <w:numFmt w:val="decimal"/>
      <w:lvlText w:val=""/>
      <w:lvlJc w:val="left"/>
    </w:lvl>
    <w:lvl w:ilvl="4" w:tplc="9BE650D6">
      <w:numFmt w:val="decimal"/>
      <w:lvlText w:val=""/>
      <w:lvlJc w:val="left"/>
    </w:lvl>
    <w:lvl w:ilvl="5" w:tplc="74323832">
      <w:numFmt w:val="decimal"/>
      <w:lvlText w:val=""/>
      <w:lvlJc w:val="left"/>
    </w:lvl>
    <w:lvl w:ilvl="6" w:tplc="4B02DB22">
      <w:numFmt w:val="decimal"/>
      <w:lvlText w:val=""/>
      <w:lvlJc w:val="left"/>
    </w:lvl>
    <w:lvl w:ilvl="7" w:tplc="431C1B80">
      <w:numFmt w:val="decimal"/>
      <w:lvlText w:val=""/>
      <w:lvlJc w:val="left"/>
    </w:lvl>
    <w:lvl w:ilvl="8" w:tplc="51521896">
      <w:numFmt w:val="decimal"/>
      <w:lvlText w:val=""/>
      <w:lvlJc w:val="left"/>
    </w:lvl>
  </w:abstractNum>
  <w:abstractNum w:abstractNumId="1162" w15:restartNumberingAfterBreak="0">
    <w:nsid w:val="7D1D16FE"/>
    <w:multiLevelType w:val="hybridMultilevel"/>
    <w:tmpl w:val="86EEBCFA"/>
    <w:lvl w:ilvl="0" w:tplc="426A6E64">
      <w:start w:val="1"/>
      <w:numFmt w:val="bullet"/>
      <w:lvlText w:val=""/>
      <w:lvlJc w:val="left"/>
      <w:pPr>
        <w:ind w:left="720" w:hanging="360"/>
      </w:pPr>
      <w:rPr>
        <w:rFonts w:ascii="Symbol" w:hAnsi="Symbol" w:hint="default"/>
      </w:rPr>
    </w:lvl>
    <w:lvl w:ilvl="1" w:tplc="573E50B2">
      <w:numFmt w:val="decimal"/>
      <w:lvlText w:val=""/>
      <w:lvlJc w:val="left"/>
    </w:lvl>
    <w:lvl w:ilvl="2" w:tplc="19820DAE">
      <w:numFmt w:val="decimal"/>
      <w:lvlText w:val=""/>
      <w:lvlJc w:val="left"/>
    </w:lvl>
    <w:lvl w:ilvl="3" w:tplc="3F7495E0">
      <w:numFmt w:val="decimal"/>
      <w:lvlText w:val=""/>
      <w:lvlJc w:val="left"/>
    </w:lvl>
    <w:lvl w:ilvl="4" w:tplc="3EBAF252">
      <w:numFmt w:val="decimal"/>
      <w:lvlText w:val=""/>
      <w:lvlJc w:val="left"/>
    </w:lvl>
    <w:lvl w:ilvl="5" w:tplc="C40CB88A">
      <w:numFmt w:val="decimal"/>
      <w:lvlText w:val=""/>
      <w:lvlJc w:val="left"/>
    </w:lvl>
    <w:lvl w:ilvl="6" w:tplc="05307D8E">
      <w:numFmt w:val="decimal"/>
      <w:lvlText w:val=""/>
      <w:lvlJc w:val="left"/>
    </w:lvl>
    <w:lvl w:ilvl="7" w:tplc="3A62341C">
      <w:numFmt w:val="decimal"/>
      <w:lvlText w:val=""/>
      <w:lvlJc w:val="left"/>
    </w:lvl>
    <w:lvl w:ilvl="8" w:tplc="8FDC4CE0">
      <w:numFmt w:val="decimal"/>
      <w:lvlText w:val=""/>
      <w:lvlJc w:val="left"/>
    </w:lvl>
  </w:abstractNum>
  <w:abstractNum w:abstractNumId="1163" w15:restartNumberingAfterBreak="0">
    <w:nsid w:val="7D48756A"/>
    <w:multiLevelType w:val="hybridMultilevel"/>
    <w:tmpl w:val="7796585C"/>
    <w:lvl w:ilvl="0" w:tplc="4176B346">
      <w:start w:val="1"/>
      <w:numFmt w:val="bullet"/>
      <w:lvlText w:val=""/>
      <w:lvlJc w:val="left"/>
      <w:pPr>
        <w:ind w:left="720" w:hanging="360"/>
      </w:pPr>
      <w:rPr>
        <w:rFonts w:ascii="Symbol" w:hAnsi="Symbol" w:hint="default"/>
      </w:rPr>
    </w:lvl>
    <w:lvl w:ilvl="1" w:tplc="1EF4C762">
      <w:numFmt w:val="decimal"/>
      <w:lvlText w:val=""/>
      <w:lvlJc w:val="left"/>
    </w:lvl>
    <w:lvl w:ilvl="2" w:tplc="9F88A55A">
      <w:numFmt w:val="decimal"/>
      <w:lvlText w:val=""/>
      <w:lvlJc w:val="left"/>
    </w:lvl>
    <w:lvl w:ilvl="3" w:tplc="F6FE3A70">
      <w:numFmt w:val="decimal"/>
      <w:lvlText w:val=""/>
      <w:lvlJc w:val="left"/>
    </w:lvl>
    <w:lvl w:ilvl="4" w:tplc="5C941BD4">
      <w:numFmt w:val="decimal"/>
      <w:lvlText w:val=""/>
      <w:lvlJc w:val="left"/>
    </w:lvl>
    <w:lvl w:ilvl="5" w:tplc="F246E8DC">
      <w:numFmt w:val="decimal"/>
      <w:lvlText w:val=""/>
      <w:lvlJc w:val="left"/>
    </w:lvl>
    <w:lvl w:ilvl="6" w:tplc="ED1ABBBC">
      <w:numFmt w:val="decimal"/>
      <w:lvlText w:val=""/>
      <w:lvlJc w:val="left"/>
    </w:lvl>
    <w:lvl w:ilvl="7" w:tplc="9A6218C8">
      <w:numFmt w:val="decimal"/>
      <w:lvlText w:val=""/>
      <w:lvlJc w:val="left"/>
    </w:lvl>
    <w:lvl w:ilvl="8" w:tplc="2BD88B3A">
      <w:numFmt w:val="decimal"/>
      <w:lvlText w:val=""/>
      <w:lvlJc w:val="left"/>
    </w:lvl>
  </w:abstractNum>
  <w:abstractNum w:abstractNumId="1164" w15:restartNumberingAfterBreak="0">
    <w:nsid w:val="7D4A571B"/>
    <w:multiLevelType w:val="hybridMultilevel"/>
    <w:tmpl w:val="0282772C"/>
    <w:lvl w:ilvl="0" w:tplc="3C5C165C">
      <w:start w:val="1"/>
      <w:numFmt w:val="bullet"/>
      <w:lvlText w:val=""/>
      <w:lvlJc w:val="left"/>
      <w:pPr>
        <w:ind w:left="720" w:hanging="360"/>
      </w:pPr>
      <w:rPr>
        <w:rFonts w:ascii="Symbol" w:hAnsi="Symbol" w:hint="default"/>
      </w:rPr>
    </w:lvl>
    <w:lvl w:ilvl="1" w:tplc="252E9834">
      <w:numFmt w:val="decimal"/>
      <w:lvlText w:val=""/>
      <w:lvlJc w:val="left"/>
    </w:lvl>
    <w:lvl w:ilvl="2" w:tplc="B06CA1DE">
      <w:numFmt w:val="decimal"/>
      <w:lvlText w:val=""/>
      <w:lvlJc w:val="left"/>
    </w:lvl>
    <w:lvl w:ilvl="3" w:tplc="2F6EFF60">
      <w:numFmt w:val="decimal"/>
      <w:lvlText w:val=""/>
      <w:lvlJc w:val="left"/>
    </w:lvl>
    <w:lvl w:ilvl="4" w:tplc="89422F44">
      <w:numFmt w:val="decimal"/>
      <w:lvlText w:val=""/>
      <w:lvlJc w:val="left"/>
    </w:lvl>
    <w:lvl w:ilvl="5" w:tplc="BDFE3940">
      <w:numFmt w:val="decimal"/>
      <w:lvlText w:val=""/>
      <w:lvlJc w:val="left"/>
    </w:lvl>
    <w:lvl w:ilvl="6" w:tplc="AF861DD6">
      <w:numFmt w:val="decimal"/>
      <w:lvlText w:val=""/>
      <w:lvlJc w:val="left"/>
    </w:lvl>
    <w:lvl w:ilvl="7" w:tplc="EB12C166">
      <w:numFmt w:val="decimal"/>
      <w:lvlText w:val=""/>
      <w:lvlJc w:val="left"/>
    </w:lvl>
    <w:lvl w:ilvl="8" w:tplc="0262C06A">
      <w:numFmt w:val="decimal"/>
      <w:lvlText w:val=""/>
      <w:lvlJc w:val="left"/>
    </w:lvl>
  </w:abstractNum>
  <w:abstractNum w:abstractNumId="1165" w15:restartNumberingAfterBreak="0">
    <w:nsid w:val="7D713499"/>
    <w:multiLevelType w:val="hybridMultilevel"/>
    <w:tmpl w:val="1D6E834A"/>
    <w:lvl w:ilvl="0" w:tplc="3E6C2E98">
      <w:start w:val="1"/>
      <w:numFmt w:val="bullet"/>
      <w:lvlText w:val=""/>
      <w:lvlJc w:val="left"/>
      <w:pPr>
        <w:ind w:left="720" w:hanging="360"/>
      </w:pPr>
      <w:rPr>
        <w:rFonts w:ascii="Symbol" w:hAnsi="Symbol" w:hint="default"/>
      </w:rPr>
    </w:lvl>
    <w:lvl w:ilvl="1" w:tplc="C4D0E26C">
      <w:numFmt w:val="decimal"/>
      <w:lvlText w:val=""/>
      <w:lvlJc w:val="left"/>
    </w:lvl>
    <w:lvl w:ilvl="2" w:tplc="E9666CE0">
      <w:numFmt w:val="decimal"/>
      <w:lvlText w:val=""/>
      <w:lvlJc w:val="left"/>
    </w:lvl>
    <w:lvl w:ilvl="3" w:tplc="32A652A2">
      <w:numFmt w:val="decimal"/>
      <w:lvlText w:val=""/>
      <w:lvlJc w:val="left"/>
    </w:lvl>
    <w:lvl w:ilvl="4" w:tplc="651C446A">
      <w:numFmt w:val="decimal"/>
      <w:lvlText w:val=""/>
      <w:lvlJc w:val="left"/>
    </w:lvl>
    <w:lvl w:ilvl="5" w:tplc="0A049108">
      <w:numFmt w:val="decimal"/>
      <w:lvlText w:val=""/>
      <w:lvlJc w:val="left"/>
    </w:lvl>
    <w:lvl w:ilvl="6" w:tplc="55CCF748">
      <w:numFmt w:val="decimal"/>
      <w:lvlText w:val=""/>
      <w:lvlJc w:val="left"/>
    </w:lvl>
    <w:lvl w:ilvl="7" w:tplc="1004C2D6">
      <w:numFmt w:val="decimal"/>
      <w:lvlText w:val=""/>
      <w:lvlJc w:val="left"/>
    </w:lvl>
    <w:lvl w:ilvl="8" w:tplc="21729E3A">
      <w:numFmt w:val="decimal"/>
      <w:lvlText w:val=""/>
      <w:lvlJc w:val="left"/>
    </w:lvl>
  </w:abstractNum>
  <w:abstractNum w:abstractNumId="1166" w15:restartNumberingAfterBreak="0">
    <w:nsid w:val="7D852AFE"/>
    <w:multiLevelType w:val="hybridMultilevel"/>
    <w:tmpl w:val="1046A094"/>
    <w:lvl w:ilvl="0" w:tplc="E208EC06">
      <w:start w:val="1"/>
      <w:numFmt w:val="bullet"/>
      <w:lvlText w:val=""/>
      <w:lvlJc w:val="left"/>
      <w:pPr>
        <w:ind w:left="720" w:hanging="360"/>
      </w:pPr>
      <w:rPr>
        <w:rFonts w:ascii="Symbol" w:hAnsi="Symbol" w:hint="default"/>
      </w:rPr>
    </w:lvl>
    <w:lvl w:ilvl="1" w:tplc="2B0CDE98">
      <w:numFmt w:val="decimal"/>
      <w:lvlText w:val=""/>
      <w:lvlJc w:val="left"/>
    </w:lvl>
    <w:lvl w:ilvl="2" w:tplc="F35EFE8C">
      <w:numFmt w:val="decimal"/>
      <w:lvlText w:val=""/>
      <w:lvlJc w:val="left"/>
    </w:lvl>
    <w:lvl w:ilvl="3" w:tplc="FF40F4E0">
      <w:numFmt w:val="decimal"/>
      <w:lvlText w:val=""/>
      <w:lvlJc w:val="left"/>
    </w:lvl>
    <w:lvl w:ilvl="4" w:tplc="C3345148">
      <w:numFmt w:val="decimal"/>
      <w:lvlText w:val=""/>
      <w:lvlJc w:val="left"/>
    </w:lvl>
    <w:lvl w:ilvl="5" w:tplc="C80636DE">
      <w:numFmt w:val="decimal"/>
      <w:lvlText w:val=""/>
      <w:lvlJc w:val="left"/>
    </w:lvl>
    <w:lvl w:ilvl="6" w:tplc="6908F824">
      <w:numFmt w:val="decimal"/>
      <w:lvlText w:val=""/>
      <w:lvlJc w:val="left"/>
    </w:lvl>
    <w:lvl w:ilvl="7" w:tplc="14CC20F6">
      <w:numFmt w:val="decimal"/>
      <w:lvlText w:val=""/>
      <w:lvlJc w:val="left"/>
    </w:lvl>
    <w:lvl w:ilvl="8" w:tplc="FD1E2160">
      <w:numFmt w:val="decimal"/>
      <w:lvlText w:val=""/>
      <w:lvlJc w:val="left"/>
    </w:lvl>
  </w:abstractNum>
  <w:abstractNum w:abstractNumId="1167" w15:restartNumberingAfterBreak="0">
    <w:nsid w:val="7D9D3188"/>
    <w:multiLevelType w:val="hybridMultilevel"/>
    <w:tmpl w:val="BB6C8DF2"/>
    <w:lvl w:ilvl="0" w:tplc="287A34EA">
      <w:start w:val="1"/>
      <w:numFmt w:val="bullet"/>
      <w:lvlText w:val=""/>
      <w:lvlJc w:val="left"/>
      <w:pPr>
        <w:ind w:left="720" w:hanging="360"/>
      </w:pPr>
      <w:rPr>
        <w:rFonts w:ascii="Symbol" w:hAnsi="Symbol" w:hint="default"/>
      </w:rPr>
    </w:lvl>
    <w:lvl w:ilvl="1" w:tplc="4FBA29CA">
      <w:numFmt w:val="decimal"/>
      <w:lvlText w:val=""/>
      <w:lvlJc w:val="left"/>
    </w:lvl>
    <w:lvl w:ilvl="2" w:tplc="9544E410">
      <w:numFmt w:val="decimal"/>
      <w:lvlText w:val=""/>
      <w:lvlJc w:val="left"/>
    </w:lvl>
    <w:lvl w:ilvl="3" w:tplc="E026A2C2">
      <w:numFmt w:val="decimal"/>
      <w:lvlText w:val=""/>
      <w:lvlJc w:val="left"/>
    </w:lvl>
    <w:lvl w:ilvl="4" w:tplc="8F90E884">
      <w:numFmt w:val="decimal"/>
      <w:lvlText w:val=""/>
      <w:lvlJc w:val="left"/>
    </w:lvl>
    <w:lvl w:ilvl="5" w:tplc="B9C8A288">
      <w:numFmt w:val="decimal"/>
      <w:lvlText w:val=""/>
      <w:lvlJc w:val="left"/>
    </w:lvl>
    <w:lvl w:ilvl="6" w:tplc="D3E0F6D6">
      <w:numFmt w:val="decimal"/>
      <w:lvlText w:val=""/>
      <w:lvlJc w:val="left"/>
    </w:lvl>
    <w:lvl w:ilvl="7" w:tplc="38A09E5E">
      <w:numFmt w:val="decimal"/>
      <w:lvlText w:val=""/>
      <w:lvlJc w:val="left"/>
    </w:lvl>
    <w:lvl w:ilvl="8" w:tplc="1166F8FE">
      <w:numFmt w:val="decimal"/>
      <w:lvlText w:val=""/>
      <w:lvlJc w:val="left"/>
    </w:lvl>
  </w:abstractNum>
  <w:abstractNum w:abstractNumId="1168" w15:restartNumberingAfterBreak="0">
    <w:nsid w:val="7DD93935"/>
    <w:multiLevelType w:val="hybridMultilevel"/>
    <w:tmpl w:val="D986927A"/>
    <w:lvl w:ilvl="0" w:tplc="EED0523E">
      <w:start w:val="1"/>
      <w:numFmt w:val="bullet"/>
      <w:lvlText w:val=""/>
      <w:lvlJc w:val="left"/>
      <w:pPr>
        <w:ind w:left="720" w:hanging="360"/>
      </w:pPr>
      <w:rPr>
        <w:rFonts w:ascii="Symbol" w:hAnsi="Symbol" w:hint="default"/>
      </w:rPr>
    </w:lvl>
    <w:lvl w:ilvl="1" w:tplc="6DF84BCE">
      <w:numFmt w:val="decimal"/>
      <w:lvlText w:val=""/>
      <w:lvlJc w:val="left"/>
    </w:lvl>
    <w:lvl w:ilvl="2" w:tplc="6EEA867C">
      <w:numFmt w:val="decimal"/>
      <w:lvlText w:val=""/>
      <w:lvlJc w:val="left"/>
    </w:lvl>
    <w:lvl w:ilvl="3" w:tplc="BA62C24A">
      <w:numFmt w:val="decimal"/>
      <w:lvlText w:val=""/>
      <w:lvlJc w:val="left"/>
    </w:lvl>
    <w:lvl w:ilvl="4" w:tplc="30660558">
      <w:numFmt w:val="decimal"/>
      <w:lvlText w:val=""/>
      <w:lvlJc w:val="left"/>
    </w:lvl>
    <w:lvl w:ilvl="5" w:tplc="5E1CCA54">
      <w:numFmt w:val="decimal"/>
      <w:lvlText w:val=""/>
      <w:lvlJc w:val="left"/>
    </w:lvl>
    <w:lvl w:ilvl="6" w:tplc="9EDE3356">
      <w:numFmt w:val="decimal"/>
      <w:lvlText w:val=""/>
      <w:lvlJc w:val="left"/>
    </w:lvl>
    <w:lvl w:ilvl="7" w:tplc="EF4CF9E0">
      <w:numFmt w:val="decimal"/>
      <w:lvlText w:val=""/>
      <w:lvlJc w:val="left"/>
    </w:lvl>
    <w:lvl w:ilvl="8" w:tplc="BB540858">
      <w:numFmt w:val="decimal"/>
      <w:lvlText w:val=""/>
      <w:lvlJc w:val="left"/>
    </w:lvl>
  </w:abstractNum>
  <w:abstractNum w:abstractNumId="1169" w15:restartNumberingAfterBreak="0">
    <w:nsid w:val="7DDF3A5A"/>
    <w:multiLevelType w:val="hybridMultilevel"/>
    <w:tmpl w:val="BF1070D2"/>
    <w:lvl w:ilvl="0" w:tplc="9D5E9358">
      <w:start w:val="1"/>
      <w:numFmt w:val="bullet"/>
      <w:lvlText w:val=""/>
      <w:lvlJc w:val="left"/>
      <w:pPr>
        <w:ind w:left="720" w:hanging="360"/>
      </w:pPr>
      <w:rPr>
        <w:rFonts w:ascii="Symbol" w:hAnsi="Symbol" w:hint="default"/>
      </w:rPr>
    </w:lvl>
    <w:lvl w:ilvl="1" w:tplc="0422EBC0">
      <w:numFmt w:val="decimal"/>
      <w:lvlText w:val=""/>
      <w:lvlJc w:val="left"/>
    </w:lvl>
    <w:lvl w:ilvl="2" w:tplc="C3DA3FAA">
      <w:numFmt w:val="decimal"/>
      <w:lvlText w:val=""/>
      <w:lvlJc w:val="left"/>
    </w:lvl>
    <w:lvl w:ilvl="3" w:tplc="BB8EAFEC">
      <w:numFmt w:val="decimal"/>
      <w:lvlText w:val=""/>
      <w:lvlJc w:val="left"/>
    </w:lvl>
    <w:lvl w:ilvl="4" w:tplc="9B1C1D6C">
      <w:numFmt w:val="decimal"/>
      <w:lvlText w:val=""/>
      <w:lvlJc w:val="left"/>
    </w:lvl>
    <w:lvl w:ilvl="5" w:tplc="FDCC4126">
      <w:numFmt w:val="decimal"/>
      <w:lvlText w:val=""/>
      <w:lvlJc w:val="left"/>
    </w:lvl>
    <w:lvl w:ilvl="6" w:tplc="987A1158">
      <w:numFmt w:val="decimal"/>
      <w:lvlText w:val=""/>
      <w:lvlJc w:val="left"/>
    </w:lvl>
    <w:lvl w:ilvl="7" w:tplc="A25ADA50">
      <w:numFmt w:val="decimal"/>
      <w:lvlText w:val=""/>
      <w:lvlJc w:val="left"/>
    </w:lvl>
    <w:lvl w:ilvl="8" w:tplc="F0F231A2">
      <w:numFmt w:val="decimal"/>
      <w:lvlText w:val=""/>
      <w:lvlJc w:val="left"/>
    </w:lvl>
  </w:abstractNum>
  <w:abstractNum w:abstractNumId="1170" w15:restartNumberingAfterBreak="0">
    <w:nsid w:val="7DF314DD"/>
    <w:multiLevelType w:val="hybridMultilevel"/>
    <w:tmpl w:val="399EDBE6"/>
    <w:lvl w:ilvl="0" w:tplc="9CBA2E3A">
      <w:start w:val="1"/>
      <w:numFmt w:val="bullet"/>
      <w:lvlText w:val=""/>
      <w:lvlJc w:val="left"/>
      <w:pPr>
        <w:ind w:left="720" w:hanging="360"/>
      </w:pPr>
      <w:rPr>
        <w:rFonts w:ascii="Symbol" w:hAnsi="Symbol" w:hint="default"/>
      </w:rPr>
    </w:lvl>
    <w:lvl w:ilvl="1" w:tplc="DEE4616A">
      <w:numFmt w:val="decimal"/>
      <w:lvlText w:val=""/>
      <w:lvlJc w:val="left"/>
    </w:lvl>
    <w:lvl w:ilvl="2" w:tplc="9918B986">
      <w:numFmt w:val="decimal"/>
      <w:lvlText w:val=""/>
      <w:lvlJc w:val="left"/>
    </w:lvl>
    <w:lvl w:ilvl="3" w:tplc="F5B6E9DE">
      <w:numFmt w:val="decimal"/>
      <w:lvlText w:val=""/>
      <w:lvlJc w:val="left"/>
    </w:lvl>
    <w:lvl w:ilvl="4" w:tplc="6DF49E02">
      <w:numFmt w:val="decimal"/>
      <w:lvlText w:val=""/>
      <w:lvlJc w:val="left"/>
    </w:lvl>
    <w:lvl w:ilvl="5" w:tplc="5BD8E438">
      <w:numFmt w:val="decimal"/>
      <w:lvlText w:val=""/>
      <w:lvlJc w:val="left"/>
    </w:lvl>
    <w:lvl w:ilvl="6" w:tplc="EF5A13DA">
      <w:numFmt w:val="decimal"/>
      <w:lvlText w:val=""/>
      <w:lvlJc w:val="left"/>
    </w:lvl>
    <w:lvl w:ilvl="7" w:tplc="0B007586">
      <w:numFmt w:val="decimal"/>
      <w:lvlText w:val=""/>
      <w:lvlJc w:val="left"/>
    </w:lvl>
    <w:lvl w:ilvl="8" w:tplc="FB00E13C">
      <w:numFmt w:val="decimal"/>
      <w:lvlText w:val=""/>
      <w:lvlJc w:val="left"/>
    </w:lvl>
  </w:abstractNum>
  <w:abstractNum w:abstractNumId="1171" w15:restartNumberingAfterBreak="0">
    <w:nsid w:val="7E5A23BE"/>
    <w:multiLevelType w:val="hybridMultilevel"/>
    <w:tmpl w:val="AE60054C"/>
    <w:lvl w:ilvl="0" w:tplc="83FA9650">
      <w:start w:val="1"/>
      <w:numFmt w:val="bullet"/>
      <w:lvlText w:val=""/>
      <w:lvlJc w:val="left"/>
      <w:pPr>
        <w:ind w:left="720" w:hanging="360"/>
      </w:pPr>
      <w:rPr>
        <w:rFonts w:ascii="Symbol" w:hAnsi="Symbol" w:hint="default"/>
      </w:rPr>
    </w:lvl>
    <w:lvl w:ilvl="1" w:tplc="F57AEE38">
      <w:numFmt w:val="decimal"/>
      <w:lvlText w:val=""/>
      <w:lvlJc w:val="left"/>
    </w:lvl>
    <w:lvl w:ilvl="2" w:tplc="7B42FA88">
      <w:numFmt w:val="decimal"/>
      <w:lvlText w:val=""/>
      <w:lvlJc w:val="left"/>
    </w:lvl>
    <w:lvl w:ilvl="3" w:tplc="EB5A8FBA">
      <w:numFmt w:val="decimal"/>
      <w:lvlText w:val=""/>
      <w:lvlJc w:val="left"/>
    </w:lvl>
    <w:lvl w:ilvl="4" w:tplc="4AE81A1C">
      <w:numFmt w:val="decimal"/>
      <w:lvlText w:val=""/>
      <w:lvlJc w:val="left"/>
    </w:lvl>
    <w:lvl w:ilvl="5" w:tplc="12BC0974">
      <w:numFmt w:val="decimal"/>
      <w:lvlText w:val=""/>
      <w:lvlJc w:val="left"/>
    </w:lvl>
    <w:lvl w:ilvl="6" w:tplc="FF1211E8">
      <w:numFmt w:val="decimal"/>
      <w:lvlText w:val=""/>
      <w:lvlJc w:val="left"/>
    </w:lvl>
    <w:lvl w:ilvl="7" w:tplc="769C9B2E">
      <w:numFmt w:val="decimal"/>
      <w:lvlText w:val=""/>
      <w:lvlJc w:val="left"/>
    </w:lvl>
    <w:lvl w:ilvl="8" w:tplc="B12EBF38">
      <w:numFmt w:val="decimal"/>
      <w:lvlText w:val=""/>
      <w:lvlJc w:val="left"/>
    </w:lvl>
  </w:abstractNum>
  <w:abstractNum w:abstractNumId="1172" w15:restartNumberingAfterBreak="0">
    <w:nsid w:val="7E764FC1"/>
    <w:multiLevelType w:val="hybridMultilevel"/>
    <w:tmpl w:val="E654B746"/>
    <w:lvl w:ilvl="0" w:tplc="92A094EC">
      <w:start w:val="1"/>
      <w:numFmt w:val="bullet"/>
      <w:lvlText w:val=""/>
      <w:lvlJc w:val="left"/>
      <w:pPr>
        <w:ind w:left="720" w:hanging="360"/>
      </w:pPr>
      <w:rPr>
        <w:rFonts w:ascii="Symbol" w:hAnsi="Symbol" w:hint="default"/>
      </w:rPr>
    </w:lvl>
    <w:lvl w:ilvl="1" w:tplc="ADCCFF24">
      <w:numFmt w:val="decimal"/>
      <w:lvlText w:val=""/>
      <w:lvlJc w:val="left"/>
    </w:lvl>
    <w:lvl w:ilvl="2" w:tplc="945AE2C8">
      <w:numFmt w:val="decimal"/>
      <w:lvlText w:val=""/>
      <w:lvlJc w:val="left"/>
    </w:lvl>
    <w:lvl w:ilvl="3" w:tplc="92100650">
      <w:numFmt w:val="decimal"/>
      <w:lvlText w:val=""/>
      <w:lvlJc w:val="left"/>
    </w:lvl>
    <w:lvl w:ilvl="4" w:tplc="6572462E">
      <w:numFmt w:val="decimal"/>
      <w:lvlText w:val=""/>
      <w:lvlJc w:val="left"/>
    </w:lvl>
    <w:lvl w:ilvl="5" w:tplc="E7926E66">
      <w:numFmt w:val="decimal"/>
      <w:lvlText w:val=""/>
      <w:lvlJc w:val="left"/>
    </w:lvl>
    <w:lvl w:ilvl="6" w:tplc="C8064B14">
      <w:numFmt w:val="decimal"/>
      <w:lvlText w:val=""/>
      <w:lvlJc w:val="left"/>
    </w:lvl>
    <w:lvl w:ilvl="7" w:tplc="BD1A269E">
      <w:numFmt w:val="decimal"/>
      <w:lvlText w:val=""/>
      <w:lvlJc w:val="left"/>
    </w:lvl>
    <w:lvl w:ilvl="8" w:tplc="08FAC302">
      <w:numFmt w:val="decimal"/>
      <w:lvlText w:val=""/>
      <w:lvlJc w:val="left"/>
    </w:lvl>
  </w:abstractNum>
  <w:abstractNum w:abstractNumId="1173" w15:restartNumberingAfterBreak="0">
    <w:nsid w:val="7ED034AE"/>
    <w:multiLevelType w:val="hybridMultilevel"/>
    <w:tmpl w:val="7D3E2D04"/>
    <w:lvl w:ilvl="0" w:tplc="5DCCBF94">
      <w:numFmt w:val="decimal"/>
      <w:lvlText w:val=""/>
      <w:lvlJc w:val="left"/>
    </w:lvl>
    <w:lvl w:ilvl="1" w:tplc="4658EDFE">
      <w:start w:val="1"/>
      <w:numFmt w:val="bullet"/>
      <w:lvlText w:val=""/>
      <w:lvlJc w:val="left"/>
      <w:pPr>
        <w:ind w:left="1440" w:hanging="360"/>
      </w:pPr>
      <w:rPr>
        <w:rFonts w:ascii="Symbol" w:hAnsi="Symbol" w:hint="default"/>
      </w:rPr>
    </w:lvl>
    <w:lvl w:ilvl="2" w:tplc="CFB03148">
      <w:numFmt w:val="decimal"/>
      <w:lvlText w:val=""/>
      <w:lvlJc w:val="left"/>
    </w:lvl>
    <w:lvl w:ilvl="3" w:tplc="FC0276D2">
      <w:numFmt w:val="decimal"/>
      <w:lvlText w:val=""/>
      <w:lvlJc w:val="left"/>
    </w:lvl>
    <w:lvl w:ilvl="4" w:tplc="EF8A1026">
      <w:numFmt w:val="decimal"/>
      <w:lvlText w:val=""/>
      <w:lvlJc w:val="left"/>
    </w:lvl>
    <w:lvl w:ilvl="5" w:tplc="05169BEE">
      <w:numFmt w:val="decimal"/>
      <w:lvlText w:val=""/>
      <w:lvlJc w:val="left"/>
    </w:lvl>
    <w:lvl w:ilvl="6" w:tplc="9866FE20">
      <w:numFmt w:val="decimal"/>
      <w:lvlText w:val=""/>
      <w:lvlJc w:val="left"/>
    </w:lvl>
    <w:lvl w:ilvl="7" w:tplc="A5B4719A">
      <w:numFmt w:val="decimal"/>
      <w:lvlText w:val=""/>
      <w:lvlJc w:val="left"/>
    </w:lvl>
    <w:lvl w:ilvl="8" w:tplc="9D540F08">
      <w:numFmt w:val="decimal"/>
      <w:lvlText w:val=""/>
      <w:lvlJc w:val="left"/>
    </w:lvl>
  </w:abstractNum>
  <w:abstractNum w:abstractNumId="1174" w15:restartNumberingAfterBreak="0">
    <w:nsid w:val="7EF67ED9"/>
    <w:multiLevelType w:val="hybridMultilevel"/>
    <w:tmpl w:val="626AE50A"/>
    <w:lvl w:ilvl="0" w:tplc="625242C6">
      <w:start w:val="1"/>
      <w:numFmt w:val="bullet"/>
      <w:lvlText w:val=""/>
      <w:lvlJc w:val="left"/>
      <w:pPr>
        <w:ind w:left="720" w:hanging="360"/>
      </w:pPr>
      <w:rPr>
        <w:rFonts w:ascii="Symbol" w:hAnsi="Symbol" w:hint="default"/>
      </w:rPr>
    </w:lvl>
    <w:lvl w:ilvl="1" w:tplc="19507640">
      <w:numFmt w:val="decimal"/>
      <w:lvlText w:val=""/>
      <w:lvlJc w:val="left"/>
    </w:lvl>
    <w:lvl w:ilvl="2" w:tplc="F796DEC6">
      <w:numFmt w:val="decimal"/>
      <w:lvlText w:val=""/>
      <w:lvlJc w:val="left"/>
    </w:lvl>
    <w:lvl w:ilvl="3" w:tplc="056C585A">
      <w:numFmt w:val="decimal"/>
      <w:lvlText w:val=""/>
      <w:lvlJc w:val="left"/>
    </w:lvl>
    <w:lvl w:ilvl="4" w:tplc="00F4FBC0">
      <w:numFmt w:val="decimal"/>
      <w:lvlText w:val=""/>
      <w:lvlJc w:val="left"/>
    </w:lvl>
    <w:lvl w:ilvl="5" w:tplc="B974126A">
      <w:numFmt w:val="decimal"/>
      <w:lvlText w:val=""/>
      <w:lvlJc w:val="left"/>
    </w:lvl>
    <w:lvl w:ilvl="6" w:tplc="F00EFE62">
      <w:numFmt w:val="decimal"/>
      <w:lvlText w:val=""/>
      <w:lvlJc w:val="left"/>
    </w:lvl>
    <w:lvl w:ilvl="7" w:tplc="921CB5C2">
      <w:numFmt w:val="decimal"/>
      <w:lvlText w:val=""/>
      <w:lvlJc w:val="left"/>
    </w:lvl>
    <w:lvl w:ilvl="8" w:tplc="42FE740E">
      <w:numFmt w:val="decimal"/>
      <w:lvlText w:val=""/>
      <w:lvlJc w:val="left"/>
    </w:lvl>
  </w:abstractNum>
  <w:abstractNum w:abstractNumId="1175" w15:restartNumberingAfterBreak="0">
    <w:nsid w:val="7F0A782D"/>
    <w:multiLevelType w:val="hybridMultilevel"/>
    <w:tmpl w:val="2B5A85BC"/>
    <w:lvl w:ilvl="0" w:tplc="1CFA04B8">
      <w:start w:val="1"/>
      <w:numFmt w:val="bullet"/>
      <w:lvlText w:val=""/>
      <w:lvlJc w:val="left"/>
      <w:pPr>
        <w:ind w:left="720" w:hanging="360"/>
      </w:pPr>
      <w:rPr>
        <w:rFonts w:ascii="Symbol" w:hAnsi="Symbol" w:hint="default"/>
      </w:rPr>
    </w:lvl>
    <w:lvl w:ilvl="1" w:tplc="8222B886">
      <w:numFmt w:val="decimal"/>
      <w:lvlText w:val=""/>
      <w:lvlJc w:val="left"/>
    </w:lvl>
    <w:lvl w:ilvl="2" w:tplc="820EC382">
      <w:numFmt w:val="decimal"/>
      <w:lvlText w:val=""/>
      <w:lvlJc w:val="left"/>
    </w:lvl>
    <w:lvl w:ilvl="3" w:tplc="EB22F71A">
      <w:numFmt w:val="decimal"/>
      <w:lvlText w:val=""/>
      <w:lvlJc w:val="left"/>
    </w:lvl>
    <w:lvl w:ilvl="4" w:tplc="4CF00BC8">
      <w:numFmt w:val="decimal"/>
      <w:lvlText w:val=""/>
      <w:lvlJc w:val="left"/>
    </w:lvl>
    <w:lvl w:ilvl="5" w:tplc="4B3EE63E">
      <w:numFmt w:val="decimal"/>
      <w:lvlText w:val=""/>
      <w:lvlJc w:val="left"/>
    </w:lvl>
    <w:lvl w:ilvl="6" w:tplc="587CF1AA">
      <w:numFmt w:val="decimal"/>
      <w:lvlText w:val=""/>
      <w:lvlJc w:val="left"/>
    </w:lvl>
    <w:lvl w:ilvl="7" w:tplc="CD340348">
      <w:numFmt w:val="decimal"/>
      <w:lvlText w:val=""/>
      <w:lvlJc w:val="left"/>
    </w:lvl>
    <w:lvl w:ilvl="8" w:tplc="49EEB6AA">
      <w:numFmt w:val="decimal"/>
      <w:lvlText w:val=""/>
      <w:lvlJc w:val="left"/>
    </w:lvl>
  </w:abstractNum>
  <w:abstractNum w:abstractNumId="1176" w15:restartNumberingAfterBreak="0">
    <w:nsid w:val="7F1475A4"/>
    <w:multiLevelType w:val="hybridMultilevel"/>
    <w:tmpl w:val="E5B4C70C"/>
    <w:lvl w:ilvl="0" w:tplc="CC3EF296">
      <w:start w:val="1"/>
      <w:numFmt w:val="bullet"/>
      <w:lvlText w:val=""/>
      <w:lvlJc w:val="left"/>
      <w:pPr>
        <w:ind w:left="720" w:hanging="360"/>
      </w:pPr>
      <w:rPr>
        <w:rFonts w:ascii="Symbol" w:hAnsi="Symbol" w:hint="default"/>
      </w:rPr>
    </w:lvl>
    <w:lvl w:ilvl="1" w:tplc="F8BA79E8">
      <w:numFmt w:val="decimal"/>
      <w:lvlText w:val=""/>
      <w:lvlJc w:val="left"/>
    </w:lvl>
    <w:lvl w:ilvl="2" w:tplc="461E54D6">
      <w:numFmt w:val="decimal"/>
      <w:lvlText w:val=""/>
      <w:lvlJc w:val="left"/>
    </w:lvl>
    <w:lvl w:ilvl="3" w:tplc="2B1AF1D6">
      <w:numFmt w:val="decimal"/>
      <w:lvlText w:val=""/>
      <w:lvlJc w:val="left"/>
    </w:lvl>
    <w:lvl w:ilvl="4" w:tplc="5F8E3A1E">
      <w:numFmt w:val="decimal"/>
      <w:lvlText w:val=""/>
      <w:lvlJc w:val="left"/>
    </w:lvl>
    <w:lvl w:ilvl="5" w:tplc="EF38ED48">
      <w:numFmt w:val="decimal"/>
      <w:lvlText w:val=""/>
      <w:lvlJc w:val="left"/>
    </w:lvl>
    <w:lvl w:ilvl="6" w:tplc="9AC4BFF2">
      <w:numFmt w:val="decimal"/>
      <w:lvlText w:val=""/>
      <w:lvlJc w:val="left"/>
    </w:lvl>
    <w:lvl w:ilvl="7" w:tplc="5134BD3E">
      <w:numFmt w:val="decimal"/>
      <w:lvlText w:val=""/>
      <w:lvlJc w:val="left"/>
    </w:lvl>
    <w:lvl w:ilvl="8" w:tplc="72B61DA0">
      <w:numFmt w:val="decimal"/>
      <w:lvlText w:val=""/>
      <w:lvlJc w:val="left"/>
    </w:lvl>
  </w:abstractNum>
  <w:abstractNum w:abstractNumId="1177" w15:restartNumberingAfterBreak="0">
    <w:nsid w:val="7F616F87"/>
    <w:multiLevelType w:val="hybridMultilevel"/>
    <w:tmpl w:val="9BDA682A"/>
    <w:lvl w:ilvl="0" w:tplc="7ECA9370">
      <w:start w:val="1"/>
      <w:numFmt w:val="bullet"/>
      <w:lvlText w:val=""/>
      <w:lvlJc w:val="left"/>
      <w:pPr>
        <w:ind w:left="720" w:hanging="360"/>
      </w:pPr>
      <w:rPr>
        <w:rFonts w:ascii="Symbol" w:hAnsi="Symbol" w:hint="default"/>
      </w:rPr>
    </w:lvl>
    <w:lvl w:ilvl="1" w:tplc="DDA22402">
      <w:numFmt w:val="decimal"/>
      <w:lvlText w:val=""/>
      <w:lvlJc w:val="left"/>
    </w:lvl>
    <w:lvl w:ilvl="2" w:tplc="B1F81FE2">
      <w:numFmt w:val="decimal"/>
      <w:lvlText w:val=""/>
      <w:lvlJc w:val="left"/>
    </w:lvl>
    <w:lvl w:ilvl="3" w:tplc="64A449BC">
      <w:numFmt w:val="decimal"/>
      <w:lvlText w:val=""/>
      <w:lvlJc w:val="left"/>
    </w:lvl>
    <w:lvl w:ilvl="4" w:tplc="2D32491C">
      <w:numFmt w:val="decimal"/>
      <w:lvlText w:val=""/>
      <w:lvlJc w:val="left"/>
    </w:lvl>
    <w:lvl w:ilvl="5" w:tplc="3806CEF6">
      <w:numFmt w:val="decimal"/>
      <w:lvlText w:val=""/>
      <w:lvlJc w:val="left"/>
    </w:lvl>
    <w:lvl w:ilvl="6" w:tplc="6FB28970">
      <w:numFmt w:val="decimal"/>
      <w:lvlText w:val=""/>
      <w:lvlJc w:val="left"/>
    </w:lvl>
    <w:lvl w:ilvl="7" w:tplc="F6085C6E">
      <w:numFmt w:val="decimal"/>
      <w:lvlText w:val=""/>
      <w:lvlJc w:val="left"/>
    </w:lvl>
    <w:lvl w:ilvl="8" w:tplc="3AE035D4">
      <w:numFmt w:val="decimal"/>
      <w:lvlText w:val=""/>
      <w:lvlJc w:val="left"/>
    </w:lvl>
  </w:abstractNum>
  <w:abstractNum w:abstractNumId="1178" w15:restartNumberingAfterBreak="0">
    <w:nsid w:val="7F7158A8"/>
    <w:multiLevelType w:val="hybridMultilevel"/>
    <w:tmpl w:val="EB3A9184"/>
    <w:lvl w:ilvl="0" w:tplc="14C6681C">
      <w:start w:val="1"/>
      <w:numFmt w:val="bullet"/>
      <w:lvlText w:val=""/>
      <w:lvlJc w:val="left"/>
      <w:pPr>
        <w:ind w:left="720" w:hanging="360"/>
      </w:pPr>
      <w:rPr>
        <w:rFonts w:ascii="Symbol" w:hAnsi="Symbol" w:hint="default"/>
      </w:rPr>
    </w:lvl>
    <w:lvl w:ilvl="1" w:tplc="79BEF9CA">
      <w:numFmt w:val="decimal"/>
      <w:lvlText w:val=""/>
      <w:lvlJc w:val="left"/>
    </w:lvl>
    <w:lvl w:ilvl="2" w:tplc="4AB09842">
      <w:numFmt w:val="decimal"/>
      <w:lvlText w:val=""/>
      <w:lvlJc w:val="left"/>
    </w:lvl>
    <w:lvl w:ilvl="3" w:tplc="A25ACA58">
      <w:numFmt w:val="decimal"/>
      <w:lvlText w:val=""/>
      <w:lvlJc w:val="left"/>
    </w:lvl>
    <w:lvl w:ilvl="4" w:tplc="2812AEF0">
      <w:numFmt w:val="decimal"/>
      <w:lvlText w:val=""/>
      <w:lvlJc w:val="left"/>
    </w:lvl>
    <w:lvl w:ilvl="5" w:tplc="DAA6AF48">
      <w:numFmt w:val="decimal"/>
      <w:lvlText w:val=""/>
      <w:lvlJc w:val="left"/>
    </w:lvl>
    <w:lvl w:ilvl="6" w:tplc="132821BE">
      <w:numFmt w:val="decimal"/>
      <w:lvlText w:val=""/>
      <w:lvlJc w:val="left"/>
    </w:lvl>
    <w:lvl w:ilvl="7" w:tplc="F5766176">
      <w:numFmt w:val="decimal"/>
      <w:lvlText w:val=""/>
      <w:lvlJc w:val="left"/>
    </w:lvl>
    <w:lvl w:ilvl="8" w:tplc="41F02736">
      <w:numFmt w:val="decimal"/>
      <w:lvlText w:val=""/>
      <w:lvlJc w:val="left"/>
    </w:lvl>
  </w:abstractNum>
  <w:abstractNum w:abstractNumId="1179" w15:restartNumberingAfterBreak="0">
    <w:nsid w:val="7FA47D3B"/>
    <w:multiLevelType w:val="hybridMultilevel"/>
    <w:tmpl w:val="0458F210"/>
    <w:lvl w:ilvl="0" w:tplc="EAD8217A">
      <w:start w:val="1"/>
      <w:numFmt w:val="bullet"/>
      <w:lvlText w:val=""/>
      <w:lvlJc w:val="left"/>
      <w:pPr>
        <w:ind w:left="720" w:hanging="360"/>
      </w:pPr>
      <w:rPr>
        <w:rFonts w:ascii="Symbol" w:hAnsi="Symbol" w:hint="default"/>
      </w:rPr>
    </w:lvl>
    <w:lvl w:ilvl="1" w:tplc="CD7C8314">
      <w:numFmt w:val="decimal"/>
      <w:lvlText w:val=""/>
      <w:lvlJc w:val="left"/>
    </w:lvl>
    <w:lvl w:ilvl="2" w:tplc="202C7E38">
      <w:numFmt w:val="decimal"/>
      <w:lvlText w:val=""/>
      <w:lvlJc w:val="left"/>
    </w:lvl>
    <w:lvl w:ilvl="3" w:tplc="AD04E89C">
      <w:numFmt w:val="decimal"/>
      <w:lvlText w:val=""/>
      <w:lvlJc w:val="left"/>
    </w:lvl>
    <w:lvl w:ilvl="4" w:tplc="27066808">
      <w:numFmt w:val="decimal"/>
      <w:lvlText w:val=""/>
      <w:lvlJc w:val="left"/>
    </w:lvl>
    <w:lvl w:ilvl="5" w:tplc="73E0ED4E">
      <w:numFmt w:val="decimal"/>
      <w:lvlText w:val=""/>
      <w:lvlJc w:val="left"/>
    </w:lvl>
    <w:lvl w:ilvl="6" w:tplc="8A58B6A0">
      <w:numFmt w:val="decimal"/>
      <w:lvlText w:val=""/>
      <w:lvlJc w:val="left"/>
    </w:lvl>
    <w:lvl w:ilvl="7" w:tplc="ADA4035E">
      <w:numFmt w:val="decimal"/>
      <w:lvlText w:val=""/>
      <w:lvlJc w:val="left"/>
    </w:lvl>
    <w:lvl w:ilvl="8" w:tplc="883A7E32">
      <w:numFmt w:val="decimal"/>
      <w:lvlText w:val=""/>
      <w:lvlJc w:val="left"/>
    </w:lvl>
  </w:abstractNum>
  <w:abstractNum w:abstractNumId="1180" w15:restartNumberingAfterBreak="0">
    <w:nsid w:val="7FBD3F1E"/>
    <w:multiLevelType w:val="hybridMultilevel"/>
    <w:tmpl w:val="40A08902"/>
    <w:lvl w:ilvl="0" w:tplc="775EEBD6">
      <w:start w:val="1"/>
      <w:numFmt w:val="bullet"/>
      <w:lvlText w:val=""/>
      <w:lvlJc w:val="left"/>
      <w:pPr>
        <w:ind w:left="720" w:hanging="360"/>
      </w:pPr>
      <w:rPr>
        <w:rFonts w:ascii="Symbol" w:hAnsi="Symbol" w:hint="default"/>
      </w:rPr>
    </w:lvl>
    <w:lvl w:ilvl="1" w:tplc="13ACFE6E">
      <w:numFmt w:val="decimal"/>
      <w:lvlText w:val=""/>
      <w:lvlJc w:val="left"/>
    </w:lvl>
    <w:lvl w:ilvl="2" w:tplc="630AE164">
      <w:numFmt w:val="decimal"/>
      <w:lvlText w:val=""/>
      <w:lvlJc w:val="left"/>
    </w:lvl>
    <w:lvl w:ilvl="3" w:tplc="3C24C19A">
      <w:numFmt w:val="decimal"/>
      <w:lvlText w:val=""/>
      <w:lvlJc w:val="left"/>
    </w:lvl>
    <w:lvl w:ilvl="4" w:tplc="BFC0A78A">
      <w:numFmt w:val="decimal"/>
      <w:lvlText w:val=""/>
      <w:lvlJc w:val="left"/>
    </w:lvl>
    <w:lvl w:ilvl="5" w:tplc="0DF4C116">
      <w:numFmt w:val="decimal"/>
      <w:lvlText w:val=""/>
      <w:lvlJc w:val="left"/>
    </w:lvl>
    <w:lvl w:ilvl="6" w:tplc="E2208598">
      <w:numFmt w:val="decimal"/>
      <w:lvlText w:val=""/>
      <w:lvlJc w:val="left"/>
    </w:lvl>
    <w:lvl w:ilvl="7" w:tplc="B34E6A64">
      <w:numFmt w:val="decimal"/>
      <w:lvlText w:val=""/>
      <w:lvlJc w:val="left"/>
    </w:lvl>
    <w:lvl w:ilvl="8" w:tplc="1AF68E14">
      <w:numFmt w:val="decimal"/>
      <w:lvlText w:val=""/>
      <w:lvlJc w:val="left"/>
    </w:lvl>
  </w:abstractNum>
  <w:abstractNum w:abstractNumId="1181" w15:restartNumberingAfterBreak="0">
    <w:nsid w:val="7FCE61C1"/>
    <w:multiLevelType w:val="hybridMultilevel"/>
    <w:tmpl w:val="FC749D4E"/>
    <w:lvl w:ilvl="0" w:tplc="24C2AA7A">
      <w:start w:val="1"/>
      <w:numFmt w:val="bullet"/>
      <w:lvlText w:val=""/>
      <w:lvlJc w:val="left"/>
      <w:pPr>
        <w:ind w:left="720" w:hanging="360"/>
      </w:pPr>
      <w:rPr>
        <w:rFonts w:ascii="Symbol" w:hAnsi="Symbol" w:hint="default"/>
      </w:rPr>
    </w:lvl>
    <w:lvl w:ilvl="1" w:tplc="AF12E328">
      <w:numFmt w:val="decimal"/>
      <w:lvlText w:val=""/>
      <w:lvlJc w:val="left"/>
    </w:lvl>
    <w:lvl w:ilvl="2" w:tplc="0C7C69FA">
      <w:numFmt w:val="decimal"/>
      <w:lvlText w:val=""/>
      <w:lvlJc w:val="left"/>
    </w:lvl>
    <w:lvl w:ilvl="3" w:tplc="1A7C556E">
      <w:numFmt w:val="decimal"/>
      <w:lvlText w:val=""/>
      <w:lvlJc w:val="left"/>
    </w:lvl>
    <w:lvl w:ilvl="4" w:tplc="EB0E207C">
      <w:numFmt w:val="decimal"/>
      <w:lvlText w:val=""/>
      <w:lvlJc w:val="left"/>
    </w:lvl>
    <w:lvl w:ilvl="5" w:tplc="BA446D8C">
      <w:numFmt w:val="decimal"/>
      <w:lvlText w:val=""/>
      <w:lvlJc w:val="left"/>
    </w:lvl>
    <w:lvl w:ilvl="6" w:tplc="30269C42">
      <w:numFmt w:val="decimal"/>
      <w:lvlText w:val=""/>
      <w:lvlJc w:val="left"/>
    </w:lvl>
    <w:lvl w:ilvl="7" w:tplc="2A4E4ECE">
      <w:numFmt w:val="decimal"/>
      <w:lvlText w:val=""/>
      <w:lvlJc w:val="left"/>
    </w:lvl>
    <w:lvl w:ilvl="8" w:tplc="B442DC14">
      <w:numFmt w:val="decimal"/>
      <w:lvlText w:val=""/>
      <w:lvlJc w:val="left"/>
    </w:lvl>
  </w:abstractNum>
  <w:abstractNum w:abstractNumId="1182" w15:restartNumberingAfterBreak="0">
    <w:nsid w:val="7FE4197B"/>
    <w:multiLevelType w:val="hybridMultilevel"/>
    <w:tmpl w:val="94EE1C62"/>
    <w:lvl w:ilvl="0" w:tplc="438E103C">
      <w:start w:val="1"/>
      <w:numFmt w:val="bullet"/>
      <w:lvlText w:val=""/>
      <w:lvlJc w:val="left"/>
      <w:pPr>
        <w:ind w:left="720" w:hanging="360"/>
      </w:pPr>
      <w:rPr>
        <w:rFonts w:ascii="Symbol" w:hAnsi="Symbol" w:hint="default"/>
      </w:rPr>
    </w:lvl>
    <w:lvl w:ilvl="1" w:tplc="3962C0EE">
      <w:numFmt w:val="decimal"/>
      <w:lvlText w:val=""/>
      <w:lvlJc w:val="left"/>
    </w:lvl>
    <w:lvl w:ilvl="2" w:tplc="0748A890">
      <w:numFmt w:val="decimal"/>
      <w:lvlText w:val=""/>
      <w:lvlJc w:val="left"/>
    </w:lvl>
    <w:lvl w:ilvl="3" w:tplc="24484904">
      <w:numFmt w:val="decimal"/>
      <w:lvlText w:val=""/>
      <w:lvlJc w:val="left"/>
    </w:lvl>
    <w:lvl w:ilvl="4" w:tplc="9F0C1EE4">
      <w:numFmt w:val="decimal"/>
      <w:lvlText w:val=""/>
      <w:lvlJc w:val="left"/>
    </w:lvl>
    <w:lvl w:ilvl="5" w:tplc="5904405E">
      <w:numFmt w:val="decimal"/>
      <w:lvlText w:val=""/>
      <w:lvlJc w:val="left"/>
    </w:lvl>
    <w:lvl w:ilvl="6" w:tplc="DD689112">
      <w:numFmt w:val="decimal"/>
      <w:lvlText w:val=""/>
      <w:lvlJc w:val="left"/>
    </w:lvl>
    <w:lvl w:ilvl="7" w:tplc="C9CAD838">
      <w:numFmt w:val="decimal"/>
      <w:lvlText w:val=""/>
      <w:lvlJc w:val="left"/>
    </w:lvl>
    <w:lvl w:ilvl="8" w:tplc="8EC00602">
      <w:numFmt w:val="decimal"/>
      <w:lvlText w:val=""/>
      <w:lvlJc w:val="left"/>
    </w:lvl>
  </w:abstractNum>
  <w:num w:numId="1" w16cid:durableId="486434316">
    <w:abstractNumId w:val="788"/>
  </w:num>
  <w:num w:numId="2" w16cid:durableId="2109957213">
    <w:abstractNumId w:val="995"/>
  </w:num>
  <w:num w:numId="3" w16cid:durableId="709569278">
    <w:abstractNumId w:val="229"/>
  </w:num>
  <w:num w:numId="4" w16cid:durableId="77218069">
    <w:abstractNumId w:val="1059"/>
  </w:num>
  <w:num w:numId="5" w16cid:durableId="193344484">
    <w:abstractNumId w:val="895"/>
  </w:num>
  <w:num w:numId="6" w16cid:durableId="859776989">
    <w:abstractNumId w:val="827"/>
  </w:num>
  <w:num w:numId="7" w16cid:durableId="1782145238">
    <w:abstractNumId w:val="589"/>
  </w:num>
  <w:num w:numId="8" w16cid:durableId="1681006621">
    <w:abstractNumId w:val="513"/>
  </w:num>
  <w:num w:numId="9" w16cid:durableId="339503857">
    <w:abstractNumId w:val="1121"/>
  </w:num>
  <w:num w:numId="10" w16cid:durableId="2110465660">
    <w:abstractNumId w:val="956"/>
  </w:num>
  <w:num w:numId="11" w16cid:durableId="964654771">
    <w:abstractNumId w:val="773"/>
  </w:num>
  <w:num w:numId="12" w16cid:durableId="82653761">
    <w:abstractNumId w:val="521"/>
  </w:num>
  <w:num w:numId="13" w16cid:durableId="751003639">
    <w:abstractNumId w:val="109"/>
  </w:num>
  <w:num w:numId="14" w16cid:durableId="2048601567">
    <w:abstractNumId w:val="1181"/>
  </w:num>
  <w:num w:numId="15" w16cid:durableId="1106273971">
    <w:abstractNumId w:val="739"/>
  </w:num>
  <w:num w:numId="16" w16cid:durableId="374236097">
    <w:abstractNumId w:val="72"/>
  </w:num>
  <w:num w:numId="17" w16cid:durableId="420639169">
    <w:abstractNumId w:val="71"/>
  </w:num>
  <w:num w:numId="18" w16cid:durableId="1731730238">
    <w:abstractNumId w:val="656"/>
  </w:num>
  <w:num w:numId="19" w16cid:durableId="289628903">
    <w:abstractNumId w:val="253"/>
  </w:num>
  <w:num w:numId="20" w16cid:durableId="1275015944">
    <w:abstractNumId w:val="541"/>
  </w:num>
  <w:num w:numId="21" w16cid:durableId="1718117877">
    <w:abstractNumId w:val="223"/>
  </w:num>
  <w:num w:numId="22" w16cid:durableId="2094885985">
    <w:abstractNumId w:val="950"/>
  </w:num>
  <w:num w:numId="23" w16cid:durableId="1889875942">
    <w:abstractNumId w:val="1066"/>
  </w:num>
  <w:num w:numId="24" w16cid:durableId="1005979923">
    <w:abstractNumId w:val="458"/>
  </w:num>
  <w:num w:numId="25" w16cid:durableId="612790775">
    <w:abstractNumId w:val="825"/>
  </w:num>
  <w:num w:numId="26" w16cid:durableId="405080071">
    <w:abstractNumId w:val="1147"/>
  </w:num>
  <w:num w:numId="27" w16cid:durableId="1697001089">
    <w:abstractNumId w:val="907"/>
  </w:num>
  <w:num w:numId="28" w16cid:durableId="2094667467">
    <w:abstractNumId w:val="1119"/>
  </w:num>
  <w:num w:numId="29" w16cid:durableId="978461526">
    <w:abstractNumId w:val="491"/>
  </w:num>
  <w:num w:numId="30" w16cid:durableId="1934969591">
    <w:abstractNumId w:val="624"/>
  </w:num>
  <w:num w:numId="31" w16cid:durableId="103577753">
    <w:abstractNumId w:val="520"/>
  </w:num>
  <w:num w:numId="32" w16cid:durableId="315645093">
    <w:abstractNumId w:val="723"/>
  </w:num>
  <w:num w:numId="33" w16cid:durableId="75447268">
    <w:abstractNumId w:val="991"/>
  </w:num>
  <w:num w:numId="34" w16cid:durableId="892084748">
    <w:abstractNumId w:val="581"/>
  </w:num>
  <w:num w:numId="35" w16cid:durableId="1356619898">
    <w:abstractNumId w:val="1094"/>
  </w:num>
  <w:num w:numId="36" w16cid:durableId="223443857">
    <w:abstractNumId w:val="836"/>
  </w:num>
  <w:num w:numId="37" w16cid:durableId="438573600">
    <w:abstractNumId w:val="386"/>
  </w:num>
  <w:num w:numId="38" w16cid:durableId="172427715">
    <w:abstractNumId w:val="1170"/>
  </w:num>
  <w:num w:numId="39" w16cid:durableId="612245528">
    <w:abstractNumId w:val="879"/>
  </w:num>
  <w:num w:numId="40" w16cid:durableId="1882593301">
    <w:abstractNumId w:val="906"/>
  </w:num>
  <w:num w:numId="41" w16cid:durableId="1428577849">
    <w:abstractNumId w:val="886"/>
  </w:num>
  <w:num w:numId="42" w16cid:durableId="96685260">
    <w:abstractNumId w:val="864"/>
  </w:num>
  <w:num w:numId="43" w16cid:durableId="1678388797">
    <w:abstractNumId w:val="89"/>
  </w:num>
  <w:num w:numId="44" w16cid:durableId="1573467528">
    <w:abstractNumId w:val="222"/>
  </w:num>
  <w:num w:numId="45" w16cid:durableId="1565263949">
    <w:abstractNumId w:val="112"/>
  </w:num>
  <w:num w:numId="46" w16cid:durableId="14040831">
    <w:abstractNumId w:val="362"/>
  </w:num>
  <w:num w:numId="47" w16cid:durableId="1815754429">
    <w:abstractNumId w:val="989"/>
  </w:num>
  <w:num w:numId="48" w16cid:durableId="1491824347">
    <w:abstractNumId w:val="532"/>
  </w:num>
  <w:num w:numId="49" w16cid:durableId="659892812">
    <w:abstractNumId w:val="971"/>
  </w:num>
  <w:num w:numId="50" w16cid:durableId="694425479">
    <w:abstractNumId w:val="781"/>
  </w:num>
  <w:num w:numId="51" w16cid:durableId="1833333586">
    <w:abstractNumId w:val="190"/>
  </w:num>
  <w:num w:numId="52" w16cid:durableId="1535268611">
    <w:abstractNumId w:val="885"/>
  </w:num>
  <w:num w:numId="53" w16cid:durableId="410548805">
    <w:abstractNumId w:val="821"/>
  </w:num>
  <w:num w:numId="54" w16cid:durableId="1924754023">
    <w:abstractNumId w:val="844"/>
  </w:num>
  <w:num w:numId="55" w16cid:durableId="1171944153">
    <w:abstractNumId w:val="986"/>
  </w:num>
  <w:num w:numId="56" w16cid:durableId="188298528">
    <w:abstractNumId w:val="730"/>
  </w:num>
  <w:num w:numId="57" w16cid:durableId="1832938574">
    <w:abstractNumId w:val="536"/>
  </w:num>
  <w:num w:numId="58" w16cid:durableId="703486501">
    <w:abstractNumId w:val="810"/>
  </w:num>
  <w:num w:numId="59" w16cid:durableId="1200430964">
    <w:abstractNumId w:val="268"/>
  </w:num>
  <w:num w:numId="60" w16cid:durableId="931162298">
    <w:abstractNumId w:val="502"/>
  </w:num>
  <w:num w:numId="61" w16cid:durableId="2122068916">
    <w:abstractNumId w:val="875"/>
  </w:num>
  <w:num w:numId="62" w16cid:durableId="1501962820">
    <w:abstractNumId w:val="522"/>
  </w:num>
  <w:num w:numId="63" w16cid:durableId="748499403">
    <w:abstractNumId w:val="511"/>
  </w:num>
  <w:num w:numId="64" w16cid:durableId="1632983013">
    <w:abstractNumId w:val="275"/>
  </w:num>
  <w:num w:numId="65" w16cid:durableId="1228998135">
    <w:abstractNumId w:val="1110"/>
  </w:num>
  <w:num w:numId="66" w16cid:durableId="1673529074">
    <w:abstractNumId w:val="948"/>
  </w:num>
  <w:num w:numId="67" w16cid:durableId="1534228430">
    <w:abstractNumId w:val="291"/>
  </w:num>
  <w:num w:numId="68" w16cid:durableId="566960344">
    <w:abstractNumId w:val="499"/>
  </w:num>
  <w:num w:numId="69" w16cid:durableId="1897084401">
    <w:abstractNumId w:val="1072"/>
  </w:num>
  <w:num w:numId="70" w16cid:durableId="1240211614">
    <w:abstractNumId w:val="1141"/>
  </w:num>
  <w:num w:numId="71" w16cid:durableId="1670138802">
    <w:abstractNumId w:val="1044"/>
  </w:num>
  <w:num w:numId="72" w16cid:durableId="865798228">
    <w:abstractNumId w:val="669"/>
  </w:num>
  <w:num w:numId="73" w16cid:durableId="583808843">
    <w:abstractNumId w:val="388"/>
  </w:num>
  <w:num w:numId="74" w16cid:durableId="1229417665">
    <w:abstractNumId w:val="1014"/>
  </w:num>
  <w:num w:numId="75" w16cid:durableId="720329063">
    <w:abstractNumId w:val="1095"/>
  </w:num>
  <w:num w:numId="76" w16cid:durableId="727145181">
    <w:abstractNumId w:val="241"/>
  </w:num>
  <w:num w:numId="77" w16cid:durableId="193084312">
    <w:abstractNumId w:val="397"/>
  </w:num>
  <w:num w:numId="78" w16cid:durableId="970482203">
    <w:abstractNumId w:val="910"/>
  </w:num>
  <w:num w:numId="79" w16cid:durableId="1117219838">
    <w:abstractNumId w:val="391"/>
  </w:num>
  <w:num w:numId="80" w16cid:durableId="1510486204">
    <w:abstractNumId w:val="51"/>
  </w:num>
  <w:num w:numId="81" w16cid:durableId="974332795">
    <w:abstractNumId w:val="270"/>
  </w:num>
  <w:num w:numId="82" w16cid:durableId="2139715723">
    <w:abstractNumId w:val="1029"/>
  </w:num>
  <w:num w:numId="83" w16cid:durableId="1930968326">
    <w:abstractNumId w:val="851"/>
  </w:num>
  <w:num w:numId="84" w16cid:durableId="1015499406">
    <w:abstractNumId w:val="587"/>
  </w:num>
  <w:num w:numId="85" w16cid:durableId="743574043">
    <w:abstractNumId w:val="929"/>
  </w:num>
  <w:num w:numId="86" w16cid:durableId="825436696">
    <w:abstractNumId w:val="279"/>
  </w:num>
  <w:num w:numId="87" w16cid:durableId="594754555">
    <w:abstractNumId w:val="422"/>
  </w:num>
  <w:num w:numId="88" w16cid:durableId="1280143566">
    <w:abstractNumId w:val="464"/>
  </w:num>
  <w:num w:numId="89" w16cid:durableId="591820789">
    <w:abstractNumId w:val="569"/>
  </w:num>
  <w:num w:numId="90" w16cid:durableId="800608339">
    <w:abstractNumId w:val="44"/>
  </w:num>
  <w:num w:numId="91" w16cid:durableId="1416900752">
    <w:abstractNumId w:val="1017"/>
  </w:num>
  <w:num w:numId="92" w16cid:durableId="976685041">
    <w:abstractNumId w:val="240"/>
  </w:num>
  <w:num w:numId="93" w16cid:durableId="1492064047">
    <w:abstractNumId w:val="90"/>
  </w:num>
  <w:num w:numId="94" w16cid:durableId="606429294">
    <w:abstractNumId w:val="452"/>
  </w:num>
  <w:num w:numId="95" w16cid:durableId="1512642943">
    <w:abstractNumId w:val="633"/>
  </w:num>
  <w:num w:numId="96" w16cid:durableId="1678995223">
    <w:abstractNumId w:val="3"/>
  </w:num>
  <w:num w:numId="97" w16cid:durableId="630357719">
    <w:abstractNumId w:val="208"/>
  </w:num>
  <w:num w:numId="98" w16cid:durableId="1275089758">
    <w:abstractNumId w:val="962"/>
  </w:num>
  <w:num w:numId="99" w16cid:durableId="1618945974">
    <w:abstractNumId w:val="289"/>
  </w:num>
  <w:num w:numId="100" w16cid:durableId="1254244154">
    <w:abstractNumId w:val="23"/>
  </w:num>
  <w:num w:numId="101" w16cid:durableId="1848985824">
    <w:abstractNumId w:val="831"/>
  </w:num>
  <w:num w:numId="102" w16cid:durableId="153954508">
    <w:abstractNumId w:val="804"/>
  </w:num>
  <w:num w:numId="103" w16cid:durableId="1662079726">
    <w:abstractNumId w:val="1138"/>
  </w:num>
  <w:num w:numId="104" w16cid:durableId="1326782649">
    <w:abstractNumId w:val="805"/>
  </w:num>
  <w:num w:numId="105" w16cid:durableId="294531701">
    <w:abstractNumId w:val="1116"/>
  </w:num>
  <w:num w:numId="106" w16cid:durableId="778182225">
    <w:abstractNumId w:val="1176"/>
  </w:num>
  <w:num w:numId="107" w16cid:durableId="17850959">
    <w:abstractNumId w:val="476"/>
  </w:num>
  <w:num w:numId="108" w16cid:durableId="2046175794">
    <w:abstractNumId w:val="1132"/>
  </w:num>
  <w:num w:numId="109" w16cid:durableId="1479766164">
    <w:abstractNumId w:val="402"/>
  </w:num>
  <w:num w:numId="110" w16cid:durableId="1936477034">
    <w:abstractNumId w:val="1073"/>
  </w:num>
  <w:num w:numId="111" w16cid:durableId="1207598299">
    <w:abstractNumId w:val="19"/>
  </w:num>
  <w:num w:numId="112" w16cid:durableId="2123843605">
    <w:abstractNumId w:val="430"/>
  </w:num>
  <w:num w:numId="113" w16cid:durableId="1249999408">
    <w:abstractNumId w:val="318"/>
  </w:num>
  <w:num w:numId="114" w16cid:durableId="170607031">
    <w:abstractNumId w:val="286"/>
  </w:num>
  <w:num w:numId="115" w16cid:durableId="1385908264">
    <w:abstractNumId w:val="1041"/>
  </w:num>
  <w:num w:numId="116" w16cid:durableId="1751385988">
    <w:abstractNumId w:val="444"/>
  </w:num>
  <w:num w:numId="117" w16cid:durableId="403257510">
    <w:abstractNumId w:val="496"/>
  </w:num>
  <w:num w:numId="118" w16cid:durableId="1754038040">
    <w:abstractNumId w:val="332"/>
  </w:num>
  <w:num w:numId="119" w16cid:durableId="266080967">
    <w:abstractNumId w:val="953"/>
  </w:num>
  <w:num w:numId="120" w16cid:durableId="531387314">
    <w:abstractNumId w:val="715"/>
  </w:num>
  <w:num w:numId="121" w16cid:durableId="577130799">
    <w:abstractNumId w:val="674"/>
  </w:num>
  <w:num w:numId="122" w16cid:durableId="1055739538">
    <w:abstractNumId w:val="596"/>
  </w:num>
  <w:num w:numId="123" w16cid:durableId="460728719">
    <w:abstractNumId w:val="418"/>
  </w:num>
  <w:num w:numId="124" w16cid:durableId="1633362278">
    <w:abstractNumId w:val="393"/>
  </w:num>
  <w:num w:numId="125" w16cid:durableId="1770392804">
    <w:abstractNumId w:val="544"/>
  </w:num>
  <w:num w:numId="126" w16cid:durableId="811750369">
    <w:abstractNumId w:val="1079"/>
  </w:num>
  <w:num w:numId="127" w16cid:durableId="1202862834">
    <w:abstractNumId w:val="1109"/>
  </w:num>
  <w:num w:numId="128" w16cid:durableId="1951014441">
    <w:abstractNumId w:val="793"/>
  </w:num>
  <w:num w:numId="129" w16cid:durableId="1181704000">
    <w:abstractNumId w:val="530"/>
  </w:num>
  <w:num w:numId="130" w16cid:durableId="960453211">
    <w:abstractNumId w:val="880"/>
  </w:num>
  <w:num w:numId="131" w16cid:durableId="442846541">
    <w:abstractNumId w:val="631"/>
  </w:num>
  <w:num w:numId="132" w16cid:durableId="1507867466">
    <w:abstractNumId w:val="345"/>
  </w:num>
  <w:num w:numId="133" w16cid:durableId="247228777">
    <w:abstractNumId w:val="357"/>
  </w:num>
  <w:num w:numId="134" w16cid:durableId="1745951551">
    <w:abstractNumId w:val="560"/>
  </w:num>
  <w:num w:numId="135" w16cid:durableId="1672221452">
    <w:abstractNumId w:val="466"/>
  </w:num>
  <w:num w:numId="136" w16cid:durableId="2024936509">
    <w:abstractNumId w:val="203"/>
  </w:num>
  <w:num w:numId="137" w16cid:durableId="1563565081">
    <w:abstractNumId w:val="862"/>
  </w:num>
  <w:num w:numId="138" w16cid:durableId="735398843">
    <w:abstractNumId w:val="1163"/>
  </w:num>
  <w:num w:numId="139" w16cid:durableId="1195191857">
    <w:abstractNumId w:val="43"/>
  </w:num>
  <w:num w:numId="140" w16cid:durableId="1761024783">
    <w:abstractNumId w:val="947"/>
  </w:num>
  <w:num w:numId="141" w16cid:durableId="1015769895">
    <w:abstractNumId w:val="747"/>
  </w:num>
  <w:num w:numId="142" w16cid:durableId="1501238475">
    <w:abstractNumId w:val="263"/>
  </w:num>
  <w:num w:numId="143" w16cid:durableId="667681920">
    <w:abstractNumId w:val="765"/>
  </w:num>
  <w:num w:numId="144" w16cid:durableId="699091420">
    <w:abstractNumId w:val="893"/>
  </w:num>
  <w:num w:numId="145" w16cid:durableId="1372075677">
    <w:abstractNumId w:val="790"/>
  </w:num>
  <w:num w:numId="146" w16cid:durableId="872613040">
    <w:abstractNumId w:val="856"/>
  </w:num>
  <w:num w:numId="147" w16cid:durableId="1149174449">
    <w:abstractNumId w:val="355"/>
  </w:num>
  <w:num w:numId="148" w16cid:durableId="872958019">
    <w:abstractNumId w:val="824"/>
  </w:num>
  <w:num w:numId="149" w16cid:durableId="31198856">
    <w:abstractNumId w:val="613"/>
  </w:num>
  <w:num w:numId="150" w16cid:durableId="647713144">
    <w:abstractNumId w:val="660"/>
  </w:num>
  <w:num w:numId="151" w16cid:durableId="504319720">
    <w:abstractNumId w:val="639"/>
  </w:num>
  <w:num w:numId="152" w16cid:durableId="1671324594">
    <w:abstractNumId w:val="492"/>
  </w:num>
  <w:num w:numId="153" w16cid:durableId="73279805">
    <w:abstractNumId w:val="64"/>
  </w:num>
  <w:num w:numId="154" w16cid:durableId="1159617418">
    <w:abstractNumId w:val="46"/>
  </w:num>
  <w:num w:numId="155" w16cid:durableId="126902102">
    <w:abstractNumId w:val="782"/>
  </w:num>
  <w:num w:numId="156" w16cid:durableId="636106210">
    <w:abstractNumId w:val="787"/>
  </w:num>
  <w:num w:numId="157" w16cid:durableId="185411731">
    <w:abstractNumId w:val="395"/>
  </w:num>
  <w:num w:numId="158" w16cid:durableId="1602030240">
    <w:abstractNumId w:val="266"/>
  </w:num>
  <w:num w:numId="159" w16cid:durableId="1095319759">
    <w:abstractNumId w:val="741"/>
  </w:num>
  <w:num w:numId="160" w16cid:durableId="1906449117">
    <w:abstractNumId w:val="839"/>
  </w:num>
  <w:num w:numId="161" w16cid:durableId="831872528">
    <w:abstractNumId w:val="11"/>
  </w:num>
  <w:num w:numId="162" w16cid:durableId="300310755">
    <w:abstractNumId w:val="905"/>
  </w:num>
  <w:num w:numId="163" w16cid:durableId="1353262008">
    <w:abstractNumId w:val="272"/>
  </w:num>
  <w:num w:numId="164" w16cid:durableId="822936683">
    <w:abstractNumId w:val="761"/>
  </w:num>
  <w:num w:numId="165" w16cid:durableId="2102018319">
    <w:abstractNumId w:val="121"/>
  </w:num>
  <w:num w:numId="166" w16cid:durableId="1782871481">
    <w:abstractNumId w:val="807"/>
  </w:num>
  <w:num w:numId="167" w16cid:durableId="515195006">
    <w:abstractNumId w:val="503"/>
  </w:num>
  <w:num w:numId="168" w16cid:durableId="1257909949">
    <w:abstractNumId w:val="479"/>
  </w:num>
  <w:num w:numId="169" w16cid:durableId="1168790830">
    <w:abstractNumId w:val="54"/>
  </w:num>
  <w:num w:numId="170" w16cid:durableId="872573921">
    <w:abstractNumId w:val="184"/>
  </w:num>
  <w:num w:numId="171" w16cid:durableId="1279416371">
    <w:abstractNumId w:val="1002"/>
  </w:num>
  <w:num w:numId="172" w16cid:durableId="1460418842">
    <w:abstractNumId w:val="968"/>
  </w:num>
  <w:num w:numId="173" w16cid:durableId="809709471">
    <w:abstractNumId w:val="733"/>
  </w:num>
  <w:num w:numId="174" w16cid:durableId="972949480">
    <w:abstractNumId w:val="65"/>
  </w:num>
  <w:num w:numId="175" w16cid:durableId="904411237">
    <w:abstractNumId w:val="954"/>
  </w:num>
  <w:num w:numId="176" w16cid:durableId="831684103">
    <w:abstractNumId w:val="686"/>
  </w:num>
  <w:num w:numId="177" w16cid:durableId="619605997">
    <w:abstractNumId w:val="108"/>
  </w:num>
  <w:num w:numId="178" w16cid:durableId="1757897609">
    <w:abstractNumId w:val="740"/>
  </w:num>
  <w:num w:numId="179" w16cid:durableId="1038631195">
    <w:abstractNumId w:val="1040"/>
  </w:num>
  <w:num w:numId="180" w16cid:durableId="1732188199">
    <w:abstractNumId w:val="183"/>
  </w:num>
  <w:num w:numId="181" w16cid:durableId="1806436031">
    <w:abstractNumId w:val="515"/>
  </w:num>
  <w:num w:numId="182" w16cid:durableId="332995966">
    <w:abstractNumId w:val="822"/>
  </w:num>
  <w:num w:numId="183" w16cid:durableId="86659974">
    <w:abstractNumId w:val="56"/>
  </w:num>
  <w:num w:numId="184" w16cid:durableId="529342448">
    <w:abstractNumId w:val="702"/>
  </w:num>
  <w:num w:numId="185" w16cid:durableId="393892383">
    <w:abstractNumId w:val="576"/>
  </w:num>
  <w:num w:numId="186" w16cid:durableId="938870956">
    <w:abstractNumId w:val="846"/>
  </w:num>
  <w:num w:numId="187" w16cid:durableId="1230070050">
    <w:abstractNumId w:val="86"/>
  </w:num>
  <w:num w:numId="188" w16cid:durableId="1810628844">
    <w:abstractNumId w:val="999"/>
  </w:num>
  <w:num w:numId="189" w16cid:durableId="824320890">
    <w:abstractNumId w:val="933"/>
  </w:num>
  <w:num w:numId="190" w16cid:durableId="256796664">
    <w:abstractNumId w:val="677"/>
  </w:num>
  <w:num w:numId="191" w16cid:durableId="1480147720">
    <w:abstractNumId w:val="344"/>
  </w:num>
  <w:num w:numId="192" w16cid:durableId="1199973839">
    <w:abstractNumId w:val="4"/>
  </w:num>
  <w:num w:numId="193" w16cid:durableId="51928690">
    <w:abstractNumId w:val="1050"/>
  </w:num>
  <w:num w:numId="194" w16cid:durableId="479035142">
    <w:abstractNumId w:val="927"/>
  </w:num>
  <w:num w:numId="195" w16cid:durableId="1094976875">
    <w:abstractNumId w:val="118"/>
  </w:num>
  <w:num w:numId="196" w16cid:durableId="159279862">
    <w:abstractNumId w:val="178"/>
  </w:num>
  <w:num w:numId="197" w16cid:durableId="1979678614">
    <w:abstractNumId w:val="670"/>
  </w:num>
  <w:num w:numId="198" w16cid:durableId="504711141">
    <w:abstractNumId w:val="158"/>
  </w:num>
  <w:num w:numId="199" w16cid:durableId="2092120281">
    <w:abstractNumId w:val="67"/>
  </w:num>
  <w:num w:numId="200" w16cid:durableId="188421307">
    <w:abstractNumId w:val="584"/>
  </w:num>
  <w:num w:numId="201" w16cid:durableId="841437787">
    <w:abstractNumId w:val="597"/>
  </w:num>
  <w:num w:numId="202" w16cid:durableId="986786303">
    <w:abstractNumId w:val="299"/>
  </w:num>
  <w:num w:numId="203" w16cid:durableId="1638532348">
    <w:abstractNumId w:val="271"/>
  </w:num>
  <w:num w:numId="204" w16cid:durableId="68814839">
    <w:abstractNumId w:val="637"/>
  </w:num>
  <w:num w:numId="205" w16cid:durableId="1509250090">
    <w:abstractNumId w:val="173"/>
  </w:num>
  <w:num w:numId="206" w16cid:durableId="1772241554">
    <w:abstractNumId w:val="646"/>
  </w:num>
  <w:num w:numId="207" w16cid:durableId="1749385022">
    <w:abstractNumId w:val="570"/>
  </w:num>
  <w:num w:numId="208" w16cid:durableId="1807433478">
    <w:abstractNumId w:val="294"/>
  </w:num>
  <w:num w:numId="209" w16cid:durableId="295263998">
    <w:abstractNumId w:val="302"/>
  </w:num>
  <w:num w:numId="210" w16cid:durableId="165946472">
    <w:abstractNumId w:val="398"/>
  </w:num>
  <w:num w:numId="211" w16cid:durableId="1281184912">
    <w:abstractNumId w:val="512"/>
  </w:num>
  <w:num w:numId="212" w16cid:durableId="1197308636">
    <w:abstractNumId w:val="654"/>
  </w:num>
  <w:num w:numId="213" w16cid:durableId="1259563959">
    <w:abstractNumId w:val="792"/>
  </w:num>
  <w:num w:numId="214" w16cid:durableId="507913749">
    <w:abstractNumId w:val="456"/>
  </w:num>
  <w:num w:numId="215" w16cid:durableId="826747899">
    <w:abstractNumId w:val="628"/>
  </w:num>
  <w:num w:numId="216" w16cid:durableId="1853642934">
    <w:abstractNumId w:val="961"/>
  </w:num>
  <w:num w:numId="217" w16cid:durableId="1797522972">
    <w:abstractNumId w:val="1046"/>
  </w:num>
  <w:num w:numId="218" w16cid:durableId="1596593926">
    <w:abstractNumId w:val="531"/>
  </w:num>
  <w:num w:numId="219" w16cid:durableId="1612591498">
    <w:abstractNumId w:val="252"/>
  </w:num>
  <w:num w:numId="220" w16cid:durableId="685522581">
    <w:abstractNumId w:val="936"/>
  </w:num>
  <w:num w:numId="221" w16cid:durableId="769469501">
    <w:abstractNumId w:val="913"/>
  </w:num>
  <w:num w:numId="222" w16cid:durableId="717238268">
    <w:abstractNumId w:val="31"/>
  </w:num>
  <w:num w:numId="223" w16cid:durableId="1856185660">
    <w:abstractNumId w:val="483"/>
  </w:num>
  <w:num w:numId="224" w16cid:durableId="1390570456">
    <w:abstractNumId w:val="526"/>
  </w:num>
  <w:num w:numId="225" w16cid:durableId="263808127">
    <w:abstractNumId w:val="545"/>
  </w:num>
  <w:num w:numId="226" w16cid:durableId="991520859">
    <w:abstractNumId w:val="1062"/>
  </w:num>
  <w:num w:numId="227" w16cid:durableId="874926341">
    <w:abstractNumId w:val="623"/>
  </w:num>
  <w:num w:numId="228" w16cid:durableId="1050302517">
    <w:abstractNumId w:val="213"/>
  </w:num>
  <w:num w:numId="229" w16cid:durableId="1414207540">
    <w:abstractNumId w:val="987"/>
  </w:num>
  <w:num w:numId="230" w16cid:durableId="43413293">
    <w:abstractNumId w:val="758"/>
  </w:num>
  <w:num w:numId="231" w16cid:durableId="1821071628">
    <w:abstractNumId w:val="721"/>
  </w:num>
  <w:num w:numId="232" w16cid:durableId="1670476725">
    <w:abstractNumId w:val="898"/>
  </w:num>
  <w:num w:numId="233" w16cid:durableId="1205483710">
    <w:abstractNumId w:val="353"/>
  </w:num>
  <w:num w:numId="234" w16cid:durableId="194344744">
    <w:abstractNumId w:val="360"/>
  </w:num>
  <w:num w:numId="235" w16cid:durableId="1806240351">
    <w:abstractNumId w:val="843"/>
  </w:num>
  <w:num w:numId="236" w16cid:durableId="1631279187">
    <w:abstractNumId w:val="966"/>
  </w:num>
  <w:num w:numId="237" w16cid:durableId="255284861">
    <w:abstractNumId w:val="1179"/>
  </w:num>
  <w:num w:numId="238" w16cid:durableId="637416627">
    <w:abstractNumId w:val="789"/>
  </w:num>
  <w:num w:numId="239" w16cid:durableId="1016493803">
    <w:abstractNumId w:val="964"/>
  </w:num>
  <w:num w:numId="240" w16cid:durableId="215119170">
    <w:abstractNumId w:val="467"/>
  </w:num>
  <w:num w:numId="241" w16cid:durableId="1431730791">
    <w:abstractNumId w:val="958"/>
  </w:num>
  <w:num w:numId="242" w16cid:durableId="2126657332">
    <w:abstractNumId w:val="181"/>
  </w:num>
  <w:num w:numId="243" w16cid:durableId="1844273135">
    <w:abstractNumId w:val="712"/>
  </w:num>
  <w:num w:numId="244" w16cid:durableId="242762438">
    <w:abstractNumId w:val="486"/>
  </w:num>
  <w:num w:numId="245" w16cid:durableId="640306397">
    <w:abstractNumId w:val="285"/>
  </w:num>
  <w:num w:numId="246" w16cid:durableId="1880125591">
    <w:abstractNumId w:val="814"/>
  </w:num>
  <w:num w:numId="247" w16cid:durableId="1031765493">
    <w:abstractNumId w:val="816"/>
  </w:num>
  <w:num w:numId="248" w16cid:durableId="644624127">
    <w:abstractNumId w:val="475"/>
  </w:num>
  <w:num w:numId="249" w16cid:durableId="1659729329">
    <w:abstractNumId w:val="412"/>
  </w:num>
  <w:num w:numId="250" w16cid:durableId="858356326">
    <w:abstractNumId w:val="329"/>
  </w:num>
  <w:num w:numId="251" w16cid:durableId="264077069">
    <w:abstractNumId w:val="1065"/>
  </w:num>
  <w:num w:numId="252" w16cid:durableId="505021528">
    <w:abstractNumId w:val="648"/>
  </w:num>
  <w:num w:numId="253" w16cid:durableId="713847588">
    <w:abstractNumId w:val="323"/>
  </w:num>
  <w:num w:numId="254" w16cid:durableId="1861625722">
    <w:abstractNumId w:val="600"/>
  </w:num>
  <w:num w:numId="255" w16cid:durableId="632060951">
    <w:abstractNumId w:val="801"/>
  </w:num>
  <w:num w:numId="256" w16cid:durableId="2030059364">
    <w:abstractNumId w:val="645"/>
  </w:num>
  <w:num w:numId="257" w16cid:durableId="1133985721">
    <w:abstractNumId w:val="267"/>
  </w:num>
  <w:num w:numId="258" w16cid:durableId="1756055012">
    <w:abstractNumId w:val="506"/>
  </w:num>
  <w:num w:numId="259" w16cid:durableId="587930426">
    <w:abstractNumId w:val="255"/>
  </w:num>
  <w:num w:numId="260" w16cid:durableId="1762217766">
    <w:abstractNumId w:val="718"/>
  </w:num>
  <w:num w:numId="261" w16cid:durableId="1320888380">
    <w:abstractNumId w:val="665"/>
  </w:num>
  <w:num w:numId="262" w16cid:durableId="913012510">
    <w:abstractNumId w:val="169"/>
  </w:num>
  <w:num w:numId="263" w16cid:durableId="195970908">
    <w:abstractNumId w:val="247"/>
  </w:num>
  <w:num w:numId="264" w16cid:durableId="1156339627">
    <w:abstractNumId w:val="1013"/>
  </w:num>
  <w:num w:numId="265" w16cid:durableId="1370498241">
    <w:abstractNumId w:val="414"/>
  </w:num>
  <w:num w:numId="266" w16cid:durableId="54743994">
    <w:abstractNumId w:val="1165"/>
  </w:num>
  <w:num w:numId="267" w16cid:durableId="978340207">
    <w:abstractNumId w:val="678"/>
  </w:num>
  <w:num w:numId="268" w16cid:durableId="2008054454">
    <w:abstractNumId w:val="732"/>
  </w:num>
  <w:num w:numId="269" w16cid:durableId="330790422">
    <w:abstractNumId w:val="14"/>
  </w:num>
  <w:num w:numId="270" w16cid:durableId="1589076099">
    <w:abstractNumId w:val="421"/>
  </w:num>
  <w:num w:numId="271" w16cid:durableId="1597133982">
    <w:abstractNumId w:val="647"/>
  </w:num>
  <w:num w:numId="272" w16cid:durableId="415979134">
    <w:abstractNumId w:val="1047"/>
  </w:num>
  <w:num w:numId="273" w16cid:durableId="1889797386">
    <w:abstractNumId w:val="333"/>
  </w:num>
  <w:num w:numId="274" w16cid:durableId="735320501">
    <w:abstractNumId w:val="359"/>
  </w:num>
  <w:num w:numId="275" w16cid:durableId="699747860">
    <w:abstractNumId w:val="106"/>
  </w:num>
  <w:num w:numId="276" w16cid:durableId="1338076046">
    <w:abstractNumId w:val="675"/>
  </w:num>
  <w:num w:numId="277" w16cid:durableId="1570387661">
    <w:abstractNumId w:val="58"/>
  </w:num>
  <w:num w:numId="278" w16cid:durableId="921064355">
    <w:abstractNumId w:val="726"/>
  </w:num>
  <w:num w:numId="279" w16cid:durableId="2123259747">
    <w:abstractNumId w:val="559"/>
  </w:num>
  <w:num w:numId="280" w16cid:durableId="1446920879">
    <w:abstractNumId w:val="1084"/>
  </w:num>
  <w:num w:numId="281" w16cid:durableId="1681811849">
    <w:abstractNumId w:val="383"/>
  </w:num>
  <w:num w:numId="282" w16cid:durableId="485125686">
    <w:abstractNumId w:val="672"/>
  </w:num>
  <w:num w:numId="283" w16cid:durableId="87653850">
    <w:abstractNumId w:val="916"/>
  </w:num>
  <w:num w:numId="284" w16cid:durableId="936257054">
    <w:abstractNumId w:val="410"/>
  </w:num>
  <w:num w:numId="285" w16cid:durableId="1811246963">
    <w:abstractNumId w:val="599"/>
  </w:num>
  <w:num w:numId="286" w16cid:durableId="823547342">
    <w:abstractNumId w:val="703"/>
  </w:num>
  <w:num w:numId="287" w16cid:durableId="1471943373">
    <w:abstractNumId w:val="1083"/>
  </w:num>
  <w:num w:numId="288" w16cid:durableId="1465390202">
    <w:abstractNumId w:val="586"/>
  </w:num>
  <w:num w:numId="289" w16cid:durableId="1564372131">
    <w:abstractNumId w:val="652"/>
  </w:num>
  <w:num w:numId="290" w16cid:durableId="1981957835">
    <w:abstractNumId w:val="1021"/>
  </w:num>
  <w:num w:numId="291" w16cid:durableId="134952385">
    <w:abstractNumId w:val="558"/>
  </w:num>
  <w:num w:numId="292" w16cid:durableId="1098060416">
    <w:abstractNumId w:val="755"/>
  </w:num>
  <w:num w:numId="293" w16cid:durableId="1514371747">
    <w:abstractNumId w:val="580"/>
  </w:num>
  <w:num w:numId="294" w16cid:durableId="1188518092">
    <w:abstractNumId w:val="347"/>
  </w:num>
  <w:num w:numId="295" w16cid:durableId="2095783038">
    <w:abstractNumId w:val="1081"/>
  </w:num>
  <w:num w:numId="296" w16cid:durableId="1248805952">
    <w:abstractNumId w:val="368"/>
  </w:num>
  <w:num w:numId="297" w16cid:durableId="483860088">
    <w:abstractNumId w:val="57"/>
  </w:num>
  <w:num w:numId="298" w16cid:durableId="888691121">
    <w:abstractNumId w:val="729"/>
  </w:num>
  <w:num w:numId="299" w16cid:durableId="1249460126">
    <w:abstractNumId w:val="812"/>
  </w:num>
  <w:num w:numId="300" w16cid:durableId="662244501">
    <w:abstractNumId w:val="80"/>
  </w:num>
  <w:num w:numId="301" w16cid:durableId="1562672571">
    <w:abstractNumId w:val="894"/>
  </w:num>
  <w:num w:numId="302" w16cid:durableId="410542620">
    <w:abstractNumId w:val="182"/>
  </w:num>
  <w:num w:numId="303" w16cid:durableId="1962110765">
    <w:abstractNumId w:val="1103"/>
  </w:num>
  <w:num w:numId="304" w16cid:durableId="1950433485">
    <w:abstractNumId w:val="311"/>
  </w:num>
  <w:num w:numId="305" w16cid:durableId="1850175529">
    <w:abstractNumId w:val="566"/>
  </w:num>
  <w:num w:numId="306" w16cid:durableId="1192183665">
    <w:abstractNumId w:val="791"/>
  </w:num>
  <w:num w:numId="307" w16cid:durableId="79303455">
    <w:abstractNumId w:val="387"/>
  </w:num>
  <w:num w:numId="308" w16cid:durableId="148517922">
    <w:abstractNumId w:val="890"/>
  </w:num>
  <w:num w:numId="309" w16cid:durableId="1126436902">
    <w:abstractNumId w:val="137"/>
  </w:num>
  <w:num w:numId="310" w16cid:durableId="716323463">
    <w:abstractNumId w:val="219"/>
  </w:num>
  <w:num w:numId="311" w16cid:durableId="1060440272">
    <w:abstractNumId w:val="1056"/>
  </w:num>
  <w:num w:numId="312" w16cid:durableId="505634226">
    <w:abstractNumId w:val="7"/>
  </w:num>
  <w:num w:numId="313" w16cid:durableId="368840985">
    <w:abstractNumId w:val="799"/>
  </w:num>
  <w:num w:numId="314" w16cid:durableId="2077435750">
    <w:abstractNumId w:val="1023"/>
  </w:num>
  <w:num w:numId="315" w16cid:durableId="2085107087">
    <w:abstractNumId w:val="309"/>
  </w:num>
  <w:num w:numId="316" w16cid:durableId="1920016993">
    <w:abstractNumId w:val="453"/>
  </w:num>
  <w:num w:numId="317" w16cid:durableId="1480921658">
    <w:abstractNumId w:val="946"/>
  </w:num>
  <w:num w:numId="318" w16cid:durableId="1452289099">
    <w:abstractNumId w:val="523"/>
  </w:num>
  <w:num w:numId="319" w16cid:durableId="2128086457">
    <w:abstractNumId w:val="594"/>
  </w:num>
  <w:num w:numId="320" w16cid:durableId="1274511348">
    <w:abstractNumId w:val="1042"/>
  </w:num>
  <w:num w:numId="321" w16cid:durableId="1374424923">
    <w:abstractNumId w:val="892"/>
  </w:num>
  <w:num w:numId="322" w16cid:durableId="1868059963">
    <w:abstractNumId w:val="22"/>
  </w:num>
  <w:num w:numId="323" w16cid:durableId="413747009">
    <w:abstractNumId w:val="563"/>
  </w:num>
  <w:num w:numId="324" w16cid:durableId="1899317747">
    <w:abstractNumId w:val="284"/>
  </w:num>
  <w:num w:numId="325" w16cid:durableId="895120321">
    <w:abstractNumId w:val="567"/>
  </w:num>
  <w:num w:numId="326" w16cid:durableId="950012160">
    <w:abstractNumId w:val="230"/>
  </w:num>
  <w:num w:numId="327" w16cid:durableId="430665372">
    <w:abstractNumId w:val="306"/>
  </w:num>
  <w:num w:numId="328" w16cid:durableId="1229262132">
    <w:abstractNumId w:val="769"/>
  </w:num>
  <w:num w:numId="329" w16cid:durableId="894968137">
    <w:abstractNumId w:val="77"/>
  </w:num>
  <w:num w:numId="330" w16cid:durableId="97219665">
    <w:abstractNumId w:val="830"/>
  </w:num>
  <w:num w:numId="331" w16cid:durableId="1489326681">
    <w:abstractNumId w:val="978"/>
  </w:num>
  <w:num w:numId="332" w16cid:durableId="409347628">
    <w:abstractNumId w:val="1105"/>
  </w:num>
  <w:num w:numId="333" w16cid:durableId="684134745">
    <w:abstractNumId w:val="977"/>
  </w:num>
  <w:num w:numId="334" w16cid:durableId="30305261">
    <w:abstractNumId w:val="16"/>
  </w:num>
  <w:num w:numId="335" w16cid:durableId="1481657706">
    <w:abstractNumId w:val="37"/>
  </w:num>
  <w:num w:numId="336" w16cid:durableId="822506428">
    <w:abstractNumId w:val="179"/>
  </w:num>
  <w:num w:numId="337" w16cid:durableId="243607024">
    <w:abstractNumId w:val="399"/>
  </w:num>
  <w:num w:numId="338" w16cid:durableId="1403680047">
    <w:abstractNumId w:val="642"/>
  </w:num>
  <w:num w:numId="339" w16cid:durableId="2007904489">
    <w:abstractNumId w:val="1049"/>
  </w:num>
  <w:num w:numId="340" w16cid:durableId="1452286871">
    <w:abstractNumId w:val="468"/>
  </w:num>
  <w:num w:numId="341" w16cid:durableId="855580912">
    <w:abstractNumId w:val="273"/>
  </w:num>
  <w:num w:numId="342" w16cid:durableId="786587577">
    <w:abstractNumId w:val="688"/>
  </w:num>
  <w:num w:numId="343" w16cid:durableId="557977151">
    <w:abstractNumId w:val="1070"/>
  </w:num>
  <w:num w:numId="344" w16cid:durableId="274213378">
    <w:abstractNumId w:val="611"/>
  </w:num>
  <w:num w:numId="345" w16cid:durableId="661547986">
    <w:abstractNumId w:val="150"/>
  </w:num>
  <w:num w:numId="346" w16cid:durableId="1706368092">
    <w:abstractNumId w:val="457"/>
  </w:num>
  <w:num w:numId="347" w16cid:durableId="2140344198">
    <w:abstractNumId w:val="1118"/>
  </w:num>
  <w:num w:numId="348" w16cid:durableId="1454206716">
    <w:abstractNumId w:val="604"/>
  </w:num>
  <w:num w:numId="349" w16cid:durableId="2048794028">
    <w:abstractNumId w:val="296"/>
  </w:num>
  <w:num w:numId="350" w16cid:durableId="75828287">
    <w:abstractNumId w:val="1024"/>
  </w:num>
  <w:num w:numId="351" w16cid:durableId="788470355">
    <w:abstractNumId w:val="107"/>
  </w:num>
  <w:num w:numId="352" w16cid:durableId="1493569710">
    <w:abstractNumId w:val="141"/>
  </w:num>
  <w:num w:numId="353" w16cid:durableId="843083952">
    <w:abstractNumId w:val="55"/>
  </w:num>
  <w:num w:numId="354" w16cid:durableId="951984192">
    <w:abstractNumId w:val="889"/>
  </w:num>
  <w:num w:numId="355" w16cid:durableId="355619449">
    <w:abstractNumId w:val="174"/>
  </w:num>
  <w:num w:numId="356" w16cid:durableId="447893765">
    <w:abstractNumId w:val="372"/>
  </w:num>
  <w:num w:numId="357" w16cid:durableId="1100488844">
    <w:abstractNumId w:val="125"/>
  </w:num>
  <w:num w:numId="358" w16cid:durableId="658194120">
    <w:abstractNumId w:val="242"/>
  </w:num>
  <w:num w:numId="359" w16cid:durableId="492649092">
    <w:abstractNumId w:val="319"/>
  </w:num>
  <w:num w:numId="360" w16cid:durableId="874007214">
    <w:abstractNumId w:val="942"/>
  </w:num>
  <w:num w:numId="361" w16cid:durableId="1743327296">
    <w:abstractNumId w:val="138"/>
  </w:num>
  <w:num w:numId="362" w16cid:durableId="521668101">
    <w:abstractNumId w:val="493"/>
  </w:num>
  <w:num w:numId="363" w16cid:durableId="1432822353">
    <w:abstractNumId w:val="612"/>
  </w:num>
  <w:num w:numId="364" w16cid:durableId="1629554485">
    <w:abstractNumId w:val="975"/>
  </w:num>
  <w:num w:numId="365" w16cid:durableId="361830738">
    <w:abstractNumId w:val="366"/>
  </w:num>
  <w:num w:numId="366" w16cid:durableId="1377387110">
    <w:abstractNumId w:val="1008"/>
  </w:num>
  <w:num w:numId="367" w16cid:durableId="540172339">
    <w:abstractNumId w:val="225"/>
  </w:num>
  <w:num w:numId="368" w16cid:durableId="486291364">
    <w:abstractNumId w:val="1082"/>
  </w:num>
  <w:num w:numId="369" w16cid:durableId="1951819771">
    <w:abstractNumId w:val="423"/>
  </w:num>
  <w:num w:numId="370" w16cid:durableId="727414110">
    <w:abstractNumId w:val="82"/>
  </w:num>
  <w:num w:numId="371" w16cid:durableId="1703898913">
    <w:abstractNumId w:val="965"/>
  </w:num>
  <w:num w:numId="372" w16cid:durableId="2104182784">
    <w:abstractNumId w:val="858"/>
  </w:num>
  <w:num w:numId="373" w16cid:durableId="646014418">
    <w:abstractNumId w:val="572"/>
  </w:num>
  <w:num w:numId="374" w16cid:durableId="2107453987">
    <w:abstractNumId w:val="280"/>
  </w:num>
  <w:num w:numId="375" w16cid:durableId="240675700">
    <w:abstractNumId w:val="301"/>
  </w:num>
  <w:num w:numId="376" w16cid:durableId="692608330">
    <w:abstractNumId w:val="938"/>
  </w:num>
  <w:num w:numId="377" w16cid:durableId="1640261664">
    <w:abstractNumId w:val="640"/>
  </w:num>
  <w:num w:numId="378" w16cid:durableId="623776356">
    <w:abstractNumId w:val="405"/>
  </w:num>
  <w:num w:numId="379" w16cid:durableId="1405881752">
    <w:abstractNumId w:val="857"/>
  </w:num>
  <w:num w:numId="380" w16cid:durableId="1871604950">
    <w:abstractNumId w:val="636"/>
  </w:num>
  <w:num w:numId="381" w16cid:durableId="449670491">
    <w:abstractNumId w:val="725"/>
  </w:num>
  <w:num w:numId="382" w16cid:durableId="662122039">
    <w:abstractNumId w:val="874"/>
  </w:num>
  <w:num w:numId="383" w16cid:durableId="1610821617">
    <w:abstractNumId w:val="68"/>
  </w:num>
  <w:num w:numId="384" w16cid:durableId="333149885">
    <w:abstractNumId w:val="114"/>
  </w:num>
  <w:num w:numId="385" w16cid:durableId="1653632204">
    <w:abstractNumId w:val="96"/>
  </w:num>
  <w:num w:numId="386" w16cid:durableId="1174613931">
    <w:abstractNumId w:val="95"/>
  </w:num>
  <w:num w:numId="387" w16cid:durableId="345668336">
    <w:abstractNumId w:val="81"/>
  </w:num>
  <w:num w:numId="388" w16cid:durableId="512956637">
    <w:abstractNumId w:val="722"/>
  </w:num>
  <w:num w:numId="389" w16cid:durableId="785777943">
    <w:abstractNumId w:val="26"/>
  </w:num>
  <w:num w:numId="390" w16cid:durableId="734544208">
    <w:abstractNumId w:val="12"/>
  </w:num>
  <w:num w:numId="391" w16cid:durableId="925115496">
    <w:abstractNumId w:val="1038"/>
  </w:num>
  <w:num w:numId="392" w16cid:durableId="815490313">
    <w:abstractNumId w:val="214"/>
  </w:num>
  <w:num w:numId="393" w16cid:durableId="715589899">
    <w:abstractNumId w:val="937"/>
  </w:num>
  <w:num w:numId="394" w16cid:durableId="713963104">
    <w:abstractNumId w:val="1015"/>
  </w:num>
  <w:num w:numId="395" w16cid:durableId="1563248273">
    <w:abstractNumId w:val="473"/>
  </w:num>
  <w:num w:numId="396" w16cid:durableId="794372730">
    <w:abstractNumId w:val="591"/>
  </w:num>
  <w:num w:numId="397" w16cid:durableId="615211348">
    <w:abstractNumId w:val="1057"/>
  </w:num>
  <w:num w:numId="398" w16cid:durableId="1271858616">
    <w:abstractNumId w:val="593"/>
  </w:num>
  <w:num w:numId="399" w16cid:durableId="1837188289">
    <w:abstractNumId w:val="904"/>
  </w:num>
  <w:num w:numId="400" w16cid:durableId="1479348005">
    <w:abstractNumId w:val="2"/>
  </w:num>
  <w:num w:numId="401" w16cid:durableId="1805269448">
    <w:abstractNumId w:val="189"/>
  </w:num>
  <w:num w:numId="402" w16cid:durableId="197817263">
    <w:abstractNumId w:val="1033"/>
  </w:num>
  <w:num w:numId="403" w16cid:durableId="2064714393">
    <w:abstractNumId w:val="188"/>
  </w:num>
  <w:num w:numId="404" w16cid:durableId="1092777106">
    <w:abstractNumId w:val="481"/>
  </w:num>
  <w:num w:numId="405" w16cid:durableId="2084792648">
    <w:abstractNumId w:val="1128"/>
  </w:num>
  <w:num w:numId="406" w16cid:durableId="1772584360">
    <w:abstractNumId w:val="759"/>
  </w:num>
  <w:num w:numId="407" w16cid:durableId="1217744520">
    <w:abstractNumId w:val="609"/>
  </w:num>
  <w:num w:numId="408" w16cid:durableId="779573320">
    <w:abstractNumId w:val="111"/>
  </w:num>
  <w:num w:numId="409" w16cid:durableId="673649885">
    <w:abstractNumId w:val="145"/>
  </w:num>
  <w:num w:numId="410" w16cid:durableId="1574506709">
    <w:abstractNumId w:val="619"/>
  </w:num>
  <w:num w:numId="411" w16cid:durableId="1565602062">
    <w:abstractNumId w:val="78"/>
  </w:num>
  <w:num w:numId="412" w16cid:durableId="1273513131">
    <w:abstractNumId w:val="806"/>
  </w:num>
  <w:num w:numId="413" w16cid:durableId="1185175484">
    <w:abstractNumId w:val="1158"/>
  </w:num>
  <w:num w:numId="414" w16cid:durableId="1456564735">
    <w:abstractNumId w:val="811"/>
  </w:num>
  <w:num w:numId="415" w16cid:durableId="2082871632">
    <w:abstractNumId w:val="859"/>
  </w:num>
  <w:num w:numId="416" w16cid:durableId="1484421295">
    <w:abstractNumId w:val="392"/>
  </w:num>
  <w:num w:numId="417" w16cid:durableId="1350134776">
    <w:abstractNumId w:val="153"/>
  </w:num>
  <w:num w:numId="418" w16cid:durableId="471286772">
    <w:abstractNumId w:val="75"/>
  </w:num>
  <w:num w:numId="419" w16cid:durableId="1256666325">
    <w:abstractNumId w:val="498"/>
  </w:num>
  <w:num w:numId="420" w16cid:durableId="593173328">
    <w:abstractNumId w:val="564"/>
  </w:num>
  <w:num w:numId="421" w16cid:durableId="1728799799">
    <w:abstractNumId w:val="39"/>
  </w:num>
  <w:num w:numId="422" w16cid:durableId="1872066104">
    <w:abstractNumId w:val="854"/>
  </w:num>
  <w:num w:numId="423" w16cid:durableId="763068161">
    <w:abstractNumId w:val="35"/>
  </w:num>
  <w:num w:numId="424" w16cid:durableId="384184598">
    <w:abstractNumId w:val="1112"/>
  </w:num>
  <w:num w:numId="425" w16cid:durableId="138764471">
    <w:abstractNumId w:val="528"/>
  </w:num>
  <w:num w:numId="426" w16cid:durableId="1563758664">
    <w:abstractNumId w:val="973"/>
  </w:num>
  <w:num w:numId="427" w16cid:durableId="1674913282">
    <w:abstractNumId w:val="434"/>
  </w:num>
  <w:num w:numId="428" w16cid:durableId="1616793625">
    <w:abstractNumId w:val="120"/>
  </w:num>
  <w:num w:numId="429" w16cid:durableId="1566181039">
    <w:abstractNumId w:val="548"/>
  </w:num>
  <w:num w:numId="430" w16cid:durableId="746927379">
    <w:abstractNumId w:val="716"/>
  </w:num>
  <w:num w:numId="431" w16cid:durableId="1301380599">
    <w:abstractNumId w:val="163"/>
  </w:num>
  <w:num w:numId="432" w16cid:durableId="1281839297">
    <w:abstractNumId w:val="565"/>
  </w:num>
  <w:num w:numId="433" w16cid:durableId="938366983">
    <w:abstractNumId w:val="243"/>
  </w:num>
  <w:num w:numId="434" w16cid:durableId="1423523856">
    <w:abstractNumId w:val="488"/>
  </w:num>
  <w:num w:numId="435" w16cid:durableId="1777677319">
    <w:abstractNumId w:val="519"/>
  </w:num>
  <w:num w:numId="436" w16cid:durableId="204418048">
    <w:abstractNumId w:val="605"/>
  </w:num>
  <w:num w:numId="437" w16cid:durableId="894585529">
    <w:abstractNumId w:val="603"/>
  </w:num>
  <w:num w:numId="438" w16cid:durableId="995114587">
    <w:abstractNumId w:val="535"/>
  </w:num>
  <w:num w:numId="439" w16cid:durableId="972951807">
    <w:abstractNumId w:val="1130"/>
  </w:num>
  <w:num w:numId="440" w16cid:durableId="685133396">
    <w:abstractNumId w:val="870"/>
  </w:num>
  <w:num w:numId="441" w16cid:durableId="559824544">
    <w:abstractNumId w:val="649"/>
  </w:num>
  <w:num w:numId="442" w16cid:durableId="754596432">
    <w:abstractNumId w:val="626"/>
  </w:num>
  <w:num w:numId="443" w16cid:durableId="991250248">
    <w:abstractNumId w:val="348"/>
  </w:num>
  <w:num w:numId="444" w16cid:durableId="1151291519">
    <w:abstractNumId w:val="752"/>
  </w:num>
  <w:num w:numId="445" w16cid:durableId="1076197926">
    <w:abstractNumId w:val="1182"/>
  </w:num>
  <w:num w:numId="446" w16cid:durableId="83647348">
    <w:abstractNumId w:val="470"/>
  </w:num>
  <w:num w:numId="447" w16cid:durableId="1873154517">
    <w:abstractNumId w:val="638"/>
  </w:num>
  <w:num w:numId="448" w16cid:durableId="914431874">
    <w:abstractNumId w:val="73"/>
  </w:num>
  <w:num w:numId="449" w16cid:durableId="802236163">
    <w:abstractNumId w:val="982"/>
  </w:num>
  <w:num w:numId="450" w16cid:durableId="1825314905">
    <w:abstractNumId w:val="618"/>
  </w:num>
  <w:num w:numId="451" w16cid:durableId="153842604">
    <w:abstractNumId w:val="1076"/>
  </w:num>
  <w:num w:numId="452" w16cid:durableId="784927270">
    <w:abstractNumId w:val="1096"/>
  </w:num>
  <w:num w:numId="453" w16cid:durableId="1714963318">
    <w:abstractNumId w:val="554"/>
  </w:num>
  <w:num w:numId="454" w16cid:durableId="655114118">
    <w:abstractNumId w:val="540"/>
  </w:num>
  <w:num w:numId="455" w16cid:durableId="1308629025">
    <w:abstractNumId w:val="409"/>
  </w:num>
  <w:num w:numId="456" w16cid:durableId="702483987">
    <w:abstractNumId w:val="815"/>
  </w:num>
  <w:num w:numId="457" w16cid:durableId="746612022">
    <w:abstractNumId w:val="237"/>
  </w:num>
  <w:num w:numId="458" w16cid:durableId="1868057912">
    <w:abstractNumId w:val="1142"/>
  </w:num>
  <w:num w:numId="459" w16cid:durableId="1227690763">
    <w:abstractNumId w:val="265"/>
  </w:num>
  <w:num w:numId="460" w16cid:durableId="328532269">
    <w:abstractNumId w:val="601"/>
  </w:num>
  <w:num w:numId="461" w16cid:durableId="1133057735">
    <w:abstractNumId w:val="749"/>
  </w:num>
  <w:num w:numId="462" w16cid:durableId="1456871072">
    <w:abstractNumId w:val="256"/>
  </w:num>
  <w:num w:numId="463" w16cid:durableId="566847126">
    <w:abstractNumId w:val="351"/>
  </w:num>
  <w:num w:numId="464" w16cid:durableId="285082424">
    <w:abstractNumId w:val="571"/>
  </w:num>
  <w:num w:numId="465" w16cid:durableId="2082830135">
    <w:abstractNumId w:val="24"/>
  </w:num>
  <w:num w:numId="466" w16cid:durableId="224419263">
    <w:abstractNumId w:val="450"/>
  </w:num>
  <w:num w:numId="467" w16cid:durableId="230390123">
    <w:abstractNumId w:val="763"/>
  </w:num>
  <w:num w:numId="468" w16cid:durableId="571038515">
    <w:abstractNumId w:val="984"/>
  </w:num>
  <w:num w:numId="469" w16cid:durableId="1616209931">
    <w:abstractNumId w:val="883"/>
  </w:num>
  <w:num w:numId="470" w16cid:durableId="1351953215">
    <w:abstractNumId w:val="49"/>
  </w:num>
  <w:num w:numId="471" w16cid:durableId="866063478">
    <w:abstractNumId w:val="352"/>
  </w:num>
  <w:num w:numId="472" w16cid:durableId="1482503999">
    <w:abstractNumId w:val="18"/>
  </w:num>
  <w:num w:numId="473" w16cid:durableId="1245720506">
    <w:abstractNumId w:val="797"/>
  </w:num>
  <w:num w:numId="474" w16cid:durableId="1849825667">
    <w:abstractNumId w:val="1005"/>
  </w:num>
  <w:num w:numId="475" w16cid:durableId="343898004">
    <w:abstractNumId w:val="845"/>
  </w:num>
  <w:num w:numId="476" w16cid:durableId="138350248">
    <w:abstractNumId w:val="714"/>
  </w:num>
  <w:num w:numId="477" w16cid:durableId="1366637622">
    <w:abstractNumId w:val="199"/>
  </w:num>
  <w:num w:numId="478" w16cid:durableId="1811481342">
    <w:abstractNumId w:val="955"/>
  </w:num>
  <w:num w:numId="479" w16cid:durableId="525338354">
    <w:abstractNumId w:val="917"/>
  </w:num>
  <w:num w:numId="480" w16cid:durableId="2093550991">
    <w:abstractNumId w:val="331"/>
  </w:num>
  <w:num w:numId="481" w16cid:durableId="772020938">
    <w:abstractNumId w:val="1115"/>
  </w:num>
  <w:num w:numId="482" w16cid:durableId="433324488">
    <w:abstractNumId w:val="1136"/>
  </w:num>
  <w:num w:numId="483" w16cid:durableId="1823616666">
    <w:abstractNumId w:val="663"/>
  </w:num>
  <w:num w:numId="484" w16cid:durableId="647981195">
    <w:abstractNumId w:val="750"/>
  </w:num>
  <w:num w:numId="485" w16cid:durableId="1533029833">
    <w:abstractNumId w:val="361"/>
  </w:num>
  <w:num w:numId="486" w16cid:durableId="186793826">
    <w:abstractNumId w:val="186"/>
  </w:num>
  <w:num w:numId="487" w16cid:durableId="302660132">
    <w:abstractNumId w:val="216"/>
  </w:num>
  <w:num w:numId="488" w16cid:durableId="816188053">
    <w:abstractNumId w:val="1113"/>
  </w:num>
  <w:num w:numId="489" w16cid:durableId="99181296">
    <w:abstractNumId w:val="767"/>
  </w:num>
  <w:num w:numId="490" w16cid:durableId="1937054378">
    <w:abstractNumId w:val="1007"/>
  </w:num>
  <w:num w:numId="491" w16cid:durableId="48917302">
    <w:abstractNumId w:val="327"/>
  </w:num>
  <w:num w:numId="492" w16cid:durableId="200285024">
    <w:abstractNumId w:val="143"/>
  </w:num>
  <w:num w:numId="493" w16cid:durableId="1379009661">
    <w:abstractNumId w:val="139"/>
  </w:num>
  <w:num w:numId="494" w16cid:durableId="2058124829">
    <w:abstractNumId w:val="774"/>
  </w:num>
  <w:num w:numId="495" w16cid:durableId="1557859231">
    <w:abstractNumId w:val="896"/>
  </w:num>
  <w:num w:numId="496" w16cid:durableId="1878932713">
    <w:abstractNumId w:val="988"/>
  </w:num>
  <w:num w:numId="497" w16cid:durableId="1627197486">
    <w:abstractNumId w:val="1159"/>
  </w:num>
  <w:num w:numId="498" w16cid:durableId="1653828375">
    <w:abstractNumId w:val="1100"/>
  </w:num>
  <w:num w:numId="499" w16cid:durableId="1024211509">
    <w:abstractNumId w:val="852"/>
  </w:num>
  <w:num w:numId="500" w16cid:durableId="1277368496">
    <w:abstractNumId w:val="701"/>
  </w:num>
  <w:num w:numId="501" w16cid:durableId="690762704">
    <w:abstractNumId w:val="743"/>
  </w:num>
  <w:num w:numId="502" w16cid:durableId="2123379901">
    <w:abstractNumId w:val="157"/>
  </w:num>
  <w:num w:numId="503" w16cid:durableId="759763274">
    <w:abstractNumId w:val="87"/>
  </w:num>
  <w:num w:numId="504" w16cid:durableId="13383743">
    <w:abstractNumId w:val="310"/>
  </w:num>
  <w:num w:numId="505" w16cid:durableId="674966597">
    <w:abstractNumId w:val="1122"/>
  </w:num>
  <w:num w:numId="506" w16cid:durableId="221988693">
    <w:abstractNumId w:val="668"/>
  </w:num>
  <w:num w:numId="507" w16cid:durableId="1613590999">
    <w:abstractNumId w:val="696"/>
  </w:num>
  <w:num w:numId="508" w16cid:durableId="929583203">
    <w:abstractNumId w:val="921"/>
  </w:num>
  <w:num w:numId="509" w16cid:durableId="1966230310">
    <w:abstractNumId w:val="932"/>
  </w:num>
  <w:num w:numId="510" w16cid:durableId="2001231324">
    <w:abstractNumId w:val="794"/>
  </w:num>
  <w:num w:numId="511" w16cid:durableId="1103651496">
    <w:abstractNumId w:val="196"/>
  </w:num>
  <w:num w:numId="512" w16cid:durableId="477309220">
    <w:abstractNumId w:val="842"/>
  </w:num>
  <w:num w:numId="513" w16cid:durableId="962424832">
    <w:abstractNumId w:val="320"/>
  </w:num>
  <w:num w:numId="514" w16cid:durableId="1104806583">
    <w:abstractNumId w:val="238"/>
  </w:num>
  <w:num w:numId="515" w16cid:durableId="2005667593">
    <w:abstractNumId w:val="274"/>
  </w:num>
  <w:num w:numId="516" w16cid:durableId="1061488880">
    <w:abstractNumId w:val="583"/>
  </w:num>
  <w:num w:numId="517" w16cid:durableId="1153253486">
    <w:abstractNumId w:val="881"/>
  </w:num>
  <w:num w:numId="518" w16cid:durableId="967275871">
    <w:abstractNumId w:val="204"/>
  </w:num>
  <w:num w:numId="519" w16cid:durableId="1766266847">
    <w:abstractNumId w:val="176"/>
  </w:num>
  <w:num w:numId="520" w16cid:durableId="1869105237">
    <w:abstractNumId w:val="1145"/>
  </w:num>
  <w:num w:numId="521" w16cid:durableId="1961380748">
    <w:abstractNumId w:val="426"/>
  </w:num>
  <w:num w:numId="522" w16cid:durableId="141237393">
    <w:abstractNumId w:val="925"/>
  </w:num>
  <w:num w:numId="523" w16cid:durableId="1300304160">
    <w:abstractNumId w:val="69"/>
  </w:num>
  <w:num w:numId="524" w16cid:durableId="2006323625">
    <w:abstractNumId w:val="116"/>
  </w:num>
  <w:num w:numId="525" w16cid:durableId="462424115">
    <w:abstractNumId w:val="969"/>
  </w:num>
  <w:num w:numId="526" w16cid:durableId="1657952795">
    <w:abstractNumId w:val="144"/>
  </w:num>
  <w:num w:numId="527" w16cid:durableId="1502891235">
    <w:abstractNumId w:val="303"/>
  </w:num>
  <w:num w:numId="528" w16cid:durableId="1230732496">
    <w:abstractNumId w:val="451"/>
  </w:num>
  <w:num w:numId="529" w16cid:durableId="1910113074">
    <w:abstractNumId w:val="497"/>
  </w:num>
  <w:num w:numId="530" w16cid:durableId="1513182144">
    <w:abstractNumId w:val="578"/>
  </w:num>
  <w:num w:numId="531" w16cid:durableId="1028750070">
    <w:abstractNumId w:val="575"/>
  </w:num>
  <w:num w:numId="532" w16cid:durableId="488058094">
    <w:abstractNumId w:val="728"/>
  </w:num>
  <w:num w:numId="533" w16cid:durableId="339049366">
    <w:abstractNumId w:val="877"/>
  </w:num>
  <w:num w:numId="534" w16cid:durableId="2055537025">
    <w:abstractNumId w:val="155"/>
  </w:num>
  <w:num w:numId="535" w16cid:durableId="1218206752">
    <w:abstractNumId w:val="695"/>
  </w:num>
  <w:num w:numId="536" w16cid:durableId="1174495923">
    <w:abstractNumId w:val="136"/>
  </w:num>
  <w:num w:numId="537" w16cid:durableId="1666083678">
    <w:abstractNumId w:val="981"/>
  </w:num>
  <w:num w:numId="538" w16cid:durableId="1341159180">
    <w:abstractNumId w:val="753"/>
  </w:num>
  <w:num w:numId="539" w16cid:durableId="1894542644">
    <w:abstractNumId w:val="742"/>
  </w:num>
  <w:num w:numId="540" w16cid:durableId="1661038416">
    <w:abstractNumId w:val="711"/>
  </w:num>
  <w:num w:numId="541" w16cid:durableId="1593933655">
    <w:abstractNumId w:val="1160"/>
  </w:num>
  <w:num w:numId="542" w16cid:durableId="1961107260">
    <w:abstractNumId w:val="1092"/>
  </w:num>
  <w:num w:numId="543" w16cid:durableId="2127772783">
    <w:abstractNumId w:val="447"/>
  </w:num>
  <w:num w:numId="544" w16cid:durableId="327442073">
    <w:abstractNumId w:val="664"/>
  </w:num>
  <w:num w:numId="545" w16cid:durableId="390543121">
    <w:abstractNumId w:val="21"/>
  </w:num>
  <w:num w:numId="546" w16cid:durableId="1795440165">
    <w:abstractNumId w:val="708"/>
  </w:num>
  <w:num w:numId="547" w16cid:durableId="493379780">
    <w:abstractNumId w:val="224"/>
  </w:num>
  <w:num w:numId="548" w16cid:durableId="228467600">
    <w:abstractNumId w:val="751"/>
  </w:num>
  <w:num w:numId="549" w16cid:durableId="508984926">
    <w:abstractNumId w:val="97"/>
  </w:num>
  <w:num w:numId="550" w16cid:durableId="1280918817">
    <w:abstractNumId w:val="60"/>
  </w:num>
  <w:num w:numId="551" w16cid:durableId="962619887">
    <w:abstractNumId w:val="48"/>
  </w:num>
  <w:num w:numId="552" w16cid:durableId="1386762130">
    <w:abstractNumId w:val="1149"/>
  </w:num>
  <w:num w:numId="553" w16cid:durableId="246232524">
    <w:abstractNumId w:val="635"/>
  </w:num>
  <w:num w:numId="554" w16cid:durableId="1260258485">
    <w:abstractNumId w:val="448"/>
  </w:num>
  <w:num w:numId="555" w16cid:durableId="326173232">
    <w:abstractNumId w:val="655"/>
  </w:num>
  <w:num w:numId="556" w16cid:durableId="427044104">
    <w:abstractNumId w:val="1027"/>
  </w:num>
  <w:num w:numId="557" w16cid:durableId="234630842">
    <w:abstractNumId w:val="1133"/>
  </w:num>
  <w:num w:numId="558" w16cid:durableId="786698986">
    <w:abstractNumId w:val="380"/>
  </w:num>
  <w:num w:numId="559" w16cid:durableId="1349714066">
    <w:abstractNumId w:val="561"/>
  </w:num>
  <w:num w:numId="560" w16cid:durableId="198859797">
    <w:abstractNumId w:val="1016"/>
  </w:num>
  <w:num w:numId="561" w16cid:durableId="244341406">
    <w:abstractNumId w:val="59"/>
  </w:num>
  <w:num w:numId="562" w16cid:durableId="248345575">
    <w:abstractNumId w:val="459"/>
  </w:num>
  <w:num w:numId="563" w16cid:durableId="521433330">
    <w:abstractNumId w:val="505"/>
  </w:num>
  <w:num w:numId="564" w16cid:durableId="824857004">
    <w:abstractNumId w:val="627"/>
  </w:num>
  <w:num w:numId="565" w16cid:durableId="1236815679">
    <w:abstractNumId w:val="534"/>
  </w:num>
  <w:num w:numId="566" w16cid:durableId="1948998099">
    <w:abstractNumId w:val="25"/>
  </w:num>
  <w:num w:numId="567" w16cid:durableId="455023429">
    <w:abstractNumId w:val="239"/>
  </w:num>
  <w:num w:numId="568" w16cid:durableId="1901745815">
    <w:abstractNumId w:val="373"/>
  </w:num>
  <w:num w:numId="569" w16cid:durableId="675770834">
    <w:abstractNumId w:val="244"/>
  </w:num>
  <w:num w:numId="570" w16cid:durableId="612592435">
    <w:abstractNumId w:val="1090"/>
  </w:num>
  <w:num w:numId="571" w16cid:durableId="2125030014">
    <w:abstractNumId w:val="198"/>
  </w:num>
  <w:num w:numId="572" w16cid:durableId="603616640">
    <w:abstractNumId w:val="292"/>
  </w:num>
  <w:num w:numId="573" w16cid:durableId="1350524772">
    <w:abstractNumId w:val="1000"/>
  </w:num>
  <w:num w:numId="574" w16cid:durableId="642393903">
    <w:abstractNumId w:val="232"/>
  </w:num>
  <w:num w:numId="575" w16cid:durableId="1545602960">
    <w:abstractNumId w:val="445"/>
  </w:num>
  <w:num w:numId="576" w16cid:durableId="1134980508">
    <w:abstractNumId w:val="985"/>
  </w:num>
  <w:num w:numId="577" w16cid:durableId="674918332">
    <w:abstractNumId w:val="147"/>
  </w:num>
  <w:num w:numId="578" w16cid:durableId="1970741690">
    <w:abstractNumId w:val="480"/>
  </w:num>
  <w:num w:numId="579" w16cid:durableId="1719431494">
    <w:abstractNumId w:val="471"/>
  </w:num>
  <w:num w:numId="580" w16cid:durableId="1302880386">
    <w:abstractNumId w:val="901"/>
  </w:num>
  <w:num w:numId="581" w16cid:durableId="1655329456">
    <w:abstractNumId w:val="205"/>
  </w:num>
  <w:num w:numId="582" w16cid:durableId="1968466031">
    <w:abstractNumId w:val="920"/>
  </w:num>
  <w:num w:numId="583" w16cid:durableId="278879865">
    <w:abstractNumId w:val="228"/>
  </w:num>
  <w:num w:numId="584" w16cid:durableId="372079987">
    <w:abstractNumId w:val="744"/>
  </w:num>
  <w:num w:numId="585" w16cid:durableId="936642806">
    <w:abstractNumId w:val="50"/>
  </w:num>
  <w:num w:numId="586" w16cid:durableId="661814733">
    <w:abstractNumId w:val="659"/>
  </w:num>
  <w:num w:numId="587" w16cid:durableId="580258802">
    <w:abstractNumId w:val="574"/>
  </w:num>
  <w:num w:numId="588" w16cid:durableId="103774388">
    <w:abstractNumId w:val="546"/>
  </w:num>
  <w:num w:numId="589" w16cid:durableId="646781461">
    <w:abstractNumId w:val="919"/>
  </w:num>
  <w:num w:numId="590" w16cid:durableId="331568707">
    <w:abstractNumId w:val="227"/>
  </w:num>
  <w:num w:numId="591" w16cid:durableId="302782424">
    <w:abstractNumId w:val="415"/>
  </w:num>
  <w:num w:numId="592" w16cid:durableId="1122915531">
    <w:abstractNumId w:val="1150"/>
  </w:num>
  <w:num w:numId="593" w16cid:durableId="236551761">
    <w:abstractNumId w:val="431"/>
  </w:num>
  <w:num w:numId="594" w16cid:durableId="242569617">
    <w:abstractNumId w:val="83"/>
  </w:num>
  <w:num w:numId="595" w16cid:durableId="1728190331">
    <w:abstractNumId w:val="1028"/>
  </w:num>
  <w:num w:numId="596" w16cid:durableId="1260748001">
    <w:abstractNumId w:val="783"/>
  </w:num>
  <w:num w:numId="597" w16cid:durableId="1363557441">
    <w:abstractNumId w:val="1022"/>
  </w:num>
  <w:num w:numId="598" w16cid:durableId="419300344">
    <w:abstractNumId w:val="1156"/>
  </w:num>
  <w:num w:numId="599" w16cid:durableId="1956668134">
    <w:abstractNumId w:val="194"/>
  </w:num>
  <w:num w:numId="600" w16cid:durableId="115220508">
    <w:abstractNumId w:val="102"/>
  </w:num>
  <w:num w:numId="601" w16cid:durableId="1892033146">
    <w:abstractNumId w:val="820"/>
  </w:num>
  <w:num w:numId="602" w16cid:durableId="918950688">
    <w:abstractNumId w:val="911"/>
  </w:num>
  <w:num w:numId="603" w16cid:durableId="571474204">
    <w:abstractNumId w:val="295"/>
  </w:num>
  <w:num w:numId="604" w16cid:durableId="157773371">
    <w:abstractNumId w:val="616"/>
  </w:num>
  <w:num w:numId="605" w16cid:durableId="1395003595">
    <w:abstractNumId w:val="474"/>
  </w:num>
  <w:num w:numId="606" w16cid:durableId="779227076">
    <w:abstractNumId w:val="1126"/>
  </w:num>
  <w:num w:numId="607" w16cid:durableId="968434142">
    <w:abstractNumId w:val="1134"/>
  </w:num>
  <w:num w:numId="608" w16cid:durableId="1231382564">
    <w:abstractNumId w:val="472"/>
  </w:num>
  <w:num w:numId="609" w16cid:durableId="441995274">
    <w:abstractNumId w:val="246"/>
  </w:num>
  <w:num w:numId="610" w16cid:durableId="610287386">
    <w:abstractNumId w:val="484"/>
  </w:num>
  <w:num w:numId="611" w16cid:durableId="2107071365">
    <w:abstractNumId w:val="300"/>
  </w:num>
  <w:num w:numId="612" w16cid:durableId="1125733259">
    <w:abstractNumId w:val="762"/>
  </w:num>
  <w:num w:numId="613" w16cid:durableId="370037723">
    <w:abstractNumId w:val="1025"/>
  </w:num>
  <w:num w:numId="614" w16cid:durableId="1831480258">
    <w:abstractNumId w:val="231"/>
  </w:num>
  <w:num w:numId="615" w16cid:durableId="435293643">
    <w:abstractNumId w:val="745"/>
  </w:num>
  <w:num w:numId="616" w16cid:durableId="67920090">
    <w:abstractNumId w:val="840"/>
  </w:num>
  <w:num w:numId="617" w16cid:durableId="1404329142">
    <w:abstractNumId w:val="667"/>
  </w:num>
  <w:num w:numId="618" w16cid:durableId="1043749900">
    <w:abstractNumId w:val="211"/>
  </w:num>
  <w:num w:numId="619" w16cid:durableId="751662000">
    <w:abstractNumId w:val="996"/>
  </w:num>
  <w:num w:numId="620" w16cid:durableId="904607991">
    <w:abstractNumId w:val="727"/>
  </w:num>
  <w:num w:numId="621" w16cid:durableId="805582614">
    <w:abstractNumId w:val="644"/>
  </w:num>
  <w:num w:numId="622" w16cid:durableId="1123229016">
    <w:abstractNumId w:val="340"/>
  </w:num>
  <w:num w:numId="623" w16cid:durableId="1095591940">
    <w:abstractNumId w:val="1010"/>
  </w:num>
  <w:num w:numId="624" w16cid:durableId="1545488285">
    <w:abstractNumId w:val="1101"/>
  </w:num>
  <w:num w:numId="625" w16cid:durableId="386955084">
    <w:abstractNumId w:val="551"/>
  </w:num>
  <w:num w:numId="626" w16cid:durableId="1720980489">
    <w:abstractNumId w:val="408"/>
  </w:num>
  <w:num w:numId="627" w16cid:durableId="1439061338">
    <w:abstractNumId w:val="1089"/>
  </w:num>
  <w:num w:numId="628" w16cid:durableId="803084636">
    <w:abstractNumId w:val="85"/>
  </w:num>
  <w:num w:numId="629" w16cid:durableId="463818968">
    <w:abstractNumId w:val="185"/>
  </w:num>
  <w:num w:numId="630" w16cid:durableId="1286155703">
    <w:abstractNumId w:val="994"/>
  </w:num>
  <w:num w:numId="631" w16cid:durableId="142623431">
    <w:abstractNumId w:val="119"/>
  </w:num>
  <w:num w:numId="632" w16cid:durableId="2057780020">
    <w:abstractNumId w:val="922"/>
  </w:num>
  <w:num w:numId="633" w16cid:durableId="2106487404">
    <w:abstractNumId w:val="939"/>
  </w:num>
  <w:num w:numId="634" w16cid:durableId="930044488">
    <w:abstractNumId w:val="100"/>
  </w:num>
  <w:num w:numId="635" w16cid:durableId="62070418">
    <w:abstractNumId w:val="376"/>
  </w:num>
  <w:num w:numId="636" w16cid:durableId="1915162823">
    <w:abstractNumId w:val="934"/>
  </w:num>
  <w:num w:numId="637" w16cid:durableId="1020811460">
    <w:abstractNumId w:val="1085"/>
  </w:num>
  <w:num w:numId="638" w16cid:durableId="1087582517">
    <w:abstractNumId w:val="527"/>
  </w:num>
  <w:num w:numId="639" w16cid:durableId="610743210">
    <w:abstractNumId w:val="501"/>
  </w:num>
  <w:num w:numId="640" w16cid:durableId="584806185">
    <w:abstractNumId w:val="180"/>
  </w:num>
  <w:num w:numId="641" w16cid:durableId="698508354">
    <w:abstractNumId w:val="335"/>
  </w:num>
  <w:num w:numId="642" w16cid:durableId="69934978">
    <w:abstractNumId w:val="416"/>
  </w:num>
  <w:num w:numId="643" w16cid:durableId="888420241">
    <w:abstractNumId w:val="634"/>
  </w:num>
  <w:num w:numId="644" w16cid:durableId="1054617718">
    <w:abstractNumId w:val="760"/>
  </w:num>
  <w:num w:numId="645" w16cid:durableId="1753236126">
    <w:abstractNumId w:val="337"/>
  </w:num>
  <w:num w:numId="646" w16cid:durableId="1583568148">
    <w:abstractNumId w:val="935"/>
  </w:num>
  <w:num w:numId="647" w16cid:durableId="309097460">
    <w:abstractNumId w:val="706"/>
  </w:num>
  <w:num w:numId="648" w16cid:durableId="1168787805">
    <w:abstractNumId w:val="1104"/>
  </w:num>
  <w:num w:numId="649" w16cid:durableId="715272552">
    <w:abstractNumId w:val="449"/>
  </w:num>
  <w:num w:numId="650" w16cid:durableId="1581869118">
    <w:abstractNumId w:val="1030"/>
  </w:num>
  <w:num w:numId="651" w16cid:durableId="1271468802">
    <w:abstractNumId w:val="276"/>
  </w:num>
  <w:num w:numId="652" w16cid:durableId="1667629587">
    <w:abstractNumId w:val="201"/>
  </w:num>
  <w:num w:numId="653" w16cid:durableId="1344211637">
    <w:abstractNumId w:val="487"/>
  </w:num>
  <w:num w:numId="654" w16cid:durableId="259920454">
    <w:abstractNumId w:val="429"/>
  </w:num>
  <w:num w:numId="655" w16cid:durableId="1629050282">
    <w:abstractNumId w:val="549"/>
  </w:num>
  <w:num w:numId="656" w16cid:durableId="1344238695">
    <w:abstractNumId w:val="321"/>
  </w:num>
  <w:num w:numId="657" w16cid:durableId="400032173">
    <w:abstractNumId w:val="508"/>
  </w:num>
  <w:num w:numId="658" w16cid:durableId="629286478">
    <w:abstractNumId w:val="1035"/>
  </w:num>
  <w:num w:numId="659" w16cid:durableId="1666475949">
    <w:abstractNumId w:val="595"/>
  </w:num>
  <w:num w:numId="660" w16cid:durableId="1851330242">
    <w:abstractNumId w:val="606"/>
  </w:num>
  <w:num w:numId="661" w16cid:durableId="16004708">
    <w:abstractNumId w:val="215"/>
  </w:num>
  <w:num w:numId="662" w16cid:durableId="721247189">
    <w:abstractNumId w:val="160"/>
  </w:num>
  <w:num w:numId="663" w16cid:durableId="1559171187">
    <w:abstractNumId w:val="443"/>
  </w:num>
  <w:num w:numId="664" w16cid:durableId="602301997">
    <w:abstractNumId w:val="317"/>
  </w:num>
  <w:num w:numId="665" w16cid:durableId="120609909">
    <w:abstractNumId w:val="460"/>
  </w:num>
  <w:num w:numId="666" w16cid:durableId="1493908555">
    <w:abstractNumId w:val="1055"/>
  </w:num>
  <w:num w:numId="667" w16cid:durableId="1129664660">
    <w:abstractNumId w:val="364"/>
  </w:num>
  <w:num w:numId="668" w16cid:durableId="1327896863">
    <w:abstractNumId w:val="32"/>
  </w:num>
  <w:num w:numId="669" w16cid:durableId="1093435372">
    <w:abstractNumId w:val="719"/>
  </w:num>
  <w:num w:numId="670" w16cid:durableId="1098520275">
    <w:abstractNumId w:val="154"/>
  </w:num>
  <w:num w:numId="671" w16cid:durableId="271323443">
    <w:abstractNumId w:val="837"/>
  </w:num>
  <w:num w:numId="672" w16cid:durableId="1348099464">
    <w:abstractNumId w:val="325"/>
  </w:num>
  <w:num w:numId="673" w16cid:durableId="1183742873">
    <w:abstractNumId w:val="632"/>
  </w:num>
  <w:num w:numId="674" w16cid:durableId="970942818">
    <w:abstractNumId w:val="394"/>
  </w:num>
  <w:num w:numId="675" w16cid:durableId="617638809">
    <w:abstractNumId w:val="260"/>
  </w:num>
  <w:num w:numId="676" w16cid:durableId="699286844">
    <w:abstractNumId w:val="88"/>
  </w:num>
  <w:num w:numId="677" w16cid:durableId="1553881183">
    <w:abstractNumId w:val="1120"/>
  </w:num>
  <w:num w:numId="678" w16cid:durableId="917209065">
    <w:abstractNumId w:val="411"/>
  </w:num>
  <w:num w:numId="679" w16cid:durableId="1943102643">
    <w:abstractNumId w:val="1091"/>
  </w:num>
  <w:num w:numId="680" w16cid:durableId="1811635254">
    <w:abstractNumId w:val="661"/>
  </w:num>
  <w:num w:numId="681" w16cid:durableId="595408060">
    <w:abstractNumId w:val="258"/>
  </w:num>
  <w:num w:numId="682" w16cid:durableId="576600249">
    <w:abstractNumId w:val="313"/>
  </w:num>
  <w:num w:numId="683" w16cid:durableId="1676180606">
    <w:abstractNumId w:val="872"/>
  </w:num>
  <w:num w:numId="684" w16cid:durableId="369957963">
    <w:abstractNumId w:val="298"/>
  </w:num>
  <w:num w:numId="685" w16cid:durableId="733625673">
    <w:abstractNumId w:val="504"/>
  </w:num>
  <w:num w:numId="686" w16cid:durableId="1347369401">
    <w:abstractNumId w:val="305"/>
  </w:num>
  <w:num w:numId="687" w16cid:durableId="2120100166">
    <w:abstractNumId w:val="764"/>
  </w:num>
  <w:num w:numId="688" w16cid:durableId="308823935">
    <w:abstractNumId w:val="1140"/>
  </w:num>
  <w:num w:numId="689" w16cid:durableId="555121538">
    <w:abstractNumId w:val="133"/>
  </w:num>
  <w:num w:numId="690" w16cid:durableId="2110155562">
    <w:abstractNumId w:val="680"/>
  </w:num>
  <w:num w:numId="691" w16cid:durableId="760492956">
    <w:abstractNumId w:val="588"/>
  </w:num>
  <w:num w:numId="692" w16cid:durableId="1649164372">
    <w:abstractNumId w:val="833"/>
  </w:num>
  <w:num w:numId="693" w16cid:durableId="685643285">
    <w:abstractNumId w:val="689"/>
  </w:num>
  <w:num w:numId="694" w16cid:durableId="1953588952">
    <w:abstractNumId w:val="41"/>
  </w:num>
  <w:num w:numId="695" w16cid:durableId="54159432">
    <w:abstractNumId w:val="687"/>
  </w:num>
  <w:num w:numId="696" w16cid:durableId="550995">
    <w:abstractNumId w:val="724"/>
  </w:num>
  <w:num w:numId="697" w16cid:durableId="1943146143">
    <w:abstractNumId w:val="823"/>
  </w:num>
  <w:num w:numId="698" w16cid:durableId="1548685096">
    <w:abstractNumId w:val="371"/>
  </w:num>
  <w:num w:numId="699" w16cid:durableId="2015568930">
    <w:abstractNumId w:val="1031"/>
  </w:num>
  <w:num w:numId="700" w16cid:durableId="1909487832">
    <w:abstractNumId w:val="735"/>
  </w:num>
  <w:num w:numId="701" w16cid:durableId="1826119939">
    <w:abstractNumId w:val="5"/>
  </w:num>
  <w:num w:numId="702" w16cid:durableId="1266041361">
    <w:abstractNumId w:val="1036"/>
  </w:num>
  <w:num w:numId="703" w16cid:durableId="1582443605">
    <w:abstractNumId w:val="167"/>
  </w:num>
  <w:num w:numId="704" w16cid:durableId="796264479">
    <w:abstractNumId w:val="489"/>
  </w:num>
  <w:num w:numId="705" w16cid:durableId="996109183">
    <w:abstractNumId w:val="608"/>
  </w:num>
  <w:num w:numId="706" w16cid:durableId="400254159">
    <w:abstractNumId w:val="159"/>
  </w:num>
  <w:num w:numId="707" w16cid:durableId="998919535">
    <w:abstractNumId w:val="610"/>
  </w:num>
  <w:num w:numId="708" w16cid:durableId="37319324">
    <w:abstractNumId w:val="38"/>
  </w:num>
  <w:num w:numId="709" w16cid:durableId="1349063287">
    <w:abstractNumId w:val="516"/>
  </w:num>
  <w:num w:numId="710" w16cid:durableId="446119048">
    <w:abstractNumId w:val="170"/>
  </w:num>
  <w:num w:numId="711" w16cid:durableId="1297562329">
    <w:abstractNumId w:val="433"/>
  </w:num>
  <w:num w:numId="712" w16cid:durableId="2082478667">
    <w:abstractNumId w:val="288"/>
  </w:num>
  <w:num w:numId="713" w16cid:durableId="967902942">
    <w:abstractNumId w:val="832"/>
  </w:num>
  <w:num w:numId="714" w16cid:durableId="1963608238">
    <w:abstractNumId w:val="91"/>
  </w:num>
  <w:num w:numId="715" w16cid:durableId="1318920585">
    <w:abstractNumId w:val="598"/>
  </w:num>
  <w:num w:numId="716" w16cid:durableId="1210801980">
    <w:abstractNumId w:val="772"/>
  </w:num>
  <w:num w:numId="717" w16cid:durableId="1996757607">
    <w:abstractNumId w:val="142"/>
  </w:num>
  <w:num w:numId="718" w16cid:durableId="1909267695">
    <w:abstractNumId w:val="341"/>
  </w:num>
  <w:num w:numId="719" w16cid:durableId="555168307">
    <w:abstractNumId w:val="865"/>
  </w:num>
  <w:num w:numId="720" w16cid:durableId="1893350409">
    <w:abstractNumId w:val="365"/>
  </w:num>
  <w:num w:numId="721" w16cid:durableId="1055854506">
    <w:abstractNumId w:val="30"/>
  </w:num>
  <w:num w:numId="722" w16cid:durableId="643781757">
    <w:abstractNumId w:val="282"/>
  </w:num>
  <w:num w:numId="723" w16cid:durableId="1489901341">
    <w:abstractNumId w:val="899"/>
  </w:num>
  <w:num w:numId="724" w16cid:durableId="580793596">
    <w:abstractNumId w:val="557"/>
  </w:num>
  <w:num w:numId="725" w16cid:durableId="1932084968">
    <w:abstractNumId w:val="930"/>
  </w:num>
  <w:num w:numId="726" w16cid:durableId="233857192">
    <w:abstractNumId w:val="127"/>
  </w:num>
  <w:num w:numId="727" w16cid:durableId="1464468675">
    <w:abstractNumId w:val="1151"/>
  </w:num>
  <w:num w:numId="728" w16cid:durableId="30113167">
    <w:abstractNumId w:val="28"/>
  </w:num>
  <w:num w:numId="729" w16cid:durableId="282419635">
    <w:abstractNumId w:val="33"/>
  </w:num>
  <w:num w:numId="730" w16cid:durableId="95517593">
    <w:abstractNumId w:val="404"/>
  </w:num>
  <w:num w:numId="731" w16cid:durableId="525675819">
    <w:abstractNumId w:val="577"/>
  </w:num>
  <w:num w:numId="732" w16cid:durableId="1091127211">
    <w:abstractNumId w:val="713"/>
  </w:num>
  <w:num w:numId="733" w16cid:durableId="1932278300">
    <w:abstractNumId w:val="861"/>
  </w:num>
  <w:num w:numId="734" w16cid:durableId="1698627734">
    <w:abstractNumId w:val="1077"/>
  </w:num>
  <w:num w:numId="735" w16cid:durableId="460268146">
    <w:abstractNumId w:val="798"/>
  </w:num>
  <w:num w:numId="736" w16cid:durableId="1620599240">
    <w:abstractNumId w:val="79"/>
  </w:num>
  <w:num w:numId="737" w16cid:durableId="835262398">
    <w:abstractNumId w:val="1075"/>
  </w:num>
  <w:num w:numId="738" w16cid:durableId="638264135">
    <w:abstractNumId w:val="924"/>
  </w:num>
  <w:num w:numId="739" w16cid:durableId="1478063877">
    <w:abstractNumId w:val="912"/>
  </w:num>
  <w:num w:numId="740" w16cid:durableId="1159735684">
    <w:abstractNumId w:val="192"/>
  </w:num>
  <w:num w:numId="741" w16cid:durableId="1810976746">
    <w:abstractNumId w:val="876"/>
  </w:num>
  <w:num w:numId="742" w16cid:durableId="928660537">
    <w:abstractNumId w:val="622"/>
  </w:num>
  <w:num w:numId="743" w16cid:durableId="550387453">
    <w:abstractNumId w:val="110"/>
  </w:num>
  <w:num w:numId="744" w16cid:durableId="655182039">
    <w:abstractNumId w:val="650"/>
  </w:num>
  <w:num w:numId="745" w16cid:durableId="1719937250">
    <w:abstractNumId w:val="283"/>
  </w:num>
  <w:num w:numId="746" w16cid:durableId="1966276906">
    <w:abstractNumId w:val="462"/>
  </w:num>
  <w:num w:numId="747" w16cid:durableId="947859379">
    <w:abstractNumId w:val="257"/>
  </w:num>
  <w:num w:numId="748" w16cid:durableId="76362828">
    <w:abstractNumId w:val="671"/>
  </w:num>
  <w:num w:numId="749" w16cid:durableId="1963920748">
    <w:abstractNumId w:val="206"/>
  </w:num>
  <w:num w:numId="750" w16cid:durableId="1708875056">
    <w:abstractNumId w:val="463"/>
  </w:num>
  <w:num w:numId="751" w16cid:durableId="1298607220">
    <w:abstractNumId w:val="130"/>
  </w:num>
  <w:num w:numId="752" w16cid:durableId="2050644397">
    <w:abstractNumId w:val="707"/>
  </w:num>
  <w:num w:numId="753" w16cid:durableId="1102147535">
    <w:abstractNumId w:val="254"/>
  </w:num>
  <w:num w:numId="754" w16cid:durableId="289946450">
    <w:abstractNumId w:val="1139"/>
  </w:num>
  <w:num w:numId="755" w16cid:durableId="1681010643">
    <w:abstractNumId w:val="1127"/>
  </w:num>
  <w:num w:numId="756" w16cid:durableId="1371111361">
    <w:abstractNumId w:val="1043"/>
  </w:num>
  <w:num w:numId="757" w16cid:durableId="312562621">
    <w:abstractNumId w:val="314"/>
  </w:num>
  <w:num w:numId="758" w16cid:durableId="836268454">
    <w:abstractNumId w:val="709"/>
  </w:num>
  <w:num w:numId="759" w16cid:durableId="942298312">
    <w:abstractNumId w:val="465"/>
  </w:num>
  <w:num w:numId="760" w16cid:durableId="2057200705">
    <w:abstractNumId w:val="867"/>
  </w:num>
  <w:num w:numId="761" w16cid:durableId="215553980">
    <w:abstractNumId w:val="909"/>
  </w:num>
  <w:num w:numId="762" w16cid:durableId="777673972">
    <w:abstractNumId w:val="485"/>
  </w:num>
  <w:num w:numId="763" w16cid:durableId="1095248411">
    <w:abstractNumId w:val="941"/>
  </w:num>
  <w:num w:numId="764" w16cid:durableId="812720486">
    <w:abstractNumId w:val="509"/>
  </w:num>
  <w:num w:numId="765" w16cid:durableId="482552801">
    <w:abstractNumId w:val="440"/>
  </w:num>
  <w:num w:numId="766" w16cid:durableId="127406875">
    <w:abstractNumId w:val="940"/>
  </w:num>
  <w:num w:numId="767" w16cid:durableId="872117300">
    <w:abstractNumId w:val="1153"/>
  </w:num>
  <w:num w:numId="768" w16cid:durableId="393092051">
    <w:abstractNumId w:val="324"/>
  </w:num>
  <w:num w:numId="769" w16cid:durableId="202134295">
    <w:abstractNumId w:val="217"/>
  </w:num>
  <w:num w:numId="770" w16cid:durableId="717704879">
    <w:abstractNumId w:val="1171"/>
  </w:num>
  <w:num w:numId="771" w16cid:durableId="1782724155">
    <w:abstractNumId w:val="887"/>
  </w:num>
  <w:num w:numId="772" w16cid:durableId="203369416">
    <w:abstractNumId w:val="1078"/>
  </w:num>
  <w:num w:numId="773" w16cid:durableId="2032759159">
    <w:abstractNumId w:val="420"/>
  </w:num>
  <w:num w:numId="774" w16cid:durableId="339889116">
    <w:abstractNumId w:val="1068"/>
  </w:num>
  <w:num w:numId="775" w16cid:durableId="1150559218">
    <w:abstractNumId w:val="1034"/>
  </w:num>
  <w:num w:numId="776" w16cid:durableId="1216163384">
    <w:abstractNumId w:val="135"/>
  </w:num>
  <w:num w:numId="777" w16cid:durableId="2055737934">
    <w:abstractNumId w:val="615"/>
  </w:num>
  <w:num w:numId="778" w16cid:durableId="1200360780">
    <w:abstractNumId w:val="888"/>
  </w:num>
  <w:num w:numId="779" w16cid:durableId="832919306">
    <w:abstractNumId w:val="855"/>
  </w:num>
  <w:num w:numId="780" w16cid:durableId="1522236619">
    <w:abstractNumId w:val="336"/>
  </w:num>
  <w:num w:numId="781" w16cid:durableId="876358916">
    <w:abstractNumId w:val="1135"/>
  </w:num>
  <w:num w:numId="782" w16cid:durableId="2090542242">
    <w:abstractNumId w:val="350"/>
  </w:num>
  <w:num w:numId="783" w16cid:durableId="297225166">
    <w:abstractNumId w:val="9"/>
  </w:num>
  <w:num w:numId="784" w16cid:durableId="378363918">
    <w:abstractNumId w:val="657"/>
  </w:num>
  <w:num w:numId="785" w16cid:durableId="1255481823">
    <w:abstractNumId w:val="1152"/>
  </w:num>
  <w:num w:numId="786" w16cid:durableId="1651670261">
    <w:abstractNumId w:val="796"/>
  </w:num>
  <w:num w:numId="787" w16cid:durableId="957027338">
    <w:abstractNumId w:val="400"/>
  </w:num>
  <w:num w:numId="788" w16cid:durableId="142309789">
    <w:abstractNumId w:val="826"/>
  </w:num>
  <w:num w:numId="789" w16cid:durableId="38289459">
    <w:abstractNumId w:val="863"/>
  </w:num>
  <w:num w:numId="790" w16cid:durableId="521016658">
    <w:abstractNumId w:val="424"/>
  </w:num>
  <w:num w:numId="791" w16cid:durableId="1499544040">
    <w:abstractNumId w:val="461"/>
  </w:num>
  <w:num w:numId="792" w16cid:durableId="2003391455">
    <w:abstractNumId w:val="641"/>
  </w:num>
  <w:num w:numId="793" w16cid:durableId="1738822844">
    <w:abstractNumId w:val="152"/>
  </w:num>
  <w:num w:numId="794" w16cid:durableId="1966233395">
    <w:abstractNumId w:val="1074"/>
  </w:num>
  <w:num w:numId="795" w16cid:durableId="877552398">
    <w:abstractNumId w:val="693"/>
  </w:num>
  <w:num w:numId="796" w16cid:durableId="15352350">
    <w:abstractNumId w:val="1060"/>
  </w:num>
  <w:num w:numId="797" w16cid:durableId="1343048192">
    <w:abstractNumId w:val="131"/>
  </w:num>
  <w:num w:numId="798" w16cid:durableId="1287740854">
    <w:abstractNumId w:val="1001"/>
  </w:num>
  <w:num w:numId="799" w16cid:durableId="839778694">
    <w:abstractNumId w:val="507"/>
  </w:num>
  <w:num w:numId="800" w16cid:durableId="550263565">
    <w:abstractNumId w:val="951"/>
  </w:num>
  <w:num w:numId="801" w16cid:durableId="741953165">
    <w:abstractNumId w:val="734"/>
  </w:num>
  <w:num w:numId="802" w16cid:durableId="1381710051">
    <w:abstractNumId w:val="346"/>
  </w:num>
  <w:num w:numId="803" w16cid:durableId="1646811129">
    <w:abstractNumId w:val="343"/>
  </w:num>
  <w:num w:numId="804" w16cid:durableId="1154956079">
    <w:abstractNumId w:val="731"/>
  </w:num>
  <w:num w:numId="805" w16cid:durableId="229775993">
    <w:abstractNumId w:val="1143"/>
  </w:num>
  <w:num w:numId="806" w16cid:durableId="194343590">
    <w:abstractNumId w:val="92"/>
  </w:num>
  <w:num w:numId="807" w16cid:durableId="1309019150">
    <w:abstractNumId w:val="568"/>
  </w:num>
  <w:num w:numId="808" w16cid:durableId="1233542799">
    <w:abstractNumId w:val="1012"/>
  </w:num>
  <w:num w:numId="809" w16cid:durableId="1303383152">
    <w:abstractNumId w:val="818"/>
  </w:num>
  <w:num w:numId="810" w16cid:durableId="390082373">
    <w:abstractNumId w:val="928"/>
  </w:num>
  <w:num w:numId="811" w16cid:durableId="1057509926">
    <w:abstractNumId w:val="1129"/>
  </w:num>
  <w:num w:numId="812" w16cid:durableId="722368550">
    <w:abstractNumId w:val="377"/>
  </w:num>
  <w:num w:numId="813" w16cid:durableId="96875719">
    <w:abstractNumId w:val="766"/>
  </w:num>
  <w:num w:numId="814" w16cid:durableId="1210074337">
    <w:abstractNumId w:val="446"/>
  </w:num>
  <w:num w:numId="815" w16cid:durableId="1434007537">
    <w:abstractNumId w:val="334"/>
  </w:num>
  <w:num w:numId="816" w16cid:durableId="1285506146">
    <w:abstractNumId w:val="234"/>
  </w:num>
  <w:num w:numId="817" w16cid:durableId="677125552">
    <w:abstractNumId w:val="579"/>
  </w:num>
  <w:num w:numId="818" w16cid:durableId="1406956595">
    <w:abstractNumId w:val="17"/>
  </w:num>
  <w:num w:numId="819" w16cid:durableId="793255016">
    <w:abstractNumId w:val="1097"/>
  </w:num>
  <w:num w:numId="820" w16cid:durableId="1614828767">
    <w:abstractNumId w:val="308"/>
  </w:num>
  <w:num w:numId="821" w16cid:durableId="1285845174">
    <w:abstractNumId w:val="972"/>
  </w:num>
  <w:num w:numId="822" w16cid:durableId="1206407909">
    <w:abstractNumId w:val="1144"/>
  </w:num>
  <w:num w:numId="823" w16cid:durableId="687294370">
    <w:abstractNumId w:val="297"/>
  </w:num>
  <w:num w:numId="824" w16cid:durableId="1213152338">
    <w:abstractNumId w:val="777"/>
  </w:num>
  <w:num w:numId="825" w16cid:durableId="1036274680">
    <w:abstractNumId w:val="439"/>
  </w:num>
  <w:num w:numId="826" w16cid:durableId="455683138">
    <w:abstractNumId w:val="63"/>
  </w:num>
  <w:num w:numId="827" w16cid:durableId="444925188">
    <w:abstractNumId w:val="692"/>
  </w:num>
  <w:num w:numId="828" w16cid:durableId="1827433705">
    <w:abstractNumId w:val="1019"/>
  </w:num>
  <w:num w:numId="829" w16cid:durableId="1922988225">
    <w:abstractNumId w:val="330"/>
  </w:num>
  <w:num w:numId="830" w16cid:durableId="972364679">
    <w:abstractNumId w:val="494"/>
  </w:num>
  <w:num w:numId="831" w16cid:durableId="1645351888">
    <w:abstractNumId w:val="662"/>
  </w:num>
  <w:num w:numId="832" w16cid:durableId="145321550">
    <w:abstractNumId w:val="1106"/>
  </w:num>
  <w:num w:numId="833" w16cid:durableId="853307983">
    <w:abstractNumId w:val="625"/>
  </w:num>
  <w:num w:numId="834" w16cid:durableId="1099715888">
    <w:abstractNumId w:val="1167"/>
  </w:num>
  <w:num w:numId="835" w16cid:durableId="1291592732">
    <w:abstractNumId w:val="770"/>
  </w:num>
  <w:num w:numId="836" w16cid:durableId="948468410">
    <w:abstractNumId w:val="617"/>
  </w:num>
  <w:num w:numId="837" w16cid:durableId="987899559">
    <w:abstractNumId w:val="1018"/>
  </w:num>
  <w:num w:numId="838" w16cid:durableId="1997489813">
    <w:abstractNumId w:val="233"/>
  </w:num>
  <w:num w:numId="839" w16cid:durableId="1050110673">
    <w:abstractNumId w:val="621"/>
  </w:num>
  <w:num w:numId="840" w16cid:durableId="1861964906">
    <w:abstractNumId w:val="197"/>
  </w:num>
  <w:num w:numId="841" w16cid:durableId="1725837473">
    <w:abstractNumId w:val="1174"/>
  </w:num>
  <w:num w:numId="842" w16cid:durableId="476654053">
    <w:abstractNumId w:val="390"/>
  </w:num>
  <w:num w:numId="843" w16cid:durableId="680283508">
    <w:abstractNumId w:val="684"/>
  </w:num>
  <w:num w:numId="844" w16cid:durableId="2060279663">
    <w:abstractNumId w:val="1037"/>
  </w:num>
  <w:num w:numId="845" w16cid:durableId="875392441">
    <w:abstractNumId w:val="1168"/>
  </w:num>
  <w:num w:numId="846" w16cid:durableId="557865113">
    <w:abstractNumId w:val="70"/>
  </w:num>
  <w:num w:numId="847" w16cid:durableId="20400349">
    <w:abstractNumId w:val="146"/>
  </w:num>
  <w:num w:numId="848" w16cid:durableId="1826971452">
    <w:abstractNumId w:val="207"/>
  </w:num>
  <w:num w:numId="849" w16cid:durableId="159933379">
    <w:abstractNumId w:val="202"/>
  </w:num>
  <w:num w:numId="850" w16cid:durableId="231626279">
    <w:abstractNumId w:val="235"/>
  </w:num>
  <w:num w:numId="851" w16cid:durableId="1542204398">
    <w:abstractNumId w:val="312"/>
  </w:num>
  <w:num w:numId="852" w16cid:durableId="224730300">
    <w:abstractNumId w:val="697"/>
  </w:num>
  <w:num w:numId="853" w16cid:durableId="1883979950">
    <w:abstractNumId w:val="316"/>
  </w:num>
  <w:num w:numId="854" w16cid:durableId="1672949746">
    <w:abstractNumId w:val="539"/>
  </w:num>
  <w:num w:numId="855" w16cid:durableId="640965974">
    <w:abstractNumId w:val="868"/>
  </w:num>
  <w:num w:numId="856" w16cid:durableId="1799958284">
    <w:abstractNumId w:val="367"/>
  </w:num>
  <w:num w:numId="857" w16cid:durableId="214902025">
    <w:abstractNumId w:val="396"/>
  </w:num>
  <w:num w:numId="858" w16cid:durableId="232394384">
    <w:abstractNumId w:val="1117"/>
  </w:num>
  <w:num w:numId="859" w16cid:durableId="1797797995">
    <w:abstractNumId w:val="436"/>
  </w:num>
  <w:num w:numId="860" w16cid:durableId="637301792">
    <w:abstractNumId w:val="590"/>
  </w:num>
  <w:num w:numId="861" w16cid:durableId="1856460755">
    <w:abstractNumId w:val="76"/>
  </w:num>
  <w:num w:numId="862" w16cid:durableId="607856972">
    <w:abstractNumId w:val="771"/>
  </w:num>
  <w:num w:numId="863" w16cid:durableId="1796751376">
    <w:abstractNumId w:val="717"/>
  </w:num>
  <w:num w:numId="864" w16cid:durableId="1330064660">
    <w:abstractNumId w:val="918"/>
  </w:num>
  <w:num w:numId="865" w16cid:durableId="1631013534">
    <w:abstractNumId w:val="556"/>
  </w:num>
  <w:num w:numId="866" w16cid:durableId="1427460176">
    <w:abstractNumId w:val="495"/>
  </w:num>
  <w:num w:numId="867" w16cid:durableId="1711759178">
    <w:abstractNumId w:val="455"/>
  </w:num>
  <w:num w:numId="868" w16cid:durableId="774977642">
    <w:abstractNumId w:val="62"/>
  </w:num>
  <w:num w:numId="869" w16cid:durableId="1310134647">
    <w:abstractNumId w:val="381"/>
  </w:num>
  <w:num w:numId="870" w16cid:durableId="224418447">
    <w:abstractNumId w:val="990"/>
  </w:num>
  <w:num w:numId="871" w16cid:durableId="1705129532">
    <w:abstractNumId w:val="354"/>
  </w:num>
  <w:num w:numId="872" w16cid:durableId="330792921">
    <w:abstractNumId w:val="370"/>
  </w:num>
  <w:num w:numId="873" w16cid:durableId="1233395459">
    <w:abstractNumId w:val="705"/>
  </w:num>
  <w:num w:numId="874" w16cid:durableId="2068868854">
    <w:abstractNumId w:val="290"/>
  </w:num>
  <w:num w:numId="875" w16cid:durableId="481115579">
    <w:abstractNumId w:val="209"/>
  </w:num>
  <w:num w:numId="876" w16cid:durableId="3753917">
    <w:abstractNumId w:val="542"/>
  </w:num>
  <w:num w:numId="877" w16cid:durableId="1353338046">
    <w:abstractNumId w:val="342"/>
  </w:num>
  <w:num w:numId="878" w16cid:durableId="2092462055">
    <w:abstractNumId w:val="1123"/>
  </w:num>
  <w:num w:numId="879" w16cid:durableId="1761291918">
    <w:abstractNumId w:val="1039"/>
  </w:num>
  <w:num w:numId="880" w16cid:durableId="208341658">
    <w:abstractNumId w:val="349"/>
  </w:num>
  <w:num w:numId="881" w16cid:durableId="975329169">
    <w:abstractNumId w:val="441"/>
  </w:num>
  <w:num w:numId="882" w16cid:durableId="1886016093">
    <w:abstractNumId w:val="813"/>
  </w:num>
  <w:num w:numId="883" w16cid:durableId="2091728753">
    <w:abstractNumId w:val="785"/>
  </w:num>
  <w:num w:numId="884" w16cid:durableId="67658256">
    <w:abstractNumId w:val="1177"/>
  </w:num>
  <w:num w:numId="885" w16cid:durableId="1921988183">
    <w:abstractNumId w:val="1026"/>
  </w:num>
  <w:num w:numId="886" w16cid:durableId="1488787679">
    <w:abstractNumId w:val="315"/>
  </w:num>
  <w:num w:numId="887" w16cid:durableId="552738086">
    <w:abstractNumId w:val="1093"/>
  </w:num>
  <w:num w:numId="888" w16cid:durableId="918828501">
    <w:abstractNumId w:val="926"/>
  </w:num>
  <w:num w:numId="889" w16cid:durableId="88236834">
    <w:abstractNumId w:val="0"/>
  </w:num>
  <w:num w:numId="890" w16cid:durableId="771584431">
    <w:abstractNumId w:val="128"/>
  </w:num>
  <w:num w:numId="891" w16cid:durableId="678896651">
    <w:abstractNumId w:val="607"/>
  </w:num>
  <w:num w:numId="892" w16cid:durableId="867839545">
    <w:abstractNumId w:val="132"/>
  </w:num>
  <w:num w:numId="893" w16cid:durableId="551816983">
    <w:abstractNumId w:val="882"/>
  </w:num>
  <w:num w:numId="894" w16cid:durableId="726025617">
    <w:abstractNumId w:val="432"/>
  </w:num>
  <w:num w:numId="895" w16cid:durableId="1813715274">
    <w:abstractNumId w:val="15"/>
  </w:num>
  <w:num w:numId="896" w16cid:durableId="128598088">
    <w:abstractNumId w:val="1137"/>
  </w:num>
  <w:num w:numId="897" w16cid:durableId="1414669815">
    <w:abstractNumId w:val="1098"/>
  </w:num>
  <w:num w:numId="898" w16cid:durableId="1912882309">
    <w:abstractNumId w:val="428"/>
  </w:num>
  <w:num w:numId="899" w16cid:durableId="2113428498">
    <w:abstractNumId w:val="61"/>
  </w:num>
  <w:num w:numId="900" w16cid:durableId="460537146">
    <w:abstractNumId w:val="944"/>
  </w:num>
  <w:num w:numId="901" w16cid:durableId="1120495346">
    <w:abstractNumId w:val="959"/>
  </w:num>
  <w:num w:numId="902" w16cid:durableId="104547913">
    <w:abstractNumId w:val="915"/>
  </w:num>
  <w:num w:numId="903" w16cid:durableId="541214337">
    <w:abstractNumId w:val="374"/>
  </w:num>
  <w:num w:numId="904" w16cid:durableId="377240166">
    <w:abstractNumId w:val="998"/>
  </w:num>
  <w:num w:numId="905" w16cid:durableId="1925449786">
    <w:abstractNumId w:val="533"/>
  </w:num>
  <w:num w:numId="906" w16cid:durableId="200676524">
    <w:abstractNumId w:val="407"/>
  </w:num>
  <w:num w:numId="907" w16cid:durableId="1058624803">
    <w:abstractNumId w:val="1111"/>
  </w:num>
  <w:num w:numId="908" w16cid:durableId="438641007">
    <w:abstractNumId w:val="93"/>
  </w:num>
  <w:num w:numId="909" w16cid:durableId="453445269">
    <w:abstractNumId w:val="375"/>
  </w:num>
  <w:num w:numId="910" w16cid:durableId="1857377995">
    <w:abstractNumId w:val="437"/>
  </w:num>
  <w:num w:numId="911" w16cid:durableId="37168048">
    <w:abstractNumId w:val="249"/>
  </w:num>
  <w:num w:numId="912" w16cid:durableId="526407768">
    <w:abstractNumId w:val="358"/>
  </w:num>
  <w:num w:numId="913" w16cid:durableId="259141126">
    <w:abstractNumId w:val="860"/>
  </w:num>
  <w:num w:numId="914" w16cid:durableId="1960791921">
    <w:abstractNumId w:val="691"/>
  </w:num>
  <w:num w:numId="915" w16cid:durableId="1759522739">
    <w:abstractNumId w:val="123"/>
  </w:num>
  <w:num w:numId="916" w16cid:durableId="1320771461">
    <w:abstractNumId w:val="592"/>
  </w:num>
  <w:num w:numId="917" w16cid:durableId="1405563361">
    <w:abstractNumId w:val="84"/>
  </w:num>
  <w:num w:numId="918" w16cid:durableId="1217938447">
    <w:abstractNumId w:val="74"/>
  </w:num>
  <w:num w:numId="919" w16cid:durableId="2102141949">
    <w:abstractNumId w:val="1155"/>
  </w:num>
  <w:num w:numId="920" w16cid:durableId="1910262314">
    <w:abstractNumId w:val="101"/>
  </w:num>
  <w:num w:numId="921" w16cid:durableId="1669863732">
    <w:abstractNumId w:val="148"/>
  </w:num>
  <w:num w:numId="922" w16cid:durableId="483394382">
    <w:abstractNumId w:val="738"/>
  </w:num>
  <w:num w:numId="923" w16cid:durableId="1707681110">
    <w:abstractNumId w:val="698"/>
  </w:num>
  <w:num w:numId="924" w16cid:durableId="925383244">
    <w:abstractNumId w:val="775"/>
  </w:num>
  <w:num w:numId="925" w16cid:durableId="100348234">
    <w:abstractNumId w:val="129"/>
  </w:num>
  <w:num w:numId="926" w16cid:durableId="2108843602">
    <w:abstractNumId w:val="952"/>
  </w:num>
  <w:num w:numId="927" w16cid:durableId="1900510435">
    <w:abstractNumId w:val="768"/>
  </w:num>
  <w:num w:numId="928" w16cid:durableId="264923455">
    <w:abstractNumId w:val="704"/>
  </w:num>
  <w:num w:numId="929" w16cid:durableId="1241256162">
    <w:abstractNumId w:val="124"/>
  </w:num>
  <w:num w:numId="930" w16cid:durableId="1244417759">
    <w:abstractNumId w:val="417"/>
  </w:num>
  <w:num w:numId="931" w16cid:durableId="118845996">
    <w:abstractNumId w:val="653"/>
  </w:num>
  <w:num w:numId="932" w16cid:durableId="1926498947">
    <w:abstractNumId w:val="98"/>
  </w:num>
  <w:num w:numId="933" w16cid:durableId="1397895513">
    <w:abstractNumId w:val="897"/>
  </w:num>
  <w:num w:numId="934" w16cid:durableId="1051920882">
    <w:abstractNumId w:val="914"/>
  </w:num>
  <w:num w:numId="935" w16cid:durableId="1854031799">
    <w:abstractNumId w:val="42"/>
  </w:num>
  <w:num w:numId="936" w16cid:durableId="1498114980">
    <w:abstractNumId w:val="1148"/>
  </w:num>
  <w:num w:numId="937" w16cid:durableId="99952396">
    <w:abstractNumId w:val="802"/>
  </w:num>
  <w:num w:numId="938" w16cid:durableId="539434384">
    <w:abstractNumId w:val="737"/>
  </w:num>
  <w:num w:numId="939" w16cid:durableId="242033945">
    <w:abstractNumId w:val="45"/>
  </w:num>
  <w:num w:numId="940" w16cid:durableId="658844558">
    <w:abstractNumId w:val="389"/>
  </w:num>
  <w:num w:numId="941" w16cid:durableId="1641305076">
    <w:abstractNumId w:val="47"/>
  </w:num>
  <w:num w:numId="942" w16cid:durableId="874389053">
    <w:abstractNumId w:val="754"/>
  </w:num>
  <w:num w:numId="943" w16cid:durableId="120998657">
    <w:abstractNumId w:val="828"/>
  </w:num>
  <w:num w:numId="944" w16cid:durableId="1482387847">
    <w:abstractNumId w:val="210"/>
  </w:num>
  <w:num w:numId="945" w16cid:durableId="644513031">
    <w:abstractNumId w:val="478"/>
  </w:num>
  <w:num w:numId="946" w16cid:durableId="1179538422">
    <w:abstractNumId w:val="543"/>
  </w:num>
  <w:num w:numId="947" w16cid:durableId="1852599341">
    <w:abstractNumId w:val="172"/>
  </w:num>
  <w:num w:numId="948" w16cid:durableId="1047225059">
    <w:abstractNumId w:val="1020"/>
  </w:num>
  <w:num w:numId="949" w16cid:durableId="1234044313">
    <w:abstractNumId w:val="1086"/>
  </w:num>
  <w:num w:numId="950" w16cid:durableId="884413151">
    <w:abstractNumId w:val="980"/>
  </w:num>
  <w:num w:numId="951" w16cid:durableId="1523979616">
    <w:abstractNumId w:val="339"/>
  </w:num>
  <w:num w:numId="952" w16cid:durableId="719129960">
    <w:abstractNumId w:val="1051"/>
  </w:num>
  <w:num w:numId="953" w16cid:durableId="548538131">
    <w:abstractNumId w:val="943"/>
  </w:num>
  <w:num w:numId="954" w16cid:durableId="2049791478">
    <w:abstractNumId w:val="891"/>
  </w:num>
  <w:num w:numId="955" w16cid:durableId="2064407408">
    <w:abstractNumId w:val="304"/>
  </w:num>
  <w:num w:numId="956" w16cid:durableId="243415342">
    <w:abstractNumId w:val="293"/>
  </w:num>
  <w:num w:numId="957" w16cid:durableId="427194173">
    <w:abstractNumId w:val="710"/>
  </w:num>
  <w:num w:numId="958" w16cid:durableId="203686165">
    <w:abstractNumId w:val="277"/>
  </w:num>
  <w:num w:numId="959" w16cid:durableId="1252666223">
    <w:abstractNumId w:val="1053"/>
  </w:num>
  <w:num w:numId="960" w16cid:durableId="1981031083">
    <w:abstractNumId w:val="963"/>
  </w:num>
  <w:num w:numId="961" w16cid:durableId="493834957">
    <w:abstractNumId w:val="406"/>
  </w:num>
  <w:num w:numId="962" w16cid:durableId="36778346">
    <w:abstractNumId w:val="29"/>
  </w:num>
  <w:num w:numId="963" w16cid:durableId="1440761576">
    <w:abstractNumId w:val="161"/>
  </w:num>
  <w:num w:numId="964" w16cid:durableId="585311566">
    <w:abstractNumId w:val="779"/>
  </w:num>
  <w:num w:numId="965" w16cid:durableId="653143948">
    <w:abstractNumId w:val="281"/>
  </w:num>
  <w:num w:numId="966" w16cid:durableId="1155876129">
    <w:abstractNumId w:val="720"/>
  </w:num>
  <w:num w:numId="967" w16cid:durableId="519706604">
    <w:abstractNumId w:val="105"/>
  </w:num>
  <w:num w:numId="968" w16cid:durableId="1631671916">
    <w:abstractNumId w:val="168"/>
  </w:num>
  <w:num w:numId="969" w16cid:durableId="662778238">
    <w:abstractNumId w:val="866"/>
  </w:num>
  <w:num w:numId="970" w16cid:durableId="357194500">
    <w:abstractNumId w:val="307"/>
  </w:num>
  <w:num w:numId="971" w16cid:durableId="1418212872">
    <w:abstractNumId w:val="902"/>
  </w:num>
  <w:num w:numId="972" w16cid:durableId="1864785851">
    <w:abstractNumId w:val="122"/>
  </w:num>
  <w:num w:numId="973" w16cid:durableId="1064523476">
    <w:abstractNumId w:val="1048"/>
  </w:num>
  <w:num w:numId="974" w16cid:durableId="1786536552">
    <w:abstractNumId w:val="1107"/>
  </w:num>
  <w:num w:numId="975" w16cid:durableId="2077388623">
    <w:abstractNumId w:val="193"/>
  </w:num>
  <w:num w:numId="976" w16cid:durableId="1870873594">
    <w:abstractNumId w:val="800"/>
  </w:num>
  <w:num w:numId="977" w16cid:durableId="739063592">
    <w:abstractNumId w:val="1045"/>
  </w:num>
  <w:num w:numId="978" w16cid:durableId="1609778639">
    <w:abstractNumId w:val="562"/>
  </w:num>
  <w:num w:numId="979" w16cid:durableId="99498708">
    <w:abstractNumId w:val="900"/>
  </w:num>
  <w:num w:numId="980" w16cid:durableId="1438985181">
    <w:abstractNumId w:val="903"/>
  </w:num>
  <w:num w:numId="981" w16cid:durableId="721640481">
    <w:abstractNumId w:val="10"/>
  </w:num>
  <w:num w:numId="982" w16cid:durableId="1604342530">
    <w:abstractNumId w:val="1164"/>
  </w:num>
  <w:num w:numId="983" w16cid:durableId="1868179146">
    <w:abstractNumId w:val="1061"/>
  </w:num>
  <w:num w:numId="984" w16cid:durableId="1316760406">
    <w:abstractNumId w:val="126"/>
  </w:num>
  <w:num w:numId="985" w16cid:durableId="1637681575">
    <w:abstractNumId w:val="700"/>
  </w:num>
  <w:num w:numId="986" w16cid:durableId="712075236">
    <w:abstractNumId w:val="363"/>
  </w:num>
  <w:num w:numId="987" w16cid:durableId="94328732">
    <w:abstractNumId w:val="175"/>
  </w:num>
  <w:num w:numId="988" w16cid:durableId="1220746888">
    <w:abstractNumId w:val="538"/>
  </w:num>
  <w:num w:numId="989" w16cid:durableId="644236522">
    <w:abstractNumId w:val="1173"/>
  </w:num>
  <w:num w:numId="990" w16cid:durableId="455027981">
    <w:abstractNumId w:val="36"/>
  </w:num>
  <w:num w:numId="991" w16cid:durableId="1162354527">
    <w:abstractNumId w:val="166"/>
  </w:num>
  <w:num w:numId="992" w16cid:durableId="146628914">
    <w:abstractNumId w:val="1169"/>
  </w:num>
  <w:num w:numId="993" w16cid:durableId="919172060">
    <w:abstractNumId w:val="115"/>
  </w:num>
  <w:num w:numId="994" w16cid:durableId="563297127">
    <w:abstractNumId w:val="221"/>
  </w:num>
  <w:num w:numId="995" w16cid:durableId="1593275224">
    <w:abstractNumId w:val="269"/>
  </w:num>
  <w:num w:numId="996" w16cid:durableId="529488091">
    <w:abstractNumId w:val="1166"/>
  </w:num>
  <w:num w:numId="997" w16cid:durableId="150946036">
    <w:abstractNumId w:val="435"/>
  </w:num>
  <w:num w:numId="998" w16cid:durableId="1347095829">
    <w:abstractNumId w:val="679"/>
  </w:num>
  <w:num w:numId="999" w16cid:durableId="498664376">
    <w:abstractNumId w:val="976"/>
  </w:num>
  <w:num w:numId="1000" w16cid:durableId="2035617833">
    <w:abstractNumId w:val="99"/>
  </w:num>
  <w:num w:numId="1001" w16cid:durableId="387727506">
    <w:abstractNumId w:val="245"/>
  </w:num>
  <w:num w:numId="1002" w16cid:durableId="734817818">
    <w:abstractNumId w:val="454"/>
  </w:num>
  <w:num w:numId="1003" w16cid:durableId="461120013">
    <w:abstractNumId w:val="602"/>
  </w:num>
  <w:num w:numId="1004" w16cid:durableId="206723868">
    <w:abstractNumId w:val="547"/>
  </w:num>
  <w:num w:numId="1005" w16cid:durableId="703361423">
    <w:abstractNumId w:val="630"/>
  </w:num>
  <w:num w:numId="1006" w16cid:durableId="250743978">
    <w:abstractNumId w:val="259"/>
  </w:num>
  <w:num w:numId="1007" w16cid:durableId="1951348982">
    <w:abstractNumId w:val="784"/>
  </w:num>
  <w:num w:numId="1008" w16cid:durableId="180972762">
    <w:abstractNumId w:val="997"/>
  </w:num>
  <w:num w:numId="1009" w16cid:durableId="13578681">
    <w:abstractNumId w:val="970"/>
  </w:num>
  <w:num w:numId="1010" w16cid:durableId="72511160">
    <w:abstractNumId w:val="1058"/>
  </w:num>
  <w:num w:numId="1011" w16cid:durableId="1640456263">
    <w:abstractNumId w:val="673"/>
  </w:num>
  <w:num w:numId="1012" w16cid:durableId="1135952920">
    <w:abstractNumId w:val="786"/>
  </w:num>
  <w:num w:numId="1013" w16cid:durableId="457603285">
    <w:abstractNumId w:val="666"/>
  </w:num>
  <w:num w:numId="1014" w16cid:durableId="439187007">
    <w:abstractNumId w:val="510"/>
  </w:num>
  <w:num w:numId="1015" w16cid:durableId="1213693609">
    <w:abstractNumId w:val="477"/>
  </w:num>
  <w:num w:numId="1016" w16cid:durableId="1311136622">
    <w:abstractNumId w:val="878"/>
  </w:num>
  <w:num w:numId="1017" w16cid:durableId="77672731">
    <w:abstractNumId w:val="923"/>
  </w:num>
  <w:num w:numId="1018" w16cid:durableId="858739528">
    <w:abstractNumId w:val="518"/>
  </w:num>
  <w:num w:numId="1019" w16cid:durableId="1954363233">
    <w:abstractNumId w:val="117"/>
  </w:num>
  <w:num w:numId="1020" w16cid:durableId="259408343">
    <w:abstractNumId w:val="134"/>
  </w:num>
  <w:num w:numId="1021" w16cid:durableId="1720741329">
    <w:abstractNumId w:val="524"/>
  </w:num>
  <w:num w:numId="1022" w16cid:durableId="2081974339">
    <w:abstractNumId w:val="1102"/>
  </w:num>
  <w:num w:numId="1023" w16cid:durableId="1484657456">
    <w:abstractNumId w:val="1080"/>
  </w:num>
  <w:num w:numId="1024" w16cid:durableId="35087938">
    <w:abstractNumId w:val="220"/>
  </w:num>
  <w:num w:numId="1025" w16cid:durableId="1035084533">
    <w:abstractNumId w:val="94"/>
  </w:num>
  <w:num w:numId="1026" w16cid:durableId="2035839750">
    <w:abstractNumId w:val="1054"/>
  </w:num>
  <w:num w:numId="1027" w16cid:durableId="53550985">
    <w:abstractNumId w:val="683"/>
  </w:num>
  <w:num w:numId="1028" w16cid:durableId="2026587924">
    <w:abstractNumId w:val="1146"/>
  </w:num>
  <w:num w:numId="1029" w16cid:durableId="20324472">
    <w:abstractNumId w:val="651"/>
  </w:num>
  <w:num w:numId="1030" w16cid:durableId="1837308457">
    <w:abstractNumId w:val="226"/>
  </w:num>
  <w:num w:numId="1031" w16cid:durableId="1964268367">
    <w:abstractNumId w:val="1"/>
  </w:num>
  <w:num w:numId="1032" w16cid:durableId="751045552">
    <w:abstractNumId w:val="957"/>
  </w:num>
  <w:num w:numId="1033" w16cid:durableId="471217198">
    <w:abstractNumId w:val="1099"/>
  </w:num>
  <w:num w:numId="1034" w16cid:durableId="1255555266">
    <w:abstractNumId w:val="482"/>
  </w:num>
  <w:num w:numId="1035" w16cid:durableId="634913529">
    <w:abstractNumId w:val="537"/>
  </w:num>
  <w:num w:numId="1036" w16cid:durableId="1173909548">
    <w:abstractNumId w:val="748"/>
  </w:num>
  <w:num w:numId="1037" w16cid:durableId="1365061673">
    <w:abstractNumId w:val="1124"/>
  </w:num>
  <w:num w:numId="1038" w16cid:durableId="498472020">
    <w:abstractNumId w:val="1154"/>
  </w:num>
  <w:num w:numId="1039" w16cid:durableId="1770740316">
    <w:abstractNumId w:val="52"/>
  </w:num>
  <w:num w:numId="1040" w16cid:durableId="444544087">
    <w:abstractNumId w:val="620"/>
  </w:num>
  <w:num w:numId="1041" w16cid:durableId="1619213423">
    <w:abstractNumId w:val="517"/>
  </w:num>
  <w:num w:numId="1042" w16cid:durableId="1886603618">
    <w:abstractNumId w:val="442"/>
  </w:num>
  <w:num w:numId="1043" w16cid:durableId="1836071465">
    <w:abstractNumId w:val="34"/>
  </w:num>
  <w:num w:numId="1044" w16cid:durableId="2101951873">
    <w:abstractNumId w:val="261"/>
  </w:num>
  <w:num w:numId="1045" w16cid:durableId="814951055">
    <w:abstractNumId w:val="191"/>
  </w:num>
  <w:num w:numId="1046" w16cid:durableId="2063938047">
    <w:abstractNumId w:val="218"/>
  </w:num>
  <w:num w:numId="1047" w16cid:durableId="1702243051">
    <w:abstractNumId w:val="992"/>
  </w:num>
  <w:num w:numId="1048" w16cid:durableId="404300164">
    <w:abstractNumId w:val="931"/>
  </w:num>
  <w:num w:numId="1049" w16cid:durableId="1857963831">
    <w:abstractNumId w:val="873"/>
  </w:num>
  <w:num w:numId="1050" w16cid:durableId="1324506005">
    <w:abstractNumId w:val="382"/>
  </w:num>
  <w:num w:numId="1051" w16cid:durableId="389040406">
    <w:abstractNumId w:val="809"/>
  </w:num>
  <w:num w:numId="1052" w16cid:durableId="189536002">
    <w:abstractNumId w:val="838"/>
  </w:num>
  <w:num w:numId="1053" w16cid:durableId="259679012">
    <w:abstractNumId w:val="869"/>
  </w:num>
  <w:num w:numId="1054" w16cid:durableId="1064985776">
    <w:abstractNumId w:val="529"/>
  </w:num>
  <w:num w:numId="1055" w16cid:durableId="2021853747">
    <w:abstractNumId w:val="550"/>
  </w:num>
  <w:num w:numId="1056" w16cid:durableId="1067530034">
    <w:abstractNumId w:val="1108"/>
  </w:num>
  <w:num w:numId="1057" w16cid:durableId="727653037">
    <w:abstractNumId w:val="525"/>
  </w:num>
  <w:num w:numId="1058" w16cid:durableId="1414549935">
    <w:abstractNumId w:val="1125"/>
  </w:num>
  <w:num w:numId="1059" w16cid:durableId="1508521277">
    <w:abstractNumId w:val="156"/>
  </w:num>
  <w:num w:numId="1060" w16cid:durableId="391924294">
    <w:abstractNumId w:val="685"/>
  </w:num>
  <w:num w:numId="1061" w16cid:durableId="1768690580">
    <w:abstractNumId w:val="960"/>
  </w:num>
  <w:num w:numId="1062" w16cid:durableId="626786979">
    <w:abstractNumId w:val="250"/>
  </w:num>
  <w:num w:numId="1063" w16cid:durableId="1798793399">
    <w:abstractNumId w:val="149"/>
  </w:num>
  <w:num w:numId="1064" w16cid:durableId="433596607">
    <w:abstractNumId w:val="658"/>
  </w:num>
  <w:num w:numId="1065" w16cid:durableId="1562672700">
    <w:abstractNumId w:val="140"/>
  </w:num>
  <w:num w:numId="1066" w16cid:durableId="500123462">
    <w:abstractNumId w:val="552"/>
  </w:num>
  <w:num w:numId="1067" w16cid:durableId="357856083">
    <w:abstractNumId w:val="53"/>
  </w:num>
  <w:num w:numId="1068" w16cid:durableId="1662198763">
    <w:abstractNumId w:val="171"/>
  </w:num>
  <w:num w:numId="1069" w16cid:durableId="1631203227">
    <w:abstractNumId w:val="803"/>
  </w:num>
  <w:num w:numId="1070" w16cid:durableId="1551916423">
    <w:abstractNumId w:val="264"/>
  </w:num>
  <w:num w:numId="1071" w16cid:durableId="303318591">
    <w:abstractNumId w:val="780"/>
  </w:num>
  <w:num w:numId="1072" w16cid:durableId="1176579284">
    <w:abstractNumId w:val="681"/>
  </w:num>
  <w:num w:numId="1073" w16cid:durableId="45642222">
    <w:abstractNumId w:val="500"/>
  </w:num>
  <w:num w:numId="1074" w16cid:durableId="636297829">
    <w:abstractNumId w:val="212"/>
  </w:num>
  <w:num w:numId="1075" w16cid:durableId="865681013">
    <w:abstractNumId w:val="425"/>
  </w:num>
  <w:num w:numId="1076" w16cid:durableId="1926843679">
    <w:abstractNumId w:val="841"/>
  </w:num>
  <w:num w:numId="1077" w16cid:durableId="446780254">
    <w:abstractNumId w:val="514"/>
  </w:num>
  <w:num w:numId="1078" w16cid:durableId="1275134269">
    <w:abstractNumId w:val="413"/>
  </w:num>
  <w:num w:numId="1079" w16cid:durableId="441070209">
    <w:abstractNumId w:val="1064"/>
  </w:num>
  <w:num w:numId="1080" w16cid:durableId="1357198049">
    <w:abstractNumId w:val="338"/>
  </w:num>
  <w:num w:numId="1081" w16cid:durableId="269818418">
    <w:abstractNumId w:val="1161"/>
  </w:num>
  <w:num w:numId="1082" w16cid:durableId="1164009378">
    <w:abstractNumId w:val="1069"/>
  </w:num>
  <w:num w:numId="1083" w16cid:durableId="96754590">
    <w:abstractNumId w:val="469"/>
  </w:num>
  <w:num w:numId="1084" w16cid:durableId="1078405301">
    <w:abstractNumId w:val="8"/>
  </w:num>
  <w:num w:numId="1085" w16cid:durableId="312032820">
    <w:abstractNumId w:val="104"/>
  </w:num>
  <w:num w:numId="1086" w16cid:durableId="151988762">
    <w:abstractNumId w:val="757"/>
  </w:num>
  <w:num w:numId="1087" w16cid:durableId="1539733808">
    <w:abstractNumId w:val="1131"/>
  </w:num>
  <w:num w:numId="1088" w16cid:durableId="658847196">
    <w:abstractNumId w:val="1088"/>
  </w:num>
  <w:num w:numId="1089" w16cid:durableId="1205748536">
    <w:abstractNumId w:val="1063"/>
  </w:num>
  <w:num w:numId="1090" w16cid:durableId="855657217">
    <w:abstractNumId w:val="1003"/>
  </w:num>
  <w:num w:numId="1091" w16cid:durableId="105077248">
    <w:abstractNumId w:val="1157"/>
  </w:num>
  <w:num w:numId="1092" w16cid:durableId="365913421">
    <w:abstractNumId w:val="817"/>
  </w:num>
  <w:num w:numId="1093" w16cid:durableId="1354845408">
    <w:abstractNumId w:val="585"/>
  </w:num>
  <w:num w:numId="1094" w16cid:durableId="1863276684">
    <w:abstractNumId w:val="200"/>
  </w:num>
  <w:num w:numId="1095" w16cid:durableId="153645542">
    <w:abstractNumId w:val="1114"/>
  </w:num>
  <w:num w:numId="1096" w16cid:durableId="431977353">
    <w:abstractNumId w:val="162"/>
  </w:num>
  <w:num w:numId="1097" w16cid:durableId="91897409">
    <w:abstractNumId w:val="690"/>
  </w:num>
  <w:num w:numId="1098" w16cid:durableId="904608531">
    <w:abstractNumId w:val="1004"/>
  </w:num>
  <w:num w:numId="1099" w16cid:durableId="979456390">
    <w:abstractNumId w:val="850"/>
  </w:num>
  <w:num w:numId="1100" w16cid:durableId="1791243553">
    <w:abstractNumId w:val="1067"/>
  </w:num>
  <w:num w:numId="1101" w16cid:durableId="1157765600">
    <w:abstractNumId w:val="979"/>
  </w:num>
  <w:num w:numId="1102" w16cid:durableId="1822506103">
    <w:abstractNumId w:val="151"/>
  </w:num>
  <w:num w:numId="1103" w16cid:durableId="2058770773">
    <w:abstractNumId w:val="1172"/>
  </w:num>
  <w:num w:numId="1104" w16cid:durableId="1862430197">
    <w:abstractNumId w:val="6"/>
  </w:num>
  <w:num w:numId="1105" w16cid:durableId="228804055">
    <w:abstractNumId w:val="328"/>
  </w:num>
  <w:num w:numId="1106" w16cid:durableId="1964269719">
    <w:abstractNumId w:val="834"/>
  </w:num>
  <w:num w:numId="1107" w16cid:durableId="325745283">
    <w:abstractNumId w:val="427"/>
  </w:num>
  <w:num w:numId="1108" w16cid:durableId="1755785293">
    <w:abstractNumId w:val="1178"/>
  </w:num>
  <w:num w:numId="1109" w16cid:durableId="1888495155">
    <w:abstractNumId w:val="949"/>
  </w:num>
  <w:num w:numId="1110" w16cid:durableId="424232153">
    <w:abstractNumId w:val="1087"/>
  </w:num>
  <w:num w:numId="1111" w16cid:durableId="304705230">
    <w:abstractNumId w:val="1011"/>
  </w:num>
  <w:num w:numId="1112" w16cid:durableId="1299149505">
    <w:abstractNumId w:val="967"/>
  </w:num>
  <w:num w:numId="1113" w16cid:durableId="918946410">
    <w:abstractNumId w:val="573"/>
  </w:num>
  <w:num w:numId="1114" w16cid:durableId="1387752507">
    <w:abstractNumId w:val="248"/>
  </w:num>
  <w:num w:numId="1115" w16cid:durableId="2022931227">
    <w:abstractNumId w:val="614"/>
  </w:num>
  <w:num w:numId="1116" w16cid:durableId="319847182">
    <w:abstractNumId w:val="20"/>
  </w:num>
  <w:num w:numId="1117" w16cid:durableId="1883515964">
    <w:abstractNumId w:val="403"/>
  </w:num>
  <w:num w:numId="1118" w16cid:durableId="1068960093">
    <w:abstractNumId w:val="177"/>
  </w:num>
  <w:num w:numId="1119" w16cid:durableId="139426789">
    <w:abstractNumId w:val="853"/>
  </w:num>
  <w:num w:numId="1120" w16cid:durableId="1949923964">
    <w:abstractNumId w:val="113"/>
  </w:num>
  <w:num w:numId="1121" w16cid:durableId="1883783393">
    <w:abstractNumId w:val="236"/>
  </w:num>
  <w:num w:numId="1122" w16cid:durableId="709232283">
    <w:abstractNumId w:val="187"/>
  </w:num>
  <w:num w:numId="1123" w16cid:durableId="331299315">
    <w:abstractNumId w:val="1175"/>
  </w:num>
  <w:num w:numId="1124" w16cid:durableId="595292229">
    <w:abstractNumId w:val="746"/>
  </w:num>
  <w:num w:numId="1125" w16cid:durableId="830490884">
    <w:abstractNumId w:val="195"/>
  </w:num>
  <w:num w:numId="1126" w16cid:durableId="1596285902">
    <w:abstractNumId w:val="322"/>
  </w:num>
  <w:num w:numId="1127" w16cid:durableId="1827889952">
    <w:abstractNumId w:val="776"/>
  </w:num>
  <w:num w:numId="1128" w16cid:durableId="2066490982">
    <w:abstractNumId w:val="945"/>
  </w:num>
  <w:num w:numId="1129" w16cid:durableId="479613695">
    <w:abstractNumId w:val="262"/>
  </w:num>
  <w:num w:numId="1130" w16cid:durableId="1320504825">
    <w:abstractNumId w:val="27"/>
  </w:num>
  <w:num w:numId="1131" w16cid:durableId="1891648729">
    <w:abstractNumId w:val="1006"/>
  </w:num>
  <w:num w:numId="1132" w16cid:durableId="778181424">
    <w:abstractNumId w:val="983"/>
  </w:num>
  <w:num w:numId="1133" w16cid:durableId="755782393">
    <w:abstractNumId w:val="164"/>
  </w:num>
  <w:num w:numId="1134" w16cid:durableId="974027922">
    <w:abstractNumId w:val="993"/>
  </w:num>
  <w:num w:numId="1135" w16cid:durableId="1041369348">
    <w:abstractNumId w:val="384"/>
  </w:num>
  <w:num w:numId="1136" w16cid:durableId="264192373">
    <w:abstractNumId w:val="694"/>
  </w:num>
  <w:num w:numId="1137" w16cid:durableId="1723868887">
    <w:abstractNumId w:val="699"/>
  </w:num>
  <w:num w:numId="1138" w16cid:durableId="689532452">
    <w:abstractNumId w:val="736"/>
  </w:num>
  <w:num w:numId="1139" w16cid:durableId="1267152500">
    <w:abstractNumId w:val="847"/>
  </w:num>
  <w:num w:numId="1140" w16cid:durableId="1576747439">
    <w:abstractNumId w:val="974"/>
  </w:num>
  <w:num w:numId="1141" w16cid:durableId="1846281123">
    <w:abstractNumId w:val="385"/>
  </w:num>
  <w:num w:numId="1142" w16cid:durableId="1079715633">
    <w:abstractNumId w:val="369"/>
  </w:num>
  <w:num w:numId="1143" w16cid:durableId="915477300">
    <w:abstractNumId w:val="1162"/>
  </w:num>
  <w:num w:numId="1144" w16cid:durableId="860052600">
    <w:abstractNumId w:val="849"/>
  </w:num>
  <w:num w:numId="1145" w16cid:durableId="584411953">
    <w:abstractNumId w:val="643"/>
  </w:num>
  <w:num w:numId="1146" w16cid:durableId="609437162">
    <w:abstractNumId w:val="378"/>
  </w:num>
  <w:num w:numId="1147" w16cid:durableId="1463886563">
    <w:abstractNumId w:val="379"/>
  </w:num>
  <w:num w:numId="1148" w16cid:durableId="1560094259">
    <w:abstractNumId w:val="884"/>
  </w:num>
  <w:num w:numId="1149" w16cid:durableId="1730879099">
    <w:abstractNumId w:val="1071"/>
  </w:num>
  <w:num w:numId="1150" w16cid:durableId="391732255">
    <w:abstractNumId w:val="819"/>
  </w:num>
  <w:num w:numId="1151" w16cid:durableId="2074501754">
    <w:abstractNumId w:val="40"/>
  </w:num>
  <w:num w:numId="1152" w16cid:durableId="773402839">
    <w:abstractNumId w:val="829"/>
  </w:num>
  <w:num w:numId="1153" w16cid:durableId="1952584684">
    <w:abstractNumId w:val="165"/>
  </w:num>
  <w:num w:numId="1154" w16cid:durableId="23596817">
    <w:abstractNumId w:val="682"/>
  </w:num>
  <w:num w:numId="1155" w16cid:durableId="803699134">
    <w:abstractNumId w:val="419"/>
  </w:num>
  <w:num w:numId="1156" w16cid:durableId="1399861141">
    <w:abstractNumId w:val="582"/>
  </w:num>
  <w:num w:numId="1157" w16cid:durableId="1074012096">
    <w:abstractNumId w:val="66"/>
  </w:num>
  <w:num w:numId="1158" w16cid:durableId="607155382">
    <w:abstractNumId w:val="1009"/>
  </w:num>
  <w:num w:numId="1159" w16cid:durableId="1155410935">
    <w:abstractNumId w:val="629"/>
  </w:num>
  <w:num w:numId="1160" w16cid:durableId="1327051950">
    <w:abstractNumId w:val="848"/>
  </w:num>
  <w:num w:numId="1161" w16cid:durableId="1902253876">
    <w:abstractNumId w:val="835"/>
  </w:num>
  <w:num w:numId="1162" w16cid:durableId="1549679258">
    <w:abstractNumId w:val="908"/>
  </w:num>
  <w:num w:numId="1163" w16cid:durableId="1714691110">
    <w:abstractNumId w:val="808"/>
  </w:num>
  <w:num w:numId="1164" w16cid:durableId="1278951336">
    <w:abstractNumId w:val="555"/>
  </w:num>
  <w:num w:numId="1165" w16cid:durableId="1890602446">
    <w:abstractNumId w:val="438"/>
  </w:num>
  <w:num w:numId="1166" w16cid:durableId="1448546046">
    <w:abstractNumId w:val="401"/>
  </w:num>
  <w:num w:numId="1167" w16cid:durableId="830946809">
    <w:abstractNumId w:val="251"/>
  </w:num>
  <w:num w:numId="1168" w16cid:durableId="1771387942">
    <w:abstractNumId w:val="103"/>
  </w:num>
  <w:num w:numId="1169" w16cid:durableId="1285312983">
    <w:abstractNumId w:val="553"/>
  </w:num>
  <w:num w:numId="1170" w16cid:durableId="1660227206">
    <w:abstractNumId w:val="1180"/>
  </w:num>
  <w:num w:numId="1171" w16cid:durableId="988094482">
    <w:abstractNumId w:val="326"/>
  </w:num>
  <w:num w:numId="1172" w16cid:durableId="178157712">
    <w:abstractNumId w:val="676"/>
  </w:num>
  <w:num w:numId="1173" w16cid:durableId="1252617365">
    <w:abstractNumId w:val="13"/>
  </w:num>
  <w:num w:numId="1174" w16cid:durableId="2006467333">
    <w:abstractNumId w:val="278"/>
  </w:num>
  <w:num w:numId="1175" w16cid:durableId="1831827823">
    <w:abstractNumId w:val="356"/>
  </w:num>
  <w:num w:numId="1176" w16cid:durableId="1392191675">
    <w:abstractNumId w:val="1052"/>
  </w:num>
  <w:num w:numId="1177" w16cid:durableId="999692142">
    <w:abstractNumId w:val="1032"/>
  </w:num>
  <w:num w:numId="1178" w16cid:durableId="801727006">
    <w:abstractNumId w:val="795"/>
  </w:num>
  <w:num w:numId="1179" w16cid:durableId="1165123893">
    <w:abstractNumId w:val="287"/>
  </w:num>
  <w:num w:numId="1180" w16cid:durableId="1060977044">
    <w:abstractNumId w:val="871"/>
  </w:num>
  <w:num w:numId="1181" w16cid:durableId="1112868147">
    <w:abstractNumId w:val="756"/>
  </w:num>
  <w:num w:numId="1182" w16cid:durableId="555819417">
    <w:abstractNumId w:val="778"/>
  </w:num>
  <w:num w:numId="1183" w16cid:durableId="710886852">
    <w:abstractNumId w:val="490"/>
  </w:num>
  <w:numIdMacAtCleanup w:val="1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410E"/>
    <w:rsid w:val="0004686B"/>
    <w:rsid w:val="002C1738"/>
    <w:rsid w:val="004016E8"/>
    <w:rsid w:val="006413F1"/>
    <w:rsid w:val="006543C9"/>
    <w:rsid w:val="007341F9"/>
    <w:rsid w:val="00B803D0"/>
    <w:rsid w:val="00CE7F43"/>
    <w:rsid w:val="00DF410E"/>
    <w:rsid w:val="00E2321A"/>
    <w:rsid w:val="00FD58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A745B"/>
  <w15:docId w15:val="{2EA803D9-A780-4E29-BD96-AC42E370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2C1738"/>
    <w:pPr>
      <w:spacing w:before="0" w:line="259" w:lineRule="auto"/>
      <w:ind w:left="1540"/>
    </w:pPr>
    <w:rPr>
      <w:rFonts w:asciiTheme="minorHAnsi" w:eastAsiaTheme="minorEastAsia" w:hAnsiTheme="minorHAnsi" w:cstheme="minorBidi"/>
      <w:kern w:val="2"/>
      <w:sz w:val="22"/>
      <w:szCs w:val="22"/>
      <w14:ligatures w14:val="standardContextual"/>
    </w:rPr>
  </w:style>
  <w:style w:type="paragraph" w:styleId="TM9">
    <w:name w:val="toc 9"/>
    <w:basedOn w:val="Normal"/>
    <w:next w:val="Normal"/>
    <w:autoRedefine/>
    <w:uiPriority w:val="39"/>
    <w:unhideWhenUsed/>
    <w:rsid w:val="002C1738"/>
    <w:pPr>
      <w:spacing w:before="0" w:line="259" w:lineRule="auto"/>
      <w:ind w:left="1760"/>
    </w:pPr>
    <w:rPr>
      <w:rFonts w:asciiTheme="minorHAnsi" w:eastAsiaTheme="minorEastAsia" w:hAnsiTheme="minorHAnsi" w:cstheme="minorBidi"/>
      <w:kern w:val="2"/>
      <w:sz w:val="22"/>
      <w:szCs w:val="22"/>
      <w14:ligatures w14:val="standardContextual"/>
    </w:rPr>
  </w:style>
  <w:style w:type="character" w:styleId="Lienhypertexte">
    <w:name w:val="Hyperlink"/>
    <w:basedOn w:val="Policepardfaut"/>
    <w:uiPriority w:val="99"/>
    <w:unhideWhenUsed/>
    <w:rsid w:val="002C1738"/>
    <w:rPr>
      <w:color w:val="0563C1" w:themeColor="hyperlink"/>
      <w:u w:val="single"/>
    </w:rPr>
  </w:style>
  <w:style w:type="character" w:styleId="Mentionnonrsolue">
    <w:name w:val="Unresolved Mention"/>
    <w:basedOn w:val="Policepardfaut"/>
    <w:uiPriority w:val="99"/>
    <w:semiHidden/>
    <w:unhideWhenUsed/>
    <w:rsid w:val="002C1738"/>
    <w:rPr>
      <w:color w:val="605E5C"/>
      <w:shd w:val="clear" w:color="auto" w:fill="E1DFDD"/>
    </w:rPr>
  </w:style>
  <w:style w:type="paragraph" w:styleId="En-tte">
    <w:name w:val="header"/>
    <w:basedOn w:val="Normal"/>
    <w:link w:val="En-tteCar"/>
    <w:uiPriority w:val="99"/>
    <w:unhideWhenUsed/>
    <w:rsid w:val="00FD58BF"/>
    <w:pPr>
      <w:tabs>
        <w:tab w:val="center" w:pos="4536"/>
        <w:tab w:val="right" w:pos="9072"/>
      </w:tabs>
      <w:spacing w:before="0" w:after="0" w:line="240" w:lineRule="auto"/>
    </w:pPr>
  </w:style>
  <w:style w:type="character" w:customStyle="1" w:styleId="En-tteCar">
    <w:name w:val="En-tête Car"/>
    <w:basedOn w:val="Policepardfaut"/>
    <w:link w:val="En-tte"/>
    <w:uiPriority w:val="99"/>
    <w:rsid w:val="00FD58BF"/>
  </w:style>
  <w:style w:type="paragraph" w:styleId="Pieddepage">
    <w:name w:val="footer"/>
    <w:basedOn w:val="Normal"/>
    <w:link w:val="PieddepageCar"/>
    <w:uiPriority w:val="99"/>
    <w:unhideWhenUsed/>
    <w:rsid w:val="00FD58BF"/>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FD5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T0%20Entreprise%20_%20Chantier%20CCTB%2001.12.docx" TargetMode="External"/><Relationship Id="rId21" Type="http://schemas.openxmlformats.org/officeDocument/2006/relationships/hyperlink" Target="T0%20Entreprise%20_%20Chantier%20CCTB%2001.12.docx" TargetMode="External"/><Relationship Id="rId324" Type="http://schemas.openxmlformats.org/officeDocument/2006/relationships/hyperlink" Target="T3%20Travaux%20de%20toiture%20CCTB%2001.12.docx" TargetMode="External"/><Relationship Id="rId531" Type="http://schemas.openxmlformats.org/officeDocument/2006/relationships/hyperlink" Target="T0%20Entreprise%20_%20Chantier%20CCTB%2001.12.docx" TargetMode="External"/><Relationship Id="rId170" Type="http://schemas.openxmlformats.org/officeDocument/2006/relationships/hyperlink" Target="T8%20Travaux%20de%20peinture%20_%20Traitements%20de%20surface%20CCTB%2001.12.docx" TargetMode="External"/><Relationship Id="rId268" Type="http://schemas.openxmlformats.org/officeDocument/2006/relationships/hyperlink" Target="T0%20Entreprise%20_%20Chantier%20CCTB%2001.12.docx" TargetMode="External"/><Relationship Id="rId475" Type="http://schemas.openxmlformats.org/officeDocument/2006/relationships/hyperlink" Target="T3%20Travaux%20de%20toiture%20CCTB%2001.12.docx" TargetMode="External"/><Relationship Id="rId32" Type="http://schemas.openxmlformats.org/officeDocument/2006/relationships/hyperlink" Target="T0%20Entreprise%20_%20Chantier%20CCTB%2001.12.docx" TargetMode="External"/><Relationship Id="rId128" Type="http://schemas.openxmlformats.org/officeDocument/2006/relationships/hyperlink" Target="T8%20Travaux%20de%20peinture%20_%20Traitements%20de%20surface%20CCTB%2001.12.docx" TargetMode="External"/><Relationship Id="rId335" Type="http://schemas.openxmlformats.org/officeDocument/2006/relationships/image" Target="media/image20.png"/><Relationship Id="rId542" Type="http://schemas.openxmlformats.org/officeDocument/2006/relationships/hyperlink" Target="T6%20HVAC%20-%20sanitaires%20CCTB%2001.12.docx" TargetMode="External"/><Relationship Id="rId181" Type="http://schemas.openxmlformats.org/officeDocument/2006/relationships/hyperlink" Target="T8%20Travaux%20de%20peinture%20_%20Traitements%20de%20surface%20CCTB%2001.12.docx" TargetMode="External"/><Relationship Id="rId402" Type="http://schemas.openxmlformats.org/officeDocument/2006/relationships/hyperlink" Target="T3%20Travaux%20de%20toiture%20CCTB%2001.12.docx" TargetMode="External"/><Relationship Id="rId279" Type="http://schemas.openxmlformats.org/officeDocument/2006/relationships/hyperlink" Target="T6%20HVAC%20-%20sanitaires%20CCTB%2001.12.docx" TargetMode="External"/><Relationship Id="rId486" Type="http://schemas.openxmlformats.org/officeDocument/2006/relationships/hyperlink" Target="T3%20Travaux%20de%20toiture%20CCTB%2001.12.docx" TargetMode="External"/><Relationship Id="rId43" Type="http://schemas.openxmlformats.org/officeDocument/2006/relationships/hyperlink" Target="T0%20Entreprise%20_%20Chantier%20CCTB%2001.12.docx" TargetMode="External"/><Relationship Id="rId139" Type="http://schemas.openxmlformats.org/officeDocument/2006/relationships/hyperlink" Target="T8%20Travaux%20de%20peinture%20_%20Traitements%20de%20surface%20CCTB%2001.12.docx" TargetMode="External"/><Relationship Id="rId346" Type="http://schemas.openxmlformats.org/officeDocument/2006/relationships/hyperlink" Target="T0%20Entreprise%20_%20Chantier%20CCTB%2001.12.docx" TargetMode="External"/><Relationship Id="rId553" Type="http://schemas.openxmlformats.org/officeDocument/2006/relationships/hyperlink" Target="T0%20Entreprise%20_%20Chantier%20CCTB%2001.12.docx" TargetMode="External"/><Relationship Id="rId192" Type="http://schemas.openxmlformats.org/officeDocument/2006/relationships/hyperlink" Target="T8%20Travaux%20de%20peinture%20_%20Traitements%20de%20surface%20CCTB%2001.12.docx" TargetMode="External"/><Relationship Id="rId206" Type="http://schemas.openxmlformats.org/officeDocument/2006/relationships/hyperlink" Target="T8%20Travaux%20de%20peinture%20_%20Traitements%20de%20surface%20CCTB%2001.12.docx" TargetMode="External"/><Relationship Id="rId413" Type="http://schemas.openxmlformats.org/officeDocument/2006/relationships/hyperlink" Target="T3%20Travaux%20de%20toiture%20CCTB%2001.12.docx" TargetMode="External"/><Relationship Id="rId497" Type="http://schemas.openxmlformats.org/officeDocument/2006/relationships/hyperlink" Target="T3%20Travaux%20de%20toiture%20CCTB%2001.12.docx" TargetMode="External"/><Relationship Id="rId357" Type="http://schemas.openxmlformats.org/officeDocument/2006/relationships/hyperlink" Target="T8%20Travaux%20de%20peinture%20_%20Traitements%20de%20surface%20CCTB%2001.12.docx" TargetMode="External"/><Relationship Id="rId54" Type="http://schemas.openxmlformats.org/officeDocument/2006/relationships/hyperlink" Target="T0%20Entreprise%20_%20Chantier%20CCTB%2001.12.docx" TargetMode="External"/><Relationship Id="rId217" Type="http://schemas.openxmlformats.org/officeDocument/2006/relationships/hyperlink" Target="T8%20Travaux%20de%20peinture%20_%20Traitements%20de%20surface%20CCTB%2001.12.docx" TargetMode="External"/><Relationship Id="rId564" Type="http://schemas.openxmlformats.org/officeDocument/2006/relationships/theme" Target="theme/theme1.xml"/><Relationship Id="rId424" Type="http://schemas.openxmlformats.org/officeDocument/2006/relationships/hyperlink" Target="T3%20Travaux%20de%20toiture%20CCTB%2001.12.docx" TargetMode="External"/><Relationship Id="rId23" Type="http://schemas.openxmlformats.org/officeDocument/2006/relationships/hyperlink" Target="T5%20Fermetures%20_%20Finitions%20int%c3%a9rieures%20CCTB%2001.12.docx" TargetMode="External"/><Relationship Id="rId119" Type="http://schemas.openxmlformats.org/officeDocument/2006/relationships/hyperlink" Target="T0%20Entreprise%20_%20Chantier%20CCTB%2001.12.docx" TargetMode="External"/><Relationship Id="rId270" Type="http://schemas.openxmlformats.org/officeDocument/2006/relationships/hyperlink" Target="T5%20Fermetures%20_%20Finitions%20int%c3%a9rieures%20CCTB%2001.12.docx" TargetMode="External"/><Relationship Id="rId326" Type="http://schemas.openxmlformats.org/officeDocument/2006/relationships/hyperlink" Target="T3%20Travaux%20de%20toiture%20CCTB%2001.12.docx" TargetMode="External"/><Relationship Id="rId533" Type="http://schemas.openxmlformats.org/officeDocument/2006/relationships/hyperlink" Target="T0%20Entreprise%20_%20Chantier%20CCTB%2001.12.docx" TargetMode="External"/><Relationship Id="rId65" Type="http://schemas.openxmlformats.org/officeDocument/2006/relationships/hyperlink" Target="T0%20Entreprise%20_%20Chantier%20CCTB%2001.12.docx" TargetMode="External"/><Relationship Id="rId130" Type="http://schemas.openxmlformats.org/officeDocument/2006/relationships/hyperlink" Target="T8%20Travaux%20de%20peinture%20_%20Traitements%20de%20surface%20CCTB%2001.12.docx" TargetMode="External"/><Relationship Id="rId368" Type="http://schemas.openxmlformats.org/officeDocument/2006/relationships/hyperlink" Target="T4%20Fermetures%20_%20Finitions%20ext%c3%a9rieures%20CCTB%2001.12.docx" TargetMode="External"/><Relationship Id="rId172" Type="http://schemas.openxmlformats.org/officeDocument/2006/relationships/hyperlink" Target="T8%20Travaux%20de%20peinture%20_%20Traitements%20de%20surface%20CCTB%2001.12.docx" TargetMode="External"/><Relationship Id="rId228" Type="http://schemas.openxmlformats.org/officeDocument/2006/relationships/hyperlink" Target="T8%20Travaux%20de%20peinture%20_%20Traitements%20de%20surface%20CCTB%2001.12.docx" TargetMode="External"/><Relationship Id="rId435" Type="http://schemas.openxmlformats.org/officeDocument/2006/relationships/hyperlink" Target="T3%20Travaux%20de%20toiture%20CCTB%2001.12.docx" TargetMode="External"/><Relationship Id="rId477" Type="http://schemas.openxmlformats.org/officeDocument/2006/relationships/hyperlink" Target="T3%20Travaux%20de%20toiture%20CCTB%2001.12.docx" TargetMode="External"/><Relationship Id="rId281" Type="http://schemas.openxmlformats.org/officeDocument/2006/relationships/hyperlink" Target="T8%20Travaux%20de%20peinture%20_%20Traitements%20de%20surface%20CCTB%2001.12.docx" TargetMode="External"/><Relationship Id="rId337" Type="http://schemas.openxmlformats.org/officeDocument/2006/relationships/image" Target="media/image22.jpg"/><Relationship Id="rId502" Type="http://schemas.openxmlformats.org/officeDocument/2006/relationships/hyperlink" Target="T3%20Travaux%20de%20toiture%20CCTB%2001.12.docx" TargetMode="External"/><Relationship Id="rId34" Type="http://schemas.openxmlformats.org/officeDocument/2006/relationships/hyperlink" Target="T0%20Entreprise%20_%20Chantier%20CCTB%2001.12.docx" TargetMode="External"/><Relationship Id="rId76" Type="http://schemas.openxmlformats.org/officeDocument/2006/relationships/hyperlink" Target="T0%20Entreprise%20_%20Chantier%20CCTB%2001.12.docx" TargetMode="External"/><Relationship Id="rId141" Type="http://schemas.openxmlformats.org/officeDocument/2006/relationships/hyperlink" Target="T8%20Travaux%20de%20peinture%20_%20Traitements%20de%20surface%20CCTB%2001.12.docx" TargetMode="External"/><Relationship Id="rId379" Type="http://schemas.openxmlformats.org/officeDocument/2006/relationships/hyperlink" Target="T3%20Travaux%20de%20toiture%20CCTB%2001.12.docx" TargetMode="External"/><Relationship Id="rId544" Type="http://schemas.openxmlformats.org/officeDocument/2006/relationships/hyperlink" Target="T6%20HVAC%20-%20sanitaires%20CCTB%2001.12.docx" TargetMode="External"/><Relationship Id="rId7" Type="http://schemas.openxmlformats.org/officeDocument/2006/relationships/image" Target="media/image1.jpg"/><Relationship Id="rId183" Type="http://schemas.openxmlformats.org/officeDocument/2006/relationships/hyperlink" Target="T8%20Travaux%20de%20peinture%20_%20Traitements%20de%20surface%20CCTB%2001.12.docx" TargetMode="External"/><Relationship Id="rId239" Type="http://schemas.openxmlformats.org/officeDocument/2006/relationships/hyperlink" Target="T0%20Entreprise%20_%20Chantier%20CCTB%2001.12.docx" TargetMode="External"/><Relationship Id="rId390" Type="http://schemas.openxmlformats.org/officeDocument/2006/relationships/hyperlink" Target="T3%20Travaux%20de%20toiture%20CCTB%2001.12.docx" TargetMode="External"/><Relationship Id="rId404" Type="http://schemas.openxmlformats.org/officeDocument/2006/relationships/hyperlink" Target="T3%20Travaux%20de%20toiture%20CCTB%2001.12.docx" TargetMode="External"/><Relationship Id="rId446" Type="http://schemas.openxmlformats.org/officeDocument/2006/relationships/hyperlink" Target="T3%20Travaux%20de%20toiture%20CCTB%2001.12.docx" TargetMode="External"/><Relationship Id="rId250" Type="http://schemas.openxmlformats.org/officeDocument/2006/relationships/image" Target="media/image2.png"/><Relationship Id="rId292" Type="http://schemas.openxmlformats.org/officeDocument/2006/relationships/hyperlink" Target="T6%20HVAC%20-%20sanitaires%20CCTB%2001.12.docx" TargetMode="External"/><Relationship Id="rId306" Type="http://schemas.openxmlformats.org/officeDocument/2006/relationships/hyperlink" Target="T8%20Travaux%20de%20peinture%20_%20Traitements%20de%20surface%20CCTB%2001.12.docx" TargetMode="External"/><Relationship Id="rId488" Type="http://schemas.openxmlformats.org/officeDocument/2006/relationships/hyperlink" Target="T3%20Travaux%20de%20toiture%20CCTB%2001.12.docx" TargetMode="External"/><Relationship Id="rId45" Type="http://schemas.openxmlformats.org/officeDocument/2006/relationships/hyperlink" Target="T0%20Entreprise%20_%20Chantier%20CCTB%2001.12.docx" TargetMode="External"/><Relationship Id="rId87" Type="http://schemas.openxmlformats.org/officeDocument/2006/relationships/hyperlink" Target="T8%20Travaux%20de%20peinture%20_%20Traitements%20de%20surface%20CCTB%2001.12.docx" TargetMode="External"/><Relationship Id="rId110" Type="http://schemas.openxmlformats.org/officeDocument/2006/relationships/hyperlink" Target="T3%20Travaux%20de%20toiture%20CCTB%2001.12.docx" TargetMode="External"/><Relationship Id="rId348" Type="http://schemas.openxmlformats.org/officeDocument/2006/relationships/hyperlink" Target="T0%20Entreprise%20_%20Chantier%20CCTB%2001.12.docx" TargetMode="External"/><Relationship Id="rId513" Type="http://schemas.openxmlformats.org/officeDocument/2006/relationships/hyperlink" Target="T3%20Travaux%20de%20toiture%20CCTB%2001.12.docx" TargetMode="External"/><Relationship Id="rId555" Type="http://schemas.openxmlformats.org/officeDocument/2006/relationships/hyperlink" Target="T0%20Entreprise%20_%20Chantier%20CCTB%2001.12.docx" TargetMode="External"/><Relationship Id="rId152" Type="http://schemas.openxmlformats.org/officeDocument/2006/relationships/hyperlink" Target="T3%20Travaux%20de%20toiture%20CCTB%2001.12.docx" TargetMode="External"/><Relationship Id="rId194" Type="http://schemas.openxmlformats.org/officeDocument/2006/relationships/hyperlink" Target="T8%20Travaux%20de%20peinture%20_%20Traitements%20de%20surface%20CCTB%2001.12.docx" TargetMode="External"/><Relationship Id="rId208" Type="http://schemas.openxmlformats.org/officeDocument/2006/relationships/hyperlink" Target="T8%20Travaux%20de%20peinture%20_%20Traitements%20de%20surface%20CCTB%2001.12.docx" TargetMode="External"/><Relationship Id="rId415" Type="http://schemas.openxmlformats.org/officeDocument/2006/relationships/hyperlink" Target="T3%20Travaux%20de%20toiture%20CCTB%2001.12.docx" TargetMode="External"/><Relationship Id="rId457" Type="http://schemas.openxmlformats.org/officeDocument/2006/relationships/hyperlink" Target="T3%20Travaux%20de%20toiture%20CCTB%2001.12.docx" TargetMode="External"/><Relationship Id="rId261" Type="http://schemas.openxmlformats.org/officeDocument/2006/relationships/hyperlink" Target="T0%20Entreprise%20_%20Chantier%20CCTB%2001.12.docx" TargetMode="External"/><Relationship Id="rId499" Type="http://schemas.openxmlformats.org/officeDocument/2006/relationships/hyperlink" Target="T3%20Travaux%20de%20toiture%20CCTB%2001.12.docx" TargetMode="External"/><Relationship Id="rId14" Type="http://schemas.openxmlformats.org/officeDocument/2006/relationships/hyperlink" Target="T0%20Entreprise%20_%20Chantier%20CCTB%2001.12.docx" TargetMode="External"/><Relationship Id="rId56" Type="http://schemas.openxmlformats.org/officeDocument/2006/relationships/hyperlink" Target="T0%20Entreprise%20_%20Chantier%20CCTB%2001.12.docx" TargetMode="External"/><Relationship Id="rId317" Type="http://schemas.openxmlformats.org/officeDocument/2006/relationships/hyperlink" Target="T3%20Travaux%20de%20toiture%20CCTB%2001.12.docx" TargetMode="External"/><Relationship Id="rId359" Type="http://schemas.openxmlformats.org/officeDocument/2006/relationships/hyperlink" Target="T0%20Entreprise%20_%20Chantier%20CCTB%2001.12.docx" TargetMode="External"/><Relationship Id="rId524" Type="http://schemas.openxmlformats.org/officeDocument/2006/relationships/hyperlink" Target="T5%20Fermetures%20_%20Finitions%20int%c3%a9rieures%20CCTB%2001.12.docx" TargetMode="External"/><Relationship Id="rId98" Type="http://schemas.openxmlformats.org/officeDocument/2006/relationships/hyperlink" Target="T5%20Fermetures%20_%20Finitions%20int%c3%a9rieures%20CCTB%2001.12.docx" TargetMode="External"/><Relationship Id="rId121" Type="http://schemas.openxmlformats.org/officeDocument/2006/relationships/hyperlink" Target="T0%20Entreprise%20_%20Chantier%20CCTB%2001.12.docx" TargetMode="External"/><Relationship Id="rId163" Type="http://schemas.openxmlformats.org/officeDocument/2006/relationships/hyperlink" Target="T8%20Travaux%20de%20peinture%20_%20Traitements%20de%20surface%20CCTB%2001.12.docx" TargetMode="External"/><Relationship Id="rId219" Type="http://schemas.openxmlformats.org/officeDocument/2006/relationships/hyperlink" Target="T8%20Travaux%20de%20peinture%20_%20Traitements%20de%20surface%20CCTB%2001.12.docx" TargetMode="External"/><Relationship Id="rId370" Type="http://schemas.openxmlformats.org/officeDocument/2006/relationships/hyperlink" Target="T5%20Fermetures%20_%20Finitions%20int%c3%a9rieures%20CCTB%2001.12.docx" TargetMode="External"/><Relationship Id="rId426" Type="http://schemas.openxmlformats.org/officeDocument/2006/relationships/hyperlink" Target="T3%20Travaux%20de%20toiture%20CCTB%2001.12.docx" TargetMode="External"/><Relationship Id="rId230" Type="http://schemas.openxmlformats.org/officeDocument/2006/relationships/hyperlink" Target="T8%20Travaux%20de%20peinture%20_%20Traitements%20de%20surface%20CCTB%2001.12.docx" TargetMode="External"/><Relationship Id="rId468" Type="http://schemas.openxmlformats.org/officeDocument/2006/relationships/hyperlink" Target="T3%20Travaux%20de%20toiture%20CCTB%2001.12.docx" TargetMode="External"/><Relationship Id="rId25" Type="http://schemas.openxmlformats.org/officeDocument/2006/relationships/hyperlink" Target="T0%20Entreprise%20_%20Chantier%20CCTB%2001.12.docx" TargetMode="External"/><Relationship Id="rId67" Type="http://schemas.openxmlformats.org/officeDocument/2006/relationships/hyperlink" Target="T0%20Entreprise%20_%20Chantier%20CCTB%2001.12.docx" TargetMode="External"/><Relationship Id="rId272" Type="http://schemas.openxmlformats.org/officeDocument/2006/relationships/hyperlink" Target="T6%20HVAC%20-%20sanitaires%20CCTB%2001.12.docx" TargetMode="External"/><Relationship Id="rId328" Type="http://schemas.openxmlformats.org/officeDocument/2006/relationships/image" Target="media/image13.png"/><Relationship Id="rId535" Type="http://schemas.openxmlformats.org/officeDocument/2006/relationships/hyperlink" Target="T0%20Entreprise%20_%20Chantier%20CCTB%2001.12.docx" TargetMode="External"/><Relationship Id="rId132" Type="http://schemas.openxmlformats.org/officeDocument/2006/relationships/hyperlink" Target="T8%20Travaux%20de%20peinture%20_%20Traitements%20de%20surface%20CCTB%2001.12.docx" TargetMode="External"/><Relationship Id="rId174" Type="http://schemas.openxmlformats.org/officeDocument/2006/relationships/hyperlink" Target="T8%20Travaux%20de%20peinture%20_%20Traitements%20de%20surface%20CCTB%2001.12.docx" TargetMode="External"/><Relationship Id="rId381" Type="http://schemas.openxmlformats.org/officeDocument/2006/relationships/hyperlink" Target="T3%20Travaux%20de%20toiture%20CCTB%2001.12.docx" TargetMode="External"/><Relationship Id="rId241" Type="http://schemas.openxmlformats.org/officeDocument/2006/relationships/hyperlink" Target="T0%20Entreprise%20_%20Chantier%20CCTB%2001.12.docx" TargetMode="External"/><Relationship Id="rId437" Type="http://schemas.openxmlformats.org/officeDocument/2006/relationships/hyperlink" Target="T3%20Travaux%20de%20toiture%20CCTB%2001.12.docx" TargetMode="External"/><Relationship Id="rId479" Type="http://schemas.openxmlformats.org/officeDocument/2006/relationships/hyperlink" Target="T3%20Travaux%20de%20toiture%20CCTB%2001.12.docx" TargetMode="External"/><Relationship Id="rId36" Type="http://schemas.openxmlformats.org/officeDocument/2006/relationships/hyperlink" Target="T3%20Travaux%20de%20toiture%20CCTB%2001.12.docx" TargetMode="External"/><Relationship Id="rId283" Type="http://schemas.openxmlformats.org/officeDocument/2006/relationships/hyperlink" Target="T3%20Travaux%20de%20toiture%20CCTB%2001.12.docx" TargetMode="External"/><Relationship Id="rId339" Type="http://schemas.openxmlformats.org/officeDocument/2006/relationships/image" Target="media/image24.png"/><Relationship Id="rId490" Type="http://schemas.openxmlformats.org/officeDocument/2006/relationships/hyperlink" Target="T3%20Travaux%20de%20toiture%20CCTB%2001.12.docx" TargetMode="External"/><Relationship Id="rId504" Type="http://schemas.openxmlformats.org/officeDocument/2006/relationships/hyperlink" Target="T3%20Travaux%20de%20toiture%20CCTB%2001.12.docx" TargetMode="External"/><Relationship Id="rId546" Type="http://schemas.openxmlformats.org/officeDocument/2006/relationships/hyperlink" Target="T0%20Entreprise%20_%20Chantier%20CCTB%2001.12.docx" TargetMode="External"/><Relationship Id="rId78" Type="http://schemas.openxmlformats.org/officeDocument/2006/relationships/hyperlink" Target="T8%20Travaux%20de%20peinture%20_%20Traitements%20de%20surface%20CCTB%2001.12.docx" TargetMode="External"/><Relationship Id="rId101" Type="http://schemas.openxmlformats.org/officeDocument/2006/relationships/hyperlink" Target="T4%20Fermetures%20_%20Finitions%20ext%c3%a9rieures%20CCTB%2001.12.docx" TargetMode="External"/><Relationship Id="rId143" Type="http://schemas.openxmlformats.org/officeDocument/2006/relationships/hyperlink" Target="T8%20Travaux%20de%20peinture%20_%20Traitements%20de%20surface%20CCTB%2001.12.docx" TargetMode="External"/><Relationship Id="rId185" Type="http://schemas.openxmlformats.org/officeDocument/2006/relationships/hyperlink" Target="T8%20Travaux%20de%20peinture%20_%20Traitements%20de%20surface%20CCTB%2001.12.docx" TargetMode="External"/><Relationship Id="rId350" Type="http://schemas.openxmlformats.org/officeDocument/2006/relationships/hyperlink" Target="T0%20Entreprise%20_%20Chantier%20CCTB%2001.12.docx" TargetMode="External"/><Relationship Id="rId406" Type="http://schemas.openxmlformats.org/officeDocument/2006/relationships/hyperlink" Target="T3%20Travaux%20de%20toiture%20CCTB%2001.12.docx" TargetMode="External"/><Relationship Id="rId9" Type="http://schemas.openxmlformats.org/officeDocument/2006/relationships/hyperlink" Target="T0%20Entreprise%20_%20Chantier%20CCTB%2001.12.docx" TargetMode="External"/><Relationship Id="rId210" Type="http://schemas.openxmlformats.org/officeDocument/2006/relationships/hyperlink" Target="T8%20Travaux%20de%20peinture%20_%20Traitements%20de%20surface%20CCTB%2001.12.docx" TargetMode="External"/><Relationship Id="rId392" Type="http://schemas.openxmlformats.org/officeDocument/2006/relationships/hyperlink" Target="T3%20Travaux%20de%20toiture%20CCTB%2001.12.docx" TargetMode="External"/><Relationship Id="rId448" Type="http://schemas.openxmlformats.org/officeDocument/2006/relationships/hyperlink" Target="T3%20Travaux%20de%20toiture%20CCTB%2001.12.docx" TargetMode="External"/><Relationship Id="rId252" Type="http://schemas.openxmlformats.org/officeDocument/2006/relationships/hyperlink" Target="T0%20Entreprise%20_%20Chantier%20CCTB%2001.12.docx" TargetMode="External"/><Relationship Id="rId294" Type="http://schemas.openxmlformats.org/officeDocument/2006/relationships/hyperlink" Target="T8%20Travaux%20de%20peinture%20_%20Traitements%20de%20surface%20CCTB%2001.12.docx" TargetMode="External"/><Relationship Id="rId308" Type="http://schemas.openxmlformats.org/officeDocument/2006/relationships/hyperlink" Target="T7%20Electricit%c3%a9%20CCTB%2001.12.docx" TargetMode="External"/><Relationship Id="rId515" Type="http://schemas.openxmlformats.org/officeDocument/2006/relationships/hyperlink" Target="T3%20Travaux%20de%20toiture%20CCTB%2001.12.docx" TargetMode="External"/><Relationship Id="rId47" Type="http://schemas.openxmlformats.org/officeDocument/2006/relationships/hyperlink" Target="T0%20Entreprise%20_%20Chantier%20CCTB%2001.12.docx" TargetMode="External"/><Relationship Id="rId89" Type="http://schemas.openxmlformats.org/officeDocument/2006/relationships/hyperlink" Target="T8%20Travaux%20de%20peinture%20_%20Traitements%20de%20surface%20CCTB%2001.12.docx" TargetMode="External"/><Relationship Id="rId112" Type="http://schemas.openxmlformats.org/officeDocument/2006/relationships/hyperlink" Target="T8%20Travaux%20de%20peinture%20_%20Traitements%20de%20surface%20CCTB%2001.12.docx" TargetMode="External"/><Relationship Id="rId154" Type="http://schemas.openxmlformats.org/officeDocument/2006/relationships/hyperlink" Target="T8%20Travaux%20de%20peinture%20_%20Traitements%20de%20surface%20CCTB%2001.12.docx" TargetMode="External"/><Relationship Id="rId361" Type="http://schemas.openxmlformats.org/officeDocument/2006/relationships/hyperlink" Target="T0%20Entreprise%20_%20Chantier%20CCTB%2001.12.docx" TargetMode="External"/><Relationship Id="rId557" Type="http://schemas.openxmlformats.org/officeDocument/2006/relationships/hyperlink" Target="T0%20Entreprise%20_%20Chantier%20CCTB%2001.12.docx" TargetMode="External"/><Relationship Id="rId196" Type="http://schemas.openxmlformats.org/officeDocument/2006/relationships/hyperlink" Target="T8%20Travaux%20de%20peinture%20_%20Traitements%20de%20surface%20CCTB%2001.12.docx" TargetMode="External"/><Relationship Id="rId417" Type="http://schemas.openxmlformats.org/officeDocument/2006/relationships/hyperlink" Target="T3%20Travaux%20de%20toiture%20CCTB%2001.12.docx" TargetMode="External"/><Relationship Id="rId459" Type="http://schemas.openxmlformats.org/officeDocument/2006/relationships/hyperlink" Target="T3%20Travaux%20de%20toiture%20CCTB%2001.12.docx" TargetMode="External"/><Relationship Id="rId16" Type="http://schemas.openxmlformats.org/officeDocument/2006/relationships/hyperlink" Target="T0%20Entreprise%20_%20Chantier%20CCTB%2001.12.docx" TargetMode="External"/><Relationship Id="rId221" Type="http://schemas.openxmlformats.org/officeDocument/2006/relationships/hyperlink" Target="T8%20Travaux%20de%20peinture%20_%20Traitements%20de%20surface%20CCTB%2001.12.docx" TargetMode="External"/><Relationship Id="rId263" Type="http://schemas.openxmlformats.org/officeDocument/2006/relationships/hyperlink" Target="http://www.besafe.be" TargetMode="External"/><Relationship Id="rId319" Type="http://schemas.openxmlformats.org/officeDocument/2006/relationships/hyperlink" Target="T0%20Entreprise%20_%20Chantier%20CCTB%2001.12.docx" TargetMode="External"/><Relationship Id="rId470" Type="http://schemas.openxmlformats.org/officeDocument/2006/relationships/hyperlink" Target="T3%20Travaux%20de%20toiture%20CCTB%2001.12.docx" TargetMode="External"/><Relationship Id="rId526" Type="http://schemas.openxmlformats.org/officeDocument/2006/relationships/hyperlink" Target="T0%20Entreprise%20_%20Chantier%20CCTB%2001.12.docx" TargetMode="External"/><Relationship Id="rId58" Type="http://schemas.openxmlformats.org/officeDocument/2006/relationships/hyperlink" Target="T0%20Entreprise%20_%20Chantier%20CCTB%2001.12.docx" TargetMode="External"/><Relationship Id="rId123" Type="http://schemas.openxmlformats.org/officeDocument/2006/relationships/hyperlink" Target="T0%20Entreprise%20_%20Chantier%20CCTB%2001.12.docx" TargetMode="External"/><Relationship Id="rId330" Type="http://schemas.openxmlformats.org/officeDocument/2006/relationships/image" Target="media/image15.png"/><Relationship Id="rId165" Type="http://schemas.openxmlformats.org/officeDocument/2006/relationships/hyperlink" Target="T8%20Travaux%20de%20peinture%20_%20Traitements%20de%20surface%20CCTB%2001.12.docx" TargetMode="External"/><Relationship Id="rId372" Type="http://schemas.openxmlformats.org/officeDocument/2006/relationships/hyperlink" Target="T0%20Entreprise%20_%20Chantier%20CCTB%2001.12.docx" TargetMode="External"/><Relationship Id="rId428" Type="http://schemas.openxmlformats.org/officeDocument/2006/relationships/hyperlink" Target="T3%20Travaux%20de%20toiture%20CCTB%2001.12.docx" TargetMode="External"/><Relationship Id="rId232" Type="http://schemas.openxmlformats.org/officeDocument/2006/relationships/hyperlink" Target="T0%20Entreprise%20_%20Chantier%20CCTB%2001.12.docx" TargetMode="External"/><Relationship Id="rId274" Type="http://schemas.openxmlformats.org/officeDocument/2006/relationships/hyperlink" Target="T6%20HVAC%20-%20sanitaires%20CCTB%2001.12.docx" TargetMode="External"/><Relationship Id="rId481" Type="http://schemas.openxmlformats.org/officeDocument/2006/relationships/hyperlink" Target="T3%20Travaux%20de%20toiture%20CCTB%2001.12.docx" TargetMode="External"/><Relationship Id="rId27" Type="http://schemas.openxmlformats.org/officeDocument/2006/relationships/hyperlink" Target="T0%20Entreprise%20_%20Chantier%20CCTB%2001.12.docx" TargetMode="External"/><Relationship Id="rId69" Type="http://schemas.openxmlformats.org/officeDocument/2006/relationships/hyperlink" Target="T5%20Fermetures%20_%20Finitions%20int%c3%a9rieures%20CCTB%2001.12.docx" TargetMode="External"/><Relationship Id="rId134" Type="http://schemas.openxmlformats.org/officeDocument/2006/relationships/hyperlink" Target="T8%20Travaux%20de%20peinture%20_%20Traitements%20de%20surface%20CCTB%2001.12.docx" TargetMode="External"/><Relationship Id="rId537" Type="http://schemas.openxmlformats.org/officeDocument/2006/relationships/hyperlink" Target="T0%20Entreprise%20_%20Chantier%20CCTB%2001.12.docx" TargetMode="External"/><Relationship Id="rId80" Type="http://schemas.openxmlformats.org/officeDocument/2006/relationships/hyperlink" Target="T8%20Travaux%20de%20peinture%20_%20Traitements%20de%20surface%20CCTB%2001.12.docx" TargetMode="External"/><Relationship Id="rId176" Type="http://schemas.openxmlformats.org/officeDocument/2006/relationships/hyperlink" Target="T8%20Travaux%20de%20peinture%20_%20Traitements%20de%20surface%20CCTB%2001.12.docx" TargetMode="External"/><Relationship Id="rId341" Type="http://schemas.openxmlformats.org/officeDocument/2006/relationships/image" Target="media/image26.png"/><Relationship Id="rId383" Type="http://schemas.openxmlformats.org/officeDocument/2006/relationships/hyperlink" Target="T3%20Travaux%20de%20toiture%20CCTB%2001.12.docx" TargetMode="External"/><Relationship Id="rId439" Type="http://schemas.openxmlformats.org/officeDocument/2006/relationships/hyperlink" Target="T3%20Travaux%20de%20toiture%20CCTB%2001.12.docx" TargetMode="External"/><Relationship Id="rId201" Type="http://schemas.openxmlformats.org/officeDocument/2006/relationships/hyperlink" Target="T8%20Travaux%20de%20peinture%20_%20Traitements%20de%20surface%20CCTB%2001.12.docx" TargetMode="External"/><Relationship Id="rId243" Type="http://schemas.openxmlformats.org/officeDocument/2006/relationships/hyperlink" Target="T0%20Entreprise%20_%20Chantier%20CCTB%2001.12.docx" TargetMode="External"/><Relationship Id="rId285" Type="http://schemas.openxmlformats.org/officeDocument/2006/relationships/hyperlink" Target="T7%20Electricit%c3%a9%20CCTB%2001.12.docx" TargetMode="External"/><Relationship Id="rId450" Type="http://schemas.openxmlformats.org/officeDocument/2006/relationships/hyperlink" Target="T3%20Travaux%20de%20toiture%20CCTB%2001.12.docx" TargetMode="External"/><Relationship Id="rId506" Type="http://schemas.openxmlformats.org/officeDocument/2006/relationships/hyperlink" Target="T3%20Travaux%20de%20toiture%20CCTB%2001.12.docx" TargetMode="External"/><Relationship Id="rId38" Type="http://schemas.openxmlformats.org/officeDocument/2006/relationships/hyperlink" Target="T0%20Entreprise%20_%20Chantier%20CCTB%2001.12.docx" TargetMode="External"/><Relationship Id="rId103" Type="http://schemas.openxmlformats.org/officeDocument/2006/relationships/hyperlink" Target="T1%20Terrassements%20_%20fondations%20CCTB%2001.12.docx" TargetMode="External"/><Relationship Id="rId310" Type="http://schemas.openxmlformats.org/officeDocument/2006/relationships/hyperlink" Target="T3%20Travaux%20de%20toiture%20CCTB%2001.12.docx" TargetMode="External"/><Relationship Id="rId492" Type="http://schemas.openxmlformats.org/officeDocument/2006/relationships/hyperlink" Target="T3%20Travaux%20de%20toiture%20CCTB%2001.12.docx" TargetMode="External"/><Relationship Id="rId548" Type="http://schemas.openxmlformats.org/officeDocument/2006/relationships/hyperlink" Target="T8%20Travaux%20de%20peinture%20_%20Traitements%20de%20surface%20CCTB%2001.12.docx" TargetMode="External"/><Relationship Id="rId91" Type="http://schemas.openxmlformats.org/officeDocument/2006/relationships/hyperlink" Target="T8%20Travaux%20de%20peinture%20_%20Traitements%20de%20surface%20CCTB%2001.12.docx" TargetMode="External"/><Relationship Id="rId145" Type="http://schemas.openxmlformats.org/officeDocument/2006/relationships/hyperlink" Target="T3%20Travaux%20de%20toiture%20CCTB%2001.12.docx" TargetMode="External"/><Relationship Id="rId187" Type="http://schemas.openxmlformats.org/officeDocument/2006/relationships/hyperlink" Target="T8%20Travaux%20de%20peinture%20_%20Traitements%20de%20surface%20CCTB%2001.12.docx" TargetMode="External"/><Relationship Id="rId352" Type="http://schemas.openxmlformats.org/officeDocument/2006/relationships/hyperlink" Target="T0%20Entreprise%20_%20Chantier%20CCTB%2001.12.docx" TargetMode="External"/><Relationship Id="rId394" Type="http://schemas.openxmlformats.org/officeDocument/2006/relationships/hyperlink" Target="T3%20Travaux%20de%20toiture%20CCTB%2001.12.docx" TargetMode="External"/><Relationship Id="rId408" Type="http://schemas.openxmlformats.org/officeDocument/2006/relationships/hyperlink" Target="T3%20Travaux%20de%20toiture%20CCTB%2001.12.docx" TargetMode="External"/><Relationship Id="rId212" Type="http://schemas.openxmlformats.org/officeDocument/2006/relationships/hyperlink" Target="T8%20Travaux%20de%20peinture%20_%20Traitements%20de%20surface%20CCTB%2001.12.docx" TargetMode="External"/><Relationship Id="rId254" Type="http://schemas.openxmlformats.org/officeDocument/2006/relationships/image" Target="media/image5.png"/><Relationship Id="rId49" Type="http://schemas.openxmlformats.org/officeDocument/2006/relationships/hyperlink" Target="T0%20Entreprise%20_%20Chantier%20CCTB%2001.12.docx" TargetMode="External"/><Relationship Id="rId114" Type="http://schemas.openxmlformats.org/officeDocument/2006/relationships/hyperlink" Target="T0%20Entreprise%20_%20Chantier%20CCTB%2001.12.docx" TargetMode="External"/><Relationship Id="rId296" Type="http://schemas.openxmlformats.org/officeDocument/2006/relationships/hyperlink" Target="T3%20Travaux%20de%20toiture%20CCTB%2001.12.docx" TargetMode="External"/><Relationship Id="rId461" Type="http://schemas.openxmlformats.org/officeDocument/2006/relationships/hyperlink" Target="T3%20Travaux%20de%20toiture%20CCTB%2001.12.docx" TargetMode="External"/><Relationship Id="rId517" Type="http://schemas.openxmlformats.org/officeDocument/2006/relationships/hyperlink" Target="http://rfcp.fr/" TargetMode="External"/><Relationship Id="rId559" Type="http://schemas.openxmlformats.org/officeDocument/2006/relationships/hyperlink" Target="T8%20Travaux%20de%20peinture%20_%20Traitements%20de%20surface%20CCTB%2001.12.docx" TargetMode="External"/><Relationship Id="rId60" Type="http://schemas.openxmlformats.org/officeDocument/2006/relationships/hyperlink" Target="T4%20Fermetures%20_%20Finitions%20ext%c3%a9rieures%20CCTB%2001.12.docx" TargetMode="External"/><Relationship Id="rId156" Type="http://schemas.openxmlformats.org/officeDocument/2006/relationships/hyperlink" Target="T8%20Travaux%20de%20peinture%20_%20Traitements%20de%20surface%20CCTB%2001.12.docx" TargetMode="External"/><Relationship Id="rId198" Type="http://schemas.openxmlformats.org/officeDocument/2006/relationships/hyperlink" Target="T8%20Travaux%20de%20peinture%20_%20Traitements%20de%20surface%20CCTB%2001.12.docx" TargetMode="External"/><Relationship Id="rId321" Type="http://schemas.openxmlformats.org/officeDocument/2006/relationships/hyperlink" Target="T8%20Travaux%20de%20peinture%20_%20Traitements%20de%20surface%20CCTB%2001.12.docx" TargetMode="External"/><Relationship Id="rId363" Type="http://schemas.openxmlformats.org/officeDocument/2006/relationships/hyperlink" Target="T1%20Terrassements%20_%20fondations%20CCTB%2001.12.docx" TargetMode="External"/><Relationship Id="rId419" Type="http://schemas.openxmlformats.org/officeDocument/2006/relationships/hyperlink" Target="T3%20Travaux%20de%20toiture%20CCTB%2001.12.docx" TargetMode="External"/><Relationship Id="rId223" Type="http://schemas.openxmlformats.org/officeDocument/2006/relationships/hyperlink" Target="T8%20Travaux%20de%20peinture%20_%20Traitements%20de%20surface%20CCTB%2001.12.docx" TargetMode="External"/><Relationship Id="rId430" Type="http://schemas.openxmlformats.org/officeDocument/2006/relationships/hyperlink" Target="T3%20Travaux%20de%20toiture%20CCTB%2001.12.docx" TargetMode="External"/><Relationship Id="rId18" Type="http://schemas.openxmlformats.org/officeDocument/2006/relationships/hyperlink" Target="T0%20Entreprise%20_%20Chantier%20CCTB%2001.12.docx" TargetMode="External"/><Relationship Id="rId265" Type="http://schemas.openxmlformats.org/officeDocument/2006/relationships/hyperlink" Target="T0%20Entreprise%20_%20Chantier%20CCTB%2001.12.docx" TargetMode="External"/><Relationship Id="rId472" Type="http://schemas.openxmlformats.org/officeDocument/2006/relationships/hyperlink" Target="T3%20Travaux%20de%20toiture%20CCTB%2001.12.docx" TargetMode="External"/><Relationship Id="rId528" Type="http://schemas.openxmlformats.org/officeDocument/2006/relationships/hyperlink" Target="T3%20Travaux%20de%20toiture%20CCTB%2001.12.docx" TargetMode="External"/><Relationship Id="rId125" Type="http://schemas.openxmlformats.org/officeDocument/2006/relationships/hyperlink" Target="T8%20Travaux%20de%20peinture%20_%20Traitements%20de%20surface%20CCTB%2001.12.docx" TargetMode="External"/><Relationship Id="rId167" Type="http://schemas.openxmlformats.org/officeDocument/2006/relationships/hyperlink" Target="T8%20Travaux%20de%20peinture%20_%20Traitements%20de%20surface%20CCTB%2001.12.docx" TargetMode="External"/><Relationship Id="rId332" Type="http://schemas.openxmlformats.org/officeDocument/2006/relationships/image" Target="media/image17.png"/><Relationship Id="rId374" Type="http://schemas.openxmlformats.org/officeDocument/2006/relationships/hyperlink" Target="T3%20Travaux%20de%20toiture%20CCTB%2001.12.docx" TargetMode="External"/><Relationship Id="rId71" Type="http://schemas.openxmlformats.org/officeDocument/2006/relationships/hyperlink" Target="T0%20Entreprise%20_%20Chantier%20CCTB%2001.12.docx" TargetMode="External"/><Relationship Id="rId234" Type="http://schemas.openxmlformats.org/officeDocument/2006/relationships/hyperlink" Target="T0%20Entreprise%20_%20Chantier%20CCTB%2001.12.docx" TargetMode="External"/><Relationship Id="rId2" Type="http://schemas.openxmlformats.org/officeDocument/2006/relationships/styles" Target="styles.xml"/><Relationship Id="rId29" Type="http://schemas.openxmlformats.org/officeDocument/2006/relationships/hyperlink" Target="T0%20Entreprise%20_%20Chantier%20CCTB%2001.12.docx" TargetMode="External"/><Relationship Id="rId276" Type="http://schemas.openxmlformats.org/officeDocument/2006/relationships/hyperlink" Target="T8%20Travaux%20de%20peinture%20_%20Traitements%20de%20surface%20CCTB%2001.12.docx" TargetMode="External"/><Relationship Id="rId441" Type="http://schemas.openxmlformats.org/officeDocument/2006/relationships/hyperlink" Target="T3%20Travaux%20de%20toiture%20CCTB%2001.12.docx" TargetMode="External"/><Relationship Id="rId483" Type="http://schemas.openxmlformats.org/officeDocument/2006/relationships/hyperlink" Target="T3%20Travaux%20de%20toiture%20CCTB%2001.12.docx" TargetMode="External"/><Relationship Id="rId539" Type="http://schemas.openxmlformats.org/officeDocument/2006/relationships/hyperlink" Target="T6%20HVAC%20-%20sanitaires%20CCTB%2001.12.docx" TargetMode="External"/><Relationship Id="rId40" Type="http://schemas.openxmlformats.org/officeDocument/2006/relationships/hyperlink" Target="T0%20Entreprise%20_%20Chantier%20CCTB%2001.12.docx" TargetMode="External"/><Relationship Id="rId136" Type="http://schemas.openxmlformats.org/officeDocument/2006/relationships/hyperlink" Target="T8%20Travaux%20de%20peinture%20_%20Traitements%20de%20surface%20CCTB%2001.12.docx" TargetMode="External"/><Relationship Id="rId178" Type="http://schemas.openxmlformats.org/officeDocument/2006/relationships/hyperlink" Target="T8%20Travaux%20de%20peinture%20_%20Traitements%20de%20surface%20CCTB%2001.12.docx" TargetMode="External"/><Relationship Id="rId301" Type="http://schemas.openxmlformats.org/officeDocument/2006/relationships/hyperlink" Target="T3%20Travaux%20de%20toiture%20CCTB%2001.12.docx" TargetMode="External"/><Relationship Id="rId343" Type="http://schemas.openxmlformats.org/officeDocument/2006/relationships/image" Target="media/image28.png"/><Relationship Id="rId550" Type="http://schemas.openxmlformats.org/officeDocument/2006/relationships/hyperlink" Target="T0%20Entreprise%20_%20Chantier%20CCTB%2001.12.docx" TargetMode="External"/><Relationship Id="rId82" Type="http://schemas.openxmlformats.org/officeDocument/2006/relationships/hyperlink" Target="T8%20Travaux%20de%20peinture%20_%20Traitements%20de%20surface%20CCTB%2001.12.docx" TargetMode="External"/><Relationship Id="rId203" Type="http://schemas.openxmlformats.org/officeDocument/2006/relationships/hyperlink" Target="T8%20Travaux%20de%20peinture%20_%20Traitements%20de%20surface%20CCTB%2001.12.docx" TargetMode="External"/><Relationship Id="rId385" Type="http://schemas.openxmlformats.org/officeDocument/2006/relationships/hyperlink" Target="T3%20Travaux%20de%20toiture%20CCTB%2001.12.docx" TargetMode="External"/><Relationship Id="rId245" Type="http://schemas.openxmlformats.org/officeDocument/2006/relationships/hyperlink" Target="T8%20Travaux%20de%20peinture%20_%20Traitements%20de%20surface%20CCTB%2001.12.docx" TargetMode="External"/><Relationship Id="rId287" Type="http://schemas.openxmlformats.org/officeDocument/2006/relationships/hyperlink" Target="T7%20Electricit%c3%a9%20CCTB%2001.12.docx" TargetMode="External"/><Relationship Id="rId410" Type="http://schemas.openxmlformats.org/officeDocument/2006/relationships/hyperlink" Target="T3%20Travaux%20de%20toiture%20CCTB%2001.12.docx" TargetMode="External"/><Relationship Id="rId452" Type="http://schemas.openxmlformats.org/officeDocument/2006/relationships/hyperlink" Target="T3%20Travaux%20de%20toiture%20CCTB%2001.12.docx" TargetMode="External"/><Relationship Id="rId494" Type="http://schemas.openxmlformats.org/officeDocument/2006/relationships/hyperlink" Target="T3%20Travaux%20de%20toiture%20CCTB%2001.12.docx" TargetMode="External"/><Relationship Id="rId508" Type="http://schemas.openxmlformats.org/officeDocument/2006/relationships/hyperlink" Target="T3%20Travaux%20de%20toiture%20CCTB%2001.12.docx" TargetMode="External"/><Relationship Id="rId105" Type="http://schemas.openxmlformats.org/officeDocument/2006/relationships/hyperlink" Target="T0%20Entreprise%20_%20Chantier%20CCTB%2001.12.docx" TargetMode="External"/><Relationship Id="rId147" Type="http://schemas.openxmlformats.org/officeDocument/2006/relationships/hyperlink" Target="T3%20Travaux%20de%20toiture%20CCTB%2001.12.docx" TargetMode="External"/><Relationship Id="rId312" Type="http://schemas.openxmlformats.org/officeDocument/2006/relationships/hyperlink" Target="T3%20Travaux%20de%20toiture%20CCTB%2001.12.docx" TargetMode="External"/><Relationship Id="rId354" Type="http://schemas.openxmlformats.org/officeDocument/2006/relationships/hyperlink" Target="T0%20Entreprise%20_%20Chantier%20CCTB%2001.12.docx" TargetMode="External"/><Relationship Id="rId51" Type="http://schemas.openxmlformats.org/officeDocument/2006/relationships/hyperlink" Target="T0%20Entreprise%20_%20Chantier%20CCTB%2001.12.docx" TargetMode="External"/><Relationship Id="rId93" Type="http://schemas.openxmlformats.org/officeDocument/2006/relationships/hyperlink" Target="T8%20Travaux%20de%20peinture%20_%20Traitements%20de%20surface%20CCTB%2001.12.docx" TargetMode="External"/><Relationship Id="rId189" Type="http://schemas.openxmlformats.org/officeDocument/2006/relationships/hyperlink" Target="T8%20Travaux%20de%20peinture%20_%20Traitements%20de%20surface%20CCTB%2001.12.docx" TargetMode="External"/><Relationship Id="rId396" Type="http://schemas.openxmlformats.org/officeDocument/2006/relationships/hyperlink" Target="T3%20Travaux%20de%20toiture%20CCTB%2001.12.docx" TargetMode="External"/><Relationship Id="rId561" Type="http://schemas.openxmlformats.org/officeDocument/2006/relationships/header" Target="header1.xml"/><Relationship Id="rId214" Type="http://schemas.openxmlformats.org/officeDocument/2006/relationships/hyperlink" Target="T8%20Travaux%20de%20peinture%20_%20Traitements%20de%20surface%20CCTB%2001.12.docx" TargetMode="External"/><Relationship Id="rId256" Type="http://schemas.openxmlformats.org/officeDocument/2006/relationships/image" Target="media/image6.png"/><Relationship Id="rId298" Type="http://schemas.openxmlformats.org/officeDocument/2006/relationships/hyperlink" Target="T7%20Electricit%c3%a9%20CCTB%2001.12.docx" TargetMode="External"/><Relationship Id="rId421" Type="http://schemas.openxmlformats.org/officeDocument/2006/relationships/hyperlink" Target="T3%20Travaux%20de%20toiture%20CCTB%2001.12.docx" TargetMode="External"/><Relationship Id="rId463" Type="http://schemas.openxmlformats.org/officeDocument/2006/relationships/hyperlink" Target="T3%20Travaux%20de%20toiture%20CCTB%2001.12.docx" TargetMode="External"/><Relationship Id="rId519" Type="http://schemas.openxmlformats.org/officeDocument/2006/relationships/hyperlink" Target="T0%20Entreprise%20_%20Chantier%20CCTB%2001.12.docx" TargetMode="External"/><Relationship Id="rId116" Type="http://schemas.openxmlformats.org/officeDocument/2006/relationships/hyperlink" Target="T0%20Entreprise%20_%20Chantier%20CCTB%2001.12.docx" TargetMode="External"/><Relationship Id="rId158" Type="http://schemas.openxmlformats.org/officeDocument/2006/relationships/hyperlink" Target="T8%20Travaux%20de%20peinture%20_%20Traitements%20de%20surface%20CCTB%2001.12.docx" TargetMode="External"/><Relationship Id="rId323" Type="http://schemas.openxmlformats.org/officeDocument/2006/relationships/hyperlink" Target="T3%20Travaux%20de%20toiture%20CCTB%2001.12.docx" TargetMode="External"/><Relationship Id="rId530" Type="http://schemas.openxmlformats.org/officeDocument/2006/relationships/hyperlink" Target="T0%20Entreprise%20_%20Chantier%20CCTB%2001.12.docx" TargetMode="External"/><Relationship Id="rId20" Type="http://schemas.openxmlformats.org/officeDocument/2006/relationships/hyperlink" Target="T0%20Entreprise%20_%20Chantier%20CCTB%2001.12.docx" TargetMode="External"/><Relationship Id="rId62" Type="http://schemas.openxmlformats.org/officeDocument/2006/relationships/hyperlink" Target="T8%20Travaux%20de%20peinture%20_%20Traitements%20de%20surface%20CCTB%2001.12.docx" TargetMode="External"/><Relationship Id="rId365" Type="http://schemas.openxmlformats.org/officeDocument/2006/relationships/hyperlink" Target="T3%20Travaux%20de%20toiture%20CCTB%2001.12.docx" TargetMode="External"/><Relationship Id="rId225" Type="http://schemas.openxmlformats.org/officeDocument/2006/relationships/hyperlink" Target="T8%20Travaux%20de%20peinture%20_%20Traitements%20de%20surface%20CCTB%2001.12.docx" TargetMode="External"/><Relationship Id="rId267" Type="http://schemas.openxmlformats.org/officeDocument/2006/relationships/hyperlink" Target="http://www.normes.be/feu" TargetMode="External"/><Relationship Id="rId432" Type="http://schemas.openxmlformats.org/officeDocument/2006/relationships/hyperlink" Target="T3%20Travaux%20de%20toiture%20CCTB%2001.12.docx" TargetMode="External"/><Relationship Id="rId474" Type="http://schemas.openxmlformats.org/officeDocument/2006/relationships/hyperlink" Target="T3%20Travaux%20de%20toiture%20CCTB%2001.12.docx" TargetMode="External"/><Relationship Id="rId127" Type="http://schemas.openxmlformats.org/officeDocument/2006/relationships/hyperlink" Target="T0%20Entreprise%20_%20Chantier%20CCTB%2001.12.docx" TargetMode="External"/><Relationship Id="rId31" Type="http://schemas.openxmlformats.org/officeDocument/2006/relationships/hyperlink" Target="T4%20Fermetures%20_%20Finitions%20ext%c3%a9rieures%20CCTB%2001.12.docx" TargetMode="External"/><Relationship Id="rId73" Type="http://schemas.openxmlformats.org/officeDocument/2006/relationships/hyperlink" Target="T1%20Terrassements%20_%20fondations%20CCTB%2001.12.docx" TargetMode="External"/><Relationship Id="rId169" Type="http://schemas.openxmlformats.org/officeDocument/2006/relationships/hyperlink" Target="T8%20Travaux%20de%20peinture%20_%20Traitements%20de%20surface%20CCTB%2001.12.docx" TargetMode="External"/><Relationship Id="rId334" Type="http://schemas.openxmlformats.org/officeDocument/2006/relationships/image" Target="media/image19.png"/><Relationship Id="rId376" Type="http://schemas.openxmlformats.org/officeDocument/2006/relationships/hyperlink" Target="T3%20Travaux%20de%20toiture%20CCTB%2001.12.docx" TargetMode="External"/><Relationship Id="rId541" Type="http://schemas.openxmlformats.org/officeDocument/2006/relationships/hyperlink" Target="T0%20Entreprise%20_%20Chantier%20CCTB%2001.12.docx" TargetMode="External"/><Relationship Id="rId4" Type="http://schemas.openxmlformats.org/officeDocument/2006/relationships/webSettings" Target="webSettings.xml"/><Relationship Id="rId180" Type="http://schemas.openxmlformats.org/officeDocument/2006/relationships/hyperlink" Target="T8%20Travaux%20de%20peinture%20_%20Traitements%20de%20surface%20CCTB%2001.12.docx" TargetMode="External"/><Relationship Id="rId236" Type="http://schemas.openxmlformats.org/officeDocument/2006/relationships/hyperlink" Target="T0%20Entreprise%20_%20Chantier%20CCTB%2001.12.docx" TargetMode="External"/><Relationship Id="rId278" Type="http://schemas.openxmlformats.org/officeDocument/2006/relationships/hyperlink" Target="T7%20Electricit%c3%a9%20CCTB%2001.12.docx" TargetMode="External"/><Relationship Id="rId401" Type="http://schemas.openxmlformats.org/officeDocument/2006/relationships/hyperlink" Target="T3%20Travaux%20de%20toiture%20CCTB%2001.12.docx" TargetMode="External"/><Relationship Id="rId443" Type="http://schemas.openxmlformats.org/officeDocument/2006/relationships/hyperlink" Target="T3%20Travaux%20de%20toiture%20CCTB%2001.12.docx" TargetMode="External"/><Relationship Id="rId303" Type="http://schemas.openxmlformats.org/officeDocument/2006/relationships/hyperlink" Target="T7%20Electricit%c3%a9%20CCTB%2001.12.docx" TargetMode="External"/><Relationship Id="rId485" Type="http://schemas.openxmlformats.org/officeDocument/2006/relationships/hyperlink" Target="T3%20Travaux%20de%20toiture%20CCTB%2001.12.docx" TargetMode="External"/><Relationship Id="rId42" Type="http://schemas.openxmlformats.org/officeDocument/2006/relationships/hyperlink" Target="T0%20Entreprise%20_%20Chantier%20CCTB%2001.12.docx" TargetMode="External"/><Relationship Id="rId84" Type="http://schemas.openxmlformats.org/officeDocument/2006/relationships/hyperlink" Target="T8%20Travaux%20de%20peinture%20_%20Traitements%20de%20surface%20CCTB%2001.12.docx" TargetMode="External"/><Relationship Id="rId138" Type="http://schemas.openxmlformats.org/officeDocument/2006/relationships/hyperlink" Target="T8%20Travaux%20de%20peinture%20_%20Traitements%20de%20surface%20CCTB%2001.12.docx" TargetMode="External"/><Relationship Id="rId345" Type="http://schemas.openxmlformats.org/officeDocument/2006/relationships/hyperlink" Target="T0%20Entreprise%20_%20Chantier%20CCTB%2001.12.docx" TargetMode="External"/><Relationship Id="rId387" Type="http://schemas.openxmlformats.org/officeDocument/2006/relationships/hyperlink" Target="T3%20Travaux%20de%20toiture%20CCTB%2001.12.docx" TargetMode="External"/><Relationship Id="rId510" Type="http://schemas.openxmlformats.org/officeDocument/2006/relationships/hyperlink" Target="T3%20Travaux%20de%20toiture%20CCTB%2001.12.docx" TargetMode="External"/><Relationship Id="rId552" Type="http://schemas.openxmlformats.org/officeDocument/2006/relationships/hyperlink" Target="T0%20Entreprise%20_%20Chantier%20CCTB%2001.12.docx" TargetMode="External"/><Relationship Id="rId191" Type="http://schemas.openxmlformats.org/officeDocument/2006/relationships/hyperlink" Target="T8%20Travaux%20de%20peinture%20_%20Traitements%20de%20surface%20CCTB%2001.12.docx" TargetMode="External"/><Relationship Id="rId205" Type="http://schemas.openxmlformats.org/officeDocument/2006/relationships/hyperlink" Target="T8%20Travaux%20de%20peinture%20_%20Traitements%20de%20surface%20CCTB%2001.12.docx" TargetMode="External"/><Relationship Id="rId247" Type="http://schemas.openxmlformats.org/officeDocument/2006/relationships/hyperlink" Target="T0%20Entreprise%20_%20Chantier%20CCTB%2001.12.docx" TargetMode="External"/><Relationship Id="rId412" Type="http://schemas.openxmlformats.org/officeDocument/2006/relationships/hyperlink" Target="T3%20Travaux%20de%20toiture%20CCTB%2001.12.docx" TargetMode="External"/><Relationship Id="rId107" Type="http://schemas.openxmlformats.org/officeDocument/2006/relationships/hyperlink" Target="http://cnac.constructiv.be/" TargetMode="External"/><Relationship Id="rId289" Type="http://schemas.openxmlformats.org/officeDocument/2006/relationships/hyperlink" Target="T3%20Travaux%20de%20toiture%20CCTB%2001.12.docx" TargetMode="External"/><Relationship Id="rId454" Type="http://schemas.openxmlformats.org/officeDocument/2006/relationships/hyperlink" Target="T3%20Travaux%20de%20toiture%20CCTB%2001.12.docx" TargetMode="External"/><Relationship Id="rId496" Type="http://schemas.openxmlformats.org/officeDocument/2006/relationships/hyperlink" Target="T3%20Travaux%20de%20toiture%20CCTB%2001.12.docx" TargetMode="External"/><Relationship Id="rId11" Type="http://schemas.openxmlformats.org/officeDocument/2006/relationships/hyperlink" Target="T7%20Electricit%c3%a9%20CCTB%2001.12.docx" TargetMode="External"/><Relationship Id="rId53" Type="http://schemas.openxmlformats.org/officeDocument/2006/relationships/hyperlink" Target="T0%20Entreprise%20_%20Chantier%20CCTB%2001.12.docx" TargetMode="External"/><Relationship Id="rId149" Type="http://schemas.openxmlformats.org/officeDocument/2006/relationships/hyperlink" Target="T3%20Travaux%20de%20toiture%20CCTB%2001.12.docx" TargetMode="External"/><Relationship Id="rId314" Type="http://schemas.openxmlformats.org/officeDocument/2006/relationships/image" Target="media/image9.png"/><Relationship Id="rId356" Type="http://schemas.openxmlformats.org/officeDocument/2006/relationships/hyperlink" Target="T8%20Travaux%20de%20peinture%20_%20Traitements%20de%20surface%20CCTB%2001.12.docx" TargetMode="External"/><Relationship Id="rId398" Type="http://schemas.openxmlformats.org/officeDocument/2006/relationships/hyperlink" Target="T3%20Travaux%20de%20toiture%20CCTB%2001.12.docx" TargetMode="External"/><Relationship Id="rId521" Type="http://schemas.openxmlformats.org/officeDocument/2006/relationships/hyperlink" Target="T4%20Fermetures%20_%20Finitions%20ext%c3%a9rieures%20CCTB%2001.12.docx" TargetMode="External"/><Relationship Id="rId563" Type="http://schemas.openxmlformats.org/officeDocument/2006/relationships/fontTable" Target="fontTable.xml"/><Relationship Id="rId95" Type="http://schemas.openxmlformats.org/officeDocument/2006/relationships/hyperlink" Target="T4%20Fermetures%20_%20Finitions%20ext%c3%a9rieures%20CCTB%2001.12.docx" TargetMode="External"/><Relationship Id="rId160" Type="http://schemas.openxmlformats.org/officeDocument/2006/relationships/hyperlink" Target="T8%20Travaux%20de%20peinture%20_%20Traitements%20de%20surface%20CCTB%2001.12.docx" TargetMode="External"/><Relationship Id="rId216" Type="http://schemas.openxmlformats.org/officeDocument/2006/relationships/hyperlink" Target="T8%20Travaux%20de%20peinture%20_%20Traitements%20de%20surface%20CCTB%2001.12.docx" TargetMode="External"/><Relationship Id="rId423" Type="http://schemas.openxmlformats.org/officeDocument/2006/relationships/hyperlink" Target="T3%20Travaux%20de%20toiture%20CCTB%2001.12.docx" TargetMode="External"/><Relationship Id="rId258" Type="http://schemas.openxmlformats.org/officeDocument/2006/relationships/hyperlink" Target="T0%20Entreprise%20_%20Chantier%20CCTB%2001.12.docx" TargetMode="External"/><Relationship Id="rId465" Type="http://schemas.openxmlformats.org/officeDocument/2006/relationships/hyperlink" Target="T3%20Travaux%20de%20toiture%20CCTB%2001.12.docx" TargetMode="External"/><Relationship Id="rId22" Type="http://schemas.openxmlformats.org/officeDocument/2006/relationships/hyperlink" Target="T5%20Fermetures%20_%20Finitions%20int%c3%a9rieures%20CCTB%2001.12.docx" TargetMode="External"/><Relationship Id="rId64" Type="http://schemas.openxmlformats.org/officeDocument/2006/relationships/hyperlink" Target="TA%20Clauses%20administratives%20CCTB%2001.12.docx" TargetMode="External"/><Relationship Id="rId118" Type="http://schemas.openxmlformats.org/officeDocument/2006/relationships/hyperlink" Target="T0%20Entreprise%20_%20Chantier%20CCTB%2001.12.docx" TargetMode="External"/><Relationship Id="rId325" Type="http://schemas.openxmlformats.org/officeDocument/2006/relationships/hyperlink" Target="T3%20Travaux%20de%20toiture%20CCTB%2001.12.docx" TargetMode="External"/><Relationship Id="rId367" Type="http://schemas.openxmlformats.org/officeDocument/2006/relationships/hyperlink" Target="T3%20Travaux%20de%20toiture%20CCTB%2001.12.docx" TargetMode="External"/><Relationship Id="rId532" Type="http://schemas.openxmlformats.org/officeDocument/2006/relationships/hyperlink" Target="T0%20Entreprise%20_%20Chantier%20CCTB%2001.12.docx" TargetMode="External"/><Relationship Id="rId171" Type="http://schemas.openxmlformats.org/officeDocument/2006/relationships/hyperlink" Target="T8%20Travaux%20de%20peinture%20_%20Traitements%20de%20surface%20CCTB%2001.12.docx" TargetMode="External"/><Relationship Id="rId227" Type="http://schemas.openxmlformats.org/officeDocument/2006/relationships/hyperlink" Target="T8%20Travaux%20de%20peinture%20_%20Traitements%20de%20surface%20CCTB%2001.12.docx" TargetMode="External"/><Relationship Id="rId269" Type="http://schemas.openxmlformats.org/officeDocument/2006/relationships/hyperlink" Target="T8%20Travaux%20de%20peinture%20_%20Traitements%20de%20surface%20CCTB%2001.12.docx" TargetMode="External"/><Relationship Id="rId434" Type="http://schemas.openxmlformats.org/officeDocument/2006/relationships/hyperlink" Target="T3%20Travaux%20de%20toiture%20CCTB%2001.12.docx" TargetMode="External"/><Relationship Id="rId476" Type="http://schemas.openxmlformats.org/officeDocument/2006/relationships/hyperlink" Target="T3%20Travaux%20de%20toiture%20CCTB%2001.12.docx" TargetMode="External"/><Relationship Id="rId33" Type="http://schemas.openxmlformats.org/officeDocument/2006/relationships/hyperlink" Target="T0%20Entreprise%20_%20Chantier%20CCTB%2001.12.docx" TargetMode="External"/><Relationship Id="rId129" Type="http://schemas.openxmlformats.org/officeDocument/2006/relationships/hyperlink" Target="T8%20Travaux%20de%20peinture%20_%20Traitements%20de%20surface%20CCTB%2001.12.docx" TargetMode="External"/><Relationship Id="rId280" Type="http://schemas.openxmlformats.org/officeDocument/2006/relationships/hyperlink" Target="T7%20Electricit%c3%a9%20CCTB%2001.12.docx" TargetMode="External"/><Relationship Id="rId336" Type="http://schemas.openxmlformats.org/officeDocument/2006/relationships/image" Target="media/image21.jpg"/><Relationship Id="rId501" Type="http://schemas.openxmlformats.org/officeDocument/2006/relationships/hyperlink" Target="T3%20Travaux%20de%20toiture%20CCTB%2001.12.docx" TargetMode="External"/><Relationship Id="rId543" Type="http://schemas.openxmlformats.org/officeDocument/2006/relationships/hyperlink" Target="T6%20HVAC%20-%20sanitaires%20CCTB%2001.12.docx" TargetMode="External"/><Relationship Id="rId75" Type="http://schemas.openxmlformats.org/officeDocument/2006/relationships/hyperlink" Target="T1%20Terrassements%20_%20fondations%20CCTB%2001.12.docx" TargetMode="External"/><Relationship Id="rId140" Type="http://schemas.openxmlformats.org/officeDocument/2006/relationships/hyperlink" Target="T8%20Travaux%20de%20peinture%20_%20Traitements%20de%20surface%20CCTB%2001.12.docx" TargetMode="External"/><Relationship Id="rId182" Type="http://schemas.openxmlformats.org/officeDocument/2006/relationships/hyperlink" Target="T8%20Travaux%20de%20peinture%20_%20Traitements%20de%20surface%20CCTB%2001.12.docx" TargetMode="External"/><Relationship Id="rId378" Type="http://schemas.openxmlformats.org/officeDocument/2006/relationships/hyperlink" Target="T3%20Travaux%20de%20toiture%20CCTB%2001.12.docx" TargetMode="External"/><Relationship Id="rId403" Type="http://schemas.openxmlformats.org/officeDocument/2006/relationships/hyperlink" Target="T3%20Travaux%20de%20toiture%20CCTB%2001.12.docx" TargetMode="External"/><Relationship Id="rId6" Type="http://schemas.openxmlformats.org/officeDocument/2006/relationships/endnotes" Target="endnotes.xml"/><Relationship Id="rId238" Type="http://schemas.openxmlformats.org/officeDocument/2006/relationships/hyperlink" Target="T0%20Entreprise%20_%20Chantier%20CCTB%2001.12.docx" TargetMode="External"/><Relationship Id="rId445" Type="http://schemas.openxmlformats.org/officeDocument/2006/relationships/hyperlink" Target="T3%20Travaux%20de%20toiture%20CCTB%2001.12.docx" TargetMode="External"/><Relationship Id="rId487" Type="http://schemas.openxmlformats.org/officeDocument/2006/relationships/hyperlink" Target="T3%20Travaux%20de%20toiture%20CCTB%2001.12.docx" TargetMode="External"/><Relationship Id="rId291" Type="http://schemas.openxmlformats.org/officeDocument/2006/relationships/hyperlink" Target="T7%20Electricit%c3%a9%20CCTB%2001.12.docx" TargetMode="External"/><Relationship Id="rId305" Type="http://schemas.openxmlformats.org/officeDocument/2006/relationships/hyperlink" Target="T8%20Travaux%20de%20peinture%20_%20Traitements%20de%20surface%20CCTB%2001.12.docx" TargetMode="External"/><Relationship Id="rId347" Type="http://schemas.openxmlformats.org/officeDocument/2006/relationships/hyperlink" Target="T0%20Entreprise%20_%20Chantier%20CCTB%2001.12.docx" TargetMode="External"/><Relationship Id="rId512" Type="http://schemas.openxmlformats.org/officeDocument/2006/relationships/hyperlink" Target="T3%20Travaux%20de%20toiture%20CCTB%2001.12.docx" TargetMode="External"/><Relationship Id="rId44" Type="http://schemas.openxmlformats.org/officeDocument/2006/relationships/hyperlink" Target="T0%20Entreprise%20_%20Chantier%20CCTB%2001.12.docx" TargetMode="External"/><Relationship Id="rId86" Type="http://schemas.openxmlformats.org/officeDocument/2006/relationships/hyperlink" Target="T8%20Travaux%20de%20peinture%20_%20Traitements%20de%20surface%20CCTB%2001.12.docx" TargetMode="External"/><Relationship Id="rId151" Type="http://schemas.openxmlformats.org/officeDocument/2006/relationships/hyperlink" Target="T3%20Travaux%20de%20toiture%20CCTB%2001.12.docx" TargetMode="External"/><Relationship Id="rId389" Type="http://schemas.openxmlformats.org/officeDocument/2006/relationships/hyperlink" Target="T3%20Travaux%20de%20toiture%20CCTB%2001.12.docx" TargetMode="External"/><Relationship Id="rId554" Type="http://schemas.openxmlformats.org/officeDocument/2006/relationships/hyperlink" Target="T0%20Entreprise%20_%20Chantier%20CCTB%2001.12.docx" TargetMode="External"/><Relationship Id="rId193" Type="http://schemas.openxmlformats.org/officeDocument/2006/relationships/hyperlink" Target="T8%20Travaux%20de%20peinture%20_%20Traitements%20de%20surface%20CCTB%2001.12.docx" TargetMode="External"/><Relationship Id="rId207" Type="http://schemas.openxmlformats.org/officeDocument/2006/relationships/hyperlink" Target="T8%20Travaux%20de%20peinture%20_%20Traitements%20de%20surface%20CCTB%2001.12.docx" TargetMode="External"/><Relationship Id="rId249" Type="http://schemas.openxmlformats.org/officeDocument/2006/relationships/hyperlink" Target="T0%20Entreprise%20_%20Chantier%20CCTB%2001.12.docx" TargetMode="External"/><Relationship Id="rId414" Type="http://schemas.openxmlformats.org/officeDocument/2006/relationships/hyperlink" Target="T3%20Travaux%20de%20toiture%20CCTB%2001.12.docx" TargetMode="External"/><Relationship Id="rId456" Type="http://schemas.openxmlformats.org/officeDocument/2006/relationships/hyperlink" Target="T3%20Travaux%20de%20toiture%20CCTB%2001.12.docx" TargetMode="External"/><Relationship Id="rId498" Type="http://schemas.openxmlformats.org/officeDocument/2006/relationships/hyperlink" Target="T3%20Travaux%20de%20toiture%20CCTB%2001.12.docx" TargetMode="External"/><Relationship Id="rId13" Type="http://schemas.openxmlformats.org/officeDocument/2006/relationships/hyperlink" Target="T5%20Fermetures%20_%20Finitions%20int%c3%a9rieures%20CCTB%2001.12.docx" TargetMode="External"/><Relationship Id="rId109" Type="http://schemas.openxmlformats.org/officeDocument/2006/relationships/hyperlink" Target="T5%20Fermetures%20_%20Finitions%20int%c3%a9rieures%20CCTB%2001.12.docx" TargetMode="External"/><Relationship Id="rId260" Type="http://schemas.openxmlformats.org/officeDocument/2006/relationships/hyperlink" Target="T0%20Entreprise%20_%20Chantier%20CCTB%2001.12.docx" TargetMode="External"/><Relationship Id="rId316" Type="http://schemas.openxmlformats.org/officeDocument/2006/relationships/image" Target="media/image11.png"/><Relationship Id="rId523" Type="http://schemas.openxmlformats.org/officeDocument/2006/relationships/hyperlink" Target="T5%20Fermetures%20_%20Finitions%20int%c3%a9rieures%20CCTB%2001.12.docx" TargetMode="External"/><Relationship Id="rId55" Type="http://schemas.openxmlformats.org/officeDocument/2006/relationships/hyperlink" Target="T0%20Entreprise%20_%20Chantier%20CCTB%2001.12.docx" TargetMode="External"/><Relationship Id="rId97" Type="http://schemas.openxmlformats.org/officeDocument/2006/relationships/hyperlink" Target="T4%20Fermetures%20_%20Finitions%20ext%c3%a9rieures%20CCTB%2001.12.docx" TargetMode="External"/><Relationship Id="rId120" Type="http://schemas.openxmlformats.org/officeDocument/2006/relationships/hyperlink" Target="T0%20Entreprise%20_%20Chantier%20CCTB%2001.12.docx" TargetMode="External"/><Relationship Id="rId358" Type="http://schemas.openxmlformats.org/officeDocument/2006/relationships/hyperlink" Target="T1%20Terrassements%20_%20fondations%20CCTB%2001.12.docx" TargetMode="External"/><Relationship Id="rId162" Type="http://schemas.openxmlformats.org/officeDocument/2006/relationships/hyperlink" Target="T8%20Travaux%20de%20peinture%20_%20Traitements%20de%20surface%20CCTB%2001.12.docx" TargetMode="External"/><Relationship Id="rId218" Type="http://schemas.openxmlformats.org/officeDocument/2006/relationships/hyperlink" Target="T8%20Travaux%20de%20peinture%20_%20Traitements%20de%20surface%20CCTB%2001.12.docx" TargetMode="External"/><Relationship Id="rId425" Type="http://schemas.openxmlformats.org/officeDocument/2006/relationships/hyperlink" Target="T3%20Travaux%20de%20toiture%20CCTB%2001.12.docx" TargetMode="External"/><Relationship Id="rId467" Type="http://schemas.openxmlformats.org/officeDocument/2006/relationships/hyperlink" Target="T3%20Travaux%20de%20toiture%20CCTB%2001.12.docx" TargetMode="External"/><Relationship Id="rId271" Type="http://schemas.openxmlformats.org/officeDocument/2006/relationships/hyperlink" Target="T3%20Travaux%20de%20toiture%20CCTB%2001.12.docx" TargetMode="External"/><Relationship Id="rId24" Type="http://schemas.openxmlformats.org/officeDocument/2006/relationships/hyperlink" Target="T0%20Entreprise%20_%20Chantier%20CCTB%2001.12.docx" TargetMode="External"/><Relationship Id="rId66" Type="http://schemas.openxmlformats.org/officeDocument/2006/relationships/hyperlink" Target="TA%20Clauses%20administratives%20CCTB%2001.12.docx" TargetMode="External"/><Relationship Id="rId131" Type="http://schemas.openxmlformats.org/officeDocument/2006/relationships/hyperlink" Target="T8%20Travaux%20de%20peinture%20_%20Traitements%20de%20surface%20CCTB%2001.12.docx" TargetMode="External"/><Relationship Id="rId327" Type="http://schemas.openxmlformats.org/officeDocument/2006/relationships/image" Target="media/image12.png"/><Relationship Id="rId369" Type="http://schemas.openxmlformats.org/officeDocument/2006/relationships/hyperlink" Target="T4%20Fermetures%20_%20Finitions%20ext%c3%a9rieures%20CCTB%2001.12.docx" TargetMode="External"/><Relationship Id="rId534" Type="http://schemas.openxmlformats.org/officeDocument/2006/relationships/hyperlink" Target="T0%20Entreprise%20_%20Chantier%20CCTB%2001.12.docx" TargetMode="External"/><Relationship Id="rId173" Type="http://schemas.openxmlformats.org/officeDocument/2006/relationships/hyperlink" Target="T8%20Travaux%20de%20peinture%20_%20Traitements%20de%20surface%20CCTB%2001.12.docx" TargetMode="External"/><Relationship Id="rId229" Type="http://schemas.openxmlformats.org/officeDocument/2006/relationships/hyperlink" Target="T8%20Travaux%20de%20peinture%20_%20Traitements%20de%20surface%20CCTB%2001.12.docx" TargetMode="External"/><Relationship Id="rId380" Type="http://schemas.openxmlformats.org/officeDocument/2006/relationships/hyperlink" Target="T3%20Travaux%20de%20toiture%20CCTB%2001.12.docx" TargetMode="External"/><Relationship Id="rId436" Type="http://schemas.openxmlformats.org/officeDocument/2006/relationships/hyperlink" Target="T3%20Travaux%20de%20toiture%20CCTB%2001.12.docx" TargetMode="External"/><Relationship Id="rId240" Type="http://schemas.openxmlformats.org/officeDocument/2006/relationships/hyperlink" Target="T0%20Entreprise%20_%20Chantier%20CCTB%2001.12.docx" TargetMode="External"/><Relationship Id="rId478" Type="http://schemas.openxmlformats.org/officeDocument/2006/relationships/hyperlink" Target="T3%20Travaux%20de%20toiture%20CCTB%2001.12.docx" TargetMode="External"/><Relationship Id="rId35" Type="http://schemas.openxmlformats.org/officeDocument/2006/relationships/hyperlink" Target="T4%20Fermetures%20_%20Finitions%20ext%c3%a9rieures%20CCTB%2001.12.docx" TargetMode="External"/><Relationship Id="rId77" Type="http://schemas.openxmlformats.org/officeDocument/2006/relationships/hyperlink" Target="T8%20Travaux%20de%20peinture%20_%20Traitements%20de%20surface%20CCTB%2001.12.docx" TargetMode="External"/><Relationship Id="rId100" Type="http://schemas.openxmlformats.org/officeDocument/2006/relationships/hyperlink" Target="T5%20Fermetures%20_%20Finitions%20int%c3%a9rieures%20CCTB%2001.12.docx" TargetMode="External"/><Relationship Id="rId282" Type="http://schemas.openxmlformats.org/officeDocument/2006/relationships/hyperlink" Target="T5%20Fermetures%20_%20Finitions%20int%c3%a9rieures%20CCTB%2001.12.docx" TargetMode="External"/><Relationship Id="rId338" Type="http://schemas.openxmlformats.org/officeDocument/2006/relationships/image" Target="media/image23.jpg"/><Relationship Id="rId503" Type="http://schemas.openxmlformats.org/officeDocument/2006/relationships/hyperlink" Target="T3%20Travaux%20de%20toiture%20CCTB%2001.12.docx" TargetMode="External"/><Relationship Id="rId545" Type="http://schemas.openxmlformats.org/officeDocument/2006/relationships/hyperlink" Target="T6%20HVAC%20-%20sanitaires%20CCTB%2001.12.docx" TargetMode="External"/><Relationship Id="rId8" Type="http://schemas.openxmlformats.org/officeDocument/2006/relationships/hyperlink" Target="T0%20Entreprise%20_%20Chantier%20CCTB%2001.12.docx" TargetMode="External"/><Relationship Id="rId142" Type="http://schemas.openxmlformats.org/officeDocument/2006/relationships/hyperlink" Target="T8%20Travaux%20de%20peinture%20_%20Traitements%20de%20surface%20CCTB%2001.12.docx" TargetMode="External"/><Relationship Id="rId184" Type="http://schemas.openxmlformats.org/officeDocument/2006/relationships/hyperlink" Target="T0%20Entreprise%20_%20Chantier%20CCTB%2001.12.docx" TargetMode="External"/><Relationship Id="rId391" Type="http://schemas.openxmlformats.org/officeDocument/2006/relationships/hyperlink" Target="T3%20Travaux%20de%20toiture%20CCTB%2001.12.docx" TargetMode="External"/><Relationship Id="rId405" Type="http://schemas.openxmlformats.org/officeDocument/2006/relationships/hyperlink" Target="T3%20Travaux%20de%20toiture%20CCTB%2001.12.docx" TargetMode="External"/><Relationship Id="rId447" Type="http://schemas.openxmlformats.org/officeDocument/2006/relationships/hyperlink" Target="T3%20Travaux%20de%20toiture%20CCTB%2001.12.docx" TargetMode="External"/><Relationship Id="rId251" Type="http://schemas.openxmlformats.org/officeDocument/2006/relationships/image" Target="media/image3.png"/><Relationship Id="rId489" Type="http://schemas.openxmlformats.org/officeDocument/2006/relationships/hyperlink" Target="T3%20Travaux%20de%20toiture%20CCTB%2001.12.docx" TargetMode="External"/><Relationship Id="rId46" Type="http://schemas.openxmlformats.org/officeDocument/2006/relationships/hyperlink" Target="T0%20Entreprise%20_%20Chantier%20CCTB%2001.12.docx" TargetMode="External"/><Relationship Id="rId293" Type="http://schemas.openxmlformats.org/officeDocument/2006/relationships/hyperlink" Target="T7%20Electricit%c3%a9%20CCTB%2001.12.docx" TargetMode="External"/><Relationship Id="rId307" Type="http://schemas.openxmlformats.org/officeDocument/2006/relationships/hyperlink" Target="T6%20HVAC%20-%20sanitaires%20CCTB%2001.12.docx" TargetMode="External"/><Relationship Id="rId349" Type="http://schemas.openxmlformats.org/officeDocument/2006/relationships/hyperlink" Target="T0%20Entreprise%20_%20Chantier%20CCTB%2001.12.docx" TargetMode="External"/><Relationship Id="rId514" Type="http://schemas.openxmlformats.org/officeDocument/2006/relationships/hyperlink" Target="T3%20Travaux%20de%20toiture%20CCTB%2001.12.docx" TargetMode="External"/><Relationship Id="rId556" Type="http://schemas.openxmlformats.org/officeDocument/2006/relationships/hyperlink" Target="T0%20Entreprise%20_%20Chantier%20CCTB%2001.12.docx" TargetMode="External"/><Relationship Id="rId88" Type="http://schemas.openxmlformats.org/officeDocument/2006/relationships/hyperlink" Target="T8%20Travaux%20de%20peinture%20_%20Traitements%20de%20surface%20CCTB%2001.12.docx" TargetMode="External"/><Relationship Id="rId111" Type="http://schemas.openxmlformats.org/officeDocument/2006/relationships/hyperlink" Target="T3%20Travaux%20de%20toiture%20CCTB%2001.12.docx" TargetMode="External"/><Relationship Id="rId153" Type="http://schemas.openxmlformats.org/officeDocument/2006/relationships/hyperlink" Target="T3%20Travaux%20de%20toiture%20CCTB%2001.12.docx" TargetMode="External"/><Relationship Id="rId195" Type="http://schemas.openxmlformats.org/officeDocument/2006/relationships/hyperlink" Target="T8%20Travaux%20de%20peinture%20_%20Traitements%20de%20surface%20CCTB%2001.12.docx" TargetMode="External"/><Relationship Id="rId209" Type="http://schemas.openxmlformats.org/officeDocument/2006/relationships/hyperlink" Target="T8%20Travaux%20de%20peinture%20_%20Traitements%20de%20surface%20CCTB%2001.12.docx" TargetMode="External"/><Relationship Id="rId360" Type="http://schemas.openxmlformats.org/officeDocument/2006/relationships/hyperlink" Target="T0%20Entreprise%20_%20Chantier%20CCTB%2001.12.docx" TargetMode="External"/><Relationship Id="rId416" Type="http://schemas.openxmlformats.org/officeDocument/2006/relationships/hyperlink" Target="T3%20Travaux%20de%20toiture%20CCTB%2001.12.docx" TargetMode="External"/><Relationship Id="rId220" Type="http://schemas.openxmlformats.org/officeDocument/2006/relationships/hyperlink" Target="T8%20Travaux%20de%20peinture%20_%20Traitements%20de%20surface%20CCTB%2001.12.docx" TargetMode="External"/><Relationship Id="rId458" Type="http://schemas.openxmlformats.org/officeDocument/2006/relationships/hyperlink" Target="T0%20Entreprise%20_%20Chantier%20CCTB%2001.12.docx" TargetMode="External"/><Relationship Id="rId15" Type="http://schemas.openxmlformats.org/officeDocument/2006/relationships/hyperlink" Target="T4%20Fermetures%20_%20Finitions%20ext%c3%a9rieures%20CCTB%2001.12.docx" TargetMode="External"/><Relationship Id="rId57" Type="http://schemas.openxmlformats.org/officeDocument/2006/relationships/hyperlink" Target="T0%20Entreprise%20_%20Chantier%20CCTB%2001.12.docx" TargetMode="External"/><Relationship Id="rId262" Type="http://schemas.openxmlformats.org/officeDocument/2006/relationships/image" Target="media/image7.jpg"/><Relationship Id="rId318" Type="http://schemas.openxmlformats.org/officeDocument/2006/relationships/hyperlink" Target="T0%20Entreprise%20_%20Chantier%20CCTB%2001.12.docx" TargetMode="External"/><Relationship Id="rId525" Type="http://schemas.openxmlformats.org/officeDocument/2006/relationships/hyperlink" Target="T8%20Travaux%20de%20peinture%20_%20Traitements%20de%20surface%20CCTB%2001.12.docx" TargetMode="External"/><Relationship Id="rId99" Type="http://schemas.openxmlformats.org/officeDocument/2006/relationships/hyperlink" Target="T4%20Fermetures%20_%20Finitions%20ext%c3%a9rieures%20CCTB%2001.12.docx" TargetMode="External"/><Relationship Id="rId122" Type="http://schemas.openxmlformats.org/officeDocument/2006/relationships/hyperlink" Target="T0%20Entreprise%20_%20Chantier%20CCTB%2001.12.docx" TargetMode="External"/><Relationship Id="rId164" Type="http://schemas.openxmlformats.org/officeDocument/2006/relationships/hyperlink" Target="T8%20Travaux%20de%20peinture%20_%20Traitements%20de%20surface%20CCTB%2001.12.docx" TargetMode="External"/><Relationship Id="rId371" Type="http://schemas.openxmlformats.org/officeDocument/2006/relationships/hyperlink" Target="T5%20Fermetures%20_%20Finitions%20int%c3%a9rieures%20CCTB%2001.12.docx" TargetMode="External"/><Relationship Id="rId427" Type="http://schemas.openxmlformats.org/officeDocument/2006/relationships/hyperlink" Target="T3%20Travaux%20de%20toiture%20CCTB%2001.12.docx" TargetMode="External"/><Relationship Id="rId469" Type="http://schemas.openxmlformats.org/officeDocument/2006/relationships/hyperlink" Target="T3%20Travaux%20de%20toiture%20CCTB%2001.12.docx" TargetMode="External"/><Relationship Id="rId26" Type="http://schemas.openxmlformats.org/officeDocument/2006/relationships/hyperlink" Target="T0%20Entreprise%20_%20Chantier%20CCTB%2001.12.docx" TargetMode="External"/><Relationship Id="rId231" Type="http://schemas.openxmlformats.org/officeDocument/2006/relationships/hyperlink" Target="T8%20Travaux%20de%20peinture%20_%20Traitements%20de%20surface%20CCTB%2001.12.docx" TargetMode="External"/><Relationship Id="rId273" Type="http://schemas.openxmlformats.org/officeDocument/2006/relationships/hyperlink" Target="T7%20Electricit%c3%a9%20CCTB%2001.12.docx" TargetMode="External"/><Relationship Id="rId329" Type="http://schemas.openxmlformats.org/officeDocument/2006/relationships/image" Target="media/image14.png"/><Relationship Id="rId480" Type="http://schemas.openxmlformats.org/officeDocument/2006/relationships/hyperlink" Target="T3%20Travaux%20de%20toiture%20CCTB%2001.12.docx" TargetMode="External"/><Relationship Id="rId536" Type="http://schemas.openxmlformats.org/officeDocument/2006/relationships/hyperlink" Target="T0%20Entreprise%20_%20Chantier%20CCTB%2001.12.docx" TargetMode="External"/><Relationship Id="rId68" Type="http://schemas.openxmlformats.org/officeDocument/2006/relationships/hyperlink" Target="T0%20Entreprise%20_%20Chantier%20CCTB%2001.12.docx" TargetMode="External"/><Relationship Id="rId133" Type="http://schemas.openxmlformats.org/officeDocument/2006/relationships/hyperlink" Target="T8%20Travaux%20de%20peinture%20_%20Traitements%20de%20surface%20CCTB%2001.12.docx" TargetMode="External"/><Relationship Id="rId175" Type="http://schemas.openxmlformats.org/officeDocument/2006/relationships/hyperlink" Target="T8%20Travaux%20de%20peinture%20_%20Traitements%20de%20surface%20CCTB%2001.12.docx" TargetMode="External"/><Relationship Id="rId340" Type="http://schemas.openxmlformats.org/officeDocument/2006/relationships/image" Target="media/image25.png"/><Relationship Id="rId200" Type="http://schemas.openxmlformats.org/officeDocument/2006/relationships/hyperlink" Target="T8%20Travaux%20de%20peinture%20_%20Traitements%20de%20surface%20CCTB%2001.12.docx" TargetMode="External"/><Relationship Id="rId382" Type="http://schemas.openxmlformats.org/officeDocument/2006/relationships/hyperlink" Target="T3%20Travaux%20de%20toiture%20CCTB%2001.12.docx" TargetMode="External"/><Relationship Id="rId438" Type="http://schemas.openxmlformats.org/officeDocument/2006/relationships/hyperlink" Target="T3%20Travaux%20de%20toiture%20CCTB%2001.12.docx" TargetMode="External"/><Relationship Id="rId242" Type="http://schemas.openxmlformats.org/officeDocument/2006/relationships/hyperlink" Target="T0%20Entreprise%20_%20Chantier%20CCTB%2001.12.docx" TargetMode="External"/><Relationship Id="rId284" Type="http://schemas.openxmlformats.org/officeDocument/2006/relationships/hyperlink" Target="T6%20HVAC%20-%20sanitaires%20CCTB%2001.12.docx" TargetMode="External"/><Relationship Id="rId491" Type="http://schemas.openxmlformats.org/officeDocument/2006/relationships/hyperlink" Target="T3%20Travaux%20de%20toiture%20CCTB%2001.12.docx" TargetMode="External"/><Relationship Id="rId505" Type="http://schemas.openxmlformats.org/officeDocument/2006/relationships/hyperlink" Target="T3%20Travaux%20de%20toiture%20CCTB%2001.12.docx" TargetMode="External"/><Relationship Id="rId37" Type="http://schemas.openxmlformats.org/officeDocument/2006/relationships/hyperlink" Target="T8%20Travaux%20de%20peinture%20_%20Traitements%20de%20surface%20CCTB%2001.12.docx" TargetMode="External"/><Relationship Id="rId79" Type="http://schemas.openxmlformats.org/officeDocument/2006/relationships/hyperlink" Target="T8%20Travaux%20de%20peinture%20_%20Traitements%20de%20surface%20CCTB%2001.12.docx" TargetMode="External"/><Relationship Id="rId102" Type="http://schemas.openxmlformats.org/officeDocument/2006/relationships/hyperlink" Target="T4%20Fermetures%20_%20Finitions%20ext%c3%a9rieures%20CCTB%2001.12.docx" TargetMode="External"/><Relationship Id="rId144" Type="http://schemas.openxmlformats.org/officeDocument/2006/relationships/hyperlink" Target="T3%20Travaux%20de%20toiture%20CCTB%2001.12.docx" TargetMode="External"/><Relationship Id="rId547" Type="http://schemas.openxmlformats.org/officeDocument/2006/relationships/hyperlink" Target="T0%20Entreprise%20_%20Chantier%20CCTB%2001.12.docx" TargetMode="External"/><Relationship Id="rId90" Type="http://schemas.openxmlformats.org/officeDocument/2006/relationships/hyperlink" Target="T8%20Travaux%20de%20peinture%20_%20Traitements%20de%20surface%20CCTB%2001.12.docx" TargetMode="External"/><Relationship Id="rId186" Type="http://schemas.openxmlformats.org/officeDocument/2006/relationships/hyperlink" Target="T8%20Travaux%20de%20peinture%20_%20Traitements%20de%20surface%20CCTB%2001.12.docx" TargetMode="External"/><Relationship Id="rId351" Type="http://schemas.openxmlformats.org/officeDocument/2006/relationships/hyperlink" Target="T0%20Entreprise%20_%20Chantier%20CCTB%2001.12.docx" TargetMode="External"/><Relationship Id="rId393" Type="http://schemas.openxmlformats.org/officeDocument/2006/relationships/hyperlink" Target="T3%20Travaux%20de%20toiture%20CCTB%2001.12.docx" TargetMode="External"/><Relationship Id="rId407" Type="http://schemas.openxmlformats.org/officeDocument/2006/relationships/hyperlink" Target="T3%20Travaux%20de%20toiture%20CCTB%2001.12.docx" TargetMode="External"/><Relationship Id="rId449" Type="http://schemas.openxmlformats.org/officeDocument/2006/relationships/hyperlink" Target="T3%20Travaux%20de%20toiture%20CCTB%2001.12.docx" TargetMode="External"/><Relationship Id="rId211" Type="http://schemas.openxmlformats.org/officeDocument/2006/relationships/hyperlink" Target="T8%20Travaux%20de%20peinture%20_%20Traitements%20de%20surface%20CCTB%2001.12.docx" TargetMode="External"/><Relationship Id="rId253" Type="http://schemas.openxmlformats.org/officeDocument/2006/relationships/image" Target="media/image4.jpg"/><Relationship Id="rId295" Type="http://schemas.openxmlformats.org/officeDocument/2006/relationships/hyperlink" Target="T5%20Fermetures%20_%20Finitions%20int%c3%a9rieures%20CCTB%2001.12.docx" TargetMode="External"/><Relationship Id="rId309" Type="http://schemas.openxmlformats.org/officeDocument/2006/relationships/hyperlink" Target="T3%20Travaux%20de%20toiture%20CCTB%2001.12.docx" TargetMode="External"/><Relationship Id="rId460" Type="http://schemas.openxmlformats.org/officeDocument/2006/relationships/hyperlink" Target="T3%20Travaux%20de%20toiture%20CCTB%2001.12.docx" TargetMode="External"/><Relationship Id="rId516" Type="http://schemas.openxmlformats.org/officeDocument/2006/relationships/hyperlink" Target="T0%20Entreprise%20_%20Chantier%20CCTB%2001.12.docx" TargetMode="External"/><Relationship Id="rId48" Type="http://schemas.openxmlformats.org/officeDocument/2006/relationships/hyperlink" Target="T0%20Entreprise%20_%20Chantier%20CCTB%2001.12.docx" TargetMode="External"/><Relationship Id="rId113" Type="http://schemas.openxmlformats.org/officeDocument/2006/relationships/hyperlink" Target="T0%20Entreprise%20_%20Chantier%20CCTB%2001.12.docx" TargetMode="External"/><Relationship Id="rId320" Type="http://schemas.openxmlformats.org/officeDocument/2006/relationships/hyperlink" Target="T0%20Entreprise%20_%20Chantier%20CCTB%2001.12.docx" TargetMode="External"/><Relationship Id="rId558" Type="http://schemas.openxmlformats.org/officeDocument/2006/relationships/hyperlink" Target="T8%20Travaux%20de%20peinture%20_%20Traitements%20de%20surface%20CCTB%2001.12.docx" TargetMode="External"/><Relationship Id="rId155" Type="http://schemas.openxmlformats.org/officeDocument/2006/relationships/hyperlink" Target="T8%20Travaux%20de%20peinture%20_%20Traitements%20de%20surface%20CCTB%2001.12.docx" TargetMode="External"/><Relationship Id="rId197" Type="http://schemas.openxmlformats.org/officeDocument/2006/relationships/hyperlink" Target="T8%20Travaux%20de%20peinture%20_%20Traitements%20de%20surface%20CCTB%2001.12.docx" TargetMode="External"/><Relationship Id="rId362" Type="http://schemas.openxmlformats.org/officeDocument/2006/relationships/hyperlink" Target="T0%20Entreprise%20_%20Chantier%20CCTB%2001.12.docx" TargetMode="External"/><Relationship Id="rId418" Type="http://schemas.openxmlformats.org/officeDocument/2006/relationships/hyperlink" Target="T3%20Travaux%20de%20toiture%20CCTB%2001.12.docx" TargetMode="External"/><Relationship Id="rId222" Type="http://schemas.openxmlformats.org/officeDocument/2006/relationships/hyperlink" Target="T8%20Travaux%20de%20peinture%20_%20Traitements%20de%20surface%20CCTB%2001.12.docx" TargetMode="External"/><Relationship Id="rId264" Type="http://schemas.openxmlformats.org/officeDocument/2006/relationships/hyperlink" Target="http://www.normes.be/feu" TargetMode="External"/><Relationship Id="rId471" Type="http://schemas.openxmlformats.org/officeDocument/2006/relationships/hyperlink" Target="T3%20Travaux%20de%20toiture%20CCTB%2001.12.docx" TargetMode="External"/><Relationship Id="rId17" Type="http://schemas.openxmlformats.org/officeDocument/2006/relationships/hyperlink" Target="T0%20Entreprise%20_%20Chantier%20CCTB%2001.12.docx" TargetMode="External"/><Relationship Id="rId59" Type="http://schemas.openxmlformats.org/officeDocument/2006/relationships/hyperlink" Target="T8%20Travaux%20de%20peinture%20_%20Traitements%20de%20surface%20CCTB%2001.12.docx" TargetMode="External"/><Relationship Id="rId124" Type="http://schemas.openxmlformats.org/officeDocument/2006/relationships/hyperlink" Target="T0%20Entreprise%20_%20Chantier%20CCTB%2001.12.docx" TargetMode="External"/><Relationship Id="rId527" Type="http://schemas.openxmlformats.org/officeDocument/2006/relationships/hyperlink" Target="T0%20Entreprise%20_%20Chantier%20CCTB%2001.12.docx" TargetMode="External"/><Relationship Id="rId70" Type="http://schemas.openxmlformats.org/officeDocument/2006/relationships/hyperlink" Target="http://bbri.author-e.eu/" TargetMode="External"/><Relationship Id="rId166" Type="http://schemas.openxmlformats.org/officeDocument/2006/relationships/hyperlink" Target="T8%20Travaux%20de%20peinture%20_%20Traitements%20de%20surface%20CCTB%2001.12.docx" TargetMode="External"/><Relationship Id="rId331" Type="http://schemas.openxmlformats.org/officeDocument/2006/relationships/image" Target="media/image16.png"/><Relationship Id="rId373" Type="http://schemas.openxmlformats.org/officeDocument/2006/relationships/hyperlink" Target="T3%20Travaux%20de%20toiture%20CCTB%2001.12.docx" TargetMode="External"/><Relationship Id="rId429" Type="http://schemas.openxmlformats.org/officeDocument/2006/relationships/hyperlink" Target="T0%20Entreprise%20_%20Chantier%20CCTB%2001.12.docx" TargetMode="External"/><Relationship Id="rId1" Type="http://schemas.openxmlformats.org/officeDocument/2006/relationships/numbering" Target="numbering.xml"/><Relationship Id="rId233" Type="http://schemas.openxmlformats.org/officeDocument/2006/relationships/hyperlink" Target="T0%20Entreprise%20_%20Chantier%20CCTB%2001.12.docx" TargetMode="External"/><Relationship Id="rId440" Type="http://schemas.openxmlformats.org/officeDocument/2006/relationships/hyperlink" Target="T3%20Travaux%20de%20toiture%20CCTB%2001.12.docx" TargetMode="External"/><Relationship Id="rId28" Type="http://schemas.openxmlformats.org/officeDocument/2006/relationships/hyperlink" Target="http://co-authoring.spw.wallonie.be/core.mvc/" TargetMode="External"/><Relationship Id="rId275" Type="http://schemas.openxmlformats.org/officeDocument/2006/relationships/hyperlink" Target="T7%20Electricit%c3%a9%20CCTB%2001.12.docx" TargetMode="External"/><Relationship Id="rId300" Type="http://schemas.openxmlformats.org/officeDocument/2006/relationships/hyperlink" Target="T7%20Electricit%c3%a9%20CCTB%2001.12.docx" TargetMode="External"/><Relationship Id="rId482" Type="http://schemas.openxmlformats.org/officeDocument/2006/relationships/hyperlink" Target="T3%20Travaux%20de%20toiture%20CCTB%2001.12.docx" TargetMode="External"/><Relationship Id="rId538" Type="http://schemas.openxmlformats.org/officeDocument/2006/relationships/hyperlink" Target="T0%20Entreprise%20_%20Chantier%20CCTB%2001.12.docx" TargetMode="External"/><Relationship Id="rId81" Type="http://schemas.openxmlformats.org/officeDocument/2006/relationships/hyperlink" Target="T8%20Travaux%20de%20peinture%20_%20Traitements%20de%20surface%20CCTB%2001.12.docx" TargetMode="External"/><Relationship Id="rId135" Type="http://schemas.openxmlformats.org/officeDocument/2006/relationships/hyperlink" Target="T8%20Travaux%20de%20peinture%20_%20Traitements%20de%20surface%20CCTB%2001.12.docx" TargetMode="External"/><Relationship Id="rId177" Type="http://schemas.openxmlformats.org/officeDocument/2006/relationships/hyperlink" Target="T8%20Travaux%20de%20peinture%20_%20Traitements%20de%20surface%20CCTB%2001.12.docx" TargetMode="External"/><Relationship Id="rId342" Type="http://schemas.openxmlformats.org/officeDocument/2006/relationships/image" Target="media/image27.png"/><Relationship Id="rId384" Type="http://schemas.openxmlformats.org/officeDocument/2006/relationships/hyperlink" Target="T0%20Entreprise%20_%20Chantier%20CCTB%2001.12.docx" TargetMode="External"/><Relationship Id="rId202" Type="http://schemas.openxmlformats.org/officeDocument/2006/relationships/hyperlink" Target="T8%20Travaux%20de%20peinture%20_%20Traitements%20de%20surface%20CCTB%2001.12.docx" TargetMode="External"/><Relationship Id="rId244" Type="http://schemas.openxmlformats.org/officeDocument/2006/relationships/hyperlink" Target="T8%20Travaux%20de%20peinture%20_%20Traitements%20de%20surface%20CCTB%2001.12.docx" TargetMode="External"/><Relationship Id="rId39" Type="http://schemas.openxmlformats.org/officeDocument/2006/relationships/hyperlink" Target="T0%20Entreprise%20_%20Chantier%20CCTB%2001.12.docx" TargetMode="External"/><Relationship Id="rId286" Type="http://schemas.openxmlformats.org/officeDocument/2006/relationships/hyperlink" Target="T6%20HVAC%20-%20sanitaires%20CCTB%2001.12.docx" TargetMode="External"/><Relationship Id="rId451" Type="http://schemas.openxmlformats.org/officeDocument/2006/relationships/hyperlink" Target="T3%20Travaux%20de%20toiture%20CCTB%2001.12.docx" TargetMode="External"/><Relationship Id="rId493" Type="http://schemas.openxmlformats.org/officeDocument/2006/relationships/hyperlink" Target="T3%20Travaux%20de%20toiture%20CCTB%2001.12.docx" TargetMode="External"/><Relationship Id="rId507" Type="http://schemas.openxmlformats.org/officeDocument/2006/relationships/hyperlink" Target="T3%20Travaux%20de%20toiture%20CCTB%2001.12.docx" TargetMode="External"/><Relationship Id="rId549" Type="http://schemas.openxmlformats.org/officeDocument/2006/relationships/hyperlink" Target="T0%20Entreprise%20_%20Chantier%20CCTB%2001.12.docx" TargetMode="External"/><Relationship Id="rId50" Type="http://schemas.openxmlformats.org/officeDocument/2006/relationships/hyperlink" Target="T0%20Entreprise%20_%20Chantier%20CCTB%2001.12.docx" TargetMode="External"/><Relationship Id="rId104" Type="http://schemas.openxmlformats.org/officeDocument/2006/relationships/hyperlink" Target="T1%20Terrassements%20_%20fondations%20CCTB%2001.12.docx" TargetMode="External"/><Relationship Id="rId146" Type="http://schemas.openxmlformats.org/officeDocument/2006/relationships/hyperlink" Target="T3%20Travaux%20de%20toiture%20CCTB%2001.12.docx" TargetMode="External"/><Relationship Id="rId188" Type="http://schemas.openxmlformats.org/officeDocument/2006/relationships/hyperlink" Target="T8%20Travaux%20de%20peinture%20_%20Traitements%20de%20surface%20CCTB%2001.12.docx" TargetMode="External"/><Relationship Id="rId311" Type="http://schemas.openxmlformats.org/officeDocument/2006/relationships/hyperlink" Target="T3%20Travaux%20de%20toiture%20CCTB%2001.12.docx" TargetMode="External"/><Relationship Id="rId353" Type="http://schemas.openxmlformats.org/officeDocument/2006/relationships/hyperlink" Target="T0%20Entreprise%20_%20Chantier%20CCTB%2001.12.docx" TargetMode="External"/><Relationship Id="rId395" Type="http://schemas.openxmlformats.org/officeDocument/2006/relationships/hyperlink" Target="T3%20Travaux%20de%20toiture%20CCTB%2001.12.docx" TargetMode="External"/><Relationship Id="rId409" Type="http://schemas.openxmlformats.org/officeDocument/2006/relationships/hyperlink" Target="T3%20Travaux%20de%20toiture%20CCTB%2001.12.docx" TargetMode="External"/><Relationship Id="rId560" Type="http://schemas.openxmlformats.org/officeDocument/2006/relationships/hyperlink" Target="T8%20Travaux%20de%20peinture%20_%20Traitements%20de%20surface%20CCTB%2001.12.docx" TargetMode="External"/><Relationship Id="rId92" Type="http://schemas.openxmlformats.org/officeDocument/2006/relationships/hyperlink" Target="T8%20Travaux%20de%20peinture%20_%20Traitements%20de%20surface%20CCTB%2001.12.docx" TargetMode="External"/><Relationship Id="rId213" Type="http://schemas.openxmlformats.org/officeDocument/2006/relationships/hyperlink" Target="T8%20Travaux%20de%20peinture%20_%20Traitements%20de%20surface%20CCTB%2001.12.docx" TargetMode="External"/><Relationship Id="rId420" Type="http://schemas.openxmlformats.org/officeDocument/2006/relationships/hyperlink" Target="T3%20Travaux%20de%20toiture%20CCTB%2001.12.docx" TargetMode="External"/><Relationship Id="rId255" Type="http://schemas.openxmlformats.org/officeDocument/2006/relationships/hyperlink" Target="T0%20Entreprise%20_%20Chantier%20CCTB%2001.12.docx" TargetMode="External"/><Relationship Id="rId297" Type="http://schemas.openxmlformats.org/officeDocument/2006/relationships/hyperlink" Target="T6%20HVAC%20-%20sanitaires%20CCTB%2001.12.docx" TargetMode="External"/><Relationship Id="rId462" Type="http://schemas.openxmlformats.org/officeDocument/2006/relationships/hyperlink" Target="T3%20Travaux%20de%20toiture%20CCTB%2001.12.docx" TargetMode="External"/><Relationship Id="rId518" Type="http://schemas.openxmlformats.org/officeDocument/2006/relationships/hyperlink" Target="T0%20Entreprise%20_%20Chantier%20CCTB%2001.12.docx" TargetMode="External"/><Relationship Id="rId115" Type="http://schemas.openxmlformats.org/officeDocument/2006/relationships/hyperlink" Target="T0%20Entreprise%20_%20Chantier%20CCTB%2001.12.docx" TargetMode="External"/><Relationship Id="rId157" Type="http://schemas.openxmlformats.org/officeDocument/2006/relationships/hyperlink" Target="T8%20Travaux%20de%20peinture%20_%20Traitements%20de%20surface%20CCTB%2001.12.docx" TargetMode="External"/><Relationship Id="rId322" Type="http://schemas.openxmlformats.org/officeDocument/2006/relationships/hyperlink" Target="T3%20Travaux%20de%20toiture%20CCTB%2001.12.docx" TargetMode="External"/><Relationship Id="rId364" Type="http://schemas.openxmlformats.org/officeDocument/2006/relationships/hyperlink" Target="T1%20Terrassements%20_%20fondations%20CCTB%2001.12.docx" TargetMode="External"/><Relationship Id="rId61" Type="http://schemas.openxmlformats.org/officeDocument/2006/relationships/hyperlink" Target="T4%20Fermetures%20_%20Finitions%20ext%c3%a9rieures%20CCTB%2001.12.docx" TargetMode="External"/><Relationship Id="rId199" Type="http://schemas.openxmlformats.org/officeDocument/2006/relationships/hyperlink" Target="T0%20Entreprise%20_%20Chantier%20CCTB%2001.12.docx" TargetMode="External"/><Relationship Id="rId19" Type="http://schemas.openxmlformats.org/officeDocument/2006/relationships/hyperlink" Target="T0%20Entreprise%20_%20Chantier%20CCTB%2001.12.docx" TargetMode="External"/><Relationship Id="rId224" Type="http://schemas.openxmlformats.org/officeDocument/2006/relationships/hyperlink" Target="T8%20Travaux%20de%20peinture%20_%20Traitements%20de%20surface%20CCTB%2001.12.docx" TargetMode="External"/><Relationship Id="rId266" Type="http://schemas.openxmlformats.org/officeDocument/2006/relationships/hyperlink" Target="http://www.besafe.be" TargetMode="External"/><Relationship Id="rId431" Type="http://schemas.openxmlformats.org/officeDocument/2006/relationships/hyperlink" Target="T3%20Travaux%20de%20toiture%20CCTB%2001.12.docx" TargetMode="External"/><Relationship Id="rId473" Type="http://schemas.openxmlformats.org/officeDocument/2006/relationships/hyperlink" Target="T3%20Travaux%20de%20toiture%20CCTB%2001.12.docx" TargetMode="External"/><Relationship Id="rId529" Type="http://schemas.openxmlformats.org/officeDocument/2006/relationships/hyperlink" Target="T3%20Travaux%20de%20toiture%20CCTB%2001.12.docx" TargetMode="External"/><Relationship Id="rId30" Type="http://schemas.openxmlformats.org/officeDocument/2006/relationships/hyperlink" Target="T0%20Entreprise%20_%20Chantier%20CCTB%2001.12.docx" TargetMode="External"/><Relationship Id="rId126" Type="http://schemas.openxmlformats.org/officeDocument/2006/relationships/hyperlink" Target="T8%20Travaux%20de%20peinture%20_%20Traitements%20de%20surface%20CCTB%2001.12.docx" TargetMode="External"/><Relationship Id="rId168" Type="http://schemas.openxmlformats.org/officeDocument/2006/relationships/hyperlink" Target="T0%20Entreprise%20_%20Chantier%20CCTB%2001.12.docx" TargetMode="External"/><Relationship Id="rId333" Type="http://schemas.openxmlformats.org/officeDocument/2006/relationships/image" Target="media/image18.png"/><Relationship Id="rId540" Type="http://schemas.openxmlformats.org/officeDocument/2006/relationships/hyperlink" Target="T0%20Entreprise%20_%20Chantier%20CCTB%2001.12.docx" TargetMode="External"/><Relationship Id="rId72" Type="http://schemas.openxmlformats.org/officeDocument/2006/relationships/hyperlink" Target="T1%20Terrassements%20_%20fondations%20CCTB%2001.12.docx" TargetMode="External"/><Relationship Id="rId375" Type="http://schemas.openxmlformats.org/officeDocument/2006/relationships/hyperlink" Target="T3%20Travaux%20de%20toiture%20CCTB%2001.12.docx" TargetMode="External"/><Relationship Id="rId3" Type="http://schemas.openxmlformats.org/officeDocument/2006/relationships/settings" Target="settings.xml"/><Relationship Id="rId235" Type="http://schemas.openxmlformats.org/officeDocument/2006/relationships/hyperlink" Target="T0%20Entreprise%20_%20Chantier%20CCTB%2001.12.docx" TargetMode="External"/><Relationship Id="rId277" Type="http://schemas.openxmlformats.org/officeDocument/2006/relationships/hyperlink" Target="T6%20HVAC%20-%20sanitaires%20CCTB%2001.12.docx" TargetMode="External"/><Relationship Id="rId400" Type="http://schemas.openxmlformats.org/officeDocument/2006/relationships/hyperlink" Target="T3%20Travaux%20de%20toiture%20CCTB%2001.12.docx" TargetMode="External"/><Relationship Id="rId442" Type="http://schemas.openxmlformats.org/officeDocument/2006/relationships/hyperlink" Target="T3%20Travaux%20de%20toiture%20CCTB%2001.12.docx" TargetMode="External"/><Relationship Id="rId484" Type="http://schemas.openxmlformats.org/officeDocument/2006/relationships/hyperlink" Target="T3%20Travaux%20de%20toiture%20CCTB%2001.12.docx" TargetMode="External"/><Relationship Id="rId137" Type="http://schemas.openxmlformats.org/officeDocument/2006/relationships/hyperlink" Target="T8%20Travaux%20de%20peinture%20_%20Traitements%20de%20surface%20CCTB%2001.12.docx" TargetMode="External"/><Relationship Id="rId302" Type="http://schemas.openxmlformats.org/officeDocument/2006/relationships/hyperlink" Target="T6%20HVAC%20-%20sanitaires%20CCTB%2001.12.docx" TargetMode="External"/><Relationship Id="rId344" Type="http://schemas.openxmlformats.org/officeDocument/2006/relationships/hyperlink" Target="T8%20Travaux%20de%20peinture%20_%20Traitements%20de%20surface%20CCTB%2001.12.docx" TargetMode="External"/><Relationship Id="rId41" Type="http://schemas.openxmlformats.org/officeDocument/2006/relationships/hyperlink" Target="T0%20Entreprise%20_%20Chantier%20CCTB%2001.12.docx" TargetMode="External"/><Relationship Id="rId83" Type="http://schemas.openxmlformats.org/officeDocument/2006/relationships/hyperlink" Target="T8%20Travaux%20de%20peinture%20_%20Traitements%20de%20surface%20CCTB%2001.12.docx" TargetMode="External"/><Relationship Id="rId179" Type="http://schemas.openxmlformats.org/officeDocument/2006/relationships/hyperlink" Target="T8%20Travaux%20de%20peinture%20_%20Traitements%20de%20surface%20CCTB%2001.12.docx" TargetMode="External"/><Relationship Id="rId386" Type="http://schemas.openxmlformats.org/officeDocument/2006/relationships/hyperlink" Target="T3%20Travaux%20de%20toiture%20CCTB%2001.12.docx" TargetMode="External"/><Relationship Id="rId551" Type="http://schemas.openxmlformats.org/officeDocument/2006/relationships/hyperlink" Target="T0%20Entreprise%20_%20Chantier%20CCTB%2001.12.docx" TargetMode="External"/><Relationship Id="rId190" Type="http://schemas.openxmlformats.org/officeDocument/2006/relationships/hyperlink" Target="T8%20Travaux%20de%20peinture%20_%20Traitements%20de%20surface%20CCTB%2001.12.docx" TargetMode="External"/><Relationship Id="rId204" Type="http://schemas.openxmlformats.org/officeDocument/2006/relationships/hyperlink" Target="T8%20Travaux%20de%20peinture%20_%20Traitements%20de%20surface%20CCTB%2001.12.docx" TargetMode="External"/><Relationship Id="rId246" Type="http://schemas.openxmlformats.org/officeDocument/2006/relationships/hyperlink" Target="T0%20Entreprise%20_%20Chantier%20CCTB%2001.12.docx" TargetMode="External"/><Relationship Id="rId288" Type="http://schemas.openxmlformats.org/officeDocument/2006/relationships/hyperlink" Target="T5%20Fermetures%20_%20Finitions%20int%c3%a9rieures%20CCTB%2001.12.docx" TargetMode="External"/><Relationship Id="rId411" Type="http://schemas.openxmlformats.org/officeDocument/2006/relationships/hyperlink" Target="T3%20Travaux%20de%20toiture%20CCTB%2001.12.docx" TargetMode="External"/><Relationship Id="rId453" Type="http://schemas.openxmlformats.org/officeDocument/2006/relationships/hyperlink" Target="T3%20Travaux%20de%20toiture%20CCTB%2001.12.docx" TargetMode="External"/><Relationship Id="rId509" Type="http://schemas.openxmlformats.org/officeDocument/2006/relationships/hyperlink" Target="T3%20Travaux%20de%20toiture%20CCTB%2001.12.docx" TargetMode="External"/><Relationship Id="rId106" Type="http://schemas.openxmlformats.org/officeDocument/2006/relationships/hyperlink" Target="T0%20Entreprise%20_%20Chantier%20CCTB%2001.12.docx" TargetMode="External"/><Relationship Id="rId313" Type="http://schemas.openxmlformats.org/officeDocument/2006/relationships/hyperlink" Target="T0%20Entreprise%20_%20Chantier%20CCTB%2001.12.docx" TargetMode="External"/><Relationship Id="rId495" Type="http://schemas.openxmlformats.org/officeDocument/2006/relationships/hyperlink" Target="T3%20Travaux%20de%20toiture%20CCTB%2001.12.docx" TargetMode="External"/><Relationship Id="rId10" Type="http://schemas.openxmlformats.org/officeDocument/2006/relationships/hyperlink" Target="T0%20Entreprise%20_%20Chantier%20CCTB%2001.12.docx" TargetMode="External"/><Relationship Id="rId52" Type="http://schemas.openxmlformats.org/officeDocument/2006/relationships/hyperlink" Target="T0%20Entreprise%20_%20Chantier%20CCTB%2001.12.docx" TargetMode="External"/><Relationship Id="rId94" Type="http://schemas.openxmlformats.org/officeDocument/2006/relationships/hyperlink" Target="T5%20Fermetures%20_%20Finitions%20int%c3%a9rieures%20CCTB%2001.12.docx" TargetMode="External"/><Relationship Id="rId148" Type="http://schemas.openxmlformats.org/officeDocument/2006/relationships/hyperlink" Target="T3%20Travaux%20de%20toiture%20CCTB%2001.12.docx" TargetMode="External"/><Relationship Id="rId355" Type="http://schemas.openxmlformats.org/officeDocument/2006/relationships/hyperlink" Target="T0%20Entreprise%20_%20Chantier%20CCTB%2001.12.docx" TargetMode="External"/><Relationship Id="rId397" Type="http://schemas.openxmlformats.org/officeDocument/2006/relationships/hyperlink" Target="T3%20Travaux%20de%20toiture%20CCTB%2001.12.docx" TargetMode="External"/><Relationship Id="rId520" Type="http://schemas.openxmlformats.org/officeDocument/2006/relationships/hyperlink" Target="T0%20Entreprise%20_%20Chantier%20CCTB%2001.12.docx" TargetMode="External"/><Relationship Id="rId562" Type="http://schemas.openxmlformats.org/officeDocument/2006/relationships/footer" Target="footer1.xml"/><Relationship Id="rId215" Type="http://schemas.openxmlformats.org/officeDocument/2006/relationships/hyperlink" Target="T8%20Travaux%20de%20peinture%20_%20Traitements%20de%20surface%20CCTB%2001.12.docx" TargetMode="External"/><Relationship Id="rId257" Type="http://schemas.openxmlformats.org/officeDocument/2006/relationships/hyperlink" Target="T0%20Entreprise%20_%20Chantier%20CCTB%2001.12.docx" TargetMode="External"/><Relationship Id="rId422" Type="http://schemas.openxmlformats.org/officeDocument/2006/relationships/hyperlink" Target="T3%20Travaux%20de%20toiture%20CCTB%2001.12.docx" TargetMode="External"/><Relationship Id="rId464" Type="http://schemas.openxmlformats.org/officeDocument/2006/relationships/hyperlink" Target="T3%20Travaux%20de%20toiture%20CCTB%2001.12.docx" TargetMode="External"/><Relationship Id="rId299" Type="http://schemas.openxmlformats.org/officeDocument/2006/relationships/hyperlink" Target="T6%20HVAC%20-%20sanitaires%20CCTB%2001.12.docx" TargetMode="External"/><Relationship Id="rId63" Type="http://schemas.openxmlformats.org/officeDocument/2006/relationships/hyperlink" Target="T8%20Travaux%20de%20peinture%20_%20Traitements%20de%20surface%20CCTB%2001.12.docx" TargetMode="External"/><Relationship Id="rId159" Type="http://schemas.openxmlformats.org/officeDocument/2006/relationships/hyperlink" Target="T8%20Travaux%20de%20peinture%20_%20Traitements%20de%20surface%20CCTB%2001.12.docx" TargetMode="External"/><Relationship Id="rId366" Type="http://schemas.openxmlformats.org/officeDocument/2006/relationships/hyperlink" Target="T3%20Travaux%20de%20toiture%20CCTB%2001.12.docx" TargetMode="External"/><Relationship Id="rId226" Type="http://schemas.openxmlformats.org/officeDocument/2006/relationships/hyperlink" Target="T8%20Travaux%20de%20peinture%20_%20Traitements%20de%20surface%20CCTB%2001.12.docx" TargetMode="External"/><Relationship Id="rId433" Type="http://schemas.openxmlformats.org/officeDocument/2006/relationships/hyperlink" Target="T3%20Travaux%20de%20toiture%20CCTB%2001.12.docx" TargetMode="External"/><Relationship Id="rId74" Type="http://schemas.openxmlformats.org/officeDocument/2006/relationships/hyperlink" Target="T1%20Terrassements%20_%20fondations%20CCTB%2001.12.docx" TargetMode="External"/><Relationship Id="rId377" Type="http://schemas.openxmlformats.org/officeDocument/2006/relationships/hyperlink" Target="T3%20Travaux%20de%20toiture%20CCTB%2001.12.docx" TargetMode="External"/><Relationship Id="rId500" Type="http://schemas.openxmlformats.org/officeDocument/2006/relationships/hyperlink" Target="T3%20Travaux%20de%20toiture%20CCTB%2001.12.docx" TargetMode="External"/><Relationship Id="rId5" Type="http://schemas.openxmlformats.org/officeDocument/2006/relationships/footnotes" Target="footnotes.xml"/><Relationship Id="rId237" Type="http://schemas.openxmlformats.org/officeDocument/2006/relationships/hyperlink" Target="T0%20Entreprise%20_%20Chantier%20CCTB%2001.12.docx" TargetMode="External"/><Relationship Id="rId444" Type="http://schemas.openxmlformats.org/officeDocument/2006/relationships/hyperlink" Target="T3%20Travaux%20de%20toiture%20CCTB%2001.12.docx" TargetMode="External"/><Relationship Id="rId290" Type="http://schemas.openxmlformats.org/officeDocument/2006/relationships/hyperlink" Target="T6%20HVAC%20-%20sanitaires%20CCTB%2001.12.docx" TargetMode="External"/><Relationship Id="rId304" Type="http://schemas.openxmlformats.org/officeDocument/2006/relationships/image" Target="media/image8.png"/><Relationship Id="rId388" Type="http://schemas.openxmlformats.org/officeDocument/2006/relationships/hyperlink" Target="T3%20Travaux%20de%20toiture%20CCTB%2001.12.docx" TargetMode="External"/><Relationship Id="rId511" Type="http://schemas.openxmlformats.org/officeDocument/2006/relationships/hyperlink" Target="T3%20Travaux%20de%20toiture%20CCTB%2001.12.docx" TargetMode="External"/><Relationship Id="rId85" Type="http://schemas.openxmlformats.org/officeDocument/2006/relationships/hyperlink" Target="T8%20Travaux%20de%20peinture%20_%20Traitements%20de%20surface%20CCTB%2001.12.docx" TargetMode="External"/><Relationship Id="rId150" Type="http://schemas.openxmlformats.org/officeDocument/2006/relationships/hyperlink" Target="T3%20Travaux%20de%20toiture%20CCTB%2001.12.docx" TargetMode="External"/><Relationship Id="rId248" Type="http://schemas.openxmlformats.org/officeDocument/2006/relationships/hyperlink" Target="TA%20Clauses%20administratives%20CCTB%2001.12.docx" TargetMode="External"/><Relationship Id="rId455" Type="http://schemas.openxmlformats.org/officeDocument/2006/relationships/hyperlink" Target="T3%20Travaux%20de%20toiture%20CCTB%2001.12.docx" TargetMode="External"/><Relationship Id="rId12" Type="http://schemas.openxmlformats.org/officeDocument/2006/relationships/hyperlink" Target="T0%20Entreprise%20_%20Chantier%20CCTB%2001.12.docx" TargetMode="External"/><Relationship Id="rId108" Type="http://schemas.openxmlformats.org/officeDocument/2006/relationships/hyperlink" Target="T1%20Terrassements%20_%20fondations%20CCTB%2001.12.docx" TargetMode="External"/><Relationship Id="rId315" Type="http://schemas.openxmlformats.org/officeDocument/2006/relationships/image" Target="media/image10.jpg"/><Relationship Id="rId522" Type="http://schemas.openxmlformats.org/officeDocument/2006/relationships/hyperlink" Target="T4%20Fermetures%20_%20Finitions%20ext%c3%a9rieures%20CCTB%2001.12.docx" TargetMode="External"/><Relationship Id="rId96" Type="http://schemas.openxmlformats.org/officeDocument/2006/relationships/hyperlink" Target="T5%20Fermetures%20_%20Finitions%20int%c3%a9rieures%20CCTB%2001.12.docx" TargetMode="External"/><Relationship Id="rId161" Type="http://schemas.openxmlformats.org/officeDocument/2006/relationships/hyperlink" Target="T8%20Travaux%20de%20peinture%20_%20Traitements%20de%20surface%20CCTB%2001.12.docx" TargetMode="External"/><Relationship Id="rId399" Type="http://schemas.openxmlformats.org/officeDocument/2006/relationships/hyperlink" Target="T3%20Travaux%20de%20toiture%20CCTB%2001.12.docx" TargetMode="External"/><Relationship Id="rId259" Type="http://schemas.openxmlformats.org/officeDocument/2006/relationships/hyperlink" Target="TA%20Clauses%20administratives%20CCTB%2001.12.docx" TargetMode="External"/><Relationship Id="rId466" Type="http://schemas.openxmlformats.org/officeDocument/2006/relationships/hyperlink" Target="T3%20Travaux%20de%20toiture%20CCTB%2001.12.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457772</Words>
  <Characters>2517746</Characters>
  <Application>Microsoft Office Word</Application>
  <DocSecurity>0</DocSecurity>
  <Lines>20981</Lines>
  <Paragraphs>5939</Paragraphs>
  <ScaleCrop>false</ScaleCrop>
  <Company>SPW</Company>
  <LinksUpToDate>false</LinksUpToDate>
  <CharactersWithSpaces>2969579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 Superstructures CCTB 01.12</dc:title>
  <dc:creator/>
  <cp:lastModifiedBy>TASSIN Thierry</cp:lastModifiedBy>
  <cp:revision>11</cp:revision>
  <dcterms:created xsi:type="dcterms:W3CDTF">2024-10-02T11:37:00Z</dcterms:created>
  <dcterms:modified xsi:type="dcterms:W3CDTF">2024-11-29T13:00:00Z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2024-10-02T11:58:38Z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2abde4b8-d10f-4173-9032-c4df61f182ab</vt:lpwstr>
  </property>
  <property fmtid="{D5CDD505-2E9C-101B-9397-08002B2CF9AE}" pid="8" name="MSIP_Label_97a477d1-147d-4e34-b5e3-7b26d2f44870_ContentBits">
    <vt:lpwstr>0</vt:lpwstr>
  </property>
</Properties>
</file>